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B2A032" w14:textId="77777777" w:rsidR="00CD4B4F" w:rsidRPr="00640820" w:rsidRDefault="00CD4B4F"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71B88051" w14:textId="77777777" w:rsidR="00CD4B4F" w:rsidRPr="00640820" w:rsidRDefault="00CD4B4F"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E1FA1AE" w14:textId="77777777" w:rsidR="00CD4B4F" w:rsidRPr="00640820" w:rsidRDefault="00CD4B4F"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К осени 1941 г. авиазавод N9 21 оказался фактически моно</w:t>
      </w:r>
      <w:r w:rsidRPr="00640820">
        <w:rPr>
          <w:rFonts w:ascii="Times New Roman" w:hAnsi="Times New Roman" w:cs="Times New Roman"/>
          <w:color w:val="000000" w:themeColor="text1"/>
          <w:sz w:val="16"/>
          <w:szCs w:val="16"/>
        </w:rPr>
        <w:softHyphen/>
        <w:t>польным производителем ЛаГГ-3. Заводы в Ленинграде, Таган</w:t>
      </w:r>
      <w:r w:rsidRPr="00640820">
        <w:rPr>
          <w:rFonts w:ascii="Times New Roman" w:hAnsi="Times New Roman" w:cs="Times New Roman"/>
          <w:color w:val="000000" w:themeColor="text1"/>
          <w:sz w:val="16"/>
          <w:szCs w:val="16"/>
        </w:rPr>
        <w:softHyphen/>
        <w:t>роге и Ростове-на-Дону пришлось эвакуировать. В Новосибир</w:t>
      </w:r>
      <w:r w:rsidRPr="00640820">
        <w:rPr>
          <w:rFonts w:ascii="Times New Roman" w:hAnsi="Times New Roman" w:cs="Times New Roman"/>
          <w:color w:val="000000" w:themeColor="text1"/>
          <w:sz w:val="16"/>
          <w:szCs w:val="16"/>
        </w:rPr>
        <w:softHyphen/>
        <w:t>ске стали осваивать еще и Як-7, который был более востребо</w:t>
      </w:r>
      <w:r w:rsidRPr="00640820">
        <w:rPr>
          <w:rFonts w:ascii="Times New Roman" w:hAnsi="Times New Roman" w:cs="Times New Roman"/>
          <w:color w:val="000000" w:themeColor="text1"/>
          <w:sz w:val="16"/>
          <w:szCs w:val="16"/>
        </w:rPr>
        <w:softHyphen/>
        <w:t>ванным и в начале 1942 г. вытеснил «ЛаГГ» со сборочной линии.</w:t>
      </w:r>
    </w:p>
    <w:p w14:paraId="2E8A6C99" w14:textId="77777777" w:rsidR="00CD4B4F" w:rsidRPr="00640820" w:rsidRDefault="00CD4B4F"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И все же темп производства ЛаГГ-3 оказался весьма высо</w:t>
      </w:r>
      <w:r w:rsidRPr="00640820">
        <w:rPr>
          <w:rFonts w:ascii="Times New Roman" w:hAnsi="Times New Roman" w:cs="Times New Roman"/>
          <w:color w:val="000000" w:themeColor="text1"/>
          <w:sz w:val="16"/>
          <w:szCs w:val="16"/>
        </w:rPr>
        <w:softHyphen/>
        <w:t>ким. За 1941 г. заводы выпустили 2463 таких самолета: № 21 — 1659 машин, № 31 —474, № 153 — 265 и № 23 — 65. Учитывая сложности освоения и общий организационный хаос в стране после начала войны, такой результат граничит с реализацией невозможного. В конце года ЛаГГ-3 стали строить в Тбилиси, куда был эвакуирован завод № 31. Постепенно, на новых самолетах новых серий, недостатки ис</w:t>
      </w:r>
      <w:r w:rsidRPr="00640820">
        <w:rPr>
          <w:rFonts w:ascii="Times New Roman" w:hAnsi="Times New Roman" w:cs="Times New Roman"/>
          <w:color w:val="000000" w:themeColor="text1"/>
          <w:sz w:val="16"/>
          <w:szCs w:val="16"/>
        </w:rPr>
        <w:softHyphen/>
        <w:t>требителя устранялись. В 1941 г. боль</w:t>
      </w:r>
      <w:r w:rsidRPr="00640820">
        <w:rPr>
          <w:rFonts w:ascii="Times New Roman" w:hAnsi="Times New Roman" w:cs="Times New Roman"/>
          <w:color w:val="000000" w:themeColor="text1"/>
          <w:sz w:val="16"/>
          <w:szCs w:val="16"/>
        </w:rPr>
        <w:softHyphen/>
        <w:t>ше было поставлено МиГ-3, в 1942 г. первен</w:t>
      </w:r>
      <w:r w:rsidRPr="00640820">
        <w:rPr>
          <w:rFonts w:ascii="Times New Roman" w:hAnsi="Times New Roman" w:cs="Times New Roman"/>
          <w:color w:val="000000" w:themeColor="text1"/>
          <w:sz w:val="16"/>
          <w:szCs w:val="16"/>
        </w:rPr>
        <w:softHyphen/>
        <w:t>ство принадлежало Як-1, в 1943 г. — Як-7Б и Як-9 (19106).</w:t>
      </w:r>
    </w:p>
    <w:p w14:paraId="0F750200" w14:textId="77777777" w:rsidR="00CD4B4F" w:rsidRPr="00640820" w:rsidRDefault="00CD4B4F"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Основные особенности вариантов ЛаГГ-3</w:t>
      </w:r>
    </w:p>
    <w:tbl>
      <w:tblPr>
        <w:tblW w:w="0" w:type="auto"/>
        <w:tblLayout w:type="fixed"/>
        <w:tblCellMar>
          <w:left w:w="10" w:type="dxa"/>
          <w:right w:w="10" w:type="dxa"/>
        </w:tblCellMar>
        <w:tblLook w:val="04A0" w:firstRow="1" w:lastRow="0" w:firstColumn="1" w:lastColumn="0" w:noHBand="0" w:noVBand="1"/>
      </w:tblPr>
      <w:tblGrid>
        <w:gridCol w:w="1680"/>
        <w:gridCol w:w="8820"/>
      </w:tblGrid>
      <w:tr w:rsidR="006B0687" w:rsidRPr="00640820" w14:paraId="2A6DF3E1" w14:textId="77777777" w:rsidTr="00DE7CDD">
        <w:trPr>
          <w:trHeight w:val="2121"/>
        </w:trPr>
        <w:tc>
          <w:tcPr>
            <w:tcW w:w="1680" w:type="dxa"/>
            <w:tcBorders>
              <w:top w:val="single" w:sz="4" w:space="0" w:color="auto"/>
              <w:left w:val="single" w:sz="4" w:space="0" w:color="auto"/>
              <w:bottom w:val="single" w:sz="4" w:space="0" w:color="auto"/>
              <w:right w:val="single" w:sz="4" w:space="0" w:color="auto"/>
            </w:tcBorders>
            <w:shd w:val="clear" w:color="auto" w:fill="FFFFFF"/>
          </w:tcPr>
          <w:p w14:paraId="16DA7A5E" w14:textId="77777777" w:rsidR="00CD4B4F" w:rsidRPr="00640820" w:rsidRDefault="00CD4B4F"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ЛаГГ-3</w:t>
            </w:r>
          </w:p>
          <w:p w14:paraId="56951CBF" w14:textId="77777777" w:rsidR="00CD4B4F" w:rsidRPr="00640820" w:rsidRDefault="00CD4B4F"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с 1 -й по 3-ю серии</w:t>
            </w:r>
          </w:p>
        </w:tc>
        <w:tc>
          <w:tcPr>
            <w:tcW w:w="8820" w:type="dxa"/>
            <w:tcBorders>
              <w:top w:val="single" w:sz="4" w:space="0" w:color="auto"/>
              <w:left w:val="single" w:sz="4" w:space="0" w:color="auto"/>
              <w:bottom w:val="single" w:sz="4" w:space="0" w:color="auto"/>
              <w:right w:val="single" w:sz="4" w:space="0" w:color="auto"/>
            </w:tcBorders>
            <w:shd w:val="clear" w:color="auto" w:fill="FFFFFF"/>
          </w:tcPr>
          <w:p w14:paraId="317CB8DC" w14:textId="77777777" w:rsidR="00CD4B4F" w:rsidRPr="00640820" w:rsidRDefault="00CD4B4F"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r w:rsidRPr="00640820">
              <w:rPr>
                <w:rStyle w:val="aff7"/>
                <w:rFonts w:ascii="Times New Roman" w:hAnsi="Times New Roman" w:cs="Times New Roman"/>
                <w:b w:val="0"/>
                <w:color w:val="000000" w:themeColor="text1"/>
                <w:spacing w:val="0"/>
                <w:sz w:val="16"/>
                <w:szCs w:val="16"/>
              </w:rPr>
              <w:t>Планер:</w:t>
            </w:r>
            <w:r w:rsidRPr="00640820">
              <w:rPr>
                <w:rFonts w:ascii="Times New Roman" w:hAnsi="Times New Roman" w:cs="Times New Roman"/>
                <w:color w:val="000000" w:themeColor="text1"/>
                <w:sz w:val="16"/>
                <w:szCs w:val="16"/>
              </w:rPr>
              <w:t xml:space="preserve"> в отличие от И-301 руль направления с верхним и ни</w:t>
            </w:r>
            <w:r w:rsidRPr="00640820">
              <w:rPr>
                <w:rFonts w:ascii="Times New Roman" w:hAnsi="Times New Roman" w:cs="Times New Roman"/>
                <w:color w:val="000000" w:themeColor="text1"/>
                <w:sz w:val="16"/>
                <w:szCs w:val="16"/>
              </w:rPr>
              <w:softHyphen/>
              <w:t>жним балансирами (нет на первых самолетах), наплыв спереди у основания крыла, триммер РН увеличен по ширине, примерно, на треть.</w:t>
            </w:r>
          </w:p>
          <w:p w14:paraId="18CC91DD" w14:textId="77777777" w:rsidR="00CD4B4F" w:rsidRPr="00640820" w:rsidRDefault="00CD4B4F"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r w:rsidRPr="00640820">
              <w:rPr>
                <w:rStyle w:val="aff7"/>
                <w:rFonts w:ascii="Times New Roman" w:hAnsi="Times New Roman" w:cs="Times New Roman"/>
                <w:b w:val="0"/>
                <w:color w:val="000000" w:themeColor="text1"/>
                <w:spacing w:val="0"/>
                <w:sz w:val="16"/>
                <w:szCs w:val="16"/>
              </w:rPr>
              <w:t>Силовая установка:</w:t>
            </w:r>
            <w:r w:rsidRPr="00640820">
              <w:rPr>
                <w:rFonts w:ascii="Times New Roman" w:hAnsi="Times New Roman" w:cs="Times New Roman"/>
                <w:color w:val="000000" w:themeColor="text1"/>
                <w:sz w:val="16"/>
                <w:szCs w:val="16"/>
              </w:rPr>
              <w:t xml:space="preserve"> выхлопной коллектор удлинен, воздухоза</w:t>
            </w:r>
            <w:r w:rsidRPr="00640820">
              <w:rPr>
                <w:rFonts w:ascii="Times New Roman" w:hAnsi="Times New Roman" w:cs="Times New Roman"/>
                <w:color w:val="000000" w:themeColor="text1"/>
                <w:sz w:val="16"/>
                <w:szCs w:val="16"/>
              </w:rPr>
              <w:softHyphen/>
              <w:t>борники карбюратора скругленного сечения увеличенного раз</w:t>
            </w:r>
            <w:r w:rsidRPr="00640820">
              <w:rPr>
                <w:rFonts w:ascii="Times New Roman" w:hAnsi="Times New Roman" w:cs="Times New Roman"/>
                <w:color w:val="000000" w:themeColor="text1"/>
                <w:sz w:val="16"/>
                <w:szCs w:val="16"/>
              </w:rPr>
              <w:softHyphen/>
              <w:t>мера, накладная жаропрочная панель на фюзеляже скругленной формы.</w:t>
            </w:r>
          </w:p>
          <w:p w14:paraId="7B0478C3" w14:textId="77777777" w:rsidR="00CD4B4F" w:rsidRPr="00640820" w:rsidRDefault="00CD4B4F"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r w:rsidRPr="00640820">
              <w:rPr>
                <w:rStyle w:val="aff7"/>
                <w:rFonts w:ascii="Times New Roman" w:hAnsi="Times New Roman" w:cs="Times New Roman"/>
                <w:b w:val="0"/>
                <w:color w:val="000000" w:themeColor="text1"/>
                <w:spacing w:val="0"/>
                <w:sz w:val="16"/>
                <w:szCs w:val="16"/>
              </w:rPr>
              <w:t>Шасси:</w:t>
            </w:r>
            <w:r w:rsidRPr="00640820">
              <w:rPr>
                <w:rFonts w:ascii="Times New Roman" w:hAnsi="Times New Roman" w:cs="Times New Roman"/>
                <w:color w:val="000000" w:themeColor="text1"/>
                <w:sz w:val="16"/>
                <w:szCs w:val="16"/>
              </w:rPr>
              <w:t xml:space="preserve"> стойки основного шасси увеличены до 650x200 мм и оборудованы щитками-створками, хвостовая опора с колесом 300x125 мм убиралась в нишу без створок (на практике контри</w:t>
            </w:r>
            <w:r w:rsidRPr="00640820">
              <w:rPr>
                <w:rFonts w:ascii="Times New Roman" w:hAnsi="Times New Roman" w:cs="Times New Roman"/>
                <w:color w:val="000000" w:themeColor="text1"/>
                <w:sz w:val="16"/>
                <w:szCs w:val="16"/>
              </w:rPr>
              <w:softHyphen/>
              <w:t>лась в выпущенном положении).</w:t>
            </w:r>
          </w:p>
          <w:p w14:paraId="7599DADB" w14:textId="77777777" w:rsidR="00CD4B4F" w:rsidRPr="00640820" w:rsidRDefault="00CD4B4F"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r w:rsidRPr="00640820">
              <w:rPr>
                <w:rStyle w:val="aff7"/>
                <w:rFonts w:ascii="Times New Roman" w:hAnsi="Times New Roman" w:cs="Times New Roman"/>
                <w:b w:val="0"/>
                <w:color w:val="000000" w:themeColor="text1"/>
                <w:spacing w:val="0"/>
                <w:sz w:val="16"/>
                <w:szCs w:val="16"/>
              </w:rPr>
              <w:t>Оборудование:</w:t>
            </w:r>
            <w:r w:rsidRPr="00640820">
              <w:rPr>
                <w:rFonts w:ascii="Times New Roman" w:hAnsi="Times New Roman" w:cs="Times New Roman"/>
                <w:color w:val="000000" w:themeColor="text1"/>
                <w:sz w:val="16"/>
                <w:szCs w:val="16"/>
              </w:rPr>
              <w:t xml:space="preserve"> радиостанция РСИ-4 (нет на первых самолетах) размещена за бронеспинкой летчика, оснащена антенной мач</w:t>
            </w:r>
            <w:r w:rsidRPr="00640820">
              <w:rPr>
                <w:rFonts w:ascii="Times New Roman" w:hAnsi="Times New Roman" w:cs="Times New Roman"/>
                <w:color w:val="000000" w:themeColor="text1"/>
                <w:sz w:val="16"/>
                <w:szCs w:val="16"/>
              </w:rPr>
              <w:softHyphen/>
              <w:t xml:space="preserve">той на фюзеляже и тросовой антенной (на ряде самолетов на киле была малая антенная мачта), посадочная фара на левой консоли крыла, стальная 8,6-мм бронеспинка, прицел ПБП-1, по 2 навигационных огня (сверху и снизу) на консоли крыла. </w:t>
            </w:r>
            <w:r w:rsidRPr="00640820">
              <w:rPr>
                <w:rStyle w:val="aff7"/>
                <w:rFonts w:ascii="Times New Roman" w:hAnsi="Times New Roman" w:cs="Times New Roman"/>
                <w:b w:val="0"/>
                <w:color w:val="000000" w:themeColor="text1"/>
                <w:spacing w:val="0"/>
                <w:sz w:val="16"/>
                <w:szCs w:val="16"/>
              </w:rPr>
              <w:t>Вооружение:</w:t>
            </w:r>
            <w:r w:rsidRPr="00640820">
              <w:rPr>
                <w:rFonts w:ascii="Times New Roman" w:hAnsi="Times New Roman" w:cs="Times New Roman"/>
                <w:color w:val="000000" w:themeColor="text1"/>
                <w:sz w:val="16"/>
                <w:szCs w:val="16"/>
              </w:rPr>
              <w:t xml:space="preserve"> аналогично И-301-2 по составу с боезапасом по 220 патронов на пулеметы УБ и УБС и по 325 патронов — на Ш</w:t>
            </w:r>
            <w:r w:rsidRPr="00640820">
              <w:rPr>
                <w:rFonts w:ascii="Times New Roman" w:hAnsi="Times New Roman" w:cs="Times New Roman"/>
                <w:color w:val="000000" w:themeColor="text1"/>
                <w:sz w:val="16"/>
                <w:szCs w:val="16"/>
                <w:lang w:val="en-US"/>
              </w:rPr>
              <w:t>KAC</w:t>
            </w:r>
            <w:r w:rsidRPr="00640820">
              <w:rPr>
                <w:rFonts w:ascii="Times New Roman" w:hAnsi="Times New Roman" w:cs="Times New Roman"/>
                <w:color w:val="000000" w:themeColor="text1"/>
                <w:sz w:val="16"/>
                <w:szCs w:val="16"/>
              </w:rPr>
              <w:t>.</w:t>
            </w:r>
          </w:p>
        </w:tc>
      </w:tr>
      <w:tr w:rsidR="006B0687" w:rsidRPr="00640820" w14:paraId="6725F873" w14:textId="77777777" w:rsidTr="00DE7CDD">
        <w:trPr>
          <w:trHeight w:val="1967"/>
        </w:trPr>
        <w:tc>
          <w:tcPr>
            <w:tcW w:w="1680" w:type="dxa"/>
            <w:tcBorders>
              <w:top w:val="single" w:sz="4" w:space="0" w:color="auto"/>
              <w:left w:val="single" w:sz="4" w:space="0" w:color="auto"/>
              <w:bottom w:val="single" w:sz="4" w:space="0" w:color="auto"/>
              <w:right w:val="single" w:sz="4" w:space="0" w:color="auto"/>
            </w:tcBorders>
            <w:shd w:val="clear" w:color="auto" w:fill="FFFFFF"/>
          </w:tcPr>
          <w:p w14:paraId="5731BD01" w14:textId="77777777" w:rsidR="00CD4B4F" w:rsidRPr="00640820" w:rsidRDefault="00CD4B4F"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ЛаГГ-3</w:t>
            </w:r>
          </w:p>
          <w:p w14:paraId="2A2CA708" w14:textId="77777777" w:rsidR="00CD4B4F" w:rsidRPr="00640820" w:rsidRDefault="00CD4B4F"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с 4-й по 7-ю серии</w:t>
            </w:r>
          </w:p>
        </w:tc>
        <w:tc>
          <w:tcPr>
            <w:tcW w:w="8820" w:type="dxa"/>
            <w:tcBorders>
              <w:top w:val="single" w:sz="4" w:space="0" w:color="auto"/>
              <w:left w:val="single" w:sz="4" w:space="0" w:color="auto"/>
              <w:bottom w:val="single" w:sz="4" w:space="0" w:color="auto"/>
              <w:right w:val="single" w:sz="4" w:space="0" w:color="auto"/>
            </w:tcBorders>
            <w:shd w:val="clear" w:color="auto" w:fill="FFFFFF"/>
          </w:tcPr>
          <w:p w14:paraId="0E10A551" w14:textId="77777777" w:rsidR="00CD4B4F" w:rsidRPr="00640820" w:rsidRDefault="00CD4B4F"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r w:rsidRPr="00640820">
              <w:rPr>
                <w:rStyle w:val="aff7"/>
                <w:rFonts w:ascii="Times New Roman" w:hAnsi="Times New Roman" w:cs="Times New Roman"/>
                <w:b w:val="0"/>
                <w:color w:val="000000" w:themeColor="text1"/>
                <w:spacing w:val="0"/>
                <w:sz w:val="16"/>
                <w:szCs w:val="16"/>
              </w:rPr>
              <w:t>Планер:</w:t>
            </w:r>
            <w:r w:rsidRPr="00640820">
              <w:rPr>
                <w:rFonts w:ascii="Times New Roman" w:hAnsi="Times New Roman" w:cs="Times New Roman"/>
                <w:color w:val="000000" w:themeColor="text1"/>
                <w:sz w:val="16"/>
                <w:szCs w:val="16"/>
              </w:rPr>
              <w:t xml:space="preserve"> руль направления только с верхним балансиром (на ряде самолетов два балансира сохранялись), изменена капоти- ровка мотора по правому борту (в зоне снятого пулемета БС). </w:t>
            </w:r>
            <w:r w:rsidRPr="00640820">
              <w:rPr>
                <w:rStyle w:val="aff7"/>
                <w:rFonts w:ascii="Times New Roman" w:hAnsi="Times New Roman" w:cs="Times New Roman"/>
                <w:b w:val="0"/>
                <w:color w:val="000000" w:themeColor="text1"/>
                <w:spacing w:val="0"/>
                <w:sz w:val="16"/>
                <w:szCs w:val="16"/>
              </w:rPr>
              <w:t>Силовая установка:</w:t>
            </w:r>
            <w:r w:rsidRPr="00640820">
              <w:rPr>
                <w:rFonts w:ascii="Times New Roman" w:hAnsi="Times New Roman" w:cs="Times New Roman"/>
                <w:color w:val="000000" w:themeColor="text1"/>
                <w:sz w:val="16"/>
                <w:szCs w:val="16"/>
              </w:rPr>
              <w:t xml:space="preserve"> мотор М-105ПА с винтом ВЙШ-61П, возду</w:t>
            </w:r>
            <w:r w:rsidRPr="00640820">
              <w:rPr>
                <w:rFonts w:ascii="Times New Roman" w:hAnsi="Times New Roman" w:cs="Times New Roman"/>
                <w:color w:val="000000" w:themeColor="text1"/>
                <w:sz w:val="16"/>
                <w:szCs w:val="16"/>
              </w:rPr>
              <w:softHyphen/>
              <w:t>хозаборники карбюратора прямоугольного сечения, накладная жаропрочная панель на фюзеляже конической формы, обтека</w:t>
            </w:r>
            <w:r w:rsidRPr="00640820">
              <w:rPr>
                <w:rFonts w:ascii="Times New Roman" w:hAnsi="Times New Roman" w:cs="Times New Roman"/>
                <w:color w:val="000000" w:themeColor="text1"/>
                <w:sz w:val="16"/>
                <w:szCs w:val="16"/>
              </w:rPr>
              <w:softHyphen/>
              <w:t>тель маслорадиатора уменьшенного поперечного сечения. Спе</w:t>
            </w:r>
            <w:r w:rsidRPr="00640820">
              <w:rPr>
                <w:rFonts w:ascii="Times New Roman" w:hAnsi="Times New Roman" w:cs="Times New Roman"/>
                <w:color w:val="000000" w:themeColor="text1"/>
                <w:sz w:val="16"/>
                <w:szCs w:val="16"/>
              </w:rPr>
              <w:softHyphen/>
              <w:t xml:space="preserve">реди на валу винта устанавливался храповик для стартера. </w:t>
            </w:r>
            <w:r w:rsidRPr="00640820">
              <w:rPr>
                <w:rStyle w:val="aff7"/>
                <w:rFonts w:ascii="Times New Roman" w:hAnsi="Times New Roman" w:cs="Times New Roman"/>
                <w:b w:val="0"/>
                <w:color w:val="000000" w:themeColor="text1"/>
                <w:spacing w:val="0"/>
                <w:sz w:val="16"/>
                <w:szCs w:val="16"/>
              </w:rPr>
              <w:t>Шасси:</w:t>
            </w:r>
            <w:r w:rsidRPr="00640820">
              <w:rPr>
                <w:rFonts w:ascii="Times New Roman" w:hAnsi="Times New Roman" w:cs="Times New Roman"/>
                <w:color w:val="000000" w:themeColor="text1"/>
                <w:sz w:val="16"/>
                <w:szCs w:val="16"/>
              </w:rPr>
              <w:t xml:space="preserve"> начиная с 6-й серии устанавливались основные колеса размером 650x200 мм (наплыв крыла пока без доработки). </w:t>
            </w:r>
            <w:r w:rsidRPr="00640820">
              <w:rPr>
                <w:rStyle w:val="aff7"/>
                <w:rFonts w:ascii="Times New Roman" w:hAnsi="Times New Roman" w:cs="Times New Roman"/>
                <w:b w:val="0"/>
                <w:color w:val="000000" w:themeColor="text1"/>
                <w:spacing w:val="0"/>
                <w:sz w:val="16"/>
                <w:szCs w:val="16"/>
              </w:rPr>
              <w:t>Топливная система:</w:t>
            </w:r>
            <w:r w:rsidRPr="00640820">
              <w:rPr>
                <w:rFonts w:ascii="Times New Roman" w:hAnsi="Times New Roman" w:cs="Times New Roman"/>
                <w:color w:val="000000" w:themeColor="text1"/>
                <w:sz w:val="16"/>
                <w:szCs w:val="16"/>
              </w:rPr>
              <w:t xml:space="preserve"> три бака (1 в фюзеляже и 4 крыльевых) объемом 405 л.</w:t>
            </w:r>
          </w:p>
          <w:p w14:paraId="2FA2CBE0" w14:textId="77777777" w:rsidR="00CD4B4F" w:rsidRPr="00640820" w:rsidRDefault="00CD4B4F"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r w:rsidRPr="00640820">
              <w:rPr>
                <w:rStyle w:val="aff7"/>
                <w:rFonts w:ascii="Times New Roman" w:hAnsi="Times New Roman" w:cs="Times New Roman"/>
                <w:b w:val="0"/>
                <w:color w:val="000000" w:themeColor="text1"/>
                <w:spacing w:val="0"/>
                <w:sz w:val="16"/>
                <w:szCs w:val="16"/>
              </w:rPr>
              <w:t>Оборудование:</w:t>
            </w:r>
            <w:r w:rsidRPr="00640820">
              <w:rPr>
                <w:rFonts w:ascii="Times New Roman" w:hAnsi="Times New Roman" w:cs="Times New Roman"/>
                <w:color w:val="000000" w:themeColor="text1"/>
                <w:sz w:val="16"/>
                <w:szCs w:val="16"/>
              </w:rPr>
              <w:t xml:space="preserve"> радиостанция РСИ-4 с удлиненной антенной мачтой и тросовой антенной. С 7-й серии радиостанцию пере</w:t>
            </w:r>
            <w:r w:rsidRPr="00640820">
              <w:rPr>
                <w:rFonts w:ascii="Times New Roman" w:hAnsi="Times New Roman" w:cs="Times New Roman"/>
                <w:color w:val="000000" w:themeColor="text1"/>
                <w:sz w:val="16"/>
                <w:szCs w:val="16"/>
              </w:rPr>
              <w:softHyphen/>
              <w:t>несли в хвостовую часть фюзеляжа с организацией люка 420x390 мм по левому борту.</w:t>
            </w:r>
          </w:p>
          <w:p w14:paraId="137413BD" w14:textId="77777777" w:rsidR="00CD4B4F" w:rsidRPr="00640820" w:rsidRDefault="00CD4B4F"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r w:rsidRPr="00640820">
              <w:rPr>
                <w:rStyle w:val="aff7"/>
                <w:rFonts w:ascii="Times New Roman" w:hAnsi="Times New Roman" w:cs="Times New Roman"/>
                <w:b w:val="0"/>
                <w:color w:val="000000" w:themeColor="text1"/>
                <w:spacing w:val="0"/>
                <w:sz w:val="16"/>
                <w:szCs w:val="16"/>
              </w:rPr>
              <w:t>Вооружение:</w:t>
            </w:r>
            <w:r w:rsidRPr="00640820">
              <w:rPr>
                <w:rFonts w:ascii="Times New Roman" w:hAnsi="Times New Roman" w:cs="Times New Roman"/>
                <w:color w:val="000000" w:themeColor="text1"/>
                <w:sz w:val="16"/>
                <w:szCs w:val="16"/>
              </w:rPr>
              <w:t xml:space="preserve"> 1 х20-мм пушка ШВАК с боезапасом 130 (позже — 120) патронов, 1 х 12,7-мм пулемет УБС по левому борту с боеза</w:t>
            </w:r>
            <w:r w:rsidRPr="00640820">
              <w:rPr>
                <w:rFonts w:ascii="Times New Roman" w:hAnsi="Times New Roman" w:cs="Times New Roman"/>
                <w:color w:val="000000" w:themeColor="text1"/>
                <w:sz w:val="16"/>
                <w:szCs w:val="16"/>
              </w:rPr>
              <w:softHyphen/>
              <w:t>пасом 220 (позже — 200) патронов, 2х7,62-мм пулемета ШКАС с боезапасом по 325 патронов.</w:t>
            </w:r>
          </w:p>
        </w:tc>
      </w:tr>
      <w:tr w:rsidR="006B0687" w:rsidRPr="00640820" w14:paraId="7ABC8926" w14:textId="77777777" w:rsidTr="00DE7CDD">
        <w:trPr>
          <w:trHeight w:val="1272"/>
        </w:trPr>
        <w:tc>
          <w:tcPr>
            <w:tcW w:w="1680" w:type="dxa"/>
            <w:tcBorders>
              <w:top w:val="single" w:sz="4" w:space="0" w:color="auto"/>
              <w:left w:val="single" w:sz="4" w:space="0" w:color="auto"/>
              <w:bottom w:val="single" w:sz="4" w:space="0" w:color="auto"/>
              <w:right w:val="single" w:sz="4" w:space="0" w:color="auto"/>
            </w:tcBorders>
            <w:shd w:val="clear" w:color="auto" w:fill="FFFFFF"/>
          </w:tcPr>
          <w:p w14:paraId="36B935DC" w14:textId="77777777" w:rsidR="00CD4B4F" w:rsidRPr="00640820" w:rsidRDefault="00CD4B4F"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ЛаГГ-3</w:t>
            </w:r>
          </w:p>
          <w:p w14:paraId="7A5409D7" w14:textId="77777777" w:rsidR="00CD4B4F" w:rsidRPr="00640820" w:rsidRDefault="00CD4B4F"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с 8-й по 10-ю серии</w:t>
            </w:r>
          </w:p>
        </w:tc>
        <w:tc>
          <w:tcPr>
            <w:tcW w:w="8820" w:type="dxa"/>
            <w:tcBorders>
              <w:top w:val="single" w:sz="4" w:space="0" w:color="auto"/>
              <w:left w:val="single" w:sz="4" w:space="0" w:color="auto"/>
              <w:bottom w:val="single" w:sz="4" w:space="0" w:color="auto"/>
              <w:right w:val="single" w:sz="4" w:space="0" w:color="auto"/>
            </w:tcBorders>
            <w:shd w:val="clear" w:color="auto" w:fill="FFFFFF"/>
          </w:tcPr>
          <w:p w14:paraId="050A83E8" w14:textId="77777777" w:rsidR="00CD4B4F" w:rsidRPr="00640820" w:rsidRDefault="00CD4B4F"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r w:rsidRPr="00640820">
              <w:rPr>
                <w:rStyle w:val="aff7"/>
                <w:rFonts w:ascii="Times New Roman" w:hAnsi="Times New Roman" w:cs="Times New Roman"/>
                <w:b w:val="0"/>
                <w:color w:val="000000" w:themeColor="text1"/>
                <w:spacing w:val="0"/>
                <w:sz w:val="16"/>
                <w:szCs w:val="16"/>
              </w:rPr>
              <w:t>Планер:</w:t>
            </w:r>
            <w:r w:rsidRPr="00640820">
              <w:rPr>
                <w:rFonts w:ascii="Times New Roman" w:hAnsi="Times New Roman" w:cs="Times New Roman"/>
                <w:color w:val="000000" w:themeColor="text1"/>
                <w:sz w:val="16"/>
                <w:szCs w:val="16"/>
              </w:rPr>
              <w:t xml:space="preserve"> изменена капотировка мотора по левому и правому бортам (в зоне снятых пулеметов ШКАС), изменена форма воз</w:t>
            </w:r>
            <w:r w:rsidRPr="00640820">
              <w:rPr>
                <w:rFonts w:ascii="Times New Roman" w:hAnsi="Times New Roman" w:cs="Times New Roman"/>
                <w:color w:val="000000" w:themeColor="text1"/>
                <w:sz w:val="16"/>
                <w:szCs w:val="16"/>
              </w:rPr>
              <w:softHyphen/>
              <w:t xml:space="preserve">духозаборника маслорадиатора, доработан передний наплыв крыла в связи с увеличенными колесами шасси. </w:t>
            </w:r>
            <w:r w:rsidRPr="00640820">
              <w:rPr>
                <w:rStyle w:val="aff7"/>
                <w:rFonts w:ascii="Times New Roman" w:hAnsi="Times New Roman" w:cs="Times New Roman"/>
                <w:b w:val="0"/>
                <w:color w:val="000000" w:themeColor="text1"/>
                <w:spacing w:val="0"/>
                <w:sz w:val="16"/>
                <w:szCs w:val="16"/>
              </w:rPr>
              <w:t>Топливная система:</w:t>
            </w:r>
            <w:r w:rsidRPr="00640820">
              <w:rPr>
                <w:rFonts w:ascii="Times New Roman" w:hAnsi="Times New Roman" w:cs="Times New Roman"/>
                <w:color w:val="000000" w:themeColor="text1"/>
                <w:sz w:val="16"/>
                <w:szCs w:val="16"/>
              </w:rPr>
              <w:t xml:space="preserve"> три бака (1 в фюзеляже и 2 крыльевых) объемом 340 л.</w:t>
            </w:r>
          </w:p>
          <w:p w14:paraId="7F730610" w14:textId="77777777" w:rsidR="00CD4B4F" w:rsidRPr="00640820" w:rsidRDefault="00CD4B4F"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r w:rsidRPr="00640820">
              <w:rPr>
                <w:rStyle w:val="aff7"/>
                <w:rFonts w:ascii="Times New Roman" w:hAnsi="Times New Roman" w:cs="Times New Roman"/>
                <w:b w:val="0"/>
                <w:color w:val="000000" w:themeColor="text1"/>
                <w:spacing w:val="0"/>
                <w:sz w:val="16"/>
                <w:szCs w:val="16"/>
              </w:rPr>
              <w:t>Вооружение:</w:t>
            </w:r>
            <w:r w:rsidRPr="00640820">
              <w:rPr>
                <w:rFonts w:ascii="Times New Roman" w:hAnsi="Times New Roman" w:cs="Times New Roman"/>
                <w:color w:val="000000" w:themeColor="text1"/>
                <w:sz w:val="16"/>
                <w:szCs w:val="16"/>
              </w:rPr>
              <w:t xml:space="preserve"> 1 х 20-мм пушка ШВАК с боезапасом 120 патронов и один БС. Начиная с 8-й серии, оба пулемета ШКАС сняты. На ряде самолетов установлена 23-мм пушка ВЯ-23. Некоторые са</w:t>
            </w:r>
            <w:r w:rsidRPr="00640820">
              <w:rPr>
                <w:rFonts w:ascii="Times New Roman" w:hAnsi="Times New Roman" w:cs="Times New Roman"/>
                <w:color w:val="000000" w:themeColor="text1"/>
                <w:sz w:val="16"/>
                <w:szCs w:val="16"/>
              </w:rPr>
              <w:softHyphen/>
              <w:t>молеты оборудовали вертикальной фотокамерой АТА-1 в хвосто</w:t>
            </w:r>
            <w:r w:rsidRPr="00640820">
              <w:rPr>
                <w:rFonts w:ascii="Times New Roman" w:hAnsi="Times New Roman" w:cs="Times New Roman"/>
                <w:color w:val="000000" w:themeColor="text1"/>
                <w:sz w:val="16"/>
                <w:szCs w:val="16"/>
              </w:rPr>
              <w:softHyphen/>
              <w:t>вой части фюзеляжа.</w:t>
            </w:r>
          </w:p>
        </w:tc>
      </w:tr>
      <w:tr w:rsidR="006B0687" w:rsidRPr="00640820" w14:paraId="2803C5F5" w14:textId="77777777" w:rsidTr="00DE7CDD">
        <w:trPr>
          <w:trHeight w:val="837"/>
        </w:trPr>
        <w:tc>
          <w:tcPr>
            <w:tcW w:w="1680" w:type="dxa"/>
            <w:tcBorders>
              <w:top w:val="single" w:sz="4" w:space="0" w:color="auto"/>
              <w:left w:val="single" w:sz="4" w:space="0" w:color="auto"/>
              <w:bottom w:val="single" w:sz="4" w:space="0" w:color="auto"/>
              <w:right w:val="single" w:sz="4" w:space="0" w:color="auto"/>
            </w:tcBorders>
            <w:shd w:val="clear" w:color="auto" w:fill="FFFFFF"/>
          </w:tcPr>
          <w:p w14:paraId="2DE66207" w14:textId="77777777" w:rsidR="00CD4B4F" w:rsidRPr="00640820" w:rsidRDefault="00CD4B4F"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ЛаГГ-3 11 -й серии</w:t>
            </w:r>
          </w:p>
        </w:tc>
        <w:tc>
          <w:tcPr>
            <w:tcW w:w="8820" w:type="dxa"/>
            <w:tcBorders>
              <w:top w:val="single" w:sz="4" w:space="0" w:color="auto"/>
              <w:left w:val="single" w:sz="4" w:space="0" w:color="auto"/>
              <w:bottom w:val="single" w:sz="4" w:space="0" w:color="auto"/>
              <w:right w:val="single" w:sz="4" w:space="0" w:color="auto"/>
            </w:tcBorders>
            <w:shd w:val="clear" w:color="auto" w:fill="FFFFFF"/>
          </w:tcPr>
          <w:p w14:paraId="7A4B7DAE" w14:textId="77777777" w:rsidR="00CD4B4F" w:rsidRPr="00640820" w:rsidRDefault="00CD4B4F"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r w:rsidRPr="00640820">
              <w:rPr>
                <w:rStyle w:val="aff7"/>
                <w:rFonts w:ascii="Times New Roman" w:hAnsi="Times New Roman" w:cs="Times New Roman"/>
                <w:b w:val="0"/>
                <w:color w:val="000000" w:themeColor="text1"/>
                <w:spacing w:val="0"/>
                <w:sz w:val="16"/>
                <w:szCs w:val="16"/>
              </w:rPr>
              <w:t>Планер:</w:t>
            </w:r>
            <w:r w:rsidRPr="00640820">
              <w:rPr>
                <w:rFonts w:ascii="Times New Roman" w:hAnsi="Times New Roman" w:cs="Times New Roman"/>
                <w:color w:val="000000" w:themeColor="text1"/>
                <w:sz w:val="16"/>
                <w:szCs w:val="16"/>
              </w:rPr>
              <w:t xml:space="preserve"> сделана более плавной форма задней части обтекателя водяного радиатора под фюзеляжем.</w:t>
            </w:r>
          </w:p>
          <w:p w14:paraId="3D2185EE" w14:textId="77777777" w:rsidR="00CD4B4F" w:rsidRPr="00640820" w:rsidRDefault="00CD4B4F"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r w:rsidRPr="00640820">
              <w:rPr>
                <w:rStyle w:val="aff7"/>
                <w:rFonts w:ascii="Times New Roman" w:hAnsi="Times New Roman" w:cs="Times New Roman"/>
                <w:b w:val="0"/>
                <w:color w:val="000000" w:themeColor="text1"/>
                <w:spacing w:val="0"/>
                <w:sz w:val="16"/>
                <w:szCs w:val="16"/>
              </w:rPr>
              <w:t>Топливная система:</w:t>
            </w:r>
            <w:r w:rsidRPr="00640820">
              <w:rPr>
                <w:rFonts w:ascii="Times New Roman" w:hAnsi="Times New Roman" w:cs="Times New Roman"/>
                <w:color w:val="000000" w:themeColor="text1"/>
                <w:sz w:val="16"/>
                <w:szCs w:val="16"/>
              </w:rPr>
              <w:t xml:space="preserve"> три бака (1 в фюзеляже и 2 крыльевых) объемом 260 л.</w:t>
            </w:r>
          </w:p>
          <w:p w14:paraId="4A1BCFE8" w14:textId="77777777" w:rsidR="00CD4B4F" w:rsidRPr="00640820" w:rsidRDefault="00CD4B4F"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r w:rsidRPr="00640820">
              <w:rPr>
                <w:rStyle w:val="aff7"/>
                <w:rFonts w:ascii="Times New Roman" w:hAnsi="Times New Roman" w:cs="Times New Roman"/>
                <w:b w:val="0"/>
                <w:color w:val="000000" w:themeColor="text1"/>
                <w:spacing w:val="0"/>
                <w:sz w:val="16"/>
                <w:szCs w:val="16"/>
              </w:rPr>
              <w:t>Вооружение:</w:t>
            </w:r>
            <w:r w:rsidRPr="00640820">
              <w:rPr>
                <w:rFonts w:ascii="Times New Roman" w:hAnsi="Times New Roman" w:cs="Times New Roman"/>
                <w:color w:val="000000" w:themeColor="text1"/>
                <w:sz w:val="16"/>
                <w:szCs w:val="16"/>
              </w:rPr>
              <w:t xml:space="preserve"> под каждую консоль крыла установлены по одному бомбодержателю ДЗ-40 и по три направляющие для РС-82. Возможна установка двух ПТБ по 80 л (на держателях ДЗ-40).</w:t>
            </w:r>
          </w:p>
        </w:tc>
      </w:tr>
      <w:tr w:rsidR="006B0687" w:rsidRPr="00640820" w14:paraId="14582807" w14:textId="77777777" w:rsidTr="00DE7CDD">
        <w:trPr>
          <w:trHeight w:val="835"/>
        </w:trPr>
        <w:tc>
          <w:tcPr>
            <w:tcW w:w="1680" w:type="dxa"/>
            <w:tcBorders>
              <w:top w:val="single" w:sz="4" w:space="0" w:color="auto"/>
              <w:left w:val="single" w:sz="4" w:space="0" w:color="auto"/>
              <w:bottom w:val="single" w:sz="4" w:space="0" w:color="auto"/>
              <w:right w:val="single" w:sz="4" w:space="0" w:color="auto"/>
            </w:tcBorders>
            <w:shd w:val="clear" w:color="auto" w:fill="FFFFFF"/>
          </w:tcPr>
          <w:p w14:paraId="33CE1734" w14:textId="77777777" w:rsidR="00CD4B4F" w:rsidRPr="00640820" w:rsidRDefault="00CD4B4F"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ЛаГГ-3 23-й серии</w:t>
            </w:r>
          </w:p>
        </w:tc>
        <w:tc>
          <w:tcPr>
            <w:tcW w:w="8820" w:type="dxa"/>
            <w:tcBorders>
              <w:top w:val="single" w:sz="4" w:space="0" w:color="auto"/>
              <w:left w:val="single" w:sz="4" w:space="0" w:color="auto"/>
              <w:bottom w:val="single" w:sz="4" w:space="0" w:color="auto"/>
              <w:right w:val="single" w:sz="4" w:space="0" w:color="auto"/>
            </w:tcBorders>
            <w:shd w:val="clear" w:color="auto" w:fill="FFFFFF"/>
          </w:tcPr>
          <w:p w14:paraId="045CFF82" w14:textId="77777777" w:rsidR="00CD4B4F" w:rsidRPr="00640820" w:rsidRDefault="00CD4B4F"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r w:rsidRPr="00640820">
              <w:rPr>
                <w:rStyle w:val="aff7"/>
                <w:rFonts w:ascii="Times New Roman" w:hAnsi="Times New Roman" w:cs="Times New Roman"/>
                <w:b w:val="0"/>
                <w:color w:val="000000" w:themeColor="text1"/>
                <w:spacing w:val="0"/>
                <w:sz w:val="16"/>
                <w:szCs w:val="16"/>
              </w:rPr>
              <w:t>Планер:</w:t>
            </w:r>
            <w:r w:rsidRPr="00640820">
              <w:rPr>
                <w:rFonts w:ascii="Times New Roman" w:hAnsi="Times New Roman" w:cs="Times New Roman"/>
                <w:color w:val="000000" w:themeColor="text1"/>
                <w:sz w:val="16"/>
                <w:szCs w:val="16"/>
              </w:rPr>
              <w:t xml:space="preserve"> применен руль направления с роговой компенсацией. </w:t>
            </w:r>
            <w:r w:rsidRPr="00640820">
              <w:rPr>
                <w:rStyle w:val="aff7"/>
                <w:rFonts w:ascii="Times New Roman" w:hAnsi="Times New Roman" w:cs="Times New Roman"/>
                <w:b w:val="0"/>
                <w:color w:val="000000" w:themeColor="text1"/>
                <w:spacing w:val="0"/>
                <w:sz w:val="16"/>
                <w:szCs w:val="16"/>
              </w:rPr>
              <w:t>Силовая установка:</w:t>
            </w:r>
            <w:r w:rsidRPr="00640820">
              <w:rPr>
                <w:rFonts w:ascii="Times New Roman" w:hAnsi="Times New Roman" w:cs="Times New Roman"/>
                <w:color w:val="000000" w:themeColor="text1"/>
                <w:sz w:val="16"/>
                <w:szCs w:val="16"/>
              </w:rPr>
              <w:t xml:space="preserve"> отогнутая от борта выхлопная труба с общим коллектором. Поздние самолеты получили воздушный винт ВИШ-105СВ с втулкой большего размера и новым коком. </w:t>
            </w:r>
            <w:r w:rsidRPr="00640820">
              <w:rPr>
                <w:rStyle w:val="aff7"/>
                <w:rFonts w:ascii="Times New Roman" w:hAnsi="Times New Roman" w:cs="Times New Roman"/>
                <w:b w:val="0"/>
                <w:color w:val="000000" w:themeColor="text1"/>
                <w:spacing w:val="0"/>
                <w:sz w:val="16"/>
                <w:szCs w:val="16"/>
              </w:rPr>
              <w:t>Топливная система:</w:t>
            </w:r>
            <w:r w:rsidRPr="00640820">
              <w:rPr>
                <w:rFonts w:ascii="Times New Roman" w:hAnsi="Times New Roman" w:cs="Times New Roman"/>
                <w:color w:val="000000" w:themeColor="text1"/>
                <w:sz w:val="16"/>
                <w:szCs w:val="16"/>
              </w:rPr>
              <w:t xml:space="preserve"> три бака (1 в фюзеляже и 2 крыльевых) объемом 340 л.</w:t>
            </w:r>
          </w:p>
          <w:p w14:paraId="7EC2DAFD" w14:textId="77777777" w:rsidR="00CD4B4F" w:rsidRPr="00640820" w:rsidRDefault="00CD4B4F"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r w:rsidRPr="00640820">
              <w:rPr>
                <w:rStyle w:val="aff7"/>
                <w:rFonts w:ascii="Times New Roman" w:hAnsi="Times New Roman" w:cs="Times New Roman"/>
                <w:b w:val="0"/>
                <w:color w:val="000000" w:themeColor="text1"/>
                <w:spacing w:val="0"/>
                <w:sz w:val="16"/>
                <w:szCs w:val="16"/>
              </w:rPr>
              <w:t>Оборудование:</w:t>
            </w:r>
            <w:r w:rsidRPr="00640820">
              <w:rPr>
                <w:rFonts w:ascii="Times New Roman" w:hAnsi="Times New Roman" w:cs="Times New Roman"/>
                <w:color w:val="000000" w:themeColor="text1"/>
                <w:sz w:val="16"/>
                <w:szCs w:val="16"/>
              </w:rPr>
              <w:t xml:space="preserve"> на киле установлена небольшая мачта антенны.</w:t>
            </w:r>
          </w:p>
        </w:tc>
      </w:tr>
      <w:tr w:rsidR="006B0687" w:rsidRPr="00640820" w14:paraId="1E315174" w14:textId="77777777" w:rsidTr="00DE7CDD">
        <w:trPr>
          <w:trHeight w:val="422"/>
        </w:trPr>
        <w:tc>
          <w:tcPr>
            <w:tcW w:w="1680" w:type="dxa"/>
            <w:tcBorders>
              <w:top w:val="single" w:sz="4" w:space="0" w:color="auto"/>
              <w:left w:val="single" w:sz="4" w:space="0" w:color="auto"/>
              <w:bottom w:val="single" w:sz="4" w:space="0" w:color="auto"/>
              <w:right w:val="single" w:sz="4" w:space="0" w:color="auto"/>
            </w:tcBorders>
            <w:shd w:val="clear" w:color="auto" w:fill="FFFFFF"/>
          </w:tcPr>
          <w:p w14:paraId="150461CC" w14:textId="77777777" w:rsidR="00CD4B4F" w:rsidRPr="00640820" w:rsidRDefault="00CD4B4F"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ЛаГГ-3</w:t>
            </w:r>
          </w:p>
          <w:p w14:paraId="64288D00" w14:textId="77777777" w:rsidR="00CD4B4F" w:rsidRPr="00640820" w:rsidRDefault="00CD4B4F"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29-й - 33-й серий</w:t>
            </w:r>
          </w:p>
        </w:tc>
        <w:tc>
          <w:tcPr>
            <w:tcW w:w="8820" w:type="dxa"/>
            <w:tcBorders>
              <w:top w:val="single" w:sz="4" w:space="0" w:color="auto"/>
              <w:left w:val="single" w:sz="4" w:space="0" w:color="auto"/>
              <w:bottom w:val="single" w:sz="4" w:space="0" w:color="auto"/>
              <w:right w:val="single" w:sz="4" w:space="0" w:color="auto"/>
            </w:tcBorders>
            <w:shd w:val="clear" w:color="auto" w:fill="FFFFFF"/>
          </w:tcPr>
          <w:p w14:paraId="02B61431" w14:textId="77777777" w:rsidR="00CD4B4F" w:rsidRPr="00640820" w:rsidRDefault="00CD4B4F"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r w:rsidRPr="00640820">
              <w:rPr>
                <w:rStyle w:val="aff7"/>
                <w:rFonts w:ascii="Times New Roman" w:hAnsi="Times New Roman" w:cs="Times New Roman"/>
                <w:b w:val="0"/>
                <w:color w:val="000000" w:themeColor="text1"/>
                <w:spacing w:val="0"/>
                <w:sz w:val="16"/>
                <w:szCs w:val="16"/>
              </w:rPr>
              <w:t>Силовая установка:</w:t>
            </w:r>
            <w:r w:rsidRPr="00640820">
              <w:rPr>
                <w:rFonts w:ascii="Times New Roman" w:hAnsi="Times New Roman" w:cs="Times New Roman"/>
                <w:color w:val="000000" w:themeColor="text1"/>
                <w:sz w:val="16"/>
                <w:szCs w:val="16"/>
              </w:rPr>
              <w:t xml:space="preserve"> мотор М-105ПФ с винтом ВИШ-61П (пере</w:t>
            </w:r>
            <w:r w:rsidRPr="00640820">
              <w:rPr>
                <w:rFonts w:ascii="Times New Roman" w:hAnsi="Times New Roman" w:cs="Times New Roman"/>
                <w:color w:val="000000" w:themeColor="text1"/>
                <w:sz w:val="16"/>
                <w:szCs w:val="16"/>
              </w:rPr>
              <w:softHyphen/>
              <w:t>ход на ВИШ-105СВ с 33-й серии), выхлопная система с тремя патрубками вместо одного, накладная жаропрочная панель на фюзеляже в зоне выхлопа удалена.</w:t>
            </w:r>
          </w:p>
        </w:tc>
      </w:tr>
      <w:tr w:rsidR="006B0687" w:rsidRPr="00640820" w14:paraId="01AFCE2B" w14:textId="77777777" w:rsidTr="00DE7CDD">
        <w:trPr>
          <w:trHeight w:val="336"/>
        </w:trPr>
        <w:tc>
          <w:tcPr>
            <w:tcW w:w="1680" w:type="dxa"/>
            <w:tcBorders>
              <w:top w:val="single" w:sz="4" w:space="0" w:color="auto"/>
              <w:left w:val="single" w:sz="4" w:space="0" w:color="auto"/>
              <w:bottom w:val="single" w:sz="4" w:space="0" w:color="auto"/>
              <w:right w:val="single" w:sz="4" w:space="0" w:color="auto"/>
            </w:tcBorders>
            <w:shd w:val="clear" w:color="auto" w:fill="FFFFFF"/>
          </w:tcPr>
          <w:p w14:paraId="650E84B7" w14:textId="77777777" w:rsidR="00CD4B4F" w:rsidRPr="00640820" w:rsidRDefault="00CD4B4F"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ЛаГГ-3 34-й серии</w:t>
            </w:r>
          </w:p>
        </w:tc>
        <w:tc>
          <w:tcPr>
            <w:tcW w:w="8820" w:type="dxa"/>
            <w:tcBorders>
              <w:top w:val="single" w:sz="4" w:space="0" w:color="auto"/>
              <w:left w:val="single" w:sz="4" w:space="0" w:color="auto"/>
              <w:bottom w:val="single" w:sz="4" w:space="0" w:color="auto"/>
              <w:right w:val="single" w:sz="4" w:space="0" w:color="auto"/>
            </w:tcBorders>
            <w:shd w:val="clear" w:color="auto" w:fill="FFFFFF"/>
          </w:tcPr>
          <w:p w14:paraId="79064C73" w14:textId="77777777" w:rsidR="00CD4B4F" w:rsidRPr="00640820" w:rsidRDefault="00CD4B4F"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r w:rsidRPr="00640820">
              <w:rPr>
                <w:rStyle w:val="aff7"/>
                <w:rFonts w:ascii="Times New Roman" w:hAnsi="Times New Roman" w:cs="Times New Roman"/>
                <w:b w:val="0"/>
                <w:color w:val="000000" w:themeColor="text1"/>
                <w:spacing w:val="0"/>
                <w:sz w:val="16"/>
                <w:szCs w:val="16"/>
              </w:rPr>
              <w:t>Вооружение:</w:t>
            </w:r>
            <w:r w:rsidRPr="00640820">
              <w:rPr>
                <w:rFonts w:ascii="Times New Roman" w:hAnsi="Times New Roman" w:cs="Times New Roman"/>
                <w:color w:val="000000" w:themeColor="text1"/>
                <w:sz w:val="16"/>
                <w:szCs w:val="16"/>
              </w:rPr>
              <w:t xml:space="preserve"> вместо пушки ШВАК установлена 37-мм пушка НС-37 с боезапасом 12 снарядов, УБС — боезапас 140 патронов.</w:t>
            </w:r>
          </w:p>
        </w:tc>
      </w:tr>
      <w:tr w:rsidR="006B0687" w:rsidRPr="00640820" w14:paraId="64CDE293" w14:textId="77777777" w:rsidTr="00DE7CDD">
        <w:trPr>
          <w:trHeight w:val="930"/>
        </w:trPr>
        <w:tc>
          <w:tcPr>
            <w:tcW w:w="1680" w:type="dxa"/>
            <w:tcBorders>
              <w:top w:val="single" w:sz="4" w:space="0" w:color="auto"/>
              <w:left w:val="single" w:sz="4" w:space="0" w:color="auto"/>
              <w:bottom w:val="single" w:sz="4" w:space="0" w:color="auto"/>
              <w:right w:val="single" w:sz="4" w:space="0" w:color="auto"/>
            </w:tcBorders>
            <w:shd w:val="clear" w:color="auto" w:fill="FFFFFF"/>
          </w:tcPr>
          <w:p w14:paraId="5084FACC" w14:textId="77777777" w:rsidR="00CD4B4F" w:rsidRPr="00640820" w:rsidRDefault="00CD4B4F"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ЛаГГ-3 35-й серии</w:t>
            </w:r>
          </w:p>
        </w:tc>
        <w:tc>
          <w:tcPr>
            <w:tcW w:w="8820" w:type="dxa"/>
            <w:tcBorders>
              <w:top w:val="single" w:sz="4" w:space="0" w:color="auto"/>
              <w:left w:val="single" w:sz="4" w:space="0" w:color="auto"/>
              <w:bottom w:val="single" w:sz="4" w:space="0" w:color="auto"/>
              <w:right w:val="single" w:sz="4" w:space="0" w:color="auto"/>
            </w:tcBorders>
            <w:shd w:val="clear" w:color="auto" w:fill="FFFFFF"/>
          </w:tcPr>
          <w:p w14:paraId="18964047" w14:textId="77777777" w:rsidR="00CD4B4F" w:rsidRPr="00640820" w:rsidRDefault="00CD4B4F"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r w:rsidRPr="00640820">
              <w:rPr>
                <w:rStyle w:val="aff7"/>
                <w:rFonts w:ascii="Times New Roman" w:hAnsi="Times New Roman" w:cs="Times New Roman"/>
                <w:b w:val="0"/>
                <w:color w:val="000000" w:themeColor="text1"/>
                <w:spacing w:val="0"/>
                <w:sz w:val="16"/>
                <w:szCs w:val="16"/>
              </w:rPr>
              <w:t>Планер:</w:t>
            </w:r>
            <w:r w:rsidRPr="00640820">
              <w:rPr>
                <w:rFonts w:ascii="Times New Roman" w:hAnsi="Times New Roman" w:cs="Times New Roman"/>
                <w:color w:val="000000" w:themeColor="text1"/>
                <w:sz w:val="16"/>
                <w:szCs w:val="16"/>
              </w:rPr>
              <w:t xml:space="preserve"> установлены автоматические предкрылки на консолях крыла, ПВД перенесен с передней кромки правой консоли крыла под крыло.</w:t>
            </w:r>
          </w:p>
          <w:p w14:paraId="572C97F1" w14:textId="77777777" w:rsidR="00CD4B4F" w:rsidRPr="00640820" w:rsidRDefault="00CD4B4F"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r w:rsidRPr="00640820">
              <w:rPr>
                <w:rStyle w:val="aff7"/>
                <w:rFonts w:ascii="Times New Roman" w:hAnsi="Times New Roman" w:cs="Times New Roman"/>
                <w:b w:val="0"/>
                <w:color w:val="000000" w:themeColor="text1"/>
                <w:spacing w:val="0"/>
                <w:sz w:val="16"/>
                <w:szCs w:val="16"/>
              </w:rPr>
              <w:t>Силовая установка:</w:t>
            </w:r>
            <w:r w:rsidRPr="00640820">
              <w:rPr>
                <w:rFonts w:ascii="Times New Roman" w:hAnsi="Times New Roman" w:cs="Times New Roman"/>
                <w:color w:val="000000" w:themeColor="text1"/>
                <w:sz w:val="16"/>
                <w:szCs w:val="16"/>
              </w:rPr>
              <w:t xml:space="preserve"> мотор М-105ПФ с винтом ВИШ-105СВ, вновь изменена форма воздухозаборника маслорадиатора и пе</w:t>
            </w:r>
            <w:r w:rsidRPr="00640820">
              <w:rPr>
                <w:rFonts w:ascii="Times New Roman" w:hAnsi="Times New Roman" w:cs="Times New Roman"/>
                <w:color w:val="000000" w:themeColor="text1"/>
                <w:sz w:val="16"/>
                <w:szCs w:val="16"/>
              </w:rPr>
              <w:softHyphen/>
              <w:t xml:space="preserve">редняя часть обтекателя водяного радиатора. </w:t>
            </w:r>
            <w:r w:rsidRPr="00640820">
              <w:rPr>
                <w:rStyle w:val="aff7"/>
                <w:rFonts w:ascii="Times New Roman" w:hAnsi="Times New Roman" w:cs="Times New Roman"/>
                <w:b w:val="0"/>
                <w:color w:val="000000" w:themeColor="text1"/>
                <w:spacing w:val="0"/>
                <w:sz w:val="16"/>
                <w:szCs w:val="16"/>
              </w:rPr>
              <w:t>Шасси:</w:t>
            </w:r>
            <w:r w:rsidRPr="00640820">
              <w:rPr>
                <w:rFonts w:ascii="Times New Roman" w:hAnsi="Times New Roman" w:cs="Times New Roman"/>
                <w:color w:val="000000" w:themeColor="text1"/>
                <w:sz w:val="16"/>
                <w:szCs w:val="16"/>
              </w:rPr>
              <w:t xml:space="preserve"> ниша хвостовой опоры шасси закрывается выпуклыми створками.</w:t>
            </w:r>
          </w:p>
        </w:tc>
      </w:tr>
      <w:tr w:rsidR="006B0687" w:rsidRPr="00640820" w14:paraId="50A99F73" w14:textId="77777777" w:rsidTr="00DE7CDD">
        <w:trPr>
          <w:trHeight w:val="427"/>
        </w:trPr>
        <w:tc>
          <w:tcPr>
            <w:tcW w:w="1680" w:type="dxa"/>
            <w:tcBorders>
              <w:top w:val="single" w:sz="4" w:space="0" w:color="auto"/>
              <w:left w:val="single" w:sz="4" w:space="0" w:color="auto"/>
              <w:bottom w:val="single" w:sz="4" w:space="0" w:color="auto"/>
              <w:right w:val="single" w:sz="4" w:space="0" w:color="auto"/>
            </w:tcBorders>
            <w:shd w:val="clear" w:color="auto" w:fill="FFFFFF"/>
          </w:tcPr>
          <w:p w14:paraId="4979FC11" w14:textId="77777777" w:rsidR="00CD4B4F" w:rsidRPr="00640820" w:rsidRDefault="00CD4B4F"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ЛаГГ-3 66-й серии</w:t>
            </w:r>
          </w:p>
        </w:tc>
        <w:tc>
          <w:tcPr>
            <w:tcW w:w="8820" w:type="dxa"/>
            <w:tcBorders>
              <w:top w:val="single" w:sz="4" w:space="0" w:color="auto"/>
              <w:left w:val="single" w:sz="4" w:space="0" w:color="auto"/>
              <w:bottom w:val="single" w:sz="4" w:space="0" w:color="auto"/>
              <w:right w:val="single" w:sz="4" w:space="0" w:color="auto"/>
            </w:tcBorders>
            <w:shd w:val="clear" w:color="auto" w:fill="FFFFFF"/>
          </w:tcPr>
          <w:p w14:paraId="67C7E9C5" w14:textId="77777777" w:rsidR="00CD4B4F" w:rsidRPr="00640820" w:rsidRDefault="00CD4B4F"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r w:rsidRPr="00640820">
              <w:rPr>
                <w:rStyle w:val="aff7"/>
                <w:rFonts w:ascii="Times New Roman" w:hAnsi="Times New Roman" w:cs="Times New Roman"/>
                <w:b w:val="0"/>
                <w:color w:val="000000" w:themeColor="text1"/>
                <w:spacing w:val="0"/>
                <w:sz w:val="16"/>
                <w:szCs w:val="16"/>
              </w:rPr>
              <w:t>Планер:</w:t>
            </w:r>
            <w:r w:rsidRPr="00640820">
              <w:rPr>
                <w:rFonts w:ascii="Times New Roman" w:hAnsi="Times New Roman" w:cs="Times New Roman"/>
                <w:color w:val="000000" w:themeColor="text1"/>
                <w:sz w:val="16"/>
                <w:szCs w:val="16"/>
              </w:rPr>
              <w:t xml:space="preserve"> облегчен за счет снижения веса моторамы, новый фо</w:t>
            </w:r>
            <w:r w:rsidRPr="00640820">
              <w:rPr>
                <w:rFonts w:ascii="Times New Roman" w:hAnsi="Times New Roman" w:cs="Times New Roman"/>
                <w:color w:val="000000" w:themeColor="text1"/>
                <w:sz w:val="16"/>
                <w:szCs w:val="16"/>
              </w:rPr>
              <w:softHyphen/>
              <w:t>нарь от самолета Ла-5 ранних серий, доработан верх капота мо</w:t>
            </w:r>
            <w:r w:rsidRPr="00640820">
              <w:rPr>
                <w:rFonts w:ascii="Times New Roman" w:hAnsi="Times New Roman" w:cs="Times New Roman"/>
                <w:color w:val="000000" w:themeColor="text1"/>
                <w:sz w:val="16"/>
                <w:szCs w:val="16"/>
              </w:rPr>
              <w:softHyphen/>
              <w:t>тора.</w:t>
            </w:r>
          </w:p>
          <w:p w14:paraId="7B602359" w14:textId="77777777" w:rsidR="00CD4B4F" w:rsidRPr="00640820" w:rsidRDefault="00CD4B4F"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r w:rsidRPr="00640820">
              <w:rPr>
                <w:rStyle w:val="aff7"/>
                <w:rFonts w:ascii="Times New Roman" w:hAnsi="Times New Roman" w:cs="Times New Roman"/>
                <w:b w:val="0"/>
                <w:color w:val="000000" w:themeColor="text1"/>
                <w:spacing w:val="0"/>
                <w:sz w:val="16"/>
                <w:szCs w:val="16"/>
              </w:rPr>
              <w:t>Силовая установка:</w:t>
            </w:r>
            <w:r w:rsidRPr="00640820">
              <w:rPr>
                <w:rFonts w:ascii="Times New Roman" w:hAnsi="Times New Roman" w:cs="Times New Roman"/>
                <w:color w:val="000000" w:themeColor="text1"/>
                <w:sz w:val="16"/>
                <w:szCs w:val="16"/>
              </w:rPr>
              <w:t xml:space="preserve"> выхлопной коллектор из четырех патрубков и воздухозаборник маслорадиатора унифицированы с Як-1 Б, воздухозаборники карбюратора овальной формы, изменена форма воздухозаборника обтекателя маслорадиатора, форма обтекателя водяного радиатора подобна самолетам ранних се</w:t>
            </w:r>
            <w:r w:rsidRPr="00640820">
              <w:rPr>
                <w:rFonts w:ascii="Times New Roman" w:hAnsi="Times New Roman" w:cs="Times New Roman"/>
                <w:color w:val="000000" w:themeColor="text1"/>
                <w:sz w:val="16"/>
                <w:szCs w:val="16"/>
              </w:rPr>
              <w:softHyphen/>
              <w:t>рий выпуска.</w:t>
            </w:r>
          </w:p>
          <w:p w14:paraId="3239060B" w14:textId="77777777" w:rsidR="00CD4B4F" w:rsidRPr="00640820" w:rsidRDefault="00CD4B4F"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r w:rsidRPr="00640820">
              <w:rPr>
                <w:rStyle w:val="aff7"/>
                <w:rFonts w:ascii="Times New Roman" w:hAnsi="Times New Roman" w:cs="Times New Roman"/>
                <w:b w:val="0"/>
                <w:color w:val="000000" w:themeColor="text1"/>
                <w:spacing w:val="0"/>
                <w:sz w:val="16"/>
                <w:szCs w:val="16"/>
              </w:rPr>
              <w:t>Оборудование:</w:t>
            </w:r>
            <w:r w:rsidRPr="00640820">
              <w:rPr>
                <w:rFonts w:ascii="Times New Roman" w:hAnsi="Times New Roman" w:cs="Times New Roman"/>
                <w:color w:val="000000" w:themeColor="text1"/>
                <w:sz w:val="16"/>
                <w:szCs w:val="16"/>
              </w:rPr>
              <w:t xml:space="preserve"> посадочная фара не устанавливалась. </w:t>
            </w:r>
            <w:r w:rsidRPr="00640820">
              <w:rPr>
                <w:rStyle w:val="aff7"/>
                <w:rFonts w:ascii="Times New Roman" w:hAnsi="Times New Roman" w:cs="Times New Roman"/>
                <w:b w:val="0"/>
                <w:color w:val="000000" w:themeColor="text1"/>
                <w:spacing w:val="0"/>
                <w:sz w:val="16"/>
                <w:szCs w:val="16"/>
              </w:rPr>
              <w:t>Вооружение:</w:t>
            </w:r>
            <w:r w:rsidRPr="00640820">
              <w:rPr>
                <w:rFonts w:ascii="Times New Roman" w:hAnsi="Times New Roman" w:cs="Times New Roman"/>
                <w:color w:val="000000" w:themeColor="text1"/>
                <w:sz w:val="16"/>
                <w:szCs w:val="16"/>
              </w:rPr>
              <w:t xml:space="preserve"> доработанные бомбодержатели с уменьшенным сопротивлением.</w:t>
            </w:r>
          </w:p>
        </w:tc>
      </w:tr>
    </w:tbl>
    <w:p w14:paraId="1656D53F" w14:textId="77777777" w:rsidR="00CD4B4F" w:rsidRPr="00640820" w:rsidRDefault="00CD4B4F"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p>
    <w:p w14:paraId="4527B843" w14:textId="2A43CC45" w:rsidR="00643896" w:rsidRPr="00640820" w:rsidRDefault="00643896" w:rsidP="00640820">
      <w:pPr>
        <w:autoSpaceDE w:val="0"/>
        <w:autoSpaceDN w:val="0"/>
        <w:adjustRightInd w:val="0"/>
        <w:spacing w:after="0" w:line="240" w:lineRule="auto"/>
        <w:jc w:val="both"/>
        <w:rPr>
          <w:rFonts w:ascii="Times New Roman" w:hAnsi="Times New Roman"/>
          <w:i/>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3D24C64A" w14:textId="77777777" w:rsidR="00643896" w:rsidRPr="00640820" w:rsidRDefault="00643896" w:rsidP="00640820">
      <w:pPr>
        <w:autoSpaceDE w:val="0"/>
        <w:autoSpaceDN w:val="0"/>
        <w:adjustRightInd w:val="0"/>
        <w:spacing w:after="0" w:line="240" w:lineRule="auto"/>
        <w:jc w:val="both"/>
        <w:rPr>
          <w:rFonts w:ascii="Times New Roman" w:hAnsi="Times New Roman"/>
          <w:i/>
          <w:iCs/>
          <w:color w:val="000000" w:themeColor="text1"/>
          <w:sz w:val="16"/>
          <w:szCs w:val="16"/>
        </w:rPr>
      </w:pPr>
    </w:p>
    <w:p w14:paraId="35556089" w14:textId="77777777" w:rsidR="00643896" w:rsidRPr="00640820" w:rsidRDefault="00643896"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К началу осени 1941 года артиллерия начала получать камуфляжную окраску. Отчасти камуфляж попал на бронетанковую технику. Центром советского камуфляжа на время стал город Горький. Наносили камуфляж на двух заводах - ГАЗ им. Молотова и завод №92. В последнем случае речь шла о самоходных артиллерийских установках ЗИС-30. Доподлинно известно, что 100% этих машин получило 3-цветную камуфляжную окраску. Кроме того, камуфляж наносился на артиллерийские тягачи ГАЗ-61-416 и командирские автомобили-разведчики ГАЗ-64. Вплоть до перехода на зимний камуфляж эти машины также получали 3-цветный летний камуфляж. При этом на ГАЗ также отмечалась некоторая анархия со схемой нанесения камуфляжа (21189).</w:t>
      </w:r>
    </w:p>
    <w:p w14:paraId="276545BB" w14:textId="77777777" w:rsidR="00643896" w:rsidRPr="00640820" w:rsidRDefault="00643896" w:rsidP="00640820">
      <w:pPr>
        <w:spacing w:after="0" w:line="240" w:lineRule="auto"/>
        <w:jc w:val="both"/>
        <w:rPr>
          <w:rFonts w:ascii="Times New Roman" w:hAnsi="Times New Roman"/>
          <w:color w:val="0070C0"/>
          <w:sz w:val="16"/>
          <w:szCs w:val="16"/>
        </w:rPr>
      </w:pPr>
    </w:p>
    <w:p w14:paraId="218678FA" w14:textId="4A8B73D9" w:rsidR="00643896" w:rsidRPr="00640820" w:rsidRDefault="00643896" w:rsidP="00640820">
      <w:pPr>
        <w:autoSpaceDE w:val="0"/>
        <w:autoSpaceDN w:val="0"/>
        <w:adjustRightInd w:val="0"/>
        <w:spacing w:after="0" w:line="240" w:lineRule="auto"/>
        <w:jc w:val="both"/>
        <w:rPr>
          <w:rFonts w:ascii="Times New Roman" w:hAnsi="Times New Roman"/>
          <w:i/>
          <w:iCs/>
          <w:color w:val="000000" w:themeColor="text1"/>
          <w:sz w:val="16"/>
          <w:szCs w:val="16"/>
        </w:rPr>
      </w:pPr>
      <w:r w:rsidRPr="00640820">
        <w:rPr>
          <w:rFonts w:ascii="Times New Roman" w:hAnsi="Times New Roman"/>
          <w:i/>
          <w:iCs/>
          <w:color w:val="000000" w:themeColor="text1"/>
          <w:sz w:val="16"/>
          <w:szCs w:val="16"/>
        </w:rPr>
        <w:t>За рубежом:</w:t>
      </w:r>
    </w:p>
    <w:p w14:paraId="1346066B" w14:textId="77777777" w:rsidR="00643896" w:rsidRPr="00640820" w:rsidRDefault="00643896" w:rsidP="00640820">
      <w:pPr>
        <w:autoSpaceDE w:val="0"/>
        <w:autoSpaceDN w:val="0"/>
        <w:adjustRightInd w:val="0"/>
        <w:spacing w:after="0" w:line="240" w:lineRule="auto"/>
        <w:jc w:val="both"/>
        <w:rPr>
          <w:rFonts w:ascii="Times New Roman" w:hAnsi="Times New Roman"/>
          <w:i/>
          <w:iCs/>
          <w:color w:val="000000" w:themeColor="text1"/>
          <w:sz w:val="16"/>
          <w:szCs w:val="16"/>
        </w:rPr>
      </w:pPr>
    </w:p>
    <w:p w14:paraId="62E81DCD" w14:textId="77777777" w:rsidR="00643896" w:rsidRPr="00640820" w:rsidRDefault="00643896"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К началу осени 1941 Императорский флот Японии передал все воздушные операции на материковой части Китая Императорской армии Японии (20794).</w:t>
      </w:r>
    </w:p>
    <w:p w14:paraId="7DCC36BB" w14:textId="77777777" w:rsidR="00643896" w:rsidRPr="00640820" w:rsidRDefault="00643896" w:rsidP="00640820">
      <w:pPr>
        <w:spacing w:after="0" w:line="240" w:lineRule="auto"/>
        <w:jc w:val="both"/>
        <w:rPr>
          <w:rFonts w:ascii="Times New Roman" w:hAnsi="Times New Roman"/>
          <w:color w:val="0070C0"/>
          <w:sz w:val="16"/>
          <w:szCs w:val="16"/>
        </w:rPr>
      </w:pPr>
    </w:p>
    <w:p w14:paraId="1C3F9CE4" w14:textId="3EDBD9F9"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4F72A9D9"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CEACD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сентябрю 1941 г. завод № 29 и ОКБ в соответствии с постановлением ГКО № 457сс от 11.08.1941 г. и приказом № 844сс от 12.08.1941 г. эвакуированы в г. Омск на площадку завода № 166 НКАП и завода сельскохозяйственных машин им. Куйбышева (завод № 495 НКАП) и продолжили действовать самостоятельно, заводу переданы склады УГМР. Приказом № 469с от 3.08.1943 г. заводу переданы все сооружения завода № 288 НКАП (кроме ЛИС и территории, временно закрепленной за ОКБ А.Н. Туполева) (10776).</w:t>
      </w:r>
    </w:p>
    <w:p w14:paraId="56DCDE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240C4A3" w14:textId="77777777" w:rsidR="00581130" w:rsidRPr="00640820" w:rsidRDefault="00581130"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39C48877" w14:textId="77777777" w:rsidR="00581130" w:rsidRPr="00640820" w:rsidRDefault="0058113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3B422C2" w14:textId="77777777" w:rsidR="00581130" w:rsidRPr="00640820" w:rsidRDefault="00581130"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lastRenderedPageBreak/>
        <w:t>К сентябрю 1941 года ЧТЗ стало совсем не до КВ-3: после эвакуации в Челябинск Кировского завода ЧТЗ стал единственным производителем КВ-1 (17642).</w:t>
      </w:r>
    </w:p>
    <w:p w14:paraId="70A64B09" w14:textId="77777777" w:rsidR="00581130" w:rsidRPr="00640820" w:rsidRDefault="00581130" w:rsidP="00640820">
      <w:pPr>
        <w:spacing w:after="0" w:line="240" w:lineRule="auto"/>
        <w:jc w:val="both"/>
        <w:rPr>
          <w:rFonts w:ascii="Times New Roman" w:eastAsia="Times New Roman" w:hAnsi="Times New Roman"/>
          <w:color w:val="000000" w:themeColor="text1"/>
          <w:sz w:val="16"/>
          <w:szCs w:val="16"/>
          <w:lang w:eastAsia="ru-RU"/>
        </w:rPr>
      </w:pPr>
    </w:p>
    <w:p w14:paraId="36997AF3"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390E9EA9"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0E97F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 по 15 сентября 1941 г. пушки Ш-37 на Ил-2 испытали на Научно-исследовательском полигоне авиационного вооружения (НИПАВ) ВВС КА. Стрельба из этих пушек производила сильное впечатление мощностью огня и точностью попадания. Хотя летные данные такого самолета заметно снизились по сравнению с обычными Ил-2, а техника пилотирования усложнилась, результаты проведенных осенью 1941 г. госиспытаний Ил-2 с Ш-37 были признаны, в целом, удовлетворительными. 22 сентября С.В.Ильюшин обратился в правительство с предложением вооружить два штурмовых авиаполка Ил-2 с Ш-37 (9528).</w:t>
      </w:r>
    </w:p>
    <w:p w14:paraId="18D9B7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37351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период с 1 по 15 сентября 1941 вооружение Ил-2 (зав. №181404) ШФК-37 было благополучно испыта</w:t>
      </w:r>
      <w:r w:rsidRPr="00640820">
        <w:rPr>
          <w:rFonts w:ascii="Times New Roman" w:hAnsi="Times New Roman"/>
          <w:color w:val="000000" w:themeColor="text1"/>
          <w:sz w:val="16"/>
          <w:szCs w:val="16"/>
        </w:rPr>
        <w:softHyphen/>
        <w:t>но стрельбой на земле и в воздухе в НИП АВ КА. (6467).</w:t>
      </w:r>
    </w:p>
    <w:p w14:paraId="2A02E2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Проведенные в НИП АВ ВВС КА стрельбы с воздуха из пушки ШФК-37 по трофейной немецкой бронетехнике показали, что снаряд БЗТ-37 обеспечи</w:t>
      </w:r>
      <w:r w:rsidRPr="00640820">
        <w:rPr>
          <w:rFonts w:ascii="Times New Roman" w:hAnsi="Times New Roman"/>
          <w:color w:val="000000" w:themeColor="text1"/>
          <w:sz w:val="16"/>
          <w:szCs w:val="16"/>
        </w:rPr>
        <w:softHyphen/>
        <w:t>вал поражение немецких легких танков типа Pz.38(t) Ausf С и Pz.ll Ausf F с дис</w:t>
      </w:r>
      <w:r w:rsidRPr="00640820">
        <w:rPr>
          <w:rFonts w:ascii="Times New Roman" w:hAnsi="Times New Roman"/>
          <w:color w:val="000000" w:themeColor="text1"/>
          <w:sz w:val="16"/>
          <w:szCs w:val="16"/>
        </w:rPr>
        <w:softHyphen/>
        <w:t>танций до 500 м с любого направления и при любых углах планирования. При</w:t>
      </w:r>
      <w:r w:rsidRPr="00640820">
        <w:rPr>
          <w:rFonts w:ascii="Times New Roman" w:hAnsi="Times New Roman"/>
          <w:color w:val="000000" w:themeColor="text1"/>
          <w:sz w:val="16"/>
          <w:szCs w:val="16"/>
        </w:rPr>
        <w:softHyphen/>
        <w:t>чем попадание снарядов в эти танки давало проломы брони и сквозные про</w:t>
      </w:r>
      <w:r w:rsidRPr="00640820">
        <w:rPr>
          <w:rFonts w:ascii="Times New Roman" w:hAnsi="Times New Roman"/>
          <w:color w:val="000000" w:themeColor="text1"/>
          <w:sz w:val="16"/>
          <w:szCs w:val="16"/>
        </w:rPr>
        <w:softHyphen/>
        <w:t>бития через оба борта корпуса танков.</w:t>
      </w:r>
    </w:p>
    <w:p w14:paraId="4BC1FE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Поражение же средних немецких тан</w:t>
      </w:r>
      <w:r w:rsidRPr="00640820">
        <w:rPr>
          <w:rFonts w:ascii="Times New Roman" w:hAnsi="Times New Roman"/>
          <w:color w:val="000000" w:themeColor="text1"/>
          <w:sz w:val="16"/>
          <w:szCs w:val="16"/>
        </w:rPr>
        <w:softHyphen/>
        <w:t>ков типа StuG III Ausf Е и Pz.lll Ausf G, a также танка Pz.38(t) Ausf Е с усиленным бронированием с толщиной брони на бортах до 30 мм обеспечивалось снаря</w:t>
      </w:r>
      <w:r w:rsidRPr="00640820">
        <w:rPr>
          <w:rFonts w:ascii="Times New Roman" w:hAnsi="Times New Roman"/>
          <w:color w:val="000000" w:themeColor="text1"/>
          <w:sz w:val="16"/>
          <w:szCs w:val="16"/>
        </w:rPr>
        <w:softHyphen/>
        <w:t>дом БЗТ-37 с дистанций не более 500 м, но при углах планирования не более 30</w:t>
      </w:r>
      <w:r w:rsidRPr="00640820">
        <w:rPr>
          <w:rFonts w:ascii="Times New Roman" w:hAnsi="Times New Roman"/>
          <w:color w:val="000000" w:themeColor="text1"/>
          <w:sz w:val="16"/>
          <w:szCs w:val="16"/>
          <w:vertAlign w:val="superscript"/>
        </w:rPr>
        <w:t>е</w:t>
      </w:r>
      <w:r w:rsidRPr="00640820">
        <w:rPr>
          <w:rFonts w:ascii="Times New Roman" w:hAnsi="Times New Roman"/>
          <w:color w:val="000000" w:themeColor="text1"/>
          <w:sz w:val="16"/>
          <w:szCs w:val="16"/>
        </w:rPr>
        <w:t>. При этом атаку танков этих типов необ</w:t>
      </w:r>
      <w:r w:rsidRPr="00640820">
        <w:rPr>
          <w:rFonts w:ascii="Times New Roman" w:hAnsi="Times New Roman"/>
          <w:color w:val="000000" w:themeColor="text1"/>
          <w:sz w:val="16"/>
          <w:szCs w:val="16"/>
        </w:rPr>
        <w:softHyphen/>
        <w:t>ходимо было производить в бок колон</w:t>
      </w:r>
      <w:r w:rsidRPr="00640820">
        <w:rPr>
          <w:rFonts w:ascii="Times New Roman" w:hAnsi="Times New Roman"/>
          <w:color w:val="000000" w:themeColor="text1"/>
          <w:sz w:val="16"/>
          <w:szCs w:val="16"/>
        </w:rPr>
        <w:softHyphen/>
        <w:t>ны или вдоль нее с хвоста, ведя стрель</w:t>
      </w:r>
      <w:r w:rsidRPr="00640820">
        <w:rPr>
          <w:rFonts w:ascii="Times New Roman" w:hAnsi="Times New Roman"/>
          <w:color w:val="000000" w:themeColor="text1"/>
          <w:sz w:val="16"/>
          <w:szCs w:val="16"/>
        </w:rPr>
        <w:softHyphen/>
        <w:t>бу по борту или по задней части корпу</w:t>
      </w:r>
      <w:r w:rsidRPr="00640820">
        <w:rPr>
          <w:rFonts w:ascii="Times New Roman" w:hAnsi="Times New Roman"/>
          <w:color w:val="000000" w:themeColor="text1"/>
          <w:sz w:val="16"/>
          <w:szCs w:val="16"/>
        </w:rPr>
        <w:softHyphen/>
        <w:t>са и башни танков.</w:t>
      </w:r>
    </w:p>
    <w:p w14:paraId="6C4870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испытаниях из 33 прямых попа</w:t>
      </w:r>
      <w:r w:rsidRPr="00640820">
        <w:rPr>
          <w:rFonts w:ascii="Times New Roman" w:hAnsi="Times New Roman"/>
          <w:color w:val="000000" w:themeColor="text1"/>
          <w:sz w:val="16"/>
          <w:szCs w:val="16"/>
        </w:rPr>
        <w:softHyphen/>
        <w:t>даний в средний танк Pz.lll Ausf G и лег</w:t>
      </w:r>
      <w:r w:rsidRPr="00640820">
        <w:rPr>
          <w:rFonts w:ascii="Times New Roman" w:hAnsi="Times New Roman"/>
          <w:color w:val="000000" w:themeColor="text1"/>
          <w:sz w:val="16"/>
          <w:szCs w:val="16"/>
        </w:rPr>
        <w:softHyphen/>
        <w:t>кие танки Pz.ll Ausf F и Pz.38(t) Ausf С имели место только 24 пробоины, из которых 17 пробоин оказались в броне толщиной 30 мм, 1 рикошет от 16-мм брони, когда угол встречи снаряда с броней составил 75-80°, и остальные пробоины - в 15-16-мм броне. При этом 51,5% попаданий снарядов пушки ШФК-37 по среднему танку и 70% попаданий по легкому танку выводили их из строя.</w:t>
      </w:r>
    </w:p>
    <w:p w14:paraId="321C77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Попадания 37-мм снарядов в ролики, колеса и другие детали ходовой части танков наносили им существенные раз</w:t>
      </w:r>
      <w:r w:rsidRPr="00640820">
        <w:rPr>
          <w:rFonts w:ascii="Times New Roman" w:hAnsi="Times New Roman"/>
          <w:color w:val="000000" w:themeColor="text1"/>
          <w:sz w:val="16"/>
          <w:szCs w:val="16"/>
        </w:rPr>
        <w:softHyphen/>
        <w:t>рушения, как правило, выводящие танк из строя.</w:t>
      </w:r>
    </w:p>
    <w:p w14:paraId="09106D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отчете по полигонным испытаниям пушек ШФК-37 на самолете Ил-2 особо отмечалось, что летный состав должен быть хорошо натренирован в ведении прицельного огня короткими очередя</w:t>
      </w:r>
      <w:r w:rsidRPr="00640820">
        <w:rPr>
          <w:rFonts w:ascii="Times New Roman" w:hAnsi="Times New Roman"/>
          <w:color w:val="000000" w:themeColor="text1"/>
          <w:sz w:val="16"/>
          <w:szCs w:val="16"/>
        </w:rPr>
        <w:softHyphen/>
        <w:t>ми (2-3 снаряда в очереди) по мало</w:t>
      </w:r>
      <w:r w:rsidRPr="00640820">
        <w:rPr>
          <w:rFonts w:ascii="Times New Roman" w:hAnsi="Times New Roman"/>
          <w:color w:val="000000" w:themeColor="text1"/>
          <w:sz w:val="16"/>
          <w:szCs w:val="16"/>
        </w:rPr>
        <w:softHyphen/>
        <w:t>размерным целям типа отдельный танк, автомашина и т.д. То есть для успешно</w:t>
      </w:r>
      <w:r w:rsidRPr="00640820">
        <w:rPr>
          <w:rFonts w:ascii="Times New Roman" w:hAnsi="Times New Roman"/>
          <w:color w:val="000000" w:themeColor="text1"/>
          <w:sz w:val="16"/>
          <w:szCs w:val="16"/>
        </w:rPr>
        <w:softHyphen/>
        <w:t>го применения Ил-2 с пушками ШФК-37 летчик-штурмовик должен был иметь отличную стрелковую и летную подго</w:t>
      </w:r>
      <w:r w:rsidRPr="00640820">
        <w:rPr>
          <w:rFonts w:ascii="Times New Roman" w:hAnsi="Times New Roman"/>
          <w:color w:val="000000" w:themeColor="text1"/>
          <w:sz w:val="16"/>
          <w:szCs w:val="16"/>
        </w:rPr>
        <w:softHyphen/>
        <w:t>товку.</w:t>
      </w:r>
    </w:p>
    <w:p w14:paraId="564FC0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Дело в том, что прицельная стрельба из пушек ШФК-37 на самолете Ил-2 была в значительной степени затрудне</w:t>
      </w:r>
      <w:r w:rsidRPr="00640820">
        <w:rPr>
          <w:rFonts w:ascii="Times New Roman" w:hAnsi="Times New Roman"/>
          <w:color w:val="000000" w:themeColor="text1"/>
          <w:sz w:val="16"/>
          <w:szCs w:val="16"/>
        </w:rPr>
        <w:softHyphen/>
        <w:t>на вследствие сильной отдачи пушек при стрельбе и несинхронности в их работе. Последнее, из-за большого раз</w:t>
      </w:r>
      <w:r w:rsidRPr="00640820">
        <w:rPr>
          <w:rFonts w:ascii="Times New Roman" w:hAnsi="Times New Roman"/>
          <w:color w:val="000000" w:themeColor="text1"/>
          <w:sz w:val="16"/>
          <w:szCs w:val="16"/>
        </w:rPr>
        <w:softHyphen/>
        <w:t>носа пушек относительно центра масс самолета, а также вследствие недостаточной жесткости крепления пушечной установки, приводило к тому, что штур</w:t>
      </w:r>
      <w:r w:rsidRPr="00640820">
        <w:rPr>
          <w:rFonts w:ascii="Times New Roman" w:hAnsi="Times New Roman"/>
          <w:color w:val="000000" w:themeColor="text1"/>
          <w:sz w:val="16"/>
          <w:szCs w:val="16"/>
        </w:rPr>
        <w:softHyphen/>
        <w:t>мовик при стрельбе испытывал сильные толчки, "клевки" и сбивался с линии прицеливания, а это в свою очередь, с учетом недостаточной продольной ус</w:t>
      </w:r>
      <w:r w:rsidRPr="00640820">
        <w:rPr>
          <w:rFonts w:ascii="Times New Roman" w:hAnsi="Times New Roman"/>
          <w:color w:val="000000" w:themeColor="text1"/>
          <w:sz w:val="16"/>
          <w:szCs w:val="16"/>
        </w:rPr>
        <w:softHyphen/>
        <w:t>тойчивости "Ила", приводило к значи</w:t>
      </w:r>
      <w:r w:rsidRPr="00640820">
        <w:rPr>
          <w:rFonts w:ascii="Times New Roman" w:hAnsi="Times New Roman"/>
          <w:color w:val="000000" w:themeColor="text1"/>
          <w:sz w:val="16"/>
          <w:szCs w:val="16"/>
        </w:rPr>
        <w:softHyphen/>
        <w:t>тельному рассеиванию снарядов и рез</w:t>
      </w:r>
      <w:r w:rsidRPr="00640820">
        <w:rPr>
          <w:rFonts w:ascii="Times New Roman" w:hAnsi="Times New Roman"/>
          <w:color w:val="000000" w:themeColor="text1"/>
          <w:sz w:val="16"/>
          <w:szCs w:val="16"/>
        </w:rPr>
        <w:softHyphen/>
        <w:t>кому снижению (примерно в 4 раза) точ</w:t>
      </w:r>
      <w:r w:rsidRPr="00640820">
        <w:rPr>
          <w:rFonts w:ascii="Times New Roman" w:hAnsi="Times New Roman"/>
          <w:color w:val="000000" w:themeColor="text1"/>
          <w:sz w:val="16"/>
          <w:szCs w:val="16"/>
        </w:rPr>
        <w:softHyphen/>
        <w:t>ности стрельбы.</w:t>
      </w:r>
    </w:p>
    <w:p w14:paraId="4C9BFF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Стрельба же из одной пушки была совершенно невозможной. Штурмовик сразу же разворачивался в сторону стреляющей пушки так, что ввести по</w:t>
      </w:r>
      <w:r w:rsidRPr="00640820">
        <w:rPr>
          <w:rFonts w:ascii="Times New Roman" w:hAnsi="Times New Roman"/>
          <w:color w:val="000000" w:themeColor="text1"/>
          <w:sz w:val="16"/>
          <w:szCs w:val="16"/>
        </w:rPr>
        <w:softHyphen/>
        <w:t>правку в прицеливание не представля</w:t>
      </w:r>
      <w:r w:rsidRPr="00640820">
        <w:rPr>
          <w:rFonts w:ascii="Times New Roman" w:hAnsi="Times New Roman"/>
          <w:color w:val="000000" w:themeColor="text1"/>
          <w:sz w:val="16"/>
          <w:szCs w:val="16"/>
        </w:rPr>
        <w:softHyphen/>
        <w:t>лось возможным. Попадание в цель в этом случае могло быть только первым снарядом.</w:t>
      </w:r>
    </w:p>
    <w:p w14:paraId="17B135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Тем не менее, общий вывод по испы</w:t>
      </w:r>
      <w:r w:rsidRPr="00640820">
        <w:rPr>
          <w:rFonts w:ascii="Times New Roman" w:hAnsi="Times New Roman"/>
          <w:color w:val="000000" w:themeColor="text1"/>
          <w:sz w:val="16"/>
          <w:szCs w:val="16"/>
        </w:rPr>
        <w:softHyphen/>
        <w:t>таниям состоял в том, что штурмовик Ил-2 с пушками ШФК-37 является эффек</w:t>
      </w:r>
      <w:r w:rsidRPr="00640820">
        <w:rPr>
          <w:rFonts w:ascii="Times New Roman" w:hAnsi="Times New Roman"/>
          <w:color w:val="000000" w:themeColor="text1"/>
          <w:sz w:val="16"/>
          <w:szCs w:val="16"/>
        </w:rPr>
        <w:softHyphen/>
        <w:t>тивным средством борьбы с немецки</w:t>
      </w:r>
      <w:r w:rsidRPr="00640820">
        <w:rPr>
          <w:rFonts w:ascii="Times New Roman" w:hAnsi="Times New Roman"/>
          <w:color w:val="000000" w:themeColor="text1"/>
          <w:sz w:val="16"/>
          <w:szCs w:val="16"/>
        </w:rPr>
        <w:softHyphen/>
        <w:t>ми легкими и средними танками. Реко</w:t>
      </w:r>
      <w:r w:rsidRPr="00640820">
        <w:rPr>
          <w:rFonts w:ascii="Times New Roman" w:hAnsi="Times New Roman"/>
          <w:color w:val="000000" w:themeColor="text1"/>
          <w:sz w:val="16"/>
          <w:szCs w:val="16"/>
        </w:rPr>
        <w:softHyphen/>
        <w:t>мендовалось построить небольшую се</w:t>
      </w:r>
      <w:r w:rsidRPr="00640820">
        <w:rPr>
          <w:rFonts w:ascii="Times New Roman" w:hAnsi="Times New Roman"/>
          <w:color w:val="000000" w:themeColor="text1"/>
          <w:sz w:val="16"/>
          <w:szCs w:val="16"/>
        </w:rPr>
        <w:softHyphen/>
        <w:t>рию таких самолетов для проведения войсковых испытаний и сформировать в полках специальные группы летчиков-штурмовиков, обученных прицельной стрельбе из крупнокалиберных пушек с Ил-2 по наземным целям и натрениро</w:t>
      </w:r>
      <w:r w:rsidRPr="00640820">
        <w:rPr>
          <w:rFonts w:ascii="Times New Roman" w:hAnsi="Times New Roman"/>
          <w:color w:val="000000" w:themeColor="text1"/>
          <w:sz w:val="16"/>
          <w:szCs w:val="16"/>
        </w:rPr>
        <w:softHyphen/>
        <w:t>ванных для борьбы с немецкими танками (6467).</w:t>
      </w:r>
    </w:p>
    <w:p w14:paraId="0470EE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B7D31B3" w14:textId="77777777" w:rsidR="00581130" w:rsidRPr="00640820" w:rsidRDefault="00581130"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1 по 15 сентября 1941 вооружение Ш-37 Ил-2 зав. № 1861704 было благополучно испытано стрельбой на земле и в воздухе в период с (17500).</w:t>
      </w:r>
    </w:p>
    <w:p w14:paraId="0CE897FE" w14:textId="77777777" w:rsidR="00581130" w:rsidRPr="00640820" w:rsidRDefault="00581130"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Программа испытаний включала проверку воз</w:t>
      </w:r>
      <w:r w:rsidRPr="00640820">
        <w:rPr>
          <w:color w:val="000000" w:themeColor="text1"/>
          <w:sz w:val="16"/>
          <w:szCs w:val="16"/>
        </w:rPr>
        <w:softHyphen/>
        <w:t>можности применения 37-мм авиапушки Шпиталь- ного на установках в крыле самолета Ил-2. С этой целью планировалось «проверить прочность кре</w:t>
      </w:r>
      <w:r w:rsidRPr="00640820">
        <w:rPr>
          <w:color w:val="000000" w:themeColor="text1"/>
          <w:sz w:val="16"/>
          <w:szCs w:val="16"/>
        </w:rPr>
        <w:softHyphen/>
        <w:t>пления пушки и определить влияние отдачи на матчасть самолета», оценить «рассеивание и воз</w:t>
      </w:r>
      <w:r w:rsidRPr="00640820">
        <w:rPr>
          <w:color w:val="000000" w:themeColor="text1"/>
          <w:sz w:val="16"/>
          <w:szCs w:val="16"/>
        </w:rPr>
        <w:softHyphen/>
        <w:t>можность ведения прицельной стрельбы как при одной, так и при двух работающих пушках», а также надежность работы автоматики пушек при различ</w:t>
      </w:r>
      <w:r w:rsidRPr="00640820">
        <w:rPr>
          <w:color w:val="000000" w:themeColor="text1"/>
          <w:sz w:val="16"/>
          <w:szCs w:val="16"/>
        </w:rPr>
        <w:softHyphen/>
        <w:t>ных режимах полета. Кроме этого, предполагалось выявить эксплуатационные характеристики пушек и удобство обслуживания (постановка, снятие, за</w:t>
      </w:r>
      <w:r w:rsidRPr="00640820">
        <w:rPr>
          <w:color w:val="000000" w:themeColor="text1"/>
          <w:sz w:val="16"/>
          <w:szCs w:val="16"/>
        </w:rPr>
        <w:softHyphen/>
        <w:t>рядка, разрядка, чистка, перезарядка, устранение задержек и пристрелка).</w:t>
      </w:r>
    </w:p>
    <w:p w14:paraId="521B9768" w14:textId="77777777" w:rsidR="00581130" w:rsidRPr="00640820" w:rsidRDefault="00581130"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Снятие летных характеристик предполагалось выполнить в НИИ ВВС после завершения програм</w:t>
      </w:r>
      <w:r w:rsidRPr="00640820">
        <w:rPr>
          <w:color w:val="000000" w:themeColor="text1"/>
          <w:sz w:val="16"/>
          <w:szCs w:val="16"/>
        </w:rPr>
        <w:softHyphen/>
        <w:t>мы полигонных испытаний пушек.</w:t>
      </w:r>
    </w:p>
    <w:p w14:paraId="078C4A19" w14:textId="77777777" w:rsidR="00581130" w:rsidRPr="00640820" w:rsidRDefault="00581130"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Помимо специалистов НИП АВ ВС, в комиссию по испытаниям вошли: от ГУ ВВС — начальник опытного отдела 12-го Управления ГУ ВВС военин- женер 1-го ранга Матаев, от ОКБ-15 — инженеры Разгильдеев и Бортновский, от завода № 39 — ин</w:t>
      </w:r>
      <w:r w:rsidRPr="00640820">
        <w:rPr>
          <w:color w:val="000000" w:themeColor="text1"/>
          <w:sz w:val="16"/>
          <w:szCs w:val="16"/>
        </w:rPr>
        <w:softHyphen/>
        <w:t>женеры Буксанов и Певзнер. Ответственным испол</w:t>
      </w:r>
      <w:r w:rsidRPr="00640820">
        <w:rPr>
          <w:color w:val="000000" w:themeColor="text1"/>
          <w:sz w:val="16"/>
          <w:szCs w:val="16"/>
        </w:rPr>
        <w:softHyphen/>
        <w:t>нителем по испытаниям был назначен военинженер 2-го ранга Филиппов. Самолет облетали: младший политрук Лябихов, помощник 2-го научного отдела капитан Слуцков и командир 1-й эскадрильи майор Звонарев.</w:t>
      </w:r>
    </w:p>
    <w:p w14:paraId="2C036857" w14:textId="77777777" w:rsidR="00581130" w:rsidRPr="00640820" w:rsidRDefault="00581130"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Документация и запчасти на пушку не предъяв</w:t>
      </w:r>
      <w:r w:rsidRPr="00640820">
        <w:rPr>
          <w:color w:val="000000" w:themeColor="text1"/>
          <w:sz w:val="16"/>
          <w:szCs w:val="16"/>
        </w:rPr>
        <w:softHyphen/>
        <w:t>лялись. Необходимые для замены запчасти к пуш</w:t>
      </w:r>
      <w:r w:rsidRPr="00640820">
        <w:rPr>
          <w:color w:val="000000" w:themeColor="text1"/>
          <w:sz w:val="16"/>
          <w:szCs w:val="16"/>
        </w:rPr>
        <w:softHyphen/>
        <w:t>кам привозились ОКБ-15 и подгонялись непосред</w:t>
      </w:r>
      <w:r w:rsidRPr="00640820">
        <w:rPr>
          <w:color w:val="000000" w:themeColor="text1"/>
          <w:sz w:val="16"/>
          <w:szCs w:val="16"/>
        </w:rPr>
        <w:softHyphen/>
        <w:t>ственно в ходе испытаний. При этом «пушка № 4 увозилась в ОКБ-15 для ремонта и подгонки дета</w:t>
      </w:r>
      <w:r w:rsidRPr="00640820">
        <w:rPr>
          <w:color w:val="000000" w:themeColor="text1"/>
          <w:sz w:val="16"/>
          <w:szCs w:val="16"/>
        </w:rPr>
        <w:softHyphen/>
        <w:t>лей». Стрельба велась лафетопробными и боевыми снарядами. Пушки пристреливались на дистанцию 400 м сходящимся веером. Всего было выполне</w:t>
      </w:r>
      <w:r w:rsidRPr="00640820">
        <w:rPr>
          <w:color w:val="000000" w:themeColor="text1"/>
          <w:sz w:val="16"/>
          <w:szCs w:val="16"/>
        </w:rPr>
        <w:softHyphen/>
        <w:t>но 1189 выстрелов из левой пушки (№ 3) и 1057 выстрелов — из правой пушки (№ 4), в том числе на земле 320 и 239 выстрелов и в воздухе — 869 и 726 выстрелов соответственно. В боекомплект пушки входили бронебойно-трассирующие (БТ-37) и осколочно-зажигательно-трассирующие (ОЗТ-37) снаряды.</w:t>
      </w:r>
    </w:p>
    <w:p w14:paraId="19C6A17B" w14:textId="77777777" w:rsidR="00581130" w:rsidRPr="00640820" w:rsidRDefault="00581130"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Помимо пушек Ш-37, в состав вооружения са</w:t>
      </w:r>
      <w:r w:rsidRPr="00640820">
        <w:rPr>
          <w:color w:val="000000" w:themeColor="text1"/>
          <w:sz w:val="16"/>
          <w:szCs w:val="16"/>
        </w:rPr>
        <w:softHyphen/>
        <w:t>молета Ил-2 зав. № 1861704 входили два пулемета ШКАС (1500 патронов), 8 ракетных орудий РО-82, до 200 кг бомб (только в перегрузку). Бомбы могли подвешиваться на четырех внутренних бомбодер</w:t>
      </w:r>
      <w:r w:rsidRPr="00640820">
        <w:rPr>
          <w:color w:val="000000" w:themeColor="text1"/>
          <w:sz w:val="16"/>
          <w:szCs w:val="16"/>
        </w:rPr>
        <w:softHyphen/>
        <w:t>жателях типа Дер-19 и двух наружных типа Дер-31.</w:t>
      </w:r>
    </w:p>
    <w:p w14:paraId="742DB749" w14:textId="77777777" w:rsidR="00581130" w:rsidRPr="00640820" w:rsidRDefault="00581130"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По сравнению с моторной пушкой МПШ-37 «на установке самолета ЛаГГ-3, принятой к изготовле</w:t>
      </w:r>
      <w:r w:rsidRPr="00640820">
        <w:rPr>
          <w:color w:val="000000" w:themeColor="text1"/>
          <w:sz w:val="16"/>
          <w:szCs w:val="16"/>
        </w:rPr>
        <w:softHyphen/>
        <w:t>нию в серии», крыльевой вариант пушки Ш-37 имел более короткий ствол, пониженные начальную ско</w:t>
      </w:r>
      <w:r w:rsidRPr="00640820">
        <w:rPr>
          <w:color w:val="000000" w:themeColor="text1"/>
          <w:sz w:val="16"/>
          <w:szCs w:val="16"/>
        </w:rPr>
        <w:softHyphen/>
        <w:t>рость снаряда и темп стрельбы, а также увеличен</w:t>
      </w:r>
      <w:r w:rsidRPr="00640820">
        <w:rPr>
          <w:color w:val="000000" w:themeColor="text1"/>
          <w:sz w:val="16"/>
          <w:szCs w:val="16"/>
        </w:rPr>
        <w:softHyphen/>
        <w:t>ный на 54,5 кг вес.</w:t>
      </w:r>
    </w:p>
    <w:p w14:paraId="18DD4FED" w14:textId="77777777" w:rsidR="00581130" w:rsidRPr="00640820" w:rsidRDefault="00581130"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Вес пушки Ш-37 в крыльевом варианте вместе с магазином (как ее составной части), противоот</w:t>
      </w:r>
      <w:r w:rsidRPr="00640820">
        <w:rPr>
          <w:color w:val="000000" w:themeColor="text1"/>
          <w:sz w:val="16"/>
          <w:szCs w:val="16"/>
        </w:rPr>
        <w:softHyphen/>
        <w:t>катным устройством, механизмом пневмопереза- рядки и электроспуском составлял 252,5 кг. Обтека</w:t>
      </w:r>
      <w:r w:rsidRPr="00640820">
        <w:rPr>
          <w:color w:val="000000" w:themeColor="text1"/>
          <w:sz w:val="16"/>
          <w:szCs w:val="16"/>
        </w:rPr>
        <w:softHyphen/>
        <w:t>тель пушки и элементы крепления установки веси</w:t>
      </w:r>
      <w:r w:rsidRPr="00640820">
        <w:rPr>
          <w:color w:val="000000" w:themeColor="text1"/>
          <w:sz w:val="16"/>
          <w:szCs w:val="16"/>
        </w:rPr>
        <w:softHyphen/>
        <w:t>ли еще 50 кг. Таким образом, общий вес автомата достигал 302,5 кг.</w:t>
      </w:r>
    </w:p>
    <w:p w14:paraId="7D4FF9DB" w14:textId="77777777" w:rsidR="00581130" w:rsidRPr="00640820" w:rsidRDefault="00581130"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Темп стрельбы колебался от 144—150 до 183— 192 выстр./мин. Начальная скорость снарядов из</w:t>
      </w:r>
      <w:r w:rsidRPr="00640820">
        <w:rPr>
          <w:color w:val="000000" w:themeColor="text1"/>
          <w:sz w:val="16"/>
          <w:szCs w:val="16"/>
        </w:rPr>
        <w:softHyphen/>
        <w:t>менялась от 864,5—881 м/с в начале стрельб (на- стрел пушек около 290—320 выстр./мин) до 871,1 — 881,7 м/с после 1000 выстрелов.</w:t>
      </w:r>
    </w:p>
    <w:p w14:paraId="003140B2" w14:textId="77777777" w:rsidR="00581130" w:rsidRPr="00640820" w:rsidRDefault="00581130"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Из-за установки на пушке большого магази</w:t>
      </w:r>
      <w:r w:rsidRPr="00640820">
        <w:rPr>
          <w:color w:val="000000" w:themeColor="text1"/>
          <w:sz w:val="16"/>
          <w:szCs w:val="16"/>
        </w:rPr>
        <w:softHyphen/>
        <w:t>на (на 40 снарядов) ее пришлось сильно опустить вниз относительно строительной плоскости крыла (оси самолета). Это не только усложнило конструк</w:t>
      </w:r>
      <w:r w:rsidRPr="00640820">
        <w:rPr>
          <w:color w:val="000000" w:themeColor="text1"/>
          <w:sz w:val="16"/>
          <w:szCs w:val="16"/>
        </w:rPr>
        <w:softHyphen/>
        <w:t>цию крепления пушки к крылу (пушка крепилась на амортизаторе и при стрельбе перемещалась вместе с магазином), но и потребовало сделать для нее громоздкие, с большим поперечным сечением, обтекатели.</w:t>
      </w:r>
    </w:p>
    <w:p w14:paraId="7C8BA322" w14:textId="77777777" w:rsidR="00581130" w:rsidRPr="00640820" w:rsidRDefault="00581130"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Пушка крепилась к лафету на двух узлах кре</w:t>
      </w:r>
      <w:r w:rsidRPr="00640820">
        <w:rPr>
          <w:color w:val="000000" w:themeColor="text1"/>
          <w:sz w:val="16"/>
          <w:szCs w:val="16"/>
        </w:rPr>
        <w:softHyphen/>
        <w:t>пления — переднем и заднем. При этом заднее крепление являлось основным и при стрельбе воспринимало силу отдачи через противооткат</w:t>
      </w:r>
      <w:r w:rsidRPr="00640820">
        <w:rPr>
          <w:color w:val="000000" w:themeColor="text1"/>
          <w:sz w:val="16"/>
          <w:szCs w:val="16"/>
        </w:rPr>
        <w:softHyphen/>
        <w:t>ное устройство лафета. Переднее крепление было поддерживающим. Магазин пушки, жестко закре</w:t>
      </w:r>
      <w:r w:rsidRPr="00640820">
        <w:rPr>
          <w:color w:val="000000" w:themeColor="text1"/>
          <w:sz w:val="16"/>
          <w:szCs w:val="16"/>
        </w:rPr>
        <w:softHyphen/>
        <w:t>пленный на пушке, при помощи четырехзвенника с карданным соединением крепился к заднему лон</w:t>
      </w:r>
      <w:r w:rsidRPr="00640820">
        <w:rPr>
          <w:color w:val="000000" w:themeColor="text1"/>
          <w:sz w:val="16"/>
          <w:szCs w:val="16"/>
        </w:rPr>
        <w:softHyphen/>
        <w:t>жерону крыла самолета. Весь механизм крепления допускал откат пушки вместе с ящиком питания до 120 мм.</w:t>
      </w:r>
    </w:p>
    <w:p w14:paraId="13FE5195" w14:textId="77777777" w:rsidR="00581130" w:rsidRPr="00640820" w:rsidRDefault="00581130"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После производства 1189 выстрелов из левой пушки (№ 3) и 1057 выстрелов из правой пушки (№ 4) был зафиксирован откат 70—90 мм. Ника</w:t>
      </w:r>
      <w:r w:rsidRPr="00640820">
        <w:rPr>
          <w:color w:val="000000" w:themeColor="text1"/>
          <w:sz w:val="16"/>
          <w:szCs w:val="16"/>
        </w:rPr>
        <w:softHyphen/>
        <w:t>ких повреждений в креплениях и крылах самолета обнаружено не было, «кроме отрыва угольников крепления магазина пушек (были усилены в ходе испытаний)».</w:t>
      </w:r>
    </w:p>
    <w:p w14:paraId="1E8C7728" w14:textId="77777777" w:rsidR="00581130" w:rsidRPr="00640820" w:rsidRDefault="00581130"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Стрельба в воздухе велась по щиту с планиро</w:t>
      </w:r>
      <w:r w:rsidRPr="00640820">
        <w:rPr>
          <w:color w:val="000000" w:themeColor="text1"/>
          <w:sz w:val="16"/>
          <w:szCs w:val="16"/>
        </w:rPr>
        <w:softHyphen/>
        <w:t>вания под углами 10—15° с высоты 25, 50 и 100 м, а под углом пикирования 25—30° — с дальности 400, 600 и 800 м.</w:t>
      </w:r>
    </w:p>
    <w:p w14:paraId="0DC3EB96" w14:textId="77777777" w:rsidR="00581130" w:rsidRPr="00640820" w:rsidRDefault="00581130"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Летчики облета отмечали, что прицельная стрельба в воздухе из пушек Ш-37 возможна как одновременно из двух пушек, так и из одной пуш</w:t>
      </w:r>
      <w:r w:rsidRPr="00640820">
        <w:rPr>
          <w:color w:val="000000" w:themeColor="text1"/>
          <w:sz w:val="16"/>
          <w:szCs w:val="16"/>
        </w:rPr>
        <w:softHyphen/>
        <w:t>ки. При стрельбе из одной пушки самолет сбивался с точки прицеливания. Жесткость крепления пушек обеспечивает вполне удовлетворительное рассеи</w:t>
      </w:r>
      <w:r w:rsidRPr="00640820">
        <w:rPr>
          <w:color w:val="000000" w:themeColor="text1"/>
          <w:sz w:val="16"/>
          <w:szCs w:val="16"/>
        </w:rPr>
        <w:softHyphen/>
        <w:t>вание при стрельбе короткими очередями по 3—4 выстрела в очереди. Увеличение длины очереди, «из-за неравномерности и несинхронности темпа стрельбы, резко сказывается на горизонтальном рассеивании».</w:t>
      </w:r>
    </w:p>
    <w:p w14:paraId="303199DB" w14:textId="77777777" w:rsidR="00581130" w:rsidRPr="00640820" w:rsidRDefault="00581130"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Наиболее удобной и эффективной считалась стрельба под углом пикирования 30° с дистанции 600—800 м. При стрельбе в этих условиях летчики имели «вполне достаточное время для наводки на цель», что позволяло летчикам средней квалифи</w:t>
      </w:r>
      <w:r w:rsidRPr="00640820">
        <w:rPr>
          <w:color w:val="000000" w:themeColor="text1"/>
          <w:sz w:val="16"/>
          <w:szCs w:val="16"/>
        </w:rPr>
        <w:softHyphen/>
        <w:t>кации «дать прицельную очередь 5—7 выстрелов».</w:t>
      </w:r>
    </w:p>
    <w:p w14:paraId="79E84185" w14:textId="77777777" w:rsidR="00581130" w:rsidRPr="00640820" w:rsidRDefault="00581130"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Летчики облета особо отмечали, что летный состав должен быть хорошо натренирован в веде</w:t>
      </w:r>
      <w:r w:rsidRPr="00640820">
        <w:rPr>
          <w:color w:val="000000" w:themeColor="text1"/>
          <w:sz w:val="16"/>
          <w:szCs w:val="16"/>
        </w:rPr>
        <w:softHyphen/>
        <w:t>нии прицельного огня короткими очередями (3—4 снаряда в очереди) по малоразмерным целям ти</w:t>
      </w:r>
      <w:r w:rsidRPr="00640820">
        <w:rPr>
          <w:color w:val="000000" w:themeColor="text1"/>
          <w:sz w:val="16"/>
          <w:szCs w:val="16"/>
        </w:rPr>
        <w:softHyphen/>
        <w:t>па отдельный танк, автомашина и т.д. То есть для успешного применения Ил-2 с пушками Ш-37 лет</w:t>
      </w:r>
      <w:r w:rsidRPr="00640820">
        <w:rPr>
          <w:color w:val="000000" w:themeColor="text1"/>
          <w:sz w:val="16"/>
          <w:szCs w:val="16"/>
        </w:rPr>
        <w:softHyphen/>
        <w:t>чик-штурмовик должен был иметь отличную стрел</w:t>
      </w:r>
      <w:r w:rsidRPr="00640820">
        <w:rPr>
          <w:color w:val="000000" w:themeColor="text1"/>
          <w:sz w:val="16"/>
          <w:szCs w:val="16"/>
        </w:rPr>
        <w:softHyphen/>
        <w:t>ковую и летную подготовку.</w:t>
      </w:r>
    </w:p>
    <w:p w14:paraId="5E2678C9" w14:textId="77777777" w:rsidR="00581130" w:rsidRPr="00640820" w:rsidRDefault="00581130"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Эффективность действия снарядов калибра 37 мм по танкам при стрельбе с самолета Ил-2 при испытаниях выявить не удалось ввиду ограни</w:t>
      </w:r>
      <w:r w:rsidRPr="00640820">
        <w:rPr>
          <w:color w:val="000000" w:themeColor="text1"/>
          <w:sz w:val="16"/>
          <w:szCs w:val="16"/>
        </w:rPr>
        <w:softHyphen/>
        <w:t>ченного количества бронебойных снарядов БТ-37, «которых всего было 20 штук на пушку» (вместо 200 по плану). Стреляли по двум танкам. Попадания распределялись вблизи танков с небольшим недо</w:t>
      </w:r>
      <w:r w:rsidRPr="00640820">
        <w:rPr>
          <w:color w:val="000000" w:themeColor="text1"/>
          <w:sz w:val="16"/>
          <w:szCs w:val="16"/>
        </w:rPr>
        <w:softHyphen/>
        <w:t>летом. Одно попадание в гусеничное колесо было нехарактерным, так как снаряд дал рикошет.</w:t>
      </w:r>
    </w:p>
    <w:p w14:paraId="04F49F66" w14:textId="77777777" w:rsidR="00581130" w:rsidRPr="00640820" w:rsidRDefault="00581130"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В общей сложности было выполнено 27 поле</w:t>
      </w:r>
      <w:r w:rsidRPr="00640820">
        <w:rPr>
          <w:color w:val="000000" w:themeColor="text1"/>
          <w:sz w:val="16"/>
          <w:szCs w:val="16"/>
        </w:rPr>
        <w:softHyphen/>
        <w:t>тов со стрельбой из пушек в воздухе, из них только в 14 полетах пушка № 3 отстреляла полный бое</w:t>
      </w:r>
      <w:r w:rsidRPr="00640820">
        <w:rPr>
          <w:color w:val="000000" w:themeColor="text1"/>
          <w:sz w:val="16"/>
          <w:szCs w:val="16"/>
        </w:rPr>
        <w:softHyphen/>
        <w:t>комплект, а пушка № 4 — в 12 полетах. В остальных случаях были задержки или поломки.</w:t>
      </w:r>
    </w:p>
    <w:p w14:paraId="3793C081" w14:textId="77777777" w:rsidR="00581130" w:rsidRPr="00640820" w:rsidRDefault="00581130"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Всего было 30 задержек, в том числе 8 задержек по вине автоматики пушки, 12 — из-за поломок де</w:t>
      </w:r>
      <w:r w:rsidRPr="00640820">
        <w:rPr>
          <w:color w:val="000000" w:themeColor="text1"/>
          <w:sz w:val="16"/>
          <w:szCs w:val="16"/>
        </w:rPr>
        <w:softHyphen/>
        <w:t>талей пушек, 4 — по вине ящика питания, 6 — по вине системы управления огнем, 4 задержки про</w:t>
      </w:r>
      <w:r w:rsidRPr="00640820">
        <w:rPr>
          <w:color w:val="000000" w:themeColor="text1"/>
          <w:sz w:val="16"/>
          <w:szCs w:val="16"/>
        </w:rPr>
        <w:softHyphen/>
        <w:t>изошли по причинам, которые установить не уда</w:t>
      </w:r>
      <w:r w:rsidRPr="00640820">
        <w:rPr>
          <w:color w:val="000000" w:themeColor="text1"/>
          <w:sz w:val="16"/>
          <w:szCs w:val="16"/>
        </w:rPr>
        <w:softHyphen/>
        <w:t>лось. В ходе испытаний заменили 7 деталей.</w:t>
      </w:r>
    </w:p>
    <w:p w14:paraId="3A4CF466" w14:textId="77777777" w:rsidR="00581130" w:rsidRPr="00640820" w:rsidRDefault="00581130"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lastRenderedPageBreak/>
        <w:t>Отмечалось, что «применение 37-мм авиацион</w:t>
      </w:r>
      <w:r w:rsidRPr="00640820">
        <w:rPr>
          <w:color w:val="000000" w:themeColor="text1"/>
          <w:sz w:val="16"/>
          <w:szCs w:val="16"/>
        </w:rPr>
        <w:softHyphen/>
        <w:t>ных пушек на Ил-2 возможно. Производить стрель</w:t>
      </w:r>
      <w:r w:rsidRPr="00640820">
        <w:rPr>
          <w:color w:val="000000" w:themeColor="text1"/>
          <w:sz w:val="16"/>
          <w:szCs w:val="16"/>
        </w:rPr>
        <w:softHyphen/>
        <w:t>бу очередями 3—4 выстрелов. Стрельба из одной пушки возможна с незначительным отклонением линии прицеливания от точки прицеливания».</w:t>
      </w:r>
    </w:p>
    <w:p w14:paraId="3548B73C" w14:textId="77777777" w:rsidR="00581130" w:rsidRPr="00640820" w:rsidRDefault="00581130"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В заключении отчета по результатам испытаний указывалось: «1. Ил-2 с Ш-37 полигонные испыта</w:t>
      </w:r>
      <w:r w:rsidRPr="00640820">
        <w:rPr>
          <w:color w:val="000000" w:themeColor="text1"/>
          <w:sz w:val="16"/>
          <w:szCs w:val="16"/>
        </w:rPr>
        <w:softHyphen/>
        <w:t>ния выдержал. 2. Все дефекты, выявленные в ходе испытаний, подлежат обязательному устранению ОКБ-15 и заводом № 39. 3. Предъявленный самолет Ил-2 с 37-мм пушками считать целесообразным ис</w:t>
      </w:r>
      <w:r w:rsidRPr="00640820">
        <w:rPr>
          <w:color w:val="000000" w:themeColor="text1"/>
          <w:sz w:val="16"/>
          <w:szCs w:val="16"/>
        </w:rPr>
        <w:softHyphen/>
        <w:t>пользовать для отработки вопросов боевого при</w:t>
      </w:r>
      <w:r w:rsidRPr="00640820">
        <w:rPr>
          <w:color w:val="000000" w:themeColor="text1"/>
          <w:sz w:val="16"/>
          <w:szCs w:val="16"/>
        </w:rPr>
        <w:softHyphen/>
        <w:t>менения и дальнейшего выявления недостатков в авиапушках и установках с целью устранения их в изготовлении серии, установления комплек</w:t>
      </w:r>
      <w:r w:rsidRPr="00640820">
        <w:rPr>
          <w:color w:val="000000" w:themeColor="text1"/>
          <w:sz w:val="16"/>
          <w:szCs w:val="16"/>
        </w:rPr>
        <w:softHyphen/>
        <w:t>та запасных частей и режима работы автоматики пушек».</w:t>
      </w:r>
    </w:p>
    <w:p w14:paraId="41AA4BE4" w14:textId="77777777" w:rsidR="00581130" w:rsidRPr="00640820" w:rsidRDefault="00581130"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Отчет подписали начальник 1-го опытного от</w:t>
      </w:r>
      <w:r w:rsidRPr="00640820">
        <w:rPr>
          <w:color w:val="000000" w:themeColor="text1"/>
          <w:sz w:val="16"/>
          <w:szCs w:val="16"/>
        </w:rPr>
        <w:softHyphen/>
        <w:t>дела НИП АВ военинженер 1-го ранга Лобачев, на</w:t>
      </w:r>
      <w:r w:rsidRPr="00640820">
        <w:rPr>
          <w:color w:val="000000" w:themeColor="text1"/>
          <w:sz w:val="16"/>
          <w:szCs w:val="16"/>
        </w:rPr>
        <w:softHyphen/>
        <w:t>чальник 2-го отделения 1-го опытного отдела по</w:t>
      </w:r>
      <w:r w:rsidRPr="00640820">
        <w:rPr>
          <w:color w:val="000000" w:themeColor="text1"/>
          <w:sz w:val="16"/>
          <w:szCs w:val="16"/>
        </w:rPr>
        <w:softHyphen/>
        <w:t>лигона военинженер 2-го ранга Мохов, ведущий инженер по испытаниям военинженер 2-го ранга Филиппов, а также представители от ОКБ-15 и заво</w:t>
      </w:r>
      <w:r w:rsidRPr="00640820">
        <w:rPr>
          <w:color w:val="000000" w:themeColor="text1"/>
          <w:sz w:val="16"/>
          <w:szCs w:val="16"/>
        </w:rPr>
        <w:softHyphen/>
        <w:t>да № 39. Начальник НИП АВ ВВС военинженер 1-го ранга Кирьяков утвердил отчет 20 сентября 1941 г. (17500).</w:t>
      </w:r>
    </w:p>
    <w:p w14:paraId="3D2E5487" w14:textId="77777777" w:rsidR="00581130" w:rsidRPr="00640820" w:rsidRDefault="00581130" w:rsidP="00640820">
      <w:pPr>
        <w:spacing w:after="0" w:line="240" w:lineRule="auto"/>
        <w:jc w:val="both"/>
        <w:rPr>
          <w:rFonts w:ascii="Times New Roman" w:eastAsia="Times New Roman" w:hAnsi="Times New Roman"/>
          <w:color w:val="000000" w:themeColor="text1"/>
          <w:sz w:val="16"/>
          <w:szCs w:val="16"/>
          <w:lang w:eastAsia="ru-RU"/>
        </w:rPr>
      </w:pPr>
    </w:p>
    <w:p w14:paraId="356D8B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сентября 1941 года зам. начальника 7-го гл. управления НКАП Алексеев и начальник финансового отдела НКАП Крючков писали письмо N 61/2608 Шахурину.</w:t>
      </w:r>
    </w:p>
    <w:p w14:paraId="4694FE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Бронированный штурмовик ИЛ-2 с АМ-35А конструкции С.В.И. в двухместном варианте был построен на заводе N 39, согласно постановления КО за N 226 от 29.VII.1939 г. и прошел государственные испытания в апреле 1940 г. с удовлетворительной оценкой.</w:t>
      </w:r>
    </w:p>
    <w:p w14:paraId="5CF5A3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Согласно постановлений ЦК ВКП(б) и СНК от 10.XII. 1940 г. и 12.II.1941 г. самолет ИЛ-2 стал внедряться в серию на нескольких заводах в модифицированном варианте, как одноместный штурмовик с мотором АМ-38 и новым пушечным вооружением.</w:t>
      </w:r>
    </w:p>
    <w:p w14:paraId="5690A4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этом варианте опытный самолет ИЛ-2 проходил вторично государственные испытания с 20.II по 20.III 1941 года и закончил их с удовлетворительной оценкой.</w:t>
      </w:r>
    </w:p>
    <w:p w14:paraId="05FCFC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Фонд для премирования работников ОКБ за первый вариант в сумме 2270000 рубл. не был использован из-за опозданий по срокам выпуска, за второй вариант фонд для премирования предусмотрен не был.</w:t>
      </w:r>
    </w:p>
    <w:p w14:paraId="556676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основании постановления ЦК ВКП(б) и СНК от 4.IX.40 г. представляется возможность выплатить 40% от указанной суммы за третий этап (государственные испытания), оконченный с положительной оценкой.</w:t>
      </w:r>
    </w:p>
    <w:p w14:paraId="56E47B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Учитывая, что самолет ИЛ-2 получил хорошую оценку командования ВВС в условиях фронта, 7-е гл. управление и финансовый отдел НКАП считают целесообразным выдачу указанной премии в размере 900000 руб. для премирования рабочих, инженерно-технических работников и конструкторов ОКБ С.В.И.</w:t>
      </w:r>
    </w:p>
    <w:p w14:paraId="165493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Приложение: проект письма Председателю ГКО Сталину (2846,2).</w:t>
      </w:r>
    </w:p>
    <w:p w14:paraId="45AA9E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D8197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1 сентября 1941 в Алма-Ату в СССР из Урумчи в Китае перегнали 111 И-16, а один потеряли. Там в апреле 1941 было 143 законсервированных машины. Их облетали и камуфлировали в Урумчи. Остальные 30 перегнали до конца года. В 1941-1942 на 600 заводе делали агрегаты, но машины не собирали (1808,32).</w:t>
      </w:r>
    </w:p>
    <w:p w14:paraId="2F9854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6012A5A" w14:textId="77777777" w:rsidR="00C47215" w:rsidRPr="00640820" w:rsidRDefault="00C47215" w:rsidP="00640820">
      <w:pPr>
        <w:shd w:val="clear" w:color="auto" w:fill="FFFFFF"/>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К 1 сентября 1941 перегнали 111 самолетов, один И-16 был потерян в горах. Оставшиеся 30 И16 и 2 УТИ-4 ушли в Алма-Ату до конца года5 После начала Великой Отечественной войны, правительство СССР, учитывая позицию Нанкина, приняло решение о возврате данных самолетов на Родину. Машины собирались и перегонялись в Алма-Ату. В течение 1941-42 годов завод № 600 занимался изготовлением отдельных агрегатов для И-16, однако новых самолетов здесь так и не строили (20122).</w:t>
      </w:r>
    </w:p>
    <w:p w14:paraId="45C2692E" w14:textId="77777777" w:rsidR="00C47215" w:rsidRPr="00640820" w:rsidRDefault="00C47215" w:rsidP="00640820">
      <w:pPr>
        <w:shd w:val="clear" w:color="auto" w:fill="FFFFFF"/>
        <w:spacing w:after="0" w:line="240" w:lineRule="auto"/>
        <w:jc w:val="both"/>
        <w:rPr>
          <w:rFonts w:ascii="Times New Roman" w:hAnsi="Times New Roman"/>
          <w:color w:val="0070C0"/>
          <w:sz w:val="16"/>
          <w:szCs w:val="16"/>
        </w:rPr>
      </w:pPr>
    </w:p>
    <w:p w14:paraId="01ECAA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1 сентября 1941 г. порегнали 111 самолетов, один И-16 потеряли в горах. Оставшиеся 30 истребителей и 2 УТИ-4 прибыли в Алма-Ату ло конца года. В 1941 г. ВВС Красной Армии получили дополнительно полторы сотни "ишачков", о которых казалось, уже следовало забыть. Поступили эти самодеты из Китая, с авиационного сборочного завода, расположенного в 47 км от города Урумчи. Завод этот был построен специально для сборки И -16 и являлся своеобразным форпостом советской авиапромышленности в самом центре Азии. В официальных документах предприятие обозначалось как авиазавод №600 в Западном Китае. Перегонка готовых И-16 сюда по воздуху в 1940 г. практически прекратилась, теперь истребители доставлялись на грузовиках в виде комплектов деталей. Сборка самолетов и осуществлялась на заводе №600. В 1941 г. это было новенькое, "с иголочки" предприятие, располагающее собственной электростанцией и независимой системой водоснабжения, находящееся в стратегически важном районе и, одновременно, глубоко в тылу. Завод продолжат строиться и в перспективе предполагался для осуществления полноценного авиастроительства (12015).</w:t>
      </w:r>
    </w:p>
    <w:p w14:paraId="6F4957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BAE39C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сентября 1941 г. был создан истребитель Як-7 (6395).</w:t>
      </w:r>
    </w:p>
    <w:p w14:paraId="15EAFF9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5B8F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сентября 1941 года вошедший в архангельский порт союзный конвой доставил первые 48 истребителей - "Харрикейны" и "Томагавки" из Англии. Сборку их начали на поспешно построенном заключенными деревянном аэродроме "10-й километр" под Архангельском. Для помощи в сборке и освоении самолето!? из Великобритании прислали механиков и инженеров; еще раньше, в конце июня, из США прибыли специалист по Р-40 - лейтенант Алисон и летчик-инструктор Земке (3457,59).</w:t>
      </w:r>
    </w:p>
    <w:p w14:paraId="1A9C3C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Машину N АН 975 передали в НИИ ВВС для летных испытаний и подготовки рекомендаций по эксплуатации и боевому применению. Согласно отчета НИИ это был Томагаук I, но по американской классификации машина с 6 пулеметами д.б. называться Томагаук II, промежуточный между В и С (3805).</w:t>
      </w:r>
    </w:p>
    <w:p w14:paraId="76D533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C183F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сентября 1941 БИ был готов (4,285) и его отправили в ЛИИ НКАП на ст. Отдых (449) для продувок в большой трубе в натуре, а затем для летных испытаний на аэродроме в ЛИИ в виде планера за Пе-2 до октября 1941 (172,183).</w:t>
      </w:r>
    </w:p>
    <w:p w14:paraId="793E68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A47DE2F" w14:textId="77777777" w:rsidR="00165A9C" w:rsidRPr="00640820" w:rsidRDefault="00165A9C" w:rsidP="00640820">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 сентября по 1 октября 1941, согласно журналу оперативной справки по мотору 120 на заводе № 26, после неудач длительных 50-часовых испытаний мотора М-120ТК К-146 на стенке, мотор вновь готовили к совместным 50 часовым испытаниям на станке и для этого доводили. Мотор с испытаний снят в ходе попыток с 6 по 13 и с 15 по 30 июня и с 15 по 31 июля 1941. В октябре, ноябре и декабре работы по мотору не велись. В январе 1942 проводилась подготовка опытного мотора к сборке и монтаж испытательной установки (998).</w:t>
      </w:r>
    </w:p>
    <w:p w14:paraId="62239D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B5265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сентября 1941 на планере Гр-29 В.К.Грибовского были сделаны подлеты, а 2 сентября 1941 - первый полет. Совместные испытания окончились 8 сентября 1941. Летали В.Л.Расторгуев, а также В.П.Федоров и П.Ф.Павлов (94,61).</w:t>
      </w:r>
    </w:p>
    <w:p w14:paraId="72FE4D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10033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 сентября 1941 г. начались первые подлеты на Г-29 Грибовского, а 18 сентября последовало решение об организации серийного производства на двух деревообделочных заводах в городе Шумерля (завод №471) и поселке Козловка (завод №494). </w:t>
      </w:r>
    </w:p>
    <w:p w14:paraId="1FCA23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8CB2CD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 сентября 1941 начались подлёты планера Гр-29, а уже 2 сентября - первый полёт. На опытном образце Гр-29 шасси не складывалось, и по</w:t>
      </w:r>
      <w:r w:rsidRPr="00640820">
        <w:rPr>
          <w:rFonts w:ascii="Times New Roman" w:hAnsi="Times New Roman"/>
          <w:color w:val="000000" w:themeColor="text1"/>
          <w:sz w:val="16"/>
          <w:szCs w:val="16"/>
        </w:rPr>
        <w:softHyphen/>
        <w:t>садка производилась тоже на колё</w:t>
      </w:r>
      <w:r w:rsidRPr="00640820">
        <w:rPr>
          <w:rFonts w:ascii="Times New Roman" w:hAnsi="Times New Roman"/>
          <w:color w:val="000000" w:themeColor="text1"/>
          <w:sz w:val="16"/>
          <w:szCs w:val="16"/>
        </w:rPr>
        <w:softHyphen/>
        <w:t>са. Большинство полётов выполнил В.Л. Расторгуев, но в испытаниях так</w:t>
      </w:r>
      <w:r w:rsidRPr="00640820">
        <w:rPr>
          <w:rFonts w:ascii="Times New Roman" w:hAnsi="Times New Roman"/>
          <w:color w:val="000000" w:themeColor="text1"/>
          <w:sz w:val="16"/>
          <w:szCs w:val="16"/>
        </w:rPr>
        <w:softHyphen/>
        <w:t>же приняли участие В.П. Фёдоров и П.Ф. Павлов.</w:t>
      </w:r>
    </w:p>
    <w:p w14:paraId="1582DEC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Испытатели отметили, что планёр в основном соответствует требованиям задания. Рекомендовали повысить эффективность элеронов и сдвинуть центровку планёра, летящего без гру</w:t>
      </w:r>
      <w:r w:rsidRPr="00640820">
        <w:rPr>
          <w:rFonts w:ascii="Times New Roman" w:hAnsi="Times New Roman"/>
          <w:color w:val="000000" w:themeColor="text1"/>
          <w:sz w:val="16"/>
          <w:szCs w:val="16"/>
        </w:rPr>
        <w:softHyphen/>
        <w:t>за, немного вперёд. Последнее объ</w:t>
      </w:r>
      <w:r w:rsidRPr="00640820">
        <w:rPr>
          <w:rFonts w:ascii="Times New Roman" w:hAnsi="Times New Roman"/>
          <w:color w:val="000000" w:themeColor="text1"/>
          <w:sz w:val="16"/>
          <w:szCs w:val="16"/>
        </w:rPr>
        <w:softHyphen/>
        <w:t>яснялось тем, что в то время считали возможной выброску с планёров пара</w:t>
      </w:r>
      <w:r w:rsidRPr="00640820">
        <w:rPr>
          <w:rFonts w:ascii="Times New Roman" w:hAnsi="Times New Roman"/>
          <w:color w:val="000000" w:themeColor="text1"/>
          <w:sz w:val="16"/>
          <w:szCs w:val="16"/>
        </w:rPr>
        <w:softHyphen/>
        <w:t>шютных десантов.</w:t>
      </w:r>
    </w:p>
    <w:p w14:paraId="58A999D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 1941 г. испытания завер</w:t>
      </w:r>
      <w:r w:rsidRPr="00640820">
        <w:rPr>
          <w:rFonts w:ascii="Times New Roman" w:hAnsi="Times New Roman"/>
          <w:color w:val="000000" w:themeColor="text1"/>
          <w:sz w:val="16"/>
          <w:szCs w:val="16"/>
        </w:rPr>
        <w:softHyphen/>
        <w:t>шились, а 11 сентября был подписан акт, рекомендовавший Гр-29 к серий</w:t>
      </w:r>
      <w:r w:rsidRPr="00640820">
        <w:rPr>
          <w:rFonts w:ascii="Times New Roman" w:hAnsi="Times New Roman"/>
          <w:color w:val="000000" w:themeColor="text1"/>
          <w:sz w:val="16"/>
          <w:szCs w:val="16"/>
        </w:rPr>
        <w:softHyphen/>
        <w:t>ному производству (12266).</w:t>
      </w:r>
    </w:p>
    <w:p w14:paraId="7D7F9841"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2300FCF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сентября 1941 г. начались первые подлеты Г-29, а 18 сентября последовало решение о орга</w:t>
      </w:r>
      <w:r w:rsidRPr="00640820">
        <w:rPr>
          <w:rFonts w:ascii="Times New Roman" w:hAnsi="Times New Roman"/>
          <w:color w:val="000000" w:themeColor="text1"/>
          <w:sz w:val="16"/>
          <w:szCs w:val="16"/>
        </w:rPr>
        <w:softHyphen/>
        <w:t>низации серийного производства на двух деревооб</w:t>
      </w:r>
      <w:r w:rsidRPr="00640820">
        <w:rPr>
          <w:rFonts w:ascii="Times New Roman" w:hAnsi="Times New Roman"/>
          <w:color w:val="000000" w:themeColor="text1"/>
          <w:sz w:val="16"/>
          <w:szCs w:val="16"/>
        </w:rPr>
        <w:softHyphen/>
        <w:t>делочных комбинатах в г. Шумерля (завод № 471) и поселке Козловка (завод № 494). Оба населенных пункта находи</w:t>
      </w:r>
      <w:r w:rsidRPr="00640820">
        <w:rPr>
          <w:rFonts w:ascii="Times New Roman" w:hAnsi="Times New Roman"/>
          <w:color w:val="000000" w:themeColor="text1"/>
          <w:sz w:val="16"/>
          <w:szCs w:val="16"/>
        </w:rPr>
        <w:softHyphen/>
        <w:t>лись в Чувашской АССР (ныне — Чувашская Республика) (12300).</w:t>
      </w:r>
    </w:p>
    <w:p w14:paraId="77F43875"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6F26E653" w14:textId="77777777" w:rsidR="00CD4B4F" w:rsidRPr="00640820" w:rsidRDefault="00CD4B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сентября 1941 года начались первые подлёты планера Г-29, а 18 сентября последовало решение об организации серийного производства на двух деревообделочных комбинатах в городе Шумерля (завод № 471) и поселке Козловка (завод № 494). Оба населённых пункта находились в Чувашской АССР (ныне – Чувашская республика).</w:t>
      </w:r>
    </w:p>
    <w:p w14:paraId="425EE7E0" w14:textId="77777777" w:rsidR="00CD4B4F" w:rsidRPr="00640820" w:rsidRDefault="00CD4B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время испытаний Г-11 поднимали в воздух разные пилоты, но больше всех на нём летал В. Романов. С ним и произошла единственная катастрофа Г-11. После взвешивания и определения ЦТ Романов взлетел на планере для перегонки его на другой аэродром. В полёте планер при невыясненных обстоятельствах отцепился от буксировщика и упал. В. Романов и летевший с ним механик погибли. Причиной катастрофы сочли недостаточную жёсткость крыла, и как следствие – реверс элеронов. Катастрофу спровоцировала ветреная погода и сильная болтанка во время перелёта. На заводских испытаниях подобных явлений замечено не было. Крыло доработали, и последующие испытания проводил Б. Годовиков. По мнению пилотов, Г-11 был прост в управлении, надёжен, и на нём было приятно летать. Лётные испытания, прошедшие в конце сентября, показали вполне приемлемые характеристики Г-11. Только представители ВВС потребовали сместить центровку пустого планера вперёд, для устойчивого полёта аппарата после покидания его десантниками на парашютах. Для этого в серии крыло сместили назад. В результате с выпущенными щитками при посадке стала наблюдаться тряска хвостового оперения. Этот дефект устранили, просверлив отверстия во внутренних щитках. В дальнейшем от перфорации удалось избавиться путём корректировки взаимного положения крыла, фюзеляжа и стабилизатора (19014).</w:t>
      </w:r>
    </w:p>
    <w:p w14:paraId="4DF2619A" w14:textId="77777777" w:rsidR="00CD4B4F" w:rsidRPr="00640820" w:rsidRDefault="00CD4B4F" w:rsidP="00640820">
      <w:pPr>
        <w:spacing w:after="0" w:line="240" w:lineRule="auto"/>
        <w:jc w:val="both"/>
        <w:rPr>
          <w:rFonts w:ascii="Times New Roman" w:hAnsi="Times New Roman"/>
          <w:color w:val="000000" w:themeColor="text1"/>
          <w:sz w:val="16"/>
          <w:szCs w:val="16"/>
        </w:rPr>
      </w:pPr>
    </w:p>
    <w:p w14:paraId="669739FE"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сентября 1941г. начались первые подлеты на Г-29, а 18 сентября последовало решение об организации серийного производства на двух деревообделочных заводах в городе Шумерля (завод №471) и поселке Козловка (завод №494).</w:t>
      </w:r>
    </w:p>
    <w:p w14:paraId="5298B870"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Летные испытания, прошедшие в конце сентября, показали вполне приемлемые пилотажные характеристики Г-29. Для смещения центровки пустого планера вперед (это требование ВВС, на случай продолжения полета планера после покидания его десантниками на парашютах), в серии крыло передвинули немного вперед. При этом, в посадочной конфигурации с выпущенными щитками, стала наблюдаться тряска хвостового оперения. Тряску устранили путем устройства перфорации на щитках.</w:t>
      </w:r>
    </w:p>
    <w:p w14:paraId="47E8817F"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Сразу после окончания испытаний, 28 сентября 1941г. Грибовский выехал на завод №471, а его заместитель Ландышев - на завод №494.</w:t>
      </w:r>
    </w:p>
    <w:p w14:paraId="3DBCB2B0"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октября в Шумерлю прибыл первый эшелон с «хозяйством» ОКБ-28, а уже 7 ноября здесь собрали первый головной десантный планер. До конца года завод №471 изготовил 10 серийных аппаратов, которые по количеству перевозимых десантников получили обозначение Г-11.</w:t>
      </w:r>
    </w:p>
    <w:p w14:paraId="0B1FE3B5"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Десантный планер Г-11 (использовались также обозначения Гр-11 и Гр-29) представлял собой свободнонесущий высокоплан деревянной конструкции с объемным коробчатым фюзеляжем. Металл использовался в малых количествах только в наиболее нагруженных местах.</w:t>
      </w:r>
    </w:p>
    <w:p w14:paraId="616F3B18"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Планер имел неубираемое шасси с колесами размером 600×250 мм для взлета и посадочную лыжу для посадки. В случае посадки на лыжу колесное шасси, оборудованное «ломающимся подкосом», сдвигалось назад-вверх.</w:t>
      </w:r>
    </w:p>
    <w:p w14:paraId="033AE53C"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Носовая часть фюзеляжа представляла собой одноместную кабину летчика с органами управления, минимальным комплектом приборов и сбрасываемым фонарем. За ней располагался десантно-грузовой отсек длиной 3,24 м и шириной 1,36-1,25 м. Десантники сидели на дощатых скамейках, расположенных вдоль бортов фюзеляжа лицом друг к другу.</w:t>
      </w:r>
    </w:p>
    <w:p w14:paraId="0578D64A"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погрузки планера и его покидания в бортах фюзеляжа имелись сбрасываемые дверцы размером 1,2×0,7м, а в потолке и в полу - также сбрасываемые люки размером 0,51×0,46 м. Кроме того, в каждом борту было по два застекленных прямоугольных окна-иллюминатора, которые могли открываться для ведения стрельбы из личного оружия.</w:t>
      </w:r>
    </w:p>
    <w:p w14:paraId="07C17DCD"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Г-11 нарастало вплоть до июня 1942 г., когда выяснилось, что военные попросту не готовы к приему большого числа десантных планеров. Не хватало самолетов-буксировщиков и пилотов-планеристов. Так как хранение планеров в течение длительного времени не предусматривалось, их нахождение под открытым небом могло привести к снижению прочности и надежности.</w:t>
      </w:r>
    </w:p>
    <w:p w14:paraId="2503CC53"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результате производство Г-11 в 1942 г. прекратили, личный состав ОКБ-28 присоединили к техперсоналу завода №471, переориентированного на производство самолетов Як-6, а Грибовский убыл в распоряжение Наркомага авиапромышленности.</w:t>
      </w:r>
    </w:p>
    <w:p w14:paraId="1DC252D7"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 до прекращения выпуска в 1942 г. завод №471 выпустил 127 Г-11 (плюс 11 в 1941 г.), а завод №494 -170 планеров. Таким образом, суммарный выпуск к осени 1942 г. составил 308 экземпляров Г-11.</w:t>
      </w:r>
    </w:p>
    <w:p w14:paraId="42F0C804"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1943 г. производство планеров восстановили на заводе в Рязани, где Грибовского назначили Главным конструктором. Первый «рязанский» Г-11 испытали в марте 1944 г. Планерист-испытатель старший лейтенант Чубуков написал в своем отзыве:</w:t>
      </w:r>
    </w:p>
    <w:p w14:paraId="2A3606FD" w14:textId="77777777" w:rsidR="00165A9C" w:rsidRPr="00640820" w:rsidRDefault="00165A9C" w:rsidP="00640820">
      <w:pPr>
        <w:shd w:val="clear" w:color="auto" w:fill="FFFFFF"/>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«Управляемость планера достаточная. Запас рулей вполне обеспечивает вывод планера из самого тяжелого положения. Управление Г-11 подобрано чрезвычайно удачно, будучи не таким строгим, как у планера А-7, вместе с тем обеспечивает полную управляемость в трудных условиях при любых вариантах загрузки. При выполнении фигур пилотажа - штопора, переворота и бочки планер быстро выходит без запаздывания в нормальное положение. Посадка во всех вариантах загрузки проста и выполняется на малых скоростях».</w:t>
      </w:r>
    </w:p>
    <w:p w14:paraId="75B6E0F6"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ходе серийного производства в конструкцию Г-11 вносились изменения. Начиная с экземпляра №21 на левом борту фюзеляжа оборудовали увеличенный грузовой люк шириной 1400 мм, а дверь на правом борту упразднили. С октября 1944 г. выпускались планеры с двойным управлением, амортизацией посадочной лыжи и дополнительными усилениями конструкции. В серии эти аппараты, дополнительным внешним отличием которых стал небольшой форкиль, получили обозначение Г-11У.</w:t>
      </w:r>
    </w:p>
    <w:p w14:paraId="03E14165"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Г-11У прекратилось в середине 1945 г., однако, спустя год возобновилось и продолжалось вплоть до 1948 г. (точных данных о количестве Г-11, произведенных в этот период, не обнаружено).</w:t>
      </w:r>
    </w:p>
    <w:p w14:paraId="73967543"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Использование Г-11 в период Великой Отечественной войны показало их высокую надежность и достаточную эффективность. Особенно активно планеры использовались для снабжения партизан в 1943-44 гг. В августе 1944-го конструктор Грибовский за доставку грузов планерами Г-11 партизанам Белоруссии был награжден медалью «Партизан Отечественной войны».</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677"/>
        <w:gridCol w:w="6645"/>
      </w:tblGrid>
      <w:tr w:rsidR="006B0687" w:rsidRPr="00640820" w14:paraId="6EE698EE" w14:textId="77777777" w:rsidTr="000D3BCB">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E1D86A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Модификация</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DC44DB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Г-11</w:t>
            </w:r>
          </w:p>
        </w:tc>
      </w:tr>
      <w:tr w:rsidR="006B0687" w:rsidRPr="00640820" w14:paraId="418A8479" w14:textId="77777777" w:rsidTr="000D3BCB">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F85E3D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Размах крыла, м</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E83636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18.00</w:t>
            </w:r>
          </w:p>
        </w:tc>
      </w:tr>
      <w:tr w:rsidR="006B0687" w:rsidRPr="00640820" w14:paraId="01E17E32" w14:textId="77777777" w:rsidTr="000D3BCB">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A08E63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Длина, м</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274475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10.84</w:t>
            </w:r>
          </w:p>
        </w:tc>
      </w:tr>
      <w:tr w:rsidR="006B0687" w:rsidRPr="00640820" w14:paraId="03DB0841" w14:textId="77777777" w:rsidTr="000D3BCB">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2B2F05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Высота, м</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5BC4CC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r>
      <w:tr w:rsidR="006B0687" w:rsidRPr="00640820" w14:paraId="06247C29" w14:textId="77777777" w:rsidTr="000D3BCB">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4D8467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крыла, м²</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812D93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30.00</w:t>
            </w:r>
          </w:p>
        </w:tc>
      </w:tr>
      <w:tr w:rsidR="006B0687" w:rsidRPr="00640820" w14:paraId="343E3F98" w14:textId="77777777" w:rsidTr="000D3BCB">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0BBEE9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Масса, кг</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4BBD09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r>
      <w:tr w:rsidR="006B0687" w:rsidRPr="00640820" w14:paraId="14E9B03C" w14:textId="77777777" w:rsidTr="000D3BCB">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31A850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пустого снаряженного</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B6E637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960</w:t>
            </w:r>
          </w:p>
        </w:tc>
      </w:tr>
      <w:tr w:rsidR="006B0687" w:rsidRPr="00640820" w14:paraId="0446A0AE" w14:textId="77777777" w:rsidTr="000D3BCB">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41A9A8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максимальная взлетная</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BA717B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1660</w:t>
            </w:r>
          </w:p>
        </w:tc>
      </w:tr>
      <w:tr w:rsidR="006B0687" w:rsidRPr="00640820" w14:paraId="76598F1E" w14:textId="77777777" w:rsidTr="000D3BCB">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48EDFC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Максимальная скорость, км/ч</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82C4B8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220</w:t>
            </w:r>
          </w:p>
        </w:tc>
      </w:tr>
      <w:tr w:rsidR="006B0687" w:rsidRPr="00640820" w14:paraId="1DF0BA8D" w14:textId="77777777" w:rsidTr="000D3BCB">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4D46A6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Полезная нагрузка:</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4020E7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11 десантников</w:t>
            </w:r>
          </w:p>
        </w:tc>
      </w:tr>
    </w:tbl>
    <w:p w14:paraId="37318139" w14:textId="77777777" w:rsidR="00165A9C" w:rsidRPr="00640820" w:rsidRDefault="00165A9C" w:rsidP="00640820">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(12682).</w:t>
      </w:r>
    </w:p>
    <w:p w14:paraId="013744EC" w14:textId="77777777" w:rsidR="00165A9C" w:rsidRPr="00640820" w:rsidRDefault="00165A9C" w:rsidP="00640820">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p>
    <w:p w14:paraId="405BC3B6" w14:textId="77777777" w:rsidR="00D8147F" w:rsidRPr="00640820" w:rsidRDefault="00D8147F"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1 сентября 1941 года</w:t>
      </w:r>
      <w:r w:rsidRPr="00640820">
        <w:rPr>
          <w:rFonts w:ascii="Times New Roman" w:hAnsi="Times New Roman"/>
          <w:color w:val="000000" w:themeColor="text1"/>
          <w:sz w:val="16"/>
          <w:szCs w:val="16"/>
        </w:rPr>
        <w:t xml:space="preserve"> Начались первые подлеты планера Грибовского Г-23, а 18 сентября последовало решение об организации серийного производства на двух деревообделочных заводах в городе Шумерля (завод №471) и поселке Козловка (завод №494). 18 октября в Шумерлю прибыл первый эшелон с "хозяйством" ОКБ-28, а уже 7 ноября здесь собрали первый головной десантный планер. До конца года завод №471 изготовил 10 серийных аппаратов, которые по количеству перевозимых десантников получили обозначение Г-11.</w:t>
      </w:r>
    </w:p>
    <w:p w14:paraId="1B6FFCE1" w14:textId="77777777" w:rsidR="00D8147F" w:rsidRPr="00640820" w:rsidRDefault="00D8147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Десантный планер Г-11 (использовались также обозначения Гр-11 и Гр-29) представлял собой свободно-несущий высокоплан деревянной конструкции с объемным коробчатым фюзеляжем. Металл использовался в малых количествах только в наиболее нагруженных местах.Планер имел неубираемое шасси с колесами размерм 600x250 мм для взлета и посадочную лыжу для посадки. В случае посадки на лыжу колесное шасси, оборудованное "ломающимся подкосом", сдвигалось назад-вверх.</w:t>
      </w:r>
    </w:p>
    <w:p w14:paraId="324507ED" w14:textId="77777777" w:rsidR="00D8147F" w:rsidRPr="00640820" w:rsidRDefault="00D8147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Носовая часть фюзеляжа представляла собой одноместную кабину летчика с органами управления, минимальным комплектом приборов и сбрасываемым фонарем. За ней располагался десантно-грузовой отсек длиной 3,24 м и шириной 1,36-1,25 м. Десантники сидели на дощатых скамейках, расположенных вдоль бортов фюзеляжа лицом друг к другу. Для погрузки планера и его покидания в бортах фюзеляжа имелись сбрасываемые дверцы размером 1,2x0,7м., а в потолке и в полу - также </w:t>
      </w:r>
      <w:r w:rsidRPr="00640820">
        <w:rPr>
          <w:rFonts w:ascii="Times New Roman" w:hAnsi="Times New Roman"/>
          <w:color w:val="000000" w:themeColor="text1"/>
          <w:sz w:val="16"/>
          <w:szCs w:val="16"/>
        </w:rPr>
        <w:lastRenderedPageBreak/>
        <w:t>сбрасываемые люки размером 0,51x0,46м. Кроме того, в каждом борту было по дпо два застекленных прямоугольных окна-иллюминатора, которые могли открываться для ведения стрельбы из личного оружия (14756).</w:t>
      </w:r>
    </w:p>
    <w:p w14:paraId="1D4DCDD1" w14:textId="77777777" w:rsidR="00D8147F" w:rsidRPr="00640820" w:rsidRDefault="00D8147F" w:rsidP="00640820">
      <w:pPr>
        <w:spacing w:after="0" w:line="240" w:lineRule="auto"/>
        <w:jc w:val="both"/>
        <w:rPr>
          <w:rFonts w:ascii="Times New Roman" w:hAnsi="Times New Roman"/>
          <w:color w:val="000000" w:themeColor="text1"/>
          <w:sz w:val="16"/>
          <w:szCs w:val="16"/>
        </w:rPr>
      </w:pPr>
    </w:p>
    <w:p w14:paraId="4CDD7F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О.К.Антонов представил на испытания планер Рот-Фронт-8 и 2 сентября 1941 состоялся первый вылет, после чего планер был рекомендован в серию. Нагрузку повысили с 5 до 7 человек. Запустили в Тюмени и Алапаевске, а с конца 1942 и на заводе Заводоуковск за Тюменью, где директором был А.С.Москалев. Всего сделали 400 (112,173-174).</w:t>
      </w:r>
    </w:p>
    <w:p w14:paraId="6877E4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Летали до 18 сентября 1941 В.Л.Расторгуев, а в облетах приняли участие С.Н.Анохин, П.Ф.Павлов, В.П.Федоров, Г.С.Малиновский (94,71).</w:t>
      </w:r>
    </w:p>
    <w:p w14:paraId="5A94DE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C377F10" w14:textId="77777777" w:rsidR="00165A9C" w:rsidRPr="00640820" w:rsidRDefault="00165A9C" w:rsidP="00640820">
      <w:pPr>
        <w:tabs>
          <w:tab w:val="left" w:pos="421"/>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1 сентября с завода № 600 в Урумчи в Алма-Ату было отправлено 111 (РГАЭ. Ф. 8328. </w:t>
      </w:r>
      <w:r w:rsidRPr="00640820">
        <w:rPr>
          <w:rFonts w:ascii="Times New Roman" w:hAnsi="Times New Roman"/>
          <w:color w:val="000000" w:themeColor="text1"/>
          <w:sz w:val="16"/>
          <w:szCs w:val="16"/>
          <w:lang w:val="en-US"/>
        </w:rPr>
        <w:t>On</w:t>
      </w:r>
      <w:r w:rsidRPr="00640820">
        <w:rPr>
          <w:rFonts w:ascii="Times New Roman" w:hAnsi="Times New Roman"/>
          <w:color w:val="000000" w:themeColor="text1"/>
          <w:sz w:val="16"/>
          <w:szCs w:val="16"/>
        </w:rPr>
        <w:t>. 1. Д. 1484, Л. 1.)(при плане — 107) самолётов с соответствующим количе</w:t>
      </w:r>
      <w:r w:rsidRPr="00640820">
        <w:rPr>
          <w:rFonts w:ascii="Times New Roman" w:hAnsi="Times New Roman"/>
          <w:color w:val="000000" w:themeColor="text1"/>
          <w:sz w:val="16"/>
          <w:szCs w:val="16"/>
        </w:rPr>
        <w:softHyphen/>
        <w:t>ством запчастей (На общую сумму 36 миллионов руб.), 1 самолёт погиб в горах. Перелёт прово</w:t>
      </w:r>
      <w:r w:rsidRPr="00640820">
        <w:rPr>
          <w:rFonts w:ascii="Times New Roman" w:hAnsi="Times New Roman"/>
          <w:color w:val="000000" w:themeColor="text1"/>
          <w:sz w:val="16"/>
          <w:szCs w:val="16"/>
        </w:rPr>
        <w:softHyphen/>
        <w:t>дился без Дополнительных подвесных баков. Окончательно завод должен был быть введён в строй к 1 ноября 1941 г., од</w:t>
      </w:r>
      <w:r w:rsidRPr="00640820">
        <w:rPr>
          <w:rFonts w:ascii="Times New Roman" w:hAnsi="Times New Roman"/>
          <w:color w:val="000000" w:themeColor="text1"/>
          <w:sz w:val="16"/>
          <w:szCs w:val="16"/>
        </w:rPr>
        <w:softHyphen/>
        <w:t>нако уже в сентябре этого года стала видна бессмысленность существования самолётосборочного предприятия в западном Китае. Везти грузовиками составные элементы в Синьцзян, собирать там истребители, а потом транспортировать их сво</w:t>
      </w:r>
      <w:r w:rsidRPr="00640820">
        <w:rPr>
          <w:rFonts w:ascii="Times New Roman" w:hAnsi="Times New Roman"/>
          <w:color w:val="000000" w:themeColor="text1"/>
          <w:sz w:val="16"/>
          <w:szCs w:val="16"/>
        </w:rPr>
        <w:softHyphen/>
        <w:t>им ходом на советско-германский фронт представлялось оче</w:t>
      </w:r>
      <w:r w:rsidRPr="00640820">
        <w:rPr>
          <w:rFonts w:ascii="Times New Roman" w:hAnsi="Times New Roman"/>
          <w:color w:val="000000" w:themeColor="text1"/>
          <w:sz w:val="16"/>
          <w:szCs w:val="16"/>
        </w:rPr>
        <w:softHyphen/>
        <w:t>видным нонсенсом. Весной 1942 г. завод был ликвидирован, а его оборудование — демонтировано и вывезено в СССР (12011).</w:t>
      </w:r>
    </w:p>
    <w:p w14:paraId="18123F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F0A0F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1 сентября 1941 г. Заводом № 600 НКАП, Объект «600» /г. Урумчи Западный Китай (провинция Синцзян)/ было собрано и отправлено 111 машин.</w:t>
      </w:r>
      <w:r w:rsidRPr="00640820">
        <w:rPr>
          <w:rFonts w:ascii="Times New Roman" w:hAnsi="Times New Roman"/>
          <w:color w:val="000000" w:themeColor="text1"/>
          <w:sz w:val="16"/>
          <w:szCs w:val="16"/>
          <w:vertAlign w:val="superscript"/>
        </w:rPr>
        <w:t>144</w:t>
      </w:r>
      <w:r w:rsidRPr="00640820">
        <w:rPr>
          <w:rFonts w:ascii="Times New Roman" w:hAnsi="Times New Roman"/>
          <w:color w:val="000000" w:themeColor="text1"/>
          <w:sz w:val="16"/>
          <w:szCs w:val="16"/>
        </w:rPr>
        <w:t xml:space="preserve"> Далее, в соответствии с пост. ГКО № 2284 от 9.09.1942 г. на заводе начата организация производства учебных УТ-2 (часть самолетов поставлялась в СССР в годы ВОВ), а с 09.1942г - боевых УТ-2.</w:t>
      </w:r>
    </w:p>
    <w:p w14:paraId="100BD2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1943 г. планировалось перевести завод на территорию СССР, что и было осуществлено: приказом НКАП № 733с от 6.12.1943 г. оговаривалась передача завода № 600 и всех работ в ведение завода № 84 НКАП ( г. Ташкент).</w:t>
      </w:r>
    </w:p>
    <w:p w14:paraId="30A7D0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Директор (1941- 11.1943 г.-)-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Еськов.</w:t>
      </w:r>
    </w:p>
    <w:p w14:paraId="30F86D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самолеты: И-16 (1940-41), УТ-2 (1941-43)- 89 (11982).</w:t>
      </w:r>
    </w:p>
    <w:p w14:paraId="4597C9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B08D12F" w14:textId="77777777" w:rsidR="004E2BF7" w:rsidRPr="00640820" w:rsidRDefault="004E2B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1 сентября 1941 в Алма-Ату из Урумчи с завода № 600 отправили 111 (при плане — 107) самолётов... на общую сумму 36 млн. руб. При этом один самолёт разбился в горах. Перелет проводился без дополнительных подвесных баков. Окончательно завод дол</w:t>
      </w:r>
      <w:r w:rsidRPr="00640820">
        <w:rPr>
          <w:rFonts w:ascii="Times New Roman" w:hAnsi="Times New Roman"/>
          <w:color w:val="000000" w:themeColor="text1"/>
          <w:sz w:val="16"/>
          <w:szCs w:val="16"/>
        </w:rPr>
        <w:softHyphen/>
        <w:t>жны были ввести в строй к 1 ноября 1941 г., однако уже в сентябре этого года стала видна бессмысленность существования самолётосборочного предприятия в западном Китае. Везти грузовиками составные элементы в Синьцзян, собирать там истребители, а потом транспортировать их своим ходом на советско-германский фронт представля</w:t>
      </w:r>
      <w:r w:rsidRPr="00640820">
        <w:rPr>
          <w:rFonts w:ascii="Times New Roman" w:hAnsi="Times New Roman"/>
          <w:color w:val="000000" w:themeColor="text1"/>
          <w:sz w:val="16"/>
          <w:szCs w:val="16"/>
        </w:rPr>
        <w:softHyphen/>
        <w:t>лось очевидным нонсенсом» (15811).</w:t>
      </w:r>
    </w:p>
    <w:p w14:paraId="4C4DF3A1" w14:textId="77777777" w:rsidR="004E2BF7" w:rsidRPr="00640820" w:rsidRDefault="004E2BF7" w:rsidP="00640820">
      <w:pPr>
        <w:spacing w:after="0" w:line="240" w:lineRule="auto"/>
        <w:jc w:val="both"/>
        <w:rPr>
          <w:rFonts w:ascii="Times New Roman" w:hAnsi="Times New Roman"/>
          <w:color w:val="000000" w:themeColor="text1"/>
          <w:sz w:val="16"/>
          <w:szCs w:val="16"/>
        </w:rPr>
      </w:pPr>
    </w:p>
    <w:p w14:paraId="658855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сентября 1941 стал знаменательным днем – завод № 387 официально вновь приступил к выпуску прежней продукции, а 2 сентября был совершен облет первого самолета, собранного на новом месте. Пилотировал первый казанский У-2 летчик-испытатель Бирбуц Б.Н., а первым начальником ЛИС стал Машеловский В.П. За четыре последующих месяца в Казани было изготовлено 429 самолета, что, впрочем, несколько уступало плановым цифрам (555). Объяснялось это огромными трудностями, связанными с переездом, размещением на новой территории и освоением казанским заводом совершенно новой для него продукции. Немаловажной причиной были недопоставки моторов М-11 из Воронежа (завод № 154) и воздушных винтов из Ленинграда (завод № 162). В кооперации участвовали также казанский авиазавод № 124, поставлявший оси шасси и даже КАИ, откуда было получено 250 кг алюминиевого литья. Не способствовал выполнению плана и выпуск запчастей для ЛАГГ-3 и И-15бис. Производство авиалыж было передано на бывший Саговый завод, расположенный в четырех километрах от основных корпусов. Условия военного времени выдвинули новые требования к старым самолетам, к коим можно было причислить У-2. По инициативе Главного конструктора заводского ОКБ Григория Ивановича Бакшаева уже 28 июня были выпущены новые варианты санитарной машины с кассетами для перевозки раненых – трех лежачих (из них двое на нижних плоскостях) и одного сидячего (12049).</w:t>
      </w:r>
    </w:p>
    <w:p w14:paraId="3A4722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5FA8A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1 сентября 1941 года Паспорт завода № 337</w:t>
      </w:r>
    </w:p>
    <w:p w14:paraId="0798B8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завода - Дубов</w:t>
      </w:r>
    </w:p>
    <w:p w14:paraId="08FD95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Новостройка-дублер</w:t>
      </w:r>
    </w:p>
    <w:p w14:paraId="036CB0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Характер производства – крупносерийное</w:t>
      </w:r>
    </w:p>
    <w:p w14:paraId="7BBC53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Наименование производства – моторостроение</w:t>
      </w:r>
    </w:p>
    <w:p w14:paraId="02CED6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ст. Безымянка Куйбышевской ж/д (расстояние от завода до ст. Безымянка 2,5 км и от завода до Куйбышева по ж/д 18 км, по шоссе – 25 км) (Куйбышев, п/я 32)</w:t>
      </w:r>
    </w:p>
    <w:p w14:paraId="540917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337 – новостройка, решением КО от 11 июня 1941 года за № 154сс запроектирован для выпуска авиамоторов М-105 и АМ-35А.</w:t>
      </w:r>
    </w:p>
    <w:p w14:paraId="7BE382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Технический проект завода в настоящее время корректируется на крупносерийный выпуск моторов АМ-35А с последующими модификациями.</w:t>
      </w:r>
    </w:p>
    <w:p w14:paraId="621D9C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 завода № 337 в соответствии с приказом НКАП за № 782сс от 1 августа 1941 года и № 726сс от 18 июля 1941 года влились заводы системы НКАП № 452 из Днепропетровска и № 459 из Могилева со всеми материальными, техническими средствами и кадрами.</w:t>
      </w:r>
    </w:p>
    <w:p w14:paraId="25129C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совместным приказом наркомов авиационной и судостроительной промышленности за № 904сс/285сс от 25 августа 1941 года в состав завода № 337 вливаются заводы системы НКСП №№ 103 и 181 со всеми материальными, техническими средствами и кадрами (9325).</w:t>
      </w:r>
    </w:p>
    <w:p w14:paraId="56185F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005C8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1 сентября 1941 года Паспорт завода № 306</w:t>
      </w:r>
    </w:p>
    <w:p w14:paraId="78E614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 Доценко</w:t>
      </w:r>
    </w:p>
    <w:p w14:paraId="2DB4E5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Новостройка</w:t>
      </w:r>
    </w:p>
    <w:p w14:paraId="0FD467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Характер производства – крупносерийное и массовое</w:t>
      </w:r>
    </w:p>
    <w:p w14:paraId="62A079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Наименование производства – агрегатостроение</w:t>
      </w:r>
    </w:p>
    <w:p w14:paraId="417046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Саратов, п/я 105 (9323).</w:t>
      </w:r>
    </w:p>
    <w:p w14:paraId="0B5C5B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129E4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сентября 1941 г. вступил в строй завод № 280 (Завод № 280 НКАП, МАП, п/я 99, Ульяновский приборостроительный завод (УПЗ), Ульяновское приборостроительное ПО (УППО) им. 60-летия СССР, Ульяновское ПО «Утес», ГП, АООТ, ОАО «Утес» /432002 (432071)  г. Ульяновск ул. Крьмова, 14А тел. 31-84-72/), который был образован и начал строиться в 1940 г. в системе 5ГУ НКАП для организации производства компасов и тахометров. Имел наименование «п/я 99».</w:t>
      </w:r>
    </w:p>
    <w:p w14:paraId="6F1D30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на площадку недостроенного завода № 280 на ул. Марата (тогда- Ярмарочная площадь) был эвакуирован завод № 149 НКАП, и образован объединенный завод № 280 НКАП. В 1942 г. в его состав влит завод № 278 НКАП.</w:t>
      </w:r>
    </w:p>
    <w:p w14:paraId="4DCCA2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концу 1941 г. введены в эксплуатацию цеха основного производства: штамповочный, литейный, механический (по обработке литья), автоматно-револьверный (обработка пруткового материала), отделочный (гальваника и ЛКП).</w:t>
      </w:r>
    </w:p>
    <w:p w14:paraId="3E70D5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по аэронавигационным приборам. К концу 1942 г. изготовлено 12.964 прибора для самолетов и танков.</w:t>
      </w:r>
    </w:p>
    <w:p w14:paraId="09B61D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приказом № 1057сс от 10.10.1941 г. на часть производственной площадки завода № 280 эвакуирован Институт авиационного приборостроения (НИИ-12). В соответствии с пост. ГКО № 4367с от 2.03.1942 г. и приказом № 177с от 8.03.1942 г. институт был возвращен из Ульяновска на старую площадку с оборудованием и личным составом.</w:t>
      </w:r>
    </w:p>
    <w:p w14:paraId="2A85C5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5.09.1946 г. введен в эксплуатацию сборочный цех № 06 по выпуску гражданской продукции. В конце 1940-х  г. освоен выпуск манометров и термометров для танков и автотракторной техники.</w:t>
      </w:r>
    </w:p>
    <w:p w14:paraId="68EB46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05.1954 г. на заводе организован филиал ОКБ-149 МАП, затем это - ОКБ-280.</w:t>
      </w:r>
    </w:p>
    <w:p w14:paraId="24F45C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СМ СССР № 713-342 от 26.06.1957 г. передан в ведение СНХ РСФСР.</w:t>
      </w:r>
    </w:p>
    <w:p w14:paraId="4D7B35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середине 1950-х  г. завод полностью перешел на выпуск оборонной продукции, освоено производство сложных авиационных приборов. В середине 1960-х  г. впервые в стране начато производство пилотажно- навигационных систем воздушных сигналов 1-го поколения.</w:t>
      </w:r>
    </w:p>
    <w:p w14:paraId="0AC19D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РСФСР от 14.05.1961 г. завод № 280 (п/я 99) переименован в Ульяновский приборостроительный завод.</w:t>
      </w:r>
    </w:p>
    <w:p w14:paraId="40B355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решению МАП от 20.02.1969 г. начато строительство филиала завода в Буштино (Закарпатье) для производства амортизаторов и ТНП. К 1974 г. на заводе имелось 33 цеха и два производства. По решению от 11.03.1977 г. начато строительство филиала завода в р/п Старая Майна Ульяновской обл.</w:t>
      </w:r>
    </w:p>
    <w:p w14:paraId="3AF3C9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9.12.1980 г. на базе завода создано УППО, в 12.1982 г. ему присвоено имя 60-летия СССР. 6.06.1990 г. переименовано в Ульяновское ПО «Утес», 4.12.1991 г.- в ГП «Утес». В 1991 г. завод вошел в ЗАО «Авиаприбор». 13.09.1993 г. предприятие преобразовано в АООТ, с 14.07.2000 г.- ОАО «Утес». В 11.2001 г. предприятие вошло в состав ХК «Авиаприбор Холдинг». По решению правительства № 22-р от 9.01.2004 г. и Указу Президента РФ № 1009 от 4.08.2004 г. ОАО «Утес» вошло в число стратегических оборонных предприятий.</w:t>
      </w:r>
    </w:p>
    <w:p w14:paraId="358419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(2004 г.): разработка и производство навигационного и электротехнического оборудования, приборов (высотомеры, скоростемеры, прецизионные датчики давления, сигнализаторы и корректоры высоты, скорости, числа М, компасы, светильники и световые табло) и систем измерения, контроля и диагностики, систем обеспечения безопасности пилотирования (системы воздушных сигналов).</w:t>
      </w:r>
    </w:p>
    <w:p w14:paraId="27D892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Директор (08.1941 г.)- Андрианов, (1942-44 г.)- Б.И. Фридкин, (1944-46 г.)- И.Я. Стародумов, (1960-е  г.)-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Зорин. Гендиректор (-2002-07 г.-)-  Г.М. Лафазан.</w:t>
      </w:r>
    </w:p>
    <w:p w14:paraId="3A82B8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гендиректора: по сбыту (2007 г.)- В.А. Тимофеев; по ВЭС (-2002-07 г.-)- Н.К. Чечнев. Технический директор (-2002-07 г.-)- Ю. Г. Андронов. Коммерческий директор (-2002-07 г.-)- И.М. Егоров.</w:t>
      </w:r>
      <w:r w:rsidRPr="00640820">
        <w:rPr>
          <w:rFonts w:ascii="Times New Roman" w:hAnsi="Times New Roman"/>
          <w:color w:val="000000" w:themeColor="text1"/>
          <w:sz w:val="16"/>
          <w:szCs w:val="16"/>
          <w:vertAlign w:val="superscript"/>
        </w:rPr>
        <w:t>69</w:t>
      </w:r>
    </w:p>
    <w:p w14:paraId="43E71E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техотдела (1940-ё  г.)- Дробинский.</w:t>
      </w:r>
    </w:p>
    <w:p w14:paraId="1478AB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 манометры:</w:t>
      </w:r>
      <w:r w:rsidRPr="00640820">
        <w:rPr>
          <w:rFonts w:ascii="Times New Roman" w:hAnsi="Times New Roman"/>
          <w:color w:val="000000" w:themeColor="text1"/>
          <w:sz w:val="16"/>
          <w:szCs w:val="16"/>
        </w:rPr>
        <w:t xml:space="preserve"> ДСВ-281, -410, -610, -612 (1946);</w:t>
      </w:r>
      <w:r w:rsidRPr="00640820">
        <w:rPr>
          <w:rFonts w:ascii="Times New Roman" w:hAnsi="Times New Roman"/>
          <w:iCs/>
          <w:color w:val="000000" w:themeColor="text1"/>
          <w:sz w:val="16"/>
          <w:szCs w:val="16"/>
        </w:rPr>
        <w:t xml:space="preserve"> приборы:</w:t>
      </w:r>
      <w:r w:rsidRPr="00640820">
        <w:rPr>
          <w:rFonts w:ascii="Times New Roman" w:hAnsi="Times New Roman"/>
          <w:color w:val="000000" w:themeColor="text1"/>
          <w:sz w:val="16"/>
          <w:szCs w:val="16"/>
        </w:rPr>
        <w:t xml:space="preserve"> ВДИ-30, КУСИ-2500, ДВ-30, ЗДВ-ЗО, УС-35, УС-80, ВД-20, БЦ-63; система воздушных сигналов СВС-ПН (1960-е); цветомузыкальное устройство «Прометей-1».</w:t>
      </w:r>
    </w:p>
    <w:p w14:paraId="74673B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Филиал ОКБ-149, ОКБ-280 МАП, ГП Ульяновское КБ приборостроения (УКБП), Р-6456, ОАО «УКБП» /432071  г. Ульяновск ул. Крымова, 10А тел. 31-42-69/</w:t>
      </w:r>
    </w:p>
    <w:p w14:paraId="37623F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05.1954 г. организован филиал ОКБ-149 на заводе № 280. Разработка и производство электромеханических авиаприборов. Затем филиал преобразован в ОКБ-280, далее- УКБП. Имело наименование «п/я Р-6456».</w:t>
      </w:r>
    </w:p>
    <w:p w14:paraId="4F3156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1991 г. УКБП вошло в ЗАО «Авиаприбор», в 1993 г. преобразовано в дочернее предприятие «Авиаприбор- холдинга». По решению правительства № 22-р от 9.01.2004 г. и Указу Президента РФ № 1009 от 4.08.2004 г. ОАО вошло в число стратегических оборонных предприятий.</w:t>
      </w:r>
    </w:p>
    <w:p w14:paraId="32CB26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Разработка и производство (2002 г.): электронное оборудование, авиационные дисплеи для ГА, системы: предупреждения критических режимов; аварийной сигнализации; воздушных сигналов; сбора и преобразования информации; многофункциональные пульты управления; системы управления оборудованием; наземные автоматизированные системы диагностики и контроля; приемники и датчики давления, указатели высоты, скорости и числа М, датчики и указатели углов атаки; светотехническое оборудование кабин.</w:t>
      </w:r>
    </w:p>
    <w:p w14:paraId="368DC1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Гендиректор (2002 г.)- Н.Н. Макаров.</w:t>
      </w:r>
    </w:p>
    <w:p w14:paraId="774AAA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гендиректора (2002 г.)- В.И. Кожевников.</w:t>
      </w:r>
    </w:p>
    <w:p w14:paraId="067E25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(1960-е  г.)- В.П. Пахомов. Гл. конструктор: информационно-управляющих систем (2002 г.)- В.П. Деревянкин; РЭ аппаратуры (2002 г.)- А.И. Горбунов; аэрометрических систем (2002 г.)- В.И. Приз.</w:t>
      </w:r>
      <w:r w:rsidRPr="00640820">
        <w:rPr>
          <w:rFonts w:ascii="Times New Roman" w:hAnsi="Times New Roman"/>
          <w:color w:val="000000" w:themeColor="text1"/>
          <w:sz w:val="16"/>
          <w:szCs w:val="16"/>
          <w:vertAlign w:val="superscript"/>
        </w:rPr>
        <w:t>69</w:t>
      </w:r>
    </w:p>
    <w:p w14:paraId="3060AD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Создано:</w:t>
      </w:r>
      <w:r w:rsidRPr="00640820">
        <w:rPr>
          <w:rFonts w:ascii="Times New Roman" w:hAnsi="Times New Roman"/>
          <w:color w:val="000000" w:themeColor="text1"/>
          <w:sz w:val="16"/>
          <w:szCs w:val="16"/>
        </w:rPr>
        <w:t xml:space="preserve"> датчики ДМА, ДМТ; УУАП-72 (1972) (11982).</w:t>
      </w:r>
    </w:p>
    <w:p w14:paraId="07DBCE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68FB03F" w14:textId="77777777" w:rsidR="004E2BF7" w:rsidRPr="00640820" w:rsidRDefault="004E2B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сентября 1941 года в донесении командного состава войсковой части №4207 /42 ОАД/ в адрес Зам. Нач. ГАУКа отдел спец. арт. вооружения (фамилия одного из подписавших донесение Синицын) указано:</w:t>
      </w:r>
    </w:p>
    <w:p w14:paraId="21691D22" w14:textId="77777777" w:rsidR="004E2BF7" w:rsidRPr="00640820" w:rsidRDefault="004E2B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r w:rsidRPr="00640820">
        <w:rPr>
          <w:rFonts w:ascii="Times New Roman" w:hAnsi="Times New Roman"/>
          <w:iCs/>
          <w:color w:val="000000" w:themeColor="text1"/>
          <w:sz w:val="16"/>
          <w:szCs w:val="16"/>
        </w:rPr>
        <w:t>Настоящим доношу, что посланные вами четыре боевые установки М-13, одна летучка типа "А", одна походная) зарядная ст. и пятнадцать автомашин ЗИС-5 с боеприпасами для МУ-13 в колич. 450 шт. нам в адрес бат. к-на Флерова полученно полностью. На основании вашего же распоряжения все имевшиеся в батареи установки М-13 в данной батарее за №№ 3,4,5,6,7 итого в колич. пяти штук сданы вашему представителю нач. колонны л-ту т.Нарбекову Ю.Б. для сопровождения их в ремонт. г.Москву. Одновременно докладываю, что батарея к-на Флерова распоряжением нач. арто 24 армии введена в состав 42 отдельного арт.дивизиона</w:t>
      </w:r>
      <w:r w:rsidRPr="00640820">
        <w:rPr>
          <w:rFonts w:ascii="Times New Roman" w:hAnsi="Times New Roman"/>
          <w:color w:val="000000" w:themeColor="text1"/>
          <w:sz w:val="16"/>
          <w:szCs w:val="16"/>
        </w:rPr>
        <w:t>".(15981).</w:t>
      </w:r>
    </w:p>
    <w:p w14:paraId="588F5653" w14:textId="77777777" w:rsidR="004E2BF7" w:rsidRPr="00640820" w:rsidRDefault="004E2BF7" w:rsidP="00640820">
      <w:pPr>
        <w:spacing w:after="0" w:line="240" w:lineRule="auto"/>
        <w:jc w:val="both"/>
        <w:rPr>
          <w:rFonts w:ascii="Times New Roman" w:hAnsi="Times New Roman"/>
          <w:color w:val="000000" w:themeColor="text1"/>
          <w:sz w:val="16"/>
          <w:szCs w:val="16"/>
        </w:rPr>
      </w:pPr>
    </w:p>
    <w:p w14:paraId="0DEF981B"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3BAAF124"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7F1C7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сентября 1941 вышло Постановление ГКО № 605 Об эвакуации авиаполигона и завода № 258 НКБ. РГАНИР, Фонд ГКО, д. 8, лл. 76 (11012).</w:t>
      </w:r>
    </w:p>
    <w:p w14:paraId="018AAF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06E67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сентября 1941 г. в соответствии с пост. ГКО № 605 завод № 258 4ГУ НКБ (Завод № 258 НКБ, п/я 8 /г. Осипенко Днепропетровской обл.;  г. Копейск Челябинской обл. п/я 8 «Волна» (1943 г.)/) подлежал эвакуации в Челябинск на площадку складов УГМР № 2. По решению Челябинского обкома 8.09.1941 г. завод эвакуирован (681 чел.): основная часть (производство 107-мм снарядов, 336 ед. оборудования, 640 чел.) - в Копейск на площадку гаража треста «Челябуголь» НКУП, где завод продолжил действовать под прежним номером; к 30.12.1941 г. все оборудование прибыло на новое место, большая его часть смонтирована и введена в строй, к 30.01.1942 г. восстановлено производство прежней мощностью 400 тыс. шт. в год; меньшая часть завода (52 ед. вспомогательного и прессового оборудования, 30 чел.) эвакуирована в Челябинск на завод № 78. Осталось невывезенным около 122 ед. оборудования. В 12.1942-09.1944 г. - в ведении 4ГУ НКБ. В 11.1943 г. завод № 258 действовал в Челябинске. Имел обозначение «п/я 8» (1943 г.).</w:t>
      </w:r>
    </w:p>
    <w:p w14:paraId="668194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завода основные цехи (1943 г.): механический, термо-прессовый. Количество оборудования- 278 ед.</w:t>
      </w:r>
    </w:p>
    <w:p w14:paraId="14191C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1943 г. бывший завод № 258 восстановлен в Осипенко, по распоряжению СНК № 22124-рс от 18.09.1943 г. ему присвоено наименование завод № 139 НКБ.</w:t>
      </w:r>
    </w:p>
    <w:p w14:paraId="226FBD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производственная- 3970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вспомогательная- 2356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33D5E2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(1938 г.)- 940 чел. (рабочих), (1939 г.)- 913 чел. (рабочих), (1940 г.)- 1355 чел. (рабочих), (08.1941 г.)- 1600 чел., (12.1942 г.)- 1375 чел.</w:t>
      </w:r>
    </w:p>
    <w:p w14:paraId="2F7134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(04.1943 г.)- Гуров.</w:t>
      </w:r>
    </w:p>
    <w:p w14:paraId="2508A3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2-го (04.1943 г.)- Щербаков.</w:t>
      </w:r>
    </w:p>
    <w:p w14:paraId="57807C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снаряды 76-мм (1943) (11892).</w:t>
      </w:r>
    </w:p>
    <w:p w14:paraId="7746B7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EFB2E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 сентября 1941 г. на Харьковском станкозаводе был налажен выпуск пистолетов-пулеметов ППШ в кооперации с заводами №296, ХЭМЗ, «Серп и молот», им, Шевченко, «Гидропривод» и деревообделочной фабрикой (стволы — привозные; план — не менее 500 ППШ в день) и на базе Изюмской машинно-тракторной мастерской (200-250 ППШ в день), но с началом эвакуации был свернут (11438).</w:t>
      </w:r>
    </w:p>
    <w:p w14:paraId="35246B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0A65D9F" w14:textId="77777777" w:rsidR="00C47215" w:rsidRPr="00640820" w:rsidRDefault="00C47215" w:rsidP="00640820">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640820">
        <w:rPr>
          <w:rFonts w:ascii="Times New Roman" w:eastAsia="Times New Roman" w:hAnsi="Times New Roman"/>
          <w:color w:val="0070C0"/>
          <w:sz w:val="16"/>
          <w:szCs w:val="16"/>
          <w:lang w:eastAsia="ru-RU"/>
        </w:rPr>
        <w:t>К 1 сентября 1941 года на ЧТЗ имелось всего 13 орудий Ф-32. Медлить было уже нельзя. Поэтому уже во второй половине сентября 1941 года на заводе №92 начался выпуск ЗИС-5 со стволами Ф-34. Как бы не хотелось сделать что-то более мощное, нежели Ф-34, но иных вариантов попросту не осталось. Первые 17 пушек ЗИС-5 прибыло на ЧТЗ в самом конце сентября 1941 года, а полноценное производство началось уже в октябре. При этом в НКТП решили подстраховаться, что привело к созданию орудия У-11, которое достойно отдельного повествования (2-272).</w:t>
      </w:r>
    </w:p>
    <w:p w14:paraId="29625196" w14:textId="77777777" w:rsidR="00C47215" w:rsidRPr="00640820" w:rsidRDefault="00C47215" w:rsidP="00640820">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p>
    <w:p w14:paraId="22731B05" w14:textId="77777777" w:rsidR="008E7887" w:rsidRPr="00640820" w:rsidRDefault="008E7887" w:rsidP="00640820">
      <w:pPr>
        <w:shd w:val="clear" w:color="auto" w:fill="FFFFFF"/>
        <w:spacing w:after="0" w:line="240" w:lineRule="auto"/>
        <w:jc w:val="both"/>
        <w:rPr>
          <w:rFonts w:ascii="Times New Roman" w:eastAsia="Times New Roman" w:hAnsi="Times New Roman"/>
          <w:color w:val="0070C0"/>
          <w:sz w:val="16"/>
          <w:szCs w:val="16"/>
          <w:lang w:eastAsia="ru-RU"/>
        </w:rPr>
      </w:pPr>
      <w:r w:rsidRPr="00640820">
        <w:rPr>
          <w:rFonts w:ascii="Times New Roman" w:eastAsia="Times New Roman" w:hAnsi="Times New Roman"/>
          <w:color w:val="0070C0"/>
          <w:sz w:val="16"/>
          <w:szCs w:val="16"/>
          <w:lang w:eastAsia="ru-RU"/>
        </w:rPr>
        <w:t>На 1 сентября 1941 года на ЧТЗ имелось всего 13 орудий Ф-32, это более чем в 2 раза меньше плана. Лишь в самом конце сентября на завод прибыло 17 новых орудий ЗИС-5, это позволило сдать 27 танков, причем на них стали ставить прежде всего ЗИС-5 (20860).</w:t>
      </w:r>
    </w:p>
    <w:p w14:paraId="34E05FF7" w14:textId="77777777" w:rsidR="008E7887" w:rsidRPr="00640820" w:rsidRDefault="008E7887" w:rsidP="00640820">
      <w:pPr>
        <w:shd w:val="clear" w:color="auto" w:fill="FFFFFF"/>
        <w:spacing w:after="0" w:line="240" w:lineRule="auto"/>
        <w:jc w:val="both"/>
        <w:rPr>
          <w:rFonts w:ascii="Times New Roman" w:eastAsia="Times New Roman" w:hAnsi="Times New Roman"/>
          <w:color w:val="0070C0"/>
          <w:sz w:val="16"/>
          <w:szCs w:val="16"/>
          <w:lang w:eastAsia="ru-RU"/>
        </w:rPr>
      </w:pPr>
    </w:p>
    <w:p w14:paraId="514453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1 сен</w:t>
      </w:r>
      <w:r w:rsidRPr="00640820">
        <w:rPr>
          <w:rFonts w:ascii="Times New Roman" w:hAnsi="Times New Roman"/>
          <w:color w:val="000000" w:themeColor="text1"/>
          <w:sz w:val="16"/>
          <w:szCs w:val="16"/>
        </w:rPr>
        <w:softHyphen/>
        <w:t>тября 1941 г. зенитные танки Т-50 и Т-34 с башнями Савина были близки к готовности. В частности, башня для Т-50 была готова и даже установлена на танк, монтажу же башни на Т-34 мешало отсутствие необходимого элект</w:t>
      </w:r>
      <w:r w:rsidRPr="00640820">
        <w:rPr>
          <w:rFonts w:ascii="Times New Roman" w:hAnsi="Times New Roman"/>
          <w:color w:val="000000" w:themeColor="text1"/>
          <w:sz w:val="16"/>
          <w:szCs w:val="16"/>
        </w:rPr>
        <w:softHyphen/>
        <w:t>рооборудования и, в частности, двигателей постоянного то</w:t>
      </w:r>
      <w:r w:rsidRPr="00640820">
        <w:rPr>
          <w:rFonts w:ascii="Times New Roman" w:hAnsi="Times New Roman"/>
          <w:color w:val="000000" w:themeColor="text1"/>
          <w:sz w:val="16"/>
          <w:szCs w:val="16"/>
        </w:rPr>
        <w:softHyphen/>
        <w:t>ка нужной мощности. Но даже их наличие вряд ли чем-то Убыстрило бы работы в данном направлении. Дело в том, что завод № 4 НКВ к эвакуации из Ленинграда так и не подал группе Савина ни 25-мм, ни 37-мм зенитного автомата с из</w:t>
      </w:r>
      <w:r w:rsidRPr="00640820">
        <w:rPr>
          <w:rFonts w:ascii="Times New Roman" w:hAnsi="Times New Roman"/>
          <w:color w:val="000000" w:themeColor="text1"/>
          <w:sz w:val="16"/>
          <w:szCs w:val="16"/>
        </w:rPr>
        <w:softHyphen/>
        <w:t>мененной системой питания. Поэтому перед эвакуацией башня с танка Т-50 была демонтирована, а сам танк, укомп</w:t>
      </w:r>
      <w:r w:rsidRPr="00640820">
        <w:rPr>
          <w:rFonts w:ascii="Times New Roman" w:hAnsi="Times New Roman"/>
          <w:color w:val="000000" w:themeColor="text1"/>
          <w:sz w:val="16"/>
          <w:szCs w:val="16"/>
        </w:rPr>
        <w:softHyphen/>
        <w:t>лектованный серийной башней, отправлен на фронт. Зенит</w:t>
      </w:r>
      <w:r w:rsidRPr="00640820">
        <w:rPr>
          <w:rFonts w:ascii="Times New Roman" w:hAnsi="Times New Roman"/>
          <w:color w:val="000000" w:themeColor="text1"/>
          <w:sz w:val="16"/>
          <w:szCs w:val="16"/>
        </w:rPr>
        <w:softHyphen/>
        <w:t>ная же башня Савина для Т-34 была вывезена в Свердловск (11417).</w:t>
      </w:r>
    </w:p>
    <w:p w14:paraId="455076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7EE9430" w14:textId="77777777" w:rsidR="00C47215" w:rsidRPr="00640820" w:rsidRDefault="00C47215" w:rsidP="00640820">
      <w:pPr>
        <w:pStyle w:val="article-renderblock"/>
        <w:shd w:val="clear" w:color="auto" w:fill="FFFFFF"/>
        <w:spacing w:before="0" w:beforeAutospacing="0" w:after="0" w:afterAutospacing="0"/>
        <w:jc w:val="both"/>
        <w:rPr>
          <w:color w:val="0070C0"/>
          <w:sz w:val="16"/>
          <w:szCs w:val="16"/>
        </w:rPr>
      </w:pPr>
      <w:r w:rsidRPr="00640820">
        <w:rPr>
          <w:color w:val="0070C0"/>
          <w:sz w:val="16"/>
          <w:szCs w:val="16"/>
        </w:rPr>
        <w:t>К 1 сентября 1941 года Ворошиловградский и Ново-Краматорский заводы, согласно постановлениям ГКО выступали смежниками по обоим машинам (ХТЗ-16 и Т-60) не подали ХТЗ ни одного корпуса. Дело было в производственных проблемах, посему первые 33 бронетрактора пришлось делать с корпусами из неброневой стали. А дальше, когда производство уже наладили, время стало неумолимо тикать. И вот тут решение по двум типам машин сыграло ключевую роль. Вместо ХТЗ-16, который имел гораздо более простой корпус, заводам пришлось делать корпуса и башни для двух типов танков. Причем Т-60 получался сложнее. Итог вполне ожидаемый (21357).</w:t>
      </w:r>
    </w:p>
    <w:p w14:paraId="26B7DEF0" w14:textId="77777777" w:rsidR="00C47215" w:rsidRPr="00640820" w:rsidRDefault="00C47215" w:rsidP="00640820">
      <w:pPr>
        <w:pStyle w:val="article-renderblock"/>
        <w:shd w:val="clear" w:color="auto" w:fill="FFFFFF"/>
        <w:spacing w:before="0" w:beforeAutospacing="0" w:after="0" w:afterAutospacing="0"/>
        <w:jc w:val="both"/>
        <w:rPr>
          <w:color w:val="0070C0"/>
          <w:sz w:val="16"/>
          <w:szCs w:val="16"/>
        </w:rPr>
      </w:pPr>
    </w:p>
    <w:p w14:paraId="3ACDDDF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сентября 1941 вышло Постановление ГКО № 607 [О назначении Кирпичникова П.И. и Кузнецова В.В. заместителями уполномоченного ГКО по вопросам вооружений.] (7009, 78).</w:t>
      </w:r>
    </w:p>
    <w:p w14:paraId="06C90F4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5B88E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сентября 1941 вышло Распоряжение ГКО № 608 [Об утверждении поставок НКВ оптических приборов для ВМФ на сентябрь и IV квартал 1941 г.] (7009, 79,80-81).</w:t>
      </w:r>
    </w:p>
    <w:p w14:paraId="54A0FB8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DD9D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сентября 1941 вышло Распоряжение ГКО № 609 Об использовании ИТР и строительных механизмов НКзема на оборонительном строительстве. РГАНИР, Фонд ГКО, д. 8, лл. 82 (11012).</w:t>
      </w:r>
    </w:p>
    <w:p w14:paraId="56EBE6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2E89A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сентября 1941 вышло Распоряжение ГКО № 610 Об обеспечении поставками взрывчатых веществ завода № 522 НКБ в Ленинграде. РГАНИР, Фонд ГКО, д. 8, лл. 83 (11012).</w:t>
      </w:r>
    </w:p>
    <w:p w14:paraId="2072FC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64C524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 сентября на ГАЗе созда</w:t>
      </w:r>
      <w:r w:rsidRPr="00640820">
        <w:rPr>
          <w:rFonts w:ascii="Times New Roman" w:hAnsi="Times New Roman"/>
          <w:color w:val="000000" w:themeColor="text1"/>
          <w:sz w:val="16"/>
          <w:szCs w:val="16"/>
        </w:rPr>
        <w:softHyphen/>
        <w:t>ется «танковое производство» и «танковое бюро» для поддер</w:t>
      </w:r>
      <w:r w:rsidRPr="00640820">
        <w:rPr>
          <w:rFonts w:ascii="Times New Roman" w:hAnsi="Times New Roman"/>
          <w:color w:val="000000" w:themeColor="text1"/>
          <w:sz w:val="16"/>
          <w:szCs w:val="16"/>
        </w:rPr>
        <w:softHyphen/>
        <w:t>жки серийного выпуска Т-60 и доработки его конструкции (10782).</w:t>
      </w:r>
    </w:p>
    <w:p w14:paraId="68FE0B1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FD721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1 сентября 1941 на ГАЗе было выделено «танковое производство» и соз</w:t>
      </w:r>
      <w:r w:rsidRPr="00640820">
        <w:rPr>
          <w:rFonts w:ascii="Times New Roman" w:hAnsi="Times New Roman"/>
          <w:color w:val="000000" w:themeColor="text1"/>
          <w:sz w:val="16"/>
          <w:szCs w:val="16"/>
        </w:rPr>
        <w:softHyphen/>
        <w:t>дано «танковое КБ» для сопровождения серийного выпуска Т-60. Н. Астров, перегнавший своим ходом эталонный Т-60 из Москвы в Горький, был оставлен там для организации серийного выпуска танков (11084).</w:t>
      </w:r>
    </w:p>
    <w:p w14:paraId="3A0F91C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5992F0" w14:textId="77777777" w:rsidR="00150B39" w:rsidRPr="00640820" w:rsidRDefault="00150B39" w:rsidP="00640820">
      <w:pPr>
        <w:pStyle w:val="162"/>
        <w:shd w:val="clear" w:color="auto" w:fill="auto"/>
        <w:spacing w:line="240" w:lineRule="auto"/>
        <w:jc w:val="both"/>
        <w:rPr>
          <w:color w:val="000000" w:themeColor="text1"/>
          <w:sz w:val="16"/>
          <w:szCs w:val="16"/>
        </w:rPr>
      </w:pPr>
      <w:r w:rsidRPr="00640820">
        <w:rPr>
          <w:color w:val="000000" w:themeColor="text1"/>
          <w:sz w:val="16"/>
          <w:szCs w:val="16"/>
        </w:rPr>
        <w:t>1 сентября 1941 года в записке военпреда ГАБТУ на ХТЗ военинженера 2-го ранга Плахова в ГАБТУ, в Народный комиссариат Госконтроля говорилось:</w:t>
      </w:r>
    </w:p>
    <w:p w14:paraId="4166A168" w14:textId="77777777" w:rsidR="00150B39" w:rsidRPr="00640820" w:rsidRDefault="00150B39" w:rsidP="00640820">
      <w:pPr>
        <w:pStyle w:val="ae"/>
        <w:spacing w:before="0" w:after="0"/>
        <w:jc w:val="both"/>
        <w:rPr>
          <w:color w:val="000000" w:themeColor="text1"/>
          <w:sz w:val="16"/>
          <w:szCs w:val="16"/>
        </w:rPr>
      </w:pPr>
      <w:r w:rsidRPr="00640820">
        <w:rPr>
          <w:color w:val="000000" w:themeColor="text1"/>
          <w:sz w:val="16"/>
          <w:szCs w:val="16"/>
        </w:rPr>
        <w:t>«&lt;...&gt; Несмотря на неоднократные напоминания и предупреждения, ХЭМЗ до сего момента не сдал ни одной детали по бортфрикционам. Толь</w:t>
      </w:r>
      <w:r w:rsidRPr="00640820">
        <w:rPr>
          <w:color w:val="000000" w:themeColor="text1"/>
          <w:sz w:val="16"/>
          <w:szCs w:val="16"/>
        </w:rPr>
        <w:softHyphen/>
        <w:t>ко 27/</w:t>
      </w:r>
      <w:r w:rsidRPr="00640820">
        <w:rPr>
          <w:color w:val="000000" w:themeColor="text1"/>
          <w:sz w:val="16"/>
          <w:szCs w:val="16"/>
          <w:lang w:val="en-US"/>
        </w:rPr>
        <w:t>VIII</w:t>
      </w:r>
      <w:r w:rsidRPr="00640820">
        <w:rPr>
          <w:color w:val="000000" w:themeColor="text1"/>
          <w:sz w:val="16"/>
          <w:szCs w:val="16"/>
        </w:rPr>
        <w:t>-41 г. директор ХЭМЗ тов. Скидаренко заявил представителям БТУи ХТЗ, что «бортфрикционов я не делал и делать не буду», мотивиро</w:t>
      </w:r>
      <w:r w:rsidRPr="00640820">
        <w:rPr>
          <w:color w:val="000000" w:themeColor="text1"/>
          <w:sz w:val="16"/>
          <w:szCs w:val="16"/>
        </w:rPr>
        <w:softHyphen/>
        <w:t>вав свое заявление отсутствием шлифовальных станков для изготовления дисков и тем, что на днях получил разрешение от наркома электропро</w:t>
      </w:r>
      <w:r w:rsidRPr="00640820">
        <w:rPr>
          <w:color w:val="000000" w:themeColor="text1"/>
          <w:sz w:val="16"/>
          <w:szCs w:val="16"/>
        </w:rPr>
        <w:softHyphen/>
        <w:t>мышленности и НКСМ тов. Малышева прекратить заказ ХТЗ.</w:t>
      </w:r>
    </w:p>
    <w:p w14:paraId="194AF0AC" w14:textId="77777777" w:rsidR="00150B39" w:rsidRPr="00640820" w:rsidRDefault="00150B3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ХТЗ, имея решение правительства и взаим</w:t>
      </w:r>
      <w:r w:rsidRPr="00640820">
        <w:rPr>
          <w:rFonts w:ascii="Times New Roman" w:hAnsi="Times New Roman"/>
          <w:color w:val="000000" w:themeColor="text1"/>
          <w:sz w:val="16"/>
          <w:szCs w:val="16"/>
        </w:rPr>
        <w:softHyphen/>
        <w:t>ные обязательства ХЭМЗа, не запустил в про</w:t>
      </w:r>
      <w:r w:rsidRPr="00640820">
        <w:rPr>
          <w:rFonts w:ascii="Times New Roman" w:hAnsi="Times New Roman"/>
          <w:color w:val="000000" w:themeColor="text1"/>
          <w:sz w:val="16"/>
          <w:szCs w:val="16"/>
        </w:rPr>
        <w:softHyphen/>
        <w:t>изводство эти детали. ХЭМЗ, в свою очередь, не изготовил даже ни одного штампа и приспосо</w:t>
      </w:r>
      <w:r w:rsidRPr="00640820">
        <w:rPr>
          <w:rFonts w:ascii="Times New Roman" w:hAnsi="Times New Roman"/>
          <w:color w:val="000000" w:themeColor="text1"/>
          <w:sz w:val="16"/>
          <w:szCs w:val="16"/>
        </w:rPr>
        <w:softHyphen/>
        <w:t>бления, которые вполне мог изготовить, не из</w:t>
      </w:r>
      <w:r w:rsidRPr="00640820">
        <w:rPr>
          <w:rFonts w:ascii="Times New Roman" w:hAnsi="Times New Roman"/>
          <w:color w:val="000000" w:themeColor="text1"/>
          <w:sz w:val="16"/>
          <w:szCs w:val="16"/>
        </w:rPr>
        <w:softHyphen/>
        <w:t>вестил об этом ХТЗ.</w:t>
      </w:r>
    </w:p>
    <w:p w14:paraId="6AFFB173" w14:textId="77777777" w:rsidR="00150B39" w:rsidRPr="00640820" w:rsidRDefault="00150B3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результате ХТЗ спустил задание цехам по этому узлу только 29.</w:t>
      </w:r>
      <w:r w:rsidRPr="00640820">
        <w:rPr>
          <w:rFonts w:ascii="Times New Roman" w:hAnsi="Times New Roman"/>
          <w:color w:val="000000" w:themeColor="text1"/>
          <w:sz w:val="16"/>
          <w:szCs w:val="16"/>
          <w:lang w:val="en-US"/>
        </w:rPr>
        <w:t>VII</w:t>
      </w:r>
      <w:r w:rsidRPr="00640820">
        <w:rPr>
          <w:rFonts w:ascii="Times New Roman" w:hAnsi="Times New Roman"/>
          <w:color w:val="000000" w:themeColor="text1"/>
          <w:sz w:val="16"/>
          <w:szCs w:val="16"/>
        </w:rPr>
        <w:t>1-41 г. тогда как по графику, утвержденному наркомом, выпуск танков должен был начаться 1.</w:t>
      </w:r>
      <w:r w:rsidRPr="00640820">
        <w:rPr>
          <w:rFonts w:ascii="Times New Roman" w:hAnsi="Times New Roman"/>
          <w:color w:val="000000" w:themeColor="text1"/>
          <w:sz w:val="16"/>
          <w:szCs w:val="16"/>
          <w:lang w:val="en-US"/>
        </w:rPr>
        <w:t>IX</w:t>
      </w:r>
      <w:r w:rsidRPr="00640820">
        <w:rPr>
          <w:rFonts w:ascii="Times New Roman" w:hAnsi="Times New Roman"/>
          <w:color w:val="000000" w:themeColor="text1"/>
          <w:sz w:val="16"/>
          <w:szCs w:val="16"/>
        </w:rPr>
        <w:t>, а по решению ГКО ХТЗ должен был уже выпустить к 1.</w:t>
      </w:r>
      <w:r w:rsidRPr="00640820">
        <w:rPr>
          <w:rFonts w:ascii="Times New Roman" w:hAnsi="Times New Roman"/>
          <w:color w:val="000000" w:themeColor="text1"/>
          <w:sz w:val="16"/>
          <w:szCs w:val="16"/>
          <w:lang w:val="en-US"/>
        </w:rPr>
        <w:t>IX</w:t>
      </w:r>
      <w:r w:rsidRPr="00640820">
        <w:rPr>
          <w:rFonts w:ascii="Times New Roman" w:hAnsi="Times New Roman"/>
          <w:color w:val="000000" w:themeColor="text1"/>
          <w:sz w:val="16"/>
          <w:szCs w:val="16"/>
        </w:rPr>
        <w:t>- 41 г. 50 штук танков.</w:t>
      </w:r>
    </w:p>
    <w:p w14:paraId="6E47871B" w14:textId="77777777" w:rsidR="00150B39" w:rsidRPr="00640820" w:rsidRDefault="00150B3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Считаю, что подобное поведение директора ХЭМЗ тов. Скидаренко граничит с преступлени</w:t>
      </w:r>
      <w:r w:rsidRPr="00640820">
        <w:rPr>
          <w:rFonts w:ascii="Times New Roman" w:hAnsi="Times New Roman"/>
          <w:color w:val="000000" w:themeColor="text1"/>
          <w:sz w:val="16"/>
          <w:szCs w:val="16"/>
        </w:rPr>
        <w:softHyphen/>
        <w:t>ем. Своевременно не известил ХТЗ об отказе вы</w:t>
      </w:r>
      <w:r w:rsidRPr="00640820">
        <w:rPr>
          <w:rFonts w:ascii="Times New Roman" w:hAnsi="Times New Roman"/>
          <w:color w:val="000000" w:themeColor="text1"/>
          <w:sz w:val="16"/>
          <w:szCs w:val="16"/>
        </w:rPr>
        <w:softHyphen/>
        <w:t>полнять заказ, согласившись вначале, пропустив много времени, не начав отладку технологии, по</w:t>
      </w:r>
      <w:r w:rsidRPr="00640820">
        <w:rPr>
          <w:rFonts w:ascii="Times New Roman" w:hAnsi="Times New Roman"/>
          <w:color w:val="000000" w:themeColor="text1"/>
          <w:sz w:val="16"/>
          <w:szCs w:val="16"/>
        </w:rPr>
        <w:softHyphen/>
        <w:t>ставил ХТЗ перед фактом отсутствия важней</w:t>
      </w:r>
      <w:r w:rsidRPr="00640820">
        <w:rPr>
          <w:rFonts w:ascii="Times New Roman" w:hAnsi="Times New Roman"/>
          <w:color w:val="000000" w:themeColor="text1"/>
          <w:sz w:val="16"/>
          <w:szCs w:val="16"/>
        </w:rPr>
        <w:softHyphen/>
        <w:t>шего агрегата к моменту сборки первых танков.</w:t>
      </w:r>
    </w:p>
    <w:p w14:paraId="4916FA3D" w14:textId="77777777" w:rsidR="00150B39" w:rsidRPr="00640820" w:rsidRDefault="00150B3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Завод ХТГЗ (Харьковский турбогенератор</w:t>
      </w:r>
      <w:r w:rsidRPr="00640820">
        <w:rPr>
          <w:rFonts w:ascii="Times New Roman" w:hAnsi="Times New Roman"/>
          <w:color w:val="000000" w:themeColor="text1"/>
          <w:sz w:val="16"/>
          <w:szCs w:val="16"/>
        </w:rPr>
        <w:softHyphen/>
        <w:t>ный завод им. Кирова — прим. ред.) этим же по</w:t>
      </w:r>
      <w:r w:rsidRPr="00640820">
        <w:rPr>
          <w:rFonts w:ascii="Times New Roman" w:hAnsi="Times New Roman"/>
          <w:color w:val="000000" w:themeColor="text1"/>
          <w:sz w:val="16"/>
          <w:szCs w:val="16"/>
        </w:rPr>
        <w:softHyphen/>
        <w:t>становлением обязан поставлять ХТЗ для танка Т-60 ленивцы и катки в сборе, на сегодняшний день ХТЗ не сдано ни единого комплекта. Про</w:t>
      </w:r>
      <w:r w:rsidRPr="00640820">
        <w:rPr>
          <w:rFonts w:ascii="Times New Roman" w:hAnsi="Times New Roman"/>
          <w:color w:val="000000" w:themeColor="text1"/>
          <w:sz w:val="16"/>
          <w:szCs w:val="16"/>
        </w:rPr>
        <w:softHyphen/>
        <w:t>изводство катков не обеспечено гибочным и сва</w:t>
      </w:r>
      <w:r w:rsidRPr="00640820">
        <w:rPr>
          <w:rFonts w:ascii="Times New Roman" w:hAnsi="Times New Roman"/>
          <w:color w:val="000000" w:themeColor="text1"/>
          <w:sz w:val="16"/>
          <w:szCs w:val="16"/>
        </w:rPr>
        <w:softHyphen/>
        <w:t>рочным оборудованием.</w:t>
      </w:r>
    </w:p>
    <w:p w14:paraId="118AD180" w14:textId="77777777" w:rsidR="00150B39" w:rsidRPr="00640820" w:rsidRDefault="00150B39" w:rsidP="00640820">
      <w:pPr>
        <w:pStyle w:val="ae"/>
        <w:spacing w:before="0" w:after="0"/>
        <w:jc w:val="both"/>
        <w:rPr>
          <w:color w:val="000000" w:themeColor="text1"/>
          <w:sz w:val="16"/>
          <w:szCs w:val="16"/>
        </w:rPr>
      </w:pPr>
      <w:r w:rsidRPr="00640820">
        <w:rPr>
          <w:color w:val="000000" w:themeColor="text1"/>
          <w:sz w:val="16"/>
          <w:szCs w:val="16"/>
        </w:rPr>
        <w:t>ХЭМЗ, находясь под одной крышей с ХТГЗ, отказывается помочь последнему гнуть и свари</w:t>
      </w:r>
      <w:r w:rsidRPr="00640820">
        <w:rPr>
          <w:color w:val="000000" w:themeColor="text1"/>
          <w:sz w:val="16"/>
          <w:szCs w:val="16"/>
        </w:rPr>
        <w:softHyphen/>
        <w:t>вать бандажи катков'. Приняв во внимание, что катки до поступления на конвейер сборки должны быть посланы в Ярославль на обрезинку, такое отставание в по</w:t>
      </w:r>
      <w:r w:rsidRPr="00640820">
        <w:rPr>
          <w:color w:val="000000" w:themeColor="text1"/>
          <w:sz w:val="16"/>
          <w:szCs w:val="16"/>
        </w:rPr>
        <w:softHyphen/>
        <w:t>даче катков окончательно срывает график выпуска танков.</w:t>
      </w:r>
    </w:p>
    <w:p w14:paraId="1593DF17" w14:textId="77777777" w:rsidR="00150B39" w:rsidRPr="00640820" w:rsidRDefault="00150B3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Дополнительно сообщаю о том, что до сего времени Ворошилов- градский завод и завод «Красный Котельщик» г. Таганрог не отгружает бронекорпусов и бронедеталей Т-60, ГАЗ им. Молотова не подает мото</w:t>
      </w:r>
      <w:r w:rsidRPr="00640820">
        <w:rPr>
          <w:rFonts w:ascii="Times New Roman" w:hAnsi="Times New Roman"/>
          <w:color w:val="000000" w:themeColor="text1"/>
          <w:sz w:val="16"/>
          <w:szCs w:val="16"/>
        </w:rPr>
        <w:softHyphen/>
        <w:t>ров (на 30/</w:t>
      </w:r>
      <w:r w:rsidRPr="00640820">
        <w:rPr>
          <w:rFonts w:ascii="Times New Roman" w:hAnsi="Times New Roman"/>
          <w:color w:val="000000" w:themeColor="text1"/>
          <w:sz w:val="16"/>
          <w:szCs w:val="16"/>
          <w:lang w:val="en-US"/>
        </w:rPr>
        <w:t>VIII</w:t>
      </w:r>
      <w:r w:rsidRPr="00640820">
        <w:rPr>
          <w:rFonts w:ascii="Times New Roman" w:hAnsi="Times New Roman"/>
          <w:color w:val="000000" w:themeColor="text1"/>
          <w:sz w:val="16"/>
          <w:szCs w:val="16"/>
        </w:rPr>
        <w:t>-41 г. поступило всего 7 моторов, не укомплектованных электрооборудованием и карбюраторами), з-д № 34 не дает радиато</w:t>
      </w:r>
      <w:r w:rsidRPr="00640820">
        <w:rPr>
          <w:rFonts w:ascii="Times New Roman" w:hAnsi="Times New Roman"/>
          <w:color w:val="000000" w:themeColor="text1"/>
          <w:sz w:val="16"/>
          <w:szCs w:val="16"/>
        </w:rPr>
        <w:softHyphen/>
        <w:t>ров, Главкоммежпром и НКСМ не обеспечивают ХТЗ и харьковские за</w:t>
      </w:r>
      <w:r w:rsidRPr="00640820">
        <w:rPr>
          <w:rFonts w:ascii="Times New Roman" w:hAnsi="Times New Roman"/>
          <w:color w:val="000000" w:themeColor="text1"/>
          <w:sz w:val="16"/>
          <w:szCs w:val="16"/>
        </w:rPr>
        <w:softHyphen/>
        <w:t>воды-кооператоры материалами для большой программы, в частности, нет стали для торсионов.</w:t>
      </w:r>
    </w:p>
    <w:p w14:paraId="64E222AF" w14:textId="77777777" w:rsidR="00150B39" w:rsidRPr="00640820" w:rsidRDefault="00150B39" w:rsidP="00640820">
      <w:pPr>
        <w:pStyle w:val="ae"/>
        <w:spacing w:before="0" w:after="0"/>
        <w:jc w:val="both"/>
        <w:rPr>
          <w:color w:val="000000" w:themeColor="text1"/>
          <w:sz w:val="16"/>
          <w:szCs w:val="16"/>
        </w:rPr>
      </w:pPr>
      <w:r w:rsidRPr="00640820">
        <w:rPr>
          <w:color w:val="000000" w:themeColor="text1"/>
          <w:sz w:val="16"/>
          <w:szCs w:val="16"/>
        </w:rPr>
        <w:t>Прошу принять все зависящие от Вас меры».</w:t>
      </w:r>
    </w:p>
    <w:p w14:paraId="52598FA8" w14:textId="77777777" w:rsidR="00150B39" w:rsidRPr="00640820" w:rsidRDefault="00150B39" w:rsidP="00640820">
      <w:pPr>
        <w:pStyle w:val="ae"/>
        <w:spacing w:before="0" w:after="0"/>
        <w:jc w:val="both"/>
        <w:rPr>
          <w:color w:val="000000" w:themeColor="text1"/>
          <w:sz w:val="16"/>
          <w:szCs w:val="16"/>
        </w:rPr>
      </w:pPr>
      <w:r w:rsidRPr="00640820">
        <w:rPr>
          <w:color w:val="000000" w:themeColor="text1"/>
          <w:sz w:val="16"/>
          <w:szCs w:val="16"/>
        </w:rPr>
        <w:t>В сложившуюся в Харькове непростую ситуацию пришлось вме</w:t>
      </w:r>
      <w:r w:rsidRPr="00640820">
        <w:rPr>
          <w:color w:val="000000" w:themeColor="text1"/>
          <w:sz w:val="16"/>
          <w:szCs w:val="16"/>
        </w:rPr>
        <w:softHyphen/>
        <w:t>шиваться лично Малышеву. Ввиду того что ХГТЗ лишь к 12 сентября смог отправить первые 20 катков на обрезинку, было дано указание прислать на первые Т-60 недостающие узлы с завода № 37. Кроме того, на ХТЗ запустили работу по производству литых опорных кат</w:t>
      </w:r>
      <w:r w:rsidRPr="00640820">
        <w:rPr>
          <w:color w:val="000000" w:themeColor="text1"/>
          <w:sz w:val="16"/>
          <w:szCs w:val="16"/>
        </w:rPr>
        <w:softHyphen/>
        <w:t>ков, к середине сентября изготовили первые образцы. Выпуск бор</w:t>
      </w:r>
      <w:r w:rsidRPr="00640820">
        <w:rPr>
          <w:color w:val="000000" w:themeColor="text1"/>
          <w:sz w:val="16"/>
          <w:szCs w:val="16"/>
        </w:rPr>
        <w:softHyphen/>
        <w:t>товых передач, от производства которых отказался ХЭМЗ, также на</w:t>
      </w:r>
      <w:r w:rsidRPr="00640820">
        <w:rPr>
          <w:color w:val="000000" w:themeColor="text1"/>
          <w:sz w:val="16"/>
          <w:szCs w:val="16"/>
        </w:rPr>
        <w:softHyphen/>
        <w:t xml:space="preserve">ладили на ХТЗ. Проблему отсутствия торсионов временно решили использованием заготовок, полученных с завода № 183. </w:t>
      </w:r>
    </w:p>
    <w:p w14:paraId="50E8F214" w14:textId="77777777" w:rsidR="00150B39" w:rsidRPr="00640820" w:rsidRDefault="00150B39" w:rsidP="00640820">
      <w:pPr>
        <w:pStyle w:val="ae"/>
        <w:spacing w:before="0" w:after="0"/>
        <w:jc w:val="both"/>
        <w:rPr>
          <w:color w:val="000000" w:themeColor="text1"/>
          <w:sz w:val="16"/>
          <w:szCs w:val="16"/>
        </w:rPr>
      </w:pPr>
      <w:r w:rsidRPr="00640820">
        <w:rPr>
          <w:color w:val="000000" w:themeColor="text1"/>
          <w:sz w:val="16"/>
          <w:szCs w:val="16"/>
        </w:rPr>
        <w:t>Руководство ХТЗ всячески противилось постепенному сворачива</w:t>
      </w:r>
      <w:r w:rsidRPr="00640820">
        <w:rPr>
          <w:color w:val="000000" w:themeColor="text1"/>
          <w:sz w:val="16"/>
          <w:szCs w:val="16"/>
        </w:rPr>
        <w:softHyphen/>
        <w:t>нию выпуска бронетрактора ХТЗ-16, для решения вопроса понадоби</w:t>
      </w:r>
      <w:r w:rsidRPr="00640820">
        <w:rPr>
          <w:color w:val="000000" w:themeColor="text1"/>
          <w:sz w:val="16"/>
          <w:szCs w:val="16"/>
        </w:rPr>
        <w:softHyphen/>
        <w:t>лось вмешательство сверху (17485).</w:t>
      </w:r>
    </w:p>
    <w:p w14:paraId="139BBF23" w14:textId="77777777" w:rsidR="00150B39" w:rsidRPr="00640820" w:rsidRDefault="00150B39" w:rsidP="00640820">
      <w:pPr>
        <w:pStyle w:val="ae"/>
        <w:spacing w:before="0" w:after="0"/>
        <w:jc w:val="both"/>
        <w:rPr>
          <w:color w:val="000000" w:themeColor="text1"/>
          <w:sz w:val="16"/>
          <w:szCs w:val="16"/>
        </w:rPr>
      </w:pPr>
    </w:p>
    <w:p w14:paraId="59005B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сентября 1941 года приказом Народного Комиссариата электропромышленности (НКЭП) СССР эвакуированному в г. Омск Киевскому заводу присвоено наименование "Омский завод электротехнической аппаратуры - ОмЗЭТА". Этот день считается официальным днем рождения завода. 1 октября 1941 года приказом НКЭП СССР ОмЗЭТА переименован в "Государственный союзный завод № 634". 3 октября 1941 года принято решение НКЭП СССР об эвакуации Краснодарского завода ЗИП, уже в декабре первые эшелоны прибыли из Краснодара в Омск. В феврале-марте 1942 года из Ленинграда прибыли квалифицированные специалисты института ВИЭП - бывшей Отраслевой лаборатории - ОЛИЗ.</w:t>
      </w:r>
    </w:p>
    <w:p w14:paraId="7DBCBF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193 киевлянина, 293 краснодарца и 14 специалистов из Ленинграда стояли у истоков будущего флагмана отечественного приборостроения. За годы войны коллектив пополнился сотнями омичей.</w:t>
      </w:r>
    </w:p>
    <w:p w14:paraId="4D1988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началом Великой Отечественной войны в невиданных масштабах развернулось производство военной техники, возросла потребность в электроизмерительных приборах. Задача обеспечения нужд обороны приборами была решена приборостроительными заводами страны. ОмЗЭТА выпустил 80 процентов электроизмерительных приборов от общего числа, произведенных в годы войны. Неконтактные взрыватели для морских мин "МИРАБ" и авиационных мин АМД-500, приборы для радиостанций - М63 и другие изделия специального назначения были основной продукцией ОмЗЭТА. В 1946 году коллективу завода было передано на вечное хранение переходящее Красное знамя Государственного Комитета Обороны СССР, не покидавшее завод с ноября 1942 года и до конца войны. Завод-воин вписал достойную строку в историю Великой Победы.</w:t>
      </w:r>
    </w:p>
    <w:p w14:paraId="6791DE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годы восстановления разрушенного войной народного хозяйства завод стал одним из крупнейших предприятий приборостроения. Его продукцию можно было встретить в самых различных отраслях. В 1957 году предприятий было переименовано в "завод Омэлектроточприбор". В 1958 году началась "космическая эра" предприятия. Завод получил правительственное задание на освоение приборов для ракетно-космической техники.</w:t>
      </w:r>
    </w:p>
    <w:p w14:paraId="62086E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 поколения приборостроителей гордятся тем, что при запуске первого пилотируемого космического корабля "Восток" с космонавтом №1 Юрием Гагариным, главный конструктор С.П. Королев момент пуска определял по стрелке нашего измерительного прибора. И сегодня приборы ПО "Электроточприбор" работают в космосе и на земле при подготовке к полетам.</w:t>
      </w:r>
    </w:p>
    <w:p w14:paraId="7890A7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Более 150 работников предприятия награждены медалями и грамотами Федерации космонавтики СССР, РФ, предприятие дважды награждено Дипломами имени Юрия Гагарина. В 1963 году Министерством приборостроения было принято решение об организации производства приборов для шахтеров. Высокие технологические возможности, квалифицированный технически персонал и опыт специалистов СКБ определили выбор. Перед коллективом "Электроточприбора" была поставлена задача создать приборы безопасности коллективного и индивидуального пользования для контроля концентрации метана в атмосфере горных выработок и современные средства электровзрывания для шахт. В 1964 году первые сигнализаторы метана СМП-1 были отправлены на шахты. Следующим шагом в решении задачи стало объединение сигнализатора метана с головным светильником. В 1973 году был разработан сигнализатор метана СМС-1. Авторский коллектив предприятия был удостоен Государственной премии СССР.</w:t>
      </w:r>
    </w:p>
    <w:p w14:paraId="607A06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последующий период заводом был освоен целый ряд приборов для угольной промышленности - это взрывной прибор ИВП-1/12 (1967 год), малогабаритный сигнализатор метана СММ-1 (1974 год), специально для взрывников создан ИМС-1, совмещающий сигнализатор метана и омметр (1976 год). Работы, выполненные объединением по созданию средств безопасности, отмечены Государственными премиями СССР и Украинской ССР. В 1971 году коллектив завода удостоен высшей награды СССР - ордена Ленина.</w:t>
      </w:r>
    </w:p>
    <w:p w14:paraId="446784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История ПО "Электроточприбор" - это история отечественного приборостроения, от первых образцов военной техники до сложнейших информационно-измерительных и информационно-вычислительных комплексов.</w:t>
      </w:r>
    </w:p>
    <w:p w14:paraId="52528E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Наиболее яркими примерами использования наших изделий являются: использование приборов при проведении прочностных испытаний сложных технических объектов, авиационной и космической техники, в том числе космического корабля многоразового пользования "Буран" и сверхзвукового пассажирского лайнера ТУ-144; измерительная АСУ Абаканской ТЭЦ выполненная на блоках аналоговых сигналов ЦТ2170-1; использование Ш711 для температурного контроля реакторной установки Нововоронежской АЭС.</w:t>
      </w:r>
    </w:p>
    <w:p w14:paraId="443444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Современные приборы - это третье и четвертое поколение номенклатуры предприятия. Приборы исправно работают на многочисленных энергетических объектах (в том числе на атомных станциях), в угольной, нефтегазоперерабатывающей, металлургической, пищевой и легкой промышленности, на железнодорожном и городском электротранспорте. Светильники СМС-4, СГГ-8 и ряд других входят в группу - "100 Лучших товаров России".</w:t>
      </w:r>
    </w:p>
    <w:p w14:paraId="243DEE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Основной потребитель широкой гаммы щитовых приборов для тяжелых условий эксплуатации серии "Прочность" - Министерство обороны РФ.</w:t>
      </w:r>
    </w:p>
    <w:p w14:paraId="76EE28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644042, г.Омск-42, Проспект К. Маркса 18 (9687).</w:t>
      </w:r>
    </w:p>
    <w:p w14:paraId="298AD7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E6C93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сентября 1941 г. эвакуированные из Ленинграда цеха завода № 8 Главсвязьпрома НКЭП (228 чел., более 200 единиц оборудования, сырье и материалы), которые были реорганизованы в самостоятельный Молотовский завод телефонных аппаратов союзного значения в ведении Главсвязьпрома НКЭП и по пр. № 290сс от 18.09.1941 г. переименованы в ГС завод № 629 НКЭП (ГС завод № 629 НКЭП, Пермский телефонный завод (ПТЗ) МРП, А-3911, ОАО «ПТЗ «Телта» /г. Молотов,  г. Пермь/ /614990  г. Пермь ул. Окулова, 80/), были пущены в эксплуатацию. В 05.1942 г. в состав завода влита деревообделочная фабрика промкомбината местной промышленности. Выпускались полевые телефонные аппараты.</w:t>
      </w:r>
    </w:p>
    <w:p w14:paraId="366D7A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1971 г. ПТЗ - в ведении 15ГУ МРП, имел наименование «п/я А-3911».</w:t>
      </w:r>
    </w:p>
    <w:p w14:paraId="20F5F8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завода имелось КБ.</w:t>
      </w:r>
    </w:p>
    <w:p w14:paraId="175D71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(2000-е): телефонная аппаратура для структур государственного управления, силовых ведомств, для предприятий и организаций, для таксофонов.</w:t>
      </w:r>
    </w:p>
    <w:p w14:paraId="76E0BD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26CF8B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(-01.1971-72 г.-)- И.Ф. Титаренко.</w:t>
      </w:r>
    </w:p>
    <w:p w14:paraId="032137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(-1971-73 г.-)- В.П. Серов.</w:t>
      </w:r>
    </w:p>
    <w:p w14:paraId="2C5E4B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(-08.1971-72 г.-)- Ю. Г. Козик.</w:t>
      </w:r>
    </w:p>
    <w:p w14:paraId="387268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Зам. гл. инженера (1972 г.)-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Бочкарев.</w:t>
      </w:r>
    </w:p>
    <w:p w14:paraId="18301A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Гл. конструктор (1972 г.)- Ю.М. Соболев.</w:t>
      </w:r>
    </w:p>
    <w:p w14:paraId="0882CD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экономист (1972 г.)- Ф.В. Щеглов.</w:t>
      </w:r>
    </w:p>
    <w:p w14:paraId="1CFF4E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конструкторского (1972 г.)- П.Т. Никулин; ПДО (1972 г.)- А.П. Пьяных; ОТиЗ (1973 г.)- И.К. Морозов. Начальник ИВЦ (1972 г.)- Ф.Ф. Тимшина.</w:t>
      </w:r>
    </w:p>
    <w:p w14:paraId="09731B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телефонные аппараты: ТА-68, ТАН-70, АМТ-69, «Элетап»; репродуктор «Тайга» (1971).</w:t>
      </w:r>
      <w:r w:rsidRPr="00640820">
        <w:rPr>
          <w:rFonts w:ascii="Times New Roman" w:hAnsi="Times New Roman"/>
          <w:color w:val="000000" w:themeColor="text1"/>
          <w:sz w:val="16"/>
          <w:szCs w:val="16"/>
          <w:vertAlign w:val="superscript"/>
        </w:rPr>
        <w:t>135</w:t>
      </w:r>
    </w:p>
    <w:p w14:paraId="1FEA55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громкоговорители: «Тайга-2, -3, -4, -304, -305»; телефонный аппарат ТА-57; таксофоны: ТМГС-15280, ТГС-15360; устройство предпродажной проверки дебетных карт, выносной программирующий модуль, аппаратура защиты таксофона от несанкционированных подключений, оборудование дистанционного управления таксофонами; автотрансформаторы.</w:t>
      </w:r>
    </w:p>
    <w:p w14:paraId="7BCCA6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КБ Пермского телефонного завода</w:t>
      </w:r>
    </w:p>
    <w:p w14:paraId="750AA5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МРП/МВД/МС № 531/444/398 от 9.09.1968 г. выполнена ОКР «МТА-69» (1971 г.) по разработке нового монетного телефонного аппарата. По пр. МРП № 154 от 3.04.1970 г. выполнена НИР «ОНИОСПТ» (1971 г.), в результате разработаны материалы по социологии и психофизиологии труда (11982).</w:t>
      </w:r>
    </w:p>
    <w:p w14:paraId="348861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F13263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сентября 1941 года вышел Приказ НКБ № 474</w:t>
      </w:r>
    </w:p>
    <w:p w14:paraId="4CAE6E4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основании распоряжения СНК от 19 августа 1941 года № 8329-рс:</w:t>
      </w:r>
    </w:p>
    <w:p w14:paraId="5AC8EF7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Построить при комбинате № 179 с вводом в эксплуатацию до 1 января 1942 года второй взрывателей (5593, 27).</w:t>
      </w:r>
    </w:p>
    <w:p w14:paraId="699743A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0B49F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сентября 1941 года вышел Приказ НКБ № 476</w:t>
      </w:r>
    </w:p>
    <w:p w14:paraId="2B20681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Совет эвакуации распоряжением ; 5600-СЭ от 22 августа 1941 года удовлетворил просьбу НКБ об эвакуации оборудования завода № 1 ВТР НКБ и предложил немедленно произвести эвакуацию.</w:t>
      </w:r>
    </w:p>
    <w:p w14:paraId="1545DD0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Произвести эвакуацию оборудования завода № 1 из Ленинграда в Кемерово Новосибирской области на площади ремонтно-механического завода комбината № 392 (5593, 39).</w:t>
      </w:r>
    </w:p>
    <w:p w14:paraId="343DF30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A0E2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сентября 1941 года Указом Президиума ВС на базе асфальто-бетонного завода Саратовского областного дорожного отдела в Саратове было предложено организовать снаряжательный завод № 602.</w:t>
      </w:r>
    </w:p>
    <w:p w14:paraId="02221B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Эта площадка оказалась непригодной и была заменена в ноябре 1941 года на оцинковальный цех завода им. Ленина Наркомчермета.</w:t>
      </w:r>
    </w:p>
    <w:p w14:paraId="717FB9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декабря 1941 года завод приступил к выпуску боеприпасов (10226).</w:t>
      </w:r>
    </w:p>
    <w:p w14:paraId="4C0D04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A6546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сентября 1941 в Ленинграде достроили две ПЛ X серии ("щуки"). После ходовых испытаний по сокращенной программе корабли вступили в строй ВМФ,</w:t>
      </w:r>
    </w:p>
    <w:p w14:paraId="0A4F744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 по 15 сентября 1941 г. на НИП АВ ВВС проводились полигонные испытания пушки ШФК-37 на штурмовике Ил-2. Пушка от</w:t>
      </w:r>
      <w:r w:rsidRPr="00640820">
        <w:rPr>
          <w:rFonts w:ascii="Times New Roman" w:hAnsi="Times New Roman"/>
          <w:color w:val="000000" w:themeColor="text1"/>
          <w:sz w:val="16"/>
          <w:szCs w:val="16"/>
        </w:rPr>
        <w:softHyphen/>
        <w:t>носительно удачно стреляла как на земле, так и в воздухе. Автоматика ее работала за счет отвода газов. Питание поначалу было магазинное. Пушка Ш-37 выпускалась в варианте ШФК-37 (Шпитального фюзеляжная и крыльевая) и в варианте мотор-пушка МПШ-37. Пушка ШФК-37, включая магазин для патронов как ее состав</w:t>
      </w:r>
      <w:r w:rsidRPr="00640820">
        <w:rPr>
          <w:rFonts w:ascii="Times New Roman" w:hAnsi="Times New Roman"/>
          <w:color w:val="000000" w:themeColor="text1"/>
          <w:sz w:val="16"/>
          <w:szCs w:val="16"/>
        </w:rPr>
        <w:softHyphen/>
        <w:t>ную часть, в крыльевом варианте имела 387 деталей. Вес пушки с установкой на самолете Ил-2 составлял 302,5 кг (10695).</w:t>
      </w:r>
    </w:p>
    <w:p w14:paraId="252C62F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DE81A4"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1D20427A"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9A30A40" w14:textId="77777777" w:rsidR="004E2BF7" w:rsidRPr="00640820" w:rsidRDefault="004E2BF7"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 сентября </w:t>
      </w:r>
      <w:r w:rsidRPr="00640820">
        <w:rPr>
          <w:rFonts w:ascii="Times New Roman" w:hAnsi="Times New Roman"/>
          <w:color w:val="000000" w:themeColor="text1"/>
          <w:sz w:val="16"/>
          <w:szCs w:val="16"/>
        </w:rPr>
        <w:t>в 1941 году утреннее сообщение Совинформбюро:</w:t>
      </w:r>
    </w:p>
    <w:p w14:paraId="7ECD2179" w14:textId="77777777" w:rsidR="004E2BF7" w:rsidRPr="00640820" w:rsidRDefault="004E2B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ночь на 1 сентября наши войска вели бои с противником на всём фронте.</w:t>
      </w:r>
    </w:p>
    <w:p w14:paraId="1E8A1246" w14:textId="77777777" w:rsidR="004E2BF7" w:rsidRPr="00640820" w:rsidRDefault="004E2B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Энском участке Северного фронта против советского полка враг бросил немецкую дивизию «СС» и белофинскую бригаду. Красноармейцы мужественно оборонялись и срывали все планы немецкого командования. Вскоре к нашему полку присоединилась ещё одна часть. Сопротивление советских войск усилилось. Отчаявшись сломить оборону в прямом бою, фашисты решили обойти наши части. По болотам и лесным чащам в наш тыл пробрался полк белофиннов и перерезал шоссейную дорогу. Фашисты рассчитывали, что таким путём вызовут панику и смятение среди наших бойцов. Но расчёты врага не оправдались: красноармейцы, организовав круговую оборону, отбили все атаки противника. В это время к месту боя подошли наши подкрепления. Бойцы подразделения т. Дричкина прямо с марша вступили в бой и в ожесточенной схватке опрокинули противника. Сильно потрёпанный финский полк был прижат к озеру. Во фланг ему зашли бойцы подразделения командира Евсеева. Финны сами теперь оказались в кольце.</w:t>
      </w:r>
    </w:p>
    <w:p w14:paraId="31EBCFE3" w14:textId="77777777" w:rsidR="004E2BF7" w:rsidRPr="00640820" w:rsidRDefault="004E2B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Решительной атакой советских войск белофинский полк был добит. Из 2.000 фашистских солдат, пробравшихся в наш тыл, ушло из окружения не больше 600 человек. Захвачено и уничтожено 40 ручных и станковых пулемётов, много миномётов, винтовок и другого военного снаряжения. По показаниям пленного капрала Харламо Юго Вилго, «из строя выбыли почти все командиры рот. Во многих отделениях осталось два — три солдата из двенадцати».</w:t>
      </w:r>
    </w:p>
    <w:p w14:paraId="3E9303BE" w14:textId="77777777" w:rsidR="004E2BF7" w:rsidRPr="00640820" w:rsidRDefault="004E2B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Партизанские отряды не дают покоя немецко-белофинским войскам, захватившим отдельные районы Карело-Финской республики. Фашистское командование бросило значительные силы для борьбы против партизан, усилило охрану дорог, мостов и складов, но неустрашимые партизаны нащупывают слабые места врага и наносят ему серьёзные удары. В деревне К. расположился небольшой белофинский гарнизон. Партизанский отряд под командованием тов. Л, ночью окружил белофиннов и внезапно напал на них. Партизаны убили 20 вражеских солдат, уничтожили продовольственный склад, захватили 2 пулемёта и несколько десятков винтовок.</w:t>
      </w:r>
    </w:p>
    <w:p w14:paraId="2903666B" w14:textId="77777777" w:rsidR="004E2BF7" w:rsidRPr="00640820" w:rsidRDefault="004E2B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Партизанский отряд под командованием тов. М. получил сведения, что противник собирается подвести мотомехчасти к району Н. Группа партизан в короткий срок преодолела большое расстояние и, придя раньше финнов, взорвала мост, лежавший на пути передвижения войск противника. Вражеские танки остановились. Другая группа партизан этого отряда уничтожила во многих местах телеграфную линию и минировала дороги.</w:t>
      </w:r>
    </w:p>
    <w:p w14:paraId="027CDAE9" w14:textId="77777777" w:rsidR="004E2BF7" w:rsidRPr="00640820" w:rsidRDefault="004E2B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районе П. партизаны подожгли лес, по которому двигались вражеские части. Огонь преградил фашистам путь вперёд. Они кинулись назад, но и здесь вдоль дороги горел лес. Фашисты понесли большие потери. Партизаны не знают страха в борьбе против фашистских бандитов. Выполняя боевой приказ командира, партизан тов. Зернов неожиданно натолкнулся на группу белофиннов. Не растерявшись, смелый партизан бросил в белофиннов две гранаты. Четыре вражеских солдата было убито. Тов. Зернов добрался до реки, переплыл её и благополучно вернулся в отряд.</w:t>
      </w:r>
    </w:p>
    <w:p w14:paraId="0AE6CD6D" w14:textId="77777777" w:rsidR="004E2BF7" w:rsidRPr="00640820" w:rsidRDefault="004E2B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Сотни тысяч раненых немецких солдат и офицеров переполнили все больницы и госпитали в Германии, Австрии, Чехословакии и Польше. Па днях фашистское командование приказало использовать под госпитали все бельгийские больницы. Тысячи тяжело больных бельгийцев, находившихся в городских больницах Брюсселя, Антверпена, Льежа, Гента и других городов Бельгии, изгоняются гестаповцами из больниц. Кроме того, фашисты реквизируют сотни частных домов и квартир. В реквизированных домах открываются госпитали для фашистского командного состава. В Бельгии в ближайшие дни ожидается новая партия раненых немецких солдат в 40.000 человек.</w:t>
      </w:r>
    </w:p>
    <w:p w14:paraId="53638B97" w14:textId="77777777" w:rsidR="004E2BF7" w:rsidRPr="00640820" w:rsidRDefault="004E2B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Немецкие фашисты продолжают зверские расправы над французскими патриотами. В Страсбурге, по специальному приказу Гитлера, заключены в тюрьму 18 католических священников. В числе арестованных за антифашистские выступления аббаты Эбер и Пинк. В департаменте Мозель только за последние дни отправлены в концентрационные лагеря 60 священников. В Париже ежедневно вспыхивают стихийные демонстрации протеста против фашистских поработителей. Тысячи парижанок участвовали в одной из таких демонстраций, происходившей на улице Рокет. В кинотеатре города Мелен все зрители демонстративно покинули свои места, когда на экране появились первые кадры очередной фашистской кинохроники. Гестаповцы загнали публику обратно в зрительный зал. На другой день немецкий комендант Мелена заметил французам появляться на улицах после 9 часов вечера. В пригороде Парижа Курбвуа патриоты сожгли завод, выполнявший немецкие заказы. В департаменте Сены и Уазы егорел дотла огромный склад с реквизированным немцами фуражом.</w:t>
      </w:r>
    </w:p>
    <w:p w14:paraId="2CEF0B25" w14:textId="77777777" w:rsidR="004E2BF7" w:rsidRPr="00640820" w:rsidRDefault="004E2B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Новыми трудовыми подвигами отвечают трудящиеся Ленинграда на воззвание товарищей Ворошилова, Жданова и Попкова. Токарь Н-ского завода тов. Казаченко стал давать продукции в четыре раза больше, чем давал её до сих пор. На зуборезном станке тов. Михайлов обрабатывает свыше 200 деталей за смену вместо 70 по норме. От трёх до пяти норм начали давать сверловщик тов. Шувалов, токарь тов. Соловьёв, строгальщик тов. Соколов, зуборез тов. Планк и многие сотни других стахановцев. С каждым днём возрастает выпуск продукции на другом ленинградском Энском заводе. Коллектив первого механического цеха за последние дни увеличил выпуск важнейших оборонных изделий в четыре раза. Токарь тов. Мехкатс, сверловщик тов. Ридзин н другие ежедневно выполняют норму не менее, чем на 300 процентов. На днях инструментальный цех получил срочный заказ. Работа была поручена двум токарям — тт. Кузнецову и Рыхлевскому. Они быстро освоили производство новой детали и почти вдвое перевыполнили план.» (14756).</w:t>
      </w:r>
    </w:p>
    <w:p w14:paraId="698B5930" w14:textId="77777777" w:rsidR="004E2BF7" w:rsidRPr="00640820" w:rsidRDefault="004E2BF7" w:rsidP="00640820">
      <w:pPr>
        <w:spacing w:after="0" w:line="240" w:lineRule="auto"/>
        <w:jc w:val="both"/>
        <w:rPr>
          <w:rFonts w:ascii="Times New Roman" w:hAnsi="Times New Roman"/>
          <w:color w:val="000000" w:themeColor="text1"/>
          <w:sz w:val="16"/>
          <w:szCs w:val="16"/>
        </w:rPr>
      </w:pPr>
    </w:p>
    <w:p w14:paraId="21E982F8" w14:textId="77777777" w:rsidR="004E2BF7" w:rsidRPr="00640820" w:rsidRDefault="004E2BF7"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 сентября </w:t>
      </w:r>
      <w:r w:rsidRPr="00640820">
        <w:rPr>
          <w:rFonts w:ascii="Times New Roman" w:hAnsi="Times New Roman"/>
          <w:color w:val="000000" w:themeColor="text1"/>
          <w:sz w:val="16"/>
          <w:szCs w:val="16"/>
        </w:rPr>
        <w:t>в 1941 году вечернее сообщение Совинформбюро:</w:t>
      </w:r>
    </w:p>
    <w:p w14:paraId="16523997" w14:textId="77777777" w:rsidR="004E2BF7" w:rsidRPr="00640820" w:rsidRDefault="004E2B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1 сентября наши войска вели бои с противником на всём фронте.</w:t>
      </w:r>
    </w:p>
    <w:p w14:paraId="6B7812FF" w14:textId="77777777" w:rsidR="004E2BF7" w:rsidRPr="00640820" w:rsidRDefault="004E2B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Наша авиация продолжала наносить массированные удары по мотомехчастям, пехоте и артиллерии противника и уничтожала авиацию на его аэродромах. По неполным данным, за 30 августа в воздушных боях уничтожен 31 немецкий самолёт. Наши потери — 16 самолётов.</w:t>
      </w:r>
    </w:p>
    <w:p w14:paraId="787DA2DD" w14:textId="77777777" w:rsidR="004E2BF7" w:rsidRPr="00640820" w:rsidRDefault="004E2B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подступах к городу Д. советские танкисты под командованием полковника Пушкина разгромили фашистскую мотоколонну из 50 танков и 200 автомашин с пехотой. Вражеские танки были встречены советской артиллерией. В засаде на флангах стояли наши тяжёлые танки, готовые к контратаке. Когда немецкая колонна появилась на пристреленных рубежах, на неё одновременно обрушился огонь артиллерии и орудий тяжёлых танков. Несколько фашистских машин загорелось. На </w:t>
      </w:r>
      <w:r w:rsidRPr="00640820">
        <w:rPr>
          <w:rFonts w:ascii="Times New Roman" w:hAnsi="Times New Roman"/>
          <w:color w:val="000000" w:themeColor="text1"/>
          <w:sz w:val="16"/>
          <w:szCs w:val="16"/>
        </w:rPr>
        <w:lastRenderedPageBreak/>
        <w:t>вражескую колонну устремились советские тяжёлые танки. После первой атаки было разбито 20 лёгких и средних немецких машин. Два захваченных у немцев танка бойцы отвели в наш тыл. Ночью группа красноармейцев вернулась на поле боя и взорвала все подбитые фашистские машины.</w:t>
      </w:r>
    </w:p>
    <w:p w14:paraId="06DDFD96" w14:textId="77777777" w:rsidR="004E2BF7" w:rsidRPr="00640820" w:rsidRDefault="004E2B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данным разведки и показаниям пленных, в боях под городом Д. немцы потеряли около 1.000 солдат убитыми, 99 танков, 100 автомашин, 60 противотанковых орудий, 10 бронемашин, 50 мотоциклов, десятки миномётов и пулемётов. Среди захваченных нами трофеев полный состав четырёхорудийной батареи, несколько пушек различных калибров и штабной автобус с документами немецкого танкового полка.</w:t>
      </w:r>
    </w:p>
    <w:p w14:paraId="0D561C5E" w14:textId="77777777" w:rsidR="004E2BF7" w:rsidRPr="00640820" w:rsidRDefault="004E2B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Фашистские самолёты 18 раз безуспешно пытались бомбардировать наш Энский военный объект. Зенитные батареи части капитана Дукошкина, расположенные в зоне объекта и на подступах к нему, создали огневой барьер, непреодолимый для вражеских бомбардировщиков. Ни одному самолёту противника не удалось сбросить бомбы ближе, чем на 5 километров от объекта. Во время этих налётов зенитные батареи сбили 16 фашистских бомбардировщиков. Особенно успешно действовали батареи лейтенанта Сторожева, младших лейтенантов Топоркова и Жемчужникова. Орудийные расчёты тов. Сторожева сбили 8 самолётов противника.</w:t>
      </w:r>
    </w:p>
    <w:p w14:paraId="3B8AF074" w14:textId="77777777" w:rsidR="004E2BF7" w:rsidRPr="00640820" w:rsidRDefault="004E2B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Советские женщины самоотверженно и героически трудятся на многих важнейших постах в прифронтовых районах. На железнодорожную станцию М. напал отряд фашистских парашютистов; Дежурная по станции тов. К. Я. Демидова смело возглавила вооружённый отпор диверсантам. Несколькими очередями из ручного пулемёта тов. Демидова сразила трёх фашистских солдат. Диверсанты отступили в лес. На рассвете бойцы истребительного батальона уничтожили остальных немецких парашютистов.</w:t>
      </w:r>
    </w:p>
    <w:p w14:paraId="5C3775B8" w14:textId="77777777" w:rsidR="004E2BF7" w:rsidRPr="00640820" w:rsidRDefault="004E2B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налёте вражеских самолётов на город Н. телефонистки базовой станции т.т. Вихорева и Суворова показали образцы мужества и выдержки. Бомба разрушила часть здания, в котором находилась телефонная станция. В помещении станции вылетели рамы и осыпалась штукатурка. Телефонистки Вихорева и Суворова не покинули своего поста и продолжали работу.</w:t>
      </w:r>
    </w:p>
    <w:p w14:paraId="56ABFD0B" w14:textId="77777777" w:rsidR="004E2BF7" w:rsidRPr="00640820" w:rsidRDefault="004E2B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посёлок Н. Ленинградской области вторглись фашистские войска. Бандиты подожгли дома и приступили к грабежу. Заведующая местной сберегательной кассой тов. А.А.Баронова быстро собрала все хранившиеся в кассе ценности и под ожесточённым обстрелом врага вынесла их из посёлка. Самоотверженная патриотка спасла более чем на полмиллиона рублей государственных ценностей.</w:t>
      </w:r>
    </w:p>
    <w:p w14:paraId="1F1769BD" w14:textId="77777777" w:rsidR="004E2BF7" w:rsidRPr="00640820" w:rsidRDefault="004E2B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Разведчики батальона капитана Крашенинникова захватили немецкого мотоциклиста с докладной запиской майора Пфуля, коменданта одного из оккупированных немцами районных центров Житомирской области, о партизанском движении в районе. Ниже приводятся некоторые выдержки из этой записки: «В течение двух недель мы были заняты поисками партизанских отрядов. Четыре самолёта облетали весь район. Несколько отрядов под командованием опытных офицеров прочесали все окрестные леса, возвышенности и овраги, но нигде партизанские отряды обнаружены не были. Однако диверсионные акты и таинственные убийства наших людей не только не прекращаются, а наоборот, усиливаются. За последние десять дней были убиты: лейтенант Глейфер, лейтенант Треппер, унтер-офицеры Нейрат, Берг, Угнер и 12 солдат. Повальные обыски ни к чему не привели. За это же время произошло 11 крупных и мелких пожаров. Наибольший ущерб принесли 5 из них: сгорела нефтебаза в Осичках, продовольственный склад в Концебе, склад боеприпасов в Чемирполе, мельница в Саврани и деревянный мост в Каменоватой. Ни одного виновника пожаров установить не удалось.</w:t>
      </w:r>
    </w:p>
    <w:p w14:paraId="604029DC" w14:textId="77777777" w:rsidR="004E2BF7" w:rsidRPr="00640820" w:rsidRDefault="004E2B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Многочисленные показания пленных свидетельствуют о росте антифашистских настроений в румынской армии. Пленный солдат 63 артиллерийского полка И. Маджару рассказал следующее: «Немцы ведут себя очень нагло. Каждый немецкий солдат считает себя хозяином и командиром над румынами. Немцы издеваются над нами и открыто говорят, что они презирают нас. Румынские солдаты ненавидят немцев». Солдат 35 румынского полка Попок сообщил о том, что при наступлении офицеры подгоняют румынских солдат пулемётным огнём в спину. «Кормят румынских солдат очень плохо. Немцы забирают хлеб у румын, а население Румынии и солдаты голодают». Солдат 10 полка 15 дивизии П. Михайлеску говорит: «Антонеску продал Гитлеру румынских солдат на пушечное мясо. Румынские солдаты не хотят воевать против Советского Союза». Эти настроения солдат беспокоят командование румынской армии. В захваченном нашими частями донесении штабу дивизии командир 103 полка 15 пехотной дивизии пишет: «...Солдаты всякими хитростями уклоняются от боя. Группами и в одиночку они бросают оружие и сдаются в плен. Вчера во второй роте установлено 7 случаев самострела. Ни на кого нельзя положиться...».</w:t>
      </w:r>
    </w:p>
    <w:p w14:paraId="1892D197" w14:textId="77777777" w:rsidR="004E2BF7" w:rsidRPr="00640820" w:rsidRDefault="004E2B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Старшина Сушко и красноармеец Седов захватили в плен немецкого ефрейтора Карла Мейера. При обыске у Мейера была обнаружена металлическая коробка с десятками золотых и платиновых зубов и коронок. Мейер, по его собственному признанию, вырывал золотые зубы у убитых и раненых солдат и командиров. Фашистский мародёр закалывал ножом раненых, у которых он находил золотые или платиновые зубы.</w:t>
      </w:r>
    </w:p>
    <w:p w14:paraId="537F3A36" w14:textId="77777777" w:rsidR="004E2BF7" w:rsidRPr="00640820" w:rsidRDefault="004E2B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дни Отечественной войны с небывалым успехом идут заготовки зерна, картофеля, масла, шерсти и других сельскохозяйственных продуктов. На два месяца раньше установленного правительством срока выполнили годовой план поставок хлеба Ошская область, Киргизской ССР, Южно-Казахстанская и Джамбулская области, Казахской ССР. Вслед за южными областями развернулись хлебопоставки в Сибири, в центральных и северных районах страны. Колхозы имени Мичурина и имени Крупской, Лискинского района, Воронежской области, за несколько дней полностью выполнили план хлебопоставок.</w:t>
      </w:r>
    </w:p>
    <w:p w14:paraId="52E917D6" w14:textId="77777777" w:rsidR="004E2BF7" w:rsidRPr="00640820" w:rsidRDefault="004E2B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Сталинской, Запорожской, Московской и Сталинградской областях многие колхозы, выполнив годовой план поставок, продают государству тысячи тонн молочных продуктов. Колхоз имени Молотова, Лопасненского района, Московской области, дополнительно продал государству 19 тысяч килограммов молока. Киргизская ССР, Орджоникидзевский край, Ростовская, Сталинградская и ряд других областей уже перевыполнили годовой план закупок шерсти.» (14756).</w:t>
      </w:r>
    </w:p>
    <w:p w14:paraId="53444E00" w14:textId="77777777" w:rsidR="004E2BF7" w:rsidRPr="00640820" w:rsidRDefault="004E2BF7" w:rsidP="00640820">
      <w:pPr>
        <w:spacing w:after="0" w:line="240" w:lineRule="auto"/>
        <w:jc w:val="both"/>
        <w:rPr>
          <w:rFonts w:ascii="Times New Roman" w:hAnsi="Times New Roman"/>
          <w:color w:val="000000" w:themeColor="text1"/>
          <w:sz w:val="16"/>
          <w:szCs w:val="16"/>
        </w:rPr>
      </w:pPr>
    </w:p>
    <w:p w14:paraId="7E7126FE" w14:textId="77777777" w:rsidR="004E2BF7" w:rsidRPr="00640820" w:rsidRDefault="004E2BF7"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 сентября </w:t>
      </w:r>
      <w:r w:rsidRPr="00640820">
        <w:rPr>
          <w:rFonts w:ascii="Times New Roman" w:hAnsi="Times New Roman"/>
          <w:color w:val="000000" w:themeColor="text1"/>
          <w:sz w:val="16"/>
          <w:szCs w:val="16"/>
        </w:rPr>
        <w:t>в 1941 году войска 22-й армии Западного фронта остановили наступление противника западнее и севернее г. Андреаполь. 30, 19, 16 и 20-я армии Западного фронта перешли в наступление под Смоленском (развития не получило) (14756).</w:t>
      </w:r>
    </w:p>
    <w:p w14:paraId="55F1EC09" w14:textId="77777777" w:rsidR="004E2BF7" w:rsidRPr="00640820" w:rsidRDefault="004E2BF7" w:rsidP="00640820">
      <w:pPr>
        <w:spacing w:after="0" w:line="240" w:lineRule="auto"/>
        <w:jc w:val="both"/>
        <w:rPr>
          <w:rFonts w:ascii="Times New Roman" w:hAnsi="Times New Roman"/>
          <w:color w:val="000000" w:themeColor="text1"/>
          <w:sz w:val="16"/>
          <w:szCs w:val="16"/>
        </w:rPr>
      </w:pPr>
    </w:p>
    <w:p w14:paraId="3CF908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 по 28 сентября 1941 экипажи 97-го бап, входившие в состав 61-й авиадивизии Брянского фронта совершили 562 вылета, в основном уничтожая противника в районе Старо- дуб, Почеп, Глухов. Характер боевой работы мало изменился по отношению к началу войны: авиаторы сбрасывали на фашистов бомбы с высоты 700 - 1600 м, с последующим обстрелом целей из пулеметов. К сожалению, часто ставилась задача: "Действовать по району..." , - что приводило к низкой эффективности. Наиболее напряженная работа отмечалась 2 сентября - 47 вылетов и пять экипажей тогда не вернулось. 10 сентября вражеские истребители подбили Су-2 командира майора ЕЛ. Иванцова, но тяжело раненный летчик сумел дотянуть до своего аэродрома. Если в начале сентября в полку имелось 29 бомбардировщиков, то в конце - 22 (15 исправно) (12028).</w:t>
      </w:r>
    </w:p>
    <w:p w14:paraId="38CB2A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53898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 сентября 1941 звену 217-го </w:t>
      </w:r>
      <w:r w:rsidRPr="00640820">
        <w:rPr>
          <w:rFonts w:ascii="Times New Roman" w:hAnsi="Times New Roman"/>
          <w:iCs/>
          <w:color w:val="000000" w:themeColor="text1"/>
          <w:sz w:val="16"/>
          <w:szCs w:val="16"/>
        </w:rPr>
        <w:t>шап</w:t>
      </w:r>
      <w:r w:rsidRPr="00640820">
        <w:rPr>
          <w:rFonts w:ascii="Times New Roman" w:hAnsi="Times New Roman"/>
          <w:color w:val="000000" w:themeColor="text1"/>
          <w:sz w:val="16"/>
          <w:szCs w:val="16"/>
        </w:rPr>
        <w:t xml:space="preserve"> удалось в период 18.50-19.00 разрушить пере</w:t>
      </w:r>
      <w:r w:rsidRPr="00640820">
        <w:rPr>
          <w:rFonts w:ascii="Times New Roman" w:hAnsi="Times New Roman"/>
          <w:color w:val="000000" w:themeColor="text1"/>
          <w:sz w:val="16"/>
          <w:szCs w:val="16"/>
        </w:rPr>
        <w:softHyphen/>
        <w:t>праву через р. Десна северо-западнее дёр. Собычь. Однако основная группи</w:t>
      </w:r>
      <w:r w:rsidRPr="00640820">
        <w:rPr>
          <w:rFonts w:ascii="Times New Roman" w:hAnsi="Times New Roman"/>
          <w:color w:val="000000" w:themeColor="text1"/>
          <w:sz w:val="16"/>
          <w:szCs w:val="16"/>
        </w:rPr>
        <w:softHyphen/>
        <w:t>ровка немецких танков (до 100 единиц), бронемашин и мотопехоты уже выдви</w:t>
      </w:r>
      <w:r w:rsidRPr="00640820">
        <w:rPr>
          <w:rFonts w:ascii="Times New Roman" w:hAnsi="Times New Roman"/>
          <w:color w:val="000000" w:themeColor="text1"/>
          <w:sz w:val="16"/>
          <w:szCs w:val="16"/>
        </w:rPr>
        <w:softHyphen/>
        <w:t>галась по дороге на Воронеж, Глухов и Клишки (6467).</w:t>
      </w:r>
    </w:p>
    <w:p w14:paraId="47464C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EE1D2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сентября 1941 на аэродром Ундол перелетел гусевский 421-й полк и спустя ровно неделю включился в боевую работу. Обстановка заставила применять Ер-2 как ночью, так и днем в качестве фронтовых бомбардировщиков, что неизбежно вело к большим потерям. Впрочем, ущерб противнику был также нанесен немалый. В сентябре 1941 удары наносились по целям в районах Демянска, Орши, Витебска, Гомеля, Спас-Деменска, Смоленска, Барановичей и Орла (3322,20).</w:t>
      </w:r>
    </w:p>
    <w:p w14:paraId="6842BE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38456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ночь на 1 сентября 1941 после 10-дневного перерыва наши самолеты вновь бомбили Берлин. На этот раз удалось выслать всего шесть машин, из которых только две или три (Фокин, Дашковский и, возможно, Русаков) дошли до цели. "Ильюшин", пилотировавшийся лейтенантом Русаковым, с задания не вернулся - предположительно он дошел до Берлина, но пропал без вести при возвращении. Погиб и бомбардировщик лейтенанта Дашковского. За несколько минут до посадки, в 20 км от Кагула, он внезапно потерял скорость, упал и взорвался. Возможно, сказалась усталость пилота, возможно - боевое ранение (12002).</w:t>
      </w:r>
    </w:p>
    <w:p w14:paraId="66FCD8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D02CC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сентября 1941:</w:t>
      </w:r>
    </w:p>
    <w:p w14:paraId="3F5BE7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"1.09.41 г. Секретно Командиру 432 авиаполка 81 АД Описание боевого вылета на бомбардирование г. Кенигсберга самолета ТБ-7 № 4221, командир корабля Лисачев, штурман Томкевич До Вязьмы полет был открытый. У Вязьмы в 20.45 Н=4500 м самолет вошел в облака, и дальнейший полет протекал с набором высоты вне видимости земли, в облаках наблюдалось обледенение самолета.</w:t>
      </w:r>
    </w:p>
    <w:p w14:paraId="43C8D6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восточному побережью Балтийского моря у пункта Русне экипаж вышел в 23.12 на высоте 7600 м. У побережья облачность была 2-3 балла, поэтому штурман наблюдал косу Куриш-Нерунг. Пройдя по расчету времени от Русне на запад, штурман дал курс 180 тр., т.е. направление на цель. Побережье Балтийского моря, севернее Кенигсберга, штурман наблюдал, больше никаких ориентиров у г. Кенигсберг штурман не видел.</w:t>
      </w:r>
    </w:p>
    <w:p w14:paraId="0ACC3C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цели подошли на приглушенных моторах, планируя, и в 23.22 с Н=7150 м бомбы сброшены по расчету времени, без прицела, серией из 24 бомб по одной бомбе. Штурман не видел ни разрывов бомб, ни пожаров, ни действия осветительных бомб САБ-50, вообще он ничего не видел. Данных, что бомбы сброшены именно на Кенигсберг, нет. Стрелок кормовой башни видел два очага пожара, экипаж наблюдал отблеск от разрывов бомб.</w:t>
      </w:r>
    </w:p>
    <w:p w14:paraId="5829C8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Противодействия ПВО на маршруте к цели и в районе цели не было. Противодействие отмечено только при обратном полете в районе Минска Н=4800 м. Но это по расчету времени, фактически это мог быть и не Минск. Экипаж наблюдал действия прожекторов и разрывы снарядов сзади и слева на высоте полета самолета, т.е. Н=4800 м.</w:t>
      </w:r>
    </w:p>
    <w:p w14:paraId="55EB52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Есть предположение, что огонь велся по другим самолетам, т.к. весь огонь был сосредоточен далеко сзади и слева от самолета. Командир корабля сделал змейку вправо и с набором высоты ушел в облака.</w:t>
      </w:r>
    </w:p>
    <w:p w14:paraId="3FBDDF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По заявлению штурмана, от Брянска он настраивался на приводную станцию Мценск, но не настроился, а настроился на Воронеж, но из-за боязни, что до Воронежа горючего не хватает, - принял решение искать площадку для посадки, такая площадка Подготовка к боевому вы- найдена, но оказалась далеко от расчетного лету. К самолету подруливает топливозаправщик </w:t>
      </w:r>
    </w:p>
    <w:p w14:paraId="72258B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полета этого экипажа нужно сделать вывод:</w:t>
      </w:r>
    </w:p>
    <w:p w14:paraId="256A00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Потребовать от штурманов большего внимания к приборному самолетовождению. Штурман Томкевич почти не вел записей в бортжурнале, в результате его расчетное место, при обратном полете, далеко отличное от фактического, т.е. ориентировка потеряна.</w:t>
      </w:r>
    </w:p>
    <w:p w14:paraId="6EA96D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У цели выбирать характерный ориентир, который можно видеть только ночью с большой высоты, чтобы по этому ориентиру опознавать цель. Томкевич ничего этого не имел и никакого ориентира, способствующего опознавать цель, не видел, хотя цель была открытой, бомбы сброшены на авось.</w:t>
      </w:r>
    </w:p>
    <w:p w14:paraId="74D9BF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При бомбометании по площади совершенно нецелесообразно давать минимальный временной интервал. У Томкевича временной интервал равен 0,2 сек, исходя из его путевой скорости, линейный интервал получился около 17 м, а длина серии из 24 бомб около 400 м. При бомбардировании ночью, с большой высоты, да еще по расчету времени, нужно перекрывать серией большую площадь.</w:t>
      </w:r>
    </w:p>
    <w:p w14:paraId="609D3D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При обратном полете, при выходе на свою территорию, нет надобности лететь за облаками. Экипаж Лисачева, по записям штурмана, при подходе к Минску имел высоту 4800 м, увидев в стороне разрывы снарядов, пошли с набором высоты и набрали снова высоту 7000 м, это усложнило расчеты штурмана, и ориентировка потеряна.</w:t>
      </w:r>
    </w:p>
    <w:p w14:paraId="0B5400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ВРИД Начальник штаба ап майор Ивашенко 31 августа 1941 г." (12025)</w:t>
      </w:r>
    </w:p>
    <w:p w14:paraId="30A2E7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49D55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сентября 1941 в Архангельск прибыло 5 пароходов и на них был личный состав эскадрильи - 30 офицеров, 57 унтер-офицеров, 457 рядовых + 16 самолетов Харрикейн в упаковке и 20 автомашин (3097,59).</w:t>
      </w:r>
    </w:p>
    <w:p w14:paraId="52E897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00740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сентября 1941 м Тимошенко контратаковал под Гомелем (2260).</w:t>
      </w:r>
    </w:p>
    <w:p w14:paraId="7130A5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25C93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ночь на 28 августа и на 1 сентября 1941 г. с подмосковного аэродрома Раменское нанесли удары по Кенигсбергу экипажи 420 дбап на Ер-2 капитана Хорпякова, старшего лейтенанта Клименко и лейтенанта Полежаева. Все они благополучно вернулись на свой аэродром (3322,19).</w:t>
      </w:r>
    </w:p>
    <w:p w14:paraId="648175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58CF4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сентября 1941 г. шес</w:t>
      </w:r>
      <w:r w:rsidRPr="00640820">
        <w:rPr>
          <w:rFonts w:ascii="Times New Roman" w:hAnsi="Times New Roman"/>
          <w:color w:val="000000" w:themeColor="text1"/>
          <w:sz w:val="16"/>
          <w:szCs w:val="16"/>
        </w:rPr>
        <w:softHyphen/>
        <w:t>терка И-153 из 65-го ШАП атаковала двигающуюся к фронту колонну противника. Несмотря на сильный зе</w:t>
      </w:r>
      <w:r w:rsidRPr="00640820">
        <w:rPr>
          <w:rFonts w:ascii="Times New Roman" w:hAnsi="Times New Roman"/>
          <w:color w:val="000000" w:themeColor="text1"/>
          <w:sz w:val="16"/>
          <w:szCs w:val="16"/>
        </w:rPr>
        <w:softHyphen/>
        <w:t>нитный огонь, было уничтожено 15 автомашин (10667).</w:t>
      </w:r>
    </w:p>
    <w:p w14:paraId="1B9711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D9545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ночь на 1 сентября 1941 состоялся первый взлет автожира А-7-3А на боевое задание. Шубич и Николаев разбрасывали листовки в немецком тылу. Потом той же ночью летали Шубич (второй вылет), Куцевалов, Трофимов и Кондрашкин (257,17).</w:t>
      </w:r>
    </w:p>
    <w:p w14:paraId="3297D6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05DBE1A" w14:textId="77777777" w:rsidR="00C47215" w:rsidRPr="00640820" w:rsidRDefault="00C47215"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ночь на 1 сентября 1941 два А- 7 под управлением летчиков Шубича и Николаева выполнили боевой вылет на разбрасывание листовок над немецкими позициями. Затем Шубич произвел второй вылет, по одному вылету произвели Куцевалов, Трофимов и Кондрашкин.</w:t>
      </w:r>
    </w:p>
    <w:p w14:paraId="6752BB04" w14:textId="77777777" w:rsidR="00C47215" w:rsidRPr="00640820" w:rsidRDefault="00C47215"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Первый вылет для корректировки огня 573-го артилле</w:t>
      </w:r>
      <w:r w:rsidRPr="00640820">
        <w:rPr>
          <w:rFonts w:ascii="Times New Roman" w:hAnsi="Times New Roman"/>
          <w:color w:val="0070C0"/>
          <w:sz w:val="16"/>
          <w:szCs w:val="16"/>
        </w:rPr>
        <w:softHyphen/>
        <w:t>рийского полка назначили уже на 31 августа, однако со</w:t>
      </w:r>
      <w:r w:rsidRPr="00640820">
        <w:rPr>
          <w:rFonts w:ascii="Times New Roman" w:hAnsi="Times New Roman"/>
          <w:color w:val="0070C0"/>
          <w:sz w:val="16"/>
          <w:szCs w:val="16"/>
        </w:rPr>
        <w:softHyphen/>
        <w:t>гласованность между полком и эскадрильей еще не насту</w:t>
      </w:r>
      <w:r w:rsidRPr="00640820">
        <w:rPr>
          <w:rFonts w:ascii="Times New Roman" w:hAnsi="Times New Roman"/>
          <w:color w:val="0070C0"/>
          <w:sz w:val="16"/>
          <w:szCs w:val="16"/>
        </w:rPr>
        <w:softHyphen/>
        <w:t>пила и вылет отложили.</w:t>
      </w:r>
    </w:p>
    <w:p w14:paraId="6BDD84E8" w14:textId="77777777" w:rsidR="00C47215" w:rsidRPr="00640820" w:rsidRDefault="00C47215"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Нужно отметить, что эти первые вылазки являлись рис</w:t>
      </w:r>
      <w:r w:rsidRPr="00640820">
        <w:rPr>
          <w:rFonts w:ascii="Times New Roman" w:hAnsi="Times New Roman"/>
          <w:color w:val="0070C0"/>
          <w:sz w:val="16"/>
          <w:szCs w:val="16"/>
        </w:rPr>
        <w:softHyphen/>
        <w:t>кованным мероприятием по причине недостатка на А-7 приборного оборудования для ночных полетов. Однако выбора не было, аэродром находился всего в 20 км от ли</w:t>
      </w:r>
      <w:r w:rsidRPr="00640820">
        <w:rPr>
          <w:rFonts w:ascii="Times New Roman" w:hAnsi="Times New Roman"/>
          <w:color w:val="0070C0"/>
          <w:sz w:val="16"/>
          <w:szCs w:val="16"/>
        </w:rPr>
        <w:softHyphen/>
        <w:t>нии фронта, был известен немцам и неоднократно подвер</w:t>
      </w:r>
      <w:r w:rsidRPr="00640820">
        <w:rPr>
          <w:rFonts w:ascii="Times New Roman" w:hAnsi="Times New Roman"/>
          <w:color w:val="0070C0"/>
          <w:sz w:val="16"/>
          <w:szCs w:val="16"/>
        </w:rPr>
        <w:softHyphen/>
        <w:t>гался атакам с воздуха. С прибытием медлительных авто</w:t>
      </w:r>
      <w:r w:rsidRPr="00640820">
        <w:rPr>
          <w:rFonts w:ascii="Times New Roman" w:hAnsi="Times New Roman"/>
          <w:color w:val="0070C0"/>
          <w:sz w:val="16"/>
          <w:szCs w:val="16"/>
        </w:rPr>
        <w:softHyphen/>
        <w:t>жиров командование полка обоснованно боялось очеред</w:t>
      </w:r>
      <w:r w:rsidRPr="00640820">
        <w:rPr>
          <w:rFonts w:ascii="Times New Roman" w:hAnsi="Times New Roman"/>
          <w:color w:val="0070C0"/>
          <w:sz w:val="16"/>
          <w:szCs w:val="16"/>
        </w:rPr>
        <w:softHyphen/>
        <w:t>ного нападения и вело себя подчеркнуто осторожно. Как только автожир выруливал из укрытия и начинал раскру</w:t>
      </w:r>
      <w:r w:rsidRPr="00640820">
        <w:rPr>
          <w:rFonts w:ascii="Times New Roman" w:hAnsi="Times New Roman"/>
          <w:color w:val="0070C0"/>
          <w:sz w:val="16"/>
          <w:szCs w:val="16"/>
        </w:rPr>
        <w:softHyphen/>
        <w:t>чивать ротор перед взлетом, вокруг него по выражению Ка</w:t>
      </w:r>
      <w:r w:rsidRPr="00640820">
        <w:rPr>
          <w:rFonts w:ascii="Times New Roman" w:hAnsi="Times New Roman"/>
          <w:color w:val="0070C0"/>
          <w:sz w:val="16"/>
          <w:szCs w:val="16"/>
        </w:rPr>
        <w:softHyphen/>
        <w:t>мова «начиналась возня и ругань - Взлетай скорей! Не ка</w:t>
      </w:r>
      <w:r w:rsidRPr="00640820">
        <w:rPr>
          <w:rFonts w:ascii="Times New Roman" w:hAnsi="Times New Roman"/>
          <w:color w:val="0070C0"/>
          <w:sz w:val="16"/>
          <w:szCs w:val="16"/>
        </w:rPr>
        <w:softHyphen/>
        <w:t>нителься!» . Поэтому, несмотря на высокий риск, летали в основном ночью, в кромешной тьме, когда только по зву</w:t>
      </w:r>
      <w:r w:rsidRPr="00640820">
        <w:rPr>
          <w:rFonts w:ascii="Times New Roman" w:hAnsi="Times New Roman"/>
          <w:color w:val="0070C0"/>
          <w:sz w:val="16"/>
          <w:szCs w:val="16"/>
        </w:rPr>
        <w:softHyphen/>
        <w:t>ку мотора можно было определить, что машина цела (20361).</w:t>
      </w:r>
    </w:p>
    <w:p w14:paraId="2C40AD2C" w14:textId="77777777" w:rsidR="00C47215" w:rsidRPr="00640820" w:rsidRDefault="00C47215" w:rsidP="00640820">
      <w:pPr>
        <w:shd w:val="clear" w:color="auto" w:fill="FFFFFF"/>
        <w:spacing w:after="0" w:line="240" w:lineRule="auto"/>
        <w:jc w:val="both"/>
        <w:rPr>
          <w:rFonts w:ascii="Times New Roman" w:hAnsi="Times New Roman"/>
          <w:color w:val="0070C0"/>
          <w:sz w:val="16"/>
          <w:szCs w:val="16"/>
        </w:rPr>
      </w:pPr>
    </w:p>
    <w:p w14:paraId="060A03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сентября 1941 г. вышел ПРИКАЗ НКО № 294 О ПОРЯДКЕ НАПРАВЛЕНИЯ В ЧАСТИ НАЧСОСТАВА ДЕЙСТВУЮЩЕЙ АРМИИ, ВЫПИСЫВАЕМОГО ИЗ ГОСПИТАЛЕЙ ПО ВЫЗДОРОВЛЕНИИ</w:t>
      </w:r>
    </w:p>
    <w:p w14:paraId="493F4C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Начальствующий состав действующей армии, признанный после ранений и болезни годным к дальнейшей службе в армии, направлять:</w:t>
      </w:r>
    </w:p>
    <w:p w14:paraId="1C72ED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из госпиталей армейского тыла и фронтовых округов — в свои части;</w:t>
      </w:r>
    </w:p>
    <w:p w14:paraId="0003BB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из госпиталей тыловых округов — в запасные части, а медсостав — в эвакопункты согласно перечню, рассылаемому соответствующим управлениям;</w:t>
      </w:r>
    </w:p>
    <w:p w14:paraId="2A31EB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командиров полков и весь высший начсостав, кроме артиллерии и ВВС, — непосредственно в Главное управление кадров НКО СССР, командиров полков и высший начсостав ВВС — в Главное управление ВВС Красной Армии, командиров артиллерийских полков и весь высший начсостав артиллерии — в Главное управление начальника артиллерии Красной Армии, высший медсостав — в Главное военно-санитарное управление Красной Армии.</w:t>
      </w:r>
    </w:p>
    <w:p w14:paraId="5814E7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Политсостав направлять согласно особому указанию Главного политического управления Красной Армии.</w:t>
      </w:r>
    </w:p>
    <w:p w14:paraId="350DF4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Начальствующий состав, поступивший в запасные части по выписке из госпиталей и отпусков по болезни, составляет резерв Главного управления кадров НКО СССР; начсостав ВВС, начсостав артиллерии и медицинский состав — соответственно резерв Главного управления ВВС Красной</w:t>
      </w:r>
    </w:p>
    <w:p w14:paraId="7357DA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Армии, Главного управления начальника артиллерии Красной Армии и Главного военно-санитарного управления Красной Армии и используется по указаниям этих управлений.</w:t>
      </w:r>
    </w:p>
    <w:p w14:paraId="0C70F8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Резерв начсостава, находящийся в запасных частях, свести в батальоны, а в батальонах — в подразделения по каждому роду войск. Батальоны резерва начсостава подчинить непосредственно командирам запасных частей, при которых они организованы.</w:t>
      </w:r>
    </w:p>
    <w:p w14:paraId="64FA62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Необходимые командные кадры в батальонах резерва начсостава назначать из самого резерва распоряжением соответствующих командиров запасных частей.</w:t>
      </w:r>
    </w:p>
    <w:p w14:paraId="74A488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С начсоставом резерва до получения назначения проводить регулярные командирские занятия и привлекать его по специальности для обучения переменного состава запасных частей.</w:t>
      </w:r>
    </w:p>
    <w:p w14:paraId="6726D3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Организованные в ряде округов различные сборные, пересыльные и т. п. пункты, где задерживается начсостав, выписываемый из госпиталей и возвращающийся из отпусков по болезни, расформировать, а имеющийся в них начсостав влить в батальоны резерва начсостава при соответствующих запасных частях.</w:t>
      </w:r>
    </w:p>
    <w:p w14:paraId="578DC8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Начальнику Главного военно-санитарного управления Красной Армии, военным советам округов и областным военным комиссариатам установить контроль за выполнением госпиталями и райвоенкоматами настоящего приказа о направлении в батальоны резерва начсостава, выписываемого из госпиталей и возвращающегося из отпуска по болезни.</w:t>
      </w:r>
    </w:p>
    <w:p w14:paraId="755648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О начсоставе, прибывающем в батальоны резерва запасных частей и эвакопункты, командирам запасных частей и начальникам эвакопунктов доносить один раз в пять дней (к 1, 5 и т. д.) в Главное управление кадров НКО СССР, на начсостав ВВС — в Главное управление ВВС Красной Армии, на начсостав артиллеррии — в Главное управление начальника артиллерии Красной Армии, на медсостав — в Главное военно-санитарное управление Красной Армии, с указанием количества прибывших по должностям, родам войск и специальностям.</w:t>
      </w:r>
    </w:p>
    <w:p w14:paraId="0A333C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Пункты “3” и “Б” директивы Генерального штаба Красной Армии от 3 июля 1941 г. № К/2/0307 о порядке направления начсостава по выписке из госпиталей отменить.</w:t>
      </w:r>
    </w:p>
    <w:p w14:paraId="6AADB9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 xml:space="preserve">Заместитель Народного комиссара обороны СССР армейский комиссар 1 ранга Л. МЕХЛИС </w:t>
      </w:r>
      <w:r w:rsidRPr="00640820">
        <w:rPr>
          <w:rFonts w:ascii="Times New Roman" w:hAnsi="Times New Roman"/>
          <w:color w:val="000000" w:themeColor="text1"/>
          <w:sz w:val="16"/>
          <w:szCs w:val="16"/>
        </w:rPr>
        <w:t>(9844).</w:t>
      </w:r>
    </w:p>
    <w:p w14:paraId="25B484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957B5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 сентября 1941 по решению Военного совета КБФ был сформирован Отряд кораблей р. Невы под командованием капитана 1 ранга В. С. Черокова (ЭМ «Строгий» и «Стройный», КЛ «Красное Знамя», «Зея», «Ока», «Сестрорецк», СКР «Разведчик», «Ост», «Вирсайтис», 4 ТЩ, 4 БКА, 8 СКА и др.), основными задачами которого были огневая поддержка 55-й и 42-й армий, обеспечение переправы своих войск и срыв возможной переправы противника через Неву. </w:t>
      </w:r>
    </w:p>
    <w:p w14:paraId="54CFEB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июле — сентябре 1941 наши войска, ведя жестокие бои с превосходящими силами противника вынуждены были отойти. Немецко-фашистские войска вышли к окраинам Ленинграда и Ладожскому оз. и 8.9 отрезали город от страны. 9.9 противник начал новое наступление на Ленинград. Перед штурмом враг подверг город сильному артиллерийскому обстрелу и воздушной [282] бомбардировке. Главный удар наносился из района западнее Красногвардейска (Гатчина), вспомогательный — из района Колпино. Создалась чрезвычайно напряженная обстановка. Для отражения вражеского наступления на поддержку войскам 42-й и 8-й армий были направлены части народного ополчения и значительное количество моряков КБФ в составе 1, 2, 3, 4, 5, 6 и 7-й отдельных бригад, батальонов и отрядов морской пехоты, железнодорожных и сухопутных батарей, бронепоездов «Балтиец» и «За Родину» и др. </w:t>
      </w:r>
    </w:p>
    <w:p w14:paraId="479501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Части 42-й армии и переброшенная в район Красного Села 1-я отдельная бригада морской пехоты второго формирования (командир полковник Т. М. Парафило) в течение двух суток сдерживали натиск ударной группировки противника. </w:t>
      </w:r>
    </w:p>
    <w:p w14:paraId="3A5D7A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районе пос. Володарский, Урицк, Пулковские высоты сражались 1-я и 6-я отдельные бригады морской пехоты (командир полковник Ф. Е. Петров). У ораниенбаумского приморского плацдарма части Ижорского сектора береговой обороны, 2-я (командир майор Н. С. Лосяков) и 5-я (командир полковник В. К. Зайончковский) отдельные бригады морской пехоты и школа береговой обороны и ПВО КБФ сковали 5 дивизий и значительное количество боевой техники </w:t>
      </w:r>
      <w:r w:rsidRPr="00640820">
        <w:rPr>
          <w:rFonts w:ascii="Times New Roman" w:hAnsi="Times New Roman"/>
          <w:color w:val="000000" w:themeColor="text1"/>
          <w:sz w:val="16"/>
          <w:szCs w:val="16"/>
        </w:rPr>
        <w:lastRenderedPageBreak/>
        <w:t xml:space="preserve">противника. В районе Колпино сражалась 7-я отдельная бригада морской пехоты, сформированная из личного состава кораблей КБФ (командир полковник В. М. Ржанов, с 4.10 генерал-майор Т. М. Парафило). </w:t>
      </w:r>
    </w:p>
    <w:p w14:paraId="2F21CB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 время отражения сентябрьского штурма артиллерия КБФ (293 орудия) 1994 раза открывала огонь по врагу, выпустив более 25 тыс. снарядов крупного калибра, чем способствовала стабилизации линии фронта под Ленинградом к 27.9, а также сыграла важную роль в контрбатарейной борьбе. Войска противника понесли большие потери. </w:t>
      </w:r>
    </w:p>
    <w:p w14:paraId="3E75A8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отражении массированных налетов авиации противника участвовали 7-й истребительный авиакорпус ПВО. 61-я истребительная авиабригада КБФ (командир Герой Советского Союза полковник И. Г. Романенко), а также зенитная артиллерия Ленинграда и Кронштадта и кораблей КБФ. </w:t>
      </w:r>
    </w:p>
    <w:p w14:paraId="42CE06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Морская пехота КБФ участвовала также и в наступательных действиях под Ленинградом в районе Mосковской Дубровки на Неве (20–27.9), в высадке тактических [283] десантов в районе Петергоф (Петродворец), Стрельна (3–8.10) и в других операциях. Кроме того, КБФ передал в состав войск Ленинградского фронта 68 660 краснофлотцев, командиров и политработников. </w:t>
      </w:r>
    </w:p>
    <w:p w14:paraId="74E5BB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сентября по декабрь 1941 морская артиллерия выпустила по противнику более 70 тыс. снарядов калибром от 100 до 406 мм. Было уничтожено 38 батарей (в 673 случаях батареи были подавлены), 48 мотоколонн, более 20 танков, 9 штабов, 28 наблюдательных пунктов, 200 дотов, дзотов и блиндажей, 6 мостов, 100 пулеметных точек, взорвано 4 склада с боеприпасами (11712).</w:t>
      </w:r>
    </w:p>
    <w:p w14:paraId="2C63AA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6846B6D"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2119D75E"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767EF69" w14:textId="77777777" w:rsidR="00CD4B4F" w:rsidRPr="00640820" w:rsidRDefault="00CD4B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 сентября 1941 г. в крупных городах вводились продовольственные карточки на хлеб, сахар и кондитерские изделия, а с 23 октября карточки были введены в малых городах и рабочих посёлках. Устанавливались две категории по снабжению населения. В первую вошли рабочие, служащие, инженернотехнические работники важнейших отраслей промышленности, во вторую – все остальные, не попавшие в список перечисленных специальностей. Рабочие первой категории получали, как правило, 800 г хлеба в день, второй – 600 г24. Вообще, «… чем важнее для обороны страны была работа, сложнее условия и характер труда, тем выше была норма продуктов». По-разному ощущали горожане недостаток продовольствия, но «досыта не питался почти никто» (19555).</w:t>
      </w:r>
    </w:p>
    <w:p w14:paraId="69588D2C" w14:textId="77777777" w:rsidR="00CD4B4F" w:rsidRPr="00640820" w:rsidRDefault="00CD4B4F" w:rsidP="00640820">
      <w:pPr>
        <w:spacing w:after="0" w:line="240" w:lineRule="auto"/>
        <w:jc w:val="both"/>
        <w:rPr>
          <w:rFonts w:ascii="Times New Roman" w:hAnsi="Times New Roman"/>
          <w:color w:val="000000" w:themeColor="text1"/>
          <w:sz w:val="16"/>
          <w:szCs w:val="16"/>
        </w:rPr>
      </w:pPr>
    </w:p>
    <w:p w14:paraId="052CBEE8" w14:textId="77777777" w:rsidR="00CD4B4F" w:rsidRPr="00640820" w:rsidRDefault="00CD4B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сентября 1941. Учебный год в московских школах отменили, так как большинство детей были эвакуированы, к тому же боялись, что в школу может угодить бомба. Были созданы "консультативные пункты", куда школьники приходили на два часа три раза в неделю, слушали объяснения учителей и получали домашние задания.</w:t>
      </w:r>
    </w:p>
    <w:p w14:paraId="20A48FAB" w14:textId="77777777" w:rsidR="00CD4B4F" w:rsidRPr="00640820" w:rsidRDefault="00CD4B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Газета "Вечерняя Москва" сообщала: "Много публики было вчера в зоопарке. Посетителей очень заинтересовали выступления на эстраде парка известных дрессировщиков Горбачевой и Быстрова с прирученными животными" (18697).</w:t>
      </w:r>
    </w:p>
    <w:p w14:paraId="64284E3D" w14:textId="77777777" w:rsidR="00CD4B4F" w:rsidRPr="00640820" w:rsidRDefault="00CD4B4F" w:rsidP="00640820">
      <w:pPr>
        <w:spacing w:after="0" w:line="240" w:lineRule="auto"/>
        <w:jc w:val="both"/>
        <w:rPr>
          <w:rFonts w:ascii="Times New Roman" w:hAnsi="Times New Roman"/>
          <w:color w:val="000000" w:themeColor="text1"/>
          <w:sz w:val="16"/>
          <w:szCs w:val="16"/>
        </w:rPr>
      </w:pPr>
    </w:p>
    <w:p w14:paraId="794E60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сентября 1941 года в НКВД СССР для председателя Совета по эвакуации Шверника обобщили материалы по Главному управлению Гражданского Воздушного Флота (ГУ ГВФ). Выяснилось, что за два месяца войны в ущерб перевозке оборонных грузов на самолетах гражданской авиации отправили в тыл 460 членов семей работников Аэрофлота и около 15 тонн личных вещей. Иногда такие перевозки оформлялись как специальные рейсы, в действительности самолеты были полностью загружены скарбом руководящих работников. Так, многоместный самолет ПС-84 согласно документам выполнял спецрейс, а на самом деле летел вглубь страны с единственным пассажиром — заместителем начальника эксплуатационного управления ГВФ. На другой ПС-84 погрузили около 300 кг сахара, бочонок масла, посадили жену начальника одного из отделов ГВФ с собачкой и тоже отправили в «спецрейс». На таком же самолете супругу начальника Московского управления ГВФ «со множеством узлов» перевезли в Пензу. Там был заранее снаряжен самолет «Сталь-3», который доставил ее в конечный пункт маршрута — в деревню, совершив посадку на колхозном поле. В Свердловск на самолете ПС-84 прилетела семья начальника центральной поликлиники аэропорта, их багаж весил 905 кг: 2 мешка сахара, 1 мешок крупы, 1 мешок сухарей и др. В Омск доставили жену заместителя начальника Главного управления ГВФ, которая затем потребовала перевезти ее в Казань (11550).</w:t>
      </w:r>
    </w:p>
    <w:p w14:paraId="4EC820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EA1195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сентября 1941 постановлением правительства карточная система распределения продуктов была введена повсеместно. Правда, пока это касалось только хлеба, сахара и кондитерских изделий. Нормы и карточки на другие товары появились позднее. Все население делилось на две категории. В 1-ю вошли рабочие военной, нефтяной, металлургической, машиностроительной, химической промышленности, работники электростанций, железнодорожного и морского транспорта и др. Во 2-ю группу — рабочие и ИТР, служащие других отраслей промышленности и все остальные, не вошедшие в первую категорию. Им были установлены следующие дневные нормы отпуска хлеба и сахара: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6B0687" w:rsidRPr="00640820" w14:paraId="17F3C044" w14:textId="77777777" w:rsidTr="000D3BCB">
        <w:tc>
          <w:tcPr>
            <w:tcW w:w="3736" w:type="dxa"/>
            <w:tcBorders>
              <w:top w:val="single" w:sz="12" w:space="0" w:color="auto"/>
            </w:tcBorders>
          </w:tcPr>
          <w:p w14:paraId="355630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3736" w:type="dxa"/>
            <w:tcBorders>
              <w:top w:val="single" w:sz="12" w:space="0" w:color="auto"/>
            </w:tcBorders>
          </w:tcPr>
          <w:p w14:paraId="4680BF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категория</w:t>
            </w:r>
          </w:p>
        </w:tc>
        <w:tc>
          <w:tcPr>
            <w:tcW w:w="3736" w:type="dxa"/>
            <w:tcBorders>
              <w:top w:val="single" w:sz="12" w:space="0" w:color="auto"/>
            </w:tcBorders>
          </w:tcPr>
          <w:p w14:paraId="5431DC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категория</w:t>
            </w:r>
          </w:p>
        </w:tc>
      </w:tr>
      <w:tr w:rsidR="006B0687" w:rsidRPr="00640820" w14:paraId="6FFCA51B" w14:textId="77777777" w:rsidTr="000D3BCB">
        <w:tc>
          <w:tcPr>
            <w:tcW w:w="3736" w:type="dxa"/>
          </w:tcPr>
          <w:p w14:paraId="7D23B5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Рабочие и ИТР</w:t>
            </w:r>
          </w:p>
        </w:tc>
        <w:tc>
          <w:tcPr>
            <w:tcW w:w="3736" w:type="dxa"/>
          </w:tcPr>
          <w:p w14:paraId="5DF08C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хлеб - 800</w:t>
            </w:r>
          </w:p>
          <w:p w14:paraId="705524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сахар - 800</w:t>
            </w:r>
          </w:p>
        </w:tc>
        <w:tc>
          <w:tcPr>
            <w:tcW w:w="3736" w:type="dxa"/>
          </w:tcPr>
          <w:p w14:paraId="0D53FE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хлеб - 600</w:t>
            </w:r>
          </w:p>
          <w:p w14:paraId="6A62EB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сахар - 600</w:t>
            </w:r>
          </w:p>
        </w:tc>
      </w:tr>
      <w:tr w:rsidR="006B0687" w:rsidRPr="00640820" w14:paraId="4F591358" w14:textId="77777777" w:rsidTr="000D3BCB">
        <w:tc>
          <w:tcPr>
            <w:tcW w:w="3736" w:type="dxa"/>
          </w:tcPr>
          <w:p w14:paraId="4A56FF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Служащие</w:t>
            </w:r>
          </w:p>
        </w:tc>
        <w:tc>
          <w:tcPr>
            <w:tcW w:w="3736" w:type="dxa"/>
          </w:tcPr>
          <w:p w14:paraId="068B69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хлеб - 500</w:t>
            </w:r>
          </w:p>
          <w:p w14:paraId="2D6CB3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сахар - 600</w:t>
            </w:r>
          </w:p>
        </w:tc>
        <w:tc>
          <w:tcPr>
            <w:tcW w:w="3736" w:type="dxa"/>
          </w:tcPr>
          <w:p w14:paraId="3E3B54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хлеб - 400</w:t>
            </w:r>
          </w:p>
          <w:p w14:paraId="052AA0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сахар - 600</w:t>
            </w:r>
          </w:p>
        </w:tc>
      </w:tr>
      <w:tr w:rsidR="006B0687" w:rsidRPr="00640820" w14:paraId="6A44CE4E" w14:textId="77777777" w:rsidTr="000D3BCB">
        <w:tc>
          <w:tcPr>
            <w:tcW w:w="3736" w:type="dxa"/>
          </w:tcPr>
          <w:p w14:paraId="2747F5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Иждивенцы</w:t>
            </w:r>
          </w:p>
        </w:tc>
        <w:tc>
          <w:tcPr>
            <w:tcW w:w="3736" w:type="dxa"/>
          </w:tcPr>
          <w:p w14:paraId="0E91DF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хлеб - 400</w:t>
            </w:r>
          </w:p>
          <w:p w14:paraId="0D3806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сахар - 400</w:t>
            </w:r>
          </w:p>
        </w:tc>
        <w:tc>
          <w:tcPr>
            <w:tcW w:w="3736" w:type="dxa"/>
          </w:tcPr>
          <w:p w14:paraId="395183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хлеб - 400</w:t>
            </w:r>
          </w:p>
          <w:p w14:paraId="072324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сахар - 400</w:t>
            </w:r>
          </w:p>
        </w:tc>
      </w:tr>
      <w:tr w:rsidR="006B0687" w:rsidRPr="00640820" w14:paraId="1F42B98F" w14:textId="77777777" w:rsidTr="000D3BCB">
        <w:tc>
          <w:tcPr>
            <w:tcW w:w="3736" w:type="dxa"/>
            <w:tcBorders>
              <w:bottom w:val="single" w:sz="12" w:space="0" w:color="auto"/>
            </w:tcBorders>
          </w:tcPr>
          <w:p w14:paraId="6CAB85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Дети до 12</w:t>
            </w:r>
          </w:p>
        </w:tc>
        <w:tc>
          <w:tcPr>
            <w:tcW w:w="3736" w:type="dxa"/>
            <w:tcBorders>
              <w:bottom w:val="single" w:sz="12" w:space="0" w:color="auto"/>
            </w:tcBorders>
          </w:tcPr>
          <w:p w14:paraId="0B2450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хлеб - 400</w:t>
            </w:r>
          </w:p>
          <w:p w14:paraId="0B1E09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сахар - 600</w:t>
            </w:r>
          </w:p>
        </w:tc>
        <w:tc>
          <w:tcPr>
            <w:tcW w:w="3736" w:type="dxa"/>
            <w:tcBorders>
              <w:bottom w:val="single" w:sz="12" w:space="0" w:color="auto"/>
            </w:tcBorders>
          </w:tcPr>
          <w:p w14:paraId="1A5238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хлеб - 400</w:t>
            </w:r>
          </w:p>
          <w:p w14:paraId="5F56C7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сахар - 400</w:t>
            </w:r>
          </w:p>
        </w:tc>
      </w:tr>
    </w:tbl>
    <w:p w14:paraId="5DD5607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Однако это же постановление разрешало местным властям параллельно с карточным распределением вести торговлю хлебом без карточек по повышенным ценам. [419 — ГОПАНО, Ф. 3, Оп. 1, Д. 2062, Л. 58–59.] Фактически карточная система сосуществовала параллельно с коммерческой торговлей. В дальнейшем отказались и от регулирования цен на продукты на рынках. Это была крупная победа крестьян над советской властью! Недополученную же за последнее время прибыль колхозники просто заложили в цены, которые выросли в четыре-пять раз по сравнению с довоенными. Так, литр молока в октябре 1941 г. стоил 10 рублей вместо двух рублей в июне. Но и за этим дорогим продуктом теперь надо было стоять в очереди по два-три часа. В коммерческих магазинах тоже стояли большие очереди, значит, денежки у народа все-таки водились. Забегая вперед, надо сказать, что вскоре государство это поняло и, видимо, решило, что у людей слишком много наличности. Народ отреагировал на введение карточек негативно, и имели место даже акции протеста. К примеру, на Кулебакском торфопредприятии из-за массового невыхода рабочих 1 и 2 сентября была практически сорвана работа. Впоследствии из 49 сбежавших удалось вернуть только половину. [420 — Сомов В. А., Указ. соч., с. 90–91.] (11741).</w:t>
      </w:r>
    </w:p>
    <w:p w14:paraId="5DE293F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524E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сентября 1941 года (Государственный архив Мурманской области (ГАМО), ф. Р-808, оп. 2, д. 5, л. 11, 15.) в городе Мурманске были введены карточки на хлеб, сахар и кондитерские изделия. Постановление Совнаркома СССР о введении карточек в 197 городах, в том числе и в Мурманске, было утверждено Центральным Комитетом ВКП(б) еще 20 августа (Там же, ф. П-1, оп. 1, д. 385, л. 75; ф. Р-808, оп. 1, д. 96, л. 317, 319-320, 353.), но несколько дней заняли подготовительные мероприятия.</w:t>
      </w:r>
    </w:p>
    <w:p w14:paraId="68A60E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Согласно постановлению СНК СССР все городское население было разбито на 4 группы. К первой группе относились рабочие и инженерно-технические работники, вторую группу составили служащие, к третьей группе были отнесены иждивенцы и к четвертой - дети до 12 лет.</w:t>
      </w:r>
    </w:p>
    <w:p w14:paraId="459674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зависимости от значения отраслей народного хозяйства рабочие, ИТР, служащие, а также их иждивенцы и дети снабжались хлебом и сахаром по первой или второй категориям.</w:t>
      </w:r>
    </w:p>
    <w:p w14:paraId="37F209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первой категории снабжались работники предприятий оборонной, угольной, нефтяной, химической промышленности, металлургии, машиностроения и станкостроения, электростанций, строек черной и цветной металлургии, железнодорожного строительства, строительства шахт, предприятий и строек Главвоенстроя. На период проведения сезонных работ к первой категории были отнесены также работники лесной, торфяной и рыбной промышленности. Рабочие и служащие других отраслей народного хозяйства и остальное городское население снабжалось по нормам второй категории.</w:t>
      </w:r>
    </w:p>
    <w:p w14:paraId="5B5E9D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Рабочие и инженерно-технические работники получали по карточкам 800 грамм хлеба в день по первой категории и 600 грамм по второй. Служащие по первой категории получали 500 грамм хлеба в день, по второй - 400. Иждивенцы и дети до 12 лет ежедневно получали по 400 грамм хлеба. Месячная норма сахара и кондитерских изделий составляла для рабочих и ИТР по первой категории 800 грамм, по второй - 600. Служащие независимо от категории получали 600 грамм сахара в месяц, а иждивенцы - 400. По детским карточкам первой категории выдавалось 600, а по второй - 400 грамм сахара в месяц (Там же, ф. П-1, оп. 1, д. 385, л. 75-79; ф. Р-808, оп. 1, д. 96, л. 353, 354.).</w:t>
      </w:r>
    </w:p>
    <w:p w14:paraId="57D06B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Рабочим, служащим, а также их иждивенцам карточки выдавались по месту работы, на предприятиях или учреждениях, причем иждивенцы получали карточки только после предъявления справок от домоуправлений, подтверждающих, что они действительно находятся на иждивении данного рабочего или служащего и не получают карточек по месту жительства или по месту работы другого члена семьи. На предприятиях получали карточки и иждивенцы бывших работников, призванных в Красную Армию и Военно-Морской Флот. Учащиеся вузов и техникумов обеспечивались карточками через учебные заведения.</w:t>
      </w:r>
    </w:p>
    <w:p w14:paraId="71A75F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Пенсионерам, инвалидам труда, домработницам, кустарям-одиночкам, лицам свободных профессий и некоторым другим категориям трудящихся и их иждивенцам, живущим в городах, рабочих поселках и поселках городского типа и не связанным с сельским хозяйством, карточки выдавались через домоуправления по месту жительства (Там же, ф. Р-808, оп. 1, д. 96, л. 328 об.-329.).</w:t>
      </w:r>
    </w:p>
    <w:p w14:paraId="3D1647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Учащиеся школ ФЗО, воспитанники детских домов, пациенты домов престарелых и другие лица, находившиеся на полном государственном обеспечении, карточек не получали (Там же, ф. Р-808, оп. 1, д. 96, л. 320 об.-322.) (11911).</w:t>
      </w:r>
    </w:p>
    <w:p w14:paraId="1AC5CB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117A8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сентября 1941 В Томске введена карточная система снабжения населения (11858).</w:t>
      </w:r>
    </w:p>
    <w:p w14:paraId="73AC9C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FFF91D0" w14:textId="77777777" w:rsidR="004E2BF7" w:rsidRPr="00640820" w:rsidRDefault="004E2BF7"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 сентября </w:t>
      </w:r>
      <w:r w:rsidRPr="00640820">
        <w:rPr>
          <w:rFonts w:ascii="Times New Roman" w:hAnsi="Times New Roman"/>
          <w:color w:val="000000" w:themeColor="text1"/>
          <w:sz w:val="16"/>
          <w:szCs w:val="16"/>
        </w:rPr>
        <w:t>в 1941 году по данным Наркомата финансов СССР, в Фонд обороны поступило 343 млн. 300 тысяч рублей, 500 г платины, 21,3 кг золота, 1076,5 кг серебра, на 11 971 рублей иностранной валюты по курсовой стоимости, 5987 тонн зерна, 118 532 тонн сена, 1078 тонн скота и птицы, 533 тонн молока и молочных продуктов, большое количество других сельскохозяйственных продуктов (14756).</w:t>
      </w:r>
    </w:p>
    <w:p w14:paraId="4A89AD4E" w14:textId="77777777" w:rsidR="004E2BF7" w:rsidRPr="00640820" w:rsidRDefault="004E2BF7" w:rsidP="00640820">
      <w:pPr>
        <w:spacing w:after="0" w:line="240" w:lineRule="auto"/>
        <w:jc w:val="both"/>
        <w:rPr>
          <w:rFonts w:ascii="Times New Roman" w:hAnsi="Times New Roman"/>
          <w:color w:val="000000" w:themeColor="text1"/>
          <w:sz w:val="16"/>
          <w:szCs w:val="16"/>
        </w:rPr>
      </w:pPr>
    </w:p>
    <w:p w14:paraId="1ECA73E3" w14:textId="77777777" w:rsidR="004E2BF7"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57CC8A2E" w14:textId="77777777" w:rsidR="004E2BF7" w:rsidRPr="00640820" w:rsidRDefault="004E2BF7"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CDDE1D3" w14:textId="77777777" w:rsidR="004E2BF7" w:rsidRPr="00640820" w:rsidRDefault="004E2BF7"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 сентября </w:t>
      </w:r>
      <w:r w:rsidRPr="00640820">
        <w:rPr>
          <w:rFonts w:ascii="Times New Roman" w:hAnsi="Times New Roman"/>
          <w:color w:val="000000" w:themeColor="text1"/>
          <w:sz w:val="16"/>
          <w:szCs w:val="16"/>
        </w:rPr>
        <w:t>в 1941 году советским войскам в Иране дан приказ о прекращении дальнейшего продвижения (14756).</w:t>
      </w:r>
    </w:p>
    <w:p w14:paraId="472D30B2" w14:textId="77777777" w:rsidR="004E2BF7" w:rsidRPr="00640820" w:rsidRDefault="004E2BF7" w:rsidP="00640820">
      <w:pPr>
        <w:spacing w:after="0" w:line="240" w:lineRule="auto"/>
        <w:jc w:val="both"/>
        <w:rPr>
          <w:rFonts w:ascii="Times New Roman" w:hAnsi="Times New Roman"/>
          <w:color w:val="000000" w:themeColor="text1"/>
          <w:sz w:val="16"/>
          <w:szCs w:val="16"/>
        </w:rPr>
      </w:pPr>
    </w:p>
    <w:p w14:paraId="2BB1FCB9"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663919CD"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79FAA16" w14:textId="77777777" w:rsidR="004E2BF7" w:rsidRPr="00640820" w:rsidRDefault="004E2BF7"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сентября 1941 близ Аугсбург состоялся первый испытательный полет Ме-163А с ЖРЖ (2990).</w:t>
      </w:r>
    </w:p>
    <w:p w14:paraId="034CD4F4" w14:textId="77777777" w:rsidR="004E2BF7" w:rsidRPr="00640820" w:rsidRDefault="004E2BF7" w:rsidP="00640820">
      <w:pPr>
        <w:autoSpaceDE w:val="0"/>
        <w:autoSpaceDN w:val="0"/>
        <w:adjustRightInd w:val="0"/>
        <w:spacing w:after="0" w:line="240" w:lineRule="auto"/>
        <w:jc w:val="both"/>
        <w:rPr>
          <w:rFonts w:ascii="Times New Roman" w:hAnsi="Times New Roman"/>
          <w:color w:val="000000" w:themeColor="text1"/>
          <w:sz w:val="16"/>
          <w:szCs w:val="16"/>
        </w:rPr>
      </w:pPr>
    </w:p>
    <w:p w14:paraId="359248A4" w14:textId="77777777" w:rsidR="004E2BF7" w:rsidRPr="00640820" w:rsidRDefault="004E2BF7"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 сентября </w:t>
      </w:r>
      <w:r w:rsidRPr="00640820">
        <w:rPr>
          <w:rFonts w:ascii="Times New Roman" w:hAnsi="Times New Roman"/>
          <w:color w:val="000000" w:themeColor="text1"/>
          <w:sz w:val="16"/>
          <w:szCs w:val="16"/>
        </w:rPr>
        <w:t>в 1941 году в Германии близ города Аугсбург состоялся первый испытательный полёт самолёта «Мессершмитт» «Me-163A» с ракетным двигателем конструкции А.Липпиша. Самый удачный в истории ракетный самолёт, единственный, запущенный в массовое производство (было изготовлено более 400 штук) (14756).</w:t>
      </w:r>
    </w:p>
    <w:p w14:paraId="47F997AB" w14:textId="77777777" w:rsidR="004E2BF7" w:rsidRPr="00640820" w:rsidRDefault="004E2BF7" w:rsidP="00640820">
      <w:pPr>
        <w:spacing w:after="0" w:line="240" w:lineRule="auto"/>
        <w:jc w:val="both"/>
        <w:rPr>
          <w:rFonts w:ascii="Times New Roman" w:hAnsi="Times New Roman"/>
          <w:color w:val="000000" w:themeColor="text1"/>
          <w:sz w:val="16"/>
          <w:szCs w:val="16"/>
        </w:rPr>
      </w:pPr>
    </w:p>
    <w:p w14:paraId="4D3C4EAA" w14:textId="77777777" w:rsidR="004E2BF7" w:rsidRPr="00640820" w:rsidRDefault="004E2B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сентября</w:t>
      </w:r>
      <w:r w:rsidRPr="00640820">
        <w:rPr>
          <w:rStyle w:val="ucoz-forum-post"/>
          <w:rFonts w:ascii="Times New Roman" w:eastAsia="Times New Roman" w:hAnsi="Times New Roman"/>
          <w:color w:val="000000" w:themeColor="text1"/>
          <w:sz w:val="16"/>
          <w:szCs w:val="16"/>
        </w:rPr>
        <w:t xml:space="preserve"> 1941. В Германии близ города Аугсбург состоялся первый испытательный полёт самолёта Мессершмитт Me-163A с ракетным двигателем конструкции А.Липпиша. Самый удачный в истории ракетный самолёт, единственный, запущенный в массовое производство (было изготовлено более 400 шт.) </w:t>
      </w:r>
    </w:p>
    <w:p w14:paraId="1DA2BDE8" w14:textId="77777777" w:rsidR="004E2BF7" w:rsidRPr="00640820" w:rsidRDefault="004E2BF7" w:rsidP="00640820">
      <w:pPr>
        <w:spacing w:after="0" w:line="240" w:lineRule="auto"/>
        <w:jc w:val="both"/>
        <w:rPr>
          <w:rFonts w:ascii="Times New Roman" w:hAnsi="Times New Roman"/>
          <w:color w:val="000000" w:themeColor="text1"/>
          <w:sz w:val="16"/>
          <w:szCs w:val="16"/>
        </w:rPr>
      </w:pPr>
    </w:p>
    <w:p w14:paraId="075C2136" w14:textId="77777777" w:rsidR="00D8147F" w:rsidRPr="00640820" w:rsidRDefault="00D8147F" w:rsidP="00640820">
      <w:pPr>
        <w:spacing w:after="0" w:line="240" w:lineRule="auto"/>
        <w:jc w:val="both"/>
        <w:rPr>
          <w:rStyle w:val="ucoz-forum-post"/>
          <w:rFonts w:ascii="Times New Roman" w:eastAsia="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1 сентября 1941 года</w:t>
      </w:r>
      <w:r w:rsidRPr="00640820">
        <w:rPr>
          <w:rStyle w:val="ucoz-forum-post"/>
          <w:rFonts w:ascii="Times New Roman" w:eastAsia="Times New Roman" w:hAnsi="Times New Roman"/>
          <w:color w:val="000000" w:themeColor="text1"/>
          <w:sz w:val="16"/>
          <w:szCs w:val="16"/>
        </w:rPr>
        <w:t xml:space="preserve"> Испытан прототип японского транспортно-десантного планера Ku.1. Планер Ku.1 был спроектирован в 1941 году Хироши Сато - профессором Технического Университета Киюши и построен на фирме Maeda Koku Kenkyujo по спецификацией выданной руководством армейской авиации в июле 1940 года.</w:t>
      </w:r>
    </w:p>
    <w:p w14:paraId="7472C35F" w14:textId="77777777" w:rsidR="00D8147F" w:rsidRPr="00640820" w:rsidRDefault="00D8147F" w:rsidP="00640820">
      <w:pPr>
        <w:spacing w:after="0" w:line="240" w:lineRule="auto"/>
        <w:jc w:val="both"/>
        <w:rPr>
          <w:rStyle w:val="ucoz-forum-post"/>
          <w:rFonts w:ascii="Times New Roman" w:eastAsia="Times New Roman" w:hAnsi="Times New Roman"/>
          <w:color w:val="000000" w:themeColor="text1"/>
          <w:sz w:val="16"/>
          <w:szCs w:val="16"/>
        </w:rPr>
      </w:pPr>
      <w:r w:rsidRPr="00640820">
        <w:rPr>
          <w:rStyle w:val="ucoz-forum-post"/>
          <w:rFonts w:ascii="Times New Roman" w:eastAsia="Times New Roman" w:hAnsi="Times New Roman"/>
          <w:color w:val="000000" w:themeColor="text1"/>
          <w:sz w:val="16"/>
          <w:szCs w:val="16"/>
        </w:rPr>
        <w:t>Планер Ku-1 был деревянным свободнонесущим высокопланом. Крыло состояло из трех частей - прямоугольного в плане центроплана и двух трапециевидных консолей. К центроплану крепилась гондола экипажа и две хвостовые балки, соединенные между собой стабилизатором. Экипаж планера состоял из двух пилотов и 6-8 солдат. Шасси состояло из центральной лыжи под всей гондолой и двух колес.</w:t>
      </w:r>
    </w:p>
    <w:p w14:paraId="71BDFA89" w14:textId="77777777" w:rsidR="00D8147F" w:rsidRPr="00640820" w:rsidRDefault="00D8147F" w:rsidP="00640820">
      <w:pPr>
        <w:spacing w:after="0" w:line="240" w:lineRule="auto"/>
        <w:jc w:val="both"/>
        <w:rPr>
          <w:rStyle w:val="ucoz-forum-post"/>
          <w:rFonts w:ascii="Times New Roman" w:eastAsia="Times New Roman" w:hAnsi="Times New Roman"/>
          <w:color w:val="000000" w:themeColor="text1"/>
          <w:sz w:val="16"/>
          <w:szCs w:val="16"/>
        </w:rPr>
      </w:pPr>
      <w:r w:rsidRPr="00640820">
        <w:rPr>
          <w:rStyle w:val="ucoz-forum-post"/>
          <w:rFonts w:ascii="Times New Roman" w:eastAsia="Times New Roman" w:hAnsi="Times New Roman"/>
          <w:color w:val="000000" w:themeColor="text1"/>
          <w:sz w:val="16"/>
          <w:szCs w:val="16"/>
        </w:rPr>
        <w:t>После испытаний было начато серийное производство планеров Ku.1-I. Всего было произведено около 100 экземпляров планера. В течение недолгого времени Ku.1 использовался для различных тестов, вспомогательных нужд и в качестве тренировочного только на территории Японии. В боевых действия планеры Ku-1 участия не принимали. Кроме основного вариант были разработаны еще два варианта Ku.1-II и Ku.1-III, но они так и остались на этапе прототипов (14756).</w:t>
      </w:r>
    </w:p>
    <w:p w14:paraId="204150AF" w14:textId="77777777" w:rsidR="00D8147F" w:rsidRPr="00640820" w:rsidRDefault="00D8147F" w:rsidP="00640820">
      <w:pPr>
        <w:spacing w:after="0" w:line="240" w:lineRule="auto"/>
        <w:jc w:val="both"/>
        <w:rPr>
          <w:rStyle w:val="ucoz-forum-post"/>
          <w:rFonts w:ascii="Times New Roman" w:eastAsia="Times New Roman" w:hAnsi="Times New Roman"/>
          <w:color w:val="000000" w:themeColor="text1"/>
          <w:sz w:val="16"/>
          <w:szCs w:val="16"/>
        </w:rPr>
      </w:pPr>
    </w:p>
    <w:p w14:paraId="04C1073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сентября 1941 А. Гитлер восстановил высшую военную награду Германии - Железный Крест (4962).</w:t>
      </w:r>
    </w:p>
    <w:p w14:paraId="7C3F9BC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4916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rPr>
        <w:t>1 сентября 1941 А.Г. восстановил высшую военную награду - Железный крест. Получил</w:t>
      </w:r>
      <w:r w:rsidRPr="00640820">
        <w:rPr>
          <w:rFonts w:ascii="Times New Roman" w:hAnsi="Times New Roman"/>
          <w:color w:val="000000" w:themeColor="text1"/>
          <w:sz w:val="16"/>
          <w:szCs w:val="16"/>
          <w:lang w:val="en-US"/>
        </w:rPr>
        <w:t xml:space="preserve"> 8 </w:t>
      </w:r>
      <w:r w:rsidRPr="00640820">
        <w:rPr>
          <w:rFonts w:ascii="Times New Roman" w:hAnsi="Times New Roman"/>
          <w:color w:val="000000" w:themeColor="text1"/>
          <w:sz w:val="16"/>
          <w:szCs w:val="16"/>
        </w:rPr>
        <w:t>степеней</w:t>
      </w:r>
      <w:r w:rsidRPr="00640820">
        <w:rPr>
          <w:rFonts w:ascii="Times New Roman" w:hAnsi="Times New Roman"/>
          <w:color w:val="000000" w:themeColor="text1"/>
          <w:sz w:val="16"/>
          <w:szCs w:val="16"/>
          <w:lang w:val="en-US"/>
        </w:rPr>
        <w:t xml:space="preserve"> (3481).</w:t>
      </w:r>
    </w:p>
    <w:p w14:paraId="21E5F0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0D486B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September 1 1941 Nazis order Jews to wear yellow stars (1050) </w:t>
      </w:r>
      <w:r w:rsidRPr="00640820">
        <w:rPr>
          <w:rFonts w:ascii="Times New Roman" w:hAnsi="Times New Roman"/>
          <w:color w:val="000000" w:themeColor="text1"/>
          <w:sz w:val="16"/>
          <w:szCs w:val="16"/>
        </w:rPr>
        <w:t>вГермании</w:t>
      </w:r>
      <w:r w:rsidRPr="00640820">
        <w:rPr>
          <w:rFonts w:ascii="Times New Roman" w:hAnsi="Times New Roman"/>
          <w:color w:val="000000" w:themeColor="text1"/>
          <w:sz w:val="16"/>
          <w:szCs w:val="16"/>
          <w:lang w:val="en-US"/>
        </w:rPr>
        <w:t xml:space="preserve"> (1798).</w:t>
      </w:r>
    </w:p>
    <w:p w14:paraId="2E4BBB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2A59B3B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сентября 1941 немецкие нацисты обязали всех евреев надевать одежду с желтыми шестиконечными звездами (4962).</w:t>
      </w:r>
    </w:p>
    <w:p w14:paraId="4E50A76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3239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 сентября 1941 нацисты потребовали от евреев носить желтые звезды Давида (1050;1798).</w:t>
      </w:r>
    </w:p>
    <w:p w14:paraId="2CC1FC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90D61EE" w14:textId="77777777" w:rsidR="004E2BF7" w:rsidRPr="00640820" w:rsidRDefault="004E2BF7"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 сентября </w:t>
      </w:r>
      <w:r w:rsidRPr="00640820">
        <w:rPr>
          <w:rFonts w:ascii="Times New Roman" w:hAnsi="Times New Roman"/>
          <w:color w:val="000000" w:themeColor="text1"/>
          <w:sz w:val="16"/>
          <w:szCs w:val="16"/>
        </w:rPr>
        <w:t>в 1941 году Латвия включена в Рейхскомиссариат Остланд, а в Риге разместился центр Рейхскомиссариата (14756).</w:t>
      </w:r>
    </w:p>
    <w:p w14:paraId="0172A62E" w14:textId="77777777" w:rsidR="004E2BF7" w:rsidRPr="00640820" w:rsidRDefault="004E2BF7" w:rsidP="00640820">
      <w:pPr>
        <w:spacing w:after="0" w:line="240" w:lineRule="auto"/>
        <w:jc w:val="both"/>
        <w:rPr>
          <w:rFonts w:ascii="Times New Roman" w:hAnsi="Times New Roman"/>
          <w:color w:val="000000" w:themeColor="text1"/>
          <w:sz w:val="16"/>
          <w:szCs w:val="16"/>
        </w:rPr>
      </w:pPr>
    </w:p>
    <w:p w14:paraId="265DE776" w14:textId="77777777" w:rsidR="004E2BF7" w:rsidRPr="00640820" w:rsidRDefault="004E2BF7"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 сентября </w:t>
      </w:r>
      <w:r w:rsidRPr="00640820">
        <w:rPr>
          <w:rFonts w:ascii="Times New Roman" w:hAnsi="Times New Roman"/>
          <w:color w:val="000000" w:themeColor="text1"/>
          <w:sz w:val="16"/>
          <w:szCs w:val="16"/>
        </w:rPr>
        <w:t>в 1941 году директор-генералом Земельного Правительства Латвии под германским контролем назначен О.Данкер (14756).</w:t>
      </w:r>
    </w:p>
    <w:p w14:paraId="7B856EE9" w14:textId="77777777" w:rsidR="004E2BF7" w:rsidRPr="00640820" w:rsidRDefault="004E2BF7" w:rsidP="00640820">
      <w:pPr>
        <w:spacing w:after="0" w:line="240" w:lineRule="auto"/>
        <w:jc w:val="both"/>
        <w:rPr>
          <w:rFonts w:ascii="Times New Roman" w:hAnsi="Times New Roman"/>
          <w:color w:val="000000" w:themeColor="text1"/>
          <w:sz w:val="16"/>
          <w:szCs w:val="16"/>
        </w:rPr>
      </w:pPr>
    </w:p>
    <w:p w14:paraId="48FCCC34" w14:textId="77777777" w:rsidR="004E2BF7" w:rsidRPr="00640820" w:rsidRDefault="004E2BF7"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 сентября </w:t>
      </w:r>
      <w:r w:rsidRPr="00640820">
        <w:rPr>
          <w:rFonts w:ascii="Times New Roman" w:hAnsi="Times New Roman"/>
          <w:color w:val="000000" w:themeColor="text1"/>
          <w:sz w:val="16"/>
          <w:szCs w:val="16"/>
        </w:rPr>
        <w:t>в 1941 году немецкие нацисты обязуют всех евреев надевать одежду с желтыми шестиконечными звездами (14756).</w:t>
      </w:r>
    </w:p>
    <w:p w14:paraId="2532CA2C" w14:textId="77777777" w:rsidR="004E2BF7" w:rsidRPr="00640820" w:rsidRDefault="004E2BF7" w:rsidP="00640820">
      <w:pPr>
        <w:spacing w:after="0" w:line="240" w:lineRule="auto"/>
        <w:jc w:val="both"/>
        <w:rPr>
          <w:rFonts w:ascii="Times New Roman" w:hAnsi="Times New Roman"/>
          <w:color w:val="000000" w:themeColor="text1"/>
          <w:sz w:val="16"/>
          <w:szCs w:val="16"/>
        </w:rPr>
      </w:pPr>
    </w:p>
    <w:p w14:paraId="2882C7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сентября 1941 в Чехословакии был создан военно-революционный комитет (3186).</w:t>
      </w:r>
    </w:p>
    <w:p w14:paraId="3C250C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46D90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сентября 1941 японская военная пресса объявила, что Япония должна разорвать союзническое окружение (2260).</w:t>
      </w:r>
    </w:p>
    <w:p w14:paraId="2A58E4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F50A46A"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43C03DD7"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11137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сентября 1941 вышло Постановление ГКО № 620 Об организации производства авиалыж к самолетам. РГАНИР, Фонд ГКО, д. 8, лл. 110-111, 112 (11012).</w:t>
      </w:r>
    </w:p>
    <w:p w14:paraId="4C9C2C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E6DF342" w14:textId="77777777" w:rsidR="00FA48B2" w:rsidRPr="00640820" w:rsidRDefault="00FA48B2" w:rsidP="00640820">
      <w:pPr>
        <w:pStyle w:val="47"/>
        <w:shd w:val="clear" w:color="auto" w:fill="auto"/>
        <w:spacing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2 сентября 1941 вышло Постановление ГКО № 620 Об организации производства авиалыж к самолетам</w:t>
      </w:r>
    </w:p>
    <w:p w14:paraId="7B19EA36" w14:textId="77777777" w:rsidR="00FA48B2" w:rsidRPr="00640820" w:rsidRDefault="00FA48B2" w:rsidP="00640820">
      <w:pPr>
        <w:pStyle w:val="aff2"/>
        <w:shd w:val="clear" w:color="auto" w:fill="auto"/>
        <w:spacing w:line="240" w:lineRule="auto"/>
        <w:rPr>
          <w:rFonts w:ascii="Times New Roman" w:hAnsi="Times New Roman" w:cs="Times New Roman"/>
          <w:i w:val="0"/>
          <w:color w:val="000000" w:themeColor="text1"/>
          <w:sz w:val="16"/>
          <w:szCs w:val="16"/>
          <w:lang w:val="ru-RU"/>
        </w:rPr>
      </w:pPr>
      <w:r w:rsidRPr="00640820">
        <w:rPr>
          <w:rFonts w:ascii="Times New Roman" w:hAnsi="Times New Roman" w:cs="Times New Roman"/>
          <w:color w:val="000000" w:themeColor="text1"/>
          <w:sz w:val="16"/>
          <w:szCs w:val="16"/>
          <w:lang w:val="ru-RU"/>
        </w:rPr>
        <w:t xml:space="preserve">В </w:t>
      </w:r>
      <w:r w:rsidRPr="00640820">
        <w:rPr>
          <w:rFonts w:ascii="Times New Roman" w:hAnsi="Times New Roman" w:cs="Times New Roman"/>
          <w:i w:val="0"/>
          <w:color w:val="000000" w:themeColor="text1"/>
          <w:sz w:val="16"/>
          <w:szCs w:val="16"/>
          <w:lang w:val="ru-RU"/>
        </w:rPr>
        <w:t xml:space="preserve">развитие постановления ГКО от 14 августа 1941 г. </w:t>
      </w:r>
      <w:r w:rsidRPr="00640820">
        <w:rPr>
          <w:rFonts w:ascii="Times New Roman" w:hAnsi="Times New Roman" w:cs="Times New Roman"/>
          <w:color w:val="000000" w:themeColor="text1"/>
          <w:sz w:val="16"/>
          <w:szCs w:val="16"/>
          <w:lang w:val="ru-RU"/>
        </w:rPr>
        <w:t>№</w:t>
      </w:r>
      <w:r w:rsidRPr="00640820">
        <w:rPr>
          <w:rFonts w:ascii="Times New Roman" w:hAnsi="Times New Roman" w:cs="Times New Roman"/>
          <w:i w:val="0"/>
          <w:color w:val="000000" w:themeColor="text1"/>
          <w:sz w:val="16"/>
          <w:szCs w:val="16"/>
          <w:lang w:val="ru-RU"/>
        </w:rPr>
        <w:t xml:space="preserve"> ГК0-478сс об зксплоатации самолетов зимой на лыжах на период войны Государственный Комитет Оборони постановляет:</w:t>
      </w:r>
    </w:p>
    <w:p w14:paraId="2C3B2583" w14:textId="77777777" w:rsidR="00FA48B2" w:rsidRPr="00640820" w:rsidRDefault="00FA48B2" w:rsidP="00640820">
      <w:pPr>
        <w:pStyle w:val="aff2"/>
        <w:shd w:val="clear" w:color="auto" w:fill="auto"/>
        <w:tabs>
          <w:tab w:val="left" w:pos="958"/>
        </w:tabs>
        <w:spacing w:line="240" w:lineRule="auto"/>
        <w:rPr>
          <w:rFonts w:ascii="Times New Roman" w:hAnsi="Times New Roman" w:cs="Times New Roman"/>
          <w:i w:val="0"/>
          <w:color w:val="000000" w:themeColor="text1"/>
          <w:sz w:val="16"/>
          <w:szCs w:val="16"/>
          <w:lang w:val="ru-RU"/>
        </w:rPr>
      </w:pPr>
      <w:r w:rsidRPr="00640820">
        <w:rPr>
          <w:rFonts w:ascii="Times New Roman" w:hAnsi="Times New Roman" w:cs="Times New Roman"/>
          <w:color w:val="000000" w:themeColor="text1"/>
          <w:sz w:val="16"/>
          <w:szCs w:val="16"/>
          <w:lang w:val="ru-RU"/>
        </w:rPr>
        <w:t xml:space="preserve">1. </w:t>
      </w:r>
      <w:r w:rsidRPr="00640820">
        <w:rPr>
          <w:rFonts w:ascii="Times New Roman" w:hAnsi="Times New Roman" w:cs="Times New Roman"/>
          <w:i w:val="0"/>
          <w:color w:val="000000" w:themeColor="text1"/>
          <w:sz w:val="16"/>
          <w:szCs w:val="16"/>
          <w:lang w:val="ru-RU"/>
        </w:rPr>
        <w:t>Обязать Наркомавиапром (т.Ша</w:t>
      </w:r>
      <w:r w:rsidRPr="00640820">
        <w:rPr>
          <w:rFonts w:ascii="Times New Roman" w:hAnsi="Times New Roman" w:cs="Times New Roman"/>
          <w:color w:val="000000" w:themeColor="text1"/>
          <w:sz w:val="16"/>
          <w:szCs w:val="16"/>
          <w:lang w:val="ru-RU"/>
        </w:rPr>
        <w:t>х</w:t>
      </w:r>
      <w:r w:rsidRPr="00640820">
        <w:rPr>
          <w:rFonts w:ascii="Times New Roman" w:hAnsi="Times New Roman" w:cs="Times New Roman"/>
          <w:i w:val="0"/>
          <w:color w:val="000000" w:themeColor="text1"/>
          <w:sz w:val="16"/>
          <w:szCs w:val="16"/>
          <w:lang w:val="ru-RU"/>
        </w:rPr>
        <w:t>урина) организовать серий</w:t>
      </w:r>
      <w:r w:rsidRPr="00640820">
        <w:rPr>
          <w:rFonts w:ascii="Times New Roman" w:hAnsi="Times New Roman" w:cs="Times New Roman"/>
          <w:i w:val="0"/>
          <w:color w:val="000000" w:themeColor="text1"/>
          <w:sz w:val="16"/>
          <w:szCs w:val="16"/>
          <w:lang w:val="ru-RU"/>
        </w:rPr>
        <w:softHyphen/>
        <w:t>ное производство авиалыж на заводах 1-го и 10-го Главных Управ</w:t>
      </w:r>
      <w:r w:rsidRPr="00640820">
        <w:rPr>
          <w:rFonts w:ascii="Times New Roman" w:hAnsi="Times New Roman" w:cs="Times New Roman"/>
          <w:i w:val="0"/>
          <w:color w:val="000000" w:themeColor="text1"/>
          <w:sz w:val="16"/>
          <w:szCs w:val="16"/>
          <w:lang w:val="ru-RU"/>
        </w:rPr>
        <w:softHyphen/>
        <w:t>лений НКАП.</w:t>
      </w:r>
    </w:p>
    <w:p w14:paraId="741ACADC" w14:textId="77777777" w:rsidR="00FA48B2" w:rsidRPr="00640820" w:rsidRDefault="00FA48B2" w:rsidP="00640820">
      <w:pPr>
        <w:pStyle w:val="aff2"/>
        <w:shd w:val="clear" w:color="auto" w:fill="auto"/>
        <w:tabs>
          <w:tab w:val="left" w:pos="958"/>
        </w:tabs>
        <w:spacing w:line="240" w:lineRule="auto"/>
        <w:rPr>
          <w:rFonts w:ascii="Times New Roman" w:hAnsi="Times New Roman" w:cs="Times New Roman"/>
          <w:i w:val="0"/>
          <w:color w:val="000000" w:themeColor="text1"/>
          <w:sz w:val="16"/>
          <w:szCs w:val="16"/>
          <w:lang w:val="ru-RU"/>
        </w:rPr>
      </w:pPr>
      <w:r w:rsidRPr="00640820">
        <w:rPr>
          <w:rFonts w:ascii="Times New Roman" w:hAnsi="Times New Roman" w:cs="Times New Roman"/>
          <w:i w:val="0"/>
          <w:color w:val="000000" w:themeColor="text1"/>
          <w:sz w:val="16"/>
          <w:szCs w:val="16"/>
          <w:lang w:val="ru-RU"/>
        </w:rPr>
        <w:t>2.</w:t>
      </w:r>
      <w:r w:rsidRPr="00640820">
        <w:rPr>
          <w:rFonts w:ascii="Times New Roman" w:hAnsi="Times New Roman" w:cs="Times New Roman"/>
          <w:color w:val="000000" w:themeColor="text1"/>
          <w:sz w:val="16"/>
          <w:szCs w:val="16"/>
          <w:lang w:val="ru-RU"/>
        </w:rPr>
        <w:t xml:space="preserve"> </w:t>
      </w:r>
      <w:r w:rsidRPr="00640820">
        <w:rPr>
          <w:rFonts w:ascii="Times New Roman" w:hAnsi="Times New Roman" w:cs="Times New Roman"/>
          <w:i w:val="0"/>
          <w:color w:val="000000" w:themeColor="text1"/>
          <w:sz w:val="16"/>
          <w:szCs w:val="16"/>
          <w:lang w:val="ru-RU"/>
        </w:rPr>
        <w:t>Обязать Наркомле</w:t>
      </w:r>
      <w:r w:rsidRPr="00640820">
        <w:rPr>
          <w:rFonts w:ascii="Times New Roman" w:hAnsi="Times New Roman" w:cs="Times New Roman"/>
          <w:color w:val="000000" w:themeColor="text1"/>
          <w:sz w:val="16"/>
          <w:szCs w:val="16"/>
          <w:lang w:val="ru-RU"/>
        </w:rPr>
        <w:t>с</w:t>
      </w:r>
      <w:r w:rsidRPr="00640820">
        <w:rPr>
          <w:rFonts w:ascii="Times New Roman" w:hAnsi="Times New Roman" w:cs="Times New Roman"/>
          <w:i w:val="0"/>
          <w:color w:val="000000" w:themeColor="text1"/>
          <w:sz w:val="16"/>
          <w:szCs w:val="16"/>
          <w:lang w:val="ru-RU"/>
        </w:rPr>
        <w:t xml:space="preserve"> СССР (т.Салтыкова) организовать производство авиалыж (заготовку и сборку) для заводов Нарком- авиапрома на следующих предприятиях:</w:t>
      </w:r>
    </w:p>
    <w:p w14:paraId="42E54392" w14:textId="77777777" w:rsidR="00FA48B2" w:rsidRPr="00640820" w:rsidRDefault="00FA48B2" w:rsidP="00640820">
      <w:pPr>
        <w:pStyle w:val="aff2"/>
        <w:shd w:val="clear" w:color="auto" w:fill="auto"/>
        <w:tabs>
          <w:tab w:val="left" w:pos="1663"/>
          <w:tab w:val="left" w:pos="3410"/>
        </w:tabs>
        <w:spacing w:line="240" w:lineRule="auto"/>
        <w:rPr>
          <w:rFonts w:ascii="Times New Roman" w:hAnsi="Times New Roman" w:cs="Times New Roman"/>
          <w:color w:val="000000" w:themeColor="text1"/>
          <w:sz w:val="16"/>
          <w:szCs w:val="16"/>
          <w:lang w:val="ru-RU"/>
        </w:rPr>
      </w:pPr>
      <w:r w:rsidRPr="00640820">
        <w:rPr>
          <w:rFonts w:ascii="Times New Roman" w:hAnsi="Times New Roman" w:cs="Times New Roman"/>
          <w:i w:val="0"/>
          <w:color w:val="000000" w:themeColor="text1"/>
          <w:sz w:val="16"/>
          <w:szCs w:val="16"/>
          <w:lang w:val="ru-RU"/>
        </w:rPr>
        <w:t xml:space="preserve">на Мебельной ф-ке </w:t>
      </w:r>
      <w:r w:rsidRPr="00640820">
        <w:rPr>
          <w:rFonts w:ascii="Times New Roman" w:hAnsi="Times New Roman" w:cs="Times New Roman"/>
          <w:color w:val="000000" w:themeColor="text1"/>
          <w:sz w:val="16"/>
          <w:szCs w:val="16"/>
          <w:lang w:val="ru-RU"/>
        </w:rPr>
        <w:t>№</w:t>
      </w:r>
      <w:r w:rsidRPr="00640820">
        <w:rPr>
          <w:rFonts w:ascii="Times New Roman" w:hAnsi="Times New Roman" w:cs="Times New Roman"/>
          <w:i w:val="0"/>
          <w:color w:val="000000" w:themeColor="text1"/>
          <w:sz w:val="16"/>
          <w:szCs w:val="16"/>
          <w:lang w:val="ru-RU"/>
        </w:rPr>
        <w:t xml:space="preserve"> 3 Москза - </w:t>
      </w:r>
      <w:r w:rsidRPr="00640820">
        <w:rPr>
          <w:rFonts w:ascii="Times New Roman" w:hAnsi="Times New Roman" w:cs="Times New Roman"/>
          <w:color w:val="000000" w:themeColor="text1"/>
          <w:sz w:val="16"/>
          <w:szCs w:val="16"/>
          <w:lang w:val="ru-RU"/>
        </w:rPr>
        <w:t>Ми</w:t>
      </w:r>
      <w:r w:rsidRPr="00640820">
        <w:rPr>
          <w:rFonts w:ascii="Times New Roman" w:hAnsi="Times New Roman" w:cs="Times New Roman"/>
          <w:i w:val="0"/>
          <w:color w:val="000000" w:themeColor="text1"/>
          <w:sz w:val="16"/>
          <w:szCs w:val="16"/>
          <w:lang w:val="ru-RU"/>
        </w:rPr>
        <w:t xml:space="preserve">г-3 для з-дов </w:t>
      </w:r>
      <w:r w:rsidRPr="00640820">
        <w:rPr>
          <w:rFonts w:ascii="Times New Roman" w:hAnsi="Times New Roman" w:cs="Times New Roman"/>
          <w:color w:val="000000" w:themeColor="text1"/>
          <w:sz w:val="16"/>
          <w:szCs w:val="16"/>
          <w:lang w:val="ru-RU"/>
        </w:rPr>
        <w:t>1</w:t>
      </w:r>
      <w:r w:rsidRPr="00640820">
        <w:rPr>
          <w:rFonts w:ascii="Times New Roman" w:hAnsi="Times New Roman" w:cs="Times New Roman"/>
          <w:i w:val="0"/>
          <w:color w:val="000000" w:themeColor="text1"/>
          <w:sz w:val="16"/>
          <w:szCs w:val="16"/>
          <w:lang w:val="ru-RU"/>
        </w:rPr>
        <w:t>, 122</w:t>
      </w:r>
    </w:p>
    <w:p w14:paraId="705E165F" w14:textId="77777777" w:rsidR="00FA48B2" w:rsidRPr="00640820" w:rsidRDefault="00FA48B2" w:rsidP="00640820">
      <w:pPr>
        <w:pStyle w:val="aff2"/>
        <w:shd w:val="clear" w:color="auto" w:fill="auto"/>
        <w:tabs>
          <w:tab w:val="left" w:pos="1663"/>
          <w:tab w:val="left" w:pos="3410"/>
        </w:tabs>
        <w:spacing w:line="240" w:lineRule="auto"/>
        <w:rPr>
          <w:rFonts w:ascii="Times New Roman" w:hAnsi="Times New Roman" w:cs="Times New Roman"/>
          <w:color w:val="000000" w:themeColor="text1"/>
          <w:sz w:val="16"/>
          <w:szCs w:val="16"/>
          <w:lang w:val="ru-RU"/>
        </w:rPr>
      </w:pPr>
      <w:r w:rsidRPr="00640820">
        <w:rPr>
          <w:rFonts w:ascii="Times New Roman" w:hAnsi="Times New Roman" w:cs="Times New Roman"/>
          <w:color w:val="000000" w:themeColor="text1"/>
          <w:sz w:val="16"/>
          <w:szCs w:val="16"/>
          <w:lang w:val="ru-RU"/>
        </w:rPr>
        <w:t>№</w:t>
      </w:r>
      <w:r w:rsidRPr="00640820">
        <w:rPr>
          <w:rFonts w:ascii="Times New Roman" w:hAnsi="Times New Roman" w:cs="Times New Roman"/>
          <w:i w:val="0"/>
          <w:color w:val="000000" w:themeColor="text1"/>
          <w:sz w:val="16"/>
          <w:szCs w:val="16"/>
          <w:lang w:val="ru-RU"/>
        </w:rPr>
        <w:t xml:space="preserve"> 4</w:t>
      </w:r>
      <w:r w:rsidRPr="00640820">
        <w:rPr>
          <w:rFonts w:ascii="Times New Roman" w:hAnsi="Times New Roman" w:cs="Times New Roman"/>
          <w:color w:val="000000" w:themeColor="text1"/>
          <w:sz w:val="16"/>
          <w:szCs w:val="16"/>
          <w:lang w:val="ru-RU"/>
        </w:rPr>
        <w:t xml:space="preserve"> </w:t>
      </w:r>
      <w:r w:rsidRPr="00640820">
        <w:rPr>
          <w:rFonts w:ascii="Times New Roman" w:hAnsi="Times New Roman" w:cs="Times New Roman"/>
          <w:i w:val="0"/>
          <w:color w:val="000000" w:themeColor="text1"/>
          <w:sz w:val="16"/>
          <w:szCs w:val="16"/>
          <w:lang w:val="ru-RU"/>
        </w:rPr>
        <w:t>Москза  - Пе</w:t>
      </w:r>
      <w:r w:rsidRPr="00640820">
        <w:rPr>
          <w:rStyle w:val="FranklinGothicBook9pt1pt"/>
          <w:rFonts w:ascii="Times New Roman" w:hAnsi="Times New Roman" w:cs="Times New Roman"/>
          <w:color w:val="000000" w:themeColor="text1"/>
          <w:spacing w:val="0"/>
          <w:sz w:val="16"/>
          <w:szCs w:val="16"/>
          <w:lang w:val="ru-RU"/>
        </w:rPr>
        <w:t>-</w:t>
      </w:r>
      <w:r w:rsidRPr="00640820">
        <w:rPr>
          <w:rStyle w:val="FranklinGothicBook9pt1pt"/>
          <w:rFonts w:ascii="Times New Roman" w:hAnsi="Times New Roman" w:cs="Times New Roman"/>
          <w:i/>
          <w:color w:val="000000" w:themeColor="text1"/>
          <w:spacing w:val="0"/>
          <w:sz w:val="16"/>
          <w:szCs w:val="16"/>
          <w:lang w:val="ru-RU"/>
        </w:rPr>
        <w:t>2</w:t>
      </w:r>
      <w:r w:rsidRPr="00640820">
        <w:rPr>
          <w:rStyle w:val="FranklinGothicBook9pt1pt"/>
          <w:rFonts w:ascii="Times New Roman" w:hAnsi="Times New Roman" w:cs="Times New Roman"/>
          <w:color w:val="000000" w:themeColor="text1"/>
          <w:spacing w:val="0"/>
          <w:sz w:val="16"/>
          <w:szCs w:val="16"/>
          <w:lang w:val="ru-RU"/>
        </w:rPr>
        <w:t xml:space="preserve"> </w:t>
      </w:r>
      <w:r w:rsidRPr="00640820">
        <w:rPr>
          <w:rStyle w:val="FranklinGothicBook9pt1pt"/>
          <w:rFonts w:ascii="Times New Roman" w:hAnsi="Times New Roman" w:cs="Times New Roman"/>
          <w:i/>
          <w:color w:val="000000" w:themeColor="text1"/>
          <w:spacing w:val="0"/>
          <w:sz w:val="16"/>
          <w:szCs w:val="16"/>
          <w:lang w:val="ru-RU"/>
        </w:rPr>
        <w:t>для</w:t>
      </w:r>
      <w:r w:rsidRPr="00640820">
        <w:rPr>
          <w:rStyle w:val="FranklinGothicBook9pt1pt"/>
          <w:rFonts w:ascii="Times New Roman" w:hAnsi="Times New Roman" w:cs="Times New Roman"/>
          <w:color w:val="000000" w:themeColor="text1"/>
          <w:spacing w:val="0"/>
          <w:sz w:val="16"/>
          <w:szCs w:val="16"/>
          <w:lang w:val="ru-RU"/>
        </w:rPr>
        <w:t xml:space="preserve"> 22,</w:t>
      </w:r>
      <w:r w:rsidRPr="00640820">
        <w:rPr>
          <w:rFonts w:ascii="Times New Roman" w:hAnsi="Times New Roman" w:cs="Times New Roman"/>
          <w:i w:val="0"/>
          <w:color w:val="000000" w:themeColor="text1"/>
          <w:sz w:val="16"/>
          <w:szCs w:val="16"/>
          <w:lang w:val="ru-RU"/>
        </w:rPr>
        <w:t xml:space="preserve"> 39</w:t>
      </w:r>
    </w:p>
    <w:p w14:paraId="648D2EA6" w14:textId="77777777" w:rsidR="00FA48B2" w:rsidRPr="00640820" w:rsidRDefault="00FA48B2" w:rsidP="00640820">
      <w:pPr>
        <w:pStyle w:val="aff2"/>
        <w:shd w:val="clear" w:color="auto" w:fill="auto"/>
        <w:tabs>
          <w:tab w:val="left" w:pos="1663"/>
          <w:tab w:val="left" w:pos="3410"/>
        </w:tabs>
        <w:spacing w:line="240" w:lineRule="auto"/>
        <w:rPr>
          <w:rFonts w:ascii="Times New Roman" w:hAnsi="Times New Roman" w:cs="Times New Roman"/>
          <w:i w:val="0"/>
          <w:color w:val="000000" w:themeColor="text1"/>
          <w:sz w:val="16"/>
          <w:szCs w:val="16"/>
          <w:lang w:val="ru-RU"/>
        </w:rPr>
      </w:pPr>
      <w:r w:rsidRPr="00640820">
        <w:rPr>
          <w:rFonts w:ascii="Times New Roman" w:hAnsi="Times New Roman" w:cs="Times New Roman"/>
          <w:i w:val="0"/>
          <w:color w:val="000000" w:themeColor="text1"/>
          <w:sz w:val="16"/>
          <w:szCs w:val="16"/>
          <w:lang w:val="ru-RU"/>
        </w:rPr>
        <w:t xml:space="preserve">№ </w:t>
      </w:r>
      <w:r w:rsidRPr="00640820">
        <w:rPr>
          <w:rFonts w:ascii="Times New Roman" w:hAnsi="Times New Roman" w:cs="Times New Roman"/>
          <w:color w:val="000000" w:themeColor="text1"/>
          <w:sz w:val="16"/>
          <w:szCs w:val="16"/>
          <w:lang w:val="ru-RU"/>
        </w:rPr>
        <w:t xml:space="preserve">6 </w:t>
      </w:r>
      <w:r w:rsidRPr="00640820">
        <w:rPr>
          <w:rFonts w:ascii="Times New Roman" w:hAnsi="Times New Roman" w:cs="Times New Roman"/>
          <w:i w:val="0"/>
          <w:color w:val="000000" w:themeColor="text1"/>
          <w:sz w:val="16"/>
          <w:szCs w:val="16"/>
          <w:lang w:val="ru-RU"/>
        </w:rPr>
        <w:t>Москза</w:t>
      </w:r>
      <w:r w:rsidRPr="00640820">
        <w:rPr>
          <w:rFonts w:ascii="Times New Roman" w:hAnsi="Times New Roman" w:cs="Times New Roman"/>
          <w:color w:val="000000" w:themeColor="text1"/>
          <w:sz w:val="16"/>
          <w:szCs w:val="16"/>
          <w:lang w:val="ru-RU"/>
        </w:rPr>
        <w:t xml:space="preserve"> </w:t>
      </w:r>
      <w:r w:rsidRPr="00640820">
        <w:rPr>
          <w:rFonts w:ascii="Times New Roman" w:hAnsi="Times New Roman" w:cs="Times New Roman"/>
          <w:i w:val="0"/>
          <w:color w:val="000000" w:themeColor="text1"/>
          <w:sz w:val="16"/>
          <w:szCs w:val="16"/>
          <w:lang w:val="ru-RU"/>
        </w:rPr>
        <w:t>- Пе -</w:t>
      </w:r>
      <w:r w:rsidRPr="00640820">
        <w:rPr>
          <w:rFonts w:ascii="Times New Roman" w:hAnsi="Times New Roman" w:cs="Times New Roman"/>
          <w:color w:val="000000" w:themeColor="text1"/>
          <w:sz w:val="16"/>
          <w:szCs w:val="16"/>
          <w:lang w:val="ru-RU"/>
        </w:rPr>
        <w:t>2</w:t>
      </w:r>
      <w:r w:rsidRPr="00640820">
        <w:rPr>
          <w:rFonts w:ascii="Times New Roman" w:hAnsi="Times New Roman" w:cs="Times New Roman"/>
          <w:i w:val="0"/>
          <w:color w:val="000000" w:themeColor="text1"/>
          <w:sz w:val="16"/>
          <w:szCs w:val="16"/>
          <w:lang w:val="ru-RU"/>
        </w:rPr>
        <w:t xml:space="preserve"> </w:t>
      </w:r>
      <w:r w:rsidRPr="00640820">
        <w:rPr>
          <w:rFonts w:ascii="Times New Roman" w:hAnsi="Times New Roman" w:cs="Times New Roman"/>
          <w:color w:val="000000" w:themeColor="text1"/>
          <w:sz w:val="16"/>
          <w:szCs w:val="16"/>
          <w:lang w:val="ru-RU"/>
        </w:rPr>
        <w:t>для</w:t>
      </w:r>
      <w:r w:rsidRPr="00640820">
        <w:rPr>
          <w:rFonts w:ascii="Times New Roman" w:hAnsi="Times New Roman" w:cs="Times New Roman"/>
          <w:i w:val="0"/>
          <w:color w:val="000000" w:themeColor="text1"/>
          <w:sz w:val="16"/>
          <w:szCs w:val="16"/>
          <w:lang w:val="ru-RU"/>
        </w:rPr>
        <w:t xml:space="preserve"> 22,</w:t>
      </w:r>
      <w:r w:rsidRPr="00640820">
        <w:rPr>
          <w:rFonts w:ascii="Times New Roman" w:hAnsi="Times New Roman" w:cs="Times New Roman"/>
          <w:color w:val="000000" w:themeColor="text1"/>
          <w:sz w:val="16"/>
          <w:szCs w:val="16"/>
          <w:lang w:val="ru-RU"/>
        </w:rPr>
        <w:t xml:space="preserve"> </w:t>
      </w:r>
      <w:r w:rsidRPr="00640820">
        <w:rPr>
          <w:rFonts w:ascii="Times New Roman" w:hAnsi="Times New Roman" w:cs="Times New Roman"/>
          <w:i w:val="0"/>
          <w:color w:val="000000" w:themeColor="text1"/>
          <w:sz w:val="16"/>
          <w:szCs w:val="16"/>
          <w:lang w:val="ru-RU"/>
        </w:rPr>
        <w:t>39</w:t>
      </w:r>
    </w:p>
    <w:p w14:paraId="17438520" w14:textId="77777777" w:rsidR="00FA48B2" w:rsidRPr="00640820" w:rsidRDefault="00FA48B2" w:rsidP="00640820">
      <w:pPr>
        <w:pStyle w:val="aff2"/>
        <w:shd w:val="clear" w:color="auto" w:fill="auto"/>
        <w:tabs>
          <w:tab w:val="left" w:pos="2110"/>
        </w:tabs>
        <w:spacing w:line="240" w:lineRule="auto"/>
        <w:rPr>
          <w:rFonts w:ascii="Times New Roman" w:hAnsi="Times New Roman" w:cs="Times New Roman"/>
          <w:i w:val="0"/>
          <w:color w:val="000000" w:themeColor="text1"/>
          <w:sz w:val="16"/>
          <w:szCs w:val="16"/>
          <w:lang w:val="ru-RU"/>
        </w:rPr>
      </w:pPr>
      <w:r w:rsidRPr="00640820">
        <w:rPr>
          <w:rFonts w:ascii="Times New Roman" w:hAnsi="Times New Roman" w:cs="Times New Roman"/>
          <w:color w:val="000000" w:themeColor="text1"/>
          <w:sz w:val="16"/>
          <w:szCs w:val="16"/>
          <w:lang w:val="ru-RU"/>
        </w:rPr>
        <w:t>№</w:t>
      </w:r>
      <w:r w:rsidRPr="00640820">
        <w:rPr>
          <w:rFonts w:ascii="Times New Roman" w:hAnsi="Times New Roman" w:cs="Times New Roman"/>
          <w:i w:val="0"/>
          <w:color w:val="000000" w:themeColor="text1"/>
          <w:sz w:val="16"/>
          <w:szCs w:val="16"/>
          <w:lang w:val="ru-RU"/>
        </w:rPr>
        <w:t xml:space="preserve"> 2</w:t>
      </w:r>
      <w:r w:rsidRPr="00640820">
        <w:rPr>
          <w:rFonts w:ascii="Times New Roman" w:hAnsi="Times New Roman" w:cs="Times New Roman"/>
          <w:color w:val="000000" w:themeColor="text1"/>
          <w:sz w:val="16"/>
          <w:szCs w:val="16"/>
          <w:lang w:val="ru-RU"/>
        </w:rPr>
        <w:t xml:space="preserve"> </w:t>
      </w:r>
      <w:r w:rsidRPr="00640820">
        <w:rPr>
          <w:rFonts w:ascii="Times New Roman" w:hAnsi="Times New Roman" w:cs="Times New Roman"/>
          <w:i w:val="0"/>
          <w:color w:val="000000" w:themeColor="text1"/>
          <w:sz w:val="16"/>
          <w:szCs w:val="16"/>
          <w:lang w:val="ru-RU"/>
        </w:rPr>
        <w:t xml:space="preserve">Москза - Су -2 </w:t>
      </w:r>
      <w:r w:rsidRPr="00640820">
        <w:rPr>
          <w:rFonts w:ascii="Times New Roman" w:hAnsi="Times New Roman" w:cs="Times New Roman"/>
          <w:color w:val="000000" w:themeColor="text1"/>
          <w:sz w:val="16"/>
          <w:szCs w:val="16"/>
          <w:lang w:val="ru-RU"/>
        </w:rPr>
        <w:t>для</w:t>
      </w:r>
      <w:r w:rsidRPr="00640820">
        <w:rPr>
          <w:rFonts w:ascii="Times New Roman" w:hAnsi="Times New Roman" w:cs="Times New Roman"/>
          <w:i w:val="0"/>
          <w:color w:val="000000" w:themeColor="text1"/>
          <w:sz w:val="16"/>
          <w:szCs w:val="16"/>
          <w:lang w:val="ru-RU"/>
        </w:rPr>
        <w:t xml:space="preserve"> 135,207</w:t>
      </w:r>
    </w:p>
    <w:p w14:paraId="1456E8E8" w14:textId="77777777" w:rsidR="00FA48B2" w:rsidRPr="00640820" w:rsidRDefault="00FA48B2" w:rsidP="00640820">
      <w:pPr>
        <w:pStyle w:val="47"/>
        <w:shd w:val="clear" w:color="auto" w:fill="auto"/>
        <w:spacing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Воронежской Мебельной фабрике "Красный деревообделочник" (Борский деревообделочный комбинат) - Ил-2 для 1, 18, 381</w:t>
      </w:r>
    </w:p>
    <w:p w14:paraId="6531BC4F" w14:textId="77777777" w:rsidR="00FA48B2" w:rsidRPr="00640820" w:rsidRDefault="00FA48B2" w:rsidP="00640820">
      <w:pPr>
        <w:pStyle w:val="47"/>
        <w:shd w:val="clear" w:color="auto" w:fill="auto"/>
        <w:spacing w:line="240" w:lineRule="auto"/>
        <w:ind w:firstLine="0"/>
        <w:jc w:val="both"/>
        <w:rPr>
          <w:rFonts w:ascii="Times New Roman" w:hAnsi="Times New Roman" w:cs="Times New Roman"/>
          <w:color w:val="000000" w:themeColor="text1"/>
          <w:sz w:val="16"/>
          <w:szCs w:val="16"/>
        </w:rPr>
      </w:pPr>
      <w:r w:rsidRPr="00640820">
        <w:rPr>
          <w:rFonts w:ascii="Times New Roman" w:eastAsia="SimHei" w:hAnsi="Times New Roman" w:cs="Times New Roman"/>
          <w:color w:val="000000" w:themeColor="text1"/>
          <w:sz w:val="16"/>
          <w:szCs w:val="16"/>
        </w:rPr>
        <w:t xml:space="preserve">3. </w:t>
      </w:r>
      <w:r w:rsidRPr="00640820">
        <w:rPr>
          <w:rFonts w:ascii="Times New Roman" w:eastAsia="Times New Roman" w:hAnsi="Times New Roman" w:cs="Times New Roman"/>
          <w:color w:val="000000" w:themeColor="text1"/>
          <w:sz w:val="16"/>
          <w:szCs w:val="16"/>
        </w:rPr>
        <w:t>Передать Наркомавиапрому для организации производства авиалыж к самолетам Лагг-3, Пе-2, ПС-84, Су-2, Як-1 и У-2 сле</w:t>
      </w:r>
      <w:r w:rsidRPr="00640820">
        <w:rPr>
          <w:rFonts w:ascii="Times New Roman" w:hAnsi="Times New Roman" w:cs="Times New Roman"/>
          <w:color w:val="000000" w:themeColor="text1"/>
          <w:sz w:val="16"/>
          <w:szCs w:val="16"/>
        </w:rPr>
        <w:t>дующие предприятия как филиалы самолетных заводов:</w:t>
      </w:r>
    </w:p>
    <w:p w14:paraId="40120D19" w14:textId="77777777" w:rsidR="00FA48B2" w:rsidRPr="00640820" w:rsidRDefault="00FA48B2" w:rsidP="00640820">
      <w:pPr>
        <w:pStyle w:val="aff2"/>
        <w:shd w:val="clear" w:color="auto" w:fill="auto"/>
        <w:spacing w:line="240" w:lineRule="auto"/>
        <w:rPr>
          <w:rFonts w:ascii="Times New Roman" w:eastAsia="Times New Roman" w:hAnsi="Times New Roman" w:cs="Times New Roman"/>
          <w:i w:val="0"/>
          <w:color w:val="000000" w:themeColor="text1"/>
          <w:sz w:val="16"/>
          <w:szCs w:val="16"/>
          <w:lang w:val="ru-RU"/>
        </w:rPr>
      </w:pPr>
      <w:r w:rsidRPr="00640820">
        <w:rPr>
          <w:rFonts w:ascii="Times New Roman" w:hAnsi="Times New Roman" w:cs="Times New Roman"/>
          <w:i w:val="0"/>
          <w:color w:val="000000" w:themeColor="text1"/>
          <w:sz w:val="16"/>
          <w:szCs w:val="16"/>
          <w:lang w:val="ru-RU"/>
        </w:rPr>
        <w:t>а) Бийский деревообделочный комбинат Наркомлеса СССР - филиал заводов 125 и 153</w:t>
      </w:r>
    </w:p>
    <w:p w14:paraId="0F8D4F3A" w14:textId="77777777" w:rsidR="00FA48B2" w:rsidRPr="00640820" w:rsidRDefault="00FA48B2" w:rsidP="00640820">
      <w:pPr>
        <w:pStyle w:val="5f0"/>
        <w:shd w:val="clear" w:color="auto" w:fill="auto"/>
        <w:tabs>
          <w:tab w:val="left" w:pos="343"/>
        </w:tabs>
        <w:spacing w:line="240" w:lineRule="auto"/>
        <w:jc w:val="both"/>
        <w:rPr>
          <w:rFonts w:ascii="Times New Roman" w:hAnsi="Times New Roman" w:cs="Times New Roman"/>
          <w:color w:val="000000" w:themeColor="text1"/>
          <w:spacing w:val="0"/>
          <w:sz w:val="16"/>
          <w:szCs w:val="16"/>
        </w:rPr>
      </w:pPr>
      <w:r w:rsidRPr="00640820">
        <w:rPr>
          <w:rFonts w:ascii="Times New Roman" w:hAnsi="Times New Roman" w:cs="Times New Roman"/>
          <w:color w:val="000000" w:themeColor="text1"/>
          <w:spacing w:val="0"/>
          <w:sz w:val="16"/>
          <w:szCs w:val="16"/>
        </w:rPr>
        <w:t>б) Куйбышевская Мебельная фабрика имени 2-ой Пятилетки - филиал з-да 122</w:t>
      </w:r>
    </w:p>
    <w:p w14:paraId="3B252110" w14:textId="77777777" w:rsidR="00FA48B2" w:rsidRPr="00640820" w:rsidRDefault="00FA48B2" w:rsidP="00640820">
      <w:pPr>
        <w:tabs>
          <w:tab w:val="left" w:pos="365"/>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Завод № 2 Главвоенстроя при СНК СССР в г.Саратове - филиал з-да 292</w:t>
      </w:r>
    </w:p>
    <w:p w14:paraId="1A72371C" w14:textId="77777777" w:rsidR="00FA48B2" w:rsidRPr="00640820" w:rsidRDefault="00FA48B2" w:rsidP="00640820">
      <w:pPr>
        <w:tabs>
          <w:tab w:val="left" w:pos="365"/>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Склады Кожснрья в г.Казани (площадью 8 тыс.кв.м.) Нар комлегпрома СССР - филиал з-да 387</w:t>
      </w:r>
    </w:p>
    <w:p w14:paraId="2AB8EDE9" w14:textId="77777777" w:rsidR="00FA48B2" w:rsidRPr="00640820" w:rsidRDefault="00FA48B2" w:rsidP="00640820">
      <w:pPr>
        <w:pStyle w:val="47"/>
        <w:shd w:val="clear" w:color="auto" w:fill="auto"/>
        <w:spacing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д) Пивоваренный з-д в г.Казани "Красный Восток Наркомпищепрома Тат.АЗСР - филиал з-дов 124б 387</w:t>
      </w:r>
    </w:p>
    <w:p w14:paraId="138BDB17" w14:textId="77777777" w:rsidR="00FA48B2" w:rsidRPr="00640820" w:rsidRDefault="00FA48B2"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4. Обязать Наркомавиапром (т.Шахурина)</w:t>
      </w:r>
    </w:p>
    <w:p w14:paraId="7760B3DB" w14:textId="77777777" w:rsidR="00FA48B2" w:rsidRPr="00640820" w:rsidRDefault="00FA48B2" w:rsidP="00640820">
      <w:pPr>
        <w:tabs>
          <w:tab w:val="left" w:pos="1000"/>
        </w:tabs>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а) поставить для ВВС Красной Армии лыж комплектно к самолетам: Миг-3, Лагг-3, Як-1, Ил-2, Пе-2, Су-2, Як-7 и др. в количестве 2500 комплектно со сроками сдачи с 15.X до 31.Х.1941г. согласно приложения № 1.</w:t>
      </w:r>
    </w:p>
    <w:p w14:paraId="53E0C2BB" w14:textId="77777777" w:rsidR="00FA48B2" w:rsidRPr="00640820" w:rsidRDefault="00FA48B2" w:rsidP="00640820">
      <w:pPr>
        <w:tabs>
          <w:tab w:val="left" w:pos="985"/>
        </w:tabs>
        <w:spacing w:after="0" w:line="240" w:lineRule="auto"/>
        <w:jc w:val="both"/>
        <w:rPr>
          <w:rFonts w:ascii="Times New Roman" w:eastAsia="SimHei" w:hAnsi="Times New Roman"/>
          <w:color w:val="000000" w:themeColor="text1"/>
          <w:sz w:val="16"/>
          <w:szCs w:val="16"/>
        </w:rPr>
      </w:pPr>
      <w:r w:rsidRPr="00640820">
        <w:rPr>
          <w:rFonts w:ascii="Times New Roman" w:eastAsia="SimHei" w:hAnsi="Times New Roman"/>
          <w:color w:val="000000" w:themeColor="text1"/>
          <w:sz w:val="16"/>
          <w:szCs w:val="16"/>
        </w:rPr>
        <w:t>б) обеспечить в частях ВВС Красной Армии силами ра</w:t>
      </w:r>
      <w:r w:rsidRPr="00640820">
        <w:rPr>
          <w:rFonts w:ascii="Times New Roman" w:eastAsia="SimHei" w:hAnsi="Times New Roman"/>
          <w:color w:val="000000" w:themeColor="text1"/>
          <w:sz w:val="16"/>
          <w:szCs w:val="16"/>
        </w:rPr>
        <w:softHyphen/>
        <w:t>бочих бригад заводов доработки на самолетах Миг-3, Лагг-3, Пе-2, Су-2,и. Як-7 под .установку лыж до 1.ХП.</w:t>
      </w:r>
    </w:p>
    <w:p w14:paraId="709B689B" w14:textId="77777777" w:rsidR="00FA48B2" w:rsidRPr="00640820" w:rsidRDefault="00FA48B2" w:rsidP="00640820">
      <w:pPr>
        <w:spacing w:after="0" w:line="240" w:lineRule="auto"/>
        <w:jc w:val="both"/>
        <w:rPr>
          <w:rFonts w:ascii="Times New Roman" w:eastAsia="SimHei" w:hAnsi="Times New Roman"/>
          <w:color w:val="000000" w:themeColor="text1"/>
          <w:sz w:val="16"/>
          <w:szCs w:val="16"/>
        </w:rPr>
      </w:pPr>
      <w:r w:rsidRPr="00640820">
        <w:rPr>
          <w:rFonts w:ascii="Times New Roman" w:eastAsia="SimHei" w:hAnsi="Times New Roman"/>
          <w:color w:val="000000" w:themeColor="text1"/>
          <w:sz w:val="16"/>
          <w:szCs w:val="16"/>
        </w:rPr>
        <w:t>5. Обяэать Наркомавиапром (т. Шахурина)</w:t>
      </w:r>
    </w:p>
    <w:p w14:paraId="1508F8FF" w14:textId="77777777" w:rsidR="00FA48B2" w:rsidRPr="00640820" w:rsidRDefault="00FA48B2"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а) поставлять предприятиям Наркомкомлеса СССР, изготав</w:t>
      </w:r>
      <w:r w:rsidRPr="00640820">
        <w:rPr>
          <w:rFonts w:ascii="Times New Roman" w:eastAsia="SimHei" w:hAnsi="Times New Roman"/>
          <w:color w:val="000000" w:themeColor="text1"/>
          <w:sz w:val="16"/>
          <w:szCs w:val="16"/>
        </w:rPr>
        <w:softHyphen/>
        <w:t>ливающим авиалыжи, все металлические детали, необходимые для сборки авиалыж.</w:t>
      </w:r>
    </w:p>
    <w:p w14:paraId="14451DB0" w14:textId="77777777" w:rsidR="00FA48B2" w:rsidRPr="00640820" w:rsidRDefault="00FA48B2"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б) оказать заводам Наркомлеса техпомощь в деле освое</w:t>
      </w:r>
      <w:r w:rsidRPr="00640820">
        <w:rPr>
          <w:rFonts w:ascii="Times New Roman" w:eastAsia="SimHei" w:hAnsi="Times New Roman"/>
          <w:color w:val="000000" w:themeColor="text1"/>
          <w:sz w:val="16"/>
          <w:szCs w:val="16"/>
        </w:rPr>
        <w:softHyphen/>
        <w:t>ния производства авиалыж.</w:t>
      </w:r>
    </w:p>
    <w:p w14:paraId="3A90B49E" w14:textId="77777777" w:rsidR="00FA48B2" w:rsidRPr="00640820" w:rsidRDefault="00FA48B2"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б. Обязать Госплан СССР (т.Сабурова):</w:t>
      </w:r>
    </w:p>
    <w:p w14:paraId="5C6DD668" w14:textId="77777777" w:rsidR="00FA48B2" w:rsidRPr="00640820" w:rsidRDefault="00FA48B2" w:rsidP="00640820">
      <w:pPr>
        <w:tabs>
          <w:tab w:val="left" w:pos="993"/>
        </w:tabs>
        <w:spacing w:after="0" w:line="240" w:lineRule="auto"/>
        <w:jc w:val="both"/>
        <w:rPr>
          <w:rFonts w:ascii="Times New Roman" w:eastAsia="SimHei" w:hAnsi="Times New Roman"/>
          <w:color w:val="000000" w:themeColor="text1"/>
          <w:sz w:val="16"/>
          <w:szCs w:val="16"/>
        </w:rPr>
      </w:pPr>
      <w:r w:rsidRPr="00640820">
        <w:rPr>
          <w:rFonts w:ascii="Times New Roman" w:eastAsia="SimHei" w:hAnsi="Times New Roman"/>
          <w:color w:val="000000" w:themeColor="text1"/>
          <w:sz w:val="16"/>
          <w:szCs w:val="16"/>
        </w:rPr>
        <w:lastRenderedPageBreak/>
        <w:t>а) снять все текущие и военные заказы с предприятий, переданных Наркомавиапрому под производство авиалыж, а также с предприятий Наркомлеса СССР, занятых производством авиалыж, с 15 сентября 1941, разместив эти заказы на других предприятиях соответствующих наркоматов</w:t>
      </w:r>
    </w:p>
    <w:p w14:paraId="7CC738C8" w14:textId="77777777" w:rsidR="00FA48B2" w:rsidRPr="00640820" w:rsidRDefault="00FA48B2" w:rsidP="00640820">
      <w:pPr>
        <w:tabs>
          <w:tab w:val="left" w:pos="5755"/>
        </w:tabs>
        <w:spacing w:after="0" w:line="240" w:lineRule="auto"/>
        <w:jc w:val="both"/>
        <w:rPr>
          <w:rFonts w:ascii="Times New Roman" w:eastAsia="SimHei" w:hAnsi="Times New Roman"/>
          <w:color w:val="000000" w:themeColor="text1"/>
          <w:sz w:val="16"/>
          <w:szCs w:val="16"/>
        </w:rPr>
      </w:pPr>
      <w:r w:rsidRPr="00640820">
        <w:rPr>
          <w:rFonts w:ascii="Times New Roman" w:eastAsia="SimHei" w:hAnsi="Times New Roman"/>
          <w:color w:val="000000" w:themeColor="text1"/>
          <w:sz w:val="16"/>
          <w:szCs w:val="16"/>
        </w:rPr>
        <w:t>б) выделить Наркомавиапрому из обезличенного эвакуиро</w:t>
      </w:r>
      <w:r w:rsidRPr="00640820">
        <w:rPr>
          <w:rFonts w:ascii="Times New Roman" w:eastAsia="SimHei" w:hAnsi="Times New Roman"/>
          <w:color w:val="000000" w:themeColor="text1"/>
          <w:sz w:val="16"/>
          <w:szCs w:val="16"/>
        </w:rPr>
        <w:softHyphen/>
        <w:t>ванного оборудования, находящегося на базах в г.г. Сызрани, Ульяновске и др., 450 единиц металлорежущего оборудования для самолетных и авиалыжных заводов (19270).</w:t>
      </w:r>
    </w:p>
    <w:p w14:paraId="01DA4B2B" w14:textId="77777777" w:rsidR="002B4573" w:rsidRPr="00640820" w:rsidRDefault="002B4573" w:rsidP="00640820">
      <w:pPr>
        <w:autoSpaceDE w:val="0"/>
        <w:autoSpaceDN w:val="0"/>
        <w:adjustRightInd w:val="0"/>
        <w:spacing w:after="0" w:line="240" w:lineRule="auto"/>
        <w:jc w:val="both"/>
        <w:rPr>
          <w:rFonts w:ascii="Times New Roman" w:hAnsi="Times New Roman"/>
          <w:color w:val="000000" w:themeColor="text1"/>
          <w:sz w:val="16"/>
          <w:szCs w:val="16"/>
        </w:rPr>
      </w:pPr>
    </w:p>
    <w:p w14:paraId="2E8263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сентября 1941 г. постановление Государственного комитета обороны СССР (ГКО) о расширении производства авиационных лыж заложило основу началу перевода будущего завода Миля из мебельной промышленности в авиационную. Программу Мебельной фабрики №4 дополнили производством лыж для пикирующего бомбардировщика Пе-2. Вероятно, двойное подчинение фабрики сразу двум наркоматам (НКАП и НКЛесПром) показалось неудобным, и 19 ноября 1941 г. последовал совместный приказ НКАП СССР и НКЛесПром РСФСР №1146а/с:</w:t>
      </w:r>
    </w:p>
    <w:p w14:paraId="5B2FE5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решением Правительства от 19.11.41 за №254-кс</w:t>
      </w:r>
    </w:p>
    <w:p w14:paraId="578F61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ПРИКАЗЫВАЕМ:</w:t>
      </w:r>
    </w:p>
    <w:p w14:paraId="3297AE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 Мебельные фабрики Наркомлеса РСФСР в г. Москве за №№2, 3, 4 и 6 передать на период войны в ведение НКАП по состоянию на 1.11.41. </w:t>
      </w:r>
    </w:p>
    <w:p w14:paraId="001857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НКЛП Баранов М.В., ЗамНКАП Дементьев П.В.» (11242).</w:t>
      </w:r>
    </w:p>
    <w:p w14:paraId="40E513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F1C63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сентября 1941 г. для устранения одной из причин снижения скорости завод № 292 согласно приказу наркома от с 15 числа этого же месяца перешел на пульверизационную окраску. Як-1 № 2029, проходивший испытания в НИИ ВВС КА, был выпушен в качестве эталона покрытия. Допасти винта окрашивали черной краской вначале только сзади, чтобы освещенный прожектором при посадке ночью он не слепил летчика на пробеге. Опыт боевых действий показал, что полированный металл вращающегося винта под лучами солнца блестит, как зеркало такого же диаметра, и сильно демаскирует самолеты в воздухе. Поэтому винт стали окрашивать и спереди. На одну из лопастей сзади наносилась крестообразная метка контроля правильности установки прицела. Кончики лопастей для лучшей видимости ометаемой ими площади иногда окрашивали в желтый цвет в целях безопасности (12048).</w:t>
      </w:r>
    </w:p>
    <w:p w14:paraId="6F2AFC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5944B83" w14:textId="77777777" w:rsidR="00C62511" w:rsidRPr="00640820" w:rsidRDefault="00C62511" w:rsidP="00640820">
      <w:pPr>
        <w:shd w:val="clear" w:color="auto" w:fill="FFFFFF"/>
        <w:spacing w:after="0" w:line="240" w:lineRule="auto"/>
        <w:jc w:val="both"/>
        <w:rPr>
          <w:rStyle w:val="761"/>
          <w:rFonts w:ascii="Times New Roman" w:hAnsi="Times New Roman" w:cs="Times New Roman"/>
          <w:color w:val="0070C0"/>
          <w:sz w:val="16"/>
          <w:szCs w:val="16"/>
        </w:rPr>
      </w:pPr>
      <w:r w:rsidRPr="00640820">
        <w:rPr>
          <w:rStyle w:val="761"/>
          <w:rFonts w:ascii="Times New Roman" w:hAnsi="Times New Roman" w:cs="Times New Roman"/>
          <w:color w:val="0070C0"/>
          <w:sz w:val="16"/>
          <w:szCs w:val="16"/>
        </w:rPr>
        <w:t>2 сентября 1941 г. приказом наркома авиацион</w:t>
      </w:r>
      <w:r w:rsidRPr="00640820">
        <w:rPr>
          <w:rStyle w:val="761"/>
          <w:rFonts w:ascii="Times New Roman" w:hAnsi="Times New Roman" w:cs="Times New Roman"/>
          <w:color w:val="0070C0"/>
          <w:sz w:val="16"/>
          <w:szCs w:val="16"/>
        </w:rPr>
        <w:softHyphen/>
        <w:t>ной промышленности № 960сс были, види</w:t>
      </w:r>
      <w:r w:rsidRPr="00640820">
        <w:rPr>
          <w:rStyle w:val="761"/>
          <w:rFonts w:ascii="Times New Roman" w:hAnsi="Times New Roman" w:cs="Times New Roman"/>
          <w:color w:val="0070C0"/>
          <w:sz w:val="16"/>
          <w:szCs w:val="16"/>
        </w:rPr>
        <w:softHyphen/>
        <w:t>мо, оформлены последние изменения в камуфляжной окраске самолетов, выпускаемых на заводах НКАП в 1941 году: «За последнее время ухудшилось качество отделки на заводе № 292. Основные отделочные работы выполняются вручную кистями. Приказываю:</w:t>
      </w:r>
    </w:p>
    <w:p w14:paraId="0521D4E2" w14:textId="77777777" w:rsidR="00C62511" w:rsidRPr="00640820" w:rsidRDefault="00C62511" w:rsidP="00640820">
      <w:pPr>
        <w:shd w:val="clear" w:color="auto" w:fill="FFFFFF"/>
        <w:spacing w:after="0" w:line="240" w:lineRule="auto"/>
        <w:jc w:val="both"/>
        <w:rPr>
          <w:rStyle w:val="761"/>
          <w:rFonts w:ascii="Times New Roman" w:hAnsi="Times New Roman" w:cs="Times New Roman"/>
          <w:color w:val="0070C0"/>
          <w:sz w:val="16"/>
          <w:szCs w:val="16"/>
        </w:rPr>
      </w:pPr>
      <w:r w:rsidRPr="00640820">
        <w:rPr>
          <w:rStyle w:val="761"/>
          <w:rFonts w:ascii="Times New Roman" w:hAnsi="Times New Roman" w:cs="Times New Roman"/>
          <w:color w:val="0070C0"/>
          <w:sz w:val="16"/>
          <w:szCs w:val="16"/>
        </w:rPr>
        <w:t>I. Перевести Як-1 на пульверизационную окраску с 15 сентября 1941».</w:t>
      </w:r>
    </w:p>
    <w:p w14:paraId="7DF091FA" w14:textId="77777777" w:rsidR="00C62511" w:rsidRPr="00640820" w:rsidRDefault="00C62511" w:rsidP="00640820">
      <w:pPr>
        <w:shd w:val="clear" w:color="auto" w:fill="FFFFFF"/>
        <w:spacing w:after="0" w:line="240" w:lineRule="auto"/>
        <w:jc w:val="both"/>
        <w:rPr>
          <w:rStyle w:val="761"/>
          <w:rFonts w:ascii="Times New Roman" w:hAnsi="Times New Roman" w:cs="Times New Roman"/>
          <w:color w:val="0070C0"/>
          <w:sz w:val="16"/>
          <w:szCs w:val="16"/>
        </w:rPr>
      </w:pPr>
      <w:r w:rsidRPr="00640820">
        <w:rPr>
          <w:rStyle w:val="761"/>
          <w:rFonts w:ascii="Times New Roman" w:hAnsi="Times New Roman" w:cs="Times New Roman"/>
          <w:color w:val="0070C0"/>
          <w:sz w:val="16"/>
          <w:szCs w:val="16"/>
        </w:rPr>
        <w:t>Этот приказ был выполнен, и со вто</w:t>
      </w:r>
      <w:r w:rsidRPr="00640820">
        <w:rPr>
          <w:rStyle w:val="761"/>
          <w:rFonts w:ascii="Times New Roman" w:hAnsi="Times New Roman" w:cs="Times New Roman"/>
          <w:color w:val="0070C0"/>
          <w:sz w:val="16"/>
          <w:szCs w:val="16"/>
        </w:rPr>
        <w:softHyphen/>
        <w:t>рой половины сентября самолеты Як-1 выхо</w:t>
      </w:r>
      <w:r w:rsidRPr="00640820">
        <w:rPr>
          <w:rStyle w:val="761"/>
          <w:rFonts w:ascii="Times New Roman" w:hAnsi="Times New Roman" w:cs="Times New Roman"/>
          <w:color w:val="0070C0"/>
          <w:sz w:val="16"/>
          <w:szCs w:val="16"/>
        </w:rPr>
        <w:softHyphen/>
        <w:t>дили с завода в стандартном черно-зеленом камуфляже с опознавательными знаками уве</w:t>
      </w:r>
      <w:r w:rsidRPr="00640820">
        <w:rPr>
          <w:rStyle w:val="761"/>
          <w:rFonts w:ascii="Times New Roman" w:hAnsi="Times New Roman" w:cs="Times New Roman"/>
          <w:color w:val="0070C0"/>
          <w:sz w:val="16"/>
          <w:szCs w:val="16"/>
        </w:rPr>
        <w:softHyphen/>
        <w:t>личенного размера в шести позициях. Именно так были окрашены отправленные в ноябре 1941 года в 62-й АБр ВВС ЧФ 13 самолетов 41</w:t>
      </w:r>
      <w:r w:rsidRPr="00640820">
        <w:rPr>
          <w:rStyle w:val="761"/>
          <w:rFonts w:ascii="Times New Roman" w:hAnsi="Times New Roman" w:cs="Times New Roman"/>
          <w:color w:val="0070C0"/>
          <w:sz w:val="16"/>
          <w:szCs w:val="16"/>
        </w:rPr>
        <w:softHyphen/>
        <w:t>42 серий выпуска, три из которых попали в объективы фото- и кинокамер на аэродроме Херсонес в Севастополе весной 1942 года. На фотографиях хорошо видно, что несмотря на то, что схема окраски этих машин одинаковая, однако пятна у всех машин все же немного отличаются, что говорит об отсутствии на про</w:t>
      </w:r>
      <w:r w:rsidRPr="00640820">
        <w:rPr>
          <w:rStyle w:val="761"/>
          <w:rFonts w:ascii="Times New Roman" w:hAnsi="Times New Roman" w:cs="Times New Roman"/>
          <w:color w:val="0070C0"/>
          <w:sz w:val="16"/>
          <w:szCs w:val="16"/>
        </w:rPr>
        <w:softHyphen/>
        <w:t>изводстве специальных окрасочных масок. Кроме того, заметно, что самолет сначала целиком окрашивался в зеленый цвет, а черные пятна наносился поверх него. Аналогично окрашивались и самолеты нескольких после</w:t>
      </w:r>
      <w:r w:rsidRPr="00640820">
        <w:rPr>
          <w:rStyle w:val="761"/>
          <w:rFonts w:ascii="Times New Roman" w:hAnsi="Times New Roman" w:cs="Times New Roman"/>
          <w:color w:val="0070C0"/>
          <w:sz w:val="16"/>
          <w:szCs w:val="16"/>
        </w:rPr>
        <w:softHyphen/>
        <w:t>дующих серий вплоть до начала декабря, когда перешли на зимний камуфляж. Интерес</w:t>
      </w:r>
      <w:r w:rsidRPr="00640820">
        <w:rPr>
          <w:rStyle w:val="761"/>
          <w:rFonts w:ascii="Times New Roman" w:hAnsi="Times New Roman" w:cs="Times New Roman"/>
          <w:color w:val="0070C0"/>
          <w:sz w:val="16"/>
          <w:szCs w:val="16"/>
        </w:rPr>
        <w:softHyphen/>
        <w:t>но, что часть машин, уже получив лыжи, в конце ноября все равно продолжала щеголять в черно-зеленом камуфляже - один из таких самолетов произвел вынужденную посадку в районе деревни Барсуки (35 км к северо-запа</w:t>
      </w:r>
      <w:r w:rsidRPr="00640820">
        <w:rPr>
          <w:rStyle w:val="761"/>
          <w:rFonts w:ascii="Times New Roman" w:hAnsi="Times New Roman" w:cs="Times New Roman"/>
          <w:color w:val="0070C0"/>
          <w:sz w:val="16"/>
          <w:szCs w:val="16"/>
        </w:rPr>
        <w:softHyphen/>
        <w:t>ду от г. Можайск) (19923).</w:t>
      </w:r>
    </w:p>
    <w:p w14:paraId="111D26A6" w14:textId="77777777" w:rsidR="00C62511" w:rsidRPr="00640820" w:rsidRDefault="00C62511" w:rsidP="00640820">
      <w:pPr>
        <w:shd w:val="clear" w:color="auto" w:fill="FFFFFF"/>
        <w:spacing w:after="0" w:line="240" w:lineRule="auto"/>
        <w:jc w:val="both"/>
        <w:rPr>
          <w:rStyle w:val="761"/>
          <w:rFonts w:ascii="Times New Roman" w:hAnsi="Times New Roman" w:cs="Times New Roman"/>
          <w:color w:val="0070C0"/>
          <w:sz w:val="16"/>
          <w:szCs w:val="16"/>
        </w:rPr>
      </w:pPr>
    </w:p>
    <w:p w14:paraId="5F3839A5" w14:textId="77777777" w:rsidR="004A55CA" w:rsidRPr="00640820" w:rsidRDefault="004A55CA"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2 сентября 1941 Представитель ОКБ-15 Н. Е. Разгильдеев (заме</w:t>
      </w:r>
      <w:r w:rsidRPr="00640820">
        <w:rPr>
          <w:color w:val="000000" w:themeColor="text1"/>
          <w:sz w:val="16"/>
          <w:szCs w:val="16"/>
        </w:rPr>
        <w:softHyphen/>
        <w:t>ститель директора и главный инженер ОКБ-15) без каких-либо объяснений отказался подписывать со</w:t>
      </w:r>
      <w:r w:rsidRPr="00640820">
        <w:rPr>
          <w:color w:val="000000" w:themeColor="text1"/>
          <w:sz w:val="16"/>
          <w:szCs w:val="16"/>
        </w:rPr>
        <w:softHyphen/>
        <w:t>ставленный на НИП АВ акт по итогам стрельб пушек Ш-37 на самолетах ЛаГГ-3. По это</w:t>
      </w:r>
      <w:r w:rsidRPr="00640820">
        <w:rPr>
          <w:color w:val="000000" w:themeColor="text1"/>
          <w:sz w:val="16"/>
          <w:szCs w:val="16"/>
        </w:rPr>
        <w:softHyphen/>
        <w:t>му поводу между ГУ ВВС и ОКБ-15 больше месяца длилось разбирательство. Как оказалось, все это время Шпитальный ждал результатов войсковых испытаний противотанковых ЛаГГ-3 в 33-м иап, организованных по приказу ГУ ВВС от 26 августа, и сведений о подготовке наркоматом вооружения серийного производства пушки Ш-37. Только 10 ок</w:t>
      </w:r>
      <w:r w:rsidRPr="00640820">
        <w:rPr>
          <w:color w:val="000000" w:themeColor="text1"/>
          <w:sz w:val="16"/>
          <w:szCs w:val="16"/>
        </w:rPr>
        <w:softHyphen/>
        <w:t>тября, когда бригада ОКБ-15 выехала с фронта, имея на руках материалы испытаний, Шпитальный официально «разъяснил» свою позицию и в оче</w:t>
      </w:r>
      <w:r w:rsidRPr="00640820">
        <w:rPr>
          <w:color w:val="000000" w:themeColor="text1"/>
          <w:sz w:val="16"/>
          <w:szCs w:val="16"/>
        </w:rPr>
        <w:softHyphen/>
        <w:t>редной раз попытался «приструнить» ВВС. В пись</w:t>
      </w:r>
      <w:r w:rsidRPr="00640820">
        <w:rPr>
          <w:color w:val="000000" w:themeColor="text1"/>
          <w:sz w:val="16"/>
          <w:szCs w:val="16"/>
        </w:rPr>
        <w:softHyphen/>
        <w:t>ме начальнику Управления опытного строительства ГУ ВВС генерал-майору М. В. Шишкину сообщалось, что «/.../ мотивом отказа от подписи акта отладоч</w:t>
      </w:r>
      <w:r w:rsidRPr="00640820">
        <w:rPr>
          <w:color w:val="000000" w:themeColor="text1"/>
          <w:sz w:val="16"/>
          <w:szCs w:val="16"/>
        </w:rPr>
        <w:softHyphen/>
        <w:t>ных стрельб послужило то обстоятельство, что по</w:t>
      </w:r>
      <w:r w:rsidRPr="00640820">
        <w:rPr>
          <w:color w:val="000000" w:themeColor="text1"/>
          <w:sz w:val="16"/>
          <w:szCs w:val="16"/>
        </w:rPr>
        <w:softHyphen/>
        <w:t>лигон НИП АВ ВВС КА проводит политику нездоро</w:t>
      </w:r>
      <w:r w:rsidRPr="00640820">
        <w:rPr>
          <w:color w:val="000000" w:themeColor="text1"/>
          <w:sz w:val="16"/>
          <w:szCs w:val="16"/>
        </w:rPr>
        <w:softHyphen/>
        <w:t>вого протекционизма в отношении опытных работ различных КБ. Не обращая внимания на очевидные положительные качества пушки ОКБ-15, полигон пушку ОКБ-15 кал. 37 мм порочит, а пушку КБ Та</w:t>
      </w:r>
      <w:r w:rsidRPr="00640820">
        <w:rPr>
          <w:color w:val="000000" w:themeColor="text1"/>
          <w:sz w:val="16"/>
          <w:szCs w:val="16"/>
        </w:rPr>
        <w:softHyphen/>
        <w:t>убина выдвигает. Акт отладочных стрельб — воз</w:t>
      </w:r>
      <w:r w:rsidRPr="00640820">
        <w:rPr>
          <w:color w:val="000000" w:themeColor="text1"/>
          <w:sz w:val="16"/>
          <w:szCs w:val="16"/>
        </w:rPr>
        <w:softHyphen/>
        <w:t>мутительный документ, показывающий отношение отдельных работников ВВС КА к работам ОКБ-15». Жалоба Шпитального имела некоторый резонанс, но «разбор полетов» обошелся без оргвыводов (17500).</w:t>
      </w:r>
    </w:p>
    <w:p w14:paraId="0B085094" w14:textId="77777777" w:rsidR="004A55CA" w:rsidRPr="00640820" w:rsidRDefault="004A55CA" w:rsidP="00640820">
      <w:pPr>
        <w:spacing w:after="0" w:line="240" w:lineRule="auto"/>
        <w:jc w:val="both"/>
        <w:rPr>
          <w:rFonts w:ascii="Times New Roman" w:hAnsi="Times New Roman"/>
          <w:color w:val="000000" w:themeColor="text1"/>
          <w:sz w:val="16"/>
          <w:szCs w:val="16"/>
        </w:rPr>
      </w:pPr>
    </w:p>
    <w:p w14:paraId="5907E4E1" w14:textId="77777777" w:rsidR="00A92C86" w:rsidRPr="00640820" w:rsidRDefault="00A92C86" w:rsidP="00640820">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 сентября 1941 года Г.М. Шиянов впервые поднял ТИС (А) конструкции Н.Н. Поликарпова в воздух. После выполнения нескольких полетов испытания были прерваны для доработок и вновь начаты лишь в начале октября. Совершили лишь 8 полетов общей продолжительностью 4 часа. 13 октября 1941 года из-за эвакуации ЛИИ испытания ТИС (А) вновь прервались, и машина перелетела в Арзамас, а 18 октября — в Казань (19569).</w:t>
      </w:r>
    </w:p>
    <w:p w14:paraId="1EE45E89" w14:textId="77777777" w:rsidR="00A92C86" w:rsidRPr="00640820" w:rsidRDefault="00A92C86" w:rsidP="00640820">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p>
    <w:p w14:paraId="3A0B7C9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сентября 1941 был первый полёт Гр-29. На опытном образце Гр-29 шасси не складывалось, и по</w:t>
      </w:r>
      <w:r w:rsidRPr="00640820">
        <w:rPr>
          <w:rFonts w:ascii="Times New Roman" w:hAnsi="Times New Roman"/>
          <w:color w:val="000000" w:themeColor="text1"/>
          <w:sz w:val="16"/>
          <w:szCs w:val="16"/>
        </w:rPr>
        <w:softHyphen/>
        <w:t>садка производилась тоже на колё</w:t>
      </w:r>
      <w:r w:rsidRPr="00640820">
        <w:rPr>
          <w:rFonts w:ascii="Times New Roman" w:hAnsi="Times New Roman"/>
          <w:color w:val="000000" w:themeColor="text1"/>
          <w:sz w:val="16"/>
          <w:szCs w:val="16"/>
        </w:rPr>
        <w:softHyphen/>
        <w:t>са. Большинство полётов выполнил В.Л. Расторгуев, но в испытаниях так</w:t>
      </w:r>
      <w:r w:rsidRPr="00640820">
        <w:rPr>
          <w:rFonts w:ascii="Times New Roman" w:hAnsi="Times New Roman"/>
          <w:color w:val="000000" w:themeColor="text1"/>
          <w:sz w:val="16"/>
          <w:szCs w:val="16"/>
        </w:rPr>
        <w:softHyphen/>
        <w:t>же приняли участие В.П. Фёдоров и П.Ф. Павлов.</w:t>
      </w:r>
    </w:p>
    <w:p w14:paraId="65B7B05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Испытатели отметили, что планёр в основном соответствует требованиям задания. Рекомендовали повысить эффективность элеронов и сдвинуть центровку планёра, летящего без гру</w:t>
      </w:r>
      <w:r w:rsidRPr="00640820">
        <w:rPr>
          <w:rFonts w:ascii="Times New Roman" w:hAnsi="Times New Roman"/>
          <w:color w:val="000000" w:themeColor="text1"/>
          <w:sz w:val="16"/>
          <w:szCs w:val="16"/>
        </w:rPr>
        <w:softHyphen/>
        <w:t>за, немного вперёд. Последнее объ</w:t>
      </w:r>
      <w:r w:rsidRPr="00640820">
        <w:rPr>
          <w:rFonts w:ascii="Times New Roman" w:hAnsi="Times New Roman"/>
          <w:color w:val="000000" w:themeColor="text1"/>
          <w:sz w:val="16"/>
          <w:szCs w:val="16"/>
        </w:rPr>
        <w:softHyphen/>
        <w:t>яснялось тем, что в то время считали возможной выброску с планёров пара</w:t>
      </w:r>
      <w:r w:rsidRPr="00640820">
        <w:rPr>
          <w:rFonts w:ascii="Times New Roman" w:hAnsi="Times New Roman"/>
          <w:color w:val="000000" w:themeColor="text1"/>
          <w:sz w:val="16"/>
          <w:szCs w:val="16"/>
        </w:rPr>
        <w:softHyphen/>
        <w:t>шютных десантов.</w:t>
      </w:r>
    </w:p>
    <w:p w14:paraId="52F5646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 1941 г. испытания завер</w:t>
      </w:r>
      <w:r w:rsidRPr="00640820">
        <w:rPr>
          <w:rFonts w:ascii="Times New Roman" w:hAnsi="Times New Roman"/>
          <w:color w:val="000000" w:themeColor="text1"/>
          <w:sz w:val="16"/>
          <w:szCs w:val="16"/>
        </w:rPr>
        <w:softHyphen/>
        <w:t>шились, а 11 сентября был подписан акт, рекомендовавший Гр-29 к серий</w:t>
      </w:r>
      <w:r w:rsidRPr="00640820">
        <w:rPr>
          <w:rFonts w:ascii="Times New Roman" w:hAnsi="Times New Roman"/>
          <w:color w:val="000000" w:themeColor="text1"/>
          <w:sz w:val="16"/>
          <w:szCs w:val="16"/>
        </w:rPr>
        <w:softHyphen/>
        <w:t>ному производству (12266).</w:t>
      </w:r>
    </w:p>
    <w:p w14:paraId="2B1AB3D8"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3A721DD1" w14:textId="77777777" w:rsidR="00A92C86" w:rsidRPr="00640820" w:rsidRDefault="00A92C86" w:rsidP="00640820">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 сентября 1941 года летчик-испытатель В.Л. Расторгуев совершил первый полет на 11-местном десантном планере Гр-29 конструкции В.К. Грибовского, а 6 сентября 1941 года — на 7-местном десантном планере «Рот-Фронт-8» конструкции О.К. Антонова. В течение двух недель В.Л. Расторгуев провел испытания планеров. Ведущими инженерами были: на Гр-29 — В.В. Уткин, на РФ-8 — А.А. Полянцева. Летчиками облета были летчик-испытатель ЛИИ В.П. Федоров, а также планеристы С.Н. Анохин, П.Ф. Павлов и Г.С. Малиновский. На Гр-29 совершили 16 полетов общей продолжительностью 6 часов, на РФ-8 — 34 полета общей продолжительностью 12 часов. Оба планера были рекомендованы к серийному производству (под обозначением соответственно Г-11 и А-7) и впоследствии широко применялись для полетов через линию фронта для снабжения партизанских соединений оружием и боеприпасами (19569).</w:t>
      </w:r>
    </w:p>
    <w:p w14:paraId="46EEA52E" w14:textId="77777777" w:rsidR="00A92C86" w:rsidRPr="00640820" w:rsidRDefault="00A92C86" w:rsidP="00640820">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p>
    <w:p w14:paraId="4C43AFC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сентября 1941 В.Л. Расторгуев совершил на РФ-8 О.К.А. первый полет. В испыта</w:t>
      </w:r>
      <w:r w:rsidRPr="00640820">
        <w:rPr>
          <w:rFonts w:ascii="Times New Roman" w:hAnsi="Times New Roman"/>
          <w:color w:val="000000" w:themeColor="text1"/>
          <w:sz w:val="16"/>
          <w:szCs w:val="16"/>
        </w:rPr>
        <w:softHyphen/>
        <w:t>ниях также приняли участие С.Н. Анохин, П.Ф. Павлов, В.П. Фёдоров и Г.С. Мали</w:t>
      </w:r>
      <w:r w:rsidRPr="00640820">
        <w:rPr>
          <w:rFonts w:ascii="Times New Roman" w:hAnsi="Times New Roman"/>
          <w:color w:val="000000" w:themeColor="text1"/>
          <w:sz w:val="16"/>
          <w:szCs w:val="16"/>
        </w:rPr>
        <w:softHyphen/>
        <w:t>новский. В одном из полетов при посадке с высокого вы</w:t>
      </w:r>
      <w:r w:rsidRPr="00640820">
        <w:rPr>
          <w:rFonts w:ascii="Times New Roman" w:hAnsi="Times New Roman"/>
          <w:color w:val="000000" w:themeColor="text1"/>
          <w:sz w:val="16"/>
          <w:szCs w:val="16"/>
        </w:rPr>
        <w:softHyphen/>
        <w:t>равнивания последовал силь</w:t>
      </w:r>
      <w:r w:rsidRPr="00640820">
        <w:rPr>
          <w:rFonts w:ascii="Times New Roman" w:hAnsi="Times New Roman"/>
          <w:color w:val="000000" w:themeColor="text1"/>
          <w:sz w:val="16"/>
          <w:szCs w:val="16"/>
        </w:rPr>
        <w:softHyphen/>
        <w:t>ный удар. При этом треснула обшивка фюзеляжа у пилот</w:t>
      </w:r>
      <w:r w:rsidRPr="00640820">
        <w:rPr>
          <w:rFonts w:ascii="Times New Roman" w:hAnsi="Times New Roman"/>
          <w:color w:val="000000" w:themeColor="text1"/>
          <w:sz w:val="16"/>
          <w:szCs w:val="16"/>
        </w:rPr>
        <w:softHyphen/>
        <w:t>ской кабины. Сделали вывод, что площадь склейки обшив</w:t>
      </w:r>
      <w:r w:rsidRPr="00640820">
        <w:rPr>
          <w:rFonts w:ascii="Times New Roman" w:hAnsi="Times New Roman"/>
          <w:color w:val="000000" w:themeColor="text1"/>
          <w:sz w:val="16"/>
          <w:szCs w:val="16"/>
        </w:rPr>
        <w:softHyphen/>
        <w:t>ки с лонжеронами фюзеляжа слишком мала. При ремонте этот недостаток исправили. Однако поломка несколько задержала завершение испы</w:t>
      </w:r>
      <w:r w:rsidRPr="00640820">
        <w:rPr>
          <w:rFonts w:ascii="Times New Roman" w:hAnsi="Times New Roman"/>
          <w:color w:val="000000" w:themeColor="text1"/>
          <w:sz w:val="16"/>
          <w:szCs w:val="16"/>
        </w:rPr>
        <w:softHyphen/>
        <w:t>таний, закончившихся 18 сен</w:t>
      </w:r>
      <w:r w:rsidRPr="00640820">
        <w:rPr>
          <w:rFonts w:ascii="Times New Roman" w:hAnsi="Times New Roman"/>
          <w:color w:val="000000" w:themeColor="text1"/>
          <w:sz w:val="16"/>
          <w:szCs w:val="16"/>
        </w:rPr>
        <w:softHyphen/>
        <w:t>тября.</w:t>
      </w:r>
    </w:p>
    <w:p w14:paraId="5BBB258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недостатков испыта</w:t>
      </w:r>
      <w:r w:rsidRPr="00640820">
        <w:rPr>
          <w:rFonts w:ascii="Times New Roman" w:hAnsi="Times New Roman"/>
          <w:color w:val="000000" w:themeColor="text1"/>
          <w:sz w:val="16"/>
          <w:szCs w:val="16"/>
        </w:rPr>
        <w:softHyphen/>
        <w:t>тели отметили большую на</w:t>
      </w:r>
      <w:r w:rsidRPr="00640820">
        <w:rPr>
          <w:rFonts w:ascii="Times New Roman" w:hAnsi="Times New Roman"/>
          <w:color w:val="000000" w:themeColor="text1"/>
          <w:sz w:val="16"/>
          <w:szCs w:val="16"/>
        </w:rPr>
        <w:softHyphen/>
        <w:t>грузку на ручку управления и слишком сильную реакцию на работу рулем направле</w:t>
      </w:r>
      <w:r w:rsidRPr="00640820">
        <w:rPr>
          <w:rFonts w:ascii="Times New Roman" w:hAnsi="Times New Roman"/>
          <w:color w:val="000000" w:themeColor="text1"/>
          <w:sz w:val="16"/>
          <w:szCs w:val="16"/>
        </w:rPr>
        <w:softHyphen/>
        <w:t>ния. Шасси при полной на</w:t>
      </w:r>
      <w:r w:rsidRPr="00640820">
        <w:rPr>
          <w:rFonts w:ascii="Times New Roman" w:hAnsi="Times New Roman"/>
          <w:color w:val="000000" w:themeColor="text1"/>
          <w:sz w:val="16"/>
          <w:szCs w:val="16"/>
        </w:rPr>
        <w:softHyphen/>
        <w:t>грузке «проседало», и пла</w:t>
      </w:r>
      <w:r w:rsidRPr="00640820">
        <w:rPr>
          <w:rFonts w:ascii="Times New Roman" w:hAnsi="Times New Roman"/>
          <w:color w:val="000000" w:themeColor="text1"/>
          <w:sz w:val="16"/>
          <w:szCs w:val="16"/>
        </w:rPr>
        <w:softHyphen/>
        <w:t>нер касался лыжей грунта. Большое расстояние от ос</w:t>
      </w:r>
      <w:r w:rsidRPr="00640820">
        <w:rPr>
          <w:rFonts w:ascii="Times New Roman" w:hAnsi="Times New Roman"/>
          <w:color w:val="000000" w:themeColor="text1"/>
          <w:sz w:val="16"/>
          <w:szCs w:val="16"/>
        </w:rPr>
        <w:softHyphen/>
        <w:t>текления до глаз пилота ухудшало обзор, особенно в темноте. Рекомендовали убрать перегородку между пилотской и грузовой ка</w:t>
      </w:r>
      <w:r w:rsidRPr="00640820">
        <w:rPr>
          <w:rFonts w:ascii="Times New Roman" w:hAnsi="Times New Roman"/>
          <w:color w:val="000000" w:themeColor="text1"/>
          <w:sz w:val="16"/>
          <w:szCs w:val="16"/>
        </w:rPr>
        <w:softHyphen/>
        <w:t>бинами и перенести меха</w:t>
      </w:r>
      <w:r w:rsidRPr="00640820">
        <w:rPr>
          <w:rFonts w:ascii="Times New Roman" w:hAnsi="Times New Roman"/>
          <w:color w:val="000000" w:themeColor="text1"/>
          <w:sz w:val="16"/>
          <w:szCs w:val="16"/>
        </w:rPr>
        <w:softHyphen/>
        <w:t>низм уборки шасси к летчи</w:t>
      </w:r>
      <w:r w:rsidRPr="00640820">
        <w:rPr>
          <w:rFonts w:ascii="Times New Roman" w:hAnsi="Times New Roman"/>
          <w:color w:val="000000" w:themeColor="text1"/>
          <w:sz w:val="16"/>
          <w:szCs w:val="16"/>
        </w:rPr>
        <w:softHyphen/>
        <w:t>ку. Однако в целом оценка оказалась благоприятной, и РФ-8 рекомендовали к се</w:t>
      </w:r>
      <w:r w:rsidRPr="00640820">
        <w:rPr>
          <w:rFonts w:ascii="Times New Roman" w:hAnsi="Times New Roman"/>
          <w:color w:val="000000" w:themeColor="text1"/>
          <w:sz w:val="16"/>
          <w:szCs w:val="16"/>
        </w:rPr>
        <w:softHyphen/>
        <w:t>рийному производству. Но при этом потребовали уве</w:t>
      </w:r>
      <w:r w:rsidRPr="00640820">
        <w:rPr>
          <w:rFonts w:ascii="Times New Roman" w:hAnsi="Times New Roman"/>
          <w:color w:val="000000" w:themeColor="text1"/>
          <w:sz w:val="16"/>
          <w:szCs w:val="16"/>
        </w:rPr>
        <w:softHyphen/>
        <w:t>личить вместимость до 8 че</w:t>
      </w:r>
      <w:r w:rsidRPr="00640820">
        <w:rPr>
          <w:rFonts w:ascii="Times New Roman" w:hAnsi="Times New Roman"/>
          <w:color w:val="000000" w:themeColor="text1"/>
          <w:sz w:val="16"/>
          <w:szCs w:val="16"/>
        </w:rPr>
        <w:softHyphen/>
        <w:t>ловек (пилот и семь десантников) и ликвидиро</w:t>
      </w:r>
      <w:r w:rsidRPr="00640820">
        <w:rPr>
          <w:rFonts w:ascii="Times New Roman" w:hAnsi="Times New Roman"/>
          <w:color w:val="000000" w:themeColor="text1"/>
          <w:sz w:val="16"/>
          <w:szCs w:val="16"/>
        </w:rPr>
        <w:softHyphen/>
        <w:t>вать выявленные дефекты.</w:t>
      </w:r>
    </w:p>
    <w:p w14:paraId="359AB94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результатам испытаний, которые оценили как успешные, планер решили передать в серийное про</w:t>
      </w:r>
      <w:r w:rsidRPr="00640820">
        <w:rPr>
          <w:rFonts w:ascii="Times New Roman" w:hAnsi="Times New Roman"/>
          <w:color w:val="000000" w:themeColor="text1"/>
          <w:sz w:val="16"/>
          <w:szCs w:val="16"/>
        </w:rPr>
        <w:softHyphen/>
        <w:t>изводство. Но командование ВВС потребовало уве</w:t>
      </w:r>
      <w:r w:rsidRPr="00640820">
        <w:rPr>
          <w:rFonts w:ascii="Times New Roman" w:hAnsi="Times New Roman"/>
          <w:color w:val="000000" w:themeColor="text1"/>
          <w:sz w:val="16"/>
          <w:szCs w:val="16"/>
        </w:rPr>
        <w:softHyphen/>
        <w:t>личить вместимость планера до 7 человек (в пере</w:t>
      </w:r>
      <w:r w:rsidRPr="00640820">
        <w:rPr>
          <w:rFonts w:ascii="Times New Roman" w:hAnsi="Times New Roman"/>
          <w:color w:val="000000" w:themeColor="text1"/>
          <w:sz w:val="16"/>
          <w:szCs w:val="16"/>
        </w:rPr>
        <w:softHyphen/>
        <w:t>груз — до 8). Фонарь переделали — площадь осте</w:t>
      </w:r>
      <w:r w:rsidRPr="00640820">
        <w:rPr>
          <w:rFonts w:ascii="Times New Roman" w:hAnsi="Times New Roman"/>
          <w:color w:val="000000" w:themeColor="text1"/>
          <w:sz w:val="16"/>
          <w:szCs w:val="16"/>
        </w:rPr>
        <w:softHyphen/>
        <w:t>кления уменьшили, а лобовые стекла установили по классической схеме — «с уступом». Частично изме</w:t>
      </w:r>
      <w:r w:rsidRPr="00640820">
        <w:rPr>
          <w:rFonts w:ascii="Times New Roman" w:hAnsi="Times New Roman"/>
          <w:color w:val="000000" w:themeColor="text1"/>
          <w:sz w:val="16"/>
          <w:szCs w:val="16"/>
        </w:rPr>
        <w:softHyphen/>
        <w:t>нили конструкцию хвостовой части, а также устано</w:t>
      </w:r>
      <w:r w:rsidRPr="00640820">
        <w:rPr>
          <w:rFonts w:ascii="Times New Roman" w:hAnsi="Times New Roman"/>
          <w:color w:val="000000" w:themeColor="text1"/>
          <w:sz w:val="16"/>
          <w:szCs w:val="16"/>
        </w:rPr>
        <w:softHyphen/>
        <w:t>вили на крыле интерцепторы. Доработанный пла</w:t>
      </w:r>
      <w:r w:rsidRPr="00640820">
        <w:rPr>
          <w:rFonts w:ascii="Times New Roman" w:hAnsi="Times New Roman"/>
          <w:color w:val="000000" w:themeColor="text1"/>
          <w:sz w:val="16"/>
          <w:szCs w:val="16"/>
        </w:rPr>
        <w:softHyphen/>
        <w:t>нер получил обозначение А-7 и был рекомендован к принятию на вооружение. В результате доработок пустой А-7 по сравнению с РФ-8 стал легче (955 кг против 972 кг), но взлетный вес за счет увеличения нагрузки возрос. У РФ-8 он равнялся 1547 кг, а у А-7 — 1760 кг при шести пассажирах и 1875 кг — при семи.</w:t>
      </w:r>
    </w:p>
    <w:p w14:paraId="0BC1C1F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Планер А-7 использовался для парашютной подготовки курсантов. Планер, по-видимому, подвергался ремонту. Об этом свидетельствует несоответствие в окраске руля направления и киля. Противофлатерный груз спрятан в переднюю кромку РН.</w:t>
      </w:r>
    </w:p>
    <w:p w14:paraId="233AE1E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Серийное производство решили организовать на за</w:t>
      </w:r>
      <w:r w:rsidRPr="00640820">
        <w:rPr>
          <w:rFonts w:ascii="Times New Roman" w:hAnsi="Times New Roman"/>
          <w:color w:val="000000" w:themeColor="text1"/>
          <w:sz w:val="16"/>
          <w:szCs w:val="16"/>
        </w:rPr>
        <w:softHyphen/>
        <w:t>воде в Тушино и на бывшем ремонтном заводе ГВФ в Быково. Но из-за приближения фронта к Москве эти заводы были эвакуированы в Восточную Сибирь, в г. Тюмень. Кроме Тюмени, производство А-7 наладили на бывшем бондарном заводе в г. Алапаевске Свердловской области. В строевых частях отмечали плохое качество изготовления машин на этом заводе.</w:t>
      </w:r>
    </w:p>
    <w:p w14:paraId="24F9CF4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Первые серийные экземпляры передали на ис</w:t>
      </w:r>
      <w:r w:rsidRPr="00640820">
        <w:rPr>
          <w:rFonts w:ascii="Times New Roman" w:hAnsi="Times New Roman"/>
          <w:color w:val="000000" w:themeColor="text1"/>
          <w:sz w:val="16"/>
          <w:szCs w:val="16"/>
        </w:rPr>
        <w:softHyphen/>
        <w:t>пытания в Летно-испытательный отряд Воздушно- десантных войск, размещавшийся тогда в Саратове. Опробование А-7 проходило без существенных сбо</w:t>
      </w:r>
      <w:r w:rsidRPr="00640820">
        <w:rPr>
          <w:rFonts w:ascii="Times New Roman" w:hAnsi="Times New Roman"/>
          <w:color w:val="000000" w:themeColor="text1"/>
          <w:sz w:val="16"/>
          <w:szCs w:val="16"/>
        </w:rPr>
        <w:softHyphen/>
        <w:t>ев. Стартовал он на лыжах, установленных вместо ко</w:t>
      </w:r>
      <w:r w:rsidRPr="00640820">
        <w:rPr>
          <w:rFonts w:ascii="Times New Roman" w:hAnsi="Times New Roman"/>
          <w:color w:val="000000" w:themeColor="text1"/>
          <w:sz w:val="16"/>
          <w:szCs w:val="16"/>
        </w:rPr>
        <w:softHyphen/>
        <w:t>лес. Практически сразу оригинальный буксирный за</w:t>
      </w:r>
      <w:r w:rsidRPr="00640820">
        <w:rPr>
          <w:rFonts w:ascii="Times New Roman" w:hAnsi="Times New Roman"/>
          <w:color w:val="000000" w:themeColor="text1"/>
          <w:sz w:val="16"/>
          <w:szCs w:val="16"/>
        </w:rPr>
        <w:softHyphen/>
        <w:t>мок был заменен на унифицированный конструкции А.О. Добахова, оказавшийся более надежным. А-7 ис- пытывался на буксире и в свободном полете. Его мог</w:t>
      </w:r>
      <w:r w:rsidRPr="00640820">
        <w:rPr>
          <w:rFonts w:ascii="Times New Roman" w:hAnsi="Times New Roman"/>
          <w:color w:val="000000" w:themeColor="text1"/>
          <w:sz w:val="16"/>
          <w:szCs w:val="16"/>
        </w:rPr>
        <w:softHyphen/>
        <w:t xml:space="preserve">ли тянуть самолеты Р-5, </w:t>
      </w:r>
      <w:r w:rsidRPr="00640820">
        <w:rPr>
          <w:rFonts w:ascii="Times New Roman" w:hAnsi="Times New Roman"/>
          <w:color w:val="000000" w:themeColor="text1"/>
          <w:sz w:val="16"/>
          <w:szCs w:val="16"/>
        </w:rPr>
        <w:lastRenderedPageBreak/>
        <w:t>Р-6, СБ, ДБ-ЗФ (Ил-4), ПС- 84 (Ли-2) и ТБ-3. Двухмоторный Ил-4 мог буксировать два планера, четырехмоторный ТБ-3 — три. в ходе испытаний проверяли летные данные А-7, его управ</w:t>
      </w:r>
      <w:r w:rsidRPr="00640820">
        <w:rPr>
          <w:rFonts w:ascii="Times New Roman" w:hAnsi="Times New Roman"/>
          <w:color w:val="000000" w:themeColor="text1"/>
          <w:sz w:val="16"/>
          <w:szCs w:val="16"/>
        </w:rPr>
        <w:softHyphen/>
        <w:t>ляемость на разных режимах, поведение в вихревом потоке от винтов буксировщика  (12300).</w:t>
      </w:r>
    </w:p>
    <w:p w14:paraId="1E90FD7B"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3B591DB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сентября 1941 В.Л. Расторгу</w:t>
      </w:r>
      <w:r w:rsidRPr="00640820">
        <w:rPr>
          <w:rFonts w:ascii="Times New Roman" w:hAnsi="Times New Roman"/>
          <w:color w:val="000000" w:themeColor="text1"/>
          <w:sz w:val="16"/>
          <w:szCs w:val="16"/>
        </w:rPr>
        <w:softHyphen/>
        <w:t>ев совершил на РФ-8 первый полёт. В испытаниях также приняли участие С.Н. Анохин, П.Ф. Павлов, В.П. Федо</w:t>
      </w:r>
      <w:r w:rsidRPr="00640820">
        <w:rPr>
          <w:rFonts w:ascii="Times New Roman" w:hAnsi="Times New Roman"/>
          <w:color w:val="000000" w:themeColor="text1"/>
          <w:sz w:val="16"/>
          <w:szCs w:val="16"/>
        </w:rPr>
        <w:softHyphen/>
        <w:t>ров и Г.С. Малиновский. В одном из полётов при посадке с высокого вы</w:t>
      </w:r>
      <w:r w:rsidRPr="00640820">
        <w:rPr>
          <w:rFonts w:ascii="Times New Roman" w:hAnsi="Times New Roman"/>
          <w:color w:val="000000" w:themeColor="text1"/>
          <w:sz w:val="16"/>
          <w:szCs w:val="16"/>
        </w:rPr>
        <w:softHyphen/>
        <w:t>равнивания последовал сильный удар. При этом треснула обшивка фюзеляжа у пилотской кабины. Сделали вывод, что площадь склейки обшивки с лонже</w:t>
      </w:r>
      <w:r w:rsidRPr="00640820">
        <w:rPr>
          <w:rFonts w:ascii="Times New Roman" w:hAnsi="Times New Roman"/>
          <w:color w:val="000000" w:themeColor="text1"/>
          <w:sz w:val="16"/>
          <w:szCs w:val="16"/>
        </w:rPr>
        <w:softHyphen/>
        <w:t>ронами фюзеляжа слишком мала. При ремонте этот недостаток исправили. Однако поломка несколько задержала завершение испытаний, закончившихся 18 сентября.</w:t>
      </w:r>
    </w:p>
    <w:p w14:paraId="64D6D57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недостатков испытатели отметили большую нагрузку на ручку управления и слишком сильную реакцию на работу рулём направления. Шасси при пол</w:t>
      </w:r>
      <w:r w:rsidRPr="00640820">
        <w:rPr>
          <w:rFonts w:ascii="Times New Roman" w:hAnsi="Times New Roman"/>
          <w:color w:val="000000" w:themeColor="text1"/>
          <w:sz w:val="16"/>
          <w:szCs w:val="16"/>
        </w:rPr>
        <w:softHyphen/>
        <w:t>ной нагрузке «проседало», и планёр касался лыжей грунта. Большое рас</w:t>
      </w:r>
      <w:r w:rsidRPr="00640820">
        <w:rPr>
          <w:rFonts w:ascii="Times New Roman" w:hAnsi="Times New Roman"/>
          <w:color w:val="000000" w:themeColor="text1"/>
          <w:sz w:val="16"/>
          <w:szCs w:val="16"/>
        </w:rPr>
        <w:softHyphen/>
        <w:t>стояние от остекления до глаз пилота ухудшало обзор, особенно в темноте. Рекомендовали убрать перегородку между пилотской и грузовой кабинами и перенести механизм уборки шасси к лётчику. Однако в целом оценка ока</w:t>
      </w:r>
      <w:r w:rsidRPr="00640820">
        <w:rPr>
          <w:rFonts w:ascii="Times New Roman" w:hAnsi="Times New Roman"/>
          <w:color w:val="000000" w:themeColor="text1"/>
          <w:sz w:val="16"/>
          <w:szCs w:val="16"/>
        </w:rPr>
        <w:softHyphen/>
        <w:t>залась благоприятной, и РФ-8 реко</w:t>
      </w:r>
      <w:r w:rsidRPr="00640820">
        <w:rPr>
          <w:rFonts w:ascii="Times New Roman" w:hAnsi="Times New Roman"/>
          <w:color w:val="000000" w:themeColor="text1"/>
          <w:sz w:val="16"/>
          <w:szCs w:val="16"/>
        </w:rPr>
        <w:softHyphen/>
        <w:t>мендовали к серийному производству. Но при этом потребовали увеличить вместимость до восьми человек (пилот и семь десантников) и ликвидировать выявленные дефекты.</w:t>
      </w:r>
    </w:p>
    <w:p w14:paraId="20C929F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Результатом доработок стал планёр А-7. Он сохранил размеры РФ-8 (раз</w:t>
      </w:r>
      <w:r w:rsidRPr="00640820">
        <w:rPr>
          <w:rFonts w:ascii="Times New Roman" w:hAnsi="Times New Roman"/>
          <w:color w:val="000000" w:themeColor="text1"/>
          <w:sz w:val="16"/>
          <w:szCs w:val="16"/>
        </w:rPr>
        <w:softHyphen/>
        <w:t>мах крыла и длину фюзеляжа) и его основную конструкцию.</w:t>
      </w:r>
    </w:p>
    <w:p w14:paraId="605B2DA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Крыло также полностью взяли от РФ-8. Чтобы разместить ещё двух бойцов, компоновку грузовой кабины измени</w:t>
      </w:r>
      <w:r w:rsidRPr="00640820">
        <w:rPr>
          <w:rFonts w:ascii="Times New Roman" w:hAnsi="Times New Roman"/>
          <w:color w:val="000000" w:themeColor="text1"/>
          <w:sz w:val="16"/>
          <w:szCs w:val="16"/>
        </w:rPr>
        <w:softHyphen/>
        <w:t>ли, сохранив её прежние размеры. На РФ-8 десантники сидели на двух про</w:t>
      </w:r>
      <w:r w:rsidRPr="00640820">
        <w:rPr>
          <w:rFonts w:ascii="Times New Roman" w:hAnsi="Times New Roman"/>
          <w:color w:val="000000" w:themeColor="text1"/>
          <w:sz w:val="16"/>
          <w:szCs w:val="16"/>
        </w:rPr>
        <w:softHyphen/>
        <w:t>дольных лавках, размещённых спина к спине. Теперь же для каждого сделали отдельное откидное сиденье: по два у бортов и два - по центру кабины. На А-7 сидели группами по трое, глядя друг на друга. Вход и выход производился че</w:t>
      </w:r>
      <w:r w:rsidRPr="00640820">
        <w:rPr>
          <w:rFonts w:ascii="Times New Roman" w:hAnsi="Times New Roman"/>
          <w:color w:val="000000" w:themeColor="text1"/>
          <w:sz w:val="16"/>
          <w:szCs w:val="16"/>
        </w:rPr>
        <w:softHyphen/>
        <w:t>рез две двери: спереди с левого борта и сзади - с правого.</w:t>
      </w:r>
    </w:p>
    <w:p w14:paraId="24F48DA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Шасси тоже с незначительными отли</w:t>
      </w:r>
      <w:r w:rsidRPr="00640820">
        <w:rPr>
          <w:rFonts w:ascii="Times New Roman" w:hAnsi="Times New Roman"/>
          <w:color w:val="000000" w:themeColor="text1"/>
          <w:sz w:val="16"/>
          <w:szCs w:val="16"/>
        </w:rPr>
        <w:softHyphen/>
        <w:t>чиями заимствовали от РФ-8. Для взлё</w:t>
      </w:r>
      <w:r w:rsidRPr="00640820">
        <w:rPr>
          <w:rFonts w:ascii="Times New Roman" w:hAnsi="Times New Roman"/>
          <w:color w:val="000000" w:themeColor="text1"/>
          <w:sz w:val="16"/>
          <w:szCs w:val="16"/>
        </w:rPr>
        <w:softHyphen/>
        <w:t>та использовали два колеса и костыль. Колёса крепились в средней части фю</w:t>
      </w:r>
      <w:r w:rsidRPr="00640820">
        <w:rPr>
          <w:rFonts w:ascii="Times New Roman" w:hAnsi="Times New Roman"/>
          <w:color w:val="000000" w:themeColor="text1"/>
          <w:sz w:val="16"/>
          <w:szCs w:val="16"/>
        </w:rPr>
        <w:softHyphen/>
        <w:t>зеляжа и имели резиновую амортиза</w:t>
      </w:r>
      <w:r w:rsidRPr="00640820">
        <w:rPr>
          <w:rFonts w:ascii="Times New Roman" w:hAnsi="Times New Roman"/>
          <w:color w:val="000000" w:themeColor="text1"/>
          <w:sz w:val="16"/>
          <w:szCs w:val="16"/>
        </w:rPr>
        <w:softHyphen/>
        <w:t>цию. В полёте их вручную убирали с помощью винтового механизма в ниши в днище фюзеляжа. Посадка осущест</w:t>
      </w:r>
      <w:r w:rsidRPr="00640820">
        <w:rPr>
          <w:rFonts w:ascii="Times New Roman" w:hAnsi="Times New Roman"/>
          <w:color w:val="000000" w:themeColor="text1"/>
          <w:sz w:val="16"/>
          <w:szCs w:val="16"/>
        </w:rPr>
        <w:softHyphen/>
        <w:t>влялась на массивную неподвижную деревянную лыжу, вмонтированную в днище.</w:t>
      </w:r>
    </w:p>
    <w:p w14:paraId="54EC36C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вот хвостовое оперение А-7 сущест</w:t>
      </w:r>
      <w:r w:rsidRPr="00640820">
        <w:rPr>
          <w:rFonts w:ascii="Times New Roman" w:hAnsi="Times New Roman"/>
          <w:color w:val="000000" w:themeColor="text1"/>
          <w:sz w:val="16"/>
          <w:szCs w:val="16"/>
        </w:rPr>
        <w:softHyphen/>
        <w:t>венно отличалось от РФ-8. Горизон</w:t>
      </w:r>
      <w:r w:rsidRPr="00640820">
        <w:rPr>
          <w:rFonts w:ascii="Times New Roman" w:hAnsi="Times New Roman"/>
          <w:color w:val="000000" w:themeColor="text1"/>
          <w:sz w:val="16"/>
          <w:szCs w:val="16"/>
        </w:rPr>
        <w:softHyphen/>
        <w:t>тальное оперение немного уменьши-лось по площади, но сохранило свою конфигурацию. Вертикальное же, не</w:t>
      </w:r>
      <w:r w:rsidRPr="00640820">
        <w:rPr>
          <w:rFonts w:ascii="Times New Roman" w:hAnsi="Times New Roman"/>
          <w:color w:val="000000" w:themeColor="text1"/>
          <w:sz w:val="16"/>
          <w:szCs w:val="16"/>
        </w:rPr>
        <w:softHyphen/>
        <w:t>сколько изменённое по пропорциям, тоже уменьшили.</w:t>
      </w:r>
    </w:p>
    <w:p w14:paraId="04FD958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результате доработок пустой А-7 по сравнению с РФ-8 стал легче (955 кг против 972 кг), но взлётный вес за счёт увеличения нагрузки возрос. У РФ-8 он равнялся 1547 кг, а у А-7 - 1760 кг при шести пассажирах и 1875 кг - при семи.</w:t>
      </w:r>
    </w:p>
    <w:p w14:paraId="0F5F43B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А-7 мог буксироваться многими типа</w:t>
      </w:r>
      <w:r w:rsidRPr="00640820">
        <w:rPr>
          <w:rFonts w:ascii="Times New Roman" w:hAnsi="Times New Roman"/>
          <w:color w:val="000000" w:themeColor="text1"/>
          <w:sz w:val="16"/>
          <w:szCs w:val="16"/>
        </w:rPr>
        <w:softHyphen/>
        <w:t>ми самолётов, как одномоторными, так и многомоторными.</w:t>
      </w:r>
    </w:p>
    <w:p w14:paraId="54B4FF1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 же РФ-8 стали использовать для экспериментов по буксировке планёров укороченным тросом и жёсткой тягой. Полёты проходили с 24 сентября по 1 октября 1941 г., буксировщиком слу</w:t>
      </w:r>
      <w:r w:rsidRPr="00640820">
        <w:rPr>
          <w:rFonts w:ascii="Times New Roman" w:hAnsi="Times New Roman"/>
          <w:color w:val="000000" w:themeColor="text1"/>
          <w:sz w:val="16"/>
          <w:szCs w:val="16"/>
        </w:rPr>
        <w:softHyphen/>
        <w:t>жил бомбардировщик СБ. РФ-8 пилоти</w:t>
      </w:r>
      <w:r w:rsidRPr="00640820">
        <w:rPr>
          <w:rFonts w:ascii="Times New Roman" w:hAnsi="Times New Roman"/>
          <w:color w:val="000000" w:themeColor="text1"/>
          <w:sz w:val="16"/>
          <w:szCs w:val="16"/>
        </w:rPr>
        <w:softHyphen/>
        <w:t>ровал С.Н. Анохин. Длину троса после</w:t>
      </w:r>
      <w:r w:rsidRPr="00640820">
        <w:rPr>
          <w:rFonts w:ascii="Times New Roman" w:hAnsi="Times New Roman"/>
          <w:color w:val="000000" w:themeColor="text1"/>
          <w:sz w:val="16"/>
          <w:szCs w:val="16"/>
        </w:rPr>
        <w:softHyphen/>
        <w:t>довательно сокращали от 60 до 5 м, а затем перешли к жёсткой тяге длиной 3 м. Всего совершили 16 полётов. От</w:t>
      </w:r>
      <w:r w:rsidRPr="00640820">
        <w:rPr>
          <w:rFonts w:ascii="Times New Roman" w:hAnsi="Times New Roman"/>
          <w:color w:val="000000" w:themeColor="text1"/>
          <w:sz w:val="16"/>
          <w:szCs w:val="16"/>
        </w:rPr>
        <w:softHyphen/>
        <w:t>клонения от обычной практики нача</w:t>
      </w:r>
      <w:r w:rsidRPr="00640820">
        <w:rPr>
          <w:rFonts w:ascii="Times New Roman" w:hAnsi="Times New Roman"/>
          <w:color w:val="000000" w:themeColor="text1"/>
          <w:sz w:val="16"/>
          <w:szCs w:val="16"/>
        </w:rPr>
        <w:softHyphen/>
        <w:t>лись с 20 м. Пилотирование планёра резко усложнилось и требовало боль</w:t>
      </w:r>
      <w:r w:rsidRPr="00640820">
        <w:rPr>
          <w:rFonts w:ascii="Times New Roman" w:hAnsi="Times New Roman"/>
          <w:color w:val="000000" w:themeColor="text1"/>
          <w:sz w:val="16"/>
          <w:szCs w:val="16"/>
        </w:rPr>
        <w:softHyphen/>
        <w:t>шего внимания. Эффективность рулей и элеронов возросла из-за обдува их струями воздуха от винтов буксировщи</w:t>
      </w:r>
      <w:r w:rsidRPr="00640820">
        <w:rPr>
          <w:rFonts w:ascii="Times New Roman" w:hAnsi="Times New Roman"/>
          <w:color w:val="000000" w:themeColor="text1"/>
          <w:sz w:val="16"/>
          <w:szCs w:val="16"/>
        </w:rPr>
        <w:softHyphen/>
        <w:t>ка. Разбег планёра на коротком тросе выглядел зигзагообразным. Ещё труд</w:t>
      </w:r>
      <w:r w:rsidRPr="00640820">
        <w:rPr>
          <w:rFonts w:ascii="Times New Roman" w:hAnsi="Times New Roman"/>
          <w:color w:val="000000" w:themeColor="text1"/>
          <w:sz w:val="16"/>
          <w:szCs w:val="16"/>
        </w:rPr>
        <w:softHyphen/>
        <w:t>нее оказалось летать в жёсткой сцепке. От использования укороченных тросов и жёсткой тяги отказались (12266).</w:t>
      </w:r>
    </w:p>
    <w:p w14:paraId="3EAA3599"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22D7032E"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2DA1B1F6"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F34F15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сентября был выдан [Мандат Мехлиса л. З. - уполномоченного ГКО по вопросам производства танков всех видов.] № 615 (7009, 88).</w:t>
      </w:r>
    </w:p>
    <w:p w14:paraId="1D1AD78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CABF0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сентября был выдан [Мандат Маленкова Г.М. - уполномоченного ГКО по вопросам производства танков всех видов.] № 617 (7009, 103).</w:t>
      </w:r>
    </w:p>
    <w:p w14:paraId="620FC58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1A0FFC" w14:textId="77777777" w:rsidR="00087C19" w:rsidRPr="00640820" w:rsidRDefault="00087C1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сентября 1941 г.</w:t>
      </w:r>
    </w:p>
    <w:p w14:paraId="0CE3E9A7" w14:textId="77777777" w:rsidR="00087C19" w:rsidRPr="00640820" w:rsidRDefault="00087C1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Протоколы заседаний бюро Ленинградского городского комитета ВКП(б)</w:t>
      </w:r>
    </w:p>
    <w:p w14:paraId="1E875A80" w14:textId="77777777" w:rsidR="00087C19" w:rsidRPr="00640820" w:rsidRDefault="00087C1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2 сентября 1941 г.</w:t>
      </w:r>
    </w:p>
    <w:p w14:paraId="49A7A822" w14:textId="77777777" w:rsidR="00087C19" w:rsidRPr="00640820" w:rsidRDefault="00087C1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317гс. — Об изготовлении сухопутных управляемых торпед (СУТ ВЭТАС) (особая папка).</w:t>
      </w:r>
    </w:p>
    <w:p w14:paraId="3FE9ECB4" w14:textId="77777777" w:rsidR="00087C19" w:rsidRPr="00640820" w:rsidRDefault="00087C1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Обязать директора завода «Русский Дизель» т. Пассинского изготовить к 12.IХ–с.г. 20 шт. сухопутных торпед по проектам Военно-Электротехнической академии связи.</w:t>
      </w:r>
    </w:p>
    <w:p w14:paraId="0C2A92C1" w14:textId="77777777" w:rsidR="00087C19" w:rsidRPr="00640820" w:rsidRDefault="00087C1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Обязать директора Кировского завода т. Зальцман отштамповать детали движителя сухопутной управляемой торпеды и поставить заводу «Русский Дизель» для обработки к 8.IХ–с.г.</w:t>
      </w:r>
    </w:p>
    <w:p w14:paraId="584CB607" w14:textId="77777777" w:rsidR="00087C19" w:rsidRPr="00640820" w:rsidRDefault="00087C1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Обязать директора завода «Красная Заря» т. Смирнова изготовить для 20 шт. сухопутных торпед релейные посты, тормозные электромагниты, катушки, пульты и произвести монтаж электрочасти с поверкой всей электрической схемы. Срок — 11.IХ–с.г.</w:t>
      </w:r>
    </w:p>
    <w:p w14:paraId="11F00210" w14:textId="77777777" w:rsidR="00087C19" w:rsidRPr="00640820" w:rsidRDefault="00087C1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Обязать директора завода «Севкабель» т. Козловского изготовить 10 километров трехжильного кабеля в одной оплетке и выдать заводу «Красная Заря» к 5. IХ–с.г.</w:t>
      </w:r>
    </w:p>
    <w:p w14:paraId="3F8BD948" w14:textId="77777777" w:rsidR="00087C19" w:rsidRPr="00640820" w:rsidRDefault="00087C1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Обязать директора завода «Ленинские Искры» т. Болтенкова выдать к 6. IХ–с.г. заводу «Русский Дизель» аккумуляторы типа 12-А-30 на 20 шт. установок.</w:t>
      </w:r>
    </w:p>
    <w:p w14:paraId="731B8535" w14:textId="77777777" w:rsidR="00087C19" w:rsidRPr="00640820" w:rsidRDefault="00087C1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Обязать директора элементного завода № 10 выдать заводу «Красная Заря» необходимое количество сухих батарей на 20 шт. установок.</w:t>
      </w:r>
    </w:p>
    <w:p w14:paraId="01D22B3C" w14:textId="77777777" w:rsidR="00087C19" w:rsidRPr="00640820" w:rsidRDefault="00087C1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Обязать ликвидком завода № 234 передать заводу «Русский Дизель» двигатели ГО-1000 м, материалы и полуфабрикаты, которые остались от производства СТ ВЭТА.</w:t>
      </w:r>
    </w:p>
    <w:p w14:paraId="76D13C57" w14:textId="77777777" w:rsidR="00087C19" w:rsidRPr="00640820" w:rsidRDefault="00087C1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Командованию Электротехнической академии связи организовать постоянную консультацию и оказание помощи заводам, участвующим в изготовлении сухопутных управляемых торпед, обучить технике управления и вождения торпед 30 чел. сапер.</w:t>
      </w:r>
    </w:p>
    <w:p w14:paraId="5404C181" w14:textId="77777777" w:rsidR="00087C19" w:rsidRPr="00640820" w:rsidRDefault="00087C1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Подписи — Капустин, Кузнецов, Никитин, Попков.</w:t>
      </w:r>
    </w:p>
    <w:p w14:paraId="558051FF" w14:textId="77777777" w:rsidR="00087C19" w:rsidRPr="00640820" w:rsidRDefault="00087C1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ЦГАИПД СПб. Ф. 25. Оп.2а. Д. 155. Л. 103. Карточка опросного голосования. Оригинал, машинопись. Подписи — автографы (19720).</w:t>
      </w:r>
    </w:p>
    <w:p w14:paraId="36D67F33" w14:textId="77777777" w:rsidR="00087C19" w:rsidRPr="00640820" w:rsidRDefault="00087C19" w:rsidP="00640820">
      <w:pPr>
        <w:autoSpaceDE w:val="0"/>
        <w:autoSpaceDN w:val="0"/>
        <w:adjustRightInd w:val="0"/>
        <w:spacing w:after="0" w:line="240" w:lineRule="auto"/>
        <w:jc w:val="both"/>
        <w:rPr>
          <w:rFonts w:ascii="Times New Roman" w:hAnsi="Times New Roman"/>
          <w:color w:val="000000" w:themeColor="text1"/>
          <w:sz w:val="16"/>
          <w:szCs w:val="16"/>
        </w:rPr>
      </w:pPr>
    </w:p>
    <w:p w14:paraId="5DDAA004"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2739A726"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9CE33A5" w14:textId="77777777" w:rsidR="00D8147F" w:rsidRPr="00640820" w:rsidRDefault="00D8147F"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 сентября </w:t>
      </w:r>
      <w:r w:rsidRPr="00640820">
        <w:rPr>
          <w:rFonts w:ascii="Times New Roman" w:hAnsi="Times New Roman"/>
          <w:color w:val="000000" w:themeColor="text1"/>
          <w:sz w:val="16"/>
          <w:szCs w:val="16"/>
        </w:rPr>
        <w:t>в 1941 году утреннее сообщение Совинформбюро:</w:t>
      </w:r>
    </w:p>
    <w:p w14:paraId="26A02ECA" w14:textId="77777777" w:rsidR="00D8147F" w:rsidRPr="00640820" w:rsidRDefault="00D8147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ночь на 2 сентября наши войска вели бои с противником на всём фронте.</w:t>
      </w:r>
    </w:p>
    <w:p w14:paraId="6A2FB9CC" w14:textId="77777777" w:rsidR="00D8147F" w:rsidRPr="00640820" w:rsidRDefault="00D8147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последние три дня бомбардировщики авиации Черноморского флота совершили несколько налётов на порты и наземные войска противника. Прямым попаданием бомбы выведен из строя один вражеский военный корабль. Морские лётчики уничтожили также 83 танка, более 50 автобронемашин и много автоцистерн с горючим.</w:t>
      </w:r>
    </w:p>
    <w:p w14:paraId="43F7ACB6" w14:textId="77777777" w:rsidR="00D8147F" w:rsidRPr="00640820" w:rsidRDefault="00D8147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Смоленском направлении наши части разгромили пехотный полк 161 немецкой дивизии. В ротах полка осталось по 8—10 солдат. Захваченный в плен командир роты старший лейтенант Людвиг Роберт сообщил, что его подразделение «прибыло на Восточный фронт десять дней назад из французского города Туль. Из роты осталось в живых всего 8 человек, да и те попали в плен». Людвиг Роберт показал также, что германское командование, в связи с огромными потерями на Восточном фронте, вынуждено снимать немецкие гарнизоны в городах оккупированных стран — Франции, Бельгии, Голландии и др. «Весь гарнизон города Туль, - говорит старший лейтенант, - отправлен на русский фронт. Взамен кадровых солдат в начале войны присылали резервистов. Теперь и резервистов отправляют на Восточный фронт, заменяя их ранеными солдатами, ещё не закончившими лечения. У многих из них не сняты даже повязки»</w:t>
      </w:r>
    </w:p>
    <w:p w14:paraId="0FA9A7A6" w14:textId="77777777" w:rsidR="00D8147F" w:rsidRPr="00640820" w:rsidRDefault="00D8147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Рота старшего лейтенанта Стержнёва обороняла железнодорожную станцию К. и рабочий посёлок. Здание станции, водокачка и жилые дома весь день обстреливались немецкой артиллерией. Вечером появились фашистские танки, а за ними — пехота противника. Истребители танков красноармейцы Егоров, Невзоров и Артюхин смело встретили врага. Два танка противника были подбиты, остальные повернули обратно. Ночью фашистам удалось окружить нашу роту. Но наши бойцы не растерялись. Забросав противника гранатами, они вырвались из окружения. Два дня с боями пробивались красноармейцы к своей части. В тылу врага советские пехотинцы взорвали два моста, три автоцистерны с бензином, уничтожили два грузовика с 23 Фашистскими солдатами и сожгли немецкий бомбардировщик «Юнкерс-88», совершивший вынужденную посадку.</w:t>
      </w:r>
    </w:p>
    <w:p w14:paraId="7A91437F" w14:textId="77777777" w:rsidR="00D8147F" w:rsidRPr="00640820" w:rsidRDefault="00D8147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Партизанские отряды, действующие в бессарабских уездах, захваченных германо-румынскими войсками, не дают покоя фашистам ни днём, ни ночью. Смелыми налётами, организацией взрывов и пожаров партизаны систематически истребляют живую силу противника, уничтожают боеприпасы, горючее и продовольствие. Особенно успешно действует крупный партизанский отряд под командованием т. И. В течение августа партизаны этого отряда уничтожили 14 вражеских танков и бронемашин, 32 грузовых автомобиля с боеприпасами, 44 повозки с продовольствием и более 40 цистерн с бензином. Во время этих операций партизаны перебили около 400 румынских солдат и офицеров. Особенно удачным был налёт на фашистскую мотоколонну, двигавшуюся по шоссейной дороге между К. и Ф. Примерно на полпути между этими пунктами партизаны устроили на шоссейной дороге несколько замаскированных ям, а сами укрылись вдоль дороги. Первые три машины провалились и загородили путь колонне. Из-за кустов и из канав в автомашины посыпались ручные гранаты и бутылки с бензином. Партизаны-пулемётчики открыли ожесточённый огонь по румынским солдатам. Четыре машины пытались съехать с дороги, но перевернулись и застряли в глубокой придорожной канаве. Всего в этом бою было выведено из строя 16 вражеских автомашин и уничтожено до 80 солдат противника.</w:t>
      </w:r>
    </w:p>
    <w:p w14:paraId="31D7682F" w14:textId="77777777" w:rsidR="00D8147F" w:rsidRPr="00640820" w:rsidRDefault="00D8147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боях на Южном фронте наши части захватили ряд документов штаба румынского 39 пехотного полка. Эти документы свидетельствуют о том, что многие румынские солдаты не хотят воевать против Советского Союза. Командир полка полковник Константин Симеонеску, подтверждая это, пишет в приказе № 81 следующее: </w:t>
      </w:r>
      <w:r w:rsidRPr="00640820">
        <w:rPr>
          <w:rFonts w:ascii="Times New Roman" w:hAnsi="Times New Roman"/>
          <w:color w:val="000000" w:themeColor="text1"/>
          <w:sz w:val="16"/>
          <w:szCs w:val="16"/>
        </w:rPr>
        <w:lastRenderedPageBreak/>
        <w:t>«Некоторые солдаты вместо того, чтобы быть в бою, уклоняются, прячутся и возвращаются в свои подразделения лишь после боя». Нелестно отзывается полковник и о своих офицерах. "Я с горечью установил, - продолжает он, - что в операциях, которые имели место, было много нарушений своего долга</w:t>
      </w:r>
    </w:p>
    <w:p w14:paraId="2FC48F18" w14:textId="77777777" w:rsidR="00D8147F" w:rsidRPr="00640820" w:rsidRDefault="00D8147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 стороны всех подчинённых офицеров». Полковник указывает, что офицеры обнаружили «недостаток храбрости перед лицом врага. Некоторые офицеры плачут и просят убежища, боятся пуль, боятся авиации, боятся артиллерийского огня. Другие прячутся, избегают боя, а храбрость проявляют перед женщинами и детьми...». Полковник ставит офицерам в пример Красную Армию: «Противник совершенно справедливо может утверждать, что его воины дерутся замечательно».</w:t>
      </w:r>
    </w:p>
    <w:p w14:paraId="22B25227" w14:textId="77777777" w:rsidR="00D8147F" w:rsidRPr="00640820" w:rsidRDefault="00D8147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Водники прифронтовых бассейнов проявляют отвагу и бесстрашие при исполнении своего служебного долга.</w:t>
      </w:r>
    </w:p>
    <w:p w14:paraId="2E06721E" w14:textId="77777777" w:rsidR="00D8147F" w:rsidRPr="00640820" w:rsidRDefault="00D8147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Пароход капитана Фролова, перевозивший воинский груз, ночью пришвартовался к берегу. До рассвета оставалось ещё четыре часа. Оставив часовых на борту и на берегу реки, команда парохода и охрана легли спать. Но не прошло и получаса, как часовые с берега дали знать о приближении врага. Немедленно была организована оборона парохода. Противник был встречен пулемётным огнём. Перестрелка продолжалась до утра. К рассвету около сотни немецких солдат пытались атаковать команду парохода, но были отогнаны водниками. Попытка захватить наш пароход стоила немцам жизни 20 солдат.</w:t>
      </w:r>
    </w:p>
    <w:p w14:paraId="4854BB78" w14:textId="77777777" w:rsidR="00D8147F" w:rsidRPr="00640820" w:rsidRDefault="00D8147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баржу, которую вёл шкипер Елькин, попал вражеский снаряд. Трюм стало заливать водой. Тяжело раненный тов. Елькин не покинул поста. Под его руководством экипаж баржи быстро заделал пробоины, и караван благополучно прибыл в речной порт.</w:t>
      </w:r>
    </w:p>
    <w:p w14:paraId="75A8CAE0" w14:textId="77777777" w:rsidR="00D8147F" w:rsidRPr="00640820" w:rsidRDefault="00D8147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время бомбардировки пристани К. на баржу с горючим упало 6 зажигательных бомб. Матросы т.т. Гулин и Черкасов героически предотвратили пожар. Три бомбы тов. Гулин сбросил в воду, а одну загасил своим бушлатом. Две бомбы упали в кормовые люки. Тов. Черкасов бросился вниз и загасил их песком. Несмотря на тяжёлые ожоги, тов. Черкасов не покинул вахты.</w:t>
      </w:r>
    </w:p>
    <w:p w14:paraId="677BDCDF" w14:textId="77777777" w:rsidR="00D8147F" w:rsidRPr="00640820" w:rsidRDefault="00D8147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Матросы пристани Голубев, Эмдин, Востряков, Лихорадов и Якуненко огнём из винтовок сбили фашистский бомбардировщик, пикировавший на пароход.» (14757).</w:t>
      </w:r>
    </w:p>
    <w:p w14:paraId="15D54DA0" w14:textId="77777777" w:rsidR="00D8147F" w:rsidRPr="00640820" w:rsidRDefault="00D8147F" w:rsidP="00640820">
      <w:pPr>
        <w:spacing w:after="0" w:line="240" w:lineRule="auto"/>
        <w:jc w:val="both"/>
        <w:rPr>
          <w:rFonts w:ascii="Times New Roman" w:hAnsi="Times New Roman"/>
          <w:color w:val="000000" w:themeColor="text1"/>
          <w:sz w:val="16"/>
          <w:szCs w:val="16"/>
        </w:rPr>
      </w:pPr>
    </w:p>
    <w:p w14:paraId="330FBB35" w14:textId="77777777" w:rsidR="00D8147F" w:rsidRPr="00640820" w:rsidRDefault="00D8147F"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 сентября </w:t>
      </w:r>
      <w:r w:rsidRPr="00640820">
        <w:rPr>
          <w:rFonts w:ascii="Times New Roman" w:hAnsi="Times New Roman"/>
          <w:color w:val="000000" w:themeColor="text1"/>
          <w:sz w:val="16"/>
          <w:szCs w:val="16"/>
        </w:rPr>
        <w:t>в 1941 году вечернее сообщение Совинформбюро:</w:t>
      </w:r>
    </w:p>
    <w:p w14:paraId="7D8DB00D" w14:textId="77777777" w:rsidR="00D8147F" w:rsidRPr="00640820" w:rsidRDefault="00D8147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2 сентября наши войска продолжали вести упорные бои с противником на всём фронте. После ожесточённых боёв наши войска эвакуировали город Таллин.</w:t>
      </w:r>
    </w:p>
    <w:p w14:paraId="3FA7CDB8" w14:textId="77777777" w:rsidR="00D8147F" w:rsidRPr="00640820" w:rsidRDefault="00D8147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уточнённым данным, за 30 августа уничтожен не 31 немецкий самолёт, как сообщалось ранее, а 75 немецких самолётов.</w:t>
      </w:r>
    </w:p>
    <w:p w14:paraId="238BF45F" w14:textId="77777777" w:rsidR="00D8147F" w:rsidRPr="00640820" w:rsidRDefault="00D8147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31 августа в воздушных боях уничтожено 23 немецких самолёта. Наши потери — 22 самолёта.</w:t>
      </w:r>
    </w:p>
    <w:p w14:paraId="4B2AA2E6" w14:textId="77777777" w:rsidR="00D8147F" w:rsidRPr="00640820" w:rsidRDefault="00D8147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Северо-3ападном направлении фронта большая группа немецких бомбардировщиков пыталась совершить налёт на наш укреплённый участок близ пункта Н. Вражеские бомбардировщики были встречены советскими истребителями в 30 километрах от укреплённого участка. Не приняв боя, фашистские самолёты разделились на мелкие группы и пытались с разных сторон атаковать намеченный военный объект. Встреченные огнём зенитных батарей, немцы беспорядочно сбросили бомбы вдали от наших укреплений и, потеряв 4 «Юнкерса», повернули обратно. На большой высоте за ними ринулись скоростные бомбардировщики под командованием капитана Сысоева. Через час одна группа вражеских самолётов пошла на посадку на свой аэродром. Советские бомбардировщики стремительно снизились и засыпали аэродром фугасными и осколочными бомбами. Не ожидавшие нападения фашисты не успели организовать оборону. Один за другим бомбардировщики капитана Сысоева пикировали на аэродром и уничтожали самолёты противника. Несколько находившихся на аэродроме немецких истребителей пытались подняться в воздух, но были подбиты огнём советских самолётов. Уничтожив более 15 фашистских бомбардировщиков и 4 истребителя, все наши самолёты, кроме двух, вернулись на свою базу.</w:t>
      </w:r>
    </w:p>
    <w:p w14:paraId="3DB828D9" w14:textId="77777777" w:rsidR="00D8147F" w:rsidRPr="00640820" w:rsidRDefault="00D8147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Каждый день великой Отечественной войны рождает тысячи новых героев, храбро и самоотверженно громящих фашистские полчища. На днях бойцы Энского зенитного дивизиона прямой наводкой разбили два вражеских танка и обратили в бегство третий. Исключительную храбрость в этом бою проявил политрук батареи тов. Горель. Под градом пуль он проник в подбитый фашистский танк и из танковой пушки обстрелял вражескую пехоту. Младший сержант Черноморского флота Нечипоренко, пробравшись в тыл противника, обнаружил противотанковую батарею. Отважный краснофлотец забросал батарею гранатами. Два орудия батареи были уничтожены. Сержант захватил и доставил в свою часть двух лошадей и одно противотанковое орудие с боеприпасами.</w:t>
      </w:r>
    </w:p>
    <w:p w14:paraId="5D03D7C2" w14:textId="77777777" w:rsidR="00D8147F" w:rsidRPr="00640820" w:rsidRDefault="00D8147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Младший командир Шалмов разведывал с двумя красноармейцами передний край обороны противника. Ночью трое смелых разведчиков бесшумно подползли к вражеским траншеям. Вскоре разведчики заметили четырёх немецких солдат. Подпустив немцев на 10-15 метров, наши бойцы уничтожили их гранатами. Фашисты открыли в темноте беспорядочный пулемётный и миномётный огонь. Установив расположение вражеских точек, тов. Шалмов под огнём противника пополз вперёд и уничтожил гранатами три пулемётных расчёта.</w:t>
      </w:r>
    </w:p>
    <w:p w14:paraId="77791FE4" w14:textId="77777777" w:rsidR="00D8147F" w:rsidRPr="00640820" w:rsidRDefault="00D8147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Беззаветную храбрость, мужество и отвагу проявляют советские партизаны, действующие в фашистском тылу на Северо-Западном направлении фронта. По лесной дороге в районе Д. двигался отряд из 80 ненецких солдат. Шестеро смельчаков-партизан устроили засаду и обстреляли фашистов. После первых же залпов немцы рассеялись, оставив на месте несколько убитых и раненых. В деревне Г. партизаны напали на вражескую мотоколонну и уничтожили ручными гранатами 10 грузовых автомашин и более 40 фашистов. Узнав, что по просёлочной дороге в районе деревни П. должна пройти немецкая мотоколонна, партизаны уничтожили три моста, устроили на дороге завалы из камня и леса, а сами залегли в засаде. В завязавшемся бою немцы потеряли 36 солдат, 17 мотоциклов и 3 грузовых машины с патронами. В конце августа части 3 немецкой мотодивизии двигались на восток. Партизанский отряд под командованием тов. П. пропустил мимо себя вражескую разведку и передовое охранение и неожиданно обстрелял колонну. Перебито до 100 немцев. Недавно около деревни X. приземлился фашистский самолёт, подбитый нашей зенитной артиллерией. Партизаны захватили 4 лётчиков во главе с офицером, ценные документы и карты. Отряд партизан под командованием тов. Ш. только за 14 дней истребил более 200 немецких солдат и офицеров, среди которых 60 мотоциклистов и 90 велосипедистов, уничтожил 18 грузовых автомашин, три радиостанции и много вооружения и снаряжения.</w:t>
      </w:r>
    </w:p>
    <w:p w14:paraId="7CC955AD" w14:textId="77777777" w:rsidR="00D8147F" w:rsidRPr="00640820" w:rsidRDefault="00D8147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Тревогу противника в связи с усиливающейся деятельностью партизан ярко характеризует одно распоряжение штаба германской северной армейской группы: «Возросшая деятельность партизан делает невозможным (буквально — «запрещает») проезд через сельские местности отдельных солдат и мелких групп. Последние должны пользоваться при всех переездах дорогами с оживлённым движением, например путями подвоза. Отдельные солдаты и мелкие отряды могут посещать лежащие в стороне от оживлённых дорог сёла лишь в том случае, если перед этим ближайший орган военной власти установил безопасность данного села».</w:t>
      </w:r>
    </w:p>
    <w:p w14:paraId="52E8C4C2" w14:textId="77777777" w:rsidR="00D8147F" w:rsidRPr="00640820" w:rsidRDefault="00D8147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Немецкие и итальянские оккупанты, несмотря на свирепый террор, не могут подавить партизанское движение народов Югославии. Недавно из югославского города, занятого партизанами, в Белград приехал один серб с пропуском, выданным партизанскими властями. Этот документ имел заголовок: «Неоккупированная Югославия». В Западной Боснии сербские партизаны заняли два города — Ключ и Мрконич Град. Фашисты, обозленные успешными действиями югославских патриотов, пытаются потопить в крови народное движение за освобождение Югославии от ига оккупантов. Фашисты зверски издеваются над мирным населением. Немецкие офицеры и солдаты врываются в дома, хватают женщин и девочек-подростков и отправляют в полковые публичные дома для солдат. Всех, кто пытается заступиться за женщин, фашисты убивают. Но оккупантам не удаётся терроризировать югославские народы: партизанское движение всё шире охватывает оккупированную Югославию.</w:t>
      </w:r>
    </w:p>
    <w:p w14:paraId="46D12A81" w14:textId="77777777" w:rsidR="00D8147F" w:rsidRPr="00640820" w:rsidRDefault="00D8147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железнодорожном транспорте растёт движение патриоток. На многих станциях и в депо организованы производственные кружки для женщин. На Карагандинской железной дороге домохозяйки-активистки изучают токарное дело и телеграф. Более 100 домохозяек станции Агадыр пошли работать на производство. Жёны машинистов депо Каменоломня дороги имени Ворошилова т.т. Спельникова и Беспалова стали помощниками машинистов. Профессию слесаря-автоматчика изучают жена заместителя начальника депо тов. Латышева, жена главного бухгалтера тов. Фёдорова, жена слесаря тов. Воронина. На Моршанском отделении Ленинской железной дороги более 50 домохозяек уже работают стрелочницами и кондукторами. 70 женщин-домохозяек Мичуринского и Кочетовского узлов учатся на помощников машинистов и осмотрщиков вагонов.» (14757).</w:t>
      </w:r>
    </w:p>
    <w:p w14:paraId="61588382" w14:textId="77777777" w:rsidR="00D8147F" w:rsidRPr="00640820" w:rsidRDefault="00D8147F" w:rsidP="00640820">
      <w:pPr>
        <w:spacing w:after="0" w:line="240" w:lineRule="auto"/>
        <w:jc w:val="both"/>
        <w:rPr>
          <w:rFonts w:ascii="Times New Roman" w:hAnsi="Times New Roman"/>
          <w:color w:val="000000" w:themeColor="text1"/>
          <w:sz w:val="16"/>
          <w:szCs w:val="16"/>
        </w:rPr>
      </w:pPr>
    </w:p>
    <w:p w14:paraId="29EE9550" w14:textId="77777777" w:rsidR="00C62511" w:rsidRPr="00640820" w:rsidRDefault="00C62511" w:rsidP="00640820">
      <w:pPr>
        <w:pStyle w:val="35"/>
        <w:shd w:val="clear" w:color="auto" w:fill="auto"/>
        <w:spacing w:after="0" w:line="240" w:lineRule="auto"/>
        <w:jc w:val="both"/>
        <w:rPr>
          <w:rFonts w:ascii="Times New Roman" w:cs="Times New Roman"/>
          <w:color w:val="0070C0"/>
          <w:spacing w:val="0"/>
          <w:sz w:val="16"/>
          <w:szCs w:val="16"/>
        </w:rPr>
      </w:pPr>
      <w:r w:rsidRPr="00640820">
        <w:rPr>
          <w:rFonts w:ascii="Times New Roman" w:cs="Times New Roman"/>
          <w:color w:val="0070C0"/>
          <w:spacing w:val="0"/>
          <w:sz w:val="16"/>
          <w:szCs w:val="16"/>
        </w:rPr>
        <w:t>2 сентября 1941 венгры сбили свой первый Ил-2. В общей сложности летчики «Реджьяне» уничто</w:t>
      </w:r>
      <w:r w:rsidRPr="00640820">
        <w:rPr>
          <w:rFonts w:ascii="Times New Roman" w:cs="Times New Roman"/>
          <w:color w:val="0070C0"/>
          <w:spacing w:val="0"/>
          <w:sz w:val="16"/>
          <w:szCs w:val="16"/>
        </w:rPr>
        <w:softHyphen/>
        <w:t xml:space="preserve">жили 6 штурмовиков. После перевооружения на </w:t>
      </w:r>
      <w:r w:rsidRPr="00640820">
        <w:rPr>
          <w:rFonts w:ascii="Times New Roman" w:cs="Times New Roman"/>
          <w:color w:val="0070C0"/>
          <w:spacing w:val="0"/>
          <w:sz w:val="16"/>
          <w:szCs w:val="16"/>
          <w:lang w:val="en-US"/>
        </w:rPr>
        <w:t>Bf</w:t>
      </w:r>
      <w:r w:rsidRPr="00640820">
        <w:rPr>
          <w:rFonts w:ascii="Times New Roman" w:cs="Times New Roman"/>
          <w:color w:val="0070C0"/>
          <w:spacing w:val="0"/>
          <w:sz w:val="16"/>
          <w:szCs w:val="16"/>
        </w:rPr>
        <w:t xml:space="preserve"> 109 мадьяры стали воевать с «Илами» более успешно. К концу войны в активе 25 венгерских асов значилось порядка 80 Ил-2, в т.ч. семеро имели на своих счетах от пяти до девяти «летающих танков» (19854).</w:t>
      </w:r>
    </w:p>
    <w:p w14:paraId="40E2E073" w14:textId="77777777" w:rsidR="00C62511" w:rsidRPr="00640820" w:rsidRDefault="00C62511" w:rsidP="00640820">
      <w:pPr>
        <w:pStyle w:val="35"/>
        <w:shd w:val="clear" w:color="auto" w:fill="auto"/>
        <w:spacing w:after="0" w:line="240" w:lineRule="auto"/>
        <w:jc w:val="both"/>
        <w:rPr>
          <w:rFonts w:ascii="Times New Roman" w:cs="Times New Roman"/>
          <w:color w:val="0070C0"/>
          <w:spacing w:val="0"/>
          <w:sz w:val="16"/>
          <w:szCs w:val="16"/>
        </w:rPr>
      </w:pPr>
    </w:p>
    <w:p w14:paraId="399C152A" w14:textId="77777777" w:rsidR="00A92C86" w:rsidRPr="00640820" w:rsidRDefault="00A92C86" w:rsidP="00640820">
      <w:pPr>
        <w:pStyle w:val="ae"/>
        <w:spacing w:before="0" w:after="0"/>
        <w:jc w:val="both"/>
        <w:textAlignment w:val="baseline"/>
        <w:rPr>
          <w:color w:val="000000" w:themeColor="text1"/>
          <w:sz w:val="16"/>
          <w:szCs w:val="16"/>
        </w:rPr>
      </w:pPr>
      <w:r w:rsidRPr="00640820">
        <w:rPr>
          <w:color w:val="000000" w:themeColor="text1"/>
          <w:sz w:val="16"/>
          <w:szCs w:val="16"/>
        </w:rPr>
        <w:t>2 сентября 1941 майор 237-го шап Ложечников в паре с летчиком Дмитриевым совершил разведывательный полет к Сеще. Погода была не самой благоприятной, темные тучи висели над самой землей. Тем не менее, пройдя на бреющем над летным полем, летчики успели насчитать несколько десятков немецких бомбардировщиков и транспортных самолетов.</w:t>
      </w:r>
    </w:p>
    <w:p w14:paraId="33E4B0AB" w14:textId="77777777" w:rsidR="00A92C86" w:rsidRPr="00640820" w:rsidRDefault="00A92C86" w:rsidP="00640820">
      <w:pPr>
        <w:pStyle w:val="ae"/>
        <w:spacing w:before="0" w:after="0"/>
        <w:jc w:val="both"/>
        <w:textAlignment w:val="baseline"/>
        <w:rPr>
          <w:color w:val="000000" w:themeColor="text1"/>
          <w:sz w:val="16"/>
          <w:szCs w:val="16"/>
        </w:rPr>
      </w:pPr>
      <w:r w:rsidRPr="00640820">
        <w:rPr>
          <w:color w:val="000000" w:themeColor="text1"/>
          <w:sz w:val="16"/>
          <w:szCs w:val="16"/>
        </w:rPr>
        <w:t>О дальнейшем бывший командующий ВВС Брянского фронта Федор Полынин затем в своих мемуарах писал так:</w:t>
      </w:r>
    </w:p>
    <w:p w14:paraId="675A63BD" w14:textId="77777777" w:rsidR="00A92C86" w:rsidRPr="00640820" w:rsidRDefault="00A92C86" w:rsidP="00640820">
      <w:pPr>
        <w:pStyle w:val="ae"/>
        <w:spacing w:before="0" w:after="0"/>
        <w:jc w:val="both"/>
        <w:textAlignment w:val="baseline"/>
        <w:rPr>
          <w:iCs/>
          <w:color w:val="000000" w:themeColor="text1"/>
          <w:sz w:val="16"/>
          <w:szCs w:val="16"/>
          <w:bdr w:val="none" w:sz="0" w:space="0" w:color="auto" w:frame="1"/>
        </w:rPr>
      </w:pPr>
      <w:r w:rsidRPr="00640820">
        <w:rPr>
          <w:iCs/>
          <w:color w:val="000000" w:themeColor="text1"/>
          <w:sz w:val="16"/>
          <w:szCs w:val="16"/>
          <w:bdr w:val="none" w:sz="0" w:space="0" w:color="auto" w:frame="1"/>
        </w:rPr>
        <w:t>«Сообщение об этом поступило к нам в штаб. Время терять нельзя. Отдается распоряжение: послать туда двенадцать Ил-2. Ведущий — майор Ложечников. Штурмовики, едва не касаясь верхушек деревьев, внезапно появились над стоянками вражеских самолетов и, сделав несколько заходов, бомбами и пушечным огнем вывели из строя до трех десятков машин.</w:t>
      </w:r>
    </w:p>
    <w:p w14:paraId="11B13EC7" w14:textId="77777777" w:rsidR="00A92C86" w:rsidRPr="00640820" w:rsidRDefault="00A92C86" w:rsidP="00640820">
      <w:pPr>
        <w:pStyle w:val="ae"/>
        <w:spacing w:before="0" w:after="0"/>
        <w:jc w:val="both"/>
        <w:textAlignment w:val="baseline"/>
        <w:rPr>
          <w:iCs/>
          <w:color w:val="000000" w:themeColor="text1"/>
          <w:sz w:val="16"/>
          <w:szCs w:val="16"/>
          <w:bdr w:val="none" w:sz="0" w:space="0" w:color="auto" w:frame="1"/>
        </w:rPr>
      </w:pPr>
      <w:r w:rsidRPr="00640820">
        <w:rPr>
          <w:iCs/>
          <w:color w:val="000000" w:themeColor="text1"/>
          <w:sz w:val="16"/>
          <w:szCs w:val="16"/>
          <w:bdr w:val="none" w:sz="0" w:space="0" w:color="auto" w:frame="1"/>
        </w:rPr>
        <w:t>В тот день майор Ложечников во главе группы три раза ходил на облюбованный им объект. А назавтра дятьковские партизаны сообщили: на аэродроме Сеща выведено из строя до 60 самолетов противника»[12].</w:t>
      </w:r>
    </w:p>
    <w:p w14:paraId="57C20819" w14:textId="77777777" w:rsidR="00A92C86" w:rsidRPr="00640820" w:rsidRDefault="00A92C86" w:rsidP="00640820">
      <w:pPr>
        <w:pStyle w:val="ae"/>
        <w:spacing w:before="0" w:after="0"/>
        <w:jc w:val="both"/>
        <w:textAlignment w:val="baseline"/>
        <w:rPr>
          <w:color w:val="000000" w:themeColor="text1"/>
          <w:sz w:val="16"/>
          <w:szCs w:val="16"/>
        </w:rPr>
      </w:pPr>
      <w:r w:rsidRPr="00640820">
        <w:rPr>
          <w:color w:val="000000" w:themeColor="text1"/>
          <w:sz w:val="16"/>
          <w:szCs w:val="16"/>
        </w:rPr>
        <w:t xml:space="preserve">И опять, как следует из слов Полынина, не имелось никаких объективных подтверждений результатов атак. Кстати, получается, что за три вылета штурмовики, ведомые Ложечниковым, вывели из строя две авиагруппы люфтваффе в полном составе. Такие большие потери за один день и только на одном аэродроме, безусловно, не могли бы не остаться не замеченными противником. Однако в немецких источниках нет никаких упоминаний об этом. Так же не ясно, какие двенадцать Ил-2 возглавлял Ложечников. Ведь к этому дню в 237-м шап оставались в пригодном для полетов состоянии не более пяти машин. Вероятно, группа для удара по аэродрому </w:t>
      </w:r>
      <w:r w:rsidRPr="00640820">
        <w:rPr>
          <w:color w:val="000000" w:themeColor="text1"/>
          <w:sz w:val="16"/>
          <w:szCs w:val="16"/>
        </w:rPr>
        <w:lastRenderedPageBreak/>
        <w:t>была собрана как минимум из двух полков (19522).</w:t>
      </w:r>
    </w:p>
    <w:p w14:paraId="1CE216D8" w14:textId="77777777" w:rsidR="00E7681F" w:rsidRPr="00640820" w:rsidRDefault="00E7681F" w:rsidP="00640820">
      <w:pPr>
        <w:pStyle w:val="ae"/>
        <w:spacing w:before="0" w:after="0"/>
        <w:jc w:val="both"/>
        <w:textAlignment w:val="baseline"/>
        <w:rPr>
          <w:color w:val="000000" w:themeColor="text1"/>
          <w:sz w:val="16"/>
          <w:szCs w:val="16"/>
        </w:rPr>
      </w:pPr>
    </w:p>
    <w:p w14:paraId="7D1AAEF3" w14:textId="77777777" w:rsidR="00C62511" w:rsidRPr="00640820" w:rsidRDefault="00C62511"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 сентября </w:t>
      </w:r>
      <w:r w:rsidRPr="00640820">
        <w:rPr>
          <w:rFonts w:ascii="Times New Roman" w:hAnsi="Times New Roman"/>
          <w:color w:val="000000" w:themeColor="text1"/>
          <w:sz w:val="16"/>
          <w:szCs w:val="16"/>
        </w:rPr>
        <w:t>в 1941 году финские войска заняли Койвисто (14757).</w:t>
      </w:r>
    </w:p>
    <w:p w14:paraId="03B691CC" w14:textId="77777777" w:rsidR="00C62511" w:rsidRPr="00640820" w:rsidRDefault="00C62511" w:rsidP="00640820">
      <w:pPr>
        <w:spacing w:after="0" w:line="240" w:lineRule="auto"/>
        <w:jc w:val="both"/>
        <w:rPr>
          <w:rFonts w:ascii="Times New Roman" w:hAnsi="Times New Roman"/>
          <w:color w:val="000000" w:themeColor="text1"/>
          <w:sz w:val="16"/>
          <w:szCs w:val="16"/>
        </w:rPr>
      </w:pPr>
    </w:p>
    <w:p w14:paraId="73ED0482" w14:textId="77777777" w:rsidR="00A92C86" w:rsidRPr="00640820" w:rsidRDefault="00A92C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сентября 1941 97-я легкопехотная дивизия сообщает о потерях и задержке в переправе частей дивизии через Днепр в районе Кременчуга из-за действий советской авиации. Особенно это касалось артиллерии. В ночь на 1 сентября одно орудие было выведено из строя. К 11 часам в результате налетов было убито 20 человек и выведено из строя до 30 лошадей. Из-за угрозы налетов задерживалось наведение моста. Целое воздушное сражение разгорелось примерно в это же время вокруг переправ через Днепр на Берислав-Каховский плацдарм. Вот краткая сводка результатов налетов наших летчиков, составленная на основе донесений начальника переправы майора Стефануса. 2 сентября в 07.14 (по берлинскому времени) три самолета с высоты всего лишь 200 метров сбросили на переправу четыре или пять авиабомб. Один понтон утонул, еще один был поврежден. Три человека убито и 13 ранено. Движение по мосту восстановлено через два часа. 3 сентября в 16.30 наши летчики добились прямого попадания в мост. Три понтона вышли из строя. Переправа возобновила работу только в 23.30. 7 сентября в 01.30 прямым попаданием бомбы выведены из строя шесть понтонов. Переправа не работала до восьми утра. В ночь на 9 сентября бомбы разрушили подъездные пути к переправе. Движение прервано на два часа. В ночь на десятое число мост поврежден и вышел из строя на два часа. К нашему великому сожалению, мы не нашли подробностей о причине, по которой движение на переправе 18 сентября было прервано на целых восемь с половиной часов. Не исключено, что это было связано с налетом на неё двух истребителей-бомбардировщиков И-16 из состава «Звена-СПБ». Чтобы представить, чего «стоил» час работы переправы, приведем такие цифры: по мосту в час могло проходить до 250 автомашин или 170 единиц гужевого и автомобильного транспорта вперемешку. Несли потери и части противника, ожидавшие переправы или находившиеся в районах сосредоточения. Особо удачным был налет во второй половине дня 5 сентября на отдыхавший в Каховке после переправы четвертый (тяжелый) артдивизион 170-го артиллерийского полка. При бомбежке он потерял шесть человек убитыми и 17 ранеными, кроме того, было убито и ранено 45 и 17 лошадей соответственно. 170-й пехотной дивизии как-то особенно не везло на переправе. Ночью 7 сентября прямым попаданием в санитарную колонну дивизии были выведены из строя несколько транспортных машин и нанесены потери в людях. Таким образом, действия советской авиации оказывали прямое и непосредственное влияние на тактическую и оперативную обстановку на самых разных участках советскогерманского фронта (19770).</w:t>
      </w:r>
    </w:p>
    <w:p w14:paraId="66D2F472" w14:textId="77777777" w:rsidR="00A92C86" w:rsidRPr="00640820" w:rsidRDefault="00A92C86" w:rsidP="00640820">
      <w:pPr>
        <w:spacing w:after="0" w:line="240" w:lineRule="auto"/>
        <w:jc w:val="both"/>
        <w:rPr>
          <w:rFonts w:ascii="Times New Roman" w:hAnsi="Times New Roman"/>
          <w:color w:val="000000" w:themeColor="text1"/>
          <w:sz w:val="16"/>
          <w:szCs w:val="16"/>
        </w:rPr>
      </w:pPr>
    </w:p>
    <w:p w14:paraId="45F8B8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Вечером 2 и 4 сентября 1941 были произведены два последних налета на Берлин. Эффект от них был незначителен, наши потери составили ДБ-3 лейтенанта К.А.Мельгунова, по всей вероятности сбитый над городом ночным истребителем. В составе авиагруппы оставалось всего 9 машин, по большей части неисправных, но приказа о прекращении налетов всё ещё не было. Всего за все налеты сбросили 36 тонн бомб (9809).</w:t>
      </w:r>
    </w:p>
    <w:p w14:paraId="71BC36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C89AA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Вечером 2 и 4 сентября 1941 были произведены два последних налета. 2-го летали экипажи Беляева и Юрина, причем только первому удалось дойти до цели. 4-го в воздух поднялось шесть машин. Плоткин, Беляев и Фокин бомбили столицу Рейха, Дроздов - Штольпемюнде. Гречишников вернулся из-за неполадок в матчасти, а машина лейтенанта Мильгунова пропала без вести - по всей вероятности, была сбита над городом ночным истребителем. В составе авиагруппы на 2 сентября оставалось 11/10 машин (кроме того, 5/2 ДБ-3 в Беззаботном, 17/12 в Богослово и 9/9 в Новинках), но приказа о прекращении налетов все еще не было. Вечером 6 сентября 28 самолетов противника (</w:t>
      </w:r>
      <w:r w:rsidRPr="00640820">
        <w:rPr>
          <w:rFonts w:ascii="Times New Roman" w:hAnsi="Times New Roman"/>
          <w:color w:val="000000" w:themeColor="text1"/>
          <w:sz w:val="16"/>
          <w:szCs w:val="16"/>
          <w:lang w:val="en-US"/>
        </w:rPr>
        <w:t>Bf</w:t>
      </w:r>
      <w:r w:rsidRPr="00640820">
        <w:rPr>
          <w:rFonts w:ascii="Times New Roman" w:hAnsi="Times New Roman"/>
          <w:color w:val="000000" w:themeColor="text1"/>
          <w:sz w:val="16"/>
          <w:szCs w:val="16"/>
        </w:rPr>
        <w:t xml:space="preserve">-110 из состава </w:t>
      </w:r>
      <w:r w:rsidRPr="00640820">
        <w:rPr>
          <w:rFonts w:ascii="Times New Roman" w:hAnsi="Times New Roman"/>
          <w:color w:val="000000" w:themeColor="text1"/>
          <w:sz w:val="16"/>
          <w:szCs w:val="16"/>
          <w:lang w:val="en-US"/>
        </w:rPr>
        <w:t>III</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ZG</w:t>
      </w:r>
      <w:r w:rsidRPr="00640820">
        <w:rPr>
          <w:rFonts w:ascii="Times New Roman" w:hAnsi="Times New Roman"/>
          <w:color w:val="000000" w:themeColor="text1"/>
          <w:sz w:val="16"/>
          <w:szCs w:val="16"/>
        </w:rPr>
        <w:t xml:space="preserve"> 26 с истребительным прикрытием) произвели штурмовку аэродрома Кагул, в результате которой на земле было сожжено 6 "ильюшиных" и еще один тяжело поврежден. Естественно, что после этого вопрос о продолжении налетов отпал сам собой. На следующий день остатки авиагруппы Преображенского перелетели к месту постоянного базирования. При этом на Саареме был оставлен многочисленный технический персонал Особой авиагруппы, который полностью погиб либо попал в плен в ходе боев за остров. Этот неблаговидный поступок многие не могли простить Е.Н. Преображенскому до конца жизни. Конечно же, трудно говорить о большом военном эффекте бомбардировок, в ходе которых было сброшено всего 36 тонн бомб (впоследствии самолеты английских и американских ВВС сбросили на столицу нацистской Германии число бомб, большее на два порядка), но с пропагандистской точки зрения это мероприятие имело несомненный эффект, вполне оправдавший совершенные затраты (12002).</w:t>
      </w:r>
    </w:p>
    <w:p w14:paraId="285007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Основные показатели деятельности Особой авиагруппы при бомбардировках Берлина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19"/>
        <w:gridCol w:w="1019"/>
        <w:gridCol w:w="1019"/>
        <w:gridCol w:w="1019"/>
        <w:gridCol w:w="1019"/>
        <w:gridCol w:w="1019"/>
        <w:gridCol w:w="1019"/>
        <w:gridCol w:w="1019"/>
        <w:gridCol w:w="1019"/>
        <w:gridCol w:w="1019"/>
        <w:gridCol w:w="1019"/>
      </w:tblGrid>
      <w:tr w:rsidR="006B0687" w:rsidRPr="00640820" w14:paraId="6EB32987" w14:textId="77777777" w:rsidTr="000D3BCB">
        <w:tc>
          <w:tcPr>
            <w:tcW w:w="1019" w:type="dxa"/>
            <w:tcBorders>
              <w:top w:val="single" w:sz="12" w:space="0" w:color="auto"/>
            </w:tcBorders>
          </w:tcPr>
          <w:p w14:paraId="214477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Borders>
              <w:top w:val="single" w:sz="12" w:space="0" w:color="auto"/>
            </w:tcBorders>
          </w:tcPr>
          <w:p w14:paraId="5A9D04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7/8.8</w:t>
            </w:r>
          </w:p>
        </w:tc>
        <w:tc>
          <w:tcPr>
            <w:tcW w:w="1019" w:type="dxa"/>
            <w:tcBorders>
              <w:top w:val="single" w:sz="12" w:space="0" w:color="auto"/>
            </w:tcBorders>
          </w:tcPr>
          <w:p w14:paraId="54B0D5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8/9.8</w:t>
            </w:r>
          </w:p>
        </w:tc>
        <w:tc>
          <w:tcPr>
            <w:tcW w:w="1019" w:type="dxa"/>
            <w:tcBorders>
              <w:top w:val="single" w:sz="12" w:space="0" w:color="auto"/>
            </w:tcBorders>
          </w:tcPr>
          <w:p w14:paraId="1F067E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11/12.8</w:t>
            </w:r>
          </w:p>
        </w:tc>
        <w:tc>
          <w:tcPr>
            <w:tcW w:w="1019" w:type="dxa"/>
            <w:tcBorders>
              <w:top w:val="single" w:sz="12" w:space="0" w:color="auto"/>
            </w:tcBorders>
          </w:tcPr>
          <w:p w14:paraId="57271F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15/16.8</w:t>
            </w:r>
          </w:p>
        </w:tc>
        <w:tc>
          <w:tcPr>
            <w:tcW w:w="1019" w:type="dxa"/>
            <w:tcBorders>
              <w:top w:val="single" w:sz="12" w:space="0" w:color="auto"/>
            </w:tcBorders>
          </w:tcPr>
          <w:p w14:paraId="12F98D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18/19.8</w:t>
            </w:r>
          </w:p>
        </w:tc>
        <w:tc>
          <w:tcPr>
            <w:tcW w:w="1019" w:type="dxa"/>
            <w:tcBorders>
              <w:top w:val="single" w:sz="12" w:space="0" w:color="auto"/>
            </w:tcBorders>
          </w:tcPr>
          <w:p w14:paraId="0AB51F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20/21.8</w:t>
            </w:r>
          </w:p>
        </w:tc>
        <w:tc>
          <w:tcPr>
            <w:tcW w:w="1019" w:type="dxa"/>
            <w:tcBorders>
              <w:top w:val="single" w:sz="12" w:space="0" w:color="auto"/>
            </w:tcBorders>
          </w:tcPr>
          <w:p w14:paraId="61840C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31.8/1.9</w:t>
            </w:r>
          </w:p>
        </w:tc>
        <w:tc>
          <w:tcPr>
            <w:tcW w:w="1019" w:type="dxa"/>
            <w:tcBorders>
              <w:top w:val="single" w:sz="12" w:space="0" w:color="auto"/>
            </w:tcBorders>
          </w:tcPr>
          <w:p w14:paraId="21E5BA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2/3.9</w:t>
            </w:r>
          </w:p>
        </w:tc>
        <w:tc>
          <w:tcPr>
            <w:tcW w:w="1019" w:type="dxa"/>
            <w:tcBorders>
              <w:top w:val="single" w:sz="12" w:space="0" w:color="auto"/>
            </w:tcBorders>
          </w:tcPr>
          <w:p w14:paraId="052559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4/5.9</w:t>
            </w:r>
          </w:p>
        </w:tc>
        <w:tc>
          <w:tcPr>
            <w:tcW w:w="1019" w:type="dxa"/>
            <w:tcBorders>
              <w:top w:val="single" w:sz="12" w:space="0" w:color="auto"/>
            </w:tcBorders>
          </w:tcPr>
          <w:p w14:paraId="04F2B9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Итого</w:t>
            </w:r>
          </w:p>
        </w:tc>
      </w:tr>
      <w:tr w:rsidR="006B0687" w:rsidRPr="00640820" w14:paraId="0C4F0868" w14:textId="77777777" w:rsidTr="000D3BCB">
        <w:tc>
          <w:tcPr>
            <w:tcW w:w="1019" w:type="dxa"/>
          </w:tcPr>
          <w:p w14:paraId="6A4D04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Вылетало самолетов</w:t>
            </w:r>
          </w:p>
        </w:tc>
        <w:tc>
          <w:tcPr>
            <w:tcW w:w="1019" w:type="dxa"/>
          </w:tcPr>
          <w:p w14:paraId="27A4F3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w:t>
            </w:r>
          </w:p>
        </w:tc>
        <w:tc>
          <w:tcPr>
            <w:tcW w:w="1019" w:type="dxa"/>
          </w:tcPr>
          <w:p w14:paraId="7E0D44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w:t>
            </w:r>
          </w:p>
        </w:tc>
        <w:tc>
          <w:tcPr>
            <w:tcW w:w="1019" w:type="dxa"/>
          </w:tcPr>
          <w:p w14:paraId="5E0398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w:t>
            </w:r>
          </w:p>
        </w:tc>
        <w:tc>
          <w:tcPr>
            <w:tcW w:w="1019" w:type="dxa"/>
          </w:tcPr>
          <w:p w14:paraId="4B097F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w:t>
            </w:r>
          </w:p>
        </w:tc>
        <w:tc>
          <w:tcPr>
            <w:tcW w:w="1019" w:type="dxa"/>
          </w:tcPr>
          <w:p w14:paraId="4679F1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w:t>
            </w:r>
          </w:p>
        </w:tc>
        <w:tc>
          <w:tcPr>
            <w:tcW w:w="1019" w:type="dxa"/>
          </w:tcPr>
          <w:p w14:paraId="4F2A4E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w:t>
            </w:r>
          </w:p>
        </w:tc>
        <w:tc>
          <w:tcPr>
            <w:tcW w:w="1019" w:type="dxa"/>
          </w:tcPr>
          <w:p w14:paraId="250D45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w:t>
            </w:r>
          </w:p>
        </w:tc>
        <w:tc>
          <w:tcPr>
            <w:tcW w:w="1019" w:type="dxa"/>
          </w:tcPr>
          <w:p w14:paraId="09346D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w:t>
            </w:r>
          </w:p>
        </w:tc>
        <w:tc>
          <w:tcPr>
            <w:tcW w:w="1019" w:type="dxa"/>
          </w:tcPr>
          <w:p w14:paraId="3B4F38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w:t>
            </w:r>
          </w:p>
        </w:tc>
        <w:tc>
          <w:tcPr>
            <w:tcW w:w="1019" w:type="dxa"/>
          </w:tcPr>
          <w:p w14:paraId="6926B0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84*</w:t>
            </w:r>
          </w:p>
        </w:tc>
      </w:tr>
      <w:tr w:rsidR="006B0687" w:rsidRPr="00640820" w14:paraId="3004B2B6" w14:textId="77777777" w:rsidTr="000D3BCB">
        <w:tc>
          <w:tcPr>
            <w:tcW w:w="1019" w:type="dxa"/>
          </w:tcPr>
          <w:p w14:paraId="4F023D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Дошло до Берлина</w:t>
            </w:r>
          </w:p>
        </w:tc>
        <w:tc>
          <w:tcPr>
            <w:tcW w:w="1019" w:type="dxa"/>
          </w:tcPr>
          <w:p w14:paraId="2405AD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w:t>
            </w:r>
          </w:p>
        </w:tc>
        <w:tc>
          <w:tcPr>
            <w:tcW w:w="1019" w:type="dxa"/>
          </w:tcPr>
          <w:p w14:paraId="08D19D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w:t>
            </w:r>
          </w:p>
        </w:tc>
        <w:tc>
          <w:tcPr>
            <w:tcW w:w="1019" w:type="dxa"/>
          </w:tcPr>
          <w:p w14:paraId="6C95C3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w:t>
            </w:r>
          </w:p>
        </w:tc>
        <w:tc>
          <w:tcPr>
            <w:tcW w:w="1019" w:type="dxa"/>
          </w:tcPr>
          <w:p w14:paraId="487BBA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w:t>
            </w:r>
          </w:p>
        </w:tc>
        <w:tc>
          <w:tcPr>
            <w:tcW w:w="1019" w:type="dxa"/>
          </w:tcPr>
          <w:p w14:paraId="4DBB69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w:t>
            </w:r>
          </w:p>
        </w:tc>
        <w:tc>
          <w:tcPr>
            <w:tcW w:w="1019" w:type="dxa"/>
          </w:tcPr>
          <w:p w14:paraId="29D0F1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w:t>
            </w:r>
          </w:p>
        </w:tc>
        <w:tc>
          <w:tcPr>
            <w:tcW w:w="1019" w:type="dxa"/>
          </w:tcPr>
          <w:p w14:paraId="4FC220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w:t>
            </w:r>
          </w:p>
        </w:tc>
        <w:tc>
          <w:tcPr>
            <w:tcW w:w="1019" w:type="dxa"/>
          </w:tcPr>
          <w:p w14:paraId="6576C1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1019" w:type="dxa"/>
          </w:tcPr>
          <w:p w14:paraId="17ED00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w:t>
            </w:r>
          </w:p>
        </w:tc>
        <w:tc>
          <w:tcPr>
            <w:tcW w:w="1019" w:type="dxa"/>
          </w:tcPr>
          <w:p w14:paraId="7A2D1E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50**</w:t>
            </w:r>
          </w:p>
        </w:tc>
      </w:tr>
      <w:tr w:rsidR="006B0687" w:rsidRPr="00640820" w14:paraId="54F24325" w14:textId="77777777" w:rsidTr="000D3BCB">
        <w:tc>
          <w:tcPr>
            <w:tcW w:w="1019" w:type="dxa"/>
            <w:tcBorders>
              <w:bottom w:val="single" w:sz="12" w:space="0" w:color="auto"/>
            </w:tcBorders>
          </w:tcPr>
          <w:p w14:paraId="3F48C8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Потери</w:t>
            </w:r>
          </w:p>
        </w:tc>
        <w:tc>
          <w:tcPr>
            <w:tcW w:w="1019" w:type="dxa"/>
            <w:tcBorders>
              <w:bottom w:val="single" w:sz="12" w:space="0" w:color="auto"/>
            </w:tcBorders>
          </w:tcPr>
          <w:p w14:paraId="663390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1019" w:type="dxa"/>
            <w:tcBorders>
              <w:bottom w:val="single" w:sz="12" w:space="0" w:color="auto"/>
            </w:tcBorders>
          </w:tcPr>
          <w:p w14:paraId="634611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019" w:type="dxa"/>
            <w:tcBorders>
              <w:bottom w:val="single" w:sz="12" w:space="0" w:color="auto"/>
            </w:tcBorders>
          </w:tcPr>
          <w:p w14:paraId="122810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019" w:type="dxa"/>
            <w:tcBorders>
              <w:bottom w:val="single" w:sz="12" w:space="0" w:color="auto"/>
            </w:tcBorders>
          </w:tcPr>
          <w:p w14:paraId="260E91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w:t>
            </w:r>
          </w:p>
        </w:tc>
        <w:tc>
          <w:tcPr>
            <w:tcW w:w="1019" w:type="dxa"/>
            <w:tcBorders>
              <w:bottom w:val="single" w:sz="12" w:space="0" w:color="auto"/>
            </w:tcBorders>
          </w:tcPr>
          <w:p w14:paraId="17FE93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1019" w:type="dxa"/>
            <w:tcBorders>
              <w:bottom w:val="single" w:sz="12" w:space="0" w:color="auto"/>
            </w:tcBorders>
          </w:tcPr>
          <w:p w14:paraId="1C5CCD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w:t>
            </w:r>
          </w:p>
        </w:tc>
        <w:tc>
          <w:tcPr>
            <w:tcW w:w="1019" w:type="dxa"/>
            <w:tcBorders>
              <w:bottom w:val="single" w:sz="12" w:space="0" w:color="auto"/>
            </w:tcBorders>
          </w:tcPr>
          <w:p w14:paraId="2F4323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1019" w:type="dxa"/>
            <w:tcBorders>
              <w:bottom w:val="single" w:sz="12" w:space="0" w:color="auto"/>
            </w:tcBorders>
          </w:tcPr>
          <w:p w14:paraId="3DAFF4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019" w:type="dxa"/>
            <w:tcBorders>
              <w:bottom w:val="single" w:sz="12" w:space="0" w:color="auto"/>
            </w:tcBorders>
          </w:tcPr>
          <w:p w14:paraId="223E3D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1019" w:type="dxa"/>
            <w:tcBorders>
              <w:bottom w:val="single" w:sz="12" w:space="0" w:color="auto"/>
            </w:tcBorders>
          </w:tcPr>
          <w:p w14:paraId="48D957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20***</w:t>
            </w:r>
          </w:p>
        </w:tc>
      </w:tr>
    </w:tbl>
    <w:p w14:paraId="6D06CE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Составлена на основании ОЦВМА, ф. 2, д. 4, 5, 6; ф. 122, д. 27914. 28617, включая данные по ДВА.</w:t>
      </w:r>
    </w:p>
    <w:p w14:paraId="392F48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Примечания. В том числе 57 авиации ВМФ. " В том числе 31 авиации ВМФ. *"' Общие потери флотской составляющей Особой авиагруппы составили 17 ДБ-3 и 8 экипажей 3 самолета считались сбитыми непосредственно в районе цели, 1 - при разведке, 1 - при перебазировании в Беззаботное, 6 - потеряны при авариях и катастрофах и столько же при штурмовке аэродрома Кагул. Авиагруппа ДБА потеряла три машины: одна пропала без вести и две в авариях и катастрофах (12002).</w:t>
      </w:r>
    </w:p>
    <w:p w14:paraId="65F476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E815A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2 сентября по 22 ноября 1941 была оборона Моонзундских о-вов. </w:t>
      </w:r>
    </w:p>
    <w:p w14:paraId="736F17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После оставления Таллина (28 августа) гарнизон архипелага остался в глубоком тылу. В создавшихся условиях даже временное удержание островов архипелага имело большое значение, так как это отвлекало часть сил противника, наступавших на Ленинград, препятствовало действиям его ВМС в Рижском и Финском заливах. Руководил обороной островов комендант Береговой обороны Балтийского района генерал-лейтенант А. Б. Елисеев. К началу наступления противника было сооружено свыше 260 дотов и дзотов, установлено 23,5 тыс. мин и фугасов, протянуто свыше 140 км проволочных заграждений, а на подходах к островам выставлено 180 мин. Артиллерия насчитывала 213 орудий (16 — калибром 180 мм). На острова базировались 6 торпедных катеров, 17 тральщиков и другие плавсредства. На аэродроме о. Сарема (Сааремаа) находилось 12 истребителей. Гарнизон островов насчитывал свыше 24 тыс. человек (3-я отдельная бригада 8-й армии Северо-Западного фронта и части береговой обороны КБФ). </w:t>
      </w:r>
    </w:p>
    <w:p w14:paraId="07DD89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Немецко-фашистское командование выделило для захвата архипелага 61-ю и 217-ю пехотные дивизии с частями усиления, артиллерию и авиацию. Общая численность группировки составила более 50 тыс. человек. Для переброски войск было собрано до 350 единиц десантно-высадочных средств. Действия сухопутных войск поддерживали с моря 3 крейсера и 6 миноносцев. </w:t>
      </w:r>
    </w:p>
    <w:p w14:paraId="58E99F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6 сентября огнем береговых батарей о. Осмуссар (Осмуссаар) была отражена попытка противника высадить десант. Однако 8 сентября ему удалось высадить десант на о. Вормси и после упорных боев к 11 сентября овладеть им. Гарнизон отошел на о. Хиума. 14 сентября началась высадка неприятеля на о. Муху. Обороняющиеся удерживали его четыре дня. Одновременно огнем береговой артиллерии и торпедных катеров была сорвана высадка двух морских и одного воздушного вражеских десантов на о. Сарема. 17 сентября после тяжелых боев гарнизон оставил о. Муху, но продолжал упорно обороняться на о. Сарема. К 23 сентября наши войска отошли на п-ов Сырве и, несмотря на шквальный огонь орудий вражеских кораблей и удары авиации, удерживали оборонительный рубеж на перешейке до 30 сентября. Обороняющихся поддерживали огнем береговые батареи, торпедные катера атаковали корабли противника, обстреливавшие позиции наших войск. 30 сентября бойцы, оборонявшие полуостров, отошли в среднюю его часть, где оборонялись до 3 октября. В ночь на 4 октября часть гарнизона острова удалось на торпедных катерах перевезти на о. Хиума. </w:t>
      </w:r>
    </w:p>
    <w:p w14:paraId="159E78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октября противник при поддержке береговой артиллерии, артиллерии кораблей и авиации одновременно в нескольких пунктах начал высадку на о. Хиума. Несмотря на численное превосходство врага и недостаток боеприпасов, гарнизон о. Хиума шесть дней вел упорные бои, нанеся фашистам большой урон. 18 октября Военный совет КБФ отдал приказ об эвакуации гарнизона на п-ов Ханко и о. Осмуссар, которая закончилась 22 октября.</w:t>
      </w:r>
    </w:p>
    <w:p w14:paraId="7B732E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ноября гарнизон о. Осмуссар отразил огнем береговой батареи попытку противника высадить десант. Оборона острова продолжалась до 22 ноября. К 1 декабря личный состав был перевезен на п-ов Ханко и вместе с его гарнизоном эвакуирован в Кронштадт и Ленинград (11712).</w:t>
      </w:r>
    </w:p>
    <w:p w14:paraId="0CD669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89097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сентября 1941 в оперативной сводке штаба БФ писали: "Если 29 и 30 августа наблюдались действия десятками вражеских самолетов, то сейчас появляются единицы..." (518,253).</w:t>
      </w:r>
    </w:p>
    <w:p w14:paraId="7E1FBE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2EC4D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сентября 1941 вновь были предприняты попытки корректировки артогня на А-7-3А. Сначала помешала низкая облачность, а во второй не смогли связаться с артполком (257,17).</w:t>
      </w:r>
    </w:p>
    <w:p w14:paraId="5E5EA6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70CBC6E" w14:textId="77777777" w:rsidR="00C62511" w:rsidRPr="00640820" w:rsidRDefault="00C6251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Утром 2 сентября 1941 один автожир А-7 вылетел в сопровожде</w:t>
      </w:r>
      <w:r w:rsidRPr="00640820">
        <w:rPr>
          <w:rFonts w:ascii="Times New Roman" w:hAnsi="Times New Roman"/>
          <w:color w:val="0070C0"/>
          <w:sz w:val="16"/>
          <w:szCs w:val="16"/>
        </w:rPr>
        <w:softHyphen/>
        <w:t>нии 4 истребителей для корректировки артогня 573-го полка, однако скоро всей группе пришлось вернуться по причине очень низкой облачности. На следующий день на корректировку вновь вылетел один автожир, он проскочил до реки Днепр, так и не связавшись с артполком. 4 сен</w:t>
      </w:r>
      <w:r w:rsidRPr="00640820">
        <w:rPr>
          <w:rFonts w:ascii="Times New Roman" w:hAnsi="Times New Roman"/>
          <w:color w:val="0070C0"/>
          <w:sz w:val="16"/>
          <w:szCs w:val="16"/>
        </w:rPr>
        <w:softHyphen/>
        <w:t>тября летчики съездили на автомашине к артиллеристам, где выяснили, что установленная на автожире радиостан</w:t>
      </w:r>
      <w:r w:rsidRPr="00640820">
        <w:rPr>
          <w:rFonts w:ascii="Times New Roman" w:hAnsi="Times New Roman"/>
          <w:color w:val="0070C0"/>
          <w:sz w:val="16"/>
          <w:szCs w:val="16"/>
        </w:rPr>
        <w:softHyphen/>
        <w:t xml:space="preserve">ция не обеспечивает связи с </w:t>
      </w:r>
      <w:r w:rsidRPr="00640820">
        <w:rPr>
          <w:rFonts w:ascii="Times New Roman" w:hAnsi="Times New Roman"/>
          <w:color w:val="0070C0"/>
          <w:sz w:val="16"/>
          <w:szCs w:val="16"/>
        </w:rPr>
        <w:lastRenderedPageBreak/>
        <w:t>позициями артполка. При</w:t>
      </w:r>
      <w:r w:rsidRPr="00640820">
        <w:rPr>
          <w:rFonts w:ascii="Times New Roman" w:hAnsi="Times New Roman"/>
          <w:color w:val="0070C0"/>
          <w:sz w:val="16"/>
          <w:szCs w:val="16"/>
        </w:rPr>
        <w:softHyphen/>
        <w:t>шлось снять радиостанцию с неисправного А-7 и передать артиллеристам. В ту же ночь все три автожира вылетали на разбрасывание листовок.</w:t>
      </w:r>
    </w:p>
    <w:p w14:paraId="6EA5A4CB" w14:textId="77777777" w:rsidR="00C62511" w:rsidRPr="00640820" w:rsidRDefault="00C6251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ночь на 6 сентября на одном из аппаратов при выру</w:t>
      </w:r>
      <w:r w:rsidRPr="00640820">
        <w:rPr>
          <w:rFonts w:ascii="Times New Roman" w:hAnsi="Times New Roman"/>
          <w:color w:val="0070C0"/>
          <w:sz w:val="16"/>
          <w:szCs w:val="16"/>
        </w:rPr>
        <w:softHyphen/>
        <w:t>ливании сломался воздушный винт, поэтому вылетал толь</w:t>
      </w:r>
      <w:r w:rsidRPr="00640820">
        <w:rPr>
          <w:rFonts w:ascii="Times New Roman" w:hAnsi="Times New Roman"/>
          <w:color w:val="0070C0"/>
          <w:sz w:val="16"/>
          <w:szCs w:val="16"/>
        </w:rPr>
        <w:softHyphen/>
        <w:t>ко один А-7. Немецкие войска в эту ночь оставили Ельню. Кстати, противник отметил появление автожиров на фрон</w:t>
      </w:r>
      <w:r w:rsidRPr="00640820">
        <w:rPr>
          <w:rFonts w:ascii="Times New Roman" w:hAnsi="Times New Roman"/>
          <w:color w:val="0070C0"/>
          <w:sz w:val="16"/>
          <w:szCs w:val="16"/>
        </w:rPr>
        <w:softHyphen/>
        <w:t>те — захваченный в плен немецкий офицер рассказал об остроте, услышанной им на передовой: «Ну, пропали, большевики против нас комбайны выпустили». Необычный внешний вид машины вызвал интерес и в своих окопах. Миль, побывавший на командном пункте артполка, узнал, что солдаты автожир называют «пауком».</w:t>
      </w:r>
    </w:p>
    <w:p w14:paraId="63B001F8" w14:textId="77777777" w:rsidR="00C62511" w:rsidRPr="00640820" w:rsidRDefault="00C6251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После ремонта в ночь на 7 сентября вылетели все три автожира, домой не вернулись летчик Николаев и летнаб Николаенко, один аппарат находился в воздухе 2,5 часа. На следующий день на аэродром вернулся летчик Никола</w:t>
      </w:r>
      <w:r w:rsidRPr="00640820">
        <w:rPr>
          <w:rFonts w:ascii="Times New Roman" w:hAnsi="Times New Roman"/>
          <w:color w:val="0070C0"/>
          <w:sz w:val="16"/>
          <w:szCs w:val="16"/>
        </w:rPr>
        <w:softHyphen/>
        <w:t>ев, который сообщил, что совершил вынужденную посад</w:t>
      </w:r>
      <w:r w:rsidRPr="00640820">
        <w:rPr>
          <w:rFonts w:ascii="Times New Roman" w:hAnsi="Times New Roman"/>
          <w:color w:val="0070C0"/>
          <w:sz w:val="16"/>
          <w:szCs w:val="16"/>
        </w:rPr>
        <w:softHyphen/>
        <w:t>ку в 80 км, в районе г. Юхнов.</w:t>
      </w:r>
    </w:p>
    <w:p w14:paraId="72487B9B" w14:textId="77777777" w:rsidR="00C62511" w:rsidRPr="00640820" w:rsidRDefault="00C6251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течение следующих десяти дней вылетов по причине отсутствия истребительного прикрытия не было. Одно</w:t>
      </w:r>
      <w:r w:rsidRPr="00640820">
        <w:rPr>
          <w:rFonts w:ascii="Times New Roman" w:hAnsi="Times New Roman"/>
          <w:color w:val="0070C0"/>
          <w:sz w:val="16"/>
          <w:szCs w:val="16"/>
        </w:rPr>
        <w:softHyphen/>
        <w:t>временно, в этот период один автожир при выруливании попал в яму и повредил несущий ротор. Под руководством Миля замену лопастей произвели в полевых условиях, но последствия поломки оказались серьезнее — в одном из проверочных полетов стал слышен треск в редукторе, а по</w:t>
      </w:r>
      <w:r w:rsidRPr="00640820">
        <w:rPr>
          <w:rFonts w:ascii="Times New Roman" w:hAnsi="Times New Roman"/>
          <w:color w:val="0070C0"/>
          <w:sz w:val="16"/>
          <w:szCs w:val="16"/>
        </w:rPr>
        <w:softHyphen/>
        <w:t>сле полета в его корпусе обнаружилась трещина. На этой машине решили не летать (20361).</w:t>
      </w:r>
    </w:p>
    <w:p w14:paraId="61BAD474" w14:textId="77777777" w:rsidR="00C62511" w:rsidRPr="00640820" w:rsidRDefault="00C62511" w:rsidP="00640820">
      <w:pPr>
        <w:shd w:val="clear" w:color="auto" w:fill="FFFFFF"/>
        <w:spacing w:after="0" w:line="240" w:lineRule="auto"/>
        <w:jc w:val="both"/>
        <w:rPr>
          <w:rFonts w:ascii="Times New Roman" w:hAnsi="Times New Roman"/>
          <w:color w:val="0070C0"/>
          <w:sz w:val="16"/>
          <w:szCs w:val="16"/>
        </w:rPr>
      </w:pPr>
    </w:p>
    <w:p w14:paraId="703929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сентября 1941 НКВМФ Н.Г.Кузнецов выпустил директиву N 0844 о предоставлении кратковременного отпуска летно-техническому составу ВВС (2120).</w:t>
      </w:r>
    </w:p>
    <w:p w14:paraId="5BEE7B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715B4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сентября 1941 вышло Постановление ГКО № 611 О т. Сычеве В.А. РГАНИР, Фонд ГКО, д. 8, лл. 84 (11012).</w:t>
      </w:r>
    </w:p>
    <w:p w14:paraId="46B983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5FDC8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сентября 1941 вышло Постановление ГКО № 612 О т. Федюнинском И.И. РГАНИР, Фонд ГКО, д. 8, лл. 85 (11012).</w:t>
      </w:r>
    </w:p>
    <w:p w14:paraId="040E81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B918B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сентября 1941 вышло Постановление ГКО № 613 О формировании к 1 октября. 67 запасных лыжных полков. РГАНИР, Фонд ГКО, д. 8, лл. 86 (11012).</w:t>
      </w:r>
    </w:p>
    <w:p w14:paraId="59A991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952A5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сентября 1941 вышло Постановление ГКО № 614 Об организации управления лыжной, горной и физической подготовки Красной Армии. РГАНИР, Фонд ГКО, д. 8, лл. 87 (11012).</w:t>
      </w:r>
    </w:p>
    <w:p w14:paraId="5292AD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0098B4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сентября 1941 вышло Постановление ГКО № 621 О финансировании и снабжении частей Красной Армии на территории Ирана. (7009, 113-114).</w:t>
      </w:r>
    </w:p>
    <w:p w14:paraId="69321CE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8AD3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сентября 1941 Верховный Главноко</w:t>
      </w:r>
      <w:r w:rsidRPr="00640820">
        <w:rPr>
          <w:rFonts w:ascii="Times New Roman" w:hAnsi="Times New Roman"/>
          <w:color w:val="000000" w:themeColor="text1"/>
          <w:sz w:val="16"/>
          <w:szCs w:val="16"/>
        </w:rPr>
        <w:softHyphen/>
        <w:t>мандующий И.В.Сталин через Генераль</w:t>
      </w:r>
      <w:r w:rsidRPr="00640820">
        <w:rPr>
          <w:rFonts w:ascii="Times New Roman" w:hAnsi="Times New Roman"/>
          <w:color w:val="000000" w:themeColor="text1"/>
          <w:sz w:val="16"/>
          <w:szCs w:val="16"/>
        </w:rPr>
        <w:softHyphen/>
        <w:t>ный Штаб передал коман</w:t>
      </w:r>
      <w:r w:rsidRPr="00640820">
        <w:rPr>
          <w:rFonts w:ascii="Times New Roman" w:hAnsi="Times New Roman"/>
          <w:color w:val="000000" w:themeColor="text1"/>
          <w:sz w:val="16"/>
          <w:szCs w:val="16"/>
        </w:rPr>
        <w:softHyphen/>
        <w:t xml:space="preserve">дующему Брянским фронтом генералу А.И.Еременко гневное указание: </w:t>
      </w:r>
      <w:r w:rsidRPr="00640820">
        <w:rPr>
          <w:rFonts w:ascii="Times New Roman" w:hAnsi="Times New Roman"/>
          <w:iCs/>
          <w:color w:val="000000" w:themeColor="text1"/>
          <w:sz w:val="16"/>
          <w:szCs w:val="16"/>
        </w:rPr>
        <w:t>"Став</w:t>
      </w:r>
      <w:r w:rsidRPr="00640820">
        <w:rPr>
          <w:rFonts w:ascii="Times New Roman" w:hAnsi="Times New Roman"/>
          <w:iCs/>
          <w:color w:val="000000" w:themeColor="text1"/>
          <w:sz w:val="16"/>
          <w:szCs w:val="16"/>
        </w:rPr>
        <w:softHyphen/>
        <w:t>ка все же недовольна вашей работой. Несмотря на работу авиации и назем</w:t>
      </w:r>
      <w:r w:rsidRPr="00640820">
        <w:rPr>
          <w:rFonts w:ascii="Times New Roman" w:hAnsi="Times New Roman"/>
          <w:iCs/>
          <w:color w:val="000000" w:themeColor="text1"/>
          <w:sz w:val="16"/>
          <w:szCs w:val="16"/>
        </w:rPr>
        <w:softHyphen/>
        <w:t>ных частей, Почеп и Стародуб остаются в руках противника. Это значит, что про</w:t>
      </w:r>
      <w:r w:rsidRPr="00640820">
        <w:rPr>
          <w:rFonts w:ascii="Times New Roman" w:hAnsi="Times New Roman"/>
          <w:iCs/>
          <w:color w:val="000000" w:themeColor="text1"/>
          <w:sz w:val="16"/>
          <w:szCs w:val="16"/>
        </w:rPr>
        <w:softHyphen/>
        <w:t>тивника чуть-чуть пощипали, но с места сдвинуть его не сумели. Ставка требует, чтобы наземные войска вышибли про</w:t>
      </w:r>
      <w:r w:rsidRPr="00640820">
        <w:rPr>
          <w:rFonts w:ascii="Times New Roman" w:hAnsi="Times New Roman"/>
          <w:iCs/>
          <w:color w:val="000000" w:themeColor="text1"/>
          <w:sz w:val="16"/>
          <w:szCs w:val="16"/>
        </w:rPr>
        <w:softHyphen/>
        <w:t>тивника из района Стародуб, Почеп и разгромили его по-настоящему. Пока это не сделано, все разговоры о выпол</w:t>
      </w:r>
      <w:r w:rsidRPr="00640820">
        <w:rPr>
          <w:rFonts w:ascii="Times New Roman" w:hAnsi="Times New Roman"/>
          <w:iCs/>
          <w:color w:val="000000" w:themeColor="text1"/>
          <w:sz w:val="16"/>
          <w:szCs w:val="16"/>
        </w:rPr>
        <w:softHyphen/>
        <w:t>нении задания остаются пустыми сло</w:t>
      </w:r>
      <w:r w:rsidRPr="00640820">
        <w:rPr>
          <w:rFonts w:ascii="Times New Roman" w:hAnsi="Times New Roman"/>
          <w:iCs/>
          <w:color w:val="000000" w:themeColor="text1"/>
          <w:sz w:val="16"/>
          <w:szCs w:val="16"/>
        </w:rPr>
        <w:softHyphen/>
        <w:t>вами. Ставка приказывает: Петрову ос</w:t>
      </w:r>
      <w:r w:rsidRPr="00640820">
        <w:rPr>
          <w:rFonts w:ascii="Times New Roman" w:hAnsi="Times New Roman"/>
          <w:iCs/>
          <w:color w:val="000000" w:themeColor="text1"/>
          <w:sz w:val="16"/>
          <w:szCs w:val="16"/>
        </w:rPr>
        <w:softHyphen/>
        <w:t>таваться на месте и всеми соединенны</w:t>
      </w:r>
      <w:r w:rsidRPr="00640820">
        <w:rPr>
          <w:rFonts w:ascii="Times New Roman" w:hAnsi="Times New Roman"/>
          <w:iCs/>
          <w:color w:val="000000" w:themeColor="text1"/>
          <w:sz w:val="16"/>
          <w:szCs w:val="16"/>
        </w:rPr>
        <w:softHyphen/>
        <w:t>ми силами авиации способствовать ре</w:t>
      </w:r>
      <w:r w:rsidRPr="00640820">
        <w:rPr>
          <w:rFonts w:ascii="Times New Roman" w:hAnsi="Times New Roman"/>
          <w:iCs/>
          <w:color w:val="000000" w:themeColor="text1"/>
          <w:sz w:val="16"/>
          <w:szCs w:val="16"/>
        </w:rPr>
        <w:softHyphen/>
        <w:t>шительным успехам наземных войск. Пока это не сделано, все ваши завере</w:t>
      </w:r>
      <w:r w:rsidRPr="00640820">
        <w:rPr>
          <w:rFonts w:ascii="Times New Roman" w:hAnsi="Times New Roman"/>
          <w:iCs/>
          <w:color w:val="000000" w:themeColor="text1"/>
          <w:sz w:val="16"/>
          <w:szCs w:val="16"/>
        </w:rPr>
        <w:softHyphen/>
        <w:t>ния об успехах не имеют никакой цены. Ждем ваших сообщений о разгроме группы Гудериана"</w:t>
      </w:r>
      <w:r w:rsidRPr="00640820">
        <w:rPr>
          <w:rFonts w:ascii="Times New Roman" w:hAnsi="Times New Roman"/>
          <w:color w:val="000000" w:themeColor="text1"/>
          <w:sz w:val="16"/>
          <w:szCs w:val="16"/>
        </w:rPr>
        <w:t xml:space="preserve"> (6467).</w:t>
      </w:r>
    </w:p>
    <w:p w14:paraId="62CDC3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ACFF6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сентября 1941 КА оставила Петрозаводск (3186).</w:t>
      </w:r>
    </w:p>
    <w:p w14:paraId="673C29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A103C10"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2BDCE644"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47A77D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сентября были [Утверждены "Положение о начальнике передвижения войск на железной дороге на военное время" и "Положение о военном коменданте на железнодорожном транспорте на военное время".] № 616 (7009, 89,90-102).</w:t>
      </w:r>
    </w:p>
    <w:p w14:paraId="7955968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7D98A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сентября 1941 вышло Постановление ГКО № 618 О мобилизации автотранспорта. (7009, 104,105-107).</w:t>
      </w:r>
    </w:p>
    <w:p w14:paraId="645735F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BED82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сентября 1941 вышло Постановление ГКО № 619 О мероприятиях по противовоздушной обороне ж.-д. узлов, мостов, транспортов. (7009, 108-109).</w:t>
      </w:r>
    </w:p>
    <w:p w14:paraId="3477B85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E8EAAE" w14:textId="77777777" w:rsidR="00AA4E70" w:rsidRPr="00640820" w:rsidRDefault="00AA4E70"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 сентября </w:t>
      </w:r>
      <w:r w:rsidRPr="00640820">
        <w:rPr>
          <w:rFonts w:ascii="Times New Roman" w:hAnsi="Times New Roman"/>
          <w:color w:val="000000" w:themeColor="text1"/>
          <w:sz w:val="16"/>
          <w:szCs w:val="16"/>
        </w:rPr>
        <w:t>в 1941 году из Одессы вглубь советской территории эвакуированы 1680 воспитанников детских домов (14757).</w:t>
      </w:r>
    </w:p>
    <w:p w14:paraId="557FF634" w14:textId="77777777" w:rsidR="00AA4E70" w:rsidRPr="00640820" w:rsidRDefault="00AA4E70" w:rsidP="00640820">
      <w:pPr>
        <w:spacing w:after="0" w:line="240" w:lineRule="auto"/>
        <w:jc w:val="both"/>
        <w:rPr>
          <w:rFonts w:ascii="Times New Roman" w:hAnsi="Times New Roman"/>
          <w:color w:val="000000" w:themeColor="text1"/>
          <w:sz w:val="16"/>
          <w:szCs w:val="16"/>
        </w:rPr>
      </w:pPr>
    </w:p>
    <w:p w14:paraId="29151B2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сентября 1941 в военной Москве открылся концертный зал имени Чайковского (4962).</w:t>
      </w:r>
    </w:p>
    <w:p w14:paraId="29BFA77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8799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сентября 1941 в Ленинграде объявлено о первом снижении продовольственных норм населению. Рабочим и ИТР стали выдавать в день по 600 г хлеба, служащим - по 400 г, иждивенцам и детям до 12 лет - по 300 г (10671).</w:t>
      </w:r>
    </w:p>
    <w:p w14:paraId="450783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7587828" w14:textId="77777777" w:rsidR="00C62511" w:rsidRPr="00640820" w:rsidRDefault="00C62511"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 сентября </w:t>
      </w:r>
      <w:r w:rsidRPr="00640820">
        <w:rPr>
          <w:rFonts w:ascii="Times New Roman" w:hAnsi="Times New Roman"/>
          <w:color w:val="000000" w:themeColor="text1"/>
          <w:sz w:val="16"/>
          <w:szCs w:val="16"/>
        </w:rPr>
        <w:t>в 1941 году в Ленинграде произведено первое снижение продовольственных норм по карточкам: рабочим и инженерно-техническим работникам стали выдавать по 600 г хлеба в день, служащим — 400 г, иждивенцам и детям до 12 лет — 300 г (14757).</w:t>
      </w:r>
    </w:p>
    <w:p w14:paraId="68063BFE" w14:textId="77777777" w:rsidR="00C62511" w:rsidRPr="00640820" w:rsidRDefault="00C62511" w:rsidP="00640820">
      <w:pPr>
        <w:spacing w:after="0" w:line="240" w:lineRule="auto"/>
        <w:jc w:val="both"/>
        <w:rPr>
          <w:rFonts w:ascii="Times New Roman" w:hAnsi="Times New Roman"/>
          <w:color w:val="000000" w:themeColor="text1"/>
          <w:sz w:val="16"/>
          <w:szCs w:val="16"/>
        </w:rPr>
      </w:pPr>
    </w:p>
    <w:p w14:paraId="4C4708A8"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5C2403A0"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CABEE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сентября 1941 Главный штаб ВВС Великобритании направил У.Черчилю план разгрома Германии с помощью 4 тыс. бомбардировщиков, которые требовалось построить за 6 месяцев (2119).</w:t>
      </w:r>
    </w:p>
    <w:p w14:paraId="1AF750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CDEE646"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2E34D4B6"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BD11652" w14:textId="77777777" w:rsidR="00087C19" w:rsidRPr="00640820" w:rsidRDefault="00087C19" w:rsidP="00640820">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3 сентября 1941 г. еще до окончания заводских испытаний прика</w:t>
      </w:r>
      <w:r w:rsidRPr="00640820">
        <w:rPr>
          <w:rFonts w:ascii="Times New Roman" w:hAnsi="Times New Roman" w:cs="Times New Roman"/>
          <w:color w:val="000000" w:themeColor="text1"/>
          <w:sz w:val="16"/>
          <w:szCs w:val="16"/>
        </w:rPr>
        <w:softHyphen/>
        <w:t>зом НКАП Ильюшин обязывался к 10 октября подготовить чер</w:t>
      </w:r>
      <w:r w:rsidRPr="00640820">
        <w:rPr>
          <w:rFonts w:ascii="Times New Roman" w:hAnsi="Times New Roman" w:cs="Times New Roman"/>
          <w:color w:val="000000" w:themeColor="text1"/>
          <w:sz w:val="16"/>
          <w:szCs w:val="16"/>
        </w:rPr>
        <w:softHyphen/>
        <w:t>тежи в обеспечение запуска в серийное производство самолета Ил-2 М-82.</w:t>
      </w:r>
    </w:p>
    <w:p w14:paraId="5F521736" w14:textId="77777777" w:rsidR="00087C19" w:rsidRPr="00640820" w:rsidRDefault="00087C19" w:rsidP="00640820">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Однако уже 8 и 9 октября по реше</w:t>
      </w:r>
      <w:r w:rsidRPr="00640820">
        <w:rPr>
          <w:rFonts w:ascii="Times New Roman" w:hAnsi="Times New Roman" w:cs="Times New Roman"/>
          <w:color w:val="000000" w:themeColor="text1"/>
          <w:sz w:val="16"/>
          <w:szCs w:val="16"/>
        </w:rPr>
        <w:softHyphen/>
        <w:t>нию ГКО началась эвакуация промыш</w:t>
      </w:r>
      <w:r w:rsidRPr="00640820">
        <w:rPr>
          <w:rFonts w:ascii="Times New Roman" w:hAnsi="Times New Roman" w:cs="Times New Roman"/>
          <w:color w:val="000000" w:themeColor="text1"/>
          <w:sz w:val="16"/>
          <w:szCs w:val="16"/>
        </w:rPr>
        <w:softHyphen/>
        <w:t>ленности вглубь страны. Как следствие, работы по Ил-2 М-82 замедлились. К тому же 27 октября Ил-2 М-82 попал в аварию на Центральном аэродроме г. Москвы. В результате столкновения с рулившим МиГ-3 на самолете была разрушена хвостовая часть фюзеляжа. Самолет встал в ремонт (19111).</w:t>
      </w:r>
    </w:p>
    <w:p w14:paraId="6B516122" w14:textId="77777777" w:rsidR="00087C19" w:rsidRPr="00640820" w:rsidRDefault="00087C19" w:rsidP="00640820">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1F61B977" w14:textId="77777777" w:rsidR="00F23109" w:rsidRPr="00640820" w:rsidRDefault="00F23109" w:rsidP="00640820">
      <w:pPr>
        <w:pStyle w:val="96"/>
        <w:shd w:val="clear" w:color="auto" w:fill="auto"/>
        <w:spacing w:before="0" w:line="240" w:lineRule="auto"/>
        <w:rPr>
          <w:rStyle w:val="16"/>
          <w:rFonts w:ascii="Times New Roman" w:hAnsi="Times New Roman" w:cs="Times New Roman"/>
          <w:color w:val="0070C0"/>
          <w:spacing w:val="0"/>
          <w:w w:val="100"/>
          <w:u w:val="none"/>
        </w:rPr>
      </w:pPr>
      <w:r w:rsidRPr="00640820">
        <w:rPr>
          <w:rStyle w:val="16"/>
          <w:rFonts w:ascii="Times New Roman" w:hAnsi="Times New Roman" w:cs="Times New Roman"/>
          <w:color w:val="0070C0"/>
          <w:spacing w:val="0"/>
          <w:w w:val="100"/>
          <w:u w:val="none"/>
        </w:rPr>
        <w:t>3 сентября 1941 г. еще до окончания заводских летных испытаний Ил-2 с М-82</w:t>
      </w:r>
      <w:r w:rsidRPr="00640820">
        <w:rPr>
          <w:rStyle w:val="16"/>
          <w:rFonts w:ascii="Times New Roman" w:hAnsi="Times New Roman" w:cs="Times New Roman"/>
          <w:color w:val="0070C0"/>
          <w:spacing w:val="0"/>
          <w:w w:val="100"/>
          <w:u w:val="none"/>
          <w:lang w:val="ru-RU"/>
        </w:rPr>
        <w:t xml:space="preserve"> </w:t>
      </w:r>
      <w:r w:rsidRPr="00640820">
        <w:rPr>
          <w:rStyle w:val="16"/>
          <w:rFonts w:ascii="Times New Roman" w:hAnsi="Times New Roman" w:cs="Times New Roman"/>
          <w:color w:val="0070C0"/>
          <w:spacing w:val="0"/>
          <w:w w:val="100"/>
          <w:u w:val="none"/>
        </w:rPr>
        <w:t>приказом НКАП №674с от Ильюшин должен был к 10 октября подготовить чертежи для запуска в серию Ил-2 М-82. Однако 8 и 9 октября по ре</w:t>
      </w:r>
      <w:r w:rsidRPr="00640820">
        <w:rPr>
          <w:rStyle w:val="16"/>
          <w:rFonts w:ascii="Times New Roman" w:hAnsi="Times New Roman" w:cs="Times New Roman"/>
          <w:color w:val="0070C0"/>
          <w:spacing w:val="0"/>
          <w:w w:val="100"/>
          <w:u w:val="none"/>
        </w:rPr>
        <w:softHyphen/>
        <w:t>шению ГКО началась эвакуация промышлен</w:t>
      </w:r>
      <w:r w:rsidRPr="00640820">
        <w:rPr>
          <w:rStyle w:val="16"/>
          <w:rFonts w:ascii="Times New Roman" w:hAnsi="Times New Roman" w:cs="Times New Roman"/>
          <w:color w:val="0070C0"/>
          <w:spacing w:val="0"/>
          <w:w w:val="100"/>
          <w:u w:val="none"/>
        </w:rPr>
        <w:softHyphen/>
        <w:t>ности вглубь страны, поэтому работы по нему замедлились. К тому же 27 октября самолет попал в аварию на Центральном аэродроме г. Москвы: в результате столкновения с ру</w:t>
      </w:r>
      <w:r w:rsidRPr="00640820">
        <w:rPr>
          <w:rStyle w:val="16"/>
          <w:rFonts w:ascii="Times New Roman" w:hAnsi="Times New Roman" w:cs="Times New Roman"/>
          <w:color w:val="0070C0"/>
          <w:spacing w:val="0"/>
          <w:w w:val="100"/>
          <w:u w:val="none"/>
        </w:rPr>
        <w:softHyphen/>
        <w:t>лившим МиГ-3 на нем разрушилась хвостовая часть фюзеляжа</w:t>
      </w:r>
      <w:r w:rsidRPr="00640820">
        <w:rPr>
          <w:rStyle w:val="16"/>
          <w:rFonts w:ascii="Times New Roman" w:hAnsi="Times New Roman" w:cs="Times New Roman"/>
          <w:color w:val="0070C0"/>
          <w:spacing w:val="0"/>
          <w:w w:val="100"/>
          <w:u w:val="none"/>
          <w:lang w:val="ru-RU"/>
        </w:rPr>
        <w:t xml:space="preserve"> (19877)</w:t>
      </w:r>
      <w:r w:rsidRPr="00640820">
        <w:rPr>
          <w:rStyle w:val="16"/>
          <w:rFonts w:ascii="Times New Roman" w:hAnsi="Times New Roman" w:cs="Times New Roman"/>
          <w:color w:val="0070C0"/>
          <w:spacing w:val="0"/>
          <w:w w:val="100"/>
          <w:u w:val="none"/>
        </w:rPr>
        <w:t>.</w:t>
      </w:r>
    </w:p>
    <w:p w14:paraId="0314DB02" w14:textId="77777777" w:rsidR="00F23109" w:rsidRPr="00640820" w:rsidRDefault="00F23109" w:rsidP="00640820">
      <w:pPr>
        <w:pStyle w:val="96"/>
        <w:shd w:val="clear" w:color="auto" w:fill="auto"/>
        <w:spacing w:before="0" w:line="240" w:lineRule="auto"/>
        <w:rPr>
          <w:rFonts w:ascii="Times New Roman" w:hAnsi="Times New Roman" w:cs="Times New Roman"/>
          <w:color w:val="0070C0"/>
          <w:w w:val="100"/>
          <w:sz w:val="16"/>
          <w:szCs w:val="16"/>
        </w:rPr>
      </w:pPr>
    </w:p>
    <w:p w14:paraId="2C0852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сентября 1941 Нач. штаба 3 отд. НИИ ВВС Маран-Федоров писал А.И.Ш. письмо N 3/075 которым препроводил отчет по сравнительным испытаниям двух серийных самолетов МиГ-3 АМ-35А N 3809 и N 3744 с различной редукцией мотора (0.732 и 0.902) на скороподъемность и взлетные свойства (1280). Согласно заключению:</w:t>
      </w:r>
    </w:p>
    <w:p w14:paraId="56511F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Как показали летные испытания серийных самолетов взлетные данные и скороподъемность самолета с редукцией 0.732 хуже летных данных и скороподъемности самолета с редукцией 0.902 (1280).</w:t>
      </w:r>
    </w:p>
    <w:p w14:paraId="013A59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Разбег с форсажем и щитками, открытыми на 10 гр. увеличился с 320 м до 390 м, а длинна взлетной дистанции до 25 м - с 980 м до 1200 м, а время набора 5000 м - с 6.8 мин. до 8.2 мин (1280).</w:t>
      </w:r>
    </w:p>
    <w:p w14:paraId="368BD2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D246B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3-6 сентября 1941 на ТИС 2АМ-37 в ходе испытаний проверяли температурные режимы двигателя (2350,27).</w:t>
      </w:r>
    </w:p>
    <w:p w14:paraId="694C74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51E4E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сентября 1941 вышел приказ НКАП об экономии оргстекла - установили лимиты (198,23).</w:t>
      </w:r>
    </w:p>
    <w:p w14:paraId="66C21B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FB0DDE3" w14:textId="77777777" w:rsidR="00AA4E70" w:rsidRPr="00640820" w:rsidRDefault="00AA4E70" w:rsidP="00640820">
      <w:pPr>
        <w:spacing w:after="0" w:line="240" w:lineRule="auto"/>
        <w:jc w:val="both"/>
        <w:rPr>
          <w:rStyle w:val="ucoz-forum-post"/>
          <w:rFonts w:ascii="Times New Roman" w:eastAsia="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3 сентября 1941 года</w:t>
      </w:r>
      <w:r w:rsidRPr="00640820">
        <w:rPr>
          <w:rStyle w:val="ucoz-forum-post"/>
          <w:rFonts w:ascii="Times New Roman" w:eastAsia="Times New Roman" w:hAnsi="Times New Roman"/>
          <w:color w:val="000000" w:themeColor="text1"/>
          <w:sz w:val="16"/>
          <w:szCs w:val="16"/>
        </w:rPr>
        <w:t xml:space="preserve"> Приказ наркома авиапромышленности об экономии оргстекла. Расход сократили</w:t>
      </w:r>
      <w:r w:rsidR="00883F56" w:rsidRPr="00640820">
        <w:rPr>
          <w:rStyle w:val="ucoz-forum-post"/>
          <w:rFonts w:ascii="Times New Roman" w:eastAsia="Times New Roman" w:hAnsi="Times New Roman"/>
          <w:color w:val="000000" w:themeColor="text1"/>
          <w:sz w:val="16"/>
          <w:szCs w:val="16"/>
        </w:rPr>
        <w:t>,</w:t>
      </w:r>
      <w:r w:rsidRPr="00640820">
        <w:rPr>
          <w:rStyle w:val="ucoz-forum-post"/>
          <w:rFonts w:ascii="Times New Roman" w:eastAsia="Times New Roman" w:hAnsi="Times New Roman"/>
          <w:color w:val="000000" w:themeColor="text1"/>
          <w:sz w:val="16"/>
          <w:szCs w:val="16"/>
        </w:rPr>
        <w:t xml:space="preserve"> прекратив установку посадочных фар и сократив остекление кабины на Як-1 (14758).</w:t>
      </w:r>
    </w:p>
    <w:p w14:paraId="7F3D2E92" w14:textId="77777777" w:rsidR="00AA4E70" w:rsidRPr="00640820" w:rsidRDefault="00AA4E70" w:rsidP="00640820">
      <w:pPr>
        <w:spacing w:after="0" w:line="240" w:lineRule="auto"/>
        <w:jc w:val="both"/>
        <w:rPr>
          <w:rStyle w:val="ucoz-forum-post"/>
          <w:rFonts w:ascii="Times New Roman" w:eastAsia="Times New Roman" w:hAnsi="Times New Roman"/>
          <w:color w:val="000000" w:themeColor="text1"/>
          <w:sz w:val="16"/>
          <w:szCs w:val="16"/>
        </w:rPr>
      </w:pPr>
    </w:p>
    <w:p w14:paraId="693080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3 сентября 1941 г. по приказу НКАП № 939с для централизации проектирования и унификации лыж для самолетов было образовано ОКБ завода № 167 НКАП. Штат набран из числа конструкторов завода № 167 (20 чел.) и завода № 120 (переведены Н.И. Жохов, А.В. Реут). В ОКБ передана вся документация по лыжам с заводов № 115, № 1, № 18, № 21, № 22 и № 289.</w:t>
      </w:r>
    </w:p>
    <w:p w14:paraId="04BD1E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(09.1941 г.-)- Н.И. Жохов (с 01.1942 г.- гл. конструктор ОКБ завода № 164) (11982).</w:t>
      </w:r>
    </w:p>
    <w:p w14:paraId="664B33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E09CC0F"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08E64A59"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5BEE5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сентября 1941 г. по распоряжению Совета по эвакуации в Сарапуле организован дублер завода № 203 НКЭП, по пр. НКЭП № 295с от 24.09.1941 г. ему присвоено наименование ГС завод № 631 (ГС завод № 631 НКЭП /г. Сарапул Удмуртской АССР/) в ведении Главрадиопрома НКЭП.</w:t>
      </w:r>
      <w:r w:rsidRPr="00640820">
        <w:rPr>
          <w:rFonts w:ascii="Times New Roman" w:hAnsi="Times New Roman"/>
          <w:color w:val="000000" w:themeColor="text1"/>
          <w:sz w:val="16"/>
          <w:szCs w:val="16"/>
          <w:vertAlign w:val="superscript"/>
        </w:rPr>
        <w:t>149</w:t>
      </w:r>
    </w:p>
    <w:p w14:paraId="076C41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23.01.1942 г. вышло постановление ГКО № 1192 о восстановлении на заводе производства войсковых радиостанций (11982).</w:t>
      </w:r>
    </w:p>
    <w:p w14:paraId="5F101F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882FC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сентября 1941 вышло Постановление ГКО № 622 О т.т. Крайнюкове К.В., Власове А.И., Степанове П.Г., Доронине Я.А., Журавлеве С.М. и Колыбанове А.Г. РГАНИР, Фонд ГКО, д. 8, лл. 115 (11012).</w:t>
      </w:r>
    </w:p>
    <w:p w14:paraId="242913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6D347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сентября 1941 вышло Постановление ГКО № 623 О назначении т.т. Гапановича. РГАНИР, Фонд ГКО, д. А. и Козлова М.А. РГАНИР, Фонд ГКО, д. 8, лл. 116 (11012).</w:t>
      </w:r>
    </w:p>
    <w:p w14:paraId="027931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E7AF5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сентября 1941 вышло Постановление ГКО № 624 О производстве снарядов для установок М-13 по новому технологическому процессу. РГАНИР, Фонд ГКО, д. 8, лл. 117-118, 119-124 (11012).</w:t>
      </w:r>
    </w:p>
    <w:p w14:paraId="4E1BBB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8F12D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сентября 1941 вышло Постановление ГКО № 625 О плане производства и выпуска артиллерийского и стрелкового вооружения в сентябре месяце 1941 г. РГАНИР, Фонд ГКО, д. 8, лл. 125-131, 132-135 (11012).</w:t>
      </w:r>
    </w:p>
    <w:p w14:paraId="777B5F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30B5D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сентября 1941 вышло Постановление ГКО № 626 О принятии на вооружение и о производстве миномета-лопаты калибра 37 мм (ВМ-37) и мин к нему. РГАНИР, Фонд ГКО, д. 8, лл. 136-141, 142-157 (11012).</w:t>
      </w:r>
    </w:p>
    <w:p w14:paraId="7619A8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17491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сентября 1941 Балтийцы приступили к ремонту эсминца "Суровый", поврежденного взрывами мин; закончен 23 сентября (10671).</w:t>
      </w:r>
    </w:p>
    <w:p w14:paraId="7FFFDB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583A153"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75D09CBB"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F1998E2" w14:textId="77777777" w:rsidR="00AA4E70" w:rsidRPr="00640820" w:rsidRDefault="00AA4E70"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3 сентября </w:t>
      </w:r>
      <w:r w:rsidRPr="00640820">
        <w:rPr>
          <w:rFonts w:ascii="Times New Roman" w:hAnsi="Times New Roman"/>
          <w:color w:val="000000" w:themeColor="text1"/>
          <w:sz w:val="16"/>
          <w:szCs w:val="16"/>
        </w:rPr>
        <w:t>в 1941 году утреннее сообщение Совинформбюро:</w:t>
      </w:r>
    </w:p>
    <w:p w14:paraId="740B061E" w14:textId="77777777" w:rsidR="00AA4E70" w:rsidRPr="00640820" w:rsidRDefault="00AA4E7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ночь на 3 сентября наши войска продолжали вести бои с противником на всём фронте.</w:t>
      </w:r>
    </w:p>
    <w:p w14:paraId="65F69BF1" w14:textId="77777777" w:rsidR="00AA4E70" w:rsidRPr="00640820" w:rsidRDefault="00AA4E7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Наша авиация продолжала наносить удары по мотомехчастям, пехоте и артиллерии противника и атаковала авиацию на его аэродромах.</w:t>
      </w:r>
    </w:p>
    <w:p w14:paraId="40C94DE2" w14:textId="77777777" w:rsidR="00AA4E70" w:rsidRPr="00640820" w:rsidRDefault="00AA4E7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Обороняющая важный рубеж часть командира орденоносца Жмаченко отбила за последние дни несколько ожесточённых атак 135 немецкого пехотного полка. Ночью часть перешла в контратаку. Красноармейцы, пользуясь темнотой, вплотную подошли к вражеским окопам. Подразделение тов. Меркулова, смяв передовые немецкие цепи, прорвалось в расположение противника и стало теснить врага. Отступающих немцев встретило находившееся в засаде подразделение старшего лейтенанта Ожогина. Фашисты были зажаты в кольцо. Пулемётно-ружейным огнём и штыковой атакой бойцы части тов. Жмаченко разгромили врага. Захвачены 2 миномёта, противотанковая пушка, десятки немецких пулемётов и автоматов, большие запасы мин и патронов. Остатки 135 немецкого пехотного полка были рассеяны.</w:t>
      </w:r>
    </w:p>
    <w:p w14:paraId="05BDAF12" w14:textId="77777777" w:rsidR="00AA4E70" w:rsidRPr="00640820" w:rsidRDefault="00AA4E7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Мужественно действуют красноармейцы-шофёры, доставляя, под огнём противника боеприпасы и другие военные грузы на передовые позиции фронта. От миномётного огня немцев загорелась автомашина шофёра Дмитриченко. Смелый водитель под разрывами мин быстро потушил огонь, увёл машину в укрытие и начал подносить снаряды к орудиям. Тов. Дмитриченко неоднократно попадал под огонь фашистской артиллерии и авиации, но всегда в срок доставлял грузы по назначению. За время военных действий его машина не имеет ни одной аварии и поломки.</w:t>
      </w:r>
    </w:p>
    <w:p w14:paraId="58F20274" w14:textId="77777777" w:rsidR="00AA4E70" w:rsidRPr="00640820" w:rsidRDefault="00AA4E7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Умело работают шофёры подразделения политрука Юдина. За всё время военных действий подразделение не имеет потерь. При налёте на нашу автоколонну с грузом боеприпасов фашистский самолёт поджёг одну из автомашин. Шофёр Левкин, рискуя жизнью, вывел горящую машину из колонны, затушил огонь и предотвратил взрыв. На днях колонну автомашин с боеприпасами обстреляла фашистская артиллерия. Шофёры Подурушин и Андриевский быстро разгрузили машины и, пробираясь ползком к скопам, во-время доставили бойцам ящики с боеприпасами.</w:t>
      </w:r>
    </w:p>
    <w:p w14:paraId="57550FD4" w14:textId="77777777" w:rsidR="00AA4E70" w:rsidRPr="00640820" w:rsidRDefault="00AA4E7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Белорусские партизаны беспощадно мстят гитлеровским полчищам. Партизанские отряды крепнут и закаляются в борьбе против фашистских захватчиков, приобретают опыт и выучку. Партизанский отряд под командованием лесничего тов. М. напал на немецкий гарнизон в Сураже. В местечке находилось до 300 солдат из полков разгромленной 137 немецкой пехотной дивизии. Партизаны проникли в местечко ночью, оцепили дома, в которых разместились фашисты, и забросали их гранатами. Оставшиеся в живых немцы бросились врассыпную через окна и двери, но везде их настигали пули. Перед уходом из местечка партизаны разгромили канцелярию гарнизона, захватили всю переписку и увезли 10 автомашин, 20 мотоциклов, 12 пулемётов, около 50 автоматов и много боеприпасов.</w:t>
      </w:r>
    </w:p>
    <w:p w14:paraId="754D233C" w14:textId="77777777" w:rsidR="00AA4E70" w:rsidRPr="00640820" w:rsidRDefault="00AA4E7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Недавно партизанский отряд под командованием работника Осоавиахима тов. Д. совершил нападение на немецкую маршевую роту, двигавшуюся из Речицы в Гомель. По дороге партизаны организовали засаду. Первыми же пулемётными очередями было убито и ранено свыше 20 немецких солдат. Противник пытался оказать сопротивление, но партизаны не выпускали инициативы из своих рук. Штыковая атака резервной группы партизан решила исход боя. Партизаны захватили большое количество винтовок и автоматического оружия. Утром немцы на пяти грузовиках увезли трупы убитых фашистов.</w:t>
      </w:r>
    </w:p>
    <w:p w14:paraId="2B4DB23A" w14:textId="77777777" w:rsidR="00AA4E70" w:rsidRPr="00640820" w:rsidRDefault="00AA4E7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многих партизанских отрядах выделены снайперские группы. На дорогах, в лесах и в лощинах снайперы устраивают засады и расстреливают фашистов. Снайперы партизанского отряда под командованием председателя сельского совета тов. Б. в августе истребили в районе Лиозно 16 мотоциклистов, 9 офицеров, вывели из строя 12 грузовых и 5 легковых машин. В районе Лепеля партизаны-снайперы обстреляли и подожгли приземлившийся фашистский истребитель.</w:t>
      </w:r>
    </w:p>
    <w:p w14:paraId="5EBB379B" w14:textId="77777777" w:rsidR="00AA4E70" w:rsidRPr="00640820" w:rsidRDefault="00AA4E7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Письма от родных, найденные у захваченных в плен белофинских солдат, свидетельствуют о росте антивоенных настроений в Финляндии. Резервист Сиволайнен получил от жены письмо, полное отчаяния. Она пишет: «Как только тебя взяли в армию, меня выселили из квартиры. Я осталась с ребятами без крова и хлеба. А тебя заставляют воевать из-за каких-то земель. Кому это нужно? Напиши, что мне делать». Такие же безрадостные известия из дому получил резервист Лахтинен. Жена сообщает ему: «Сегодня ко мне зашёл домовладелец Питкянен и сказал, что хотя контракт кончается не скоро, но в связи с изменившейся обстановкой всё же придётся освободить квартиру. Куда же я пойду с детьми? Я понимаю, что ему хочется прибавки, но где мне взять денег?». Жена артиллериста Бергстрем рассказывает в своём письме о неимоверных лишениях и заключает: «Тяжёлое время настало. Везде стоит стон и плач. Матери и дети, братья и сестры оплакивают убитых и искалеченных, оплакивают также живых и невредимых, но обречённых. Я не знаю, что мне делать. Нам теперь ничего не дают, и ребятам нечего кушать. Хожу в лес, собираю ягоды и киселём кормлю ребят». Брат резервиста, слесарь одного из заводов, пишет: «Я работаю ежедневно по 15 часов, а кушать нечего... Не сдобровать тем, кто затеял эту ненавистную войну. Они ответят за погубленные жизни и пролитую кровь. Доживём ли только мы с тобой до этих счастливых дней?».</w:t>
      </w:r>
    </w:p>
    <w:p w14:paraId="4F511BA9" w14:textId="77777777" w:rsidR="00AA4E70" w:rsidRPr="00640820" w:rsidRDefault="00AA4E7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Огромные потери, которые несут немецко-фашистские войска, близость суровой русской зимы вносят смятение в ряды многих солдат и офицеров германской армии. На Юго-Западном направлении фронта сдались в плен 73 солдата 280 пехотного полка 95 немецкой дивизии. Перед сдачей в плен солдаты убили своего ротного командира обер-лейтенанта Вильгельма Шмидта, который, угрожая расстрелом, гнал роту в атаку. Сдавшийся в плен немецкий солдат Вилли Вернер заявил: «Мы устали от проклятой войны, затеянной Гитлером. Жажда власти и мирового господства опьянили этого мерзавца и его кровавую клику, поработивших не только ряд народов Европы, но и свой собственный народ».</w:t>
      </w:r>
    </w:p>
    <w:p w14:paraId="759F00E0" w14:textId="77777777" w:rsidR="00AA4E70" w:rsidRPr="00640820" w:rsidRDefault="00AA4E7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Ефрейтор Иозеф Кершенштайнер, взятый в плен на Украине, рассказывает: «На прошлой неделе в нашем полку были расстреляны два солдата за то, что они высказали недовольство войной с Россией. Эта война самая непопулярная, которую когда-либо вела Германия». В своём письме товарищам по полку Иозеф Кершенштайнер пишет: «Дорогие товарищи! Я сегодня попал в плен к русским. Товарищи, вы так же, как и я, хотите мира. Кончайте с войной. Переходите на сторону Красной Армии. После войны мы снова вернёмся на родину к нашим родителям, жёнам, братьям, сёстрам» (14758).</w:t>
      </w:r>
    </w:p>
    <w:p w14:paraId="6FF19373" w14:textId="77777777" w:rsidR="00AA4E70" w:rsidRPr="00640820" w:rsidRDefault="00AA4E70" w:rsidP="00640820">
      <w:pPr>
        <w:spacing w:after="0" w:line="240" w:lineRule="auto"/>
        <w:jc w:val="both"/>
        <w:rPr>
          <w:rFonts w:ascii="Times New Roman" w:hAnsi="Times New Roman"/>
          <w:color w:val="000000" w:themeColor="text1"/>
          <w:sz w:val="16"/>
          <w:szCs w:val="16"/>
        </w:rPr>
      </w:pPr>
    </w:p>
    <w:p w14:paraId="21B28935" w14:textId="77777777" w:rsidR="00AA4E70" w:rsidRPr="00640820" w:rsidRDefault="00AA4E70"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3 сентября </w:t>
      </w:r>
      <w:r w:rsidRPr="00640820">
        <w:rPr>
          <w:rFonts w:ascii="Times New Roman" w:hAnsi="Times New Roman"/>
          <w:color w:val="000000" w:themeColor="text1"/>
          <w:sz w:val="16"/>
          <w:szCs w:val="16"/>
        </w:rPr>
        <w:t>в 1941 году вечернее сообщение Совинформбюро:</w:t>
      </w:r>
    </w:p>
    <w:p w14:paraId="5946756B" w14:textId="77777777" w:rsidR="00AA4E70" w:rsidRPr="00640820" w:rsidRDefault="00AA4E7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3 сентября наши войска вели упорные бои с противником на всём фронте.</w:t>
      </w:r>
    </w:p>
    <w:p w14:paraId="7F13686D" w14:textId="77777777" w:rsidR="00AA4E70" w:rsidRPr="00640820" w:rsidRDefault="00AA4E7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 сентября сбито в воздушных боях и уничтожено на аэродромах 39 самолётов противника. Наши потери — 27 самолётов.</w:t>
      </w:r>
    </w:p>
    <w:p w14:paraId="269A26A5" w14:textId="77777777" w:rsidR="00AA4E70" w:rsidRPr="00640820" w:rsidRDefault="00AA4E7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Советские лётчики на подступах к Ленинграду продолжают успешно громить вражескую авиацию. Около 70 самолётов противника, прикрываясь облачностью, налетели на крупный аэродром. Врага встретила группа наших истребителей. Завязался воздушный бой, в результате которого было сбито 11 фашистских самолётов. В этом бою высокое мастерство и отвагу проявил старший лейтенант тов. Лазарев. Смело атаковав группу вражеских самолётов, он уничтожил пять «Юнкерсов-87». Младший лейтенант Новиков сбил два «Юнкерса-87» и один «Мессершмитт». На другой, день наши лётчики, штурмуя наземные войска противника с высоты в 50-100 метров, уничтожили 10 немецких танков, 20 автомашин и много повозок.</w:t>
      </w:r>
    </w:p>
    <w:p w14:paraId="02C943F7" w14:textId="77777777" w:rsidR="00AA4E70" w:rsidRPr="00640820" w:rsidRDefault="00AA4E7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Наша разведка сообщила, что к фронту по шоссе движется фашистская мотоколонна. Старший лейтенант Поликарпов, сержант Мотыгин и красноармеец Кочетков, вооружившись связками гранат, пробрались через болото под огнём вражеских орудий и миномётов к шоссе и залегли в придорожной канаве. Вскоре на дороге показались немецкие танки. Когда головная машина приблизилась на 15 метров, из канавы под гусеницы танков полетели связки гранат. Два танка остановились. От одной связки гранат загорелась автоцистерна с горючим. По остановившейся колонне начала бить наша артиллерия. Фашистские машины были рассеяны.</w:t>
      </w:r>
    </w:p>
    <w:p w14:paraId="7E40FACC" w14:textId="77777777" w:rsidR="00AA4E70" w:rsidRPr="00640820" w:rsidRDefault="00AA4E7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разгрома подходящих к фронту немецких частей в районе Д. вылетела авиачасть майора Нестерова. Советские штурмовики на бреющем полёте атаковали немецкую колонну, растянувшуюся на 5-6 километров. Подготовка немцев к атаке была сорвана. Наша авиация уничтожила свыше-700 немецких солдат, 80 автомашин, 12 орудий, 6 зенитных установок и несколько танков. Когда колонна была рассеяна, в воздухе появились немецкие истребители. «Мессершмитты» набросились на звено советских штурмовиков лейтенанта Копылова, но сверху на немцев ринулись советские истребители. Потеряв два «Мессершмитта», германские лётчики вышли из боя.</w:t>
      </w:r>
    </w:p>
    <w:p w14:paraId="1DE25A6D" w14:textId="77777777" w:rsidR="00AA4E70" w:rsidRPr="00640820" w:rsidRDefault="00AA4E7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 Народного Комиссара Обороны Союза ССР «О порядке представления к правительственной награде военных санитаров и носильщиков за хорошую боевую работу» воодушевил медицинских работников на новые подвиги. Со всех участков фронта сообщают о героических поступках медицинских сестёр, военных фельдшеров и санитаров. Сапёры одного из наших батальонов, действующих на Западном направлении фронта, наводили переправу через реку. Когда понтонный мост был уже готов, противник открыл артиллерийский огонь. Пять красноармейцев-сапёр получили ранения от осколков вражеских снарядов. На помощь раненым сейчас же бросились медицинская сестра Вера Никитина и военный фельдшер Куделин. Под пулемётным и артиллерийским огнём они вынесли раненых красноармейцев, укрыли их в щелях и сделали перевязки. Раненый младший командир упал в реку. Отважная медицинская сестра кинулась в воду и спасла командира. В бою за переправу т.т. Никитина и Куделин вынесли 31 раненого бойца и командира и их оружие.</w:t>
      </w:r>
    </w:p>
    <w:p w14:paraId="0FB3CAD0" w14:textId="77777777" w:rsidR="00AA4E70" w:rsidRPr="00640820" w:rsidRDefault="00AA4E7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Старший военный фельдшер медико-санитарного отряда Северного флота тов. Лилишенцев и военный фельдшер тов. Комаров, презирая опасность, под огнём противника самоотверженно выносят раненых с поля боя и оказывают им первую помощь. Они собрали на поле боя много оружия и доставили его командованию. На днях вражеские самолёты бомбардировали санитарный бот, подошедший к пункту приёмки раненых. Военного фельдшера тов. Храмцову ранил осколок бомбы. Несмотря на ранение, тов. Храмцова мужественно спасала раненых, доставляя их на шлюпке с берега на санитарный бот. Старшему сержанту санитару тов. Дынул сообщили, что в 300 метрах от линии обороны лежит раненый пулемётчик. Под ожесточённым огнём врага тов. Дынул пополз к раненому бойцу, оказал ему помощь и доставил на медицинский пункт.</w:t>
      </w:r>
    </w:p>
    <w:p w14:paraId="7F783E6A" w14:textId="77777777" w:rsidR="00AA4E70" w:rsidRPr="00640820" w:rsidRDefault="00AA4E7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Тегеранский корреспондент агентства Ассошиэйтед Пресс со слов какого-то мифического путешественника, вернувшегося из Мешхеда, сообщил, что «советские самолёты обстреляли из пулемётов мусульман-богомольцев, шедших по дороге, уже после того, как Иран отдал распоряжение превратить сопротивление». Это сообщение тегеранского корреспондента агентства Ассошиэйтед Пресс является нелепым и по меньшей мере странным.</w:t>
      </w:r>
    </w:p>
    <w:p w14:paraId="42FF52D5" w14:textId="77777777" w:rsidR="00AA4E70" w:rsidRPr="00640820" w:rsidRDefault="00AA4E7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Советские самолёты как во время продвижения советских войск в Иране, так и после того, как были прекращены военные действия, ни в каких мусульман-богомольцев или других мирных жителей не стреляли. Советские лётчики, и это всем известно, с мирным населением не воюют, как это делают гитлеровские бандиты.</w:t>
      </w:r>
    </w:p>
    <w:p w14:paraId="581985A0" w14:textId="77777777" w:rsidR="00AA4E70" w:rsidRPr="00640820" w:rsidRDefault="00AA4E7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Приходится выразить сожаление, что тегеранский корреспондент агентства Ассошиэйтед Пресс стал жертвой провокации со стороны какого-то «путешественника» — явного гитлеровского агента и шпиона.</w:t>
      </w:r>
    </w:p>
    <w:p w14:paraId="66283991" w14:textId="77777777" w:rsidR="00AA4E70" w:rsidRPr="00640820" w:rsidRDefault="00AA4E7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Фашистские войска несут на Восточном фронте громадные потери в живой силе. Генерал Зикст фон Арним в приказе по 95 немецкой пехотной дивизии пишет: «Боевой состав пехотных полков, вследствие потерь последних недель, настолько понизился, что большинство подразделений являются слишком слабыми и не могут быть использованы целесообразно для боевых действий. Острее всего чувствуются потери офицерского соства. До прибытия пополнения, которое едва ли можно ожидать раньше половины сентября, необходимо временно свести несколько подразделений в одно».</w:t>
      </w:r>
    </w:p>
    <w:p w14:paraId="303565D7" w14:textId="77777777" w:rsidR="00AA4E70" w:rsidRPr="00640820" w:rsidRDefault="00AA4E7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Командир другой немецкой пехотной дивизии, разгромленной на Западном направлении, докладывает штабу фронта: «В дивизии осталось не более восьмидесяти офицеров. Есть роты, в которых нет ни одного офицера. Если в ближайшие дни не прибудет пополнение офицеров, то дисциплина окончательно расшатается и солдаты выйдут из повиновения. Учитывая усталость личного состава дивизии и нужду в свежих подкреплениях, ходатайствую об отводе на некоторое время дивизии в тыл для отдыха и приведения в порядок...» Командир 253 немецкой стрелковой дивизии выражает неудовольствие резервистами, прибывшими в части дивизии. По его описанию, большинство резервистов, это — «необученные, малоподвижные и инертные солдаты. Они очень плохо усвоили принципы современной войны, не умеют обращаться с автоматическим оружием и больше думают о сохранении своей жизни, чем о наступлении. Имея 4 тысячи таких солдат, я не могу считать дивизию вполне боеспособной...» (14758).</w:t>
      </w:r>
    </w:p>
    <w:p w14:paraId="0B90ADBE" w14:textId="77777777" w:rsidR="00AA4E70" w:rsidRPr="00640820" w:rsidRDefault="00AA4E70" w:rsidP="00640820">
      <w:pPr>
        <w:spacing w:after="0" w:line="240" w:lineRule="auto"/>
        <w:jc w:val="both"/>
        <w:rPr>
          <w:rFonts w:ascii="Times New Roman" w:hAnsi="Times New Roman"/>
          <w:color w:val="000000" w:themeColor="text1"/>
          <w:sz w:val="16"/>
          <w:szCs w:val="16"/>
        </w:rPr>
      </w:pPr>
    </w:p>
    <w:p w14:paraId="4866142F" w14:textId="77777777" w:rsidR="00AA4E70" w:rsidRPr="00640820" w:rsidRDefault="00AA4E70"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3 сентября </w:t>
      </w:r>
      <w:r w:rsidRPr="00640820">
        <w:rPr>
          <w:rFonts w:ascii="Times New Roman" w:hAnsi="Times New Roman"/>
          <w:color w:val="000000" w:themeColor="text1"/>
          <w:sz w:val="16"/>
          <w:szCs w:val="16"/>
        </w:rPr>
        <w:t>в 1941 году самый крупный побег советских военнопленных: в лагере в Сухожебрах (Польша) 70 тысяч военнопленных бросились на колючую проволоку, несмотря на стрельбу охраны, 10-12 тысяч узников удалось вырваться на волю (14758).</w:t>
      </w:r>
    </w:p>
    <w:p w14:paraId="0F2137D4" w14:textId="77777777" w:rsidR="00AA4E70" w:rsidRPr="00640820" w:rsidRDefault="00AA4E70" w:rsidP="00640820">
      <w:pPr>
        <w:spacing w:after="0" w:line="240" w:lineRule="auto"/>
        <w:jc w:val="both"/>
        <w:rPr>
          <w:rFonts w:ascii="Times New Roman" w:hAnsi="Times New Roman"/>
          <w:color w:val="000000" w:themeColor="text1"/>
          <w:sz w:val="16"/>
          <w:szCs w:val="16"/>
        </w:rPr>
      </w:pPr>
    </w:p>
    <w:p w14:paraId="086770F3" w14:textId="77777777" w:rsidR="00AA4E70" w:rsidRPr="00640820" w:rsidRDefault="00AA4E70"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3 сентября </w:t>
      </w:r>
      <w:r w:rsidRPr="00640820">
        <w:rPr>
          <w:rFonts w:ascii="Times New Roman" w:hAnsi="Times New Roman"/>
          <w:color w:val="000000" w:themeColor="text1"/>
          <w:sz w:val="16"/>
          <w:szCs w:val="16"/>
        </w:rPr>
        <w:t>в 1941 году в концлагере Заксенхаузен началось массовое уничтожение советских военнопленных (14758).</w:t>
      </w:r>
    </w:p>
    <w:p w14:paraId="0364BED9" w14:textId="77777777" w:rsidR="00AA4E70" w:rsidRPr="00640820" w:rsidRDefault="00AA4E70" w:rsidP="00640820">
      <w:pPr>
        <w:spacing w:after="0" w:line="240" w:lineRule="auto"/>
        <w:jc w:val="both"/>
        <w:rPr>
          <w:rFonts w:ascii="Times New Roman" w:hAnsi="Times New Roman"/>
          <w:color w:val="000000" w:themeColor="text1"/>
          <w:sz w:val="16"/>
          <w:szCs w:val="16"/>
        </w:rPr>
      </w:pPr>
    </w:p>
    <w:p w14:paraId="4AFA30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 сентября 1945 действия войск Брянского фронта продолжали быть недостаточно инициативными, что позволило немцам в полной мере воспользоваться плохой погодой (3 сентября погода была огра</w:t>
      </w:r>
      <w:r w:rsidRPr="00640820">
        <w:rPr>
          <w:rFonts w:ascii="Times New Roman" w:hAnsi="Times New Roman"/>
          <w:color w:val="000000" w:themeColor="text1"/>
          <w:sz w:val="16"/>
          <w:szCs w:val="16"/>
        </w:rPr>
        <w:softHyphen/>
        <w:t>ниченно летной, а 4 и 5 сентября - пол</w:t>
      </w:r>
      <w:r w:rsidRPr="00640820">
        <w:rPr>
          <w:rFonts w:ascii="Times New Roman" w:hAnsi="Times New Roman"/>
          <w:color w:val="000000" w:themeColor="text1"/>
          <w:sz w:val="16"/>
          <w:szCs w:val="16"/>
        </w:rPr>
        <w:softHyphen/>
        <w:t>ностью нелетной), значительно сократив</w:t>
      </w:r>
      <w:r w:rsidRPr="00640820">
        <w:rPr>
          <w:rFonts w:ascii="Times New Roman" w:hAnsi="Times New Roman"/>
          <w:color w:val="000000" w:themeColor="text1"/>
          <w:sz w:val="16"/>
          <w:szCs w:val="16"/>
        </w:rPr>
        <w:softHyphen/>
        <w:t>шей боевые действия авиации Красной Армии, выдвинуться к рубежу р. Эсмань (севернее Кролевец) и овладеть н.п. Чаплевка, Оптово, Кролевец, Черториш, Слоут. В этом районе противник рассре</w:t>
      </w:r>
      <w:r w:rsidRPr="00640820">
        <w:rPr>
          <w:rFonts w:ascii="Times New Roman" w:hAnsi="Times New Roman"/>
          <w:color w:val="000000" w:themeColor="text1"/>
          <w:sz w:val="16"/>
          <w:szCs w:val="16"/>
        </w:rPr>
        <w:softHyphen/>
        <w:t>доточился и прикрылся сильной ПВО. Несмотря на сложные метеусловия, части 1-й РАГ и ВВС Брянского и Ре</w:t>
      </w:r>
      <w:r w:rsidRPr="00640820">
        <w:rPr>
          <w:rFonts w:ascii="Times New Roman" w:hAnsi="Times New Roman"/>
          <w:color w:val="000000" w:themeColor="text1"/>
          <w:sz w:val="16"/>
          <w:szCs w:val="16"/>
        </w:rPr>
        <w:softHyphen/>
        <w:t>зервного фронтов продолжали наносить бомбоштурмовые удары по немецким танкам и мотопехоте. Единственным противотанковым авиасредством в этих условиях оказались штурмовики Ил-2, так как действия бомбардировщиков силь</w:t>
      </w:r>
      <w:r w:rsidRPr="00640820">
        <w:rPr>
          <w:rFonts w:ascii="Times New Roman" w:hAnsi="Times New Roman"/>
          <w:color w:val="000000" w:themeColor="text1"/>
          <w:sz w:val="16"/>
          <w:szCs w:val="16"/>
        </w:rPr>
        <w:softHyphen/>
        <w:t>но ограничивались непогодой (6467).</w:t>
      </w:r>
    </w:p>
    <w:p w14:paraId="7B2446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9A4B0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 сентября 1941 217-й </w:t>
      </w:r>
      <w:r w:rsidRPr="00640820">
        <w:rPr>
          <w:rFonts w:ascii="Times New Roman" w:hAnsi="Times New Roman"/>
          <w:iCs/>
          <w:color w:val="000000" w:themeColor="text1"/>
          <w:sz w:val="16"/>
          <w:szCs w:val="16"/>
        </w:rPr>
        <w:t>шап</w:t>
      </w:r>
      <w:r w:rsidRPr="00640820">
        <w:rPr>
          <w:rFonts w:ascii="Times New Roman" w:hAnsi="Times New Roman"/>
          <w:color w:val="000000" w:themeColor="text1"/>
          <w:sz w:val="16"/>
          <w:szCs w:val="16"/>
        </w:rPr>
        <w:t xml:space="preserve"> в составе 3 экипажей в период 17.10-17.20 атакова</w:t>
      </w:r>
      <w:r w:rsidRPr="00640820">
        <w:rPr>
          <w:rFonts w:ascii="Times New Roman" w:hAnsi="Times New Roman"/>
          <w:color w:val="000000" w:themeColor="text1"/>
          <w:sz w:val="16"/>
          <w:szCs w:val="16"/>
        </w:rPr>
        <w:softHyphen/>
        <w:t>ли колонну танков противника в движе</w:t>
      </w:r>
      <w:r w:rsidRPr="00640820">
        <w:rPr>
          <w:rFonts w:ascii="Times New Roman" w:hAnsi="Times New Roman"/>
          <w:color w:val="000000" w:themeColor="text1"/>
          <w:sz w:val="16"/>
          <w:szCs w:val="16"/>
        </w:rPr>
        <w:softHyphen/>
        <w:t>нии по дороге на юг из Воронежа-Глухов на Кролевец и в 15 км на юг (до уровня надписи Дубровичи). Удар про</w:t>
      </w:r>
      <w:r w:rsidRPr="00640820">
        <w:rPr>
          <w:rFonts w:ascii="Times New Roman" w:hAnsi="Times New Roman"/>
          <w:color w:val="000000" w:themeColor="text1"/>
          <w:sz w:val="16"/>
          <w:szCs w:val="16"/>
        </w:rPr>
        <w:softHyphen/>
        <w:t>изводился с высоты 40-50 м в 4-х захо</w:t>
      </w:r>
      <w:r w:rsidRPr="00640820">
        <w:rPr>
          <w:rFonts w:ascii="Times New Roman" w:hAnsi="Times New Roman"/>
          <w:color w:val="000000" w:themeColor="text1"/>
          <w:sz w:val="16"/>
          <w:szCs w:val="16"/>
        </w:rPr>
        <w:softHyphen/>
        <w:t>дах. Экипажами наблюдались прямые попадания бомб и PC в танки. Капитан Карагодин лично видел попадания ре</w:t>
      </w:r>
      <w:r w:rsidRPr="00640820">
        <w:rPr>
          <w:rFonts w:ascii="Times New Roman" w:hAnsi="Times New Roman"/>
          <w:color w:val="000000" w:themeColor="text1"/>
          <w:sz w:val="16"/>
          <w:szCs w:val="16"/>
        </w:rPr>
        <w:softHyphen/>
        <w:t>активных снарядов в 2 танка. В резуль</w:t>
      </w:r>
      <w:r w:rsidRPr="00640820">
        <w:rPr>
          <w:rFonts w:ascii="Times New Roman" w:hAnsi="Times New Roman"/>
          <w:color w:val="000000" w:themeColor="text1"/>
          <w:sz w:val="16"/>
          <w:szCs w:val="16"/>
        </w:rPr>
        <w:softHyphen/>
        <w:t xml:space="preserve">тате обстрела МЗА в районе целей все самолеты звена получили повреждения и в составе полка остался лишь один исправный Ил-2...ВВС Брянского фронта в течение дня выполнили 98 самолето-вылетов, из них 3 штурмовики 237-го </w:t>
      </w:r>
      <w:r w:rsidRPr="00640820">
        <w:rPr>
          <w:rFonts w:ascii="Times New Roman" w:hAnsi="Times New Roman"/>
          <w:iCs/>
          <w:color w:val="000000" w:themeColor="text1"/>
          <w:sz w:val="16"/>
          <w:szCs w:val="16"/>
        </w:rPr>
        <w:t>шап</w:t>
      </w:r>
      <w:r w:rsidRPr="00640820">
        <w:rPr>
          <w:rFonts w:ascii="Times New Roman" w:hAnsi="Times New Roman"/>
          <w:color w:val="000000" w:themeColor="text1"/>
          <w:sz w:val="16"/>
          <w:szCs w:val="16"/>
        </w:rPr>
        <w:t xml:space="preserve"> в район Мушиново и 4 экипажи 245-го </w:t>
      </w:r>
      <w:r w:rsidRPr="00640820">
        <w:rPr>
          <w:rFonts w:ascii="Times New Roman" w:hAnsi="Times New Roman"/>
          <w:iCs/>
          <w:color w:val="000000" w:themeColor="text1"/>
          <w:sz w:val="16"/>
          <w:szCs w:val="16"/>
        </w:rPr>
        <w:t>шап в</w:t>
      </w:r>
      <w:r w:rsidRPr="00640820">
        <w:rPr>
          <w:rFonts w:ascii="Times New Roman" w:hAnsi="Times New Roman"/>
          <w:color w:val="000000" w:themeColor="text1"/>
          <w:sz w:val="16"/>
          <w:szCs w:val="16"/>
        </w:rPr>
        <w:t xml:space="preserve"> район Н.Васильевское. Из-за сложных метео</w:t>
      </w:r>
      <w:r w:rsidRPr="00640820">
        <w:rPr>
          <w:rFonts w:ascii="Times New Roman" w:hAnsi="Times New Roman"/>
          <w:color w:val="000000" w:themeColor="text1"/>
          <w:sz w:val="16"/>
          <w:szCs w:val="16"/>
        </w:rPr>
        <w:softHyphen/>
        <w:t xml:space="preserve">условий экипажи 237-го </w:t>
      </w:r>
      <w:r w:rsidRPr="00640820">
        <w:rPr>
          <w:rFonts w:ascii="Times New Roman" w:hAnsi="Times New Roman"/>
          <w:iCs/>
          <w:color w:val="000000" w:themeColor="text1"/>
          <w:sz w:val="16"/>
          <w:szCs w:val="16"/>
        </w:rPr>
        <w:t>шап</w:t>
      </w:r>
      <w:r w:rsidRPr="00640820">
        <w:rPr>
          <w:rFonts w:ascii="Times New Roman" w:hAnsi="Times New Roman"/>
          <w:color w:val="000000" w:themeColor="text1"/>
          <w:sz w:val="16"/>
          <w:szCs w:val="16"/>
        </w:rPr>
        <w:t xml:space="preserve"> боевого задания не выполнили, 245-й </w:t>
      </w:r>
      <w:r w:rsidRPr="00640820">
        <w:rPr>
          <w:rFonts w:ascii="Times New Roman" w:hAnsi="Times New Roman"/>
          <w:iCs/>
          <w:color w:val="000000" w:themeColor="text1"/>
          <w:sz w:val="16"/>
          <w:szCs w:val="16"/>
        </w:rPr>
        <w:t>шап</w:t>
      </w:r>
      <w:r w:rsidRPr="00640820">
        <w:rPr>
          <w:rFonts w:ascii="Times New Roman" w:hAnsi="Times New Roman"/>
          <w:color w:val="000000" w:themeColor="text1"/>
          <w:sz w:val="16"/>
          <w:szCs w:val="16"/>
        </w:rPr>
        <w:t xml:space="preserve"> поте</w:t>
      </w:r>
      <w:r w:rsidRPr="00640820">
        <w:rPr>
          <w:rFonts w:ascii="Times New Roman" w:hAnsi="Times New Roman"/>
          <w:color w:val="000000" w:themeColor="text1"/>
          <w:sz w:val="16"/>
          <w:szCs w:val="16"/>
        </w:rPr>
        <w:softHyphen/>
        <w:t>рял пару Ил-2, не вернувшихся с боево</w:t>
      </w:r>
      <w:r w:rsidRPr="00640820">
        <w:rPr>
          <w:rFonts w:ascii="Times New Roman" w:hAnsi="Times New Roman"/>
          <w:color w:val="000000" w:themeColor="text1"/>
          <w:sz w:val="16"/>
          <w:szCs w:val="16"/>
        </w:rPr>
        <w:softHyphen/>
        <w:t>го задания (6467).</w:t>
      </w:r>
    </w:p>
    <w:p w14:paraId="7E0185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B7B0A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Ночью с 3 на 4 сентября 1941 по местам сосредоточения немецких войск в рай</w:t>
      </w:r>
      <w:r w:rsidRPr="00640820">
        <w:rPr>
          <w:rFonts w:ascii="Times New Roman" w:hAnsi="Times New Roman"/>
          <w:color w:val="000000" w:themeColor="text1"/>
          <w:sz w:val="16"/>
          <w:szCs w:val="16"/>
        </w:rPr>
        <w:softHyphen/>
        <w:t>оне Почеп, Новгород-Северский, Шостка действовало 50 ДБ-3 и ТБ-3 (6467).</w:t>
      </w:r>
    </w:p>
    <w:p w14:paraId="5A41FB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05081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сентября 1941 л ГВФ П.С.Бевз вылетев на разведку на У-2 с разрешения командира взял бомбы и сбросил вручную их на артбатарею. Это был первый случай боевого применения У-2 (356,426).</w:t>
      </w:r>
    </w:p>
    <w:p w14:paraId="1B8E38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A16B4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сентября 1941 НКВМФ Н.Г.Кузнецов выпустил директиву N 874/МН о недопущении больших потерь авиации (2120).</w:t>
      </w:r>
    </w:p>
    <w:p w14:paraId="140C71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C7B8A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 September 1941 (3-7-September) Germans encircle Leningrad (270).</w:t>
      </w:r>
    </w:p>
    <w:p w14:paraId="6A6B35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2DE45B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3 по 7 сентября 1941 немецкие войска завершили окружение Ленинграда (270;2238,7).</w:t>
      </w:r>
    </w:p>
    <w:p w14:paraId="2CA7D6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DDA4EC5" w14:textId="77777777" w:rsidR="00AA4E70" w:rsidRPr="00640820" w:rsidRDefault="00AA4E70"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3 сентября </w:t>
      </w:r>
      <w:r w:rsidRPr="00640820">
        <w:rPr>
          <w:rFonts w:ascii="Times New Roman" w:hAnsi="Times New Roman"/>
          <w:color w:val="000000" w:themeColor="text1"/>
          <w:sz w:val="16"/>
          <w:szCs w:val="16"/>
        </w:rPr>
        <w:t>в 1941 году в Ленинград прилетала комиссия во главе с В.М.Молотовым и Г.М.Маленковым – разбирать конфликт, возникший между Ждановым и Ворошиловым. Принято решение о минировании города (14758).</w:t>
      </w:r>
    </w:p>
    <w:p w14:paraId="7B0CAB5D" w14:textId="77777777" w:rsidR="00AA4E70" w:rsidRPr="00640820" w:rsidRDefault="00AA4E70" w:rsidP="00640820">
      <w:pPr>
        <w:spacing w:after="0" w:line="240" w:lineRule="auto"/>
        <w:jc w:val="both"/>
        <w:rPr>
          <w:rFonts w:ascii="Times New Roman" w:hAnsi="Times New Roman"/>
          <w:color w:val="000000" w:themeColor="text1"/>
          <w:sz w:val="16"/>
          <w:szCs w:val="16"/>
        </w:rPr>
      </w:pPr>
    </w:p>
    <w:p w14:paraId="3016F9C9"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7C79562E"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5EC0B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сентября 1941 15 районов б. Республики немцев Поволжья были переданы Саратовской области и 40 тыс. семей вывезли за несколько дней (3481).</w:t>
      </w:r>
    </w:p>
    <w:p w14:paraId="5B8085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C8700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сентября 1941 постановлением СНК СССР № 2030-922с было предписано переселить на территорию бывшей Республики Немцев Поволжья 65 000 человек из колхозов прифронтовой полосы Украины, Орловской и Курской областей (7560).</w:t>
      </w:r>
    </w:p>
    <w:p w14:paraId="122D7E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65A43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сентября 1941 г. Из "Докладной записки об эвакуации тюрем НКВД БССР" зам. начальника Тюремного управления НКВД БССР лейтенанта госбезопасности Опалева начальнику Тюремного управления НКВД СССР майору госбезопасности Никольскому:</w:t>
      </w:r>
    </w:p>
    <w:p w14:paraId="7FE4E0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заключенные были эвакуированы из тюрем: Глубокое, Молодечно, Пинск, Столин, Дрогичин, Орша, Полоцк, Витебск, Могилев, Мозырь, Гомель, Червень, Вилейка и Столбцы, Из остальных тюрем з/к или были выведены из тюрем и разбежались по дороге во время налета на них немецких самолетов, или же были оставлены в тюрьмах при занятии городов немецкими войсками.</w:t>
      </w:r>
    </w:p>
    <w:p w14:paraId="0A8690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первый день войны 22 июня 1941 года в связи с вступлением немцев в г. Брест в 5 часов утра, Ломжу в 12 часов дня, ввиду невозможности эвакуации тюрем, заключенные были оставлены в корпусах.</w:t>
      </w:r>
    </w:p>
    <w:p w14:paraId="6760A4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После 11 часов дня телефонная и телеграфная связь с Гродно была прервана. О дальнейшей судьбе тюрьмы стало известно лишь 28 июня 1941 года лично от нач. тюрьмы Владимирова и начсанчасти Горюнова, которые сообщили:</w:t>
      </w:r>
    </w:p>
    <w:p w14:paraId="018A43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 или 3 часа дня во время последующей бомбардировки города, одна из брошенных с самолета бомб упала на главный корпус тюрьмы, который разрушила, похоронив под обломками большое количество заключенных. Ночью упала третья бомба, которая разрушила часть корпуса второго и развалила баркас. Находившиеся в корпусе заключенные выбежали из него и устремились на улицу. Находившийся надзорсостав не смог их удержать. Не получив никакого указания ни от нач. НКГБ и НКВД, т.к. их уже в городе не было, Владимиров дал распоряжение тюрьму оставить и выйти из города надэорсоставу.</w:t>
      </w:r>
    </w:p>
    <w:p w14:paraId="305DC8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 Вечером 22 июня из Волковыска нач. тюрьмы Ладугин сообщил о приближении немецких войск. Ему было дано указание вывести заключенных пешим порядком, В 23 часа он сообщил по телефону, что закл. вывел и двигается со всем личным составом на Барановичи. [... ] для оказания помощи в эвакуации заключенных в г. Гродно был командирован нач. оперативного отделения Паремский (выехал в 8 часов вечера 22 июня), но в Гродно он не пробрался, а доехал только до Молодечно Вилейской области, где он по телефону 23 июня связался с начальниками тюрем Ошмяны, Глубокое, Вилейка и дал им распоряжение об эвакуации заключенных. Сам же он эвакуировал тюрьму Молодечно.</w:t>
      </w:r>
    </w:p>
    <w:p w14:paraId="18E291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 в 10 часов утра 24 июня приехали в г. Минск сотрудники тюрем Новогрудка, Барановичей, Лиды, Несвижа, Бреста, которые передали, что все города Барановичской, Белостокской, Брестской областей эвакуированы 23 июня и часть уже занята немцами.</w:t>
      </w:r>
    </w:p>
    <w:p w14:paraId="46E932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потребованные от начальников тюрем данные о тюрьмах, они рапортами сообщили:</w:t>
      </w:r>
    </w:p>
    <w:p w14:paraId="7B49CA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нач. оперчасти тюрьмы Барановичи Изотов (нач. тюрьмы был в отпуске):</w:t>
      </w:r>
    </w:p>
    <w:p w14:paraId="58DF53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июня 1941 года тюрьма была обстреляна с воздуха из пулеметов. Создалась паника. Руководство УНКВД и УНКГБ из города выехало со всем личным составом сотрудников во время бомбардировки города и здания УНКВД (сгорело). Связи ни с кем не было, сам он растерялся, дал распоряжение заключенных оставить в тюрьме и спасаться личному составу".</w:t>
      </w:r>
    </w:p>
    <w:p w14:paraId="0AA5A0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Начальник тюрьмы г. Белостока Ковалев донес, что: "23 июня нач. УНКВД капитан госбезопасности Фукин дал ему распоряжение: заключенных в тюрьме закрыть в камерах, оставить тюрьму, а ему с личным составом выезжать из Белостока, что он и сделал". [...]</w:t>
      </w:r>
    </w:p>
    <w:p w14:paraId="0F0819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 тюрьмы г, Новогрудок Крючков: "23 июня во время бомбардировки города, он всех заключенных из тюрьмы вывел и посадил в вагоны. На станции на конвой напали местные жители, ворвались в вагоны и освободили заключенных. Во время перестрелки с нападавшими его ранили в руку".</w:t>
      </w:r>
    </w:p>
    <w:p w14:paraId="44CF4A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 тюрьмы г. Несвижа Арусланов сообщил рапортом, что "закл. в числе 120 человек он вывел на дорогу и повел пешим строем на ст. Городея. По дороге налетели самолеты, приняв колонну за воинскую часть, начали бомбить ее и обстреливать из пулеметов с пикирующего полета, В результате заключенные разбежались, собрать их не смог".</w:t>
      </w:r>
    </w:p>
    <w:p w14:paraId="5F5A08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тюрем г. Кобрин - Куликов и Пружаны - Чижев, оставили заключенных в корпусах тюрем запертыми на замки. [...]</w:t>
      </w:r>
    </w:p>
    <w:p w14:paraId="1BF9A7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тюрьм г. Слоним Сокоушин и тюрьмы г. Волковыска Ладугин из Белоруссии сбежали. О судьбе личного состава и заключенных тюремному управлению ничего не известно. Причем Сокоушин присвоил денежные суммы тюрьмы, а ценности заключенных раздал надзирателям. О его злоупотреблениях было сообщено н-ку Особой инспекции НКВД БССР.</w:t>
      </w:r>
    </w:p>
    <w:p w14:paraId="539805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 тюрьмы г. Лида - Васерчук оставил заключенных в тюрьме в момент вступления в город немецких войск (Рапорт Васерчука).</w:t>
      </w:r>
    </w:p>
    <w:p w14:paraId="0A1A5B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Политрук тюрьмы г. Ошмяны Клименко и [неразборч,] Уполном. Авдеев, в момент бомбежки гор. Ошмяны самочинно вывели из камер 30 чел. заключенных, обвиняемых в преступлениях к-р характера и в подвале тюрьмы расстреляли, оставив трупы незарытыми. Остальных заключенных оставили в корпусах и покинули тюрьму со всем личным составом.</w:t>
      </w:r>
    </w:p>
    <w:p w14:paraId="303F9B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второй день местные жители г. Ошмяны, узнав о расстреле заключенных, пошли в тюрьму и, разбирая трупы, разыскивали своих родственников. [...]</w:t>
      </w:r>
    </w:p>
    <w:p w14:paraId="133AEF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время эвакуации заключенных из тюрьмы гор. Глубокое (двигались пешим строем) заключенные поляки подняли крики: "Да здравствует Гитлер". Нач. тюрьмы Приемышев, доведя их до лесу - по его заявлению расстрелял до 600 человек. По распоряжению военного прокурора войск НКВД, Приемышев в г. Витебске был арестован. По делу производилось расследование, материал которого был передан члену Военного Совета Центрального фронта -секретарю ЦК КП(б) Белоруссии тов. Пономаренко. Т. Пономаренко действия Приемышева признал правильными, освободил его из-под стражи в день занятия Витебска немцами. Где Приемышев в данное время - неизвестно - никто его не видал.</w:t>
      </w:r>
    </w:p>
    <w:p w14:paraId="570B9C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тюрем Восточных областей Белоруссии не эвакуированы заключенные из г. Слуцка, Приямино и Борисова. О тюрьме г. Минска мною дано объяснение н-ку Оперативного отдела полковнику тов. Ильину. [... ]" (9713).</w:t>
      </w:r>
    </w:p>
    <w:p w14:paraId="738BED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A22E65F"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07EC9E0F"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B786D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сентября 1941 года было отправлено:</w:t>
      </w:r>
    </w:p>
    <w:p w14:paraId="76034A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ЛИЧНОЕ ПОСЛАНИЕ ПРЕМЬЕРА СТАЛИНА ПРЕМЬЕРУ г-ну ЧЕРЧИЛЛЮ</w:t>
      </w:r>
    </w:p>
    <w:p w14:paraId="775670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Приношу благодарность за обещание, кроме обещанных раньше 200 самолетов-истребителей, продать Советскому Союзу еще 200 истребителей. Не сомневаюсь, что советским летчикам удастся освоить их и пустить в дело.</w:t>
      </w:r>
    </w:p>
    <w:p w14:paraId="4A2007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Должен, однако, сказать, что эти самолеты, которые, как видно, могут быть пущены в дело не скоро и не сразу, а в разное время и отдельными группами, не смогут внести серьезных изменений на восточном фронте. Они не смогут внести серьезных изменений не только вследствие больших масштабов войны, требующих непрерывной подачи большого количества самолетов, но главным образом потому, что за последние три недели положение советских войск значительно ухудшилось в таких важных районах, как Украина и Ленинград.</w:t>
      </w:r>
    </w:p>
    <w:p w14:paraId="49C040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Дело в том, что относительная стабилизация на фронте, которой удалось добиться недели три назад, в последние недели потерпела крушение вследствие переброски на восточный фронт свежих 30—34 немецких пехотных дивизий и громадного количества танков и самолетов, а также вследствие большой активизации 20 финских дивизий и 26 румынских дивизий. Немцы считают опасность на Западе блефом и безнаказанно перебрасывают с Запада все свои силы на Восток, будучи убеждены, что никакого второго фронта на Западе нет и не будет. Немцы считают вполне возможным бить своих противников поодиночке: сначала русских, потом англичан.</w:t>
      </w:r>
    </w:p>
    <w:p w14:paraId="6F6E07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итоге мы потеряли больше половины Украины и, кроме того, враг оказался y ворот Ленинграда.</w:t>
      </w:r>
    </w:p>
    <w:p w14:paraId="6B331B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Эти обстоятельства привели к тому, что мы потеряли Криворожский железорудный бассейн и ряд металлургических заводов на Украине, эвакуировали один алюминиевый завод на Днепре и другой алюминиевый завод в Тихвине, один моторный и два самолетных завода на Украине, два моторных и два самолетных завода в Ленинграде, причем эти заводы могут быть приведены в действие на новых местах не ранее как через семь-восемь месяцев.</w:t>
      </w:r>
    </w:p>
    <w:p w14:paraId="22A4FA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 это привело к ослаблению нашей обороноспособности и поставило Советский Союз перед смертельной угрозой.</w:t>
      </w:r>
    </w:p>
    <w:p w14:paraId="2E22A4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Здесь уместен вопрос: каким образом выйти из этого более чем неблагоприятного положения?</w:t>
      </w:r>
    </w:p>
    <w:p w14:paraId="01FA79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 думаю, что существует лишь один путь выхода из такого положения: создать уже в этом году второй фронт где-либо на Балканах или во Франции, могущий оттянуть с восточного фронта 30—40 немецких дивизий, и одновременно обеспечить Советскому Союзу 30 тысяч тонн алюминия к началу октября с. г. и ежемесячную минимальную помощь в количестве 400 самолетов и 500 танков (малых или средних).</w:t>
      </w:r>
    </w:p>
    <w:p w14:paraId="01236D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Без этих двух видов помощи Советский Союз либо потерпит поражение, либо будет ослаблен до того, что потеряет надолго способность оказывать помощь своим союзникам своими активными действиями на фронте борьбы с гитлеризмом.</w:t>
      </w:r>
    </w:p>
    <w:p w14:paraId="473E1E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 понимаю, что настоящее послание доставит Вашему Превосходительству огорчение. Но что делать? Опыт научил меня смотреть в глаза действительности, как бы она ни была неприятной, и не бояться высказать правду, как бы она ни была нежелательной.</w:t>
      </w:r>
    </w:p>
    <w:p w14:paraId="3514E0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Дело с Ираном, действительно, вышло неплохо. Совместные действия британских и советских войск предрешили дело. Так будет и впредь, поскольку наши войска будут выступать совместно. Но Иран только эпизод. Судьба войны будет решаться, конечно, не в Иране,</w:t>
      </w:r>
    </w:p>
    <w:p w14:paraId="7CF32D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Советский Союз, так же как и Англия, не хочет войны с Японией. Советский Союз не считает возможным нарушать договоры, в том числе и договор с Японией о нейтралитете. Но, если Япония нарушит этот договор и нападет на Советский Союз, она встретит должный отпор со стороны советских войск.</w:t>
      </w:r>
    </w:p>
    <w:p w14:paraId="1823DC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Наконец, разрешите принести благодарность за выраженное Вами чувство восхищения действиями советских войск, ведущих кровопролитную войну с разбойничьими ордами гитлеровцев за наше общее освободительное дело (7430).</w:t>
      </w:r>
    </w:p>
    <w:p w14:paraId="32D337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BFD24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сентября 1941 И.В.С. в письмах У. Черчилю повторил письма от 12 и 18 июля 1941, что нужен второй фронт (512,138).</w:t>
      </w:r>
    </w:p>
    <w:p w14:paraId="696628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F2281A8" w14:textId="77777777" w:rsidR="00AA4E70" w:rsidRPr="00640820" w:rsidRDefault="00AA4E70"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3 сентября </w:t>
      </w:r>
      <w:r w:rsidRPr="00640820">
        <w:rPr>
          <w:rFonts w:ascii="Times New Roman" w:hAnsi="Times New Roman"/>
          <w:color w:val="000000" w:themeColor="text1"/>
          <w:sz w:val="16"/>
          <w:szCs w:val="16"/>
        </w:rPr>
        <w:t>в 1941 году И.В.Сталин направил второе послание У.Черчиллю с предложением "создать уже в этом году второй фронт где-либо на Балканах или во Франции, могущий оттянуть с восточного фронта 30—40 немецких дивизий" (14758).</w:t>
      </w:r>
    </w:p>
    <w:p w14:paraId="39D4C72C" w14:textId="77777777" w:rsidR="00AA4E70" w:rsidRPr="00640820" w:rsidRDefault="00AA4E70" w:rsidP="00640820">
      <w:pPr>
        <w:spacing w:after="0" w:line="240" w:lineRule="auto"/>
        <w:jc w:val="both"/>
        <w:rPr>
          <w:rFonts w:ascii="Times New Roman" w:hAnsi="Times New Roman"/>
          <w:color w:val="000000" w:themeColor="text1"/>
          <w:sz w:val="16"/>
          <w:szCs w:val="16"/>
        </w:rPr>
      </w:pPr>
    </w:p>
    <w:p w14:paraId="5AD5EBDA" w14:textId="77777777" w:rsidR="00F23109" w:rsidRPr="00640820" w:rsidRDefault="00F23109"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3 сентября 1941 - И. В. Сталин направил второе послание У. Черчиллю с предложением «создать уже в этом году второй фронт где-либо на Балканах или во Франции, могущий оттянуть с восточного фронта 30—40 немецких дивизий, и одновременно обеспечить Советскому Союзу 30 тысяч тонн алюминия к началу октября с.г. и ежемесячную минимальную помощь в количестве 400 самолётов и 500 танков (малых или средних). Без этой помощи Советский Союз либо потерпит поражение, либо будет ослаблен настолько, что надолго потеряет способность помогать союзникам активными действиями на фронте против гитлеризма» (22376).</w:t>
      </w:r>
    </w:p>
    <w:p w14:paraId="5BC5F3D8" w14:textId="77777777" w:rsidR="00F23109" w:rsidRPr="00640820" w:rsidRDefault="00F23109" w:rsidP="00640820">
      <w:pPr>
        <w:spacing w:after="0" w:line="240" w:lineRule="auto"/>
        <w:jc w:val="both"/>
        <w:rPr>
          <w:rFonts w:ascii="Times New Roman" w:hAnsi="Times New Roman"/>
          <w:color w:val="0070C0"/>
          <w:sz w:val="16"/>
          <w:szCs w:val="16"/>
        </w:rPr>
      </w:pPr>
    </w:p>
    <w:p w14:paraId="542883A7" w14:textId="77777777" w:rsidR="00F23109" w:rsidRPr="00640820" w:rsidRDefault="00F23109"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3 сентября 1941 г. в личном послании премьер-министру Великобритании У. Черчиллю от председатель Государственного комитета обороны СССР И. В. Сталин описывал критическое положение на совете ко-германском фронте, огромные потери и «смертельную угрозу», нависшую над СССР. В почти ультимативной форме советский руководитель предлагал «создать уже в этом году Второй фронт где-либо на Балканах или во Франции, могущий оттянуть с Восточного фронта 30—40 немецких дивизий, и одновременно обес</w:t>
      </w:r>
      <w:r w:rsidRPr="00640820">
        <w:rPr>
          <w:rFonts w:ascii="Times New Roman" w:hAnsi="Times New Roman"/>
          <w:color w:val="0070C0"/>
          <w:sz w:val="16"/>
          <w:szCs w:val="16"/>
        </w:rPr>
        <w:softHyphen/>
        <w:t>печить Советскому Союзу 30 тысяч тонн алюминия к началу октября с. г. и еже</w:t>
      </w:r>
      <w:r w:rsidRPr="00640820">
        <w:rPr>
          <w:rFonts w:ascii="Times New Roman" w:hAnsi="Times New Roman"/>
          <w:color w:val="0070C0"/>
          <w:sz w:val="16"/>
          <w:szCs w:val="16"/>
        </w:rPr>
        <w:softHyphen/>
        <w:t>месячную минимальную помощь в количестве 400 самолетов и 500 танков... Без этих двух видов помощи Советский Союз либо потерпит поражение, либо будет ослаблен до того, что потеряет надолго способность оказывать помощь своим союзникам своими активными действиями на фронте борьбы с гитлеризмом» (Переписка Председателя Совета Министров СССР с президентами США и премьер-министрами Великобритании во время Великой Отечественной войны 1941-1945 гг. (далее - Переписка...). Т. 1. М., 1976. С. 29.) (22686).</w:t>
      </w:r>
    </w:p>
    <w:p w14:paraId="314F83DF" w14:textId="77777777" w:rsidR="00F23109" w:rsidRPr="00640820" w:rsidRDefault="00F23109" w:rsidP="00640820">
      <w:pPr>
        <w:spacing w:after="0" w:line="240" w:lineRule="auto"/>
        <w:jc w:val="both"/>
        <w:rPr>
          <w:rFonts w:ascii="Times New Roman" w:hAnsi="Times New Roman"/>
          <w:color w:val="0070C0"/>
          <w:sz w:val="16"/>
          <w:szCs w:val="16"/>
        </w:rPr>
      </w:pPr>
    </w:p>
    <w:p w14:paraId="32E9C537"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lang w:val="en-US"/>
        </w:rPr>
      </w:pPr>
      <w:r w:rsidRPr="00640820">
        <w:rPr>
          <w:rFonts w:ascii="Times New Roman" w:hAnsi="Times New Roman"/>
          <w:i/>
          <w:iCs/>
          <w:color w:val="000000" w:themeColor="text1"/>
          <w:sz w:val="16"/>
          <w:szCs w:val="16"/>
        </w:rPr>
        <w:t>За</w:t>
      </w:r>
      <w:r w:rsidRPr="00640820">
        <w:rPr>
          <w:rFonts w:ascii="Times New Roman" w:hAnsi="Times New Roman"/>
          <w:i/>
          <w:iCs/>
          <w:color w:val="000000" w:themeColor="text1"/>
          <w:sz w:val="16"/>
          <w:szCs w:val="16"/>
          <w:lang w:val="en-US"/>
        </w:rPr>
        <w:t xml:space="preserve"> </w:t>
      </w:r>
      <w:r w:rsidRPr="00640820">
        <w:rPr>
          <w:rFonts w:ascii="Times New Roman" w:hAnsi="Times New Roman"/>
          <w:i/>
          <w:iCs/>
          <w:color w:val="000000" w:themeColor="text1"/>
          <w:sz w:val="16"/>
          <w:szCs w:val="16"/>
        </w:rPr>
        <w:t>рубежом</w:t>
      </w:r>
      <w:r w:rsidRPr="00640820">
        <w:rPr>
          <w:rFonts w:ascii="Times New Roman" w:hAnsi="Times New Roman"/>
          <w:i/>
          <w:iCs/>
          <w:color w:val="000000" w:themeColor="text1"/>
          <w:sz w:val="16"/>
          <w:szCs w:val="16"/>
          <w:lang w:val="en-US"/>
        </w:rPr>
        <w:t>:</w:t>
      </w:r>
    </w:p>
    <w:p w14:paraId="4D3FADD7"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1EFCE9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September 3 1941 First experimental use of gas chambers at Auschwitz (1050).</w:t>
      </w:r>
    </w:p>
    <w:p w14:paraId="678EDA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6E5E954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сентября 1941 нацистский врач Освенцима Рудольф Гесс испытал первую газовую камеру на 600 русских и 250 еврейских узниках (4962).</w:t>
      </w:r>
    </w:p>
    <w:p w14:paraId="3D91FDD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C4FA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 September 1941 First use of the Auschwitz gas chambers (270).</w:t>
      </w:r>
    </w:p>
    <w:p w14:paraId="33C32E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61E8EA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сентября 1941 первый раз были использованы газовые камеры в Освенциме. Газ циклон В (прусская кислота) был испытан на 600 русских военнопленных и 298 больных заключенных Освенцима. Начались массовые депортации евреев (2238,7;270;1050).</w:t>
      </w:r>
    </w:p>
    <w:p w14:paraId="3F6FE5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2BEA5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сентября 1942 в газовых камерах Освенцима был впервые применен газ Циклон-В (3481).</w:t>
      </w:r>
    </w:p>
    <w:p w14:paraId="26EBB0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AD338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September 3, 1941 - With PM Winston Churchill's endorsement, the British Chiefs of Staff agree to begin development of an atomic bomb (1039).</w:t>
      </w:r>
    </w:p>
    <w:p w14:paraId="54227B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49DCF5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сентября 1941 с одобрения У.Черчиля начальник штаба английской армии начал работы над атомной бомбе (1039).</w:t>
      </w:r>
    </w:p>
    <w:p w14:paraId="3CC7A1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179D306"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49A17794"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2753F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сентября 1941 года Шахурин писал письмо N Н-20/6431 Берия.</w:t>
      </w:r>
    </w:p>
    <w:p w14:paraId="77218A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установок пушки Волкова-Ярцева на самолетах Ил-2 необходима противооткатная пружина, которая освоена производством и изготовляется заводом N 66 НКВ на протяжении около двух месяцев.</w:t>
      </w:r>
    </w:p>
    <w:p w14:paraId="5CD063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Народный комиссар вооружения Устинов, своим письмом от 30 августа т/г. за N 2505с, уведомил о том, что завод N 66 с 15 сентября т/г. прекращает изготовление указанных пружин. Такое решение наркома вооружения Устинова, ставит под прямую угрозу выпуск самолетов Ил-2 в текущем году.</w:t>
      </w:r>
    </w:p>
    <w:p w14:paraId="418659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Прошу Вас обязать наркома вооружения Устинова, обеспечить поставку противооткатных пружин для установок пушек Волкова-Ярцева в количествах: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B0687" w:rsidRPr="00640820" w14:paraId="524CC406" w14:textId="77777777" w:rsidTr="000D3BCB">
        <w:tc>
          <w:tcPr>
            <w:tcW w:w="5636" w:type="dxa"/>
            <w:tcBorders>
              <w:top w:val="single" w:sz="12" w:space="0" w:color="auto"/>
            </w:tcBorders>
          </w:tcPr>
          <w:p w14:paraId="5A20A2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сентябре</w:t>
            </w:r>
          </w:p>
        </w:tc>
        <w:tc>
          <w:tcPr>
            <w:tcW w:w="5636" w:type="dxa"/>
            <w:tcBorders>
              <w:top w:val="single" w:sz="12" w:space="0" w:color="auto"/>
            </w:tcBorders>
          </w:tcPr>
          <w:p w14:paraId="311373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2500 шт.</w:t>
            </w:r>
          </w:p>
        </w:tc>
      </w:tr>
      <w:tr w:rsidR="006B0687" w:rsidRPr="00640820" w14:paraId="5500E166" w14:textId="77777777" w:rsidTr="000D3BCB">
        <w:tc>
          <w:tcPr>
            <w:tcW w:w="5636" w:type="dxa"/>
          </w:tcPr>
          <w:p w14:paraId="6608FF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октябре</w:t>
            </w:r>
          </w:p>
        </w:tc>
        <w:tc>
          <w:tcPr>
            <w:tcW w:w="5636" w:type="dxa"/>
          </w:tcPr>
          <w:p w14:paraId="023562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3700 шт.</w:t>
            </w:r>
          </w:p>
        </w:tc>
      </w:tr>
      <w:tr w:rsidR="006B0687" w:rsidRPr="00640820" w14:paraId="769D35E5" w14:textId="77777777" w:rsidTr="000D3BCB">
        <w:tc>
          <w:tcPr>
            <w:tcW w:w="5636" w:type="dxa"/>
          </w:tcPr>
          <w:p w14:paraId="1DD3E6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ноябре</w:t>
            </w:r>
          </w:p>
        </w:tc>
        <w:tc>
          <w:tcPr>
            <w:tcW w:w="5636" w:type="dxa"/>
          </w:tcPr>
          <w:p w14:paraId="652FD2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4500 шт.</w:t>
            </w:r>
          </w:p>
        </w:tc>
      </w:tr>
      <w:tr w:rsidR="00643896" w:rsidRPr="00640820" w14:paraId="51A41F44" w14:textId="77777777" w:rsidTr="000D3BCB">
        <w:tc>
          <w:tcPr>
            <w:tcW w:w="5636" w:type="dxa"/>
            <w:tcBorders>
              <w:bottom w:val="single" w:sz="12" w:space="0" w:color="auto"/>
            </w:tcBorders>
          </w:tcPr>
          <w:p w14:paraId="082980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декабре</w:t>
            </w:r>
          </w:p>
        </w:tc>
        <w:tc>
          <w:tcPr>
            <w:tcW w:w="5636" w:type="dxa"/>
            <w:tcBorders>
              <w:bottom w:val="single" w:sz="12" w:space="0" w:color="auto"/>
            </w:tcBorders>
          </w:tcPr>
          <w:p w14:paraId="3B2D3D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6000 шт. (1520,78)</w:t>
            </w:r>
          </w:p>
        </w:tc>
      </w:tr>
    </w:tbl>
    <w:p w14:paraId="205052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47956A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сентября 1941 г. НКАП А.И.Ш писал письмо № Е-20/6431 ЗАМЕСТИТЕЛЮ ПРЕДСЕДАТЕЛИ ГОСУДАРСТВЕННОГО КОМИТЕТА ОБОРОНЫ товарищу МОЛОТОЗУ В.М.</w:t>
      </w:r>
    </w:p>
    <w:p w14:paraId="7DFD5AC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Сов.Секретно</w:t>
      </w:r>
    </w:p>
    <w:p w14:paraId="7B9104B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установок пушки Волкова-Ярцева на самолетах Ил-2 необходима противооткатная пружина, которая освоена производ</w:t>
      </w:r>
      <w:r w:rsidRPr="00640820">
        <w:rPr>
          <w:rFonts w:ascii="Times New Roman" w:hAnsi="Times New Roman"/>
          <w:color w:val="000000" w:themeColor="text1"/>
          <w:sz w:val="16"/>
          <w:szCs w:val="16"/>
        </w:rPr>
        <w:softHyphen/>
        <w:t>ством и изготовляется заводом № 66 НКВ на протяжении около двух месяцев.</w:t>
      </w:r>
    </w:p>
    <w:p w14:paraId="056E10B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Народный Комиссар Вооружения тов. Устинов, своим письмом от 30 августа т.г. за № 2505с, уведомил о том, что завод № 66 с 15 сентября т.г. прекращает изготовление указанных пружин. Такое решение Народного Комиссара Вооружения тов.Устинова ставит под прямую угрозу выпуск самолетовгИл-2 в текущем году.</w:t>
      </w:r>
    </w:p>
    <w:p w14:paraId="6A82D25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Прошу Вас обязать Народного Комиссара Вооружения-тов. Устино</w:t>
      </w:r>
      <w:r w:rsidRPr="00640820">
        <w:rPr>
          <w:rFonts w:ascii="Times New Roman" w:hAnsi="Times New Roman"/>
          <w:color w:val="000000" w:themeColor="text1"/>
          <w:sz w:val="16"/>
          <w:szCs w:val="16"/>
        </w:rPr>
        <w:softHyphen/>
        <w:t>ва обеспечить поставку противооткатных пружин для установок пушек. Волкова-Ярцева в количествах:</w:t>
      </w:r>
    </w:p>
    <w:p w14:paraId="37CBC8A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сентябре - - 2500 ,шт.</w:t>
      </w:r>
    </w:p>
    <w:p w14:paraId="1FDE0E0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октябре - 3700</w:t>
      </w:r>
    </w:p>
    <w:p w14:paraId="24CD0E7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ноябре - 4500</w:t>
      </w:r>
    </w:p>
    <w:p w14:paraId="69AFCE1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декабре - 6000</w:t>
      </w:r>
    </w:p>
    <w:p w14:paraId="1882BF7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Виза Молотова: “Тов.Устинов (НКВ) должен и впредь поставлять противоот</w:t>
      </w:r>
      <w:r w:rsidRPr="00640820">
        <w:rPr>
          <w:rFonts w:ascii="Times New Roman" w:hAnsi="Times New Roman"/>
          <w:color w:val="000000" w:themeColor="text1"/>
          <w:sz w:val="16"/>
          <w:szCs w:val="16"/>
        </w:rPr>
        <w:softHyphen/>
        <w:t>катную пружину для пушки Волкова-Ярцева на Ил-2.</w:t>
      </w:r>
    </w:p>
    <w:p w14:paraId="6AF83A6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 Сафонову - уточнить количества и сроки.</w:t>
      </w:r>
    </w:p>
    <w:p w14:paraId="4FE488A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5.12.41 г. (4165,185).</w:t>
      </w:r>
    </w:p>
    <w:p w14:paraId="0D5A903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5A33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сентября 1941 вышел приказ НКАП N 943 в исполнение постановления ГКО от 27 августа 1941 N ГКО-594сс о строительстве на заводе 1 самолета Ил-2 по образцу завода 18:</w:t>
      </w:r>
    </w:p>
    <w:p w14:paraId="2D64E9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Установить, что завод 18 является ведущим заводом по отношению к заводу 1 по самолету Ил-2 (1504,4).</w:t>
      </w:r>
    </w:p>
    <w:p w14:paraId="136E83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1B13F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состоянию на 4 сентября 1941 г. завод № 18 сдал в строевые части 16 самолетов Ил-2 с пушками ВЯ (в тот период среднемесячный выпуск "Илов" превышал 250 единиц). Далее такие машины "тонкой струйкой" стали поступать в штурмовые полки. В общем, проблем с ВЯ было много (11148).</w:t>
      </w:r>
    </w:p>
    <w:p w14:paraId="57CE9F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CCA40FA"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состоянию на 4 сентября 1941 г. завод № 18 сдал в строевые части 16 Ил-2 с пушками ВЯ (в тот период среднемесячный выпуск «Илов» превышал 250 единиц). Далее такие машины «тонкой струйкой» стали поступать в штурмовые полки. В конце ноября главный инженер ВВС Южного фронта военинженер 1 ранга Родимов докладывал: «На пушках ВЯ самолётов Ил-2 участились случаи поломок затворов: после 250-300 выстрелов при диаметре газового отверстия 4,5 мм и после 750-900 выстрелов при диаметре газового отверстия 4,0 мм. За время с 20.9 по 20.11 в 4-м шап поломалось 27 затворов. С 9.11 по 20.11 в 431-м шап — 6 затво</w:t>
      </w:r>
      <w:r w:rsidRPr="00640820">
        <w:rPr>
          <w:rFonts w:ascii="Times New Roman" w:hAnsi="Times New Roman"/>
          <w:color w:val="000000" w:themeColor="text1"/>
          <w:sz w:val="16"/>
          <w:szCs w:val="16"/>
        </w:rPr>
        <w:softHyphen/>
        <w:t>ров. Запасных затворов нет...». В общем, проблем с ВЯ оставалось много (15787).</w:t>
      </w:r>
    </w:p>
    <w:p w14:paraId="662B8F3C" w14:textId="77777777" w:rsidR="00883F56" w:rsidRPr="00640820" w:rsidRDefault="00883F56" w:rsidP="00640820">
      <w:pPr>
        <w:spacing w:after="0" w:line="240" w:lineRule="auto"/>
        <w:jc w:val="both"/>
        <w:rPr>
          <w:rFonts w:ascii="Times New Roman" w:hAnsi="Times New Roman"/>
          <w:color w:val="000000" w:themeColor="text1"/>
          <w:sz w:val="16"/>
          <w:szCs w:val="16"/>
        </w:rPr>
      </w:pPr>
    </w:p>
    <w:p w14:paraId="3022D786" w14:textId="77777777" w:rsidR="00987433" w:rsidRPr="00640820" w:rsidRDefault="00987433" w:rsidP="00640820">
      <w:pPr>
        <w:pStyle w:val="rtejustify"/>
        <w:shd w:val="clear" w:color="auto" w:fill="FFFFFF"/>
        <w:spacing w:before="0" w:after="0"/>
        <w:rPr>
          <w:color w:val="000000" w:themeColor="text1"/>
          <w:sz w:val="16"/>
          <w:szCs w:val="16"/>
        </w:rPr>
      </w:pPr>
      <w:r w:rsidRPr="00640820">
        <w:rPr>
          <w:color w:val="000000" w:themeColor="text1"/>
          <w:sz w:val="16"/>
          <w:szCs w:val="16"/>
        </w:rPr>
        <w:t>По состоянию на 4 сентября 1941 г. завод сдал в строевые части 16 самолетов Ил-2 с пушками ВЯ (в тот период среднемесячный выпуск «Илов» превышал 250 единиц). Далее такие машины «тонкой струйкой» стали поступать в штурмовые полки. В общем, проблем с ВЯ было много.</w:t>
      </w:r>
    </w:p>
    <w:p w14:paraId="43B30AA5" w14:textId="77777777" w:rsidR="00987433" w:rsidRPr="00640820" w:rsidRDefault="00987433" w:rsidP="00640820">
      <w:pPr>
        <w:pStyle w:val="rtejustify"/>
        <w:shd w:val="clear" w:color="auto" w:fill="FFFFFF"/>
        <w:spacing w:before="0" w:after="0"/>
        <w:rPr>
          <w:color w:val="000000" w:themeColor="text1"/>
          <w:sz w:val="16"/>
          <w:szCs w:val="16"/>
        </w:rPr>
      </w:pPr>
      <w:r w:rsidRPr="00640820">
        <w:rPr>
          <w:color w:val="000000" w:themeColor="text1"/>
          <w:sz w:val="16"/>
          <w:szCs w:val="16"/>
        </w:rPr>
        <w:t xml:space="preserve">По воспоминаниям В. Н. Новикова, в то время заместителя наркома вооружения, </w:t>
      </w:r>
      <w:r w:rsidRPr="00640820">
        <w:rPr>
          <w:rStyle w:val="af0"/>
          <w:i w:val="0"/>
          <w:color w:val="000000" w:themeColor="text1"/>
          <w:sz w:val="16"/>
          <w:szCs w:val="16"/>
          <w:bdr w:val="none" w:sz="0" w:space="0" w:color="auto" w:frame="1"/>
        </w:rPr>
        <w:t>«вопрос об усилении вооружения штурмовиков Ил-2 встал в начале 1942 г. Государственный Комитет Обороны принял решение оснастить штурмовик Ил-2 двумя пушками ВЯ и крупнокалиберным пулеметом. Изготовление пушки было поручено ковровским оружейникам… Первые опытные образцы ждали от ковровцев через месяц, а спустя еще месяц – серийного выпуска новых пушек. Даже для военного времени – срок невероятный».</w:t>
      </w:r>
    </w:p>
    <w:p w14:paraId="46AC230C" w14:textId="77777777" w:rsidR="00987433" w:rsidRPr="00640820" w:rsidRDefault="00987433" w:rsidP="00640820">
      <w:pPr>
        <w:pStyle w:val="rtejustify"/>
        <w:shd w:val="clear" w:color="auto" w:fill="FFFFFF"/>
        <w:spacing w:before="0" w:after="0"/>
        <w:rPr>
          <w:color w:val="000000" w:themeColor="text1"/>
          <w:sz w:val="16"/>
          <w:szCs w:val="16"/>
        </w:rPr>
      </w:pPr>
      <w:r w:rsidRPr="00640820">
        <w:rPr>
          <w:color w:val="000000" w:themeColor="text1"/>
          <w:sz w:val="16"/>
          <w:szCs w:val="16"/>
        </w:rPr>
        <w:t xml:space="preserve">Далее Новиков сетовал на то, что ранее </w:t>
      </w:r>
      <w:r w:rsidRPr="00640820">
        <w:rPr>
          <w:rStyle w:val="af0"/>
          <w:i w:val="0"/>
          <w:color w:val="000000" w:themeColor="text1"/>
          <w:sz w:val="16"/>
          <w:szCs w:val="16"/>
          <w:bdr w:val="none" w:sz="0" w:space="0" w:color="auto" w:frame="1"/>
        </w:rPr>
        <w:t>«пушку Волкова – Ярцева пробовали ставить на одном из эвакуированных заводов, но из этого ничего не получилось: в отведенные сроки коллектив не уложился из-за плохих условий производства и отсутствия высококвалифицированных кадров» (19192)</w:t>
      </w:r>
      <w:r w:rsidRPr="00640820">
        <w:rPr>
          <w:color w:val="000000" w:themeColor="text1"/>
          <w:sz w:val="16"/>
          <w:szCs w:val="16"/>
        </w:rPr>
        <w:t>.</w:t>
      </w:r>
    </w:p>
    <w:p w14:paraId="54C96BA9" w14:textId="77777777" w:rsidR="00987433" w:rsidRPr="00640820" w:rsidRDefault="00987433" w:rsidP="00640820">
      <w:pPr>
        <w:pStyle w:val="rtejustify"/>
        <w:shd w:val="clear" w:color="auto" w:fill="FFFFFF"/>
        <w:spacing w:before="0" w:after="0"/>
        <w:rPr>
          <w:color w:val="000000" w:themeColor="text1"/>
          <w:sz w:val="16"/>
          <w:szCs w:val="16"/>
        </w:rPr>
      </w:pPr>
    </w:p>
    <w:p w14:paraId="07322714" w14:textId="77777777" w:rsidR="008914D4" w:rsidRPr="00640820" w:rsidRDefault="008914D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lastRenderedPageBreak/>
        <w:t>4 сентября 1941 г. немцы впервые бомбили завод № 135, пострадало 30 работников. Седьмого числа завод подвергся второй бомбардировке с применением фугасных бомб. В сентябре началась эвакуация в г. Молотов (Пермь) на территорию моторостроительного завода №19. Погрузка в спешке велась некомплектно, что затруднило запуск производства на новом месте. Последние сотрудники вылетели из Харькова, когда немецкие танки уже достигли центральных районов города. В Молотове заводу №135 были переданы мощности завода из подмосковного Долгопрудного, также строившего Су-2, харьковских заводов «Серп и Молот», выпускавшего фюзеляжи Су-2, и «Гидромаш», поставлявшего шасси, а также завода №289, который отрабатывал различные усовершенствования по Су-2 (прежде всего, силовую установку с М-82). На начало ноября 1941 г. завод имел 1763 единицы оборудования (например, металлорежущих станков стало 1114 , тогда как в Харькове их было 800) (22829).</w:t>
      </w:r>
    </w:p>
    <w:p w14:paraId="2A11E23D" w14:textId="77777777" w:rsidR="008914D4" w:rsidRPr="00640820" w:rsidRDefault="008914D4" w:rsidP="00640820">
      <w:pPr>
        <w:spacing w:after="0" w:line="240" w:lineRule="auto"/>
        <w:jc w:val="both"/>
        <w:rPr>
          <w:rFonts w:ascii="Times New Roman" w:hAnsi="Times New Roman"/>
          <w:color w:val="0070C0"/>
          <w:sz w:val="16"/>
          <w:szCs w:val="16"/>
        </w:rPr>
      </w:pPr>
    </w:p>
    <w:p w14:paraId="4E3406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сентября 1941 вышел приказ НКАП N 942с</w:t>
      </w:r>
    </w:p>
    <w:p w14:paraId="3CE035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"Обязать ГК С.В.И. спроектировать и произвести установку моторов М-105 на самолете ДБ-3Ф с деревянным фюзеляжем (1505,133).</w:t>
      </w:r>
    </w:p>
    <w:p w14:paraId="007D5C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45B48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сентября 1941 вышел приказ НКАП N 945сс "О военно-хозяйственном плане на 4 кв. 1941 и на 1942 в исполнение постановления СНК и ЦК N 1976-891сс от 16 августа 1941. Приказываю:</w:t>
      </w:r>
    </w:p>
    <w:p w14:paraId="1CFB22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И.о. нач ПГУ Шиц организовать производство самолетов МиГ-3 на заводе N 122 и обеспечить выпуск самолетов с заводов 292, 153, 122 в сроки и количествах, согласно приложению 1;</w:t>
      </w:r>
    </w:p>
    <w:p w14:paraId="695A7B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Нач. 10 ГУ Тарасевичу организовать производство самолетов Ер-2 на заводе 127, 103У на заводе 166, Ил-2 на заводе 381 и обеспечить выпуск самолетов с заводов 124, 127, 166, 381 в сроки и количествах, согласно приложению 1;</w:t>
      </w:r>
    </w:p>
    <w:p w14:paraId="4F40B9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Нач. 3 ГУ А.А.Завитаеву:</w:t>
      </w:r>
    </w:p>
    <w:p w14:paraId="012AF1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организовать производство авиамоторов АМ-35А, АМ-37 и АМ-38 на заводе 337 и обеспечить выпуск авиамоторов с заводов 19, 27, 384 и 337 в сроки и количествах согласно приложению 2 (1298,46)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24"/>
        <w:gridCol w:w="1024"/>
        <w:gridCol w:w="1024"/>
        <w:gridCol w:w="1024"/>
      </w:tblGrid>
      <w:tr w:rsidR="006B0687" w:rsidRPr="00640820" w14:paraId="4E3A2E6B" w14:textId="77777777" w:rsidTr="000D3BCB">
        <w:tc>
          <w:tcPr>
            <w:tcW w:w="1024" w:type="dxa"/>
            <w:tcBorders>
              <w:top w:val="single" w:sz="12" w:space="0" w:color="auto"/>
            </w:tcBorders>
          </w:tcPr>
          <w:p w14:paraId="678935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Самолет</w:t>
            </w:r>
          </w:p>
        </w:tc>
        <w:tc>
          <w:tcPr>
            <w:tcW w:w="1024" w:type="dxa"/>
            <w:tcBorders>
              <w:top w:val="single" w:sz="12" w:space="0" w:color="auto"/>
            </w:tcBorders>
          </w:tcPr>
          <w:p w14:paraId="15D0BF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w:t>
            </w:r>
          </w:p>
        </w:tc>
        <w:tc>
          <w:tcPr>
            <w:tcW w:w="1024" w:type="dxa"/>
            <w:tcBorders>
              <w:top w:val="single" w:sz="12" w:space="0" w:color="auto"/>
            </w:tcBorders>
          </w:tcPr>
          <w:p w14:paraId="044B7B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кв.</w:t>
            </w:r>
          </w:p>
        </w:tc>
        <w:tc>
          <w:tcPr>
            <w:tcW w:w="1024" w:type="dxa"/>
            <w:tcBorders>
              <w:top w:val="single" w:sz="12" w:space="0" w:color="auto"/>
            </w:tcBorders>
          </w:tcPr>
          <w:p w14:paraId="5EBE86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1942</w:t>
            </w:r>
          </w:p>
        </w:tc>
      </w:tr>
      <w:tr w:rsidR="006B0687" w:rsidRPr="00640820" w14:paraId="69284F01" w14:textId="77777777" w:rsidTr="000D3BCB">
        <w:tc>
          <w:tcPr>
            <w:tcW w:w="1024" w:type="dxa"/>
          </w:tcPr>
          <w:p w14:paraId="2913A3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Як-1</w:t>
            </w:r>
          </w:p>
        </w:tc>
        <w:tc>
          <w:tcPr>
            <w:tcW w:w="1024" w:type="dxa"/>
          </w:tcPr>
          <w:p w14:paraId="71829C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292</w:t>
            </w:r>
          </w:p>
        </w:tc>
        <w:tc>
          <w:tcPr>
            <w:tcW w:w="1024" w:type="dxa"/>
          </w:tcPr>
          <w:p w14:paraId="3ABB73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700</w:t>
            </w:r>
          </w:p>
        </w:tc>
        <w:tc>
          <w:tcPr>
            <w:tcW w:w="1024" w:type="dxa"/>
          </w:tcPr>
          <w:p w14:paraId="444A15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2600</w:t>
            </w:r>
          </w:p>
        </w:tc>
      </w:tr>
      <w:tr w:rsidR="006B0687" w:rsidRPr="00640820" w14:paraId="52C578B1" w14:textId="77777777" w:rsidTr="000D3BCB">
        <w:tc>
          <w:tcPr>
            <w:tcW w:w="1024" w:type="dxa"/>
          </w:tcPr>
          <w:p w14:paraId="4A6BC2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ЛаГГ-3</w:t>
            </w:r>
          </w:p>
        </w:tc>
        <w:tc>
          <w:tcPr>
            <w:tcW w:w="1024" w:type="dxa"/>
          </w:tcPr>
          <w:p w14:paraId="230B49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153</w:t>
            </w:r>
          </w:p>
        </w:tc>
        <w:tc>
          <w:tcPr>
            <w:tcW w:w="1024" w:type="dxa"/>
          </w:tcPr>
          <w:p w14:paraId="030D32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w:t>
            </w:r>
          </w:p>
        </w:tc>
        <w:tc>
          <w:tcPr>
            <w:tcW w:w="1024" w:type="dxa"/>
          </w:tcPr>
          <w:p w14:paraId="2C5BA4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2500</w:t>
            </w:r>
          </w:p>
        </w:tc>
      </w:tr>
      <w:tr w:rsidR="006B0687" w:rsidRPr="00640820" w14:paraId="4036272A" w14:textId="77777777" w:rsidTr="000D3BCB">
        <w:tc>
          <w:tcPr>
            <w:tcW w:w="1024" w:type="dxa"/>
          </w:tcPr>
          <w:p w14:paraId="7CB3EE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Пе-2</w:t>
            </w:r>
          </w:p>
        </w:tc>
        <w:tc>
          <w:tcPr>
            <w:tcW w:w="1024" w:type="dxa"/>
          </w:tcPr>
          <w:p w14:paraId="1DC7DF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124</w:t>
            </w:r>
          </w:p>
        </w:tc>
        <w:tc>
          <w:tcPr>
            <w:tcW w:w="1024" w:type="dxa"/>
          </w:tcPr>
          <w:p w14:paraId="17E25B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w:t>
            </w:r>
          </w:p>
        </w:tc>
        <w:tc>
          <w:tcPr>
            <w:tcW w:w="1024" w:type="dxa"/>
          </w:tcPr>
          <w:p w14:paraId="61E599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1750</w:t>
            </w:r>
          </w:p>
        </w:tc>
      </w:tr>
      <w:tr w:rsidR="006B0687" w:rsidRPr="00640820" w14:paraId="3CF0333D" w14:textId="77777777" w:rsidTr="000D3BCB">
        <w:tc>
          <w:tcPr>
            <w:tcW w:w="1024" w:type="dxa"/>
          </w:tcPr>
          <w:p w14:paraId="78893F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ТБ-7</w:t>
            </w:r>
          </w:p>
        </w:tc>
        <w:tc>
          <w:tcPr>
            <w:tcW w:w="1024" w:type="dxa"/>
          </w:tcPr>
          <w:p w14:paraId="44461E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124</w:t>
            </w:r>
          </w:p>
        </w:tc>
        <w:tc>
          <w:tcPr>
            <w:tcW w:w="1024" w:type="dxa"/>
          </w:tcPr>
          <w:p w14:paraId="50FE00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1024" w:type="dxa"/>
          </w:tcPr>
          <w:p w14:paraId="3B6215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w:t>
            </w:r>
          </w:p>
        </w:tc>
      </w:tr>
      <w:tr w:rsidR="006B0687" w:rsidRPr="00640820" w14:paraId="24BB65A2" w14:textId="77777777" w:rsidTr="000D3BCB">
        <w:tc>
          <w:tcPr>
            <w:tcW w:w="1024" w:type="dxa"/>
          </w:tcPr>
          <w:p w14:paraId="65EA74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МиГ-3</w:t>
            </w:r>
          </w:p>
        </w:tc>
        <w:tc>
          <w:tcPr>
            <w:tcW w:w="1024" w:type="dxa"/>
          </w:tcPr>
          <w:p w14:paraId="6E879E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122</w:t>
            </w:r>
          </w:p>
        </w:tc>
        <w:tc>
          <w:tcPr>
            <w:tcW w:w="1024" w:type="dxa"/>
          </w:tcPr>
          <w:p w14:paraId="63EB63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w:t>
            </w:r>
          </w:p>
        </w:tc>
        <w:tc>
          <w:tcPr>
            <w:tcW w:w="1024" w:type="dxa"/>
          </w:tcPr>
          <w:p w14:paraId="586138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1750</w:t>
            </w:r>
          </w:p>
        </w:tc>
      </w:tr>
      <w:tr w:rsidR="006B0687" w:rsidRPr="00640820" w14:paraId="70BAE568" w14:textId="77777777" w:rsidTr="000D3BCB">
        <w:tc>
          <w:tcPr>
            <w:tcW w:w="1024" w:type="dxa"/>
          </w:tcPr>
          <w:p w14:paraId="4436AD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Ер-2</w:t>
            </w:r>
          </w:p>
        </w:tc>
        <w:tc>
          <w:tcPr>
            <w:tcW w:w="1024" w:type="dxa"/>
          </w:tcPr>
          <w:p w14:paraId="00A243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127</w:t>
            </w:r>
          </w:p>
        </w:tc>
        <w:tc>
          <w:tcPr>
            <w:tcW w:w="1024" w:type="dxa"/>
          </w:tcPr>
          <w:p w14:paraId="6C10D6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024" w:type="dxa"/>
          </w:tcPr>
          <w:p w14:paraId="5D1459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w:t>
            </w:r>
          </w:p>
        </w:tc>
      </w:tr>
      <w:tr w:rsidR="006B0687" w:rsidRPr="00640820" w14:paraId="3A95810D" w14:textId="77777777" w:rsidTr="000D3BCB">
        <w:tc>
          <w:tcPr>
            <w:tcW w:w="1024" w:type="dxa"/>
          </w:tcPr>
          <w:p w14:paraId="4CFFB9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103</w:t>
            </w:r>
          </w:p>
        </w:tc>
        <w:tc>
          <w:tcPr>
            <w:tcW w:w="1024" w:type="dxa"/>
          </w:tcPr>
          <w:p w14:paraId="09793A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166</w:t>
            </w:r>
          </w:p>
        </w:tc>
        <w:tc>
          <w:tcPr>
            <w:tcW w:w="1024" w:type="dxa"/>
          </w:tcPr>
          <w:p w14:paraId="0AD0B6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w:t>
            </w:r>
          </w:p>
        </w:tc>
        <w:tc>
          <w:tcPr>
            <w:tcW w:w="1024" w:type="dxa"/>
          </w:tcPr>
          <w:p w14:paraId="03ED1D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600</w:t>
            </w:r>
          </w:p>
        </w:tc>
      </w:tr>
      <w:tr w:rsidR="00643896" w:rsidRPr="00640820" w14:paraId="614E5744" w14:textId="77777777" w:rsidTr="000D3BCB">
        <w:tc>
          <w:tcPr>
            <w:tcW w:w="1024" w:type="dxa"/>
            <w:tcBorders>
              <w:bottom w:val="single" w:sz="12" w:space="0" w:color="auto"/>
            </w:tcBorders>
          </w:tcPr>
          <w:p w14:paraId="14849C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Ил-2</w:t>
            </w:r>
          </w:p>
        </w:tc>
        <w:tc>
          <w:tcPr>
            <w:tcW w:w="1024" w:type="dxa"/>
            <w:tcBorders>
              <w:bottom w:val="single" w:sz="12" w:space="0" w:color="auto"/>
            </w:tcBorders>
          </w:tcPr>
          <w:p w14:paraId="3E86E0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381</w:t>
            </w:r>
          </w:p>
        </w:tc>
        <w:tc>
          <w:tcPr>
            <w:tcW w:w="1024" w:type="dxa"/>
            <w:tcBorders>
              <w:bottom w:val="single" w:sz="12" w:space="0" w:color="auto"/>
            </w:tcBorders>
          </w:tcPr>
          <w:p w14:paraId="576781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w:t>
            </w:r>
          </w:p>
        </w:tc>
        <w:tc>
          <w:tcPr>
            <w:tcW w:w="1024" w:type="dxa"/>
            <w:tcBorders>
              <w:bottom w:val="single" w:sz="12" w:space="0" w:color="auto"/>
            </w:tcBorders>
          </w:tcPr>
          <w:p w14:paraId="38D869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1300 (1298,46)</w:t>
            </w:r>
          </w:p>
        </w:tc>
      </w:tr>
    </w:tbl>
    <w:p w14:paraId="1576C7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8BE7D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сентября 1941 вышел приказ НКАП N 936с:</w:t>
      </w:r>
    </w:p>
    <w:p w14:paraId="0EDC0B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изменение и дополнение приказов НКАП от 3 марта 1941 и от 10 июля 1941 N 657 приказываю:</w:t>
      </w:r>
    </w:p>
    <w:p w14:paraId="2AA419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проведения летных испытаний опытного самолета ТИС, назначить экипаж в составе вл Г.М.Шиянова (2134).</w:t>
      </w:r>
    </w:p>
    <w:p w14:paraId="748470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7CE1DDF" w14:textId="77777777" w:rsidR="00165A9C" w:rsidRPr="00640820" w:rsidRDefault="00165A9C" w:rsidP="00640820">
      <w:pPr>
        <w:tabs>
          <w:tab w:val="left" w:pos="418"/>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4 сентября 1941 г. практически все малые заводы 1ГУ завершили эвакуацию. Из Ленинграда были вывезены заводы № 23</w:t>
      </w:r>
      <w:r w:rsidRPr="00640820">
        <w:rPr>
          <w:rFonts w:ascii="Times New Roman" w:hAnsi="Times New Roman"/>
          <w:color w:val="000000" w:themeColor="text1"/>
          <w:sz w:val="16"/>
          <w:szCs w:val="16"/>
          <w:vertAlign w:val="superscript"/>
        </w:rPr>
        <w:t>3</w:t>
      </w:r>
      <w:r w:rsidRPr="00640820">
        <w:rPr>
          <w:rFonts w:ascii="Times New Roman" w:hAnsi="Times New Roman"/>
          <w:color w:val="000000" w:themeColor="text1"/>
          <w:sz w:val="16"/>
          <w:szCs w:val="16"/>
        </w:rPr>
        <w:t>,47,387. Из Москвы—№ 81, из Кие</w:t>
      </w:r>
      <w:r w:rsidRPr="00640820">
        <w:rPr>
          <w:rFonts w:ascii="Times New Roman" w:hAnsi="Times New Roman"/>
          <w:color w:val="000000" w:themeColor="text1"/>
          <w:sz w:val="16"/>
          <w:szCs w:val="16"/>
        </w:rPr>
        <w:softHyphen/>
        <w:t>ва —№ 43, из Днепропетровска—№ 165. Из Таллинна, Риги и Каунаса были вывезены соответственно заводы № 463, 464 и 465. Из перечисленных заводов к началу сентября не завершили эвакуационные мероприятия лишь № 47. С другой стороны, некоторые заводы в ходе эвакуации потеряли само</w:t>
      </w:r>
      <w:r w:rsidRPr="00640820">
        <w:rPr>
          <w:rFonts w:ascii="Times New Roman" w:hAnsi="Times New Roman"/>
          <w:color w:val="000000" w:themeColor="text1"/>
          <w:sz w:val="16"/>
          <w:szCs w:val="16"/>
        </w:rPr>
        <w:softHyphen/>
        <w:t>стоятельность, Так, предприятие № 81 было эвакуировано в Омск, где влилось в завод № 166. Днепропетровский завод № 165, вывезший все свои 225 станков, влился в Саратове в завод № 292. Что касается завода № 47, то его 6 эшелонов (1900 человек и 175 единиц оборудования) были отправлены в Оренбург (Чкалов), 12 станков и 350 чел., оставшиеся в Ле</w:t>
      </w:r>
      <w:r w:rsidRPr="00640820">
        <w:rPr>
          <w:rFonts w:ascii="Times New Roman" w:hAnsi="Times New Roman"/>
          <w:color w:val="000000" w:themeColor="text1"/>
          <w:sz w:val="16"/>
          <w:szCs w:val="16"/>
        </w:rPr>
        <w:softHyphen/>
        <w:t>нинграде, образовали на базе завода № 47 ремонтную базу ВВС' (12011).</w:t>
      </w:r>
    </w:p>
    <w:p w14:paraId="595CA7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2A377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4 по 8 сентября 1941 в стационарных авиамастерских № 163 КФ в Торжке 12 У-2 были оборудованы изготовленными из листового железа кассетами для сброса ампул АЖ-2 с КС. Каждая кассета состояла из 5 скрепленных труб, каждая на 10 ампул. Крепили по 2 под консолями (4542, 12).</w:t>
      </w:r>
    </w:p>
    <w:p w14:paraId="6424D2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3A70A4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сентября 1941 БДП Н.Н.П. передали в ЛИИ на испытания. Однако в пу</w:t>
      </w:r>
      <w:r w:rsidRPr="00640820">
        <w:rPr>
          <w:rFonts w:ascii="Times New Roman" w:hAnsi="Times New Roman"/>
          <w:color w:val="000000" w:themeColor="text1"/>
          <w:sz w:val="16"/>
          <w:szCs w:val="16"/>
        </w:rPr>
        <w:softHyphen/>
        <w:t>ти около Каширы планер был посажен нашими истреби</w:t>
      </w:r>
      <w:r w:rsidRPr="00640820">
        <w:rPr>
          <w:rFonts w:ascii="Times New Roman" w:hAnsi="Times New Roman"/>
          <w:color w:val="000000" w:themeColor="text1"/>
          <w:sz w:val="16"/>
          <w:szCs w:val="16"/>
        </w:rPr>
        <w:softHyphen/>
        <w:t>телями из состава ПВО Москвы, а затем сильно повреж</w:t>
      </w:r>
      <w:r w:rsidRPr="00640820">
        <w:rPr>
          <w:rFonts w:ascii="Times New Roman" w:hAnsi="Times New Roman"/>
          <w:color w:val="000000" w:themeColor="text1"/>
          <w:sz w:val="16"/>
          <w:szCs w:val="16"/>
        </w:rPr>
        <w:softHyphen/>
        <w:t>ден местными жителями. Испытания удалось начать лишь спустя три месяца. По мере приближения фронта к Москве воздушные налеты противника становились более частыми, систе</w:t>
      </w:r>
      <w:r w:rsidRPr="00640820">
        <w:rPr>
          <w:rFonts w:ascii="Times New Roman" w:hAnsi="Times New Roman"/>
          <w:color w:val="000000" w:themeColor="text1"/>
          <w:sz w:val="16"/>
          <w:szCs w:val="16"/>
        </w:rPr>
        <w:softHyphen/>
        <w:t>матическими. У летчиков со сбитых германских бом</w:t>
      </w:r>
      <w:r w:rsidRPr="00640820">
        <w:rPr>
          <w:rFonts w:ascii="Times New Roman" w:hAnsi="Times New Roman"/>
          <w:color w:val="000000" w:themeColor="text1"/>
          <w:sz w:val="16"/>
          <w:szCs w:val="16"/>
        </w:rPr>
        <w:softHyphen/>
        <w:t>бардировщиков находили карты, на которых были отмечены авиационные заводы и организации. Ухудшающееся положение на фронте заставляло ра</w:t>
      </w:r>
      <w:r w:rsidRPr="00640820">
        <w:rPr>
          <w:rFonts w:ascii="Times New Roman" w:hAnsi="Times New Roman"/>
          <w:color w:val="000000" w:themeColor="text1"/>
          <w:sz w:val="16"/>
          <w:szCs w:val="16"/>
        </w:rPr>
        <w:softHyphen/>
        <w:t>ботать, не считаясь со временем. Н.Н.Поликарпов рас</w:t>
      </w:r>
      <w:r w:rsidRPr="00640820">
        <w:rPr>
          <w:rFonts w:ascii="Times New Roman" w:hAnsi="Times New Roman"/>
          <w:color w:val="000000" w:themeColor="text1"/>
          <w:sz w:val="16"/>
          <w:szCs w:val="16"/>
        </w:rPr>
        <w:softHyphen/>
        <w:t>порядился установить в своем рабочем кабинете раскладушку и сутками не уходил с завода. Кроме про</w:t>
      </w:r>
      <w:r w:rsidRPr="00640820">
        <w:rPr>
          <w:rFonts w:ascii="Times New Roman" w:hAnsi="Times New Roman"/>
          <w:color w:val="000000" w:themeColor="text1"/>
          <w:sz w:val="16"/>
          <w:szCs w:val="16"/>
        </w:rPr>
        <w:softHyphen/>
        <w:t>изводственных, приходилось решать и другие неотлож</w:t>
      </w:r>
      <w:r w:rsidRPr="00640820">
        <w:rPr>
          <w:rFonts w:ascii="Times New Roman" w:hAnsi="Times New Roman"/>
          <w:color w:val="000000" w:themeColor="text1"/>
          <w:sz w:val="16"/>
          <w:szCs w:val="16"/>
        </w:rPr>
        <w:softHyphen/>
        <w:t>ные задачи, в частности, готовиться к ликвидации последствий возможных налетов германской авиации (10667).</w:t>
      </w:r>
    </w:p>
    <w:p w14:paraId="6A4162F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7E61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сентября 1941 вышел приказ НКАП N 940с о передаче заводов 448 и 131 3 и 10 ГУ в ПГУ. 131 подчинили 448 и стал его филиалом (1647,36).</w:t>
      </w:r>
    </w:p>
    <w:p w14:paraId="306554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A5DF5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сентября 1941 г. по приказу № 940с заводу (Завод № 448 НКАП /Грузия  г. Тбилиси/) в качестве филиала подчинен Завод № 131 НКАП. Налаживалось производство Як-1.</w:t>
      </w:r>
    </w:p>
    <w:p w14:paraId="419045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10.1941 г. на площадке строящегося завода № 448 в Тбилиси образован новый завод № 31 НКАП в результате слияния завода № 448 с эвакуированными сюда заводами № 31 НКАП, № 45 НКАП (кадры и оборудование). Завод № 448 выбыл из состава действующих.</w:t>
      </w:r>
    </w:p>
    <w:p w14:paraId="56B4F6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(10.1940-10.1941 г.)- В.Е. Саладзе (11982).</w:t>
      </w:r>
    </w:p>
    <w:p w14:paraId="7771FD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B05A779"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период с 4 по 8 сентября 1941 г. в стационарных авиамастерских № 163 ВВС Калининского фронта в г. Торжке 12 самолетов У-2 были оборудованы изготовленными из листового железа специальными кассетами для сброса зажигательных ампул АЖ-2 (жестяной шар емкостью 1л). Ампулы содержали самовоспламеняющуюся на воздухе смесь «КС».</w:t>
      </w:r>
    </w:p>
    <w:p w14:paraId="52F6BF5F"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Каждая кассета состояла из пяти жестко скрепленных между собой труб. В каждой трубе помещалось 10 ампул. Две таких кассеты крепились под консолями нижнего крыла. Управление сбросом — механическое (тросовое от простейшего механического бомбосбрасывателя). При сбросе все десять труб открывались одновременно. При этом крайние ампулы выпадали одновременно, а остальные последовательно серией.</w:t>
      </w:r>
    </w:p>
    <w:p w14:paraId="5F188770"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сентября 1942-го У-2 оборудованные изготовленными из листового железа специальными кассетами для сброса зажигательных ампул АЖ-2 (жестяной шар емкостью 1л) с самовоспламеняющейся на воздухе смесь «КС», стали применять по живой силе и боевой технике противника. Действие было ошеломляющим. Одного попадания ампулы в любой германский танк или автомашину было достаточно для их поражения.</w:t>
      </w:r>
    </w:p>
    <w:p w14:paraId="4B10AB0E"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сожалению, эффективное возгорание смеси «КС» находилось в большой зависимости от метеоусловий (главным образом, от температуры окружающего воздуха) и от наличия легковоспламеняющихся материалов в районе целей. В условиях же, благоприятных для применения смеси «КС», результаты ударов У-2 по танкам и другим целям являлись весьма высокими.</w:t>
      </w:r>
    </w:p>
    <w:p w14:paraId="597F09FB"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Кассеты могли снаряжаться и мелкими осколочными авиабомбами.</w:t>
      </w:r>
    </w:p>
    <w:p w14:paraId="79AED07A"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Инженерно-технический состав 31-й сад (командир — п-к С. А. Руденко) приспособил кассеты мелких бомб КМ Б с самолетов Ил-2 для подвески на У-2, что позволило поднять общую загрузку (осколочными бомбами весом от 1 до 25 кг, а также и зажигательными ампулами АЖ-2) до 300 кг. Это значительно повышало боевую эффективность У-2 при действии по живой силе противника, а при использовании зажигательных ампул АЖ-2 — и по танкам всех типов. Кроме этого, в кабине штурмана оборудовались места для размещения мелких авиабомб и гранат для сбрасывания их вручную (15142).</w:t>
      </w:r>
    </w:p>
    <w:p w14:paraId="4280C08C" w14:textId="77777777" w:rsidR="00883F56" w:rsidRPr="00640820" w:rsidRDefault="00883F56" w:rsidP="00640820">
      <w:pPr>
        <w:spacing w:after="0" w:line="240" w:lineRule="auto"/>
        <w:jc w:val="both"/>
        <w:rPr>
          <w:rFonts w:ascii="Times New Roman" w:hAnsi="Times New Roman"/>
          <w:color w:val="000000" w:themeColor="text1"/>
          <w:sz w:val="16"/>
          <w:szCs w:val="16"/>
        </w:rPr>
      </w:pPr>
    </w:p>
    <w:p w14:paraId="606787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ночь на 4 сентября 1941 противник произвел первый налет на город Харьков: из-под облаков 11 бомбардировщиков сбросили осколочные и зажигательные бомбы, используя в том числе трофейные советские РРАБы. Пострадало около 30 заводчан (5360).</w:t>
      </w:r>
    </w:p>
    <w:p w14:paraId="7ED1FE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92E4F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ночь на 4 сентября 1941 противник произвел первый налет на город Харьков: из-под облаков 11 двухмоторных бомбардировщиков сбросили осколочные и зажигательные бомбы, используя, в том числе, трофейные советские РРАБы. При повторном ударе в ночь на 7 сентября по корпусам завода № 135 применялись уже </w:t>
      </w:r>
      <w:r w:rsidRPr="00640820">
        <w:rPr>
          <w:rFonts w:ascii="Times New Roman" w:hAnsi="Times New Roman"/>
          <w:color w:val="000000" w:themeColor="text1"/>
          <w:sz w:val="16"/>
          <w:szCs w:val="16"/>
        </w:rPr>
        <w:lastRenderedPageBreak/>
        <w:t>крупные фугаски. Желая облегчить задачу экипажам люфтваффе, немцы передали по проводам ВНОС провокационное приказание на русском языке, адресованное прожекторным батареям об освещении авиазавода, но замыслы врага удалось разгадать.</w:t>
      </w:r>
    </w:p>
    <w:p w14:paraId="60A218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Несмотря на обстрелы и бомбежки ежесуточный выпуск Су-2 в сентябре возрос до четырех, что соответствовало скорректированному правительственному плану. Все светлое время суток не покидали кабин летчики-харьковчане А.И. Калюжнов, Г.Я. Коробко, П.И. Деев и др. Прямо на заводском аэродроме, после облета машин, они сдавались военным экипажам. Большую роль в защите завода и прилегающей территории выполнили истребители 146-го иап. С 11 сентября 22 МиГ-3 круглосуточно несли вахту ПВО, не позволив противнику помешать работе харьковчан, сорвать планомерную эвакуацию. Когда 25 октября советские войска были вынуждены оставить Харьков, то полки бомбардировщиков Су-2 сумели своевременно перелететь на тыловые аэродромы. 146-й иап опоздал с перебазированием и 112 человек, во главе с батальонным комиссаром Черенковым погибли или пропали без вести (12028).</w:t>
      </w:r>
    </w:p>
    <w:p w14:paraId="458AE6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CAF88B3"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751C335C"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5EB45D5"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сентября 1941 г. ПРОТОКОЛ ЗАСЕДАНИЯ БЮРО НОВОСИБИРСКОГО ОБКОМА ВКП(б) «О СТРОИТЕЛЬСТВЕ АРТПОЛИГОНА НАРКОМАТА БОЕПРИПАСОВ»</w:t>
      </w:r>
    </w:p>
    <w:p w14:paraId="3DE2EE7F"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Особая папка</w:t>
      </w:r>
    </w:p>
    <w:p w14:paraId="45E44A1D"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Обязать т. Копаева (начальник СибЛАГа НКВД) в двухдневный срок приступить к строительству сооружений полигона и закончить их к 5 сентября 1941 года.</w:t>
      </w:r>
    </w:p>
    <w:p w14:paraId="61FC1B6A"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Т. Полухину (начальник строительного комбината № 179) немед</w:t>
      </w:r>
      <w:r w:rsidRPr="00640820">
        <w:rPr>
          <w:rFonts w:ascii="Times New Roman" w:hAnsi="Times New Roman"/>
          <w:color w:val="000000" w:themeColor="text1"/>
          <w:sz w:val="16"/>
          <w:szCs w:val="16"/>
        </w:rPr>
        <w:softHyphen/>
        <w:t>ленно выделить необходимые материалы, механизмы и транспорт для строительства полигона.</w:t>
      </w:r>
    </w:p>
    <w:p w14:paraId="1FB4AC64"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Поручить т. Самодумову срочно обеспечить перевозку на строи</w:t>
      </w:r>
      <w:r w:rsidRPr="00640820">
        <w:rPr>
          <w:rFonts w:ascii="Times New Roman" w:hAnsi="Times New Roman"/>
          <w:color w:val="000000" w:themeColor="text1"/>
          <w:sz w:val="16"/>
          <w:szCs w:val="16"/>
        </w:rPr>
        <w:softHyphen/>
        <w:t>тельство полигона необходимых материалов и строительство железнодо</w:t>
      </w:r>
      <w:r w:rsidRPr="00640820">
        <w:rPr>
          <w:rFonts w:ascii="Times New Roman" w:hAnsi="Times New Roman"/>
          <w:color w:val="000000" w:themeColor="text1"/>
          <w:sz w:val="16"/>
          <w:szCs w:val="16"/>
        </w:rPr>
        <w:softHyphen/>
        <w:t>рожного тупика на станции Чик для артполигона.</w:t>
      </w:r>
    </w:p>
    <w:p w14:paraId="71464DF8"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Обязать т. Медведева (заведующий облторготделом) в трехднев</w:t>
      </w:r>
      <w:r w:rsidRPr="00640820">
        <w:rPr>
          <w:rFonts w:ascii="Times New Roman" w:hAnsi="Times New Roman"/>
          <w:color w:val="000000" w:themeColor="text1"/>
          <w:sz w:val="16"/>
          <w:szCs w:val="16"/>
        </w:rPr>
        <w:softHyphen/>
        <w:t>ный срок организовать на строительстве полигона столовую и тор</w:t>
      </w:r>
      <w:r w:rsidRPr="00640820">
        <w:rPr>
          <w:rFonts w:ascii="Times New Roman" w:hAnsi="Times New Roman"/>
          <w:color w:val="000000" w:themeColor="text1"/>
          <w:sz w:val="16"/>
          <w:szCs w:val="16"/>
        </w:rPr>
        <w:softHyphen/>
        <w:t>говлю.</w:t>
      </w:r>
    </w:p>
    <w:p w14:paraId="312A1489"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Обязать начальника запсиботделения «Водстроя» немедленно при</w:t>
      </w:r>
      <w:r w:rsidRPr="00640820">
        <w:rPr>
          <w:rFonts w:ascii="Times New Roman" w:hAnsi="Times New Roman"/>
          <w:color w:val="000000" w:themeColor="text1"/>
          <w:sz w:val="16"/>
          <w:szCs w:val="16"/>
        </w:rPr>
        <w:softHyphen/>
        <w:t>ступить к строительству арт. скважин для полигона и сдать в эксплуата</w:t>
      </w:r>
      <w:r w:rsidRPr="00640820">
        <w:rPr>
          <w:rFonts w:ascii="Times New Roman" w:hAnsi="Times New Roman"/>
          <w:color w:val="000000" w:themeColor="text1"/>
          <w:sz w:val="16"/>
          <w:szCs w:val="16"/>
        </w:rPr>
        <w:softHyphen/>
        <w:t>цию к 25 сентября.</w:t>
      </w:r>
    </w:p>
    <w:p w14:paraId="3662A5E9"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Обязать Коченевский райком ВКЩб) и райисполком расселить прибывающих работников артполигона в селе Прокудское в порядке уп</w:t>
      </w:r>
      <w:r w:rsidRPr="00640820">
        <w:rPr>
          <w:rFonts w:ascii="Times New Roman" w:hAnsi="Times New Roman"/>
          <w:color w:val="000000" w:themeColor="text1"/>
          <w:sz w:val="16"/>
          <w:szCs w:val="16"/>
        </w:rPr>
        <w:softHyphen/>
        <w:t>лотнения проживающих.</w:t>
      </w:r>
    </w:p>
    <w:p w14:paraId="0183A2D5"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Т. Шевелеву за бездействие, непринятие мер к развертыванию строительных работ на площадке полигона в течение года — объявить выговор.</w:t>
      </w:r>
    </w:p>
    <w:p w14:paraId="320A67EC"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Секретарь </w:t>
      </w:r>
      <w:hyperlink r:id="rId7" w:history="1">
        <w:r w:rsidRPr="00640820">
          <w:rPr>
            <w:rFonts w:ascii="Times New Roman" w:hAnsi="Times New Roman"/>
            <w:color w:val="000000" w:themeColor="text1"/>
            <w:sz w:val="16"/>
            <w:szCs w:val="16"/>
          </w:rPr>
          <w:t>Новосибирского</w:t>
        </w:r>
      </w:hyperlink>
      <w:r w:rsidRPr="00640820">
        <w:rPr>
          <w:rFonts w:ascii="Times New Roman" w:hAnsi="Times New Roman"/>
          <w:color w:val="000000" w:themeColor="text1"/>
          <w:sz w:val="16"/>
          <w:szCs w:val="16"/>
        </w:rPr>
        <w:t xml:space="preserve"> обкома ВКЩб)        М. Кулагин</w:t>
      </w:r>
    </w:p>
    <w:p w14:paraId="54419875"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ГАНО. Ф. П—4. Оп. 33. Д. 503*6». Л. 160-161. Подлинник.</w:t>
      </w:r>
    </w:p>
    <w:p w14:paraId="7382B008"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Подпись-автограф Кулагина. Документ (протокол № 209, п.9) - экземпляр машино</w:t>
      </w:r>
      <w:r w:rsidRPr="00640820">
        <w:rPr>
          <w:rFonts w:ascii="Times New Roman" w:hAnsi="Times New Roman"/>
          <w:color w:val="000000" w:themeColor="text1"/>
          <w:sz w:val="16"/>
          <w:szCs w:val="16"/>
        </w:rPr>
        <w:softHyphen/>
        <w:t>писной закладки. Разослан 8 сентября 1941 г. в 13 адресов, в том числе: ЦК ВКП(б), Баби</w:t>
      </w:r>
      <w:r w:rsidRPr="00640820">
        <w:rPr>
          <w:rFonts w:ascii="Times New Roman" w:hAnsi="Times New Roman"/>
          <w:color w:val="000000" w:themeColor="text1"/>
          <w:sz w:val="16"/>
          <w:szCs w:val="16"/>
        </w:rPr>
        <w:softHyphen/>
        <w:t>чу, Финикову - уполномоченному Госплана, Артемьеву - секретарю по строительству и стройматериалам, Копаеву - начальнику СибЛАГа НКВД, Шевелеву - начальнику поли</w:t>
      </w:r>
      <w:r w:rsidRPr="00640820">
        <w:rPr>
          <w:rFonts w:ascii="Times New Roman" w:hAnsi="Times New Roman"/>
          <w:color w:val="000000" w:themeColor="text1"/>
          <w:sz w:val="16"/>
          <w:szCs w:val="16"/>
        </w:rPr>
        <w:softHyphen/>
        <w:t>гона и т.д. (15734).</w:t>
      </w:r>
    </w:p>
    <w:p w14:paraId="77A81E3C" w14:textId="77777777" w:rsidR="00883F56" w:rsidRPr="00640820" w:rsidRDefault="00883F56" w:rsidP="00640820">
      <w:pPr>
        <w:spacing w:after="0" w:line="240" w:lineRule="auto"/>
        <w:jc w:val="both"/>
        <w:rPr>
          <w:rFonts w:ascii="Times New Roman" w:hAnsi="Times New Roman"/>
          <w:color w:val="000000" w:themeColor="text1"/>
          <w:sz w:val="16"/>
          <w:szCs w:val="16"/>
        </w:rPr>
      </w:pPr>
    </w:p>
    <w:p w14:paraId="079CE367" w14:textId="77777777" w:rsidR="00883F56" w:rsidRPr="00640820" w:rsidRDefault="00883F56" w:rsidP="00640820">
      <w:pPr>
        <w:widowControl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4 сентября 1941 года вышло постановление бюро Горьковского обкома ВКП (б) об организации на Горьковском автозаводе производства пистолета-пулемета (ППШ) образца 1941 года. 3 мая 1942 года выходит постановление Государственного Комитета обороны «О плане производства пистолетов-пулеметов Шпагина на май </w:t>
      </w:r>
      <w:smartTag w:uri="urn:schemas-microsoft-com:office:smarttags" w:element="metricconverter">
        <w:smartTagPr>
          <w:attr w:name="ProductID" w:val="1945 г"/>
        </w:smartTagPr>
        <w:r w:rsidRPr="00640820">
          <w:rPr>
            <w:rFonts w:ascii="Times New Roman" w:hAnsi="Times New Roman"/>
            <w:color w:val="000000" w:themeColor="text1"/>
            <w:sz w:val="16"/>
            <w:szCs w:val="16"/>
          </w:rPr>
          <w:t>1942 г</w:t>
        </w:r>
      </w:smartTag>
      <w:r w:rsidRPr="00640820">
        <w:rPr>
          <w:rFonts w:ascii="Times New Roman" w:hAnsi="Times New Roman"/>
          <w:color w:val="000000" w:themeColor="text1"/>
          <w:sz w:val="16"/>
          <w:szCs w:val="16"/>
        </w:rPr>
        <w:t>.», а через день приказ Наркома среднего машиностроения (НКСП), в соответствии с которым Автозавод должен был поставлять заводу № 113 НКСП штамповку ствольной, затворной коробок и прочих деталей для ППШ (15218).</w:t>
      </w:r>
    </w:p>
    <w:p w14:paraId="28CCA6C8" w14:textId="77777777" w:rsidR="00883F56" w:rsidRPr="00640820" w:rsidRDefault="00883F56" w:rsidP="00640820">
      <w:pPr>
        <w:widowControl w:val="0"/>
        <w:spacing w:after="0" w:line="240" w:lineRule="auto"/>
        <w:jc w:val="both"/>
        <w:rPr>
          <w:rFonts w:ascii="Times New Roman" w:hAnsi="Times New Roman"/>
          <w:color w:val="000000" w:themeColor="text1"/>
          <w:sz w:val="16"/>
          <w:szCs w:val="16"/>
        </w:rPr>
      </w:pPr>
    </w:p>
    <w:p w14:paraId="4E2721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сентября 1941 вышло Постановление ГКО № 627 О запрещении технологических и конструкционных изменений в образцах вооружения и боеприпасов без согласования с НКВ и конструкторами. РГАНИР, Фонд ГКО, д. 8, лл. 158 (11012).</w:t>
      </w:r>
    </w:p>
    <w:p w14:paraId="4E4197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56C07F3" w14:textId="77777777" w:rsidR="004A55CA" w:rsidRPr="00640820" w:rsidRDefault="004A55CA" w:rsidP="00640820">
      <w:pPr>
        <w:pStyle w:val="129"/>
        <w:shd w:val="clear" w:color="auto" w:fill="auto"/>
        <w:spacing w:after="0" w:line="240" w:lineRule="auto"/>
        <w:jc w:val="both"/>
        <w:rPr>
          <w:color w:val="000000" w:themeColor="text1"/>
          <w:sz w:val="16"/>
          <w:szCs w:val="16"/>
          <w:lang w:eastAsia="ru-RU"/>
        </w:rPr>
      </w:pPr>
      <w:r w:rsidRPr="00640820">
        <w:rPr>
          <w:color w:val="000000" w:themeColor="text1"/>
          <w:sz w:val="16"/>
          <w:szCs w:val="16"/>
          <w:lang w:eastAsia="ru-RU"/>
        </w:rPr>
        <w:t>4 сентября 1941 года вышло постановление Государственного комитета обороны (ГКО) №627, запрещавшее заводам вносить изменения в конструкцию вооружения и боеприпасов без согласования с Наркоматом вооружения (17636).</w:t>
      </w:r>
    </w:p>
    <w:p w14:paraId="5C79C91F" w14:textId="77777777" w:rsidR="004A55CA" w:rsidRPr="00640820" w:rsidRDefault="004A55CA" w:rsidP="00640820">
      <w:pPr>
        <w:pStyle w:val="129"/>
        <w:shd w:val="clear" w:color="auto" w:fill="auto"/>
        <w:spacing w:after="0" w:line="240" w:lineRule="auto"/>
        <w:jc w:val="both"/>
        <w:rPr>
          <w:color w:val="000000" w:themeColor="text1"/>
          <w:sz w:val="16"/>
          <w:szCs w:val="16"/>
        </w:rPr>
      </w:pPr>
    </w:p>
    <w:p w14:paraId="47258DEB" w14:textId="77777777" w:rsidR="00150B39" w:rsidRPr="00640820" w:rsidRDefault="00150B39" w:rsidP="00640820">
      <w:pPr>
        <w:pStyle w:val="ae"/>
        <w:spacing w:before="0" w:after="0"/>
        <w:jc w:val="both"/>
        <w:rPr>
          <w:color w:val="000000" w:themeColor="text1"/>
          <w:sz w:val="16"/>
          <w:szCs w:val="16"/>
        </w:rPr>
      </w:pPr>
      <w:r w:rsidRPr="00640820">
        <w:rPr>
          <w:color w:val="000000" w:themeColor="text1"/>
          <w:sz w:val="16"/>
          <w:szCs w:val="16"/>
        </w:rPr>
        <w:t>4 сентября 1941 года вышло постановление Государственного комитета обороны (ГКО) №627, запрещавшее заводам вносить изменения в конструкцию вооружения и боеприпасов без согласования с Наркоматом вооружения. Запуск программы по усилению вооружения Т-60 состоялся в сентябре 1941 года, в то время как жалобы на ТНШ пошли из войск только в октябре. А до того жалобы шли на не модернизированные авиационные пушки ШВАК (17468).</w:t>
      </w:r>
    </w:p>
    <w:p w14:paraId="06C23A2E" w14:textId="77777777" w:rsidR="00150B39" w:rsidRPr="00640820" w:rsidRDefault="00150B39" w:rsidP="00640820">
      <w:pPr>
        <w:pStyle w:val="ae"/>
        <w:spacing w:before="0" w:after="0"/>
        <w:jc w:val="both"/>
        <w:rPr>
          <w:color w:val="000000" w:themeColor="text1"/>
          <w:sz w:val="16"/>
          <w:szCs w:val="16"/>
        </w:rPr>
      </w:pPr>
      <w:r w:rsidRPr="00640820">
        <w:rPr>
          <w:color w:val="000000" w:themeColor="text1"/>
          <w:sz w:val="16"/>
          <w:szCs w:val="16"/>
        </w:rPr>
        <w:t>После изучения образцов трофейной бронетехники было принято решение о перевооружении Т-60 на 45-мм танковую пушку обр. 1938 года, при этом, согласно проекту, на танке должна была сохраниться штатная башня. По первоначальному плану, работы по усилению вооружения выполнялись совместно конструкторскими бюро ГАЗ и завода №92, однако в ходе проектирования возникли разногласия. В результате было принято решение, согласно которому заводы должны были разрабатывать свои варианты перевооружённой башни. Изготовление макетных образцов намечалось на декабрь. В случае с программой модернизации от ГАЗ им. Молотова дело закончилось созданием танка Т-70, и это тема для отдельной статьи. В этом же материале речь пойдёт о модернизации, которую разработал коллектив завода №92.</w:t>
      </w:r>
    </w:p>
    <w:p w14:paraId="643EA6F6" w14:textId="77777777" w:rsidR="00150B39" w:rsidRPr="00640820" w:rsidRDefault="00150B39" w:rsidP="00640820">
      <w:pPr>
        <w:pStyle w:val="ae"/>
        <w:spacing w:before="0" w:after="0"/>
        <w:jc w:val="both"/>
        <w:rPr>
          <w:color w:val="000000" w:themeColor="text1"/>
          <w:sz w:val="16"/>
          <w:szCs w:val="16"/>
        </w:rPr>
      </w:pPr>
      <w:r w:rsidRPr="00640820">
        <w:rPr>
          <w:color w:val="000000" w:themeColor="text1"/>
          <w:sz w:val="16"/>
          <w:szCs w:val="16"/>
        </w:rPr>
        <w:t>Инженеры КБ под руководством В. Г. Грабина решили максимально использовать штатную схему размещения вооружения в башне Т-60. Прицел они разместили в центре маски, слева устанавливался пулемёт ДТ, а справа 45-мм пушка обр. 1938 года. Сиденье командира располагалось со смещением к корме башни, между пушкой и пулемётом, также повторяя этим конструкцию Т-60. Кнопку для выстрела из пушки предполагалось расположить на рукоятке поворотного механизма башни, а кнопку стрельбы из пулемёта – на рукоятке подъёмного механизма. К моменту представления проекта завод №92 имел чертежи для установки 45-мм пушки, а после получения танка планировалось приступить к изготовлению опытного образца в металле. (17468).</w:t>
      </w:r>
    </w:p>
    <w:p w14:paraId="52982AAB" w14:textId="77777777" w:rsidR="00150B39" w:rsidRPr="00640820" w:rsidRDefault="00150B39" w:rsidP="00640820">
      <w:pPr>
        <w:pStyle w:val="ae"/>
        <w:spacing w:before="0" w:after="0"/>
        <w:jc w:val="both"/>
        <w:rPr>
          <w:color w:val="000000" w:themeColor="text1"/>
          <w:sz w:val="16"/>
          <w:szCs w:val="16"/>
        </w:rPr>
      </w:pPr>
    </w:p>
    <w:p w14:paraId="32A9D344" w14:textId="77777777" w:rsidR="004A55CA" w:rsidRPr="00640820" w:rsidRDefault="004A55CA"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4 сентября 1941 года, согласно отчёту завода № 37, четыре танка Т-30 без башен были направлены на завод «Компрессор». 19 числа туда же отправилось ещё три шасси. Судя по отправкам, уже на этом этапе использование Т-30 в качестве базы для системы залпового огня было делом практически решённым.</w:t>
      </w:r>
    </w:p>
    <w:p w14:paraId="381A95D2" w14:textId="77777777" w:rsidR="004A55CA" w:rsidRPr="00640820" w:rsidRDefault="004A55CA" w:rsidP="00640820">
      <w:pPr>
        <w:pStyle w:val="129"/>
        <w:shd w:val="clear" w:color="auto" w:fill="auto"/>
        <w:spacing w:after="0" w:line="240" w:lineRule="auto"/>
        <w:jc w:val="both"/>
        <w:rPr>
          <w:color w:val="000000" w:themeColor="text1"/>
          <w:sz w:val="16"/>
          <w:szCs w:val="16"/>
        </w:rPr>
      </w:pPr>
    </w:p>
    <w:p w14:paraId="6EF263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сентября 1941 вышло Постановление ГКО № 628 О назначении тов. Громова Г.П. РГАНИР, Фонд ГКО, д. 8, лл. 159 (11012).</w:t>
      </w:r>
    </w:p>
    <w:p w14:paraId="63CD86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EAC60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сентября 1941 вышло Распоряжение ГКО № 629 О разрешении НКЦМ во II полугодии 1941 г. уменьшить выпуск гипохлорита кальция на Соликамском магниевом заводе. РГАНИР, Фонд ГКО, д. 8, лл. 160 (11012).</w:t>
      </w:r>
    </w:p>
    <w:p w14:paraId="15F9C7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A681D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сентября 1941 вышло Постановление ГКО № 630 Об обеспечении зенитной артиллерии запасными свободными трубами и стволами. РГАНИР, Фонд ГКО, д. 8, лл. 161, 162 (11012).</w:t>
      </w:r>
    </w:p>
    <w:p w14:paraId="7734E5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3638C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сентября 1941 вышло Постановление ГКО № 632 О мероприятиях по строительству Медногорского оружейного завода НКВ. РГАНИР, Фонд ГКО, д. 8, лл. 164-164об., 165-166 (11012).</w:t>
      </w:r>
    </w:p>
    <w:p w14:paraId="5D16D6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034A5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сентября 1941 на Петрозаводе начат ремонт сетевого заградителя "Онега"; закончен 18 октября. Адмиралтейцы сдали флоту БК по пр. 1124, заложенный ижорцами (10671).</w:t>
      </w:r>
    </w:p>
    <w:p w14:paraId="0EC480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37E4C0E"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3F3872C1"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3971C65"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4 сентября </w:t>
      </w:r>
      <w:r w:rsidRPr="00640820">
        <w:rPr>
          <w:rFonts w:ascii="Times New Roman" w:hAnsi="Times New Roman"/>
          <w:color w:val="000000" w:themeColor="text1"/>
          <w:sz w:val="16"/>
          <w:szCs w:val="16"/>
        </w:rPr>
        <w:t>в 1941 году утреннее сообщение Совинформбюро:</w:t>
      </w:r>
    </w:p>
    <w:p w14:paraId="07293712"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4 сентября наши войска вели бои с противником на всём фронте.</w:t>
      </w:r>
    </w:p>
    <w:p w14:paraId="53326210"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Младший лейтенант одного из сапёрных подразделений Западного фронта тов. Цепляев минировал мост через реку Н. Вскоре к мосту подошла вражеская мотоколонна. Тов. Цепляев пропустил через мост пять танков и несколько мотоциклов, а затем взорвал его. Один вражеский танк и два мотоциклиста вместе с мостом взлетели на воздух. Подразделение тов. Городецкого уничтожило пять немецких танков и 13 мотоциклов, которые успели переправиться. В этот же день тов. Цепляев вместе с младшим сержантом Смирновым минировал ещё один мост и взорвал его после перехода на наш берег 15 фашистских танков. Отрезанные от своей пехоты фашистские танки были уничтожены.</w:t>
      </w:r>
    </w:p>
    <w:p w14:paraId="4EE8E650"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последние два дня бомбардировщики авиации Черноморского флота в боях с противником уничтожили свыше, 50 немецких танков и автомашин, 4 самолёта «Мессершмитт» и большое количество фашистской пехоты, конницы и артиллерии. В этих боях особо отличились экипажи лётчиков старшего лейтенанта Лобозова и лейтенанта Макарова.</w:t>
      </w:r>
    </w:p>
    <w:p w14:paraId="57D8777C"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Батальон морской пехоты Энского полка Черноморского флота за один день уничтожил четыре танка противника и захватил в плен эскадрон румынской кавалерии.</w:t>
      </w:r>
    </w:p>
    <w:p w14:paraId="266CA385"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Просочившаяся между флангами двух наших подразделений большая группа немцев попыталась ночью окружить штаб батальона капитана Морозова. Бойцы и командиры, находившиеся в расположении штаба, смело атаковали фашистов. Немцы не выдержали удара: многие из них сдались в плен, а остальные побежали. На поле боя противник оставил несколько десятков убитых и раненых. Среди захваченных трофеев: пять ручных пулемётов, два автомата, десятки винтовок, радиостанция.</w:t>
      </w:r>
    </w:p>
    <w:p w14:paraId="30C9E621"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Старший лейтенант Ленский во главе группы бойцов проник в тыл противника. Советские разведчики уничтожили два вражеских станковых пулемёта, противотанковую пушку и около 40 фашистов.</w:t>
      </w:r>
    </w:p>
    <w:p w14:paraId="4C8E5E66"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деревню Горки Любницкого сельсовета Ленинградской области налетели семь фашистских бомбардировщиков. На улице играли дети колхозников. Немецкие бомбардировщики с бреющего полёта открыли по детям пулемётный огонь. Когда из домов за детьми выбежали матери, фашистские лётчики с пикирования начали сбрасывать бомбы. Убиты 6 детей и 8 женщин. 8 детей тяжело ранено.</w:t>
      </w:r>
    </w:p>
    <w:p w14:paraId="0CC843CD"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Бойцы партизанского отряда под командованием тов. Орехова, действующего в тылу противника на Западном направлении фронта, в течение нескольких дней наблюдали, как в лесу у деревни Подворица на большую поляну ежедневно опускались транспортные немецкие самолёты. Глубокой ночью разведчики прокрались в чащу леса и искусно замаскировались. Утром они увидели, как на поляну сел фашистский самолёт. Тотчас к самолёту подъехала автоцистерна, в которую был слит доставленный бензин. В течение дня приземлилось ещё несколько самолётов с бензином. Поздно вечером разведчики вернулись в свой отряд и доложили командиру о своих наблюдениях. Через два дня отряд партизан незаметно пробрался к этому аэродрому. Партизаны забросали гранатами и бутылками с горючим самолёт, стоявший на поле, автоцистерны и небольшое подземное бензинохранилище на опушке леса. Самолёт и весь запас авиационного бензина уничтожены. В перестрелке с партизанами немцы потеряли убитыми и ранеными 28 солдат.</w:t>
      </w:r>
    </w:p>
    <w:p w14:paraId="79DDD3A7"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Смелый налёт на большой конный обоз с продовольствием совершили партизаны у села Переволочная Витебской области. Сделав завал на дороге, по которой двигался немецкий обоз, партизаны открыли огонь по повозкам. Испуганные кони ринулись в лес, ломая повозки. Партизаны захватили много ящиков с консервами, три ручных пулемёта и пять автоматов.</w:t>
      </w:r>
    </w:p>
    <w:p w14:paraId="4E0DB91C"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 станции Торошино, Ленинградской области, партизанский отряд тов. Н. организовал крушение бронированной дрезины, на которой ехала в Псков группа немецких офицеров. Убито пять офицеров и четыре солдата. Прибывший к месту крушения конный разъезд фашистов также подвергся нападению. Из семи кавалеристов спасся только один. В этот же день отряд совершил нападение на автомашины противника у станции Струги Красные. Уничтожено семь грузовиков с патронами и одна автоцистерна с горючим для танков.</w:t>
      </w:r>
    </w:p>
    <w:p w14:paraId="7F83425B"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Трудящиеся Киева героическим трудом помогают Красной Армии громить фашистские полчища. На всех заводах и фабриках Киева досрочно выполняются и перевыполняются заказы фронта. Мужественно стоят на своих постах патриоты-железнодорожники. На станцию Д., расположенную близ столицы Украины, напали фашистские самолёты. Начальник станции т. Дремачёв, дежурный по станции т. Коняев, сигналист т. Филипенко, рискуя жизнью, быстро вывели на перегон поезд с горючим. Составители т.т. Таров и Раскалей расцепили находившиеся на станции эшелоны. Грузы были спасены. Самоотверженно работают киевские учёные. Институты Академии наук УССР внесли ряд ценных предложений, направленных к укреплению военного могущества страны. Научные работники Института клинической физиологии активно помогают госпиталям. Киев живёт полнокровной жизнью. В городе после работы трудящиеся изучают военное дело.» (14759).</w:t>
      </w:r>
    </w:p>
    <w:p w14:paraId="69959F6E" w14:textId="77777777" w:rsidR="00883F56" w:rsidRPr="00640820" w:rsidRDefault="00883F56" w:rsidP="00640820">
      <w:pPr>
        <w:spacing w:after="0" w:line="240" w:lineRule="auto"/>
        <w:jc w:val="both"/>
        <w:rPr>
          <w:rFonts w:ascii="Times New Roman" w:hAnsi="Times New Roman"/>
          <w:color w:val="000000" w:themeColor="text1"/>
          <w:sz w:val="16"/>
          <w:szCs w:val="16"/>
        </w:rPr>
      </w:pPr>
    </w:p>
    <w:p w14:paraId="2C124143"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4 сентября </w:t>
      </w:r>
      <w:r w:rsidRPr="00640820">
        <w:rPr>
          <w:rFonts w:ascii="Times New Roman" w:hAnsi="Times New Roman"/>
          <w:color w:val="000000" w:themeColor="text1"/>
          <w:sz w:val="16"/>
          <w:szCs w:val="16"/>
        </w:rPr>
        <w:t>в 1941 году вечернее сообщение Совинформбюро:</w:t>
      </w:r>
    </w:p>
    <w:p w14:paraId="535E7C4F"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4 сентября наши войска продолжали вести бои с противником на всём фронте.</w:t>
      </w:r>
    </w:p>
    <w:p w14:paraId="6AD3BBC9"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2 сентября наша авиация в воздушных боях и на аэродромах уничтожила 52 самолёта противника. Наши потери — 28 самолётов.</w:t>
      </w:r>
    </w:p>
    <w:p w14:paraId="57D80D19"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Балтийском море наша авиация и торпедные катера атаковали транспорты и сторожевой корабль противника. В результате атаки один транспорт и сторожевой корабль от попадания торпед затонули, два транспорта, получив крупные повреждения, выбросились на берег.</w:t>
      </w:r>
    </w:p>
    <w:p w14:paraId="167B5452"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Большие потери понесли немцы при попытке переправиться через реку Днепр на одном из участков фронта Юго-Западного направления. Ночью немецкая пехота пыталась форсировать реку, но была своевременно замечена нашими разведчиками. Ракеты ярко осветили переправу фашистов. Пулемётные и миномётные батареи открыли сильный огонь. На берегу и в реке немцы оставили сотни трупов. К рассвету наши разведчики донесли, что в пяти километрах вниз по реке немецкие сапёры снова готовят переправочные средства. Советские артиллеристы открыли огонь. Не выдержав сильного артиллерийского огня, фашисты вновь отступили, оставив около переправы до 300 убитых солдат. Полк майора Седельникова прочно обороняет свой участок реки. За три дня бойцы т. Седельникова уничтожили свыше 600 немецких солдат, много различного инженерного имущества, сбили 2 самолёта и разгромили противотанковую батарею немцев.</w:t>
      </w:r>
    </w:p>
    <w:p w14:paraId="145E9845"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Эскадрилья морской авиации Северного флота, которой командует капитан Сафонов, атаковала группу немецких самолётов. Враг пытался уклониться от боя, но наши лётчики отрезали ему отход. Капитан Сафонов, с дистанции в 50—70 метров дал четыре пулемётные очереди по «Хейнкелю»: фашистский самолёт загорелся и разбился о скалы. Немедленно после этой победы капитан бросился в лобовую атаку на «Мессершмитт». Враг принял бой и открыл стрельбу с 400 метров. Тов. Сафонов, сблизившись с противником на 200 метров, ударил по немцу из всех пулемётов. Фашистский лётчик не выдержал сильного огня и пытался скрыться, но, прижатый к земле, врезался в скалу. Это был одиннадцатый самолёт, сбитый капитаном Сафоновым за дни Отечественной войны.</w:t>
      </w:r>
    </w:p>
    <w:p w14:paraId="0C0457AD"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время переправы через реку Днепр старший лейтенант Т. А. Никитенко обнаружил, что немцы нашли неприкрытый нами проход к берегу реки и намереваются им воспользоваться. С 13 бойцами, вооружёнными автоматами и тремя ручными пулемётами, т. Никитенко занял огневую позицию. Подпустив противника на 400-500 метров, бойцы т. Никитенко начали косить немцев. Потеряв около 200 солдат и офицеров, фашистские цепи отошли.</w:t>
      </w:r>
    </w:p>
    <w:p w14:paraId="1DA43BB3"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Партизанское движение в Полесской области Белоруссии выросло в могучую силу, наносящую удар за ударом германским оккупантам. По сведениям, полученным только от нескольких партизанских отрядов, партизаны во второй половине августа уничтожили 960 немецких солдат и офицеров, 17 танков, 5 бронемашин, 4 орудия, 20 пулемётов, 9 миномётов, 38 грузовых и 8 легковых автомобилей, 340 мотоциклов и 22 автоцистерны с горючим. За это же время партизаны захватили и укрыли в лесах до-1.000 винтовок, 14 обозов с продовольствием, 243 ящика с патронами и 86 ящиков с ручными гранатами. Подбито и уничтожено на земле 2 фашистских бомбардировщика и 3 истребителя.</w:t>
      </w:r>
    </w:p>
    <w:p w14:paraId="4093102E"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Партизанский отряд под командованием землеустроителя т. Б. совершил налёт на немецкую автоколонну в нескольких километрах северо-западнее Наровля. 12 фашистских автомашин с боеприпасами остановились из-за порчи мотора головной машины. Солдаты охранения и шофёры, воспользовавшись остановкой, собрались на придорожной лесной поляне и намеревались позавтракать. Партизаны бесшумно подползли и одним залпом убили 9 фашистов. Немцы схватились за оружие. Партизаны начали бросать в фашистов ручные гранаты. В результате было уничтожено ещё несколько вражеских солдат и шофёров. Остальные прекратили стрельбу и сдались в плен. Партизаны взорвали все автомашины и скрылись.</w:t>
      </w:r>
    </w:p>
    <w:p w14:paraId="64E0797E"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Партизанский отряд под командованием жены председателя сельского кооператива Прасковьи Т. ночью напал в местечке Прудок на 2 дома, где расположился немецкий отряд мотоциклистов. Фашисты, пьянствовавшие накануне, крепко спали. Перебив всех находившихся в домах фашистов, партизаны уничтожили 20 мотоциклов, а 10 мотоциклов захватили с собой.</w:t>
      </w:r>
    </w:p>
    <w:p w14:paraId="12A1CD3D"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Партизанский отряд под командованием сотрудника земельного отдела т. Ф. захватил между Хойниками и Бабчином 2 немецких обоза с консервами. Перебив всех возчиков и солдат охранения, партизаны угнали повозки по тайным дорогам в лес.</w:t>
      </w:r>
    </w:p>
    <w:p w14:paraId="644B574D"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Германские фашисты поработили австрийский народ. Гитлер насильно бросил на Восточный фронт десятки тысяч австрийцев. Но австрийцы не хотят воевать против Советского Союза. Об этом свидетельствуют многочисленные показания пленных. Попавший в плен солдат 44 пехотной дивизии австриец Генрих Фром заявил: «Мы не хотим воевать против России. Единственное наше желание — поскорее попасть домой». Солдат 5 роты 132 полка австриец Александр Пекк говорит: «Австрийцы ненавидят Гитлера и при первой же возможности добровольно сдаются в плен». Солдат 248 велоэскадрона 168 пехотной дивизии Бернард Шмидт рассказал: «Командиром нашего эскадрона был австриец капитан Шайнерт. Недавно его отстранили и убрали. Солдаты говорят, что немцы ему не доверяют. Вместо него назначили немца, старшего лейтенанта графа фон Ойленбурга». Унтер-офицер артиллерийского полка 262 германской дивизии М. Винер сообщил: «Родом я из Австрии. Недавно я получил из дому письмо. Мне пишут, что немцы всё вывозят из Австрии. У крестьян отбирают последний кусок хлеба. Население голодает». Пленный солдат 486 полка Стефан Штицлер сказал: «Фашисты обрекли австрийский народ на голод и вымирание. Австрийцы получают по карточкам меньший рацион продуктов, чем немцы. Во всех государственных и коммунальных учреждениях сидят немецкие чиновники. Большинство австрийцев, насильно призванных в германскую армию, хочет поражения Гитлера и восстановления независимости Австрии».</w:t>
      </w:r>
    </w:p>
    <w:p w14:paraId="39612361"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Вместе с Красной Армией самоотверженно защищают свой родной город от гитлеровских полчищ бойцы ленинградских отрядов народного ополчения. В боях с Фашистскими ордами народные ополченцы показывают образцы бесстрашия и боевой выучки.</w:t>
      </w:r>
    </w:p>
    <w:p w14:paraId="5E97041F"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участок, обороняемый полком народного ополчения, наступала немецкая пехота при поддержке танков. Ополченцы, находясь в глубоких окопах, пропустили фашистские танки вперёд и открыли огонь по наступавшей вслед за ними пехоте. Ополченец Васильев метким огнём своей винтовки уничтожил 14 фашистских солдат. В другом бою т. Васильев под пулемётным огнём противника подполз к вражеским окопам и гранатами уничтожил фашистское пулемётное гнездо.</w:t>
      </w:r>
    </w:p>
    <w:p w14:paraId="628608D4"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Попав в окружение, подразделение тов. Милехина отбило атаку в несколько раз превосходящего противника, уничтожило бутылками с горючим и гранатами пять вражеских танков и стремительным ударом вышло из окружения, нанеся большой урон фашистской пехоте. Боец-ополченец Ионов заслуженно пользуется славой отважного и умелого разведчика. Тов. Ионов участвовал во многих разведках и уничтожил 25 фашистов, в том числе двух офицеров. Отлично действует связист — молодой ополченец Андреев. Получив в бою приказание срочно доставить приказ одному из наших подразделений, тов. Андреев прополз два километра под ожесточённым миномётным обстрелом противника и в срок выполнил боевое задание.» (14759).</w:t>
      </w:r>
    </w:p>
    <w:p w14:paraId="4B0D989D" w14:textId="77777777" w:rsidR="00883F56" w:rsidRPr="00640820" w:rsidRDefault="00883F56" w:rsidP="00640820">
      <w:pPr>
        <w:spacing w:after="0" w:line="240" w:lineRule="auto"/>
        <w:jc w:val="both"/>
        <w:rPr>
          <w:rFonts w:ascii="Times New Roman" w:hAnsi="Times New Roman"/>
          <w:color w:val="000000" w:themeColor="text1"/>
          <w:sz w:val="16"/>
          <w:szCs w:val="16"/>
        </w:rPr>
      </w:pPr>
    </w:p>
    <w:p w14:paraId="63A492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4 сентября 1941 И.В.С. писал по результатам противотанковой воздушной операции 29 августа - 3 сентября 1941: "Авиация действует хорошо, но она действовала бы лучше, если бы разведчики вызывали б быстро и по радио, а не возвращаясь к месту посадки..." (518,253).</w:t>
      </w:r>
    </w:p>
    <w:p w14:paraId="3B9825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Цель операции полностью достигнута не была и 2-я ТГруппа разгромлена не была, равно как не было сорвано ее наступление. Причины: недостаток авиации, мало экипажей, подготовленных для действий ночью, активность авиации осложнялась метеоусловиями (29 и 31 августа и 3 сентября - погода была ограниченно летной, а 4 и 5 - нелетной) (518,253).</w:t>
      </w:r>
    </w:p>
    <w:p w14:paraId="56F335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B68E6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Последний, десятый налет на Берлин, состоялся в ночь с 4 на 5 сентября 1941. В нем участвовали все уцелевшие экипажи 1-го МТАП, которые позвенно взлетали с интервалом 20 минут. На базу не вернулся самолет лейтенанта Милгунова (ДБ3 N 391114), а самолет лейтенанта Юрина совершил вынужденную посадку на брюхо (2691). К тому времени немецкое командование приняло решение полностью уничтожить советскую базу на Сааремаа, в результате чего налеты не прекращались весь день. Кроме тяжелых потерь в личном составе, 1-й МТАП лишился шести ДБ-3. В таких условиях было решено прекратить налеты на Берлин. Три уцелевших машины по приказу Жаворонкова вернулись на базу в Беззаботном. Самолеты приняли на борт максимально возможное число людей, некоторым пришлось лететь внутри бомбоотсеков. Несмотря на это, на острове оставалось еще около ста хороших специалистов из числа команды технического обслуживания. Все они погибли в боях с немцами или попали в плен (2691). Всего летчики совершили 86 боевых вылетов, в 33 случаях самолеты смогли дойти до Берлина и сбросить на немецкую столицу 311 бомб общей массой 30 тонн. За этот успех пришлось заплатить жизнью 9 экипажей и 20 самолетами. Наверное, потери были бы меньше, если не приказ Сталина использовать тяжелые 500 и 1000 кг бомбы. Конечно, ДБ-3 и ДБ-3Ф могли нести такие бомбы, но при условии, что самолеты были новыми. Кузнецов, получивший от Сталина такой приказ, пытался объяснить вождю, что это невозможно по техническим причинам, но лучший друг физкультурников был непреклонен. Знаменитый летчик-испытатель Владимир Коккинаки, который участвовал в том разговоре, подтвердил, что ДБ3 сможет донести тонну бомб до Берлина. Приказ, пришедший Жаворонкову, не содержал категорического требования: "Главнокомандующий рекомендует использовать бомбы ФАБ-500 и ФАБ-1000". Для перевозки таких бомб инженер Г.Г. Баранов смог подготовить только две машины с достаточным ресурсом двигателей. В ходе седьмого вылета с одной бомбой ФАБ-1000 поднялся самолет капитана Гречишникова, а самолет Богачева нес две ФАБ-500. Оба самолета рухнули на землю сразу после взлета. Перед этой операцией в Кагул прибыл Коккинаки, который стал учить летать ветеранов, прошедших финскую кампанию и два месяца воевавших с фашистами. На все возражения, испытатель отвечал одним аргументом: "Не забывайте, это не мой каприз, это задание Правительство и всего советского народа". После катастрофы Коккинаки, не глядя летчикам в глаза, сел в свой И-16 и был таков (2691). Среди участников налетов на Берлин был П. Хохлов, один из ведущих штурманов советской авиации. У Хохлова был талисман - рожковый гаечный ключ. Когда перед третьим налетом Хохлов не нашел ключа, он вылез из самолета и отказался лететь. Видя, что дело серьезное, все летчики перерыли аэродром, но нашли злополучный ключ. Позднее, когда ДБ-3 Хохлова сгорел, штурман долго рылся в его обломках, но все-таки нашел свой талисман. Он летал с ключом до самого конца войны (2691).</w:t>
      </w:r>
    </w:p>
    <w:p w14:paraId="127092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3B408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сентября 1941 года был проведен налет на аэродром Заводское. В 11:25 на операцию вылетели 6 Ил-2 из 18-го ШАП, 4 И-16 из 8-го Иап, а также 10 И-153 и несколько Як-1. В воздухе над немецким аэродромом кружили шесть Вf109, но штурмовики сделали боевой заход и уничтожили на земле 10 немецких самолетов. Немцам удалось сбить три советские машины (2691).</w:t>
      </w:r>
    </w:p>
    <w:p w14:paraId="2CACE9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0791A3F" w14:textId="77777777" w:rsidR="00987433" w:rsidRPr="00640820" w:rsidRDefault="00987433" w:rsidP="00640820">
      <w:pPr>
        <w:pStyle w:val="ae"/>
        <w:spacing w:before="0" w:after="0"/>
        <w:jc w:val="both"/>
        <w:textAlignment w:val="baseline"/>
        <w:rPr>
          <w:color w:val="000000" w:themeColor="text1"/>
          <w:sz w:val="16"/>
          <w:szCs w:val="16"/>
        </w:rPr>
      </w:pPr>
      <w:r w:rsidRPr="00640820">
        <w:rPr>
          <w:color w:val="000000" w:themeColor="text1"/>
          <w:sz w:val="16"/>
          <w:szCs w:val="16"/>
        </w:rPr>
        <w:t>Около полудня 4 сентября 1941 для удара по аэродрому Заводское на Черном море была направлена смешанная группа, включавшая шесть Илов, четыре И-16 из 8-го иап, а также десять И-153 и несколько Як-1. По возвращении пилоты отчитались о десяти уничтоженных на земле «Мессершмиттах». Но в то же время обратно не вернулись три самолета (19522).</w:t>
      </w:r>
    </w:p>
    <w:p w14:paraId="40F08248" w14:textId="77777777" w:rsidR="00987433" w:rsidRPr="00640820" w:rsidRDefault="00987433" w:rsidP="00640820">
      <w:pPr>
        <w:pStyle w:val="ae"/>
        <w:spacing w:before="0" w:after="0"/>
        <w:jc w:val="both"/>
        <w:textAlignment w:val="baseline"/>
        <w:rPr>
          <w:color w:val="000000" w:themeColor="text1"/>
          <w:sz w:val="16"/>
          <w:szCs w:val="16"/>
        </w:rPr>
      </w:pPr>
    </w:p>
    <w:p w14:paraId="65C2E2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4 сентября 1941 пара МБР-2 из 49-й эскадрильи (экипажи лейтенантов Ю.Х. Грязнова и П.П. Марьянкова) обнаружили и атаковали к западу от мыса Канин Нос немецкую подводную лодку в позиционном положении. После перезарядки самолёты ещё раз бомбили масляное пятно, образовавшееся после атаки. Под ударом оказалась </w:t>
      </w:r>
      <w:r w:rsidRPr="00640820">
        <w:rPr>
          <w:rFonts w:ascii="Times New Roman" w:hAnsi="Times New Roman"/>
          <w:color w:val="000000" w:themeColor="text1"/>
          <w:sz w:val="16"/>
          <w:szCs w:val="16"/>
          <w:lang w:val="en-US"/>
        </w:rPr>
        <w:t>U</w:t>
      </w:r>
      <w:r w:rsidRPr="00640820">
        <w:rPr>
          <w:rFonts w:ascii="Times New Roman" w:hAnsi="Times New Roman"/>
          <w:color w:val="000000" w:themeColor="text1"/>
          <w:sz w:val="16"/>
          <w:szCs w:val="16"/>
        </w:rPr>
        <w:t>-752, в результате чего на ней нарушилась герметичность топливных цистерн. Хотя немцы и не имели потерь в подводных лодках, патрулирование заставило их несколько снизить активность действий на подходах к Белому морю (12003).</w:t>
      </w:r>
    </w:p>
    <w:p w14:paraId="006975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8D3A9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сентября 1941 г. вышел ПРИКАЗ № 0083 О РАЗВЕРТЫВАНИИ ВОЗДУШНО-ДЕСАНТНЫХ ВОЙСК КРАСНОЙ АРМИИ</w:t>
      </w:r>
    </w:p>
    <w:p w14:paraId="1B124E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Утвердить план развертывания воздушно-десантных войск Красной Армии.</w:t>
      </w:r>
    </w:p>
    <w:p w14:paraId="284767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Начальникам управлений и главных управлений НКО обеспечить развертывание воздушно-десантных войск Красной Армии вооружением и материальной частью в сроки, указанные в плане.</w:t>
      </w:r>
    </w:p>
    <w:p w14:paraId="565DBC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Рядовой и младший начальствующий состав выделить на укомплектование воздушно-десантных войск по специальному отбору Главного управления воздушно-десантных войск из войсковых частей и соединений сухопутных и воздушных сил Красной Армии, а также за счет призыва молодежи рождения 1922 года и добровольцев.*</w:t>
      </w:r>
    </w:p>
    <w:p w14:paraId="651796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Укомплектование начальствующим составом развертываемых воздушно-десантных частей и соединений произвести Главному управлению воздушно-десантных войск за счет войсковых частей, штабов и центральных управлений сухопутных и воздушных сил Красной Армии.</w:t>
      </w:r>
    </w:p>
    <w:p w14:paraId="54EF39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Для подготовки кадров начальствующего состава воздушно-десантных войск Красной Армии создать:</w:t>
      </w:r>
    </w:p>
    <w:p w14:paraId="7883C8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курсы усовершенствования старшего и среднего командного состава с количеством слушателей в 500 человек. Курсы дислоцировать в г. Саратов;</w:t>
      </w:r>
    </w:p>
    <w:p w14:paraId="72B995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воздушно-десантное училище для подготовки командиров взводов всех специальностей с числом курсантов в 1000 человек. Училище сформировать на базе Куйбышевского пехотного училища;</w:t>
      </w:r>
    </w:p>
    <w:p w14:paraId="54A6D7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планерную школу воздушно-десантных войск для подготовки планеристов-буксировщиков численностью переменного состава в 400 человек. Школу сформировать на базе Саратовской школы пилотов первоначального обучения Военно-Воздушных Сил Красной Армии.</w:t>
      </w:r>
    </w:p>
    <w:p w14:paraId="1F9EC1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Приложение: на 2-х листах.</w:t>
      </w:r>
    </w:p>
    <w:p w14:paraId="2877CF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 xml:space="preserve">Народный комиссар обороны СССР И. СТАЛИН </w:t>
      </w:r>
      <w:r w:rsidRPr="00640820">
        <w:rPr>
          <w:rFonts w:ascii="Times New Roman" w:hAnsi="Times New Roman"/>
          <w:color w:val="000000" w:themeColor="text1"/>
          <w:sz w:val="16"/>
          <w:szCs w:val="16"/>
        </w:rPr>
        <w:t>(9844).</w:t>
      </w:r>
    </w:p>
    <w:p w14:paraId="176EA4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AAFAA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4 сентября 1941 Народный комиссар обороны Союза ССР </w:t>
      </w:r>
      <w:r w:rsidRPr="00640820">
        <w:rPr>
          <w:rFonts w:ascii="Times New Roman" w:hAnsi="Times New Roman"/>
          <w:iCs/>
          <w:color w:val="000000" w:themeColor="text1"/>
          <w:sz w:val="16"/>
          <w:szCs w:val="16"/>
        </w:rPr>
        <w:t xml:space="preserve">И. СТАЛИН </w:t>
      </w:r>
      <w:r w:rsidRPr="00640820">
        <w:rPr>
          <w:rFonts w:ascii="Times New Roman" w:hAnsi="Times New Roman"/>
          <w:color w:val="000000" w:themeColor="text1"/>
          <w:sz w:val="16"/>
          <w:szCs w:val="16"/>
        </w:rPr>
        <w:t>утвердил</w:t>
      </w:r>
    </w:p>
    <w:p w14:paraId="102DF3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 РАЗВЕРТЫВАНИЯ ВОЗДУШНО ДЕСАНТНЫХ ВОЙСК КРАСНОЙ АРМИИ</w:t>
      </w:r>
    </w:p>
    <w:tbl>
      <w:tblPr>
        <w:tblW w:w="0" w:type="auto"/>
        <w:tblInd w:w="2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1276"/>
        <w:gridCol w:w="709"/>
        <w:gridCol w:w="709"/>
        <w:gridCol w:w="992"/>
        <w:gridCol w:w="1134"/>
        <w:gridCol w:w="1417"/>
        <w:gridCol w:w="1560"/>
        <w:gridCol w:w="1559"/>
      </w:tblGrid>
      <w:tr w:rsidR="006B0687" w:rsidRPr="00640820" w14:paraId="66184AEC" w14:textId="77777777" w:rsidTr="000D3BCB">
        <w:trPr>
          <w:trHeight w:hRule="exact" w:val="240"/>
        </w:trPr>
        <w:tc>
          <w:tcPr>
            <w:tcW w:w="1276" w:type="dxa"/>
            <w:tcBorders>
              <w:top w:val="single" w:sz="12" w:space="0" w:color="auto"/>
            </w:tcBorders>
          </w:tcPr>
          <w:p w14:paraId="4DE93C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Формируемые и восстанавливаемые соединения и части</w:t>
            </w:r>
          </w:p>
        </w:tc>
        <w:tc>
          <w:tcPr>
            <w:tcW w:w="709" w:type="dxa"/>
            <w:gridSpan w:val="2"/>
            <w:tcBorders>
              <w:top w:val="single" w:sz="12" w:space="0" w:color="auto"/>
            </w:tcBorders>
          </w:tcPr>
          <w:p w14:paraId="07B3F4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Личный состав</w:t>
            </w:r>
          </w:p>
        </w:tc>
        <w:tc>
          <w:tcPr>
            <w:tcW w:w="992" w:type="dxa"/>
            <w:tcBorders>
              <w:top w:val="single" w:sz="12" w:space="0" w:color="auto"/>
            </w:tcBorders>
          </w:tcPr>
          <w:p w14:paraId="1DB14B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Сроки формирования и до-укомплектования</w:t>
            </w:r>
          </w:p>
        </w:tc>
        <w:tc>
          <w:tcPr>
            <w:tcW w:w="1134" w:type="dxa"/>
            <w:tcBorders>
              <w:top w:val="single" w:sz="12" w:space="0" w:color="auto"/>
            </w:tcBorders>
          </w:tcPr>
          <w:p w14:paraId="35B8B8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Сроки боевой подготовки</w:t>
            </w:r>
          </w:p>
        </w:tc>
        <w:tc>
          <w:tcPr>
            <w:tcW w:w="1417" w:type="dxa"/>
            <w:tcBorders>
              <w:top w:val="single" w:sz="12" w:space="0" w:color="auto"/>
            </w:tcBorders>
          </w:tcPr>
          <w:p w14:paraId="0A9A38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Сроки боевой готовности</w:t>
            </w:r>
          </w:p>
        </w:tc>
        <w:tc>
          <w:tcPr>
            <w:tcW w:w="1560" w:type="dxa"/>
            <w:tcBorders>
              <w:top w:val="single" w:sz="12" w:space="0" w:color="auto"/>
            </w:tcBorders>
          </w:tcPr>
          <w:p w14:paraId="596EDF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каком военном округе дислоцируется</w:t>
            </w:r>
          </w:p>
        </w:tc>
        <w:tc>
          <w:tcPr>
            <w:tcW w:w="1559" w:type="dxa"/>
            <w:tcBorders>
              <w:top w:val="single" w:sz="12" w:space="0" w:color="auto"/>
            </w:tcBorders>
          </w:tcPr>
          <w:p w14:paraId="0D85EE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Примечания</w:t>
            </w:r>
          </w:p>
        </w:tc>
      </w:tr>
      <w:tr w:rsidR="006B0687" w:rsidRPr="00640820" w14:paraId="1504BE12" w14:textId="77777777" w:rsidTr="000D3BCB">
        <w:trPr>
          <w:trHeight w:hRule="exact" w:val="240"/>
        </w:trPr>
        <w:tc>
          <w:tcPr>
            <w:tcW w:w="1276" w:type="dxa"/>
          </w:tcPr>
          <w:p w14:paraId="4CFF27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39E75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имеется налицо</w:t>
            </w:r>
          </w:p>
        </w:tc>
        <w:tc>
          <w:tcPr>
            <w:tcW w:w="709" w:type="dxa"/>
          </w:tcPr>
          <w:p w14:paraId="211D81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недостает</w:t>
            </w:r>
          </w:p>
        </w:tc>
        <w:tc>
          <w:tcPr>
            <w:tcW w:w="992" w:type="dxa"/>
          </w:tcPr>
          <w:p w14:paraId="040B29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B3FA6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3EB75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4B0B54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0CB4F4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B0687" w:rsidRPr="00640820" w14:paraId="0CCC35F3" w14:textId="77777777" w:rsidTr="000D3BCB">
        <w:trPr>
          <w:trHeight w:hRule="exact" w:val="240"/>
        </w:trPr>
        <w:tc>
          <w:tcPr>
            <w:tcW w:w="1276" w:type="dxa"/>
          </w:tcPr>
          <w:p w14:paraId="71FC76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709" w:type="dxa"/>
          </w:tcPr>
          <w:p w14:paraId="7D5555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709" w:type="dxa"/>
          </w:tcPr>
          <w:p w14:paraId="4DB564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c>
          <w:tcPr>
            <w:tcW w:w="992" w:type="dxa"/>
          </w:tcPr>
          <w:p w14:paraId="42EDB3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1134" w:type="dxa"/>
          </w:tcPr>
          <w:p w14:paraId="341512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1417" w:type="dxa"/>
          </w:tcPr>
          <w:p w14:paraId="277D5F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c>
          <w:tcPr>
            <w:tcW w:w="1560" w:type="dxa"/>
          </w:tcPr>
          <w:p w14:paraId="0FCCBA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w:t>
            </w:r>
          </w:p>
        </w:tc>
        <w:tc>
          <w:tcPr>
            <w:tcW w:w="1559" w:type="dxa"/>
          </w:tcPr>
          <w:p w14:paraId="3C0E54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w:t>
            </w:r>
          </w:p>
        </w:tc>
      </w:tr>
      <w:tr w:rsidR="006B0687" w:rsidRPr="00640820" w14:paraId="010C88C2" w14:textId="77777777" w:rsidTr="000D3BCB">
        <w:trPr>
          <w:trHeight w:hRule="exact" w:val="240"/>
        </w:trPr>
        <w:tc>
          <w:tcPr>
            <w:tcW w:w="1276" w:type="dxa"/>
          </w:tcPr>
          <w:p w14:paraId="113E6C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w:t>
            </w:r>
          </w:p>
        </w:tc>
        <w:tc>
          <w:tcPr>
            <w:tcW w:w="709" w:type="dxa"/>
          </w:tcPr>
          <w:p w14:paraId="22D10C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48CFB7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709" w:type="dxa"/>
          </w:tcPr>
          <w:p w14:paraId="63BFE2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53586E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992" w:type="dxa"/>
          </w:tcPr>
          <w:p w14:paraId="0290FA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0EECB5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1134" w:type="dxa"/>
          </w:tcPr>
          <w:p w14:paraId="29F072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085BAA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1417" w:type="dxa"/>
          </w:tcPr>
          <w:p w14:paraId="3F9607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79B39E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1560" w:type="dxa"/>
          </w:tcPr>
          <w:p w14:paraId="7AD646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095162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1559" w:type="dxa"/>
          </w:tcPr>
          <w:p w14:paraId="124A5D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49F2C2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r>
      <w:tr w:rsidR="006B0687" w:rsidRPr="00640820" w14:paraId="4956FD16" w14:textId="77777777" w:rsidTr="000D3BCB">
        <w:trPr>
          <w:trHeight w:hRule="exact" w:val="240"/>
        </w:trPr>
        <w:tc>
          <w:tcPr>
            <w:tcW w:w="1276" w:type="dxa"/>
          </w:tcPr>
          <w:p w14:paraId="58E727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воздушно-десантный корпус</w:t>
            </w:r>
          </w:p>
        </w:tc>
        <w:tc>
          <w:tcPr>
            <w:tcW w:w="709" w:type="dxa"/>
          </w:tcPr>
          <w:p w14:paraId="36F1E5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3068</w:t>
            </w:r>
          </w:p>
        </w:tc>
        <w:tc>
          <w:tcPr>
            <w:tcW w:w="709" w:type="dxa"/>
          </w:tcPr>
          <w:p w14:paraId="79094F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7260</w:t>
            </w:r>
          </w:p>
        </w:tc>
        <w:tc>
          <w:tcPr>
            <w:tcW w:w="992" w:type="dxa"/>
          </w:tcPr>
          <w:p w14:paraId="75462D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октября</w:t>
            </w:r>
          </w:p>
        </w:tc>
        <w:tc>
          <w:tcPr>
            <w:tcW w:w="1134" w:type="dxa"/>
          </w:tcPr>
          <w:p w14:paraId="203F23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1.10— 1.01</w:t>
            </w:r>
          </w:p>
        </w:tc>
        <w:tc>
          <w:tcPr>
            <w:tcW w:w="1417" w:type="dxa"/>
          </w:tcPr>
          <w:p w14:paraId="313973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января 1942 г.</w:t>
            </w:r>
          </w:p>
        </w:tc>
        <w:tc>
          <w:tcPr>
            <w:tcW w:w="1560" w:type="dxa"/>
          </w:tcPr>
          <w:p w14:paraId="04138F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Приволжский</w:t>
            </w:r>
          </w:p>
        </w:tc>
        <w:tc>
          <w:tcPr>
            <w:tcW w:w="1559" w:type="dxa"/>
          </w:tcPr>
          <w:p w14:paraId="7D83EE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0 суток отводится на пере-</w:t>
            </w:r>
          </w:p>
        </w:tc>
      </w:tr>
      <w:tr w:rsidR="006B0687" w:rsidRPr="00640820" w14:paraId="1E8FDA80" w14:textId="77777777" w:rsidTr="000D3BCB">
        <w:trPr>
          <w:trHeight w:hRule="exact" w:val="240"/>
        </w:trPr>
        <w:tc>
          <w:tcPr>
            <w:tcW w:w="1276" w:type="dxa"/>
          </w:tcPr>
          <w:p w14:paraId="293822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2-й воздушно-десантный корпус</w:t>
            </w:r>
          </w:p>
        </w:tc>
        <w:tc>
          <w:tcPr>
            <w:tcW w:w="709" w:type="dxa"/>
          </w:tcPr>
          <w:p w14:paraId="69A030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4200</w:t>
            </w:r>
          </w:p>
        </w:tc>
        <w:tc>
          <w:tcPr>
            <w:tcW w:w="709" w:type="dxa"/>
          </w:tcPr>
          <w:p w14:paraId="416D4D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6 128</w:t>
            </w:r>
          </w:p>
        </w:tc>
        <w:tc>
          <w:tcPr>
            <w:tcW w:w="992" w:type="dxa"/>
          </w:tcPr>
          <w:p w14:paraId="194EE4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октября</w:t>
            </w:r>
          </w:p>
        </w:tc>
        <w:tc>
          <w:tcPr>
            <w:tcW w:w="1134" w:type="dxa"/>
          </w:tcPr>
          <w:p w14:paraId="029194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1.10— 1.01</w:t>
            </w:r>
          </w:p>
        </w:tc>
        <w:tc>
          <w:tcPr>
            <w:tcW w:w="1417" w:type="dxa"/>
          </w:tcPr>
          <w:p w14:paraId="25FA27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января 1942 г.</w:t>
            </w:r>
          </w:p>
        </w:tc>
        <w:tc>
          <w:tcPr>
            <w:tcW w:w="1560" w:type="dxa"/>
          </w:tcPr>
          <w:p w14:paraId="08BBB4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Северо-Кавказский</w:t>
            </w:r>
          </w:p>
        </w:tc>
        <w:tc>
          <w:tcPr>
            <w:tcW w:w="1559" w:type="dxa"/>
          </w:tcPr>
          <w:p w14:paraId="24063E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дислоцирование</w:t>
            </w:r>
          </w:p>
        </w:tc>
      </w:tr>
      <w:tr w:rsidR="006B0687" w:rsidRPr="00640820" w14:paraId="0F0633BA" w14:textId="77777777" w:rsidTr="000D3BCB">
        <w:trPr>
          <w:trHeight w:hRule="exact" w:val="240"/>
        </w:trPr>
        <w:tc>
          <w:tcPr>
            <w:tcW w:w="1276" w:type="dxa"/>
          </w:tcPr>
          <w:p w14:paraId="0FBE16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3-й воздушно-десантный корпус</w:t>
            </w:r>
          </w:p>
        </w:tc>
        <w:tc>
          <w:tcPr>
            <w:tcW w:w="709" w:type="dxa"/>
          </w:tcPr>
          <w:p w14:paraId="0A72EB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3763</w:t>
            </w:r>
          </w:p>
        </w:tc>
        <w:tc>
          <w:tcPr>
            <w:tcW w:w="709" w:type="dxa"/>
          </w:tcPr>
          <w:p w14:paraId="75B1DE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6565</w:t>
            </w:r>
          </w:p>
        </w:tc>
        <w:tc>
          <w:tcPr>
            <w:tcW w:w="992" w:type="dxa"/>
          </w:tcPr>
          <w:p w14:paraId="43AF96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октября</w:t>
            </w:r>
          </w:p>
        </w:tc>
        <w:tc>
          <w:tcPr>
            <w:tcW w:w="1134" w:type="dxa"/>
          </w:tcPr>
          <w:p w14:paraId="4228CE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1.10— 1.01</w:t>
            </w:r>
          </w:p>
        </w:tc>
        <w:tc>
          <w:tcPr>
            <w:tcW w:w="1417" w:type="dxa"/>
          </w:tcPr>
          <w:p w14:paraId="3286AE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января 1942 г.</w:t>
            </w:r>
          </w:p>
        </w:tc>
        <w:tc>
          <w:tcPr>
            <w:tcW w:w="1560" w:type="dxa"/>
          </w:tcPr>
          <w:p w14:paraId="73CE74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Северо-Кавказский</w:t>
            </w:r>
          </w:p>
        </w:tc>
        <w:tc>
          <w:tcPr>
            <w:tcW w:w="1559" w:type="dxa"/>
          </w:tcPr>
          <w:p w14:paraId="525F8E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корпуса</w:t>
            </w:r>
          </w:p>
          <w:p w14:paraId="36F278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B0687" w:rsidRPr="00640820" w14:paraId="33EB0558" w14:textId="77777777" w:rsidTr="000D3BCB">
        <w:trPr>
          <w:trHeight w:hRule="exact" w:val="240"/>
        </w:trPr>
        <w:tc>
          <w:tcPr>
            <w:tcW w:w="1276" w:type="dxa"/>
          </w:tcPr>
          <w:p w14:paraId="7BFB1C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4-й воздушно-десантный корпус</w:t>
            </w:r>
          </w:p>
        </w:tc>
        <w:tc>
          <w:tcPr>
            <w:tcW w:w="709" w:type="dxa"/>
          </w:tcPr>
          <w:p w14:paraId="6B904B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736</w:t>
            </w:r>
          </w:p>
        </w:tc>
        <w:tc>
          <w:tcPr>
            <w:tcW w:w="709" w:type="dxa"/>
          </w:tcPr>
          <w:p w14:paraId="199E94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9592</w:t>
            </w:r>
          </w:p>
        </w:tc>
        <w:tc>
          <w:tcPr>
            <w:tcW w:w="992" w:type="dxa"/>
          </w:tcPr>
          <w:p w14:paraId="73A605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октября</w:t>
            </w:r>
          </w:p>
        </w:tc>
        <w:tc>
          <w:tcPr>
            <w:tcW w:w="1134" w:type="dxa"/>
          </w:tcPr>
          <w:p w14:paraId="43323E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1.10— 1.01</w:t>
            </w:r>
          </w:p>
        </w:tc>
        <w:tc>
          <w:tcPr>
            <w:tcW w:w="1417" w:type="dxa"/>
          </w:tcPr>
          <w:p w14:paraId="79903A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января 1942 г.</w:t>
            </w:r>
          </w:p>
        </w:tc>
        <w:tc>
          <w:tcPr>
            <w:tcW w:w="1560" w:type="dxa"/>
          </w:tcPr>
          <w:p w14:paraId="2D24E9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Приволжский</w:t>
            </w:r>
          </w:p>
        </w:tc>
        <w:tc>
          <w:tcPr>
            <w:tcW w:w="1559" w:type="dxa"/>
          </w:tcPr>
          <w:p w14:paraId="7C145A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B0687" w:rsidRPr="00640820" w14:paraId="4F8AC0A5" w14:textId="77777777" w:rsidTr="000D3BCB">
        <w:trPr>
          <w:trHeight w:hRule="exact" w:val="240"/>
        </w:trPr>
        <w:tc>
          <w:tcPr>
            <w:tcW w:w="1276" w:type="dxa"/>
          </w:tcPr>
          <w:p w14:paraId="5A38C9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5-й воздушно-десантный корпус</w:t>
            </w:r>
          </w:p>
        </w:tc>
        <w:tc>
          <w:tcPr>
            <w:tcW w:w="709" w:type="dxa"/>
          </w:tcPr>
          <w:p w14:paraId="4F9426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7600</w:t>
            </w:r>
          </w:p>
        </w:tc>
        <w:tc>
          <w:tcPr>
            <w:tcW w:w="709" w:type="dxa"/>
          </w:tcPr>
          <w:p w14:paraId="01A435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2728</w:t>
            </w:r>
          </w:p>
        </w:tc>
        <w:tc>
          <w:tcPr>
            <w:tcW w:w="992" w:type="dxa"/>
          </w:tcPr>
          <w:p w14:paraId="13AF8A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сентября</w:t>
            </w:r>
          </w:p>
        </w:tc>
        <w:tc>
          <w:tcPr>
            <w:tcW w:w="1134" w:type="dxa"/>
          </w:tcPr>
          <w:p w14:paraId="50650D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15.10— 1.11</w:t>
            </w:r>
          </w:p>
        </w:tc>
        <w:tc>
          <w:tcPr>
            <w:tcW w:w="1417" w:type="dxa"/>
          </w:tcPr>
          <w:p w14:paraId="4FB3F3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ноября 1941 г.</w:t>
            </w:r>
          </w:p>
        </w:tc>
        <w:tc>
          <w:tcPr>
            <w:tcW w:w="1560" w:type="dxa"/>
          </w:tcPr>
          <w:p w14:paraId="459EAE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Московский</w:t>
            </w:r>
          </w:p>
        </w:tc>
        <w:tc>
          <w:tcPr>
            <w:tcW w:w="1559" w:type="dxa"/>
          </w:tcPr>
          <w:p w14:paraId="73A259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3650A9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r>
      <w:tr w:rsidR="006B0687" w:rsidRPr="00640820" w14:paraId="38D7D8A0" w14:textId="77777777" w:rsidTr="000D3BCB">
        <w:trPr>
          <w:trHeight w:hRule="exact" w:val="240"/>
        </w:trPr>
        <w:tc>
          <w:tcPr>
            <w:tcW w:w="1276" w:type="dxa"/>
          </w:tcPr>
          <w:p w14:paraId="190D4F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6-й воздушно-десантный корпус</w:t>
            </w:r>
          </w:p>
        </w:tc>
        <w:tc>
          <w:tcPr>
            <w:tcW w:w="709" w:type="dxa"/>
          </w:tcPr>
          <w:p w14:paraId="2EB018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09" w:type="dxa"/>
          </w:tcPr>
          <w:p w14:paraId="34B069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10328</w:t>
            </w:r>
          </w:p>
        </w:tc>
        <w:tc>
          <w:tcPr>
            <w:tcW w:w="992" w:type="dxa"/>
          </w:tcPr>
          <w:p w14:paraId="6EBE42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октября</w:t>
            </w:r>
          </w:p>
        </w:tc>
        <w:tc>
          <w:tcPr>
            <w:tcW w:w="1134" w:type="dxa"/>
          </w:tcPr>
          <w:p w14:paraId="141B38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20.10 — 20.01</w:t>
            </w:r>
          </w:p>
        </w:tc>
        <w:tc>
          <w:tcPr>
            <w:tcW w:w="1417" w:type="dxa"/>
          </w:tcPr>
          <w:p w14:paraId="73647F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февраля 1942 г.</w:t>
            </w:r>
          </w:p>
        </w:tc>
        <w:tc>
          <w:tcPr>
            <w:tcW w:w="1560" w:type="dxa"/>
          </w:tcPr>
          <w:p w14:paraId="7181AD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Уральский</w:t>
            </w:r>
          </w:p>
        </w:tc>
        <w:tc>
          <w:tcPr>
            <w:tcW w:w="1559" w:type="dxa"/>
          </w:tcPr>
          <w:p w14:paraId="16F218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60946A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r>
      <w:tr w:rsidR="006B0687" w:rsidRPr="00640820" w14:paraId="648CE7A8" w14:textId="77777777" w:rsidTr="000D3BCB">
        <w:trPr>
          <w:trHeight w:hRule="exact" w:val="240"/>
        </w:trPr>
        <w:tc>
          <w:tcPr>
            <w:tcW w:w="1276" w:type="dxa"/>
          </w:tcPr>
          <w:p w14:paraId="4B9E3E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7-й воздушно-десантный корпус</w:t>
            </w:r>
          </w:p>
        </w:tc>
        <w:tc>
          <w:tcPr>
            <w:tcW w:w="709" w:type="dxa"/>
          </w:tcPr>
          <w:p w14:paraId="10D56B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09" w:type="dxa"/>
          </w:tcPr>
          <w:p w14:paraId="6686EC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10328</w:t>
            </w:r>
          </w:p>
        </w:tc>
        <w:tc>
          <w:tcPr>
            <w:tcW w:w="992" w:type="dxa"/>
          </w:tcPr>
          <w:p w14:paraId="6122EB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октября</w:t>
            </w:r>
          </w:p>
        </w:tc>
        <w:tc>
          <w:tcPr>
            <w:tcW w:w="1134" w:type="dxa"/>
          </w:tcPr>
          <w:p w14:paraId="13AAF4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20.10 — 20.01</w:t>
            </w:r>
          </w:p>
        </w:tc>
        <w:tc>
          <w:tcPr>
            <w:tcW w:w="1417" w:type="dxa"/>
          </w:tcPr>
          <w:p w14:paraId="207927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февраля 1942 г.</w:t>
            </w:r>
          </w:p>
        </w:tc>
        <w:tc>
          <w:tcPr>
            <w:tcW w:w="1560" w:type="dxa"/>
          </w:tcPr>
          <w:p w14:paraId="62E687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Приволжский</w:t>
            </w:r>
          </w:p>
        </w:tc>
        <w:tc>
          <w:tcPr>
            <w:tcW w:w="1559" w:type="dxa"/>
          </w:tcPr>
          <w:p w14:paraId="40F765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6DF82A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r>
      <w:tr w:rsidR="006B0687" w:rsidRPr="00640820" w14:paraId="61F05367" w14:textId="77777777" w:rsidTr="000D3BCB">
        <w:trPr>
          <w:trHeight w:hRule="exact" w:val="240"/>
        </w:trPr>
        <w:tc>
          <w:tcPr>
            <w:tcW w:w="1276" w:type="dxa"/>
          </w:tcPr>
          <w:p w14:paraId="0CA005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8-й воздушно-десантный корпус</w:t>
            </w:r>
          </w:p>
        </w:tc>
        <w:tc>
          <w:tcPr>
            <w:tcW w:w="709" w:type="dxa"/>
          </w:tcPr>
          <w:p w14:paraId="71EEA8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09" w:type="dxa"/>
          </w:tcPr>
          <w:p w14:paraId="6BC5FB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10328</w:t>
            </w:r>
          </w:p>
        </w:tc>
        <w:tc>
          <w:tcPr>
            <w:tcW w:w="992" w:type="dxa"/>
          </w:tcPr>
          <w:p w14:paraId="256060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октября</w:t>
            </w:r>
          </w:p>
        </w:tc>
        <w:tc>
          <w:tcPr>
            <w:tcW w:w="1134" w:type="dxa"/>
          </w:tcPr>
          <w:p w14:paraId="7D73BD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20.10 — 20.01</w:t>
            </w:r>
          </w:p>
        </w:tc>
        <w:tc>
          <w:tcPr>
            <w:tcW w:w="1417" w:type="dxa"/>
          </w:tcPr>
          <w:p w14:paraId="5C2CD6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февраля 1942 г.</w:t>
            </w:r>
          </w:p>
        </w:tc>
        <w:tc>
          <w:tcPr>
            <w:tcW w:w="1560" w:type="dxa"/>
          </w:tcPr>
          <w:p w14:paraId="3F24B8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Приволжский</w:t>
            </w:r>
          </w:p>
        </w:tc>
        <w:tc>
          <w:tcPr>
            <w:tcW w:w="1559" w:type="dxa"/>
          </w:tcPr>
          <w:p w14:paraId="7ECCE9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1629F0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r>
      <w:tr w:rsidR="006B0687" w:rsidRPr="00640820" w14:paraId="5230D3CE" w14:textId="77777777" w:rsidTr="000D3BCB">
        <w:trPr>
          <w:trHeight w:hRule="exact" w:val="240"/>
        </w:trPr>
        <w:tc>
          <w:tcPr>
            <w:tcW w:w="1276" w:type="dxa"/>
          </w:tcPr>
          <w:p w14:paraId="5BBC7A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9-й воздушно-десантный корпус</w:t>
            </w:r>
          </w:p>
        </w:tc>
        <w:tc>
          <w:tcPr>
            <w:tcW w:w="709" w:type="dxa"/>
          </w:tcPr>
          <w:p w14:paraId="68C0B3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09" w:type="dxa"/>
          </w:tcPr>
          <w:p w14:paraId="43AFBD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10328</w:t>
            </w:r>
          </w:p>
        </w:tc>
        <w:tc>
          <w:tcPr>
            <w:tcW w:w="992" w:type="dxa"/>
          </w:tcPr>
          <w:p w14:paraId="47FD29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октября</w:t>
            </w:r>
          </w:p>
        </w:tc>
        <w:tc>
          <w:tcPr>
            <w:tcW w:w="1134" w:type="dxa"/>
          </w:tcPr>
          <w:p w14:paraId="562D21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20.10 — 20.01</w:t>
            </w:r>
          </w:p>
        </w:tc>
        <w:tc>
          <w:tcPr>
            <w:tcW w:w="1417" w:type="dxa"/>
          </w:tcPr>
          <w:p w14:paraId="1C6F33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февраля 1942 г.</w:t>
            </w:r>
          </w:p>
        </w:tc>
        <w:tc>
          <w:tcPr>
            <w:tcW w:w="1560" w:type="dxa"/>
          </w:tcPr>
          <w:p w14:paraId="712774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Приволжский</w:t>
            </w:r>
          </w:p>
        </w:tc>
        <w:tc>
          <w:tcPr>
            <w:tcW w:w="1559" w:type="dxa"/>
          </w:tcPr>
          <w:p w14:paraId="11ABFE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0E619F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r>
      <w:tr w:rsidR="006B0687" w:rsidRPr="00640820" w14:paraId="1911505F" w14:textId="77777777" w:rsidTr="000D3BCB">
        <w:trPr>
          <w:trHeight w:hRule="exact" w:val="240"/>
        </w:trPr>
        <w:tc>
          <w:tcPr>
            <w:tcW w:w="1276" w:type="dxa"/>
          </w:tcPr>
          <w:p w14:paraId="363A6B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10-й воздушно-десантный корпус</w:t>
            </w:r>
          </w:p>
        </w:tc>
        <w:tc>
          <w:tcPr>
            <w:tcW w:w="709" w:type="dxa"/>
          </w:tcPr>
          <w:p w14:paraId="7A412C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09" w:type="dxa"/>
          </w:tcPr>
          <w:p w14:paraId="316193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10328</w:t>
            </w:r>
          </w:p>
        </w:tc>
        <w:tc>
          <w:tcPr>
            <w:tcW w:w="992" w:type="dxa"/>
          </w:tcPr>
          <w:p w14:paraId="075962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октября</w:t>
            </w:r>
          </w:p>
        </w:tc>
        <w:tc>
          <w:tcPr>
            <w:tcW w:w="1134" w:type="dxa"/>
          </w:tcPr>
          <w:p w14:paraId="0B2480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20.10 — 20.01</w:t>
            </w:r>
          </w:p>
        </w:tc>
        <w:tc>
          <w:tcPr>
            <w:tcW w:w="1417" w:type="dxa"/>
          </w:tcPr>
          <w:p w14:paraId="126FCF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февраля 1942 г.</w:t>
            </w:r>
          </w:p>
        </w:tc>
        <w:tc>
          <w:tcPr>
            <w:tcW w:w="1560" w:type="dxa"/>
          </w:tcPr>
          <w:p w14:paraId="666859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Приволжский</w:t>
            </w:r>
          </w:p>
        </w:tc>
        <w:tc>
          <w:tcPr>
            <w:tcW w:w="1559" w:type="dxa"/>
          </w:tcPr>
          <w:p w14:paraId="4C2D54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0215CA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r>
      <w:tr w:rsidR="006B0687" w:rsidRPr="00640820" w14:paraId="12AB254E" w14:textId="77777777" w:rsidTr="000D3BCB">
        <w:trPr>
          <w:trHeight w:hRule="exact" w:val="240"/>
        </w:trPr>
        <w:tc>
          <w:tcPr>
            <w:tcW w:w="1276" w:type="dxa"/>
          </w:tcPr>
          <w:p w14:paraId="48450D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w:t>
            </w:r>
          </w:p>
        </w:tc>
        <w:tc>
          <w:tcPr>
            <w:tcW w:w="709" w:type="dxa"/>
          </w:tcPr>
          <w:p w14:paraId="1C2B7D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4B8A7D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709" w:type="dxa"/>
          </w:tcPr>
          <w:p w14:paraId="1B0935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4B463A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992" w:type="dxa"/>
          </w:tcPr>
          <w:p w14:paraId="602CD8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337630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1134" w:type="dxa"/>
          </w:tcPr>
          <w:p w14:paraId="582F4C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2996DE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1417" w:type="dxa"/>
          </w:tcPr>
          <w:p w14:paraId="1BF34A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5F7046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1560" w:type="dxa"/>
          </w:tcPr>
          <w:p w14:paraId="715467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4E215D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1559" w:type="dxa"/>
          </w:tcPr>
          <w:p w14:paraId="71045E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4FA89D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r>
      <w:tr w:rsidR="006B0687" w:rsidRPr="00640820" w14:paraId="4C20626D" w14:textId="77777777" w:rsidTr="000D3BCB">
        <w:trPr>
          <w:trHeight w:hRule="exact" w:val="240"/>
        </w:trPr>
        <w:tc>
          <w:tcPr>
            <w:tcW w:w="1276" w:type="dxa"/>
          </w:tcPr>
          <w:p w14:paraId="4AC2CD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1-я маневренная воздушно-десантная бригада</w:t>
            </w:r>
          </w:p>
        </w:tc>
        <w:tc>
          <w:tcPr>
            <w:tcW w:w="709" w:type="dxa"/>
          </w:tcPr>
          <w:p w14:paraId="2E48AE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09" w:type="dxa"/>
          </w:tcPr>
          <w:p w14:paraId="35536D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3284</w:t>
            </w:r>
          </w:p>
        </w:tc>
        <w:tc>
          <w:tcPr>
            <w:tcW w:w="992" w:type="dxa"/>
          </w:tcPr>
          <w:p w14:paraId="5C923F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октября</w:t>
            </w:r>
          </w:p>
        </w:tc>
        <w:tc>
          <w:tcPr>
            <w:tcW w:w="1134" w:type="dxa"/>
          </w:tcPr>
          <w:p w14:paraId="718EC4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1.10— 1.01</w:t>
            </w:r>
          </w:p>
        </w:tc>
        <w:tc>
          <w:tcPr>
            <w:tcW w:w="1417" w:type="dxa"/>
          </w:tcPr>
          <w:p w14:paraId="0D0B54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января 1942 г.</w:t>
            </w:r>
          </w:p>
        </w:tc>
        <w:tc>
          <w:tcPr>
            <w:tcW w:w="1560" w:type="dxa"/>
          </w:tcPr>
          <w:p w14:paraId="06A301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Уральский</w:t>
            </w:r>
          </w:p>
        </w:tc>
        <w:tc>
          <w:tcPr>
            <w:tcW w:w="1559" w:type="dxa"/>
          </w:tcPr>
          <w:p w14:paraId="366B79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5411DB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r>
      <w:tr w:rsidR="006B0687" w:rsidRPr="00640820" w14:paraId="78DE6C33" w14:textId="77777777" w:rsidTr="000D3BCB">
        <w:trPr>
          <w:trHeight w:hRule="exact" w:val="240"/>
        </w:trPr>
        <w:tc>
          <w:tcPr>
            <w:tcW w:w="1276" w:type="dxa"/>
          </w:tcPr>
          <w:p w14:paraId="116CBD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2-я маневренная воздушно-десантная бригада</w:t>
            </w:r>
          </w:p>
        </w:tc>
        <w:tc>
          <w:tcPr>
            <w:tcW w:w="709" w:type="dxa"/>
          </w:tcPr>
          <w:p w14:paraId="13BDF3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09" w:type="dxa"/>
          </w:tcPr>
          <w:p w14:paraId="792AB2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3284</w:t>
            </w:r>
          </w:p>
        </w:tc>
        <w:tc>
          <w:tcPr>
            <w:tcW w:w="992" w:type="dxa"/>
          </w:tcPr>
          <w:p w14:paraId="76146B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октября</w:t>
            </w:r>
          </w:p>
        </w:tc>
        <w:tc>
          <w:tcPr>
            <w:tcW w:w="1134" w:type="dxa"/>
          </w:tcPr>
          <w:p w14:paraId="086F44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1.10— 1.01</w:t>
            </w:r>
          </w:p>
        </w:tc>
        <w:tc>
          <w:tcPr>
            <w:tcW w:w="1417" w:type="dxa"/>
          </w:tcPr>
          <w:p w14:paraId="2FA231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января 1942 г.</w:t>
            </w:r>
          </w:p>
        </w:tc>
        <w:tc>
          <w:tcPr>
            <w:tcW w:w="1560" w:type="dxa"/>
          </w:tcPr>
          <w:p w14:paraId="7C61D0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Приволжский</w:t>
            </w:r>
          </w:p>
        </w:tc>
        <w:tc>
          <w:tcPr>
            <w:tcW w:w="1559" w:type="dxa"/>
          </w:tcPr>
          <w:p w14:paraId="4F7747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2E07B6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r>
      <w:tr w:rsidR="006B0687" w:rsidRPr="00640820" w14:paraId="29D92244" w14:textId="77777777" w:rsidTr="000D3BCB">
        <w:trPr>
          <w:trHeight w:hRule="exact" w:val="240"/>
        </w:trPr>
        <w:tc>
          <w:tcPr>
            <w:tcW w:w="1276" w:type="dxa"/>
          </w:tcPr>
          <w:p w14:paraId="07E9DB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3-я маневренная воздушно-десантная бригада</w:t>
            </w:r>
          </w:p>
        </w:tc>
        <w:tc>
          <w:tcPr>
            <w:tcW w:w="709" w:type="dxa"/>
          </w:tcPr>
          <w:p w14:paraId="31A73F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09" w:type="dxa"/>
          </w:tcPr>
          <w:p w14:paraId="784D75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3284</w:t>
            </w:r>
          </w:p>
        </w:tc>
        <w:tc>
          <w:tcPr>
            <w:tcW w:w="992" w:type="dxa"/>
          </w:tcPr>
          <w:p w14:paraId="4EA414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ноября</w:t>
            </w:r>
          </w:p>
        </w:tc>
        <w:tc>
          <w:tcPr>
            <w:tcW w:w="1134" w:type="dxa"/>
          </w:tcPr>
          <w:p w14:paraId="07A67D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1.11 — 1.02</w:t>
            </w:r>
          </w:p>
        </w:tc>
        <w:tc>
          <w:tcPr>
            <w:tcW w:w="1417" w:type="dxa"/>
          </w:tcPr>
          <w:p w14:paraId="191753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февраля 1942 г.</w:t>
            </w:r>
          </w:p>
        </w:tc>
        <w:tc>
          <w:tcPr>
            <w:tcW w:w="1560" w:type="dxa"/>
          </w:tcPr>
          <w:p w14:paraId="2EE58D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Приволжский</w:t>
            </w:r>
          </w:p>
        </w:tc>
        <w:tc>
          <w:tcPr>
            <w:tcW w:w="1559" w:type="dxa"/>
          </w:tcPr>
          <w:p w14:paraId="376F27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3E38F3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r>
      <w:tr w:rsidR="006B0687" w:rsidRPr="00640820" w14:paraId="7DBCEB60" w14:textId="77777777" w:rsidTr="000D3BCB">
        <w:trPr>
          <w:trHeight w:hRule="exact" w:val="240"/>
        </w:trPr>
        <w:tc>
          <w:tcPr>
            <w:tcW w:w="1276" w:type="dxa"/>
          </w:tcPr>
          <w:p w14:paraId="0A0444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4-я маневренная воздушно-десантная бригада</w:t>
            </w:r>
          </w:p>
        </w:tc>
        <w:tc>
          <w:tcPr>
            <w:tcW w:w="709" w:type="dxa"/>
          </w:tcPr>
          <w:p w14:paraId="60CF31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09" w:type="dxa"/>
          </w:tcPr>
          <w:p w14:paraId="0797BB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3284</w:t>
            </w:r>
          </w:p>
        </w:tc>
        <w:tc>
          <w:tcPr>
            <w:tcW w:w="992" w:type="dxa"/>
          </w:tcPr>
          <w:p w14:paraId="62FBF4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ноября</w:t>
            </w:r>
          </w:p>
        </w:tc>
        <w:tc>
          <w:tcPr>
            <w:tcW w:w="1134" w:type="dxa"/>
          </w:tcPr>
          <w:p w14:paraId="76D99C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1.11 — 1.02</w:t>
            </w:r>
          </w:p>
        </w:tc>
        <w:tc>
          <w:tcPr>
            <w:tcW w:w="1417" w:type="dxa"/>
          </w:tcPr>
          <w:p w14:paraId="155E4D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февраля 1942 г.</w:t>
            </w:r>
          </w:p>
        </w:tc>
        <w:tc>
          <w:tcPr>
            <w:tcW w:w="1560" w:type="dxa"/>
          </w:tcPr>
          <w:p w14:paraId="5DCA88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Северо-Кавказский</w:t>
            </w:r>
          </w:p>
        </w:tc>
        <w:tc>
          <w:tcPr>
            <w:tcW w:w="1559" w:type="dxa"/>
          </w:tcPr>
          <w:p w14:paraId="3DE2AA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3BA681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r>
      <w:tr w:rsidR="006B0687" w:rsidRPr="00640820" w14:paraId="31B58DEA" w14:textId="77777777" w:rsidTr="000D3BCB">
        <w:trPr>
          <w:trHeight w:hRule="exact" w:val="240"/>
        </w:trPr>
        <w:tc>
          <w:tcPr>
            <w:tcW w:w="1276" w:type="dxa"/>
          </w:tcPr>
          <w:p w14:paraId="539EBC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5-я маневренная воздушно-десантная бригада</w:t>
            </w:r>
          </w:p>
        </w:tc>
        <w:tc>
          <w:tcPr>
            <w:tcW w:w="709" w:type="dxa"/>
          </w:tcPr>
          <w:p w14:paraId="0BC4D3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09" w:type="dxa"/>
          </w:tcPr>
          <w:p w14:paraId="18FE71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3284</w:t>
            </w:r>
          </w:p>
        </w:tc>
        <w:tc>
          <w:tcPr>
            <w:tcW w:w="992" w:type="dxa"/>
          </w:tcPr>
          <w:p w14:paraId="7463C2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ноября</w:t>
            </w:r>
          </w:p>
        </w:tc>
        <w:tc>
          <w:tcPr>
            <w:tcW w:w="1134" w:type="dxa"/>
          </w:tcPr>
          <w:p w14:paraId="3219E8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1.11 — 1.02</w:t>
            </w:r>
          </w:p>
        </w:tc>
        <w:tc>
          <w:tcPr>
            <w:tcW w:w="1417" w:type="dxa"/>
          </w:tcPr>
          <w:p w14:paraId="26EB63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февраля 1942 г.</w:t>
            </w:r>
          </w:p>
        </w:tc>
        <w:tc>
          <w:tcPr>
            <w:tcW w:w="1560" w:type="dxa"/>
          </w:tcPr>
          <w:p w14:paraId="2F4B74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Северо-Кавказский</w:t>
            </w:r>
          </w:p>
        </w:tc>
        <w:tc>
          <w:tcPr>
            <w:tcW w:w="1559" w:type="dxa"/>
          </w:tcPr>
          <w:p w14:paraId="7CC516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2FFA55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r>
      <w:tr w:rsidR="006B0687" w:rsidRPr="00640820" w14:paraId="36D30BDD" w14:textId="77777777" w:rsidTr="000D3BCB">
        <w:trPr>
          <w:trHeight w:hRule="exact" w:val="240"/>
        </w:trPr>
        <w:tc>
          <w:tcPr>
            <w:tcW w:w="1276" w:type="dxa"/>
          </w:tcPr>
          <w:p w14:paraId="1D1209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w:t>
            </w:r>
          </w:p>
        </w:tc>
        <w:tc>
          <w:tcPr>
            <w:tcW w:w="709" w:type="dxa"/>
          </w:tcPr>
          <w:p w14:paraId="57F3DB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413F3C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709" w:type="dxa"/>
          </w:tcPr>
          <w:p w14:paraId="31F89E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29E38B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992" w:type="dxa"/>
          </w:tcPr>
          <w:p w14:paraId="195D33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2785E1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1134" w:type="dxa"/>
          </w:tcPr>
          <w:p w14:paraId="5620EF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4896F2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1417" w:type="dxa"/>
          </w:tcPr>
          <w:p w14:paraId="61D187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3E57DA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1560" w:type="dxa"/>
          </w:tcPr>
          <w:p w14:paraId="4B6BE6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0574A2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1559" w:type="dxa"/>
          </w:tcPr>
          <w:p w14:paraId="669BD7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039CF0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r>
      <w:tr w:rsidR="006B0687" w:rsidRPr="00640820" w14:paraId="2EBC0FD1" w14:textId="77777777" w:rsidTr="000D3BCB">
        <w:trPr>
          <w:trHeight w:hRule="exact" w:val="240"/>
        </w:trPr>
        <w:tc>
          <w:tcPr>
            <w:tcW w:w="1276" w:type="dxa"/>
          </w:tcPr>
          <w:p w14:paraId="597AE2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Запасные воздушно-десантные полки №№ 1 — 4</w:t>
            </w:r>
          </w:p>
        </w:tc>
        <w:tc>
          <w:tcPr>
            <w:tcW w:w="709" w:type="dxa"/>
          </w:tcPr>
          <w:p w14:paraId="5A4B1C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09" w:type="dxa"/>
          </w:tcPr>
          <w:p w14:paraId="0E82A1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12000</w:t>
            </w:r>
          </w:p>
        </w:tc>
        <w:tc>
          <w:tcPr>
            <w:tcW w:w="992" w:type="dxa"/>
          </w:tcPr>
          <w:p w14:paraId="447247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ноября</w:t>
            </w:r>
          </w:p>
        </w:tc>
        <w:tc>
          <w:tcPr>
            <w:tcW w:w="1134" w:type="dxa"/>
          </w:tcPr>
          <w:p w14:paraId="6F1CE6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1.11 — 1.03</w:t>
            </w:r>
          </w:p>
        </w:tc>
        <w:tc>
          <w:tcPr>
            <w:tcW w:w="1417" w:type="dxa"/>
          </w:tcPr>
          <w:p w14:paraId="42C7D8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марта 1942 г.</w:t>
            </w:r>
          </w:p>
        </w:tc>
        <w:tc>
          <w:tcPr>
            <w:tcW w:w="1560" w:type="dxa"/>
          </w:tcPr>
          <w:p w14:paraId="07CB3F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 Приволжский 2 — Северо-Кавказский</w:t>
            </w:r>
          </w:p>
        </w:tc>
        <w:tc>
          <w:tcPr>
            <w:tcW w:w="1559" w:type="dxa"/>
          </w:tcPr>
          <w:p w14:paraId="1B5617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50C4F3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r>
      <w:tr w:rsidR="006B0687" w:rsidRPr="00640820" w14:paraId="75F90A92" w14:textId="77777777" w:rsidTr="000D3BCB">
        <w:trPr>
          <w:trHeight w:hRule="exact" w:val="240"/>
        </w:trPr>
        <w:tc>
          <w:tcPr>
            <w:tcW w:w="1276" w:type="dxa"/>
            <w:tcBorders>
              <w:bottom w:val="single" w:sz="12" w:space="0" w:color="auto"/>
            </w:tcBorders>
          </w:tcPr>
          <w:p w14:paraId="7FB78F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Запасные воздушно-десантные полки №№ 5 — 10</w:t>
            </w:r>
          </w:p>
        </w:tc>
        <w:tc>
          <w:tcPr>
            <w:tcW w:w="709" w:type="dxa"/>
            <w:tcBorders>
              <w:bottom w:val="single" w:sz="12" w:space="0" w:color="auto"/>
            </w:tcBorders>
          </w:tcPr>
          <w:p w14:paraId="400DF1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71E35A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709" w:type="dxa"/>
            <w:tcBorders>
              <w:bottom w:val="single" w:sz="12" w:space="0" w:color="auto"/>
            </w:tcBorders>
          </w:tcPr>
          <w:p w14:paraId="3A212C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18000</w:t>
            </w:r>
          </w:p>
        </w:tc>
        <w:tc>
          <w:tcPr>
            <w:tcW w:w="992" w:type="dxa"/>
            <w:tcBorders>
              <w:bottom w:val="single" w:sz="12" w:space="0" w:color="auto"/>
            </w:tcBorders>
          </w:tcPr>
          <w:p w14:paraId="25B3D8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декабря</w:t>
            </w:r>
          </w:p>
        </w:tc>
        <w:tc>
          <w:tcPr>
            <w:tcW w:w="1134" w:type="dxa"/>
            <w:tcBorders>
              <w:bottom w:val="single" w:sz="12" w:space="0" w:color="auto"/>
            </w:tcBorders>
          </w:tcPr>
          <w:p w14:paraId="7F7ED5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1.12 — 1.04</w:t>
            </w:r>
          </w:p>
        </w:tc>
        <w:tc>
          <w:tcPr>
            <w:tcW w:w="1417" w:type="dxa"/>
            <w:tcBorders>
              <w:bottom w:val="single" w:sz="12" w:space="0" w:color="auto"/>
            </w:tcBorders>
          </w:tcPr>
          <w:p w14:paraId="3FC1FD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апреля 1942 г.</w:t>
            </w:r>
          </w:p>
        </w:tc>
        <w:tc>
          <w:tcPr>
            <w:tcW w:w="1560" w:type="dxa"/>
            <w:tcBorders>
              <w:bottom w:val="single" w:sz="12" w:space="0" w:color="auto"/>
            </w:tcBorders>
          </w:tcPr>
          <w:p w14:paraId="1038DD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 Уральский 2 — Приволжский 3 — Северо-Кавказский</w:t>
            </w:r>
          </w:p>
        </w:tc>
        <w:tc>
          <w:tcPr>
            <w:tcW w:w="1559" w:type="dxa"/>
            <w:tcBorders>
              <w:bottom w:val="single" w:sz="12" w:space="0" w:color="auto"/>
            </w:tcBorders>
          </w:tcPr>
          <w:p w14:paraId="709639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4E1AD2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r>
    </w:tbl>
    <w:p w14:paraId="6E1778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Командующий воздушно-десантными войсками Красной Армии генерал-майор ГЛАЗУНОВ Начальник Главного управления воздушно-десантных войск Красной Армии полковник ИВАНОВ</w:t>
      </w:r>
      <w:r w:rsidRPr="00640820">
        <w:rPr>
          <w:rFonts w:ascii="Times New Roman" w:hAnsi="Times New Roman"/>
          <w:color w:val="000000" w:themeColor="text1"/>
          <w:sz w:val="16"/>
          <w:szCs w:val="16"/>
        </w:rPr>
        <w:t xml:space="preserve"> (9844).</w:t>
      </w:r>
    </w:p>
    <w:p w14:paraId="157D65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6AECBCA"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4 сентября </w:t>
      </w:r>
      <w:r w:rsidRPr="00640820">
        <w:rPr>
          <w:rFonts w:ascii="Times New Roman" w:hAnsi="Times New Roman"/>
          <w:color w:val="000000" w:themeColor="text1"/>
          <w:sz w:val="16"/>
          <w:szCs w:val="16"/>
        </w:rPr>
        <w:t>в 1941 году первый немецкий авианалет на Харьков (14759).</w:t>
      </w:r>
    </w:p>
    <w:p w14:paraId="7ACCC2DF" w14:textId="77777777" w:rsidR="00883F56" w:rsidRPr="00640820" w:rsidRDefault="00883F56" w:rsidP="00640820">
      <w:pPr>
        <w:spacing w:after="0" w:line="240" w:lineRule="auto"/>
        <w:jc w:val="both"/>
        <w:rPr>
          <w:rFonts w:ascii="Times New Roman" w:hAnsi="Times New Roman"/>
          <w:color w:val="000000" w:themeColor="text1"/>
          <w:sz w:val="16"/>
          <w:szCs w:val="16"/>
        </w:rPr>
      </w:pPr>
    </w:p>
    <w:p w14:paraId="5BD9744A" w14:textId="77777777" w:rsidR="008914D4" w:rsidRPr="00640820" w:rsidRDefault="008914D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4 сентября 1941 на</w:t>
      </w:r>
      <w:r w:rsidRPr="00640820">
        <w:rPr>
          <w:rFonts w:ascii="Times New Roman" w:hAnsi="Times New Roman"/>
          <w:color w:val="0070C0"/>
          <w:sz w:val="16"/>
          <w:szCs w:val="16"/>
        </w:rPr>
        <w:softHyphen/>
        <w:t>чал артиллерийский обстрел Ленинграда. 8 сентября, в день, когда пал Шлиссельбург и вокруг Ле</w:t>
      </w:r>
      <w:r w:rsidRPr="00640820">
        <w:rPr>
          <w:rFonts w:ascii="Times New Roman" w:hAnsi="Times New Roman"/>
          <w:color w:val="0070C0"/>
          <w:sz w:val="16"/>
          <w:szCs w:val="16"/>
        </w:rPr>
        <w:softHyphen/>
        <w:t>нинграда замкнулось кольцо блокады (20120).</w:t>
      </w:r>
    </w:p>
    <w:p w14:paraId="404F1911" w14:textId="77777777" w:rsidR="008914D4" w:rsidRPr="00640820" w:rsidRDefault="008914D4" w:rsidP="00640820">
      <w:pPr>
        <w:spacing w:after="0" w:line="240" w:lineRule="auto"/>
        <w:jc w:val="both"/>
        <w:rPr>
          <w:rFonts w:ascii="Times New Roman" w:hAnsi="Times New Roman"/>
          <w:color w:val="0070C0"/>
          <w:sz w:val="16"/>
          <w:szCs w:val="16"/>
        </w:rPr>
      </w:pPr>
    </w:p>
    <w:p w14:paraId="1C5CD196"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4 сентября </w:t>
      </w:r>
      <w:r w:rsidRPr="00640820">
        <w:rPr>
          <w:rFonts w:ascii="Times New Roman" w:hAnsi="Times New Roman"/>
          <w:color w:val="000000" w:themeColor="text1"/>
          <w:sz w:val="16"/>
          <w:szCs w:val="16"/>
        </w:rPr>
        <w:t>в 1941 году командующий Ленинградским фронтом М.М.Попов снят с должности как не внушающий доверие «в военном и политическом отношении» (14759).</w:t>
      </w:r>
    </w:p>
    <w:p w14:paraId="2FE1229D" w14:textId="77777777" w:rsidR="00883F56" w:rsidRPr="00640820" w:rsidRDefault="00883F56" w:rsidP="00640820">
      <w:pPr>
        <w:spacing w:after="0" w:line="240" w:lineRule="auto"/>
        <w:jc w:val="both"/>
        <w:rPr>
          <w:rFonts w:ascii="Times New Roman" w:hAnsi="Times New Roman"/>
          <w:color w:val="000000" w:themeColor="text1"/>
          <w:sz w:val="16"/>
          <w:szCs w:val="16"/>
        </w:rPr>
      </w:pPr>
    </w:p>
    <w:p w14:paraId="6AF9A0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сентября 1941 Финляндия отвоевала свои земли в пределах старой границы (2260).</w:t>
      </w:r>
    </w:p>
    <w:p w14:paraId="059202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D74773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сентября 1941 на войну против СССР направился первый батальон Легиона французских добровольцев (4962).</w:t>
      </w:r>
    </w:p>
    <w:p w14:paraId="080DCAA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251EF3"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6F210A6B"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199A946" w14:textId="77777777" w:rsidR="00987433" w:rsidRPr="00640820" w:rsidRDefault="0098743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сентября 1941. Постановление исполкома Моссовета "О временном изъятии для нужд МПВО мотоциклов у государственных учреждений, предприятий, организаций, граждан г. Москвы" (18697).</w:t>
      </w:r>
    </w:p>
    <w:p w14:paraId="5EFFCCC0" w14:textId="77777777" w:rsidR="00987433" w:rsidRPr="00640820" w:rsidRDefault="00987433" w:rsidP="00640820">
      <w:pPr>
        <w:spacing w:after="0" w:line="240" w:lineRule="auto"/>
        <w:jc w:val="both"/>
        <w:rPr>
          <w:rFonts w:ascii="Times New Roman" w:hAnsi="Times New Roman"/>
          <w:color w:val="000000" w:themeColor="text1"/>
          <w:sz w:val="16"/>
          <w:szCs w:val="16"/>
        </w:rPr>
      </w:pPr>
    </w:p>
    <w:p w14:paraId="165ED8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сентября 1941 г. в Ленинграде разорвался первый снаряд. За время блокады город обстреливался более 3000 раз, из них около 2500 обстрелов пришлось на 1943 год (9453).</w:t>
      </w:r>
    </w:p>
    <w:p w14:paraId="4F9C4F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AB5BD8F"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4 сентября </w:t>
      </w:r>
      <w:r w:rsidRPr="00640820">
        <w:rPr>
          <w:rFonts w:ascii="Times New Roman" w:hAnsi="Times New Roman"/>
          <w:color w:val="000000" w:themeColor="text1"/>
          <w:sz w:val="16"/>
          <w:szCs w:val="16"/>
        </w:rPr>
        <w:t>в 1941 году гитлеровцы начинают регулярные обстрелы Ленинграда, которые будут продолжаться до января 1944. Немцы составили список объектов, подлежащих уничтожению.Эрмитаж был в этом списке под 9-м номером. Всего за период Ленинградской битвы по городу было выпущено ок. 150 тысяч снарядов (14759).</w:t>
      </w:r>
    </w:p>
    <w:p w14:paraId="6935DB35" w14:textId="77777777" w:rsidR="00883F56" w:rsidRPr="00640820" w:rsidRDefault="00883F56" w:rsidP="00640820">
      <w:pPr>
        <w:spacing w:after="0" w:line="240" w:lineRule="auto"/>
        <w:jc w:val="both"/>
        <w:rPr>
          <w:rFonts w:ascii="Times New Roman" w:hAnsi="Times New Roman"/>
          <w:color w:val="000000" w:themeColor="text1"/>
          <w:sz w:val="16"/>
          <w:szCs w:val="16"/>
        </w:rPr>
      </w:pPr>
    </w:p>
    <w:p w14:paraId="52276C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сентября 1941 начаты регулярные артобстрелы Ленинграда, продолжавшиеся до января 1944 года. Немцами был составлен целый список объектов, подлежащих уничтожению. Эрмитаж, например, находился в списке под номером девять (10739).</w:t>
      </w:r>
    </w:p>
    <w:p w14:paraId="4D729C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0FC8526"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328CDF58"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160F2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сентября 1941 вышло Постановление ГКО № 631 О конфискации на территории Ирана, занятой советскими войсками, всех грузов, принадлежащих немцам. РГАНИР, Фонд ГКО, д. 8, лл. 163 (11012).</w:t>
      </w:r>
    </w:p>
    <w:p w14:paraId="5F557F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E08BA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сентября 1941 Сталин направил очередное послание Черчиллю, в котором писал, что второй фронт на Балканах или во Франции, который бы оттянул на себя 30-40 германских дивизий, был столь же необходим, как и ежемесячная поставка СССР 400 самолетов и 500 танков; без этих мер, предостерегал Сталин, Советский Союз будет не в состоянии оказывать помощь союзникам или вовсе будет разбит. Получив очередной отказ, Сталин просил послать 25-30 дивизий в Архангельск или перебросить их через Иран. Сталин обещал Черчиллю не заключать сепаратного мира, но предупредил, что, если СССР потеряет центральную часть страны, он будет вынужден образовать оборонительный фронт, возможно, за Волгой (3871).</w:t>
      </w:r>
    </w:p>
    <w:p w14:paraId="5FD91D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754CE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сентября 1941 У.Черчиль ответил, что до зимы не сможем оказать никакой серьезной помощи ни путем второго фронта, ни путем широкого снабжения нужными вам видами оружия (512,138).</w:t>
      </w:r>
    </w:p>
    <w:p w14:paraId="7B8189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38FED11"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33866132"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54B8199" w14:textId="77777777" w:rsidR="00883F56" w:rsidRPr="00640820" w:rsidRDefault="00883F5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сентября 1941 на совещании руководства ВВС США и представителей Дженерал Электрик было принято решение о постройке 15 двигателей Уитла для трех опытных самолетов (3408).</w:t>
      </w:r>
    </w:p>
    <w:p w14:paraId="7CB79A87" w14:textId="77777777" w:rsidR="00883F56" w:rsidRPr="00640820" w:rsidRDefault="00883F56" w:rsidP="00640820">
      <w:pPr>
        <w:autoSpaceDE w:val="0"/>
        <w:autoSpaceDN w:val="0"/>
        <w:adjustRightInd w:val="0"/>
        <w:spacing w:after="0" w:line="240" w:lineRule="auto"/>
        <w:jc w:val="both"/>
        <w:rPr>
          <w:rFonts w:ascii="Times New Roman" w:hAnsi="Times New Roman"/>
          <w:color w:val="000000" w:themeColor="text1"/>
          <w:sz w:val="16"/>
          <w:szCs w:val="16"/>
        </w:rPr>
      </w:pPr>
    </w:p>
    <w:p w14:paraId="2AB025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сентября 1941 состоялись ожесточенные налеты фашистов на Мальту (2260).</w:t>
      </w:r>
    </w:p>
    <w:p w14:paraId="42ADC8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FE836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сентября 1941 немецкая подводная лодка U-652 обстреляла американский эсминец Greer недалеко от Исландии и тем самым началась необъявленная подводная война (2100).</w:t>
      </w:r>
    </w:p>
    <w:p w14:paraId="2A86C5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F649D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September 4, 1941: The US destroyer Greer is attacked by a German U-boat while tracking and harrassing it (3819).</w:t>
      </w:r>
    </w:p>
    <w:p w14:paraId="220471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1F755A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сентября 1941 эсминец США был атакован немецкой п/л, которую преследовал (3819).</w:t>
      </w:r>
    </w:p>
    <w:p w14:paraId="74134F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3D7A881"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4 сентября </w:t>
      </w:r>
      <w:r w:rsidRPr="00640820">
        <w:rPr>
          <w:rFonts w:ascii="Times New Roman" w:hAnsi="Times New Roman"/>
          <w:color w:val="000000" w:themeColor="text1"/>
          <w:sz w:val="16"/>
          <w:szCs w:val="16"/>
        </w:rPr>
        <w:t>в 1941 году нападение немецкой подводной лодки на американский эсминец «Грир» в районе Исландии. Рузвельт по этому поводу заявил, что американцы будут атаковать любой германский или итальянский военный корабль, который появится в водах Исландии и других водах, находящихся под протекторатом США (14759).</w:t>
      </w:r>
    </w:p>
    <w:p w14:paraId="236825EC" w14:textId="77777777" w:rsidR="00883F56" w:rsidRPr="00640820" w:rsidRDefault="00883F56" w:rsidP="00640820">
      <w:pPr>
        <w:spacing w:after="0" w:line="240" w:lineRule="auto"/>
        <w:jc w:val="both"/>
        <w:rPr>
          <w:rFonts w:ascii="Times New Roman" w:hAnsi="Times New Roman"/>
          <w:color w:val="000000" w:themeColor="text1"/>
          <w:sz w:val="16"/>
          <w:szCs w:val="16"/>
        </w:rPr>
      </w:pPr>
    </w:p>
    <w:p w14:paraId="6D838607"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69B9BCB1"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588BF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сентября 1941 у села Яз Горьковской обл., Боядинского р-на в 270 км от Горького в 13:00 была катастрофа ДБ-3а 2М-87 под у л Борисова. Летели по трассе Казань-Воронеж, попали в дождь и туман и садясь на поле врезались в лес. Все погибли (2127).</w:t>
      </w:r>
    </w:p>
    <w:p w14:paraId="3A31D0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426A8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сентября 1941 был подписан аварийный акт на Пе-2 N 15/13. В заключение сказано: "Довести до сведения УВВС, что на самолетах Пе-2 с винтами В61Б пикировать на больших углах нельзя из-за большой раскрутки моторов (2127).</w:t>
      </w:r>
    </w:p>
    <w:p w14:paraId="7A1ACD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147BE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сентября 1941 вышел приказ НКАП N 948с о создании баз по разделке подбитых самолетов.</w:t>
      </w:r>
    </w:p>
    <w:p w14:paraId="686E3B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дополнение к приказу от 23 августа 1941 N 902с о создании баз по разделке разбитых самолетов:</w:t>
      </w:r>
    </w:p>
    <w:p w14:paraId="67FCA0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Организовать доп. базы по разделке самолетов при заводах 18, 19, 82, 83, 458 на хозрасчете (1504,83).</w:t>
      </w:r>
    </w:p>
    <w:p w14:paraId="6199AB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F6750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сентября 1941 года по решению Правительства ОКБ з-да 230 (будущее ОКБ-12 Абрамова) было перебазировано с заводом в Казань, где продолжало работать над тематикой приборов винтомоторной группы, одновременно изготовляя спецконструкции для фронта. Руководителем ОКБ был Ойхер М.А. (9361).</w:t>
      </w:r>
    </w:p>
    <w:p w14:paraId="197C2E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C0C437C" w14:textId="77777777" w:rsidR="004A55CA" w:rsidRPr="00640820" w:rsidRDefault="004A55CA"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5 сентября 1941 г. Письмом за № 14-611 ОКБ-16 просило ускорить решение во</w:t>
      </w:r>
      <w:r w:rsidRPr="00640820">
        <w:rPr>
          <w:color w:val="000000" w:themeColor="text1"/>
          <w:sz w:val="16"/>
          <w:szCs w:val="16"/>
        </w:rPr>
        <w:softHyphen/>
        <w:t>проса о проведении полигонных испытаний 37-мм авиационной пушки, закончившей еще 30.8.с.г. за</w:t>
      </w:r>
      <w:r w:rsidRPr="00640820">
        <w:rPr>
          <w:color w:val="000000" w:themeColor="text1"/>
          <w:sz w:val="16"/>
          <w:szCs w:val="16"/>
        </w:rPr>
        <w:softHyphen/>
        <w:t>водские испытания на НИП АВ с участием предста</w:t>
      </w:r>
      <w:r w:rsidRPr="00640820">
        <w:rPr>
          <w:color w:val="000000" w:themeColor="text1"/>
          <w:sz w:val="16"/>
          <w:szCs w:val="16"/>
        </w:rPr>
        <w:softHyphen/>
        <w:t xml:space="preserve">вителей ГУ ВВС КА. До сих пор никаких указаний по этому срочному вопросу не дано и готовая к </w:t>
      </w:r>
      <w:r w:rsidRPr="00640820">
        <w:rPr>
          <w:color w:val="000000" w:themeColor="text1"/>
          <w:sz w:val="16"/>
          <w:szCs w:val="16"/>
        </w:rPr>
        <w:lastRenderedPageBreak/>
        <w:t>испы</w:t>
      </w:r>
      <w:r w:rsidRPr="00640820">
        <w:rPr>
          <w:color w:val="000000" w:themeColor="text1"/>
          <w:sz w:val="16"/>
          <w:szCs w:val="16"/>
        </w:rPr>
        <w:softHyphen/>
        <w:t>таниям пушка продолжает лежать в ОКБ-16 вось</w:t>
      </w:r>
      <w:r w:rsidRPr="00640820">
        <w:rPr>
          <w:color w:val="000000" w:themeColor="text1"/>
          <w:sz w:val="16"/>
          <w:szCs w:val="16"/>
        </w:rPr>
        <w:softHyphen/>
        <w:t>мые сутки. Считаю такое положение с испытанием опытного образца в условиях военного времени недопустимым и вторично прошу Ваших срочных указаний по этому вопросу». Копия письма была направлена в ЭКУ НКВД.</w:t>
      </w:r>
    </w:p>
    <w:p w14:paraId="0D85DCBE" w14:textId="77777777" w:rsidR="004A55CA" w:rsidRPr="00640820" w:rsidRDefault="004A55CA"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Как оказалось, все необходимые указания об установке пушки на серийный самолет ЛаГГ-3 и проведении полигонных испытаний на НИП АВ ВВС бригинженером Солдатовым были даны еще 8 сентября, но до сведения ОКБ-16 не доведены. Причем к этому времени для организации и кон</w:t>
      </w:r>
      <w:r w:rsidRPr="00640820">
        <w:rPr>
          <w:color w:val="000000" w:themeColor="text1"/>
          <w:sz w:val="16"/>
          <w:szCs w:val="16"/>
        </w:rPr>
        <w:softHyphen/>
        <w:t>троля работ по подготовке полигонных испытаний пушки 11П в ОКБ С. А. Лавочкина на завод № 21 НКАП уже выехал районный инженер 12-го Управ</w:t>
      </w:r>
      <w:r w:rsidRPr="00640820">
        <w:rPr>
          <w:color w:val="000000" w:themeColor="text1"/>
          <w:sz w:val="16"/>
          <w:szCs w:val="16"/>
        </w:rPr>
        <w:softHyphen/>
        <w:t>ления ГУ ВВС военинженер 2-го ранга Г. Г. Нырков (17500).</w:t>
      </w:r>
    </w:p>
    <w:p w14:paraId="63721FB1" w14:textId="77777777" w:rsidR="004A55CA" w:rsidRPr="00640820" w:rsidRDefault="004A55CA" w:rsidP="00640820">
      <w:pPr>
        <w:spacing w:after="0" w:line="240" w:lineRule="auto"/>
        <w:jc w:val="both"/>
        <w:rPr>
          <w:rFonts w:ascii="Times New Roman" w:eastAsia="Times New Roman" w:hAnsi="Times New Roman"/>
          <w:color w:val="000000" w:themeColor="text1"/>
          <w:sz w:val="16"/>
          <w:szCs w:val="16"/>
          <w:lang w:eastAsia="ru-RU"/>
        </w:rPr>
      </w:pPr>
    </w:p>
    <w:p w14:paraId="2C36ABC2"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4867FEE1"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8A9C9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сентября 1941 г. СНК Украины принял решение об организации на ХТГЗ ремонта танков Т-34. Необходимая техдокументация предоставлялась заводом №183, а к выпуску запчастей привлекались заводы ХЭМЗ, литейно-механический, станкостроительный, медаппаратуры, канатный, артель «Жестянщик» и даже мастерские областного управления кинофикации (11438).</w:t>
      </w:r>
    </w:p>
    <w:p w14:paraId="04A692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553BA87" w14:textId="77777777" w:rsidR="004A55CA" w:rsidRPr="00640820" w:rsidRDefault="004A55CA"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 5 сентября 1941 был готов первый эталонный автомобиль ГАЗ-61 артиллерийский тягач. В соответствии с требованиями, указанными в выводах отчёта по испытаниям, машина получила съёмный брезентовый верх. Для размещения боекомплекта в центре кузова был установлен ящик, внутри которого находились 3 пенала по 5 выстрелов в каждом. Остальной боекомплект и ЗИП размещались в чемоданах. В отличие от предшествующих пикапов, расчёт сидел не лицом друг к другу, а на одной большой лавке спинами друг к другу. Роль этой лавки выполнял снарядный ящик. Благодаря такому решению удалось отказаться от орудийного передка, что в условиях войны и общей экономии явно было во благо. Шанцевый инструмент и часть ЗИП разместились на боковинах кузова. В таком виде машина и была утверждена для серийного производства (17657).</w:t>
      </w:r>
    </w:p>
    <w:p w14:paraId="78277B92" w14:textId="77777777" w:rsidR="004A55CA" w:rsidRPr="00640820" w:rsidRDefault="004A55CA"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DBC888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сентября 1941 года вышел Приказ НКБ № 487</w:t>
      </w:r>
    </w:p>
    <w:p w14:paraId="64CE598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Предназначенному к строительству в районе Лысьвы заводу 4 Гл. управления НКБ присвоить номер 599 (5593, 166).</w:t>
      </w:r>
    </w:p>
    <w:p w14:paraId="5B4CF8D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F237ED" w14:textId="77777777" w:rsidR="004A55CA" w:rsidRPr="00640820" w:rsidRDefault="004A55CA" w:rsidP="00640820">
      <w:pPr>
        <w:pStyle w:val="Bodytext1"/>
        <w:shd w:val="clear" w:color="auto" w:fill="auto"/>
        <w:spacing w:line="240" w:lineRule="auto"/>
        <w:ind w:firstLine="0"/>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5 сен</w:t>
      </w:r>
      <w:r w:rsidRPr="00640820">
        <w:rPr>
          <w:rFonts w:ascii="Times New Roman" w:hAnsi="Times New Roman" w:cs="Times New Roman"/>
          <w:color w:val="000000" w:themeColor="text1"/>
          <w:sz w:val="16"/>
          <w:szCs w:val="16"/>
        </w:rPr>
        <w:softHyphen/>
        <w:t>тября 1941 г. было обращение командующего ВВС Краснозна</w:t>
      </w:r>
      <w:r w:rsidRPr="00640820">
        <w:rPr>
          <w:rFonts w:ascii="Times New Roman" w:hAnsi="Times New Roman" w:cs="Times New Roman"/>
          <w:color w:val="000000" w:themeColor="text1"/>
          <w:sz w:val="16"/>
          <w:szCs w:val="16"/>
        </w:rPr>
        <w:softHyphen/>
        <w:t>менного Балтийского флота (КБФ) за №234/5 и указание горкома ВКП(б), в соответствии с которым завод «Большевик» буквально через пять дней изготовил 30 стальных усиленных шлемов и 29 нагрудников для летного со</w:t>
      </w:r>
      <w:r w:rsidRPr="00640820">
        <w:rPr>
          <w:rFonts w:ascii="Times New Roman" w:hAnsi="Times New Roman" w:cs="Times New Roman"/>
          <w:color w:val="000000" w:themeColor="text1"/>
          <w:sz w:val="16"/>
          <w:szCs w:val="16"/>
        </w:rPr>
        <w:softHyphen/>
        <w:t>става, Шлемы переоборудовались из шлемов пехотного образца путем усиления защиты лобной части и введения дополнительной защиты ушей.</w:t>
      </w:r>
    </w:p>
    <w:p w14:paraId="11585C50" w14:textId="77777777" w:rsidR="004A55CA" w:rsidRPr="00640820" w:rsidRDefault="004A55CA" w:rsidP="00640820">
      <w:pPr>
        <w:pStyle w:val="Bodytext1"/>
        <w:shd w:val="clear" w:color="auto" w:fill="auto"/>
        <w:spacing w:line="240" w:lineRule="auto"/>
        <w:ind w:firstLine="0"/>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Налобники и наушники толщиной 1,3 мм изготовили из горячекатаных листов стали 36ГСНА, предоставленных филиалом НИИ-13, а нагрудники толщиной 7 мм - из стали марки ИЗ завода «Большевик».</w:t>
      </w:r>
    </w:p>
    <w:p w14:paraId="05DA1B0B" w14:textId="77777777" w:rsidR="004A55CA" w:rsidRPr="00640820" w:rsidRDefault="004A55CA"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B4C2E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сентября 1941 г. на базе эвакуированной в Томск на площадку фабрики карандашных дощечек части завода № 186 НКЭП (Завод № 186 НКЭП, МПСС, МЭСЭП, МРТП, МРП, артель «Прогресс-Радио», ГС завод «Радист» НКАП, НКЭП, Ленинградский завод «Измеритель», В-8688, ОАО «Завод «Измеритель» /г. Ленинград Геслеровский пер./ /197136 (197022)  г. Санкт-Петербург Чкаловский пр., 50 тел. 234-16-59/) образован новый завод № 625.</w:t>
      </w:r>
    </w:p>
    <w:p w14:paraId="549C91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Оставшаяся в Ленинграде часть завода продолжила свою деятельность. В годы войны был освоен выпуск для фронта радиопередатчиков, миноискателей, деталей для гранат и пистолетов, микрофонов, телефонов. В соответствии с пост. ГКО № 6770 от 21.10.1944 г. организовано производство дифференциальных индукционных миноискателей.</w:t>
      </w:r>
    </w:p>
    <w:p w14:paraId="158356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основным направлением деятельности завода стала разработка и производство приборов контроля герметичности, а также НИОКР в области электронно-вакуумных технологий. В 1948 г. освоено производство первого отечественного масс-спектрометрического гелиевого течеискателя, в середине 1950-х  г.- галогенных течеискателей.</w:t>
      </w:r>
    </w:p>
    <w:p w14:paraId="6A904D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08.1946 г. завод № 186 - в ведении МПСС, с 03.1953 г. - МЭСЭП, с 01.1954 г. - МРТП, с 06.1957 г. - Управления радиотехнической промышленности ЛенСНХ, со 2.03.1965 г. - МРП. В 01.1967 г. переименован в Ленинградский государственный завод «Измеритель». В 1968 г. завод был присоединен к КБ, ставшему головным предприятием НПО «Телеком».</w:t>
      </w:r>
      <w:r w:rsidRPr="00640820">
        <w:rPr>
          <w:rFonts w:ascii="Times New Roman" w:hAnsi="Times New Roman"/>
          <w:color w:val="000000" w:themeColor="text1"/>
          <w:sz w:val="16"/>
          <w:szCs w:val="16"/>
          <w:vertAlign w:val="superscript"/>
        </w:rPr>
        <w:t>131</w:t>
      </w:r>
      <w:r w:rsidRPr="00640820">
        <w:rPr>
          <w:rFonts w:ascii="Times New Roman" w:hAnsi="Times New Roman"/>
          <w:color w:val="000000" w:themeColor="text1"/>
          <w:sz w:val="16"/>
          <w:szCs w:val="16"/>
        </w:rPr>
        <w:t xml:space="preserve"> Имел наименование «п/я В-8688».</w:t>
      </w:r>
    </w:p>
    <w:p w14:paraId="3D0C7E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1998 г. завод преобразован в ОАО «Завод «Измеритель».</w:t>
      </w:r>
    </w:p>
    <w:p w14:paraId="2362EE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(2005 г.): приборы контроля герметичности; медицинская техника.</w:t>
      </w:r>
    </w:p>
    <w:p w14:paraId="256998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(2002 г.-)- В.В. Рябов.</w:t>
      </w:r>
    </w:p>
    <w:p w14:paraId="5F0333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(1948 г.)- И.В. Мейзеров.</w:t>
      </w:r>
    </w:p>
    <w:p w14:paraId="18D23A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маркетинга (2005 г.)- В.Р. Абрамян.</w:t>
      </w:r>
    </w:p>
    <w:p w14:paraId="541D09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радиопередатчик РП-14, полевые радиостанции (ВОВ); дифференциальные индукционные миноискатели (ВОВ); гечеискатели: гелиевые ПТИ-1 (1948-), ТИ1-20, -22, -23, -30, -32, ТИЗ-1 «Гелин»; галогенные ГТИ-1 (1950-е), БГТИ-7, ТИ2-8/1; генераторы Г5-6А, Г5-27А, генераторы сигналов ГЗ-118, ГЗ-110, ГЗ-101, ГЗ-18, низкочастотных ГЗ-119, ГЗ-122; преобразователь Б-20АМ; мост емкостей Е8-2; анализатор гармоник С5-ЗА; ваттметр М2-1; измеритель напряженности магнитного поля Е11-2, измерители магнитной индукции Е11-3, РИ11-10; медицинская техника: физиотерапевтические низкочастотные приборы «Амплипульс-6, -7, -8», палатная вызовная сигнализация «Партнер-1», устройство фильтрования и дозированного розлива жидкостей «Контур-П4»; бытовые радиоприемники (1931-), радиолы (1935-), телевизор 17ТН-1 (1940-41); турбомолекулярный насос ТМН-150/63, теннисный тренажер, устройство разветвительное телевизионное (2000- е) (11982).</w:t>
      </w:r>
    </w:p>
    <w:p w14:paraId="78FB36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877EF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сентября 1941 г. по пр. НКЭП № 264с на базе эвакуирована в Томск на площадку фабрики карандашных дощечек части цехов завода «Радист» НКЭП организован новый самостоятельный завод № 625 в ведении Главрадиопрома НКЭП (ГС завод № 625 НКЭП, п/я 111, Томский завод измерительной аппаратуры МРП, А-7664, ОАО «Томский завод измерительной аппаратуры» /63009  г. Томск ул. Войкова, 51/).</w:t>
      </w:r>
    </w:p>
    <w:p w14:paraId="0C3B52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Первой продукцией завода были металлодетекторы для поиска мин. За годы войны выпущено 55.950 приборов.</w:t>
      </w:r>
    </w:p>
    <w:p w14:paraId="5AE638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освоен выпуск гражданской продукции: радиорепродукторы, телепередатчики, коммутационные изделия для телефонных станций. С 1957 г. начат выпуск контрольно-измерительной аппаратуры. В конце 1960-х  г. по заказу МГА были разработаны и внедрены в производство металлодетекторы для досмотра авиапассажиров.</w:t>
      </w:r>
    </w:p>
    <w:p w14:paraId="4D0625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1960-е  г. - в ведении Управления электротехнической промышленности, затем - Управления радиотехнической и электронной промышленности Западно-Сибирского СНХ.</w:t>
      </w:r>
      <w:r w:rsidRPr="00640820">
        <w:rPr>
          <w:rFonts w:ascii="Times New Roman" w:hAnsi="Times New Roman"/>
          <w:color w:val="000000" w:themeColor="text1"/>
          <w:sz w:val="16"/>
          <w:szCs w:val="16"/>
          <w:vertAlign w:val="superscript"/>
        </w:rPr>
        <w:t>80</w:t>
      </w:r>
      <w:r w:rsidRPr="00640820">
        <w:rPr>
          <w:rFonts w:ascii="Times New Roman" w:hAnsi="Times New Roman"/>
          <w:color w:val="000000" w:themeColor="text1"/>
          <w:sz w:val="16"/>
          <w:szCs w:val="16"/>
        </w:rPr>
        <w:t xml:space="preserve"> В 1971 г. Томский завод измерительной аппаратуры - в ведении 15ГУ МРП, имел наименование «п/я А-7664».</w:t>
      </w:r>
    </w:p>
    <w:p w14:paraId="7FD517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(1960-е  г.): радиоизмерительная аппаратура, коммутационные изделия, измерительная техника.</w:t>
      </w:r>
    </w:p>
    <w:p w14:paraId="2CEB40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1990-е  г. открыт цех по выделке меха и производству меховых изделий.</w:t>
      </w:r>
    </w:p>
    <w:p w14:paraId="5826DC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65E8E5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(15.09.1964 г.)- 2826 чел.</w:t>
      </w:r>
      <w:r w:rsidRPr="00640820">
        <w:rPr>
          <w:rFonts w:ascii="Times New Roman" w:hAnsi="Times New Roman"/>
          <w:color w:val="000000" w:themeColor="text1"/>
          <w:sz w:val="16"/>
          <w:szCs w:val="16"/>
          <w:vertAlign w:val="superscript"/>
        </w:rPr>
        <w:t>80</w:t>
      </w:r>
    </w:p>
    <w:p w14:paraId="32C28A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(1942-43 г.)- А. Г. Громов, (-01.1971-72 г.-)- В.Ф. Хитринский.</w:t>
      </w:r>
    </w:p>
    <w:p w14:paraId="6C57BA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(-08.1971-72 г.-&gt;  Г.В. Бан.</w:t>
      </w:r>
    </w:p>
    <w:p w14:paraId="7CA620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цехов: деревообделочного (1943-57 г.)- К.П. Скорохватов.</w:t>
      </w:r>
    </w:p>
    <w:p w14:paraId="0C2AEA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стандартизации (1972 г.)- Н.В. Воронина.</w:t>
      </w:r>
    </w:p>
    <w:p w14:paraId="6561D5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металлодетекторы: миноискатели (ВОВ); для досмотра авиапассажиров: стационарные МИС, МИС-2, МИС-3, МИС-4 (1972-90)- всего 1200, МИС-4М (2001-), портативные; контрольно-измерительная аппаратура: П-303, -309, -321, -321М, -323, -326, ИШС-НЧ, ГС-300.</w:t>
      </w:r>
    </w:p>
    <w:p w14:paraId="75522F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СКБ завода № 625</w:t>
      </w:r>
    </w:p>
    <w:p w14:paraId="6CF7C1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Действовало в 1960-е  г.</w:t>
      </w:r>
    </w:p>
    <w:p w14:paraId="77C4D7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Разработка станции дальней радиотехнической разведки «Росток-3» (11982).</w:t>
      </w:r>
    </w:p>
    <w:p w14:paraId="559D85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71C51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сентября 1941 г. по пр. НКЭП № 264с на базе Киевского радиозавод НКЭП и Егоршинского заводов, на территорию которого он был эвакуирован, был организован объединенный ГС завод № 625 в ведении Главрадиопрома НКЭП (ГС завод № 626 НКЭП, Егоршинский радиозавод НКЭП, Свердловский радиозавод, Свердловский завод автоматики /г. Егоршино Свердловской обл./).</w:t>
      </w:r>
    </w:p>
    <w:p w14:paraId="3462DD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Выпускал танковые переговорные устройства. В 1946 г. завод получил оборудование, вывезенное из Германии, которое было размещено на новой площадке Дома промышленности. Новое производство вступило в строй 4.04.1946 г. Освоено производство самолетных и танковых переговорных устройств, приемных буквопечатающих аппаратов, измерителей помех, бытовой радиоаппаратуры (репродукторов, радиоприемников, радиол «Урал»).</w:t>
      </w:r>
    </w:p>
    <w:p w14:paraId="4FC8F9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1952 г. при заводе организовано СКБ-626, в 1953 г. СКБ и завод преобразованы в НИИ-592 с опытным заводом. В 1965 г. опытный завод получил название Свердловский завод автоматики.</w:t>
      </w:r>
    </w:p>
    <w:p w14:paraId="6C10C4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СКБ-626 /г. Свердловск/</w:t>
      </w:r>
    </w:p>
    <w:p w14:paraId="5A3E39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СКБ-626 создано в 1952 г. для разработки и изготовления систем управления для БРТ, ОТРК и БРПЛ. Из СКБ- 385 сюда переведена группа конструкторов, в т.ч. Н.А. Семихатов.</w:t>
      </w:r>
    </w:p>
    <w:p w14:paraId="201FC4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1953(6) г. СКБ и завод преобразованы в НИИ-592 с опытным заводом.</w:t>
      </w:r>
    </w:p>
    <w:p w14:paraId="7DC40F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(1953 г.)- Н.А. Семихатов.</w:t>
      </w:r>
    </w:p>
    <w:p w14:paraId="658E61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(1953 г.)- Н.А. Семихатов.</w:t>
      </w:r>
    </w:p>
    <w:p w14:paraId="223358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Егоршинский радиозавод (ЕРЗ), Р-6693, ОАО «ЕРЗ» /623750 (623782)  г. Артемовский Свердловской обл. ул. Заводская, 40 тел. 33-086/</w:t>
      </w:r>
    </w:p>
    <w:p w14:paraId="26E101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ЕРЗ имел наименование «п/я Р-6693».</w:t>
      </w:r>
    </w:p>
    <w:p w14:paraId="20F0B7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4DBF09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Гендиректор- И. Губанов, (2002 г.)- В. Одесских, (2009 г.)- В. Елькин.</w:t>
      </w:r>
    </w:p>
    <w:p w14:paraId="34DFF6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финансовый (-2007-08 г.-)- А. Собакин.</w:t>
      </w:r>
    </w:p>
    <w:p w14:paraId="0F0D82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Производство: комплекс средств радиосвязи «Акватория» (2002); радиостанции: </w:t>
      </w:r>
      <w:r w:rsidRPr="00640820">
        <w:rPr>
          <w:rFonts w:ascii="Times New Roman" w:hAnsi="Times New Roman"/>
          <w:color w:val="000000" w:themeColor="text1"/>
          <w:sz w:val="16"/>
          <w:szCs w:val="16"/>
          <w:lang w:val="en-US"/>
        </w:rPr>
        <w:t>KB</w:t>
      </w:r>
      <w:r w:rsidRPr="00640820">
        <w:rPr>
          <w:rFonts w:ascii="Times New Roman" w:hAnsi="Times New Roman"/>
          <w:color w:val="000000" w:themeColor="text1"/>
          <w:sz w:val="16"/>
          <w:szCs w:val="16"/>
        </w:rPr>
        <w:t xml:space="preserve"> «Ангара-1», «Ангара РП», 17Р10 «Ангара РБ» (2002); УКВ «Спрут» (2002); «Ласточка»; РТ-20У, РТ-50; радиоустановка «Баркас» (2002);</w:t>
      </w:r>
      <w:r w:rsidRPr="00640820">
        <w:rPr>
          <w:rFonts w:ascii="Times New Roman" w:hAnsi="Times New Roman"/>
          <w:color w:val="000000" w:themeColor="text1"/>
          <w:sz w:val="16"/>
          <w:szCs w:val="16"/>
          <w:vertAlign w:val="superscript"/>
        </w:rPr>
        <w:t>69</w:t>
      </w:r>
      <w:r w:rsidRPr="00640820">
        <w:rPr>
          <w:rFonts w:ascii="Times New Roman" w:hAnsi="Times New Roman"/>
          <w:color w:val="000000" w:themeColor="text1"/>
          <w:sz w:val="16"/>
          <w:szCs w:val="16"/>
        </w:rPr>
        <w:t xml:space="preserve"> передвижной пункт управления на базе автомобиля «Баргузин» (2003); телевизор «Аметист» 27ТЦ-5205.</w:t>
      </w:r>
    </w:p>
    <w:p w14:paraId="1446E9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Союзный НИИ-592 ГКРЭ, НИИ автоматики (НИИА) </w:t>
      </w:r>
      <w:r w:rsidRPr="00640820">
        <w:rPr>
          <w:rFonts w:ascii="Times New Roman" w:hAnsi="Times New Roman"/>
          <w:color w:val="000000" w:themeColor="text1"/>
          <w:sz w:val="16"/>
          <w:szCs w:val="16"/>
          <w:lang w:val="en-US"/>
        </w:rPr>
        <w:t>MOM</w:t>
      </w:r>
      <w:r w:rsidRPr="00640820">
        <w:rPr>
          <w:rFonts w:ascii="Times New Roman" w:hAnsi="Times New Roman"/>
          <w:color w:val="000000" w:themeColor="text1"/>
          <w:sz w:val="16"/>
          <w:szCs w:val="16"/>
        </w:rPr>
        <w:t>, НПО автоматики (НПОА), ФГУП «НПОА им. академика Н.А. Семихатова» /620075  г. Свердловск,  г. Екатеринбург ул. Мамина-Сибиряка, 145 тел. 55-95-25/</w:t>
      </w:r>
    </w:p>
    <w:p w14:paraId="7F6B9F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1953(6) г. СКБ-626 и завод № 626 преобразованы в Союзный НИИ-592 с опытным заводом. В 1965 г. НИИ- 592 ГКРЭ передано в ведение 4ГУ </w:t>
      </w:r>
      <w:r w:rsidRPr="00640820">
        <w:rPr>
          <w:rFonts w:ascii="Times New Roman" w:hAnsi="Times New Roman"/>
          <w:color w:val="000000" w:themeColor="text1"/>
          <w:sz w:val="16"/>
          <w:szCs w:val="16"/>
          <w:lang w:val="en-US"/>
        </w:rPr>
        <w:t>MOM</w:t>
      </w:r>
      <w:r w:rsidRPr="00640820">
        <w:rPr>
          <w:rFonts w:ascii="Times New Roman" w:hAnsi="Times New Roman"/>
          <w:color w:val="000000" w:themeColor="text1"/>
          <w:sz w:val="16"/>
          <w:szCs w:val="16"/>
        </w:rPr>
        <w:t xml:space="preserve"> и по приказу от 6.03.1966 г. преобразовано в НИИА.</w:t>
      </w:r>
      <w:r w:rsidRPr="00640820">
        <w:rPr>
          <w:rFonts w:ascii="Times New Roman" w:hAnsi="Times New Roman"/>
          <w:color w:val="000000" w:themeColor="text1"/>
          <w:sz w:val="16"/>
          <w:szCs w:val="16"/>
          <w:vertAlign w:val="superscript"/>
        </w:rPr>
        <w:t>77</w:t>
      </w:r>
      <w:r w:rsidRPr="00640820">
        <w:rPr>
          <w:rFonts w:ascii="Times New Roman" w:hAnsi="Times New Roman"/>
          <w:color w:val="000000" w:themeColor="text1"/>
          <w:sz w:val="16"/>
          <w:szCs w:val="16"/>
        </w:rPr>
        <w:t xml:space="preserve"> В 1973(7) г. на базе института и Опытного завода создано НПОА.</w:t>
      </w:r>
    </w:p>
    <w:p w14:paraId="5ECB9C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Разработка и изготовление систем управления для БРПЛ, БРТ и ОТРК. В 1959 г. создана СУ для первого в мире РК для ПЛ. На ракете Р-29 впервые в мире реализована СУ с асгрокоррекцией и принципиально новыми способами автономного управления. На Р-29РМУ впервые в мире наряду с астрокоррекцией была введена коррекция траектории по космической системе ГЛОНАСС.</w:t>
      </w:r>
    </w:p>
    <w:p w14:paraId="444380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6C92B2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Имело филиалы (2002 г.): ОКБ «Автоматика», ГУП НПОА-РЦЭ, «Криптон».</w:t>
      </w:r>
    </w:p>
    <w:p w14:paraId="52CA66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(2002 г.): разработка и производство унифицированных малогабаритных прецизионных систем управления для РН, разгонных блоков, спускаемых аппаратов. Автоматизированные системы управления для теплэнергетики, нефтегазовой, металлургической, легкой промышленности, связи, транспорта.</w:t>
      </w:r>
    </w:p>
    <w:p w14:paraId="39C37E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(2002 г.)- 3400 чел.</w:t>
      </w:r>
    </w:p>
    <w:p w14:paraId="1BE633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(1953-92 г.)- академик (1990 г.) Н.А. Семихатов {10.12.1918-}, (-2002-04 г.-)- С.Ф. Дерюгин, (2005 г.)- Л.И. Шалимов.</w:t>
      </w:r>
    </w:p>
    <w:p w14:paraId="695B72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Гендиректор (-2002-05 г.-)- Л.И. Шалимов.</w:t>
      </w:r>
    </w:p>
    <w:p w14:paraId="743777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гендиректора по науке (2002 г.)- С.Ф. Дерюгин. Зам. Гендиректора: по РКТ (-2002-06 г.-)- Л.Н. Вельский; по конверсии (2002 г.)- Н. Г. Манько; по экономике и финансам (2002 г.)- В.В. Микотин.</w:t>
      </w:r>
    </w:p>
    <w:p w14:paraId="0F014B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(1953 г.-)- Н.А. Семихатов, (2002 г.)- В.А. Костромин.</w:t>
      </w:r>
      <w:r w:rsidRPr="00640820">
        <w:rPr>
          <w:rFonts w:ascii="Times New Roman" w:hAnsi="Times New Roman"/>
          <w:color w:val="000000" w:themeColor="text1"/>
          <w:sz w:val="16"/>
          <w:szCs w:val="16"/>
          <w:vertAlign w:val="superscript"/>
        </w:rPr>
        <w:t>69</w:t>
      </w:r>
    </w:p>
    <w:p w14:paraId="3FC28C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инерциальныс системы управления БРПЛ: Р-11ФМ, Р-13 (1950-е), Р-21, Р-27 комплекса Д-5 (1968), Р-29 комплекса Д-9 (пнв в 1974 г.), Р-29РМУ, Р-39 комплекса Д-19, «Булава-30»; БРТ: Р-17 «Скад» (1961); ОТРК: 8К14, «Темп-С» (1960-е).</w:t>
      </w:r>
      <w:r w:rsidRPr="00640820">
        <w:rPr>
          <w:rFonts w:ascii="Times New Roman" w:hAnsi="Times New Roman"/>
          <w:color w:val="000000" w:themeColor="text1"/>
          <w:sz w:val="16"/>
          <w:szCs w:val="16"/>
          <w:vertAlign w:val="superscript"/>
        </w:rPr>
        <w:t>102</w:t>
      </w:r>
    </w:p>
    <w:p w14:paraId="258FA0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радиоприемники: «Москвич-В», «Искра», «Свердловск»; радиолы: «Урал-49, -50, -52», «Амур-2» (11982).</w:t>
      </w:r>
    </w:p>
    <w:p w14:paraId="1205A5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DBD5942" w14:textId="77777777" w:rsidR="00B9303C" w:rsidRPr="00640820" w:rsidRDefault="00B9303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сентября 1941 г. Приказ № 5/а-ф филиала Наркомата путей сообщения СССР в г. Куйбышеве «О передаче производственных площадей Куйбышевского вагоно-ремонтного завода НКПС заводу «Севкабель» Наркомата электропромышленности СССР» (согласно приказу передачу провести к 01 октября 1941 г.).</w:t>
      </w:r>
    </w:p>
    <w:p w14:paraId="64163954" w14:textId="77777777" w:rsidR="00B9303C" w:rsidRPr="00640820" w:rsidRDefault="00B9303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Подлинник.</w:t>
      </w:r>
    </w:p>
    <w:p w14:paraId="43A22B33" w14:textId="77777777" w:rsidR="00B9303C" w:rsidRPr="00640820" w:rsidRDefault="00B9303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РГАЭ ф. 1884, оп. 40, д. 1422, лл. 14 – 15. (18959).</w:t>
      </w:r>
    </w:p>
    <w:p w14:paraId="3F601BA5" w14:textId="77777777" w:rsidR="00B9303C" w:rsidRPr="00640820" w:rsidRDefault="00B9303C" w:rsidP="00640820">
      <w:pPr>
        <w:spacing w:after="0" w:line="240" w:lineRule="auto"/>
        <w:jc w:val="both"/>
        <w:rPr>
          <w:rFonts w:ascii="Times New Roman" w:hAnsi="Times New Roman"/>
          <w:color w:val="000000" w:themeColor="text1"/>
          <w:sz w:val="16"/>
          <w:szCs w:val="16"/>
        </w:rPr>
      </w:pPr>
    </w:p>
    <w:p w14:paraId="651153CB" w14:textId="77777777" w:rsidR="00B9303C" w:rsidRPr="00640820" w:rsidRDefault="00B9303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сентября 1941 г.</w:t>
      </w:r>
    </w:p>
    <w:p w14:paraId="64C87E31" w14:textId="77777777" w:rsidR="00B9303C" w:rsidRPr="00640820" w:rsidRDefault="00B9303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Протоколы заседаний бюро Ленинградского городского комитета ВКП(б)</w:t>
      </w:r>
    </w:p>
    <w:p w14:paraId="7A9E09C5" w14:textId="77777777" w:rsidR="00B9303C" w:rsidRPr="00640820" w:rsidRDefault="00B9303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5 сентября 1941 г.</w:t>
      </w:r>
    </w:p>
    <w:p w14:paraId="1BE9C0F5" w14:textId="77777777" w:rsidR="00B9303C" w:rsidRPr="00640820" w:rsidRDefault="00B9303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328гс. — О производстве ребристых алюминиевых радиаторов для самолета МИГ-3 (особая папка).</w:t>
      </w:r>
    </w:p>
    <w:p w14:paraId="719C2A2D" w14:textId="77777777" w:rsidR="00B9303C" w:rsidRPr="00640820" w:rsidRDefault="00B9303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Обязать директора завода «Красногвардеец» (т. Снежкова) организовать с 15 сентября с. г. для нужд ВВС С. Ф. производство ребристых алюминиевых радиаторов для самолета МИГ-3 с выпуском 60 шт. в месяц.</w:t>
      </w:r>
    </w:p>
    <w:p w14:paraId="0F0B02E0" w14:textId="77777777" w:rsidR="00B9303C" w:rsidRPr="00640820" w:rsidRDefault="00B9303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Обязать директора Кировского завода (т. Зальцмана) передать в 3-дневный срок заводу «Красногвардеец»:</w:t>
      </w:r>
    </w:p>
    <w:p w14:paraId="347A0F09" w14:textId="77777777" w:rsidR="00B9303C" w:rsidRPr="00640820" w:rsidRDefault="00B9303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деталей радиатора на 10 комплектов;</w:t>
      </w:r>
    </w:p>
    <w:p w14:paraId="499FA6EF" w14:textId="77777777" w:rsidR="00B9303C" w:rsidRPr="00640820" w:rsidRDefault="00B9303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штампов для ребер и доски — 1 комплект;</w:t>
      </w:r>
    </w:p>
    <w:p w14:paraId="0CD3F06D" w14:textId="77777777" w:rsidR="00B9303C" w:rsidRPr="00640820" w:rsidRDefault="00B9303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вальцы с валками с опытного цеха СКБ № 2.</w:t>
      </w:r>
    </w:p>
    <w:p w14:paraId="39BB31A8" w14:textId="77777777" w:rsidR="00B9303C" w:rsidRPr="00640820" w:rsidRDefault="00B9303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Обязать ликвидком завода № 324 (т. Тихомирова) в 3-дневный срок передать заводу «Красногвардеец» прессов — 2 шт.</w:t>
      </w:r>
    </w:p>
    <w:p w14:paraId="5D6CCC60" w14:textId="77777777" w:rsidR="00B9303C" w:rsidRPr="00640820" w:rsidRDefault="00B9303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Для обеспечения производства ребристых алюминиевых радиаторов самолета МИГ-3 обязать ежемесячно поставлять заводу «Красногвардеец»:</w:t>
      </w:r>
    </w:p>
    <w:p w14:paraId="31E9709E" w14:textId="77777777" w:rsidR="00B9303C" w:rsidRPr="00640820" w:rsidRDefault="00B9303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завод им. Ворошилова (т. Власова):</w:t>
      </w:r>
    </w:p>
    <w:p w14:paraId="63922CE5" w14:textId="77777777" w:rsidR="00B9303C" w:rsidRPr="00640820" w:rsidRDefault="00B9303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трубок алюминиевых — 8.000 пог. метров;</w:t>
      </w:r>
    </w:p>
    <w:p w14:paraId="79D142AD" w14:textId="77777777" w:rsidR="00B9303C" w:rsidRPr="00640820" w:rsidRDefault="00B9303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листов алюминиевых 0,5 мм — 2 тонны;</w:t>
      </w:r>
    </w:p>
    <w:p w14:paraId="6BF7DFDB" w14:textId="77777777" w:rsidR="00B9303C" w:rsidRPr="00640820" w:rsidRDefault="00B9303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листов алюминиевых 2,5 мм — 0,5 тонны;</w:t>
      </w:r>
    </w:p>
    <w:p w14:paraId="1F53BBE3" w14:textId="77777777" w:rsidR="00B9303C" w:rsidRPr="00640820" w:rsidRDefault="00B9303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завод «Севкабель» (т. Козловского):</w:t>
      </w:r>
    </w:p>
    <w:p w14:paraId="6A5BB985" w14:textId="77777777" w:rsidR="00B9303C" w:rsidRPr="00640820" w:rsidRDefault="00B9303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проволоки алюминиевой O 2 мм — 100 кг;</w:t>
      </w:r>
    </w:p>
    <w:p w14:paraId="5BE91D26" w14:textId="77777777" w:rsidR="00B9303C" w:rsidRPr="00640820" w:rsidRDefault="00B9303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завод им. Молотова (т. Нодельман):</w:t>
      </w:r>
    </w:p>
    <w:p w14:paraId="191021FC" w14:textId="77777777" w:rsidR="00B9303C" w:rsidRPr="00640820" w:rsidRDefault="00B9303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болтов O 6 х 22 мм и шайб гровера под них — 7.000 шт.;</w:t>
      </w:r>
    </w:p>
    <w:p w14:paraId="1AF47899" w14:textId="77777777" w:rsidR="00B9303C" w:rsidRPr="00640820" w:rsidRDefault="00B9303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завод «Автоген» № 2 (т. Абрамова):</w:t>
      </w:r>
    </w:p>
    <w:p w14:paraId="2FC333F7" w14:textId="77777777" w:rsidR="00B9303C" w:rsidRPr="00640820" w:rsidRDefault="00B9303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кислорода по 3 баллона в день;</w:t>
      </w:r>
    </w:p>
    <w:p w14:paraId="6EAD4EEA" w14:textId="77777777" w:rsidR="00B9303C" w:rsidRPr="00640820" w:rsidRDefault="00B9303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ацетилена 2 баллона в день.</w:t>
      </w:r>
    </w:p>
    <w:p w14:paraId="09B94C17" w14:textId="77777777" w:rsidR="00B9303C" w:rsidRPr="00640820" w:rsidRDefault="00B9303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 Выходную базу «Резиносбыт» (т. Петрова):</w:t>
      </w:r>
    </w:p>
    <w:p w14:paraId="24A8C32F" w14:textId="77777777" w:rsidR="00B9303C" w:rsidRPr="00640820" w:rsidRDefault="00B9303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паранит 2 ± 2,5 мм — 200 кг;</w:t>
      </w:r>
    </w:p>
    <w:p w14:paraId="795497B8" w14:textId="77777777" w:rsidR="00B9303C" w:rsidRPr="00640820" w:rsidRDefault="00B9303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 Ленинградскую контору «Главметаллосбыт» (т. Князькова):</w:t>
      </w:r>
    </w:p>
    <w:p w14:paraId="3D4D7025" w14:textId="77777777" w:rsidR="00B9303C" w:rsidRPr="00640820" w:rsidRDefault="00B9303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листовое холоднокатанное железо 1 ± 1,2 мм — 2 тонны.</w:t>
      </w:r>
    </w:p>
    <w:p w14:paraId="5ED4107C" w14:textId="77777777" w:rsidR="00B9303C" w:rsidRPr="00640820" w:rsidRDefault="00B9303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Подписи — Капустин, Кузнецов, Никитин, Попков.</w:t>
      </w:r>
    </w:p>
    <w:p w14:paraId="0889451C" w14:textId="77777777" w:rsidR="00B9303C" w:rsidRPr="00640820" w:rsidRDefault="00B9303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ЦГАИПД СПб. Ф. 25. Оп.2а. Д. 155. Л. 129. Карточка опросного голосования. Оригинал, машинопись. Подписи — автографы (19720).</w:t>
      </w:r>
    </w:p>
    <w:p w14:paraId="152CF168" w14:textId="77777777" w:rsidR="00B9303C" w:rsidRPr="00640820" w:rsidRDefault="00B9303C" w:rsidP="00640820">
      <w:pPr>
        <w:autoSpaceDE w:val="0"/>
        <w:autoSpaceDN w:val="0"/>
        <w:adjustRightInd w:val="0"/>
        <w:spacing w:after="0" w:line="240" w:lineRule="auto"/>
        <w:jc w:val="both"/>
        <w:rPr>
          <w:rFonts w:ascii="Times New Roman" w:hAnsi="Times New Roman"/>
          <w:color w:val="000000" w:themeColor="text1"/>
          <w:sz w:val="16"/>
          <w:szCs w:val="16"/>
        </w:rPr>
      </w:pPr>
    </w:p>
    <w:p w14:paraId="7835D907"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44D3CEDD"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CB3CEBA"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5 сентября </w:t>
      </w:r>
      <w:r w:rsidRPr="00640820">
        <w:rPr>
          <w:rFonts w:ascii="Times New Roman" w:hAnsi="Times New Roman"/>
          <w:color w:val="000000" w:themeColor="text1"/>
          <w:sz w:val="16"/>
          <w:szCs w:val="16"/>
        </w:rPr>
        <w:t>в 1941 году утреннее сообщение Совинформбюро:</w:t>
      </w:r>
    </w:p>
    <w:p w14:paraId="690E7243"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ночь на 5 сентября наши войска продолжали вести бои с противником на всём фронте.</w:t>
      </w:r>
    </w:p>
    <w:p w14:paraId="6A42531F"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Наша авиация наносила удары по войскам противника и по его аэродромам.</w:t>
      </w:r>
    </w:p>
    <w:p w14:paraId="0D7BC3DA"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упорных боях часть под командованием тов. Козлова нанесла тяжёлый урон 263 немецкой пехотной дивизии. Боевые действия по разгрому фашистской дивизии развёртывались следующим образом. Немцы занимали высоту Боково и подступы к ней. Бойцы части тов. Козлова упорно выбивали противника с занимаемых им позиций и заставляли отдавать одну деревню за другой. На каждом рубеже немцы теряли сотни солдат убитыми и ранеными, в панике бросали оружие и штабное имущество. Отступив к высоте Боково, командир немецкой дивизии, генерал Хеккель издал приказ, свидетельствующий об упадке боевого духа в дивизии. «Во время нападения противника на одну из рот, - говорилось в приказе, - русские привели роту в угнетённое состояние. Несколько русских зашло роте в тыл. Много солдат из состава нашей роты покинули поле боя и уехали на грузовиках за несколько километров от линии фронта. Это поведение способствовало возникновению паники». Приказ генерала не поднял боевой дух у германских солдат. Фашистам не удалось закрепиться и удержать высоту. Советские артиллеристы разгромили укрепления противника. Поддержанные мощным огнём нашей артиллерии, подразделения т.т. Исакова и Тихонова пошли в атаку. Немцы отступили, вновь понеся большие потери. Наши бойцы захватили много оружия и пленных. Солдат 11 роты Иозеф Фастбендер, захваченный красноармейцами на высоте, заявил: «За один этот бой </w:t>
      </w:r>
      <w:r w:rsidRPr="00640820">
        <w:rPr>
          <w:rFonts w:ascii="Times New Roman" w:hAnsi="Times New Roman"/>
          <w:color w:val="000000" w:themeColor="text1"/>
          <w:sz w:val="16"/>
          <w:szCs w:val="16"/>
        </w:rPr>
        <w:lastRenderedPageBreak/>
        <w:t>наша дивизия потеряла до половины офицерского состава». 263 немецкая дивизия потеряла за шесть дней до 7.000 солдат и офицеров убитыми, ранеными и пленными. Остатки дивизии отведены в тыл для переформирования.</w:t>
      </w:r>
    </w:p>
    <w:p w14:paraId="601531C6"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Авиасоединение под командованием тов. Аладинского, действующее на Западном направлении фронта, разгромило большое скопление вражеских бронетанковых и моторизованных колонн. Лётчики т.т. Дружков, Трещев и Зоц разбили больше 15 танков. За два дня боёв авиасоединение уничтожило около 1.000 солдат и офицеров, 80 немецких танков, 600 автомашин и 200 лошадей. Возвращаясь с боевых операций, наши лётчики встретили 15 вражеских самолётов. Завязался воздушный бой, в результате которого были сбиты 6 немецких самолётов: три «Мессер-шмитта-109», один «Мессершмитт-110» и два новейших истребителя «Хейнкель-113». Лётчики Романенко, Шидловский и Трещев сбили по одному самолёту. Старший лейтенант Зоц с лётчиком Рыбкиным прижали ж земле «Мессершмитт-109» и уничтожили его. Комиссар части тов. Зуб сбил «Хейнкель-113».</w:t>
      </w:r>
    </w:p>
    <w:p w14:paraId="28235FE2"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Катер младшего лейтенанта Черняка сопровождал два транспорта. В пути зоркие наблюдатели заметили перископ вражеской подводной лодки. Катер атаковал лодку, забросал её глубинными бомбами и потопил. На поверхности моря появились огромные пузыри. Через несколько часов экипаж катера обнаружил вторую вражескую подводную лодку, направлявшуюся к транспортам. На лодку были сброшены глубинные бомбы. После разрывов бомб гидроакустические аппараты показали, что лод-ка уходит. Тогда катер пошёл в новую атаку. Снова полетели глубинные бомбы. После второй атаки аппараты больше не обнаружили движения лодки. Оба транспорта катер привёл к месту назначения невредимыми.</w:t>
      </w:r>
    </w:p>
    <w:p w14:paraId="70222A9B"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четыре бомбардировщика эскадрильи капитана Марковкина напали восемь «Мессершмиттов». Ведущий лётчик лейтенант Большаков решил принять неравный бой с немецкими истребителями. Фашистские лётчики атаковали самолёт лейтенанта, но встретили сокрушительный отпор. Меткий стрелок-радист Панченко один за другим сбил три «Мессершмитта». Стрелки-радисты двух других бомбардировщиков т.т. Лотов и Рагулин сбили по одному вражескому самолёту. Три уцелевших гитлеровских лётчика повернули обратно. Закончив воздушный бой, наши бомбардировщики обнаружили замаскированные немецкие мотоколонны. Советские лётчики немедленно ринулись на них, уничтожая немецкие танки и автомашины, а затем пулемётным огнём с бреющего полёта рассеяли продвигавшуюся к фронту колонну немецкой пехоты.</w:t>
      </w:r>
    </w:p>
    <w:p w14:paraId="69C95D6A"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Самолёты Энской базы морской авиации Северного флота успешно громят фашистские корабли и наземные части. Вражеские бомбардировщики много раз пытались атаковать базу, но их неизменно отгоняли советские зенитчики и добивали наши истребители. На скалах, окружающих базу, разбилось свыше 100 немецких самолётов. На днях при очередном налёте фашисты потеряли 13 самолётов.</w:t>
      </w:r>
    </w:p>
    <w:p w14:paraId="6D1194EE"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Командир отделения сержант Аркадьев с группой бойцов пробрался на моторной лодке далеко в тыл к белофиннам. Ночью бойцы атаковали дивизион финской тяжёлой артиллерии. Перебив солдат, бойцы вывели из строя три орудия и уничтожили много боеприпасов.</w:t>
      </w:r>
    </w:p>
    <w:p w14:paraId="568B5E1A"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днях наша авиация разгромила два вражеских аэродрома, расположенных западнее озера Ильмень. Советские бомбардировщики налетели на аэродромы неожиданно. Немецкий истребитель, пытавшийся подняться, был уничтожен на взлёте командиром авиачасти майором Груздевым. Батареи немцев открыли сильный огонь, но наши истребители и штурмовики заставили замолчать вражеские зенитки. Уничтожив расчёты зенитных орудий и пулемётов, советские лётчики добили и подожгли находившиеся на аэродроме немецкие самолёты. На двух аэродромах наши лётчики уничтожили 74 вражеские машины, входившие в состав немецкого авиационного корпуса «Рихтгофен».</w:t>
      </w:r>
    </w:p>
    <w:p w14:paraId="3BA5FE29"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последние два дня бомбардировочная авиация Черноморского флота уничтожила более сорока немецких танков и автомашин. В боях с немецкими войсками на подступах к Одессе батальоны морской пехоты уничтожили несколька сот немецко-румынских солдат и офицеров. В плен захвачено более 300 солдат. В числе трофеев — два орудия, пять миномётов и 18 пулемётов.</w:t>
      </w:r>
    </w:p>
    <w:p w14:paraId="6A144841"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Сотни тысяч женщин-общественниц активно участвуют в оборонной работе, помогая Красной Армии громить ненавистного врага. В пошивочных мастерских Ленинграда, обслуживающих госпитали, безвозмездно работает свыше 150 жён профессоров и сотрудников научно-исследовательских учреждений. Большую оборонную работу проводит совет жён московских научных работников. По инициативе члена совета т. Герольской создана бригада, которая собирает художественную литературу для госпиталей, организует концерты для раненых, проводит читки газет в палатах выздоравливающих. Жена научного работника Мария Семёновна Буркова организовала при сельскохозяйственной академии им. Тимирязева курсы медицинских сестёр, создала ряд санитарных постов при жилых домах и повседневно руководит их работой. На многочисленных курсах медицинских сестёр и санитарных дружинниц, занимаются тысячи женщин — научных сотрудниц и жён деятелей науки. Многие из них уже работают в госпиталях и лазаретах.</w:t>
      </w:r>
    </w:p>
    <w:p w14:paraId="2724CBE4"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Кипучую деятельность развили в дни Отечественной войны общественницы-активистки Осоавиахима г. Москвы. Инструктор-общественница, домохозяйка Вакулина подготовила за время войны несколько десятков значкистов ПВХО и ГСО. Свыше ста человек подготовила к сдаче норм ПВХО и ГСО домохозяйка А.А.Орехова. По инициативе домохозяек Клименко и Астаховой в домах №№ 26 и 28 по 2-й Тверской-Ямской улице женщины собрали в течение трёх часов 102 килограмма цветных металлов. По нескольку тонн чёрного металла собрали за один день в жилых домах своего района работницы московского завода «Москабель», Первомайского района Москвы. Деньги, причитающиеся за сбор металлолома, женщины передали в фонд обороны страны.» (14760).</w:t>
      </w:r>
    </w:p>
    <w:p w14:paraId="49AEC158" w14:textId="77777777" w:rsidR="00883F56" w:rsidRPr="00640820" w:rsidRDefault="00883F56" w:rsidP="00640820">
      <w:pPr>
        <w:spacing w:after="0" w:line="240" w:lineRule="auto"/>
        <w:jc w:val="both"/>
        <w:rPr>
          <w:rFonts w:ascii="Times New Roman" w:hAnsi="Times New Roman"/>
          <w:color w:val="000000" w:themeColor="text1"/>
          <w:sz w:val="16"/>
          <w:szCs w:val="16"/>
        </w:rPr>
      </w:pPr>
    </w:p>
    <w:p w14:paraId="503C2CCD"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5 сентября </w:t>
      </w:r>
      <w:r w:rsidRPr="00640820">
        <w:rPr>
          <w:rFonts w:ascii="Times New Roman" w:hAnsi="Times New Roman"/>
          <w:color w:val="000000" w:themeColor="text1"/>
          <w:sz w:val="16"/>
          <w:szCs w:val="16"/>
        </w:rPr>
        <w:t>в 1941 году вечернее сообщение Совинформбюро:</w:t>
      </w:r>
    </w:p>
    <w:p w14:paraId="2F8F9A87"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5 сентября наши войска вели бри с противником на всём фронте.</w:t>
      </w:r>
    </w:p>
    <w:p w14:paraId="3327EFA8"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неполным данным, в течение 3 сентября уничтожено 33 немецких самолёта. Наши потери — 27 самолётов.</w:t>
      </w:r>
    </w:p>
    <w:p w14:paraId="1E21C5DE"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Кавалерийская казачья группа под командованием полковника Доватора проникла в тыл фашистов и в течение продолжительного времени громила немецкие войска и коммуникации. В первом же бою казаки полностью истребили 3-й батальон 430 германского пехотного полка.</w:t>
      </w:r>
    </w:p>
    <w:p w14:paraId="10B09437"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Казаки перехватывали коммуникации, нарушали связь, захватывали радиостанции, жгли вражеские склады, рубили немецких солдат и офицеров. Немецкое командование издало специальный приказ об «истреблении казачьего отряда». На следующий день этот приказ попал в руки наших кавалеристов. Прокладывая путь по болотам и глухим лесам, казаки появлялись там, где их меньше всего ожидали немцы. В одном из боёв казаки разгромили ещё один батальон противника, уничтожили 3 орудия, захватили 4 миномёта, 9 станковых пулемётов, 16 ручных пулемётов, радиостанцию, сожгли автомашины и склады с обмундированием и продовольствием. Затем казаки совершили налёт на немецкую автоколонну и уничтожили 138 немецких солдат и офицеров, разбили 58 грузовиков, 3 легковых автомашины, 3 цистерны с горючим.</w:t>
      </w:r>
    </w:p>
    <w:p w14:paraId="6132CF28"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Немцы бросали против наших конников танки, самолёты, устраивали засады, но казаки были неуловимы. Кавалерийская группа своим смелым рейдом нанесла врагу большие потери.</w:t>
      </w:r>
    </w:p>
    <w:p w14:paraId="75420ED0"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Лётчик-истребитель лейтенант Катрич атаковал летевший на большой высоте фашистский бомбардировщик «Дорнье 217». Фашист не выдержал атаки советского лётчика и стал уходить. Во время боя тов. Катрич исчерпал все боеприпасы. Отважный лётчик решил итти на таран. Вплотную сблизившись с фашистом, тов. Катрич ударом своего самолёта отбил левый киль немецкой машины. «Дорнье» рухнул на землю. Лётчик Катрич сохранил машину и благополучно сел на своём аэродроме.</w:t>
      </w:r>
    </w:p>
    <w:p w14:paraId="023F473D"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сапёрный батальон под командованием тов. Червинского, действующий на Юго-Западном направлении фронта, напала моторизованная часть противника. Советские сапёры приняли бой и уничтожили 65 немецких офицеров и унтер-офицеров и большое число солдат. Красноармейцы захватили 6 вражеских орудий, 6 полубронированных тягачей, много автомашин, мотоциклов, велосипедов, оружия и боеприпасов.</w:t>
      </w:r>
    </w:p>
    <w:p w14:paraId="509CA46F"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Авиация Черноморского флота разбомбила за последние два дня свыше 25 немецких танков, более 100 автомашин и три воинских эшелона. В воздушных боях сбито семь фашистских истребителей. Особо отличились экипаж лётчика-орденоносца старшего лейтенанта Дмитриевского, сбивший два «Мессершмитта», и экипаж лейтенанта Большакова, сбивший три вражеских истребителя.</w:t>
      </w:r>
    </w:p>
    <w:p w14:paraId="245D15CA"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Подразделение командира тов. Рогова, действующее на Западном направлении фронта, смелой атакой уничтожило до 300 немецких солдат, 2 противотанковых пушки, 3 зенитных пулемёта, более 30 мотоциклов и склад боеприпасов. Командир танка заместитель политрука Плотников прорвался в тыл противника и уничтожил противотанковое орудие и два миномёта. В тылу врага небольшая группа красноармейцев отбивалась от численно превосходящего отряда фашистов. Тов. Плотников обстрелял противника и помог красноармейцам выйти из окружения.</w:t>
      </w:r>
    </w:p>
    <w:p w14:paraId="22199A3C"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Младший политрук Энской части Ленинградского фронта тов. Власов, удерживая вместе с несколькими бойцами ДЗОТ, уничтожил за один день до 200 немецких солдат и офицеров.</w:t>
      </w:r>
    </w:p>
    <w:p w14:paraId="4B3EBDF2"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оккупированных германскими фашистами районах Украины партизанская борьба приобретает всё более широкий размах. Вооружившись германскими винтовками и пулемётами, партизаны проводят большие операции и отвлекают значительное количество фашистских войск от фронта. В районах южнее Винницы действует крупный отряд партизан под командованием председателя райисполкома тов. Н. Отряд контролирует многие важные дороги области. За короткое время партизаны уничтожили 240 немецких грузовых машин и отбили у фашистов 50 мотоциклов. У села Латанцы отряд был окружён немецкими войсками. Искусно маневрируя и нанося врагу большие потери, партизаны увлекли его в лес и вышли из окружения. Фашисты вынуждены держать в этих районах большие части, которые безуспешно охотятся за отрядом. Местное население всячески помогает партизанам и сообщает им о передвижении немецких войск.</w:t>
      </w:r>
    </w:p>
    <w:p w14:paraId="4109D810"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Большую славу завоевал партизанский отряд под командованием председателя колхоза орденоносца X. Этот отряд действует в оккупированных немцами районах Житомирской области. Недавно отряд уничтожил 3 транспортных самолёта «Юнкерс-52». Под селом Высокая Печь партизаны за три дня уничтожили 40 немецких автомашин, 15 мотоциклов и взорвали мост через реку.</w:t>
      </w:r>
    </w:p>
    <w:p w14:paraId="31B2ADE9"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Успешно работают советские нефтяники, бесперебойно снабжая горючим тыл и фронт. Почти на полтора месяца раньше срока выполнила девятимесячный план добычи нефти бригада первого промысла бакинского треста «Азизбековнефть». С первых же дней Отечественной войны нефтяники четвёртого промысла треста «Лениннефть» дают сверх плана много тонн горючего. Всемерно используя внутренние ресурсы, коллектив промысла сэкономил миллион рублей. Коллектив </w:t>
      </w:r>
      <w:r w:rsidRPr="00640820">
        <w:rPr>
          <w:rFonts w:ascii="Times New Roman" w:hAnsi="Times New Roman"/>
          <w:color w:val="000000" w:themeColor="text1"/>
          <w:sz w:val="16"/>
          <w:szCs w:val="16"/>
        </w:rPr>
        <w:lastRenderedPageBreak/>
        <w:t>Грозненского нефтекомбината закончил восьмимесячный план добычи нефти и газа на 12 дней раньше срока, сэкономив в дни войны за счёт снижения себестоимости более миллиона рублей.</w:t>
      </w:r>
    </w:p>
    <w:p w14:paraId="2EC6A427"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Бригада знатного бакинского бурового мастера т. Шишканова пробурила за один месяц на четвёртом промысле «Сталиннефти» столько метров, сколько раньше бурили за три с половиной месяца. Буровой мастер Арсен Ванесов закончил бурение новой морской скважины на 58 дней раньше срока. Мастер Ага Нейматулл сдал свою скважину на 47 дней раньше срока. За два месяца войны механик третьего промысла треста «Молотовнефть» т. Мкртычев, используя внутренние резервы, ввёл в строй шесть новых скважин.</w:t>
      </w:r>
    </w:p>
    <w:p w14:paraId="15944436"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Ставропольские нефтяники в августе закончили выполнение своей годовой программы. Стахановцы обязались выполнить к 1 января 1942 года ещё одну годовую программу.» (14760).</w:t>
      </w:r>
    </w:p>
    <w:p w14:paraId="10011363" w14:textId="77777777" w:rsidR="00A122A6" w:rsidRPr="00640820" w:rsidRDefault="00A122A6" w:rsidP="00640820">
      <w:pPr>
        <w:spacing w:after="0" w:line="240" w:lineRule="auto"/>
        <w:jc w:val="both"/>
        <w:rPr>
          <w:rFonts w:ascii="Times New Roman" w:hAnsi="Times New Roman"/>
          <w:color w:val="000000" w:themeColor="text1"/>
          <w:sz w:val="16"/>
          <w:szCs w:val="16"/>
        </w:rPr>
      </w:pPr>
    </w:p>
    <w:p w14:paraId="2DD311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сентября 1941 авиасилы фрон</w:t>
      </w:r>
      <w:r w:rsidRPr="00640820">
        <w:rPr>
          <w:rFonts w:ascii="Times New Roman" w:hAnsi="Times New Roman"/>
          <w:color w:val="000000" w:themeColor="text1"/>
          <w:sz w:val="16"/>
          <w:szCs w:val="16"/>
        </w:rPr>
        <w:softHyphen/>
        <w:t xml:space="preserve">та смогли выполнить всего 30 самолето-вылетов, в том числе 5 боевых вылета штурмовиками Ил-2. Пара Ил-2 245-го </w:t>
      </w:r>
      <w:r w:rsidRPr="00640820">
        <w:rPr>
          <w:rFonts w:ascii="Times New Roman" w:hAnsi="Times New Roman"/>
          <w:iCs/>
          <w:color w:val="000000" w:themeColor="text1"/>
          <w:sz w:val="16"/>
          <w:szCs w:val="16"/>
        </w:rPr>
        <w:t>шап</w:t>
      </w:r>
      <w:r w:rsidRPr="00640820">
        <w:rPr>
          <w:rFonts w:ascii="Times New Roman" w:hAnsi="Times New Roman"/>
          <w:color w:val="000000" w:themeColor="text1"/>
          <w:sz w:val="16"/>
          <w:szCs w:val="16"/>
        </w:rPr>
        <w:t xml:space="preserve"> штурмовала пехоту противника в районе юго-западнее ст. Зновь, и звено 218-го </w:t>
      </w:r>
      <w:r w:rsidRPr="00640820">
        <w:rPr>
          <w:rFonts w:ascii="Times New Roman" w:hAnsi="Times New Roman"/>
          <w:iCs/>
          <w:color w:val="000000" w:themeColor="text1"/>
          <w:sz w:val="16"/>
          <w:szCs w:val="16"/>
        </w:rPr>
        <w:t>шап</w:t>
      </w:r>
      <w:r w:rsidRPr="00640820">
        <w:rPr>
          <w:rFonts w:ascii="Times New Roman" w:hAnsi="Times New Roman"/>
          <w:color w:val="000000" w:themeColor="text1"/>
          <w:sz w:val="16"/>
          <w:szCs w:val="16"/>
        </w:rPr>
        <w:t xml:space="preserve"> в период 16.25-17.45 атако</w:t>
      </w:r>
      <w:r w:rsidRPr="00640820">
        <w:rPr>
          <w:rFonts w:ascii="Times New Roman" w:hAnsi="Times New Roman"/>
          <w:color w:val="000000" w:themeColor="text1"/>
          <w:sz w:val="16"/>
          <w:szCs w:val="16"/>
        </w:rPr>
        <w:softHyphen/>
        <w:t xml:space="preserve">вало мотомехколонну на дороге Алексеевка-Почеп. В обоих случаях </w:t>
      </w:r>
      <w:r w:rsidRPr="00640820">
        <w:rPr>
          <w:rFonts w:ascii="Times New Roman" w:hAnsi="Times New Roman"/>
          <w:iCs/>
          <w:color w:val="000000" w:themeColor="text1"/>
          <w:sz w:val="16"/>
          <w:szCs w:val="16"/>
        </w:rPr>
        <w:t>"резуль</w:t>
      </w:r>
      <w:r w:rsidRPr="00640820">
        <w:rPr>
          <w:rFonts w:ascii="Times New Roman" w:hAnsi="Times New Roman"/>
          <w:iCs/>
          <w:color w:val="000000" w:themeColor="text1"/>
          <w:sz w:val="16"/>
          <w:szCs w:val="16"/>
        </w:rPr>
        <w:softHyphen/>
        <w:t xml:space="preserve">таты хорошие". </w:t>
      </w:r>
      <w:r w:rsidRPr="00640820">
        <w:rPr>
          <w:rFonts w:ascii="Times New Roman" w:hAnsi="Times New Roman"/>
          <w:color w:val="000000" w:themeColor="text1"/>
          <w:sz w:val="16"/>
          <w:szCs w:val="16"/>
        </w:rPr>
        <w:t>Экипажи 1 -и РАГ в течение дня унич</w:t>
      </w:r>
      <w:r w:rsidRPr="00640820">
        <w:rPr>
          <w:rFonts w:ascii="Times New Roman" w:hAnsi="Times New Roman"/>
          <w:color w:val="000000" w:themeColor="text1"/>
          <w:sz w:val="16"/>
          <w:szCs w:val="16"/>
        </w:rPr>
        <w:softHyphen/>
        <w:t>тожали немецкие танки и мотомехвойска в районе Маков, Кролевец, Глухов. В 26 самолето-вылетах были атакованы мотомехколонны на дорогах Глухов-Черториш и Дубовичи-Черториш, скопление до 70 автомашин в районе севернее Кролевец. По донесению штаба авиагруп</w:t>
      </w:r>
      <w:r w:rsidRPr="00640820">
        <w:rPr>
          <w:rFonts w:ascii="Times New Roman" w:hAnsi="Times New Roman"/>
          <w:color w:val="000000" w:themeColor="text1"/>
          <w:sz w:val="16"/>
          <w:szCs w:val="16"/>
        </w:rPr>
        <w:softHyphen/>
        <w:t xml:space="preserve">пы, в районах нанесения ударов </w:t>
      </w:r>
      <w:r w:rsidRPr="00640820">
        <w:rPr>
          <w:rFonts w:ascii="Times New Roman" w:hAnsi="Times New Roman"/>
          <w:iCs/>
          <w:color w:val="000000" w:themeColor="text1"/>
          <w:sz w:val="16"/>
          <w:szCs w:val="16"/>
        </w:rPr>
        <w:t>"наблю</w:t>
      </w:r>
      <w:r w:rsidRPr="00640820">
        <w:rPr>
          <w:rFonts w:ascii="Times New Roman" w:hAnsi="Times New Roman"/>
          <w:iCs/>
          <w:color w:val="000000" w:themeColor="text1"/>
          <w:sz w:val="16"/>
          <w:szCs w:val="16"/>
        </w:rPr>
        <w:softHyphen/>
        <w:t>далось много прямых попаданий по тан</w:t>
      </w:r>
      <w:r w:rsidRPr="00640820">
        <w:rPr>
          <w:rFonts w:ascii="Times New Roman" w:hAnsi="Times New Roman"/>
          <w:iCs/>
          <w:color w:val="000000" w:themeColor="text1"/>
          <w:sz w:val="16"/>
          <w:szCs w:val="16"/>
        </w:rPr>
        <w:softHyphen/>
        <w:t xml:space="preserve">кам и автомашинам... " </w:t>
      </w:r>
      <w:r w:rsidRPr="00640820">
        <w:rPr>
          <w:rFonts w:ascii="Times New Roman" w:hAnsi="Times New Roman"/>
          <w:color w:val="000000" w:themeColor="text1"/>
          <w:sz w:val="16"/>
          <w:szCs w:val="16"/>
        </w:rPr>
        <w:t>Если действия наземных войск рас</w:t>
      </w:r>
      <w:r w:rsidRPr="00640820">
        <w:rPr>
          <w:rFonts w:ascii="Times New Roman" w:hAnsi="Times New Roman"/>
          <w:color w:val="000000" w:themeColor="text1"/>
          <w:sz w:val="16"/>
          <w:szCs w:val="16"/>
        </w:rPr>
        <w:softHyphen/>
        <w:t>ценивались Ставкой ГК как неудачные, то "работа" авиации в целом получила положительную оценку. В шифротелеграмме от 4 сентября, направленной в штаб Брянского фронта, Верховный от</w:t>
      </w:r>
      <w:r w:rsidRPr="00640820">
        <w:rPr>
          <w:rFonts w:ascii="Times New Roman" w:hAnsi="Times New Roman"/>
          <w:color w:val="000000" w:themeColor="text1"/>
          <w:sz w:val="16"/>
          <w:szCs w:val="16"/>
        </w:rPr>
        <w:softHyphen/>
        <w:t xml:space="preserve">мечал, что: </w:t>
      </w:r>
      <w:r w:rsidRPr="00640820">
        <w:rPr>
          <w:rFonts w:ascii="Times New Roman" w:hAnsi="Times New Roman"/>
          <w:iCs/>
          <w:color w:val="000000" w:themeColor="text1"/>
          <w:sz w:val="16"/>
          <w:szCs w:val="16"/>
        </w:rPr>
        <w:t>"Авиация действует хорошо, но она действовала бы лучше, если бы разведчики вызывали бомбардировщи</w:t>
      </w:r>
      <w:r w:rsidRPr="00640820">
        <w:rPr>
          <w:rFonts w:ascii="Times New Roman" w:hAnsi="Times New Roman"/>
          <w:iCs/>
          <w:color w:val="000000" w:themeColor="text1"/>
          <w:sz w:val="16"/>
          <w:szCs w:val="16"/>
        </w:rPr>
        <w:softHyphen/>
        <w:t>ков быстрее и по радио, а не по возвра</w:t>
      </w:r>
      <w:r w:rsidRPr="00640820">
        <w:rPr>
          <w:rFonts w:ascii="Times New Roman" w:hAnsi="Times New Roman"/>
          <w:iCs/>
          <w:color w:val="000000" w:themeColor="text1"/>
          <w:sz w:val="16"/>
          <w:szCs w:val="16"/>
        </w:rPr>
        <w:softHyphen/>
        <w:t xml:space="preserve">щении к месту посадки... ". </w:t>
      </w:r>
      <w:r w:rsidRPr="00640820">
        <w:rPr>
          <w:rFonts w:ascii="Times New Roman" w:hAnsi="Times New Roman"/>
          <w:color w:val="000000" w:themeColor="text1"/>
          <w:sz w:val="16"/>
          <w:szCs w:val="16"/>
        </w:rPr>
        <w:t>При изучении архивных материалов авиачастей и авиасоединений, участво</w:t>
      </w:r>
      <w:r w:rsidRPr="00640820">
        <w:rPr>
          <w:rFonts w:ascii="Times New Roman" w:hAnsi="Times New Roman"/>
          <w:color w:val="000000" w:themeColor="text1"/>
          <w:sz w:val="16"/>
          <w:szCs w:val="16"/>
        </w:rPr>
        <w:softHyphen/>
        <w:t>вавших в этой операции, авторы обна</w:t>
      </w:r>
      <w:r w:rsidRPr="00640820">
        <w:rPr>
          <w:rFonts w:ascii="Times New Roman" w:hAnsi="Times New Roman"/>
          <w:color w:val="000000" w:themeColor="text1"/>
          <w:sz w:val="16"/>
          <w:szCs w:val="16"/>
        </w:rPr>
        <w:softHyphen/>
        <w:t>ружили интересную особенность в оп</w:t>
      </w:r>
      <w:r w:rsidRPr="00640820">
        <w:rPr>
          <w:rFonts w:ascii="Times New Roman" w:hAnsi="Times New Roman"/>
          <w:color w:val="000000" w:themeColor="text1"/>
          <w:sz w:val="16"/>
          <w:szCs w:val="16"/>
        </w:rPr>
        <w:softHyphen/>
        <w:t>ределении нанесенного противнику уро</w:t>
      </w:r>
      <w:r w:rsidRPr="00640820">
        <w:rPr>
          <w:rFonts w:ascii="Times New Roman" w:hAnsi="Times New Roman"/>
          <w:color w:val="000000" w:themeColor="text1"/>
          <w:sz w:val="16"/>
          <w:szCs w:val="16"/>
        </w:rPr>
        <w:softHyphen/>
        <w:t>на, по размерам которого оценивались действия авиации. Оказалось, что в до</w:t>
      </w:r>
      <w:r w:rsidRPr="00640820">
        <w:rPr>
          <w:rFonts w:ascii="Times New Roman" w:hAnsi="Times New Roman"/>
          <w:color w:val="000000" w:themeColor="text1"/>
          <w:sz w:val="16"/>
          <w:szCs w:val="16"/>
        </w:rPr>
        <w:softHyphen/>
        <w:t>несениях полков штабам соединений, в которые они входили, указывалось отме</w:t>
      </w:r>
      <w:r w:rsidRPr="00640820">
        <w:rPr>
          <w:rFonts w:ascii="Times New Roman" w:hAnsi="Times New Roman"/>
          <w:color w:val="000000" w:themeColor="text1"/>
          <w:sz w:val="16"/>
          <w:szCs w:val="16"/>
        </w:rPr>
        <w:softHyphen/>
        <w:t>ченное экипажами количество больших взрывов и пожаров или же (в редких случаях) число прямых попаданий (как правило, два-три) в танки, автомашины и т.д. В подавляющем числе донесений полков авторы не обнаружили точных данных об уничтоженных и поврежден</w:t>
      </w:r>
      <w:r w:rsidRPr="00640820">
        <w:rPr>
          <w:rFonts w:ascii="Times New Roman" w:hAnsi="Times New Roman"/>
          <w:color w:val="000000" w:themeColor="text1"/>
          <w:sz w:val="16"/>
          <w:szCs w:val="16"/>
        </w:rPr>
        <w:softHyphen/>
        <w:t>ных немецких танках, бронемашинах и т.д. Но в донесениях штабов соедине</w:t>
      </w:r>
      <w:r w:rsidRPr="00640820">
        <w:rPr>
          <w:rFonts w:ascii="Times New Roman" w:hAnsi="Times New Roman"/>
          <w:color w:val="000000" w:themeColor="text1"/>
          <w:sz w:val="16"/>
          <w:szCs w:val="16"/>
        </w:rPr>
        <w:softHyphen/>
        <w:t>ний уже вовсю фигурировали сотни уничтоженных солдат и офицеров про</w:t>
      </w:r>
      <w:r w:rsidRPr="00640820">
        <w:rPr>
          <w:rFonts w:ascii="Times New Roman" w:hAnsi="Times New Roman"/>
          <w:color w:val="000000" w:themeColor="text1"/>
          <w:sz w:val="16"/>
          <w:szCs w:val="16"/>
        </w:rPr>
        <w:softHyphen/>
        <w:t>тивника, десятки танков, бронемашин, орудий и другой военной техники. Нисколько не умаляя мужества и ге</w:t>
      </w:r>
      <w:r w:rsidRPr="00640820">
        <w:rPr>
          <w:rFonts w:ascii="Times New Roman" w:hAnsi="Times New Roman"/>
          <w:color w:val="000000" w:themeColor="text1"/>
          <w:sz w:val="16"/>
          <w:szCs w:val="16"/>
        </w:rPr>
        <w:softHyphen/>
        <w:t>роизма наших летчиков, надо все же признать, потери противника завыша</w:t>
      </w:r>
      <w:r w:rsidRPr="00640820">
        <w:rPr>
          <w:rFonts w:ascii="Times New Roman" w:hAnsi="Times New Roman"/>
          <w:color w:val="000000" w:themeColor="text1"/>
          <w:sz w:val="16"/>
          <w:szCs w:val="16"/>
        </w:rPr>
        <w:softHyphen/>
        <w:t>лись примерно в 2-5 раз - "Что их жа</w:t>
      </w:r>
      <w:r w:rsidRPr="00640820">
        <w:rPr>
          <w:rFonts w:ascii="Times New Roman" w:hAnsi="Times New Roman"/>
          <w:color w:val="000000" w:themeColor="text1"/>
          <w:sz w:val="16"/>
          <w:szCs w:val="16"/>
        </w:rPr>
        <w:softHyphen/>
        <w:t>леть, басурманов, пиши поболе" (6467).</w:t>
      </w:r>
    </w:p>
    <w:p w14:paraId="1542A4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8BAF3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5 сентября 1941 ВВС Брянского фронта имели 17 ис</w:t>
      </w:r>
      <w:r w:rsidRPr="00640820">
        <w:rPr>
          <w:rFonts w:ascii="Times New Roman" w:hAnsi="Times New Roman"/>
          <w:color w:val="000000" w:themeColor="text1"/>
          <w:sz w:val="16"/>
          <w:szCs w:val="16"/>
        </w:rPr>
        <w:softHyphen/>
        <w:t>правных Ил-2, 22 боеготовых Пе-2, 25 Су-2, 14 СБ, 9 Як-1, 12 МиГ-3 и 4 И-16. В составе 1 -и РАГ имелось всего 16 Пе-2, 8 Ил-2, 15 МиГ-3 и 6 Як-1, из них боль</w:t>
      </w:r>
      <w:r w:rsidRPr="00640820">
        <w:rPr>
          <w:rFonts w:ascii="Times New Roman" w:hAnsi="Times New Roman"/>
          <w:color w:val="000000" w:themeColor="text1"/>
          <w:sz w:val="16"/>
          <w:szCs w:val="16"/>
        </w:rPr>
        <w:softHyphen/>
        <w:t>шинство были неисправными. В ожесточенных боях авиационная группировка Красной Армии на брянс</w:t>
      </w:r>
      <w:r w:rsidRPr="00640820">
        <w:rPr>
          <w:rFonts w:ascii="Times New Roman" w:hAnsi="Times New Roman"/>
          <w:color w:val="000000" w:themeColor="text1"/>
          <w:sz w:val="16"/>
          <w:szCs w:val="16"/>
        </w:rPr>
        <w:softHyphen/>
        <w:t>ком направлении понесла большие по</w:t>
      </w:r>
      <w:r w:rsidRPr="00640820">
        <w:rPr>
          <w:rFonts w:ascii="Times New Roman" w:hAnsi="Times New Roman"/>
          <w:color w:val="000000" w:themeColor="text1"/>
          <w:sz w:val="16"/>
          <w:szCs w:val="16"/>
        </w:rPr>
        <w:softHyphen/>
        <w:t>тери и уже не могла должным образом противодействовать продвижению про</w:t>
      </w:r>
      <w:r w:rsidRPr="00640820">
        <w:rPr>
          <w:rFonts w:ascii="Times New Roman" w:hAnsi="Times New Roman"/>
          <w:color w:val="000000" w:themeColor="text1"/>
          <w:sz w:val="16"/>
          <w:szCs w:val="16"/>
        </w:rPr>
        <w:softHyphen/>
        <w:t>тивника (6467).</w:t>
      </w:r>
    </w:p>
    <w:p w14:paraId="771660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093CA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сентября 1941 Командир 1-й РАГ п-к Д.М.Трифонов в донесении на имя коман</w:t>
      </w:r>
      <w:r w:rsidRPr="00640820">
        <w:rPr>
          <w:rFonts w:ascii="Times New Roman" w:hAnsi="Times New Roman"/>
          <w:color w:val="000000" w:themeColor="text1"/>
          <w:sz w:val="16"/>
          <w:szCs w:val="16"/>
        </w:rPr>
        <w:softHyphen/>
        <w:t xml:space="preserve">дующего ВВС КА генерал-лейтенанта П.Ф.Жигарева докладывал, что: </w:t>
      </w:r>
      <w:r w:rsidRPr="00640820">
        <w:rPr>
          <w:rFonts w:ascii="Times New Roman" w:hAnsi="Times New Roman"/>
          <w:iCs/>
          <w:color w:val="000000" w:themeColor="text1"/>
          <w:sz w:val="16"/>
          <w:szCs w:val="16"/>
        </w:rPr>
        <w:t>"Для дальнейшего разгрома противника в сложившихся условиях требуются штур</w:t>
      </w:r>
      <w:r w:rsidRPr="00640820">
        <w:rPr>
          <w:rFonts w:ascii="Times New Roman" w:hAnsi="Times New Roman"/>
          <w:iCs/>
          <w:color w:val="000000" w:themeColor="text1"/>
          <w:sz w:val="16"/>
          <w:szCs w:val="16"/>
        </w:rPr>
        <w:softHyphen/>
        <w:t>мовики Ил-2. Прошу усилить группу од</w:t>
      </w:r>
      <w:r w:rsidRPr="00640820">
        <w:rPr>
          <w:rFonts w:ascii="Times New Roman" w:hAnsi="Times New Roman"/>
          <w:iCs/>
          <w:color w:val="000000" w:themeColor="text1"/>
          <w:sz w:val="16"/>
          <w:szCs w:val="16"/>
        </w:rPr>
        <w:softHyphen/>
        <w:t>ним полком Ил-2 и одним полком ис</w:t>
      </w:r>
      <w:r w:rsidRPr="00640820">
        <w:rPr>
          <w:rFonts w:ascii="Times New Roman" w:hAnsi="Times New Roman"/>
          <w:iCs/>
          <w:color w:val="000000" w:themeColor="text1"/>
          <w:sz w:val="16"/>
          <w:szCs w:val="16"/>
        </w:rPr>
        <w:softHyphen/>
        <w:t>требителей... Отсутствие запчастей тор</w:t>
      </w:r>
      <w:r w:rsidRPr="00640820">
        <w:rPr>
          <w:rFonts w:ascii="Times New Roman" w:hAnsi="Times New Roman"/>
          <w:iCs/>
          <w:color w:val="000000" w:themeColor="text1"/>
          <w:sz w:val="16"/>
          <w:szCs w:val="16"/>
        </w:rPr>
        <w:softHyphen/>
        <w:t xml:space="preserve">мозит полевой ремонт... " </w:t>
      </w:r>
      <w:r w:rsidRPr="00640820">
        <w:rPr>
          <w:rFonts w:ascii="Times New Roman" w:hAnsi="Times New Roman"/>
          <w:color w:val="000000" w:themeColor="text1"/>
          <w:sz w:val="16"/>
          <w:szCs w:val="16"/>
        </w:rPr>
        <w:t>(6467).</w:t>
      </w:r>
    </w:p>
    <w:p w14:paraId="30DD2A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Прибытие на брянское направление дополнительных сил штурмовиков по</w:t>
      </w:r>
      <w:r w:rsidRPr="00640820">
        <w:rPr>
          <w:rFonts w:ascii="Times New Roman" w:hAnsi="Times New Roman"/>
          <w:color w:val="000000" w:themeColor="text1"/>
          <w:sz w:val="16"/>
          <w:szCs w:val="16"/>
        </w:rPr>
        <w:softHyphen/>
        <w:t>влекло и дополнительные потери немец</w:t>
      </w:r>
      <w:r w:rsidRPr="00640820">
        <w:rPr>
          <w:rFonts w:ascii="Times New Roman" w:hAnsi="Times New Roman"/>
          <w:color w:val="000000" w:themeColor="text1"/>
          <w:sz w:val="16"/>
          <w:szCs w:val="16"/>
        </w:rPr>
        <w:softHyphen/>
        <w:t>ких мотомехвойск.</w:t>
      </w:r>
    </w:p>
    <w:p w14:paraId="2FC4F32F"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"...Задача грамотно использовать прибывающие полки Ил-2" была воз</w:t>
      </w:r>
      <w:r w:rsidRPr="00640820">
        <w:rPr>
          <w:rFonts w:ascii="Times New Roman" w:hAnsi="Times New Roman"/>
          <w:iCs/>
          <w:color w:val="000000" w:themeColor="text1"/>
          <w:sz w:val="16"/>
          <w:szCs w:val="16"/>
        </w:rPr>
        <w:softHyphen/>
        <w:t>ложена лично на командира 1-й РАГ. При этом полковнику Трифонову при</w:t>
      </w:r>
      <w:r w:rsidRPr="00640820">
        <w:rPr>
          <w:rFonts w:ascii="Times New Roman" w:hAnsi="Times New Roman"/>
          <w:iCs/>
          <w:color w:val="000000" w:themeColor="text1"/>
          <w:sz w:val="16"/>
          <w:szCs w:val="16"/>
        </w:rPr>
        <w:softHyphen/>
        <w:t>казывалось: "Полки Ил-2...располо</w:t>
      </w:r>
      <w:r w:rsidRPr="00640820">
        <w:rPr>
          <w:rFonts w:ascii="Times New Roman" w:hAnsi="Times New Roman"/>
          <w:iCs/>
          <w:color w:val="000000" w:themeColor="text1"/>
          <w:sz w:val="16"/>
          <w:szCs w:val="16"/>
        </w:rPr>
        <w:softHyphen/>
        <w:t>жить на аэродромах с радиостанция</w:t>
      </w:r>
      <w:r w:rsidRPr="00640820">
        <w:rPr>
          <w:rFonts w:ascii="Times New Roman" w:hAnsi="Times New Roman"/>
          <w:iCs/>
          <w:color w:val="000000" w:themeColor="text1"/>
          <w:sz w:val="16"/>
          <w:szCs w:val="16"/>
        </w:rPr>
        <w:softHyphen/>
        <w:t>ми.... Надо сделать так, чтобы один СБ всегда находился над расположени</w:t>
      </w:r>
      <w:r w:rsidRPr="00640820">
        <w:rPr>
          <w:rFonts w:ascii="Times New Roman" w:hAnsi="Times New Roman"/>
          <w:iCs/>
          <w:color w:val="000000" w:themeColor="text1"/>
          <w:sz w:val="16"/>
          <w:szCs w:val="16"/>
        </w:rPr>
        <w:softHyphen/>
        <w:t>ем противника и, наблюдая, вызывал по радио полки Ил-2 на цель: один СБ и один полк Ил-2 должен работать в районе Новгород-Снерский; второй СБ и второй полк Ил-2 - в районе Воронеж, Глухов, Кролевец....Принять меры, чтобы новые полки Ил-2 без лидеров старых полков в бой не вы</w:t>
      </w:r>
      <w:r w:rsidRPr="00640820">
        <w:rPr>
          <w:rFonts w:ascii="Times New Roman" w:hAnsi="Times New Roman"/>
          <w:iCs/>
          <w:color w:val="000000" w:themeColor="text1"/>
          <w:sz w:val="16"/>
          <w:szCs w:val="16"/>
        </w:rPr>
        <w:softHyphen/>
        <w:t>пускать, дать ознакомиться с районом боевых действий " (6467).</w:t>
      </w:r>
    </w:p>
    <w:p w14:paraId="31B21C2E"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8EFDCD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сентября 1941 немецкие войска полностью завладели Эстонией (4962).</w:t>
      </w:r>
    </w:p>
    <w:p w14:paraId="44F7EC9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3B1C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сентября 1941 немцы завершили оккупацию Эстонии (2260).</w:t>
      </w:r>
    </w:p>
    <w:p w14:paraId="54C4A3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6B792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сентября 1941 вышло Постановление ГКО № 633 Вопрос НКО. (Поручение комиссии выявить "мертвые души" по численности армии). РГАНИР, Фонд ГКО, д. 8, лл. 167 (11012).</w:t>
      </w:r>
    </w:p>
    <w:p w14:paraId="1B76B1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3858DA4"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2597A140"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511D1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сентября 1941 был первый массированный авианалет на Ленинград (10739).</w:t>
      </w:r>
    </w:p>
    <w:p w14:paraId="579DAB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6C675B3"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5 сентября </w:t>
      </w:r>
      <w:r w:rsidRPr="00640820">
        <w:rPr>
          <w:rFonts w:ascii="Times New Roman" w:hAnsi="Times New Roman"/>
          <w:color w:val="000000" w:themeColor="text1"/>
          <w:sz w:val="16"/>
          <w:szCs w:val="16"/>
        </w:rPr>
        <w:t>в 1941 году ликвидированы Правительство АССР Немцев Поволжья во главе с А.Гекманом и Верховный Совет АССР Немцев Поволжья во главе с К.Гофманом. Расформирован республиканский комитет ВКП(б) во главе с Г.Корбмахером (14760).</w:t>
      </w:r>
    </w:p>
    <w:p w14:paraId="169E2C98" w14:textId="77777777" w:rsidR="00883F56" w:rsidRPr="00640820" w:rsidRDefault="00883F56" w:rsidP="00640820">
      <w:pPr>
        <w:spacing w:after="0" w:line="240" w:lineRule="auto"/>
        <w:jc w:val="both"/>
        <w:rPr>
          <w:rFonts w:ascii="Times New Roman" w:hAnsi="Times New Roman"/>
          <w:color w:val="000000" w:themeColor="text1"/>
          <w:sz w:val="16"/>
          <w:szCs w:val="16"/>
        </w:rPr>
      </w:pPr>
    </w:p>
    <w:p w14:paraId="4D219185"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5 сентября </w:t>
      </w:r>
      <w:r w:rsidRPr="00640820">
        <w:rPr>
          <w:rFonts w:ascii="Times New Roman" w:hAnsi="Times New Roman"/>
          <w:color w:val="000000" w:themeColor="text1"/>
          <w:sz w:val="16"/>
          <w:szCs w:val="16"/>
        </w:rPr>
        <w:t>в 1941 году в Москве объявлена эвакуация всех детей возрастом до 12 лет (14760).</w:t>
      </w:r>
    </w:p>
    <w:p w14:paraId="1BD86E0A" w14:textId="77777777" w:rsidR="00883F56" w:rsidRPr="00640820" w:rsidRDefault="00883F56" w:rsidP="00640820">
      <w:pPr>
        <w:spacing w:after="0" w:line="240" w:lineRule="auto"/>
        <w:jc w:val="both"/>
        <w:rPr>
          <w:rFonts w:ascii="Times New Roman" w:hAnsi="Times New Roman"/>
          <w:color w:val="000000" w:themeColor="text1"/>
          <w:sz w:val="16"/>
          <w:szCs w:val="16"/>
        </w:rPr>
      </w:pPr>
    </w:p>
    <w:p w14:paraId="59023D7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сентября 1941 в Москве объявлена эвакуация всех детей возрастом до 12 лет (4962).</w:t>
      </w:r>
    </w:p>
    <w:p w14:paraId="45FDC5A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9502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сентября 1941 ЦК ВКП(б) принял постановление "О сборе теплых вещей и белья среди населения для КА" и создали специальную комиссию (338,187).</w:t>
      </w:r>
    </w:p>
    <w:p w14:paraId="767F20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606F6EE"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5 сентября </w:t>
      </w:r>
      <w:r w:rsidRPr="00640820">
        <w:rPr>
          <w:rFonts w:ascii="Times New Roman" w:hAnsi="Times New Roman"/>
          <w:color w:val="000000" w:themeColor="text1"/>
          <w:sz w:val="16"/>
          <w:szCs w:val="16"/>
        </w:rPr>
        <w:t>в 1941 году ЦК ВКП(б) принял постановление "О сборе холодных вещей и белья среди населения для Красной Армии" (14760).</w:t>
      </w:r>
    </w:p>
    <w:p w14:paraId="543BAA8D" w14:textId="77777777" w:rsidR="00883F56" w:rsidRPr="00640820" w:rsidRDefault="00883F56" w:rsidP="00640820">
      <w:pPr>
        <w:spacing w:after="0" w:line="240" w:lineRule="auto"/>
        <w:jc w:val="both"/>
        <w:rPr>
          <w:rFonts w:ascii="Times New Roman" w:hAnsi="Times New Roman"/>
          <w:color w:val="000000" w:themeColor="text1"/>
          <w:sz w:val="16"/>
          <w:szCs w:val="16"/>
        </w:rPr>
      </w:pPr>
    </w:p>
    <w:p w14:paraId="100AD5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сентября 1941 г. Для чекистского обслуживания производства минометного вооружения образован 7 с/о НКВД СССР, упраздненный 14 ноября 1942 г (10303).</w:t>
      </w:r>
    </w:p>
    <w:p w14:paraId="0ABB55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FD2B83F" w14:textId="77777777" w:rsidR="00883F56"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61F32007" w14:textId="77777777" w:rsidR="00883F56" w:rsidRPr="00640820" w:rsidRDefault="00883F56"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7208FE6" w14:textId="77777777" w:rsidR="00883F56" w:rsidRPr="00640820" w:rsidRDefault="00883F56" w:rsidP="00640820">
      <w:pPr>
        <w:spacing w:after="0" w:line="240" w:lineRule="auto"/>
        <w:jc w:val="both"/>
        <w:rPr>
          <w:rStyle w:val="ucoz-forum-post"/>
          <w:rFonts w:ascii="Times New Roman" w:eastAsia="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5 сентября 1941 года</w:t>
      </w:r>
      <w:r w:rsidRPr="00640820">
        <w:rPr>
          <w:rStyle w:val="ucoz-forum-post"/>
          <w:rFonts w:ascii="Times New Roman" w:eastAsia="Times New Roman" w:hAnsi="Times New Roman"/>
          <w:color w:val="000000" w:themeColor="text1"/>
          <w:sz w:val="16"/>
          <w:szCs w:val="16"/>
        </w:rPr>
        <w:t xml:space="preserve"> Впервые поднялся в воздух опытный образец B-17E. Новая модель немедленно заменила на поточной линии B-17D и производство стали наращивать с максимальной скоростью (14760).</w:t>
      </w:r>
    </w:p>
    <w:p w14:paraId="473D3ED9" w14:textId="77777777" w:rsidR="00883F56" w:rsidRPr="00640820" w:rsidRDefault="00883F56" w:rsidP="00640820">
      <w:pPr>
        <w:spacing w:after="0" w:line="240" w:lineRule="auto"/>
        <w:jc w:val="both"/>
        <w:rPr>
          <w:rStyle w:val="ucoz-forum-post"/>
          <w:rFonts w:ascii="Times New Roman" w:eastAsia="Times New Roman" w:hAnsi="Times New Roman"/>
          <w:color w:val="000000" w:themeColor="text1"/>
          <w:sz w:val="16"/>
          <w:szCs w:val="16"/>
        </w:rPr>
      </w:pPr>
    </w:p>
    <w:p w14:paraId="52A6ECCC" w14:textId="77777777" w:rsidR="00922AAB" w:rsidRPr="00640820" w:rsidRDefault="00922AA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5–12 сентября 1941 девять бомбардировщиков Boeing B-17D Flying Fortress ВВС США совершают перелет из Hickam Field на Гавайях в Clark Field на Филиппинских островах через атолл Мидуэй, остров Уэйк, Порт-Морсби в Новой Гвинее и Дарвин, Австралия (20794).</w:t>
      </w:r>
    </w:p>
    <w:p w14:paraId="68D7350F" w14:textId="77777777" w:rsidR="00922AAB" w:rsidRPr="00640820" w:rsidRDefault="00922AAB" w:rsidP="00640820">
      <w:pPr>
        <w:spacing w:after="0" w:line="240" w:lineRule="auto"/>
        <w:jc w:val="both"/>
        <w:rPr>
          <w:rFonts w:ascii="Times New Roman" w:hAnsi="Times New Roman"/>
          <w:color w:val="0070C0"/>
          <w:sz w:val="16"/>
          <w:szCs w:val="16"/>
        </w:rPr>
      </w:pPr>
    </w:p>
    <w:p w14:paraId="231B7052" w14:textId="77777777" w:rsidR="00922AAB" w:rsidRPr="00640820" w:rsidRDefault="00922AA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5 сентября 1941 - Впервые поднялся в воздух опытный образец B-17E. Новая модель немедленно заменила на поточной линии B-17D и производство стали наращивать с максимальной скоростью. Отличался новой хвостовой частью фюзеляжа, увеличенным вертикальным и горизонтальным оперением, усиленным оборонительным вооружением, бронезащитой рабочих мест экипажа. Разрабатывался с августа 1940 года. С сентября 1941 по май 1942 года изготовлено 512 самолётов. 45 самолётов передано Великобритании (22374).</w:t>
      </w:r>
    </w:p>
    <w:p w14:paraId="6EB0B488" w14:textId="77777777" w:rsidR="00922AAB" w:rsidRPr="00640820" w:rsidRDefault="00922AAB" w:rsidP="00640820">
      <w:pPr>
        <w:spacing w:after="0" w:line="240" w:lineRule="auto"/>
        <w:jc w:val="both"/>
        <w:rPr>
          <w:rFonts w:ascii="Times New Roman" w:hAnsi="Times New Roman"/>
          <w:color w:val="0070C0"/>
          <w:sz w:val="16"/>
          <w:szCs w:val="16"/>
        </w:rPr>
      </w:pPr>
    </w:p>
    <w:p w14:paraId="13A0F1F0"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5 сентября </w:t>
      </w:r>
      <w:r w:rsidRPr="00640820">
        <w:rPr>
          <w:rFonts w:ascii="Times New Roman" w:hAnsi="Times New Roman"/>
          <w:color w:val="000000" w:themeColor="text1"/>
          <w:sz w:val="16"/>
          <w:szCs w:val="16"/>
        </w:rPr>
        <w:t>в 1941 году один из прогермански настроенных лидеров ОУН Мельник обвинил С.А.Бандеру в измене (14760).</w:t>
      </w:r>
    </w:p>
    <w:p w14:paraId="206E3545" w14:textId="77777777" w:rsidR="00883F56" w:rsidRPr="00640820" w:rsidRDefault="00883F56" w:rsidP="00640820">
      <w:pPr>
        <w:spacing w:after="0" w:line="240" w:lineRule="auto"/>
        <w:jc w:val="both"/>
        <w:rPr>
          <w:rFonts w:ascii="Times New Roman" w:hAnsi="Times New Roman"/>
          <w:color w:val="000000" w:themeColor="text1"/>
          <w:sz w:val="16"/>
          <w:szCs w:val="16"/>
        </w:rPr>
      </w:pPr>
    </w:p>
    <w:p w14:paraId="3EFE4A92"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5 сентября </w:t>
      </w:r>
      <w:r w:rsidRPr="00640820">
        <w:rPr>
          <w:rFonts w:ascii="Times New Roman" w:hAnsi="Times New Roman"/>
          <w:color w:val="000000" w:themeColor="text1"/>
          <w:sz w:val="16"/>
          <w:szCs w:val="16"/>
        </w:rPr>
        <w:t>в 1941 году в Стамбуле обсуждалось создание пантюркистского Объединения тюрок. Оно должно по замыслу стать объединением эмигрантов из числа азербайджанцев, туркестанцев, крымских татар и башкир, причем не только из СССР, но и из числа родившихся уже в Турции (14760).</w:t>
      </w:r>
    </w:p>
    <w:p w14:paraId="3C7F86DA" w14:textId="77777777" w:rsidR="00883F56" w:rsidRPr="00640820" w:rsidRDefault="00883F56" w:rsidP="00640820">
      <w:pPr>
        <w:spacing w:after="0" w:line="240" w:lineRule="auto"/>
        <w:jc w:val="both"/>
        <w:rPr>
          <w:rFonts w:ascii="Times New Roman" w:hAnsi="Times New Roman"/>
          <w:color w:val="000000" w:themeColor="text1"/>
          <w:sz w:val="16"/>
          <w:szCs w:val="16"/>
        </w:rPr>
      </w:pPr>
    </w:p>
    <w:p w14:paraId="03651B70"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5 сентября </w:t>
      </w:r>
      <w:r w:rsidRPr="00640820">
        <w:rPr>
          <w:rFonts w:ascii="Times New Roman" w:hAnsi="Times New Roman"/>
          <w:color w:val="000000" w:themeColor="text1"/>
          <w:sz w:val="16"/>
          <w:szCs w:val="16"/>
        </w:rPr>
        <w:t xml:space="preserve">в 1941 году (5-6 сентября) на совещании в Токио в присутствии императора обсуждался вопрос о военных действиях против США. "Как долго будут продолжаться военные действия в случае японо-американской войны?" - спросил император начальника штаба армии. "Операции в Южно-Тихоокеанском бассейне могут быть завершены примерно через три месяца", - ответил тот. "Вы, генерал, были военным министром, когда начался китайский инцидент, и... тогда вы информировали трон, что инцидент завершится примерно через месяц, - резко возразил император. - Несмотря на ваши уверения, генерал, инцидент не завершен и сейчас, спустя четыре долгих года боев". Генерал пытался оправдаться тем, что "обширные тыловые области Китая не позволили завершить операции согласно заранее составленному плану". "Если китайский тыл настолько обширен, - парировал император, повышая голос, - то Тихий океан бескраен". Как может генерал "быть уверен, </w:t>
      </w:r>
      <w:r w:rsidRPr="00640820">
        <w:rPr>
          <w:rFonts w:ascii="Times New Roman" w:hAnsi="Times New Roman"/>
          <w:color w:val="000000" w:themeColor="text1"/>
          <w:sz w:val="16"/>
          <w:szCs w:val="16"/>
        </w:rPr>
        <w:lastRenderedPageBreak/>
        <w:t>что кампания завершится через три месяца?" Начальник штаба, понурив голову, ничего не ответил. Начальник штаба флота адмирал Нагано выступил в защиту генерала. "Япония - пациент, страдающий серьезной болезнью, - сказал он. - Необходимо быстро принять то или иное решение". Но император так и не получил ясного ответа, выступают ли его советники за дипломатическое или за военное решение проблемы. На следующий день, когда встал тот же вопрос, начальники штабов армии и флота снова хранили молчание. Император выразил сожаление, что они не готовы отвечать. Затем он прочел вслух стихотворение своего деда: "Ведь все в этом мире братья, Отчего же в нем постоянный беспорядок?" В зале воцарилась тишина - все благоговейно молчали. Затем поднялся адмирал Нагано со словами, что к военной силе прибегнут лишь тогда, когда с помощью иных средств эту задачу решить не удастся. Совещание закрылось "в атмосфере беспрецедентной напряженности" (14760).</w:t>
      </w:r>
    </w:p>
    <w:p w14:paraId="58DA3AAE" w14:textId="77777777" w:rsidR="00883F56" w:rsidRPr="00640820" w:rsidRDefault="00883F56" w:rsidP="00640820">
      <w:pPr>
        <w:spacing w:after="0" w:line="240" w:lineRule="auto"/>
        <w:jc w:val="both"/>
        <w:rPr>
          <w:rFonts w:ascii="Times New Roman" w:hAnsi="Times New Roman"/>
          <w:color w:val="000000" w:themeColor="text1"/>
          <w:sz w:val="16"/>
          <w:szCs w:val="16"/>
        </w:rPr>
      </w:pPr>
    </w:p>
    <w:p w14:paraId="4709F862"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5 сентября </w:t>
      </w:r>
      <w:r w:rsidRPr="00640820">
        <w:rPr>
          <w:rFonts w:ascii="Times New Roman" w:hAnsi="Times New Roman"/>
          <w:color w:val="000000" w:themeColor="text1"/>
          <w:sz w:val="16"/>
          <w:szCs w:val="16"/>
        </w:rPr>
        <w:t>в 1941 году начало операции японских войск в районе реки Мило на подступах к Чанша (14760).</w:t>
      </w:r>
    </w:p>
    <w:p w14:paraId="648A92E7" w14:textId="77777777" w:rsidR="00883F56" w:rsidRPr="00640820" w:rsidRDefault="00883F56" w:rsidP="00640820">
      <w:pPr>
        <w:spacing w:after="0" w:line="240" w:lineRule="auto"/>
        <w:jc w:val="both"/>
        <w:rPr>
          <w:rFonts w:ascii="Times New Roman" w:hAnsi="Times New Roman"/>
          <w:color w:val="000000" w:themeColor="text1"/>
          <w:sz w:val="16"/>
          <w:szCs w:val="16"/>
        </w:rPr>
      </w:pPr>
    </w:p>
    <w:p w14:paraId="333296D0"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36D07CCF"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750E3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сентября 1941 было отпечатано и 9 сентября 1941 подписано Пышновым Заключение по эскизному проекту Гу-82 (модификации ЛаГГ-3 под мотор М-82)</w:t>
      </w:r>
    </w:p>
    <w:p w14:paraId="75335D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Замечания к заключению по эскизному проекту:</w:t>
      </w:r>
    </w:p>
    <w:p w14:paraId="4E91B2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Снижение макс. Скорости до 596 км/час обосновано недостаточным Сх = 0,0296 отчего велико спротивление машины с воздушным охлаждением. Вопрос решается большим качеством винта и капота, т.к. при скорости около 600 км/час на концах могут образовываться волны Маха. Если капот будет хороший, 620 км/час возможно.</w:t>
      </w:r>
    </w:p>
    <w:p w14:paraId="4686DE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На потолке п может быть не 0,7, а 0,75 и даже больше (следовало бы проверить, как принято во вниманием эквивалентное удлинение).</w:t>
      </w:r>
    </w:p>
    <w:p w14:paraId="3F0989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Данные о вираже, конечно не заслуживают доверия. То же относится к расчету взлета. Взлет нужно считать не до отрыва, а до перехода на подъем. Тогда величина скорости отрыва не будет играть особой роли.</w:t>
      </w:r>
    </w:p>
    <w:p w14:paraId="6BE739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Как обеспечивает конструктор поперечную устойчивость на больших углах атаки и демпфирование медленных продольных колебаний, которые обычно бывают едостаточными при полете с работающим мотором и при наличии весовой перекомпенсации РВ (821).</w:t>
      </w:r>
    </w:p>
    <w:p w14:paraId="20A174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CF36C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сентября 1941 года был составлен Паспорт завода № 337 по состоянию на 1 сентября 1941 года</w:t>
      </w:r>
    </w:p>
    <w:p w14:paraId="51931E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завода - Дубов</w:t>
      </w:r>
    </w:p>
    <w:p w14:paraId="14169D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Новостройка-дублер</w:t>
      </w:r>
    </w:p>
    <w:p w14:paraId="42A705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Характер производства – крупносерийное</w:t>
      </w:r>
    </w:p>
    <w:p w14:paraId="1C7EC9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Наименование производства – моторостроение</w:t>
      </w:r>
    </w:p>
    <w:p w14:paraId="4706C1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ст. Безымянка Куйбышевской ж/д (расстояние от завода до ст. Безымянка 2,5 км и от завода до Куйбышева по ж/д 18 км, по шоссе – 25 км) (Куйбышев, п/я 32)</w:t>
      </w:r>
    </w:p>
    <w:p w14:paraId="694582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337 – новостройка, решением КО от 11 июня 1941 года за № 154сс запроектирован для выпуска авиамоторов М-105 и АМ-35А.</w:t>
      </w:r>
    </w:p>
    <w:p w14:paraId="2ABDAE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Технический проект завода в настоящее время корректируется на крупносерийный выпуск моторов АМ-35А с последующими модификациями.</w:t>
      </w:r>
    </w:p>
    <w:p w14:paraId="49D463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 завода № 337 в соответствии с приказом НКАП за № 782сс от 1 августа 1941 года и № 726сс от 18 июля 1941 года влились заводы системы НКАП № 452 из Днепропетровска и № 459 из Могилева со всеми материальными, техническими средствами и кадрами.</w:t>
      </w:r>
    </w:p>
    <w:p w14:paraId="73F6B0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совместным приказом наркомов авиационной и судостроительной промышленности за № 904сс/285сс от 25 августа 1941 года в состав завода № 337 вливаются заводы системы НКСП №№ 103 и 181 со всеми материальными, техническими средствами и кадрами (9325).</w:t>
      </w:r>
    </w:p>
    <w:p w14:paraId="59CF94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B834988"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46A8AB7D"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FC7C66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сентября 1941 года получили ответ за подписью директора завода Максарева главного конструктора А. Морозова. Это письмо ушло сразу по нескольким адресатам — начальнику ГАБТУ КА Федоренко, начальнику танкового отдела (создан после начала войны. - Прим. автора) наркомата среднего машиностроения Гнесину, заместителю наркома государственного контроля Попову и районному инженеру ГАБТУ КА на заводе № 183 Козыреву. В этом документе говорилось следующее:</w:t>
      </w:r>
    </w:p>
    <w:p w14:paraId="3E126DA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период войны завод № 183 получил несколько писем от БТУ КА, НКСМ и войсковых частей Красной Армии, отмечающих наряду с хорошей работой танка в целом, ряд недостатков в последнем, выявленных непосредственно при боевом применении машины на фронте.</w:t>
      </w:r>
    </w:p>
    <w:p w14:paraId="64046CA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Вместе с тем, заводом № 183 за этот период собраны материалы на основе изучения танков, поступающих на ремонт, принимавших участие в боевых операциях на фронте.</w:t>
      </w:r>
    </w:p>
    <w:p w14:paraId="18C991E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Ремонтные бригады и водительский персонал, выделенный заводом № 183 для непосредственной работы на фронте, за время своего пребывания на фронте дополнили своими наблюдениями те материалы. которыми к этому времени располагал завод. В основном все замечания о недостатках Т-34 сводятся к работе одних и тех же механизмов, по изжитию недостатков которых завод и проводил все работы.</w:t>
      </w:r>
    </w:p>
    <w:p w14:paraId="07EFCE4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повышения качества выпускаемых заводом №183 Т-34 в данное время проведены следующие мероприятия.</w:t>
      </w:r>
    </w:p>
    <w:p w14:paraId="15C8139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По бронированию:</w:t>
      </w:r>
    </w:p>
    <w:p w14:paraId="37A547E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w:t>
      </w:r>
      <w:r w:rsidRPr="00640820">
        <w:rPr>
          <w:rFonts w:ascii="Times New Roman" w:hAnsi="Times New Roman"/>
          <w:color w:val="000000" w:themeColor="text1"/>
          <w:sz w:val="16"/>
          <w:szCs w:val="16"/>
        </w:rPr>
        <w:tab/>
        <w:t>Утолщен наклонный боковой лист корпуса с 40 до 45 мм. Введение утолщенного листа будет производиться с получением деталей от завода имени Ильича.</w:t>
      </w:r>
    </w:p>
    <w:p w14:paraId="5AC32E0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w:t>
      </w:r>
      <w:r w:rsidRPr="00640820">
        <w:rPr>
          <w:rFonts w:ascii="Times New Roman" w:hAnsi="Times New Roman"/>
          <w:color w:val="000000" w:themeColor="text1"/>
          <w:sz w:val="16"/>
          <w:szCs w:val="16"/>
        </w:rPr>
        <w:tab/>
        <w:t>Утолщение бронировки картеров бортовой передачи с 25 до 40 мм - введено в производство.</w:t>
      </w:r>
    </w:p>
    <w:p w14:paraId="0CCA5BC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w:t>
      </w:r>
      <w:r w:rsidRPr="00640820">
        <w:rPr>
          <w:rFonts w:ascii="Times New Roman" w:hAnsi="Times New Roman"/>
          <w:color w:val="000000" w:themeColor="text1"/>
          <w:sz w:val="16"/>
          <w:szCs w:val="16"/>
        </w:rPr>
        <w:tab/>
        <w:t>Новый литой люк механика-водителя, утолщенный с 45 до 75 мм - введен в производство.</w:t>
      </w:r>
    </w:p>
    <w:p w14:paraId="4A2EA2F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w:t>
      </w:r>
      <w:r w:rsidRPr="00640820">
        <w:rPr>
          <w:rFonts w:ascii="Times New Roman" w:hAnsi="Times New Roman"/>
          <w:color w:val="000000" w:themeColor="text1"/>
          <w:sz w:val="16"/>
          <w:szCs w:val="16"/>
        </w:rPr>
        <w:tab/>
        <w:t>Утолщаются стенки литой башни с 52 до 72 мм. Вводится с получением от завода имени Ильича.</w:t>
      </w:r>
    </w:p>
    <w:p w14:paraId="7A2F1C9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w:t>
      </w:r>
      <w:r w:rsidRPr="00640820">
        <w:rPr>
          <w:rFonts w:ascii="Times New Roman" w:hAnsi="Times New Roman"/>
          <w:color w:val="000000" w:themeColor="text1"/>
          <w:sz w:val="16"/>
          <w:szCs w:val="16"/>
        </w:rPr>
        <w:tab/>
        <w:t>Утолщена нижняя часть днища корпуса с 13 до 16 мм. Вводится с получением деталей от завода имени Ильича.</w:t>
      </w:r>
    </w:p>
    <w:p w14:paraId="7C67FF6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w:t>
      </w:r>
      <w:r w:rsidRPr="00640820">
        <w:rPr>
          <w:rFonts w:ascii="Times New Roman" w:hAnsi="Times New Roman"/>
          <w:color w:val="000000" w:themeColor="text1"/>
          <w:sz w:val="16"/>
          <w:szCs w:val="16"/>
        </w:rPr>
        <w:tab/>
        <w:t>Спрямлена корма корпуса, исключающая слабое место по сна- рядостойкости.</w:t>
      </w:r>
    </w:p>
    <w:p w14:paraId="3CBD0D4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ж).</w:t>
      </w:r>
      <w:r w:rsidRPr="00640820">
        <w:rPr>
          <w:rFonts w:ascii="Times New Roman" w:hAnsi="Times New Roman"/>
          <w:color w:val="000000" w:themeColor="text1"/>
          <w:sz w:val="16"/>
          <w:szCs w:val="16"/>
        </w:rPr>
        <w:tab/>
        <w:t>Усилена конструкция люка вентиляции путем его утолщения и перевода на приварку.</w:t>
      </w:r>
    </w:p>
    <w:p w14:paraId="3BB2F29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w:t>
      </w:r>
      <w:r w:rsidRPr="00640820">
        <w:rPr>
          <w:rFonts w:ascii="Times New Roman" w:hAnsi="Times New Roman"/>
          <w:color w:val="000000" w:themeColor="text1"/>
          <w:sz w:val="16"/>
          <w:szCs w:val="16"/>
        </w:rPr>
        <w:tab/>
        <w:t>Утолщены диски колес с 8 до Ю мм.</w:t>
      </w:r>
    </w:p>
    <w:p w14:paraId="5B11ABF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По трансмиссии.</w:t>
      </w:r>
    </w:p>
    <w:p w14:paraId="4FFE775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w:t>
      </w:r>
      <w:r w:rsidRPr="00640820">
        <w:rPr>
          <w:rFonts w:ascii="Times New Roman" w:hAnsi="Times New Roman"/>
          <w:color w:val="000000" w:themeColor="text1"/>
          <w:sz w:val="16"/>
          <w:szCs w:val="16"/>
        </w:rPr>
        <w:tab/>
        <w:t>Введены новые утолщенные тяги управления коробкой перемены передач - введены производство.</w:t>
      </w:r>
    </w:p>
    <w:p w14:paraId="703564A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w:t>
      </w:r>
      <w:r w:rsidRPr="00640820">
        <w:rPr>
          <w:rFonts w:ascii="Times New Roman" w:hAnsi="Times New Roman"/>
          <w:color w:val="000000" w:themeColor="text1"/>
          <w:sz w:val="16"/>
          <w:szCs w:val="16"/>
        </w:rPr>
        <w:tab/>
        <w:t>Усилены шестерни коробки перемены передач для исключения срезания по диску - введены в производство.</w:t>
      </w:r>
    </w:p>
    <w:p w14:paraId="4B6333E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w:t>
      </w:r>
      <w:r w:rsidRPr="00640820">
        <w:rPr>
          <w:rFonts w:ascii="Times New Roman" w:hAnsi="Times New Roman"/>
          <w:color w:val="000000" w:themeColor="text1"/>
          <w:sz w:val="16"/>
          <w:szCs w:val="16"/>
        </w:rPr>
        <w:tab/>
        <w:t>Усилен поводковый валик вилки 3-4 скорости - введено в производство.</w:t>
      </w:r>
    </w:p>
    <w:p w14:paraId="37CB320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w:t>
      </w:r>
      <w:r w:rsidRPr="00640820">
        <w:rPr>
          <w:rFonts w:ascii="Times New Roman" w:hAnsi="Times New Roman"/>
          <w:color w:val="000000" w:themeColor="text1"/>
          <w:sz w:val="16"/>
          <w:szCs w:val="16"/>
        </w:rPr>
        <w:tab/>
        <w:t>Усилен вертикальный валик привода управления коробки перемены передач — введено в производство.</w:t>
      </w:r>
    </w:p>
    <w:p w14:paraId="094A51B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w:t>
      </w:r>
      <w:r w:rsidRPr="00640820">
        <w:rPr>
          <w:rFonts w:ascii="Times New Roman" w:hAnsi="Times New Roman"/>
          <w:color w:val="000000" w:themeColor="text1"/>
          <w:sz w:val="16"/>
          <w:szCs w:val="16"/>
        </w:rPr>
        <w:tab/>
        <w:t>Введен усиленный подшипник бортовой передачи для малой цилиндрической шестерни - введено в производство.</w:t>
      </w:r>
    </w:p>
    <w:p w14:paraId="032CBA6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w:t>
      </w:r>
      <w:r w:rsidRPr="00640820">
        <w:rPr>
          <w:rFonts w:ascii="Times New Roman" w:hAnsi="Times New Roman"/>
          <w:color w:val="000000" w:themeColor="text1"/>
          <w:sz w:val="16"/>
          <w:szCs w:val="16"/>
        </w:rPr>
        <w:tab/>
        <w:t>Введена новая технология изготовления дисков главного фрикциона, обеспечивающая их качество с одновременным введением толстого крайнего диска и отмены прорезей в дисках - введено в производство. Одновременно в производство вводится новый главный фрикцион, показавший на опытном образце хорошую работе</w:t>
      </w:r>
    </w:p>
    <w:p w14:paraId="65F8101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ж).</w:t>
      </w:r>
      <w:r w:rsidRPr="00640820">
        <w:rPr>
          <w:rFonts w:ascii="Times New Roman" w:hAnsi="Times New Roman"/>
          <w:color w:val="000000" w:themeColor="text1"/>
          <w:sz w:val="16"/>
          <w:szCs w:val="16"/>
        </w:rPr>
        <w:tab/>
        <w:t>Введена новая пара шестерен 3-й передачи для уменьшения диапазона между 2 и 3-й передачами, что облегчит переключение передач и уменьшит сколы зуба.</w:t>
      </w:r>
    </w:p>
    <w:p w14:paraId="788DC97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Помимо этого, в конструкцию танка за этот период внесены целый ряд изменений, обеспечивающих как повышение его Тактико-технических свойств, так и упрощение производства и обслуживания. Основные мероприятия, поведенные заводом № 183, следующие:</w:t>
      </w:r>
    </w:p>
    <w:p w14:paraId="7277219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Увеличен запас горючего за броней на 160 л.</w:t>
      </w:r>
    </w:p>
    <w:p w14:paraId="5F516B3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Увеличен возимый запас горючего в небронированных баках примерно на 100 л, причем последние допускают их расходование без переливания в основные баки танка.</w:t>
      </w:r>
    </w:p>
    <w:p w14:paraId="518AD51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Упрощена схема трубопроводов водной и масляной системы, исключена возможность раздутия баков или работы мотора без масла.</w:t>
      </w:r>
    </w:p>
    <w:p w14:paraId="561E222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Введены новые призматические смотровые приборы для водителя и башенных стрелков.</w:t>
      </w:r>
    </w:p>
    <w:p w14:paraId="5D113EF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Установлена командирская панорама для заряжающего (этот пункт в оригинале письма в ГАБТУ КА вычеркнут красным карандашом).</w:t>
      </w:r>
    </w:p>
    <w:p w14:paraId="79A9227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Введены, как средство наблюдения из танка, ручные перископы.</w:t>
      </w:r>
    </w:p>
    <w:p w14:paraId="689BBA1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Проведено большое количество изменений и мероприятий конструкторского и технологического характера, направленных на снижение трудоемкости работ по изготовлению машины, дефицитных материалов, унификации деталей и сокращения цикла обработки последних.</w:t>
      </w:r>
    </w:p>
    <w:p w14:paraId="393F119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в указанном направлении заводом проводятся и в данное время, как силами конструкторов и технологов завода, так и изобретателями и стахановцами, уже давшими много ценных предложений, например на расшивку узких мест и способов -увеличения выпуска оборонной продукции» (12217).</w:t>
      </w:r>
    </w:p>
    <w:p w14:paraId="4392DD1E"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7439AD2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сентября 1941 года Приказ НКБ № 490с</w:t>
      </w:r>
    </w:p>
    <w:p w14:paraId="63B38DA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распоряжением Совета по эвакуации № 5546-СЭ от 20 августа 1941 года, № 5600-СЭ от 23 августа 1941 года и планом эвакуации на комбинат № 392 переводится производство центрифуг с завода им. Фрунзе и завод ВТР-1 (5592, 179).</w:t>
      </w:r>
    </w:p>
    <w:p w14:paraId="7A4EF2C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C56A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сентября 1941 года в соответствии с постановлением СНК от 9 июля 1941 года за № 3589-рс и приказа НКБ и НКТП от 7 августа 1941 года за № 103/372 на площадях катанинной фабрики был организован завод № 583 МОП.</w:t>
      </w:r>
    </w:p>
    <w:p w14:paraId="4DA119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Организация производства производилась на производство взрывателей без снаряжения с преимуществом изготовления мелких взрывателей методом холодной штамповки</w:t>
      </w:r>
    </w:p>
    <w:p w14:paraId="384996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Саранск Мордовской АССР, п/я 1</w:t>
      </w:r>
    </w:p>
    <w:p w14:paraId="7A2EFD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 Лубенцов (10020).</w:t>
      </w:r>
    </w:p>
    <w:p w14:paraId="77C797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F09949B"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6D96CDF4"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D680D10"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сентября в 1941 году утреннее сообщение Совинформбюро:</w:t>
      </w:r>
    </w:p>
    <w:p w14:paraId="2BCA0FBB"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ночь на 6 сентября наши войска вели бои с противником на всём фронте.</w:t>
      </w:r>
    </w:p>
    <w:p w14:paraId="01CA4883"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 попытки фашистов прорвать линию обороны Одессы разбиваются о непоколебимую стойкость мужественных защитников города. Героически сражаются на подступах к городу моряки Черноморского флота. В одном из боёв отряды краснофлотцев, при поддержке огня наших батарей, два раза ходили в атаку против пехотной дивизии противника. В ожесточённых схватках отборные части вражеской дивизии были разгромлены. Противник потерял около 700 солдат убитыми и более 200 пленными. В этом бою краснофлотцы захватили 18 полевых, зенитных и противотанковых пушек, 8 миномётов, 6 танков и танкеток, 1 бронемашину, 20 пулемётов, 20 автоматов, много винтовок и ручных гранат, два миллиона патронов, снаряды разных калибров и запасные части к орудиям.</w:t>
      </w:r>
    </w:p>
    <w:p w14:paraId="484C7952"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Несколько немецких, орудий пыталось обстреливать отряд моряков. Наша береговая батарея под командованием т. Проценко открыла огонь и подавила две батареи противника. На следующий день к батарее стала подбираться румынская пехота. Моряки-артиллеристы встретили её сокрушительным огнём. Румыны, потеряв более батальона убитыми и ранеными, вынуждены были отойти.</w:t>
      </w:r>
    </w:p>
    <w:p w14:paraId="38D70D51"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несколько дней совместным артиллерийским огнём канонерской лодки «К» и береговой батареи было уничтожено несколько полевых и миномётных батарей противника, подбито много фашистских танков. Два вражеских танка застряли в лимане и были захвачены нашими частями. За три дня боевых действий краснофлотцы-артиллеристы другого подразделения уничтожили 3 вражеских батареи и рассеяли один румынский пехотный полк. За время боёв под Одессой немецкие и румынские войска понесли огромные потери людьми и вооружением.</w:t>
      </w:r>
    </w:p>
    <w:p w14:paraId="2D26B4B1"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Смело и отважно на всех фронтах действуют герои разведчики. Проникая глубоко в тыл противника, разведчики добывают командованию сведения о численности врага, достают ценные документы, захватывают «языков», устраивают засады. На одном из участков Юго-Западного направления широко известны подвиги храбрых разведчиков младшего сержанта Толстолуцкого и старшего сержанта Красова. Во главе пятнадцати бойцов младшие командиры произвели глубокую разведку в тыл фашистов. От крестьян разведчики узнали, что скоро к деревне должна подойти небольшая вражеская группа. Т.т. Толстолуцкий и Красов приняли решение организовать засаду. Подпустив немецких солдат на двадцать метров, бойцы открыли огонь. 35 фашистов было уничтожено. В руки разведчиков попали 18 велосипедов, 2 ручных пулемёта, винтовки и различные документы.</w:t>
      </w:r>
    </w:p>
    <w:p w14:paraId="40EEC317"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Северо-Западном направлении фронта прославились своими отважными действиями разведчики младший лейтенант Демидов, ефрейтор Кузовлев и красноармеец Григоренко. Переплыв ночью озеро, разведчики проникли в расположение штаба крупной белофинской части. Бесшумно сняв нескольких часовых, разведчики добыли большой важности документы. На обратном пути они уничтожили гранатами штабную машину с группой финских офицеров.</w:t>
      </w:r>
    </w:p>
    <w:p w14:paraId="22BF2C90"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Разведчик-ефрейтор Самохвалов во время ночного боя с белофиннами проник к переднему краю обороны врага и разведал его огневые точки. Благодаря смелости Са-мохвалова артиллеристы получили точные данные для стрельбы. Огнём нашей артиллерии уничтожены 11 миномётов и 8 пулемётных гнёзд. Наблюдая из лесу за продвижением неприятельских частей к фронту, разведчики красноармейцы Михайлов и Ящиков заметили отставший от своей колонны немецкий танк. Уничтожив экипаж машины, оба красноармейца, бывшие трактористы, на немецком танке наскочили на конный обоз. Уничтожив 15 повозок с продовольствием, разведчики подожгли танк и вернулись в свою часть.</w:t>
      </w:r>
    </w:p>
    <w:p w14:paraId="1B1D56AC"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одном из колхозов неподалеку от Жлобина германские офицеры подвергли жестоким пыткам, а потом перебили семью счетовода колхоза тов. Тышкевича. Фашисты закололи штыками Тышкевича, его мать, жену, сестру и двух малолетних дочерей. Из всей семьи уцелел лишь старший, 14-летний сын Саша, которого не было в это время дома. Придя домой и увидев изуродованные трупы всех своих родных, Саша ушёл в Жлобин. Через несколько дней германские войска заняли Жлобин. Саша достал ручную гранату и вышел на улицу. Он терпеливо стоял на улице и наблюдал, как мимо него проходили танки, бронемашины, артиллерия и пехотная часть. Когда показалась большая штабная машина, в которой сидело несколько офицеров, Саша подбежал и бросил в машину гранату. Взрывом были уничтожены машина и все германские офицеры. Озверевшие фашисты в клочья растерзали тело героя, убитого осколком гранаты.</w:t>
      </w:r>
    </w:p>
    <w:p w14:paraId="4F92CD77"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Захватив Днепропетровск, фашисты зверски расправились с жителями, не успевшими покинуть город. Озлобленные тем, что в городе не оказалось никаких запасов продовольствия и ценностей, фашистские мародёры врывались в дома и убивали жителей. Бежавший из города служащий коммунального отдела городского совета А.К.Приходченко рассказал, что «в доме № 17 по Чичеринской улице фашисты разграбили все квартиры, а жителей зарубили. На Большой Базарной улице пьяные фашистские солдаты задержали трёх женщин. Привязав их к столбам, немцы дико надругались над ними, а затем умертвили». Рабочий Днепропетровского железнодорожного депо Н.А.Кузьменко заявил, что «у кладбища фашисты расстреляли из пулемётов больше ста человек, оказавших сопротивление немцам, грабившим дома».</w:t>
      </w:r>
    </w:p>
    <w:p w14:paraId="4DE124EC"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Жуткую картину наблюдали жильцы дома № 4 по Пушкинской улице — Г.С.Нефедов, Д.3.Кириленко, Я.Г.Жуковская, А.М.Петруничева. «Вечером по Пушкинской улице,— говорят они,— фашистская банда гнала, избивая плетьми и палками, группу совершенно раздетых жителей города. Окровавленные люди падали — их зверски били и гнали дальше. В конце улицы арестованных нагнал конный немецкий разъезд. Солдаты и офицеры были совершенно пьяны. Офицер, налетев на арестованных, выхватил шашку и ударил по голове молодую женщину. Раздались крики. Офицер набросился на другую женщину. Та закрыла лицо рукой. Ударом шашки рука была отрублена. Несчастные бросились в разные стороны. Это послужило сигналом для солдат. Они набросились на арестованных и зверски зарубили 27 человек» (14761).</w:t>
      </w:r>
    </w:p>
    <w:p w14:paraId="515251A4" w14:textId="77777777" w:rsidR="00883F56" w:rsidRPr="00640820" w:rsidRDefault="00883F56" w:rsidP="00640820">
      <w:pPr>
        <w:spacing w:after="0" w:line="240" w:lineRule="auto"/>
        <w:jc w:val="both"/>
        <w:rPr>
          <w:rFonts w:ascii="Times New Roman" w:hAnsi="Times New Roman"/>
          <w:color w:val="000000" w:themeColor="text1"/>
          <w:sz w:val="16"/>
          <w:szCs w:val="16"/>
        </w:rPr>
      </w:pPr>
    </w:p>
    <w:p w14:paraId="5E12ED99"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сентября в 1941 году вечернее сообщение Совинформбюро:</w:t>
      </w:r>
    </w:p>
    <w:p w14:paraId="1731EB70"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6 сентября наши войска вели бои с противником на всём фронте.</w:t>
      </w:r>
    </w:p>
    <w:p w14:paraId="7121EDE5"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Наша авиация наносила массированные удары по мотомехчастям, пехоте и артиллерии противника на поле боя и уничтожала авиацию на его аэродромах.</w:t>
      </w:r>
    </w:p>
    <w:p w14:paraId="3DB04B99"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уточнённым данным за 3 сентября уничтожено не 33 немецких самолёта, как сообщалось ранее, а 56 самолётов.</w:t>
      </w:r>
    </w:p>
    <w:p w14:paraId="2F510B84"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4 сентября в воздушных боях и, главным образом, на аэродромах противника уничтожен 61 немецкий самолёт. Наши потери — 7 самолётов.</w:t>
      </w:r>
    </w:p>
    <w:p w14:paraId="5333A61C"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Советские артиллеристы героически сражаются с немецко-фашистскими войсками. От меткого огня наших орудий гибнут тысячи германских солдат, сотни танков, бронемашин и автомобилей, десятки артиллерийских, миномётных и пулемётных батарей. Как известно, в течение 4 сентября наши войска вели упорные бои с противником на всём фронте. Советские артиллеристы за этот день уничтожили не менее 15.000 немецких солдат и офицеров, более 100 орудий разных калибров, 34 пулемётных гнезда, 48 миномётных батарей, 18 понтонных мостов и переправ, 940 автомобилей и до 180 танков и бронемашин.</w:t>
      </w:r>
    </w:p>
    <w:p w14:paraId="7F78743B"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Самоотверженно действуют в боях с немецкими и финскими фашистами бойцы батареи лейтенанта Мезенцева. На днях батарея тов. Мезенцева полностью уничтожила большую автоколонну немцев. Разбиты десятки автомобилей с боеприпасами и пехотой противника. Батарея лейтенанта Петруничева, обороняя левый берег реки Днепр, за последние три дня сорвала четыре попытки немцев навести переправы. Огнём батареи уничтожено до 500 солдат и офицеров, 45 автомашин, три зенитных пулемётных установки, несколько танков и большое количество сапёрного инвентаря. В боях у переправы особо отличились наводчики орудий Артамонов и Горохов. Первый подбил три фашистских танка и 12 автомашин, второй — подавил и уничтожил немецкую батарею из четырёх орудий.</w:t>
      </w:r>
    </w:p>
    <w:p w14:paraId="4B10097F"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Артиллерийский взвод старшего лейтенанта Рубочкина, действующий на Западном направлении фронта, отбил танковую атаку и нанёс крупный урон противнику. Немецкая колонна попала под огонь гаубиц взвода за 5 километров до нашей линии обороны. Пока фашистские танки подошли на расстояние полутора километров, половина из них была расстреляна; остальные повернули обратно. В этом бою советские артиллеристы уничтожили также до 300 немецких пехотинцев и около 100 кавалеристов.</w:t>
      </w:r>
    </w:p>
    <w:p w14:paraId="414935F6"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тылу батареи тяжёлых орудий, которой командует лейтенант Апраксин, немцы выбросили десант в составе более 200 солдат с пятью танкетками. Парашютисты пытались окружить и захватить батарею. Наши артиллеристы немедленно организовали круговую оборону. Прямой наводкой наводчик Журавлёв вдребезги разбил первую танкетку, пытавшуюся приблизиться в нашей батарее. Наводчик Протасов вывел из строя ещё две танкетки. Остальные машины противника уже не рискнули продолжать атаку наших орудийных расчётов. На батарею поползли немецкие парашютисты. Артиллеристы начали расстреливать их в упор из орудий и из пулемётов. За два часа упорного боя немцы-диверсанты потеряли до 150 солдат убитыми. Остатки вражеского десанта были уничтожены ротой лейтенанта Липатова, подоспевшей на помощь батарее. В наши руки попали две танкетки, много пулемётов, автоматов и радиостанция.</w:t>
      </w:r>
    </w:p>
    <w:p w14:paraId="30A7FCA1"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Западном направлении фронта одна наша часть нанесла большие потери противнику. Советские войска атаковали и уничтожили 22 ДЗОТа, 8 противотанковых батарей, 12 станковых пулемётов и 5 миномётных батарей. Убито около 800 немецких солдат и офицеров. Захвачены 6 танков, 2 мотоцикла, ящики со снарядами и несколько десятков тысяч патронов. На другом участке Западного направления наша часть за один день сожгла три и подбила девять вражеских танков, захватила 270 ящиков с минами. Энское соединение за один день наступательных операций разгромило три стрелковые роты противника, уничтожило и захватило 12 пулемётов, </w:t>
      </w:r>
      <w:r w:rsidRPr="00640820">
        <w:rPr>
          <w:rFonts w:ascii="Times New Roman" w:hAnsi="Times New Roman"/>
          <w:color w:val="000000" w:themeColor="text1"/>
          <w:sz w:val="16"/>
          <w:szCs w:val="16"/>
        </w:rPr>
        <w:lastRenderedPageBreak/>
        <w:t>2 пушки и 18 миномётов. Энское авиасоединение, действующее на Западном направлении фронта, за этот же день вывело из строя 40 фашистских танков, 30 автомашин, 10 орудий, подавило три полевые и одну зенитную батареи, уничтожило более 500 немецких солдат и офицеров.</w:t>
      </w:r>
    </w:p>
    <w:p w14:paraId="3793734C"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Корабль под командованием комиссара тов. Бирюкова, входящий в Состав Днепровской флотилии, в совместных действиях с бронепоездом уничтожил более 3.500 немецких солдат, пытавшихся форсировать Днепр. Зенитчик этого корабля краснофлотец Бойко двумя выстрелами сбил немецкий бомбардировщик «Юнкерс-88».</w:t>
      </w:r>
    </w:p>
    <w:p w14:paraId="2EBAF70A"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Десятки тысяч германских и румынских солдат ранены в боях на подступах к Одессе. Фашистское командование не в состоянии обеспечить своевременный вывоз раненых из фронтовой зоны. Санитарных машин и повозок не хватает. Немцы используют для вывозки раненых прибывающие на фронт грузовики с боеприпасами. В ожидании машин у дорог накапливаются тысячи раненых, остающихся без всякой медицинской помощи. Немецкий военный врач А. Фишер, добровольно сдавшийся в плен, заявил, что половина раненных на поле боя немецких и румынских солдат «не добирается до санитарных пунктов и госпиталей. После боя под местечком Благовещенка, Одесской области, немецкие и румынские санитары подобрали 900 убитых и 2100 раненых германских и румынских солдат и офицеров. Через три дня из 2100 раненых скончалось 900 человек, так как командование не прислало ни одной машины даже за тяжело раненными офицерами. Колоссальная смертность объясняется ещё и тем, что не хватает не только медикаментов, но и медицинского персонала».</w:t>
      </w:r>
    </w:p>
    <w:p w14:paraId="55A3F899"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Несмотря на жестокие преследования, партизанское движение в Польше приобретает всё больший размах. Нападения на жандармов и полицейских стали обычным явлением. Об этом сообщает даже фашистская печать. Газета «Нейес Винер Тагеблатт» напечатала заметку, где говорилось о казни двух поляков-партизан Иозефа Славека и Иогана Кловника. Партизаны подстрелили двух жандармов и шестерых полицейских, организовали ряд крушений и взрывов.</w:t>
      </w:r>
    </w:p>
    <w:p w14:paraId="0E84E7BE"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августа в деревнях вокруг города Радомско вспыхнуло крестьянское восстание против фашистских оккупантов, продолжавшееся несколько дней. Поводом к восстанию послужила реквизиция у крестьян только что собранного урожая. Посланный из города Радомско карательный отряд из 20 германских жандармов и полицейских был встречен огнём из винтовок и револьверов. Потеряв 9 человек убитыми, отряд отступил. Вызванная из Ченстохова немецкая рота также понесла значительные потери убитыми и ранеными, после чего ввела в действие артиллерию. Большинство крестьян, участвовавших в восстании, ушло в партизанские отряды.</w:t>
      </w:r>
    </w:p>
    <w:p w14:paraId="1BBB158E" w14:textId="77777777" w:rsidR="00883F56" w:rsidRPr="00640820" w:rsidRDefault="00883F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Недалеко от станции Розвадув партизаны организовали крушение воинского поезда. По признанию самих немцев, погибло около 30 солдат. Крушения на железных дорогах Польши заставили германские власти значительно увеличить охрану станций, мостов и железнодорожного полотна. Особенно тщательно охраняют фашисты железнодорожные склады, элеваторы и поезда с продовольствием. Эти меры вызваны тем, что польское крестьянство, озлобленное частыми реквизициями, поджигает склады и не даёт немцам вывозить отобранные у населения продукты за пределы Польши.» (14761).</w:t>
      </w:r>
    </w:p>
    <w:p w14:paraId="73369E88" w14:textId="77777777" w:rsidR="00883F56" w:rsidRPr="00640820" w:rsidRDefault="00883F56" w:rsidP="00640820">
      <w:pPr>
        <w:spacing w:after="0" w:line="240" w:lineRule="auto"/>
        <w:jc w:val="both"/>
        <w:rPr>
          <w:rFonts w:ascii="Times New Roman" w:hAnsi="Times New Roman"/>
          <w:color w:val="000000" w:themeColor="text1"/>
          <w:sz w:val="16"/>
          <w:szCs w:val="16"/>
        </w:rPr>
      </w:pPr>
    </w:p>
    <w:p w14:paraId="116CBF38" w14:textId="77777777" w:rsidR="00501F9E" w:rsidRPr="00640820" w:rsidRDefault="00501F9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сентября в 1941 году в результате боев 30 августа - 6 сентября в районе Ельни наносится поражение немецко-фашистским войскам. Отличившиеся в боях соединения вскоре станут первыми гвардейскими частями в Красной Армии (14761).</w:t>
      </w:r>
    </w:p>
    <w:p w14:paraId="13F08BE8" w14:textId="77777777" w:rsidR="00501F9E" w:rsidRPr="00640820" w:rsidRDefault="00501F9E" w:rsidP="00640820">
      <w:pPr>
        <w:spacing w:after="0" w:line="240" w:lineRule="auto"/>
        <w:jc w:val="both"/>
        <w:rPr>
          <w:rFonts w:ascii="Times New Roman" w:hAnsi="Times New Roman"/>
          <w:color w:val="000000" w:themeColor="text1"/>
          <w:sz w:val="16"/>
          <w:szCs w:val="16"/>
        </w:rPr>
      </w:pPr>
    </w:p>
    <w:p w14:paraId="0E33FE7A" w14:textId="77777777" w:rsidR="00501F9E" w:rsidRPr="00640820" w:rsidRDefault="00501F9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сентября в 1941 году началась оборона Моонзундских островов войсками 8-й армии Ленинградского фронта (3-я отдельная стрелковая бригада) и частью сил Балтийского флота (руководил обороной комендант береговой обороны Балтийского района генерал-майор А.Б.Елисеев), продолжавшаяся до 22 октября (14761).</w:t>
      </w:r>
    </w:p>
    <w:p w14:paraId="7BB654D3" w14:textId="77777777" w:rsidR="00501F9E" w:rsidRPr="00640820" w:rsidRDefault="00501F9E" w:rsidP="00640820">
      <w:pPr>
        <w:spacing w:after="0" w:line="240" w:lineRule="auto"/>
        <w:jc w:val="both"/>
        <w:rPr>
          <w:rFonts w:ascii="Times New Roman" w:hAnsi="Times New Roman"/>
          <w:color w:val="000000" w:themeColor="text1"/>
          <w:sz w:val="16"/>
          <w:szCs w:val="16"/>
        </w:rPr>
      </w:pPr>
    </w:p>
    <w:p w14:paraId="1CE11F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Вечером 6 сентября 1941 28 самолетов противника (Bf110 из состава III/ZG 26 с истребительным прикрытием) произвели штурмовку аэродрома Кагул, в результате которой на земле сгорели шесть “Илов” и еще один тяжело поврежден, после чего вопрос о продолжении налетов отпал сам собой (9809).</w:t>
      </w:r>
    </w:p>
    <w:p w14:paraId="0392E2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4FF78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сентября 1941 два звена и под командованием ст.л Габринца вылетели на перехват противника, летевшего на Ленинград. Над ст. Мга встретили шесть Ме-109, сбили один и остальные - ушли. Появилось еще 7 и Габринец сбил одного. Один их немцев пошел в лобовую. Тот отвернул и Габринец его таранил, но на поврежденной машине - вернулся (438,819).</w:t>
      </w:r>
    </w:p>
    <w:p w14:paraId="47AEC9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78711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6 сентября 1941 к 15.00 на аэродроме Липовая Долина сосредоточился 241-й </w:t>
      </w:r>
      <w:r w:rsidRPr="00640820">
        <w:rPr>
          <w:rFonts w:ascii="Times New Roman" w:hAnsi="Times New Roman"/>
          <w:iCs/>
          <w:color w:val="000000" w:themeColor="text1"/>
          <w:sz w:val="16"/>
          <w:szCs w:val="16"/>
        </w:rPr>
        <w:t>шап</w:t>
      </w:r>
      <w:r w:rsidRPr="00640820">
        <w:rPr>
          <w:rFonts w:ascii="Times New Roman" w:hAnsi="Times New Roman"/>
          <w:color w:val="000000" w:themeColor="text1"/>
          <w:sz w:val="16"/>
          <w:szCs w:val="16"/>
        </w:rPr>
        <w:t xml:space="preserve"> в составе 20 самолетов Ил-2</w:t>
      </w:r>
    </w:p>
    <w:p w14:paraId="33A7DC6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BF19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сентября 1941 НКВМФ Н.Г.Кузнецов выпустил директиву N 541/Ш о нанесении авиационного удара по Бухаресту (2120).</w:t>
      </w:r>
    </w:p>
    <w:p w14:paraId="434646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A0676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сентября 1941 автожиры А-7-3А летали разбрасывать листовки (257,17).</w:t>
      </w:r>
    </w:p>
    <w:p w14:paraId="64EB3B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33D286F" w14:textId="77777777" w:rsidR="00922AAB" w:rsidRPr="00640820" w:rsidRDefault="00922AA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ночь на 6 сентября 1941 на одном из аппаратов А-7 при выру</w:t>
      </w:r>
      <w:r w:rsidRPr="00640820">
        <w:rPr>
          <w:rFonts w:ascii="Times New Roman" w:hAnsi="Times New Roman"/>
          <w:color w:val="0070C0"/>
          <w:sz w:val="16"/>
          <w:szCs w:val="16"/>
        </w:rPr>
        <w:softHyphen/>
        <w:t>ливании сломался воздушный винт, поэтому вылетал толь</w:t>
      </w:r>
      <w:r w:rsidRPr="00640820">
        <w:rPr>
          <w:rFonts w:ascii="Times New Roman" w:hAnsi="Times New Roman"/>
          <w:color w:val="0070C0"/>
          <w:sz w:val="16"/>
          <w:szCs w:val="16"/>
        </w:rPr>
        <w:softHyphen/>
        <w:t>ко один А-7. Немецкие войска в эту ночь оставили Ельню. Кстати, противник отметил появление автожиров на фрон</w:t>
      </w:r>
      <w:r w:rsidRPr="00640820">
        <w:rPr>
          <w:rFonts w:ascii="Times New Roman" w:hAnsi="Times New Roman"/>
          <w:color w:val="0070C0"/>
          <w:sz w:val="16"/>
          <w:szCs w:val="16"/>
        </w:rPr>
        <w:softHyphen/>
        <w:t>те — захваченный в плен немецкий офицер рассказал об остроте, услышанной им на передовой: «Ну, пропали, большевики против нас комбайны выпустили». Необычный внешний вид машины вызвал интерес и в своих окопах. Миль, побывавший на командном пункте артполка, узнал, что солдаты автожир называют «пауком».</w:t>
      </w:r>
    </w:p>
    <w:p w14:paraId="4C44EEBC" w14:textId="77777777" w:rsidR="00922AAB" w:rsidRPr="00640820" w:rsidRDefault="00922AA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После ремонта в ночь на 7 сентября вылетели все три автожира, домой не вернулись летчик Николаев и летнаб Николаенко, один аппарат находился в воздухе 2,5 часа. На следующий день на аэродром вернулся летчик Никола</w:t>
      </w:r>
      <w:r w:rsidRPr="00640820">
        <w:rPr>
          <w:rFonts w:ascii="Times New Roman" w:hAnsi="Times New Roman"/>
          <w:color w:val="0070C0"/>
          <w:sz w:val="16"/>
          <w:szCs w:val="16"/>
        </w:rPr>
        <w:softHyphen/>
        <w:t>ев, который сообщил, что совершил вынужденную посад</w:t>
      </w:r>
      <w:r w:rsidRPr="00640820">
        <w:rPr>
          <w:rFonts w:ascii="Times New Roman" w:hAnsi="Times New Roman"/>
          <w:color w:val="0070C0"/>
          <w:sz w:val="16"/>
          <w:szCs w:val="16"/>
        </w:rPr>
        <w:softHyphen/>
        <w:t>ку в 80 км, в районе г. Юхнов.</w:t>
      </w:r>
    </w:p>
    <w:p w14:paraId="0B8775EC" w14:textId="77777777" w:rsidR="00922AAB" w:rsidRPr="00640820" w:rsidRDefault="00922AA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течение следующих десяти дней вылетов по причине отсутствия истребительного прикрытия не было. Одно</w:t>
      </w:r>
      <w:r w:rsidRPr="00640820">
        <w:rPr>
          <w:rFonts w:ascii="Times New Roman" w:hAnsi="Times New Roman"/>
          <w:color w:val="0070C0"/>
          <w:sz w:val="16"/>
          <w:szCs w:val="16"/>
        </w:rPr>
        <w:softHyphen/>
        <w:t>временно, в этот период один автожир при выруливании попал в яму и повредил несущий ротор. Под руководством Миля замену лопастей произвели в полевых условиях, но последствия поломки оказались серьезнее — в одном из проверочных полетов стал слышен треск в редукторе, а по</w:t>
      </w:r>
      <w:r w:rsidRPr="00640820">
        <w:rPr>
          <w:rFonts w:ascii="Times New Roman" w:hAnsi="Times New Roman"/>
          <w:color w:val="0070C0"/>
          <w:sz w:val="16"/>
          <w:szCs w:val="16"/>
        </w:rPr>
        <w:softHyphen/>
        <w:t>сле полета в его корпусе обнаружилась трещина. На этой машине решили не летать (20361).</w:t>
      </w:r>
    </w:p>
    <w:p w14:paraId="66C3871E" w14:textId="77777777" w:rsidR="00922AAB" w:rsidRPr="00640820" w:rsidRDefault="00922AAB" w:rsidP="00640820">
      <w:pPr>
        <w:shd w:val="clear" w:color="auto" w:fill="FFFFFF"/>
        <w:spacing w:after="0" w:line="240" w:lineRule="auto"/>
        <w:jc w:val="both"/>
        <w:rPr>
          <w:rFonts w:ascii="Times New Roman" w:hAnsi="Times New Roman"/>
          <w:color w:val="0070C0"/>
          <w:sz w:val="16"/>
          <w:szCs w:val="16"/>
        </w:rPr>
      </w:pPr>
    </w:p>
    <w:p w14:paraId="2F45E87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сентября 1941 в ходе контратаки под Москвой советские войска овладели Ельней (4962).</w:t>
      </w:r>
    </w:p>
    <w:p w14:paraId="27F52A8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6C4C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сентября 1941 А.Гитлер подписал директиву о проведении операции "Тайфун" о наступлении на Москву обойдя ее с севера и с юга (575,12). Это была директива N 45 и вней говорилось: "решающая операция против группы армий Тимошенко, ведущей бои западнее Москвы, должна привести к победному успеху всей кампании." (3105,27).</w:t>
      </w:r>
    </w:p>
    <w:p w14:paraId="6CC2F9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EE68EE8" w14:textId="77777777" w:rsidR="00501F9E" w:rsidRPr="00640820" w:rsidRDefault="00501F9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сентября в 1941 году начались оборонительные бои войск Северо-Западного фронта на демянском направлении (14761).</w:t>
      </w:r>
    </w:p>
    <w:p w14:paraId="3E050D75" w14:textId="77777777" w:rsidR="00501F9E" w:rsidRPr="00640820" w:rsidRDefault="00501F9E" w:rsidP="00640820">
      <w:pPr>
        <w:spacing w:after="0" w:line="240" w:lineRule="auto"/>
        <w:jc w:val="both"/>
        <w:rPr>
          <w:rFonts w:ascii="Times New Roman" w:hAnsi="Times New Roman"/>
          <w:color w:val="000000" w:themeColor="text1"/>
          <w:sz w:val="16"/>
          <w:szCs w:val="16"/>
        </w:rPr>
      </w:pPr>
    </w:p>
    <w:p w14:paraId="62E21DAA" w14:textId="77777777" w:rsidR="00501F9E" w:rsidRPr="00640820" w:rsidRDefault="00501F9E"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сентября 1941 пал Шлиссельбург и началась блокада Ленинграда (10739).</w:t>
      </w:r>
    </w:p>
    <w:p w14:paraId="1798ECA2" w14:textId="77777777" w:rsidR="00501F9E" w:rsidRPr="00640820" w:rsidRDefault="00501F9E" w:rsidP="00640820">
      <w:pPr>
        <w:autoSpaceDE w:val="0"/>
        <w:autoSpaceDN w:val="0"/>
        <w:adjustRightInd w:val="0"/>
        <w:spacing w:after="0" w:line="240" w:lineRule="auto"/>
        <w:jc w:val="both"/>
        <w:rPr>
          <w:rFonts w:ascii="Times New Roman" w:hAnsi="Times New Roman"/>
          <w:color w:val="000000" w:themeColor="text1"/>
          <w:sz w:val="16"/>
          <w:szCs w:val="16"/>
        </w:rPr>
      </w:pPr>
    </w:p>
    <w:p w14:paraId="60BACF94" w14:textId="77777777" w:rsidR="004F6338" w:rsidRPr="00640820" w:rsidRDefault="004F633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сентября в 1941 году финские войска заняли Олонец.</w:t>
      </w:r>
    </w:p>
    <w:p w14:paraId="79BA3A9A" w14:textId="77777777" w:rsidR="004F6338" w:rsidRPr="00640820" w:rsidRDefault="004F633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году верховное командование вооружённых сил Германии (ОКВ) приняло директиву №35 о развёртывании дальнейшего наступления на советско-германском фронте (14761).</w:t>
      </w:r>
    </w:p>
    <w:p w14:paraId="78671DFA" w14:textId="77777777" w:rsidR="004F6338" w:rsidRPr="00640820" w:rsidRDefault="004F6338" w:rsidP="00640820">
      <w:pPr>
        <w:spacing w:after="0" w:line="240" w:lineRule="auto"/>
        <w:jc w:val="both"/>
        <w:rPr>
          <w:rFonts w:ascii="Times New Roman" w:hAnsi="Times New Roman"/>
          <w:color w:val="000000" w:themeColor="text1"/>
          <w:sz w:val="16"/>
          <w:szCs w:val="16"/>
        </w:rPr>
      </w:pPr>
    </w:p>
    <w:p w14:paraId="26F5FFBA" w14:textId="77777777" w:rsidR="004F6338" w:rsidRPr="00640820" w:rsidRDefault="004F633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сентября в 1941 году немецкая артиллерия обстреляла советскую береговую батарею на о-ве Осмуссар в Финском заливе Балтийского моря (14761).</w:t>
      </w:r>
    </w:p>
    <w:p w14:paraId="46603872" w14:textId="77777777" w:rsidR="004F6338" w:rsidRPr="00640820" w:rsidRDefault="004F6338" w:rsidP="00640820">
      <w:pPr>
        <w:spacing w:after="0" w:line="240" w:lineRule="auto"/>
        <w:jc w:val="both"/>
        <w:rPr>
          <w:rFonts w:ascii="Times New Roman" w:hAnsi="Times New Roman"/>
          <w:color w:val="000000" w:themeColor="text1"/>
          <w:sz w:val="16"/>
          <w:szCs w:val="16"/>
        </w:rPr>
      </w:pPr>
    </w:p>
    <w:p w14:paraId="746237E4"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770714CB"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5B5B0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сентября 1941 вышло Постановление ГКО № 635 О производстве волокуш, лодок-волокуш и снегоступов для стрелкового и минометного вооружения. РГАНИР, Фонд ГКО, д. 8, лл. 169, 170 (11012).</w:t>
      </w:r>
    </w:p>
    <w:p w14:paraId="063D0E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F5874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сентября 1941 вышло Постановление ГКО № 637 О плане поставок промышленностью военных приборов для комплектации артиллерийского вооружения на период сентябрь-декабрь месяцы 1941 г. РГАНИР, Фонд ГКО, д. 8, лл. 173-174, 175-179 (11012).</w:t>
      </w:r>
    </w:p>
    <w:p w14:paraId="2F88CE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E651594"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76F995A5"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FEED4B3" w14:textId="77777777" w:rsidR="003F664E" w:rsidRPr="00640820" w:rsidRDefault="003F664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сентября 1941. Сберкассы столицы приступили к оплате выигрышей по облигациям Государственного займа Третьей пятилетки (выпуск третьего года). Накануне городское бюро проверки выигрышей разослало своим клиентам 119 извещений о том, что на их облигации выпали выигрыши (18697).</w:t>
      </w:r>
    </w:p>
    <w:p w14:paraId="6862B74F" w14:textId="77777777" w:rsidR="003F664E" w:rsidRPr="00640820" w:rsidRDefault="003F664E" w:rsidP="00640820">
      <w:pPr>
        <w:spacing w:after="0" w:line="240" w:lineRule="auto"/>
        <w:jc w:val="both"/>
        <w:rPr>
          <w:rFonts w:ascii="Times New Roman" w:hAnsi="Times New Roman"/>
          <w:color w:val="000000" w:themeColor="text1"/>
          <w:sz w:val="16"/>
          <w:szCs w:val="16"/>
        </w:rPr>
      </w:pPr>
    </w:p>
    <w:p w14:paraId="2E1F3B33" w14:textId="77777777" w:rsidR="00501F9E" w:rsidRPr="00640820" w:rsidRDefault="00501F9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сентября в 1941 году московские радиостанции начали транслировать передачи из осажденного Ленинграда, не прекращавшиеся в течение всех 900 дней блокады (14761).</w:t>
      </w:r>
    </w:p>
    <w:p w14:paraId="7F2EE3C6" w14:textId="77777777" w:rsidR="00501F9E" w:rsidRPr="00640820" w:rsidRDefault="00501F9E" w:rsidP="00640820">
      <w:pPr>
        <w:spacing w:after="0" w:line="240" w:lineRule="auto"/>
        <w:jc w:val="both"/>
        <w:rPr>
          <w:rFonts w:ascii="Times New Roman" w:hAnsi="Times New Roman"/>
          <w:color w:val="000000" w:themeColor="text1"/>
          <w:sz w:val="16"/>
          <w:szCs w:val="16"/>
        </w:rPr>
      </w:pPr>
    </w:p>
    <w:p w14:paraId="44E51160" w14:textId="77777777" w:rsidR="00501F9E" w:rsidRPr="00640820" w:rsidRDefault="00501F9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сентября в 1941 году Постановление ГКО о выселении немцев из Москвы, Московской и Ростовской областей (14761).</w:t>
      </w:r>
    </w:p>
    <w:p w14:paraId="22D85FD3" w14:textId="77777777" w:rsidR="00501F9E" w:rsidRPr="00640820" w:rsidRDefault="00501F9E" w:rsidP="00640820">
      <w:pPr>
        <w:spacing w:after="0" w:line="240" w:lineRule="auto"/>
        <w:jc w:val="both"/>
        <w:rPr>
          <w:rFonts w:ascii="Times New Roman" w:hAnsi="Times New Roman"/>
          <w:color w:val="000000" w:themeColor="text1"/>
          <w:sz w:val="16"/>
          <w:szCs w:val="16"/>
        </w:rPr>
      </w:pPr>
    </w:p>
    <w:p w14:paraId="61E0F43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сентября 1941 вышло Постановление ГКО № 634 [О расстреле 170 заключенных, разновременно осужденных за "террористическую, шпионско-диверсионную и иную контрреволюционную работу".] (7009, 168).</w:t>
      </w:r>
    </w:p>
    <w:p w14:paraId="0E060EF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79E9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сентября 1941 вышло постановление ГКО N 636сс "О переселении немцев из г. Москвы и Московской области и из Ростовской области" (около 30 тыс. человек в Казахстан до 15 сентября) (575,77).</w:t>
      </w:r>
    </w:p>
    <w:p w14:paraId="74FC31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9FFB7C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сентября 1941 вышло Постановление ГКО № 636 О переселении немцев из г. Москвы и Московской области и Ростовской области. (7009, 171-172).</w:t>
      </w:r>
    </w:p>
    <w:p w14:paraId="3239F6E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C0E84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сентября 1941 “Правда” впервые назвала партизан “народными мстителями” (4962).</w:t>
      </w:r>
    </w:p>
    <w:p w14:paraId="279CFEF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EECCC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сентября 1941 в Вильнюсе немецкими властями созданы два еврейских гетто (4962).</w:t>
      </w:r>
    </w:p>
    <w:p w14:paraId="003205B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1141A0"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230F674D"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0FAC474" w14:textId="77777777" w:rsidR="00501F9E" w:rsidRPr="00640820" w:rsidRDefault="00501F9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сентября в 1941 году в ответе на послание И.В.Сталина от 3 сентября 1941 У.Черчилль сообщал, что «в настоящее время нет никакой возможности осуществить такую британскую акцию на Западе (кроме акции в воздухе), которая позволила бы до зимы отвлечь германские силы с восточного фронта. Нет также никакой возможности создать второй фронт на Балканах без помощи Турции» (14761).</w:t>
      </w:r>
    </w:p>
    <w:p w14:paraId="4F4F6D22" w14:textId="77777777" w:rsidR="00501F9E" w:rsidRPr="00640820" w:rsidRDefault="00501F9E" w:rsidP="00640820">
      <w:pPr>
        <w:spacing w:after="0" w:line="240" w:lineRule="auto"/>
        <w:jc w:val="both"/>
        <w:rPr>
          <w:rFonts w:ascii="Times New Roman" w:hAnsi="Times New Roman"/>
          <w:color w:val="000000" w:themeColor="text1"/>
          <w:sz w:val="16"/>
          <w:szCs w:val="16"/>
        </w:rPr>
      </w:pPr>
    </w:p>
    <w:p w14:paraId="7D781CA4" w14:textId="77777777" w:rsidR="001767D8" w:rsidRPr="00640820" w:rsidRDefault="001767D8" w:rsidP="00640820">
      <w:pPr>
        <w:shd w:val="clear" w:color="auto" w:fill="FFFFFF"/>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lang w:eastAsia="ru-RU" w:bidi="ru-RU"/>
        </w:rPr>
        <w:t>6 сентября 1941 Черчиль писал И.В.С.: «Было бы лучше, если бы всякая помощь, оказанная Вам нами, покоилась на той же самой базе това</w:t>
      </w:r>
      <w:r w:rsidRPr="00640820">
        <w:rPr>
          <w:rFonts w:ascii="Times New Roman" w:hAnsi="Times New Roman"/>
          <w:color w:val="0070C0"/>
          <w:sz w:val="16"/>
          <w:szCs w:val="16"/>
          <w:lang w:eastAsia="ru-RU" w:bidi="ru-RU"/>
        </w:rPr>
        <w:softHyphen/>
        <w:t>рищества, на какой построен американский закон о займе-аренде, т. е. без формальных денежных расчетов» (22686).</w:t>
      </w:r>
    </w:p>
    <w:p w14:paraId="03EFA842" w14:textId="77777777" w:rsidR="001767D8" w:rsidRPr="00640820" w:rsidRDefault="001767D8" w:rsidP="00640820">
      <w:pPr>
        <w:shd w:val="clear" w:color="auto" w:fill="FFFFFF"/>
        <w:spacing w:after="0" w:line="240" w:lineRule="auto"/>
        <w:jc w:val="both"/>
        <w:rPr>
          <w:rFonts w:ascii="Times New Roman" w:hAnsi="Times New Roman"/>
          <w:color w:val="0070C0"/>
          <w:sz w:val="16"/>
          <w:szCs w:val="16"/>
        </w:rPr>
      </w:pPr>
    </w:p>
    <w:p w14:paraId="351A86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сентября 1941 года было получено:</w:t>
      </w:r>
    </w:p>
    <w:p w14:paraId="55B110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 ЧЕРЧИЛЛЬ И. В. СТАЛИНУ *</w:t>
      </w:r>
    </w:p>
    <w:p w14:paraId="04C39B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Я сразу же отвечаю в духе Вашего послания. Хотя мы не остановились бы ни перед какими усилиями, в настоящее время нет никакой возможности осуществить такую британскую акцию на Западе (кроме акции в воздухе), которая позволила бы до зимы отвлечь германские силы с восточного фронта. Нет также никакой возможности создать второй фронт на Балканах без помощи Турции. Я хочу, если Ваше Превосходительство того пожелает, изложить Вам все те основания, которые привели начальников штабов к такому заключению. Эти основания уже были обсуждены сегодня с Вашим Послом на особом совещании, в котором приняли участие я и начальники штабов. Акция, ведущая лишь к дорогостоящей неудаче,— как бы похвальны ни были ее мотивы — может быть полезна только Гитлеру.</w:t>
      </w:r>
    </w:p>
    <w:p w14:paraId="5F3CBF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Информация, имеющаяся в моем распоряжении, создает у меня впечатление, что германское вторжение уже миновало высшую точку своего напряжения, ибо зима принесет Вашим героическим армиям передышку (это, однако, мое личное мнение).</w:t>
      </w:r>
    </w:p>
    <w:p w14:paraId="388F05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По вопросу о снабжении. Мы прекрасно сознаем тяжелые потери, понесенные русской промышленностью, и приложим все усилия к тому, чтобы Вам помочь. Я телеграфирую Президенту Рузвельту с целью ускорить прибытие сюда, в Лондон, миссии Гарримана, и мы попытаемся еще до Московской конференции сообщить Вам о количестве самолетов и танков, которые мы совместно обещаем Вам посылать ежемесячно вместе с поставками резины, алюминия, сукна и прочего. Со своей стороны мы готовы посылать Вам из британской продукции половину того ежемесячного количества самолетов и танков, которые Вы просите. Мы надеемся, что США будут удовлетворять вторую половину Ваших потребностей. Мы приложим все усилия к тому, чтобы начать Вам отправку снабжения немедленно.</w:t>
      </w:r>
    </w:p>
    <w:p w14:paraId="61E361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Мы уже отдали приказы о снабжении персидской железной дороги подвижным составом, с тем чтобы поднять ее нынешнюю пропускную способность с двух поездов в каждую сторону в сутки до ее полной пропускной способности, а именно до 12 поездов в каждую сторону в сутки. Это будет достигнуто к весне 1942 года, до какового срока пропускная способность будет прстепенно увеличиваться. Паровозы и вагоны из Англии будут посылаться вокруг мыса Доброй Надежды после переоборудования их на нефтяное топливо. Вдоль железной дороги будет развита система водоснабжения. Первые 48 паровозов и 400 вагонов вот-вот должны быть отправлены.</w:t>
      </w:r>
    </w:p>
    <w:p w14:paraId="6B2F26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Мы готовы выработать с Вами совместные планы. Будут ли британские армии достаточно сильны для того, чтобы осуществить вторжение на европейский континент в 1942 году, зависит от событий, которые трудно предвидеть. По всей вероятности, можно будет оказать Вам содействие на Крайнем Севере, когда там наступит полярная ночь. Мы надеемся довести наши армии на Среднем Востоке до трех четвертей миллиона человек к концу этого года и затем до миллиона к лету 1942 года. Как только германо-итальянские силы будут уничтожены в Ливии, эти войска смогут включиться в фронт на Вашем южном фланге и, как можно надеяться, повлиять на Турцию в смысле соблюдения ею по крайней мере честного нейтралитета. Тем временем мы будем продолжать бомбардировать Германию с воздуха с возрастающей силой, будем также держать моря открытыми и бороться за свою жизнь.</w:t>
      </w:r>
    </w:p>
    <w:p w14:paraId="0AF4DC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6. В первом абзаце Вашего послания Вы употребили слово “продать”. Мы не смотрим на дело с этой точки зрения и никогда не думали об уплате. Было бы лучше, если бы всякая помощь, оказанная Вам нами, покоилась на той же самой базе товарищества, на какой построен американский закон о займе-аренде </w:t>
      </w:r>
      <w:r w:rsidRPr="00640820">
        <w:rPr>
          <w:rFonts w:ascii="Times New Roman" w:hAnsi="Times New Roman"/>
          <w:color w:val="000000" w:themeColor="text1"/>
          <w:sz w:val="16"/>
          <w:szCs w:val="16"/>
          <w:vertAlign w:val="superscript"/>
        </w:rPr>
        <w:t>9</w:t>
      </w:r>
      <w:r w:rsidRPr="00640820">
        <w:rPr>
          <w:rFonts w:ascii="Times New Roman" w:hAnsi="Times New Roman"/>
          <w:color w:val="000000" w:themeColor="text1"/>
          <w:sz w:val="16"/>
          <w:szCs w:val="16"/>
        </w:rPr>
        <w:t>, то есть без формальных денежных расчетов. Мы охотно готовы оказать в полную меру наших сил всяческое давление на Финляндию, включая немедленное официальное уведомление ее, что мы объявим ей войну, если она пойдет дальше своих старых границ. Мы просим также США предпринять все возможные шаги, чтобы повлиять на Финляндию.</w:t>
      </w:r>
    </w:p>
    <w:p w14:paraId="6ECDB0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Имеется в виду так называемый закон о ленд-лизе, принятый конгрессом США 11 марта 1941 г. Этот закон давал правительству США право передавать взаймы или в аренду другим государствам различные товары и материалы, которые необходимы для обороны этих государств, если оборона этих государств по определению президента являлась жизненно важной для обороны США (7430).</w:t>
      </w:r>
    </w:p>
    <w:p w14:paraId="63EF23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82ECB76"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664056EA"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D5342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C 6 сентября 1941 А.Гитлер велел всем евреям носить знак - желтую шестиконечную звезду Давида (2100).</w:t>
      </w:r>
    </w:p>
    <w:p w14:paraId="0E1E72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126A34C" w14:textId="77777777" w:rsidR="004F6338" w:rsidRPr="00640820" w:rsidRDefault="004F633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сентября в 1941 году нацистская Германия обязывает всех евреев старше 6 лет носить желтую звезду Давида (14761).</w:t>
      </w:r>
    </w:p>
    <w:p w14:paraId="02537461" w14:textId="77777777" w:rsidR="004F6338" w:rsidRPr="00640820" w:rsidRDefault="004F6338" w:rsidP="00640820">
      <w:pPr>
        <w:spacing w:after="0" w:line="240" w:lineRule="auto"/>
        <w:jc w:val="both"/>
        <w:rPr>
          <w:rFonts w:ascii="Times New Roman" w:hAnsi="Times New Roman"/>
          <w:color w:val="000000" w:themeColor="text1"/>
          <w:sz w:val="16"/>
          <w:szCs w:val="16"/>
        </w:rPr>
      </w:pPr>
    </w:p>
    <w:p w14:paraId="56A45194" w14:textId="77777777" w:rsidR="004F6338" w:rsidRPr="00640820" w:rsidRDefault="004F633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сентября в 1941 году Евреи Вильны, Польша, заключаются в гетто (14761).</w:t>
      </w:r>
    </w:p>
    <w:p w14:paraId="78DA7846" w14:textId="77777777" w:rsidR="004F6338" w:rsidRPr="00640820" w:rsidRDefault="004F6338" w:rsidP="00640820">
      <w:pPr>
        <w:spacing w:after="0" w:line="240" w:lineRule="auto"/>
        <w:jc w:val="both"/>
        <w:rPr>
          <w:rFonts w:ascii="Times New Roman" w:hAnsi="Times New Roman"/>
          <w:color w:val="000000" w:themeColor="text1"/>
          <w:sz w:val="16"/>
          <w:szCs w:val="16"/>
        </w:rPr>
      </w:pPr>
    </w:p>
    <w:p w14:paraId="704520A5" w14:textId="77777777" w:rsidR="004F6338" w:rsidRPr="00640820" w:rsidRDefault="004F633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сентября в 1941 году в Вильнюсе немецкими властями создаются два еврейских гетто (14761).</w:t>
      </w:r>
    </w:p>
    <w:p w14:paraId="270246AA" w14:textId="77777777" w:rsidR="004F6338" w:rsidRPr="00640820" w:rsidRDefault="004F6338" w:rsidP="00640820">
      <w:pPr>
        <w:spacing w:after="0" w:line="240" w:lineRule="auto"/>
        <w:jc w:val="both"/>
        <w:rPr>
          <w:rFonts w:ascii="Times New Roman" w:hAnsi="Times New Roman"/>
          <w:color w:val="000000" w:themeColor="text1"/>
          <w:sz w:val="16"/>
          <w:szCs w:val="16"/>
        </w:rPr>
      </w:pPr>
    </w:p>
    <w:p w14:paraId="1D5DB0D1" w14:textId="77777777" w:rsidR="004F6338" w:rsidRPr="00640820" w:rsidRDefault="004F633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сентября в 1941 году на «императорском совещании» было принято решение отложить первоначально запланированное на 29 августа 1941 года осуществление японского плана нападения на СССР «Кантокуэн» до весны следующего года (14761).</w:t>
      </w:r>
    </w:p>
    <w:p w14:paraId="2E54F939" w14:textId="77777777" w:rsidR="004F6338" w:rsidRPr="00640820" w:rsidRDefault="004F6338" w:rsidP="00640820">
      <w:pPr>
        <w:spacing w:after="0" w:line="240" w:lineRule="auto"/>
        <w:jc w:val="both"/>
        <w:rPr>
          <w:rFonts w:ascii="Times New Roman" w:hAnsi="Times New Roman"/>
          <w:color w:val="000000" w:themeColor="text1"/>
          <w:sz w:val="16"/>
          <w:szCs w:val="16"/>
        </w:rPr>
      </w:pPr>
    </w:p>
    <w:p w14:paraId="0CE9DB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сентября 1941 японская Имперская конференция решила, что риск войны является допустимым для страны (2260).</w:t>
      </w:r>
    </w:p>
    <w:p w14:paraId="02965E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DA778F4"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7CD8009B"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59C34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сентября 1941 несмотря на обстрелы и бомбежки ежесуточный выпуск Су-2 на завоеде № 135 вырос до четырех, что соответствовало скорректированному правительственному заданию. Все светлое время суток нс покидали кабин летчики-харьковчане А.И.Калюжнов, Г.Я.Коробко, П.И.Деев и другие. Прямо на заводском аэродроме после облета машины сдавались военным экипажам. Большую роль в прикрытии завода и прилегающей территории сыграли истребители 146-го иап (5360).</w:t>
      </w:r>
    </w:p>
    <w:p w14:paraId="549A6F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3B387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сентября 1941 силами научно-исследовательского полигона авиационного вооружения (НИП АВ) изучались возможности применения Пе-3 в качестве ночного истребителя. Пламя выстрелов слепило экипаж, но после постановки пламягасителей эту проблему решили (235,3).</w:t>
      </w:r>
    </w:p>
    <w:p w14:paraId="595CF8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EA8527F" w14:textId="77777777" w:rsidR="00EA1479" w:rsidRPr="00640820" w:rsidRDefault="00EA1479" w:rsidP="00640820">
      <w:pPr>
        <w:pStyle w:val="a3"/>
        <w:rPr>
          <w:color w:val="000000" w:themeColor="text1"/>
          <w:lang w:val="ru-RU"/>
        </w:rPr>
      </w:pPr>
      <w:r w:rsidRPr="00640820">
        <w:rPr>
          <w:color w:val="000000" w:themeColor="text1"/>
          <w:lang w:val="ru-RU"/>
        </w:rPr>
        <w:t>В начале сентября 1941 в ЦАГИ выполнили продувку МиГ-9 № 01 в натурной аэродинамической трубе Т-1 04, которая подтвердила влияние негерметичности капота мотора на рост лобового сопротивления. Выданные специалистами ЦАГИ рекомендации по доработке самолёта позволяли увеличить его скорость до 570-580 км/ч. В первую очередь требовалось переделать капот и спроектировать специально для МиГ-9 новый винт. Но выполнить доработку истребителя, а также закончить выпуск войсковой серии не позволила эвакуация авиазавода № 1 и ОКО в Куйбышев, а опытного МиГ-9 № 02 вместе с ЛИИ НКАП в Казань (15976).</w:t>
      </w:r>
    </w:p>
    <w:p w14:paraId="7A71AEAB" w14:textId="77777777" w:rsidR="00EA1479" w:rsidRPr="00640820" w:rsidRDefault="00EA1479" w:rsidP="00640820">
      <w:pPr>
        <w:pStyle w:val="a3"/>
        <w:rPr>
          <w:color w:val="000000" w:themeColor="text1"/>
          <w:lang w:val="ru-RU"/>
        </w:rPr>
      </w:pPr>
    </w:p>
    <w:p w14:paraId="7646E2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начале сентября 1941 в НИП АВ (научно-испытательный полигон авиационного вооружения), который располагался в Ногинске, поступил на испытания самолет Ер-2 с новыми стрелковыми установками, разработанными заводом N 32. Во всех огневых точках монтировались крупнокалиберные пулеметы БТ (с ленточным питанием в носовой и люковой установках и с магазинным - на верхней турели). Несмотря на обнаруженные недостатки, разработанные конструкции были рекомендованы к серийному производству. Но и рекомендацию НИП АВ полностью реализовать не смогли, поскольку завод N 32 был сильно загружен заданиями по крупносерийным машинам. К началу октября только на 50% самолетов Ер-2 в строевых частях были заменены верхние стрелковые установки на турели ТАТ с пулеметами БТ, при этом магазинное питание, особенно часто подвергаемое критике, сохранилось. Кроме того, производились работы по установке дополнительной брони для всех членов экипажа с использованием задела, оставшегося на заводе N 18 после завершения производства ДБ-3Ф. В частности, рабочие места стрелков прикрыли стандартными бронеспинками от ильюшинского бомбардировщика, а позднее за их кабиной стали монтировать сплошной бронешпангоут из 15-мм листа. В интересах сохранения центровки пришлось перенести вперед кислородные баллоны (3322,20).</w:t>
      </w:r>
    </w:p>
    <w:p w14:paraId="18790A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68FEE99" w14:textId="77777777" w:rsidR="003F664E" w:rsidRPr="00640820" w:rsidRDefault="003F664E" w:rsidP="00640820">
      <w:pPr>
        <w:pStyle w:val="ae"/>
        <w:spacing w:before="0" w:after="0"/>
        <w:jc w:val="both"/>
        <w:rPr>
          <w:color w:val="000000" w:themeColor="text1"/>
          <w:sz w:val="16"/>
          <w:szCs w:val="16"/>
        </w:rPr>
      </w:pPr>
      <w:r w:rsidRPr="00640820">
        <w:rPr>
          <w:color w:val="000000" w:themeColor="text1"/>
          <w:sz w:val="16"/>
          <w:szCs w:val="16"/>
        </w:rPr>
        <w:t>В начале сентября 1941 Гр</w:t>
      </w:r>
      <w:r w:rsidRPr="00640820">
        <w:rPr>
          <w:color w:val="000000" w:themeColor="text1"/>
          <w:sz w:val="16"/>
          <w:szCs w:val="16"/>
        </w:rPr>
        <w:noBreakHyphen/>
        <w:t>1 доставили на подмосковный аэродром ЛИИ и сразу же силами приехавших в ЛИИ работников харьковского КБ начали готовить к полетам. К этому же времени на аэродром ЛИИ был доставлен и его только что построенный соперник – дальний истребитель А. Поликарпова.</w:t>
      </w:r>
    </w:p>
    <w:p w14:paraId="0AC148BD" w14:textId="77777777" w:rsidR="003F664E" w:rsidRPr="00640820" w:rsidRDefault="003F664E" w:rsidP="00640820">
      <w:pPr>
        <w:pStyle w:val="ae"/>
        <w:spacing w:before="0" w:after="0"/>
        <w:jc w:val="both"/>
        <w:rPr>
          <w:color w:val="000000" w:themeColor="text1"/>
          <w:sz w:val="16"/>
          <w:szCs w:val="16"/>
        </w:rPr>
      </w:pPr>
      <w:r w:rsidRPr="00640820">
        <w:rPr>
          <w:color w:val="000000" w:themeColor="text1"/>
          <w:sz w:val="16"/>
          <w:szCs w:val="16"/>
        </w:rPr>
        <w:t>Но в отличие от него летать грушинскому истребителю больше не довелось. Здесь на аэродроме ЛИИ Гр</w:t>
      </w:r>
      <w:r w:rsidRPr="00640820">
        <w:rPr>
          <w:color w:val="000000" w:themeColor="text1"/>
          <w:sz w:val="16"/>
          <w:szCs w:val="16"/>
        </w:rPr>
        <w:noBreakHyphen/>
        <w:t>1 поджидала очередная неприятность – 8 октября при запуске двигательной установки самолета на земле в левом моторе начался пожар. Конечно, он был немедленно потушен, но самолет получил повреждения. Как потом выяснилось, возгорание произошло из</w:t>
      </w:r>
      <w:r w:rsidRPr="00640820">
        <w:rPr>
          <w:color w:val="000000" w:themeColor="text1"/>
          <w:sz w:val="16"/>
          <w:szCs w:val="16"/>
        </w:rPr>
        <w:noBreakHyphen/>
        <w:t>за ослабленного крепления карбюратора, из</w:t>
      </w:r>
      <w:r w:rsidRPr="00640820">
        <w:rPr>
          <w:color w:val="000000" w:themeColor="text1"/>
          <w:sz w:val="16"/>
          <w:szCs w:val="16"/>
        </w:rPr>
        <w:noBreakHyphen/>
        <w:t>под фланца которого подтекал бензин. Самолету вновь потребовался ремонт, замена мотора. А немцы были уже почти у Москвы…(18995).</w:t>
      </w:r>
    </w:p>
    <w:p w14:paraId="34103687" w14:textId="77777777" w:rsidR="003F664E" w:rsidRPr="00640820" w:rsidRDefault="003F664E" w:rsidP="00640820">
      <w:pPr>
        <w:spacing w:after="0" w:line="240" w:lineRule="auto"/>
        <w:jc w:val="both"/>
        <w:rPr>
          <w:rFonts w:ascii="Times New Roman" w:hAnsi="Times New Roman"/>
          <w:color w:val="000000" w:themeColor="text1"/>
          <w:sz w:val="16"/>
          <w:szCs w:val="16"/>
        </w:rPr>
      </w:pPr>
    </w:p>
    <w:p w14:paraId="6D08B7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сентября 1941 работники наркомата авиапромышленности были награждены. А.И.Шахурин, П.В.Дементьев, П.А.Воронин, А.Т.Третьяков стали ГСТ (6,109). В конце сентября 1941 выпуск поднялся до 100 машин в день (6,109).</w:t>
      </w:r>
    </w:p>
    <w:p w14:paraId="0283F1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AC59112"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285B2779"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C0625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сентября 1941 года после испытаний нескольких образцов голубиных зажигательных снарядов (ГЗС) ударного действия на вооружение был принят окончательный вариант ГЗС-7. Снаряд представлял собой трехгранную призму, отпрессованную из термитного состава. Вес его составил 120-130 г. Для группового сбрасывания голубей с зажигательными снарядами ГЗС-7 были разработаны специальные подвесные кассеты. Под самолет подвешивали две кассеты с 24 голубями в каждой. При выпадении голубей из кассеты выдергивались предохранительные чеки, освобождая ударники взрывателей. При посадке голубя на цель срабатывал взрыватель и вспыхивала зажигательная шашка. Шашка горела 15-25 секунд, образую пламя высотой до 50 см с температурой 3000°С. Снаряд прожигал листовое железо толщиной 2,5 мм и дюралевые самолетные бензобаки. Вражеские машины взрывались (3861).</w:t>
      </w:r>
    </w:p>
    <w:p w14:paraId="22E5D3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5EE3E77" w14:textId="77777777" w:rsidR="003F664E" w:rsidRPr="00640820" w:rsidRDefault="003F664E" w:rsidP="00640820">
      <w:pPr>
        <w:pStyle w:val="rtejustify"/>
        <w:shd w:val="clear" w:color="auto" w:fill="FFFFFF"/>
        <w:spacing w:before="0" w:after="0"/>
        <w:rPr>
          <w:color w:val="000000" w:themeColor="text1"/>
          <w:sz w:val="16"/>
          <w:szCs w:val="16"/>
        </w:rPr>
      </w:pPr>
      <w:r w:rsidRPr="00640820">
        <w:rPr>
          <w:color w:val="000000" w:themeColor="text1"/>
          <w:sz w:val="16"/>
          <w:szCs w:val="16"/>
        </w:rPr>
        <w:t>В начале сентября 1941 года незадолго до отправки пушки на испытания механик Сенечкин сфрезеровал настоящее название БМА-37 (Бабурина моторная авиационная калибра 37 мм или ПТБ-37, которая, как очевидно из обозначения, предназначалась главным образом для установки в развале цилиндров V-образных авиадвигателей) с прототипа орудия и нанес новое,  11-П-37. После ареста руководителей  ОКБ-16 возглавил начальник специального исследовательского отдела военинженер 1 ранга Константин Константинович Глухарев. Мнения об этом человеке достаточно противоречивы. С одной стороны, это был блестящий организатор, нашедший в себе мужество сохранить коллектив ОКБ-16 после ареста его главы. С другой стороны, как писал автор ряда работ по штурмовой авиации СССР Олег Растренин, </w:t>
      </w:r>
      <w:r w:rsidRPr="00640820">
        <w:rPr>
          <w:rStyle w:val="af0"/>
          <w:i w:val="0"/>
          <w:color w:val="000000" w:themeColor="text1"/>
          <w:sz w:val="16"/>
          <w:szCs w:val="16"/>
          <w:bdr w:val="none" w:sz="0" w:space="0" w:color="auto" w:frame="1"/>
        </w:rPr>
        <w:t xml:space="preserve">«у Глухарева был интересный послужной список: сначала — первый зам. у Курчевского, после расстрела того — начальник группы в РНИИ, после расстрела его руководства (с арестом Королева и Глушкова) — начальник опытного отдела в ОКБ-15, после обвинения в шпионаже от Шпитального (видать, лез туда, куда не надо) — начальник отдела в ОКБ-16…. После ареста Таубина — начальник ОКБ-16. Нет, совпадения возможны, но как учили более опытные наставники: "Держись подальше от "товарищей", за которыми "рвутся снаряды!» </w:t>
      </w:r>
      <w:r w:rsidRPr="00640820">
        <w:rPr>
          <w:color w:val="000000" w:themeColor="text1"/>
          <w:sz w:val="16"/>
          <w:szCs w:val="16"/>
        </w:rPr>
        <w:t>Тем не менее, именно благодаря К.К. Глухареву удалось сохранить наработки «врагов народа», одной из которых стала пушка БМА-37. Глухарев, рискуя жизнью, заявил, что в КБ разработали другую, новую 37-мм авиапушку.  Хотя это была та же самая пушка, просто по команде Глухарёва за месяц была перевыпущена вся конструкторская документация на неё. Ведущим проекта пушки стал молодой конструктор ОКБ-16  А.Э. Нудельман, а непосредственным исполнителем А.С. Суранов (19170).</w:t>
      </w:r>
    </w:p>
    <w:p w14:paraId="7FDF4AF2" w14:textId="77777777" w:rsidR="003F664E" w:rsidRPr="00640820" w:rsidRDefault="003F664E" w:rsidP="00640820">
      <w:pPr>
        <w:pStyle w:val="rtejustify"/>
        <w:shd w:val="clear" w:color="auto" w:fill="FFFFFF"/>
        <w:spacing w:before="0" w:after="0"/>
        <w:rPr>
          <w:color w:val="000000" w:themeColor="text1"/>
          <w:sz w:val="16"/>
          <w:szCs w:val="16"/>
        </w:rPr>
      </w:pPr>
    </w:p>
    <w:p w14:paraId="344B1F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началу сентября 1941 г. большинство заводов, переданных в НКТП, уже находилось под угрозой захвата немцами. Поэтому одновременно в состав НКТП вошли и предприятия, расположенные в восточных районах страны, которым предстояло слиться с эвакуируемыми танковыми заводами: ЧТЗ должен был принять Кировский завод. Уральский вагоностроительный - завод № 183, Уральский турбинный - двигательный цех Кировского завода. Уральский завод тяжелого машиностроения - Ижорский завод. Кроме того, в состав НКТП вошли Сталинградский тракторный завод, приступивший к выпуску Т-34, № 264 в Сталинграде, налаживающий производство бронекорпусов для СТЗ, и № 112 ("Красное Сормово"), ранее работавший на нужды флота, а теперь тоже переориентированный на изготовление танков Т-34. Кроме того, в состав НКТП в момент его создания вошли заводы, не занимавшиеся производством танков, такие, как Харьковский тракторный, автозавод им. Коммунистического интернационала молодежи в Москве, а также Коломенский, Муромский (№ 176), Саратовский и Чкаловский паровозоремонтные заводы, Выксунский завод дробильно-размольного оборудования (№ 177), Кулебакский металлургический завод (№ 178) Часть из них пришлось впоследствии эвакуировать и слить с другими предприятиями, другие же сами стали базой, на которой развертывалось эвакуируемое оборудование. Новые заводы продолжали включаться в состав НКТП и после его создания. Так, 9 октября 1941 г. Наркомату был передан Куйбышевский завод Особстроя НКВД, предназначенный для размещения части оборудования Ижорского завода. 21 октября НКТП получил в свое распоряжение заводы "Металлист" и им. Воеводина в Свердловске. Они были предназначены для размещения эвакуируемых заводов № 37, КИМ и Подольского им. Орджоникидзе; 24 октября в состав НКТП вошел завод № 212, эвакуированное оборудование которого оказалось на территории Уральского турбинного завода, 22 ноября - металлургический завод № 200, образованный из части площадей и оборудования завода № 78 Наркомата боеприпасов. На производство танков был отчасти переключен Горьковский автозавод, не вошедший в состав НКТП. К концу 1941 г. процесс формирования НКТП был завершен. Вовлечение новых мощностей в военное производство продолжалось дольше. Окончательно их эффективное использование наладилось только к середине 1942 г. Но и после этого на новых танкостроительных заводах объемы производства были ниже, а оборудование и рабочая сила использовались менее эффективно, чем на образовавшихся в результате слияния старых эвакуированных танковых заводов с предприятиями гражданской промышленности. Танковая промышленность получала новые производственные мощности в основном за счет трех отраслей - транспортного и сельскохозяйственного машиностроения и судостроения. Свой серьезный вклад внесли также энергетическое и тяжелое машиностроение, работающее на нужды металлургии. Усиление оснащенности уже существующих центров производства и восстановление предприятий на освобожденных территориях после перелома в ходе боевых действий в пользу советских войск позволили расширить производственную базу НКТП. Надо сказать, что в довоенный период производство на танковых заводах имело значительные резервы для усовершенствования. Например, на заводе № 183, несмотря на значительные объемы продукции, работа была организована по принципу мелкосерийного производства со всеми присущими ему атрибутами: стендовой сборкой танков, использованием универсальных станков, ручной формовкой и сваркой и т.д (РГАЭ, ф. 8752, оп. 1, д. 82, л. 167-169; оп. 4, д. 2, л. 21.). Недостаточно широко использовалось литье, редко применялась штамповка. Такая организация производства обеспечивала его гибкость, быстрый переход от одного вида продукции к другому, но ограничивала объемы. В условиях войны такого рода гибкость становилась непозволительной роскошью. Отметим, что еще перед войной на заводе № 183 приступили к перестройке технологии производства, но сначала ее задерживало освоение Т-34. Вскоре же после начала войны встал вопрос об эвакуации завода, и производство по новым технологическим принципам пришлось организовывать уже на новом месте (11786).</w:t>
      </w:r>
    </w:p>
    <w:p w14:paraId="41024A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FE68FE7" w14:textId="77777777" w:rsidR="004A55CA" w:rsidRPr="00640820" w:rsidRDefault="004A55CA"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начале сентября 1941 из ГАУ КА последовало указание о срочном изготовлении на заводе № 183 опытного образца Ворошиловца с Ф-34. Впрочем, уже к середине месяца заводу №183 стало совсем не до САУ на базе «Ворошиловца». Точку в судьбе машины поставил заместитель наркома танковой промышленности И. И. Носенко, сообщивший в конце сентября, что в виду эвакуации завода выпуск двадцати пяти САУ невозможен (17666).</w:t>
      </w:r>
    </w:p>
    <w:p w14:paraId="1B2B5BEC" w14:textId="77777777" w:rsidR="004A55CA" w:rsidRPr="00640820" w:rsidRDefault="004A55CA" w:rsidP="00640820">
      <w:pPr>
        <w:spacing w:after="0" w:line="240" w:lineRule="auto"/>
        <w:jc w:val="both"/>
        <w:rPr>
          <w:rFonts w:ascii="Times New Roman" w:eastAsia="Times New Roman" w:hAnsi="Times New Roman"/>
          <w:color w:val="000000" w:themeColor="text1"/>
          <w:sz w:val="16"/>
          <w:szCs w:val="16"/>
          <w:lang w:eastAsia="ru-RU"/>
        </w:rPr>
      </w:pPr>
    </w:p>
    <w:p w14:paraId="6E4A27E8" w14:textId="77777777" w:rsidR="001767D8" w:rsidRPr="00640820" w:rsidRDefault="001767D8" w:rsidP="00640820">
      <w:pPr>
        <w:shd w:val="clear" w:color="auto" w:fill="FFFFFF"/>
        <w:spacing w:after="0" w:line="240" w:lineRule="auto"/>
        <w:jc w:val="both"/>
        <w:rPr>
          <w:rFonts w:ascii="Times New Roman" w:eastAsia="Times New Roman" w:hAnsi="Times New Roman"/>
          <w:color w:val="0070C0"/>
          <w:sz w:val="16"/>
          <w:szCs w:val="16"/>
          <w:lang w:eastAsia="ru-RU"/>
        </w:rPr>
      </w:pPr>
      <w:r w:rsidRPr="00640820">
        <w:rPr>
          <w:rFonts w:ascii="Times New Roman" w:eastAsia="Times New Roman" w:hAnsi="Times New Roman"/>
          <w:color w:val="0070C0"/>
          <w:sz w:val="16"/>
          <w:szCs w:val="16"/>
          <w:lang w:eastAsia="ru-RU"/>
        </w:rPr>
        <w:t>В начале сентября 1941 года на заводе № 37 начались работы по внедрению новой конструкции. Дело в том, что изготовление башен для Т-40 и Т-30 являлось не самым простым делом. Форма усеченного конуса была выгодной с точки зрения пулестойкости стенок башни, но имела обратную сторону - сложность изготовления и высокий процент брака. Именно поэтому Подольский завод им. Орджоникидзе перешел на гомогенную броню, которая имела гораздо меньший процент брака. В Коломне же решили пойти другим путем. Там разработали башню литой конструкции, с толщиной стенок 23-24 мм. Это было равнозначно сварной башне с толщиной стенок 20 мм. Минусы у такой башни, безусловно, были. Главным являлась масса изделия. Согласно подсчетам, обработанная сварная башня имела массу 203 кг, а литая - 311 кг. Но достоинств оказалось гораздо больше. Во-первых, исчезал брак по гнутым листам стенок. Во-вторых, полная стоимость литой башни оказалась ниже - 1226 рублей + 51 за модель против 1735 рублей за сварную конструкцию. В-третьих, лить эти башни завод мог сам, без привлечения смежников, поставляющих прокат (20599).</w:t>
      </w:r>
    </w:p>
    <w:p w14:paraId="2DE9D52F" w14:textId="77777777" w:rsidR="001767D8" w:rsidRPr="00640820" w:rsidRDefault="001767D8" w:rsidP="00640820">
      <w:pPr>
        <w:shd w:val="clear" w:color="auto" w:fill="FFFFFF"/>
        <w:spacing w:after="0" w:line="240" w:lineRule="auto"/>
        <w:jc w:val="both"/>
        <w:rPr>
          <w:rFonts w:ascii="Times New Roman" w:eastAsia="Times New Roman" w:hAnsi="Times New Roman"/>
          <w:color w:val="0070C0"/>
          <w:sz w:val="16"/>
          <w:szCs w:val="16"/>
          <w:lang w:eastAsia="ru-RU"/>
        </w:rPr>
      </w:pPr>
    </w:p>
    <w:p w14:paraId="69723FC1" w14:textId="77777777" w:rsidR="00150B39" w:rsidRPr="00640820" w:rsidRDefault="00150B39" w:rsidP="00640820">
      <w:pPr>
        <w:pStyle w:val="162"/>
        <w:shd w:val="clear" w:color="auto" w:fill="auto"/>
        <w:spacing w:line="240" w:lineRule="auto"/>
        <w:jc w:val="both"/>
        <w:rPr>
          <w:color w:val="000000" w:themeColor="text1"/>
          <w:sz w:val="16"/>
          <w:szCs w:val="16"/>
        </w:rPr>
      </w:pPr>
      <w:r w:rsidRPr="00640820">
        <w:rPr>
          <w:color w:val="000000" w:themeColor="text1"/>
          <w:sz w:val="16"/>
          <w:szCs w:val="16"/>
        </w:rPr>
        <w:lastRenderedPageBreak/>
        <w:t>В начале сентября 1941 директор завода ГАЗ И. К. Лоскутов был вызван на совещание в ЦК ВКП (б). На совеща</w:t>
      </w:r>
      <w:r w:rsidRPr="00640820">
        <w:rPr>
          <w:color w:val="000000" w:themeColor="text1"/>
          <w:sz w:val="16"/>
          <w:szCs w:val="16"/>
        </w:rPr>
        <w:softHyphen/>
        <w:t>нии под председательством Г. М. Маленкова руководство ГАБТУ по</w:t>
      </w:r>
      <w:r w:rsidRPr="00640820">
        <w:rPr>
          <w:color w:val="000000" w:themeColor="text1"/>
          <w:sz w:val="16"/>
          <w:szCs w:val="16"/>
        </w:rPr>
        <w:softHyphen/>
        <w:t>требовало от директоров заводов, выпускающих танки, немедленно приступить к форсированию их выпуска. Данное требование в полной мере относилось и к Лоскутову. Именно с этого момента началась по</w:t>
      </w:r>
      <w:r w:rsidRPr="00640820">
        <w:rPr>
          <w:color w:val="000000" w:themeColor="text1"/>
          <w:sz w:val="16"/>
          <w:szCs w:val="16"/>
        </w:rPr>
        <w:softHyphen/>
        <w:t>степенная переориентация ГАЗ с производства автомобилей на выпуск танков (17485).</w:t>
      </w:r>
    </w:p>
    <w:p w14:paraId="5F04B2D7" w14:textId="77777777" w:rsidR="00150B39" w:rsidRPr="00640820" w:rsidRDefault="00150B39" w:rsidP="00640820">
      <w:pPr>
        <w:pStyle w:val="ae"/>
        <w:spacing w:before="0" w:after="0"/>
        <w:jc w:val="both"/>
        <w:rPr>
          <w:color w:val="000000" w:themeColor="text1"/>
          <w:sz w:val="16"/>
          <w:szCs w:val="16"/>
        </w:rPr>
      </w:pPr>
    </w:p>
    <w:p w14:paraId="0F1DBD41" w14:textId="77777777" w:rsidR="001767D8" w:rsidRPr="00640820" w:rsidRDefault="001767D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shd w:val="clear" w:color="auto" w:fill="FFFFFF"/>
        </w:rPr>
        <w:t>В начале сентября 1941 года прошли испытания, на которых ГАЗ-64 вполне себе таскал за собой ЗИС-2. Испытатели ругались на слишком низкое расположение фаркопа, в виду чего ЗИС-2 часто чиркала сошниками об неровности местности. Тем не менее, перевозку орудия признали вполне возможной (21327).</w:t>
      </w:r>
    </w:p>
    <w:p w14:paraId="02F21F57" w14:textId="77777777" w:rsidR="001767D8" w:rsidRPr="00640820" w:rsidRDefault="001767D8" w:rsidP="00640820">
      <w:pPr>
        <w:spacing w:after="0" w:line="240" w:lineRule="auto"/>
        <w:jc w:val="both"/>
        <w:rPr>
          <w:rFonts w:ascii="Times New Roman" w:hAnsi="Times New Roman"/>
          <w:color w:val="0070C0"/>
          <w:sz w:val="16"/>
          <w:szCs w:val="16"/>
        </w:rPr>
      </w:pPr>
    </w:p>
    <w:p w14:paraId="1DA8ECFA" w14:textId="77777777" w:rsidR="001767D8" w:rsidRPr="00640820" w:rsidRDefault="001767D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shd w:val="clear" w:color="auto" w:fill="FFFFFF"/>
        </w:rPr>
        <w:t>К началу сентября 1941 года по результатам переделок облик ЗИС-30 сформировался окончательно. На тот момент ГАУ КА стало внедрять на орудиях 3-цветный камуфляж. Изначально он создавался по заказу ГАБТУ КА, но по ряду причин массового применения камуфляжа на бронетанковой технике не случилось. Совсем иная ситуация оказалась с артиллерией. Худо-бедно, но его стали внедрять. При этом так было судьбе угодно, что одновременно его стали внедрять на трех образцах техники, имеющей прямое отношение к артиллерии. Это полноприводной автомобиль-разведчик ГАЗ-64, артиллерийский тягач ГАЗ-61-416 и ЗИС-30. В результате истребитель танков стал первым отечественным образцом бронетанковой техники, на который массово наносился камуфляж, причем в заводских условиях (22213).</w:t>
      </w:r>
    </w:p>
    <w:p w14:paraId="7497F847" w14:textId="77777777" w:rsidR="001767D8" w:rsidRPr="00640820" w:rsidRDefault="001767D8" w:rsidP="00640820">
      <w:pPr>
        <w:spacing w:after="0" w:line="240" w:lineRule="auto"/>
        <w:jc w:val="both"/>
        <w:rPr>
          <w:rFonts w:ascii="Times New Roman" w:hAnsi="Times New Roman"/>
          <w:color w:val="0070C0"/>
          <w:sz w:val="16"/>
          <w:szCs w:val="16"/>
        </w:rPr>
      </w:pPr>
    </w:p>
    <w:p w14:paraId="524DD93E" w14:textId="77777777" w:rsidR="00EA1479" w:rsidRPr="00640820" w:rsidRDefault="00EA147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сентября 1941 город Ленинград был окру</w:t>
      </w:r>
      <w:r w:rsidRPr="00640820">
        <w:rPr>
          <w:rFonts w:ascii="Times New Roman" w:hAnsi="Times New Roman"/>
          <w:color w:val="000000" w:themeColor="text1"/>
          <w:sz w:val="16"/>
          <w:szCs w:val="16"/>
        </w:rPr>
        <w:softHyphen/>
        <w:t>жен войсками противника. К этому времени из него железнодорож</w:t>
      </w:r>
      <w:r w:rsidRPr="00640820">
        <w:rPr>
          <w:rFonts w:ascii="Times New Roman" w:hAnsi="Times New Roman"/>
          <w:color w:val="000000" w:themeColor="text1"/>
          <w:sz w:val="16"/>
          <w:szCs w:val="16"/>
        </w:rPr>
        <w:softHyphen/>
        <w:t>ным транспортом вывезли некоторое оборудование заводов, а так</w:t>
      </w:r>
      <w:r w:rsidRPr="00640820">
        <w:rPr>
          <w:rFonts w:ascii="Times New Roman" w:hAnsi="Times New Roman"/>
          <w:color w:val="000000" w:themeColor="text1"/>
          <w:sz w:val="16"/>
          <w:szCs w:val="16"/>
        </w:rPr>
        <w:softHyphen/>
        <w:t>же эвакуировали часть заводских специалистов и сотрудников на</w:t>
      </w:r>
      <w:r w:rsidRPr="00640820">
        <w:rPr>
          <w:rFonts w:ascii="Times New Roman" w:hAnsi="Times New Roman"/>
          <w:color w:val="000000" w:themeColor="text1"/>
          <w:sz w:val="16"/>
          <w:szCs w:val="16"/>
        </w:rPr>
        <w:softHyphen/>
        <w:t>учных и проектных институтов и конструкторских бюро судостроительной промышленности. Эвакуация продолжалась и после установления блокады через Ладожское озеро и воздушным транспортом. Она носила плановый характер и предусматривала возможность сохранения производства в осажденном Ленинграде (всего было вывезено не более половины станочного парка судо</w:t>
      </w:r>
      <w:r w:rsidRPr="00640820">
        <w:rPr>
          <w:rFonts w:ascii="Times New Roman" w:hAnsi="Times New Roman"/>
          <w:color w:val="000000" w:themeColor="text1"/>
          <w:sz w:val="16"/>
          <w:szCs w:val="16"/>
        </w:rPr>
        <w:softHyphen/>
        <w:t>строительных заводов) (3898).</w:t>
      </w:r>
    </w:p>
    <w:p w14:paraId="0F93F206" w14:textId="77777777" w:rsidR="00EA1479" w:rsidRPr="00640820" w:rsidRDefault="00EA1479" w:rsidP="00640820">
      <w:pPr>
        <w:autoSpaceDE w:val="0"/>
        <w:autoSpaceDN w:val="0"/>
        <w:adjustRightInd w:val="0"/>
        <w:spacing w:after="0" w:line="240" w:lineRule="auto"/>
        <w:jc w:val="both"/>
        <w:rPr>
          <w:rFonts w:ascii="Times New Roman" w:hAnsi="Times New Roman"/>
          <w:color w:val="000000" w:themeColor="text1"/>
          <w:sz w:val="16"/>
          <w:szCs w:val="16"/>
        </w:rPr>
      </w:pPr>
    </w:p>
    <w:p w14:paraId="39B88322"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768B769B"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F520E8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первых числах сентября 1941, согласно воспоминаниям А. Фёдорова, “Мы нача</w:t>
      </w:r>
      <w:r w:rsidRPr="00640820">
        <w:rPr>
          <w:rFonts w:ascii="Times New Roman" w:hAnsi="Times New Roman"/>
          <w:color w:val="000000" w:themeColor="text1"/>
          <w:sz w:val="16"/>
          <w:szCs w:val="16"/>
        </w:rPr>
        <w:softHyphen/>
        <w:t>ли готовиться к выполнению заданий. На аэродроме уже находились двухмо</w:t>
      </w:r>
      <w:r w:rsidRPr="00640820">
        <w:rPr>
          <w:rFonts w:ascii="Times New Roman" w:hAnsi="Times New Roman"/>
          <w:color w:val="000000" w:themeColor="text1"/>
          <w:sz w:val="16"/>
          <w:szCs w:val="16"/>
        </w:rPr>
        <w:softHyphen/>
        <w:t>торные бомбардировщики СБ и Ил-4. Сюда же доставили безнадёжно уста</w:t>
      </w:r>
      <w:r w:rsidRPr="00640820">
        <w:rPr>
          <w:rFonts w:ascii="Times New Roman" w:hAnsi="Times New Roman"/>
          <w:color w:val="000000" w:themeColor="text1"/>
          <w:sz w:val="16"/>
          <w:szCs w:val="16"/>
        </w:rPr>
        <w:softHyphen/>
        <w:t>ревшие самолёты ТБ-3, самого первого серийного выпуска - тяжёлые, углова</w:t>
      </w:r>
      <w:r w:rsidRPr="00640820">
        <w:rPr>
          <w:rFonts w:ascii="Times New Roman" w:hAnsi="Times New Roman"/>
          <w:color w:val="000000" w:themeColor="text1"/>
          <w:sz w:val="16"/>
          <w:szCs w:val="16"/>
        </w:rPr>
        <w:softHyphen/>
        <w:t>тые. Ни дать ни взять летающие ми</w:t>
      </w:r>
      <w:r w:rsidRPr="00640820">
        <w:rPr>
          <w:rFonts w:ascii="Times New Roman" w:hAnsi="Times New Roman"/>
          <w:color w:val="000000" w:themeColor="text1"/>
          <w:sz w:val="16"/>
          <w:szCs w:val="16"/>
        </w:rPr>
        <w:softHyphen/>
        <w:t>шени.</w:t>
      </w:r>
    </w:p>
    <w:p w14:paraId="6A04DC9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Вскоре приехали.</w:t>
      </w:r>
    </w:p>
    <w:p w14:paraId="57903F0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неделю мы переоборудовали на ТБ-3 пилотские кабины. На бомбарди</w:t>
      </w:r>
      <w:r w:rsidRPr="00640820">
        <w:rPr>
          <w:rFonts w:ascii="Times New Roman" w:hAnsi="Times New Roman"/>
          <w:color w:val="000000" w:themeColor="text1"/>
          <w:sz w:val="16"/>
          <w:szCs w:val="16"/>
        </w:rPr>
        <w:softHyphen/>
        <w:t>ровщиках СБ и Ил-4 установили пере</w:t>
      </w:r>
      <w:r w:rsidRPr="00640820">
        <w:rPr>
          <w:rFonts w:ascii="Times New Roman" w:hAnsi="Times New Roman"/>
          <w:color w:val="000000" w:themeColor="text1"/>
          <w:sz w:val="16"/>
          <w:szCs w:val="16"/>
        </w:rPr>
        <w:softHyphen/>
        <w:t>датчики.</w:t>
      </w:r>
    </w:p>
    <w:p w14:paraId="53CE36F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Пилоты часто летали на трениров</w:t>
      </w:r>
      <w:r w:rsidRPr="00640820">
        <w:rPr>
          <w:rFonts w:ascii="Times New Roman" w:hAnsi="Times New Roman"/>
          <w:color w:val="000000" w:themeColor="text1"/>
          <w:sz w:val="16"/>
          <w:szCs w:val="16"/>
        </w:rPr>
        <w:softHyphen/>
        <w:t>ки, учились прыгать с парашютом. Штурманы отрабатывали методы пе</w:t>
      </w:r>
      <w:r w:rsidRPr="00640820">
        <w:rPr>
          <w:rFonts w:ascii="Times New Roman" w:hAnsi="Times New Roman"/>
          <w:color w:val="000000" w:themeColor="text1"/>
          <w:sz w:val="16"/>
          <w:szCs w:val="16"/>
        </w:rPr>
        <w:softHyphen/>
        <w:t>редачи радиокоманд на управление бес</w:t>
      </w:r>
      <w:r w:rsidRPr="00640820">
        <w:rPr>
          <w:rFonts w:ascii="Times New Roman" w:hAnsi="Times New Roman"/>
          <w:color w:val="000000" w:themeColor="text1"/>
          <w:sz w:val="16"/>
          <w:szCs w:val="16"/>
        </w:rPr>
        <w:softHyphen/>
        <w:t>пилотными самолётами.</w:t>
      </w:r>
    </w:p>
    <w:p w14:paraId="291FC2F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Вот и настал день, когда мы прове</w:t>
      </w:r>
      <w:r w:rsidRPr="00640820">
        <w:rPr>
          <w:rFonts w:ascii="Times New Roman" w:hAnsi="Times New Roman"/>
          <w:color w:val="000000" w:themeColor="text1"/>
          <w:sz w:val="16"/>
          <w:szCs w:val="16"/>
        </w:rPr>
        <w:softHyphen/>
        <w:t>ли первый тренировочный полёт. В нём было всё необычно: Ведущий, как у нас называют лидера, на этот раз за</w:t>
      </w:r>
      <w:r w:rsidRPr="00640820">
        <w:rPr>
          <w:rFonts w:ascii="Times New Roman" w:hAnsi="Times New Roman"/>
          <w:color w:val="000000" w:themeColor="text1"/>
          <w:sz w:val="16"/>
          <w:szCs w:val="16"/>
        </w:rPr>
        <w:softHyphen/>
        <w:t>нимал место в строю позади ведомого. В обязанности ведомого входило при</w:t>
      </w:r>
      <w:r w:rsidRPr="00640820">
        <w:rPr>
          <w:rFonts w:ascii="Times New Roman" w:hAnsi="Times New Roman"/>
          <w:color w:val="000000" w:themeColor="text1"/>
          <w:sz w:val="16"/>
          <w:szCs w:val="16"/>
        </w:rPr>
        <w:softHyphen/>
        <w:t>нимать по радио команды ведущего, а потом, оставив управление самолётом, сверять по приборам чёткость и на</w:t>
      </w:r>
      <w:r w:rsidRPr="00640820">
        <w:rPr>
          <w:rFonts w:ascii="Times New Roman" w:hAnsi="Times New Roman"/>
          <w:color w:val="000000" w:themeColor="text1"/>
          <w:sz w:val="16"/>
          <w:szCs w:val="16"/>
        </w:rPr>
        <w:softHyphen/>
        <w:t>дёжность радиооборудования.</w:t>
      </w:r>
    </w:p>
    <w:p w14:paraId="4287C67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Вылетали мы двумя группами. Впе</w:t>
      </w:r>
      <w:r w:rsidRPr="00640820">
        <w:rPr>
          <w:rFonts w:ascii="Times New Roman" w:hAnsi="Times New Roman"/>
          <w:color w:val="000000" w:themeColor="text1"/>
          <w:sz w:val="16"/>
          <w:szCs w:val="16"/>
        </w:rPr>
        <w:softHyphen/>
        <w:t>реди шли ТБ-3, а за ними, - на расстоя</w:t>
      </w:r>
      <w:r w:rsidRPr="00640820">
        <w:rPr>
          <w:rFonts w:ascii="Times New Roman" w:hAnsi="Times New Roman"/>
          <w:color w:val="000000" w:themeColor="text1"/>
          <w:sz w:val="16"/>
          <w:szCs w:val="16"/>
        </w:rPr>
        <w:softHyphen/>
        <w:t>нии 150 - 200 метров-лидирующие СБ. Управляемые по радио машины, безучас</w:t>
      </w:r>
      <w:r w:rsidRPr="00640820">
        <w:rPr>
          <w:rFonts w:ascii="Times New Roman" w:hAnsi="Times New Roman"/>
          <w:color w:val="000000" w:themeColor="text1"/>
          <w:sz w:val="16"/>
          <w:szCs w:val="16"/>
        </w:rPr>
        <w:softHyphen/>
        <w:t>тия лётчиков, выполняли различные эволюции: разворот, снижение, подъём. Всё шло гладко до появления облачнос</w:t>
      </w:r>
      <w:r w:rsidRPr="00640820">
        <w:rPr>
          <w:rFonts w:ascii="Times New Roman" w:hAnsi="Times New Roman"/>
          <w:color w:val="000000" w:themeColor="text1"/>
          <w:sz w:val="16"/>
          <w:szCs w:val="16"/>
        </w:rPr>
        <w:softHyphen/>
        <w:t>ти. А с потерей прямой видимости на</w:t>
      </w:r>
      <w:r w:rsidRPr="00640820">
        <w:rPr>
          <w:rFonts w:ascii="Times New Roman" w:hAnsi="Times New Roman"/>
          <w:color w:val="000000" w:themeColor="text1"/>
          <w:sz w:val="16"/>
          <w:szCs w:val="16"/>
        </w:rPr>
        <w:softHyphen/>
        <w:t>рушается строй ТБ-3, изменялись курс и высота полёта. Восстановить строй удалось только с помощью лётчиков, взявших на себя управление.</w:t>
      </w:r>
    </w:p>
    <w:p w14:paraId="6DD58E4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Тренировались ещё трое суток, пока не отработали взаимодействие. На четвёртые вышли на учебную бомбёжку. Спустя пятнадцать ми</w:t>
      </w:r>
      <w:r w:rsidRPr="00640820">
        <w:rPr>
          <w:rFonts w:ascii="Times New Roman" w:hAnsi="Times New Roman"/>
          <w:color w:val="000000" w:themeColor="text1"/>
          <w:sz w:val="16"/>
          <w:szCs w:val="16"/>
        </w:rPr>
        <w:softHyphen/>
        <w:t>нут два звена набрали высоту до 2000 метров. Вот видим, как с само</w:t>
      </w:r>
      <w:r w:rsidRPr="00640820">
        <w:rPr>
          <w:rFonts w:ascii="Times New Roman" w:hAnsi="Times New Roman"/>
          <w:color w:val="000000" w:themeColor="text1"/>
          <w:sz w:val="16"/>
          <w:szCs w:val="16"/>
        </w:rPr>
        <w:softHyphen/>
        <w:t>лётов ТБ-3, летевших впереди, от</w:t>
      </w:r>
      <w:r w:rsidRPr="00640820">
        <w:rPr>
          <w:rFonts w:ascii="Times New Roman" w:hAnsi="Times New Roman"/>
          <w:color w:val="000000" w:themeColor="text1"/>
          <w:sz w:val="16"/>
          <w:szCs w:val="16"/>
        </w:rPr>
        <w:softHyphen/>
        <w:t>делились чёрные точки, а спустя ми</w:t>
      </w:r>
      <w:r w:rsidRPr="00640820">
        <w:rPr>
          <w:rFonts w:ascii="Times New Roman" w:hAnsi="Times New Roman"/>
          <w:color w:val="000000" w:themeColor="text1"/>
          <w:sz w:val="16"/>
          <w:szCs w:val="16"/>
        </w:rPr>
        <w:softHyphen/>
        <w:t>нуту над ними вспыхнули белые па</w:t>
      </w:r>
      <w:r w:rsidRPr="00640820">
        <w:rPr>
          <w:rFonts w:ascii="Times New Roman" w:hAnsi="Times New Roman"/>
          <w:color w:val="000000" w:themeColor="text1"/>
          <w:sz w:val="16"/>
          <w:szCs w:val="16"/>
        </w:rPr>
        <w:softHyphen/>
        <w:t>рашюты. Ведущие передали в эфир команды на изменение курса. На пуль</w:t>
      </w:r>
      <w:r w:rsidRPr="00640820">
        <w:rPr>
          <w:rFonts w:ascii="Times New Roman" w:hAnsi="Times New Roman"/>
          <w:color w:val="000000" w:themeColor="text1"/>
          <w:sz w:val="16"/>
          <w:szCs w:val="16"/>
        </w:rPr>
        <w:softHyphen/>
        <w:t>те в кабине СБ загорелась зелёная лампочка - это значило, что сигнал принят.</w:t>
      </w:r>
    </w:p>
    <w:p w14:paraId="34C146B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Вскоре мы увидели, как неуклю</w:t>
      </w:r>
      <w:r w:rsidRPr="00640820">
        <w:rPr>
          <w:rFonts w:ascii="Times New Roman" w:hAnsi="Times New Roman"/>
          <w:color w:val="000000" w:themeColor="text1"/>
          <w:sz w:val="16"/>
          <w:szCs w:val="16"/>
        </w:rPr>
        <w:softHyphen/>
        <w:t>жие бомбардировщики ложатся на «боевой курс».</w:t>
      </w:r>
    </w:p>
    <w:p w14:paraId="75C1AD9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Минута,... Три,... Пять ...</w:t>
      </w:r>
    </w:p>
    <w:p w14:paraId="222E84E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 тихоходы медленно теряют вы</w:t>
      </w:r>
      <w:r w:rsidRPr="00640820">
        <w:rPr>
          <w:rFonts w:ascii="Times New Roman" w:hAnsi="Times New Roman"/>
          <w:color w:val="000000" w:themeColor="text1"/>
          <w:sz w:val="16"/>
          <w:szCs w:val="16"/>
        </w:rPr>
        <w:softHyphen/>
        <w:t>соту. Всё в порядке, системы работа</w:t>
      </w:r>
      <w:r w:rsidRPr="00640820">
        <w:rPr>
          <w:rFonts w:ascii="Times New Roman" w:hAnsi="Times New Roman"/>
          <w:color w:val="000000" w:themeColor="text1"/>
          <w:sz w:val="16"/>
          <w:szCs w:val="16"/>
        </w:rPr>
        <w:softHyphen/>
        <w:t>ют надёжно.</w:t>
      </w:r>
    </w:p>
    <w:p w14:paraId="6DAC769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в октябре, когда гитлеровцы ожес</w:t>
      </w:r>
      <w:r w:rsidRPr="00640820">
        <w:rPr>
          <w:rFonts w:ascii="Times New Roman" w:hAnsi="Times New Roman"/>
          <w:color w:val="000000" w:themeColor="text1"/>
          <w:sz w:val="16"/>
          <w:szCs w:val="16"/>
        </w:rPr>
        <w:softHyphen/>
        <w:t>точённо рвались к Москве, самолёты 75-3, начинённые тротилом, с помощью ра</w:t>
      </w:r>
      <w:r w:rsidRPr="00640820">
        <w:rPr>
          <w:rFonts w:ascii="Times New Roman" w:hAnsi="Times New Roman"/>
          <w:color w:val="000000" w:themeColor="text1"/>
          <w:sz w:val="16"/>
          <w:szCs w:val="16"/>
        </w:rPr>
        <w:softHyphen/>
        <w:t>дионаведения (их заранее покидали пи</w:t>
      </w:r>
      <w:r w:rsidRPr="00640820">
        <w:rPr>
          <w:rFonts w:ascii="Times New Roman" w:hAnsi="Times New Roman"/>
          <w:color w:val="000000" w:themeColor="text1"/>
          <w:sz w:val="16"/>
          <w:szCs w:val="16"/>
        </w:rPr>
        <w:softHyphen/>
        <w:t>лоты) обрушивались на вражескую переправу. Так удалось на какое-то время закупорить одну из артерий питавших наступление противника.</w:t>
      </w:r>
    </w:p>
    <w:p w14:paraId="0C4E6A4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Радиоуправляемые беспилотные самолёты сыграли свою роль - нанесли известный урон противнику в ту неза</w:t>
      </w:r>
      <w:r w:rsidRPr="00640820">
        <w:rPr>
          <w:rFonts w:ascii="Times New Roman" w:hAnsi="Times New Roman"/>
          <w:color w:val="000000" w:themeColor="text1"/>
          <w:sz w:val="16"/>
          <w:szCs w:val="16"/>
        </w:rPr>
        <w:softHyphen/>
        <w:t>бываемую осень» (10734).</w:t>
      </w:r>
    </w:p>
    <w:p w14:paraId="3750F81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4A8E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сентября 1941 4-й зиап, чей парк состоял из 7 Як-7 и 16 МиГ-3, успешно подготовил 162, 187, 274-й иап и другие части. По штату № 015/134 в середине - второй половине августа в 1-й ВШШ формировались 182 и 185-й иап для 59-й иад, а также 15 и 31-й иап. Полки, отправлявшиеся на фронт начиная с сентября, имели всего по две эскадрильи и по 20 МиГ-3 в каждом. В число "сентябрьских" входили 283, 148, 183, и 240-й иап, а в октябре в состав действующей армии убыли 519,428, 2, 265, 122 и 10-й иап (последние два переформировывались повторно).</w:t>
      </w:r>
    </w:p>
    <w:p w14:paraId="1F507A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Боеспособность полка определялась не только количеством самолетов и экипажей, но и уровнем подготовки пилотов, а также временем, выделенным на переучивание.</w:t>
      </w:r>
    </w:p>
    <w:p w14:paraId="6D78AA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примеру, 15-й иап майора В.Л. Бобрика, в состав которого входили 17 пилотов, уже "понюхавших пороху", был поспешно возвращен обратно на фронт всего через 10 суток после прибытия в Рязань. Командир полка имел орден Красного Знамени за финскую и налет более 800 часов. Гораздо хуже обстояли дела в 185-м иап капитана Н.С. Васина. Последний, как и комэски старший лейтенант А.А. Мурмылов и старший политрук Ф.К. Пустошкин, обладал приличным летным опытом (у всех троих от 800 до 1200 часов). Зато рядовые пилоты, главным образом сержанты, за всю свою "летную" жизнь налетали не более 100 часов каждый, в том числе на МиГах - не более 5-8 часов. Всех "переплюнул" старший сержант Б.М. Уралец, отправившийся на фронт с общим налетом 22 часа.</w:t>
      </w:r>
    </w:p>
    <w:p w14:paraId="4923E3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Дольше других переучивался в Рязани 183-й иап майора А. В. Хирного - почти два месяца. Вероятно, это объяснялось повышенной аварийностью - только в этом полку произошли две катастрофы при семи поломках. Учитывая снижение квалификации летчиков, проходивших переучивание, начальник школы генерал А.В. Беляков поставил вопрос об увеличении количества двухместных Яков и расширении программы. В августе проблема частично разрешилась: школа получила четыре Як-7, несколько буксировщиков конусов СБ, что позволило организовать стрельбы по воздушным целям. Организовали и наземный полигон для тренировок в бомбометании, увеличили время на тренировку слетанности в составе звена и эскадрильи. Эти мероприятия принесли свои плоды. Впрочем, из-за ограниченной "пропускной способности" истребительного отдела Рязанской ВШШ и недостаточного количества МиГов, поставлявшихся заводом № 1, ряд полков, уже прибывших в Рязань, пришлось перенаправить в другие центры переучивания. Так, 8, 12 и 13-й иап в августе 1941 г. отправили в Монино, где они получили истребители Як-1.</w:t>
      </w:r>
    </w:p>
    <w:p w14:paraId="00DD3B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 за период с июля по октябрь 1941 г. в Рязанской ВШШ истребители МиГ-3 совершили 19 122 полета и налетали 4830 часов. Школа переподготовила для строевых частей 332 летчика, никогда прежде не летавших на МиГах. В летных происшествиях погибли 5 пилотов, было разбито 12 самолетов. Технический состав школы вместе с ИТС полков восстановил 57 МиГ-3 после поломок.</w:t>
      </w:r>
    </w:p>
    <w:p w14:paraId="424C7F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ноября 1941 г. в связи с развернувшимся немецким наступлением на Москву и ухудшением погодных условий было принято решение о переброске истребительного отдела 1-й ВШШ на Северный Кавказ (станция Кюрдамюр), где последний вошел в состав 25-го зап. Сама же школа в середине ноября была перебазирована в город Карши Узбекской ССР (12045).</w:t>
      </w:r>
    </w:p>
    <w:p w14:paraId="0BB572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AFA2E93" w14:textId="77777777" w:rsidR="00EA1479" w:rsidRPr="00640820" w:rsidRDefault="00EA147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сентября 1941 в районе станции Макошино, на берегу реки Десна немецкими танками были отрезаны от основных сил два бронепоезда 6-го отдельного дивизиона бронепоездов. После этого за бронепоезда взялись пикирующие бомбардировщики. Маневрировать составы не могли, поэтому время жизни бронепоездов зависело только от точности немецких летчиков и артиллеристов. Через несколько часов на рельсах догорали развороченные бронепаровозы и бронеплощадки, еще недавно бывшие бронепоездами войск НКВД №46 и №50. В живых осталось всего четырнадцать человек из их команд (15218).</w:t>
      </w:r>
    </w:p>
    <w:p w14:paraId="7AD992D1" w14:textId="77777777" w:rsidR="00EA1479" w:rsidRPr="00640820" w:rsidRDefault="00EA1479" w:rsidP="00640820">
      <w:pPr>
        <w:spacing w:after="0" w:line="240" w:lineRule="auto"/>
        <w:jc w:val="both"/>
        <w:rPr>
          <w:rFonts w:ascii="Times New Roman" w:hAnsi="Times New Roman"/>
          <w:color w:val="000000" w:themeColor="text1"/>
          <w:sz w:val="16"/>
          <w:szCs w:val="16"/>
        </w:rPr>
      </w:pPr>
    </w:p>
    <w:p w14:paraId="07E25ED4" w14:textId="77777777" w:rsidR="00EA1479" w:rsidRPr="00640820" w:rsidRDefault="00EA147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началу сентября 1941 года было построено 20 бронепоездов, принявших участие в боях на Южном фронте. Здесь же были сосредоточены бронепоезда довоенной постройки, в том числе входившие в состав 5-й дивизии войск НКВД по охране железных дорог. Из Грузии под Ростов срочно переброшены два бронепоезда (№27 и 29) 7-го отдельного дивизиона, до войны входившего в состав Закавказского военного округа. В ожесточенных боях осени 41-го года многие из них были уничтожены наступавшими немецкими войсками. В середине октября, у Таганрога, танками и авиацией немцев были разбиты три бронепоезда 8-го отдельного дивизиона – №14, 45 и 59 (15218).</w:t>
      </w:r>
    </w:p>
    <w:p w14:paraId="125CAB15" w14:textId="77777777" w:rsidR="00EA1479" w:rsidRPr="00640820" w:rsidRDefault="00EA1479" w:rsidP="00640820">
      <w:pPr>
        <w:spacing w:after="0" w:line="240" w:lineRule="auto"/>
        <w:jc w:val="both"/>
        <w:rPr>
          <w:rFonts w:ascii="Times New Roman" w:hAnsi="Times New Roman"/>
          <w:color w:val="000000" w:themeColor="text1"/>
          <w:sz w:val="16"/>
          <w:szCs w:val="16"/>
        </w:rPr>
      </w:pPr>
    </w:p>
    <w:p w14:paraId="081C03B9"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35C78170"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1BD66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ночь на 7 сентября 1941 при повторном ударе по Харькову неприятелем применялись крупные фугаски. Желая облегчить задачу экипажам люфтваффе, немцы передали по сети ВНОС провокационное приказание прожекторным батареям осветить авиазавод, но замыслы врага удалось разгадать (5360).</w:t>
      </w:r>
    </w:p>
    <w:p w14:paraId="1A03BB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C3F1F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Утром 7 сентября 1941 Совинформбюро сообщило о боевых действиях 14 Су-2 227-го бап: "Одно из подразделений части полковника Турыкина под командованием капитана Дятлова налетело на вражеский аэродром в момент, когда на нем стояли в несколько рядов готовые к вылету "Юн- керсы-88" и "Мессершмитты-109". Не дав фашистским самолетам подняться, наши летчики уничтожили на аэродроме больше 30 вражеских машин. На обратном пути на подразделение советских бомбардировщиков напали четыре "мессершмитта". В бою наши стрелки-радисты сбили две вражеские машины..."</w:t>
      </w:r>
    </w:p>
    <w:p w14:paraId="3CB8FC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Налет действительно нанес существенный урон противнику. По его документам, накануне указанных событий, 28 августа авиагруппы </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 xml:space="preserve"> и </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1</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JG</w:t>
      </w:r>
      <w:r w:rsidRPr="00640820">
        <w:rPr>
          <w:rFonts w:ascii="Times New Roman" w:hAnsi="Times New Roman"/>
          <w:color w:val="000000" w:themeColor="text1"/>
          <w:sz w:val="16"/>
          <w:szCs w:val="16"/>
        </w:rPr>
        <w:t xml:space="preserve">3 получили приказ перебазироваться из Белой Церкви в Умань, чтобы обеспечить безопасность Гитлера и Муссолини, решивших на транспортных самолетах </w:t>
      </w:r>
      <w:r w:rsidRPr="00640820">
        <w:rPr>
          <w:rFonts w:ascii="Times New Roman" w:hAnsi="Times New Roman"/>
          <w:color w:val="000000" w:themeColor="text1"/>
          <w:sz w:val="16"/>
          <w:szCs w:val="16"/>
          <w:lang w:val="en-US"/>
        </w:rPr>
        <w:t>FW</w:t>
      </w:r>
      <w:r w:rsidRPr="00640820">
        <w:rPr>
          <w:rFonts w:ascii="Times New Roman" w:hAnsi="Times New Roman"/>
          <w:color w:val="000000" w:themeColor="text1"/>
          <w:sz w:val="16"/>
          <w:szCs w:val="16"/>
        </w:rPr>
        <w:t xml:space="preserve"> 200 посетить наступающие войска группы армий "Юг". Фюрер желал продемонстрировать своему итальянскому союзнику масштабы разгрома русских войск в "Уманском котле". Вместе с дуче они быстро покинули Восточный фронт, после чего вечером 29-го германские истребители вернулись в Белую Церковь, готовясь к вылетам в районе Киева. На следующее утро над летным полем неожиданно для германских наблюдателей появилась группа бомбардировщиков Су-2. Из отчета генерал-квартирмейстера люфтваффе следовало, что несколько авиабомб разрушили ремонтную базу, вместе с находившимися там машинами. Всего 10 </w:t>
      </w:r>
      <w:r w:rsidRPr="00640820">
        <w:rPr>
          <w:rFonts w:ascii="Times New Roman" w:hAnsi="Times New Roman"/>
          <w:color w:val="000000" w:themeColor="text1"/>
          <w:sz w:val="16"/>
          <w:szCs w:val="16"/>
          <w:lang w:val="en-US"/>
        </w:rPr>
        <w:t>Bf</w:t>
      </w:r>
      <w:r w:rsidRPr="00640820">
        <w:rPr>
          <w:rFonts w:ascii="Times New Roman" w:hAnsi="Times New Roman"/>
          <w:color w:val="000000" w:themeColor="text1"/>
          <w:sz w:val="16"/>
          <w:szCs w:val="16"/>
        </w:rPr>
        <w:t xml:space="preserve"> 109</w:t>
      </w:r>
      <w:r w:rsidRPr="00640820">
        <w:rPr>
          <w:rFonts w:ascii="Times New Roman" w:hAnsi="Times New Roman"/>
          <w:color w:val="000000" w:themeColor="text1"/>
          <w:sz w:val="16"/>
          <w:szCs w:val="16"/>
          <w:lang w:val="en-US"/>
        </w:rPr>
        <w:t>F</w:t>
      </w:r>
      <w:r w:rsidRPr="00640820">
        <w:rPr>
          <w:rFonts w:ascii="Times New Roman" w:hAnsi="Times New Roman"/>
          <w:color w:val="000000" w:themeColor="text1"/>
          <w:sz w:val="16"/>
          <w:szCs w:val="16"/>
        </w:rPr>
        <w:t xml:space="preserve"> были уничтожены на аэродроме и в ангарах. "Слабый состав наших истребителей еще более сократился", - с сожалением отмечали нацисты (12028).</w:t>
      </w:r>
    </w:p>
    <w:p w14:paraId="1FBB8A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8C98F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сентября 1941 в НИИ ВСС закончились гос. испытания головного Пе-3 на ЦА, которые начались 29 августа 1941 (235,2).</w:t>
      </w:r>
    </w:p>
    <w:p w14:paraId="679AB8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5944F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 ясно, о чем здесь шла речь</w:t>
      </w:r>
    </w:p>
    <w:p w14:paraId="15C252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сентября 1941 в НИИ ВВС закончилось испытание истребительного варианта Пе-2 22 завода - Пе-2И, которые шли с 27 августа 1941 и летал к Васякин. Выигрыш в макс. скорости был 32 км/час, а дальность получилась как у Пе-3. Ы отчете написано: "Выдержал гос. испытания и может быть рекомендован для серийного производства вместо Пе-3". Но так и не запустили, т.к. выпуск Пе-3 уже разворачивался (2475,8).</w:t>
      </w:r>
    </w:p>
    <w:p w14:paraId="5AE7D0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A2B81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сентября 1941 г. в НИИ ВВС закончились испытания головного серийного истребителя Пе-3, которые проходили с 29 августа 1941.</w:t>
      </w:r>
    </w:p>
    <w:p w14:paraId="421517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Заводские номера самолетов продолжали уже использованные на Пе-2: так, первый серийный истребитель имел № 391902. Полеты производились на Центральном аэродроме в Москве. Они выявили примерно такие же летные характеристики, как и у опытного самолета. Максимальная скорость серийной машины, полученная на испытаниях, составила 535 км/ч (4476).</w:t>
      </w:r>
    </w:p>
    <w:p w14:paraId="3E21FC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Серийное производство Пе-3 разворачивалось с большими трудностями. Комплекты чертежей на ряд узлов подготовить не успели, поэтому первые машины собирались по эскизам, а детали подгонялись по месту. Новые крупные сборочные единицы - бензобаки, носовая установка дополнительного пулемета БК и хвостовая установка ШКАСа не были в достаточной степени отработаны, что приводило к сбоям в серийном производстве.</w:t>
      </w:r>
    </w:p>
    <w:p w14:paraId="38E57B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процессе отстрела носовой установки выяснилось, что плексигласовый кок носка фюзеляжа не выдерживает давления дульных газов и разрушается. Его заменили сначала дюралевым, а позднее стальным. Заметим, что отличия, связанные с ликвидацией части остекления в передней нижней части фюзеляжа, являются важнейшими признаками, позволяющими опознать Пе-3 среди пикирующих бомбардировщиков Пе-2, ведь внешне самолеты были очень похожими.</w:t>
      </w:r>
    </w:p>
    <w:p w14:paraId="56AFE9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Наблюдались и некоторые другие дефекты. Гильзы и звенья крупнокалиберных пулеметов, выбрасываемые при ведении огня в воздушный поток, били по передней кромке крыла, нижней поверхности фюзеляжа, образуя царапины, вмятины и рваные отверстия в обшивке. В отдельных случаях гильзы залетали даже в тоннели водорадиа-торов. Эксперименты с изменением формы гильзо- и звеньеотводов практически ничего не давали. В итоге решили просто собирать гильзы и звенья в ящики боекомплекта.</w:t>
      </w:r>
    </w:p>
    <w:p w14:paraId="35A0FD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оценке ведущего инженера Макарова и летчика Степанчонка, серийный самолет Пе-3 нуждался в доработках, важнейшими из которых должны были стать:</w:t>
      </w:r>
    </w:p>
    <w:p w14:paraId="7C1F7C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_ увеличение огневой мощи наступательного вооружения за счет установки пушки ШВАК в дополнение к двум пулеметам БК;</w:t>
      </w:r>
    </w:p>
    <w:p w14:paraId="5F0493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усиление оборонительного вооружения путем замены турельного ШКАСа штурмана на крупнокалиберный пулемет БТ;</w:t>
      </w:r>
    </w:p>
    <w:p w14:paraId="4DABCC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введение бронирования экипажа спереди и увеличение размеров задней броне-</w:t>
      </w:r>
    </w:p>
    <w:p w14:paraId="52DFAF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плиты штурмана;</w:t>
      </w:r>
    </w:p>
    <w:p w14:paraId="6A4F35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замена радиостанции РСИ-4 на другую, с большим радиусом действия;</w:t>
      </w:r>
    </w:p>
    <w:p w14:paraId="7BCCC9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установка на часть машин фотоаппаратов для использования Пе-3 в качестве</w:t>
      </w:r>
    </w:p>
    <w:p w14:paraId="7A65D3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разведчика.</w:t>
      </w:r>
    </w:p>
    <w:p w14:paraId="2F793B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Однако все эти изменения невозможно было внедрить в серию немедленно, поэтому самолеты пошли в строевые части в том виде, в каком головной серийный Пе-3 проходил испытания. Всего в 1941 г. построили 196 Пе-3 (16 - в августе, 98 - в сентябре и 82 - в октябре). Кроме того. завод фактически изготовил еще один истребитель - тот самый первый опытный заводской № 391606, но во всех документах, относившихся к августу и сентябрю 1941 г., он проходил как “Пе-2 в варианте истребителя”. В ноябре завод эвакуировался в Иркутск, поэтому вплоть до апреля 1942 г. выпуск Пе-3 прекратился (4476).</w:t>
      </w:r>
    </w:p>
    <w:p w14:paraId="58E6B4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59448B5"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44B60006"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52BCFD5" w14:textId="77777777" w:rsidR="00445F03" w:rsidRPr="00640820" w:rsidRDefault="00445F03" w:rsidP="00640820">
      <w:pPr>
        <w:pStyle w:val="ae"/>
        <w:shd w:val="clear" w:color="auto" w:fill="FFFFFF"/>
        <w:spacing w:before="0" w:after="0"/>
        <w:jc w:val="both"/>
        <w:rPr>
          <w:color w:val="000000" w:themeColor="text1"/>
          <w:sz w:val="16"/>
          <w:szCs w:val="16"/>
        </w:rPr>
      </w:pPr>
      <w:r w:rsidRPr="00640820">
        <w:rPr>
          <w:color w:val="000000" w:themeColor="text1"/>
          <w:sz w:val="16"/>
          <w:szCs w:val="16"/>
        </w:rPr>
        <w:t>С 7 сентября 1941 были выпущены за ворота завода первые ХТЗ-16, которые в переписке ГАБТУ стали также называть Т-16. Машины имели номера, которые начинались с цифры 16 (16–001 и так далее). В виду того, что серийный номер привязывался к шасси, иные машины имели номера вроде 16–1672. Реальный же выпуск составил 142 бронетрактора. Уже 16 сентября было подписано постановление ГКО №681, согласно которому ХТЗ планировалось эвакуировать в Сталинград. Производство ХТЗ-16 продолжалось и после этой даты, но о двух тысячах бронетракторов теперь уже речи не шло.</w:t>
      </w:r>
    </w:p>
    <w:p w14:paraId="4CD0D633" w14:textId="77777777" w:rsidR="00445F03" w:rsidRPr="00640820" w:rsidRDefault="00445F03" w:rsidP="00640820">
      <w:pPr>
        <w:pStyle w:val="ae"/>
        <w:shd w:val="clear" w:color="auto" w:fill="FFFFFF"/>
        <w:spacing w:before="0" w:after="0"/>
        <w:jc w:val="both"/>
        <w:rPr>
          <w:color w:val="000000" w:themeColor="text1"/>
          <w:sz w:val="16"/>
          <w:szCs w:val="16"/>
        </w:rPr>
      </w:pPr>
      <w:r w:rsidRPr="00640820">
        <w:rPr>
          <w:color w:val="000000" w:themeColor="text1"/>
          <w:sz w:val="16"/>
          <w:szCs w:val="16"/>
        </w:rPr>
        <w:t>Стоит также прояснить вопрос о якобы имевшем место выпуске ХТЗ-16 в Сталинграде. Для начала, ХТЗ в Сталинград полностью эвакуироваться не смог. Часть тракторного производства оказалось в Рубцовске Алтайского края. Что же касается танкового производства, то оно оказалось не на СТЗ, а на другом сталинградском заводе, №264. В документах по движению вооружения фигурируют 45-мм пушки, а также переписка о том, куда же их девать. До бронетракторов же заводу №264 не было никакого дела. Помимо заказа на броневое производство по Т-34, это предприятие загрузили еще и выпуском Т-60.</w:t>
      </w:r>
    </w:p>
    <w:p w14:paraId="02B648BC" w14:textId="77777777" w:rsidR="00445F03" w:rsidRPr="00640820" w:rsidRDefault="00445F03" w:rsidP="00640820">
      <w:pPr>
        <w:pStyle w:val="ae"/>
        <w:shd w:val="clear" w:color="auto" w:fill="FFFFFF"/>
        <w:spacing w:before="0" w:after="0"/>
        <w:jc w:val="both"/>
        <w:rPr>
          <w:color w:val="000000" w:themeColor="text1"/>
          <w:sz w:val="16"/>
          <w:szCs w:val="16"/>
        </w:rPr>
      </w:pPr>
      <w:r w:rsidRPr="00640820">
        <w:rPr>
          <w:color w:val="000000" w:themeColor="text1"/>
          <w:sz w:val="16"/>
          <w:szCs w:val="16"/>
        </w:rPr>
        <w:t>Согласно имеющимся документам, ХТЗ-16, имевшие корпуса из неброневой стали, были направлены в учебные части. К слову, шли эти машины не только в Харьков: по одному бронетрактору было направлено в танковые училища Ульяновска, Армавира и Сталинграда. Первой частью, получившей боевые машины с корпусами из броневой стали, стала 12-я танковая бригада, туда попало четырнадцать ХТЗ-16. Восемь бронетракторов ушло в 14-ю танковую бригаду, один в 13-ю танковую бригаду, пять в 7-ю танковую бригаду. Больше всего ХТЗ-16 ушло в 133-ю танковую бригаду – 36 машин. По восемь машин получили 47-я танковая дивизия и 23-й запасной полк. К слову, сам факт отправки не означает, что машины точно дошли до получателя. Например, формально восемь ХТЗ-16 получала и 35-я танковая бригада, но реально они туда не пришли (17461).</w:t>
      </w:r>
    </w:p>
    <w:p w14:paraId="2610FE7C" w14:textId="77777777" w:rsidR="00445F03" w:rsidRPr="00640820" w:rsidRDefault="00445F03" w:rsidP="00640820">
      <w:pPr>
        <w:pStyle w:val="ae"/>
        <w:shd w:val="clear" w:color="auto" w:fill="FFFFFF"/>
        <w:spacing w:before="0" w:after="0"/>
        <w:jc w:val="both"/>
        <w:rPr>
          <w:color w:val="000000" w:themeColor="text1"/>
          <w:sz w:val="16"/>
          <w:szCs w:val="16"/>
        </w:rPr>
      </w:pPr>
    </w:p>
    <w:p w14:paraId="74FF98A3" w14:textId="77777777" w:rsidR="004A55CA" w:rsidRPr="00640820" w:rsidRDefault="004A55CA"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 7 сентября 1941 ХТЗ выпустил первые ХТЗ-16, которые в переписке ГАБТУ стали также называть Т-16. Машины имели номера, которые начинались с цифры 16 (16–001 и так далее). В виду того, что серийный номер привязывался к шасси, иные машины имели номера вроде 16–1672. Реальный же выпуск составил 142 бронетрактора. Уже 16 сентября было подписано постановление ГКО №681, согласно которому ХТЗ планировалось эвакуировать в Сталинград. Производство ХТЗ-16 продолжалось и после этой даты, но о двух тысячах бронетракторов теперь уже речи не шло.</w:t>
      </w:r>
    </w:p>
    <w:p w14:paraId="0C8FA1E6" w14:textId="77777777" w:rsidR="004A55CA" w:rsidRPr="00640820" w:rsidRDefault="004A55CA"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Стоит также прояснить вопрос о якобы имевшем место выпуске ХТЗ-16 в Сталинграде. Для начала, ХТЗ в Сталинград полностью эвакуироваться не смог. Часть тракторного производства оказалось в Рубцовске Алтайского края. Что же касается танкового производства, то оно оказалось не на СТЗ, а на другом сталинградском заводе, №264. В документах по движению вооружения фигурируют 45-мм пушки, а также переписка о том, куда же их девать. До бронетракторов же заводу №264 не было никакого дела. Помимо заказа на броневое производство по Т-34, это предприятие загрузили ещё и выпуском Т-60.</w:t>
      </w:r>
    </w:p>
    <w:p w14:paraId="7D42B19E" w14:textId="77777777" w:rsidR="004A55CA" w:rsidRPr="00640820" w:rsidRDefault="004A55CA"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Впрочем, в середине августа 1941 года инженеры завода №264 Красильщиков и Немчинский написали письмо Сталину и Наркому Судостроительной Промышленности И. И. Носенко. Они предлагали развернуть на территории завода производство бронетракторов, используя в качестве базы тягачи СТЗ-5. Ответ был отрицательным (17656).</w:t>
      </w:r>
    </w:p>
    <w:p w14:paraId="02A4FC07" w14:textId="77777777" w:rsidR="004A55CA" w:rsidRPr="00640820" w:rsidRDefault="004A55CA" w:rsidP="00640820">
      <w:pPr>
        <w:spacing w:after="0" w:line="240" w:lineRule="auto"/>
        <w:jc w:val="both"/>
        <w:rPr>
          <w:rFonts w:ascii="Times New Roman" w:eastAsia="Times New Roman" w:hAnsi="Times New Roman"/>
          <w:color w:val="000000" w:themeColor="text1"/>
          <w:sz w:val="16"/>
          <w:szCs w:val="16"/>
          <w:lang w:eastAsia="ru-RU"/>
        </w:rPr>
      </w:pPr>
    </w:p>
    <w:p w14:paraId="0E6555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сентября 1941 на ГАЗ для детального изучения был доставлен немецкий трофейный бронеавтомобиль Sd Kfz 221 (4350).</w:t>
      </w:r>
    </w:p>
    <w:p w14:paraId="60869D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7534F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сентября 1941 вышло Распоряжение ГКО № 638 О разрешении НКЧМ сократить поставки бензола Главнефтесбыту при СНК СССР в сентябре 1941 г. РГАНИР, Фонд ГКО, д. 8, лл. 180 (11012).</w:t>
      </w:r>
    </w:p>
    <w:p w14:paraId="4213F1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216AFF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сентября 1941 года вышел Приказ НКБ № 496с</w:t>
      </w:r>
    </w:p>
    <w:p w14:paraId="0B69984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исполнение Указа Президиума Верховного Совета от 1 сентября 1941 года:</w:t>
      </w:r>
    </w:p>
    <w:p w14:paraId="6D03DE2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Передать Саратовский асфальтобетонный завод Наркомата коммунального хозяйства в систему НКБ и присвоить ему номер 602 (5592, 204).</w:t>
      </w:r>
    </w:p>
    <w:p w14:paraId="486EF38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8289FE" w14:textId="77777777" w:rsidR="00445F03" w:rsidRPr="00640820" w:rsidRDefault="00445F0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7 сентября в 1941 году решением ЦК ВКП(б) и наркомата тяжелого машиностроения РСФСР от 8 июля 1941 г. на базе эвакуированных на Алтай предприятий был организован Барнаульский завод механических прессов (ныне ОАО) (14762).</w:t>
      </w:r>
    </w:p>
    <w:p w14:paraId="21F4B555" w14:textId="77777777" w:rsidR="00445F03" w:rsidRPr="00640820" w:rsidRDefault="00445F03" w:rsidP="00640820">
      <w:pPr>
        <w:spacing w:after="0" w:line="240" w:lineRule="auto"/>
        <w:jc w:val="both"/>
        <w:rPr>
          <w:rFonts w:ascii="Times New Roman" w:hAnsi="Times New Roman"/>
          <w:color w:val="000000" w:themeColor="text1"/>
          <w:sz w:val="16"/>
          <w:szCs w:val="16"/>
        </w:rPr>
      </w:pPr>
    </w:p>
    <w:p w14:paraId="43DD52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сентября 1941 года органы государственной безопасности информировали ГКО, ЦК ВКП (б) и НКПС о том, что в областях Украинской ССР, прилегающих к Южной железной дороге, вследствие недостатка порожних вагонов скопилось большое количество народнохозяйственных грузов, подлежащих вывозу в тыл, в том числе около 1 млн. тонн зерновых. Чтобы вывезти зерно, которое хранилось на пунктах и базах управления государственных резервов, требовалось около 51 тыс. вагонов: для Харьковской области — 11 тыс. вагонов, Полтавской — около 6 тыс. вагонов, для Днепропетровской и Запорожской областей — 29 тыс. вагонов, Сумской — 4,5 тыс. вагонов и Черниговской области — 500 вагонов. Кроме того, в названные области поступало зерно нового урожая, для вывоза которого необходимо было до 2 тыс. вагонов ежедневно.</w:t>
      </w:r>
    </w:p>
    <w:p w14:paraId="1CB1C8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предприятиях и базах Харькова также имелось большое количество продукции, подлежащей вывозу в тыл. В частности, на базе № 36 Харьковского территориального управления государственных резервов хранилось около 600 тонн свинца, свыше 500 тонн катодной меди, 9 000 тонн сахарного песка, 2 000 тонн бумаги, 301 тонна пищевых концентратов, 147 тонн цинка, 44 тонны олова и других товаров — всего более 12 тыс. тонн. На 1-м Государственном канатном заводе скопилось около 200 вагонов.</w:t>
      </w:r>
    </w:p>
    <w:p w14:paraId="6B684F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базе Харьковской конторы «Главторгцветмета» оставалось свыше 500 тонн цветных металлов. Большое количество оборонной продукции находилось на заводах № 308, «Хлоратор», «Механолит», «Свет шахтера» и на других предприятиях. По состоянию на 5 сентября 1941 года на Южной железной дороге было учтено 4 505 порожних вагона, однако крытых имелось только 1 462, остальные — цистерны, платформы, ледники. Этого количества вагонов явно не хватало даже для удовлетворения потребности военного командования, составлявшей около 6 тыс. в сутки. Таким образом, вывоз огромного количества материальных ценностей находился под угрозой срыва. Требовалось срочно усилить «питание» Южной железной дороги порожними вагонами (11550).</w:t>
      </w:r>
    </w:p>
    <w:p w14:paraId="1BD1C4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959103C"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48D0BEA3"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B2E6230" w14:textId="77777777" w:rsidR="002147C7" w:rsidRPr="00640820" w:rsidRDefault="002147C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сентября в 1941 году утреннее сообщение Совинформбюро:</w:t>
      </w:r>
    </w:p>
    <w:p w14:paraId="0D797F4B" w14:textId="77777777" w:rsidR="002147C7" w:rsidRPr="00640820" w:rsidRDefault="002147C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ночь на 7 сентября наши войска продолжали бои с противником на всём фронте.</w:t>
      </w:r>
    </w:p>
    <w:p w14:paraId="09150809" w14:textId="77777777" w:rsidR="002147C7" w:rsidRPr="00640820" w:rsidRDefault="002147C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Лётчики части полковника Турыкина, действующей на Юго-Западном направлении фронта, разгромили несколько немецких аэродромов. Одно из подразделений этой части под командованием капитана Дятлова налетело на вражеский аэродром в момент, когда на нём стояли в несколько рядов готовые к вылету вражеские самолёты «Юнкерс-88» и «Мессершмитт-109». Не дав фашистским самолётам подняться, наши лётчики уничтожили на аэродроме больше 30 вражеских машин. На обратном пути на подразделение советских бомбардировщиков напали четыре «Мессершмитта». В бою наши стрелки-радисты сбили две вражеские машины. В этот же день звено капитана Галушенко обнаружило большую немецкую мотоколонну, растянувшуюся по шоссе на 15 километров. Самолёты атаковали колонну с тыла и уничтожили несколько танков, 60 автомашин и свыше 600 немецких солдат и офицеров. Утром следующего дня звено лейтенанта Табачного разгромило батальон немецкой пехоты и около 20 автомашин.</w:t>
      </w:r>
    </w:p>
    <w:p w14:paraId="06E2060F" w14:textId="77777777" w:rsidR="002147C7" w:rsidRPr="00640820" w:rsidRDefault="002147C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Против взвода старшего сержанта Афонина немцы бросили семь танкеток. Командир взвода приказал приготовить связки гранат и бутылки с горючим. Когда танкетки приблизились, тов. Афонин первый бросил бутылку с горючим в одну из вражеских машин. Танкетка загорелась. Не потеряв ни одного бойца, взвод уничтожил бутылками с горючим и связками гранат все фашистские танкетки и перебил их экипажи.</w:t>
      </w:r>
    </w:p>
    <w:p w14:paraId="280F1730" w14:textId="77777777" w:rsidR="002147C7" w:rsidRPr="00640820" w:rsidRDefault="002147C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Бойцы Красной Армии самоотверженно оберегают жизнь своих командиров, политруков и комиссаров. Пример мужества и беззаветного исполнения воинского долга показал боец Яков Дмитриев, спасший жизнь двух командиров. Во время одной горячей схватки с белофиннами он заметил, что вражеский автоматчик целится в старшего лейтенанта Филиппова. Метким выстрелом тов. Дмитриев сразил белофинна. В другом бою тов. Дмитриев находился вместе с лейтенантом тов. Жабой впереди подразделения. С обеих сторон велась интенсивная перестрелка. Вдруг красноармеец увидел, что белофинский снайпер, укрывшийся за кустом, метит в лейтенанта. К этому времени у тов. Дмитриева иссякли все патроны. Тогда боец, не раздумывая ни одной секунды, заслонил командира своей грудью. Вражеская пуля оборвала жизнь пламенного советского патриота красноармейца Дмитриева. Смерть героя бойца была отомщена: на поле боя остались десятки трупов белофиннов.</w:t>
      </w:r>
    </w:p>
    <w:p w14:paraId="65F94694" w14:textId="77777777" w:rsidR="002147C7" w:rsidRPr="00640820" w:rsidRDefault="002147C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Немецкие войска, захватившие несколько западных районов Смоленской области, с первых же дней начали подвергаться непрерывным ударам партизанских отрядов. В одном из районов немцы пытались организовать мастерскую по ремонту подбитых танков и автомашин. Партизанский отряд под командованием комбайнера Ф. в ночь на 30 августа совершил смелый налёт на эту мастерскую. Перебив до 30 немцев, партизаны уничтожили 15 автомашин с запасными частями для танков и автомобилей. В тот же день партизаны перехватили фашистскую автоколонну и уничтожили 3 грузовика с автопокрышками и 6 цистерн с горючим.</w:t>
      </w:r>
    </w:p>
    <w:p w14:paraId="27159A2C" w14:textId="77777777" w:rsidR="002147C7" w:rsidRPr="00640820" w:rsidRDefault="002147C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Партизанский отряд под командованием милиционера тов. Ж. узнал, что вблизи Москальки фашисты сооружают аэродром. Партизаны напали на немецких сапёр, подготовлявших посадочную площадку. Оставив на поле боя более 20 трупов своих солдат, немцы бежали. Партизаны уничтожили 6 автомашин.</w:t>
      </w:r>
    </w:p>
    <w:p w14:paraId="02C84DE0" w14:textId="77777777" w:rsidR="002147C7" w:rsidRPr="00640820" w:rsidRDefault="002147C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территории захваченных немцами районов Украины фашисты продолжают бесчинствовать, убивать сотни и тысячи советских граждан, насиловать девушек и женщин, грабить население. В селе Селище, Каневского района, Киевской области, фашисты собрали группу женщин и девушек, увели в лес и там их зверски изнасиловали. В селе Гривени, Ржищевского района, немцы, издеваясь над 60-летним стариком-колхозником, заставили его бежать под обстрелом. Несчастному старику фашисты прострелили обе ноги. В оккупированных районах Кировоградской и Днепропетровской областей немецкое командование объявило, что всё колхозное имущество принадлежит немцам и что крестьяне, посягнувшие на него, будут расстреляны. В ответ на зверства фашистских мерзавцев каждый день новые и новые сотни крестьян вступают в партизанские отряды.</w:t>
      </w:r>
    </w:p>
    <w:p w14:paraId="59602D37" w14:textId="77777777" w:rsidR="002147C7" w:rsidRPr="00640820" w:rsidRDefault="002147C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Отряды греческих партизан активизируют свою деятельность. За последнее время всё чаще стали пропадать итальянские солдаты, участились поджоги складов с продовольствием и сырьём. 28 августа партизаны организовали большое крушение воинского эшелона. Под откос полетели 35 вагонов с итальянскими солдатами, направлявшимися к турецкой границе. В результате крушения убито и тяжело ранено свыше 120 солдат. Второе крушение произошло 29 августа. Партизаны пустили под откос большой состав с фруктами для Германии. Разбито 27 вагонов.</w:t>
      </w:r>
    </w:p>
    <w:p w14:paraId="59B38294" w14:textId="77777777" w:rsidR="002147C7" w:rsidRPr="00640820" w:rsidRDefault="002147C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острове Корфу греческие патриоты сожгли ряд предприятий по выработке оливкового масла, отправляемого в Италию. В одном из греческих портов возник пожар на итальянском транспорте, стоявшем под погрузкой различных грузов для Италии. В огне погибло большое количество масла и табака, реквизированных фашистами у греческого населения. Итальянские жандармы, сопровождавшие группу жителей, арестованных по подозрению в поджоге, подверглись нападению партизан. В результате стычки 7 жандармов убито. Арестованные примкнули к партизанам.</w:t>
      </w:r>
    </w:p>
    <w:p w14:paraId="56A55250" w14:textId="77777777" w:rsidR="002147C7" w:rsidRPr="00640820" w:rsidRDefault="002147C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Колхозное крестьянство приступило к уборке богатого урожая сахарной свёклы. Колхозы имени Ленина и имени Хрущёва, Лозовского района, Харьковской области, собирают по 500 центнеров свёклы с гектара. В Купянском районе тов. Чёрная, звеньевая сельскохозяйственной артели имени Рабоче-Крестьянской милиции, добилась урожая в 500-600 центнеров с гектара. Такой же урожай вырастило звено тов. Григорьевой из колхоза «16-летие РККА». Высокий урожай свёклы собирают колхозы Курской области. Звено тов. Ситник в колхозе имени 20-летия Октября получит не менее 700 центнеров с гектара. Свыше 25 колхозов Борисовского района, Курской области, уже приступили к свеклоуборке. Сельскохозяйственная артель имени Будённого, Грайворонского района, вывезла на завод первые десятки центнеров свёклы.</w:t>
      </w:r>
    </w:p>
    <w:p w14:paraId="1F53AC25" w14:textId="77777777" w:rsidR="002147C7" w:rsidRPr="00640820" w:rsidRDefault="002147C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Богатый урожай свёклы вырастили колхозники Киргизии. Звено депутата Верховного Совета СССР тов. Кайназаровой, колхозницы артели имени Калинина, Кагапо-вичского района, Фрунзенской области, собирает в этом году в среднем не менее 850 центнеров с гектара. В Калининском районе тысячу центнеров свёклы с гектара получило звено тов. Байгазиевой. Кантский район Киргизской ССР за один первый день уборки отправил на сахарный завод 1.585 центнеров свёклы нового урожая.» (14762).</w:t>
      </w:r>
    </w:p>
    <w:p w14:paraId="67FFBC30" w14:textId="77777777" w:rsidR="002147C7" w:rsidRPr="00640820" w:rsidRDefault="002147C7" w:rsidP="00640820">
      <w:pPr>
        <w:spacing w:after="0" w:line="240" w:lineRule="auto"/>
        <w:jc w:val="both"/>
        <w:rPr>
          <w:rFonts w:ascii="Times New Roman" w:hAnsi="Times New Roman"/>
          <w:color w:val="000000" w:themeColor="text1"/>
          <w:sz w:val="16"/>
          <w:szCs w:val="16"/>
        </w:rPr>
      </w:pPr>
    </w:p>
    <w:p w14:paraId="58E378D8" w14:textId="77777777" w:rsidR="002147C7" w:rsidRPr="00640820" w:rsidRDefault="002147C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сентября в 1941 году вечернее сообщение Совинформбюро:</w:t>
      </w:r>
    </w:p>
    <w:p w14:paraId="299FD687" w14:textId="77777777" w:rsidR="002147C7" w:rsidRPr="00640820" w:rsidRDefault="002147C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7 сентября наши войска продолжали вести упорные бои с противником на всём фронте.</w:t>
      </w:r>
    </w:p>
    <w:p w14:paraId="73F5CDA2" w14:textId="77777777" w:rsidR="002147C7" w:rsidRPr="00640820" w:rsidRDefault="002147C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Наша авиация наносила массированные удары по войскам противника и атаковала его авиацию на аэродромах. В течение 5 сентября в воздушных боях и на аэродромах противника уничтожено 23 немецких самолёта. Наши потери — 11 самолётов.</w:t>
      </w:r>
    </w:p>
    <w:p w14:paraId="37DEC2D4" w14:textId="77777777" w:rsidR="002147C7" w:rsidRPr="00640820" w:rsidRDefault="002147C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Баренцевом море захвачена немецкая подводная лодка «У-73».</w:t>
      </w:r>
    </w:p>
    <w:p w14:paraId="77E505F8" w14:textId="77777777" w:rsidR="002147C7" w:rsidRPr="00640820" w:rsidRDefault="002147C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ожесточённых боёв с противником на одном из участков Западного направления подразделение, которым командует т. Меттэ, далеко отбросило фашистские части. Подразделение заняло три населённых пункта и шесть высот. Групповым ружейным огнём бойцы подразделения сбили четыре вражеских самолёта. Уничтожено 50 пулемётных гнёзд, 7 бронемашин, 6 танков, 17 миномётов и 15 орудий, в числе которых 4 дальнобойных. Фашистские части потеряли не менее 1.500 солдат и офицеров убитыми и ранеными. Образец отваги и героизма проявили бойцы под командованием младшего лейтенанта Калмыкова. Пробравшись в тыл врага, они внезапным броском подошли к укреплениям и гранатами уничтожили засевших в них фашистов. Красноармеец Никулин меткой стрельбой из миномёта уничтожил два пулемётных гнезда и одну бронемашину.</w:t>
      </w:r>
    </w:p>
    <w:p w14:paraId="2822FBD3" w14:textId="77777777" w:rsidR="002147C7" w:rsidRPr="00640820" w:rsidRDefault="002147C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Артиллерийский взвод младшего лейтенанта Шкробаленко вёл интенсивный огонь из своих орудий с закрытых позиций. С правого фланга к огневой позиции взвода пыталась пробраться большая группа немецких солдат. Жерла пушек немедленно повернулись в сторону наступавшего врага. После нескольких выстрелов советских орудий немцы обратились в бегство, оставив на поле боя 27 убитых и раненых солдат, станковый пулемёт, десятки винтовок и автоматов.</w:t>
      </w:r>
    </w:p>
    <w:p w14:paraId="61238386" w14:textId="77777777" w:rsidR="002147C7" w:rsidRPr="00640820" w:rsidRDefault="002147C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Огромный урон наносит противнику меткий огонь советских снайперов. В одном из боёв снайпер Четрадзе уничтожил 15 фашистов. Не один десяток немцев погиб от руки снайпера Далиева за время военных действий. Только за три боевых дня тов. Далиев уничтожил 21 фашиста, в том числе двух офицеров. Снайпер Луцковский метким огнем своей винтовки в одном бою уложил 12 вражеских солдат. Большим уважением в подразделении старшего лейтенанта Анисимова пользуются красноармейцы-снайперы Енгалишев и Сабиров. За пять дней оба снайпера уничтожили 17 фашистских автоматчиков, наблюдателей и пулемётчиков. На одном из участков Западного фронта снайперы младший сержант Костриков и ефрейтор Петунин поразили за три дня сентября более тридцати фашистов. Меткий огонь наших бойцов заставил немцев оставить два ДЗОТа. С начала войны отличные стрелки части капитана Розанова сбили два самолёта и меткими выстрелами в смотровые щели танков уничтожили немало танкистов. Умело истребляет врага сержант снайпер Ляхунин. Проникнув в тыл противника, тов. Ляхунин за одну ночь уничтожил несколько немецких офицеров и солдат, две цистерны с горючим и трёх мотоциклистов.</w:t>
      </w:r>
    </w:p>
    <w:p w14:paraId="2A799C86" w14:textId="77777777" w:rsidR="002147C7" w:rsidRPr="00640820" w:rsidRDefault="002147C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Артиллерийское подразделение лейтенанта Тугарева разгромило вражескую мотоколонну. За полтора часа батареи подразделения уничтожили 4 немецких танка, 2 бронемашины, 25 автомашин, 2 артиллерийских орудия, много мотоциклов и 200 фашистских солдат.</w:t>
      </w:r>
    </w:p>
    <w:p w14:paraId="1676894A" w14:textId="77777777" w:rsidR="002147C7" w:rsidRPr="00640820" w:rsidRDefault="002147C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Звено самолётов-штурмовиков под командованием майора Шуста, атаковав вражескую мотоколонну, уничтожило несколько фашистских танков, около 30 шеститонных грузовых автомобилей и нанесло потери немецкой пехоте.</w:t>
      </w:r>
    </w:p>
    <w:p w14:paraId="5C7D8FBB" w14:textId="77777777" w:rsidR="002147C7" w:rsidRPr="00640820" w:rsidRDefault="002147C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Мрачные известия получают солдаты немецкой армии от своих родных. В письмах из германского тыла всё чаще раздаются жалобы на тяготы войны, всё чаще звучат нотки растерянности и отчаяния. Приводим краткие выдержки из писем, найденных у немецких солдат, сдавшихся в плен на Ленинградском фронте. Ефрейтору Вильгельму Гонту пишет жена: «До этого лета мы не чувствовали войны, но с тех пор, как началась война с русскими, нам стало очень скверно. С понедельника на вторник у нас опять была воздушная тревога. На следующую ночь снова была бомбардировка.</w:t>
      </w:r>
    </w:p>
    <w:p w14:paraId="57FFED72" w14:textId="77777777" w:rsidR="002147C7" w:rsidRPr="00640820" w:rsidRDefault="002147C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Это теперь повторяется очень часто. Пиши нам чаще, чтобы мы знали, что ты еще жив. Очень тяжело жить в постоянной тревоге. Все говорят, что на Востоке с нашей стороны ужасно много жертв». Жена солдата Альфреда Маничека из Люгау отвечает мужу: «Твоё письмо причинило мне большие страдания. Я понимаю, что тебе очень, очень тяжело. Оттуда, где ты находишься, поступают мрачные известия. Что будет со мной, если ты не вернёшься...». Невеста солдата Генриха Киенке жалуется в письме: «Война мне опостылела. Зачем убивают так много людей. В нашем доме четыре человека получили извещения, что их сыновья убиты. Что же будет, если ещё Америка вмешается?». По признанию жены солдата Вилли Кеслера из Кельна, лишь теперь в Германии начинают понимать, что такое война: «Мы ежедневно страдаем от воздушных налётов, которые за последнее время стали обычным явлением. В результате бессонных ночей я чувствую себя так плохо, как никогда. Сейчас у нас ежедневно воздушные тревоги. Наш Кельн очень сильно пострадал».</w:t>
      </w:r>
    </w:p>
    <w:p w14:paraId="10451991" w14:textId="77777777" w:rsidR="002147C7" w:rsidRPr="00640820" w:rsidRDefault="002147C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Тысячи лучших сынов эстонского народа ушли в партизанские отряды и самоотверженно борются против гитлеровских оккупантов. В районах, прилегающих к шоссейной дороге Лехтепя-Чёрная, успешно действует партизанский отряд под командованием тов. Р. За последние шесть дней отряд совершил 8 налётов на немецкие транспортные колонны, уничтожив при этом 12 автомашин с крупнокалиберными снарядами, 4 машины с зимней солдатской одеждой, 11 автоцистерн с бензином и 16 подвод с консервами.</w:t>
      </w:r>
    </w:p>
    <w:p w14:paraId="45F27969" w14:textId="77777777" w:rsidR="002147C7" w:rsidRPr="00640820" w:rsidRDefault="002147C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время этих налётов убито около 100 фашистов. Партизанский отряд сельского учителя тов. Т. 29 августа совершил налёт на Вара. 36 солдат из немецкого гарнизона были перебиты, остальные убежали. Партизаны захватили много оружия. Бойцы партизанского отряда под командованием эстонского писателя тов. В. за последние дни перебили 8 фашистских офицеров и 45 солдат. На днях отряд захватил 14 повозок с продовольствием и 4 пулемёта с запасом патронов.» (14762).</w:t>
      </w:r>
    </w:p>
    <w:p w14:paraId="022891A8" w14:textId="77777777" w:rsidR="002147C7" w:rsidRPr="00640820" w:rsidRDefault="002147C7" w:rsidP="00640820">
      <w:pPr>
        <w:spacing w:after="0" w:line="240" w:lineRule="auto"/>
        <w:jc w:val="both"/>
        <w:rPr>
          <w:rFonts w:ascii="Times New Roman" w:hAnsi="Times New Roman"/>
          <w:color w:val="000000" w:themeColor="text1"/>
          <w:sz w:val="16"/>
          <w:szCs w:val="16"/>
        </w:rPr>
      </w:pPr>
    </w:p>
    <w:p w14:paraId="69688B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сентября 1941 утром о боевых действиях группы Су-2 из 227-го бап сообщало Совинформбюро: “Одно из подразделений части полковника Турыкина под командованием капитана Дятлова налетело на вражеский аэродром в момент, когда на нем стояли в несколько рядов готовые к вылету Ju88 и Bfl 09. He дав фашистским самолетам подняться, наши летчики уничтожили на аэродроме больше 30 вражеских машин. На обратном пути на подразделение советских бомбардировщиков напали четыре “мессерш-митта”. В бою наши стрелки-радисты сбили две вражеские машины...”. Налет и предшествующие ему события подробно освещены в немецких документах. По их данным, 28 августа авиагруппы I и III/JG3 получили приказ перебазироваться из Белой Церкви в Умань, чтобы обеспечить безопасность Гитлера и Муссолини, решивших посетить наступающие победоносные войска группы армий “Юг”. Фюрер и дуче не задержались в Умани, быстро покинув Восточный фронт. Вечером 29 августа истребители двух авиагрупп вернулись в Белую Церковь, готовясь вести бои в районе Киева. Следующим утром над летным полем появились бомбардировщики Су-2. Из отчета генс-рал-квартирмейстсра люфтваффе следовало, что несколько авиабомб разрушили ремонтную базу вместе с находившимися там машинами. 10 Bfl09F были уничтожены на аэродроме. “Слабый состав наших истребителей еще более сократился”, - с сожалением отмечало немецкое командование.</w:t>
      </w:r>
    </w:p>
    <w:p w14:paraId="6AC489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Факт удачного для Су-2 воздушного боя немцы не признают, поскольку они несколько дней практически не имели исправных “мессершмиттов” на данном участке фронта. Хотя о количестве поврежденных в результате налета истребителей данных нет, известно, что в авиагруппе III/JG3 в течение трех суток лишь один Bf109 считался боегото-вым. 2 сентября авиагруппа оставила Белую Церковь и перелетела в Александрию, что юго-западнее Кременчуга, имея в составе 10 “мессершмиттов” (5360).</w:t>
      </w:r>
    </w:p>
    <w:p w14:paraId="10C8CB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23682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7 сентября 1941 к 11.20 на аэродроме Плетневе летал 503-й </w:t>
      </w:r>
      <w:r w:rsidRPr="00640820">
        <w:rPr>
          <w:rFonts w:ascii="Times New Roman" w:hAnsi="Times New Roman"/>
          <w:iCs/>
          <w:color w:val="000000" w:themeColor="text1"/>
          <w:sz w:val="16"/>
          <w:szCs w:val="16"/>
        </w:rPr>
        <w:t>шап</w:t>
      </w:r>
      <w:r w:rsidRPr="00640820">
        <w:rPr>
          <w:rFonts w:ascii="Times New Roman" w:hAnsi="Times New Roman"/>
          <w:color w:val="000000" w:themeColor="text1"/>
          <w:sz w:val="16"/>
          <w:szCs w:val="16"/>
        </w:rPr>
        <w:t xml:space="preserve"> (20 Ил-2).</w:t>
      </w:r>
    </w:p>
    <w:p w14:paraId="003BEF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65C56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сентября 1941 остатки авиагруппы Преображенского перелетели к месту постоянного базирования. Им с конца августа стали аэродромы Новинки и Богослово. находившиеся в глубоком тылу в Калининской области. В качестве передового использовался аэродром Углово на северной окраине Ленинграда. Именно с него в горячие дни генерального штурма “колыбели революции” пилоты ДБ-3 летали на бомбежку войск противника. В большинстве случаев “балтийским соколам” удавалось производить налеты внезапно и избегать встречи с истребителями противника. Когда это не удавалось, потери, как правило, оказывались весьма тяжелыми (9809).</w:t>
      </w:r>
    </w:p>
    <w:p w14:paraId="6F7CD3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2CB2E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период с 7 сентября по 29 октября 1941 г. 432-й полк наносил удары по коммуникациям и железнодорожным узлам Орша, Псков, Старая Русса, Новгород, Рославль, Смоленск, по войскам и технике противника на Калининском направлении, бомбил мосты через Волгу в районе Калинина. Боевые вылеты ТБ-7 случались не только ночью. Так, 25 октября 1941 г., когда немецкие танки вышли к Калуге, два ТБ-7, ведомые Водопьяновым, бомбардировали немцев в окрестностях города. Бомбовозы из этого ближнего рейда вернулись изрядно потрепанные огнем зенитной артиллерии. Решено было подобные эксперименты, по возможности, не проводить и использовать тяжелые бомбардировщики только для дальних целей, преимущественно ночью.</w:t>
      </w:r>
    </w:p>
    <w:p w14:paraId="67D1D2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Боевую деятельность своего экипажа осенью 1941 г. достаточно подробно описал штурман А.П.Штепенко. Свои записи он определил как "полетные листы", однако по причине свободного изложения событий они более походят на личный дневник. В представленных ниже выдержках из этих "полетных листов" первым указывается командир корабля, вторым - штурман, третьим - второй пилот. Двойная дата означает, что боевой вылет начался вечером одного дня, а возвращение - под утро следующего дня.</w:t>
      </w:r>
    </w:p>
    <w:p w14:paraId="777B54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"Налет на Берлин 10-11.08.41 г.</w:t>
      </w:r>
    </w:p>
    <w:p w14:paraId="517743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Водопьянов, Штепенко, Пусэп.</w:t>
      </w:r>
    </w:p>
    <w:p w14:paraId="675DA4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Над Берлином бомбы сброшены в 1.55 ночи на высоте 6800 метров. Посадка 5.25.</w:t>
      </w:r>
    </w:p>
    <w:p w14:paraId="0E6AB6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10.10.41 г, Рославль.</w:t>
      </w:r>
    </w:p>
    <w:p w14:paraId="2EEA0B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Водопьянов, Штепенко, сброс 4.40, Н=3000, 8 ФАБ-250, 8 ФАБ-100, 4 ФАБ-50, 2 САБ-25. Посадка Ковров.</w:t>
      </w:r>
    </w:p>
    <w:p w14:paraId="63C524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13.10.41 г, Смоленск.</w:t>
      </w:r>
    </w:p>
    <w:p w14:paraId="1D03C2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Водопьянов, Штепенко. Сброс 4.43, Н=7000, 2 РРАБ-500, 6 ФАБ-250.</w:t>
      </w:r>
    </w:p>
    <w:p w14:paraId="344334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14.10.41 г, Калинин.</w:t>
      </w:r>
    </w:p>
    <w:p w14:paraId="112F17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Пусэп, Штепенко. 2 РРАБ-500, 16 ФАБ- 100, 2 САБ-25.</w:t>
      </w:r>
    </w:p>
    <w:p w14:paraId="56A957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Калинин вышли за облаками, облачность 7 баллов, город горел. Цель бомбили по расчету времени через 3 мин после прохода Калинина.</w:t>
      </w:r>
    </w:p>
    <w:p w14:paraId="399BDE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...один РРАБ что-то зажег. Задание в основном выполнили по высоте и району, удовлетворения нет, так как не видно результатов.</w:t>
      </w:r>
    </w:p>
    <w:p w14:paraId="2BBB3B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24.10.41 г, Орел.</w:t>
      </w:r>
    </w:p>
    <w:p w14:paraId="48EEA8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Водопьянов, Штепенко. Сброс 18.15.</w:t>
      </w:r>
    </w:p>
    <w:p w14:paraId="06BAB2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Город горит со всех сторон. Сильная артиллерийская стрельба по городу и из города. Бомбы 2800 (8 ФАБ-250, 8 ФАБ-100) Н=6000.</w:t>
      </w:r>
    </w:p>
    <w:p w14:paraId="43707B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Полет от цели в абсолютной темноте, вся надежда только на "Чайку", без которой невозможно выйти на аэродром.</w:t>
      </w:r>
    </w:p>
    <w:p w14:paraId="4D3652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25.10.41 г. Налет на Калугу в дневное время. 14.44 на высоте 7300 м. 2 ФАБ-500, 24 ФАБ-100. Отмечен сильный зенитный огонь, самолет получил 17 пробоин, повреждены радиаторы, приемник, тяга рулей, трубка Пито и т.п.</w:t>
      </w:r>
    </w:p>
    <w:p w14:paraId="3817F2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Бомбы сброшены на вокзал, где возникли сильные пожары.</w:t>
      </w:r>
    </w:p>
    <w:p w14:paraId="09BC90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29.10.41 г, Орел.</w:t>
      </w:r>
    </w:p>
    <w:p w14:paraId="21F4C2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Экипаж: Водопьянов, Штепенко, Мо- салев. Бомбовая нагрузка 8 ФАБ-250, 16 ФАБ-100.</w:t>
      </w:r>
    </w:p>
    <w:p w14:paraId="45D1D2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Старт в 16.20. Через час с небольшим резко ухудшилась видимость, в 18.05 высота полета до 550 метров, далее до 400 метров.</w:t>
      </w:r>
    </w:p>
    <w:p w14:paraId="1D85CC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Вылет неудачный, пришлось вернуться на базу в Ковров.</w:t>
      </w:r>
    </w:p>
    <w:p w14:paraId="30F692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3-4.11.41 г. На Данциг.</w:t>
      </w:r>
    </w:p>
    <w:p w14:paraId="7E7200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Экипаж: Водопьянов, Штепенко, Мосалев. Бомбовая нагрузка 8 ФАБ-250, 2 САБ-25. Старт: 17.26, над целью 22.29- 22.39.</w:t>
      </w:r>
    </w:p>
    <w:p w14:paraId="768638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Ночной полет дальностью 3000 км за облаками. Прогноз плохой, вылетали с тяжелым чувством. За все время полета видел только маяк на мысу в Балтийском море за 100 км до цели, что и облегчило задачу бомбометания по расчету времени.</w:t>
      </w:r>
    </w:p>
    <w:p w14:paraId="164576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Использовал: прогнозный ветер, астрономию, земную пеленгацию и радионавигацию станций своих и Лахта, Минск, Варшава. Все расчеты оправдались. Бомбы бросал по одной через одну минуту, все разрывы видны, на облаках виден отсвет земного пожара. Сбросили листовки.</w:t>
      </w:r>
    </w:p>
    <w:p w14:paraId="01EDC9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обратном пути в районе Мемеля стреляли из всех пушек и пулеметов - по силе огня думаю, что ночью к нам никто не смеет подойти. В районе Калинина на облаках видели отражение орудийных выстрелов - проходили линию фронта. Беспрерывно подкручивал "Чайку", ловил моменты правильного положения стрелки. Сильные помехи на всех волнах. Получил погоду обоих аэродромов, давление и направление посадки. Комбриг волнуется, не был уверен - найду ли я аэродром.</w:t>
      </w:r>
    </w:p>
    <w:p w14:paraId="1A4DF1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Облака пробивали над мачтами радиостанции, две зеленых ракеты вниз под облака. Пробили облака, а под ними прожектор и красные лампы на мачтах.</w:t>
      </w:r>
    </w:p>
    <w:p w14:paraId="3B3826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Рамка заклинилась, все же направил ее на Ковров. Отсалютовал двумя ракетами - пришли домой - через 15 минут еше двумя </w:t>
      </w:r>
    </w:p>
    <w:p w14:paraId="74359E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Тяжелые бомбардировщи- ракетами и ночной полет через 9 часов 34 ки ТБ-7 на боевом курсе минуты был благополучно завершен.</w:t>
      </w:r>
    </w:p>
    <w:p w14:paraId="4808C3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6-7.11.41 г. На Данциг.</w:t>
      </w:r>
    </w:p>
    <w:p w14:paraId="1346B9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Экипаж: Пусэп, Штепенко, Мосалев. Бомбовая нагрузка 16 ФАБ-100, 8 ЗАБ-50. Старт: 17.30, выход на цель и сброс бомб 22.30.</w:t>
      </w:r>
    </w:p>
    <w:p w14:paraId="1B3FC4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обратном пути в районе Калинина в 2.10: пожар, прыжок, высота 2000 метров.</w:t>
      </w:r>
    </w:p>
    <w:p w14:paraId="786D89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 оставались на своих местах. Только командир оказался не на своем месте".</w:t>
      </w:r>
    </w:p>
    <w:p w14:paraId="1D39E6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Другие подробности при описании бомбардировки Данцига в ночь на 7 ноября 1941 г. приводит в своих воспоминаниях Эн- дель Пусэп. Мы приведем здесь его рассказ о заключительной фазе этого полета:</w:t>
      </w:r>
    </w:p>
    <w:p w14:paraId="51399E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"Продолжая по расчетам штурмана снижение на своей территории, я с нетерпением поглядывал на высотомер и поругивал синоптиков, обещавших к утру высоту облачности "метров на триста - шестьсот". До земли по приборам остается 700, затем 600, наконец, 500 метров. А землю все еще не видать... Вот внизу что-то блеснуло...</w:t>
      </w:r>
    </w:p>
    <w:p w14:paraId="2A8996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 тут на нас обрушиваются десятки огненных трасс. Справа, слева, спереди, сзади ... Зеленые, красные, желтые... По нам бьют всевозможные виды оружия: пулеметы, скорострельные орудия, автоматы.</w:t>
      </w:r>
    </w:p>
    <w:p w14:paraId="7B5097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Обратно, в облака! - кричит Штепенко, когда мы на полном газу уже снова набираем высоту. Ему лучше, чем летчикам, видно все, что делается кругом. Не дожидаясь команды, открыли огонь стрелки. Но нам это уже не помогает: горит правый крайний мотор ...</w:t>
      </w:r>
    </w:p>
    <w:p w14:paraId="5DD68F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Открыть пожарный кран! - даю команду.</w:t>
      </w:r>
    </w:p>
    <w:p w14:paraId="0B4168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 длинный хвост огня за мотором не убывает... Что делать? Линия фронта теперь уже позади. Эх! Надо же было нам выскочить из облаков точно над ней. Ошибка в одну минуту после многочасового полета вне видимости земли обошлась нам дорого.</w:t>
      </w:r>
    </w:p>
    <w:p w14:paraId="674C4A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Надо решать! Мотор горит по-прежнему, а там же рядом бензиновый бак. Прогорит пожарная перегородка, и тогда...</w:t>
      </w:r>
    </w:p>
    <w:p w14:paraId="74D54D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Медлить было нельзя. Все могли решить секунды.</w:t>
      </w:r>
    </w:p>
    <w:p w14:paraId="36037E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Всем покинуть корабль на парашютах, - громко повторил я трижды. И стало сразу легче, как всегда, когда трудное решение принято.</w:t>
      </w:r>
    </w:p>
    <w:p w14:paraId="3F228E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Убрал газ моторам и выключил зажигание. Отрегулировал автопилот на планирование и уголком глаза увидел, как в люк кабины штурмана исчез сначала Штепенко, а вслед за ним еше двое. Потянуло сквознячком. Стало быть и второй пилот открыл фонарь своей кабины. Обернувшись назад, успел заметить мелькнувшие уже в воздухе подошвы его меховых унтов.</w:t>
      </w:r>
    </w:p>
    <w:p w14:paraId="2BC75C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правой плоскости на меня дохнуло едким угаром дыма... Стало трудно дышать. Наступила пора и мне покинуть горящий самолет. Рывком открыл фонарь, встал на сиденье и резко оттолкнулся ногами.</w:t>
      </w:r>
    </w:p>
    <w:p w14:paraId="1A3A77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Опыт прыжков с парашютом я имел приличный. Я приобрел его еще в учебной эскадрилье авиашколы.</w:t>
      </w:r>
    </w:p>
    <w:p w14:paraId="5007DE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Высота, на которой мы выбросились с самолета, была, очевидно, порядочной, уж слишком долго продолжался спуск.</w:t>
      </w:r>
    </w:p>
    <w:p w14:paraId="58F606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Внизу стала видна земля. Вернее - вода. Широкой серой лентой тянулась подо мной река. И ветер нес меня как раз вдоль нее. Этого мне только и не хватало! Плавать как следует не научился я и по сей день, а тут меня подстерегала реальная возможность купания в меховом обмундировании! Прихватив рукой, часть строп купола, потянул один край к себе. Помогло! Парашют заскользил вбок и нес меня к левому берегу. Еще хоть немножечко... Ну, еще... еше... Слава богу, внизу зачернела свежевспаханная земля.</w:t>
      </w:r>
    </w:p>
    <w:p w14:paraId="71581E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 этим мои злоключения в ту праздничную ночь еще не кончились. Раньше, чем я сумел сообразить, что земля уже рядом, и подогнуть колени, я сильно ударился о мерзлую пашню и тут же вновь очутился в воздухе. Ночной прыжок оказался совершенно иным, чем дневные ...".</w:t>
      </w:r>
    </w:p>
    <w:p w14:paraId="5C97F8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Постепенно все члены экипажа собрались вместе и с помощью местных жителей добрались до ближайшего госпиталя. Окончание истории Эндель Карлович закончил так:</w:t>
      </w:r>
    </w:p>
    <w:p w14:paraId="4D2A45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когда мы были уже на своем аэродроме и отлеживались в санчасти, пришло сообщение, что восточнее Кашина на болотистой пойме приземлился большой четырехмоторный самолет... с красными звездами на крыльях и руле поворота, но без экипажа! Никто не смог объяснить, потух ли пожар сам по себе (когда прекратился зависимый от скорости движения приток воздуха), или потушили его люди, нашедшие этот "самолетающий" корабль...</w:t>
      </w:r>
    </w:p>
    <w:p w14:paraId="69C1D9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месту его приземления выехала бригада техников и мотористов во главе с борттехни- ком С.Н.Дмитриевым, залатала обгоревшее крыло, сменила мотор. Когда все было приведено в порядок, самолет подняли в воздух, и вскоре он снова занял свое место на опушке леса под маскировочными сетями".</w:t>
      </w:r>
    </w:p>
    <w:p w14:paraId="4CC0B5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История, которую описал летчик Э.К.Пусэп, впоследствии неоднократно пересказывалась, причем основным ее итогом значилось, что ТБ-7 №4226 впоследствии продолжал эксплуатироваться другими экипажами. Между тем, беспристрастные документы финал истории трактуют иначе.</w:t>
      </w:r>
    </w:p>
    <w:p w14:paraId="180C22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своем докладе за №033 от 9 ноября 1941 г. на имя командующего 81-й авиадивизией генерал-полковника Голованова командир полка полковник Лебедев докладывал:</w:t>
      </w:r>
    </w:p>
    <w:p w14:paraId="248E30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"...экипаж корабля ст. лейтенанта Пусэп найден весь и перевезен в г. Ковров. Ст. политрук Киселев получил незначительные ушибы ног. стрелок Сафронов невредим.</w:t>
      </w:r>
    </w:p>
    <w:p w14:paraId="7DE3E6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Корабль найден в 20 км. восточнее г. Кашина у села Фроловское. Под управлением автопилота корабль сел на пахоту. По заявлению ст. политрука Киселева, руководившего снятием вооружения, у корабля сгорел четвертый мотор, при посадке поврежден третий мотор, деформирована правая плоскость, сорваны радиаторы. Вооружение и основное оборудование с корабля сняты, и перевезены в Ковров. Для уточнения состояния матчасти на место посадки высылаю инженера полка по эксплуатации".</w:t>
      </w:r>
    </w:p>
    <w:p w14:paraId="2B11FC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Аварийный акт состояния самолета ТБ-7 №4226 свидетельствовал:</w:t>
      </w:r>
    </w:p>
    <w:p w14:paraId="6C0CFB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"Комиссия в составе председателя вое- нинженера </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 xml:space="preserve"> р(анга) т. Маркова и членов: во- енинженера 3 р(анга) Анурова и воентехника </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 xml:space="preserve"> р(анга) Гусарова 12-го ноября 1941 г. произвели осмотр самолета ТБ-7 №4226, разбитого при вынужденной посадке после выполнения боевого задания 7-го ноября с.г. в районе села Фроловское, Калязинского района, Калининской области.</w:t>
      </w:r>
    </w:p>
    <w:p w14:paraId="491DD4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Самолет ТБ-7 №4226 с моторами АМ-35А №291923, 291924, 291919 и 291922 получен с завода №124 31.9.41 г, имеет налет 53 ч. 20 м. Моторы наработали в воздухе 53 ч. 20 м. и на земле - 8 ч. 5 м.</w:t>
      </w:r>
    </w:p>
    <w:p w14:paraId="186B7F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Экипажи после получения боевого задания направляются к своим самолетам</w:t>
      </w:r>
    </w:p>
    <w:p w14:paraId="6F151D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возвращении с боевого задания 7.11.41 г. на 9-м часу полета при нормальных показаниях контрольных приборов загорелся правый крайний мотор. Борттехником самолета был перекрыт пожарный бензиновый кран и включен огнетушитель, но пожар продолжался. Ввиду проникновения пламени и дыма в кабину самолета, летчиком ст. лейтенантом Пусэп был включен автопилот и подана команда "оставить самолет". Самолет, продолжая полет с небольшим углом, сел на пахоту вблизи села Фроловское - после посадки пожар прекратился.</w:t>
      </w:r>
    </w:p>
    <w:p w14:paraId="181788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результате аварии самолет имеет следующие повреждения:</w:t>
      </w:r>
    </w:p>
    <w:p w14:paraId="59D44B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Сломаны шасси самолета.</w:t>
      </w:r>
    </w:p>
    <w:p w14:paraId="406859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Деформировано правое крыло, лопнули раскосы змейки переднего и заднего лонжеронов.</w:t>
      </w:r>
    </w:p>
    <w:p w14:paraId="7E39D2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Деформирована правая сторона центроплана, лопнул раскос змейки лонжерона и погнута моторная нервюра.</w:t>
      </w:r>
    </w:p>
    <w:p w14:paraId="0B3FFB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Повреждена нижняя часть Ф-1 и 7-ой шпангоут Ф-3.</w:t>
      </w:r>
    </w:p>
    <w:p w14:paraId="30B0CA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Погнуты лопасти винтов.</w:t>
      </w:r>
    </w:p>
    <w:p w14:paraId="095C3A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Разбиты капюшоны редукторов 2-го и 3-го моторов. На 4-м моторе разбит картер.</w:t>
      </w:r>
    </w:p>
    <w:p w14:paraId="32353B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Оторваны водорадиаторы и повреждены мотогондолы.</w:t>
      </w:r>
    </w:p>
    <w:p w14:paraId="3F2DA3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Смят бомбовый отсек центроплана.</w:t>
      </w:r>
    </w:p>
    <w:p w14:paraId="54E126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осмотре самолета комиссией выявлено, что причиной пожара явился обрыв шатуна 4-го мотора. Обломками картера пробиты масляный и бензиновый супер- флексы. Выливающийся бензин и масло поддерживали интенсивный огонь и дым, прорывавшийся через дверцы пожарной перегородки в крыло. После выключения подачи бензина и включения огнетушителя, пожар прекратился.</w:t>
      </w:r>
    </w:p>
    <w:p w14:paraId="5C960A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Выводы:</w:t>
      </w:r>
    </w:p>
    <w:p w14:paraId="030E4A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Самолет может быть отремонтирован и введен в строй. Для выполнения ремонта самолет разобрать и направить на завод №124 в г. Казань.</w:t>
      </w:r>
    </w:p>
    <w:p w14:paraId="565E65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Председатель комиссии военинженер </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 xml:space="preserve"> ранга /Марков/.</w:t>
      </w:r>
    </w:p>
    <w:p w14:paraId="7E7190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Члены: военинженер 3 ранга /Ануров/ воентехник 1 ранга /Гусаров/".</w:t>
      </w:r>
    </w:p>
    <w:p w14:paraId="65CBE4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Последующие документы авиадивизии показывают, что ремонт самолета №4226 произвести не удалось и летом 1942 г. данный экземпляр был списан. Об этом свидетельствует следующий доклад:</w:t>
      </w:r>
    </w:p>
    <w:p w14:paraId="5A0DDE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августа 1942 г.</w:t>
      </w:r>
    </w:p>
    <w:p w14:paraId="61259B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Докладываю по существу вопроса о списании с 45 ад аварийных самолетов: ТБ-7 №4224 (Кашино), 4226 (Иваново) и 42096 (район аэродрома завода №22).</w:t>
      </w:r>
    </w:p>
    <w:p w14:paraId="7AD5C2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Восстановление означенных самолетов заводом № 22 НКАП в данное время осуществлено быть не может, так как ряд основных деталей: крылья, Ф-3, центроплан, а также мелкие детали оборудования самолетов заводом использованы для выпуска серийных машин.</w:t>
      </w:r>
    </w:p>
    <w:p w14:paraId="7592FA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 например, на самолет ТБ-7 №42048 установлены крылья и центроплан самолета №42096, Ф-3 с самолета №4226 используется для ремонта самолета №42076. Прошу самолеты ТБ-7 №4224, 4226 и 42096 с 746 Ап 45 АД списать и выслать инспекторское свидетельство.</w:t>
      </w:r>
    </w:p>
    <w:p w14:paraId="22AC1F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Пом командира 45 аддд по иас инженер-майор Ануров" (12025). </w:t>
      </w:r>
    </w:p>
    <w:p w14:paraId="403C99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Технические и летные характеристики самолета ТБ-7 4 АМ-35, заводской №4224 по результатам испытаний в 1941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6B0687" w:rsidRPr="00640820" w14:paraId="2EB4B8D0" w14:textId="77777777" w:rsidTr="000D3BCB">
        <w:tc>
          <w:tcPr>
            <w:tcW w:w="5605" w:type="dxa"/>
            <w:tcBorders>
              <w:top w:val="single" w:sz="12" w:space="0" w:color="auto"/>
            </w:tcBorders>
          </w:tcPr>
          <w:p w14:paraId="6FE4B4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Экипаж</w:t>
            </w:r>
          </w:p>
        </w:tc>
        <w:tc>
          <w:tcPr>
            <w:tcW w:w="5605" w:type="dxa"/>
            <w:tcBorders>
              <w:top w:val="single" w:sz="12" w:space="0" w:color="auto"/>
            </w:tcBorders>
          </w:tcPr>
          <w:p w14:paraId="33DFE0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человек (2 пилота, 1 штурман, 2 бортмеханика, 1 радист,5 воздушных стрелков)</w:t>
            </w:r>
          </w:p>
        </w:tc>
      </w:tr>
      <w:tr w:rsidR="006B0687" w:rsidRPr="00640820" w14:paraId="1B14B713" w14:textId="77777777" w:rsidTr="000D3BCB">
        <w:tc>
          <w:tcPr>
            <w:tcW w:w="5605" w:type="dxa"/>
          </w:tcPr>
          <w:p w14:paraId="6622D8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Размах крыла (м)</w:t>
            </w:r>
          </w:p>
        </w:tc>
        <w:tc>
          <w:tcPr>
            <w:tcW w:w="5605" w:type="dxa"/>
          </w:tcPr>
          <w:p w14:paraId="61D3F2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39,130</w:t>
            </w:r>
          </w:p>
        </w:tc>
      </w:tr>
      <w:tr w:rsidR="006B0687" w:rsidRPr="00640820" w14:paraId="36790EA1" w14:textId="77777777" w:rsidTr="000D3BCB">
        <w:tc>
          <w:tcPr>
            <w:tcW w:w="5605" w:type="dxa"/>
          </w:tcPr>
          <w:p w14:paraId="04C009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Размах горизонтального оперения (м)</w:t>
            </w:r>
          </w:p>
        </w:tc>
        <w:tc>
          <w:tcPr>
            <w:tcW w:w="5605" w:type="dxa"/>
          </w:tcPr>
          <w:p w14:paraId="562723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12,0</w:t>
            </w:r>
          </w:p>
        </w:tc>
      </w:tr>
      <w:tr w:rsidR="006B0687" w:rsidRPr="00640820" w14:paraId="2645C5C0" w14:textId="77777777" w:rsidTr="000D3BCB">
        <w:tc>
          <w:tcPr>
            <w:tcW w:w="5605" w:type="dxa"/>
          </w:tcPr>
          <w:p w14:paraId="5D330C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Хорда крыла в месте разъема (м)</w:t>
            </w:r>
          </w:p>
        </w:tc>
        <w:tc>
          <w:tcPr>
            <w:tcW w:w="5605" w:type="dxa"/>
          </w:tcPr>
          <w:p w14:paraId="0A84DE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6,500</w:t>
            </w:r>
          </w:p>
        </w:tc>
      </w:tr>
      <w:tr w:rsidR="006B0687" w:rsidRPr="00640820" w14:paraId="58BDFFFB" w14:textId="77777777" w:rsidTr="000D3BCB">
        <w:tc>
          <w:tcPr>
            <w:tcW w:w="5605" w:type="dxa"/>
          </w:tcPr>
          <w:p w14:paraId="5DC014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Длина в линии полета (м)</w:t>
            </w:r>
          </w:p>
        </w:tc>
        <w:tc>
          <w:tcPr>
            <w:tcW w:w="5605" w:type="dxa"/>
          </w:tcPr>
          <w:p w14:paraId="2CD093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23,20</w:t>
            </w:r>
          </w:p>
        </w:tc>
      </w:tr>
      <w:tr w:rsidR="006B0687" w:rsidRPr="00640820" w14:paraId="31CE845A" w14:textId="77777777" w:rsidTr="000D3BCB">
        <w:tc>
          <w:tcPr>
            <w:tcW w:w="5605" w:type="dxa"/>
          </w:tcPr>
          <w:p w14:paraId="0C1219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Площадь крыла (м2)</w:t>
            </w:r>
          </w:p>
        </w:tc>
        <w:tc>
          <w:tcPr>
            <w:tcW w:w="5605" w:type="dxa"/>
          </w:tcPr>
          <w:p w14:paraId="2D690A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188,66</w:t>
            </w:r>
          </w:p>
        </w:tc>
      </w:tr>
      <w:tr w:rsidR="006B0687" w:rsidRPr="00640820" w14:paraId="1082A038" w14:textId="77777777" w:rsidTr="000D3BCB">
        <w:tc>
          <w:tcPr>
            <w:tcW w:w="5605" w:type="dxa"/>
          </w:tcPr>
          <w:p w14:paraId="5AB83C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Колея шасси (м)</w:t>
            </w:r>
          </w:p>
        </w:tc>
        <w:tc>
          <w:tcPr>
            <w:tcW w:w="5605" w:type="dxa"/>
          </w:tcPr>
          <w:p w14:paraId="68EE14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6,640</w:t>
            </w:r>
          </w:p>
        </w:tc>
      </w:tr>
      <w:tr w:rsidR="006B0687" w:rsidRPr="00640820" w14:paraId="66EDE9B0" w14:textId="77777777" w:rsidTr="000D3BCB">
        <w:tc>
          <w:tcPr>
            <w:tcW w:w="5605" w:type="dxa"/>
          </w:tcPr>
          <w:p w14:paraId="7E4931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Основные колеса (мм)</w:t>
            </w:r>
          </w:p>
        </w:tc>
        <w:tc>
          <w:tcPr>
            <w:tcW w:w="5605" w:type="dxa"/>
          </w:tcPr>
          <w:p w14:paraId="59066F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1600x500</w:t>
            </w:r>
          </w:p>
        </w:tc>
      </w:tr>
      <w:tr w:rsidR="006B0687" w:rsidRPr="00640820" w14:paraId="69CFFF33" w14:textId="77777777" w:rsidTr="000D3BCB">
        <w:tc>
          <w:tcPr>
            <w:tcW w:w="5605" w:type="dxa"/>
          </w:tcPr>
          <w:p w14:paraId="502AE2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Костыльное колесо (мм)</w:t>
            </w:r>
          </w:p>
        </w:tc>
        <w:tc>
          <w:tcPr>
            <w:tcW w:w="5605" w:type="dxa"/>
          </w:tcPr>
          <w:p w14:paraId="1832A4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700x300</w:t>
            </w:r>
          </w:p>
        </w:tc>
      </w:tr>
      <w:tr w:rsidR="006B0687" w:rsidRPr="00640820" w14:paraId="3CE21A07" w14:textId="77777777" w:rsidTr="000D3BCB">
        <w:tc>
          <w:tcPr>
            <w:tcW w:w="5605" w:type="dxa"/>
          </w:tcPr>
          <w:p w14:paraId="6B7E26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Основная лыжа (мм)</w:t>
            </w:r>
          </w:p>
        </w:tc>
        <w:tc>
          <w:tcPr>
            <w:tcW w:w="5605" w:type="dxa"/>
          </w:tcPr>
          <w:p w14:paraId="619C1B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6400x1700</w:t>
            </w:r>
          </w:p>
        </w:tc>
      </w:tr>
      <w:tr w:rsidR="006B0687" w:rsidRPr="00640820" w14:paraId="597C2C7A" w14:textId="77777777" w:rsidTr="000D3BCB">
        <w:tc>
          <w:tcPr>
            <w:tcW w:w="5605" w:type="dxa"/>
          </w:tcPr>
          <w:p w14:paraId="490D40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Костыльная лыжа (мм)</w:t>
            </w:r>
          </w:p>
        </w:tc>
        <w:tc>
          <w:tcPr>
            <w:tcW w:w="5605" w:type="dxa"/>
          </w:tcPr>
          <w:p w14:paraId="1C7542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1359x900</w:t>
            </w:r>
          </w:p>
        </w:tc>
      </w:tr>
      <w:tr w:rsidR="006B0687" w:rsidRPr="00640820" w14:paraId="1999E664" w14:textId="77777777" w:rsidTr="000D3BCB">
        <w:tc>
          <w:tcPr>
            <w:tcW w:w="5605" w:type="dxa"/>
          </w:tcPr>
          <w:p w14:paraId="0BC335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Бомбовая нагрузка нормальная (кг)</w:t>
            </w:r>
          </w:p>
        </w:tc>
        <w:tc>
          <w:tcPr>
            <w:tcW w:w="5605" w:type="dxa"/>
          </w:tcPr>
          <w:p w14:paraId="5ADE34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2000</w:t>
            </w:r>
          </w:p>
        </w:tc>
      </w:tr>
      <w:tr w:rsidR="006B0687" w:rsidRPr="00640820" w14:paraId="0F0B7C26" w14:textId="77777777" w:rsidTr="000D3BCB">
        <w:tc>
          <w:tcPr>
            <w:tcW w:w="5605" w:type="dxa"/>
          </w:tcPr>
          <w:p w14:paraId="402858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Бомбовая нагрузка максимальная (кг)</w:t>
            </w:r>
          </w:p>
        </w:tc>
        <w:tc>
          <w:tcPr>
            <w:tcW w:w="5605" w:type="dxa"/>
          </w:tcPr>
          <w:p w14:paraId="66E58A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4000</w:t>
            </w:r>
          </w:p>
        </w:tc>
      </w:tr>
      <w:tr w:rsidR="006B0687" w:rsidRPr="00640820" w14:paraId="3838CDF1" w14:textId="77777777" w:rsidTr="000D3BCB">
        <w:tc>
          <w:tcPr>
            <w:tcW w:w="5605" w:type="dxa"/>
          </w:tcPr>
          <w:p w14:paraId="46A679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Топливо</w:t>
            </w:r>
          </w:p>
        </w:tc>
        <w:tc>
          <w:tcPr>
            <w:tcW w:w="5605" w:type="dxa"/>
          </w:tcPr>
          <w:p w14:paraId="7B9C5A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12455 литров</w:t>
            </w:r>
          </w:p>
        </w:tc>
      </w:tr>
      <w:tr w:rsidR="006B0687" w:rsidRPr="00640820" w14:paraId="7363EA08" w14:textId="77777777" w:rsidTr="000D3BCB">
        <w:tc>
          <w:tcPr>
            <w:tcW w:w="5605" w:type="dxa"/>
          </w:tcPr>
          <w:p w14:paraId="764169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Масло</w:t>
            </w:r>
          </w:p>
        </w:tc>
        <w:tc>
          <w:tcPr>
            <w:tcW w:w="5605" w:type="dxa"/>
          </w:tcPr>
          <w:p w14:paraId="466D8A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880 кг (440 кг в центроплане, 440 кг в ОЧК)</w:t>
            </w:r>
          </w:p>
        </w:tc>
      </w:tr>
      <w:tr w:rsidR="006B0687" w:rsidRPr="00640820" w14:paraId="0EB7BAB7" w14:textId="77777777" w:rsidTr="000D3BCB">
        <w:tc>
          <w:tcPr>
            <w:tcW w:w="5605" w:type="dxa"/>
            <w:tcBorders>
              <w:bottom w:val="single" w:sz="12" w:space="0" w:color="auto"/>
            </w:tcBorders>
          </w:tcPr>
          <w:p w14:paraId="5B1639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Вода в системе охлаждения</w:t>
            </w:r>
          </w:p>
        </w:tc>
        <w:tc>
          <w:tcPr>
            <w:tcW w:w="5605" w:type="dxa"/>
            <w:tcBorders>
              <w:bottom w:val="single" w:sz="12" w:space="0" w:color="auto"/>
            </w:tcBorders>
          </w:tcPr>
          <w:p w14:paraId="7EB55C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462 кг</w:t>
            </w:r>
          </w:p>
        </w:tc>
      </w:tr>
    </w:tbl>
    <w:p w14:paraId="3982B5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(12025).</w:t>
      </w:r>
    </w:p>
    <w:p w14:paraId="66874E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6FECA98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сентября 1941 в Архангельск прибыли первые две английские авиаэскадрильи (4962).</w:t>
      </w:r>
    </w:p>
    <w:p w14:paraId="653167E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6CE9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сентября 1941 английский авианосец Аргус прошел 33 меридиан и в точке с координатами 69 гр. 30 мин. северной широты и 31 гр. 10 минут западной долготы выпустил 24 Харрикейна, которые сели на аэродроме Ваенга (1085,203).</w:t>
      </w:r>
    </w:p>
    <w:p w14:paraId="745637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другим данным - пришел в Мурманск 28 августа и 7 сентября 24 Харрикейна перелетели на аэродром Ваенга ВВС СФ. Транспортные суда доставили 15 разобранных в Архангельск, но потом они тоже перелетели в Ваенгу. 151 крыло - личный состав около 500 чел. Истребительная авиация СФ сразу выросла вдвое (1119,16).</w:t>
      </w:r>
    </w:p>
    <w:p w14:paraId="2AAD81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третьим данным 7 сентября 1941 в оперативное подчинение командующего СФ поступило 40 Харрикейнов авиагруппы 151 иакрыла Великобритании под управлением п Ишера (3398,321).</w:t>
      </w:r>
    </w:p>
    <w:p w14:paraId="5D4281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BFC5E40" w14:textId="77777777" w:rsidR="001767D8" w:rsidRPr="00640820" w:rsidRDefault="001767D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ночь на 7 сентября 1941 после ремонта вылетели все три автожира А-7, домой не вернулись летчик Николаев и летнаб Николаенко, один аппарат находился в воздухе 2,5 часа. На следующий день на аэродром вернулся летчик Никола</w:t>
      </w:r>
      <w:r w:rsidRPr="00640820">
        <w:rPr>
          <w:rFonts w:ascii="Times New Roman" w:hAnsi="Times New Roman"/>
          <w:color w:val="0070C0"/>
          <w:sz w:val="16"/>
          <w:szCs w:val="16"/>
        </w:rPr>
        <w:softHyphen/>
        <w:t>ев, который сообщил, что совершил вынужденную посад</w:t>
      </w:r>
      <w:r w:rsidRPr="00640820">
        <w:rPr>
          <w:rFonts w:ascii="Times New Roman" w:hAnsi="Times New Roman"/>
          <w:color w:val="0070C0"/>
          <w:sz w:val="16"/>
          <w:szCs w:val="16"/>
        </w:rPr>
        <w:softHyphen/>
        <w:t>ку в 80 км, в районе г. Юхнов.</w:t>
      </w:r>
    </w:p>
    <w:p w14:paraId="4BB8BF66" w14:textId="77777777" w:rsidR="001767D8" w:rsidRPr="00640820" w:rsidRDefault="001767D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течение следующих десяти дней вылетов по причине отсутствия истребительного прикрытия не было. Одно</w:t>
      </w:r>
      <w:r w:rsidRPr="00640820">
        <w:rPr>
          <w:rFonts w:ascii="Times New Roman" w:hAnsi="Times New Roman"/>
          <w:color w:val="0070C0"/>
          <w:sz w:val="16"/>
          <w:szCs w:val="16"/>
        </w:rPr>
        <w:softHyphen/>
        <w:t>временно, в этот период один автожир при выруливании попал в яму и повредил несущий ротор. Под руководством Миля замену лопастей произвели в полевых условиях, но последствия поломки оказались серьезнее — в одном из проверочных полетов стал слышен треск в редукторе, а по</w:t>
      </w:r>
      <w:r w:rsidRPr="00640820">
        <w:rPr>
          <w:rFonts w:ascii="Times New Roman" w:hAnsi="Times New Roman"/>
          <w:color w:val="0070C0"/>
          <w:sz w:val="16"/>
          <w:szCs w:val="16"/>
        </w:rPr>
        <w:softHyphen/>
        <w:t>сле полета в его корпусе обнаружилась трещина. На этой машине решили не летать (20361).</w:t>
      </w:r>
    </w:p>
    <w:p w14:paraId="09939987" w14:textId="77777777" w:rsidR="001767D8" w:rsidRPr="00640820" w:rsidRDefault="001767D8" w:rsidP="00640820">
      <w:pPr>
        <w:shd w:val="clear" w:color="auto" w:fill="FFFFFF"/>
        <w:spacing w:after="0" w:line="240" w:lineRule="auto"/>
        <w:jc w:val="both"/>
        <w:rPr>
          <w:rFonts w:ascii="Times New Roman" w:hAnsi="Times New Roman"/>
          <w:color w:val="0070C0"/>
          <w:sz w:val="16"/>
          <w:szCs w:val="16"/>
        </w:rPr>
      </w:pPr>
    </w:p>
    <w:p w14:paraId="5B71F4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сентября 1941 стала выходить газета "Сталинский Сокол" - центральный печатный орган ВВС, которая решением ЦК ВКП(б) от 21 августа 1941 была создана на основе "Авиационной газеты" ГВФ (1217,217).</w:t>
      </w:r>
    </w:p>
    <w:p w14:paraId="3DCBA3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85C3B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rPr>
        <w:t xml:space="preserve">C 7 сентября по 19 октября 1941 состоялась операция по обороне Моонзундских островов. </w:t>
      </w:r>
      <w:r w:rsidRPr="00640820">
        <w:rPr>
          <w:rFonts w:ascii="Times New Roman" w:hAnsi="Times New Roman"/>
          <w:color w:val="000000" w:themeColor="text1"/>
          <w:sz w:val="16"/>
          <w:szCs w:val="16"/>
          <w:lang w:val="en-US"/>
        </w:rPr>
        <w:t xml:space="preserve">19-22 </w:t>
      </w:r>
      <w:r w:rsidRPr="00640820">
        <w:rPr>
          <w:rFonts w:ascii="Times New Roman" w:hAnsi="Times New Roman"/>
          <w:color w:val="000000" w:themeColor="text1"/>
          <w:sz w:val="16"/>
          <w:szCs w:val="16"/>
        </w:rPr>
        <w:t>октябрягарнизонбылэвакуирован</w:t>
      </w:r>
      <w:r w:rsidRPr="00640820">
        <w:rPr>
          <w:rFonts w:ascii="Times New Roman" w:hAnsi="Times New Roman"/>
          <w:color w:val="000000" w:themeColor="text1"/>
          <w:sz w:val="16"/>
          <w:szCs w:val="16"/>
          <w:lang w:val="en-US"/>
        </w:rPr>
        <w:t xml:space="preserve"> (2438,418).</w:t>
      </w:r>
    </w:p>
    <w:p w14:paraId="1570C6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2280DD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September 7, 1941: The offensive by 20.Gebirgsarmee (Dietl) in northern Finland to capture the vital Lend-Lease port of Murmansk comes to a halt. Mobile units of 6.Armee (von Paulus) achieve a breakthrough at Konotop in the Ukraine (3819).</w:t>
      </w:r>
    </w:p>
    <w:p w14:paraId="44B723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40CE2C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сентября 1941 наступление 20 горной армии (Дитль) на Мурманск было остановлено. Мобильные части 6А (Паулюс) прорвались у Конотопа (3819).</w:t>
      </w:r>
    </w:p>
    <w:p w14:paraId="409D57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F301C0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сентября 1941 передовые части немецкой армии вошли в зону досягаемости корабельной артиллерии, и в этот день ар</w:t>
      </w:r>
      <w:r w:rsidRPr="00640820">
        <w:rPr>
          <w:rFonts w:ascii="Times New Roman" w:hAnsi="Times New Roman"/>
          <w:color w:val="000000" w:themeColor="text1"/>
          <w:sz w:val="16"/>
          <w:szCs w:val="16"/>
        </w:rPr>
        <w:softHyphen/>
        <w:t>тиллерия крейсера Петропавловск открыла огонь на дистанцию 32 км. Под</w:t>
      </w:r>
      <w:r w:rsidRPr="00640820">
        <w:rPr>
          <w:rFonts w:ascii="Times New Roman" w:hAnsi="Times New Roman"/>
          <w:color w:val="000000" w:themeColor="text1"/>
          <w:sz w:val="16"/>
          <w:szCs w:val="16"/>
        </w:rPr>
        <w:softHyphen/>
        <w:t>держка наземных войск продолжалась и в последующие три дня (10670,258).</w:t>
      </w:r>
    </w:p>
    <w:p w14:paraId="23B04F8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E7A1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сентября 1941 года четыре 203-мм орудия крейсера Петропавловск открыли огонь. В течение 10 дней по врагу было выпущено свыше 650 снарядов. 17 сентября 1941 огнём немецкой артиллерии «Петропавловск» был сильно повреждён и лёг на грунт, погрузившись в воду до броневой палубы. Это произошло неподалеку от переднего края противника. Тем не менее летом 1942 года моряки крейсера, флотские водолазы и специалисты Балтийского судостроительного завода под носом у немцев провели подготовительные работы по подъёму крейсера и в ночь на 17 сентября 1942 Петропавловск всплыл и его отвели на Балтийский завод. К началу Великой Отечественной войны готовность корабля достигала 70%. Тем не менее ленинградские судостроители смогли ввести его в строй без помощи немецких специалистов. Корабль использовался как плавучая батарея (11208).</w:t>
      </w:r>
    </w:p>
    <w:p w14:paraId="7A37BC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74636DD"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6BB38C15"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211ECA0" w14:textId="77777777" w:rsidR="00445F03" w:rsidRPr="00640820" w:rsidRDefault="00445F0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сентября в 1941 году состоялся 2-й Всесоюзный комсомольско-молодёжный воскресник (участвовало около 13 миллионов человек, в Фонд обороны перечислено свыше 59 миллионов рублей и заработок более чем за 7 миллионов трудодней) (14762).</w:t>
      </w:r>
    </w:p>
    <w:p w14:paraId="64AF9EA6" w14:textId="77777777" w:rsidR="00445F03" w:rsidRPr="00640820" w:rsidRDefault="00445F03" w:rsidP="00640820">
      <w:pPr>
        <w:spacing w:after="0" w:line="240" w:lineRule="auto"/>
        <w:jc w:val="both"/>
        <w:rPr>
          <w:rFonts w:ascii="Times New Roman" w:hAnsi="Times New Roman"/>
          <w:color w:val="000000" w:themeColor="text1"/>
          <w:sz w:val="16"/>
          <w:szCs w:val="16"/>
        </w:rPr>
      </w:pPr>
    </w:p>
    <w:p w14:paraId="40662F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сентября 1941 вышло постановление ЦК ВКП(б) о введении обязательного военно-физического обучения школьников в старших классах (512,113).</w:t>
      </w:r>
    </w:p>
    <w:p w14:paraId="2B2803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9166B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сентября 1941 указом ПВС Республика Немцев Поволжья была ликвидирована, а ее территория поделена между Саратовской и Сталинградской областями (7560).</w:t>
      </w:r>
    </w:p>
    <w:p w14:paraId="2C1A1C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0CADA57" w14:textId="77777777" w:rsidR="00445F03"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0126E5A5" w14:textId="77777777" w:rsidR="00445F03" w:rsidRPr="00640820" w:rsidRDefault="00445F03"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C449A99" w14:textId="77777777" w:rsidR="00445F03" w:rsidRPr="00640820" w:rsidRDefault="00445F0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сентября в 1941 году истребительная авиагруппа 151 авиакрыла ВВС Великобритании (40 «Харрикейнов», командир полковник Ишер) прибыла на СФ СССР. "Харрикейн" (конструктор С.Камм) впервые поднялся в воздух в ноябре 1935 года. На нем устанавливался 1030-сильный мотор водяного охлаждения с небольшим весом. Скорость - 515 км/ч, потолок - 10 км. Дальность полета составляла 740 км. Вооружен истребитель был восемью пулеметами. Самолеты делались из смешанных материалов - металла и древесины (14762).</w:t>
      </w:r>
    </w:p>
    <w:p w14:paraId="7EEBB2A2" w14:textId="77777777" w:rsidR="00445F03" w:rsidRPr="00640820" w:rsidRDefault="00445F03" w:rsidP="00640820">
      <w:pPr>
        <w:spacing w:after="0" w:line="240" w:lineRule="auto"/>
        <w:jc w:val="both"/>
        <w:rPr>
          <w:rFonts w:ascii="Times New Roman" w:hAnsi="Times New Roman"/>
          <w:color w:val="000000" w:themeColor="text1"/>
          <w:sz w:val="16"/>
          <w:szCs w:val="16"/>
        </w:rPr>
      </w:pPr>
    </w:p>
    <w:p w14:paraId="3330FAA5" w14:textId="77777777" w:rsidR="00445F03" w:rsidRPr="00640820" w:rsidRDefault="00445F03" w:rsidP="00640820">
      <w:pPr>
        <w:spacing w:after="0" w:line="240" w:lineRule="auto"/>
        <w:jc w:val="both"/>
        <w:rPr>
          <w:rStyle w:val="ucoz-forum-post"/>
          <w:rFonts w:ascii="Times New Roman" w:eastAsia="Times New Roman" w:hAnsi="Times New Roman"/>
          <w:color w:val="000000" w:themeColor="text1"/>
          <w:sz w:val="16"/>
          <w:szCs w:val="16"/>
        </w:rPr>
      </w:pPr>
      <w:r w:rsidRPr="00640820">
        <w:rPr>
          <w:rFonts w:ascii="Times New Roman" w:hAnsi="Times New Roman"/>
          <w:color w:val="000000" w:themeColor="text1"/>
          <w:sz w:val="16"/>
          <w:szCs w:val="16"/>
        </w:rPr>
        <w:lastRenderedPageBreak/>
        <w:t>7 сентября</w:t>
      </w:r>
      <w:r w:rsidRPr="00640820">
        <w:rPr>
          <w:rStyle w:val="ucoz-forum-post"/>
          <w:rFonts w:ascii="Times New Roman" w:eastAsia="Times New Roman" w:hAnsi="Times New Roman"/>
          <w:bCs/>
          <w:color w:val="000000" w:themeColor="text1"/>
          <w:sz w:val="16"/>
          <w:szCs w:val="16"/>
        </w:rPr>
        <w:t xml:space="preserve"> 1941 г.</w:t>
      </w:r>
      <w:r w:rsidRPr="00640820">
        <w:rPr>
          <w:rStyle w:val="ucoz-forum-post"/>
          <w:rFonts w:ascii="Times New Roman" w:eastAsia="Times New Roman" w:hAnsi="Times New Roman"/>
          <w:color w:val="000000" w:themeColor="text1"/>
          <w:sz w:val="16"/>
          <w:szCs w:val="16"/>
        </w:rPr>
        <w:t xml:space="preserve"> – в Архангельск прибыли первые две английские авиаэскадрильи (14762).</w:t>
      </w:r>
    </w:p>
    <w:p w14:paraId="790C6747" w14:textId="77777777" w:rsidR="00445F03" w:rsidRPr="00640820" w:rsidRDefault="00445F03" w:rsidP="00640820">
      <w:pPr>
        <w:spacing w:after="0" w:line="240" w:lineRule="auto"/>
        <w:jc w:val="both"/>
        <w:rPr>
          <w:rStyle w:val="ucoz-forum-post"/>
          <w:rFonts w:ascii="Times New Roman" w:eastAsia="Times New Roman" w:hAnsi="Times New Roman"/>
          <w:color w:val="000000" w:themeColor="text1"/>
          <w:sz w:val="16"/>
          <w:szCs w:val="16"/>
        </w:rPr>
      </w:pPr>
    </w:p>
    <w:p w14:paraId="334B78DD" w14:textId="77777777" w:rsidR="001767D8" w:rsidRPr="00640820" w:rsidRDefault="001767D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7 сентября 1941 - Истребительная авиагруппа 151-го авиакрыла Королевских ВВС Великобритании (40 Hawker Hurricane, командир полковник Ишервуд) прибыла на Северный флот СССР. Одновременно с бомбардировкой Петсамо и Киркенеса англичане приступили к операции по снятию советских и норвежских шахтеров со Шпицбергена и осуществлению операции "Стренге" ("Сила"). Демонстрацией этой силы стала переброска в Советский Союз 151-го авиакрыла для участия в совместных боевых действиях и обучения русских лётчиков управлению английскими "харрикейнами" с последующей их передачей советским ВВС.</w:t>
      </w:r>
    </w:p>
    <w:p w14:paraId="716876B9" w14:textId="77777777" w:rsidR="001767D8" w:rsidRPr="00640820" w:rsidRDefault="001767D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151-е крыло было сформировано в июле 1941 года специально для отправки в СССР и состояло из 134-й (майор А.Г. Миллер) и 81-й (майор А.Х. Рук) эскадрилий. В состав крыла входило более 30 лётчиков, до сотни человек офицеров управления, техников и лётных диспетчеров и около четырёхсот человек обслуживающего персонала: медиков, поваров, шоферов, переводчиков. Всего около 550 человек. Крылом командовал всеми любимый новозеландец подполковник X. Ишервуд (22372).</w:t>
      </w:r>
    </w:p>
    <w:p w14:paraId="4F9F7923" w14:textId="77777777" w:rsidR="001767D8" w:rsidRPr="00640820" w:rsidRDefault="001767D8" w:rsidP="00640820">
      <w:pPr>
        <w:shd w:val="clear" w:color="auto" w:fill="FFFFFF"/>
        <w:spacing w:after="0" w:line="240" w:lineRule="auto"/>
        <w:jc w:val="both"/>
        <w:rPr>
          <w:rFonts w:ascii="Times New Roman" w:hAnsi="Times New Roman"/>
          <w:color w:val="0070C0"/>
          <w:sz w:val="16"/>
          <w:szCs w:val="16"/>
        </w:rPr>
      </w:pPr>
    </w:p>
    <w:p w14:paraId="3EDAD942" w14:textId="77777777" w:rsidR="001767D8" w:rsidRPr="00640820" w:rsidRDefault="001767D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7 сентября 1941 - Премьер-министр Великобритании У.Черчилль подписал Постановление, предписывающее увеличить выпуск бомбардировщиков к концу 1942 года на 3500 штук сверх ранее заказанного количества. Такого уровня можно было достичь лишь путём сосредоточения производства на уже находившихся на вооружении типах в ущерб новым, находящимся в разработке и потенциально более совершенным. Больше всего это постановление задело две машины фирмы "Виккерс-Армстронг" - "Веллингтон" и "Уорвик" (22372).</w:t>
      </w:r>
    </w:p>
    <w:p w14:paraId="6CCD8E2B" w14:textId="77777777" w:rsidR="001767D8" w:rsidRPr="00640820" w:rsidRDefault="001767D8" w:rsidP="00640820">
      <w:pPr>
        <w:shd w:val="clear" w:color="auto" w:fill="FFFFFF"/>
        <w:spacing w:after="0" w:line="240" w:lineRule="auto"/>
        <w:jc w:val="both"/>
        <w:rPr>
          <w:rFonts w:ascii="Times New Roman" w:hAnsi="Times New Roman"/>
          <w:color w:val="0070C0"/>
          <w:sz w:val="16"/>
          <w:szCs w:val="16"/>
        </w:rPr>
      </w:pPr>
    </w:p>
    <w:p w14:paraId="6BE2F8BD" w14:textId="77777777" w:rsidR="00445F03"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lang w:val="en-US"/>
        </w:rPr>
      </w:pPr>
      <w:r w:rsidRPr="00640820">
        <w:rPr>
          <w:rFonts w:ascii="Times New Roman" w:hAnsi="Times New Roman"/>
          <w:i/>
          <w:iCs/>
          <w:color w:val="000000" w:themeColor="text1"/>
          <w:sz w:val="16"/>
          <w:szCs w:val="16"/>
        </w:rPr>
        <w:t>За</w:t>
      </w:r>
      <w:r w:rsidRPr="00640820">
        <w:rPr>
          <w:rFonts w:ascii="Times New Roman" w:hAnsi="Times New Roman"/>
          <w:i/>
          <w:iCs/>
          <w:color w:val="000000" w:themeColor="text1"/>
          <w:sz w:val="16"/>
          <w:szCs w:val="16"/>
          <w:lang w:val="en-US"/>
        </w:rPr>
        <w:t xml:space="preserve"> </w:t>
      </w:r>
      <w:r w:rsidRPr="00640820">
        <w:rPr>
          <w:rFonts w:ascii="Times New Roman" w:hAnsi="Times New Roman"/>
          <w:i/>
          <w:iCs/>
          <w:color w:val="000000" w:themeColor="text1"/>
          <w:sz w:val="16"/>
          <w:szCs w:val="16"/>
        </w:rPr>
        <w:t>рубежом</w:t>
      </w:r>
      <w:r w:rsidRPr="00640820">
        <w:rPr>
          <w:rFonts w:ascii="Times New Roman" w:hAnsi="Times New Roman"/>
          <w:i/>
          <w:iCs/>
          <w:color w:val="000000" w:themeColor="text1"/>
          <w:sz w:val="16"/>
          <w:szCs w:val="16"/>
          <w:lang w:val="en-US"/>
        </w:rPr>
        <w:t>:</w:t>
      </w:r>
    </w:p>
    <w:p w14:paraId="7D6D64DD" w14:textId="77777777" w:rsidR="00445F03" w:rsidRPr="00640820" w:rsidRDefault="00445F03" w:rsidP="00640820">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68C37C60" w14:textId="77777777" w:rsidR="00445F03" w:rsidRPr="00640820" w:rsidRDefault="00445F03"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 September 1941 RAF set out on biggest raid to Berlin (270).</w:t>
      </w:r>
    </w:p>
    <w:p w14:paraId="2E876616" w14:textId="77777777" w:rsidR="00445F03" w:rsidRPr="00640820" w:rsidRDefault="00445F03"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1B643376" w14:textId="77777777" w:rsidR="00445F03" w:rsidRPr="00640820" w:rsidRDefault="00445F03"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сентября 1941 RAF выполнили большой налет на Берлин (270).</w:t>
      </w:r>
    </w:p>
    <w:p w14:paraId="6E16E4B2" w14:textId="77777777" w:rsidR="00445F03" w:rsidRPr="00640820" w:rsidRDefault="00445F03" w:rsidP="00640820">
      <w:pPr>
        <w:autoSpaceDE w:val="0"/>
        <w:autoSpaceDN w:val="0"/>
        <w:adjustRightInd w:val="0"/>
        <w:spacing w:after="0" w:line="240" w:lineRule="auto"/>
        <w:jc w:val="both"/>
        <w:rPr>
          <w:rFonts w:ascii="Times New Roman" w:hAnsi="Times New Roman"/>
          <w:color w:val="000000" w:themeColor="text1"/>
          <w:sz w:val="16"/>
          <w:szCs w:val="16"/>
        </w:rPr>
      </w:pPr>
    </w:p>
    <w:p w14:paraId="7F506EA8"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4BB215BF"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20DF1CF" w14:textId="77777777" w:rsidR="007935BB" w:rsidRPr="00640820" w:rsidRDefault="007935BB" w:rsidP="00640820">
      <w:pPr>
        <w:pStyle w:val="96"/>
        <w:shd w:val="clear" w:color="auto" w:fill="auto"/>
        <w:spacing w:before="0" w:line="240" w:lineRule="auto"/>
        <w:rPr>
          <w:rFonts w:ascii="Times New Roman" w:hAnsi="Times New Roman" w:cs="Times New Roman"/>
          <w:color w:val="0070C0"/>
          <w:w w:val="100"/>
          <w:sz w:val="16"/>
          <w:szCs w:val="16"/>
        </w:rPr>
      </w:pPr>
      <w:r w:rsidRPr="00640820">
        <w:rPr>
          <w:rStyle w:val="16"/>
          <w:rFonts w:ascii="Times New Roman" w:hAnsi="Times New Roman" w:cs="Times New Roman"/>
          <w:color w:val="0070C0"/>
          <w:spacing w:val="0"/>
          <w:w w:val="100"/>
          <w:u w:val="none"/>
        </w:rPr>
        <w:t xml:space="preserve">8 сентября </w:t>
      </w:r>
      <w:r w:rsidRPr="00640820">
        <w:rPr>
          <w:rStyle w:val="16"/>
          <w:rFonts w:ascii="Times New Roman" w:hAnsi="Times New Roman" w:cs="Times New Roman"/>
          <w:color w:val="0070C0"/>
          <w:spacing w:val="0"/>
          <w:w w:val="100"/>
          <w:u w:val="none"/>
          <w:lang w:val="ru-RU"/>
        </w:rPr>
        <w:t xml:space="preserve">1941 </w:t>
      </w:r>
      <w:r w:rsidRPr="00640820">
        <w:rPr>
          <w:rStyle w:val="16"/>
          <w:rFonts w:ascii="Times New Roman" w:hAnsi="Times New Roman" w:cs="Times New Roman"/>
          <w:color w:val="0070C0"/>
          <w:spacing w:val="0"/>
          <w:w w:val="100"/>
          <w:u w:val="none"/>
        </w:rPr>
        <w:t xml:space="preserve">серийный Ил-2 </w:t>
      </w:r>
      <w:r w:rsidRPr="00640820">
        <w:rPr>
          <w:rStyle w:val="16"/>
          <w:rFonts w:ascii="Times New Roman" w:hAnsi="Times New Roman" w:cs="Times New Roman"/>
          <w:color w:val="0070C0"/>
          <w:spacing w:val="0"/>
          <w:w w:val="100"/>
          <w:u w:val="none"/>
          <w:lang w:val="ru-RU"/>
        </w:rPr>
        <w:t xml:space="preserve">завода № 18 </w:t>
      </w:r>
      <w:r w:rsidRPr="00640820">
        <w:rPr>
          <w:rStyle w:val="16"/>
          <w:rFonts w:ascii="Times New Roman" w:hAnsi="Times New Roman" w:cs="Times New Roman"/>
          <w:color w:val="0070C0"/>
          <w:spacing w:val="0"/>
          <w:w w:val="100"/>
          <w:u w:val="none"/>
        </w:rPr>
        <w:t>(зав. №1864714)</w:t>
      </w:r>
      <w:r w:rsidRPr="00640820">
        <w:rPr>
          <w:rStyle w:val="16"/>
          <w:rFonts w:ascii="Times New Roman" w:hAnsi="Times New Roman" w:cs="Times New Roman"/>
          <w:color w:val="0070C0"/>
          <w:spacing w:val="0"/>
          <w:w w:val="100"/>
          <w:u w:val="none"/>
          <w:lang w:val="ru-RU"/>
        </w:rPr>
        <w:t>, который к</w:t>
      </w:r>
      <w:r w:rsidRPr="00640820">
        <w:rPr>
          <w:rStyle w:val="16"/>
          <w:rFonts w:ascii="Times New Roman" w:hAnsi="Times New Roman" w:cs="Times New Roman"/>
          <w:color w:val="0070C0"/>
          <w:spacing w:val="0"/>
          <w:w w:val="100"/>
          <w:u w:val="none"/>
        </w:rPr>
        <w:t xml:space="preserve"> 14 августа </w:t>
      </w:r>
      <w:r w:rsidRPr="00640820">
        <w:rPr>
          <w:rStyle w:val="16"/>
          <w:rFonts w:ascii="Times New Roman" w:hAnsi="Times New Roman" w:cs="Times New Roman"/>
          <w:color w:val="0070C0"/>
          <w:spacing w:val="0"/>
          <w:w w:val="100"/>
          <w:u w:val="none"/>
          <w:lang w:val="ru-RU"/>
        </w:rPr>
        <w:t xml:space="preserve">1941 </w:t>
      </w:r>
      <w:r w:rsidRPr="00640820">
        <w:rPr>
          <w:rStyle w:val="16"/>
          <w:rFonts w:ascii="Times New Roman" w:hAnsi="Times New Roman" w:cs="Times New Roman"/>
          <w:color w:val="0070C0"/>
          <w:spacing w:val="0"/>
          <w:w w:val="100"/>
          <w:u w:val="none"/>
        </w:rPr>
        <w:t>перегнали из Воронежа на завод №39</w:t>
      </w:r>
      <w:r w:rsidRPr="00640820">
        <w:rPr>
          <w:rStyle w:val="16"/>
          <w:rFonts w:ascii="Times New Roman" w:hAnsi="Times New Roman" w:cs="Times New Roman"/>
          <w:color w:val="0070C0"/>
          <w:spacing w:val="0"/>
          <w:w w:val="100"/>
          <w:u w:val="none"/>
          <w:lang w:val="ru-RU"/>
        </w:rPr>
        <w:t xml:space="preserve">, </w:t>
      </w:r>
      <w:r w:rsidRPr="00640820">
        <w:rPr>
          <w:rStyle w:val="16"/>
          <w:rFonts w:ascii="Times New Roman" w:hAnsi="Times New Roman" w:cs="Times New Roman"/>
          <w:color w:val="0070C0"/>
          <w:spacing w:val="0"/>
          <w:w w:val="100"/>
          <w:u w:val="none"/>
        </w:rPr>
        <w:t>но с мотором М-82, был поднят в воздух летчи</w:t>
      </w:r>
      <w:r w:rsidRPr="00640820">
        <w:rPr>
          <w:rStyle w:val="16"/>
          <w:rFonts w:ascii="Times New Roman" w:hAnsi="Times New Roman" w:cs="Times New Roman"/>
          <w:color w:val="0070C0"/>
          <w:spacing w:val="0"/>
          <w:w w:val="100"/>
          <w:u w:val="none"/>
        </w:rPr>
        <w:softHyphen/>
        <w:t>ком-испытателем комбригом В.К. Коккинаки с аэродрома ЛИИ НКАП в Раменском.</w:t>
      </w:r>
    </w:p>
    <w:p w14:paraId="6C0250FD" w14:textId="77777777" w:rsidR="007935BB" w:rsidRPr="00640820" w:rsidRDefault="007935BB" w:rsidP="00640820">
      <w:pPr>
        <w:pStyle w:val="96"/>
        <w:shd w:val="clear" w:color="auto" w:fill="auto"/>
        <w:spacing w:before="0" w:line="240" w:lineRule="auto"/>
        <w:rPr>
          <w:rFonts w:ascii="Times New Roman" w:hAnsi="Times New Roman" w:cs="Times New Roman"/>
          <w:color w:val="0070C0"/>
          <w:w w:val="100"/>
          <w:sz w:val="16"/>
          <w:szCs w:val="16"/>
        </w:rPr>
      </w:pPr>
      <w:r w:rsidRPr="00640820">
        <w:rPr>
          <w:rStyle w:val="16"/>
          <w:rFonts w:ascii="Times New Roman" w:hAnsi="Times New Roman" w:cs="Times New Roman"/>
          <w:color w:val="0070C0"/>
          <w:spacing w:val="0"/>
          <w:w w:val="100"/>
          <w:u w:val="none"/>
        </w:rPr>
        <w:t>Вооружение Ил-2 М-82 включало две пушки ШВАК (420 патронов), два пулемета ШКАС (1500 патронов), пулемет УБТ для стрельбы назад (280 патронов), восемь РО-82 и 400 кг бомб (в перегрузку - 600 кг).</w:t>
      </w:r>
    </w:p>
    <w:p w14:paraId="2FE9DBFF" w14:textId="77777777" w:rsidR="007935BB" w:rsidRPr="00640820" w:rsidRDefault="007935BB" w:rsidP="00640820">
      <w:pPr>
        <w:pStyle w:val="96"/>
        <w:shd w:val="clear" w:color="auto" w:fill="auto"/>
        <w:spacing w:before="0" w:line="240" w:lineRule="auto"/>
        <w:rPr>
          <w:rFonts w:ascii="Times New Roman" w:hAnsi="Times New Roman" w:cs="Times New Roman"/>
          <w:color w:val="0070C0"/>
          <w:w w:val="100"/>
          <w:sz w:val="16"/>
          <w:szCs w:val="16"/>
        </w:rPr>
      </w:pPr>
      <w:r w:rsidRPr="00640820">
        <w:rPr>
          <w:rStyle w:val="16"/>
          <w:rFonts w:ascii="Times New Roman" w:hAnsi="Times New Roman" w:cs="Times New Roman"/>
          <w:color w:val="0070C0"/>
          <w:spacing w:val="0"/>
          <w:w w:val="100"/>
          <w:u w:val="none"/>
        </w:rPr>
        <w:t>В ходе переделки Ил-2 под мотор М-82 бронекорпус до переднего лонжерона цент</w:t>
      </w:r>
      <w:r w:rsidRPr="00640820">
        <w:rPr>
          <w:rStyle w:val="16"/>
          <w:rFonts w:ascii="Times New Roman" w:hAnsi="Times New Roman" w:cs="Times New Roman"/>
          <w:color w:val="0070C0"/>
          <w:spacing w:val="0"/>
          <w:w w:val="100"/>
          <w:u w:val="none"/>
        </w:rPr>
        <w:softHyphen/>
        <w:t>роплана срезали и установили двойную бронеперегородку, воспринимавшую нагрузки от моторамы. Мотор и агрегаты мотора не брони</w:t>
      </w:r>
      <w:r w:rsidRPr="00640820">
        <w:rPr>
          <w:rStyle w:val="16"/>
          <w:rFonts w:ascii="Times New Roman" w:hAnsi="Times New Roman" w:cs="Times New Roman"/>
          <w:color w:val="0070C0"/>
          <w:spacing w:val="0"/>
          <w:w w:val="100"/>
          <w:u w:val="none"/>
        </w:rPr>
        <w:softHyphen/>
        <w:t>ровались. Вместо заднего бензобака оборудо</w:t>
      </w:r>
      <w:r w:rsidRPr="00640820">
        <w:rPr>
          <w:rStyle w:val="16"/>
          <w:rFonts w:ascii="Times New Roman" w:hAnsi="Times New Roman" w:cs="Times New Roman"/>
          <w:color w:val="0070C0"/>
          <w:spacing w:val="0"/>
          <w:w w:val="100"/>
          <w:u w:val="none"/>
        </w:rPr>
        <w:softHyphen/>
        <w:t>вали кабину стрелка со шкворневой установ</w:t>
      </w:r>
      <w:r w:rsidRPr="00640820">
        <w:rPr>
          <w:rStyle w:val="16"/>
          <w:rFonts w:ascii="Times New Roman" w:hAnsi="Times New Roman" w:cs="Times New Roman"/>
          <w:color w:val="0070C0"/>
          <w:spacing w:val="0"/>
          <w:w w:val="100"/>
          <w:u w:val="none"/>
        </w:rPr>
        <w:softHyphen/>
        <w:t>кой под 12,7-мм пулемет УБТ. Патронный ящик крепился к броне под пулеметом. Установка обеспечивала довольно ограниченные углы обстрела: вверх - 36°, влево и вправо - по 15°, вниз по борту - 5°. Со снятым оптическим при</w:t>
      </w:r>
      <w:r w:rsidRPr="00640820">
        <w:rPr>
          <w:rStyle w:val="16"/>
          <w:rFonts w:ascii="Times New Roman" w:hAnsi="Times New Roman" w:cs="Times New Roman"/>
          <w:color w:val="0070C0"/>
          <w:spacing w:val="0"/>
          <w:w w:val="100"/>
          <w:u w:val="none"/>
        </w:rPr>
        <w:softHyphen/>
        <w:t>целом ОМП-3 углы обстрела в стороны увели</w:t>
      </w:r>
      <w:r w:rsidRPr="00640820">
        <w:rPr>
          <w:rStyle w:val="16"/>
          <w:rFonts w:ascii="Times New Roman" w:hAnsi="Times New Roman" w:cs="Times New Roman"/>
          <w:color w:val="0070C0"/>
          <w:spacing w:val="0"/>
          <w:w w:val="100"/>
          <w:u w:val="none"/>
        </w:rPr>
        <w:softHyphen/>
        <w:t>чивались до 24°.</w:t>
      </w:r>
    </w:p>
    <w:p w14:paraId="39A98733" w14:textId="77777777" w:rsidR="007935BB" w:rsidRPr="00640820" w:rsidRDefault="007935BB" w:rsidP="00640820">
      <w:pPr>
        <w:pStyle w:val="96"/>
        <w:shd w:val="clear" w:color="auto" w:fill="auto"/>
        <w:spacing w:before="0" w:line="240" w:lineRule="auto"/>
        <w:rPr>
          <w:rFonts w:ascii="Times New Roman" w:hAnsi="Times New Roman" w:cs="Times New Roman"/>
          <w:color w:val="0070C0"/>
          <w:w w:val="100"/>
          <w:sz w:val="16"/>
          <w:szCs w:val="16"/>
        </w:rPr>
      </w:pPr>
      <w:r w:rsidRPr="00640820">
        <w:rPr>
          <w:rStyle w:val="16"/>
          <w:rFonts w:ascii="Times New Roman" w:hAnsi="Times New Roman" w:cs="Times New Roman"/>
          <w:color w:val="0070C0"/>
          <w:spacing w:val="0"/>
          <w:w w:val="100"/>
          <w:u w:val="none"/>
        </w:rPr>
        <w:t>Штурман-стрелок защищался броней по</w:t>
      </w:r>
      <w:r w:rsidRPr="00640820">
        <w:rPr>
          <w:rStyle w:val="16"/>
          <w:rFonts w:ascii="Times New Roman" w:hAnsi="Times New Roman" w:cs="Times New Roman"/>
          <w:color w:val="0070C0"/>
          <w:spacing w:val="0"/>
          <w:w w:val="100"/>
          <w:u w:val="none"/>
        </w:rPr>
        <w:softHyphen/>
        <w:t>чти также, как и летчик: задняя и нижняя бро</w:t>
      </w:r>
      <w:r w:rsidRPr="00640820">
        <w:rPr>
          <w:rStyle w:val="16"/>
          <w:rFonts w:ascii="Times New Roman" w:hAnsi="Times New Roman" w:cs="Times New Roman"/>
          <w:color w:val="0070C0"/>
          <w:spacing w:val="0"/>
          <w:w w:val="100"/>
          <w:u w:val="none"/>
        </w:rPr>
        <w:softHyphen/>
        <w:t>невые стенки кабины имели толщину 8 мм, бо</w:t>
      </w:r>
      <w:r w:rsidRPr="00640820">
        <w:rPr>
          <w:rStyle w:val="16"/>
          <w:rFonts w:ascii="Times New Roman" w:hAnsi="Times New Roman" w:cs="Times New Roman"/>
          <w:color w:val="0070C0"/>
          <w:spacing w:val="0"/>
          <w:w w:val="100"/>
          <w:u w:val="none"/>
        </w:rPr>
        <w:softHyphen/>
        <w:t>ковые - 6 мм, броня над головой штурмана - 5 мм. Кроме этого, для защиты головы штурмана от огня сзади предусматривалась установка двух 64-мм бронестекол, а под ними двух пли</w:t>
      </w:r>
      <w:r w:rsidRPr="00640820">
        <w:rPr>
          <w:rStyle w:val="16"/>
          <w:rFonts w:ascii="Times New Roman" w:hAnsi="Times New Roman" w:cs="Times New Roman"/>
          <w:color w:val="0070C0"/>
          <w:spacing w:val="0"/>
          <w:w w:val="100"/>
          <w:u w:val="none"/>
        </w:rPr>
        <w:softHyphen/>
        <w:t>ток металлической брони толщиной 12 мм.</w:t>
      </w:r>
    </w:p>
    <w:p w14:paraId="37B486E5" w14:textId="77777777" w:rsidR="007935BB" w:rsidRPr="00640820" w:rsidRDefault="007935BB" w:rsidP="00640820">
      <w:pPr>
        <w:pStyle w:val="96"/>
        <w:shd w:val="clear" w:color="auto" w:fill="auto"/>
        <w:spacing w:before="0" w:line="240" w:lineRule="auto"/>
        <w:rPr>
          <w:rStyle w:val="16"/>
          <w:rFonts w:ascii="Times New Roman" w:hAnsi="Times New Roman" w:cs="Times New Roman"/>
          <w:color w:val="0070C0"/>
          <w:spacing w:val="0"/>
          <w:w w:val="100"/>
          <w:u w:val="none"/>
          <w:lang w:val="ru-RU"/>
        </w:rPr>
      </w:pPr>
      <w:r w:rsidRPr="00640820">
        <w:rPr>
          <w:rStyle w:val="16"/>
          <w:rFonts w:ascii="Times New Roman" w:hAnsi="Times New Roman" w:cs="Times New Roman"/>
          <w:color w:val="0070C0"/>
          <w:spacing w:val="0"/>
          <w:w w:val="100"/>
          <w:u w:val="none"/>
        </w:rPr>
        <w:t>В связи с выполненными переделками центровка самолета немного сместилась впе</w:t>
      </w:r>
      <w:r w:rsidRPr="00640820">
        <w:rPr>
          <w:rStyle w:val="16"/>
          <w:rFonts w:ascii="Times New Roman" w:hAnsi="Times New Roman" w:cs="Times New Roman"/>
          <w:color w:val="0070C0"/>
          <w:spacing w:val="0"/>
          <w:w w:val="100"/>
          <w:u w:val="none"/>
        </w:rPr>
        <w:softHyphen/>
        <w:t>ред на 0,2% и составила 29,2% САХ. Отметим, что по инициативе Ильюшина этот самолет после переделки стал именоваться Ил-4 М-82, но в переписке, особенно с ВВС, довольно долго использовалось обозначение Ил-2 М-82</w:t>
      </w:r>
      <w:r w:rsidRPr="00640820">
        <w:rPr>
          <w:rStyle w:val="16"/>
          <w:rFonts w:ascii="Times New Roman" w:hAnsi="Times New Roman" w:cs="Times New Roman"/>
          <w:color w:val="0070C0"/>
          <w:spacing w:val="0"/>
          <w:w w:val="100"/>
          <w:u w:val="none"/>
          <w:lang w:val="ru-RU"/>
        </w:rPr>
        <w:t>.</w:t>
      </w:r>
    </w:p>
    <w:p w14:paraId="23A7D117" w14:textId="77777777" w:rsidR="007935BB" w:rsidRPr="00640820" w:rsidRDefault="007935BB" w:rsidP="00640820">
      <w:pPr>
        <w:pStyle w:val="96"/>
        <w:shd w:val="clear" w:color="auto" w:fill="auto"/>
        <w:spacing w:before="0" w:line="240" w:lineRule="auto"/>
        <w:rPr>
          <w:rFonts w:ascii="Times New Roman" w:hAnsi="Times New Roman" w:cs="Times New Roman"/>
          <w:color w:val="0070C0"/>
          <w:w w:val="100"/>
          <w:sz w:val="16"/>
          <w:szCs w:val="16"/>
        </w:rPr>
      </w:pPr>
      <w:r w:rsidRPr="00640820">
        <w:rPr>
          <w:rStyle w:val="16"/>
          <w:rFonts w:ascii="Times New Roman" w:hAnsi="Times New Roman" w:cs="Times New Roman"/>
          <w:color w:val="0070C0"/>
          <w:spacing w:val="0"/>
          <w:w w:val="100"/>
          <w:u w:val="none"/>
        </w:rPr>
        <w:t>Программа заводских испытаний была завершена уже к 16 сентября. Вместе с Кок</w:t>
      </w:r>
      <w:r w:rsidRPr="00640820">
        <w:rPr>
          <w:rStyle w:val="16"/>
          <w:rFonts w:ascii="Times New Roman" w:hAnsi="Times New Roman" w:cs="Times New Roman"/>
          <w:color w:val="0070C0"/>
          <w:spacing w:val="0"/>
          <w:w w:val="100"/>
          <w:u w:val="none"/>
        </w:rPr>
        <w:softHyphen/>
        <w:t>кинаки машину облетал летчик-испытатель за</w:t>
      </w:r>
      <w:r w:rsidRPr="00640820">
        <w:rPr>
          <w:rStyle w:val="16"/>
          <w:rFonts w:ascii="Times New Roman" w:hAnsi="Times New Roman" w:cs="Times New Roman"/>
          <w:color w:val="0070C0"/>
          <w:spacing w:val="0"/>
          <w:w w:val="100"/>
          <w:u w:val="none"/>
        </w:rPr>
        <w:softHyphen/>
        <w:t>вода №18 подполковник К.К. Рыков.</w:t>
      </w:r>
    </w:p>
    <w:p w14:paraId="780D2749" w14:textId="77777777" w:rsidR="007935BB" w:rsidRPr="00640820" w:rsidRDefault="007935BB" w:rsidP="00640820">
      <w:pPr>
        <w:pStyle w:val="96"/>
        <w:shd w:val="clear" w:color="auto" w:fill="auto"/>
        <w:spacing w:before="0" w:line="240" w:lineRule="auto"/>
        <w:rPr>
          <w:rFonts w:ascii="Times New Roman" w:hAnsi="Times New Roman" w:cs="Times New Roman"/>
          <w:color w:val="0070C0"/>
          <w:w w:val="100"/>
          <w:sz w:val="16"/>
          <w:szCs w:val="16"/>
        </w:rPr>
      </w:pPr>
      <w:r w:rsidRPr="00640820">
        <w:rPr>
          <w:rStyle w:val="16"/>
          <w:rFonts w:ascii="Times New Roman" w:hAnsi="Times New Roman" w:cs="Times New Roman"/>
          <w:color w:val="0070C0"/>
          <w:spacing w:val="0"/>
          <w:w w:val="100"/>
          <w:u w:val="none"/>
        </w:rPr>
        <w:t>По сравнению с серийным Ил-2 АМ-38 летные данные Ил-2 М-82 несколько ухудши</w:t>
      </w:r>
      <w:r w:rsidRPr="00640820">
        <w:rPr>
          <w:rStyle w:val="16"/>
          <w:rFonts w:ascii="Times New Roman" w:hAnsi="Times New Roman" w:cs="Times New Roman"/>
          <w:color w:val="0070C0"/>
          <w:spacing w:val="0"/>
          <w:w w:val="100"/>
          <w:u w:val="none"/>
        </w:rPr>
        <w:softHyphen/>
        <w:t>лись. Скорость полета у земли составила 382 км/ч, на высоте 2600 м - 421 км/ч.</w:t>
      </w:r>
    </w:p>
    <w:p w14:paraId="2BA903BF" w14:textId="77777777" w:rsidR="007935BB" w:rsidRPr="00640820" w:rsidRDefault="007935BB" w:rsidP="00640820">
      <w:pPr>
        <w:pStyle w:val="96"/>
        <w:shd w:val="clear" w:color="auto" w:fill="auto"/>
        <w:spacing w:before="0" w:line="240" w:lineRule="auto"/>
        <w:rPr>
          <w:rFonts w:ascii="Times New Roman" w:hAnsi="Times New Roman" w:cs="Times New Roman"/>
          <w:i/>
          <w:iCs/>
          <w:color w:val="0070C0"/>
          <w:w w:val="100"/>
          <w:sz w:val="16"/>
          <w:szCs w:val="16"/>
        </w:rPr>
      </w:pPr>
      <w:r w:rsidRPr="00640820">
        <w:rPr>
          <w:rStyle w:val="16"/>
          <w:rFonts w:ascii="Times New Roman" w:hAnsi="Times New Roman" w:cs="Times New Roman"/>
          <w:color w:val="0070C0"/>
          <w:spacing w:val="0"/>
          <w:w w:val="100"/>
          <w:u w:val="none"/>
        </w:rPr>
        <w:t>Сразу же по окончании заводских испыта</w:t>
      </w:r>
      <w:r w:rsidRPr="00640820">
        <w:rPr>
          <w:rStyle w:val="16"/>
          <w:rFonts w:ascii="Times New Roman" w:hAnsi="Times New Roman" w:cs="Times New Roman"/>
          <w:color w:val="0070C0"/>
          <w:spacing w:val="0"/>
          <w:w w:val="100"/>
          <w:u w:val="none"/>
        </w:rPr>
        <w:softHyphen/>
        <w:t>ний Ильюшин предложил выпустить 30 таких Ил-2. Предлагалось сформировать один ави</w:t>
      </w:r>
      <w:r w:rsidRPr="00640820">
        <w:rPr>
          <w:rStyle w:val="16"/>
          <w:rFonts w:ascii="Times New Roman" w:hAnsi="Times New Roman" w:cs="Times New Roman"/>
          <w:color w:val="0070C0"/>
          <w:spacing w:val="0"/>
          <w:w w:val="100"/>
          <w:u w:val="none"/>
        </w:rPr>
        <w:softHyphen/>
        <w:t>аполк полностью на новых машинах и один смешанный, укомплектованный одномест</w:t>
      </w:r>
      <w:r w:rsidRPr="00640820">
        <w:rPr>
          <w:rStyle w:val="16"/>
          <w:rFonts w:ascii="Times New Roman" w:hAnsi="Times New Roman" w:cs="Times New Roman"/>
          <w:color w:val="0070C0"/>
          <w:spacing w:val="0"/>
          <w:w w:val="100"/>
          <w:u w:val="none"/>
        </w:rPr>
        <w:softHyphen/>
        <w:t>ными и двухместными Ил-2 в соотношении 2:1, т.е. каждым двум одноместным самолетам Ил-2 АМ-38 придать один</w:t>
      </w:r>
      <w:r w:rsidRPr="00640820">
        <w:rPr>
          <w:rStyle w:val="aff5"/>
          <w:rFonts w:ascii="Times New Roman" w:hAnsi="Times New Roman" w:cs="Times New Roman"/>
          <w:color w:val="0070C0"/>
          <w:w w:val="100"/>
        </w:rPr>
        <w:t xml:space="preserve"> </w:t>
      </w:r>
      <w:r w:rsidRPr="00640820">
        <w:rPr>
          <w:rStyle w:val="aff5"/>
          <w:rFonts w:ascii="Times New Roman" w:hAnsi="Times New Roman" w:cs="Times New Roman"/>
          <w:i w:val="0"/>
          <w:iCs w:val="0"/>
          <w:color w:val="0070C0"/>
          <w:w w:val="100"/>
        </w:rPr>
        <w:t>«двухместный Ил- 2, который решал бы задачи лидера группы. В этом случае, Ил-2 с М-82 именовался бы как Ил-4».</w:t>
      </w:r>
    </w:p>
    <w:p w14:paraId="0E018357" w14:textId="77777777" w:rsidR="007935BB" w:rsidRPr="00640820" w:rsidRDefault="007935BB" w:rsidP="00640820">
      <w:pPr>
        <w:pStyle w:val="96"/>
        <w:shd w:val="clear" w:color="auto" w:fill="auto"/>
        <w:spacing w:before="0" w:line="240" w:lineRule="auto"/>
        <w:rPr>
          <w:rStyle w:val="16"/>
          <w:rFonts w:ascii="Times New Roman" w:hAnsi="Times New Roman" w:cs="Times New Roman"/>
          <w:color w:val="0070C0"/>
          <w:spacing w:val="0"/>
          <w:w w:val="100"/>
          <w:u w:val="none"/>
        </w:rPr>
      </w:pPr>
      <w:r w:rsidRPr="00640820">
        <w:rPr>
          <w:rStyle w:val="16"/>
          <w:rFonts w:ascii="Times New Roman" w:hAnsi="Times New Roman" w:cs="Times New Roman"/>
          <w:color w:val="0070C0"/>
          <w:spacing w:val="0"/>
          <w:w w:val="100"/>
          <w:u w:val="none"/>
        </w:rPr>
        <w:t>Однако было решено дождаться результа</w:t>
      </w:r>
      <w:r w:rsidRPr="00640820">
        <w:rPr>
          <w:rStyle w:val="16"/>
          <w:rFonts w:ascii="Times New Roman" w:hAnsi="Times New Roman" w:cs="Times New Roman"/>
          <w:color w:val="0070C0"/>
          <w:spacing w:val="0"/>
          <w:w w:val="100"/>
          <w:u w:val="none"/>
        </w:rPr>
        <w:softHyphen/>
        <w:t>тов дополнительных испытаний мотора М-82. К тому же Ил-2 с М-82 еще должен был пройти положенные государственные испытания. Тем не менее, мобилизационный отдел НКАП в сентябре включил Ил-2 с М-82 в проект плана выпуска самолетов и моторов в 1941 г.</w:t>
      </w:r>
      <w:r w:rsidRPr="00640820">
        <w:rPr>
          <w:rStyle w:val="16"/>
          <w:rFonts w:ascii="Times New Roman" w:hAnsi="Times New Roman" w:cs="Times New Roman"/>
          <w:color w:val="0070C0"/>
          <w:spacing w:val="0"/>
          <w:w w:val="100"/>
          <w:u w:val="none"/>
          <w:lang w:val="ru-RU"/>
        </w:rPr>
        <w:t xml:space="preserve"> (19877)</w:t>
      </w:r>
      <w:r w:rsidRPr="00640820">
        <w:rPr>
          <w:rStyle w:val="16"/>
          <w:rFonts w:ascii="Times New Roman" w:hAnsi="Times New Roman" w:cs="Times New Roman"/>
          <w:color w:val="0070C0"/>
          <w:spacing w:val="0"/>
          <w:w w:val="100"/>
          <w:u w:val="none"/>
        </w:rPr>
        <w:t>.</w:t>
      </w:r>
    </w:p>
    <w:p w14:paraId="6B1868FC" w14:textId="77777777" w:rsidR="007935BB" w:rsidRPr="00640820" w:rsidRDefault="007935BB" w:rsidP="00640820">
      <w:pPr>
        <w:pStyle w:val="96"/>
        <w:shd w:val="clear" w:color="auto" w:fill="auto"/>
        <w:spacing w:before="0" w:line="240" w:lineRule="auto"/>
        <w:rPr>
          <w:rFonts w:ascii="Times New Roman" w:hAnsi="Times New Roman" w:cs="Times New Roman"/>
          <w:color w:val="0070C0"/>
          <w:w w:val="100"/>
          <w:sz w:val="16"/>
          <w:szCs w:val="16"/>
        </w:rPr>
      </w:pPr>
    </w:p>
    <w:p w14:paraId="09F91DD3" w14:textId="77777777" w:rsidR="00FB057B" w:rsidRPr="00640820" w:rsidRDefault="00FB057B" w:rsidP="00640820">
      <w:pPr>
        <w:pStyle w:val="ae"/>
        <w:shd w:val="clear" w:color="auto" w:fill="FFFFFF"/>
        <w:spacing w:before="0" w:after="0"/>
        <w:jc w:val="both"/>
        <w:rPr>
          <w:color w:val="000000" w:themeColor="text1"/>
          <w:sz w:val="16"/>
          <w:szCs w:val="16"/>
        </w:rPr>
      </w:pPr>
      <w:r w:rsidRPr="00640820">
        <w:rPr>
          <w:rStyle w:val="a7"/>
          <w:rFonts w:eastAsiaTheme="majorEastAsia"/>
          <w:b w:val="0"/>
          <w:color w:val="000000" w:themeColor="text1"/>
          <w:sz w:val="16"/>
          <w:szCs w:val="16"/>
        </w:rPr>
        <w:t>8 сентября 1941 г. Указом ПВС СССР заводу ГАЗ № 1 имени «Авиахима» присвоено имя И.В.Сталина (19822).</w:t>
      </w:r>
    </w:p>
    <w:p w14:paraId="34F9EE89" w14:textId="77777777" w:rsidR="00FB057B" w:rsidRPr="00640820" w:rsidRDefault="00FB057B" w:rsidP="00640820">
      <w:pPr>
        <w:pStyle w:val="ae"/>
        <w:shd w:val="clear" w:color="auto" w:fill="FFFFFF"/>
        <w:spacing w:before="0" w:after="0"/>
        <w:jc w:val="both"/>
        <w:rPr>
          <w:color w:val="000000" w:themeColor="text1"/>
          <w:sz w:val="16"/>
          <w:szCs w:val="16"/>
        </w:rPr>
      </w:pPr>
    </w:p>
    <w:p w14:paraId="7340D1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 1941 В.К.Коккинаки с аэродрома ЛИИ НКАП совершил на новом штурмовике Ил-2 с 82-м мотором и винтом АВ-5Л первый испыта</w:t>
      </w:r>
      <w:r w:rsidRPr="00640820">
        <w:rPr>
          <w:rFonts w:ascii="Times New Roman" w:hAnsi="Times New Roman"/>
          <w:color w:val="000000" w:themeColor="text1"/>
          <w:sz w:val="16"/>
          <w:szCs w:val="16"/>
        </w:rPr>
        <w:softHyphen/>
        <w:t>тельный полет и заводские испытания прошли за 8 дней.</w:t>
      </w:r>
    </w:p>
    <w:p w14:paraId="18A518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постройки этого самолета часть бронекорпуса серийного Ил-2, до пере</w:t>
      </w:r>
      <w:r w:rsidRPr="00640820">
        <w:rPr>
          <w:rFonts w:ascii="Times New Roman" w:hAnsi="Times New Roman"/>
          <w:color w:val="000000" w:themeColor="text1"/>
          <w:sz w:val="16"/>
          <w:szCs w:val="16"/>
        </w:rPr>
        <w:softHyphen/>
        <w:t>днего лонжерона центроплана, являвша</w:t>
      </w:r>
      <w:r w:rsidRPr="00640820">
        <w:rPr>
          <w:rFonts w:ascii="Times New Roman" w:hAnsi="Times New Roman"/>
          <w:color w:val="000000" w:themeColor="text1"/>
          <w:sz w:val="16"/>
          <w:szCs w:val="16"/>
        </w:rPr>
        <w:softHyphen/>
        <w:t>яся капотом мотора AM-38, была снята, а по переднему лонжерону центропла</w:t>
      </w:r>
      <w:r w:rsidRPr="00640820">
        <w:rPr>
          <w:rFonts w:ascii="Times New Roman" w:hAnsi="Times New Roman"/>
          <w:color w:val="000000" w:themeColor="text1"/>
          <w:sz w:val="16"/>
          <w:szCs w:val="16"/>
        </w:rPr>
        <w:softHyphen/>
        <w:t>на установлена двойная бронеперегородка, воспринимавшая все нагрузки от сварной трубчатой моторамы мотора М-82. Мотор при этом не бронировался. Он закрывался обычным капотом типа NACA из легкого алюминиевого сплава с управляемой юбкой на задней выход</w:t>
      </w:r>
      <w:r w:rsidRPr="00640820">
        <w:rPr>
          <w:rFonts w:ascii="Times New Roman" w:hAnsi="Times New Roman"/>
          <w:color w:val="000000" w:themeColor="text1"/>
          <w:sz w:val="16"/>
          <w:szCs w:val="16"/>
        </w:rPr>
        <w:softHyphen/>
        <w:t>ной щели. Каркас капота крепился толь</w:t>
      </w:r>
      <w:r w:rsidRPr="00640820">
        <w:rPr>
          <w:rFonts w:ascii="Times New Roman" w:hAnsi="Times New Roman"/>
          <w:color w:val="000000" w:themeColor="text1"/>
          <w:sz w:val="16"/>
          <w:szCs w:val="16"/>
        </w:rPr>
        <w:softHyphen/>
        <w:t>ко к мотору и не был связан с осталь</w:t>
      </w:r>
      <w:r w:rsidRPr="00640820">
        <w:rPr>
          <w:rFonts w:ascii="Times New Roman" w:hAnsi="Times New Roman"/>
          <w:color w:val="000000" w:themeColor="text1"/>
          <w:sz w:val="16"/>
          <w:szCs w:val="16"/>
        </w:rPr>
        <w:softHyphen/>
        <w:t>ной конструкцией самолета. Такая кон</w:t>
      </w:r>
      <w:r w:rsidRPr="00640820">
        <w:rPr>
          <w:rFonts w:ascii="Times New Roman" w:hAnsi="Times New Roman"/>
          <w:color w:val="000000" w:themeColor="text1"/>
          <w:sz w:val="16"/>
          <w:szCs w:val="16"/>
        </w:rPr>
        <w:softHyphen/>
        <w:t>струкция существенно упрощала смену мотора, особенно в полевых условиях. Переход от М-82 к фюзеляжу Ил-2 по</w:t>
      </w:r>
      <w:r w:rsidRPr="00640820">
        <w:rPr>
          <w:rFonts w:ascii="Times New Roman" w:hAnsi="Times New Roman"/>
          <w:color w:val="000000" w:themeColor="text1"/>
          <w:sz w:val="16"/>
          <w:szCs w:val="16"/>
        </w:rPr>
        <w:softHyphen/>
        <w:t>лучился неплавный и довольно сильно ухудшал аэродинамику самолета.</w:t>
      </w:r>
    </w:p>
    <w:p w14:paraId="10A86F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Вместо заднего бензобака, располагавшегося за бронеперегородкой пилот</w:t>
      </w:r>
      <w:r w:rsidRPr="00640820">
        <w:rPr>
          <w:rFonts w:ascii="Times New Roman" w:hAnsi="Times New Roman"/>
          <w:color w:val="000000" w:themeColor="text1"/>
          <w:sz w:val="16"/>
          <w:szCs w:val="16"/>
        </w:rPr>
        <w:softHyphen/>
        <w:t>ской кабины, оборудовали кабину стрел</w:t>
      </w:r>
      <w:r w:rsidRPr="00640820">
        <w:rPr>
          <w:rFonts w:ascii="Times New Roman" w:hAnsi="Times New Roman"/>
          <w:color w:val="000000" w:themeColor="text1"/>
          <w:sz w:val="16"/>
          <w:szCs w:val="16"/>
        </w:rPr>
        <w:softHyphen/>
        <w:t>ка с блистерной установкой под пуле</w:t>
      </w:r>
      <w:r w:rsidRPr="00640820">
        <w:rPr>
          <w:rFonts w:ascii="Times New Roman" w:hAnsi="Times New Roman"/>
          <w:color w:val="000000" w:themeColor="text1"/>
          <w:sz w:val="16"/>
          <w:szCs w:val="16"/>
        </w:rPr>
        <w:softHyphen/>
        <w:t>мет УБТ калибра 12,7 мм с боекомп</w:t>
      </w:r>
      <w:r w:rsidRPr="00640820">
        <w:rPr>
          <w:rFonts w:ascii="Times New Roman" w:hAnsi="Times New Roman"/>
          <w:color w:val="000000" w:themeColor="text1"/>
          <w:sz w:val="16"/>
          <w:szCs w:val="16"/>
        </w:rPr>
        <w:softHyphen/>
        <w:t>лектом 280 патронов.</w:t>
      </w:r>
    </w:p>
    <w:p w14:paraId="28D460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Стрелок, так же как и летчик, был до</w:t>
      </w:r>
      <w:r w:rsidRPr="00640820">
        <w:rPr>
          <w:rFonts w:ascii="Times New Roman" w:hAnsi="Times New Roman"/>
          <w:color w:val="000000" w:themeColor="text1"/>
          <w:sz w:val="16"/>
          <w:szCs w:val="16"/>
        </w:rPr>
        <w:softHyphen/>
        <w:t>статочно хорошо защищен броней: зад</w:t>
      </w:r>
      <w:r w:rsidRPr="00640820">
        <w:rPr>
          <w:rFonts w:ascii="Times New Roman" w:hAnsi="Times New Roman"/>
          <w:color w:val="000000" w:themeColor="text1"/>
          <w:sz w:val="16"/>
          <w:szCs w:val="16"/>
        </w:rPr>
        <w:softHyphen/>
        <w:t>няя и нижняя броневые стенки кабины имели толщину 8 мм, боковые - до 6 мм, а броня над головой стрелка - 5 мм. Кроме этого, на блистере устанавлива</w:t>
      </w:r>
      <w:r w:rsidRPr="00640820">
        <w:rPr>
          <w:rFonts w:ascii="Times New Roman" w:hAnsi="Times New Roman"/>
          <w:color w:val="000000" w:themeColor="text1"/>
          <w:sz w:val="16"/>
          <w:szCs w:val="16"/>
        </w:rPr>
        <w:softHyphen/>
        <w:t>лось бронестекло толщиной 64 мм.</w:t>
      </w:r>
    </w:p>
    <w:p w14:paraId="767BBF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Пулемет УБТ размещался на шквор</w:t>
      </w:r>
      <w:r w:rsidRPr="00640820">
        <w:rPr>
          <w:rFonts w:ascii="Times New Roman" w:hAnsi="Times New Roman"/>
          <w:color w:val="000000" w:themeColor="text1"/>
          <w:sz w:val="16"/>
          <w:szCs w:val="16"/>
        </w:rPr>
        <w:softHyphen/>
        <w:t>невой установке и, вследствие сильного бронирования фонаря кабины стрелка, имел довольно ограниченные углы об</w:t>
      </w:r>
      <w:r w:rsidRPr="00640820">
        <w:rPr>
          <w:rFonts w:ascii="Times New Roman" w:hAnsi="Times New Roman"/>
          <w:color w:val="000000" w:themeColor="text1"/>
          <w:sz w:val="16"/>
          <w:szCs w:val="16"/>
        </w:rPr>
        <w:softHyphen/>
        <w:t>стрела - 38° по вертикали и по 22° в стороны.</w:t>
      </w:r>
    </w:p>
    <w:p w14:paraId="0467A6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сохранения прежней дальности полета емкость топливного бака под си</w:t>
      </w:r>
      <w:r w:rsidRPr="00640820">
        <w:rPr>
          <w:rFonts w:ascii="Times New Roman" w:hAnsi="Times New Roman"/>
          <w:color w:val="000000" w:themeColor="text1"/>
          <w:sz w:val="16"/>
          <w:szCs w:val="16"/>
        </w:rPr>
        <w:softHyphen/>
        <w:t>деньем летчика была увеличена до 724 л, а с целью повышения боевой живуче</w:t>
      </w:r>
      <w:r w:rsidRPr="00640820">
        <w:rPr>
          <w:rFonts w:ascii="Times New Roman" w:hAnsi="Times New Roman"/>
          <w:color w:val="000000" w:themeColor="text1"/>
          <w:sz w:val="16"/>
          <w:szCs w:val="16"/>
        </w:rPr>
        <w:softHyphen/>
        <w:t>сти машины на штурмовике была уста</w:t>
      </w:r>
      <w:r w:rsidRPr="00640820">
        <w:rPr>
          <w:rFonts w:ascii="Times New Roman" w:hAnsi="Times New Roman"/>
          <w:color w:val="000000" w:themeColor="text1"/>
          <w:sz w:val="16"/>
          <w:szCs w:val="16"/>
        </w:rPr>
        <w:softHyphen/>
        <w:t>новлена система заполнения бензоба</w:t>
      </w:r>
      <w:r w:rsidRPr="00640820">
        <w:rPr>
          <w:rFonts w:ascii="Times New Roman" w:hAnsi="Times New Roman"/>
          <w:color w:val="000000" w:themeColor="text1"/>
          <w:sz w:val="16"/>
          <w:szCs w:val="16"/>
        </w:rPr>
        <w:softHyphen/>
        <w:t>ков нейтральным газом от выхлопной си</w:t>
      </w:r>
      <w:r w:rsidRPr="00640820">
        <w:rPr>
          <w:rFonts w:ascii="Times New Roman" w:hAnsi="Times New Roman"/>
          <w:color w:val="000000" w:themeColor="text1"/>
          <w:sz w:val="16"/>
          <w:szCs w:val="16"/>
        </w:rPr>
        <w:softHyphen/>
        <w:t>стемы двигателя.</w:t>
      </w:r>
    </w:p>
    <w:p w14:paraId="176A49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самолете вместо винта ВИШ-22Т был установлен винтАВ-5В диаметром 3,4 м.</w:t>
      </w:r>
    </w:p>
    <w:p w14:paraId="6386E9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Программа заводских испытаний но</w:t>
      </w:r>
      <w:r w:rsidRPr="00640820">
        <w:rPr>
          <w:rFonts w:ascii="Times New Roman" w:hAnsi="Times New Roman"/>
          <w:color w:val="000000" w:themeColor="text1"/>
          <w:sz w:val="16"/>
          <w:szCs w:val="16"/>
        </w:rPr>
        <w:softHyphen/>
        <w:t>вого штурмовика была проведена уско</w:t>
      </w:r>
      <w:r w:rsidRPr="00640820">
        <w:rPr>
          <w:rFonts w:ascii="Times New Roman" w:hAnsi="Times New Roman"/>
          <w:color w:val="000000" w:themeColor="text1"/>
          <w:sz w:val="16"/>
          <w:szCs w:val="16"/>
        </w:rPr>
        <w:softHyphen/>
        <w:t>ренными темпами и завершена уже че</w:t>
      </w:r>
      <w:r w:rsidRPr="00640820">
        <w:rPr>
          <w:rFonts w:ascii="Times New Roman" w:hAnsi="Times New Roman"/>
          <w:color w:val="000000" w:themeColor="text1"/>
          <w:sz w:val="16"/>
          <w:szCs w:val="16"/>
        </w:rPr>
        <w:softHyphen/>
        <w:t>рез восемь дней (вместе с В.К.Коккинаки машину испытывал летчик-испыта</w:t>
      </w:r>
      <w:r w:rsidRPr="00640820">
        <w:rPr>
          <w:rFonts w:ascii="Times New Roman" w:hAnsi="Times New Roman"/>
          <w:color w:val="000000" w:themeColor="text1"/>
          <w:sz w:val="16"/>
          <w:szCs w:val="16"/>
        </w:rPr>
        <w:softHyphen/>
        <w:t>тель серийного завода № 18 К.К.Рыков). В заключение по результатам заводс</w:t>
      </w:r>
      <w:r w:rsidRPr="00640820">
        <w:rPr>
          <w:rFonts w:ascii="Times New Roman" w:hAnsi="Times New Roman"/>
          <w:color w:val="000000" w:themeColor="text1"/>
          <w:sz w:val="16"/>
          <w:szCs w:val="16"/>
        </w:rPr>
        <w:softHyphen/>
        <w:t>ких летных испытаний летчики отмеча</w:t>
      </w:r>
      <w:r w:rsidRPr="00640820">
        <w:rPr>
          <w:rFonts w:ascii="Times New Roman" w:hAnsi="Times New Roman"/>
          <w:color w:val="000000" w:themeColor="text1"/>
          <w:sz w:val="16"/>
          <w:szCs w:val="16"/>
        </w:rPr>
        <w:softHyphen/>
        <w:t>ли, что практически все летные характе</w:t>
      </w:r>
      <w:r w:rsidRPr="00640820">
        <w:rPr>
          <w:rFonts w:ascii="Times New Roman" w:hAnsi="Times New Roman"/>
          <w:color w:val="000000" w:themeColor="text1"/>
          <w:sz w:val="16"/>
          <w:szCs w:val="16"/>
        </w:rPr>
        <w:softHyphen/>
        <w:t>ристики самолета Ил-2 М-82, по срав</w:t>
      </w:r>
      <w:r w:rsidRPr="00640820">
        <w:rPr>
          <w:rFonts w:ascii="Times New Roman" w:hAnsi="Times New Roman"/>
          <w:color w:val="000000" w:themeColor="text1"/>
          <w:sz w:val="16"/>
          <w:szCs w:val="16"/>
        </w:rPr>
        <w:softHyphen/>
        <w:t>нению с серийными машинами с АМ-38, ухудшились, никаких особенностей новый "Ил" не имеет, броня обеспечи</w:t>
      </w:r>
      <w:r w:rsidRPr="00640820">
        <w:rPr>
          <w:rFonts w:ascii="Times New Roman" w:hAnsi="Times New Roman"/>
          <w:color w:val="000000" w:themeColor="text1"/>
          <w:sz w:val="16"/>
          <w:szCs w:val="16"/>
        </w:rPr>
        <w:softHyphen/>
        <w:t>вает защиту экипажа и горючего от по</w:t>
      </w:r>
      <w:r w:rsidRPr="00640820">
        <w:rPr>
          <w:rFonts w:ascii="Times New Roman" w:hAnsi="Times New Roman"/>
          <w:color w:val="000000" w:themeColor="text1"/>
          <w:sz w:val="16"/>
          <w:szCs w:val="16"/>
        </w:rPr>
        <w:softHyphen/>
        <w:t>ражения, дефектов, опасных для полета, не обнаружено, и штурмовик можно пе</w:t>
      </w:r>
      <w:r w:rsidRPr="00640820">
        <w:rPr>
          <w:rFonts w:ascii="Times New Roman" w:hAnsi="Times New Roman"/>
          <w:color w:val="000000" w:themeColor="text1"/>
          <w:sz w:val="16"/>
          <w:szCs w:val="16"/>
        </w:rPr>
        <w:softHyphen/>
        <w:t>редавать для производства государ</w:t>
      </w:r>
      <w:r w:rsidRPr="00640820">
        <w:rPr>
          <w:rFonts w:ascii="Times New Roman" w:hAnsi="Times New Roman"/>
          <w:color w:val="000000" w:themeColor="text1"/>
          <w:sz w:val="16"/>
          <w:szCs w:val="16"/>
        </w:rPr>
        <w:softHyphen/>
        <w:t>ственных испытаний (6467).</w:t>
      </w:r>
    </w:p>
    <w:p w14:paraId="49C4CA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DA98A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 1941 состоялся первый полет Ил-4 (Ил-2-М-82) и за 8 дней была выполнена программа заводских испытаний. Машина показала несколько худшие по сравнению с серийной летные данные - снизилась скорость полета, возросла длинна пробега при взлете и посадке (5). Начались заводские испытания, которые закончились 16 сентября 1942. Гос. испытания были в марте 1942 из-за эвакуации (3846,15).</w:t>
      </w:r>
    </w:p>
    <w:p w14:paraId="0C44E7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A69FF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 1941 г. В.К.Коккинаки на аэродроме ЛИИ совершил на Ил-2 с М-82 первый полет и за восемь календарных дней завершил программу заводских испытаний. Установленный на самолете М-82 имел взлетную мощность 1675 л.с., то есть примерно такую же, как и у АМ-38. Но его номинальная мощность была значительно меньше - 1376 л.с. по сравнению с 1575 л.с. у АМ-38, что и определило различие в летных данных. Уменьшилась максимальная горизонтальная скорость самолета у земли, возросли длина разбега и пробега. В.К.Коккинаки отмечал, что по своим летным свойствам самолет прост, никаких особенностей по сравнению с Ил-2 АМ-38 он не нашел. Летчик подчеркивал, что дефектов, опасных для полетов, не обнаружено и самолет можно передать на госиспытания (9528).</w:t>
      </w:r>
    </w:p>
    <w:p w14:paraId="5F7FFB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BF0C7C1" w14:textId="77777777" w:rsidR="00EA1479" w:rsidRPr="00640820" w:rsidRDefault="00EA1479" w:rsidP="00640820">
      <w:pPr>
        <w:pStyle w:val="a3"/>
        <w:rPr>
          <w:color w:val="000000" w:themeColor="text1"/>
          <w:lang w:val="ru-RU"/>
        </w:rPr>
      </w:pPr>
      <w:r w:rsidRPr="00640820">
        <w:rPr>
          <w:color w:val="000000" w:themeColor="text1"/>
          <w:lang w:val="ru-RU"/>
        </w:rPr>
        <w:t>8 сентября 1941 г. в ЛИИ опытный штурмовик Ил-2 с М-82 совершил первый вылет под управлением В.К. Коккинаки</w:t>
      </w:r>
      <w:r w:rsidRPr="00640820">
        <w:rPr>
          <w:color w:val="000000" w:themeColor="text1"/>
          <w:vertAlign w:val="superscript"/>
          <w:lang w:val="ru-RU"/>
        </w:rPr>
        <w:t>7</w:t>
      </w:r>
      <w:r w:rsidRPr="00640820">
        <w:rPr>
          <w:color w:val="000000" w:themeColor="text1"/>
          <w:lang w:val="ru-RU"/>
        </w:rPr>
        <w:t>. Капотирова</w:t>
      </w:r>
      <w:r w:rsidRPr="00640820">
        <w:rPr>
          <w:color w:val="000000" w:themeColor="text1"/>
          <w:lang w:val="ru-RU"/>
        </w:rPr>
        <w:softHyphen/>
      </w:r>
      <w:r w:rsidRPr="00640820">
        <w:rPr>
          <w:rStyle w:val="913"/>
          <w:rFonts w:ascii="Times New Roman" w:hAnsi="Times New Roman" w:cs="Times New Roman"/>
          <w:b w:val="0"/>
          <w:color w:val="000000" w:themeColor="text1"/>
          <w:spacing w:val="0"/>
          <w:sz w:val="16"/>
          <w:szCs w:val="16"/>
          <w:lang w:val="ru-RU"/>
        </w:rPr>
        <w:t>ние</w:t>
      </w:r>
      <w:r w:rsidRPr="00640820">
        <w:rPr>
          <w:color w:val="000000" w:themeColor="text1"/>
          <w:lang w:val="ru-RU"/>
        </w:rPr>
        <w:t xml:space="preserve"> мотора на нём также выполнили с юбкой на выходе. Поскольку для штурмовика не</w:t>
      </w:r>
      <w:r w:rsidRPr="00640820">
        <w:rPr>
          <w:color w:val="000000" w:themeColor="text1"/>
          <w:lang w:val="ru-RU"/>
        </w:rPr>
        <w:softHyphen/>
        <w:t>удовлетворительная работа мотора на 2-й скорости нагнетателя не имела значения, заводские испытания завершили очень быстро — за 8 дней. При этом установили, что лётные характеристики Ил-2 с М-82 несколько ухудшились по сравнению с исходным ва</w:t>
      </w:r>
      <w:r w:rsidRPr="00640820">
        <w:rPr>
          <w:color w:val="000000" w:themeColor="text1"/>
          <w:lang w:val="ru-RU"/>
        </w:rPr>
        <w:softHyphen/>
        <w:t>риантом, но особых дефектов нет, и самолёт можно передать на госиспытания. Сразу же С.В. Ильюшин вышел с предложением выпустить на воронежском заводе № 18 30 двух</w:t>
      </w:r>
      <w:r w:rsidRPr="00640820">
        <w:rPr>
          <w:color w:val="000000" w:themeColor="text1"/>
          <w:lang w:val="ru-RU"/>
        </w:rPr>
        <w:softHyphen/>
        <w:t>местных Ил-2 с М-82 с целью проведения войсковых испытаний, но окончательное ре</w:t>
      </w:r>
      <w:r w:rsidRPr="00640820">
        <w:rPr>
          <w:color w:val="000000" w:themeColor="text1"/>
          <w:lang w:val="ru-RU"/>
        </w:rPr>
        <w:softHyphen/>
        <w:t xml:space="preserve">шение отложили до проведения госиспытаний. Затем последовала эвакуация, и решение </w:t>
      </w:r>
      <w:r w:rsidRPr="00640820">
        <w:rPr>
          <w:rStyle w:val="913"/>
          <w:rFonts w:ascii="Times New Roman" w:hAnsi="Times New Roman" w:cs="Times New Roman"/>
          <w:b w:val="0"/>
          <w:color w:val="000000" w:themeColor="text1"/>
          <w:spacing w:val="0"/>
          <w:sz w:val="16"/>
          <w:szCs w:val="16"/>
          <w:lang w:val="ru-RU"/>
        </w:rPr>
        <w:t>о</w:t>
      </w:r>
      <w:r w:rsidRPr="00640820">
        <w:rPr>
          <w:color w:val="000000" w:themeColor="text1"/>
          <w:lang w:val="ru-RU"/>
        </w:rPr>
        <w:t xml:space="preserve"> серийной постройке Ил-2 с М-82 на эвакуированных заводах № 135 в Перми и № 381 в Нижнем Тагиле приняли, как уже говорилось, 19 ноября (15788).</w:t>
      </w:r>
    </w:p>
    <w:p w14:paraId="6F2C1F56" w14:textId="77777777" w:rsidR="00EA1479" w:rsidRPr="00640820" w:rsidRDefault="00EA1479" w:rsidP="00640820">
      <w:pPr>
        <w:pStyle w:val="a3"/>
        <w:rPr>
          <w:color w:val="000000" w:themeColor="text1"/>
          <w:lang w:val="ru-RU"/>
        </w:rPr>
      </w:pPr>
    </w:p>
    <w:p w14:paraId="0ABB197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 1941 года Ил-2 с М-82 и совершил первый вылет в ЛИИ под управ</w:t>
      </w:r>
      <w:r w:rsidRPr="00640820">
        <w:rPr>
          <w:rFonts w:ascii="Times New Roman" w:hAnsi="Times New Roman"/>
          <w:color w:val="000000" w:themeColor="text1"/>
          <w:sz w:val="16"/>
          <w:szCs w:val="16"/>
        </w:rPr>
        <w:softHyphen/>
        <w:t>лением В.К. Коккинаки. Капотирование мотора на нем было также выполнено с юбкой на выходе. Поскольку для штурмови</w:t>
      </w:r>
      <w:r w:rsidRPr="00640820">
        <w:rPr>
          <w:rFonts w:ascii="Times New Roman" w:hAnsi="Times New Roman"/>
          <w:color w:val="000000" w:themeColor="text1"/>
          <w:sz w:val="16"/>
          <w:szCs w:val="16"/>
        </w:rPr>
        <w:softHyphen/>
        <w:t>ка неудовлетворительная работа мо</w:t>
      </w:r>
      <w:r w:rsidRPr="00640820">
        <w:rPr>
          <w:rFonts w:ascii="Times New Roman" w:hAnsi="Times New Roman"/>
          <w:color w:val="000000" w:themeColor="text1"/>
          <w:sz w:val="16"/>
          <w:szCs w:val="16"/>
        </w:rPr>
        <w:softHyphen/>
        <w:t>тора на 2-й скорости нагнетателя не имела значения, его заводские испы</w:t>
      </w:r>
      <w:r w:rsidRPr="00640820">
        <w:rPr>
          <w:rFonts w:ascii="Times New Roman" w:hAnsi="Times New Roman"/>
          <w:color w:val="000000" w:themeColor="text1"/>
          <w:sz w:val="16"/>
          <w:szCs w:val="16"/>
        </w:rPr>
        <w:softHyphen/>
        <w:t>тания были завершены очень быстро - за 8 дней. При этом было установ</w:t>
      </w:r>
      <w:r w:rsidRPr="00640820">
        <w:rPr>
          <w:rFonts w:ascii="Times New Roman" w:hAnsi="Times New Roman"/>
          <w:color w:val="000000" w:themeColor="text1"/>
          <w:sz w:val="16"/>
          <w:szCs w:val="16"/>
        </w:rPr>
        <w:softHyphen/>
        <w:t>лено, что летные характеристики Ил-2 с М-82 несколько ухудшились по срав</w:t>
      </w:r>
      <w:r w:rsidRPr="00640820">
        <w:rPr>
          <w:rFonts w:ascii="Times New Roman" w:hAnsi="Times New Roman"/>
          <w:color w:val="000000" w:themeColor="text1"/>
          <w:sz w:val="16"/>
          <w:szCs w:val="16"/>
        </w:rPr>
        <w:softHyphen/>
        <w:t>нению с исходным вариантом, но осо</w:t>
      </w:r>
      <w:r w:rsidRPr="00640820">
        <w:rPr>
          <w:rFonts w:ascii="Times New Roman" w:hAnsi="Times New Roman"/>
          <w:color w:val="000000" w:themeColor="text1"/>
          <w:sz w:val="16"/>
          <w:szCs w:val="16"/>
        </w:rPr>
        <w:softHyphen/>
        <w:t>бых дефектов нет, и самолет можно передать на госиспытания. Сразу же С.В. Ильюшин вышел с предложени</w:t>
      </w:r>
      <w:r w:rsidRPr="00640820">
        <w:rPr>
          <w:rFonts w:ascii="Times New Roman" w:hAnsi="Times New Roman"/>
          <w:color w:val="000000" w:themeColor="text1"/>
          <w:sz w:val="16"/>
          <w:szCs w:val="16"/>
        </w:rPr>
        <w:softHyphen/>
        <w:t>ем выпустить на воронежском заво</w:t>
      </w:r>
      <w:r w:rsidRPr="00640820">
        <w:rPr>
          <w:rFonts w:ascii="Times New Roman" w:hAnsi="Times New Roman"/>
          <w:color w:val="000000" w:themeColor="text1"/>
          <w:sz w:val="16"/>
          <w:szCs w:val="16"/>
        </w:rPr>
        <w:softHyphen/>
        <w:t>де №18 30 штук двухместных Ил-2 с М-82 с целью проведения их войско</w:t>
      </w:r>
      <w:r w:rsidRPr="00640820">
        <w:rPr>
          <w:rFonts w:ascii="Times New Roman" w:hAnsi="Times New Roman"/>
          <w:color w:val="000000" w:themeColor="text1"/>
          <w:sz w:val="16"/>
          <w:szCs w:val="16"/>
        </w:rPr>
        <w:softHyphen/>
        <w:t>вых испытаний, но окончательное ре</w:t>
      </w:r>
      <w:r w:rsidRPr="00640820">
        <w:rPr>
          <w:rFonts w:ascii="Times New Roman" w:hAnsi="Times New Roman"/>
          <w:color w:val="000000" w:themeColor="text1"/>
          <w:sz w:val="16"/>
          <w:szCs w:val="16"/>
        </w:rPr>
        <w:softHyphen/>
        <w:t>шение было отложено до проведения госиспытаний. Затем последовала эва</w:t>
      </w:r>
      <w:r w:rsidRPr="00640820">
        <w:rPr>
          <w:rFonts w:ascii="Times New Roman" w:hAnsi="Times New Roman"/>
          <w:color w:val="000000" w:themeColor="text1"/>
          <w:sz w:val="16"/>
          <w:szCs w:val="16"/>
        </w:rPr>
        <w:softHyphen/>
        <w:t>куация, и решение о серийной пост</w:t>
      </w:r>
      <w:r w:rsidRPr="00640820">
        <w:rPr>
          <w:rFonts w:ascii="Times New Roman" w:hAnsi="Times New Roman"/>
          <w:color w:val="000000" w:themeColor="text1"/>
          <w:sz w:val="16"/>
          <w:szCs w:val="16"/>
        </w:rPr>
        <w:softHyphen/>
        <w:t>ройке Ил-2 с М-82 на эвакуирован</w:t>
      </w:r>
      <w:r w:rsidRPr="00640820">
        <w:rPr>
          <w:rFonts w:ascii="Times New Roman" w:hAnsi="Times New Roman"/>
          <w:color w:val="000000" w:themeColor="text1"/>
          <w:sz w:val="16"/>
          <w:szCs w:val="16"/>
        </w:rPr>
        <w:softHyphen/>
        <w:t>ных заводах №135 в Перми и №381 в Нижнем Тагиле было принято, как уже сказано, 19 ноября (10686).</w:t>
      </w:r>
    </w:p>
    <w:p w14:paraId="46CD6B9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A6170A" w14:textId="77777777" w:rsidR="00EA1479" w:rsidRPr="00640820" w:rsidRDefault="00EA1479" w:rsidP="00640820">
      <w:pPr>
        <w:pStyle w:val="a3"/>
        <w:rPr>
          <w:color w:val="000000" w:themeColor="text1"/>
          <w:lang w:val="ru-RU"/>
        </w:rPr>
      </w:pPr>
      <w:r w:rsidRPr="00640820">
        <w:rPr>
          <w:color w:val="000000" w:themeColor="text1"/>
          <w:lang w:val="ru-RU"/>
        </w:rPr>
        <w:t>8 сентября 1941, в связи с просьбой трудового коллектива, заводу № 1 присвоили имя И.В. Стали</w:t>
      </w:r>
      <w:r w:rsidRPr="00640820">
        <w:rPr>
          <w:color w:val="000000" w:themeColor="text1"/>
          <w:lang w:val="ru-RU"/>
        </w:rPr>
        <w:softHyphen/>
        <w:t>на. В этот же день на основании принятого Постановлением ГКО № 647 нового плана выпуска самолётов и моторов на 1941 год и мобилизационной программы на четыре месяца войны выпуск штурмовиков на заводе № 1 увеличивался до 600 машин с поставкой 40 в октябре, 200 в ноябре и 360 в декабре. План производства МиГ-3 в 1941 г. оставили на уровне 3341 самолёта, при этом утверждённая ранее программа выпуска в оставшиеся четыре месяца сохранялась (15976).</w:t>
      </w:r>
    </w:p>
    <w:p w14:paraId="6BCEAC87" w14:textId="77777777" w:rsidR="00EA1479" w:rsidRPr="00640820" w:rsidRDefault="00EA1479" w:rsidP="00640820">
      <w:pPr>
        <w:pStyle w:val="a3"/>
        <w:rPr>
          <w:color w:val="000000" w:themeColor="text1"/>
          <w:lang w:val="ru-RU"/>
        </w:rPr>
      </w:pPr>
    </w:p>
    <w:p w14:paraId="72BDA55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8 сентября 1941 за 14 дней с 26.8 самолет Су-2, на котором производилась доводка М-82, совершил только 7 полетов. Нарком А.И. Шахурин отмечал, что произош</w:t>
      </w:r>
      <w:r w:rsidRPr="00640820">
        <w:rPr>
          <w:rFonts w:ascii="Times New Roman" w:hAnsi="Times New Roman"/>
          <w:color w:val="000000" w:themeColor="text1"/>
          <w:sz w:val="16"/>
          <w:szCs w:val="16"/>
        </w:rPr>
        <w:softHyphen/>
        <w:t>ло это потому, что главный конструк</w:t>
      </w:r>
      <w:r w:rsidRPr="00640820">
        <w:rPr>
          <w:rFonts w:ascii="Times New Roman" w:hAnsi="Times New Roman"/>
          <w:color w:val="000000" w:themeColor="text1"/>
          <w:sz w:val="16"/>
          <w:szCs w:val="16"/>
        </w:rPr>
        <w:softHyphen/>
        <w:t>тор завода №33 Ф.А.Коротков пе</w:t>
      </w:r>
      <w:r w:rsidRPr="00640820">
        <w:rPr>
          <w:rFonts w:ascii="Times New Roman" w:hAnsi="Times New Roman"/>
          <w:color w:val="000000" w:themeColor="text1"/>
          <w:sz w:val="16"/>
          <w:szCs w:val="16"/>
        </w:rPr>
        <w:softHyphen/>
        <w:t>редоверил доводку карбюратора и РПД (регулятора постоянства давле</w:t>
      </w:r>
      <w:r w:rsidRPr="00640820">
        <w:rPr>
          <w:rFonts w:ascii="Times New Roman" w:hAnsi="Times New Roman"/>
          <w:color w:val="000000" w:themeColor="text1"/>
          <w:sz w:val="16"/>
          <w:szCs w:val="16"/>
        </w:rPr>
        <w:softHyphen/>
        <w:t>ния) второстепенным работникам и не обеспечил доводку квалифицирован</w:t>
      </w:r>
      <w:r w:rsidRPr="00640820">
        <w:rPr>
          <w:rFonts w:ascii="Times New Roman" w:hAnsi="Times New Roman"/>
          <w:color w:val="000000" w:themeColor="text1"/>
          <w:sz w:val="16"/>
          <w:szCs w:val="16"/>
        </w:rPr>
        <w:softHyphen/>
        <w:t>ными рабочими и инструментом. Представитель завода №19 т. Зас-калько предпочел быть посторонним наблюдателем, 3-я лаборатория ЛИИ в лице тт. Исакова и Туманского не смогла объединить работу заводов №№19 и 33, конструктор самолета т. Сухой ко всем неполадкам отнесся либерально, а врио начальника ЛИИ т. Чесалов допустил кустарщину в ре</w:t>
      </w:r>
      <w:r w:rsidRPr="00640820">
        <w:rPr>
          <w:rFonts w:ascii="Times New Roman" w:hAnsi="Times New Roman"/>
          <w:color w:val="000000" w:themeColor="text1"/>
          <w:sz w:val="16"/>
          <w:szCs w:val="16"/>
        </w:rPr>
        <w:softHyphen/>
        <w:t>шении срочного технического вопро</w:t>
      </w:r>
      <w:r w:rsidRPr="00640820">
        <w:rPr>
          <w:rFonts w:ascii="Times New Roman" w:hAnsi="Times New Roman"/>
          <w:color w:val="000000" w:themeColor="text1"/>
          <w:sz w:val="16"/>
          <w:szCs w:val="16"/>
        </w:rPr>
        <w:softHyphen/>
        <w:t>са и пустил дело на самотек (10686).</w:t>
      </w:r>
    </w:p>
    <w:p w14:paraId="707CBC7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5714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 1941 были закончены совместные испытания планера Гр-29 В.К.Грибовского, которые начались 1 сентября 1941 (94,61). Летные испытания, показали вполне приемлемые пилотажные характеристики Г-29. Для смещения центровки пустого планера вперед (это требование ВВС, на случай продолжения полета планера после покидания его десантниками на парашютах), в серии крыло передвинули немного вперед. При этом, в посадочной конфигурации с выпущенными щитками, стала наблюдаться тряска хвостового оперения. Тряску устранили путем устройства перфорации на щитках (11810).</w:t>
      </w:r>
    </w:p>
    <w:p w14:paraId="33BC07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F717AC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 1941 г. испытания ГР-29, которые шли со 2 сентября, завер</w:t>
      </w:r>
      <w:r w:rsidRPr="00640820">
        <w:rPr>
          <w:rFonts w:ascii="Times New Roman" w:hAnsi="Times New Roman"/>
          <w:color w:val="000000" w:themeColor="text1"/>
          <w:sz w:val="16"/>
          <w:szCs w:val="16"/>
        </w:rPr>
        <w:softHyphen/>
        <w:t>шились, а 11 сентября был подписан акт, рекомендовавший Гр-29 к серий</w:t>
      </w:r>
      <w:r w:rsidRPr="00640820">
        <w:rPr>
          <w:rFonts w:ascii="Times New Roman" w:hAnsi="Times New Roman"/>
          <w:color w:val="000000" w:themeColor="text1"/>
          <w:sz w:val="16"/>
          <w:szCs w:val="16"/>
        </w:rPr>
        <w:softHyphen/>
        <w:t>ному производству (12266).</w:t>
      </w:r>
    </w:p>
    <w:p w14:paraId="4F8001A7"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7CCC49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 1941 вышло Постановление ГКО № 646 Об оплате летчикам на заводах авиационной промышленности. РГАНИР, Фонд ГКО, д. 8, лл. 208 (11012).</w:t>
      </w:r>
    </w:p>
    <w:p w14:paraId="443DA0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B407B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 1941 вышло Постановление ГКО № 647 План выпуска самолетов и моторов на 1941 год и мобилизационная программа на 4 месяца (сентябрь-декабрь 1941 г.) по Наркомату авиационной промышленности. РГАНИР, Фонд ГКО, д. 8, лл. 209-212 (11012).</w:t>
      </w:r>
    </w:p>
    <w:p w14:paraId="43DA00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D5D7B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 1941 вышло постановление ГКО N 647сс с новым планом по выпуску самолетов в 1941 (2332).</w:t>
      </w:r>
    </w:p>
    <w:p w14:paraId="2647C0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9BD43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 1941 заводу 1 было присвоено имя И.В.С. (3951,3).</w:t>
      </w:r>
    </w:p>
    <w:p w14:paraId="5CD678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AD225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 1941 по просьбе трудово</w:t>
      </w:r>
      <w:r w:rsidRPr="00640820">
        <w:rPr>
          <w:rFonts w:ascii="Times New Roman" w:hAnsi="Times New Roman"/>
          <w:color w:val="000000" w:themeColor="text1"/>
          <w:sz w:val="16"/>
          <w:szCs w:val="16"/>
        </w:rPr>
        <w:softHyphen/>
        <w:t>го коллектива заводу №1 присвои</w:t>
      </w:r>
      <w:r w:rsidRPr="00640820">
        <w:rPr>
          <w:rFonts w:ascii="Times New Roman" w:hAnsi="Times New Roman"/>
          <w:color w:val="000000" w:themeColor="text1"/>
          <w:sz w:val="16"/>
          <w:szCs w:val="16"/>
        </w:rPr>
        <w:softHyphen/>
        <w:t>ли имя И.В. Сталина. В этот же день Постановлением ГКО №647 был принят новый план выпуска само</w:t>
      </w:r>
      <w:r w:rsidRPr="00640820">
        <w:rPr>
          <w:rFonts w:ascii="Times New Roman" w:hAnsi="Times New Roman"/>
          <w:color w:val="000000" w:themeColor="text1"/>
          <w:sz w:val="16"/>
          <w:szCs w:val="16"/>
        </w:rPr>
        <w:softHyphen/>
        <w:t>лётов и моторов на 1941 год и мобилизационная программа на четыре месяца войны. В связи с этим последовавшим 1 1 сентября прика</w:t>
      </w:r>
      <w:r w:rsidRPr="00640820">
        <w:rPr>
          <w:rFonts w:ascii="Times New Roman" w:hAnsi="Times New Roman"/>
          <w:color w:val="000000" w:themeColor="text1"/>
          <w:sz w:val="16"/>
          <w:szCs w:val="16"/>
        </w:rPr>
        <w:softHyphen/>
        <w:t>зом НКАП №968 программу выпус</w:t>
      </w:r>
      <w:r w:rsidRPr="00640820">
        <w:rPr>
          <w:rFonts w:ascii="Times New Roman" w:hAnsi="Times New Roman"/>
          <w:color w:val="000000" w:themeColor="text1"/>
          <w:sz w:val="16"/>
          <w:szCs w:val="16"/>
        </w:rPr>
        <w:softHyphen/>
        <w:t>ка штурмовиков на заводе №1 уве</w:t>
      </w:r>
      <w:r w:rsidRPr="00640820">
        <w:rPr>
          <w:rFonts w:ascii="Times New Roman" w:hAnsi="Times New Roman"/>
          <w:color w:val="000000" w:themeColor="text1"/>
          <w:sz w:val="16"/>
          <w:szCs w:val="16"/>
        </w:rPr>
        <w:softHyphen/>
        <w:t>личили до 600 машин с поставкой 40 в октябре, 200 в ноябре и 360 в декабре. План производства МиГ-3 в 1941 г. заводу утвердили на уров</w:t>
      </w:r>
      <w:r w:rsidRPr="00640820">
        <w:rPr>
          <w:rFonts w:ascii="Times New Roman" w:hAnsi="Times New Roman"/>
          <w:color w:val="000000" w:themeColor="text1"/>
          <w:sz w:val="16"/>
          <w:szCs w:val="16"/>
        </w:rPr>
        <w:softHyphen/>
        <w:t>не 3341 самолёта, при этом утвер</w:t>
      </w:r>
      <w:r w:rsidRPr="00640820">
        <w:rPr>
          <w:rFonts w:ascii="Times New Roman" w:hAnsi="Times New Roman"/>
          <w:color w:val="000000" w:themeColor="text1"/>
          <w:sz w:val="16"/>
          <w:szCs w:val="16"/>
        </w:rPr>
        <w:softHyphen/>
        <w:t>ждённую ранее программу выпус</w:t>
      </w:r>
      <w:r w:rsidRPr="00640820">
        <w:rPr>
          <w:rFonts w:ascii="Times New Roman" w:hAnsi="Times New Roman"/>
          <w:color w:val="000000" w:themeColor="text1"/>
          <w:sz w:val="16"/>
          <w:szCs w:val="16"/>
        </w:rPr>
        <w:softHyphen/>
        <w:t>ка истребителей в оставшиеся че</w:t>
      </w:r>
      <w:r w:rsidRPr="00640820">
        <w:rPr>
          <w:rFonts w:ascii="Times New Roman" w:hAnsi="Times New Roman"/>
          <w:color w:val="000000" w:themeColor="text1"/>
          <w:sz w:val="16"/>
          <w:szCs w:val="16"/>
        </w:rPr>
        <w:softHyphen/>
        <w:t>тыре месяца сохранили (11761).</w:t>
      </w:r>
    </w:p>
    <w:p w14:paraId="5AFA241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46A2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 1941 года Постановлением ГКО № 761сс и приказом НКАП № 1053сс от 4 января 1942 года завод № 207 со всем оборудованием и кадрами бл эвакуирован в Молотов, где был объединен с заводом № 135. С этого времени завод прекратил свое самостоятельное существование как завод № 207.</w:t>
      </w:r>
    </w:p>
    <w:p w14:paraId="35C877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эвакуации на площадке завода, согласно приказу НКАП № 93с от 2 февраля 1942 года организуются авиаремонтные мастерские, которые используют частично оставленное оборудование. Мастерским присваивается наименование завод № 462 с профилем работ – ремонт самолетов.</w:t>
      </w:r>
    </w:p>
    <w:p w14:paraId="66A903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1943 году на заводе было освоено изготовление запчастей самолета МИГ-3.</w:t>
      </w:r>
    </w:p>
    <w:p w14:paraId="7CF4AA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1943 году приказом НКАП № 416с от 14 июля на площадь завода № 462 был влит завод № 464, входящий в 11 Гл. управление НКАП. Объединенному заводу присваивается № 464 НКАП с программой выпуска самолетов ЯК-6.</w:t>
      </w:r>
    </w:p>
    <w:p w14:paraId="513875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том же 1943 году Постановлением ГКО № 3977с от 25 августа и приказом НКАП № 516с от 27 августа завод перешел на серийное изготовление самолетов типа У-2, производство которых продолжалось до второго полугодия 1945 года. Во второй половине 1945 года завод получил задание по подготовке производства к выпуску самолетов типа ЯК-10, однако, в связи с последующим решением ГКО № 404с от 20 октября 1945 года заводу поручили изготовление радиоприемников типа “Маршал”.</w:t>
      </w:r>
    </w:p>
    <w:p w14:paraId="7E09F0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второго квартала 1946 года заводу была спущена программа по выпуску самолета типа ЯК-10 и запчасти к самолету ПО-2. Завод снова стал самолетостроительным.</w:t>
      </w:r>
    </w:p>
    <w:p w14:paraId="5E6165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Решением Правительства за № 493-192сс от 11 марта 1947 года и приказом МАП за № 244с от 21 апреля 1947 года завод получил профиль опытного самолетостроительного завода гл. конструктора Яковлева А.С. с выполнением задания по производству новых опытных самолетов по тематическому плану.</w:t>
      </w:r>
    </w:p>
    <w:p w14:paraId="5977E4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Постановлением СМ от 12 июля 1948 года завод переводится на серийное самолетостроение с производственной программой по выпуску самолетов ЯК-12.</w:t>
      </w:r>
    </w:p>
    <w:p w14:paraId="678814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Постановлением СМ № 1397-507сс от 6 апреля 1950 года и приказом МАП №№ 511сс/оп и 512сс от 12 апреля 1952 года завод перешел на подготовку производства самолетов ЯК-12Р с редукторным мотором М-12Р, который значительно улучшает летно-эксплуатационные данные самолета связи. Выпуск самолета ЯК-12Р был запланирован в 1951 году.</w:t>
      </w:r>
    </w:p>
    <w:p w14:paraId="6A8812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Приказами МАП от 2 июня 1951 года производство самолетов ЯК-12Р на заводе было прекращено, все заделы, оснастка и техдокументация по самолету были переданы заводу № 387 МАП.</w:t>
      </w:r>
    </w:p>
    <w:p w14:paraId="013E61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ст. Долгопрудная Московской области, п/я 1078</w:t>
      </w:r>
    </w:p>
    <w:p w14:paraId="511F32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1953 году 28 марта в соответствии с Постановлением СМ приказом № 30сс МОП завод № 464 переходит из ведения МАП в МОП (9559).</w:t>
      </w:r>
    </w:p>
    <w:p w14:paraId="34EFA9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651C78B" w14:textId="77777777" w:rsidR="007935BB" w:rsidRPr="00640820" w:rsidRDefault="007935BB" w:rsidP="00640820">
      <w:pPr>
        <w:pStyle w:val="ae"/>
        <w:shd w:val="clear" w:color="auto" w:fill="FFFFFF"/>
        <w:spacing w:before="0" w:after="0"/>
        <w:jc w:val="both"/>
        <w:textAlignment w:val="baseline"/>
        <w:rPr>
          <w:color w:val="0070C0"/>
          <w:sz w:val="16"/>
          <w:szCs w:val="16"/>
        </w:rPr>
      </w:pPr>
      <w:r w:rsidRPr="00640820">
        <w:rPr>
          <w:color w:val="0070C0"/>
          <w:sz w:val="16"/>
          <w:szCs w:val="16"/>
        </w:rPr>
        <w:t>8 сентября 1941 года прошли заводские испытания установки из двенадцать авиационных направляющих типа «Флейта» с пиропистолетами на специальной трубчатой платформе, которая монтировалась в том месте, где обычно крепится люлька мотоцикла. Было сделано одиннадцать пусков оператором, находившимся на мотоцикле. В акте отмечалось, что принципиальные вопросы ведения ракетного огня с предложенного шасси решены положительно: прочность и экранизация от действия газовой струи оказались удовлетворительными. Но были указаны и недостатки: сбивание горизонтальной наводки после каждого выстрела; неудобство работы с механизмом вертикальной наводки; большое время перезарядки (до 4 минут). Рекомендовалось усилить платформу, а её низ во избежание попадания грязи в направляющие обшить металлическим листом. Установка была представлена на полигонные испытания, которые прошли 17 сентября и продемонстрировали, что она не удовлетворяет требованиям поля боя: шесть снарядов из двенадцати запущенных взорвались на расстоянии 50 м, а мотоцикл всё время падал на бок. Экзотический проект был отвергнут (19941).</w:t>
      </w:r>
    </w:p>
    <w:p w14:paraId="2A60F06C" w14:textId="77777777" w:rsidR="007935BB" w:rsidRPr="00640820" w:rsidRDefault="007935BB" w:rsidP="00640820">
      <w:pPr>
        <w:pStyle w:val="ae"/>
        <w:shd w:val="clear" w:color="auto" w:fill="FFFFFF"/>
        <w:spacing w:before="0" w:after="0"/>
        <w:jc w:val="both"/>
        <w:textAlignment w:val="baseline"/>
        <w:rPr>
          <w:color w:val="0070C0"/>
          <w:sz w:val="16"/>
          <w:szCs w:val="16"/>
        </w:rPr>
      </w:pPr>
    </w:p>
    <w:p w14:paraId="3C60FD7A"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6FE91785"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FABB65E" w14:textId="77777777" w:rsidR="007935BB" w:rsidRPr="00640820" w:rsidRDefault="007935BB"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8 сентября 1941 г., когда кольцо блокады вокруг Ленинграда замкнулось, и линия фронта приблизилась к цехам на расстояние 1 -2 км, на пороховом заводе № 6 НКБ смогли изготовить до конца года 107т баллиститного пороха и переработать его в минометные заряды для частей Красной Армии, оборонявших Ленинград.</w:t>
      </w:r>
    </w:p>
    <w:p w14:paraId="298037A6" w14:textId="77777777" w:rsidR="007935BB" w:rsidRPr="00640820" w:rsidRDefault="007935B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войны пороховые шашки с незначительными дефектами отбрако</w:t>
      </w:r>
      <w:r w:rsidRPr="00640820">
        <w:rPr>
          <w:rFonts w:ascii="Times New Roman" w:hAnsi="Times New Roman"/>
          <w:color w:val="000000" w:themeColor="text1"/>
          <w:sz w:val="16"/>
          <w:szCs w:val="16"/>
        </w:rPr>
        <w:softHyphen/>
        <w:t>вывали в ОТК. В условиях войны это стало непозволительной роскошью. Руководитель военной приемки завода № 59, военинженер 2 ранга Л.М.Поляков на основе положительных результатов контрольных испы</w:t>
      </w:r>
      <w:r w:rsidRPr="00640820">
        <w:rPr>
          <w:rFonts w:ascii="Times New Roman" w:hAnsi="Times New Roman"/>
          <w:color w:val="000000" w:themeColor="text1"/>
          <w:sz w:val="16"/>
          <w:szCs w:val="16"/>
        </w:rPr>
        <w:softHyphen/>
        <w:t>таний предложил ослабить жесткие требования к дефектам внешнего вида, то есть перейти на «технологии военного времени». На начальном этапе войны они лишь затрагивали равномерное включение в комплекты РЗ шашек с царапинами и вмятинами на поверхности, незначительными инородными включениями и торцевыми сколами. Это способствовало увеличению поставок РЗ для фронта без ущерба для качества боеприпасов.</w:t>
      </w:r>
    </w:p>
    <w:p w14:paraId="36E3ACC1" w14:textId="77777777" w:rsidR="007935BB" w:rsidRPr="00640820" w:rsidRDefault="007935BB"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Эвакуация предприятий ОПК с территорий, которым угрожала окку</w:t>
      </w:r>
      <w:r w:rsidRPr="00640820">
        <w:rPr>
          <w:rFonts w:ascii="Times New Roman" w:hAnsi="Times New Roman"/>
          <w:color w:val="000000" w:themeColor="text1"/>
          <w:sz w:val="16"/>
          <w:szCs w:val="16"/>
        </w:rPr>
        <w:softHyphen/>
        <w:t>пация, проводилась с таким расчетом, чтобы возможно дольше продолжать выпуск боевой продукции в соответствии с указанием ГКО «Выда</w:t>
      </w:r>
      <w:r w:rsidRPr="00640820">
        <w:rPr>
          <w:rFonts w:ascii="Times New Roman" w:hAnsi="Times New Roman"/>
          <w:color w:val="000000" w:themeColor="text1"/>
          <w:sz w:val="16"/>
          <w:szCs w:val="16"/>
        </w:rPr>
        <w:softHyphen/>
        <w:t>вать продукцию до последней возможности!». Надо отдать должное абве</w:t>
      </w:r>
      <w:r w:rsidRPr="00640820">
        <w:rPr>
          <w:rFonts w:ascii="Times New Roman" w:hAnsi="Times New Roman"/>
          <w:color w:val="000000" w:themeColor="text1"/>
          <w:sz w:val="16"/>
          <w:szCs w:val="16"/>
        </w:rPr>
        <w:softHyphen/>
        <w:t>ру, накануне войны немецкий генеральный штаб располагал достаточно определенной информацией о заводе № 59 Д.Г.Бидинского и его продук</w:t>
      </w:r>
      <w:r w:rsidRPr="00640820">
        <w:rPr>
          <w:rFonts w:ascii="Times New Roman" w:hAnsi="Times New Roman"/>
          <w:color w:val="000000" w:themeColor="text1"/>
          <w:sz w:val="16"/>
          <w:szCs w:val="16"/>
        </w:rPr>
        <w:softHyphen/>
        <w:t>ции. Самолетам люфтваффе было категорически запрещено бомбить за</w:t>
      </w:r>
      <w:r w:rsidRPr="00640820">
        <w:rPr>
          <w:rFonts w:ascii="Times New Roman" w:hAnsi="Times New Roman"/>
          <w:color w:val="000000" w:themeColor="text1"/>
          <w:sz w:val="16"/>
          <w:szCs w:val="16"/>
        </w:rPr>
        <w:softHyphen/>
        <w:t>водские корпуса. Зато вокруг все предприятия, электростанции и рабо</w:t>
      </w:r>
      <w:r w:rsidRPr="00640820">
        <w:rPr>
          <w:rFonts w:ascii="Times New Roman" w:hAnsi="Times New Roman"/>
          <w:color w:val="000000" w:themeColor="text1"/>
          <w:sz w:val="16"/>
          <w:szCs w:val="16"/>
        </w:rPr>
        <w:softHyphen/>
        <w:t>чие поселки были практически уничтожены с воздуха.</w:t>
      </w:r>
    </w:p>
    <w:p w14:paraId="57672C99" w14:textId="77777777" w:rsidR="007935BB" w:rsidRPr="00640820" w:rsidRDefault="007935BB"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Столь откровенные действия противника не могли остаться незаме</w:t>
      </w:r>
      <w:r w:rsidRPr="00640820">
        <w:rPr>
          <w:rFonts w:ascii="Times New Roman" w:hAnsi="Times New Roman"/>
          <w:color w:val="000000" w:themeColor="text1"/>
          <w:sz w:val="16"/>
          <w:szCs w:val="16"/>
        </w:rPr>
        <w:softHyphen/>
        <w:t>ченными. Советское командование, разгадав намерения врага, органи</w:t>
      </w:r>
      <w:r w:rsidRPr="00640820">
        <w:rPr>
          <w:rFonts w:ascii="Times New Roman" w:hAnsi="Times New Roman"/>
          <w:color w:val="000000" w:themeColor="text1"/>
          <w:sz w:val="16"/>
          <w:szCs w:val="16"/>
        </w:rPr>
        <w:softHyphen/>
        <w:t>зовало сильную оборону данного участка фронта. Предприятие в макси</w:t>
      </w:r>
      <w:r w:rsidRPr="00640820">
        <w:rPr>
          <w:rFonts w:ascii="Times New Roman" w:hAnsi="Times New Roman"/>
          <w:color w:val="000000" w:themeColor="text1"/>
          <w:sz w:val="16"/>
          <w:szCs w:val="16"/>
        </w:rPr>
        <w:softHyphen/>
        <w:t>мальной степени замаскировали, сделав его практически незаметным с воздуха. Кроме того, чтобы ввести в заблуждение воздушную разведку, в 10 км построили его действующий макет с дымящимися трубами и ин</w:t>
      </w:r>
      <w:r w:rsidRPr="00640820">
        <w:rPr>
          <w:rFonts w:ascii="Times New Roman" w:hAnsi="Times New Roman"/>
          <w:color w:val="000000" w:themeColor="text1"/>
          <w:sz w:val="16"/>
          <w:szCs w:val="16"/>
        </w:rPr>
        <w:softHyphen/>
        <w:t>тенсивными перемещениями людей и автотранспорта. Мероприятия по маскировке преследовали единственную цель - обеспечить подготовку и эвакуацию завода при минимальном противодействии противника. Между тем, четырьмя эшелонами заранее эвакуировали семьи рабочих, оставив в цехах около 500 человек, обслуживающих производство.</w:t>
      </w:r>
    </w:p>
    <w:p w14:paraId="2C26C42C" w14:textId="77777777" w:rsidR="007935BB" w:rsidRPr="00640820" w:rsidRDefault="007935BB"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западном направлении в 20 км от завода №59 подразделения вер</w:t>
      </w:r>
      <w:r w:rsidRPr="00640820">
        <w:rPr>
          <w:rFonts w:ascii="Times New Roman" w:hAnsi="Times New Roman"/>
          <w:color w:val="000000" w:themeColor="text1"/>
          <w:sz w:val="16"/>
          <w:szCs w:val="16"/>
        </w:rPr>
        <w:softHyphen/>
        <w:t>махта натолкнулись на мощную оборону и, понеся значительные потери, отказались от лобовых атак, начав охватывать этот район с обеих сторон. Однако, замкнуть кольцо никак не удавалось - советские войска стояли насмерть, ценой больших потерь не позволяя сделать это. Противник продолжил свое продвижение вперед, уверенный в том, что у русских не хватит сил на прикрытие длинного коридора, рано или поздно образует</w:t>
      </w:r>
      <w:r w:rsidRPr="00640820">
        <w:rPr>
          <w:rFonts w:ascii="Times New Roman" w:hAnsi="Times New Roman"/>
          <w:color w:val="000000" w:themeColor="text1"/>
          <w:sz w:val="16"/>
          <w:szCs w:val="16"/>
        </w:rPr>
        <w:softHyphen/>
        <w:t>ся слабое место в обороне, а тогда без больших проблем можно будет уничтожить всю группировку. В течение трех месяцев, пока завод №59 ра</w:t>
      </w:r>
      <w:r w:rsidRPr="00640820">
        <w:rPr>
          <w:rFonts w:ascii="Times New Roman" w:hAnsi="Times New Roman"/>
          <w:color w:val="000000" w:themeColor="text1"/>
          <w:sz w:val="16"/>
          <w:szCs w:val="16"/>
        </w:rPr>
        <w:softHyphen/>
        <w:t>ботал на полную мощность и выдавал продукцию, коридор растянулся на несколько десятков километров. Оставшиеся на заводе работали кругло</w:t>
      </w:r>
      <w:r w:rsidRPr="00640820">
        <w:rPr>
          <w:rFonts w:ascii="Times New Roman" w:hAnsi="Times New Roman"/>
          <w:color w:val="000000" w:themeColor="text1"/>
          <w:sz w:val="16"/>
          <w:szCs w:val="16"/>
        </w:rPr>
        <w:softHyphen/>
        <w:t>суточно в две смены по 12-14 ч. Спали тут же, в цехах. В целях соблюде</w:t>
      </w:r>
      <w:r w:rsidRPr="00640820">
        <w:rPr>
          <w:rFonts w:ascii="Times New Roman" w:hAnsi="Times New Roman"/>
          <w:color w:val="000000" w:themeColor="text1"/>
          <w:sz w:val="16"/>
          <w:szCs w:val="16"/>
        </w:rPr>
        <w:softHyphen/>
        <w:t>ния светомаскировки, люди трудились практически при отсутствии осве</w:t>
      </w:r>
      <w:r w:rsidRPr="00640820">
        <w:rPr>
          <w:rFonts w:ascii="Times New Roman" w:hAnsi="Times New Roman"/>
          <w:color w:val="000000" w:themeColor="text1"/>
          <w:sz w:val="16"/>
          <w:szCs w:val="16"/>
        </w:rPr>
        <w:softHyphen/>
        <w:t>щения, изумляя самоотверженностью труда. К примеру, слесарь Кондратенко за это время превысил индивидуальную годовую норму продукции. С 22 июня и до эвакуации на заводе №59 изготовили 3160 т баллиститных порохов, переработанных в десятки тысяч комплектов ракетных зарядов для РС, а также минометные и артиллерийские заряды (11402).</w:t>
      </w:r>
    </w:p>
    <w:p w14:paraId="6640969C" w14:textId="77777777" w:rsidR="007935BB" w:rsidRPr="00640820" w:rsidRDefault="007935BB"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3840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 1941 г. в соответствии с пост. ГКО № 641 цеха завода № 60 НКВ были эвакуированы на заводы № 537 (патронный цех), № 540, № 541, № 543, № 545 (865 станков и 5 прессов, 671 человек), в Барнаул на завод № 17 и на ремонтный завод НКместпрома Киргизской ССР ( г. Фрунзе).</w:t>
      </w:r>
      <w:r w:rsidRPr="00640820">
        <w:rPr>
          <w:rFonts w:ascii="Times New Roman" w:hAnsi="Times New Roman"/>
          <w:color w:val="000000" w:themeColor="text1"/>
          <w:sz w:val="16"/>
          <w:szCs w:val="16"/>
          <w:vertAlign w:val="superscript"/>
        </w:rPr>
        <w:t>92</w:t>
      </w:r>
      <w:r w:rsidRPr="00640820">
        <w:rPr>
          <w:rFonts w:ascii="Times New Roman" w:hAnsi="Times New Roman"/>
          <w:color w:val="000000" w:themeColor="text1"/>
          <w:sz w:val="16"/>
          <w:szCs w:val="16"/>
        </w:rPr>
        <w:t xml:space="preserve"> Продолжил действовать под № 60 в  г. Фрунзе.</w:t>
      </w:r>
    </w:p>
    <w:p w14:paraId="7504D5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старом месте образован завод № 270.</w:t>
      </w:r>
    </w:p>
    <w:p w14:paraId="55700C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Далее завод № 60 переименован в Фрунзенский машиностроительный завод им. В.И. Ленина. В 1997 г. завод акционирован. В результате приватизации образованы ОАО «Бишкекский машиностроительный завод» и ГП «Бишкекский штамповочный завод», (возможно, далее это- Бишекский патронный завод). Производство патронов для стрелкового оружия.</w:t>
      </w:r>
    </w:p>
    <w:p w14:paraId="46A524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(1905 г.)- г-м Кабалевский. Директор (-03.1937-01,1938 г.-)- П.И. Шелковый.</w:t>
      </w:r>
    </w:p>
    <w:p w14:paraId="486695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Начальник строительства (12.1937 г.)- Абалкапн. Зам. директора (-1935 г.)- М.В. Хруничев, (16.05.1937 г.-)-  Г.Я. Соломко, (1938 г.)- Долгалев. Помощник директора: (1932 г.-)- М.В. Хруничев, (-21.11.1938 г.)- </w:t>
      </w:r>
      <w:r w:rsidRPr="00640820">
        <w:rPr>
          <w:rFonts w:ascii="Times New Roman" w:hAnsi="Times New Roman"/>
          <w:color w:val="000000" w:themeColor="text1"/>
          <w:sz w:val="16"/>
          <w:szCs w:val="16"/>
          <w:lang w:val="en-US"/>
        </w:rPr>
        <w:t>JI</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Ходос (снят); по найму и увольнению (14.08.1938 г.-)- Т.А. Соляной.</w:t>
      </w:r>
    </w:p>
    <w:p w14:paraId="2280F3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(-21.04.1937 г.)- С.И. Ветошкин, (16.05.1937-38 г.-)-  Г.Я. Соломко.</w:t>
      </w:r>
      <w:r w:rsidRPr="00640820">
        <w:rPr>
          <w:rFonts w:ascii="Times New Roman" w:hAnsi="Times New Roman"/>
          <w:color w:val="000000" w:themeColor="text1"/>
          <w:sz w:val="16"/>
          <w:szCs w:val="16"/>
          <w:vertAlign w:val="superscript"/>
        </w:rPr>
        <w:t>139</w:t>
      </w:r>
    </w:p>
    <w:p w14:paraId="481916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автоматическая роторная линия по изготовлению охотничьих гильз ЛОГ-12 (1962)- 4 (11982).</w:t>
      </w:r>
    </w:p>
    <w:p w14:paraId="057CECBF" w14:textId="77777777" w:rsidR="00EA1479" w:rsidRPr="00640820" w:rsidRDefault="00EA1479" w:rsidP="00640820">
      <w:pPr>
        <w:spacing w:after="0" w:line="240" w:lineRule="auto"/>
        <w:jc w:val="both"/>
        <w:rPr>
          <w:rFonts w:ascii="Times New Roman" w:hAnsi="Times New Roman"/>
          <w:color w:val="000000" w:themeColor="text1"/>
          <w:sz w:val="16"/>
          <w:szCs w:val="16"/>
        </w:rPr>
      </w:pPr>
    </w:p>
    <w:p w14:paraId="24931CE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 1941 г. из ПРОТОКОЛА ЗАСЕДАНИЯ БЮРО НОВОСИБИРСКОГО ОБКОМА ВК</w:t>
      </w:r>
      <w:r w:rsidR="004A55CA" w:rsidRPr="00640820">
        <w:rPr>
          <w:rFonts w:ascii="Times New Roman" w:hAnsi="Times New Roman"/>
          <w:color w:val="000000" w:themeColor="text1"/>
          <w:sz w:val="16"/>
          <w:szCs w:val="16"/>
        </w:rPr>
        <w:t>П</w:t>
      </w:r>
      <w:r w:rsidRPr="00640820">
        <w:rPr>
          <w:rFonts w:ascii="Times New Roman" w:hAnsi="Times New Roman"/>
          <w:color w:val="000000" w:themeColor="text1"/>
          <w:sz w:val="16"/>
          <w:szCs w:val="16"/>
        </w:rPr>
        <w:t>б) «О МЕРОПРИЯТИЯХ ПО ВЫПОЛНЕНИЮ ПОСТАНОВЛЕНИЯ ГКО ОТ 22 АВГУСТА 1941 г.»</w:t>
      </w:r>
    </w:p>
    <w:p w14:paraId="3AC78DC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Особая папка</w:t>
      </w:r>
    </w:p>
    <w:p w14:paraId="1496BAF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Государственный Комитет Обороны установил, что предприятия, производящие боеприпасы и элементы боеприпасов, должны снабжаться в первую очередь, впереди всех других военных заказов — оборудовани­ем, рабочей силой, материалами, всем необходимым в целях увеличения производства боеприпасов.</w:t>
      </w:r>
    </w:p>
    <w:p w14:paraId="758EC3D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этим указанием ГКО от 22 августа 1941 года бюро обкома ВКЩб) ПОСТАНОВЛЯЕТ:</w:t>
      </w:r>
    </w:p>
    <w:p w14:paraId="00FBAE2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Обязать т. Зобнина (облплан), секретарей горкомов ВКЩб) до 8 сентября выявить на предприятиях бездействующее и незагруженное оборудование и внести в обком ВКП(б) предложения о мобилизации это­го оборудования для увеличения производства боеприпасов.</w:t>
      </w:r>
    </w:p>
    <w:p w14:paraId="5253E34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Обязать директора завода № 153 в двухсуточный срок передать комбинату № 179 для немедленного использования на производстве бое­припасов оборудование, согласно приложенного списка.</w:t>
      </w:r>
    </w:p>
    <w:p w14:paraId="7742287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Поручить т. Гришину (председателю облисполкома) провести мо­билизацию внутри области кабеля для обеспечения нужд комбината № 392 Наркомата боеприпасов.</w:t>
      </w:r>
    </w:p>
    <w:p w14:paraId="4016C86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Обязать т. Толстова (директора завода № 564) в 5-дневный срок вы­явить на предприятиях области пригодное незагруженное оборудование в целях использования его на заводе для производства боеприпасов.</w:t>
      </w:r>
    </w:p>
    <w:p w14:paraId="4512DE6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5. Обязать тт. Пушкова, Мощук, Самодумова обеспечить личный кон­троль за первоочередным, быстрейшим продвижением транспорта и от­дельных вагонов с </w:t>
      </w:r>
      <w:r w:rsidR="003B0340" w:rsidRPr="00640820">
        <w:rPr>
          <w:rFonts w:ascii="Times New Roman" w:hAnsi="Times New Roman"/>
          <w:color w:val="000000" w:themeColor="text1"/>
          <w:sz w:val="16"/>
          <w:szCs w:val="16"/>
        </w:rPr>
        <w:fldChar w:fldCharType="begin"/>
      </w:r>
      <w:r w:rsidR="003B0340" w:rsidRPr="00640820">
        <w:rPr>
          <w:rFonts w:ascii="Times New Roman" w:hAnsi="Times New Roman"/>
          <w:color w:val="000000" w:themeColor="text1"/>
          <w:sz w:val="16"/>
          <w:szCs w:val="16"/>
        </w:rPr>
        <w:instrText xml:space="preserve">ref HYPERLINK "http://ritual-sw.ru/service/gruz200/" \* MERGEFORMAT </w:instrText>
      </w:r>
      <w:r w:rsidR="003B0340" w:rsidRPr="00640820">
        <w:rPr>
          <w:rFonts w:ascii="Times New Roman" w:hAnsi="Times New Roman"/>
          <w:color w:val="000000" w:themeColor="text1"/>
          <w:sz w:val="16"/>
          <w:szCs w:val="16"/>
        </w:rPr>
        <w:fldChar w:fldCharType="separate"/>
      </w:r>
      <w:r w:rsidRPr="00640820">
        <w:rPr>
          <w:rFonts w:ascii="Times New Roman" w:hAnsi="Times New Roman"/>
          <w:color w:val="000000" w:themeColor="text1"/>
          <w:sz w:val="16"/>
          <w:szCs w:val="16"/>
        </w:rPr>
        <w:t>грузами</w:t>
      </w:r>
      <w:r w:rsidR="003B0340" w:rsidRPr="00640820">
        <w:rPr>
          <w:rFonts w:ascii="Times New Roman" w:hAnsi="Times New Roman"/>
          <w:color w:val="000000" w:themeColor="text1"/>
          <w:sz w:val="16"/>
          <w:szCs w:val="16"/>
        </w:rPr>
        <w:fldChar w:fldCharType="end"/>
      </w:r>
      <w:r w:rsidRPr="00640820">
        <w:rPr>
          <w:rFonts w:ascii="Times New Roman" w:hAnsi="Times New Roman"/>
          <w:color w:val="000000" w:themeColor="text1"/>
          <w:sz w:val="16"/>
          <w:szCs w:val="16"/>
        </w:rPr>
        <w:t>, идущими в адрес заводов боеприпасов.</w:t>
      </w:r>
    </w:p>
    <w:p w14:paraId="7FE9E33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Обязать секретарей Новосибирского и Кемеровского горкомов ВКП(б) тт. Яковлева и Казанского, директора филиала завода № 188 т. Самойлова и комбината № 392 т. Горского разработать и представить в обком ВКП(б) к 12 сентября 1941 года график восстановления произ­водства по заводам № 188 и № 9 и принять все необходимые меры к ус­корению ввода в действие их оборудования и производства боеприпасов.</w:t>
      </w:r>
    </w:p>
    <w:p w14:paraId="4ABF773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Предложить Кемеровскому и Новосибирскому горкомам ВКП(б) оказать заводам боеприпасов всяческую помощь всем необходимым для выполнения ими мобилизационных планов по боеприпасам.</w:t>
      </w:r>
    </w:p>
    <w:p w14:paraId="2E4E8ED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Секретарь Новосибирского обкома ВКП(б) М. Кулагин</w:t>
      </w:r>
    </w:p>
    <w:p w14:paraId="16CBB27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ГАНО. Ф. П—4. Оп. 33. д. 503«б». Л.156-157. Подлинник.</w:t>
      </w:r>
    </w:p>
    <w:p w14:paraId="1F8A549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Подпись-автограф Кулагина. Документ (протокол № 209, п.8.) разослан 8 сентября 1941 г. в 17 адресов, в том числе: Гришину - облисполком, Финикову - уполномоченному Госплана и т.д. (Там же. Л. 159. Подлинник) (12216).</w:t>
      </w:r>
    </w:p>
    <w:p w14:paraId="18DB60F9"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3323F491" w14:textId="77777777" w:rsidR="00EA1479" w:rsidRPr="00640820" w:rsidRDefault="00EA1479" w:rsidP="00640820">
      <w:pPr>
        <w:pStyle w:val="ae"/>
        <w:shd w:val="clear" w:color="auto" w:fill="FFFFFF"/>
        <w:spacing w:before="0" w:after="0"/>
        <w:jc w:val="both"/>
        <w:rPr>
          <w:color w:val="000000" w:themeColor="text1"/>
          <w:sz w:val="16"/>
          <w:szCs w:val="16"/>
        </w:rPr>
      </w:pPr>
      <w:r w:rsidRPr="00640820">
        <w:rPr>
          <w:color w:val="000000" w:themeColor="text1"/>
          <w:sz w:val="16"/>
          <w:szCs w:val="16"/>
        </w:rPr>
        <w:t>8 сентября 1941 года главный инженер ЧТЗ С. Н. Махонин получил письмо завода № 92:</w:t>
      </w:r>
    </w:p>
    <w:p w14:paraId="056A3CCA" w14:textId="77777777" w:rsidR="00EA1479" w:rsidRPr="00640820" w:rsidRDefault="00EA1479" w:rsidP="00640820">
      <w:pPr>
        <w:pStyle w:val="ae"/>
        <w:shd w:val="clear" w:color="auto" w:fill="FFFFFF"/>
        <w:spacing w:before="0" w:after="0"/>
        <w:jc w:val="both"/>
        <w:rPr>
          <w:color w:val="000000" w:themeColor="text1"/>
          <w:sz w:val="16"/>
          <w:szCs w:val="16"/>
        </w:rPr>
      </w:pPr>
      <w:r w:rsidRPr="00640820">
        <w:rPr>
          <w:iCs/>
          <w:color w:val="000000" w:themeColor="text1"/>
          <w:sz w:val="16"/>
          <w:szCs w:val="16"/>
        </w:rPr>
        <w:t>«Нами разработана и находится в изготовлении спаренная установка 45 мм пушки со 107 мм пушкой ЗИС-6; при этом спаренный пулемет «ДТ» остался на прежнем месте.</w:t>
      </w:r>
    </w:p>
    <w:p w14:paraId="57AACA41" w14:textId="77777777" w:rsidR="00EA1479" w:rsidRPr="00640820" w:rsidRDefault="00EA1479" w:rsidP="00640820">
      <w:pPr>
        <w:pStyle w:val="ae"/>
        <w:shd w:val="clear" w:color="auto" w:fill="FFFFFF"/>
        <w:spacing w:before="0" w:after="0"/>
        <w:jc w:val="both"/>
        <w:rPr>
          <w:color w:val="000000" w:themeColor="text1"/>
          <w:sz w:val="16"/>
          <w:szCs w:val="16"/>
        </w:rPr>
      </w:pPr>
      <w:r w:rsidRPr="00640820">
        <w:rPr>
          <w:iCs/>
          <w:color w:val="000000" w:themeColor="text1"/>
          <w:sz w:val="16"/>
          <w:szCs w:val="16"/>
        </w:rPr>
        <w:t>Тактическое назначение данной установки очевидно: не тратить 107 мм снаряды по целям, которые могут с успехом поражаться 45 мм снарядами.</w:t>
      </w:r>
    </w:p>
    <w:p w14:paraId="4E1DF448" w14:textId="77777777" w:rsidR="00EA1479" w:rsidRPr="00640820" w:rsidRDefault="00EA1479" w:rsidP="00640820">
      <w:pPr>
        <w:pStyle w:val="ae"/>
        <w:shd w:val="clear" w:color="auto" w:fill="FFFFFF"/>
        <w:spacing w:before="0" w:after="0"/>
        <w:jc w:val="both"/>
        <w:rPr>
          <w:color w:val="000000" w:themeColor="text1"/>
          <w:sz w:val="16"/>
          <w:szCs w:val="16"/>
        </w:rPr>
      </w:pPr>
      <w:r w:rsidRPr="00640820">
        <w:rPr>
          <w:iCs/>
          <w:color w:val="000000" w:themeColor="text1"/>
          <w:sz w:val="16"/>
          <w:szCs w:val="16"/>
        </w:rPr>
        <w:t>В виду отсутствия на заводе танка КВ-3 мы эту установку для испытания опытного образца осуществляем в башне танка КВ-2.</w:t>
      </w:r>
    </w:p>
    <w:p w14:paraId="6E3151BC" w14:textId="77777777" w:rsidR="00EA1479" w:rsidRPr="00640820" w:rsidRDefault="00EA1479" w:rsidP="00640820">
      <w:pPr>
        <w:pStyle w:val="ae"/>
        <w:shd w:val="clear" w:color="auto" w:fill="FFFFFF"/>
        <w:spacing w:before="0" w:after="0"/>
        <w:jc w:val="both"/>
        <w:rPr>
          <w:color w:val="000000" w:themeColor="text1"/>
          <w:sz w:val="16"/>
          <w:szCs w:val="16"/>
        </w:rPr>
      </w:pPr>
      <w:r w:rsidRPr="00640820">
        <w:rPr>
          <w:iCs/>
          <w:color w:val="000000" w:themeColor="text1"/>
          <w:sz w:val="16"/>
          <w:szCs w:val="16"/>
        </w:rPr>
        <w:t>От Вашего конструктора т. Шнейдмана нам известно, что вы делаете новую башню для танка КВ-3. В виду явного преимущества иметь дополнительно в танке КВ-3 45 мм пушку и незначительных изменений в башне, вызываемых этой установкой, просим при изготовлении новой башни расширить амбразуру, изменить рамку и бронировку согласно прилагаемых чертежей спаренной установки. Так как мы не располагаем чертежами новой башни КВ-3, то оперируем старыми, что для принципиального решения вопроса не имеет значения.</w:t>
      </w:r>
    </w:p>
    <w:p w14:paraId="7519827E" w14:textId="77777777" w:rsidR="00EA1479" w:rsidRPr="00640820" w:rsidRDefault="00EA1479" w:rsidP="00640820">
      <w:pPr>
        <w:pStyle w:val="ae"/>
        <w:shd w:val="clear" w:color="auto" w:fill="FFFFFF"/>
        <w:spacing w:before="0" w:after="0"/>
        <w:jc w:val="both"/>
        <w:rPr>
          <w:color w:val="000000" w:themeColor="text1"/>
          <w:sz w:val="16"/>
          <w:szCs w:val="16"/>
        </w:rPr>
      </w:pPr>
      <w:r w:rsidRPr="00640820">
        <w:rPr>
          <w:iCs/>
          <w:color w:val="000000" w:themeColor="text1"/>
          <w:sz w:val="16"/>
          <w:szCs w:val="16"/>
        </w:rPr>
        <w:t>Одновременно просим разработать вариант укладки 107 и 45 мм патронов в башне КВ-3, для чего высылаем вам ориентировочный габаритный чертеж патрона 45 мм пушки».</w:t>
      </w:r>
    </w:p>
    <w:p w14:paraId="6EB01CDF" w14:textId="77777777" w:rsidR="00EA1479" w:rsidRPr="00640820" w:rsidRDefault="00EA1479" w:rsidP="00640820">
      <w:pPr>
        <w:pStyle w:val="ae"/>
        <w:shd w:val="clear" w:color="auto" w:fill="FFFFFF"/>
        <w:spacing w:before="0" w:after="0"/>
        <w:jc w:val="both"/>
        <w:rPr>
          <w:color w:val="000000" w:themeColor="text1"/>
          <w:sz w:val="16"/>
          <w:szCs w:val="16"/>
        </w:rPr>
      </w:pPr>
      <w:r w:rsidRPr="00640820">
        <w:rPr>
          <w:color w:val="000000" w:themeColor="text1"/>
          <w:sz w:val="16"/>
          <w:szCs w:val="16"/>
        </w:rPr>
        <w:t>В определенном смысле Грабин сделал попытку превратить КВ-3 в аналог КВ-4, где установка двух пушек (калибра 45 и 107 мм) предусматривалась в утверждённом техническом проекте Духова. Из письма одновременно следует, что для КВ-3 в Челябинске проектировали новую башню, поскольку штамповать её там было негде. Увы, к сентябрю 1941 года ЧТЗ стало совсем не до КВ-3: после эвакуации в Челябинск Кировского завода ЧТЗ стал единственным производителем КВ-1 (15614).</w:t>
      </w:r>
    </w:p>
    <w:p w14:paraId="75509603" w14:textId="77777777" w:rsidR="00EA1479" w:rsidRPr="00640820" w:rsidRDefault="00EA1479" w:rsidP="00640820">
      <w:pPr>
        <w:pStyle w:val="ae"/>
        <w:shd w:val="clear" w:color="auto" w:fill="FFFFFF"/>
        <w:spacing w:before="0" w:after="0"/>
        <w:jc w:val="both"/>
        <w:rPr>
          <w:color w:val="000000" w:themeColor="text1"/>
          <w:sz w:val="16"/>
          <w:szCs w:val="16"/>
        </w:rPr>
      </w:pPr>
    </w:p>
    <w:p w14:paraId="2F97ECCC" w14:textId="77777777" w:rsidR="004A55CA" w:rsidRPr="00640820" w:rsidRDefault="004A55CA"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8 сентября 1941 года главный инженер ЧТЗ С. Н. Махонин получил письмо с завода № 92:</w:t>
      </w:r>
    </w:p>
    <w:p w14:paraId="726423C0" w14:textId="77777777" w:rsidR="004A55CA" w:rsidRPr="00640820" w:rsidRDefault="004A55CA"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iCs/>
          <w:color w:val="000000" w:themeColor="text1"/>
          <w:sz w:val="16"/>
          <w:szCs w:val="16"/>
          <w:lang w:eastAsia="ru-RU"/>
        </w:rPr>
        <w:t>«Нами разработана и находится в изготовлении спаренная установка 45 мм пушки со 107 мм пушкой ЗИС-6; при этом спаренный пулемет «ДТ» остался на прежнем месте.</w:t>
      </w:r>
    </w:p>
    <w:p w14:paraId="06BC6E32" w14:textId="77777777" w:rsidR="004A55CA" w:rsidRPr="00640820" w:rsidRDefault="004A55CA"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iCs/>
          <w:color w:val="000000" w:themeColor="text1"/>
          <w:sz w:val="16"/>
          <w:szCs w:val="16"/>
          <w:lang w:eastAsia="ru-RU"/>
        </w:rPr>
        <w:t>Тактическое назначение данной установки очевидно: не тратить 107 мм снаряды по целям, которые могут с успехом поражаться 45 мм снарядами.</w:t>
      </w:r>
    </w:p>
    <w:p w14:paraId="05DC27F2" w14:textId="77777777" w:rsidR="004A55CA" w:rsidRPr="00640820" w:rsidRDefault="004A55CA"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iCs/>
          <w:color w:val="000000" w:themeColor="text1"/>
          <w:sz w:val="16"/>
          <w:szCs w:val="16"/>
          <w:lang w:eastAsia="ru-RU"/>
        </w:rPr>
        <w:t>В виду отсутствия на заводе танка КВ-3 мы эту установку для испытания опытного образца осуществляем в башне танка КВ-2.</w:t>
      </w:r>
    </w:p>
    <w:p w14:paraId="69F50FBB" w14:textId="77777777" w:rsidR="004A55CA" w:rsidRPr="00640820" w:rsidRDefault="004A55CA"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iCs/>
          <w:color w:val="000000" w:themeColor="text1"/>
          <w:sz w:val="16"/>
          <w:szCs w:val="16"/>
          <w:lang w:eastAsia="ru-RU"/>
        </w:rPr>
        <w:t>От Вашего конструктора т. Шнейдмана нам известно, что вы делаете новую башню для танка КВ-3. В виду явного преимущества иметь дополнительно в танке КВ-3 45 мм пушку и незначительных изменений в башне, вызываемых этой установкой, просим при изготовлении новой башни расширить амбразуру, изменить рамку и бронировку согласно прилагаемых чертежей спаренной установки. Так как мы не располагаем чертежами новой башни КВ-3, то оперируем старыми, что для принципиального решения вопроса не имеет значения.</w:t>
      </w:r>
    </w:p>
    <w:p w14:paraId="79696833" w14:textId="77777777" w:rsidR="004A55CA" w:rsidRPr="00640820" w:rsidRDefault="004A55CA"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iCs/>
          <w:color w:val="000000" w:themeColor="text1"/>
          <w:sz w:val="16"/>
          <w:szCs w:val="16"/>
          <w:lang w:eastAsia="ru-RU"/>
        </w:rPr>
        <w:t>Одновременно просим разработать вариант укладки 107 и 45 мм патронов в башне КВ-3, для чего высылаем вам ориентировочный габаритный чертеж патрона 45 мм пушки».</w:t>
      </w:r>
    </w:p>
    <w:p w14:paraId="5BCF629D" w14:textId="77777777" w:rsidR="004A55CA" w:rsidRPr="00640820" w:rsidRDefault="004A55CA"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lastRenderedPageBreak/>
        <w:t>В определенном смысле Грабин сделал попытку превратить КВ-3 в аналог КВ-4, где установка двух пушек (калибра 45 и 107 мм) предусматривалась в утверждённом техническом проекте Духова. Из письма одновременно следует, что для КВ-3 в Челябинске проектировали новую башню, поскольку штамповать её там было негде (17642).</w:t>
      </w:r>
    </w:p>
    <w:p w14:paraId="3E070511" w14:textId="77777777" w:rsidR="004A55CA" w:rsidRPr="00640820" w:rsidRDefault="004A55CA"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9 сентября 1941 бригада от ОКБ-16 в составе ведущего конструктора А. Э. Нудельмана, инженера М. П. Бундина и слесаря-ме</w:t>
      </w:r>
      <w:r w:rsidRPr="00640820">
        <w:rPr>
          <w:color w:val="000000" w:themeColor="text1"/>
          <w:sz w:val="16"/>
          <w:szCs w:val="16"/>
        </w:rPr>
        <w:softHyphen/>
        <w:t>ханика А. Ф. Сенечкина выехала на завод № 21 в г. Горький. Установка пушки 11П № 1 в развале блока цилиндров мотора М-105П на серийном ис</w:t>
      </w:r>
      <w:r w:rsidRPr="00640820">
        <w:rPr>
          <w:color w:val="000000" w:themeColor="text1"/>
          <w:sz w:val="16"/>
          <w:szCs w:val="16"/>
        </w:rPr>
        <w:softHyphen/>
        <w:t>требителе ЛаГГ-3 зав. № 312197 была закончена 10 октября 1941 г. Боекомплект к пушке составлял 36 патронов. Все вооружение самолета было испы</w:t>
      </w:r>
      <w:r w:rsidRPr="00640820">
        <w:rPr>
          <w:color w:val="000000" w:themeColor="text1"/>
          <w:sz w:val="16"/>
          <w:szCs w:val="16"/>
        </w:rPr>
        <w:softHyphen/>
        <w:t>тано стрельбой в заводском тире, как при нерабо</w:t>
      </w:r>
      <w:r w:rsidRPr="00640820">
        <w:rPr>
          <w:color w:val="000000" w:themeColor="text1"/>
          <w:sz w:val="16"/>
          <w:szCs w:val="16"/>
        </w:rPr>
        <w:softHyphen/>
        <w:t>тающем, так и при работающем моторе. К 12 октя</w:t>
      </w:r>
      <w:r w:rsidRPr="00640820">
        <w:rPr>
          <w:color w:val="000000" w:themeColor="text1"/>
          <w:sz w:val="16"/>
          <w:szCs w:val="16"/>
        </w:rPr>
        <w:softHyphen/>
        <w:t>бря самолет был полностью подготовлен к отправ</w:t>
      </w:r>
      <w:r w:rsidRPr="00640820">
        <w:rPr>
          <w:color w:val="000000" w:themeColor="text1"/>
          <w:sz w:val="16"/>
          <w:szCs w:val="16"/>
        </w:rPr>
        <w:softHyphen/>
        <w:t>ке на НИП АВ для прохождения государственных полигонных испытаний.</w:t>
      </w:r>
    </w:p>
    <w:p w14:paraId="2E5A2376" w14:textId="77777777" w:rsidR="004A55CA" w:rsidRPr="00640820" w:rsidRDefault="004A55CA"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К сожалению, своевременно доставить само</w:t>
      </w:r>
      <w:r w:rsidRPr="00640820">
        <w:rPr>
          <w:color w:val="000000" w:themeColor="text1"/>
          <w:sz w:val="16"/>
          <w:szCs w:val="16"/>
        </w:rPr>
        <w:softHyphen/>
        <w:t>лет на полигон не удалось. Из-за погодных условий ЛаГГ-3 с пушкой 11П был вынужден сесть на аэро</w:t>
      </w:r>
      <w:r w:rsidRPr="00640820">
        <w:rPr>
          <w:color w:val="000000" w:themeColor="text1"/>
          <w:sz w:val="16"/>
          <w:szCs w:val="16"/>
        </w:rPr>
        <w:softHyphen/>
        <w:t>дром в Чебоксарах, где его застало раннее насту</w:t>
      </w:r>
      <w:r w:rsidRPr="00640820">
        <w:rPr>
          <w:color w:val="000000" w:themeColor="text1"/>
          <w:sz w:val="16"/>
          <w:szCs w:val="16"/>
        </w:rPr>
        <w:softHyphen/>
        <w:t>пление зимы. «Переобувание» самолета на лыжи затянулось до февраля 1942 г. (17500).</w:t>
      </w:r>
    </w:p>
    <w:p w14:paraId="530F27E1" w14:textId="77777777" w:rsidR="004A55CA" w:rsidRPr="00640820" w:rsidRDefault="004A55CA" w:rsidP="00640820">
      <w:pPr>
        <w:spacing w:after="0" w:line="240" w:lineRule="auto"/>
        <w:jc w:val="both"/>
        <w:rPr>
          <w:rFonts w:ascii="Times New Roman" w:hAnsi="Times New Roman"/>
          <w:color w:val="000000" w:themeColor="text1"/>
          <w:sz w:val="16"/>
          <w:szCs w:val="16"/>
        </w:rPr>
      </w:pPr>
    </w:p>
    <w:p w14:paraId="0779BD8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 1941 вышло Постановление ГКО № 639 [О мобилизации военнообязанных запаса до 45 лет и новобранцев 1922 и 1923 годов рождения в ряде районов Орловской и Курской обл.] (7009, 181).</w:t>
      </w:r>
    </w:p>
    <w:p w14:paraId="6469A9C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A241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 1941 вышло Постановление ГКО № 640 О сверхплановом выпуске предметов вооружения, боеприпасов и интендантского имущества на Украине. РГАНИР, Фонд ГКО, д. 8, лл. 182, 183-184 (11012).</w:t>
      </w:r>
    </w:p>
    <w:p w14:paraId="1FBD9D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841BF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 1941 вышло Постановление ГКО № 641 Об эвакуации патронных заводов № 46 и 60 Наркомвооружения. РГАНИР, Фонд ГКО, д. 8, лл. 185 (11012).</w:t>
      </w:r>
    </w:p>
    <w:p w14:paraId="1D559F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8E074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 1941 года вышло Постановление ГКО № 641, 7 октября 1941 года вышло Постановления Совета по эвакуации № 132сс и 8 октября 1941 года вышел приказ НКВ № 504сс, согласно которым завод № 60 НКВ в декабре 1941 года был эвакуирован в г. Фрунзе.</w:t>
      </w:r>
    </w:p>
    <w:p w14:paraId="55EA19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Фрунзе Киргизской ССР, п/я 43</w:t>
      </w:r>
    </w:p>
    <w:p w14:paraId="10E2E8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предназначен для выпуска патронов стелкового оружия (9587).</w:t>
      </w:r>
    </w:p>
    <w:p w14:paraId="6C0F8A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B540E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 1941 вышло Постановление ГКО № 644 Об эвакуации Волховской и Свирской гидростанций. РГАНИР, Фонд ГКО, д. 8, лл. 206 (11012).</w:t>
      </w:r>
    </w:p>
    <w:p w14:paraId="52BD82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B369504" w14:textId="77777777" w:rsidR="00E73430" w:rsidRPr="00640820" w:rsidRDefault="00E73430" w:rsidP="00640820">
      <w:pPr>
        <w:spacing w:after="0" w:line="240" w:lineRule="auto"/>
        <w:jc w:val="both"/>
        <w:rPr>
          <w:rStyle w:val="ucoz-forum-post"/>
          <w:rFonts w:ascii="Times New Roman" w:eastAsia="Times New Roman" w:hAnsi="Times New Roman"/>
          <w:color w:val="000000" w:themeColor="text1"/>
          <w:sz w:val="16"/>
          <w:szCs w:val="16"/>
        </w:rPr>
      </w:pPr>
      <w:r w:rsidRPr="00640820">
        <w:rPr>
          <w:rFonts w:ascii="Times New Roman" w:hAnsi="Times New Roman"/>
          <w:color w:val="000000" w:themeColor="text1"/>
          <w:sz w:val="16"/>
          <w:szCs w:val="16"/>
        </w:rPr>
        <w:t>8 сентября</w:t>
      </w:r>
      <w:r w:rsidRPr="00640820">
        <w:rPr>
          <w:rStyle w:val="ucoz-forum-post"/>
          <w:rFonts w:ascii="Times New Roman" w:eastAsia="Times New Roman" w:hAnsi="Times New Roman"/>
          <w:bCs/>
          <w:color w:val="000000" w:themeColor="text1"/>
          <w:sz w:val="16"/>
          <w:szCs w:val="16"/>
        </w:rPr>
        <w:t xml:space="preserve"> 1941 г.</w:t>
      </w:r>
      <w:r w:rsidRPr="00640820">
        <w:rPr>
          <w:rStyle w:val="ucoz-forum-post"/>
          <w:rFonts w:ascii="Times New Roman" w:eastAsia="Times New Roman" w:hAnsi="Times New Roman"/>
          <w:color w:val="000000" w:themeColor="text1"/>
          <w:sz w:val="16"/>
          <w:szCs w:val="16"/>
        </w:rPr>
        <w:t xml:space="preserve"> – образование НПО автоматики (14763).</w:t>
      </w:r>
    </w:p>
    <w:p w14:paraId="07FF908D" w14:textId="77777777" w:rsidR="00E73430" w:rsidRPr="00640820" w:rsidRDefault="00E73430" w:rsidP="00640820">
      <w:pPr>
        <w:spacing w:after="0" w:line="240" w:lineRule="auto"/>
        <w:jc w:val="both"/>
        <w:rPr>
          <w:rStyle w:val="ucoz-forum-post"/>
          <w:rFonts w:ascii="Times New Roman" w:eastAsia="Times New Roman" w:hAnsi="Times New Roman"/>
          <w:color w:val="000000" w:themeColor="text1"/>
          <w:sz w:val="16"/>
          <w:szCs w:val="16"/>
        </w:rPr>
      </w:pPr>
    </w:p>
    <w:p w14:paraId="725919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 1941 вышло Постановление ГКО № 645 О т.т. Грушецком И.С., Рудакове М.В., Лестеве. РГАНИР, Фонд ГКО, д. А. и Батракове П.К. РГАНИР, Фонд ГКО, д. 8, лл. 207 (11012).</w:t>
      </w:r>
    </w:p>
    <w:p w14:paraId="5F2FAC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2EF0F0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 1941 года вышел приказ № 438 НКВ</w:t>
      </w:r>
    </w:p>
    <w:p w14:paraId="681F5C5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исполнение постановления ГКО за № 641сс от 8 сентября 1941 года:</w:t>
      </w:r>
    </w:p>
    <w:p w14:paraId="1626AB0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Приступить к эвакуации оборудования, материалов ……….. патронного завода № 46 из г. Кунцево Московской области в две очереди:</w:t>
      </w:r>
    </w:p>
    <w:p w14:paraId="647B3C0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Ново-Лялинский бумажный комбинат Свердловской области</w:t>
      </w:r>
    </w:p>
    <w:p w14:paraId="66BB8DC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завод № 3 НКВ Ульяновск</w:t>
      </w:r>
    </w:p>
    <w:p w14:paraId="443AB09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льнопрядильную фабрику им. Ленина в Свердловск, переданную НКВ под размещение завода № 44</w:t>
      </w:r>
    </w:p>
    <w:p w14:paraId="1A9615A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Приступить к эвакуации 50% оборудования …………… завода № 60 из Ворошиловграда, занятых на производстве винтпатронов (в г. Чкалов на завод № 545, Казань на завод № 543 НКВ, Ульяновск на площади кирпичных складов Наркомвнешторга) и звеньев ШКАС и БС (в Киров на завод № 537 НКВ) и полной эвакуации оборудования …………….., занятых на производстве патрон к пистолету “ТТ” (в Челябинск на завод № 541 НКВ) (6306, 233).</w:t>
      </w:r>
    </w:p>
    <w:p w14:paraId="0ACA993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64A72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 1941 года вышел Приказ НКБ № 502с</w:t>
      </w:r>
    </w:p>
    <w:p w14:paraId="456C4FC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исполнение распоряжения СНК от 28 августа 1941 года № 9042-рс:</w:t>
      </w:r>
    </w:p>
    <w:p w14:paraId="673DD81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Директору завода № 63 принять завод “Механик” в Н. Тагиле, завод “Механик” считать филиалом завода № 63 (5592, 231).</w:t>
      </w:r>
    </w:p>
    <w:p w14:paraId="4A96DC4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8DF41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 1941 года вышел Приказ НКБ № 504с</w:t>
      </w:r>
    </w:p>
    <w:p w14:paraId="18DA4E8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ГКО постановлением № ГКО-605с от 1 сентября 1941 года принял предложение НКБ о частичной эвакуации Крымского артполигона на Чапаевский артполигон НКБ и об эвакуации завода № 258 из г. Осипенко на площади складов №№ 2 и 17 УГМР в г. Челябинск, переданных НКБ (5592, 237).</w:t>
      </w:r>
    </w:p>
    <w:p w14:paraId="0A037D0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DFD27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 1941 года вышел Приказ НКБ № 507с</w:t>
      </w:r>
    </w:p>
    <w:p w14:paraId="1F9A6BD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Гараж Наркомата автотранспорта в Свердловске включить в состав завода № 68 и присвоить гаражу наименование “Филиал завода № 68” (5592, 250).</w:t>
      </w:r>
    </w:p>
    <w:p w14:paraId="0228B31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6B16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8 сентября 1941 года в Куйбышев пришел первый эшелон с оборудованием московского подшипникового завода. Эшелоны прибывали один за другим, их было ровно шестнадцать. К концу месяца на разгрузочных площадках стояло около четырех тысяч станков. В бывшем вещевом складе Линдовского городка разместили автоматно-токарный цех, в другом складском помещении - цех точных подшипников. Сами работники завода с семьями разместились в солдатских казармах. Подшипники были остро нужны для производства военной техники, поэтому от москвичей срочно требовали готовой продукции. Директору Первого подшипникового завода тов. Юсим было приказано восстановить производство подшипников для авиации, танков и автомобилей в первую очередь, раньше всех других заданий, имеющихся у завода. Для этого Государственный Комитет Обороны запретил без ведома Правительства загружать подшипниковые заводы другими заказами. В начале октября москвичи выточили первую сотню подшипниковых колец (11878). </w:t>
      </w:r>
    </w:p>
    <w:p w14:paraId="1D4B1F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607D4C5" w14:textId="77777777" w:rsidR="00DE7CDD" w:rsidRPr="00640820" w:rsidRDefault="00DE7CDD"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 1941 г.</w:t>
      </w:r>
    </w:p>
    <w:p w14:paraId="557A7F81" w14:textId="77777777" w:rsidR="00DE7CDD" w:rsidRPr="00640820" w:rsidRDefault="00DE7CDD"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Протоколы заседаний бюро Ленинградского городского комитета ВКП(б)</w:t>
      </w:r>
    </w:p>
    <w:p w14:paraId="577A4DF4" w14:textId="77777777" w:rsidR="00DE7CDD" w:rsidRPr="00640820" w:rsidRDefault="00DE7CDD"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8 сентября 1941 г.</w:t>
      </w:r>
    </w:p>
    <w:p w14:paraId="0A0D7E88" w14:textId="77777777" w:rsidR="00DE7CDD" w:rsidRPr="00640820" w:rsidRDefault="00DE7CDD"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22гс. — О передаче обработки и сборки бронекорпусов танков «КВ» с Ижорского завода на завод им. Сталина (особая папка).</w:t>
      </w:r>
    </w:p>
    <w:p w14:paraId="42BBE8AB" w14:textId="77777777" w:rsidR="00DE7CDD" w:rsidRPr="00640820" w:rsidRDefault="00DE7CDD"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 10.IX–1941 г. передать обработку и сборку бронекорпусов «КВ» Ижорского завода на завод им. Сталина, сохранив выпуск их в прежнем количестве, т. е. 180 шт. в месяц.</w:t>
      </w:r>
    </w:p>
    <w:p w14:paraId="3DD9C9FA" w14:textId="77777777" w:rsidR="00DE7CDD" w:rsidRPr="00640820" w:rsidRDefault="00DE7CDD"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В обеспечение задания по выпуску бронекорпусов «КВ» на заводе им. Сталина обязать директора Ижорского завода (т. Попова) в трехдневный срок передать на завод им. Сталина:</w:t>
      </w:r>
    </w:p>
    <w:p w14:paraId="67265E33" w14:textId="77777777" w:rsidR="00DE7CDD" w:rsidRPr="00640820" w:rsidRDefault="00DE7CDD"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весь состав квалифицированных рабочих и ИТР, занятых на обработке деталей и сборке бронекорпусов «КВ», а также необходимое количество станочного оборудования;</w:t>
      </w:r>
    </w:p>
    <w:p w14:paraId="45F8B753" w14:textId="77777777" w:rsidR="00DE7CDD" w:rsidRPr="00640820" w:rsidRDefault="00DE7CDD"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технологию, инструмент и приспособления по обработке и сборке бронекорпусов «КВ»;</w:t>
      </w:r>
    </w:p>
    <w:p w14:paraId="719DBB19" w14:textId="77777777" w:rsidR="00DE7CDD" w:rsidRPr="00640820" w:rsidRDefault="00DE7CDD"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весь имеющийся задел деталей бронекорпусов «КВ» и в дальнейшем поставлять броню заводу им. Сталина в количестве, определяемом заданием по выпуску танков «КВ».</w:t>
      </w:r>
    </w:p>
    <w:p w14:paraId="4B1FA704" w14:textId="77777777" w:rsidR="00DE7CDD" w:rsidRPr="00640820" w:rsidRDefault="00DE7CDD"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Обработку деталей бронекорпусов «КВ» на ленинградских заводах, работающих в кооперации с Ижорским заводом, сохранить в полном объеме для завода им. Сталина.</w:t>
      </w:r>
    </w:p>
    <w:p w14:paraId="185724E3" w14:textId="77777777" w:rsidR="00DE7CDD" w:rsidRPr="00640820" w:rsidRDefault="00DE7CDD"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Возложить ответственность за выпуск бронекорпусов «КВ» в количестве 180 штук в месяц на директора завода им. Сталина т. Уварова.</w:t>
      </w:r>
    </w:p>
    <w:p w14:paraId="622EE989" w14:textId="77777777" w:rsidR="00DE7CDD" w:rsidRPr="00640820" w:rsidRDefault="00DE7CDD"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Отметить, что кадры, станочное оборудование, приспособления и техническая документация передаются Ижорским заводом заводу им. Сталина временно и по изменении обстановки возвращаются Ижорскому заводу.</w:t>
      </w:r>
    </w:p>
    <w:p w14:paraId="3CC21B24" w14:textId="77777777" w:rsidR="00DE7CDD" w:rsidRPr="00640820" w:rsidRDefault="00DE7CDD"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Подписи — Никитин, Капустин, Кузнецов, Попков.</w:t>
      </w:r>
    </w:p>
    <w:p w14:paraId="7D97FCE8" w14:textId="77777777" w:rsidR="00DE7CDD" w:rsidRPr="00640820" w:rsidRDefault="00DE7CDD"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ЦГАИПД СПб. Ф. 25. Оп.2а. Д. 156. Л. 39. Оригинал, машинопись. Подписи — автографы (19720).</w:t>
      </w:r>
    </w:p>
    <w:p w14:paraId="4ACE3F66" w14:textId="77777777" w:rsidR="00DE7CDD" w:rsidRPr="00640820" w:rsidRDefault="00DE7CDD" w:rsidP="00640820">
      <w:pPr>
        <w:autoSpaceDE w:val="0"/>
        <w:autoSpaceDN w:val="0"/>
        <w:adjustRightInd w:val="0"/>
        <w:spacing w:after="0" w:line="240" w:lineRule="auto"/>
        <w:jc w:val="both"/>
        <w:rPr>
          <w:rFonts w:ascii="Times New Roman" w:hAnsi="Times New Roman"/>
          <w:color w:val="000000" w:themeColor="text1"/>
          <w:sz w:val="16"/>
          <w:szCs w:val="16"/>
        </w:rPr>
      </w:pPr>
    </w:p>
    <w:p w14:paraId="65631447" w14:textId="77777777" w:rsidR="00DE7CDD" w:rsidRPr="00640820" w:rsidRDefault="00DE7CDD"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 1941 г.</w:t>
      </w:r>
    </w:p>
    <w:p w14:paraId="250DDB09" w14:textId="77777777" w:rsidR="00DE7CDD" w:rsidRPr="00640820" w:rsidRDefault="00DE7CDD"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Протоколы заседаний бюро Ленинградского городского комитета ВКП(б)</w:t>
      </w:r>
    </w:p>
    <w:p w14:paraId="1F98A9AF" w14:textId="77777777" w:rsidR="00DE7CDD" w:rsidRPr="00640820" w:rsidRDefault="00DE7CDD"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8 сентября 1941 г.</w:t>
      </w:r>
    </w:p>
    <w:p w14:paraId="3EB26801" w14:textId="77777777" w:rsidR="00DE7CDD" w:rsidRPr="00640820" w:rsidRDefault="00DE7CDD"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30гс. — Об изготовлении самолетных «Флейт» (особая папка).</w:t>
      </w:r>
    </w:p>
    <w:p w14:paraId="5D4CC880" w14:textId="77777777" w:rsidR="00DE7CDD" w:rsidRPr="00640820" w:rsidRDefault="00DE7CDD"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Обязать директора завода №379 НКАП (т. Молодых) изготовить и сдать ВВС ЛФ в сентябре месяце с.г. 400 штук самолетных «Флейт» к установкам «РС».</w:t>
      </w:r>
    </w:p>
    <w:p w14:paraId="65B4C40B" w14:textId="77777777" w:rsidR="00DE7CDD" w:rsidRPr="00640820" w:rsidRDefault="00DE7CDD"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ЦГАИПД СПб. Ф. 25. Оп.2а. Д. 156. Л. 45. Оригинал, машинопись (19720).</w:t>
      </w:r>
    </w:p>
    <w:p w14:paraId="62D1C943" w14:textId="77777777" w:rsidR="00DE7CDD" w:rsidRPr="00640820" w:rsidRDefault="00DE7CDD" w:rsidP="00640820">
      <w:pPr>
        <w:autoSpaceDE w:val="0"/>
        <w:autoSpaceDN w:val="0"/>
        <w:adjustRightInd w:val="0"/>
        <w:spacing w:after="0" w:line="240" w:lineRule="auto"/>
        <w:jc w:val="both"/>
        <w:rPr>
          <w:rFonts w:ascii="Times New Roman" w:hAnsi="Times New Roman"/>
          <w:color w:val="000000" w:themeColor="text1"/>
          <w:sz w:val="16"/>
          <w:szCs w:val="16"/>
        </w:rPr>
      </w:pPr>
    </w:p>
    <w:p w14:paraId="2523056E" w14:textId="77777777" w:rsidR="00DE7CDD" w:rsidRPr="00640820" w:rsidRDefault="00DE7CDD"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 1941 г.</w:t>
      </w:r>
    </w:p>
    <w:p w14:paraId="4B940AA0" w14:textId="77777777" w:rsidR="00DE7CDD" w:rsidRPr="00640820" w:rsidRDefault="00DE7CDD"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Протоколы заседаний бюро Ленинградского городского комитета ВКП(б)</w:t>
      </w:r>
    </w:p>
    <w:p w14:paraId="096888C6" w14:textId="77777777" w:rsidR="00DE7CDD" w:rsidRPr="00640820" w:rsidRDefault="00DE7CDD"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8 сентября 1941 г.</w:t>
      </w:r>
    </w:p>
    <w:p w14:paraId="0A53D5F2" w14:textId="77777777" w:rsidR="00DE7CDD" w:rsidRPr="00640820" w:rsidRDefault="00DE7CDD"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31гс. — О производстве деталей самолета МИГ-3 (особая папка).</w:t>
      </w:r>
    </w:p>
    <w:p w14:paraId="4D43595D" w14:textId="77777777" w:rsidR="00DE7CDD" w:rsidRPr="00640820" w:rsidRDefault="00DE7CDD"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Обязать директора завода им. Сталина (т. Уварова) изготовить рембазе №21 ВВС ЛФ 50 комплектов узлов стойки шасси самолета МИГ-3.</w:t>
      </w:r>
    </w:p>
    <w:p w14:paraId="2BC82452" w14:textId="77777777" w:rsidR="00DE7CDD" w:rsidRPr="00640820" w:rsidRDefault="00DE7CDD"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ЦГАИПД СПб. Ф. 25. Оп.2а. Д. 156. Л. 46. Оригинал, машинопись (19720).</w:t>
      </w:r>
    </w:p>
    <w:p w14:paraId="382627F8" w14:textId="77777777" w:rsidR="00DE7CDD" w:rsidRPr="00640820" w:rsidRDefault="00DE7CDD" w:rsidP="00640820">
      <w:pPr>
        <w:autoSpaceDE w:val="0"/>
        <w:autoSpaceDN w:val="0"/>
        <w:adjustRightInd w:val="0"/>
        <w:spacing w:after="0" w:line="240" w:lineRule="auto"/>
        <w:jc w:val="both"/>
        <w:rPr>
          <w:rFonts w:ascii="Times New Roman" w:hAnsi="Times New Roman"/>
          <w:color w:val="000000" w:themeColor="text1"/>
          <w:sz w:val="16"/>
          <w:szCs w:val="16"/>
        </w:rPr>
      </w:pPr>
    </w:p>
    <w:p w14:paraId="2AD82831"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418AA423"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EC79F5D" w14:textId="77777777" w:rsidR="00EA1479" w:rsidRPr="00640820" w:rsidRDefault="00EA147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 в 1941 году утреннее сообщение Совинформбюро:</w:t>
      </w:r>
    </w:p>
    <w:p w14:paraId="4B39AC05" w14:textId="77777777" w:rsidR="00EA1479" w:rsidRPr="00640820" w:rsidRDefault="00EA147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ночь на 8 сентября наши войска продолжали бои с противником на всём фронте.</w:t>
      </w:r>
    </w:p>
    <w:p w14:paraId="7E8911C1" w14:textId="77777777" w:rsidR="00EA1479" w:rsidRPr="00640820" w:rsidRDefault="00EA147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кавалерийские части под командованием тов. Бацкалевича совершили длительный рейд по вражеским тылам. Эскадрон лейтенанта Соколовского наткнулся в лесу на батальон немецкой мотопехоты, расположившийся на отдых. Опрокинув фашистов внезапным ударом, конники разгромили немецкий батальон, захватили радиостанцию, много мотоциклов, велосипедов и грузовиков с продовольствием и боеприпасами. После этого случая немцы бросили против советских кавалеристов мотомеханизированные части и отряд, сформированный из двух юнкерских училищ. Кавалеристы спешились и приняли бой. Старший лейтенант Порох и политрук Орлов повели своих бойцов в стремительную атаку. Бой длился 8 часов. Фашисты потеряли до трёхсот человек убитыми и ранеными. Среди убитых — немецкий генерал. В одном из последующих боёв отважные кавалеристы уничтожили батальон вражеской мотопехоты и захватили штаб. Во время рейда кавалеристы оттягивали от фронта значительные силы противника, уничтожили много автомашин, броневиков, орудий, горючего и боеприпасов, взорвали ряд мостов. По неполным данным, фашисты в боях с советскими кавалеристами потеряли до 1200 убитыми и около 500 ранеными.</w:t>
      </w:r>
    </w:p>
    <w:p w14:paraId="6B7B266D" w14:textId="77777777" w:rsidR="00EA1479" w:rsidRPr="00640820" w:rsidRDefault="00EA147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упорных боях на Западном направлении фронта батальон капитана Козули 28 часов успешно отражал все атаки крупных сил противника, нанёс им тяжёлые потери и удержал свои позиции до подхода подкреплений. После артиллерийской подготовки пьяные немецкие солдаты пошли в атаку. Когда немцы подошли совсем близко, наши стрелки, пулемётчики и миномётчики одновременно открыли огонь. Враг был отброшен. При второй атаке одному немецкому батальону удалось прорваться за блиндажи и окопы первой роты. Командиры первой и третьей рот т. т. Шереметьев и Зуев повели своих бойцов в атаку. Свыше 150 вражеских солдат и офицеров было убито. 21 немец сдался в плен. Пытаясь создать видимость окружения, группа немецких автоматчиков проникла в тыл и открыла оттуда огонь. Старшина Шорников вместе с несколькими меткими стрелками быстро уничтожил фашистских автоматчиков. Ночью немцы трижды предпринимали безуспешные атаки. В ночном бою взвод младшего лейтенанта Суркова дружной контратакой опрокинул целую роту немцев и взял в плен 12 солдат. Сокрушительные удары наносили по противнику артиллеристы, миномётчики и пулемётчики. В бою с батальоном капитана Козули немцы потеряли более 600 солдат и офицеров, 12 орудий, 7 миномётов и 11 пулемётов.</w:t>
      </w:r>
    </w:p>
    <w:p w14:paraId="6E7E139D" w14:textId="77777777" w:rsidR="00EA1479" w:rsidRPr="00640820" w:rsidRDefault="00EA147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Батареи лейтенанта Трушкина и младшего лейтенанта Шевченко разгромили немецкую автоколонну. После первого же залпа головные немецкие машины взлетели на воздух. Фашисты заметались по дороге, пытаясь отвести уцелевшие машины в лес. Тогда младший лейтенант Шевченко выкатил орудия своей батареи на открытую позицию и прямой наводкой стал бить по фашистской колонне. Артиллерийским огнём были уничтожены 30 грузовых машин, легковой автомобиль и 4 мотоцикла противника.</w:t>
      </w:r>
    </w:p>
    <w:p w14:paraId="75C35D27" w14:textId="77777777" w:rsidR="00EA1479" w:rsidRPr="00640820" w:rsidRDefault="00EA147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Захватив города и сёла Советской Эстонии, немецкие фашисты начали истреблять эстонский народ. Оккупация немцами каждого города, местечка и населённого пункта повсюду сопровождалась грабежами, насилиями и массовыми убийствами. Житель волости Равила, Александр Кельгумяэ, бежавший из фашистского ада, рассказывает: «Я был в местечке Лихула, когда фашисты заняли его. В первый же день палачи казнили десятки ни в чём не повинных людей. Среди расстрелянных было 13 юношей и девушек-подростков».</w:t>
      </w:r>
    </w:p>
    <w:p w14:paraId="62D98964" w14:textId="77777777" w:rsidR="00EA1479" w:rsidRPr="00640820" w:rsidRDefault="00EA147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Работник коммунального хозяйства города Тарту тов. А. Янсен заявил: «В городском парке группа немецких штурмовиков остановила 11-летнего сына моего соседа Карла Веске. Заметив на мальчике красный галстук, фашисты схватили пионера и потащили к высокому каштановому дереву. Один из бандитов принёс верёвку. С хладнокровием садистов они сделали петлю, надели её на мальчика и повесили его на дереве. Труп висел два дня в парке. Родителям не разрешали похоронить их ребёнка».</w:t>
      </w:r>
    </w:p>
    <w:p w14:paraId="4E78B4A4" w14:textId="77777777" w:rsidR="00EA1479" w:rsidRPr="00640820" w:rsidRDefault="00EA147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Немецкий солдат Франц Гофман, добровольно сдавшийся в плен, сообщил: «В од ной маленькой эстонской деревушке я был свидетелем ужасной сцены. Группа пьяных солдат с фельдфебелем во главе ворвалась в дом крестьянина Кясперт. Дома были семидесятилетний крестьянин и его жена с двумя маленькими внучатами. Фельдфебель потребовал поросёнка и кур. Старик ответил, что поросёнка у него нет, а кур солдаты уже забрали. Взбесившийся гитлеровец приказал приколоть старика. Солдаты затем прикончили всех — старуху и детей».</w:t>
      </w:r>
    </w:p>
    <w:p w14:paraId="07B6E653" w14:textId="77777777" w:rsidR="00EA1479" w:rsidRPr="00640820" w:rsidRDefault="00EA147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Фашисты открыто хвастают, что они искоренят, сотрут с лица земли всё эстонское.</w:t>
      </w:r>
    </w:p>
    <w:p w14:paraId="0EAEC377" w14:textId="77777777" w:rsidR="00EA1479" w:rsidRPr="00640820" w:rsidRDefault="00EA147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всех крупных центрах Италии — Риме, Милане, Турине, Генуе — и во многих деревнях из рук в руки переходят тысячи антифашистских листовок. В своих листовках итальянские патриоты требуют немедленного прекращения военных действий, увода итальянских армий с Восточного Фронта, изгнания немецких войск из Италии и прекращения вывоза продовольствия в Германию. Листовки разбрасываются по улицам, расклеиваются на стенах и заборах. В Генуе было расстреляно несколько распространителей листовок.</w:t>
      </w:r>
    </w:p>
    <w:p w14:paraId="618D6061" w14:textId="77777777" w:rsidR="00EA1479" w:rsidRPr="00640820" w:rsidRDefault="00EA147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Норвежские патриоты взорвали в Гульхагене близ Драммена пороховой завод. Уничтожены десятки тонн взрывчатых веществ. Завод разрушен.</w:t>
      </w:r>
    </w:p>
    <w:p w14:paraId="07B75344" w14:textId="77777777" w:rsidR="00EA1479" w:rsidRPr="00640820" w:rsidRDefault="00EA147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Советский народ успешно готовит мощные резервы для Красной Армии.</w:t>
      </w:r>
    </w:p>
    <w:p w14:paraId="1F020C01" w14:textId="77777777" w:rsidR="00EA1479" w:rsidRPr="00640820" w:rsidRDefault="00EA147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Ленинграде сержант ленинградской городской милиции В. Петров и милиционер тов. Издон организовали из населения на своих участках боевые отряды добровольцев. Каждое подразделение имеет стрелков, гранатомётчиков, пулемётный расчёт и санитаров. Тов. Издон уже подготовил 52 бойца и сейчас обучает ещё 68. Трудящиеся города Сталино занимаются в группах истребителей танков, изучают парашютное дело. Несколько сот девушек обучается на курсах телеграфисток и телефонисток. Свыше 300 осоавиахимовцев Бауманского района гор. Казани приступили к военно-тактическим учениям на местности. Недавно близ деревни Троицкое было проведено учение на тему — разгром воздушного десанта противника. На этом занятии осоавиахимовцы показали умение искусно маскироваться, пользоваться стрелковым оружием и вести разведку. Во всех районах Ярославля созданы группы стрелков-парашютистов, кружки снайперов, пулемётчиков, радистов, гранатомётчиков. Успешно овладевает военным делом колхозная молодёжь. Ежедневно юноши села Травянки, Каменского района, Челябинской области, учатся ходить в строю, владеть винтовкой, бросать гранату. Девушки занимаются в санитарной дружине. Молодые колхозники Регарского района Таджикской ССР организовали группу ворошиловских всадников и овладевают техникой езды, учатся владеть клинком. В Ереване тысячи рабочих комбината имени Кирова, железнодорожного узла и Масложир-комбината изучают в подразделениях Осоавиахима винтовку, пулемёт, гранату и приобретают практические навыки штыкового боя и гранатометания.» (14763).</w:t>
      </w:r>
    </w:p>
    <w:p w14:paraId="2C9353F6" w14:textId="77777777" w:rsidR="00EA1479" w:rsidRPr="00640820" w:rsidRDefault="00EA1479" w:rsidP="00640820">
      <w:pPr>
        <w:spacing w:after="0" w:line="240" w:lineRule="auto"/>
        <w:jc w:val="both"/>
        <w:rPr>
          <w:rFonts w:ascii="Times New Roman" w:hAnsi="Times New Roman"/>
          <w:color w:val="000000" w:themeColor="text1"/>
          <w:sz w:val="16"/>
          <w:szCs w:val="16"/>
        </w:rPr>
      </w:pPr>
    </w:p>
    <w:p w14:paraId="2B08D6CA" w14:textId="77777777" w:rsidR="00EA1479" w:rsidRPr="00640820" w:rsidRDefault="00EA147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 в 1941 году вечернее сообщение Совинформбюро:</w:t>
      </w:r>
    </w:p>
    <w:p w14:paraId="0D24D5BC" w14:textId="77777777" w:rsidR="00EA1479" w:rsidRPr="00640820" w:rsidRDefault="00EA147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8 сентября наши войска вели бои с противником на всём фронте.</w:t>
      </w:r>
    </w:p>
    <w:p w14:paraId="5928324F" w14:textId="77777777" w:rsidR="00EA1479" w:rsidRPr="00640820" w:rsidRDefault="00EA147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Смоленском направлении двадцатишестидневные бои за гор. Ельня под Смоленском закончились разгромом дивизии «СС», 15 пехотной дивизии, 17 мотодивизии, 10 танковой дивизии, 137, 178, 292, 268 пехотных дивизий противника. Остатки дивизий противника поспешно отходят в западном направлении. Наши войска заняли город Ельня.</w:t>
      </w:r>
    </w:p>
    <w:p w14:paraId="761EF68F" w14:textId="77777777" w:rsidR="00EA1479" w:rsidRPr="00640820" w:rsidRDefault="00EA147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Наша авиация продолжала наносить удары по войскам противника на поле боя и уничтожала авиацию на его аэродромах. В ночь на 8 сентября наши самолёты бомбардировали Бухарест. Все самолёты вернулись на свои базы.</w:t>
      </w:r>
    </w:p>
    <w:p w14:paraId="1CE5C170" w14:textId="77777777" w:rsidR="00EA1479" w:rsidRPr="00640820" w:rsidRDefault="00EA147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6 сентября в воздушных боях и на аэродромах противника уничтожено 62 немецких самолёта. Наши потери — 33 самолёта.</w:t>
      </w:r>
    </w:p>
    <w:p w14:paraId="353AB856" w14:textId="77777777" w:rsidR="00EA1479" w:rsidRPr="00640820" w:rsidRDefault="00EA147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Командиру автобатальона старшему лейтенанту Лаврову разведка донесла, что в соседнем селе находится крупный отряд немцев с артиллерией и танками. При поддержке артиллерийского дивизиона капитана Южакова бойцы автобатальона подобрались к немецким позициям и атаковали фашистов. Немцы под прикрытием пулемётного и артиллерийского огня отошли от села. Не давая врагу оправиться, наши бойцы вместе с подоспевшими к тому времени пятью танками с новой силой продолжали атаку и преследовали врага. Немцы потеряли в этом бою около двух рот. Захвачены 4 тяжёлых и 2 противотанковых немецких орудия, два танка, 40 мотоциклов, несколько автомашин и миномётов. В бою особенно отличились воентехник 1-го ранга тов. Стефановский и красноармеец Кириченко.</w:t>
      </w:r>
    </w:p>
    <w:p w14:paraId="28BE7C22" w14:textId="77777777" w:rsidR="00EA1479" w:rsidRPr="00640820" w:rsidRDefault="00EA147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Ленинградской области партизанские отряды, развернув интенсивные боевые операции, беспощадно бьют гитлеровских оккупантов. По неполным данным, за вторую половину августа в Лужском районе партизаны перебили более 800 фашистских солдат и офицеров, вывели из строя 14 танков и 7 бронемашин, 17 орудий, 22 пулемёта, уничтожили 47 грузовых автомобилей, 62 мотоцикла, сожгли 18 автоцистерн с горючим и захватили много боеприпасов, снаряжения, сапёрного инвентаря и продовольствия.</w:t>
      </w:r>
    </w:p>
    <w:p w14:paraId="2EACE35E" w14:textId="77777777" w:rsidR="00EA1479" w:rsidRPr="00640820" w:rsidRDefault="00EA147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Партизаны наносят удары там, где их меньше всего ждут фашисты. Днём 29 августа на шоссейной дороге близ Б. Торошкович отряд землеустроителя тов. У. уничтожил 30 немецких мотоциклистов. Партизаны устроили засаду на поляне близ дороги. Когда немецкие мотоциклисты приблизились, партизаны выпустили на </w:t>
      </w:r>
      <w:r w:rsidRPr="00640820">
        <w:rPr>
          <w:rFonts w:ascii="Times New Roman" w:hAnsi="Times New Roman"/>
          <w:color w:val="000000" w:themeColor="text1"/>
          <w:sz w:val="16"/>
          <w:szCs w:val="16"/>
        </w:rPr>
        <w:lastRenderedPageBreak/>
        <w:t>поляну несколько поросят и кур. Немецкие солдаты, оставив мотоциклы, бросились за добычей. Партизаны, сделав несколько залпов, кинулись на фашистов и уничтожили их.</w:t>
      </w:r>
    </w:p>
    <w:p w14:paraId="399B5DC6" w14:textId="77777777" w:rsidR="00EA1479" w:rsidRPr="00640820" w:rsidRDefault="00EA147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Неподалеку от Толмачёво партизанский отряд под командованием тов. Н. ночью подкрался к стоянке немецких танков. Бесшумно сняв часовых, партизаны перебили спящих танкистов, взорвали 2 средних и 3 лёгких танка и угнали в лес одну легковую машину.</w:t>
      </w:r>
    </w:p>
    <w:p w14:paraId="1869397E" w14:textId="77777777" w:rsidR="00EA1479" w:rsidRPr="00640820" w:rsidRDefault="00EA147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Партизанский отряд под командованием ветеринарного врача тов. С. минировал мост через реку Ящера около Долговки. Вместе с мостом взлетела на воздух немецкая автомашина, груженая минами. Перебив фашистов, сопровождавших другие машины автоколонны, партизаны уничтожили 72 ящика со снарядами и захватили 114 ящиков с ручными гранатами.</w:t>
      </w:r>
    </w:p>
    <w:p w14:paraId="17CF51F8" w14:textId="77777777" w:rsidR="00EA1479" w:rsidRPr="00640820" w:rsidRDefault="00EA147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Гитлеровская клика безуспешно старается скрыть от германского народа правду об огромных потерях немецко-фашистских войск на Восточном фронте. Из показаний пленных и из писем, обнаруженных у них, видно, что широкие слои немецкого народа перестают верить болтовне фашистской печати и радио. Ефрейтор Ганс Бейер получил письмо из Гамбурга от раненого брата. Фриц Бейер пишет: «Я уже три недели лежу в военном лазарете. Со следующим транспортом я наверное поеду в другой лазарет. Здесь всё переполнено и каждый день приходят всё новые и новые транспорты с ранеными». Пленный ефрейтор 9 роты 502 полка 290 немецкой пехотной дивизии Гоппи говорит: «Наша рота потеряла убитыми и ранеными 70 человек, но она пострадала меньше, чем другие роты. В 6 и 8 ротах осталось по 15-20 солдат». Ефрейтор 5 роты 503 пехотного полка Петер Гартлиф на допросе показал: «Наша рота в первых же боях потеряла 50 процентов своего состава, а 14 августа были уничтожены остатки роты. То же можно сказать о всём батальоне». Ефрейтор Пауль Грету рассказал: «В последних боях погибло много моих товарищей. В нашем артиллерийском полку осталось всего лишь 200 человек. Солдаты в отчаянии». Солдат 2 роты 46 полка Вильгельм Рихман заявил: «В моей роте из 143 солдат остался только 41. За последнее время командование полка лишь в редких случаях посылает семьям извещения об убитых солдатах».</w:t>
      </w:r>
    </w:p>
    <w:p w14:paraId="07885D9B" w14:textId="77777777" w:rsidR="00EA1479" w:rsidRPr="00640820" w:rsidRDefault="00EA147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колхозах и совхозах широко развёртывается уборка и заготовка овощей на зиму. Дальне-Константиновский район, Горьковской области, выполнил план заготовки капусты на 119 процентов, огурцов — на 105 процентов, свёклы — на 161 процент, по всем другим культурам план перевыполнен. Ростовский городской плодоовощеторг завёз к 1 сентября 14 тысяч тонн овощей. Годовой план засолки капусты уже перевыполнен на 20 процентов.</w:t>
      </w:r>
    </w:p>
    <w:p w14:paraId="157BB3DD" w14:textId="77777777" w:rsidR="00EA1479" w:rsidRPr="00640820" w:rsidRDefault="00EA147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Заготовительные и торговые организации Харьковской области к 1 сентября заготовили около 26 тысяч тонн овощей. План заготовок ранних сортов капусты, столовой свёклы, моркови и других овощей значительно перевыполнен. Торговые организации города засолили тысячи тонн огурцов и капусты. В трёх районах области созданы новые засолочные заводы, начата подготовка к сушке овощей.</w:t>
      </w:r>
    </w:p>
    <w:p w14:paraId="45AFF3BC" w14:textId="77777777" w:rsidR="00EA1479" w:rsidRPr="00640820" w:rsidRDefault="00EA147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Торгующие организации Сталинской области заготовили картофеля в пять раз больше, чем в прошлом году. Колхозы области выполнили план заготовки капусты на 170 процентов, моркови — на 140 процентов и свёклы — на 150 процентов. В Горловке, Макеевке, Славянске, Артёмовске и в ряде других городов приступили к сушке картофеля, капусты, свёклы и моркови. В колхозах для этой цели используют простые крестьянские печи.» (14763).</w:t>
      </w:r>
    </w:p>
    <w:p w14:paraId="0A2653F5" w14:textId="77777777" w:rsidR="00EA1479" w:rsidRPr="00640820" w:rsidRDefault="00EA1479" w:rsidP="00640820">
      <w:pPr>
        <w:spacing w:after="0" w:line="240" w:lineRule="auto"/>
        <w:jc w:val="both"/>
        <w:rPr>
          <w:rFonts w:ascii="Times New Roman" w:hAnsi="Times New Roman"/>
          <w:color w:val="000000" w:themeColor="text1"/>
          <w:sz w:val="16"/>
          <w:szCs w:val="16"/>
        </w:rPr>
      </w:pPr>
    </w:p>
    <w:p w14:paraId="7B6F9D9D" w14:textId="77777777" w:rsidR="00EA1479" w:rsidRPr="00640820" w:rsidRDefault="00EA147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 в 1941 году во время Великой Отечественной войны фашистские войска вышли к Ладожскому озеру в районе Шлиссельбурга и блокировали Ленинград с суши. Авиация противника произвела первый массированный налёт на Ленинград: на город сброшено 6327 зажигательных и 48 фугасных (массой по 250-500 кг) бомб. В результате бомбардировок с воздуха вспыхнул пожар на Бадаевских складах, в которых хранились продовольственные запасы города. Начались 900 блокадных дней и ночей осажденного города, явившие миру пример небывалого мужества воинов и горожан. 8 сентября 1990 г., в день 49-й годовщины начала блокады, в городе был впервые отмечен День скорби (14763).</w:t>
      </w:r>
    </w:p>
    <w:p w14:paraId="03FE9869" w14:textId="77777777" w:rsidR="00EA1479" w:rsidRPr="00640820" w:rsidRDefault="00EA1479" w:rsidP="00640820">
      <w:pPr>
        <w:spacing w:after="0" w:line="240" w:lineRule="auto"/>
        <w:jc w:val="both"/>
        <w:rPr>
          <w:rFonts w:ascii="Times New Roman" w:hAnsi="Times New Roman"/>
          <w:color w:val="000000" w:themeColor="text1"/>
          <w:sz w:val="16"/>
          <w:szCs w:val="16"/>
        </w:rPr>
      </w:pPr>
    </w:p>
    <w:p w14:paraId="592997BC" w14:textId="77777777" w:rsidR="00EA1479" w:rsidRPr="00640820" w:rsidRDefault="00EA147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 в 1941 году завершилась Ельнинская операция: войска Резервного фронта продвинулись на запад на 25 км, нанесли поражение 2 танковым, 1 моторизованной и 7 пехотным дивизиям противника, ликвидировали Ельнинский выступ.</w:t>
      </w:r>
    </w:p>
    <w:p w14:paraId="2BAEEBDA" w14:textId="77777777" w:rsidR="00EA1479" w:rsidRPr="00640820" w:rsidRDefault="00EA1479" w:rsidP="00640820">
      <w:pPr>
        <w:spacing w:after="0" w:line="240" w:lineRule="auto"/>
        <w:jc w:val="both"/>
        <w:rPr>
          <w:rFonts w:ascii="Times New Roman" w:hAnsi="Times New Roman"/>
          <w:color w:val="000000" w:themeColor="text1"/>
          <w:sz w:val="16"/>
          <w:szCs w:val="16"/>
        </w:rPr>
      </w:pPr>
    </w:p>
    <w:p w14:paraId="709ADAE4" w14:textId="77777777" w:rsidR="00EA1479" w:rsidRPr="00640820" w:rsidRDefault="00EA147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 в 1941 году Государственный Комитет Обороны принял постановление «О минометных частях М-8 и М-13», учредил должность командующего и Военный совет реактивных минометных частей, Главное управление вооружения этих частей, непосредственно подчиненных Ставке ВГК. Первым командующим реактивными минометными частями стал военный инженер 1 ранга В.В.Аборенков (14763).</w:t>
      </w:r>
    </w:p>
    <w:p w14:paraId="7FCC4EB7" w14:textId="77777777" w:rsidR="00EA1479" w:rsidRPr="00640820" w:rsidRDefault="00EA1479" w:rsidP="00640820">
      <w:pPr>
        <w:spacing w:after="0" w:line="240" w:lineRule="auto"/>
        <w:jc w:val="both"/>
        <w:rPr>
          <w:rFonts w:ascii="Times New Roman" w:hAnsi="Times New Roman"/>
          <w:color w:val="000000" w:themeColor="text1"/>
          <w:sz w:val="16"/>
          <w:szCs w:val="16"/>
        </w:rPr>
      </w:pPr>
    </w:p>
    <w:p w14:paraId="5BF4C647" w14:textId="77777777" w:rsidR="00EA1479" w:rsidRPr="00640820" w:rsidRDefault="00EA147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 в 1941 году советские войска оставили Кременчуг (14763).</w:t>
      </w:r>
    </w:p>
    <w:p w14:paraId="58677F1D" w14:textId="77777777" w:rsidR="00EA1479" w:rsidRPr="00640820" w:rsidRDefault="00EA1479" w:rsidP="00640820">
      <w:pPr>
        <w:spacing w:after="0" w:line="240" w:lineRule="auto"/>
        <w:jc w:val="both"/>
        <w:rPr>
          <w:rFonts w:ascii="Times New Roman" w:hAnsi="Times New Roman"/>
          <w:color w:val="000000" w:themeColor="text1"/>
          <w:sz w:val="16"/>
          <w:szCs w:val="16"/>
        </w:rPr>
      </w:pPr>
    </w:p>
    <w:p w14:paraId="158455E7" w14:textId="77777777" w:rsidR="00EA1479" w:rsidRPr="00640820" w:rsidRDefault="00EA147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 в 1941 году распоряжение ГКО об увольнении из рядов вооруженных сил советских немцев (14763).</w:t>
      </w:r>
    </w:p>
    <w:p w14:paraId="10E034A5" w14:textId="77777777" w:rsidR="00EA1479" w:rsidRPr="00640820" w:rsidRDefault="00EA1479" w:rsidP="00640820">
      <w:pPr>
        <w:spacing w:after="0" w:line="240" w:lineRule="auto"/>
        <w:jc w:val="both"/>
        <w:rPr>
          <w:rFonts w:ascii="Times New Roman" w:hAnsi="Times New Roman"/>
          <w:color w:val="000000" w:themeColor="text1"/>
          <w:sz w:val="16"/>
          <w:szCs w:val="16"/>
        </w:rPr>
      </w:pPr>
    </w:p>
    <w:p w14:paraId="04505A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 1941:</w:t>
      </w:r>
    </w:p>
    <w:p w14:paraId="19AC17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13.30 4 Ил-2 218-го шап 60-й сад с бреющего полета атаковали стоянку ав</w:t>
      </w:r>
      <w:r w:rsidRPr="00640820">
        <w:rPr>
          <w:rFonts w:ascii="Times New Roman" w:hAnsi="Times New Roman"/>
          <w:color w:val="000000" w:themeColor="text1"/>
          <w:sz w:val="16"/>
          <w:szCs w:val="16"/>
        </w:rPr>
        <w:softHyphen/>
        <w:t>томашин в 5 км западнее Пеклино. Уда</w:t>
      </w:r>
      <w:r w:rsidRPr="00640820">
        <w:rPr>
          <w:rFonts w:ascii="Times New Roman" w:hAnsi="Times New Roman"/>
          <w:color w:val="000000" w:themeColor="text1"/>
          <w:sz w:val="16"/>
          <w:szCs w:val="16"/>
        </w:rPr>
        <w:softHyphen/>
        <w:t>ром было уничтожено 15 автомашин.</w:t>
      </w:r>
    </w:p>
    <w:p w14:paraId="7A1D85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15.27 звено Ил-2 этого же полка в повторном ударе уничтожило 7 автома</w:t>
      </w:r>
      <w:r w:rsidRPr="00640820">
        <w:rPr>
          <w:rFonts w:ascii="Times New Roman" w:hAnsi="Times New Roman"/>
          <w:color w:val="000000" w:themeColor="text1"/>
          <w:sz w:val="16"/>
          <w:szCs w:val="16"/>
        </w:rPr>
        <w:softHyphen/>
        <w:t>шин. Один Ил-2 не вернулся с боевого задания.</w:t>
      </w:r>
    </w:p>
    <w:p w14:paraId="599D53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15.30 пара Ил-2 из 241-го </w:t>
      </w:r>
      <w:r w:rsidRPr="00640820">
        <w:rPr>
          <w:rFonts w:ascii="Times New Roman" w:hAnsi="Times New Roman"/>
          <w:iCs/>
          <w:color w:val="000000" w:themeColor="text1"/>
          <w:sz w:val="16"/>
          <w:szCs w:val="16"/>
        </w:rPr>
        <w:t>шап</w:t>
      </w:r>
      <w:r w:rsidRPr="00640820">
        <w:rPr>
          <w:rFonts w:ascii="Times New Roman" w:hAnsi="Times New Roman"/>
          <w:color w:val="000000" w:themeColor="text1"/>
          <w:sz w:val="16"/>
          <w:szCs w:val="16"/>
        </w:rPr>
        <w:t xml:space="preserve"> у н.п. Камень с высоты 50 м атаковала колонну, насчитывавшую до 70 автомашин. Экипажи доложили о не</w:t>
      </w:r>
      <w:r w:rsidRPr="00640820">
        <w:rPr>
          <w:rFonts w:ascii="Times New Roman" w:hAnsi="Times New Roman"/>
          <w:color w:val="000000" w:themeColor="text1"/>
          <w:sz w:val="16"/>
          <w:szCs w:val="16"/>
        </w:rPr>
        <w:softHyphen/>
        <w:t>скольких прямых попаданиях в автома</w:t>
      </w:r>
      <w:r w:rsidRPr="00640820">
        <w:rPr>
          <w:rFonts w:ascii="Times New Roman" w:hAnsi="Times New Roman"/>
          <w:color w:val="000000" w:themeColor="text1"/>
          <w:sz w:val="16"/>
          <w:szCs w:val="16"/>
        </w:rPr>
        <w:softHyphen/>
        <w:t>шины. В это же время у Алтыновки звено "Илов" этого полка нанесло бомбоштурмовой удар по крупной (около 50 еди</w:t>
      </w:r>
      <w:r w:rsidRPr="00640820">
        <w:rPr>
          <w:rFonts w:ascii="Times New Roman" w:hAnsi="Times New Roman"/>
          <w:color w:val="000000" w:themeColor="text1"/>
          <w:sz w:val="16"/>
          <w:szCs w:val="16"/>
        </w:rPr>
        <w:softHyphen/>
        <w:t>ниц) танковой колонне немцев. В резуль</w:t>
      </w:r>
      <w:r w:rsidRPr="00640820">
        <w:rPr>
          <w:rFonts w:ascii="Times New Roman" w:hAnsi="Times New Roman"/>
          <w:color w:val="000000" w:themeColor="text1"/>
          <w:sz w:val="16"/>
          <w:szCs w:val="16"/>
        </w:rPr>
        <w:softHyphen/>
        <w:t>тате прямых попаданий РСов немецкие танкисты недосчитались 5 танков.</w:t>
      </w:r>
    </w:p>
    <w:p w14:paraId="038E9F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16.10 3 Ил-2 217-го </w:t>
      </w:r>
      <w:r w:rsidRPr="00640820">
        <w:rPr>
          <w:rFonts w:ascii="Times New Roman" w:hAnsi="Times New Roman"/>
          <w:iCs/>
          <w:color w:val="000000" w:themeColor="text1"/>
          <w:sz w:val="16"/>
          <w:szCs w:val="16"/>
        </w:rPr>
        <w:t>шап</w:t>
      </w:r>
      <w:r w:rsidRPr="00640820">
        <w:rPr>
          <w:rFonts w:ascii="Times New Roman" w:hAnsi="Times New Roman"/>
          <w:color w:val="000000" w:themeColor="text1"/>
          <w:sz w:val="16"/>
          <w:szCs w:val="16"/>
        </w:rPr>
        <w:t xml:space="preserve"> с брею</w:t>
      </w:r>
      <w:r w:rsidRPr="00640820">
        <w:rPr>
          <w:rFonts w:ascii="Times New Roman" w:hAnsi="Times New Roman"/>
          <w:color w:val="000000" w:themeColor="text1"/>
          <w:sz w:val="16"/>
          <w:szCs w:val="16"/>
        </w:rPr>
        <w:softHyphen/>
        <w:t>щей высоты атаковали немецкую авто</w:t>
      </w:r>
      <w:r w:rsidRPr="00640820">
        <w:rPr>
          <w:rFonts w:ascii="Times New Roman" w:hAnsi="Times New Roman"/>
          <w:color w:val="000000" w:themeColor="text1"/>
          <w:sz w:val="16"/>
          <w:szCs w:val="16"/>
        </w:rPr>
        <w:softHyphen/>
        <w:t>колонну в составе 50 автомашин на до</w:t>
      </w:r>
      <w:r w:rsidRPr="00640820">
        <w:rPr>
          <w:rFonts w:ascii="Times New Roman" w:hAnsi="Times New Roman"/>
          <w:color w:val="000000" w:themeColor="text1"/>
          <w:sz w:val="16"/>
          <w:szCs w:val="16"/>
        </w:rPr>
        <w:softHyphen/>
        <w:t>роге Кролевец-Алтыновка. Внезапный выход на цель позволил штурмовикам без помех со стороны ПВО колонны "по</w:t>
      </w:r>
      <w:r w:rsidRPr="00640820">
        <w:rPr>
          <w:rFonts w:ascii="Times New Roman" w:hAnsi="Times New Roman"/>
          <w:color w:val="000000" w:themeColor="text1"/>
          <w:sz w:val="16"/>
          <w:szCs w:val="16"/>
        </w:rPr>
        <w:softHyphen/>
        <w:t>ложить" весь боекомплект точно по ко</w:t>
      </w:r>
      <w:r w:rsidRPr="00640820">
        <w:rPr>
          <w:rFonts w:ascii="Times New Roman" w:hAnsi="Times New Roman"/>
          <w:color w:val="000000" w:themeColor="text1"/>
          <w:sz w:val="16"/>
          <w:szCs w:val="16"/>
        </w:rPr>
        <w:softHyphen/>
        <w:t>лонне. В итоге до 20 машин было унич</w:t>
      </w:r>
      <w:r w:rsidRPr="00640820">
        <w:rPr>
          <w:rFonts w:ascii="Times New Roman" w:hAnsi="Times New Roman"/>
          <w:color w:val="000000" w:themeColor="text1"/>
          <w:sz w:val="16"/>
          <w:szCs w:val="16"/>
        </w:rPr>
        <w:softHyphen/>
        <w:t>тожено и повреждено. К сожалению, на обратном пути штурмовики напоролись на огонь МЗА, один Ил-2 был подбит и сел на вынужденную у Конотоп (загоре</w:t>
      </w:r>
      <w:r w:rsidRPr="00640820">
        <w:rPr>
          <w:rFonts w:ascii="Times New Roman" w:hAnsi="Times New Roman"/>
          <w:color w:val="000000" w:themeColor="text1"/>
          <w:sz w:val="16"/>
          <w:szCs w:val="16"/>
        </w:rPr>
        <w:softHyphen/>
        <w:t>лась плоскость).</w:t>
      </w:r>
    </w:p>
    <w:p w14:paraId="119468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16.50-17.00 12 Ил-2 503-го шап звеньями с высоты 50 м атаковали не</w:t>
      </w:r>
      <w:r w:rsidRPr="00640820">
        <w:rPr>
          <w:rFonts w:ascii="Times New Roman" w:hAnsi="Times New Roman"/>
          <w:color w:val="000000" w:themeColor="text1"/>
          <w:sz w:val="16"/>
          <w:szCs w:val="16"/>
        </w:rPr>
        <w:softHyphen/>
        <w:t>мецкие танки в лесу западнее Путивля и отдельные мотомехколонны на доро</w:t>
      </w:r>
      <w:r w:rsidRPr="00640820">
        <w:rPr>
          <w:rFonts w:ascii="Times New Roman" w:hAnsi="Times New Roman"/>
          <w:color w:val="000000" w:themeColor="text1"/>
          <w:sz w:val="16"/>
          <w:szCs w:val="16"/>
        </w:rPr>
        <w:softHyphen/>
        <w:t>гах в сторону.</w:t>
      </w:r>
    </w:p>
    <w:p w14:paraId="057E28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Мутино, Кролевец, Божек. </w:t>
      </w:r>
      <w:r w:rsidRPr="00640820">
        <w:rPr>
          <w:rFonts w:ascii="Times New Roman" w:hAnsi="Times New Roman"/>
          <w:iCs/>
          <w:color w:val="000000" w:themeColor="text1"/>
          <w:sz w:val="16"/>
          <w:szCs w:val="16"/>
        </w:rPr>
        <w:t>"...Были видны горящие танки и авто</w:t>
      </w:r>
      <w:r w:rsidRPr="00640820">
        <w:rPr>
          <w:rFonts w:ascii="Times New Roman" w:hAnsi="Times New Roman"/>
          <w:iCs/>
          <w:color w:val="000000" w:themeColor="text1"/>
          <w:sz w:val="16"/>
          <w:szCs w:val="16"/>
        </w:rPr>
        <w:softHyphen/>
        <w:t>машины", -</w:t>
      </w:r>
      <w:r w:rsidRPr="00640820">
        <w:rPr>
          <w:rFonts w:ascii="Times New Roman" w:hAnsi="Times New Roman"/>
          <w:color w:val="000000" w:themeColor="text1"/>
          <w:sz w:val="16"/>
          <w:szCs w:val="16"/>
        </w:rPr>
        <w:t xml:space="preserve"> доложили экипажи по при</w:t>
      </w:r>
      <w:r w:rsidRPr="00640820">
        <w:rPr>
          <w:rFonts w:ascii="Times New Roman" w:hAnsi="Times New Roman"/>
          <w:color w:val="000000" w:themeColor="text1"/>
          <w:sz w:val="16"/>
          <w:szCs w:val="16"/>
        </w:rPr>
        <w:softHyphen/>
        <w:t>бытию на свой аэродром. От огня МЗА над целью погиб ст.л-т Фисин.</w:t>
      </w:r>
    </w:p>
    <w:p w14:paraId="53DBEC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ответ на активизацию действий советских штурмовиков немцы резко усилили зенитное и истребительное прикрытие своих танковых и мотомеха</w:t>
      </w:r>
      <w:r w:rsidRPr="00640820">
        <w:rPr>
          <w:rFonts w:ascii="Times New Roman" w:hAnsi="Times New Roman"/>
          <w:color w:val="000000" w:themeColor="text1"/>
          <w:sz w:val="16"/>
          <w:szCs w:val="16"/>
        </w:rPr>
        <w:softHyphen/>
        <w:t>низированных колонн.</w:t>
      </w:r>
    </w:p>
    <w:p w14:paraId="36FCB5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результате в последующие три дня 1 -я РАГ потеряла 31 Ил-2 (из них 9 сен</w:t>
      </w:r>
      <w:r w:rsidRPr="00640820">
        <w:rPr>
          <w:rFonts w:ascii="Times New Roman" w:hAnsi="Times New Roman"/>
          <w:color w:val="000000" w:themeColor="text1"/>
          <w:sz w:val="16"/>
          <w:szCs w:val="16"/>
        </w:rPr>
        <w:softHyphen/>
        <w:t>тября - 11 "Илов", 10 сентября - 11 ма</w:t>
      </w:r>
      <w:r w:rsidRPr="00640820">
        <w:rPr>
          <w:rFonts w:ascii="Times New Roman" w:hAnsi="Times New Roman"/>
          <w:color w:val="000000" w:themeColor="text1"/>
          <w:sz w:val="16"/>
          <w:szCs w:val="16"/>
        </w:rPr>
        <w:softHyphen/>
        <w:t>шин и 11 сентября - 9 Ил-2) и ударные возможности авиагруппы резко снизи</w:t>
      </w:r>
      <w:r w:rsidRPr="00640820">
        <w:rPr>
          <w:rFonts w:ascii="Times New Roman" w:hAnsi="Times New Roman"/>
          <w:color w:val="000000" w:themeColor="text1"/>
          <w:sz w:val="16"/>
          <w:szCs w:val="16"/>
        </w:rPr>
        <w:softHyphen/>
        <w:t>лись.</w:t>
      </w:r>
    </w:p>
    <w:p w14:paraId="17D086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 12 сентября в 217-м </w:t>
      </w:r>
      <w:r w:rsidRPr="00640820">
        <w:rPr>
          <w:rFonts w:ascii="Times New Roman" w:hAnsi="Times New Roman"/>
          <w:iCs/>
          <w:color w:val="000000" w:themeColor="text1"/>
          <w:sz w:val="16"/>
          <w:szCs w:val="16"/>
        </w:rPr>
        <w:t>шап</w:t>
      </w:r>
      <w:r w:rsidRPr="00640820">
        <w:rPr>
          <w:rFonts w:ascii="Times New Roman" w:hAnsi="Times New Roman"/>
          <w:color w:val="000000" w:themeColor="text1"/>
          <w:sz w:val="16"/>
          <w:szCs w:val="16"/>
        </w:rPr>
        <w:t xml:space="preserve"> имелось всего 2 штурмовика Ил-2 (оба неисп</w:t>
      </w:r>
      <w:r w:rsidRPr="00640820">
        <w:rPr>
          <w:rFonts w:ascii="Times New Roman" w:hAnsi="Times New Roman"/>
          <w:color w:val="000000" w:themeColor="text1"/>
          <w:sz w:val="16"/>
          <w:szCs w:val="16"/>
        </w:rPr>
        <w:softHyphen/>
        <w:t xml:space="preserve">равные), в 503-м </w:t>
      </w:r>
      <w:r w:rsidRPr="00640820">
        <w:rPr>
          <w:rFonts w:ascii="Times New Roman" w:hAnsi="Times New Roman"/>
          <w:iCs/>
          <w:color w:val="000000" w:themeColor="text1"/>
          <w:sz w:val="16"/>
          <w:szCs w:val="16"/>
        </w:rPr>
        <w:t>шап -</w:t>
      </w:r>
      <w:r w:rsidRPr="00640820">
        <w:rPr>
          <w:rFonts w:ascii="Times New Roman" w:hAnsi="Times New Roman"/>
          <w:color w:val="000000" w:themeColor="text1"/>
          <w:sz w:val="16"/>
          <w:szCs w:val="16"/>
        </w:rPr>
        <w:t xml:space="preserve"> 5 исправных и один неисправный самолет и в 241-м </w:t>
      </w:r>
      <w:r w:rsidRPr="00640820">
        <w:rPr>
          <w:rFonts w:ascii="Times New Roman" w:hAnsi="Times New Roman"/>
          <w:iCs/>
          <w:color w:val="000000" w:themeColor="text1"/>
          <w:sz w:val="16"/>
          <w:szCs w:val="16"/>
        </w:rPr>
        <w:t>шап - 7</w:t>
      </w:r>
      <w:r w:rsidRPr="00640820">
        <w:rPr>
          <w:rFonts w:ascii="Times New Roman" w:hAnsi="Times New Roman"/>
          <w:color w:val="000000" w:themeColor="text1"/>
          <w:sz w:val="16"/>
          <w:szCs w:val="16"/>
        </w:rPr>
        <w:t xml:space="preserve"> машин.</w:t>
      </w:r>
    </w:p>
    <w:p w14:paraId="35BF12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трех штурмовых авиапол</w:t>
      </w:r>
      <w:r w:rsidRPr="00640820">
        <w:rPr>
          <w:rFonts w:ascii="Times New Roman" w:hAnsi="Times New Roman"/>
          <w:color w:val="000000" w:themeColor="text1"/>
          <w:sz w:val="16"/>
          <w:szCs w:val="16"/>
        </w:rPr>
        <w:softHyphen/>
        <w:t>ков ВВС Брянского фронта на 10 сен</w:t>
      </w:r>
      <w:r w:rsidRPr="00640820">
        <w:rPr>
          <w:rFonts w:ascii="Times New Roman" w:hAnsi="Times New Roman"/>
          <w:color w:val="000000" w:themeColor="text1"/>
          <w:sz w:val="16"/>
          <w:szCs w:val="16"/>
        </w:rPr>
        <w:softHyphen/>
        <w:t>тября при 36 летчиках имелось всего 9 исправных Ил-2. Еще 24 машины были неисправны.</w:t>
      </w:r>
    </w:p>
    <w:p w14:paraId="7E3A35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Фактически авиасилы Красной Армии на брянском направлении утратили спо</w:t>
      </w:r>
      <w:r w:rsidRPr="00640820">
        <w:rPr>
          <w:rFonts w:ascii="Times New Roman" w:hAnsi="Times New Roman"/>
          <w:color w:val="000000" w:themeColor="text1"/>
          <w:sz w:val="16"/>
          <w:szCs w:val="16"/>
        </w:rPr>
        <w:softHyphen/>
        <w:t>собность эффективно препятствовать продвижению немецких танковых и мо</w:t>
      </w:r>
      <w:r w:rsidRPr="00640820">
        <w:rPr>
          <w:rFonts w:ascii="Times New Roman" w:hAnsi="Times New Roman"/>
          <w:color w:val="000000" w:themeColor="text1"/>
          <w:sz w:val="16"/>
          <w:szCs w:val="16"/>
        </w:rPr>
        <w:softHyphen/>
        <w:t>томеханизированных частей...</w:t>
      </w:r>
    </w:p>
    <w:p w14:paraId="1A1504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Уже к 10 сентября немецким танкис</w:t>
      </w:r>
      <w:r w:rsidRPr="00640820">
        <w:rPr>
          <w:rFonts w:ascii="Times New Roman" w:hAnsi="Times New Roman"/>
          <w:color w:val="000000" w:themeColor="text1"/>
          <w:sz w:val="16"/>
          <w:szCs w:val="16"/>
        </w:rPr>
        <w:softHyphen/>
        <w:t>там и мотопехоте удалось форсировать р. Десна и выйти на рубеж Конотоп-Чернигов. Таким образом, Гудериан главны</w:t>
      </w:r>
      <w:r w:rsidRPr="00640820">
        <w:rPr>
          <w:rFonts w:ascii="Times New Roman" w:hAnsi="Times New Roman"/>
          <w:color w:val="000000" w:themeColor="text1"/>
          <w:sz w:val="16"/>
          <w:szCs w:val="16"/>
        </w:rPr>
        <w:softHyphen/>
        <w:t>ми силами пробился в тыл Юго-Западного фронта, и 16 сентября после со</w:t>
      </w:r>
      <w:r w:rsidRPr="00640820">
        <w:rPr>
          <w:rFonts w:ascii="Times New Roman" w:hAnsi="Times New Roman"/>
          <w:color w:val="000000" w:themeColor="text1"/>
          <w:sz w:val="16"/>
          <w:szCs w:val="16"/>
        </w:rPr>
        <w:softHyphen/>
        <w:t>единения в районе Луховицы танкистов 2-й и 1-й танковых групп в окружении оказались 5-я, 26-я и 37-я армии полно</w:t>
      </w:r>
      <w:r w:rsidRPr="00640820">
        <w:rPr>
          <w:rFonts w:ascii="Times New Roman" w:hAnsi="Times New Roman"/>
          <w:color w:val="000000" w:themeColor="text1"/>
          <w:sz w:val="16"/>
          <w:szCs w:val="16"/>
        </w:rPr>
        <w:softHyphen/>
        <w:t>стью, а 21-я и 38-я армии - частью сил. Обстановка на южном крыле советско-германского фронта резко ухудшилась. Несмотря на то, что вновь созданному управлению Юго-Западного фронта во главе с С.К.Тимошенко, объединивше</w:t>
      </w:r>
      <w:r w:rsidRPr="00640820">
        <w:rPr>
          <w:rFonts w:ascii="Times New Roman" w:hAnsi="Times New Roman"/>
          <w:color w:val="000000" w:themeColor="text1"/>
          <w:sz w:val="16"/>
          <w:szCs w:val="16"/>
        </w:rPr>
        <w:softHyphen/>
        <w:t>му войска, которые прибыли из резерва Ставки и оставшиеся от прежнего фрон</w:t>
      </w:r>
      <w:r w:rsidRPr="00640820">
        <w:rPr>
          <w:rFonts w:ascii="Times New Roman" w:hAnsi="Times New Roman"/>
          <w:color w:val="000000" w:themeColor="text1"/>
          <w:sz w:val="16"/>
          <w:szCs w:val="16"/>
        </w:rPr>
        <w:softHyphen/>
        <w:t>та, удалось задержать противника на ли</w:t>
      </w:r>
      <w:r w:rsidRPr="00640820">
        <w:rPr>
          <w:rFonts w:ascii="Times New Roman" w:hAnsi="Times New Roman"/>
          <w:color w:val="000000" w:themeColor="text1"/>
          <w:sz w:val="16"/>
          <w:szCs w:val="16"/>
        </w:rPr>
        <w:softHyphen/>
        <w:t>нии Белополье-Лебедин-Красноград-Сталиногорск, создалась реальная угро</w:t>
      </w:r>
      <w:r w:rsidRPr="00640820">
        <w:rPr>
          <w:rFonts w:ascii="Times New Roman" w:hAnsi="Times New Roman"/>
          <w:color w:val="000000" w:themeColor="text1"/>
          <w:sz w:val="16"/>
          <w:szCs w:val="16"/>
        </w:rPr>
        <w:softHyphen/>
        <w:t>за Харьковскому промышленному райо</w:t>
      </w:r>
      <w:r w:rsidRPr="00640820">
        <w:rPr>
          <w:rFonts w:ascii="Times New Roman" w:hAnsi="Times New Roman"/>
          <w:color w:val="000000" w:themeColor="text1"/>
          <w:sz w:val="16"/>
          <w:szCs w:val="16"/>
        </w:rPr>
        <w:softHyphen/>
        <w:t>ну и Донбассу.</w:t>
      </w:r>
    </w:p>
    <w:p w14:paraId="336940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Войска Западного фронта (30-я, 19-я, 16-я и 20-я армии), перешедшие в на</w:t>
      </w:r>
      <w:r w:rsidRPr="00640820">
        <w:rPr>
          <w:rFonts w:ascii="Times New Roman" w:hAnsi="Times New Roman"/>
          <w:color w:val="000000" w:themeColor="text1"/>
          <w:sz w:val="16"/>
          <w:szCs w:val="16"/>
        </w:rPr>
        <w:softHyphen/>
        <w:t>ступление 1 сентября, из-за недостатка сил и средств не смогли сломить со</w:t>
      </w:r>
      <w:r w:rsidRPr="00640820">
        <w:rPr>
          <w:rFonts w:ascii="Times New Roman" w:hAnsi="Times New Roman"/>
          <w:color w:val="000000" w:themeColor="text1"/>
          <w:sz w:val="16"/>
          <w:szCs w:val="16"/>
        </w:rPr>
        <w:softHyphen/>
        <w:t>противление противника под Смоленс</w:t>
      </w:r>
      <w:r w:rsidRPr="00640820">
        <w:rPr>
          <w:rFonts w:ascii="Times New Roman" w:hAnsi="Times New Roman"/>
          <w:color w:val="000000" w:themeColor="text1"/>
          <w:sz w:val="16"/>
          <w:szCs w:val="16"/>
        </w:rPr>
        <w:softHyphen/>
        <w:t>ком и решить поставленные Ставкой задачи, 24-я и 43-я армии Резервного фронта, наоборот, успешно завершили начатую 30 августа Ельнинскую опера</w:t>
      </w:r>
      <w:r w:rsidRPr="00640820">
        <w:rPr>
          <w:rFonts w:ascii="Times New Roman" w:hAnsi="Times New Roman"/>
          <w:color w:val="000000" w:themeColor="text1"/>
          <w:sz w:val="16"/>
          <w:szCs w:val="16"/>
        </w:rPr>
        <w:softHyphen/>
        <w:t>цию, освободили 5 сентября Ельню и к 8 сентября ликвидировали опасный ель</w:t>
      </w:r>
      <w:r w:rsidRPr="00640820">
        <w:rPr>
          <w:rFonts w:ascii="Times New Roman" w:hAnsi="Times New Roman"/>
          <w:color w:val="000000" w:themeColor="text1"/>
          <w:sz w:val="16"/>
          <w:szCs w:val="16"/>
        </w:rPr>
        <w:softHyphen/>
        <w:t>нинский выступ на фланге 24-й армии.</w:t>
      </w:r>
    </w:p>
    <w:p w14:paraId="67DB2A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Учитывая сложившуюся обстановку и недостаточные возможности авиасил фронтов западного направления, 11 сен</w:t>
      </w:r>
      <w:r w:rsidRPr="00640820">
        <w:rPr>
          <w:rFonts w:ascii="Times New Roman" w:hAnsi="Times New Roman"/>
          <w:color w:val="000000" w:themeColor="text1"/>
          <w:sz w:val="16"/>
          <w:szCs w:val="16"/>
        </w:rPr>
        <w:softHyphen/>
        <w:t>тября Ставка отдала приказ войскам Западного и Брянского фронтов перей</w:t>
      </w:r>
      <w:r w:rsidRPr="00640820">
        <w:rPr>
          <w:rFonts w:ascii="Times New Roman" w:hAnsi="Times New Roman"/>
          <w:color w:val="000000" w:themeColor="text1"/>
          <w:sz w:val="16"/>
          <w:szCs w:val="16"/>
        </w:rPr>
        <w:softHyphen/>
        <w:t>ти к обороне.</w:t>
      </w:r>
    </w:p>
    <w:p w14:paraId="5E0550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Немецкое командование получило возможность усилить группу армий "Центр" и возобновить наступление на Москву.. (6467).</w:t>
      </w:r>
    </w:p>
    <w:p w14:paraId="0CE036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0A5A8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сентября 1941 маршал Кулик изъял из подчинения командования ЧФ бомбардировочную авиацию флота и передал ее командиру 7-го стрелкового корпуса Батову. Экипажам бомбардировщиков в этот период было приказано выполнять по пять боевых вылетов в день! Столь напряженные задания приводили к перегрузке, большой утомляемости летного состава и неоправданным потерям. Недостаточная согласованность в действиях прикрывающих истребителей и наносивших удары бомбардировщиков также оказывала негативное воздействие. Так, в период обороны Перекопа шестерка пикировщиков Пе-2 капитана Чеботарева под прикрытием 12 истребителей бомбардировала артиллерийскую батарею противника. На отходе группа была атакована пятеркой “мессершмиттов”, в бой с которыми постепенно ввязались все советские истребители. Очевидно, что отвлечение входило в план немцев: еще одна группа Bf 109F внезапно атаковала оставшиеся без прикрытия бомбардировщики и в течение 5-7 минут сожгла все 6 машин (4476).</w:t>
      </w:r>
    </w:p>
    <w:p w14:paraId="3E403B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136CD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8 сентября 1941 года 5-й ИАП получил приказ провести налет на танковую колонну в районе Ропши. Вылетело 7 ЛаГГов-3, вооруженных только пушками и пулеметами. Через сорок минут на базу вернулись четыре машины. Три ЛаГГа были сбиты зенитным огнем и немецкими истребителями. В бессмысленной атаке погибли три опытных пилота. Это вызвало недовольство у остальных летчиков полка, которые в мемуарах припомнили этот случай своему командованию (2691).</w:t>
      </w:r>
    </w:p>
    <w:p w14:paraId="6E673C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979B3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 1941 автожиры А-7-3А летали разбрасывать листовки. Согласно Милю солдаты в окопах называли машины пауком (257,17).</w:t>
      </w:r>
    </w:p>
    <w:p w14:paraId="1CEBBB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A8C37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 1941 Звено СПБ во взаимодействии с Як-1 разрушили переправу через Днепр у Берислава. Один И-16 и оин Як-1 не вернулись, но на следующий день 4 И-16 сбили 2 Ме-109 (1808,47).</w:t>
      </w:r>
    </w:p>
    <w:p w14:paraId="102FF3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EE24032" w14:textId="77777777" w:rsidR="007935BB" w:rsidRPr="00640820" w:rsidRDefault="007935BB" w:rsidP="00640820">
      <w:pPr>
        <w:shd w:val="clear" w:color="auto" w:fill="FFFFFF"/>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ночь на 8 сентября 1941 г. первый налет на Бухарест совершила семерка ДБ-3, ведомая Героем Советского Союза м-ром Н.А. То</w:t>
      </w:r>
      <w:r w:rsidRPr="00640820">
        <w:rPr>
          <w:rFonts w:ascii="Times New Roman" w:hAnsi="Times New Roman"/>
          <w:color w:val="0070C0"/>
          <w:sz w:val="16"/>
          <w:szCs w:val="16"/>
        </w:rPr>
        <w:softHyphen/>
        <w:t>каревым. Были сброшены три ФАБ-1000</w:t>
      </w:r>
    </w:p>
    <w:p w14:paraId="58C58CB0" w14:textId="77777777" w:rsidR="007935BB" w:rsidRPr="00640820" w:rsidRDefault="007935B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После этого налета, стамбульский корре</w:t>
      </w:r>
      <w:r w:rsidRPr="00640820">
        <w:rPr>
          <w:rFonts w:ascii="Times New Roman" w:hAnsi="Times New Roman"/>
          <w:color w:val="0070C0"/>
          <w:sz w:val="16"/>
          <w:szCs w:val="16"/>
        </w:rPr>
        <w:softHyphen/>
        <w:t>спондент «Тайме» писал:</w:t>
      </w:r>
      <w:r w:rsidRPr="00640820">
        <w:rPr>
          <w:rStyle w:val="aff5"/>
          <w:rFonts w:ascii="Times New Roman" w:hAnsi="Times New Roman" w:cs="Times New Roman"/>
          <w:color w:val="0070C0"/>
        </w:rPr>
        <w:t xml:space="preserve"> </w:t>
      </w:r>
      <w:r w:rsidRPr="00640820">
        <w:rPr>
          <w:rStyle w:val="aff5"/>
          <w:rFonts w:ascii="Times New Roman" w:hAnsi="Times New Roman" w:cs="Times New Roman"/>
          <w:i w:val="0"/>
          <w:iCs w:val="0"/>
          <w:color w:val="0070C0"/>
        </w:rPr>
        <w:t>«Интенсивные действия советской авиации заставили румынское правительство перенести свою столицу из Бухареста в Синаю»</w:t>
      </w:r>
      <w:r w:rsidRPr="00640820">
        <w:rPr>
          <w:rStyle w:val="aff5"/>
          <w:rFonts w:ascii="Times New Roman" w:hAnsi="Times New Roman" w:cs="Times New Roman"/>
          <w:color w:val="0070C0"/>
        </w:rPr>
        <w:t xml:space="preserve">. </w:t>
      </w:r>
      <w:r w:rsidRPr="00640820">
        <w:rPr>
          <w:rFonts w:ascii="Times New Roman" w:hAnsi="Times New Roman"/>
          <w:color w:val="0070C0"/>
          <w:sz w:val="16"/>
          <w:szCs w:val="16"/>
        </w:rPr>
        <w:t>Румыны в отместку 11 сентября соверши</w:t>
      </w:r>
      <w:r w:rsidRPr="00640820">
        <w:rPr>
          <w:rFonts w:ascii="Times New Roman" w:hAnsi="Times New Roman"/>
          <w:color w:val="0070C0"/>
          <w:sz w:val="16"/>
          <w:szCs w:val="16"/>
        </w:rPr>
        <w:softHyphen/>
        <w:t>ли два налета на Одессу, в результате ко</w:t>
      </w:r>
      <w:r w:rsidRPr="00640820">
        <w:rPr>
          <w:rFonts w:ascii="Times New Roman" w:hAnsi="Times New Roman"/>
          <w:color w:val="0070C0"/>
          <w:sz w:val="16"/>
          <w:szCs w:val="16"/>
        </w:rPr>
        <w:softHyphen/>
        <w:t>торых погиб 121 одессит и 162 получили ранения (19944).</w:t>
      </w:r>
    </w:p>
    <w:p w14:paraId="2DB32391" w14:textId="77777777" w:rsidR="007935BB" w:rsidRPr="00640820" w:rsidRDefault="007935BB" w:rsidP="00640820">
      <w:pPr>
        <w:spacing w:after="0" w:line="240" w:lineRule="auto"/>
        <w:jc w:val="both"/>
        <w:rPr>
          <w:rFonts w:ascii="Times New Roman" w:hAnsi="Times New Roman"/>
          <w:color w:val="0070C0"/>
          <w:sz w:val="16"/>
          <w:szCs w:val="16"/>
        </w:rPr>
      </w:pPr>
    </w:p>
    <w:p w14:paraId="1A8A5105" w14:textId="77777777" w:rsidR="00DE7CDD" w:rsidRPr="00640820" w:rsidRDefault="00DE7CDD" w:rsidP="00640820">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8 сентября 1941 в 18.50 четверка И-16 СПБ сбросила с пикирования восемь ФАБ- 250 и добилась, по докладам летчиков, че</w:t>
      </w:r>
      <w:r w:rsidRPr="00640820">
        <w:rPr>
          <w:rFonts w:ascii="Times New Roman" w:hAnsi="Times New Roman" w:cs="Times New Roman"/>
          <w:color w:val="000000" w:themeColor="text1"/>
          <w:sz w:val="16"/>
          <w:szCs w:val="16"/>
        </w:rPr>
        <w:softHyphen/>
        <w:t>тырех прямых попаданий в наведенную немцами переправу в районе Ка</w:t>
      </w:r>
      <w:r w:rsidRPr="00640820">
        <w:rPr>
          <w:rFonts w:ascii="Times New Roman" w:hAnsi="Times New Roman" w:cs="Times New Roman"/>
          <w:color w:val="000000" w:themeColor="text1"/>
          <w:sz w:val="16"/>
          <w:szCs w:val="16"/>
        </w:rPr>
        <w:softHyphen/>
        <w:t>ховки - Бериславля. На отходе истре</w:t>
      </w:r>
      <w:r w:rsidRPr="00640820">
        <w:rPr>
          <w:rFonts w:ascii="Times New Roman" w:hAnsi="Times New Roman" w:cs="Times New Roman"/>
          <w:color w:val="000000" w:themeColor="text1"/>
          <w:sz w:val="16"/>
          <w:szCs w:val="16"/>
        </w:rPr>
        <w:softHyphen/>
        <w:t>бители-бомбардировщики были атакованы «мессерами», при этом из боевого вылета не вернулся лейтенант И.Я. Каспаров (19112).</w:t>
      </w:r>
    </w:p>
    <w:p w14:paraId="4752F69F" w14:textId="77777777" w:rsidR="00DE7CDD" w:rsidRPr="00640820" w:rsidRDefault="00DE7CDD" w:rsidP="00640820">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54CC08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8 сентября "Звено-СПБ" во взаимодействии с истребителями охранения ЯК-1 разрушили переправу в районе Бсрислава. Из этого боевого вылета не вернулись один ЯК-1 и один И-16. На следующий день после выполнения бомбометания по днепровским переправам четыре И-16 вступили в воздушный бой с немецкими истребителями, в котором сбили 2 </w:t>
      </w:r>
      <w:r w:rsidRPr="00640820">
        <w:rPr>
          <w:rFonts w:ascii="Times New Roman" w:hAnsi="Times New Roman"/>
          <w:color w:val="000000" w:themeColor="text1"/>
          <w:sz w:val="16"/>
          <w:szCs w:val="16"/>
          <w:lang w:val="en-US"/>
        </w:rPr>
        <w:t>Bf</w:t>
      </w:r>
      <w:r w:rsidRPr="00640820">
        <w:rPr>
          <w:rFonts w:ascii="Times New Roman" w:hAnsi="Times New Roman"/>
          <w:color w:val="000000" w:themeColor="text1"/>
          <w:sz w:val="16"/>
          <w:szCs w:val="16"/>
        </w:rPr>
        <w:t xml:space="preserve"> 109.</w:t>
      </w:r>
    </w:p>
    <w:p w14:paraId="326A4A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Последующие боевые действия "подвесных" И-16 проходили в условиях все более ухудшающейся для Красной Армии боевой обстановки. В конце сентября немецкие войска начали наступление в северной части Крыма. Для сдерживания врага использовали все наличные силы авиации, и даже те средства, которые предназначались для нанесения высокоточных ударов в тылу противника. ТБ-3 теперь зачастую использова- лисьлишьдля подъема нагруженных И-16 - сами истребители с двумя бомбами но 250 кг взлететь не могли. После бомбардировки эти И-16 вступали в воздушные бои. что зачастую вело к тяжелым потерям. 2 октября 1941 г. в схватке с немецкими истребителями погиб командир 32-й эскадрильи капитан Шубиков (12015).</w:t>
      </w:r>
    </w:p>
    <w:p w14:paraId="32AC91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1564C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8 сентября 1941 г. в районе Тройтсанкон- ту на реке Свирь финны захватили двухместный УТИ-4 в практически исправным состоянии. Повреждены были только кок и лопасти воздушного винта. Уже 17 октября самолет отремонтировали и с обозначением </w:t>
      </w:r>
      <w:r w:rsidRPr="00640820">
        <w:rPr>
          <w:rFonts w:ascii="Times New Roman" w:hAnsi="Times New Roman"/>
          <w:color w:val="000000" w:themeColor="text1"/>
          <w:sz w:val="16"/>
          <w:szCs w:val="16"/>
          <w:lang w:val="en-US"/>
        </w:rPr>
        <w:t>VH</w:t>
      </w:r>
      <w:r w:rsidRPr="00640820">
        <w:rPr>
          <w:rFonts w:ascii="Times New Roman" w:hAnsi="Times New Roman"/>
          <w:color w:val="000000" w:themeColor="text1"/>
          <w:sz w:val="16"/>
          <w:szCs w:val="16"/>
        </w:rPr>
        <w:t xml:space="preserve">-22 подготовили к полетам. Позднее обозначение сменили на </w:t>
      </w:r>
      <w:r w:rsidRPr="00640820">
        <w:rPr>
          <w:rFonts w:ascii="Times New Roman" w:hAnsi="Times New Roman"/>
          <w:color w:val="000000" w:themeColor="text1"/>
          <w:sz w:val="16"/>
          <w:szCs w:val="16"/>
          <w:lang w:val="en-US"/>
        </w:rPr>
        <w:t>UT</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 xml:space="preserve"> и 10 апреля 1942 г. ввели в состав полразделения </w:t>
      </w:r>
      <w:r w:rsidRPr="00640820">
        <w:rPr>
          <w:rFonts w:ascii="Times New Roman" w:hAnsi="Times New Roman"/>
          <w:color w:val="000000" w:themeColor="text1"/>
          <w:sz w:val="16"/>
          <w:szCs w:val="16"/>
          <w:lang w:val="en-US"/>
        </w:rPr>
        <w:t>LcLv</w:t>
      </w:r>
      <w:r w:rsidRPr="00640820">
        <w:rPr>
          <w:rFonts w:ascii="Times New Roman" w:hAnsi="Times New Roman"/>
          <w:color w:val="000000" w:themeColor="text1"/>
          <w:sz w:val="16"/>
          <w:szCs w:val="16"/>
        </w:rPr>
        <w:t xml:space="preserve"> 48. 10 августа 1942 г. </w:t>
      </w:r>
      <w:r w:rsidRPr="00640820">
        <w:rPr>
          <w:rFonts w:ascii="Times New Roman" w:hAnsi="Times New Roman"/>
          <w:color w:val="000000" w:themeColor="text1"/>
          <w:sz w:val="16"/>
          <w:szCs w:val="16"/>
          <w:lang w:val="en-US"/>
        </w:rPr>
        <w:t>UT</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 xml:space="preserve"> передали в тренировочное подразделение </w:t>
      </w:r>
      <w:r w:rsidRPr="00640820">
        <w:rPr>
          <w:rFonts w:ascii="Times New Roman" w:hAnsi="Times New Roman"/>
          <w:color w:val="000000" w:themeColor="text1"/>
          <w:sz w:val="16"/>
          <w:szCs w:val="16"/>
          <w:lang w:val="en-US"/>
        </w:rPr>
        <w:t>T</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LLv</w:t>
      </w:r>
      <w:r w:rsidRPr="00640820">
        <w:rPr>
          <w:rFonts w:ascii="Times New Roman" w:hAnsi="Times New Roman"/>
          <w:color w:val="000000" w:themeColor="text1"/>
          <w:sz w:val="16"/>
          <w:szCs w:val="16"/>
        </w:rPr>
        <w:t xml:space="preserve"> 35. где к 11 сентября он налетал 43 ч 25 мин. До окончания летной эксплуатации 9 августа 1944 г. общий налет финского УТИ-4 еше более увеличился. Затем самолет находился в законсервированном состоянии в течении нескольких десятилетий. В настоящее время этот сохранившийся экземпляр является экспонатом авиационного музея в Вантаа (12015).</w:t>
      </w:r>
    </w:p>
    <w:p w14:paraId="06D090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A468D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 1941 немцы прорвались к Ладожскому озеру. По одну сторону их прорыва был Ленинград с войсками Ленинградского фронта, по другую - 8 дивизий 54-й армии (3573).</w:t>
      </w:r>
    </w:p>
    <w:p w14:paraId="4FB303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0094A7F" w14:textId="77777777" w:rsidR="007935BB" w:rsidRPr="00640820" w:rsidRDefault="007935B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8 сентября 1941, в день, когда пал Шлиссельбург и вокруг Ле</w:t>
      </w:r>
      <w:r w:rsidRPr="00640820">
        <w:rPr>
          <w:rFonts w:ascii="Times New Roman" w:hAnsi="Times New Roman"/>
          <w:color w:val="0070C0"/>
          <w:sz w:val="16"/>
          <w:szCs w:val="16"/>
        </w:rPr>
        <w:softHyphen/>
        <w:t>нинграда замкнулось кольцо блокады (20120).</w:t>
      </w:r>
    </w:p>
    <w:p w14:paraId="5F7BC553" w14:textId="77777777" w:rsidR="007935BB" w:rsidRPr="00640820" w:rsidRDefault="007935BB" w:rsidP="00640820">
      <w:pPr>
        <w:spacing w:after="0" w:line="240" w:lineRule="auto"/>
        <w:jc w:val="both"/>
        <w:rPr>
          <w:rFonts w:ascii="Times New Roman" w:hAnsi="Times New Roman"/>
          <w:color w:val="0070C0"/>
          <w:sz w:val="16"/>
          <w:szCs w:val="16"/>
        </w:rPr>
      </w:pPr>
    </w:p>
    <w:p w14:paraId="2A4DDD2A" w14:textId="77777777" w:rsidR="007935BB" w:rsidRPr="00640820" w:rsidRDefault="007935B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8 сентября 1941 авиация выполнила три групповых налёта на город, в которых приняли участие око</w:t>
      </w:r>
      <w:r w:rsidRPr="00640820">
        <w:rPr>
          <w:rFonts w:ascii="Times New Roman" w:hAnsi="Times New Roman"/>
          <w:color w:val="0070C0"/>
          <w:sz w:val="16"/>
          <w:szCs w:val="16"/>
        </w:rPr>
        <w:softHyphen/>
        <w:t>ло 100 бомбардировщиков. На Ленинград было сброшено 6327 зажигательных бомб. С этого дня и до конца месяца город почти ежедневно подвер</w:t>
      </w:r>
      <w:r w:rsidRPr="00640820">
        <w:rPr>
          <w:rFonts w:ascii="Times New Roman" w:hAnsi="Times New Roman"/>
          <w:color w:val="0070C0"/>
          <w:sz w:val="16"/>
          <w:szCs w:val="16"/>
        </w:rPr>
        <w:softHyphen/>
        <w:t>гался воздушным бомбардировкам. Несмотря на меры по маскировке, вражеские лётчики хорошо ориентировались в воздушном пространстве го</w:t>
      </w:r>
      <w:r w:rsidRPr="00640820">
        <w:rPr>
          <w:rFonts w:ascii="Times New Roman" w:hAnsi="Times New Roman"/>
          <w:color w:val="0070C0"/>
          <w:sz w:val="16"/>
          <w:szCs w:val="16"/>
        </w:rPr>
        <w:softHyphen/>
        <w:t>рода, знали местонахождение важных объектов, и только из-за огня зенитных орудий и тросов АЗ не смогли их уничтожить. А.И. Бернштейн так описывал развернувшуюся в воздухе драму:</w:t>
      </w:r>
    </w:p>
    <w:p w14:paraId="082A7033" w14:textId="77777777" w:rsidR="007935BB" w:rsidRPr="00640820" w:rsidRDefault="007935B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Все ночи небо Ленинграда кипело от разрывов зе</w:t>
      </w:r>
      <w:r w:rsidRPr="00640820">
        <w:rPr>
          <w:rFonts w:ascii="Times New Roman" w:hAnsi="Times New Roman"/>
          <w:color w:val="0070C0"/>
          <w:sz w:val="16"/>
          <w:szCs w:val="16"/>
        </w:rPr>
        <w:softHyphen/>
        <w:t>нитных артиллерийских снарядов, от грохота залпов всё сотрясалось, по небу шарили лучи прожекторов. Сотрясалась земля и от падающих фугасных бомб. Возникали пожары от сброшенных зажигательных бомб (20120).</w:t>
      </w:r>
    </w:p>
    <w:p w14:paraId="5F1F0322" w14:textId="77777777" w:rsidR="007935BB" w:rsidRPr="00640820" w:rsidRDefault="007935BB" w:rsidP="00640820">
      <w:pPr>
        <w:spacing w:after="0" w:line="240" w:lineRule="auto"/>
        <w:jc w:val="both"/>
        <w:rPr>
          <w:rFonts w:ascii="Times New Roman" w:hAnsi="Times New Roman"/>
          <w:color w:val="0070C0"/>
          <w:sz w:val="16"/>
          <w:szCs w:val="16"/>
        </w:rPr>
      </w:pPr>
    </w:p>
    <w:p w14:paraId="219F9B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 1941 Ленинград был блокирован с суши (512,59) - немцы взяли Шлиссельбург (1348,223). Танки перерезали дороги (2260).</w:t>
      </w:r>
    </w:p>
    <w:p w14:paraId="031766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3D616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 1941 ГКО принял постановление О гвардейских минометных частях и учредил должность командующего (В.В.Аборенков), подчиняющегося непосредственно СВКГ (3398,322).</w:t>
      </w:r>
    </w:p>
    <w:p w14:paraId="372747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8F7FC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 1941 немцы захватили ст. Мга и Шлиссельбург, отрезав город с суши (3398,322).</w:t>
      </w:r>
    </w:p>
    <w:p w14:paraId="5CB091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CD392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September 8, 1941: Leningrad is now completely surrounded after German troops close the land bridge at Schluesselburg (3819).</w:t>
      </w:r>
    </w:p>
    <w:p w14:paraId="5BA6CF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297DB2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 1941 Ленинград был полностью окружен после того, как кольцо было замкнуто у Шлиссельбурга (3819).</w:t>
      </w:r>
    </w:p>
    <w:p w14:paraId="56293A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6BAAA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 1941 вышел:</w:t>
      </w:r>
    </w:p>
    <w:p w14:paraId="421F2D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ОТРЫВОК ИЗ РАСПОРЯЖЕНИЯ ВЕРХОВНОГО КОМАНДОВАНИЯ ВЕРМАХТА ОБ ОБРАЩЕНИИ С СОВЕТСКИМИ ВОЕННОПЛЕННЫМИ С ПРИЛОЖЕННОЙ "ПАМЯТКОЙ ПО ОХРАНЕ СОВЕТСКИХ ВОЕННОПЛЕННЫХ " ОТ 8. 9.1941 Г.</w:t>
      </w:r>
    </w:p>
    <w:p w14:paraId="412562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Секретно! </w:t>
      </w:r>
    </w:p>
    <w:p w14:paraId="522FAF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РАСПОРЯЖЕНИЯ ПО ОБРАЩЕНИЮ С СОВЕТСКИМИ ВОЕННОПЛЕННЫМИ ВО ВСЕХ ЛАГЕРЯХ ДЛЯ ВОЕННОПЛЕННЫХ</w:t>
      </w:r>
    </w:p>
    <w:p w14:paraId="0A7115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ОБЩИЕ ПОЛОЖЕНИЯ ПО ОБРАЩЕНИЮ С СОВЕТСКИМИ ВОЕННОПЛЕННЫМИ</w:t>
      </w:r>
    </w:p>
    <w:p w14:paraId="2F61AF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Большевизм - смертельный враг национал-социалистической Германии. Впервые перед немецким солдатом стоит противник, обученный не только в солдатском, но и политическом смысле в духе большевизма. Борьба против национал-социализма вошла ему в плоть и кровь. Он ведет ее, используя любые средства: саботаж, подрывную пропаганду, поджог, убийство. Поэтому большевистский солдат потерял право на обращение с ним, как с истинным солдатом по Женевскому соглашению.</w:t>
      </w:r>
    </w:p>
    <w:p w14:paraId="519032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ПАМЯТКА ПО ОХРАНЕ СОВЕТСКИХ ВОЕННОПЛЕННЫХ</w:t>
      </w:r>
    </w:p>
    <w:p w14:paraId="23DF3B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Большевизм - смертельный враг национал- социалистической Германии. Впервые в этой войне перед немецким солдатом находится враг, обучении не только в военном, но и в политическом смысле, который видит в коммунизме свой идеал, а в национал-социализме - своего злейшего врага. В борьбе против национал- социализма используются все средства: партизанская война, бандитизм, саботаж, поджог, подрывная пропаганда, убийство. Советский солдат, даже попавший в плен, как бы безобидно он внешне не выглядел, будет пользоваться любой возможностью, чтобы выместить свою ненависть ко всему немецкому. Следует учитывать, что военнопленные получили соответствующие указания о поведении в плену. По отношению к ним нужно проявлять крайнюю бдительность, величайшую осторожность и острейшее недоверие.</w:t>
      </w:r>
    </w:p>
    <w:p w14:paraId="45E87A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Командам охраны даются следующие основные указания:</w:t>
      </w:r>
    </w:p>
    <w:p w14:paraId="02A0E2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Беспощадная кара при малейших признаках протеста и неповиновения. Для подавления сопротивления беспощадно применять оружие. В военнопленных, совершивших побег, стрелять без предупреждения с твердым намерением попасть в цель.</w:t>
      </w:r>
    </w:p>
    <w:p w14:paraId="712D9F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Любое общение с военнопленными - равно как и во время марша на работу и с работы, - кроме отдачи служебных команд, запрещено. Строго запрещается курить на марше на работу и с работы, а также во время работы. Предотвращать любое общение военнопленых с гражданскими лицами и в случае необходимости применять оружие, в том числе и против гражданских лиц.</w:t>
      </w:r>
    </w:p>
    <w:p w14:paraId="7E42F9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На рабочем месте также требуется постоянный неусыпный надзор немецкой охраны. Каждый охранник должен держаться на такой дистанции от военнопленных, чтобы в любое время иметь возможность применить оружие. Никогда не поворачиваться спиной к военнопленному!</w:t>
      </w:r>
    </w:p>
    <w:p w14:paraId="6A78C3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Даже в отношении к тем военнопленным, которые работают охотно и послушно, мягкость не должна иметь места. Она может быть расценена как слабость со всеми вытекающими последствиями.</w:t>
      </w:r>
    </w:p>
    <w:p w14:paraId="35F461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5) При всей строгости и твердости для неукоснительного выполнения отданных приказов немецким солдатам запрещается прибегать к произволу или истязаниям: к применению дубинок, плеток и т.п. Это унижает достоинство немецкого солдата как носителя оружия.</w:t>
      </w:r>
    </w:p>
    <w:p w14:paraId="7B3F10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Нельзя допускать, чтобы кажущаяся безобидность большевистских военнопленных привела к уклонению от данных предписаний.</w:t>
      </w:r>
    </w:p>
    <w:p w14:paraId="3D7051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КОПИЯ ПРИЛОЖЕНИЯ К РАСПОРЯЖЕНИЮ ВЕРХОВНОГО КОМАНДОВАНИЯ ВООРУЖЕННЫХ СИЛ СЕКРЕТНОГО ОТДЕЛА ПО ДЕЛАМ ВОЕННОПЛЕННЫХ № 3058/41 ЗА 7. 9. 1941 Г. (ДЛЯ СВОБОДНОГО ОЗНАКОМЛЕНИЯ)</w:t>
      </w:r>
    </w:p>
    <w:p w14:paraId="18E46D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Примечание. Об охране советских военнопленных.</w:t>
      </w:r>
    </w:p>
    <w:p w14:paraId="0E59CC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Большевизм является смертельным врагом нациоиал-социалистской Германии.</w:t>
      </w:r>
    </w:p>
    <w:p w14:paraId="26168F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первый раз в этой войне противником немецкого солдата является не только солдат, а также и политический противник, идеалом которого является коммунизм. В национал-социализме он видит только своего злейшего врага. В борьбе против национал- социализма он считает всякое средство хорошим: партизанскую войну, бандитизм, саботаж, учинение пожарищ, разлагающую пропаганду, убийство.</w:t>
      </w:r>
    </w:p>
    <w:p w14:paraId="4A8892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Даже тот освобожденный солдат, который находится в плену, может очень невинно выглядеть с виду, но использует любую возможность, чтобы показать свою ненависть ко всем немцам. Поэтому можно рассчитывать на то, что военнопленные имеют определенные указания, чем они должны заниматься в плену. В противовес этому необходимо быть особенно осторожным: требуется особая настороженность, максимальная осторожность и полное недоверие.</w:t>
      </w:r>
    </w:p>
    <w:p w14:paraId="746ECC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охраняющего персонала существуют такие основные правила:</w:t>
      </w:r>
    </w:p>
    <w:p w14:paraId="59A982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Применение решительных мер при проявлении малейших случаев непослушания. Для подавления сопротивления беспощадно применять оружие. Немедленно стрелять в убегающего военнопленного (без оклика) с намерением попасть в него.</w:t>
      </w:r>
    </w:p>
    <w:p w14:paraId="570532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Всякие переговоры с военнопленными, как при сопровождении на работу, так и при сопровождении с работы, запрещаются. Лишь только в очень редких случаях, связанных с работою, можно допустить разговор.</w:t>
      </w:r>
    </w:p>
    <w:p w14:paraId="7D7BCE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Является также необходимым запрещение курения не только во время следования на работу и с работы, а также и во время работ. Всякие переговоры военнопленных с гражданскими людьми в такой же мере запрещены. В крайних случаях можно применять оружие даже против гражданских особ.</w:t>
      </w:r>
    </w:p>
    <w:p w14:paraId="11B861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Также на месте работы вводится строгий надзор со стороны немецкой охраны (вооруженной). Каждый охранник должен находиться на таком расстоянии от военнопленного, чтобы он немедленно, в любую минуту мог воспользоваться своим оружием.</w:t>
      </w:r>
    </w:p>
    <w:p w14:paraId="696E9D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Никогда не поворачиваться к военнопленному спиной.</w:t>
      </w:r>
    </w:p>
    <w:p w14:paraId="5393DF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Также в отношении к трудолюбивым и послушным военнопленным нет места снисхождению, они показывают этим свою покорность, а на самом деле извлекают из этого для себя пользу.</w:t>
      </w:r>
    </w:p>
    <w:p w14:paraId="6AFC46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всей твердости и строгости в исполнении данных приказов самовольное или плохое отношение, особенно употребление палок, нагаек и т. п., запрещается. Это не подходит немецкому солдату как носителю оружия.</w:t>
      </w:r>
    </w:p>
    <w:p w14:paraId="6B2AB1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Никогда нельзя отступать от этих правил с большевистскими военнопленными, даже если будут иметь место на вид совсем безобидные случаи (11815).</w:t>
      </w:r>
    </w:p>
    <w:p w14:paraId="5FEAB9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AD59C05"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7FCF3BFC"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C3D40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 1941 Ленинград сильно бомбили и обстреливали (8 тыс. зажигалок вызвали 178 пожаров) (1074,171). Разбомбили Бадаевские склады (2070,59).</w:t>
      </w:r>
    </w:p>
    <w:p w14:paraId="64DBE9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3AB4D98" w14:textId="77777777" w:rsidR="00E73430" w:rsidRPr="00640820" w:rsidRDefault="00E73430" w:rsidP="00640820">
      <w:pPr>
        <w:spacing w:after="0" w:line="240" w:lineRule="auto"/>
        <w:jc w:val="both"/>
        <w:rPr>
          <w:rStyle w:val="ucoz-forum-post"/>
          <w:rFonts w:ascii="Times New Roman" w:eastAsia="Times New Roman" w:hAnsi="Times New Roman"/>
          <w:color w:val="000000" w:themeColor="text1"/>
          <w:sz w:val="16"/>
          <w:szCs w:val="16"/>
        </w:rPr>
      </w:pPr>
      <w:r w:rsidRPr="00640820">
        <w:rPr>
          <w:rFonts w:ascii="Times New Roman" w:hAnsi="Times New Roman"/>
          <w:color w:val="000000" w:themeColor="text1"/>
          <w:sz w:val="16"/>
          <w:szCs w:val="16"/>
        </w:rPr>
        <w:t>8 сентября</w:t>
      </w:r>
      <w:r w:rsidRPr="00640820">
        <w:rPr>
          <w:rStyle w:val="ucoz-forum-post"/>
          <w:rFonts w:ascii="Times New Roman" w:eastAsia="Times New Roman" w:hAnsi="Times New Roman"/>
          <w:bCs/>
          <w:color w:val="000000" w:themeColor="text1"/>
          <w:sz w:val="16"/>
          <w:szCs w:val="16"/>
        </w:rPr>
        <w:t xml:space="preserve"> 1941 г.</w:t>
      </w:r>
      <w:r w:rsidRPr="00640820">
        <w:rPr>
          <w:rStyle w:val="ucoz-forum-post"/>
          <w:rFonts w:ascii="Times New Roman" w:eastAsia="Times New Roman" w:hAnsi="Times New Roman"/>
          <w:color w:val="000000" w:themeColor="text1"/>
          <w:sz w:val="16"/>
          <w:szCs w:val="16"/>
        </w:rPr>
        <w:t xml:space="preserve"> – первый крупный авианалёт немецко-фашистских бомбардировщиков на Ленинград. Нашими не сбит ни один самолёт противника (14763).</w:t>
      </w:r>
    </w:p>
    <w:p w14:paraId="3DCCA825" w14:textId="77777777" w:rsidR="00E73430" w:rsidRPr="00640820" w:rsidRDefault="00E73430" w:rsidP="00640820">
      <w:pPr>
        <w:spacing w:after="0" w:line="240" w:lineRule="auto"/>
        <w:jc w:val="both"/>
        <w:rPr>
          <w:rStyle w:val="ucoz-forum-post"/>
          <w:rFonts w:ascii="Times New Roman" w:eastAsia="Times New Roman" w:hAnsi="Times New Roman"/>
          <w:color w:val="000000" w:themeColor="text1"/>
          <w:sz w:val="16"/>
          <w:szCs w:val="16"/>
        </w:rPr>
      </w:pPr>
    </w:p>
    <w:p w14:paraId="6F5B6A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 1941 в 16.50 по берлинскому времени 23 Do-17 из KG2 «Хольцхаммер» совершили первый налет на Ленинград, разбомбив знаменитые Бадаевские продовольственные склады. В эту же ночь после двадцатидневной паузы возобновились налеты на Москву. По данным службы МПВО, на город были сброшены 40 фугасных и около 700 зажигательных бомб, в результате чего были частично разрушены завод ГПЗ-1, завод № 161 и другие объекты (11774).</w:t>
      </w:r>
    </w:p>
    <w:p w14:paraId="211D59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DEFDC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 1941 года, как докладывал наркому торговли СССР заведующий Мурманским облторготделом Прилуцкий, на 5 сентября по Мурманску выдано 35212 карточек, в том числе 24384 по первой категории (рабочих - 13879, служащих - 4535, иждивенцев - 4022, детей до 12 лет - 1948) и 10828 по второй категории (рабочих - 3639, служащих - 4978, иждивенцев - 1361, детей - 850). С введением карточной системы почти в два раза уменьшилась среднедневная продажа хлеба. Если в августе 1941 года в городе продавалось 40,7 тонны хлеба в день, то за первые пять дней сентября - чуть более 21 тонны. Здесь, правда, следует отметить, что на уменьшение хлебной торговли свое влияние оказала и эвакуация части населения из города (Там же, ф. Р-808, оп. 2, д. 5, л. 11, 15.).</w:t>
      </w:r>
    </w:p>
    <w:p w14:paraId="75DB27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Наряду с продажей хлеба по карточкам в Мурманске, с разрешения Совета Народных Комиссаров СССР, была организована продажа хлеба по повышенным ценам без карточек (так называемая коммерческая торговля) в магазине Главгастронома по проспекту Ленина, в десятом магазине Мурманторга на Жилстрое и в третьем магазине в Росте. За хлебом без карточек выстраивались большие очереди. В день три коммерческих магазина продавали в среднем 3,3 тонны хлеба (Там же, ф. Р-808, оп. 2, д. 5, л. 11, 13.).</w:t>
      </w:r>
    </w:p>
    <w:p w14:paraId="737B25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Введение карточек только в городе Мурманске привело к тому, что жители областного центра стали выезжать за хлебом в близлежащие населенные пункты, где карточек не было, например, в Колу (Там же, ф. Р-808, оп. 2, д. 5, л. 11.). В связи с этим 23 сентября 1941 года Мурманский облисполком принял решение (протокол № 67):</w:t>
      </w:r>
    </w:p>
    <w:p w14:paraId="564EB1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Ввести карточки на хлеб с 10 октября 1941 г. в городах Кандалакше, Кировске, Мончегорске и рабочем поселке Кола.</w:t>
      </w:r>
    </w:p>
    <w:p w14:paraId="23EA26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Утвердить зав. областным бюро карточек тов. Губина.</w:t>
      </w:r>
    </w:p>
    <w:p w14:paraId="68D39E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Обязать Облторготдел т. Прилуцкого и председателей райисполкомов немедленно организовать подготовку к выдаче карточек.</w:t>
      </w:r>
    </w:p>
    <w:p w14:paraId="197519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Просить СНК СССР санкционировать введение карточек в указанных городах Мурманской области.» (Там же, ф. Р-405, оп. 1, д. 186, л. 56, 57.).</w:t>
      </w:r>
    </w:p>
    <w:p w14:paraId="3C64E9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 ноября 1941 года нормированное снабжение хлебом, сахаром и кондитерскими изделиями установлено во всех городах и рабочих поселках страны. Всего по Мурманской области в ноябре было выдано 86110 карточек, в том числе первой категории рабочим 35791, служащим 6491, второй категории рабочим 14638, служащим второй категории, иждивенцам и детям 29190 (Там же, ф. Р-808, оп. 2, д. 5, л. 163, 177.).</w:t>
      </w:r>
    </w:p>
    <w:p w14:paraId="0663FC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Расширялась свободная торговля хлебом по повышенным ценам. 9 ноября 1941 года облисполком разрешил торговлю коммерческим хлебом в открытых столовых городов Кандалакши, Кировска, Мончегорска и рабочих поселков Лесного, Колы и Териберки, а также розничную торговлю коммерческим хлебом в одном магазине в Кандалакше (Там же, ф. Р-405, оп. 1, д. 186, л. 95, 96.).</w:t>
      </w:r>
    </w:p>
    <w:p w14:paraId="44D08A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сельской местности карточки на хлеб не вводились. В целях упорядочения продажи и экономии хлеба в тех населенных пунктах, где не были введены карточки на хлеб, решением облисполкома от 24 декабря 1941 года устанавливалась продажа хлеба по спискам. Составление списков было возложено на исполкомы сельских советов. Отпуск хлеба в одни руки не мог превышать норм, установленных для городского населения (Там же, ф. Р-405, оп. 1, д. 186, л. 137, 138.).</w:t>
      </w:r>
    </w:p>
    <w:p w14:paraId="0F6A92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Отоварить продуктовые карточки было не так-то просто. Хлеб населению продавался по соответствующим талонам карточки на каждый день. Разрешалось продавать хлеб на один день вперед, а вот просроченные талоны пропадали (Там же, ф. Р-808, оп. 1, д. 96, л. 322 об.). Утерянные карточки не возобновлялись. Когда весной 1942 года Кировский и Мончегорский райисполкомы разрешили выдать ряду лиц хлебные и столовые карточки взамен утерянных, Мурманский облисполком 4 июня 1942 года отменил их решения, как противоречащие утвержденным правилам, и разъяснил председателям райисполкомов, что в случае повторения подобных фактов они будут привлечены к ответственности (Там же, ф. Р-405, оп. 1, д. 281, л. 159.) (11911).</w:t>
      </w:r>
    </w:p>
    <w:p w14:paraId="067973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C575FD4" w14:textId="77777777" w:rsidR="00DE7CDD" w:rsidRPr="00640820" w:rsidRDefault="00DE7CD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 1941. Председатель военной коллегии Верховного суда СССР В. В. Ульрих заочно, без возбуждения уголовного дела приговорил к расстрелу 161 политического заключенного из отбывавших наказание в Орловской тюрьме, и в их числе М. А. Спиридонову и XX Раковского (18697).</w:t>
      </w:r>
    </w:p>
    <w:p w14:paraId="3F0439C2" w14:textId="77777777" w:rsidR="00DE7CDD" w:rsidRPr="00640820" w:rsidRDefault="00DE7CDD" w:rsidP="00640820">
      <w:pPr>
        <w:spacing w:after="0" w:line="240" w:lineRule="auto"/>
        <w:jc w:val="both"/>
        <w:rPr>
          <w:rFonts w:ascii="Times New Roman" w:hAnsi="Times New Roman"/>
          <w:color w:val="000000" w:themeColor="text1"/>
          <w:sz w:val="16"/>
          <w:szCs w:val="16"/>
        </w:rPr>
      </w:pPr>
    </w:p>
    <w:p w14:paraId="20289721"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503A83AF"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FDAC1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 1941 в Тегеране были заключены англо-советско-иранские соглашения, по которым правительство Ирана обязалось положить конец деятельности германских заговорщицких групп и выслать из страны немецкие, итальянские, румынские и венгерские миссии (3186).</w:t>
      </w:r>
    </w:p>
    <w:p w14:paraId="36380E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F952EA5"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392B3DB8"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3EC5DB4" w14:textId="77777777" w:rsidR="007935BB" w:rsidRPr="00640820" w:rsidRDefault="007935B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xml:space="preserve">8 сентября 1941 года на головном предприятии - сборочном заводе «Де Хевиленд» в Хатфорде был облетан «Москито» B.V. Он показал хорошие летные данные, но испытания вооружения выявили досадную ошибку конструктора: в фюзеляжный отсек помещались только две удлиненные 227-кг бомбы нового, принятого на вооружение перед войной, типа. Переделывать бомбоотсек было поздно, и в Aircraft and Armament Experimental Establishment в Бомком-Даун (институте, занимавшемся испытаниями самолетов и вооружения) разработали для бомб раздвижной стабилизатор, но оказалось, что без ухудшения баллистики бомбы можно просто укоротить оперение, что и было сделано. В вариант Mk.V планировали переоборудовать еще два самолета, но их опередил «Москито» B.IV с удлиненными </w:t>
      </w:r>
      <w:r w:rsidRPr="00640820">
        <w:rPr>
          <w:rFonts w:ascii="Times New Roman" w:hAnsi="Times New Roman"/>
          <w:color w:val="0070C0"/>
          <w:sz w:val="16"/>
          <w:szCs w:val="16"/>
        </w:rPr>
        <w:lastRenderedPageBreak/>
        <w:t>мотогондолами с меньшим сопротивлением, фильтрами тонкой очистки воздуха на воздухозаборниках ПЦН и пламегасителями на выхлопных патрубках. Но на девяти «Москито» B.IV Srs.1 (серии 1) эти доработки внедрить не успели (22852).</w:t>
      </w:r>
    </w:p>
    <w:p w14:paraId="0DD39929" w14:textId="77777777" w:rsidR="007935BB" w:rsidRPr="00640820" w:rsidRDefault="007935BB" w:rsidP="00640820">
      <w:pPr>
        <w:spacing w:after="0" w:line="240" w:lineRule="auto"/>
        <w:jc w:val="both"/>
        <w:rPr>
          <w:rFonts w:ascii="Times New Roman" w:hAnsi="Times New Roman"/>
          <w:color w:val="0070C0"/>
          <w:sz w:val="16"/>
          <w:szCs w:val="16"/>
        </w:rPr>
      </w:pPr>
    </w:p>
    <w:p w14:paraId="4AEB842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 1941 фашистами арестованы 120 лидеров еврейской общины Парижа (4962).</w:t>
      </w:r>
    </w:p>
    <w:p w14:paraId="48398A8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837BDC"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69339092"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A3E0F3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сентября 1941 была подготовлена справка В.М.М</w:t>
      </w:r>
    </w:p>
    <w:p w14:paraId="39DAE3E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Товарищу МОЛОТОВУ В.М.</w:t>
      </w:r>
    </w:p>
    <w:p w14:paraId="1D66323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исполнение Вашего указания о проверке количества заявленных Наркомавиапромом пружин докладываю, что на каждый самолет ИЛ-2 идет 5 пружин - по две на лафет каждой пушки и одна пружина в комплект запчастей самолета.</w:t>
      </w:r>
    </w:p>
    <w:p w14:paraId="74A065C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Исходя из этого расчета, потребность НКА.П впружинах только на выпуск самолетов, не считая задела, выражается следующей таблицей:</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426"/>
        <w:gridCol w:w="1354"/>
        <w:gridCol w:w="1598"/>
        <w:gridCol w:w="1030"/>
      </w:tblGrid>
      <w:tr w:rsidR="006B0687" w:rsidRPr="00640820" w14:paraId="37CED468" w14:textId="77777777" w:rsidTr="000D3BCB">
        <w:trPr>
          <w:trHeight w:val="785"/>
        </w:trPr>
        <w:tc>
          <w:tcPr>
            <w:tcW w:w="2426" w:type="dxa"/>
            <w:tcBorders>
              <w:top w:val="single" w:sz="12" w:space="0" w:color="auto"/>
            </w:tcBorders>
          </w:tcPr>
          <w:p w14:paraId="486C82C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Месяц </w:t>
            </w:r>
          </w:p>
        </w:tc>
        <w:tc>
          <w:tcPr>
            <w:tcW w:w="1354" w:type="dxa"/>
            <w:tcBorders>
              <w:top w:val="single" w:sz="12" w:space="0" w:color="auto"/>
            </w:tcBorders>
          </w:tcPr>
          <w:p w14:paraId="05E26BF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Намеченная про грамма выпуска самолето в </w:t>
            </w:r>
          </w:p>
        </w:tc>
        <w:tc>
          <w:tcPr>
            <w:tcW w:w="1598" w:type="dxa"/>
            <w:tcBorders>
              <w:top w:val="single" w:sz="12" w:space="0" w:color="auto"/>
            </w:tcBorders>
          </w:tcPr>
          <w:p w14:paraId="5A54510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Потребное на выпуск коли</w:t>
            </w:r>
            <w:r w:rsidRPr="00640820">
              <w:rPr>
                <w:rFonts w:ascii="Times New Roman" w:hAnsi="Times New Roman"/>
                <w:color w:val="000000" w:themeColor="text1"/>
                <w:sz w:val="16"/>
                <w:szCs w:val="16"/>
              </w:rPr>
              <w:softHyphen/>
              <w:t xml:space="preserve">чество пружин </w:t>
            </w:r>
          </w:p>
        </w:tc>
        <w:tc>
          <w:tcPr>
            <w:tcW w:w="1030" w:type="dxa"/>
            <w:tcBorders>
              <w:top w:val="single" w:sz="12" w:space="0" w:color="auto"/>
            </w:tcBorders>
          </w:tcPr>
          <w:p w14:paraId="6FB6184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Излишек пружин </w:t>
            </w:r>
          </w:p>
        </w:tc>
      </w:tr>
      <w:tr w:rsidR="006B0687" w:rsidRPr="00640820" w14:paraId="60781177" w14:textId="77777777" w:rsidTr="000D3BCB">
        <w:trPr>
          <w:trHeight w:val="317"/>
        </w:trPr>
        <w:tc>
          <w:tcPr>
            <w:tcW w:w="2426" w:type="dxa"/>
          </w:tcPr>
          <w:p w14:paraId="14B767A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Сентябрь. ........... </w:t>
            </w:r>
          </w:p>
        </w:tc>
        <w:tc>
          <w:tcPr>
            <w:tcW w:w="1354" w:type="dxa"/>
          </w:tcPr>
          <w:p w14:paraId="5B0F812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420 </w:t>
            </w:r>
          </w:p>
        </w:tc>
        <w:tc>
          <w:tcPr>
            <w:tcW w:w="1598" w:type="dxa"/>
          </w:tcPr>
          <w:p w14:paraId="7CD9893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2100 </w:t>
            </w:r>
          </w:p>
        </w:tc>
        <w:tc>
          <w:tcPr>
            <w:tcW w:w="1030" w:type="dxa"/>
          </w:tcPr>
          <w:p w14:paraId="4071954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400 </w:t>
            </w:r>
          </w:p>
        </w:tc>
      </w:tr>
      <w:tr w:rsidR="006B0687" w:rsidRPr="00640820" w14:paraId="5353CF23" w14:textId="77777777" w:rsidTr="000D3BCB">
        <w:trPr>
          <w:trHeight w:val="252"/>
        </w:trPr>
        <w:tc>
          <w:tcPr>
            <w:tcW w:w="2426" w:type="dxa"/>
          </w:tcPr>
          <w:p w14:paraId="7942F22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Октябрь ............ </w:t>
            </w:r>
          </w:p>
        </w:tc>
        <w:tc>
          <w:tcPr>
            <w:tcW w:w="1354" w:type="dxa"/>
          </w:tcPr>
          <w:p w14:paraId="18516A1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472 </w:t>
            </w:r>
          </w:p>
        </w:tc>
        <w:tc>
          <w:tcPr>
            <w:tcW w:w="1598" w:type="dxa"/>
          </w:tcPr>
          <w:p w14:paraId="065EA6D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2360 </w:t>
            </w:r>
          </w:p>
        </w:tc>
        <w:tc>
          <w:tcPr>
            <w:tcW w:w="1030" w:type="dxa"/>
          </w:tcPr>
          <w:p w14:paraId="7832E3A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1340 </w:t>
            </w:r>
          </w:p>
        </w:tc>
      </w:tr>
      <w:tr w:rsidR="006B0687" w:rsidRPr="00640820" w14:paraId="3EAD9E01" w14:textId="77777777" w:rsidTr="000D3BCB">
        <w:trPr>
          <w:trHeight w:val="259"/>
        </w:trPr>
        <w:tc>
          <w:tcPr>
            <w:tcW w:w="2426" w:type="dxa"/>
          </w:tcPr>
          <w:p w14:paraId="513E535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Ноябрь ............. </w:t>
            </w:r>
          </w:p>
        </w:tc>
        <w:tc>
          <w:tcPr>
            <w:tcW w:w="1354" w:type="dxa"/>
          </w:tcPr>
          <w:p w14:paraId="5F104AC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615 </w:t>
            </w:r>
          </w:p>
        </w:tc>
        <w:tc>
          <w:tcPr>
            <w:tcW w:w="1598" w:type="dxa"/>
          </w:tcPr>
          <w:p w14:paraId="0F12BA0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3075 </w:t>
            </w:r>
          </w:p>
        </w:tc>
        <w:tc>
          <w:tcPr>
            <w:tcW w:w="1030" w:type="dxa"/>
          </w:tcPr>
          <w:p w14:paraId="5C763A7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1425 </w:t>
            </w:r>
          </w:p>
        </w:tc>
      </w:tr>
      <w:tr w:rsidR="006B0687" w:rsidRPr="00640820" w14:paraId="6F4A9A74" w14:textId="77777777" w:rsidTr="000D3BCB">
        <w:trPr>
          <w:trHeight w:val="252"/>
        </w:trPr>
        <w:tc>
          <w:tcPr>
            <w:tcW w:w="2426" w:type="dxa"/>
            <w:tcBorders>
              <w:bottom w:val="single" w:sz="12" w:space="0" w:color="auto"/>
            </w:tcBorders>
          </w:tcPr>
          <w:p w14:paraId="25935DB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Декабрь ............ </w:t>
            </w:r>
          </w:p>
        </w:tc>
        <w:tc>
          <w:tcPr>
            <w:tcW w:w="1354" w:type="dxa"/>
            <w:tcBorders>
              <w:bottom w:val="single" w:sz="12" w:space="0" w:color="auto"/>
            </w:tcBorders>
          </w:tcPr>
          <w:p w14:paraId="217FD92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756 </w:t>
            </w:r>
          </w:p>
        </w:tc>
        <w:tc>
          <w:tcPr>
            <w:tcW w:w="1598" w:type="dxa"/>
            <w:tcBorders>
              <w:bottom w:val="single" w:sz="12" w:space="0" w:color="auto"/>
            </w:tcBorders>
          </w:tcPr>
          <w:p w14:paraId="40BB720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3980 </w:t>
            </w:r>
          </w:p>
        </w:tc>
        <w:tc>
          <w:tcPr>
            <w:tcW w:w="1030" w:type="dxa"/>
            <w:tcBorders>
              <w:bottom w:val="single" w:sz="12" w:space="0" w:color="auto"/>
            </w:tcBorders>
          </w:tcPr>
          <w:p w14:paraId="721373B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2020 </w:t>
            </w:r>
          </w:p>
        </w:tc>
      </w:tr>
    </w:tbl>
    <w:p w14:paraId="1C143AD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66, изготовляющий пружины, находится в г. Туле, завод, изготовляющий лафеты для пушек Волкова и Ярцева, на которые идут эти пружины, находится в Москве, а самолеты изготавливаются в Воронеже, Н.Тагиле и Москве, следовательно, часть пружин всегда будет в пути и требуемый задел - необходим.</w:t>
      </w:r>
    </w:p>
    <w:p w14:paraId="4F2331B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Излишек пружин не выходит из рамок месячного задела и, следовательно, количество пружин, заявленное т. Шахуриным, соответствует действительной потребности НКАП.</w:t>
      </w:r>
    </w:p>
    <w:p w14:paraId="1435FB0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Прошу подписать проект распоряжения ГКО</w:t>
      </w:r>
    </w:p>
    <w:p w14:paraId="75EB864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Помета: Вышло по этому поводу распоряжение, подписанное Л.П.Б (4156,184).</w:t>
      </w:r>
    </w:p>
    <w:p w14:paraId="678AD94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BEA5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сентября 1941 Нач. ВВВС флота А.Коробков в письме на завод 124 писал:</w:t>
      </w:r>
    </w:p>
    <w:p w14:paraId="30E5D3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доклада НКВМФ об использовании ТБ-7М-40 (или 4АМ-35) в комплексном звене с 2-мя МиГ-3 или ЛаГГ-3 по системе и В.С.Вахмистрова прошу Вас в возможно короткий срок на основе предварительной проработки такого применения ТБ-7 сообщить следующее:</w:t>
      </w:r>
    </w:p>
    <w:p w14:paraId="7BE556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Возможна ли конструктивно, с учетом габаритных размеров и данных прочности ТБ-7 подвеска под крыло 2-х МиГ-3 или ЛаГГ-3, имеющих кроме обычного вооружения по две ФАБ-250. Какие основные переделки на ТБ-7 повлечет подвеска 2-х истребителей.</w:t>
      </w:r>
    </w:p>
    <w:p w14:paraId="284489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Ориентировочно ЛТД звена ТБ-7 + 2 МиГ-3 или ЛаГГ-3</w:t>
      </w:r>
    </w:p>
    <w:p w14:paraId="685917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Ваше согласие на переоборудование ТБ-7 в текущем году." (2631,21).</w:t>
      </w:r>
    </w:p>
    <w:p w14:paraId="3CF301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186653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сентября 1941 г. генерал Коробков из штаба авиа</w:t>
      </w:r>
      <w:r w:rsidRPr="00640820">
        <w:rPr>
          <w:rFonts w:ascii="Times New Roman" w:hAnsi="Times New Roman"/>
          <w:color w:val="000000" w:themeColor="text1"/>
          <w:sz w:val="16"/>
          <w:szCs w:val="16"/>
        </w:rPr>
        <w:softHyphen/>
        <w:t>ции ВМФ обратился с письмом к руководству завода № 124, производившему самолеты ТБ—7: «Для докла</w:t>
      </w:r>
      <w:r w:rsidRPr="00640820">
        <w:rPr>
          <w:rFonts w:ascii="Times New Roman" w:hAnsi="Times New Roman"/>
          <w:color w:val="000000" w:themeColor="text1"/>
          <w:sz w:val="16"/>
          <w:szCs w:val="16"/>
        </w:rPr>
        <w:softHyphen/>
        <w:t>да наркому ВМФ об использовании самолета ТБ—7 4М—40 (или 4АМ—35А) в комплексном звене с 2-мя истребителями МиГ—3 или ЛаГГ—3 по системе инже</w:t>
      </w:r>
      <w:r w:rsidRPr="00640820">
        <w:rPr>
          <w:rFonts w:ascii="Times New Roman" w:hAnsi="Times New Roman"/>
          <w:color w:val="000000" w:themeColor="text1"/>
          <w:sz w:val="16"/>
          <w:szCs w:val="16"/>
        </w:rPr>
        <w:softHyphen/>
        <w:t>нера Вахмистрова В.С. прошу Вас в возможно корот</w:t>
      </w:r>
      <w:r w:rsidRPr="00640820">
        <w:rPr>
          <w:rFonts w:ascii="Times New Roman" w:hAnsi="Times New Roman"/>
          <w:color w:val="000000" w:themeColor="text1"/>
          <w:sz w:val="16"/>
          <w:szCs w:val="16"/>
        </w:rPr>
        <w:softHyphen/>
        <w:t>кий срок на основе предварительной проработки та</w:t>
      </w:r>
      <w:r w:rsidRPr="00640820">
        <w:rPr>
          <w:rFonts w:ascii="Times New Roman" w:hAnsi="Times New Roman"/>
          <w:color w:val="000000" w:themeColor="text1"/>
          <w:sz w:val="16"/>
          <w:szCs w:val="16"/>
        </w:rPr>
        <w:softHyphen/>
        <w:t>кого применения самолетов ТБ—7 сообщить следующее:</w:t>
      </w:r>
    </w:p>
    <w:p w14:paraId="2BE5617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Возможна ли конструктивно, с учетом габа</w:t>
      </w:r>
      <w:r w:rsidRPr="00640820">
        <w:rPr>
          <w:rFonts w:ascii="Times New Roman" w:hAnsi="Times New Roman"/>
          <w:color w:val="000000" w:themeColor="text1"/>
          <w:sz w:val="16"/>
          <w:szCs w:val="16"/>
        </w:rPr>
        <w:softHyphen/>
        <w:t>ритных размеров и данных прочности самолета ТБ—7, подвеска под крыло двух истребителей типа МиГ—3 или ЛаГГ—3, имеющих кроме обычного во</w:t>
      </w:r>
      <w:r w:rsidRPr="00640820">
        <w:rPr>
          <w:rFonts w:ascii="Times New Roman" w:hAnsi="Times New Roman"/>
          <w:color w:val="000000" w:themeColor="text1"/>
          <w:sz w:val="16"/>
          <w:szCs w:val="16"/>
        </w:rPr>
        <w:softHyphen/>
        <w:t>оружения по две бомбы ФАБ—250. Какие основные переделки на ТБ—7 повлечет подвеска истребителей.</w:t>
      </w:r>
    </w:p>
    <w:p w14:paraId="19DA044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Ориентировочно ЛТД (летно—технические данные</w:t>
      </w:r>
      <w:r w:rsidRPr="00640820">
        <w:rPr>
          <w:rFonts w:ascii="Times New Roman" w:hAnsi="Times New Roman"/>
          <w:iCs/>
          <w:color w:val="000000" w:themeColor="text1"/>
          <w:sz w:val="16"/>
          <w:szCs w:val="16"/>
        </w:rPr>
        <w:t xml:space="preserve">) </w:t>
      </w:r>
      <w:r w:rsidRPr="00640820">
        <w:rPr>
          <w:rFonts w:ascii="Times New Roman" w:hAnsi="Times New Roman"/>
          <w:color w:val="000000" w:themeColor="text1"/>
          <w:sz w:val="16"/>
          <w:szCs w:val="16"/>
        </w:rPr>
        <w:t>звена ТБ—7 + 2 МиГ—3 или ТБ-7 + 2ЛаГГ-3...</w:t>
      </w:r>
    </w:p>
    <w:p w14:paraId="5BE3DC8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Ваше согласие на переоборудование самолетов ТБ—7 в текущем году».-</w:t>
      </w:r>
    </w:p>
    <w:p w14:paraId="4F9030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сентября 1941 стояла великолепная погода, однако полный штиль и солнечные блики привели к возникновению т.н. зер</w:t>
      </w:r>
      <w:r w:rsidRPr="00640820">
        <w:rPr>
          <w:rFonts w:ascii="Times New Roman" w:hAnsi="Times New Roman"/>
          <w:color w:val="000000" w:themeColor="text1"/>
          <w:sz w:val="16"/>
          <w:szCs w:val="16"/>
        </w:rPr>
        <w:softHyphen/>
        <w:t>кального эффекта, и пилотировавшему са</w:t>
      </w:r>
      <w:r w:rsidRPr="00640820">
        <w:rPr>
          <w:rFonts w:ascii="Times New Roman" w:hAnsi="Times New Roman"/>
          <w:color w:val="000000" w:themeColor="text1"/>
          <w:sz w:val="16"/>
          <w:szCs w:val="16"/>
        </w:rPr>
        <w:softHyphen/>
        <w:t>молет Н.П. Котякову оказалось очень труд</w:t>
      </w:r>
      <w:r w:rsidRPr="00640820">
        <w:rPr>
          <w:rFonts w:ascii="Times New Roman" w:hAnsi="Times New Roman"/>
          <w:color w:val="000000" w:themeColor="text1"/>
          <w:sz w:val="16"/>
          <w:szCs w:val="16"/>
        </w:rPr>
        <w:softHyphen/>
        <w:t>но определить при посадке расстояние до воды. В результате касание произошло на высокой скорости, пер</w:t>
      </w:r>
      <w:r w:rsidRPr="00640820">
        <w:rPr>
          <w:rFonts w:ascii="Times New Roman" w:hAnsi="Times New Roman"/>
          <w:color w:val="000000" w:themeColor="text1"/>
          <w:sz w:val="16"/>
          <w:szCs w:val="16"/>
        </w:rPr>
        <w:softHyphen/>
        <w:t>вый серийный самолет Бе-4 (заводской №28801) получил значи</w:t>
      </w:r>
      <w:r w:rsidRPr="00640820">
        <w:rPr>
          <w:rFonts w:ascii="Times New Roman" w:hAnsi="Times New Roman"/>
          <w:color w:val="000000" w:themeColor="text1"/>
          <w:sz w:val="16"/>
          <w:szCs w:val="16"/>
        </w:rPr>
        <w:softHyphen/>
        <w:t>тельные повреждения и быстро ушел на дно. Вместе с ним утонул воентехник 1-го ранга Сукачев, а летчик и инженер бериевского КБ Морозов смогли спастись. Однако в аварийном акте особо подчеркивалось общее мнение, что «машина хорошая» (10685).</w:t>
      </w:r>
    </w:p>
    <w:p w14:paraId="69919E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E0C63D5" w14:textId="77777777" w:rsidR="00340C10" w:rsidRPr="00640820" w:rsidRDefault="00340C1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9 сентября 1941 го</w:t>
      </w:r>
      <w:r w:rsidRPr="00640820">
        <w:rPr>
          <w:rFonts w:ascii="Times New Roman" w:hAnsi="Times New Roman"/>
          <w:color w:val="0070C0"/>
          <w:sz w:val="16"/>
          <w:szCs w:val="16"/>
        </w:rPr>
        <w:softHyphen/>
        <w:t>да на авиазавод №124 в Казани, где строились бомбар</w:t>
      </w:r>
      <w:r w:rsidRPr="00640820">
        <w:rPr>
          <w:rFonts w:ascii="Times New Roman" w:hAnsi="Times New Roman"/>
          <w:color w:val="0070C0"/>
          <w:sz w:val="16"/>
          <w:szCs w:val="16"/>
        </w:rPr>
        <w:softHyphen/>
        <w:t>дировщики ТБ-7, на имя директора завода Акулова и глав</w:t>
      </w:r>
      <w:r w:rsidRPr="00640820">
        <w:rPr>
          <w:rFonts w:ascii="Times New Roman" w:hAnsi="Times New Roman"/>
          <w:color w:val="0070C0"/>
          <w:sz w:val="16"/>
          <w:szCs w:val="16"/>
        </w:rPr>
        <w:softHyphen/>
        <w:t>ного конструктора Незваля было направлено письмо от имени заместителя начальника ВВС ВМФ генерал-майо</w:t>
      </w:r>
      <w:r w:rsidRPr="00640820">
        <w:rPr>
          <w:rFonts w:ascii="Times New Roman" w:hAnsi="Times New Roman"/>
          <w:color w:val="0070C0"/>
          <w:sz w:val="16"/>
          <w:szCs w:val="16"/>
        </w:rPr>
        <w:softHyphen/>
        <w:t>ра Коробкова. В письме ставился вопрос о возможном ис</w:t>
      </w:r>
      <w:r w:rsidRPr="00640820">
        <w:rPr>
          <w:rFonts w:ascii="Times New Roman" w:hAnsi="Times New Roman"/>
          <w:color w:val="0070C0"/>
          <w:sz w:val="16"/>
          <w:szCs w:val="16"/>
        </w:rPr>
        <w:softHyphen/>
        <w:t>пользовании самолета ТБ-7 в качестве носителя двух ис</w:t>
      </w:r>
      <w:r w:rsidRPr="00640820">
        <w:rPr>
          <w:rFonts w:ascii="Times New Roman" w:hAnsi="Times New Roman"/>
          <w:color w:val="0070C0"/>
          <w:sz w:val="16"/>
          <w:szCs w:val="16"/>
        </w:rPr>
        <w:softHyphen/>
        <w:t>требителей МиГ-3 или ЛаГГ-3: «Возможно ли конструктив</w:t>
      </w:r>
      <w:r w:rsidRPr="00640820">
        <w:rPr>
          <w:rFonts w:ascii="Times New Roman" w:hAnsi="Times New Roman"/>
          <w:color w:val="0070C0"/>
          <w:sz w:val="16"/>
          <w:szCs w:val="16"/>
        </w:rPr>
        <w:softHyphen/>
        <w:t>но с учетом габаритных размеров и данных прочности самолета ТБ-7 подвеска под крыло двух истребителей МиГ-3 или ЛаГГ-3, имеющих кроме обычного вооружения по две бомбы ФАБ-250. Какие основные переделки на са</w:t>
      </w:r>
      <w:r w:rsidRPr="00640820">
        <w:rPr>
          <w:rFonts w:ascii="Times New Roman" w:hAnsi="Times New Roman"/>
          <w:color w:val="0070C0"/>
          <w:sz w:val="16"/>
          <w:szCs w:val="16"/>
        </w:rPr>
        <w:softHyphen/>
        <w:t>молете ТБ-7 повлечет подвеска истребителей». Далее за</w:t>
      </w:r>
      <w:r w:rsidRPr="00640820">
        <w:rPr>
          <w:rFonts w:ascii="Times New Roman" w:hAnsi="Times New Roman"/>
          <w:color w:val="0070C0"/>
          <w:sz w:val="16"/>
          <w:szCs w:val="16"/>
        </w:rPr>
        <w:softHyphen/>
        <w:t>прашивались ориентировочные летно-технические дан</w:t>
      </w:r>
      <w:r w:rsidRPr="00640820">
        <w:rPr>
          <w:rFonts w:ascii="Times New Roman" w:hAnsi="Times New Roman"/>
          <w:color w:val="0070C0"/>
          <w:sz w:val="16"/>
          <w:szCs w:val="16"/>
        </w:rPr>
        <w:softHyphen/>
        <w:t>ные такого «самолета-звена» и согласие на переоборудо</w:t>
      </w:r>
      <w:r w:rsidRPr="00640820">
        <w:rPr>
          <w:rFonts w:ascii="Times New Roman" w:hAnsi="Times New Roman"/>
          <w:color w:val="0070C0"/>
          <w:sz w:val="16"/>
          <w:szCs w:val="16"/>
        </w:rPr>
        <w:softHyphen/>
        <w:t>вание ТБ-7 для подвески истребителей в текущем году.</w:t>
      </w:r>
    </w:p>
    <w:p w14:paraId="0C5E9569" w14:textId="77777777" w:rsidR="00340C10" w:rsidRPr="00640820" w:rsidRDefault="00340C1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Ответ последовал от имени Акулова и Незваля примени</w:t>
      </w:r>
      <w:r w:rsidRPr="00640820">
        <w:rPr>
          <w:rFonts w:ascii="Times New Roman" w:hAnsi="Times New Roman"/>
          <w:color w:val="0070C0"/>
          <w:sz w:val="16"/>
          <w:szCs w:val="16"/>
        </w:rPr>
        <w:softHyphen/>
        <w:t>тельно к использованию МиГ-3, так как необходимых мате</w:t>
      </w:r>
      <w:r w:rsidRPr="00640820">
        <w:rPr>
          <w:rFonts w:ascii="Times New Roman" w:hAnsi="Times New Roman"/>
          <w:color w:val="0070C0"/>
          <w:sz w:val="16"/>
          <w:szCs w:val="16"/>
        </w:rPr>
        <w:softHyphen/>
        <w:t>риалов по ЛаГГу в распоряжении 124-го завода не было.</w:t>
      </w:r>
    </w:p>
    <w:p w14:paraId="23968502" w14:textId="77777777" w:rsidR="00340C10" w:rsidRPr="00640820" w:rsidRDefault="00340C1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 По своим габаритам и прочности конструкции само</w:t>
      </w:r>
      <w:r w:rsidRPr="00640820">
        <w:rPr>
          <w:rFonts w:ascii="Times New Roman" w:hAnsi="Times New Roman"/>
          <w:color w:val="0070C0"/>
          <w:sz w:val="16"/>
          <w:szCs w:val="16"/>
        </w:rPr>
        <w:softHyphen/>
        <w:t>лет ТБ-7 допускает подвеску двух истребителей типа МиГ-3 с бомбовой нагрузкой каждого по 2 ФАБ-250. При этом конструктивные изменения в крыле самолета ТБ-7 по</w:t>
      </w:r>
      <w:r w:rsidRPr="00640820">
        <w:rPr>
          <w:rFonts w:ascii="Times New Roman" w:hAnsi="Times New Roman"/>
          <w:color w:val="0070C0"/>
          <w:sz w:val="16"/>
          <w:szCs w:val="16"/>
        </w:rPr>
        <w:softHyphen/>
        <w:t>мимо установки двух специальных балок будут заклю</w:t>
      </w:r>
      <w:r w:rsidRPr="00640820">
        <w:rPr>
          <w:rFonts w:ascii="Times New Roman" w:hAnsi="Times New Roman"/>
          <w:color w:val="0070C0"/>
          <w:sz w:val="16"/>
          <w:szCs w:val="16"/>
        </w:rPr>
        <w:softHyphen/>
        <w:t>чаться в усилении двух нервюр крыла в местах подвески истребителей путем замены существующих раскосов и их креплений между лонжеронами более мощными.</w:t>
      </w:r>
    </w:p>
    <w:p w14:paraId="6079697A" w14:textId="77777777" w:rsidR="00340C10" w:rsidRPr="00640820" w:rsidRDefault="00340C10" w:rsidP="00640820">
      <w:pPr>
        <w:shd w:val="clear" w:color="auto" w:fill="FFFFFF"/>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Ориентировочные летно-тактические данные звена ТБ-7+2 МиГ-3:</w:t>
      </w:r>
    </w:p>
    <w:p w14:paraId="2CD05FAA" w14:textId="77777777" w:rsidR="00340C10" w:rsidRPr="00640820" w:rsidRDefault="00340C1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Весовая характеристика по наиболее допустимой на</w:t>
      </w:r>
      <w:r w:rsidRPr="00640820">
        <w:rPr>
          <w:rFonts w:ascii="Times New Roman" w:hAnsi="Times New Roman"/>
          <w:color w:val="0070C0"/>
          <w:sz w:val="16"/>
          <w:szCs w:val="16"/>
        </w:rPr>
        <w:softHyphen/>
        <w:t>грузке на взлете:</w:t>
      </w:r>
    </w:p>
    <w:p w14:paraId="50F2B747" w14:textId="77777777" w:rsidR="00340C10" w:rsidRPr="00640820" w:rsidRDefault="00340C1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Горизонтальные скорости на Н=6000-7000 м при рабо</w:t>
      </w:r>
      <w:r w:rsidRPr="00640820">
        <w:rPr>
          <w:rFonts w:ascii="Times New Roman" w:hAnsi="Times New Roman"/>
          <w:color w:val="0070C0"/>
          <w:sz w:val="16"/>
          <w:szCs w:val="16"/>
        </w:rPr>
        <w:softHyphen/>
        <w:t>те всех 6 моторов на номинальном режиме и при среднем по</w:t>
      </w:r>
      <w:r w:rsidRPr="00640820">
        <w:rPr>
          <w:rFonts w:ascii="Times New Roman" w:hAnsi="Times New Roman"/>
          <w:color w:val="0070C0"/>
          <w:sz w:val="16"/>
          <w:szCs w:val="16"/>
        </w:rPr>
        <w:softHyphen/>
        <w:t>летном весе 30 000 кг: — с моторами АМ-35А 420 км/ч, — с моторами М-40 405 км/ч.</w:t>
      </w:r>
    </w:p>
    <w:p w14:paraId="0A6DF351" w14:textId="77777777" w:rsidR="00340C10" w:rsidRPr="00640820" w:rsidRDefault="00340C1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Скороподъемность и потолок при моторах:</w:t>
      </w:r>
    </w:p>
    <w:p w14:paraId="371C19B5" w14:textId="77777777" w:rsidR="00340C10" w:rsidRPr="00640820" w:rsidRDefault="00340C1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АМ-35А М-40</w:t>
      </w:r>
    </w:p>
    <w:p w14:paraId="4C12FFD5" w14:textId="77777777" w:rsidR="00340C10" w:rsidRPr="00640820" w:rsidRDefault="00340C1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Время набора высоты 6000 м при весе 33 500 кг (мин)</w:t>
      </w:r>
      <w:r w:rsidRPr="00640820">
        <w:rPr>
          <w:rFonts w:ascii="Times New Roman" w:hAnsi="Times New Roman"/>
          <w:color w:val="0070C0"/>
          <w:sz w:val="16"/>
          <w:szCs w:val="16"/>
        </w:rPr>
        <w:tab/>
        <w:t>18,0</w:t>
      </w:r>
      <w:r w:rsidRPr="00640820">
        <w:rPr>
          <w:rFonts w:ascii="Times New Roman" w:hAnsi="Times New Roman"/>
          <w:color w:val="0070C0"/>
          <w:sz w:val="16"/>
          <w:szCs w:val="16"/>
        </w:rPr>
        <w:tab/>
        <w:t>18,5</w:t>
      </w:r>
    </w:p>
    <w:p w14:paraId="0FED685F" w14:textId="77777777" w:rsidR="00340C10" w:rsidRPr="00640820" w:rsidRDefault="00340C1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Потолок практический с весом 33 500 кг (м)</w:t>
      </w:r>
      <w:r w:rsidRPr="00640820">
        <w:rPr>
          <w:rFonts w:ascii="Times New Roman" w:hAnsi="Times New Roman"/>
          <w:color w:val="0070C0"/>
          <w:sz w:val="16"/>
          <w:szCs w:val="16"/>
        </w:rPr>
        <w:tab/>
        <w:t>8700</w:t>
      </w:r>
      <w:r w:rsidRPr="00640820">
        <w:rPr>
          <w:rFonts w:ascii="Times New Roman" w:hAnsi="Times New Roman"/>
          <w:color w:val="0070C0"/>
          <w:sz w:val="16"/>
          <w:szCs w:val="16"/>
        </w:rPr>
        <w:tab/>
        <w:t>8900</w:t>
      </w:r>
    </w:p>
    <w:p w14:paraId="21C9BDC2" w14:textId="77777777" w:rsidR="00340C10" w:rsidRPr="00640820" w:rsidRDefault="00340C1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Взлетные качества звена:</w:t>
      </w:r>
    </w:p>
    <w:p w14:paraId="53818C9F" w14:textId="77777777" w:rsidR="00340C10" w:rsidRPr="00640820" w:rsidRDefault="00340C1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Разбег при форсировании всех</w:t>
      </w:r>
    </w:p>
    <w:p w14:paraId="2BFCA51A" w14:textId="77777777" w:rsidR="00340C10" w:rsidRPr="00640820" w:rsidRDefault="00340C1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моторов при взлетном весе</w:t>
      </w:r>
    </w:p>
    <w:p w14:paraId="16569B28" w14:textId="77777777" w:rsidR="00340C10" w:rsidRPr="00640820" w:rsidRDefault="00340C1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33 500 кг без использования</w:t>
      </w:r>
    </w:p>
    <w:p w14:paraId="138B16AA" w14:textId="77777777" w:rsidR="00340C10" w:rsidRPr="00640820" w:rsidRDefault="00340C1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fldChar w:fldCharType="begin"/>
      </w:r>
      <w:r w:rsidRPr="00640820">
        <w:rPr>
          <w:rFonts w:ascii="Times New Roman" w:hAnsi="Times New Roman"/>
          <w:color w:val="0070C0"/>
          <w:sz w:val="16"/>
          <w:szCs w:val="16"/>
        </w:rPr>
        <w:instrText xml:space="preserve"> TOC \o "1-5" \h \z </w:instrText>
      </w:r>
      <w:r w:rsidRPr="00640820">
        <w:rPr>
          <w:rFonts w:ascii="Times New Roman" w:hAnsi="Times New Roman"/>
          <w:color w:val="0070C0"/>
          <w:sz w:val="16"/>
          <w:szCs w:val="16"/>
        </w:rPr>
        <w:fldChar w:fldCharType="separate"/>
      </w:r>
      <w:r w:rsidRPr="00640820">
        <w:rPr>
          <w:rFonts w:ascii="Times New Roman" w:hAnsi="Times New Roman"/>
          <w:color w:val="0070C0"/>
          <w:sz w:val="16"/>
          <w:szCs w:val="16"/>
        </w:rPr>
        <w:t>щитков (м)</w:t>
      </w:r>
      <w:r w:rsidRPr="00640820">
        <w:rPr>
          <w:rFonts w:ascii="Times New Roman" w:hAnsi="Times New Roman"/>
          <w:color w:val="0070C0"/>
          <w:sz w:val="16"/>
          <w:szCs w:val="16"/>
        </w:rPr>
        <w:tab/>
        <w:t>520</w:t>
      </w:r>
      <w:r w:rsidRPr="00640820">
        <w:rPr>
          <w:rFonts w:ascii="Times New Roman" w:hAnsi="Times New Roman"/>
          <w:color w:val="0070C0"/>
          <w:sz w:val="16"/>
          <w:szCs w:val="16"/>
        </w:rPr>
        <w:tab/>
        <w:t>500</w:t>
      </w:r>
    </w:p>
    <w:p w14:paraId="59F13606" w14:textId="77777777" w:rsidR="00340C10" w:rsidRPr="00640820" w:rsidRDefault="00340C1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6. Дальность и продолжительность полета на высоте 5— 6000 м и скорости, соответствующей минимуму расхода го</w:t>
      </w:r>
      <w:r w:rsidRPr="00640820">
        <w:rPr>
          <w:rFonts w:ascii="Times New Roman" w:hAnsi="Times New Roman"/>
          <w:color w:val="0070C0"/>
          <w:sz w:val="16"/>
          <w:szCs w:val="16"/>
        </w:rPr>
        <w:softHyphen/>
        <w:t>рючего, с учетом питания истребителей из баков ТБ-7:</w:t>
      </w:r>
    </w:p>
    <w:p w14:paraId="15B25BD9" w14:textId="77777777" w:rsidR="00340C10" w:rsidRPr="00640820" w:rsidRDefault="00340C1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АМ-35А</w:t>
      </w:r>
      <w:r w:rsidRPr="00640820">
        <w:rPr>
          <w:rFonts w:ascii="Times New Roman" w:hAnsi="Times New Roman"/>
          <w:color w:val="0070C0"/>
          <w:sz w:val="16"/>
          <w:szCs w:val="16"/>
        </w:rPr>
        <w:tab/>
        <w:t>М-40</w:t>
      </w:r>
    </w:p>
    <w:p w14:paraId="767A5B3C" w14:textId="77777777" w:rsidR="00340C10" w:rsidRPr="00640820" w:rsidRDefault="00340C1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Дальность полета звена (км)</w:t>
      </w:r>
      <w:r w:rsidRPr="00640820">
        <w:rPr>
          <w:rFonts w:ascii="Times New Roman" w:hAnsi="Times New Roman"/>
          <w:color w:val="0070C0"/>
          <w:sz w:val="16"/>
          <w:szCs w:val="16"/>
        </w:rPr>
        <w:tab/>
        <w:t>1450</w:t>
      </w:r>
      <w:r w:rsidRPr="00640820">
        <w:rPr>
          <w:rFonts w:ascii="Times New Roman" w:hAnsi="Times New Roman"/>
          <w:color w:val="0070C0"/>
          <w:sz w:val="16"/>
          <w:szCs w:val="16"/>
        </w:rPr>
        <w:tab/>
        <w:t>1320</w:t>
      </w:r>
    </w:p>
    <w:p w14:paraId="4F0B10F8" w14:textId="77777777" w:rsidR="00340C10" w:rsidRPr="00640820" w:rsidRDefault="00340C1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Продолжительность полета (час)</w:t>
      </w:r>
      <w:r w:rsidRPr="00640820">
        <w:rPr>
          <w:rFonts w:ascii="Times New Roman" w:hAnsi="Times New Roman"/>
          <w:color w:val="0070C0"/>
          <w:sz w:val="16"/>
          <w:szCs w:val="16"/>
        </w:rPr>
        <w:tab/>
        <w:t>5,0</w:t>
      </w:r>
      <w:r w:rsidRPr="00640820">
        <w:rPr>
          <w:rFonts w:ascii="Times New Roman" w:hAnsi="Times New Roman"/>
          <w:color w:val="0070C0"/>
          <w:sz w:val="16"/>
          <w:szCs w:val="16"/>
        </w:rPr>
        <w:tab/>
        <w:t>4,5</w:t>
      </w:r>
    </w:p>
    <w:p w14:paraId="7696E3D1" w14:textId="77777777" w:rsidR="00340C10" w:rsidRPr="00640820" w:rsidRDefault="00340C1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Остаток горючего в баках ТБ-7 (кг) 500</w:t>
      </w:r>
      <w:r w:rsidRPr="00640820">
        <w:rPr>
          <w:rFonts w:ascii="Times New Roman" w:hAnsi="Times New Roman"/>
          <w:color w:val="0070C0"/>
          <w:sz w:val="16"/>
          <w:szCs w:val="16"/>
        </w:rPr>
        <w:tab/>
        <w:t>500</w:t>
      </w:r>
      <w:r w:rsidRPr="00640820">
        <w:rPr>
          <w:rFonts w:ascii="Times New Roman" w:hAnsi="Times New Roman"/>
          <w:color w:val="0070C0"/>
          <w:sz w:val="16"/>
          <w:szCs w:val="16"/>
        </w:rPr>
        <w:fldChar w:fldCharType="end"/>
      </w:r>
    </w:p>
    <w:p w14:paraId="15AEAE15" w14:textId="77777777" w:rsidR="00340C10" w:rsidRPr="00640820" w:rsidRDefault="00340C1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Примечание: в настоящее время производится опытная проверка возможности увеличения начального полетного веса до 34 тонн. В этом случае дальность полета на ука</w:t>
      </w:r>
      <w:r w:rsidRPr="00640820">
        <w:rPr>
          <w:rFonts w:ascii="Times New Roman" w:hAnsi="Times New Roman"/>
          <w:color w:val="0070C0"/>
          <w:sz w:val="16"/>
          <w:szCs w:val="16"/>
        </w:rPr>
        <w:softHyphen/>
        <w:t>занном режиме увеличится до 1620 км с моторами АМ-35А и до 1530 км с моторами М-40.</w:t>
      </w:r>
    </w:p>
    <w:p w14:paraId="6959177F" w14:textId="77777777" w:rsidR="00340C10" w:rsidRPr="00640820" w:rsidRDefault="00340C10" w:rsidP="00640820">
      <w:pPr>
        <w:shd w:val="clear" w:color="auto" w:fill="FFFFFF"/>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7. В связи с наличием на заводе других работ, указан</w:t>
      </w:r>
      <w:r w:rsidRPr="00640820">
        <w:rPr>
          <w:rFonts w:ascii="Times New Roman" w:hAnsi="Times New Roman"/>
          <w:color w:val="0070C0"/>
          <w:sz w:val="16"/>
          <w:szCs w:val="16"/>
        </w:rPr>
        <w:softHyphen/>
        <w:t>ное переоборудование в текущем году выполнено быть не может» (20364).</w:t>
      </w:r>
    </w:p>
    <w:p w14:paraId="19E74200" w14:textId="77777777" w:rsidR="00340C10" w:rsidRPr="00640820" w:rsidRDefault="00340C10" w:rsidP="00640820">
      <w:pPr>
        <w:shd w:val="clear" w:color="auto" w:fill="FFFFFF"/>
        <w:spacing w:after="0" w:line="240" w:lineRule="auto"/>
        <w:jc w:val="both"/>
        <w:rPr>
          <w:rFonts w:ascii="Times New Roman" w:hAnsi="Times New Roman"/>
          <w:color w:val="0070C0"/>
          <w:sz w:val="16"/>
          <w:szCs w:val="16"/>
        </w:rPr>
      </w:pPr>
    </w:p>
    <w:p w14:paraId="1272AF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сентября 1941 А.Э.Нудельман приступил к установке НС-37 на ЛаГГ. С.А.Л. сильно рисковал (177,298).</w:t>
      </w:r>
    </w:p>
    <w:p w14:paraId="54C12F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По А.Э.Нудельману это было на 21 заводе в Горьком. С.А.Л., ОКБ и заводские - помогали (263,44).</w:t>
      </w:r>
    </w:p>
    <w:p w14:paraId="1251F7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D976549" w14:textId="77777777" w:rsidR="00DE7CDD" w:rsidRPr="00640820" w:rsidRDefault="00DE7CDD" w:rsidP="00640820">
      <w:pPr>
        <w:pStyle w:val="rtejustify"/>
        <w:shd w:val="clear" w:color="auto" w:fill="FFFFFF"/>
        <w:spacing w:before="0" w:after="0"/>
        <w:rPr>
          <w:color w:val="000000" w:themeColor="text1"/>
          <w:sz w:val="16"/>
          <w:szCs w:val="16"/>
        </w:rPr>
      </w:pPr>
      <w:r w:rsidRPr="00640820">
        <w:rPr>
          <w:rStyle w:val="af0"/>
          <w:i w:val="0"/>
          <w:color w:val="000000" w:themeColor="text1"/>
          <w:sz w:val="16"/>
          <w:szCs w:val="16"/>
          <w:bdr w:val="none" w:sz="0" w:space="0" w:color="auto" w:frame="1"/>
        </w:rPr>
        <w:t>"9 сентября 1941 года,</w:t>
      </w:r>
      <w:r w:rsidRPr="00640820">
        <w:rPr>
          <w:color w:val="000000" w:themeColor="text1"/>
          <w:sz w:val="16"/>
          <w:szCs w:val="16"/>
        </w:rPr>
        <w:t> — вспоминал Нудельман, — </w:t>
      </w:r>
      <w:r w:rsidRPr="00640820">
        <w:rPr>
          <w:rStyle w:val="af0"/>
          <w:i w:val="0"/>
          <w:color w:val="000000" w:themeColor="text1"/>
          <w:sz w:val="16"/>
          <w:szCs w:val="16"/>
          <w:bdr w:val="none" w:sz="0" w:space="0" w:color="auto" w:frame="1"/>
        </w:rPr>
        <w:t>мы с М.П.Бундиным и слесарем А.Ф.Сеничкиным выехали из Москвы в Горький, где приступили к установке первого опытного образца пушки на ЛаГГ-3. Прошло много лет, и до сих пор нельзя не удивляться решимости С.А.Лавочкина в трудное время начала войны применить на серийном самолете пушку, не прошедшую государственных испытаний. Здесь решила все интуиция большого конструктора, каким был Лавочкин. 10 октября</w:t>
      </w:r>
      <w:r w:rsidRPr="00640820">
        <w:rPr>
          <w:color w:val="000000" w:themeColor="text1"/>
          <w:sz w:val="16"/>
          <w:szCs w:val="16"/>
        </w:rPr>
        <w:t> </w:t>
      </w:r>
      <w:r w:rsidRPr="00640820">
        <w:rPr>
          <w:rStyle w:val="af0"/>
          <w:i w:val="0"/>
          <w:color w:val="000000" w:themeColor="text1"/>
          <w:sz w:val="16"/>
          <w:szCs w:val="16"/>
          <w:bdr w:val="none" w:sz="0" w:space="0" w:color="auto" w:frame="1"/>
        </w:rPr>
        <w:t>закончили установку пушки и испытали caмолет в тире… В работе над пушкой НС-37 мы всюду встречали большую поддержку. Это было и в КБ Лавочкина, и на заводе, где оно размещалось, все с большим желанием принимали участие в работе по установке пушки и подготовке самолета к государственным испытаниям. Сейчас, после нескольких десятилетий, трудно поверить в возможность проведения такого большого объема работы в столь короткий отрезок времени.</w:t>
      </w:r>
    </w:p>
    <w:p w14:paraId="64159F9F" w14:textId="77777777" w:rsidR="00DE7CDD" w:rsidRPr="00640820" w:rsidRDefault="00DE7CDD" w:rsidP="00640820">
      <w:pPr>
        <w:pStyle w:val="rtejustify"/>
        <w:shd w:val="clear" w:color="auto" w:fill="FFFFFF"/>
        <w:spacing w:before="0" w:after="0"/>
        <w:rPr>
          <w:color w:val="000000" w:themeColor="text1"/>
          <w:sz w:val="16"/>
          <w:szCs w:val="16"/>
        </w:rPr>
      </w:pPr>
      <w:r w:rsidRPr="00640820">
        <w:rPr>
          <w:rStyle w:val="af0"/>
          <w:i w:val="0"/>
          <w:color w:val="000000" w:themeColor="text1"/>
          <w:sz w:val="16"/>
          <w:szCs w:val="16"/>
          <w:bdr w:val="none" w:sz="0" w:space="0" w:color="auto" w:frame="1"/>
        </w:rPr>
        <w:t>Своевременную доставку самолета на полигон тогда не сумели произвести из-за погоды, так как вылетевший на полигон ЛаГГ-3 совершил вынужденную посадку в Чебоксарах. Там его застало раннее наступление зимы, обильно выпал снег и потребовалось переставить самолет на лыжи. Лишь после этого, в феврале 1942 года ЛаГГ-3 (с.н. 312197) оказался на полигоне. Ведущими по самолету были инженер С.П.Мохов и летчик С.К.Воробьев.</w:t>
      </w:r>
    </w:p>
    <w:p w14:paraId="2C998B94" w14:textId="77777777" w:rsidR="00DE7CDD" w:rsidRPr="00640820" w:rsidRDefault="00DE7CDD" w:rsidP="00640820">
      <w:pPr>
        <w:pStyle w:val="rtejustify"/>
        <w:shd w:val="clear" w:color="auto" w:fill="FFFFFF"/>
        <w:spacing w:before="0" w:after="0"/>
        <w:rPr>
          <w:rStyle w:val="af0"/>
          <w:i w:val="0"/>
          <w:color w:val="000000" w:themeColor="text1"/>
          <w:sz w:val="16"/>
          <w:szCs w:val="16"/>
          <w:bdr w:val="none" w:sz="0" w:space="0" w:color="auto" w:frame="1"/>
        </w:rPr>
      </w:pPr>
      <w:r w:rsidRPr="00640820">
        <w:rPr>
          <w:rStyle w:val="af0"/>
          <w:i w:val="0"/>
          <w:color w:val="000000" w:themeColor="text1"/>
          <w:sz w:val="16"/>
          <w:szCs w:val="16"/>
          <w:bdr w:val="none" w:sz="0" w:space="0" w:color="auto" w:frame="1"/>
        </w:rPr>
        <w:t>Государственные испытания завершились в марте 1942 года. Автоматика пушки и на самолете действовала надежно, да и живучесть орудия была хорошей. Отчет о результатах испытаний подготовили быстро, и пушка руководством полигона рекомендовалась для принятия на вооружение. Несмотря на это, 30 апреля на совещании в ВВС решили повторить испытания НС-37, и для этого потребовалось переделать пушку под патрон от Ш-37, отличавшийся гильзой без бурта" (19170).</w:t>
      </w:r>
    </w:p>
    <w:p w14:paraId="198C6710" w14:textId="77777777" w:rsidR="00DE7CDD" w:rsidRPr="00640820" w:rsidRDefault="00DE7CDD" w:rsidP="00640820">
      <w:pPr>
        <w:pStyle w:val="rtejustify"/>
        <w:shd w:val="clear" w:color="auto" w:fill="FFFFFF"/>
        <w:spacing w:before="0" w:after="0"/>
        <w:rPr>
          <w:rStyle w:val="af0"/>
          <w:i w:val="0"/>
          <w:color w:val="000000" w:themeColor="text1"/>
          <w:sz w:val="16"/>
          <w:szCs w:val="16"/>
          <w:bdr w:val="none" w:sz="0" w:space="0" w:color="auto" w:frame="1"/>
        </w:rPr>
      </w:pPr>
    </w:p>
    <w:p w14:paraId="3A5A90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сентября 1941 вышел приказ НКАП N 959с:</w:t>
      </w:r>
    </w:p>
    <w:p w14:paraId="3F6387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ГК ОКБ завода 301 М.И.Гудкову для проведения летных испытаний ЛаГГ-3 с М-82 передать самолет в ЛИИ НКАП (2134,223).</w:t>
      </w:r>
    </w:p>
    <w:p w14:paraId="68560F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Нач. ЛИИ М.М.Г. провести испытание ЛаГГ-3 с М-82 к 1 октября 1941" (1503,86) и назначить ли А.И.Никашина (2134,223).</w:t>
      </w:r>
    </w:p>
    <w:p w14:paraId="489461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F7C5E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сентября 1941 Пышнов подписал Заключение по эскизному проекту Гу-82 (модификации ЛаГГ-3 под мотор М-82)</w:t>
      </w:r>
    </w:p>
    <w:p w14:paraId="61511C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Замечания к заключению по эскизному проекту:</w:t>
      </w:r>
    </w:p>
    <w:p w14:paraId="7FB9AC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Снижение макс. Скорости до 596 км/час обосновано недостаточным Сх = 0,0296 отчего велико спротивление машины с воздушным охлаждением. Вопрос решается большим качеством винта и капота, т.к. при скорости около 600 км/час на концах могут образовываться волны Маха. Если капот будет хороший, 620 км/час возможно.</w:t>
      </w:r>
    </w:p>
    <w:p w14:paraId="111B4B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На потолке п может быть не 0,7, а 0,75 и даже больше (следовало бы проверить, как принято во вниманием эквивалентное удлинение).</w:t>
      </w:r>
    </w:p>
    <w:p w14:paraId="5F19D2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Данные о вираже, конечно не заслуживают доверия. То же относится к расчету взлета. Взлет нужно считать не до отрыва, а до перехода на подъем. Тогда величина скорости отрыва не будет играть особой роли.</w:t>
      </w:r>
    </w:p>
    <w:p w14:paraId="7CA801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Как обеспечивает конструктор поперечную устойчивость на больших углах атаки и демпфирование медленных продольных колебаний, которые обычно бывают едостаточными при полете с работающим мотором и при наличии весовой перекомпенсации РВ (821).</w:t>
      </w:r>
    </w:p>
    <w:p w14:paraId="5450F1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05F65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сентября 1941 на 6 полете разбили первый серийный КОР-2 (МС-9, Бе-4) N 28801, который был 11 августа 1941 закончен на заводе 288 в Савелово. На нем был установлен менее мощной, но более надежный М-62. Сразу же стали испытывать и торопились сдать. Пилотировал Котяков, а на борту был также и ОКБ Морозов и вт 1 ранга Сукачев. Попались на эффекте "зеркала" и не рассчитав высоту ударились об воду (1288,31).</w:t>
      </w:r>
    </w:p>
    <w:p w14:paraId="26D5FC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A4D5E4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сентября 1941 при выполне</w:t>
      </w:r>
      <w:r w:rsidRPr="00640820">
        <w:rPr>
          <w:rFonts w:ascii="Times New Roman" w:hAnsi="Times New Roman"/>
          <w:color w:val="000000" w:themeColor="text1"/>
          <w:sz w:val="16"/>
          <w:szCs w:val="16"/>
        </w:rPr>
        <w:softHyphen/>
        <w:t>нии шестого по счету полета на первом серийном КОР-2, произошло не</w:t>
      </w:r>
      <w:r w:rsidRPr="00640820">
        <w:rPr>
          <w:rFonts w:ascii="Times New Roman" w:hAnsi="Times New Roman"/>
          <w:color w:val="000000" w:themeColor="text1"/>
          <w:sz w:val="16"/>
          <w:szCs w:val="16"/>
        </w:rPr>
        <w:softHyphen/>
        <w:t>счастье. Самолет пилотировал майор Котя- ков, вместе с ним на борту находились ин</w:t>
      </w:r>
      <w:r w:rsidRPr="00640820">
        <w:rPr>
          <w:rFonts w:ascii="Times New Roman" w:hAnsi="Times New Roman"/>
          <w:color w:val="000000" w:themeColor="text1"/>
          <w:sz w:val="16"/>
          <w:szCs w:val="16"/>
        </w:rPr>
        <w:softHyphen/>
        <w:t>женер ОКБ Морозов и воентехник 1 ранга Сукачев. При заходе на посадку проявилась способность КОР-2 круто и непривычно бы</w:t>
      </w:r>
      <w:r w:rsidRPr="00640820">
        <w:rPr>
          <w:rFonts w:ascii="Times New Roman" w:hAnsi="Times New Roman"/>
          <w:color w:val="000000" w:themeColor="text1"/>
          <w:sz w:val="16"/>
          <w:szCs w:val="16"/>
        </w:rPr>
        <w:softHyphen/>
        <w:t>стро снижаться. В условиях штилевой пого</w:t>
      </w:r>
      <w:r w:rsidRPr="00640820">
        <w:rPr>
          <w:rFonts w:ascii="Times New Roman" w:hAnsi="Times New Roman"/>
          <w:color w:val="000000" w:themeColor="text1"/>
          <w:sz w:val="16"/>
          <w:szCs w:val="16"/>
        </w:rPr>
        <w:softHyphen/>
        <w:t>ды летчик попал под обаяние «зеркала», и са</w:t>
      </w:r>
      <w:r w:rsidRPr="00640820">
        <w:rPr>
          <w:rFonts w:ascii="Times New Roman" w:hAnsi="Times New Roman"/>
          <w:color w:val="000000" w:themeColor="text1"/>
          <w:sz w:val="16"/>
          <w:szCs w:val="16"/>
        </w:rPr>
        <w:softHyphen/>
        <w:t>молет на повышенной скорости врезался</w:t>
      </w:r>
      <w:r w:rsidRPr="00640820">
        <w:rPr>
          <w:rStyle w:val="9pt"/>
          <w:rFonts w:ascii="Times New Roman" w:hAnsi="Times New Roman" w:cs="Times New Roman"/>
          <w:i w:val="0"/>
          <w:color w:val="000000" w:themeColor="text1"/>
          <w:sz w:val="16"/>
          <w:szCs w:val="16"/>
        </w:rPr>
        <w:t xml:space="preserve"> в </w:t>
      </w:r>
      <w:r w:rsidRPr="00640820">
        <w:rPr>
          <w:rFonts w:ascii="Times New Roman" w:hAnsi="Times New Roman"/>
          <w:color w:val="000000" w:themeColor="text1"/>
          <w:sz w:val="16"/>
          <w:szCs w:val="16"/>
        </w:rPr>
        <w:t>воду. Спастись удалось двум членам экипа</w:t>
      </w:r>
      <w:r w:rsidRPr="00640820">
        <w:rPr>
          <w:rFonts w:ascii="Times New Roman" w:hAnsi="Times New Roman"/>
          <w:color w:val="000000" w:themeColor="text1"/>
          <w:sz w:val="16"/>
          <w:szCs w:val="16"/>
        </w:rPr>
        <w:softHyphen/>
        <w:t>жа, воентехник Сукачев утонул вместе с са</w:t>
      </w:r>
      <w:r w:rsidRPr="00640820">
        <w:rPr>
          <w:rFonts w:ascii="Times New Roman" w:hAnsi="Times New Roman"/>
          <w:color w:val="000000" w:themeColor="text1"/>
          <w:sz w:val="16"/>
          <w:szCs w:val="16"/>
        </w:rPr>
        <w:softHyphen/>
        <w:t>молетом (12301).</w:t>
      </w:r>
    </w:p>
    <w:p w14:paraId="0526F3E2"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4266E5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сентября 1941 в 17:21 была авария Бе-4 N 28801 под управлением л Н.П.Костякова (2127).</w:t>
      </w:r>
    </w:p>
    <w:p w14:paraId="007261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F1B5AB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сентяб</w:t>
      </w:r>
      <w:r w:rsidRPr="00640820">
        <w:rPr>
          <w:rFonts w:ascii="Times New Roman" w:hAnsi="Times New Roman"/>
          <w:color w:val="000000" w:themeColor="text1"/>
          <w:sz w:val="16"/>
          <w:szCs w:val="16"/>
        </w:rPr>
        <w:softHyphen/>
        <w:t>ря 1941 при выполнении шестого по счету полета первого серийного самолета КОР-2, заводской №28801, произошло несчастье. Самолет пилотировал майор Котяков, вместе с ним на борту находились инженер ОКБ Морозов и во</w:t>
      </w:r>
      <w:r w:rsidRPr="00640820">
        <w:rPr>
          <w:rFonts w:ascii="Times New Roman" w:hAnsi="Times New Roman"/>
          <w:color w:val="000000" w:themeColor="text1"/>
          <w:sz w:val="16"/>
          <w:szCs w:val="16"/>
        </w:rPr>
        <w:softHyphen/>
        <w:t>ентехник 1-го ранга Сукачев. При заходе на посадку про</w:t>
      </w:r>
      <w:r w:rsidRPr="00640820">
        <w:rPr>
          <w:rFonts w:ascii="Times New Roman" w:hAnsi="Times New Roman"/>
          <w:color w:val="000000" w:themeColor="text1"/>
          <w:sz w:val="16"/>
          <w:szCs w:val="16"/>
        </w:rPr>
        <w:softHyphen/>
        <w:t>явилась способность КОР-2 круто и непривычно быстро снижаться. В условиях штилевой погоды летчик попал под обман «зеркала», и самолет на повышенной скорости врезался в воду. Спастись удалось двум членам экипажа, воентехник Сукачев утонул вместе с самолетом (11107).</w:t>
      </w:r>
    </w:p>
    <w:p w14:paraId="1773B88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7C0CF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сентября 1941 г. вышел НТ журнал Нач. Авиавооружения ВВС РККА по оп. Отделу за № 0187</w:t>
      </w:r>
    </w:p>
    <w:p w14:paraId="2B0ADA8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 Т В Е Р Ж Д А Ю</w:t>
      </w:r>
    </w:p>
    <w:p w14:paraId="5A6DD1E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ЗАКАЗОВ ВООРУЖЕНИЯ ГУ ВВС КА</w:t>
      </w:r>
    </w:p>
    <w:p w14:paraId="421B07A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Генерал-майор интенд. службы</w:t>
      </w:r>
    </w:p>
    <w:p w14:paraId="22015EF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/ЖАРОВ/</w:t>
      </w:r>
    </w:p>
    <w:p w14:paraId="29A6217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сентября 1941</w:t>
      </w:r>
    </w:p>
    <w:p w14:paraId="655FDC3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ВОЕН. КОМИССАР ЗАКАЗОВ ВООРУЖ. ГУ ВВС КА</w:t>
      </w:r>
    </w:p>
    <w:p w14:paraId="298F934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 Батальонный Комиссар</w:t>
      </w:r>
    </w:p>
    <w:p w14:paraId="0411E33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/ПЕКИН/</w:t>
      </w:r>
    </w:p>
    <w:p w14:paraId="3D464EF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сентября 1941 г.</w:t>
      </w:r>
    </w:p>
    <w:p w14:paraId="4D50CE2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640820">
        <w:rPr>
          <w:rFonts w:ascii="Times New Roman" w:hAnsi="Times New Roman"/>
          <w:smallCaps/>
          <w:color w:val="000000" w:themeColor="text1"/>
          <w:sz w:val="16"/>
          <w:szCs w:val="16"/>
        </w:rPr>
        <w:t>НАУЧНО-ТЕХНИЧЕСКИЙ ЖУРНАЛ</w:t>
      </w:r>
    </w:p>
    <w:p w14:paraId="30014EE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12-го УПРАВЛЕНИЯ ГУ ВВС КА /по Опытному Отделу/ № 0187</w:t>
      </w:r>
    </w:p>
    <w:p w14:paraId="3D3D28F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вопросу:</w:t>
      </w:r>
    </w:p>
    <w:p w14:paraId="6E589FC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Утверждения отчета по полигонным испфтаниям авиационных осколочных гранат АГ-2 и кассет к ним</w:t>
      </w:r>
    </w:p>
    <w:p w14:paraId="58F5B92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Постановлением Государствваного Комитета Обороны за № 247сс от 24 июля с.г., - ГСКБ-47 Н.К.Б. обязывалось изготовить опытную партию осколочных гранат АГ-2 в количестве 1.000 и подать их на НИП АВ на полигонные испытания.</w:t>
      </w:r>
    </w:p>
    <w:p w14:paraId="65CC174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Этим же поставовлением Н.К.А.П. обязывался изготовить кассеты для испытания этих гранат с саюлетов ИЛ-2 и СБ.</w:t>
      </w:r>
    </w:p>
    <w:p w14:paraId="61A6EFE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Авиациоввые осколочные гранаты АГ-2 предназвачаютоя для действия в воздушном бою в качестве оборонительного оружия, защищающего самолет со стороны задней полусферы.</w:t>
      </w:r>
    </w:p>
    <w:p w14:paraId="5C4DCE8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ГСКБ-47 изготовило первую партию гранат АГ-2 в количестве 500 штук и подало их на НИП АВ 15 Августа с.г. на полигонные испытании. В этот же деьь завод № 32 НКАП подал на НИП АВ изготовленные в двухвариантах кассеты: с электромагнитном управлением и механическим. Испытания гра</w:t>
      </w:r>
      <w:r w:rsidRPr="00640820">
        <w:rPr>
          <w:rFonts w:ascii="Times New Roman" w:hAnsi="Times New Roman"/>
          <w:color w:val="000000" w:themeColor="text1"/>
          <w:sz w:val="16"/>
          <w:szCs w:val="16"/>
        </w:rPr>
        <w:softHyphen/>
        <w:t>нат и кассет были начаты 15.08. и закончены 30.08.41 г. Испытания имели целью определить:</w:t>
      </w:r>
    </w:p>
    <w:p w14:paraId="2FF8DC9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Безотказность действия ударного механизма гранаты,</w:t>
      </w:r>
    </w:p>
    <w:p w14:paraId="7932AA7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Время замедления и прочность парашюта гранаты при различных скоростях саиолетов.</w:t>
      </w:r>
    </w:p>
    <w:p w14:paraId="27C2D13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Осколочное действие</w:t>
      </w:r>
    </w:p>
    <w:p w14:paraId="77E08B6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Безопасность боевого применения я эксплоатации гранаты.</w:t>
      </w:r>
    </w:p>
    <w:p w14:paraId="7C520F7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Тактическая целесообразность применения.</w:t>
      </w:r>
    </w:p>
    <w:p w14:paraId="7328490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Безотказность действия и удобство эксплоатации кассет.</w:t>
      </w:r>
    </w:p>
    <w:p w14:paraId="6B869B0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Прочность конструкции кассет.</w:t>
      </w:r>
    </w:p>
    <w:p w14:paraId="25F68E1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Возможность применения кассет на различных типах самоготов.</w:t>
      </w:r>
    </w:p>
    <w:p w14:paraId="7EB6293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Основные характеристики:</w:t>
      </w:r>
    </w:p>
    <w:p w14:paraId="2D586F3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Граната АГ-2</w:t>
      </w:r>
    </w:p>
    <w:p w14:paraId="34B030A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Вес - 1,8 кгр.</w:t>
      </w:r>
    </w:p>
    <w:p w14:paraId="6646768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Материал корпуса - сталистый чугун.</w:t>
      </w:r>
    </w:p>
    <w:p w14:paraId="383E751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Снаряжение 3-х вариантов:</w:t>
      </w:r>
    </w:p>
    <w:p w14:paraId="4F1F790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порох</w:t>
      </w:r>
    </w:p>
    <w:p w14:paraId="0572004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фото-смесь</w:t>
      </w:r>
    </w:p>
    <w:p w14:paraId="01820A6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тротил.</w:t>
      </w:r>
    </w:p>
    <w:p w14:paraId="74D6AE8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Габариты внешние - диаметр 82 мм. и высота 132 мм</w:t>
      </w:r>
    </w:p>
    <w:p w14:paraId="6AF203A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Кассета с электромагнитным управлением</w:t>
      </w:r>
    </w:p>
    <w:p w14:paraId="6181F84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Вес - 8,5 кгр.</w:t>
      </w:r>
    </w:p>
    <w:p w14:paraId="521F807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Материал - сталь</w:t>
      </w:r>
    </w:p>
    <w:p w14:paraId="1D8FE43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Габариты внешние - 1102 х 140х142 мм</w:t>
      </w:r>
    </w:p>
    <w:p w14:paraId="3432F86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Кассета о механическим управлением:</w:t>
      </w:r>
    </w:p>
    <w:p w14:paraId="2270933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Вес - 12,1 кгр.</w:t>
      </w:r>
    </w:p>
    <w:p w14:paraId="53CD3C6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Материал - сталь</w:t>
      </w:r>
    </w:p>
    <w:p w14:paraId="039288C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Габариты внешние - 1065 х 162 х 138 мм</w:t>
      </w:r>
    </w:p>
    <w:p w14:paraId="2795A92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Действие гранаты.</w:t>
      </w:r>
    </w:p>
    <w:p w14:paraId="338666B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момент выпадения гранаты из кассеты, смонтирован</w:t>
      </w:r>
      <w:r w:rsidRPr="00640820">
        <w:rPr>
          <w:rFonts w:ascii="Times New Roman" w:hAnsi="Times New Roman"/>
          <w:color w:val="000000" w:themeColor="text1"/>
          <w:sz w:val="16"/>
          <w:szCs w:val="16"/>
        </w:rPr>
        <w:softHyphen/>
        <w:t>ной под-самолетом, сдергивается крышка с парашютной коробки. Раскрывшийся парашют поглощает инерционную скорость гранаты, одновременно поворачивает скобу парашюта и сре</w:t>
      </w:r>
      <w:r w:rsidRPr="00640820">
        <w:rPr>
          <w:rFonts w:ascii="Times New Roman" w:hAnsi="Times New Roman"/>
          <w:color w:val="000000" w:themeColor="text1"/>
          <w:sz w:val="16"/>
          <w:szCs w:val="16"/>
        </w:rPr>
        <w:softHyphen/>
        <w:t>зает предохранительную чеку взрывателя.</w:t>
      </w:r>
    </w:p>
    <w:p w14:paraId="461EC9B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 действием боевой пружины ударник разбивает капсюль воспламенитель, воспламенение которого передается замедлителному составу, рассчитанному на горение в тече</w:t>
      </w:r>
      <w:r w:rsidRPr="00640820">
        <w:rPr>
          <w:rFonts w:ascii="Times New Roman" w:hAnsi="Times New Roman"/>
          <w:color w:val="000000" w:themeColor="text1"/>
          <w:sz w:val="16"/>
          <w:szCs w:val="16"/>
        </w:rPr>
        <w:softHyphen/>
        <w:t>ние 2-х секунд. К моменту подачи огня от замедлителя к капсюлю-детоватору, граната под действием сопротивления парашюта, отстает от самолета, вследствие чего взрыв гранаты происходит на достаточном для безопасности самоле</w:t>
      </w:r>
      <w:r w:rsidRPr="00640820">
        <w:rPr>
          <w:rFonts w:ascii="Times New Roman" w:hAnsi="Times New Roman"/>
          <w:color w:val="000000" w:themeColor="text1"/>
          <w:sz w:val="16"/>
          <w:szCs w:val="16"/>
        </w:rPr>
        <w:softHyphen/>
        <w:t>та расстоянии. Вертикальное снижение гранаты за это вре</w:t>
      </w:r>
      <w:r w:rsidRPr="00640820">
        <w:rPr>
          <w:rFonts w:ascii="Times New Roman" w:hAnsi="Times New Roman"/>
          <w:color w:val="000000" w:themeColor="text1"/>
          <w:sz w:val="16"/>
          <w:szCs w:val="16"/>
        </w:rPr>
        <w:softHyphen/>
        <w:t>мя будет примерно 25-30 метров.</w:t>
      </w:r>
    </w:p>
    <w:p w14:paraId="262CCEB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Результаты испытаний.</w:t>
      </w:r>
    </w:p>
    <w:p w14:paraId="2003118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Наземные испытания АГ-2:</w:t>
      </w:r>
    </w:p>
    <w:p w14:paraId="30C45A1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наземиых условиях определялось время замедления от начала накола капсюля воспламенителя до разрыва гранаты. В результате испытаний установлено, что среднее вре</w:t>
      </w:r>
      <w:r w:rsidRPr="00640820">
        <w:rPr>
          <w:rFonts w:ascii="Times New Roman" w:hAnsi="Times New Roman"/>
          <w:color w:val="000000" w:themeColor="text1"/>
          <w:sz w:val="16"/>
          <w:szCs w:val="16"/>
        </w:rPr>
        <w:softHyphen/>
        <w:t>мя замедления равно 2,03 сек.</w:t>
      </w:r>
    </w:p>
    <w:p w14:paraId="77C0C30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Осколочное действие определилось подрывом гранат в бронеяме и в секторных мишенях.</w:t>
      </w:r>
    </w:p>
    <w:p w14:paraId="3905BC0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результате подрывов в бронеяме установлено, что АГ-2 снаряженные фотосмесью при разрыве дают до 75 оскол</w:t>
      </w:r>
      <w:r w:rsidRPr="00640820">
        <w:rPr>
          <w:rFonts w:ascii="Times New Roman" w:hAnsi="Times New Roman"/>
          <w:color w:val="000000" w:themeColor="text1"/>
          <w:sz w:val="16"/>
          <w:szCs w:val="16"/>
        </w:rPr>
        <w:softHyphen/>
        <w:t>ков весок от I гр. до 100 грамм, и АГ-2, снаряженные тро</w:t>
      </w:r>
      <w:r w:rsidRPr="00640820">
        <w:rPr>
          <w:rFonts w:ascii="Times New Roman" w:hAnsi="Times New Roman"/>
          <w:color w:val="000000" w:themeColor="text1"/>
          <w:sz w:val="16"/>
          <w:szCs w:val="16"/>
        </w:rPr>
        <w:softHyphen/>
        <w:t>тилом дают до 1538 осколков» весом от 0,5 грамм до 10 грамм, причем наибольшее количество осколков, до 1446 падает, на осколки весом до 3-х грамм.</w:t>
      </w:r>
    </w:p>
    <w:p w14:paraId="2C0A468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Результаты подрыва АГ-2 в секторных машенах предс</w:t>
      </w:r>
      <w:r w:rsidRPr="00640820">
        <w:rPr>
          <w:rFonts w:ascii="Times New Roman" w:hAnsi="Times New Roman"/>
          <w:color w:val="000000" w:themeColor="text1"/>
          <w:sz w:val="16"/>
          <w:szCs w:val="16"/>
        </w:rPr>
        <w:softHyphen/>
        <w:t>тавлены в следующей таблице:</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074"/>
        <w:gridCol w:w="986"/>
        <w:gridCol w:w="835"/>
        <w:gridCol w:w="814"/>
        <w:gridCol w:w="828"/>
        <w:gridCol w:w="1282"/>
      </w:tblGrid>
      <w:tr w:rsidR="006B0687" w:rsidRPr="00640820" w14:paraId="021D8936" w14:textId="77777777" w:rsidTr="000D3BCB">
        <w:trPr>
          <w:trHeight w:val="20"/>
        </w:trPr>
        <w:tc>
          <w:tcPr>
            <w:tcW w:w="2074" w:type="dxa"/>
            <w:tcBorders>
              <w:top w:val="single" w:sz="12" w:space="0" w:color="auto"/>
            </w:tcBorders>
          </w:tcPr>
          <w:p w14:paraId="213FC26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пп и Наименовав. изделия и снаряжение. </w:t>
            </w:r>
          </w:p>
        </w:tc>
        <w:tc>
          <w:tcPr>
            <w:tcW w:w="4745" w:type="dxa"/>
            <w:gridSpan w:val="5"/>
            <w:tcBorders>
              <w:top w:val="single" w:sz="12" w:space="0" w:color="auto"/>
            </w:tcBorders>
          </w:tcPr>
          <w:p w14:paraId="2611560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Количество осколков. </w:t>
            </w:r>
          </w:p>
        </w:tc>
      </w:tr>
      <w:tr w:rsidR="006B0687" w:rsidRPr="00640820" w14:paraId="6DB5C1FA" w14:textId="77777777" w:rsidTr="000D3BCB">
        <w:trPr>
          <w:trHeight w:val="20"/>
        </w:trPr>
        <w:tc>
          <w:tcPr>
            <w:tcW w:w="2074" w:type="dxa"/>
          </w:tcPr>
          <w:p w14:paraId="422581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986" w:type="dxa"/>
          </w:tcPr>
          <w:p w14:paraId="33D6D44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Пробив</w:t>
            </w:r>
            <w:r w:rsidRPr="00640820">
              <w:rPr>
                <w:rFonts w:ascii="Times New Roman" w:hAnsi="Times New Roman"/>
                <w:color w:val="000000" w:themeColor="text1"/>
                <w:sz w:val="16"/>
                <w:szCs w:val="16"/>
              </w:rPr>
              <w:softHyphen/>
              <w:t xml:space="preserve">ших. </w:t>
            </w:r>
          </w:p>
        </w:tc>
        <w:tc>
          <w:tcPr>
            <w:tcW w:w="835" w:type="dxa"/>
          </w:tcPr>
          <w:p w14:paraId="5399C49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Засев</w:t>
            </w:r>
            <w:r w:rsidRPr="00640820">
              <w:rPr>
                <w:rFonts w:ascii="Times New Roman" w:hAnsi="Times New Roman"/>
                <w:color w:val="000000" w:themeColor="text1"/>
                <w:sz w:val="16"/>
                <w:szCs w:val="16"/>
              </w:rPr>
              <w:softHyphen/>
              <w:t xml:space="preserve">ших </w:t>
            </w:r>
          </w:p>
        </w:tc>
        <w:tc>
          <w:tcPr>
            <w:tcW w:w="814" w:type="dxa"/>
          </w:tcPr>
          <w:p w14:paraId="4D179BD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Отско-чивших </w:t>
            </w:r>
          </w:p>
        </w:tc>
        <w:tc>
          <w:tcPr>
            <w:tcW w:w="828" w:type="dxa"/>
          </w:tcPr>
          <w:p w14:paraId="1DC154E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Всего оскол. </w:t>
            </w:r>
          </w:p>
        </w:tc>
        <w:tc>
          <w:tcPr>
            <w:tcW w:w="1282" w:type="dxa"/>
          </w:tcPr>
          <w:p w14:paraId="1CE3E43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smallCaps/>
                <w:color w:val="000000" w:themeColor="text1"/>
                <w:sz w:val="16"/>
                <w:szCs w:val="16"/>
              </w:rPr>
              <w:t>убойных</w:t>
            </w:r>
          </w:p>
        </w:tc>
      </w:tr>
      <w:tr w:rsidR="006B0687" w:rsidRPr="00640820" w14:paraId="26586493" w14:textId="77777777" w:rsidTr="000D3BCB">
        <w:trPr>
          <w:trHeight w:val="20"/>
        </w:trPr>
        <w:tc>
          <w:tcPr>
            <w:tcW w:w="2074" w:type="dxa"/>
          </w:tcPr>
          <w:p w14:paraId="70DF8B0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I . Авиаграната АГ-2 Фото-смесь </w:t>
            </w:r>
          </w:p>
        </w:tc>
        <w:tc>
          <w:tcPr>
            <w:tcW w:w="986" w:type="dxa"/>
          </w:tcPr>
          <w:p w14:paraId="4AE58B7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I </w:t>
            </w:r>
          </w:p>
        </w:tc>
        <w:tc>
          <w:tcPr>
            <w:tcW w:w="835" w:type="dxa"/>
          </w:tcPr>
          <w:p w14:paraId="632370A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5 </w:t>
            </w:r>
          </w:p>
        </w:tc>
        <w:tc>
          <w:tcPr>
            <w:tcW w:w="814" w:type="dxa"/>
          </w:tcPr>
          <w:p w14:paraId="61A5812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2558576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2" w:type="dxa"/>
          </w:tcPr>
          <w:p w14:paraId="491E315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B0687" w:rsidRPr="00640820" w14:paraId="68CE6FA4" w14:textId="77777777" w:rsidTr="000D3BCB">
        <w:trPr>
          <w:trHeight w:val="20"/>
        </w:trPr>
        <w:tc>
          <w:tcPr>
            <w:tcW w:w="2074" w:type="dxa"/>
            <w:tcBorders>
              <w:bottom w:val="single" w:sz="12" w:space="0" w:color="auto"/>
            </w:tcBorders>
          </w:tcPr>
          <w:p w14:paraId="2817203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 Авиагранита АГ-2 Тротил -заливка. </w:t>
            </w:r>
          </w:p>
        </w:tc>
        <w:tc>
          <w:tcPr>
            <w:tcW w:w="986" w:type="dxa"/>
            <w:tcBorders>
              <w:bottom w:val="single" w:sz="12" w:space="0" w:color="auto"/>
            </w:tcBorders>
          </w:tcPr>
          <w:p w14:paraId="1A3AA18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12 </w:t>
            </w:r>
          </w:p>
        </w:tc>
        <w:tc>
          <w:tcPr>
            <w:tcW w:w="835" w:type="dxa"/>
            <w:tcBorders>
              <w:bottom w:val="single" w:sz="12" w:space="0" w:color="auto"/>
            </w:tcBorders>
          </w:tcPr>
          <w:p w14:paraId="5653E54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«0 </w:t>
            </w:r>
          </w:p>
        </w:tc>
        <w:tc>
          <w:tcPr>
            <w:tcW w:w="814" w:type="dxa"/>
            <w:tcBorders>
              <w:bottom w:val="single" w:sz="12" w:space="0" w:color="auto"/>
            </w:tcBorders>
          </w:tcPr>
          <w:p w14:paraId="6B8FACD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21 </w:t>
            </w:r>
          </w:p>
        </w:tc>
        <w:tc>
          <w:tcPr>
            <w:tcW w:w="828" w:type="dxa"/>
            <w:tcBorders>
              <w:bottom w:val="single" w:sz="12" w:space="0" w:color="auto"/>
            </w:tcBorders>
          </w:tcPr>
          <w:p w14:paraId="01E651A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73 </w:t>
            </w:r>
          </w:p>
        </w:tc>
        <w:tc>
          <w:tcPr>
            <w:tcW w:w="1282" w:type="dxa"/>
            <w:tcBorders>
              <w:bottom w:val="single" w:sz="12" w:space="0" w:color="auto"/>
            </w:tcBorders>
          </w:tcPr>
          <w:p w14:paraId="7BD656D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17 </w:t>
            </w:r>
          </w:p>
        </w:tc>
      </w:tr>
    </w:tbl>
    <w:p w14:paraId="529DC8F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Убойность осколков гранаты, снаряженной фотосмесью, незначительна в сравнении c троттиловымснаряжением. Боль</w:t>
      </w:r>
      <w:r w:rsidRPr="00640820">
        <w:rPr>
          <w:rFonts w:ascii="Times New Roman" w:hAnsi="Times New Roman"/>
          <w:color w:val="000000" w:themeColor="text1"/>
          <w:sz w:val="16"/>
          <w:szCs w:val="16"/>
        </w:rPr>
        <w:softHyphen/>
        <w:t>шинство осколков гранаты снаряженной фотосмесью распола</w:t>
      </w:r>
      <w:r w:rsidRPr="00640820">
        <w:rPr>
          <w:rFonts w:ascii="Times New Roman" w:hAnsi="Times New Roman"/>
          <w:color w:val="000000" w:themeColor="text1"/>
          <w:sz w:val="16"/>
          <w:szCs w:val="16"/>
        </w:rPr>
        <w:softHyphen/>
        <w:t>гается на расотоявии 5-ти метров от места подрыва.</w:t>
      </w:r>
    </w:p>
    <w:p w14:paraId="0A334BC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Дробление корпуса гранаты снаряженной тротилом, полученное на испытаниях - нерациональное, осколки полу</w:t>
      </w:r>
      <w:r w:rsidRPr="00640820">
        <w:rPr>
          <w:rFonts w:ascii="Times New Roman" w:hAnsi="Times New Roman"/>
          <w:color w:val="000000" w:themeColor="text1"/>
          <w:sz w:val="16"/>
          <w:szCs w:val="16"/>
        </w:rPr>
        <w:softHyphen/>
        <w:t>чается слишком мелкие и являются мало эффективными для поражения самолетов, что объясняется несоответствием химического состава сталиотого чугуна в части марганца, серы и фосфора.</w:t>
      </w:r>
    </w:p>
    <w:p w14:paraId="6CEFC76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Наземные испытания кассет</w:t>
      </w:r>
    </w:p>
    <w:p w14:paraId="45C24CC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наземных условиях производилась примерка гранат в кассеты и проверка работы кассет сбрасыванием гранат.</w:t>
      </w:r>
    </w:p>
    <w:p w14:paraId="4A095B4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кажой касеты было произведено по 5 сбрасываний на землю 10 корпусов АГ-2. Кассеты работали безотказно.</w:t>
      </w:r>
    </w:p>
    <w:p w14:paraId="63FF372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Воздушные испытания АГ-2 и кассет к ним.</w:t>
      </w:r>
    </w:p>
    <w:p w14:paraId="50F3281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проверки прочности кассет и креплений их на самолет было выполнено по два растрясочных полета с каждой кассетой, снаряженнной АГ-2</w:t>
      </w:r>
    </w:p>
    <w:p w14:paraId="1B559CD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осмотре кассет после полетов, никаких повреждений и деформаций не обнаружено.</w:t>
      </w:r>
    </w:p>
    <w:p w14:paraId="3E6E136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Сбрасывание АГ-2 из кассет производилось по одной штуке и залпамидо 10 штук с высот от 50 до 500 м, при скорости с-та от 360 до 450 км/час, как на горизонтальном прямолинейном полете, так и на пикировании и вираже.</w:t>
      </w:r>
    </w:p>
    <w:p w14:paraId="1FEB64E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Испытания на с-те СБ</w:t>
      </w:r>
    </w:p>
    <w:p w14:paraId="248BEAB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 было сброшено АГ-2 - 119 штук с горизонтального полета. При сбрасывании АГ-2 из кассеты с механическим управлением, имели место два случая самопроизвольного выпадания АГ-2 в воздухе и один случай зависания ее в ячейке кассеты.</w:t>
      </w:r>
    </w:p>
    <w:p w14:paraId="26B8F3D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Испытания на с-те Ил-2</w:t>
      </w:r>
    </w:p>
    <w:p w14:paraId="206EFB7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 было сброшено АГ-2 - 140 штук с горизонтального полета.</w:t>
      </w:r>
    </w:p>
    <w:p w14:paraId="5CB0AEF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Кассета с электромагнитным управлением работала безотказно.</w:t>
      </w:r>
    </w:p>
    <w:p w14:paraId="0135D55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Испытание на самолете МиГ-3</w:t>
      </w:r>
    </w:p>
    <w:p w14:paraId="09460B4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 было сброшено АГ-2 - 40 штук с горизонтального полета и на пикировании, под углом до 70 гр.</w:t>
      </w:r>
    </w:p>
    <w:p w14:paraId="5F2B5DC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Кассета с электомагнитным управлением работала без</w:t>
      </w:r>
      <w:r w:rsidRPr="00640820">
        <w:rPr>
          <w:rFonts w:ascii="Times New Roman" w:hAnsi="Times New Roman"/>
          <w:color w:val="000000" w:themeColor="text1"/>
          <w:sz w:val="16"/>
          <w:szCs w:val="16"/>
        </w:rPr>
        <w:softHyphen/>
        <w:t>отказно.</w:t>
      </w:r>
    </w:p>
    <w:p w14:paraId="1DB8E54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Разрывы АГ-2 происходили на безопасном для своего самолета расстоянии в пределах 120-200 метров по направле</w:t>
      </w:r>
      <w:r w:rsidRPr="00640820">
        <w:rPr>
          <w:rFonts w:ascii="Times New Roman" w:hAnsi="Times New Roman"/>
          <w:color w:val="000000" w:themeColor="text1"/>
          <w:sz w:val="16"/>
          <w:szCs w:val="16"/>
        </w:rPr>
        <w:softHyphen/>
        <w:t>нию полета и оо снижением по вертикали до 25 м.</w:t>
      </w:r>
    </w:p>
    <w:p w14:paraId="5941D33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301 сброшенных АГ-2 получено 11 отказов, из них:</w:t>
      </w:r>
    </w:p>
    <w:p w14:paraId="4D51358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отказа из-за невоспламенения капсюля,</w:t>
      </w:r>
    </w:p>
    <w:p w14:paraId="3F7E831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отказов из-за невоспламенения замедлителя,</w:t>
      </w:r>
    </w:p>
    <w:p w14:paraId="73789C9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 отказ аз-за погнутости ударяика,</w:t>
      </w:r>
    </w:p>
    <w:p w14:paraId="751B46E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 отказ из-за отсутствия ударника /не поставлен при сборке/.</w:t>
      </w:r>
    </w:p>
    <w:p w14:paraId="327B2EA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Общий процент отказов АГ-2 состалмяет 3,6 %</w:t>
      </w:r>
    </w:p>
    <w:p w14:paraId="3AB8D14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процессе испытаний две гранаты были выброшены в воздухе вручную, в нижнии люк стрелка-радиста самолета ПЕ-2. Пии этом крышки парашютвой коробки были приоткрыты и придерживались пальцем. Обе гранаты сработали нормально.</w:t>
      </w:r>
    </w:p>
    <w:p w14:paraId="5F421F4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выводах по полигонным испытаниям АГ-2, НИП АВ отмечает, что:</w:t>
      </w:r>
    </w:p>
    <w:p w14:paraId="06B702B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АГ-2 по безопасвости действия, безопасности свево</w:t>
      </w:r>
      <w:r w:rsidRPr="00640820">
        <w:rPr>
          <w:rFonts w:ascii="Times New Roman" w:hAnsi="Times New Roman"/>
          <w:color w:val="000000" w:themeColor="text1"/>
          <w:sz w:val="16"/>
          <w:szCs w:val="16"/>
        </w:rPr>
        <w:softHyphen/>
        <w:t>го применения и экоплоатационным данным, показала положи</w:t>
      </w:r>
      <w:r w:rsidRPr="00640820">
        <w:rPr>
          <w:rFonts w:ascii="Times New Roman" w:hAnsi="Times New Roman"/>
          <w:color w:val="000000" w:themeColor="text1"/>
          <w:sz w:val="16"/>
          <w:szCs w:val="16"/>
        </w:rPr>
        <w:softHyphen/>
        <w:t>тельные результаты.</w:t>
      </w:r>
    </w:p>
    <w:p w14:paraId="35F0267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Из пред"явленных на полигонные испытания кассет, лучшие результаты по конструктивным, производственным и эксплоатационзым данный и весу - показала кассета с электромагнитным управлением. Механическое управление кассет в эксплоатации - неудобно.</w:t>
      </w:r>
    </w:p>
    <w:p w14:paraId="590039A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Предъявленная гранатная кассета, может бытъ рекомендована для установка на самолеты СБ, ДБ-3 и ИЛ- 2.</w:t>
      </w:r>
    </w:p>
    <w:p w14:paraId="78AFE19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заключении по испытаниям НИП АВ указывает, что:</w:t>
      </w:r>
    </w:p>
    <w:p w14:paraId="0E6EC46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Предъявленные авиационные гранаты АГ-2 и кассета к ним с электромагнитным приводом КГ-10 - полигонные испы</w:t>
      </w:r>
      <w:r w:rsidRPr="00640820">
        <w:rPr>
          <w:rFonts w:ascii="Times New Roman" w:hAnsi="Times New Roman"/>
          <w:color w:val="000000" w:themeColor="text1"/>
          <w:sz w:val="16"/>
          <w:szCs w:val="16"/>
        </w:rPr>
        <w:softHyphen/>
        <w:t>тания выдержала.</w:t>
      </w:r>
    </w:p>
    <w:p w14:paraId="4A71C68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Применение АГ-2 для защиты задней полусферы самолета тактически целесообразно.</w:t>
      </w:r>
    </w:p>
    <w:p w14:paraId="09DA602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Устранить недостатки, указанные в отчете. Впредь до отработки эффективной рецептуры ВВ, снаряжать АГ-2 тротилом.</w:t>
      </w:r>
    </w:p>
    <w:p w14:paraId="19A828C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Рекомендовать для серийного производства гранат</w:t>
      </w:r>
      <w:r w:rsidRPr="00640820">
        <w:rPr>
          <w:rFonts w:ascii="Times New Roman" w:hAnsi="Times New Roman"/>
          <w:color w:val="000000" w:themeColor="text1"/>
          <w:sz w:val="16"/>
          <w:szCs w:val="16"/>
        </w:rPr>
        <w:softHyphen/>
        <w:t>ную кассету на 10 гранат с электромагнитным управлением для установки на самолетах СБ, ДБ-3 и ИЛ-2.</w:t>
      </w:r>
    </w:p>
    <w:p w14:paraId="6330A43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 12 упр</w:t>
      </w:r>
      <w:r w:rsidRPr="00640820">
        <w:rPr>
          <w:rFonts w:ascii="Times New Roman" w:hAnsi="Times New Roman"/>
          <w:smallCaps/>
          <w:color w:val="000000" w:themeColor="text1"/>
          <w:sz w:val="16"/>
          <w:szCs w:val="16"/>
        </w:rPr>
        <w:t>. гу ВВС</w:t>
      </w:r>
      <w:r w:rsidRPr="00640820">
        <w:rPr>
          <w:rFonts w:ascii="Times New Roman" w:hAnsi="Times New Roman"/>
          <w:color w:val="000000" w:themeColor="text1"/>
          <w:sz w:val="16"/>
          <w:szCs w:val="16"/>
        </w:rPr>
        <w:t xml:space="preserve"> К.</w:t>
      </w:r>
      <w:r w:rsidRPr="00640820">
        <w:rPr>
          <w:rFonts w:ascii="Times New Roman" w:hAnsi="Times New Roman"/>
          <w:smallCaps/>
          <w:color w:val="000000" w:themeColor="text1"/>
          <w:sz w:val="16"/>
          <w:szCs w:val="16"/>
        </w:rPr>
        <w:t>а.</w:t>
      </w:r>
    </w:p>
    <w:p w14:paraId="5C17E67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Представленный НИП АВ ГУ ВВС НА отчет по полигонным испытаниям авиационных гранат АГ-2 конструкции ГСКБ-47 и кассет к ним конструкции КГ-1 завода № 32 НКАП -УТВВРДИТЬ.</w:t>
      </w:r>
    </w:p>
    <w:p w14:paraId="1BF0FD9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Считать, что авиационные гранаты АГ-2 и кас</w:t>
      </w:r>
      <w:r w:rsidRPr="00640820">
        <w:rPr>
          <w:rFonts w:ascii="Times New Roman" w:hAnsi="Times New Roman"/>
          <w:color w:val="000000" w:themeColor="text1"/>
          <w:sz w:val="16"/>
          <w:szCs w:val="16"/>
        </w:rPr>
        <w:softHyphen/>
        <w:t>сеты к ним о электромагнитным управление - полигонные испытания выдержали.</w:t>
      </w:r>
    </w:p>
    <w:p w14:paraId="073DFAC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Рекомендовать авиационные гранаты АГ-2 к вво</w:t>
      </w:r>
      <w:r w:rsidRPr="00640820">
        <w:rPr>
          <w:rFonts w:ascii="Times New Roman" w:hAnsi="Times New Roman"/>
          <w:color w:val="000000" w:themeColor="text1"/>
          <w:sz w:val="16"/>
          <w:szCs w:val="16"/>
        </w:rPr>
        <w:softHyphen/>
        <w:t>ду на вооружение ВВС Красной Армия.</w:t>
      </w:r>
    </w:p>
    <w:p w14:paraId="6FC9709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Просить Н.К.А.П.: -</w:t>
      </w:r>
    </w:p>
    <w:p w14:paraId="1DF2213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Изготовить в течение сентября-октября вес. 1941 г. 100 штук кассет с электромагнитный запиранием, для уста</w:t>
      </w:r>
      <w:r w:rsidRPr="00640820">
        <w:rPr>
          <w:rFonts w:ascii="Times New Roman" w:hAnsi="Times New Roman"/>
          <w:color w:val="000000" w:themeColor="text1"/>
          <w:sz w:val="16"/>
          <w:szCs w:val="16"/>
        </w:rPr>
        <w:softHyphen/>
        <w:t>новки ич на самолеты по указанию ГУ ВВС КА .</w:t>
      </w:r>
    </w:p>
    <w:p w14:paraId="6CF0D6E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Срочно спроектировав, изготоаить и подать на полигоииые испытания анутрифюзеляжные кассеты для АГ-2 к самолетам: ПЕ-2, СУ-2, МиГ-3, ЛАГГ-3, ЯК-1.</w:t>
      </w:r>
    </w:p>
    <w:p w14:paraId="6E7238C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Просить ГСКБ-47:</w:t>
      </w:r>
    </w:p>
    <w:p w14:paraId="2EF9461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Срочно отработать наивыгоднейшую рецептуру взрыв</w:t>
      </w:r>
      <w:r w:rsidRPr="00640820">
        <w:rPr>
          <w:rFonts w:ascii="Times New Roman" w:hAnsi="Times New Roman"/>
          <w:color w:val="000000" w:themeColor="text1"/>
          <w:sz w:val="16"/>
          <w:szCs w:val="16"/>
        </w:rPr>
        <w:softHyphen/>
        <w:t>чатого аещестш, которая бы обеспечивала получение при разрыве АГ-2 не менее 70-100 штук убойных осколков с общим весом 1000-1400 грамм. при химическом составе ст. чугуна по ТУ 0481</w:t>
      </w:r>
    </w:p>
    <w:p w14:paraId="2C01EC4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б/Разработать я представить на утверждение в ГУ ВВС КА к 10-му Сентября с.г. техническую документацию на АГ-2 /чертежи, ТУ - описание и инструкцию по применение АГ-2/.</w:t>
      </w:r>
    </w:p>
    <w:p w14:paraId="60D2C53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НТЖ разослать:</w:t>
      </w:r>
    </w:p>
    <w:p w14:paraId="10E4FC9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Экз. №№ 1 и 2 - Отделен. чертеж, и ТУ 12 Упр. ГУ ВВС КА</w:t>
      </w:r>
    </w:p>
    <w:p w14:paraId="3BBB016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3 - Государственный Комитет обороны</w:t>
      </w:r>
    </w:p>
    <w:p w14:paraId="1030958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4 Отдел Авиабоеприпасов НКБ</w:t>
      </w:r>
    </w:p>
    <w:p w14:paraId="32E4DA6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5 7 Главн.Упрааяеяие НКАП</w:t>
      </w:r>
    </w:p>
    <w:p w14:paraId="109B2EA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6 ГСКБ-47 НКБ</w:t>
      </w:r>
    </w:p>
    <w:p w14:paraId="2C5AA8D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7 КБ-1 завода № 32</w:t>
      </w:r>
    </w:p>
    <w:p w14:paraId="2D0B517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8 НИП АВ ГУ ВВС КА.</w:t>
      </w:r>
    </w:p>
    <w:p w14:paraId="264004A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12 УПРАЗЛВНИЯ ГУ ВВС КА БРИГИНЖЕНЕР - /Солатов/</w:t>
      </w:r>
    </w:p>
    <w:p w14:paraId="00FFB27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ОПЫТНОГО ОТДЕЛА 12 УПР. ГУ ВВС КА</w:t>
      </w:r>
    </w:p>
    <w:p w14:paraId="6C6E6EB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ВОЕНИНЖЕНЕР I РАНГА - /Матаев/ (4156,194).</w:t>
      </w:r>
    </w:p>
    <w:p w14:paraId="639A93D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265C06" w14:textId="77777777" w:rsidR="00DE7CDD" w:rsidRPr="00640820" w:rsidRDefault="00DE7CD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сентября 1941 г. директор завода № 600 В.Еськов направил две докладные записки о работе завода за июль-август 1941 г. – одну на имя замнаркома авиапрома СССР Воронина и вторую – на имя наркома авиапрома Шахурина. В записке на имя Воронина отмечалось, что завод уже сдал заказчику 111 самолётов И-16 из числа 143, предусмотренных плановым заданием; оставшиеся самолёты будут собраны и сданы заказчику к 15.ХI.41 г., что позволит закончить годовую программу на 1,5 месяца раньше правительственного плана. Для своевременной подготовки производства к изготовлению другого объекта, отмечал он, необходимо иметь дальнейшее задание – программу на конец 1941 и 1942 год. Отсутствие программы вызовет простой основных производственных цехов, с количеством рабочих и ИТР 67 человек. Исходя из этого, Еськов ставил вопрос так: «… Прошу Вас содействовать заводу в разрешении следующих вопросов: 1. Разрешить мне принять от одного из близ расположенных заводов заказ на изготовление авиационных агрегатов, или 2. Перестроить завод с самолетно-сборочного в самолетностроительный с годовым выпуском 300 одномоторных истребителей, для чего разрешить заводу осуществить строительство:» (перечисляются три производственных цеха, склад материалов, ангар для хранения самолётов и жилищно-бытовое строительство). Это предложение Еськов повторил и в Докладной записке на имя А.И.Шахурина. [4] До выпуска истребителей дело не дошло, однако новая производственная программа была установлена. В октябре 1941 г. завод получил задание освоить выпуск запчастей к И-16, ЛаГГ-3 и Як-7б (19006).</w:t>
      </w:r>
    </w:p>
    <w:p w14:paraId="26A51F82" w14:textId="77777777" w:rsidR="00DE7CDD" w:rsidRPr="00640820" w:rsidRDefault="00DE7CDD" w:rsidP="00640820">
      <w:pPr>
        <w:spacing w:after="0" w:line="240" w:lineRule="auto"/>
        <w:jc w:val="both"/>
        <w:rPr>
          <w:rFonts w:ascii="Times New Roman" w:hAnsi="Times New Roman"/>
          <w:color w:val="000000" w:themeColor="text1"/>
          <w:sz w:val="16"/>
          <w:szCs w:val="16"/>
        </w:rPr>
      </w:pPr>
    </w:p>
    <w:p w14:paraId="27B68316"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1FCFBA10"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7E6832F" w14:textId="77777777" w:rsidR="00340C10" w:rsidRPr="00640820" w:rsidRDefault="00340C10" w:rsidP="00640820">
      <w:pPr>
        <w:shd w:val="clear" w:color="auto" w:fill="FFFFFF"/>
        <w:spacing w:after="0" w:line="240" w:lineRule="auto"/>
        <w:jc w:val="both"/>
        <w:rPr>
          <w:rFonts w:ascii="Times New Roman" w:eastAsia="Times New Roman" w:hAnsi="Times New Roman"/>
          <w:color w:val="0070C0"/>
          <w:sz w:val="16"/>
          <w:szCs w:val="16"/>
          <w:lang w:eastAsia="ru-RU"/>
        </w:rPr>
      </w:pPr>
      <w:r w:rsidRPr="00640820">
        <w:rPr>
          <w:rFonts w:ascii="Times New Roman" w:eastAsia="Times New Roman" w:hAnsi="Times New Roman"/>
          <w:color w:val="0070C0"/>
          <w:sz w:val="16"/>
          <w:szCs w:val="16"/>
          <w:lang w:eastAsia="ru-RU"/>
        </w:rPr>
        <w:t>9 сентября 1941 года, Котин был легко ранен осколками стекла во время обстрела Кировского Завода (20860).</w:t>
      </w:r>
    </w:p>
    <w:p w14:paraId="31436702" w14:textId="77777777" w:rsidR="00340C10" w:rsidRPr="00640820" w:rsidRDefault="00340C10" w:rsidP="00640820">
      <w:pPr>
        <w:shd w:val="clear" w:color="auto" w:fill="FFFFFF"/>
        <w:spacing w:after="0" w:line="240" w:lineRule="auto"/>
        <w:jc w:val="both"/>
        <w:rPr>
          <w:rFonts w:ascii="Times New Roman" w:eastAsia="Times New Roman" w:hAnsi="Times New Roman"/>
          <w:color w:val="0070C0"/>
          <w:sz w:val="16"/>
          <w:szCs w:val="16"/>
          <w:lang w:eastAsia="ru-RU"/>
        </w:rPr>
      </w:pPr>
    </w:p>
    <w:p w14:paraId="7F21AD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сентября 1941 вышло Постановление ГКО № 649 О полной эвакуации Волховского алюминиевого и Тихвинского глиноземного заводов, а также Тихвинских бокситовых рудников Наркомцветмета. РГАНИР, Фонд ГКО, д. 9, лл. 8-9, 10-14 (11012).</w:t>
      </w:r>
    </w:p>
    <w:p w14:paraId="4A16C3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649BC4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сентября 1941 года вышел приказ № 444с НКВ</w:t>
      </w:r>
    </w:p>
    <w:p w14:paraId="35C80AF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исполнение Постановления СНК от 4 сентября 1941 года за № 2035-925 сс</w:t>
      </w:r>
    </w:p>
    <w:p w14:paraId="565886A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Заводу № 2 немедленно принять Ковровский топочный завод им. Малеева и Кангина от Наркомтяжмаша на правах филиала завода № 2 под производство специальных станков (6305, 40).</w:t>
      </w:r>
    </w:p>
    <w:p w14:paraId="1D32C35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7C67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сентября 1941 года были утверждены:</w:t>
      </w:r>
    </w:p>
    <w:p w14:paraId="22A407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Уставы заводов №№ 614 и 621 НКВ (9199).</w:t>
      </w:r>
    </w:p>
    <w:p w14:paraId="09CE73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0220FF9"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45CB9C66"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F3BBFD6"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сентября в 1941 году утреннее сообщение Совинформбюро:</w:t>
      </w:r>
    </w:p>
    <w:p w14:paraId="223B32DC"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ночь на 9 сентября наши войска продолжали бои с противником на всём фронте.</w:t>
      </w:r>
    </w:p>
    <w:p w14:paraId="541AEBA7"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подступах к Одессе противник несёт тяжёлые потери. За десять последних дней румыны потеряли более 20.000 солдат и офицеров. Поле боя сплошь усеяно трупами румынских солдат. Особенно сильно пострадали в этих боях румынская гвардейская дивизия, 11, 21 и 1 пограничная дивизии румынской армии.</w:t>
      </w:r>
    </w:p>
    <w:p w14:paraId="27CF3552"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Героически сражается с врагом первый полк морской пехоты Черноморского флота. Краснофлотцы по нескольку раз в день ходят в атаку и наносят противнику огромный урон. Только за три дня бойцы первого полка морской пехоты уничтожили до двух полков румынской пехоты, 4 танка, много автомашин, орудий и пулемётов. Среди трофеев, захваченных у румын, — 6 танков, 18 пушек, несколько сот винтовок, много патронов, 8 миномётов, 20 автоматов, 17 пулемётов, несколько тысяч снарядов и много ручных гранат. Краснофлотцы захватили в плен более 200 румынских пехотинцев и эскадрон королевской кавалерии во главе с командиром.</w:t>
      </w:r>
    </w:p>
    <w:p w14:paraId="533D417C"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Красноармеец тов. Филин обнаружил замаскированное германское орудие. Бесстрашный боец незаметно подполз к вражескому орудию и несколькими гранатами уничтожил его вместе с расчётом. На взрывы прибежала группа фашистов. Они окружили смельчака-красноармейца и хотели захватить его живым в плен. Когда немцы вплотную подбежали к тов. Филину, он бросил последнюю гранату. Раздался взрыв, несколько фашистских солдат были поражены насмерть. Герой-красноармеец погиб смертью храбрых.</w:t>
      </w:r>
    </w:p>
    <w:p w14:paraId="700622D0"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Пулемётная рота под командованием младшего политрука Куренкова несколько часов отражала натиск численно превосходящего противника. Отважные пулемётчики подпускали фашистов вплотную к окопам и хладнокровно расстреливали их пулемётным огнём. Когда вражеская часть прекратила атаки и отошла, на поле боя осталось около 200 трупов фашистских солдат.</w:t>
      </w:r>
    </w:p>
    <w:p w14:paraId="36726D90"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Отвагу и находчивость проявляют бойцы, командиры и политработники Красной Армии в боях с немецко-фашистскими войсками. Два отделения красноармейцев во главе с младшим лейтенантом тов. Груниным были отрезаны от своей части и окружены двумя ротами немцев. Бойцы быстро окопались и, заняв круговую оборону, открыли из винтовок и пулемётов огонь по фашистам. Четырежды раненный, боец тов. Попов не выпускал винтовку, продолжая поражать врага. Красноармеец Макеев получил три ранения, но продолжал сражаться. Поле покрылось убитыми и ранеными немцами. Уничтожив более 100 немецких солдат и офицеров, красноармейцы прорвались к своей части.</w:t>
      </w:r>
    </w:p>
    <w:p w14:paraId="5EE20BA5"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Небольшая группа бойцов и командиров отразила три вражеские атаки на командный пункт части майора Михайлова. В этих боях отличился командир отделения, бакинский рабочий тов. Гребенников. Он выдвинул вперёд свой пулемёт и в упор расстреливал фашистов. Противник отступил, оставив на поле боя 25 убитых и оружие.</w:t>
      </w:r>
    </w:p>
    <w:p w14:paraId="20E5AD15"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Техник-интендант 2 ранга тов. Рябов направлялся из штаба в свою часть. По дороге он узнал от крестьян, что неподалеку наше небольшое подразделение ведёт бой с многочисленной группой фашистов. Рябов скрытно пробрался в тыл к врагу и, замаскировавшись, начал обстреливать немцев. С первых же выстрелов он уложил миномётчика и пулемётный расчёт. Фашисты попытались захватить в плен отважного командира. Отстреливаясь от наседавших фашистов, тов. Рябов уничтожил ещё 10 немецких солдат. В это время наше подразделение перешло в атаку и выбило немцев с их позиции.</w:t>
      </w:r>
    </w:p>
    <w:p w14:paraId="262DC6F0"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Хозяевами положения во многих районах, захваченных немецко-фашистскими войсками, фактически являются партизаны. Они изматывают немцев, создают невыносимые для них условия. Отряд под командованием тракториста орденоносца тов. М. уничтожил в городе Порхов крупные немецкие базы боеприпасов и горючего. Ночью небольшая группа партизан подожгла за городом склады с сеном и открыла стрельбу. В городе поднялась тревога. Немецкие солдаты бросились к месту пожара, откуда доносилась стрельба. Но у стогов уже никого не оказалось. Тем временем главные силы отряда вступили в Порхов с другого конца и направились к складам, огороженным колючей проволокой. С разных сторон в часовых полетели гранаты. Покончив с часовыми, партизаны подожгли горючее и взорвали склады с боеприпасами.</w:t>
      </w:r>
    </w:p>
    <w:p w14:paraId="4535A387"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Струго-Красненском районе партизанский отряд под командованием депутата районного Совета депутатов трудящихся тов. В. уничтожил группу немецких велосипедистов и захватил радиостанцию. Отряд атаковал взвод фашистских солдат, направлявшийся в районный центр. Фашисты потеряли свыше 30 человек убитыми и ранеными. Партизаны захватили в этом бою автомашину, 3 пулемёта и 24 винтовки. В Середкинском районе партизаны поймали 15 фашистских мародёров, увозивших в тыл на трёх автомашинах награбленное у крестьян добро. В короткой схватке мародёры были перебиты.</w:t>
      </w:r>
    </w:p>
    <w:p w14:paraId="35CF50AE"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Самоотверженно работают советские горняки, укрепляя оборонную мощь страны. Навалоотбойщик шахты «За индустриализацию», Шахтинского района, т. Бондаренко выполнил свою десятимесячную программу. Крепильщик этой шахты т. Маричев закончил выполнение одиннадцатимесячной нормы. Изо дня в день бригада навалоотбойщика т. Горбункова выдаёт по 120-130 тонн угля в смену при норме 80. Навалоотбойщики т.т. Ткачёв, Иглов, Андриасов, Торопов и Бодаренко выдают 33-35 тонн угля вместо 19 по норме. Горловский шахтёр тов. Паршук вырабатывает ежедневно две-две с половиной дневные нормы. Крепильщики т.т. Сафронов, Тискович, Киреев и Маляр за 5 дней выполнили месячное задание. Забойщик одной из шахт Орджоникидзевского района, Сталинской области, т. Беликов за семь с половиной месяцев в полтора раза перевыполнил годовую норму.» (14764).</w:t>
      </w:r>
    </w:p>
    <w:p w14:paraId="6D56E67E" w14:textId="77777777" w:rsidR="00E73430" w:rsidRPr="00640820" w:rsidRDefault="00E73430" w:rsidP="00640820">
      <w:pPr>
        <w:spacing w:after="0" w:line="240" w:lineRule="auto"/>
        <w:jc w:val="both"/>
        <w:rPr>
          <w:rFonts w:ascii="Times New Roman" w:hAnsi="Times New Roman"/>
          <w:color w:val="000000" w:themeColor="text1"/>
          <w:sz w:val="16"/>
          <w:szCs w:val="16"/>
        </w:rPr>
      </w:pPr>
    </w:p>
    <w:p w14:paraId="39D57453"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сентября в 1941 году вечернее сообщение Совинформбюро:</w:t>
      </w:r>
    </w:p>
    <w:p w14:paraId="4CDC5411"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9 сентября наши войска вели упорные бои с противником на всём фронте.</w:t>
      </w:r>
    </w:p>
    <w:p w14:paraId="3B91E7B1"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Наша авиация наносила удары по войскам противника на поле боя и уничтожала авиацию на его аэродромах.</w:t>
      </w:r>
    </w:p>
    <w:p w14:paraId="67725122"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7 сентября в воздушных боях, огнём зенитной артиллерии и на аэродромах противника уничтожен 71 немецкий самолёт. Наши потери — 24 самолёта.</w:t>
      </w:r>
    </w:p>
    <w:p w14:paraId="279F6B68"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Днём 9 сентября близ Москвы сбиты 2 немецких самолёта-разведчика.</w:t>
      </w:r>
    </w:p>
    <w:p w14:paraId="29E83765"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части под командованием тов. Чижова стремительным ударом опрокинули и отбросили группу германских войск на Западном направлении фронта. Особенно ожесточённые бои развернулись на окраинах деревни Чаусы. При поддержке танковой роты старшего лейтенанта Гремина красноармейцы ворвались в деревню и ударили во фланг немцам. Выбитый из деревни враг отступил, неся большие потери. За три дня боёв соединение полковника Чижова уничтожило 2.500 солдат и офицеров и захватило в плен 312 немецких солдат. Наши трофеи — 11 орудий, 17 миномётов, 41 пулемёт, 19 автоматов, 97 автомашин, 16 мотоциклов, 109 велосипедов.</w:t>
      </w:r>
    </w:p>
    <w:p w14:paraId="4CA1E386"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ожесточённом бою командир танка тов. Журук метким огнём уничтожил три фашистских танка. После боя, когда тов. Журук вёл свой танк на сборный пункт, на него пикировал фашистский бомбардировщик. Пулемётным огнём тов. Журук подбил немецкий самолёт. Вражеский бомбардировщик загорелся и упал в болото.</w:t>
      </w:r>
    </w:p>
    <w:p w14:paraId="79A2709B"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Северном фронте наши части, преследуя противника у Пиньгосальма, захватили 2 танка, 6 орудий, 6 противотанковых пушек, большое количество боеприпасов и разного другого вооружения. На другом участке этого фронта у противника отбито 54 станковых и ручных пулемёта, 8 орудий разных калибров и много винтовок.</w:t>
      </w:r>
    </w:p>
    <w:p w14:paraId="67C6DDD9"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Западном направлении фронта одна наша танковая часть уничтожила до двух рот противника, 17 противотанковых орудий и 10 миномётов. В бою за местечко Жаберо наша часть разгромила роту самокатчиков 451 немецкого пехотного полка.</w:t>
      </w:r>
    </w:p>
    <w:p w14:paraId="5339AB44"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Бомбардировщики авиачасти тов. Юкалова, действующей на Северо-Западном направлении фронта, совершили успешный ночной налёт на один из тыловых немецких аэродромов. Самолёты первого эшелона под командованием капитана Шабанова вышли на цель в точно установленный срок. Одной из бомб был подожжён и взорван склад боеприпасов. Зажигательные бомбы, сброшенные самолётами этого эшелона, вызвали большой пожар в северной части аэродрома. Остальные эшелоны бомбили ярко освещённые вражеские самолёты, расположенные у опушки леса. Уничтожив 15 машин противника, наши самолёты вернулись без потерь на свою базу.</w:t>
      </w:r>
    </w:p>
    <w:p w14:paraId="666C3CF2"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Сотни немецких танков уничтожены нашей авиацией, артиллерией и пехотой в боях на подступах к Киеву. Каждый день истребители танков поджигают и взрывают фашистские машины. Младший лейтенант Шишкин, сержант Ниязов, красноармейцы Долгушев и Рубенцов метко брошенными бутылками с горючим в одном бою уничтожили четыре вражеских танка. После того как экипаж одного из фашистских танков был уничтожен, красноармейцам удалось потушить огонь на этом танке. Танк был доставлен в нашу часть.</w:t>
      </w:r>
    </w:p>
    <w:p w14:paraId="616B09AC"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Отважные партизаны ведут беспощадную борьбу с гитлеровскими бандитами, захватившими советские города, срывают все мероприятия фашистских властей и истребляют живую силу германской армии. В городе Барановичи в течение августа и за первые дни сентября убито 37 фашистских офицеров, 12 германских чиновников из органов городского управления и более 80 солдат. В гор. Вилейка советские патриоты за то же время уничтожили более 70 фашистских офицеров и солдат. Такие же сведения поступают из Витебска, Мозыря, Бреста и многих других оккупированных городов Белоруссии. Белорусские патриоты умело пользуются в борьбе с гитлеровским зверьём таким простым и могучим оружием, как огонь. В Белостоке партизаны подожгли и уничтожили три германских армейских склада, в Вилейке взорвали два склада с боеприпасами, в Бресте подожгли большой продовольственный склад.</w:t>
      </w:r>
    </w:p>
    <w:p w14:paraId="625EEBB1"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Беспримерный героизм проявляют на фронтах Отечественной войны советские медицинские сестры. На днях восьми германским истребителям удалось подбить советский самолёт. Тяжело раненный лётчик Никишин приземлился на аэродроме. Медицинская сестра Людмила Пономарёва, увидев, что лётчик не выходит из кабины самолёта, под пулемётным огнём вражеских истребителей подползла к повреждённой машине и вынесла раненого лётчика в укрытие.</w:t>
      </w:r>
    </w:p>
    <w:p w14:paraId="6E84C7D4"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Через несколько дней полевой госпиталь, в котором работала Людмила Пономарёва, обстреляли два германских самолёта. В загоревшемся доме находились шесть раненых бойцов. Рискуя жизнью, тов. Пономарёва вынесла из горящего дома всех раненых красноармейцев.</w:t>
      </w:r>
    </w:p>
    <w:p w14:paraId="76F30ABF"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своё время немецкое радио сообщило о том, что советская авиация была полностью уничтожена. Как известно, после этого советская авиация продолжала и продолжает успешные бои против немецко-фашистских войск. Теперь вконец изолгавшиеся гитлеровские агенты выкинули новый трюк. Берлинское радио на утеху своему изрядно потрёпанному морскому флоту распространяет глупейшее измышление о том, что будто бы «весь морской флот СССР уничтожен». Это безудержное бахвальство немецких лгунов настолько смехотворно, что даже в самой Германии мало найдётся легковерных людей, которые приняли бы всерьёз это очередное враньё немецкого радио. Если весь советский морской флот уничтожен, спрашивается: кто же топит немецкие и финские транспорты и подводные лодки?» (14764).</w:t>
      </w:r>
    </w:p>
    <w:p w14:paraId="64F02F9B" w14:textId="77777777" w:rsidR="00E73430" w:rsidRPr="00640820" w:rsidRDefault="00E73430" w:rsidP="00640820">
      <w:pPr>
        <w:spacing w:after="0" w:line="240" w:lineRule="auto"/>
        <w:jc w:val="both"/>
        <w:rPr>
          <w:rFonts w:ascii="Times New Roman" w:hAnsi="Times New Roman"/>
          <w:color w:val="000000" w:themeColor="text1"/>
          <w:sz w:val="16"/>
          <w:szCs w:val="16"/>
        </w:rPr>
      </w:pPr>
    </w:p>
    <w:p w14:paraId="6D5F2EA3"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сентября в 1941 году фашисты взяли Чернигов (14764).</w:t>
      </w:r>
    </w:p>
    <w:p w14:paraId="778D218A" w14:textId="77777777" w:rsidR="00E73430" w:rsidRPr="00640820" w:rsidRDefault="00E73430" w:rsidP="00640820">
      <w:pPr>
        <w:spacing w:after="0" w:line="240" w:lineRule="auto"/>
        <w:jc w:val="both"/>
        <w:rPr>
          <w:rFonts w:ascii="Times New Roman" w:hAnsi="Times New Roman"/>
          <w:color w:val="000000" w:themeColor="text1"/>
          <w:sz w:val="16"/>
          <w:szCs w:val="16"/>
        </w:rPr>
      </w:pPr>
    </w:p>
    <w:p w14:paraId="7C4CB4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Рано утром 9 сентября 1941 г. 25 бомбардировщиков вывели из строя подводный кабель между Констанцей и аэродромом Мамайя. Однако более застать противника врасплох уже не удавалось (2694).</w:t>
      </w:r>
    </w:p>
    <w:p w14:paraId="25C5C3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EE763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сентября 1941 г. отличился старший летчик 124-го ИАП мл. л-т Грунин Николай Леонтьевич, таранивший на подступах к Туле дальний разведчик Ju 88A-5 (w/n 0587, борт 6M+DM) из эскадрильи 4.(F)/14, выполнявший задание на участке Вязьма-Орел-Тула. Почти весь немецкий экипаж погиб, лишь командир сумел воспользоваться парашютом и попал в плен. Грунину также пришлось прыгать. Он был награжден орденом Красного Знамени. Погиб в бою 16 сентября 1942 г. (10205).</w:t>
      </w:r>
    </w:p>
    <w:p w14:paraId="7DDB27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B9A33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сентября 1941 маршал Г.И. Кулик "реквизировал" бомбардировочную авиацию флота и подчинил ее в оперативном отношении командиру 7-го стрелкового корпуса П.И. Батову. Экипажам бомбардировщиков в тот период было приказано выполнять по пять боевых вылетов в день! (12042).</w:t>
      </w:r>
    </w:p>
    <w:p w14:paraId="45AC57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F9DB1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сентября 1941 И.В.С. в телеграмме писал: “...Куда девались танки КВ? Где вы их расставили и почему нет никакого улучшения на фронте несмотря на обилие КВ у вас? Ведь ни один фронт не имеет и половинной доли того к-ва КВ, какое имеется у вас на фронте” (5008? 68).</w:t>
      </w:r>
    </w:p>
    <w:p w14:paraId="5FB1A8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D9CB8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сентября 1941 вышло Постановление ГКО № 648 Об организации северо-западной оперативной группы минометных частей М-8 и М-13. РГАНИР, Фонд ГКО, д. 9, лл. 1-2, 3-7 (11012).</w:t>
      </w:r>
    </w:p>
    <w:p w14:paraId="407194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05A12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сентября 1941 вышло Постановление ГКО № 650 О начальнике охраны войскового тыла Южного фронта. РГАНИР, Фонд ГКО, д. 9, лл. 15 (11012).</w:t>
      </w:r>
    </w:p>
    <w:p w14:paraId="7A9677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968E2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сентября 1941 танки Гудериана наступали на Нежин и Военный Совет Ю-ЗФ обратился к И.В.С. с предложением отвести войска из Киева, но И.В.С отказался (2438,311).</w:t>
      </w:r>
    </w:p>
    <w:p w14:paraId="47CD1B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2ADAB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сентября 1941 немцы окружили в районе Киев, Прилуки, Пирятин часть сил ЮЗФ, в т.ч. штаб ВВС (341,59).</w:t>
      </w:r>
    </w:p>
    <w:p w14:paraId="7BA3B8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2F468B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сентября 1941 фашисты взяли Чернигов (4962).</w:t>
      </w:r>
    </w:p>
    <w:p w14:paraId="0561CD6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12E17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сентября 1941 года «П-1» вышла из Кронштадта, имея на борту 19,6 тонн груза. На субмарину погрузили груз продовольствия (154 ящика консервов), боеприпасов (по сотне 130-мм, 100-мм, 76-мм и 45-мм снарядов), медикаментов (1,9 тонн). Переход предполагалось совершить в надводном положении со скоростью 18 узлов. До Гогланда «П-1» шла в сопровождении «БТЩ-211» и сторожевого катера, далее – самостоятельно. Однако на связь лодка больше не выходила и в точку рандеву не прибылаэ</w:t>
      </w:r>
    </w:p>
    <w:p w14:paraId="33601FF2" w14:textId="77777777" w:rsidR="00165A9C" w:rsidRPr="00640820" w:rsidRDefault="00165A9C" w:rsidP="00640820">
      <w:pPr>
        <w:spacing w:after="0" w:line="240" w:lineRule="auto"/>
        <w:jc w:val="both"/>
        <w:rPr>
          <w:rFonts w:ascii="Times New Roman" w:hAnsi="Times New Roman"/>
          <w:bCs/>
          <w:color w:val="000000" w:themeColor="text1"/>
          <w:sz w:val="16"/>
          <w:szCs w:val="16"/>
        </w:rPr>
      </w:pPr>
      <w:r w:rsidRPr="00640820">
        <w:rPr>
          <w:rFonts w:ascii="Times New Roman" w:hAnsi="Times New Roman"/>
          <w:color w:val="000000" w:themeColor="text1"/>
          <w:sz w:val="16"/>
          <w:szCs w:val="16"/>
        </w:rPr>
        <w:t xml:space="preserve">Подводная лодка погибла на мине в 6,2 мили к югу от маяка Калбодагрунд спустя несколько часов после того как была отпущена эскортом. Летом 2009 года корпус субмарины был найден при проведении работ по прокладке газопровода «Северный поток». На борту «Правды» в ее последнем походе было 55 человек </w:t>
      </w:r>
      <w:r w:rsidRPr="00640820">
        <w:rPr>
          <w:rFonts w:ascii="Times New Roman" w:hAnsi="Times New Roman"/>
          <w:bCs/>
          <w:color w:val="000000" w:themeColor="text1"/>
          <w:sz w:val="16"/>
          <w:szCs w:val="16"/>
        </w:rPr>
        <w:t>(12719).</w:t>
      </w:r>
    </w:p>
    <w:p w14:paraId="09B6439C" w14:textId="77777777" w:rsidR="00165A9C" w:rsidRPr="00640820" w:rsidRDefault="00165A9C" w:rsidP="00640820">
      <w:pPr>
        <w:spacing w:after="0" w:line="240" w:lineRule="auto"/>
        <w:jc w:val="both"/>
        <w:rPr>
          <w:rFonts w:ascii="Times New Roman" w:hAnsi="Times New Roman"/>
          <w:bCs/>
          <w:color w:val="000000" w:themeColor="text1"/>
          <w:sz w:val="16"/>
          <w:szCs w:val="16"/>
        </w:rPr>
      </w:pPr>
    </w:p>
    <w:p w14:paraId="304C7018" w14:textId="77777777" w:rsidR="00E7343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7F7519F0" w14:textId="77777777" w:rsidR="00E73430" w:rsidRPr="00640820" w:rsidRDefault="00E7343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A71087E"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сентября в 1941 году бюро Новосибирского обкома ВЛКСМ приняло решение о сборе средств для постройки авиаэскадрильи "Новосибирский Комсомолец". Выполняя его, 21 сентября 1941 г. молодежь Томска провела общегородской воскресник. На швейной фабрике трудилось в этот день 490 человек, общая сумма заработанных средств составила 5 800 рублей. На фабрике "Красная звезда" вышло на работу 480 человек. По Вокзальному району города было заработано около 8 000 рублей, по Куйбышевскому - 10 000 рублей. В те месяцы молодёжью Новосибирской области, в состав которой входил и город Томск, было собрано и заработано около 28 миллионов рублей, на которые построено десять боевых самолётов. В июне 1942 года сибиряки передали их действующей армии. Всего в годы войны молодёжь Новосибирской области передала лётчикам семь авиаэскадрилий, а одному из миномётных полков батарею "катюш". Вся эта боевая техника носила имя "Новосибирский комсомолец" (14764).</w:t>
      </w:r>
    </w:p>
    <w:p w14:paraId="6D5FB0CC" w14:textId="77777777" w:rsidR="00E73430" w:rsidRPr="00640820" w:rsidRDefault="00E73430" w:rsidP="00640820">
      <w:pPr>
        <w:spacing w:after="0" w:line="240" w:lineRule="auto"/>
        <w:jc w:val="both"/>
        <w:rPr>
          <w:rFonts w:ascii="Times New Roman" w:hAnsi="Times New Roman"/>
          <w:color w:val="000000" w:themeColor="text1"/>
          <w:sz w:val="16"/>
          <w:szCs w:val="16"/>
        </w:rPr>
      </w:pPr>
    </w:p>
    <w:p w14:paraId="0B0E78F3" w14:textId="77777777" w:rsidR="00E7343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4542B90D" w14:textId="77777777" w:rsidR="00E73430" w:rsidRPr="00640820" w:rsidRDefault="00E7343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BC1F919"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сентября в 1941 году иранский меджлис одобрил принятие Правительством Ирана предложения правительств СССР и Великобритании об условиях ликвидации конфликта между СССР и Великобританией, с одной стороны, и Ираном — с другой (закрытие германской, итальянской, венгерской и румынской миссий в Иране, передача в распоряжение правительств СССР и Великобритании членов немецкой колонии, отказ в разрешении въезда на территорию Ирана германским подданным) (14764).</w:t>
      </w:r>
    </w:p>
    <w:p w14:paraId="4B7DF199" w14:textId="77777777" w:rsidR="00E73430" w:rsidRPr="00640820" w:rsidRDefault="00E73430" w:rsidP="00640820">
      <w:pPr>
        <w:spacing w:after="0" w:line="240" w:lineRule="auto"/>
        <w:jc w:val="both"/>
        <w:rPr>
          <w:rFonts w:ascii="Times New Roman" w:hAnsi="Times New Roman"/>
          <w:color w:val="000000" w:themeColor="text1"/>
          <w:sz w:val="16"/>
          <w:szCs w:val="16"/>
        </w:rPr>
      </w:pPr>
    </w:p>
    <w:p w14:paraId="39AA594B"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57305C80"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559749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сентября 1941 из Ирана высланы все немцы и итальянцы (4962).</w:t>
      </w:r>
    </w:p>
    <w:p w14:paraId="03D99EE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B15D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September 9 1941 Iran accepted British-Soviet armistice (1223).</w:t>
      </w:r>
    </w:p>
    <w:p w14:paraId="056D49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4CB43A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сентября 1941 Иран принял советско-английские условия перемирия (1223).</w:t>
      </w:r>
    </w:p>
    <w:p w14:paraId="393DA6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D282C94"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5942DB38"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4E0C8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сентября 1941 вышел приказ НКАП N 961с о назначении комиссии по катастрофе самолета ДБ-3А, принадлежащего 18 заводу, происшедшей 6 сентября 1941 в Горьковской обл. Большеболдинском р-не (1503,98).</w:t>
      </w:r>
    </w:p>
    <w:p w14:paraId="6E7FDD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A6188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августе 1941 на самолете Пе-2 N 9/9 в дополнение башенке стрелка со ШКАС установили МВ-7 Можаровского-Виневидова с УБТ и прозрачным экраном (1841,27).</w:t>
      </w:r>
    </w:p>
    <w:p w14:paraId="4ABDE9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2A6F4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10-16 сентября 1941 были проведены испытания установленной в августе 1941 на самолете Пе-2 N 9/9 в дополнение башенке стрелка со ШКАС МВ-7 Можаровского-Виневидова с УБТ и прозрачным экраном (1841,27).</w:t>
      </w:r>
    </w:p>
    <w:p w14:paraId="0A01C9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199379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10-16 сентября 1941 г. на испытаниях турели Можаровского и Веневидова МВ-7 с пулемётом Березина. УБТ, смонтиро</w:t>
      </w:r>
      <w:r w:rsidRPr="00640820">
        <w:rPr>
          <w:rFonts w:ascii="Times New Roman" w:hAnsi="Times New Roman"/>
          <w:color w:val="000000" w:themeColor="text1"/>
          <w:sz w:val="16"/>
          <w:szCs w:val="16"/>
        </w:rPr>
        <w:softHyphen/>
        <w:t>ванного на серийном лафете, который был закрыт прозрачным колпаком-экраном и имел от</w:t>
      </w:r>
      <w:r w:rsidRPr="00640820">
        <w:rPr>
          <w:rFonts w:ascii="Times New Roman" w:hAnsi="Times New Roman"/>
          <w:color w:val="000000" w:themeColor="text1"/>
          <w:sz w:val="16"/>
          <w:szCs w:val="16"/>
        </w:rPr>
        <w:softHyphen/>
        <w:t>личные углы обстрела: вправо -105°, влево - 75°, вверх - 60°, вниз вбок - -5° на Пе-2, выявилось, что в полёте реально углы обстрела гораздо меньше из-за напора воз</w:t>
      </w:r>
      <w:r w:rsidRPr="00640820">
        <w:rPr>
          <w:rFonts w:ascii="Times New Roman" w:hAnsi="Times New Roman"/>
          <w:color w:val="000000" w:themeColor="text1"/>
          <w:sz w:val="16"/>
          <w:szCs w:val="16"/>
        </w:rPr>
        <w:softHyphen/>
        <w:t>духа на ствол, не позволявшего развернуть установку. Спустя неделю, на испытания вы</w:t>
      </w:r>
      <w:r w:rsidRPr="00640820">
        <w:rPr>
          <w:rFonts w:ascii="Times New Roman" w:hAnsi="Times New Roman"/>
          <w:color w:val="000000" w:themeColor="text1"/>
          <w:sz w:val="16"/>
          <w:szCs w:val="16"/>
        </w:rPr>
        <w:softHyphen/>
        <w:t>вели самолет (заводской №15/45), оснащён</w:t>
      </w:r>
      <w:r w:rsidRPr="00640820">
        <w:rPr>
          <w:rFonts w:ascii="Times New Roman" w:hAnsi="Times New Roman"/>
          <w:color w:val="000000" w:themeColor="text1"/>
          <w:sz w:val="16"/>
          <w:szCs w:val="16"/>
        </w:rPr>
        <w:softHyphen/>
        <w:t>ный доработанной МВ-7 с аэродинамиче</w:t>
      </w:r>
      <w:r w:rsidRPr="00640820">
        <w:rPr>
          <w:rFonts w:ascii="Times New Roman" w:hAnsi="Times New Roman"/>
          <w:color w:val="000000" w:themeColor="text1"/>
          <w:sz w:val="16"/>
          <w:szCs w:val="16"/>
        </w:rPr>
        <w:softHyphen/>
        <w:t>ским компенсатором-лепестком. Однако, неизжитым остался более неприятный де</w:t>
      </w:r>
      <w:r w:rsidRPr="00640820">
        <w:rPr>
          <w:rFonts w:ascii="Times New Roman" w:hAnsi="Times New Roman"/>
          <w:color w:val="000000" w:themeColor="text1"/>
          <w:sz w:val="16"/>
          <w:szCs w:val="16"/>
        </w:rPr>
        <w:softHyphen/>
        <w:t>фект: неудобное крепление массивного ма</w:t>
      </w:r>
      <w:r w:rsidRPr="00640820">
        <w:rPr>
          <w:rFonts w:ascii="Times New Roman" w:hAnsi="Times New Roman"/>
          <w:color w:val="000000" w:themeColor="text1"/>
          <w:sz w:val="16"/>
          <w:szCs w:val="16"/>
        </w:rPr>
        <w:softHyphen/>
        <w:t>газина, отнимавшее до трёх минут - время, вполне достаточное для нескольких атак ис</w:t>
      </w:r>
      <w:r w:rsidRPr="00640820">
        <w:rPr>
          <w:rFonts w:ascii="Times New Roman" w:hAnsi="Times New Roman"/>
          <w:color w:val="000000" w:themeColor="text1"/>
          <w:sz w:val="16"/>
          <w:szCs w:val="16"/>
        </w:rPr>
        <w:softHyphen/>
        <w:t>требителя (11392).</w:t>
      </w:r>
    </w:p>
    <w:p w14:paraId="6DF638E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F2C83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10-16 сентября 1941 г. на испытаниях Пе-2 (заводской №9/9), на котором в допол</w:t>
      </w:r>
      <w:r w:rsidRPr="00640820">
        <w:rPr>
          <w:rFonts w:ascii="Times New Roman" w:hAnsi="Times New Roman"/>
          <w:color w:val="000000" w:themeColor="text1"/>
          <w:sz w:val="16"/>
          <w:szCs w:val="16"/>
        </w:rPr>
        <w:softHyphen/>
        <w:t>нение к башенке стрелка со ШКАС установили турель Межаравского и Веневидова МВ-7 с пулемётом Бе</w:t>
      </w:r>
      <w:r w:rsidRPr="00640820">
        <w:rPr>
          <w:rFonts w:ascii="Times New Roman" w:hAnsi="Times New Roman"/>
          <w:color w:val="000000" w:themeColor="text1"/>
          <w:sz w:val="16"/>
          <w:szCs w:val="16"/>
        </w:rPr>
        <w:softHyphen/>
        <w:t>резина. УБТ, смонтированного на се</w:t>
      </w:r>
      <w:r w:rsidRPr="00640820">
        <w:rPr>
          <w:rFonts w:ascii="Times New Roman" w:hAnsi="Times New Roman"/>
          <w:color w:val="000000" w:themeColor="text1"/>
          <w:sz w:val="16"/>
          <w:szCs w:val="16"/>
        </w:rPr>
        <w:softHyphen/>
        <w:t>рийном лафете и закрытого прозрач</w:t>
      </w:r>
      <w:r w:rsidRPr="00640820">
        <w:rPr>
          <w:rFonts w:ascii="Times New Roman" w:hAnsi="Times New Roman"/>
          <w:color w:val="000000" w:themeColor="text1"/>
          <w:sz w:val="16"/>
          <w:szCs w:val="16"/>
        </w:rPr>
        <w:softHyphen/>
        <w:t>ным колпаком-экраном (имел отлич</w:t>
      </w:r>
      <w:r w:rsidRPr="00640820">
        <w:rPr>
          <w:rFonts w:ascii="Times New Roman" w:hAnsi="Times New Roman"/>
          <w:color w:val="000000" w:themeColor="text1"/>
          <w:sz w:val="16"/>
          <w:szCs w:val="16"/>
        </w:rPr>
        <w:softHyphen/>
        <w:t>ные углы обстрела: вправо — 105°, вле</w:t>
      </w:r>
      <w:r w:rsidRPr="00640820">
        <w:rPr>
          <w:rFonts w:ascii="Times New Roman" w:hAnsi="Times New Roman"/>
          <w:color w:val="000000" w:themeColor="text1"/>
          <w:sz w:val="16"/>
          <w:szCs w:val="16"/>
        </w:rPr>
        <w:softHyphen/>
        <w:t>во - 75°, вверх - 60°, вниз вбок - -5°), выявилось, что в полёте ре</w:t>
      </w:r>
      <w:r w:rsidRPr="00640820">
        <w:rPr>
          <w:rFonts w:ascii="Times New Roman" w:hAnsi="Times New Roman"/>
          <w:color w:val="000000" w:themeColor="text1"/>
          <w:sz w:val="16"/>
          <w:szCs w:val="16"/>
        </w:rPr>
        <w:softHyphen/>
        <w:t>ально углы обстрела гораздо мень</w:t>
      </w:r>
      <w:r w:rsidRPr="00640820">
        <w:rPr>
          <w:rFonts w:ascii="Times New Roman" w:hAnsi="Times New Roman"/>
          <w:color w:val="000000" w:themeColor="text1"/>
          <w:sz w:val="16"/>
          <w:szCs w:val="16"/>
        </w:rPr>
        <w:softHyphen/>
        <w:t>ше из-за напора воздуха на ствол, не позволявшего развернуть установ</w:t>
      </w:r>
      <w:r w:rsidRPr="00640820">
        <w:rPr>
          <w:rFonts w:ascii="Times New Roman" w:hAnsi="Times New Roman"/>
          <w:color w:val="000000" w:themeColor="text1"/>
          <w:sz w:val="16"/>
          <w:szCs w:val="16"/>
        </w:rPr>
        <w:softHyphen/>
        <w:t>ку. Спустя неделю, на испытания вы</w:t>
      </w:r>
      <w:r w:rsidRPr="00640820">
        <w:rPr>
          <w:rFonts w:ascii="Times New Roman" w:hAnsi="Times New Roman"/>
          <w:color w:val="000000" w:themeColor="text1"/>
          <w:sz w:val="16"/>
          <w:szCs w:val="16"/>
        </w:rPr>
        <w:softHyphen/>
        <w:t>вели самолет (заводской №15/45), оснащённый доработанной МВ-7 с аэродинамическим компенсатором-лепестком. Однако, неизжитым ос</w:t>
      </w:r>
      <w:r w:rsidRPr="00640820">
        <w:rPr>
          <w:rFonts w:ascii="Times New Roman" w:hAnsi="Times New Roman"/>
          <w:color w:val="000000" w:themeColor="text1"/>
          <w:sz w:val="16"/>
          <w:szCs w:val="16"/>
        </w:rPr>
        <w:softHyphen/>
        <w:t>тался более неприятный дефект: не</w:t>
      </w:r>
      <w:r w:rsidRPr="00640820">
        <w:rPr>
          <w:rFonts w:ascii="Times New Roman" w:hAnsi="Times New Roman"/>
          <w:color w:val="000000" w:themeColor="text1"/>
          <w:sz w:val="16"/>
          <w:szCs w:val="16"/>
        </w:rPr>
        <w:softHyphen/>
        <w:t>удобное крепление массивного ма</w:t>
      </w:r>
      <w:r w:rsidRPr="00640820">
        <w:rPr>
          <w:rFonts w:ascii="Times New Roman" w:hAnsi="Times New Roman"/>
          <w:color w:val="000000" w:themeColor="text1"/>
          <w:sz w:val="16"/>
          <w:szCs w:val="16"/>
        </w:rPr>
        <w:softHyphen/>
        <w:t>газина, отнимавшее до трёх минут — время, вполне достаточное для не</w:t>
      </w:r>
      <w:r w:rsidRPr="00640820">
        <w:rPr>
          <w:rFonts w:ascii="Times New Roman" w:hAnsi="Times New Roman"/>
          <w:color w:val="000000" w:themeColor="text1"/>
          <w:sz w:val="16"/>
          <w:szCs w:val="16"/>
        </w:rPr>
        <w:softHyphen/>
        <w:t>скольких атак истребителя (11432).</w:t>
      </w:r>
    </w:p>
    <w:p w14:paraId="11F7F5E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A20F9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сентября 1941 само</w:t>
      </w:r>
      <w:r w:rsidRPr="00640820">
        <w:rPr>
          <w:rFonts w:ascii="Times New Roman" w:hAnsi="Times New Roman"/>
          <w:color w:val="000000" w:themeColor="text1"/>
          <w:sz w:val="16"/>
          <w:szCs w:val="16"/>
        </w:rPr>
        <w:softHyphen/>
        <w:t>лет ТИС (А) с 2хАМ-37 возвратили на завод № 51, и испытания в ЛИИ возобновились с 29 сентября. 13 октября, после приня</w:t>
      </w:r>
      <w:r w:rsidRPr="00640820">
        <w:rPr>
          <w:rFonts w:ascii="Times New Roman" w:hAnsi="Times New Roman"/>
          <w:color w:val="000000" w:themeColor="text1"/>
          <w:sz w:val="16"/>
          <w:szCs w:val="16"/>
        </w:rPr>
        <w:softHyphen/>
        <w:t>тия решения об эвакуации ЛИИ НКАП, ТИС (А) пере</w:t>
      </w:r>
      <w:r w:rsidRPr="00640820">
        <w:rPr>
          <w:rFonts w:ascii="Times New Roman" w:hAnsi="Times New Roman"/>
          <w:color w:val="000000" w:themeColor="text1"/>
          <w:sz w:val="16"/>
          <w:szCs w:val="16"/>
        </w:rPr>
        <w:softHyphen/>
        <w:t>летел в Арзамас, затем, 18 октября - в Казань, где уже находилось ЛИИ. Но там дали указание провести снача</w:t>
      </w:r>
      <w:r w:rsidRPr="00640820">
        <w:rPr>
          <w:rFonts w:ascii="Times New Roman" w:hAnsi="Times New Roman"/>
          <w:color w:val="000000" w:themeColor="text1"/>
          <w:sz w:val="16"/>
          <w:szCs w:val="16"/>
        </w:rPr>
        <w:softHyphen/>
        <w:t>ла заводские испытания, а потом уже доводочные в ЛИИ НКАП. ТИС (А) разобрали и по железной дороге отправили в Новосибирск. Второй и третий экземпляры ТИС строились, но ввиду небольшой производственной мощности завода и загруженности другими заданиями к началу эвакуа</w:t>
      </w:r>
      <w:r w:rsidRPr="00640820">
        <w:rPr>
          <w:rFonts w:ascii="Times New Roman" w:hAnsi="Times New Roman"/>
          <w:color w:val="000000" w:themeColor="text1"/>
          <w:sz w:val="16"/>
          <w:szCs w:val="16"/>
        </w:rPr>
        <w:softHyphen/>
        <w:t>ции они оказались готовы только на 50-60% и по этой причине до конца 1941 г. работа над ними была приос</w:t>
      </w:r>
      <w:r w:rsidRPr="00640820">
        <w:rPr>
          <w:rFonts w:ascii="Times New Roman" w:hAnsi="Times New Roman"/>
          <w:color w:val="000000" w:themeColor="text1"/>
          <w:sz w:val="16"/>
          <w:szCs w:val="16"/>
        </w:rPr>
        <w:softHyphen/>
        <w:t>тановлена (10667).</w:t>
      </w:r>
    </w:p>
    <w:p w14:paraId="143CD7D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303D2C" w14:textId="77777777" w:rsidR="00E73430" w:rsidRPr="00640820" w:rsidRDefault="00E73430"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10 сентября 1941 после выполнения трех полетов самолет ТИС возвратили на за</w:t>
      </w:r>
      <w:r w:rsidRPr="00640820">
        <w:rPr>
          <w:rFonts w:ascii="Times New Roman" w:cs="Times New Roman"/>
          <w:color w:val="000000" w:themeColor="text1"/>
          <w:spacing w:val="0"/>
        </w:rPr>
        <w:softHyphen/>
        <w:t>вод №51 для проведения доработок (15755).</w:t>
      </w:r>
    </w:p>
    <w:p w14:paraId="3EA7AF6E" w14:textId="77777777" w:rsidR="00E73430" w:rsidRPr="00640820" w:rsidRDefault="00E73430" w:rsidP="00640820">
      <w:pPr>
        <w:pStyle w:val="27"/>
        <w:shd w:val="clear" w:color="auto" w:fill="auto"/>
        <w:spacing w:after="0" w:line="240" w:lineRule="auto"/>
        <w:ind w:firstLine="0"/>
        <w:rPr>
          <w:rFonts w:ascii="Times New Roman" w:cs="Times New Roman"/>
          <w:color w:val="000000" w:themeColor="text1"/>
          <w:spacing w:val="0"/>
        </w:rPr>
      </w:pPr>
    </w:p>
    <w:p w14:paraId="4201DEE9" w14:textId="77777777" w:rsidR="004A55CA" w:rsidRPr="00640820" w:rsidRDefault="004A55CA"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10 сентября 1941 после выполнения трех полетов самолет ТИС возвратили на завод № 51 для прове</w:t>
      </w:r>
      <w:r w:rsidRPr="00640820">
        <w:rPr>
          <w:color w:val="000000" w:themeColor="text1"/>
          <w:sz w:val="16"/>
          <w:szCs w:val="16"/>
        </w:rPr>
        <w:softHyphen/>
        <w:t>дения доработок.</w:t>
      </w:r>
    </w:p>
    <w:p w14:paraId="5CD16337" w14:textId="77777777" w:rsidR="004A55CA" w:rsidRPr="00640820" w:rsidRDefault="004A55CA"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 xml:space="preserve">Первые полеты ТИС состоялись 30 и 31 августа 1941 г. Летал летчик-испытатель ЛИИ НКАП Г. М. Шиянов. В полете сильно грелись вода и масло, шасси не убиралось, а если убиралось, то выпускалось с трудом. </w:t>
      </w:r>
    </w:p>
    <w:p w14:paraId="67D81543" w14:textId="77777777" w:rsidR="004A55CA" w:rsidRPr="00640820" w:rsidRDefault="004A55CA"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Испытания возобновились только 29 сентября, но при первом же полете на скорость стал раскры</w:t>
      </w:r>
      <w:r w:rsidRPr="00640820">
        <w:rPr>
          <w:color w:val="000000" w:themeColor="text1"/>
          <w:sz w:val="16"/>
          <w:szCs w:val="16"/>
        </w:rPr>
        <w:softHyphen/>
        <w:t>ваться фонарь летчика и даже треснул плексиглас. Пришлось ремонтировать.</w:t>
      </w:r>
    </w:p>
    <w:p w14:paraId="67B494D6" w14:textId="77777777" w:rsidR="004A55CA" w:rsidRPr="00640820" w:rsidRDefault="004A55CA"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Летной готовности самолет достиг к 12 октября, но к этому времени ГКО уже принял решение об эвакуации заводов г. Москвы и Московской обла</w:t>
      </w:r>
      <w:r w:rsidRPr="00640820">
        <w:rPr>
          <w:color w:val="000000" w:themeColor="text1"/>
          <w:sz w:val="16"/>
          <w:szCs w:val="16"/>
        </w:rPr>
        <w:softHyphen/>
        <w:t>сти на восток, и опытные работы отложили до луч</w:t>
      </w:r>
      <w:r w:rsidRPr="00640820">
        <w:rPr>
          <w:color w:val="000000" w:themeColor="text1"/>
          <w:sz w:val="16"/>
          <w:szCs w:val="16"/>
        </w:rPr>
        <w:softHyphen/>
        <w:t>ших времен. На следующий день ТИС (А) перелетел в Арзамас, а 18 октября — в Казань, куда перебрал</w:t>
      </w:r>
      <w:r w:rsidRPr="00640820">
        <w:rPr>
          <w:color w:val="000000" w:themeColor="text1"/>
          <w:sz w:val="16"/>
          <w:szCs w:val="16"/>
        </w:rPr>
        <w:softHyphen/>
        <w:t>ся ЛИИ НКАП. Начальник ЛИИ профессор А. В. Че- салов решил продолжить совместные заводские испытания в Новосибирске, где на аэродроме Тол- мачево организовывался филиал института и куда отправили завод № 51 и ОКБ Поликарпова. Само</w:t>
      </w:r>
      <w:r w:rsidRPr="00640820">
        <w:rPr>
          <w:color w:val="000000" w:themeColor="text1"/>
          <w:sz w:val="16"/>
          <w:szCs w:val="16"/>
        </w:rPr>
        <w:softHyphen/>
        <w:t>лет разобрали и отправили к месту назначения по железной дороге (17500).</w:t>
      </w:r>
    </w:p>
    <w:p w14:paraId="15BECC5B" w14:textId="77777777" w:rsidR="004A55CA" w:rsidRPr="00640820" w:rsidRDefault="004A55CA" w:rsidP="00640820">
      <w:pPr>
        <w:spacing w:after="0" w:line="240" w:lineRule="auto"/>
        <w:jc w:val="both"/>
        <w:rPr>
          <w:rFonts w:ascii="Times New Roman" w:eastAsia="Times New Roman" w:hAnsi="Times New Roman"/>
          <w:color w:val="000000" w:themeColor="text1"/>
          <w:sz w:val="16"/>
          <w:szCs w:val="16"/>
          <w:lang w:eastAsia="ru-RU"/>
        </w:rPr>
      </w:pPr>
    </w:p>
    <w:p w14:paraId="53B287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сентября 1941 вышло Постановление ГКО № 653 О сокращении числа кислородных баллонов на самолетах для облегчения их веса и экономии баллонов. РГАНИР, Фонд ГКО, д. 9, лл. 18 (11012).</w:t>
      </w:r>
    </w:p>
    <w:p w14:paraId="02F73F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25A5F5F" w14:textId="77777777" w:rsidR="00FA48B2" w:rsidRPr="00640820" w:rsidRDefault="00FA48B2" w:rsidP="00640820">
      <w:pPr>
        <w:pStyle w:val="47"/>
        <w:shd w:val="clear" w:color="auto" w:fill="auto"/>
        <w:spacing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10 сентября 1941 вышло Постановление ГКО № 653 О сокращении числа кислородных баллонов на самолетах для облегчения их веса и экономии баллонов</w:t>
      </w:r>
    </w:p>
    <w:p w14:paraId="4009A80A" w14:textId="77777777" w:rsidR="00FA48B2" w:rsidRPr="00640820" w:rsidRDefault="00FA48B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целях освобождения самолетов от излишнего груза и сокращения расхода кислородных баллонов установить на са</w:t>
      </w:r>
      <w:r w:rsidRPr="00640820">
        <w:rPr>
          <w:rFonts w:ascii="Times New Roman" w:hAnsi="Times New Roman"/>
          <w:color w:val="000000" w:themeColor="text1"/>
          <w:sz w:val="16"/>
          <w:szCs w:val="16"/>
        </w:rPr>
        <w:softHyphen/>
        <w:t>молеты следующее количество кислородных баллонов:</w:t>
      </w:r>
    </w:p>
    <w:p w14:paraId="4D806106" w14:textId="77777777" w:rsidR="00FA48B2" w:rsidRPr="00640820" w:rsidRDefault="00FA48B2" w:rsidP="00640820">
      <w:pPr>
        <w:tabs>
          <w:tab w:val="left" w:pos="1278"/>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На самолете Пе-2 в бомбардировочном варианте уста</w:t>
      </w:r>
      <w:r w:rsidRPr="00640820">
        <w:rPr>
          <w:rFonts w:ascii="Times New Roman" w:hAnsi="Times New Roman"/>
          <w:color w:val="000000" w:themeColor="text1"/>
          <w:sz w:val="16"/>
          <w:szCs w:val="16"/>
        </w:rPr>
        <w:softHyphen/>
        <w:t>новить вместо шести три кислородных четырехлитровых балло</w:t>
      </w:r>
      <w:r w:rsidRPr="00640820">
        <w:rPr>
          <w:rFonts w:ascii="Times New Roman" w:hAnsi="Times New Roman"/>
          <w:color w:val="000000" w:themeColor="text1"/>
          <w:sz w:val="16"/>
          <w:szCs w:val="16"/>
        </w:rPr>
        <w:softHyphen/>
        <w:t>на, с сохранением существующей проводки и мест крепления на 6 баллонов, с целью дать возможность частям ВВС восста</w:t>
      </w:r>
      <w:r w:rsidRPr="00640820">
        <w:rPr>
          <w:rFonts w:ascii="Times New Roman" w:hAnsi="Times New Roman"/>
          <w:color w:val="000000" w:themeColor="text1"/>
          <w:sz w:val="16"/>
          <w:szCs w:val="16"/>
        </w:rPr>
        <w:softHyphen/>
        <w:t>новить в случае необходимости снятые баллоны.</w:t>
      </w:r>
    </w:p>
    <w:p w14:paraId="5116F167" w14:textId="77777777" w:rsidR="00FA48B2" w:rsidRPr="00640820" w:rsidRDefault="00FA48B2" w:rsidP="00640820">
      <w:pPr>
        <w:tabs>
          <w:tab w:val="left" w:pos="1270"/>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На самолетах Пе-3 в варианте истребителя установить три кислородных четырехлитровых баллона, а в варианте раз</w:t>
      </w:r>
      <w:r w:rsidRPr="00640820">
        <w:rPr>
          <w:rFonts w:ascii="Times New Roman" w:hAnsi="Times New Roman"/>
          <w:color w:val="000000" w:themeColor="text1"/>
          <w:sz w:val="16"/>
          <w:szCs w:val="16"/>
        </w:rPr>
        <w:softHyphen/>
        <w:t>ведчика установить шесть кислородных четырехлитровых бал</w:t>
      </w:r>
      <w:r w:rsidRPr="00640820">
        <w:rPr>
          <w:rFonts w:ascii="Times New Roman" w:hAnsi="Times New Roman"/>
          <w:color w:val="000000" w:themeColor="text1"/>
          <w:sz w:val="16"/>
          <w:szCs w:val="16"/>
        </w:rPr>
        <w:softHyphen/>
        <w:t>лонов.</w:t>
      </w:r>
    </w:p>
    <w:p w14:paraId="7837EE88" w14:textId="77777777" w:rsidR="00FA48B2" w:rsidRPr="00640820" w:rsidRDefault="00FA48B2" w:rsidP="00640820">
      <w:pPr>
        <w:tabs>
          <w:tab w:val="left" w:pos="1270"/>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На самолете Су-2 установить вместо двух один кисло</w:t>
      </w:r>
      <w:r w:rsidRPr="00640820">
        <w:rPr>
          <w:rFonts w:ascii="Times New Roman" w:hAnsi="Times New Roman"/>
          <w:color w:val="000000" w:themeColor="text1"/>
          <w:sz w:val="16"/>
          <w:szCs w:val="16"/>
        </w:rPr>
        <w:softHyphen/>
        <w:t>родный восьмилитровый баллон на два человека экипажа уста</w:t>
      </w:r>
      <w:r w:rsidRPr="00640820">
        <w:rPr>
          <w:rFonts w:ascii="Times New Roman" w:hAnsi="Times New Roman"/>
          <w:color w:val="000000" w:themeColor="text1"/>
          <w:sz w:val="16"/>
          <w:szCs w:val="16"/>
        </w:rPr>
        <w:softHyphen/>
        <w:t>вив крепления и проводку для второго баллона.</w:t>
      </w:r>
    </w:p>
    <w:p w14:paraId="14C6C9C0" w14:textId="77777777" w:rsidR="00FA48B2" w:rsidRPr="00640820" w:rsidRDefault="00FA48B2" w:rsidP="00640820">
      <w:pPr>
        <w:framePr w:h="410" w:wrap="around" w:hAnchor="margin" w:x="-1034" w:y="4653"/>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w:t>
      </w:r>
    </w:p>
    <w:p w14:paraId="2936856C" w14:textId="77777777" w:rsidR="00FA48B2" w:rsidRPr="00640820" w:rsidRDefault="00FA48B2" w:rsidP="00640820">
      <w:pPr>
        <w:framePr w:h="370" w:wrap="around" w:hAnchor="margin" w:x="-606" w:y="5082"/>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p w14:paraId="2BA93C54" w14:textId="77777777" w:rsidR="00FA48B2" w:rsidRPr="00640820" w:rsidRDefault="00FA48B2" w:rsidP="00640820">
      <w:pPr>
        <w:pStyle w:val="5f0"/>
        <w:framePr w:h="280" w:wrap="around" w:hAnchor="margin" w:x="-974" w:y="5169"/>
        <w:shd w:val="clear" w:color="auto" w:fill="auto"/>
        <w:spacing w:line="240" w:lineRule="auto"/>
        <w:jc w:val="both"/>
        <w:rPr>
          <w:rFonts w:ascii="Times New Roman" w:hAnsi="Times New Roman" w:cs="Times New Roman"/>
          <w:color w:val="000000" w:themeColor="text1"/>
          <w:spacing w:val="0"/>
          <w:sz w:val="16"/>
          <w:szCs w:val="16"/>
        </w:rPr>
      </w:pPr>
      <w:r w:rsidRPr="00640820">
        <w:rPr>
          <w:rFonts w:ascii="Times New Roman" w:hAnsi="Times New Roman" w:cs="Times New Roman"/>
          <w:color w:val="000000" w:themeColor="text1"/>
          <w:spacing w:val="0"/>
          <w:sz w:val="16"/>
          <w:szCs w:val="16"/>
        </w:rPr>
        <w:t>л</w:t>
      </w:r>
    </w:p>
    <w:p w14:paraId="167C2FEB" w14:textId="77777777" w:rsidR="00FA48B2" w:rsidRPr="00640820" w:rsidRDefault="00FA48B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На самолете Ил-2 кислородных баллонов не ставить (19271).</w:t>
      </w:r>
    </w:p>
    <w:p w14:paraId="35471633" w14:textId="77777777" w:rsidR="00FA48B2" w:rsidRPr="00640820" w:rsidRDefault="00FA48B2" w:rsidP="00640820">
      <w:pPr>
        <w:spacing w:after="0" w:line="240" w:lineRule="auto"/>
        <w:jc w:val="both"/>
        <w:rPr>
          <w:rFonts w:ascii="Times New Roman" w:hAnsi="Times New Roman"/>
          <w:color w:val="000000" w:themeColor="text1"/>
          <w:sz w:val="16"/>
          <w:szCs w:val="16"/>
        </w:rPr>
      </w:pPr>
    </w:p>
    <w:p w14:paraId="032B75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сентября 1941 вышло распоряжение ГКО N ГКО-653сс об освобождении самолетов от излишнего груза и сокращения расходов кислородных баллонов (1501,39).</w:t>
      </w:r>
    </w:p>
    <w:p w14:paraId="35467FB8" w14:textId="77777777" w:rsidR="00FA48B2" w:rsidRPr="00640820" w:rsidRDefault="00FA48B2" w:rsidP="00640820">
      <w:pPr>
        <w:autoSpaceDE w:val="0"/>
        <w:autoSpaceDN w:val="0"/>
        <w:adjustRightInd w:val="0"/>
        <w:spacing w:after="0" w:line="240" w:lineRule="auto"/>
        <w:jc w:val="both"/>
        <w:rPr>
          <w:rFonts w:ascii="Times New Roman" w:hAnsi="Times New Roman"/>
          <w:color w:val="000000" w:themeColor="text1"/>
          <w:sz w:val="16"/>
          <w:szCs w:val="16"/>
        </w:rPr>
      </w:pPr>
    </w:p>
    <w:p w14:paraId="6C9E8AB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сентября 1941 с письмом № № 210131с были направлены:</w:t>
      </w:r>
    </w:p>
    <w:p w14:paraId="193D5DC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Записка Г.М.М:</w:t>
      </w:r>
    </w:p>
    <w:p w14:paraId="6243BBD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Согласно распоряжению ГКО № 247 от 23 июля 1941 г. ГСКБ-47 НКБ отработало авиационную гранату АГ-2. Тов. Жаров ГУ ВВС КА просит изготовить 10000 шт. этих гранат для испытаний их в боевых условиях.</w:t>
      </w:r>
    </w:p>
    <w:p w14:paraId="5B8AF0F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Докладываю, наиболее трудоемкой деталью гранат, требующей обработки на револьверных станках, является взрыватель, от изготовления которого отказались НКСМ, НКОМ, Управление Промкооперации при СНК РСФСР, мотивируя свой отказ загруженностью производством боеприпасов.</w:t>
      </w:r>
    </w:p>
    <w:p w14:paraId="7C4A175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Корпус гранаты. Коробку с крышкой для парашюта и скобку взрывателя берется делать НКСМ.</w:t>
      </w:r>
    </w:p>
    <w:p w14:paraId="416ED4A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Т.к. НКСМ изготовляет взрыватели и имеет в производстве этих деталей соответствующий опыт, считаю возможным обязать его изготовить партию взрывателей для АГ в количестве 1000 шт.</w:t>
      </w:r>
    </w:p>
    <w:p w14:paraId="53E1C9C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Изготовление остальных деталей гранат и кассет к ним с соответствующими наркоматами согласовано.</w:t>
      </w:r>
    </w:p>
    <w:p w14:paraId="1807152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Прошу Рассмотреть проект распоряжения ГКО, согласованный с тов. Вознесенским Н.А.</w:t>
      </w:r>
    </w:p>
    <w:p w14:paraId="62C3AA5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Виза ГММ:</w:t>
      </w:r>
    </w:p>
    <w:p w14:paraId="076BEE9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“тов. Вознесенскому</w:t>
      </w:r>
    </w:p>
    <w:p w14:paraId="52AD7FF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Выходит, что граната еще не отработана.</w:t>
      </w:r>
    </w:p>
    <w:p w14:paraId="6512B71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Решение ГКО в таком случае принимать нельзя. Как твое мнение?</w:t>
      </w:r>
    </w:p>
    <w:p w14:paraId="1A05D19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21 сентября 1941”</w:t>
      </w:r>
    </w:p>
    <w:p w14:paraId="6C4602C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Виза Вознесенского:</w:t>
      </w:r>
    </w:p>
    <w:p w14:paraId="54E4F78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Согласен с тов. Маленковым</w:t>
      </w:r>
    </w:p>
    <w:p w14:paraId="6EF936F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Надо обязать НКБ отработать гранату, после чего испытать в боевой обстановке”</w:t>
      </w:r>
    </w:p>
    <w:p w14:paraId="69BF30D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 СЕКРЕТНО</w:t>
      </w:r>
    </w:p>
    <w:p w14:paraId="66C0C90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ГОСУДАРСТВЕННЫЙ КОМИТЕТ ОБОРОНЫ</w:t>
      </w:r>
    </w:p>
    <w:p w14:paraId="0CECB1C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РАСПОРЯЖЕНИЕ №__ " "сентября 1941 г. (проект)</w:t>
      </w:r>
    </w:p>
    <w:p w14:paraId="6F6C63B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 Кремль</w:t>
      </w:r>
    </w:p>
    <w:p w14:paraId="2C3AA0E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Обязать Наркомередмаш - т. Акопова изготовить и поставить Наркомбоеприпасов 1000 шт. авиационных гранат "АГ-2" комплектно с взрывателями к 15 октября 1941 г.</w:t>
      </w:r>
    </w:p>
    <w:p w14:paraId="603B789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Обязать Управление Промкооперации при Совнаркоме РСФСР -т. Бритова изготовить и поставить Наркомбоеприпасов 1000 шт. парашютовк авиационным гранатам "АГ-2" к 15 октября 1941 г.</w:t>
      </w:r>
    </w:p>
    <w:p w14:paraId="648DF4F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Обязать Наркомтекстиль СССР - т. Акимова поставить Управ</w:t>
      </w:r>
      <w:r w:rsidRPr="00640820">
        <w:rPr>
          <w:rFonts w:ascii="Times New Roman" w:hAnsi="Times New Roman"/>
          <w:color w:val="000000" w:themeColor="text1"/>
          <w:sz w:val="16"/>
          <w:szCs w:val="16"/>
        </w:rPr>
        <w:softHyphen/>
        <w:t>ление Промкооперации при Совнаркоме РСФСР к 25 сентября 1941 г. 650 погонных метров перкаля марки А или АГ (ГОСТ 634-41 артикул 817).</w:t>
      </w:r>
    </w:p>
    <w:p w14:paraId="34FADBA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Обязать Наркомбоеприпасов - т. Горемыкина снарядить авиация ные гранаты "АГ-2" в количестве 1000 шт. и подать их ГУ ВВС КА к 25 октября 1941 г.</w:t>
      </w:r>
    </w:p>
    <w:p w14:paraId="16CA6E0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Обязать Наркомавиапром - т.Пахурина изготовить и подать ГУ ВВС КА 20 тт.кассет КГ-10 к 10 октября 1941 г.</w:t>
      </w:r>
    </w:p>
    <w:p w14:paraId="6EEC489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Обязать ГУ ВВС КА - т. Петрова провести испытания авиацион</w:t>
      </w:r>
      <w:r w:rsidRPr="00640820">
        <w:rPr>
          <w:rFonts w:ascii="Times New Roman" w:hAnsi="Times New Roman"/>
          <w:color w:val="000000" w:themeColor="text1"/>
          <w:sz w:val="16"/>
          <w:szCs w:val="16"/>
        </w:rPr>
        <w:softHyphen/>
        <w:t>ных гранат "АГ-2" в боевых условиях, после чего решить вопрос о ва</w:t>
      </w:r>
      <w:r w:rsidRPr="00640820">
        <w:rPr>
          <w:rFonts w:ascii="Times New Roman" w:hAnsi="Times New Roman"/>
          <w:color w:val="000000" w:themeColor="text1"/>
          <w:sz w:val="16"/>
          <w:szCs w:val="16"/>
        </w:rPr>
        <w:softHyphen/>
        <w:t>ловом заказе этих гранат промышленности.</w:t>
      </w:r>
    </w:p>
    <w:p w14:paraId="79A9328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Зам.Председателя Государственного Комитета Обороны</w:t>
      </w:r>
    </w:p>
    <w:p w14:paraId="6B043A1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(В.МОЛОТОВ) (4156,190).</w:t>
      </w:r>
    </w:p>
    <w:p w14:paraId="1C353E2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9D2D4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сентября 1941 Нач. 2-го отделения 1-го Отдела АВ ВВС РККА писал письмо “ 210162с Зам. Секретаря комиссии по военным и военно-морским делам при бюро СНК СССР тов. Александрову:</w:t>
      </w:r>
    </w:p>
    <w:p w14:paraId="45DE42C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сем препровождается для сведения и зависящих распоряжений копия НТ журнала Нач. Авиавооружения ВВС РККА по оп. Отделу за № 0187 от 9 сентября 1941 г.</w:t>
      </w:r>
    </w:p>
    <w:p w14:paraId="7AB575A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Приложение: экз. № 3 на 8 листах</w:t>
      </w:r>
    </w:p>
    <w:p w14:paraId="1E7091C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 Т В Е Р Ж Д А Ю</w:t>
      </w:r>
    </w:p>
    <w:p w14:paraId="5F95DCB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ЗАКАЗОВ ВООРУЖЕНИЯ ГУ ВВС КА</w:t>
      </w:r>
    </w:p>
    <w:p w14:paraId="1340DBE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Генерал-майор интенд. службы</w:t>
      </w:r>
    </w:p>
    <w:p w14:paraId="3A41FA9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/ЖАРОВ/</w:t>
      </w:r>
    </w:p>
    <w:p w14:paraId="1036AD5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сентября 1941</w:t>
      </w:r>
    </w:p>
    <w:p w14:paraId="1CA40D6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ВОЕН. КОМИССАР ЗАКАЗОВ ВООРУЖ. ГУ ВВС КА</w:t>
      </w:r>
    </w:p>
    <w:p w14:paraId="5CA3613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 Батальонный Комиссар</w:t>
      </w:r>
    </w:p>
    <w:p w14:paraId="02D46BC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/ПЕКИН/</w:t>
      </w:r>
    </w:p>
    <w:p w14:paraId="2A38202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сентября 1941 г.</w:t>
      </w:r>
    </w:p>
    <w:p w14:paraId="4636C7C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640820">
        <w:rPr>
          <w:rFonts w:ascii="Times New Roman" w:hAnsi="Times New Roman"/>
          <w:smallCaps/>
          <w:color w:val="000000" w:themeColor="text1"/>
          <w:sz w:val="16"/>
          <w:szCs w:val="16"/>
        </w:rPr>
        <w:t>НАУЧНО-ТЕХНИЧЕСКИЙ ЖУРНАЛ</w:t>
      </w:r>
    </w:p>
    <w:p w14:paraId="3E9BB41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12-го УПРАВЛЕНИЯ ГУ ВВС КА /по Опытному Отделу/ № 0187</w:t>
      </w:r>
    </w:p>
    <w:p w14:paraId="76591ED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вопросу:</w:t>
      </w:r>
    </w:p>
    <w:p w14:paraId="5401E0D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Утверждения отчета по полигонным испфтаниям авиационных осколочных гранат АГ-2 и кассет к ним</w:t>
      </w:r>
    </w:p>
    <w:p w14:paraId="671ABEB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Постаяовлением Государствваного Комитета Обороны за № 247сс от 24 июля с.г., - ГСКБ-47 Н.К.Б. обязывалось изготовить опытную партию осколочных гранат АГ-2 в количестве 1.000 и подать их на НИП АВ на полигонные испытания.</w:t>
      </w:r>
    </w:p>
    <w:p w14:paraId="081357F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Этим же поставовлением Н.К.А.П. обязывался изготовить кассеты для испытания этих гранат с саюлетов ИЛ-2 и СБ.</w:t>
      </w:r>
    </w:p>
    <w:p w14:paraId="6921436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Авиациоввые осколочные гранаты АГ-2 предназвачаютоя для действия в воздушном бою в качестве оборонительного оружия, защищающего самолет со стороны задней полусферы.</w:t>
      </w:r>
    </w:p>
    <w:p w14:paraId="3C24204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ГСКБ-47 изготовило первую партию гранат АГ-2 в количестве 500 штук и подало их на НИП АВ 15 Августа с.г. на полигонные испытании. В этот же деьь завод № 32 НКАП подал на НИП АВ изготовленные в двухвариантах кассеты: с электромагнитном управлением и механическим. Испытания гра</w:t>
      </w:r>
      <w:r w:rsidRPr="00640820">
        <w:rPr>
          <w:rFonts w:ascii="Times New Roman" w:hAnsi="Times New Roman"/>
          <w:color w:val="000000" w:themeColor="text1"/>
          <w:sz w:val="16"/>
          <w:szCs w:val="16"/>
        </w:rPr>
        <w:softHyphen/>
        <w:t>нат и кассет были начаты 15.08. и закончены 30.08.41 г. Испытания имели целью определить:</w:t>
      </w:r>
    </w:p>
    <w:p w14:paraId="50F858A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Безотказность действия ударного механизма гранаты,</w:t>
      </w:r>
    </w:p>
    <w:p w14:paraId="626D01D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Время замедления и прочность парашюта гранаты при различных скоростях саиолетов.</w:t>
      </w:r>
    </w:p>
    <w:p w14:paraId="0AEC576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Осколочное действие</w:t>
      </w:r>
    </w:p>
    <w:p w14:paraId="27E2743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Безопасность боевого применения я эксплоатации гранаты.</w:t>
      </w:r>
    </w:p>
    <w:p w14:paraId="3590713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Тактическая целесообразность применения.</w:t>
      </w:r>
    </w:p>
    <w:p w14:paraId="015416A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Безотказность действия и удобство эксплоатации кассет.</w:t>
      </w:r>
    </w:p>
    <w:p w14:paraId="11F6166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Прочность конструкции кассет.</w:t>
      </w:r>
    </w:p>
    <w:p w14:paraId="28C6526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Возможность применения кассет на различных типах самоготов.</w:t>
      </w:r>
    </w:p>
    <w:p w14:paraId="5B54D8E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Основные характеристики:</w:t>
      </w:r>
    </w:p>
    <w:p w14:paraId="6111178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Граната АГ-2</w:t>
      </w:r>
    </w:p>
    <w:p w14:paraId="67C15C4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Вес - 1,8 кгр.</w:t>
      </w:r>
    </w:p>
    <w:p w14:paraId="7FFE0AB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Материал корпуса - сталистый чугун.</w:t>
      </w:r>
    </w:p>
    <w:p w14:paraId="4FEF445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Снаряжение 3-х вариантов:</w:t>
      </w:r>
    </w:p>
    <w:p w14:paraId="291E6AB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порох</w:t>
      </w:r>
    </w:p>
    <w:p w14:paraId="0EF1D56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фото-смесь</w:t>
      </w:r>
    </w:p>
    <w:p w14:paraId="6E94130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тротил.</w:t>
      </w:r>
    </w:p>
    <w:p w14:paraId="41ABBCA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Габариты внешние - диаметр 82 мм. и высота 132 мм</w:t>
      </w:r>
    </w:p>
    <w:p w14:paraId="74703D5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Кассета с электромагнитным управлением</w:t>
      </w:r>
    </w:p>
    <w:p w14:paraId="10EDE5B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Вес - 8,5 кгр.</w:t>
      </w:r>
    </w:p>
    <w:p w14:paraId="1192261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Материал - сталь</w:t>
      </w:r>
    </w:p>
    <w:p w14:paraId="2ECC62A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Габариты внешние - 1102 х 140х142 мм</w:t>
      </w:r>
    </w:p>
    <w:p w14:paraId="71F164C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Кассета о механическим управлением:</w:t>
      </w:r>
    </w:p>
    <w:p w14:paraId="54B4046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Вес - 12,1 кгр.</w:t>
      </w:r>
    </w:p>
    <w:p w14:paraId="1919C2A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Материал - сталь</w:t>
      </w:r>
    </w:p>
    <w:p w14:paraId="0C4D555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Габариты внешние - 1065 х 162 х 138 мм</w:t>
      </w:r>
    </w:p>
    <w:p w14:paraId="0DCFA7D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Действие гранаты.</w:t>
      </w:r>
    </w:p>
    <w:p w14:paraId="72660C7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момент выпадения гранаты из кассеты, смонтирован</w:t>
      </w:r>
      <w:r w:rsidRPr="00640820">
        <w:rPr>
          <w:rFonts w:ascii="Times New Roman" w:hAnsi="Times New Roman"/>
          <w:color w:val="000000" w:themeColor="text1"/>
          <w:sz w:val="16"/>
          <w:szCs w:val="16"/>
        </w:rPr>
        <w:softHyphen/>
        <w:t>ной под-самолетом, сдергивается крышка с парашютной коробки. Раскрывшийся парашют поглощает инерционную скорость гранаты, одновременно поворачивает скобу парашюта и сре</w:t>
      </w:r>
      <w:r w:rsidRPr="00640820">
        <w:rPr>
          <w:rFonts w:ascii="Times New Roman" w:hAnsi="Times New Roman"/>
          <w:color w:val="000000" w:themeColor="text1"/>
          <w:sz w:val="16"/>
          <w:szCs w:val="16"/>
        </w:rPr>
        <w:softHyphen/>
        <w:t>зает предохранительную чеку взрывателя.</w:t>
      </w:r>
    </w:p>
    <w:p w14:paraId="4FF9F22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 действием боевой пружины ударник разбивает капсюль воспламенитель, воспламенение которого передается замедлителному составу, рассчитанному на горение в тече</w:t>
      </w:r>
      <w:r w:rsidRPr="00640820">
        <w:rPr>
          <w:rFonts w:ascii="Times New Roman" w:hAnsi="Times New Roman"/>
          <w:color w:val="000000" w:themeColor="text1"/>
          <w:sz w:val="16"/>
          <w:szCs w:val="16"/>
        </w:rPr>
        <w:softHyphen/>
        <w:t>ние 2-х секунд. К моменту подачи огня от замедлителя к капсюлю-детоватору, граната под действием сопротивления парашюта, отстает от самолета, вследствие чего взрыв гранаты происходит на достаточном для безопасности самоле</w:t>
      </w:r>
      <w:r w:rsidRPr="00640820">
        <w:rPr>
          <w:rFonts w:ascii="Times New Roman" w:hAnsi="Times New Roman"/>
          <w:color w:val="000000" w:themeColor="text1"/>
          <w:sz w:val="16"/>
          <w:szCs w:val="16"/>
        </w:rPr>
        <w:softHyphen/>
        <w:t>та расстоянии. Вертикальное снижение гранаты за это вре</w:t>
      </w:r>
      <w:r w:rsidRPr="00640820">
        <w:rPr>
          <w:rFonts w:ascii="Times New Roman" w:hAnsi="Times New Roman"/>
          <w:color w:val="000000" w:themeColor="text1"/>
          <w:sz w:val="16"/>
          <w:szCs w:val="16"/>
        </w:rPr>
        <w:softHyphen/>
        <w:t>мя будет примерно 25-30 метров.</w:t>
      </w:r>
    </w:p>
    <w:p w14:paraId="42CB747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Результаты испытаний.</w:t>
      </w:r>
    </w:p>
    <w:p w14:paraId="123F0EB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Наземные испытания АГ-2:</w:t>
      </w:r>
    </w:p>
    <w:p w14:paraId="18231E2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наземиых условиях определялось время замедления от начала накола капсюля воспламенителя до разрыва гранаты. В результате испытаний установлено, что среднее вре</w:t>
      </w:r>
      <w:r w:rsidRPr="00640820">
        <w:rPr>
          <w:rFonts w:ascii="Times New Roman" w:hAnsi="Times New Roman"/>
          <w:color w:val="000000" w:themeColor="text1"/>
          <w:sz w:val="16"/>
          <w:szCs w:val="16"/>
        </w:rPr>
        <w:softHyphen/>
        <w:t>мя замедления равно 2,03 сек.</w:t>
      </w:r>
    </w:p>
    <w:p w14:paraId="16496C9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Осколочное действие определилось подрывом гранат в бронеяме и в секторных мишенях.</w:t>
      </w:r>
    </w:p>
    <w:p w14:paraId="19D7478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результате подрывов в бронеяме установлено, что АГ-2 снаряженные фотосмесью при разрыве дают до 75 оскол</w:t>
      </w:r>
      <w:r w:rsidRPr="00640820">
        <w:rPr>
          <w:rFonts w:ascii="Times New Roman" w:hAnsi="Times New Roman"/>
          <w:color w:val="000000" w:themeColor="text1"/>
          <w:sz w:val="16"/>
          <w:szCs w:val="16"/>
        </w:rPr>
        <w:softHyphen/>
        <w:t>ков весок от I гр. до 100 грамм, и АГ-2, снаряженные тро</w:t>
      </w:r>
      <w:r w:rsidRPr="00640820">
        <w:rPr>
          <w:rFonts w:ascii="Times New Roman" w:hAnsi="Times New Roman"/>
          <w:color w:val="000000" w:themeColor="text1"/>
          <w:sz w:val="16"/>
          <w:szCs w:val="16"/>
        </w:rPr>
        <w:softHyphen/>
        <w:t>тилом дают до 1538 осколков» весом от 0,5 грамм до 10 грамм, причем наибольшее количество осколков, до 1446 падает, на осколки весом до 3-х грамм.</w:t>
      </w:r>
    </w:p>
    <w:p w14:paraId="72DEDC4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Результаты подрыва АГ-2 в секторных машенах предс</w:t>
      </w:r>
      <w:r w:rsidRPr="00640820">
        <w:rPr>
          <w:rFonts w:ascii="Times New Roman" w:hAnsi="Times New Roman"/>
          <w:color w:val="000000" w:themeColor="text1"/>
          <w:sz w:val="16"/>
          <w:szCs w:val="16"/>
        </w:rPr>
        <w:softHyphen/>
        <w:t>тавлены в следующей таблице:</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074"/>
        <w:gridCol w:w="986"/>
        <w:gridCol w:w="835"/>
        <w:gridCol w:w="814"/>
        <w:gridCol w:w="828"/>
        <w:gridCol w:w="1282"/>
      </w:tblGrid>
      <w:tr w:rsidR="006B0687" w:rsidRPr="00640820" w14:paraId="76D47C4C" w14:textId="77777777" w:rsidTr="000D3BCB">
        <w:trPr>
          <w:trHeight w:val="20"/>
        </w:trPr>
        <w:tc>
          <w:tcPr>
            <w:tcW w:w="2074" w:type="dxa"/>
            <w:tcBorders>
              <w:top w:val="single" w:sz="12" w:space="0" w:color="auto"/>
            </w:tcBorders>
          </w:tcPr>
          <w:p w14:paraId="6AB492E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пп и Наименовав. изделия и снаряжение. </w:t>
            </w:r>
          </w:p>
        </w:tc>
        <w:tc>
          <w:tcPr>
            <w:tcW w:w="4745" w:type="dxa"/>
            <w:gridSpan w:val="5"/>
            <w:tcBorders>
              <w:top w:val="single" w:sz="12" w:space="0" w:color="auto"/>
            </w:tcBorders>
          </w:tcPr>
          <w:p w14:paraId="2C73F03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Количество осколков. </w:t>
            </w:r>
          </w:p>
        </w:tc>
      </w:tr>
      <w:tr w:rsidR="006B0687" w:rsidRPr="00640820" w14:paraId="42ED16F5" w14:textId="77777777" w:rsidTr="000D3BCB">
        <w:trPr>
          <w:trHeight w:val="20"/>
        </w:trPr>
        <w:tc>
          <w:tcPr>
            <w:tcW w:w="2074" w:type="dxa"/>
          </w:tcPr>
          <w:p w14:paraId="50B160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986" w:type="dxa"/>
          </w:tcPr>
          <w:p w14:paraId="3FD0EAB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Пробив</w:t>
            </w:r>
            <w:r w:rsidRPr="00640820">
              <w:rPr>
                <w:rFonts w:ascii="Times New Roman" w:hAnsi="Times New Roman"/>
                <w:color w:val="000000" w:themeColor="text1"/>
                <w:sz w:val="16"/>
                <w:szCs w:val="16"/>
              </w:rPr>
              <w:softHyphen/>
              <w:t xml:space="preserve">ших. </w:t>
            </w:r>
          </w:p>
        </w:tc>
        <w:tc>
          <w:tcPr>
            <w:tcW w:w="835" w:type="dxa"/>
          </w:tcPr>
          <w:p w14:paraId="4CC8655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Засев</w:t>
            </w:r>
            <w:r w:rsidRPr="00640820">
              <w:rPr>
                <w:rFonts w:ascii="Times New Roman" w:hAnsi="Times New Roman"/>
                <w:color w:val="000000" w:themeColor="text1"/>
                <w:sz w:val="16"/>
                <w:szCs w:val="16"/>
              </w:rPr>
              <w:softHyphen/>
              <w:t xml:space="preserve">ших </w:t>
            </w:r>
          </w:p>
        </w:tc>
        <w:tc>
          <w:tcPr>
            <w:tcW w:w="814" w:type="dxa"/>
          </w:tcPr>
          <w:p w14:paraId="3EE56B3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Отско-чивших </w:t>
            </w:r>
          </w:p>
        </w:tc>
        <w:tc>
          <w:tcPr>
            <w:tcW w:w="828" w:type="dxa"/>
          </w:tcPr>
          <w:p w14:paraId="024DF87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Всего оскол. </w:t>
            </w:r>
          </w:p>
        </w:tc>
        <w:tc>
          <w:tcPr>
            <w:tcW w:w="1282" w:type="dxa"/>
          </w:tcPr>
          <w:p w14:paraId="0440BF0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smallCaps/>
                <w:color w:val="000000" w:themeColor="text1"/>
                <w:sz w:val="16"/>
                <w:szCs w:val="16"/>
              </w:rPr>
              <w:t>убойных</w:t>
            </w:r>
          </w:p>
        </w:tc>
      </w:tr>
      <w:tr w:rsidR="006B0687" w:rsidRPr="00640820" w14:paraId="6F305581" w14:textId="77777777" w:rsidTr="000D3BCB">
        <w:trPr>
          <w:trHeight w:val="20"/>
        </w:trPr>
        <w:tc>
          <w:tcPr>
            <w:tcW w:w="2074" w:type="dxa"/>
          </w:tcPr>
          <w:p w14:paraId="1C96944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I . Авиаграната АГ-2 Фото-смесь </w:t>
            </w:r>
          </w:p>
        </w:tc>
        <w:tc>
          <w:tcPr>
            <w:tcW w:w="986" w:type="dxa"/>
          </w:tcPr>
          <w:p w14:paraId="57C440B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I </w:t>
            </w:r>
          </w:p>
        </w:tc>
        <w:tc>
          <w:tcPr>
            <w:tcW w:w="835" w:type="dxa"/>
          </w:tcPr>
          <w:p w14:paraId="1EF27D4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5 </w:t>
            </w:r>
          </w:p>
        </w:tc>
        <w:tc>
          <w:tcPr>
            <w:tcW w:w="814" w:type="dxa"/>
          </w:tcPr>
          <w:p w14:paraId="57BDB2E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238485F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2" w:type="dxa"/>
          </w:tcPr>
          <w:p w14:paraId="2E14CE0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B0687" w:rsidRPr="00640820" w14:paraId="1B65B2EF" w14:textId="77777777" w:rsidTr="000D3BCB">
        <w:trPr>
          <w:trHeight w:val="20"/>
        </w:trPr>
        <w:tc>
          <w:tcPr>
            <w:tcW w:w="2074" w:type="dxa"/>
            <w:tcBorders>
              <w:bottom w:val="single" w:sz="12" w:space="0" w:color="auto"/>
            </w:tcBorders>
          </w:tcPr>
          <w:p w14:paraId="2C4D1ED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 Авиагранита АГ-2 Тротил -заливка. </w:t>
            </w:r>
          </w:p>
        </w:tc>
        <w:tc>
          <w:tcPr>
            <w:tcW w:w="986" w:type="dxa"/>
            <w:tcBorders>
              <w:bottom w:val="single" w:sz="12" w:space="0" w:color="auto"/>
            </w:tcBorders>
          </w:tcPr>
          <w:p w14:paraId="25A4E40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12 </w:t>
            </w:r>
          </w:p>
        </w:tc>
        <w:tc>
          <w:tcPr>
            <w:tcW w:w="835" w:type="dxa"/>
            <w:tcBorders>
              <w:bottom w:val="single" w:sz="12" w:space="0" w:color="auto"/>
            </w:tcBorders>
          </w:tcPr>
          <w:p w14:paraId="41CC32F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«0 </w:t>
            </w:r>
          </w:p>
        </w:tc>
        <w:tc>
          <w:tcPr>
            <w:tcW w:w="814" w:type="dxa"/>
            <w:tcBorders>
              <w:bottom w:val="single" w:sz="12" w:space="0" w:color="auto"/>
            </w:tcBorders>
          </w:tcPr>
          <w:p w14:paraId="51CCDCF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21 </w:t>
            </w:r>
          </w:p>
        </w:tc>
        <w:tc>
          <w:tcPr>
            <w:tcW w:w="828" w:type="dxa"/>
            <w:tcBorders>
              <w:bottom w:val="single" w:sz="12" w:space="0" w:color="auto"/>
            </w:tcBorders>
          </w:tcPr>
          <w:p w14:paraId="3B45CD6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73 </w:t>
            </w:r>
          </w:p>
        </w:tc>
        <w:tc>
          <w:tcPr>
            <w:tcW w:w="1282" w:type="dxa"/>
            <w:tcBorders>
              <w:bottom w:val="single" w:sz="12" w:space="0" w:color="auto"/>
            </w:tcBorders>
          </w:tcPr>
          <w:p w14:paraId="7FE5511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17 </w:t>
            </w:r>
          </w:p>
        </w:tc>
      </w:tr>
    </w:tbl>
    <w:p w14:paraId="278E35C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Убойность осколков гранаты, снаряженной фотосмесью, незначительна в сравнении c троттиловымснаряжением. Боль</w:t>
      </w:r>
      <w:r w:rsidRPr="00640820">
        <w:rPr>
          <w:rFonts w:ascii="Times New Roman" w:hAnsi="Times New Roman"/>
          <w:color w:val="000000" w:themeColor="text1"/>
          <w:sz w:val="16"/>
          <w:szCs w:val="16"/>
        </w:rPr>
        <w:softHyphen/>
        <w:t>шинство осколков гранаты снаряженной фотосмесью распола</w:t>
      </w:r>
      <w:r w:rsidRPr="00640820">
        <w:rPr>
          <w:rFonts w:ascii="Times New Roman" w:hAnsi="Times New Roman"/>
          <w:color w:val="000000" w:themeColor="text1"/>
          <w:sz w:val="16"/>
          <w:szCs w:val="16"/>
        </w:rPr>
        <w:softHyphen/>
        <w:t>гается на расотоявии 5-ти метров от места подрыва.</w:t>
      </w:r>
    </w:p>
    <w:p w14:paraId="15B284B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Дробление корпуса гранаты снаряженной тротилом, полученное на испытаниях - нерациональное, осколки полу</w:t>
      </w:r>
      <w:r w:rsidRPr="00640820">
        <w:rPr>
          <w:rFonts w:ascii="Times New Roman" w:hAnsi="Times New Roman"/>
          <w:color w:val="000000" w:themeColor="text1"/>
          <w:sz w:val="16"/>
          <w:szCs w:val="16"/>
        </w:rPr>
        <w:softHyphen/>
        <w:t>чается слишком мелкие и являются мало эффективными для поражения самолетов, что объясняется несоответствием химического состава сталиотого чугуна в части марганца, серы и фосфора.</w:t>
      </w:r>
    </w:p>
    <w:p w14:paraId="7C9A1D6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Наземные испытания кассет</w:t>
      </w:r>
    </w:p>
    <w:p w14:paraId="3F669F6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наземных условиях производилась примерка гранат в кассеты и проверка работы кассет сбрасыванием гранат.</w:t>
      </w:r>
    </w:p>
    <w:p w14:paraId="5EFD377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кажой касеты было произведено по 5 сбрасываний на землю 10 корпусов АГ-2. Кассеты работали безотказно.</w:t>
      </w:r>
    </w:p>
    <w:p w14:paraId="334580E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Воздушные испытания АГ-2 и кассет к ним.</w:t>
      </w:r>
    </w:p>
    <w:p w14:paraId="0C702D3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проверки прочности кассет и креплений их на самолет было выполнено по два растрясочных полета с каждой кассетой, снаряженнной АГ-2</w:t>
      </w:r>
    </w:p>
    <w:p w14:paraId="4683490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осмотре кассет после полетов, никаких повреждений и деформаций не обнаружено.</w:t>
      </w:r>
    </w:p>
    <w:p w14:paraId="35959EA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Сбрасывание АГ-2 из кассет производилось по одной штуке и залпамидо 10 штук с высот от 50 до 500 м, при скорости с-та от 360 до 450 км/час, как на горизонтальном прямолинейном полете, так и на пикировании и вираже.</w:t>
      </w:r>
    </w:p>
    <w:p w14:paraId="47F387D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Испытания на с-те СБ</w:t>
      </w:r>
    </w:p>
    <w:p w14:paraId="64AE240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 было сброшено АГ-2 - 119 штук с горизонтального полета. При сбрасывании АГ-2 из кассеты с механическим управлением, имели место два случая самопроизвольного выпадания АГ-2 в воздухе и один случай зависания ее в ячейке кассеты.</w:t>
      </w:r>
    </w:p>
    <w:p w14:paraId="07A92F3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Испытания на с-те Ил-2</w:t>
      </w:r>
    </w:p>
    <w:p w14:paraId="0084D81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 было сброшено АГ-2 - 140 штук с горизонтального полета.</w:t>
      </w:r>
    </w:p>
    <w:p w14:paraId="03631AB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Кассета с электромагнитным управлением работала безотказно.</w:t>
      </w:r>
    </w:p>
    <w:p w14:paraId="0C058E7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Испытание на самолете МиГ-3</w:t>
      </w:r>
    </w:p>
    <w:p w14:paraId="4C374D5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 было сброшено АГ-2 - 40 штук с горизонтального полета и на пикировании, под углом до 70 гр.</w:t>
      </w:r>
    </w:p>
    <w:p w14:paraId="009F08F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Кассета с электомагнитным управлением работала без</w:t>
      </w:r>
      <w:r w:rsidRPr="00640820">
        <w:rPr>
          <w:rFonts w:ascii="Times New Roman" w:hAnsi="Times New Roman"/>
          <w:color w:val="000000" w:themeColor="text1"/>
          <w:sz w:val="16"/>
          <w:szCs w:val="16"/>
        </w:rPr>
        <w:softHyphen/>
        <w:t>отказно.</w:t>
      </w:r>
    </w:p>
    <w:p w14:paraId="70268E5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Разрывы АГ-2 происходили на безопасном для своего самолета расстоянии в пределах 120-200 метров по направле</w:t>
      </w:r>
      <w:r w:rsidRPr="00640820">
        <w:rPr>
          <w:rFonts w:ascii="Times New Roman" w:hAnsi="Times New Roman"/>
          <w:color w:val="000000" w:themeColor="text1"/>
          <w:sz w:val="16"/>
          <w:szCs w:val="16"/>
        </w:rPr>
        <w:softHyphen/>
        <w:t>нию полета и оо снижением по вертикали до 25 м.</w:t>
      </w:r>
    </w:p>
    <w:p w14:paraId="122E9CE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301 сброшенных АГ-2 получено 11 отказов, из них:</w:t>
      </w:r>
    </w:p>
    <w:p w14:paraId="2147443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отказа из-за невоспламенения капсюля,</w:t>
      </w:r>
    </w:p>
    <w:p w14:paraId="4611693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отказов из-за невоспламенения замедлителя,</w:t>
      </w:r>
    </w:p>
    <w:p w14:paraId="24FF594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 отказ аз-за погнутости ударяика,</w:t>
      </w:r>
    </w:p>
    <w:p w14:paraId="730FAB0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 отказ из-за отсутствия ударника /не поставлен при сборке/.</w:t>
      </w:r>
    </w:p>
    <w:p w14:paraId="3B2180B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Общий процент отказов АГ-2 состалмяет 3,6 %</w:t>
      </w:r>
    </w:p>
    <w:p w14:paraId="0F53BD7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процессе испытаний две гранаты были выброшены в воздухе вручную, в нижнии люк стрелка-радиста самолета ПЕ-2. Пии этом крышки парашютвой коробки были приоткрыты и придерживались пальцем. Обе гранаты сработали нормально.</w:t>
      </w:r>
    </w:p>
    <w:p w14:paraId="1A98D8B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выводах по полигонным испытаниям АГ-2, НИП АВ отмечает, что:</w:t>
      </w:r>
    </w:p>
    <w:p w14:paraId="74BEFE2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АГ-2 по безопасвости действия, безопасности свево</w:t>
      </w:r>
      <w:r w:rsidRPr="00640820">
        <w:rPr>
          <w:rFonts w:ascii="Times New Roman" w:hAnsi="Times New Roman"/>
          <w:color w:val="000000" w:themeColor="text1"/>
          <w:sz w:val="16"/>
          <w:szCs w:val="16"/>
        </w:rPr>
        <w:softHyphen/>
        <w:t>го применения и экоплоатационным данным, показала положи</w:t>
      </w:r>
      <w:r w:rsidRPr="00640820">
        <w:rPr>
          <w:rFonts w:ascii="Times New Roman" w:hAnsi="Times New Roman"/>
          <w:color w:val="000000" w:themeColor="text1"/>
          <w:sz w:val="16"/>
          <w:szCs w:val="16"/>
        </w:rPr>
        <w:softHyphen/>
        <w:t>тельные результаты.</w:t>
      </w:r>
    </w:p>
    <w:p w14:paraId="5E29334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Из пред"явленных на полигонные испытания кассет, лучшие результаты по конструктивным, производственным и эксплоатационзым данный и весу - показала кассета с электромагнитным управлением. Механическое управление кассет в эксплоатации - неудобно.</w:t>
      </w:r>
    </w:p>
    <w:p w14:paraId="6DA0F04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Предъявленная гранатная кассета, может бытъ рекомендована для установка на самолеты СБ, ДБ-3 и ИЛ- 2.</w:t>
      </w:r>
    </w:p>
    <w:p w14:paraId="522DAFB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заключении по испытаниям НИП АВ указывает, что:</w:t>
      </w:r>
    </w:p>
    <w:p w14:paraId="3DBA47F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Предъявленные авиационные гранаты АГ-2 и кассета к ним с электромагнитным приводом КГ-10 - полигонные испы</w:t>
      </w:r>
      <w:r w:rsidRPr="00640820">
        <w:rPr>
          <w:rFonts w:ascii="Times New Roman" w:hAnsi="Times New Roman"/>
          <w:color w:val="000000" w:themeColor="text1"/>
          <w:sz w:val="16"/>
          <w:szCs w:val="16"/>
        </w:rPr>
        <w:softHyphen/>
        <w:t>тания выдержала.</w:t>
      </w:r>
    </w:p>
    <w:p w14:paraId="2E676B5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Применение АГ-2 для защиты задней полусферы самолета тактически целесообразно.</w:t>
      </w:r>
    </w:p>
    <w:p w14:paraId="508E445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Устранить недостатки, указанные в отчете. Впредь до отработки эффективной рецептуры ВВ, снаряжать АГ-2 тротилом.</w:t>
      </w:r>
    </w:p>
    <w:p w14:paraId="7CE1C0D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Рекомендовать для серийного производства гранат</w:t>
      </w:r>
      <w:r w:rsidRPr="00640820">
        <w:rPr>
          <w:rFonts w:ascii="Times New Roman" w:hAnsi="Times New Roman"/>
          <w:color w:val="000000" w:themeColor="text1"/>
          <w:sz w:val="16"/>
          <w:szCs w:val="16"/>
        </w:rPr>
        <w:softHyphen/>
        <w:t>ную кассету на 10 гранат с электромагнитным управлением для установки на самолетах СБ, ДБ-3 и ИЛ-2.</w:t>
      </w:r>
    </w:p>
    <w:p w14:paraId="7BAFA0C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 12 упр</w:t>
      </w:r>
      <w:r w:rsidRPr="00640820">
        <w:rPr>
          <w:rFonts w:ascii="Times New Roman" w:hAnsi="Times New Roman"/>
          <w:smallCaps/>
          <w:color w:val="000000" w:themeColor="text1"/>
          <w:sz w:val="16"/>
          <w:szCs w:val="16"/>
        </w:rPr>
        <w:t>. гу ВВС</w:t>
      </w:r>
      <w:r w:rsidRPr="00640820">
        <w:rPr>
          <w:rFonts w:ascii="Times New Roman" w:hAnsi="Times New Roman"/>
          <w:color w:val="000000" w:themeColor="text1"/>
          <w:sz w:val="16"/>
          <w:szCs w:val="16"/>
        </w:rPr>
        <w:t xml:space="preserve"> К.</w:t>
      </w:r>
      <w:r w:rsidRPr="00640820">
        <w:rPr>
          <w:rFonts w:ascii="Times New Roman" w:hAnsi="Times New Roman"/>
          <w:smallCaps/>
          <w:color w:val="000000" w:themeColor="text1"/>
          <w:sz w:val="16"/>
          <w:szCs w:val="16"/>
        </w:rPr>
        <w:t>а.</w:t>
      </w:r>
    </w:p>
    <w:p w14:paraId="1BB8578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Представленный НИП АВ ГУ ВВС НА отчет по полигонным испытаниям авиационных гранат АГ-2 конструкции ГСКБ-47 и кассет к ним конструкции КГ-1 завода № 32 НКАП -УТВВРДИТЬ.</w:t>
      </w:r>
    </w:p>
    <w:p w14:paraId="0A01958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Считать, что авиационные гранаты АГ-2 и кас</w:t>
      </w:r>
      <w:r w:rsidRPr="00640820">
        <w:rPr>
          <w:rFonts w:ascii="Times New Roman" w:hAnsi="Times New Roman"/>
          <w:color w:val="000000" w:themeColor="text1"/>
          <w:sz w:val="16"/>
          <w:szCs w:val="16"/>
        </w:rPr>
        <w:softHyphen/>
        <w:t>сеты к ним о электромагнитным управление - полигонные испытания выдержали.</w:t>
      </w:r>
    </w:p>
    <w:p w14:paraId="79D32A1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Рекомендовать авиационные гранаты АГ-2 к вво</w:t>
      </w:r>
      <w:r w:rsidRPr="00640820">
        <w:rPr>
          <w:rFonts w:ascii="Times New Roman" w:hAnsi="Times New Roman"/>
          <w:color w:val="000000" w:themeColor="text1"/>
          <w:sz w:val="16"/>
          <w:szCs w:val="16"/>
        </w:rPr>
        <w:softHyphen/>
        <w:t>ду на вооружение ВВС Красной Армия.</w:t>
      </w:r>
    </w:p>
    <w:p w14:paraId="3501EB4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Просить Н.К.А.П.: -</w:t>
      </w:r>
    </w:p>
    <w:p w14:paraId="25ACBF1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Изготовить в течение сентября-октября вес. 1941 г. 100 штук кассет с электромагнитный запиранием, для уста</w:t>
      </w:r>
      <w:r w:rsidRPr="00640820">
        <w:rPr>
          <w:rFonts w:ascii="Times New Roman" w:hAnsi="Times New Roman"/>
          <w:color w:val="000000" w:themeColor="text1"/>
          <w:sz w:val="16"/>
          <w:szCs w:val="16"/>
        </w:rPr>
        <w:softHyphen/>
        <w:t>новки ич на самолеты по указанию ГУ ВВС КА .</w:t>
      </w:r>
    </w:p>
    <w:p w14:paraId="6F2ABDB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Срочно спроектировав, изготоаить и подать на полигоииые испытания анутрифюзеляжные кассеты для АГ-2 к самолетам: ПЕ-2, СУ-2, МиГ-3, ЛАГГ-3, ЯК-1.</w:t>
      </w:r>
    </w:p>
    <w:p w14:paraId="55BC63A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Просить ГСКБ-47:</w:t>
      </w:r>
    </w:p>
    <w:p w14:paraId="3747DF9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Срочно отработать наивыгоднейшую рецептуру взрыв</w:t>
      </w:r>
      <w:r w:rsidRPr="00640820">
        <w:rPr>
          <w:rFonts w:ascii="Times New Roman" w:hAnsi="Times New Roman"/>
          <w:color w:val="000000" w:themeColor="text1"/>
          <w:sz w:val="16"/>
          <w:szCs w:val="16"/>
        </w:rPr>
        <w:softHyphen/>
        <w:t>чатого аещестш, которая бы обеспечивала получение при разрыве АГ-2 не менее 70-100 штук убойных осколков с общим весом 1000-1400 грамм. при химическом составе ст. чугуна по ТУ 0481</w:t>
      </w:r>
    </w:p>
    <w:p w14:paraId="5B59D9E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б/Разработать я представить на утверждение в ГУ ВВС КА к 10-му Сентября с.г. техническую документацию на АГ-2 /чертежи, ТУ - описание и инструкцию по применение АГ-2/.</w:t>
      </w:r>
    </w:p>
    <w:p w14:paraId="210A682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НТЖ разослать:</w:t>
      </w:r>
    </w:p>
    <w:p w14:paraId="2749D70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Экз. №№ 1 и 2 - Отделен. чертеж, и ТУ 12 Упр. ГУ ВВС КА</w:t>
      </w:r>
    </w:p>
    <w:p w14:paraId="56CB69A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3 - Государственный Комитет обороны</w:t>
      </w:r>
    </w:p>
    <w:p w14:paraId="54A22A4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4 Отдел Авиабоеприпасов НКБ</w:t>
      </w:r>
    </w:p>
    <w:p w14:paraId="6C3BC49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5 7 Главн.Упрааяеяие НКАП</w:t>
      </w:r>
    </w:p>
    <w:p w14:paraId="4BF2ECC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6 ГСКБ-47 НКБ</w:t>
      </w:r>
    </w:p>
    <w:p w14:paraId="4171EF5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7 КБ-1 завода № 32</w:t>
      </w:r>
    </w:p>
    <w:p w14:paraId="4AF8027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8 НИП АВ ГУ ВВС КА.</w:t>
      </w:r>
    </w:p>
    <w:p w14:paraId="2784A1D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12 УПРАЗЛВНИЯ ГУ ВВС КА БРИГИНЖЕНЕР - /Солатов/</w:t>
      </w:r>
    </w:p>
    <w:p w14:paraId="2640CD6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ОПЫТНОГО ОТДЕЛА 12 УПР. ГУ ВВС КА</w:t>
      </w:r>
    </w:p>
    <w:p w14:paraId="1F14D9A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ВОЕНИНЖЕНЕР I РАНГА - /Матаев/ (4156,194).</w:t>
      </w:r>
    </w:p>
    <w:p w14:paraId="7DEE074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9ADA95"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62C0563A"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7B8CF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сентября 1941 вышло Постановление ГКО № 656 Об обеспечении плана производства танков в сентябре месяце 1941 года. РГАНИР, Фонд ГКО, д. 9, лл. 24-26, 27-44 (11012).</w:t>
      </w:r>
    </w:p>
    <w:p w14:paraId="580038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B9021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сентября 1941, когда вторая танковая группа Гудериана прорвалась в район Ромны, разрушились надежды командования на стабилизацию фронта. 15 сентября они соединились с первой танковой группой Клейста в районе Конотопа. Произошла одна из грандиознейших военных катастроф второй мировой войны – Киевский котёл. После этого стало очевидно, что удержать Восточную Украину советские войска не смогут, а значит её развитая промышленность должна была быть как можно быстрее эвакуирована. Угроза нависла над Харьковом, от которого немцев в конце сентября отделяло всего чуть больше 70 километров.</w:t>
      </w:r>
    </w:p>
    <w:p w14:paraId="035212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Только 12 сентября, когда военная катастрофа была предрешена, было принято решение начать эвакуацию из Харькова заводов танковой промышленности. Любопытно, что постановления ГКО № 666сс и № 667сс, в которых предписывалось начать подготовку к эвакуации вышеупомянутых четырех заводов, появились в тот же день, что и был образован наркомат танковой промышленности. Организация эвакуации этих заводов стала одной из первых задач наркомата. В соответствии с вышеупомянутыми постановлениями ГКО были отданы приказы народного комиссара танковой промышленности за № 2сс от 13 сентября 1941 года, в котором определялся порядок эвакуации завода № 75, и 4сс от того же числа, определявший порядок эвакуации Харьковского паровозостроительного завода и Мариупольского завода имени Ильича, а вслед за тем 11сс от 17 сентября, в которых определялся порядок эвакуации Харьковского тракторного завода. Эти приказы фактически содержат планы проведения эвакуации этих заводов. Впрочем, эти планы представляли собой не вольное творчество руководства наркомата. Основные мероприятия, запланированные в этих приказах, были уже подробно изложены в постановлениях ГКО № 666 и № 667.</w:t>
      </w:r>
    </w:p>
    <w:p w14:paraId="7E90F3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бумаге все выглядит очень хорошо. Предприятия должны были быть эвакуированы в следующие пункты: завод № 183 - на Уральский вагоностроительный завод в городе Нижний Тагил, один из крупнейших заводов Урала, построенных в 30-е годы. На этом заводе имелись большие свободные площади, на которые до сих пор не было установлено оборудование ( из-за этого завод так и не вышел на проектируемую мощность производства ), а также развитое металлургическое производство. Впоследствии Уральский вагоностроительный завод ( в годы войны он обычно тоже назывался № 183, как и завод в Харькове ) стал крупнейшим танковым заводом мира, как по территории завода, которая, как оказалось, была сопоставима с крупным городом, так и по объёмам производства, и даже вошёл в книгу рекордов Гиннеса как крупнейший военный завод. Мариупольский завод имени Ильича должен был быть разделён на две части. Большая часть должна была войти в состав завода № 183 в Нижнем Тагиле, а другая, состоящая из оборудования и рабочих, занятых производством бронелиста – на Нижнетагильский Металлургический завод. Завод № 75 должен был быть эвакуирован на Челябинский тракторный завод, туда же, куда уже эвакуировался Кировский завод из Ленинграда, и войти там в его состав. ХТЗ должен был разделить своё оборудование между пятью заводами: тем же № 183, Сталинградским тракторным, № 264, тоже находившимся в Сталинграде, Чкаловским паровозоремонтным и Саратовским паровозоремонтным. С точки зрения размещения эвакуируемых предприятий план был отличным. Очень важно было то, что в качестве базы для развёртывания производства на новом месте можно было использовать уже существующие предприятия, имеющие собственную развитую производственную базу, запасы сырья, собственный жилой фонд, подсобные хозяйства и т. д.. Выбор Уралвагонзавода как предприятия, на которое должен был быть эвакуирован завод № 183, тоже был очень удачным и способствовал успешной деятельности этого крупнейшего танкового завода. ХТЗ, как предприятие, не имеющее собственных традиций танкостроения, было ценно не как единый комплекс, а прежде всего своим оборудованием. Ликвидация завода и распределение этого оборудования по нескольким предприятиям позволяло более эффективно его использовать. Так же разумным следует признать разделение на две части Мариупольского завода. Производство бронекорпусов было действительно выгоднее передать танковому заводу, а металлургическое оборудование лучше было бы использовано на Нижнетагильском металлургическом заводе.</w:t>
      </w:r>
    </w:p>
    <w:p w14:paraId="19E453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Предполагалось провести эвакуацию в два этапа. Всё оборудование и кадры должны были быть разделены на две группы, каждая из которых должна была включать 50% действующего оборудования, занятого на производстве танков и деталей к ним, и соответствующее количество ИТР. На первом этапе, начать который предполагалось немедленно, должна была быть эвакуирована первая группа. Первый этап должен был завершиться на Мариупольском заводе имени Ильича к 10 октября, на заводе № 75 – 25 октября, на Харьковском Тракторном заводе – 27 октября, а на Харьковском Паровозостроительном заводе, он же № 183 – 10 ноября. Эвакуация второй группы должна была начаться только после того, как первая группа наладит на новом месте производство. Таким образом, процесс выпуска военной продукции не должен был быть прерван. Было установлено, что завод № 183 должен будет в ходе первого периода эвакуации производить не менее 7 танков в день, а Мариупольский завод имени Ильича – обеспечить для завода № 183 необходимое для такого объёма производства количество бронекорпусов и башен.</w:t>
      </w:r>
    </w:p>
    <w:p w14:paraId="675FDB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Определёно количество и тип требующихся для проведения эвакуации вагонов. Их требовалось для проведения эвакуации немало. Так, Харьковский Паровозостроительный завод должен был получить для проведения обоих этапов эвакуации 3000 вагонов ( в стандартном двухосном исчислении ), в том числе 900 – для людей. Харьковский тракторный должен был получить для проведения эвакуации 3000 вагонов, в том числе и 1000 вагонов для людей. Завод № 75 должен был получить1650 вагонов, в том числе 480 вагонов для людей. Больше всего вагонов должен был получить Мариупольский завод имени Ильича. Ему должны были предоставить 6200 стандартных вагонов в двухосном исчислении, 220 50-ти тонных вагонов и 20 транспортёров. Всего для четырёх заводов требовалось 14090 вагонов всех типов. Постановления ГКО № 666 и № 667 обязывали НКПС выделить это количество вагонов для эвакуации предприятий НКТП. Транспортный отдел НКТП и его начальник Иванов получили указание обеспечить получение требуемых вагонов от НКПС. Впрочем, это огромное число вагонов вряд ли могло быть полностью получено в действительности.</w:t>
      </w:r>
    </w:p>
    <w:p w14:paraId="637E25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Особое внимание в приказах уделено проблеме обустройства на новом месте. Заводы должны были выслать на новые места своего расположения группы специалистов во главе с главными инженерами и провести там подготовительную работу. Заранее было определено, что на Уралвагонзаводе, куда эвакуировался завод № 183, потребуется ещё две дополнительные мартеновские печи, которые директор завода должен построить к 1 декабря, так же как и фундамент под прокатный стан. Внимание было уделено не только организации производства на новом месте, но и созданию приемлемых условий быта рабочих. В частности, для будущих новых рабочих Уралвагонзавода, прибывающих в ходе эвакуации, предусматривалось построить деревянные дома на 40.000 человек. Строительство домов должно было быть завершено к 1 января 1942 года. Помимо этого, руководство партийной организации Свердловской и Челябинской областей должно было выделить жилой фонд в городе Нижний Тагил для эвакуированных сотрудников заводов наркомата. Для строительства должны были быть выделены необходимые материалы, в том числе Наркомлеспром был обязан предоставить 8000 вагонов леса.</w:t>
      </w:r>
    </w:p>
    <w:p w14:paraId="798397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Устанавливалась система контроля за проведением эвакуации. Директора заводов обязаны были ежедневно докладывать о ходе мероприятий по эвакуации, в том числе о количестве отгруженного оборудования, номерах и маршрутах поездов, их местоположении. Помимо этого, разумеется, на заводах были уполномоченные по эвакуации от НКТП, также как, разумеется, от ГКО и комитета по эвакуации, выполнявшие функции контроля.</w:t>
      </w:r>
    </w:p>
    <w:p w14:paraId="48540B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 эвакуации, изложенный в приказах, неплохо продуман, если мы учтем ту ситуацию цейтнота, в которой он создавался. Сами приказы представляют собой великолепные образцы методики, характерной для советской системы управления. Продуманы конкретные мероприятия, назначены ответственные за их осуществление, приняты решения о выделении необходимых средств. Приказы написаны четким лаконичным языком, задачи поставлены предельно ясно и понятно. Казалось бы, предусмотрено всё, от числа требуемых вагонов до числа домов для рабочих, которые необходимо построить. Предусмотрено и то, что эвакуация не должна прервать поставки военной техники армии. Я так много внимания уделил этим приказам и их анализу для того, чтобы показать, что во всём том, что произошло впоследствии, виновата не чья-то нераспорядительность или непредусмотрительность, все основные трудности были предвидены заранее, была сделана попытка подготовить их преодоление, но всё же объективные условия были слишком неблагоприятны.</w:t>
      </w:r>
    </w:p>
    <w:p w14:paraId="5B3715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Как показали последующие события, планы, изложенные в приказах, выполнены не были, и, видимо, были невыполнимы вообще. Самым большим затруднением была нехватка времени. Танковой промышленности ещё сильно повезло в том, что немцы недостаточно оценили стратегическую важность захвата Харькова, направив главный удар группы армий Юг южнее, на Ростов. Для наступления на Харьков, впрочем, была выделена достаточно сильная 6-я армия. Советские войска упорно защищали Харьков. Советское командование понимало важность этого города, и много сделало для его защиты. Поэтому Харьков пал только 25 октября. Последний же эшелон с оборудованием завода № 183 покинул его 19 октября.</w:t>
      </w:r>
    </w:p>
    <w:p w14:paraId="6B3C19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Видимо, к началу октября опасность, нависшая над Харьковом, стала восприниматься советским руководством более реально. 4 октября выходит постановление ГКО, вносившее изменение в порядок эвакуации заводов № 75, № 183, ХТЗ и Мариупольского завода имени Ильича. 7 октября в соответствии с этим постановлением появился приказ наркома танковой промышленности Малышева В. А. № 53сс. Новые решения фактически отменяли двухэшелонный порядок эвакуации. Теперь эвакуировать следовало всё и при этом как можно быстрее. Срок был назван фантастически короткий, и поэтому невыполнимый – 15 октября, то есть, считая с днём появления приказа – 9 суток. Приказом был назначен срок начала производства танков на новом месте – 1 ноября. Эвакуации заводов НКТП из Харькова уделялось особое внимание, о чём свидетельствует то, что личный контроль за её осуществлением должен был осуществлять председатель комитета по эвакуации Шверник Н. М.. От НКТП в Харьков контролировать ход эвакуации был послан заместитель наркома Зернов. Нарком путей сообщения Л. М. Каганович должен был обеспечить подачу необходимого количества вагонов ( при этом точное число вагонов не указывалось, возможно, следовало исходить из того, сколько НКПС вообще сможет предоставить за такой короткий срок ). Начальник Главснаба НКТП Розин должен был обеспечить своевременное получение вагонов от НКПС. То, что на этот раз данная важная задача была доверена начальнику Главснаба, а не начальнику транспортного отдела, который должен был бы этим заниматься по своим служебным обязанностям, показывает, что перед этим с получением вагонов у НКТП возникали большие проблемы (11510).</w:t>
      </w:r>
    </w:p>
    <w:p w14:paraId="7BA2C0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DB993B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сентября 1941 приемка бронеав</w:t>
      </w:r>
      <w:r w:rsidRPr="00640820">
        <w:rPr>
          <w:rFonts w:ascii="Times New Roman" w:hAnsi="Times New Roman"/>
          <w:color w:val="000000" w:themeColor="text1"/>
          <w:sz w:val="16"/>
          <w:szCs w:val="16"/>
        </w:rPr>
        <w:softHyphen/>
        <w:t>томобилей на Ижорском заводе была прекращена, так как к этому времени Ленинград оказался в кольце блокады. Все</w:t>
      </w:r>
      <w:r w:rsidRPr="00640820">
        <w:rPr>
          <w:rFonts w:ascii="Times New Roman" w:hAnsi="Times New Roman"/>
          <w:color w:val="000000" w:themeColor="text1"/>
          <w:sz w:val="16"/>
          <w:szCs w:val="16"/>
        </w:rPr>
        <w:softHyphen/>
        <w:t>го начиная с 1 июля по 10 сентября 1941 года была изготов</w:t>
      </w:r>
      <w:r w:rsidRPr="00640820">
        <w:rPr>
          <w:rFonts w:ascii="Times New Roman" w:hAnsi="Times New Roman"/>
          <w:color w:val="000000" w:themeColor="text1"/>
          <w:sz w:val="16"/>
          <w:szCs w:val="16"/>
        </w:rPr>
        <w:softHyphen/>
        <w:t>лена 331 бронемашина БА-10М (из них 56 с радиостанцией). После этого бронеавтомобили изготавливали только для нужд Ленинградского фронта и в сводки автобронетанково</w:t>
      </w:r>
      <w:r w:rsidRPr="00640820">
        <w:rPr>
          <w:rFonts w:ascii="Times New Roman" w:hAnsi="Times New Roman"/>
          <w:color w:val="000000" w:themeColor="text1"/>
          <w:sz w:val="16"/>
          <w:szCs w:val="16"/>
        </w:rPr>
        <w:softHyphen/>
        <w:t>го управления цифра выпущенных машин не попадала.</w:t>
      </w:r>
    </w:p>
    <w:p w14:paraId="4364795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 пока на заводе имелся задел бронекорпусов, шасси и вооружения, цеха Ижорского завода, размещенные на площадях завода № 189, давали фронту бронемашины. Правда, из-за блокады уже к этому времени сказывался недостаток различных материалов, поэтому выпуск БА-10М был очень неравномерным по времени (11284).</w:t>
      </w:r>
    </w:p>
    <w:p w14:paraId="008F0E3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211C24" w14:textId="77777777" w:rsidR="00E73430" w:rsidRPr="00640820" w:rsidRDefault="00E73430" w:rsidP="00640820">
      <w:pPr>
        <w:pStyle w:val="ae"/>
        <w:shd w:val="clear" w:color="auto" w:fill="FFFFFF"/>
        <w:spacing w:before="0" w:after="0"/>
        <w:jc w:val="both"/>
        <w:rPr>
          <w:color w:val="000000" w:themeColor="text1"/>
          <w:sz w:val="16"/>
          <w:szCs w:val="16"/>
        </w:rPr>
      </w:pPr>
      <w:r w:rsidRPr="00640820">
        <w:rPr>
          <w:color w:val="000000" w:themeColor="text1"/>
          <w:sz w:val="16"/>
          <w:szCs w:val="16"/>
        </w:rPr>
        <w:t>10 сентября 1941 на ХТЗ поступили первые два комплекта корпусов с башнями от завода “Красный Котельщик” (г. Таганрог). 13 сентября 1941 года, спустя почти месяц после планировавшегося начала производства, на ХТЗ был наконец собран первый Т-60 с использованием корпуса и башни Ворошиловградского завода. К моменту сборки первой машины на заводе имелось 12 комплектов корпусов с башнями, прибывших с трёх разных заводов-смежников. Но за сентябрь на заводе были собраны и отправлены в войска всего 7 танков, что равнялось числу имевшихся на заводе двигателей (17462).</w:t>
      </w:r>
    </w:p>
    <w:p w14:paraId="1041417C" w14:textId="77777777" w:rsidR="00E73430" w:rsidRPr="00640820" w:rsidRDefault="00E73430" w:rsidP="00640820">
      <w:pPr>
        <w:pStyle w:val="ae"/>
        <w:shd w:val="clear" w:color="auto" w:fill="FFFFFF"/>
        <w:spacing w:before="0" w:after="0"/>
        <w:jc w:val="both"/>
        <w:rPr>
          <w:color w:val="000000" w:themeColor="text1"/>
          <w:sz w:val="16"/>
          <w:szCs w:val="16"/>
        </w:rPr>
      </w:pPr>
      <w:r w:rsidRPr="00640820">
        <w:rPr>
          <w:color w:val="000000" w:themeColor="text1"/>
          <w:sz w:val="16"/>
          <w:szCs w:val="16"/>
        </w:rPr>
        <w:lastRenderedPageBreak/>
        <w:t>17 сентября 1941 началась эвакуация ХТЗ, частично его оборудование удалось перевезти в пригород Сталинграда Красноармейск. История выпускавшихся там, на заводе №264, танков Т-60 достойна отдельного повествования. Что же касается харьковских Т-60, то их судьба не ясна. 2 танка получил 71-й отдельный танковый батальон, куда попали остальные, неизвестно (17462).</w:t>
      </w:r>
    </w:p>
    <w:p w14:paraId="3279FE10" w14:textId="77777777" w:rsidR="00E73430" w:rsidRPr="00640820" w:rsidRDefault="00E73430" w:rsidP="00640820">
      <w:pPr>
        <w:pStyle w:val="ae"/>
        <w:shd w:val="clear" w:color="auto" w:fill="FFFFFF"/>
        <w:spacing w:before="0" w:after="0"/>
        <w:jc w:val="both"/>
        <w:rPr>
          <w:color w:val="000000" w:themeColor="text1"/>
          <w:sz w:val="16"/>
          <w:szCs w:val="16"/>
        </w:rPr>
      </w:pPr>
    </w:p>
    <w:p w14:paraId="0D147D00" w14:textId="77777777" w:rsidR="00150B39" w:rsidRPr="00640820" w:rsidRDefault="00150B39" w:rsidP="00640820">
      <w:pPr>
        <w:pStyle w:val="162"/>
        <w:shd w:val="clear" w:color="auto" w:fill="auto"/>
        <w:spacing w:line="240" w:lineRule="auto"/>
        <w:jc w:val="both"/>
        <w:rPr>
          <w:color w:val="000000" w:themeColor="text1"/>
          <w:sz w:val="16"/>
          <w:szCs w:val="16"/>
        </w:rPr>
      </w:pPr>
      <w:r w:rsidRPr="00640820">
        <w:rPr>
          <w:color w:val="000000" w:themeColor="text1"/>
          <w:sz w:val="16"/>
          <w:szCs w:val="16"/>
        </w:rPr>
        <w:t>10 сентября 1941 на ХТЗ поступили первые 2 комплекта корпу</w:t>
      </w:r>
      <w:r w:rsidRPr="00640820">
        <w:rPr>
          <w:color w:val="000000" w:themeColor="text1"/>
          <w:sz w:val="16"/>
          <w:szCs w:val="16"/>
        </w:rPr>
        <w:softHyphen/>
        <w:t>сов с башнями от завода «Красный Котельщик» (г. Таганрог). 13 сен</w:t>
      </w:r>
      <w:r w:rsidRPr="00640820">
        <w:rPr>
          <w:color w:val="000000" w:themeColor="text1"/>
          <w:sz w:val="16"/>
          <w:szCs w:val="16"/>
        </w:rPr>
        <w:softHyphen/>
        <w:t>тября 1941 года, спустя почти месяц после планировавшегося начала производства, на ХТЗ был собран первый Т-60 с использованием кор</w:t>
      </w:r>
      <w:r w:rsidRPr="00640820">
        <w:rPr>
          <w:color w:val="000000" w:themeColor="text1"/>
          <w:sz w:val="16"/>
          <w:szCs w:val="16"/>
        </w:rPr>
        <w:softHyphen/>
        <w:t>пуса и башни Ворошиловградского завода. На момент сборки первой машины на заводе имелось 12 комплектов корпусов с башнями, при</w:t>
      </w:r>
      <w:r w:rsidRPr="00640820">
        <w:rPr>
          <w:color w:val="000000" w:themeColor="text1"/>
          <w:sz w:val="16"/>
          <w:szCs w:val="16"/>
        </w:rPr>
        <w:softHyphen/>
        <w:t>бывших с трех разных заводов-смежников. Всего за сентябрь были со</w:t>
      </w:r>
      <w:r w:rsidRPr="00640820">
        <w:rPr>
          <w:color w:val="000000" w:themeColor="text1"/>
          <w:sz w:val="16"/>
          <w:szCs w:val="16"/>
        </w:rPr>
        <w:softHyphen/>
        <w:t>браны и отправлены в войска 7 танков, что равнялось числу имевшихся на заводе двигателей.</w:t>
      </w:r>
    </w:p>
    <w:p w14:paraId="660C2846" w14:textId="77777777" w:rsidR="00150B39" w:rsidRPr="00640820" w:rsidRDefault="00150B39" w:rsidP="00640820">
      <w:pPr>
        <w:pStyle w:val="ae"/>
        <w:spacing w:before="0" w:after="0"/>
        <w:jc w:val="both"/>
        <w:rPr>
          <w:color w:val="000000" w:themeColor="text1"/>
          <w:sz w:val="16"/>
          <w:szCs w:val="16"/>
        </w:rPr>
      </w:pPr>
      <w:r w:rsidRPr="00640820">
        <w:rPr>
          <w:color w:val="000000" w:themeColor="text1"/>
          <w:sz w:val="16"/>
          <w:szCs w:val="16"/>
        </w:rPr>
        <w:t>К 20 сентября немецкие войска вплотную подошли к Харькову, и находящиеся в городе предприятия приступили к эвакуации. Под</w:t>
      </w:r>
      <w:r w:rsidRPr="00640820">
        <w:rPr>
          <w:color w:val="000000" w:themeColor="text1"/>
          <w:sz w:val="16"/>
          <w:szCs w:val="16"/>
        </w:rPr>
        <w:softHyphen/>
        <w:t>готовка эвакуации ХТЗ началась 17 сентября. По планам, завод выво</w:t>
      </w:r>
      <w:r w:rsidRPr="00640820">
        <w:rPr>
          <w:color w:val="000000" w:themeColor="text1"/>
          <w:sz w:val="16"/>
          <w:szCs w:val="16"/>
        </w:rPr>
        <w:softHyphen/>
        <w:t>зился в Сталинград. Полностью эвакуировать производство с ХТЗ не удалось: ворвавшимся в город немецким войскам досталась часть обо</w:t>
      </w:r>
      <w:r w:rsidRPr="00640820">
        <w:rPr>
          <w:color w:val="000000" w:themeColor="text1"/>
          <w:sz w:val="16"/>
          <w:szCs w:val="16"/>
        </w:rPr>
        <w:softHyphen/>
        <w:t>рудования, а также несколько корпусов. Таким образом, единствен</w:t>
      </w:r>
      <w:r w:rsidRPr="00640820">
        <w:rPr>
          <w:color w:val="000000" w:themeColor="text1"/>
          <w:sz w:val="16"/>
          <w:szCs w:val="16"/>
        </w:rPr>
        <w:softHyphen/>
        <w:t>ным производителем Т-60 на несколько месяцев стал ГАЗ (17485).</w:t>
      </w:r>
    </w:p>
    <w:p w14:paraId="7B72019F" w14:textId="77777777" w:rsidR="00150B39" w:rsidRPr="00640820" w:rsidRDefault="00150B39" w:rsidP="00640820">
      <w:pPr>
        <w:pStyle w:val="ae"/>
        <w:spacing w:before="0" w:after="0"/>
        <w:jc w:val="both"/>
        <w:rPr>
          <w:color w:val="000000" w:themeColor="text1"/>
          <w:sz w:val="16"/>
          <w:szCs w:val="16"/>
        </w:rPr>
      </w:pPr>
    </w:p>
    <w:p w14:paraId="39DC5105" w14:textId="77777777" w:rsidR="00340C10" w:rsidRPr="00640820" w:rsidRDefault="00340C10" w:rsidP="00640820">
      <w:pPr>
        <w:spacing w:after="0" w:line="240" w:lineRule="auto"/>
        <w:jc w:val="both"/>
        <w:rPr>
          <w:rFonts w:ascii="Times New Roman" w:hAnsi="Times New Roman"/>
          <w:color w:val="0070C0"/>
          <w:sz w:val="16"/>
          <w:szCs w:val="16"/>
          <w:shd w:val="clear" w:color="auto" w:fill="FFFFFF"/>
        </w:rPr>
      </w:pPr>
      <w:r w:rsidRPr="00640820">
        <w:rPr>
          <w:rFonts w:ascii="Times New Roman" w:hAnsi="Times New Roman"/>
          <w:color w:val="0070C0"/>
          <w:sz w:val="16"/>
          <w:szCs w:val="16"/>
          <w:shd w:val="clear" w:color="auto" w:fill="FFFFFF"/>
        </w:rPr>
        <w:t>10-12 сентября 1941 года на Софринском полигоне проходили испытания переоборудованной машины ЗИС-22М систем залпового огня М-13. Самое интересное, что машина несла уже другой индекс - ЗИС-42. Надо сказать, что общее мнение комиссии склонялось к использованию платформы ЗИС-42, но при ряде переделок. Поэтому выбрали компромиссный вариант - шасси СТЗ-5.</w:t>
      </w:r>
    </w:p>
    <w:p w14:paraId="541D0B26" w14:textId="77777777" w:rsidR="00340C10" w:rsidRPr="00640820" w:rsidRDefault="00340C10" w:rsidP="00640820">
      <w:pPr>
        <w:spacing w:after="0" w:line="240" w:lineRule="auto"/>
        <w:jc w:val="both"/>
        <w:rPr>
          <w:rFonts w:ascii="Times New Roman" w:hAnsi="Times New Roman"/>
          <w:color w:val="0070C0"/>
          <w:sz w:val="16"/>
          <w:szCs w:val="16"/>
          <w:shd w:val="clear" w:color="auto" w:fill="FFFFFF"/>
        </w:rPr>
      </w:pPr>
      <w:r w:rsidRPr="00640820">
        <w:rPr>
          <w:rFonts w:ascii="Times New Roman" w:hAnsi="Times New Roman"/>
          <w:color w:val="0070C0"/>
          <w:sz w:val="16"/>
          <w:szCs w:val="16"/>
          <w:shd w:val="clear" w:color="auto" w:fill="FFFFFF"/>
        </w:rPr>
        <w:t>Несмотря на общее пожелание ЗИС-22М, переименованный в ЗИС-42, запустить в серийное производство, оно тогда не состоялось. Осенью 1941 года Завод им. Сталина частично эвакуировали в Ульяновск. В результате работы по полугусеничной машине на полгода затихли. Возобновились они весной 1942 года. К тому моменту вопрос о тягаче дивизионной артиллерии стал еще более острым, а полугусеничная машина стала безальтернативной (21127).</w:t>
      </w:r>
    </w:p>
    <w:p w14:paraId="7941A4F1" w14:textId="77777777" w:rsidR="00340C10" w:rsidRPr="00640820" w:rsidRDefault="00340C10" w:rsidP="00640820">
      <w:pPr>
        <w:spacing w:after="0" w:line="240" w:lineRule="auto"/>
        <w:jc w:val="both"/>
        <w:rPr>
          <w:rFonts w:ascii="Times New Roman" w:hAnsi="Times New Roman"/>
          <w:color w:val="0070C0"/>
          <w:sz w:val="16"/>
          <w:szCs w:val="16"/>
        </w:rPr>
      </w:pPr>
    </w:p>
    <w:p w14:paraId="5FB52067" w14:textId="77777777" w:rsidR="00165A9C" w:rsidRPr="00640820" w:rsidRDefault="00165A9C" w:rsidP="00640820">
      <w:pPr>
        <w:widowControl w:val="0"/>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сентября 1941 г. Оразмещении эвакуированного в г. Красноярск ОСМЧ№26</w:t>
      </w:r>
    </w:p>
    <w:p w14:paraId="42A902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ходатайства начальника ОСМЧ-26 секретарю Красноярского крайкома ВКП (б) и председателю исполкома крайсовета</w:t>
      </w:r>
    </w:p>
    <w:p w14:paraId="68C3AF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Красноярск 10 сентября 1941 г.</w:t>
      </w:r>
    </w:p>
    <w:p w14:paraId="3638BF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Государственный Союзный Строительно-Монтажный трест №26, реорганизованный по постановлению Комитета Обороны в Особую Строительно-Монтажную часть, на основании решения Правительства Союза ССР от 15/VIII-1941 г. №5464-ОЭ, направлен в г. Красноярск для ведения строительно-монтажных работ на оборонных объектах.</w:t>
      </w:r>
    </w:p>
    <w:p w14:paraId="3A135D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настоящее время прибыли: машинопрокатная база со всеми механизмами и оборудованием, авто- и гужевой транспорт, Строительное управление №1, Строительное управление №3, Строительное управление №4, Жилищно-коммунальная контора, Проектно-сметная контора и часть аппарата Управления треста с подсобными производственными предприятиями.</w:t>
      </w:r>
    </w:p>
    <w:p w14:paraId="13EB9A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Строительные Управления с составом рабочих, ИТР и служащих разместились на стройках Бумкомбината, Сибтяжмаша, Станкозаводе, транспорт – машинно-прокатная база разместились на базе Красноярскпромстроя.</w:t>
      </w:r>
    </w:p>
    <w:p w14:paraId="508324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Рабочие, ИТР и служащие в большинстве своем вселены в жилой фонд этих же строек, при условии, что все резервы жилья полностью исчерпаны.</w:t>
      </w:r>
    </w:p>
    <w:p w14:paraId="520AA2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Одновременно учитывая, что с точки зрения целесообразности Управление Особой Строительно-монтажной части подлежит размещению в г. Красноярске, поскольку [его] и хозяйственная и оперативная работа связана с работой краевых организаций, возникает надобность в конторском помещении, жилой площади для работников аппарата в колич[естве] 100 чел[овек], при колич[естве] членов семей 250 чел[овек] и жилых помещениях на 1200-1500 чел[овек] рабочих, которые будут заняты на строительных объектах в самом г. Красноярска на левом берегу[…].</w:t>
      </w:r>
    </w:p>
    <w:p w14:paraId="7D1AF0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Зам[еститель] начальника особой строительной монтажной части</w:t>
      </w:r>
    </w:p>
    <w:p w14:paraId="0D812B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подпись Лаевский</w:t>
      </w:r>
    </w:p>
    <w:p w14:paraId="2F7A97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Помета: «В дело. Дано указание об изыскании жилфонда. Подпись.»</w:t>
      </w:r>
    </w:p>
    <w:p w14:paraId="0D1EEAD2"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ГАКК. Ф.П-26. Оп.3. Д.6. Л.12. Подлинник. Машинопись (11790).</w:t>
      </w:r>
    </w:p>
    <w:p w14:paraId="76232F1C"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ED347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сентября 1941 г. все три линкора официально исключили из состава ВМФ, расформиро</w:t>
      </w:r>
      <w:r w:rsidRPr="00640820">
        <w:rPr>
          <w:rFonts w:ascii="Times New Roman" w:hAnsi="Times New Roman"/>
          <w:color w:val="000000" w:themeColor="text1"/>
          <w:sz w:val="16"/>
          <w:szCs w:val="16"/>
        </w:rPr>
        <w:softHyphen/>
        <w:t>вав уже созданные экипажи. Корпус "Советской Украины" во время войны был частично разобран немцами, захватившими Николаев и в 1944 г. подорвавшими стапель. На 1945 г. Наркомсудпром оце</w:t>
      </w:r>
      <w:r w:rsidRPr="00640820">
        <w:rPr>
          <w:rFonts w:ascii="Times New Roman" w:hAnsi="Times New Roman"/>
          <w:color w:val="000000" w:themeColor="text1"/>
          <w:sz w:val="16"/>
          <w:szCs w:val="16"/>
        </w:rPr>
        <w:softHyphen/>
        <w:t>нивал его готовность 14,91%. Броня "Советского Союза" в 1941—1942 гг. была частично использована для строительства сухопутных оборонительных сооружений. В середине 1949 г. корпус недо</w:t>
      </w:r>
      <w:r w:rsidRPr="00640820">
        <w:rPr>
          <w:rFonts w:ascii="Times New Roman" w:hAnsi="Times New Roman"/>
          <w:color w:val="000000" w:themeColor="text1"/>
          <w:sz w:val="16"/>
          <w:szCs w:val="16"/>
        </w:rPr>
        <w:softHyphen/>
        <w:t>строенного корабля спустили на воду и вскоре разобрали, элементы корпусов "Советской Украины" и "Советской России" разобрали на стапелях (3898).</w:t>
      </w:r>
    </w:p>
    <w:p w14:paraId="4A6CA1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487E414"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2C45AC5B"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7F1F7C7"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10 сентября в 1941 году УТРЕННЕЕ СООБЩЕНИЕ Совинформбюро: </w:t>
      </w:r>
    </w:p>
    <w:p w14:paraId="68BB432A"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ночь на 10 сентября наши войска продолжали бои с противником на всём фронте. </w:t>
      </w:r>
    </w:p>
    <w:p w14:paraId="730C9319"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Советские танкисты героически сражаются против немецко-фашистских войск. Только за один день — 7 сентября — в упорных боях с противником наши танковые части, по далеко не полным подсчётам, уничтожили на всех участках фронта более 100 немецких танков и бронемашин, 80 противотанковых пушек и 42 орудия различных калибров, около 300 пулемётов и миномётов, 560 автомашин, 7 тысяч солдат германской пехоты, 3 кавалерийских эскадрона, 300 повозок, 225 мотоциклов, 415 велосипедов и 16 радиостанций. </w:t>
      </w:r>
    </w:p>
    <w:p w14:paraId="4474150D"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Бойцы, командиры и политработники танковых войск в боях с противником проявляют отвагу и смелость. На Северо-Западном направлении фронта 40 немецких танков пытались атаковать наши части, захватить железнодорожную станцию и прорваться в наш тыл. Когда машины противника приблизились на пятьсот метров к станции, из засады на германскую колонну стремительно ринулись советские танкисты. Завязался танковый бой. В течение часа немцы потеряли 19 танков. Остальные машины повернули обратно. В этом бою особенно отличился заместитель политрука т. Флегентов. Несмотря на то, что его танк был повреждён, т. Флегентов метким орудийным огнём подбил два лёгких вражеских танка. На следующий день противник бросил для захвата станции новую колонну из 46 танков и батальон пехоты. Советские танкисты отбили и эту атаку с большими для врага потерями. В двухдневных боях немцы потеряли 40 танков и 743 солдата. </w:t>
      </w:r>
    </w:p>
    <w:p w14:paraId="34586E03"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Героизм проявил в бою с врагом танкист-лейтенант Лобасов. Приблизившись на своём танке к группе немецких машин, лейтенант открыл сильный огонь. В завязавшемся бою тов. Лобасов подбил 8 германских танков. Инициативу и смелость в бою неоднократно показывал командир танка лейтенант Алексеенко. Выполняя приказ командования о прикрытии наших частей, отходивших на новый рубеж обороны, т. Алексеенко целые сутки сражался с фашистами. За это время он поджёг 4 немецких танка и уничтожил много солдат и офицеров. </w:t>
      </w:r>
    </w:p>
    <w:p w14:paraId="3F813E35"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Геройский рейд в тыл противника совершил танковый взвод лейтенанта Мишустина. Глубокой ночью советские танкисты разгромили штаб полка, уничтожили 2 радиостанции, раздавили 8 пушек и 6 миномётов. Пользуясь замешательством врага, наши танки успешно выполнили задание, командования и без потерь возвратились в свою часть. </w:t>
      </w:r>
    </w:p>
    <w:p w14:paraId="5C3C5E47"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Тяжёлый танк лейтенанта Слесаренко охранял мост через реку В. Выбрав удобное место, экипаж замаскировал машину. Вскоре на противоположном берегу реки показались немецкие танки и около полуроты солдат. Подпустив врага на близкое расстояние, советские танкисты открыли стрельбу. Шесть немецких танков било подбито. Остатки немецкой колонны повернули обратно. </w:t>
      </w:r>
    </w:p>
    <w:p w14:paraId="12F9C0A2"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Образцы мужества и героизма показывают артиллеристы части майора Соболева, действующей на Северо-Западном направлении фронта. За семь дней артиллеристы части майора Соболева уничтожили свыше 3.000 немецких солдат. Нанесён серьёзный урон 2-му и 3-му батальонам 43 немецкого пехотного полка, 1-му батальону 271 пехотного полка и 9-й роте 506 пехотного полка. Наши бойцы уничтожили за эти дни 15 орудий, 31 миномёт, 56 пулемётов и 6 автомашин с боеприпасами. </w:t>
      </w:r>
    </w:p>
    <w:p w14:paraId="125FBD7A"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Продолжают поступать многочисленные сведения о невероятных зверствах, чинимых германской армией в оккупированных районах. Все населённые пункты вокруг Ельни, отбитые Красной Армией, совершенно разорены и опустошены фашистами. Есть деревни, в которых фашистские мерзавцы уничтожили все крестьянские постройки. У населения забрано буквально всё, вплоть до последнего килограмма хлеба, одежды и детской обуви. </w:t>
      </w:r>
    </w:p>
    <w:p w14:paraId="7DF4B4C1"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оккупированных сёлах и деревнях Смоленской области фашистские изверги жестоко издеваются над мирными советскими жителями. Около деревни Починок была повреждена телефонная линия. Немцы согнали оставшихся в деревне стариков, женщин и детей в помещение правления колхоза и заживо всех сожгли. В деревне Ляды немцы учинили дикую расправу над тремя пленными красноармейцами, отказавшимися отвечать на вопросы. Во время допроса их зверски пытали, а затем привязали к деревьям и стали избивать. Так же поступили фашисты с двумя местными жителями, высказавший сочувствие раненым советским бойцам. </w:t>
      </w:r>
    </w:p>
    <w:p w14:paraId="2FC73C3C"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Ельне был расстрелян ученик седьмого класса Шура Мармов за то, что у него в кармане было обнаружено лезвие безопасной бритвы для точки карандашей. </w:t>
      </w:r>
    </w:p>
    <w:p w14:paraId="095EA7D6"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двух километрах от деревни Большие Нежоды немцы расстреляли несколько десятков крестьян. Среди расстрелянных дети 13 и 14 лет и старик С. В. Худяков, которому немцы предварительно выкололи оба глаза. Учинив расправу в деревне, пьяные фашисты открыли стрельбу из винтовок и пистолетов по портрету великого русского поэта А. С. Пушкина. </w:t>
      </w:r>
    </w:p>
    <w:p w14:paraId="0F596EA6"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В селе Ханино немецкие офицеры устроили пьяную вечеринку, на которую затащили местную учительницу и поочерёдно её изнасиловали. 16-летнюю колхозницу Ч. изнасиловали пять немецких солдат. Фашисты собрали из Токарево и прилегающих деревень всех девушек и молодых женщин и угнали их в неизвестном направлении. Ни одна из них домой не вернулась. </w:t>
      </w:r>
    </w:p>
    <w:p w14:paraId="74F688BB"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Большой урон фашистам наносят латышские партизаны. Они уничтожают связь, взрывают мосты, поджигают мастерские, которые фашисты организуют на территории Латвии для ремонта своего потрёпанного в боях снаряжения. Партизанские отряды в районе Крустпилса и Даугавпилса заметили, что немцы регулярно пользуются водным транспортом для доставки военных материалов на фронт. 2 сентября на один из караванов на реке Двине совершил нападение партизанский отряд т. Мициса. Глубокой ночью партизаны на лодках подплыли к буксирному пароходу и двум баржам. Перебив охрану каравана, партизаны овладели баржами и пароходом. На баржах оказались две тысячи велосипедов и много боеприпасов. Баржи и пароход были затоплены. </w:t>
      </w:r>
    </w:p>
    <w:p w14:paraId="30E85124"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Отряд т. Карлсона напал на отряд штурмовиков, который реквизировал продовольствие и зимнюю одежду у крестьян на хуторах у Плявиняс. Немецкие штурмовики, забаррикадировавшись в доме, открыли стрельбу из автоматов. Партизаны бросили в окна дома бутылки с бензином и гранату. В доме вспыхнул пожар. Фашистские грабители были уничтожены. </w:t>
      </w:r>
    </w:p>
    <w:p w14:paraId="5B7D986F"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Успешно действует партизанский отряд железнодорожных рабочих во главе с т. Лацис. За пятнадцать дней августа этот отряд организовал несколько крушений поездов с воинскими грузами. Отряд т. Лациса со дня его организации увеличился в семь раз, отряд т. Мициса в девять раз, отряд т. Карлсона в двенадцать раз. За две недели бойцы этих отрядов уничтожили 390 немецких солдат и 40 офицеров (14765).</w:t>
      </w:r>
    </w:p>
    <w:p w14:paraId="7C4DC9AA" w14:textId="77777777" w:rsidR="00E73430" w:rsidRPr="00640820" w:rsidRDefault="00E73430" w:rsidP="00640820">
      <w:pPr>
        <w:spacing w:after="0" w:line="240" w:lineRule="auto"/>
        <w:jc w:val="both"/>
        <w:rPr>
          <w:rFonts w:ascii="Times New Roman" w:hAnsi="Times New Roman"/>
          <w:color w:val="000000" w:themeColor="text1"/>
          <w:sz w:val="16"/>
          <w:szCs w:val="16"/>
        </w:rPr>
      </w:pPr>
    </w:p>
    <w:p w14:paraId="4F3E7BD0"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сентября в 1941 году ВЕЧЕРНЕЕ СООБЩЕНИЕ Совинформбюро:</w:t>
      </w:r>
    </w:p>
    <w:p w14:paraId="2B20BA8C"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течение 10 сентября наши войска продолжали вести упорные бои с противником на всём фронте. </w:t>
      </w:r>
    </w:p>
    <w:p w14:paraId="21A15A7D"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течение 8 сентября в воздушных боях и па аэродромах противника уничтожено 59 немецких самолётов. Наши потери — 27 самолетов. </w:t>
      </w:r>
    </w:p>
    <w:p w14:paraId="461927C7"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течение 9 сентября немецко-фашистские самолёты пытались несколько раз произвести налёт на Ленинград, но каждый раз отгонялись нашей авиацией и огнём зенитной артиллерии. Около 10 часов вечера одиночные самолёты противника на большой высоте прорвались к Ленинграду и сбросили в различных пунктах города фугасные и зажигательные бомбы. Возникшие в результате налётов вражеской авиации пожары жилых зданий были быстро ликвидированы. Нашей авиацией и зенитной артиллерией за 9 сентября на подступах к Ленинграду и над городом, а также на аэродромах противника, уничтожен 31 немецкий самолёт. </w:t>
      </w:r>
    </w:p>
    <w:p w14:paraId="4E17EA3D"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Группа сапёр под командованием старшего сержанта Дубина готовила взрыв моста. Заложив взрывчатые вещества, бойцы подожгли шнур и залегли в ближайшей воронке от снаряда. Шальная пуля перебила шнур, и взрыва не последовало. На другом берегу реки в это время показалась колонна противника. Пренебрегая опасностью, тов. Дубина вбежал на мост и бросил гранату в ящик со взрывчатыми веществами. Огромный взрыв разрушил мост до основания. Отважному сапёру удалось спастись. </w:t>
      </w:r>
    </w:p>
    <w:p w14:paraId="0682040D"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Старший сержант Мелконян готовил с группой сапёр взрыв шоссе, по которому противник перебрасывал свои войска. На дороге остановился немецкий танк и несколько автомашин с пехотой. Бутылками с горючим и гранатами сапёры подожгли фашистский танк и автомашины. Потеряв офицера и нескольких солдат, немцы бежали. Наши сапёры быстро заложили взрывчатые вещества и взорвали дорогу. </w:t>
      </w:r>
    </w:p>
    <w:p w14:paraId="44E20AB0"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Старший сержант Боровцов с бойцами-сапёрами Харыбиным, Ситниковым, Щукиным и Желудёвым, пробравшись на железнодорожную станцию в тыл противника, взорвали паровоз, железнодорожный мост и водокачку. Отстреливаясь от обнаруживших их фашистских солдат, сапёры отошли. По пути они подожгли две цистерны с горючим. </w:t>
      </w:r>
    </w:p>
    <w:p w14:paraId="2EC0E2F9"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Западном направлении фронта одна красноармейская часть выбила противника из четырёх населённых пунктов и уничтожила в ожесточённых боях 20 немецких противотанковых орудий, 2 миномётных батареи, 23 ДЗОТа, 7 танков, 11 пулемётов и 600 солдат и офицеров. Захвачено 6 орудий, 14 пулемётов, 3 танка, штабная автомашина, оружейная мастерская, тысяча мин, десятки ящиков с гранатами, несколько сот тысяч патронов и другое военное имущество. </w:t>
      </w:r>
    </w:p>
    <w:p w14:paraId="38D0268D"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одном из участков Северного фронта стрелковый батальон старшего лейтенанта Багрикова нанёс серьёзное поражение вражеской части. Противник оставил на поле боя около 500 солдат убитыми и ранеными, 8 разбитых миномётов и 4 повреждённых пушки. Бойцы батальона тов. Багрикова захватили 30 станковых и 15 ручных пулемётов, много винтовок и боеприпасов. </w:t>
      </w:r>
    </w:p>
    <w:p w14:paraId="2463BCA0"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Командир артиллерийской батареи, действующей на Юго-Западном направлении фронта, младший лейтенант Щербаков точным огнём отбил атаку крупной германской части. Противник отступил, потеряв убитыми около 500 солдат и офицеров. </w:t>
      </w:r>
    </w:p>
    <w:p w14:paraId="214811F4"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Западном направлении фронта наши части взяли в плен большую группу немецких солдат. Пленные показывают, что их части несут огромные потери. Длительные бои измотали и изнурили солдат. Многие солдаты потеряли всякую надежду вернуться домой и впали в апатию. Пленный ефрейтор второй роты 510 пехотного полка Вильгельм Гейфель на допросе заявил: «Ночью командир роты обер-лейтенант Краа сказал нам, что на рассвете мы пойдем в наступление. Солдат охватило уныние. Для поднятия духа всех напоили водкой, но и в пьяном угаре многие солдаты не могли забыть об опасности, которая их ждёт. Ночью стрелки Шеркер, Бушке и Краузе прострелили себе руки. Во время атаки офицеры следовали сзади, расстреливая тех, кто не шёл вперёд. Советская артиллерия, и огонь снайперов-красноармейцев не давали нам шагу ступить без потерь. После двух атак от нашей роты уцелело не больше 30 солдат». </w:t>
      </w:r>
    </w:p>
    <w:p w14:paraId="64E59096"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Пленный Г. Платто говорит: «В немецких частях вспыхнула эпидемия дизентерии. В целях борьбы с эпидемией, командование издало приказ, запрещающий солдатам пить сырую воду. Больные предоставлены сами себе. Медикаменты достать почти невозможно, врачебного персонала не хватает. В третьей роте 511 полка за пять дней от дизентерии умерли 2 солдата». Пленный солдат 84 стрелкового полка Гер-гард Фаузе рассказал: «В нашем полку свирепствует эпидемия гриппа и малярии. Солдаты с ужасом думают о предстоящей зиме. Уже сейчас войска испытывают острый недостаток в обмундировании. Что же будет зимой?». Пленный солдат этого же полка Иохим Бихель сообщил о бесчеловечном обращении немецких офицеров с больными солдатами: «Больным не оказывают медицинской помощи. Немецкие солдаты сотнями умирают не только от снарядов, но и от болезней». </w:t>
      </w:r>
    </w:p>
    <w:p w14:paraId="55E8A741"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первых же дней оккупации западных районов Днепропетровщины гитлеровские захватчики несут серьёзные потери от многочисленных партизанских отрядов. Пятого сентября отряд под командованием депутата районного совета тов. А. устроил засаду в 5 километрах от дороги между Павловом и Михайловкой. На шоссе было послано десять бойцов во главе с трактористом тов. Семёновым. Когда, на дороге появилась немецкая рота пехоты, партизаны обстреляли её. Против группы тов. Семёнова немцы двинули два стрелковых взвода. Партизаны, отстреливаясь, начали отступать по пересечённой местности в направлении засады. Подпустив фашистов на близкое расстояние, основные силы отряда открыли по немцам пулемётный и ружейный огонь. Потеряв более 40 человек убитыми и ранеными, противник отступил. Захватив 30 винтовок и 2 ручных пулемёта, партизаны скрылись. </w:t>
      </w:r>
    </w:p>
    <w:p w14:paraId="59653D81"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Партизанский отряд мастера Днепропетровского металлургического завода тов. Г. получил от колхозников сведения о том, что в роще у оврага, недалеко от села Башмачка, расположился штаб крупного немецкого соединения. 5 сентября штабные офицеры устроили пьяную оргию. Ночью партизаны окружили рощу, бесшумно сняли часовых и напали на пьяную фашистскую банду. 10 немецких офицеров и более 20 солдат были убиты. Партизаны уничтожили 5 автомашин и захватили оружие. </w:t>
      </w:r>
    </w:p>
    <w:p w14:paraId="1BF5765A"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Отряд кладовщика МТС тов. Ч. перехватил и уничтожил около пункта Ивановка 14 немецких автомашин с сапёрным имуществом. Этот же отряд в первые дни сентября взорвал два моста, только что сооружённые фашистами через р. Мокрая Сура, и поджёг большой склад горючего на станции Сурское (14765).</w:t>
      </w:r>
    </w:p>
    <w:p w14:paraId="32CA112B" w14:textId="77777777" w:rsidR="00E73430" w:rsidRPr="00640820" w:rsidRDefault="00E73430" w:rsidP="00640820">
      <w:pPr>
        <w:spacing w:after="0" w:line="240" w:lineRule="auto"/>
        <w:jc w:val="both"/>
        <w:rPr>
          <w:rFonts w:ascii="Times New Roman" w:hAnsi="Times New Roman"/>
          <w:color w:val="000000" w:themeColor="text1"/>
          <w:sz w:val="16"/>
          <w:szCs w:val="16"/>
        </w:rPr>
      </w:pPr>
    </w:p>
    <w:p w14:paraId="0D017A7D"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сентября в 1941 году начинается наступление немецких групп армий "Центр" и "Юг" на Киев (14765).</w:t>
      </w:r>
    </w:p>
    <w:p w14:paraId="0CC4B50D" w14:textId="77777777" w:rsidR="00E73430" w:rsidRPr="00640820" w:rsidRDefault="00E73430" w:rsidP="00640820">
      <w:pPr>
        <w:spacing w:after="0" w:line="240" w:lineRule="auto"/>
        <w:jc w:val="both"/>
        <w:rPr>
          <w:rFonts w:ascii="Times New Roman" w:hAnsi="Times New Roman"/>
          <w:color w:val="000000" w:themeColor="text1"/>
          <w:sz w:val="16"/>
          <w:szCs w:val="16"/>
        </w:rPr>
      </w:pPr>
    </w:p>
    <w:p w14:paraId="71626A91"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сентября в 1941 году героический подвиг совершил экипаж сторожевого корабля «Туман» (бывший рыболовецкий траулер, вооруженный двумя 45-мм орудиями и двумя 7,62-мм пулеметами, экипаж — 43 человека, старший лейтенант Л.А.Шестаков). В 4 ч. 25 мин. находившийся в дозоре у входа в Кольский залив «Туман» подвергся атаке трех эсминцев противника. В первые минуты боя вышла из строя кормовая пушка, были убиты командир корабля и военный комиссар старший политрук П.Н.Стрельник. В командование кораблем вступил помощник командира лейтенант Л.А.Рыбаков, организовавший борьбу за живучесть корабля и спасение раненых. Экипаж самоотверженно боролся с водой и огнем, однако спасти корабль было невозможно. В 5 ч 30 мин «Туман», не спустив флага, скрылся в волнах. 15 человек экипажа были убиты, 17 получили ранение, оставшихся в живых подобрали катера. Место его гибели (69° 34' северной широты, 33° 39' восточной долготы) объявлено координатами боевой славы (14765).</w:t>
      </w:r>
    </w:p>
    <w:p w14:paraId="679F3B61" w14:textId="77777777" w:rsidR="00E73430" w:rsidRPr="00640820" w:rsidRDefault="00E73430" w:rsidP="00640820">
      <w:pPr>
        <w:spacing w:after="0" w:line="240" w:lineRule="auto"/>
        <w:jc w:val="both"/>
        <w:rPr>
          <w:rFonts w:ascii="Times New Roman" w:hAnsi="Times New Roman"/>
          <w:color w:val="000000" w:themeColor="text1"/>
          <w:sz w:val="16"/>
          <w:szCs w:val="16"/>
        </w:rPr>
      </w:pPr>
    </w:p>
    <w:p w14:paraId="62B5D8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10 сентября 1941 г. на Як-1 сбил немецкий бомбардировщик </w:t>
      </w:r>
      <w:r w:rsidRPr="00640820">
        <w:rPr>
          <w:rFonts w:ascii="Times New Roman" w:hAnsi="Times New Roman"/>
          <w:color w:val="000000" w:themeColor="text1"/>
          <w:sz w:val="16"/>
          <w:szCs w:val="16"/>
          <w:lang w:val="en-US"/>
        </w:rPr>
        <w:t>Ju</w:t>
      </w:r>
      <w:r w:rsidRPr="00640820">
        <w:rPr>
          <w:rFonts w:ascii="Times New Roman" w:hAnsi="Times New Roman"/>
          <w:color w:val="000000" w:themeColor="text1"/>
          <w:sz w:val="16"/>
          <w:szCs w:val="16"/>
        </w:rPr>
        <w:t>-88 знаменитый своим побегом из плена на фашистском бомбардировщике М.П. Девятаев (12048).</w:t>
      </w:r>
    </w:p>
    <w:p w14:paraId="752F10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99C59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сентября 1941 42 У-2, оборудованных с 4 по 8 сентября 1941 в стационарных авиамастерских № 163 КФ в Торжке 12 У-2 изготовленными из листового железа кассетами для сброса ампул АЖ-2 с КС применили по живой силе и технике противника. Каждая кассета состояла из 5 скрепленных труб, каждая на 10 ампул. Крепили по 2 под консолями. Эффективность применение зависела от метеоусловий (4542, 12).</w:t>
      </w:r>
    </w:p>
    <w:p w14:paraId="6E2F06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D110A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сентября 1941 остановилось наше контрнаступление под Ельней (512,65) и закончилось Смоленское сражение (512,60).</w:t>
      </w:r>
    </w:p>
    <w:p w14:paraId="31C973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87128C3"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сентября в 1941 году экипажи трех самолетов «Ер-2» капитана А.Г.Степанова, лейтенантов В.М.Малинина и Б.А.Кубышко из 420-го дальнебомбардировочного полка особого назначения с аэродрома города Пушкина Ленинградской области бомбили Берлин (14765).</w:t>
      </w:r>
    </w:p>
    <w:p w14:paraId="48357643" w14:textId="77777777" w:rsidR="00E73430" w:rsidRPr="00640820" w:rsidRDefault="00E73430" w:rsidP="00640820">
      <w:pPr>
        <w:spacing w:after="0" w:line="240" w:lineRule="auto"/>
        <w:jc w:val="both"/>
        <w:rPr>
          <w:rFonts w:ascii="Times New Roman" w:hAnsi="Times New Roman"/>
          <w:color w:val="000000" w:themeColor="text1"/>
          <w:sz w:val="16"/>
          <w:szCs w:val="16"/>
        </w:rPr>
      </w:pPr>
    </w:p>
    <w:p w14:paraId="4606D5BC"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сентября в 1941 году в ходе Смоленского сражения 30 августа - 6 сентября советские войска разбивают группировку фашистких войск в районе Ельни, которая в панике бежит. 6 сентября над Ельней вновь взвился советский флаг. 10 сентября наступление советских войск прекращено, и началась перегруппировка войск. Завершившееся Смоленское сражение знаменательно тем, что впервые в ходе второй мировой войны гитлеровцы были вынуждены перейти к обороне, а их план молниеносной войны дал первую трещину. За мужество и героизм в этих боях через восемь дней четырем дивизиям будет присвоено звание гвардейских (14765).</w:t>
      </w:r>
    </w:p>
    <w:p w14:paraId="0F426EA2" w14:textId="77777777" w:rsidR="00E73430" w:rsidRPr="00640820" w:rsidRDefault="00E73430" w:rsidP="00640820">
      <w:pPr>
        <w:spacing w:after="0" w:line="240" w:lineRule="auto"/>
        <w:jc w:val="both"/>
        <w:rPr>
          <w:rFonts w:ascii="Times New Roman" w:hAnsi="Times New Roman"/>
          <w:color w:val="000000" w:themeColor="text1"/>
          <w:sz w:val="16"/>
          <w:szCs w:val="16"/>
        </w:rPr>
      </w:pPr>
    </w:p>
    <w:p w14:paraId="029AEE75"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сентября в 1941 году представитель Ставки ВГК Г.К.Жуков назначен командующим Ленинградским фронтом и прибыл в Ленинград (14765).</w:t>
      </w:r>
    </w:p>
    <w:p w14:paraId="0CBABB6D" w14:textId="77777777" w:rsidR="00E73430" w:rsidRPr="00640820" w:rsidRDefault="00E73430" w:rsidP="00640820">
      <w:pPr>
        <w:spacing w:after="0" w:line="240" w:lineRule="auto"/>
        <w:jc w:val="both"/>
        <w:rPr>
          <w:rFonts w:ascii="Times New Roman" w:hAnsi="Times New Roman"/>
          <w:color w:val="000000" w:themeColor="text1"/>
          <w:sz w:val="16"/>
          <w:szCs w:val="16"/>
        </w:rPr>
      </w:pPr>
    </w:p>
    <w:p w14:paraId="72B4EB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сентября 1941 в командование Ленинградским фронтом вступил Г.К.Жуков, а в командование 54-й армии - Г.И.Кулик. Им была поставлена задача - встречными ударами уничтожить немецкий прорыв и деблокировать Ленинград (3573).</w:t>
      </w:r>
    </w:p>
    <w:p w14:paraId="21BDCF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9C163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сентября 1941 в Ленинград прибыл Г.К.Ж. До этого, с 20-х чисел августа возник острый конфликт между городским руководством во главе с Ждановым и К.Е.В. - главнокомандующим северо-западным направлением - и Москвой. В первые числа сентября приезжала комиссия во главе с В.М.М. и Г.М.М. Поняли, что ситуация близка к катастрофе и решили заминировать все мосты и корабли (2070,56).</w:t>
      </w:r>
    </w:p>
    <w:p w14:paraId="5B1275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E230CE2"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сентября в 1941 году началась Синявинская наступательная операция войск 54-й отдельной армии и Ленинградского фронта (генерал армии Г.К.Жуков), продолжавшаяся до 26 сентября (14765).</w:t>
      </w:r>
    </w:p>
    <w:p w14:paraId="51B21AE8" w14:textId="77777777" w:rsidR="00E73430" w:rsidRPr="00640820" w:rsidRDefault="00E73430" w:rsidP="00640820">
      <w:pPr>
        <w:spacing w:after="0" w:line="240" w:lineRule="auto"/>
        <w:jc w:val="both"/>
        <w:rPr>
          <w:rFonts w:ascii="Times New Roman" w:hAnsi="Times New Roman"/>
          <w:color w:val="000000" w:themeColor="text1"/>
          <w:sz w:val="16"/>
          <w:szCs w:val="16"/>
        </w:rPr>
      </w:pPr>
    </w:p>
    <w:p w14:paraId="38BF2A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сентября 1941 немцы разбомбили Кировский з-д. Сбросили 24 фугасных и 627 зажигательных (5008, 69).</w:t>
      </w:r>
    </w:p>
    <w:p w14:paraId="18C299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C980A2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сентября 1941 начато наступление немецких групп армий “Центр” и “Юг” на Киев (4962).</w:t>
      </w:r>
    </w:p>
    <w:p w14:paraId="6FCACAC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D1B5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сентября 1941 вышло Постановление ГКО № 652 О расформировании Западного, Киевского и Одесского военных округов. РГАНИР, Фонд ГКО, д. 9, лл. 17 (11012).</w:t>
      </w:r>
    </w:p>
    <w:p w14:paraId="752999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7E7E0E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сентября 1941 вышло Постановление ГКО № 654 Об отборе 50000 добровольцев-комсомольцев в Воздушно-десантные войска Красной Армии. (7010, 19,20-22).</w:t>
      </w:r>
    </w:p>
    <w:p w14:paraId="75AB8C3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2F8182"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26883C8F"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387F5BE"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сентября в 1941 году (10-20 сентября) выселение из Москвы, Московской и Ростовской областей немцев в Сибирь и Среднюю Азию (всего 30 тысяч человек) (14765).</w:t>
      </w:r>
    </w:p>
    <w:p w14:paraId="21EB51EB" w14:textId="77777777" w:rsidR="00E73430" w:rsidRPr="00640820" w:rsidRDefault="00E73430" w:rsidP="00640820">
      <w:pPr>
        <w:spacing w:after="0" w:line="240" w:lineRule="auto"/>
        <w:jc w:val="both"/>
        <w:rPr>
          <w:rFonts w:ascii="Times New Roman" w:hAnsi="Times New Roman"/>
          <w:color w:val="000000" w:themeColor="text1"/>
          <w:sz w:val="16"/>
          <w:szCs w:val="16"/>
        </w:rPr>
      </w:pPr>
    </w:p>
    <w:p w14:paraId="5BB25A51"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сентября 1941 г. НКЮ СССР разъяснял: “Лица, мобилизованные в законом установленном порядке на оборонные работы, уклоняющиеся в условиях военного времени от этих работ, подлежат уголовной ответственности по ст. 59-6 УК РСФСР”1 Статья 59-6 УК РСФСР — “Отказ и уклонение в условиях военного времени от внесения налогов” — предусматривала, что отказ или уклонение в условиях военного времени от внесения налогов или от выполнения повинностей влекли за собой лишение свободы на срок не ниже шести месяцев, с повышением, при особо отягчающих обстоятельствах, вплоть до расстрела с конфискацией имущества. Это разъяснение НКЮ СССР продолжало действовать до принятия 13 февраля 1942 г. Указа Президиума Верховного Совета СССР “О мобилизации на период военного времени трудоспособного городского населения для работы на производстве и строительстве” (17460).</w:t>
      </w:r>
    </w:p>
    <w:p w14:paraId="643FCD3C" w14:textId="77777777" w:rsidR="00E73430" w:rsidRPr="00640820" w:rsidRDefault="00E73430" w:rsidP="00640820">
      <w:pPr>
        <w:spacing w:after="0" w:line="240" w:lineRule="auto"/>
        <w:jc w:val="both"/>
        <w:rPr>
          <w:rFonts w:ascii="Times New Roman" w:hAnsi="Times New Roman"/>
          <w:color w:val="000000" w:themeColor="text1"/>
          <w:sz w:val="16"/>
          <w:szCs w:val="16"/>
        </w:rPr>
      </w:pPr>
    </w:p>
    <w:p w14:paraId="7EB161A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сентября 1941 вышло Постановление ГКО № 651 [О назначении Павлова Д.В. уполномоченным ГКО по снабжению продовольствием войск ЛФ и населения г. Ленинграда.] (7010, 16).</w:t>
      </w:r>
    </w:p>
    <w:p w14:paraId="75FBD18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A2191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сентября 1941 вышло Постановление ГКО № 655 О дополнительной эвакуации детей из г. Москвы. (7010, 23).</w:t>
      </w:r>
    </w:p>
    <w:p w14:paraId="5DAA24C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50FB4B"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34C55DC3"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2AAE2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сентября 1941 советское правительство выступило с заявлением о нелояльном отношении болгарского правительства к СССР (3186).</w:t>
      </w:r>
    </w:p>
    <w:p w14:paraId="40CB87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B1DCA1A"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сентября в 1941 году в "Правде" опубликовано представление НКИД СССР правительству Болгарии о его нелояльном отношении к СССР, выразившемся в превращении Болгарии в базу для военного нападения Германии и ее союзников на Советский Союз (14765).</w:t>
      </w:r>
    </w:p>
    <w:p w14:paraId="20DF3943" w14:textId="77777777" w:rsidR="00E73430" w:rsidRPr="00640820" w:rsidRDefault="00E73430" w:rsidP="00640820">
      <w:pPr>
        <w:spacing w:after="0" w:line="240" w:lineRule="auto"/>
        <w:jc w:val="both"/>
        <w:rPr>
          <w:rFonts w:ascii="Times New Roman" w:hAnsi="Times New Roman"/>
          <w:color w:val="000000" w:themeColor="text1"/>
          <w:sz w:val="16"/>
          <w:szCs w:val="16"/>
        </w:rPr>
      </w:pPr>
    </w:p>
    <w:p w14:paraId="2EA495CF"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lang w:val="en-US"/>
        </w:rPr>
      </w:pPr>
      <w:r w:rsidRPr="00640820">
        <w:rPr>
          <w:rFonts w:ascii="Times New Roman" w:hAnsi="Times New Roman"/>
          <w:i/>
          <w:iCs/>
          <w:color w:val="000000" w:themeColor="text1"/>
          <w:sz w:val="16"/>
          <w:szCs w:val="16"/>
        </w:rPr>
        <w:t>За</w:t>
      </w:r>
      <w:r w:rsidRPr="00640820">
        <w:rPr>
          <w:rFonts w:ascii="Times New Roman" w:hAnsi="Times New Roman"/>
          <w:i/>
          <w:iCs/>
          <w:color w:val="000000" w:themeColor="text1"/>
          <w:sz w:val="16"/>
          <w:szCs w:val="16"/>
          <w:lang w:val="en-US"/>
        </w:rPr>
        <w:t xml:space="preserve"> </w:t>
      </w:r>
      <w:r w:rsidRPr="00640820">
        <w:rPr>
          <w:rFonts w:ascii="Times New Roman" w:hAnsi="Times New Roman"/>
          <w:i/>
          <w:iCs/>
          <w:color w:val="000000" w:themeColor="text1"/>
          <w:sz w:val="16"/>
          <w:szCs w:val="16"/>
        </w:rPr>
        <w:t>рубежом</w:t>
      </w:r>
      <w:r w:rsidRPr="00640820">
        <w:rPr>
          <w:rFonts w:ascii="Times New Roman" w:hAnsi="Times New Roman"/>
          <w:i/>
          <w:iCs/>
          <w:color w:val="000000" w:themeColor="text1"/>
          <w:sz w:val="16"/>
          <w:szCs w:val="16"/>
          <w:lang w:val="en-US"/>
        </w:rPr>
        <w:t>:</w:t>
      </w:r>
    </w:p>
    <w:p w14:paraId="7B13F133"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47192A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September 10, 1941: British convoy SC42 (64 ships) is attacked by a wolfpack of German U-boats off Greenland. They sink 18 ships, with the loss of two submarines, U-207 and U-510 (3819).</w:t>
      </w:r>
    </w:p>
    <w:p w14:paraId="2B9010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50D103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сентября 1941 британский конвой SC-42 (64 судна) был атакован у Гренландии группой немецких п/л. Потопили 18 судов и потеряли две лодки - У-207, У-510 (3819).</w:t>
      </w:r>
    </w:p>
    <w:p w14:paraId="7D85C9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DDA5BD8" w14:textId="77777777" w:rsidR="001125BD" w:rsidRPr="00640820" w:rsidRDefault="001125B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 10 сентября по 6 октября 1941 на полигоне Хиллерслебен (Hillersleben), Саксония было испытано орудие 80 cm (E) «Dora», правда оно стреляло еще с временного лафета, смонтированного на полигоне. Затем орудие было перевезено на полигон Рюгенвальде (Rugenwalde) в Померании, на побережье Балтийского моря, где с 25 ноября по 5 декабря 1941 года состоялись официальные испытания и приемка «Доры», уже установленной на штатный железнодорожный транспортер. На церемонию официальной приемки орудия Альфред Крупп лично пригласил Адольфа Гитлера и Альберта Шпеера (министра вооружений) (22897).</w:t>
      </w:r>
    </w:p>
    <w:p w14:paraId="0D022EA9" w14:textId="77777777" w:rsidR="001125BD" w:rsidRPr="00640820" w:rsidRDefault="001125BD" w:rsidP="00640820">
      <w:pPr>
        <w:spacing w:after="0" w:line="240" w:lineRule="auto"/>
        <w:jc w:val="both"/>
        <w:rPr>
          <w:rFonts w:ascii="Times New Roman" w:hAnsi="Times New Roman"/>
          <w:color w:val="0070C0"/>
          <w:sz w:val="16"/>
          <w:szCs w:val="16"/>
        </w:rPr>
      </w:pPr>
    </w:p>
    <w:p w14:paraId="109B96C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сентября 1941 группа американских сенаторов обвинила Чарли Чаплина в попытке втягивания США в войну и английской пропаганде в связи с показом его фильма “Великий диктатор” (4962).</w:t>
      </w:r>
    </w:p>
    <w:p w14:paraId="3BF48AA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778574"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17477EBF"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CD623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сентября 1941 вышел приказ НКАП N 963с:</w:t>
      </w:r>
    </w:p>
    <w:p w14:paraId="2E19F5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Для проведения летных испытаний самолета Ил-2 с М-82А ведущим ли назначается В.К.К.</w:t>
      </w:r>
    </w:p>
    <w:p w14:paraId="34F48D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Установить зарплату В.К.К. за проведение испытаний к 20 сентября 1941 в сумме 15000 руб." (1502,4).</w:t>
      </w:r>
    </w:p>
    <w:p w14:paraId="24F78C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7D62527" w14:textId="77777777" w:rsidR="00E73430" w:rsidRPr="00640820" w:rsidRDefault="00E73430" w:rsidP="00640820">
      <w:pPr>
        <w:pStyle w:val="38"/>
        <w:shd w:val="clear" w:color="auto" w:fill="auto"/>
        <w:spacing w:before="0" w:after="0" w:line="240" w:lineRule="auto"/>
        <w:jc w:val="both"/>
        <w:rPr>
          <w:color w:val="000000" w:themeColor="text1"/>
          <w:spacing w:val="0"/>
          <w:sz w:val="16"/>
          <w:szCs w:val="16"/>
        </w:rPr>
      </w:pPr>
      <w:r w:rsidRPr="00640820">
        <w:rPr>
          <w:color w:val="000000" w:themeColor="text1"/>
          <w:spacing w:val="0"/>
          <w:sz w:val="16"/>
          <w:szCs w:val="16"/>
        </w:rPr>
        <w:t>11 сентября 1941 г. Из предварительного заключения об испытании агрегатов самолета № 102</w:t>
      </w:r>
    </w:p>
    <w:p w14:paraId="7D5C1F68" w14:textId="77777777" w:rsidR="00E73430" w:rsidRPr="00640820" w:rsidRDefault="00E73430" w:rsidP="00640820">
      <w:pPr>
        <w:pStyle w:val="38"/>
        <w:shd w:val="clear" w:color="auto" w:fill="auto"/>
        <w:spacing w:before="0" w:after="0" w:line="240" w:lineRule="auto"/>
        <w:jc w:val="both"/>
        <w:rPr>
          <w:color w:val="000000" w:themeColor="text1"/>
          <w:spacing w:val="0"/>
          <w:sz w:val="16"/>
          <w:szCs w:val="16"/>
        </w:rPr>
      </w:pPr>
      <w:r w:rsidRPr="00640820">
        <w:rPr>
          <w:color w:val="000000" w:themeColor="text1"/>
          <w:spacing w:val="0"/>
          <w:sz w:val="16"/>
          <w:szCs w:val="16"/>
        </w:rPr>
        <w:t>...Исходные данные:</w:t>
      </w:r>
    </w:p>
    <w:p w14:paraId="522DDB9B"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Полетный вес 0=14500 кг</w:t>
      </w:r>
    </w:p>
    <w:p w14:paraId="444EA8D8"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Перегрузка Пг=6</w:t>
      </w:r>
    </w:p>
    <w:p w14:paraId="18B030A7"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Нормы прочности 1941 г.</w:t>
      </w:r>
    </w:p>
    <w:p w14:paraId="3A472367"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Заводские чертежи №№ 5100-0; 5202-0; 5201-0; 5000-0; 3400-0; 3300-0; 3100-0; 3200-0</w:t>
      </w:r>
    </w:p>
    <w:p w14:paraId="5625EAC0" w14:textId="77777777" w:rsidR="00E73430" w:rsidRPr="00640820" w:rsidRDefault="00E73430" w:rsidP="00640820">
      <w:pPr>
        <w:pStyle w:val="38"/>
        <w:shd w:val="clear" w:color="auto" w:fill="auto"/>
        <w:spacing w:before="0" w:after="0" w:line="240" w:lineRule="auto"/>
        <w:jc w:val="both"/>
        <w:rPr>
          <w:color w:val="000000" w:themeColor="text1"/>
          <w:spacing w:val="0"/>
          <w:sz w:val="16"/>
          <w:szCs w:val="16"/>
        </w:rPr>
      </w:pPr>
      <w:r w:rsidRPr="00640820">
        <w:rPr>
          <w:color w:val="000000" w:themeColor="text1"/>
          <w:spacing w:val="0"/>
          <w:sz w:val="16"/>
          <w:szCs w:val="16"/>
        </w:rPr>
        <w:t>Описание испытаний</w:t>
      </w:r>
    </w:p>
    <w:p w14:paraId="07ABBAC5"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Испытание хвостового оперения производилось изолированно от хвостовой части фюзеляжа, на специальной раме из швеллеров с за</w:t>
      </w:r>
      <w:r w:rsidRPr="00640820">
        <w:rPr>
          <w:rFonts w:ascii="Times New Roman" w:hAnsi="Times New Roman"/>
          <w:color w:val="000000" w:themeColor="text1"/>
          <w:sz w:val="16"/>
          <w:szCs w:val="16"/>
        </w:rPr>
        <w:softHyphen/>
        <w:t>креплением стыковых узлов и контура, соединяющего стабилизатор с фюзеляжем.</w:t>
      </w:r>
    </w:p>
    <w:p w14:paraId="6228C412"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Испытание проводки управления к рулю высоты и к рулям на</w:t>
      </w:r>
      <w:r w:rsidRPr="00640820">
        <w:rPr>
          <w:rFonts w:ascii="Times New Roman" w:hAnsi="Times New Roman"/>
          <w:color w:val="000000" w:themeColor="text1"/>
          <w:sz w:val="16"/>
          <w:szCs w:val="16"/>
        </w:rPr>
        <w:softHyphen/>
        <w:t>правления производилось на фюзеляже при закрепленных в нейтраль</w:t>
      </w:r>
      <w:r w:rsidRPr="00640820">
        <w:rPr>
          <w:rFonts w:ascii="Times New Roman" w:hAnsi="Times New Roman"/>
          <w:color w:val="000000" w:themeColor="text1"/>
          <w:sz w:val="16"/>
          <w:szCs w:val="16"/>
        </w:rPr>
        <w:softHyphen/>
        <w:t>ном положении рулях.</w:t>
      </w:r>
    </w:p>
    <w:p w14:paraId="50F6E2B2"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испытании одинарного управления нагрузки прикладыва</w:t>
      </w:r>
      <w:r w:rsidRPr="00640820">
        <w:rPr>
          <w:rFonts w:ascii="Times New Roman" w:hAnsi="Times New Roman"/>
          <w:color w:val="000000" w:themeColor="text1"/>
          <w:sz w:val="16"/>
          <w:szCs w:val="16"/>
        </w:rPr>
        <w:softHyphen/>
        <w:t>лись к штурвалу и правой педали пилота. При испытании двойного управления нагрузки от второго управления (штурмана) прикладыва</w:t>
      </w:r>
      <w:r w:rsidRPr="00640820">
        <w:rPr>
          <w:rFonts w:ascii="Times New Roman" w:hAnsi="Times New Roman"/>
          <w:color w:val="000000" w:themeColor="text1"/>
          <w:sz w:val="16"/>
          <w:szCs w:val="16"/>
        </w:rPr>
        <w:softHyphen/>
        <w:t>лись к качалкам, связывающим 1-е и 2-е управления...</w:t>
      </w:r>
    </w:p>
    <w:p w14:paraId="2A639FAE" w14:textId="77777777" w:rsidR="00E73430" w:rsidRPr="00640820" w:rsidRDefault="00E73430" w:rsidP="00640820">
      <w:pPr>
        <w:pStyle w:val="28"/>
        <w:shd w:val="clear" w:color="auto" w:fill="auto"/>
        <w:spacing w:before="0" w:line="240" w:lineRule="auto"/>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...Заключение</w:t>
      </w:r>
    </w:p>
    <w:p w14:paraId="4AF1A7F5" w14:textId="77777777" w:rsidR="00E73430" w:rsidRPr="00640820" w:rsidRDefault="00E73430" w:rsidP="00640820">
      <w:pPr>
        <w:tabs>
          <w:tab w:val="left" w:pos="793"/>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1. Хвостовое оперение требованиям норм прочности удовлетво</w:t>
      </w:r>
      <w:r w:rsidRPr="00640820">
        <w:rPr>
          <w:rFonts w:ascii="Times New Roman" w:hAnsi="Times New Roman"/>
          <w:color w:val="000000" w:themeColor="text1"/>
          <w:sz w:val="16"/>
          <w:szCs w:val="16"/>
        </w:rPr>
        <w:softHyphen/>
        <w:t>ряет.</w:t>
      </w:r>
    </w:p>
    <w:p w14:paraId="33C5425D" w14:textId="77777777" w:rsidR="00E73430" w:rsidRPr="00640820" w:rsidRDefault="00E73430" w:rsidP="00640820">
      <w:pPr>
        <w:tabs>
          <w:tab w:val="left" w:pos="850"/>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Ручное управление требованиям норм прочности удовлет</w:t>
      </w:r>
      <w:r w:rsidRPr="00640820">
        <w:rPr>
          <w:rFonts w:ascii="Times New Roman" w:hAnsi="Times New Roman"/>
          <w:color w:val="000000" w:themeColor="text1"/>
          <w:sz w:val="16"/>
          <w:szCs w:val="16"/>
        </w:rPr>
        <w:softHyphen/>
        <w:t>воряет при условии соответствующего усиления качалки на горизон</w:t>
      </w:r>
      <w:r w:rsidRPr="00640820">
        <w:rPr>
          <w:rFonts w:ascii="Times New Roman" w:hAnsi="Times New Roman"/>
          <w:color w:val="000000" w:themeColor="text1"/>
          <w:sz w:val="16"/>
          <w:szCs w:val="16"/>
        </w:rPr>
        <w:softHyphen/>
        <w:t>тальной трубе в кабине пилота и собственно горизонтальной трубы на участке между качалками, а также постановки обоймы, соединяющей горизонтальную трубу в кабине пилота с ручкой.</w:t>
      </w:r>
    </w:p>
    <w:p w14:paraId="318FB3E4" w14:textId="77777777" w:rsidR="00E73430" w:rsidRPr="00640820" w:rsidRDefault="00E73430" w:rsidP="00640820">
      <w:pPr>
        <w:tabs>
          <w:tab w:val="left" w:pos="802"/>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Ножное управление требованиям норм прочности удовлетво</w:t>
      </w:r>
      <w:r w:rsidRPr="00640820">
        <w:rPr>
          <w:rFonts w:ascii="Times New Roman" w:hAnsi="Times New Roman"/>
          <w:color w:val="000000" w:themeColor="text1"/>
          <w:sz w:val="16"/>
          <w:szCs w:val="16"/>
        </w:rPr>
        <w:softHyphen/>
        <w:t>ряет при условии усиления узла крепления качалки на шпангоуте № 15530 соответственно усилению узла на экземпляре самолета, про</w:t>
      </w:r>
      <w:r w:rsidRPr="00640820">
        <w:rPr>
          <w:rFonts w:ascii="Times New Roman" w:hAnsi="Times New Roman"/>
          <w:color w:val="000000" w:themeColor="text1"/>
          <w:sz w:val="16"/>
          <w:szCs w:val="16"/>
        </w:rPr>
        <w:softHyphen/>
        <w:t>шедшего статиспытания.</w:t>
      </w:r>
    </w:p>
    <w:p w14:paraId="70F4FDF4" w14:textId="77777777" w:rsidR="00E73430" w:rsidRPr="00640820" w:rsidRDefault="00E73430" w:rsidP="00640820">
      <w:pPr>
        <w:tabs>
          <w:tab w:val="left" w:pos="4734"/>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лаборатории № 3 ЦАГИ А.И. Макаревский</w:t>
      </w:r>
    </w:p>
    <w:p w14:paraId="01BF6877" w14:textId="77777777" w:rsidR="00E73430" w:rsidRPr="00640820" w:rsidRDefault="00E73430" w:rsidP="00640820">
      <w:pPr>
        <w:tabs>
          <w:tab w:val="left" w:pos="4753"/>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отдела № 3 Ф.М. Кондаков</w:t>
      </w:r>
    </w:p>
    <w:p w14:paraId="27174339" w14:textId="77777777" w:rsidR="00E73430" w:rsidRPr="00640820" w:rsidRDefault="00E73430" w:rsidP="00640820">
      <w:pPr>
        <w:tabs>
          <w:tab w:val="left" w:pos="4748"/>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Ведущий инженер Субботин</w:t>
      </w:r>
    </w:p>
    <w:p w14:paraId="427A98B5" w14:textId="77777777" w:rsidR="00E73430" w:rsidRPr="00640820" w:rsidRDefault="00E734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Филиал РГАНТД. Ф. Р-217. Оп. 1-6. Д. 23. Подлинник (15633).</w:t>
      </w:r>
    </w:p>
    <w:p w14:paraId="74412EAB" w14:textId="77777777" w:rsidR="00E73430" w:rsidRPr="00640820" w:rsidRDefault="00E73430" w:rsidP="00640820">
      <w:pPr>
        <w:spacing w:after="0" w:line="240" w:lineRule="auto"/>
        <w:jc w:val="both"/>
        <w:rPr>
          <w:rFonts w:ascii="Times New Roman" w:hAnsi="Times New Roman"/>
          <w:color w:val="000000" w:themeColor="text1"/>
          <w:sz w:val="16"/>
          <w:szCs w:val="16"/>
        </w:rPr>
      </w:pPr>
    </w:p>
    <w:p w14:paraId="03A84AF0" w14:textId="77777777" w:rsidR="00DE7CDD" w:rsidRPr="00640820" w:rsidRDefault="00DE7CDD" w:rsidP="00640820">
      <w:pPr>
        <w:pStyle w:val="ae"/>
        <w:spacing w:before="0" w:after="0"/>
        <w:jc w:val="both"/>
        <w:rPr>
          <w:color w:val="000000" w:themeColor="text1"/>
          <w:sz w:val="16"/>
          <w:szCs w:val="16"/>
        </w:rPr>
      </w:pPr>
      <w:r w:rsidRPr="00640820">
        <w:rPr>
          <w:color w:val="000000" w:themeColor="text1"/>
          <w:sz w:val="16"/>
          <w:szCs w:val="16"/>
        </w:rPr>
        <w:t>11 сентября 1941 года в докладной записке, направленной директором завода А.В. Ляпидевским и начальником ЦКБ № 29 Г.Я. Кутеповым главе НКВД Л.П. Берии, приводится расчет размеров производственных площадей, необходимых для крупносерийного выпуска самолетов «103» и говорится: «УКС и местные строительные организации не могут обеспечить указанного объема строительства, вследствие чего основным контрагентом по строительству завода в целом может являться только Главстройпром НКВД СССР. Просим Ваших директивных указаний о срочном расширении объемов строительных работ...» Такие указания были даны, и в Омск из-под Иркутска перемещается «Омлаг» НКВД во главе с А.Г. Альповым (в заводских документах эта строительная организация именуется как «ИТЛ» и «Омскстрой» НКВД). Неподалеку от территории «О» создается несколько лагерей, где содержались заключенные-строители. Ежедневно они конвоировались на завод, где в изолированных, охраняемых зонах трудились над возведением объектов. Качество и темпы их работ не всегда удовлетворяли заводское руководство. Но тем не менее, в 1941-42 гг исключительно быстро были построены все новые корпуса на территории «О». В 1942 году начинается строительство ближнего к заводу аэродрома или территории «Г» (аэродром ГВФ был отделен от основной территории Иртышом, через который существовали лишь паромная и понтонная переправы, а по ним невозможно было доставлять на испытания собранные самолеты). В создании новой взлетно-посадочной грунтовой полосы (нынешний Космический проспект) и сооружений ЛИСа также принимал участие «Омлаг» . Во второй половине 1942 года произошло его слияние с трестом № 2. Объединенная организация, за которой было сохранено название « Трест № 2», с этого времени вела строительство всех предприятий НКАП, расположенных в Омске, а возглавляли ее до 1943 года А.Г. Альпов, затем П.Н. Рудаков» (19633).</w:t>
      </w:r>
    </w:p>
    <w:p w14:paraId="6A4F938E" w14:textId="77777777" w:rsidR="00DE7CDD" w:rsidRPr="00640820" w:rsidRDefault="00DE7CDD" w:rsidP="00640820">
      <w:pPr>
        <w:spacing w:after="0" w:line="240" w:lineRule="auto"/>
        <w:jc w:val="both"/>
        <w:rPr>
          <w:rFonts w:ascii="Times New Roman" w:hAnsi="Times New Roman"/>
          <w:color w:val="000000" w:themeColor="text1"/>
          <w:sz w:val="16"/>
          <w:szCs w:val="16"/>
        </w:rPr>
      </w:pPr>
    </w:p>
    <w:p w14:paraId="09DC9B8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сентября 1941 НКВ Устинов писал письмо № 2687с СЕКРЕТАРЮ ЦЕНТРАЛЬНОГО КОМИТЕТА ВКП(б) тов. МАЛЕНКОВУ и</w:t>
      </w:r>
    </w:p>
    <w:p w14:paraId="6F478E4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ЗАМЕСТИТЕЛЮ ПРЕДСЕДАТЕЛЯ СОВЕТА НАРОДНЫХ КОМИССАРОВ СОЮЗА ССР тов. ВОЗНЕСЕНСКОМУ</w:t>
      </w:r>
    </w:p>
    <w:p w14:paraId="272A9D9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вопросу выпуска заводом № 2 НКВ недоброкачественного авиационного вооружения сообщаю, что кроме мероприятие, перечисленных в письме Зам. Наркома Госконтроля т. ПОПОВА, с цельюобеспечения качественной работы пулеметов Березина Наркоматом Вооружения посланы в формирующиеся и девствующие авиационные части Красной Армия бригады отладчиков.</w:t>
      </w:r>
    </w:p>
    <w:p w14:paraId="28EBF17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эксплоатации пулеметов Березина в авиационных частях Красной Армии выявлены следующие недостатки:</w:t>
      </w:r>
    </w:p>
    <w:p w14:paraId="7E9A11C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пулемету:</w:t>
      </w:r>
    </w:p>
    <w:p w14:paraId="77A8F30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поломка зацепа перезарядки, вследствие повышенного давления пневматики на самолетах МиГ-3 и больших ударных нагрузок;</w:t>
      </w:r>
    </w:p>
    <w:p w14:paraId="2781525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окрашивание кончика амортизатора и поломка буфера;</w:t>
      </w:r>
    </w:p>
    <w:p w14:paraId="274120B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скусывание и поломки движка спускового механизма и подсадка пружины.</w:t>
      </w:r>
    </w:p>
    <w:p w14:paraId="088FB93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установке (люковой на самолета Пе2):</w:t>
      </w:r>
    </w:p>
    <w:p w14:paraId="0CC0113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закливение ленты в подводящем рукаве;</w:t>
      </w:r>
    </w:p>
    <w:p w14:paraId="3F6186A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закливение звена в звекьеотводе</w:t>
      </w:r>
    </w:p>
    <w:p w14:paraId="1B78AC4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Обе задержки вызывали прекращение работы пулемета.</w:t>
      </w:r>
    </w:p>
    <w:p w14:paraId="7F7635A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перетяг в регулировке спуска пулемета в установке» почти всегда сопровождается самострелом, поломками движка и подсадкой пружины движка</w:t>
      </w:r>
    </w:p>
    <w:p w14:paraId="74F505E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Военно-технический состав, обслуживающий вооружение самолетов, за редким исключением, премет Березина должным образом не освоил, вследствие чего также встречается раз</w:t>
      </w:r>
      <w:r w:rsidRPr="00640820">
        <w:rPr>
          <w:rFonts w:ascii="Times New Roman" w:hAnsi="Times New Roman"/>
          <w:color w:val="000000" w:themeColor="text1"/>
          <w:sz w:val="16"/>
          <w:szCs w:val="16"/>
        </w:rPr>
        <w:softHyphen/>
        <w:t>личные недоразумения.</w:t>
      </w:r>
    </w:p>
    <w:p w14:paraId="76F1799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Устраняя отмеченные недостатки завод № 2 с 10/УШ-41г приступил к выпуску пулеметов с усиленным зацепом.</w:t>
      </w:r>
    </w:p>
    <w:p w14:paraId="28D17E2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Дополнительно к запасным частям на пулемет приклады</w:t>
      </w:r>
      <w:r w:rsidRPr="00640820">
        <w:rPr>
          <w:rFonts w:ascii="Times New Roman" w:hAnsi="Times New Roman"/>
          <w:color w:val="000000" w:themeColor="text1"/>
          <w:sz w:val="16"/>
          <w:szCs w:val="16"/>
        </w:rPr>
        <w:softHyphen/>
        <w:t>вается движок и пружина движка спускового механизма. По буферу и пружине буфера заводу дано указание ликви</w:t>
      </w:r>
      <w:r w:rsidRPr="00640820">
        <w:rPr>
          <w:rFonts w:ascii="Times New Roman" w:hAnsi="Times New Roman"/>
          <w:color w:val="000000" w:themeColor="text1"/>
          <w:sz w:val="16"/>
          <w:szCs w:val="16"/>
        </w:rPr>
        <w:softHyphen/>
        <w:t>дировать опору буфера на радиус и ввести радиусы на концах пружины.</w:t>
      </w:r>
    </w:p>
    <w:p w14:paraId="07E0725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Проведение указанных мероприятий направлено на улуч</w:t>
      </w:r>
      <w:r w:rsidRPr="00640820">
        <w:rPr>
          <w:rFonts w:ascii="Times New Roman" w:hAnsi="Times New Roman"/>
          <w:color w:val="000000" w:themeColor="text1"/>
          <w:sz w:val="16"/>
          <w:szCs w:val="16"/>
        </w:rPr>
        <w:softHyphen/>
        <w:t>шение работя пулемета в частях Красной Армии, но надеж</w:t>
      </w:r>
      <w:r w:rsidRPr="00640820">
        <w:rPr>
          <w:rFonts w:ascii="Times New Roman" w:hAnsi="Times New Roman"/>
          <w:color w:val="000000" w:themeColor="text1"/>
          <w:sz w:val="16"/>
          <w:szCs w:val="16"/>
        </w:rPr>
        <w:softHyphen/>
        <w:t>ная работа пулемета зависит также от работы установки на самолете и правильного обслуживания вооружения в частях Краснов Армии. В связи о этим прошу:</w:t>
      </w:r>
    </w:p>
    <w:p w14:paraId="488FFA0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Обязать НКАП т.ШАХУРИНА ускорить доработку устано</w:t>
      </w:r>
      <w:r w:rsidRPr="00640820">
        <w:rPr>
          <w:rFonts w:ascii="Times New Roman" w:hAnsi="Times New Roman"/>
          <w:color w:val="000000" w:themeColor="text1"/>
          <w:sz w:val="16"/>
          <w:szCs w:val="16"/>
        </w:rPr>
        <w:softHyphen/>
        <w:t>вок.</w:t>
      </w:r>
    </w:p>
    <w:p w14:paraId="5676D63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С пелъю скорейшего освоения пулемета Березина в частях Краснов Армии, обязать ГУВВС организовать широкий инструктаж военно-технического состава, обслуживающего вооружение самолетов (4156,188).</w:t>
      </w:r>
    </w:p>
    <w:p w14:paraId="28061F9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F651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11 сентября 1941 22 МиГ-3 круглосуточно несли дежурство, не позволяя противнику метать работе харьковчан на заводе № 135 (5360).</w:t>
      </w:r>
    </w:p>
    <w:p w14:paraId="3DACE1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C5645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сентября 1941 года Гу-82 и совершила первый вылет в ЛИИ. До 24 сентября летчик-испытатель А.И. Никашин со</w:t>
      </w:r>
      <w:r w:rsidRPr="00640820">
        <w:rPr>
          <w:rFonts w:ascii="Times New Roman" w:hAnsi="Times New Roman"/>
          <w:color w:val="000000" w:themeColor="text1"/>
          <w:sz w:val="16"/>
          <w:szCs w:val="16"/>
        </w:rPr>
        <w:softHyphen/>
        <w:t>вершил на нем 12 полетов, в которых, как доложил Гудков Сталину 11 ок</w:t>
      </w:r>
      <w:r w:rsidRPr="00640820">
        <w:rPr>
          <w:rFonts w:ascii="Times New Roman" w:hAnsi="Times New Roman"/>
          <w:color w:val="000000" w:themeColor="text1"/>
          <w:sz w:val="16"/>
          <w:szCs w:val="16"/>
        </w:rPr>
        <w:softHyphen/>
        <w:t>тября, была получена максимальная скорость 580 км/ч на высоте 6400 м и время подъема на высоту 5000 м -7-7,5 минут. По расчету же макси</w:t>
      </w:r>
      <w:r w:rsidRPr="00640820">
        <w:rPr>
          <w:rFonts w:ascii="Times New Roman" w:hAnsi="Times New Roman"/>
          <w:color w:val="000000" w:themeColor="text1"/>
          <w:sz w:val="16"/>
          <w:szCs w:val="16"/>
        </w:rPr>
        <w:softHyphen/>
        <w:t>мальная скорость должна была со</w:t>
      </w:r>
      <w:r w:rsidRPr="00640820">
        <w:rPr>
          <w:rFonts w:ascii="Times New Roman" w:hAnsi="Times New Roman"/>
          <w:color w:val="000000" w:themeColor="text1"/>
          <w:sz w:val="16"/>
          <w:szCs w:val="16"/>
        </w:rPr>
        <w:softHyphen/>
        <w:t>ставить 615-620 км/ч. Недополучение скоростей Гудков объяснял плохим качеством изготовления планера ис</w:t>
      </w:r>
      <w:r w:rsidRPr="00640820">
        <w:rPr>
          <w:rFonts w:ascii="Times New Roman" w:hAnsi="Times New Roman"/>
          <w:color w:val="000000" w:themeColor="text1"/>
          <w:sz w:val="16"/>
          <w:szCs w:val="16"/>
        </w:rPr>
        <w:softHyphen/>
        <w:t>ходного ЛаГГ-3 на заводе №21 в Горь</w:t>
      </w:r>
      <w:r w:rsidRPr="00640820">
        <w:rPr>
          <w:rFonts w:ascii="Times New Roman" w:hAnsi="Times New Roman"/>
          <w:color w:val="000000" w:themeColor="text1"/>
          <w:sz w:val="16"/>
          <w:szCs w:val="16"/>
        </w:rPr>
        <w:softHyphen/>
        <w:t>ком. Однако, несмотря на это, Гудков просил разрешить ему организовать серийное производство Гу-82 на од</w:t>
      </w:r>
      <w:r w:rsidRPr="00640820">
        <w:rPr>
          <w:rFonts w:ascii="Times New Roman" w:hAnsi="Times New Roman"/>
          <w:color w:val="000000" w:themeColor="text1"/>
          <w:sz w:val="16"/>
          <w:szCs w:val="16"/>
        </w:rPr>
        <w:softHyphen/>
        <w:t>ном из серийных заводов, выпускаю</w:t>
      </w:r>
      <w:r w:rsidRPr="00640820">
        <w:rPr>
          <w:rFonts w:ascii="Times New Roman" w:hAnsi="Times New Roman"/>
          <w:color w:val="000000" w:themeColor="text1"/>
          <w:sz w:val="16"/>
          <w:szCs w:val="16"/>
        </w:rPr>
        <w:softHyphen/>
        <w:t>щих ЛаГГи, обязуясь устранить выяв</w:t>
      </w:r>
      <w:r w:rsidRPr="00640820">
        <w:rPr>
          <w:rFonts w:ascii="Times New Roman" w:hAnsi="Times New Roman"/>
          <w:color w:val="000000" w:themeColor="text1"/>
          <w:sz w:val="16"/>
          <w:szCs w:val="16"/>
        </w:rPr>
        <w:softHyphen/>
        <w:t>ленные дефекты и довести скорость до 600 км/ч (10686).</w:t>
      </w:r>
    </w:p>
    <w:p w14:paraId="04A4DC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39C57AA" w14:textId="77777777" w:rsidR="00DE7CDD" w:rsidRPr="00640820" w:rsidRDefault="00DE7CDD"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 xml:space="preserve">11 сентября 1941 Никашин совершил на </w:t>
      </w:r>
      <w:r w:rsidRPr="00640820">
        <w:rPr>
          <w:rStyle w:val="aff7"/>
          <w:rFonts w:ascii="Times New Roman" w:hAnsi="Times New Roman" w:cs="Times New Roman"/>
          <w:b w:val="0"/>
          <w:color w:val="000000" w:themeColor="text1"/>
          <w:spacing w:val="0"/>
          <w:sz w:val="16"/>
          <w:szCs w:val="16"/>
        </w:rPr>
        <w:t>Гу-82</w:t>
      </w:r>
      <w:r w:rsidRPr="00640820">
        <w:rPr>
          <w:rFonts w:ascii="Times New Roman" w:hAnsi="Times New Roman" w:cs="Times New Roman"/>
          <w:color w:val="000000" w:themeColor="text1"/>
          <w:sz w:val="16"/>
          <w:szCs w:val="16"/>
        </w:rPr>
        <w:t xml:space="preserve"> первый полет, а до 24 сентября еще 11. Истребитель смог разогнаться лишь до 573 км/ч, что не впечатлило заказчика.</w:t>
      </w:r>
    </w:p>
    <w:p w14:paraId="5FDBF184" w14:textId="77777777" w:rsidR="00DE7CDD" w:rsidRPr="00640820" w:rsidRDefault="00DE7CDD"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Построить второй экземпляр и окончить испытания первого помешала эвакуация завода. Тем не менее, Гудков добился вы</w:t>
      </w:r>
      <w:r w:rsidRPr="00640820">
        <w:rPr>
          <w:rFonts w:ascii="Times New Roman" w:hAnsi="Times New Roman" w:cs="Times New Roman"/>
          <w:color w:val="000000" w:themeColor="text1"/>
          <w:sz w:val="16"/>
          <w:szCs w:val="16"/>
        </w:rPr>
        <w:softHyphen/>
        <w:t>хода приказа НКАП от 5 декабря 1942 г. о внедрении Гу-82 в про</w:t>
      </w:r>
      <w:r w:rsidRPr="00640820">
        <w:rPr>
          <w:rFonts w:ascii="Times New Roman" w:hAnsi="Times New Roman" w:cs="Times New Roman"/>
          <w:color w:val="000000" w:themeColor="text1"/>
          <w:sz w:val="16"/>
          <w:szCs w:val="16"/>
        </w:rPr>
        <w:softHyphen/>
        <w:t>изводство на заводе № 21. Тут уж и Лавочкину пришлось форси</w:t>
      </w:r>
      <w:r w:rsidRPr="00640820">
        <w:rPr>
          <w:rFonts w:ascii="Times New Roman" w:hAnsi="Times New Roman" w:cs="Times New Roman"/>
          <w:color w:val="000000" w:themeColor="text1"/>
          <w:sz w:val="16"/>
          <w:szCs w:val="16"/>
        </w:rPr>
        <w:softHyphen/>
        <w:t>ровать создание своего варианта самолета с М-82. Его версия винтомоторной группы не повторяла Су-2, а была лучше адап</w:t>
      </w:r>
      <w:r w:rsidRPr="00640820">
        <w:rPr>
          <w:rFonts w:ascii="Times New Roman" w:hAnsi="Times New Roman" w:cs="Times New Roman"/>
          <w:color w:val="000000" w:themeColor="text1"/>
          <w:sz w:val="16"/>
          <w:szCs w:val="16"/>
        </w:rPr>
        <w:softHyphen/>
        <w:t>тирована к планеру ЛаГГ-3, что позволило получить на испыта</w:t>
      </w:r>
      <w:r w:rsidRPr="00640820">
        <w:rPr>
          <w:rFonts w:ascii="Times New Roman" w:hAnsi="Times New Roman" w:cs="Times New Roman"/>
          <w:color w:val="000000" w:themeColor="text1"/>
          <w:sz w:val="16"/>
          <w:szCs w:val="16"/>
        </w:rPr>
        <w:softHyphen/>
        <w:t>ниях более высокие скоростные характеристики и «закрыть» конкурента (19106).</w:t>
      </w:r>
    </w:p>
    <w:p w14:paraId="13CD5037" w14:textId="77777777" w:rsidR="00DE7CDD" w:rsidRPr="00640820" w:rsidRDefault="00DE7CDD"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p>
    <w:p w14:paraId="468AF9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сентября 1941 А.С.Я. в качестве ВРИО наркома отдал приказ НКАП N 965 ЦАГИ "С целью бесперебойного внедрения мотора М-82 на самолеты разработать к 25 сентября рекомендации по наилучшему капоту, к 15 сентября рекомендации по наивыгоднейшим винтам для одномоторных и двухмоторных, возможные летные данные типового истребителя и СБ (АНТ-40) к 15 сентября (892/2323,12) к 20 октября провести аэродинамические расчеты различных самолетов при установке на них М-82 (по МиГ, ЛаГГ, Як - 892,12). Успели к 30 сентября (198,40).</w:t>
      </w:r>
    </w:p>
    <w:p w14:paraId="5C9BA4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A0277FF" w14:textId="77777777" w:rsidR="00DE7CDD" w:rsidRPr="00640820" w:rsidRDefault="00DE7CD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сентября 1941 г. А. С. Яковлев подписал приказ НКАП № 965: «С целью бесперебойного внедрения мотора М-82 на самолеты приказываю: Нач. ЦАГИ т. С. Н. Шишкину... разработать к 25 сентября на основании испытаний в натуре рекомендации по наилучшему капоту к М-82... разработать к 15 сентября рекомендации по наивыгоднейшим винтам к мотору М-82 для одномоторных и двухмоторных самолетов, просчитать возможные летные данные типового истребителя и СБ с М-82 к 15 сентября. Провести к 20 октября с.г. аэродинамические исследования по истребителям МиГ, Ла, Як с М-82» (19727).</w:t>
      </w:r>
    </w:p>
    <w:p w14:paraId="2BC26600" w14:textId="77777777" w:rsidR="00DE7CDD" w:rsidRPr="00640820" w:rsidRDefault="00DE7CDD" w:rsidP="00640820">
      <w:pPr>
        <w:spacing w:after="0" w:line="240" w:lineRule="auto"/>
        <w:jc w:val="both"/>
        <w:rPr>
          <w:rFonts w:ascii="Times New Roman" w:hAnsi="Times New Roman"/>
          <w:color w:val="000000" w:themeColor="text1"/>
          <w:sz w:val="16"/>
          <w:szCs w:val="16"/>
        </w:rPr>
      </w:pPr>
    </w:p>
    <w:p w14:paraId="5BCFEB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сентября 1941 вышел приказ НКАП N 965с:</w:t>
      </w:r>
    </w:p>
    <w:p w14:paraId="527F4E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целью бесперебойного внедрения мотора М-82 на самолеты приказываю:</w:t>
      </w:r>
    </w:p>
    <w:p w14:paraId="7904EC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 1</w:t>
      </w:r>
    </w:p>
    <w:p w14:paraId="4CFBD3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 ЦАГИ т. С.Н.Шишкину</w:t>
      </w:r>
    </w:p>
    <w:p w14:paraId="73FDF1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Разработать к 25 сентября на основании испытаний в натуре рекомендации по наилучшему капоту к М-82</w:t>
      </w:r>
    </w:p>
    <w:p w14:paraId="70361D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Разработать к 15 сентября рекомендации по наивыгоднейшим винтам к мотору М-82 для одномоторных и двухмоторных с-тов,</w:t>
      </w:r>
    </w:p>
    <w:p w14:paraId="671E8D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Просчитать возможные летные данные типового истребителя и СБ с М-82 к 15 сентября (892/2323,12)</w:t>
      </w:r>
    </w:p>
    <w:p w14:paraId="1A1740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Провести к 20 октября с.г. аэродинамические исследования по истребителям МиГ, Ла, Як с М-82 (892,12).</w:t>
      </w:r>
    </w:p>
    <w:p w14:paraId="092016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F16CE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11 сентября 1941 г. с целью быстрейшего внедрения моторов М-82 на самолеты приказом НКАП №925 начальнику ЦАГИ С.Н. Шишкину было предписано разработать к 15 сентября рекомендации по наилучшим винтам и просчитать возможные летные данные типового истребителя и бомбардировщика с моторами М-82. </w:t>
      </w:r>
      <w:r w:rsidRPr="00640820">
        <w:rPr>
          <w:rFonts w:ascii="Times New Roman" w:hAnsi="Times New Roman"/>
          <w:color w:val="000000" w:themeColor="text1"/>
          <w:sz w:val="16"/>
          <w:szCs w:val="16"/>
        </w:rPr>
        <w:lastRenderedPageBreak/>
        <w:t>а к 25 сентября, на основании натурных испытаний, рекомендации по наилучшему капоту. Кроме того, к 20 октября надлежало провести аналогичные исследования по истребителям МиГ, ЛаГГ и Як с этим мотором (5485,29).</w:t>
      </w:r>
    </w:p>
    <w:p w14:paraId="190A2C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65FE9FF" w14:textId="77777777" w:rsidR="00E73430" w:rsidRPr="00640820" w:rsidRDefault="00E73430" w:rsidP="00640820">
      <w:pPr>
        <w:pStyle w:val="a3"/>
        <w:rPr>
          <w:color w:val="000000" w:themeColor="text1"/>
          <w:lang w:val="ru-RU"/>
        </w:rPr>
      </w:pPr>
      <w:r w:rsidRPr="00640820">
        <w:rPr>
          <w:color w:val="000000" w:themeColor="text1"/>
          <w:lang w:val="ru-RU"/>
        </w:rPr>
        <w:t>11 сентября 1941 г. приказом НКАП № 925 начальнику ЦАГИ С.Н.Шишкину было предпи</w:t>
      </w:r>
      <w:r w:rsidRPr="00640820">
        <w:rPr>
          <w:color w:val="000000" w:themeColor="text1"/>
          <w:lang w:val="ru-RU"/>
        </w:rPr>
        <w:softHyphen/>
        <w:t>сано разработать к 15 сентября рекомендации по наилучшим винтам и просчитать возможные лётные данные типового истребителя и бомбардировщика с моторами М-82. А к 25 сентября требовалось выдать рекомендации по наилучшему капоту на основании натурных испытаний. Кроме того, к 20 октября надлежало провести аналогичные исследования по истребителям МиГ, ЛаГГ и Як с этим мотором (15976).</w:t>
      </w:r>
    </w:p>
    <w:p w14:paraId="18A0A19F" w14:textId="77777777" w:rsidR="00E73430" w:rsidRPr="00640820" w:rsidRDefault="00E73430" w:rsidP="00640820">
      <w:pPr>
        <w:pStyle w:val="a3"/>
        <w:rPr>
          <w:color w:val="000000" w:themeColor="text1"/>
          <w:lang w:val="ru-RU"/>
        </w:rPr>
      </w:pPr>
    </w:p>
    <w:p w14:paraId="65651D4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сентября 1941 г. начальник ЦАГИ С.Н.Шиш</w:t>
      </w:r>
      <w:r w:rsidRPr="00640820">
        <w:rPr>
          <w:rFonts w:ascii="Times New Roman" w:hAnsi="Times New Roman"/>
          <w:color w:val="000000" w:themeColor="text1"/>
          <w:sz w:val="16"/>
          <w:szCs w:val="16"/>
        </w:rPr>
        <w:softHyphen/>
        <w:t>кин получил распоряжение от наркома авиапромы</w:t>
      </w:r>
      <w:r w:rsidRPr="00640820">
        <w:rPr>
          <w:rFonts w:ascii="Times New Roman" w:hAnsi="Times New Roman"/>
          <w:color w:val="000000" w:themeColor="text1"/>
          <w:sz w:val="16"/>
          <w:szCs w:val="16"/>
        </w:rPr>
        <w:softHyphen/>
        <w:t>шленности: с целью быстрейшего внедрения мото</w:t>
      </w:r>
      <w:r w:rsidRPr="00640820">
        <w:rPr>
          <w:rFonts w:ascii="Times New Roman" w:hAnsi="Times New Roman"/>
          <w:color w:val="000000" w:themeColor="text1"/>
          <w:sz w:val="16"/>
          <w:szCs w:val="16"/>
        </w:rPr>
        <w:softHyphen/>
        <w:t>ров М—82 не позднее 15 сентября разработать рекомендации по выбору винтов и просчитать воз</w:t>
      </w:r>
      <w:r w:rsidRPr="00640820">
        <w:rPr>
          <w:rFonts w:ascii="Times New Roman" w:hAnsi="Times New Roman"/>
          <w:color w:val="000000" w:themeColor="text1"/>
          <w:sz w:val="16"/>
          <w:szCs w:val="16"/>
        </w:rPr>
        <w:softHyphen/>
        <w:t>можные летные данные типового истребителя и бомбардировщика с моторами М—82, а к 25 сентября — выдать рекомендации по наилучшему капоту. Кроме того, к 20 октября надлежало провести натурные ис</w:t>
      </w:r>
      <w:r w:rsidRPr="00640820">
        <w:rPr>
          <w:rFonts w:ascii="Times New Roman" w:hAnsi="Times New Roman"/>
          <w:color w:val="000000" w:themeColor="text1"/>
          <w:sz w:val="16"/>
          <w:szCs w:val="16"/>
        </w:rPr>
        <w:softHyphen/>
        <w:t>пытания истребителей МиГ, ЛаГГ и Як с мотором М—82 в аэродинамической трубе (9984).</w:t>
      </w:r>
    </w:p>
    <w:p w14:paraId="73207EA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A711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сентября 1941 г. А.С. Яковлев, временно исполнявший обязанности наркома, отдал приказ начальнику ЦАГИ провести к 20 октября аэродинамические расчеты различных самолетов (в том числе и Як-1) и оценить улучшение летных данных от установки мотора М-82.</w:t>
      </w:r>
    </w:p>
    <w:p w14:paraId="644D9C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Расчеты были выполнены раньше срока - к 30 сентября 1941 г. Установка нового мотора на Як-1 позволяла ожидать:</w:t>
      </w:r>
    </w:p>
    <w:p w14:paraId="107D2C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увеличение максимальной скорости на 30-35 км/ч;</w:t>
      </w:r>
    </w:p>
    <w:p w14:paraId="2D2562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увеличение высотности на 1000 м;</w:t>
      </w:r>
    </w:p>
    <w:p w14:paraId="0E3205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сокращение времени набора высоты 5000 м на 0,8-1,2 мин.;</w:t>
      </w:r>
    </w:p>
    <w:p w14:paraId="301CCD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уменьшение длины разбега примерно на 10%.</w:t>
      </w:r>
    </w:p>
    <w:p w14:paraId="5BF4FA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другой стороны, сухой вес у мотора М-82 был на 250 кг больше, чем у М-105П. Опять прекрасная возможность улучшения летных данных вступила в противоречие с ограничением полетного веса по прочности колес шасси. Поэтому ответ на вопрос о замене на Як-1 мотора М-105П мотором М-82 оказался отрицательным. А для натурных испытаний мотор М-82 решено было установить на самолете Як-7 (12048).</w:t>
      </w:r>
    </w:p>
    <w:p w14:paraId="602E25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55DBB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сентября 1941 был подписан акт по результатам совместных испытаний планера Гр-29 В.К.Грибовского, которые начались 1 сентября 1941. После устранения недостатков плане рекомендовали в серию (94,61).</w:t>
      </w:r>
    </w:p>
    <w:p w14:paraId="57FBA4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BF3346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сентября 1941 был подписан акт, рекомендовавший Гр-29 к серий</w:t>
      </w:r>
      <w:r w:rsidRPr="00640820">
        <w:rPr>
          <w:rFonts w:ascii="Times New Roman" w:hAnsi="Times New Roman"/>
          <w:color w:val="000000" w:themeColor="text1"/>
          <w:sz w:val="16"/>
          <w:szCs w:val="16"/>
        </w:rPr>
        <w:softHyphen/>
        <w:t>ному производству (12266).</w:t>
      </w:r>
    </w:p>
    <w:p w14:paraId="6C2E0325"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3C3B97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сентября 1941 вышел приказ НКАП N 960сc по плану выпуска самолетов и моторов на 1941 и мобилизационной программы на 1 месяца (1502,27).</w:t>
      </w:r>
    </w:p>
    <w:p w14:paraId="552C39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C96E5B3" w14:textId="77777777" w:rsidR="00165A9C" w:rsidRPr="00640820" w:rsidRDefault="00C46E94" w:rsidP="00640820">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63F6BC4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A299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сентября 1941 вышло Постановление ГКО № 661 О принятии на вооружение Красной Армии противотанковых патронов калибра 7,92 мм. РГАНИР, Фонд ГКО, д. 9, лл. 52 (11012).</w:t>
      </w:r>
    </w:p>
    <w:p w14:paraId="77DE57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7C2A6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сентября 1941 вышло Постановление ГКО № 657 О мероприятиях по обеспечению производства танков. РГАНИР, Фонд ГКО, д. 9, лл. 45-46 (11012).</w:t>
      </w:r>
    </w:p>
    <w:p w14:paraId="716ADD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BC54D7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сентября 1941 года постановлением ГКО № 665сс завод № 174 предполагалось вывезти в Чкалов (Оренбург) на паровозоремонтный завод (РГАСПИ. Ф. 644. Оп. 1. Д. 9. Л. 74-75). Там планировалось развернуть производство танка Т-50. Но заводу № 174 пришлось столкнуться с дополнительными трудностями, так как после эвакуации в Чкалов его пришлось эвакуировать второй раз, в Омск. В Чкалове он так и не успел начать производство танков и даже не выгрузил полностью оборудование. 7 марта 1942 года постановлением ГКО № 1410 было принято решение о его слиянии с Омским заводом № 173 (РГАСПИ. Ф. 644. Оп. 1. Д. 23. Л. 138-144). Объединённый завод должен был перейти к производству танка Т-34, так как от производства танка Т-50 окончательно отказались. Роковую роль в судьбе этого танка сыграл директор Кировского завода И.М. Зальцман, который использовал задел для производства дизелей В-4, необходимых для Т-50, для производства В-2, после чего производство В-4 так и не было восстановлено (Свирин М. Броневой щит Сталина. М., 2006. С. 364).</w:t>
      </w:r>
    </w:p>
    <w:p w14:paraId="4B38CDE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перехода к производству Т-34 заводу предстояло начать серьёзные работы по расширению Омского завода. Предполагалось построить сталелитейный цех площадью 30 тыс. кв. м. с 6 мартеновскими печами, кузнечный цех площадью 5 тыс. кв. м., механосборочный площадью 7 тыс. кв. м., механосборочный цех облегчённого типа для сборки отдельных узлов площадью 6 тыс. кв. м., электростанцию мощностью 20 тыс. квт. и др. Для строительных работ на заводе предполагалось использовать 8 рабочих колонн НКО и 2500 рабочих Наркомстроя, снятых со строительства оборонительных рубежей. Производственную базу нового завода предполагалось усилить 4 штамповочными молотами и 179 металлообрабатывающими станками разных типов, которые предстояло найти среди «бездокументного» и неиспользуемого оборудования. 12 уникальных станков «Глиссон» для нарезки конических спиральных шестерён предполагалось закупить за границей через Наркомвнешторг. Производство танков должно было начаться в мае (в реальности началось в июне) и дойти до 250 штук в месяц в конце года (в реальности в декабре 1942 года выпущено 110 машин) (12290).</w:t>
      </w:r>
    </w:p>
    <w:p w14:paraId="5D3F04CE"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55A84B6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сентября 1941 года указом президиума Верховного Совета СССР был образован Общесоюзный народный комиссариат танковой промышленности (НКТП), с включением в его состав «танковых, дизельных и броневых заводов». Наркомом нового ведомства назначили В.А. Малышева, до этого возглавлявшего Наркомсредмаш и бывшего, что называется «в теме».</w:t>
      </w:r>
    </w:p>
    <w:p w14:paraId="3461457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началу осени 1941 года правительству СССР стало ясно, что наращивать выпуск танков на заводах, подчиненных различным наркоматам становится все сложнее. Необходимо сосредоточить всю танковую промышленность страны в одних руках. И вскоре произошло событие, в корне изменившее ситуацию с изготовлением бронетехники.</w:t>
      </w:r>
    </w:p>
    <w:p w14:paraId="12B3F0E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Тем же постановлением президиума был утвержден состав предприятий НКТП. Ему передавались следующие заводы</w:t>
      </w:r>
    </w:p>
    <w:p w14:paraId="1C2CB61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Наркомсредмаша - № 183. 75 и ХТЗ в Харькове, № 37 и автомобильный завод КИМ в Москве. №174 и Кировский в Ленинграде, Сталинградский тракторный, Уральский турбинный в Свердловске, Уральский вагонный в Нижнем Тагиле;</w:t>
      </w:r>
    </w:p>
    <w:p w14:paraId="7A53503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3-го главного управления Нар- комсудпрома - Ижорский завод в Колпино, Мариупольский завод имени Ильича, Кулебакский металлургический завод, Кулебаки Горьковской области, завод № 264 в Сталинграде и научно-исследовательский институт НИИ № 48 в Ленинграде;</w:t>
      </w:r>
    </w:p>
    <w:p w14:paraId="693984C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других наркоматов: Уралмашзавод от Наркомтяжмаша, Муромский паровозоремонтный завод от Наркомата путей сообщения, Выксун- ский завод дробильно-размольно- го оборудования Наркомстанкстроя, «Красное Сормово» Наркомсудпро- ма. Подольский завод имени Орджоникидзе Наркомнефти;</w:t>
      </w:r>
    </w:p>
    <w:p w14:paraId="5EA8B47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Учебные заведения и разные организации: 8-й государственный проектный институт, Сталинградский механический институт, а также ряд тракторных техникумов - Сталинградский, Челябинский, Нижнетагильский и Харьковский тракторные и Харьковский машиностроительный.</w:t>
      </w:r>
    </w:p>
    <w:p w14:paraId="09202D1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результате была создана мокшая организация, в которой были сосредоточены все заводы по производству танков, бронекорпусов и двигателей. Благодаря активной работе руководства Наркомтанкопрома, уже в конце сентября 1941 года это ведомство активно включилось в работу. Создание НКТП позволило более грамотно организовать работу по выпуску танков, отладить нужные промышленные связи и обеспечить выпуск боевых машин в невиданных доселе количествах, да еще в условиях военного времени. Малышев руководил НКТП до августа 1942 года и с июля 1943-го по октябрь1945 года. С августа 1942-го по июль 1943 года наркомат возглавлял бывший директор Ленинградского Кировского завода И.М. Зальцман (12217).</w:t>
      </w:r>
    </w:p>
    <w:p w14:paraId="326DDE56"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3BF75811"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сентября в 1941 году в целях организации советской танковой промышленности был образован Наркомат танковой промышленности СССР во главе с наркомом тяжелого машиностроения В.А.Малышевым (14766).</w:t>
      </w:r>
    </w:p>
    <w:p w14:paraId="1AFA6150" w14:textId="77777777" w:rsidR="002E395B" w:rsidRPr="00640820" w:rsidRDefault="002E395B" w:rsidP="00640820">
      <w:pPr>
        <w:spacing w:after="0" w:line="240" w:lineRule="auto"/>
        <w:jc w:val="both"/>
        <w:rPr>
          <w:rFonts w:ascii="Times New Roman" w:hAnsi="Times New Roman"/>
          <w:color w:val="000000" w:themeColor="text1"/>
          <w:sz w:val="16"/>
          <w:szCs w:val="16"/>
        </w:rPr>
      </w:pPr>
    </w:p>
    <w:p w14:paraId="12740B7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сентября 1941 года Указами Президиума Верховного совета был образован общесоюзный НКТП.</w:t>
      </w:r>
    </w:p>
    <w:p w14:paraId="08E7853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Список предприятий НКТП</w:t>
      </w:r>
    </w:p>
    <w:p w14:paraId="34EDFA9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183 с моторемонтным заводом – Харьков</w:t>
      </w:r>
    </w:p>
    <w:p w14:paraId="28B3B03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75 – Харьков</w:t>
      </w:r>
    </w:p>
    <w:p w14:paraId="107B6E9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37 – Москва</w:t>
      </w:r>
    </w:p>
    <w:p w14:paraId="6A4E7D6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174 – Ленинград</w:t>
      </w:r>
    </w:p>
    <w:p w14:paraId="602ED85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Кировский завод - Ленинград</w:t>
      </w:r>
    </w:p>
    <w:p w14:paraId="002EC40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Сталинградский тракторный завод с метизным заводом – Сталинград</w:t>
      </w:r>
    </w:p>
    <w:p w14:paraId="1D23C18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Харьковский тракторный завод – Харьков</w:t>
      </w:r>
    </w:p>
    <w:p w14:paraId="7FC4F2B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Челябинский тракторный завод – Челябинск</w:t>
      </w:r>
    </w:p>
    <w:p w14:paraId="41A17E4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Автомобильный завод “КИМ” – Москва</w:t>
      </w:r>
    </w:p>
    <w:p w14:paraId="6B762B0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Уральский турбинный завод – Свердловск</w:t>
      </w:r>
    </w:p>
    <w:p w14:paraId="2F5E99F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Уральский вагонный завод - Нижний Тагил</w:t>
      </w:r>
    </w:p>
    <w:p w14:paraId="5B44951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8-й Государственный проектный институт</w:t>
      </w:r>
    </w:p>
    <w:p w14:paraId="71181AF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Список предприятий 3 Гл. управления, передаваемых из Наркомата судостроительной промышленности в НКТП</w:t>
      </w:r>
    </w:p>
    <w:p w14:paraId="44D096B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Ижорский завод – Колпино</w:t>
      </w:r>
    </w:p>
    <w:p w14:paraId="1132712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Мариупольский завод им. Ильича – Сартана</w:t>
      </w:r>
    </w:p>
    <w:p w14:paraId="572B9F0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Кулебакский металлургический завод – Кулебаки</w:t>
      </w:r>
    </w:p>
    <w:p w14:paraId="3F80189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264 – Сталинград</w:t>
      </w:r>
    </w:p>
    <w:p w14:paraId="303D602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НИИ № 48 – Ленинград</w:t>
      </w:r>
    </w:p>
    <w:p w14:paraId="3D9DC00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Список заводов, передаваемых НКТП</w:t>
      </w:r>
    </w:p>
    <w:p w14:paraId="67DDD2C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Уралмашзавод Наркомтяжмаша</w:t>
      </w:r>
    </w:p>
    <w:p w14:paraId="43EBA8C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Муромский паровозоремонтный завод НКПС</w:t>
      </w:r>
    </w:p>
    <w:p w14:paraId="42B7CD7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Выксунский дробильно-размольного оборудования Наркомстанкостроения</w:t>
      </w:r>
    </w:p>
    <w:p w14:paraId="2053086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“Красное Сормово” Наркомсудостроения</w:t>
      </w:r>
    </w:p>
    <w:p w14:paraId="2C76490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Подольский завод им. Орджоникидзе Наркомнефти (6119, 168-167а).</w:t>
      </w:r>
    </w:p>
    <w:p w14:paraId="50DBB9A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6E13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сентября 1941 из наркомата среднего машиностроения выделили наркомат танкостроения (338,21) во главе с В.А.Малышевым (359,163). В него по состоянию на 1 января 1942 входило 27 предприятий. Делал и поковки для АП и корпуса бомб и бронедетали для Ил-2 (1566,139).</w:t>
      </w:r>
    </w:p>
    <w:p w14:paraId="51DD12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90EC3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сентября 1941 г. был образован Наркомат танкостроения, которому был передан ряд тракторных, дизельных, бронекорпусных и т.д. заводов. Возглавил НКТС заместитель председателя СНК СССР В. А. Малышев. По линии ГКО за танкостроение отвечал В. М. Молотов. До войны в руководящих сферах много говорилось о необходимости перебазирования военной промышленности на Урал, в Сибирь, в Среднюю Азию, т.е. районы, которые были недосягаемы для авиации тех времен. Сделано, однако, для этого было мало. Это был большой просчет, приведший к тяжелым последствиям. (3862).</w:t>
      </w:r>
    </w:p>
    <w:p w14:paraId="3670E0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35F68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сентября 1941 года вышло Постановление СНК № 2059:</w:t>
      </w:r>
    </w:p>
    <w:p w14:paraId="1E3EB6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 утверждении состава предприятий Наркомата танковой промышленности и о передаче 3-го гл. управления НКСП и других предприятий в систему Наркомтанкопрома</w:t>
      </w:r>
    </w:p>
    <w:p w14:paraId="66E9FC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СНК постановляет:</w:t>
      </w:r>
    </w:p>
    <w:p w14:paraId="3995C49C" w14:textId="77777777" w:rsidR="00165A9C" w:rsidRPr="00640820" w:rsidRDefault="00165A9C" w:rsidP="0064082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Утвердить состав предприятий и организаций Наркомата танковой промышленности, передаваемых из Наркомата среднего машиностроения согласно приложению № 1.</w:t>
      </w:r>
    </w:p>
    <w:p w14:paraId="41A45BDB" w14:textId="77777777" w:rsidR="00165A9C" w:rsidRPr="00640820" w:rsidRDefault="00165A9C" w:rsidP="0064082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Передать Наркомату танковой промышленности:</w:t>
      </w:r>
    </w:p>
    <w:p w14:paraId="5964A9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3-е гл. управление Наркомсудпрома с предприятиями согласно приложению № 2;</w:t>
      </w:r>
    </w:p>
    <w:p w14:paraId="05C609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заводы: Уралмашзавод Наркомтяжмаша, Муромский паровозоремонтный НКПС, Выксунский дробильно-размольного оборудования Наркомстанкостроения, завод “Красное Сормово” Наркомсудостроения и Подольский завод им. Орджоникидзе Наркомнефти.</w:t>
      </w:r>
    </w:p>
    <w:p w14:paraId="1978B9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Приложение № 1</w:t>
      </w:r>
    </w:p>
    <w:p w14:paraId="4777C1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Список предприятий и организаций Наркомата танковой промышленности</w:t>
      </w:r>
    </w:p>
    <w:p w14:paraId="585164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183 с мотороремонтным заводом – Харьков</w:t>
      </w:r>
    </w:p>
    <w:p w14:paraId="458C5C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75 – Харьков</w:t>
      </w:r>
    </w:p>
    <w:p w14:paraId="34C879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37 – Москва</w:t>
      </w:r>
    </w:p>
    <w:p w14:paraId="09E249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174 – Ленинград</w:t>
      </w:r>
    </w:p>
    <w:p w14:paraId="491D30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Сталинградский тракторный завод с метизным заводом – Сталинград</w:t>
      </w:r>
    </w:p>
    <w:p w14:paraId="7FD165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Харьковский тракторный завод – Харьков</w:t>
      </w:r>
    </w:p>
    <w:p w14:paraId="1F1DFD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Челябинский тракторный завод</w:t>
      </w:r>
    </w:p>
    <w:p w14:paraId="5C8AAC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Автомобильный завод “КИМ” – Москва</w:t>
      </w:r>
    </w:p>
    <w:p w14:paraId="4F072D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Уральский турбинный завод – Свердловск</w:t>
      </w:r>
    </w:p>
    <w:p w14:paraId="617C3E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Уральский вагонный завод – Н. Тагил</w:t>
      </w:r>
    </w:p>
    <w:p w14:paraId="7669C9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8-й государственный проектный институт</w:t>
      </w:r>
    </w:p>
    <w:p w14:paraId="536D5A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Приложение № 2</w:t>
      </w:r>
    </w:p>
    <w:p w14:paraId="254385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Список предприятий 3-го гл. управления, передаваемых из Наркомата судостроительной промышленности в Наркомат танковой промышленности</w:t>
      </w:r>
    </w:p>
    <w:p w14:paraId="2A731D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Ижорский завод – Колпино</w:t>
      </w:r>
    </w:p>
    <w:p w14:paraId="1D4E8C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Мариупольский завод им. Ильича – Сартана</w:t>
      </w:r>
    </w:p>
    <w:p w14:paraId="6980EC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Кулебакский металлургический завод – Кулебаки</w:t>
      </w:r>
    </w:p>
    <w:p w14:paraId="11EDE4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264 – Сталинград</w:t>
      </w:r>
    </w:p>
    <w:p w14:paraId="6E5975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НИИ № 48 – Ленинград (8610, 104-106).</w:t>
      </w:r>
    </w:p>
    <w:p w14:paraId="790D5A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05A13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сентября 1941 г. поста</w:t>
      </w:r>
      <w:r w:rsidRPr="00640820">
        <w:rPr>
          <w:rFonts w:ascii="Times New Roman" w:hAnsi="Times New Roman"/>
          <w:color w:val="000000" w:themeColor="text1"/>
          <w:sz w:val="16"/>
          <w:szCs w:val="16"/>
        </w:rPr>
        <w:softHyphen/>
        <w:t>новлением ЦИК и СНК СССР был создан новый общесоюзный Наркомат танковой промышленности, в котором на должность первого заместителя наркома был назначен нарком судостроитель</w:t>
      </w:r>
      <w:r w:rsidRPr="00640820">
        <w:rPr>
          <w:rFonts w:ascii="Times New Roman" w:hAnsi="Times New Roman"/>
          <w:color w:val="000000" w:themeColor="text1"/>
          <w:sz w:val="16"/>
          <w:szCs w:val="16"/>
        </w:rPr>
        <w:softHyphen/>
        <w:t>ной промышленности И. И. Носенко с сохранением своего основ</w:t>
      </w:r>
      <w:r w:rsidRPr="00640820">
        <w:rPr>
          <w:rFonts w:ascii="Times New Roman" w:hAnsi="Times New Roman"/>
          <w:color w:val="000000" w:themeColor="text1"/>
          <w:sz w:val="16"/>
          <w:szCs w:val="16"/>
        </w:rPr>
        <w:softHyphen/>
        <w:t>ного поста (возглавил НКТП В. А. Малышев, являвшийся одновре</w:t>
      </w:r>
      <w:r w:rsidRPr="00640820">
        <w:rPr>
          <w:rFonts w:ascii="Times New Roman" w:hAnsi="Times New Roman"/>
          <w:color w:val="000000" w:themeColor="text1"/>
          <w:sz w:val="16"/>
          <w:szCs w:val="16"/>
        </w:rPr>
        <w:softHyphen/>
        <w:t>менно заместителем председателя СНК СССР). Кроме заводов 112 и 264 этим постановлением из состава Наркомсудпрома в новый наркомат передали три металлургиче</w:t>
      </w:r>
      <w:r w:rsidRPr="00640820">
        <w:rPr>
          <w:rFonts w:ascii="Times New Roman" w:hAnsi="Times New Roman"/>
          <w:color w:val="000000" w:themeColor="text1"/>
          <w:sz w:val="16"/>
          <w:szCs w:val="16"/>
        </w:rPr>
        <w:softHyphen/>
        <w:t>ских завода и НИИ-48 (3898).</w:t>
      </w:r>
    </w:p>
    <w:p w14:paraId="6AA42C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74619F7" w14:textId="77777777" w:rsidR="00DE7CDD" w:rsidRPr="00640820" w:rsidRDefault="00DE7CD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сентября 1941 г. постановлением ГКО № 665сс предполагалось вывезти завод № 174 в Чкалов (Оренбург) на паровозоремонтный завод. Там планировалось развернуть производство танка Т-50. Но заводу № 174 пришлось столкнуться с дополнительными трудностями, так как после эвакуации в Чкалов его пришлось эвакуировать второй раз. В Чкалове он так и не успел начать производство танков и даже не выгрузил полностью оборудование. 7 марта 1942 г. постановлением ГКО № 1410 было принято решение о его слиянии с Омским заводом № 173</w:t>
      </w:r>
      <w:r w:rsidRPr="00640820">
        <w:rPr>
          <w:rFonts w:ascii="Times New Roman" w:hAnsi="Times New Roman"/>
          <w:color w:val="000000" w:themeColor="text1"/>
          <w:sz w:val="16"/>
          <w:szCs w:val="16"/>
          <w:vertAlign w:val="superscript"/>
        </w:rPr>
        <w:t>х1</w:t>
      </w:r>
      <w:r w:rsidRPr="00640820">
        <w:rPr>
          <w:rFonts w:ascii="Times New Roman" w:hAnsi="Times New Roman"/>
          <w:color w:val="000000" w:themeColor="text1"/>
          <w:sz w:val="16"/>
          <w:szCs w:val="16"/>
        </w:rPr>
        <w:t xml:space="preserve">. Объединённый завод должен был перейти к производству танка Т-34, так как от производства танка Т-50 окончательно отказались. Для перехода к производству Т-34 заводу предстояло начать серьёзные работы по расширению Омского завода. Производство танков должно было начаться в мае (в реальности началось в июне) и дойти до 250 штук в месяц в конце года (в реальности в декабре </w:t>
      </w:r>
      <w:r w:rsidR="00401AC5" w:rsidRPr="00640820">
        <w:rPr>
          <w:rFonts w:ascii="Times New Roman" w:hAnsi="Times New Roman"/>
          <w:color w:val="000000" w:themeColor="text1"/>
          <w:sz w:val="16"/>
          <w:szCs w:val="16"/>
        </w:rPr>
        <w:t>1942 г. выпущено 110 машин) (198</w:t>
      </w:r>
      <w:r w:rsidRPr="00640820">
        <w:rPr>
          <w:rFonts w:ascii="Times New Roman" w:hAnsi="Times New Roman"/>
          <w:color w:val="000000" w:themeColor="text1"/>
          <w:sz w:val="16"/>
          <w:szCs w:val="16"/>
        </w:rPr>
        <w:t>07).</w:t>
      </w:r>
    </w:p>
    <w:p w14:paraId="175EE516" w14:textId="77777777" w:rsidR="00DE7CDD" w:rsidRPr="00640820" w:rsidRDefault="00DE7CDD" w:rsidP="00640820">
      <w:pPr>
        <w:spacing w:after="0" w:line="240" w:lineRule="auto"/>
        <w:jc w:val="both"/>
        <w:rPr>
          <w:rFonts w:ascii="Times New Roman" w:hAnsi="Times New Roman"/>
          <w:color w:val="000000" w:themeColor="text1"/>
          <w:sz w:val="16"/>
          <w:szCs w:val="16"/>
        </w:rPr>
      </w:pPr>
    </w:p>
    <w:p w14:paraId="2E8733F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сентября 1941 по данным штаба Ленинградского фронта, отгрузка броневых автомобилей с завода № 189 - 3 БА-10М линейных №№418154, 418151, 418146 — отправлены в резервную роту Ленинград</w:t>
      </w:r>
      <w:r w:rsidRPr="00640820">
        <w:rPr>
          <w:rFonts w:ascii="Times New Roman" w:hAnsi="Times New Roman"/>
          <w:color w:val="000000" w:themeColor="text1"/>
          <w:sz w:val="16"/>
          <w:szCs w:val="16"/>
        </w:rPr>
        <w:softHyphen/>
        <w:t>ского фронта своим ходом (11284).</w:t>
      </w:r>
    </w:p>
    <w:p w14:paraId="13E2573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37A3F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сентября 1941 г. завод № 264, который первоначально отно</w:t>
      </w:r>
      <w:r w:rsidRPr="00640820">
        <w:rPr>
          <w:rFonts w:ascii="Times New Roman" w:hAnsi="Times New Roman"/>
          <w:color w:val="000000" w:themeColor="text1"/>
          <w:sz w:val="16"/>
          <w:szCs w:val="16"/>
        </w:rPr>
        <w:softHyphen/>
        <w:t>сился с Судпрому, был передан в ведение НКТП постанов</w:t>
      </w:r>
      <w:r w:rsidRPr="00640820">
        <w:rPr>
          <w:rFonts w:ascii="Times New Roman" w:hAnsi="Times New Roman"/>
          <w:color w:val="000000" w:themeColor="text1"/>
          <w:sz w:val="16"/>
          <w:szCs w:val="16"/>
        </w:rPr>
        <w:softHyphen/>
        <w:t>лением СНК В силу этого завод не имел для обеспечения увеличенной танковой программы достаточного количества станочного, печного и правильно</w:t>
      </w:r>
      <w:r w:rsidRPr="00640820">
        <w:rPr>
          <w:rFonts w:ascii="Times New Roman" w:hAnsi="Times New Roman"/>
          <w:color w:val="000000" w:themeColor="text1"/>
          <w:sz w:val="16"/>
          <w:szCs w:val="16"/>
        </w:rPr>
        <w:softHyphen/>
        <w:t>го оборудования. Особенно плохо обстояло дело с литейны</w:t>
      </w:r>
      <w:r w:rsidRPr="00640820">
        <w:rPr>
          <w:rFonts w:ascii="Times New Roman" w:hAnsi="Times New Roman"/>
          <w:color w:val="000000" w:themeColor="text1"/>
          <w:sz w:val="16"/>
          <w:szCs w:val="16"/>
        </w:rPr>
        <w:softHyphen/>
        <w:t>ми цехами, которые на обоих рассмотренных заводах были оборудованы малыми ковшами, не позволявшими отливать башню Т-34 за раз и недостаточно развитый формовочный участок (при полном отсутствии качественных песков). Правда, используя опыт производства траков для сель</w:t>
      </w:r>
      <w:r w:rsidRPr="00640820">
        <w:rPr>
          <w:rFonts w:ascii="Times New Roman" w:hAnsi="Times New Roman"/>
          <w:color w:val="000000" w:themeColor="text1"/>
          <w:sz w:val="16"/>
          <w:szCs w:val="16"/>
        </w:rPr>
        <w:softHyphen/>
        <w:t>скохозяйственных тракторов, СТЗ смог настолько расши</w:t>
      </w:r>
      <w:r w:rsidRPr="00640820">
        <w:rPr>
          <w:rFonts w:ascii="Times New Roman" w:hAnsi="Times New Roman"/>
          <w:color w:val="000000" w:themeColor="text1"/>
          <w:sz w:val="16"/>
          <w:szCs w:val="16"/>
        </w:rPr>
        <w:softHyphen/>
        <w:t>рить литье траков Т-34, что уже в июле покрыл как собст</w:t>
      </w:r>
      <w:r w:rsidRPr="00640820">
        <w:rPr>
          <w:rFonts w:ascii="Times New Roman" w:hAnsi="Times New Roman"/>
          <w:color w:val="000000" w:themeColor="text1"/>
          <w:sz w:val="16"/>
          <w:szCs w:val="16"/>
        </w:rPr>
        <w:softHyphen/>
        <w:t>венные потребности, так и заказы харьковского завода. Тем не менее небольшой опыт производства бронекор-пусов Т-34 в Сталинграде имелся. Еще с весны 1941 г. завод № 264 начал осваивать выпуск корпусов и сварных башен Т-34. Но объемы этого производства были весьма невелики:</w:t>
      </w:r>
    </w:p>
    <w:p w14:paraId="0A99A77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май</w:t>
      </w:r>
      <w:r w:rsidRPr="00640820">
        <w:rPr>
          <w:rFonts w:ascii="Times New Roman" w:hAnsi="Times New Roman"/>
          <w:color w:val="000000" w:themeColor="text1"/>
          <w:sz w:val="16"/>
          <w:szCs w:val="16"/>
        </w:rPr>
        <w:tab/>
        <w:t>6</w:t>
      </w:r>
    </w:p>
    <w:p w14:paraId="43BAB31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июнь</w:t>
      </w:r>
      <w:r w:rsidRPr="00640820">
        <w:rPr>
          <w:rFonts w:ascii="Times New Roman" w:hAnsi="Times New Roman"/>
          <w:color w:val="000000" w:themeColor="text1"/>
          <w:sz w:val="16"/>
          <w:szCs w:val="16"/>
        </w:rPr>
        <w:tab/>
        <w:t>5</w:t>
      </w:r>
    </w:p>
    <w:p w14:paraId="6C751C9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июль</w:t>
      </w:r>
      <w:r w:rsidRPr="00640820">
        <w:rPr>
          <w:rFonts w:ascii="Times New Roman" w:hAnsi="Times New Roman"/>
          <w:color w:val="000000" w:themeColor="text1"/>
          <w:sz w:val="16"/>
          <w:szCs w:val="16"/>
        </w:rPr>
        <w:tab/>
        <w:t>28</w:t>
      </w:r>
    </w:p>
    <w:p w14:paraId="63D5F51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август</w:t>
      </w:r>
      <w:r w:rsidRPr="00640820">
        <w:rPr>
          <w:rFonts w:ascii="Times New Roman" w:hAnsi="Times New Roman"/>
          <w:color w:val="000000" w:themeColor="text1"/>
          <w:sz w:val="16"/>
          <w:szCs w:val="16"/>
        </w:rPr>
        <w:tab/>
        <w:t>31</w:t>
      </w:r>
    </w:p>
    <w:p w14:paraId="22293EE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сентябрь</w:t>
      </w:r>
      <w:r w:rsidRPr="00640820">
        <w:rPr>
          <w:rFonts w:ascii="Times New Roman" w:hAnsi="Times New Roman"/>
          <w:color w:val="000000" w:themeColor="text1"/>
          <w:sz w:val="16"/>
          <w:szCs w:val="16"/>
        </w:rPr>
        <w:tab/>
        <w:t>65 (10782).</w:t>
      </w:r>
    </w:p>
    <w:p w14:paraId="235F67A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1C00ED" w14:textId="77777777" w:rsidR="001125BD" w:rsidRPr="00640820" w:rsidRDefault="001125BD" w:rsidP="00640820">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640820">
        <w:rPr>
          <w:rFonts w:ascii="Times New Roman" w:eastAsia="Times New Roman" w:hAnsi="Times New Roman"/>
          <w:color w:val="0070C0"/>
          <w:sz w:val="16"/>
          <w:szCs w:val="16"/>
          <w:lang w:eastAsia="ru-RU"/>
        </w:rPr>
        <w:t>11 сентября 1941 года на ЧТЗ начались работы по созданию своей конструкции бронировки ЗИС-5 на КВ-1. Можно, с некоторым ехидством заметить, что часто одни и те же идеи ходят по спирали. Полностью литая подвижная бронировка была очень похожа на ту, которую разработали для Т-222. Разница была в том, что сделали ее из единой детали. Для доступа к откатным механизмам сделали «окно». Таким образом, вооружение КВ-1 окончательно сформировалось к концу сентября 1941 года, просуществовав, в таком виде, до августа 1943 года, когда началось производство КВ-85 (20272).</w:t>
      </w:r>
    </w:p>
    <w:p w14:paraId="1D5C3C25" w14:textId="77777777" w:rsidR="001125BD" w:rsidRPr="00640820" w:rsidRDefault="001125BD" w:rsidP="00640820">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p>
    <w:p w14:paraId="1E17766A"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сентября в 1941 году СНК СССР принял Постановление о строительстве промышленных предприятий в условиях военного времени. Наркоматам и ведомствам разрешалось при необходимости строить для основных и вспомогательных цехов фабрично-заводских предприятий здания временного типа, перейти в строительстве к широкому применению дерева и других местных материалов. Применять металл и железобетон разрешалось в тех случаях, когда применение других материалов было технически недопустимым (14766).</w:t>
      </w:r>
    </w:p>
    <w:p w14:paraId="05267BB5" w14:textId="77777777" w:rsidR="002E395B" w:rsidRPr="00640820" w:rsidRDefault="002E395B" w:rsidP="00640820">
      <w:pPr>
        <w:spacing w:after="0" w:line="240" w:lineRule="auto"/>
        <w:jc w:val="both"/>
        <w:rPr>
          <w:rFonts w:ascii="Times New Roman" w:hAnsi="Times New Roman"/>
          <w:color w:val="000000" w:themeColor="text1"/>
          <w:sz w:val="16"/>
          <w:szCs w:val="16"/>
        </w:rPr>
      </w:pPr>
    </w:p>
    <w:p w14:paraId="30646E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сентября 1941 вышло постановление СНК "О строительстве промышленных предприятий в условиях военного времени". Разрешило наркоматам строить самостоятельно здания временного типа под основные и вспомогательные цехи используя местные материалы (173,214).</w:t>
      </w:r>
    </w:p>
    <w:p w14:paraId="17FF44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6F2A468" w14:textId="77777777" w:rsidR="00DE7CDD" w:rsidRPr="00640820" w:rsidRDefault="00DE7CDD"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сентября 1941 г.</w:t>
      </w:r>
    </w:p>
    <w:p w14:paraId="159A0A71" w14:textId="77777777" w:rsidR="00DE7CDD" w:rsidRPr="00640820" w:rsidRDefault="00DE7CDD"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Протоколы заседаний бюро Ленинградского городского комитета ВКП(б)</w:t>
      </w:r>
    </w:p>
    <w:p w14:paraId="518F50AA" w14:textId="77777777" w:rsidR="00DE7CDD" w:rsidRPr="00640820" w:rsidRDefault="00DE7CDD"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11 сентября 1941 г.</w:t>
      </w:r>
    </w:p>
    <w:p w14:paraId="02166BC5" w14:textId="77777777" w:rsidR="00DE7CDD" w:rsidRPr="00640820" w:rsidRDefault="00DE7CDD"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36гс. — О дополнительном выпуске снарядов М-8 (особая папка).</w:t>
      </w:r>
    </w:p>
    <w:p w14:paraId="31310829" w14:textId="77777777" w:rsidR="00DE7CDD" w:rsidRPr="00640820" w:rsidRDefault="00DE7CDD"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Для использования дополнительно выявленных мощностей на ленинградских заводах Наркомообщмаша увеличить выпуск снарядов М-8 в сентябре месяце на 5.000 шт., для чего организовать производственную кооперацию, согласно приложению №1.</w:t>
      </w:r>
    </w:p>
    <w:p w14:paraId="4112CB16" w14:textId="77777777" w:rsidR="00DE7CDD" w:rsidRPr="00640820" w:rsidRDefault="00DE7CDD"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Установить головным заводом по выпуску дополнительных 5.000 шт. снарядов М-8, в сентябре месяце, завод им. Карла Маркса (директор т. Клавсуть).</w:t>
      </w:r>
    </w:p>
    <w:p w14:paraId="0905F2B2" w14:textId="77777777" w:rsidR="00DE7CDD" w:rsidRPr="00640820" w:rsidRDefault="00DE7CDD"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Обязать директоров предприятий: «Комсомольская Правда» (т. Ильина), завод №4 (т. Брук), Горместпром (т. Шиндер), Картонажная фабрика №2 (т. Трегубов), «Электромортрест» (т. Борина) в дополнение к постановлению бюро ГК ВКП(б) от 29.VIII–1941 г. «О производстве снарядов для установок М-13 и М-3 на ленинградских предприятиях» (приложение №2), изготовить дополнительно в сентябре месяце по 6.000 шт. деталей и поставить заводу им.</w:t>
      </w:r>
    </w:p>
    <w:p w14:paraId="443C5920" w14:textId="77777777" w:rsidR="00DE7CDD" w:rsidRPr="00640820" w:rsidRDefault="00DE7CDD"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Карла Маркса равными партиями, согласно приложению №2.</w:t>
      </w:r>
    </w:p>
    <w:p w14:paraId="5A33FEE2" w14:textId="77777777" w:rsidR="00DE7CDD" w:rsidRPr="00640820" w:rsidRDefault="00DE7CDD"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Обязать директора Кировского завода т. Зальцман обеспечить поставку заготовки головок для снаряда М-8 (дет. №10) заводу им. Карла Маркса в количестве 5.000 шт. до 25.IX–с.г.</w:t>
      </w:r>
    </w:p>
    <w:p w14:paraId="17C61146" w14:textId="77777777" w:rsidR="00DE7CDD" w:rsidRPr="00640820" w:rsidRDefault="00DE7CDD"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Обязать управляющего Ленконторой Главметаллосбыта т. Князькова обеспечить поставку материалов для выпуска дополнительно 5.000 шт. снарядов в сентябре месяце по заявке завода им. Карла Маркса.</w:t>
      </w:r>
    </w:p>
    <w:p w14:paraId="249176DC" w14:textId="77777777" w:rsidR="00DE7CDD" w:rsidRPr="00640820" w:rsidRDefault="00DE7CDD"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Обязать директора завода 522 т. Малышева снаряжать снаряды М-8, поставляемые заводом Карла Маркса партиями в количестве 100 шт.</w:t>
      </w:r>
    </w:p>
    <w:p w14:paraId="7B8993E2" w14:textId="77777777" w:rsidR="00DE7CDD" w:rsidRPr="00640820" w:rsidRDefault="00DE7CDD"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 46, п.285 ГС)</w:t>
      </w:r>
    </w:p>
    <w:p w14:paraId="67FB4D9E" w14:textId="77777777" w:rsidR="00DE7CDD" w:rsidRPr="00640820" w:rsidRDefault="00DE7CDD"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Подписи — Капустин, Кузнецов, Никитин, Попков.</w:t>
      </w:r>
    </w:p>
    <w:p w14:paraId="2EDDA4CE" w14:textId="77777777" w:rsidR="00DE7CDD" w:rsidRPr="00640820" w:rsidRDefault="00DE7CDD"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ЦГАИПД СПб. Ф. 25. Оп.2а. Д. 156. Л. 54. Оригинал, машинопись. Подписи — автографы (19720).</w:t>
      </w:r>
    </w:p>
    <w:p w14:paraId="080836BA" w14:textId="77777777" w:rsidR="00DE7CDD" w:rsidRPr="00640820" w:rsidRDefault="00DE7CDD" w:rsidP="00640820">
      <w:pPr>
        <w:autoSpaceDE w:val="0"/>
        <w:autoSpaceDN w:val="0"/>
        <w:adjustRightInd w:val="0"/>
        <w:spacing w:after="0" w:line="240" w:lineRule="auto"/>
        <w:jc w:val="both"/>
        <w:rPr>
          <w:rFonts w:ascii="Times New Roman" w:hAnsi="Times New Roman"/>
          <w:color w:val="000000" w:themeColor="text1"/>
          <w:sz w:val="16"/>
          <w:szCs w:val="16"/>
        </w:rPr>
      </w:pPr>
    </w:p>
    <w:p w14:paraId="3E2820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сентября 1941 г. на "Марате" на 125-м выстреле разорвало среднее орудие носовой башни (3898).</w:t>
      </w:r>
    </w:p>
    <w:p w14:paraId="247047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27D1793"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13FE03D3"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2E56995"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11 СЕНТЯБРЯ 1941 УТРЕННЕЕ СООБЩЕНИЕ </w:t>
      </w:r>
    </w:p>
    <w:p w14:paraId="06103EE4"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ночь на 11 сентября наши войска продолжали вести упорные бои с противником на всём фронте. </w:t>
      </w:r>
    </w:p>
    <w:p w14:paraId="3849686D"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Самоотверженно сражается с румыно-немецкими войсками на подступах к Одессе полк под командованием тов. Сереброва. Бывают дни, когда полк отбивает по нескольку атак. Недавно наши бойцы отбили ожесточённую атаку 1 румынского егерского полка. Румыны густыми колоннами двинулись на наши позиции. Подпустив врага на близкое расстояние, пулемётчик Темиров первым открыл огонь по передним шеренгам. Вслед за ним ударили с флангов и в лоб наступающему противнику остальные пулемётчики. Атака закончилась плачевно для врага. Оставив на поле сражения сотни трупов, румыны отступили. </w:t>
      </w:r>
    </w:p>
    <w:p w14:paraId="7337EEE4"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другом бою полк тов. Сереброва стойко выдержал атаку крупной румынской части, поддержанной 50 танками. Противотанковой артиллерией, бутылками с горючим и гранатами наши бойцы уничтожили свыше 20 вражеских танков, а затем, перейдя в контратаку, обратили румын в бегство. </w:t>
      </w:r>
    </w:p>
    <w:p w14:paraId="43D4A41A"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Несмотря на сильный дождь и низкую облачность, группа лётчиков-истребителей под командованием старшего лейтенанта Шолупова, действующая на Северо-Западном направлении фронта, совершила успешный налёт на вражеский аэродром. Фашистские лётчики были застигнуты врасплох. С первого же захода наши лётчики подожгли и пулемётным огнём вывели из строя 7 «Мессершмиттов» и несколько бомбардировщиков. При налёте на этот аэродром особо отличились старший лейтенант Шолупов и лейтенант Аксёнов, уничтожившие 4 вражеских самолёта. </w:t>
      </w:r>
    </w:p>
    <w:p w14:paraId="4FA85C46"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Со всех участков фронта поступают сообщения о смелых действиях советских артиллеристов. В упорном бою на Западном направлении фронта наводчик противотанкового орудия младший сержант Макозобов метким огнём поразил 7 вражеских танков. </w:t>
      </w:r>
    </w:p>
    <w:p w14:paraId="08E8D9AD"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Батарея лейтенанта Кулешова, действующая на Северо-Западном направлении фронта, поддерживала стрелковое подразделение. Прямой наводкой артиллеристы уничтожили 5 немецких танков, два пулемёта и два миномёта. </w:t>
      </w:r>
    </w:p>
    <w:p w14:paraId="67F37911"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Артиллеристы батареи лейтенанта Федоренко в одном бою разгромили семь пулемётных гнёзд противника, большую группу вражеских мотоциклистов и восемь немецких полковых орудий. Бойцы батареи за три последних дня уничтожили 29 пулемётов, 5 миномётов и 2 ДЗОТа. </w:t>
      </w:r>
    </w:p>
    <w:p w14:paraId="02787C5D"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железнодорожный состав, в котором находились цистерны с горючим, налетели фашистские самолёты. От взрыва бомбы загорелись одна из платформ и паровоз этого состава. Пламя могло перекинуться на цистерны с бензином. Находившиеся на станции бойцы железнодорожной роты т.т. Рузанов, Титов, Григорьев, Антонов и Сотников дружными усилиями затушили пожар. Исключительное мужество и находчивость проявил при этом младший командир железнодорожной роты тов. Спасский. Он вскочил на охваченный пламенем паровоз, дал полный ход, сбил огонь, а затем, умело маневрируя, быстро растащил состав в разные стороны. </w:t>
      </w:r>
    </w:p>
    <w:p w14:paraId="6347A093"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Четвёртого и пятого сентября миномётная батарея старшего сержанта Базилевского уничтожила четыре расчёта противотанковых пушек и три бронемашины противника. В одном из боёв миномётчики попали в окружение. Отважные бойцы во главе с тов. Базилевским разгромили два фашистских взвода пехоты и вышли из окружения, полностью сохранив свои миномёты. </w:t>
      </w:r>
    </w:p>
    <w:p w14:paraId="4DE8085D"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Группа красноармейцев во главе со старшим лейтенантом Конотоповым вела разведку в тылу противника. В воздухе показался вражеский самолёт-истребитель. Сделав круг над лесом, самолёт опустился на поляне, неподалеку от красноармейцев. Разведчики скрытно подобрались к месту вынужденной посадки самолёта и захватили фашистский истребитель. Сняв с машины ценные приборы, бойцы подожгли самолёт. </w:t>
      </w:r>
    </w:p>
    <w:p w14:paraId="5995A3E9"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каждым днём возрастает активность украинских партизан, борющихся против ненавистных немецких захватчиков. Партизанские отряды истребляют отдельные группы фашистских солдат, нападают на мелкие воинские подразделения, уничтожают вооружение и боеприпасы противника. В местечке Жашков, Киевской области, немцы сосредоточили много лошадей, привезённых с запада. Вечером 3 сентября партизанский отряд под командованием председателя колхоза тов. К. напал на немецких солдат, гнавших лошадей на водопой. Партизаны открыли интенсивную стрельбу. Среди фашистов началась паника. Бросив лошадей, немцы пытались бежать, но были уничтожены ружейным огнём партизан. Вслед за этим партизаны разгромили весь германский гарнизон местечка, уничтожив свыше 100 немецких солдат и 8 офицеров. Партизанский отряд захватил 125 лошадей, 80 винтовок, 10 повозок с консервами и мукой, 20.000 винтовочных патронов и небольшую передвижную радиостанцию. </w:t>
      </w:r>
    </w:p>
    <w:p w14:paraId="5CBE1076"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Трудящиеся Бельгии и Франции всё более активно оказывают сопротивление фашистским оккупантам. За последние дни забастовали бельгийские горняки шахт в Шарлеруа и рабочие оружейного завода Герсталь в Льеже. Две шахты в результате забастовки были затоплены. На шахтах Гризель антифашисты подожгли большой склад крепёжного материала. Склад сгорел дотла. Работы на шахтах приостановлены. 12 забоев из-за отсутствия стоек обвалились. В угольных копях Сея-Вааст патриоты вывели из строя электромотор. Шахта бездействовала несколько дней. </w:t>
      </w:r>
    </w:p>
    <w:p w14:paraId="028A7183"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Во Франции забастовали железнодорожники Равра, Сотвиля и Эквиля — в департаменте Нижней Сены — и Мондвиля — в департаменте Кальвадос. У Вьерзона патриоты-железнодорожники пустили под откос немецкий воинский эшелон. </w:t>
      </w:r>
    </w:p>
    <w:p w14:paraId="14315E9F"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Колхозы усиленно готовят обильные запасы кормов для коней Красной Армии и колхозного скота. Колхозники Куйбышевской, Воронежской, Тамбовской, Горьковской и Рязанской областей уже значительно перевыполнили годовой план сенокошения. Киргизская ССР заготовила сена в полтора раза больше, чем в прошлом году. Колхозы Будённовского района Фрунзенской области вдвое перевыполнили план силосования кормов. Колхоз «Красный Новосёл», Петровско-Заводского района, Читинской области, добился рекордного урожая трав. Он собрал по 35 центнеров сена с гектара. Сельскохозяйственная артель «Гигант», </w:t>
      </w:r>
      <w:r w:rsidRPr="00640820">
        <w:rPr>
          <w:rFonts w:ascii="Times New Roman" w:hAnsi="Times New Roman"/>
          <w:color w:val="000000" w:themeColor="text1"/>
          <w:sz w:val="16"/>
          <w:szCs w:val="16"/>
        </w:rPr>
        <w:lastRenderedPageBreak/>
        <w:t>Харьковской области, собрала дополнительно 700 центнеров сена. Колхоз имени 1 Мая, Ольховатского района, Воронежской области, снимает второй укос с 40 гектаров посева клевера и 20 гектаров луга. На 1 сентября по СССР заложено в полтора раза больше силоса, чем на то же число в 1940 году (14766).</w:t>
      </w:r>
    </w:p>
    <w:p w14:paraId="4507BDCD" w14:textId="77777777" w:rsidR="002E395B" w:rsidRPr="00640820" w:rsidRDefault="002E395B" w:rsidP="00640820">
      <w:pPr>
        <w:spacing w:after="0" w:line="240" w:lineRule="auto"/>
        <w:jc w:val="both"/>
        <w:rPr>
          <w:rFonts w:ascii="Times New Roman" w:hAnsi="Times New Roman"/>
          <w:color w:val="000000" w:themeColor="text1"/>
          <w:sz w:val="16"/>
          <w:szCs w:val="16"/>
        </w:rPr>
      </w:pPr>
    </w:p>
    <w:p w14:paraId="55092941"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11 СЕНТЯБРЯ 1941 ВЕЧЕРНЕЕ СООБЩЕНИЕ </w:t>
      </w:r>
    </w:p>
    <w:p w14:paraId="5B807CE7"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течение 11 сентября наши войска вели упорные бои с противником на всём фронте. </w:t>
      </w:r>
    </w:p>
    <w:p w14:paraId="6B447F09"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Наша авиация во взаимодействии с наземными войсками наносила удары по мотомехчастям, пехоте и артиллерии противника и уничтожала авиацию на его аэродромах. </w:t>
      </w:r>
    </w:p>
    <w:p w14:paraId="3DCA634C"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течение 9 сентября в воздушных боях огнём зенитной артиллерии и на аэродромах противника уничтожен 81 немецкий самолёт. Наши потери— 41 самолёт. </w:t>
      </w:r>
    </w:p>
    <w:p w14:paraId="18502B29"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Советские лётчики наносят удары по немецко-фашистским войскам и авиации на всех участках фронта. Лётчики части тов. Толстикова за десять дней сентября, взаимодействуя с наземными частями, уничтожили и вывели из строя 15 танков, более сотни автомашин, 5 орудий, 25 повозок с боеприпасами, сожгли несколько цистерн с бензином. Группа пикирующих бомбардировщиков во главе с Героем Советского Союза старшим батальонным комиссаром Костылёвым атаковала немецкие артиллерийские батареи. Один за другим пикировали лётчики на вражеские батареи. Взрывами бомб уничтожено 12 тяжёлых орудий. Лётчик штурмовой авиации старший лейтенант Нахим Рейтер три раза атаковал аэродром немцев, уничтожая самолёты и живую силу противника. Самолёт его получил пробоины и на обратном пути подвергся нападению «Мессершмиттов». Старший лейтенант пошёл в лобовую атаку. Один фашистский истребитель, уклоняясь от боя, врезался в лес, другой скрылся. </w:t>
      </w:r>
    </w:p>
    <w:p w14:paraId="5694817C"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активе авиачасти, которой командует тов. Белов, числится 96 сбитых и уничтоженных на земле фашистских самолётов. Отдельные лётчики уже сбили по нескольку самолётов. Среди них лётчик-истребитель капитан Савченко, уничтоживший 10 бомбардировщиков и истребителей, стрелок-радист тов. Ткач, сбивший 8 самолётов. Лётчики подразделения, действующего на Западном направлении, т.т. Боровченко и Гибадулин сбили за месяц по 5 самолётов. Герой Советского Союза тов. Бринько на подступах к Ленинграду сбил 12 самолётов. </w:t>
      </w:r>
    </w:p>
    <w:p w14:paraId="1A3857BA"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Наши части, действующие на Западном направлении фронта, нанесли тяжёлый урон 47 немецкому танковому корпусу, усиленному артиллерией и пехотой. Зажав в клещи танковые полки врага, вклинившиеся в некоторых местах в расположение наших частей, советские войска отрезали их от пехоты и методично уничтожали по частям. Танкисты части, которой командует тов. Иванов, в одном из боёв уничтожили 79 немецких танков, 32 орудия, 2.500 немецких солдат и офицеров и разгромили штабы двух фашистских полков. Артиллеристы батареи тов. Попова прямой наводкой и огнём с закрытой позиции разбили 21 вражеский танк и две артиллерийские немецкие батареи. </w:t>
      </w:r>
    </w:p>
    <w:p w14:paraId="7E8A40B3"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захваченных гитлеровской армией западных районах Калининской области изо дня в день усиливается партизанское движение. Отряды, действующие вокруг Невеля, за последние три недели совершили свыше 80 налётов на фашистские войска, транспорты, склады, коммуникации и аэродромы. В результате этих налётов убито и ранено более 750 немецких солдат, офицеров и чиновников. Партизаны уничтожили 24 вражеских танка, 9 бронемашин, 13 орудий, 52 грузовых и 7 легковых автомашин, 44 мотоцикла, 217 велосипедов, более 1.000 винтовок и 140 автоматов. Отряды сожгли 4 фашистских склада боеприпасов, 21 автоцистерну с горючим, 8 продовольственных обозов и 3 склада зимнего обмундирования, недавно привезённого немцами из Норвегии. Кроме того, партизаны уничтожили на аэродромах 4 фашистских бомбардировщика и 2 штурмовика. </w:t>
      </w:r>
    </w:p>
    <w:p w14:paraId="18E113D5"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Образцы исключительного героизма проявляют бойцы партизанского отряда под командованием почтового работника тов. Е. 3 сентября вечером партизаны узнали, что из Подберезья по направлению к Дунаеву пошла рота немецкой пехоты. Партизаны подошли к Дунаеву со стороны шоссейной дороги от Подберезья и открыли огонь по фашистским войскам, находившимся в Дунаеве. Началась интенсивная перестрелка. Фашисты двинули против партизан три стрелковых взвода. В это время со стороны Подберезья подошла, немецкая рота. Тогда партизаны прекратили огонь и скрылись. Не разобравшись в обстановке, оба немецких отряда начали перестрелку из пулемётов и винтовок. Пока фашисты узнали друг друга, было убито более 30 немецких солдат и офицеров. </w:t>
      </w:r>
    </w:p>
    <w:p w14:paraId="0DC28F26"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Отряд под командованием зоотехника тов. Ж. совершил смелый налёт на Усвятово. Перебив до 80 фашистских солдат, партизаны взорвали мост через реку М. Смота, 3 склада с боеприпасами и продовольствием и уничтожили 6 грузовых автомашин. Захватив много оружия, партизаны оставили село. </w:t>
      </w:r>
    </w:p>
    <w:p w14:paraId="7BFA6431"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Бойцы партизанского отряда бухгалтера МТС тов. П. на большом отрезке дороги около Губаны насыпали острые обрезки железа и гвозди. Двигавшийся по дороге отряд немецких мотоциклистов остановился из-за того, что не меньше, чем у 20 мотоциклов были проколоты шины. Когда фашисты занялись сменой покрышек, партизаны напали на них. Перебив 25 немецких солдат, партизаны захватили мотоциклы и скрылись. </w:t>
      </w:r>
    </w:p>
    <w:p w14:paraId="4FE29F44"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Албании всё сильнее разрастается освободительное движение. Албанские патриоты 1 и 2 сентября разбили севернее Зергьян карательный отряд из 75 итальянских стрелков и уничтожили батарею горных орудий. </w:t>
      </w:r>
    </w:p>
    <w:p w14:paraId="4404CA18"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Упорное сопротивление итальянским и германским захватчикам оказывают партизаны в Греции. В порту Солоники в течение первых трёх дней сентября было два больших пожара на итальянских транспортах, подготовленных к отправке в Италию. В связи с пожарами итальянская жандармерия арестовала свыше ста портовых рабочих — греков. В ответ на это греческие грузчики забастовали. Итальянцы были вынуждены освободить арестованных. В греческом порту Пирей итальянцы пытаются поднять затопленные здесь пароходы. На днях один из поднятых пароходов, доставленный к причалам, был подожжён патриотами и снова затонул. </w:t>
      </w:r>
    </w:p>
    <w:p w14:paraId="06C9E51F"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Всё шире распространяется на фабриках и заводах стахановское движение двухсотников. Сотни тысяч советских патриотов, героически помогая фронту, ежедневно выполняют свою норму на 200-300 и более процентов. В дни Отечественной войны большинство рабочих Кировского завода даёт две и три нормы. На заводе имени Марти рабочий тов. Александров систематически вырабатывает три нормы. Молодой токарь тов. Зябко за 60 часов выполнил работу, на которую прежде полагалось 210 часов. На Ярославском заводе «Красный маяк» в молодёжной группе цеха N° 5 все рабочие сдают по две нормы в смену. Работница тов. Борисова нарезает 200 шестерёнок в смену при норме 68. Работница тов. Маршова расклёпывает 350 втулок при норме 96. Рабочий депо станции Облучье тов. Ежов выполняет пять норм в смену. Работница депо Куйбышевка-Восточная А. Бакшеева вырабатывает за смену десять норм. Слесари паровозного депо Хабаровск-II т.т. Стрельцов, Гришаев, электросварщик тов. Худяков, токари т.т. Бурденко, Суханов и многие другие ежедневно вырабатывают 6-7 норм. Почти все рабочие паровозоремонтного депо станции Буй Северной дороги дают две нормы в смену. Токарь депо тов. Кузьмин выполняет задание на 500-600 процентов. В цехе обточки бандажник тов. В. Никишин перешёл на обслуживание трёх станков и довёл свою дневную выработку до 600 процентов (14766).</w:t>
      </w:r>
    </w:p>
    <w:p w14:paraId="0A67870B" w14:textId="77777777" w:rsidR="002E395B" w:rsidRPr="00640820" w:rsidRDefault="002E395B" w:rsidP="00640820">
      <w:pPr>
        <w:spacing w:after="0" w:line="240" w:lineRule="auto"/>
        <w:jc w:val="both"/>
        <w:rPr>
          <w:rFonts w:ascii="Times New Roman" w:hAnsi="Times New Roman"/>
          <w:color w:val="000000" w:themeColor="text1"/>
          <w:sz w:val="16"/>
          <w:szCs w:val="16"/>
        </w:rPr>
      </w:pPr>
    </w:p>
    <w:p w14:paraId="40B46D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сентября 1941 начальник Генерального штаба Б.М.Шапошников потребовал от командования фронтом, как "самое существенное - громить его [противника] авиацией". Маршал обращал внимание на открытую местность, по которой двигались танковые дивизии противника. Однако основные силы авиации Юго-Западного фронта действовали против переправ 1-й танковой группы противника через Днепр в районе Кременчуга, где вражеская группировка имела сильную ПВО. Экипажи Су-2 доложили о разрушении 25 вражеских переправ, но неприятель все же сумел скрытно форсировать полноводную реку (12028).</w:t>
      </w:r>
    </w:p>
    <w:p w14:paraId="64EC57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9DA4C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сентября 1941 командующий БВФ приказал полеты на ДВ не производить и машины, как вылетавшие ресурс, отправить в ремонт. [ЦВМА, фонд 75, дело 26920]. Стрельцову по</w:t>
      </w:r>
      <w:r w:rsidRPr="00640820">
        <w:rPr>
          <w:rFonts w:ascii="Times New Roman" w:hAnsi="Times New Roman"/>
          <w:color w:val="000000" w:themeColor="text1"/>
          <w:sz w:val="16"/>
          <w:szCs w:val="16"/>
        </w:rPr>
        <w:softHyphen/>
        <w:t>ручается перегнать самолет (вместе с Дорнье «Валь» СССР-Н240 - командир корабля Попов) в г. Красноярск на ремзавод и сдать предста</w:t>
      </w:r>
      <w:r w:rsidRPr="00640820">
        <w:rPr>
          <w:rFonts w:ascii="Times New Roman" w:hAnsi="Times New Roman"/>
          <w:color w:val="000000" w:themeColor="text1"/>
          <w:sz w:val="16"/>
          <w:szCs w:val="16"/>
        </w:rPr>
        <w:softHyphen/>
        <w:t>вителю УПА. Маршрут: Тоиндо - Усть-Кара - Хальмерседе - Игарка и по Енисею до Красноярска. [ЦВМА, фонд 75, дело 26906]</w:t>
      </w:r>
    </w:p>
    <w:p w14:paraId="26C883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21.09.41 г. экипаж в составе к-на Стрельцова Александра Тимофеевича, воен</w:t>
      </w:r>
      <w:r w:rsidRPr="00640820">
        <w:rPr>
          <w:rFonts w:ascii="Times New Roman" w:hAnsi="Times New Roman"/>
          <w:color w:val="000000" w:themeColor="text1"/>
          <w:sz w:val="16"/>
          <w:szCs w:val="16"/>
        </w:rPr>
        <w:softHyphen/>
        <w:t>техника 2 ранга Бывшева Виктора Яковлевича, воентехника 2 ранга Кирилина Ал. Ивановича, стрелка-радиста Стрелинова (?) Павла Ивановича, ст. л-та Ионова Владимира Александровича, к-на Царенко Михаила Ивановича, воентехника 1 ранга Мельникова Ивана Васильевича, стрелка-радиста Доброскок Леонида Федоровича вылетели на ДВ Н10 и Н240 в Красноярск для передачи са</w:t>
      </w:r>
      <w:r w:rsidRPr="00640820">
        <w:rPr>
          <w:rFonts w:ascii="Times New Roman" w:hAnsi="Times New Roman"/>
          <w:color w:val="000000" w:themeColor="text1"/>
          <w:sz w:val="16"/>
          <w:szCs w:val="16"/>
        </w:rPr>
        <w:softHyphen/>
        <w:t>молетов на ремонтный завод. [ЦВМА, фонд 75, дело 26899, Приказ по 2 АГ ВВС СФ №20 от 21.9.41] (11977).</w:t>
      </w:r>
    </w:p>
    <w:p w14:paraId="7571DC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09.07.41 г. самолет включен во 2-ю АГ ВВС СФ. Командиром корабля назначен Попов Владимир Алексеевич. [ЦВМА, фонд 75. дело 26906, Список экипажей полярной авиации, включаемых в состав 2 АГ]</w:t>
      </w:r>
    </w:p>
    <w:p w14:paraId="2C1F06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Попову поручается пе</w:t>
      </w:r>
      <w:r w:rsidRPr="00640820">
        <w:rPr>
          <w:rFonts w:ascii="Times New Roman" w:hAnsi="Times New Roman"/>
          <w:color w:val="000000" w:themeColor="text1"/>
          <w:sz w:val="16"/>
          <w:szCs w:val="16"/>
        </w:rPr>
        <w:softHyphen/>
        <w:t>регнать Н240 вместе с Дорнье «Валь» СССР- НЮ в Красноярск. Однако, Попов в Красноярск не полетел, а 21.09.41 г. Н10 и Н240 туда повели экипажи, указанные в опи</w:t>
      </w:r>
      <w:r w:rsidRPr="00640820">
        <w:rPr>
          <w:rFonts w:ascii="Times New Roman" w:hAnsi="Times New Roman"/>
          <w:color w:val="000000" w:themeColor="text1"/>
          <w:sz w:val="16"/>
          <w:szCs w:val="16"/>
        </w:rPr>
        <w:softHyphen/>
        <w:t>сании ДВ СССР-Н10 (8 человек).</w:t>
      </w:r>
    </w:p>
    <w:p w14:paraId="3D3B7B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полярной авиации СССР-Н240 оставался до октября 1943 г. (11977).</w:t>
      </w:r>
    </w:p>
    <w:p w14:paraId="2E076B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DB176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сентября 1941 состоялся первый боевой вылет англичан на патрулирование линии фронта. 12 сентября 1941 столкнулись с противником и впятером сбили три Мессершмита из пяти, но один потеряли (1119,17). Летали мало, но сбили и повредили 15 немцев потеряв один самолет. Уехали с Ваенга в начале ноября 1941 передав машины 78 иап Б.Ф.Сафонова (1085,204).</w:t>
      </w:r>
    </w:p>
    <w:p w14:paraId="4C24FC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A602151" w14:textId="77777777" w:rsidR="001125BD" w:rsidRPr="00640820" w:rsidRDefault="001125B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11 сентября 1941 румынская авиация соверши</w:t>
      </w:r>
      <w:r w:rsidRPr="00640820">
        <w:rPr>
          <w:rFonts w:ascii="Times New Roman" w:hAnsi="Times New Roman"/>
          <w:color w:val="0070C0"/>
          <w:sz w:val="16"/>
          <w:szCs w:val="16"/>
        </w:rPr>
        <w:softHyphen/>
        <w:t>ли два налета на Одессу, в результате ко</w:t>
      </w:r>
      <w:r w:rsidRPr="00640820">
        <w:rPr>
          <w:rFonts w:ascii="Times New Roman" w:hAnsi="Times New Roman"/>
          <w:color w:val="0070C0"/>
          <w:sz w:val="16"/>
          <w:szCs w:val="16"/>
        </w:rPr>
        <w:softHyphen/>
        <w:t>торых погиб 121 одессит и 162 получили ранения (19944).</w:t>
      </w:r>
    </w:p>
    <w:p w14:paraId="54EB0F2B" w14:textId="77777777" w:rsidR="001125BD" w:rsidRPr="00640820" w:rsidRDefault="001125BD" w:rsidP="00640820">
      <w:pPr>
        <w:spacing w:after="0" w:line="240" w:lineRule="auto"/>
        <w:jc w:val="both"/>
        <w:rPr>
          <w:rFonts w:ascii="Times New Roman" w:hAnsi="Times New Roman"/>
          <w:color w:val="0070C0"/>
          <w:sz w:val="16"/>
          <w:szCs w:val="16"/>
        </w:rPr>
      </w:pPr>
    </w:p>
    <w:p w14:paraId="41F15A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сентября 1941 вышло Постановление ГКО № 658 О переводе гвардейских минометных полков М-13 на трехдивизионный состав. РГАНИР, Фонд ГКО, д. 9, лл. 47 (11012).</w:t>
      </w:r>
    </w:p>
    <w:p w14:paraId="6333DD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7D00D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сентября 1941 вышло Постановление ГКО № 659 Об организации оперативной группы Брянского фронта минометных частей Ставки Главного Верховного Командования. РГАНИР, Фонд ГКО, д. 9, лл. 48-49 (11012).</w:t>
      </w:r>
    </w:p>
    <w:p w14:paraId="63A500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C1EF6ED" w14:textId="77777777" w:rsidR="002E395B"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сентября 1941 вышло Постановление ГКО № 660 Об установлении численности Красной Армии на сентябрь и IV квартал 1941 года и об отпуске продовольственных пайков для Народного комиссариата обороны. РГАНИР, Фонд ГКО, д. 9, лл. 50-51 (11012).</w:t>
      </w:r>
    </w:p>
    <w:p w14:paraId="5AF3B75D" w14:textId="77777777" w:rsidR="002E395B" w:rsidRPr="00640820" w:rsidRDefault="002E395B" w:rsidP="00640820">
      <w:pPr>
        <w:autoSpaceDE w:val="0"/>
        <w:autoSpaceDN w:val="0"/>
        <w:adjustRightInd w:val="0"/>
        <w:spacing w:after="0" w:line="240" w:lineRule="auto"/>
        <w:jc w:val="both"/>
        <w:rPr>
          <w:rFonts w:ascii="Times New Roman" w:hAnsi="Times New Roman"/>
          <w:color w:val="000000" w:themeColor="text1"/>
          <w:sz w:val="16"/>
          <w:szCs w:val="16"/>
        </w:rPr>
      </w:pPr>
    </w:p>
    <w:p w14:paraId="52CE5F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сентября 1941 вышло Постановление Государственного Комитета Обороны № 660 Об установлении численности Красной армии на сентябрь и 4-й квартал 1941 г. и об отпуске продовольственных пайков для Наркомата обороны</w:t>
      </w:r>
    </w:p>
    <w:p w14:paraId="523C10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Установить отпуск продовольственных пайков Красной армии на сентябрь и 4-й квартал 1941 г. на численность в количестве 7 400 000 человек.</w:t>
      </w:r>
    </w:p>
    <w:p w14:paraId="65644A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Утвердить распределение пайков по фронтам и округам.</w:t>
      </w:r>
    </w:p>
    <w:p w14:paraId="539AFC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И.СТАЛИН (9366).</w:t>
      </w:r>
    </w:p>
    <w:p w14:paraId="7BC740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611994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сентября 1941 на крейсере Петропавловск во время стрельбы на 22-м выстреле взрывом снаряда в канале ствола было выведено из строя левое орудие 20,3-см башни I. По предположению артиллеристов корабля, причиной этого стала неисправность баллистического нако</w:t>
      </w:r>
      <w:r w:rsidRPr="00640820">
        <w:rPr>
          <w:rFonts w:ascii="Times New Roman" w:hAnsi="Times New Roman"/>
          <w:color w:val="000000" w:themeColor="text1"/>
          <w:sz w:val="16"/>
          <w:szCs w:val="16"/>
        </w:rPr>
        <w:softHyphen/>
        <w:t>нечника полубронебойного снаряда, который разламывался при выстреле на части, и их падение неоднократно наблюда</w:t>
      </w:r>
      <w:r w:rsidRPr="00640820">
        <w:rPr>
          <w:rFonts w:ascii="Times New Roman" w:hAnsi="Times New Roman"/>
          <w:color w:val="000000" w:themeColor="text1"/>
          <w:sz w:val="16"/>
          <w:szCs w:val="16"/>
        </w:rPr>
        <w:softHyphen/>
        <w:t>лось вблизи корабля. Предполагается, что при выстреле оче</w:t>
      </w:r>
      <w:r w:rsidRPr="00640820">
        <w:rPr>
          <w:rFonts w:ascii="Times New Roman" w:hAnsi="Times New Roman"/>
          <w:color w:val="000000" w:themeColor="text1"/>
          <w:sz w:val="16"/>
          <w:szCs w:val="16"/>
        </w:rPr>
        <w:softHyphen/>
        <w:t>редного снаряда была повреждена нарезка ствола, и при слег дующем выстреле осколочно-фугасным снарядом с взрывате</w:t>
      </w:r>
      <w:r w:rsidRPr="00640820">
        <w:rPr>
          <w:rFonts w:ascii="Times New Roman" w:hAnsi="Times New Roman"/>
          <w:color w:val="000000" w:themeColor="text1"/>
          <w:sz w:val="16"/>
          <w:szCs w:val="16"/>
        </w:rPr>
        <w:softHyphen/>
        <w:t>лем непредохранительного типа произошла его задержка и взрыв (10670,258).</w:t>
      </w:r>
    </w:p>
    <w:p w14:paraId="0C3173C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33B4B1"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3AA7DFDD"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543FA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и 13 сентября 1941 г. были приняты по</w:t>
      </w:r>
      <w:r w:rsidRPr="00640820">
        <w:rPr>
          <w:rFonts w:ascii="Times New Roman" w:hAnsi="Times New Roman"/>
          <w:color w:val="000000" w:themeColor="text1"/>
          <w:sz w:val="16"/>
          <w:szCs w:val="16"/>
        </w:rPr>
        <w:softHyphen/>
        <w:t>становления СНК СССР «О строительстве промышленных предприятий в условиях военного времени» и «О строитель</w:t>
      </w:r>
      <w:r w:rsidRPr="00640820">
        <w:rPr>
          <w:rFonts w:ascii="Times New Roman" w:hAnsi="Times New Roman"/>
          <w:color w:val="000000" w:themeColor="text1"/>
          <w:sz w:val="16"/>
          <w:szCs w:val="16"/>
        </w:rPr>
        <w:softHyphen/>
        <w:t>стве жилых помещений для эвакуированного населения» со</w:t>
      </w:r>
      <w:r w:rsidRPr="00640820">
        <w:rPr>
          <w:rFonts w:ascii="Times New Roman" w:hAnsi="Times New Roman"/>
          <w:color w:val="000000" w:themeColor="text1"/>
          <w:sz w:val="16"/>
          <w:szCs w:val="16"/>
        </w:rPr>
        <w:softHyphen/>
        <w:t>ответственно. Эти постановления давали наркоматам право самостоятельно вести строительство зданий временного типа и оборудовать их под основные и вспомогательные цеха с расчётом на сокращённые сроки эксплуатации. При этом ре</w:t>
      </w:r>
      <w:r w:rsidRPr="00640820">
        <w:rPr>
          <w:rFonts w:ascii="Times New Roman" w:hAnsi="Times New Roman"/>
          <w:color w:val="000000" w:themeColor="text1"/>
          <w:sz w:val="16"/>
          <w:szCs w:val="16"/>
        </w:rPr>
        <w:softHyphen/>
        <w:t>комендовалось основной упор делать на местные дешёвые строительные материалы и всемерную экономию дефицит</w:t>
      </w:r>
      <w:r w:rsidRPr="00640820">
        <w:rPr>
          <w:rFonts w:ascii="Times New Roman" w:hAnsi="Times New Roman"/>
          <w:color w:val="000000" w:themeColor="text1"/>
          <w:sz w:val="16"/>
          <w:szCs w:val="16"/>
        </w:rPr>
        <w:softHyphen/>
        <w:t>ных ресурсов (12011).</w:t>
      </w:r>
    </w:p>
    <w:p w14:paraId="2BFD2C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AA81B5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сентября 1941 расстрелян бывший глава Совнаркома Украины Х. Раковский (4962).</w:t>
      </w:r>
    </w:p>
    <w:p w14:paraId="0E2D329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FBADB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сентября 1941 расстрелян ведущий русский доктор Д. Плетнев, обвиненный в убийстве М. Горького (4962).</w:t>
      </w:r>
    </w:p>
    <w:p w14:paraId="304428E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E24DF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сентября 1941 у Орла расстреляны русские революционеры, лидеры левых эсеров Мария Спиридонова и Илья Майоров (4962).</w:t>
      </w:r>
    </w:p>
    <w:p w14:paraId="21D6802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FE6C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сентября 1941 в Орловской тюрьме в связи с подходом к городу гитлеровцев были расстреляны политзаключенные и в т.ч. б. лидер партии эсеров М.Спиридонова (3481).</w:t>
      </w:r>
    </w:p>
    <w:p w14:paraId="0783DE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8EB774F"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11 сентября в 1941 году гитлеровцы подходят к Орлу. В Медведевском лесу под Орлом расстреляны находившиеся в заключении лидеры левоэсеровского подполья в СССР, видный советский политический деятель и дипломат Христиан Раковский, профессор Дмитрий Плетнев, бывший лидеры левых эсеров Мария Спиридонова и Илья Майоров и другие, всего 157 человек </w:t>
      </w:r>
    </w:p>
    <w:p w14:paraId="2C4D0DEF" w14:textId="77777777" w:rsidR="002E395B" w:rsidRPr="00640820" w:rsidRDefault="002E395B" w:rsidP="00640820">
      <w:pPr>
        <w:spacing w:after="0" w:line="240" w:lineRule="auto"/>
        <w:jc w:val="both"/>
        <w:rPr>
          <w:rFonts w:ascii="Times New Roman" w:hAnsi="Times New Roman"/>
          <w:color w:val="000000" w:themeColor="text1"/>
          <w:sz w:val="16"/>
          <w:szCs w:val="16"/>
        </w:rPr>
      </w:pPr>
    </w:p>
    <w:p w14:paraId="231C4372"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lang w:val="en-US"/>
        </w:rPr>
      </w:pPr>
      <w:r w:rsidRPr="00640820">
        <w:rPr>
          <w:rFonts w:ascii="Times New Roman" w:hAnsi="Times New Roman"/>
          <w:i/>
          <w:iCs/>
          <w:color w:val="000000" w:themeColor="text1"/>
          <w:sz w:val="16"/>
          <w:szCs w:val="16"/>
        </w:rPr>
        <w:t>За</w:t>
      </w:r>
      <w:r w:rsidRPr="00640820">
        <w:rPr>
          <w:rFonts w:ascii="Times New Roman" w:hAnsi="Times New Roman"/>
          <w:i/>
          <w:iCs/>
          <w:color w:val="000000" w:themeColor="text1"/>
          <w:sz w:val="16"/>
          <w:szCs w:val="16"/>
          <w:lang w:val="en-US"/>
        </w:rPr>
        <w:t xml:space="preserve"> </w:t>
      </w:r>
      <w:r w:rsidRPr="00640820">
        <w:rPr>
          <w:rFonts w:ascii="Times New Roman" w:hAnsi="Times New Roman"/>
          <w:i/>
          <w:iCs/>
          <w:color w:val="000000" w:themeColor="text1"/>
          <w:sz w:val="16"/>
          <w:szCs w:val="16"/>
        </w:rPr>
        <w:t>рубежом</w:t>
      </w:r>
      <w:r w:rsidRPr="00640820">
        <w:rPr>
          <w:rFonts w:ascii="Times New Roman" w:hAnsi="Times New Roman"/>
          <w:i/>
          <w:iCs/>
          <w:color w:val="000000" w:themeColor="text1"/>
          <w:sz w:val="16"/>
          <w:szCs w:val="16"/>
          <w:lang w:val="en-US"/>
        </w:rPr>
        <w:t>:</w:t>
      </w:r>
    </w:p>
    <w:p w14:paraId="0E543A0B"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504372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September 11 1941 President Roosevelt announced shoot-on-sight order to United States Navy in America defense waters, following U.S.S. Greer incident of September 4 (1223).</w:t>
      </w:r>
    </w:p>
    <w:p w14:paraId="468746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4EB151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сентября 1941 Ф.Д.Р. отдал приказ стрелять по обнаруженным немецким подлодкам как результат с инцидента с Greer (1223:2238,7).</w:t>
      </w:r>
    </w:p>
    <w:p w14:paraId="039CAF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D0A216F"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сентября в 1941 году бельгийский король Леопольд тайно вступает в брак с Lilian Baels (14766).</w:t>
      </w:r>
    </w:p>
    <w:p w14:paraId="78B15B6A" w14:textId="77777777" w:rsidR="002E395B" w:rsidRPr="00640820" w:rsidRDefault="002E395B" w:rsidP="00640820">
      <w:pPr>
        <w:spacing w:after="0" w:line="240" w:lineRule="auto"/>
        <w:jc w:val="both"/>
        <w:rPr>
          <w:rFonts w:ascii="Times New Roman" w:hAnsi="Times New Roman"/>
          <w:color w:val="000000" w:themeColor="text1"/>
          <w:sz w:val="16"/>
          <w:szCs w:val="16"/>
        </w:rPr>
      </w:pPr>
    </w:p>
    <w:p w14:paraId="470CE546"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54C47A55"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095E8C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12 сентября 1941 в основном была завер</w:t>
      </w:r>
      <w:r w:rsidRPr="00640820">
        <w:rPr>
          <w:rFonts w:ascii="Times New Roman" w:hAnsi="Times New Roman"/>
          <w:color w:val="000000" w:themeColor="text1"/>
          <w:sz w:val="16"/>
          <w:szCs w:val="16"/>
        </w:rPr>
        <w:softHyphen/>
        <w:t>шена отгрузка чертежей оснастки, важнейших узлов и деталей, технологических материалов и других до</w:t>
      </w:r>
      <w:r w:rsidRPr="00640820">
        <w:rPr>
          <w:rFonts w:ascii="Times New Roman" w:hAnsi="Times New Roman"/>
          <w:color w:val="000000" w:themeColor="text1"/>
          <w:sz w:val="16"/>
          <w:szCs w:val="16"/>
        </w:rPr>
        <w:softHyphen/>
        <w:t>кументов по Ил-2, без которых немыслимо наладить запуск в серию самолета, имевшего мало общего по конструк</w:t>
      </w:r>
      <w:r w:rsidRPr="00640820">
        <w:rPr>
          <w:rFonts w:ascii="Times New Roman" w:hAnsi="Times New Roman"/>
          <w:color w:val="000000" w:themeColor="text1"/>
          <w:sz w:val="16"/>
          <w:szCs w:val="16"/>
        </w:rPr>
        <w:softHyphen/>
        <w:t>ции и технологии с МиГ—3. По сути, истребитель и штурмовик объединяли лишь двигательные установ</w:t>
      </w:r>
      <w:r w:rsidRPr="00640820">
        <w:rPr>
          <w:rFonts w:ascii="Times New Roman" w:hAnsi="Times New Roman"/>
          <w:color w:val="000000" w:themeColor="text1"/>
          <w:sz w:val="16"/>
          <w:szCs w:val="16"/>
        </w:rPr>
        <w:softHyphen/>
        <w:t>ки: АМ—35А отличался от АМ—38, главным образом, увеличенным диаметром нагнетателя. Все процессы освоения шли трудно и медленно (9984).</w:t>
      </w:r>
    </w:p>
    <w:p w14:paraId="62108C6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E687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12 сентября 1941 в основном была завершена отгрузка чертежей оснастки, важнейших узлов и деталей, технологических материалов и других документов, необходимых для изготовления штурмовика на заводе № 1. Процесс освоения Ил-2 начинался трудно и медленно. В сентябре на заводе № 1 смогли собрать только один штурмовик из деталей, присланных из Воронежа, а в начале следующего месяца к нему добавился второй "столичный" Ил-2 (12045).</w:t>
      </w:r>
    </w:p>
    <w:p w14:paraId="39DED7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4FA2C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 1941 вышло Постановление ГКО № 664 О премировании тов. Ильюшина и работников ОКБ. РГАНИР, Фонд ГКО, д. 9, лл. 83 (11012).</w:t>
      </w:r>
    </w:p>
    <w:p w14:paraId="7C81CA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A39025F" w14:textId="77777777" w:rsidR="00FA48B2" w:rsidRPr="00640820" w:rsidRDefault="00FA48B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 1941 вышло Постановление ГКО № 664 О премировании тов. Ильюшина и работников ОКБ</w:t>
      </w:r>
    </w:p>
    <w:p w14:paraId="181CB993" w14:textId="77777777" w:rsidR="00FA48B2" w:rsidRPr="00640820" w:rsidRDefault="00FA48B2" w:rsidP="00640820">
      <w:pPr>
        <w:spacing w:after="0" w:line="240" w:lineRule="auto"/>
        <w:jc w:val="both"/>
        <w:rPr>
          <w:rFonts w:ascii="Times New Roman" w:hAnsi="Times New Roman"/>
          <w:color w:val="000000" w:themeColor="text1"/>
          <w:sz w:val="16"/>
          <w:szCs w:val="16"/>
        </w:rPr>
      </w:pPr>
      <w:r w:rsidRPr="00640820">
        <w:rPr>
          <w:rFonts w:ascii="Times New Roman" w:eastAsia="Batang" w:hAnsi="Times New Roman"/>
          <w:color w:val="000000" w:themeColor="text1"/>
          <w:sz w:val="16"/>
          <w:szCs w:val="16"/>
        </w:rPr>
        <w:t>Выдать тов.Ильюшину премию в размере 50.000 рублей и выделить 250.000 рублей" в его</w:t>
      </w:r>
      <w:r w:rsidRPr="00640820">
        <w:rPr>
          <w:rFonts w:ascii="Times New Roman" w:hAnsi="Times New Roman"/>
          <w:color w:val="000000" w:themeColor="text1"/>
          <w:sz w:val="16"/>
          <w:szCs w:val="16"/>
        </w:rPr>
        <w:t xml:space="preserve"> распоряжение на премирование рисочих, инженерно-технических работников и конструкторов (19272).</w:t>
      </w:r>
    </w:p>
    <w:p w14:paraId="210805AF" w14:textId="77777777" w:rsidR="00FA48B2" w:rsidRPr="00640820" w:rsidRDefault="00FA48B2" w:rsidP="00640820">
      <w:pPr>
        <w:autoSpaceDE w:val="0"/>
        <w:autoSpaceDN w:val="0"/>
        <w:adjustRightInd w:val="0"/>
        <w:spacing w:after="0" w:line="240" w:lineRule="auto"/>
        <w:jc w:val="both"/>
        <w:rPr>
          <w:rFonts w:ascii="Times New Roman" w:hAnsi="Times New Roman"/>
          <w:color w:val="000000" w:themeColor="text1"/>
          <w:sz w:val="16"/>
          <w:szCs w:val="16"/>
        </w:rPr>
      </w:pPr>
    </w:p>
    <w:p w14:paraId="4BCED6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 1941 года главные конструктора ОКБ-2 Веневидов и Можаровский писали письмо Шахурину.</w:t>
      </w:r>
    </w:p>
    <w:p w14:paraId="59125F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от 23 августа по НКАП за N 901, за равнодушное отношение по рекламациям частей и недопустимую затяжку решения вопроса по безотказности работы ЛУ Пе-2 нам объявлен выговор.</w:t>
      </w:r>
    </w:p>
    <w:p w14:paraId="30EEDE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Ходатайствуем о снятии нам выговора, так как с первых дней проектирования, мы предлагали патронный ящик расположить над оружием, как это мы делали на самолетах: СБ, ДБ-3, ДБ-240, а так же предлагалась установка магазинов, о чем мы заявляли в НИПАВ"е и главному конструктору Петлякову.</w:t>
      </w:r>
    </w:p>
    <w:p w14:paraId="56C77C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 как опытная установка ЛУ на Пе-2 испытания выдержала, работая надежно, а перенос ящика по нашему предложению вызвал изменения оборудования серийного самолета, то установка была спущена в производство в том виде как она выдержала государственные и полигонные испытания.</w:t>
      </w:r>
    </w:p>
    <w:p w14:paraId="3E0A52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Тотчас, после сообщения военпреда Березкина о имеющихся задержках в рукавах питания, серийного производства, нами были предъявлены опытные образцы новых рукавов питания, а также повторно поставлен вопрос о переносе патронного ящика, как это было сделано нами на сам. 240, что и было сделано серийно-конструкторским бюро завода N 32, т.е. ящик был расположен над оружием с укороченным рукавом питания, что и пущено в производство, работая безотказно.</w:t>
      </w:r>
    </w:p>
    <w:p w14:paraId="2CFBB2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 о выговоре был объявлен без предварительного указания, во время нашего отсутствия в командировке на заводе N 124, где мы изготовили, в условиях самолетного завода 40 подшассийных турустановок под пулемет Березина, а также сверх задания установили 10 турелей под ШВАК 20 мм на корму сам. N 42 вместо трудоемких шаровых башен, что обеспечило выпуск самолета N 42 в установленные сроки (2639,250).</w:t>
      </w:r>
    </w:p>
    <w:p w14:paraId="4EEEDA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C40B0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12 сентября 1941 закончились гос. испытания Воронежского Пе-2И N 5/33 с БС в носу и 2хШВАК под фюзеляжем. Имел определенные преимущества по скорости по сравнению с Пе-3 39 завода N 391606, испытанном 8 августа 1941 (1722,51).</w:t>
      </w:r>
    </w:p>
    <w:p w14:paraId="18B07B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58D6DE9" w14:textId="77777777" w:rsidR="00AF6985" w:rsidRPr="00640820" w:rsidRDefault="00AF6985"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12 сентября 1941 представитель ЦКБ-14 на заводе № 21 Сорокин просил начальника опытно</w:t>
      </w:r>
      <w:r w:rsidRPr="00640820">
        <w:rPr>
          <w:color w:val="000000" w:themeColor="text1"/>
          <w:sz w:val="16"/>
          <w:szCs w:val="16"/>
        </w:rPr>
        <w:softHyphen/>
        <w:t>го отдела авиавооружения ГУ ВВС военинженера 1-го ранга Матаева вмешаться «по форсированию данной работы» (кстановке ВЯ на ЛаГГ-3) и «дать указание тов. Лавочки</w:t>
      </w:r>
      <w:r w:rsidRPr="00640820">
        <w:rPr>
          <w:color w:val="000000" w:themeColor="text1"/>
          <w:sz w:val="16"/>
          <w:szCs w:val="16"/>
        </w:rPr>
        <w:softHyphen/>
        <w:t>ну на быстрейшую отработку установки пушки ВЯ и назначить срок монтажа и заводских испытаний». Свое письмо Сорокин направил не только Матаеву, но и начальнику ЦКБ-14 Соловьеву, военпреду на заводе № 21 Шишкину и представителю НКВД на заводе № 21. Дело сдвинулось с мертвой точки. Уже 30 сентября главный конструктор завода № 21 Лавочкин утвердил акт по заводским испытаниям серийной установки на двух самолетах ЛаГГ-3 (зав. № 3121521 и № 3121638).</w:t>
      </w:r>
    </w:p>
    <w:p w14:paraId="5DBE5132" w14:textId="77777777" w:rsidR="00AF6985" w:rsidRPr="00640820" w:rsidRDefault="00AF6985"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Между тем, как показали дальнейшие события, контрольные испытания пушек Ш-37 на ЛаГГ-3 на</w:t>
      </w:r>
      <w:r w:rsidRPr="00640820">
        <w:rPr>
          <w:color w:val="000000" w:themeColor="text1"/>
          <w:sz w:val="16"/>
          <w:szCs w:val="16"/>
        </w:rPr>
        <w:softHyphen/>
        <w:t>значили весьма предусмотрительно. Пушки проде</w:t>
      </w:r>
      <w:r w:rsidRPr="00640820">
        <w:rPr>
          <w:color w:val="000000" w:themeColor="text1"/>
          <w:sz w:val="16"/>
          <w:szCs w:val="16"/>
        </w:rPr>
        <w:softHyphen/>
        <w:t>монстрировали никуда не годную живучесть и на</w:t>
      </w:r>
      <w:r w:rsidRPr="00640820">
        <w:rPr>
          <w:color w:val="000000" w:themeColor="text1"/>
          <w:sz w:val="16"/>
          <w:szCs w:val="16"/>
        </w:rPr>
        <w:softHyphen/>
        <w:t>дежность в работе (17500).</w:t>
      </w:r>
    </w:p>
    <w:p w14:paraId="693DC4ED"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p>
    <w:p w14:paraId="01B8A9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 1941 г. по приказу № 971сс завод № 456 влит в состав единого завода № 306 НКАП и выбыл из числа действующих с 09.1941 г.</w:t>
      </w:r>
    </w:p>
    <w:p w14:paraId="243E8D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площадке эвакуированного завода в Полтаве по приказу № 679с от 15.11.1943 г. созданы мастерские по ремонту моторных агрегатов. Затем на базе мастерских образован завод № 488 4ГУ НКАП.</w:t>
      </w:r>
    </w:p>
    <w:p w14:paraId="0ED18C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(10.1940-08.1941 г.-)- Д.К. Мусиенко.</w:t>
      </w:r>
    </w:p>
    <w:p w14:paraId="1804CB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КО (10.1940 г.-)- А.Н. Мельников (11982).</w:t>
      </w:r>
    </w:p>
    <w:p w14:paraId="0AF24853" w14:textId="77777777" w:rsidR="002E395B" w:rsidRPr="00640820" w:rsidRDefault="002E395B" w:rsidP="00640820">
      <w:pPr>
        <w:autoSpaceDE w:val="0"/>
        <w:autoSpaceDN w:val="0"/>
        <w:adjustRightInd w:val="0"/>
        <w:spacing w:after="0" w:line="240" w:lineRule="auto"/>
        <w:jc w:val="both"/>
        <w:rPr>
          <w:rFonts w:ascii="Times New Roman" w:hAnsi="Times New Roman"/>
          <w:color w:val="000000" w:themeColor="text1"/>
          <w:sz w:val="16"/>
          <w:szCs w:val="16"/>
        </w:rPr>
      </w:pPr>
    </w:p>
    <w:p w14:paraId="0BCD51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 1941 Зам. Нач. 7 ГУ Залесский писал А.И.Ш. по вопросу о возможности применения бомб США на наших самолетах. Писал, что в принципе можно, но придется дорабатывать. Просил НИПАВ по 10 каждого вида для примерки (2463,278):</w:t>
      </w:r>
    </w:p>
    <w:p w14:paraId="5EC126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Сравнительная таблица габаритных размеров: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93"/>
        <w:gridCol w:w="850"/>
        <w:gridCol w:w="993"/>
        <w:gridCol w:w="992"/>
        <w:gridCol w:w="992"/>
        <w:gridCol w:w="1134"/>
        <w:gridCol w:w="992"/>
        <w:gridCol w:w="1276"/>
        <w:gridCol w:w="1273"/>
      </w:tblGrid>
      <w:tr w:rsidR="006B0687" w:rsidRPr="00640820" w14:paraId="63DCC53D" w14:textId="77777777" w:rsidTr="000D3BCB">
        <w:tc>
          <w:tcPr>
            <w:tcW w:w="2093" w:type="dxa"/>
            <w:tcBorders>
              <w:top w:val="single" w:sz="12" w:space="0" w:color="auto"/>
            </w:tcBorders>
          </w:tcPr>
          <w:p w14:paraId="32FAE2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12" w:space="0" w:color="auto"/>
            </w:tcBorders>
          </w:tcPr>
          <w:p w14:paraId="5DD18D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ФАБ-50с</w:t>
            </w:r>
          </w:p>
        </w:tc>
        <w:tc>
          <w:tcPr>
            <w:tcW w:w="993" w:type="dxa"/>
            <w:tcBorders>
              <w:top w:val="single" w:sz="12" w:space="0" w:color="auto"/>
            </w:tcBorders>
          </w:tcPr>
          <w:p w14:paraId="4B4021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ФАБ-50цк</w:t>
            </w:r>
          </w:p>
        </w:tc>
        <w:tc>
          <w:tcPr>
            <w:tcW w:w="992" w:type="dxa"/>
            <w:tcBorders>
              <w:top w:val="single" w:sz="12" w:space="0" w:color="auto"/>
            </w:tcBorders>
          </w:tcPr>
          <w:p w14:paraId="76581D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 фунт.</w:t>
            </w:r>
          </w:p>
        </w:tc>
        <w:tc>
          <w:tcPr>
            <w:tcW w:w="992" w:type="dxa"/>
            <w:tcBorders>
              <w:top w:val="single" w:sz="12" w:space="0" w:color="auto"/>
            </w:tcBorders>
          </w:tcPr>
          <w:p w14:paraId="2D7347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ФАБ-250с</w:t>
            </w:r>
          </w:p>
        </w:tc>
        <w:tc>
          <w:tcPr>
            <w:tcW w:w="1134" w:type="dxa"/>
            <w:tcBorders>
              <w:top w:val="single" w:sz="12" w:space="0" w:color="auto"/>
            </w:tcBorders>
          </w:tcPr>
          <w:p w14:paraId="3A841A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ФАБ-250цк</w:t>
            </w:r>
          </w:p>
        </w:tc>
        <w:tc>
          <w:tcPr>
            <w:tcW w:w="992" w:type="dxa"/>
            <w:tcBorders>
              <w:top w:val="single" w:sz="12" w:space="0" w:color="auto"/>
            </w:tcBorders>
          </w:tcPr>
          <w:p w14:paraId="78FADC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500 фунт.</w:t>
            </w:r>
          </w:p>
        </w:tc>
        <w:tc>
          <w:tcPr>
            <w:tcW w:w="1276" w:type="dxa"/>
            <w:tcBorders>
              <w:top w:val="single" w:sz="12" w:space="0" w:color="auto"/>
            </w:tcBorders>
          </w:tcPr>
          <w:p w14:paraId="4AE52A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ФАБ-500</w:t>
            </w:r>
          </w:p>
        </w:tc>
        <w:tc>
          <w:tcPr>
            <w:tcW w:w="1273" w:type="dxa"/>
            <w:tcBorders>
              <w:top w:val="single" w:sz="12" w:space="0" w:color="auto"/>
            </w:tcBorders>
          </w:tcPr>
          <w:p w14:paraId="549143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1000 фунт</w:t>
            </w:r>
          </w:p>
        </w:tc>
      </w:tr>
      <w:tr w:rsidR="006B0687" w:rsidRPr="00640820" w14:paraId="2C5E3ECB" w14:textId="77777777" w:rsidTr="000D3BCB">
        <w:tc>
          <w:tcPr>
            <w:tcW w:w="2093" w:type="dxa"/>
          </w:tcPr>
          <w:p w14:paraId="2787AD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Общ. дл.</w:t>
            </w:r>
          </w:p>
        </w:tc>
        <w:tc>
          <w:tcPr>
            <w:tcW w:w="850" w:type="dxa"/>
          </w:tcPr>
          <w:p w14:paraId="1B0950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1035</w:t>
            </w:r>
          </w:p>
        </w:tc>
        <w:tc>
          <w:tcPr>
            <w:tcW w:w="993" w:type="dxa"/>
          </w:tcPr>
          <w:p w14:paraId="4F691B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1951</w:t>
            </w:r>
          </w:p>
        </w:tc>
        <w:tc>
          <w:tcPr>
            <w:tcW w:w="992" w:type="dxa"/>
          </w:tcPr>
          <w:p w14:paraId="0E60F8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977</w:t>
            </w:r>
          </w:p>
        </w:tc>
        <w:tc>
          <w:tcPr>
            <w:tcW w:w="992" w:type="dxa"/>
          </w:tcPr>
          <w:p w14:paraId="391B40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2253</w:t>
            </w:r>
          </w:p>
        </w:tc>
        <w:tc>
          <w:tcPr>
            <w:tcW w:w="1134" w:type="dxa"/>
          </w:tcPr>
          <w:p w14:paraId="657468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1905</w:t>
            </w:r>
          </w:p>
        </w:tc>
        <w:tc>
          <w:tcPr>
            <w:tcW w:w="992" w:type="dxa"/>
          </w:tcPr>
          <w:p w14:paraId="3DD5BD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1503</w:t>
            </w:r>
          </w:p>
        </w:tc>
        <w:tc>
          <w:tcPr>
            <w:tcW w:w="1276" w:type="dxa"/>
          </w:tcPr>
          <w:p w14:paraId="4BCD73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2500</w:t>
            </w:r>
          </w:p>
        </w:tc>
        <w:tc>
          <w:tcPr>
            <w:tcW w:w="1273" w:type="dxa"/>
          </w:tcPr>
          <w:p w14:paraId="23D48E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1765</w:t>
            </w:r>
          </w:p>
        </w:tc>
      </w:tr>
      <w:tr w:rsidR="006B0687" w:rsidRPr="00640820" w14:paraId="55735FCB" w14:textId="77777777" w:rsidTr="000D3BCB">
        <w:tc>
          <w:tcPr>
            <w:tcW w:w="2093" w:type="dxa"/>
          </w:tcPr>
          <w:p w14:paraId="369BB6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 взрыв.</w:t>
            </w:r>
          </w:p>
        </w:tc>
        <w:tc>
          <w:tcPr>
            <w:tcW w:w="850" w:type="dxa"/>
          </w:tcPr>
          <w:p w14:paraId="0EADAF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3841AA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A3E6B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7BFF1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99B5D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85C9E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42754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73" w:type="dxa"/>
          </w:tcPr>
          <w:p w14:paraId="23E64F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B0687" w:rsidRPr="00640820" w14:paraId="4B8CE24B" w14:textId="77777777" w:rsidTr="000D3BCB">
        <w:tc>
          <w:tcPr>
            <w:tcW w:w="2093" w:type="dxa"/>
          </w:tcPr>
          <w:p w14:paraId="462EBF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среза</w:t>
            </w:r>
          </w:p>
        </w:tc>
        <w:tc>
          <w:tcPr>
            <w:tcW w:w="850" w:type="dxa"/>
          </w:tcPr>
          <w:p w14:paraId="0A81A3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280</w:t>
            </w:r>
          </w:p>
        </w:tc>
        <w:tc>
          <w:tcPr>
            <w:tcW w:w="993" w:type="dxa"/>
          </w:tcPr>
          <w:p w14:paraId="2A6263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349</w:t>
            </w:r>
          </w:p>
        </w:tc>
        <w:tc>
          <w:tcPr>
            <w:tcW w:w="992" w:type="dxa"/>
          </w:tcPr>
          <w:p w14:paraId="1B8DAE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356</w:t>
            </w:r>
          </w:p>
        </w:tc>
        <w:tc>
          <w:tcPr>
            <w:tcW w:w="992" w:type="dxa"/>
          </w:tcPr>
          <w:p w14:paraId="2577FC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702</w:t>
            </w:r>
          </w:p>
        </w:tc>
        <w:tc>
          <w:tcPr>
            <w:tcW w:w="1134" w:type="dxa"/>
          </w:tcPr>
          <w:p w14:paraId="07313B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660</w:t>
            </w:r>
          </w:p>
        </w:tc>
        <w:tc>
          <w:tcPr>
            <w:tcW w:w="992" w:type="dxa"/>
          </w:tcPr>
          <w:p w14:paraId="06D0AC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573</w:t>
            </w:r>
          </w:p>
        </w:tc>
        <w:tc>
          <w:tcPr>
            <w:tcW w:w="1276" w:type="dxa"/>
          </w:tcPr>
          <w:p w14:paraId="0E82E3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754</w:t>
            </w:r>
          </w:p>
        </w:tc>
        <w:tc>
          <w:tcPr>
            <w:tcW w:w="1273" w:type="dxa"/>
          </w:tcPr>
          <w:p w14:paraId="4E6674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660</w:t>
            </w:r>
          </w:p>
        </w:tc>
      </w:tr>
      <w:tr w:rsidR="006B0687" w:rsidRPr="00640820" w14:paraId="27934194" w14:textId="77777777" w:rsidTr="000D3BCB">
        <w:tc>
          <w:tcPr>
            <w:tcW w:w="2093" w:type="dxa"/>
          </w:tcPr>
          <w:p w14:paraId="76D244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ЦТ</w:t>
            </w:r>
          </w:p>
        </w:tc>
        <w:tc>
          <w:tcPr>
            <w:tcW w:w="850" w:type="dxa"/>
          </w:tcPr>
          <w:p w14:paraId="7BA028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A4E4A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89405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1B318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EC87F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CBEC3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D5665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73" w:type="dxa"/>
          </w:tcPr>
          <w:p w14:paraId="567D7F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B0687" w:rsidRPr="00640820" w14:paraId="12401CC6" w14:textId="77777777" w:rsidTr="000D3BCB">
        <w:tc>
          <w:tcPr>
            <w:tcW w:w="2093" w:type="dxa"/>
          </w:tcPr>
          <w:p w14:paraId="5747A0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Диаметр</w:t>
            </w:r>
          </w:p>
        </w:tc>
        <w:tc>
          <w:tcPr>
            <w:tcW w:w="850" w:type="dxa"/>
          </w:tcPr>
          <w:p w14:paraId="71D907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240</w:t>
            </w:r>
          </w:p>
        </w:tc>
        <w:tc>
          <w:tcPr>
            <w:tcW w:w="993" w:type="dxa"/>
          </w:tcPr>
          <w:p w14:paraId="2E05D2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219</w:t>
            </w:r>
          </w:p>
        </w:tc>
        <w:tc>
          <w:tcPr>
            <w:tcW w:w="992" w:type="dxa"/>
          </w:tcPr>
          <w:p w14:paraId="30570E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208</w:t>
            </w:r>
          </w:p>
        </w:tc>
        <w:tc>
          <w:tcPr>
            <w:tcW w:w="992" w:type="dxa"/>
          </w:tcPr>
          <w:p w14:paraId="16E02B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320</w:t>
            </w:r>
          </w:p>
        </w:tc>
        <w:tc>
          <w:tcPr>
            <w:tcW w:w="1134" w:type="dxa"/>
          </w:tcPr>
          <w:p w14:paraId="30E694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325</w:t>
            </w:r>
          </w:p>
        </w:tc>
        <w:tc>
          <w:tcPr>
            <w:tcW w:w="992" w:type="dxa"/>
          </w:tcPr>
          <w:p w14:paraId="18E762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360</w:t>
            </w:r>
          </w:p>
        </w:tc>
        <w:tc>
          <w:tcPr>
            <w:tcW w:w="1276" w:type="dxa"/>
          </w:tcPr>
          <w:p w14:paraId="7FC157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450</w:t>
            </w:r>
          </w:p>
        </w:tc>
        <w:tc>
          <w:tcPr>
            <w:tcW w:w="1273" w:type="dxa"/>
          </w:tcPr>
          <w:p w14:paraId="3742A1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462</w:t>
            </w:r>
          </w:p>
        </w:tc>
      </w:tr>
      <w:tr w:rsidR="006B0687" w:rsidRPr="00640820" w14:paraId="0A97ABF4" w14:textId="77777777" w:rsidTr="000D3BCB">
        <w:tc>
          <w:tcPr>
            <w:tcW w:w="2093" w:type="dxa"/>
            <w:tcBorders>
              <w:bottom w:val="single" w:sz="12" w:space="0" w:color="auto"/>
            </w:tcBorders>
          </w:tcPr>
          <w:p w14:paraId="409C85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Размах</w:t>
            </w:r>
          </w:p>
        </w:tc>
        <w:tc>
          <w:tcPr>
            <w:tcW w:w="850" w:type="dxa"/>
            <w:tcBorders>
              <w:bottom w:val="single" w:sz="12" w:space="0" w:color="auto"/>
            </w:tcBorders>
          </w:tcPr>
          <w:p w14:paraId="4FBF90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264</w:t>
            </w:r>
          </w:p>
        </w:tc>
        <w:tc>
          <w:tcPr>
            <w:tcW w:w="993" w:type="dxa"/>
            <w:tcBorders>
              <w:bottom w:val="single" w:sz="12" w:space="0" w:color="auto"/>
            </w:tcBorders>
          </w:tcPr>
          <w:p w14:paraId="0313EF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264</w:t>
            </w:r>
          </w:p>
        </w:tc>
        <w:tc>
          <w:tcPr>
            <w:tcW w:w="992" w:type="dxa"/>
            <w:tcBorders>
              <w:bottom w:val="single" w:sz="12" w:space="0" w:color="auto"/>
            </w:tcBorders>
          </w:tcPr>
          <w:p w14:paraId="2EE915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279</w:t>
            </w:r>
          </w:p>
        </w:tc>
        <w:tc>
          <w:tcPr>
            <w:tcW w:w="992" w:type="dxa"/>
            <w:tcBorders>
              <w:bottom w:val="single" w:sz="12" w:space="0" w:color="auto"/>
            </w:tcBorders>
          </w:tcPr>
          <w:p w14:paraId="3ED82F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442</w:t>
            </w:r>
          </w:p>
        </w:tc>
        <w:tc>
          <w:tcPr>
            <w:tcW w:w="1134" w:type="dxa"/>
            <w:tcBorders>
              <w:bottom w:val="single" w:sz="12" w:space="0" w:color="auto"/>
            </w:tcBorders>
          </w:tcPr>
          <w:p w14:paraId="06975B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440</w:t>
            </w:r>
          </w:p>
        </w:tc>
        <w:tc>
          <w:tcPr>
            <w:tcW w:w="992" w:type="dxa"/>
            <w:tcBorders>
              <w:bottom w:val="single" w:sz="12" w:space="0" w:color="auto"/>
            </w:tcBorders>
          </w:tcPr>
          <w:p w14:paraId="779DD1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481</w:t>
            </w:r>
          </w:p>
        </w:tc>
        <w:tc>
          <w:tcPr>
            <w:tcW w:w="1276" w:type="dxa"/>
            <w:tcBorders>
              <w:bottom w:val="single" w:sz="12" w:space="0" w:color="auto"/>
            </w:tcBorders>
          </w:tcPr>
          <w:p w14:paraId="7C86AE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570</w:t>
            </w:r>
          </w:p>
        </w:tc>
        <w:tc>
          <w:tcPr>
            <w:tcW w:w="1273" w:type="dxa"/>
            <w:tcBorders>
              <w:bottom w:val="single" w:sz="12" w:space="0" w:color="auto"/>
            </w:tcBorders>
          </w:tcPr>
          <w:p w14:paraId="55D940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645</w:t>
            </w:r>
          </w:p>
        </w:tc>
      </w:tr>
    </w:tbl>
    <w:p w14:paraId="77AC5A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(2463,258).</w:t>
      </w:r>
    </w:p>
    <w:p w14:paraId="2A29F5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6C26F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 1941 г. по приказу № 971сс завод № 133 по производству авиационных свечей в системе 4ГУ НКАП, эвакуированный на площадку завода № 306 НКАП, влит в единый завод № 306 НКАП и с 09.1941 г. выбыл из числа действующих.</w:t>
      </w:r>
    </w:p>
    <w:p w14:paraId="0C3954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площадке эвакуированного завода в 1945 г. образован завод № 794 НКАП.</w:t>
      </w:r>
    </w:p>
    <w:p w14:paraId="0E7D02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(1940 г.)- Д.К. Посылкин (11982).</w:t>
      </w:r>
    </w:p>
    <w:p w14:paraId="6CE393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1921CB5" w14:textId="77777777" w:rsidR="00DE7CDD" w:rsidRPr="00640820" w:rsidRDefault="00DE7CDD" w:rsidP="00640820">
      <w:pPr>
        <w:spacing w:after="0" w:line="240" w:lineRule="auto"/>
        <w:jc w:val="both"/>
        <w:rPr>
          <w:rFonts w:ascii="Times New Roman" w:hAnsi="Times New Roman"/>
          <w:color w:val="000000" w:themeColor="text1"/>
          <w:sz w:val="16"/>
          <w:szCs w:val="16"/>
          <w:shd w:val="clear" w:color="auto" w:fill="FFFFFF"/>
        </w:rPr>
      </w:pPr>
      <w:r w:rsidRPr="00640820">
        <w:rPr>
          <w:rFonts w:ascii="Times New Roman" w:hAnsi="Times New Roman"/>
          <w:color w:val="000000" w:themeColor="text1"/>
          <w:sz w:val="16"/>
          <w:szCs w:val="16"/>
          <w:shd w:val="clear" w:color="auto" w:fill="FFFFFF"/>
        </w:rPr>
        <w:t>12 сентября 1942 года: “8-ая воздушная армия за досрочное выполнение заданий по изготовлению специальных боеприпасов выражает благодарность руководству и коллективу института”.</w:t>
      </w:r>
    </w:p>
    <w:p w14:paraId="0D64333C" w14:textId="77777777" w:rsidR="00DE7CDD" w:rsidRPr="00640820" w:rsidRDefault="00DE7CD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shd w:val="clear" w:color="auto" w:fill="FFFFFF"/>
        </w:rPr>
        <w:t>“Огневые мешки” пользовались повышенным спросом в конце 1941 – начале 1942 года. В дальнейшем, по мере поступления в войска новых, более эффективных, зажигательных средств, спрос на них уменьшился. Последние сообщения об их успешном применении в боевых операциях на Северном Кавказе относятся к декабрю 1942 года. Соответственно, снизились и заказы на их изготовление, а в 1943 году и вовсе прекратились (19699).</w:t>
      </w:r>
    </w:p>
    <w:p w14:paraId="580E326D" w14:textId="77777777" w:rsidR="00DE7CDD" w:rsidRPr="00640820" w:rsidRDefault="00DE7CDD" w:rsidP="00640820">
      <w:pPr>
        <w:spacing w:after="0" w:line="240" w:lineRule="auto"/>
        <w:jc w:val="both"/>
        <w:rPr>
          <w:rFonts w:ascii="Times New Roman" w:hAnsi="Times New Roman"/>
          <w:color w:val="000000" w:themeColor="text1"/>
          <w:sz w:val="16"/>
          <w:szCs w:val="16"/>
        </w:rPr>
      </w:pPr>
    </w:p>
    <w:p w14:paraId="33B17131"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3950265D"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2DC9527" w14:textId="77777777" w:rsidR="00CF4C03" w:rsidRPr="00640820" w:rsidRDefault="00CF4C03"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12-13 сентября 1941 на НИПСВО испытали после доработки второго образца ПТР Дегтярева. Ружье стало однозарядным, были внесены изменения в конструкцию рукоятки, сошки, упора для щеки, ствольной коробки. Ввели деревянную ручку для переноски ружья вместо асбестовой намотки на дульной части, которая предохраняла руки от ожогов. Возможно, из-за износа ствола немного хуже стала кучность стрельбы, но она все равно осталась выше, чем у ружей Симонова и Рукавишникова. Были отмечены небольшой вес, простота конструкции и обслуживания ружья. Но удары по каске стрелка, неустойчивость сошки, чувствительность к густоте смазки устранить не удалось. При выстреле пистолетная рукоятка все также весьма болезненно ударяла в руку стрелка. Но из-за простоты конструкции ружье опять рекомендовали к доработке и затем к сравнительным испытаниям с поступившими на НИПСВО однотипными конструкциями ПТ ружей. НКВ и ГАУ просили о запуске доработанного ПТР Дегтярева в производство (17498).</w:t>
      </w:r>
    </w:p>
    <w:p w14:paraId="7352CB10" w14:textId="77777777" w:rsidR="00CF4C03" w:rsidRPr="00640820" w:rsidRDefault="00CF4C03"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A45131B" w14:textId="77777777" w:rsidR="00DE7CDD" w:rsidRPr="00640820" w:rsidRDefault="00DE7CD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12–13 сентября 1941 после доработки второго образца ПТР Дегтярева испытали на НИПСВО. Ружье стало однозарядным, были внесены изменения в конструкцию рукоятки, сошки, упора для щеки, ствольной коробки. Ввели деревянную ручку для переноски ружья вместо асбестовой намотки на дульной части, которая предохраняла руки от ожогов. Возможно, из-за износа ствола немного хуже стала кучность стрельбы, но она все равно осталась выше, чем у ружей Симонова и Рукавишникова. Были отмечены небольшой вес, простота конструкции и обслуживания ружья. Но удары по каске стрелка, неустойчивость сошки, чувствительность к густоте смазки устранить не удалось. При выстреле пистолетная рукоятка все также весьма болезненно ударяла в руку стрелка. Но из-за простоты конструкции ружье опять рекомендовали к доработке и затем к сравнительным испытаниям с поступившими на НИПСВО однотипными конструкциями ПТ ружей. НКВ и ГАУ просили о запуске доработанного ПТР Дегтярева в производство (18638).</w:t>
      </w:r>
    </w:p>
    <w:p w14:paraId="56FADB08" w14:textId="77777777" w:rsidR="00DE7CDD" w:rsidRPr="00640820" w:rsidRDefault="00DE7CDD" w:rsidP="00640820">
      <w:pPr>
        <w:spacing w:after="0" w:line="240" w:lineRule="auto"/>
        <w:jc w:val="both"/>
        <w:rPr>
          <w:rFonts w:ascii="Times New Roman" w:hAnsi="Times New Roman"/>
          <w:color w:val="000000" w:themeColor="text1"/>
          <w:sz w:val="16"/>
          <w:szCs w:val="16"/>
        </w:rPr>
      </w:pPr>
    </w:p>
    <w:p w14:paraId="70B1B5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 1941 вышло Постановление ГКО № 665 Об организации на Востоке базы по производству танков Т-50. РГАНИР, Фонд ГКО, д. 9, лл. 84-85 (11012).</w:t>
      </w:r>
    </w:p>
    <w:p w14:paraId="6C7F34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70311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 1941 вышло Постановление ГКО № 666 Об эвакуации из г. Харькова завода № 75. РГАНИР, Фонд ГКО, д. 9, лл. 86 (11012).</w:t>
      </w:r>
    </w:p>
    <w:p w14:paraId="7BD093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BA4CA7C" w14:textId="77777777" w:rsidR="00DE7CDD" w:rsidRPr="00640820" w:rsidRDefault="00DE7CD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 1941 в связи с началом эвакуации танкостроительных предприятий из Харькова ГКО приняло решение отказаться от размещения Кировского завода в Нижнем Тагиле и эвакуировать его на Челябинский тракторный завод. Это решение нельзя не признать рациональным, так как Челябинский завод был одним из крупнейших заводов Урала, и на нём накануне войны велась подготовка к началу производства танков КВ (19</w:t>
      </w:r>
      <w:r w:rsidR="00401AC5" w:rsidRPr="00640820">
        <w:rPr>
          <w:rFonts w:ascii="Times New Roman" w:hAnsi="Times New Roman"/>
          <w:color w:val="000000" w:themeColor="text1"/>
          <w:sz w:val="16"/>
          <w:szCs w:val="16"/>
        </w:rPr>
        <w:t>8</w:t>
      </w:r>
      <w:r w:rsidRPr="00640820">
        <w:rPr>
          <w:rFonts w:ascii="Times New Roman" w:hAnsi="Times New Roman"/>
          <w:color w:val="000000" w:themeColor="text1"/>
          <w:sz w:val="16"/>
          <w:szCs w:val="16"/>
        </w:rPr>
        <w:t>07).</w:t>
      </w:r>
    </w:p>
    <w:p w14:paraId="4BF8BC35" w14:textId="77777777" w:rsidR="00DE7CDD" w:rsidRPr="00640820" w:rsidRDefault="00DE7CDD" w:rsidP="00640820">
      <w:pPr>
        <w:spacing w:after="0" w:line="240" w:lineRule="auto"/>
        <w:jc w:val="both"/>
        <w:rPr>
          <w:rFonts w:ascii="Times New Roman" w:hAnsi="Times New Roman"/>
          <w:color w:val="000000" w:themeColor="text1"/>
          <w:sz w:val="16"/>
          <w:szCs w:val="16"/>
        </w:rPr>
      </w:pPr>
    </w:p>
    <w:p w14:paraId="205909D5" w14:textId="77777777" w:rsidR="00DE7CDD" w:rsidRPr="00640820" w:rsidRDefault="00DE7CD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 1941, когда военная катастрофа под Киевом была уже предрешена, постановлениями ГКО № 666сс и № 667сс было принято решение начать эвакуацию из Харькова заводов танковой промышленности. В соответствии с ними были отданы приказы народного комиссара танковой промышленности за № 2сс от 13 сентября 1941 г. о порядке эвакуации завода № 75, и № 4сс от того же числа</w:t>
      </w:r>
      <w:r w:rsidRPr="00640820">
        <w:rPr>
          <w:rFonts w:ascii="Times New Roman" w:hAnsi="Times New Roman"/>
          <w:color w:val="000000" w:themeColor="text1"/>
          <w:sz w:val="16"/>
          <w:szCs w:val="16"/>
          <w:vertAlign w:val="superscript"/>
        </w:rPr>
        <w:t xml:space="preserve"> </w:t>
      </w:r>
      <w:r w:rsidRPr="00640820">
        <w:rPr>
          <w:rFonts w:ascii="Times New Roman" w:hAnsi="Times New Roman"/>
          <w:color w:val="000000" w:themeColor="text1"/>
          <w:sz w:val="16"/>
          <w:szCs w:val="16"/>
        </w:rPr>
        <w:t>о порядке эвакуации Харьковского паровозостроительного завода и Мариупольского завода имени Ильича, а также № 11сс от 17 сентября^, в котором определялся порядок эвакуации Харьковского тракторного завода.</w:t>
      </w:r>
    </w:p>
    <w:p w14:paraId="12DAFC49" w14:textId="77777777" w:rsidR="00DE7CDD" w:rsidRPr="00640820" w:rsidRDefault="00DE7CD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183 предполагалось эвакуировать на Уральский вагоностроительный завод (УВЗ) в городе Нижний Тагил, один из крупнейших заводов Урала, построенных в 1930-е гг. На этом заводе имелись большие свободные площади, на которые до сих пор не было установлено оборудование, а также развитое металлургическое производство. Мариупольский завод имени Ильича предполагалось разделить на две части. Большая часть должна была войти в состав завода № 183 в Нижнем Тагиле, а другую, состоящую из оборудования и рабочих, занятых производством бронелиста, планировалось отправить на Нижнетагильский Металлургический завод. Завод № 75 должен был эвакуироваться на Челябинский тракторный завод, куда уже начал эвакуацию Кировский завод из Ленинграда, и войти там в его состав.</w:t>
      </w:r>
    </w:p>
    <w:p w14:paraId="760D3011" w14:textId="77777777" w:rsidR="00DE7CDD" w:rsidRPr="00640820" w:rsidRDefault="00DE7CD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ХТЗ должен был разделить своё оборудование между пятью заводами: тем же № 183, Сталинградским тракторным, № 264, тоже находившимся в Сталинграде, Чкаловским паровозоремонтным и Саратовским паровозоремонтным. С точки зрения размещения эвакуируемых предприятий план был отличным. Очень важно, что в качестве базы для развёртывания производства на новом месте можно было использовать уже существующие предприятия, имеющие собственную развитую производственную базу, инфраструктуру, запасы сырья, собственный жилой фонд, подсобные хозяйства и т. д.. Благодаря решению о слиянии УВЗ и завода № 183 в Нижнем Тагиле возник один из крупнейших мировых центров танкостроения. ХТЗ, как предприятие, не имеющее собственных традиций танкостроения, представлял ценность прежде всего своим оборудованием, а не как единый комплекс. Ликвидация завода и распределение его оборудования по другим предприятиям позволило более эффективное его использовать. Разумным следует признать разделение на две части Мариупольского завода. Производство бронекорпусов было выгоднее передать танковому заводу, а металлургическое оборудование лучше было использовать на Нижнетагильском металлургическом заводе.</w:t>
      </w:r>
    </w:p>
    <w:p w14:paraId="72F9FB2D" w14:textId="77777777" w:rsidR="00DE7CDD" w:rsidRPr="00640820" w:rsidRDefault="00DE7CD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Эвакуацию предполагалось провести в два этапа. Всё оборудование и кадры должны были быть разделены на две равные группы, включающие по 50% действующего оборудования, используемого в производстве танков и деталей к ним, и соответствующее количество рабочих и ИТР. На первом этапе, начать который было решено немедленно, следовало эвакуировать первую группу. Этот этап должен был завершиться на Мариупольском заводе имени Ильича 10 октября, на заводе № 75 - 25 октября, на Харьковском тракторном заводе - 27 октября, а на заводе № 183 - 10 ноября. Эвакуацию второй группы предполагалось начать только после того, как первая группа наладит на новом месте производство. Таким образом, процесс выпуска военной продукции не должен был прерываться. Было установлено, что завод № 183 должен в ходе первого периода эвакуации производить не менее 7 танков в день, а Мариупольский завод имени Ильича - обеспечить для завода № 183 необходимое для такого объёма производства количество бронекорпусов и башен.</w:t>
      </w:r>
    </w:p>
    <w:p w14:paraId="7B25E90D" w14:textId="77777777" w:rsidR="00DE7CDD" w:rsidRPr="00640820" w:rsidRDefault="00DE7CD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Определено было количество и тип требующихся для проведения эвакуации вагонов. Так, Харьковский паровозостроительный завод должен был получить для проведения обоих этапов эвакуации 3000 вагонов (в стандартном двухосном исчислении). Харьковскому тракторному также требовалось 3000 вагонов. Завод № 75 должен был получить 1650 вагонов. Больше всего вагонов нужно было Мариупольскому заводу имени Ильича: 6200 стандартных вагонов в двухосном исчислении, 220 50-ти тонных вагонов и 20 транспортёров. Всего для четырёх заводов требовалось 14090 вагонов всех типов.</w:t>
      </w:r>
    </w:p>
    <w:p w14:paraId="786A93BA" w14:textId="77777777" w:rsidR="00DE7CDD" w:rsidRPr="00640820" w:rsidRDefault="00DE7CD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Особое внимание в приказах по эвакуации уделено проблеме обустройства на новом месте. Заводам предписывалось выслать на новые места своего расположения группы специалистов во главе с главными инженерами для проведения подготовительной работы. Заранее было определено, что на Уралвагонзаводе, куда эвакуировался завод № 183, потребуется к 1 декабря возвести ещё две дополнительные мартеновские печи и фундамент под прокатный стан. Внимание было уделено не только организации производства, но и созданию приемлемых условий быта рабочих. В частности, для рабочих, прибывающих в ходе эвакуации на УВЗ, предусматривалось построить деревянные дома на 40.000 человек. Строительство домов планировалось завершить к 1 января 1942 г. Для строительства предусматривалось выделение необходимых материалов, в том числе, Наркомлеспром был обязан предоставить 8000 вагонов леса. Руководство партийной организации Свердловской области должно было выделить для эвакуированных жилой фонд в городе Нижний Тагил </w:t>
      </w:r>
      <w:r w:rsidR="00401AC5" w:rsidRPr="00640820">
        <w:rPr>
          <w:rFonts w:ascii="Times New Roman" w:hAnsi="Times New Roman"/>
          <w:color w:val="000000" w:themeColor="text1"/>
          <w:sz w:val="16"/>
          <w:szCs w:val="16"/>
        </w:rPr>
        <w:t>(19807</w:t>
      </w:r>
      <w:r w:rsidRPr="00640820">
        <w:rPr>
          <w:rFonts w:ascii="Times New Roman" w:hAnsi="Times New Roman"/>
          <w:color w:val="000000" w:themeColor="text1"/>
          <w:sz w:val="16"/>
          <w:szCs w:val="16"/>
        </w:rPr>
        <w:t>).</w:t>
      </w:r>
    </w:p>
    <w:p w14:paraId="2BB23817" w14:textId="77777777" w:rsidR="00DE7CDD" w:rsidRPr="00640820" w:rsidRDefault="00DE7CDD" w:rsidP="00640820">
      <w:pPr>
        <w:spacing w:after="0" w:line="240" w:lineRule="auto"/>
        <w:jc w:val="both"/>
        <w:rPr>
          <w:rFonts w:ascii="Times New Roman" w:hAnsi="Times New Roman"/>
          <w:color w:val="000000" w:themeColor="text1"/>
          <w:sz w:val="16"/>
          <w:szCs w:val="16"/>
        </w:rPr>
      </w:pPr>
    </w:p>
    <w:p w14:paraId="6F1E85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 1941 г. (1-я очередь) в соответствии с постановлениями ГКО № 666 и № 731 от 4.10.1941 г. (2-я очередь) завод № 75 и СКБ эвакуированы в Челябинск на площадку ЧТЗ и в Свердловск на площадку турбинного завода № 76. В Челябинске завод влит в ЧТЗ и вместе с ним вошел в состав Уральского комбината по производству тяжелых танков КВ.</w:t>
      </w:r>
    </w:p>
    <w:p w14:paraId="00E219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освобождения города в 11.1943 г. начаты восстановительные работы на площадке завода, в соответствии с пост. ГКО № 5122 от 6.02.1944 г. завод № 75 НКТП восстановлен на старом месте под тем же номером для организации производства тяжелых артиллерийских тягачей. Сюда реэвакуировано оборудование завода № 183, переведены из Кирова с завода № 38 экспериментальный цех и КБ под руководством М.Н. Щукина. В соответствии с пост. ГКО № 6209 от 18.07.1944 г. на заводе организовано производство танка Т-44, первая машина собрана в 10.1944 г. Всего в 1944 г. выпущено 25 машин, в 1945 г. - 880.</w:t>
      </w:r>
    </w:p>
    <w:p w14:paraId="7CFE4F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1957 г. присвоено имя В.А. Малышева, в 1958 г. имел название Харьковский машиностроительный завод им. В.А. Малышева.</w:t>
      </w:r>
    </w:p>
    <w:p w14:paraId="4346EB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Имелись: отдел 60 (КБ-60М, далее - ХКБМ), отдел 62 (создание огнеметных танков), опытный цех № 190. В 1966 г. КБ-60М и цех № 190 объединены в самостоятельное ХКБМ.</w:t>
      </w:r>
    </w:p>
    <w:p w14:paraId="12D75F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2007 г. предприятие разделено на две части: оборонную (Завод им. Малышева) и гражданскую (Харьковский завод транспортного машиностроения).</w:t>
      </w:r>
    </w:p>
    <w:p w14:paraId="6B7142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персонала- 9000 чел.</w:t>
      </w:r>
    </w:p>
    <w:p w14:paraId="7318D2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(1949-1954 г.)- К.Д. Петухов, (1965-1975 г.)- О.В. Соич, (19844991 г.)- В.В. Пивоваров. Гендиректор (2007 г.)- В. Немилостивый.</w:t>
      </w:r>
    </w:p>
    <w:p w14:paraId="1A5AD8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инженера (1952 г.)- Коропов.</w:t>
      </w:r>
    </w:p>
    <w:p w14:paraId="2A34BB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(09.1941 г.)- И. Трашутин, (1944 г.-)- М.Н. Щукин, (1952 г.)- А.А. Морозов. Ген. конструктор (2005 г.)- г-л М. Борисюк.</w:t>
      </w:r>
    </w:p>
    <w:p w14:paraId="43F8CE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конструкторы: по двигателю М-40 - А.Я. Носач.</w:t>
      </w:r>
    </w:p>
    <w:p w14:paraId="3B1794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дизели: танковые В-2 (1939-41-), В-4 (1941), В-5 (1941); Д-100 (1951-), 5ТД (1955-), 10Д100 (1963-), 11ГД100 (1963-), 5ТДФ (1964-), 6ТД (1967-), Д70 (1967-), 10</w:t>
      </w:r>
      <w:r w:rsidRPr="00640820">
        <w:rPr>
          <w:rFonts w:ascii="Times New Roman" w:hAnsi="Times New Roman"/>
          <w:color w:val="000000" w:themeColor="text1"/>
          <w:sz w:val="16"/>
          <w:szCs w:val="16"/>
          <w:lang w:val="en-US"/>
        </w:rPr>
        <w:t>D</w:t>
      </w:r>
      <w:r w:rsidRPr="00640820">
        <w:rPr>
          <w:rFonts w:ascii="Times New Roman" w:hAnsi="Times New Roman"/>
          <w:color w:val="000000" w:themeColor="text1"/>
          <w:sz w:val="16"/>
          <w:szCs w:val="16"/>
        </w:rPr>
        <w:t>100</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xml:space="preserve"> (1989-), 2ТД (1992-), 1Д80Б, 4Д80Б (1997-); дизель-генераторы 15Д100 (1965-), ЗД70 (1970-), 5Д70 (1978-); танки: Т-34 (1940-), Т-44 (1944-46)- 1623,</w:t>
      </w:r>
      <w:r w:rsidRPr="00640820">
        <w:rPr>
          <w:rFonts w:ascii="Times New Roman" w:hAnsi="Times New Roman"/>
          <w:color w:val="000000" w:themeColor="text1"/>
          <w:sz w:val="16"/>
          <w:szCs w:val="16"/>
          <w:vertAlign w:val="superscript"/>
        </w:rPr>
        <w:t>128</w:t>
      </w:r>
      <w:r w:rsidRPr="00640820">
        <w:rPr>
          <w:rFonts w:ascii="Times New Roman" w:hAnsi="Times New Roman"/>
          <w:color w:val="000000" w:themeColor="text1"/>
          <w:sz w:val="16"/>
          <w:szCs w:val="16"/>
        </w:rPr>
        <w:t xml:space="preserve"> АТО-54 (1952-), ТО-55 (1958-), Т-54 («объект 137», 1947-49)- 57 (1949), Т-64 (1964-), Т-64А (1969-), Т- 64К (1973-), Т-64БМ «Булат» (1983-2005-), Т-80УД (1986-); тягачи: артиллерийский АТТ-1 (1949-), армейский БТМ-3 (1957-), «Харьковчанка» для освоения Антарктиды (1958-), «Харьковчанка-2» (1976-), «454» (1980-); тяжелый транспортер МТТ (1977-); мотовездеход ЗИМ-350 (1991-); тепловозы: ТЭ-1 (1947-), ТЭ-2, ТЭ-4 (1952-), ТЭ-3 (1953-), ТЭ-5, ТЭ-7 (1957-), ТЭ-10 (1958-), ТЭ-11 (1959-), 2ТЭ40, ТЭП10; кран КГС-25 (1992-), машина для добычи угля БЗМ (1993-), бульдозер БГ-1 (1995-), зерноуборочный комбайн «Горизонт», КСЗ-7 «Обрий», буровая установка А-125, машины МПРГ, МВТ-2М, МТ.</w:t>
      </w:r>
    </w:p>
    <w:p w14:paraId="129FC7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КБ завода № 75, КБ-60М, Харьковское КБ Машиностроения (ХКБМ), КП (казенное предприятие) «Харьковское КБ по машиностроению (ХКБМ) им. А.А. Морозова» /Украина 61001  г. Харьков ул. Плехановская, 126 тел. 283-190/</w:t>
      </w:r>
    </w:p>
    <w:p w14:paraId="16ACA8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КБ после его организации в Харькове вернулось большое количество специалистов из Нижнего Тагила. В конце 1951 г. сюда переведен и А.А. Морозов для создания перспективного танка.</w:t>
      </w:r>
    </w:p>
    <w:p w14:paraId="78D137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КБ завода № 75 затем преобразовано в отдел 60 (КБ-60М) завода им. Малышева. В 1966 г. КБ-60М объединено с опытным цехом № 190 ХЗТМ в ХКБМ, с 1979 г.- ХКБМ им. А.А. Морозова. А.А. Морозов возглавлял КБ более 30 лет (вероятно, считая и время на УВЗ).</w:t>
      </w:r>
    </w:p>
    <w:p w14:paraId="0D4F78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 4752-1832сс от 15.10.1949 г. КБ выдано задание на разработку САУ СУ-100 с изготовлением макета башни в 1-м квартале 1950 г., после испытаний опытного образца в 1953 г. работы прекращены.</w:t>
      </w:r>
    </w:p>
    <w:p w14:paraId="3CD440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20.05.1968 г. вышло ПСМ № 360-137 «Об установке в танк Т-64 нового более мощного комплекса вооружения».</w:t>
      </w:r>
    </w:p>
    <w:p w14:paraId="35B9C5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2000-е  г. ХКБМ входило в состав Концерна «Бронетехника Украины».</w:t>
      </w:r>
    </w:p>
    <w:p w14:paraId="32DFBE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(12.1951 г.-)- А.А. Морозов. Ген. конструктор (-2002-05 г.-)- г-л М.Д. Борисюк.</w:t>
      </w:r>
    </w:p>
    <w:p w14:paraId="4CA4CE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(1938 г.-)- Н.А. Кучеренко, (2002 г.)- М.Д. Борисюк.</w:t>
      </w:r>
    </w:p>
    <w:p w14:paraId="6991B6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конструкторы: (1961 г.)- А.А. Морозов (Т-64), (1958 г.)- А.И. Автономов (шасси ЗРК «Круг»), Н.С. Попов (Т-80).</w:t>
      </w:r>
      <w:r w:rsidRPr="00640820">
        <w:rPr>
          <w:rFonts w:ascii="Times New Roman" w:hAnsi="Times New Roman"/>
          <w:color w:val="000000" w:themeColor="text1"/>
          <w:sz w:val="16"/>
          <w:szCs w:val="16"/>
          <w:vertAlign w:val="superscript"/>
        </w:rPr>
        <w:t>ш</w:t>
      </w:r>
    </w:p>
    <w:p w14:paraId="161F7F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танки: Т-64, Т-80, Т-84; САУ СУ-100 («объект 416», 1950); БТР-3,</w:t>
      </w:r>
      <w:r w:rsidRPr="00640820">
        <w:rPr>
          <w:rFonts w:ascii="Times New Roman" w:hAnsi="Times New Roman"/>
          <w:color w:val="000000" w:themeColor="text1"/>
          <w:sz w:val="16"/>
          <w:szCs w:val="16"/>
          <w:vertAlign w:val="superscript"/>
        </w:rPr>
        <w:t>ВП</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vertAlign w:val="superscript"/>
        </w:rPr>
        <w:t>4/02</w:t>
      </w:r>
      <w:r w:rsidRPr="00640820">
        <w:rPr>
          <w:rFonts w:ascii="Times New Roman" w:hAnsi="Times New Roman"/>
          <w:color w:val="000000" w:themeColor="text1"/>
          <w:sz w:val="16"/>
          <w:szCs w:val="16"/>
        </w:rPr>
        <w:t xml:space="preserve"> гусеничное шасси для ЗРК «Круг» (1958);</w:t>
      </w:r>
      <w:r w:rsidRPr="00640820">
        <w:rPr>
          <w:rFonts w:ascii="Times New Roman" w:hAnsi="Times New Roman"/>
          <w:color w:val="000000" w:themeColor="text1"/>
          <w:sz w:val="16"/>
          <w:szCs w:val="16"/>
          <w:vertAlign w:val="superscript"/>
        </w:rPr>
        <w:t>38</w:t>
      </w:r>
      <w:r w:rsidRPr="00640820">
        <w:rPr>
          <w:rFonts w:ascii="Times New Roman" w:hAnsi="Times New Roman"/>
          <w:color w:val="000000" w:themeColor="text1"/>
          <w:sz w:val="16"/>
          <w:szCs w:val="16"/>
        </w:rPr>
        <w:t xml:space="preserve"> легкий бронетранспортер «Дозор-Б».</w:t>
      </w:r>
    </w:p>
    <w:p w14:paraId="5164F9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СКБ-75, Головное Специализированное КБ (ГСКБ) «Трансдизель» /г. Харьков;  г. Челябинск;  г. Харьков/</w:t>
      </w:r>
    </w:p>
    <w:p w14:paraId="29C0EB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Образовано до ВОВ. Разработан танковый дизель В-3 мощностью 250-300 л.с.</w:t>
      </w:r>
    </w:p>
    <w:p w14:paraId="691ACD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начала войны эвакуировано вместе с заводом в Челябинск на площадку ЧТЗ.</w:t>
      </w:r>
    </w:p>
    <w:p w14:paraId="4446E8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создано около 100 модификаций дизеля В-2.</w:t>
      </w:r>
    </w:p>
    <w:p w14:paraId="6F540D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(1941-81 г.)- И .Я. Трашутин. Ген. конструктор (1981-90-е)- В.И. Бутов.</w:t>
      </w:r>
    </w:p>
    <w:p w14:paraId="06992A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танковые дизели: В-2-34 для Т-34, В-31М2 для трактора ДЭТ-250, В-35ИН для ДЭТ-350, В-404С для антарктического вездехода «Харьковчанка»; В-84 для Т-72; мини-дизель В2Ч для трактора «Уралец».</w:t>
      </w:r>
    </w:p>
    <w:p w14:paraId="3D0CAE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КП «Харьковское КБ по двигателестроению» /Украина  г. Харьков/</w:t>
      </w:r>
    </w:p>
    <w:p w14:paraId="2A8F5A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на базе подразделения Харьковского завода им. Малышева.</w:t>
      </w:r>
    </w:p>
    <w:p w14:paraId="5881D1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Разработка танковых и народнохозяйственных двигателей (11982).</w:t>
      </w:r>
    </w:p>
    <w:p w14:paraId="07472F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0FAA686" w14:textId="77777777" w:rsidR="00CF4C03" w:rsidRPr="00640820" w:rsidRDefault="00CF4C03"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10 сентября 1941 на ХТЗ поступили первые два комплекта корпусов с башнями от завода “Красный Котельщик” (г. Таганрог). 13 сентября 1941 года, спустя почти месяц после планировавшегося начала производства, на ХТЗ был наконец собран первый Т-60 с использованием корпуса и башни Ворошиловградского завода. К моменту сборки первой машины на заводе имелось 12 комплектов корпусов с башнями, прибывших с трёх разных заводов-смежников. Но за сентябрь на заводе были собраны и отправлены в войска всего 7 танков, что равнялось числу имевшихся на заводе двигателей.</w:t>
      </w:r>
    </w:p>
    <w:p w14:paraId="3AD352A0" w14:textId="77777777" w:rsidR="00CF4C03" w:rsidRPr="00640820" w:rsidRDefault="00CF4C03"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Уже 17 сентября началась эвакуация ХТЗ, частично его оборудование удалось перевезти в пригород Сталинграда Красноармейск. История выпускавшихся там, на заводе №264, танков Т-60 достойна отдельного повествования. Что же касается харьковских Т-60, то их судьба не ясна. 2 танка получил 71-й отдельный танковый батальон, куда попали остальные, неизвестно (17659).</w:t>
      </w:r>
    </w:p>
    <w:p w14:paraId="581585D6" w14:textId="77777777" w:rsidR="00CF4C03" w:rsidRPr="00640820" w:rsidRDefault="00CF4C03" w:rsidP="00640820">
      <w:pPr>
        <w:spacing w:after="0" w:line="240" w:lineRule="auto"/>
        <w:jc w:val="both"/>
        <w:rPr>
          <w:rFonts w:ascii="Times New Roman" w:eastAsia="Times New Roman" w:hAnsi="Times New Roman"/>
          <w:color w:val="000000" w:themeColor="text1"/>
          <w:sz w:val="16"/>
          <w:szCs w:val="16"/>
          <w:lang w:eastAsia="ru-RU"/>
        </w:rPr>
      </w:pPr>
    </w:p>
    <w:p w14:paraId="4CBC48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 1941 вышло Постановление ГКО № 667 Об эвакуации завода № 183 и Мариупольского завода. РГАНИР, Фонд ГКО, д. 9, лл. 87-88 (11012).</w:t>
      </w:r>
    </w:p>
    <w:p w14:paraId="6E24BE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29A68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 1941 года вышло постановления №667/СГКО об эвакуации ХТЗ и директор ХТЗ Ю.Е.Максарев отдал приказ о немедленной эвакуации завода в глубокий тыл (3862).</w:t>
      </w:r>
    </w:p>
    <w:p w14:paraId="4899C1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DA82E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 1941 года на основании правительственного Постановления №667/СГКО директор завода № 183 Ю.Е. Максарев отдал приказ о свертывании завода и немедленной эвакуации его в глубокий тыл. Первый эшелон покинул территорию завода 19 сентября 1941 года и направился на Уралвагонзавод в г. Нижний Тагил Свердловской области. Он увозил конструкторов танкового КБ, чертежно-техническую документацию танка и наиболее ценное оборудование. Эвакуированный в Нижний Тагил Харьковский завод и местный Уралвагонзавод были объединены в одно предприятие, которое стало называться Уральский танковый завод №183. На этом заводе была сохранена нумерация цехов и отделов, принятая еще до войны в Харькове. Танковое конструкторское бюро по-прежнему именовалось “отдел 520”. Главным конструктором, как и в Харькове, был А.А. Морозов (9154).</w:t>
      </w:r>
    </w:p>
    <w:p w14:paraId="480E47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6D67A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 1941, когда военная катастрофа была предрешена, было принято решение начать эвакуацию из Харькова заводов танковой промышленности. Любопытно, что постановления ГКО № 666сс и № 667сс, в которых предписывалось начать подготовку к эвакуации вышеупомянутых четырех заводов, появились в тот же день, что и был образован наркомат танковой промышленности. Организация эвакуации этих заводов стала одной из первых задач наркомата. В соответствии с вышеупомянутыми постановлениями ГКО были отданы приказы народного комиссара танковой промышленности за № 2сс от 13 сентября 1941 года, в котором определялся порядок эвакуации завода № 75, и 4сс от того же числа, определявший порядок эвакуации Харьковского паровозостроительного завода и Мариупольского завода имени Ильича, а вслед за тем 11сс от 17 сентября, в которых определялся порядок эвакуации Харьковского тракторного завода. Эти приказы фактически содержат планы проведения эвакуации этих заводов. Впрочем, эти планы представляли собой не вольное творчество руководства наркомата. Основные мероприятия, запланированные в этих приказах, были уже подробно изложены в постановлениях ГКО № 666 и № 667.</w:t>
      </w:r>
    </w:p>
    <w:p w14:paraId="4D3328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На бумаге все выглядит очень хорошо. Предприятия должны были быть эвакуированы в следующие пункты: завод № 183 - на Уральский вагоностроительный завод в городе Нижний Тагил, один из крупнейших заводов Урала, построенных в 30-е годы. На этом заводе имелись большие свободные площади, на которые до сих пор не было установлено оборудование ( из-за этого завод так и не вышел на проектируемую мощность производства ), а также развитое металлургическое производство. Впоследствии Уральский вагоностроительный завод ( в годы войны он обычно тоже назывался № 183, как и завод в Харькове ) стал крупнейшим танковым заводом мира, как по территории завода, которая, как оказалось, была сопоставима с крупным городом, так и по объёмам производства, и даже вошёл в книгу рекордов Гиннеса как крупнейший военный завод. Мариупольский завод имени Ильича должен был быть разделён на две части. Большая часть должна была войти в состав завода № 183 в Нижнем Тагиле, а другая, состоящая из оборудования и рабочих, занятых производством бронелиста – на Нижнетагильский Металлургический завод. Завод № 75 должен был быть эвакуирован на Челябинский тракторный завод, туда же, куда уже эвакуировался Кировский завод из Ленинграда, и войти там в его состав. ХТЗ должен был разделить своё оборудование между пятью заводами: тем же № 183, Сталинградским тракторным, № 264, тоже находившимся в Сталинграде, Чкаловским паровозоремонтным и Саратовским паровозоремонтным. С точки зрения размещения эвакуируемых предприятий план был отличным. Очень важно было то, что в качестве базы для развёртывания производства на новом месте можно было использовать уже существующие предприятия, имеющие собственную развитую производственную базу, запасы сырья, собственный жилой фонд, подсобные хозяйства и т. д.. Выбор Уралвагонзавода как предприятия, на которое должен был быть эвакуирован завод № 183, тоже был очень удачным и способствовал успешной деятельности этого крупнейшего танкового завода. ХТЗ, как предприятие, не имеющее собственных традиций танкостроения, было ценно не как единый комплекс, а прежде всего своим оборудованием. Ликвидация завода и распределение этого оборудования по нескольким предприятиям позволяло более эффективно его использовать. Так же разумным следует признать разделение на две части Мариупольского завода. Производство бронекорпусов было действительно выгоднее передать танковому заводу, а металлургическое оборудование лучше было бы использовано на Нижнетагильском металлургическом заводе.</w:t>
      </w:r>
    </w:p>
    <w:p w14:paraId="3EA973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Предполагалось провести эвакуацию в два этапа. Всё оборудование и кадры должны были быть разделены на две группы, каждая из которых должна была включать 50% действующего оборудования, занятого на производстве танков и деталей к ним, и соответствующее количество ИТР. На первом этапе, начать который предполагалось немедленно, должна была быть эвакуирована первая группа. Первый этап должен был завершиться на Мариупольском заводе имени Ильича к 10 октября, на заводе № 75 – 25 октября, на Харьковском Тракторном заводе – 27 октября, а на Харьковском Паровозостроительном заводе, он же № 183 – 10 ноября. Эвакуация второй группы должна была начаться только после того, как первая группа наладит на новом месте производство. Таким образом, процесс выпуска военной продукции не должен был быть прерван. Было установлено, что завод № 183 должен будет в ходе первого периода эвакуации производить не менее 7 танков в день, а Мариупольский завод имени Ильича – обеспечить для завода № 183 необходимое для такого объёма производства количество бронекорпусов и башен.</w:t>
      </w:r>
    </w:p>
    <w:p w14:paraId="05AE16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Определёно количество и тип требующихся для проведения эвакуации вагонов. Их требовалось для проведения эвакуации немало. Так, Харьковский Паровозостроительный завод должен был получить для проведения обоих этапов эвакуации 3000 вагонов ( в стандартном двухосном исчислении ), в том числе 900 – для людей. Харьковский тракторный должен был получить для проведения эвакуации 3000 вагонов, в том числе и 1000 вагонов для людей. Завод № 75 должен был получить1650 вагонов, в том числе 480 вагонов для людей. Больше всего вагонов должен был получить Мариупольский завод имени Ильича. Ему должны были предоставить 6200 стандартных вагонов в двухосном исчислении, 220 50-ти тонных вагонов и 20 транспортёров. Всего для четырёх заводов требовалось 14090 вагонов всех типов. Постановления ГКО № 666 и № 667 обязывали НКПС выделить это количество вагонов для эвакуации предприятий НКТП. Транспортный отдел НКТП и его начальник Иванов получили указание обеспечить получение требуемых вагонов от НКПС. Впрочем, это огромное число вагонов вряд ли могло быть полностью получено в действительности.</w:t>
      </w:r>
    </w:p>
    <w:p w14:paraId="02A11E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Особое внимание в приказах уделено проблеме обустройства на новом месте. Заводы должны были выслать на новые места своего расположения группы специалистов во главе с главными инженерами и провести там подготовительную работу. Заранее было определено, что на Уралвагонзаводе, куда эвакуировался завод № 183, потребуется ещё две дополнительные мартеновские печи, которые директор завода должен построить к 1 декабря, так же как и фундамент под прокатный стан. Внимание было уделено не только организации производства на новом месте, но и созданию приемлемых условий быта рабочих. В частности, для будущих новых рабочих Уралвагонзавода, прибывающих в ходе эвакуации, предусматривалось построить деревянные дома на 40.000 человек. Строительство домов должно было быть завершено к 1 января 1942 года. Помимо этого, руководство партийной организации Свердловской и Челябинской областей должно было выделить жилой фонд в городе Нижний Тагил для эвакуированных сотрудников заводов наркомата. Для строительства должны были быть выделены необходимые материалы, в том числе Наркомлеспром был обязан предоставить 8000 вагонов леса.</w:t>
      </w:r>
    </w:p>
    <w:p w14:paraId="7A24F9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Устанавливалась система контроля за проведением эвакуации. Директора заводов обязаны были ежедневно докладывать о ходе мероприятий по эвакуации, в том числе о количестве отгруженного оборудования, номерах и маршрутах поездов, их местоположении. Помимо этого, разумеется, на заводах были уполномоченные по эвакуации от НКТП, также как, разумеется, от ГКО и комитета по эвакуации, выполнявшие функции контроля.</w:t>
      </w:r>
    </w:p>
    <w:p w14:paraId="777236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 эвакуации, изложенный в приказах, неплохо продуман, если мы учтем ту ситуацию цейтнота, в которой он создавался. Сами приказы представляют собой великолепные образцы методики, характерной для советской системы управления. Продуманы конкретные мероприятия, назначены ответственные за их осуществление, приняты решения о выделении необходимых средств. Приказы написаны четким лаконичным языком, задачи поставлены предельно ясно и понятно. Казалось бы, предусмотрено всё, от числа требуемых вагонов до числа домов для рабочих, которые необходимо построить. Предусмотрено и то, что эвакуация не должна прервать поставки военной техники армии. Я так много внимания уделил этим приказам и их анализу для того, чтобы показать, что во всём том, что произошло впоследствии, виновата не чья-то нераспорядительность или непредусмотрительность, все основные трудности были предвидены заранее, была сделана попытка подготовить их преодоление, но всё же объективные условия были слишком неблагоприятны.</w:t>
      </w:r>
    </w:p>
    <w:p w14:paraId="739407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Как показали последующие события, планы, изложенные в приказах, выполнены не были, и, видимо, были невыполнимы вообще. Самым большим затруднением была нехватка времени. Танковой промышленности ещё сильно повезло в том, что немцы недостаточно оценили стратегическую важность захвата Харькова, направив главный удар группы армий Юг южнее, на Ростов. Для наступления на Харьков, впрочем, была выделена достаточно сильная 6-я армия. Советские войска упорно защищали Харьков. Советское командование понимало важность этого города, и много сделало для его защиты. Поэтому Харьков пал только 25 октября. Последний же эшелон с оборудованием завода № 183 покинул его 19 октября.</w:t>
      </w:r>
    </w:p>
    <w:p w14:paraId="10F56B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Видимо, к началу октября опасность, нависшая над Харьковом, стала восприниматься советским руководством более реально. 4 октября выходит постановление ГКО, вносившее изменение в порядок эвакуации заводов № 75, № 183, ХТЗ и Мариупольского завода имени Ильича. 7 октября в соответствии с этим постановлением появился приказ наркома танковой промышленности Малышева В. А. № 53сс. Новые решения фактически отменяли двухэшелонный порядок эвакуации. Теперь эвакуировать следовало всё и при этом как можно быстрее. Срок был назван фантастически короткий, и поэтому невыполнимый – 15 октября, то есть, считая с днём появления приказа – 9 суток. Приказом был назначен срок начала производства танков на новом месте – 1 ноября. Эвакуации заводов НКТП из Харькова уделялось особое внимание, о чём свидетельствует то, что личный контроль за её осуществлением должен был осуществлять председатель комитета по эвакуации Шверник Н. М.. От НКТП в Харьков контролировать ход эвакуации был послан заместитель наркома Зернов. Нарком путей сообщения Л. М. Каганович должен был обеспечить подачу необходимого количества вагонов ( при этом точное число вагонов не указывалось, возможно, следовало исходить из того, сколько НКПС вообще сможет предоставить за такой короткий срок ). Начальник Главснаба НКТП Розин должен был обеспечить своевременное получение вагонов от НКПС. То, что на этот раз данная важная задача была доверена начальнику Главснаба, а не начальнику транспортного отдела, который должен был бы этим заниматься по своим служебным обязанностям, показывает, что перед этим с получением вагонов у НКТП возникали большие проблемы (11510).</w:t>
      </w:r>
    </w:p>
    <w:p w14:paraId="322626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C8D018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 1941 г. на основании решения Государст</w:t>
      </w:r>
      <w:r w:rsidRPr="00640820">
        <w:rPr>
          <w:rFonts w:ascii="Times New Roman" w:hAnsi="Times New Roman"/>
          <w:color w:val="000000" w:themeColor="text1"/>
          <w:sz w:val="16"/>
          <w:szCs w:val="16"/>
        </w:rPr>
        <w:softHyphen/>
        <w:t>венного Комитета Обороны (ГКО) путем слияния пред</w:t>
      </w:r>
      <w:r w:rsidRPr="00640820">
        <w:rPr>
          <w:rFonts w:ascii="Times New Roman" w:hAnsi="Times New Roman"/>
          <w:color w:val="000000" w:themeColor="text1"/>
          <w:sz w:val="16"/>
          <w:szCs w:val="16"/>
        </w:rPr>
        <w:softHyphen/>
        <w:t>приятий Наркомсредмаша (НКСМ) и Накркомтяжмаша (НКТМ) и ряда предприятий Наркомсудпрома (НКСП) был создан Наркомат танковой промышленности СССР (НКТП) под руководством бывшего наркома среднего ма</w:t>
      </w:r>
      <w:r w:rsidRPr="00640820">
        <w:rPr>
          <w:rFonts w:ascii="Times New Roman" w:hAnsi="Times New Roman"/>
          <w:color w:val="000000" w:themeColor="text1"/>
          <w:sz w:val="16"/>
          <w:szCs w:val="16"/>
        </w:rPr>
        <w:softHyphen/>
        <w:t>шиностроения В. Малышева. В состав НКТП вошли следующие предприятия: в Харькове завод № 183, ХПЗ (танки Т-34) и завод № 75 (ди</w:t>
      </w:r>
      <w:r w:rsidRPr="00640820">
        <w:rPr>
          <w:rFonts w:ascii="Times New Roman" w:hAnsi="Times New Roman"/>
          <w:color w:val="000000" w:themeColor="text1"/>
          <w:sz w:val="16"/>
          <w:szCs w:val="16"/>
        </w:rPr>
        <w:softHyphen/>
        <w:t>зель-моторы В-2, В-4 и В-5); в Ленинграде Кировский за</w:t>
      </w:r>
      <w:r w:rsidRPr="00640820">
        <w:rPr>
          <w:rFonts w:ascii="Times New Roman" w:hAnsi="Times New Roman"/>
          <w:color w:val="000000" w:themeColor="text1"/>
          <w:sz w:val="16"/>
          <w:szCs w:val="16"/>
        </w:rPr>
        <w:softHyphen/>
        <w:t>вод, ЛКЗ (танки КВ), завод № 174 (танки Т-26 и Т-50), Ижорский завод (броня для КВ и Т-50); в Москве завод № 37 (легкие плавающие танки Т-40); Мариупольский за</w:t>
      </w:r>
      <w:r w:rsidRPr="00640820">
        <w:rPr>
          <w:rFonts w:ascii="Times New Roman" w:hAnsi="Times New Roman"/>
          <w:color w:val="000000" w:themeColor="text1"/>
          <w:sz w:val="16"/>
          <w:szCs w:val="16"/>
        </w:rPr>
        <w:softHyphen/>
        <w:t>вод им. Ильича (корпуса и башни для Т-34) и Подольский завод им. Орджоникидзе (бронекорпуса и башни танка Т-40). Главной задачей нового наркомата было резкое уве</w:t>
      </w:r>
      <w:r w:rsidRPr="00640820">
        <w:rPr>
          <w:rFonts w:ascii="Times New Roman" w:hAnsi="Times New Roman"/>
          <w:color w:val="000000" w:themeColor="text1"/>
          <w:sz w:val="16"/>
          <w:szCs w:val="16"/>
        </w:rPr>
        <w:softHyphen/>
        <w:t>личение объемов выпуска танков. Однако еще до создания наркомата стало ясно, что большинство его предприятий находится под угрозой раз</w:t>
      </w:r>
      <w:r w:rsidRPr="00640820">
        <w:rPr>
          <w:rFonts w:ascii="Times New Roman" w:hAnsi="Times New Roman"/>
          <w:color w:val="000000" w:themeColor="text1"/>
          <w:sz w:val="16"/>
          <w:szCs w:val="16"/>
        </w:rPr>
        <w:softHyphen/>
        <w:t>рушения или же захвата немецкими войсками. Поэтому в состав НКТП автоматически вошли и те предприятия, на территорию которых перебазировалось танковое произ</w:t>
      </w:r>
      <w:r w:rsidRPr="00640820">
        <w:rPr>
          <w:rFonts w:ascii="Times New Roman" w:hAnsi="Times New Roman"/>
          <w:color w:val="000000" w:themeColor="text1"/>
          <w:sz w:val="16"/>
          <w:szCs w:val="16"/>
        </w:rPr>
        <w:softHyphen/>
        <w:t>водство, отправляющееся в эвакуацию. Таким образом, НКТП дополнился Челябинским трак</w:t>
      </w:r>
      <w:r w:rsidRPr="00640820">
        <w:rPr>
          <w:rFonts w:ascii="Times New Roman" w:hAnsi="Times New Roman"/>
          <w:color w:val="000000" w:themeColor="text1"/>
          <w:sz w:val="16"/>
          <w:szCs w:val="16"/>
        </w:rPr>
        <w:softHyphen/>
        <w:t>торным заводом (ЧТЗ), куда перебазировался Ленинград</w:t>
      </w:r>
      <w:r w:rsidRPr="00640820">
        <w:rPr>
          <w:rFonts w:ascii="Times New Roman" w:hAnsi="Times New Roman"/>
          <w:color w:val="000000" w:themeColor="text1"/>
          <w:sz w:val="16"/>
          <w:szCs w:val="16"/>
        </w:rPr>
        <w:softHyphen/>
        <w:t>ский Кировский завод, Уралвагонзаводом (УВЗ), куда эва</w:t>
      </w:r>
      <w:r w:rsidRPr="00640820">
        <w:rPr>
          <w:rFonts w:ascii="Times New Roman" w:hAnsi="Times New Roman"/>
          <w:color w:val="000000" w:themeColor="text1"/>
          <w:sz w:val="16"/>
          <w:szCs w:val="16"/>
        </w:rPr>
        <w:softHyphen/>
        <w:t>куировался завод № 183 из Харькова, Уралтурбозаводом, куда перемещался завод № 75, Уральским заводом тяжело</w:t>
      </w:r>
      <w:r w:rsidRPr="00640820">
        <w:rPr>
          <w:rFonts w:ascii="Times New Roman" w:hAnsi="Times New Roman"/>
          <w:color w:val="000000" w:themeColor="text1"/>
          <w:sz w:val="16"/>
          <w:szCs w:val="16"/>
        </w:rPr>
        <w:softHyphen/>
        <w:t>го машиностроения (УЗТМ), где уже размещались подраз</w:t>
      </w:r>
      <w:r w:rsidRPr="00640820">
        <w:rPr>
          <w:rFonts w:ascii="Times New Roman" w:hAnsi="Times New Roman"/>
          <w:color w:val="000000" w:themeColor="text1"/>
          <w:sz w:val="16"/>
          <w:szCs w:val="16"/>
        </w:rPr>
        <w:softHyphen/>
        <w:t>деления Ижорского завода. Кроме того, в состав НКТП вошел Сталинградский тракторный завод (СТЗ), ведущий плановый выпуск тан</w:t>
      </w:r>
      <w:r w:rsidRPr="00640820">
        <w:rPr>
          <w:rFonts w:ascii="Times New Roman" w:hAnsi="Times New Roman"/>
          <w:color w:val="000000" w:themeColor="text1"/>
          <w:sz w:val="16"/>
          <w:szCs w:val="16"/>
        </w:rPr>
        <w:softHyphen/>
        <w:t>ков Т-34, и два предприятия, переданных из Наркомсуд-прома — завод № 112 («Красное Сормово»), осваивающий выпуск Т-34, и завод № 264 («Сталинградская судоверфь»), обеспечивающий выпуск брони для Т-34 и готовящий оснастку для производства бронекорпусов легких танков. Позже в состав НКТП был передан еще ряд предпри</w:t>
      </w:r>
      <w:r w:rsidRPr="00640820">
        <w:rPr>
          <w:rFonts w:ascii="Times New Roman" w:hAnsi="Times New Roman"/>
          <w:color w:val="000000" w:themeColor="text1"/>
          <w:sz w:val="16"/>
          <w:szCs w:val="16"/>
        </w:rPr>
        <w:softHyphen/>
        <w:t>ятий, мало связанных ранее с выпуском танков. Харьков</w:t>
      </w:r>
      <w:r w:rsidRPr="00640820">
        <w:rPr>
          <w:rFonts w:ascii="Times New Roman" w:hAnsi="Times New Roman"/>
          <w:color w:val="000000" w:themeColor="text1"/>
          <w:sz w:val="16"/>
          <w:szCs w:val="16"/>
        </w:rPr>
        <w:softHyphen/>
        <w:t>ский тракторный завод (ХТЗ), Выксунский завод ДРО № 177, Кулебакский металлургический завод № 178, Мос</w:t>
      </w:r>
      <w:r w:rsidRPr="00640820">
        <w:rPr>
          <w:rFonts w:ascii="Times New Roman" w:hAnsi="Times New Roman"/>
          <w:color w:val="000000" w:themeColor="text1"/>
          <w:sz w:val="16"/>
          <w:szCs w:val="16"/>
        </w:rPr>
        <w:softHyphen/>
        <w:t>ковский автозавод им. Коминтерна, Коломенский, Муром</w:t>
      </w:r>
      <w:r w:rsidRPr="00640820">
        <w:rPr>
          <w:rFonts w:ascii="Times New Roman" w:hAnsi="Times New Roman"/>
          <w:color w:val="000000" w:themeColor="text1"/>
          <w:sz w:val="16"/>
          <w:szCs w:val="16"/>
        </w:rPr>
        <w:softHyphen/>
        <w:t>ский, Саратовский и Чкаловский паровозоремонтные заво</w:t>
      </w:r>
      <w:r w:rsidRPr="00640820">
        <w:rPr>
          <w:rFonts w:ascii="Times New Roman" w:hAnsi="Times New Roman"/>
          <w:color w:val="000000" w:themeColor="text1"/>
          <w:sz w:val="16"/>
          <w:szCs w:val="16"/>
        </w:rPr>
        <w:softHyphen/>
        <w:t>ды. Это была большая сила, но она еще числилась таковой только на бумаге и ни о какой эффективной работе этой структуры осенью-зимой 1941 г. говорить пока не приходи</w:t>
      </w:r>
      <w:r w:rsidRPr="00640820">
        <w:rPr>
          <w:rFonts w:ascii="Times New Roman" w:hAnsi="Times New Roman"/>
          <w:color w:val="000000" w:themeColor="text1"/>
          <w:sz w:val="16"/>
          <w:szCs w:val="16"/>
        </w:rPr>
        <w:softHyphen/>
        <w:t>лось, причем положение усугублялось начавшейся эвакуа</w:t>
      </w:r>
      <w:r w:rsidRPr="00640820">
        <w:rPr>
          <w:rFonts w:ascii="Times New Roman" w:hAnsi="Times New Roman"/>
          <w:color w:val="000000" w:themeColor="text1"/>
          <w:sz w:val="16"/>
          <w:szCs w:val="16"/>
        </w:rPr>
        <w:softHyphen/>
        <w:t>цией на Восток, и потому 1 декабря 1941 г. в составе Красной Армии имелись не планировавшиеся 83, а всего лишь 68 танковых бригад и 37 отдельных танковых батальонов (10782).</w:t>
      </w:r>
    </w:p>
    <w:p w14:paraId="488079F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D42EE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12 сентября 1941 г. решением Государственного коми</w:t>
      </w:r>
      <w:r w:rsidRPr="00640820">
        <w:rPr>
          <w:rFonts w:ascii="Times New Roman" w:hAnsi="Times New Roman"/>
          <w:color w:val="000000" w:themeColor="text1"/>
          <w:sz w:val="16"/>
          <w:szCs w:val="16"/>
        </w:rPr>
        <w:softHyphen/>
        <w:t>тета обороны (ГКО) для спешного разворачивания произ</w:t>
      </w:r>
      <w:r w:rsidRPr="00640820">
        <w:rPr>
          <w:rFonts w:ascii="Times New Roman" w:hAnsi="Times New Roman"/>
          <w:color w:val="000000" w:themeColor="text1"/>
          <w:sz w:val="16"/>
          <w:szCs w:val="16"/>
        </w:rPr>
        <w:softHyphen/>
        <w:t>водства и ремонта танков под руководством бывшего наркома среднего машиностроения В. Малышева был создан Наркомат танковой промышленности СССР (НКТП), ку</w:t>
      </w:r>
      <w:r w:rsidRPr="00640820">
        <w:rPr>
          <w:rFonts w:ascii="Times New Roman" w:hAnsi="Times New Roman"/>
          <w:color w:val="000000" w:themeColor="text1"/>
          <w:sz w:val="16"/>
          <w:szCs w:val="16"/>
        </w:rPr>
        <w:softHyphen/>
        <w:t>да вошли предприятия Наркомата среднего машиностро</w:t>
      </w:r>
      <w:r w:rsidRPr="00640820">
        <w:rPr>
          <w:rFonts w:ascii="Times New Roman" w:hAnsi="Times New Roman"/>
          <w:color w:val="000000" w:themeColor="text1"/>
          <w:sz w:val="16"/>
          <w:szCs w:val="16"/>
        </w:rPr>
        <w:softHyphen/>
        <w:t>ения (НКСМ) и Наркомата тяжелого машиностроения (НКТМ) и ряда предприятий Наркомата судостроитель</w:t>
      </w:r>
      <w:r w:rsidRPr="00640820">
        <w:rPr>
          <w:rFonts w:ascii="Times New Roman" w:hAnsi="Times New Roman"/>
          <w:color w:val="000000" w:themeColor="text1"/>
          <w:sz w:val="16"/>
          <w:szCs w:val="16"/>
        </w:rPr>
        <w:softHyphen/>
        <w:t>ной промышленности (НКСП).</w:t>
      </w:r>
    </w:p>
    <w:p w14:paraId="7E175D6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 НКТП вошли следующие предприятия: завод № 183, ХПЗ (танки Т-34) и завод № 75 (дизельмоторы В-2, В-4 и В-5) в Харькове; Кировский завод (танки КВ), завод № 174 (танки Т-26 и Т-50), Ижорский завод (броня для КВ и Т-50) в Ленинграде; завод № 37 (легкие плавающие танки Т-40) в Москве ; Мариупольский завод им. Ильича (корпуса и башни для Т-34) и Подольский завод им. Орджоникидзе (бронекорпуса и башни танка Т-40). Главной задачей нового наркомата было резкое увеличение объемов выпуска танков.</w:t>
      </w:r>
    </w:p>
    <w:p w14:paraId="616644C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 еще до создания наркомата стало ясно, что многие его предприятия находятся под угрозой разрушения или же захвата немцами. Поэтому в состав НКТП автоматически вошли и те предприятия, в которые перебазировалось тан</w:t>
      </w:r>
      <w:r w:rsidRPr="00640820">
        <w:rPr>
          <w:rFonts w:ascii="Times New Roman" w:hAnsi="Times New Roman"/>
          <w:color w:val="000000" w:themeColor="text1"/>
          <w:sz w:val="16"/>
          <w:szCs w:val="16"/>
        </w:rPr>
        <w:softHyphen/>
        <w:t>ковое производство, отправляющееся в эвакуацию.</w:t>
      </w:r>
    </w:p>
    <w:p w14:paraId="2B6A625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Таким образом, НКТП дополнился Челябинским трак</w:t>
      </w:r>
      <w:r w:rsidRPr="00640820">
        <w:rPr>
          <w:rFonts w:ascii="Times New Roman" w:hAnsi="Times New Roman"/>
          <w:color w:val="000000" w:themeColor="text1"/>
          <w:sz w:val="16"/>
          <w:szCs w:val="16"/>
        </w:rPr>
        <w:softHyphen/>
        <w:t>торным заводом (ЧТЗ), куда перебазировался Ленинград</w:t>
      </w:r>
      <w:r w:rsidRPr="00640820">
        <w:rPr>
          <w:rFonts w:ascii="Times New Roman" w:hAnsi="Times New Roman"/>
          <w:color w:val="000000" w:themeColor="text1"/>
          <w:sz w:val="16"/>
          <w:szCs w:val="16"/>
        </w:rPr>
        <w:softHyphen/>
        <w:t>ский Кировский завод, Уралвагонзаводом (УВЗ), куда эваку</w:t>
      </w:r>
      <w:r w:rsidRPr="00640820">
        <w:rPr>
          <w:rFonts w:ascii="Times New Roman" w:hAnsi="Times New Roman"/>
          <w:color w:val="000000" w:themeColor="text1"/>
          <w:sz w:val="16"/>
          <w:szCs w:val="16"/>
        </w:rPr>
        <w:softHyphen/>
        <w:t>ировался завод № 183 из Харькова, Уралтурбозаводом, куда перемещался завод № 75, Уральским заводом тяжелого ма</w:t>
      </w:r>
      <w:r w:rsidRPr="00640820">
        <w:rPr>
          <w:rFonts w:ascii="Times New Roman" w:hAnsi="Times New Roman"/>
          <w:color w:val="000000" w:themeColor="text1"/>
          <w:sz w:val="16"/>
          <w:szCs w:val="16"/>
        </w:rPr>
        <w:softHyphen/>
        <w:t>шиностроения (УЗТМ), где уже размещались подразделения Ижорского завода.</w:t>
      </w:r>
    </w:p>
    <w:p w14:paraId="2B4B4C5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в состав НКТП вошел Сталинградский тракторный завод (СТЗ), уже ведущий плановый выпуск танков Т-34, и два предприятия, переданных из Наркомсуд-прома — завод № 112 («Красное Сормово»), осваивающий выпуск Т-34, и завод № 264 («Сталинградская судоверфь»), обеспечивающий выпуск брони для Т-34 и готовящий осна</w:t>
      </w:r>
      <w:r w:rsidRPr="00640820">
        <w:rPr>
          <w:rFonts w:ascii="Times New Roman" w:hAnsi="Times New Roman"/>
          <w:color w:val="000000" w:themeColor="text1"/>
          <w:sz w:val="16"/>
          <w:szCs w:val="16"/>
        </w:rPr>
        <w:softHyphen/>
        <w:t>стку для производства бронекорпусов легких танков .</w:t>
      </w:r>
    </w:p>
    <w:p w14:paraId="02BD84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Позже в состав НКТП были переданы еще ряд пред</w:t>
      </w:r>
      <w:r w:rsidRPr="00640820">
        <w:rPr>
          <w:rFonts w:ascii="Times New Roman" w:hAnsi="Times New Roman"/>
          <w:color w:val="000000" w:themeColor="text1"/>
          <w:sz w:val="16"/>
          <w:szCs w:val="16"/>
        </w:rPr>
        <w:softHyphen/>
        <w:t>приятий, мало связанных ранее с выпуском танков. Харь</w:t>
      </w:r>
      <w:r w:rsidRPr="00640820">
        <w:rPr>
          <w:rFonts w:ascii="Times New Roman" w:hAnsi="Times New Roman"/>
          <w:color w:val="000000" w:themeColor="text1"/>
          <w:sz w:val="16"/>
          <w:szCs w:val="16"/>
        </w:rPr>
        <w:softHyphen/>
        <w:t>ковский тракторный завод (ХТЗ), Выксунский завод ДРО №177, Кулебакский металлургический завод № 178, Мос</w:t>
      </w:r>
      <w:r w:rsidRPr="00640820">
        <w:rPr>
          <w:rFonts w:ascii="Times New Roman" w:hAnsi="Times New Roman"/>
          <w:color w:val="000000" w:themeColor="text1"/>
          <w:sz w:val="16"/>
          <w:szCs w:val="16"/>
        </w:rPr>
        <w:softHyphen/>
        <w:t>ковский Автозавод им. Коминтерна, Коломенский, Му</w:t>
      </w:r>
      <w:r w:rsidRPr="00640820">
        <w:rPr>
          <w:rFonts w:ascii="Times New Roman" w:hAnsi="Times New Roman"/>
          <w:color w:val="000000" w:themeColor="text1"/>
          <w:sz w:val="16"/>
          <w:szCs w:val="16"/>
        </w:rPr>
        <w:softHyphen/>
        <w:t>ромский и Саратовский и Чкаловский паровозоремонтные заводы. Это была большая сила, но она числилась таковой только на бумаге, и ни о какой ее эффективной работе осе</w:t>
      </w:r>
      <w:r w:rsidRPr="00640820">
        <w:rPr>
          <w:rFonts w:ascii="Times New Roman" w:hAnsi="Times New Roman"/>
          <w:color w:val="000000" w:themeColor="text1"/>
          <w:sz w:val="16"/>
          <w:szCs w:val="16"/>
        </w:rPr>
        <w:softHyphen/>
        <w:t>нью-зимой 1941 г. говорить не приходилось. Положение усугублялось начавшейся эвакуацией на Восток, и потому 1 декабря 1941 г. в составе Красной Армии имелось не пла</w:t>
      </w:r>
      <w:r w:rsidRPr="00640820">
        <w:rPr>
          <w:rFonts w:ascii="Times New Roman" w:hAnsi="Times New Roman"/>
          <w:color w:val="000000" w:themeColor="text1"/>
          <w:sz w:val="16"/>
          <w:szCs w:val="16"/>
        </w:rPr>
        <w:softHyphen/>
        <w:t>нировавшиеся 83, а всего лишь 68 танковых бригад и 37 от</w:t>
      </w:r>
      <w:r w:rsidRPr="00640820">
        <w:rPr>
          <w:rFonts w:ascii="Times New Roman" w:hAnsi="Times New Roman"/>
          <w:color w:val="000000" w:themeColor="text1"/>
          <w:sz w:val="16"/>
          <w:szCs w:val="16"/>
        </w:rPr>
        <w:softHyphen/>
        <w:t>дельных танковых батальонов (11417).</w:t>
      </w:r>
    </w:p>
    <w:p w14:paraId="3B9C46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55C8A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 1941 г. был создан Наркомат танковой промышленности СССР (НКТП). Главной его задачей стало резкое увеличение объемов производства танков. В состав НКТП были включены следующие предприятия, уже имевшие в 1930-е гг. опыт производства танков: в Харькове завод № 183, производивший Т-34, и № 75, изготовлявший дизельные двигатели для танков; в Ленинграде Кировский завод, выпускавший танки KB, завод № 174 (танки Т-26); в Москве завод № 37 (легкие плавающие танки Т-40); Мариупольский завод им. Ильича, производивший корпуса для Т-34, и Подольский завод им. Орджоникидзе, одним из видов продукции которого было производство бронекорпусов для танка Т-40. Однако к началу сентября 1941 г. большинство из них уже находилось под угрозой захвата немцами. Поэтому одновременно в состав НКТП вошли и предприятия, расположенные в восточных районах страны, которым предстояло слиться с эвакуируемыми танковыми заводами: ЧТЗ должен был принять Кировский завод. Уральский вагоностроительный - завод № 183, Уральский турбинный - двигательный цех Кировского завода. Уральский завод тяжелого машиностроения - Ижорский завод. Кроме того, в состав НКТП вошли Сталинградский тракторный завод, приступивший к выпуску Т-34, № 264 в Сталинграде, налаживающий производство бронекорпусов для СТЗ, и № 112 ("Красное Сормово"), ранее работавший на нужды флота, а теперь тоже переориентированный на изготовление танков Т-34. Кроме того, в состав НКТП в момент его создания вошли заводы, не занимавшиеся производством танков, такие, как Харьковский тракторный, автозавод им. Коммунистического интернационала молодежи в Москве, а также Коломенский, Муромский (№ 176), Саратовский и Чкаловский паровозоремонтные заводы, Выксунский завод дробильно-размольного оборудования (№ 177), Кулебакский металлургический завод (№ 178) Часть из них пришлось впоследствии эвакуировать и слить с другими предприятиями, другие же сами стали базой, на которой развертывалось эвакуируемое оборудование. Новые заводы продолжали включаться в состав НКТП и после его создания. Так, 9 октября 1941 г. Наркомату был передан Куйбышевский завод Особстроя НКВД, предназначенный для размещения части оборудования Ижорского завода. 21 октября НКТП получил в свое распоряжение заводы "Металлист" и им. Воеводина в Свердловске. Они были предназначены для размещения эвакуируемых заводов № 37, КИМ и Подольского им. Орджоникидзе; 24 октября в состав НКТП вошел завод № 212, эвакуированное оборудование которого оказалось на территории Уральского турбинного завода, 22 ноября - металлургический завод № 200, образованный из части площадей и оборудования завода № 78 Наркомата боеприпасов. На производство танков был отчасти переключен Горьковский автозавод, не вошедший в состав НКТП. К концу 1941 г. процесс формирования НКТП был завершен. Вовлечение новых мощностей в военное производство продолжалось дольше. Окончательно их эффективное использование наладилось только к середине 1942 г. Но и после этого на новых танкостроительных заводах объемы производства были ниже, а оборудование и рабочая сила использовались менее эффективно, чем на образовавшихся в результате слияния старых эвакуированных танковых заводов с предприятиями гражданской промышленности. Танковая промышленность получала новые производственные мощности в основном за счет трех отраслей - транспортного и сельскохозяйственного машиностроения и судостроения. Свой серьезный вклад внесли также энергетическое и тяжелое машиностроение, работающее на нужды металлургии. Усиление оснащенности уже существующих центров производства и восстановление предприятий на освобожденных территориях после перелома в ходе боевых действий в пользу советских войск позволили расширить производственную базу НКТП. Надо сказать, что в довоенный период производство на танковых заводах имело значительные резервы для усовершенствования. Например, на заводе № 183, несмотря на значительные объемы продукции, работа была организована по принципу мелкосерийного производства со всеми присущими ему атрибутами: стендовой сборкой танков, использованием универсальных станков, ручной формовкой и сваркой и т.д (РГАЭ, ф. 8752, оп. 1, д. 82, л. 167-169; оп. 4, д. 2, л. 21.). Недостаточно широко использовалось литье, редко применялась штамповка. Такая организация производства обеспечивала его гибкость, быстрый переход от одного вида продукции к другому, но ограничивала объемы. В условиях войны такого рода гибкость становилась непозволительной роскошью. Отметим, что еще перед войной на заводе № 183 приступили к перестройке технологии производства, но сначала ее задерживало освоение Т-34. Вскоре же после начала войны встал вопрос об эвакуации завода, и производство по новым технологическим принципам пришлось организовывать уже на новом месте (11786).</w:t>
      </w:r>
    </w:p>
    <w:p w14:paraId="7A27A3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DA8183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 1941, когда военная катастрофа под Киевом была уже предрешена, постановлениями ГКО № 666сс и № 667сс (РГАСПИ. Ф. 644. Оп. 1. Д. 9. Л. 86-88) было принято решение начать эвакуацию из Харькова заводов танковой промышленности. В соответствии с вышеупомянутыми постановлениями ГКО были отданы приказы народного комиссара танковой промышленности за № 2сс от 13 сентября 1941 года (РГАЭ. Ф. 8752. Оп. 4. Д. 2. Л. 3) о порядке эвакуации завода № 75, и № 4сс от того же числа (РГАЭ. Ф. 8752. Оп. 4. Д. 2. Л. 3) о порядке эвакуации Харьковского паровозостроительного завода и Мариупольского завода имени Ильича, а также № 11сс от 17 сентября (РГАЭ. Ф. 8752. Оп. 4. Д. 2. Л. 3), в котором определялся порядок эвакуации Харьковского тракторного завода.</w:t>
      </w:r>
    </w:p>
    <w:p w14:paraId="14B51F9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183 предполагалось эвакуировать на Уральский вагоностроительный завод (УВЗ) в городе Нижний Тагил, один из крупнейших заводов Урала, построенных в 30-е годы. На этом заводе имелись большие свободные площади, на которые до сих пор не было установлено оборудование, а также развитое металлургическое производство. Мариупольский завод имени Ильича предполагалось разделить на две части. Большая часть должна была войти в состав завода № 183 в Нижнем Тагиле, а другую, состоящую из оборудования и рабочих, занятых производством бронелиста, планировалось отправить на Нижнетагильский Металлургический завод. Завод № 75 должен был эвакуироваться на Челябинский тракторный завод, куда уже начал эвакуацию Кировский завод из Ленинграда, и войти там в его состав. ХТЗ должен был разделить своё оборудование между пятью заводами: тем же № 183, Сталинградским тракторным, № 264, тоже находившимся в Сталинграде, Чкаловским паровозоремонтным и Саратовским паровозоремонтным. С точки зрения размещения эвакуируемых предприятий план был отличным. Очень важно, что в качестве базы для развёртывания производства на новом месте можно было использовать уже существующие предприятия, имеющие собственную развитую производственную базу, инфраструктуру, запасы сырья, собственный жилой фонд, подсобные хозяйства и т. д.. Благодаря решению о слиянии УВЗ и завода № 183 в Нижнем Тагиле возник один из крупнейших мировых центров танкостроения. ХТЗ, как предприятие, не имеющее собственных традиций танкостроения, представлял ценность прежде всего своим оборудованием, но не представлял значения как единый комплекс. Ликвидация завода и распределение его оборудования по другим предприятиям позволили более эффективное его использование. Разумным следует признать разделение на две части Мариупольского завода. Производство бронекорпусов было выгоднее передать танковому заводу, а металлургическое оборудование лучше было использовать на Нижнетагильском металлургическом заводе.</w:t>
      </w:r>
    </w:p>
    <w:p w14:paraId="0389AD2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Эвакуацию предполагалось провести в два этапа. Всё оборудование и кадры должны были быть разделены на две равные группы, включающие по 50% действующего оборудования, используемого в производстве танков и деталей к ним, и соответствующее количество рабочих и ИТР. На первом этапе, начать который было решено немедленно, следовало эвакуировать первую группу. Этот этап должен был завершиться на Мариупольском заводе имени Ильича 10 октября, на заводе № 75 - 25 октября, на Харьковском тракторном заводе - 27 октября, а на заводе № 183 - 10 ноября. Эвакуацию второй группы предполагалось начать только после того, как первая группа наладит на новом месте производство. Таким образом, процесс выпуска военной продукции не должен был прерваться. Было установлено, что завод № 183 должен в ходе первого периода эвакуации производить не менее 7 танков в день, а Мариупольский завод имени Ильича - обеспечить для завода № 183 необходимое для такого объёма производства количество бронекорпусов и башен.</w:t>
      </w:r>
    </w:p>
    <w:p w14:paraId="53C3E3E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Определено было количество и тип требующихся для проведения эвакуации вагонов. Так, Харьковский паровозостроительный завод должен был получить для проведения обоих этапов эвакуации 3000 вагонов (в стандартном двухосном исчислении). Харьковскому тракторному также требовалось 3000 вагонов. Завод № 75 должен был получить 1650 вагонов. Больше всего вагонов нужно было Мариупольскому заводу имени Ильича: 6200 стандартных вагонов в двухосном исчислении, 220 50-ти тонных вагонов и 20 транспортёров. Всего для четырёх заводов требовалось 14090 вагонов всех типов. Постановления ГКО № 666 и № 667 обязывали НКПС выделить это количество вагонов для эвакуации предприятий НКТП.</w:t>
      </w:r>
    </w:p>
    <w:p w14:paraId="1D0B7DC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Особое внимание в приказах по эвакуации уделено проблеме обустройства на новом месте. Заводам предписывалось выслать на новые места своего расположения группы специалистов во главе с главными инженерами для проведения подготовительной работы. Заранее было определено, что на Уралвагонзаводе, куда эвакуировался завод № 183, потребуется к 1 декабря возвести ещё две дополнительные мартеновские печи и фундамент под прокатный стан. Внимание было уделено не только организации производства, но и созданию приемлемых условий быта рабочих. В частности, для рабочих, прибывающих в ходе эвакуации на УВЗ, предусматривалось построить деревянные дома на 40.000 человек. Строительство домов планировалось завершить к 1 января 1942 года. Для строительства предусматривалось выделение необходимых материалов, в том числе, Наркомлеспром был обязан предоставить 8000 вагонов леса. Руководство партийной организации Свердловской области должно было выделить для эвакуированных жилой фонд в городе Нижний Тагил.</w:t>
      </w:r>
    </w:p>
    <w:p w14:paraId="5CE5C34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Устанавливалась система контроля за проведением эвакуации. Директора заводов обязаны были ежедневно докладывать о ходе мероприятий по эвакуации, в том числе, о количестве отгруженного оборудования, номерах и маршрутах поездов, их местоположении. Помимо этого, разумеется, на заводах присутствовали уполномоченные по эвакуации от НКТП, от ГКО и комитета по эвакуации, выполнявшие функции контроля.</w:t>
      </w:r>
    </w:p>
    <w:p w14:paraId="7580DE7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 проведения эвакуации, изложенный в приказах, был неплохо продуман. Сами приказы представляют собой великолепные образцы методики, характерной для советской системы управления. Продуманы конкретные мероприятия, назначены ответственные за их осуществление, приняты решения о выделении необходимых средств. Приказы написаны четким лаконичным языком, задачи поставлены предельно ясно и понятно. Казалось бы, предусмотрено всё, от числа требуемых вагонов до числа домов для рабочих. Предусмотрено и то, что эвакуация не должна прервать поставки военной техники армии. Эти планы имели всего один небольшой недостаток: они были оторваны от реальности. Фактически эвакуация проводилась не так, как была запланирована, а так, как это было возможно в сложившихся условиях (12290).</w:t>
      </w:r>
    </w:p>
    <w:p w14:paraId="6BE38878"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12F74C9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 1941 года в соответствии с последним приказом Народного комиссара среднего машиностроения Малышева № 530 в состав нового наркомата танковой промышленности вошли 11 предприятий НКСМ (РГАЭ. Ф. 8752. Оп. 1. Д. 82. Л. 169):</w:t>
      </w:r>
    </w:p>
    <w:p w14:paraId="344142F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rPr>
        <w:tab/>
        <w:t>Завод № 183, он же Харьковский паровозостроительный (ХПЗ). Завод занят танкостроением с 1928 года, причем, с 1932 года выпускал танки крупными сериями. Накануне войны производил танки Т-34.</w:t>
      </w:r>
    </w:p>
    <w:p w14:paraId="46B229D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rPr>
        <w:tab/>
        <w:t>Завод № 75 в Харькове. Возник в январе 1939 года из моторостроительного цеха ХПЗ. Накануне войны производил дизель В-2 для танков Т-34.</w:t>
      </w:r>
    </w:p>
    <w:p w14:paraId="3BFAD99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rPr>
        <w:tab/>
        <w:t>Завод № 37, он же имени Г. К. Орджоникидзе в Москве. Завод занят производством танков с 1931 года. Накануне войны производил плавающие танки Т-40.</w:t>
      </w:r>
    </w:p>
    <w:p w14:paraId="217B601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rPr>
        <w:tab/>
        <w:t>Завод № 174 им. Ворошилова в Ленинграде, он же - Большевик, ранее - Обуховский. В танковом производстве задействован с 1928 года. Производил накануне войны танки Т-26, и готовился производить танки Т-50.</w:t>
      </w:r>
    </w:p>
    <w:p w14:paraId="1520FB3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rPr>
        <w:tab/>
        <w:t>Кировский завод в Ленинграде, ранее - Путиловский. Место нахождения - Ленинград. Участвовал в танковом производстве с 1932 года. С 1940 года танковое производство стало для завода основным. Накануне войны производил танки КВ-1 и КВ-2.</w:t>
      </w:r>
    </w:p>
    <w:p w14:paraId="2D531A3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rPr>
        <w:tab/>
        <w:t>Сталинградский тракторный завод. Накануне войны завод начал мелкими сериями производить Т-34.</w:t>
      </w:r>
    </w:p>
    <w:p w14:paraId="6820AB2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rPr>
        <w:tab/>
        <w:t>Харьковский тракторный завод. Завод в 30-е годы был тесно связан с ХПЗ через промышленную кооперацию.</w:t>
      </w:r>
    </w:p>
    <w:p w14:paraId="48520F5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rPr>
        <w:tab/>
        <w:t>Челябинский тракторный завод. Завод накануне войны готовился начать производство танков КВ, но серийный выпуск наладить еще не успел.</w:t>
      </w:r>
    </w:p>
    <w:p w14:paraId="0F2279B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rPr>
        <w:tab/>
        <w:t>Автомобильный завод им. Коммунистического интернационала молодёжи в Москве. Этот завод, не имевший ранее опыта производства танков, должен был помогать заводу № 37 в их изготовлении.</w:t>
      </w:r>
    </w:p>
    <w:p w14:paraId="38A3E21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rPr>
        <w:tab/>
        <w:t>Уральский турбинный завод в Свердловске. Его строительство шло с 1937 года. Производство началось в мае 1941 года. На этом заводе, не связанном ранее с танкостроением, предполагалось разместить эвакуированное из Ленинграда оборудование и организовать дизельное производство.</w:t>
      </w:r>
    </w:p>
    <w:p w14:paraId="0225047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rPr>
        <w:tab/>
        <w:t>Уральский вагоностроительный завод в Нижнем Тагиле. Этот завод был спроектирован как один из индустриальных гигантов, который должен был производить 42 000 вагонов в год. К началу войны строительство ещё только приближалось к завершению, хотя предприятие уже начало работу. Реальная производительность завода не превышала 16 000 штук вагонов в год. Имелись пустующие цеха. Завод задумывался как комбинат и имел собственное металлургическое производство. УВЗ располагал отличными условиями для размещения эвакуированных предприятий.</w:t>
      </w:r>
    </w:p>
    <w:p w14:paraId="612A067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Помимо этого в состав наркомата были включены 8-й государственный проектный институт, Сталинградский механический институт и пять техникумов ( Сталинградский тракторный, Нижне</w:t>
      </w:r>
      <w:r w:rsidRPr="00640820">
        <w:rPr>
          <w:rFonts w:ascii="Times New Roman" w:hAnsi="Times New Roman"/>
          <w:color w:val="000000" w:themeColor="text1"/>
          <w:sz w:val="16"/>
          <w:szCs w:val="16"/>
        </w:rPr>
        <w:softHyphen/>
        <w:t>Тагильский, Харьковский тракторный, Харьковский машиностроительный, Челябинский тракторный ).</w:t>
      </w:r>
    </w:p>
    <w:p w14:paraId="244752B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заводов НКСМ в состав НКТП в начальный период его формирования вошли также 7 заводов других наркоматов (РГАЭ. Ф. 8752. Оп. 1. Д. 82. Л. 167а):</w:t>
      </w:r>
    </w:p>
    <w:p w14:paraId="5F3CD92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rPr>
        <w:tab/>
        <w:t>Завод № 112 в Горьком, он же «Красное Сормово». Этот завод когда-то был пионером советского танкостроения, построив несколько копий танка Рено «РТ-17». Однако затем он в танковом производстве не участвовал. Завод накануне войны относился к Наркомату судостроения и был занят производством подводных лодок. Передан НКТП 19 сентября 1941 года.</w:t>
      </w:r>
    </w:p>
    <w:p w14:paraId="3C644AA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rPr>
        <w:tab/>
        <w:t>Уральский завод тяжелого машиностроения (Уралмаш) в Свердловске. До войны завод был подчинён Наркомату тяжелого машиностроения и был одним из крупнейших советских машиностроительных заводов. Передан НКТП 19 сентября 1941 года.</w:t>
      </w:r>
    </w:p>
    <w:p w14:paraId="6E9077B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rPr>
        <w:tab/>
        <w:t>Муромский паровозоремонтный завод, он же № 176. До войны был подчинён Наркомату путей сообщения. Передан НКТП 17 сентября 1941 года.</w:t>
      </w:r>
    </w:p>
    <w:p w14:paraId="374E07F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rPr>
        <w:tab/>
        <w:t>Выксунский завод дробильно-размольного оборудования, он же № 177. До войны был подчинён Наркомату станкостроения. Передан НКТП 17 сентября 1941 года.</w:t>
      </w:r>
    </w:p>
    <w:p w14:paraId="4794701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rPr>
        <w:tab/>
        <w:t>Подольский завод им. Орджоникидзе, он же № 180. До войны относился к наркомату нефтяной промышленности.</w:t>
      </w:r>
    </w:p>
    <w:p w14:paraId="249BEDC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rPr>
        <w:tab/>
        <w:t>Саратовский паровозоремонтный завод. Относился до войны к Наркомату путей сообщения.</w:t>
      </w:r>
    </w:p>
    <w:p w14:paraId="0CFDCE9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Коломенский паровозостроительный завод. До войны завод был подчинён Наркомату тяжелого машиностроения.</w:t>
      </w:r>
    </w:p>
    <w:p w14:paraId="7FEAAAB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Тогда же в состав НКТП вошёл третий главк Наркомата судостроительной промышленности, ставший Третьим Главным управлением НКТП (РГАЭ. Ф. 8752. Оп. 1. Д. 82. Л. 167). Этот главк имел давние связи с танкостроением, так как его специализацией было производство брони.</w:t>
      </w:r>
    </w:p>
    <w:p w14:paraId="68A48CC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Третье Главное управление было передано НКТП 13 сентября приказом по НКТП и наркомсудпрому № 5/312с (РГАЭ. Ф. 8752. Оп. 4. Д. 2. Л. 21). В главк входили 4 завода и один НИИ:</w:t>
      </w:r>
    </w:p>
    <w:p w14:paraId="0BBA1EE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rPr>
        <w:tab/>
        <w:t>Мариупольский завод имени Ильича. Перед войной поставлял бронекорпуса для ХПЗ.</w:t>
      </w:r>
    </w:p>
    <w:p w14:paraId="7E3FCDD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rPr>
        <w:tab/>
        <w:t>Ижорский завод в г. Колпино Ленинградской области. Накануне войны производил бронекорпуса танка КВ для Кировского завода.</w:t>
      </w:r>
    </w:p>
    <w:p w14:paraId="70C7C59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rPr>
        <w:tab/>
        <w:t>Кулебакский металлургический завод, он же № 178.</w:t>
      </w:r>
    </w:p>
    <w:p w14:paraId="3AF3CC4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rPr>
        <w:tab/>
        <w:t>Завод № 264 в Сталинграде. Перед войной на заводе организовывалось производство корпусов танка Т-34 для СТЗ.</w:t>
      </w:r>
    </w:p>
    <w:p w14:paraId="35F1AAD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rPr>
        <w:tab/>
        <w:t>НИИ-48 в Ленинграде. Этот научно-исследовательский институт занимался проблемами бронестали и бронезащиты. В годы войны он проводил исследования, направленные на повышение защищенности танков.</w:t>
      </w:r>
    </w:p>
    <w:p w14:paraId="1333160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судостроителей в распоряжение НКТП перешли не только заводы, но и аппарат управления главка. Нарком судостроительной промышленности И. И. Носенко стал одним из заместителей В. А. Малышева.</w:t>
      </w:r>
    </w:p>
    <w:p w14:paraId="29DFE46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13 сентября 1941 года была создана комиссия по приемке Чкаловского паровозоремонтного завода от Наркомата путей сообщения (РГАЭ. Ф. 8752. Оп. 4. Д. 2. Л. 21). Этот завод был передан НКТП постановлением ГКО 12 сентября 1941 года № 655сс(РГАСПИ. Ф. 644. Оп. 1. Д. 9. Л. 45-46).</w:t>
      </w:r>
    </w:p>
    <w:p w14:paraId="0D4B0F0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Таким образом, в середине сентября 1941 года, сразу же после решения о создании наркомата, в его состав была включена большая группа предприятий. В НКТП вошли все довоенные центры танкостроения, ряд предприятий, переходящих к производству танков, а также несколько заводов, которые должны были стать базой для размещения эвакуированных танковых заводов. Однако на этом процесс формирования производственной базы НКТП еще не был завершен, и в течение октября-декабря 1941 года к НКТП присоединился ряд заводов, не занимавшихся до этого танкостроением (12290).</w:t>
      </w:r>
    </w:p>
    <w:p w14:paraId="138D3D51"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2C760CD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 1941 года постановлением СНК и указом Президиума Верховного Совета СССР от того же числа было принято решение о создании НКТП. Народным комиссаром танковой промышленности стал занимавший до этого пост Народного комиссара среднего машиностроения В. А. Малышев. К этому моменту он уже занимал важное место в иерархии советских чиновников, будучи членом ЦК ВКП(б) и заместителем председателя СНК. В. А. Малышев хорошо знал многих руководителей советского государства, деятелей промышленности, был знаком с возможностями и нуждами многих её отраслей. Пост заместителя председателя СНК Малышев сохранил и после своего назначения наркомом танковой промышленности. Этот пост давал ему серьезные преимущества, так как, действуя как заместитель Председателя СНК, он часто решал вопросы, связанные с деятельностью своего наркомата. То, что он был членом ЦК, дополнительно повышало его авторитет, давало ему возможность отстаивать интересы танковой промышленности в партийных органах. В. А. Малышев обладал несомненными организаторскими способностями, энергией и любовью к своему делу.</w:t>
      </w:r>
    </w:p>
    <w:p w14:paraId="47D85C3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Вячеслав Александрович Малышев был человек очень яркой судьбы, во многом типичной для советского руководителя периода войны. Он родился 3 декабря 1902 года в городе Усть-Сысольске Вологодской губернии в семье учителя. В 1926 году, находясь в армии, вступил в ВКП(б). Закончив службу, в 1927 году В. А. Малышев стал помощником машиниста, а затем машинистом и работал на подмосковных железных дорогах. Одновременно он интенсивно готовился к сдаче экзаменов в вуз, посвящая этому почти всё своё свободное время. В 1934 году он окончил МВТУ имени Баумана по специальности конструктор.</w:t>
      </w:r>
    </w:p>
    <w:p w14:paraId="5256935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Местом его работы стал Коломенский паровозостроительный завод, где В. А. Малышев разрабатывал дизели для подводных лодок. При этом он предложил несколько оригинальных технических решений. Вскоре ему поручили руководить дизельным цехом, где он проявил себя хорошим организатором производства. В 1937 году он стал главным инженером завода, а в следующем году - его директором. Показателем возросшего статуса В. А. Малышева стало его избрание в Верховный Совет в 1937 году. В феврале 1939 года В. А. Малышев был назначен Народным комиссаром тяжелого машиностроения СССР, который образовался в результате разделения Наркомата машиностроения. В 1939 году В. А. Малышев избран в состав ЦК ВКП (б). В апреле 1940 года он стал заместителем Председателя СНК и в этом качестве курировал работу советского машиностроения. На новой должности В. А. Малышев получил возможность значительно расширить свой кругозор. Архив его секретариата показывает, что в этот период через его руки прошло огромное количество бумаг, связанных с различными производственными проблемами всех отраслей советского машиностроения. Он получил возможность ознакомиться с состоянием многих отраслей советской промышленности. Дневник В. А. Малышева показывает, что в этот период он неоднократно встречался с высшим руководством государства. В октябре 1940 года В. А. Малышев получил должность Наркома Среднего машиностроения. В тот период на предприятиях этого наркомата производили широкий круг продукции, в том числе танки. На новом месте В. А. Малышев получил возможность вплотную ознакомиться с довоенным танковым производством.</w:t>
      </w:r>
    </w:p>
    <w:p w14:paraId="5E5EE63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 1941 года В. А. Малышев становится Наркомом танковой промышленности. К этому моменту он уже занимал важное место в иерархии советских чиновников. В. А. Малышев хорошо знал многих руководителей советской промышленности, ознакомился с возможностями и нуждами многих её отраслей. Пост заместителя Председателя СНК В. А. Малышев сохранил и после своего назначения Наркомом танковой промышленности. Этот пост давал ему серьезные преимущества, так как, действуя как заместитель Председателя СНК, он часто решал вопросы, связанные с деятельностью своего наркомата. В. А. Малышев обладал несомненными организаторскими способностями, энергией и любовью к своему делу.</w:t>
      </w:r>
    </w:p>
    <w:p w14:paraId="79B1B61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Некоторое представление о нём как человеке даёт статья английского журналиста Дж. Холла, напечатанная в газете «Дейли Мейл» в июле 1956 года (во время визита Малышева в Великобританию). В ней автор называет Малышева «одной из самых доминирующих личностей», с которыми ему приходилось встречаться. Малышев «значительно ниже среднего роста, но у него торс борца, массивные плечи и руки, громадная голова и сильное лицо». Он «широко и часто улыбается, и, в отличие от большинства русских, которых мы видим, он общителен».</w:t>
      </w:r>
    </w:p>
    <w:p w14:paraId="31A4B8A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Он был очень энергичным человеком и предпочитал осуществлять руководство, находясь непосредственно на месте событий. Весь первый период своего пребывания на посту Наркома танковой промышленности (сентябрь 1941 - июль 1942 годов) он провёл в постоянных разъездах по предприятиям своего ведомства. Многие его приказы начинаются словами «Личной проверкой наркома установлено, что ...». Объясняется это, конечно, не только стилем руководства наркома, но и объективными условиями. Ситуация в этот период была крайне сложной, трудноуправляемой. Полностью полагаться на сведения, собираемые центральным аппаратом, было нельзя, тем более, что он еще только формировался (12290).</w:t>
      </w:r>
    </w:p>
    <w:p w14:paraId="174D909A"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15B12FE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 1941 года вышел приказ № 530 Наркомата среднего машиностроения</w:t>
      </w:r>
    </w:p>
    <w:p w14:paraId="4988519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Указами Президиума Верховного совета от 11 сентября 1941 года образован общесоюзный НКТП.</w:t>
      </w:r>
    </w:p>
    <w:p w14:paraId="0DAFEEE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Список предприятий НКТП</w:t>
      </w:r>
    </w:p>
    <w:p w14:paraId="316D830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183 с моторемонтным заводом – Харьков</w:t>
      </w:r>
    </w:p>
    <w:p w14:paraId="5147FB8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75 – Харьков</w:t>
      </w:r>
    </w:p>
    <w:p w14:paraId="51896A6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37 – Москва</w:t>
      </w:r>
    </w:p>
    <w:p w14:paraId="1FC3844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174 – Ленинград</w:t>
      </w:r>
    </w:p>
    <w:p w14:paraId="2AB74F1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Кировский завод - Ленинград</w:t>
      </w:r>
    </w:p>
    <w:p w14:paraId="5563273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Сталинградский тракторный завод с метизным заводом – Сталинград</w:t>
      </w:r>
    </w:p>
    <w:p w14:paraId="57E513D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Харьковский тракторный завод – Харьков</w:t>
      </w:r>
    </w:p>
    <w:p w14:paraId="0A381B2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Челябинский тракторный завод – Челябинск</w:t>
      </w:r>
    </w:p>
    <w:p w14:paraId="257618B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Автомобильный завод “КИМ” – Москва</w:t>
      </w:r>
    </w:p>
    <w:p w14:paraId="3E9EAF6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Уральский турбинный завод – Свердловск</w:t>
      </w:r>
    </w:p>
    <w:p w14:paraId="68BC89A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Уральский вагонный завод - Нижний Тагил</w:t>
      </w:r>
    </w:p>
    <w:p w14:paraId="23F9366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8-й Государственный проектный институт</w:t>
      </w:r>
    </w:p>
    <w:p w14:paraId="2AA85DB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Список предприятий 3 Гл. управления, передаваемых из Наркомата судостроительной промышленности в НКТП</w:t>
      </w:r>
    </w:p>
    <w:p w14:paraId="181F0E1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Ижорский завод – Колпино</w:t>
      </w:r>
    </w:p>
    <w:p w14:paraId="7A6C6A6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Мариупольский завод им. Ильича – Сартана</w:t>
      </w:r>
    </w:p>
    <w:p w14:paraId="2C3C1B9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Кулебакский металлургический завод – Кулебаки</w:t>
      </w:r>
    </w:p>
    <w:p w14:paraId="18FC101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264 – Сталинград</w:t>
      </w:r>
    </w:p>
    <w:p w14:paraId="1902ACE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НИИ № 48 – Ленинград</w:t>
      </w:r>
    </w:p>
    <w:p w14:paraId="16AF221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Список заводов, передаваемых НКТП</w:t>
      </w:r>
    </w:p>
    <w:p w14:paraId="57BC550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Уралмашзавод Наркомтяжмаша</w:t>
      </w:r>
    </w:p>
    <w:p w14:paraId="6F15D01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Муромский паровозоремонтный завод НКПС</w:t>
      </w:r>
    </w:p>
    <w:p w14:paraId="32DDF70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Выксунский дробильно-размольного оборудования Наркомстанкостроения</w:t>
      </w:r>
    </w:p>
    <w:p w14:paraId="085B73C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“Красное Сормово” Наркомсудостроения</w:t>
      </w:r>
    </w:p>
    <w:p w14:paraId="3775932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Подольский завод им. Орджоникидзе Наркомнефти (6119, 168-167а).</w:t>
      </w:r>
    </w:p>
    <w:p w14:paraId="349A19C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DCABE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12—15 сентября 1941 г., когда но</w:t>
      </w:r>
      <w:r w:rsidRPr="00640820">
        <w:rPr>
          <w:rFonts w:ascii="Times New Roman" w:hAnsi="Times New Roman"/>
          <w:color w:val="000000" w:themeColor="text1"/>
          <w:sz w:val="16"/>
          <w:szCs w:val="16"/>
        </w:rPr>
        <w:softHyphen/>
        <w:t>вый метод изготовления корпуса Т-34 уже вырисовывался, по предложению группы Кофмана на СТЗ была изготовлена пробная башня, содержавшая ряд нововведений, принятых при изготовлении корпуса (10782).</w:t>
      </w:r>
    </w:p>
    <w:p w14:paraId="2ABAD1D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1136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 1941 г. (1-я очередь) в соответствии с постановлениями ГКО № 667с и № 731 от 4.10.1941 г. (2-я очередь) завод (Ордена Ленина завод № 183 им. Коминтерна НКОП, НКСМ, НКТП, Харьковский паровозостроительный завод (ХПЗ) им. Коминтерна НКТП, Государственный ХПЗ (ГХПЗ), Уральский танковый завод (УТЗ) № 183 им. Коминтерна НКТП, УТЗ им. Сталина НКТП, «Уралвагонзавод» (УВЗ) НКТП, Минтрансмаша, ПО «УВЗ» им. Ф.Э. Дзержинского», ФГУП «ПО «УВЗ им. Ф.Э. Дзержинского» ФАП, ОАО «Научно-производственная корпорация (НПК) «УВЗ» / г. Харьков п/я 61 «Коминтернзавод» (1938 г.);  г. Нижний Тагил/ /622007(51) эвакуирован в период 17.09-19.10.1941 г. на площадку Нижнетагильского вагонзавода, эшелоны прибыли на место 27.11-1.12.1941 г. В Нижний Тагил так же эвакуирован Мариупольский завод им. Ильича и Московский станкостроительный завод им. Орджоникидзе. По приказу НКТП № 32с от 25.09.1941 г. производство танков с завода № 183 и деталей к ним с Мариупольского завода переведено на Уралвагонзавод и образован единый Уральский танковый завод № 183. Этим же приказом назначено руководство завода. В 1943-44 г. назывался также УТЗ им. Сталина.</w:t>
      </w:r>
      <w:r w:rsidRPr="00640820">
        <w:rPr>
          <w:rFonts w:ascii="Times New Roman" w:hAnsi="Times New Roman"/>
          <w:color w:val="000000" w:themeColor="text1"/>
          <w:sz w:val="16"/>
          <w:szCs w:val="16"/>
          <w:vertAlign w:val="superscript"/>
        </w:rPr>
        <w:t>128</w:t>
      </w:r>
    </w:p>
    <w:p w14:paraId="1B521C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НКТП № 15сс от 18.09.1941 г. заводу поручено в 5-дневный срок отработать установку на Т-34 авиационного двигателя М-17, но работа не была выполнена. Пост. ГКО № 695сс от 20.09.1941 г. заводу № 183 установлены суточные планы по выпуску Т-34: в период 1-25.10.1941 г. - по 3 шт.; 26-31.10.1941 г. - по 4 шт. Затем, в связи с эвакуацией завода, вышло новое распоряжение ГКО о начале выпуска танков на новом месте с 15.11.1941 г. Реально первые 25 машин были сданы 20.12.1941 г. 7.07.1942 г. вышло постановление ГКО № 2000 об обеспечении выпуска танков на заводе. В 1941 г. выпущено 1585 Т-34, в 1942 г. - 5654, в 1943 г. - 8466, в 1944 г. - 8429, в 1945 г.-7362.</w:t>
      </w:r>
      <w:r w:rsidRPr="00640820">
        <w:rPr>
          <w:rFonts w:ascii="Times New Roman" w:hAnsi="Times New Roman"/>
          <w:color w:val="000000" w:themeColor="text1"/>
          <w:sz w:val="16"/>
          <w:szCs w:val="16"/>
          <w:vertAlign w:val="superscript"/>
        </w:rPr>
        <w:t>128</w:t>
      </w:r>
    </w:p>
    <w:p w14:paraId="381D68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02.1942 г. на заводе организован опытный участок, представлявший собой часть пролета между корпусным и сборочным цехами, накрытый навесом. Имелся также испытательный участок (размещавшийся под открытым небом до 1950-х  г.). Впервые в мире на заводе была внедрена полуавтоматическая сварка броневой стали под флюсом (к 11.1942 г. работало 6 полуавтоматов), поточно-конвейерная сборка танков. В 05.1942 г. организован второй конвейер по сборке Т-34 (в начале 1944 г. он ликвидирован, а на его месте организовано башенное производство для Т-34-85). В составе завода (1943 г.)- цех № 130 по сборке Т-34 с конвейером, сдаточный цех № 150; отделы 520, 540. В 07.1944 г. отделу 520 поручена разработка 100-мм танковой пушки для Т-34.</w:t>
      </w:r>
    </w:p>
    <w:p w14:paraId="5B3F8B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9.11.1942 г. вышло постановление ГКО № 2491сс о восстановлении на УВЗ производства колес Гриффина, пост. ГКО № 2622 от 13.12.1942 г. оно отменено. 5.09.1943 г. вновь вышло постановление ГКО № 4048 об организации производства колес Гриффина и переносе производства ФАБ-100 на завод № 4. В соответствии с пост. ГКО № 4078 от 9.09.1943 г. завод освобожден от выпуска бронекорпусов самолетов. 20.08.1944 г. - постановление ГКО № 6408 о плане выпуска и поставок заводом колес Гриффина.</w:t>
      </w:r>
    </w:p>
    <w:p w14:paraId="2FD228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03.1943 г. часть личного состава и оборудования по выпуску М-13 переданы заводу № 183. В соответствии с распоряжением ГКО № 5498 от 28.03.1944 г. на завод в металлургические цеха временно переведено 1000 рабочих из Харькова и Мариуполя.</w:t>
      </w:r>
    </w:p>
    <w:p w14:paraId="2C67CB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годы войны на заводе № 183 им. Коминтерна действовало Главное КБ-34 - центр по работе над Т-34 и модификациям.</w:t>
      </w:r>
    </w:p>
    <w:p w14:paraId="24EE3F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 за годы войны выпущено более 30 тыс. единиц бронетанковой техники.</w:t>
      </w:r>
    </w:p>
    <w:p w14:paraId="63033F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435с от 12.11.1945 г. в распоряжение завода № 183 НКТП ( г. Нижний Тагил) передана территория ликвидированного завода № 120 НКАП.</w:t>
      </w:r>
    </w:p>
    <w:p w14:paraId="0EB110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После войны оборудование завода № 183 было реэвакуировано на старое место в Харьков, и вновь организован завод № 75, далее- Харьковский машиностроительный завод им. В.А. Малышева.</w:t>
      </w:r>
    </w:p>
    <w:p w14:paraId="39C092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возобновлено производство вагонов.</w:t>
      </w:r>
    </w:p>
    <w:p w14:paraId="2BB81D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05.1947 г. выпущены первые 20 Т-54 («объект 137»), в 1949 г. их производство остановлено из-за доработок конструкции. Цена Т-54 (1947 г.)- 326 тыс. руб. В 1954 г. выпущены первые 25 Т-54А.</w:t>
      </w:r>
    </w:p>
    <w:p w14:paraId="5154BA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28.10.1963 г. вышло распоряжение правительства № 2233-рс о выпуске с 10.1963 г. танков Т-62 с пушкой У5ТС.</w:t>
      </w:r>
    </w:p>
    <w:p w14:paraId="3A8459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принимал участие в разработке и изготовлении систем и оборудования для запуска КА и РН, в т.ч. «Энергия-Буран», проекте «Морской старт».</w:t>
      </w:r>
    </w:p>
    <w:p w14:paraId="027522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Единственный в России производитель танков (2004 г.). Крупнейший в России производитель вагонов (в 2004 г. выпустил 21.168 вагонов, более 60%). Всего на 2006 г. выпущено более 900 тыс. вагонов.</w:t>
      </w:r>
    </w:p>
    <w:p w14:paraId="62C6CC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7FACAD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предприятия (2004-06 г.): металлургический завод; механосборочный завод (27 цехов); вагоносборочный завод (И цехов, в т.ч. механообрабатывающий, сборочно-сварочный, котельный, малярно- сдаточный цех; инструментальный завод; завод нестадартизованного оборудования; экспериментальный цех вагоностроения; проектно-строительный комплекс. Имеется литейный цех № 4, кузнечный цех, корпус инженерных машин; криогенное производство.</w:t>
      </w:r>
    </w:p>
    <w:p w14:paraId="1E83E3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заводе действовали (2006 г.): Уральское КБ вагоностроения, Уральский научно-технологический комплекс, КБ сельскохозяйственной техники, Центр исследований и испытаний материалов.</w:t>
      </w:r>
    </w:p>
    <w:p w14:paraId="44BBF5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базе УВЗ в 2006 г. планировалось создание бронетанкового холдинга ОАО «НПО «Бронетанковая техника и артиллерия», в который должны войти 20 предприятий: УВЗ, ООО «ЧТЗ-Уралтрак», Завод № 9, Уралтрансмаш, УКБТМ, ОАО «Уральский научно-технологический комплекс», ОАО «Уралкриомаш», ОАО «УралНИТИ», КУЛЗ, ОАО «НПО «Электромашина», КБ транспортного машиностроения (Омск), НИИД, ЦНИИ материалов, ЦНИИ «Буревестник», ОАО «Муромское СКБ», Рубцовский машиностроительный завод, ОАО «Внедрение научных и инженерно-технических инноваций», ОАО «Спецмаш», ВНИИтрансмаш, Мотовилихинские заводы. В 08.2007 г. Указом Президента РФ ФГУП «ПО «УВЗ» преобразовано в ОАО «Научно-производственная корпорация (НПК) «УВЗ», в состав которой вошли 19 предприятий.</w:t>
      </w:r>
    </w:p>
    <w:p w14:paraId="79D471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контракту с Индией завод строил 300 танков Т-90 (на 06.2009 г. выбущено более 100) и 1000 комплектов для сборки в Индии.</w:t>
      </w:r>
    </w:p>
    <w:p w14:paraId="661A22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2006 г. выпущено около 17 тыс. единиц подвижного состава для ж/д, в 2008 г. - около 20 тыс. В 02.2009 г. приостановлено вагонное производство завода.</w:t>
      </w:r>
    </w:p>
    <w:p w14:paraId="139F51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Общая производственная площадь (ВОВ)- 312 тыс.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61F90F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(2006 г.)- более 30 тыс. чел.</w:t>
      </w:r>
    </w:p>
    <w:p w14:paraId="2ACE9C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(1914 г.)- С. Палашковский, (09.1933-03.1937; 11.01-26.07.1938 г.)- И.П. Бондаренко (снят); и.о. (07.1937 г.-)- Лящ, (08.1938 г.)- Парфенов; (27.10.1938-41 г.-)- Ю.Е. Максарев, С.А. Скачков. Гендиректор (07.1997- 10.04.2009 г.)- Н.А. Малых, (16.04.2009 г.-)- О.В. Сиенко.</w:t>
      </w:r>
    </w:p>
    <w:p w14:paraId="5353EC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строительства (11.1937 г.)- Лобойченко. Зам. директора (8.05.1937-11.04.1938 г.)- Ф.И. Лящ (снят), (25.09.1941 г.-)- М. Кривич. Зам. гендиректора: по маркетингу и сбыту (-2006-07 г.-)- С.П. Колосок; (2007 г.)- Б. Минеев, (2009 г.)- В. Щелоков. Помощник директора: (1920-е)- Гордиенко; по найму и увольнению (8.10.1937 г.-)- А.Д. Фирсов, (-27.03.1938 г.)- Я.Л. Лазарев-Мильдон.</w:t>
      </w:r>
    </w:p>
    <w:p w14:paraId="559CEC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Коммерческий директор (2010 г.)- А. Шленский.</w:t>
      </w:r>
    </w:p>
    <w:p w14:paraId="002099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(8.05.1937-11.04.1938 г.)- Ф.И. Лящ, (25.09.1941 г.-)- В. Ниценко, (2003 г.)- В. Шишков.</w:t>
      </w:r>
    </w:p>
    <w:p w14:paraId="7DA282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инженера (1928 г.)- М. Андриянов.</w:t>
      </w:r>
    </w:p>
    <w:p w14:paraId="5E71CF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(-1939-09.1940 г.)- М.И. Кошкин, (1940 г.-)- А.А. Морозов.</w:t>
      </w:r>
    </w:p>
    <w:p w14:paraId="4F2538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технолог (1932 г.-)- К. Церевицкий. Гл. энергетик (1937-44 г.)- А.И. Чурин.</w:t>
      </w:r>
    </w:p>
    <w:p w14:paraId="61E340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Руководитель управления по связям с общественностью (2006 г.)- Б. Минеев.</w:t>
      </w:r>
    </w:p>
    <w:p w14:paraId="661F24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цехов: механического (03.1937 г.)- П.А. Бобров.</w:t>
      </w:r>
    </w:p>
    <w:p w14:paraId="53C065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начальника цеха: тракторного (1928 г.)- В. Дудка.</w:t>
      </w:r>
    </w:p>
    <w:p w14:paraId="16FB38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Т2 (1931 г.)- Тоскин, (1932-03.1937 г.-)- Л. Зайчик; 400 (14.07.1937-02.1938 г.-)- Т.П. Чупахин; опытного (1932 г.-)- А. Кулик; ОТК (1932 г.-)- С, Махонин; снабжения (-1937 г.)- Л. Г. Гольденфарб (репрессирован), (1938 г.)- Шульман; бюро финансового управления (2006 г.)- М. Курашова.</w:t>
      </w:r>
    </w:p>
    <w:p w14:paraId="3EA704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дизельного отдела (14.07.1937 г.-)- К.Ф. Челпан; зам. гл. технолога дизельного отдела (07.1937 г.-)- Поддубный.</w:t>
      </w:r>
    </w:p>
    <w:p w14:paraId="2858B0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Заведующие бюро: курортным (-1937 г.)- Барков.</w:t>
      </w:r>
    </w:p>
    <w:p w14:paraId="6D7B03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паровые котлы: для линкора «Императрица Мария» (1913), Ярроу для крейсеров (1914)- 14; паровые шпили, лебедки и рулевые машины для 20 десантных кораблей типа «эльпидифор» (1917); дизели типа Зульцер 715 л.с. для грузопассажирских теплоходов типа «Дельфин» (1928), для сухогрузов типа «Ногин» (1930- е), мотор КИН для катеров (1938); танки: Т-24 (1930-31)- 25, Т-35 (1933-39)- 4; БТ-2 (1931-33-)- 396 (1932), 224 (1933), БТ-5 (1933-), БТ-7 (1936-38)- всего более 8000; БТ-7М (А-8, 12.1939-09.1940), БТ-8 (1938), БТ-20 (1938), Т- 34 (1940-45)- 31.496,</w:t>
      </w:r>
      <w:r w:rsidRPr="00640820">
        <w:rPr>
          <w:rFonts w:ascii="Times New Roman" w:hAnsi="Times New Roman"/>
          <w:color w:val="000000" w:themeColor="text1"/>
          <w:sz w:val="16"/>
          <w:szCs w:val="16"/>
          <w:vertAlign w:val="superscript"/>
        </w:rPr>
        <w:t>128</w:t>
      </w:r>
      <w:r w:rsidRPr="00640820">
        <w:rPr>
          <w:rFonts w:ascii="Times New Roman" w:hAnsi="Times New Roman"/>
          <w:color w:val="000000" w:themeColor="text1"/>
          <w:sz w:val="16"/>
          <w:szCs w:val="16"/>
        </w:rPr>
        <w:t xml:space="preserve"> Т-44 (1944-45)- 8, Т-54 («объект 137», 1947-49)- 54 (1949), Т-54А (1954-)- 25 (1954), Т-55, Т-62 (1963), Т-72 (-1985-)- всего 7000, Т-90 (1993-), Т-90С (2004); машины: «А», «Е» (1938), мостоукладчики МТУ-1, МТУ-72 (2005), разграждения ИМР-2, БМР-3, ремонтно-эвакуационная БРЭМ-1, траншейная БТМ-4М (2004), БМПТ; цилиндры авиационного мотора М-85 (1937); коленвалы и муфты «Бамаг» для судовых дизелей (1937); бронекорпуса для Ил-2, корпуса авиабомб, детали для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 xml:space="preserve"> М-8, М-13 (1942); паровозы (1938); вагоны (полувагоны, хопперы, платформы, цистерны) (2004); криогенные железнодорожные системы и цистерны, пожарная автоцистерна АЦ-40; тракторы: «Коммунар» (1930-е), универсально-пропашной РТМ-160 (2006) (11982).</w:t>
      </w:r>
    </w:p>
    <w:p w14:paraId="233D12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90255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 1941 на Адмиралтейском заводе начат текущий ремонт ТЩ "Касатка", "Воронин", "Пикша", "Фурманов"; завершен 19 ноября. Сданы флоту два ТК типа Д-3 (10671).</w:t>
      </w:r>
    </w:p>
    <w:p w14:paraId="699639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3225037"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166C1BC2"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C71A9C8"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 1941 УТРЕННЕЕ СООБЩЕНИЕ Совинформбюро:</w:t>
      </w:r>
    </w:p>
    <w:p w14:paraId="3F8B425C"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ночь на 12 сентября наши войска вели бои с противником на всём фронте. </w:t>
      </w:r>
    </w:p>
    <w:p w14:paraId="5C7DA20E"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Рано утром 8 сентября старший лейтенант Осипов, лётчик авиасоединения Героя Советского Союза полковника Торопчина, действующего на подступах к Ленинграду, обнаружил на вражеском аэродроме 50 фашистских «Юнкерсов-87» и «Мессершмит-тов-109». В 10 часов утра группа наших самолётов произвела внезапный налёт на этот аэродром и атаковала находившиеся на нём вражеские машины. Прямым попаданием бомб и пулемётным огнём советские лётчики уничтожили 22 фашистских самолёта. В 13 часов на вражеский аэродром налетела группа самолётов части майора Благовещенского. От сброшенных бомб на аэродроме возник огромный пожар. Горели самолёты, цистерны с горючим и жилые помещения. </w:t>
      </w:r>
    </w:p>
    <w:p w14:paraId="5ABEDCBC"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тот же день лётчики авиачасти уничтожили 50 вражеских автомашин и несколько зенитных орудий. В воздушных боях на подступах к Ленинграду исключительное мужество и отвагу проявил в этот день лётчик старший лейтенант Гавринец. Атаковав труппу вражеских самолётов, он сбил один «Мессершмитт», а затем ринулся на другой фашистский истребитель. Настигнув немецкий самолёт, тов. Гавринец протаранил его. Фашистский самолёт камнем упал на землю. Тов. Гавринец остался невредим. </w:t>
      </w:r>
    </w:p>
    <w:p w14:paraId="6726F67B"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первого дня войны артиллерийский полк майора Диденко мужественно сражается против немецко-фашистских полчищ. Сейчас бойцы полка отражают все попытки врага форсировать Днепр. Только за один день боевых действий артиллеристы полка уничтожили несколько батарей противника, колонну мотопехоты и эшелон грузовых машин, потопили три вражеских катера с солдатами и 12 станковыми пулемётами. Наводчик Ларин из батареи тов. Чугуева уничтожил три фашистских орудия. С первых выстрелов тов. Ларина немецкие артиллеристы бросились в лес. Вскоре к подбитым орудиям направились немецкие тракторы-тягачи. Двумя залпами тягачи были также разгромлены. 5 сентября на нашу пехоту, шедшую под прикрытием батареи Чугуева, напали 6 немецких танков. Укрывшись за железнодорожной насыпью, они открыли огонь по пехоте. Наша батарея подбила четыре вражеские машины, остальные танки обратились в бегство. </w:t>
      </w:r>
    </w:p>
    <w:p w14:paraId="5CCAB2E2"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Гдовские партизаны своими решительными действиями дезорганизуют вражеский тыл и беспощадно истребляют живую силу противника. На протяжении последних трёх недель немцы не могут наладить телефонно-телеграфную связь Гдова с Псковом и штабами войсковых соединений и частей, находящихся на линии фронта. 3 сентября партизанский отряд под командованием рабочего Гдовской спичечной фабрики тов. Б. оборвал провода в лесу между Подолешье и Добручи. Через некоторое время к этому месту приехал моторизованный отряд германских связистов и начал восстанавливать связь. Партизаны неожиданно открыли по фашистам огонь и убили 12 немецких связистов. Уничтожив две автомашины и четыре мотоцикла, партизаны утопили в болоте провода и инструменты немецких связистов. </w:t>
      </w:r>
    </w:p>
    <w:p w14:paraId="673D7F03"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Неподалёку от деревни Великий Лог бойцы партизанского отряда под командованием члена правления колхоза тов. О. перехватили две германские штабные автомашины. Перебив 8 немецких офицеров, партизаны сожгли машины. 7 сентября крестьяне сообщили партизанам, что в деревне Черемшина бывший кулак связался с фашистскими офицерами и выдаёт колхозный актив. В тот же день партизанский отряд совершил нападение на деревню Черемшина. Немецкие солдаты были захвачены врасплох и уничтожены. Партизаны арестовали предателя, вывели на площадь и устроили над ним открытый суд. Единогласным решением бойцов партизанского отряда и всех присутствующих колхозников и единоличников предатель был приговорён к расстрелу. Приговор был тут же приведён в исполнение. </w:t>
      </w:r>
    </w:p>
    <w:p w14:paraId="3D3E7A0B"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В четырёх километрах восточнее деревни Афанасово партизанский отряд под командованием заведующей свинофермой Анны С. захватил 18 немецких повозок. Перебив всех возчиков и солдат охраны, партизаны спрятали в лесу более ста ящиков с консервами, индивидуальными пакетами и другими медикаментами. </w:t>
      </w:r>
    </w:p>
    <w:p w14:paraId="20DCDDAD"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Норвежские патриоты усиливают борьбу с фашистскими захватчиками. Севернее Эгерсунда немцы в течение лета построили подземный аэродром, склад с горючим и боеприпасами и установили замаскированные зенитные батареи. В первых числах сентября на аэродром и батарею немцев совершила нападение большая группа норвежских патриотов. Немцы тщательно скрывают факт нападения на их секретный объект. Однако известно, что в результате нападения взорван склад с боеприпасами, значительно повреждён аэродром и уничтожено 7 бомбардировщиков. Четыре зенитных орудия разбиты. Во время взрыва склада погибло много солдат и офицеров. </w:t>
      </w:r>
    </w:p>
    <w:p w14:paraId="5430FBFB"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железнодорожном перегоне Ставангер-Саннес в результате диверсии произошло крушение товарного поезда, в котором находились военные грузы для фашистских гарнизонов в Мей и Флеккефиорде. Разбито много ящиков, в которых оказались запасные части для самолётов и оружие. Значительное количество запасных частей было уничтожено до прибытия отряда жандармов. </w:t>
      </w:r>
    </w:p>
    <w:p w14:paraId="763FA69E"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огромным патриотическим подъёмом отдают свои силы делу беспощадной борьбы с фашистскими варварами работники советского искусства. Многие из них в рядах Красной Армии борются с ненавистным врагом. Многие работники искусств обслуживают фронт. Ленинградские работники искусств организовали для Красной Армии и Флота 3.500 концертов и больше 110 выездных спектаклей на фронте. Артисты Москвы и Московской области дали больше 3.800 концертов. В концертах для бойцов участвуют народные артисты СССР т.т. Барсова, Козловский, Рейзен, Пирогов, Михайлов, народные артисты республики т.т. Турчанинова, Ливанов, Гоголева, Топорков и сотни молодых актёров. На днях из действующей армии вернулась одна из московских бригад во главе с заслуженным артистом РСФСР В. Хенкиным. За 15 дней пребывания на фронте эта бригада выступила в 50 концертах. Успешно обслуживает бойцов и командиров Красной Армии Киевский театр эстрады и миниатюр. </w:t>
      </w:r>
    </w:p>
    <w:p w14:paraId="02E804D2"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Композиторы Советского Союза дали для фронта много новых песен и маршей. Композитор А. Хачатурян написал «Песню о капитане Гастелло». Большое произведение-ораторию «Народная священная война» создал Мариан Коваль. Балладу «Отец и сын», воспевающую героизм и беззаветную преданность советских людей своей великой родине, написал Вано Мурадели. Народный артист СССР Глиэр написал марш «Красная Армия». Несколько оборонных песен создал лауреат Сталинской премии Н. Я. Мясковский. </w:t>
      </w:r>
    </w:p>
    <w:p w14:paraId="1A0DA4DD" w14:textId="77777777" w:rsidR="002E395B" w:rsidRPr="00640820" w:rsidRDefault="002E395B" w:rsidP="00640820">
      <w:pPr>
        <w:spacing w:after="0" w:line="240" w:lineRule="auto"/>
        <w:jc w:val="both"/>
        <w:rPr>
          <w:rFonts w:ascii="Times New Roman" w:hAnsi="Times New Roman"/>
          <w:color w:val="000000" w:themeColor="text1"/>
          <w:sz w:val="16"/>
          <w:szCs w:val="16"/>
        </w:rPr>
      </w:pPr>
    </w:p>
    <w:p w14:paraId="187A6B16"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 1941 ВЕЧЕРНЕЕ СООБЩЕНИЕ Совинформбюро</w:t>
      </w:r>
    </w:p>
    <w:p w14:paraId="2B6AE956"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течение 12 сентября наши войска вели бои с противником на всём фронте. После упорных боёв наши войска оставили город Чернигов. </w:t>
      </w:r>
    </w:p>
    <w:p w14:paraId="3F864084"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 10 сентября в воздушных боях и на аэродромах противника уничтожено 53 немецких самолёта. Наши потери — 32 самолёта. </w:t>
      </w:r>
    </w:p>
    <w:p w14:paraId="1C65CB3E"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течение 11 сентября немецко-фашистская авиация неоднократно пыталась произвести налёт на Ленинград, но каждый раз отгонялась нашей авиацией и огнём зенитной артиллерии. Около 11 часов вечера одиночные самолёты противника на большой высоте прорвались к городу и сбросили зажигательные, а также фугасные божбы. Несколько возникших пожаров жилых зданий было ликвидировано. </w:t>
      </w:r>
    </w:p>
    <w:p w14:paraId="0832C159"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Нашей авиацией и зенитной артиллерией в воздушных боях на подступах к Ленинграду и над городом за 11 сентября, по неполным данным, уничтожено 11 немецких самолётов. </w:t>
      </w:r>
    </w:p>
    <w:p w14:paraId="1E30332C"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Финском заливе наши бронекатеры 10 сентября потопили несколько немецких катеров и две баржи с фашистской пехотой. Вражеские корабли пытались ночью скрытно подойти к нашему берегу и высадить десант. Советские моряки расстроили их планы. На полном ходу бронекатеры лейтенантов Еськова и Тунгускова начали таранить неприятельские корабли. Советские моряки потопили один за другим четыре немецких катера. Не слыша выстрелов, немцы вслед за катерами послали две баржи с буксирами. Наши командиры решили, не открывая огня, снова итти на таран. Бронекатеры нанесли мощные удары по буксирам, а затем по баржам. Получив пробоины, баржи быстро затонули. На дне Финского залива нашли себе могилу несколько сотен фашистских солдат и офицеров. </w:t>
      </w:r>
    </w:p>
    <w:p w14:paraId="3A27EF88"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Группа наших бойцов во главе с сержантом Востряковым проникла в тыл германских войск и атаковала полковую радиостанцию врага. Смелые разведчики перебили до 20 немецких солдат, захватили документы и уничтожили всю аппаратуру станции. На обратном пути красноармейцы обнаружили в глубокой лощине немецкую походную мастерскую по ремонту танков и автомашин. Около мастерской стояли пять отремонтированных танков и 11 автомашин. Отважные бойцы окружили лощину и внезапно напали на ремонтную бригаду. Уничтожив более 30 немецких солдат и всё оборудование мастерской, красноармейцы подожгли танки и автомашины. </w:t>
      </w:r>
    </w:p>
    <w:p w14:paraId="291D185D"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Миномётная батарея младшего лейтенанта Груздева трижды разрушала мощным огнём переправу немцев через реку Днепр. Сапёрный батальон фашистов потерял около 100 солдат убитыми и ранеными. В четвёртый раз фашисты начали строить переправу под прикрытием огня нескольких батарей. Немцы непрерывно обстреливали район, где находились миномётчики. Но наша батарея не отвечала до тех пор, пока немцы не подтянули к берегу крупные пехотные части. Когда к реке подошли немецкие солдаты, на переправу посыпались мины. В течение короткого времени были разрушены десятки понтонных лодок и убито до 300 немцев. В разгроме вражеских переправ особенно отличились младшие сержанты Наумов и Егоршин и сержант Гусков. </w:t>
      </w:r>
    </w:p>
    <w:p w14:paraId="5C3C6719"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Бойцы партизанского отряда под командованием инженера-строителя тов. Ю. перехватили на шоссейной дороге в районе Борки немецкого мотоциклиста с донесением от германского капитана Котлера командованию армейской группы. Капитан Котлер пишет: «В зоне Кличева, Бацевич, Выжар, Чигиринки и в прилегающих к ним районах действует по меньшей мере 32 партизанских отряда и группы. За вторую половину августа и в первые дни сентября зарегистрировано 186 случаев убийств наших офицеров, чиновников и солдат. Кроме того, в боях с партизанскими отрядами убито и ранено 217 солдат и 8 офицеров. Поджоги военных и продовольственных складов не прекращаются. За последние дни было три крупных пожара в Выжаре, Кличеве и Бацевичах. Население упорно скрывает местонахождение партизанских отрядов. Видимо, многие из мирных жителей состоят в партизанских отрядах». </w:t>
      </w:r>
    </w:p>
    <w:p w14:paraId="144C1695"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Распоясавшиеся озверелые фашисты чинят расправу над мирным населением в захваченных украинских районах. В районном центре Ржищев, Киевской области, немцы расстреляли сотрудника районного отдела связи Андрея Бедренко и заведующего базой райпотребсоюза Николая Гордиенко. Затем фашисты забрали 25 девушек и под конвоем отправили в неизвестном направлении. В сёлах Стайки и Грибени, Ржищевстого района, немцы устроили повальный грабёж, сопровождавшийся насилием и убийствами. В селе Стритовка фашисты по указке назначенного ими старосты — кулака Владимира Борозенец арестовали и расстреляли 12 крестьян и советских служащих. </w:t>
      </w:r>
    </w:p>
    <w:p w14:paraId="460B0634"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городе Пятихатка, Днепропетровской области, немцы согнали всё оставшееся население на принудительные работы по ремонту дорог. Фашисты заставляют работать по 20 часов в сутки. Люди содержатся под открытым небом за проволочными заграждениями и не получают ни хлеба, ни воды. Лишь изредка в лагерь привозят гнилые помидоры. Старики и женщины падают от истощения, но фашисты избивают их прикладами и заставляют работать. Из Ново-Украинки немцы увезли неизвестно куда 100 местных жителей. В Александровске немецкий офицер схватил на улице 22-летнюю учительницу неполной средней школы Анну Якименко и потащил её к себе в квартиру. Тов. Якименко оказала насильнику сопротивление. Тогда фашист тут же на улице застрелил её. </w:t>
      </w:r>
    </w:p>
    <w:p w14:paraId="2FF9DBF2"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Работники промышленности цветных металлов с каждым днём увеличивают добычу меди, олова, цинка и свинца, помогая Красной Армии громить гитлеровские полчища. Трест «Красноуралмедьруда», Дегтярское рудоуправление и шахта имени XV годовщины Октября значительно перевыполнили программу августа и первых дней сентября. Конверторный мастер Карсакпайского медеплавильного завода в Казахстане т. Сейтепов освоил скоростные тяжеловесные плавки меди, перекрыл проектную мощность конверторов на 15 процентов и сократил процесс плавки на один час. Много тонн свинцовой руды сверх плана дают горняки Ачисайского рудника. С небывалым подъёмом работают стахановцы Орского никелевого комбината. Рабочие гидрометаллургического цеха тт. Корякин и Тюрин выполняют две нормы, т. Шичев — три нормы в день. Агломератчики тт. Сергеев и Додонов на двух агрегатах вырабатывают программу, установленную для трёх агрегатов. Бригады слесарей плавильного цеха тт. Липатова и Сазонова закончили за 32 часа работу, на которую раньше затрачивалось 8—12 суток.</w:t>
      </w:r>
    </w:p>
    <w:p w14:paraId="1F77B1B3"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сентябряв 1941 году немецкие войска занимают Петергоф и Царское Село (14767).</w:t>
      </w:r>
    </w:p>
    <w:p w14:paraId="4DE8F140" w14:textId="77777777" w:rsidR="002E395B" w:rsidRPr="00640820" w:rsidRDefault="002E395B" w:rsidP="00640820">
      <w:pPr>
        <w:spacing w:after="0" w:line="240" w:lineRule="auto"/>
        <w:jc w:val="both"/>
        <w:rPr>
          <w:rFonts w:ascii="Times New Roman" w:hAnsi="Times New Roman"/>
          <w:color w:val="000000" w:themeColor="text1"/>
          <w:sz w:val="16"/>
          <w:szCs w:val="16"/>
        </w:rPr>
      </w:pPr>
    </w:p>
    <w:p w14:paraId="7C7BFA30"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сентябряв 1941 году из сводки Совинформбюро: «В течение 12 сентября наши войска вели бои с противником на всем фронте. После упорных боев наши войска оставили город Чернигов» (14767).</w:t>
      </w:r>
    </w:p>
    <w:p w14:paraId="3B3A10C1" w14:textId="77777777" w:rsidR="002E395B" w:rsidRPr="00640820" w:rsidRDefault="002E395B" w:rsidP="00640820">
      <w:pPr>
        <w:spacing w:after="0" w:line="240" w:lineRule="auto"/>
        <w:jc w:val="both"/>
        <w:rPr>
          <w:rFonts w:ascii="Times New Roman" w:hAnsi="Times New Roman"/>
          <w:color w:val="000000" w:themeColor="text1"/>
          <w:sz w:val="16"/>
          <w:szCs w:val="16"/>
        </w:rPr>
      </w:pPr>
    </w:p>
    <w:p w14:paraId="3DA185C5" w14:textId="77777777" w:rsidR="00DA0F14" w:rsidRPr="00640820" w:rsidRDefault="00DA0F1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сентябряв 1941 году войска 1-й немецкой танковой группы, развернув наступление с кременчугского плацдарма, прорвали фронт обороны советских войск. Советские войска отошли к Перекопу (14767).</w:t>
      </w:r>
    </w:p>
    <w:p w14:paraId="78959F3E" w14:textId="77777777" w:rsidR="00DA0F14" w:rsidRPr="00640820" w:rsidRDefault="00DA0F14" w:rsidP="00640820">
      <w:pPr>
        <w:spacing w:after="0" w:line="240" w:lineRule="auto"/>
        <w:jc w:val="both"/>
        <w:rPr>
          <w:rFonts w:ascii="Times New Roman" w:hAnsi="Times New Roman"/>
          <w:color w:val="000000" w:themeColor="text1"/>
          <w:sz w:val="16"/>
          <w:szCs w:val="16"/>
        </w:rPr>
      </w:pPr>
    </w:p>
    <w:p w14:paraId="1F0B1512" w14:textId="77777777" w:rsidR="00DE7CDD" w:rsidRPr="00640820" w:rsidRDefault="00DE7CD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 1941. Сталин разослал всем фронтам телеграмму: "В каждой стрелковой дивизии иметь заградительный отряд из надежных бойцов численностью не более батальона (в расчете по одной роте на стрелковый полк), с задачей приостановки бегства одержимых паникой военнослужащих, не останавливаясь перед применением оружия" (18697).</w:t>
      </w:r>
    </w:p>
    <w:p w14:paraId="07341DA6" w14:textId="77777777" w:rsidR="00DE7CDD" w:rsidRPr="00640820" w:rsidRDefault="00DE7CDD" w:rsidP="00640820">
      <w:pPr>
        <w:spacing w:after="0" w:line="240" w:lineRule="auto"/>
        <w:jc w:val="both"/>
        <w:rPr>
          <w:rFonts w:ascii="Times New Roman" w:hAnsi="Times New Roman"/>
          <w:color w:val="000000" w:themeColor="text1"/>
          <w:sz w:val="16"/>
          <w:szCs w:val="16"/>
        </w:rPr>
      </w:pPr>
    </w:p>
    <w:p w14:paraId="75620F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 1941 г. при действии по автомашинам и танкам противника в районе г. Холм на Ил-2 майора Шуста из 62-го шап над целью прямым попаданием зенитного снаряда был разбит бомболюк и кассета мелких бомб. Бомбы начали рваться в самолете. Майор Шуст сразу же сбросил остатки бомб. Разрывами своих бомб «был сильно поврежден центроплан, разбиты все нервюры, вертикальная жесткость лонжеронов, весь силовой набор центроплана». Система аварийного выпуска шасси в результате повреждений вышла из строя. Тем не менее самолет был приведен на свой аэродром, где и произведена благополучная посадка на фюзеляж (11921).</w:t>
      </w:r>
    </w:p>
    <w:p w14:paraId="4DE8ED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BFF1B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12 сентября 1941 немцы передали финнам 6 ДБ-3, захваченных при наступлении, в дополнение к 2 оставшимся от 5, захваченных в финской войне. Всего финны летали на 11 ДБ-3 (1727,20).</w:t>
      </w:r>
    </w:p>
    <w:p w14:paraId="04E196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D4EBB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 1941 Гитлер запретил фельдмаршалу Леебу брать Ленинград и приказал его только блокировать, а основными силами прорваться через войска маршала Кулика на Тихвин и дальше вокруг Ладоги на соединение с финнами. Таким образом Кулик прорывался к Ленинграду, одновременно отражая атаки основных сил Лееба, а Жуков, которого немцы после 12 сентября вообще не атаковали, организовать прорыв со стороны Ленинграда оказался неспособен (3573).</w:t>
      </w:r>
    </w:p>
    <w:p w14:paraId="307BB6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50AA6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lang w:val="en-US"/>
        </w:rPr>
        <w:t xml:space="preserve">September 12 1941 The first snow slows the Wehrmarcht's advance. </w:t>
      </w:r>
      <w:r w:rsidRPr="00640820">
        <w:rPr>
          <w:rFonts w:ascii="Times New Roman" w:hAnsi="Times New Roman"/>
          <w:color w:val="000000" w:themeColor="text1"/>
          <w:sz w:val="16"/>
          <w:szCs w:val="16"/>
        </w:rPr>
        <w:t>(1052).</w:t>
      </w:r>
    </w:p>
    <w:p w14:paraId="54A888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07DC8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 1941 первый выпавший снег замедлил немецкое наступление (1052).</w:t>
      </w:r>
    </w:p>
    <w:p w14:paraId="54722A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AC4B6DA" w14:textId="77777777" w:rsidR="00DA0F14" w:rsidRPr="00640820" w:rsidRDefault="00DA0F1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сентябряв 1941 году немецкие войска, беспрепятственно форсировав Днепр в нижнем течении, полностью блокировали Крым с суши (14767).</w:t>
      </w:r>
    </w:p>
    <w:p w14:paraId="27A79985" w14:textId="77777777" w:rsidR="00DA0F14" w:rsidRPr="00640820" w:rsidRDefault="00DA0F14" w:rsidP="00640820">
      <w:pPr>
        <w:spacing w:after="0" w:line="240" w:lineRule="auto"/>
        <w:jc w:val="both"/>
        <w:rPr>
          <w:rFonts w:ascii="Times New Roman" w:hAnsi="Times New Roman"/>
          <w:color w:val="000000" w:themeColor="text1"/>
          <w:sz w:val="16"/>
          <w:szCs w:val="16"/>
        </w:rPr>
      </w:pPr>
    </w:p>
    <w:p w14:paraId="63B9525D" w14:textId="77777777" w:rsidR="00DA0F14" w:rsidRPr="00640820" w:rsidRDefault="00DA0F14"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 1941 состоялся первый женский таран в районе Сумы Е.И.Зеленко таранила истребитель (108,37) на Су-2</w:t>
      </w:r>
    </w:p>
    <w:p w14:paraId="5799ABD3" w14:textId="77777777" w:rsidR="00DA0F14" w:rsidRPr="00640820" w:rsidRDefault="00DA0F14"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Савин считает, что - брехня.</w:t>
      </w:r>
    </w:p>
    <w:p w14:paraId="3D61A906" w14:textId="77777777" w:rsidR="00DA0F14" w:rsidRPr="00640820" w:rsidRDefault="00DA0F14"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 1941 звено ДБ-3Ф во главе с И.Я.Гарбузом перевели с Балтики на СФ, но имели только высотные торпеды и за первый год войны использовали 13 в основном в районе Варангер фиорда, из которых ни одна не попала (561,16).</w:t>
      </w:r>
    </w:p>
    <w:p w14:paraId="669E302E" w14:textId="77777777" w:rsidR="00DA0F14" w:rsidRPr="00640820" w:rsidRDefault="00DA0F14" w:rsidP="00640820">
      <w:pPr>
        <w:autoSpaceDE w:val="0"/>
        <w:autoSpaceDN w:val="0"/>
        <w:adjustRightInd w:val="0"/>
        <w:spacing w:after="0" w:line="240" w:lineRule="auto"/>
        <w:jc w:val="both"/>
        <w:rPr>
          <w:rFonts w:ascii="Times New Roman" w:hAnsi="Times New Roman"/>
          <w:color w:val="000000" w:themeColor="text1"/>
          <w:sz w:val="16"/>
          <w:szCs w:val="16"/>
        </w:rPr>
      </w:pPr>
    </w:p>
    <w:p w14:paraId="5DAB4F38" w14:textId="77777777" w:rsidR="00DA0F14" w:rsidRPr="00640820" w:rsidRDefault="00DA0F14"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 1941 Екатерина И. Зеленко на Су-2 135 ббап отправилась на разведку и провела бой с 6 Ме-109. Якобы приказала ш прыгать, сбила один и сделала таран, который видели жители с Анастасьевки, которые нашли ее в кабине убитую (3548).</w:t>
      </w:r>
    </w:p>
    <w:p w14:paraId="100AF083" w14:textId="77777777" w:rsidR="00DA0F14" w:rsidRPr="00640820" w:rsidRDefault="00DA0F14" w:rsidP="00640820">
      <w:pPr>
        <w:autoSpaceDE w:val="0"/>
        <w:autoSpaceDN w:val="0"/>
        <w:adjustRightInd w:val="0"/>
        <w:spacing w:after="0" w:line="240" w:lineRule="auto"/>
        <w:jc w:val="both"/>
        <w:rPr>
          <w:rFonts w:ascii="Times New Roman" w:hAnsi="Times New Roman"/>
          <w:color w:val="000000" w:themeColor="text1"/>
          <w:sz w:val="16"/>
          <w:szCs w:val="16"/>
        </w:rPr>
      </w:pPr>
    </w:p>
    <w:p w14:paraId="0EB98AEA" w14:textId="77777777" w:rsidR="00DA0F14" w:rsidRPr="00640820" w:rsidRDefault="00DA0F1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сентябряв 1941 году единственный в мире воздушный таран совершённый женщиной. Заместитель командира 5-й эскадрильи 135-го бомбардировочного авиационного полка 16-й смешанной авиационной дивизии 6-й армии Юго-Западного фронта старший лейтенант Екатерина Ивановна Зеленко в своем последнем бою на Су-2 сбила два "Me-109", получив ранение, приказала штурману прыгать, а, когда кончился боекомплект, протаранила третий самолет противника ("Me-109"). и погибла.</w:t>
      </w:r>
    </w:p>
    <w:p w14:paraId="7F12E4C2" w14:textId="77777777" w:rsidR="00DA0F14" w:rsidRPr="00640820" w:rsidRDefault="00DA0F1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Звание Героя Советского Союза Екатерине Ивановне Зеленко присвоено посмертно Указом Президента СССР 5 мая 1990 года (14767).</w:t>
      </w:r>
    </w:p>
    <w:p w14:paraId="12DED7B2" w14:textId="77777777" w:rsidR="00DA0F14" w:rsidRPr="00640820" w:rsidRDefault="00DA0F14" w:rsidP="00640820">
      <w:pPr>
        <w:spacing w:after="0" w:line="240" w:lineRule="auto"/>
        <w:jc w:val="both"/>
        <w:rPr>
          <w:rFonts w:ascii="Times New Roman" w:hAnsi="Times New Roman"/>
          <w:color w:val="000000" w:themeColor="text1"/>
          <w:sz w:val="16"/>
          <w:szCs w:val="16"/>
        </w:rPr>
      </w:pPr>
    </w:p>
    <w:p w14:paraId="0A058CD4" w14:textId="77777777" w:rsidR="00DA0F14" w:rsidRPr="00640820" w:rsidRDefault="00DA0F14" w:rsidP="00640820">
      <w:pPr>
        <w:spacing w:after="0" w:line="240" w:lineRule="auto"/>
        <w:jc w:val="both"/>
        <w:rPr>
          <w:rStyle w:val="ucoz-forum-post"/>
          <w:rFonts w:ascii="Times New Roman" w:eastAsia="Times New Roman" w:hAnsi="Times New Roman"/>
          <w:color w:val="000000" w:themeColor="text1"/>
          <w:sz w:val="16"/>
          <w:szCs w:val="16"/>
        </w:rPr>
      </w:pPr>
      <w:r w:rsidRPr="00640820">
        <w:rPr>
          <w:rFonts w:ascii="Times New Roman" w:hAnsi="Times New Roman"/>
          <w:color w:val="000000" w:themeColor="text1"/>
          <w:sz w:val="16"/>
          <w:szCs w:val="16"/>
        </w:rPr>
        <w:t>12 сентября</w:t>
      </w:r>
      <w:r w:rsidRPr="00640820">
        <w:rPr>
          <w:rStyle w:val="ucoz-forum-post"/>
          <w:rFonts w:ascii="Times New Roman" w:eastAsia="Times New Roman" w:hAnsi="Times New Roman"/>
          <w:bCs/>
          <w:color w:val="000000" w:themeColor="text1"/>
          <w:sz w:val="16"/>
          <w:szCs w:val="16"/>
        </w:rPr>
        <w:t xml:space="preserve"> 1941 г.</w:t>
      </w:r>
      <w:r w:rsidRPr="00640820">
        <w:rPr>
          <w:rStyle w:val="ucoz-forum-post"/>
          <w:rFonts w:ascii="Times New Roman" w:eastAsia="Times New Roman" w:hAnsi="Times New Roman"/>
          <w:color w:val="000000" w:themeColor="text1"/>
          <w:sz w:val="16"/>
          <w:szCs w:val="16"/>
        </w:rPr>
        <w:t xml:space="preserve"> – единственный в мире воздушный таран женщины-лётчицы Е.И.Зеленко (на пикирующем бомбардировщике Су-2) (14767).</w:t>
      </w:r>
    </w:p>
    <w:p w14:paraId="11F8473B" w14:textId="77777777" w:rsidR="00DA0F14" w:rsidRPr="00640820" w:rsidRDefault="00DA0F14" w:rsidP="00640820">
      <w:pPr>
        <w:spacing w:after="0" w:line="240" w:lineRule="auto"/>
        <w:jc w:val="both"/>
        <w:rPr>
          <w:rStyle w:val="ucoz-forum-post"/>
          <w:rFonts w:ascii="Times New Roman" w:eastAsia="Times New Roman" w:hAnsi="Times New Roman"/>
          <w:color w:val="000000" w:themeColor="text1"/>
          <w:sz w:val="16"/>
          <w:szCs w:val="16"/>
        </w:rPr>
      </w:pPr>
    </w:p>
    <w:p w14:paraId="7CD16E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September 12, 1941: German forces in the Kremenchug bridgehead across the Dnepr in the Ukraine advance north to aid in the encirclement of Kiev (3819).</w:t>
      </w:r>
    </w:p>
    <w:p w14:paraId="0982B3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761FDE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 1941 немецкие части переправились через Днепр у Кременчуга для того, чтобы оказать содействие в окружении Киева с севера (3819).</w:t>
      </w:r>
    </w:p>
    <w:p w14:paraId="3F9B13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B3E735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 1941 Сталин издал приказ о создании заградотрядов для расстрела отступающих войск (4962).</w:t>
      </w:r>
    </w:p>
    <w:p w14:paraId="65DC8CF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1842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 1941 вышло Постановление ГКО № 662 О нормах продовольственного снабжения Красной Армии. РГАНИР, Фонд ГКО, д. 9, лл. 53-54, 55-80 (11012).</w:t>
      </w:r>
    </w:p>
    <w:p w14:paraId="12ADF5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6BDB4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 1941 вышло Постановление Государственного Комитета Обороны № 662 О нормах продовольственного снабжения Красной Армии:</w:t>
      </w:r>
    </w:p>
    <w:p w14:paraId="26CD88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Установить на военное время 4 категории красноармейского продовольственного пайка:</w:t>
      </w:r>
    </w:p>
    <w:p w14:paraId="35F08A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первая - для красноармейцев и начальствующего состава боевых частей действующей армии;</w:t>
      </w:r>
    </w:p>
    <w:p w14:paraId="680660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вторая - для красноармейцев и начальствующего состава тыла действующей армии;</w:t>
      </w:r>
    </w:p>
    <w:p w14:paraId="57A951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третья - для красноармейцев строевых и запасных частей, не входящих в состав действующей армии;</w:t>
      </w:r>
    </w:p>
    <w:p w14:paraId="15A0BC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четвертая - для красноармейцев караульных частей и красноармейцев тыловых организаций.</w:t>
      </w:r>
    </w:p>
    <w:p w14:paraId="527DCF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Установить на военное время 4 категории продовольственного пайка для летно-технического состава ВВС Красной Армии:</w:t>
      </w:r>
    </w:p>
    <w:p w14:paraId="3F8E73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первая - для боевого расчета экипажей самолетов действующей армии;</w:t>
      </w:r>
    </w:p>
    <w:p w14:paraId="56E4C9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вторая - для технического состава ВВС действующей армии;</w:t>
      </w:r>
    </w:p>
    <w:p w14:paraId="222387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третья - для боевых расчетов экипажей, не входящих в состав действующей армии, и летно-технического состава, находящегося на казарменном положении;</w:t>
      </w:r>
    </w:p>
    <w:p w14:paraId="481AC3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четвертая - для технического состава ВВС, не входящего в состав действующей армии.</w:t>
      </w:r>
    </w:p>
    <w:p w14:paraId="45C583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Утвердить курсантский, госпитальный, санаторный и сухой пайки.</w:t>
      </w:r>
    </w:p>
    <w:p w14:paraId="45577D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(один лист в деле отсутствует )</w:t>
      </w:r>
    </w:p>
    <w:p w14:paraId="4883B6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Среднему и высшему начальствующему составу действующей армии, кроме летного и технического, получающего летный паек, отпускать бесплатно фронтовой паек с добавлением в сутки на человека:</w:t>
      </w:r>
    </w:p>
    <w:p w14:paraId="000920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масла сливочного или сала - 40 г,</w:t>
      </w:r>
    </w:p>
    <w:p w14:paraId="79273D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печенья - 20 г,</w:t>
      </w:r>
    </w:p>
    <w:p w14:paraId="717004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рыбных консервов - 50 г,</w:t>
      </w:r>
    </w:p>
    <w:p w14:paraId="716349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папирос - 25 штук,</w:t>
      </w:r>
    </w:p>
    <w:p w14:paraId="091359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спичек (в месяц) - 10 коробок.</w:t>
      </w:r>
    </w:p>
    <w:p w14:paraId="4664F7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Установить на самолетах фронта на случай аварий и вынужденных посадок пищевой запас на 1 человека:</w:t>
      </w:r>
    </w:p>
    <w:p w14:paraId="2A6D45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молока сгущенного - 3 банки,</w:t>
      </w:r>
    </w:p>
    <w:p w14:paraId="3D172D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консервов мясных - 3 банки,</w:t>
      </w:r>
    </w:p>
    <w:p w14:paraId="3D4138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галет "Крекер" - 800 г,</w:t>
      </w:r>
    </w:p>
    <w:p w14:paraId="0A13B0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шоколада - 300 г,</w:t>
      </w:r>
    </w:p>
    <w:p w14:paraId="30689A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сахара - 400 г.</w:t>
      </w:r>
    </w:p>
    <w:p w14:paraId="380800FE" w14:textId="77777777" w:rsidR="002E395B"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И.СТАЛИН</w:t>
      </w:r>
    </w:p>
    <w:p w14:paraId="261AEB8A" w14:textId="77777777" w:rsidR="002E395B"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Приложение к постановлению ГКО №662 от 12.9.1941</w:t>
      </w:r>
    </w:p>
    <w:p w14:paraId="71CAC9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Норма №1 суточного довольствия красноармейцев и начальствующего состава боевых частей действующей армии</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150"/>
        <w:gridCol w:w="1275"/>
        <w:gridCol w:w="1650"/>
      </w:tblGrid>
      <w:tr w:rsidR="006B0687" w:rsidRPr="00640820" w14:paraId="4480F513" w14:textId="77777777" w:rsidTr="000D3BCB">
        <w:trPr>
          <w:trHeight w:val="270"/>
        </w:trPr>
        <w:tc>
          <w:tcPr>
            <w:tcW w:w="3150" w:type="dxa"/>
            <w:tcBorders>
              <w:top w:val="single" w:sz="12" w:space="0" w:color="auto"/>
            </w:tcBorders>
          </w:tcPr>
          <w:p w14:paraId="0BAAA2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Хлеб:</w:t>
            </w:r>
          </w:p>
        </w:tc>
        <w:tc>
          <w:tcPr>
            <w:tcW w:w="1275" w:type="dxa"/>
            <w:tcBorders>
              <w:top w:val="single" w:sz="12" w:space="0" w:color="auto"/>
            </w:tcBorders>
          </w:tcPr>
          <w:p w14:paraId="2C2B6A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50" w:type="dxa"/>
            <w:tcBorders>
              <w:top w:val="single" w:sz="12" w:space="0" w:color="auto"/>
            </w:tcBorders>
          </w:tcPr>
          <w:p w14:paraId="188F17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B0687" w:rsidRPr="00640820" w14:paraId="079309DF" w14:textId="77777777" w:rsidTr="000D3BCB">
        <w:trPr>
          <w:trHeight w:val="270"/>
        </w:trPr>
        <w:tc>
          <w:tcPr>
            <w:tcW w:w="3150" w:type="dxa"/>
          </w:tcPr>
          <w:p w14:paraId="2246B8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-октябрь-март -</w:t>
            </w:r>
          </w:p>
        </w:tc>
        <w:tc>
          <w:tcPr>
            <w:tcW w:w="1275" w:type="dxa"/>
          </w:tcPr>
          <w:p w14:paraId="0E0E2A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900 г.</w:t>
            </w:r>
          </w:p>
        </w:tc>
        <w:tc>
          <w:tcPr>
            <w:tcW w:w="1650" w:type="dxa"/>
          </w:tcPr>
          <w:p w14:paraId="507A86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B0687" w:rsidRPr="00640820" w14:paraId="7EB20E9B" w14:textId="77777777" w:rsidTr="000D3BCB">
        <w:trPr>
          <w:trHeight w:val="270"/>
        </w:trPr>
        <w:tc>
          <w:tcPr>
            <w:tcW w:w="3150" w:type="dxa"/>
          </w:tcPr>
          <w:p w14:paraId="2EEE72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-апрель-сентябрь -</w:t>
            </w:r>
          </w:p>
        </w:tc>
        <w:tc>
          <w:tcPr>
            <w:tcW w:w="1275" w:type="dxa"/>
          </w:tcPr>
          <w:p w14:paraId="0CB8C9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800 г.</w:t>
            </w:r>
          </w:p>
        </w:tc>
        <w:tc>
          <w:tcPr>
            <w:tcW w:w="1650" w:type="dxa"/>
          </w:tcPr>
          <w:p w14:paraId="2819BE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B0687" w:rsidRPr="00640820" w14:paraId="233F62E6" w14:textId="77777777" w:rsidTr="000D3BCB">
        <w:trPr>
          <w:trHeight w:val="270"/>
        </w:trPr>
        <w:tc>
          <w:tcPr>
            <w:tcW w:w="3150" w:type="dxa"/>
          </w:tcPr>
          <w:p w14:paraId="0FE749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Мука пшеничная 2-й сорт-</w:t>
            </w:r>
          </w:p>
        </w:tc>
        <w:tc>
          <w:tcPr>
            <w:tcW w:w="1275" w:type="dxa"/>
          </w:tcPr>
          <w:p w14:paraId="36F76F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г.</w:t>
            </w:r>
          </w:p>
        </w:tc>
        <w:tc>
          <w:tcPr>
            <w:tcW w:w="1650" w:type="dxa"/>
          </w:tcPr>
          <w:p w14:paraId="4D7F2F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B0687" w:rsidRPr="00640820" w14:paraId="6B710974" w14:textId="77777777" w:rsidTr="000D3BCB">
        <w:trPr>
          <w:trHeight w:val="270"/>
        </w:trPr>
        <w:tc>
          <w:tcPr>
            <w:tcW w:w="3150" w:type="dxa"/>
          </w:tcPr>
          <w:p w14:paraId="51C1D2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Крупа разная -</w:t>
            </w:r>
          </w:p>
        </w:tc>
        <w:tc>
          <w:tcPr>
            <w:tcW w:w="1275" w:type="dxa"/>
          </w:tcPr>
          <w:p w14:paraId="13B8DE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140 г.</w:t>
            </w:r>
          </w:p>
        </w:tc>
        <w:tc>
          <w:tcPr>
            <w:tcW w:w="1650" w:type="dxa"/>
          </w:tcPr>
          <w:p w14:paraId="363006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B0687" w:rsidRPr="00640820" w14:paraId="38B8124B" w14:textId="77777777" w:rsidTr="000D3BCB">
        <w:trPr>
          <w:trHeight w:val="270"/>
        </w:trPr>
        <w:tc>
          <w:tcPr>
            <w:tcW w:w="3150" w:type="dxa"/>
          </w:tcPr>
          <w:p w14:paraId="6A84A8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Макароны - </w:t>
            </w:r>
          </w:p>
        </w:tc>
        <w:tc>
          <w:tcPr>
            <w:tcW w:w="1275" w:type="dxa"/>
          </w:tcPr>
          <w:p w14:paraId="7E2E8B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г.</w:t>
            </w:r>
          </w:p>
        </w:tc>
        <w:tc>
          <w:tcPr>
            <w:tcW w:w="1650" w:type="dxa"/>
          </w:tcPr>
          <w:p w14:paraId="5AA9A1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B0687" w:rsidRPr="00640820" w14:paraId="7B44D2AB" w14:textId="77777777" w:rsidTr="000D3BCB">
        <w:trPr>
          <w:trHeight w:val="270"/>
        </w:trPr>
        <w:tc>
          <w:tcPr>
            <w:tcW w:w="3150" w:type="dxa"/>
          </w:tcPr>
          <w:p w14:paraId="08A2A7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Мясо - </w:t>
            </w:r>
          </w:p>
        </w:tc>
        <w:tc>
          <w:tcPr>
            <w:tcW w:w="1275" w:type="dxa"/>
          </w:tcPr>
          <w:p w14:paraId="6304AF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150 г.</w:t>
            </w:r>
          </w:p>
        </w:tc>
        <w:tc>
          <w:tcPr>
            <w:tcW w:w="1650" w:type="dxa"/>
          </w:tcPr>
          <w:p w14:paraId="45CA41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B0687" w:rsidRPr="00640820" w14:paraId="2EDDC674" w14:textId="77777777" w:rsidTr="000D3BCB">
        <w:trPr>
          <w:trHeight w:val="270"/>
        </w:trPr>
        <w:tc>
          <w:tcPr>
            <w:tcW w:w="3150" w:type="dxa"/>
          </w:tcPr>
          <w:p w14:paraId="1A52DC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Рыба - </w:t>
            </w:r>
          </w:p>
        </w:tc>
        <w:tc>
          <w:tcPr>
            <w:tcW w:w="1275" w:type="dxa"/>
          </w:tcPr>
          <w:p w14:paraId="77EBFB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 г.</w:t>
            </w:r>
          </w:p>
        </w:tc>
        <w:tc>
          <w:tcPr>
            <w:tcW w:w="1650" w:type="dxa"/>
          </w:tcPr>
          <w:p w14:paraId="3317B0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B0687" w:rsidRPr="00640820" w14:paraId="7EE2EF2D" w14:textId="77777777" w:rsidTr="000D3BCB">
        <w:trPr>
          <w:trHeight w:val="270"/>
        </w:trPr>
        <w:tc>
          <w:tcPr>
            <w:tcW w:w="3150" w:type="dxa"/>
          </w:tcPr>
          <w:p w14:paraId="0D131B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Комбижир и сало - </w:t>
            </w:r>
          </w:p>
        </w:tc>
        <w:tc>
          <w:tcPr>
            <w:tcW w:w="1275" w:type="dxa"/>
          </w:tcPr>
          <w:p w14:paraId="311F0C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г.</w:t>
            </w:r>
          </w:p>
        </w:tc>
        <w:tc>
          <w:tcPr>
            <w:tcW w:w="1650" w:type="dxa"/>
          </w:tcPr>
          <w:p w14:paraId="0F27A4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B0687" w:rsidRPr="00640820" w14:paraId="78F13D4F" w14:textId="77777777" w:rsidTr="000D3BCB">
        <w:trPr>
          <w:trHeight w:val="270"/>
        </w:trPr>
        <w:tc>
          <w:tcPr>
            <w:tcW w:w="3150" w:type="dxa"/>
          </w:tcPr>
          <w:p w14:paraId="62FE90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Масло растительное - </w:t>
            </w:r>
          </w:p>
        </w:tc>
        <w:tc>
          <w:tcPr>
            <w:tcW w:w="1275" w:type="dxa"/>
          </w:tcPr>
          <w:p w14:paraId="5B08C1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г.</w:t>
            </w:r>
          </w:p>
        </w:tc>
        <w:tc>
          <w:tcPr>
            <w:tcW w:w="1650" w:type="dxa"/>
          </w:tcPr>
          <w:p w14:paraId="79E8F4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B0687" w:rsidRPr="00640820" w14:paraId="276BC712" w14:textId="77777777" w:rsidTr="000D3BCB">
        <w:trPr>
          <w:trHeight w:val="270"/>
        </w:trPr>
        <w:tc>
          <w:tcPr>
            <w:tcW w:w="3150" w:type="dxa"/>
          </w:tcPr>
          <w:p w14:paraId="59C9EB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Сахар - </w:t>
            </w:r>
          </w:p>
        </w:tc>
        <w:tc>
          <w:tcPr>
            <w:tcW w:w="1275" w:type="dxa"/>
          </w:tcPr>
          <w:p w14:paraId="326E75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 г.</w:t>
            </w:r>
          </w:p>
        </w:tc>
        <w:tc>
          <w:tcPr>
            <w:tcW w:w="1650" w:type="dxa"/>
          </w:tcPr>
          <w:p w14:paraId="528DDD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B0687" w:rsidRPr="00640820" w14:paraId="7CC866D5" w14:textId="77777777" w:rsidTr="000D3BCB">
        <w:trPr>
          <w:trHeight w:val="270"/>
        </w:trPr>
        <w:tc>
          <w:tcPr>
            <w:tcW w:w="3150" w:type="dxa"/>
          </w:tcPr>
          <w:p w14:paraId="6CC0B3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Чай - </w:t>
            </w:r>
          </w:p>
        </w:tc>
        <w:tc>
          <w:tcPr>
            <w:tcW w:w="1275" w:type="dxa"/>
          </w:tcPr>
          <w:p w14:paraId="37ACD4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г.</w:t>
            </w:r>
          </w:p>
        </w:tc>
        <w:tc>
          <w:tcPr>
            <w:tcW w:w="1650" w:type="dxa"/>
          </w:tcPr>
          <w:p w14:paraId="7C524F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B0687" w:rsidRPr="00640820" w14:paraId="2FF18C26" w14:textId="77777777" w:rsidTr="000D3BCB">
        <w:trPr>
          <w:trHeight w:val="270"/>
        </w:trPr>
        <w:tc>
          <w:tcPr>
            <w:tcW w:w="3150" w:type="dxa"/>
          </w:tcPr>
          <w:p w14:paraId="2F1DED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Соль - </w:t>
            </w:r>
          </w:p>
        </w:tc>
        <w:tc>
          <w:tcPr>
            <w:tcW w:w="1275" w:type="dxa"/>
          </w:tcPr>
          <w:p w14:paraId="2A2530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г.</w:t>
            </w:r>
          </w:p>
        </w:tc>
        <w:tc>
          <w:tcPr>
            <w:tcW w:w="1650" w:type="dxa"/>
          </w:tcPr>
          <w:p w14:paraId="6FB28D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B0687" w:rsidRPr="00640820" w14:paraId="0740EA9A" w14:textId="77777777" w:rsidTr="000D3BCB">
        <w:trPr>
          <w:trHeight w:val="270"/>
        </w:trPr>
        <w:tc>
          <w:tcPr>
            <w:tcW w:w="3150" w:type="dxa"/>
          </w:tcPr>
          <w:p w14:paraId="609A5C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Овощи:</w:t>
            </w:r>
          </w:p>
        </w:tc>
        <w:tc>
          <w:tcPr>
            <w:tcW w:w="1275" w:type="dxa"/>
          </w:tcPr>
          <w:p w14:paraId="1CCC4A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50" w:type="dxa"/>
          </w:tcPr>
          <w:p w14:paraId="64540B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B0687" w:rsidRPr="00640820" w14:paraId="04A892DD" w14:textId="77777777" w:rsidTr="000D3BCB">
        <w:trPr>
          <w:trHeight w:val="270"/>
        </w:trPr>
        <w:tc>
          <w:tcPr>
            <w:tcW w:w="3150" w:type="dxa"/>
          </w:tcPr>
          <w:p w14:paraId="6074C0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-картофель -</w:t>
            </w:r>
          </w:p>
        </w:tc>
        <w:tc>
          <w:tcPr>
            <w:tcW w:w="1275" w:type="dxa"/>
          </w:tcPr>
          <w:p w14:paraId="7A0CD5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500 г.</w:t>
            </w:r>
          </w:p>
        </w:tc>
        <w:tc>
          <w:tcPr>
            <w:tcW w:w="1650" w:type="dxa"/>
          </w:tcPr>
          <w:p w14:paraId="595A9F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B0687" w:rsidRPr="00640820" w14:paraId="3D1429B5" w14:textId="77777777" w:rsidTr="000D3BCB">
        <w:trPr>
          <w:trHeight w:val="270"/>
        </w:trPr>
        <w:tc>
          <w:tcPr>
            <w:tcW w:w="3150" w:type="dxa"/>
          </w:tcPr>
          <w:p w14:paraId="5216CE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-капуста - </w:t>
            </w:r>
          </w:p>
        </w:tc>
        <w:tc>
          <w:tcPr>
            <w:tcW w:w="1275" w:type="dxa"/>
          </w:tcPr>
          <w:p w14:paraId="4FF150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170 г.</w:t>
            </w:r>
          </w:p>
        </w:tc>
        <w:tc>
          <w:tcPr>
            <w:tcW w:w="1650" w:type="dxa"/>
          </w:tcPr>
          <w:p w14:paraId="77BA31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B0687" w:rsidRPr="00640820" w14:paraId="31586E86" w14:textId="77777777" w:rsidTr="000D3BCB">
        <w:trPr>
          <w:trHeight w:val="270"/>
        </w:trPr>
        <w:tc>
          <w:tcPr>
            <w:tcW w:w="3150" w:type="dxa"/>
          </w:tcPr>
          <w:p w14:paraId="4990E8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-морковь - </w:t>
            </w:r>
          </w:p>
        </w:tc>
        <w:tc>
          <w:tcPr>
            <w:tcW w:w="1275" w:type="dxa"/>
          </w:tcPr>
          <w:p w14:paraId="57282E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 г.</w:t>
            </w:r>
          </w:p>
        </w:tc>
        <w:tc>
          <w:tcPr>
            <w:tcW w:w="1650" w:type="dxa"/>
          </w:tcPr>
          <w:p w14:paraId="3B867C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B0687" w:rsidRPr="00640820" w14:paraId="4359CE1B" w14:textId="77777777" w:rsidTr="000D3BCB">
        <w:trPr>
          <w:trHeight w:val="270"/>
        </w:trPr>
        <w:tc>
          <w:tcPr>
            <w:tcW w:w="3150" w:type="dxa"/>
          </w:tcPr>
          <w:p w14:paraId="2894E0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-свекла -</w:t>
            </w:r>
          </w:p>
        </w:tc>
        <w:tc>
          <w:tcPr>
            <w:tcW w:w="1275" w:type="dxa"/>
          </w:tcPr>
          <w:p w14:paraId="72631B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 г.</w:t>
            </w:r>
          </w:p>
        </w:tc>
        <w:tc>
          <w:tcPr>
            <w:tcW w:w="1650" w:type="dxa"/>
          </w:tcPr>
          <w:p w14:paraId="5F2C58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B0687" w:rsidRPr="00640820" w14:paraId="1F20474D" w14:textId="77777777" w:rsidTr="000D3BCB">
        <w:trPr>
          <w:trHeight w:val="270"/>
        </w:trPr>
        <w:tc>
          <w:tcPr>
            <w:tcW w:w="3150" w:type="dxa"/>
          </w:tcPr>
          <w:p w14:paraId="6744C8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-лук репч. - </w:t>
            </w:r>
          </w:p>
        </w:tc>
        <w:tc>
          <w:tcPr>
            <w:tcW w:w="1275" w:type="dxa"/>
          </w:tcPr>
          <w:p w14:paraId="54B9EB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г.</w:t>
            </w:r>
          </w:p>
        </w:tc>
        <w:tc>
          <w:tcPr>
            <w:tcW w:w="1650" w:type="dxa"/>
          </w:tcPr>
          <w:p w14:paraId="7B91B0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5E29089" w14:textId="77777777" w:rsidTr="000D3BCB">
        <w:trPr>
          <w:trHeight w:val="270"/>
        </w:trPr>
        <w:tc>
          <w:tcPr>
            <w:tcW w:w="3150" w:type="dxa"/>
          </w:tcPr>
          <w:p w14:paraId="345C1B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-зелень - </w:t>
            </w:r>
          </w:p>
        </w:tc>
        <w:tc>
          <w:tcPr>
            <w:tcW w:w="1275" w:type="dxa"/>
          </w:tcPr>
          <w:p w14:paraId="4C8B95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 г.</w:t>
            </w:r>
          </w:p>
        </w:tc>
        <w:tc>
          <w:tcPr>
            <w:tcW w:w="1650" w:type="dxa"/>
          </w:tcPr>
          <w:p w14:paraId="21E47E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DE73A9D" w14:textId="77777777" w:rsidTr="000D3BCB">
        <w:trPr>
          <w:trHeight w:val="270"/>
        </w:trPr>
        <w:tc>
          <w:tcPr>
            <w:tcW w:w="3150" w:type="dxa"/>
          </w:tcPr>
          <w:p w14:paraId="6FCFCB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Махорка - </w:t>
            </w:r>
          </w:p>
        </w:tc>
        <w:tc>
          <w:tcPr>
            <w:tcW w:w="1275" w:type="dxa"/>
          </w:tcPr>
          <w:p w14:paraId="11CB92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г.</w:t>
            </w:r>
          </w:p>
        </w:tc>
        <w:tc>
          <w:tcPr>
            <w:tcW w:w="1650" w:type="dxa"/>
          </w:tcPr>
          <w:p w14:paraId="49AFF2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57DB82D" w14:textId="77777777" w:rsidTr="000D3BCB">
        <w:trPr>
          <w:trHeight w:val="270"/>
        </w:trPr>
        <w:tc>
          <w:tcPr>
            <w:tcW w:w="3150" w:type="dxa"/>
          </w:tcPr>
          <w:p w14:paraId="2AC086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Спички - </w:t>
            </w:r>
          </w:p>
        </w:tc>
        <w:tc>
          <w:tcPr>
            <w:tcW w:w="1275" w:type="dxa"/>
          </w:tcPr>
          <w:p w14:paraId="36E96B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коробки</w:t>
            </w:r>
          </w:p>
        </w:tc>
        <w:tc>
          <w:tcPr>
            <w:tcW w:w="1650" w:type="dxa"/>
          </w:tcPr>
          <w:p w14:paraId="33D7B6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месяц)</w:t>
            </w:r>
          </w:p>
        </w:tc>
      </w:tr>
      <w:tr w:rsidR="00643896" w:rsidRPr="00640820" w14:paraId="0C9D73C0" w14:textId="77777777" w:rsidTr="000D3BCB">
        <w:trPr>
          <w:trHeight w:val="225"/>
        </w:trPr>
        <w:tc>
          <w:tcPr>
            <w:tcW w:w="3150" w:type="dxa"/>
            <w:tcBorders>
              <w:bottom w:val="single" w:sz="12" w:space="0" w:color="auto"/>
            </w:tcBorders>
          </w:tcPr>
          <w:p w14:paraId="730F94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Мыло - </w:t>
            </w:r>
          </w:p>
        </w:tc>
        <w:tc>
          <w:tcPr>
            <w:tcW w:w="1275" w:type="dxa"/>
            <w:tcBorders>
              <w:bottom w:val="single" w:sz="12" w:space="0" w:color="auto"/>
            </w:tcBorders>
          </w:tcPr>
          <w:p w14:paraId="37D313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 г.</w:t>
            </w:r>
          </w:p>
        </w:tc>
        <w:tc>
          <w:tcPr>
            <w:tcW w:w="1650" w:type="dxa"/>
            <w:tcBorders>
              <w:bottom w:val="single" w:sz="12" w:space="0" w:color="auto"/>
            </w:tcBorders>
          </w:tcPr>
          <w:p w14:paraId="37A9EA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месяц)</w:t>
            </w:r>
          </w:p>
        </w:tc>
      </w:tr>
    </w:tbl>
    <w:p w14:paraId="0F6E52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Примечания:</w:t>
      </w:r>
    </w:p>
    <w:p w14:paraId="165A63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По этим нормам довольствуется рядовой и младший начсостав воинских частей первых линий действующей армии.</w:t>
      </w:r>
    </w:p>
    <w:p w14:paraId="24A5E5F5" w14:textId="77777777" w:rsidR="002E395B"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В период декабрь-февраль дополнительно выдается сало свиное по 25 г в сутки на человека (9366).</w:t>
      </w:r>
    </w:p>
    <w:p w14:paraId="0B739DCE" w14:textId="77777777" w:rsidR="002E395B"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Норма №3 </w:t>
      </w:r>
    </w:p>
    <w:p w14:paraId="6D79AB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Красноармейцев строевых и запасных частей, не входящих в состав действующей армии</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775"/>
        <w:gridCol w:w="1050"/>
        <w:gridCol w:w="1875"/>
      </w:tblGrid>
      <w:tr w:rsidR="00643896" w:rsidRPr="00640820" w14:paraId="0A9033DA" w14:textId="77777777" w:rsidTr="000D3BCB">
        <w:trPr>
          <w:trHeight w:val="270"/>
        </w:trPr>
        <w:tc>
          <w:tcPr>
            <w:tcW w:w="2775" w:type="dxa"/>
            <w:tcBorders>
              <w:top w:val="single" w:sz="12" w:space="0" w:color="auto"/>
            </w:tcBorders>
          </w:tcPr>
          <w:p w14:paraId="6FAF42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Хлеб:</w:t>
            </w:r>
          </w:p>
        </w:tc>
        <w:tc>
          <w:tcPr>
            <w:tcW w:w="1050" w:type="dxa"/>
            <w:tcBorders>
              <w:top w:val="single" w:sz="12" w:space="0" w:color="auto"/>
            </w:tcBorders>
          </w:tcPr>
          <w:p w14:paraId="318613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5" w:type="dxa"/>
            <w:tcBorders>
              <w:top w:val="single" w:sz="12" w:space="0" w:color="auto"/>
            </w:tcBorders>
          </w:tcPr>
          <w:p w14:paraId="7F9ECF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E07EDC9" w14:textId="77777777" w:rsidTr="000D3BCB">
        <w:trPr>
          <w:trHeight w:val="270"/>
        </w:trPr>
        <w:tc>
          <w:tcPr>
            <w:tcW w:w="2775" w:type="dxa"/>
          </w:tcPr>
          <w:p w14:paraId="5921D6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-зима -</w:t>
            </w:r>
          </w:p>
        </w:tc>
        <w:tc>
          <w:tcPr>
            <w:tcW w:w="1050" w:type="dxa"/>
          </w:tcPr>
          <w:p w14:paraId="021EE4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750 г.</w:t>
            </w:r>
          </w:p>
        </w:tc>
        <w:tc>
          <w:tcPr>
            <w:tcW w:w="1875" w:type="dxa"/>
          </w:tcPr>
          <w:p w14:paraId="761FD3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CAC16F5" w14:textId="77777777" w:rsidTr="000D3BCB">
        <w:trPr>
          <w:trHeight w:val="270"/>
        </w:trPr>
        <w:tc>
          <w:tcPr>
            <w:tcW w:w="2775" w:type="dxa"/>
          </w:tcPr>
          <w:p w14:paraId="513A1E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-лето -</w:t>
            </w:r>
          </w:p>
        </w:tc>
        <w:tc>
          <w:tcPr>
            <w:tcW w:w="1050" w:type="dxa"/>
          </w:tcPr>
          <w:p w14:paraId="3DAEE0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650 г.</w:t>
            </w:r>
          </w:p>
        </w:tc>
        <w:tc>
          <w:tcPr>
            <w:tcW w:w="1875" w:type="dxa"/>
          </w:tcPr>
          <w:p w14:paraId="78F57C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9C94D4C" w14:textId="77777777" w:rsidTr="000D3BCB">
        <w:trPr>
          <w:trHeight w:val="270"/>
        </w:trPr>
        <w:tc>
          <w:tcPr>
            <w:tcW w:w="2775" w:type="dxa"/>
          </w:tcPr>
          <w:p w14:paraId="70F9BD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Мука пшеничная 2-й сорт-</w:t>
            </w:r>
          </w:p>
        </w:tc>
        <w:tc>
          <w:tcPr>
            <w:tcW w:w="1050" w:type="dxa"/>
          </w:tcPr>
          <w:p w14:paraId="37DFF6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г.</w:t>
            </w:r>
          </w:p>
        </w:tc>
        <w:tc>
          <w:tcPr>
            <w:tcW w:w="1875" w:type="dxa"/>
          </w:tcPr>
          <w:p w14:paraId="25EE80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2EF5C83" w14:textId="77777777" w:rsidTr="000D3BCB">
        <w:trPr>
          <w:trHeight w:val="270"/>
        </w:trPr>
        <w:tc>
          <w:tcPr>
            <w:tcW w:w="2775" w:type="dxa"/>
          </w:tcPr>
          <w:p w14:paraId="4AA727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Крупа разная -</w:t>
            </w:r>
          </w:p>
        </w:tc>
        <w:tc>
          <w:tcPr>
            <w:tcW w:w="1050" w:type="dxa"/>
          </w:tcPr>
          <w:p w14:paraId="09B304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 г.</w:t>
            </w:r>
          </w:p>
        </w:tc>
        <w:tc>
          <w:tcPr>
            <w:tcW w:w="1875" w:type="dxa"/>
          </w:tcPr>
          <w:p w14:paraId="33C1F5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61416C2" w14:textId="77777777" w:rsidTr="000D3BCB">
        <w:trPr>
          <w:trHeight w:val="270"/>
        </w:trPr>
        <w:tc>
          <w:tcPr>
            <w:tcW w:w="2775" w:type="dxa"/>
          </w:tcPr>
          <w:p w14:paraId="23BCD2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Макароны - </w:t>
            </w:r>
          </w:p>
        </w:tc>
        <w:tc>
          <w:tcPr>
            <w:tcW w:w="1050" w:type="dxa"/>
          </w:tcPr>
          <w:p w14:paraId="1DD11D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г.</w:t>
            </w:r>
          </w:p>
        </w:tc>
        <w:tc>
          <w:tcPr>
            <w:tcW w:w="1875" w:type="dxa"/>
          </w:tcPr>
          <w:p w14:paraId="7A6A2B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3EF8BD5" w14:textId="77777777" w:rsidTr="000D3BCB">
        <w:trPr>
          <w:trHeight w:val="270"/>
        </w:trPr>
        <w:tc>
          <w:tcPr>
            <w:tcW w:w="2775" w:type="dxa"/>
          </w:tcPr>
          <w:p w14:paraId="5BB9E6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Мясо - </w:t>
            </w:r>
          </w:p>
        </w:tc>
        <w:tc>
          <w:tcPr>
            <w:tcW w:w="1050" w:type="dxa"/>
          </w:tcPr>
          <w:p w14:paraId="05BDFE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75 г.</w:t>
            </w:r>
          </w:p>
        </w:tc>
        <w:tc>
          <w:tcPr>
            <w:tcW w:w="1875" w:type="dxa"/>
          </w:tcPr>
          <w:p w14:paraId="64D329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591915B" w14:textId="77777777" w:rsidTr="000D3BCB">
        <w:trPr>
          <w:trHeight w:val="270"/>
        </w:trPr>
        <w:tc>
          <w:tcPr>
            <w:tcW w:w="2775" w:type="dxa"/>
          </w:tcPr>
          <w:p w14:paraId="67D415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Рыба - </w:t>
            </w:r>
          </w:p>
        </w:tc>
        <w:tc>
          <w:tcPr>
            <w:tcW w:w="1050" w:type="dxa"/>
          </w:tcPr>
          <w:p w14:paraId="4E3CBB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120 г.</w:t>
            </w:r>
          </w:p>
        </w:tc>
        <w:tc>
          <w:tcPr>
            <w:tcW w:w="1875" w:type="dxa"/>
          </w:tcPr>
          <w:p w14:paraId="0AE7B1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F3C240D" w14:textId="77777777" w:rsidTr="000D3BCB">
        <w:trPr>
          <w:trHeight w:val="270"/>
        </w:trPr>
        <w:tc>
          <w:tcPr>
            <w:tcW w:w="2775" w:type="dxa"/>
          </w:tcPr>
          <w:p w14:paraId="6C8234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Комбижир и сало - </w:t>
            </w:r>
          </w:p>
        </w:tc>
        <w:tc>
          <w:tcPr>
            <w:tcW w:w="1050" w:type="dxa"/>
          </w:tcPr>
          <w:p w14:paraId="5A2C1B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г.</w:t>
            </w:r>
          </w:p>
        </w:tc>
        <w:tc>
          <w:tcPr>
            <w:tcW w:w="1875" w:type="dxa"/>
          </w:tcPr>
          <w:p w14:paraId="692EB0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0D7EAC3" w14:textId="77777777" w:rsidTr="000D3BCB">
        <w:trPr>
          <w:trHeight w:val="270"/>
        </w:trPr>
        <w:tc>
          <w:tcPr>
            <w:tcW w:w="2775" w:type="dxa"/>
          </w:tcPr>
          <w:p w14:paraId="013FEC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Масло растительное - </w:t>
            </w:r>
          </w:p>
        </w:tc>
        <w:tc>
          <w:tcPr>
            <w:tcW w:w="1050" w:type="dxa"/>
          </w:tcPr>
          <w:p w14:paraId="0C6871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г.</w:t>
            </w:r>
          </w:p>
        </w:tc>
        <w:tc>
          <w:tcPr>
            <w:tcW w:w="1875" w:type="dxa"/>
          </w:tcPr>
          <w:p w14:paraId="1DC530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BD529F7" w14:textId="77777777" w:rsidTr="000D3BCB">
        <w:trPr>
          <w:trHeight w:val="270"/>
        </w:trPr>
        <w:tc>
          <w:tcPr>
            <w:tcW w:w="2775" w:type="dxa"/>
          </w:tcPr>
          <w:p w14:paraId="66561A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Сахар - </w:t>
            </w:r>
          </w:p>
        </w:tc>
        <w:tc>
          <w:tcPr>
            <w:tcW w:w="1050" w:type="dxa"/>
          </w:tcPr>
          <w:p w14:paraId="10376F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г.</w:t>
            </w:r>
          </w:p>
        </w:tc>
        <w:tc>
          <w:tcPr>
            <w:tcW w:w="1875" w:type="dxa"/>
          </w:tcPr>
          <w:p w14:paraId="39B8A6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D2E9613" w14:textId="77777777" w:rsidTr="000D3BCB">
        <w:trPr>
          <w:trHeight w:val="270"/>
        </w:trPr>
        <w:tc>
          <w:tcPr>
            <w:tcW w:w="2775" w:type="dxa"/>
          </w:tcPr>
          <w:p w14:paraId="3BB7D3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Чай - </w:t>
            </w:r>
          </w:p>
        </w:tc>
        <w:tc>
          <w:tcPr>
            <w:tcW w:w="1050" w:type="dxa"/>
          </w:tcPr>
          <w:p w14:paraId="1636EF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г.</w:t>
            </w:r>
          </w:p>
        </w:tc>
        <w:tc>
          <w:tcPr>
            <w:tcW w:w="1875" w:type="dxa"/>
          </w:tcPr>
          <w:p w14:paraId="54932C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8D80CF4" w14:textId="77777777" w:rsidTr="000D3BCB">
        <w:trPr>
          <w:trHeight w:val="270"/>
        </w:trPr>
        <w:tc>
          <w:tcPr>
            <w:tcW w:w="2775" w:type="dxa"/>
          </w:tcPr>
          <w:p w14:paraId="6F402F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Соль - </w:t>
            </w:r>
          </w:p>
        </w:tc>
        <w:tc>
          <w:tcPr>
            <w:tcW w:w="1050" w:type="dxa"/>
          </w:tcPr>
          <w:p w14:paraId="0C7B1C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г.</w:t>
            </w:r>
          </w:p>
        </w:tc>
        <w:tc>
          <w:tcPr>
            <w:tcW w:w="1875" w:type="dxa"/>
          </w:tcPr>
          <w:p w14:paraId="69F28B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4F8A3BF" w14:textId="77777777" w:rsidTr="000D3BCB">
        <w:trPr>
          <w:trHeight w:val="270"/>
        </w:trPr>
        <w:tc>
          <w:tcPr>
            <w:tcW w:w="2775" w:type="dxa"/>
          </w:tcPr>
          <w:p w14:paraId="3375B4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Овощи -</w:t>
            </w:r>
          </w:p>
        </w:tc>
        <w:tc>
          <w:tcPr>
            <w:tcW w:w="1050" w:type="dxa"/>
          </w:tcPr>
          <w:p w14:paraId="45A00D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920 г.</w:t>
            </w:r>
          </w:p>
        </w:tc>
        <w:tc>
          <w:tcPr>
            <w:tcW w:w="1875" w:type="dxa"/>
          </w:tcPr>
          <w:p w14:paraId="2824C0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2C6A6CD" w14:textId="77777777" w:rsidTr="000D3BCB">
        <w:trPr>
          <w:trHeight w:val="270"/>
        </w:trPr>
        <w:tc>
          <w:tcPr>
            <w:tcW w:w="2775" w:type="dxa"/>
          </w:tcPr>
          <w:p w14:paraId="71AE9C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Махорка - </w:t>
            </w:r>
          </w:p>
        </w:tc>
        <w:tc>
          <w:tcPr>
            <w:tcW w:w="1050" w:type="dxa"/>
          </w:tcPr>
          <w:p w14:paraId="52AED5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г.</w:t>
            </w:r>
          </w:p>
        </w:tc>
        <w:tc>
          <w:tcPr>
            <w:tcW w:w="1875" w:type="dxa"/>
          </w:tcPr>
          <w:p w14:paraId="1833B5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E5CDA9D" w14:textId="77777777" w:rsidTr="000D3BCB">
        <w:trPr>
          <w:trHeight w:val="270"/>
        </w:trPr>
        <w:tc>
          <w:tcPr>
            <w:tcW w:w="2775" w:type="dxa"/>
          </w:tcPr>
          <w:p w14:paraId="69F9BB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Спички - </w:t>
            </w:r>
          </w:p>
        </w:tc>
        <w:tc>
          <w:tcPr>
            <w:tcW w:w="1050" w:type="dxa"/>
          </w:tcPr>
          <w:p w14:paraId="2CAA2D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коробки</w:t>
            </w:r>
          </w:p>
        </w:tc>
        <w:tc>
          <w:tcPr>
            <w:tcW w:w="1875" w:type="dxa"/>
          </w:tcPr>
          <w:p w14:paraId="17A3B4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месяц)</w:t>
            </w:r>
          </w:p>
        </w:tc>
      </w:tr>
      <w:tr w:rsidR="00643896" w:rsidRPr="00640820" w14:paraId="0E2C653C" w14:textId="77777777" w:rsidTr="000D3BCB">
        <w:trPr>
          <w:trHeight w:val="225"/>
        </w:trPr>
        <w:tc>
          <w:tcPr>
            <w:tcW w:w="2775" w:type="dxa"/>
            <w:tcBorders>
              <w:bottom w:val="single" w:sz="12" w:space="0" w:color="auto"/>
            </w:tcBorders>
          </w:tcPr>
          <w:p w14:paraId="4B3BC2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Мыло - </w:t>
            </w:r>
          </w:p>
        </w:tc>
        <w:tc>
          <w:tcPr>
            <w:tcW w:w="1050" w:type="dxa"/>
            <w:tcBorders>
              <w:bottom w:val="single" w:sz="12" w:space="0" w:color="auto"/>
            </w:tcBorders>
          </w:tcPr>
          <w:p w14:paraId="4EA85A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150 г.</w:t>
            </w:r>
          </w:p>
        </w:tc>
        <w:tc>
          <w:tcPr>
            <w:tcW w:w="1875" w:type="dxa"/>
            <w:tcBorders>
              <w:bottom w:val="single" w:sz="12" w:space="0" w:color="auto"/>
            </w:tcBorders>
          </w:tcPr>
          <w:p w14:paraId="2BA904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месяц)</w:t>
            </w:r>
          </w:p>
        </w:tc>
      </w:tr>
    </w:tbl>
    <w:p w14:paraId="5834653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Норма... </w:t>
      </w:r>
    </w:p>
    <w:p w14:paraId="6D1B040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курсантов военных учил...</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775"/>
        <w:gridCol w:w="1050"/>
        <w:gridCol w:w="1875"/>
      </w:tblGrid>
      <w:tr w:rsidR="00643896" w:rsidRPr="00640820" w14:paraId="172E892A" w14:textId="77777777" w:rsidTr="000D3BCB">
        <w:trPr>
          <w:trHeight w:val="270"/>
        </w:trPr>
        <w:tc>
          <w:tcPr>
            <w:tcW w:w="2775" w:type="dxa"/>
            <w:tcBorders>
              <w:top w:val="single" w:sz="12" w:space="0" w:color="auto"/>
            </w:tcBorders>
          </w:tcPr>
          <w:p w14:paraId="407785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Хлеб ржан...</w:t>
            </w:r>
          </w:p>
        </w:tc>
        <w:tc>
          <w:tcPr>
            <w:tcW w:w="1050" w:type="dxa"/>
            <w:tcBorders>
              <w:top w:val="single" w:sz="12" w:space="0" w:color="auto"/>
            </w:tcBorders>
          </w:tcPr>
          <w:p w14:paraId="444C0E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5" w:type="dxa"/>
            <w:tcBorders>
              <w:top w:val="single" w:sz="12" w:space="0" w:color="auto"/>
            </w:tcBorders>
          </w:tcPr>
          <w:p w14:paraId="34E383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40CE744" w14:textId="77777777" w:rsidTr="000D3BCB">
        <w:trPr>
          <w:trHeight w:val="270"/>
        </w:trPr>
        <w:tc>
          <w:tcPr>
            <w:tcW w:w="2775" w:type="dxa"/>
          </w:tcPr>
          <w:p w14:paraId="6F50C7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-зи... -</w:t>
            </w:r>
          </w:p>
        </w:tc>
        <w:tc>
          <w:tcPr>
            <w:tcW w:w="1050" w:type="dxa"/>
          </w:tcPr>
          <w:p w14:paraId="08F32F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750 г.</w:t>
            </w:r>
          </w:p>
        </w:tc>
        <w:tc>
          <w:tcPr>
            <w:tcW w:w="1875" w:type="dxa"/>
          </w:tcPr>
          <w:p w14:paraId="7464A4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2B788AD" w14:textId="77777777" w:rsidTr="000D3BCB">
        <w:trPr>
          <w:trHeight w:val="270"/>
        </w:trPr>
        <w:tc>
          <w:tcPr>
            <w:tcW w:w="2775" w:type="dxa"/>
          </w:tcPr>
          <w:p w14:paraId="0E1104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..ето -</w:t>
            </w:r>
          </w:p>
        </w:tc>
        <w:tc>
          <w:tcPr>
            <w:tcW w:w="1050" w:type="dxa"/>
          </w:tcPr>
          <w:p w14:paraId="3DF30C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650 г.</w:t>
            </w:r>
          </w:p>
        </w:tc>
        <w:tc>
          <w:tcPr>
            <w:tcW w:w="1875" w:type="dxa"/>
          </w:tcPr>
          <w:p w14:paraId="303E57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6180320" w14:textId="77777777" w:rsidTr="000D3BCB">
        <w:trPr>
          <w:trHeight w:val="270"/>
        </w:trPr>
        <w:tc>
          <w:tcPr>
            <w:tcW w:w="2775" w:type="dxa"/>
          </w:tcPr>
          <w:p w14:paraId="360351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пшенич. 2-го сорта:</w:t>
            </w:r>
          </w:p>
        </w:tc>
        <w:tc>
          <w:tcPr>
            <w:tcW w:w="1050" w:type="dxa"/>
          </w:tcPr>
          <w:p w14:paraId="3858AB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 г.</w:t>
            </w:r>
          </w:p>
        </w:tc>
        <w:tc>
          <w:tcPr>
            <w:tcW w:w="1875" w:type="dxa"/>
          </w:tcPr>
          <w:p w14:paraId="3CBC12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804BE2A" w14:textId="77777777" w:rsidTr="000D3BCB">
        <w:trPr>
          <w:trHeight w:val="135"/>
        </w:trPr>
        <w:tc>
          <w:tcPr>
            <w:tcW w:w="2775" w:type="dxa"/>
          </w:tcPr>
          <w:p w14:paraId="323C97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Крупа разная -</w:t>
            </w:r>
          </w:p>
        </w:tc>
        <w:tc>
          <w:tcPr>
            <w:tcW w:w="1050" w:type="dxa"/>
          </w:tcPr>
          <w:p w14:paraId="5990B2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80 г.</w:t>
            </w:r>
          </w:p>
        </w:tc>
        <w:tc>
          <w:tcPr>
            <w:tcW w:w="1875" w:type="dxa"/>
          </w:tcPr>
          <w:p w14:paraId="1F1DDF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F740600" w14:textId="77777777" w:rsidTr="000D3BCB">
        <w:trPr>
          <w:trHeight w:val="135"/>
        </w:trPr>
        <w:tc>
          <w:tcPr>
            <w:tcW w:w="2775" w:type="dxa"/>
          </w:tcPr>
          <w:p w14:paraId="490023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Рис -</w:t>
            </w:r>
          </w:p>
        </w:tc>
        <w:tc>
          <w:tcPr>
            <w:tcW w:w="1050" w:type="dxa"/>
          </w:tcPr>
          <w:p w14:paraId="25573D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 г.</w:t>
            </w:r>
          </w:p>
        </w:tc>
        <w:tc>
          <w:tcPr>
            <w:tcW w:w="1875" w:type="dxa"/>
          </w:tcPr>
          <w:p w14:paraId="1ED3D3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3622D73" w14:textId="77777777" w:rsidTr="000D3BCB">
        <w:trPr>
          <w:trHeight w:val="270"/>
        </w:trPr>
        <w:tc>
          <w:tcPr>
            <w:tcW w:w="2775" w:type="dxa"/>
          </w:tcPr>
          <w:p w14:paraId="61170E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Макароны - </w:t>
            </w:r>
          </w:p>
        </w:tc>
        <w:tc>
          <w:tcPr>
            <w:tcW w:w="1050" w:type="dxa"/>
          </w:tcPr>
          <w:p w14:paraId="4C9D08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г.</w:t>
            </w:r>
          </w:p>
        </w:tc>
        <w:tc>
          <w:tcPr>
            <w:tcW w:w="1875" w:type="dxa"/>
          </w:tcPr>
          <w:p w14:paraId="3F6A7D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EA7B9DC" w14:textId="77777777" w:rsidTr="000D3BCB">
        <w:trPr>
          <w:trHeight w:val="270"/>
        </w:trPr>
        <w:tc>
          <w:tcPr>
            <w:tcW w:w="2775" w:type="dxa"/>
          </w:tcPr>
          <w:p w14:paraId="18769C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Мясо - </w:t>
            </w:r>
          </w:p>
        </w:tc>
        <w:tc>
          <w:tcPr>
            <w:tcW w:w="1050" w:type="dxa"/>
          </w:tcPr>
          <w:p w14:paraId="195226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150 г.</w:t>
            </w:r>
          </w:p>
        </w:tc>
        <w:tc>
          <w:tcPr>
            <w:tcW w:w="1875" w:type="dxa"/>
          </w:tcPr>
          <w:p w14:paraId="7F9C6A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865C3F8" w14:textId="77777777" w:rsidTr="000D3BCB">
        <w:trPr>
          <w:trHeight w:val="270"/>
        </w:trPr>
        <w:tc>
          <w:tcPr>
            <w:tcW w:w="2775" w:type="dxa"/>
          </w:tcPr>
          <w:p w14:paraId="739200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Рыба - </w:t>
            </w:r>
          </w:p>
        </w:tc>
        <w:tc>
          <w:tcPr>
            <w:tcW w:w="1050" w:type="dxa"/>
          </w:tcPr>
          <w:p w14:paraId="432303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80 г.</w:t>
            </w:r>
          </w:p>
        </w:tc>
        <w:tc>
          <w:tcPr>
            <w:tcW w:w="1875" w:type="dxa"/>
          </w:tcPr>
          <w:p w14:paraId="314F40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A3CE805" w14:textId="77777777" w:rsidTr="000D3BCB">
        <w:trPr>
          <w:trHeight w:val="270"/>
        </w:trPr>
        <w:tc>
          <w:tcPr>
            <w:tcW w:w="2775" w:type="dxa"/>
          </w:tcPr>
          <w:p w14:paraId="031BEF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Масло коровье - </w:t>
            </w:r>
          </w:p>
        </w:tc>
        <w:tc>
          <w:tcPr>
            <w:tcW w:w="1050" w:type="dxa"/>
          </w:tcPr>
          <w:p w14:paraId="61B2F1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 г.</w:t>
            </w:r>
          </w:p>
        </w:tc>
        <w:tc>
          <w:tcPr>
            <w:tcW w:w="1875" w:type="dxa"/>
          </w:tcPr>
          <w:p w14:paraId="28EA94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FB38B89" w14:textId="77777777" w:rsidTr="000D3BCB">
        <w:trPr>
          <w:trHeight w:val="270"/>
        </w:trPr>
        <w:tc>
          <w:tcPr>
            <w:tcW w:w="2775" w:type="dxa"/>
          </w:tcPr>
          <w:p w14:paraId="1D9DD2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Сахар - </w:t>
            </w:r>
          </w:p>
        </w:tc>
        <w:tc>
          <w:tcPr>
            <w:tcW w:w="1050" w:type="dxa"/>
          </w:tcPr>
          <w:p w14:paraId="4AAAB5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 г.</w:t>
            </w:r>
          </w:p>
        </w:tc>
        <w:tc>
          <w:tcPr>
            <w:tcW w:w="1875" w:type="dxa"/>
          </w:tcPr>
          <w:p w14:paraId="11FF71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359FC6F" w14:textId="77777777" w:rsidTr="000D3BCB">
        <w:trPr>
          <w:trHeight w:val="270"/>
        </w:trPr>
        <w:tc>
          <w:tcPr>
            <w:tcW w:w="2775" w:type="dxa"/>
          </w:tcPr>
          <w:p w14:paraId="75FCB6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050" w:type="dxa"/>
          </w:tcPr>
          <w:p w14:paraId="7AEF3B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875" w:type="dxa"/>
          </w:tcPr>
          <w:p w14:paraId="46BD32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68C8CC6" w14:textId="77777777" w:rsidTr="000D3BCB">
        <w:trPr>
          <w:trHeight w:val="270"/>
        </w:trPr>
        <w:tc>
          <w:tcPr>
            <w:tcW w:w="2775" w:type="dxa"/>
          </w:tcPr>
          <w:p w14:paraId="0E3617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050" w:type="dxa"/>
          </w:tcPr>
          <w:p w14:paraId="4C200B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875" w:type="dxa"/>
          </w:tcPr>
          <w:p w14:paraId="045A48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9133A8C" w14:textId="77777777" w:rsidTr="000D3BCB">
        <w:trPr>
          <w:trHeight w:val="270"/>
        </w:trPr>
        <w:tc>
          <w:tcPr>
            <w:tcW w:w="2775" w:type="dxa"/>
          </w:tcPr>
          <w:p w14:paraId="290149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Овощи -</w:t>
            </w:r>
          </w:p>
        </w:tc>
        <w:tc>
          <w:tcPr>
            <w:tcW w:w="1050" w:type="dxa"/>
          </w:tcPr>
          <w:p w14:paraId="316A5E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785 г.</w:t>
            </w:r>
          </w:p>
        </w:tc>
        <w:tc>
          <w:tcPr>
            <w:tcW w:w="1875" w:type="dxa"/>
          </w:tcPr>
          <w:p w14:paraId="58AF53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8D2758F" w14:textId="77777777" w:rsidTr="000D3BCB">
        <w:trPr>
          <w:trHeight w:val="270"/>
        </w:trPr>
        <w:tc>
          <w:tcPr>
            <w:tcW w:w="2775" w:type="dxa"/>
          </w:tcPr>
          <w:p w14:paraId="51B9F8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Масло раст., комбижир</w:t>
            </w:r>
          </w:p>
        </w:tc>
        <w:tc>
          <w:tcPr>
            <w:tcW w:w="1050" w:type="dxa"/>
          </w:tcPr>
          <w:p w14:paraId="668333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г.</w:t>
            </w:r>
          </w:p>
        </w:tc>
        <w:tc>
          <w:tcPr>
            <w:tcW w:w="1875" w:type="dxa"/>
          </w:tcPr>
          <w:p w14:paraId="5266B2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483C7B7" w14:textId="77777777" w:rsidTr="000D3BCB">
        <w:trPr>
          <w:trHeight w:val="270"/>
        </w:trPr>
        <w:tc>
          <w:tcPr>
            <w:tcW w:w="2775" w:type="dxa"/>
          </w:tcPr>
          <w:p w14:paraId="4CF4BD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050" w:type="dxa"/>
          </w:tcPr>
          <w:p w14:paraId="640473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875" w:type="dxa"/>
          </w:tcPr>
          <w:p w14:paraId="19CA64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A5DEF0C" w14:textId="77777777" w:rsidTr="000D3BCB">
        <w:trPr>
          <w:trHeight w:val="270"/>
        </w:trPr>
        <w:tc>
          <w:tcPr>
            <w:tcW w:w="2775" w:type="dxa"/>
          </w:tcPr>
          <w:p w14:paraId="4E916C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Спички - </w:t>
            </w:r>
          </w:p>
        </w:tc>
        <w:tc>
          <w:tcPr>
            <w:tcW w:w="1050" w:type="dxa"/>
          </w:tcPr>
          <w:p w14:paraId="3C0327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коробки</w:t>
            </w:r>
          </w:p>
        </w:tc>
        <w:tc>
          <w:tcPr>
            <w:tcW w:w="1875" w:type="dxa"/>
          </w:tcPr>
          <w:p w14:paraId="6016EB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ме.....</w:t>
            </w:r>
          </w:p>
        </w:tc>
      </w:tr>
      <w:tr w:rsidR="00643896" w:rsidRPr="00640820" w14:paraId="21C817BD" w14:textId="77777777" w:rsidTr="000D3BCB">
        <w:trPr>
          <w:trHeight w:val="225"/>
        </w:trPr>
        <w:tc>
          <w:tcPr>
            <w:tcW w:w="2775" w:type="dxa"/>
            <w:tcBorders>
              <w:bottom w:val="single" w:sz="12" w:space="0" w:color="auto"/>
            </w:tcBorders>
          </w:tcPr>
          <w:p w14:paraId="30A88D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Мыло - </w:t>
            </w:r>
          </w:p>
        </w:tc>
        <w:tc>
          <w:tcPr>
            <w:tcW w:w="1050" w:type="dxa"/>
            <w:tcBorders>
              <w:bottom w:val="single" w:sz="12" w:space="0" w:color="auto"/>
            </w:tcBorders>
          </w:tcPr>
          <w:p w14:paraId="4D3DE8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 г.</w:t>
            </w:r>
          </w:p>
        </w:tc>
        <w:tc>
          <w:tcPr>
            <w:tcW w:w="1875" w:type="dxa"/>
            <w:tcBorders>
              <w:bottom w:val="single" w:sz="12" w:space="0" w:color="auto"/>
            </w:tcBorders>
          </w:tcPr>
          <w:p w14:paraId="5B13CD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месяц)</w:t>
            </w:r>
          </w:p>
        </w:tc>
      </w:tr>
    </w:tbl>
    <w:p w14:paraId="144365DC" w14:textId="77777777" w:rsidR="00165A9C" w:rsidRPr="00640820" w:rsidRDefault="002E395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(9366).</w:t>
      </w:r>
    </w:p>
    <w:p w14:paraId="78A7653C" w14:textId="77777777" w:rsidR="002E395B" w:rsidRPr="00640820" w:rsidRDefault="002E395B" w:rsidP="00640820">
      <w:pPr>
        <w:autoSpaceDE w:val="0"/>
        <w:autoSpaceDN w:val="0"/>
        <w:adjustRightInd w:val="0"/>
        <w:spacing w:after="0" w:line="240" w:lineRule="auto"/>
        <w:jc w:val="both"/>
        <w:rPr>
          <w:rFonts w:ascii="Times New Roman" w:hAnsi="Times New Roman"/>
          <w:color w:val="000000" w:themeColor="text1"/>
          <w:sz w:val="16"/>
          <w:szCs w:val="16"/>
        </w:rPr>
      </w:pPr>
    </w:p>
    <w:p w14:paraId="48E3B7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 1941 г. ПОСТАНОВЛЕНИЕ № ГКО-662сс</w:t>
      </w:r>
    </w:p>
    <w:p w14:paraId="630236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Москва, Кремль </w:t>
      </w:r>
    </w:p>
    <w:p w14:paraId="66E0B1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 нормах продовольственного снабжения Красной Армии</w:t>
      </w:r>
    </w:p>
    <w:p w14:paraId="55070D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Установить на военного время следующие 4 категории красноармейского продовольственного пайка: </w:t>
      </w:r>
    </w:p>
    <w:p w14:paraId="0A9E3E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Первая категория - для красноармейцев и начальствующего состава боевых частей Действующей Армии, согласно приложению № 1. </w:t>
      </w:r>
    </w:p>
    <w:p w14:paraId="73CC80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Вторая категория - для красноармейцев и начальствующего состава тыла Действующей Армии (тыл фронта, армии, дивизии, бригады), согласно приложению № 2. </w:t>
      </w:r>
    </w:p>
    <w:p w14:paraId="0767F0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Третья категория - для красноармейцев строевых и запасных частей, не входящих в состав Действующей Армии, согласно приложению № 3. </w:t>
      </w:r>
    </w:p>
    <w:p w14:paraId="3989DC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Четвертая категория - для красноармейцев караульных частей и красноармейцев тыловых учреждений, согласно приложению № 4. </w:t>
      </w:r>
    </w:p>
    <w:p w14:paraId="78EB02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 Установить на военное время следующие 4 категории продовольственного пайка для летно-технического состава ВВС Красной Армии: </w:t>
      </w:r>
    </w:p>
    <w:p w14:paraId="6AC4DD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Первая категория - для боевого расчета экипажей самолетов Действующей Армии, согласно приложению № 5. </w:t>
      </w:r>
    </w:p>
    <w:p w14:paraId="1D65FC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Вторая категория - для технического состава ВВС Действующей Армии, согласно приложению № 6. </w:t>
      </w:r>
    </w:p>
    <w:p w14:paraId="6C81D1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Третья категория - для боевого расчета экипажей, не входящих в состав Действующей Армии, и летно-технического состава, находящегося на казарменном положении, согласно приложению № 7. </w:t>
      </w:r>
    </w:p>
    <w:p w14:paraId="4B5DC0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Четвертая категория - для технического состава ВВС, не входящих в состав Действующей Армии, согласно приложению № 8. </w:t>
      </w:r>
    </w:p>
    <w:p w14:paraId="66A6B4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 Утвердить курсантский, госпитальный, санаторный и сухой пайки, согласно приложениям №№ 9, 10, 11 и 12. </w:t>
      </w:r>
    </w:p>
    <w:p w14:paraId="2454F5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4. Утвердить нормы курсантского и красноармейского вегетарианских пайков, согласно приложениям №№ 13 и 14. </w:t>
      </w:r>
    </w:p>
    <w:p w14:paraId="6A4F16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Выдачу вегетарианских пайков производить один раз в неделю. </w:t>
      </w:r>
    </w:p>
    <w:p w14:paraId="771800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5. Установить для личного состава войск первой линии Карельского фронта на декабрь-февраль месяцы дополнительно к фронтовому пайку свиного сала 25 граммов на человека. </w:t>
      </w:r>
    </w:p>
    <w:p w14:paraId="6ECA08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6. Среднему и выше начальствующему составу Действующей Армии, кроме летного и технического, получающего летный паек, отпускать бесплатно фронтовой паек с добавлением в сутки на человека: </w:t>
      </w:r>
    </w:p>
    <w:p w14:paraId="57C6EC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масло сливочного или сала - 40 граммов </w:t>
      </w:r>
    </w:p>
    <w:p w14:paraId="056181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печенья - 20 " </w:t>
      </w:r>
    </w:p>
    <w:p w14:paraId="08A0C5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рыбных консервов - 5 " </w:t>
      </w:r>
    </w:p>
    <w:p w14:paraId="1AD739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папирос - 25 штук </w:t>
      </w:r>
    </w:p>
    <w:p w14:paraId="4DD7C3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или табака - 25 граммов </w:t>
      </w:r>
    </w:p>
    <w:p w14:paraId="6973C8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спичек (в месяц) - 10 коробок. </w:t>
      </w:r>
    </w:p>
    <w:p w14:paraId="19D686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7. Установить на самолетах фронта и на действующих самолетах тыла на случай аварий и вынужденных посадок пищевой запас на 1 человека: </w:t>
      </w:r>
    </w:p>
    <w:p w14:paraId="55E3BC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молока сгущенного - 3 банки </w:t>
      </w:r>
    </w:p>
    <w:p w14:paraId="1CD111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консервов мясных - 3 банки </w:t>
      </w:r>
    </w:p>
    <w:p w14:paraId="1BA688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галет "Креккер" - 800 граммов </w:t>
      </w:r>
    </w:p>
    <w:p w14:paraId="5EBF1D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шоколада - 300 " </w:t>
      </w:r>
    </w:p>
    <w:p w14:paraId="64D658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сахара - 400 " </w:t>
      </w:r>
    </w:p>
    <w:p w14:paraId="0E014C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или вместо шоколада печенья - 800 " </w:t>
      </w:r>
    </w:p>
    <w:p w14:paraId="62D628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8. Личному составу войсковых частей, расположенных в районах, неблагополучных по цынготным заболеваниям, выдавать 1 человеко-дозу витамина "С" в сетки на человека. </w:t>
      </w:r>
    </w:p>
    <w:p w14:paraId="4CD907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9. Утвердить таблицу замен продовольственных продуктов и зернофуража, согласно приложению № 15. </w:t>
      </w:r>
    </w:p>
    <w:p w14:paraId="3D0A64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10. Считать утратившими силу действия постановление Совнаркома СССР и ЦК ВКП(б) от 15 мая 1941 года за № 1357-551сс "О нормах продовольственного снабжения Красной Армии" и постановление Совнаркома СССР от 25 июля 1941 года № 1753-759сс. </w:t>
      </w:r>
    </w:p>
    <w:p w14:paraId="52C34A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ПРЕДСЕДАТЕЛЬ ГОСУДАРСТВЕННОГО КОМИТЕТА ОБОРОНЫ И. СТАЛИН </w:t>
      </w:r>
    </w:p>
    <w:p w14:paraId="2902A5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Выписки посланы: т.т. Микояну, Шапошникову, Хрулеву, Чадаеву, Берия (11434).</w:t>
      </w:r>
    </w:p>
    <w:p w14:paraId="658C50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3062816" w14:textId="77777777" w:rsidR="00DA0F14" w:rsidRPr="00640820" w:rsidRDefault="00DA0F1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сентябряв 1941 году Государственный Комитет Обороны принял постановление "О нормах продовольственного снабжения Красной Армии". Каждому военнослужащему полагалось ежедневно 800 граммов хлеба, 15 граммов мяса, 100 граммов рыбы, 30 граммов комбижиров и сала, 25 граммов растительного масла, 35 граммов сахара и 30 граммов соли (14767).</w:t>
      </w:r>
    </w:p>
    <w:p w14:paraId="2E3CC7FC" w14:textId="77777777" w:rsidR="00DA0F14" w:rsidRPr="00640820" w:rsidRDefault="00DA0F14" w:rsidP="00640820">
      <w:pPr>
        <w:spacing w:after="0" w:line="240" w:lineRule="auto"/>
        <w:jc w:val="both"/>
        <w:rPr>
          <w:rFonts w:ascii="Times New Roman" w:hAnsi="Times New Roman"/>
          <w:color w:val="000000" w:themeColor="text1"/>
          <w:sz w:val="16"/>
          <w:szCs w:val="16"/>
        </w:rPr>
      </w:pPr>
    </w:p>
    <w:p w14:paraId="6CD0C8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 1941 вышло Постановление ГКО № 663 Об упорядочении снабжения продовольствием и фуражем Красной Армии. РГАНИР, Фонд ГКО, д. 9, лл. 81-82 (11012).</w:t>
      </w:r>
    </w:p>
    <w:p w14:paraId="20B8A5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6C35F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 1941 г. вышел ПРИКАЗ № 303 О ДЕЙСТВИЯХ В БОЮ ЭКИПАЖА ПАРОХОДА “КАЗАХСТАН”</w:t>
      </w:r>
    </w:p>
    <w:p w14:paraId="703A48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августа с. г. в Н-ском морском бассейне (речь идет о Балтийском море) подвергся воздушной атаке немецко-фашистской авиации крупнотоннажный пароход “Казахстан”, на котором возник пожар.</w:t>
      </w:r>
    </w:p>
    <w:p w14:paraId="06ED59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Подавляющее большинство судоэкипажа вместе с капитаном Калитаевым В. С. и помполитом Желтовым И. Ф. перед лицом врага позорно дезертировали с судна.</w:t>
      </w:r>
    </w:p>
    <w:p w14:paraId="5A88A8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Благодаря самоотверженности и беззаветной преданности Родине оставшихся на судне второго помощника капитана Загоруйко Л. Н., старшего механика Фурса В. А., боцмана Гайнутдинова X. К., машинистов Слепне-ра Л. А. и Шишина А. П., кочегара Шумило А. П. и повара Монахова П. Н., не взирая на то, что самолеты противника сбросили более 100 авиабомб, ликвидирован был пожар и судно своим ходом приведено к месту постоянной стоянки.</w:t>
      </w:r>
    </w:p>
    <w:p w14:paraId="47B277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Подвиг этой небольшой группы смельчаков в условиях предательского поведения позорно дезертировавшего перед лицом врага с судна подавляющего большинства судоэкипажа достоин правительственной награды, о которой возбуждаю ходатайство.</w:t>
      </w:r>
    </w:p>
    <w:p w14:paraId="24A506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Одновременно приказываю предать суду военного трибунала и судить со всей строгостью законов военного времени капитана Калитаева В. С., помполита Желтова И. Ф. и лиц судоэкипажа, перед лицом врага дезертировавших с судна и бросивших его на произвол судьбы в момент, когда оно находилось в большой опасности.</w:t>
      </w:r>
    </w:p>
    <w:p w14:paraId="69F840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Настоящий приказ прочесть на всех судах Военно-Морского и Морского флотов.*</w:t>
      </w:r>
    </w:p>
    <w:p w14:paraId="73C04E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 xml:space="preserve">Народный комиссар обороны СССР И. СТАЛИН </w:t>
      </w:r>
      <w:r w:rsidRPr="00640820">
        <w:rPr>
          <w:rFonts w:ascii="Times New Roman" w:hAnsi="Times New Roman"/>
          <w:color w:val="000000" w:themeColor="text1"/>
          <w:sz w:val="16"/>
          <w:szCs w:val="16"/>
        </w:rPr>
        <w:t>(9844).</w:t>
      </w:r>
    </w:p>
    <w:p w14:paraId="33929C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A858284"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0EECB68E"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A242C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 1941 начала действовать "Дорога жизни" - единственная связь осажденного Ленинграда с "Большой землей". До установления льда на Ладоге грузы доставлялись на судах - из портов Новая Ладога и Кобона до порта Осиновец. 12 сентября в Осиновец прибыл первый конвой судов с 600 тоннами зерна и сторожевой корабль "Пурга", привезший 60 тонн боеприпасов. Прославленная ледовая "Дорога жизни" начала действовать с 22 ноября 1941 года (10739).</w:t>
      </w:r>
    </w:p>
    <w:p w14:paraId="48D36A9A"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1AD69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 1941 начал действовать водный путь через Ладогу в блокадный Ленинград (3960, 356).</w:t>
      </w:r>
    </w:p>
    <w:p w14:paraId="24C04E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07E9F97"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сентябряв 1941 году начинает действовать "Дорога жизни" - единственная связь осажденного Ленинграда с "Большой землей". До установления льда на Ладоге грузы доставлялись на судах - из портов Новая Ладога и Кобона до порта Осиновец (14767).</w:t>
      </w:r>
    </w:p>
    <w:p w14:paraId="14BD220D" w14:textId="77777777" w:rsidR="002E395B" w:rsidRPr="00640820" w:rsidRDefault="002E395B" w:rsidP="00640820">
      <w:pPr>
        <w:spacing w:after="0" w:line="240" w:lineRule="auto"/>
        <w:jc w:val="both"/>
        <w:rPr>
          <w:rFonts w:ascii="Times New Roman" w:hAnsi="Times New Roman"/>
          <w:color w:val="000000" w:themeColor="text1"/>
          <w:sz w:val="16"/>
          <w:szCs w:val="16"/>
        </w:rPr>
      </w:pPr>
    </w:p>
    <w:p w14:paraId="36CFF70F"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сентября12 сентября в Осиновец прибыл первый конвой судов с 600 тоннами зерна и сторожевой корабль "Пурга", привезший 60 тонн боеприпасов. Прославленная ледовая "Дорога жизни" начала действовать с 22 ноября 1941 года. в 1941 году Посол Великобритании в Москве Криппс передал В.М.Молотову записку, в которой было сказано: “В случае если Советское Правительство будет вынуждено уничтожить свои военно-морские суда в Ленинграде, чтобы предотвратить переход этих судов в руки неприятеля, Правительство Его Величества признает требование Советского Правительства после войны об участии Правительства Его Величества в замене уничтоженных таким образом судов”.</w:t>
      </w:r>
    </w:p>
    <w:p w14:paraId="6345D17A" w14:textId="77777777" w:rsidR="002E395B" w:rsidRPr="00640820" w:rsidRDefault="002E395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Ленинграде произведено второе снижение прод норм по карточкам рабочим и ИТР стали отпускать по 500 г хлеба в день, служащим и детям до 12 лет — 300 г, иждивенцам — 250 г. Запасы продовольствия для войск и населения составляли хлеба, крупы и мяса — на 30—35 суток, жиров — на 45, сахара и кондит изделий — на 60 суток. Память о массовом героизме советских людей увековечена в памятниках и мемориальных ансамблях, входящих в «Зеленый пояс Славы» (14767).</w:t>
      </w:r>
    </w:p>
    <w:p w14:paraId="0882215F" w14:textId="77777777" w:rsidR="002E395B" w:rsidRPr="00640820" w:rsidRDefault="002E395B" w:rsidP="00640820">
      <w:pPr>
        <w:spacing w:after="0" w:line="240" w:lineRule="auto"/>
        <w:jc w:val="both"/>
        <w:rPr>
          <w:rFonts w:ascii="Times New Roman" w:hAnsi="Times New Roman"/>
          <w:color w:val="000000" w:themeColor="text1"/>
          <w:sz w:val="16"/>
          <w:szCs w:val="16"/>
        </w:rPr>
      </w:pPr>
    </w:p>
    <w:p w14:paraId="0346EA25"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52913C7F"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8CAB0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 1941 года посол Великобритании в Москве г-н Криппс передал В. М. Молотову записку, в которой было сказано: “В случае, если Советское Правительство будет вынуждено уничтожить свои военно-морские суда в Ленинграде, чтобы предотвратить переход этих судов в руки неприятеля, Правительство Его Величества признает требование Советского Правительства после войны об участии Правительства Его Величества в замене уничтоженных таким образом судов” (7430).</w:t>
      </w:r>
    </w:p>
    <w:p w14:paraId="02E8B3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4481486" w14:textId="77777777" w:rsidR="00DA0F14"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4C483538" w14:textId="77777777" w:rsidR="00DA0F14" w:rsidRPr="00640820" w:rsidRDefault="00DA0F14"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6A48C1E" w14:textId="77777777" w:rsidR="001125BD" w:rsidRPr="00640820" w:rsidRDefault="001125B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lastRenderedPageBreak/>
        <w:t>12 сентября 1941 - С авиабазы Грейт Вест взлетел на буксире за бомбардировщиком "Уиттли" первый прототип английского транспортно-десантного планера AS-51, обозначенного как "Хорса" Mk.l Испытания прошли успешно и после показа планера ряду высших офицеров ВВС, его рекомендовали к принятию на вооружение (22367).</w:t>
      </w:r>
    </w:p>
    <w:p w14:paraId="71A01677" w14:textId="77777777" w:rsidR="001125BD" w:rsidRPr="00640820" w:rsidRDefault="001125BD" w:rsidP="00640820">
      <w:pPr>
        <w:spacing w:after="0" w:line="240" w:lineRule="auto"/>
        <w:jc w:val="both"/>
        <w:rPr>
          <w:rFonts w:ascii="Times New Roman" w:hAnsi="Times New Roman"/>
          <w:color w:val="0070C0"/>
          <w:sz w:val="16"/>
          <w:szCs w:val="16"/>
        </w:rPr>
      </w:pPr>
    </w:p>
    <w:p w14:paraId="50149E2E" w14:textId="77777777" w:rsidR="001125BD" w:rsidRPr="00640820" w:rsidRDefault="001125B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12 сентября 1941 - Самолеты британского авианосца HMS Victorious нанесли удар по Гломфьорду, Норвегия, потопив два торговых судна без потерь (20794).</w:t>
      </w:r>
    </w:p>
    <w:p w14:paraId="42052F0A" w14:textId="77777777" w:rsidR="001125BD" w:rsidRPr="00640820" w:rsidRDefault="001125BD" w:rsidP="00640820">
      <w:pPr>
        <w:spacing w:after="0" w:line="240" w:lineRule="auto"/>
        <w:jc w:val="both"/>
        <w:rPr>
          <w:rFonts w:ascii="Times New Roman" w:hAnsi="Times New Roman"/>
          <w:color w:val="0070C0"/>
          <w:sz w:val="16"/>
          <w:szCs w:val="16"/>
        </w:rPr>
      </w:pPr>
    </w:p>
    <w:p w14:paraId="092E7C57" w14:textId="77777777" w:rsidR="00DA0F14" w:rsidRPr="00640820" w:rsidRDefault="00DA0F1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сентябряв 1941 году основание Русского Корпуса на Балканах (из чинов 1 Армейского корпуса Русской Армии) (14767).</w:t>
      </w:r>
    </w:p>
    <w:p w14:paraId="5764C4A9" w14:textId="77777777" w:rsidR="00DA0F14" w:rsidRPr="00640820" w:rsidRDefault="00DA0F14" w:rsidP="00640820">
      <w:pPr>
        <w:spacing w:after="0" w:line="240" w:lineRule="auto"/>
        <w:jc w:val="both"/>
        <w:rPr>
          <w:rFonts w:ascii="Times New Roman" w:hAnsi="Times New Roman"/>
          <w:color w:val="000000" w:themeColor="text1"/>
          <w:sz w:val="16"/>
          <w:szCs w:val="16"/>
        </w:rPr>
      </w:pPr>
    </w:p>
    <w:p w14:paraId="4FD963EE" w14:textId="77777777" w:rsidR="00DA0F14" w:rsidRPr="00640820" w:rsidRDefault="00DA0F1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сентябряв 1941 году в Югославии из эмигрантов сформирован Русский корпус (14767).</w:t>
      </w:r>
    </w:p>
    <w:p w14:paraId="61DB87D0" w14:textId="77777777" w:rsidR="00DA0F14" w:rsidRPr="00640820" w:rsidRDefault="00DA0F14" w:rsidP="00640820">
      <w:pPr>
        <w:spacing w:after="0" w:line="240" w:lineRule="auto"/>
        <w:jc w:val="both"/>
        <w:rPr>
          <w:rFonts w:ascii="Times New Roman" w:hAnsi="Times New Roman"/>
          <w:color w:val="000000" w:themeColor="text1"/>
          <w:sz w:val="16"/>
          <w:szCs w:val="16"/>
        </w:rPr>
      </w:pPr>
    </w:p>
    <w:p w14:paraId="3DF6150C" w14:textId="77777777" w:rsidR="00DA0F14" w:rsidRPr="00640820" w:rsidRDefault="00DA0F1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сентябряв 1941 году немецкие оккупационные власти распустили все голландские профсоюзы (14767).</w:t>
      </w:r>
    </w:p>
    <w:p w14:paraId="24924913" w14:textId="77777777" w:rsidR="00DA0F14" w:rsidRPr="00640820" w:rsidRDefault="00DA0F14" w:rsidP="00640820">
      <w:pPr>
        <w:spacing w:after="0" w:line="240" w:lineRule="auto"/>
        <w:jc w:val="both"/>
        <w:rPr>
          <w:rFonts w:ascii="Times New Roman" w:hAnsi="Times New Roman"/>
          <w:color w:val="000000" w:themeColor="text1"/>
          <w:sz w:val="16"/>
          <w:szCs w:val="16"/>
        </w:rPr>
      </w:pPr>
    </w:p>
    <w:p w14:paraId="1B0A1DF8"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6E2C722E"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A254C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сентября 1941 вышел приказ НКАП N 976с "В исполнение распоряжения ГКО от 10 сентября 1941 N ГКО-653сс в целях освобождения самолетов от излишнего груза и сокращения расходов кислородных баллонов:</w:t>
      </w:r>
    </w:p>
    <w:p w14:paraId="43FAFC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Нач. 10 ГУ Тарасевичу, и.о. нач. ПГУ Шиц, директорам заводов 1, 18, 22, 39, 124, 125, 135, 207, 381:</w:t>
      </w:r>
    </w:p>
    <w:p w14:paraId="0EBABB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на самолете Пе-2 в бомбардировочном варианте установить вместо 6 три кислородных 4-х литровых баллона, с сохранением существующей проводки и мест крепления на 6 баллонов, с целью дать возможность частям ВВС восстановить в случае необходимости снятые баллоны</w:t>
      </w:r>
    </w:p>
    <w:p w14:paraId="2CC199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на самолетах Пе-3 в варианте истребителя установить 3 кислородных 4-х литровых баллона, а в варианте разведчика установить 6 4-х литровых баллона</w:t>
      </w:r>
    </w:p>
    <w:p w14:paraId="1A3CF4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 самолете Су-2 установить вместо 2-х один кислородный 8 литровый баллон на два члена экипажа, оставив крепление и проводку для 2 баллона</w:t>
      </w:r>
    </w:p>
    <w:p w14:paraId="2F8ADB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на самолете Ил-2 кислородных баллонов не ставить (1501,39).</w:t>
      </w:r>
    </w:p>
    <w:p w14:paraId="7D1F9B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0985910" w14:textId="77777777" w:rsidR="00DE7CDD" w:rsidRPr="00640820" w:rsidRDefault="00DE7CDD" w:rsidP="00640820">
      <w:pPr>
        <w:pStyle w:val="ae"/>
        <w:shd w:val="clear" w:color="auto" w:fill="FFFFFF"/>
        <w:spacing w:before="0" w:after="0"/>
        <w:jc w:val="both"/>
        <w:rPr>
          <w:color w:val="000000" w:themeColor="text1"/>
          <w:sz w:val="16"/>
          <w:szCs w:val="16"/>
        </w:rPr>
      </w:pPr>
      <w:r w:rsidRPr="00640820">
        <w:rPr>
          <w:color w:val="000000" w:themeColor="text1"/>
          <w:sz w:val="16"/>
          <w:szCs w:val="16"/>
        </w:rPr>
        <w:t>13 сентября 1941 вышел приказ НКАП № 976с</w:t>
      </w:r>
    </w:p>
    <w:p w14:paraId="2F9D94A7" w14:textId="77777777" w:rsidR="00DE7CDD" w:rsidRPr="00640820" w:rsidRDefault="00DE7CDD" w:rsidP="00640820">
      <w:pPr>
        <w:pStyle w:val="ae"/>
        <w:shd w:val="clear" w:color="auto" w:fill="FFFFFF"/>
        <w:spacing w:before="0" w:after="0"/>
        <w:jc w:val="both"/>
        <w:rPr>
          <w:color w:val="000000" w:themeColor="text1"/>
          <w:sz w:val="16"/>
          <w:szCs w:val="16"/>
        </w:rPr>
      </w:pPr>
      <w:r w:rsidRPr="00640820">
        <w:rPr>
          <w:color w:val="000000" w:themeColor="text1"/>
          <w:sz w:val="16"/>
          <w:szCs w:val="16"/>
        </w:rPr>
        <w:t>В исполнение распоряжения ГКО от 10 сентября 1941 № ГКО-653сс в целях освобождения самолетов от излишнего груза и сокращения расхода кислородных баллонов - приказываю:</w:t>
      </w:r>
    </w:p>
    <w:p w14:paraId="4B5C9C57" w14:textId="77777777" w:rsidR="00DE7CDD" w:rsidRPr="00640820" w:rsidRDefault="00DE7CDD" w:rsidP="00640820">
      <w:pPr>
        <w:pStyle w:val="ae"/>
        <w:shd w:val="clear" w:color="auto" w:fill="FFFFFF"/>
        <w:spacing w:before="0" w:after="0"/>
        <w:jc w:val="both"/>
        <w:rPr>
          <w:color w:val="000000" w:themeColor="text1"/>
          <w:sz w:val="16"/>
          <w:szCs w:val="16"/>
        </w:rPr>
      </w:pPr>
      <w:r w:rsidRPr="00640820">
        <w:rPr>
          <w:color w:val="000000" w:themeColor="text1"/>
          <w:sz w:val="16"/>
          <w:szCs w:val="16"/>
        </w:rPr>
        <w:t>1. Начальнику Десятого Главного Управления ттв. Тарасевичу, и.о. начальника Первого Главного управления тов. Щик и директорам заводов № 22, № 39, № 1, № 124, № 125, № 207, № 381, № 135 и № 18:</w:t>
      </w:r>
    </w:p>
    <w:p w14:paraId="3AE68EFF" w14:textId="77777777" w:rsidR="00DE7CDD" w:rsidRPr="00640820" w:rsidRDefault="00DE7CDD" w:rsidP="00640820">
      <w:pPr>
        <w:pStyle w:val="ae"/>
        <w:shd w:val="clear" w:color="auto" w:fill="FFFFFF"/>
        <w:spacing w:before="0" w:after="0"/>
        <w:jc w:val="both"/>
        <w:rPr>
          <w:color w:val="000000" w:themeColor="text1"/>
          <w:sz w:val="16"/>
          <w:szCs w:val="16"/>
        </w:rPr>
      </w:pPr>
      <w:r w:rsidRPr="00640820">
        <w:rPr>
          <w:color w:val="000000" w:themeColor="text1"/>
          <w:sz w:val="16"/>
          <w:szCs w:val="16"/>
        </w:rPr>
        <w:t>г/ на самолете И-2 кислородные баллоны не ставить</w:t>
      </w:r>
    </w:p>
    <w:p w14:paraId="3A089ADD" w14:textId="77777777" w:rsidR="00DE7CDD" w:rsidRPr="00640820" w:rsidRDefault="00DE7CDD" w:rsidP="00640820">
      <w:pPr>
        <w:pStyle w:val="ae"/>
        <w:shd w:val="clear" w:color="auto" w:fill="FFFFFF"/>
        <w:spacing w:before="0" w:after="0"/>
        <w:jc w:val="both"/>
        <w:rPr>
          <w:color w:val="000000" w:themeColor="text1"/>
          <w:sz w:val="16"/>
          <w:szCs w:val="16"/>
        </w:rPr>
      </w:pPr>
      <w:r w:rsidRPr="00640820">
        <w:rPr>
          <w:color w:val="000000" w:themeColor="text1"/>
          <w:sz w:val="16"/>
          <w:szCs w:val="16"/>
        </w:rPr>
        <w:t>п/п Зам НКАП Воронин (19706).</w:t>
      </w:r>
    </w:p>
    <w:p w14:paraId="7729DC09" w14:textId="77777777" w:rsidR="00DE7CDD" w:rsidRPr="00640820" w:rsidRDefault="00DE7CDD" w:rsidP="00640820">
      <w:pPr>
        <w:pStyle w:val="ae"/>
        <w:shd w:val="clear" w:color="auto" w:fill="FFFFFF"/>
        <w:spacing w:before="0" w:after="0"/>
        <w:jc w:val="both"/>
        <w:rPr>
          <w:color w:val="000000" w:themeColor="text1"/>
          <w:sz w:val="16"/>
          <w:szCs w:val="16"/>
        </w:rPr>
      </w:pPr>
    </w:p>
    <w:p w14:paraId="1BEB379D" w14:textId="77777777" w:rsidR="00DE7CDD" w:rsidRPr="00640820" w:rsidRDefault="00DE7CD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сентября 1941 г. на Брянском фронте был захвачен разведчик Bf 110C-5 №1190, который отличался от самолета Bf 110C-2, купленного в Германии перед войной дополнительным бронированием и установкой длиннофокусной автоматической фотокамеры вместо пушек. Самолет испытывать не стали и сразу передали в БНТ. До конца года специалисты НИИ ВВС и ЦАГИ, выезжая на разные фронты, смогли осмотреть на земле основные типы самолетов люфтваффе. Зимнее контрнаступление советских войск значительно увеличило число трофеев. Только под Москвой с 5 по 30 декабря удалось захватить 34 самолета, большинство из которых было неисправными. Многие из них, авиационное оборудование и вооружение перевезли в Москву для передачи в ЦАГИ, ОКБ и на ремонтные базы. Тем не менее весной 1942 г. имелись весьма скудные сведения об основных типах немецких боевых машин (19727).</w:t>
      </w:r>
    </w:p>
    <w:p w14:paraId="29C13CB5" w14:textId="77777777" w:rsidR="00DE7CDD" w:rsidRPr="00640820" w:rsidRDefault="00DE7CDD" w:rsidP="00640820">
      <w:pPr>
        <w:spacing w:after="0" w:line="240" w:lineRule="auto"/>
        <w:jc w:val="both"/>
        <w:rPr>
          <w:rFonts w:ascii="Times New Roman" w:hAnsi="Times New Roman"/>
          <w:color w:val="000000" w:themeColor="text1"/>
          <w:sz w:val="16"/>
          <w:szCs w:val="16"/>
        </w:rPr>
      </w:pPr>
    </w:p>
    <w:p w14:paraId="7542A7D8"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192DFD3C"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458B2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сентября 1941 вышло Постановление ГКО № 669 Об организации производства 37 мм зенитных автоматов, 57 мм противотанковых пушек и 120 мм полковых минометов на красноярском заводе № 586 Наркомвооружения. РГАНИР, Фонд ГКО, д. 9, лл. 90-91, 92-99 (11012).</w:t>
      </w:r>
    </w:p>
    <w:p w14:paraId="29CC56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F3034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сентября 1941 г. вышло постановление ГКО № 669 об организации на заводе (Завод № 586 НКВ /г. Красноярск/), который перешел в ведение НКВ после начала войны, производства 37-мм зенитных автоматов, 57-мм противотанковых пушек и 120-мм полковых минометов. Первая продукция, зенитные пушки 61-К, отправлены на фронт 15.11.1941 г.</w:t>
      </w:r>
    </w:p>
    <w:p w14:paraId="174F11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после начала войны по решению Совета по эвакуации на площадку завода эвакуированы: завод № 4 НКВ из Коломны, завод № 7 НКВ и часть завода № 232 из Ленинграда, завод № 589 из Калуги. Всего с конца октября по 3.12.1941 г. прибыло 29 эшелонов, 15.849 чел. По пр. НКВ от 6.11.1941 г. заводы № 4, № 586 и № 589 объединены в единый завод № 4 им. Ворошилова (11982).</w:t>
      </w:r>
    </w:p>
    <w:p w14:paraId="4F4EAE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87B635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сентября 1941 года вышел приказ № 447с НКВ</w:t>
      </w:r>
    </w:p>
    <w:p w14:paraId="509DAB6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связи с эвакуацией завода № 13 им. С.М. Кирова в Усть-Катав весь личный состав вновь принятого Усть-Катавского завода ……….. передать заводу № 13.</w:t>
      </w:r>
    </w:p>
    <w:p w14:paraId="4BC6A41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Имущество, рабочих …………… завода № 13, эвакуированные в Мытищи передать на баланс завода № 592 (6305, 53).</w:t>
      </w:r>
    </w:p>
    <w:p w14:paraId="1E917C8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639BD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сентября 1941 года вышел Приказ НКБ № 529</w:t>
      </w:r>
    </w:p>
    <w:p w14:paraId="5E5E5B8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распоряжением СНК за № 6375-рс от 14 августа 1941 года присвоить строящемуся заводу “ФИТИНГ” в Кировской обл. номер 609 и подчинить 6 Гл. Управлению (5598, 48).</w:t>
      </w:r>
    </w:p>
    <w:p w14:paraId="64EAFEE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418CC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сентября 1941 года вышел приказ № 1с НКТП</w:t>
      </w:r>
    </w:p>
    <w:p w14:paraId="3BC1A1B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исполнение постановления ГКО об организации на Востоке базы по производству танков Т-50:</w:t>
      </w:r>
    </w:p>
    <w:p w14:paraId="0E663FB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Директору завода № 174 организовать на Чкаловском паровозоремонтном заводе производство танков Т-50 ………(6032, 2).</w:t>
      </w:r>
    </w:p>
    <w:p w14:paraId="03A69BC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B314C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сентября 1941 года вышел приказ № 2с НКТП</w:t>
      </w:r>
    </w:p>
    <w:p w14:paraId="56302CC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исполнение постановления ГКО от 12 сентября 1941 года за № ГКО-666 об эвакуации из Харькова завода № 75:</w:t>
      </w:r>
    </w:p>
    <w:p w14:paraId="11334B2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Приступить к эвакуации завода № 75 в Челябинск на площади Челябинского тракторного завода (6032, 3).</w:t>
      </w:r>
    </w:p>
    <w:p w14:paraId="77D7D89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9DBBA7"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13 сентября 1941 г.</w:t>
      </w:r>
    </w:p>
    <w:p w14:paraId="7434CD8E"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13962.1экз.13.IX-41 </w:t>
      </w:r>
    </w:p>
    <w:p w14:paraId="28BEC343"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Сов.секретно </w:t>
      </w:r>
    </w:p>
    <w:p w14:paraId="3955B2CA"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ПРИКАЗ</w:t>
      </w:r>
    </w:p>
    <w:p w14:paraId="27B8B3DE"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Народного Комиссара Танковой промышленности Союза ССР</w:t>
      </w:r>
    </w:p>
    <w:p w14:paraId="73D9263C"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2сс</w:t>
      </w:r>
    </w:p>
    <w:p w14:paraId="6C9CBCC9"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г. Москва </w:t>
      </w:r>
    </w:p>
    <w:p w14:paraId="540367ED"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13 сентября 1941 г.</w:t>
      </w:r>
    </w:p>
    <w:p w14:paraId="21B6C125"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Во исполнение постановления ГКО от 12.IX-1941 г. за № 666сс об эвакуации из гор. Харькова завода № 75 приказываю: </w:t>
      </w:r>
    </w:p>
    <w:p w14:paraId="7B1C7E4E"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1. Директору завода № 75 тов. Кочеткову приступить к эвакуации завода № 75 в гор. Челябинск на площади Челябинского тракторного завода. </w:t>
      </w:r>
    </w:p>
    <w:p w14:paraId="0F267CB0"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Эвакуацию завода № 75 произвести в две очереди: </w:t>
      </w:r>
    </w:p>
    <w:p w14:paraId="528A1346"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а) первая очередь – 50% оборудования с кадрами. Эвакуацию закончить к 10 октября с.г., обеспечив начало производства дизелей с 25 октября с.г.; </w:t>
      </w:r>
    </w:p>
    <w:p w14:paraId="16124C22"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б) вторая очередь – остальное оборудование и кадры эвакуируются после установки и монтажа первой очереди. Впредь до эвакуации второй очереди обеспечить выпуск не менее 25 дизелей в день, в кооперации с СТЗ. </w:t>
      </w:r>
    </w:p>
    <w:p w14:paraId="56FF76D0"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2. Начальнику Транспортного отдела т. Иванову обеспечить через НКПС подачу для эвакуации завода № 75 1650 вагонов, в том числе для перевозки рабочих, ИТР и членов их семей 480 вагонов и для оборудования 415 крытых и 5 цистерн. </w:t>
      </w:r>
    </w:p>
    <w:p w14:paraId="217DE7D3"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3. Директору завода тов. Кочеткову: </w:t>
      </w:r>
    </w:p>
    <w:p w14:paraId="76335075"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а) немедленно командировать на ЧТЗ бригаду инженерно-технических работников для проведения подготовительных работ по размещению и приему оборудования завода № 75; </w:t>
      </w:r>
    </w:p>
    <w:p w14:paraId="29A28B4C"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lastRenderedPageBreak/>
        <w:t xml:space="preserve">б) ежедневно телеграфно сообщать мне о ходе отгрузки оборудования, продвижении маршрутов и их номера. </w:t>
      </w:r>
    </w:p>
    <w:p w14:paraId="5BC6A093"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Ответственность за эвакуацию и бесперебойное производство дизелей возложить на т. Кочеткова. </w:t>
      </w:r>
    </w:p>
    <w:p w14:paraId="6E0B098E"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Народный Комиссар Танковой промышленности Союза ССР</w:t>
      </w:r>
    </w:p>
    <w:p w14:paraId="387A8AD7"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подпись В. МАЛЫШЕВ</w:t>
      </w:r>
    </w:p>
    <w:p w14:paraId="502D367E"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+ 6 экз. полностью и 1 экз. выписки вн. 14.IX. 1 час. 40 мин. </w:t>
      </w:r>
    </w:p>
    <w:p w14:paraId="71905830" w14:textId="77777777" w:rsidR="00AF6985" w:rsidRPr="00640820" w:rsidRDefault="00AF6985" w:rsidP="00640820">
      <w:pPr>
        <w:spacing w:after="0" w:line="240" w:lineRule="auto"/>
        <w:jc w:val="both"/>
        <w:rPr>
          <w:rFonts w:ascii="Times New Roman" w:eastAsia="Times New Roman" w:hAnsi="Times New Roman"/>
          <w:bCs/>
          <w:iCs/>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получ. 13.IX. 22 ч. 50 м.</w:t>
      </w:r>
    </w:p>
    <w:p w14:paraId="4994102A" w14:textId="77777777" w:rsidR="00AF6985" w:rsidRPr="00640820" w:rsidRDefault="00AF6985" w:rsidP="00640820">
      <w:pPr>
        <w:spacing w:after="0" w:line="240" w:lineRule="auto"/>
        <w:jc w:val="both"/>
        <w:rPr>
          <w:rFonts w:ascii="Times New Roman" w:eastAsia="Times New Roman" w:hAnsi="Times New Roman"/>
          <w:bCs/>
          <w:iCs/>
          <w:color w:val="000000" w:themeColor="text1"/>
          <w:sz w:val="16"/>
          <w:szCs w:val="16"/>
          <w:lang w:eastAsia="ru-RU"/>
        </w:rPr>
      </w:pPr>
      <w:r w:rsidRPr="00640820">
        <w:rPr>
          <w:rFonts w:ascii="Times New Roman" w:eastAsia="Times New Roman" w:hAnsi="Times New Roman"/>
          <w:bCs/>
          <w:iCs/>
          <w:color w:val="000000" w:themeColor="text1"/>
          <w:sz w:val="16"/>
          <w:szCs w:val="16"/>
          <w:lang w:eastAsia="ru-RU"/>
        </w:rPr>
        <w:t>РГАЭ Фонд 8752 Опись 4 Дело 2 лист 3 (17628).</w:t>
      </w:r>
    </w:p>
    <w:p w14:paraId="503CF64C" w14:textId="77777777" w:rsidR="00AF6985" w:rsidRPr="00640820" w:rsidRDefault="00AF6985" w:rsidP="00640820">
      <w:pPr>
        <w:spacing w:after="0" w:line="240" w:lineRule="auto"/>
        <w:jc w:val="both"/>
        <w:rPr>
          <w:rFonts w:ascii="Times New Roman" w:eastAsia="Times New Roman" w:hAnsi="Times New Roman"/>
          <w:bCs/>
          <w:iCs/>
          <w:color w:val="000000" w:themeColor="text1"/>
          <w:sz w:val="16"/>
          <w:szCs w:val="16"/>
          <w:lang w:eastAsia="ru-RU"/>
        </w:rPr>
      </w:pPr>
    </w:p>
    <w:p w14:paraId="4DC18FA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сентября 1941 года вышел приказ № 3с НКТП</w:t>
      </w:r>
    </w:p>
    <w:p w14:paraId="15B210C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исполнение постановления ГКО от 12 сентября 1941 года за № ГКО-655сс об организации на Востоке базы по производству танков Т-50:</w:t>
      </w:r>
    </w:p>
    <w:p w14:paraId="6B39905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Передать Чкаловский паровозоремонтный завод Наркомата путей сообщения в НКТП (6032, 4).</w:t>
      </w:r>
    </w:p>
    <w:p w14:paraId="1A62ED0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2B67B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сентября 1941 года вышел приказ № 4с НКТП</w:t>
      </w:r>
    </w:p>
    <w:p w14:paraId="7C372A0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исполнение постановления ГКО от 12 сентября 1941 года за № 667сс об эвакуации завода № 183 и Мариупольского завода:</w:t>
      </w:r>
    </w:p>
    <w:p w14:paraId="6B54381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Директору завода № 183 приступить к эвакуации оборудования и кадров завода № 183 на площади Уралвагонзавода в г. Нижний Тагил.</w:t>
      </w:r>
    </w:p>
    <w:p w14:paraId="18F9AE3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Директору Мариупольского завода им. Ильича приступить к эвакуации оборудования и кадров завода на площади Уралвагонзавода в г. Нижний Тагил (6032, 10).</w:t>
      </w:r>
    </w:p>
    <w:p w14:paraId="3D9C58C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07A9DC"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13 сентября 1941 г.</w:t>
      </w:r>
    </w:p>
    <w:p w14:paraId="6B0C1A49"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Сов.секретно </w:t>
      </w:r>
    </w:p>
    <w:p w14:paraId="4A5959A8"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ПРИКАЗ</w:t>
      </w:r>
    </w:p>
    <w:p w14:paraId="60D154AD"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Народного Комиссара Танковой промышленности Союза ССР</w:t>
      </w:r>
    </w:p>
    <w:p w14:paraId="59AA5819"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4</w:t>
      </w:r>
    </w:p>
    <w:p w14:paraId="77029C75"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г. Москва </w:t>
      </w:r>
    </w:p>
    <w:p w14:paraId="3A392B7E"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13 сентября 1941 г.</w:t>
      </w:r>
    </w:p>
    <w:p w14:paraId="3E464555"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Во исполнение постановления ГКО от 12.IX-1941 г. за № 667сс об эвакуации завода № 183 и Мариупольского завода приказываю: </w:t>
      </w:r>
    </w:p>
    <w:p w14:paraId="28DEAF70"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1. Директору завода № 183 тов. Максареву приступить к эвакуации оборудования и кадров завода № 183 на площади Уралвагонзавода в гор. Нижний Тагил. </w:t>
      </w:r>
    </w:p>
    <w:p w14:paraId="01FD2233"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2. Установить следующий порядок и сроки эвакуации завода № 183: </w:t>
      </w:r>
    </w:p>
    <w:p w14:paraId="6715AF14"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а) первая очередь – 50% действующего оборудования, занятого на производстве танков Т-34 вместе с кадрами рабочих и ИТР. </w:t>
      </w:r>
    </w:p>
    <w:p w14:paraId="45EA8715"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Эвакуацию закончить к 10 октября 1941 года; </w:t>
      </w:r>
    </w:p>
    <w:p w14:paraId="514D01ED"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б) вторая очередь – остальные 50% действующего оборудования, занятого на производстве танков Т-34 и все остальное оборудование завода, занятое на производстве арттягачей. </w:t>
      </w:r>
    </w:p>
    <w:p w14:paraId="124FBE03"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Эвакуацию второй очереди начать после установки и пуска в действие первой очереди. </w:t>
      </w:r>
    </w:p>
    <w:p w14:paraId="1839358F"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3. Обязать директора завода № 183 тов. Максарева: </w:t>
      </w:r>
    </w:p>
    <w:p w14:paraId="65C878D4"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а) обеспечить в период эвакуации завода выпуск танков Т-34 по 7 штук в день и через два месяца после полной эвакуации завода выпуск 15 танков Т-34 в день на Уралвагонзаводе; </w:t>
      </w:r>
    </w:p>
    <w:p w14:paraId="56D03A9A"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б) обеспечить выпуск 50 арттягачей в месяц через месяц после монтажа оборудования и через два месяца – 75 штук в месяц; </w:t>
      </w:r>
    </w:p>
    <w:p w14:paraId="0D64FAC4"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в) немедленно командировать на Уралвагонзавод бригаду инженерно-технических работников во главе с главным инженером завода тов. Кривичем для проведения подготовительных работ по размещению, приему и монтажу оборудования и кадров завода № 183; </w:t>
      </w:r>
    </w:p>
    <w:p w14:paraId="75F4FC5A"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г) ежедневно телеграфом сообщать мне о ходе отгрузки оборудования, номера маршрутов и их продвижении. </w:t>
      </w:r>
    </w:p>
    <w:p w14:paraId="52821004"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4. Директору Мариупольского завода им. Ильича т. Гармашову приступить к эвакуации оборудования и кадров завода на площади Уралвагонзавода в гор. Нижний Тагил. </w:t>
      </w:r>
    </w:p>
    <w:p w14:paraId="62AD4517"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5. Установить следующий порядок и сроки эвакуации Мариупольского завода им. Ильича: </w:t>
      </w:r>
    </w:p>
    <w:p w14:paraId="2C4062D1"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а) первая очередь – 50% действующего оборудования завода, занятого на производстве деталей к танкам Т-34 вместе с кадрами рабочих и ИТР. </w:t>
      </w:r>
    </w:p>
    <w:p w14:paraId="3D1BAF23"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Эвакуацию закончить к 10 октября с.г.; </w:t>
      </w:r>
    </w:p>
    <w:p w14:paraId="6A1AA8EE"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б) вторая очередь – остальные 50% действующего оборудования, занятого на производстве деталей к танкам Т-34, а также все оборудование, занятое на производстве авиабомб. </w:t>
      </w:r>
    </w:p>
    <w:p w14:paraId="1BCF9CC9"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Эвакуацию начать после установки и пуска в действие первой очереди; </w:t>
      </w:r>
    </w:p>
    <w:p w14:paraId="06BE9B32"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в) оборудование и кадры рабочих и ИТР Мариупольского завода, занятые на производстве бронелистов, эвакуировать на Нижне-Тагильский завод Наркомчермета, на Уралвагонзавод и на Стройсемь в порядке, согласно приложению № 1. </w:t>
      </w:r>
    </w:p>
    <w:p w14:paraId="59548E47"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К эвакуации приступить немедленно. </w:t>
      </w:r>
    </w:p>
    <w:p w14:paraId="1BE30DB7"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6. Обязать директора мариупольского завода им. Ильича тов. Гармашова: </w:t>
      </w:r>
    </w:p>
    <w:p w14:paraId="7091E9BD"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а) в период эвакуации завода производить поставку бронедеталей для танка Т-34 заводу № 183 в количествах, обеспечивающих выпуск заводом № 183 танков Т-34 по 8 штук в день и установленную кооперацию с заводом № 264; </w:t>
      </w:r>
    </w:p>
    <w:p w14:paraId="28C0E3B5"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б) обеспечить через 2 месяца после полной эвакуации этих заводов выпуск 15 танков Т-34 в день на Уралвагонзаводе; </w:t>
      </w:r>
    </w:p>
    <w:p w14:paraId="0AEC6DE6"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в) немедленно командировать на Уралвагонзавод бригаду инженерно-технических работников во главе с главным инженером тов. Ниценко для проведения подготовительных работ по размещению, приему и монтажу оборудования и кадров завода им. Ильича; </w:t>
      </w:r>
    </w:p>
    <w:p w14:paraId="2B40CD8C"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г) ежедневно телеграфно сообщать мне о ходе отгрузки оборудования, номера маршрутов и их продвижении. </w:t>
      </w:r>
    </w:p>
    <w:p w14:paraId="701A4827"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7. Начальнику транспортного отдела тов. Иванову обеспечить через НКПС подачу для перевозки оборудования и кадров: </w:t>
      </w:r>
    </w:p>
    <w:p w14:paraId="3B4EE745"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а) заводу № 183 3.000 вагонов, в том числе 900 вагонов для людей, из них в первую очередь 1.500 вагонов, в том числе 450 вагонов для людей; </w:t>
      </w:r>
    </w:p>
    <w:p w14:paraId="5D0B1982"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б) заводу им. Ильича 6.300 вагонов (в двухосном исчислении) – 220 50-ти тонных вагонов и 20 транспортеров, из них в первую очередь 3.000 вагонов, в то числе 265 вагонов для людей. </w:t>
      </w:r>
    </w:p>
    <w:p w14:paraId="0DDE6918"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8. Обязать директора Уралвагонзавода тов. Александрова: </w:t>
      </w:r>
    </w:p>
    <w:p w14:paraId="28728188"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а) к 1 декабря с.г. построить на Уралвагонзаводе две мартеновские печи (кроме двух вводимых в эксплоатацию); </w:t>
      </w:r>
    </w:p>
    <w:p w14:paraId="4BE000A4"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б) к 1 ноября с.г. построить на Уралвагонзаводе фундамент под листопрокатный стан; </w:t>
      </w:r>
    </w:p>
    <w:p w14:paraId="6B85834B"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в) построить на Уралвагонзаводе деревянных стандартных домов на 40.000 человек, их них: </w:t>
      </w:r>
    </w:p>
    <w:p w14:paraId="7C0ACDC7"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к 1 ноября – на 10.000 чел. </w:t>
      </w:r>
    </w:p>
    <w:p w14:paraId="45853D1C"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к 1 декабря – на 15.000 чел. и </w:t>
      </w:r>
    </w:p>
    <w:p w14:paraId="238631B7"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к 1 января 1942 г. – на 15.000 человек; </w:t>
      </w:r>
    </w:p>
    <w:p w14:paraId="6E2E0B73"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г) необходимые строительные работы на Уралвагонзаводе производить без проектов и смет. </w:t>
      </w:r>
    </w:p>
    <w:p w14:paraId="777A3009"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9. Зам. начальника Главснаба тов. Розину обеспечить получение целевым назначением для строительства на Уралвагонзаводе и монтажа эвакуированного оборудования строительные материалы, кабельные изделия и провод, лес и оборудование. </w:t>
      </w:r>
    </w:p>
    <w:p w14:paraId="2591D3D0"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10. Указанным постановлением ГКО обязаны: </w:t>
      </w:r>
    </w:p>
    <w:p w14:paraId="6677A6DB"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а) Наркомстрой – тов. Гинзбург: </w:t>
      </w:r>
    </w:p>
    <w:p w14:paraId="174906AA"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к 1 декабря с.г. построить на Уралвагонзаводе две мартеновские печи (кроме двух, вводимых в эксплоатацию) ; </w:t>
      </w:r>
    </w:p>
    <w:p w14:paraId="679158D5"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к 1 ноября с.г. построить на Уралвагонзаводе фундамент под листопрокатный стан; </w:t>
      </w:r>
    </w:p>
    <w:p w14:paraId="4E09E29B"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построить на Уралвагонзаводе деревянных стандартных домов на 40.000 человек, их них: </w:t>
      </w:r>
    </w:p>
    <w:p w14:paraId="6C473E7B"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к 1 ноября на 10.000 чел. </w:t>
      </w:r>
    </w:p>
    <w:p w14:paraId="0434DD4A"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к 1 декабря на 15.000 чел. и </w:t>
      </w:r>
    </w:p>
    <w:p w14:paraId="7B1A02DF"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к 1 января 1942 года на 15.000 человек; </w:t>
      </w:r>
    </w:p>
    <w:p w14:paraId="2FED1E8C"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б) Госплан СССР тов. Косяченко: </w:t>
      </w:r>
    </w:p>
    <w:p w14:paraId="36B9AC50"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в сентябре, октябре и ноябре месяцах выделить Наркомтанкопрому и Наркомстрою целевым назначением для строительства на Уралвагонзаводе и монтажа эвакуируемого оборудования строительные материалы, кабельные изделия, провод, лес и оборудование; </w:t>
      </w:r>
    </w:p>
    <w:p w14:paraId="0C144F89"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в) Главлесосбыт тов. Лопухов: </w:t>
      </w:r>
    </w:p>
    <w:p w14:paraId="023BDF6A"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lastRenderedPageBreak/>
        <w:t xml:space="preserve">выделить Наркомстрою целевым назначением для строительства Уралвагонзавода в сентябре 2.000 вагонов леса, в октябре – 3.000 вагонов и в ноябре 3.000 вагонов леса за счет отодвижки поставки леса другим потребителям, а НКПС – тов. Каганович обеспечить подачу указанного количества вагонов и перевозку леса на Уралвагонзавод; </w:t>
      </w:r>
    </w:p>
    <w:p w14:paraId="4DF6922A"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г) НКО – </w:t>
      </w:r>
    </w:p>
    <w:p w14:paraId="075238FE"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сформировать к 15 октября с.г. в Уральском военном округе 5 стройбатальонов и передать их Наркомстрою для строительства Уралвагонзавода; </w:t>
      </w:r>
    </w:p>
    <w:p w14:paraId="786129AF"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д) секретари Свердловского и Челябинского обкомов ВКП(б) тов. Андрианов и тов. Сопрыкин – </w:t>
      </w:r>
    </w:p>
    <w:p w14:paraId="42890E5E"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обеспечить жильем рабочих, ИТР и членов их семей эвакуированных заводов: Мариупольского и завода № 183, для чего немедленно приступить к подготовке и бронированию жилплощади. </w:t>
      </w:r>
    </w:p>
    <w:p w14:paraId="1EF9064A"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Народный Комиссар Танковой промышленности Союза ССР</w:t>
      </w:r>
    </w:p>
    <w:p w14:paraId="52730C10"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подпись В. МАЛЫШЕВ</w:t>
      </w:r>
    </w:p>
    <w:p w14:paraId="22A2B115"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13963. лг </w:t>
      </w:r>
    </w:p>
    <w:p w14:paraId="5670425A"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Отп. 1 экз. </w:t>
      </w:r>
    </w:p>
    <w:p w14:paraId="2BAE5ABA"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13.IX-41 г. </w:t>
      </w:r>
    </w:p>
    <w:p w14:paraId="5ADB57DA"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+ 10 экз. полностью и 2 экз. выписки отп. 0 час.40 мин. 14.IX. </w:t>
      </w:r>
    </w:p>
    <w:p w14:paraId="2BC62E92"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получ. в печ. 23 ч. 50 м. 13.IX. вн. </w:t>
      </w:r>
    </w:p>
    <w:p w14:paraId="6CF571DA"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bCs/>
          <w:iCs/>
          <w:color w:val="000000" w:themeColor="text1"/>
          <w:sz w:val="16"/>
          <w:szCs w:val="16"/>
          <w:lang w:eastAsia="ru-RU"/>
        </w:rPr>
        <w:t>РГАЭ Фонд 8752 Опись 4 Дело 2 лист 7 – 10</w:t>
      </w:r>
      <w:r w:rsidRPr="00640820">
        <w:rPr>
          <w:rFonts w:ascii="Times New Roman" w:eastAsia="Times New Roman" w:hAnsi="Times New Roman"/>
          <w:color w:val="000000" w:themeColor="text1"/>
          <w:sz w:val="16"/>
          <w:szCs w:val="16"/>
          <w:lang w:eastAsia="ru-RU"/>
        </w:rPr>
        <w:t xml:space="preserve"> (17528).</w:t>
      </w:r>
    </w:p>
    <w:p w14:paraId="1F1D97BB" w14:textId="77777777" w:rsidR="00AF6985" w:rsidRPr="00640820" w:rsidRDefault="00AF6985" w:rsidP="00640820">
      <w:pPr>
        <w:spacing w:after="0" w:line="240" w:lineRule="auto"/>
        <w:jc w:val="both"/>
        <w:rPr>
          <w:rFonts w:ascii="Times New Roman" w:eastAsia="Times New Roman" w:hAnsi="Times New Roman"/>
          <w:color w:val="000000" w:themeColor="text1"/>
          <w:sz w:val="16"/>
          <w:szCs w:val="16"/>
          <w:lang w:eastAsia="ru-RU"/>
        </w:rPr>
      </w:pPr>
    </w:p>
    <w:p w14:paraId="4D52AB3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сентября 1941 приказом по НКТП и наркомсудпрому № 5/312с (РГАЭ. Ф. 8752. Оп. 4. Д. 2. Л. 21) Третье Главное управление было передано НКТП. В главк входили 4 завода и один НИИ:</w:t>
      </w:r>
    </w:p>
    <w:p w14:paraId="777E2A8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rPr>
        <w:tab/>
        <w:t>Мариупольский завод имени Ильича. Перед войной поставлял бронекорпуса для ХПЗ.</w:t>
      </w:r>
    </w:p>
    <w:p w14:paraId="3E31571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rPr>
        <w:tab/>
        <w:t>Ижорский завод в г. Колпино Ленинградской области. Накануне войны производил бронекорпуса танка КВ для Кировского завода.</w:t>
      </w:r>
    </w:p>
    <w:p w14:paraId="05E6675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rPr>
        <w:tab/>
        <w:t>Кулебакский металлургический завод, он же № 178.</w:t>
      </w:r>
    </w:p>
    <w:p w14:paraId="7318577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rPr>
        <w:tab/>
        <w:t>Завод № 264 в Сталинграде. Перед войной на заводе организовывалось производство корпусов танка Т-34 для СТЗ.</w:t>
      </w:r>
    </w:p>
    <w:p w14:paraId="07E053A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rPr>
        <w:tab/>
        <w:t>НИИ-48 в Ленинграде. Этот научно-исследовательский институт занимался проблемами бронестали и бронезащиты. В годы войны он проводил исследования, направленные на повышение защищенности танков.</w:t>
      </w:r>
    </w:p>
    <w:p w14:paraId="43F655B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судостроителей в распоряжение НКТП перешли не только заводы, но и аппарат управления главка. Нарком судостроительной промышленности И. И. Носенко стал одним из заместителей В. А. Малышева.</w:t>
      </w:r>
    </w:p>
    <w:p w14:paraId="5C43D0E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13 сентября 1941 года была создана комиссия по приемке Чкаловского паровозоремонтного завода от Наркомата путей сообщения (РГАЭ. Ф. 8752. Оп. 4. Д. 2. Л. 21). Этот завод был передан НКТП постановлением ГКО 12 сентября 1941 года № 655сс(РГАСПИ. Ф. 644. Оп. 1. Д. 9. Л. 45-46).</w:t>
      </w:r>
    </w:p>
    <w:p w14:paraId="30B141C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Таким образом, в середине сентября 1941 года, сразу же после решения о создании наркомата, в его состав была включена большая группа предприятий. В НКТП вошли все довоенные центры танкостроения, ряд предприятий, переходящих к производству танков, а также несколько заводов, которые должны были стать базой для размещения эвакуированных танковых заводов. Однако на этом процесс формирования производственной базы НКТП еще не был завершен, и в течение октября-декабря 1941 года к НКТП присоединился ряд заводов, не занимавшихся до этого танкостроением (12290).</w:t>
      </w:r>
    </w:p>
    <w:p w14:paraId="1B3604D4"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02640B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сентября 1941 в соответствии с постановлениями ГКО от 12 сентября 1941 были отданы приказы народного комиссара танковой промышленности за № 2сс, в котором определялся порядок эвакуации завода № 75, и 4сс, определявший порядок эвакуации Харьковского паровозостроительного завода и Мариупольского завода имени Ильича, а вслед за тем 11сс от 17 сентября, в которых определялся порядок эвакуации Харьковского тракторного завода. Эти приказы фактически содержат планы проведения эвакуации этих заводов. Впрочем, эти планы представляли собой не вольное творчество руководства наркомата. Основные мероприятия, запланированные в этих приказах, были уже подробно изложены в постановлениях ГКО № 666 и № 667.</w:t>
      </w:r>
    </w:p>
    <w:p w14:paraId="53093A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бумаге все выглядит очень хорошо. Предприятия должны были быть эвакуированы в следующие пункты: завод № 183 - на Уральский вагоностроительный завод в городе Нижний Тагил, один из крупнейших заводов Урала, построенных в 30-е годы. На этом заводе имелись большие свободные площади, на которые до сих пор не было установлено оборудование ( из-за этого завод так и не вышел на проектируемую мощность производства ), а также развитое металлургическое производство. Впоследствии Уральский вагоностроительный завод ( в годы войны он обычно тоже назывался № 183, как и завод в Харькове ) стал крупнейшим танковым заводом мира, как по территории завода, которая, как оказалось, была сопоставима с крупным городом, так и по объёмам производства, и даже вошёл в книгу рекордов Гиннеса как крупнейший военный завод. Мариупольский завод имени Ильича должен был быть разделён на две части. Большая часть должна была войти в состав завода № 183 в Нижнем Тагиле, а другая, состоящая из оборудования и рабочих, занятых производством бронелиста – на Нижнетагильский Металлургический завод. Завод № 75 должен был быть эвакуирован на Челябинский тракторный завод, туда же, куда уже эвакуировался Кировский завод из Ленинграда, и войти там в его состав. ХТЗ должен был разделить своё оборудование между пятью заводами: тем же № 183, Сталинградским тракторным, № 264, тоже находившимся в Сталинграде, Чкаловским паровозоремонтным и Саратовским паровозоремонтным. С точки зрения размещения эвакуируемых предприятий план был отличным. Очень важно было то, что в качестве базы для развёртывания производства на новом месте можно было использовать уже существующие предприятия, имеющие собственную развитую производственную базу, запасы сырья, собственный жилой фонд, подсобные хозяйства и т. д.. Выбор Уралвагонзавода как предприятия, на которое должен был быть эвакуирован завод № 183, тоже был очень удачным и способствовал успешной деятельности этого крупнейшего танкового завода. ХТЗ, как предприятие, не имеющее собственных традиций танкостроения, было ценно не как единый комплекс, а прежде всего своим оборудованием. Ликвидация завода и распределение этого оборудования по нескольким предприятиям позволяло более эффективно его использовать. Так же разумным следует признать разделение на две части Мариупольского завода. Производство бронекорпусов было действительно выгоднее передать танковому заводу, а металлургическое оборудование лучше было бы использовано на Нижнетагильском металлургическом заводе.</w:t>
      </w:r>
    </w:p>
    <w:p w14:paraId="241D05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Предполагалось провести эвакуацию в два этапа. Всё оборудование и кадры должны были быть разделены на две группы, каждая из которых должна была включать 50% действующего оборудования, занятого на производстве танков и деталей к ним, и соответствующее количество ИТР. На первом этапе, начать который предполагалось немедленно, должна была быть эвакуирована первая группа. Первый этап должен был завершиться на Мариупольском заводе имени Ильича к 10 октября, на заводе № 75 – 25 октября, на Харьковском Тракторном заводе – 27 октября, а на Харьковском Паровозостроительном заводе, он же № 183 – 10 ноября. Эвакуация второй группы должна была начаться только после того, как первая группа наладит на новом месте производство. Таким образом, процесс выпуска военной продукции не должен был быть прерван. Было установлено, что завод № 183 должен будет в ходе первого периода эвакуации производить не менее 7 танков в день, а Мариупольский завод имени Ильича – обеспечить для завода № 183 необходимое для такого объёма производства количество бронекорпусов и башен.</w:t>
      </w:r>
    </w:p>
    <w:p w14:paraId="085D33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Определёно количество и тип требующихся для проведения эвакуации вагонов. Их требовалось для проведения эвакуации немало. Так, Харьковский Паровозостроительный завод должен был получить для проведения обоих этапов эвакуации 3000 вагонов ( в стандартном двухосном исчислении ), в том числе 900 – для людей. Харьковский тракторный должен был получить для проведения эвакуации 3000 вагонов, в том числе и 1000 вагонов для людей. Завод № 75 должен был получить1650 вагонов, в том числе 480 вагонов для людей. Больше всего вагонов должен был получить Мариупольский завод имени Ильича. Ему должны были предоставить 6200 стандартных вагонов в двухосном исчислении, 220 50-ти тонных вагонов и 20 транспортёров. Всего для четырёх заводов требовалось 14090 вагонов всех типов. Постановления ГКО № 666 и № 667 обязывали НКПС выделить это количество вагонов для эвакуации предприятий НКТП. Транспортный отдел НКТП и его начальник Иванов получили указание обеспечить получение требуемых вагонов от НКПС. Впрочем, это огромное число вагонов вряд ли могло быть полностью получено в действительности.</w:t>
      </w:r>
    </w:p>
    <w:p w14:paraId="7A98CA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Особое внимание в приказах уделено проблеме обустройства на новом месте. Заводы должны были выслать на новые места своего расположения группы специалистов во главе с главными инженерами и провести там подготовительную работу. Заранее было определено, что на Уралвагонзаводе, куда эвакуировался завод № 183, потребуется ещё две дополнительные мартеновские печи, которые директор завода должен построить к 1 декабря, так же как и фундамент под прокатный стан. Внимание было уделено не только организации производства на новом месте, но и созданию приемлемых условий быта рабочих. В частности, для будущих новых рабочих Уралвагонзавода, прибывающих в ходе эвакуации, предусматривалось построить деревянные дома на 40.000 человек. Строительство домов должно было быть завершено к 1 января 1942 года. Помимо этого, руководство партийной организации Свердловской и Челябинской областей должно было выделить жилой фонд в городе Нижний Тагил для эвакуированных сотрудников заводов наркомата. Для строительства должны были быть выделены необходимые материалы, в том числе Наркомлеспром был обязан предоставить 8000 вагонов леса.</w:t>
      </w:r>
    </w:p>
    <w:p w14:paraId="529A0B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Устанавливалась система контроля за проведением эвакуации. Директора заводов обязаны были ежедневно докладывать о ходе мероприятий по эвакуации, в том числе о количестве отгруженного оборудования, номерах и маршрутах поездов, их местоположении. Помимо этого, разумеется, на заводах были уполномоченные по эвакуации от НКТП, также как, разумеется, от ГКО и комитета по эвакуации, выполнявшие функции контроля.</w:t>
      </w:r>
    </w:p>
    <w:p w14:paraId="7AC7ED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План эвакуации, изложенный в приказах, неплохо продуман, если мы учтем ту ситуацию цейтнота, в которой он создавался. Сами приказы представляют собой великолепные образцы методики, характерной для советской системы управления. Продуманы конкретные мероприятия, назначены ответственные за их осуществление, приняты решения о выделении необходимых средств. Приказы написаны четким лаконичным языком, задачи поставлены предельно ясно и понятно. </w:t>
      </w:r>
      <w:r w:rsidRPr="00640820">
        <w:rPr>
          <w:rFonts w:ascii="Times New Roman" w:hAnsi="Times New Roman"/>
          <w:color w:val="000000" w:themeColor="text1"/>
          <w:sz w:val="16"/>
          <w:szCs w:val="16"/>
        </w:rPr>
        <w:lastRenderedPageBreak/>
        <w:t>Казалось бы, предусмотрено всё, от числа требуемых вагонов до числа домов для рабочих, которые необходимо построить. Предусмотрено и то, что эвакуация не должна прервать поставки военной техники армии. Я так много внимания уделил этим приказам и их анализу для того, чтобы показать, что во всём том, что произошло впоследствии, виновата не чья-то нераспорядительность или непредусмотрительность, все основные трудности были предвидены заранее, была сделана попытка подготовить их преодоление, но всё же объективные условия были слишком неблагоприятны.</w:t>
      </w:r>
    </w:p>
    <w:p w14:paraId="62FE34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Как показали последующие события, планы, изложенные в приказах, выполнены не были, и, видимо, были невыполнимы вообще. Самым большим затруднением была нехватка времени. Танковой промышленности ещё сильно повезло в том, что немцы недостаточно оценили стратегическую важность захвата Харькова, направив главный удар группы армий Юг южнее, на Ростов. Для наступления на Харьков, впрочем, была выделена достаточно сильная 6-я армия. Советские войска упорно защищали Харьков. Советское командование понимало важность этого города, и много сделало для его защиты. Поэтому Харьков пал только 25 октября. Последний же эшелон с оборудованием завода № 183 покинул его 19 октября.</w:t>
      </w:r>
    </w:p>
    <w:p w14:paraId="4D31B3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Видимо, к началу октября опасность, нависшая над Харьковом, стала восприниматься советским руководством более реально. 4 октября выходит постановление ГКО, вносившее изменение в порядок эвакуации заводов № 75, № 183, ХТЗ и Мариупольского завода имени Ильича. 7 октября в соответствии с этим постановлением появился приказ наркома танковой промышленности Малышева В. А. № 53сс. Новые решения фактически отменяли двухэшелонный порядок эвакуации. Теперь эвакуировать следовало всё и при этом как можно быстрее. Срок был назван фантастически короткий, и поэтому невыполнимый – 15 октября, то есть, считая с днём появления приказа – 9 суток. Приказом был назначен срок начала производства танков на новом месте – 1 ноября. Эвакуации заводов НКТП из Харькова уделялось особое внимание, о чём свидетельствует то, что личный контроль за её осуществлением должен был осуществлять председатель комитета по эвакуации Шверник Н. М.. От НКТП в Харьков контролировать ход эвакуации был послан заместитель наркома Зернов. Нарком путей сообщения Л. М. Каганович должен был обеспечить подачу необходимого количества вагонов ( при этом точное число вагонов не указывалось, возможно, следовало исходить из того, сколько НКПС вообще сможет предоставить за такой короткий срок ). Начальник Главснаба НКТП Розин должен был обеспечить своевременное получение вагонов от НКПС. То, что на этот раз данная важная задача была доверена начальнику Главснаба, а не начальнику транспортного отдела, который должен был бы этим заниматься по своим служебным обязанностям, показывает, что перед этим с получением вагонов у НКТП возникали большие проблемы (11510).</w:t>
      </w:r>
    </w:p>
    <w:p w14:paraId="06BA3F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22DF5C9" w14:textId="77777777" w:rsidR="004C4A2B" w:rsidRPr="00640820" w:rsidRDefault="004C4A2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13 сентября 1941</w:t>
      </w:r>
    </w:p>
    <w:p w14:paraId="283AEBD9" w14:textId="77777777" w:rsidR="004C4A2B" w:rsidRPr="00640820" w:rsidRDefault="004C4A2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13.IX. 13977 </w:t>
      </w:r>
    </w:p>
    <w:p w14:paraId="7776B6C6" w14:textId="77777777" w:rsidR="004C4A2B" w:rsidRPr="00640820" w:rsidRDefault="004C4A2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СЕКРЕТНО: </w:t>
      </w:r>
    </w:p>
    <w:p w14:paraId="204ECD0E" w14:textId="77777777" w:rsidR="004C4A2B" w:rsidRPr="00640820" w:rsidRDefault="004C4A2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Экз. № ___ </w:t>
      </w:r>
    </w:p>
    <w:p w14:paraId="0A1D6722" w14:textId="77777777" w:rsidR="004C4A2B" w:rsidRPr="00640820" w:rsidRDefault="004C4A2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ПРИКАЗ</w:t>
      </w:r>
    </w:p>
    <w:p w14:paraId="250A3D0C" w14:textId="77777777" w:rsidR="004C4A2B" w:rsidRPr="00640820" w:rsidRDefault="004C4A2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НАРОДНОГО КОМИССАРА ТАНКОВОЙ ПРОМЫШЛЕННОСТИ СОЮЗА ССР</w:t>
      </w:r>
    </w:p>
    <w:p w14:paraId="14D4C9F5" w14:textId="77777777" w:rsidR="004C4A2B" w:rsidRPr="00640820" w:rsidRDefault="004C4A2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И НАРОДНОГО КОМИССАРА СУДОСТРОИТЕЛЬНОЙ ПРОМЫШЛЕННОСТИ СОЮЗА ССР</w:t>
      </w:r>
    </w:p>
    <w:p w14:paraId="42547241" w14:textId="77777777" w:rsidR="004C4A2B" w:rsidRPr="00640820" w:rsidRDefault="004C4A2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5/312с</w:t>
      </w:r>
    </w:p>
    <w:p w14:paraId="3CAFEE92" w14:textId="77777777" w:rsidR="004C4A2B" w:rsidRPr="00640820" w:rsidRDefault="004C4A2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г. Москва </w:t>
      </w:r>
    </w:p>
    <w:p w14:paraId="44603167" w14:textId="77777777" w:rsidR="004C4A2B" w:rsidRPr="00640820" w:rsidRDefault="004C4A2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13 Сентября 1941 г.</w:t>
      </w:r>
    </w:p>
    <w:p w14:paraId="39541881" w14:textId="77777777" w:rsidR="004C4A2B" w:rsidRPr="00640820" w:rsidRDefault="004C4A2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Согласно постановления Совета Народных Комиссаров Союза ССР № 2059 от 11 сентября 1941 года передать 3-е Главное Управление Народного Комиссариата Судостроительной Промышленности в состав Народного Комиссариата Танковой Промышленности со следующими предприятиями: </w:t>
      </w:r>
    </w:p>
    <w:p w14:paraId="6A3CEFC4" w14:textId="77777777" w:rsidR="004C4A2B" w:rsidRPr="00640820" w:rsidRDefault="004C4A2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1. Ижорский завод. </w:t>
      </w:r>
    </w:p>
    <w:p w14:paraId="3EC7296A" w14:textId="77777777" w:rsidR="004C4A2B" w:rsidRPr="00640820" w:rsidRDefault="004C4A2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2. Мариупольский завод им. Ильича. </w:t>
      </w:r>
    </w:p>
    <w:p w14:paraId="798CA0F8" w14:textId="77777777" w:rsidR="004C4A2B" w:rsidRPr="00640820" w:rsidRDefault="004C4A2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3. Кулебакский металлургический завод. </w:t>
      </w:r>
    </w:p>
    <w:p w14:paraId="230845A7" w14:textId="77777777" w:rsidR="004C4A2B" w:rsidRPr="00640820" w:rsidRDefault="004C4A2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4. Завод № 264. </w:t>
      </w:r>
    </w:p>
    <w:p w14:paraId="0F64DF61" w14:textId="77777777" w:rsidR="004C4A2B" w:rsidRPr="00640820" w:rsidRDefault="004C4A2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5. Научно-исследовательский институт № 48. </w:t>
      </w:r>
    </w:p>
    <w:p w14:paraId="2BDA3932" w14:textId="77777777" w:rsidR="004C4A2B" w:rsidRPr="00640820" w:rsidRDefault="004C4A2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Передачу произвести по балансу на 1-е сентября 1941 г. </w:t>
      </w:r>
    </w:p>
    <w:p w14:paraId="6DD10C67" w14:textId="77777777" w:rsidR="004C4A2B" w:rsidRPr="00640820" w:rsidRDefault="004C4A2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НАРОДНЫЙ КОМИССАР ТАНКОВОЙ ПРОМЫШЛЕННОСТИ СОЮЗА ССР</w:t>
      </w:r>
    </w:p>
    <w:p w14:paraId="07D5B213" w14:textId="77777777" w:rsidR="004C4A2B" w:rsidRPr="00640820" w:rsidRDefault="004C4A2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подпись (В. МАЛЫШЕВ) </w:t>
      </w:r>
    </w:p>
    <w:p w14:paraId="2C1D30AF" w14:textId="77777777" w:rsidR="004C4A2B" w:rsidRPr="00640820" w:rsidRDefault="004C4A2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НАРОДНЫЙ КОМИССАР СУДОСТРОИТЕЛЬНОЙ ПРОМЫШЛЕННОСТИ СОЮЗА ССР</w:t>
      </w:r>
    </w:p>
    <w:p w14:paraId="76E182BC" w14:textId="77777777" w:rsidR="004C4A2B" w:rsidRPr="00640820" w:rsidRDefault="004C4A2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подпись (И. НОСЕНКО)</w:t>
      </w:r>
    </w:p>
    <w:p w14:paraId="44616C58" w14:textId="77777777" w:rsidR="004C4A2B" w:rsidRPr="00640820" w:rsidRDefault="004C4A2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Отп. 3 экз. </w:t>
      </w:r>
    </w:p>
    <w:p w14:paraId="68864428" w14:textId="77777777" w:rsidR="004C4A2B" w:rsidRPr="00640820" w:rsidRDefault="004C4A2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+ 12 экз. отп. 14.IX. 2 час. 15 мин. </w:t>
      </w:r>
    </w:p>
    <w:p w14:paraId="01F1AAB8" w14:textId="77777777" w:rsidR="004C4A2B" w:rsidRPr="00640820" w:rsidRDefault="004C4A2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получ. 13.IX. 22 ч. 50 м. вн.</w:t>
      </w:r>
    </w:p>
    <w:p w14:paraId="2F2F15CF" w14:textId="77777777" w:rsidR="004C4A2B" w:rsidRPr="00640820" w:rsidRDefault="004C4A2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bCs/>
          <w:iCs/>
          <w:color w:val="000000" w:themeColor="text1"/>
          <w:sz w:val="16"/>
          <w:szCs w:val="16"/>
          <w:lang w:eastAsia="ru-RU"/>
        </w:rPr>
        <w:t>РГАЭ Фонд 8752 Опись 4 Дело 2 лист 11 (17528).</w:t>
      </w:r>
    </w:p>
    <w:p w14:paraId="3C646C2F" w14:textId="77777777" w:rsidR="004C4A2B" w:rsidRPr="00640820" w:rsidRDefault="004C4A2B" w:rsidP="00640820">
      <w:pPr>
        <w:spacing w:after="0" w:line="240" w:lineRule="auto"/>
        <w:jc w:val="both"/>
        <w:rPr>
          <w:rFonts w:ascii="Times New Roman" w:eastAsia="Times New Roman" w:hAnsi="Times New Roman"/>
          <w:color w:val="000000" w:themeColor="text1"/>
          <w:sz w:val="16"/>
          <w:szCs w:val="16"/>
          <w:lang w:eastAsia="ru-RU"/>
        </w:rPr>
      </w:pPr>
    </w:p>
    <w:p w14:paraId="73972A9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сентября 1941 года вышел приказ № 5с/312 НКТП и Наркомата судостроительной промышленности</w:t>
      </w:r>
    </w:p>
    <w:p w14:paraId="0949520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Согласно постановления СНК № 2059 от 11 сентября 1941 года передать 3 Гл. управление Наркомата судостроительной промышленности в состав НКТП со следующими предприятиями:</w:t>
      </w:r>
    </w:p>
    <w:p w14:paraId="5CDB829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Ижорский ордена Ленина завод</w:t>
      </w:r>
    </w:p>
    <w:p w14:paraId="6C2CFA3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Мариупольский завод им. Ильича</w:t>
      </w:r>
    </w:p>
    <w:p w14:paraId="1487443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264</w:t>
      </w:r>
    </w:p>
    <w:p w14:paraId="24514CD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Кулебакский металлургический завод им. Кирова</w:t>
      </w:r>
    </w:p>
    <w:p w14:paraId="5DFDEA4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НИИ № 48 (6032, 11).</w:t>
      </w:r>
    </w:p>
    <w:p w14:paraId="7110E67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66C3D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сентября 1941 года начальник 3-го отдела БТУ ГАБТУ КА военинженер 1-го ранга Афонин докладывал состояние дел по вопросу М-17:</w:t>
      </w:r>
    </w:p>
    <w:p w14:paraId="7174E4B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НКСМ № 300 от 7 августа 1941 года завод № 183 был обязан в 15-дневный срок разработать установку мотора М-17Т в танк Т-34, и чертежи, утвержденные БТУ, передать на завод № 112 для наладки производства.</w:t>
      </w:r>
    </w:p>
    <w:p w14:paraId="2C76AB0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Указанный приказ завод № 183 не выполнил, и к решению поставленной задачи КЭО завода отнеслось несерьезно. Чертежи заводом № 112 были получены с большим опозданием и до сего времени полностью не утверждены БТУ КА. Это обстоятельство внесло неясность и задержку производства.</w:t>
      </w:r>
    </w:p>
    <w:p w14:paraId="5F8CEDA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существу отчета на установленный мотор М-17Т необходимо сделать следующие замечания:</w:t>
      </w:r>
    </w:p>
    <w:p w14:paraId="3C86415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Не разрешен вопрос температурного режима мотора в эксплуатации. Полученные температуры выхода масла 125 градусов и воды в системе охлаждения в 105 градусов нельзя считать удовлетворительными и допустимыми по техусловиям на мотор М-17Т.</w:t>
      </w:r>
    </w:p>
    <w:p w14:paraId="058665E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Не верно решен вопрос с выбором схемы и агрегатов электрооборудования, по которой требуется проводить дополнительный привод генератора от коробки перемены передач, дополнительный электростартер и наличие четырех аккумуляторов вместо потребных двух.</w:t>
      </w:r>
    </w:p>
    <w:p w14:paraId="0FFF1B1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Не обеспечен дублирующий запуск мотора, что снижает надежность танка в эксплуатации.</w:t>
      </w:r>
    </w:p>
    <w:p w14:paraId="48BF1D9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Никаких мер не принято по обеспечению пожарной безопасности танка и для обеспечения запуска мотора в зимнее время.</w:t>
      </w:r>
    </w:p>
    <w:p w14:paraId="66DF1AB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Выводы.</w:t>
      </w:r>
    </w:p>
    <w:p w14:paraId="18100DA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Работники КЭО завода № 183 не выполнили приказ НКСМ и тем самым несут полную ответственность за срыв своевременной подготовки производства на заводе № 112. Для исправления неправильно принятых решения КЭО завода № 183 необходимо проведение следующих мероприятий:</w:t>
      </w:r>
    </w:p>
    <w:p w14:paraId="3AE7DA1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Откомандировать с завода № 183 опытного экспериментатора на завод № 12 для оказания помощи в решении вопросов, связанных с доводкой установки моторов в танки Т-34.</w:t>
      </w:r>
    </w:p>
    <w:p w14:paraId="6BA58C5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Заводу № 112 не позднее 25 сентября закончить работу, связанную с доводкой установки мотора М-17Т в танк Т-34, обеспечив температуру выхода масла до 110 градусов, и воды в системе охлаждения не выше 100 градусов при работе мотора в эксплуатационных условиях.</w:t>
      </w:r>
    </w:p>
    <w:p w14:paraId="4905374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До 25 сентября проверить 12-вольтную схему электрооборудования завода № 112, утвержденную БТУ, с целью устранения возможных недостатков.</w:t>
      </w:r>
    </w:p>
    <w:p w14:paraId="6827553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Не позднее 20 сентября ГАЗу совместно с заводом № 112 отработать дублирующий запуск мотора</w:t>
      </w:r>
    </w:p>
    <w:p w14:paraId="47FD33C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Не позднее 1 ноября заводу N° И2 разработать мероприятия по обеспечению пожарной безопасности танка.</w:t>
      </w:r>
    </w:p>
    <w:p w14:paraId="57B89C2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К 25 сентября заводу № 112 проверить надежность работы главного фрикциона, так как в танках Т-34 с мотором М-17Т установлен главный фрикцион с БТ-7, который недостаточно проверен в условиях эксплуатации.</w:t>
      </w:r>
    </w:p>
    <w:p w14:paraId="604C7BB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Для обеспечения надежного запуска мотора в зимнее время заводу № 112 с 15 октября устанавливать в танки атмос и дополнительный бачок для пускового бензина» (12217).</w:t>
      </w:r>
    </w:p>
    <w:p w14:paraId="7132B747"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41AE078B" w14:textId="77777777" w:rsidR="00150B39" w:rsidRPr="00640820" w:rsidRDefault="00150B39" w:rsidP="00640820">
      <w:pPr>
        <w:pStyle w:val="162"/>
        <w:shd w:val="clear" w:color="auto" w:fill="auto"/>
        <w:spacing w:line="240" w:lineRule="auto"/>
        <w:jc w:val="both"/>
        <w:rPr>
          <w:color w:val="000000" w:themeColor="text1"/>
          <w:sz w:val="16"/>
          <w:szCs w:val="16"/>
        </w:rPr>
      </w:pPr>
      <w:r w:rsidRPr="00640820">
        <w:rPr>
          <w:color w:val="000000" w:themeColor="text1"/>
          <w:sz w:val="16"/>
          <w:szCs w:val="16"/>
        </w:rPr>
        <w:lastRenderedPageBreak/>
        <w:t>13 сен</w:t>
      </w:r>
      <w:r w:rsidRPr="00640820">
        <w:rPr>
          <w:color w:val="000000" w:themeColor="text1"/>
          <w:sz w:val="16"/>
          <w:szCs w:val="16"/>
        </w:rPr>
        <w:softHyphen/>
        <w:t>тября 1941 года, спустя почти месяц после планировавшегося начала производства, на ХТЗ был собран первый Т-60 с использованием кор</w:t>
      </w:r>
      <w:r w:rsidRPr="00640820">
        <w:rPr>
          <w:color w:val="000000" w:themeColor="text1"/>
          <w:sz w:val="16"/>
          <w:szCs w:val="16"/>
        </w:rPr>
        <w:softHyphen/>
        <w:t>пуса и башни Ворошиловградского завода. На момент сборки первой машины на заводе имелось 12 комплектов корпусов с башнями, при</w:t>
      </w:r>
      <w:r w:rsidRPr="00640820">
        <w:rPr>
          <w:color w:val="000000" w:themeColor="text1"/>
          <w:sz w:val="16"/>
          <w:szCs w:val="16"/>
        </w:rPr>
        <w:softHyphen/>
        <w:t>бывших с трех разных заводов-смежников. Всего за сентябрь были со</w:t>
      </w:r>
      <w:r w:rsidRPr="00640820">
        <w:rPr>
          <w:color w:val="000000" w:themeColor="text1"/>
          <w:sz w:val="16"/>
          <w:szCs w:val="16"/>
        </w:rPr>
        <w:softHyphen/>
        <w:t>браны и отправлены в войска 7 танков, что равнялось числу имевшихся на заводе двигателей.</w:t>
      </w:r>
    </w:p>
    <w:p w14:paraId="4C6436F0" w14:textId="77777777" w:rsidR="00150B39" w:rsidRPr="00640820" w:rsidRDefault="00150B39" w:rsidP="00640820">
      <w:pPr>
        <w:pStyle w:val="ae"/>
        <w:spacing w:before="0" w:after="0"/>
        <w:jc w:val="both"/>
        <w:rPr>
          <w:color w:val="000000" w:themeColor="text1"/>
          <w:sz w:val="16"/>
          <w:szCs w:val="16"/>
        </w:rPr>
      </w:pPr>
      <w:r w:rsidRPr="00640820">
        <w:rPr>
          <w:color w:val="000000" w:themeColor="text1"/>
          <w:sz w:val="16"/>
          <w:szCs w:val="16"/>
        </w:rPr>
        <w:t>К 20 сентября немецкие войска вплотную подошли к Харькову, и находящиеся в городе предприятия приступили к эвакуации. Под</w:t>
      </w:r>
      <w:r w:rsidRPr="00640820">
        <w:rPr>
          <w:color w:val="000000" w:themeColor="text1"/>
          <w:sz w:val="16"/>
          <w:szCs w:val="16"/>
        </w:rPr>
        <w:softHyphen/>
        <w:t>готовка эвакуации ХТЗ началась 17 сентября. По планам, завод выво</w:t>
      </w:r>
      <w:r w:rsidRPr="00640820">
        <w:rPr>
          <w:color w:val="000000" w:themeColor="text1"/>
          <w:sz w:val="16"/>
          <w:szCs w:val="16"/>
        </w:rPr>
        <w:softHyphen/>
        <w:t>зился в Сталинград. Полностью эвакуировать производство с ХТЗ не удалось: ворвавшимся в город немецким войскам досталась часть обо</w:t>
      </w:r>
      <w:r w:rsidRPr="00640820">
        <w:rPr>
          <w:color w:val="000000" w:themeColor="text1"/>
          <w:sz w:val="16"/>
          <w:szCs w:val="16"/>
        </w:rPr>
        <w:softHyphen/>
        <w:t>рудования, а также несколько корпусов. Таким образом, единствен</w:t>
      </w:r>
      <w:r w:rsidRPr="00640820">
        <w:rPr>
          <w:color w:val="000000" w:themeColor="text1"/>
          <w:sz w:val="16"/>
          <w:szCs w:val="16"/>
        </w:rPr>
        <w:softHyphen/>
        <w:t>ным производителем Т-60 на несколько месяцев стал ГАЗ (17485).</w:t>
      </w:r>
    </w:p>
    <w:p w14:paraId="3B9C6E0E" w14:textId="77777777" w:rsidR="00150B39" w:rsidRPr="00640820" w:rsidRDefault="00150B39" w:rsidP="00640820">
      <w:pPr>
        <w:pStyle w:val="ae"/>
        <w:spacing w:before="0" w:after="0"/>
        <w:jc w:val="both"/>
        <w:rPr>
          <w:color w:val="000000" w:themeColor="text1"/>
          <w:sz w:val="16"/>
          <w:szCs w:val="16"/>
        </w:rPr>
      </w:pPr>
    </w:p>
    <w:p w14:paraId="7B36D2E5" w14:textId="77777777" w:rsidR="004C4A2B" w:rsidRPr="00640820" w:rsidRDefault="004C4A2B"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13 сентября 1941 года, спустя почти месяц после планировавшегося начала производства, на ХТЗ был наконец собран первый Т-60 с использованием корпуса и башни Ворошиловградского завода. К моменту сборки первой машины на заводе имелось 12 комплектов корпусов с башнями, прибывших с трёх разных заводов-смежников. Но за сентябрь на заводе были собраны и отправлены в войска всего 7 танков, что равнялось числу имевшихся на заводе двигателей.</w:t>
      </w:r>
    </w:p>
    <w:p w14:paraId="014583CC" w14:textId="77777777" w:rsidR="004C4A2B" w:rsidRPr="00640820" w:rsidRDefault="004C4A2B"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Уже 17 сентября началась эвакуация ХТЗ, частично его оборудование удалось перевезти в пригород Сталинграда Красноармейск. История выпускавшихся там, на заводе №264, танков Т-60 достойна отдельного повествования. Что же касается харьковских Т-60, то их судьба не ясна. 2 танка получил 71-й отдельный танковый батальон, куда попали остальные, неизвестно (17659).</w:t>
      </w:r>
    </w:p>
    <w:p w14:paraId="62DDCC19" w14:textId="77777777" w:rsidR="004C4A2B" w:rsidRPr="00640820" w:rsidRDefault="004C4A2B" w:rsidP="00640820">
      <w:pPr>
        <w:spacing w:after="0" w:line="240" w:lineRule="auto"/>
        <w:jc w:val="both"/>
        <w:rPr>
          <w:rFonts w:ascii="Times New Roman" w:eastAsia="Times New Roman" w:hAnsi="Times New Roman"/>
          <w:color w:val="000000" w:themeColor="text1"/>
          <w:sz w:val="16"/>
          <w:szCs w:val="16"/>
          <w:lang w:eastAsia="ru-RU"/>
        </w:rPr>
      </w:pPr>
    </w:p>
    <w:p w14:paraId="71EBD49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сентября 1941 по данным штаба Ленинградского фронта, отгрузка броневых автомобилей с завода № 189 - 2 БА-10М линейных №№... — Военно-хозяйственному морскому училищу (11284).</w:t>
      </w:r>
    </w:p>
    <w:p w14:paraId="7F48882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9C9A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сен</w:t>
      </w:r>
      <w:r w:rsidRPr="00640820">
        <w:rPr>
          <w:rFonts w:ascii="Times New Roman" w:hAnsi="Times New Roman"/>
          <w:color w:val="000000" w:themeColor="text1"/>
          <w:sz w:val="16"/>
          <w:szCs w:val="16"/>
        </w:rPr>
        <w:softHyphen/>
        <w:t>тября 1941 г. на Щ-302 впервые было проведено размагничивание лодок безобметочным способом (на специальных плавучих стендах). В 1942—1943 гг. были разработаны рецеп</w:t>
      </w:r>
      <w:r w:rsidRPr="00640820">
        <w:rPr>
          <w:rFonts w:ascii="Times New Roman" w:hAnsi="Times New Roman"/>
          <w:color w:val="000000" w:themeColor="text1"/>
          <w:sz w:val="16"/>
          <w:szCs w:val="16"/>
        </w:rPr>
        <w:softHyphen/>
        <w:t>ты и испытаны способы противошумного покрытия (обмазки) корпусов лодок и электрические сетепрорезатели (3898).</w:t>
      </w:r>
    </w:p>
    <w:p w14:paraId="3ED7B3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3FD7721"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5DD012AA"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268F055" w14:textId="77777777" w:rsidR="00DA0F14" w:rsidRPr="00640820" w:rsidRDefault="00DA0F1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СЕНТЯБРЯ 1941 УТРЕННЕЕ СООБЩЕНИЕ Совинформбюро</w:t>
      </w:r>
    </w:p>
    <w:p w14:paraId="5ED8A7EC" w14:textId="77777777" w:rsidR="00DA0F14" w:rsidRPr="00640820" w:rsidRDefault="00DA0F1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ночь на 13 сентября наши войска вели бои с противником на всём фронте. </w:t>
      </w:r>
    </w:p>
    <w:p w14:paraId="38AEE7AB" w14:textId="77777777" w:rsidR="00DA0F14" w:rsidRPr="00640820" w:rsidRDefault="00DA0F1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Огромные потери несут фашистские войска от меткого огня советских пулемётчиков. На Западном направлении фронта умело бьют немцев пулемётчики роты лейтенанта Азбукина. В двухдневном бою 9 и 10 сентября рота уничтожила свыше 400 немецких солдат. Наши бойцы захватили 8 немецких пулемётов и большой запас патронов к ним. Во время боя в селе Николаевка красноармеец Ливанов установил свой пулемёт в каменном доме на углу улицы и метким огнём расстрелял до 60 солдат и офицеров противника. Командир пулемётного расчёта младший сержант Власов смело атаковал со своими бойцами штаб немецкого артиллерийского дивизиона и уничтожил свыше 20 вражеских солдат и трёх офицеров. </w:t>
      </w:r>
    </w:p>
    <w:p w14:paraId="28FA6A48" w14:textId="77777777" w:rsidR="00DA0F14" w:rsidRPr="00640820" w:rsidRDefault="00DA0F1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При наступлении на деревню Прудки боец Неманов незаметно для врага проник в расположение обороны противника и открыл огонь из своего пулемёта по немецким огневым точкам и блиндажам. Фашисты бежали, оставив противотанковую пушку, крупнокалиберный пулемёт и много боеприпасов. Пулемётчик Попов уничтожил несколько огневых точек и более 40 немецких солдат и офицеров. </w:t>
      </w:r>
    </w:p>
    <w:p w14:paraId="29CC19DC" w14:textId="77777777" w:rsidR="00DA0F14" w:rsidRPr="00640820" w:rsidRDefault="00DA0F1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 два последних дня бомбардировщики Черноморского флота уничтожили в районе Одессы 23 немецких танка, много автомашин с пехотой противника и зенитную батарею. Крупными фугасными бомбами, сброшенными в расположение двух батальонов вражеской пехоты и эскадрона конницы, убито и ранено много румынских солдат. Звено самолётов капитана Цурцумия успешно разбомбило группу бронемашин и батальон пехоты. Старший лейтенант Горбылёв сбил в воздушном бою «Мессершмитт-109». </w:t>
      </w:r>
    </w:p>
    <w:p w14:paraId="1608CE43" w14:textId="77777777" w:rsidR="00DA0F14" w:rsidRPr="00640820" w:rsidRDefault="00DA0F1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Звено истребителей старшего лейтенанта Москальчука сопровождало группу наших бомбардировщиков, летевших для выполнения боевого задания. У линии фронта советские самолёты были встречены вражескими истребителями. В завязавшемся бою фашистам удалось поджечь один из наших бомбардировщиков. Лётчики выпрыгнули из самолёта и начали спускаться на парашютах. Увидав это, три немецких истребителя бросились к советским лётчикам и открыли по ним пулемётный огонь. Старший лейтенант Москальчук немедленно бросился на выручку товарищей, отогнал фашистские самолёты и охранял парашютистов, пока те не спустились до земли. Когда лётчики приземлились, тов. Москальчук вновь принял бой с тремя «Мессершмиттами». Пулемётным огнём он сбил два немецких самолёта. Третий самолёт противника погиб, наскочив на линию электропередачи. </w:t>
      </w:r>
    </w:p>
    <w:p w14:paraId="6ADDA2CD" w14:textId="77777777" w:rsidR="00DA0F14" w:rsidRPr="00640820" w:rsidRDefault="00DA0F1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Лейтенант Иванов и политрук Двинянинов проникли на своих танках в тыл противника и уничтожили четыре вражеских орудия, несколько станковых пулемётов, броневик, автомашину и до двух стрелковых взводов немецкой пехоты. В одном из боёв танковый экипаж политрука Двинянинова раздавил своим танком 14 пулемётных точек противника и уничтожил шесть противотанковых орудий. </w:t>
      </w:r>
    </w:p>
    <w:p w14:paraId="53BB70BB" w14:textId="77777777" w:rsidR="00DA0F14" w:rsidRPr="00640820" w:rsidRDefault="00DA0F1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Истребители авиачасти капитана Кожемякина за два месяца непрерывных боевых действий на Северо-Западном направлении фронта сбили в воздушных боях 46 немецких и белофинских самолётов, потеряв 4 своих самолёта. </w:t>
      </w:r>
    </w:p>
    <w:p w14:paraId="58E0A341" w14:textId="77777777" w:rsidR="00DA0F14" w:rsidRPr="00640820" w:rsidRDefault="00DA0F1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Смело бьют фашистских захватчиков литовские партизаны. Пятого сентября партизанский отряд под командованием тов. Сименас совершил налёт на большой немецкий склад, расположенный в пяти километрах от гор. Каунас на берегу реки Неман. Партизаны перебили охрану и подожгли складские помещения, в которых находилось большое количество продовольствия, предназначенного для отправки в Германию. В ночь на 6 сентября отряд напал на два речных транспорта с зерном, отобранным у литовских крестьян. Оба транспорта потоплены. </w:t>
      </w:r>
    </w:p>
    <w:p w14:paraId="3CE3CEFA" w14:textId="77777777" w:rsidR="00DA0F14" w:rsidRPr="00640820" w:rsidRDefault="00DA0F1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Партизанский отряд рабочих города Шауляй совершил нападение на электростанцию, снабжавшую электроэнергией фашистские ремонтные мастерские. Станция полностью разрушена. На хуторах близ города Укмерге немецкая комендатура реквизировала у крестьян всех свиней и коров для отправки в Германию. Когда стадо перегонялось к станции Ионава, партизаны перебили охрану и затем вернули скот крестьянам. </w:t>
      </w:r>
    </w:p>
    <w:p w14:paraId="0A8828E9" w14:textId="77777777" w:rsidR="00DA0F14" w:rsidRPr="00640820" w:rsidRDefault="00DA0F1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результате успешных действий литовских партизан немцы боятся появляться в отдалённых от городов местечках Литвы. Многие леса и хутора находятся в руках партизанских отрядов. На случай внезапного появления немецких отрядов партизаны минировали отдельные участки дорог и мосты. </w:t>
      </w:r>
    </w:p>
    <w:p w14:paraId="24962F30" w14:textId="77777777" w:rsidR="00DA0F14" w:rsidRPr="00640820" w:rsidRDefault="00DA0F1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У немецких солдат, захваченных в плен на Северо-Западном направлении фронта, найдены отдельные номера газеты «Сообщения верховного командования», издающейся гитлеровцами для рядовых германской армии. Несмотря на свирепую цензуру, в газету попадают материалы, свидетельствующие о росте упадочных настроений среди германских солдат, удручённых упорным сопротивлением советских войск. Редакторы листка вынуждены, например, признать рост числа самоубийств в немецкой армии. В связи с этим читателям разъясняется, что солдаты, покончившие жизнь самоубийством, причиняют материальный ущерб своей семье, ибо «лишают её права получать пенсию». </w:t>
      </w:r>
    </w:p>
    <w:p w14:paraId="309D1549" w14:textId="77777777" w:rsidR="00DA0F14" w:rsidRPr="00640820" w:rsidRDefault="00DA0F1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номере 87 «Сообщений верховного командования» напечатано несколько любопытных вопросов и ответов. Один ефрейтор, например, спрашивает, «нельзя ли заставить пленных польских солдат воевать против России и тем самым сохранить кровь и жизнь многих немцев». Ниже мы приводим текст ответа: «Пленные польские солдаты заняты в Германии на различных работах. Мы привыкли к ним, как к работникам, которым не надо платить, и очень довольны, что эта даровая рабочая сила идёт на пользу Германии. Но необходимо предостеречь от беспечности. В известный момент поляки могут перейти к активным выступлениям. Нам необходимо держать глаза открытыми. Полякам из военнопленных нельзя доверять оружия, ибо они его обратят против нас». </w:t>
      </w:r>
    </w:p>
    <w:p w14:paraId="15466AFD" w14:textId="77777777" w:rsidR="00DA0F14" w:rsidRPr="00640820" w:rsidRDefault="00DA0F1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Несмотря на зверские репрессии со стороны германских оккупационных властей, всё шире разрастается антифашистское движение в Бельгии. Рабочие часто отказываются выполнять немецкие военные заказы. Когда крупнейшие в Бельгии заводы Коккериля получили срочные заказы для немецкой армии, рабочие и инженеры завода объявили забастовку. Немецкое командование арестовало дирекцию и начальников цехов, обвинив их в организации саботажа. Каждому рабочему, вышедшему на работу, немцы обещали удвоить заработную плату. Но ни один бельгийский рабочий не явился на завод. </w:t>
      </w:r>
    </w:p>
    <w:p w14:paraId="49831ABD" w14:textId="77777777" w:rsidR="00DA0F14" w:rsidRPr="00640820" w:rsidRDefault="00DA0F1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Пытаясь терроризировать бельгийский народ, немцы расстреливают и заключают в тюрьмы бельгийских патриотов. На днях германские оккупационные власти казнили трёх бельгийцев, обвинив их в «организации поджогов немецких складов с боеприпасами и подготовке взрывов военных объектов» (14768).</w:t>
      </w:r>
    </w:p>
    <w:p w14:paraId="45A5B2A8" w14:textId="77777777" w:rsidR="00DA0F14" w:rsidRPr="00640820" w:rsidRDefault="00DA0F14" w:rsidP="00640820">
      <w:pPr>
        <w:spacing w:after="0" w:line="240" w:lineRule="auto"/>
        <w:jc w:val="both"/>
        <w:rPr>
          <w:rFonts w:ascii="Times New Roman" w:hAnsi="Times New Roman"/>
          <w:color w:val="000000" w:themeColor="text1"/>
          <w:sz w:val="16"/>
          <w:szCs w:val="16"/>
        </w:rPr>
      </w:pPr>
    </w:p>
    <w:p w14:paraId="00C3A363" w14:textId="77777777" w:rsidR="00DA0F14" w:rsidRPr="00640820" w:rsidRDefault="00DA0F1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СЕНТЯБРЯ 1941 ВЕЧЕРНЕЕ СООБЩЕНИЕ Совинформбюро:</w:t>
      </w:r>
    </w:p>
    <w:p w14:paraId="6C5FC3F6" w14:textId="77777777" w:rsidR="00DA0F14" w:rsidRPr="00640820" w:rsidRDefault="00DA0F1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течение 13 сентября наши войска вели упорные бои с противником на всём фронте. </w:t>
      </w:r>
    </w:p>
    <w:p w14:paraId="30ED9AA6" w14:textId="77777777" w:rsidR="00DA0F14" w:rsidRPr="00640820" w:rsidRDefault="00DA0F1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 11 сентября в воздушных боях и на аэродромах противника уничтожено 50 немецких самолетов. Наши потери — 34 самолёта. </w:t>
      </w:r>
    </w:p>
    <w:p w14:paraId="26528F13" w14:textId="77777777" w:rsidR="00DA0F14" w:rsidRPr="00640820" w:rsidRDefault="00DA0F1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ночь на 13 сентября наша авиация бомбила Бухарест. Все наши самолёты вернулись на свои базы. </w:t>
      </w:r>
    </w:p>
    <w:p w14:paraId="48478B4B" w14:textId="77777777" w:rsidR="00DA0F14" w:rsidRPr="00640820" w:rsidRDefault="00DA0F1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Торпедными катерами Северного флота потоплены немецкий сторожевой корабль и крупный немецкий транспорт. </w:t>
      </w:r>
    </w:p>
    <w:p w14:paraId="7BB78958" w14:textId="77777777" w:rsidR="00DA0F14" w:rsidRPr="00640820" w:rsidRDefault="00DA0F1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Пехотная часть майора Речица нанесла большой урон группе вражеских войск. Бой с противником начали батареи подразделения старшего лейтенанта Лапкова. За два часа до рассвета артиллеристы открыли сильный огонь по немецким окопам. Одновременно батальон нашей пехоты и эскадрон кавалерии, используя темноту, скрытно обошли вражеские позиции с фланга. В пять часов утра бойцы батальона капитана Галина и кавалеристы эскадрона старшего лейтенанта Бабуха неожиданно с тыла атаковали противника. Фашисты растерялись. Паника в стане врага усилилась ещё больше, когда в атаку пошли основные силы части майора Речица. В трёхчасовом бою немцам были нанесены большие потери. На поле боя осталось свыше 300 трупов немецких солдат и офицеров. В плен взяты 12 фашистских офицеров и 240 солдат. Наша часть захватила 6 орудий, 8 миномётов, 22 пулемёта, свыше 500 винтовок, 20 грузовиков, 16 мотоциклов, 70 велосипедов, 64 повозки и более 200 лошадей. </w:t>
      </w:r>
    </w:p>
    <w:p w14:paraId="4B1CF1A6" w14:textId="77777777" w:rsidR="00DA0F14" w:rsidRPr="00640820" w:rsidRDefault="00DA0F1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Танковая часть под командованием тов. Чернова нанесла серьёзное поражение танковой группе противника на одном из участков Западного направления фронта. В боях с фашистами уничтожены 30 немецких танков и бронемашин, 20 орудий и 50 транспортных машин. Убито и ранено 600 вражеских солдат и офицеров. Зенитчики части сбили 2 фашистских пикирующих бомбардировщика, пытавшихся атаковать наши танки и мотопехоту. </w:t>
      </w:r>
    </w:p>
    <w:p w14:paraId="306F50BC" w14:textId="77777777" w:rsidR="00DA0F14" w:rsidRPr="00640820" w:rsidRDefault="00DA0F1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Группа советских бомбардировщиков в сопровождении истребителей направлялась бомбить речную переправу. Неожиданно из-за туч показались три немецких истребителя «Мессершмитт». Советские лётчики немедленно вступили в бой. В воздушной схватке одному из фашистских лётчиков пулемётной очередью удалось повредить хвостовое оперение самолёта лейтенанта Сероштана. Тогда отважный советский лётчик стремительно бросился вниз и крылом своего самолёта отрубил плоскость вражеской машины. Фашистский самолёт рухнул на землю. Тов. Сероштан выбросился с парашютом и благополучно приземлился. </w:t>
      </w:r>
    </w:p>
    <w:p w14:paraId="3979178F" w14:textId="77777777" w:rsidR="00DA0F14" w:rsidRPr="00640820" w:rsidRDefault="00DA0F1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Подразделение тов. Ильина, действующее на Юго-Западном направлении фронта, атаковало немецкую часть. Враг понёс большие потери. Захвачены 70 ящиков мин, 5 тысяч ручных гранат и десятки ящиков с патронами. </w:t>
      </w:r>
    </w:p>
    <w:p w14:paraId="7589ABED" w14:textId="77777777" w:rsidR="00DA0F14" w:rsidRPr="00640820" w:rsidRDefault="00DA0F1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Самоотверженно борются с фашистскими захватчиками житомирские партизаны. В зоне Хочин — Юрово — Бегунь партизанский отряд под командованием колхозного кузнеца тов. Л. совершает смелые налёты на немецкие войска и транспорты. Партизаны отбили у фашистов 300 винтовок, 150 пистолетов, 6 пулемётов, 165 ящиков с ручными гранатами и более 35 тысяч патронов. В первых числах сентября бойцы отряда задержали около деревни Перга две легковые автомашины, на которых ехали чиновники германского военного суда. Перебив всех немцев, партизаны захватили два чемодана со следственными материалами. </w:t>
      </w:r>
    </w:p>
    <w:p w14:paraId="3D95A147" w14:textId="77777777" w:rsidR="00DA0F14" w:rsidRPr="00640820" w:rsidRDefault="00DA0F1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Отряд под командованием участкового врача тов. Я. подстерёг на участке дороги между Возничами и Лученками немецкую автоколонну. Уничтожив охрану и шофёров, партизаны взорвали 4 грузовика со снарядами и 2 грузовика с запасными частями для танков. Бойцы партизанского отряда под командованием колхозника тов. Д. узнали, что недалеко от станции Лугины немцы организовали мастерскую по ремонту повреждённых танков и автомашин. Ночью партизанский отряд окружил деревню, где расположились фашисты, перебил немецких солдат и привёл в полную негодность 6 танков и 27 грузовиков. </w:t>
      </w:r>
    </w:p>
    <w:p w14:paraId="3058F623" w14:textId="77777777" w:rsidR="00DA0F14" w:rsidRPr="00640820" w:rsidRDefault="00DA0F1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Жители города Олевск сообщили командиру партизанского отряда, работнику конторы Заготскот тов. Р., что немцы чудовищно издеваются над мирным населением. Третьего сентября фашисты согнали всех оставшихся жителей города в уцелевшее здание кинотеатра. В зале был установлен пулемёт. Фашистский офицер вывел на сцену местную учительницу Галину Бринько и, угрожая револьвером, предложил ей читать вслух немецкую листовку на русском языке, призывающую крестьян помогать германским войскам и снабжать их продовольствием. Славная патриотка швырнула листовку в лицо фашисту с возгласом: «Проклятые гады! Советские крестьяне вам не помощники!». Озверевший фашист тут же застрелил учительницу и приказал открыть из пулемёта огонь по присутствующим в зале. Человек 20 было убито на месте. На следующий день партизаны напали на Олевск и перебили всех находившихся в городе немцев во главе с офицером. </w:t>
      </w:r>
    </w:p>
    <w:p w14:paraId="5FE77248" w14:textId="77777777" w:rsidR="00DA0F14" w:rsidRPr="00640820" w:rsidRDefault="00DA0F1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Бухарест прибывают многие тысячи румынских солдат, раненных на Одесском фронте. Все городские больницы заполнены ранеными солдатами. Румынские власти конфисковали сотни частных квартир и разместили в них раненых офицеров. Под госпиталя заняты почти все школы города. </w:t>
      </w:r>
    </w:p>
    <w:p w14:paraId="4D181EA1" w14:textId="77777777" w:rsidR="00DA0F14" w:rsidRPr="00640820" w:rsidRDefault="00DA0F1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Полиция реквизировала у жителей Бухареста несколько тысяч кроватей. Даже тяжело раненные румынские солдаты, как правило, не имеют постелей. Для них сооружены нары. Недостаток медикаментов и врачебного персонала приводит к тому, что в госпиталях Бухареста выздоравливает не более 30 процентов раненых румынских солдат. </w:t>
      </w:r>
    </w:p>
    <w:p w14:paraId="315BE499" w14:textId="77777777" w:rsidR="00DA0F14" w:rsidRPr="00640820" w:rsidRDefault="00DA0F1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Трудящиеся Советской Украины превращают каждый город, каждый колхоз в могучую крепость обороны. Отряды народного ополчения Донбасса упорно овладевают военным делом. Па днях рота, где политруком лауреат Сталинской премии инженер Филиппов, совершила двухдневный марш. В условиях, близких к подлинной боевой обстановке, бойцы продемонстрировали стойкую дисциплину, умение владеть винтовкой, гранатой и лопатой. Больше 80 процентов бойцов из взвода тов. Матвеева сдали нормы на ворошиловского стрелка второй степени. </w:t>
      </w:r>
    </w:p>
    <w:p w14:paraId="2D5DA0D1" w14:textId="77777777" w:rsidR="00DA0F14" w:rsidRPr="00640820" w:rsidRDefault="00DA0F1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огромным энтузиазмом овладевают военными специальностями трудящиеся Харьковщины. Более 15 тысяч молодёжи изучает военное дело в истребительных батальонах, около 20 тысяч девушек обучается на курсах медицинских сестёр и в санитарных дружинах. В городах и районах области организовано несколько сотен отрядов истребителей танков. На заводе им. Дзержинского 200 рабочих изучают танк. </w:t>
      </w:r>
    </w:p>
    <w:p w14:paraId="7BEF4697" w14:textId="77777777" w:rsidR="00DA0F14" w:rsidRPr="00640820" w:rsidRDefault="00DA0F1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селе Ребриково, Ворошиловградской области, в народное ополчение вступили все трудоспособные колхозники. В селе сформирован взвод ворошиловских всадников. Ополченцы изучают винтовку и пулемёт. Больше 100 колхозников сдали нормы на четыре оборонных значка. Из лучших активистов оборонной работы организованы группы самозащиты. Все женщины села изучают санитарное дело и средства противовоздушной обороны (14768).</w:t>
      </w:r>
    </w:p>
    <w:p w14:paraId="257418CD" w14:textId="77777777" w:rsidR="00DA0F14" w:rsidRPr="00640820" w:rsidRDefault="00DA0F14" w:rsidP="00640820">
      <w:pPr>
        <w:spacing w:after="0" w:line="240" w:lineRule="auto"/>
        <w:jc w:val="both"/>
        <w:rPr>
          <w:rFonts w:ascii="Times New Roman" w:hAnsi="Times New Roman"/>
          <w:color w:val="000000" w:themeColor="text1"/>
          <w:sz w:val="16"/>
          <w:szCs w:val="16"/>
        </w:rPr>
      </w:pPr>
    </w:p>
    <w:p w14:paraId="71E83362" w14:textId="77777777" w:rsidR="00DA0F14" w:rsidRPr="00640820" w:rsidRDefault="00DA0F14"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13 сентября </w:t>
      </w:r>
      <w:r w:rsidRPr="00640820">
        <w:rPr>
          <w:rFonts w:ascii="Times New Roman" w:hAnsi="Times New Roman"/>
          <w:color w:val="000000" w:themeColor="text1"/>
          <w:sz w:val="16"/>
          <w:szCs w:val="16"/>
        </w:rPr>
        <w:t>в 1941 году заместитель наркома Военно-морского флота И.С.Исаков представил И.В.Сталину план мероприятий на случай вынужденного отхода советских войск из Ленинграда. Предполагалось уничтожить путем подрыва все корабли военного флота, а также торговые, промысловые и технические суда (14768).</w:t>
      </w:r>
    </w:p>
    <w:p w14:paraId="7408184E" w14:textId="77777777" w:rsidR="00DA0F14" w:rsidRPr="00640820" w:rsidRDefault="00DA0F14" w:rsidP="00640820">
      <w:pPr>
        <w:spacing w:after="0" w:line="240" w:lineRule="auto"/>
        <w:jc w:val="both"/>
        <w:rPr>
          <w:rFonts w:ascii="Times New Roman" w:hAnsi="Times New Roman"/>
          <w:color w:val="000000" w:themeColor="text1"/>
          <w:sz w:val="16"/>
          <w:szCs w:val="16"/>
        </w:rPr>
      </w:pPr>
    </w:p>
    <w:p w14:paraId="759963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сентября 1941 летчица И.Е.Зеленко, возвращаясь с задания, в р г. сумы вступила в бой с 7 и и таранила мессершмитт, став единственной женщиной, совершившей таран (3398,327).</w:t>
      </w:r>
    </w:p>
    <w:p w14:paraId="187D51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AA09B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сентября 1941 согласно сообщению Совинформбюро советская авиация впервые бомбила Бухарест без потерь (438,819).</w:t>
      </w:r>
    </w:p>
    <w:p w14:paraId="1E68D1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63854E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сентября 1941 [Мандат Меркулова В.Н № 670 - уполномоченного ГКО по подготовке взрыва предприятий, мостов, "важных сооружений" в Ленинграде в случае отхода войск.] (7010, 100).</w:t>
      </w:r>
    </w:p>
    <w:p w14:paraId="2A1D6B1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A16C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сентября 1941 вышло Постановление ГКО № 671 О формировании танковых бригад в сентябре месяце с.г. РГАНИР, Фонд ГКО, д. 9, лл. 101-102 (11012).</w:t>
      </w:r>
    </w:p>
    <w:p w14:paraId="5CDAB7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DB7BED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сентября 1941 года приказом НКО СССР № 0354 вводится новый штат № 010/87 танковой бригады, по которому танковый полк состоял из двух батальонов, а количество танков сокращалось до 67 за счет легких танков, число же Т-34 осталось прежним.</w:t>
      </w:r>
    </w:p>
    <w:p w14:paraId="1D21608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Боевые действия осени 1941 года показали, что организационная структура бригада - полк - батальон усложняла управление. Поэтому 9 декабря 1941 года утвердили новые штаты танковой бригады №№ 010/303-010/310, по которому она состояла из двух танковых и мотострелкового батальонов и четырех отдельных рот. При этом количество танков сокращалось до 46, из них 16 Т-34. Постепенно на этот штат переводились и бригады, сформированные в августе - сентябре 1941 года. Таким образом, число танков в бригаде к концу года сократилось в два раза, а количество Т-34 - менее чем на 30% (12217).</w:t>
      </w:r>
    </w:p>
    <w:p w14:paraId="2481D345"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2392D3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September 13 1941 Russian General Zhukov is sent to oversee defense of Leningrad. He puts the citizens to work creating multiple defensive lines around the city (1052).</w:t>
      </w:r>
    </w:p>
    <w:p w14:paraId="52D957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770A6D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сентября 1941 г. Жуков был направлен на выручку в Ленинград. Привлек население к строительству оборонительных сооружений (1052).</w:t>
      </w:r>
    </w:p>
    <w:p w14:paraId="662418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1C854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сентября 1941 г. финский броненосец береговой обороны &lt;Ильмаринен&gt; подорвался на двух советских якорных минах и быстро затонул с большей частью своего экипажа (7490).</w:t>
      </w:r>
    </w:p>
    <w:p w14:paraId="4D633C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3193F9A"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13 сентября </w:t>
      </w:r>
      <w:r w:rsidRPr="00640820">
        <w:rPr>
          <w:rFonts w:ascii="Times New Roman" w:hAnsi="Times New Roman"/>
          <w:color w:val="000000" w:themeColor="text1"/>
          <w:sz w:val="16"/>
          <w:szCs w:val="16"/>
        </w:rPr>
        <w:t>в 1941 году на минном заграждении погиб броненосец береговой обороны финского флота «Ильмаринен» (14768).</w:t>
      </w:r>
    </w:p>
    <w:p w14:paraId="2AA9FEB8" w14:textId="77777777" w:rsidR="006431D3" w:rsidRPr="00640820" w:rsidRDefault="006431D3" w:rsidP="00640820">
      <w:pPr>
        <w:spacing w:after="0" w:line="240" w:lineRule="auto"/>
        <w:jc w:val="both"/>
        <w:rPr>
          <w:rFonts w:ascii="Times New Roman" w:hAnsi="Times New Roman"/>
          <w:color w:val="000000" w:themeColor="text1"/>
          <w:sz w:val="16"/>
          <w:szCs w:val="16"/>
        </w:rPr>
      </w:pPr>
    </w:p>
    <w:p w14:paraId="569D916A"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75E06EAA"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E0263D2" w14:textId="77777777" w:rsidR="00DE7CDD" w:rsidRPr="00640820" w:rsidRDefault="00DE7CD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сентября 1941 г. СНК СССР издал постановление «О строительстве жилых помещений для эвакуированного населения». Предполагалось возвести различные сооружения упрощенного типа, наподобие бараков, землянок и т.п. Рассчитано постановление было прежде всего на размещение рабочих и их семей (19555).</w:t>
      </w:r>
    </w:p>
    <w:p w14:paraId="7CBC5710" w14:textId="77777777" w:rsidR="00DE7CDD" w:rsidRPr="00640820" w:rsidRDefault="00DE7CDD" w:rsidP="00640820">
      <w:pPr>
        <w:spacing w:after="0" w:line="240" w:lineRule="auto"/>
        <w:jc w:val="both"/>
        <w:rPr>
          <w:rFonts w:ascii="Times New Roman" w:hAnsi="Times New Roman"/>
          <w:color w:val="000000" w:themeColor="text1"/>
          <w:sz w:val="16"/>
          <w:szCs w:val="16"/>
        </w:rPr>
      </w:pPr>
    </w:p>
    <w:p w14:paraId="6064F09B"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13 сентября </w:t>
      </w:r>
      <w:r w:rsidRPr="00640820">
        <w:rPr>
          <w:rFonts w:ascii="Times New Roman" w:hAnsi="Times New Roman"/>
          <w:color w:val="000000" w:themeColor="text1"/>
          <w:sz w:val="16"/>
          <w:szCs w:val="16"/>
        </w:rPr>
        <w:t>в 1941 году из Москвы отправляется первый эшелон с 2430 лицами немецкой национальности согласно указу от 28 августа о выселении немцев (14768).</w:t>
      </w:r>
    </w:p>
    <w:p w14:paraId="1B6F4473" w14:textId="77777777" w:rsidR="006431D3" w:rsidRPr="00640820" w:rsidRDefault="006431D3" w:rsidP="00640820">
      <w:pPr>
        <w:spacing w:after="0" w:line="240" w:lineRule="auto"/>
        <w:jc w:val="both"/>
        <w:rPr>
          <w:rFonts w:ascii="Times New Roman" w:hAnsi="Times New Roman"/>
          <w:color w:val="000000" w:themeColor="text1"/>
          <w:sz w:val="16"/>
          <w:szCs w:val="16"/>
        </w:rPr>
      </w:pPr>
    </w:p>
    <w:p w14:paraId="16A1B6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сентября 1941 вышло постановление СНК "О строительстве жилых помещений для эвакуированного населения". См. постановление от 11 сентября (173,214).</w:t>
      </w:r>
    </w:p>
    <w:p w14:paraId="54F4C4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D1A81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сентября 1941 вышло Постановление ГКО № 668 Об эвакуации скота из Курской области. РГАНИР, Фонд ГКО, д. 9, лл. 89 (11012).</w:t>
      </w:r>
    </w:p>
    <w:p w14:paraId="0CD999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2D6FFD0" w14:textId="77777777" w:rsidR="00DA0F14" w:rsidRPr="00640820" w:rsidRDefault="00DA0F14"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bCs/>
          <w:iCs/>
          <w:color w:val="000000" w:themeColor="text1"/>
          <w:sz w:val="16"/>
          <w:szCs w:val="16"/>
        </w:rPr>
        <w:t>13 сентября 1941 г.</w:t>
      </w:r>
      <w:r w:rsidRPr="00640820">
        <w:rPr>
          <w:rFonts w:ascii="Times New Roman" w:hAnsi="Times New Roman"/>
          <w:color w:val="000000" w:themeColor="text1"/>
          <w:sz w:val="16"/>
          <w:szCs w:val="16"/>
        </w:rPr>
        <w:t xml:space="preserve"> Постановление Совнаркома СССР о приспособлении бомбоубежищ страны под газоубежища. На учет были взяты подвалы, погреба и другие помещения, пригодные для укрытия населения при химической войне (17133).</w:t>
      </w:r>
    </w:p>
    <w:p w14:paraId="5D209093" w14:textId="77777777" w:rsidR="00DA0F14" w:rsidRPr="00640820" w:rsidRDefault="00DA0F14" w:rsidP="00640820">
      <w:pPr>
        <w:shd w:val="clear" w:color="auto" w:fill="FFFFFF"/>
        <w:spacing w:after="0" w:line="240" w:lineRule="auto"/>
        <w:jc w:val="both"/>
        <w:rPr>
          <w:rFonts w:ascii="Times New Roman" w:hAnsi="Times New Roman"/>
          <w:color w:val="000000" w:themeColor="text1"/>
          <w:sz w:val="16"/>
          <w:szCs w:val="16"/>
        </w:rPr>
      </w:pPr>
    </w:p>
    <w:p w14:paraId="45573237"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13 сентября </w:t>
      </w:r>
      <w:r w:rsidRPr="00640820">
        <w:rPr>
          <w:rFonts w:ascii="Times New Roman" w:hAnsi="Times New Roman"/>
          <w:color w:val="000000" w:themeColor="text1"/>
          <w:sz w:val="16"/>
          <w:szCs w:val="16"/>
        </w:rPr>
        <w:t>в 1941 году заместитель наркома внутренних дел В.Н.Меркулов получил мандат уполномоченного ГКО по подготовке взрыва предприятий, мостов, "важных сооружений" в Ленинграде в случае отхода войск (14768).</w:t>
      </w:r>
    </w:p>
    <w:p w14:paraId="3D2E4784" w14:textId="77777777" w:rsidR="006431D3" w:rsidRPr="00640820" w:rsidRDefault="006431D3" w:rsidP="00640820">
      <w:pPr>
        <w:spacing w:after="0" w:line="240" w:lineRule="auto"/>
        <w:jc w:val="both"/>
        <w:rPr>
          <w:rFonts w:ascii="Times New Roman" w:hAnsi="Times New Roman"/>
          <w:color w:val="000000" w:themeColor="text1"/>
          <w:sz w:val="16"/>
          <w:szCs w:val="16"/>
        </w:rPr>
      </w:pPr>
    </w:p>
    <w:p w14:paraId="337A5D22"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lastRenderedPageBreak/>
        <w:t>Внешняя политика:</w:t>
      </w:r>
    </w:p>
    <w:p w14:paraId="7853B472"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E3E64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сентября 1941 года было отправлено:</w:t>
      </w:r>
    </w:p>
    <w:p w14:paraId="7A9379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ЛИЧНОЕ ПОСЛАНИЕ ПРЕМЬЕРА г-на СТАЛИНА ПРЕМЬЕРУ г-ну ЧЕРЧИЛЛЮ</w:t>
      </w:r>
    </w:p>
    <w:p w14:paraId="069CF9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 изложил в своем последнем послании мнение Правительства СССР о создании второго фронта, как основного средства улучшения нашего общего дела. В ответ на Ваше послание, где Вы вновь подчеркиваете невозможность создания в данный момент второго фронта, я могу лишь повторить, что отсутствие второго фронта льет воду на мельницу наших общих врагов.</w:t>
      </w:r>
    </w:p>
    <w:p w14:paraId="4F1521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 не сомневаюсь, что Английское Правительство желает победы Советскому Союзу и ищет путей для достижения этой цели. Если создание второго фронта на Западе в данный момент, по мнению Английского Правительства, представляется невозможным, то, может быть, можно было бы найти другое средство активной военной помощи Советскому Союзу против общего врага? Мне кажется, что Англия могла бы без риска высадить 25—30 дивизий в Архангельск или перевести их через Иран в южные районы СССР для военного сотрудничества с советскими войсками на территории СССР по примеру того, как это имело место в прошлую войну во Франции. Это была бы большая помощь. Мне кажется, что такая помощь была бы серьезным ударом по гитлеровской агрессии.</w:t>
      </w:r>
    </w:p>
    <w:p w14:paraId="78B877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Приношу благодарность за обещание ежемесячной помощи со стороны Англии алюминием, самолетами и танками.</w:t>
      </w:r>
    </w:p>
    <w:p w14:paraId="57CE65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 могу лишь приветствовать, что Английское Правительство думает оказать эту помощь не в порядке купли-продажи самолетов, алюминия и танков, а в порядке товарищеского сотрудничества.</w:t>
      </w:r>
    </w:p>
    <w:p w14:paraId="24287C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Надеюсь, что Английское Правительство получит немало случаев убедиться в том, что Правительство СССР умеет достойным образом оценить помощь своего союзника.</w:t>
      </w:r>
    </w:p>
    <w:p w14:paraId="40499B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Два слова о записке Посла Великобритании в Москве г-на Криппса, переданной В. М. Молотову 12 сентября 1941 года. В этой записке сказано: “В случае, если Советское Правительство будет вынуждено уничтожить свои военно-морские суда в Ленинграде, чтобы предотвратить переход этих судов в руки неприятеля, Правительство Его Величества признает требование Советского Правительства после войны об участии Правительства Его Величества в замене уничтоженных таким образом судов”.</w:t>
      </w:r>
    </w:p>
    <w:p w14:paraId="62CDE0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Советское Правительство понимает и ценит готовность Английского Правительства возместить частично ущерб, который будет нанесен Советскому Союзу в случае уничтожения советских кораблей в Ленинграде. Не может быть сомнения, что в случае необходимости советские корабли в Ленинграде действительно будут уничтожены советскими людьми. Но за этот ущерб несет ответственность не Англия, а Германия. Я думаю поэтому, что ущерб должен быть возмещен после войны за счет Германии (7430).</w:t>
      </w:r>
    </w:p>
    <w:p w14:paraId="0F2B1A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3B38F19" w14:textId="77777777" w:rsidR="006431D3"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1A8565A3" w14:textId="77777777" w:rsidR="006431D3" w:rsidRPr="00640820" w:rsidRDefault="006431D3"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A98D07F"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13 сентября </w:t>
      </w:r>
      <w:r w:rsidRPr="00640820">
        <w:rPr>
          <w:rFonts w:ascii="Times New Roman" w:hAnsi="Times New Roman"/>
          <w:color w:val="000000" w:themeColor="text1"/>
          <w:sz w:val="16"/>
          <w:szCs w:val="16"/>
        </w:rPr>
        <w:t>в 1941 году Германия и Великобритания начали в Лиссабоне секретные переговоры о заключении мира, окончившиеся без результата (14768).</w:t>
      </w:r>
    </w:p>
    <w:p w14:paraId="2383470B" w14:textId="77777777" w:rsidR="006431D3" w:rsidRPr="00640820" w:rsidRDefault="006431D3" w:rsidP="00640820">
      <w:pPr>
        <w:spacing w:after="0" w:line="240" w:lineRule="auto"/>
        <w:jc w:val="both"/>
        <w:rPr>
          <w:rFonts w:ascii="Times New Roman" w:hAnsi="Times New Roman"/>
          <w:color w:val="000000" w:themeColor="text1"/>
          <w:sz w:val="16"/>
          <w:szCs w:val="16"/>
        </w:rPr>
      </w:pPr>
    </w:p>
    <w:p w14:paraId="7E493F98"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5B1998D0"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00841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сентября 1941 Нач. НИИ ВВС би П.И.Федоров и ВРИО нач. НИИ ВВС бк Чернышев утвердили акт по гос. испытаниям по определению летных данных самолета ЛаГГ-3 с М-105П и винтом ВИШ-61П (серийный 21 завода N 3121422) с установленными под крылом РО для подвески 8 РС-82 (скорость падала на 32-36 км/час), а потом и только с 4 РО (19 км/час)</w:t>
      </w:r>
    </w:p>
    <w:p w14:paraId="57BDE3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Исполнитель Никашин</w:t>
      </w:r>
    </w:p>
    <w:p w14:paraId="2AC850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ЛД и в/п свойства определялись на серийном с-те производства завода № 21 № 3121422, оборудованном наружной подвеской РО по четыре на каждой консоли крыла и подвешенными РС калибра 82мм</w:t>
      </w:r>
    </w:p>
    <w:p w14:paraId="61B43E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ЛД по макс. скорости проверялись также при наличии только 4-х РО и 4-х РС по два на важдой консоли</w:t>
      </w:r>
    </w:p>
    <w:p w14:paraId="5AD9C8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Заключение:</w:t>
      </w:r>
    </w:p>
    <w:p w14:paraId="6FEB50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Подвеска 8-ми РС-82 уменьшала макс. скорость у земли на 36 км/час, а на гр. высотности - на 32 км/час. Подвеска 4-х РС-82 уменьшала макс. скорость на 19 км/час</w:t>
      </w:r>
    </w:p>
    <w:p w14:paraId="317FC4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Подписали РудимцевПалух, Фролов 13 сентября 1941</w:t>
      </w:r>
    </w:p>
    <w:p w14:paraId="0D983D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Разбег без РС - 550 м, а с щитками, отклоненными на 15 гр. - 500 м</w:t>
      </w:r>
    </w:p>
    <w:p w14:paraId="246C68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Основные дефекты, связанные с установкой РС - дюралевая обшивка, предохраняющая от пламени РС на левой консоли крыла, совершенно закрывает посадочную фару</w:t>
      </w:r>
    </w:p>
    <w:p w14:paraId="6DF306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Расположение ЭСБР-3 неудобно для управления - л-к локтем левой руки легко может сбить установку на сбрасывателе при работе сектором газа.</w:t>
      </w:r>
    </w:p>
    <w:p w14:paraId="1F5493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Выявлена равношенная стойкость предохраняющих щитков нижней поверхности консолей как огнеупорням полотном, тск и дюралевым листом толщиной 0,5 мм (760,1).</w:t>
      </w:r>
    </w:p>
    <w:p w14:paraId="0AAFA3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F18ED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сентября 1941 г. в письме на имя наркома авиапромышленности А.И. Шахурина и начальника ГУ ВВС КА генерала И.Ф. Петрова начальник НИИ ВВС КА бригинже- нер Федоров дал следующую оценку истребителю МиГ:</w:t>
      </w:r>
    </w:p>
    <w:p w14:paraId="4A4F01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"...Опытный МиГ-1 </w:t>
      </w:r>
      <w:r w:rsidRPr="00640820">
        <w:rPr>
          <w:rFonts w:ascii="Times New Roman" w:hAnsi="Times New Roman"/>
          <w:color w:val="000000" w:themeColor="text1"/>
          <w:sz w:val="16"/>
          <w:szCs w:val="16"/>
          <w:lang w:val="en-US"/>
        </w:rPr>
        <w:t>AM</w:t>
      </w:r>
      <w:r w:rsidRPr="00640820">
        <w:rPr>
          <w:rFonts w:ascii="Times New Roman" w:hAnsi="Times New Roman"/>
          <w:color w:val="000000" w:themeColor="text1"/>
          <w:sz w:val="16"/>
          <w:szCs w:val="16"/>
        </w:rPr>
        <w:t>-35А с антенной и мачтой, с закрытым фонарем летчика и убранным хвостовым колесом имел максимальную горизонтальную скорость 486 км/ч у земли и 628 км/ч на высоте 7200 м. Серийный МиГ-3 АМ-35А без предкрылков достигал скорости 474 км/ч у земли и 621 км/ч на 7800 м (самолет с предкрылками - 469 и 615 км/ч, соответственно).</w:t>
      </w:r>
    </w:p>
    <w:p w14:paraId="53EA40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Таким образом, скорость серийного самолета МиГ-3 относительно первого опытного МиГ-1 снизилась незначительно. Но в настоящее время серийный истребитель выпускается с редукцией мотора 0,732, на опытной машине МиГ-1 стоял мотор </w:t>
      </w:r>
      <w:r w:rsidRPr="00640820">
        <w:rPr>
          <w:rFonts w:ascii="Times New Roman" w:hAnsi="Times New Roman"/>
          <w:color w:val="000000" w:themeColor="text1"/>
          <w:sz w:val="16"/>
          <w:szCs w:val="16"/>
          <w:lang w:val="en-US"/>
        </w:rPr>
        <w:t>AM</w:t>
      </w:r>
      <w:r w:rsidRPr="00640820">
        <w:rPr>
          <w:rFonts w:ascii="Times New Roman" w:hAnsi="Times New Roman"/>
          <w:color w:val="000000" w:themeColor="text1"/>
          <w:sz w:val="16"/>
          <w:szCs w:val="16"/>
        </w:rPr>
        <w:t>-35А с редукцией 0,902. На первом МиГ-1 с редукцией мотора 0,732 была получена скорость 657 км/ч на высоте 8000 м. В то же время, серийный самолет МиГ-3 с редукцией мотора 0,902 имеет скорость 603 км/ч на 7800 м.</w:t>
      </w:r>
    </w:p>
    <w:p w14:paraId="5CA710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Следовательно, максимальная горизонтальная скорость самолетов МиГ-3 последних серийных самолетов по сравнению с самолетом первой серии сократилась (на разных высотах) на 25 - 36 км/ч. Снижение максимальных горизонтальных скоростей объясняется:</w:t>
      </w:r>
    </w:p>
    <w:p w14:paraId="1030F5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 худшей отделкой камуфлированных поверхностей фюзеляжа и крыла, что снижает до 10 км/ч максимальную горизонтальную скорость;</w:t>
      </w:r>
    </w:p>
    <w:p w14:paraId="413541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наличием маслоотражателя на капоте мотора, который был установлен в срочном порядке для предохранения фонаря летчика от забрызгивания маслом;</w:t>
      </w:r>
    </w:p>
    <w:p w14:paraId="332810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 xml:space="preserve">) грубой окраской винта и выводом наружу проводки для заполнения бензобаков нейтральным газом. </w:t>
      </w:r>
    </w:p>
    <w:p w14:paraId="23066A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Выполнение горизонтальных виражей на МиГ-3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643896" w:rsidRPr="00640820" w14:paraId="27A87B18" w14:textId="77777777" w:rsidTr="000D3BCB">
        <w:tc>
          <w:tcPr>
            <w:tcW w:w="3736" w:type="dxa"/>
            <w:tcBorders>
              <w:top w:val="single" w:sz="12" w:space="0" w:color="auto"/>
            </w:tcBorders>
          </w:tcPr>
          <w:p w14:paraId="484225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Время виража (с)</w:t>
            </w:r>
          </w:p>
        </w:tc>
        <w:tc>
          <w:tcPr>
            <w:tcW w:w="3736" w:type="dxa"/>
            <w:tcBorders>
              <w:top w:val="single" w:sz="12" w:space="0" w:color="auto"/>
            </w:tcBorders>
          </w:tcPr>
          <w:p w14:paraId="2C943A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Радиус виража, м</w:t>
            </w:r>
          </w:p>
        </w:tc>
        <w:tc>
          <w:tcPr>
            <w:tcW w:w="3736" w:type="dxa"/>
            <w:tcBorders>
              <w:top w:val="single" w:sz="12" w:space="0" w:color="auto"/>
            </w:tcBorders>
          </w:tcPr>
          <w:p w14:paraId="4D9D53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Скорость на вираже. км/ч</w:t>
            </w:r>
          </w:p>
        </w:tc>
      </w:tr>
      <w:tr w:rsidR="00643896" w:rsidRPr="00640820" w14:paraId="6F0D8570" w14:textId="77777777" w:rsidTr="000D3BCB">
        <w:tc>
          <w:tcPr>
            <w:tcW w:w="3736" w:type="dxa"/>
          </w:tcPr>
          <w:p w14:paraId="058707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28,0</w:t>
            </w:r>
          </w:p>
        </w:tc>
        <w:tc>
          <w:tcPr>
            <w:tcW w:w="3736" w:type="dxa"/>
          </w:tcPr>
          <w:p w14:paraId="283F89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490</w:t>
            </w:r>
          </w:p>
        </w:tc>
        <w:tc>
          <w:tcPr>
            <w:tcW w:w="3736" w:type="dxa"/>
          </w:tcPr>
          <w:p w14:paraId="2880C4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330</w:t>
            </w:r>
          </w:p>
        </w:tc>
      </w:tr>
      <w:tr w:rsidR="00643896" w:rsidRPr="00640820" w14:paraId="6450B851" w14:textId="77777777" w:rsidTr="000D3BCB">
        <w:tc>
          <w:tcPr>
            <w:tcW w:w="3736" w:type="dxa"/>
          </w:tcPr>
          <w:p w14:paraId="74C4FF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32,8</w:t>
            </w:r>
          </w:p>
        </w:tc>
        <w:tc>
          <w:tcPr>
            <w:tcW w:w="3736" w:type="dxa"/>
          </w:tcPr>
          <w:p w14:paraId="447CDF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546</w:t>
            </w:r>
          </w:p>
        </w:tc>
        <w:tc>
          <w:tcPr>
            <w:tcW w:w="3736" w:type="dxa"/>
          </w:tcPr>
          <w:p w14:paraId="05A349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352</w:t>
            </w:r>
          </w:p>
        </w:tc>
      </w:tr>
      <w:tr w:rsidR="00643896" w:rsidRPr="00640820" w14:paraId="48CC46C7" w14:textId="77777777" w:rsidTr="000D3BCB">
        <w:tc>
          <w:tcPr>
            <w:tcW w:w="3736" w:type="dxa"/>
          </w:tcPr>
          <w:p w14:paraId="07BBE1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32,7</w:t>
            </w:r>
          </w:p>
        </w:tc>
        <w:tc>
          <w:tcPr>
            <w:tcW w:w="3736" w:type="dxa"/>
          </w:tcPr>
          <w:p w14:paraId="4DC30E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562</w:t>
            </w:r>
          </w:p>
        </w:tc>
        <w:tc>
          <w:tcPr>
            <w:tcW w:w="3736" w:type="dxa"/>
          </w:tcPr>
          <w:p w14:paraId="4F0D35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368</w:t>
            </w:r>
          </w:p>
        </w:tc>
      </w:tr>
      <w:tr w:rsidR="00643896" w:rsidRPr="00640820" w14:paraId="79141599" w14:textId="77777777" w:rsidTr="000D3BCB">
        <w:tc>
          <w:tcPr>
            <w:tcW w:w="3736" w:type="dxa"/>
            <w:tcBorders>
              <w:bottom w:val="single" w:sz="12" w:space="0" w:color="auto"/>
            </w:tcBorders>
          </w:tcPr>
          <w:p w14:paraId="5FC410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38,2</w:t>
            </w:r>
          </w:p>
        </w:tc>
        <w:tc>
          <w:tcPr>
            <w:tcW w:w="3736" w:type="dxa"/>
            <w:tcBorders>
              <w:bottom w:val="single" w:sz="12" w:space="0" w:color="auto"/>
            </w:tcBorders>
          </w:tcPr>
          <w:p w14:paraId="7FCCAB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682</w:t>
            </w:r>
          </w:p>
        </w:tc>
        <w:tc>
          <w:tcPr>
            <w:tcW w:w="3736" w:type="dxa"/>
            <w:tcBorders>
              <w:bottom w:val="single" w:sz="12" w:space="0" w:color="auto"/>
            </w:tcBorders>
          </w:tcPr>
          <w:p w14:paraId="69E7B4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373</w:t>
            </w:r>
          </w:p>
        </w:tc>
      </w:tr>
    </w:tbl>
    <w:p w14:paraId="128D8F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Примечание. Вираж истребитель выполнял на высоте 1000 м.</w:t>
      </w:r>
    </w:p>
    <w:p w14:paraId="5BBFA5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Дальность полета МиГ-З</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643896" w:rsidRPr="00640820" w14:paraId="487410C5" w14:textId="77777777" w:rsidTr="000D3BCB">
        <w:tc>
          <w:tcPr>
            <w:tcW w:w="2802" w:type="dxa"/>
            <w:tcBorders>
              <w:top w:val="single" w:sz="12" w:space="0" w:color="auto"/>
            </w:tcBorders>
          </w:tcPr>
          <w:p w14:paraId="624DB2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Масса поле</w:t>
            </w:r>
          </w:p>
        </w:tc>
        <w:tc>
          <w:tcPr>
            <w:tcW w:w="2802" w:type="dxa"/>
            <w:tcBorders>
              <w:top w:val="single" w:sz="12" w:space="0" w:color="auto"/>
            </w:tcBorders>
          </w:tcPr>
          <w:p w14:paraId="59CC12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Скорость</w:t>
            </w:r>
          </w:p>
        </w:tc>
        <w:tc>
          <w:tcPr>
            <w:tcW w:w="2802" w:type="dxa"/>
            <w:tcBorders>
              <w:top w:val="single" w:sz="12" w:space="0" w:color="auto"/>
            </w:tcBorders>
          </w:tcPr>
          <w:p w14:paraId="04F743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Высота, м</w:t>
            </w:r>
          </w:p>
        </w:tc>
        <w:tc>
          <w:tcPr>
            <w:tcW w:w="2802" w:type="dxa"/>
            <w:tcBorders>
              <w:top w:val="single" w:sz="12" w:space="0" w:color="auto"/>
            </w:tcBorders>
          </w:tcPr>
          <w:p w14:paraId="1CF044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Режим</w:t>
            </w:r>
          </w:p>
        </w:tc>
      </w:tr>
      <w:tr w:rsidR="00643896" w:rsidRPr="00640820" w14:paraId="0CD47CCA" w14:textId="77777777" w:rsidTr="000D3BCB">
        <w:tc>
          <w:tcPr>
            <w:tcW w:w="2802" w:type="dxa"/>
          </w:tcPr>
          <w:p w14:paraId="27B425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3400/340</w:t>
            </w:r>
          </w:p>
        </w:tc>
        <w:tc>
          <w:tcPr>
            <w:tcW w:w="2802" w:type="dxa"/>
          </w:tcPr>
          <w:p w14:paraId="4515CB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657 2-11</w:t>
            </w:r>
          </w:p>
        </w:tc>
        <w:tc>
          <w:tcPr>
            <w:tcW w:w="2802" w:type="dxa"/>
          </w:tcPr>
          <w:p w14:paraId="7023C7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1000</w:t>
            </w:r>
          </w:p>
        </w:tc>
        <w:tc>
          <w:tcPr>
            <w:tcW w:w="2802" w:type="dxa"/>
          </w:tcPr>
          <w:p w14:paraId="27B2AE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Наивыгодн.</w:t>
            </w:r>
          </w:p>
        </w:tc>
      </w:tr>
      <w:tr w:rsidR="00643896" w:rsidRPr="00640820" w14:paraId="27E5EA8B" w14:textId="77777777" w:rsidTr="000D3BCB">
        <w:tc>
          <w:tcPr>
            <w:tcW w:w="2802" w:type="dxa"/>
          </w:tcPr>
          <w:p w14:paraId="4EC3FE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2802" w:type="dxa"/>
          </w:tcPr>
          <w:p w14:paraId="4FFB69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640 1-10</w:t>
            </w:r>
          </w:p>
        </w:tc>
        <w:tc>
          <w:tcPr>
            <w:tcW w:w="2802" w:type="dxa"/>
          </w:tcPr>
          <w:p w14:paraId="7AFBF9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5000</w:t>
            </w:r>
          </w:p>
        </w:tc>
        <w:tc>
          <w:tcPr>
            <w:tcW w:w="2802" w:type="dxa"/>
          </w:tcPr>
          <w:p w14:paraId="2F9951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0,9 V макс.</w:t>
            </w:r>
          </w:p>
        </w:tc>
      </w:tr>
      <w:tr w:rsidR="00643896" w:rsidRPr="00640820" w14:paraId="2E2780B2" w14:textId="77777777" w:rsidTr="000D3BCB">
        <w:tc>
          <w:tcPr>
            <w:tcW w:w="2802" w:type="dxa"/>
          </w:tcPr>
          <w:p w14:paraId="3A63A1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3400/340</w:t>
            </w:r>
          </w:p>
        </w:tc>
        <w:tc>
          <w:tcPr>
            <w:tcW w:w="2802" w:type="dxa"/>
          </w:tcPr>
          <w:p w14:paraId="1B45DD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607 1-30</w:t>
            </w:r>
          </w:p>
        </w:tc>
        <w:tc>
          <w:tcPr>
            <w:tcW w:w="2802" w:type="dxa"/>
          </w:tcPr>
          <w:p w14:paraId="625DA9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1000</w:t>
            </w:r>
          </w:p>
        </w:tc>
        <w:tc>
          <w:tcPr>
            <w:tcW w:w="2802" w:type="dxa"/>
          </w:tcPr>
          <w:p w14:paraId="3E3C66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Наивыгодн.</w:t>
            </w:r>
          </w:p>
        </w:tc>
      </w:tr>
      <w:tr w:rsidR="00643896" w:rsidRPr="00640820" w14:paraId="52FB56EA" w14:textId="77777777" w:rsidTr="000D3BCB">
        <w:tc>
          <w:tcPr>
            <w:tcW w:w="2802" w:type="dxa"/>
            <w:tcBorders>
              <w:bottom w:val="single" w:sz="12" w:space="0" w:color="auto"/>
            </w:tcBorders>
          </w:tcPr>
          <w:p w14:paraId="3C80EB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2802" w:type="dxa"/>
            <w:tcBorders>
              <w:bottom w:val="single" w:sz="12" w:space="0" w:color="auto"/>
            </w:tcBorders>
          </w:tcPr>
          <w:p w14:paraId="38DE42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560 1-01</w:t>
            </w:r>
          </w:p>
        </w:tc>
        <w:tc>
          <w:tcPr>
            <w:tcW w:w="2802" w:type="dxa"/>
            <w:tcBorders>
              <w:bottom w:val="single" w:sz="12" w:space="0" w:color="auto"/>
            </w:tcBorders>
          </w:tcPr>
          <w:p w14:paraId="41B6D0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5000</w:t>
            </w:r>
          </w:p>
        </w:tc>
        <w:tc>
          <w:tcPr>
            <w:tcW w:w="2802" w:type="dxa"/>
            <w:tcBorders>
              <w:bottom w:val="single" w:sz="12" w:space="0" w:color="auto"/>
            </w:tcBorders>
          </w:tcPr>
          <w:p w14:paraId="1D61FB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0,9 V макс.</w:t>
            </w:r>
          </w:p>
        </w:tc>
      </w:tr>
    </w:tbl>
    <w:p w14:paraId="0F4225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Примечание. Первый вариант - фонарь кабины закрыт, использован высотный корректор.</w:t>
      </w:r>
    </w:p>
    <w:p w14:paraId="77B5C3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Второй вариант - фонарь кабины открыт, не использован высотный корректор.</w:t>
      </w:r>
    </w:p>
    <w:p w14:paraId="131BB2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испытании одного МиГ-3 в НИИ ВВС была замерена скоростная дальность на 0,9 Умакс, равная 628 км на высоте 7250 м</w:t>
      </w:r>
    </w:p>
    <w:p w14:paraId="289C58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Выполнение боевых разворотов на МиГ-3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643896" w:rsidRPr="00640820" w14:paraId="2E341099" w14:textId="77777777" w:rsidTr="000D3BCB">
        <w:tc>
          <w:tcPr>
            <w:tcW w:w="2802" w:type="dxa"/>
            <w:tcBorders>
              <w:top w:val="single" w:sz="12" w:space="0" w:color="auto"/>
            </w:tcBorders>
          </w:tcPr>
          <w:p w14:paraId="10EBE7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 нач., м</w:t>
            </w:r>
          </w:p>
        </w:tc>
        <w:tc>
          <w:tcPr>
            <w:tcW w:w="2802" w:type="dxa"/>
            <w:tcBorders>
              <w:top w:val="single" w:sz="12" w:space="0" w:color="auto"/>
            </w:tcBorders>
          </w:tcPr>
          <w:p w14:paraId="4511C4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И конечн., м </w:t>
            </w:r>
            <w:r w:rsidRPr="00640820">
              <w:rPr>
                <w:rFonts w:ascii="Times New Roman" w:hAnsi="Times New Roman"/>
                <w:color w:val="000000" w:themeColor="text1"/>
                <w:sz w:val="16"/>
                <w:szCs w:val="16"/>
                <w:lang w:val="en-US"/>
              </w:rPr>
              <w:t>D</w:t>
            </w:r>
            <w:r w:rsidRPr="00640820">
              <w:rPr>
                <w:rFonts w:ascii="Times New Roman" w:hAnsi="Times New Roman"/>
                <w:color w:val="000000" w:themeColor="text1"/>
                <w:sz w:val="16"/>
                <w:szCs w:val="16"/>
              </w:rPr>
              <w:t xml:space="preserve"> И, м </w:t>
            </w:r>
            <w:r w:rsidRPr="00640820">
              <w:rPr>
                <w:rFonts w:ascii="Times New Roman" w:hAnsi="Times New Roman"/>
                <w:color w:val="000000" w:themeColor="text1"/>
                <w:sz w:val="16"/>
                <w:szCs w:val="16"/>
                <w:lang w:val="en-US"/>
              </w:rPr>
              <w:t>V</w:t>
            </w:r>
            <w:r w:rsidRPr="00640820">
              <w:rPr>
                <w:rFonts w:ascii="Times New Roman" w:hAnsi="Times New Roman"/>
                <w:color w:val="000000" w:themeColor="text1"/>
                <w:sz w:val="16"/>
                <w:szCs w:val="16"/>
              </w:rPr>
              <w:t xml:space="preserve"> нач . км/ч </w:t>
            </w:r>
            <w:r w:rsidRPr="00640820">
              <w:rPr>
                <w:rFonts w:ascii="Times New Roman" w:hAnsi="Times New Roman"/>
                <w:color w:val="000000" w:themeColor="text1"/>
                <w:sz w:val="16"/>
                <w:szCs w:val="16"/>
                <w:lang w:val="en-US"/>
              </w:rPr>
              <w:t>V</w:t>
            </w:r>
          </w:p>
        </w:tc>
        <w:tc>
          <w:tcPr>
            <w:tcW w:w="2802" w:type="dxa"/>
            <w:tcBorders>
              <w:top w:val="single" w:sz="12" w:space="0" w:color="auto"/>
            </w:tcBorders>
          </w:tcPr>
          <w:p w14:paraId="55A5AF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нач., км/ч</w:t>
            </w:r>
          </w:p>
        </w:tc>
        <w:tc>
          <w:tcPr>
            <w:tcW w:w="2802" w:type="dxa"/>
            <w:tcBorders>
              <w:top w:val="single" w:sz="12" w:space="0" w:color="auto"/>
            </w:tcBorders>
          </w:tcPr>
          <w:p w14:paraId="5056D4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Т разворота, с</w:t>
            </w:r>
          </w:p>
        </w:tc>
      </w:tr>
      <w:tr w:rsidR="00643896" w:rsidRPr="00640820" w14:paraId="1B1D171C" w14:textId="77777777" w:rsidTr="000D3BCB">
        <w:tc>
          <w:tcPr>
            <w:tcW w:w="2802" w:type="dxa"/>
            <w:tcBorders>
              <w:bottom w:val="single" w:sz="12" w:space="0" w:color="auto"/>
            </w:tcBorders>
          </w:tcPr>
          <w:p w14:paraId="1E6D78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1340 1390</w:t>
            </w:r>
          </w:p>
        </w:tc>
        <w:tc>
          <w:tcPr>
            <w:tcW w:w="2802" w:type="dxa"/>
            <w:tcBorders>
              <w:bottom w:val="single" w:sz="12" w:space="0" w:color="auto"/>
            </w:tcBorders>
          </w:tcPr>
          <w:p w14:paraId="68B0D1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1900 560 410 1990 600 405</w:t>
            </w:r>
          </w:p>
        </w:tc>
        <w:tc>
          <w:tcPr>
            <w:tcW w:w="2802" w:type="dxa"/>
            <w:tcBorders>
              <w:bottom w:val="single" w:sz="12" w:space="0" w:color="auto"/>
            </w:tcBorders>
          </w:tcPr>
          <w:p w14:paraId="625FED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298 266</w:t>
            </w:r>
          </w:p>
        </w:tc>
        <w:tc>
          <w:tcPr>
            <w:tcW w:w="2802" w:type="dxa"/>
            <w:tcBorders>
              <w:bottom w:val="single" w:sz="12" w:space="0" w:color="auto"/>
            </w:tcBorders>
          </w:tcPr>
          <w:p w14:paraId="1537DC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23,0 22,0</w:t>
            </w:r>
          </w:p>
        </w:tc>
      </w:tr>
    </w:tbl>
    <w:p w14:paraId="460C40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Испытывался МиГ-3 зав. № 3943, оснащенный АМ-35А с редукцией 0,732 и винтом АВ-5Л-123.</w:t>
      </w:r>
    </w:p>
    <w:p w14:paraId="5F1BD1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Выявлено так же, что максимальная скорость МиГ-3 сильно зависит от величины открытия заслонок водяного и масляного радиаторов. Так, при открытии заслонки во- дорадиатора на 60° максимальная горизонтальная скорость снижалась на 47 км/ч, по сравнению со скоростью при полностью закрытой заслонке. Полное открытие заслонки маслорадиатора снижает скорость самолета до 20 км/ч.</w:t>
      </w:r>
    </w:p>
    <w:p w14:paraId="494E47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Дальность серийного самолета МиГ-3 при выросшем полетном весе (относительно опытного МиГ-1) возросла на 48-50 км, что было достигнуто за счет увеличения запаса горючего.</w:t>
      </w:r>
    </w:p>
    <w:p w14:paraId="5B0A7F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Посадочная скорость самолетов МиГ-3 всех серий оставалась приблизительно одинаковой.</w:t>
      </w:r>
    </w:p>
    <w:p w14:paraId="3CB8B7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Скороподъемность на 5000 м увеличилась на 1,5 минуты.</w:t>
      </w:r>
    </w:p>
    <w:p w14:paraId="1567F9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Практический потолок с 12000 м на серийных МиГ-3 уменьшился до 11 500 м".</w:t>
      </w:r>
    </w:p>
    <w:p w14:paraId="50DEF8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Федоров отметил, что в условиях военного времени все серийные истребители заметно "потяжелели". Однако в части основных летных данных истребители МиГ-3 и Як-1 почти не "пострадали", в то время как самолеты ЛаГТ-3 потеряли заметную часть достоинств опытной машины.</w:t>
      </w:r>
    </w:p>
    <w:p w14:paraId="14F461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Во многих отчетах указывалось, что время выполнения виража МиГа (И-200) сравнительно невелико. Так, типичные значения для опытной машины составляли 20-22 с для первых серийных МиГ-3 с редукцией 0,902 - 23 с, и равнялись 22-23 с для последующих модификаций. Но подобные результаты, полученные при "ускоренных" испытаниях, вызывают сомнения. Прежде всего, отметим, что время выполнения виража, вообще говоря, не слишком полно характеризует горизонтальную маневренность истребителя. Например, известно, что </w:t>
      </w:r>
      <w:r w:rsidRPr="00640820">
        <w:rPr>
          <w:rFonts w:ascii="Times New Roman" w:hAnsi="Times New Roman"/>
          <w:color w:val="000000" w:themeColor="text1"/>
          <w:sz w:val="16"/>
          <w:szCs w:val="16"/>
          <w:lang w:val="en-US"/>
        </w:rPr>
        <w:t>FW</w:t>
      </w:r>
      <w:r w:rsidRPr="00640820">
        <w:rPr>
          <w:rFonts w:ascii="Times New Roman" w:hAnsi="Times New Roman"/>
          <w:color w:val="000000" w:themeColor="text1"/>
          <w:sz w:val="16"/>
          <w:szCs w:val="16"/>
        </w:rPr>
        <w:t xml:space="preserve"> 190А имели заметно лучшую горизонтальную маневренность, чем </w:t>
      </w:r>
      <w:r w:rsidRPr="00640820">
        <w:rPr>
          <w:rFonts w:ascii="Times New Roman" w:hAnsi="Times New Roman"/>
          <w:color w:val="000000" w:themeColor="text1"/>
          <w:sz w:val="16"/>
          <w:szCs w:val="16"/>
          <w:lang w:val="en-US"/>
        </w:rPr>
        <w:t>Bf</w:t>
      </w:r>
      <w:r w:rsidRPr="00640820">
        <w:rPr>
          <w:rFonts w:ascii="Times New Roman" w:hAnsi="Times New Roman"/>
          <w:color w:val="000000" w:themeColor="text1"/>
          <w:sz w:val="16"/>
          <w:szCs w:val="16"/>
        </w:rPr>
        <w:t xml:space="preserve"> 109</w:t>
      </w:r>
      <w:r w:rsidRPr="00640820">
        <w:rPr>
          <w:rFonts w:ascii="Times New Roman" w:hAnsi="Times New Roman"/>
          <w:color w:val="000000" w:themeColor="text1"/>
          <w:sz w:val="16"/>
          <w:szCs w:val="16"/>
          <w:lang w:val="en-US"/>
        </w:rPr>
        <w:t>G</w:t>
      </w:r>
      <w:r w:rsidRPr="00640820">
        <w:rPr>
          <w:rFonts w:ascii="Times New Roman" w:hAnsi="Times New Roman"/>
          <w:color w:val="000000" w:themeColor="text1"/>
          <w:sz w:val="16"/>
          <w:szCs w:val="16"/>
        </w:rPr>
        <w:t>, хотя время выполнения виража у последних было меньшим. Дело в том, что помимо относительно статичной характеристики "время выполнения виража" большое значение при оценке маневренности играют другие "динамические" показатели, такие как скорость крена, потребные усилия на ручке управления и педалях для изменения пространственного положения самолета и т. п.</w:t>
      </w:r>
    </w:p>
    <w:p w14:paraId="7E5E62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Разнообразные графики, характеризующие поперечную управляемость истребителя, в НИИ ВВС при испытании машин стали строить только во второй половине войны, когда МиГ-3 сняли с производства. Их сравнение показывает, что усилия, необходимые для создания равных углов крена или равных перегрузок, у МиГов значительно больше, чем у других истребителей такого же класса. Например, градиенты усилия на ручке, необходимые для создания вращающего момента у МиГ-3, Як-1, Як-9 и </w:t>
      </w:r>
      <w:r w:rsidRPr="00640820">
        <w:rPr>
          <w:rFonts w:ascii="Times New Roman" w:hAnsi="Times New Roman"/>
          <w:color w:val="000000" w:themeColor="text1"/>
          <w:sz w:val="16"/>
          <w:szCs w:val="16"/>
          <w:lang w:val="en-US"/>
        </w:rPr>
        <w:t>Bf</w:t>
      </w:r>
      <w:r w:rsidRPr="00640820">
        <w:rPr>
          <w:rFonts w:ascii="Times New Roman" w:hAnsi="Times New Roman"/>
          <w:color w:val="000000" w:themeColor="text1"/>
          <w:sz w:val="16"/>
          <w:szCs w:val="16"/>
        </w:rPr>
        <w:t xml:space="preserve"> 109</w:t>
      </w:r>
      <w:r w:rsidRPr="00640820">
        <w:rPr>
          <w:rFonts w:ascii="Times New Roman" w:hAnsi="Times New Roman"/>
          <w:color w:val="000000" w:themeColor="text1"/>
          <w:sz w:val="16"/>
          <w:szCs w:val="16"/>
          <w:lang w:val="en-US"/>
        </w:rPr>
        <w:t>F</w:t>
      </w:r>
      <w:r w:rsidRPr="00640820">
        <w:rPr>
          <w:rFonts w:ascii="Times New Roman" w:hAnsi="Times New Roman"/>
          <w:color w:val="000000" w:themeColor="text1"/>
          <w:sz w:val="16"/>
          <w:szCs w:val="16"/>
        </w:rPr>
        <w:t xml:space="preserve"> практически равны при скорости 250 км/ч. Но если скорость увеличится, например, до 350 км/ч, то управлять МиГом окажется на 60% труднее, чем названными оппонентами, и потребуется приложить усилие в восемь раз большее, чем летчику истребителя </w:t>
      </w:r>
      <w:r w:rsidRPr="00640820">
        <w:rPr>
          <w:rFonts w:ascii="Times New Roman" w:hAnsi="Times New Roman"/>
          <w:color w:val="000000" w:themeColor="text1"/>
          <w:sz w:val="16"/>
          <w:szCs w:val="16"/>
          <w:lang w:val="en-US"/>
        </w:rPr>
        <w:t>Jla</w:t>
      </w:r>
      <w:r w:rsidRPr="00640820">
        <w:rPr>
          <w:rFonts w:ascii="Times New Roman" w:hAnsi="Times New Roman"/>
          <w:color w:val="000000" w:themeColor="text1"/>
          <w:sz w:val="16"/>
          <w:szCs w:val="16"/>
        </w:rPr>
        <w:t>-5, который имел излишне "легкие" рули. По мере увеличения скорости сравнение будет становиться все более невыгодным для МиГ-3. Следовательно, на нем было заметно труднее резко изменить траекторию как в горизонтальной, так и в вертикальной плоскостях (12045).</w:t>
      </w:r>
    </w:p>
    <w:p w14:paraId="05FA42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Основные характеристики истребителей МиГ-3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643896" w:rsidRPr="00640820" w14:paraId="767E5F77" w14:textId="77777777" w:rsidTr="000D3BCB">
        <w:tc>
          <w:tcPr>
            <w:tcW w:w="1868" w:type="dxa"/>
            <w:tcBorders>
              <w:top w:val="single" w:sz="12" w:space="0" w:color="auto"/>
            </w:tcBorders>
          </w:tcPr>
          <w:p w14:paraId="6CCABA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Характеристика</w:t>
            </w:r>
          </w:p>
        </w:tc>
        <w:tc>
          <w:tcPr>
            <w:tcW w:w="1868" w:type="dxa"/>
            <w:tcBorders>
              <w:top w:val="single" w:sz="12" w:space="0" w:color="auto"/>
            </w:tcBorders>
          </w:tcPr>
          <w:p w14:paraId="384E8E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2107 и № 21151</w:t>
            </w:r>
          </w:p>
        </w:tc>
        <w:tc>
          <w:tcPr>
            <w:tcW w:w="1868" w:type="dxa"/>
            <w:tcBorders>
              <w:top w:val="single" w:sz="12" w:space="0" w:color="auto"/>
            </w:tcBorders>
          </w:tcPr>
          <w:p w14:paraId="38BECD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32622</w:t>
            </w:r>
          </w:p>
        </w:tc>
        <w:tc>
          <w:tcPr>
            <w:tcW w:w="1868" w:type="dxa"/>
            <w:tcBorders>
              <w:top w:val="single" w:sz="12" w:space="0" w:color="auto"/>
            </w:tcBorders>
          </w:tcPr>
          <w:p w14:paraId="0ACD36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38393</w:t>
            </w:r>
          </w:p>
        </w:tc>
        <w:tc>
          <w:tcPr>
            <w:tcW w:w="1868" w:type="dxa"/>
            <w:tcBorders>
              <w:top w:val="single" w:sz="12" w:space="0" w:color="auto"/>
            </w:tcBorders>
          </w:tcPr>
          <w:p w14:paraId="7DBC30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N° 39434</w:t>
            </w:r>
          </w:p>
        </w:tc>
        <w:tc>
          <w:tcPr>
            <w:tcW w:w="1868" w:type="dxa"/>
            <w:tcBorders>
              <w:top w:val="single" w:sz="12" w:space="0" w:color="auto"/>
            </w:tcBorders>
          </w:tcPr>
          <w:p w14:paraId="379BFE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3595</w:t>
            </w:r>
          </w:p>
        </w:tc>
      </w:tr>
      <w:tr w:rsidR="00643896" w:rsidRPr="00640820" w14:paraId="47A58A80" w14:textId="77777777" w:rsidTr="000D3BCB">
        <w:tc>
          <w:tcPr>
            <w:tcW w:w="1868" w:type="dxa"/>
          </w:tcPr>
          <w:p w14:paraId="69214D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Силовая установка</w:t>
            </w:r>
          </w:p>
        </w:tc>
        <w:tc>
          <w:tcPr>
            <w:tcW w:w="1868" w:type="dxa"/>
          </w:tcPr>
          <w:p w14:paraId="3DA99E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АМ-35А</w:t>
            </w:r>
          </w:p>
        </w:tc>
        <w:tc>
          <w:tcPr>
            <w:tcW w:w="1868" w:type="dxa"/>
          </w:tcPr>
          <w:p w14:paraId="2F41B4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АМ-35А</w:t>
            </w:r>
          </w:p>
        </w:tc>
        <w:tc>
          <w:tcPr>
            <w:tcW w:w="1868" w:type="dxa"/>
          </w:tcPr>
          <w:p w14:paraId="06BB14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АМ-35А</w:t>
            </w:r>
          </w:p>
        </w:tc>
        <w:tc>
          <w:tcPr>
            <w:tcW w:w="1868" w:type="dxa"/>
          </w:tcPr>
          <w:p w14:paraId="5200CE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АМ-35А</w:t>
            </w:r>
          </w:p>
        </w:tc>
        <w:tc>
          <w:tcPr>
            <w:tcW w:w="1868" w:type="dxa"/>
          </w:tcPr>
          <w:p w14:paraId="03F421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АМ-38</w:t>
            </w:r>
          </w:p>
        </w:tc>
      </w:tr>
      <w:tr w:rsidR="00643896" w:rsidRPr="00640820" w14:paraId="6F548335" w14:textId="77777777" w:rsidTr="000D3BCB">
        <w:tc>
          <w:tcPr>
            <w:tcW w:w="1868" w:type="dxa"/>
          </w:tcPr>
          <w:p w14:paraId="34BF3D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Мощность взлетная, л.с.</w:t>
            </w:r>
          </w:p>
        </w:tc>
        <w:tc>
          <w:tcPr>
            <w:tcW w:w="1868" w:type="dxa"/>
          </w:tcPr>
          <w:p w14:paraId="27B93B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1350</w:t>
            </w:r>
          </w:p>
        </w:tc>
        <w:tc>
          <w:tcPr>
            <w:tcW w:w="1868" w:type="dxa"/>
          </w:tcPr>
          <w:p w14:paraId="082865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1350</w:t>
            </w:r>
          </w:p>
        </w:tc>
        <w:tc>
          <w:tcPr>
            <w:tcW w:w="1868" w:type="dxa"/>
          </w:tcPr>
          <w:p w14:paraId="10CC1C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1350</w:t>
            </w:r>
          </w:p>
        </w:tc>
        <w:tc>
          <w:tcPr>
            <w:tcW w:w="1868" w:type="dxa"/>
          </w:tcPr>
          <w:p w14:paraId="016B4B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1350</w:t>
            </w:r>
          </w:p>
        </w:tc>
        <w:tc>
          <w:tcPr>
            <w:tcW w:w="1868" w:type="dxa"/>
          </w:tcPr>
          <w:p w14:paraId="0C3885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1600</w:t>
            </w:r>
          </w:p>
        </w:tc>
      </w:tr>
      <w:tr w:rsidR="00643896" w:rsidRPr="00640820" w14:paraId="070BE5CB" w14:textId="77777777" w:rsidTr="000D3BCB">
        <w:tc>
          <w:tcPr>
            <w:tcW w:w="1868" w:type="dxa"/>
          </w:tcPr>
          <w:p w14:paraId="183A84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Редукция</w:t>
            </w:r>
          </w:p>
        </w:tc>
        <w:tc>
          <w:tcPr>
            <w:tcW w:w="1868" w:type="dxa"/>
          </w:tcPr>
          <w:p w14:paraId="180938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0,902</w:t>
            </w:r>
          </w:p>
        </w:tc>
        <w:tc>
          <w:tcPr>
            <w:tcW w:w="1868" w:type="dxa"/>
          </w:tcPr>
          <w:p w14:paraId="34C3DB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0,902</w:t>
            </w:r>
          </w:p>
        </w:tc>
        <w:tc>
          <w:tcPr>
            <w:tcW w:w="1868" w:type="dxa"/>
          </w:tcPr>
          <w:p w14:paraId="58D6A1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0,732</w:t>
            </w:r>
          </w:p>
        </w:tc>
        <w:tc>
          <w:tcPr>
            <w:tcW w:w="1868" w:type="dxa"/>
          </w:tcPr>
          <w:p w14:paraId="3CF2FB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0,732</w:t>
            </w:r>
          </w:p>
        </w:tc>
        <w:tc>
          <w:tcPr>
            <w:tcW w:w="1868" w:type="dxa"/>
          </w:tcPr>
          <w:p w14:paraId="509F36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0,732</w:t>
            </w:r>
          </w:p>
        </w:tc>
      </w:tr>
      <w:tr w:rsidR="00643896" w:rsidRPr="00640820" w14:paraId="60F2C3D6" w14:textId="77777777" w:rsidTr="000D3BCB">
        <w:tc>
          <w:tcPr>
            <w:tcW w:w="1868" w:type="dxa"/>
          </w:tcPr>
          <w:p w14:paraId="6E7B44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Винт</w:t>
            </w:r>
          </w:p>
        </w:tc>
        <w:tc>
          <w:tcPr>
            <w:tcW w:w="1868" w:type="dxa"/>
          </w:tcPr>
          <w:p w14:paraId="09F581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ВИШ-22Е</w:t>
            </w:r>
          </w:p>
        </w:tc>
        <w:tc>
          <w:tcPr>
            <w:tcW w:w="1868" w:type="dxa"/>
          </w:tcPr>
          <w:p w14:paraId="2A6570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ВИШ-22Е</w:t>
            </w:r>
          </w:p>
        </w:tc>
        <w:tc>
          <w:tcPr>
            <w:tcW w:w="1868" w:type="dxa"/>
          </w:tcPr>
          <w:p w14:paraId="1090F4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АВ-5Л-123</w:t>
            </w:r>
          </w:p>
        </w:tc>
        <w:tc>
          <w:tcPr>
            <w:tcW w:w="1868" w:type="dxa"/>
          </w:tcPr>
          <w:p w14:paraId="23EDF4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АВ-5Л-123</w:t>
            </w:r>
          </w:p>
        </w:tc>
        <w:tc>
          <w:tcPr>
            <w:tcW w:w="1868" w:type="dxa"/>
          </w:tcPr>
          <w:p w14:paraId="7ADBE5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АВ-5Л-110А</w:t>
            </w:r>
          </w:p>
        </w:tc>
      </w:tr>
      <w:tr w:rsidR="00643896" w:rsidRPr="00640820" w14:paraId="19D27AEB" w14:textId="77777777" w:rsidTr="000D3BCB">
        <w:tc>
          <w:tcPr>
            <w:tcW w:w="1868" w:type="dxa"/>
          </w:tcPr>
          <w:p w14:paraId="5C4FCB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Длина самолета, м</w:t>
            </w:r>
          </w:p>
        </w:tc>
        <w:tc>
          <w:tcPr>
            <w:tcW w:w="1868" w:type="dxa"/>
          </w:tcPr>
          <w:p w14:paraId="7C3610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8,25</w:t>
            </w:r>
          </w:p>
        </w:tc>
        <w:tc>
          <w:tcPr>
            <w:tcW w:w="1868" w:type="dxa"/>
          </w:tcPr>
          <w:p w14:paraId="412F50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8,25</w:t>
            </w:r>
          </w:p>
        </w:tc>
        <w:tc>
          <w:tcPr>
            <w:tcW w:w="1868" w:type="dxa"/>
          </w:tcPr>
          <w:p w14:paraId="4F23C8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8,25</w:t>
            </w:r>
          </w:p>
        </w:tc>
        <w:tc>
          <w:tcPr>
            <w:tcW w:w="1868" w:type="dxa"/>
          </w:tcPr>
          <w:p w14:paraId="2AC094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8,25</w:t>
            </w:r>
          </w:p>
        </w:tc>
        <w:tc>
          <w:tcPr>
            <w:tcW w:w="1868" w:type="dxa"/>
          </w:tcPr>
          <w:p w14:paraId="38FB3F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8,25</w:t>
            </w:r>
          </w:p>
        </w:tc>
      </w:tr>
      <w:tr w:rsidR="00643896" w:rsidRPr="00640820" w14:paraId="12DAF325" w14:textId="77777777" w:rsidTr="000D3BCB">
        <w:tc>
          <w:tcPr>
            <w:tcW w:w="1868" w:type="dxa"/>
          </w:tcPr>
          <w:p w14:paraId="3AC251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Размах крыла, м</w:t>
            </w:r>
          </w:p>
        </w:tc>
        <w:tc>
          <w:tcPr>
            <w:tcW w:w="1868" w:type="dxa"/>
          </w:tcPr>
          <w:p w14:paraId="4BAD3F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10,2</w:t>
            </w:r>
          </w:p>
        </w:tc>
        <w:tc>
          <w:tcPr>
            <w:tcW w:w="1868" w:type="dxa"/>
          </w:tcPr>
          <w:p w14:paraId="506D36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10,2</w:t>
            </w:r>
          </w:p>
        </w:tc>
        <w:tc>
          <w:tcPr>
            <w:tcW w:w="1868" w:type="dxa"/>
          </w:tcPr>
          <w:p w14:paraId="08D98A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10,2</w:t>
            </w:r>
          </w:p>
        </w:tc>
        <w:tc>
          <w:tcPr>
            <w:tcW w:w="1868" w:type="dxa"/>
          </w:tcPr>
          <w:p w14:paraId="1CA670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10,2</w:t>
            </w:r>
          </w:p>
        </w:tc>
        <w:tc>
          <w:tcPr>
            <w:tcW w:w="1868" w:type="dxa"/>
          </w:tcPr>
          <w:p w14:paraId="383636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10,2</w:t>
            </w:r>
          </w:p>
        </w:tc>
      </w:tr>
      <w:tr w:rsidR="00643896" w:rsidRPr="00640820" w14:paraId="5DBAFE56" w14:textId="77777777" w:rsidTr="000D3BCB">
        <w:tc>
          <w:tcPr>
            <w:tcW w:w="1868" w:type="dxa"/>
          </w:tcPr>
          <w:p w14:paraId="74AE83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Площадь крыла, м2</w:t>
            </w:r>
          </w:p>
        </w:tc>
        <w:tc>
          <w:tcPr>
            <w:tcW w:w="1868" w:type="dxa"/>
          </w:tcPr>
          <w:p w14:paraId="65F57E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17,44</w:t>
            </w:r>
          </w:p>
        </w:tc>
        <w:tc>
          <w:tcPr>
            <w:tcW w:w="1868" w:type="dxa"/>
          </w:tcPr>
          <w:p w14:paraId="15FB8B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17,44</w:t>
            </w:r>
          </w:p>
        </w:tc>
        <w:tc>
          <w:tcPr>
            <w:tcW w:w="1868" w:type="dxa"/>
          </w:tcPr>
          <w:p w14:paraId="6E12FA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17,44</w:t>
            </w:r>
          </w:p>
        </w:tc>
        <w:tc>
          <w:tcPr>
            <w:tcW w:w="1868" w:type="dxa"/>
          </w:tcPr>
          <w:p w14:paraId="691BD7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17,44</w:t>
            </w:r>
          </w:p>
        </w:tc>
        <w:tc>
          <w:tcPr>
            <w:tcW w:w="1868" w:type="dxa"/>
          </w:tcPr>
          <w:p w14:paraId="6C1E33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17,44</w:t>
            </w:r>
          </w:p>
        </w:tc>
      </w:tr>
      <w:tr w:rsidR="00643896" w:rsidRPr="00640820" w14:paraId="7E22D289" w14:textId="77777777" w:rsidTr="000D3BCB">
        <w:tc>
          <w:tcPr>
            <w:tcW w:w="1868" w:type="dxa"/>
          </w:tcPr>
          <w:p w14:paraId="69BC11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Высота самолета, м</w:t>
            </w:r>
          </w:p>
        </w:tc>
        <w:tc>
          <w:tcPr>
            <w:tcW w:w="1868" w:type="dxa"/>
          </w:tcPr>
          <w:p w14:paraId="6EEB75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3,325</w:t>
            </w:r>
          </w:p>
        </w:tc>
        <w:tc>
          <w:tcPr>
            <w:tcW w:w="1868" w:type="dxa"/>
          </w:tcPr>
          <w:p w14:paraId="5A1A3C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3,325</w:t>
            </w:r>
          </w:p>
        </w:tc>
        <w:tc>
          <w:tcPr>
            <w:tcW w:w="1868" w:type="dxa"/>
          </w:tcPr>
          <w:p w14:paraId="3B9B99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3,325</w:t>
            </w:r>
          </w:p>
        </w:tc>
        <w:tc>
          <w:tcPr>
            <w:tcW w:w="1868" w:type="dxa"/>
          </w:tcPr>
          <w:p w14:paraId="5B514F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3,325</w:t>
            </w:r>
          </w:p>
        </w:tc>
        <w:tc>
          <w:tcPr>
            <w:tcW w:w="1868" w:type="dxa"/>
          </w:tcPr>
          <w:p w14:paraId="5953C7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3,325</w:t>
            </w:r>
          </w:p>
        </w:tc>
      </w:tr>
      <w:tr w:rsidR="00643896" w:rsidRPr="00640820" w14:paraId="1D707363" w14:textId="77777777" w:rsidTr="000D3BCB">
        <w:tc>
          <w:tcPr>
            <w:tcW w:w="1868" w:type="dxa"/>
          </w:tcPr>
          <w:p w14:paraId="18F3BE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Масса пустого самолета, кг</w:t>
            </w:r>
          </w:p>
        </w:tc>
        <w:tc>
          <w:tcPr>
            <w:tcW w:w="1868" w:type="dxa"/>
          </w:tcPr>
          <w:p w14:paraId="59CE71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868" w:type="dxa"/>
          </w:tcPr>
          <w:p w14:paraId="5FE917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868" w:type="dxa"/>
          </w:tcPr>
          <w:p w14:paraId="0C30F1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868" w:type="dxa"/>
          </w:tcPr>
          <w:p w14:paraId="4CAA72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868" w:type="dxa"/>
          </w:tcPr>
          <w:p w14:paraId="41E586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2780</w:t>
            </w:r>
          </w:p>
        </w:tc>
      </w:tr>
      <w:tr w:rsidR="00643896" w:rsidRPr="00640820" w14:paraId="5328B238" w14:textId="77777777" w:rsidTr="000D3BCB">
        <w:tc>
          <w:tcPr>
            <w:tcW w:w="1868" w:type="dxa"/>
          </w:tcPr>
          <w:p w14:paraId="7E0750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Нормальная взлетная масса, кг</w:t>
            </w:r>
          </w:p>
        </w:tc>
        <w:tc>
          <w:tcPr>
            <w:tcW w:w="1868" w:type="dxa"/>
          </w:tcPr>
          <w:p w14:paraId="79A5D0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3355</w:t>
            </w:r>
          </w:p>
        </w:tc>
        <w:tc>
          <w:tcPr>
            <w:tcW w:w="1868" w:type="dxa"/>
          </w:tcPr>
          <w:p w14:paraId="694522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3285</w:t>
            </w:r>
          </w:p>
        </w:tc>
        <w:tc>
          <w:tcPr>
            <w:tcW w:w="1868" w:type="dxa"/>
          </w:tcPr>
          <w:p w14:paraId="1C52D5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3299</w:t>
            </w:r>
          </w:p>
        </w:tc>
        <w:tc>
          <w:tcPr>
            <w:tcW w:w="1868" w:type="dxa"/>
          </w:tcPr>
          <w:p w14:paraId="30DA25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3299</w:t>
            </w:r>
          </w:p>
        </w:tc>
        <w:tc>
          <w:tcPr>
            <w:tcW w:w="1868" w:type="dxa"/>
          </w:tcPr>
          <w:p w14:paraId="3BE173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3325</w:t>
            </w:r>
          </w:p>
        </w:tc>
      </w:tr>
      <w:tr w:rsidR="00643896" w:rsidRPr="00640820" w14:paraId="5FF71BD2" w14:textId="77777777" w:rsidTr="000D3BCB">
        <w:tc>
          <w:tcPr>
            <w:tcW w:w="1868" w:type="dxa"/>
          </w:tcPr>
          <w:p w14:paraId="5B4A02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Запас топлива, кг</w:t>
            </w:r>
          </w:p>
        </w:tc>
        <w:tc>
          <w:tcPr>
            <w:tcW w:w="1868" w:type="dxa"/>
          </w:tcPr>
          <w:p w14:paraId="415C76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463</w:t>
            </w:r>
          </w:p>
        </w:tc>
        <w:tc>
          <w:tcPr>
            <w:tcW w:w="1868" w:type="dxa"/>
          </w:tcPr>
          <w:p w14:paraId="1342CD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335</w:t>
            </w:r>
          </w:p>
        </w:tc>
        <w:tc>
          <w:tcPr>
            <w:tcW w:w="1868" w:type="dxa"/>
          </w:tcPr>
          <w:p w14:paraId="04E004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335</w:t>
            </w:r>
          </w:p>
        </w:tc>
        <w:tc>
          <w:tcPr>
            <w:tcW w:w="1868" w:type="dxa"/>
          </w:tcPr>
          <w:p w14:paraId="212145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335</w:t>
            </w:r>
          </w:p>
        </w:tc>
        <w:tc>
          <w:tcPr>
            <w:tcW w:w="1868" w:type="dxa"/>
          </w:tcPr>
          <w:p w14:paraId="147177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330</w:t>
            </w:r>
          </w:p>
        </w:tc>
      </w:tr>
      <w:tr w:rsidR="00643896" w:rsidRPr="00640820" w14:paraId="66755938" w14:textId="77777777" w:rsidTr="000D3BCB">
        <w:tc>
          <w:tcPr>
            <w:tcW w:w="1868" w:type="dxa"/>
          </w:tcPr>
          <w:p w14:paraId="25F332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Максимальная скорость, км/ч</w:t>
            </w:r>
          </w:p>
        </w:tc>
        <w:tc>
          <w:tcPr>
            <w:tcW w:w="1868" w:type="dxa"/>
          </w:tcPr>
          <w:p w14:paraId="7DF402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14FDF4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6DA7E9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5DB3C3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546CA1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3A4D4DE5" w14:textId="77777777" w:rsidTr="000D3BCB">
        <w:tc>
          <w:tcPr>
            <w:tcW w:w="1868" w:type="dxa"/>
          </w:tcPr>
          <w:p w14:paraId="3EECAD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у земли</w:t>
            </w:r>
          </w:p>
        </w:tc>
        <w:tc>
          <w:tcPr>
            <w:tcW w:w="1868" w:type="dxa"/>
          </w:tcPr>
          <w:p w14:paraId="18C556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495</w:t>
            </w:r>
          </w:p>
        </w:tc>
        <w:tc>
          <w:tcPr>
            <w:tcW w:w="1868" w:type="dxa"/>
          </w:tcPr>
          <w:p w14:paraId="659395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462</w:t>
            </w:r>
          </w:p>
        </w:tc>
        <w:tc>
          <w:tcPr>
            <w:tcW w:w="1868" w:type="dxa"/>
          </w:tcPr>
          <w:p w14:paraId="69DB7A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472</w:t>
            </w:r>
          </w:p>
        </w:tc>
        <w:tc>
          <w:tcPr>
            <w:tcW w:w="1868" w:type="dxa"/>
          </w:tcPr>
          <w:p w14:paraId="23F6D4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466</w:t>
            </w:r>
          </w:p>
        </w:tc>
        <w:tc>
          <w:tcPr>
            <w:tcW w:w="1868" w:type="dxa"/>
          </w:tcPr>
          <w:p w14:paraId="4F3834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547</w:t>
            </w:r>
          </w:p>
        </w:tc>
      </w:tr>
      <w:tr w:rsidR="00643896" w:rsidRPr="00640820" w14:paraId="62A65E2B" w14:textId="77777777" w:rsidTr="000D3BCB">
        <w:tc>
          <w:tcPr>
            <w:tcW w:w="1868" w:type="dxa"/>
          </w:tcPr>
          <w:p w14:paraId="42B22C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на расчетной высоте</w:t>
            </w:r>
          </w:p>
        </w:tc>
        <w:tc>
          <w:tcPr>
            <w:tcW w:w="1868" w:type="dxa"/>
          </w:tcPr>
          <w:p w14:paraId="485C2A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640</w:t>
            </w:r>
          </w:p>
        </w:tc>
        <w:tc>
          <w:tcPr>
            <w:tcW w:w="1868" w:type="dxa"/>
          </w:tcPr>
          <w:p w14:paraId="12CCA9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603</w:t>
            </w:r>
          </w:p>
        </w:tc>
        <w:tc>
          <w:tcPr>
            <w:tcW w:w="1868" w:type="dxa"/>
          </w:tcPr>
          <w:p w14:paraId="507CF6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621</w:t>
            </w:r>
          </w:p>
        </w:tc>
        <w:tc>
          <w:tcPr>
            <w:tcW w:w="1868" w:type="dxa"/>
          </w:tcPr>
          <w:p w14:paraId="650053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615,5</w:t>
            </w:r>
          </w:p>
        </w:tc>
        <w:tc>
          <w:tcPr>
            <w:tcW w:w="1868" w:type="dxa"/>
          </w:tcPr>
          <w:p w14:paraId="588433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592</w:t>
            </w:r>
          </w:p>
        </w:tc>
      </w:tr>
      <w:tr w:rsidR="00643896" w:rsidRPr="00640820" w14:paraId="2AED24ED" w14:textId="77777777" w:rsidTr="000D3BCB">
        <w:tc>
          <w:tcPr>
            <w:tcW w:w="1868" w:type="dxa"/>
          </w:tcPr>
          <w:p w14:paraId="237794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Расчетная высота, м</w:t>
            </w:r>
          </w:p>
        </w:tc>
        <w:tc>
          <w:tcPr>
            <w:tcW w:w="1868" w:type="dxa"/>
          </w:tcPr>
          <w:p w14:paraId="3D89D1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7800</w:t>
            </w:r>
          </w:p>
        </w:tc>
        <w:tc>
          <w:tcPr>
            <w:tcW w:w="1868" w:type="dxa"/>
          </w:tcPr>
          <w:p w14:paraId="6B2455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7800</w:t>
            </w:r>
          </w:p>
        </w:tc>
        <w:tc>
          <w:tcPr>
            <w:tcW w:w="1868" w:type="dxa"/>
          </w:tcPr>
          <w:p w14:paraId="6BEB41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7800</w:t>
            </w:r>
          </w:p>
        </w:tc>
        <w:tc>
          <w:tcPr>
            <w:tcW w:w="1868" w:type="dxa"/>
          </w:tcPr>
          <w:p w14:paraId="3B4822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7800</w:t>
            </w:r>
          </w:p>
        </w:tc>
        <w:tc>
          <w:tcPr>
            <w:tcW w:w="1868" w:type="dxa"/>
          </w:tcPr>
          <w:p w14:paraId="5968F7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3400</w:t>
            </w:r>
          </w:p>
        </w:tc>
      </w:tr>
      <w:tr w:rsidR="00643896" w:rsidRPr="00640820" w14:paraId="61068489" w14:textId="77777777" w:rsidTr="000D3BCB">
        <w:tc>
          <w:tcPr>
            <w:tcW w:w="1868" w:type="dxa"/>
          </w:tcPr>
          <w:p w14:paraId="66AE6F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Время набора высоты 5000 м, мин</w:t>
            </w:r>
          </w:p>
        </w:tc>
        <w:tc>
          <w:tcPr>
            <w:tcW w:w="1868" w:type="dxa"/>
          </w:tcPr>
          <w:p w14:paraId="4D0B19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6,5</w:t>
            </w:r>
          </w:p>
        </w:tc>
        <w:tc>
          <w:tcPr>
            <w:tcW w:w="1868" w:type="dxa"/>
          </w:tcPr>
          <w:p w14:paraId="3DD371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6,8</w:t>
            </w:r>
          </w:p>
        </w:tc>
        <w:tc>
          <w:tcPr>
            <w:tcW w:w="1868" w:type="dxa"/>
          </w:tcPr>
          <w:p w14:paraId="73A8D0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7,1</w:t>
            </w:r>
          </w:p>
        </w:tc>
        <w:tc>
          <w:tcPr>
            <w:tcW w:w="1868" w:type="dxa"/>
          </w:tcPr>
          <w:p w14:paraId="2E4104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7,1</w:t>
            </w:r>
          </w:p>
        </w:tc>
        <w:tc>
          <w:tcPr>
            <w:tcW w:w="1868" w:type="dxa"/>
          </w:tcPr>
          <w:p w14:paraId="0F44E4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5,84/4000 м</w:t>
            </w:r>
          </w:p>
        </w:tc>
      </w:tr>
      <w:tr w:rsidR="00643896" w:rsidRPr="00640820" w14:paraId="2C3D5ADA" w14:textId="77777777" w:rsidTr="000D3BCB">
        <w:tc>
          <w:tcPr>
            <w:tcW w:w="1868" w:type="dxa"/>
          </w:tcPr>
          <w:p w14:paraId="52176F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Время набора высоты 8000 м, мин</w:t>
            </w:r>
          </w:p>
        </w:tc>
        <w:tc>
          <w:tcPr>
            <w:tcW w:w="1868" w:type="dxa"/>
          </w:tcPr>
          <w:p w14:paraId="682FE5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10,28</w:t>
            </w:r>
          </w:p>
        </w:tc>
        <w:tc>
          <w:tcPr>
            <w:tcW w:w="1868" w:type="dxa"/>
          </w:tcPr>
          <w:p w14:paraId="109089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11,4</w:t>
            </w:r>
          </w:p>
        </w:tc>
        <w:tc>
          <w:tcPr>
            <w:tcW w:w="1868" w:type="dxa"/>
          </w:tcPr>
          <w:p w14:paraId="14060F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12,4</w:t>
            </w:r>
          </w:p>
        </w:tc>
        <w:tc>
          <w:tcPr>
            <w:tcW w:w="1868" w:type="dxa"/>
          </w:tcPr>
          <w:p w14:paraId="477B18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12,4</w:t>
            </w:r>
          </w:p>
        </w:tc>
        <w:tc>
          <w:tcPr>
            <w:tcW w:w="1868" w:type="dxa"/>
          </w:tcPr>
          <w:p w14:paraId="5878C5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r>
      <w:tr w:rsidR="00643896" w:rsidRPr="00640820" w14:paraId="0EBE40AE" w14:textId="77777777" w:rsidTr="000D3BCB">
        <w:tc>
          <w:tcPr>
            <w:tcW w:w="1868" w:type="dxa"/>
          </w:tcPr>
          <w:p w14:paraId="48D31C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Время виража, с</w:t>
            </w:r>
          </w:p>
        </w:tc>
        <w:tc>
          <w:tcPr>
            <w:tcW w:w="1868" w:type="dxa"/>
          </w:tcPr>
          <w:p w14:paraId="65EB34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25...26</w:t>
            </w:r>
          </w:p>
        </w:tc>
        <w:tc>
          <w:tcPr>
            <w:tcW w:w="1868" w:type="dxa"/>
          </w:tcPr>
          <w:p w14:paraId="0B44E9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23</w:t>
            </w:r>
          </w:p>
        </w:tc>
        <w:tc>
          <w:tcPr>
            <w:tcW w:w="1868" w:type="dxa"/>
          </w:tcPr>
          <w:p w14:paraId="6DB2DD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868" w:type="dxa"/>
          </w:tcPr>
          <w:p w14:paraId="01FAD6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w:t>
            </w:r>
          </w:p>
        </w:tc>
        <w:tc>
          <w:tcPr>
            <w:tcW w:w="1868" w:type="dxa"/>
          </w:tcPr>
          <w:p w14:paraId="0F06B0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r>
      <w:tr w:rsidR="00643896" w:rsidRPr="00640820" w14:paraId="65A5821F" w14:textId="77777777" w:rsidTr="000D3BCB">
        <w:tc>
          <w:tcPr>
            <w:tcW w:w="1868" w:type="dxa"/>
          </w:tcPr>
          <w:p w14:paraId="33C40F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на высоте, м</w:t>
            </w:r>
          </w:p>
        </w:tc>
        <w:tc>
          <w:tcPr>
            <w:tcW w:w="1868" w:type="dxa"/>
          </w:tcPr>
          <w:p w14:paraId="039D2F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4000</w:t>
            </w:r>
          </w:p>
        </w:tc>
        <w:tc>
          <w:tcPr>
            <w:tcW w:w="1868" w:type="dxa"/>
          </w:tcPr>
          <w:p w14:paraId="4045C9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1000</w:t>
            </w:r>
          </w:p>
        </w:tc>
        <w:tc>
          <w:tcPr>
            <w:tcW w:w="1868" w:type="dxa"/>
          </w:tcPr>
          <w:p w14:paraId="505CC5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121460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1000</w:t>
            </w:r>
          </w:p>
        </w:tc>
        <w:tc>
          <w:tcPr>
            <w:tcW w:w="1868" w:type="dxa"/>
          </w:tcPr>
          <w:p w14:paraId="32B505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0178B560" w14:textId="77777777" w:rsidTr="000D3BCB">
        <w:tc>
          <w:tcPr>
            <w:tcW w:w="1868" w:type="dxa"/>
          </w:tcPr>
          <w:p w14:paraId="197DC5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Практический потолок, м</w:t>
            </w:r>
          </w:p>
        </w:tc>
        <w:tc>
          <w:tcPr>
            <w:tcW w:w="1868" w:type="dxa"/>
          </w:tcPr>
          <w:p w14:paraId="091016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11 5005</w:t>
            </w:r>
          </w:p>
        </w:tc>
        <w:tc>
          <w:tcPr>
            <w:tcW w:w="1868" w:type="dxa"/>
          </w:tcPr>
          <w:p w14:paraId="4941BE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10 850</w:t>
            </w:r>
          </w:p>
        </w:tc>
        <w:tc>
          <w:tcPr>
            <w:tcW w:w="1868" w:type="dxa"/>
          </w:tcPr>
          <w:p w14:paraId="7A282A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11 500</w:t>
            </w:r>
          </w:p>
        </w:tc>
        <w:tc>
          <w:tcPr>
            <w:tcW w:w="1868" w:type="dxa"/>
          </w:tcPr>
          <w:p w14:paraId="71FD8A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11 500</w:t>
            </w:r>
          </w:p>
        </w:tc>
        <w:tc>
          <w:tcPr>
            <w:tcW w:w="1868" w:type="dxa"/>
          </w:tcPr>
          <w:p w14:paraId="26AACC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r>
      <w:tr w:rsidR="00643896" w:rsidRPr="00640820" w14:paraId="4351D6D7" w14:textId="77777777" w:rsidTr="000D3BCB">
        <w:tc>
          <w:tcPr>
            <w:tcW w:w="1868" w:type="dxa"/>
          </w:tcPr>
          <w:p w14:paraId="0ED2CD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Дальность полета, км</w:t>
            </w:r>
          </w:p>
        </w:tc>
        <w:tc>
          <w:tcPr>
            <w:tcW w:w="1868" w:type="dxa"/>
          </w:tcPr>
          <w:p w14:paraId="4823DA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820...857</w:t>
            </w:r>
          </w:p>
        </w:tc>
        <w:tc>
          <w:tcPr>
            <w:tcW w:w="1868" w:type="dxa"/>
          </w:tcPr>
          <w:p w14:paraId="227AF0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868" w:type="dxa"/>
          </w:tcPr>
          <w:p w14:paraId="6163F1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868" w:type="dxa"/>
          </w:tcPr>
          <w:p w14:paraId="52442E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628</w:t>
            </w:r>
          </w:p>
        </w:tc>
        <w:tc>
          <w:tcPr>
            <w:tcW w:w="1868" w:type="dxa"/>
          </w:tcPr>
          <w:p w14:paraId="1CAA10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r>
      <w:tr w:rsidR="00643896" w:rsidRPr="00640820" w14:paraId="05EEBDD5" w14:textId="77777777" w:rsidTr="000D3BCB">
        <w:tc>
          <w:tcPr>
            <w:tcW w:w="1868" w:type="dxa"/>
          </w:tcPr>
          <w:p w14:paraId="35ABD3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на высоте, м</w:t>
            </w:r>
          </w:p>
        </w:tc>
        <w:tc>
          <w:tcPr>
            <w:tcW w:w="1868" w:type="dxa"/>
          </w:tcPr>
          <w:p w14:paraId="1BD6A2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7860</w:t>
            </w:r>
          </w:p>
        </w:tc>
        <w:tc>
          <w:tcPr>
            <w:tcW w:w="1868" w:type="dxa"/>
          </w:tcPr>
          <w:p w14:paraId="142F18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6DDD74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63C94C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7250</w:t>
            </w:r>
          </w:p>
        </w:tc>
        <w:tc>
          <w:tcPr>
            <w:tcW w:w="1868" w:type="dxa"/>
          </w:tcPr>
          <w:p w14:paraId="3C96F2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1C1460CA" w14:textId="77777777" w:rsidTr="000D3BCB">
        <w:tc>
          <w:tcPr>
            <w:tcW w:w="1868" w:type="dxa"/>
          </w:tcPr>
          <w:p w14:paraId="32F54F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Длина разбега, м</w:t>
            </w:r>
          </w:p>
        </w:tc>
        <w:tc>
          <w:tcPr>
            <w:tcW w:w="1868" w:type="dxa"/>
          </w:tcPr>
          <w:p w14:paraId="080320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347</w:t>
            </w:r>
          </w:p>
        </w:tc>
        <w:tc>
          <w:tcPr>
            <w:tcW w:w="1868" w:type="dxa"/>
          </w:tcPr>
          <w:p w14:paraId="7B037F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320</w:t>
            </w:r>
          </w:p>
        </w:tc>
        <w:tc>
          <w:tcPr>
            <w:tcW w:w="1868" w:type="dxa"/>
          </w:tcPr>
          <w:p w14:paraId="5034F0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390</w:t>
            </w:r>
          </w:p>
        </w:tc>
        <w:tc>
          <w:tcPr>
            <w:tcW w:w="1868" w:type="dxa"/>
          </w:tcPr>
          <w:p w14:paraId="19F642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398</w:t>
            </w:r>
          </w:p>
        </w:tc>
        <w:tc>
          <w:tcPr>
            <w:tcW w:w="1868" w:type="dxa"/>
          </w:tcPr>
          <w:p w14:paraId="176BC2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380</w:t>
            </w:r>
          </w:p>
        </w:tc>
      </w:tr>
      <w:tr w:rsidR="00643896" w:rsidRPr="00640820" w14:paraId="2F4BC7E1" w14:textId="77777777" w:rsidTr="000D3BCB">
        <w:tc>
          <w:tcPr>
            <w:tcW w:w="1868" w:type="dxa"/>
          </w:tcPr>
          <w:p w14:paraId="54D1E1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Длина пробега, м</w:t>
            </w:r>
          </w:p>
        </w:tc>
        <w:tc>
          <w:tcPr>
            <w:tcW w:w="1868" w:type="dxa"/>
          </w:tcPr>
          <w:p w14:paraId="12C992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410</w:t>
            </w:r>
          </w:p>
        </w:tc>
        <w:tc>
          <w:tcPr>
            <w:tcW w:w="1868" w:type="dxa"/>
          </w:tcPr>
          <w:p w14:paraId="5A04A2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868" w:type="dxa"/>
          </w:tcPr>
          <w:p w14:paraId="7EE6FF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868" w:type="dxa"/>
          </w:tcPr>
          <w:p w14:paraId="7EE94C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455</w:t>
            </w:r>
          </w:p>
        </w:tc>
        <w:tc>
          <w:tcPr>
            <w:tcW w:w="1868" w:type="dxa"/>
          </w:tcPr>
          <w:p w14:paraId="5727DC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r>
      <w:tr w:rsidR="00643896" w:rsidRPr="00640820" w14:paraId="78DADEA5" w14:textId="77777777" w:rsidTr="000D3BCB">
        <w:tc>
          <w:tcPr>
            <w:tcW w:w="1868" w:type="dxa"/>
            <w:tcBorders>
              <w:bottom w:val="single" w:sz="12" w:space="0" w:color="auto"/>
            </w:tcBorders>
          </w:tcPr>
          <w:p w14:paraId="093FC3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Посадочная скорость, км/ч</w:t>
            </w:r>
          </w:p>
        </w:tc>
        <w:tc>
          <w:tcPr>
            <w:tcW w:w="1868" w:type="dxa"/>
            <w:tcBorders>
              <w:bottom w:val="single" w:sz="12" w:space="0" w:color="auto"/>
            </w:tcBorders>
          </w:tcPr>
          <w:p w14:paraId="6E3537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144,5</w:t>
            </w:r>
          </w:p>
        </w:tc>
        <w:tc>
          <w:tcPr>
            <w:tcW w:w="1868" w:type="dxa"/>
            <w:tcBorders>
              <w:bottom w:val="single" w:sz="12" w:space="0" w:color="auto"/>
            </w:tcBorders>
          </w:tcPr>
          <w:p w14:paraId="0A8C9B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144</w:t>
            </w:r>
          </w:p>
        </w:tc>
        <w:tc>
          <w:tcPr>
            <w:tcW w:w="1868" w:type="dxa"/>
            <w:tcBorders>
              <w:bottom w:val="single" w:sz="12" w:space="0" w:color="auto"/>
            </w:tcBorders>
          </w:tcPr>
          <w:p w14:paraId="4F4696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868" w:type="dxa"/>
            <w:tcBorders>
              <w:bottom w:val="single" w:sz="12" w:space="0" w:color="auto"/>
            </w:tcBorders>
          </w:tcPr>
          <w:p w14:paraId="61FB6C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141</w:t>
            </w:r>
          </w:p>
        </w:tc>
        <w:tc>
          <w:tcPr>
            <w:tcW w:w="1868" w:type="dxa"/>
            <w:tcBorders>
              <w:bottom w:val="single" w:sz="12" w:space="0" w:color="auto"/>
            </w:tcBorders>
          </w:tcPr>
          <w:p w14:paraId="0571C6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r>
    </w:tbl>
    <w:p w14:paraId="7F9C4E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1 - госиспытания.</w:t>
      </w:r>
    </w:p>
    <w:p w14:paraId="2A7ADB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2 - без предкрылков.</w:t>
      </w:r>
    </w:p>
    <w:p w14:paraId="464B9C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3 - без предкрылков.</w:t>
      </w:r>
    </w:p>
    <w:p w14:paraId="5DC65E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 с предкрылками и винтом АВ-5Л-110 самолет показал максимальную скорость у земли 475 км/ч и на высоте 8100 м - 619 км/ч. Разбег и пробег составили 380 м и 415 м, соответственно.</w:t>
      </w:r>
    </w:p>
    <w:p w14:paraId="1E19DE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 полеты выше 8000 м не проводились из-за падения давления масла ниже допустимого (12045).</w:t>
      </w:r>
    </w:p>
    <w:p w14:paraId="61899C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75571A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сентября 1941 г. письмах на имя наркома авиапромышленности А.И.Шахурина и начальника ГУ ВВС КА генерала И.Ф.Петрова начальник НИИ ВВС бригинженер Федоров отмечал:</w:t>
      </w:r>
    </w:p>
    <w:p w14:paraId="23F714A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«Докладываю, что НИИ ВВС Красной Армии с целью проверки летно-тактических данных были проведены обширные испытания серийных самоле</w:t>
      </w:r>
      <w:r w:rsidRPr="00640820">
        <w:rPr>
          <w:rFonts w:ascii="Times New Roman" w:hAnsi="Times New Roman"/>
          <w:color w:val="000000" w:themeColor="text1"/>
          <w:sz w:val="16"/>
          <w:szCs w:val="16"/>
        </w:rPr>
        <w:softHyphen/>
        <w:t>тов выпуска военного времени. В результате испыта</w:t>
      </w:r>
      <w:r w:rsidRPr="00640820">
        <w:rPr>
          <w:rFonts w:ascii="Times New Roman" w:hAnsi="Times New Roman"/>
          <w:color w:val="000000" w:themeColor="text1"/>
          <w:sz w:val="16"/>
          <w:szCs w:val="16"/>
        </w:rPr>
        <w:softHyphen/>
        <w:t>ний установлено:</w:t>
      </w:r>
    </w:p>
    <w:p w14:paraId="58E008A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...Опытный МиГ—1 АМ—35А с антенной и мач</w:t>
      </w:r>
      <w:r w:rsidRPr="00640820">
        <w:rPr>
          <w:rFonts w:ascii="Times New Roman" w:hAnsi="Times New Roman"/>
          <w:color w:val="000000" w:themeColor="text1"/>
          <w:sz w:val="16"/>
          <w:szCs w:val="16"/>
        </w:rPr>
        <w:softHyphen/>
        <w:t>той, с закрытым фонарем летчика и убранным хво</w:t>
      </w:r>
      <w:r w:rsidRPr="00640820">
        <w:rPr>
          <w:rFonts w:ascii="Times New Roman" w:hAnsi="Times New Roman"/>
          <w:color w:val="000000" w:themeColor="text1"/>
          <w:sz w:val="16"/>
          <w:szCs w:val="16"/>
        </w:rPr>
        <w:softHyphen/>
        <w:t>стовым колесом имел максимальную горизонталь</w:t>
      </w:r>
      <w:r w:rsidRPr="00640820">
        <w:rPr>
          <w:rFonts w:ascii="Times New Roman" w:hAnsi="Times New Roman"/>
          <w:color w:val="000000" w:themeColor="text1"/>
          <w:sz w:val="16"/>
          <w:szCs w:val="16"/>
        </w:rPr>
        <w:softHyphen/>
        <w:t>ную скорость 486 км/ч у земли и 628 км/ч на высоте 7200 м. Серийный МиГ—3 АМ—35А без предкрылков достигал скорости 474 км/ч у земли и 621 км/ч на 7800 м (самолет с предкрылками — 469 и 615 км/ч, соответственно).</w:t>
      </w:r>
    </w:p>
    <w:p w14:paraId="25B8110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Таким образом, скорость серийного самолета МиГ—3 относительно первого опытного МиГ—1 сни</w:t>
      </w:r>
      <w:r w:rsidRPr="00640820">
        <w:rPr>
          <w:rFonts w:ascii="Times New Roman" w:hAnsi="Times New Roman"/>
          <w:color w:val="000000" w:themeColor="text1"/>
          <w:sz w:val="16"/>
          <w:szCs w:val="16"/>
        </w:rPr>
        <w:softHyphen/>
        <w:t>зилась незначительно. Но в настоящее время серий</w:t>
      </w:r>
      <w:r w:rsidRPr="00640820">
        <w:rPr>
          <w:rFonts w:ascii="Times New Roman" w:hAnsi="Times New Roman"/>
          <w:color w:val="000000" w:themeColor="text1"/>
          <w:sz w:val="16"/>
          <w:szCs w:val="16"/>
        </w:rPr>
        <w:softHyphen/>
        <w:t>ный истребитель выпускается с редукцией мотора 0,732, на опытной машине МиГ—1 стоял мотор АМ-35А с редукцией 0,902. На первом МиГ-1 с редукцией мотора 0,732 была получена скорость 657 км/ч на высоте 8000 м. В то же время, серийный самолет МиГ—3 с редукцией мотора 0,902 имеет ско</w:t>
      </w:r>
      <w:r w:rsidRPr="00640820">
        <w:rPr>
          <w:rFonts w:ascii="Times New Roman" w:hAnsi="Times New Roman"/>
          <w:color w:val="000000" w:themeColor="text1"/>
          <w:sz w:val="16"/>
          <w:szCs w:val="16"/>
        </w:rPr>
        <w:softHyphen/>
        <w:t>рость 603 км/ч на 7800 м.</w:t>
      </w:r>
    </w:p>
    <w:p w14:paraId="2171519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Следовательно, максимальная горизонтальная скорость самолетов МиГ—3 последних серийных са</w:t>
      </w:r>
      <w:r w:rsidRPr="00640820">
        <w:rPr>
          <w:rFonts w:ascii="Times New Roman" w:hAnsi="Times New Roman"/>
          <w:color w:val="000000" w:themeColor="text1"/>
          <w:sz w:val="16"/>
          <w:szCs w:val="16"/>
        </w:rPr>
        <w:softHyphen/>
        <w:t>молетов по сравнению с самолетом первой серии со</w:t>
      </w:r>
      <w:r w:rsidRPr="00640820">
        <w:rPr>
          <w:rFonts w:ascii="Times New Roman" w:hAnsi="Times New Roman"/>
          <w:color w:val="000000" w:themeColor="text1"/>
          <w:sz w:val="16"/>
          <w:szCs w:val="16"/>
        </w:rPr>
        <w:softHyphen/>
        <w:t>кратилась (на разных высотах) на 25—36 км/ч. Сни</w:t>
      </w:r>
      <w:r w:rsidRPr="00640820">
        <w:rPr>
          <w:rFonts w:ascii="Times New Roman" w:hAnsi="Times New Roman"/>
          <w:color w:val="000000" w:themeColor="text1"/>
          <w:sz w:val="16"/>
          <w:szCs w:val="16"/>
        </w:rPr>
        <w:softHyphen/>
        <w:t>жение максимальных горизонтальных скоростей объясняется:</w:t>
      </w:r>
    </w:p>
    <w:p w14:paraId="1354F6B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худшей отделкой камуфлированных поверхно</w:t>
      </w:r>
      <w:r w:rsidRPr="00640820">
        <w:rPr>
          <w:rFonts w:ascii="Times New Roman" w:hAnsi="Times New Roman"/>
          <w:color w:val="000000" w:themeColor="text1"/>
          <w:sz w:val="16"/>
          <w:szCs w:val="16"/>
        </w:rPr>
        <w:softHyphen/>
        <w:t>стей фюзеляжа и крыла, что снижает до 10 км/ч мак</w:t>
      </w:r>
      <w:r w:rsidRPr="00640820">
        <w:rPr>
          <w:rFonts w:ascii="Times New Roman" w:hAnsi="Times New Roman"/>
          <w:color w:val="000000" w:themeColor="text1"/>
          <w:sz w:val="16"/>
          <w:szCs w:val="16"/>
        </w:rPr>
        <w:softHyphen/>
        <w:t>симальную горизонтальную скорость;</w:t>
      </w:r>
    </w:p>
    <w:p w14:paraId="3D89759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наличием маслоотражателя на капоте мотора, который был установлен в срочном порядке для предохранения фонаря летчика от забрызгивания маслом;</w:t>
      </w:r>
    </w:p>
    <w:p w14:paraId="5D70002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грубой окраской винта и выводом наружу про</w:t>
      </w:r>
      <w:r w:rsidRPr="00640820">
        <w:rPr>
          <w:rFonts w:ascii="Times New Roman" w:hAnsi="Times New Roman"/>
          <w:color w:val="000000" w:themeColor="text1"/>
          <w:sz w:val="16"/>
          <w:szCs w:val="16"/>
        </w:rPr>
        <w:softHyphen/>
        <w:t>водки для заполнения бензобаков нейтральным газом.</w:t>
      </w:r>
    </w:p>
    <w:p w14:paraId="2CC2FF7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Выявлено также, что максимальная скорость МиГ—3 сильно зависит от величины открытия засло</w:t>
      </w:r>
      <w:r w:rsidRPr="00640820">
        <w:rPr>
          <w:rFonts w:ascii="Times New Roman" w:hAnsi="Times New Roman"/>
          <w:color w:val="000000" w:themeColor="text1"/>
          <w:sz w:val="16"/>
          <w:szCs w:val="16"/>
        </w:rPr>
        <w:softHyphen/>
        <w:t>нок водяного и масляного радиаторов. Так, при от</w:t>
      </w:r>
      <w:r w:rsidRPr="00640820">
        <w:rPr>
          <w:rFonts w:ascii="Times New Roman" w:hAnsi="Times New Roman"/>
          <w:color w:val="000000" w:themeColor="text1"/>
          <w:sz w:val="16"/>
          <w:szCs w:val="16"/>
        </w:rPr>
        <w:softHyphen/>
        <w:t>крытии заслонки водорадиатора на 60° максимальная горизонтальная скорость снижалась на 47 км/ч, по сравнению со скоростью при полностью закрытой заслонке. Полное открытие заслонки маслорадиато-ра снижает скорость самолета до 20 км/ч.</w:t>
      </w:r>
    </w:p>
    <w:p w14:paraId="4FD002A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Дальность серийного самолета МиГ—3 при вы</w:t>
      </w:r>
      <w:r w:rsidRPr="00640820">
        <w:rPr>
          <w:rFonts w:ascii="Times New Roman" w:hAnsi="Times New Roman"/>
          <w:color w:val="000000" w:themeColor="text1"/>
          <w:sz w:val="16"/>
          <w:szCs w:val="16"/>
        </w:rPr>
        <w:softHyphen/>
        <w:t>росшем полетном весе (относительно опытного МиГ—1) возросла на 48—50 км, что было достигнуто за счет увеличения запаса горючего.</w:t>
      </w:r>
    </w:p>
    <w:p w14:paraId="7A037D6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Посадочная скорость самолетов МиГ—3 всех се</w:t>
      </w:r>
      <w:r w:rsidRPr="00640820">
        <w:rPr>
          <w:rFonts w:ascii="Times New Roman" w:hAnsi="Times New Roman"/>
          <w:color w:val="000000" w:themeColor="text1"/>
          <w:sz w:val="16"/>
          <w:szCs w:val="16"/>
        </w:rPr>
        <w:softHyphen/>
        <w:t>рий оставалась приблизительно одинаковой.</w:t>
      </w:r>
    </w:p>
    <w:p w14:paraId="72EE374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Скороподъемность на 5000 м увеличилась на 1,5 минуты.</w:t>
      </w:r>
    </w:p>
    <w:p w14:paraId="37CC540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Практический потолок с 12000 м на серийных МиГ—3 уменьшился до 11500 м».</w:t>
      </w:r>
    </w:p>
    <w:p w14:paraId="34C035E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заключение документа Федоров делал вывод, что в условиях военного времени все серийные ис</w:t>
      </w:r>
      <w:r w:rsidRPr="00640820">
        <w:rPr>
          <w:rFonts w:ascii="Times New Roman" w:hAnsi="Times New Roman"/>
          <w:color w:val="000000" w:themeColor="text1"/>
          <w:sz w:val="16"/>
          <w:szCs w:val="16"/>
        </w:rPr>
        <w:softHyphen/>
        <w:t>требители заметно «потяжелели». Ведь на опытных машинах не ставили положенное по тактико-техни</w:t>
      </w:r>
      <w:r w:rsidRPr="00640820">
        <w:rPr>
          <w:rFonts w:ascii="Times New Roman" w:hAnsi="Times New Roman"/>
          <w:color w:val="000000" w:themeColor="text1"/>
          <w:sz w:val="16"/>
          <w:szCs w:val="16"/>
        </w:rPr>
        <w:softHyphen/>
        <w:t>ческим требованиям оборудование и снаряжение, например, фару, рацию, установку нейтрального газа и др. Бригинженер подчеркивал, что в отношении основных летных данных МиГ—3 и Як—1 почти не «пострадали», в то время как ЛаГГ—3 потеряли за</w:t>
      </w:r>
      <w:r w:rsidRPr="00640820">
        <w:rPr>
          <w:rFonts w:ascii="Times New Roman" w:hAnsi="Times New Roman"/>
          <w:color w:val="000000" w:themeColor="text1"/>
          <w:sz w:val="16"/>
          <w:szCs w:val="16"/>
        </w:rPr>
        <w:softHyphen/>
        <w:t>метную часть достоинств опытной машины.</w:t>
      </w:r>
    </w:p>
    <w:p w14:paraId="4CE1DDC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Стрелковое вооружение МиГ—3</w:t>
      </w:r>
    </w:p>
    <w:tbl>
      <w:tblPr>
        <w:tblW w:w="0" w:type="auto"/>
        <w:tblInd w:w="40" w:type="dxa"/>
        <w:tblLayout w:type="fixed"/>
        <w:tblCellMar>
          <w:left w:w="40" w:type="dxa"/>
          <w:right w:w="40" w:type="dxa"/>
        </w:tblCellMar>
        <w:tblLook w:val="0000" w:firstRow="0" w:lastRow="0" w:firstColumn="0" w:lastColumn="0" w:noHBand="0" w:noVBand="0"/>
      </w:tblPr>
      <w:tblGrid>
        <w:gridCol w:w="3043"/>
        <w:gridCol w:w="1123"/>
        <w:gridCol w:w="1786"/>
        <w:gridCol w:w="1219"/>
        <w:gridCol w:w="1642"/>
        <w:gridCol w:w="1152"/>
      </w:tblGrid>
      <w:tr w:rsidR="00643896" w:rsidRPr="00640820" w14:paraId="342A51DB" w14:textId="77777777" w:rsidTr="000D3BCB">
        <w:trPr>
          <w:trHeight w:val="432"/>
        </w:trPr>
        <w:tc>
          <w:tcPr>
            <w:tcW w:w="3043" w:type="dxa"/>
            <w:tcBorders>
              <w:top w:val="single" w:sz="12" w:space="0" w:color="auto"/>
              <w:left w:val="single" w:sz="12" w:space="0" w:color="auto"/>
              <w:bottom w:val="single" w:sz="6" w:space="0" w:color="auto"/>
              <w:right w:val="single" w:sz="6" w:space="0" w:color="auto"/>
            </w:tcBorders>
          </w:tcPr>
          <w:p w14:paraId="1006E25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Вариант</w:t>
            </w:r>
            <w:r w:rsidRPr="00640820">
              <w:rPr>
                <w:rFonts w:ascii="Times New Roman" w:hAnsi="Times New Roman"/>
                <w:color w:val="000000" w:themeColor="text1"/>
                <w:sz w:val="16"/>
                <w:szCs w:val="16"/>
              </w:rPr>
              <w:tab/>
            </w:r>
            <w:r w:rsidRPr="00640820">
              <w:rPr>
                <w:rFonts w:ascii="Times New Roman" w:hAnsi="Times New Roman"/>
                <w:color w:val="000000" w:themeColor="text1"/>
                <w:sz w:val="16"/>
                <w:szCs w:val="16"/>
              </w:rPr>
              <w:tab/>
              <w:t>Вооружение</w:t>
            </w:r>
          </w:p>
        </w:tc>
        <w:tc>
          <w:tcPr>
            <w:tcW w:w="1123" w:type="dxa"/>
            <w:tcBorders>
              <w:top w:val="single" w:sz="12" w:space="0" w:color="auto"/>
              <w:left w:val="single" w:sz="6" w:space="0" w:color="auto"/>
              <w:bottom w:val="single" w:sz="6" w:space="0" w:color="auto"/>
              <w:right w:val="single" w:sz="6" w:space="0" w:color="auto"/>
            </w:tcBorders>
          </w:tcPr>
          <w:p w14:paraId="7326919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Боезапас, патронов</w:t>
            </w:r>
          </w:p>
        </w:tc>
        <w:tc>
          <w:tcPr>
            <w:tcW w:w="1786" w:type="dxa"/>
            <w:tcBorders>
              <w:top w:val="single" w:sz="12" w:space="0" w:color="auto"/>
              <w:left w:val="single" w:sz="6" w:space="0" w:color="auto"/>
              <w:bottom w:val="single" w:sz="6" w:space="0" w:color="auto"/>
              <w:right w:val="single" w:sz="6" w:space="0" w:color="auto"/>
            </w:tcBorders>
          </w:tcPr>
          <w:p w14:paraId="29ABB06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Скорострельность, в/мин</w:t>
            </w:r>
          </w:p>
        </w:tc>
        <w:tc>
          <w:tcPr>
            <w:tcW w:w="1219" w:type="dxa"/>
            <w:tcBorders>
              <w:top w:val="single" w:sz="12" w:space="0" w:color="auto"/>
              <w:left w:val="single" w:sz="6" w:space="0" w:color="auto"/>
              <w:bottom w:val="single" w:sz="6" w:space="0" w:color="auto"/>
              <w:right w:val="single" w:sz="6" w:space="0" w:color="auto"/>
            </w:tcBorders>
          </w:tcPr>
          <w:p w14:paraId="3A9B774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Время стрельбы, с</w:t>
            </w:r>
          </w:p>
        </w:tc>
        <w:tc>
          <w:tcPr>
            <w:tcW w:w="1642" w:type="dxa"/>
            <w:tcBorders>
              <w:top w:val="single" w:sz="12" w:space="0" w:color="auto"/>
              <w:left w:val="single" w:sz="6" w:space="0" w:color="auto"/>
              <w:bottom w:val="single" w:sz="6" w:space="0" w:color="auto"/>
              <w:right w:val="single" w:sz="6" w:space="0" w:color="auto"/>
            </w:tcBorders>
          </w:tcPr>
          <w:p w14:paraId="793C7F9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Общее число выстрелов</w:t>
            </w:r>
          </w:p>
        </w:tc>
        <w:tc>
          <w:tcPr>
            <w:tcW w:w="1152" w:type="dxa"/>
            <w:tcBorders>
              <w:top w:val="single" w:sz="12" w:space="0" w:color="auto"/>
              <w:left w:val="single" w:sz="6" w:space="0" w:color="auto"/>
              <w:bottom w:val="single" w:sz="6" w:space="0" w:color="auto"/>
              <w:right w:val="single" w:sz="12" w:space="0" w:color="auto"/>
            </w:tcBorders>
          </w:tcPr>
          <w:p w14:paraId="20F6B92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Масса залпа, кг/с</w:t>
            </w:r>
          </w:p>
        </w:tc>
      </w:tr>
      <w:tr w:rsidR="00643896" w:rsidRPr="00640820" w14:paraId="6E4164CE" w14:textId="77777777" w:rsidTr="000D3BCB">
        <w:trPr>
          <w:trHeight w:val="211"/>
        </w:trPr>
        <w:tc>
          <w:tcPr>
            <w:tcW w:w="3043" w:type="dxa"/>
            <w:tcBorders>
              <w:top w:val="single" w:sz="6" w:space="0" w:color="auto"/>
              <w:left w:val="single" w:sz="12" w:space="0" w:color="auto"/>
              <w:bottom w:val="single" w:sz="6" w:space="0" w:color="auto"/>
              <w:right w:val="single" w:sz="6" w:space="0" w:color="auto"/>
            </w:tcBorders>
          </w:tcPr>
          <w:p w14:paraId="569310F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r w:rsidRPr="00640820">
              <w:rPr>
                <w:rFonts w:ascii="Times New Roman" w:hAnsi="Times New Roman"/>
                <w:color w:val="000000" w:themeColor="text1"/>
                <w:sz w:val="16"/>
                <w:szCs w:val="16"/>
              </w:rPr>
              <w:tab/>
            </w:r>
            <w:r w:rsidRPr="00640820">
              <w:rPr>
                <w:rFonts w:ascii="Times New Roman" w:hAnsi="Times New Roman"/>
                <w:color w:val="000000" w:themeColor="text1"/>
                <w:sz w:val="16"/>
                <w:szCs w:val="16"/>
              </w:rPr>
              <w:tab/>
              <w:t>1 БСх12,7 мм</w:t>
            </w:r>
          </w:p>
        </w:tc>
        <w:tc>
          <w:tcPr>
            <w:tcW w:w="1123" w:type="dxa"/>
            <w:tcBorders>
              <w:top w:val="single" w:sz="6" w:space="0" w:color="auto"/>
              <w:left w:val="single" w:sz="6" w:space="0" w:color="auto"/>
              <w:bottom w:val="single" w:sz="6" w:space="0" w:color="auto"/>
              <w:right w:val="single" w:sz="6" w:space="0" w:color="auto"/>
            </w:tcBorders>
          </w:tcPr>
          <w:p w14:paraId="62FF3F8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w:t>
            </w:r>
          </w:p>
        </w:tc>
        <w:tc>
          <w:tcPr>
            <w:tcW w:w="1786" w:type="dxa"/>
            <w:tcBorders>
              <w:top w:val="single" w:sz="6" w:space="0" w:color="auto"/>
              <w:left w:val="single" w:sz="6" w:space="0" w:color="auto"/>
              <w:bottom w:val="single" w:sz="6" w:space="0" w:color="auto"/>
              <w:right w:val="single" w:sz="6" w:space="0" w:color="auto"/>
            </w:tcBorders>
          </w:tcPr>
          <w:p w14:paraId="75350FC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750</w:t>
            </w:r>
          </w:p>
        </w:tc>
        <w:tc>
          <w:tcPr>
            <w:tcW w:w="1219" w:type="dxa"/>
            <w:tcBorders>
              <w:top w:val="single" w:sz="6" w:space="0" w:color="auto"/>
              <w:left w:val="single" w:sz="6" w:space="0" w:color="auto"/>
              <w:bottom w:val="single" w:sz="6" w:space="0" w:color="auto"/>
              <w:right w:val="single" w:sz="6" w:space="0" w:color="auto"/>
            </w:tcBorders>
          </w:tcPr>
          <w:p w14:paraId="0FAB618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24,0</w:t>
            </w:r>
          </w:p>
        </w:tc>
        <w:tc>
          <w:tcPr>
            <w:tcW w:w="1642" w:type="dxa"/>
            <w:tcBorders>
              <w:top w:val="single" w:sz="6" w:space="0" w:color="auto"/>
              <w:left w:val="single" w:sz="6" w:space="0" w:color="auto"/>
              <w:bottom w:val="single" w:sz="6" w:space="0" w:color="auto"/>
              <w:right w:val="single" w:sz="6" w:space="0" w:color="auto"/>
            </w:tcBorders>
          </w:tcPr>
          <w:p w14:paraId="3CC8FA8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62,5</w:t>
            </w:r>
          </w:p>
        </w:tc>
        <w:tc>
          <w:tcPr>
            <w:tcW w:w="1152" w:type="dxa"/>
            <w:tcBorders>
              <w:top w:val="single" w:sz="6" w:space="0" w:color="auto"/>
              <w:left w:val="single" w:sz="6" w:space="0" w:color="auto"/>
              <w:bottom w:val="single" w:sz="6" w:space="0" w:color="auto"/>
              <w:right w:val="single" w:sz="12" w:space="0" w:color="auto"/>
            </w:tcBorders>
          </w:tcPr>
          <w:p w14:paraId="053F739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1,08</w:t>
            </w:r>
          </w:p>
        </w:tc>
      </w:tr>
      <w:tr w:rsidR="00643896" w:rsidRPr="00640820" w14:paraId="698753EA" w14:textId="77777777" w:rsidTr="000D3BCB">
        <w:trPr>
          <w:trHeight w:val="211"/>
        </w:trPr>
        <w:tc>
          <w:tcPr>
            <w:tcW w:w="3043" w:type="dxa"/>
            <w:tcBorders>
              <w:top w:val="single" w:sz="6" w:space="0" w:color="auto"/>
              <w:left w:val="single" w:sz="12" w:space="0" w:color="auto"/>
              <w:bottom w:val="single" w:sz="6" w:space="0" w:color="auto"/>
              <w:right w:val="single" w:sz="6" w:space="0" w:color="auto"/>
            </w:tcBorders>
          </w:tcPr>
          <w:p w14:paraId="5DC5189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ab/>
            </w:r>
            <w:r w:rsidRPr="00640820">
              <w:rPr>
                <w:rFonts w:ascii="Times New Roman" w:hAnsi="Times New Roman"/>
                <w:color w:val="000000" w:themeColor="text1"/>
                <w:sz w:val="16"/>
                <w:szCs w:val="16"/>
              </w:rPr>
              <w:tab/>
              <w:t>2 ШКАСх7,62 мм</w:t>
            </w:r>
          </w:p>
        </w:tc>
        <w:tc>
          <w:tcPr>
            <w:tcW w:w="1123" w:type="dxa"/>
            <w:tcBorders>
              <w:top w:val="single" w:sz="6" w:space="0" w:color="auto"/>
              <w:left w:val="single" w:sz="6" w:space="0" w:color="auto"/>
              <w:bottom w:val="single" w:sz="6" w:space="0" w:color="auto"/>
              <w:right w:val="single" w:sz="6" w:space="0" w:color="auto"/>
            </w:tcBorders>
          </w:tcPr>
          <w:p w14:paraId="6D4D261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2x750</w:t>
            </w:r>
          </w:p>
        </w:tc>
        <w:tc>
          <w:tcPr>
            <w:tcW w:w="1786" w:type="dxa"/>
            <w:tcBorders>
              <w:top w:val="single" w:sz="6" w:space="0" w:color="auto"/>
              <w:left w:val="single" w:sz="6" w:space="0" w:color="auto"/>
              <w:bottom w:val="single" w:sz="6" w:space="0" w:color="auto"/>
              <w:right w:val="single" w:sz="6" w:space="0" w:color="auto"/>
            </w:tcBorders>
          </w:tcPr>
          <w:p w14:paraId="43BBBE1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2x1500</w:t>
            </w:r>
          </w:p>
        </w:tc>
        <w:tc>
          <w:tcPr>
            <w:tcW w:w="1219" w:type="dxa"/>
            <w:tcBorders>
              <w:top w:val="single" w:sz="6" w:space="0" w:color="auto"/>
              <w:left w:val="single" w:sz="6" w:space="0" w:color="auto"/>
              <w:bottom w:val="single" w:sz="6" w:space="0" w:color="auto"/>
              <w:right w:val="single" w:sz="6" w:space="0" w:color="auto"/>
            </w:tcBorders>
          </w:tcPr>
          <w:p w14:paraId="1477472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w:t>
            </w:r>
          </w:p>
        </w:tc>
        <w:tc>
          <w:tcPr>
            <w:tcW w:w="1642" w:type="dxa"/>
            <w:tcBorders>
              <w:top w:val="single" w:sz="6" w:space="0" w:color="auto"/>
              <w:left w:val="single" w:sz="6" w:space="0" w:color="auto"/>
              <w:bottom w:val="single" w:sz="6" w:space="0" w:color="auto"/>
              <w:right w:val="single" w:sz="6" w:space="0" w:color="auto"/>
            </w:tcBorders>
          </w:tcPr>
          <w:p w14:paraId="3EF166C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12" w:space="0" w:color="auto"/>
            </w:tcBorders>
          </w:tcPr>
          <w:p w14:paraId="4DFFCDC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4D75575" w14:textId="77777777" w:rsidTr="000D3BCB">
        <w:trPr>
          <w:trHeight w:val="221"/>
        </w:trPr>
        <w:tc>
          <w:tcPr>
            <w:tcW w:w="3043" w:type="dxa"/>
            <w:tcBorders>
              <w:top w:val="single" w:sz="6" w:space="0" w:color="auto"/>
              <w:left w:val="single" w:sz="12" w:space="0" w:color="auto"/>
              <w:bottom w:val="single" w:sz="6" w:space="0" w:color="auto"/>
              <w:right w:val="single" w:sz="6" w:space="0" w:color="auto"/>
            </w:tcBorders>
          </w:tcPr>
          <w:p w14:paraId="07AB306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r w:rsidRPr="00640820">
              <w:rPr>
                <w:rFonts w:ascii="Times New Roman" w:hAnsi="Times New Roman"/>
                <w:color w:val="000000" w:themeColor="text1"/>
                <w:sz w:val="16"/>
                <w:szCs w:val="16"/>
              </w:rPr>
              <w:tab/>
            </w:r>
            <w:r w:rsidRPr="00640820">
              <w:rPr>
                <w:rFonts w:ascii="Times New Roman" w:hAnsi="Times New Roman"/>
                <w:color w:val="000000" w:themeColor="text1"/>
                <w:sz w:val="16"/>
                <w:szCs w:val="16"/>
              </w:rPr>
              <w:tab/>
              <w:t>1 БСх12,7 мм</w:t>
            </w:r>
          </w:p>
        </w:tc>
        <w:tc>
          <w:tcPr>
            <w:tcW w:w="1123" w:type="dxa"/>
            <w:tcBorders>
              <w:top w:val="single" w:sz="6" w:space="0" w:color="auto"/>
              <w:left w:val="single" w:sz="6" w:space="0" w:color="auto"/>
              <w:bottom w:val="single" w:sz="6" w:space="0" w:color="auto"/>
              <w:right w:val="single" w:sz="6" w:space="0" w:color="auto"/>
            </w:tcBorders>
          </w:tcPr>
          <w:p w14:paraId="4D6D4EB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w:t>
            </w:r>
          </w:p>
        </w:tc>
        <w:tc>
          <w:tcPr>
            <w:tcW w:w="1786" w:type="dxa"/>
            <w:tcBorders>
              <w:top w:val="single" w:sz="6" w:space="0" w:color="auto"/>
              <w:left w:val="single" w:sz="6" w:space="0" w:color="auto"/>
              <w:bottom w:val="single" w:sz="6" w:space="0" w:color="auto"/>
              <w:right w:val="single" w:sz="6" w:space="0" w:color="auto"/>
            </w:tcBorders>
          </w:tcPr>
          <w:p w14:paraId="757288A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900</w:t>
            </w:r>
          </w:p>
        </w:tc>
        <w:tc>
          <w:tcPr>
            <w:tcW w:w="1219" w:type="dxa"/>
            <w:tcBorders>
              <w:top w:val="single" w:sz="6" w:space="0" w:color="auto"/>
              <w:left w:val="single" w:sz="6" w:space="0" w:color="auto"/>
              <w:bottom w:val="single" w:sz="6" w:space="0" w:color="auto"/>
              <w:right w:val="single" w:sz="6" w:space="0" w:color="auto"/>
            </w:tcBorders>
          </w:tcPr>
          <w:p w14:paraId="45F0EF9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w:t>
            </w:r>
          </w:p>
        </w:tc>
        <w:tc>
          <w:tcPr>
            <w:tcW w:w="1642" w:type="dxa"/>
            <w:tcBorders>
              <w:top w:val="single" w:sz="6" w:space="0" w:color="auto"/>
              <w:left w:val="single" w:sz="6" w:space="0" w:color="auto"/>
              <w:bottom w:val="single" w:sz="6" w:space="0" w:color="auto"/>
              <w:right w:val="single" w:sz="6" w:space="0" w:color="auto"/>
            </w:tcBorders>
          </w:tcPr>
          <w:p w14:paraId="47236E6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65</w:t>
            </w:r>
          </w:p>
        </w:tc>
        <w:tc>
          <w:tcPr>
            <w:tcW w:w="1152" w:type="dxa"/>
            <w:tcBorders>
              <w:top w:val="single" w:sz="6" w:space="0" w:color="auto"/>
              <w:left w:val="single" w:sz="6" w:space="0" w:color="auto"/>
              <w:bottom w:val="single" w:sz="6" w:space="0" w:color="auto"/>
              <w:right w:val="single" w:sz="12" w:space="0" w:color="auto"/>
            </w:tcBorders>
          </w:tcPr>
          <w:p w14:paraId="354F78B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w:t>
            </w:r>
          </w:p>
        </w:tc>
      </w:tr>
      <w:tr w:rsidR="00643896" w:rsidRPr="00640820" w14:paraId="4C87BBF1" w14:textId="77777777" w:rsidTr="000D3BCB">
        <w:trPr>
          <w:trHeight w:val="211"/>
        </w:trPr>
        <w:tc>
          <w:tcPr>
            <w:tcW w:w="3043" w:type="dxa"/>
            <w:tcBorders>
              <w:top w:val="single" w:sz="6" w:space="0" w:color="auto"/>
              <w:left w:val="single" w:sz="12" w:space="0" w:color="auto"/>
              <w:bottom w:val="single" w:sz="6" w:space="0" w:color="auto"/>
              <w:right w:val="single" w:sz="6" w:space="0" w:color="auto"/>
            </w:tcBorders>
          </w:tcPr>
          <w:p w14:paraId="13F633D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ab/>
            </w:r>
            <w:r w:rsidRPr="00640820">
              <w:rPr>
                <w:rFonts w:ascii="Times New Roman" w:hAnsi="Times New Roman"/>
                <w:color w:val="000000" w:themeColor="text1"/>
                <w:sz w:val="16"/>
                <w:szCs w:val="16"/>
              </w:rPr>
              <w:tab/>
              <w:t>2 ШКАСх7,62 мм</w:t>
            </w:r>
          </w:p>
        </w:tc>
        <w:tc>
          <w:tcPr>
            <w:tcW w:w="1123" w:type="dxa"/>
            <w:tcBorders>
              <w:top w:val="single" w:sz="6" w:space="0" w:color="auto"/>
              <w:left w:val="single" w:sz="6" w:space="0" w:color="auto"/>
              <w:bottom w:val="single" w:sz="6" w:space="0" w:color="auto"/>
              <w:right w:val="single" w:sz="6" w:space="0" w:color="auto"/>
            </w:tcBorders>
          </w:tcPr>
          <w:p w14:paraId="672F536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2x750</w:t>
            </w:r>
          </w:p>
        </w:tc>
        <w:tc>
          <w:tcPr>
            <w:tcW w:w="1786" w:type="dxa"/>
            <w:tcBorders>
              <w:top w:val="single" w:sz="6" w:space="0" w:color="auto"/>
              <w:left w:val="single" w:sz="6" w:space="0" w:color="auto"/>
              <w:bottom w:val="single" w:sz="6" w:space="0" w:color="auto"/>
              <w:right w:val="single" w:sz="6" w:space="0" w:color="auto"/>
            </w:tcBorders>
          </w:tcPr>
          <w:p w14:paraId="1D9FC59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2x1500</w:t>
            </w:r>
          </w:p>
        </w:tc>
        <w:tc>
          <w:tcPr>
            <w:tcW w:w="1219" w:type="dxa"/>
            <w:tcBorders>
              <w:top w:val="single" w:sz="6" w:space="0" w:color="auto"/>
              <w:left w:val="single" w:sz="6" w:space="0" w:color="auto"/>
              <w:bottom w:val="single" w:sz="6" w:space="0" w:color="auto"/>
              <w:right w:val="single" w:sz="6" w:space="0" w:color="auto"/>
            </w:tcBorders>
          </w:tcPr>
          <w:p w14:paraId="156C725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w:t>
            </w:r>
          </w:p>
        </w:tc>
        <w:tc>
          <w:tcPr>
            <w:tcW w:w="1642" w:type="dxa"/>
            <w:tcBorders>
              <w:top w:val="single" w:sz="6" w:space="0" w:color="auto"/>
              <w:left w:val="single" w:sz="6" w:space="0" w:color="auto"/>
              <w:bottom w:val="single" w:sz="6" w:space="0" w:color="auto"/>
              <w:right w:val="single" w:sz="6" w:space="0" w:color="auto"/>
            </w:tcBorders>
          </w:tcPr>
          <w:p w14:paraId="7C6B8C2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12" w:space="0" w:color="auto"/>
            </w:tcBorders>
          </w:tcPr>
          <w:p w14:paraId="44ECD3D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8980C2E" w14:textId="77777777" w:rsidTr="000D3BCB">
        <w:trPr>
          <w:trHeight w:val="221"/>
        </w:trPr>
        <w:tc>
          <w:tcPr>
            <w:tcW w:w="3043" w:type="dxa"/>
            <w:tcBorders>
              <w:top w:val="single" w:sz="6" w:space="0" w:color="auto"/>
              <w:left w:val="single" w:sz="12" w:space="0" w:color="auto"/>
              <w:bottom w:val="single" w:sz="6" w:space="0" w:color="auto"/>
              <w:right w:val="single" w:sz="6" w:space="0" w:color="auto"/>
            </w:tcBorders>
          </w:tcPr>
          <w:p w14:paraId="0E41E86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r w:rsidRPr="00640820">
              <w:rPr>
                <w:rFonts w:ascii="Times New Roman" w:hAnsi="Times New Roman"/>
                <w:color w:val="000000" w:themeColor="text1"/>
                <w:sz w:val="16"/>
                <w:szCs w:val="16"/>
              </w:rPr>
              <w:tab/>
            </w:r>
            <w:r w:rsidRPr="00640820">
              <w:rPr>
                <w:rFonts w:ascii="Times New Roman" w:hAnsi="Times New Roman"/>
                <w:color w:val="000000" w:themeColor="text1"/>
                <w:sz w:val="16"/>
                <w:szCs w:val="16"/>
              </w:rPr>
              <w:tab/>
              <w:t>1 БСх12,7 мм</w:t>
            </w:r>
          </w:p>
        </w:tc>
        <w:tc>
          <w:tcPr>
            <w:tcW w:w="1123" w:type="dxa"/>
            <w:tcBorders>
              <w:top w:val="single" w:sz="6" w:space="0" w:color="auto"/>
              <w:left w:val="single" w:sz="6" w:space="0" w:color="auto"/>
              <w:bottom w:val="single" w:sz="6" w:space="0" w:color="auto"/>
              <w:right w:val="single" w:sz="6" w:space="0" w:color="auto"/>
            </w:tcBorders>
          </w:tcPr>
          <w:p w14:paraId="117DF88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w:t>
            </w:r>
          </w:p>
        </w:tc>
        <w:tc>
          <w:tcPr>
            <w:tcW w:w="1786" w:type="dxa"/>
            <w:tcBorders>
              <w:top w:val="single" w:sz="6" w:space="0" w:color="auto"/>
              <w:left w:val="single" w:sz="6" w:space="0" w:color="auto"/>
              <w:bottom w:val="single" w:sz="6" w:space="0" w:color="auto"/>
              <w:right w:val="single" w:sz="6" w:space="0" w:color="auto"/>
            </w:tcBorders>
          </w:tcPr>
          <w:p w14:paraId="28B3707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900</w:t>
            </w:r>
          </w:p>
        </w:tc>
        <w:tc>
          <w:tcPr>
            <w:tcW w:w="1219" w:type="dxa"/>
            <w:tcBorders>
              <w:top w:val="single" w:sz="6" w:space="0" w:color="auto"/>
              <w:left w:val="single" w:sz="6" w:space="0" w:color="auto"/>
              <w:bottom w:val="single" w:sz="6" w:space="0" w:color="auto"/>
              <w:right w:val="single" w:sz="6" w:space="0" w:color="auto"/>
            </w:tcBorders>
          </w:tcPr>
          <w:p w14:paraId="06ED510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w:t>
            </w:r>
          </w:p>
        </w:tc>
        <w:tc>
          <w:tcPr>
            <w:tcW w:w="1642" w:type="dxa"/>
            <w:tcBorders>
              <w:top w:val="single" w:sz="6" w:space="0" w:color="auto"/>
              <w:left w:val="single" w:sz="6" w:space="0" w:color="auto"/>
              <w:bottom w:val="single" w:sz="6" w:space="0" w:color="auto"/>
              <w:right w:val="single" w:sz="6" w:space="0" w:color="auto"/>
            </w:tcBorders>
          </w:tcPr>
          <w:p w14:paraId="594A594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98,3</w:t>
            </w:r>
          </w:p>
        </w:tc>
        <w:tc>
          <w:tcPr>
            <w:tcW w:w="1152" w:type="dxa"/>
            <w:tcBorders>
              <w:top w:val="single" w:sz="6" w:space="0" w:color="auto"/>
              <w:left w:val="single" w:sz="6" w:space="0" w:color="auto"/>
              <w:bottom w:val="single" w:sz="6" w:space="0" w:color="auto"/>
              <w:right w:val="single" w:sz="12" w:space="0" w:color="auto"/>
            </w:tcBorders>
          </w:tcPr>
          <w:p w14:paraId="1450BE0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w:t>
            </w:r>
          </w:p>
        </w:tc>
      </w:tr>
      <w:tr w:rsidR="00643896" w:rsidRPr="00640820" w14:paraId="3CEEE7A8" w14:textId="77777777" w:rsidTr="000D3BCB">
        <w:trPr>
          <w:trHeight w:val="211"/>
        </w:trPr>
        <w:tc>
          <w:tcPr>
            <w:tcW w:w="3043" w:type="dxa"/>
            <w:tcBorders>
              <w:top w:val="single" w:sz="6" w:space="0" w:color="auto"/>
              <w:left w:val="single" w:sz="12" w:space="0" w:color="auto"/>
              <w:bottom w:val="single" w:sz="6" w:space="0" w:color="auto"/>
              <w:right w:val="single" w:sz="6" w:space="0" w:color="auto"/>
            </w:tcBorders>
          </w:tcPr>
          <w:p w14:paraId="7C182C8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ab/>
            </w:r>
            <w:r w:rsidRPr="00640820">
              <w:rPr>
                <w:rFonts w:ascii="Times New Roman" w:hAnsi="Times New Roman"/>
                <w:color w:val="000000" w:themeColor="text1"/>
                <w:sz w:val="16"/>
                <w:szCs w:val="16"/>
              </w:rPr>
              <w:tab/>
              <w:t>2 ШКАСх7,62 мм</w:t>
            </w:r>
          </w:p>
        </w:tc>
        <w:tc>
          <w:tcPr>
            <w:tcW w:w="1123" w:type="dxa"/>
            <w:tcBorders>
              <w:top w:val="single" w:sz="6" w:space="0" w:color="auto"/>
              <w:left w:val="single" w:sz="6" w:space="0" w:color="auto"/>
              <w:bottom w:val="single" w:sz="6" w:space="0" w:color="auto"/>
              <w:right w:val="single" w:sz="6" w:space="0" w:color="auto"/>
            </w:tcBorders>
          </w:tcPr>
          <w:p w14:paraId="467145E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2x750</w:t>
            </w:r>
          </w:p>
        </w:tc>
        <w:tc>
          <w:tcPr>
            <w:tcW w:w="1786" w:type="dxa"/>
            <w:tcBorders>
              <w:top w:val="single" w:sz="6" w:space="0" w:color="auto"/>
              <w:left w:val="single" w:sz="6" w:space="0" w:color="auto"/>
              <w:bottom w:val="single" w:sz="6" w:space="0" w:color="auto"/>
              <w:right w:val="single" w:sz="6" w:space="0" w:color="auto"/>
            </w:tcBorders>
          </w:tcPr>
          <w:p w14:paraId="0294A44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2x1500</w:t>
            </w:r>
          </w:p>
        </w:tc>
        <w:tc>
          <w:tcPr>
            <w:tcW w:w="1219" w:type="dxa"/>
            <w:tcBorders>
              <w:top w:val="single" w:sz="6" w:space="0" w:color="auto"/>
              <w:left w:val="single" w:sz="6" w:space="0" w:color="auto"/>
              <w:bottom w:val="single" w:sz="6" w:space="0" w:color="auto"/>
              <w:right w:val="single" w:sz="6" w:space="0" w:color="auto"/>
            </w:tcBorders>
          </w:tcPr>
          <w:p w14:paraId="1B6F62C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w:t>
            </w:r>
          </w:p>
        </w:tc>
        <w:tc>
          <w:tcPr>
            <w:tcW w:w="1642" w:type="dxa"/>
            <w:tcBorders>
              <w:top w:val="single" w:sz="6" w:space="0" w:color="auto"/>
              <w:left w:val="single" w:sz="6" w:space="0" w:color="auto"/>
              <w:bottom w:val="single" w:sz="6" w:space="0" w:color="auto"/>
              <w:right w:val="single" w:sz="6" w:space="0" w:color="auto"/>
            </w:tcBorders>
          </w:tcPr>
          <w:p w14:paraId="1B2D597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12" w:space="0" w:color="auto"/>
            </w:tcBorders>
          </w:tcPr>
          <w:p w14:paraId="35CE0DA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B4C491D" w14:textId="77777777" w:rsidTr="000D3BCB">
        <w:trPr>
          <w:trHeight w:val="211"/>
        </w:trPr>
        <w:tc>
          <w:tcPr>
            <w:tcW w:w="3043" w:type="dxa"/>
            <w:tcBorders>
              <w:top w:val="single" w:sz="6" w:space="0" w:color="auto"/>
              <w:left w:val="single" w:sz="12" w:space="0" w:color="auto"/>
              <w:bottom w:val="single" w:sz="6" w:space="0" w:color="auto"/>
              <w:right w:val="single" w:sz="6" w:space="0" w:color="auto"/>
            </w:tcBorders>
          </w:tcPr>
          <w:p w14:paraId="3439FB0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ab/>
            </w:r>
            <w:r w:rsidRPr="00640820">
              <w:rPr>
                <w:rFonts w:ascii="Times New Roman" w:hAnsi="Times New Roman"/>
                <w:color w:val="000000" w:themeColor="text1"/>
                <w:sz w:val="16"/>
                <w:szCs w:val="16"/>
              </w:rPr>
              <w:tab/>
              <w:t>2 БКх12,7 мм</w:t>
            </w:r>
          </w:p>
        </w:tc>
        <w:tc>
          <w:tcPr>
            <w:tcW w:w="1123" w:type="dxa"/>
            <w:tcBorders>
              <w:top w:val="single" w:sz="6" w:space="0" w:color="auto"/>
              <w:left w:val="single" w:sz="6" w:space="0" w:color="auto"/>
              <w:bottom w:val="single" w:sz="6" w:space="0" w:color="auto"/>
              <w:right w:val="single" w:sz="6" w:space="0" w:color="auto"/>
            </w:tcBorders>
          </w:tcPr>
          <w:p w14:paraId="2F5F79E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2x150</w:t>
            </w:r>
          </w:p>
        </w:tc>
        <w:tc>
          <w:tcPr>
            <w:tcW w:w="1786" w:type="dxa"/>
            <w:tcBorders>
              <w:top w:val="single" w:sz="6" w:space="0" w:color="auto"/>
              <w:left w:val="single" w:sz="6" w:space="0" w:color="auto"/>
              <w:bottom w:val="single" w:sz="6" w:space="0" w:color="auto"/>
              <w:right w:val="single" w:sz="6" w:space="0" w:color="auto"/>
            </w:tcBorders>
          </w:tcPr>
          <w:p w14:paraId="7CD48E9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2x1000</w:t>
            </w:r>
          </w:p>
        </w:tc>
        <w:tc>
          <w:tcPr>
            <w:tcW w:w="1219" w:type="dxa"/>
            <w:tcBorders>
              <w:top w:val="single" w:sz="6" w:space="0" w:color="auto"/>
              <w:left w:val="single" w:sz="6" w:space="0" w:color="auto"/>
              <w:bottom w:val="single" w:sz="6" w:space="0" w:color="auto"/>
              <w:right w:val="single" w:sz="6" w:space="0" w:color="auto"/>
            </w:tcBorders>
          </w:tcPr>
          <w:p w14:paraId="017065B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9,0</w:t>
            </w:r>
          </w:p>
        </w:tc>
        <w:tc>
          <w:tcPr>
            <w:tcW w:w="1642" w:type="dxa"/>
            <w:tcBorders>
              <w:top w:val="single" w:sz="6" w:space="0" w:color="auto"/>
              <w:left w:val="single" w:sz="6" w:space="0" w:color="auto"/>
              <w:bottom w:val="single" w:sz="6" w:space="0" w:color="auto"/>
              <w:right w:val="single" w:sz="6" w:space="0" w:color="auto"/>
            </w:tcBorders>
          </w:tcPr>
          <w:p w14:paraId="4FFA21E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12" w:space="0" w:color="auto"/>
            </w:tcBorders>
          </w:tcPr>
          <w:p w14:paraId="49F446C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DA356FC" w14:textId="77777777" w:rsidTr="000D3BCB">
        <w:trPr>
          <w:trHeight w:val="221"/>
        </w:trPr>
        <w:tc>
          <w:tcPr>
            <w:tcW w:w="3043" w:type="dxa"/>
            <w:tcBorders>
              <w:top w:val="single" w:sz="6" w:space="0" w:color="auto"/>
              <w:left w:val="single" w:sz="12" w:space="0" w:color="auto"/>
              <w:bottom w:val="single" w:sz="12" w:space="0" w:color="auto"/>
              <w:right w:val="single" w:sz="6" w:space="0" w:color="auto"/>
            </w:tcBorders>
          </w:tcPr>
          <w:p w14:paraId="789DAAE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r w:rsidRPr="00640820">
              <w:rPr>
                <w:rFonts w:ascii="Times New Roman" w:hAnsi="Times New Roman"/>
                <w:color w:val="000000" w:themeColor="text1"/>
                <w:sz w:val="16"/>
                <w:szCs w:val="16"/>
              </w:rPr>
              <w:tab/>
            </w:r>
            <w:r w:rsidRPr="00640820">
              <w:rPr>
                <w:rFonts w:ascii="Times New Roman" w:hAnsi="Times New Roman"/>
                <w:color w:val="000000" w:themeColor="text1"/>
                <w:sz w:val="16"/>
                <w:szCs w:val="16"/>
              </w:rPr>
              <w:tab/>
              <w:t>2 УБСх12,7 мм</w:t>
            </w:r>
          </w:p>
        </w:tc>
        <w:tc>
          <w:tcPr>
            <w:tcW w:w="1123" w:type="dxa"/>
            <w:tcBorders>
              <w:top w:val="single" w:sz="6" w:space="0" w:color="auto"/>
              <w:left w:val="single" w:sz="6" w:space="0" w:color="auto"/>
              <w:bottom w:val="single" w:sz="12" w:space="0" w:color="auto"/>
              <w:right w:val="single" w:sz="6" w:space="0" w:color="auto"/>
            </w:tcBorders>
          </w:tcPr>
          <w:p w14:paraId="53B3850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2x300</w:t>
            </w:r>
          </w:p>
        </w:tc>
        <w:tc>
          <w:tcPr>
            <w:tcW w:w="1786" w:type="dxa"/>
            <w:tcBorders>
              <w:top w:val="single" w:sz="6" w:space="0" w:color="auto"/>
              <w:left w:val="single" w:sz="6" w:space="0" w:color="auto"/>
              <w:bottom w:val="single" w:sz="12" w:space="0" w:color="auto"/>
              <w:right w:val="single" w:sz="6" w:space="0" w:color="auto"/>
            </w:tcBorders>
          </w:tcPr>
          <w:p w14:paraId="2902BD6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2x900</w:t>
            </w:r>
          </w:p>
        </w:tc>
        <w:tc>
          <w:tcPr>
            <w:tcW w:w="1219" w:type="dxa"/>
            <w:tcBorders>
              <w:top w:val="single" w:sz="6" w:space="0" w:color="auto"/>
              <w:left w:val="single" w:sz="6" w:space="0" w:color="auto"/>
              <w:bottom w:val="single" w:sz="12" w:space="0" w:color="auto"/>
              <w:right w:val="single" w:sz="6" w:space="0" w:color="auto"/>
            </w:tcBorders>
          </w:tcPr>
          <w:p w14:paraId="6928CED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w:t>
            </w:r>
          </w:p>
        </w:tc>
        <w:tc>
          <w:tcPr>
            <w:tcW w:w="1642" w:type="dxa"/>
            <w:tcBorders>
              <w:top w:val="single" w:sz="6" w:space="0" w:color="auto"/>
              <w:left w:val="single" w:sz="6" w:space="0" w:color="auto"/>
              <w:bottom w:val="single" w:sz="12" w:space="0" w:color="auto"/>
              <w:right w:val="single" w:sz="6" w:space="0" w:color="auto"/>
            </w:tcBorders>
          </w:tcPr>
          <w:p w14:paraId="5D92FCD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c>
          <w:tcPr>
            <w:tcW w:w="1152" w:type="dxa"/>
            <w:tcBorders>
              <w:top w:val="single" w:sz="6" w:space="0" w:color="auto"/>
              <w:left w:val="single" w:sz="6" w:space="0" w:color="auto"/>
              <w:bottom w:val="single" w:sz="12" w:space="0" w:color="auto"/>
              <w:right w:val="single" w:sz="12" w:space="0" w:color="auto"/>
            </w:tcBorders>
          </w:tcPr>
          <w:p w14:paraId="6AF9D66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1,44</w:t>
            </w:r>
          </w:p>
        </w:tc>
      </w:tr>
      <w:tr w:rsidR="00643896" w:rsidRPr="00640820" w14:paraId="7019F53A" w14:textId="77777777" w:rsidTr="000D3BCB">
        <w:trPr>
          <w:trHeight w:val="250"/>
        </w:trPr>
        <w:tc>
          <w:tcPr>
            <w:tcW w:w="9965" w:type="dxa"/>
            <w:gridSpan w:val="6"/>
            <w:tcBorders>
              <w:top w:val="single" w:sz="6" w:space="0" w:color="auto"/>
              <w:left w:val="single" w:sz="6" w:space="0" w:color="auto"/>
              <w:bottom w:val="single" w:sz="6" w:space="0" w:color="auto"/>
              <w:right w:val="single" w:sz="6" w:space="0" w:color="auto"/>
            </w:tcBorders>
          </w:tcPr>
          <w:p w14:paraId="4E4CB71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Примечание. На многих истребителях реальный боекомплект крупнокалиберного пулемета не превышал 280 патронов.</w:t>
            </w:r>
          </w:p>
        </w:tc>
      </w:tr>
    </w:tbl>
    <w:p w14:paraId="2EE1B18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Результаты сравнительных полигонных испытаний реактивного оружия</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584"/>
        <w:gridCol w:w="2304"/>
        <w:gridCol w:w="2237"/>
        <w:gridCol w:w="2160"/>
        <w:gridCol w:w="1670"/>
      </w:tblGrid>
      <w:tr w:rsidR="00643896" w:rsidRPr="00640820" w14:paraId="00AB1286" w14:textId="77777777" w:rsidTr="000D3BCB">
        <w:trPr>
          <w:trHeight w:val="442"/>
        </w:trPr>
        <w:tc>
          <w:tcPr>
            <w:tcW w:w="1584" w:type="dxa"/>
            <w:tcBorders>
              <w:top w:val="single" w:sz="12" w:space="0" w:color="auto"/>
            </w:tcBorders>
          </w:tcPr>
          <w:p w14:paraId="23643A7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Тип</w:t>
            </w:r>
          </w:p>
        </w:tc>
        <w:tc>
          <w:tcPr>
            <w:tcW w:w="2304" w:type="dxa"/>
            <w:tcBorders>
              <w:top w:val="single" w:sz="12" w:space="0" w:color="auto"/>
            </w:tcBorders>
          </w:tcPr>
          <w:p w14:paraId="5723F0C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Дистанция стрельбы, м</w:t>
            </w:r>
          </w:p>
        </w:tc>
        <w:tc>
          <w:tcPr>
            <w:tcW w:w="2237" w:type="dxa"/>
            <w:tcBorders>
              <w:top w:val="single" w:sz="12" w:space="0" w:color="auto"/>
            </w:tcBorders>
          </w:tcPr>
          <w:p w14:paraId="18D9AED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направляющих</w:t>
            </w:r>
          </w:p>
        </w:tc>
        <w:tc>
          <w:tcPr>
            <w:tcW w:w="2160" w:type="dxa"/>
            <w:tcBorders>
              <w:top w:val="single" w:sz="12" w:space="0" w:color="auto"/>
            </w:tcBorders>
          </w:tcPr>
          <w:p w14:paraId="7214EA5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Отклонение по дистанции, м</w:t>
            </w:r>
          </w:p>
        </w:tc>
        <w:tc>
          <w:tcPr>
            <w:tcW w:w="1670" w:type="dxa"/>
            <w:tcBorders>
              <w:top w:val="single" w:sz="12" w:space="0" w:color="auto"/>
            </w:tcBorders>
          </w:tcPr>
          <w:p w14:paraId="276FA21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Боковое отклонение, м</w:t>
            </w:r>
          </w:p>
        </w:tc>
      </w:tr>
      <w:tr w:rsidR="00643896" w:rsidRPr="00640820" w14:paraId="09B6B950" w14:textId="77777777" w:rsidTr="000D3BCB">
        <w:trPr>
          <w:trHeight w:val="672"/>
        </w:trPr>
        <w:tc>
          <w:tcPr>
            <w:tcW w:w="1584" w:type="dxa"/>
          </w:tcPr>
          <w:p w14:paraId="3DF245F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Як-7</w:t>
            </w:r>
          </w:p>
        </w:tc>
        <w:tc>
          <w:tcPr>
            <w:tcW w:w="2304" w:type="dxa"/>
          </w:tcPr>
          <w:p w14:paraId="12720F4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600</w:t>
            </w:r>
          </w:p>
        </w:tc>
        <w:tc>
          <w:tcPr>
            <w:tcW w:w="2237" w:type="dxa"/>
          </w:tcPr>
          <w:p w14:paraId="3CC1359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w:t>
            </w:r>
          </w:p>
        </w:tc>
        <w:tc>
          <w:tcPr>
            <w:tcW w:w="2160" w:type="dxa"/>
          </w:tcPr>
          <w:p w14:paraId="5B30D18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8-20</w:t>
            </w:r>
          </w:p>
        </w:tc>
        <w:tc>
          <w:tcPr>
            <w:tcW w:w="1670" w:type="dxa"/>
          </w:tcPr>
          <w:p w14:paraId="7AE3A17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6-18</w:t>
            </w:r>
          </w:p>
        </w:tc>
      </w:tr>
      <w:tr w:rsidR="00643896" w:rsidRPr="00640820" w14:paraId="2790D928" w14:textId="77777777" w:rsidTr="000D3BCB">
        <w:trPr>
          <w:trHeight w:val="672"/>
        </w:trPr>
        <w:tc>
          <w:tcPr>
            <w:tcW w:w="1584" w:type="dxa"/>
          </w:tcPr>
          <w:p w14:paraId="41EFEC6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ЛаГГ-3</w:t>
            </w:r>
          </w:p>
        </w:tc>
        <w:tc>
          <w:tcPr>
            <w:tcW w:w="2304" w:type="dxa"/>
          </w:tcPr>
          <w:p w14:paraId="2C4E24E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800</w:t>
            </w:r>
          </w:p>
        </w:tc>
        <w:tc>
          <w:tcPr>
            <w:tcW w:w="2237" w:type="dxa"/>
          </w:tcPr>
          <w:p w14:paraId="4CEAB62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2160" w:type="dxa"/>
          </w:tcPr>
          <w:p w14:paraId="635B59F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5-34</w:t>
            </w:r>
          </w:p>
        </w:tc>
        <w:tc>
          <w:tcPr>
            <w:tcW w:w="1670" w:type="dxa"/>
          </w:tcPr>
          <w:p w14:paraId="4296A04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9-24</w:t>
            </w:r>
          </w:p>
        </w:tc>
      </w:tr>
      <w:tr w:rsidR="00643896" w:rsidRPr="00640820" w14:paraId="4C6BD78F" w14:textId="77777777" w:rsidTr="000D3BCB">
        <w:trPr>
          <w:trHeight w:val="672"/>
        </w:trPr>
        <w:tc>
          <w:tcPr>
            <w:tcW w:w="1584" w:type="dxa"/>
            <w:tcBorders>
              <w:bottom w:val="single" w:sz="12" w:space="0" w:color="auto"/>
            </w:tcBorders>
          </w:tcPr>
          <w:p w14:paraId="7AE7A0E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МиГ-3</w:t>
            </w:r>
          </w:p>
        </w:tc>
        <w:tc>
          <w:tcPr>
            <w:tcW w:w="2304" w:type="dxa"/>
            <w:tcBorders>
              <w:bottom w:val="single" w:sz="12" w:space="0" w:color="auto"/>
            </w:tcBorders>
          </w:tcPr>
          <w:p w14:paraId="2315BCA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500</w:t>
            </w:r>
          </w:p>
        </w:tc>
        <w:tc>
          <w:tcPr>
            <w:tcW w:w="2237" w:type="dxa"/>
            <w:tcBorders>
              <w:bottom w:val="single" w:sz="12" w:space="0" w:color="auto"/>
            </w:tcBorders>
          </w:tcPr>
          <w:p w14:paraId="13F3259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4-6</w:t>
            </w:r>
          </w:p>
        </w:tc>
        <w:tc>
          <w:tcPr>
            <w:tcW w:w="2160" w:type="dxa"/>
            <w:tcBorders>
              <w:bottom w:val="single" w:sz="12" w:space="0" w:color="auto"/>
            </w:tcBorders>
          </w:tcPr>
          <w:p w14:paraId="71F6D4C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20-81</w:t>
            </w:r>
          </w:p>
        </w:tc>
        <w:tc>
          <w:tcPr>
            <w:tcW w:w="1670" w:type="dxa"/>
            <w:tcBorders>
              <w:bottom w:val="single" w:sz="12" w:space="0" w:color="auto"/>
            </w:tcBorders>
          </w:tcPr>
          <w:p w14:paraId="254E6B0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15-34</w:t>
            </w:r>
          </w:p>
        </w:tc>
      </w:tr>
    </w:tbl>
    <w:p w14:paraId="60396CC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Основные характеристики истребителей МиГ—3</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966"/>
        <w:gridCol w:w="1325"/>
        <w:gridCol w:w="1267"/>
        <w:gridCol w:w="1459"/>
        <w:gridCol w:w="1526"/>
        <w:gridCol w:w="1392"/>
      </w:tblGrid>
      <w:tr w:rsidR="00643896" w:rsidRPr="00640820" w14:paraId="324674C0" w14:textId="77777777" w:rsidTr="000D3BCB">
        <w:trPr>
          <w:trHeight w:val="298"/>
        </w:trPr>
        <w:tc>
          <w:tcPr>
            <w:tcW w:w="2966" w:type="dxa"/>
            <w:tcBorders>
              <w:top w:val="single" w:sz="12" w:space="0" w:color="auto"/>
            </w:tcBorders>
          </w:tcPr>
          <w:p w14:paraId="160DFFD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Характеристика</w:t>
            </w:r>
          </w:p>
        </w:tc>
        <w:tc>
          <w:tcPr>
            <w:tcW w:w="1325" w:type="dxa"/>
            <w:tcBorders>
              <w:top w:val="single" w:sz="12" w:space="0" w:color="auto"/>
            </w:tcBorders>
          </w:tcPr>
          <w:p w14:paraId="321D42E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2107 и № 2115</w:t>
            </w:r>
            <w:r w:rsidRPr="00640820">
              <w:rPr>
                <w:rFonts w:ascii="Times New Roman" w:hAnsi="Times New Roman"/>
                <w:color w:val="000000" w:themeColor="text1"/>
                <w:sz w:val="16"/>
                <w:szCs w:val="16"/>
                <w:vertAlign w:val="superscript"/>
              </w:rPr>
              <w:t>1</w:t>
            </w:r>
          </w:p>
        </w:tc>
        <w:tc>
          <w:tcPr>
            <w:tcW w:w="1267" w:type="dxa"/>
            <w:tcBorders>
              <w:top w:val="single" w:sz="12" w:space="0" w:color="auto"/>
            </w:tcBorders>
          </w:tcPr>
          <w:p w14:paraId="279DA48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3262</w:t>
            </w:r>
            <w:r w:rsidRPr="00640820">
              <w:rPr>
                <w:rFonts w:ascii="Times New Roman" w:hAnsi="Times New Roman"/>
                <w:color w:val="000000" w:themeColor="text1"/>
                <w:sz w:val="16"/>
                <w:szCs w:val="16"/>
                <w:vertAlign w:val="superscript"/>
              </w:rPr>
              <w:t>2</w:t>
            </w:r>
          </w:p>
        </w:tc>
        <w:tc>
          <w:tcPr>
            <w:tcW w:w="1459" w:type="dxa"/>
            <w:tcBorders>
              <w:top w:val="single" w:sz="12" w:space="0" w:color="auto"/>
            </w:tcBorders>
          </w:tcPr>
          <w:p w14:paraId="65BD1FB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3839</w:t>
            </w:r>
            <w:r w:rsidRPr="00640820">
              <w:rPr>
                <w:rFonts w:ascii="Times New Roman" w:hAnsi="Times New Roman"/>
                <w:color w:val="000000" w:themeColor="text1"/>
                <w:sz w:val="16"/>
                <w:szCs w:val="16"/>
                <w:vertAlign w:val="superscript"/>
              </w:rPr>
              <w:t>3</w:t>
            </w:r>
          </w:p>
        </w:tc>
        <w:tc>
          <w:tcPr>
            <w:tcW w:w="1526" w:type="dxa"/>
            <w:tcBorders>
              <w:top w:val="single" w:sz="12" w:space="0" w:color="auto"/>
            </w:tcBorders>
          </w:tcPr>
          <w:p w14:paraId="2375849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3943</w:t>
            </w:r>
            <w:r w:rsidRPr="00640820">
              <w:rPr>
                <w:rFonts w:ascii="Times New Roman" w:hAnsi="Times New Roman"/>
                <w:color w:val="000000" w:themeColor="text1"/>
                <w:sz w:val="16"/>
                <w:szCs w:val="16"/>
                <w:vertAlign w:val="superscript"/>
              </w:rPr>
              <w:t>4</w:t>
            </w:r>
          </w:p>
        </w:tc>
        <w:tc>
          <w:tcPr>
            <w:tcW w:w="1392" w:type="dxa"/>
            <w:tcBorders>
              <w:top w:val="single" w:sz="12" w:space="0" w:color="auto"/>
            </w:tcBorders>
          </w:tcPr>
          <w:p w14:paraId="6E6BA28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3595</w:t>
            </w:r>
          </w:p>
        </w:tc>
      </w:tr>
      <w:tr w:rsidR="00643896" w:rsidRPr="00640820" w14:paraId="0DBF5273" w14:textId="77777777" w:rsidTr="000D3BCB">
        <w:trPr>
          <w:trHeight w:val="211"/>
        </w:trPr>
        <w:tc>
          <w:tcPr>
            <w:tcW w:w="2966" w:type="dxa"/>
          </w:tcPr>
          <w:p w14:paraId="53F9B8A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Силовая установка</w:t>
            </w:r>
          </w:p>
        </w:tc>
        <w:tc>
          <w:tcPr>
            <w:tcW w:w="1325" w:type="dxa"/>
          </w:tcPr>
          <w:p w14:paraId="2E2D9C6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АМ-35А</w:t>
            </w:r>
          </w:p>
        </w:tc>
        <w:tc>
          <w:tcPr>
            <w:tcW w:w="1267" w:type="dxa"/>
          </w:tcPr>
          <w:p w14:paraId="26D6356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АМ-35А</w:t>
            </w:r>
          </w:p>
        </w:tc>
        <w:tc>
          <w:tcPr>
            <w:tcW w:w="1459" w:type="dxa"/>
          </w:tcPr>
          <w:p w14:paraId="02CB47F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АМ-35А</w:t>
            </w:r>
          </w:p>
        </w:tc>
        <w:tc>
          <w:tcPr>
            <w:tcW w:w="1526" w:type="dxa"/>
          </w:tcPr>
          <w:p w14:paraId="4B93EA1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АМ-35А</w:t>
            </w:r>
          </w:p>
        </w:tc>
        <w:tc>
          <w:tcPr>
            <w:tcW w:w="1392" w:type="dxa"/>
          </w:tcPr>
          <w:p w14:paraId="0488C37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АМ-38</w:t>
            </w:r>
          </w:p>
        </w:tc>
      </w:tr>
      <w:tr w:rsidR="00643896" w:rsidRPr="00640820" w14:paraId="7AD552DC" w14:textId="77777777" w:rsidTr="000D3BCB">
        <w:trPr>
          <w:trHeight w:val="211"/>
        </w:trPr>
        <w:tc>
          <w:tcPr>
            <w:tcW w:w="2966" w:type="dxa"/>
          </w:tcPr>
          <w:p w14:paraId="7FCAAB5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Мощность взлетная, л. с.</w:t>
            </w:r>
          </w:p>
        </w:tc>
        <w:tc>
          <w:tcPr>
            <w:tcW w:w="1325" w:type="dxa"/>
          </w:tcPr>
          <w:p w14:paraId="1D1B1C5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1350</w:t>
            </w:r>
          </w:p>
        </w:tc>
        <w:tc>
          <w:tcPr>
            <w:tcW w:w="1267" w:type="dxa"/>
          </w:tcPr>
          <w:p w14:paraId="341B0E3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1350</w:t>
            </w:r>
          </w:p>
        </w:tc>
        <w:tc>
          <w:tcPr>
            <w:tcW w:w="1459" w:type="dxa"/>
          </w:tcPr>
          <w:p w14:paraId="0CFE5C2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1350</w:t>
            </w:r>
          </w:p>
        </w:tc>
        <w:tc>
          <w:tcPr>
            <w:tcW w:w="1526" w:type="dxa"/>
          </w:tcPr>
          <w:p w14:paraId="1522392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1350</w:t>
            </w:r>
          </w:p>
        </w:tc>
        <w:tc>
          <w:tcPr>
            <w:tcW w:w="1392" w:type="dxa"/>
          </w:tcPr>
          <w:p w14:paraId="5CF6959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1600</w:t>
            </w:r>
          </w:p>
        </w:tc>
      </w:tr>
      <w:tr w:rsidR="00643896" w:rsidRPr="00640820" w14:paraId="4B6275F8" w14:textId="77777777" w:rsidTr="000D3BCB">
        <w:trPr>
          <w:trHeight w:val="221"/>
        </w:trPr>
        <w:tc>
          <w:tcPr>
            <w:tcW w:w="2966" w:type="dxa"/>
          </w:tcPr>
          <w:p w14:paraId="64D8CB0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Редукция</w:t>
            </w:r>
          </w:p>
        </w:tc>
        <w:tc>
          <w:tcPr>
            <w:tcW w:w="1325" w:type="dxa"/>
          </w:tcPr>
          <w:p w14:paraId="6BF2280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0,902</w:t>
            </w:r>
          </w:p>
        </w:tc>
        <w:tc>
          <w:tcPr>
            <w:tcW w:w="1267" w:type="dxa"/>
          </w:tcPr>
          <w:p w14:paraId="43F790B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0,902</w:t>
            </w:r>
          </w:p>
        </w:tc>
        <w:tc>
          <w:tcPr>
            <w:tcW w:w="1459" w:type="dxa"/>
          </w:tcPr>
          <w:p w14:paraId="0B78224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0,732</w:t>
            </w:r>
          </w:p>
        </w:tc>
        <w:tc>
          <w:tcPr>
            <w:tcW w:w="1526" w:type="dxa"/>
          </w:tcPr>
          <w:p w14:paraId="1AC827E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0,732</w:t>
            </w:r>
          </w:p>
        </w:tc>
        <w:tc>
          <w:tcPr>
            <w:tcW w:w="1392" w:type="dxa"/>
          </w:tcPr>
          <w:p w14:paraId="0BAEC90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0,732</w:t>
            </w:r>
          </w:p>
        </w:tc>
      </w:tr>
      <w:tr w:rsidR="00643896" w:rsidRPr="00640820" w14:paraId="7F767C17" w14:textId="77777777" w:rsidTr="000D3BCB">
        <w:trPr>
          <w:trHeight w:val="202"/>
        </w:trPr>
        <w:tc>
          <w:tcPr>
            <w:tcW w:w="2966" w:type="dxa"/>
          </w:tcPr>
          <w:p w14:paraId="1B548AE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Винт</w:t>
            </w:r>
          </w:p>
        </w:tc>
        <w:tc>
          <w:tcPr>
            <w:tcW w:w="1325" w:type="dxa"/>
          </w:tcPr>
          <w:p w14:paraId="15628C2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ВИШ-22Е</w:t>
            </w:r>
          </w:p>
        </w:tc>
        <w:tc>
          <w:tcPr>
            <w:tcW w:w="1267" w:type="dxa"/>
          </w:tcPr>
          <w:p w14:paraId="00A776C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ВИШ-22Е</w:t>
            </w:r>
          </w:p>
        </w:tc>
        <w:tc>
          <w:tcPr>
            <w:tcW w:w="1459" w:type="dxa"/>
          </w:tcPr>
          <w:p w14:paraId="33849C7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АВ-5Л-123</w:t>
            </w:r>
          </w:p>
        </w:tc>
        <w:tc>
          <w:tcPr>
            <w:tcW w:w="1526" w:type="dxa"/>
          </w:tcPr>
          <w:p w14:paraId="01744C5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АВ-5Л-123</w:t>
            </w:r>
          </w:p>
        </w:tc>
        <w:tc>
          <w:tcPr>
            <w:tcW w:w="1392" w:type="dxa"/>
          </w:tcPr>
          <w:p w14:paraId="65A17E4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АВ-5Л-110А</w:t>
            </w:r>
          </w:p>
        </w:tc>
      </w:tr>
      <w:tr w:rsidR="00643896" w:rsidRPr="00640820" w14:paraId="5E6AD370" w14:textId="77777777" w:rsidTr="000D3BCB">
        <w:trPr>
          <w:trHeight w:val="230"/>
        </w:trPr>
        <w:tc>
          <w:tcPr>
            <w:tcW w:w="2966" w:type="dxa"/>
          </w:tcPr>
          <w:p w14:paraId="7F83699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Длина самолета, м</w:t>
            </w:r>
          </w:p>
        </w:tc>
        <w:tc>
          <w:tcPr>
            <w:tcW w:w="1325" w:type="dxa"/>
          </w:tcPr>
          <w:p w14:paraId="6F7629E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8,25</w:t>
            </w:r>
          </w:p>
        </w:tc>
        <w:tc>
          <w:tcPr>
            <w:tcW w:w="1267" w:type="dxa"/>
          </w:tcPr>
          <w:p w14:paraId="23328CB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8,25</w:t>
            </w:r>
          </w:p>
        </w:tc>
        <w:tc>
          <w:tcPr>
            <w:tcW w:w="1459" w:type="dxa"/>
          </w:tcPr>
          <w:p w14:paraId="654CFD7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8,25</w:t>
            </w:r>
          </w:p>
        </w:tc>
        <w:tc>
          <w:tcPr>
            <w:tcW w:w="1526" w:type="dxa"/>
          </w:tcPr>
          <w:p w14:paraId="55A4351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8,25</w:t>
            </w:r>
          </w:p>
        </w:tc>
        <w:tc>
          <w:tcPr>
            <w:tcW w:w="1392" w:type="dxa"/>
          </w:tcPr>
          <w:p w14:paraId="1795870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8,25</w:t>
            </w:r>
          </w:p>
        </w:tc>
      </w:tr>
      <w:tr w:rsidR="00643896" w:rsidRPr="00640820" w14:paraId="48DE0551" w14:textId="77777777" w:rsidTr="000D3BCB">
        <w:trPr>
          <w:trHeight w:val="221"/>
        </w:trPr>
        <w:tc>
          <w:tcPr>
            <w:tcW w:w="2966" w:type="dxa"/>
          </w:tcPr>
          <w:p w14:paraId="433E681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Размах крыла, м</w:t>
            </w:r>
          </w:p>
        </w:tc>
        <w:tc>
          <w:tcPr>
            <w:tcW w:w="1325" w:type="dxa"/>
          </w:tcPr>
          <w:p w14:paraId="4C2C5CF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10,2</w:t>
            </w:r>
          </w:p>
        </w:tc>
        <w:tc>
          <w:tcPr>
            <w:tcW w:w="1267" w:type="dxa"/>
          </w:tcPr>
          <w:p w14:paraId="5CF6B64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10,2</w:t>
            </w:r>
          </w:p>
        </w:tc>
        <w:tc>
          <w:tcPr>
            <w:tcW w:w="1459" w:type="dxa"/>
          </w:tcPr>
          <w:p w14:paraId="7FBAF5F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10,2</w:t>
            </w:r>
          </w:p>
        </w:tc>
        <w:tc>
          <w:tcPr>
            <w:tcW w:w="1526" w:type="dxa"/>
          </w:tcPr>
          <w:p w14:paraId="427AE57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10,2</w:t>
            </w:r>
          </w:p>
        </w:tc>
        <w:tc>
          <w:tcPr>
            <w:tcW w:w="1392" w:type="dxa"/>
          </w:tcPr>
          <w:p w14:paraId="7FC1CCE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10,2</w:t>
            </w:r>
          </w:p>
        </w:tc>
      </w:tr>
      <w:tr w:rsidR="00643896" w:rsidRPr="00640820" w14:paraId="098DAAD1" w14:textId="77777777" w:rsidTr="000D3BCB">
        <w:trPr>
          <w:trHeight w:val="211"/>
        </w:trPr>
        <w:tc>
          <w:tcPr>
            <w:tcW w:w="2966" w:type="dxa"/>
          </w:tcPr>
          <w:p w14:paraId="087EE12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крыла, м</w:t>
            </w:r>
            <w:r w:rsidRPr="00640820">
              <w:rPr>
                <w:rFonts w:ascii="Times New Roman" w:hAnsi="Times New Roman"/>
                <w:color w:val="000000" w:themeColor="text1"/>
                <w:sz w:val="16"/>
                <w:szCs w:val="16"/>
                <w:vertAlign w:val="superscript"/>
              </w:rPr>
              <w:t>2</w:t>
            </w:r>
          </w:p>
        </w:tc>
        <w:tc>
          <w:tcPr>
            <w:tcW w:w="1325" w:type="dxa"/>
          </w:tcPr>
          <w:p w14:paraId="069037C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17,44</w:t>
            </w:r>
          </w:p>
        </w:tc>
        <w:tc>
          <w:tcPr>
            <w:tcW w:w="1267" w:type="dxa"/>
          </w:tcPr>
          <w:p w14:paraId="65B8F0B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17,44</w:t>
            </w:r>
          </w:p>
        </w:tc>
        <w:tc>
          <w:tcPr>
            <w:tcW w:w="1459" w:type="dxa"/>
          </w:tcPr>
          <w:p w14:paraId="02F7560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17,44</w:t>
            </w:r>
          </w:p>
        </w:tc>
        <w:tc>
          <w:tcPr>
            <w:tcW w:w="1526" w:type="dxa"/>
          </w:tcPr>
          <w:p w14:paraId="65AC113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17,44</w:t>
            </w:r>
          </w:p>
        </w:tc>
        <w:tc>
          <w:tcPr>
            <w:tcW w:w="1392" w:type="dxa"/>
          </w:tcPr>
          <w:p w14:paraId="151CB66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17,44</w:t>
            </w:r>
          </w:p>
        </w:tc>
      </w:tr>
      <w:tr w:rsidR="00643896" w:rsidRPr="00640820" w14:paraId="5FC87E7E" w14:textId="77777777" w:rsidTr="000D3BCB">
        <w:trPr>
          <w:trHeight w:val="221"/>
        </w:trPr>
        <w:tc>
          <w:tcPr>
            <w:tcW w:w="2966" w:type="dxa"/>
          </w:tcPr>
          <w:p w14:paraId="1ADEC5E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Высота самолета, м</w:t>
            </w:r>
          </w:p>
        </w:tc>
        <w:tc>
          <w:tcPr>
            <w:tcW w:w="1325" w:type="dxa"/>
          </w:tcPr>
          <w:p w14:paraId="6F5B0EA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3,325</w:t>
            </w:r>
          </w:p>
        </w:tc>
        <w:tc>
          <w:tcPr>
            <w:tcW w:w="1267" w:type="dxa"/>
          </w:tcPr>
          <w:p w14:paraId="134EE1E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3,325</w:t>
            </w:r>
          </w:p>
        </w:tc>
        <w:tc>
          <w:tcPr>
            <w:tcW w:w="1459" w:type="dxa"/>
          </w:tcPr>
          <w:p w14:paraId="543E54A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3,325</w:t>
            </w:r>
          </w:p>
        </w:tc>
        <w:tc>
          <w:tcPr>
            <w:tcW w:w="1526" w:type="dxa"/>
          </w:tcPr>
          <w:p w14:paraId="7641974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3,325</w:t>
            </w:r>
          </w:p>
        </w:tc>
        <w:tc>
          <w:tcPr>
            <w:tcW w:w="1392" w:type="dxa"/>
          </w:tcPr>
          <w:p w14:paraId="4D55631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3,325</w:t>
            </w:r>
          </w:p>
        </w:tc>
      </w:tr>
      <w:tr w:rsidR="00643896" w:rsidRPr="00640820" w14:paraId="1FAF8AEE" w14:textId="77777777" w:rsidTr="000D3BCB">
        <w:trPr>
          <w:trHeight w:val="211"/>
        </w:trPr>
        <w:tc>
          <w:tcPr>
            <w:tcW w:w="2966" w:type="dxa"/>
          </w:tcPr>
          <w:p w14:paraId="29A986A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Масса пустого самолета, кг</w:t>
            </w:r>
          </w:p>
        </w:tc>
        <w:tc>
          <w:tcPr>
            <w:tcW w:w="1325" w:type="dxa"/>
          </w:tcPr>
          <w:p w14:paraId="679ECD0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67" w:type="dxa"/>
          </w:tcPr>
          <w:p w14:paraId="522CF0D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__</w:t>
            </w:r>
          </w:p>
        </w:tc>
        <w:tc>
          <w:tcPr>
            <w:tcW w:w="1459" w:type="dxa"/>
          </w:tcPr>
          <w:p w14:paraId="211F694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526" w:type="dxa"/>
          </w:tcPr>
          <w:p w14:paraId="4D15A89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_</w:t>
            </w:r>
          </w:p>
        </w:tc>
        <w:tc>
          <w:tcPr>
            <w:tcW w:w="1392" w:type="dxa"/>
          </w:tcPr>
          <w:p w14:paraId="52F1C21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2780</w:t>
            </w:r>
          </w:p>
        </w:tc>
      </w:tr>
      <w:tr w:rsidR="00643896" w:rsidRPr="00640820" w14:paraId="5F158F7B" w14:textId="77777777" w:rsidTr="000D3BCB">
        <w:trPr>
          <w:trHeight w:val="221"/>
        </w:trPr>
        <w:tc>
          <w:tcPr>
            <w:tcW w:w="2966" w:type="dxa"/>
          </w:tcPr>
          <w:p w14:paraId="2C71842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Нормальная взлетная масса, кг</w:t>
            </w:r>
          </w:p>
        </w:tc>
        <w:tc>
          <w:tcPr>
            <w:tcW w:w="1325" w:type="dxa"/>
          </w:tcPr>
          <w:p w14:paraId="19E6E49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3355</w:t>
            </w:r>
          </w:p>
        </w:tc>
        <w:tc>
          <w:tcPr>
            <w:tcW w:w="1267" w:type="dxa"/>
          </w:tcPr>
          <w:p w14:paraId="49DD5A3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3285</w:t>
            </w:r>
          </w:p>
        </w:tc>
        <w:tc>
          <w:tcPr>
            <w:tcW w:w="1459" w:type="dxa"/>
          </w:tcPr>
          <w:p w14:paraId="4BD9C6A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3299</w:t>
            </w:r>
          </w:p>
        </w:tc>
        <w:tc>
          <w:tcPr>
            <w:tcW w:w="1526" w:type="dxa"/>
          </w:tcPr>
          <w:p w14:paraId="7CA66E4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3299</w:t>
            </w:r>
          </w:p>
        </w:tc>
        <w:tc>
          <w:tcPr>
            <w:tcW w:w="1392" w:type="dxa"/>
          </w:tcPr>
          <w:p w14:paraId="17E248F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3325</w:t>
            </w:r>
          </w:p>
        </w:tc>
      </w:tr>
      <w:tr w:rsidR="00643896" w:rsidRPr="00640820" w14:paraId="04FBE151" w14:textId="77777777" w:rsidTr="000D3BCB">
        <w:trPr>
          <w:trHeight w:val="211"/>
        </w:trPr>
        <w:tc>
          <w:tcPr>
            <w:tcW w:w="2966" w:type="dxa"/>
          </w:tcPr>
          <w:p w14:paraId="592E4F8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Запас топлива, кг</w:t>
            </w:r>
          </w:p>
        </w:tc>
        <w:tc>
          <w:tcPr>
            <w:tcW w:w="1325" w:type="dxa"/>
          </w:tcPr>
          <w:p w14:paraId="60ADD2D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463</w:t>
            </w:r>
          </w:p>
        </w:tc>
        <w:tc>
          <w:tcPr>
            <w:tcW w:w="1267" w:type="dxa"/>
          </w:tcPr>
          <w:p w14:paraId="077DA7E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335</w:t>
            </w:r>
          </w:p>
        </w:tc>
        <w:tc>
          <w:tcPr>
            <w:tcW w:w="1459" w:type="dxa"/>
          </w:tcPr>
          <w:p w14:paraId="7A9EBB5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335</w:t>
            </w:r>
          </w:p>
        </w:tc>
        <w:tc>
          <w:tcPr>
            <w:tcW w:w="1526" w:type="dxa"/>
          </w:tcPr>
          <w:p w14:paraId="3686709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335</w:t>
            </w:r>
          </w:p>
        </w:tc>
        <w:tc>
          <w:tcPr>
            <w:tcW w:w="1392" w:type="dxa"/>
          </w:tcPr>
          <w:p w14:paraId="5E9B403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330</w:t>
            </w:r>
          </w:p>
        </w:tc>
      </w:tr>
      <w:tr w:rsidR="00643896" w:rsidRPr="00640820" w14:paraId="6704B186" w14:textId="77777777" w:rsidTr="000D3BCB">
        <w:trPr>
          <w:trHeight w:val="211"/>
        </w:trPr>
        <w:tc>
          <w:tcPr>
            <w:tcW w:w="2966" w:type="dxa"/>
          </w:tcPr>
          <w:p w14:paraId="4DFF97A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Максимальная скорость, км/ч у земли</w:t>
            </w:r>
          </w:p>
        </w:tc>
        <w:tc>
          <w:tcPr>
            <w:tcW w:w="1325" w:type="dxa"/>
          </w:tcPr>
          <w:p w14:paraId="6169901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495</w:t>
            </w:r>
          </w:p>
        </w:tc>
        <w:tc>
          <w:tcPr>
            <w:tcW w:w="1267" w:type="dxa"/>
          </w:tcPr>
          <w:p w14:paraId="29CAE6C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462</w:t>
            </w:r>
          </w:p>
        </w:tc>
        <w:tc>
          <w:tcPr>
            <w:tcW w:w="1459" w:type="dxa"/>
          </w:tcPr>
          <w:p w14:paraId="6804414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472</w:t>
            </w:r>
          </w:p>
        </w:tc>
        <w:tc>
          <w:tcPr>
            <w:tcW w:w="1526" w:type="dxa"/>
          </w:tcPr>
          <w:p w14:paraId="06480FB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466</w:t>
            </w:r>
          </w:p>
        </w:tc>
        <w:tc>
          <w:tcPr>
            <w:tcW w:w="1392" w:type="dxa"/>
          </w:tcPr>
          <w:p w14:paraId="1590972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547</w:t>
            </w:r>
          </w:p>
        </w:tc>
      </w:tr>
      <w:tr w:rsidR="00643896" w:rsidRPr="00640820" w14:paraId="67CB705D" w14:textId="77777777" w:rsidTr="000D3BCB">
        <w:trPr>
          <w:trHeight w:val="221"/>
        </w:trPr>
        <w:tc>
          <w:tcPr>
            <w:tcW w:w="2966" w:type="dxa"/>
          </w:tcPr>
          <w:p w14:paraId="3A1B5E8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расчетной высоте</w:t>
            </w:r>
          </w:p>
        </w:tc>
        <w:tc>
          <w:tcPr>
            <w:tcW w:w="1325" w:type="dxa"/>
          </w:tcPr>
          <w:p w14:paraId="4705929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640</w:t>
            </w:r>
          </w:p>
        </w:tc>
        <w:tc>
          <w:tcPr>
            <w:tcW w:w="1267" w:type="dxa"/>
          </w:tcPr>
          <w:p w14:paraId="3BD5A43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603</w:t>
            </w:r>
          </w:p>
        </w:tc>
        <w:tc>
          <w:tcPr>
            <w:tcW w:w="1459" w:type="dxa"/>
          </w:tcPr>
          <w:p w14:paraId="0E0A9BE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621</w:t>
            </w:r>
          </w:p>
        </w:tc>
        <w:tc>
          <w:tcPr>
            <w:tcW w:w="1526" w:type="dxa"/>
          </w:tcPr>
          <w:p w14:paraId="480B4A9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615,5</w:t>
            </w:r>
          </w:p>
        </w:tc>
        <w:tc>
          <w:tcPr>
            <w:tcW w:w="1392" w:type="dxa"/>
          </w:tcPr>
          <w:p w14:paraId="7439C87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592</w:t>
            </w:r>
          </w:p>
        </w:tc>
      </w:tr>
      <w:tr w:rsidR="00643896" w:rsidRPr="00640820" w14:paraId="70D689A8" w14:textId="77777777" w:rsidTr="000D3BCB">
        <w:trPr>
          <w:trHeight w:val="211"/>
        </w:trPr>
        <w:tc>
          <w:tcPr>
            <w:tcW w:w="2966" w:type="dxa"/>
          </w:tcPr>
          <w:p w14:paraId="02A28D6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расчетная высота, м</w:t>
            </w:r>
          </w:p>
        </w:tc>
        <w:tc>
          <w:tcPr>
            <w:tcW w:w="1325" w:type="dxa"/>
          </w:tcPr>
          <w:p w14:paraId="31179EA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7800</w:t>
            </w:r>
          </w:p>
        </w:tc>
        <w:tc>
          <w:tcPr>
            <w:tcW w:w="1267" w:type="dxa"/>
          </w:tcPr>
          <w:p w14:paraId="722E5EA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7800</w:t>
            </w:r>
          </w:p>
        </w:tc>
        <w:tc>
          <w:tcPr>
            <w:tcW w:w="1459" w:type="dxa"/>
          </w:tcPr>
          <w:p w14:paraId="77F1684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7800</w:t>
            </w:r>
          </w:p>
        </w:tc>
        <w:tc>
          <w:tcPr>
            <w:tcW w:w="1526" w:type="dxa"/>
          </w:tcPr>
          <w:p w14:paraId="03398C1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7800</w:t>
            </w:r>
          </w:p>
        </w:tc>
        <w:tc>
          <w:tcPr>
            <w:tcW w:w="1392" w:type="dxa"/>
          </w:tcPr>
          <w:p w14:paraId="51C0E9C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3400</w:t>
            </w:r>
          </w:p>
        </w:tc>
      </w:tr>
      <w:tr w:rsidR="00643896" w:rsidRPr="00640820" w14:paraId="0B630840" w14:textId="77777777" w:rsidTr="000D3BCB">
        <w:trPr>
          <w:trHeight w:val="221"/>
        </w:trPr>
        <w:tc>
          <w:tcPr>
            <w:tcW w:w="2966" w:type="dxa"/>
          </w:tcPr>
          <w:p w14:paraId="716BF29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Время набора высоты 5000 м, мин</w:t>
            </w:r>
          </w:p>
        </w:tc>
        <w:tc>
          <w:tcPr>
            <w:tcW w:w="1325" w:type="dxa"/>
          </w:tcPr>
          <w:p w14:paraId="554718D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6,5</w:t>
            </w:r>
          </w:p>
        </w:tc>
        <w:tc>
          <w:tcPr>
            <w:tcW w:w="1267" w:type="dxa"/>
          </w:tcPr>
          <w:p w14:paraId="23901B8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6,8</w:t>
            </w:r>
          </w:p>
        </w:tc>
        <w:tc>
          <w:tcPr>
            <w:tcW w:w="1459" w:type="dxa"/>
          </w:tcPr>
          <w:p w14:paraId="6A7C47A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7.1</w:t>
            </w:r>
          </w:p>
        </w:tc>
        <w:tc>
          <w:tcPr>
            <w:tcW w:w="1526" w:type="dxa"/>
          </w:tcPr>
          <w:p w14:paraId="3CD5D46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7.1</w:t>
            </w:r>
          </w:p>
        </w:tc>
        <w:tc>
          <w:tcPr>
            <w:tcW w:w="1392" w:type="dxa"/>
          </w:tcPr>
          <w:p w14:paraId="7242E54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5,84/4000 м</w:t>
            </w:r>
          </w:p>
        </w:tc>
      </w:tr>
      <w:tr w:rsidR="00643896" w:rsidRPr="00640820" w14:paraId="3581AD7E" w14:textId="77777777" w:rsidTr="000D3BCB">
        <w:trPr>
          <w:trHeight w:val="211"/>
        </w:trPr>
        <w:tc>
          <w:tcPr>
            <w:tcW w:w="2966" w:type="dxa"/>
          </w:tcPr>
          <w:p w14:paraId="714033E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Время набора высоты 8000 м, мин</w:t>
            </w:r>
          </w:p>
        </w:tc>
        <w:tc>
          <w:tcPr>
            <w:tcW w:w="1325" w:type="dxa"/>
          </w:tcPr>
          <w:p w14:paraId="4714D92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10,28</w:t>
            </w:r>
          </w:p>
        </w:tc>
        <w:tc>
          <w:tcPr>
            <w:tcW w:w="1267" w:type="dxa"/>
          </w:tcPr>
          <w:p w14:paraId="05DC515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11,4</w:t>
            </w:r>
          </w:p>
        </w:tc>
        <w:tc>
          <w:tcPr>
            <w:tcW w:w="1459" w:type="dxa"/>
          </w:tcPr>
          <w:p w14:paraId="70284C3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12,4</w:t>
            </w:r>
          </w:p>
        </w:tc>
        <w:tc>
          <w:tcPr>
            <w:tcW w:w="1526" w:type="dxa"/>
          </w:tcPr>
          <w:p w14:paraId="5500D83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12,4</w:t>
            </w:r>
          </w:p>
        </w:tc>
        <w:tc>
          <w:tcPr>
            <w:tcW w:w="1392" w:type="dxa"/>
          </w:tcPr>
          <w:p w14:paraId="1C74523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22B03744" w14:textId="77777777" w:rsidTr="000D3BCB">
        <w:trPr>
          <w:trHeight w:val="221"/>
        </w:trPr>
        <w:tc>
          <w:tcPr>
            <w:tcW w:w="2966" w:type="dxa"/>
          </w:tcPr>
          <w:p w14:paraId="4AE97B2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Время виража,с</w:t>
            </w:r>
          </w:p>
        </w:tc>
        <w:tc>
          <w:tcPr>
            <w:tcW w:w="1325" w:type="dxa"/>
          </w:tcPr>
          <w:p w14:paraId="7A25C8A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23...26</w:t>
            </w:r>
          </w:p>
        </w:tc>
        <w:tc>
          <w:tcPr>
            <w:tcW w:w="1267" w:type="dxa"/>
          </w:tcPr>
          <w:p w14:paraId="1690825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w:t>
            </w:r>
          </w:p>
        </w:tc>
        <w:tc>
          <w:tcPr>
            <w:tcW w:w="1459" w:type="dxa"/>
          </w:tcPr>
          <w:p w14:paraId="40E445C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526" w:type="dxa"/>
          </w:tcPr>
          <w:p w14:paraId="1056A44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w:t>
            </w:r>
          </w:p>
        </w:tc>
        <w:tc>
          <w:tcPr>
            <w:tcW w:w="1392" w:type="dxa"/>
          </w:tcPr>
          <w:p w14:paraId="66E9640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3BFD006C" w14:textId="77777777" w:rsidTr="000D3BCB">
        <w:trPr>
          <w:trHeight w:val="211"/>
        </w:trPr>
        <w:tc>
          <w:tcPr>
            <w:tcW w:w="2966" w:type="dxa"/>
          </w:tcPr>
          <w:p w14:paraId="5D44FEC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высоте, м</w:t>
            </w:r>
          </w:p>
        </w:tc>
        <w:tc>
          <w:tcPr>
            <w:tcW w:w="1325" w:type="dxa"/>
          </w:tcPr>
          <w:p w14:paraId="3AEFC2C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4000</w:t>
            </w:r>
          </w:p>
        </w:tc>
        <w:tc>
          <w:tcPr>
            <w:tcW w:w="1267" w:type="dxa"/>
          </w:tcPr>
          <w:p w14:paraId="1B114BD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1000</w:t>
            </w:r>
          </w:p>
        </w:tc>
        <w:tc>
          <w:tcPr>
            <w:tcW w:w="1459" w:type="dxa"/>
          </w:tcPr>
          <w:p w14:paraId="0197BD1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526" w:type="dxa"/>
          </w:tcPr>
          <w:p w14:paraId="353D0AF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1000</w:t>
            </w:r>
          </w:p>
        </w:tc>
        <w:tc>
          <w:tcPr>
            <w:tcW w:w="1392" w:type="dxa"/>
          </w:tcPr>
          <w:p w14:paraId="01DAA51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209E20DA" w14:textId="77777777" w:rsidTr="000D3BCB">
        <w:trPr>
          <w:trHeight w:val="221"/>
        </w:trPr>
        <w:tc>
          <w:tcPr>
            <w:tcW w:w="2966" w:type="dxa"/>
          </w:tcPr>
          <w:p w14:paraId="7405F7E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Практический потолок, м</w:t>
            </w:r>
          </w:p>
        </w:tc>
        <w:tc>
          <w:tcPr>
            <w:tcW w:w="1325" w:type="dxa"/>
          </w:tcPr>
          <w:p w14:paraId="2403543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11500</w:t>
            </w:r>
            <w:r w:rsidRPr="00640820">
              <w:rPr>
                <w:rFonts w:ascii="Times New Roman" w:hAnsi="Times New Roman"/>
                <w:color w:val="000000" w:themeColor="text1"/>
                <w:sz w:val="16"/>
                <w:szCs w:val="16"/>
                <w:vertAlign w:val="superscript"/>
              </w:rPr>
              <w:t>5</w:t>
            </w:r>
          </w:p>
        </w:tc>
        <w:tc>
          <w:tcPr>
            <w:tcW w:w="1267" w:type="dxa"/>
          </w:tcPr>
          <w:p w14:paraId="2EC2CE5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10850</w:t>
            </w:r>
          </w:p>
        </w:tc>
        <w:tc>
          <w:tcPr>
            <w:tcW w:w="1459" w:type="dxa"/>
          </w:tcPr>
          <w:p w14:paraId="027201C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11500</w:t>
            </w:r>
          </w:p>
        </w:tc>
        <w:tc>
          <w:tcPr>
            <w:tcW w:w="1526" w:type="dxa"/>
          </w:tcPr>
          <w:p w14:paraId="6ABBB91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11500</w:t>
            </w:r>
          </w:p>
        </w:tc>
        <w:tc>
          <w:tcPr>
            <w:tcW w:w="1392" w:type="dxa"/>
          </w:tcPr>
          <w:p w14:paraId="3EB77F5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2125C4F4" w14:textId="77777777" w:rsidTr="000D3BCB">
        <w:trPr>
          <w:trHeight w:val="211"/>
        </w:trPr>
        <w:tc>
          <w:tcPr>
            <w:tcW w:w="2966" w:type="dxa"/>
          </w:tcPr>
          <w:p w14:paraId="6D5F0DA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Дальность полета, км</w:t>
            </w:r>
          </w:p>
        </w:tc>
        <w:tc>
          <w:tcPr>
            <w:tcW w:w="1325" w:type="dxa"/>
          </w:tcPr>
          <w:p w14:paraId="729BC44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820-857</w:t>
            </w:r>
          </w:p>
        </w:tc>
        <w:tc>
          <w:tcPr>
            <w:tcW w:w="1267" w:type="dxa"/>
          </w:tcPr>
          <w:p w14:paraId="5CC6383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459" w:type="dxa"/>
          </w:tcPr>
          <w:p w14:paraId="3B66FD5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526" w:type="dxa"/>
          </w:tcPr>
          <w:p w14:paraId="7911629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628</w:t>
            </w:r>
          </w:p>
        </w:tc>
        <w:tc>
          <w:tcPr>
            <w:tcW w:w="1392" w:type="dxa"/>
          </w:tcPr>
          <w:p w14:paraId="2AFF59D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431189EA" w14:textId="77777777" w:rsidTr="000D3BCB">
        <w:trPr>
          <w:trHeight w:val="202"/>
        </w:trPr>
        <w:tc>
          <w:tcPr>
            <w:tcW w:w="2966" w:type="dxa"/>
          </w:tcPr>
          <w:p w14:paraId="41017B3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высоте, м</w:t>
            </w:r>
          </w:p>
        </w:tc>
        <w:tc>
          <w:tcPr>
            <w:tcW w:w="1325" w:type="dxa"/>
          </w:tcPr>
          <w:p w14:paraId="70DFC34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7860</w:t>
            </w:r>
          </w:p>
        </w:tc>
        <w:tc>
          <w:tcPr>
            <w:tcW w:w="1267" w:type="dxa"/>
          </w:tcPr>
          <w:p w14:paraId="5352F7F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459" w:type="dxa"/>
          </w:tcPr>
          <w:p w14:paraId="30FEDCA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526" w:type="dxa"/>
          </w:tcPr>
          <w:p w14:paraId="3C63AF1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7250</w:t>
            </w:r>
          </w:p>
        </w:tc>
        <w:tc>
          <w:tcPr>
            <w:tcW w:w="1392" w:type="dxa"/>
          </w:tcPr>
          <w:p w14:paraId="573FBBB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7CEF7976" w14:textId="77777777" w:rsidTr="000D3BCB">
        <w:trPr>
          <w:trHeight w:val="230"/>
        </w:trPr>
        <w:tc>
          <w:tcPr>
            <w:tcW w:w="2966" w:type="dxa"/>
          </w:tcPr>
          <w:p w14:paraId="12E4AA7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Длина разбега, м</w:t>
            </w:r>
          </w:p>
        </w:tc>
        <w:tc>
          <w:tcPr>
            <w:tcW w:w="1325" w:type="dxa"/>
          </w:tcPr>
          <w:p w14:paraId="696BF2D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347</w:t>
            </w:r>
          </w:p>
        </w:tc>
        <w:tc>
          <w:tcPr>
            <w:tcW w:w="1267" w:type="dxa"/>
          </w:tcPr>
          <w:p w14:paraId="6D4F0B1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320</w:t>
            </w:r>
          </w:p>
        </w:tc>
        <w:tc>
          <w:tcPr>
            <w:tcW w:w="1459" w:type="dxa"/>
          </w:tcPr>
          <w:p w14:paraId="0C6AA43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390</w:t>
            </w:r>
          </w:p>
        </w:tc>
        <w:tc>
          <w:tcPr>
            <w:tcW w:w="1526" w:type="dxa"/>
          </w:tcPr>
          <w:p w14:paraId="722B9B4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398</w:t>
            </w:r>
          </w:p>
        </w:tc>
        <w:tc>
          <w:tcPr>
            <w:tcW w:w="1392" w:type="dxa"/>
          </w:tcPr>
          <w:p w14:paraId="0DF14BA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380</w:t>
            </w:r>
          </w:p>
        </w:tc>
      </w:tr>
      <w:tr w:rsidR="00643896" w:rsidRPr="00640820" w14:paraId="1777894A" w14:textId="77777777" w:rsidTr="000D3BCB">
        <w:trPr>
          <w:trHeight w:val="221"/>
        </w:trPr>
        <w:tc>
          <w:tcPr>
            <w:tcW w:w="2966" w:type="dxa"/>
          </w:tcPr>
          <w:p w14:paraId="0A13AE7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Длина пробега, м</w:t>
            </w:r>
          </w:p>
        </w:tc>
        <w:tc>
          <w:tcPr>
            <w:tcW w:w="1325" w:type="dxa"/>
          </w:tcPr>
          <w:p w14:paraId="3019A66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410</w:t>
            </w:r>
          </w:p>
        </w:tc>
        <w:tc>
          <w:tcPr>
            <w:tcW w:w="1267" w:type="dxa"/>
          </w:tcPr>
          <w:p w14:paraId="6310E78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459" w:type="dxa"/>
          </w:tcPr>
          <w:p w14:paraId="1A8FDFE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526" w:type="dxa"/>
          </w:tcPr>
          <w:p w14:paraId="1C8E101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455</w:t>
            </w:r>
          </w:p>
        </w:tc>
        <w:tc>
          <w:tcPr>
            <w:tcW w:w="1392" w:type="dxa"/>
          </w:tcPr>
          <w:p w14:paraId="110C146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541A34C4" w14:textId="77777777" w:rsidTr="000D3BCB">
        <w:trPr>
          <w:trHeight w:val="202"/>
        </w:trPr>
        <w:tc>
          <w:tcPr>
            <w:tcW w:w="2966" w:type="dxa"/>
          </w:tcPr>
          <w:p w14:paraId="5FDA958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Посадочная скорость, км/ч</w:t>
            </w:r>
          </w:p>
        </w:tc>
        <w:tc>
          <w:tcPr>
            <w:tcW w:w="1325" w:type="dxa"/>
          </w:tcPr>
          <w:p w14:paraId="5FA6437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144,5</w:t>
            </w:r>
          </w:p>
        </w:tc>
        <w:tc>
          <w:tcPr>
            <w:tcW w:w="1267" w:type="dxa"/>
          </w:tcPr>
          <w:p w14:paraId="0877F32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144</w:t>
            </w:r>
          </w:p>
        </w:tc>
        <w:tc>
          <w:tcPr>
            <w:tcW w:w="1459" w:type="dxa"/>
          </w:tcPr>
          <w:p w14:paraId="7CB7990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_</w:t>
            </w:r>
          </w:p>
        </w:tc>
        <w:tc>
          <w:tcPr>
            <w:tcW w:w="1526" w:type="dxa"/>
          </w:tcPr>
          <w:p w14:paraId="2A76591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141</w:t>
            </w:r>
          </w:p>
        </w:tc>
        <w:tc>
          <w:tcPr>
            <w:tcW w:w="1392" w:type="dxa"/>
          </w:tcPr>
          <w:p w14:paraId="1943AB9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_</w:t>
            </w:r>
          </w:p>
        </w:tc>
      </w:tr>
      <w:tr w:rsidR="00643896" w:rsidRPr="00640820" w14:paraId="6B7E78E8" w14:textId="77777777" w:rsidTr="000D3BCB">
        <w:trPr>
          <w:trHeight w:val="192"/>
        </w:trPr>
        <w:tc>
          <w:tcPr>
            <w:tcW w:w="9935" w:type="dxa"/>
            <w:gridSpan w:val="6"/>
          </w:tcPr>
          <w:p w14:paraId="0C67218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1 Госиспытания.</w:t>
            </w:r>
          </w:p>
        </w:tc>
      </w:tr>
      <w:tr w:rsidR="00643896" w:rsidRPr="00640820" w14:paraId="5CD5310E" w14:textId="77777777" w:rsidTr="000D3BCB">
        <w:trPr>
          <w:trHeight w:val="211"/>
        </w:trPr>
        <w:tc>
          <w:tcPr>
            <w:tcW w:w="9935" w:type="dxa"/>
            <w:gridSpan w:val="6"/>
          </w:tcPr>
          <w:p w14:paraId="6DF14AF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2 Без предкрылков.</w:t>
            </w:r>
          </w:p>
        </w:tc>
      </w:tr>
      <w:tr w:rsidR="00643896" w:rsidRPr="00640820" w14:paraId="00E0E457" w14:textId="77777777" w:rsidTr="000D3BCB">
        <w:trPr>
          <w:trHeight w:val="182"/>
        </w:trPr>
        <w:tc>
          <w:tcPr>
            <w:tcW w:w="9935" w:type="dxa"/>
            <w:gridSpan w:val="6"/>
          </w:tcPr>
          <w:p w14:paraId="79C7CBC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3 Без предкрылков.</w:t>
            </w:r>
          </w:p>
        </w:tc>
      </w:tr>
      <w:tr w:rsidR="00643896" w:rsidRPr="00640820" w14:paraId="1A75A345" w14:textId="77777777" w:rsidTr="000D3BCB">
        <w:trPr>
          <w:trHeight w:val="202"/>
        </w:trPr>
        <w:tc>
          <w:tcPr>
            <w:tcW w:w="9935" w:type="dxa"/>
            <w:gridSpan w:val="6"/>
          </w:tcPr>
          <w:p w14:paraId="4EA491A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 xml:space="preserve">4 С предкрылками и винтом АВ—5Л—110 самолет показал максимальную скорость у земли 475 км/ч и на высоте 8100 м </w:t>
            </w:r>
            <w:r w:rsidRPr="00640820">
              <w:rPr>
                <w:rFonts w:ascii="Times New Roman" w:hAnsi="Times New Roman"/>
                <w:color w:val="000000" w:themeColor="text1"/>
                <w:sz w:val="16"/>
                <w:szCs w:val="16"/>
              </w:rPr>
              <w:t xml:space="preserve">— </w:t>
            </w:r>
            <w:r w:rsidRPr="00640820">
              <w:rPr>
                <w:rFonts w:ascii="Times New Roman" w:hAnsi="Times New Roman"/>
                <w:iCs/>
                <w:color w:val="000000" w:themeColor="text1"/>
                <w:sz w:val="16"/>
                <w:szCs w:val="16"/>
              </w:rPr>
              <w:t>619 км/ч.</w:t>
            </w:r>
          </w:p>
        </w:tc>
      </w:tr>
      <w:tr w:rsidR="00643896" w:rsidRPr="00640820" w14:paraId="1D25C6D9" w14:textId="77777777" w:rsidTr="000D3BCB">
        <w:trPr>
          <w:trHeight w:val="192"/>
        </w:trPr>
        <w:tc>
          <w:tcPr>
            <w:tcW w:w="9935" w:type="dxa"/>
            <w:gridSpan w:val="6"/>
          </w:tcPr>
          <w:p w14:paraId="2E0551F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Разбег и пробег составили 380м и 415м, соответственно.</w:t>
            </w:r>
          </w:p>
        </w:tc>
      </w:tr>
      <w:tr w:rsidR="00643896" w:rsidRPr="00640820" w14:paraId="3355B7B9" w14:textId="77777777" w:rsidTr="000D3BCB">
        <w:trPr>
          <w:trHeight w:val="259"/>
        </w:trPr>
        <w:tc>
          <w:tcPr>
            <w:tcW w:w="9935" w:type="dxa"/>
            <w:gridSpan w:val="6"/>
            <w:tcBorders>
              <w:bottom w:val="single" w:sz="12" w:space="0" w:color="auto"/>
            </w:tcBorders>
          </w:tcPr>
          <w:p w14:paraId="4D4A381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5 Полеты выше 8000м не проводились из-за падения давления масла ниже допустимого.</w:t>
            </w:r>
          </w:p>
        </w:tc>
      </w:tr>
    </w:tbl>
    <w:p w14:paraId="7A75FBF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50F33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14 сентября 1941 л-и С.Б.Рейдель поднял в воздух второй серийный Бе-4 (№28802). Всего за время испытаний, продолжавшихся до 10 октября, было выполнено 49 полетов с общим налетом 10 ч 3 мин. В летно-пило-тажной оценке отмечалось, что «Бе-4 явля</w:t>
      </w:r>
      <w:r w:rsidRPr="00640820">
        <w:rPr>
          <w:rFonts w:ascii="Times New Roman" w:hAnsi="Times New Roman"/>
          <w:color w:val="000000" w:themeColor="text1"/>
          <w:sz w:val="16"/>
          <w:szCs w:val="16"/>
        </w:rPr>
        <w:softHyphen/>
        <w:t>ется простой в пилотировании машиной, вполне рассчитанной на летчика средней квалификации, и на рулежке самолет пре</w:t>
      </w:r>
      <w:r w:rsidRPr="00640820">
        <w:rPr>
          <w:rFonts w:ascii="Times New Roman" w:hAnsi="Times New Roman"/>
          <w:color w:val="000000" w:themeColor="text1"/>
          <w:sz w:val="16"/>
          <w:szCs w:val="16"/>
        </w:rPr>
        <w:softHyphen/>
        <w:t>красно управляем за счет эффективного водяного руля». Из выявленных недостат</w:t>
      </w:r>
      <w:r w:rsidRPr="00640820">
        <w:rPr>
          <w:rFonts w:ascii="Times New Roman" w:hAnsi="Times New Roman"/>
          <w:color w:val="000000" w:themeColor="text1"/>
          <w:sz w:val="16"/>
          <w:szCs w:val="16"/>
        </w:rPr>
        <w:softHyphen/>
        <w:t>ков упоминались следующие:</w:t>
      </w:r>
    </w:p>
    <w:p w14:paraId="0B8EC0B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Необходимость обязательного ис</w:t>
      </w:r>
      <w:r w:rsidRPr="00640820">
        <w:rPr>
          <w:rFonts w:ascii="Times New Roman" w:hAnsi="Times New Roman"/>
          <w:color w:val="000000" w:themeColor="text1"/>
          <w:sz w:val="16"/>
          <w:szCs w:val="16"/>
        </w:rPr>
        <w:softHyphen/>
        <w:t>пользования щитков при посадке.</w:t>
      </w:r>
    </w:p>
    <w:p w14:paraId="7E8440D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Крутой угол планирования.</w:t>
      </w:r>
    </w:p>
    <w:p w14:paraId="32B8447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Не вполне устойчивая работа винта (имеется в виду механизм изменения шага), иногда проявляю</w:t>
      </w:r>
      <w:r w:rsidRPr="00640820">
        <w:rPr>
          <w:rFonts w:ascii="Times New Roman" w:hAnsi="Times New Roman"/>
          <w:color w:val="000000" w:themeColor="text1"/>
          <w:sz w:val="16"/>
          <w:szCs w:val="16"/>
        </w:rPr>
        <w:softHyphen/>
        <w:t>щаяся в увеличении оборотов на 80-100 против номинальных, что требует посто</w:t>
      </w:r>
      <w:r w:rsidRPr="00640820">
        <w:rPr>
          <w:rFonts w:ascii="Times New Roman" w:hAnsi="Times New Roman"/>
          <w:color w:val="000000" w:themeColor="text1"/>
          <w:sz w:val="16"/>
          <w:szCs w:val="16"/>
        </w:rPr>
        <w:softHyphen/>
        <w:t>янного контроля летчика.</w:t>
      </w:r>
    </w:p>
    <w:p w14:paraId="622719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Наличие триммера руля поворота, который приходится регулировать в зави</w:t>
      </w:r>
      <w:r w:rsidRPr="00640820">
        <w:rPr>
          <w:rFonts w:ascii="Times New Roman" w:hAnsi="Times New Roman"/>
          <w:color w:val="000000" w:themeColor="text1"/>
          <w:sz w:val="16"/>
          <w:szCs w:val="16"/>
        </w:rPr>
        <w:softHyphen/>
        <w:t>симости от режима работы двигателя».(10685).</w:t>
      </w:r>
    </w:p>
    <w:p w14:paraId="111AF9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2DFEA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14 сентября по 6 октября 1941 в НИИ ВВС прошли испытания одноместного одномоторного истребителя Томагаук 1 с Аллисон 4-1710-С-15. Потом делали инструкции к 9 октября и писали отчет к 10 октября (2567,176).</w:t>
      </w:r>
    </w:p>
    <w:p w14:paraId="733C75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1635640" w14:textId="77777777" w:rsidR="00154500" w:rsidRPr="00640820" w:rsidRDefault="00154500"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14 сентября 1941 года опытный образец «М-13 на шасси Т-60» вышел на сравнительные испытания. Пусть никого не смущает индекс Т-60 — на деле речь идёт о шасси, полностью идентичном шасси Т-40, за тем исключением, что водоходное оборудование на него не ставили. На испытаниях фаворитами оказались М-13, установленные на шасси Т-30 и СТЗ-5. Впрочем, сравнительно небольшой клиренс сыграл свою негативную роль: при подвижности, сравнимой с ЗИС-42, по болотистой местности установка М-13 на базе Т-30 двигалась с большими трудностями.</w:t>
      </w:r>
    </w:p>
    <w:p w14:paraId="0AF0D010" w14:textId="77777777" w:rsidR="00154500" w:rsidRPr="00640820" w:rsidRDefault="00154500"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Как ни странно, по итогам испытаний военные выбрали М-13 на базе полугусеничного грузовика ЗИС-42. Но тут в дело вмешался ещё один очень важный фактор. С производственной точки зрения это шасси оказалось наиболее уязвимым, поскольку его серийный выпуск ещё толком и не начался. С учётом этой проблемы победителем оказалось шасси СТЗ-5, пусть и не такое быстроходное, зато имеющееся в достаточных количествах.</w:t>
      </w:r>
    </w:p>
    <w:p w14:paraId="536A9E33" w14:textId="77777777" w:rsidR="00154500" w:rsidRPr="00640820" w:rsidRDefault="00154500"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Установка М-13 на шасси СТЗ-5, имевшая заводской индекс КС-75, была принята на вооружение РККА постановлением ГКО № 726сс от 30 сентября 1941 года. По планам, первые машины на этой базе должны были поступить в войска к середине октября 1941 года.</w:t>
      </w:r>
    </w:p>
    <w:p w14:paraId="3C43E0B2" w14:textId="77777777" w:rsidR="00154500" w:rsidRPr="00640820" w:rsidRDefault="00154500"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Этим, собственно, и объясняется, почему эти системы залпового огня перестали устанавливать на ЗИС-6 (17665).</w:t>
      </w:r>
    </w:p>
    <w:p w14:paraId="130FE229" w14:textId="77777777" w:rsidR="00154500" w:rsidRPr="00640820" w:rsidRDefault="00154500" w:rsidP="00640820">
      <w:pPr>
        <w:spacing w:after="0" w:line="240" w:lineRule="auto"/>
        <w:jc w:val="both"/>
        <w:rPr>
          <w:rFonts w:ascii="Times New Roman" w:eastAsia="Times New Roman" w:hAnsi="Times New Roman"/>
          <w:color w:val="000000" w:themeColor="text1"/>
          <w:sz w:val="16"/>
          <w:szCs w:val="16"/>
          <w:lang w:eastAsia="ru-RU"/>
        </w:rPr>
      </w:pPr>
    </w:p>
    <w:p w14:paraId="6363FC09"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0DC8C781"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EC7F6BE" w14:textId="77777777" w:rsidR="001125BD" w:rsidRPr="00640820" w:rsidRDefault="001125BD" w:rsidP="00640820">
      <w:pPr>
        <w:pStyle w:val="article-renderblock"/>
        <w:shd w:val="clear" w:color="auto" w:fill="FFFFFF"/>
        <w:spacing w:before="0" w:beforeAutospacing="0" w:after="0" w:afterAutospacing="0"/>
        <w:jc w:val="both"/>
        <w:rPr>
          <w:color w:val="0070C0"/>
          <w:sz w:val="16"/>
          <w:szCs w:val="16"/>
        </w:rPr>
      </w:pPr>
      <w:r w:rsidRPr="00640820">
        <w:rPr>
          <w:color w:val="0070C0"/>
          <w:sz w:val="16"/>
          <w:szCs w:val="16"/>
        </w:rPr>
        <w:t>К 14 сентября 1941 года на территории ХТЗ находилось 1528 шасси, из них 717 без гусениц, 1334 без баков и 1304 без электрооборудования. Танков же сдали 36 штук, из них с полноценными корпусами всего 3 штуки. В общей же сложности ХТЗ смог сдать 142 бронетрактора (21357).</w:t>
      </w:r>
    </w:p>
    <w:p w14:paraId="4851A878" w14:textId="77777777" w:rsidR="001125BD" w:rsidRPr="00640820" w:rsidRDefault="001125BD" w:rsidP="00640820">
      <w:pPr>
        <w:pStyle w:val="article-renderblock"/>
        <w:shd w:val="clear" w:color="auto" w:fill="FFFFFF"/>
        <w:spacing w:before="0" w:beforeAutospacing="0" w:after="0" w:afterAutospacing="0"/>
        <w:jc w:val="both"/>
        <w:rPr>
          <w:color w:val="0070C0"/>
          <w:sz w:val="16"/>
          <w:szCs w:val="16"/>
        </w:rPr>
      </w:pPr>
    </w:p>
    <w:p w14:paraId="6A9A585B" w14:textId="77777777" w:rsidR="00154500" w:rsidRPr="00640820" w:rsidRDefault="00154500"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14 сентября 1941</w:t>
      </w:r>
    </w:p>
    <w:p w14:paraId="3E3C999D" w14:textId="77777777" w:rsidR="00154500" w:rsidRPr="00640820" w:rsidRDefault="00154500"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СОВ. СЕКРЕТНО </w:t>
      </w:r>
    </w:p>
    <w:p w14:paraId="35DDEDDC" w14:textId="77777777" w:rsidR="00154500" w:rsidRPr="00640820" w:rsidRDefault="00154500"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Экз. № 1 </w:t>
      </w:r>
    </w:p>
    <w:p w14:paraId="1DFAD1E3" w14:textId="77777777" w:rsidR="00154500" w:rsidRPr="00640820" w:rsidRDefault="00154500"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iCs/>
          <w:color w:val="000000" w:themeColor="text1"/>
          <w:sz w:val="16"/>
          <w:szCs w:val="16"/>
          <w:lang w:eastAsia="ru-RU"/>
        </w:rPr>
        <w:t>Дописано от руки:</w:t>
      </w:r>
      <w:r w:rsidRPr="00640820">
        <w:rPr>
          <w:rFonts w:ascii="Times New Roman" w:eastAsia="Times New Roman" w:hAnsi="Times New Roman"/>
          <w:color w:val="000000" w:themeColor="text1"/>
          <w:sz w:val="16"/>
          <w:szCs w:val="16"/>
          <w:lang w:eastAsia="ru-RU"/>
        </w:rPr>
        <w:t xml:space="preserve"> </w:t>
      </w:r>
    </w:p>
    <w:p w14:paraId="3A52B773" w14:textId="77777777" w:rsidR="00154500" w:rsidRPr="00640820" w:rsidRDefault="00154500"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«13/9-41 г. 4313 Приложение № 1 к приказу № 4» </w:t>
      </w:r>
    </w:p>
    <w:p w14:paraId="12548348" w14:textId="77777777" w:rsidR="00154500" w:rsidRPr="00640820" w:rsidRDefault="00154500"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УТВЕРЖДАЮ </w:t>
      </w:r>
    </w:p>
    <w:p w14:paraId="4F3D2617" w14:textId="77777777" w:rsidR="00154500" w:rsidRPr="00640820" w:rsidRDefault="00154500"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НАРОДНЫЙ КОМИССАР ТАНКОВОЙ </w:t>
      </w:r>
    </w:p>
    <w:p w14:paraId="77EB1E63" w14:textId="77777777" w:rsidR="00154500" w:rsidRPr="00640820" w:rsidRDefault="00154500"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ПРОМЫШЛЕННОСТИ СССР </w:t>
      </w:r>
    </w:p>
    <w:p w14:paraId="11F9BA99" w14:textId="77777777" w:rsidR="00154500" w:rsidRPr="00640820" w:rsidRDefault="00154500"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подпись (В. МАЛЫШЕВ) </w:t>
      </w:r>
    </w:p>
    <w:p w14:paraId="34783229" w14:textId="77777777" w:rsidR="00154500" w:rsidRPr="00640820" w:rsidRDefault="00154500"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"14" Сентября 1941 г.</w:t>
      </w:r>
    </w:p>
    <w:p w14:paraId="022919AD" w14:textId="77777777" w:rsidR="00154500" w:rsidRPr="00640820" w:rsidRDefault="00154500"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В соответствии с постановлением ГКО № ГКО-667сс от 12/IX-1941 г. устанавливается следующий порядок эвакуации оборудования и кадров Мариупольского завода им. Ильича, занятых на производстве брони. </w:t>
      </w:r>
    </w:p>
    <w:p w14:paraId="7DCABFF6" w14:textId="77777777" w:rsidR="00154500" w:rsidRPr="00640820" w:rsidRDefault="00154500"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Все остальное оборудование и кадры, занятые на производстве бронедеталей Т-34 эвакуируются в соответствии с постановлением на Уралвагонзавод – 50% I-й очередь, 50% – II очередь. </w:t>
      </w:r>
    </w:p>
    <w:p w14:paraId="66333076" w14:textId="77777777" w:rsidR="00154500" w:rsidRPr="00640820" w:rsidRDefault="00154500"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НАЧАЛЬНИК 3-го ГЛАВНОГО УПРАВЛЕНИЯ НКТП подпись (ЮШИН)</w:t>
      </w:r>
    </w:p>
    <w:p w14:paraId="54D70598" w14:textId="77777777" w:rsidR="00154500" w:rsidRPr="00640820" w:rsidRDefault="00154500"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bCs/>
          <w:iCs/>
          <w:color w:val="000000" w:themeColor="text1"/>
          <w:sz w:val="16"/>
          <w:szCs w:val="16"/>
          <w:lang w:eastAsia="ru-RU"/>
        </w:rPr>
        <w:t>РГАЭ Фонд 8752 Опись 4 Дело 2 лист 5 – 6</w:t>
      </w:r>
      <w:r w:rsidRPr="00640820">
        <w:rPr>
          <w:rFonts w:ascii="Times New Roman" w:eastAsia="Times New Roman" w:hAnsi="Times New Roman"/>
          <w:color w:val="000000" w:themeColor="text1"/>
          <w:sz w:val="16"/>
          <w:szCs w:val="16"/>
          <w:lang w:eastAsia="ru-RU"/>
        </w:rPr>
        <w:t xml:space="preserve"> (17628).</w:t>
      </w:r>
    </w:p>
    <w:p w14:paraId="57FE732E" w14:textId="77777777" w:rsidR="00154500" w:rsidRPr="00640820" w:rsidRDefault="00154500" w:rsidP="00640820">
      <w:pPr>
        <w:spacing w:after="0" w:line="240" w:lineRule="auto"/>
        <w:jc w:val="both"/>
        <w:rPr>
          <w:rFonts w:ascii="Times New Roman" w:eastAsia="Times New Roman" w:hAnsi="Times New Roman"/>
          <w:color w:val="000000" w:themeColor="text1"/>
          <w:sz w:val="16"/>
          <w:szCs w:val="16"/>
          <w:lang w:eastAsia="ru-RU"/>
        </w:rPr>
      </w:pPr>
    </w:p>
    <w:p w14:paraId="579599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сентября 1941 катеростроители передали флоту ТК типа Д-3 (10671).</w:t>
      </w:r>
    </w:p>
    <w:p w14:paraId="212262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F16E0EF"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6BC0147A"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2DE7C7D"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СЕНТЯБРЯ 1941 УТРЕННЕЕ СООБЩЕНИЕ Совинформбюро:</w:t>
      </w:r>
    </w:p>
    <w:p w14:paraId="6C5A9E1A"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ночь на 14 сентября наши войска вели бои с противником на всём фронте. </w:t>
      </w:r>
    </w:p>
    <w:p w14:paraId="6B702B5A"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Танковая часть полковника Бахарова ведёт успешные бои с немцами, нанося врагу большие потери. В сражении на подступах к селу Заречье танк лейтенанта Молодцова был встречен огнём вражеских орудий, миномётов и пулемётов. Молодцов смело направил свою машину на огневые точки противника. Две пушки и три миномёта были выведены из строя. За линией заградительного огня Молодцов встретился с тремя немецкими танками. В результате боя один танк противника был подбит, два других повернули обратно. В течение нескольких последних дней лейтенант Молодцов уничтожил 6 пушек, 5 миномётов, 2 танка, 3 бронемашины и много фашистских солдат. Экипажем танка захвачены 2 трактора с боеприпасами. </w:t>
      </w:r>
    </w:p>
    <w:p w14:paraId="493C08B7"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Подразделения командиров Шуренкова и Копличенко танковой части полковника Бахарова, сломив оборону противника, уничтожили более 400 немецких солдат, захватили 5 орудий, свыше 100 ящиков со снарядами, десятки тысяч патронов и другие трофеи. </w:t>
      </w:r>
    </w:p>
    <w:p w14:paraId="1F273969"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Огромные потери несут немцы на подступах к Ленинграду от огня Балтийской морской авиации. Лётчики тт. Корж, Шмелёв и Жуков забросали бомбами и обстреляли из пулемётов колонну фашистских танков и машин с пехотой, несколько тяжёлых батарей и зенитных установок. Противник понёс большие потери. За удачный удар по врагу командование фронтом объявило лётчикам благодарность. </w:t>
      </w:r>
    </w:p>
    <w:p w14:paraId="3ED23E52"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Старший лейтенант Кожин обратил внимание, что в одной из деревень всюду развешено бельё. Лётчик понял уловку врага. Сброшенные бомбы угодили в замаскированные автоцистерны с бензином. Немецкая колонна была целиком уничтожена. Перейдя на бреющий полёт, старший лейтенант пулемётным огнём уничтожил много фашистов. Вместе с лётчиком Барабановым тов. Кожин разрушил переправу фашистов. Как установила наша разведка, немцы потеряли на переправе 18 зенитных орудий и около батальона пехоты. </w:t>
      </w:r>
    </w:p>
    <w:p w14:paraId="22ADAD14"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одном из участков Западного направления фронта наши зенитчики сбили немецкий бомбардировщик «Юнкерс-88». Лётчик унтер-офицер Эмиль Фрост, наблюдатель фельдфебель Альфред Бехер и механик обер-ефрейтор Ферунман Поликмаен выбросились па парашютах. Колхозники обезоружили экипаж бомбардировщика и доставили фашистских лётчиков в штаб Энской части. </w:t>
      </w:r>
    </w:p>
    <w:p w14:paraId="7BD59135"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допросе пленный лётчик Эмиль Фрост рассказал следующее: «За первые два месяца войны наша авиационная группа потеряла три четверти своих самолётов. Пополнение, которое наша группа получила, далеко не покрывает потерь. Кроме того, нам стали посылать самолёты старых марок, например «ПЗЛ-24», «Арадо-47» и другие. Ещё хуже — с лётными кадрами. Много опытных лётчиков убито. Сейчас летает преимущественно молодёжь в возрасте от 17 до 23 лет. Проблема пополнения лётного состава очень беспокоит германское командование. Наши лётчики, особенно молодые, боятся советских истребителей. Мы, пилоты бомбардировщиков, неоднократно наблюдали, как наши истребители при появлении советских самолетов бросаются в бегство и оставляют нас без защиты». </w:t>
      </w:r>
    </w:p>
    <w:p w14:paraId="4B30A041"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Фельдфебель Альфред Бехер заявил: «Русская авиация неоднократно появлялась над Берлином, Кенигсбергом, Штеттином, Алленштайном и другими городами Германии. Недавно я был свидетелем бомбардировки Берлина советскими самолётами. В городе возникли многочисленные пожары, были слышны частые взрывы бомб. Мне известно, что бомбы попали на военный завод. В связи с налётами советской и английской авиации у немецкого населения подавленное настроение. У всех на устах один вопрос: когда же придёт конец этой проклятой войне?». </w:t>
      </w:r>
    </w:p>
    <w:p w14:paraId="2380BD26"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Немецкие захватчики бессильны в борьбе с неуловимыми героическими партизанами. Партизанский отряд тов. К. за месяц боевых действий в оккупированных фашистами районах Ленинградской области уничтожил свыше 300 фашистских солдат и офицеров, в том числе майора и полковника немецкой </w:t>
      </w:r>
    </w:p>
    <w:p w14:paraId="1CE524FC"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армии. Партизаны сожгли на аэродроме 4 двухмоторных бомбардировщика, уничтожили 34 грузовых и несколько легковых автомашин. </w:t>
      </w:r>
    </w:p>
    <w:p w14:paraId="1DC8AAA5"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Партизанский отряд под командованием тов. С. за три недели совершил 16 налетов на колонны противника и разгромил штаб крупной немецкой части. За время боёв с фашистами отряд уничтожил 116 немецких солдат и 8 офицеров, 39 грузовых машин с горючим, боеприпасами и вражескими солдатами. Отряд захватил 60 немецких винтовок и 18 лошадей. </w:t>
      </w:r>
    </w:p>
    <w:p w14:paraId="36474047"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Советские партизаны, действующие на Псковщине и в Карелии, истребляют сотни фашистских оккупантов. Партизаны подстерегают немецкие штабные машины и обстреливают их из леса. Товарищ Николай, снайпер одного из партизанских отрядов, уничтожил уже 39 немецких солдат и офицеров. Партизанка-разведчица этого </w:t>
      </w:r>
      <w:r w:rsidRPr="00640820">
        <w:rPr>
          <w:rFonts w:ascii="Times New Roman" w:hAnsi="Times New Roman"/>
          <w:color w:val="000000" w:themeColor="text1"/>
          <w:sz w:val="16"/>
          <w:szCs w:val="16"/>
        </w:rPr>
        <w:lastRenderedPageBreak/>
        <w:t xml:space="preserve">же отряда товарищ Ольга, бывший инструктор парашютного спорта, уничтожила огнём своего трофейного автомата 14 фашистских солдат и офицеров. В борьбе с немецко-фашистскими захватчиками снайперы-партизаны выработали искусные тактические приёмы. Это всё сильнее начинают чувствовать фашистские захватчики. Белофинский офицер сообщил корреспонденту швейцарской газеты «Нейе Цюрхер Цей-тунг»: «Русские партизаны стреляют из засады в проходящие машины. С молниеносной быстротой появляются стрелки из чащи и с такой же быстротой они снова исчезают в тумане в густом лесу. Финские патрули пытаются очистить лес. Но это невозможно в такой безбрежной глуши...». </w:t>
      </w:r>
    </w:p>
    <w:p w14:paraId="6679B071"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ряде датских портов в последние дни произошли крупные акты саботажа, нанёсшие большие убытки германскому судоходству. Вблизи г. Эсьбьерга на германском паровом пароме антифашисты открыли кингстоны. Машинное отделение быстро наполнилось водой. Хотя акт саботажа был вскоре обнаружен и затопление парома немцам удалось предотвратить, однако паром надолго выбыл из строя. Начальник эсьбьергской полиции объявил вознаграждение в 1.000 крон «за поимку злоумышленников». В порту Свенборг произошёл большой пожар на пароходе, гружённом продуктами для Германии. Пожар потушить не удалось. Пароход и груз погибли. За первые дни сентября это уже третий случай гибели пароходов с продовольствием. </w:t>
      </w:r>
    </w:p>
    <w:p w14:paraId="6572D848"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Огромную помощь фронту оказывают десятки тысяч изобретателей, рационализаторов, смелых новаторов техники. Разметчик инструментального цеха Челябинского тракторного завода т. Сторожев, осуществив несложное рационализаторское мероприятие, производит теперь разметку одной детали в 24 раза быстрее, чем прежде. Начальник технического отдела Тамбовского вагоноремонтного завода тов. Челюстников и конструктор тов. Карамышев спроектировали пресс, увеличивший производительность труда на клёпке в 8-10 раз. Слесарь Сталинабадского авторемонтного завода имени Орджоникидзе тов. Новохатко, механизировав процесс реставрации одной из частей автомашины, выполняет теперь норму на 1.000 процентов. Старший мастер ремонтно-механических мастерских Балейзолото Читинской области тов. Суздалев, применив новый метод работы на токарном станке, даёт ежедневно 3.000 процентов нормы. </w:t>
      </w:r>
    </w:p>
    <w:p w14:paraId="01E03E51" w14:textId="77777777" w:rsidR="006431D3" w:rsidRPr="00640820" w:rsidRDefault="006431D3" w:rsidP="00640820">
      <w:pPr>
        <w:spacing w:after="0" w:line="240" w:lineRule="auto"/>
        <w:jc w:val="both"/>
        <w:rPr>
          <w:rFonts w:ascii="Times New Roman" w:hAnsi="Times New Roman"/>
          <w:color w:val="000000" w:themeColor="text1"/>
          <w:sz w:val="16"/>
          <w:szCs w:val="16"/>
        </w:rPr>
      </w:pPr>
    </w:p>
    <w:p w14:paraId="12C35C15"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СЕНТЯБРЯ 1941 ВЕЧЕРНЕЕ СООБЩЕНИЕ Совинформбюро:</w:t>
      </w:r>
    </w:p>
    <w:p w14:paraId="6BB03D03"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течение 14 сентября наши войска продолжали вести упорные бои с противником на всём фронте. После многодневных и ожесточённых боёв наши войска оставили г. Кременчуг. </w:t>
      </w:r>
    </w:p>
    <w:p w14:paraId="63219373"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 12 сентября в воздушных боях сбит 21 немецкий самолёт и уничтожено на аэродромах 46 немецких самолётов, а всего уничтожено 67 самолётов противника. Наши потери — 28 самолётов. </w:t>
      </w:r>
    </w:p>
    <w:p w14:paraId="1A228A42"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Днём 14 сентября под Москвой сбит один немецкий самолёт-разведчик. </w:t>
      </w:r>
    </w:p>
    <w:p w14:paraId="3A1EB389"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Северо-Западном направлении фронта успешно действуют против немецко-фашистских полчищ бойцы и командиры соединения полковника Штыкова. В боях с врагом особенно удачно действовали подразделения т.т. Кожурова, Дохновского, Алексея Бень и другие. Подразделение капитана Кожурова захватило в ночном бою 12 немецких орудий, 20 станковых и ручных пулемётов и 2 радиостанции. Артиллеристы подразделения тов. Дохновского только за один день уничтожили 70 вражеских автомашин с пехотой, 150 мотоциклистов и большую группу кавалеристов. </w:t>
      </w:r>
    </w:p>
    <w:p w14:paraId="46DA5307"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Отдельные подразделения много раз прорывались в тыл врага. В один из таких прорывов в фашистский тыл наши бойцы, действуя вместе с танками, разгромили немецкую мотоколонну и захватили 240 автомашин. Разведчик лейтенант Алексей Бень, проникнув на своей бронемашине в глубокий вражеский тыл, уничтожил несколько немецких бронеавтомобилей, подбил 3 лёгких танка и несколько противотанковых орудий. </w:t>
      </w:r>
    </w:p>
    <w:p w14:paraId="40B01F97"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 время многочисленных боёв с фашистскими войсками соединение полковника Штыкова уничтожило свыше 10 тысяч немецких солдат и офицеров, около 200 вражеских танков, сотни автомашин, свыше 100 орудий и до 500 мотоциклов. </w:t>
      </w:r>
    </w:p>
    <w:p w14:paraId="3FB8BAD9"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Подразделение лейтенанта Гурцала, прикрывая миномётным огнём перегруппировку частей нашего батальона, за один час уничтожило 6 миномётов, 3 станковых пулемёта и несколько десятков солдат противника. При наступлении батальона бойцы миномётной роты тов. Малыхина метким огнём своих миномётов поразили больше 60 немецких солдат. Лейтенант Мельник, сержант Бондаренко и красноармеец Иванов, скрытно подойдя к вражеским позициям, несколькими выстрелами из своего миномёта ликвидировали пулемётную и миномётную точку противника вместе с их расчётами. Бойцы миномётного взвода лейтенанта Поваляева заметили большую группу немецких офицеров, производивших разведку. Миномётчики открыли огонь и уничтожили свыше десяти фашистских офицеров. </w:t>
      </w:r>
    </w:p>
    <w:p w14:paraId="2CE4EC40"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Многочисленные попытки фашистской авиации прорваться к Ленинграду неизменно отбиваются отважными советскими лётчиками. На днях на подступах к Ленинграду произошёл воздушный бой, в котором участвовало более 100 самолётов. Фашисты, потеряв в этом бою 17 бомбардировщиков, были отогнаны. </w:t>
      </w:r>
    </w:p>
    <w:p w14:paraId="65482FC9"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Работники палаток и автолавок Главвоенторга успешно снабжают бойцов и командиров Красной Армии разнообразными товарами и продуктами на передовых позициях фронта в боевой обстановке. Заведующий автолавкой тов. Крымский проехал под артиллерийским огнём на передовые позиции и привёз в полк папиросы, мыло, печенье и конфеты. Когда противник перешёл в наступление, вместе с бойцами Энского полка па переднем крае обороны залёг с винтовкой в руках и тов. Крымский. Как только враг был отогнан, тов. Крымский снова встал за прилавок автолавки. Шофёр Военторга Мария Павлова везла на передовые позиции товары. На машину напал фашистский самолёт. Осколком немецкой бомбы мотор был повреждён. Тов. Павлова не покинула машины. Дождавшись ночи, она сняла с другого разбитого автомобиля необходимые части, отремонтировала свой грузовик и рано утром доставила товары по назначению. </w:t>
      </w:r>
    </w:p>
    <w:p w14:paraId="1D5E1860"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Письма и дневники, обнаруженные у захваченных в плен и убитых немецких солдат, свидетельствуют об огромных потерях, которые несут фашистские войска в боях на подступах к Ленинграду. Пленный немецкий солдат Бейн в письме, которое он не успел отправить домой, пишет: «Кругом грохот и стрельба, множество осколков летит на нас. На каждом шагу нас караулит смерть. На днях погибло ещё несколько человек из моего взвода. Теперь нас осталось только четверо. Таких тяжёлых переживаний я никогда не испытывал. Здесь можно сойти с ума». Солдат Г. Янзен сообщает жене: «Мы уже 20 дней топчемся на месте и ничего не видим, кроме сплошного леса. Много наших солдат поплатилось своей кровью и жизнью в этих боях. Удивляюсь, что я ещё цел. Мне страшно хочется отдохнуть. Россия, Россия, не видать бы мне тебя никогда!». </w:t>
      </w:r>
    </w:p>
    <w:p w14:paraId="3DD9D2FF"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Матёрый фашист унтер-офицер Генрих Миллер с начала войны вёл дневник. Приводим выписки из его дневника: </w:t>
      </w:r>
    </w:p>
    <w:p w14:paraId="68805C59"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«22 АВГУСТА. Пал старший лейтенант Пирванеск (пулевая рана в сердце). К вечеру пал ещё лейтенант Шиллер из четвёртой роты. Итак, мы за короткое время потеряли семь офицеров: 5 убиты и 2 ранены. Среди убитых три командира роты. </w:t>
      </w:r>
    </w:p>
    <w:p w14:paraId="1F63A8C3"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25 АВГУСТА. С утра — русские бомбардировщики. Командира батальона тяжело ранило. Продовольствия не получаем. Транспорты застряли: не могут пройти. Питаемся морковью. </w:t>
      </w:r>
    </w:p>
    <w:p w14:paraId="4D4DFFEE"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26 АВГУСТА. Опять русские самолёты, артиллерийский и ружейный огонь. Полевая кухня ещё не пришла, а нас посылают в наступление...». </w:t>
      </w:r>
    </w:p>
    <w:p w14:paraId="4460250D"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последней записи дневник обрывается. В этот день Генрих Миллер был убит. </w:t>
      </w:r>
    </w:p>
    <w:p w14:paraId="377A4A86"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Гитлеровские солдаты грабят население оккупированных советских районов, зверски издеваются над стариками, женщинами и детьми. Немецкие карательные отряды сожгли дотла Замошье, Заплюсье, Оклюжье и много других сёл и деревень Ленинградской области. Поджигая деревни, фашисты выгоняли из них крестьян, категорически запрещая им уносить с собой даже самые необходимые вещи. В одной из деревень Лужского района дети колхозников нечаянно порвали телефонный провод одной из фашистских частей. Вскоре в деревню явился отряд германских солдат. Немцы согнали на площадь всё взрослое население деревни, отобрали пять колхозников и повесили их в присутствии остальных граждан. В течение нескольких дней фашисты не разрешали крестьянам снять трупы своих односельчан. В деревне Захаровка немцы повесили 14 колхозников за отказ сообщить местонахождение своих дочерей. Заняв деревни Юрьево и Березник, к западу от Старой Руссы, немцы конфисковали у населения и забили весь скот и всю домашнюю птицу. Свалив награбленные продукты на подводы, немцы запрягли в них колхозников, в том числе старух и стариков, и заставили везти в соседнюю деревню. В деревне Монино ворвавшийся к крестьянину Николаю Кургаеву пьяный германский солдат пытался изнасиловать хозяйку дома. Муж заступился за жену и был застрелен на месте. </w:t>
      </w:r>
    </w:p>
    <w:p w14:paraId="6989D89C"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деревне Милютино немцы арестовали 24 колхозника и увезли в соседнее село. Среди арестованных находилась 13-летняя Анастасия Давыдова. Бросив крестьян в тёмный сарай, фашисты стали пытать их, требуя сведений о партизанах. Все молчали. Тогда немцы вывели из сарая девочку и спросили, в каком направлении угнан колхозный скот. Юная патриотка отказалась отвечать. Фашистские мерзавцы изнасиловали девочку и затем расстреляли (14769).</w:t>
      </w:r>
    </w:p>
    <w:p w14:paraId="6847C205" w14:textId="77777777" w:rsidR="006431D3" w:rsidRPr="00640820" w:rsidRDefault="006431D3" w:rsidP="00640820">
      <w:pPr>
        <w:spacing w:after="0" w:line="240" w:lineRule="auto"/>
        <w:jc w:val="both"/>
        <w:rPr>
          <w:rFonts w:ascii="Times New Roman" w:hAnsi="Times New Roman"/>
          <w:color w:val="000000" w:themeColor="text1"/>
          <w:sz w:val="16"/>
          <w:szCs w:val="16"/>
        </w:rPr>
      </w:pPr>
    </w:p>
    <w:p w14:paraId="23EB22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сентября 1941 в ходе третьего, последнего наступления немцев Мурманск с И-153 и И-15бис ВВС СФ применяли гранулированный фосфор из ВАП (5154, 35).</w:t>
      </w:r>
    </w:p>
    <w:p w14:paraId="0E970C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3B7EA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сентября 1941 на СЗФ л Д.Гладенко, вылетев во главе звена ш, был подбит ЗА. машина загорелась на высоте 50 м и он направил его на переправу (438,820).</w:t>
      </w:r>
    </w:p>
    <w:p w14:paraId="519DE6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18E85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сентября 1941 двойной таран совершили летчики 124-го ИАП мл. л-ты Довгий Владимир Иванович и Пирожков Борис Григорьевич. Они “взяли в оборот” Ju 88A-4 (w/n 1267) из АЭ 1.(F)/33, летевший на разведку района Вязьма-Тула. Расстреляв все патроны и не сумев сбить “Юнкере”, летчики поочередно таранили его. Немецкий экипаж считается пропавшим без вести. В.И.Довгий погиб 29 октября 1941 г. и посмертно награжден орденом Ленина. Б. Г. Пирожков, будучи уже старшим лейтенантом, комэском 787-го ИАП, еще раз таранил под Тулой вражеский самолет (немецкие данные пока не обнаружены), был тяжело ранен, но сумел посадить свою машину и скончался от ран. Посмертно удостоен звания Героя Советского Союза (10205).</w:t>
      </w:r>
    </w:p>
    <w:p w14:paraId="43B447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61512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14 сентября 1941 г. части 11-й немецкой армии вышли к Перекопскому и Чонгарскому перешейкам, создав непосредственную угрозу Крыму и главной базе Черноморского флота Севастополю. В тот же день в ВВС ЧФ для действий по войскам противника была создана специальная Фрайдоровская авиагруппа. Базировалась она на полевых аэродромах в районе местечка Фрайдорф, от которого и получила название. Материальная часть состояла из того, что оказалось в тот момент “под рукой”. В весьма разношерстный состав группы попали и три находившиеся к тому времени в исправном состоянии КОР-1. Переставленные с поплавков на колеса </w:t>
      </w:r>
      <w:r w:rsidRPr="00640820">
        <w:rPr>
          <w:rFonts w:ascii="Times New Roman" w:hAnsi="Times New Roman"/>
          <w:color w:val="000000" w:themeColor="text1"/>
          <w:sz w:val="16"/>
          <w:szCs w:val="16"/>
        </w:rPr>
        <w:lastRenderedPageBreak/>
        <w:t>эти самолеты в составе 3-й эскадрильи, которой командовал ст. л-т К.Д.Денисов, и участвовали в боях на Перекопе, штурмуя наступавшие части вермахта. Эффективность КОР-1 как штурмовика оказалась невысокой, прежде всего по причине малой скорости и недостаточной маневренности. Потери составили два самолета. Один был сбит, другой подбит над целью, однако летчику удалось перетянуть через линию фронта и сесть на своей территории. Уцелевший КОР-1 передали в 11 -и штурмовой авиационный полк ВВС ЧФ, имевший на вооружении не менее устаревшие истребители И-5. С началом обороны Севастополя самолеты полка вошли в состав 3-й Севастопольской авиагруппы, остававшейся в осажденном городе (9966).</w:t>
      </w:r>
    </w:p>
    <w:p w14:paraId="216960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2B99D3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сентября 1941 г. части 11-й немецкой армии вышли к Перекопскому и Чонгарскому перешейкам, создав непо</w:t>
      </w:r>
      <w:r w:rsidRPr="00640820">
        <w:rPr>
          <w:rFonts w:ascii="Times New Roman" w:hAnsi="Times New Roman"/>
          <w:color w:val="000000" w:themeColor="text1"/>
          <w:sz w:val="16"/>
          <w:szCs w:val="16"/>
        </w:rPr>
        <w:softHyphen/>
        <w:t>средственную угрозу Крыму и главной базе Черноморского флота - Севастополю. В тот же день, в связи с создавшейся обстановкой на сухопутном фронте, в ВВС ЧФ для действий по войскам противника, была создана специальная Фрайдоровская авиагруппа. Базировалась группа на полевые аэродромы в районе местечка Фрайдорф, от которого и получила свое название. Материальная часть состояла из того, что, как говорится, было в этот момент «под рукой». Поэтому в весьма «разношерстный» состав группы попали и три находившиеся к этому времени в исправном состоянии КОР-1. Переставленные с поплавков на колеса, эти само</w:t>
      </w:r>
      <w:r w:rsidRPr="00640820">
        <w:rPr>
          <w:rFonts w:ascii="Times New Roman" w:hAnsi="Times New Roman"/>
          <w:color w:val="000000" w:themeColor="text1"/>
          <w:sz w:val="16"/>
          <w:szCs w:val="16"/>
        </w:rPr>
        <w:softHyphen/>
        <w:t>леты в составе входившей в группу 3-й эскадрильи 8-го истребительного авиационного полка участвовали в боях на Перекопе, штурмуя наступавшие части вермахта.</w:t>
      </w:r>
    </w:p>
    <w:p w14:paraId="05D0939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Эффективность КОР-1 как штурмовика была невысокой, прежде всего по причине малой скорости и недостаточной маневренности. При этом потери составили два самолета. Один КОР-1 был сбит, другой подбит над целью, однако летчику удалось перетянуть через линию фронта и сесть на своей территории. Оба уцелевших КОР-1 в начале октября 1941 г. были переданы в 11-й штурмовой авиационный полк ВВС ЧФ, имевший на вооружении не менее устаревшие истребители И-5. С началом обороны Севастополя самолеты Отдельного отряда корабельной авиации вошли в состав 3-й Севасто</w:t>
      </w:r>
      <w:r w:rsidRPr="00640820">
        <w:rPr>
          <w:rFonts w:ascii="Times New Roman" w:hAnsi="Times New Roman"/>
          <w:color w:val="000000" w:themeColor="text1"/>
          <w:sz w:val="16"/>
          <w:szCs w:val="16"/>
        </w:rPr>
        <w:softHyphen/>
        <w:t>польской авиагруппы, остававшейся в осажденном городе.</w:t>
      </w:r>
    </w:p>
    <w:p w14:paraId="2DBA7DB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концу июня авиация ЧФ оставила Севастополь и сосре</w:t>
      </w:r>
      <w:r w:rsidRPr="00640820">
        <w:rPr>
          <w:rFonts w:ascii="Times New Roman" w:hAnsi="Times New Roman"/>
          <w:color w:val="000000" w:themeColor="text1"/>
          <w:sz w:val="16"/>
          <w:szCs w:val="16"/>
        </w:rPr>
        <w:softHyphen/>
        <w:t>доточилась на Кубани и на черноморском побережье Кавка</w:t>
      </w:r>
      <w:r w:rsidRPr="00640820">
        <w:rPr>
          <w:rFonts w:ascii="Times New Roman" w:hAnsi="Times New Roman"/>
          <w:color w:val="000000" w:themeColor="text1"/>
          <w:sz w:val="16"/>
          <w:szCs w:val="16"/>
        </w:rPr>
        <w:softHyphen/>
        <w:t>за. Уцелевшие самолеты Отдельного отряда корабельной ави</w:t>
      </w:r>
      <w:r w:rsidRPr="00640820">
        <w:rPr>
          <w:rFonts w:ascii="Times New Roman" w:hAnsi="Times New Roman"/>
          <w:color w:val="000000" w:themeColor="text1"/>
          <w:sz w:val="16"/>
          <w:szCs w:val="16"/>
        </w:rPr>
        <w:softHyphen/>
        <w:t>ации разместились на аэродроме Поти (два КОР-1) и аэро</w:t>
      </w:r>
      <w:r w:rsidRPr="00640820">
        <w:rPr>
          <w:rFonts w:ascii="Times New Roman" w:hAnsi="Times New Roman"/>
          <w:color w:val="000000" w:themeColor="text1"/>
          <w:sz w:val="16"/>
          <w:szCs w:val="16"/>
        </w:rPr>
        <w:softHyphen/>
        <w:t>дроме Туапсе (два КОР-1), где из них сформировали отдель</w:t>
      </w:r>
      <w:r w:rsidRPr="00640820">
        <w:rPr>
          <w:rFonts w:ascii="Times New Roman" w:hAnsi="Times New Roman"/>
          <w:color w:val="000000" w:themeColor="text1"/>
          <w:sz w:val="16"/>
          <w:szCs w:val="16"/>
        </w:rPr>
        <w:softHyphen/>
        <w:t>ные корабельные корректировочные авиационные звенья.</w:t>
      </w:r>
    </w:p>
    <w:p w14:paraId="6676A7D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июля 1942 г. Отряд корабельной авиации был расфор</w:t>
      </w:r>
      <w:r w:rsidRPr="00640820">
        <w:rPr>
          <w:rFonts w:ascii="Times New Roman" w:hAnsi="Times New Roman"/>
          <w:color w:val="000000" w:themeColor="text1"/>
          <w:sz w:val="16"/>
          <w:szCs w:val="16"/>
        </w:rPr>
        <w:softHyphen/>
        <w:t>мирован. На этот момент в составе отряда составе числи</w:t>
      </w:r>
      <w:r w:rsidRPr="00640820">
        <w:rPr>
          <w:rFonts w:ascii="Times New Roman" w:hAnsi="Times New Roman"/>
          <w:color w:val="000000" w:themeColor="text1"/>
          <w:sz w:val="16"/>
          <w:szCs w:val="16"/>
        </w:rPr>
        <w:softHyphen/>
        <w:t>лось четыре МБР-2 и два КОР-1 (оба неисправны), которые передали в другие части, либо, как КОР-1, списали. Летом, 1942 г. в корабельные корректировочные звенья ЧФ, стали поступать от промышленности, новые гидросамолеты КОР-2.</w:t>
      </w:r>
    </w:p>
    <w:p w14:paraId="7112617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момент своего появления КОР-1 вполне соответство</w:t>
      </w:r>
      <w:r w:rsidRPr="00640820">
        <w:rPr>
          <w:rFonts w:ascii="Times New Roman" w:hAnsi="Times New Roman"/>
          <w:color w:val="000000" w:themeColor="text1"/>
          <w:sz w:val="16"/>
          <w:szCs w:val="16"/>
        </w:rPr>
        <w:softHyphen/>
        <w:t>вал общемировому уровню гидросамолетов подобного класса. Оценить гидросамолет Г.М. Бериева по отношению к своим «одноклассникам» можно как «твердого середнячка». Единственная характеристика по которой КОР-1 безо</w:t>
      </w:r>
      <w:r w:rsidRPr="00640820">
        <w:rPr>
          <w:rFonts w:ascii="Times New Roman" w:hAnsi="Times New Roman"/>
          <w:color w:val="000000" w:themeColor="text1"/>
          <w:sz w:val="16"/>
          <w:szCs w:val="16"/>
        </w:rPr>
        <w:softHyphen/>
        <w:t>говорочно проигрывал «иностранцам», это максимальная дальность полета, что впрочем, легко объяснимо, самолет создавался, прежде всего, для применения на ограниченных пространствах Балтийского и Черного морей.</w:t>
      </w:r>
    </w:p>
    <w:p w14:paraId="6932C59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Однако, как отмечалось выше, командующий морской авиацией С.Ф.Жаворонков, расценил КОР-1 как«плохой само</w:t>
      </w:r>
      <w:r w:rsidRPr="00640820">
        <w:rPr>
          <w:rFonts w:ascii="Times New Roman" w:hAnsi="Times New Roman"/>
          <w:color w:val="000000" w:themeColor="text1"/>
          <w:sz w:val="16"/>
          <w:szCs w:val="16"/>
        </w:rPr>
        <w:softHyphen/>
        <w:t>лет». Поэтому на долю Г.М. Бериева выпали полной мерой как упреки и жалобы заказчика, так и гнев руководства наркомата, притом, что по тем временам «оргвыводы» могли последовать самые крутые. Сам Георгий Михайлович в своих воспомина</w:t>
      </w:r>
      <w:r w:rsidRPr="00640820">
        <w:rPr>
          <w:rFonts w:ascii="Times New Roman" w:hAnsi="Times New Roman"/>
          <w:color w:val="000000" w:themeColor="text1"/>
          <w:sz w:val="16"/>
          <w:szCs w:val="16"/>
        </w:rPr>
        <w:softHyphen/>
        <w:t>ниях эту тему обходил, но в 1939 г. свидетелем разноса из-за КОР-1, сделанного наркомом авиационной промышленности М.М. Кагановичем Бериеву, оказался авиаконструктор А.С. Москалев. Свою «воспитательную» беседу Каганович закончил так: «Ну, хватит, Бериев, я вижу, что ты все случаи знаешь! Так объясни мне - почему твой самолет плохо летает и моряки на тебя жалуются?». Однако именно опыт, полученный при проектировании, испытаниях и доводке «плохого» КОР-1 по</w:t>
      </w:r>
      <w:r w:rsidRPr="00640820">
        <w:rPr>
          <w:rFonts w:ascii="Times New Roman" w:hAnsi="Times New Roman"/>
          <w:color w:val="000000" w:themeColor="text1"/>
          <w:sz w:val="16"/>
          <w:szCs w:val="16"/>
        </w:rPr>
        <w:softHyphen/>
        <w:t>зволил Г.М. Бериеву и всему коллективу ЦКБ МС в кратчайшие сроки создать действительно удачный корабельный разведчик К0Р-2, положивший начало целому семейству гидросамолетов, вершиной которого стала амфибия Бе-8.</w:t>
      </w:r>
    </w:p>
    <w:p w14:paraId="5BD2E8E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ходе войны КОР-1 ни разу не использовался по своему прямому назначению как корабельный самолет-разведчик и корректировщик. Задачи воздушной разведки и корректи</w:t>
      </w:r>
      <w:r w:rsidRPr="00640820">
        <w:rPr>
          <w:rFonts w:ascii="Times New Roman" w:hAnsi="Times New Roman"/>
          <w:color w:val="000000" w:themeColor="text1"/>
          <w:sz w:val="16"/>
          <w:szCs w:val="16"/>
        </w:rPr>
        <w:softHyphen/>
        <w:t>ровки артиллерийского огня кораблей по береговым целям взяли на себя самолеты, базировавшиеся на берегу. Впрочем, иначе и быть не могло, поскольку наши корабли на Балтике и Черном море вели боевые действия в районах находившихся в пределах радиуса действия береговой авиации противника. В этих условиях запущенные с крейсерской катапульты тихо</w:t>
      </w:r>
      <w:r w:rsidRPr="00640820">
        <w:rPr>
          <w:rFonts w:ascii="Times New Roman" w:hAnsi="Times New Roman"/>
          <w:color w:val="000000" w:themeColor="text1"/>
          <w:sz w:val="16"/>
          <w:szCs w:val="16"/>
        </w:rPr>
        <w:softHyphen/>
        <w:t>ходные и слабо вооруженные КОР-1 не смогли бы защитить свой корабль от атак бомбардировщиков и торпедоносцев, и уж тем более хоть как-то противостоять «мессершмиттам» (12279).</w:t>
      </w:r>
    </w:p>
    <w:p w14:paraId="453EB958"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125938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rPr>
        <w:t>14 сентября 1941 вышло Постановление ГКО № 672 Об организации Юго-Западной оперативной группы минометных частей Ставки Главного Верховного Командования. РГАНИР</w:t>
      </w:r>
      <w:r w:rsidRPr="00640820">
        <w:rPr>
          <w:rFonts w:ascii="Times New Roman" w:hAnsi="Times New Roman"/>
          <w:color w:val="000000" w:themeColor="text1"/>
          <w:sz w:val="16"/>
          <w:szCs w:val="16"/>
          <w:lang w:val="en-US"/>
        </w:rPr>
        <w:t xml:space="preserve">, </w:t>
      </w:r>
      <w:r w:rsidRPr="00640820">
        <w:rPr>
          <w:rFonts w:ascii="Times New Roman" w:hAnsi="Times New Roman"/>
          <w:color w:val="000000" w:themeColor="text1"/>
          <w:sz w:val="16"/>
          <w:szCs w:val="16"/>
        </w:rPr>
        <w:t>ФондГКО</w:t>
      </w:r>
      <w:r w:rsidRPr="00640820">
        <w:rPr>
          <w:rFonts w:ascii="Times New Roman" w:hAnsi="Times New Roman"/>
          <w:color w:val="000000" w:themeColor="text1"/>
          <w:sz w:val="16"/>
          <w:szCs w:val="16"/>
          <w:lang w:val="en-US"/>
        </w:rPr>
        <w:t xml:space="preserve">, </w:t>
      </w:r>
      <w:r w:rsidRPr="00640820">
        <w:rPr>
          <w:rFonts w:ascii="Times New Roman" w:hAnsi="Times New Roman"/>
          <w:color w:val="000000" w:themeColor="text1"/>
          <w:sz w:val="16"/>
          <w:szCs w:val="16"/>
        </w:rPr>
        <w:t>д</w:t>
      </w:r>
      <w:r w:rsidRPr="00640820">
        <w:rPr>
          <w:rFonts w:ascii="Times New Roman" w:hAnsi="Times New Roman"/>
          <w:color w:val="000000" w:themeColor="text1"/>
          <w:sz w:val="16"/>
          <w:szCs w:val="16"/>
          <w:lang w:val="en-US"/>
        </w:rPr>
        <w:t xml:space="preserve">. 9, </w:t>
      </w:r>
      <w:r w:rsidRPr="00640820">
        <w:rPr>
          <w:rFonts w:ascii="Times New Roman" w:hAnsi="Times New Roman"/>
          <w:color w:val="000000" w:themeColor="text1"/>
          <w:sz w:val="16"/>
          <w:szCs w:val="16"/>
        </w:rPr>
        <w:t>лл</w:t>
      </w:r>
      <w:r w:rsidRPr="00640820">
        <w:rPr>
          <w:rFonts w:ascii="Times New Roman" w:hAnsi="Times New Roman"/>
          <w:color w:val="000000" w:themeColor="text1"/>
          <w:sz w:val="16"/>
          <w:szCs w:val="16"/>
          <w:lang w:val="en-US"/>
        </w:rPr>
        <w:t>. 103-104 (11012).</w:t>
      </w:r>
    </w:p>
    <w:p w14:paraId="03D427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7D0F1D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September 14, 1941: Heeresgruppe Mitte completes the encirclement of two Soviet armies at Kiev. In North Africa, British naval forces fail in their attempt to achieve a landing at Tobruk (3819).</w:t>
      </w:r>
    </w:p>
    <w:p w14:paraId="47F73C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72CD85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сентября 1941 Группа Центр завершила окружение двух советских армий у Киева. 14 сентября 1941 В Северной Африке британский флот потерпел неудачу в высадке у Тобрука (3819).</w:t>
      </w:r>
    </w:p>
    <w:p w14:paraId="517864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2B1A11D"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437E7E25"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FA51D53" w14:textId="77777777" w:rsidR="001125BD" w:rsidRPr="00640820" w:rsidRDefault="001125B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14 сентября 1941 эскортный авианосец сопровождения Королевского флота HMS Audacity выходит в море , чтобы сопровождать первый конвой. Это первый случай, когда авианосец был задействован непосредственно для защиты конвоев, и первые операции авианосца против сил Оси, атакующих конвои в Атлантическом океане с середины сентября 1939 года (20794).</w:t>
      </w:r>
    </w:p>
    <w:p w14:paraId="4C62A1B0" w14:textId="77777777" w:rsidR="001125BD" w:rsidRPr="00640820" w:rsidRDefault="001125BD" w:rsidP="00640820">
      <w:pPr>
        <w:spacing w:after="0" w:line="240" w:lineRule="auto"/>
        <w:jc w:val="both"/>
        <w:rPr>
          <w:rFonts w:ascii="Times New Roman" w:hAnsi="Times New Roman"/>
          <w:color w:val="0070C0"/>
          <w:sz w:val="16"/>
          <w:szCs w:val="16"/>
        </w:rPr>
      </w:pPr>
    </w:p>
    <w:p w14:paraId="7EE1C10A" w14:textId="77777777" w:rsidR="001125BD" w:rsidRPr="00640820" w:rsidRDefault="001125B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14 сентября 1941 в средствах массовой информации союзников было объявлено, что авиакрыло Королевских ВВС прибыло на русский фронт. Подразделением, которое состояло из самолетов «Харрикейн», командовал командир авиакрыла Дж. Р. Ишервуд, который имел при себе некоторых самых опытных британ</w:t>
      </w:r>
      <w:r w:rsidRPr="00640820">
        <w:rPr>
          <w:rFonts w:ascii="Times New Roman" w:hAnsi="Times New Roman"/>
          <w:color w:val="0070C0"/>
          <w:sz w:val="16"/>
          <w:szCs w:val="16"/>
        </w:rPr>
        <w:softHyphen/>
        <w:t>ских летчиков-истребителей. Британское авиакрыло приняло участие в ряде военных операций, уничтожив несколько немецких самолетов. Они также обучали советских летчиков обращению с самолетами «Харрикейн», которые затем подлежали передаче советской стороне (22686).</w:t>
      </w:r>
    </w:p>
    <w:p w14:paraId="35B79040" w14:textId="77777777" w:rsidR="001125BD" w:rsidRPr="00640820" w:rsidRDefault="001125BD" w:rsidP="00640820">
      <w:pPr>
        <w:spacing w:after="0" w:line="240" w:lineRule="auto"/>
        <w:jc w:val="both"/>
        <w:rPr>
          <w:rFonts w:ascii="Times New Roman" w:hAnsi="Times New Roman"/>
          <w:color w:val="0070C0"/>
          <w:sz w:val="16"/>
          <w:szCs w:val="16"/>
        </w:rPr>
      </w:pPr>
    </w:p>
    <w:p w14:paraId="66BA3C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September 14 1941 Iran ordered departure of Axis diplomats (1223).</w:t>
      </w:r>
    </w:p>
    <w:p w14:paraId="11B05D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35EFD3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сентября 1941 Иран приказал дипломатам стран оси покинуть страну (1223).</w:t>
      </w:r>
    </w:p>
    <w:p w14:paraId="4C8862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73D1B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сентября 1941 в Северной Африке британский флот потерпел неудачу в высадке у Тобрука (3819).</w:t>
      </w:r>
    </w:p>
    <w:p w14:paraId="6E4F03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83865CD"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56A64EB3"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52612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сентября 1941 на НИП АВ КА закончились испытания вооружения Ил-2 (зав. №181404) ШФК-37, которые проходили с 1 октября (6467).</w:t>
      </w:r>
    </w:p>
    <w:p w14:paraId="609056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Проведенные в НИП АВ ВВС КА стрельбы с воздуха из пушки ШФК-37 по трофейной немецкой бронетехнике показали, что снаряд БЗТ-37 обеспечи</w:t>
      </w:r>
      <w:r w:rsidRPr="00640820">
        <w:rPr>
          <w:rFonts w:ascii="Times New Roman" w:hAnsi="Times New Roman"/>
          <w:color w:val="000000" w:themeColor="text1"/>
          <w:sz w:val="16"/>
          <w:szCs w:val="16"/>
        </w:rPr>
        <w:softHyphen/>
        <w:t>вал поражение немецких легких танков типа Pz.38(t) Ausf С и Pz.ll Ausf F с дис</w:t>
      </w:r>
      <w:r w:rsidRPr="00640820">
        <w:rPr>
          <w:rFonts w:ascii="Times New Roman" w:hAnsi="Times New Roman"/>
          <w:color w:val="000000" w:themeColor="text1"/>
          <w:sz w:val="16"/>
          <w:szCs w:val="16"/>
        </w:rPr>
        <w:softHyphen/>
        <w:t>танций до 500 м с любого направления и при любых углах планирования. При</w:t>
      </w:r>
      <w:r w:rsidRPr="00640820">
        <w:rPr>
          <w:rFonts w:ascii="Times New Roman" w:hAnsi="Times New Roman"/>
          <w:color w:val="000000" w:themeColor="text1"/>
          <w:sz w:val="16"/>
          <w:szCs w:val="16"/>
        </w:rPr>
        <w:softHyphen/>
        <w:t>чем попадание снарядов в эти танки давало проломы брони и сквозные про</w:t>
      </w:r>
      <w:r w:rsidRPr="00640820">
        <w:rPr>
          <w:rFonts w:ascii="Times New Roman" w:hAnsi="Times New Roman"/>
          <w:color w:val="000000" w:themeColor="text1"/>
          <w:sz w:val="16"/>
          <w:szCs w:val="16"/>
        </w:rPr>
        <w:softHyphen/>
        <w:t>бития через оба борта корпуса танков.</w:t>
      </w:r>
    </w:p>
    <w:p w14:paraId="1C42AA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Поражение же средних немецких тан</w:t>
      </w:r>
      <w:r w:rsidRPr="00640820">
        <w:rPr>
          <w:rFonts w:ascii="Times New Roman" w:hAnsi="Times New Roman"/>
          <w:color w:val="000000" w:themeColor="text1"/>
          <w:sz w:val="16"/>
          <w:szCs w:val="16"/>
        </w:rPr>
        <w:softHyphen/>
        <w:t>ков типа StuG III Ausf Е и Pz.lll Ausf G, a также танка Pz.38(t) Ausf Е с усиленным бронированием с толщиной брони на бортах до 30 мм обеспечивалось снаря</w:t>
      </w:r>
      <w:r w:rsidRPr="00640820">
        <w:rPr>
          <w:rFonts w:ascii="Times New Roman" w:hAnsi="Times New Roman"/>
          <w:color w:val="000000" w:themeColor="text1"/>
          <w:sz w:val="16"/>
          <w:szCs w:val="16"/>
        </w:rPr>
        <w:softHyphen/>
        <w:t>дом БЗТ-37 с дистанций не более 500 м, но при углах планирования не более 30</w:t>
      </w:r>
      <w:r w:rsidRPr="00640820">
        <w:rPr>
          <w:rFonts w:ascii="Times New Roman" w:hAnsi="Times New Roman"/>
          <w:color w:val="000000" w:themeColor="text1"/>
          <w:sz w:val="16"/>
          <w:szCs w:val="16"/>
          <w:vertAlign w:val="superscript"/>
        </w:rPr>
        <w:t>е</w:t>
      </w:r>
      <w:r w:rsidRPr="00640820">
        <w:rPr>
          <w:rFonts w:ascii="Times New Roman" w:hAnsi="Times New Roman"/>
          <w:color w:val="000000" w:themeColor="text1"/>
          <w:sz w:val="16"/>
          <w:szCs w:val="16"/>
        </w:rPr>
        <w:t>. При этом атаку танков этих типов необ</w:t>
      </w:r>
      <w:r w:rsidRPr="00640820">
        <w:rPr>
          <w:rFonts w:ascii="Times New Roman" w:hAnsi="Times New Roman"/>
          <w:color w:val="000000" w:themeColor="text1"/>
          <w:sz w:val="16"/>
          <w:szCs w:val="16"/>
        </w:rPr>
        <w:softHyphen/>
        <w:t>ходимо было производить в бок колон</w:t>
      </w:r>
      <w:r w:rsidRPr="00640820">
        <w:rPr>
          <w:rFonts w:ascii="Times New Roman" w:hAnsi="Times New Roman"/>
          <w:color w:val="000000" w:themeColor="text1"/>
          <w:sz w:val="16"/>
          <w:szCs w:val="16"/>
        </w:rPr>
        <w:softHyphen/>
        <w:t>ны или вдоль нее с хвоста, ведя стрель</w:t>
      </w:r>
      <w:r w:rsidRPr="00640820">
        <w:rPr>
          <w:rFonts w:ascii="Times New Roman" w:hAnsi="Times New Roman"/>
          <w:color w:val="000000" w:themeColor="text1"/>
          <w:sz w:val="16"/>
          <w:szCs w:val="16"/>
        </w:rPr>
        <w:softHyphen/>
        <w:t>бу по борту или по задней части корпу</w:t>
      </w:r>
      <w:r w:rsidRPr="00640820">
        <w:rPr>
          <w:rFonts w:ascii="Times New Roman" w:hAnsi="Times New Roman"/>
          <w:color w:val="000000" w:themeColor="text1"/>
          <w:sz w:val="16"/>
          <w:szCs w:val="16"/>
        </w:rPr>
        <w:softHyphen/>
        <w:t>са и башни танков.</w:t>
      </w:r>
    </w:p>
    <w:p w14:paraId="44A653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испытаниях из 33 прямых попа</w:t>
      </w:r>
      <w:r w:rsidRPr="00640820">
        <w:rPr>
          <w:rFonts w:ascii="Times New Roman" w:hAnsi="Times New Roman"/>
          <w:color w:val="000000" w:themeColor="text1"/>
          <w:sz w:val="16"/>
          <w:szCs w:val="16"/>
        </w:rPr>
        <w:softHyphen/>
        <w:t>даний в средний танк Pz.lll Ausf G и лег</w:t>
      </w:r>
      <w:r w:rsidRPr="00640820">
        <w:rPr>
          <w:rFonts w:ascii="Times New Roman" w:hAnsi="Times New Roman"/>
          <w:color w:val="000000" w:themeColor="text1"/>
          <w:sz w:val="16"/>
          <w:szCs w:val="16"/>
        </w:rPr>
        <w:softHyphen/>
        <w:t>кие танки Pz.ll Ausf F и Pz.38(t) Ausf С имели место только 24 пробоины, из которых 17 пробоин оказались в броне толщиной 30 мм, 1 рикошет от 16-мм брони, когда угол встречи снаряда с броней составил 75-80°, и остальные пробоины - в 15-16-мм броне. При этом 51,5% попаданий снарядов пушки ШФК-37 по среднему танку и 70% попаданий по легкому танку выводили их из строя.</w:t>
      </w:r>
    </w:p>
    <w:p w14:paraId="3BCEBF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Попадания 37-мм снарядов в ролики, колеса и другие детали ходовой части танков наносили им существенные раз</w:t>
      </w:r>
      <w:r w:rsidRPr="00640820">
        <w:rPr>
          <w:rFonts w:ascii="Times New Roman" w:hAnsi="Times New Roman"/>
          <w:color w:val="000000" w:themeColor="text1"/>
          <w:sz w:val="16"/>
          <w:szCs w:val="16"/>
        </w:rPr>
        <w:softHyphen/>
        <w:t>рушения, как правило, выводящие танк из строя.</w:t>
      </w:r>
    </w:p>
    <w:p w14:paraId="05A2B2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отчете по полигонным испытаниям пушек ШФК-37 на самолете Ил-2 особо отмечалось, что летный состав должен быть хорошо натренирован в ведении прицельного огня короткими очередя</w:t>
      </w:r>
      <w:r w:rsidRPr="00640820">
        <w:rPr>
          <w:rFonts w:ascii="Times New Roman" w:hAnsi="Times New Roman"/>
          <w:color w:val="000000" w:themeColor="text1"/>
          <w:sz w:val="16"/>
          <w:szCs w:val="16"/>
        </w:rPr>
        <w:softHyphen/>
        <w:t>ми (2-3 снаряда в очереди) по мало</w:t>
      </w:r>
      <w:r w:rsidRPr="00640820">
        <w:rPr>
          <w:rFonts w:ascii="Times New Roman" w:hAnsi="Times New Roman"/>
          <w:color w:val="000000" w:themeColor="text1"/>
          <w:sz w:val="16"/>
          <w:szCs w:val="16"/>
        </w:rPr>
        <w:softHyphen/>
        <w:t>размерным целям типа отдельный танк, автомашина и т.д. То есть для успешно</w:t>
      </w:r>
      <w:r w:rsidRPr="00640820">
        <w:rPr>
          <w:rFonts w:ascii="Times New Roman" w:hAnsi="Times New Roman"/>
          <w:color w:val="000000" w:themeColor="text1"/>
          <w:sz w:val="16"/>
          <w:szCs w:val="16"/>
        </w:rPr>
        <w:softHyphen/>
        <w:t>го применения Ил-2 с пушками ШФК-37 летчик-штурмовик должен был иметь отличную стрелковую и летную подго</w:t>
      </w:r>
      <w:r w:rsidRPr="00640820">
        <w:rPr>
          <w:rFonts w:ascii="Times New Roman" w:hAnsi="Times New Roman"/>
          <w:color w:val="000000" w:themeColor="text1"/>
          <w:sz w:val="16"/>
          <w:szCs w:val="16"/>
        </w:rPr>
        <w:softHyphen/>
        <w:t>товку.</w:t>
      </w:r>
    </w:p>
    <w:p w14:paraId="4DA80F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Дело в том, что прицельная стрельба из пушек ШФК-37 на самолете Ил-2 была в значительной степени затрудне</w:t>
      </w:r>
      <w:r w:rsidRPr="00640820">
        <w:rPr>
          <w:rFonts w:ascii="Times New Roman" w:hAnsi="Times New Roman"/>
          <w:color w:val="000000" w:themeColor="text1"/>
          <w:sz w:val="16"/>
          <w:szCs w:val="16"/>
        </w:rPr>
        <w:softHyphen/>
        <w:t>на вследствие сильной отдачи пушек при стрельбе и несинхронности в их работе. Последнее, из-за большого раз</w:t>
      </w:r>
      <w:r w:rsidRPr="00640820">
        <w:rPr>
          <w:rFonts w:ascii="Times New Roman" w:hAnsi="Times New Roman"/>
          <w:color w:val="000000" w:themeColor="text1"/>
          <w:sz w:val="16"/>
          <w:szCs w:val="16"/>
        </w:rPr>
        <w:softHyphen/>
        <w:t>носа пушек относительно центра масс самолета, а также вследствие недостаточной жесткости крепления пушечной установки, приводило к тому, что штур</w:t>
      </w:r>
      <w:r w:rsidRPr="00640820">
        <w:rPr>
          <w:rFonts w:ascii="Times New Roman" w:hAnsi="Times New Roman"/>
          <w:color w:val="000000" w:themeColor="text1"/>
          <w:sz w:val="16"/>
          <w:szCs w:val="16"/>
        </w:rPr>
        <w:softHyphen/>
        <w:t xml:space="preserve">мовик при стрельбе испытывал сильные толчки, "клевки" и сбивался с линии прицеливания, а это в свою очередь, с </w:t>
      </w:r>
      <w:r w:rsidRPr="00640820">
        <w:rPr>
          <w:rFonts w:ascii="Times New Roman" w:hAnsi="Times New Roman"/>
          <w:color w:val="000000" w:themeColor="text1"/>
          <w:sz w:val="16"/>
          <w:szCs w:val="16"/>
        </w:rPr>
        <w:lastRenderedPageBreak/>
        <w:t>учетом недостаточной продольной ус</w:t>
      </w:r>
      <w:r w:rsidRPr="00640820">
        <w:rPr>
          <w:rFonts w:ascii="Times New Roman" w:hAnsi="Times New Roman"/>
          <w:color w:val="000000" w:themeColor="text1"/>
          <w:sz w:val="16"/>
          <w:szCs w:val="16"/>
        </w:rPr>
        <w:softHyphen/>
        <w:t>тойчивости "Ила", приводило к значи</w:t>
      </w:r>
      <w:r w:rsidRPr="00640820">
        <w:rPr>
          <w:rFonts w:ascii="Times New Roman" w:hAnsi="Times New Roman"/>
          <w:color w:val="000000" w:themeColor="text1"/>
          <w:sz w:val="16"/>
          <w:szCs w:val="16"/>
        </w:rPr>
        <w:softHyphen/>
        <w:t>тельному рассеиванию снарядов и рез</w:t>
      </w:r>
      <w:r w:rsidRPr="00640820">
        <w:rPr>
          <w:rFonts w:ascii="Times New Roman" w:hAnsi="Times New Roman"/>
          <w:color w:val="000000" w:themeColor="text1"/>
          <w:sz w:val="16"/>
          <w:szCs w:val="16"/>
        </w:rPr>
        <w:softHyphen/>
        <w:t>кому снижению (примерно в 4 раза) точ</w:t>
      </w:r>
      <w:r w:rsidRPr="00640820">
        <w:rPr>
          <w:rFonts w:ascii="Times New Roman" w:hAnsi="Times New Roman"/>
          <w:color w:val="000000" w:themeColor="text1"/>
          <w:sz w:val="16"/>
          <w:szCs w:val="16"/>
        </w:rPr>
        <w:softHyphen/>
        <w:t>ности стрельбы.</w:t>
      </w:r>
    </w:p>
    <w:p w14:paraId="435F0B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Стрельба же из одной пушки была совершенно невозможной. Штурмовик сразу же разворачивался в сторону стреляющей пушки так, что ввести по</w:t>
      </w:r>
      <w:r w:rsidRPr="00640820">
        <w:rPr>
          <w:rFonts w:ascii="Times New Roman" w:hAnsi="Times New Roman"/>
          <w:color w:val="000000" w:themeColor="text1"/>
          <w:sz w:val="16"/>
          <w:szCs w:val="16"/>
        </w:rPr>
        <w:softHyphen/>
        <w:t>правку в прицеливание не представля</w:t>
      </w:r>
      <w:r w:rsidRPr="00640820">
        <w:rPr>
          <w:rFonts w:ascii="Times New Roman" w:hAnsi="Times New Roman"/>
          <w:color w:val="000000" w:themeColor="text1"/>
          <w:sz w:val="16"/>
          <w:szCs w:val="16"/>
        </w:rPr>
        <w:softHyphen/>
        <w:t>лось возможным. Попадание в цель в этом случае могло быть только первым снарядом.</w:t>
      </w:r>
    </w:p>
    <w:p w14:paraId="30361B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Тем не менее, общий вывод по испы</w:t>
      </w:r>
      <w:r w:rsidRPr="00640820">
        <w:rPr>
          <w:rFonts w:ascii="Times New Roman" w:hAnsi="Times New Roman"/>
          <w:color w:val="000000" w:themeColor="text1"/>
          <w:sz w:val="16"/>
          <w:szCs w:val="16"/>
        </w:rPr>
        <w:softHyphen/>
        <w:t>таниям состоял в том, что штурмовик Ил-2 с пушками ШФК-37 является эффек</w:t>
      </w:r>
      <w:r w:rsidRPr="00640820">
        <w:rPr>
          <w:rFonts w:ascii="Times New Roman" w:hAnsi="Times New Roman"/>
          <w:color w:val="000000" w:themeColor="text1"/>
          <w:sz w:val="16"/>
          <w:szCs w:val="16"/>
        </w:rPr>
        <w:softHyphen/>
        <w:t>тивным средством борьбы с немецки</w:t>
      </w:r>
      <w:r w:rsidRPr="00640820">
        <w:rPr>
          <w:rFonts w:ascii="Times New Roman" w:hAnsi="Times New Roman"/>
          <w:color w:val="000000" w:themeColor="text1"/>
          <w:sz w:val="16"/>
          <w:szCs w:val="16"/>
        </w:rPr>
        <w:softHyphen/>
        <w:t>ми легкими и средними танками. Реко</w:t>
      </w:r>
      <w:r w:rsidRPr="00640820">
        <w:rPr>
          <w:rFonts w:ascii="Times New Roman" w:hAnsi="Times New Roman"/>
          <w:color w:val="000000" w:themeColor="text1"/>
          <w:sz w:val="16"/>
          <w:szCs w:val="16"/>
        </w:rPr>
        <w:softHyphen/>
        <w:t>мендовалось построить небольшую се</w:t>
      </w:r>
      <w:r w:rsidRPr="00640820">
        <w:rPr>
          <w:rFonts w:ascii="Times New Roman" w:hAnsi="Times New Roman"/>
          <w:color w:val="000000" w:themeColor="text1"/>
          <w:sz w:val="16"/>
          <w:szCs w:val="16"/>
        </w:rPr>
        <w:softHyphen/>
        <w:t>рию таких самолетов для проведения войсковых испытаний и сформировать в полках специальные группы летчиков-штурмовиков, обученных прицельной стрельбе из крупнокалиберных пушек с Ил-2 по наземным целям и натрениро</w:t>
      </w:r>
      <w:r w:rsidRPr="00640820">
        <w:rPr>
          <w:rFonts w:ascii="Times New Roman" w:hAnsi="Times New Roman"/>
          <w:color w:val="000000" w:themeColor="text1"/>
          <w:sz w:val="16"/>
          <w:szCs w:val="16"/>
        </w:rPr>
        <w:softHyphen/>
        <w:t>ванных для борьбы с немецкими танками (6467).</w:t>
      </w:r>
    </w:p>
    <w:p w14:paraId="26B6AF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97AC6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сентября 1941 г. закончились испытания пушек Ш-37 на Ил-2 на Научно-исследовательском полигоне авиационного вооружения (НИПАВ) ВВС КА, которые проходили с 1 сентября 1941. Стрельба из этих пушек производила сильное впечатление мощностью огня и точностью попадания. Хотя летные данные такого самолета заметно снизились по сравнению с обычными Ил-2, а техника пилотирования усложнилась, результаты проведенных осенью 1941 г. госиспытаний Ил-2 с Ш-37 были признаны, в целом, удовлетворительными. 22 сентября С.В.Ильюшин обратился в правительство с предложением вооружить два штурмовых авиаполка Ил-2 с Ш-37 (9528).</w:t>
      </w:r>
    </w:p>
    <w:p w14:paraId="061012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1AFB20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сентября 1941 г. на НИП АВ ВВС закончились полигонные испытания пушки ШФК-37 на штурмовике Ил-2, которые проводились с 1 сентября. Пушка от</w:t>
      </w:r>
      <w:r w:rsidRPr="00640820">
        <w:rPr>
          <w:rFonts w:ascii="Times New Roman" w:hAnsi="Times New Roman"/>
          <w:color w:val="000000" w:themeColor="text1"/>
          <w:sz w:val="16"/>
          <w:szCs w:val="16"/>
        </w:rPr>
        <w:softHyphen/>
        <w:t>носительно удачно стреляла как на земле, так и в воздухе. Автоматика ее работала за счет отвода газов. Питание поначалу было магазинное. Пушка Ш-37 выпускалась в варианте ШФК-37 (Шпитального фюзеляжная и крыльевая) и в варианте мотор-пушка МПШ-37. Пушка ШФК-37, включая магазин для патронов как ее состав</w:t>
      </w:r>
      <w:r w:rsidRPr="00640820">
        <w:rPr>
          <w:rFonts w:ascii="Times New Roman" w:hAnsi="Times New Roman"/>
          <w:color w:val="000000" w:themeColor="text1"/>
          <w:sz w:val="16"/>
          <w:szCs w:val="16"/>
        </w:rPr>
        <w:softHyphen/>
        <w:t>ную часть, в крыльевом варианте имела 387 деталей. Вес пушки с установкой на самолете Ил-2 составлял 302,5 кг (10695).</w:t>
      </w:r>
    </w:p>
    <w:p w14:paraId="3C4E5E6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89ADA1" w14:textId="77777777" w:rsidR="00154500" w:rsidRPr="00640820" w:rsidRDefault="00154500"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15 сентября 1941 закончили испытание стрельбой Ш-37 на Ил-2 зав. № 1861704, которое проходилос 1 сентября на земле и в воздухе (17500).</w:t>
      </w:r>
    </w:p>
    <w:p w14:paraId="2DD6C325" w14:textId="77777777" w:rsidR="00154500" w:rsidRPr="00640820" w:rsidRDefault="00154500"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Программа испытаний включала проверку воз</w:t>
      </w:r>
      <w:r w:rsidRPr="00640820">
        <w:rPr>
          <w:color w:val="000000" w:themeColor="text1"/>
          <w:sz w:val="16"/>
          <w:szCs w:val="16"/>
        </w:rPr>
        <w:softHyphen/>
        <w:t>можности применения 37-мм авиапушки Шпиталь- ного на установках в крыле самолета Ил-2. С этой целью планировалось «проверить прочность кре</w:t>
      </w:r>
      <w:r w:rsidRPr="00640820">
        <w:rPr>
          <w:color w:val="000000" w:themeColor="text1"/>
          <w:sz w:val="16"/>
          <w:szCs w:val="16"/>
        </w:rPr>
        <w:softHyphen/>
        <w:t>пления пушки и определить влияние отдачи на матчасть самолета», оценить «рассеивание и воз</w:t>
      </w:r>
      <w:r w:rsidRPr="00640820">
        <w:rPr>
          <w:color w:val="000000" w:themeColor="text1"/>
          <w:sz w:val="16"/>
          <w:szCs w:val="16"/>
        </w:rPr>
        <w:softHyphen/>
        <w:t>можность ведения прицельной стрельбы как при одной, так и при двух работающих пушках», а также надежность работы автоматики пушек при различ</w:t>
      </w:r>
      <w:r w:rsidRPr="00640820">
        <w:rPr>
          <w:color w:val="000000" w:themeColor="text1"/>
          <w:sz w:val="16"/>
          <w:szCs w:val="16"/>
        </w:rPr>
        <w:softHyphen/>
        <w:t>ных режимах полета. Кроме этого, предполагалось выявить эксплуатационные характеристики пушек и удобство обслуживания (постановка, снятие, за</w:t>
      </w:r>
      <w:r w:rsidRPr="00640820">
        <w:rPr>
          <w:color w:val="000000" w:themeColor="text1"/>
          <w:sz w:val="16"/>
          <w:szCs w:val="16"/>
        </w:rPr>
        <w:softHyphen/>
        <w:t>рядка, разрядка, чистка, перезарядка, устранение задержек и пристрелка).</w:t>
      </w:r>
    </w:p>
    <w:p w14:paraId="23092B20" w14:textId="77777777" w:rsidR="00154500" w:rsidRPr="00640820" w:rsidRDefault="00154500"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Снятие летных характеристик предполагалось выполнить в НИИ ВВС после завершения програм</w:t>
      </w:r>
      <w:r w:rsidRPr="00640820">
        <w:rPr>
          <w:color w:val="000000" w:themeColor="text1"/>
          <w:sz w:val="16"/>
          <w:szCs w:val="16"/>
        </w:rPr>
        <w:softHyphen/>
        <w:t>мы полигонных испытаний пушек.</w:t>
      </w:r>
    </w:p>
    <w:p w14:paraId="31C82572" w14:textId="77777777" w:rsidR="00154500" w:rsidRPr="00640820" w:rsidRDefault="00154500"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Помимо специалистов НИП АВ ВС, в комиссию по испытаниям вошли: от ГУ ВВС — начальник опытного отдела 12-го Управления ГУ ВВС военин- женер 1-го ранга Матаев, от ОКБ-15 — инженеры Разгильдеев и Бортновский, от завода № 39 — ин</w:t>
      </w:r>
      <w:r w:rsidRPr="00640820">
        <w:rPr>
          <w:color w:val="000000" w:themeColor="text1"/>
          <w:sz w:val="16"/>
          <w:szCs w:val="16"/>
        </w:rPr>
        <w:softHyphen/>
        <w:t>женеры Буксанов и Певзнер. Ответственным испол</w:t>
      </w:r>
      <w:r w:rsidRPr="00640820">
        <w:rPr>
          <w:color w:val="000000" w:themeColor="text1"/>
          <w:sz w:val="16"/>
          <w:szCs w:val="16"/>
        </w:rPr>
        <w:softHyphen/>
        <w:t>нителем по испытаниям был назначен военинженер 2-го ранга Филиппов. Самолет облетали: младший политрук Лябихов, помощник 2-го научного отдела капитан Слуцков и командир 1-й эскадрильи майор Звонарев.</w:t>
      </w:r>
    </w:p>
    <w:p w14:paraId="66515071" w14:textId="77777777" w:rsidR="00154500" w:rsidRPr="00640820" w:rsidRDefault="00154500"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Документация и запчасти на пушку не предъяв</w:t>
      </w:r>
      <w:r w:rsidRPr="00640820">
        <w:rPr>
          <w:color w:val="000000" w:themeColor="text1"/>
          <w:sz w:val="16"/>
          <w:szCs w:val="16"/>
        </w:rPr>
        <w:softHyphen/>
        <w:t>лялись. Необходимые для замены запчасти к пуш</w:t>
      </w:r>
      <w:r w:rsidRPr="00640820">
        <w:rPr>
          <w:color w:val="000000" w:themeColor="text1"/>
          <w:sz w:val="16"/>
          <w:szCs w:val="16"/>
        </w:rPr>
        <w:softHyphen/>
        <w:t>кам привозились ОКБ-15 и подгонялись непосред</w:t>
      </w:r>
      <w:r w:rsidRPr="00640820">
        <w:rPr>
          <w:color w:val="000000" w:themeColor="text1"/>
          <w:sz w:val="16"/>
          <w:szCs w:val="16"/>
        </w:rPr>
        <w:softHyphen/>
        <w:t>ственно в ходе испытаний. При этом «пушка № 4 увозилась в ОКБ-15 для ремонта и подгонки дета</w:t>
      </w:r>
      <w:r w:rsidRPr="00640820">
        <w:rPr>
          <w:color w:val="000000" w:themeColor="text1"/>
          <w:sz w:val="16"/>
          <w:szCs w:val="16"/>
        </w:rPr>
        <w:softHyphen/>
        <w:t>лей». Стрельба велась лафетопробными и боевыми снарядами. Пушки пристреливались на дистанцию 400 м сходящимся веером. Всего было выполне</w:t>
      </w:r>
      <w:r w:rsidRPr="00640820">
        <w:rPr>
          <w:color w:val="000000" w:themeColor="text1"/>
          <w:sz w:val="16"/>
          <w:szCs w:val="16"/>
        </w:rPr>
        <w:softHyphen/>
        <w:t>но 1189 выстрелов из левой пушки (№ 3) и 1057 выстрелов — из правой пушки (№ 4), в том числе на земле 320 и 239 выстрелов и в воздухе — 869 и 726 выстрелов соответственно. В боекомплект пушки входили бронебойно-трассирующие (БТ-37) и осколочно-зажигательно-трассирующие (ОЗТ-37) снаряды.</w:t>
      </w:r>
    </w:p>
    <w:p w14:paraId="5887EA92" w14:textId="77777777" w:rsidR="00154500" w:rsidRPr="00640820" w:rsidRDefault="00154500"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Помимо пушек Ш-37, в состав вооружения са</w:t>
      </w:r>
      <w:r w:rsidRPr="00640820">
        <w:rPr>
          <w:color w:val="000000" w:themeColor="text1"/>
          <w:sz w:val="16"/>
          <w:szCs w:val="16"/>
        </w:rPr>
        <w:softHyphen/>
        <w:t>молета Ил-2 зав. № 1861704 входили два пулемета ШКАС (1500 патронов), 8 ракетных орудий РО-82, до 200 кг бомб (только в перегрузку). Бомбы могли подвешиваться на четырех внутренних бомбодер</w:t>
      </w:r>
      <w:r w:rsidRPr="00640820">
        <w:rPr>
          <w:color w:val="000000" w:themeColor="text1"/>
          <w:sz w:val="16"/>
          <w:szCs w:val="16"/>
        </w:rPr>
        <w:softHyphen/>
        <w:t>жателях типа Дер-19 и двух наружных типа Дер-31.</w:t>
      </w:r>
    </w:p>
    <w:p w14:paraId="713ED5FA" w14:textId="77777777" w:rsidR="00154500" w:rsidRPr="00640820" w:rsidRDefault="00154500"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По сравнению с моторной пушкой МПШ-37 «на установке самолета ЛаГГ-3, принятой к изготовле</w:t>
      </w:r>
      <w:r w:rsidRPr="00640820">
        <w:rPr>
          <w:color w:val="000000" w:themeColor="text1"/>
          <w:sz w:val="16"/>
          <w:szCs w:val="16"/>
        </w:rPr>
        <w:softHyphen/>
        <w:t>нию в серии», крыльевой вариант пушки Ш-37 имел более короткий ствол, пониженные начальную ско</w:t>
      </w:r>
      <w:r w:rsidRPr="00640820">
        <w:rPr>
          <w:color w:val="000000" w:themeColor="text1"/>
          <w:sz w:val="16"/>
          <w:szCs w:val="16"/>
        </w:rPr>
        <w:softHyphen/>
        <w:t>рость снаряда и темп стрельбы, а также увеличен</w:t>
      </w:r>
      <w:r w:rsidRPr="00640820">
        <w:rPr>
          <w:color w:val="000000" w:themeColor="text1"/>
          <w:sz w:val="16"/>
          <w:szCs w:val="16"/>
        </w:rPr>
        <w:softHyphen/>
        <w:t>ный на 54,5 кг вес.</w:t>
      </w:r>
    </w:p>
    <w:p w14:paraId="12A3CA17" w14:textId="77777777" w:rsidR="00154500" w:rsidRPr="00640820" w:rsidRDefault="00154500"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Вес пушки Ш-37 в крыльевом варианте вместе с магазином (как ее составной части), противоот</w:t>
      </w:r>
      <w:r w:rsidRPr="00640820">
        <w:rPr>
          <w:color w:val="000000" w:themeColor="text1"/>
          <w:sz w:val="16"/>
          <w:szCs w:val="16"/>
        </w:rPr>
        <w:softHyphen/>
        <w:t>катным устройством, механизмом пневмопереза- рядки и электроспуском составлял 252,5 кг. Обтека</w:t>
      </w:r>
      <w:r w:rsidRPr="00640820">
        <w:rPr>
          <w:color w:val="000000" w:themeColor="text1"/>
          <w:sz w:val="16"/>
          <w:szCs w:val="16"/>
        </w:rPr>
        <w:softHyphen/>
        <w:t>тель пушки и элементы крепления установки веси</w:t>
      </w:r>
      <w:r w:rsidRPr="00640820">
        <w:rPr>
          <w:color w:val="000000" w:themeColor="text1"/>
          <w:sz w:val="16"/>
          <w:szCs w:val="16"/>
        </w:rPr>
        <w:softHyphen/>
        <w:t>ли еще 50 кг. Таким образом, общий вес автомата достигал 302,5 кг.</w:t>
      </w:r>
    </w:p>
    <w:p w14:paraId="308C87FB" w14:textId="77777777" w:rsidR="00154500" w:rsidRPr="00640820" w:rsidRDefault="00154500"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Темп стрельбы колебался от 144—150 до 183— 192 выстр./мин. Начальная скорость снарядов из</w:t>
      </w:r>
      <w:r w:rsidRPr="00640820">
        <w:rPr>
          <w:color w:val="000000" w:themeColor="text1"/>
          <w:sz w:val="16"/>
          <w:szCs w:val="16"/>
        </w:rPr>
        <w:softHyphen/>
        <w:t>менялась от 864,5—881 м/с в начале стрельб (на- стрел пушек около 290—320 выстр./мин) до 871,1 — 881,7 м/с после 1000 выстрелов.</w:t>
      </w:r>
    </w:p>
    <w:p w14:paraId="1A4987CB" w14:textId="77777777" w:rsidR="00154500" w:rsidRPr="00640820" w:rsidRDefault="00154500"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Из-за установки на пушке большого магази</w:t>
      </w:r>
      <w:r w:rsidRPr="00640820">
        <w:rPr>
          <w:color w:val="000000" w:themeColor="text1"/>
          <w:sz w:val="16"/>
          <w:szCs w:val="16"/>
        </w:rPr>
        <w:softHyphen/>
        <w:t>на (на 40 снарядов) ее пришлось сильно опустить вниз относительно строительной плоскости крыла (оси самолета). Это не только усложнило конструк</w:t>
      </w:r>
      <w:r w:rsidRPr="00640820">
        <w:rPr>
          <w:color w:val="000000" w:themeColor="text1"/>
          <w:sz w:val="16"/>
          <w:szCs w:val="16"/>
        </w:rPr>
        <w:softHyphen/>
        <w:t>цию крепления пушки к крылу (пушка крепилась на амортизаторе и при стрельбе перемещалась вместе с магазином), но и потребовало сделать для нее громоздкие, с большим поперечным сечением, обтекатели.</w:t>
      </w:r>
    </w:p>
    <w:p w14:paraId="11EB47E6" w14:textId="77777777" w:rsidR="00154500" w:rsidRPr="00640820" w:rsidRDefault="00154500"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Пушка крепилась к лафету на двух узлах кре</w:t>
      </w:r>
      <w:r w:rsidRPr="00640820">
        <w:rPr>
          <w:color w:val="000000" w:themeColor="text1"/>
          <w:sz w:val="16"/>
          <w:szCs w:val="16"/>
        </w:rPr>
        <w:softHyphen/>
        <w:t>пления — переднем и заднем. При этом заднее крепление являлось основным и при стрельбе воспринимало силу отдачи через противооткат</w:t>
      </w:r>
      <w:r w:rsidRPr="00640820">
        <w:rPr>
          <w:color w:val="000000" w:themeColor="text1"/>
          <w:sz w:val="16"/>
          <w:szCs w:val="16"/>
        </w:rPr>
        <w:softHyphen/>
        <w:t>ное устройство лафета. Переднее крепление было поддерживающим. Магазин пушки, жестко закре</w:t>
      </w:r>
      <w:r w:rsidRPr="00640820">
        <w:rPr>
          <w:color w:val="000000" w:themeColor="text1"/>
          <w:sz w:val="16"/>
          <w:szCs w:val="16"/>
        </w:rPr>
        <w:softHyphen/>
        <w:t>пленный на пушке, при помощи четырехзвенника с карданным соединением крепился к заднему лон</w:t>
      </w:r>
      <w:r w:rsidRPr="00640820">
        <w:rPr>
          <w:color w:val="000000" w:themeColor="text1"/>
          <w:sz w:val="16"/>
          <w:szCs w:val="16"/>
        </w:rPr>
        <w:softHyphen/>
        <w:t>жерону крыла самолета. Весь механизм крепления допускал откат пушки вместе с ящиком питания до 120 мм.</w:t>
      </w:r>
    </w:p>
    <w:p w14:paraId="0A31EB2B" w14:textId="77777777" w:rsidR="00154500" w:rsidRPr="00640820" w:rsidRDefault="00154500"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После производства 1189 выстрелов из левой пушки (№ 3) и 1057 выстрелов из правой пушки (№ 4) был зафиксирован откат 70—90 мм. Ника</w:t>
      </w:r>
      <w:r w:rsidRPr="00640820">
        <w:rPr>
          <w:color w:val="000000" w:themeColor="text1"/>
          <w:sz w:val="16"/>
          <w:szCs w:val="16"/>
        </w:rPr>
        <w:softHyphen/>
        <w:t>ких повреждений в креплениях и крылах самолета обнаружено не было, «кроме отрыва угольников крепления магазина пушек (были усилены в ходе испытаний)».</w:t>
      </w:r>
    </w:p>
    <w:p w14:paraId="38179555" w14:textId="77777777" w:rsidR="00154500" w:rsidRPr="00640820" w:rsidRDefault="00154500"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Стрельба в воздухе велась по щиту с планиро</w:t>
      </w:r>
      <w:r w:rsidRPr="00640820">
        <w:rPr>
          <w:color w:val="000000" w:themeColor="text1"/>
          <w:sz w:val="16"/>
          <w:szCs w:val="16"/>
        </w:rPr>
        <w:softHyphen/>
        <w:t>вания под углами 10—15° с высоты 25, 50 и 100 м, а под углом пикирования 25—30° — с дальности 400, 600 и 800 м.</w:t>
      </w:r>
    </w:p>
    <w:p w14:paraId="7BC8A701" w14:textId="77777777" w:rsidR="00154500" w:rsidRPr="00640820" w:rsidRDefault="00154500"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Летчики облета отмечали, что прицельная стрельба в воздухе из пушек Ш-37 возможна как одновременно из двух пушек, так и из одной пуш</w:t>
      </w:r>
      <w:r w:rsidRPr="00640820">
        <w:rPr>
          <w:color w:val="000000" w:themeColor="text1"/>
          <w:sz w:val="16"/>
          <w:szCs w:val="16"/>
        </w:rPr>
        <w:softHyphen/>
        <w:t>ки. При стрельбе из одной пушки самолет сбивался с точки прицеливания. Жесткость крепления пушек обеспечивает вполне удовлетворительное рассеи</w:t>
      </w:r>
      <w:r w:rsidRPr="00640820">
        <w:rPr>
          <w:color w:val="000000" w:themeColor="text1"/>
          <w:sz w:val="16"/>
          <w:szCs w:val="16"/>
        </w:rPr>
        <w:softHyphen/>
        <w:t>вание при стрельбе короткими очередями по 3—4 выстрела в очереди. Увеличение длины очереди, «из-за неравномерности и несинхронности темпа стрельбы, резко сказывается на горизонтальном рассеивании».</w:t>
      </w:r>
    </w:p>
    <w:p w14:paraId="5BBBDC5B" w14:textId="77777777" w:rsidR="00154500" w:rsidRPr="00640820" w:rsidRDefault="00154500"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Наиболее удобной и эффективной считалась стрельба под углом пикирования 30° с дистанции 600—800 м. При стрельбе в этих условиях летчики имели «вполне достаточное время для наводки на цель», что позволяло летчикам средней квалифи</w:t>
      </w:r>
      <w:r w:rsidRPr="00640820">
        <w:rPr>
          <w:color w:val="000000" w:themeColor="text1"/>
          <w:sz w:val="16"/>
          <w:szCs w:val="16"/>
        </w:rPr>
        <w:softHyphen/>
        <w:t>кации «дать прицельную очередь 5—7 выстрелов».</w:t>
      </w:r>
    </w:p>
    <w:p w14:paraId="510166CD" w14:textId="77777777" w:rsidR="00154500" w:rsidRPr="00640820" w:rsidRDefault="00154500"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Летчики облета особо отмечали, что летный состав должен быть хорошо натренирован в веде</w:t>
      </w:r>
      <w:r w:rsidRPr="00640820">
        <w:rPr>
          <w:color w:val="000000" w:themeColor="text1"/>
          <w:sz w:val="16"/>
          <w:szCs w:val="16"/>
        </w:rPr>
        <w:softHyphen/>
        <w:t>нии прицельного огня короткими очередями (3—4 снаряда в очереди) по малоразмерным целям ти</w:t>
      </w:r>
      <w:r w:rsidRPr="00640820">
        <w:rPr>
          <w:color w:val="000000" w:themeColor="text1"/>
          <w:sz w:val="16"/>
          <w:szCs w:val="16"/>
        </w:rPr>
        <w:softHyphen/>
        <w:t>па отдельный танк, автомашина и т.д. То есть для успешного применения Ил-2 с пушками Ш-37 лет</w:t>
      </w:r>
      <w:r w:rsidRPr="00640820">
        <w:rPr>
          <w:color w:val="000000" w:themeColor="text1"/>
          <w:sz w:val="16"/>
          <w:szCs w:val="16"/>
        </w:rPr>
        <w:softHyphen/>
        <w:t>чик-штурмовик должен был иметь отличную стрел</w:t>
      </w:r>
      <w:r w:rsidRPr="00640820">
        <w:rPr>
          <w:color w:val="000000" w:themeColor="text1"/>
          <w:sz w:val="16"/>
          <w:szCs w:val="16"/>
        </w:rPr>
        <w:softHyphen/>
        <w:t>ковую и летную подготовку.</w:t>
      </w:r>
    </w:p>
    <w:p w14:paraId="3DD194D9" w14:textId="77777777" w:rsidR="00154500" w:rsidRPr="00640820" w:rsidRDefault="00154500"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Эффективность действия снарядов калибра 37 мм по танкам при стрельбе с самолета Ил-2 при испытаниях выявить не удалось ввиду ограни</w:t>
      </w:r>
      <w:r w:rsidRPr="00640820">
        <w:rPr>
          <w:color w:val="000000" w:themeColor="text1"/>
          <w:sz w:val="16"/>
          <w:szCs w:val="16"/>
        </w:rPr>
        <w:softHyphen/>
        <w:t>ченного количества бронебойных снарядов БТ-37, «которых всего было 20 штук на пушку» (вместо 200 по плану). Стреляли по двум танкам. Попадания распределялись вблизи танков с небольшим недо</w:t>
      </w:r>
      <w:r w:rsidRPr="00640820">
        <w:rPr>
          <w:color w:val="000000" w:themeColor="text1"/>
          <w:sz w:val="16"/>
          <w:szCs w:val="16"/>
        </w:rPr>
        <w:softHyphen/>
        <w:t>летом. Одно попадание в гусеничное колесо было нехарактерным, так как снаряд дал рикошет.</w:t>
      </w:r>
    </w:p>
    <w:p w14:paraId="2C482286" w14:textId="77777777" w:rsidR="00154500" w:rsidRPr="00640820" w:rsidRDefault="00154500"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В общей сложности было выполнено 27 поле</w:t>
      </w:r>
      <w:r w:rsidRPr="00640820">
        <w:rPr>
          <w:color w:val="000000" w:themeColor="text1"/>
          <w:sz w:val="16"/>
          <w:szCs w:val="16"/>
        </w:rPr>
        <w:softHyphen/>
        <w:t>тов со стрельбой из пушек в воздухе, из них только в 14 полетах пушка № 3 отстреляла полный бое</w:t>
      </w:r>
      <w:r w:rsidRPr="00640820">
        <w:rPr>
          <w:color w:val="000000" w:themeColor="text1"/>
          <w:sz w:val="16"/>
          <w:szCs w:val="16"/>
        </w:rPr>
        <w:softHyphen/>
        <w:t>комплект, а пушка № 4 — в 12 полетах. В остальных случаях были задержки или поломки.</w:t>
      </w:r>
    </w:p>
    <w:p w14:paraId="6661326A" w14:textId="77777777" w:rsidR="00154500" w:rsidRPr="00640820" w:rsidRDefault="00154500"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Всего было 30 задержек, в том числе 8 задержек по вине автоматики пушки, 12 — из-за поломок де</w:t>
      </w:r>
      <w:r w:rsidRPr="00640820">
        <w:rPr>
          <w:color w:val="000000" w:themeColor="text1"/>
          <w:sz w:val="16"/>
          <w:szCs w:val="16"/>
        </w:rPr>
        <w:softHyphen/>
        <w:t>талей пушек, 4 — по вине ящика питания, 6 — по вине системы управления огнем, 4 задержки про</w:t>
      </w:r>
      <w:r w:rsidRPr="00640820">
        <w:rPr>
          <w:color w:val="000000" w:themeColor="text1"/>
          <w:sz w:val="16"/>
          <w:szCs w:val="16"/>
        </w:rPr>
        <w:softHyphen/>
        <w:t>изошли по причинам, которые установить не уда</w:t>
      </w:r>
      <w:r w:rsidRPr="00640820">
        <w:rPr>
          <w:color w:val="000000" w:themeColor="text1"/>
          <w:sz w:val="16"/>
          <w:szCs w:val="16"/>
        </w:rPr>
        <w:softHyphen/>
        <w:t>лось. В ходе испытаний заменили 7 деталей.</w:t>
      </w:r>
    </w:p>
    <w:p w14:paraId="39D7EE24" w14:textId="77777777" w:rsidR="00154500" w:rsidRPr="00640820" w:rsidRDefault="00154500"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Отмечалось, что «применение 37-мм авиацион</w:t>
      </w:r>
      <w:r w:rsidRPr="00640820">
        <w:rPr>
          <w:color w:val="000000" w:themeColor="text1"/>
          <w:sz w:val="16"/>
          <w:szCs w:val="16"/>
        </w:rPr>
        <w:softHyphen/>
        <w:t>ных пушек на Ил-2 возможно. Производить стрель</w:t>
      </w:r>
      <w:r w:rsidRPr="00640820">
        <w:rPr>
          <w:color w:val="000000" w:themeColor="text1"/>
          <w:sz w:val="16"/>
          <w:szCs w:val="16"/>
        </w:rPr>
        <w:softHyphen/>
        <w:t>бу очередями 3—4 выстрелов. Стрельба из одной пушки возможна с незначительным отклонением линии прицеливания от точки прицеливания».</w:t>
      </w:r>
    </w:p>
    <w:p w14:paraId="2BD7A88E" w14:textId="77777777" w:rsidR="00154500" w:rsidRPr="00640820" w:rsidRDefault="00154500"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В заключении отчета по результатам испытаний указывалось: «1. Ил-2 с Ш-37 полигонные испыта</w:t>
      </w:r>
      <w:r w:rsidRPr="00640820">
        <w:rPr>
          <w:color w:val="000000" w:themeColor="text1"/>
          <w:sz w:val="16"/>
          <w:szCs w:val="16"/>
        </w:rPr>
        <w:softHyphen/>
        <w:t>ния выдержал. 2. Все дефекты, выявленные в ходе испытаний, подлежат обязательному устранению ОКБ-15 и заводом № 39. 3. Предъявленный самолет Ил-2 с 37-мм пушками считать целесообразным ис</w:t>
      </w:r>
      <w:r w:rsidRPr="00640820">
        <w:rPr>
          <w:color w:val="000000" w:themeColor="text1"/>
          <w:sz w:val="16"/>
          <w:szCs w:val="16"/>
        </w:rPr>
        <w:softHyphen/>
        <w:t>пользовать для отработки вопросов боевого при</w:t>
      </w:r>
      <w:r w:rsidRPr="00640820">
        <w:rPr>
          <w:color w:val="000000" w:themeColor="text1"/>
          <w:sz w:val="16"/>
          <w:szCs w:val="16"/>
        </w:rPr>
        <w:softHyphen/>
        <w:t>менения и дальнейшего выявления недостатков в авиапушках и установках с целью устранения их в изготовлении серии, установления комплек</w:t>
      </w:r>
      <w:r w:rsidRPr="00640820">
        <w:rPr>
          <w:color w:val="000000" w:themeColor="text1"/>
          <w:sz w:val="16"/>
          <w:szCs w:val="16"/>
        </w:rPr>
        <w:softHyphen/>
        <w:t>та запасных частей и режима работы автоматики пушек».</w:t>
      </w:r>
    </w:p>
    <w:p w14:paraId="0B6A2263" w14:textId="77777777" w:rsidR="00154500" w:rsidRPr="00640820" w:rsidRDefault="00154500"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Отчет подписали начальник 1-го опытного от</w:t>
      </w:r>
      <w:r w:rsidRPr="00640820">
        <w:rPr>
          <w:color w:val="000000" w:themeColor="text1"/>
          <w:sz w:val="16"/>
          <w:szCs w:val="16"/>
        </w:rPr>
        <w:softHyphen/>
        <w:t>дела НИП АВ военинженер 1-го ранга Лобачев, на</w:t>
      </w:r>
      <w:r w:rsidRPr="00640820">
        <w:rPr>
          <w:color w:val="000000" w:themeColor="text1"/>
          <w:sz w:val="16"/>
          <w:szCs w:val="16"/>
        </w:rPr>
        <w:softHyphen/>
        <w:t>чальник 2-го отделения 1-го опытного отдела по</w:t>
      </w:r>
      <w:r w:rsidRPr="00640820">
        <w:rPr>
          <w:color w:val="000000" w:themeColor="text1"/>
          <w:sz w:val="16"/>
          <w:szCs w:val="16"/>
        </w:rPr>
        <w:softHyphen/>
        <w:t>лигона военинженер 2-го ранга Мохов, ведущий инженер по испытаниям военинженер 2-го ранга Филиппов, а также представители от ОКБ-15 и заво</w:t>
      </w:r>
      <w:r w:rsidRPr="00640820">
        <w:rPr>
          <w:color w:val="000000" w:themeColor="text1"/>
          <w:sz w:val="16"/>
          <w:szCs w:val="16"/>
        </w:rPr>
        <w:softHyphen/>
        <w:t>да № 39. Начальник НИП АВ ВВС военинженер 1-го ранга Кирьяков утвердил отчет 20 сентября 1941 г. (17500).</w:t>
      </w:r>
    </w:p>
    <w:p w14:paraId="01B5D86E" w14:textId="77777777" w:rsidR="00154500" w:rsidRPr="00640820" w:rsidRDefault="00154500" w:rsidP="00640820">
      <w:pPr>
        <w:spacing w:after="0" w:line="240" w:lineRule="auto"/>
        <w:jc w:val="both"/>
        <w:rPr>
          <w:rFonts w:ascii="Times New Roman" w:eastAsia="Times New Roman" w:hAnsi="Times New Roman"/>
          <w:color w:val="000000" w:themeColor="text1"/>
          <w:sz w:val="16"/>
          <w:szCs w:val="16"/>
          <w:lang w:eastAsia="ru-RU"/>
        </w:rPr>
      </w:pPr>
    </w:p>
    <w:p w14:paraId="383CAAB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сентября 1941 За Нач. ГУ ВВС КА гмис Жаров и Военком ГУ ВВС КА Руденко писали писбмо № 210329с ЗАМЕСТИТЕЛЮ ПРЕДСЕДАТЕЛЯ С.Н.К. СССР -тов. ВОЗНЕСЕНСКОМУ.</w:t>
      </w:r>
    </w:p>
    <w:p w14:paraId="0A6EBFA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Согласно постановления Г.К.О. № 106сс от 11-го июля 1941 г., - ЦКБ-14 НКВ изготовило и подало для испы</w:t>
      </w:r>
      <w:r w:rsidRPr="00640820">
        <w:rPr>
          <w:rFonts w:ascii="Times New Roman" w:hAnsi="Times New Roman"/>
          <w:color w:val="000000" w:themeColor="text1"/>
          <w:sz w:val="16"/>
          <w:szCs w:val="16"/>
        </w:rPr>
        <w:softHyphen/>
        <w:t>таний 20 мм. пушки БЕРЕЗИНА:</w:t>
      </w:r>
    </w:p>
    <w:p w14:paraId="55BBFE0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ва завод № 18 НКАП для установки в крыльях самолета ИЛ-2, по одной пушке в каждое крыло, и</w:t>
      </w:r>
    </w:p>
    <w:p w14:paraId="280C420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на завод № 301 НКАП для установки пушки в мо</w:t>
      </w:r>
      <w:r w:rsidRPr="00640820">
        <w:rPr>
          <w:rFonts w:ascii="Times New Roman" w:hAnsi="Times New Roman"/>
          <w:color w:val="000000" w:themeColor="text1"/>
          <w:sz w:val="16"/>
          <w:szCs w:val="16"/>
        </w:rPr>
        <w:softHyphen/>
        <w:t>торе самолета ЛАГГ-3.</w:t>
      </w:r>
    </w:p>
    <w:p w14:paraId="794D11C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При испытаниях пушек на самолете ИЛ-2 в Воро</w:t>
      </w:r>
      <w:r w:rsidRPr="00640820">
        <w:rPr>
          <w:rFonts w:ascii="Times New Roman" w:hAnsi="Times New Roman"/>
          <w:color w:val="000000" w:themeColor="text1"/>
          <w:sz w:val="16"/>
          <w:szCs w:val="16"/>
        </w:rPr>
        <w:softHyphen/>
        <w:t>неже, получено большое количество задержек и поломок. Пушки, установленные на самолете ИЛ-2 заводские испыта</w:t>
      </w:r>
      <w:r w:rsidRPr="00640820">
        <w:rPr>
          <w:rFonts w:ascii="Times New Roman" w:hAnsi="Times New Roman"/>
          <w:color w:val="000000" w:themeColor="text1"/>
          <w:sz w:val="16"/>
          <w:szCs w:val="16"/>
        </w:rPr>
        <w:softHyphen/>
        <w:t>ния не выдержала.</w:t>
      </w:r>
    </w:p>
    <w:p w14:paraId="1CB0E5D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Пушка, установленная в моторе самолета ЛАГГ-3, полигонных испытаний также не выдержала, ввиду плохой работы автоматики /на 2574 выстрела получено 19 задержек по вине автоматики, что составляет 0,74 % к числу выст</w:t>
      </w:r>
      <w:r w:rsidRPr="00640820">
        <w:rPr>
          <w:rFonts w:ascii="Times New Roman" w:hAnsi="Times New Roman"/>
          <w:color w:val="000000" w:themeColor="text1"/>
          <w:sz w:val="16"/>
          <w:szCs w:val="16"/>
        </w:rPr>
        <w:softHyphen/>
        <w:t>релов/.</w:t>
      </w:r>
    </w:p>
    <w:p w14:paraId="496DAF5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подачи пушек для установки их на самолеты, ЦКБ-14 НКВ дважды проводило у себя заводские испытания и дважды эти пушки испытания также не выдержали.</w:t>
      </w:r>
    </w:p>
    <w:p w14:paraId="0FEC4E5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Сравнительные данные 20 мм. пушки Березина с 20 мм. пушкой "ШВАК".</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139"/>
        <w:gridCol w:w="1361"/>
        <w:gridCol w:w="1476"/>
        <w:gridCol w:w="1195"/>
      </w:tblGrid>
      <w:tr w:rsidR="00643896" w:rsidRPr="00640820" w14:paraId="44945587" w14:textId="77777777" w:rsidTr="000D3BCB">
        <w:trPr>
          <w:trHeight w:val="446"/>
        </w:trPr>
        <w:tc>
          <w:tcPr>
            <w:tcW w:w="3139" w:type="dxa"/>
            <w:tcBorders>
              <w:top w:val="single" w:sz="12" w:space="0" w:color="auto"/>
            </w:tcBorders>
          </w:tcPr>
          <w:p w14:paraId="7786EA4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 пп Наименование</w:t>
            </w:r>
          </w:p>
        </w:tc>
        <w:tc>
          <w:tcPr>
            <w:tcW w:w="1361" w:type="dxa"/>
            <w:tcBorders>
              <w:top w:val="single" w:sz="12" w:space="0" w:color="auto"/>
            </w:tcBorders>
          </w:tcPr>
          <w:p w14:paraId="0DD66AE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мм. мотор-пуш</w:t>
            </w:r>
            <w:r w:rsidRPr="00640820">
              <w:rPr>
                <w:rFonts w:ascii="Times New Roman" w:hAnsi="Times New Roman"/>
                <w:color w:val="000000" w:themeColor="text1"/>
                <w:sz w:val="16"/>
                <w:szCs w:val="16"/>
              </w:rPr>
              <w:softHyphen/>
              <w:t xml:space="preserve">ка БЕРЕЗИНА </w:t>
            </w:r>
          </w:p>
        </w:tc>
        <w:tc>
          <w:tcPr>
            <w:tcW w:w="1476" w:type="dxa"/>
            <w:tcBorders>
              <w:top w:val="single" w:sz="12" w:space="0" w:color="auto"/>
            </w:tcBorders>
          </w:tcPr>
          <w:p w14:paraId="75CEFF7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мм. мотор-пуша "ШВАК"</w:t>
            </w:r>
          </w:p>
        </w:tc>
        <w:tc>
          <w:tcPr>
            <w:tcW w:w="1195" w:type="dxa"/>
            <w:tcBorders>
              <w:top w:val="single" w:sz="12" w:space="0" w:color="auto"/>
            </w:tcBorders>
          </w:tcPr>
          <w:p w14:paraId="212C891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Примечание </w:t>
            </w:r>
          </w:p>
        </w:tc>
      </w:tr>
      <w:tr w:rsidR="00643896" w:rsidRPr="00640820" w14:paraId="655AF2F7" w14:textId="77777777" w:rsidTr="000D3BCB">
        <w:trPr>
          <w:trHeight w:val="446"/>
        </w:trPr>
        <w:tc>
          <w:tcPr>
            <w:tcW w:w="3139" w:type="dxa"/>
          </w:tcPr>
          <w:p w14:paraId="09A206E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I. Калибр. .......... </w:t>
            </w:r>
          </w:p>
        </w:tc>
        <w:tc>
          <w:tcPr>
            <w:tcW w:w="1361" w:type="dxa"/>
          </w:tcPr>
          <w:p w14:paraId="27EF336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мм.</w:t>
            </w:r>
          </w:p>
        </w:tc>
        <w:tc>
          <w:tcPr>
            <w:tcW w:w="1476" w:type="dxa"/>
          </w:tcPr>
          <w:p w14:paraId="1E945A8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мм.</w:t>
            </w:r>
          </w:p>
        </w:tc>
        <w:tc>
          <w:tcPr>
            <w:tcW w:w="1195" w:type="dxa"/>
          </w:tcPr>
          <w:p w14:paraId="3C60B70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44DE3F3" w14:textId="77777777" w:rsidTr="000D3BCB">
        <w:trPr>
          <w:trHeight w:val="353"/>
        </w:trPr>
        <w:tc>
          <w:tcPr>
            <w:tcW w:w="3139" w:type="dxa"/>
          </w:tcPr>
          <w:p w14:paraId="6D27E2F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 Вес пушки </w:t>
            </w:r>
          </w:p>
        </w:tc>
        <w:tc>
          <w:tcPr>
            <w:tcW w:w="1361" w:type="dxa"/>
          </w:tcPr>
          <w:p w14:paraId="2E3C0E6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23,2 кг.</w:t>
            </w:r>
          </w:p>
        </w:tc>
        <w:tc>
          <w:tcPr>
            <w:tcW w:w="1476" w:type="dxa"/>
          </w:tcPr>
          <w:p w14:paraId="51006C7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44 кг.</w:t>
            </w:r>
          </w:p>
        </w:tc>
        <w:tc>
          <w:tcPr>
            <w:tcW w:w="1195" w:type="dxa"/>
          </w:tcPr>
          <w:p w14:paraId="184EDBA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00DCCF8" w14:textId="77777777" w:rsidTr="000D3BCB">
        <w:trPr>
          <w:trHeight w:val="338"/>
        </w:trPr>
        <w:tc>
          <w:tcPr>
            <w:tcW w:w="3139" w:type="dxa"/>
          </w:tcPr>
          <w:p w14:paraId="5B2E96E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 . Длина пушки </w:t>
            </w:r>
          </w:p>
        </w:tc>
        <w:tc>
          <w:tcPr>
            <w:tcW w:w="1361" w:type="dxa"/>
          </w:tcPr>
          <w:p w14:paraId="2560DE0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1660 мм.</w:t>
            </w:r>
          </w:p>
        </w:tc>
        <w:tc>
          <w:tcPr>
            <w:tcW w:w="1476" w:type="dxa"/>
          </w:tcPr>
          <w:p w14:paraId="1032D43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2122 мм.</w:t>
            </w:r>
          </w:p>
        </w:tc>
        <w:tc>
          <w:tcPr>
            <w:tcW w:w="1195" w:type="dxa"/>
          </w:tcPr>
          <w:p w14:paraId="0905014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A2398A5" w14:textId="77777777" w:rsidTr="000D3BCB">
        <w:trPr>
          <w:trHeight w:val="338"/>
        </w:trPr>
        <w:tc>
          <w:tcPr>
            <w:tcW w:w="3139" w:type="dxa"/>
          </w:tcPr>
          <w:p w14:paraId="4C7CFBF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 Ширина</w:t>
            </w:r>
          </w:p>
        </w:tc>
        <w:tc>
          <w:tcPr>
            <w:tcW w:w="1361" w:type="dxa"/>
          </w:tcPr>
          <w:p w14:paraId="71DB239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145 мм.</w:t>
            </w:r>
          </w:p>
        </w:tc>
        <w:tc>
          <w:tcPr>
            <w:tcW w:w="1476" w:type="dxa"/>
          </w:tcPr>
          <w:p w14:paraId="7EF0870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155 мм.</w:t>
            </w:r>
          </w:p>
        </w:tc>
        <w:tc>
          <w:tcPr>
            <w:tcW w:w="1195" w:type="dxa"/>
          </w:tcPr>
          <w:p w14:paraId="6C78320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9AE4A9B" w14:textId="77777777" w:rsidTr="000D3BCB">
        <w:trPr>
          <w:trHeight w:val="338"/>
        </w:trPr>
        <w:tc>
          <w:tcPr>
            <w:tcW w:w="3139" w:type="dxa"/>
          </w:tcPr>
          <w:p w14:paraId="22A3E00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Высота</w:t>
            </w:r>
          </w:p>
        </w:tc>
        <w:tc>
          <w:tcPr>
            <w:tcW w:w="1361" w:type="dxa"/>
          </w:tcPr>
          <w:p w14:paraId="03D5A66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125 мм.</w:t>
            </w:r>
          </w:p>
        </w:tc>
        <w:tc>
          <w:tcPr>
            <w:tcW w:w="1476" w:type="dxa"/>
          </w:tcPr>
          <w:p w14:paraId="365DE36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175 мм.</w:t>
            </w:r>
          </w:p>
        </w:tc>
        <w:tc>
          <w:tcPr>
            <w:tcW w:w="1195" w:type="dxa"/>
          </w:tcPr>
          <w:p w14:paraId="4AE90D4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A813DB1" w14:textId="77777777" w:rsidTr="000D3BCB">
        <w:trPr>
          <w:trHeight w:val="338"/>
        </w:trPr>
        <w:tc>
          <w:tcPr>
            <w:tcW w:w="3139" w:type="dxa"/>
          </w:tcPr>
          <w:p w14:paraId="5E710DE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Максимальный темп</w:t>
            </w:r>
          </w:p>
        </w:tc>
        <w:tc>
          <w:tcPr>
            <w:tcW w:w="1361" w:type="dxa"/>
          </w:tcPr>
          <w:p w14:paraId="322F187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793 выс/м</w:t>
            </w:r>
          </w:p>
        </w:tc>
        <w:tc>
          <w:tcPr>
            <w:tcW w:w="1476" w:type="dxa"/>
          </w:tcPr>
          <w:p w14:paraId="53CAFE0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925 выс/ми</w:t>
            </w:r>
          </w:p>
        </w:tc>
        <w:tc>
          <w:tcPr>
            <w:tcW w:w="1195" w:type="dxa"/>
          </w:tcPr>
          <w:p w14:paraId="2D810A9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ABB47EF" w14:textId="77777777" w:rsidTr="000D3BCB">
        <w:trPr>
          <w:trHeight w:val="338"/>
        </w:trPr>
        <w:tc>
          <w:tcPr>
            <w:tcW w:w="3139" w:type="dxa"/>
          </w:tcPr>
          <w:p w14:paraId="5B28978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Минимальный "</w:t>
            </w:r>
          </w:p>
        </w:tc>
        <w:tc>
          <w:tcPr>
            <w:tcW w:w="1361" w:type="dxa"/>
          </w:tcPr>
          <w:p w14:paraId="3F49E2E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743 "</w:t>
            </w:r>
          </w:p>
        </w:tc>
        <w:tc>
          <w:tcPr>
            <w:tcW w:w="1476" w:type="dxa"/>
          </w:tcPr>
          <w:p w14:paraId="1093392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862 "</w:t>
            </w:r>
          </w:p>
        </w:tc>
        <w:tc>
          <w:tcPr>
            <w:tcW w:w="1195" w:type="dxa"/>
          </w:tcPr>
          <w:p w14:paraId="7B04303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15CDDE6" w14:textId="77777777" w:rsidTr="000D3BCB">
        <w:trPr>
          <w:trHeight w:val="338"/>
        </w:trPr>
        <w:tc>
          <w:tcPr>
            <w:tcW w:w="3139" w:type="dxa"/>
          </w:tcPr>
          <w:p w14:paraId="2DC3897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Вес патрона</w:t>
            </w:r>
          </w:p>
        </w:tc>
        <w:tc>
          <w:tcPr>
            <w:tcW w:w="1361" w:type="dxa"/>
          </w:tcPr>
          <w:p w14:paraId="417CAA4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672 "</w:t>
            </w:r>
          </w:p>
        </w:tc>
        <w:tc>
          <w:tcPr>
            <w:tcW w:w="1476" w:type="dxa"/>
          </w:tcPr>
          <w:p w14:paraId="669DA47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800 "</w:t>
            </w:r>
          </w:p>
        </w:tc>
        <w:tc>
          <w:tcPr>
            <w:tcW w:w="1195" w:type="dxa"/>
          </w:tcPr>
          <w:p w14:paraId="48BC0D7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D82F657" w14:textId="77777777" w:rsidTr="000D3BCB">
        <w:trPr>
          <w:trHeight w:val="338"/>
        </w:trPr>
        <w:tc>
          <w:tcPr>
            <w:tcW w:w="3139" w:type="dxa"/>
          </w:tcPr>
          <w:p w14:paraId="12B9BAB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Вес снаряда</w:t>
            </w:r>
          </w:p>
        </w:tc>
        <w:tc>
          <w:tcPr>
            <w:tcW w:w="1361" w:type="dxa"/>
          </w:tcPr>
          <w:p w14:paraId="7A3BCEC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179,3 гр.</w:t>
            </w:r>
          </w:p>
        </w:tc>
        <w:tc>
          <w:tcPr>
            <w:tcW w:w="1476" w:type="dxa"/>
          </w:tcPr>
          <w:p w14:paraId="63785DC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184,4 гр.</w:t>
            </w:r>
          </w:p>
        </w:tc>
        <w:tc>
          <w:tcPr>
            <w:tcW w:w="1195" w:type="dxa"/>
          </w:tcPr>
          <w:p w14:paraId="1BB302E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7723CF2" w14:textId="77777777" w:rsidTr="000D3BCB">
        <w:trPr>
          <w:trHeight w:val="338"/>
        </w:trPr>
        <w:tc>
          <w:tcPr>
            <w:tcW w:w="3139" w:type="dxa"/>
          </w:tcPr>
          <w:p w14:paraId="643137B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Вес порохового заряда</w:t>
            </w:r>
          </w:p>
        </w:tc>
        <w:tc>
          <w:tcPr>
            <w:tcW w:w="1361" w:type="dxa"/>
          </w:tcPr>
          <w:p w14:paraId="4F32D4E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96,13 гр.</w:t>
            </w:r>
          </w:p>
        </w:tc>
        <w:tc>
          <w:tcPr>
            <w:tcW w:w="1476" w:type="dxa"/>
          </w:tcPr>
          <w:p w14:paraId="6C1E539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96,3 гр.</w:t>
            </w:r>
          </w:p>
        </w:tc>
        <w:tc>
          <w:tcPr>
            <w:tcW w:w="1195" w:type="dxa"/>
          </w:tcPr>
          <w:p w14:paraId="6279D87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07AB3A5" w14:textId="77777777" w:rsidTr="000D3BCB">
        <w:trPr>
          <w:trHeight w:val="338"/>
        </w:trPr>
        <w:tc>
          <w:tcPr>
            <w:tcW w:w="3139" w:type="dxa"/>
          </w:tcPr>
          <w:p w14:paraId="7499097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Начальная скорость</w:t>
            </w:r>
          </w:p>
        </w:tc>
        <w:tc>
          <w:tcPr>
            <w:tcW w:w="1361" w:type="dxa"/>
          </w:tcPr>
          <w:p w14:paraId="2E0C4C3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16,88 гр.</w:t>
            </w:r>
          </w:p>
        </w:tc>
        <w:tc>
          <w:tcPr>
            <w:tcW w:w="1476" w:type="dxa"/>
          </w:tcPr>
          <w:p w14:paraId="28D549F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19,04 гр.</w:t>
            </w:r>
          </w:p>
        </w:tc>
        <w:tc>
          <w:tcPr>
            <w:tcW w:w="1195" w:type="dxa"/>
          </w:tcPr>
          <w:p w14:paraId="1983CDC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8967108" w14:textId="77777777" w:rsidTr="000D3BCB">
        <w:trPr>
          <w:trHeight w:val="338"/>
        </w:trPr>
        <w:tc>
          <w:tcPr>
            <w:tcW w:w="3139" w:type="dxa"/>
          </w:tcPr>
          <w:p w14:paraId="2E4AA50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Вес звена /ШВАК/</w:t>
            </w:r>
          </w:p>
        </w:tc>
        <w:tc>
          <w:tcPr>
            <w:tcW w:w="1361" w:type="dxa"/>
          </w:tcPr>
          <w:p w14:paraId="00AA8A9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760 м/сек</w:t>
            </w:r>
          </w:p>
        </w:tc>
        <w:tc>
          <w:tcPr>
            <w:tcW w:w="1476" w:type="dxa"/>
          </w:tcPr>
          <w:p w14:paraId="299466E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830 м/сек.</w:t>
            </w:r>
          </w:p>
        </w:tc>
        <w:tc>
          <w:tcPr>
            <w:tcW w:w="1195" w:type="dxa"/>
          </w:tcPr>
          <w:p w14:paraId="3D3D6D4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6446852" w14:textId="77777777" w:rsidTr="000D3BCB">
        <w:trPr>
          <w:trHeight w:val="338"/>
        </w:trPr>
        <w:tc>
          <w:tcPr>
            <w:tcW w:w="3139" w:type="dxa"/>
          </w:tcPr>
          <w:p w14:paraId="3E7B2A7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Рабочее давление на производство перезарядки</w:t>
            </w:r>
          </w:p>
        </w:tc>
        <w:tc>
          <w:tcPr>
            <w:tcW w:w="1361" w:type="dxa"/>
          </w:tcPr>
          <w:p w14:paraId="1618895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 гр.</w:t>
            </w:r>
          </w:p>
        </w:tc>
        <w:tc>
          <w:tcPr>
            <w:tcW w:w="1476" w:type="dxa"/>
          </w:tcPr>
          <w:p w14:paraId="465AC43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 гр.</w:t>
            </w:r>
          </w:p>
        </w:tc>
        <w:tc>
          <w:tcPr>
            <w:tcW w:w="1195" w:type="dxa"/>
          </w:tcPr>
          <w:p w14:paraId="2325A55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97588C1" w14:textId="77777777" w:rsidTr="000D3BCB">
        <w:trPr>
          <w:trHeight w:val="338"/>
        </w:trPr>
        <w:tc>
          <w:tcPr>
            <w:tcW w:w="3139" w:type="dxa"/>
          </w:tcPr>
          <w:p w14:paraId="396305B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Усилие на извлечение снаряда из дульца гильзы</w:t>
            </w:r>
          </w:p>
        </w:tc>
        <w:tc>
          <w:tcPr>
            <w:tcW w:w="1361" w:type="dxa"/>
          </w:tcPr>
          <w:p w14:paraId="26DEA43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30-35 атм.</w:t>
            </w:r>
          </w:p>
        </w:tc>
        <w:tc>
          <w:tcPr>
            <w:tcW w:w="1476" w:type="dxa"/>
          </w:tcPr>
          <w:p w14:paraId="464F3D1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30-35 атм</w:t>
            </w:r>
          </w:p>
        </w:tc>
        <w:tc>
          <w:tcPr>
            <w:tcW w:w="1195" w:type="dxa"/>
          </w:tcPr>
          <w:p w14:paraId="68E80E3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827B566" w14:textId="77777777" w:rsidTr="000D3BCB">
        <w:trPr>
          <w:trHeight w:val="338"/>
        </w:trPr>
        <w:tc>
          <w:tcPr>
            <w:tcW w:w="3139" w:type="dxa"/>
            <w:tcBorders>
              <w:bottom w:val="single" w:sz="12" w:space="0" w:color="auto"/>
            </w:tcBorders>
          </w:tcPr>
          <w:p w14:paraId="1D0C1FD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1" w:type="dxa"/>
            <w:tcBorders>
              <w:bottom w:val="single" w:sz="12" w:space="0" w:color="auto"/>
            </w:tcBorders>
          </w:tcPr>
          <w:p w14:paraId="752F539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848 кг.</w:t>
            </w:r>
          </w:p>
        </w:tc>
        <w:tc>
          <w:tcPr>
            <w:tcW w:w="1476" w:type="dxa"/>
            <w:tcBorders>
              <w:bottom w:val="single" w:sz="12" w:space="0" w:color="auto"/>
            </w:tcBorders>
          </w:tcPr>
          <w:p w14:paraId="33A8020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406 кг.</w:t>
            </w:r>
          </w:p>
        </w:tc>
        <w:tc>
          <w:tcPr>
            <w:tcW w:w="1195" w:type="dxa"/>
            <w:tcBorders>
              <w:bottom w:val="single" w:sz="12" w:space="0" w:color="auto"/>
            </w:tcBorders>
          </w:tcPr>
          <w:p w14:paraId="4F61DB5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Патрон п/пушку Берези-ни тре</w:t>
            </w:r>
            <w:r w:rsidRPr="00640820">
              <w:rPr>
                <w:rFonts w:ascii="Times New Roman" w:hAnsi="Times New Roman"/>
                <w:color w:val="000000" w:themeColor="text1"/>
                <w:sz w:val="16"/>
                <w:szCs w:val="16"/>
              </w:rPr>
              <w:softHyphen/>
              <w:t>бует двойнус обжимку</w:t>
            </w:r>
          </w:p>
        </w:tc>
      </w:tr>
    </w:tbl>
    <w:p w14:paraId="2666F76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19 задержек, при испытаниях моторного варианта, получено 4 поломки деталей. Из 10 полетов / 10 боекоплек-тов/ полностью расстреляно только два боекомплекта.</w:t>
      </w:r>
    </w:p>
    <w:p w14:paraId="572CF85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12 задержек, полученных в воздухе, неустранимых в воздухе - восемь.</w:t>
      </w:r>
    </w:p>
    <w:p w14:paraId="733EF81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Через 2000 выстрелов образовалоя кольцевой разгар патронника, вследствии чего при выстреле происходит разду</w:t>
      </w:r>
      <w:r w:rsidRPr="00640820">
        <w:rPr>
          <w:rFonts w:ascii="Times New Roman" w:hAnsi="Times New Roman"/>
          <w:color w:val="000000" w:themeColor="text1"/>
          <w:sz w:val="16"/>
          <w:szCs w:val="16"/>
        </w:rPr>
        <w:softHyphen/>
        <w:t>тие гильзы, что вызывает задержку - "неотдачу", а в отдель</w:t>
      </w:r>
      <w:r w:rsidRPr="00640820">
        <w:rPr>
          <w:rFonts w:ascii="Times New Roman" w:hAnsi="Times New Roman"/>
          <w:color w:val="000000" w:themeColor="text1"/>
          <w:sz w:val="16"/>
          <w:szCs w:val="16"/>
        </w:rPr>
        <w:softHyphen/>
        <w:t>ных случаях приводит к поперечному отрыву гильзы. Такое положение не обеспечивает живучести пупки с одним стволом и требует постановки второго ствола,чего допустить нельзя.</w:t>
      </w:r>
    </w:p>
    <w:p w14:paraId="51C175A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ствольной коробке, в месте крепления приемника, образовалась трещина на 2574 выстреле; ето показывает на то, что расчетные данные ствольной коробки под 12,7 мм. пулемет БЕРЕЗИНА, не могут удовлетворить требуемой прочнос</w:t>
      </w:r>
      <w:r w:rsidRPr="00640820">
        <w:rPr>
          <w:rFonts w:ascii="Times New Roman" w:hAnsi="Times New Roman"/>
          <w:color w:val="000000" w:themeColor="text1"/>
          <w:sz w:val="16"/>
          <w:szCs w:val="16"/>
        </w:rPr>
        <w:softHyphen/>
        <w:t>ти для 20 мм. калибра пушки. ^</w:t>
      </w:r>
    </w:p>
    <w:p w14:paraId="05CC8BE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этого, получены трещины в перемычке и лап</w:t>
      </w:r>
      <w:r w:rsidRPr="00640820">
        <w:rPr>
          <w:rFonts w:ascii="Times New Roman" w:hAnsi="Times New Roman"/>
          <w:color w:val="000000" w:themeColor="text1"/>
          <w:sz w:val="16"/>
          <w:szCs w:val="16"/>
        </w:rPr>
        <w:softHyphen/>
        <w:t>ках затвора на 2574 выстреле, а при испытаниях пушек на самолете ИЛ-2, - поломка затворов- одного на 5 выстреле, другого - на ЭО-м выстреле.</w:t>
      </w:r>
    </w:p>
    <w:p w14:paraId="131EC6E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2469 выстреле заменен шток о цилиндром, так как погнутость штока не позволяла частям автоматики дохо</w:t>
      </w:r>
      <w:r w:rsidRPr="00640820">
        <w:rPr>
          <w:rFonts w:ascii="Times New Roman" w:hAnsi="Times New Roman"/>
          <w:color w:val="000000" w:themeColor="text1"/>
          <w:sz w:val="16"/>
          <w:szCs w:val="16"/>
        </w:rPr>
        <w:softHyphen/>
        <w:t>дить в переднее положение.</w:t>
      </w:r>
    </w:p>
    <w:p w14:paraId="1EC22E9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Полученные при испытаниях дефекты говорят о том, что простого перехода от 12,7 мм. пулемета на -20 мм. пушку /заменой одного ствола/ с удовлетворяющими современны</w:t>
      </w:r>
      <w:r w:rsidRPr="00640820">
        <w:rPr>
          <w:rFonts w:ascii="Times New Roman" w:hAnsi="Times New Roman"/>
          <w:color w:val="000000" w:themeColor="text1"/>
          <w:sz w:val="16"/>
          <w:szCs w:val="16"/>
        </w:rPr>
        <w:softHyphen/>
        <w:t>ми техническими требованиями, в части надежности работы автоматики и живучести, - сделать нельзя.</w:t>
      </w:r>
    </w:p>
    <w:p w14:paraId="1A813A8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Наличие двух различных типов патрон, к одному и тому же калибру, помимо трудностей в производстве /новое оборудование, инструмент и т.п./, может привести к тако</w:t>
      </w:r>
      <w:r w:rsidRPr="00640820">
        <w:rPr>
          <w:rFonts w:ascii="Times New Roman" w:hAnsi="Times New Roman"/>
          <w:color w:val="000000" w:themeColor="text1"/>
          <w:sz w:val="16"/>
          <w:szCs w:val="16"/>
        </w:rPr>
        <w:softHyphen/>
        <w:t>му положению, что при наличии пушек, нельзя будет вести бой / вместо одного типа, могут подать другой/.</w:t>
      </w:r>
    </w:p>
    <w:p w14:paraId="6AB0372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основании изложенного считаю необходимым рабо</w:t>
      </w:r>
      <w:r w:rsidRPr="00640820">
        <w:rPr>
          <w:rFonts w:ascii="Times New Roman" w:hAnsi="Times New Roman"/>
          <w:color w:val="000000" w:themeColor="text1"/>
          <w:sz w:val="16"/>
          <w:szCs w:val="16"/>
        </w:rPr>
        <w:softHyphen/>
        <w:t>ту по 20 мм. пушкам БЕРЕЗИНА - прекратить.</w:t>
      </w:r>
    </w:p>
    <w:p w14:paraId="054167C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Прошу Вашего указания (4156,180).</w:t>
      </w:r>
    </w:p>
    <w:p w14:paraId="393814F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8A0E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15 сентября 1941 года Паспорт завода № 381</w:t>
      </w:r>
    </w:p>
    <w:p w14:paraId="466936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 Филимончук</w:t>
      </w:r>
    </w:p>
    <w:p w14:paraId="4D4EAE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Эвакуированный полностью</w:t>
      </w:r>
    </w:p>
    <w:p w14:paraId="5E7F25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Характер производства – серийное</w:t>
      </w:r>
    </w:p>
    <w:p w14:paraId="4ED2CE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Наименование производства –самолетостроение</w:t>
      </w:r>
    </w:p>
    <w:p w14:paraId="0848F5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Уралвагонзавод, 12 км от г. Н. Тагил Свердловской области (Г. Тагил 6, п/я 4)</w:t>
      </w:r>
    </w:p>
    <w:p w14:paraId="720D18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на III квартал 1941 года запланировано производство 10 самолетов ИЛ-2 с мотором АМ-38 и гр. комплекты к нему; на IV квартал 1941 года запланировано производство 80 самолетов ИЛ-2 с мотором АМ-38 и гр. комплекты к нему.</w:t>
      </w:r>
    </w:p>
    <w:p w14:paraId="7B783B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Объединенный завод № 381 НКАП организован на базе ленинградских заводов №№ 380 и 381; эвакуирован в июле 1941 года по постановлению Правительства в Н. Тагил Свердловской области на территорию и площади Уральского вагоностроительного завода, отстоящего от черты города на расстоянии 10-12 км (9338).</w:t>
      </w:r>
    </w:p>
    <w:p w14:paraId="4E9CEB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4F1DE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сентября 1941 был построен планер первого опытного БИ (173,406).</w:t>
      </w:r>
    </w:p>
    <w:p w14:paraId="7DF309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FD0D9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15 сентября 1941 года Паспорт филиала завода № 224</w:t>
      </w:r>
    </w:p>
    <w:p w14:paraId="3A3444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Характер производства – мелкосерийное</w:t>
      </w:r>
    </w:p>
    <w:p w14:paraId="023FAB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Наименование производства – приборостроение</w:t>
      </w:r>
    </w:p>
    <w:p w14:paraId="5FA947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Молотов, Центр, ул. Луначарского, 26</w:t>
      </w:r>
    </w:p>
    <w:p w14:paraId="7C2F13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 Юффа</w:t>
      </w:r>
    </w:p>
    <w:p w14:paraId="35068F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Паспорт составлен в период монтажа оборудования, организации и развертывания производства (9306).</w:t>
      </w:r>
    </w:p>
    <w:p w14:paraId="57C1F4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6D83A7A"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70483F65"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EB5072B" w14:textId="77777777" w:rsidR="0095335E" w:rsidRPr="00640820" w:rsidRDefault="0095335E" w:rsidP="00640820">
      <w:pPr>
        <w:pStyle w:val="Bodytext1"/>
        <w:shd w:val="clear" w:color="auto" w:fill="auto"/>
        <w:spacing w:line="240" w:lineRule="auto"/>
        <w:ind w:firstLine="0"/>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15 сентября 1941 г. после рассмотрения технических проектов на техсовете НКВ и УМВ ГАУ КА конструкция 160-мм миномета получила одобрение ГАУ КА. Завод срочно приступил к разработке опытных чертежей и изготовлению опытного образца, несмотря на эвакуацию части коллектива конструкторов.</w:t>
      </w:r>
    </w:p>
    <w:p w14:paraId="21E0D1AB" w14:textId="77777777" w:rsidR="0095335E" w:rsidRPr="00640820" w:rsidRDefault="0095335E" w:rsidP="00640820">
      <w:pPr>
        <w:pStyle w:val="Bodytext1"/>
        <w:shd w:val="clear" w:color="auto" w:fill="auto"/>
        <w:spacing w:line="240" w:lineRule="auto"/>
        <w:ind w:firstLine="0"/>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В октябре 1941 г. начали сборку опытных образцов, но завершить ее до конца года не смогли из-за сильных разрушений завода в результате авиационных налетов фашисткой авиации. Тем не менее, дальнейшее совер</w:t>
      </w:r>
      <w:r w:rsidRPr="00640820">
        <w:rPr>
          <w:rFonts w:ascii="Times New Roman" w:hAnsi="Times New Roman" w:cs="Times New Roman"/>
          <w:color w:val="000000" w:themeColor="text1"/>
          <w:sz w:val="16"/>
          <w:szCs w:val="16"/>
        </w:rPr>
        <w:softHyphen/>
        <w:t>шенствование конструкции миномета про</w:t>
      </w:r>
      <w:r w:rsidRPr="00640820">
        <w:rPr>
          <w:rFonts w:ascii="Times New Roman" w:hAnsi="Times New Roman" w:cs="Times New Roman"/>
          <w:color w:val="000000" w:themeColor="text1"/>
          <w:sz w:val="16"/>
          <w:szCs w:val="16"/>
        </w:rPr>
        <w:softHyphen/>
        <w:t xml:space="preserve">должалось. В течение первой блокадной зимы 1941-1942 гг. в Отделе </w:t>
      </w:r>
      <w:r w:rsidRPr="00640820">
        <w:rPr>
          <w:rFonts w:ascii="Times New Roman" w:hAnsi="Times New Roman" w:cs="Times New Roman"/>
          <w:color w:val="000000" w:themeColor="text1"/>
          <w:sz w:val="16"/>
          <w:szCs w:val="16"/>
        </w:rPr>
        <w:lastRenderedPageBreak/>
        <w:t>главного конструктора под руководством Н.П. Антонова спроекти</w:t>
      </w:r>
      <w:r w:rsidRPr="00640820">
        <w:rPr>
          <w:rFonts w:ascii="Times New Roman" w:hAnsi="Times New Roman" w:cs="Times New Roman"/>
          <w:color w:val="000000" w:themeColor="text1"/>
          <w:sz w:val="16"/>
          <w:szCs w:val="16"/>
        </w:rPr>
        <w:softHyphen/>
        <w:t>ровали специальную 160-мм дальнобойную мину (дальность стрельбы до 8 км). Оконча</w:t>
      </w:r>
      <w:r w:rsidRPr="00640820">
        <w:rPr>
          <w:rFonts w:ascii="Times New Roman" w:hAnsi="Times New Roman" w:cs="Times New Roman"/>
          <w:color w:val="000000" w:themeColor="text1"/>
          <w:sz w:val="16"/>
          <w:szCs w:val="16"/>
        </w:rPr>
        <w:softHyphen/>
        <w:t>тельно рабочие чертежи 160-мм миномета «7-26» завершили в апреле 1942 г., боеприпа</w:t>
      </w:r>
      <w:r w:rsidRPr="00640820">
        <w:rPr>
          <w:rFonts w:ascii="Times New Roman" w:hAnsi="Times New Roman" w:cs="Times New Roman"/>
          <w:color w:val="000000" w:themeColor="text1"/>
          <w:sz w:val="16"/>
          <w:szCs w:val="16"/>
        </w:rPr>
        <w:softHyphen/>
        <w:t>сов - в мае, передка и ЗИП - к июлю (17748).</w:t>
      </w:r>
    </w:p>
    <w:p w14:paraId="48D846D1" w14:textId="77777777" w:rsidR="0095335E" w:rsidRPr="00640820" w:rsidRDefault="0095335E" w:rsidP="00640820">
      <w:pPr>
        <w:spacing w:after="0" w:line="240" w:lineRule="auto"/>
        <w:jc w:val="both"/>
        <w:rPr>
          <w:rFonts w:ascii="Times New Roman" w:hAnsi="Times New Roman"/>
          <w:color w:val="000000" w:themeColor="text1"/>
          <w:sz w:val="16"/>
          <w:szCs w:val="16"/>
        </w:rPr>
      </w:pPr>
    </w:p>
    <w:p w14:paraId="2C2194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сентября 1941 г., согласно Политдонесению «Об изготовлении оружия силами частей Морской обороны гор. Ленинграда»:</w:t>
      </w:r>
    </w:p>
    <w:p w14:paraId="1F4B8E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Мастерские АНИМИ приступили к изготовлению нового образца фугасной гранаты со стеклянным чехлом. Эти гранаты предназначаются, главным образом, для борьбы с танками и для поражения живой силы противника. Инициатором изготовления гранаты является военинженер II ранга - член ВКП/б/ ДЕНИСОВ.</w:t>
      </w:r>
    </w:p>
    <w:p w14:paraId="30B707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Изготовленная граната на полигонных испытаниях дала положительные результаты. Вес новой гранаты 1200 - 1240 грамм. Отрицательной стороной ее является сложность перевозки. Гранаты требуют осторожного с собой обращения, так как сразу же как только разбивается стеклянный чехол, следует мгновенный разрыв гранаты.</w:t>
      </w:r>
    </w:p>
    <w:p w14:paraId="78A46E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настоящее время таких гранат мастерская АНИМИ может выпускать по 100 штук в день, в дальнейшем количество выпускаемых гранат будет доведено до 200 штук в день.</w:t>
      </w:r>
    </w:p>
    <w:p w14:paraId="5725CF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Мастерские все детали для гранаты и заливку производит самостоятельно, не зависят от других предприятий, дают совершенно готовую продукцию (11653).</w:t>
      </w:r>
    </w:p>
    <w:p w14:paraId="60A4F4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334A17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сентября 1941 вышло Постановление ГКО № 673 Об организации производства комбинированных источников электрического питания КИП. (7010, 105-106).</w:t>
      </w:r>
    </w:p>
    <w:p w14:paraId="052267C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3F3530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сентября 1941 вышло Постановление ГКО № 676 Об организации в системе ГУШОСДОР НКВД СССР военно-дорожных управлений и отрядов. (7010, 130-132,133-142).</w:t>
      </w:r>
    </w:p>
    <w:p w14:paraId="78C5B77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1C54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сентября 1941 началась эвакуация ХПЗ в Нижний Тагил. Новый завод хотели назвать Уральский танковый завод им. И.В.С. и он строился на территории Уральского вагоностроительного завода им. Дзержинского с использование оборудования завода 183 (ХПЗ) и танкового завода им. Ворошилова (174 завод) из Ленинграда, а также ряда металлургических заводов (1031,13).</w:t>
      </w:r>
    </w:p>
    <w:p w14:paraId="5DEA5C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2F03A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сентября 1941 ХПЗ получил приказ приступить к эвакуации танкового производства в Нижний Тагил на вагоностроительный завод. Туда же прибыли сотрудники Института электросварки АН УССР во главе с его директором Е. О. Патоном. Это было очень удачное решение. Кстати, идею о переводе группы Патона в Нижний Тагил подал В. А. Малышев, когда они встретились в первые дни войны на одном из уральских заводов..</w:t>
      </w:r>
    </w:p>
    <w:p w14:paraId="550C61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Началась грандиозная операция по перевозке ХПЗ на Урал. Сначала туда были отправлены конструкторы, технологи, а также наиболее ценные и сложные станки. Первые прибывшие подготовили помещения для расстановки оборудования. Затем двинулись эшелоны с рабочими, их семьями, станками, материалами, а также с корпусами еще не собранных танков. В сентябре выпуск лишь немного снизился по сравнению с августом. Вот данные выпуска по месяцам: июль - 225, август - 250, сентябрь - 220, октябрь - 30. (3862).</w:t>
      </w:r>
    </w:p>
    <w:p w14:paraId="56FE96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FDAEC6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сентября 1941 г. директор за</w:t>
      </w:r>
      <w:r w:rsidRPr="00640820">
        <w:rPr>
          <w:rFonts w:ascii="Times New Roman" w:hAnsi="Times New Roman"/>
          <w:color w:val="000000" w:themeColor="text1"/>
          <w:sz w:val="16"/>
          <w:szCs w:val="16"/>
        </w:rPr>
        <w:softHyphen/>
        <w:t>вода № 183 Ю.Е. Максарев получил приказ Наркома танковой промы</w:t>
      </w:r>
      <w:r w:rsidRPr="00640820">
        <w:rPr>
          <w:rFonts w:ascii="Times New Roman" w:hAnsi="Times New Roman"/>
          <w:color w:val="000000" w:themeColor="text1"/>
          <w:sz w:val="16"/>
          <w:szCs w:val="16"/>
        </w:rPr>
        <w:softHyphen/>
        <w:t>шленности об эвакуации завода в Нижний Тагил на Уралвагонзавод (УВЗ). Через три дня - 18 сентября с завода ушел первый эшелон с группой конструкторов, технологов, необходимой технической доку</w:t>
      </w:r>
      <w:r w:rsidRPr="00640820">
        <w:rPr>
          <w:rFonts w:ascii="Times New Roman" w:hAnsi="Times New Roman"/>
          <w:color w:val="000000" w:themeColor="text1"/>
          <w:sz w:val="16"/>
          <w:szCs w:val="16"/>
        </w:rPr>
        <w:softHyphen/>
        <w:t>ментацией, моделями, штампами и уникальными станками. 18 октября 1941 г. ночью со станции Харьков-Балашовский ушел последний 43-й эшелон с оборудованием и людьми завода № 183. Всего с завода было эвакуировано 5234 квалифицированных работника, 2721 металлорежу</w:t>
      </w:r>
      <w:r w:rsidRPr="00640820">
        <w:rPr>
          <w:rFonts w:ascii="Times New Roman" w:hAnsi="Times New Roman"/>
          <w:color w:val="000000" w:themeColor="text1"/>
          <w:sz w:val="16"/>
          <w:szCs w:val="16"/>
        </w:rPr>
        <w:softHyphen/>
        <w:t>щий станок, 435 сварочных аппаратов, 3282 приспособления, 754 штам</w:t>
      </w:r>
      <w:r w:rsidRPr="00640820">
        <w:rPr>
          <w:rFonts w:ascii="Times New Roman" w:hAnsi="Times New Roman"/>
          <w:color w:val="000000" w:themeColor="text1"/>
          <w:sz w:val="16"/>
          <w:szCs w:val="16"/>
        </w:rPr>
        <w:softHyphen/>
        <w:t>па, 820 000 наименований инструмента, 110 вагонов деталей и заготовок и 348 вагонов различных материалов и комплектующих изделий. В сен</w:t>
      </w:r>
      <w:r w:rsidRPr="00640820">
        <w:rPr>
          <w:rFonts w:ascii="Times New Roman" w:hAnsi="Times New Roman"/>
          <w:color w:val="000000" w:themeColor="text1"/>
          <w:sz w:val="16"/>
          <w:szCs w:val="16"/>
        </w:rPr>
        <w:softHyphen/>
        <w:t>тябре 1941 г. в связи с началом эвакуации завод сдал военным предста</w:t>
      </w:r>
      <w:r w:rsidRPr="00640820">
        <w:rPr>
          <w:rFonts w:ascii="Times New Roman" w:hAnsi="Times New Roman"/>
          <w:color w:val="000000" w:themeColor="text1"/>
          <w:sz w:val="16"/>
          <w:szCs w:val="16"/>
        </w:rPr>
        <w:softHyphen/>
        <w:t>вителям только 228 танков. В середине октября 1941 г., т.е. к моменту завершения эвакуации завода из Харькова, коллектив завода передал военным представителям 41 танк Т-34 октябрьской сборки. Осенью 1941 г. эвакуированному в Нижний Тагил заводу № 183 были предо</w:t>
      </w:r>
      <w:r w:rsidRPr="00640820">
        <w:rPr>
          <w:rFonts w:ascii="Times New Roman" w:hAnsi="Times New Roman"/>
          <w:color w:val="000000" w:themeColor="text1"/>
          <w:sz w:val="16"/>
          <w:szCs w:val="16"/>
        </w:rPr>
        <w:softHyphen/>
        <w:t>ставлены просторные цехи Уралвагонзавода, а также мощное сталели</w:t>
      </w:r>
      <w:r w:rsidRPr="00640820">
        <w:rPr>
          <w:rFonts w:ascii="Times New Roman" w:hAnsi="Times New Roman"/>
          <w:color w:val="000000" w:themeColor="text1"/>
          <w:sz w:val="16"/>
          <w:szCs w:val="16"/>
        </w:rPr>
        <w:softHyphen/>
        <w:t>тейное и кузнечно-прессовое оборудование, теплоэлектроцентраль и га</w:t>
      </w:r>
      <w:r w:rsidRPr="00640820">
        <w:rPr>
          <w:rFonts w:ascii="Times New Roman" w:hAnsi="Times New Roman"/>
          <w:color w:val="000000" w:themeColor="text1"/>
          <w:sz w:val="16"/>
          <w:szCs w:val="16"/>
        </w:rPr>
        <w:softHyphen/>
        <w:t>зогенераторная станция. На новой площадке в завод № 183 влились Мариупольский метал</w:t>
      </w:r>
      <w:r w:rsidRPr="00640820">
        <w:rPr>
          <w:rFonts w:ascii="Times New Roman" w:hAnsi="Times New Roman"/>
          <w:color w:val="000000" w:themeColor="text1"/>
          <w:sz w:val="16"/>
          <w:szCs w:val="16"/>
        </w:rPr>
        <w:softHyphen/>
        <w:t>лургический завод и Московский станкостроительный завод им. Орд</w:t>
      </w:r>
      <w:r w:rsidRPr="00640820">
        <w:rPr>
          <w:rFonts w:ascii="Times New Roman" w:hAnsi="Times New Roman"/>
          <w:color w:val="000000" w:themeColor="text1"/>
          <w:sz w:val="16"/>
          <w:szCs w:val="16"/>
        </w:rPr>
        <w:softHyphen/>
        <w:t>жоникидзе. Расстановка оборудования на новой площадке завода осу</w:t>
      </w:r>
      <w:r w:rsidRPr="00640820">
        <w:rPr>
          <w:rFonts w:ascii="Times New Roman" w:hAnsi="Times New Roman"/>
          <w:color w:val="000000" w:themeColor="text1"/>
          <w:sz w:val="16"/>
          <w:szCs w:val="16"/>
        </w:rPr>
        <w:softHyphen/>
        <w:t>ществлялась из расчета выпуска 20 танков в сутки (10703).</w:t>
      </w:r>
    </w:p>
    <w:p w14:paraId="0CAD543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8384A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 сентября 1941, после постановления ГКО об эвакуации оборудования завода и практической реализации заводом по вывозке оборудования, дефицит в деталях для сборки агрегатов и в целом машины сказался особенно резко.</w:t>
      </w:r>
    </w:p>
    <w:p w14:paraId="00843AD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Производительность конвейера с 10-12 машин в день упала до 3-5 машин.</w:t>
      </w:r>
    </w:p>
    <w:p w14:paraId="6BD1BA2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дефицита деталей необходимо отметить такой фактор понижения производительности всех цехов завода - это большое количество невыходов на работу со стороны рабочих-поездников (то есть живущих не в Харькове, а в области. -Прим. автора). Рабочие в результате обстрелов пригородных поездов не имели возможности по несколько дней выходить на работу. В данный момент, это положение несколько улучшилось с переводом основной массы рабочих на казарменное положение при заводе» (12217).</w:t>
      </w:r>
    </w:p>
    <w:p w14:paraId="67DF0331"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718A6DC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сентября 1941 года к эвакуации на Урал приступил основной производитель танков Т-34 – Харьковский паровозостроительный завод (завод №183) (12267).</w:t>
      </w:r>
    </w:p>
    <w:p w14:paraId="66A34D1A"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4ED4A9D1" w14:textId="77777777" w:rsidR="003478D5" w:rsidRPr="00640820" w:rsidRDefault="003478D5"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15 сентября 1941 первый эшелон завода № 296 ушел из Харькова на Восток, а последний — 16 октября 1941 г. Местом назначения стал поселок Бердск в Новосибирской области. Там завод разместился в бывших складах госрезерва, а люди были расселены по общественным зданиям и избам жителей округи. Но многие оказались заброшены далеко от завода, и на дорогу до работы приходилось тратить очень много времени. Потому скоро завод оброс землянками, в которых ютились семьи работников.</w:t>
      </w:r>
    </w:p>
    <w:p w14:paraId="4F83A2E6" w14:textId="77777777" w:rsidR="003478D5" w:rsidRPr="00640820" w:rsidRDefault="003478D5"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Сибирь уехало лишь 24% предвоенного штата завода, и коллектив пришлось создавать заново из местного населения. Первого декабря на завод пришло около двухсот деревенских подростков и 160 учеников ремесленного училища (23014).</w:t>
      </w:r>
    </w:p>
    <w:p w14:paraId="080D2195" w14:textId="77777777" w:rsidR="003478D5" w:rsidRPr="00640820" w:rsidRDefault="003478D5" w:rsidP="00640820">
      <w:pPr>
        <w:spacing w:after="0" w:line="240" w:lineRule="auto"/>
        <w:jc w:val="both"/>
        <w:rPr>
          <w:rFonts w:ascii="Times New Roman" w:hAnsi="Times New Roman"/>
          <w:color w:val="0070C0"/>
          <w:sz w:val="16"/>
          <w:szCs w:val="16"/>
        </w:rPr>
      </w:pPr>
    </w:p>
    <w:p w14:paraId="21D1D3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сентября 1941 танковая группа Гудериана, которая 10 сентября 1941 прорвалась в район Ромны, соединилась с первой танковой группой Клейста в районе Конотопа. Произошла одна из грандиознейших военных катастроф второй мировой войны – Киевский котёл. После этого стало очевидно, что удержать Восточную Украину советские войска не смогут, а значит её развитая промышленность должна была быть как можно быстрее эвакуирована. Угроза нависла над Харьковом, от которого немцев в конце сентября отделяло всего чуть больше 70 километров.</w:t>
      </w:r>
    </w:p>
    <w:p w14:paraId="09ADEB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Только 12 сентября, когда военная катастрофа была предрешена, было принято решение начать эвакуацию из Харькова заводов танковой промышленности. Любопытно, что постановления ГКО № 666сс и № 667сс, в которых предписывалось начать подготовку к эвакуации вышеупомянутых четырех заводов, появились в тот же день, что и был образован наркомат танковой промышленности. Организация эвакуации этих заводов стала одной из первых задач наркомата. В соответствии с вышеупомянутыми постановлениями ГКО были отданы приказы народного комиссара танковой промышленности за № 2сс от 13 сентября 1941 года, в котором определялся порядок эвакуации завода № 75, и 4сс от того же числа, определявший порядок эвакуации Харьковского паровозостроительного завода и Мариупольского завода имени Ильича, а вслед за тем 11сс от 17 сентября, в которых определялся порядок эвакуации Харьковского тракторного завода. Эти приказы фактически содержат планы проведения эвакуации этих заводов. Впрочем, эти планы представляли собой не вольное творчество руководства наркомата. Основные мероприятия, запланированные в этих приказах, были уже подробно изложены в постановлениях ГКО № 666 и № 667.</w:t>
      </w:r>
    </w:p>
    <w:p w14:paraId="7021B3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бумаге все выглядит очень хорошо. Предприятия должны были быть эвакуированы в следующие пункты: завод № 183 - на Уральский вагоностроительный завод в городе Нижний Тагил, один из крупнейших заводов Урала, построенных в 30-е годы. На этом заводе имелись большие свободные площади, на которые до сих пор не было установлено оборудование ( из-за этого завод так и не вышел на проектируемую мощность производства ), а также развитое металлургическое производство. Впоследствии Уральский вагоностроительный завод ( в годы войны он обычно тоже назывался № 183, как и завод в Харькове ) стал крупнейшим танковым заводом мира, как по территории завода, которая, как оказалось, была сопоставима с крупным городом, так и по объёмам производства, и даже вошёл в книгу рекордов Гиннеса как крупнейший военный завод. Мариупольский завод имени Ильича должен был быть разделён на две части. Большая часть должна была войти в состав завода № 183 в Нижнем Тагиле, а другая, состоящая из оборудования и рабочих, занятых производством бронелиста – на Нижнетагильский Металлургический завод. Завод № 75 должен был быть эвакуирован на Челябинский тракторный завод, туда же, куда уже эвакуировался Кировский завод из Ленинграда, и войти там в его состав. ХТЗ должен был разделить своё оборудование между пятью заводами: тем же № 183, Сталинградским тракторным, № 264, тоже находившимся в Сталинграде, Чкаловским паровозоремонтным и Саратовским паровозоремонтным. С точки зрения размещения эвакуируемых предприятий план был отличным. Очень важно было то, что в качестве базы для развёртывания производства на новом месте можно было использовать уже существующие предприятия, имеющие собственную развитую производственную базу, запасы сырья, собственный жилой фонд, подсобные хозяйства и т. д.. Выбор Уралвагонзавода как предприятия, на которое должен был быть эвакуирован завод № 183, тоже был очень удачным и способствовал успешной деятельности этого крупнейшего танкового завода. ХТЗ, как предприятие, не имеющее собственных традиций танкостроения, было ценно не как единый комплекс, а прежде всего своим оборудованием. Ликвидация завода и распределение этого оборудования по нескольким предприятиям позволяло более эффективно его использовать. Так же разумным следует признать разделение на две части </w:t>
      </w:r>
      <w:r w:rsidRPr="00640820">
        <w:rPr>
          <w:rFonts w:ascii="Times New Roman" w:hAnsi="Times New Roman"/>
          <w:color w:val="000000" w:themeColor="text1"/>
          <w:sz w:val="16"/>
          <w:szCs w:val="16"/>
        </w:rPr>
        <w:lastRenderedPageBreak/>
        <w:t>Мариупольского завода. Производство бронекорпусов было действительно выгоднее передать танковому заводу, а металлургическое оборудование лучше было бы использовано на Нижнетагильском металлургическом заводе.</w:t>
      </w:r>
    </w:p>
    <w:p w14:paraId="57EBE6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Предполагалось провести эвакуацию в два этапа. Всё оборудование и кадры должны были быть разделены на две группы, каждая из которых должна была включать 50% действующего оборудования, занятого на производстве танков и деталей к ним, и соответствующее количество ИТР. На первом этапе, начать который предполагалось немедленно, должна была быть эвакуирована первая группа. Первый этап должен был завершиться на Мариупольском заводе имени Ильича к 10 октября, на заводе № 75 – 25 октября, на Харьковском Тракторном заводе – 27 октября, а на Харьковском Паровозостроительном заводе, он же № 183 – 10 ноября. Эвакуация второй группы должна была начаться только после того, как первая группа наладит на новом месте производство. Таким образом, процесс выпуска военной продукции не должен был быть прерван. Было установлено, что завод № 183 должен будет в ходе первого периода эвакуации производить не менее 7 танков в день, а Мариупольский завод имени Ильича – обеспечить для завода № 183 необходимое для такого объёма производства количество бронекорпусов и башен.</w:t>
      </w:r>
    </w:p>
    <w:p w14:paraId="10035B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Определёно количество и тип требующихся для проведения эвакуации вагонов. Их требовалось для проведения эвакуации немало. Так, Харьковский Паровозостроительный завод должен был получить для проведения обоих этапов эвакуации 3000 вагонов ( в стандартном двухосном исчислении ), в том числе 900 – для людей. Харьковский тракторный должен был получить для проведения эвакуации 3000 вагонов, в том числе и 1000 вагонов для людей. Завод № 75 должен был получить1650 вагонов, в том числе 480 вагонов для людей. Больше всего вагонов должен был получить Мариупольский завод имени Ильича. Ему должны были предоставить 6200 стандартных вагонов в двухосном исчислении, 220 50-ти тонных вагонов и 20 транспортёров. Всего для четырёх заводов требовалось 14090 вагонов всех типов. Постановления ГКО № 666 и № 667 обязывали НКПС выделить это количество вагонов для эвакуации предприятий НКТП. Транспортный отдел НКТП и его начальник Иванов получили указание обеспечить получение требуемых вагонов от НКПС. Впрочем, это огромное число вагонов вряд ли могло быть полностью получено в действительности.</w:t>
      </w:r>
    </w:p>
    <w:p w14:paraId="6BDE4E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Особое внимание в приказах уделено проблеме обустройства на новом месте. Заводы должны были выслать на новые места своего расположения группы специалистов во главе с главными инженерами и провести там подготовительную работу. Заранее было определено, что на Уралвагонзаводе, куда эвакуировался завод № 183, потребуется ещё две дополнительные мартеновские печи, которые директор завода должен построить к 1 декабря, так же как и фундамент под прокатный стан. Внимание было уделено не только организации производства на новом месте, но и созданию приемлемых условий быта рабочих. В частности, для будущих новых рабочих Уралвагонзавода, прибывающих в ходе эвакуации, предусматривалось построить деревянные дома на 40.000 человек. Строительство домов должно было быть завершено к 1 января 1942 года. Помимо этого, руководство партийной организации Свердловской и Челябинской областей должно было выделить жилой фонд в городе Нижний Тагил для эвакуированных сотрудников заводов наркомата. Для строительства должны были быть выделены необходимые материалы, в том числе Наркомлеспром был обязан предоставить 8000 вагонов леса.</w:t>
      </w:r>
    </w:p>
    <w:p w14:paraId="4A778F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Устанавливалась система контроля за проведением эвакуации. Директора заводов обязаны были ежедневно докладывать о ходе мероприятий по эвакуации, в том числе о количестве отгруженного оборудования, номерах и маршрутах поездов, их местоположении. Помимо этого, разумеется, на заводах были уполномоченные по эвакуации от НКТП, также как, разумеется, от ГКО и комитета по эвакуации, выполнявшие функции контроля.</w:t>
      </w:r>
    </w:p>
    <w:p w14:paraId="67CCB2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 эвакуации, изложенный в приказах, неплохо продуман, если мы учтем ту ситуацию цейтнота, в которой он создавался. Сами приказы представляют собой великолепные образцы методики, характерной для советской системы управления. Продуманы конкретные мероприятия, назначены ответственные за их осуществление, приняты решения о выделении необходимых средств. Приказы написаны четким лаконичным языком, задачи поставлены предельно ясно и понятно. Казалось бы, предусмотрено всё, от числа требуемых вагонов до числа домов для рабочих, которые необходимо построить. Предусмотрено и то, что эвакуация не должна прервать поставки военной техники армии. Я так много внимания уделил этим приказам и их анализу для того, чтобы показать, что во всём том, что произошло впоследствии, виновата не чья-то нераспорядительность или непредусмотрительность, все основные трудности были предвидены заранее, была сделана попытка подготовить их преодоление, но всё же объективные условия были слишком неблагоприятны.</w:t>
      </w:r>
    </w:p>
    <w:p w14:paraId="32E7E0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Как показали последующие события, планы, изложенные в приказах, выполнены не были, и, видимо, были невыполнимы вообще. Самым большим затруднением была нехватка времени. Танковой промышленности ещё сильно повезло в том, что немцы недостаточно оценили стратегическую важность захвата Харькова, направив главный удар группы армий Юг южнее, на Ростов. Для наступления на Харьков, впрочем, была выделена достаточно сильная 6-я армия. Советские войска упорно защищали Харьков. Советское командование понимало важность этого города, и много сделало для его защиты. Поэтому Харьков пал только 25 октября. Последний же эшелон с оборудованием завода № 183 покинул его 19 октября.</w:t>
      </w:r>
    </w:p>
    <w:p w14:paraId="04A0CF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Видимо, к началу октября опасность, нависшая над Харьковом, стала восприниматься советским руководством более реально. 4 октября выходит постановление ГКО, вносившее изменение в порядок эвакуации заводов № 75, № 183, ХТЗ и Мариупольского завода имени Ильича. 7 октября в соответствии с этим постановлением появился приказ наркома танковой промышленности Малышева В. А. № 53сс. Новые решения фактически отменяли двухэшелонный порядок эвакуации. Теперь эвакуировать следовало всё и при этом как можно быстрее. Срок был назван фантастически короткий, и поэтому невыполнимый – 15 октября, то есть, считая с днём появления приказа – 9 суток. Приказом был назначен срок начала производства танков на новом месте – 1 ноября. Эвакуации заводов НКТП из Харькова уделялось особое внимание, о чём свидетельствует то, что личный контроль за её осуществлением должен был осуществлять председатель комитета по эвакуации Шверник Н. М.. От НКТП в Харьков контролировать ход эвакуации был послан заместитель наркома Зернов. Нарком путей сообщения Л. М. Каганович должен был обеспечить подачу необходимого количества вагонов ( при этом точное число вагонов не указывалось, возможно, следовало исходить из того, сколько НКПС вообще сможет предоставить за такой короткий срок ). Начальник Главснаба НКТП Розин должен был обеспечить своевременное получение вагонов от НКПС. То, что на этот раз данная важная задача была доверена начальнику Главснаба, а не начальнику транспортного отдела, который должен был бы этим заниматься по своим служебным обязанностям, показывает, что перед этим с получением вагонов у НКТП возникали большие проблемы (11510).</w:t>
      </w:r>
    </w:p>
    <w:p w14:paraId="283C0A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260C7C2" w14:textId="77777777" w:rsidR="006431D3" w:rsidRPr="00640820" w:rsidRDefault="006431D3"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сентября 1942 проект ЗИК-20 был рассмотрен на совещании Технического Совета НКВ Союза ССР. О проекте докладывал начальник КБ завода №8 Ф.Ф. Петров. К его докладу прилагались объяснительная записка, чертежи и расчеты. Идея с отказом от дульного тормоза, сильно демаскирующего САУ при стрельбе, была одобрена. Несмотря на то, что Петров ставил вопрос о введении телескопического прицела, по проекту, в отличие от У-18, он не был предусмотрен. Сама установка МЛ-20 на ЗИК-20, по сравнению с У-18, была смещена вперед, что грозило увеличением нагрузки на передние опорные катки.</w:t>
      </w:r>
    </w:p>
    <w:p w14:paraId="75DC26E7" w14:textId="77777777" w:rsidR="006431D3" w:rsidRPr="00640820" w:rsidRDefault="006431D3"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Много вопросов у участников совещания вызвала компоновка боевого отделения. По сравнению с КВ-7, углы наклона бортов рубки была уменьшены, что, в свою очередь, снизило вероятность рикошета при попадании снарядов. Несмотря на то, что высота боевого отделения от пола до крыши составляла 1895 мм, расчету предстояло работать в весьма стесненных условиях. 395 мм «съедала» двухрядная укладка снарядов на полу, которой, к тому же, было неудобно пользоваться. Кроме того, крепление укладок к бортам рубки увеличивало риск детонации боекомплекта при попадании по рубке вражеских снарядов. Сомнения вызвало и решение разместить бензобаки вдоль бортов установки. Возник и ряд вопросов относительно эффективности вентиляции боевого отделения и защиты установки с кормы, где не было даже пистолетного порта (в отличие от У-18, где предусматривалась кормовая установка пулемета ДТ).</w:t>
      </w:r>
    </w:p>
    <w:p w14:paraId="19CD6C6C" w14:textId="77777777" w:rsidR="006431D3" w:rsidRPr="00640820" w:rsidRDefault="006431D3" w:rsidP="00640820">
      <w:pPr>
        <w:pStyle w:val="ae"/>
        <w:shd w:val="clear" w:color="auto" w:fill="FFFFFF"/>
        <w:spacing w:before="0" w:after="0"/>
        <w:jc w:val="both"/>
        <w:rPr>
          <w:color w:val="000000" w:themeColor="text1"/>
          <w:sz w:val="16"/>
          <w:szCs w:val="16"/>
        </w:rPr>
      </w:pPr>
      <w:r w:rsidRPr="00640820">
        <w:rPr>
          <w:color w:val="000000" w:themeColor="text1"/>
          <w:sz w:val="16"/>
          <w:szCs w:val="16"/>
        </w:rPr>
        <w:t>Несмотря на все перечисленные недостатки, а также тот факт, что ЗИК-20 к КВ-7 не имела никакого отношения, проект завода №8 одобрили. В данном случае время явилось определяющим фактором. Хотя САУ У-18 была более простой для изготовления, чем детище конкурентов, этот проект хоть и на несколько дней, но опоздал (15806).</w:t>
      </w:r>
    </w:p>
    <w:p w14:paraId="78C5327D" w14:textId="77777777" w:rsidR="006431D3" w:rsidRPr="00640820" w:rsidRDefault="006431D3" w:rsidP="00640820">
      <w:pPr>
        <w:pStyle w:val="ae"/>
        <w:shd w:val="clear" w:color="auto" w:fill="FFFFFF"/>
        <w:spacing w:before="0" w:after="0"/>
        <w:jc w:val="both"/>
        <w:rPr>
          <w:color w:val="000000" w:themeColor="text1"/>
          <w:sz w:val="16"/>
          <w:szCs w:val="16"/>
        </w:rPr>
      </w:pPr>
    </w:p>
    <w:p w14:paraId="402EDBA6" w14:textId="77777777" w:rsidR="00031E3A" w:rsidRPr="00640820" w:rsidRDefault="00031E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сентября в 1941 году выпущен первый серийный легкий танк «Т-60» конструкции Н.А.Астрова. В 1942 г разработан «Т-70», а в 1943 г.— танк «Т-80». Всего произведено всех модификаций свыше 14 тысяч машин (14770).</w:t>
      </w:r>
    </w:p>
    <w:p w14:paraId="60AD3B0E" w14:textId="77777777" w:rsidR="00031E3A" w:rsidRPr="00640820" w:rsidRDefault="00031E3A" w:rsidP="00640820">
      <w:pPr>
        <w:spacing w:after="0" w:line="240" w:lineRule="auto"/>
        <w:jc w:val="both"/>
        <w:rPr>
          <w:rFonts w:ascii="Times New Roman" w:hAnsi="Times New Roman"/>
          <w:color w:val="000000" w:themeColor="text1"/>
          <w:sz w:val="16"/>
          <w:szCs w:val="16"/>
        </w:rPr>
      </w:pPr>
    </w:p>
    <w:p w14:paraId="70BF7A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сентября 1941 года московский завод № 37 выпустил первый серийный Т-60, однако ввиду последовавшей вскоре эвакуации (приказ от 9 октября 1941-го года) производство было остановлено уже 26 сентября. Всего в Москве успели сделать 245 танков Т-60. Завод эвакуировали в Свердловск: на территорию заводов "Металлист", вагоноремонтного имени Воеводина и филиала "Уралмаша" - всего на три завода, куда оборудование прибывало с 28 октября по 6 ноября. Вместе с частью эвакуированного туда завода "КИМ" был образован новый танковый завод № 37 (главный конструктор Г.С. Суренян, затем Н.А. Попов) (3862).</w:t>
      </w:r>
    </w:p>
    <w:p w14:paraId="7CC888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149E48B" w14:textId="77777777" w:rsidR="003478D5" w:rsidRPr="00640820" w:rsidRDefault="003478D5" w:rsidP="00640820">
      <w:pPr>
        <w:shd w:val="clear" w:color="auto" w:fill="FFFFFF"/>
        <w:spacing w:after="0" w:line="240" w:lineRule="auto"/>
        <w:jc w:val="both"/>
        <w:rPr>
          <w:rFonts w:ascii="Times New Roman" w:eastAsia="Times New Roman" w:hAnsi="Times New Roman"/>
          <w:color w:val="0070C0"/>
          <w:sz w:val="16"/>
          <w:szCs w:val="16"/>
          <w:lang w:eastAsia="ru-RU"/>
        </w:rPr>
      </w:pPr>
      <w:r w:rsidRPr="00640820">
        <w:rPr>
          <w:rFonts w:ascii="Times New Roman" w:eastAsia="Times New Roman" w:hAnsi="Times New Roman"/>
          <w:color w:val="0070C0"/>
          <w:sz w:val="16"/>
          <w:szCs w:val="16"/>
          <w:lang w:eastAsia="ru-RU"/>
        </w:rPr>
        <w:t>К 15 сентября 1941 года на заводе № 37 первая опытная литая башня была готова. Проведенный на Научно-Испытательном Полигоне Стрелкового Вооружения КА обстрел башни показал, что она не пробивается, с дистанции 50 метров, пулей Б-30 из винтовки Мосина, а со 100 метров пулей Б-30 из крупнокалиберного пулемета ДШК. Таким образом, башня прошла испытания. Дополнительный оптимизм по отношению к данной башне заключался в том, что она без проблем ставилась не только на Т-30, но и на Т-60, благо погон тот же самый. Это означало, что Коломенский машиностроительный завод им. Куйбышева имел меньше проблем при переходе на выпуск корпусов нового танка. С учетом того, что на завод №37 уже были планы по переходу на Т-60, это являлось несомненным плюсом. Завод планировал постепенный переход на данные башни, серийный выпуск изделия был окончательно утвержден к 10 октября 1941 года (20599).</w:t>
      </w:r>
    </w:p>
    <w:p w14:paraId="3AD1A148" w14:textId="77777777" w:rsidR="003478D5" w:rsidRPr="00640820" w:rsidRDefault="003478D5" w:rsidP="00640820">
      <w:pPr>
        <w:spacing w:after="0" w:line="240" w:lineRule="auto"/>
        <w:jc w:val="both"/>
        <w:rPr>
          <w:rFonts w:ascii="Times New Roman" w:eastAsia="Times New Roman" w:hAnsi="Times New Roman"/>
          <w:color w:val="0070C0"/>
          <w:sz w:val="16"/>
          <w:szCs w:val="16"/>
          <w:lang w:eastAsia="ru-RU"/>
        </w:rPr>
      </w:pPr>
    </w:p>
    <w:p w14:paraId="3428AB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сентября 1941 был выпущен первый серийный легкий танк Т-60 Н.А.Астрова. Всего сделали 14 тыс. Т-60, Т-70 и Т-80 (3398,330).</w:t>
      </w:r>
    </w:p>
    <w:p w14:paraId="173F9F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ED5FF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сентября 1941 на заводе 37 в Черкизово под Москвой были выпущены первые Т-60 Н.А.Астрова (3547).</w:t>
      </w:r>
    </w:p>
    <w:p w14:paraId="72BBD9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BA3C28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15 сентября 1941 спаренный моторный агрегат ГАЗ-203 был начат про</w:t>
      </w:r>
      <w:r w:rsidRPr="00640820">
        <w:rPr>
          <w:rFonts w:ascii="Times New Roman" w:hAnsi="Times New Roman"/>
          <w:color w:val="000000" w:themeColor="text1"/>
          <w:sz w:val="16"/>
          <w:szCs w:val="16"/>
        </w:rPr>
        <w:softHyphen/>
        <w:t>ектированием, а в последних числах ноября 1941 г. его первые варианты дали многообещающий результат на на стенде, показав мощность 120—135 л.с. Но</w:t>
      </w:r>
      <w:r w:rsidRPr="00640820">
        <w:rPr>
          <w:rFonts w:ascii="Times New Roman" w:hAnsi="Times New Roman"/>
          <w:color w:val="000000" w:themeColor="text1"/>
          <w:sz w:val="16"/>
          <w:szCs w:val="16"/>
        </w:rPr>
        <w:softHyphen/>
        <w:t>вый двигатель представлял собой два последовательно спа</w:t>
      </w:r>
      <w:r w:rsidRPr="00640820">
        <w:rPr>
          <w:rFonts w:ascii="Times New Roman" w:hAnsi="Times New Roman"/>
          <w:color w:val="000000" w:themeColor="text1"/>
          <w:sz w:val="16"/>
          <w:szCs w:val="16"/>
        </w:rPr>
        <w:softHyphen/>
        <w:t>ренных в одном картере шестицилиндровых четырехтакт</w:t>
      </w:r>
      <w:r w:rsidRPr="00640820">
        <w:rPr>
          <w:rFonts w:ascii="Times New Roman" w:hAnsi="Times New Roman"/>
          <w:color w:val="000000" w:themeColor="text1"/>
          <w:sz w:val="16"/>
          <w:szCs w:val="16"/>
        </w:rPr>
        <w:softHyphen/>
        <w:t>ных карбюраторных мотора ГАЗ-202. Из-за увеличенных габаритов двигательной установки ГАЗ-203 в новом танке пришлось перейти на корпус увели</w:t>
      </w:r>
      <w:r w:rsidRPr="00640820">
        <w:rPr>
          <w:rFonts w:ascii="Times New Roman" w:hAnsi="Times New Roman"/>
          <w:color w:val="000000" w:themeColor="text1"/>
          <w:sz w:val="16"/>
          <w:szCs w:val="16"/>
        </w:rPr>
        <w:softHyphen/>
        <w:t>ченной длины. Общий габарит вырос незначительно, уда</w:t>
      </w:r>
      <w:r w:rsidRPr="00640820">
        <w:rPr>
          <w:rFonts w:ascii="Times New Roman" w:hAnsi="Times New Roman"/>
          <w:color w:val="000000" w:themeColor="text1"/>
          <w:sz w:val="16"/>
          <w:szCs w:val="16"/>
        </w:rPr>
        <w:softHyphen/>
        <w:t>лось использовать менее широкую номенклатуру бронепро-ката, чем Т-60. Но вес танка вырос (опытный танк «потянул» на взвешивании 8,4 т), и для компенсации перегрузки ходо</w:t>
      </w:r>
      <w:r w:rsidRPr="00640820">
        <w:rPr>
          <w:rFonts w:ascii="Times New Roman" w:hAnsi="Times New Roman"/>
          <w:color w:val="000000" w:themeColor="text1"/>
          <w:sz w:val="16"/>
          <w:szCs w:val="16"/>
        </w:rPr>
        <w:softHyphen/>
        <w:t>вой части в ней была добавлена пятая пара опорных катков (10782).</w:t>
      </w:r>
    </w:p>
    <w:p w14:paraId="446B34E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DA2730" w14:textId="77777777" w:rsidR="006431D3" w:rsidRPr="00640820" w:rsidRDefault="006431D3" w:rsidP="00640820">
      <w:pPr>
        <w:widowControl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15 сентября 1941 спаренный моторный агрегат ГАЗ-202 был начат проектированием, а в последних числах ноября </w:t>
      </w:r>
      <w:smartTag w:uri="urn:schemas-microsoft-com:office:smarttags" w:element="metricconverter">
        <w:smartTagPr>
          <w:attr w:name="ProductID" w:val="1945 г"/>
        </w:smartTagPr>
        <w:r w:rsidRPr="00640820">
          <w:rPr>
            <w:rFonts w:ascii="Times New Roman" w:hAnsi="Times New Roman"/>
            <w:color w:val="000000" w:themeColor="text1"/>
            <w:sz w:val="16"/>
            <w:szCs w:val="16"/>
          </w:rPr>
          <w:t>1941 г</w:t>
        </w:r>
      </w:smartTag>
      <w:r w:rsidRPr="00640820">
        <w:rPr>
          <w:rFonts w:ascii="Times New Roman" w:hAnsi="Times New Roman"/>
          <w:color w:val="000000" w:themeColor="text1"/>
          <w:sz w:val="16"/>
          <w:szCs w:val="16"/>
        </w:rPr>
        <w:t>. его первые варианты дали многообещающий результат на стенде, показав мощность 120-</w:t>
      </w:r>
      <w:smartTag w:uri="urn:schemas-microsoft-com:office:smarttags" w:element="metricconverter">
        <w:smartTagPr>
          <w:attr w:name="ProductID" w:val="1945 г"/>
        </w:smartTagPr>
        <w:r w:rsidRPr="00640820">
          <w:rPr>
            <w:rFonts w:ascii="Times New Roman" w:hAnsi="Times New Roman"/>
            <w:color w:val="000000" w:themeColor="text1"/>
            <w:sz w:val="16"/>
            <w:szCs w:val="16"/>
          </w:rPr>
          <w:t>135 л</w:t>
        </w:r>
      </w:smartTag>
      <w:r w:rsidRPr="00640820">
        <w:rPr>
          <w:rFonts w:ascii="Times New Roman" w:hAnsi="Times New Roman"/>
          <w:color w:val="000000" w:themeColor="text1"/>
          <w:sz w:val="16"/>
          <w:szCs w:val="16"/>
        </w:rPr>
        <w:t xml:space="preserve">.с. Новый двигатель представлял собой два последовательно спаренных в одном картере шестицилиндровых четырехтактных карбюраторных мотора ГАЗ-202. Из-за увеличенных габаритов двигательной установки ГАЗ-203 в новом танке пришлось перейти на корпус увеличенной длины. Общий габарит вырос незначительно, удалось использовать менее широкую номенклатуру бронепроката, чем Т-60. Но вес танка вырос (опытный танк «потянул» на взвешивании 8,4 т), и для компенсации перегрузки ходовой части в ней была добавлена пятая пара опорных катков. В декабре для танка, получившего индекс «ГАЗ-70», уже были готовы также сварной корпус и литая башня конструкции В. Дедкова с толщиной стенок </w:t>
      </w:r>
      <w:smartTag w:uri="urn:schemas-microsoft-com:office:smarttags" w:element="metricconverter">
        <w:smartTagPr>
          <w:attr w:name="ProductID" w:val="1945 г"/>
        </w:smartTagPr>
        <w:r w:rsidRPr="00640820">
          <w:rPr>
            <w:rFonts w:ascii="Times New Roman" w:hAnsi="Times New Roman"/>
            <w:color w:val="000000" w:themeColor="text1"/>
            <w:sz w:val="16"/>
            <w:szCs w:val="16"/>
          </w:rPr>
          <w:t>40 мм</w:t>
        </w:r>
      </w:smartTag>
      <w:r w:rsidRPr="00640820">
        <w:rPr>
          <w:rFonts w:ascii="Times New Roman" w:hAnsi="Times New Roman"/>
          <w:color w:val="000000" w:themeColor="text1"/>
          <w:sz w:val="16"/>
          <w:szCs w:val="16"/>
        </w:rPr>
        <w:t>, кокиль для которой был изготовлен на артиллерийском заводе №92. Первый образец танка имел почти то же бронирование, что и Т-60. Он сильно напоминал своего предшественника, но был при этом немного удлинен и пропорционально вырос вверх. Проектирование танка велось принятым в автомобилестроении приемом, который был непривычен для конструкторов танков. Общие виды танка были вычерчены в натуральную величину на специальных алюминиевых пластинах размером 7х3 м, окрашенных специальной белой эмалью и расчерченных на квадраты размером 200х200 мм. С целью сокращения площади чертежа и повышения его точности на главную проекцию – продольный разрез – были наложены план и полные и частичные разрезы. Чертежи выполнялись с максимально возможной полнотой, включая все элементы, узлы и детали внутреннего и внешнего оборудования машины. Эти чертежи послужили основой для контроля при сборке опытного образца и даже всей первой серии машин. Главным преимуществом таких чертежей была их высокая точность (15218).</w:t>
      </w:r>
    </w:p>
    <w:p w14:paraId="4F1E3407" w14:textId="77777777" w:rsidR="006431D3" w:rsidRPr="00640820" w:rsidRDefault="006431D3" w:rsidP="00640820">
      <w:pPr>
        <w:widowControl w:val="0"/>
        <w:spacing w:after="0" w:line="240" w:lineRule="auto"/>
        <w:jc w:val="both"/>
        <w:rPr>
          <w:rFonts w:ascii="Times New Roman" w:hAnsi="Times New Roman"/>
          <w:color w:val="000000" w:themeColor="text1"/>
          <w:sz w:val="16"/>
          <w:szCs w:val="16"/>
        </w:rPr>
      </w:pPr>
    </w:p>
    <w:p w14:paraId="54BED75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сентября 1941 Н. Астров подписал проект создания спа</w:t>
      </w:r>
      <w:r w:rsidRPr="00640820">
        <w:rPr>
          <w:rFonts w:ascii="Times New Roman" w:hAnsi="Times New Roman"/>
          <w:color w:val="000000" w:themeColor="text1"/>
          <w:sz w:val="16"/>
          <w:szCs w:val="16"/>
        </w:rPr>
        <w:softHyphen/>
        <w:t>ренных установок двигателей ГАЗ-М1 и ГАЗ-202, а до конца ноября была сдана пробная серия моторного агрегата мощно</w:t>
      </w:r>
      <w:r w:rsidRPr="00640820">
        <w:rPr>
          <w:rFonts w:ascii="Times New Roman" w:hAnsi="Times New Roman"/>
          <w:color w:val="000000" w:themeColor="text1"/>
          <w:sz w:val="16"/>
          <w:szCs w:val="16"/>
        </w:rPr>
        <w:softHyphen/>
        <w:t>стью 135 л.с., получившего индекс ГАЗ-203. Новый двигательный агрегат представлял собой два последовательно спаренных в одном картере шестицилинд-ровых четырехтактных карбюраторных мо</w:t>
      </w:r>
      <w:r w:rsidRPr="00640820">
        <w:rPr>
          <w:rFonts w:ascii="Times New Roman" w:hAnsi="Times New Roman"/>
          <w:color w:val="000000" w:themeColor="text1"/>
          <w:sz w:val="16"/>
          <w:szCs w:val="16"/>
        </w:rPr>
        <w:softHyphen/>
        <w:t>тора ГАЗ-202 с карбюраторами типа «М». Несмотря на увеличенную массу и габари</w:t>
      </w:r>
      <w:r w:rsidRPr="00640820">
        <w:rPr>
          <w:rFonts w:ascii="Times New Roman" w:hAnsi="Times New Roman"/>
          <w:color w:val="000000" w:themeColor="text1"/>
          <w:sz w:val="16"/>
          <w:szCs w:val="16"/>
        </w:rPr>
        <w:softHyphen/>
        <w:t>ты, мотор удалось компактно разместить вдоль правого борта танка. Корпус все же пришлось несколько удлинить; в свою оче</w:t>
      </w:r>
      <w:r w:rsidRPr="00640820">
        <w:rPr>
          <w:rFonts w:ascii="Times New Roman" w:hAnsi="Times New Roman"/>
          <w:color w:val="000000" w:themeColor="text1"/>
          <w:sz w:val="16"/>
          <w:szCs w:val="16"/>
        </w:rPr>
        <w:softHyphen/>
        <w:t>редь, увеличение размеров и перегрузка хо</w:t>
      </w:r>
      <w:r w:rsidRPr="00640820">
        <w:rPr>
          <w:rFonts w:ascii="Times New Roman" w:hAnsi="Times New Roman"/>
          <w:color w:val="000000" w:themeColor="text1"/>
          <w:sz w:val="16"/>
          <w:szCs w:val="16"/>
        </w:rPr>
        <w:softHyphen/>
        <w:t>довой части (вес танка достиг 8,5-9 т) вы</w:t>
      </w:r>
      <w:r w:rsidRPr="00640820">
        <w:rPr>
          <w:rFonts w:ascii="Times New Roman" w:hAnsi="Times New Roman"/>
          <w:color w:val="000000" w:themeColor="text1"/>
          <w:sz w:val="16"/>
          <w:szCs w:val="16"/>
        </w:rPr>
        <w:softHyphen/>
        <w:t>звали необходимость добавления пары кат</w:t>
      </w:r>
      <w:r w:rsidRPr="00640820">
        <w:rPr>
          <w:rFonts w:ascii="Times New Roman" w:hAnsi="Times New Roman"/>
          <w:color w:val="000000" w:themeColor="text1"/>
          <w:sz w:val="16"/>
          <w:szCs w:val="16"/>
        </w:rPr>
        <w:softHyphen/>
        <w:t>ков и усиления торсионов на передних и задних катках (11084).</w:t>
      </w:r>
    </w:p>
    <w:p w14:paraId="38582CE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BF5CE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сентября 1941 по данным штаба Ленинградского фронта, отгрузка броневых автомобилей с завода № 189 — 4 БА-10М линейных №№... — в резерв командующего Ленинградским фронтом (11284).</w:t>
      </w:r>
    </w:p>
    <w:p w14:paraId="2D5BF29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7681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сентября 1941 Военный совет фронта утвердил план мероприятий по выводу из строя важнейших промышленных и оборонных объектов в случае прорыва фашистов в Ленинград. Балтийцы начали текущий и средний ремонт ПЛ П-3. Адмиралтейцы сдали флоту БК по пр. 1124, заложенный ижорцами (10671).</w:t>
      </w:r>
    </w:p>
    <w:p w14:paraId="4C5480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0D44689"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4AA2E124"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5A40714"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СЕНТЯБРЯ 1941 УТРЕННЕЕ СООБЩЕНИЕ Совинформбюро:</w:t>
      </w:r>
    </w:p>
    <w:p w14:paraId="60B084C6"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ночь на 15 сентября наши войска вели бои с противником на всём фронте. </w:t>
      </w:r>
    </w:p>
    <w:p w14:paraId="6EE27918"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одном из участков Западного направления фронта германское командование сильно укрепило окраины двух населённых пунктов. Нашим войскам была поставлена задача выбить фашистов из этих пунктов. При подходе наших частей немцы открыли огонь из 75 мм орудий, а затем бросили в контратаку колонну танков, большое количество мотоциклистов и мотопехоту. На фашистские танки обрушили всю огневую мощь своих батарей старший лейтенант Капустин и капитан Секундин. Меткими выстрелами советских артиллеристов было подбито 8 танков противника. Следовавшая за танками пехота, понеся большие потери, остановилась. В это время с флангов по противнику открыли огонь пулемётная рота лейтенанта Крупина и миномётная батарея старшего сержанта Николаева. До 600 трупов немецких солдат остались на поле боя. </w:t>
      </w:r>
    </w:p>
    <w:p w14:paraId="014C6D68"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Немцы сделали ещё несколько попыток с помощью танков приостановить наступление наших частей, но все эти попытки были безуспешны. Вражеские машины расстреливались из пушек, уничтожались противотанковыми гранатами и бутылками с горючей смесью. Отбив контратаки фашистов, советская артиллерия и авиация нанесли удар по немецким укреплениям. В результате атаки наших частей фашисты были выбиты из своих укреплений. </w:t>
      </w:r>
    </w:p>
    <w:p w14:paraId="6C0DE09B"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бою 11 и 12 сентября наши части разбили два немецких полка. Один из них— 456 пехотный полк — потерял до 80 процентов своего состава. Кроме того, немцы потеряли 25 танков, 28 орудий, 38 пулемётов, 9 миномётов, 3 бронемашины, свыше 100 мотоциклов и 4 радиостанции. </w:t>
      </w:r>
    </w:p>
    <w:p w14:paraId="6B6E927E"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звено истребителей старшего лейтенанта Ивачёва напали восемь «Мессершмиттов». Три советских истребителя смело приняли бой с фашистскими самолётами. Тов. Ивачёв уже в первые минуты боя сбил один «Мессершмитт». Вскоре загорелся в воздухе другой вражеский самолёт. Его сбил старший лейтенант Селиверстов. Через несколько минут третий «Мессершмитт» камнем рухнул на землю. Это был одиннадцатый немецкий самолёт, сбитый за время Отечественной войны старшим лейтенантом Ивачёвым. </w:t>
      </w:r>
    </w:p>
    <w:p w14:paraId="0BF6DEA4"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ожесточённом бою вражеская пуля ранила батальонного комиссара тов. Чижухина. Бесстрашный комиссар не покинул поля сражения и личным примером воодушевлял бойцов, неизменно появляясь на самых опасных участках. Комиссар был вторично тяжело ранен. Сражавшийся рядом с тов. Чижухиным красноармеец тов. Бычков подбежал к комиссару и вынес его с поля боя. Тов. Бычков получил ранение, но не оставил своего комиссара. </w:t>
      </w:r>
    </w:p>
    <w:p w14:paraId="18C7FE97"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Батарее старшего лейтенанта тов. Чистякова было приказано подавить две белофинские батареи. Лейтенант тов. Чапельский незаметно подполз близко к позициям противника и оттуда точно корректировал стрельбу. После пристрелки наши артиллеристы открыли беглый огонь. Обе вражеских батареи были уничтожены. </w:t>
      </w:r>
    </w:p>
    <w:p w14:paraId="4B7EA57F"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Во всех районах Белоруссии, захваченных немецко-фашистскими войсками, всё более широко развёртывается партизанское движение. Только за вторую половину августа в Белоруссии более 1.000 немцев было убито партизанами. В Полесской области отряды партизан взорвали и сожгли более 20 складов с боеприпасами, 46 бензохранилищ, 115 транспортов с продовольствием, 47 обозов с войсковым снаряжением. В 52 населённых пунктах партизаны полностью перебили фашистские гарнизоны. Несколько карательных отрядов, посланных германским командованием с целью ликвидации партизанского движения, были сильно потрёпаны и вернулись ни с чем. </w:t>
      </w:r>
    </w:p>
    <w:p w14:paraId="549FCD48"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Огромные потери гитлеровцев в боях с Красной Армией вынудили германское командование во многих случаях снять гарнизоны из населённых пунктов и отправить их на фронт. Вместо немецких комендантов во главе сёл были поставлены старосты из бывших кулаков, белогвардейцев и уголовных преступников. Как только из районных центров и окрестных деревень ушли немецкие гарнизоны, партизаны принялись за уничтожение фашистских ставленников. Часть из них сбежала, многие были расстреляны партизанами. </w:t>
      </w:r>
    </w:p>
    <w:p w14:paraId="11931C53"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заводах, фабриках и шахтах сотни тысяч советских патриоток заменяют своих мужей, братьев и сыновей, ушедших на фронт. В Магнитогорске свыше 1.000 женщин окончили краткосрочные курсы и приступают к работе на металлургическом комбинате. Работница цеха отделки тов. Жаворонкова уже даёт за смену четыре нормы. Растёт число женщин, занятых на буровых работах и добыче нефти в тресте «Бугурусланнефть». Буровой мастер тов. Бузу луцкий организовал женскую буровую бригаду. Бригада успешно пробурила буровую № 437, которая уже даёт нефть. Стахановскими темпами была пройдена и буровая № 409, сданная в эксплуатацию на 6 дней раньше срока. Двадцать бывших домохозяек, жён нефтяников, оканчивают курсы мотористов. 25 женщин учатся на курсах кочегаров. В Архангельской области револьверщица Соломбальского завода Павла Сафонова отлично изучила свой станок и теперь, как правило, выполняет две нормы. Бывшие домашние хозяйки Бадьян, Воробьёва и другие дают на электросварке от 150 до 220 процентов нормы в сутки. </w:t>
      </w:r>
    </w:p>
    <w:p w14:paraId="53B25579"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каждым днём среди женщин-производственниц ширится движение за овладение более сложными профессиями. Горнячка Карагандинской шахты № 20 Мария Каримова до Отечественной войны была вагонщицей. Сейчас она стала помощником врубмашиниста. На шахте № 19 выборщицы породы т.т. Машева, Никитина и Кизелева за короткий срок изучили профессию электросварки. Откатчицы шахты № 1 т.т. Распаева и Садвакасова стали машинистами подъёмных машин. </w:t>
      </w:r>
    </w:p>
    <w:p w14:paraId="7B85DB12" w14:textId="77777777" w:rsidR="006431D3" w:rsidRPr="00640820" w:rsidRDefault="006431D3" w:rsidP="00640820">
      <w:pPr>
        <w:spacing w:after="0" w:line="240" w:lineRule="auto"/>
        <w:jc w:val="both"/>
        <w:rPr>
          <w:rFonts w:ascii="Times New Roman" w:hAnsi="Times New Roman"/>
          <w:color w:val="000000" w:themeColor="text1"/>
          <w:sz w:val="16"/>
          <w:szCs w:val="16"/>
        </w:rPr>
      </w:pPr>
    </w:p>
    <w:p w14:paraId="593232C1"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СЕНТЯБРЯ 1941 ВЕЧЕРНЕЕ СООБЩЕНИЕ Совинформбюро:</w:t>
      </w:r>
    </w:p>
    <w:p w14:paraId="75D201A2"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течение 15 сентября наши войска вели упорные бои с противником на всём фронте. </w:t>
      </w:r>
    </w:p>
    <w:p w14:paraId="149596CB"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 13 сентября в воздушных боях уничтожено 15 немецких самолётов. Наши потери — 10 самолётов. Наша авиация бомбила Галац, Сулин и Констанцу. </w:t>
      </w:r>
    </w:p>
    <w:p w14:paraId="49C6B5CC"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13 сентября противник предпринял операцию по высадке десанта на побережье острова Эзель. Действиями наших кораблей, авиации и огнём береговых батарей десантный отряд немцев разгромлен. Потоплено 4 транспорта и один эсминец противника. Оставшиеся два транспорта и несколько немецких миноносцев получили серьёзные повреждения. </w:t>
      </w:r>
    </w:p>
    <w:p w14:paraId="67393AF5"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течение 13 и 14 сентября немецко-румынские войска вновь пытались непрерывными атаками пробиться к Одессе. Наши части — красноармейцы и моряки — в ожесточённых боях отбивали атаки количественно превосходящего противника. В боях рассеян 4 пехотный полк румын, причём один батальон этого полка уничтожен. </w:t>
      </w:r>
    </w:p>
    <w:p w14:paraId="1997BFC5"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Действия наших сухопутных частей поддерживались артиллерийским огнём кораблей Черноморского флота. </w:t>
      </w:r>
    </w:p>
    <w:p w14:paraId="6DA49838"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Воздушная разведка сообщила, что вражеский транспорт водоизмещением в 8.000 тонн под охраной военного корабля и трёх катеров направляется в Петсамо. Навстречу кораблям противника вышли два советских торпедных катера под командованием капитан-лейтенанта Куксенко. Приглушив моторы, на малом ходу, наши катера незаметно прошли мимо вражеских береговых батарей. У входа в залив они приблизились к берегу и стали ждать появления немецких судов. Вскоре показались силуэты фашистских катеров. Катера были беспрепятственно пропущены в залив. Когда показались транспортный и сторожевой корабли, советские катера подошли к ним на дистанцию в 500-600 метров и пустили торпеды. Транспорт и сторожевой корабль пошли ко дну. </w:t>
      </w:r>
    </w:p>
    <w:p w14:paraId="5E708A43"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Смоленские партизаны помогают Красной Армии громить фашистские орды. Бойцы партизанских отрядов уничтожают вражеских солдат, танки, автомашины, склады боеприпасов и продовольствия. Отряд под командованием учителя тов. 3. недавно совершил нападение на немецкую заставу в деревне Троицкое. Накануне налёта разведчики выяснили, что немцы обычно спят в сарае. Ночью партизаны бесшумно подползли к сараю. Один партизан выстрелом в упор застрелил часового. Два других бойца метнули гранаты в полураскрытые двери сарая. Командир отрада бросил на крышу несколько бутылок с горючим. Сарай загорелся. Уцелевшие фашисты в панике кинулись к воротам, но пулемётный огонь преградил им путь. Все находившиеся в сарае немцы были уничтожены. На следующий день отряд встретил немецкую разведку. Фашистов было вдвое больше, но партизаны приняли бой. В ожесточённой схватке было убито 8 немцев, остальные убежали. В деревне Никитинка немецкий обер-лейтенант Адольф Миттель и группа фашистских солдат замучили и растерзали старого колхозника Ивана Петровича Воронина. Они выпытывали у него сведения о том, где скрываются его сыновья-партизаны: председатель колхоза Сергей, тракторист Пётр и агроном Владимир. Старик героически перенёс все пытки и умер, не проронив ни слова. Вечером в лагерь партизанского отряда пришёл посланец из деревни и рассказал о злодеянии фашистских головорезов. С разрешения командира отряда сыновья И. П. Воронина отправились в родную деревню. По дороге они порвали телефонные провода, протянутые от деревни, в которой стояла немецкая рота, до штаба полка. Солдат, посланный исправить линию, был убит. Фашисты послали ещё двух солдат и унтер-офицера, но и их постигла та же участь. На следующий день братья Воронины подстрелили трёх немецких солдат, гнавших стадо коров, захваченных в соседних колхозах. Ночью в разных концах деревни начались пожары. Горели склады с боеприпасами и амбары с награбленным фуражом. Солдаты бросились тушить пожар. Воспользовавшись паникой, отважные партизаны проникли в квартиру обер-лейтенанта Адольфа Миттеля и расстреляли его. На дверях дома братья Воронины написали мелом: «За отца, за надругательства над советскими людьми». </w:t>
      </w:r>
    </w:p>
    <w:p w14:paraId="1E75182A"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 чудовищных зверствах гитлеровцев сообщил житель города Луги Алексей Петрович Орехов, бежавший из фашистского плена. «Как только гитлеровские бандиты вступили в город, — говорит тов. Орехов,— начались расстрелы мирного населения. В первый же день все оставшиеся жители города были согнаны в городской сад. В присутствии десятков людей солдаты стали строить виселицу. Офицер, руководивший работами, издевательски «разъяснял» окружающим, что пропускная способность этого сооружения очень велика. Первым был повешен начальник лесопункта Михаил Орехов. Затем немцы казнили ещё нескольких человек. Фашистские изверги строго запретили снимать трупы казнённых. Через несколько дней в город приехал начальник отделения гестапо. Он организовал застенок, в котором пытал свои жертвы. В первый же вечер фашисты поймали на улице 8 девушек и изнасиловали их. Во всех домах происходили повальные грабежи. Грабили и открыто на улицах. Днём патрульный солдат остановил местную учительницу и отобрал у неё часы». </w:t>
      </w:r>
    </w:p>
    <w:p w14:paraId="0D2CC559"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деревне Дедково, Псковского района, фашисты повесили 12 колхозников «за неуважение к немцам». В деревне Верхний Мост, Славковского района, была расстреляна мать шестерых детей за то, что она выкопала на своём огороде картошку и хотела накормить ею детей. </w:t>
      </w:r>
    </w:p>
    <w:p w14:paraId="099BA2C1"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колхозе «Вторая пятилетка», Плюсского района, Ленинградской области, отряд фашистских карателей потребовал выдачи партизан. Крестьяне молчали. Тогда солдаты выгнали всё население на улицу и стали каждого жителя прогонять сквозь строй. Стариков, женщин и детей били палками и прикладами. Многие из них умерли от этих кровавых зверств немецко-фашистских мерзавцев (14770).</w:t>
      </w:r>
    </w:p>
    <w:p w14:paraId="32BF7B2A" w14:textId="77777777" w:rsidR="006431D3" w:rsidRPr="00640820" w:rsidRDefault="006431D3" w:rsidP="00640820">
      <w:pPr>
        <w:spacing w:after="0" w:line="240" w:lineRule="auto"/>
        <w:jc w:val="both"/>
        <w:rPr>
          <w:rFonts w:ascii="Times New Roman" w:hAnsi="Times New Roman"/>
          <w:color w:val="000000" w:themeColor="text1"/>
          <w:sz w:val="16"/>
          <w:szCs w:val="16"/>
        </w:rPr>
      </w:pPr>
    </w:p>
    <w:p w14:paraId="76E4C4CF" w14:textId="77777777" w:rsidR="006431D3" w:rsidRPr="00640820" w:rsidRDefault="006431D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сентября в 1941 году вышло постановление ГКО о призыве военнообязанных, пользующихся отсрочками по мобилизации, и граждан 1922 года рождения (14770).</w:t>
      </w:r>
    </w:p>
    <w:p w14:paraId="415F2F23" w14:textId="77777777" w:rsidR="006431D3" w:rsidRPr="00640820" w:rsidRDefault="006431D3" w:rsidP="00640820">
      <w:pPr>
        <w:spacing w:after="0" w:line="240" w:lineRule="auto"/>
        <w:jc w:val="both"/>
        <w:rPr>
          <w:rFonts w:ascii="Times New Roman" w:hAnsi="Times New Roman"/>
          <w:color w:val="000000" w:themeColor="text1"/>
          <w:sz w:val="16"/>
          <w:szCs w:val="16"/>
        </w:rPr>
      </w:pPr>
    </w:p>
    <w:p w14:paraId="7BA027F4" w14:textId="77777777" w:rsidR="00DE7CDD" w:rsidRPr="00640820" w:rsidRDefault="00DE7CDD" w:rsidP="00640820">
      <w:pPr>
        <w:pStyle w:val="ae"/>
        <w:spacing w:before="0" w:after="0"/>
        <w:jc w:val="both"/>
        <w:textAlignment w:val="baseline"/>
        <w:rPr>
          <w:color w:val="000000" w:themeColor="text1"/>
          <w:sz w:val="16"/>
          <w:szCs w:val="16"/>
        </w:rPr>
      </w:pPr>
      <w:r w:rsidRPr="00640820">
        <w:rPr>
          <w:color w:val="000000" w:themeColor="text1"/>
          <w:sz w:val="16"/>
          <w:szCs w:val="16"/>
        </w:rPr>
        <w:t>15 сентября 1941 группа Ил-2 из 215-го шап совершила первый налет, как говорилось в донесении, на «аэродром севернее Смоленска». Пилоты штурмовиков заявили о полном успехе и о пятнадцати сожженных на земле бомбардировщиках. Фактически же, по немецким данным, ни один самолет не пострадал (19522).</w:t>
      </w:r>
    </w:p>
    <w:p w14:paraId="4A29BE77" w14:textId="77777777" w:rsidR="00DE7CDD" w:rsidRPr="00640820" w:rsidRDefault="00DE7CDD" w:rsidP="00640820">
      <w:pPr>
        <w:pStyle w:val="ae"/>
        <w:spacing w:before="0" w:after="0"/>
        <w:jc w:val="both"/>
        <w:textAlignment w:val="baseline"/>
        <w:rPr>
          <w:color w:val="000000" w:themeColor="text1"/>
          <w:sz w:val="16"/>
          <w:szCs w:val="16"/>
        </w:rPr>
      </w:pPr>
    </w:p>
    <w:p w14:paraId="3E7CBAC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15 сентября 1941 г. с 15 ав</w:t>
      </w:r>
      <w:r w:rsidRPr="00640820">
        <w:rPr>
          <w:rFonts w:ascii="Times New Roman" w:hAnsi="Times New Roman"/>
          <w:color w:val="000000" w:themeColor="text1"/>
          <w:sz w:val="16"/>
          <w:szCs w:val="16"/>
        </w:rPr>
        <w:softHyphen/>
        <w:t>густа, согласно командованию 8-й над в отчёте о боевой работе дивизии в составе Северного и Ленинградского фронтов: «Са</w:t>
      </w:r>
      <w:r w:rsidRPr="00640820">
        <w:rPr>
          <w:rFonts w:ascii="Times New Roman" w:hAnsi="Times New Roman"/>
          <w:color w:val="000000" w:themeColor="text1"/>
          <w:sz w:val="16"/>
          <w:szCs w:val="16"/>
        </w:rPr>
        <w:softHyphen/>
        <w:t>молёт Ил-2 - отличный штурмовик с богатейшим вооружением - пер</w:t>
      </w:r>
      <w:r w:rsidRPr="00640820">
        <w:rPr>
          <w:rFonts w:ascii="Times New Roman" w:hAnsi="Times New Roman"/>
          <w:color w:val="000000" w:themeColor="text1"/>
          <w:sz w:val="16"/>
          <w:szCs w:val="16"/>
        </w:rPr>
        <w:softHyphen/>
        <w:t>воклассная мировая машина. Воо</w:t>
      </w:r>
      <w:r w:rsidRPr="00640820">
        <w:rPr>
          <w:rFonts w:ascii="Times New Roman" w:hAnsi="Times New Roman"/>
          <w:color w:val="000000" w:themeColor="text1"/>
          <w:sz w:val="16"/>
          <w:szCs w:val="16"/>
        </w:rPr>
        <w:softHyphen/>
        <w:t>ружённый пулемётами, пушкой, РСами, бомбами калибра от АО-2,5 до ФАБ-50 с возможностью при</w:t>
      </w:r>
      <w:r w:rsidRPr="00640820">
        <w:rPr>
          <w:rFonts w:ascii="Times New Roman" w:hAnsi="Times New Roman"/>
          <w:color w:val="000000" w:themeColor="text1"/>
          <w:sz w:val="16"/>
          <w:szCs w:val="16"/>
        </w:rPr>
        <w:softHyphen/>
        <w:t>менения ампул КС, бронированный, этот самолёт представляет из себя самое грозное оружие для действия по войскам и аэродромам против</w:t>
      </w:r>
      <w:r w:rsidRPr="00640820">
        <w:rPr>
          <w:rFonts w:ascii="Times New Roman" w:hAnsi="Times New Roman"/>
          <w:color w:val="000000" w:themeColor="text1"/>
          <w:sz w:val="16"/>
          <w:szCs w:val="16"/>
        </w:rPr>
        <w:softHyphen/>
        <w:t>ника». Однако штурмовиков ещё не было в должном количестве, поэто</w:t>
      </w:r>
      <w:r w:rsidRPr="00640820">
        <w:rPr>
          <w:rFonts w:ascii="Times New Roman" w:hAnsi="Times New Roman"/>
          <w:color w:val="000000" w:themeColor="text1"/>
          <w:sz w:val="16"/>
          <w:szCs w:val="16"/>
        </w:rPr>
        <w:softHyphen/>
        <w:t>му наряду с Ил-2 для уничтожения противника на земле привлекали и истребители. К примеру, в той же 8-й над в период С 15 августа по 15 сентября 1941 г. воевавшие на МиГах лётчики 15-го иап из 778 боевых вылетов 243 совершили на штурмовку войск и аэродромов противника. В то же время лётчики 46-го иап, воевавшие на ЛаГГ-3, на штурмовку выполнили 138 боевых вылетов из 509. Всего же в 8-й иад в указанный период из 1601 бое</w:t>
      </w:r>
      <w:r w:rsidRPr="00640820">
        <w:rPr>
          <w:rFonts w:ascii="Times New Roman" w:hAnsi="Times New Roman"/>
          <w:color w:val="000000" w:themeColor="text1"/>
          <w:sz w:val="16"/>
          <w:szCs w:val="16"/>
        </w:rPr>
        <w:softHyphen/>
        <w:t>вого вылета 504 приходилось на штурмовые действия, то есть прак</w:t>
      </w:r>
      <w:r w:rsidRPr="00640820">
        <w:rPr>
          <w:rFonts w:ascii="Times New Roman" w:hAnsi="Times New Roman"/>
          <w:color w:val="000000" w:themeColor="text1"/>
          <w:sz w:val="16"/>
          <w:szCs w:val="16"/>
        </w:rPr>
        <w:softHyphen/>
        <w:t>тически треть. Причём доля Ил-2 составляла всего 75 вылетов. Это наглядно показывает, что авиация Красной Армии остро нуждалась в штурмовиках (11761).</w:t>
      </w:r>
    </w:p>
    <w:p w14:paraId="5215BB6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C271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сентября 1941 в боевом донесении 135-го бап № 034  говорится, что летчики полка совершили 12 сентября восемь вылетов на атаку войск противники и два на разведку. "С задания не вернулось три Су-2. Летчик лейтенант Суматохин погиб, летнаб капитан Гаврилов получил ранение. Судьба ст. лейтенанта Зеленко осталась неизвестной. По непроверенным данным летчик (так в тексте. - Прим. авт.) ранен и находится на излечении в Харьковском госпитале".</w:t>
      </w:r>
    </w:p>
    <w:p w14:paraId="0C90A4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Через несколько дней стало известно, что в этом госпитале находится не Екатерина, а авиатор другой авиачасти. Вернувшийся в строй штурман экипажа лейтенант Н.С. Павлык, сумевший спастись на парашюте, рассказал о последних минутах жизни Зеленко. Вылетевший к месту падения самолета Су-2 заместитель командира полка майор А.И. Пушкин (отважная девушка вылетела в тот роковой вылет на его персональной машине, поскольку ее оказалась неисправной) обнаружил около села Анастасьевка обгоревшую "сушку" Отличившись во время боевых действий с Финляндией, за что была награждена орденом Красного Знамени, летчица внесла большой вклад в освоение нового самолета перед войной и одной из первых приступила к полетам на Су-2 ночью. 8 августа 1941 г. ее назначили заместителем командира 5-й эскадрильи "с выплатой скоростной надбавки к окладу". 40 вылетов успела выполнить Зеленко на машине Сухого к моменту гибели, среди которых особо успешной являлась бомбежка танков и автомашин противника в районе Пропойска в июле 1941 г. (12028).</w:t>
      </w:r>
    </w:p>
    <w:p w14:paraId="23FE50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E60AB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ночь на 15 сентября 1941 при возвращении с боевого задания взорвался в воздухе Ер-2 капитана Ф.Ф.Сороки. Причиной катастрофы стал отказ системы сбрасывания бомб. Часть из них не пожелала отделиться от самолета над целью. Привозить бомбы на свой аэродром не хотелось, поэтому штурман предложил сбросить их аварийно в реку. В двух заходах предпринимались безуспешные попытки отправить зависшие ФАБ-100 за борт, а на третьей попытке, по-видимому, из-за сворачивания ветрянки при открытых створках бомбоотсека, одна из бомб взорвалась. Все члены экипажа за исключением командира, выброшенного взрывной волной из кабины, погибли (3322,20).</w:t>
      </w:r>
    </w:p>
    <w:p w14:paraId="0DA262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9B2EC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 сентября по 29 октября 1941 года авиагруппа генерал-майора В.В. Ермаченкова, базировавшаяся в районе Фрайфорда, наносила удары по противнику в районе крымского перешейка. В составе группы действовало семь эскадрилий как отдельных, так и формально находящихся в составе полков. На базу группа прибыла 14 сентября 1941 года. Первоначально группа состояла из 3 эскадрилий из 8-го ИАП (12 И-15 и И-16), 70-й ОБАЭ (СБ-2), 51-й ИАЭ (Як-1), 101-й ИАЭ (И-16), а также 46й ШАЭ (Ил-2). В начале октября группу усилили 11-м АП, оснащенным допотопными И-5, а также 62-м ИАП, три эскадрильи которого были оснащены МиГ-3, Пе-2 и ЛаГГ-3. Несмотря на то, что полк был укомплектован в основном инструкторами Ейской летной школы, буквально за три недели он понес тяжелейшие потери и фактически перестал существовать. Кроме того, в состав группы на короткий срок включались другие авиационные части (2691). Фрайфордская группа совершила 1709 боевых вылетов, уничтожила 40 танков и 94 самолета (в воздухе и на земле). Данные о потерях группы нам не известны, но можно их оценить по данным 8го полка. Всего полк от огня зенитной артиллерии противника потерял 20 машин. 14 пилотов погибло, 8 было ранено (2691).</w:t>
      </w:r>
    </w:p>
    <w:p w14:paraId="5018ED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7528C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сентября 1941 215 шап нанес успешный налет на южный аэродром Смоленска и уничтожил 15 машин и бензозаправщики (455,119).</w:t>
      </w:r>
    </w:p>
    <w:p w14:paraId="64E461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88C30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сентября 1941 при бомбежке станции Кириши “Мессершмитты” один за другим сбили три “Ила” из шести, составлявших группу старшего лейтенанта И.И.Борзова. К счастью, части экипажей (в том числе и самому И.И.Борзову) удалось найти дорогу через линию фронта к своим (9809).</w:t>
      </w:r>
    </w:p>
    <w:p w14:paraId="252AEC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AC138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сентября 1941 вышло Постановление ГКО № 674 Об организации восстановительных работ на фронтовых ж.РГАНИР, Фонд ГКО, д. РГАНИР, Фонд ГКО, д. 9, лл. 107-108, 109-126 (11012).</w:t>
      </w:r>
    </w:p>
    <w:p w14:paraId="61990D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7A0399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сентября 1941 вышло Постановление ГКО № 675 О призыве военнообязанных, пользующихся отсрочками по мобилизации, и граждан 1922 года рождения. (7010, 127-128,129).</w:t>
      </w:r>
    </w:p>
    <w:p w14:paraId="68CDF79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9F92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15 сентября 1941 вышло Постановление ГКО № 678 О строительстве оперативных аэродромов и взлетно-посадочных полос. РГАНИР, Фонд ГКО, д. 9, лл. 144, 145-147 (11012).</w:t>
      </w:r>
    </w:p>
    <w:p w14:paraId="44B899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8E692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сентября 1941 вышло Постановление ГКО № 679 О назначении Тюркина П.А. РГАНИР, Фонд ГКО, д. 9, лл. 148 (11012).</w:t>
      </w:r>
    </w:p>
    <w:p w14:paraId="4083BD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90F14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сентября 1941 вышло Постановление ГКО № 680 Об укомплектовании лыжных батальонов. РГАНИР, Фонд ГКО, д. 9, лл. 149 (11012).</w:t>
      </w:r>
    </w:p>
    <w:p w14:paraId="727FDC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E41E96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сентября 1941 фашисты завершили окружение пяти советских армий под Киевом (4962).</w:t>
      </w:r>
    </w:p>
    <w:p w14:paraId="31A33D4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729D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 September 1941 German siege of Leningrad begins (270).</w:t>
      </w:r>
    </w:p>
    <w:p w14:paraId="6E0256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6ACE73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сентября 1941 началась блокада Ленинграда (270).</w:t>
      </w:r>
    </w:p>
    <w:p w14:paraId="0D4343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8746E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сентября 1941 немцы (1 и 2ТА) завершили окружение вокруг 4 армий Юго-Западного фронта (512,65).</w:t>
      </w:r>
    </w:p>
    <w:p w14:paraId="55CFB3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C26A4C0" w14:textId="77777777" w:rsidR="00031E3A" w:rsidRPr="00640820" w:rsidRDefault="00031E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сентября в 1941 году фашисты завершили окружение пяти советских армий под Киевом (14770).</w:t>
      </w:r>
    </w:p>
    <w:p w14:paraId="118B0C68" w14:textId="77777777" w:rsidR="00031E3A" w:rsidRPr="00640820" w:rsidRDefault="00031E3A" w:rsidP="00640820">
      <w:pPr>
        <w:spacing w:after="0" w:line="240" w:lineRule="auto"/>
        <w:jc w:val="both"/>
        <w:rPr>
          <w:rFonts w:ascii="Times New Roman" w:hAnsi="Times New Roman"/>
          <w:color w:val="000000" w:themeColor="text1"/>
          <w:sz w:val="16"/>
          <w:szCs w:val="16"/>
        </w:rPr>
      </w:pPr>
    </w:p>
    <w:p w14:paraId="1E679D2B"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0805349F"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AC05B8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сентября 1941 в Орловской тюрьме расстреляна Ева Бройдо, русская революционерка, лидер меньшевистского антисоветского подполья (4962).</w:t>
      </w:r>
    </w:p>
    <w:p w14:paraId="50832FF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D4EBBA" w14:textId="77777777" w:rsidR="00031E3A" w:rsidRPr="00640820" w:rsidRDefault="00031E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сентября в 1941 году в Ленинграде сформирован штаб войск НКВД для координации защиты города (14770).</w:t>
      </w:r>
    </w:p>
    <w:p w14:paraId="2A643136" w14:textId="77777777" w:rsidR="00031E3A" w:rsidRPr="00640820" w:rsidRDefault="00031E3A" w:rsidP="00640820">
      <w:pPr>
        <w:spacing w:after="0" w:line="240" w:lineRule="auto"/>
        <w:jc w:val="both"/>
        <w:rPr>
          <w:rFonts w:ascii="Times New Roman" w:hAnsi="Times New Roman"/>
          <w:color w:val="000000" w:themeColor="text1"/>
          <w:sz w:val="16"/>
          <w:szCs w:val="16"/>
        </w:rPr>
      </w:pPr>
    </w:p>
    <w:p w14:paraId="60C0BB02" w14:textId="77777777" w:rsidR="00031E3A" w:rsidRPr="00640820" w:rsidRDefault="00031E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сентября в 1941 году Военный Совет Ленинградского фронта утвердил план уничтожения ленинградских мостов (14770).</w:t>
      </w:r>
    </w:p>
    <w:p w14:paraId="5CD32620" w14:textId="77777777" w:rsidR="00031E3A" w:rsidRPr="00640820" w:rsidRDefault="00031E3A" w:rsidP="00640820">
      <w:pPr>
        <w:spacing w:after="0" w:line="240" w:lineRule="auto"/>
        <w:jc w:val="both"/>
        <w:rPr>
          <w:rFonts w:ascii="Times New Roman" w:hAnsi="Times New Roman"/>
          <w:color w:val="000000" w:themeColor="text1"/>
          <w:sz w:val="16"/>
          <w:szCs w:val="16"/>
        </w:rPr>
      </w:pPr>
    </w:p>
    <w:p w14:paraId="2B6A70C5" w14:textId="77777777" w:rsidR="00031E3A" w:rsidRPr="00640820" w:rsidRDefault="00031E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сентября в 1941 году в Одессе введены карточки на отпуск воды для нужд населения (14770).</w:t>
      </w:r>
    </w:p>
    <w:p w14:paraId="2D74F28F" w14:textId="77777777" w:rsidR="00031E3A" w:rsidRPr="00640820" w:rsidRDefault="00031E3A" w:rsidP="00640820">
      <w:pPr>
        <w:spacing w:after="0" w:line="240" w:lineRule="auto"/>
        <w:jc w:val="both"/>
        <w:rPr>
          <w:rFonts w:ascii="Times New Roman" w:hAnsi="Times New Roman"/>
          <w:color w:val="000000" w:themeColor="text1"/>
          <w:sz w:val="16"/>
          <w:szCs w:val="16"/>
        </w:rPr>
      </w:pPr>
    </w:p>
    <w:p w14:paraId="7A8A2C3E"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21D02DA0"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676B6FB" w14:textId="77777777" w:rsidR="003478D5" w:rsidRPr="00640820" w:rsidRDefault="003478D5"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lang w:eastAsia="ru-RU" w:bidi="ru-RU"/>
        </w:rPr>
        <w:t>15 сентября 1941 начались непростые переговоры в Лондоне. Включение СССР в программу ленд-лиза существенно ущемляло интересы Великобритании. Предложение министра по снабжению Великобритании лорда У. Бивербрука направлять всю амери</w:t>
      </w:r>
      <w:r w:rsidRPr="00640820">
        <w:rPr>
          <w:rFonts w:ascii="Times New Roman" w:hAnsi="Times New Roman"/>
          <w:color w:val="0070C0"/>
          <w:sz w:val="16"/>
          <w:szCs w:val="16"/>
          <w:lang w:eastAsia="ru-RU" w:bidi="ru-RU"/>
        </w:rPr>
        <w:softHyphen/>
        <w:t>канскую помощь в Англию, которая будет передавать часть помощи СССР, было отвергнуто американцами. В конце концов, англо-американским союз</w:t>
      </w:r>
      <w:r w:rsidRPr="00640820">
        <w:rPr>
          <w:rFonts w:ascii="Times New Roman" w:hAnsi="Times New Roman"/>
          <w:color w:val="0070C0"/>
          <w:sz w:val="16"/>
          <w:szCs w:val="16"/>
          <w:lang w:eastAsia="ru-RU" w:bidi="ru-RU"/>
        </w:rPr>
        <w:softHyphen/>
        <w:t>никам удалось достичь принципиальной договоренности (22686).</w:t>
      </w:r>
    </w:p>
    <w:p w14:paraId="7356A26F" w14:textId="77777777" w:rsidR="003478D5" w:rsidRPr="00640820" w:rsidRDefault="003478D5" w:rsidP="00640820">
      <w:pPr>
        <w:spacing w:after="0" w:line="240" w:lineRule="auto"/>
        <w:jc w:val="both"/>
        <w:rPr>
          <w:rFonts w:ascii="Times New Roman" w:eastAsia="Times New Roman" w:hAnsi="Times New Roman"/>
          <w:color w:val="0070C0"/>
          <w:sz w:val="16"/>
          <w:szCs w:val="16"/>
          <w:lang w:eastAsia="ru-RU"/>
        </w:rPr>
      </w:pPr>
    </w:p>
    <w:p w14:paraId="4A732A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rPr>
        <w:t>15 сентября 1941 вышло Постановление ГКО № 677 О составе делегации на конференции трех стран в Москве. РГАНИР</w:t>
      </w:r>
      <w:r w:rsidRPr="00640820">
        <w:rPr>
          <w:rFonts w:ascii="Times New Roman" w:hAnsi="Times New Roman"/>
          <w:color w:val="000000" w:themeColor="text1"/>
          <w:sz w:val="16"/>
          <w:szCs w:val="16"/>
          <w:lang w:val="en-US"/>
        </w:rPr>
        <w:t xml:space="preserve">, </w:t>
      </w:r>
      <w:r w:rsidRPr="00640820">
        <w:rPr>
          <w:rFonts w:ascii="Times New Roman" w:hAnsi="Times New Roman"/>
          <w:color w:val="000000" w:themeColor="text1"/>
          <w:sz w:val="16"/>
          <w:szCs w:val="16"/>
        </w:rPr>
        <w:t>ФондГКО</w:t>
      </w:r>
      <w:r w:rsidRPr="00640820">
        <w:rPr>
          <w:rFonts w:ascii="Times New Roman" w:hAnsi="Times New Roman"/>
          <w:color w:val="000000" w:themeColor="text1"/>
          <w:sz w:val="16"/>
          <w:szCs w:val="16"/>
          <w:lang w:val="en-US"/>
        </w:rPr>
        <w:t xml:space="preserve">, </w:t>
      </w:r>
      <w:r w:rsidRPr="00640820">
        <w:rPr>
          <w:rFonts w:ascii="Times New Roman" w:hAnsi="Times New Roman"/>
          <w:color w:val="000000" w:themeColor="text1"/>
          <w:sz w:val="16"/>
          <w:szCs w:val="16"/>
        </w:rPr>
        <w:t>д</w:t>
      </w:r>
      <w:r w:rsidRPr="00640820">
        <w:rPr>
          <w:rFonts w:ascii="Times New Roman" w:hAnsi="Times New Roman"/>
          <w:color w:val="000000" w:themeColor="text1"/>
          <w:sz w:val="16"/>
          <w:szCs w:val="16"/>
          <w:lang w:val="en-US"/>
        </w:rPr>
        <w:t xml:space="preserve">. 9, </w:t>
      </w:r>
      <w:r w:rsidRPr="00640820">
        <w:rPr>
          <w:rFonts w:ascii="Times New Roman" w:hAnsi="Times New Roman"/>
          <w:color w:val="000000" w:themeColor="text1"/>
          <w:sz w:val="16"/>
          <w:szCs w:val="16"/>
        </w:rPr>
        <w:t>лл</w:t>
      </w:r>
      <w:r w:rsidRPr="00640820">
        <w:rPr>
          <w:rFonts w:ascii="Times New Roman" w:hAnsi="Times New Roman"/>
          <w:color w:val="000000" w:themeColor="text1"/>
          <w:sz w:val="16"/>
          <w:szCs w:val="16"/>
          <w:lang w:val="en-US"/>
        </w:rPr>
        <w:t>. 143 (11012).</w:t>
      </w:r>
    </w:p>
    <w:p w14:paraId="3F34D5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68F0F94E"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lang w:val="en-US"/>
        </w:rPr>
      </w:pPr>
      <w:r w:rsidRPr="00640820">
        <w:rPr>
          <w:rFonts w:ascii="Times New Roman" w:hAnsi="Times New Roman"/>
          <w:i/>
          <w:iCs/>
          <w:color w:val="000000" w:themeColor="text1"/>
          <w:sz w:val="16"/>
          <w:szCs w:val="16"/>
        </w:rPr>
        <w:t>За</w:t>
      </w:r>
      <w:r w:rsidRPr="00640820">
        <w:rPr>
          <w:rFonts w:ascii="Times New Roman" w:hAnsi="Times New Roman"/>
          <w:i/>
          <w:iCs/>
          <w:color w:val="000000" w:themeColor="text1"/>
          <w:sz w:val="16"/>
          <w:szCs w:val="16"/>
          <w:lang w:val="en-US"/>
        </w:rPr>
        <w:t xml:space="preserve"> </w:t>
      </w:r>
      <w:r w:rsidRPr="00640820">
        <w:rPr>
          <w:rFonts w:ascii="Times New Roman" w:hAnsi="Times New Roman"/>
          <w:i/>
          <w:iCs/>
          <w:color w:val="000000" w:themeColor="text1"/>
          <w:sz w:val="16"/>
          <w:szCs w:val="16"/>
        </w:rPr>
        <w:t>рубежом</w:t>
      </w:r>
      <w:r w:rsidRPr="00640820">
        <w:rPr>
          <w:rFonts w:ascii="Times New Roman" w:hAnsi="Times New Roman"/>
          <w:i/>
          <w:iCs/>
          <w:color w:val="000000" w:themeColor="text1"/>
          <w:sz w:val="16"/>
          <w:szCs w:val="16"/>
          <w:lang w:val="en-US"/>
        </w:rPr>
        <w:t>:</w:t>
      </w:r>
    </w:p>
    <w:p w14:paraId="7F990DEF"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2DB879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September 15/41 Estonian Self-Government with Hjalmar Mere at the head is formed. This is in essence a puppet cabinet under German control, which has no real power to regulate life in Estonia (1224).</w:t>
      </w:r>
    </w:p>
    <w:p w14:paraId="191B9C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5358F7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сентября 1941 было сформировано правительство Эстонии, но это было марионеточное правительство, работающее под немецким контролем (1224).</w:t>
      </w:r>
    </w:p>
    <w:p w14:paraId="1713E3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0F90A6F" w14:textId="77777777" w:rsidR="00031E3A" w:rsidRPr="00640820" w:rsidRDefault="00031E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сентября в 1941 году в Эстонии приказом оккупационных властей было создано Эстонское самоуправление, состоявшее по преимуществу из эстонских эмигрантов, а также отдельные структуры, непосредственно подчинявшиеся немецкой администрации (14770).</w:t>
      </w:r>
    </w:p>
    <w:p w14:paraId="1D123971" w14:textId="77777777" w:rsidR="00031E3A" w:rsidRPr="00640820" w:rsidRDefault="00031E3A" w:rsidP="00640820">
      <w:pPr>
        <w:spacing w:after="0" w:line="240" w:lineRule="auto"/>
        <w:jc w:val="both"/>
        <w:rPr>
          <w:rFonts w:ascii="Times New Roman" w:hAnsi="Times New Roman"/>
          <w:color w:val="000000" w:themeColor="text1"/>
          <w:sz w:val="16"/>
          <w:szCs w:val="16"/>
        </w:rPr>
      </w:pPr>
    </w:p>
    <w:p w14:paraId="5F3253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15-20 сентября 1941 представители США и Великобритании согласовали программу совместного военного производства для ведения борьбы с агрессивным блоком (3186).</w:t>
      </w:r>
    </w:p>
    <w:p w14:paraId="28CAAD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27F161F" w14:textId="77777777" w:rsidR="00031E3A" w:rsidRPr="00640820" w:rsidRDefault="00031E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сентября в 1941 году согласование представителями США и Великобритании программы совместного военного производства для ведения борьбы с Германией (14770).</w:t>
      </w:r>
    </w:p>
    <w:p w14:paraId="60805F81" w14:textId="77777777" w:rsidR="00031E3A" w:rsidRPr="00640820" w:rsidRDefault="00031E3A" w:rsidP="00640820">
      <w:pPr>
        <w:spacing w:after="0" w:line="240" w:lineRule="auto"/>
        <w:jc w:val="both"/>
        <w:rPr>
          <w:rFonts w:ascii="Times New Roman" w:hAnsi="Times New Roman"/>
          <w:color w:val="000000" w:themeColor="text1"/>
          <w:sz w:val="16"/>
          <w:szCs w:val="16"/>
        </w:rPr>
      </w:pPr>
    </w:p>
    <w:p w14:paraId="37DCB3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September 15, 1941: The US Navy begins to take over the convoying of British ships as far as Iceland, seen as an unneutral act by the German government (3819).</w:t>
      </w:r>
    </w:p>
    <w:p w14:paraId="28D3AC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5B8CB5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сентября 1941 Флот США начал конвоировать британские суда до Исландии, что рассматривалось Германией как нарушение нейтралитета (3819).</w:t>
      </w:r>
    </w:p>
    <w:p w14:paraId="401494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095D047" w14:textId="77777777" w:rsidR="00031E3A"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3E64290E" w14:textId="77777777" w:rsidR="00031E3A" w:rsidRPr="00640820" w:rsidRDefault="00031E3A"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387E244" w14:textId="77777777" w:rsidR="00031E3A" w:rsidRPr="00640820" w:rsidRDefault="00031E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первой половине сентября 1941 163-й </w:t>
      </w:r>
      <w:hyperlink r:id="rId8" w:history="1">
        <w:r w:rsidRPr="00640820">
          <w:rPr>
            <w:rFonts w:ascii="Times New Roman" w:hAnsi="Times New Roman"/>
            <w:color w:val="000000" w:themeColor="text1"/>
            <w:sz w:val="16"/>
            <w:szCs w:val="16"/>
          </w:rPr>
          <w:t>стационарной</w:t>
        </w:r>
      </w:hyperlink>
      <w:hyperlink r:id="rId9" w:history="1">
        <w:r w:rsidRPr="00640820">
          <w:rPr>
            <w:rFonts w:ascii="Times New Roman" w:hAnsi="Times New Roman"/>
            <w:color w:val="000000" w:themeColor="text1"/>
            <w:sz w:val="16"/>
            <w:szCs w:val="16"/>
          </w:rPr>
          <w:t>авиамастерской</w:t>
        </w:r>
      </w:hyperlink>
      <w:r w:rsidRPr="00640820">
        <w:rPr>
          <w:rFonts w:ascii="Times New Roman" w:hAnsi="Times New Roman"/>
          <w:color w:val="000000" w:themeColor="text1"/>
          <w:sz w:val="16"/>
          <w:szCs w:val="16"/>
        </w:rPr>
        <w:t xml:space="preserve">, находившейся в г. Торжок, поручили оборудовать несколько самолетов По-2 кассетами для сбрасывания ампул с горючей жидкостью КС. Инженеры считали, что По-2 может свободно поднять 200 кг, а это означало сто ампул. Через три дня заказ штаба ВВС мастера-умельцы выполнили, а еще через день самолет проходил уже войсковые испытания. Проводили их командующий ВВС Т. Ф. Куцевалов и главный инженер ВВС фронта инженер В. Н. Кобликов. Самолеты По-2, вооруженные ампулами с горючей жидкостью, в какой-то мере восполнили недостаток в настоящих бомбардировщиках. Но с наступлением зимы применение ампул стало невозможным. Жидкость на морозе кристаллизовалась и часто не воспламенялась. Тогда по инициативе того же генерала Куцевалова самолет По-2 решили загружать бомбами осколочного и фугасного действия. Соответствующее оборудование на машинах установила опять же 163-я </w:t>
      </w:r>
      <w:hyperlink r:id="rId10" w:history="1">
        <w:r w:rsidRPr="00640820">
          <w:rPr>
            <w:rFonts w:ascii="Times New Roman" w:hAnsi="Times New Roman"/>
            <w:color w:val="000000" w:themeColor="text1"/>
            <w:sz w:val="16"/>
            <w:szCs w:val="16"/>
          </w:rPr>
          <w:t xml:space="preserve">авиамастерская. </w:t>
        </w:r>
      </w:hyperlink>
      <w:r w:rsidRPr="00640820">
        <w:rPr>
          <w:rFonts w:ascii="Times New Roman" w:hAnsi="Times New Roman"/>
          <w:color w:val="000000" w:themeColor="text1"/>
          <w:sz w:val="16"/>
          <w:szCs w:val="16"/>
        </w:rPr>
        <w:t>Ее коллектив возглавлял инициативный инженер Краснокутский. Затем к этой работе подключился 16-й авиаремонтный поезд под командованием инженера В. И. Кривко. Переоборудованием "небесных тихоходов" в бомбардировщики успешно занимался и ПАРМ-35. Это единственное в своем роде ремонтное предприятие ВВС возглавлял тогда талантливый инженер Иван Григорьевич Иванов. В царском флоте он служил матросом 1-й статьи, в гражданскую войну стал военным комиссаром дивизии. Командовал этой дивизией В. И. Блюхер. ЕГ мирные годы Иванов закончил академию им. Фрунзе, стоял во главе крепости Кушка на афганской границе, потом снова учился, на этот раз в Военно-воздушной инженерной академии им. Н. Е. Жуковского. Иванов был образованным человеком, прекрасным организатором. ПАРМ-35 делал прямо-таки чудеса. Туда иной раз привозили такие разбитые машины, что только в металлолом их списать. А пармовцы умудрялись их восстанавливать. Уму, предприимчивости и энергии таких опытных инженеров и организаторов производства, как Краснокутский, Кривко, Иванов, мы обязаны тем, что самолет-тихоход мог исправно нести боевую службу. Позже у пего на крыльях разместили 10 установок PC-82 (реактивных снарядов). Надо ли говорить, как это повысило боевую мощь По-2. Не берусь судить, были ли мы в этих делах первыми в Военно-Воздушных Силах, но от нас потребовали подробно описать все нововведения и материал незамедлительно направить в Москву (15142).</w:t>
      </w:r>
    </w:p>
    <w:p w14:paraId="2F001EED" w14:textId="77777777" w:rsidR="00031E3A" w:rsidRPr="00640820" w:rsidRDefault="00031E3A" w:rsidP="00640820">
      <w:pPr>
        <w:spacing w:after="0" w:line="240" w:lineRule="auto"/>
        <w:jc w:val="both"/>
        <w:rPr>
          <w:rFonts w:ascii="Times New Roman" w:hAnsi="Times New Roman"/>
          <w:color w:val="000000" w:themeColor="text1"/>
          <w:sz w:val="16"/>
          <w:szCs w:val="16"/>
        </w:rPr>
      </w:pPr>
    </w:p>
    <w:p w14:paraId="32AF23DE" w14:textId="77777777" w:rsidR="00150B39"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03FFD737" w14:textId="77777777" w:rsidR="00150B39" w:rsidRPr="00640820" w:rsidRDefault="00150B39"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8F00B1C" w14:textId="77777777" w:rsidR="00150B39" w:rsidRPr="00640820" w:rsidRDefault="00150B39" w:rsidP="00640820">
      <w:pPr>
        <w:pStyle w:val="162"/>
        <w:shd w:val="clear" w:color="auto" w:fill="auto"/>
        <w:spacing w:line="240" w:lineRule="auto"/>
        <w:jc w:val="both"/>
        <w:rPr>
          <w:color w:val="000000" w:themeColor="text1"/>
          <w:sz w:val="16"/>
          <w:szCs w:val="16"/>
        </w:rPr>
      </w:pPr>
      <w:r w:rsidRPr="00640820">
        <w:rPr>
          <w:color w:val="000000" w:themeColor="text1"/>
          <w:sz w:val="16"/>
          <w:szCs w:val="16"/>
        </w:rPr>
        <w:t>В первой половиной сентября 1941 года был подготовлен доклада старшего инженера 3-го отдела БТУ КА, военинже- нера 3-го ранга Куликова:</w:t>
      </w:r>
    </w:p>
    <w:p w14:paraId="7BE6F880" w14:textId="77777777" w:rsidR="00150B39" w:rsidRPr="00640820" w:rsidRDefault="00150B3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«Параллельное производство ХТЗ-16 и Т-60 мыслится до второй поло</w:t>
      </w:r>
      <w:r w:rsidRPr="00640820">
        <w:rPr>
          <w:rFonts w:ascii="Times New Roman" w:hAnsi="Times New Roman"/>
          <w:color w:val="000000" w:themeColor="text1"/>
          <w:sz w:val="16"/>
          <w:szCs w:val="16"/>
        </w:rPr>
        <w:softHyphen/>
        <w:t>вины сентября (17.9.41 г.), причем ХТЗ-16 (шасси) выпускается до конца на основном конвейере в тракторном — механосборочном цеху, а сборка Т-60 организуется в другом цеху на голом месте, где сейчас подготавлива</w:t>
      </w:r>
      <w:r w:rsidRPr="00640820">
        <w:rPr>
          <w:rFonts w:ascii="Times New Roman" w:hAnsi="Times New Roman"/>
          <w:color w:val="000000" w:themeColor="text1"/>
          <w:sz w:val="16"/>
          <w:szCs w:val="16"/>
        </w:rPr>
        <w:softHyphen/>
        <w:t>ется временный конвейер. После сборка переходит на основной конвейер. Вообще у работников завода до приезда Малышева было такое настро</w:t>
      </w:r>
      <w:r w:rsidRPr="00640820">
        <w:rPr>
          <w:rFonts w:ascii="Times New Roman" w:hAnsi="Times New Roman"/>
          <w:color w:val="000000" w:themeColor="text1"/>
          <w:sz w:val="16"/>
          <w:szCs w:val="16"/>
        </w:rPr>
        <w:softHyphen/>
        <w:t>ение, что «может быть, Т-60 снимут». Но после того как он их крепко гонял, заметен перелом. Цеха стали больше уделять внимания изготовле</w:t>
      </w:r>
      <w:r w:rsidRPr="00640820">
        <w:rPr>
          <w:rFonts w:ascii="Times New Roman" w:hAnsi="Times New Roman"/>
          <w:color w:val="000000" w:themeColor="text1"/>
          <w:sz w:val="16"/>
          <w:szCs w:val="16"/>
        </w:rPr>
        <w:softHyphen/>
        <w:t>нию Т-60.</w:t>
      </w:r>
    </w:p>
    <w:p w14:paraId="66D843B4" w14:textId="77777777" w:rsidR="00150B39" w:rsidRPr="00640820" w:rsidRDefault="00150B3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этого танк был так засекречен, что никто из рабочих не знал о том, что будет делать завод» (17485).</w:t>
      </w:r>
    </w:p>
    <w:p w14:paraId="11AA3E50" w14:textId="77777777" w:rsidR="00150B39" w:rsidRPr="00640820" w:rsidRDefault="00150B39" w:rsidP="00640820">
      <w:pPr>
        <w:pStyle w:val="ae"/>
        <w:spacing w:before="0" w:after="0"/>
        <w:jc w:val="both"/>
        <w:rPr>
          <w:color w:val="000000" w:themeColor="text1"/>
          <w:sz w:val="16"/>
          <w:szCs w:val="16"/>
        </w:rPr>
      </w:pPr>
    </w:p>
    <w:p w14:paraId="4B254872"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70591EE5"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6031D19" w14:textId="77777777" w:rsidR="00031E3A" w:rsidRPr="00640820" w:rsidRDefault="00031E3A" w:rsidP="00640820">
      <w:pPr>
        <w:pStyle w:val="a3"/>
        <w:rPr>
          <w:color w:val="000000" w:themeColor="text1"/>
          <w:lang w:val="ru-RU"/>
        </w:rPr>
      </w:pPr>
      <w:r w:rsidRPr="00640820">
        <w:rPr>
          <w:color w:val="000000" w:themeColor="text1"/>
          <w:lang w:val="ru-RU"/>
        </w:rPr>
        <w:lastRenderedPageBreak/>
        <w:t>До сере</w:t>
      </w:r>
      <w:r w:rsidRPr="00640820">
        <w:rPr>
          <w:color w:val="000000" w:themeColor="text1"/>
          <w:lang w:val="ru-RU"/>
        </w:rPr>
        <w:softHyphen/>
        <w:t>дины сентября 1941 г. продолжался серийный выпуск Ер-2 2М-105 на Воро</w:t>
      </w:r>
      <w:r w:rsidRPr="00640820">
        <w:rPr>
          <w:color w:val="000000" w:themeColor="text1"/>
          <w:lang w:val="ru-RU"/>
        </w:rPr>
        <w:softHyphen/>
        <w:t>нежском авиазаводе № 18. Построили 70 экземпляров (15810).</w:t>
      </w:r>
    </w:p>
    <w:p w14:paraId="607FFCC1" w14:textId="77777777" w:rsidR="00031E3A" w:rsidRPr="00640820" w:rsidRDefault="00031E3A" w:rsidP="00640820">
      <w:pPr>
        <w:pStyle w:val="a3"/>
        <w:rPr>
          <w:color w:val="000000" w:themeColor="text1"/>
          <w:lang w:val="ru-RU"/>
        </w:rPr>
      </w:pPr>
    </w:p>
    <w:p w14:paraId="29106C8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середины сентября 1941 г. в ЛИИ проходили испытания И-185 М-71 № 6202. Другой экземпляр с тем же мотором (№ 6203) в июне-сентябре доводили и испы</w:t>
      </w:r>
      <w:r w:rsidRPr="00640820">
        <w:rPr>
          <w:rFonts w:ascii="Times New Roman" w:hAnsi="Times New Roman"/>
          <w:color w:val="000000" w:themeColor="text1"/>
          <w:sz w:val="16"/>
          <w:szCs w:val="16"/>
        </w:rPr>
        <w:softHyphen/>
        <w:t>тывали на заводе (10667).</w:t>
      </w:r>
    </w:p>
    <w:p w14:paraId="7621416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D6E0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середине сентября 1941 сразу по изготовлению опытного образца БИ (ближний истребитель) А.С.Я. распорядился начать натурные продувки машины в большой трубе ЦАГИ, показавшие удовлетворительные показатели устойчивости и управляемости на режиме малых скоростей. Одновременно продувка показала, что удлиненная носовая часть создаст проблемы с путевой учтойчивостью при увеличении скорости. Поэтому увеличили площадь ВО и поставили шайбы на концах стабилизатора, а РП нарастили по задней кромке (5159, 21).</w:t>
      </w:r>
    </w:p>
    <w:p w14:paraId="7274AD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12B0AF9"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6B50ABA0"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0D509AC" w14:textId="77777777" w:rsidR="0095335E" w:rsidRPr="00640820" w:rsidRDefault="0095335E"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 середине сентября 1941 на заводе №66 в Туле освоили производство трофейного ПТР 7,92 мм PzB-39, но были проблемы с тугим перемещением затвора, осечками, поломками деталей, неэкстракцией гильз, освоением патрона и т. д. Изготовленную до эвакуации партию ПТР примерно в 2 тыс. штук решили допустить в войска, но другие данные говорят о приемке только 426 7,92-мм ПТР (17498).</w:t>
      </w:r>
    </w:p>
    <w:p w14:paraId="57E0C3C1" w14:textId="77777777" w:rsidR="0095335E" w:rsidRPr="00640820" w:rsidRDefault="0095335E"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4C2ACC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середины сентября до середины октября 1941 г. завод № 92 выпус</w:t>
      </w:r>
      <w:r w:rsidRPr="00640820">
        <w:rPr>
          <w:rFonts w:ascii="Times New Roman" w:hAnsi="Times New Roman"/>
          <w:color w:val="000000" w:themeColor="text1"/>
          <w:sz w:val="16"/>
          <w:szCs w:val="16"/>
        </w:rPr>
        <w:softHyphen/>
        <w:t>тил 100 установок ЗИС-30, вооруженных 57-мм противотанковой пуш</w:t>
      </w:r>
      <w:r w:rsidRPr="00640820">
        <w:rPr>
          <w:rFonts w:ascii="Times New Roman" w:hAnsi="Times New Roman"/>
          <w:color w:val="000000" w:themeColor="text1"/>
          <w:sz w:val="16"/>
          <w:szCs w:val="16"/>
        </w:rPr>
        <w:softHyphen/>
        <w:t>кой ЗИС-2 и одну установку с 45-мм противотанковой пушкой. Даль</w:t>
      </w:r>
      <w:r w:rsidRPr="00640820">
        <w:rPr>
          <w:rFonts w:ascii="Times New Roman" w:hAnsi="Times New Roman"/>
          <w:color w:val="000000" w:themeColor="text1"/>
          <w:sz w:val="16"/>
          <w:szCs w:val="16"/>
        </w:rPr>
        <w:softHyphen/>
        <w:t>нейшее производство установок ЗИС-30 сдерживалось отсутствием тя</w:t>
      </w:r>
      <w:r w:rsidRPr="00640820">
        <w:rPr>
          <w:rFonts w:ascii="Times New Roman" w:hAnsi="Times New Roman"/>
          <w:color w:val="000000" w:themeColor="text1"/>
          <w:sz w:val="16"/>
          <w:szCs w:val="16"/>
        </w:rPr>
        <w:softHyphen/>
        <w:t>гачей Т-20, производство которых на московском заводе № 37 было прекращено в августе 1941 г. Поэтому для выпуска установки ЗИС-30 были частично использованы тягачи Т-20, изымаемые из войск или по</w:t>
      </w:r>
      <w:r w:rsidRPr="00640820">
        <w:rPr>
          <w:rFonts w:ascii="Times New Roman" w:hAnsi="Times New Roman"/>
          <w:color w:val="000000" w:themeColor="text1"/>
          <w:sz w:val="16"/>
          <w:szCs w:val="16"/>
        </w:rPr>
        <w:softHyphen/>
        <w:t>ступавшие в капитальный ремонт. Все установки были направлены на укомплектование батарей противотанковых орудий танковых бригад, которые вели оборонительные бои на Западном и Юго-Западном фрон</w:t>
      </w:r>
      <w:r w:rsidRPr="00640820">
        <w:rPr>
          <w:rFonts w:ascii="Times New Roman" w:hAnsi="Times New Roman"/>
          <w:color w:val="000000" w:themeColor="text1"/>
          <w:sz w:val="16"/>
          <w:szCs w:val="16"/>
        </w:rPr>
        <w:softHyphen/>
        <w:t>тах. Часть машин впоследствии использовалась в боях под Москвой зи</w:t>
      </w:r>
      <w:r w:rsidRPr="00640820">
        <w:rPr>
          <w:rFonts w:ascii="Times New Roman" w:hAnsi="Times New Roman"/>
          <w:color w:val="000000" w:themeColor="text1"/>
          <w:sz w:val="16"/>
          <w:szCs w:val="16"/>
        </w:rPr>
        <w:softHyphen/>
        <w:t>мой 1941 - 1942 гг. (10703).</w:t>
      </w:r>
    </w:p>
    <w:p w14:paraId="1B6A930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973361" w14:textId="77777777" w:rsidR="00031E3A" w:rsidRPr="00640820" w:rsidRDefault="00031E3A" w:rsidP="00640820">
      <w:pPr>
        <w:pStyle w:val="ae"/>
        <w:shd w:val="clear" w:color="auto" w:fill="FFFFFF"/>
        <w:spacing w:before="0" w:after="0"/>
        <w:jc w:val="both"/>
        <w:rPr>
          <w:color w:val="000000" w:themeColor="text1"/>
          <w:sz w:val="16"/>
          <w:szCs w:val="16"/>
        </w:rPr>
      </w:pPr>
      <w:r w:rsidRPr="00640820">
        <w:rPr>
          <w:color w:val="000000" w:themeColor="text1"/>
          <w:sz w:val="16"/>
          <w:szCs w:val="16"/>
        </w:rPr>
        <w:t>К середине сентября 1941 года на ХТЗ скопилось больше полутора тысяч шасси бронетракторов в разной степени готовности. Эвакуировать удалось далеко не все из них: в документах говорится о 809 шасси, оставшихся на заводе. Ни о каком производстве бронетракторов, разумеется, и речи не было: мало того, что немцам они были банально не нужны, так и бронекорпусов к ним не имелось. С другой стороны, немцы были вполне заинтересованы в выпуске обычных гусеничных тракторов, поскольку в условиях распутицы из их техники нормально ездить могли лишь танки и полугусеничные тягачи. Началась переделка шасси для бронетракторов в обычные тягачи.</w:t>
      </w:r>
    </w:p>
    <w:p w14:paraId="5D9B0726" w14:textId="77777777" w:rsidR="00031E3A" w:rsidRPr="00640820" w:rsidRDefault="00031E3A" w:rsidP="00640820">
      <w:pPr>
        <w:pStyle w:val="ae"/>
        <w:shd w:val="clear" w:color="auto" w:fill="FFFFFF"/>
        <w:spacing w:before="0" w:after="0"/>
        <w:jc w:val="both"/>
        <w:rPr>
          <w:color w:val="000000" w:themeColor="text1"/>
          <w:sz w:val="16"/>
          <w:szCs w:val="16"/>
        </w:rPr>
      </w:pPr>
      <w:r w:rsidRPr="00640820">
        <w:rPr>
          <w:color w:val="000000" w:themeColor="text1"/>
          <w:sz w:val="16"/>
          <w:szCs w:val="16"/>
        </w:rPr>
        <w:t>Вид у них оказался крайне разношерстным. Какие-то машины переделывались по образцу СХТЗ-НАТИ, установив кабины как на базовом тракторе, но встречались и более чудные конструкции. Гусениц СТЗ-5 хватило не на все машины, поэтому часть тракторов оснастили траками СХТЗ-НАТИ. Часть тягачей получила самодельные кабины, в которых размещался расчет. Большинство экземпляров с «обратной конверсией» стало артиллерийскими тягачами, которые использовались для транспортировки в том числе и противотанковых пушек (17461).</w:t>
      </w:r>
    </w:p>
    <w:p w14:paraId="1F6E20C3" w14:textId="77777777" w:rsidR="00031E3A" w:rsidRPr="00640820" w:rsidRDefault="00031E3A" w:rsidP="00640820">
      <w:pPr>
        <w:pStyle w:val="ae"/>
        <w:shd w:val="clear" w:color="auto" w:fill="FFFFFF"/>
        <w:spacing w:before="0" w:after="0"/>
        <w:jc w:val="both"/>
        <w:rPr>
          <w:color w:val="000000" w:themeColor="text1"/>
          <w:sz w:val="16"/>
          <w:szCs w:val="16"/>
        </w:rPr>
      </w:pPr>
    </w:p>
    <w:p w14:paraId="5EEB9827" w14:textId="77777777" w:rsidR="0095335E" w:rsidRPr="00640820" w:rsidRDefault="0095335E" w:rsidP="00640820">
      <w:pPr>
        <w:pStyle w:val="ae"/>
        <w:shd w:val="clear" w:color="auto" w:fill="FFFFFF"/>
        <w:spacing w:before="0" w:after="0"/>
        <w:jc w:val="both"/>
        <w:rPr>
          <w:color w:val="000000" w:themeColor="text1"/>
          <w:sz w:val="16"/>
          <w:szCs w:val="16"/>
        </w:rPr>
      </w:pPr>
      <w:r w:rsidRPr="00640820">
        <w:rPr>
          <w:color w:val="000000" w:themeColor="text1"/>
          <w:sz w:val="16"/>
          <w:szCs w:val="16"/>
        </w:rPr>
        <w:t xml:space="preserve">В середине сентября 1941 года в СССР изнали о Medium Tank M3, причём из американской прессы. Из той же информационной сводки стало известно и о существовании </w:t>
      </w:r>
      <w:hyperlink r:id="rId11" w:history="1">
        <w:r w:rsidRPr="00640820">
          <w:rPr>
            <w:rStyle w:val="a5"/>
            <w:rFonts w:eastAsiaTheme="majorEastAsia"/>
            <w:color w:val="000000" w:themeColor="text1"/>
            <w:sz w:val="16"/>
            <w:szCs w:val="16"/>
            <w:u w:val="none"/>
          </w:rPr>
          <w:t>Heavy Tank T1</w:t>
        </w:r>
      </w:hyperlink>
      <w:r w:rsidRPr="00640820">
        <w:rPr>
          <w:color w:val="000000" w:themeColor="text1"/>
          <w:sz w:val="16"/>
          <w:szCs w:val="16"/>
        </w:rPr>
        <w:t>, который обозначался как «тяжёлый 72-тонный танк». Позже информация о боевой массе этой машины была скорректирована до 50 тонн. Имелись некоторые неточности и в определении массы Medium Tank M3. Масса американских танков обозначалась в фунтах, которые переводчики приняли за килограммы. Ошибка привела к «росту» массы американского танка до 39 тонн, но её быстро заметили и исправили. К октябрю 1941 года советские военные располагали достаточным объёмом информации, чтобы принять решение о закупке танков этого типа. Первоначально речь шла о том, что СССР получит 9 средних американских танков. Но к концу декабря 1941 года прибыло всего 4 таких машины, из них 2 были выгружены в Мурманске, ещё 2 — в Архангельске. В ведомостях они учитывались январём 1942 года. Всего в этом месяце того же года поступило 24 М3Ср, далее поставки на месяц приостановились.</w:t>
      </w:r>
    </w:p>
    <w:p w14:paraId="0F38FCAB"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p>
    <w:p w14:paraId="1841E033" w14:textId="77777777" w:rsidR="0095335E" w:rsidRPr="00640820" w:rsidRDefault="0095335E"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 середине сентября 1941 года на ХТЗ скопилось больше полутора тысяч шасси бронетракторов в разной степени готовности. Эвакуировать удалось далеко не все из них: в документах говорится о 809 шасси, оставшихся на заводе. Ни о каком производстве бронетракторов, разумеется, и речи не было: мало того что немцам они были банально не нужны, так и бронекорпусов к ним не имелось. С другой стороны, немцы были вполне заинтересованы в выпуске обычных гусеничных тракторов, поскольку в условиях распутицы из их техники нормально ездить могли лишь танки и полугусеничные тягачи. Началась переделка шасси для бронетракторов в обычные тягачи.</w:t>
      </w:r>
    </w:p>
    <w:p w14:paraId="3242C138" w14:textId="77777777" w:rsidR="0095335E" w:rsidRPr="00640820" w:rsidRDefault="0095335E"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Вид у них оказался крайне разношёрстным. Какие-то машины переделывались по образцу СХТЗ-НАТИ, установив кабины как на базовом тракторе, но встречались и более чудные конструкции. Гусениц СТЗ-5 хватило не на все машины, поэтому часть тракторов оснастили траками СХТЗ-НАТИ. Часть тягачей получила самодельные кабины, в которых размещался расчёт. Большинство экземпляров с «обратной конверсией» стало артиллерийскими тягачами, которые использовались для транспортировки в том числе и противотанковых пушек (17656).</w:t>
      </w:r>
    </w:p>
    <w:p w14:paraId="45FB6021" w14:textId="77777777" w:rsidR="0095335E" w:rsidRPr="00640820" w:rsidRDefault="0095335E"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7A3A336" w14:textId="77777777" w:rsidR="0095335E" w:rsidRPr="00640820" w:rsidRDefault="0095335E"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середине сентября 1942 ЗИС-42, одна из опытных машин, проходила совместные испытания с аналогичными установками на базе танка Т-40 и трактора СТЗ-5.</w:t>
      </w:r>
    </w:p>
    <w:p w14:paraId="3BB9248F" w14:textId="77777777" w:rsidR="0095335E" w:rsidRPr="00640820" w:rsidRDefault="0095335E"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8BC68E7" w14:textId="77777777" w:rsidR="0095335E" w:rsidRPr="00640820" w:rsidRDefault="0095335E"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середине сентября 1941 года первые ЗИС-30 стали покидать завод №92. Окончательно же производство партии из 100 самоходных установок было закончено в начале октября 1941 года. Тем не менее именно эта машина стала первой по-настоящему массовой лёгкой самоходной установкой Красной армии военного периода. К слову, все ЗИС-30 покинули завод в трёхцветной камуфляжной окраске.</w:t>
      </w:r>
    </w:p>
    <w:p w14:paraId="7F112F6B" w14:textId="77777777" w:rsidR="0095335E" w:rsidRPr="00640820" w:rsidRDefault="0095335E"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ЗИС-30 эпизодически встречаются в документах и летом-осенью 1942 года. Например, две такие САУ в это время имелись в частях 20-й армии. А отдельные машины уцелели и до 1944 года (17666).</w:t>
      </w:r>
    </w:p>
    <w:p w14:paraId="51552357" w14:textId="77777777" w:rsidR="0095335E" w:rsidRPr="00640820" w:rsidRDefault="0095335E"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CD56C04" w14:textId="77777777" w:rsidR="003478D5" w:rsidRPr="00640820" w:rsidRDefault="003478D5"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shd w:val="clear" w:color="auto" w:fill="FFFFFF"/>
        </w:rPr>
        <w:t>К середине сентября 1941 на заводе № 92 выпуск начался ЗИС-30. Можно сказать, что завод №92 занимался выпуском самоходок вопреки всему. Дело в том, что "Комсомольцы" под установку пришлось практически выбивать силой. То есть изымать из частей, куда они ушли. Только таким образом удалось кое-как организовать выпуск машин. Впрочем, имелись проблемы и по наличию орудий, выпуск ЗИС-2 оказался делом крайне непростым. По факту как раз где-то в сентябре начался выпуск, более-менее похожий на серийное производство. При этом длинный "хобот" орудия стал причиной большого процента брака. В общем, ни про какие 3000 САУ даже думать не было смысла. По результатам установочная партия из 100 штук была готова в первой половине октября 1941 года, более ЗИС-30 не производилось. Далее предполагалось цеплять ЗИС-2 за ГАЗ-61-416, но тех выпустили в 3 раза меньше, чем ЗИС-30. Поэтому далее противотанковые пушки цепляли за ГАЗ-ААА, а в ноябре выпуск ЗИС-2 заморозили (22213).</w:t>
      </w:r>
    </w:p>
    <w:p w14:paraId="129DA8DA" w14:textId="77777777" w:rsidR="003478D5" w:rsidRPr="00640820" w:rsidRDefault="003478D5" w:rsidP="00640820">
      <w:pPr>
        <w:spacing w:after="0" w:line="240" w:lineRule="auto"/>
        <w:jc w:val="both"/>
        <w:rPr>
          <w:rFonts w:ascii="Times New Roman" w:hAnsi="Times New Roman"/>
          <w:color w:val="0070C0"/>
          <w:sz w:val="16"/>
          <w:szCs w:val="16"/>
        </w:rPr>
      </w:pPr>
    </w:p>
    <w:p w14:paraId="4A39AA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середине сентября 1941 В Томск прибыли из Москвы эшелоны с работниками и оборудованием I государственного подшипникового завода. Размещенный на территории Северного военного городка, завод выпустил первые подшипники для оборонных предприятий в 20-х числах ноября 1941-го. На его базе создан Томский государственный подшипниковый завод №5 (ГПЗ-5) (11858).</w:t>
      </w:r>
    </w:p>
    <w:p w14:paraId="213CBE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25903A4"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1BED7A01"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06E40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середине сентября 1941 г. на базе разделившегося пополам 40-го сбап был сформирован 511-й ббап. Командиром полка назначили капитана А. Бабанова. В сентябре 511-й ббап укомплектовали двумя десятками новеньких Пе-3 (4476).</w:t>
      </w:r>
    </w:p>
    <w:p w14:paraId="20AE05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F05DD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середины сентября 1941 г. Северный флот пополнился 255 различными судами, 25 единиц из них бьши снабжены сторожевыми кораблями, более 30 — тральщи</w:t>
      </w:r>
      <w:r w:rsidRPr="00640820">
        <w:rPr>
          <w:rFonts w:ascii="Times New Roman" w:hAnsi="Times New Roman"/>
          <w:color w:val="000000" w:themeColor="text1"/>
          <w:sz w:val="16"/>
          <w:szCs w:val="16"/>
        </w:rPr>
        <w:softHyphen/>
        <w:t>ками (3898).</w:t>
      </w:r>
    </w:p>
    <w:p w14:paraId="2F0F92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36B082F"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3C259F82"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A650D0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сентября 1941 года через 8 дней после первого полета закончились заводские испытания Ил-2 с М-82 в ЛИИ под управ</w:t>
      </w:r>
      <w:r w:rsidRPr="00640820">
        <w:rPr>
          <w:rFonts w:ascii="Times New Roman" w:hAnsi="Times New Roman"/>
          <w:color w:val="000000" w:themeColor="text1"/>
          <w:sz w:val="16"/>
          <w:szCs w:val="16"/>
        </w:rPr>
        <w:softHyphen/>
        <w:t>лением В.К. Коккинаки. Капотирование мотора на нем было также выполнено с юбкой на выходе. Поскольку для штурмови</w:t>
      </w:r>
      <w:r w:rsidRPr="00640820">
        <w:rPr>
          <w:rFonts w:ascii="Times New Roman" w:hAnsi="Times New Roman"/>
          <w:color w:val="000000" w:themeColor="text1"/>
          <w:sz w:val="16"/>
          <w:szCs w:val="16"/>
        </w:rPr>
        <w:softHyphen/>
        <w:t>ка неудовлетворительная работа мо</w:t>
      </w:r>
      <w:r w:rsidRPr="00640820">
        <w:rPr>
          <w:rFonts w:ascii="Times New Roman" w:hAnsi="Times New Roman"/>
          <w:color w:val="000000" w:themeColor="text1"/>
          <w:sz w:val="16"/>
          <w:szCs w:val="16"/>
        </w:rPr>
        <w:softHyphen/>
        <w:t>тора на 2-й скорости нагнетателя не имела значения. При этом было установ</w:t>
      </w:r>
      <w:r w:rsidRPr="00640820">
        <w:rPr>
          <w:rFonts w:ascii="Times New Roman" w:hAnsi="Times New Roman"/>
          <w:color w:val="000000" w:themeColor="text1"/>
          <w:sz w:val="16"/>
          <w:szCs w:val="16"/>
        </w:rPr>
        <w:softHyphen/>
        <w:t>лено, что летные характеристики Ил-2 с М-82 несколько ухудшились по срав</w:t>
      </w:r>
      <w:r w:rsidRPr="00640820">
        <w:rPr>
          <w:rFonts w:ascii="Times New Roman" w:hAnsi="Times New Roman"/>
          <w:color w:val="000000" w:themeColor="text1"/>
          <w:sz w:val="16"/>
          <w:szCs w:val="16"/>
        </w:rPr>
        <w:softHyphen/>
        <w:t>нению с исходным вариантом, но осо</w:t>
      </w:r>
      <w:r w:rsidRPr="00640820">
        <w:rPr>
          <w:rFonts w:ascii="Times New Roman" w:hAnsi="Times New Roman"/>
          <w:color w:val="000000" w:themeColor="text1"/>
          <w:sz w:val="16"/>
          <w:szCs w:val="16"/>
        </w:rPr>
        <w:softHyphen/>
        <w:t>бых дефектов нет, и самолет можно передать на госиспытания. Сразу же С.В. Ильюшин вышел с предложени</w:t>
      </w:r>
      <w:r w:rsidRPr="00640820">
        <w:rPr>
          <w:rFonts w:ascii="Times New Roman" w:hAnsi="Times New Roman"/>
          <w:color w:val="000000" w:themeColor="text1"/>
          <w:sz w:val="16"/>
          <w:szCs w:val="16"/>
        </w:rPr>
        <w:softHyphen/>
        <w:t>ем выпустить на воронежском заво</w:t>
      </w:r>
      <w:r w:rsidRPr="00640820">
        <w:rPr>
          <w:rFonts w:ascii="Times New Roman" w:hAnsi="Times New Roman"/>
          <w:color w:val="000000" w:themeColor="text1"/>
          <w:sz w:val="16"/>
          <w:szCs w:val="16"/>
        </w:rPr>
        <w:softHyphen/>
        <w:t>де №18 30 штук двухместных Ил-2 с М-</w:t>
      </w:r>
      <w:r w:rsidRPr="00640820">
        <w:rPr>
          <w:rFonts w:ascii="Times New Roman" w:hAnsi="Times New Roman"/>
          <w:color w:val="000000" w:themeColor="text1"/>
          <w:sz w:val="16"/>
          <w:szCs w:val="16"/>
        </w:rPr>
        <w:lastRenderedPageBreak/>
        <w:t>82 с целью проведения их войско</w:t>
      </w:r>
      <w:r w:rsidRPr="00640820">
        <w:rPr>
          <w:rFonts w:ascii="Times New Roman" w:hAnsi="Times New Roman"/>
          <w:color w:val="000000" w:themeColor="text1"/>
          <w:sz w:val="16"/>
          <w:szCs w:val="16"/>
        </w:rPr>
        <w:softHyphen/>
        <w:t>вых испытаний, но окончательное ре</w:t>
      </w:r>
      <w:r w:rsidRPr="00640820">
        <w:rPr>
          <w:rFonts w:ascii="Times New Roman" w:hAnsi="Times New Roman"/>
          <w:color w:val="000000" w:themeColor="text1"/>
          <w:sz w:val="16"/>
          <w:szCs w:val="16"/>
        </w:rPr>
        <w:softHyphen/>
        <w:t>шение было отложено до проведения госиспытаний. Затем последовала эва</w:t>
      </w:r>
      <w:r w:rsidRPr="00640820">
        <w:rPr>
          <w:rFonts w:ascii="Times New Roman" w:hAnsi="Times New Roman"/>
          <w:color w:val="000000" w:themeColor="text1"/>
          <w:sz w:val="16"/>
          <w:szCs w:val="16"/>
        </w:rPr>
        <w:softHyphen/>
        <w:t>куация, и решение о серийной пост</w:t>
      </w:r>
      <w:r w:rsidRPr="00640820">
        <w:rPr>
          <w:rFonts w:ascii="Times New Roman" w:hAnsi="Times New Roman"/>
          <w:color w:val="000000" w:themeColor="text1"/>
          <w:sz w:val="16"/>
          <w:szCs w:val="16"/>
        </w:rPr>
        <w:softHyphen/>
        <w:t>ройке Ил-2 с М-82 на эвакуирован</w:t>
      </w:r>
      <w:r w:rsidRPr="00640820">
        <w:rPr>
          <w:rFonts w:ascii="Times New Roman" w:hAnsi="Times New Roman"/>
          <w:color w:val="000000" w:themeColor="text1"/>
          <w:sz w:val="16"/>
          <w:szCs w:val="16"/>
        </w:rPr>
        <w:softHyphen/>
        <w:t>ных заводах №135 в Перми и №381 в Нижнем Тагиле было принято, как уже сказано, 19 ноября (10686).</w:t>
      </w:r>
    </w:p>
    <w:p w14:paraId="61B288D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ECF103" w14:textId="77777777" w:rsidR="003478D5" w:rsidRPr="00640820" w:rsidRDefault="003478D5" w:rsidP="00640820">
      <w:pPr>
        <w:pStyle w:val="96"/>
        <w:shd w:val="clear" w:color="auto" w:fill="auto"/>
        <w:spacing w:before="0" w:line="240" w:lineRule="auto"/>
        <w:rPr>
          <w:rStyle w:val="16"/>
          <w:rFonts w:ascii="Times New Roman" w:hAnsi="Times New Roman" w:cs="Times New Roman"/>
          <w:color w:val="0070C0"/>
          <w:spacing w:val="0"/>
          <w:w w:val="100"/>
          <w:u w:val="none"/>
        </w:rPr>
      </w:pPr>
      <w:r w:rsidRPr="00640820">
        <w:rPr>
          <w:rStyle w:val="16"/>
          <w:rFonts w:ascii="Times New Roman" w:hAnsi="Times New Roman" w:cs="Times New Roman"/>
          <w:color w:val="0070C0"/>
          <w:spacing w:val="0"/>
          <w:w w:val="100"/>
          <w:u w:val="none"/>
          <w:lang w:val="ru-RU"/>
        </w:rPr>
        <w:t>К</w:t>
      </w:r>
      <w:r w:rsidRPr="00640820">
        <w:rPr>
          <w:rStyle w:val="16"/>
          <w:rFonts w:ascii="Times New Roman" w:hAnsi="Times New Roman" w:cs="Times New Roman"/>
          <w:color w:val="0070C0"/>
          <w:spacing w:val="0"/>
          <w:w w:val="100"/>
          <w:u w:val="none"/>
        </w:rPr>
        <w:t xml:space="preserve"> 16 сентября </w:t>
      </w:r>
      <w:r w:rsidRPr="00640820">
        <w:rPr>
          <w:rStyle w:val="16"/>
          <w:rFonts w:ascii="Times New Roman" w:hAnsi="Times New Roman" w:cs="Times New Roman"/>
          <w:color w:val="0070C0"/>
          <w:spacing w:val="0"/>
          <w:w w:val="100"/>
          <w:u w:val="none"/>
          <w:lang w:val="ru-RU"/>
        </w:rPr>
        <w:t xml:space="preserve">1941 </w:t>
      </w:r>
      <w:r w:rsidRPr="00640820">
        <w:rPr>
          <w:rStyle w:val="16"/>
          <w:rFonts w:ascii="Times New Roman" w:hAnsi="Times New Roman" w:cs="Times New Roman"/>
          <w:color w:val="0070C0"/>
          <w:spacing w:val="0"/>
          <w:w w:val="100"/>
          <w:u w:val="none"/>
        </w:rPr>
        <w:t xml:space="preserve">была завершена </w:t>
      </w:r>
      <w:r w:rsidRPr="00640820">
        <w:rPr>
          <w:rStyle w:val="16"/>
          <w:rFonts w:ascii="Times New Roman" w:hAnsi="Times New Roman" w:cs="Times New Roman"/>
          <w:color w:val="0070C0"/>
          <w:spacing w:val="0"/>
          <w:w w:val="100"/>
          <w:u w:val="none"/>
          <w:lang w:val="ru-RU"/>
        </w:rPr>
        <w:t>п</w:t>
      </w:r>
      <w:r w:rsidRPr="00640820">
        <w:rPr>
          <w:rStyle w:val="16"/>
          <w:rFonts w:ascii="Times New Roman" w:hAnsi="Times New Roman" w:cs="Times New Roman"/>
          <w:color w:val="0070C0"/>
          <w:spacing w:val="0"/>
          <w:w w:val="100"/>
          <w:u w:val="none"/>
        </w:rPr>
        <w:t>рограмма заводских испытаний серийн</w:t>
      </w:r>
      <w:r w:rsidRPr="00640820">
        <w:rPr>
          <w:rStyle w:val="16"/>
          <w:rFonts w:ascii="Times New Roman" w:hAnsi="Times New Roman" w:cs="Times New Roman"/>
          <w:color w:val="0070C0"/>
          <w:spacing w:val="0"/>
          <w:w w:val="100"/>
          <w:u w:val="none"/>
          <w:lang w:val="ru-RU"/>
        </w:rPr>
        <w:t>ого</w:t>
      </w:r>
      <w:r w:rsidRPr="00640820">
        <w:rPr>
          <w:rStyle w:val="16"/>
          <w:rFonts w:ascii="Times New Roman" w:hAnsi="Times New Roman" w:cs="Times New Roman"/>
          <w:color w:val="0070C0"/>
          <w:spacing w:val="0"/>
          <w:w w:val="100"/>
          <w:u w:val="none"/>
        </w:rPr>
        <w:t xml:space="preserve"> Ил-2 </w:t>
      </w:r>
      <w:r w:rsidRPr="00640820">
        <w:rPr>
          <w:rStyle w:val="16"/>
          <w:rFonts w:ascii="Times New Roman" w:hAnsi="Times New Roman" w:cs="Times New Roman"/>
          <w:color w:val="0070C0"/>
          <w:spacing w:val="0"/>
          <w:w w:val="100"/>
          <w:u w:val="none"/>
          <w:lang w:val="ru-RU"/>
        </w:rPr>
        <w:t xml:space="preserve">завода № 18 </w:t>
      </w:r>
      <w:r w:rsidRPr="00640820">
        <w:rPr>
          <w:rStyle w:val="16"/>
          <w:rFonts w:ascii="Times New Roman" w:hAnsi="Times New Roman" w:cs="Times New Roman"/>
          <w:color w:val="0070C0"/>
          <w:spacing w:val="0"/>
          <w:w w:val="100"/>
          <w:u w:val="none"/>
        </w:rPr>
        <w:t>(зав. №1864714)</w:t>
      </w:r>
      <w:r w:rsidRPr="00640820">
        <w:rPr>
          <w:rStyle w:val="16"/>
          <w:rFonts w:ascii="Times New Roman" w:hAnsi="Times New Roman" w:cs="Times New Roman"/>
          <w:color w:val="0070C0"/>
          <w:spacing w:val="0"/>
          <w:w w:val="100"/>
          <w:u w:val="none"/>
          <w:lang w:val="ru-RU"/>
        </w:rPr>
        <w:t>, который к</w:t>
      </w:r>
      <w:r w:rsidRPr="00640820">
        <w:rPr>
          <w:rStyle w:val="16"/>
          <w:rFonts w:ascii="Times New Roman" w:hAnsi="Times New Roman" w:cs="Times New Roman"/>
          <w:color w:val="0070C0"/>
          <w:spacing w:val="0"/>
          <w:w w:val="100"/>
          <w:u w:val="none"/>
        </w:rPr>
        <w:t xml:space="preserve"> 14 августа </w:t>
      </w:r>
      <w:r w:rsidRPr="00640820">
        <w:rPr>
          <w:rStyle w:val="16"/>
          <w:rFonts w:ascii="Times New Roman" w:hAnsi="Times New Roman" w:cs="Times New Roman"/>
          <w:color w:val="0070C0"/>
          <w:spacing w:val="0"/>
          <w:w w:val="100"/>
          <w:u w:val="none"/>
          <w:lang w:val="ru-RU"/>
        </w:rPr>
        <w:t xml:space="preserve">1941 </w:t>
      </w:r>
      <w:r w:rsidRPr="00640820">
        <w:rPr>
          <w:rStyle w:val="16"/>
          <w:rFonts w:ascii="Times New Roman" w:hAnsi="Times New Roman" w:cs="Times New Roman"/>
          <w:color w:val="0070C0"/>
          <w:spacing w:val="0"/>
          <w:w w:val="100"/>
          <w:u w:val="none"/>
        </w:rPr>
        <w:t>перегнали из Воронежа на завод №39</w:t>
      </w:r>
      <w:r w:rsidRPr="00640820">
        <w:rPr>
          <w:rStyle w:val="16"/>
          <w:rFonts w:ascii="Times New Roman" w:hAnsi="Times New Roman" w:cs="Times New Roman"/>
          <w:color w:val="0070C0"/>
          <w:spacing w:val="0"/>
          <w:w w:val="100"/>
          <w:u w:val="none"/>
          <w:lang w:val="ru-RU"/>
        </w:rPr>
        <w:t xml:space="preserve">, </w:t>
      </w:r>
      <w:r w:rsidRPr="00640820">
        <w:rPr>
          <w:rStyle w:val="16"/>
          <w:rFonts w:ascii="Times New Roman" w:hAnsi="Times New Roman" w:cs="Times New Roman"/>
          <w:color w:val="0070C0"/>
          <w:spacing w:val="0"/>
          <w:w w:val="100"/>
          <w:u w:val="none"/>
        </w:rPr>
        <w:t>но с мотором М-82.</w:t>
      </w:r>
    </w:p>
    <w:p w14:paraId="5CE6E0D2" w14:textId="77777777" w:rsidR="003478D5" w:rsidRPr="00640820" w:rsidRDefault="003478D5" w:rsidP="00640820">
      <w:pPr>
        <w:pStyle w:val="96"/>
        <w:shd w:val="clear" w:color="auto" w:fill="auto"/>
        <w:spacing w:before="0" w:line="240" w:lineRule="auto"/>
        <w:rPr>
          <w:rFonts w:ascii="Times New Roman" w:hAnsi="Times New Roman" w:cs="Times New Roman"/>
          <w:color w:val="0070C0"/>
          <w:w w:val="100"/>
          <w:sz w:val="16"/>
          <w:szCs w:val="16"/>
        </w:rPr>
      </w:pPr>
      <w:r w:rsidRPr="00640820">
        <w:rPr>
          <w:rStyle w:val="16"/>
          <w:rFonts w:ascii="Times New Roman" w:hAnsi="Times New Roman" w:cs="Times New Roman"/>
          <w:color w:val="0070C0"/>
          <w:spacing w:val="0"/>
          <w:w w:val="100"/>
          <w:u w:val="none"/>
        </w:rPr>
        <w:t>Вооружение Ил-2 М-82 включало две пушки ШВАК (420 патронов), два пулемета ШКАС (1500 патронов), пулемет УБТ для стрельбы назад (280 патронов), восемь РО-82 и 400 кг бомб (в перегрузку - 600 кг).</w:t>
      </w:r>
    </w:p>
    <w:p w14:paraId="204BC53D" w14:textId="77777777" w:rsidR="003478D5" w:rsidRPr="00640820" w:rsidRDefault="003478D5" w:rsidP="00640820">
      <w:pPr>
        <w:pStyle w:val="96"/>
        <w:shd w:val="clear" w:color="auto" w:fill="auto"/>
        <w:spacing w:before="0" w:line="240" w:lineRule="auto"/>
        <w:rPr>
          <w:rFonts w:ascii="Times New Roman" w:hAnsi="Times New Roman" w:cs="Times New Roman"/>
          <w:color w:val="0070C0"/>
          <w:w w:val="100"/>
          <w:sz w:val="16"/>
          <w:szCs w:val="16"/>
        </w:rPr>
      </w:pPr>
      <w:r w:rsidRPr="00640820">
        <w:rPr>
          <w:rStyle w:val="16"/>
          <w:rFonts w:ascii="Times New Roman" w:hAnsi="Times New Roman" w:cs="Times New Roman"/>
          <w:color w:val="0070C0"/>
          <w:spacing w:val="0"/>
          <w:w w:val="100"/>
          <w:u w:val="none"/>
        </w:rPr>
        <w:t>В ходе переделки Ил-2 под мотор М-82 бронекорпус до переднего лонжерона цент</w:t>
      </w:r>
      <w:r w:rsidRPr="00640820">
        <w:rPr>
          <w:rStyle w:val="16"/>
          <w:rFonts w:ascii="Times New Roman" w:hAnsi="Times New Roman" w:cs="Times New Roman"/>
          <w:color w:val="0070C0"/>
          <w:spacing w:val="0"/>
          <w:w w:val="100"/>
          <w:u w:val="none"/>
        </w:rPr>
        <w:softHyphen/>
        <w:t>роплана срезали и установили двойную бронеперегородку, воспринимавшую нагрузки от моторамы. Мотор и агрегаты мотора не брони</w:t>
      </w:r>
      <w:r w:rsidRPr="00640820">
        <w:rPr>
          <w:rStyle w:val="16"/>
          <w:rFonts w:ascii="Times New Roman" w:hAnsi="Times New Roman" w:cs="Times New Roman"/>
          <w:color w:val="0070C0"/>
          <w:spacing w:val="0"/>
          <w:w w:val="100"/>
          <w:u w:val="none"/>
        </w:rPr>
        <w:softHyphen/>
        <w:t>ровались. Вместо заднего бензобака оборудо</w:t>
      </w:r>
      <w:r w:rsidRPr="00640820">
        <w:rPr>
          <w:rStyle w:val="16"/>
          <w:rFonts w:ascii="Times New Roman" w:hAnsi="Times New Roman" w:cs="Times New Roman"/>
          <w:color w:val="0070C0"/>
          <w:spacing w:val="0"/>
          <w:w w:val="100"/>
          <w:u w:val="none"/>
        </w:rPr>
        <w:softHyphen/>
        <w:t>вали кабину стрелка со шкворневой установ</w:t>
      </w:r>
      <w:r w:rsidRPr="00640820">
        <w:rPr>
          <w:rStyle w:val="16"/>
          <w:rFonts w:ascii="Times New Roman" w:hAnsi="Times New Roman" w:cs="Times New Roman"/>
          <w:color w:val="0070C0"/>
          <w:spacing w:val="0"/>
          <w:w w:val="100"/>
          <w:u w:val="none"/>
        </w:rPr>
        <w:softHyphen/>
        <w:t>кой под 12,7-мм пулемет УБТ. Патронный ящик крепился к броне под пулеметом. Установка обеспечивала довольно ограниченные углы обстрела: вверх - 36°, влево и вправо - по 15°, вниз по борту - 5°. Со снятым оптическим при</w:t>
      </w:r>
      <w:r w:rsidRPr="00640820">
        <w:rPr>
          <w:rStyle w:val="16"/>
          <w:rFonts w:ascii="Times New Roman" w:hAnsi="Times New Roman" w:cs="Times New Roman"/>
          <w:color w:val="0070C0"/>
          <w:spacing w:val="0"/>
          <w:w w:val="100"/>
          <w:u w:val="none"/>
        </w:rPr>
        <w:softHyphen/>
        <w:t>целом ОМП-3 углы обстрела в стороны увели</w:t>
      </w:r>
      <w:r w:rsidRPr="00640820">
        <w:rPr>
          <w:rStyle w:val="16"/>
          <w:rFonts w:ascii="Times New Roman" w:hAnsi="Times New Roman" w:cs="Times New Roman"/>
          <w:color w:val="0070C0"/>
          <w:spacing w:val="0"/>
          <w:w w:val="100"/>
          <w:u w:val="none"/>
        </w:rPr>
        <w:softHyphen/>
        <w:t>чивались до 24°.</w:t>
      </w:r>
    </w:p>
    <w:p w14:paraId="15DA6CAF" w14:textId="77777777" w:rsidR="003478D5" w:rsidRPr="00640820" w:rsidRDefault="003478D5" w:rsidP="00640820">
      <w:pPr>
        <w:pStyle w:val="96"/>
        <w:shd w:val="clear" w:color="auto" w:fill="auto"/>
        <w:spacing w:before="0" w:line="240" w:lineRule="auto"/>
        <w:rPr>
          <w:rFonts w:ascii="Times New Roman" w:hAnsi="Times New Roman" w:cs="Times New Roman"/>
          <w:color w:val="0070C0"/>
          <w:w w:val="100"/>
          <w:sz w:val="16"/>
          <w:szCs w:val="16"/>
        </w:rPr>
      </w:pPr>
      <w:r w:rsidRPr="00640820">
        <w:rPr>
          <w:rStyle w:val="16"/>
          <w:rFonts w:ascii="Times New Roman" w:hAnsi="Times New Roman" w:cs="Times New Roman"/>
          <w:color w:val="0070C0"/>
          <w:spacing w:val="0"/>
          <w:w w:val="100"/>
          <w:u w:val="none"/>
        </w:rPr>
        <w:t>Штурман-стрелок защищался броней по</w:t>
      </w:r>
      <w:r w:rsidRPr="00640820">
        <w:rPr>
          <w:rStyle w:val="16"/>
          <w:rFonts w:ascii="Times New Roman" w:hAnsi="Times New Roman" w:cs="Times New Roman"/>
          <w:color w:val="0070C0"/>
          <w:spacing w:val="0"/>
          <w:w w:val="100"/>
          <w:u w:val="none"/>
        </w:rPr>
        <w:softHyphen/>
        <w:t>чти также, как и летчик: задняя и нижняя бро</w:t>
      </w:r>
      <w:r w:rsidRPr="00640820">
        <w:rPr>
          <w:rStyle w:val="16"/>
          <w:rFonts w:ascii="Times New Roman" w:hAnsi="Times New Roman" w:cs="Times New Roman"/>
          <w:color w:val="0070C0"/>
          <w:spacing w:val="0"/>
          <w:w w:val="100"/>
          <w:u w:val="none"/>
        </w:rPr>
        <w:softHyphen/>
        <w:t>невые стенки кабины имели толщину 8 мм, бо</w:t>
      </w:r>
      <w:r w:rsidRPr="00640820">
        <w:rPr>
          <w:rStyle w:val="16"/>
          <w:rFonts w:ascii="Times New Roman" w:hAnsi="Times New Roman" w:cs="Times New Roman"/>
          <w:color w:val="0070C0"/>
          <w:spacing w:val="0"/>
          <w:w w:val="100"/>
          <w:u w:val="none"/>
        </w:rPr>
        <w:softHyphen/>
        <w:t>ковые - 6 мм, броня над головой штурмана - 5 мм. Кроме этого, для защиты головы штурмана от огня сзади предусматривалась установка двух 64-мм бронестекол, а под ними двух пли</w:t>
      </w:r>
      <w:r w:rsidRPr="00640820">
        <w:rPr>
          <w:rStyle w:val="16"/>
          <w:rFonts w:ascii="Times New Roman" w:hAnsi="Times New Roman" w:cs="Times New Roman"/>
          <w:color w:val="0070C0"/>
          <w:spacing w:val="0"/>
          <w:w w:val="100"/>
          <w:u w:val="none"/>
        </w:rPr>
        <w:softHyphen/>
        <w:t>ток металлической брони толщиной 12 мм.</w:t>
      </w:r>
    </w:p>
    <w:p w14:paraId="77883FE6" w14:textId="77777777" w:rsidR="003478D5" w:rsidRPr="00640820" w:rsidRDefault="003478D5" w:rsidP="00640820">
      <w:pPr>
        <w:pStyle w:val="96"/>
        <w:shd w:val="clear" w:color="auto" w:fill="auto"/>
        <w:spacing w:before="0" w:line="240" w:lineRule="auto"/>
        <w:rPr>
          <w:rStyle w:val="16"/>
          <w:rFonts w:ascii="Times New Roman" w:hAnsi="Times New Roman" w:cs="Times New Roman"/>
          <w:color w:val="0070C0"/>
          <w:spacing w:val="0"/>
          <w:w w:val="100"/>
          <w:u w:val="none"/>
          <w:lang w:val="ru-RU"/>
        </w:rPr>
      </w:pPr>
      <w:r w:rsidRPr="00640820">
        <w:rPr>
          <w:rStyle w:val="16"/>
          <w:rFonts w:ascii="Times New Roman" w:hAnsi="Times New Roman" w:cs="Times New Roman"/>
          <w:color w:val="0070C0"/>
          <w:spacing w:val="0"/>
          <w:w w:val="100"/>
          <w:u w:val="none"/>
        </w:rPr>
        <w:t>В связи с выполненными переделками центровка самолета немного сместилась впе</w:t>
      </w:r>
      <w:r w:rsidRPr="00640820">
        <w:rPr>
          <w:rStyle w:val="16"/>
          <w:rFonts w:ascii="Times New Roman" w:hAnsi="Times New Roman" w:cs="Times New Roman"/>
          <w:color w:val="0070C0"/>
          <w:spacing w:val="0"/>
          <w:w w:val="100"/>
          <w:u w:val="none"/>
        </w:rPr>
        <w:softHyphen/>
        <w:t>ред на 0,2% и составила 29,2% САХ. Отметим, что по инициативе Ильюшина этот самолет после переделки стал именоваться Ил-4 М-82, но в переписке, особенно с ВВС, довольно долго использовалось обозначение Ил-2 М-82</w:t>
      </w:r>
      <w:r w:rsidRPr="00640820">
        <w:rPr>
          <w:rStyle w:val="16"/>
          <w:rFonts w:ascii="Times New Roman" w:hAnsi="Times New Roman" w:cs="Times New Roman"/>
          <w:color w:val="0070C0"/>
          <w:spacing w:val="0"/>
          <w:w w:val="100"/>
          <w:u w:val="none"/>
          <w:lang w:val="ru-RU"/>
        </w:rPr>
        <w:t>.</w:t>
      </w:r>
    </w:p>
    <w:p w14:paraId="410861F3" w14:textId="77777777" w:rsidR="003478D5" w:rsidRPr="00640820" w:rsidRDefault="003478D5" w:rsidP="00640820">
      <w:pPr>
        <w:pStyle w:val="96"/>
        <w:shd w:val="clear" w:color="auto" w:fill="auto"/>
        <w:spacing w:before="0" w:line="240" w:lineRule="auto"/>
        <w:rPr>
          <w:rFonts w:ascii="Times New Roman" w:hAnsi="Times New Roman" w:cs="Times New Roman"/>
          <w:color w:val="0070C0"/>
          <w:w w:val="100"/>
          <w:sz w:val="16"/>
          <w:szCs w:val="16"/>
        </w:rPr>
      </w:pPr>
      <w:r w:rsidRPr="00640820">
        <w:rPr>
          <w:rStyle w:val="16"/>
          <w:rFonts w:ascii="Times New Roman" w:hAnsi="Times New Roman" w:cs="Times New Roman"/>
          <w:color w:val="0070C0"/>
          <w:spacing w:val="0"/>
          <w:w w:val="100"/>
          <w:u w:val="none"/>
        </w:rPr>
        <w:t>Вместе с Кок</w:t>
      </w:r>
      <w:r w:rsidRPr="00640820">
        <w:rPr>
          <w:rStyle w:val="16"/>
          <w:rFonts w:ascii="Times New Roman" w:hAnsi="Times New Roman" w:cs="Times New Roman"/>
          <w:color w:val="0070C0"/>
          <w:spacing w:val="0"/>
          <w:w w:val="100"/>
          <w:u w:val="none"/>
        </w:rPr>
        <w:softHyphen/>
        <w:t>кинаки машину облетал летчик-испытатель за</w:t>
      </w:r>
      <w:r w:rsidRPr="00640820">
        <w:rPr>
          <w:rStyle w:val="16"/>
          <w:rFonts w:ascii="Times New Roman" w:hAnsi="Times New Roman" w:cs="Times New Roman"/>
          <w:color w:val="0070C0"/>
          <w:spacing w:val="0"/>
          <w:w w:val="100"/>
          <w:u w:val="none"/>
        </w:rPr>
        <w:softHyphen/>
        <w:t>вода №18 подполковник К.К. Рыков.</w:t>
      </w:r>
    </w:p>
    <w:p w14:paraId="79A289CE" w14:textId="77777777" w:rsidR="003478D5" w:rsidRPr="00640820" w:rsidRDefault="003478D5" w:rsidP="00640820">
      <w:pPr>
        <w:pStyle w:val="96"/>
        <w:shd w:val="clear" w:color="auto" w:fill="auto"/>
        <w:spacing w:before="0" w:line="240" w:lineRule="auto"/>
        <w:rPr>
          <w:rFonts w:ascii="Times New Roman" w:hAnsi="Times New Roman" w:cs="Times New Roman"/>
          <w:color w:val="0070C0"/>
          <w:w w:val="100"/>
          <w:sz w:val="16"/>
          <w:szCs w:val="16"/>
        </w:rPr>
      </w:pPr>
      <w:r w:rsidRPr="00640820">
        <w:rPr>
          <w:rStyle w:val="16"/>
          <w:rFonts w:ascii="Times New Roman" w:hAnsi="Times New Roman" w:cs="Times New Roman"/>
          <w:color w:val="0070C0"/>
          <w:spacing w:val="0"/>
          <w:w w:val="100"/>
          <w:u w:val="none"/>
        </w:rPr>
        <w:t>По сравнению с серийным Ил-2 АМ-38 летные данные Ил-2 М-82 несколько ухудши</w:t>
      </w:r>
      <w:r w:rsidRPr="00640820">
        <w:rPr>
          <w:rStyle w:val="16"/>
          <w:rFonts w:ascii="Times New Roman" w:hAnsi="Times New Roman" w:cs="Times New Roman"/>
          <w:color w:val="0070C0"/>
          <w:spacing w:val="0"/>
          <w:w w:val="100"/>
          <w:u w:val="none"/>
        </w:rPr>
        <w:softHyphen/>
        <w:t>лись. Скорость полета у земли составила 382 км/ч, на высоте 2600 м - 421 км/ч.</w:t>
      </w:r>
    </w:p>
    <w:p w14:paraId="6B8D9E91" w14:textId="77777777" w:rsidR="003478D5" w:rsidRPr="00640820" w:rsidRDefault="003478D5" w:rsidP="00640820">
      <w:pPr>
        <w:pStyle w:val="96"/>
        <w:shd w:val="clear" w:color="auto" w:fill="auto"/>
        <w:spacing w:before="0" w:line="240" w:lineRule="auto"/>
        <w:rPr>
          <w:rFonts w:ascii="Times New Roman" w:hAnsi="Times New Roman" w:cs="Times New Roman"/>
          <w:i/>
          <w:iCs/>
          <w:color w:val="0070C0"/>
          <w:w w:val="100"/>
          <w:sz w:val="16"/>
          <w:szCs w:val="16"/>
        </w:rPr>
      </w:pPr>
      <w:r w:rsidRPr="00640820">
        <w:rPr>
          <w:rStyle w:val="16"/>
          <w:rFonts w:ascii="Times New Roman" w:hAnsi="Times New Roman" w:cs="Times New Roman"/>
          <w:color w:val="0070C0"/>
          <w:spacing w:val="0"/>
          <w:w w:val="100"/>
          <w:u w:val="none"/>
        </w:rPr>
        <w:t>Сразу же по окончании заводских испыта</w:t>
      </w:r>
      <w:r w:rsidRPr="00640820">
        <w:rPr>
          <w:rStyle w:val="16"/>
          <w:rFonts w:ascii="Times New Roman" w:hAnsi="Times New Roman" w:cs="Times New Roman"/>
          <w:color w:val="0070C0"/>
          <w:spacing w:val="0"/>
          <w:w w:val="100"/>
          <w:u w:val="none"/>
        </w:rPr>
        <w:softHyphen/>
        <w:t>ний Ильюшин предложил выпустить 30 таких Ил-2. Предлагалось сформировать один ави</w:t>
      </w:r>
      <w:r w:rsidRPr="00640820">
        <w:rPr>
          <w:rStyle w:val="16"/>
          <w:rFonts w:ascii="Times New Roman" w:hAnsi="Times New Roman" w:cs="Times New Roman"/>
          <w:color w:val="0070C0"/>
          <w:spacing w:val="0"/>
          <w:w w:val="100"/>
          <w:u w:val="none"/>
        </w:rPr>
        <w:softHyphen/>
        <w:t>аполк полностью на новых машинах и один смешанный, укомплектованный одномест</w:t>
      </w:r>
      <w:r w:rsidRPr="00640820">
        <w:rPr>
          <w:rStyle w:val="16"/>
          <w:rFonts w:ascii="Times New Roman" w:hAnsi="Times New Roman" w:cs="Times New Roman"/>
          <w:color w:val="0070C0"/>
          <w:spacing w:val="0"/>
          <w:w w:val="100"/>
          <w:u w:val="none"/>
        </w:rPr>
        <w:softHyphen/>
        <w:t>ными и двухместными Ил-2 в соотношении 2:1, т.е. каждым двум одноместным самолетам Ил-2 АМ-38 придать один</w:t>
      </w:r>
      <w:r w:rsidRPr="00640820">
        <w:rPr>
          <w:rStyle w:val="aff5"/>
          <w:rFonts w:ascii="Times New Roman" w:hAnsi="Times New Roman" w:cs="Times New Roman"/>
          <w:color w:val="0070C0"/>
          <w:w w:val="100"/>
        </w:rPr>
        <w:t xml:space="preserve"> </w:t>
      </w:r>
      <w:r w:rsidRPr="00640820">
        <w:rPr>
          <w:rStyle w:val="aff5"/>
          <w:rFonts w:ascii="Times New Roman" w:hAnsi="Times New Roman" w:cs="Times New Roman"/>
          <w:i w:val="0"/>
          <w:iCs w:val="0"/>
          <w:color w:val="0070C0"/>
          <w:w w:val="100"/>
        </w:rPr>
        <w:t>«двухместный Ил- 2, который решал бы задачи лидера группы. В этом случае, Ил-2 с М-82 именовался бы как Ил-4».</w:t>
      </w:r>
    </w:p>
    <w:p w14:paraId="33090EE5" w14:textId="77777777" w:rsidR="003478D5" w:rsidRPr="00640820" w:rsidRDefault="003478D5" w:rsidP="00640820">
      <w:pPr>
        <w:pStyle w:val="96"/>
        <w:shd w:val="clear" w:color="auto" w:fill="auto"/>
        <w:spacing w:before="0" w:line="240" w:lineRule="auto"/>
        <w:rPr>
          <w:rStyle w:val="16"/>
          <w:rFonts w:ascii="Times New Roman" w:hAnsi="Times New Roman" w:cs="Times New Roman"/>
          <w:color w:val="0070C0"/>
          <w:spacing w:val="0"/>
          <w:w w:val="100"/>
          <w:u w:val="none"/>
        </w:rPr>
      </w:pPr>
      <w:r w:rsidRPr="00640820">
        <w:rPr>
          <w:rStyle w:val="16"/>
          <w:rFonts w:ascii="Times New Roman" w:hAnsi="Times New Roman" w:cs="Times New Roman"/>
          <w:color w:val="0070C0"/>
          <w:spacing w:val="0"/>
          <w:w w:val="100"/>
          <w:u w:val="none"/>
        </w:rPr>
        <w:t>Однако было решено дождаться результа</w:t>
      </w:r>
      <w:r w:rsidRPr="00640820">
        <w:rPr>
          <w:rStyle w:val="16"/>
          <w:rFonts w:ascii="Times New Roman" w:hAnsi="Times New Roman" w:cs="Times New Roman"/>
          <w:color w:val="0070C0"/>
          <w:spacing w:val="0"/>
          <w:w w:val="100"/>
          <w:u w:val="none"/>
        </w:rPr>
        <w:softHyphen/>
        <w:t>тов дополнительных испытаний мотора М-82. К тому же Ил-2 с М-82 еще должен был пройти положенные государственные испытания. Тем не менее, мобилизационный отдел НКАП в сентябре включил Ил-2 с М-82 в проект плана выпуска самолетов и моторов в 1941 г.</w:t>
      </w:r>
      <w:r w:rsidRPr="00640820">
        <w:rPr>
          <w:rStyle w:val="16"/>
          <w:rFonts w:ascii="Times New Roman" w:hAnsi="Times New Roman" w:cs="Times New Roman"/>
          <w:color w:val="0070C0"/>
          <w:spacing w:val="0"/>
          <w:w w:val="100"/>
          <w:u w:val="none"/>
          <w:lang w:val="ru-RU"/>
        </w:rPr>
        <w:t xml:space="preserve"> (19877)</w:t>
      </w:r>
      <w:r w:rsidRPr="00640820">
        <w:rPr>
          <w:rStyle w:val="16"/>
          <w:rFonts w:ascii="Times New Roman" w:hAnsi="Times New Roman" w:cs="Times New Roman"/>
          <w:color w:val="0070C0"/>
          <w:spacing w:val="0"/>
          <w:w w:val="100"/>
          <w:u w:val="none"/>
        </w:rPr>
        <w:t>.</w:t>
      </w:r>
    </w:p>
    <w:p w14:paraId="7D8D4885" w14:textId="77777777" w:rsidR="003478D5" w:rsidRPr="00640820" w:rsidRDefault="003478D5" w:rsidP="00640820">
      <w:pPr>
        <w:pStyle w:val="96"/>
        <w:shd w:val="clear" w:color="auto" w:fill="auto"/>
        <w:spacing w:before="0" w:line="240" w:lineRule="auto"/>
        <w:rPr>
          <w:rFonts w:ascii="Times New Roman" w:hAnsi="Times New Roman" w:cs="Times New Roman"/>
          <w:color w:val="0070C0"/>
          <w:w w:val="100"/>
          <w:sz w:val="16"/>
          <w:szCs w:val="16"/>
        </w:rPr>
      </w:pPr>
    </w:p>
    <w:p w14:paraId="193931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16 сентября 1941 мотор М-82 был установлен на Ил-2 (737,16).</w:t>
      </w:r>
    </w:p>
    <w:p w14:paraId="4224EE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Имеется несколько снимков - от 16 сентября 1941 - общие виды: спереди (лето), спереди с убранными шасси на козелках (спереди, так как заднее колесо - на земле) (лето), 3/4 спереди сбоку слева (лето), сбоку слева (лето), 3/4 сзади слева (лето), сзади (лето) + детальный - открытый капот и зимний снимок 1941-1942 - 3/4 спереди справа.</w:t>
      </w:r>
    </w:p>
    <w:p w14:paraId="1DD020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МиГ-9 - проходил летные испытания в ЛИИ была запущена в производство войсковая серия (737,16);</w:t>
      </w:r>
    </w:p>
    <w:p w14:paraId="54754D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Су-2 - летные испытания самолета были закончены, проводилась доводка в воздухе в ЛИИ и осуществлялась сборка серии для войсковых испытаний (737,16);</w:t>
      </w:r>
    </w:p>
    <w:p w14:paraId="332ADB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Ил-4 - удовлетворительно прошел заводские испытания, ВМГ работала нормально (737,16);</w:t>
      </w:r>
    </w:p>
    <w:p w14:paraId="0E281A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И-185 - проходил доводочные испытания ВМГ. В производство запущено 5 самолетов с навесным радиатором (737,16);</w:t>
      </w:r>
    </w:p>
    <w:p w14:paraId="337E4A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Гу-82 - проходил доводки ВМГ и летные испытания. ВМГ работала удовлетворительно (737,16);</w:t>
      </w:r>
    </w:p>
    <w:p w14:paraId="0F09C3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Як - мотор был смонтирован на самолет (737,16);</w:t>
      </w:r>
    </w:p>
    <w:p w14:paraId="048E30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103 - - монтировался мотор с редуктором (737,16);</w:t>
      </w:r>
    </w:p>
    <w:p w14:paraId="5DF70F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A0DCB1F" w14:textId="77777777" w:rsidR="00235B92" w:rsidRPr="00640820" w:rsidRDefault="00235B92"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сентября 1941 закончились заводские испытания Ил-4 (Ил-2-М-82) (5).</w:t>
      </w:r>
    </w:p>
    <w:p w14:paraId="2E3650AF" w14:textId="77777777" w:rsidR="00235B92" w:rsidRPr="00640820" w:rsidRDefault="00235B92" w:rsidP="00640820">
      <w:pPr>
        <w:autoSpaceDE w:val="0"/>
        <w:autoSpaceDN w:val="0"/>
        <w:adjustRightInd w:val="0"/>
        <w:spacing w:after="0" w:line="240" w:lineRule="auto"/>
        <w:jc w:val="both"/>
        <w:rPr>
          <w:rFonts w:ascii="Times New Roman" w:hAnsi="Times New Roman"/>
          <w:color w:val="000000" w:themeColor="text1"/>
          <w:sz w:val="16"/>
          <w:szCs w:val="16"/>
        </w:rPr>
      </w:pPr>
    </w:p>
    <w:p w14:paraId="74C21D0B" w14:textId="77777777" w:rsidR="00235B92" w:rsidRPr="00640820" w:rsidRDefault="00235B92" w:rsidP="00640820">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К 16 сентября 1941 была завершена программа заводских испытаний Ил-2 М-82. Вместе с Коккинаки самолет облетал летчик-испытатель завода № 18 подпол</w:t>
      </w:r>
      <w:r w:rsidRPr="00640820">
        <w:rPr>
          <w:rFonts w:ascii="Times New Roman" w:hAnsi="Times New Roman" w:cs="Times New Roman"/>
          <w:color w:val="000000" w:themeColor="text1"/>
          <w:sz w:val="16"/>
          <w:szCs w:val="16"/>
        </w:rPr>
        <w:softHyphen/>
        <w:t>ковник К.К.Рыков.</w:t>
      </w:r>
    </w:p>
    <w:p w14:paraId="55E1162C" w14:textId="77777777" w:rsidR="00235B92" w:rsidRPr="00640820" w:rsidRDefault="00235B92" w:rsidP="00640820">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По сравнению с серийным Ил-2 АМ-38 летные данные Ил-2 М-82 несколько ухудшились. Скорость полета у земли составила 382 км/ч, на высоте 2600 м-421 км/ч.</w:t>
      </w:r>
    </w:p>
    <w:p w14:paraId="371C7478" w14:textId="77777777" w:rsidR="00235B92" w:rsidRPr="00640820" w:rsidRDefault="00235B92" w:rsidP="00640820">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Сразу же по окончании заводских испытаний Ильюшин предложил выпустить 30 Ил-2 М-82 войсковой серии. Предлагалось сформировать один авиаполк полностью на новых машинах и один смешанный, укомплектованный одноместными и двухместными Ил-2 в соотношении 2:1, то есть каждым двум одноместным самолетам Ил-2 АМ-38 придать один двухместный Ил-2, кото</w:t>
      </w:r>
      <w:r w:rsidRPr="00640820">
        <w:rPr>
          <w:rFonts w:ascii="Times New Roman" w:hAnsi="Times New Roman" w:cs="Times New Roman"/>
          <w:color w:val="000000" w:themeColor="text1"/>
          <w:sz w:val="16"/>
          <w:szCs w:val="16"/>
        </w:rPr>
        <w:softHyphen/>
        <w:t>рый решал бы задачи лидера группы. В этом случае Ил-2 с М-82 именовался бы как Ил-4.</w:t>
      </w:r>
    </w:p>
    <w:p w14:paraId="59ACFB4E" w14:textId="77777777" w:rsidR="00235B92" w:rsidRPr="00640820" w:rsidRDefault="00235B92" w:rsidP="00640820">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Однако было решено дождаться результатов дополнительных испытаний мотора М-82. К тому же Ил-2 с М-82 еще должен был пройти положенные государственные испытания.</w:t>
      </w:r>
    </w:p>
    <w:p w14:paraId="5C31C5C3" w14:textId="77777777" w:rsidR="00235B92" w:rsidRPr="00640820" w:rsidRDefault="00235B92" w:rsidP="00640820">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Тем не менее, мобилизационный отдел НКАП в сентябре включил Ил-2 с М-82 в проект плана выпуска самолетов и моторов в 1941 г. (19111).</w:t>
      </w:r>
    </w:p>
    <w:p w14:paraId="7C7CAF4A" w14:textId="77777777" w:rsidR="00235B92" w:rsidRPr="00640820" w:rsidRDefault="00235B92" w:rsidP="00640820">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565DA7D6" w14:textId="77777777" w:rsidR="00235B92" w:rsidRPr="00640820" w:rsidRDefault="00235B9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сентября 1941 в целом успешно завершились сокращенные заводские летные испытания двухместного Ил-2 с мотором М-82 и подвижной оборонительной установкой под пулемет УБТ. Самолет планировалось массово выпускать на авиазаводах №1 и 18. В этих условиях организация серии Ил-2 с неподвижной оборонительной установкой утрачивала всякий смысл (19775).</w:t>
      </w:r>
    </w:p>
    <w:p w14:paraId="61FCA39E" w14:textId="77777777" w:rsidR="00235B92" w:rsidRPr="00640820" w:rsidRDefault="00235B92" w:rsidP="00640820">
      <w:pPr>
        <w:spacing w:after="0" w:line="240" w:lineRule="auto"/>
        <w:jc w:val="both"/>
        <w:rPr>
          <w:rFonts w:ascii="Times New Roman" w:hAnsi="Times New Roman"/>
          <w:color w:val="000000" w:themeColor="text1"/>
          <w:sz w:val="16"/>
          <w:szCs w:val="16"/>
        </w:rPr>
      </w:pPr>
    </w:p>
    <w:p w14:paraId="341DCD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сентября 1941 закончились испытания установленной в августе 1941 на самолете Пе-2 N 9/9 в дополнение башенке стрелка со ШКАС МВ-7 Можаровского-Виневидова с УБТ и прозрачным экраном, которые шли с 10 сентября 1941 (1841,27).</w:t>
      </w:r>
    </w:p>
    <w:p w14:paraId="7659C1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C6E17CA" w14:textId="77777777" w:rsidR="00235B92" w:rsidRPr="00640820" w:rsidRDefault="00235B92" w:rsidP="00640820">
      <w:pPr>
        <w:pStyle w:val="ae"/>
        <w:shd w:val="clear" w:color="auto" w:fill="FFFFFF"/>
        <w:spacing w:before="0" w:after="0"/>
        <w:jc w:val="both"/>
        <w:rPr>
          <w:color w:val="000000" w:themeColor="text1"/>
          <w:sz w:val="16"/>
          <w:szCs w:val="16"/>
        </w:rPr>
      </w:pPr>
      <w:r w:rsidRPr="00640820">
        <w:rPr>
          <w:color w:val="000000" w:themeColor="text1"/>
          <w:sz w:val="16"/>
          <w:szCs w:val="16"/>
        </w:rPr>
        <w:t>16 сентября 1941 вышел приказ НКАП № 983с</w:t>
      </w:r>
    </w:p>
    <w:p w14:paraId="569393B2" w14:textId="77777777" w:rsidR="00235B92" w:rsidRPr="00640820" w:rsidRDefault="00235B92" w:rsidP="00640820">
      <w:pPr>
        <w:pStyle w:val="ae"/>
        <w:shd w:val="clear" w:color="auto" w:fill="FFFFFF"/>
        <w:spacing w:before="0" w:after="0"/>
        <w:jc w:val="both"/>
        <w:rPr>
          <w:color w:val="000000" w:themeColor="text1"/>
          <w:sz w:val="16"/>
          <w:szCs w:val="16"/>
        </w:rPr>
      </w:pPr>
      <w:r w:rsidRPr="00640820">
        <w:rPr>
          <w:color w:val="000000" w:themeColor="text1"/>
          <w:sz w:val="16"/>
          <w:szCs w:val="16"/>
        </w:rPr>
        <w:t>В целях экономии алюминиевых сплавов</w:t>
      </w:r>
    </w:p>
    <w:p w14:paraId="7696027B" w14:textId="77777777" w:rsidR="00235B92" w:rsidRPr="00640820" w:rsidRDefault="00235B92" w:rsidP="00640820">
      <w:pPr>
        <w:pStyle w:val="ae"/>
        <w:shd w:val="clear" w:color="auto" w:fill="FFFFFF"/>
        <w:spacing w:before="0" w:after="0"/>
        <w:jc w:val="both"/>
        <w:rPr>
          <w:color w:val="000000" w:themeColor="text1"/>
          <w:sz w:val="16"/>
          <w:szCs w:val="16"/>
        </w:rPr>
      </w:pPr>
      <w:r w:rsidRPr="00640820">
        <w:rPr>
          <w:color w:val="000000" w:themeColor="text1"/>
          <w:sz w:val="16"/>
          <w:szCs w:val="16"/>
        </w:rPr>
        <w:t>Пар. 4 Директору завода № 156:</w:t>
      </w:r>
    </w:p>
    <w:p w14:paraId="73EA1B52" w14:textId="77777777" w:rsidR="00235B92" w:rsidRPr="00640820" w:rsidRDefault="00235B92" w:rsidP="00640820">
      <w:pPr>
        <w:pStyle w:val="ae"/>
        <w:shd w:val="clear" w:color="auto" w:fill="FFFFFF"/>
        <w:spacing w:before="0" w:after="0"/>
        <w:jc w:val="both"/>
        <w:rPr>
          <w:color w:val="000000" w:themeColor="text1"/>
          <w:sz w:val="16"/>
          <w:szCs w:val="16"/>
        </w:rPr>
      </w:pPr>
      <w:r w:rsidRPr="00640820">
        <w:rPr>
          <w:color w:val="000000" w:themeColor="text1"/>
          <w:sz w:val="16"/>
          <w:szCs w:val="16"/>
        </w:rPr>
        <w:t>а) организовать производство фибровых баков для самолетов Пе-2 - 4 шт. и Ил-2 - 2 шт.</w:t>
      </w:r>
    </w:p>
    <w:p w14:paraId="772715B1" w14:textId="77777777" w:rsidR="00235B92" w:rsidRPr="00640820" w:rsidRDefault="00235B92" w:rsidP="00640820">
      <w:pPr>
        <w:pStyle w:val="ae"/>
        <w:shd w:val="clear" w:color="auto" w:fill="FFFFFF"/>
        <w:spacing w:before="0" w:after="0"/>
        <w:jc w:val="both"/>
        <w:rPr>
          <w:color w:val="000000" w:themeColor="text1"/>
          <w:sz w:val="16"/>
          <w:szCs w:val="16"/>
        </w:rPr>
      </w:pPr>
      <w:r w:rsidRPr="00640820">
        <w:rPr>
          <w:color w:val="000000" w:themeColor="text1"/>
          <w:sz w:val="16"/>
          <w:szCs w:val="16"/>
        </w:rPr>
        <w:t>Пар. 6 Директору завода № 22 тов. Карпову:</w:t>
      </w:r>
    </w:p>
    <w:p w14:paraId="31781FB6" w14:textId="77777777" w:rsidR="00235B92" w:rsidRPr="00640820" w:rsidRDefault="00235B92" w:rsidP="00640820">
      <w:pPr>
        <w:pStyle w:val="ae"/>
        <w:shd w:val="clear" w:color="auto" w:fill="FFFFFF"/>
        <w:spacing w:before="0" w:after="0"/>
        <w:jc w:val="both"/>
        <w:rPr>
          <w:color w:val="000000" w:themeColor="text1"/>
          <w:sz w:val="16"/>
          <w:szCs w:val="16"/>
        </w:rPr>
      </w:pPr>
      <w:r w:rsidRPr="00640820">
        <w:rPr>
          <w:color w:val="000000" w:themeColor="text1"/>
          <w:sz w:val="16"/>
          <w:szCs w:val="16"/>
        </w:rPr>
        <w:t>а) к 20 сентября с.г. передать заводу № 156 все оборудование и личный состав существующего отделения фибровых баков</w:t>
      </w:r>
    </w:p>
    <w:p w14:paraId="68655F0F" w14:textId="77777777" w:rsidR="00235B92" w:rsidRPr="00640820" w:rsidRDefault="00235B92" w:rsidP="00640820">
      <w:pPr>
        <w:pStyle w:val="ae"/>
        <w:shd w:val="clear" w:color="auto" w:fill="FFFFFF"/>
        <w:spacing w:before="0" w:after="0"/>
        <w:jc w:val="both"/>
        <w:rPr>
          <w:color w:val="000000" w:themeColor="text1"/>
          <w:sz w:val="16"/>
          <w:szCs w:val="16"/>
        </w:rPr>
      </w:pPr>
      <w:r w:rsidRPr="00640820">
        <w:rPr>
          <w:color w:val="000000" w:themeColor="text1"/>
          <w:sz w:val="16"/>
          <w:szCs w:val="16"/>
        </w:rPr>
        <w:t>б) изготовить металлические штампы и брованки в количестве:</w:t>
      </w:r>
    </w:p>
    <w:p w14:paraId="13FCA967" w14:textId="77777777" w:rsidR="00235B92" w:rsidRPr="00640820" w:rsidRDefault="00235B92" w:rsidP="00640820">
      <w:pPr>
        <w:pStyle w:val="ae"/>
        <w:shd w:val="clear" w:color="auto" w:fill="FFFFFF"/>
        <w:spacing w:before="0" w:after="0"/>
        <w:jc w:val="both"/>
        <w:rPr>
          <w:color w:val="000000" w:themeColor="text1"/>
          <w:sz w:val="16"/>
          <w:szCs w:val="16"/>
        </w:rPr>
      </w:pPr>
      <w:r w:rsidRPr="00640820">
        <w:rPr>
          <w:color w:val="000000" w:themeColor="text1"/>
          <w:sz w:val="16"/>
          <w:szCs w:val="16"/>
        </w:rPr>
        <w:t>для Пе-2 - 5 комплектов штампов и 15 комплектов болванок к 25 сентября с.г.</w:t>
      </w:r>
    </w:p>
    <w:p w14:paraId="5EFB9DEC" w14:textId="77777777" w:rsidR="00235B92" w:rsidRPr="00640820" w:rsidRDefault="00235B92" w:rsidP="00640820">
      <w:pPr>
        <w:pStyle w:val="ae"/>
        <w:shd w:val="clear" w:color="auto" w:fill="FFFFFF"/>
        <w:spacing w:before="0" w:after="0"/>
        <w:jc w:val="both"/>
        <w:rPr>
          <w:color w:val="000000" w:themeColor="text1"/>
          <w:sz w:val="16"/>
          <w:szCs w:val="16"/>
        </w:rPr>
      </w:pPr>
      <w:r w:rsidRPr="00640820">
        <w:rPr>
          <w:color w:val="000000" w:themeColor="text1"/>
          <w:sz w:val="16"/>
          <w:szCs w:val="16"/>
        </w:rPr>
        <w:t>в) впредб до установки вулканизационных котлов на заводе № 156, изготовление чехлов для баков Пе-2 - Ил-2 возложить на завод № 22</w:t>
      </w:r>
    </w:p>
    <w:p w14:paraId="75E647D7" w14:textId="77777777" w:rsidR="00235B92" w:rsidRPr="00640820" w:rsidRDefault="00235B92" w:rsidP="00640820">
      <w:pPr>
        <w:pStyle w:val="ae"/>
        <w:shd w:val="clear" w:color="auto" w:fill="FFFFFF"/>
        <w:spacing w:before="0" w:after="0"/>
        <w:jc w:val="both"/>
        <w:rPr>
          <w:color w:val="000000" w:themeColor="text1"/>
          <w:sz w:val="16"/>
          <w:szCs w:val="16"/>
        </w:rPr>
      </w:pPr>
      <w:r w:rsidRPr="00640820">
        <w:rPr>
          <w:color w:val="000000" w:themeColor="text1"/>
          <w:sz w:val="16"/>
          <w:szCs w:val="16"/>
        </w:rPr>
        <w:t>Пар. 7 Директору завода № 39 тов. Соколову к 1 октября с.г. изготовить металлические штампы для Ил-2- 5 комплектов и 15 комплектов болванок.</w:t>
      </w:r>
    </w:p>
    <w:p w14:paraId="1E5EEC88" w14:textId="77777777" w:rsidR="00235B92" w:rsidRPr="00640820" w:rsidRDefault="00235B92" w:rsidP="00640820">
      <w:pPr>
        <w:pStyle w:val="ae"/>
        <w:shd w:val="clear" w:color="auto" w:fill="FFFFFF"/>
        <w:spacing w:before="0" w:after="0"/>
        <w:jc w:val="both"/>
        <w:rPr>
          <w:color w:val="000000" w:themeColor="text1"/>
          <w:sz w:val="16"/>
          <w:szCs w:val="16"/>
        </w:rPr>
      </w:pPr>
      <w:r w:rsidRPr="00640820">
        <w:rPr>
          <w:color w:val="000000" w:themeColor="text1"/>
          <w:sz w:val="16"/>
          <w:szCs w:val="16"/>
        </w:rPr>
        <w:t>Пар. 8 Изготовление арматуры для бензобаков возложить на заводы-потребители, согласно предусмотренных программой сроков и количеств.</w:t>
      </w:r>
    </w:p>
    <w:p w14:paraId="3AA4E6C3" w14:textId="77777777" w:rsidR="00235B92" w:rsidRPr="00640820" w:rsidRDefault="00235B92" w:rsidP="00640820">
      <w:pPr>
        <w:pStyle w:val="ae"/>
        <w:shd w:val="clear" w:color="auto" w:fill="FFFFFF"/>
        <w:spacing w:before="0" w:after="0"/>
        <w:jc w:val="both"/>
        <w:rPr>
          <w:color w:val="000000" w:themeColor="text1"/>
          <w:sz w:val="16"/>
          <w:szCs w:val="16"/>
        </w:rPr>
      </w:pPr>
      <w:r w:rsidRPr="00640820">
        <w:rPr>
          <w:color w:val="000000" w:themeColor="text1"/>
          <w:sz w:val="16"/>
          <w:szCs w:val="16"/>
        </w:rPr>
        <w:t>Пар. 11 Заместителю Наркома тов. Кузнецову укомплектовать завод № 156 инженерно-техническим персоналом и квалифицированными рабочими за счет заводов №№ 22, 30 и 18.</w:t>
      </w:r>
    </w:p>
    <w:p w14:paraId="63359A02" w14:textId="77777777" w:rsidR="00235B92" w:rsidRPr="00640820" w:rsidRDefault="00235B92" w:rsidP="00640820">
      <w:pPr>
        <w:pStyle w:val="ae"/>
        <w:shd w:val="clear" w:color="auto" w:fill="FFFFFF"/>
        <w:spacing w:before="0" w:after="0"/>
        <w:jc w:val="both"/>
        <w:rPr>
          <w:color w:val="000000" w:themeColor="text1"/>
          <w:sz w:val="16"/>
          <w:szCs w:val="16"/>
        </w:rPr>
      </w:pPr>
      <w:r w:rsidRPr="00640820">
        <w:rPr>
          <w:color w:val="000000" w:themeColor="text1"/>
          <w:sz w:val="16"/>
          <w:szCs w:val="16"/>
        </w:rPr>
        <w:t>Пер. 13 Исполнение настоящего приказа взять под контроль инспекции при наркоме.</w:t>
      </w:r>
    </w:p>
    <w:p w14:paraId="1A623065" w14:textId="77777777" w:rsidR="00235B92" w:rsidRPr="00640820" w:rsidRDefault="00235B92" w:rsidP="00640820">
      <w:pPr>
        <w:pStyle w:val="ae"/>
        <w:shd w:val="clear" w:color="auto" w:fill="FFFFFF"/>
        <w:spacing w:before="0" w:after="0"/>
        <w:jc w:val="both"/>
        <w:rPr>
          <w:color w:val="000000" w:themeColor="text1"/>
          <w:sz w:val="16"/>
          <w:szCs w:val="16"/>
        </w:rPr>
      </w:pPr>
      <w:r w:rsidRPr="00640820">
        <w:rPr>
          <w:color w:val="000000" w:themeColor="text1"/>
          <w:sz w:val="16"/>
          <w:szCs w:val="16"/>
        </w:rPr>
        <w:t>п/п Зам. наркома АП П.Воронин (19706).</w:t>
      </w:r>
    </w:p>
    <w:p w14:paraId="43E75B39" w14:textId="77777777" w:rsidR="00235B92" w:rsidRPr="00640820" w:rsidRDefault="00235B92" w:rsidP="00640820">
      <w:pPr>
        <w:pStyle w:val="ae"/>
        <w:shd w:val="clear" w:color="auto" w:fill="FFFFFF"/>
        <w:spacing w:before="0" w:after="0"/>
        <w:jc w:val="both"/>
        <w:rPr>
          <w:color w:val="000000" w:themeColor="text1"/>
          <w:sz w:val="16"/>
          <w:szCs w:val="16"/>
        </w:rPr>
      </w:pPr>
    </w:p>
    <w:p w14:paraId="75130B25" w14:textId="77777777" w:rsidR="00E35668" w:rsidRPr="00640820" w:rsidRDefault="00E3566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16 СЕНТЯБРЯ 1941 Г.</w:t>
      </w:r>
    </w:p>
    <w:p w14:paraId="769F8446" w14:textId="77777777" w:rsidR="00E35668" w:rsidRPr="00640820" w:rsidRDefault="00E3566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РЕШЕНИЕ ПАРТИЙНОГО КОМИТЕТА ЗАВОДА ИМЕНИ СЕРГО ОРДЖОНИКИДЗЕ</w:t>
      </w:r>
    </w:p>
    <w:p w14:paraId="60A258C1" w14:textId="77777777" w:rsidR="00E35668" w:rsidRPr="00640820" w:rsidRDefault="00E3566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ОТ 16 СЕНТЯБРЯ 1941 Г.</w:t>
      </w:r>
    </w:p>
    <w:p w14:paraId="4F33D089" w14:textId="77777777" w:rsidR="00E35668" w:rsidRPr="00640820" w:rsidRDefault="00E3566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Заслушав доклад главного технолога завода тов. Зайчик об экономии материалов по заводу им. С. Орджоникидзе - партийный комитет отмечает,  что за период внедрения в серийное производство машины 31 гл[авным] технологом и 10-м отделом завода проделана значительная работа в экономии материала по заводу, путем перевода деталей на литье под давлением, на горячую штамповку, замену деталей, благодаря чему завод по кварталам получил следующую экономию материалов:</w:t>
      </w:r>
    </w:p>
    <w:p w14:paraId="11D3EB3E" w14:textId="77777777" w:rsidR="00E35668" w:rsidRPr="00640820" w:rsidRDefault="00E3566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1-й квартал в цветном материале - 86,973 кг на машину по вспомогательному производству 702,400 кг в черных металлах, 12,945 кг на машину.</w:t>
      </w:r>
    </w:p>
    <w:p w14:paraId="09F46A57" w14:textId="77777777" w:rsidR="00E35668" w:rsidRPr="00640820" w:rsidRDefault="00E3566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2-й квартал — по цветным металлам - 87,194 кг на машину и вспомогательному производству - 195,00 кг по черным металлам 23,276 кг на машину.</w:t>
      </w:r>
    </w:p>
    <w:p w14:paraId="00A043A8" w14:textId="77777777" w:rsidR="00E35668" w:rsidRPr="00640820" w:rsidRDefault="00E3566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Но все эти результаты не отвечают требованиям военного времени, в особенности, по снижению расхода цветных металлов на заменители, по соблюдению технологической дисциплины в раскрое материалов и неполноценного использования отходов после раскроя.</w:t>
      </w:r>
    </w:p>
    <w:p w14:paraId="1F50326A" w14:textId="77777777" w:rsidR="00E35668" w:rsidRPr="00640820" w:rsidRDefault="00E3566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Партком постановляет:</w:t>
      </w:r>
    </w:p>
    <w:p w14:paraId="62AAD0B1" w14:textId="77777777" w:rsidR="00E35668" w:rsidRPr="00640820" w:rsidRDefault="00E3566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 В целях правильного и экономного расхода материала и древесины - предложить директору завода т. Гостинцеву организовать центральный раскрой черных и цветных металлов при цехе № 140 и 5 отделе, и централизованный раскрой фанеры при отделе 90.</w:t>
      </w:r>
    </w:p>
    <w:p w14:paraId="4E1506E1" w14:textId="77777777" w:rsidR="00E35668" w:rsidRPr="00640820" w:rsidRDefault="00E3566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lastRenderedPageBreak/>
        <w:t>2. Предложить директору завода тов. Гостинцеву обязать к быстрейшему решению вопроса со стороны главн[ого] конструктора о внесении всех конструктивных изменений по машине, связанных с применением заменителей в соответствии с приказом Наркома.</w:t>
      </w:r>
    </w:p>
    <w:p w14:paraId="17B5CF8A" w14:textId="77777777" w:rsidR="00E35668" w:rsidRPr="00640820" w:rsidRDefault="00E3566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3. Немедленно реализовать приказ директора завода о переводе всех кладовых цех в ведение 5-го отдела.</w:t>
      </w:r>
    </w:p>
    <w:p w14:paraId="34E7A6E4" w14:textId="77777777" w:rsidR="00E35668" w:rsidRPr="00640820" w:rsidRDefault="00E3566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4. Нач[альникам] цехов и секретарям партбюро цехов немедленно провести массово-разъяснительную работу по хранению и экономии в расходовании материалов в военное время. Обязать секретарей партбюро провести открытые партсобрания во всех цехах с вопросом: «Об экономии материалов в военное время» с 20/IX-41 г. по 25 сентября 1941 года.</w:t>
      </w:r>
    </w:p>
    <w:p w14:paraId="35FA56CA" w14:textId="77777777" w:rsidR="00E35668" w:rsidRPr="00640820" w:rsidRDefault="00E3566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5. Заместителю директора тов. Шульман пересмотреть существующую систему учета материала и организовать строжайшую подотчетную выдачу каждого килограмма и грамма материалов, строго привлекая к ответственности виновников перерасхода.</w:t>
      </w:r>
    </w:p>
    <w:p w14:paraId="5FE054AE" w14:textId="77777777" w:rsidR="00E35668" w:rsidRPr="00640820" w:rsidRDefault="00E3566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Секретарь парткома завода им.С. Орджоникидзе</w:t>
      </w:r>
      <w:r w:rsidRPr="00640820">
        <w:rPr>
          <w:rFonts w:ascii="Times New Roman" w:hAnsi="Times New Roman"/>
          <w:color w:val="0070C0"/>
          <w:sz w:val="16"/>
          <w:szCs w:val="16"/>
        </w:rPr>
        <w:tab/>
        <w:t>(АГУРЕЕВ)</w:t>
      </w:r>
    </w:p>
    <w:p w14:paraId="3C1D741F" w14:textId="77777777" w:rsidR="00E35668" w:rsidRPr="00640820" w:rsidRDefault="00E3566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ГОПАНО. Ф. 1947. On. 1. Д. 310. Л 14.</w:t>
      </w:r>
    </w:p>
    <w:p w14:paraId="50FCAC17" w14:textId="77777777" w:rsidR="00E35668" w:rsidRPr="00640820" w:rsidRDefault="00E3566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Подлинник. Машинопись (21051).</w:t>
      </w:r>
    </w:p>
    <w:p w14:paraId="0862DE9A" w14:textId="77777777" w:rsidR="00E35668" w:rsidRPr="00640820" w:rsidRDefault="00E35668" w:rsidP="00640820">
      <w:pPr>
        <w:spacing w:after="0" w:line="240" w:lineRule="auto"/>
        <w:jc w:val="both"/>
        <w:rPr>
          <w:rFonts w:ascii="Times New Roman" w:hAnsi="Times New Roman"/>
          <w:color w:val="0070C0"/>
          <w:sz w:val="16"/>
          <w:szCs w:val="16"/>
        </w:rPr>
      </w:pPr>
    </w:p>
    <w:p w14:paraId="1DA36CF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сентября 1941 г. было письмо Штурману ВВС резервного фронта от штурмана 12-й сад майора Преображенского: «...10. При применении с самоле</w:t>
      </w:r>
      <w:r w:rsidRPr="00640820">
        <w:rPr>
          <w:rFonts w:ascii="Times New Roman" w:hAnsi="Times New Roman"/>
          <w:color w:val="000000" w:themeColor="text1"/>
          <w:sz w:val="16"/>
          <w:szCs w:val="16"/>
        </w:rPr>
        <w:softHyphen/>
        <w:t>тов И-153 и Ил-2 реактивных снарядов выявился новый способ обстре</w:t>
      </w:r>
      <w:r w:rsidRPr="00640820">
        <w:rPr>
          <w:rFonts w:ascii="Times New Roman" w:hAnsi="Times New Roman"/>
          <w:color w:val="000000" w:themeColor="text1"/>
          <w:sz w:val="16"/>
          <w:szCs w:val="16"/>
        </w:rPr>
        <w:softHyphen/>
        <w:t>ла целей в воздухе с установкой реактивных снарядов для действия назад.</w:t>
      </w:r>
    </w:p>
    <w:p w14:paraId="21979EE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Этот способ дал положительный результат, необходимо лишь выработать технику прицеливания».</w:t>
      </w:r>
    </w:p>
    <w:p w14:paraId="50B83B6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4-м дальнем разведывательном авиаполку резерва Верховного Главнокомандования на все самолеты Пе-2, Пе-3 и А-20 техники по воо</w:t>
      </w:r>
      <w:r w:rsidRPr="00640820">
        <w:rPr>
          <w:rFonts w:ascii="Times New Roman" w:hAnsi="Times New Roman"/>
          <w:color w:val="000000" w:themeColor="text1"/>
          <w:sz w:val="16"/>
          <w:szCs w:val="16"/>
        </w:rPr>
        <w:softHyphen/>
        <w:t>ружению самостоятельно установили попарно пусковые РО-82 под каж</w:t>
      </w:r>
      <w:r w:rsidRPr="00640820">
        <w:rPr>
          <w:rFonts w:ascii="Times New Roman" w:hAnsi="Times New Roman"/>
          <w:color w:val="000000" w:themeColor="text1"/>
          <w:sz w:val="16"/>
          <w:szCs w:val="16"/>
        </w:rPr>
        <w:softHyphen/>
        <w:t>дой консолью для отражения атак с обычного для истребителей люф</w:t>
      </w:r>
      <w:r w:rsidRPr="00640820">
        <w:rPr>
          <w:rFonts w:ascii="Times New Roman" w:hAnsi="Times New Roman"/>
          <w:color w:val="000000" w:themeColor="text1"/>
          <w:sz w:val="16"/>
          <w:szCs w:val="16"/>
        </w:rPr>
        <w:softHyphen/>
        <w:t>тваффе направления - нижней части задней полусферы. Однако их эф</w:t>
      </w:r>
      <w:r w:rsidRPr="00640820">
        <w:rPr>
          <w:rFonts w:ascii="Times New Roman" w:hAnsi="Times New Roman"/>
          <w:color w:val="000000" w:themeColor="text1"/>
          <w:sz w:val="16"/>
          <w:szCs w:val="16"/>
        </w:rPr>
        <w:softHyphen/>
        <w:t>фективность была минимальной - после первых знакомств с таким вари</w:t>
      </w:r>
      <w:r w:rsidRPr="00640820">
        <w:rPr>
          <w:rFonts w:ascii="Times New Roman" w:hAnsi="Times New Roman"/>
          <w:color w:val="000000" w:themeColor="text1"/>
          <w:sz w:val="16"/>
          <w:szCs w:val="16"/>
        </w:rPr>
        <w:softHyphen/>
        <w:t>антом вооружения немецкие летчики стали реже нападать в горизон</w:t>
      </w:r>
      <w:r w:rsidRPr="00640820">
        <w:rPr>
          <w:rFonts w:ascii="Times New Roman" w:hAnsi="Times New Roman"/>
          <w:color w:val="000000" w:themeColor="text1"/>
          <w:sz w:val="16"/>
          <w:szCs w:val="16"/>
        </w:rPr>
        <w:softHyphen/>
        <w:t>тальном полете на наши самолеты-разведчики. Зато атаки с кабрирова</w:t>
      </w:r>
      <w:r w:rsidRPr="00640820">
        <w:rPr>
          <w:rFonts w:ascii="Times New Roman" w:hAnsi="Times New Roman"/>
          <w:color w:val="000000" w:themeColor="text1"/>
          <w:sz w:val="16"/>
          <w:szCs w:val="16"/>
        </w:rPr>
        <w:softHyphen/>
        <w:t>ния имели больший успех, поскольку направляющие на наших машинах были жестко закреплены, и РС, отстрелянные назад, проходили намно</w:t>
      </w:r>
      <w:r w:rsidRPr="00640820">
        <w:rPr>
          <w:rFonts w:ascii="Times New Roman" w:hAnsi="Times New Roman"/>
          <w:color w:val="000000" w:themeColor="text1"/>
          <w:sz w:val="16"/>
          <w:szCs w:val="16"/>
        </w:rPr>
        <w:softHyphen/>
        <w:t>го выше атакующего истребителя.</w:t>
      </w:r>
    </w:p>
    <w:p w14:paraId="46CC4B7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 ракетном вооружении самолетов-бомбардировщиков рассказывает и фронтовик, штурман-бомбардир А.В.Лилин: «...В Энгельсе мы за ме</w:t>
      </w:r>
      <w:r w:rsidRPr="00640820">
        <w:rPr>
          <w:rFonts w:ascii="Times New Roman" w:hAnsi="Times New Roman"/>
          <w:color w:val="000000" w:themeColor="text1"/>
          <w:sz w:val="16"/>
          <w:szCs w:val="16"/>
        </w:rPr>
        <w:softHyphen/>
        <w:t>сяц переучились на самолеты Пе-2, очень хорошие по тем временам пи</w:t>
      </w:r>
      <w:r w:rsidRPr="00640820">
        <w:rPr>
          <w:rFonts w:ascii="Times New Roman" w:hAnsi="Times New Roman"/>
          <w:color w:val="000000" w:themeColor="text1"/>
          <w:sz w:val="16"/>
          <w:szCs w:val="16"/>
        </w:rPr>
        <w:softHyphen/>
        <w:t>кирующие бомбардировщики. Эти машины были основными дневными бомбардировщиками в годы войны. В них и броня неплохая была: у лет</w:t>
      </w:r>
      <w:r w:rsidRPr="00640820">
        <w:rPr>
          <w:rFonts w:ascii="Times New Roman" w:hAnsi="Times New Roman"/>
          <w:color w:val="000000" w:themeColor="text1"/>
          <w:sz w:val="16"/>
          <w:szCs w:val="16"/>
        </w:rPr>
        <w:softHyphen/>
        <w:t>чика сзади наголовник и сиденье с бронеспинкой, у штурмана (он рядом с летчиком сидел) тоже сзади бронеспинка, да и у радиста бронеспинка, только размером поменьше. Причем, что интересно, до 1943 г. мы бом</w:t>
      </w:r>
      <w:r w:rsidRPr="00640820">
        <w:rPr>
          <w:rFonts w:ascii="Times New Roman" w:hAnsi="Times New Roman"/>
          <w:color w:val="000000" w:themeColor="text1"/>
          <w:sz w:val="16"/>
          <w:szCs w:val="16"/>
        </w:rPr>
        <w:softHyphen/>
        <w:t>били только с горизонтального полета, а потом начали бомбить с пики</w:t>
      </w:r>
      <w:r w:rsidRPr="00640820">
        <w:rPr>
          <w:rFonts w:ascii="Times New Roman" w:hAnsi="Times New Roman"/>
          <w:color w:val="000000" w:themeColor="text1"/>
          <w:sz w:val="16"/>
          <w:szCs w:val="16"/>
        </w:rPr>
        <w:softHyphen/>
        <w:t>рования, и это намного повысило эффективность бомбометания.</w:t>
      </w:r>
    </w:p>
    <w:p w14:paraId="2678EF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Если же говорить о вооружении, на самолете Пе-2 у радиста - один пулемет ШКАС с калибром 7,62 мм. У штурмана — крупнокалибер</w:t>
      </w:r>
      <w:r w:rsidRPr="00640820">
        <w:rPr>
          <w:rFonts w:ascii="Times New Roman" w:hAnsi="Times New Roman"/>
          <w:color w:val="000000" w:themeColor="text1"/>
          <w:sz w:val="16"/>
          <w:szCs w:val="16"/>
        </w:rPr>
        <w:softHyphen/>
        <w:t>ный пулемет Березина с калибром 12,7 мм. У летчика - три пулемета спереди. Кроме того, до начала 1943 г. на самолетах Пе-2 выпуска Иркутского авиазавода подвешивали по восемь ракет РС-82. Из них че</w:t>
      </w:r>
      <w:r w:rsidRPr="00640820">
        <w:rPr>
          <w:rFonts w:ascii="Times New Roman" w:hAnsi="Times New Roman"/>
          <w:color w:val="000000" w:themeColor="text1"/>
          <w:sz w:val="16"/>
          <w:szCs w:val="16"/>
        </w:rPr>
        <w:softHyphen/>
        <w:t>тыре вперед стреляли, четыре - назад. При этом трубки взрывателей устанавливались на различную дистанцию с тем, чтобы можно было отпугивать истребителей противника при их заходе в атаку. Это было хорошим средством. Особенно, если была точно определена дистан</w:t>
      </w:r>
      <w:r w:rsidRPr="00640820">
        <w:rPr>
          <w:rFonts w:ascii="Times New Roman" w:hAnsi="Times New Roman"/>
          <w:color w:val="000000" w:themeColor="text1"/>
          <w:sz w:val="16"/>
          <w:szCs w:val="16"/>
        </w:rPr>
        <w:softHyphen/>
        <w:t>ция до самолета.</w:t>
      </w:r>
    </w:p>
    <w:p w14:paraId="0889BDD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Как правило, если ракета разрывалась около вражеского истребите</w:t>
      </w:r>
      <w:r w:rsidRPr="00640820">
        <w:rPr>
          <w:rFonts w:ascii="Times New Roman" w:hAnsi="Times New Roman"/>
          <w:color w:val="000000" w:themeColor="text1"/>
          <w:sz w:val="16"/>
          <w:szCs w:val="16"/>
        </w:rPr>
        <w:softHyphen/>
        <w:t>ля, то он второй раз в атаку не рвался. Однажды мне даже довелось так сбить «мессер». Хотя, конечно, при использовании РС-82 экипажу тоже нужно было настроиться: сразу после пуска перед плоскостью возникает клуб дыма красноватого цвета, и первое впечатление - будто перед само</w:t>
      </w:r>
      <w:r w:rsidRPr="00640820">
        <w:rPr>
          <w:rFonts w:ascii="Times New Roman" w:hAnsi="Times New Roman"/>
          <w:color w:val="000000" w:themeColor="text1"/>
          <w:sz w:val="16"/>
          <w:szCs w:val="16"/>
        </w:rPr>
        <w:softHyphen/>
        <w:t>летом разорвался снаряд. А вот в 1943—1945 гг. наш полк получал маши</w:t>
      </w:r>
      <w:r w:rsidRPr="00640820">
        <w:rPr>
          <w:rFonts w:ascii="Times New Roman" w:hAnsi="Times New Roman"/>
          <w:color w:val="000000" w:themeColor="text1"/>
          <w:sz w:val="16"/>
          <w:szCs w:val="16"/>
        </w:rPr>
        <w:softHyphen/>
        <w:t>ны Казанского завода, где направляющих с ракетами не устанавливали. Хотя, пожалуй, к тому времени это было уже не настолько нужно: истре</w:t>
      </w:r>
      <w:r w:rsidRPr="00640820">
        <w:rPr>
          <w:rFonts w:ascii="Times New Roman" w:hAnsi="Times New Roman"/>
          <w:color w:val="000000" w:themeColor="text1"/>
          <w:sz w:val="16"/>
          <w:szCs w:val="16"/>
        </w:rPr>
        <w:softHyphen/>
        <w:t>бителей врага стало меньше. В любом случае, скажу одно: замечатель</w:t>
      </w:r>
      <w:r w:rsidRPr="00640820">
        <w:rPr>
          <w:rFonts w:ascii="Times New Roman" w:hAnsi="Times New Roman"/>
          <w:color w:val="000000" w:themeColor="text1"/>
          <w:sz w:val="16"/>
          <w:szCs w:val="16"/>
        </w:rPr>
        <w:softHyphen/>
        <w:t>ным самолетом был Пе-2!» (11402).</w:t>
      </w:r>
    </w:p>
    <w:p w14:paraId="2745035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9D6AA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16 сентября 1941 г. в НИИ ВВС КА завершились госиспытания «по определению летных данных самолета ЛаГГ-3 с мотором М-105П, винтом ВИШ-61п, с установками под крылом РО и подвеской восьми РС калибра 82 мм». Отчет по ним оформили начальник 3 отдела НИИ ВВС КА военинженер 1 ранга Рудинцев и начальник 3 отделения 3 отдела НИИ ВВС КА военинженер 1 ранга Фролов.</w:t>
      </w:r>
    </w:p>
    <w:p w14:paraId="3B11914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Летные данные и величина максимальной скорости проверяли на ма</w:t>
      </w:r>
      <w:r w:rsidRPr="00640820">
        <w:rPr>
          <w:rFonts w:ascii="Times New Roman" w:hAnsi="Times New Roman"/>
          <w:color w:val="000000" w:themeColor="text1"/>
          <w:sz w:val="16"/>
          <w:szCs w:val="16"/>
        </w:rPr>
        <w:softHyphen/>
        <w:t>шине, оборудованной РО (по четыре под каждой консолью крыла) и с РС-82 на них. Поскольку «ЛаГГи» были цельнодеревянными, на се</w:t>
      </w:r>
      <w:r w:rsidRPr="00640820">
        <w:rPr>
          <w:rFonts w:ascii="Times New Roman" w:hAnsi="Times New Roman"/>
          <w:color w:val="000000" w:themeColor="text1"/>
          <w:sz w:val="16"/>
          <w:szCs w:val="16"/>
        </w:rPr>
        <w:softHyphen/>
        <w:t>рийном самолете №3121422 производства завода №21 левую консоль обшили листом дюралюминия толщиной 0,5 мм, а правую — огнестойким полотном. По результатам стрельбы РС оба защитных покрытия оказа</w:t>
      </w:r>
      <w:r w:rsidRPr="00640820">
        <w:rPr>
          <w:rFonts w:ascii="Times New Roman" w:hAnsi="Times New Roman"/>
          <w:color w:val="000000" w:themeColor="text1"/>
          <w:sz w:val="16"/>
          <w:szCs w:val="16"/>
        </w:rPr>
        <w:softHyphen/>
        <w:t>лись равноценны.</w:t>
      </w:r>
    </w:p>
    <w:p w14:paraId="2BFE96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Подвеска восьми РС-82 уменьшила максимальную скорость истре</w:t>
      </w:r>
      <w:r w:rsidRPr="00640820">
        <w:rPr>
          <w:rFonts w:ascii="Times New Roman" w:hAnsi="Times New Roman"/>
          <w:color w:val="000000" w:themeColor="text1"/>
          <w:sz w:val="16"/>
          <w:szCs w:val="16"/>
        </w:rPr>
        <w:softHyphen/>
        <w:t>бителя у земли на 36 км/ч, на средней высоте - на 32 км/ч. При четырех РС-82 потеря скорости составила 19 км/ч. В ходе контрольных испыта</w:t>
      </w:r>
      <w:r w:rsidRPr="00640820">
        <w:rPr>
          <w:rFonts w:ascii="Times New Roman" w:hAnsi="Times New Roman"/>
          <w:color w:val="000000" w:themeColor="text1"/>
          <w:sz w:val="16"/>
          <w:szCs w:val="16"/>
        </w:rPr>
        <w:softHyphen/>
        <w:t>ний было отмечено, что на высоте 5000 м ЛаГГ-3 четвертой серии с восе</w:t>
      </w:r>
      <w:r w:rsidRPr="00640820">
        <w:rPr>
          <w:rFonts w:ascii="Times New Roman" w:hAnsi="Times New Roman"/>
          <w:color w:val="000000" w:themeColor="text1"/>
          <w:sz w:val="16"/>
          <w:szCs w:val="16"/>
        </w:rPr>
        <w:softHyphen/>
        <w:t>мью РС-82 развивал скорость всего 503 км/ч. Машины седьмой серии б</w:t>
      </w:r>
      <w:r w:rsidRPr="00640820">
        <w:rPr>
          <w:rFonts w:ascii="Times New Roman" w:hAnsi="Times New Roman"/>
          <w:color w:val="000000" w:themeColor="text1"/>
          <w:sz w:val="16"/>
          <w:szCs w:val="16"/>
          <w:vertAlign w:val="superscript"/>
        </w:rPr>
        <w:t>63</w:t>
      </w:r>
      <w:r w:rsidRPr="00640820">
        <w:rPr>
          <w:rFonts w:ascii="Times New Roman" w:hAnsi="Times New Roman"/>
          <w:color w:val="000000" w:themeColor="text1"/>
          <w:sz w:val="16"/>
          <w:szCs w:val="16"/>
        </w:rPr>
        <w:t xml:space="preserve"> РС на той же высоте обладали скоростью в 549 км/ч. Заводу №21 испытатели рекомендовали уменьшить потери скорости самолета, применив обтекатели на ракетных орудиях. Заметим, что здесь об обтекателях РО речь шла уже летом 1941 г.</w:t>
      </w:r>
    </w:p>
    <w:p w14:paraId="60D4FAB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Испытатели отмечали следующие дефекты, связанные с установкой РС:</w:t>
      </w:r>
    </w:p>
    <w:p w14:paraId="65A336A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дюралевая обшивка, предохраняющая от пламени РС, на левой консоли крыла закрывает посадочную фару;</w:t>
      </w:r>
    </w:p>
    <w:p w14:paraId="4174FF1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расположение ЭСБР-3п неудобно для управления машиной - лет чик локтем левой руки может сбить установку на сбрасывателе при работе сектором газа;</w:t>
      </w:r>
    </w:p>
    <w:p w14:paraId="406AB4F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недостаточно равноценная стойкость предохраняющего покрытия нижней поверхности консолей как огнеупорным полотном, так и дюра</w:t>
      </w:r>
      <w:r w:rsidRPr="00640820">
        <w:rPr>
          <w:rFonts w:ascii="Times New Roman" w:hAnsi="Times New Roman"/>
          <w:color w:val="000000" w:themeColor="text1"/>
          <w:sz w:val="16"/>
          <w:szCs w:val="16"/>
        </w:rPr>
        <w:softHyphen/>
        <w:t>левым листом толщиной 0,5 мм.</w:t>
      </w:r>
    </w:p>
    <w:p w14:paraId="58ADA75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Между тем «ЛаГГи» в строевых частях оснащали ракетным оружием Такие небронированные ракетоносцы использовали и для штурмовки наземных целей, и для воздушного прикрытия своих машин. Вот как об этом говорит А.Г.Федоров в книге «Авиация в битве под Москвой»: «Вы</w:t>
      </w:r>
      <w:r w:rsidRPr="00640820">
        <w:rPr>
          <w:rFonts w:ascii="Times New Roman" w:hAnsi="Times New Roman"/>
          <w:color w:val="000000" w:themeColor="text1"/>
          <w:sz w:val="16"/>
          <w:szCs w:val="16"/>
        </w:rPr>
        <w:softHyphen/>
        <w:t>полняя задачи по сопровождению бомбардировщиков Пе-2, истребите</w:t>
      </w:r>
      <w:r w:rsidRPr="00640820">
        <w:rPr>
          <w:rFonts w:ascii="Times New Roman" w:hAnsi="Times New Roman"/>
          <w:color w:val="000000" w:themeColor="text1"/>
          <w:sz w:val="16"/>
          <w:szCs w:val="16"/>
        </w:rPr>
        <w:softHyphen/>
        <w:t>ли полка вели разведку и наносили штурмовые удары по войскам про</w:t>
      </w:r>
      <w:r w:rsidRPr="00640820">
        <w:rPr>
          <w:rFonts w:ascii="Times New Roman" w:hAnsi="Times New Roman"/>
          <w:color w:val="000000" w:themeColor="text1"/>
          <w:sz w:val="16"/>
          <w:szCs w:val="16"/>
        </w:rPr>
        <w:softHyphen/>
        <w:t>тивника. Нередко ЛаГГ-3 действовали с пикирования на высотах 1800-2000 м до 100-200 м. Пикирование с них и применение РС давали высо</w:t>
      </w:r>
      <w:r w:rsidRPr="00640820">
        <w:rPr>
          <w:rFonts w:ascii="Times New Roman" w:hAnsi="Times New Roman"/>
          <w:color w:val="000000" w:themeColor="text1"/>
          <w:sz w:val="16"/>
          <w:szCs w:val="16"/>
        </w:rPr>
        <w:softHyphen/>
        <w:t>кие результаты. Успеха добились истребители, вооруженные РС (с взры</w:t>
      </w:r>
      <w:r w:rsidRPr="00640820">
        <w:rPr>
          <w:rFonts w:ascii="Times New Roman" w:hAnsi="Times New Roman"/>
          <w:color w:val="000000" w:themeColor="text1"/>
          <w:sz w:val="16"/>
          <w:szCs w:val="16"/>
        </w:rPr>
        <w:softHyphen/>
        <w:t>вателями. - С.Р.) дистанционного действия. После их срабатывания не</w:t>
      </w:r>
      <w:r w:rsidRPr="00640820">
        <w:rPr>
          <w:rFonts w:ascii="Times New Roman" w:hAnsi="Times New Roman"/>
          <w:color w:val="000000" w:themeColor="text1"/>
          <w:sz w:val="16"/>
          <w:szCs w:val="16"/>
        </w:rPr>
        <w:softHyphen/>
        <w:t>мецкие истребители, как правило, боя не принимали. Лейтенанту Ф.Д.Межуеву удалось двумя снарядами сбить Не-113. Высокая актив</w:t>
      </w:r>
      <w:r w:rsidRPr="00640820">
        <w:rPr>
          <w:rFonts w:ascii="Times New Roman" w:hAnsi="Times New Roman"/>
          <w:color w:val="000000" w:themeColor="text1"/>
          <w:sz w:val="16"/>
          <w:szCs w:val="16"/>
        </w:rPr>
        <w:softHyphen/>
        <w:t>ность авиации на правом фланге Западного фронта вынудила противни</w:t>
      </w:r>
      <w:r w:rsidRPr="00640820">
        <w:rPr>
          <w:rFonts w:ascii="Times New Roman" w:hAnsi="Times New Roman"/>
          <w:color w:val="000000" w:themeColor="text1"/>
          <w:sz w:val="16"/>
          <w:szCs w:val="16"/>
        </w:rPr>
        <w:softHyphen/>
        <w:t>ка перейти в конце ноября к действиям мелкими группами и одиночны</w:t>
      </w:r>
      <w:r w:rsidRPr="00640820">
        <w:rPr>
          <w:rFonts w:ascii="Times New Roman" w:hAnsi="Times New Roman"/>
          <w:color w:val="000000" w:themeColor="text1"/>
          <w:sz w:val="16"/>
          <w:szCs w:val="16"/>
        </w:rPr>
        <w:softHyphen/>
        <w:t>ми самолетами. Если в начале ноября он выполнял до 200 самолетовыле</w:t>
      </w:r>
      <w:r w:rsidRPr="00640820">
        <w:rPr>
          <w:rFonts w:ascii="Times New Roman" w:hAnsi="Times New Roman"/>
          <w:color w:val="000000" w:themeColor="text1"/>
          <w:sz w:val="16"/>
          <w:szCs w:val="16"/>
        </w:rPr>
        <w:softHyphen/>
        <w:t>тов в день, то к концу месяца - всего 50-60. Как правило, экипажи фа</w:t>
      </w:r>
      <w:r w:rsidRPr="00640820">
        <w:rPr>
          <w:rFonts w:ascii="Times New Roman" w:hAnsi="Times New Roman"/>
          <w:color w:val="000000" w:themeColor="text1"/>
          <w:sz w:val="16"/>
          <w:szCs w:val="16"/>
        </w:rPr>
        <w:softHyphen/>
        <w:t>шистских самолетов наносили бомбовые удары из-за облаков по расчету времени или когда в районе их действий не было советских истребите</w:t>
      </w:r>
      <w:r w:rsidRPr="00640820">
        <w:rPr>
          <w:rFonts w:ascii="Times New Roman" w:hAnsi="Times New Roman"/>
          <w:color w:val="000000" w:themeColor="text1"/>
          <w:sz w:val="16"/>
          <w:szCs w:val="16"/>
        </w:rPr>
        <w:softHyphen/>
        <w:t>лей» (11402).</w:t>
      </w:r>
    </w:p>
    <w:p w14:paraId="18F8E01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B98A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сентября 1941 была подготовлоена справка о том, что мотор М-82 установлен на следующие с-ты:</w:t>
      </w:r>
    </w:p>
    <w:p w14:paraId="4EF106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МиГ-9 - проходит летные испытания в ЛИИ и мотор М-82 запускается войсковой серией в производство</w:t>
      </w:r>
    </w:p>
    <w:p w14:paraId="0F9F0B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Су-2 - летные испытания закончены, проводится доводка АШ-82БП в воздухе в ЛИИ</w:t>
      </w:r>
    </w:p>
    <w:p w14:paraId="639BCC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Ил-4 прошел летные заводские испытания, ВМГ работает удовлетворительно</w:t>
      </w:r>
    </w:p>
    <w:p w14:paraId="6AF261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И-185 (Поликарпов) проходит доводочные испытания ВМГ. Запущено в производство 5 машин с навесным маслорадиатором</w:t>
      </w:r>
    </w:p>
    <w:p w14:paraId="6F89E9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Гу-82 проходит доводку ВМГ и летные испытания с-та. ВМГ работает удовлетворительно</w:t>
      </w:r>
    </w:p>
    <w:p w14:paraId="18E132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Як - монтаж мотора на ст-те (Москва)</w:t>
      </w:r>
    </w:p>
    <w:p w14:paraId="126876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С-т 103 - монтаж моторов с редукцией 9,16</w:t>
      </w:r>
    </w:p>
    <w:p w14:paraId="4C929F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Сборка Су-2 с М-82 для войсковых испытаний (737,16).</w:t>
      </w:r>
    </w:p>
    <w:p w14:paraId="3005EA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E05D5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сентября 1941 вышел Указ Президиума ВС о награждении сотрудников ОТБ и в т.ч. В.М.Петлякова и А.И.Путилова (536).</w:t>
      </w:r>
    </w:p>
    <w:p w14:paraId="70DBD1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BF107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сентября 1941 судя по фото испытывался БДП Н.Н.П.</w:t>
      </w:r>
    </w:p>
    <w:p w14:paraId="28ABDB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408F0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сентября 1941 вышел приказ НКАП № 984с О передаче 8-го инструментального з-да треста Оргавиапром з-ду 122 (1800, 11).</w:t>
      </w:r>
    </w:p>
    <w:p w14:paraId="45ED8C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521743B" w14:textId="77777777" w:rsidR="00165A9C" w:rsidRPr="00640820" w:rsidRDefault="00165A9C" w:rsidP="00640820">
      <w:pPr>
        <w:tabs>
          <w:tab w:val="left" w:pos="296"/>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сентября 1941 г. по приказу № 984с Завод № 8 НКАП /г. Днепропетровск/, который действовал с довоенных времен при ГУ оборудования (ОАП) НКАП был эвакуирован в г. Куйбышев и влит в состав завода № 122 НКАП. Площадка, здания и материальные ценности переданы в ведение НКБ в соответствии с пост. ГКО № 5588сс от 9.04.1944г. и приказом № 248с/325с от 6/12.05.1944 г. (11982).</w:t>
      </w:r>
    </w:p>
    <w:p w14:paraId="2F74E229" w14:textId="77777777" w:rsidR="00031E3A" w:rsidRPr="00640820" w:rsidRDefault="00031E3A" w:rsidP="00640820">
      <w:pPr>
        <w:autoSpaceDE w:val="0"/>
        <w:autoSpaceDN w:val="0"/>
        <w:adjustRightInd w:val="0"/>
        <w:spacing w:after="0" w:line="240" w:lineRule="auto"/>
        <w:jc w:val="both"/>
        <w:rPr>
          <w:rFonts w:ascii="Times New Roman" w:hAnsi="Times New Roman"/>
          <w:color w:val="000000" w:themeColor="text1"/>
          <w:sz w:val="16"/>
          <w:szCs w:val="16"/>
        </w:rPr>
      </w:pPr>
    </w:p>
    <w:p w14:paraId="321519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сентября 1941 года на основании постановления ГКО № 681сс и приказа НКАП №1007сс от 20 сентября 1941 года, в сентябре-октябре 1941 года завод № 296 был эвакуирован из Харькова в Бердск Новосибирской области и размещен на территории Бердского элеватора.</w:t>
      </w:r>
    </w:p>
    <w:p w14:paraId="6E8DD4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этой же территории был размещен завод № 49, а затем переименованный в завод № 9, эвакуированный из Бердянска.</w:t>
      </w:r>
    </w:p>
    <w:p w14:paraId="520BF8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1943 года часть завода № 9 реэвакуировалась в Подольск, а часть рабочих и оборудования влились в завод № 296.</w:t>
      </w:r>
    </w:p>
    <w:p w14:paraId="30564A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Постановлением СМ и ЦК ВКП(б) № 1927-812с от 29 июля 1946 года и приказа МАП № 612 от 9 сентября 1946 года, завод № 296 реэвакуировался в Харьков и размещен на части территории завода № 135 на северной окраине Харькова.</w:t>
      </w:r>
    </w:p>
    <w:p w14:paraId="796DC2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Адрес: Харьков 23, п/я 711</w:t>
      </w:r>
    </w:p>
    <w:p w14:paraId="02D3D6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1941 года по 1950 год – директор инженер-полковник Берман В.С.</w:t>
      </w:r>
    </w:p>
    <w:p w14:paraId="13DE75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декабря 1950 года – директор – Ермоленко А.И.</w:t>
      </w:r>
    </w:p>
    <w:p w14:paraId="583B3A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конструктора на заводе нет. Имеется серийно-конструкторский отдел (9512).</w:t>
      </w:r>
    </w:p>
    <w:p w14:paraId="7341EA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2CECC1B"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1278EEEB"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4726F4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16 сентября 1941 по докладу военпреда Белова состояние подготовки к производству на Сормовском заводе выглядело таким образом:</w:t>
      </w:r>
    </w:p>
    <w:p w14:paraId="7524FD8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«Пять собранных машин с двигателями В-2 испытаны пробегом 14 сентября, из них две на 80 километров с одновременным испытанием раций, и три машины на 15 километров. Три машины готовы к покраске, комплектации и окончательной сдаче, две подготовлены к контрольному пробегу по дефектам включения скоростей.</w:t>
      </w:r>
    </w:p>
    <w:p w14:paraId="271FA12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Следующие пять машин находятся в первоначальной стадии сборки. На двух смонтированы подвески и поддерживающие катки. Дальнейшая сборка задерживается отсутствием деталей и механизмов.</w:t>
      </w:r>
    </w:p>
    <w:p w14:paraId="03761F2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сдачи пяти корпусов в корпусном цехе было собрано еще пять, но окончательная сдача опять-таки задерживается отсутствием деталей, изготовляемых ГАЗом и заводом № 112.</w:t>
      </w:r>
    </w:p>
    <w:p w14:paraId="6594CCD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16 сентября задел броневых деталей составляет 59 комплектов, из которых 30 комплектов, полностью обработанных, поступило с Мариупольского завода и 29 своего изготовления. Часть из них (26 наименований) прошло термообработку.</w:t>
      </w:r>
    </w:p>
    <w:p w14:paraId="18823EA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Отливка башен заводом № 112 осваивается с большими трудностями и недостаточным качеством.</w:t>
      </w:r>
    </w:p>
    <w:p w14:paraId="57A94BA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16 сентября отлито 17 башен, из которых 8 переданы на механическую</w:t>
      </w:r>
    </w:p>
    <w:p w14:paraId="14C8231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обработку. 10 башен с Кулебакско- го завода также находятся на мехоб- работке. Три литых башни, полученных с Мариупольского завода, еше не закончены сборкой цехом № 9.</w:t>
      </w:r>
    </w:p>
    <w:p w14:paraId="5CF789B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имеется задел окончательно готовых деталей для сварных башен в количестве 37 комплектов, сборка и сварка которых не производятся вследствие задержки с изготовлением приспособлений.</w:t>
      </w:r>
    </w:p>
    <w:p w14:paraId="1F6A1EB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Таким образом, общий задел башен составляет 67 комплектов, корпусов пять в сборе и 59 в комплектах деталей» (12217).</w:t>
      </w:r>
    </w:p>
    <w:p w14:paraId="452872DF"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3BCBB78B" w14:textId="77777777" w:rsidR="00165A9C" w:rsidRPr="00640820" w:rsidRDefault="00165A9C" w:rsidP="00640820">
      <w:pPr>
        <w:pStyle w:val="ae"/>
        <w:spacing w:before="0" w:after="0"/>
        <w:jc w:val="both"/>
        <w:rPr>
          <w:color w:val="000000" w:themeColor="text1"/>
          <w:sz w:val="16"/>
          <w:szCs w:val="16"/>
        </w:rPr>
      </w:pPr>
      <w:r w:rsidRPr="00640820">
        <w:rPr>
          <w:color w:val="000000" w:themeColor="text1"/>
          <w:sz w:val="16"/>
          <w:szCs w:val="16"/>
        </w:rPr>
        <w:t xml:space="preserve">16 сентября 1941 г. в связи с приближением немцев к Харькову и начавшейся эвакуацией завода № 75 нарком танковой промышленности Малышев отдал распоряжение прекратить отгрузку танковых дизелей для ремонтных нужд. Это фактически означало, что на фронте танк с дизельным двигателем, исчерпавшим свои 100 (а фактически и меньше) часов моторесурса, мог рассчитывать лишь на то, что ремонтникам «подвернется» подбитый собрат, восстановление которого будет сочтено менее целесообразным, чем перестановка мотора. Проблема нехватки дизелей не закончилась даже после начала работы завода № 75 на новом месте — моторы для танков продолжали оставаться «узким местом» для советской танковой промышленности и далее. Например, в отчете 1-й танковой армии в августе 1943-го указывалось: </w:t>
      </w:r>
      <w:r w:rsidRPr="00640820">
        <w:rPr>
          <w:iCs/>
          <w:color w:val="000000" w:themeColor="text1"/>
          <w:sz w:val="16"/>
          <w:szCs w:val="16"/>
        </w:rPr>
        <w:t>«Отсутствие двигателей во все время операции при растущей потребности в них, привело к длительному простою в ремонте танков общей численностью 64–71 танка в ремфонде» (12624).</w:t>
      </w:r>
    </w:p>
    <w:p w14:paraId="114D23DE"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5765C3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сентября 1941 вышло распоряжение СНК, а 18 сентября приказ НКТП № 15сс, согласно которым з-д № 183 д.б. в пятидневный срок отработать установку М-17 на Т-34 и обеспечить з-ды СТЗ и № 112 необходимыми чертежами и техдокументацией. Был на колесах и сделать не смог (9050,30).</w:t>
      </w:r>
    </w:p>
    <w:p w14:paraId="76044D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E195B7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сентября 1941 г. вышло распо</w:t>
      </w:r>
      <w:r w:rsidRPr="00640820">
        <w:rPr>
          <w:rFonts w:ascii="Times New Roman" w:hAnsi="Times New Roman"/>
          <w:color w:val="000000" w:themeColor="text1"/>
          <w:sz w:val="16"/>
          <w:szCs w:val="16"/>
        </w:rPr>
        <w:softHyphen/>
        <w:t>ряжение СНК СССР от "Об установке двигателя М-17 в танк Т-34". Доработка установки двигателя в танк Т-34 была за</w:t>
      </w:r>
      <w:r w:rsidRPr="00640820">
        <w:rPr>
          <w:rFonts w:ascii="Times New Roman" w:hAnsi="Times New Roman"/>
          <w:color w:val="000000" w:themeColor="text1"/>
          <w:sz w:val="16"/>
          <w:szCs w:val="16"/>
        </w:rPr>
        <w:softHyphen/>
        <w:t>вершена в предельно сжатые сроки. Уже через 5 дней вся отработанная заводом конструкторская документация была передана на СТЗ и завод № 112. Окончательное решение об установке карбюраторного двигате</w:t>
      </w:r>
      <w:r w:rsidRPr="00640820">
        <w:rPr>
          <w:rFonts w:ascii="Times New Roman" w:hAnsi="Times New Roman"/>
          <w:color w:val="000000" w:themeColor="text1"/>
          <w:sz w:val="16"/>
          <w:szCs w:val="16"/>
        </w:rPr>
        <w:softHyphen/>
        <w:t>ля М-17 в танк было принято на заседании ГКО, состоявшемся 4 октя</w:t>
      </w:r>
      <w:r w:rsidRPr="00640820">
        <w:rPr>
          <w:rFonts w:ascii="Times New Roman" w:hAnsi="Times New Roman"/>
          <w:color w:val="000000" w:themeColor="text1"/>
          <w:sz w:val="16"/>
          <w:szCs w:val="16"/>
        </w:rPr>
        <w:softHyphen/>
        <w:t>бря 1941 г. (10703).</w:t>
      </w:r>
    </w:p>
    <w:p w14:paraId="4DD73E0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742D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сентября 1941 вышел приказ НКТанкопром В.А.Малышева N 8сс, в котором в целях скорейшего выпуска бронированного трактора ХТЗ-16 СТЗ было приказано немедленно отгрузить 500 тракторов на завод 264. Тужа же передавалась техдокументация и вооружение. Выпустили реально не более 30 (4306).</w:t>
      </w:r>
    </w:p>
    <w:p w14:paraId="64FB90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1DA1C47" w14:textId="77777777" w:rsidR="00031E3A" w:rsidRPr="00640820" w:rsidRDefault="00031E3A" w:rsidP="00640820">
      <w:pPr>
        <w:widowControl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16 сентября 1941 года вышел приказ НКСМ об эвакуации на Горьковский автозавод (в кузовной корпус) производства мотоциклов Харьковского мотоциклетного завода (всего 1000 вагонов, в том числе 750 вагонов с оборудованием и 250 вагонов с людьми). Харьковский завод начал производство в августе 1941 года. Еще через два месяца, в октябре, Харьковский мотозавод (ХМЗ) был эвакуирован в Горький, на производственные площади инструментального цеха предприятия «Красная Этна». </w:t>
      </w:r>
      <w:r w:rsidRPr="00640820">
        <w:rPr>
          <w:rFonts w:ascii="Times New Roman" w:hAnsi="Times New Roman"/>
          <w:bCs/>
          <w:color w:val="000000" w:themeColor="text1"/>
          <w:sz w:val="16"/>
          <w:szCs w:val="16"/>
        </w:rPr>
        <w:t xml:space="preserve">«Красная Этна» - </w:t>
      </w:r>
      <w:r w:rsidRPr="00640820">
        <w:rPr>
          <w:rFonts w:ascii="Times New Roman" w:hAnsi="Times New Roman"/>
          <w:color w:val="000000" w:themeColor="text1"/>
          <w:sz w:val="16"/>
          <w:szCs w:val="16"/>
        </w:rPr>
        <w:t xml:space="preserve">эвакуированный в конце </w:t>
      </w:r>
      <w:smartTag w:uri="urn:schemas-microsoft-com:office:smarttags" w:element="metricconverter">
        <w:smartTagPr>
          <w:attr w:name="ProductID" w:val="82 мм"/>
        </w:smartTagPr>
        <w:r w:rsidRPr="00640820">
          <w:rPr>
            <w:rFonts w:ascii="Times New Roman" w:hAnsi="Times New Roman"/>
            <w:color w:val="000000" w:themeColor="text1"/>
            <w:sz w:val="16"/>
            <w:szCs w:val="16"/>
          </w:rPr>
          <w:t>1915 г</w:t>
        </w:r>
      </w:smartTag>
      <w:r w:rsidRPr="00640820">
        <w:rPr>
          <w:rFonts w:ascii="Times New Roman" w:hAnsi="Times New Roman"/>
          <w:color w:val="000000" w:themeColor="text1"/>
          <w:sz w:val="16"/>
          <w:szCs w:val="16"/>
        </w:rPr>
        <w:t>. из Риги завод «Этна» (впоследствии – «Новая Этна», с 1922 года – «Красная Этна»). Выпускал металлопродукцию с 1916 года. В годы предвоенных пятилеток – одно из лучших предприятий отрасли по выпуску крепежных изделий. С началом войны завод производил крепежные изделия, пружины, проволоку. Лентой холодного проката обеспечивал все промышленные предприятия страны. Цех горячего проката давал продукцию не только своему заводу, но и авиационному, машиностроительному, «Красному Сормову». Тесная кооперация связала красноэтновцев с автомобильным заводом. В первые месяцы было освоено почти 1800 новых изделий, а всего за военные годы – до 3000, для их изготовления пришлось разрабатывать новую технологию, оснастку, инструменты. В июле-сентябре 1941 года в производство влились эвакуированные из Ленинграда и Харькова мотоциклетные заводы и небольшой завод им. Энгельса из Запорожья, начавший выпускать боеприпасы. План второго полугодия 1941 года завода возрос на 40%. По заказу фронта выполнял ряд внеплановых работ. Весной 1942 года завод укомплектовал и оборудовал для фронта 2 походные ремонтные базы, смонтировал до полутора десятков различных станков, обеспечив заказ необходимыми приспособлениями и инструментом. Проблема кадров решалась за счет домохозяек, жен красноармейцев, подростков, мобилизованных из колхозов. Всесторонне совершенствовались формы и методы заводского обучения, открывались неиспользованные резервы, всячески поощрялось творчество и инициатива лучших рабочих, передовиков производства. Система соцсоревнования стимулировала рост производительности труда. Только за 5 месяцев 1941 года было внедрено 168 рацпредложений с суммой условно-годовой экономии 382 393 рубля. Росли ряды стахановцев, ударников, многостаночников, распространялось движение за совмещение профессий. В 1943 году в соревновании участвовало свыше 160 фронтовых бригад. Значителен вклад красноэтновцев в Фонд обороны, в подписку на военные займы, в сборы средств на оружие. В 1943 году коллектив принял решение построить на свои деньги танковую колонну «Красноэтновец». 725 тыс. рублей было собрано только в первые 2 дня, а всего трудящиеся завода собрали на танки более 2,5 млн. рублей (15218).</w:t>
      </w:r>
    </w:p>
    <w:p w14:paraId="477BA3A3" w14:textId="77777777" w:rsidR="00031E3A" w:rsidRPr="00640820" w:rsidRDefault="00031E3A" w:rsidP="00640820">
      <w:pPr>
        <w:widowControl w:val="0"/>
        <w:spacing w:after="0" w:line="240" w:lineRule="auto"/>
        <w:jc w:val="both"/>
        <w:rPr>
          <w:rFonts w:ascii="Times New Roman" w:hAnsi="Times New Roman"/>
          <w:color w:val="000000" w:themeColor="text1"/>
          <w:sz w:val="16"/>
          <w:szCs w:val="16"/>
        </w:rPr>
      </w:pPr>
    </w:p>
    <w:p w14:paraId="6D4187DE"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hAnsi="Times New Roman"/>
          <w:color w:val="000000" w:themeColor="text1"/>
          <w:sz w:val="16"/>
          <w:szCs w:val="16"/>
        </w:rPr>
        <w:t>16 сентября 1941 Харьковский велозавод получил распоряжение о начале эвакуации. Производство рассредоточивалось по нескольким городам. Участок, изготовлявший деталь пуска «катюши», был отправлен в Свердловск. 22 сентября ушел эшелон с оборудованием по производству цепей. В начале октября он уже был на месте назначения в Ижевске. Производство развернулось в здании универмага (после войны оно было реэвакуировано в Даугавпилс Латвийской ССР, на его базе выроскрупный завод по производству приводных цепей) (18074).</w:t>
      </w:r>
    </w:p>
    <w:p w14:paraId="06063FD2"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p>
    <w:p w14:paraId="38CB0B9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сентября 1941 года вышел приказ № 451 НКВ</w:t>
      </w:r>
    </w:p>
    <w:p w14:paraId="60898C4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изменение приказа № 301с от 25 июля 1941 года:</w:t>
      </w:r>
    </w:p>
    <w:p w14:paraId="17D8795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Вывезенную из Ленинграда часть завода № 349 им. ОГПУ объединить с заводом № 237 в Казани, сохранив за объединенным заводом № 237.</w:t>
      </w:r>
    </w:p>
    <w:p w14:paraId="66B47CE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оставшейся частью завода № 349 им. ОГПУ в Ленинграде сохранить наименование завод № 349 им. ОГПУ (6305, 85).</w:t>
      </w:r>
    </w:p>
    <w:p w14:paraId="3528E33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A1966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сентября 1941 года вышел приказ № 7с/247 НКТП и Наркомата нефтяной промышленности</w:t>
      </w:r>
    </w:p>
    <w:p w14:paraId="5E1332E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постановлением СНК от 11 сентября 1941 года:</w:t>
      </w:r>
    </w:p>
    <w:p w14:paraId="219480C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Передать Подольский завод им. Орджоникидзе из Главнефтемаша в НКТП (6032, 14).</w:t>
      </w:r>
    </w:p>
    <w:p w14:paraId="591D9A0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ABC84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сентября 1941 года вышел Приказ НКБ № 532</w:t>
      </w:r>
    </w:p>
    <w:p w14:paraId="5C301B2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Принятые заводом № 62 в соответствии с распоряжением СНК за № 5792-рс от 19 июля 1941 года от фабрики “Красный перекоп” часть здания гл. корпуса считать во временном пользовании завода № 62 (5598, 59).</w:t>
      </w:r>
    </w:p>
    <w:p w14:paraId="3C8F41B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D92EC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сентября 1941 вышло Постановление ГКО № 681 Об утверждении плана эвакуации предприятий из г. Харькова и Харьковской области. (7010, 150-151,152-158).</w:t>
      </w:r>
    </w:p>
    <w:p w14:paraId="4CE4303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1B1A27"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16 сентября </w:t>
      </w:r>
      <w:r w:rsidRPr="00640820">
        <w:rPr>
          <w:rFonts w:ascii="Times New Roman" w:hAnsi="Times New Roman"/>
          <w:color w:val="000000" w:themeColor="text1"/>
          <w:sz w:val="16"/>
          <w:szCs w:val="16"/>
        </w:rPr>
        <w:t>в 1941 году начата срочная эвакуация промышленности Сталино и Сталинской области, Харькова и Харьковской области (14771).</w:t>
      </w:r>
    </w:p>
    <w:p w14:paraId="4FC73863" w14:textId="77777777" w:rsidR="001547E5" w:rsidRPr="00640820" w:rsidRDefault="001547E5" w:rsidP="00640820">
      <w:pPr>
        <w:spacing w:after="0" w:line="240" w:lineRule="auto"/>
        <w:jc w:val="both"/>
        <w:rPr>
          <w:rFonts w:ascii="Times New Roman" w:hAnsi="Times New Roman"/>
          <w:color w:val="000000" w:themeColor="text1"/>
          <w:sz w:val="16"/>
          <w:szCs w:val="16"/>
        </w:rPr>
      </w:pPr>
    </w:p>
    <w:p w14:paraId="28CB0F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сентября 1941 вышло Постановление ГКО № 684 Об эвакуации заводов Наркомчермета из г.г. Керчи и Мариуполя. РГАНИР, Фонд ГКО, д. 9, лл. 161, 162-164 (11012).</w:t>
      </w:r>
    </w:p>
    <w:p w14:paraId="1113CE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FEDB6CB"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1D8A56B3"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F2CD968"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СЕНТЯБРЯ 1941 УТРЕННЕЕ СООБЩЕНИЕ Совинформбюро</w:t>
      </w:r>
    </w:p>
    <w:p w14:paraId="569D5674"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ночь на 16 сентября наши войска вели бои с противником на всём фронте. </w:t>
      </w:r>
    </w:p>
    <w:p w14:paraId="6D0A7AA7"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12 сентября советские лётчики подвергли бомбардировке один из немецких аэродромов на Северо-Западном направлении фронта. Уничтожено 20 фашистских самолётов. На Юго-Западном направлении фронта советские бомбардировщики атаковали вражеский аэродром и уничтожили 16 самолётов противника. 13 сентября при налете на немецкий аэродром на Южном направлении уничтожено 10 машин противника. На Западном направлении фронта наша авиация совершила налёт на фашистский аэродром и вывела из строя 7 самолётов и 2 орудия. </w:t>
      </w:r>
    </w:p>
    <w:p w14:paraId="461042B1"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воздушных боях на подступах к Ленинграду авиачасть полковника Данилова сбила за один день 16 фашистских самолётов. Лётчики части Неуструев, Пидтыкан, Абрамов, Харитонов, Жуйков и Плавский сбили в этот день по два вражеских самолёта. </w:t>
      </w:r>
    </w:p>
    <w:p w14:paraId="78DB5B09"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Баренцевом море нашими торпедными катерами и подводной лодкой потоплены два крупных транспорта противника. </w:t>
      </w:r>
    </w:p>
    <w:p w14:paraId="12406734"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Румынские войска несут тяжёлые потери людьми и вооружением на подступах к Одессе. Об этом свидетельствуют письма и дневники, найденные у захваченных в плен и убитых румынских солдат и офицеров. Румынский офицер Тодореску в письме, которое он не успел отправить, пишет: «В последнем бою нас в течение 24 часов громила тяжёлая артиллерия и обстреливали миномёты. Из моего несчастного взвода осталось в живых только 5 человек». В дневнике румынского офицера Казаку так описывается разгром одной роты: «Противник непрерывно обстреливал нас. Солдаты не выдержали ураганного огня и разбежались. Я их ругаю, кричу на них, угрожаю револьвером — иначе скажут, что я ничего не делаю. На рассвете русские полностью уничтожили нашу противотанковую роту». </w:t>
      </w:r>
    </w:p>
    <w:p w14:paraId="4BC3DDFA"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Тревожные письма из румынского тыла от голодающих семей угнетают и деморализуют солдат. Сестра солдата первого пограничного полка Иона Добрес пишет: «Положение у нас очень скверное. Хлеба нет. Умираем с голода. Мерка кукурузы стоит 200 лей, но и её трудно достать». Жена солдата 11 пехотного полка Станка Ирланд сообщает мужу: «Я до сих пор не получила пособия. Мне не на что жить. Умираю с голода». Пленный сержант Иван Анжилиу на допросе показал: «В Румынии царит голод. Всюду идёт реквизиция продуктов для Германии. Берут всё». </w:t>
      </w:r>
    </w:p>
    <w:p w14:paraId="3427A07B"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Тысячи молодых рабочих, колхозников и интеллигентов вступили в партизанские отряды. Многие из них стали разведчиками, наблюдателями и связистами. В Ильинском районе, Смоленской области, молодые партизаны отряда тов. К. обнаружили командный пункт противника. Ночью партизаны переплыли реку и, тихо подкравшись к пункту, забросали его гранатами. 30 немецких офицеров и солдат были уничтожены. </w:t>
      </w:r>
    </w:p>
    <w:p w14:paraId="6F444E4C"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Важные сведения о расположении противника доставляют партизаны братья Меркуровы. Недавно они установили расположение нескольких пулемётных гнёзд противника и местонахождение аэродрома, на котором находились фашистские бомбардировщики. Ночью наши дальнобойные орудия уничтожили аэродром и пулемётные гнёзда. </w:t>
      </w:r>
    </w:p>
    <w:p w14:paraId="2A7C9B9E"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15-летняя школьница Лида Р., у которой фашисты убили родителей, пробралась вечером к командиру партизанского отряда учителю В. и сообщила, что в село Свердлово, Одесской области, прибыл румынский отряд, заночевавший в помещении школы. Ночью партизаны неслышно проникли в село и забросали помещение школы ручными гранатами. Уничтожив свыше 20 румын, партизаны захватили 2 автомашины, 5 мотоциклов, станковый пулемёт и другое оружие. </w:t>
      </w:r>
    </w:p>
    <w:p w14:paraId="096AC65B"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Партизаны отряда колхозного бригадира тов. П. расставили на лесных дорогах, по которым приезжали с донесениями немецкие мотоциклисты, замаскированные острые железные шипы. Наскочив на них, вражеские связисты спешивались и попадали под огонь находившихся в засадах партизан. За последние 15-20 дней партизаны отряда тов. П. перебили более 70 немецких солдат. </w:t>
      </w:r>
    </w:p>
    <w:p w14:paraId="60484F3F"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Советские моряки перевозят для Красной Армии сотни тысяч тонн грузов. Теплоход Каспийского пароходства, которым командует капитан Носков, в каждый рейс забирает сверх нормы большое количество нефтепродуктов. Систематически перевыполняет план перевозок крупный танкер Каспийского пароходства капитана Шифермана. Механик танкера тов. Семёнов первый в нефтеналивном флоте перевёл рулевое управление на работу сжатым воздухом вместо пара. Это экономит 800 килограммов топлива в сутки и позволяет брать дополнительный груз. В Северном флоте пароход капитана Семёнова регулярно совершает рейсы с дополнительной нагрузкой в 200 тонн и приходит досрочно в пункты назначения. </w:t>
      </w:r>
    </w:p>
    <w:p w14:paraId="51151AF2"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Героически работает экипаж судна, носящего почётный вымпел флагмана Чёрного моря. Судно должно было в июле встать на заводской ремонт. Однако моряки решили произвести ремонт своими силами во время плавания. Впервые в практике моряков-черноморцев экипаж произвёл средний ремонт во время очередного рейса (14771).</w:t>
      </w:r>
    </w:p>
    <w:p w14:paraId="31B7A7CE" w14:textId="77777777" w:rsidR="001547E5" w:rsidRPr="00640820" w:rsidRDefault="001547E5" w:rsidP="00640820">
      <w:pPr>
        <w:spacing w:after="0" w:line="240" w:lineRule="auto"/>
        <w:jc w:val="both"/>
        <w:rPr>
          <w:rFonts w:ascii="Times New Roman" w:hAnsi="Times New Roman"/>
          <w:color w:val="000000" w:themeColor="text1"/>
          <w:sz w:val="16"/>
          <w:szCs w:val="16"/>
        </w:rPr>
      </w:pPr>
    </w:p>
    <w:p w14:paraId="6DAD6745"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СЕНТЯБРЯ 1941 ВЕЧЕРНЕЕ СООБЩЕНИЕ Совинформбюро:</w:t>
      </w:r>
    </w:p>
    <w:p w14:paraId="305FAF50"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течение 16 сентября наши войска вели бои с противником на всём фронте. </w:t>
      </w:r>
    </w:p>
    <w:p w14:paraId="61D5639B"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Наша авиация наносила удары по мотомехчастям, пехоте и артиллерии противника, атаковала авиацию на его аэродромах и бомбила переправы. </w:t>
      </w:r>
    </w:p>
    <w:p w14:paraId="525B1F74"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 14 сентября в воздушных боях и на аэродромах противника уничтожено 29 немецких самолётов. Наши потери —18 самолётов. </w:t>
      </w:r>
    </w:p>
    <w:p w14:paraId="0CD27F6F"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 уточнённым данным, нашими кораблями Северного флота 15 сентября уничтожено не 2 крупных транспорта противника, как сообщалось ранее, а 3 крупных транспорта. </w:t>
      </w:r>
    </w:p>
    <w:p w14:paraId="026F7415"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 уточнённым данным, при попытке немцев высадить десант на побережье острова Эзель, действиями нашей береговой артиллерии, авиации и кораблей флота уничтожены: 4 транспорта общим водоизмещением в 28 тысяч тонн с войсками, танками и вооружением, один миноносец, десять катеров и много мелких судов с немецкими солдатами. Сбит один самолёт противника. </w:t>
      </w:r>
    </w:p>
    <w:p w14:paraId="08C50A4C"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следующий день противник, сосредоточив много транспортов, мелких судов и авиации, вновь предпринял попытку высадить десант на остров Эзель с моря и воздуха. </w:t>
      </w:r>
    </w:p>
    <w:p w14:paraId="0A28AFBA"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результате двухдневных ожесточённых боев подавляющая часть морского и воздушного десанта противника уничтожена, а остатки его сброшены в море. </w:t>
      </w:r>
    </w:p>
    <w:p w14:paraId="55EA19D3"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Одна из наших танковых бригад, действующая на Ленинградском участке фронта, в успешном бою уничтожила 48 вражеских танков и бронемашин, 27 орудий и 13 миномётов. </w:t>
      </w:r>
    </w:p>
    <w:p w14:paraId="10ED8521"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Наши войска отбили остров Рахмассаари на Ладожском озере. В боях за остров убито до 800 финских солдат и офицеров и потоплено 4 катера и 2 моторных бота противника. Остатки гарнизона острова взяты в плен. </w:t>
      </w:r>
    </w:p>
    <w:p w14:paraId="03190EE5"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Захваченные в плен офицеры и солдаты противника рассказывают о больших потерях, которые несёт германо-румынская армия на подступах к Одессе. Командир роты 3 батальона 13 румынского пехотного полка капитан Теодор Анка сообщил, что из 200 солдат и офицеров его роты уцелело всего лишь 20 солдат. У пленного командира 1 батальона 13 полка капитана Доробанцева была найдена докладная записка командира роты, в которой сообщалось: «Наше положение такое, что нет сил выдержать. Если ещё будет так продолжаться, я сойду с ума. Я истощён. Простите, что офицер говорит вам такие вещи, но любой человек, каким бы железным он ни был, в данный момент потерял бы голову. Мои люди не могут выдержать, они уже 4 дня не ели...». </w:t>
      </w:r>
    </w:p>
    <w:p w14:paraId="735D1ABD"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Генерал Антонеску издал приказ за № 30368, в котором угрожает строжайшими карами командирам соединений, полков, батальонов и рот, солдаты которых боятся наступать. Согласно этому приказу, «если солдаты отступают, начальник обязан установить сзади пулемёты и беспощадно расстреливать бегущих». </w:t>
      </w:r>
    </w:p>
    <w:p w14:paraId="55D7C3AA"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Группа советских граждан, бежавших из захваченного немцами города Чернигова, рассказывает о диком терроре и зверствах фашистских оккупантов. Пьяные толпы немецких солдат вламывались в дома, убивали стариков, женщин и детей. Рабочий Н. Д. Костко сообщил: «Через час после вступления немцев в город солдаты взламывали двери в квартирах и вытаскивали всё, что можно унести. В первый же день к центру города немцы согнали прикладами 35 жителей Чернигова и предложили им перед микрофоном приветствовать немецкие части. Жители отказались участвовать в этой гнусной инсценировке. Тогда их всех расстреляли из пулемёта». «Я видел эту сцену из окна своей квартиры»,— говорит второй беженец, преподаватель Г. С. Самошников. Работница Р. Н. Кац, кассирша столовой Н. Я. Грозевская и телеграфист С. Ю. Приходько сообщили, что они «видели, как группа немецких солдат волокла и избивала прикладами шестнадцать женщин». Вагоновожатый С. 0. Юхимчук заявил нашему командованию: «Немецкие солдаты на моих глазах убили отца и мать. Мой отец Осип Захарович Юхимчук отказался снять и отдать солдатам свои новые сапоги. Затащив отца во двор, фашисты убили его, а затем стащили сапоги. Меня и мать заперли в комнате. Мы стучали и пытались сломать дверь. Уходя, один из фашистов выстрелил в дверь. Пуля прошла доски и попала матери в голову». </w:t>
      </w:r>
    </w:p>
    <w:p w14:paraId="517A3D07"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первых дней вторжения немецко-фашистских полчищ на территорию западной части Калининской области тысячи рабочих, колхозников, учителей, агрономов, советских служащих ушли в партизанские отряды. В Великолукском районе партизанский отряд председателя сельсовета тов. Б. сжёг в тылу у немцев 7 мостов, которые были прежде восстановлены немецкими сапёрами. Действующий в этом же районе партизанский отряд, организованный председателем сельсовета тов. П., напал на группу немецких солдат, грабивших крестьян деревни Голубеево. Партизаны убили и ранили 79 фашистских солдат и 5 офицеров, уничтожили 3 автомашины, захватили 2 противотанковых орудия, 144 снаряда, 35 винтовок, 10 пистолетов, 7 фотоаппаратов, 50 комплектов немецкого обмундирования и важные документы. В этом бою исключительное мужество и отвагу проявили партизаны Василий А., Михаил Т., Иван П. и Афанасий В. Они первыми пошли в атаку на противника, уничтожили орудийную прислугу и захватили орудия. Разведчики партизанского отряда тов. Ш. узнали, что немецкие солдаты забрали скот у крестьян деревни Боковая Каменского сельсовета. Партизаны устроили засаду и уничтожили немецких солдат, а скот отвели в лес. В деревне Антоново отряд уничтожил немецкий пост и захватил ручной пулемёт и 2 автомата. За последние 20 дней отряд уничтожил 88 фашистов, порвал в тылу противника 92 телефонно-телеграфных провода, захватил 30 подвод с артиллерийскими снарядами и продовольствием и 10 автомашин. </w:t>
      </w:r>
    </w:p>
    <w:p w14:paraId="59842170"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Югославские антифашисты подожгли в Белграде большой немецкий склад горючего. Вблизи от Белграда в Землине взорван сборочный цех местного авиационного завода. На нескольких участках железнодорожной линии Белград — Загреб партизаны оборвали телефонные и телеграфные провода. </w:t>
      </w:r>
    </w:p>
    <w:p w14:paraId="3D03B51B"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Германское информационное бюро распространило сообщение о том, будто во всех районах Ленинграда «по указанию политкомиссаров» производятся взрывы общественных зданий и якобы уже разрушены вокзалы, почтамт, правительственные здания, школы, жилые дома и другие здания. Германское информационное бюро ссылается при этом на показания каких-то советских пленных. </w:t>
      </w:r>
    </w:p>
    <w:p w14:paraId="5247AA78"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Это сообщение германского информационного бюро является гнусной ложью. Оно свидетельствует о том, что немцы, подготовляя в широких масштабах бомбардировку невоенных объектов Ленинграда, стремятся заранее снять с себя ответственность за подобные варварские действия. Однако этот жульнический манёвр не введёт никого в заблуждение. Весь мир прекрасно знает, что гитлеровские мерзавцы способны лишь на самые подлые дела (14771).</w:t>
      </w:r>
    </w:p>
    <w:p w14:paraId="22639962" w14:textId="77777777" w:rsidR="001547E5" w:rsidRPr="00640820" w:rsidRDefault="001547E5" w:rsidP="00640820">
      <w:pPr>
        <w:spacing w:after="0" w:line="240" w:lineRule="auto"/>
        <w:jc w:val="both"/>
        <w:rPr>
          <w:rFonts w:ascii="Times New Roman" w:hAnsi="Times New Roman"/>
          <w:color w:val="000000" w:themeColor="text1"/>
          <w:sz w:val="16"/>
          <w:szCs w:val="16"/>
        </w:rPr>
      </w:pPr>
    </w:p>
    <w:p w14:paraId="62000BA2"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16 сентября </w:t>
      </w:r>
      <w:r w:rsidRPr="00640820">
        <w:rPr>
          <w:rFonts w:ascii="Times New Roman" w:hAnsi="Times New Roman"/>
          <w:color w:val="000000" w:themeColor="text1"/>
          <w:sz w:val="16"/>
          <w:szCs w:val="16"/>
        </w:rPr>
        <w:t>в 1941 году закончились оборонительные бои войск Северо-Западного фронта на демянском направлении. Советские войска отошли на рубеж Ростань, Лычково, Сухая Нива, Большое Замошье, озеро Селигер (14771).</w:t>
      </w:r>
    </w:p>
    <w:p w14:paraId="36CB272F" w14:textId="77777777" w:rsidR="001547E5" w:rsidRPr="00640820" w:rsidRDefault="001547E5" w:rsidP="00640820">
      <w:pPr>
        <w:spacing w:after="0" w:line="240" w:lineRule="auto"/>
        <w:jc w:val="both"/>
        <w:rPr>
          <w:rFonts w:ascii="Times New Roman" w:hAnsi="Times New Roman"/>
          <w:color w:val="000000" w:themeColor="text1"/>
          <w:sz w:val="16"/>
          <w:szCs w:val="16"/>
        </w:rPr>
      </w:pPr>
    </w:p>
    <w:p w14:paraId="2AAB0E0B"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16 сентября </w:t>
      </w:r>
      <w:r w:rsidRPr="00640820">
        <w:rPr>
          <w:rFonts w:ascii="Times New Roman" w:hAnsi="Times New Roman"/>
          <w:color w:val="000000" w:themeColor="text1"/>
          <w:sz w:val="16"/>
          <w:szCs w:val="16"/>
        </w:rPr>
        <w:t>в 1941 году после прорыва фашистских войск к Финскому заливу был образован так называемый Ораниенбаумский плацдарм, удерживавшийся частями Красной Армии при поддержке береговой и корабельной артиллерии Балтийского флота. В ноябре 1943 г. сюда была переброшена 2-я ударная армия, участвовавшая в операции по снятию блокады Ленинграда. На рубежах обороны воздвигнуты монументы и мемориалы, входящие в состав «Зеленого пояса Славы» (14771).</w:t>
      </w:r>
    </w:p>
    <w:p w14:paraId="7F4678E9" w14:textId="77777777" w:rsidR="001547E5" w:rsidRPr="00640820" w:rsidRDefault="001547E5" w:rsidP="00640820">
      <w:pPr>
        <w:spacing w:after="0" w:line="240" w:lineRule="auto"/>
        <w:jc w:val="both"/>
        <w:rPr>
          <w:rFonts w:ascii="Times New Roman" w:hAnsi="Times New Roman"/>
          <w:color w:val="000000" w:themeColor="text1"/>
          <w:sz w:val="16"/>
          <w:szCs w:val="16"/>
        </w:rPr>
      </w:pPr>
    </w:p>
    <w:p w14:paraId="4D997655"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16 сентября </w:t>
      </w:r>
      <w:r w:rsidRPr="00640820">
        <w:rPr>
          <w:rFonts w:ascii="Times New Roman" w:hAnsi="Times New Roman"/>
          <w:color w:val="000000" w:themeColor="text1"/>
          <w:sz w:val="16"/>
          <w:szCs w:val="16"/>
        </w:rPr>
        <w:t>в 1941 году войска 1-й немецкой танковой группы, наступавшие севернее Киева, соединились в районе Лохвицы с войсками 2-й танковой группы, наступавшими в южном направлении. 5, 37 и 26-я, частично войска 38-й и 21-й (передана из состава Брянского фронта) армий Юго-Западного фронта оказались окруженными (всего - 452720 человек, в том числе около 60 тысяч командного состава). В окружении погибла часть личного состава штаба фронта вместе с командующим генерал-полковником М.П.Кирпоносом, значительная часть окруженных войск оказалась в плену (14771).</w:t>
      </w:r>
    </w:p>
    <w:p w14:paraId="135D861B" w14:textId="77777777" w:rsidR="001547E5" w:rsidRPr="00640820" w:rsidRDefault="001547E5" w:rsidP="00640820">
      <w:pPr>
        <w:spacing w:after="0" w:line="240" w:lineRule="auto"/>
        <w:jc w:val="both"/>
        <w:rPr>
          <w:rFonts w:ascii="Times New Roman" w:hAnsi="Times New Roman"/>
          <w:color w:val="000000" w:themeColor="text1"/>
          <w:sz w:val="16"/>
          <w:szCs w:val="16"/>
        </w:rPr>
      </w:pPr>
    </w:p>
    <w:p w14:paraId="05EE6A84"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16 сентября </w:t>
      </w:r>
      <w:r w:rsidRPr="00640820">
        <w:rPr>
          <w:rFonts w:ascii="Times New Roman" w:hAnsi="Times New Roman"/>
          <w:color w:val="000000" w:themeColor="text1"/>
          <w:sz w:val="16"/>
          <w:szCs w:val="16"/>
        </w:rPr>
        <w:t>в 1941 году немецкие войска вступили в Слуцк (Павловск) (14771).</w:t>
      </w:r>
    </w:p>
    <w:p w14:paraId="2678FFFA" w14:textId="77777777" w:rsidR="001547E5" w:rsidRPr="00640820" w:rsidRDefault="001547E5" w:rsidP="00640820">
      <w:pPr>
        <w:spacing w:after="0" w:line="240" w:lineRule="auto"/>
        <w:jc w:val="both"/>
        <w:rPr>
          <w:rFonts w:ascii="Times New Roman" w:hAnsi="Times New Roman"/>
          <w:color w:val="000000" w:themeColor="text1"/>
          <w:sz w:val="16"/>
          <w:szCs w:val="16"/>
        </w:rPr>
      </w:pPr>
    </w:p>
    <w:p w14:paraId="0B00F2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сентября 1941 215 шап нанес успешный новый налет на северный аэродром Смоленска и уничтожил еще 25 машин и бензозаправщики (455,119).</w:t>
      </w:r>
    </w:p>
    <w:p w14:paraId="3E59CE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654C5A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сентября 1941 перелет 169-го иап из Рассказово (Орловский военный округ) в район Рязани, который сопровождали два лидера Пе—2 кончился тем, что, но на конечной точ</w:t>
      </w:r>
      <w:r w:rsidRPr="00640820">
        <w:rPr>
          <w:rFonts w:ascii="Times New Roman" w:hAnsi="Times New Roman"/>
          <w:color w:val="000000" w:themeColor="text1"/>
          <w:sz w:val="16"/>
          <w:szCs w:val="16"/>
        </w:rPr>
        <w:softHyphen/>
        <w:t>ке маршрута — аэродроме Сушково — приземлилось всего три истребителя из двадцати. Впоследствии были найдены на вынужденных посадках остальные машины, причем МиГи летчиков Моисеева и Цыга</w:t>
      </w:r>
      <w:r w:rsidRPr="00640820">
        <w:rPr>
          <w:rFonts w:ascii="Times New Roman" w:hAnsi="Times New Roman"/>
          <w:color w:val="000000" w:themeColor="text1"/>
          <w:sz w:val="16"/>
          <w:szCs w:val="16"/>
        </w:rPr>
        <w:softHyphen/>
        <w:t>нова потерпели аварии, а летчик Фадеев погиб в ка</w:t>
      </w:r>
      <w:r w:rsidRPr="00640820">
        <w:rPr>
          <w:rFonts w:ascii="Times New Roman" w:hAnsi="Times New Roman"/>
          <w:color w:val="000000" w:themeColor="text1"/>
          <w:sz w:val="16"/>
          <w:szCs w:val="16"/>
        </w:rPr>
        <w:softHyphen/>
        <w:t>тастрофе. Сообщая об этом и других печальных фак</w:t>
      </w:r>
      <w:r w:rsidRPr="00640820">
        <w:rPr>
          <w:rFonts w:ascii="Times New Roman" w:hAnsi="Times New Roman"/>
          <w:color w:val="000000" w:themeColor="text1"/>
          <w:sz w:val="16"/>
          <w:szCs w:val="16"/>
        </w:rPr>
        <w:softHyphen/>
        <w:t>тах командующему ВВС генералу П.Ф.Жигареву, заместитель начальника Управления особого отдела НКВД Милыптейн сделал вывод, что основная при</w:t>
      </w:r>
      <w:r w:rsidRPr="00640820">
        <w:rPr>
          <w:rFonts w:ascii="Times New Roman" w:hAnsi="Times New Roman"/>
          <w:color w:val="000000" w:themeColor="text1"/>
          <w:sz w:val="16"/>
          <w:szCs w:val="16"/>
        </w:rPr>
        <w:softHyphen/>
        <w:t>чина тяжелых летных происшествий — «низкий уро</w:t>
      </w:r>
      <w:r w:rsidRPr="00640820">
        <w:rPr>
          <w:rFonts w:ascii="Times New Roman" w:hAnsi="Times New Roman"/>
          <w:color w:val="000000" w:themeColor="text1"/>
          <w:sz w:val="16"/>
          <w:szCs w:val="16"/>
        </w:rPr>
        <w:softHyphen/>
        <w:t>вень дисциплины летного состава, граничащий с воздушным хулиганством».</w:t>
      </w:r>
    </w:p>
    <w:p w14:paraId="4D2F120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Аварийность истребителей новых типов в запасных авиаполках и центрах переучивания за период с 22 июня по 1 декабря 1941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469"/>
        <w:gridCol w:w="1853"/>
        <w:gridCol w:w="1747"/>
        <w:gridCol w:w="1795"/>
        <w:gridCol w:w="1536"/>
        <w:gridCol w:w="1565"/>
      </w:tblGrid>
      <w:tr w:rsidR="00643896" w:rsidRPr="00640820" w14:paraId="05168B8E" w14:textId="77777777" w:rsidTr="000D3BCB">
        <w:trPr>
          <w:trHeight w:val="230"/>
        </w:trPr>
        <w:tc>
          <w:tcPr>
            <w:tcW w:w="1469" w:type="dxa"/>
            <w:tcBorders>
              <w:top w:val="single" w:sz="12" w:space="0" w:color="auto"/>
            </w:tcBorders>
          </w:tcPr>
          <w:p w14:paraId="21D43EA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Тип самолета</w:t>
            </w:r>
          </w:p>
        </w:tc>
        <w:tc>
          <w:tcPr>
            <w:tcW w:w="1853" w:type="dxa"/>
            <w:tcBorders>
              <w:top w:val="single" w:sz="12" w:space="0" w:color="auto"/>
            </w:tcBorders>
          </w:tcPr>
          <w:p w14:paraId="6674AD3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Суммарный налет, ч</w:t>
            </w:r>
          </w:p>
        </w:tc>
        <w:tc>
          <w:tcPr>
            <w:tcW w:w="3542" w:type="dxa"/>
            <w:gridSpan w:val="2"/>
            <w:tcBorders>
              <w:top w:val="single" w:sz="12" w:space="0" w:color="auto"/>
            </w:tcBorders>
          </w:tcPr>
          <w:p w14:paraId="2526E0D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w:t>
            </w:r>
          </w:p>
        </w:tc>
        <w:tc>
          <w:tcPr>
            <w:tcW w:w="3101" w:type="dxa"/>
            <w:gridSpan w:val="2"/>
            <w:tcBorders>
              <w:top w:val="single" w:sz="12" w:space="0" w:color="auto"/>
            </w:tcBorders>
          </w:tcPr>
          <w:p w14:paraId="5F8B7BB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Средний налет, ч</w:t>
            </w:r>
          </w:p>
        </w:tc>
      </w:tr>
      <w:tr w:rsidR="00643896" w:rsidRPr="00640820" w14:paraId="3836F1F5" w14:textId="77777777" w:rsidTr="000D3BCB">
        <w:trPr>
          <w:trHeight w:val="250"/>
        </w:trPr>
        <w:tc>
          <w:tcPr>
            <w:tcW w:w="1469" w:type="dxa"/>
          </w:tcPr>
          <w:p w14:paraId="4CF4792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53" w:type="dxa"/>
          </w:tcPr>
          <w:p w14:paraId="59D90B0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Pr>
          <w:p w14:paraId="76893CB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Аварий</w:t>
            </w:r>
          </w:p>
        </w:tc>
        <w:tc>
          <w:tcPr>
            <w:tcW w:w="1795" w:type="dxa"/>
          </w:tcPr>
          <w:p w14:paraId="09EC5B7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Катастроф</w:t>
            </w:r>
          </w:p>
        </w:tc>
        <w:tc>
          <w:tcPr>
            <w:tcW w:w="1536" w:type="dxa"/>
          </w:tcPr>
          <w:p w14:paraId="4B7E4D5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аварию</w:t>
            </w:r>
          </w:p>
        </w:tc>
        <w:tc>
          <w:tcPr>
            <w:tcW w:w="1565" w:type="dxa"/>
          </w:tcPr>
          <w:p w14:paraId="476992F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катастрофу</w:t>
            </w:r>
          </w:p>
        </w:tc>
      </w:tr>
      <w:tr w:rsidR="00643896" w:rsidRPr="00640820" w14:paraId="3F440073" w14:textId="77777777" w:rsidTr="000D3BCB">
        <w:trPr>
          <w:trHeight w:val="221"/>
        </w:trPr>
        <w:tc>
          <w:tcPr>
            <w:tcW w:w="1469" w:type="dxa"/>
          </w:tcPr>
          <w:p w14:paraId="2EED05A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МиГ-3</w:t>
            </w:r>
          </w:p>
        </w:tc>
        <w:tc>
          <w:tcPr>
            <w:tcW w:w="1853" w:type="dxa"/>
          </w:tcPr>
          <w:p w14:paraId="55FE42E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7922</w:t>
            </w:r>
          </w:p>
        </w:tc>
        <w:tc>
          <w:tcPr>
            <w:tcW w:w="1747" w:type="dxa"/>
          </w:tcPr>
          <w:p w14:paraId="1659D8C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w:t>
            </w:r>
          </w:p>
        </w:tc>
        <w:tc>
          <w:tcPr>
            <w:tcW w:w="1795" w:type="dxa"/>
          </w:tcPr>
          <w:p w14:paraId="0FDE5F5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1536" w:type="dxa"/>
          </w:tcPr>
          <w:p w14:paraId="60FBD7D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360</w:t>
            </w:r>
          </w:p>
        </w:tc>
        <w:tc>
          <w:tcPr>
            <w:tcW w:w="1565" w:type="dxa"/>
          </w:tcPr>
          <w:p w14:paraId="3894CB3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1980</w:t>
            </w:r>
          </w:p>
        </w:tc>
      </w:tr>
      <w:tr w:rsidR="00643896" w:rsidRPr="00640820" w14:paraId="75B10DA1" w14:textId="77777777" w:rsidTr="000D3BCB">
        <w:trPr>
          <w:trHeight w:val="240"/>
        </w:trPr>
        <w:tc>
          <w:tcPr>
            <w:tcW w:w="1469" w:type="dxa"/>
          </w:tcPr>
          <w:p w14:paraId="2ED219F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Як-1</w:t>
            </w:r>
          </w:p>
        </w:tc>
        <w:tc>
          <w:tcPr>
            <w:tcW w:w="1853" w:type="dxa"/>
          </w:tcPr>
          <w:p w14:paraId="4D3AD89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3979</w:t>
            </w:r>
          </w:p>
        </w:tc>
        <w:tc>
          <w:tcPr>
            <w:tcW w:w="1747" w:type="dxa"/>
          </w:tcPr>
          <w:p w14:paraId="6593299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w:t>
            </w:r>
          </w:p>
        </w:tc>
        <w:tc>
          <w:tcPr>
            <w:tcW w:w="1795" w:type="dxa"/>
          </w:tcPr>
          <w:p w14:paraId="59AF437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c>
          <w:tcPr>
            <w:tcW w:w="1536" w:type="dxa"/>
          </w:tcPr>
          <w:p w14:paraId="33BB521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331</w:t>
            </w:r>
          </w:p>
        </w:tc>
        <w:tc>
          <w:tcPr>
            <w:tcW w:w="1565" w:type="dxa"/>
          </w:tcPr>
          <w:p w14:paraId="344928D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1326</w:t>
            </w:r>
          </w:p>
        </w:tc>
      </w:tr>
      <w:tr w:rsidR="00643896" w:rsidRPr="00640820" w14:paraId="0345FECF" w14:textId="77777777" w:rsidTr="000D3BCB">
        <w:trPr>
          <w:trHeight w:val="326"/>
        </w:trPr>
        <w:tc>
          <w:tcPr>
            <w:tcW w:w="1469" w:type="dxa"/>
            <w:tcBorders>
              <w:bottom w:val="single" w:sz="12" w:space="0" w:color="auto"/>
            </w:tcBorders>
          </w:tcPr>
          <w:p w14:paraId="2464E2E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ЛаГГ-3</w:t>
            </w:r>
          </w:p>
        </w:tc>
        <w:tc>
          <w:tcPr>
            <w:tcW w:w="1853" w:type="dxa"/>
            <w:tcBorders>
              <w:bottom w:val="single" w:sz="12" w:space="0" w:color="auto"/>
            </w:tcBorders>
          </w:tcPr>
          <w:p w14:paraId="4D61BD3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9755</w:t>
            </w:r>
          </w:p>
        </w:tc>
        <w:tc>
          <w:tcPr>
            <w:tcW w:w="1747" w:type="dxa"/>
            <w:tcBorders>
              <w:bottom w:val="single" w:sz="12" w:space="0" w:color="auto"/>
            </w:tcBorders>
          </w:tcPr>
          <w:p w14:paraId="39A4C62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w:t>
            </w:r>
          </w:p>
        </w:tc>
        <w:tc>
          <w:tcPr>
            <w:tcW w:w="1795" w:type="dxa"/>
            <w:tcBorders>
              <w:bottom w:val="single" w:sz="12" w:space="0" w:color="auto"/>
            </w:tcBorders>
          </w:tcPr>
          <w:p w14:paraId="015220C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w:t>
            </w:r>
          </w:p>
        </w:tc>
        <w:tc>
          <w:tcPr>
            <w:tcW w:w="1536" w:type="dxa"/>
            <w:tcBorders>
              <w:bottom w:val="single" w:sz="12" w:space="0" w:color="auto"/>
            </w:tcBorders>
          </w:tcPr>
          <w:p w14:paraId="46C059F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244</w:t>
            </w:r>
          </w:p>
        </w:tc>
        <w:tc>
          <w:tcPr>
            <w:tcW w:w="1565" w:type="dxa"/>
            <w:tcBorders>
              <w:bottom w:val="single" w:sz="12" w:space="0" w:color="auto"/>
            </w:tcBorders>
          </w:tcPr>
          <w:p w14:paraId="5C494E1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542</w:t>
            </w:r>
          </w:p>
        </w:tc>
      </w:tr>
    </w:tbl>
    <w:p w14:paraId="2F4D09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98510FF" w14:textId="77777777" w:rsidR="00EF6A8F" w:rsidRPr="00640820" w:rsidRDefault="00EF6A8F" w:rsidP="00640820">
      <w:pPr>
        <w:pStyle w:val="11b"/>
        <w:shd w:val="clear" w:color="auto" w:fill="auto"/>
        <w:spacing w:after="0" w:line="240" w:lineRule="auto"/>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16-го сентября 1941-го года, в 00 ч.03 мин</w:t>
      </w:r>
      <w:r w:rsidRPr="00640820">
        <w:rPr>
          <w:rStyle w:val="aff7"/>
          <w:rFonts w:ascii="Times New Roman" w:hAnsi="Times New Roman" w:cs="Times New Roman"/>
          <w:b w:val="0"/>
          <w:color w:val="000000" w:themeColor="text1"/>
          <w:spacing w:val="0"/>
          <w:sz w:val="16"/>
          <w:szCs w:val="16"/>
        </w:rPr>
        <w:t xml:space="preserve"> ТБ-7 № 4222,</w:t>
      </w:r>
      <w:r w:rsidRPr="00640820">
        <w:rPr>
          <w:rFonts w:ascii="Times New Roman" w:hAnsi="Times New Roman" w:cs="Times New Roman"/>
          <w:color w:val="000000" w:themeColor="text1"/>
          <w:sz w:val="16"/>
          <w:szCs w:val="16"/>
        </w:rPr>
        <w:t xml:space="preserve"> командир ко</w:t>
      </w:r>
      <w:r w:rsidRPr="00640820">
        <w:rPr>
          <w:rFonts w:ascii="Times New Roman" w:hAnsi="Times New Roman" w:cs="Times New Roman"/>
          <w:color w:val="000000" w:themeColor="text1"/>
          <w:sz w:val="16"/>
          <w:szCs w:val="16"/>
        </w:rPr>
        <w:softHyphen/>
        <w:t>рабля майор Федоренко, с аэродрома Ра- менское стартовал для бомбардирования ж. д. узла Псков. В 4.00 с высоты 2000 м восемь бомб ФАБ-250 были сброшены по ж. д. станции Изоча, в 16 км северо-вос- точнее Невеля, и шестнадцать ФАБ-100 по ж. д. перегону Невель-Великие Луки, в 10 км от Невеля. Перед бомбометанием были сброшены две бомбы САБ-50, кото</w:t>
      </w:r>
      <w:r w:rsidRPr="00640820">
        <w:rPr>
          <w:rFonts w:ascii="Times New Roman" w:hAnsi="Times New Roman" w:cs="Times New Roman"/>
          <w:color w:val="000000" w:themeColor="text1"/>
          <w:sz w:val="16"/>
          <w:szCs w:val="16"/>
        </w:rPr>
        <w:softHyphen/>
        <w:t>рые хорошо освещали цель, так что эки</w:t>
      </w:r>
      <w:r w:rsidRPr="00640820">
        <w:rPr>
          <w:rFonts w:ascii="Times New Roman" w:hAnsi="Times New Roman" w:cs="Times New Roman"/>
          <w:color w:val="000000" w:themeColor="text1"/>
          <w:sz w:val="16"/>
          <w:szCs w:val="16"/>
        </w:rPr>
        <w:softHyphen/>
        <w:t>паж наблюдал прямые попадания бомб в ж. д. станцию Изоча и ж. д. полотно. В районе г. Холм самолет атаковал один истребитель противника, тип не опознан. Стрелки открыли огонь, истребитель по</w:t>
      </w:r>
      <w:r w:rsidRPr="00640820">
        <w:rPr>
          <w:rFonts w:ascii="Times New Roman" w:hAnsi="Times New Roman" w:cs="Times New Roman"/>
          <w:color w:val="000000" w:themeColor="text1"/>
          <w:sz w:val="16"/>
          <w:szCs w:val="16"/>
        </w:rPr>
        <w:softHyphen/>
        <w:t>сле двух атак отошел и больше не при</w:t>
      </w:r>
      <w:r w:rsidRPr="00640820">
        <w:rPr>
          <w:rFonts w:ascii="Times New Roman" w:hAnsi="Times New Roman" w:cs="Times New Roman"/>
          <w:color w:val="000000" w:themeColor="text1"/>
          <w:sz w:val="16"/>
          <w:szCs w:val="16"/>
        </w:rPr>
        <w:softHyphen/>
        <w:t>ближался. При обратном полете, ввиду того, что район аэродрома посадки Елец был закрыт туманом, командир корабля взял курс на Север и в 6 ч 37 мин благо</w:t>
      </w:r>
      <w:r w:rsidRPr="00640820">
        <w:rPr>
          <w:rFonts w:ascii="Times New Roman" w:hAnsi="Times New Roman" w:cs="Times New Roman"/>
          <w:color w:val="000000" w:themeColor="text1"/>
          <w:sz w:val="16"/>
          <w:szCs w:val="16"/>
        </w:rPr>
        <w:softHyphen/>
        <w:t>получно произвел посадку на аэродроме Ярославль (19088).</w:t>
      </w:r>
    </w:p>
    <w:p w14:paraId="40E9C833" w14:textId="77777777" w:rsidR="00EF6A8F" w:rsidRPr="00640820" w:rsidRDefault="00EF6A8F" w:rsidP="00640820">
      <w:pPr>
        <w:pStyle w:val="11b"/>
        <w:shd w:val="clear" w:color="auto" w:fill="auto"/>
        <w:spacing w:after="0" w:line="240" w:lineRule="auto"/>
        <w:jc w:val="both"/>
        <w:rPr>
          <w:rFonts w:ascii="Times New Roman" w:hAnsi="Times New Roman" w:cs="Times New Roman"/>
          <w:color w:val="000000" w:themeColor="text1"/>
          <w:sz w:val="16"/>
          <w:szCs w:val="16"/>
        </w:rPr>
      </w:pPr>
    </w:p>
    <w:p w14:paraId="63B223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сентября 1941 М.М.Громову на авиабазе Боллинг-филд показали усовершенствованный В-25В, отличавшийся усиленным оборонительным вооружением (верхней и нижней турелями со спарками крупнокалиберных пулеметов), а вместе с ним другую машину такого же назначения - Мартин В-26. Спустя несколько дней из советского посольства заявили о желании получить три В-26 и два В-25В, но 1 октября 1941 решение изменили в пользу пяти В-25В. "Митчелл" имел одно важное преимущество по сравнению с В-26 "Мародер" - он был гораздо проще в пилотировании, хотя несколько уступал в летных данных. Заявку приняли, но последовала задержка из-за требования советской стороны поставить на самолетах антиобледенители, что первоначально не оговаривалось. Группа летчиков во главе с М.М.Громовым, первоначально прибывшая в США для получения тяжелых бомбардировщиков В-17 "Флайинг фортресс" ("Летающая крепость"), занялась освоением незнакомой техники. Ознакомление с машинами и их оборудованием проходило на авиабазах в Спокане и Паттерсоне. Нашим экипажам дали возможность досконально изучить В-25А, полетать на них и.даже провести учебные бои с истребителями Р-43. Гостей принимал капитан Э.Иорк, владевший русским языком. Американский историк Э.Мак-Доуэлл пишет в своей книге, что "русские летали на В-25, как на истребителях". В результате из крыльев "Митчеллов" повыскакивали заклейки, несколько стрелков повредили ребра, а одни Р-43 врезался в землю. По мнению Громова, экипаж В-25А был нецелесообразно велик для фронтового бомбардировщика. Он также оценил бронезащиту и вооружение самолета как недостаточные (3457,90).</w:t>
      </w:r>
    </w:p>
    <w:p w14:paraId="4417DA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2166C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сентября 1941 были ожесточенные бои у стен Ленинграда. Фашисты прорвались через Стрельну к Финскому заливу. На улицах города - плакаты: "Враг у ворот!", "Ленинград в опасности!". Линкор "Марат" вел огонь по танкам и пехоте врага на Приморском шоссе. Во время бомбежки и артобстрела корабль получил тяжелые повреждения от взрывов трех 250-килограммовых авиабомб и 27 снарядов. Корабль ушел на ремонт в Кронштадт. Вместо него на огневую позицию встал линкор "Октябрьская революция" (10671).</w:t>
      </w:r>
    </w:p>
    <w:p w14:paraId="114514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239B04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сентября 1941 был нанесен удар авиацией и артиллерией по находившемуся в Морском канале линкору «Марат», который был вынужден уйти в Кронштадт. Обстрелу подвергся крейсер «Максим Горький». В этот день и у борта крейсера «Петропавловск» разорвались первые снаряды, повредившие осколками борт корабля и разрушившие береговую подстанцию, обеспечивавшую корабль электроэнергией. На Угольной пристани загорелись деревянные строения, в какой-то степени маскировавшие крейсер (10670,258).</w:t>
      </w:r>
    </w:p>
    <w:p w14:paraId="1A2BE21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8E62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сентября 1941 на основе директивы N 35 ком. ГА Центр г-фм фон Бок поставил задачи войскам и в т.ч. решил усилить 2ВФ. авиации была поставлена задача уничтожать русские ВВС и поддерживать действия армий и танковых групп, тогда как удары по промобъектам рассматривались в качестве второстепенной задачи (3105,27).</w:t>
      </w:r>
    </w:p>
    <w:p w14:paraId="115F0A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62896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сентября 1941 была издана директива на операцию Тайфун - захват и уничтожение столицы (2070,38).</w:t>
      </w:r>
    </w:p>
    <w:p w14:paraId="5E1784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751C8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сентября 1941 Военный Совет Ю-ЗФ принял решение оставить Киев и на исходе 17 И.В.С. разрешил, но было поздно и эвакуация началась только 19 сентября 1941 (2438,312).</w:t>
      </w:r>
    </w:p>
    <w:p w14:paraId="2779BD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4666A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сентября 1941 вышло Постановление ГКО № 682 О сформировании отдельного телеграфного дивизиона РГК. РГАНИР, Фонд ГКО, д. 9, лл. 159 (11012).</w:t>
      </w:r>
    </w:p>
    <w:p w14:paraId="681EFB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7ACCF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сентября 1941 вышло Постановление ГКО № 683 О начальнике охраны войскового тыла Карельского фронта. РГАНИР, Фонд ГКО, д. 9, лл. 160 (11012).</w:t>
      </w:r>
    </w:p>
    <w:p w14:paraId="0BA3A6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0449D03"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03484F30"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812A8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сентября 1941 вышло Постановление ГКО № 685 Об эвакуации женщин и детей из г. Харькова. РГАНИР, Фонд ГКО, д. 9, лл. 165 (11012).</w:t>
      </w:r>
    </w:p>
    <w:p w14:paraId="4EE180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C0EBDFE"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1C9B9D15"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8E5E002"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16 сентября </w:t>
      </w:r>
      <w:r w:rsidRPr="00640820">
        <w:rPr>
          <w:rFonts w:ascii="Times New Roman" w:hAnsi="Times New Roman"/>
          <w:color w:val="000000" w:themeColor="text1"/>
          <w:sz w:val="16"/>
          <w:szCs w:val="16"/>
        </w:rPr>
        <w:t>в 1941 году советские войска вступили в Тегеран (14771).</w:t>
      </w:r>
    </w:p>
    <w:p w14:paraId="45CF7B1A" w14:textId="77777777" w:rsidR="001547E5" w:rsidRPr="00640820" w:rsidRDefault="001547E5" w:rsidP="00640820">
      <w:pPr>
        <w:spacing w:after="0" w:line="240" w:lineRule="auto"/>
        <w:jc w:val="both"/>
        <w:rPr>
          <w:rFonts w:ascii="Times New Roman" w:hAnsi="Times New Roman"/>
          <w:color w:val="000000" w:themeColor="text1"/>
          <w:sz w:val="16"/>
          <w:szCs w:val="16"/>
        </w:rPr>
      </w:pPr>
    </w:p>
    <w:p w14:paraId="43B26E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сентября 1941 года от агента советской внешней разведки Д. Маклина поступает информация, согласно которой британское правительство рассмотрело специальный доклад по созданию в течение двух лет урановой бомбы. Одновременно сообщалось, что летом того же года состоялось заседание уранового комитета, обсудившего реальность создания атомной бомбы, и что совещание комитета начальников штабов приняло рекомендацию о немедленном начале работ в этой области. Научной работой английских физиков в области атомной энергии руководил специальный комитет ученых во главе с известным физиком Д. Томсоном. Как видим, в Центре располагали достаточным количеством информации о том, что происходило в Британии в сфере разработки атомного оружия. Понятно, что страна, находящаяся в состоянии войны, не будет инвестировать ресурсы в исследования, которые в относительно короткий срок не позволят получить преимущество в военной сфере.</w:t>
      </w:r>
    </w:p>
    <w:p w14:paraId="2F37F8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Поэтому перед советской внешней разведкой по проблеме ядерного оружия, в оперативной переписке получившей в дальнейшем название «Энормоз», стояли следующие задачи:</w:t>
      </w:r>
    </w:p>
    <w:p w14:paraId="114335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определить круг стран, ведущих практические работы по созданию атомного оружия;</w:t>
      </w:r>
    </w:p>
    <w:p w14:paraId="5A64CA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информировать Центр о содержании этих работ;</w:t>
      </w:r>
    </w:p>
    <w:p w14:paraId="67BE08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через свои агентурные возможности приобретать необходимую научно-техническую информацию, способную облегчить создание подобного оружия в СССР.</w:t>
      </w:r>
    </w:p>
    <w:p w14:paraId="005B24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центральном аппарате было создано специальное подразделение научно-технической разведки. Возглавил его Л. Р. Квасников. Вскоре резидентуры внешней разведки в США и Великобритании получили ориентировку Центра, нацеливавшую их на поиск любой информации по проекту «Энормоз». Такая же ориентировка поступила и в Скандинавские страны, поскольку с началом войны резидентура в Берлине прекратила существование. Однако наладить получение информации о ведущихся в нацистской Германии работах в области атомной энергии с территории нейтральной Швеции не удалось.</w:t>
      </w:r>
    </w:p>
    <w:p w14:paraId="439E9D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США нью-йоркский резидент П. Пастельняк в ответ на запрос Центра отправил 24 ноября 1941 г. телеграмму, в которой говорилось, что в Лондон выехали американские профессора Юри, Брагг и Фоулер для работы над взрывчатым веществом огромной силы. Других сведений на тот период из резидентур внешней разведки в США не поступало.</w:t>
      </w:r>
    </w:p>
    <w:p w14:paraId="36FC66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Тогда же Центр получил телеграмму, в которой говорилось о попытках группы американских ученых создать взрывчатое вещество огромной силы. Разумеется, речь шла об урановой бомбе, как первоначально называлось атомное оружие.</w:t>
      </w:r>
    </w:p>
    <w:p w14:paraId="0BF6FB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Несмотря на то, что в США с началом войны действовало значительное количество оперработников, научно-техническая разведка НКВД обращала первостепенное внимание на получение технической документации и образцов, в первую очередь вооружения и боевой техники. Задача добывания атомных секретов не выделялась в числе приоритетов внешней разведки. Да и кому могло прийти в голову заниматься какими-то теоретическими проблемами в тот момент, когда гитлеровские войска готовятся к последнему броску на Москву. На повестке дня стояли другие, более приоритетные задачи укрепления обороноспособности нашей страны.</w:t>
      </w:r>
    </w:p>
    <w:p w14:paraId="1D0CD4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Хотя ориентировка Центра была направлена в США еще в 1941 году, но добиться ощутимых результатов по сбору информации в области создания атомного оружия резидентуре долго не удавалось. Это объяснялось тем, что американские спецслужбы создали вокруг ученых, инженеров, техников и рабочих, сосредоточенных в Лос-Аламосе, прочную стену секретности, которую было непросто преодолеть.</w:t>
      </w:r>
    </w:p>
    <w:p w14:paraId="10428A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того же года Белый дом принял решение о выделении крупных средств на разработку атомного оружия. К этому времени американские ученые Л. Силард, А. Эйнштейн, Р. Оппенгеймер и другие накопили множество данных о реальной возможности создания принципиально нового оружия. Резидентуры НКВД в США пока ничего об этом не знали (11765).</w:t>
      </w:r>
    </w:p>
    <w:p w14:paraId="63D2A3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2CBAA21"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7A4A7C37"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68C4E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сентября 1941 А.Г. предложил за каждого убитого немца расстреливать 100 югославов (3481).</w:t>
      </w:r>
    </w:p>
    <w:p w14:paraId="1F9C38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720E0F6"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16 сентября </w:t>
      </w:r>
      <w:r w:rsidRPr="00640820">
        <w:rPr>
          <w:rFonts w:ascii="Times New Roman" w:hAnsi="Times New Roman"/>
          <w:color w:val="000000" w:themeColor="text1"/>
          <w:sz w:val="16"/>
          <w:szCs w:val="16"/>
        </w:rPr>
        <w:t>в 1941 году провозглашена независимость Сирии. Шейху Тадж-эд-Дину, принявшему на себя функции президента, предложено образовать правительство (14771).</w:t>
      </w:r>
    </w:p>
    <w:p w14:paraId="53631AF4" w14:textId="77777777" w:rsidR="001547E5" w:rsidRPr="00640820" w:rsidRDefault="001547E5" w:rsidP="00640820">
      <w:pPr>
        <w:spacing w:after="0" w:line="240" w:lineRule="auto"/>
        <w:jc w:val="both"/>
        <w:rPr>
          <w:rFonts w:ascii="Times New Roman" w:hAnsi="Times New Roman"/>
          <w:color w:val="000000" w:themeColor="text1"/>
          <w:sz w:val="16"/>
          <w:szCs w:val="16"/>
        </w:rPr>
      </w:pPr>
    </w:p>
    <w:p w14:paraId="1C0DD776"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16 сентября </w:t>
      </w:r>
      <w:r w:rsidRPr="00640820">
        <w:rPr>
          <w:rFonts w:ascii="Times New Roman" w:hAnsi="Times New Roman"/>
          <w:color w:val="000000" w:themeColor="text1"/>
          <w:sz w:val="16"/>
          <w:szCs w:val="16"/>
        </w:rPr>
        <w:t>в 1941 году в Афганистане германская разведгруппа оберлейтенанта Витцеля, он же Патан, готовится к заброске в пограничный район советской Средней Азии (14771).</w:t>
      </w:r>
    </w:p>
    <w:p w14:paraId="5A0F9505" w14:textId="77777777" w:rsidR="001547E5" w:rsidRPr="00640820" w:rsidRDefault="001547E5" w:rsidP="00640820">
      <w:pPr>
        <w:spacing w:after="0" w:line="240" w:lineRule="auto"/>
        <w:jc w:val="both"/>
        <w:rPr>
          <w:rFonts w:ascii="Times New Roman" w:hAnsi="Times New Roman"/>
          <w:color w:val="000000" w:themeColor="text1"/>
          <w:sz w:val="16"/>
          <w:szCs w:val="16"/>
        </w:rPr>
      </w:pPr>
    </w:p>
    <w:p w14:paraId="22D4C1C7"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16 сентября </w:t>
      </w:r>
      <w:r w:rsidRPr="00640820">
        <w:rPr>
          <w:rFonts w:ascii="Times New Roman" w:hAnsi="Times New Roman"/>
          <w:color w:val="000000" w:themeColor="text1"/>
          <w:sz w:val="16"/>
          <w:szCs w:val="16"/>
        </w:rPr>
        <w:t>в 1941 году иранский шах Реза-шах Пехлеви (Reza Khan Pahlavii) отрекается от престола в пользу своего сына Мухаммеда Реза-шаха Пехлеви. В зале меджлиса состоялась церемония принятия присяги новым шахом Ирана Мохаммед Реза Пехлеви (14771).</w:t>
      </w:r>
    </w:p>
    <w:p w14:paraId="571AA46B" w14:textId="77777777" w:rsidR="001547E5" w:rsidRPr="00640820" w:rsidRDefault="001547E5" w:rsidP="00640820">
      <w:pPr>
        <w:spacing w:after="0" w:line="240" w:lineRule="auto"/>
        <w:jc w:val="both"/>
        <w:rPr>
          <w:rFonts w:ascii="Times New Roman" w:hAnsi="Times New Roman"/>
          <w:color w:val="000000" w:themeColor="text1"/>
          <w:sz w:val="16"/>
          <w:szCs w:val="16"/>
        </w:rPr>
      </w:pPr>
    </w:p>
    <w:p w14:paraId="34226E6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сентября 1941 шах Ирана Реза-шах отрекся от престола в пользу сына (4962).</w:t>
      </w:r>
    </w:p>
    <w:p w14:paraId="27F1E42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CA35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сентября 1941 короли Ирана Риза Хан отрекся от персидского трона и началась оккупация страны советскими и британскими войсками (2238,7).</w:t>
      </w:r>
    </w:p>
    <w:p w14:paraId="3982F6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03D1153"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71CE80E1"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A332E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сентября 1941 г. Устинова в письме N 2794с писал о недостатках в установке пушки Волкова-Ярцева 23 мм на самолете Ил-2 по результатам работы ко комиссией по отстрелу взрывателей К-20 и В-179 (1520).</w:t>
      </w:r>
    </w:p>
    <w:p w14:paraId="389CF9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928A31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сентября 1941 НКВ Устинов писал пиьсо Зам. Пред. СНК тов. ВОЗНЕСЕНСКОМУ Н.А.</w:t>
      </w:r>
    </w:p>
    <w:p w14:paraId="27056CD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Копия : НАРОДНОМУ КОМИССАРУ АВИАЦИОННОЙ ПРОМЫШЛЕННОСТИ СССР тов. ШАХУРИНУ</w:t>
      </w:r>
    </w:p>
    <w:p w14:paraId="162E4D7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письму т. Шеломовского по вопросу допустимости стрельбы из пушек Волкова-Ярцева патронами со взрывателя</w:t>
      </w:r>
      <w:r w:rsidRPr="00640820">
        <w:rPr>
          <w:rFonts w:ascii="Times New Roman" w:hAnsi="Times New Roman"/>
          <w:color w:val="000000" w:themeColor="text1"/>
          <w:sz w:val="16"/>
          <w:szCs w:val="16"/>
        </w:rPr>
        <w:softHyphen/>
        <w:t>ми К-20 и В-179, сообщаю, что установки, подводящие питание к пушкам, изготовляются и устанаяливаются НКАП.</w:t>
      </w:r>
    </w:p>
    <w:p w14:paraId="095E159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Комиссией, наряду с заключением о допустимости и бе</w:t>
      </w:r>
      <w:r w:rsidRPr="00640820">
        <w:rPr>
          <w:rFonts w:ascii="Times New Roman" w:hAnsi="Times New Roman"/>
          <w:color w:val="000000" w:themeColor="text1"/>
          <w:sz w:val="16"/>
          <w:szCs w:val="16"/>
        </w:rPr>
        <w:softHyphen/>
        <w:t>зопасности стрельбы из пушек Волкова-Ярцева, патронами со взрывателями К-20 и В-179, указано на необходимость исправления отдельных недостатков в установке самолета Ил-2 (4156,186).</w:t>
      </w:r>
    </w:p>
    <w:p w14:paraId="796EE90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EF24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сентября 1941 закончились гос. испытания прототипа одноместного штурмовика Су-6 c 4хШКАС в крыле и 2 ШКАС синхронных, а также 120 кг бомб, которые шли с 28 августа 1941. Похоже он не был еще бронированным штурмовиком (1454,60).</w:t>
      </w:r>
    </w:p>
    <w:p w14:paraId="276217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933CC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сентября 1941 В.М.П. был награжден ОЛ (1077,12).</w:t>
      </w:r>
    </w:p>
    <w:p w14:paraId="5342A7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F1B44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сентября 1941 приняли как типовую стрелковую установку под турель ВУС-1 ШКАС для ПС-84 и ДС-3, разработанную в конце июля 1941 на авиарембазе аэропорта Внуково и М.М.Куликом. Одновременно предусмотрели установку еще двух ШКАС на шкворнях в багажном отсеке. Во Внуково доработали один самолет и испытали. Летал л М.А.Никифоро. В первом полете возник бафтинг - турель нарушила обтекание. Пришлось переделывать. Во Внуково создали цех вооружение, через который пропускали самолеты ГВФ и ВВС. Одновременно устанавливали бронечашки и спинки сидений, а вскоре - и неподвижный ШКАС для стрельбы вперед (4141,21).</w:t>
      </w:r>
    </w:p>
    <w:p w14:paraId="142082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E47B0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сентября 1941 года В.П. Кузнецов писал письмо № К-16/8680 заведующему ОС ЦК ВКП(б) Поскребышеву</w:t>
      </w:r>
    </w:p>
    <w:p w14:paraId="5F5260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Изучением самолетов противника занимается Бюро новой техники при ЦАГИ (руководитель Шумовский), в составе Бюро имеются специальные бригады, которые по заданию наркома выезжают на места и изучают конструкцию самолетов противника и оформляют отчетами, которые рассылаются нашим конструкторам.</w:t>
      </w:r>
    </w:p>
    <w:p w14:paraId="764ECA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……………(8696, 294).</w:t>
      </w:r>
    </w:p>
    <w:p w14:paraId="47B8A3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15988B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сентября 1941 г. заместитель начальника 7-го Главного управления НКАП завизировал:</w:t>
      </w:r>
    </w:p>
    <w:p w14:paraId="32DE75E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Таблица 5.5 Уменьшение максимальной скорости (км/ч) от установки РС на истребителях</w:t>
      </w:r>
    </w:p>
    <w:tbl>
      <w:tblPr>
        <w:tblW w:w="0" w:type="auto"/>
        <w:tblInd w:w="40" w:type="dxa"/>
        <w:tblLayout w:type="fixed"/>
        <w:tblCellMar>
          <w:left w:w="40" w:type="dxa"/>
          <w:right w:w="40" w:type="dxa"/>
        </w:tblCellMar>
        <w:tblLook w:val="0000" w:firstRow="0" w:lastRow="0" w:firstColumn="0" w:lastColumn="0" w:noHBand="0" w:noVBand="0"/>
      </w:tblPr>
      <w:tblGrid>
        <w:gridCol w:w="1411"/>
        <w:gridCol w:w="826"/>
        <w:gridCol w:w="826"/>
        <w:gridCol w:w="816"/>
        <w:gridCol w:w="826"/>
        <w:gridCol w:w="1210"/>
      </w:tblGrid>
      <w:tr w:rsidR="00643896" w:rsidRPr="00640820" w14:paraId="0841F3A4" w14:textId="77777777" w:rsidTr="000D3BCB">
        <w:trPr>
          <w:trHeight w:val="432"/>
        </w:trPr>
        <w:tc>
          <w:tcPr>
            <w:tcW w:w="1411" w:type="dxa"/>
            <w:tcBorders>
              <w:top w:val="single" w:sz="6" w:space="0" w:color="auto"/>
              <w:left w:val="single" w:sz="6" w:space="0" w:color="auto"/>
              <w:bottom w:val="nil"/>
              <w:right w:val="single" w:sz="6" w:space="0" w:color="auto"/>
            </w:tcBorders>
          </w:tcPr>
          <w:p w14:paraId="1B5DD2D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Самолет и тип установок</w:t>
            </w:r>
          </w:p>
          <w:p w14:paraId="796E7D9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2" w:type="dxa"/>
            <w:gridSpan w:val="2"/>
            <w:tcBorders>
              <w:top w:val="single" w:sz="6" w:space="0" w:color="auto"/>
              <w:left w:val="single" w:sz="6" w:space="0" w:color="auto"/>
              <w:bottom w:val="single" w:sz="6" w:space="0" w:color="auto"/>
              <w:right w:val="single" w:sz="6" w:space="0" w:color="auto"/>
            </w:tcBorders>
          </w:tcPr>
          <w:p w14:paraId="1ED4CA8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Боезапас в 6 штук РС</w:t>
            </w:r>
          </w:p>
          <w:p w14:paraId="646A20D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567BA23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Боезапас в 8 штук РС</w:t>
            </w:r>
          </w:p>
          <w:p w14:paraId="600BE3D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4330753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Примечание</w:t>
            </w:r>
          </w:p>
          <w:p w14:paraId="350E7F9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A86F6B7" w14:textId="77777777" w:rsidTr="000D3BCB">
        <w:trPr>
          <w:trHeight w:val="422"/>
        </w:trPr>
        <w:tc>
          <w:tcPr>
            <w:tcW w:w="1411" w:type="dxa"/>
            <w:tcBorders>
              <w:top w:val="nil"/>
              <w:left w:val="single" w:sz="6" w:space="0" w:color="auto"/>
              <w:bottom w:val="single" w:sz="6" w:space="0" w:color="auto"/>
              <w:right w:val="single" w:sz="6" w:space="0" w:color="auto"/>
            </w:tcBorders>
          </w:tcPr>
          <w:p w14:paraId="652C92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A1038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B49B8A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выстрела</w:t>
            </w:r>
          </w:p>
          <w:p w14:paraId="363D9F5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516505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выстрела</w:t>
            </w:r>
          </w:p>
          <w:p w14:paraId="741569A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7484221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выстрела</w:t>
            </w:r>
          </w:p>
          <w:p w14:paraId="0C1C72C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A6CB6A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выстрела</w:t>
            </w:r>
          </w:p>
          <w:p w14:paraId="77A7130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5F91095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214CA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39304AD" w14:textId="77777777" w:rsidTr="000D3BCB">
        <w:trPr>
          <w:trHeight w:val="202"/>
        </w:trPr>
        <w:tc>
          <w:tcPr>
            <w:tcW w:w="1411" w:type="dxa"/>
            <w:tcBorders>
              <w:top w:val="single" w:sz="6" w:space="0" w:color="auto"/>
              <w:left w:val="single" w:sz="6" w:space="0" w:color="auto"/>
              <w:bottom w:val="single" w:sz="6" w:space="0" w:color="auto"/>
              <w:right w:val="single" w:sz="6" w:space="0" w:color="auto"/>
            </w:tcBorders>
          </w:tcPr>
          <w:p w14:paraId="36B3A5F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1.ЛаГГ-3 с М-105:</w:t>
            </w:r>
          </w:p>
          <w:p w14:paraId="24F2EC9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66C34D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3465A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52CF5C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DD0CD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434337A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BAD27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E280B8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4FD32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nil"/>
              <w:right w:val="single" w:sz="6" w:space="0" w:color="auto"/>
            </w:tcBorders>
          </w:tcPr>
          <w:p w14:paraId="5E652C9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установки и варианты вооружения серийных самолетов</w:t>
            </w:r>
          </w:p>
          <w:p w14:paraId="6A6D062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05DCCD7" w14:textId="77777777" w:rsidTr="000D3BCB">
        <w:trPr>
          <w:trHeight w:val="202"/>
        </w:trPr>
        <w:tc>
          <w:tcPr>
            <w:tcW w:w="1411" w:type="dxa"/>
            <w:tcBorders>
              <w:top w:val="single" w:sz="6" w:space="0" w:color="auto"/>
              <w:left w:val="single" w:sz="6" w:space="0" w:color="auto"/>
              <w:bottom w:val="single" w:sz="6" w:space="0" w:color="auto"/>
              <w:right w:val="single" w:sz="6" w:space="0" w:color="auto"/>
            </w:tcBorders>
          </w:tcPr>
          <w:p w14:paraId="6A27454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РС-82</w:t>
            </w:r>
          </w:p>
          <w:p w14:paraId="7F98915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B0DE3A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w:t>
            </w:r>
          </w:p>
          <w:p w14:paraId="7EE30DC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794672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w:t>
            </w:r>
          </w:p>
          <w:p w14:paraId="434637A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77D2F95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25-32</w:t>
            </w:r>
          </w:p>
          <w:p w14:paraId="73B50E8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3FAE4E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12,5</w:t>
            </w:r>
          </w:p>
          <w:p w14:paraId="4B2C2AA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nil"/>
              <w:left w:val="single" w:sz="6" w:space="0" w:color="auto"/>
              <w:bottom w:val="nil"/>
              <w:right w:val="single" w:sz="6" w:space="0" w:color="auto"/>
            </w:tcBorders>
          </w:tcPr>
          <w:p w14:paraId="786C9C4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B56E8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8324B7F" w14:textId="77777777" w:rsidTr="000D3BCB">
        <w:trPr>
          <w:trHeight w:val="211"/>
        </w:trPr>
        <w:tc>
          <w:tcPr>
            <w:tcW w:w="1411" w:type="dxa"/>
            <w:tcBorders>
              <w:top w:val="single" w:sz="6" w:space="0" w:color="auto"/>
              <w:left w:val="single" w:sz="6" w:space="0" w:color="auto"/>
              <w:bottom w:val="single" w:sz="6" w:space="0" w:color="auto"/>
              <w:right w:val="single" w:sz="6" w:space="0" w:color="auto"/>
            </w:tcBorders>
          </w:tcPr>
          <w:p w14:paraId="69883CE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-РС-132</w:t>
            </w:r>
          </w:p>
          <w:p w14:paraId="2A9654B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43D040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w:t>
            </w:r>
          </w:p>
          <w:p w14:paraId="13CFD9E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7E6711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w:t>
            </w:r>
          </w:p>
          <w:p w14:paraId="4E8C7B5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7E6443C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w:t>
            </w:r>
          </w:p>
          <w:p w14:paraId="6788B8E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329613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p w14:paraId="658232E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nil"/>
              <w:left w:val="single" w:sz="6" w:space="0" w:color="auto"/>
              <w:bottom w:val="nil"/>
              <w:right w:val="single" w:sz="6" w:space="0" w:color="auto"/>
            </w:tcBorders>
          </w:tcPr>
          <w:p w14:paraId="4EE8625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10EBC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AAADEE1" w14:textId="77777777" w:rsidTr="000D3BCB">
        <w:trPr>
          <w:trHeight w:val="202"/>
        </w:trPr>
        <w:tc>
          <w:tcPr>
            <w:tcW w:w="1411" w:type="dxa"/>
            <w:tcBorders>
              <w:top w:val="single" w:sz="6" w:space="0" w:color="auto"/>
              <w:left w:val="single" w:sz="6" w:space="0" w:color="auto"/>
              <w:bottom w:val="single" w:sz="6" w:space="0" w:color="auto"/>
              <w:right w:val="single" w:sz="6" w:space="0" w:color="auto"/>
            </w:tcBorders>
          </w:tcPr>
          <w:p w14:paraId="1C8719E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МиГ-3 с АМ-35:</w:t>
            </w:r>
          </w:p>
          <w:p w14:paraId="05FAB4A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DF1217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9CBD6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61BBC4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1242F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44A0A5E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0A298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AE8BF6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034FE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nil"/>
              <w:left w:val="single" w:sz="6" w:space="0" w:color="auto"/>
              <w:bottom w:val="nil"/>
              <w:right w:val="single" w:sz="6" w:space="0" w:color="auto"/>
            </w:tcBorders>
          </w:tcPr>
          <w:p w14:paraId="301BF11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FD838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1CDB328" w14:textId="77777777" w:rsidTr="000D3BCB">
        <w:trPr>
          <w:trHeight w:val="202"/>
        </w:trPr>
        <w:tc>
          <w:tcPr>
            <w:tcW w:w="1411" w:type="dxa"/>
            <w:tcBorders>
              <w:top w:val="single" w:sz="6" w:space="0" w:color="auto"/>
              <w:left w:val="single" w:sz="6" w:space="0" w:color="auto"/>
              <w:bottom w:val="single" w:sz="6" w:space="0" w:color="auto"/>
              <w:right w:val="single" w:sz="6" w:space="0" w:color="auto"/>
            </w:tcBorders>
          </w:tcPr>
          <w:p w14:paraId="7835309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РС-82</w:t>
            </w:r>
          </w:p>
          <w:p w14:paraId="2B96A67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D7CFC5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p w14:paraId="4EE8AE8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F7B671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p w14:paraId="4C2F1AE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4628BEB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w:t>
            </w:r>
          </w:p>
          <w:p w14:paraId="2428D99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E30DD7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9,5</w:t>
            </w:r>
          </w:p>
          <w:p w14:paraId="43ACBCA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nil"/>
              <w:left w:val="single" w:sz="6" w:space="0" w:color="auto"/>
              <w:bottom w:val="nil"/>
              <w:right w:val="single" w:sz="6" w:space="0" w:color="auto"/>
            </w:tcBorders>
          </w:tcPr>
          <w:p w14:paraId="54CE22C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1899B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9EF27CE" w14:textId="77777777" w:rsidTr="000D3BCB">
        <w:trPr>
          <w:trHeight w:val="211"/>
        </w:trPr>
        <w:tc>
          <w:tcPr>
            <w:tcW w:w="1411" w:type="dxa"/>
            <w:tcBorders>
              <w:top w:val="single" w:sz="6" w:space="0" w:color="auto"/>
              <w:left w:val="single" w:sz="6" w:space="0" w:color="auto"/>
              <w:bottom w:val="single" w:sz="6" w:space="0" w:color="auto"/>
              <w:right w:val="single" w:sz="6" w:space="0" w:color="auto"/>
            </w:tcBorders>
          </w:tcPr>
          <w:p w14:paraId="2B5EEFC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РС-132</w:t>
            </w:r>
          </w:p>
          <w:p w14:paraId="7421ABD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ACB1FD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p w14:paraId="6D90695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827302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p w14:paraId="727070C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5EA3B69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w:t>
            </w:r>
          </w:p>
          <w:p w14:paraId="499FDA1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47DFF5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p w14:paraId="40B990C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nil"/>
              <w:left w:val="single" w:sz="6" w:space="0" w:color="auto"/>
              <w:bottom w:val="nil"/>
              <w:right w:val="single" w:sz="6" w:space="0" w:color="auto"/>
            </w:tcBorders>
          </w:tcPr>
          <w:p w14:paraId="29F4433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C45B4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4FDA8E9" w14:textId="77777777" w:rsidTr="000D3BCB">
        <w:trPr>
          <w:trHeight w:val="202"/>
        </w:trPr>
        <w:tc>
          <w:tcPr>
            <w:tcW w:w="1411" w:type="dxa"/>
            <w:tcBorders>
              <w:top w:val="single" w:sz="6" w:space="0" w:color="auto"/>
              <w:left w:val="single" w:sz="6" w:space="0" w:color="auto"/>
              <w:bottom w:val="single" w:sz="6" w:space="0" w:color="auto"/>
              <w:right w:val="single" w:sz="6" w:space="0" w:color="auto"/>
            </w:tcBorders>
          </w:tcPr>
          <w:p w14:paraId="66D708B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 Як-1 с М-105:</w:t>
            </w:r>
          </w:p>
          <w:p w14:paraId="627535B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59A3E9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5F040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D2AB26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0BBB5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3F1DE35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A7ADC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3C2094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EAB0F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nil"/>
              <w:left w:val="single" w:sz="6" w:space="0" w:color="auto"/>
              <w:bottom w:val="nil"/>
              <w:right w:val="single" w:sz="6" w:space="0" w:color="auto"/>
            </w:tcBorders>
          </w:tcPr>
          <w:p w14:paraId="2793310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CD59D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C1D31EF" w14:textId="77777777" w:rsidTr="000D3BCB">
        <w:trPr>
          <w:trHeight w:val="211"/>
        </w:trPr>
        <w:tc>
          <w:tcPr>
            <w:tcW w:w="1411" w:type="dxa"/>
            <w:tcBorders>
              <w:top w:val="single" w:sz="6" w:space="0" w:color="auto"/>
              <w:left w:val="single" w:sz="6" w:space="0" w:color="auto"/>
              <w:bottom w:val="single" w:sz="6" w:space="0" w:color="auto"/>
              <w:right w:val="single" w:sz="6" w:space="0" w:color="auto"/>
            </w:tcBorders>
          </w:tcPr>
          <w:p w14:paraId="7245D7D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РС-82</w:t>
            </w:r>
          </w:p>
          <w:p w14:paraId="7C776F0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CEC85C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p w14:paraId="68D478A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A25B7A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w:t>
            </w:r>
          </w:p>
          <w:p w14:paraId="540417E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3C14D6C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w:t>
            </w:r>
          </w:p>
          <w:p w14:paraId="0680411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14D32E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12,5</w:t>
            </w:r>
          </w:p>
          <w:p w14:paraId="09A64F7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nil"/>
              <w:left w:val="single" w:sz="6" w:space="0" w:color="auto"/>
              <w:bottom w:val="nil"/>
              <w:right w:val="single" w:sz="6" w:space="0" w:color="auto"/>
            </w:tcBorders>
          </w:tcPr>
          <w:p w14:paraId="4C442F2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D1A7B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29B4388" w14:textId="77777777" w:rsidTr="000D3BCB">
        <w:trPr>
          <w:trHeight w:val="202"/>
        </w:trPr>
        <w:tc>
          <w:tcPr>
            <w:tcW w:w="1411" w:type="dxa"/>
            <w:tcBorders>
              <w:top w:val="single" w:sz="6" w:space="0" w:color="auto"/>
              <w:left w:val="single" w:sz="6" w:space="0" w:color="auto"/>
              <w:bottom w:val="single" w:sz="6" w:space="0" w:color="auto"/>
              <w:right w:val="single" w:sz="6" w:space="0" w:color="auto"/>
            </w:tcBorders>
          </w:tcPr>
          <w:p w14:paraId="07119F3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-РС-132</w:t>
            </w:r>
          </w:p>
          <w:p w14:paraId="4A16423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2F7497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w:t>
            </w:r>
          </w:p>
          <w:p w14:paraId="73CB36D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604E98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w:t>
            </w:r>
          </w:p>
          <w:p w14:paraId="157F6B5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54466C4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48</w:t>
            </w:r>
          </w:p>
          <w:p w14:paraId="2CB5DBE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7C2188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w:t>
            </w:r>
          </w:p>
          <w:p w14:paraId="4C33537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nil"/>
              <w:left w:val="single" w:sz="6" w:space="0" w:color="auto"/>
              <w:bottom w:val="single" w:sz="6" w:space="0" w:color="auto"/>
              <w:right w:val="single" w:sz="6" w:space="0" w:color="auto"/>
            </w:tcBorders>
          </w:tcPr>
          <w:p w14:paraId="68171D4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CB2D7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ADAB37D" w14:textId="77777777" w:rsidTr="000D3BCB">
        <w:trPr>
          <w:trHeight w:val="432"/>
        </w:trPr>
        <w:tc>
          <w:tcPr>
            <w:tcW w:w="1411" w:type="dxa"/>
            <w:tcBorders>
              <w:top w:val="single" w:sz="6" w:space="0" w:color="auto"/>
              <w:left w:val="single" w:sz="6" w:space="0" w:color="auto"/>
              <w:bottom w:val="single" w:sz="6" w:space="0" w:color="auto"/>
              <w:right w:val="single" w:sz="6" w:space="0" w:color="auto"/>
            </w:tcBorders>
          </w:tcPr>
          <w:p w14:paraId="797A9F6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Масса установки, кг:</w:t>
            </w:r>
          </w:p>
          <w:p w14:paraId="704335C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D73B03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3D325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8C0D1B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3AA72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7D2B9A8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D3DD3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6DAA5C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15B2F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nil"/>
              <w:right w:val="single" w:sz="6" w:space="0" w:color="auto"/>
            </w:tcBorders>
          </w:tcPr>
          <w:p w14:paraId="4480272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Ракетные орудия с пиропис-толетами</w:t>
            </w:r>
          </w:p>
          <w:p w14:paraId="036B6A5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400BC29" w14:textId="77777777" w:rsidTr="000D3BCB">
        <w:trPr>
          <w:trHeight w:val="211"/>
        </w:trPr>
        <w:tc>
          <w:tcPr>
            <w:tcW w:w="1411" w:type="dxa"/>
            <w:tcBorders>
              <w:top w:val="single" w:sz="6" w:space="0" w:color="auto"/>
              <w:left w:val="single" w:sz="6" w:space="0" w:color="auto"/>
              <w:bottom w:val="single" w:sz="6" w:space="0" w:color="auto"/>
              <w:right w:val="single" w:sz="6" w:space="0" w:color="auto"/>
            </w:tcBorders>
          </w:tcPr>
          <w:p w14:paraId="4324AB3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РС-82</w:t>
            </w:r>
          </w:p>
          <w:p w14:paraId="70C9FB0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FB1354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90</w:t>
            </w:r>
          </w:p>
          <w:p w14:paraId="1C54F17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1C0C09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48</w:t>
            </w:r>
          </w:p>
          <w:p w14:paraId="5AAA4B6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521CB99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135</w:t>
            </w:r>
          </w:p>
          <w:p w14:paraId="3308C5A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2934B7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79</w:t>
            </w:r>
          </w:p>
          <w:p w14:paraId="17C21B9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nil"/>
              <w:left w:val="single" w:sz="6" w:space="0" w:color="auto"/>
              <w:bottom w:val="nil"/>
              <w:right w:val="single" w:sz="6" w:space="0" w:color="auto"/>
            </w:tcBorders>
          </w:tcPr>
          <w:p w14:paraId="0CA985A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789BE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1049F59" w14:textId="77777777" w:rsidTr="000D3BCB">
        <w:trPr>
          <w:trHeight w:val="230"/>
        </w:trPr>
        <w:tc>
          <w:tcPr>
            <w:tcW w:w="1411" w:type="dxa"/>
            <w:tcBorders>
              <w:top w:val="single" w:sz="6" w:space="0" w:color="auto"/>
              <w:left w:val="single" w:sz="6" w:space="0" w:color="auto"/>
              <w:bottom w:val="single" w:sz="6" w:space="0" w:color="auto"/>
              <w:right w:val="single" w:sz="6" w:space="0" w:color="auto"/>
            </w:tcBorders>
          </w:tcPr>
          <w:p w14:paraId="3B3F5E4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РС-132</w:t>
            </w:r>
          </w:p>
          <w:p w14:paraId="09111E3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0C0FBF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w:t>
            </w:r>
          </w:p>
          <w:p w14:paraId="368E563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D8D899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62</w:t>
            </w:r>
          </w:p>
          <w:p w14:paraId="09E34B8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6FD466C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270</w:t>
            </w:r>
          </w:p>
          <w:p w14:paraId="4278EFF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49A856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86</w:t>
            </w:r>
          </w:p>
          <w:p w14:paraId="26FCED3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nil"/>
              <w:left w:val="single" w:sz="6" w:space="0" w:color="auto"/>
              <w:bottom w:val="single" w:sz="6" w:space="0" w:color="auto"/>
              <w:right w:val="single" w:sz="6" w:space="0" w:color="auto"/>
            </w:tcBorders>
          </w:tcPr>
          <w:p w14:paraId="5024B87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C649A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9621A0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 пусть эти цифры не вводят в заблуждение доверчивого обывателя - варианты оснащения машин восьмью или даже шестью РС-132 — это всего лишь теоретические расчеты для сравнения. Хотя, разместить по два или по четыре та</w:t>
      </w:r>
      <w:r w:rsidRPr="00640820">
        <w:rPr>
          <w:rFonts w:ascii="Times New Roman" w:hAnsi="Times New Roman"/>
          <w:color w:val="000000" w:themeColor="text1"/>
          <w:sz w:val="16"/>
          <w:szCs w:val="16"/>
        </w:rPr>
        <w:softHyphen/>
        <w:t>ких снаряда было вполне реально. Даже, несмотря на деревянные консо</w:t>
      </w:r>
      <w:r w:rsidRPr="00640820">
        <w:rPr>
          <w:rFonts w:ascii="Times New Roman" w:hAnsi="Times New Roman"/>
          <w:color w:val="000000" w:themeColor="text1"/>
          <w:sz w:val="16"/>
          <w:szCs w:val="16"/>
        </w:rPr>
        <w:softHyphen/>
        <w:t>ли крыла (11402).</w:t>
      </w:r>
    </w:p>
    <w:p w14:paraId="238E8DB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DE636B"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2498C87B"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44FCA8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сентября 1941 нарком вооружений Дмитрий Устинов подписал распоряжение об изготовлении батареи орудий ЗИС-3 для войсковых испытаний, а затем 5 декабря Госкомитет обороны приказал остановить производство 57-мм противотанковых орудий и перейти на выпуск 76-мм пушек. Первые серийные ЗИС-3 фактически представляли собой ЗИС-2, для которых не было годных 57-мм стволов. Вместо них ставились стволы от Ф-22УСВ с дульным тормозом. Орудия поступили на фронт в конце 1941 г. [84 — Мальгинов В. Такие разные ЗИС-3.// М-хобби, № 9 (75), 2006, с. 34–35.] И только потом Грабин сумел убедить Сталина разрешить-таки производство ранее завернутой военными ЗИС-3. Так появился привычный вариант этой пушки. Вопреки распространенному мнению, орудие ЗИС-3 отнюдь не являлось «шедевром в проектировании артиллерийских систем», а, наоборот, уступало по тактико-техническим характеристикам даже своим предшественницам. [85 — Мальгинов В. Против танков.// М-хобби, № 2 (68), 2006, с. 28–30.] Да и внешний вид у нее был довольно неказистый. Но война есть война, времени на поиски и эксперименты больше не было. Да и альтернативы у пушки ЗИС-3, «благодаря» бурной деятельности товарища Грабина, у страны не было. Но главный итог деятельности артиллерийских заводов СССР в 30-е годы состоял в том, что в 1941 г. Красная Армия осталась без полноценных противотанковых орудий. Бронебойный снаряд 45-мм пушки 53-К весил всего 1,4 кг. Поэтому броню он пробивал только при качественном изготовлении, чего и в помине не было. Что касается 76мм пушек, которые практически монополизировало КБ Грабина, то ни одну из них нельзя в полной мере назвать противотанковой (11741).</w:t>
      </w:r>
    </w:p>
    <w:p w14:paraId="5419B7E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81BB85" w14:textId="77777777" w:rsidR="003733B8" w:rsidRPr="00640820" w:rsidRDefault="003733B8" w:rsidP="00640820">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640820">
        <w:rPr>
          <w:rFonts w:ascii="Times New Roman" w:eastAsia="Times New Roman" w:hAnsi="Times New Roman"/>
          <w:color w:val="0070C0"/>
          <w:sz w:val="16"/>
          <w:szCs w:val="16"/>
          <w:lang w:eastAsia="ru-RU"/>
        </w:rPr>
        <w:t>17 сентября 1941 Артком ГАУ КА, рассмотрев результаты испытаний на Гороховецком АНИОП (точнее, на его филиале в Мулино) опытного образца ЗИС-5 в танке КВ-1, постановил принять ЗИС-5 на вооружение Красной Армии как как «76-мм танковую пушку обр.1941 года», индекс ГАУ 52-ПТ-354В. В журнале от завода №92 потребовали внести исправление в конструкцию орудия. Но на самом деле принятое на вооружение орудие с длиной ствола 50,8 калибров так и не пошло в серию. Каких-то особых преимуществ вариант со стволом от Ф-22 не имел, на организацию выпуска данных стволов требовалось время, а вот оно как раз и вышло. Согласно имеющимся документам, к 1 сентября 1941 года на ЧТЗ имелось всего 13 орудий Ф-32. Медлить было уже нельзя. Поэтому уже во второй половине сентября 1941 года на заводе №92 начался выпуск ЗИС-5 со стволами Ф-34. Как бы не хотелось сделать что-то более мощное, нежели Ф-34, но иных вариантов попросту не осталось. Первые 17 пушек ЗИС-5 прибыло на ЧТЗ в самом конце сентября 1941 года, а полноценное производство началось уже в октябре. При этом в НКТП решили подстраховаться, что привело к созданию орудия У-11, которое достойно отдельного повествования (2-272).</w:t>
      </w:r>
    </w:p>
    <w:p w14:paraId="7603C145" w14:textId="77777777" w:rsidR="003733B8" w:rsidRPr="00640820" w:rsidRDefault="003733B8" w:rsidP="00640820">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p>
    <w:p w14:paraId="79B19D8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сентября 1941 согласно постановлению СНК СССР от 12 сентября № 667с завод № 183 начал эвакуацию в Н.Тагил на территорию Уралвагонзавода (УВЗ). Последний состав от</w:t>
      </w:r>
      <w:r w:rsidRPr="00640820">
        <w:rPr>
          <w:rFonts w:ascii="Times New Roman" w:hAnsi="Times New Roman"/>
          <w:color w:val="000000" w:themeColor="text1"/>
          <w:sz w:val="16"/>
          <w:szCs w:val="16"/>
        </w:rPr>
        <w:softHyphen/>
        <w:t>правился на Урал 19 октября, и этот день считается днем ее окончания. Но основная масса грузов и оборудования при</w:t>
      </w:r>
      <w:r w:rsidRPr="00640820">
        <w:rPr>
          <w:rFonts w:ascii="Times New Roman" w:hAnsi="Times New Roman"/>
          <w:color w:val="000000" w:themeColor="text1"/>
          <w:sz w:val="16"/>
          <w:szCs w:val="16"/>
        </w:rPr>
        <w:softHyphen/>
        <w:t>были на место назначения только 27 ноября - 1 декабря (10782).</w:t>
      </w:r>
    </w:p>
    <w:p w14:paraId="2DF4C7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2930E1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сентября 1941 года вышел приказ № 11с НКТП</w:t>
      </w:r>
    </w:p>
    <w:p w14:paraId="7E90675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исполнение постановления ГКО от 16 сентября 1941 года об эвакуации Харьковского тракторного завода:</w:t>
      </w:r>
    </w:p>
    <w:p w14:paraId="04DA40E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Директору ХТЗ немедленно приступить к эвакуации оборудования и кадров ХТЗ на площади СТЗ, завода № 264, Чкаловского паровозно-ремонтного завода, Уралвагонзавода и Саратовского вагоноремонтного завода (6032, 26).</w:t>
      </w:r>
    </w:p>
    <w:p w14:paraId="43F91AA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80B4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сентября 1941 вышел приказ НКТП № 11сс, в которых определялся порядок эвакуации Харьковского тракторного завода. Приказы фактически содержал план проведения эвакуации завода.</w:t>
      </w:r>
    </w:p>
    <w:p w14:paraId="52970D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бумаге все выглядит очень хорошо. Предприятия должны были быть эвакуированы в следующие пункты: завод № 183 - на Уральский вагоностроительный завод в городе Нижний Тагил, один из крупнейших заводов Урала, построенных в 30-е годы. На этом заводе имелись большие свободные площади, на которые до сих пор не было установлено оборудование ( из-за этого завод так и не вышел на проектируемую мощность производства ), а также развитое металлургическое производство. Впоследствии Уральский вагоностроительный завод ( в годы войны он обычно тоже назывался № 183, как и завод в Харькове ) стал крупнейшим танковым заводом мира, как по территории завода, которая, как оказалось, была сопоставима с крупным городом, так и по объёмам производства, и даже вошёл в книгу рекордов Гиннеса как крупнейший военный завод. Мариупольский завод имени Ильича должен был быть разделён на две части. Большая часть должна была войти в состав завода № 183 в Нижнем Тагиле, а другая, состоящая из оборудования и рабочих, занятых производством бронелиста – на Нижнетагильский Металлургический завод. Завод № 75 должен был быть эвакуирован на Челябинский тракторный завод, туда же, куда уже эвакуировался Кировский завод из Ленинграда, и войти там в его состав. ХТЗ должен был разделить своё оборудование между пятью заводами: тем же № 183, Сталинградским тракторным, № 264, тоже находившимся в Сталинграде, Чкаловским паровозоремонтным и Саратовским паровозоремонтным. С точки зрения размещения эвакуируемых предприятий план был отличным. Очень важно было то, что в </w:t>
      </w:r>
      <w:r w:rsidRPr="00640820">
        <w:rPr>
          <w:rFonts w:ascii="Times New Roman" w:hAnsi="Times New Roman"/>
          <w:color w:val="000000" w:themeColor="text1"/>
          <w:sz w:val="16"/>
          <w:szCs w:val="16"/>
        </w:rPr>
        <w:lastRenderedPageBreak/>
        <w:t>качестве базы для развёртывания производства на новом месте можно было использовать уже существующие предприятия, имеющие собственную развитую производственную базу, запасы сырья, собственный жилой фонд, подсобные хозяйства и т. д.. Выбор Уралвагонзавода как предприятия, на которое должен был быть эвакуирован завод № 183, тоже был очень удачным и способствовал успешной деятельности этого крупнейшего танкового завода. ХТЗ, как предприятие, не имеющее собственных традиций танкостроения, было ценно не как единый комплекс, а прежде всего своим оборудованием. Ликвидация завода и распределение этого оборудования по нескольким предприятиям позволяло более эффективно его использовать. Так же разумным следует признать разделение на две части Мариупольского завода. Производство бронекорпусов было действительно выгоднее передать танковому заводу, а металлургическое оборудование лучше было бы использовано на Нижнетагильском металлургическом заводе.</w:t>
      </w:r>
    </w:p>
    <w:p w14:paraId="07FBEE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Предполагалось провести эвакуацию в два этапа. Всё оборудование и кадры должны были быть разделены на две группы, каждая из которых должна была включать 50% действующего оборудования, занятого на производстве танков и деталей к ним, и соответствующее количество ИТР. На первом этапе, начать который предполагалось немедленно, должна была быть эвакуирована первая группа. Первый этап должен был завершиться на Мариупольском заводе имени Ильича к 10 октября, на заводе № 75 – 25 октября, на Харьковском Тракторном заводе – 27 октября, а на Харьковском Паровозостроительном заводе, он же № 183 – 10 ноября. Эвакуация второй группы должна была начаться только после того, как первая группа наладит на новом месте производство. Таким образом, процесс выпуска военной продукции не должен был быть прерван. Было установлено, что завод № 183 должен будет в ходе первого периода эвакуации производить не менее 7 танков в день, а Мариупольский завод имени Ильича – обеспечить для завода № 183 необходимое для такого объёма производства количество бронекорпусов и башен.</w:t>
      </w:r>
    </w:p>
    <w:p w14:paraId="66E7E1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Определёно количество и тип требующихся для проведения эвакуации вагонов. Их требовалось для проведения эвакуации немало. Так, Харьковский Паровозостроительный завод должен был получить для проведения обоих этапов эвакуации 3000 вагонов ( в стандартном двухосном исчислении ), в том числе 900 – для людей. Харьковский тракторный должен был получить для проведения эвакуации 3000 вагонов, в том числе и 1000 вагонов для людей. Завод № 75 должен был получить1650 вагонов, в том числе 480 вагонов для людей. Больше всего вагонов должен был получить Мариупольский завод имени Ильича. Ему должны были предоставить 6200 стандартных вагонов в двухосном исчислении, 220 50-ти тонных вагонов и 20 транспортёров. Всего для четырёх заводов требовалось 14090 вагонов всех типов. Постановления ГКО № 666 и № 667 обязывали НКПС выделить это количество вагонов для эвакуации предприятий НКТП. Транспортный отдел НКТП и его начальник Иванов получили указание обеспечить получение требуемых вагонов от НКПС. Впрочем, это огромное число вагонов вряд ли могло быть полностью получено в действительности.</w:t>
      </w:r>
    </w:p>
    <w:p w14:paraId="68B588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Особое внимание в приказах уделено проблеме обустройства на новом месте. Заводы должны были выслать на новые места своего расположения группы специалистов во главе с главными инженерами и провести там подготовительную работу. Заранее было определено, что на Уралвагонзаводе, куда эвакуировался завод № 183, потребуется ещё две дополнительные мартеновские печи, которые директор завода должен построить к 1 декабря, так же как и фундамент под прокатный стан. Внимание было уделено не только организации производства на новом месте, но и созданию приемлемых условий быта рабочих. В частности, для будущих новых рабочих Уралвагонзавода, прибывающих в ходе эвакуации, предусматривалось построить деревянные дома на 40.000 человек. Строительство домов должно было быть завершено к 1 января 1942 года. Помимо этого, руководство партийной организации Свердловской и Челябинской областей должно было выделить жилой фонд в городе Нижний Тагил для эвакуированных сотрудников заводов наркомата. Для строительства должны были быть выделены необходимые материалы, в том числе Наркомлеспром был обязан предоставить 8000 вагонов леса.</w:t>
      </w:r>
    </w:p>
    <w:p w14:paraId="173366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Устанавливалась система контроля за проведением эвакуации. Директора заводов обязаны были ежедневно докладывать о ходе мероприятий по эвакуации, в том числе о количестве отгруженного оборудования, номерах и маршрутах поездов, их местоположении. Помимо этого, разумеется, на заводах были уполномоченные по эвакуации от НКТП, также как, разумеется, от ГКО и комитета по эвакуации, выполнявшие функции контроля.</w:t>
      </w:r>
    </w:p>
    <w:p w14:paraId="29DFC0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 эвакуации, изложенный в приказах, неплохо продуман, если мы учтем ту ситуацию цейтнота, в которой он создавался. Сами приказы представляют собой великолепные образцы методики, характерной для советской системы управления. Продуманы конкретные мероприятия, назначены ответственные за их осуществление, приняты решения о выделении необходимых средств. Приказы написаны четким лаконичным языком, задачи поставлены предельно ясно и понятно. Казалось бы, предусмотрено всё, от числа требуемых вагонов до числа домов для рабочих, которые необходимо построить. Предусмотрено и то, что эвакуация не должна прервать поставки военной техники армии. Я так много внимания уделил этим приказам и их анализу для того, чтобы показать, что во всём том, что произошло впоследствии, виновата не чья-то нераспорядительность или непредусмотрительность, все основные трудности были предвидены заранее, была сделана попытка подготовить их преодоление, но всё же объективные условия были слишком неблагоприятны.</w:t>
      </w:r>
    </w:p>
    <w:p w14:paraId="07F4EA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Как показали последующие события, планы, изложенные в приказах, выполнены не были, и, видимо, были невыполнимы вообще. Самым большим затруднением была нехватка времени. Танковой промышленности ещё сильно повезло в том, что немцы недостаточно оценили стратегическую важность захвата Харькова, направив главный удар группы армий Юг южнее, на Ростов. Для наступления на Харьков, впрочем, была выделена достаточно сильная 6-я армия. Советские войска упорно защищали Харьков. Советское командование понимало важность этого города, и много сделало для его защиты. Поэтому Харьков пал только 25 октября. Последний же эшелон с оборудованием завода № 183 покинул его 19 октября.</w:t>
      </w:r>
    </w:p>
    <w:p w14:paraId="59D791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Видимо, к началу октября опасность, нависшая над Харьковом, стала восприниматься советским руководством более реально. 4 октября выходит постановление ГКО, вносившее изменение в порядок эвакуации заводов № 75, № 183, ХТЗ и Мариупольского завода имени Ильича. 7 октября в соответствии с этим постановлением появился приказ наркома танковой промышленности Малышева В. А. № 53сс. Новые решения фактически отменяли двухэшелонный порядок эвакуации. Теперь эвакуировать следовало всё и при этом как можно быстрее. Срок был назван фантастически короткий, и поэтому невыполнимый – 15 октября, то есть, считая с днём появления приказа – 9 суток. Приказом был назначен срок начала производства танков на новом месте – 1 ноября. Эвакуации заводов НКТП из Харькова уделялось особое внимание, о чём свидетельствует то, что личный контроль за её осуществлением должен был осуществлять председатель комитета по эвакуации Шверник Н. М.. От НКТП в Харьков контролировать ход эвакуации был послан заместитель наркома Зернов. Нарком путей сообщения Л. М. Каганович должен был обеспечить подачу необходимого количества вагонов ( при этом точное число вагонов не указывалось, возможно, следовало исходить из того, сколько НКПС вообще сможет предоставить за такой короткий срок ). Начальник Главснаба НКТП Розин должен был обеспечить своевременное получение вагонов от НКПС. То, что на этот раз данная важная задача была доверена начальнику Главснаба, а не начальнику транспортного отдела, который должен был бы этим заниматься по своим служебным обязанностям, показывает, что перед этим с получением вагонов у НКТП возникали большие проблемы (11510).</w:t>
      </w:r>
    </w:p>
    <w:p w14:paraId="3E06BF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3EDF330" w14:textId="77777777" w:rsidR="0095335E" w:rsidRPr="00640820" w:rsidRDefault="0095335E"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17 сентября 1941</w:t>
      </w:r>
    </w:p>
    <w:p w14:paraId="7A972FCE"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кс. 17.IX. 14173 </w:t>
      </w:r>
    </w:p>
    <w:p w14:paraId="1511FAF5"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Экстренно. </w:t>
      </w:r>
    </w:p>
    <w:p w14:paraId="6DD54C10"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Сов.секретно. </w:t>
      </w:r>
    </w:p>
    <w:p w14:paraId="2AD3F175"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ПРИКАЗ</w:t>
      </w:r>
    </w:p>
    <w:p w14:paraId="1FE2E1DC"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НАРОДНОГО КОМИССАРА ТАНКОВОЙ ПРОМЫШЛЕННОСТИ СОЮЗА ССР</w:t>
      </w:r>
    </w:p>
    <w:p w14:paraId="5DFF6BEB"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11с</w:t>
      </w:r>
    </w:p>
    <w:p w14:paraId="2ADBFCA6"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г. Москва </w:t>
      </w:r>
    </w:p>
    <w:p w14:paraId="547843D2"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17 сентября 1941 г.</w:t>
      </w:r>
    </w:p>
    <w:p w14:paraId="24CEAF20"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Во исполнение постановления Государственного Комитета Обороны от 16 сентября 1941 г. об эвакуации Харьковского тракторного завода – ПРИКАЗЫВАЮ: </w:t>
      </w:r>
    </w:p>
    <w:p w14:paraId="28211E51"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1. Директору ХТЗ т. ПАРФЕНОВУ немедленно приступить к эвакуации оборудования и кадров ХТЗ на площади СТЗ, завода № 264, Чкаловского паровозо-ремонтного завода, Уралвагонзавода и Саратовского вагоно-ремонтного завода. </w:t>
      </w:r>
    </w:p>
    <w:p w14:paraId="1994CC0A"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2. Установить следующий порядок эвакуации: </w:t>
      </w:r>
    </w:p>
    <w:p w14:paraId="7C646176"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I очередь – эвакуацию закончить к 27.IX - с.г. </w:t>
      </w:r>
    </w:p>
    <w:p w14:paraId="31FBF729"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а) Инструментальный цех на площади СТЗ. </w:t>
      </w:r>
    </w:p>
    <w:p w14:paraId="2A45AD26"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б) Холодно-прессовый цех на площади холодно-прессового цеха СТЗ. </w:t>
      </w:r>
    </w:p>
    <w:p w14:paraId="4E1048B2"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в) Все станочное оборудование, занятое на производстве танков Т-60 на площади завода № 264 – г. Сталинград. </w:t>
      </w:r>
    </w:p>
    <w:p w14:paraId="61C1AFDA"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г) Турбину 6000 киловатт, которая находится в ремонте, комплектно с электрооборудованием и котлом на СТЗ. </w:t>
      </w:r>
    </w:p>
    <w:p w14:paraId="5E841A35"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д) Первую очередь кузнечно-прессового цеха в количестве 25 единиц на площади заготовительного пролета кузнечного цеха СТЗ (см. приложение № 1). </w:t>
      </w:r>
    </w:p>
    <w:p w14:paraId="0CEE3F32"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II очередь – немедленно по окончании эвакуации I очереди. </w:t>
      </w:r>
    </w:p>
    <w:p w14:paraId="2AFB0FC5"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е) Остальное станочное оборудование тракторно-моторного производства и мастерская кузнечных штампов на площади СТЗ. </w:t>
      </w:r>
    </w:p>
    <w:p w14:paraId="7C98D1A7"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ж) Два легких штамповочных молота с обрезными прессами на завод № 264 (см. приложение № 1). </w:t>
      </w:r>
    </w:p>
    <w:p w14:paraId="0DAFF2C0"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з) Четыре штамповочных молота с прессами на Чкаловский паровозо-ремонтный завод (см. приложение № 1). </w:t>
      </w:r>
    </w:p>
    <w:p w14:paraId="320065A0"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и) Остальное оборудование кузнечно-прессового цеха – на Уралвагонзавод в Н. Тагил (см. приложение № 1). </w:t>
      </w:r>
    </w:p>
    <w:p w14:paraId="5447759A"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Все кузнечно-прессовое оборудование эвакуировать комплектно с действующими и запасными шаботами и печным хозяйством. </w:t>
      </w:r>
    </w:p>
    <w:p w14:paraId="547783EA"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к) Сталелитейное оборудование с двумя электропечами на СТЗ, одну электропечь на Чкаловский паровозо-ремонтный завод, одну электропечь на Саратовский вагоно-ремонтный завод, одну электропечь на ЧТЗ, остальные печи на Уралвагонзавод. </w:t>
      </w:r>
    </w:p>
    <w:p w14:paraId="080C823A"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л) Чугуно-литейный цех на СТЗ. </w:t>
      </w:r>
    </w:p>
    <w:p w14:paraId="62EC92DB"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lastRenderedPageBreak/>
        <w:t xml:space="preserve">м) Металлоконструкции второй половины механо-сборочного корпуса М-3 на СТЗ. </w:t>
      </w:r>
    </w:p>
    <w:p w14:paraId="28CAC6B5"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н) Все оборудование отгружать комплектно с электрооборудованием. </w:t>
      </w:r>
    </w:p>
    <w:p w14:paraId="0635DDDB"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о) Производство боеприпасов эвакуировать в последнюю очередь на СТЗ. </w:t>
      </w:r>
    </w:p>
    <w:p w14:paraId="5B8CD4B4"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п) Все оборудование ТЭЦ на СТЗ. </w:t>
      </w:r>
    </w:p>
    <w:p w14:paraId="44C8D56E"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р) Материалы, цветные металлы, кабельные изделия и полуфабрикаты эвакуировать на СТЗ. </w:t>
      </w:r>
    </w:p>
    <w:p w14:paraId="67B0C735"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 Рабочие, ИТР и их семьи эвакуируются вместе с оборудованием, на котором они работали. </w:t>
      </w:r>
    </w:p>
    <w:p w14:paraId="03D72BD3"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3. Обязать директора ХТЗ т. ПАРФЕНОВА и директора завода № 264 т. ЩЕРБИНУ обеспечить выпуск танков Т-60 в октябре 50 шт. в ноябре 100 штук и в декабре 300 штук. </w:t>
      </w:r>
    </w:p>
    <w:p w14:paraId="70B902E2"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4. Обязать директора СТЗ тов. ДУЛЬКИНА: </w:t>
      </w:r>
    </w:p>
    <w:p w14:paraId="04B09204"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а) Немедленно приступить к подготовке площадей для размещения оборудования и по мере его поступления производить срочный монтаж и пуск в эксплоатацию. </w:t>
      </w:r>
    </w:p>
    <w:p w14:paraId="04DE44F3"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б) Обеспечивать полную потребность завода № 264 вместе с танковым цехом ХТЗ и частичную потребность Уралтурбозавода в инструментарии и средствах производства. </w:t>
      </w:r>
    </w:p>
    <w:p w14:paraId="5E07D92B"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в) Обеспечивать полную потребность завода № 264 вместе с танковым цехом ХТЗ в литье, штамповках, заготовках и деталях холодной штамповки. </w:t>
      </w:r>
    </w:p>
    <w:p w14:paraId="6E233DFB"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5. Начальнику Главснаба т. Розину обеспечить через НКПС подачу вагонов для эвакуации ХТЗ в количестве всего – 3000 вагонов, в том числе для I очереди – 1500 вагонов. Из них людских – всего 1000 вагонов, в том числе для I-й очереди – 400 вагонов. </w:t>
      </w:r>
    </w:p>
    <w:p w14:paraId="590DAD95"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6. Директору ХТЗ тов. ПАРФЕНОВУ эвакуировать приготовленные для бронирования трактора, вооружение, броню и др. изделия на СТЗ и завод № 264, а директорам заводов СТЗ и № 264 т.т. ДУЛЬКИНУ и ЩЕРБИНЕ обеспечить бронирование тракторов в сентябре 300 шт. и в октябре – 800 шт. поровну. </w:t>
      </w:r>
    </w:p>
    <w:p w14:paraId="7CC92071"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7. Директору ХТЗ – т. ПАРФЕНОВУ: </w:t>
      </w:r>
    </w:p>
    <w:p w14:paraId="4AEE7DCB"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а) Немедленно командировать в Сталинград т. Толмачева с группой ИТР для проведения подготовительных работ по размещению и приему оборудования. </w:t>
      </w:r>
    </w:p>
    <w:p w14:paraId="3A5CC092"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б) Ежедневно телеграфно сообщать мне о ходе отгрузки оборудования, продвижения маршрутов и их номера. </w:t>
      </w:r>
    </w:p>
    <w:p w14:paraId="13546321"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8. Уполномоченным Наркомтанкпрома по эвакуации заводов № 75, № 183 и ХТЗ назначить ЗЕРНОВА П.М. </w:t>
      </w:r>
    </w:p>
    <w:p w14:paraId="276BA469"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9. Уполномоченным Наркомтанкпрома по организации в Сталинграде эвакуированного производства Харьковского тракторного завода назначить тов. ГОРЕГЛЯД А.А. </w:t>
      </w:r>
    </w:p>
    <w:p w14:paraId="678F0531"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НАРОДНЫЙ КОМИССАР ТАНКОВОЙ ПРОМЫШЛЕННОСТИ СССР</w:t>
      </w:r>
    </w:p>
    <w:p w14:paraId="74C719B7"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подпись (В. МАЛЫШЕВ)</w:t>
      </w:r>
    </w:p>
    <w:p w14:paraId="1532776C"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Отп. 1 экз. </w:t>
      </w:r>
    </w:p>
    <w:p w14:paraId="4C1C1A1D"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bCs/>
          <w:iCs/>
          <w:color w:val="000000" w:themeColor="text1"/>
          <w:sz w:val="16"/>
          <w:szCs w:val="16"/>
          <w:lang w:eastAsia="ru-RU"/>
        </w:rPr>
        <w:t>РГАЭ Фонд 8752 Опись 4 Дело 2 лист 24 – 26 (17528).</w:t>
      </w:r>
    </w:p>
    <w:p w14:paraId="6D22A6FF"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p>
    <w:p w14:paraId="656D6405" w14:textId="77777777" w:rsidR="0095335E" w:rsidRPr="00640820" w:rsidRDefault="0095335E"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17 сентября началась эвакуация ХТЗ, частично его оборудование удалось перевезти в пригород Сталинграда Красноармейск. История выпускавшихся там, на заводе №264, танков Т-60 достойна отдельного повествования. Что же касается харьковских Т-60, то их судьба не ясна. 2 танка получил 71-й отдельный танковый батальон, куда попали остальные, неизвестно (17659).</w:t>
      </w:r>
    </w:p>
    <w:p w14:paraId="30A2F680"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p>
    <w:p w14:paraId="76D74871" w14:textId="77777777" w:rsidR="0095335E" w:rsidRPr="00640820" w:rsidRDefault="0095335E"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17 сентября 1941 началась эвакуация Харьковского тракторного завода, который в тот момент производил бронетракторы </w:t>
      </w:r>
      <w:hyperlink r:id="rId12" w:history="1">
        <w:r w:rsidRPr="00640820">
          <w:rPr>
            <w:rFonts w:ascii="Times New Roman" w:eastAsia="Times New Roman" w:hAnsi="Times New Roman"/>
            <w:color w:val="000000" w:themeColor="text1"/>
            <w:sz w:val="16"/>
            <w:szCs w:val="16"/>
            <w:lang w:eastAsia="ru-RU"/>
          </w:rPr>
          <w:t>ХТЗ-16</w:t>
        </w:r>
      </w:hyperlink>
      <w:r w:rsidRPr="00640820">
        <w:rPr>
          <w:rFonts w:ascii="Times New Roman" w:eastAsia="Times New Roman" w:hAnsi="Times New Roman"/>
          <w:color w:val="000000" w:themeColor="text1"/>
          <w:sz w:val="16"/>
          <w:szCs w:val="16"/>
          <w:lang w:eastAsia="ru-RU"/>
        </w:rPr>
        <w:t xml:space="preserve"> и разворачивал выпуск малых танков </w:t>
      </w:r>
      <w:hyperlink r:id="rId13" w:history="1">
        <w:r w:rsidRPr="00640820">
          <w:rPr>
            <w:rFonts w:ascii="Times New Roman" w:eastAsia="Times New Roman" w:hAnsi="Times New Roman"/>
            <w:color w:val="000000" w:themeColor="text1"/>
            <w:sz w:val="16"/>
            <w:szCs w:val="16"/>
            <w:lang w:eastAsia="ru-RU"/>
          </w:rPr>
          <w:t>Т-60</w:t>
        </w:r>
      </w:hyperlink>
      <w:r w:rsidRPr="00640820">
        <w:rPr>
          <w:rFonts w:ascii="Times New Roman" w:eastAsia="Times New Roman" w:hAnsi="Times New Roman"/>
          <w:color w:val="000000" w:themeColor="text1"/>
          <w:sz w:val="16"/>
          <w:szCs w:val="16"/>
          <w:lang w:eastAsia="ru-RU"/>
        </w:rPr>
        <w:t>. Часть заводских эшелонов немцы смогли перехватить, часть оказалась на Алтае в городе Рубцовске, где был организован Алтайский тракторный завод. Остальное оборудование и рабочие ХТЗ оказались в Сталинграде.</w:t>
      </w:r>
    </w:p>
    <w:p w14:paraId="3C02FCE1" w14:textId="77777777" w:rsidR="0095335E" w:rsidRPr="00640820" w:rsidRDefault="0095335E"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Встречается информация, согласно которой эвакуация ХТЗ стала причиной выпуска бронетракторов, аналогичных ХТЗ-16, на СТЗ, но это не соответствует действительности. На предложение инженеров завода № 264 Красильщикова и Немчинского делать похожую машину с использованием шасси СТЗ-5 был получен резко отрицательный ответ. Вместо этого предлагалось выпускать Т-60. Ответ был датирован 5 сентября 1941 года, и мало кто тогда мог подумать, что меньше чем через месяц это предложение превратится в задание.</w:t>
      </w:r>
    </w:p>
    <w:p w14:paraId="59AC17E2" w14:textId="77777777" w:rsidR="0095335E" w:rsidRPr="00640820" w:rsidRDefault="0095335E"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Прибывшие из Харькова эшелоны стали разгружать в недостроенные корпуса, в которых ещё не было отопления, складских и бытовых помещений. Октябрь и ноябрь ушли на организацию производственного процесса. Вместе с производством в Красноармейске оказалось и конструкторское бюро ХТЗ. Можно сказать, что на территории одного завода теперь находились два предприятия. Некоторое время даже на заводской документации по Т-60, который было решено выпускать в пригороде Сталинграда, красовались штампы ХТЗ. Главным конструктором образованного на заводе № 264 ОКБ стал инженер Фролов (17677).</w:t>
      </w:r>
    </w:p>
    <w:p w14:paraId="3A1D1244"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p>
    <w:p w14:paraId="08529A64"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17 сентября 1941</w:t>
      </w:r>
    </w:p>
    <w:p w14:paraId="63F9A014"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нн. 17.IX. 14173 </w:t>
      </w:r>
    </w:p>
    <w:p w14:paraId="7A7F107B"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Секретно. </w:t>
      </w:r>
    </w:p>
    <w:p w14:paraId="77A82A21"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Приложение № 1 к приказу НКТП № ___ от ____ 1941 г.</w:t>
      </w:r>
    </w:p>
    <w:p w14:paraId="0965201D"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ВЕДОМОСТЬ</w:t>
      </w:r>
    </w:p>
    <w:p w14:paraId="078DB036"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оборудования кузнечного цеха ХТЗ, подлежащего эвакуации на заводы.</w:t>
      </w:r>
    </w:p>
    <w:p w14:paraId="61ADB985" w14:textId="77777777" w:rsidR="0095335E" w:rsidRPr="00640820" w:rsidRDefault="0095335E" w:rsidP="00640820">
      <w:pPr>
        <w:spacing w:after="0" w:line="240" w:lineRule="auto"/>
        <w:jc w:val="both"/>
        <w:rPr>
          <w:rFonts w:ascii="Times New Roman" w:eastAsia="Times New Roman" w:hAnsi="Times New Roman"/>
          <w:bCs/>
          <w:iCs/>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Отп. 1 экз</w:t>
      </w:r>
    </w:p>
    <w:p w14:paraId="60B2FC1B" w14:textId="77777777" w:rsidR="0095335E" w:rsidRPr="00640820" w:rsidRDefault="0095335E"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bCs/>
          <w:iCs/>
          <w:color w:val="000000" w:themeColor="text1"/>
          <w:sz w:val="16"/>
          <w:szCs w:val="16"/>
          <w:lang w:eastAsia="ru-RU"/>
        </w:rPr>
        <w:t>РГАЭ Фонд 8752 Опись 4 Дело 2 лист 23 (17628).</w:t>
      </w:r>
    </w:p>
    <w:p w14:paraId="4D7E7B03" w14:textId="77777777" w:rsidR="0095335E" w:rsidRPr="00640820" w:rsidRDefault="0095335E" w:rsidP="00640820">
      <w:pPr>
        <w:spacing w:after="0" w:line="240" w:lineRule="auto"/>
        <w:jc w:val="both"/>
        <w:rPr>
          <w:rFonts w:ascii="Times New Roman" w:eastAsia="Times New Roman" w:hAnsi="Times New Roman"/>
          <w:bCs/>
          <w:iCs/>
          <w:color w:val="000000" w:themeColor="text1"/>
          <w:sz w:val="16"/>
          <w:szCs w:val="16"/>
          <w:lang w:eastAsia="ru-RU"/>
        </w:rPr>
      </w:pPr>
    </w:p>
    <w:p w14:paraId="08420ED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сентября 1941 башня СТЗ была признана кондиционной и послужила эталоном для освоения в серии. Главные изменения в конструкции башни были анало</w:t>
      </w:r>
      <w:r w:rsidRPr="00640820">
        <w:rPr>
          <w:rFonts w:ascii="Times New Roman" w:hAnsi="Times New Roman"/>
          <w:color w:val="000000" w:themeColor="text1"/>
          <w:sz w:val="16"/>
          <w:szCs w:val="16"/>
        </w:rPr>
        <w:softHyphen/>
        <w:t>гичны изменениям в корпусе. Термообработка была сокра</w:t>
      </w:r>
      <w:r w:rsidRPr="00640820">
        <w:rPr>
          <w:rFonts w:ascii="Times New Roman" w:hAnsi="Times New Roman"/>
          <w:color w:val="000000" w:themeColor="text1"/>
          <w:sz w:val="16"/>
          <w:szCs w:val="16"/>
        </w:rPr>
        <w:softHyphen/>
        <w:t>щена полностью аналогично корпусным деталям. Сварка башни осуществлялась из листов сырой брони с последую</w:t>
      </w:r>
      <w:r w:rsidRPr="00640820">
        <w:rPr>
          <w:rFonts w:ascii="Times New Roman" w:hAnsi="Times New Roman"/>
          <w:color w:val="000000" w:themeColor="text1"/>
          <w:sz w:val="16"/>
          <w:szCs w:val="16"/>
        </w:rPr>
        <w:softHyphen/>
        <w:t>щей закалкой ее уже в собранном виде. При этом совершен</w:t>
      </w:r>
      <w:r w:rsidRPr="00640820">
        <w:rPr>
          <w:rFonts w:ascii="Times New Roman" w:hAnsi="Times New Roman"/>
          <w:color w:val="000000" w:themeColor="text1"/>
          <w:sz w:val="16"/>
          <w:szCs w:val="16"/>
        </w:rPr>
        <w:softHyphen/>
        <w:t>но отпала необходимость правки деталей после первой за</w:t>
      </w:r>
      <w:r w:rsidRPr="00640820">
        <w:rPr>
          <w:rFonts w:ascii="Times New Roman" w:hAnsi="Times New Roman"/>
          <w:color w:val="000000" w:themeColor="text1"/>
          <w:sz w:val="16"/>
          <w:szCs w:val="16"/>
        </w:rPr>
        <w:softHyphen/>
        <w:t>калки (время, затрачиваемое на правку деталей башни, со</w:t>
      </w:r>
      <w:r w:rsidRPr="00640820">
        <w:rPr>
          <w:rFonts w:ascii="Times New Roman" w:hAnsi="Times New Roman"/>
          <w:color w:val="000000" w:themeColor="text1"/>
          <w:sz w:val="16"/>
          <w:szCs w:val="16"/>
        </w:rPr>
        <w:softHyphen/>
        <w:t>ставляло 27,6—27,9 часа), а дополнительное исключение вы</w:t>
      </w:r>
      <w:r w:rsidRPr="00640820">
        <w:rPr>
          <w:rFonts w:ascii="Times New Roman" w:hAnsi="Times New Roman"/>
          <w:color w:val="000000" w:themeColor="text1"/>
          <w:sz w:val="16"/>
          <w:szCs w:val="16"/>
        </w:rPr>
        <w:softHyphen/>
        <w:t>сокого отпуска в сумме значительно сократило весь цикл из</w:t>
      </w:r>
      <w:r w:rsidRPr="00640820">
        <w:rPr>
          <w:rFonts w:ascii="Times New Roman" w:hAnsi="Times New Roman"/>
          <w:color w:val="000000" w:themeColor="text1"/>
          <w:sz w:val="16"/>
          <w:szCs w:val="16"/>
        </w:rPr>
        <w:softHyphen/>
        <w:t>готовления, высвободив примерно 300 прессо-часов в сутки. Изготовление башен из сырых деталей было хорошо еще тем, что при их сборке можно было производить под</w:t>
      </w:r>
      <w:r w:rsidRPr="00640820">
        <w:rPr>
          <w:rFonts w:ascii="Times New Roman" w:hAnsi="Times New Roman"/>
          <w:color w:val="000000" w:themeColor="text1"/>
          <w:sz w:val="16"/>
          <w:szCs w:val="16"/>
        </w:rPr>
        <w:softHyphen/>
        <w:t>резку деталей огнем, не боясь отпуска брони, снимать фас</w:t>
      </w:r>
      <w:r w:rsidRPr="00640820">
        <w:rPr>
          <w:rFonts w:ascii="Times New Roman" w:hAnsi="Times New Roman"/>
          <w:color w:val="000000" w:themeColor="text1"/>
          <w:sz w:val="16"/>
          <w:szCs w:val="16"/>
        </w:rPr>
        <w:softHyphen/>
        <w:t>ки пневматическим зубилом «по месту», производить свер</w:t>
      </w:r>
      <w:r w:rsidRPr="00640820">
        <w:rPr>
          <w:rFonts w:ascii="Times New Roman" w:hAnsi="Times New Roman"/>
          <w:color w:val="000000" w:themeColor="text1"/>
          <w:sz w:val="16"/>
          <w:szCs w:val="16"/>
        </w:rPr>
        <w:softHyphen/>
        <w:t>ление отверстий и нарезку резьб в бонках исходя из реаль</w:t>
      </w:r>
      <w:r w:rsidRPr="00640820">
        <w:rPr>
          <w:rFonts w:ascii="Times New Roman" w:hAnsi="Times New Roman"/>
          <w:color w:val="000000" w:themeColor="text1"/>
          <w:sz w:val="16"/>
          <w:szCs w:val="16"/>
        </w:rPr>
        <w:softHyphen/>
        <w:t>ных базовых и посадочных отверстий деталей, присланных разными соисполнителями (10782).</w:t>
      </w:r>
    </w:p>
    <w:p w14:paraId="693F0A8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844D30" w14:textId="77777777" w:rsidR="001547E5" w:rsidRPr="00640820" w:rsidRDefault="001547E5" w:rsidP="00640820">
      <w:pPr>
        <w:pStyle w:val="ae"/>
        <w:shd w:val="clear" w:color="auto" w:fill="FFFFFF"/>
        <w:spacing w:before="0" w:after="0"/>
        <w:jc w:val="both"/>
        <w:rPr>
          <w:color w:val="000000" w:themeColor="text1"/>
          <w:sz w:val="16"/>
          <w:szCs w:val="16"/>
        </w:rPr>
      </w:pPr>
      <w:r w:rsidRPr="00640820">
        <w:rPr>
          <w:color w:val="000000" w:themeColor="text1"/>
          <w:sz w:val="16"/>
          <w:szCs w:val="16"/>
        </w:rPr>
        <w:t>17 сентября 1941 первый корпус с башней Т-60 пришёл с Выксы на ГАЗ, в тот же день был собран первый танк.</w:t>
      </w:r>
    </w:p>
    <w:p w14:paraId="18920A59" w14:textId="77777777" w:rsidR="001547E5" w:rsidRPr="00640820" w:rsidRDefault="001547E5" w:rsidP="00640820">
      <w:pPr>
        <w:pStyle w:val="ae"/>
        <w:shd w:val="clear" w:color="auto" w:fill="FFFFFF"/>
        <w:spacing w:before="0" w:after="0"/>
        <w:jc w:val="both"/>
        <w:rPr>
          <w:color w:val="000000" w:themeColor="text1"/>
          <w:sz w:val="16"/>
          <w:szCs w:val="16"/>
        </w:rPr>
      </w:pPr>
      <w:r w:rsidRPr="00640820">
        <w:rPr>
          <w:color w:val="000000" w:themeColor="text1"/>
          <w:sz w:val="16"/>
          <w:szCs w:val="16"/>
        </w:rPr>
        <w:t>Для производства Т-60 на заводе был выделен новокузовной цех, который получил обозначение «цех №5». Как и в случае с ХТЗ, для ускорения ввода Т-60 на ГАЗ в производство потребовалось вмешательство сверху. В начале сентября директор завода И. К. Лоскутов был вызван на совещание в ЦК ВКП(б). На совещании под председательством Г. М. Маленкова руководство ГАБТУ потребовало от директоров заводов, выпускающих танки, ускорить начало их выпуска. Данное требование в полной мере относилось и к Лоскутову. Именно с этого момента началась постепенная переориентация ГАЗ с производства автомобилей на выпуск танков.</w:t>
      </w:r>
    </w:p>
    <w:p w14:paraId="35A3BEFE" w14:textId="77777777" w:rsidR="001547E5" w:rsidRPr="00640820" w:rsidRDefault="001547E5" w:rsidP="00640820">
      <w:pPr>
        <w:pStyle w:val="ae"/>
        <w:shd w:val="clear" w:color="auto" w:fill="FFFFFF"/>
        <w:spacing w:before="0" w:after="0"/>
        <w:jc w:val="both"/>
        <w:rPr>
          <w:color w:val="000000" w:themeColor="text1"/>
          <w:sz w:val="16"/>
          <w:szCs w:val="16"/>
        </w:rPr>
      </w:pPr>
      <w:r w:rsidRPr="00640820">
        <w:rPr>
          <w:color w:val="000000" w:themeColor="text1"/>
          <w:sz w:val="16"/>
          <w:szCs w:val="16"/>
        </w:rPr>
        <w:t>Реальное серийное производство Т-60 на ГАЗ началось лишь в октябре 1941 года. В десятых числах октября с завода №37 на ГАЗ отправляются Астров и Окунев. На новом месте Астров стал заместителем главного конструктора, а Окунев старшим военпредом. За первые пять дней месяца вместо запланированных 15 машин было сдано всего 5 танков, к 20 октября было сдано 69 Т-60 (17462).</w:t>
      </w:r>
    </w:p>
    <w:p w14:paraId="65E2D4C3" w14:textId="77777777" w:rsidR="001547E5" w:rsidRPr="00640820" w:rsidRDefault="001547E5" w:rsidP="00640820">
      <w:pPr>
        <w:pStyle w:val="ae"/>
        <w:shd w:val="clear" w:color="auto" w:fill="FFFFFF"/>
        <w:spacing w:before="0" w:after="0"/>
        <w:jc w:val="both"/>
        <w:rPr>
          <w:color w:val="000000" w:themeColor="text1"/>
          <w:sz w:val="16"/>
          <w:szCs w:val="16"/>
        </w:rPr>
      </w:pPr>
    </w:p>
    <w:p w14:paraId="4A092969" w14:textId="77777777" w:rsidR="00F52A2A" w:rsidRPr="00640820" w:rsidRDefault="00F52A2A" w:rsidP="00640820">
      <w:pPr>
        <w:pStyle w:val="ae"/>
        <w:spacing w:before="0" w:after="0"/>
        <w:jc w:val="both"/>
        <w:rPr>
          <w:color w:val="000000" w:themeColor="text1"/>
          <w:sz w:val="16"/>
          <w:szCs w:val="16"/>
        </w:rPr>
      </w:pPr>
      <w:r w:rsidRPr="00640820">
        <w:rPr>
          <w:color w:val="000000" w:themeColor="text1"/>
          <w:sz w:val="16"/>
          <w:szCs w:val="16"/>
        </w:rPr>
        <w:t>17 сентября 1941 первый корпус Т-60 с башней пришел с Выксы на ГАЗ и в тот же день был собран первый танк. Для производ</w:t>
      </w:r>
      <w:r w:rsidRPr="00640820">
        <w:rPr>
          <w:color w:val="000000" w:themeColor="text1"/>
          <w:sz w:val="16"/>
          <w:szCs w:val="16"/>
        </w:rPr>
        <w:softHyphen/>
        <w:t>ства Т-60 на заводе был выделен новокузовной цех, который получил обозначение «Цех № 5».</w:t>
      </w:r>
    </w:p>
    <w:p w14:paraId="5C86828D" w14:textId="77777777" w:rsidR="00F52A2A" w:rsidRPr="00640820" w:rsidRDefault="00F52A2A" w:rsidP="00640820">
      <w:pPr>
        <w:pStyle w:val="162"/>
        <w:shd w:val="clear" w:color="auto" w:fill="auto"/>
        <w:spacing w:line="240" w:lineRule="auto"/>
        <w:jc w:val="both"/>
        <w:rPr>
          <w:color w:val="000000" w:themeColor="text1"/>
          <w:sz w:val="16"/>
          <w:szCs w:val="16"/>
        </w:rPr>
      </w:pPr>
      <w:r w:rsidRPr="00640820">
        <w:rPr>
          <w:color w:val="000000" w:themeColor="text1"/>
          <w:sz w:val="16"/>
          <w:szCs w:val="16"/>
        </w:rPr>
        <w:t>Помимо проблем с корпусами, ГАЗ столкнулся с тем, что заводы- смежники затянули, а в некоторых случаях вообще не приступили к производству агрегатов. Для примера, завод «Двигатель Революции», который должен был выпускать бортовые передачи для Т-60, по состо</w:t>
      </w:r>
      <w:r w:rsidRPr="00640820">
        <w:rPr>
          <w:color w:val="000000" w:themeColor="text1"/>
          <w:sz w:val="16"/>
          <w:szCs w:val="16"/>
        </w:rPr>
        <w:softHyphen/>
        <w:t>янию на 18 сентября не сдал ни одного комплекта. В результате ряд агрегатов ГАЗ пришлось изготовлять по обходной технологии, что по</w:t>
      </w:r>
      <w:r w:rsidRPr="00640820">
        <w:rPr>
          <w:color w:val="000000" w:themeColor="text1"/>
          <w:sz w:val="16"/>
          <w:szCs w:val="16"/>
        </w:rPr>
        <w:softHyphen/>
        <w:t>зволило к той же дате получить 10 комплектов деталей. Одновременно от ГАЗ во все больших количествах требовали двигатель ГАЗ-11 модель 202 (также в переписке танковую версию мотора ГАЗ-11 обозначают ГАЗ-202), при этом производство ГАЗ-61 с завода никто не снимал.</w:t>
      </w:r>
    </w:p>
    <w:p w14:paraId="2F4B3A28" w14:textId="77777777" w:rsidR="00F52A2A" w:rsidRPr="00640820" w:rsidRDefault="00F52A2A" w:rsidP="00640820">
      <w:pPr>
        <w:pStyle w:val="ae"/>
        <w:spacing w:before="0" w:after="0"/>
        <w:jc w:val="both"/>
        <w:rPr>
          <w:color w:val="000000" w:themeColor="text1"/>
          <w:sz w:val="16"/>
          <w:szCs w:val="16"/>
        </w:rPr>
      </w:pPr>
      <w:r w:rsidRPr="00640820">
        <w:rPr>
          <w:color w:val="000000" w:themeColor="text1"/>
          <w:sz w:val="16"/>
          <w:szCs w:val="16"/>
        </w:rPr>
        <w:t>Как и в случае с ХТЗ, для ускорения внедрения Т-60 на ГАЗ потре</w:t>
      </w:r>
      <w:r w:rsidRPr="00640820">
        <w:rPr>
          <w:color w:val="000000" w:themeColor="text1"/>
          <w:sz w:val="16"/>
          <w:szCs w:val="16"/>
        </w:rPr>
        <w:softHyphen/>
        <w:t>бовалось вмешательство сверху (17485).</w:t>
      </w:r>
    </w:p>
    <w:p w14:paraId="7402EFB0" w14:textId="77777777" w:rsidR="00F52A2A" w:rsidRPr="00640820" w:rsidRDefault="00F52A2A" w:rsidP="00640820">
      <w:pPr>
        <w:pStyle w:val="ae"/>
        <w:spacing w:before="0" w:after="0"/>
        <w:jc w:val="both"/>
        <w:rPr>
          <w:color w:val="000000" w:themeColor="text1"/>
          <w:sz w:val="16"/>
          <w:szCs w:val="16"/>
        </w:rPr>
      </w:pPr>
    </w:p>
    <w:p w14:paraId="2FB2270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сентября 1941 года вышел приказ № 537с/12с Наркомата станкостроения и НКТП</w:t>
      </w:r>
    </w:p>
    <w:p w14:paraId="608F12C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постановлением СНК № 2059-с от 11 сентября 1941 года об утверждении состава предприятий НКТП и о передаче 3-го Гл. управления НКСП и др. предприятий в систему НКТП:</w:t>
      </w:r>
    </w:p>
    <w:p w14:paraId="6BD025B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Передать Выксунский завод дробильно-размольного оборудования из системы Гл. управления кузнечно-прессового машиностроения Наркомата станкостроения в систему НКТП (6032, 27).</w:t>
      </w:r>
    </w:p>
    <w:p w14:paraId="2B44045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67919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17 сентября 1941 года вышел приказ № 10с НКТП</w:t>
      </w:r>
    </w:p>
    <w:p w14:paraId="7F491DB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распоряжением СНК от 11 сентября 1941 года:</w:t>
      </w:r>
    </w:p>
    <w:p w14:paraId="33065AB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Передать Муромский паровозоремонтный завод в систему НКТП (6032, 21).</w:t>
      </w:r>
    </w:p>
    <w:p w14:paraId="15D1DDF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3E1AC3" w14:textId="77777777" w:rsidR="00EF6A8F" w:rsidRPr="00640820" w:rsidRDefault="00EF6A8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сентября 1941 г.</w:t>
      </w:r>
    </w:p>
    <w:p w14:paraId="7C957B3C" w14:textId="77777777" w:rsidR="00EF6A8F" w:rsidRPr="00640820" w:rsidRDefault="00EF6A8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Протоколы заседаний бюро Ленинградского городского комитета ВКП(б)</w:t>
      </w:r>
    </w:p>
    <w:p w14:paraId="0DA5A92E" w14:textId="77777777" w:rsidR="00EF6A8F" w:rsidRPr="00640820" w:rsidRDefault="00EF6A8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17 сентября 1941 г.</w:t>
      </w:r>
    </w:p>
    <w:p w14:paraId="27581145" w14:textId="77777777" w:rsidR="00EF6A8F" w:rsidRPr="00640820" w:rsidRDefault="00EF6A8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56гс. — Об изготовлении автоматической радиометеостанции (особая папка).</w:t>
      </w:r>
    </w:p>
    <w:p w14:paraId="789B4972" w14:textId="77777777" w:rsidR="00EF6A8F" w:rsidRPr="00640820" w:rsidRDefault="00EF6A8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Обязать директора завода №218 НКАП (т. Соколовского) изготовить для Арктического института парашютные автоматические радиометеостанции по проекту АНИИ в количестве 3 шт.</w:t>
      </w:r>
    </w:p>
    <w:p w14:paraId="785DA242" w14:textId="77777777" w:rsidR="00EF6A8F" w:rsidRPr="00640820" w:rsidRDefault="00EF6A8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Обязать директора завода №327 НКЭП (т. Румянцева) изготовить для Арктического института:</w:t>
      </w:r>
    </w:p>
    <w:p w14:paraId="3B26A3F4" w14:textId="77777777" w:rsidR="00EF6A8F" w:rsidRPr="00640820" w:rsidRDefault="00EF6A8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радиопередатчики парашютной автоматической радиометеостанции по техническим условиям АНИИ;</w:t>
      </w:r>
    </w:p>
    <w:p w14:paraId="546CA9B9" w14:textId="77777777" w:rsidR="00EF6A8F" w:rsidRPr="00640820" w:rsidRDefault="00EF6A8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прикрепить для консультации к АНИИ проф. Гоноровского и инж. Зоферман для работы по совместительству;</w:t>
      </w:r>
    </w:p>
    <w:p w14:paraId="67B7EF21" w14:textId="77777777" w:rsidR="00EF6A8F" w:rsidRPr="00640820" w:rsidRDefault="00EF6A8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передать АНИИ три стандартных преобразователя энергии с комплектом щелочных аккумуляторов.</w:t>
      </w:r>
    </w:p>
    <w:p w14:paraId="165DA56D" w14:textId="77777777" w:rsidR="00EF6A8F" w:rsidRPr="00640820" w:rsidRDefault="00EF6A8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Обязать директора фабрики «Работница» (т. Степанову2) изготовить для Арктического института три парашюта автоматической радиометеостанции с проведением испытанием в реальных условиях сбрасывания.</w:t>
      </w:r>
    </w:p>
    <w:p w14:paraId="219FF14F" w14:textId="77777777" w:rsidR="00EF6A8F" w:rsidRPr="00640820" w:rsidRDefault="00EF6A8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Подписи — Капустин, Кузнецов, Никитин, Попков.</w:t>
      </w:r>
    </w:p>
    <w:p w14:paraId="0FF92BB5" w14:textId="77777777" w:rsidR="00EF6A8F" w:rsidRPr="00640820" w:rsidRDefault="00EF6A8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ЦГАИПД СПб. Ф. 25. Оп.2а. Д. 156. Л. 85. Оригинал, машинопись. Подписи — автографы (19720).</w:t>
      </w:r>
    </w:p>
    <w:p w14:paraId="650E8795" w14:textId="77777777" w:rsidR="00EF6A8F" w:rsidRPr="00640820" w:rsidRDefault="00EF6A8F" w:rsidP="00640820">
      <w:pPr>
        <w:autoSpaceDE w:val="0"/>
        <w:autoSpaceDN w:val="0"/>
        <w:adjustRightInd w:val="0"/>
        <w:spacing w:after="0" w:line="240" w:lineRule="auto"/>
        <w:jc w:val="both"/>
        <w:rPr>
          <w:rFonts w:ascii="Times New Roman" w:hAnsi="Times New Roman"/>
          <w:color w:val="000000" w:themeColor="text1"/>
          <w:sz w:val="16"/>
          <w:szCs w:val="16"/>
        </w:rPr>
      </w:pPr>
    </w:p>
    <w:p w14:paraId="79744E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сентября 1941 вышло решение Во</w:t>
      </w:r>
      <w:r w:rsidRPr="00640820">
        <w:rPr>
          <w:rFonts w:ascii="Times New Roman" w:hAnsi="Times New Roman"/>
          <w:color w:val="000000" w:themeColor="text1"/>
          <w:sz w:val="16"/>
          <w:szCs w:val="16"/>
        </w:rPr>
        <w:softHyphen/>
        <w:t>енного совета фронта, согласно которому на правый берег Боль</w:t>
      </w:r>
      <w:r w:rsidRPr="00640820">
        <w:rPr>
          <w:rFonts w:ascii="Times New Roman" w:hAnsi="Times New Roman"/>
          <w:color w:val="000000" w:themeColor="text1"/>
          <w:sz w:val="16"/>
          <w:szCs w:val="16"/>
        </w:rPr>
        <w:softHyphen/>
        <w:t>шой Невки (Выборгский район) на территории одного из эва</w:t>
      </w:r>
      <w:r w:rsidRPr="00640820">
        <w:rPr>
          <w:rFonts w:ascii="Times New Roman" w:hAnsi="Times New Roman"/>
          <w:color w:val="000000" w:themeColor="text1"/>
          <w:sz w:val="16"/>
          <w:szCs w:val="16"/>
        </w:rPr>
        <w:softHyphen/>
        <w:t>куированных предприятий была перебазирована часть производственных мощностей завода 190, территория которого оказалась в непосредственной близости от зоны боевых действий и простреливалась противником. На новой территории в 1942 г. функционировали механические цехи, а осенью того же года перебрались корпусной цех с котельным участком, монтажный, трубомедницкий, деревоотделочный и такелажно-парусный цехи. К осени 1943 г. на стапелях верфи уже были собраны три тральщика-"стотонника", спуск которьхх на воду был осуществлен с помощью плавучего крана. Временная верфь просуществовала до 1944 г., когда началось ее постепенное перебазирование на основную пло</w:t>
      </w:r>
      <w:r w:rsidRPr="00640820">
        <w:rPr>
          <w:rFonts w:ascii="Times New Roman" w:hAnsi="Times New Roman"/>
          <w:color w:val="000000" w:themeColor="text1"/>
          <w:sz w:val="16"/>
          <w:szCs w:val="16"/>
        </w:rPr>
        <w:softHyphen/>
        <w:t>щадку (3898).</w:t>
      </w:r>
    </w:p>
    <w:p w14:paraId="7DEAAF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F49D8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сентября 1941 началось перебазирования машиностроительной части завода им. А. А. Жданова, находившегося под прицельным артиллерийским огнем, на Выборгскую сторону. Крейсер "Петропавловск" в результате пожара и взрывов от 52 прямых попаданий снарядов калибром 210 мм выведен из строя (10671).</w:t>
      </w:r>
    </w:p>
    <w:p w14:paraId="3F0AD1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D2139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сентября 1941 г., по решению Военного совета фронта в связи с обстрелами, машиностроительная часть завода (Завод № 190 им. А.А. Жданова НКОП, НКСП, Путиловская судостроительная верфь Общества Путиловских заводов, Путиловская верфь, Северная судостроительная верфь ВСНХ, НКТП, Судостроительный завод им. А.А. Жданова НКТП, Ленинградский государственный судостроительный завод им. А.А. Жданова МСП, ОАО «Судостроительный завод (СЗ) «Северная верфь» / г. Ленинград п/я 464 (1938 г.)/ /198096  г. Ленинград, Санкт- Петербург ул. Корабельная, 6 тел. 324-29-00/) перебазирована на Выборгскую сторону, где организована временная верфь, заводским причалом стала набережная р. Большой Невки. Здесь в 1942 г. действовали механические цехи, осенью 1942 г. сюда перебазированы корпусной цех с котельным участком, монтажный, трубомедницкий, деревообделочный и такелажно-парусный цехи. Временная верфь существовала до 1944 г., затем производство перебазировано обратно.</w:t>
      </w:r>
    </w:p>
    <w:p w14:paraId="1EAC16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годы ВОВ производился ремонт и переоборудование кораблей.</w:t>
      </w:r>
    </w:p>
    <w:p w14:paraId="4AE143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1943 г. на заводе образован филиал ЦКБ-32 для сопровождения постройки сторожевика пр. 29. На заводе действовал филиал ЦКБ-17, в 1946 г. он преобразован в самостоятельное ЦКБ-53.</w:t>
      </w:r>
    </w:p>
    <w:p w14:paraId="3EDE95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1946 г. завод - в ведении МСП, затем - МТиТМ (1953-54 г.), МСП (1954-57 г.), Управления судостроительной промышленности ЛенСНХ (1957-65 г.), с 01.1966 г. - вновь в ведении МСП.</w:t>
      </w:r>
    </w:p>
    <w:p w14:paraId="7C0A8A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1944 г. начато восстановление производства, реконструкция производственных мощностей. В 1951-55 г. построен новый комплекс для крупносерийного строительства эсминцев, состоящий из 4-пролетного эллинга, трансбордера и поперечного слипа. В 1960-е  г. для строительства сухогрузов был восстановлен наклонный продольный стапель под эллингом, поврежденный в годы войны. К стапелю пристроили «горку», по которой на стапель подавались готовые корпусные блоки.</w:t>
      </w:r>
    </w:p>
    <w:p w14:paraId="3B6456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30.12.1961 г. вышло ПСМ № 1180-510 о строительстве на заводе кораблей ПВО-ПЛО пр. 1134.</w:t>
      </w:r>
    </w:p>
    <w:p w14:paraId="136246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середины 1970-х  г. сильно сокращено строительство гражданских судов. В связи с началом постройки больших противолодочных кораблей начата реконструкция судостроительного комплекса.</w:t>
      </w:r>
    </w:p>
    <w:p w14:paraId="3C468B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1992 г. Ленинградский государственный судостроительный завод им. А.А. Жданова акционирован и преобразован в АООТ,</w:t>
      </w:r>
      <w:r w:rsidRPr="00640820">
        <w:rPr>
          <w:rFonts w:ascii="Times New Roman" w:hAnsi="Times New Roman"/>
          <w:color w:val="000000" w:themeColor="text1"/>
          <w:sz w:val="16"/>
          <w:szCs w:val="16"/>
          <w:vertAlign w:val="superscript"/>
        </w:rPr>
        <w:t>131</w:t>
      </w:r>
      <w:r w:rsidRPr="00640820">
        <w:rPr>
          <w:rFonts w:ascii="Times New Roman" w:hAnsi="Times New Roman"/>
          <w:color w:val="000000" w:themeColor="text1"/>
          <w:sz w:val="16"/>
          <w:szCs w:val="16"/>
        </w:rPr>
        <w:t xml:space="preserve"> а с 14.04.1994 г. - ОАО «Северная верфь».</w:t>
      </w:r>
    </w:p>
    <w:p w14:paraId="797290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2005 г. всего построено около 200 боевых кораблей.</w:t>
      </w:r>
    </w:p>
    <w:p w14:paraId="3B1339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решению правительства № 22-р от 9.01.2004 г. вошло в перечень стратегических предприятий. ОАО «Северная верфь» входила в ЗАО «Объединенная промышленная корпорация» (ОПК) (2005-08 г.). В 2007 г. планировалось создать на базе предприятия судостроительный холдинг (один из 7 в России) ОАО «Западный центр судостроения», в который также должны войти: завод «Янтарь», завод «Красное Сормово», «Адмиралтейские верфи», Средне-Невский ССЗ, Кронштадтский морской завод и 33-й СРЗ МО.</w:t>
      </w:r>
    </w:p>
    <w:p w14:paraId="6B89A5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06.2006 г. разработан проект реконструкции завода, включающий перевод на его площадку Балтийского завода.</w:t>
      </w:r>
    </w:p>
    <w:p w14:paraId="1A9BFC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Имелись производства (2006 г.): корпусообрабатывающее (мощностью 20 тыс. т в год); стапельное (4 горизонтальных стапеля); спускоподъемный комплекс; две достроечные набережные.</w:t>
      </w:r>
    </w:p>
    <w:p w14:paraId="6D2E98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2007 г. планировалась модернизация 4 кораблей ВМС Алжира: двух МРК пр. 1234Э в пр. 1234МЭ и двух корветов пр. 1159Т.</w:t>
      </w:r>
    </w:p>
    <w:p w14:paraId="2FA57F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территории (2006 г.)- около 90 га, из них под производственными мощностями- 60 га.</w:t>
      </w:r>
    </w:p>
    <w:p w14:paraId="7B0B80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(1937 г.)- 9254 чел., (06.1941 г.)- 11.500 чел.</w:t>
      </w:r>
    </w:p>
    <w:p w14:paraId="034191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(1913 г.-)- Орбановский, (1910-е)- п Н.Н. Кутейников, (-1936 г.)- Мирошин (снят за «неумение возглавлять завод»), (1936-7.09.1937 г.)- Л.С. Окорский, (7.09.1937-11.1938 г.-)- А.Е. Лобанов, (1941 г.)- И. Г. Миляшкин, (1942 г.)- С.А. Боголюбов,</w:t>
      </w:r>
      <w:r w:rsidRPr="00640820">
        <w:rPr>
          <w:rFonts w:ascii="Times New Roman" w:hAnsi="Times New Roman"/>
          <w:color w:val="000000" w:themeColor="text1"/>
          <w:sz w:val="16"/>
          <w:szCs w:val="16"/>
          <w:vertAlign w:val="superscript"/>
        </w:rPr>
        <w:t>61</w:t>
      </w:r>
      <w:r w:rsidRPr="00640820">
        <w:rPr>
          <w:rFonts w:ascii="Times New Roman" w:hAnsi="Times New Roman"/>
          <w:color w:val="000000" w:themeColor="text1"/>
          <w:sz w:val="16"/>
          <w:szCs w:val="16"/>
        </w:rPr>
        <w:t xml:space="preserve"> (1950 г.-)- А.А. Горегляд, (1970-е)- В.Д. Колечицкий. Гендиректор (1987 г.)- В.А. Емельянов, (-2000-И.2004 г.)- В.В. Венков, (11.2004-06 г.-)- А.С. Бузаков, (-2007-08 г.-)- А.Б. Фомичев.</w:t>
      </w:r>
    </w:p>
    <w:p w14:paraId="058309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Помощник директора (1913 г.-)- К.А. Теннисон. Зам. директора (21.01.1937 г.-)- В.Ф. Попов.</w:t>
      </w:r>
    </w:p>
    <w:p w14:paraId="0F0B0E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технический (1936 г.)- А.И. Павлов; коммерческий (-10.2006 г.)- И. Александров; по экономике и финансам (2008 г.)- С.Е. Юрчук.</w:t>
      </w:r>
    </w:p>
    <w:p w14:paraId="364598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(21.01.1937 г.-)- В.Ф. Попов.</w:t>
      </w:r>
    </w:p>
    <w:p w14:paraId="26F482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технолог (1960-е)- Д.И. Михелев.</w:t>
      </w:r>
    </w:p>
    <w:p w14:paraId="0D3F00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цехов: турбинного (1920-е)- В.К. Васильев; № 8 и.о. (09.1938 г.)- Уманцев; № 10 (09.1938 г.)- Сидоренко.</w:t>
      </w:r>
    </w:p>
    <w:p w14:paraId="450226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строитель (инженер) проекта: (1960-е)- Е.М. Яковлев (пр.58), (2006 г.)- Д. Силантьев (пр. 22350).</w:t>
      </w:r>
    </w:p>
    <w:p w14:paraId="7E9D48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Строители кораблей (1913 г.-)- К.А. Теннисон, (1915 г.)- п И.Е. Храповицкий, (1916 г.)- пп Ф.А. Вомпе, (1932 г.)- А.Н. Нейман, (1933 г.)- И.С. Кузовов, (1935-37 г.)- В.Л. Бжезинский (репрессирован), (-1941-42 г.-)- Д.А. Чалык, (-1941-42 г.-)- В.К. Кабышев.</w:t>
      </w:r>
    </w:p>
    <w:p w14:paraId="72EB1D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Ответственные сдатчики: (1930 г.)- К.А. Камешков.</w:t>
      </w:r>
    </w:p>
    <w:p w14:paraId="40C6FB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Производство: эсминцы: тала «Новик» «Лейтенант Ильин», «Лейтенант Дубасов», «Капитан Изыльметьев» (11.1913-20-е)- 4, «Капитан Кроун», «Капитан Кингсберген» («Капитан 1 ранга Миклухо-Маклай») (11.1914-), достройка «Прямислав» («Калинин») (-1925), «Капитан Керн» («Рыков», «Куйбышев») (-1927), «Капитан Белли» («Карл Либкнехт») (-1928); пр. 45 «Серго Орджоникидзе» («Опытный») (06.1935-40); пр. 7 «Гневный» (зак. 501, 11.1935-07.1936), «Грозный» (зак. 502), «Громкий» (зак. 503), «Грозящий», «Гордый» (зак. 514), «Гремящий» (11.1935-01.1938), пр. 7у «Сторожевой» (-10.1938), «Стойкий», «Смелый», «Сильный», «Страшный» (-1939), «Стерегущий», «Строгий» (-12.1939), «Скорый», «Свирепый», «Статный», «Стройный» (-04.1940); пр. 30 «Отличный», «Образцовый», «Отважный» (-1941), «Одаренный», «Огненный», «Ожесточенный», «Острый», «Ослепительный», «Осторожный», «Отчетливый» (1941-), пр. 30К «Отличный» (1948), (1950)- 1, пр. ЗОбис «Смелый» (05-09.1948), «Способный» (03-12.1950), (-02.1953)- 14; пр. 41 «Неустрашимый» (12.1949-01.1952); пр. 56 «Спокойный» (03.1953-55), (1955-57)- 11, пр. 56М «Проворный» (-12.1958); ракетные пр. 57бис «Гремящий» (02.1959-61), «Жгучий», «Зоркий», «Дерзкий» (1960-61), с КР П-35 пр. 58 «Грозный» (02.1960-03.1961), «Адмирал Фокин», «Адмирал Головко», «Варяг» (1962-08.1965); пр. 956 «Современный» (03.1976-11.1978), (- 1993)- 16, пр. 956Э для Китая (1999-2000)- 2, «Вечный» пр. 956ЭМ для Китая (2003-06)- 2; крейсеры «Адмирал Бутаков» («Правда», «Ворошилов») (11.1913-07.1916), «Адмирал Спиридов» (11.1913-08.1916), переоборудование крейсера «Адмирал Спиридов» в танкер «Грознефть» (-1926); тральщики: типа «Капсюль» «Капсюль», «Груз» (-03.1916), типа «Ударник» «Ударник», «Защитник» (02-07.1916), (10.1917-)- 5; пр. 3 «Заряд» (Т-201), «Буй» (Т-202), «Патрон» (Т-203), «Фугас» (Т-204) (10.1933-); пр. 53 Т-1 «Стрела», Т-2 </w:t>
      </w:r>
      <w:r w:rsidRPr="00640820">
        <w:rPr>
          <w:rFonts w:ascii="Times New Roman" w:hAnsi="Times New Roman"/>
          <w:color w:val="000000" w:themeColor="text1"/>
          <w:sz w:val="16"/>
          <w:szCs w:val="16"/>
        </w:rPr>
        <w:lastRenderedPageBreak/>
        <w:t xml:space="preserve">«Трос», Т-3 «Проводник», Т-4 «Подсекатель» (05.1935-36, достройка на заводе 196); пр. 253л (МТ-1) (1943-44)- 9, МТ-2 (1944); речные буксиры (1920-)- 20; рефрижераторы: типа «Смольный» «Ян Рудзутак» («Мария Ульянова»), «Алексей Рыков» («Андрей Жданов») (05.1925-08.1926), </w:t>
      </w:r>
      <w:r w:rsidRPr="00640820">
        <w:rPr>
          <w:rFonts w:ascii="Times New Roman" w:hAnsi="Times New Roman"/>
          <w:color w:val="000000" w:themeColor="text1"/>
          <w:sz w:val="16"/>
          <w:szCs w:val="16"/>
          <w:lang w:val="en-US"/>
        </w:rPr>
        <w:t>II</w:t>
      </w:r>
      <w:r w:rsidRPr="00640820">
        <w:rPr>
          <w:rFonts w:ascii="Times New Roman" w:hAnsi="Times New Roman"/>
          <w:color w:val="000000" w:themeColor="text1"/>
          <w:sz w:val="16"/>
          <w:szCs w:val="16"/>
        </w:rPr>
        <w:t xml:space="preserve"> серии «Смольный», «Феликс Дзержинский», </w:t>
      </w:r>
      <w:r w:rsidRPr="00640820">
        <w:rPr>
          <w:rFonts w:ascii="Times New Roman" w:hAnsi="Times New Roman"/>
          <w:color w:val="000000" w:themeColor="text1"/>
          <w:sz w:val="16"/>
          <w:szCs w:val="16"/>
          <w:lang w:val="en-US"/>
        </w:rPr>
        <w:t>III</w:t>
      </w:r>
      <w:r w:rsidRPr="00640820">
        <w:rPr>
          <w:rFonts w:ascii="Times New Roman" w:hAnsi="Times New Roman"/>
          <w:color w:val="000000" w:themeColor="text1"/>
          <w:sz w:val="16"/>
          <w:szCs w:val="16"/>
        </w:rPr>
        <w:t xml:space="preserve"> серии «Сибирь», «Кооперация» (1926-30); лесовозы: типа «Волголес» «Мурманлес», «Старый большевик» (1930-е); пр. 596 типа «Вытегралес» (1962-)- 64 (вместе с заводом 870); сухогрузы: </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 xml:space="preserve"> и </w:t>
      </w:r>
      <w:r w:rsidRPr="00640820">
        <w:rPr>
          <w:rFonts w:ascii="Times New Roman" w:hAnsi="Times New Roman"/>
          <w:color w:val="000000" w:themeColor="text1"/>
          <w:sz w:val="16"/>
          <w:szCs w:val="16"/>
          <w:lang w:val="en-US"/>
        </w:rPr>
        <w:t>II</w:t>
      </w:r>
      <w:r w:rsidRPr="00640820">
        <w:rPr>
          <w:rFonts w:ascii="Times New Roman" w:hAnsi="Times New Roman"/>
          <w:color w:val="000000" w:themeColor="text1"/>
          <w:sz w:val="16"/>
          <w:szCs w:val="16"/>
        </w:rPr>
        <w:t xml:space="preserve"> серий «Бела Кун» («В. Маяковский»), «Макс Гельц», «Жан Жорес», «Фридрих Энгельс» (1929-32), </w:t>
      </w:r>
      <w:r w:rsidRPr="00640820">
        <w:rPr>
          <w:rFonts w:ascii="Times New Roman" w:hAnsi="Times New Roman"/>
          <w:color w:val="000000" w:themeColor="text1"/>
          <w:sz w:val="16"/>
          <w:szCs w:val="16"/>
          <w:lang w:val="en-US"/>
        </w:rPr>
        <w:t>III</w:t>
      </w:r>
      <w:r w:rsidRPr="00640820">
        <w:rPr>
          <w:rFonts w:ascii="Times New Roman" w:hAnsi="Times New Roman"/>
          <w:color w:val="000000" w:themeColor="text1"/>
          <w:sz w:val="16"/>
          <w:szCs w:val="16"/>
        </w:rPr>
        <w:t xml:space="preserve"> и </w:t>
      </w:r>
      <w:r w:rsidRPr="00640820">
        <w:rPr>
          <w:rFonts w:ascii="Times New Roman" w:hAnsi="Times New Roman"/>
          <w:color w:val="000000" w:themeColor="text1"/>
          <w:sz w:val="16"/>
          <w:szCs w:val="16"/>
          <w:lang w:val="en-US"/>
        </w:rPr>
        <w:t>IV</w:t>
      </w:r>
      <w:r w:rsidRPr="00640820">
        <w:rPr>
          <w:rFonts w:ascii="Times New Roman" w:hAnsi="Times New Roman"/>
          <w:color w:val="000000" w:themeColor="text1"/>
          <w:sz w:val="16"/>
          <w:szCs w:val="16"/>
        </w:rPr>
        <w:t xml:space="preserve"> серий «КИМ», «Комсомол», «Челюскинец», «Литвинов» (1931-36); типа «Валдай»; пр. 1562 «50-летие комсомола» (1968-); пр. 1607 «Иван Скуридин» (1975-)- 14, пр. 16073 «60-летие СССР» (1982-)- 5, пр. 16071 «С. Киров» (1986-89); пр. 15760 (-1994); лихтеры типа «Комсеверопуть» </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 xml:space="preserve"> и </w:t>
      </w:r>
      <w:r w:rsidRPr="00640820">
        <w:rPr>
          <w:rFonts w:ascii="Times New Roman" w:hAnsi="Times New Roman"/>
          <w:color w:val="000000" w:themeColor="text1"/>
          <w:sz w:val="16"/>
          <w:szCs w:val="16"/>
          <w:lang w:val="en-US"/>
        </w:rPr>
        <w:t>II</w:t>
      </w:r>
      <w:r w:rsidRPr="00640820">
        <w:rPr>
          <w:rFonts w:ascii="Times New Roman" w:hAnsi="Times New Roman"/>
          <w:color w:val="000000" w:themeColor="text1"/>
          <w:sz w:val="16"/>
          <w:szCs w:val="16"/>
        </w:rPr>
        <w:t xml:space="preserve"> серии (-1930)- 4; траулеры </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 xml:space="preserve"> серии РТ-57 «Смена» (-11.1930), РТ-58 «Спартак», РТ-59 «Колхозник», РТ-61 «Водник», «Одесский горсовет» (1930-31)- 28, </w:t>
      </w:r>
      <w:r w:rsidRPr="00640820">
        <w:rPr>
          <w:rFonts w:ascii="Times New Roman" w:hAnsi="Times New Roman"/>
          <w:color w:val="000000" w:themeColor="text1"/>
          <w:sz w:val="16"/>
          <w:szCs w:val="16"/>
          <w:lang w:val="en-US"/>
        </w:rPr>
        <w:t>II</w:t>
      </w:r>
      <w:r w:rsidRPr="00640820">
        <w:rPr>
          <w:rFonts w:ascii="Times New Roman" w:hAnsi="Times New Roman"/>
          <w:color w:val="000000" w:themeColor="text1"/>
          <w:sz w:val="16"/>
          <w:szCs w:val="16"/>
        </w:rPr>
        <w:t xml:space="preserve"> серии (1933-35)- 20; барэюи: (1929, сборка в Тюмени)- 7, (1930, сборка в Тюмени)- 4, нефтеналивная (1930)- 1, 600-т (1942, сборка в бухте Гольсмана)- 3; самоходные плашкоуты (1942); гидрографические суда типа «Челюскин» «Камчадал», «Партизан», «Полярный» (1934-, достройка на заводе им. Марти); танкеры для ВМФ пр. 437Н (1954-); ПЛ: </w:t>
      </w:r>
      <w:r w:rsidRPr="00640820">
        <w:rPr>
          <w:rFonts w:ascii="Times New Roman" w:hAnsi="Times New Roman"/>
          <w:color w:val="000000" w:themeColor="text1"/>
          <w:sz w:val="16"/>
          <w:szCs w:val="16"/>
          <w:lang w:val="en-US"/>
        </w:rPr>
        <w:t>V</w:t>
      </w:r>
      <w:r w:rsidRPr="00640820">
        <w:rPr>
          <w:rFonts w:ascii="Times New Roman" w:hAnsi="Times New Roman"/>
          <w:color w:val="000000" w:themeColor="text1"/>
          <w:sz w:val="16"/>
          <w:szCs w:val="16"/>
        </w:rPr>
        <w:t xml:space="preserve"> серии «Судак» (Щ-106), «Сиг» (Щ-107), «Сом» (Щ-109), «Язь» (Щ-110) (1932-); лидеры эсминцев: пр. 1 «Ленинград» (11.1932-11.1933), пр. 38 «Минск» (зак. 471, 10.1934-09.1935), пр. 48 «Сталинабад» (1939-, не достроен); корабль РЛ дозора пр. 62 (1960-е, не достроен); БПЛК: пр. 1134 с ККР П-35 «Адмирал Зозуля» (07.1964-65), «Владивосток» (-1968), «Вице- адмирал Дрозд» (-1969), «Севастополь» (-1969), пр. 1134А «Кронштадт» (1966-12.1969), «Адмирал Юмашев» (-1977)- 10; пр. 1155 «Фрегат» «Вице-адмирал Кулаков» (1979-12.1981), «Маршал Василевский» (-1983), «Адмирал Трибуц» (-1985), «Адмирал Левченко» (-1988); сторожевики (СКР): типа «Ураган» «Ураган» (08.1927-05.1929), «Тайфун», «Смерч», «Циклон», «Гроза», «Вихрь» (08.1927-30), </w:t>
      </w:r>
      <w:r w:rsidRPr="00640820">
        <w:rPr>
          <w:rFonts w:ascii="Times New Roman" w:hAnsi="Times New Roman"/>
          <w:color w:val="000000" w:themeColor="text1"/>
          <w:sz w:val="16"/>
          <w:szCs w:val="16"/>
          <w:lang w:val="en-US"/>
        </w:rPr>
        <w:t>II</w:t>
      </w:r>
      <w:r w:rsidRPr="00640820">
        <w:rPr>
          <w:rFonts w:ascii="Times New Roman" w:hAnsi="Times New Roman"/>
          <w:color w:val="000000" w:themeColor="text1"/>
          <w:sz w:val="16"/>
          <w:szCs w:val="16"/>
        </w:rPr>
        <w:t xml:space="preserve"> серии (пр. 4) «Метель», «Вьюга» (12.1931-, сборка на Дальзаводе), </w:t>
      </w:r>
      <w:r w:rsidRPr="00640820">
        <w:rPr>
          <w:rFonts w:ascii="Times New Roman" w:hAnsi="Times New Roman"/>
          <w:color w:val="000000" w:themeColor="text1"/>
          <w:sz w:val="16"/>
          <w:szCs w:val="16"/>
          <w:lang w:val="en-US"/>
        </w:rPr>
        <w:t>III</w:t>
      </w:r>
      <w:r w:rsidRPr="00640820">
        <w:rPr>
          <w:rFonts w:ascii="Times New Roman" w:hAnsi="Times New Roman"/>
          <w:color w:val="000000" w:themeColor="text1"/>
          <w:sz w:val="16"/>
          <w:szCs w:val="16"/>
        </w:rPr>
        <w:t xml:space="preserve"> серии (пр. 39) «Буря», «Пурга» (1934-), «Молния» (1934-, сборка на Дальзаводе), </w:t>
      </w:r>
      <w:r w:rsidRPr="00640820">
        <w:rPr>
          <w:rFonts w:ascii="Times New Roman" w:hAnsi="Times New Roman"/>
          <w:color w:val="000000" w:themeColor="text1"/>
          <w:sz w:val="16"/>
          <w:szCs w:val="16"/>
          <w:lang w:val="en-US"/>
        </w:rPr>
        <w:t>IV</w:t>
      </w:r>
      <w:r w:rsidRPr="00640820">
        <w:rPr>
          <w:rFonts w:ascii="Times New Roman" w:hAnsi="Times New Roman"/>
          <w:color w:val="000000" w:themeColor="text1"/>
          <w:sz w:val="16"/>
          <w:szCs w:val="16"/>
        </w:rPr>
        <w:t xml:space="preserve"> серии (пр, 39) «Снег», «Туча» (04.1935-09.1938); пр. 29 «Ястреб» (05.1939-07.1940), «Беркут», «Сокол», «Гриф», «Тайфун» (1939-41-), пр. 29к «Орел», «Коршун», «Зоркий» (1947-51); пограничные пр. 43 ПСК-301 («Жемчуг»), ПСК-302 («Рубин»), ПСК-303 («Бриллиант»), ПСК-304 («Сапфир») (1934-37); пр. 61 С-751 «Огневой» (08.1962-05.1963), «Образцовый» (1963-), «Одаренный» (1963-), «Славный» (1964-), «Стерегущий» (1964-66); пр. 1135, «Жаркий» (04.1974-76), «Ретивый» (1974-), «Комсомолец Ленинграда» (03.1976-09.1977), «Бдительный» (-09.1979)- 6; корвет пр. 20380 «Стерегущий» (12.2001-06), «Сообразительный» (05.2003-03.2010), «Бойкий» (07.2005-), «Стойкий» (11.2006-); БПЛК пр. 1155 «Удалой»; служебно-разъездной катер пр. 21270 «Буревестник» (-05.2003 г.), «Альбатрос» (-2007); суда спецназначения для ВМФ: освещения подводной обстановки пр. 11810 (1980-е-90-е, не достроен); корабль разведки и связи пр. 18280 «Адмирал Ю. Иванов» (12.2004-); фрегат пр. 22350 «Адмирал Горшков» (02.2006 г.-); передаточный плавдок на 12.000 т пр. 1769 (1972- 75)- 2; автомобильные паромы (1970-е); пассажирский теплоход пр. 1877 «Россия» (1973); гл. турбины для эсминцев пр. 45 (1936), пр. 7 (1930-е); бомбы ЗАБ-50, ЗАБ-2,5, детали минометов (ВОВ); переоборудование: транспорта «Тосно» в плавбазу ПЛ (1916), пароходов «Вергилия» и «Руссланд» в минзаги «Свирь» и «Мета» (1915), рефрижератора «Феликс Дзержинский» в минный заградитель пр. 125 (1940); финских судов в экспедиционные гидроакустические пр. 221 и пр. 222 (</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960)- 2; лесовозов пр. 596 в плавучий КИК по пр. 1918 «Селена-1» (1967)- 4 (вместе с заводом 870), по пр. 1929 «Селена-2» (1976-78)- 4; БРК пр. 57Б в БПЖ по пр. 57А (1968-73)- 8 (вместе с заводами 445 и 202); БПЛК пр. 61 по пр. 61МП (1971-81)- 5 (вместе с заводами 445 и 497); капремонт: гидроавиатранспорта «Орлица» (1922); лидера «Минск» (ВОВ); восстановительно- реставрационный ремонт крейсера «Аврора» по пр. 01917 (1984-87);</w:t>
      </w:r>
      <w:r w:rsidRPr="00640820">
        <w:rPr>
          <w:rFonts w:ascii="Times New Roman" w:hAnsi="Times New Roman"/>
          <w:color w:val="000000" w:themeColor="text1"/>
          <w:sz w:val="16"/>
          <w:szCs w:val="16"/>
          <w:vertAlign w:val="superscript"/>
        </w:rPr>
        <w:t>116</w:t>
      </w:r>
      <w:r w:rsidRPr="00640820">
        <w:rPr>
          <w:rFonts w:ascii="Times New Roman" w:hAnsi="Times New Roman"/>
          <w:color w:val="000000" w:themeColor="text1"/>
          <w:sz w:val="16"/>
          <w:szCs w:val="16"/>
        </w:rPr>
        <w:t xml:space="preserve"> эсминцев пр. 956, БПЖ пр. 1155, крейсера «Адмирал Устинов» (1990-е) (11982).</w:t>
      </w:r>
    </w:p>
    <w:p w14:paraId="2CA968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A23B4BB"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46D9723A"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F00047F"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СЕНТЯБРЯ 1941 УТРЕННЕЕ СООБЩЕНИЕ Совинформбюро:</w:t>
      </w:r>
    </w:p>
    <w:p w14:paraId="5EB9456A"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ночь на 17 сентября наши войска вели бои с противником на всём фронте. </w:t>
      </w:r>
    </w:p>
    <w:p w14:paraId="04A8E614"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одном из участков Западного направления фронта наши части в ожесточённых боях с противником уничтожили и захватили 60 вражеских танков, 24 орудия, 51 пулемёт, 13 миномётов, 316 винтовок, 40 ящиков снарядов и много другого вооружения. На другом участке Западного направления фронта советские артиллеристы за один день уничтожили и подавили 46 фашистских огневых пулемётных точек, 10 миномётных и 15 орудийных батарей, разрушили 17 блиндажей с немецкой пехотой и взорвали 5 складов с боеприпасами. </w:t>
      </w:r>
    </w:p>
    <w:p w14:paraId="5E8F3653"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Успешным налётом наших самолётов на скопление войск противника на одном из участков Северо-Западного направления фронта разбито 27 автомашин с вражеской пехотой, 5 автомашин с боеприпасами, 5 танков, батарея зенитной артиллерии и уничтожено до 150 фашистских солдат. Самолёты авиаподразделений полковников Торопчина и Данилова при налёте на аэродром противника вывели из строя 22 фашистских самолёта. </w:t>
      </w:r>
    </w:p>
    <w:p w14:paraId="3723FCAC"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упорном бою на подступах к Одессе моряки-пулемётчики под командованием тов. Жарикова разгромили кавалерийскую часть противника. На поле боя осталось много убитых и раненых вражеских солдат. В плен взято несколько десятков кавалеристов. </w:t>
      </w:r>
    </w:p>
    <w:p w14:paraId="7AA12940"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Группа самолётов под командованием старшего лейтенанта Новикова уничтожила на Западном направлении фронта 50 автомашин, 4 батареи зенитной артиллерии, 2 батареи полковой артиллерии, 250 немецких солдат и несколько железнодорожных вагонов с солдатами. Группа самолётов младшего лейтенанта Коробкина уничтожила 20 немецких вагонов с воинским грузом, 3 цистерны с горючим, 8 автомашин с пехотой, расстреляла из пулемёта скопление пехоты противника и уничтожила больше 100 солдат. Самолёты под командованием лейтенанта Орленко атаковали автоколонну и колонну пехоты и артиллерии. Уничтожено 15 автомашин, 3 танка, 6 повозок, 3 батареи и до 150 солдат противника. </w:t>
      </w:r>
    </w:p>
    <w:p w14:paraId="13B86321"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территории Латвии, оккупированной немецкими захватчиками, отважно действуют многочисленные партизанские отряды. Недалеко от гор. Алуксне партизанский отряд под командованием начальника цеха одного из рижских заводов тов. К. совершенно парализовал движение на узкоколейной железной дороге. За один месяц партизаны уничтожили 21 вагон и 3 паровоза, 16 автомашин, телефонную связь на линии Алуксне-Вецгулбене и перебили свыше 120 солдат и офицеров. Многие партизаны этого отряда вооружены пистолетами-пулемётами, захваченными у фашистов. Один из партизанских отрядов, составленный из рабочих елгавских предприятий, взорвал на днях поезд с продовольствием для Германии. 8 сентября отряд совершил нападение на большую немецкую автоколонну с продовольствием. В результате налёта уничтожены 16 грузовых машин и 7 мотоциклов. </w:t>
      </w:r>
    </w:p>
    <w:p w14:paraId="23BFAB9A"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Партизанский отряд под командованием тов. Э. захватил две автомашины с минами. В ночь на 8 сентября бойцы отряда минировали мост через р. Гауя, что северо-восточнее населенного пункта Смилтэнэ. Утром к мосту подошла немецкая автоколонна с боеприпасами. Когда на мост въехали две машины, командир партизанского отряда тов. Э. взорвал мост. Вместе с мостом на воздух взлетели обе автомашины. За полтора месяца боевых действий отряд истребил 65 немецких солдат и 8 офицеров. </w:t>
      </w:r>
    </w:p>
    <w:p w14:paraId="0B26F8C8"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Немецко-фашистские власти создают на захваченной советской территории «местные органы управления» из бандитско-кулацких элементов и уголовных преступников. В Ганцевичском районе, Пинской области, «местное управление» создано во главе с известным бандитом Пушкар-Пухальским, расстреливавшим рабочих в 1920 году. По заданию немцев Пушкар-Пухальский в целях кровавой расправы с местным населением создал банду из уголовных преступников. В местечке Кожан немцы посадили городским головой некоего Олесика, неоднократно судившегося за кражи и хулиганство. Комендантом полиции в деревне Симогостичи, Давид-Городокского района, Пинской области, назначен уголовник — вор и убийца Левковский. В руки этих и им подобных отъявленных негодяев, бандитов, уголовных преступников, руководимых гестапо, передана судьба населения захваченных фашистами районов. </w:t>
      </w:r>
    </w:p>
    <w:p w14:paraId="7122CF38"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неслыханной жестокостью расправляются немецко-фашистские мерзавцы с мирным населением захваченных районов Советской Украины. В селе Томаковка, Днепропетровской области, немцы согнали всех жителей и приказали им построить мост через речку. Фашисты заставили крестьян таскать на себе тяжёлые брёвна и камни. Многие женщины и старики падали от непосильной тяжести. Фашистские палачи плётками и штыками поднимали обессилевших людей. Старика-колхозника С. П. Губенко, пытавшегося защитить свою жену, упавшую под тяжестью бревна, немецкий унтер-офицер заколол штыком. </w:t>
      </w:r>
    </w:p>
    <w:p w14:paraId="5F748AE2"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селе Екатериновка, Первомайского рай она, Одесской области, немцы ворвались в дом председателя сельского потребительского общества и увезли его дочерей, затем надругались над девушками и зверски их замучили. Недалеко от Первомайска немецкие офицеры остановили две подводы с беженцами. Фашисты ограбили беженцев, а потом после долгих и чудовищных издевательств расстреляли всех: старика, старуху, подростка, двух молодых женщин и грудного ребёнка. Погром в городе Первомайске длился несколько дней. Толпы фашистских солдат врывались в квартиры, грабили и убивали беззащитных жителей. </w:t>
      </w:r>
    </w:p>
    <w:p w14:paraId="1500DD8A"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Трудовую доблесть проявляют машинисты железнодорожного транспорта, бесперебойно доставляющие тяжеловесные поезда со срочными грузами. Машинисты депо Сонково Ярославской железной дороги за последние полтора месяца провели более 130 тяжеловесных поездов, доставив сверх нормы такое количество грузов, на перевозку которых обычными составами потребовалось бы дополнительно 50 поездов. Больше 60 тяжеловесных поездов провели за восемь дней машинисты одного из депо Северо-Донецкой железной дороги. Машинисты-стахановцы Московско-Донбасской железной дороги т.т. Придворов, Алимов, Рубцов, Костенко, Жеронкин за два дня провели 17 тяжеловесных поездов. Машинисты т.т. Волков, Янченко, Мацнев и другие перевезли сверх нормы 32 тысячи тонн грузов. Около 80 тяжеловесных поездов провели за шесть дней машинисты Сызранского депо железной дороги имени Куйбышева (14772).</w:t>
      </w:r>
    </w:p>
    <w:p w14:paraId="5D3FBE03" w14:textId="77777777" w:rsidR="001547E5" w:rsidRPr="00640820" w:rsidRDefault="001547E5" w:rsidP="00640820">
      <w:pPr>
        <w:spacing w:after="0" w:line="240" w:lineRule="auto"/>
        <w:jc w:val="both"/>
        <w:rPr>
          <w:rFonts w:ascii="Times New Roman" w:hAnsi="Times New Roman"/>
          <w:color w:val="000000" w:themeColor="text1"/>
          <w:sz w:val="16"/>
          <w:szCs w:val="16"/>
        </w:rPr>
      </w:pPr>
    </w:p>
    <w:p w14:paraId="716972D8"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СЕНТЯБРЯ 1941 ВЕЧЕРНЕЕ СООБЩЕНИЕ Совинформбюро:</w:t>
      </w:r>
    </w:p>
    <w:p w14:paraId="7567CF09"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течение 17 сентября наши войска вели упорные бои с противником на всём фронте. </w:t>
      </w:r>
    </w:p>
    <w:p w14:paraId="2A7E952A"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течение 15 сентября в воздушных боях и на аэродромах противника уничтожено 78 немецких самолётов. Наши потери — 25 самолётов. </w:t>
      </w:r>
    </w:p>
    <w:p w14:paraId="552D40B3"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УДАР ПО ТАНКОВОЙ ГРУППЕ ГУДЕРИАНА </w:t>
      </w:r>
    </w:p>
    <w:p w14:paraId="44180811"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Гитлеровцы ещё 3 сентября объявили о захвате Брянска немецкими войсками. Однако это сообщение, как и многие другие, явилось очередной выдумкой и бахвальством. Немецкое командование, бросив в начале сентября на Брянск большую группу танковых и мотомеханизированных войск под командованием небезызвестного генерала Гудериана, рассчитывало, видимо, прорвать наш фронт и захватить Брянск. Однако действиями наших наземных войск и массированными </w:t>
      </w:r>
      <w:r w:rsidRPr="00640820">
        <w:rPr>
          <w:rFonts w:ascii="Times New Roman" w:hAnsi="Times New Roman"/>
          <w:color w:val="000000" w:themeColor="text1"/>
          <w:sz w:val="16"/>
          <w:szCs w:val="16"/>
        </w:rPr>
        <w:lastRenderedPageBreak/>
        <w:t xml:space="preserve">последовательными ударами нашей авиации планы немецко-фашистского командования были сорваны. В упорных боях немецким войскам были нанесены тяжёлые потери. Враг потерял более 20 тысяч убитыми, ранеными и пленными. Уничтожено до 500 немецких танков, 70 бронемашин, 1525 автомашин, 196 самолётов, уничтожено и частью захвачено исправных 206 орудий, захвачено 85 станковых и 51 ручной пулемёт, 51 миномёт, несколько тысяч винтовок, большое количество винтовочных патронов, гранат, снарядов и несколько радиостанций. </w:t>
      </w:r>
    </w:p>
    <w:p w14:paraId="68FA435F"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Танковая группа Гудериана, потеряв таким образом две трети своих танков, оказалась отброшенной далеко от Брянска. </w:t>
      </w:r>
    </w:p>
    <w:p w14:paraId="63F7937D"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ЕЩЁ ОДНА ГИТЛЕРОВСКАЯ ЛОЖЬ </w:t>
      </w:r>
    </w:p>
    <w:p w14:paraId="2BE2058B"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Германское информационное бюро руководствуется наставлениями Гитлера о том, что «нет смысла заниматься мелким враньём; ложь должна быть такой величины, чтобы слушатели никогда не посмели подумать, что её можно выдумать». Очередная порция такой лжи была преподнесена миру 16 сентября от имени верховного командования вооружённых сил Германии. Фашистское радио сообщило, будто бы германская армия в районе озера Ильмень разбила крупные силы трех советских армий, которые якобы потеряли 53 тысячи человек пленными, 320 танков, 695 орудий. Это сообщение германского командования от начала до конца является хвастливой брехнёй. </w:t>
      </w:r>
    </w:p>
    <w:p w14:paraId="18FB64E3"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указанном участке фронта свыше месяца происходили и происходят упорные бои, в ходе которых наши войска понесли потери убитыми и ранеными до 30 тысяч человек. Никаких 320 танков не могли потерять советские войска, так как танков на этом фронте было всего два-три десятка. Что касается артиллерии, то мифическая цифра потерь в 695 орудий должна быть снижена до 42 орудий. </w:t>
      </w:r>
    </w:p>
    <w:p w14:paraId="7F5A2590"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Немецкие солдаты, захваченные нами в плен на этом участке фронта, в один голос заявляют об огромных потерях немецких войск в этих боях. Как правило, показывают пленные немецкие солдаты, в ротах осталось 25-30 человек, а во многих ротах по 8-12 человек. По самым минимальным подсчётам, за время боёв на этом участке фронта немцы потеряли убитыми, ранеными и пленными не менее 45-50 тысяч человек. Таковы факты, а факты упрямая вещь. Не имея действительных успехов, немецкое командование вынуждено эти успехи выдумывать. </w:t>
      </w:r>
    </w:p>
    <w:p w14:paraId="406001FE"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Рост антифашистских настроений в Югославии усиливается с каждым днём. В Загребе произошло несколько взрывов бомб на центральной телефонной станции. В результате взрыва телефонная связь, как в городе, так и за его пределами нарушена. Во время взрывов тяжело ранены майор корпуса связи Меринг и начальник местной секретной полиция Рейкович. Среди раненых 4 германских солдата и один лейтенант. Одновременно со взрывом на телефонной станции в другом квартале города были обстреляны из пулемёта и ранены 6 фашистских солдат. </w:t>
      </w:r>
    </w:p>
    <w:p w14:paraId="3E3950B4"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Озверелые фашистские орды продолжают чудовищные издевательства над мирным населением захваченных городов и деревень. Ворвавшись в село В.-Литовская, Киевского района, немцы начали грабить крестьян. Фашисты забирали всё, что попадалось под руку: свиней, кур, хлеб, одежду и посуду. У колхозника Фёдора Андруховича немецкие бандиты отняли подушки, вёдра, ложки, миски, сухари, керосиновую лампу, марлевые занавески и часы-ходики. Солдаты избили детей Ф. Андруховича и вырвали у них из рук последнюю буханку хлеба. У колхозницы Ульяны Косенко и колхозника Семёнова забрали корову, кур и всю одежду. </w:t>
      </w:r>
    </w:p>
    <w:p w14:paraId="37D9E4A7"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селе Алексеевка, Бобринецкого района, Кировоградской области, фашистские офицеры устроили пьянку. Всем местным девушкам было приказано, под угрозой строгого наказания, явиться в помещение, где пьянствовали гитлеровские офицеры. Ни одна девушка, разумеется, не пришла. Тогда немецкие солдаты устроили облаву. Они врывались в дома жителей и пытались насильно увести девушек. Некоторые крестьяне заперлись и не впускали к себе фашистских извергов. Рассвирепевшие фашисты взломали двери, вывели на улицу и расстреляли четырёх колхозников и колхозниц. Вечером пьяные немецкие офицеры зверски убили местную учительницу, которая категорически отказалась явиться в фашистский притон. Второго сентября пьяные солдаты застрелили старого крестьянина Остапа Миро-ненко и его 12-летнего внука. </w:t>
      </w:r>
    </w:p>
    <w:p w14:paraId="3D25BDA6"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Самоотверженно трудятся горняки угольных бассейнов Востока, доставляя стране тысячи тонн угля сверх плана. Комбинаты «Кузбассуголь», «Уралуголь», тресты «Сахалинуголь», «Кизелуголь» и другие значительно перевыполнили план августа и первых дней сентября. Коллективы шахт имени 1 мая и № 4 треста «Кизелуголь» уже выполнили девятимесячные задания. Ежедневно дают уголь сверх плана горняки шахт имени Урицкого и № 24. Знатный машинист врубовой машины Кокшаров подрубает по две лавы в смену. Шахта № 8 треста «Востсибуголь» выполнила девятимесячную программу на 19 дней ранее срока. По сравнению с прошлым годом угледобыча возросла на 36 процентов, себестоимость угля снижена на 12 процентов. Бригада навалоотбойщиков Суринова выполнила годовую программу за 8 месяцев. </w:t>
      </w:r>
    </w:p>
    <w:p w14:paraId="6BE9611E"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Успешно работают женщины, недавно овладевшие профессией горняков. Забойщик шахты им. Кирова т. Татаринцева дневную норму выполняет более чем на 200 процентов, забойщики Семёнова и Фудякова дают по полторы и более нормы. </w:t>
      </w:r>
    </w:p>
    <w:p w14:paraId="733FB79A"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Передовые бригады навалоотбойщиков Абдрахманова и Митрофанова Карагандинской шахты № 20 уже перевыполнили свою годовую программу. Врубмашинист этой шахты Степанов добился самой высокой в стране производительности врубовки на твёрдом пласту: 20-23 тысячи тонн в месяц (14772).</w:t>
      </w:r>
    </w:p>
    <w:p w14:paraId="6E738AF3" w14:textId="77777777" w:rsidR="001547E5" w:rsidRPr="00640820" w:rsidRDefault="001547E5" w:rsidP="00640820">
      <w:pPr>
        <w:spacing w:after="0" w:line="240" w:lineRule="auto"/>
        <w:jc w:val="both"/>
        <w:rPr>
          <w:rFonts w:ascii="Times New Roman" w:hAnsi="Times New Roman"/>
          <w:color w:val="000000" w:themeColor="text1"/>
          <w:sz w:val="16"/>
          <w:szCs w:val="16"/>
        </w:rPr>
      </w:pPr>
    </w:p>
    <w:p w14:paraId="61A67D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сентября 1941 три “Ильюшина” не вернулись с бомбежки вражеских частей в районе Урицка - Лигово. К этому времени наступление противника выдохлось, а основа его ударной мощи, 4-я танковая группа, начала спешно перебрасываться на московское направление. Впрочем, не зная об этом. наше командование продолжало планировать бомбовые удары по войскам противника и в октябре (9809).</w:t>
      </w:r>
    </w:p>
    <w:p w14:paraId="4B34B5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D9DB738" w14:textId="77777777" w:rsidR="00E7681F" w:rsidRPr="00640820" w:rsidRDefault="00E7681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17 сентября 1941 г. 4</w:t>
      </w:r>
      <w:r w:rsidRPr="00640820">
        <w:rPr>
          <w:rFonts w:ascii="Times New Roman" w:hAnsi="Times New Roman"/>
          <w:color w:val="0070C0"/>
          <w:sz w:val="16"/>
          <w:szCs w:val="16"/>
        </w:rPr>
        <w:noBreakHyphen/>
        <w:t>й шап майора Гетьмана после переформирования включили в состав ВВС Южного фронта он перелетел на аэродром Гуляй</w:t>
      </w:r>
      <w:r w:rsidRPr="00640820">
        <w:rPr>
          <w:rFonts w:ascii="Times New Roman" w:hAnsi="Times New Roman"/>
          <w:color w:val="0070C0"/>
          <w:sz w:val="16"/>
          <w:szCs w:val="16"/>
        </w:rPr>
        <w:noBreakHyphen/>
        <w:t>поле, на Украине. В полку были две эскадрильи, насчитывавшие двадцать четыре Ил</w:t>
      </w:r>
      <w:r w:rsidRPr="00640820">
        <w:rPr>
          <w:rFonts w:ascii="Times New Roman" w:hAnsi="Times New Roman"/>
          <w:color w:val="0070C0"/>
          <w:sz w:val="16"/>
          <w:szCs w:val="16"/>
        </w:rPr>
        <w:noBreakHyphen/>
        <w:t>2. Он участвовал в боях в Донбассе и затем приказом наркома обороны СССР № 70 от 7 марта 1942 г. был преобразован в 7</w:t>
      </w:r>
      <w:r w:rsidRPr="00640820">
        <w:rPr>
          <w:rFonts w:ascii="Times New Roman" w:hAnsi="Times New Roman"/>
          <w:color w:val="0070C0"/>
          <w:sz w:val="16"/>
          <w:szCs w:val="16"/>
        </w:rPr>
        <w:noBreakHyphen/>
        <w:t>й гв. шап.</w:t>
      </w:r>
    </w:p>
    <w:p w14:paraId="768A937E" w14:textId="77777777" w:rsidR="00E7681F" w:rsidRPr="00640820" w:rsidRDefault="00E7681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Гетьман командовал полком до 17 мая 1942 г., а затем в звании подполковника, так же как и Ложечников, был назначен командиром вновь сформированной дивизии – 230</w:t>
      </w:r>
      <w:r w:rsidRPr="00640820">
        <w:rPr>
          <w:rFonts w:ascii="Times New Roman" w:hAnsi="Times New Roman"/>
          <w:color w:val="0070C0"/>
          <w:sz w:val="16"/>
          <w:szCs w:val="16"/>
        </w:rPr>
        <w:noBreakHyphen/>
        <w:t>й шад. С 22 мая она входила в состав 4</w:t>
      </w:r>
      <w:r w:rsidRPr="00640820">
        <w:rPr>
          <w:rFonts w:ascii="Times New Roman" w:hAnsi="Times New Roman"/>
          <w:color w:val="0070C0"/>
          <w:sz w:val="16"/>
          <w:szCs w:val="16"/>
        </w:rPr>
        <w:noBreakHyphen/>
        <w:t>й воздушной армии Южного фронта. Гетьман командовал ею до конца войны. 22 марта 1943 г. он получил звание полковника, а 1 июля 1944 г. – генерал</w:t>
      </w:r>
      <w:r w:rsidRPr="00640820">
        <w:rPr>
          <w:rFonts w:ascii="Times New Roman" w:hAnsi="Times New Roman"/>
          <w:color w:val="0070C0"/>
          <w:sz w:val="16"/>
          <w:szCs w:val="16"/>
        </w:rPr>
        <w:noBreakHyphen/>
        <w:t>майора. Его дивизия была награждена орденами Красного Знамени и Суворова и получила почетное наименование «Кубанская» (23199).</w:t>
      </w:r>
    </w:p>
    <w:p w14:paraId="3D4932CC" w14:textId="77777777" w:rsidR="00E7681F" w:rsidRPr="00640820" w:rsidRDefault="00E7681F" w:rsidP="00640820">
      <w:pPr>
        <w:spacing w:after="0" w:line="240" w:lineRule="auto"/>
        <w:jc w:val="both"/>
        <w:rPr>
          <w:rFonts w:ascii="Times New Roman" w:hAnsi="Times New Roman"/>
          <w:color w:val="0070C0"/>
          <w:sz w:val="16"/>
          <w:szCs w:val="16"/>
        </w:rPr>
      </w:pPr>
    </w:p>
    <w:p w14:paraId="3C2E96D9" w14:textId="77777777" w:rsidR="00E7681F" w:rsidRPr="00640820" w:rsidRDefault="00E7681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17 сентября 1941 разведчик Пе</w:t>
      </w:r>
      <w:r w:rsidRPr="00640820">
        <w:rPr>
          <w:rFonts w:ascii="Times New Roman" w:hAnsi="Times New Roman"/>
          <w:color w:val="0070C0"/>
          <w:sz w:val="16"/>
          <w:szCs w:val="16"/>
        </w:rPr>
        <w:noBreakHyphen/>
        <w:t>2 с высоты 3000 метров сфотографировал летное поле немецкого аэродрома Шаталово. При этом по пешке велся сильный зенитный огонь, что свидетельствовало о мощной противовоздушной обороне. На полученных снимках дешифровщики насчитали аж 300 самолетов всех типов. Видимо, качество фотографий было таковым, что один объект можно было принять за десять.</w:t>
      </w:r>
    </w:p>
    <w:p w14:paraId="625DDB65" w14:textId="77777777" w:rsidR="00E7681F" w:rsidRPr="00640820" w:rsidRDefault="00E7681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Обнаруженное «скопление» решили подвергнуть удару штурмовиков. Прикрывать их должны были 10 ЛаГГ</w:t>
      </w:r>
      <w:r w:rsidRPr="00640820">
        <w:rPr>
          <w:rFonts w:ascii="Times New Roman" w:hAnsi="Times New Roman"/>
          <w:color w:val="0070C0"/>
          <w:sz w:val="16"/>
          <w:szCs w:val="16"/>
        </w:rPr>
        <w:noBreakHyphen/>
        <w:t>3 из 129</w:t>
      </w:r>
      <w:r w:rsidRPr="00640820">
        <w:rPr>
          <w:rFonts w:ascii="Times New Roman" w:hAnsi="Times New Roman"/>
          <w:color w:val="0070C0"/>
          <w:sz w:val="16"/>
          <w:szCs w:val="16"/>
        </w:rPr>
        <w:noBreakHyphen/>
        <w:t>го иап. Бывший летчик этого полка Павел Ильич Песков затем после войны вспоминал: «Вечером 17.09 при изучении задачи мы узнали, что подход к цели штурмовики производят с бреющего полета, атакуют цель с планирования, предварительно набрав высоту 400–500 м. Для точного выхода на цель и отвлечения зенитного огня выделены два лидера на самолетах Пе</w:t>
      </w:r>
      <w:r w:rsidRPr="00640820">
        <w:rPr>
          <w:rFonts w:ascii="Times New Roman" w:hAnsi="Times New Roman"/>
          <w:color w:val="0070C0"/>
          <w:sz w:val="16"/>
          <w:szCs w:val="16"/>
        </w:rPr>
        <w:noBreakHyphen/>
        <w:t xml:space="preserve">2, хорошо знающие район аэродрома. Наша группа обеспечивает действия штурмовиков, сопровождая их до цели и обратно, подавляя зенитный огонь и уничтожая взлетающих и находящихся в воздухе истребителей противника». </w:t>
      </w:r>
    </w:p>
    <w:p w14:paraId="45B6A65B" w14:textId="77777777" w:rsidR="00E7681F" w:rsidRPr="00640820" w:rsidRDefault="00E7681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Все участвующие в ударе самолеты должны были вылететь с аэродрома Шайновка. Их боевой порядок был спланирован, как в учебниках по тактике. Штурмовики шли к цели в плотном боевом порядке, а слева и справа от них с превышением на 600–1000 метров – истребители сопровождения. Еще двум ЛаГГам предписывалось держаться рядом с самолетом</w:t>
      </w:r>
      <w:r w:rsidRPr="00640820">
        <w:rPr>
          <w:rFonts w:ascii="Times New Roman" w:hAnsi="Times New Roman"/>
          <w:color w:val="0070C0"/>
          <w:sz w:val="16"/>
          <w:szCs w:val="16"/>
        </w:rPr>
        <w:noBreakHyphen/>
        <w:t>лидером Пе</w:t>
      </w:r>
      <w:r w:rsidRPr="00640820">
        <w:rPr>
          <w:rFonts w:ascii="Times New Roman" w:hAnsi="Times New Roman"/>
          <w:color w:val="0070C0"/>
          <w:sz w:val="16"/>
          <w:szCs w:val="16"/>
        </w:rPr>
        <w:noBreakHyphen/>
        <w:t>2.</w:t>
      </w:r>
    </w:p>
    <w:p w14:paraId="0B18C3C8" w14:textId="77777777" w:rsidR="00E7681F" w:rsidRPr="00640820" w:rsidRDefault="00E7681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Удар по аэродрому Шаталово был намечен на 18 сентября, на 6.30 по московскому времени. Однако из</w:t>
      </w:r>
      <w:r w:rsidRPr="00640820">
        <w:rPr>
          <w:rFonts w:ascii="Times New Roman" w:hAnsi="Times New Roman"/>
          <w:color w:val="0070C0"/>
          <w:sz w:val="16"/>
          <w:szCs w:val="16"/>
        </w:rPr>
        <w:noBreakHyphen/>
        <w:t>за задержки с заправкой вылет подготовить не успели. Между тем в небе вскоре показались немецкие самолеты, целью которых, как оказалось, был сам аэродром Шайновка. Двенадцать Bf</w:t>
      </w:r>
      <w:r w:rsidRPr="00640820">
        <w:rPr>
          <w:rFonts w:ascii="Times New Roman" w:hAnsi="Times New Roman"/>
          <w:color w:val="0070C0"/>
          <w:sz w:val="16"/>
          <w:szCs w:val="16"/>
        </w:rPr>
        <w:noBreakHyphen/>
        <w:t>110 нанесли по нему внезапный бомбово</w:t>
      </w:r>
      <w:r w:rsidRPr="00640820">
        <w:rPr>
          <w:rFonts w:ascii="Times New Roman" w:hAnsi="Times New Roman"/>
          <w:color w:val="0070C0"/>
          <w:sz w:val="16"/>
          <w:szCs w:val="16"/>
        </w:rPr>
        <w:noBreakHyphen/>
        <w:t>штурмовой удар, выведя из строя два Ил</w:t>
      </w:r>
      <w:r w:rsidRPr="00640820">
        <w:rPr>
          <w:rFonts w:ascii="Times New Roman" w:hAnsi="Times New Roman"/>
          <w:color w:val="0070C0"/>
          <w:sz w:val="16"/>
          <w:szCs w:val="16"/>
        </w:rPr>
        <w:noBreakHyphen/>
        <w:t>2 и по одному Пе</w:t>
      </w:r>
      <w:r w:rsidRPr="00640820">
        <w:rPr>
          <w:rFonts w:ascii="Times New Roman" w:hAnsi="Times New Roman"/>
          <w:color w:val="0070C0"/>
          <w:sz w:val="16"/>
          <w:szCs w:val="16"/>
        </w:rPr>
        <w:noBreakHyphen/>
        <w:t>2 и ЛаГГ</w:t>
      </w:r>
      <w:r w:rsidRPr="00640820">
        <w:rPr>
          <w:rFonts w:ascii="Times New Roman" w:hAnsi="Times New Roman"/>
          <w:color w:val="0070C0"/>
          <w:sz w:val="16"/>
          <w:szCs w:val="16"/>
        </w:rPr>
        <w:noBreakHyphen/>
        <w:t>3. Это несколько ослабило ударную группу, однако отказываться от атаки не собирались.</w:t>
      </w:r>
    </w:p>
    <w:p w14:paraId="501B9783" w14:textId="77777777" w:rsidR="00E7681F" w:rsidRPr="00640820" w:rsidRDefault="00E7681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воздух поднялись 22 самолета, в том числе 12 Ил</w:t>
      </w:r>
      <w:r w:rsidRPr="00640820">
        <w:rPr>
          <w:rFonts w:ascii="Times New Roman" w:hAnsi="Times New Roman"/>
          <w:color w:val="0070C0"/>
          <w:sz w:val="16"/>
          <w:szCs w:val="16"/>
        </w:rPr>
        <w:noBreakHyphen/>
        <w:t>2. Песков продолжал свой рассказ: «Встретив поблизости от линии фронта низкую облачность, левая группа ЛаГГ</w:t>
      </w:r>
      <w:r w:rsidRPr="00640820">
        <w:rPr>
          <w:rFonts w:ascii="Times New Roman" w:hAnsi="Times New Roman"/>
          <w:color w:val="0070C0"/>
          <w:sz w:val="16"/>
          <w:szCs w:val="16"/>
        </w:rPr>
        <w:noBreakHyphen/>
        <w:t xml:space="preserve">3 под командой капитана Горюнова вернулась обратно. Несмотря на значительное улучшение погоды, группа прошла оставшиеся до цели 60 км на бреющем полете. </w:t>
      </w:r>
    </w:p>
    <w:p w14:paraId="4D905DD9" w14:textId="77777777" w:rsidR="00E7681F" w:rsidRPr="00640820" w:rsidRDefault="00E7681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При подходе к цели с юго</w:t>
      </w:r>
      <w:r w:rsidRPr="00640820">
        <w:rPr>
          <w:rFonts w:ascii="Times New Roman" w:hAnsi="Times New Roman"/>
          <w:color w:val="0070C0"/>
          <w:sz w:val="16"/>
          <w:szCs w:val="16"/>
        </w:rPr>
        <w:noBreakHyphen/>
        <w:t xml:space="preserve">западного сектора штурмовики перестроились в колонну звеньев по шесть самолетов в группе. В это время лидер сбросил бомбы по летному полю и серией зеленых ракет дал сигнал, что истребителей противника в воздухе нет. </w:t>
      </w:r>
    </w:p>
    <w:p w14:paraId="366D1ED5" w14:textId="77777777" w:rsidR="00E7681F" w:rsidRPr="00640820" w:rsidRDefault="00E7681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Перед атакой штурмовики набирали высоту 400–500 м и с планирования под углом 15–20 градусов начали обстрел ракетными снарядами и пулеметно</w:t>
      </w:r>
      <w:r w:rsidRPr="00640820">
        <w:rPr>
          <w:rFonts w:ascii="Times New Roman" w:hAnsi="Times New Roman"/>
          <w:color w:val="0070C0"/>
          <w:sz w:val="16"/>
          <w:szCs w:val="16"/>
        </w:rPr>
        <w:noBreakHyphen/>
        <w:t xml:space="preserve">пушечным огнем, сбрасывая осколочные и фугасные бомбы с замедлением на выводе из планирования». </w:t>
      </w:r>
    </w:p>
    <w:p w14:paraId="1344926B" w14:textId="77777777" w:rsidR="00E7681F" w:rsidRPr="00640820" w:rsidRDefault="00E7681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Истребители также участвовали в штурмовке, обстреливая с пикирования зенитные батареи. Последние вели интенсивный огонь и сбили два Ил</w:t>
      </w:r>
      <w:r w:rsidRPr="00640820">
        <w:rPr>
          <w:rFonts w:ascii="Times New Roman" w:hAnsi="Times New Roman"/>
          <w:color w:val="0070C0"/>
          <w:sz w:val="16"/>
          <w:szCs w:val="16"/>
        </w:rPr>
        <w:noBreakHyphen/>
        <w:t>2, а также один ЛаГГ</w:t>
      </w:r>
      <w:r w:rsidRPr="00640820">
        <w:rPr>
          <w:rFonts w:ascii="Times New Roman" w:hAnsi="Times New Roman"/>
          <w:color w:val="0070C0"/>
          <w:sz w:val="16"/>
          <w:szCs w:val="16"/>
        </w:rPr>
        <w:noBreakHyphen/>
        <w:t>3, который совершил вынужденную посадку «на живот» в трех километрах от Шаталово. По возвращении летчики заявили об уничтожении «до двадцати» самолетов противника, что в очередной раз было подтверждено некими агентурными данными. Однако, по данным противника, никаких уничтоженных самолетов в Шаталово 18 сентября не числится (23199).</w:t>
      </w:r>
    </w:p>
    <w:p w14:paraId="48B1DFD2" w14:textId="77777777" w:rsidR="00E7681F" w:rsidRPr="00640820" w:rsidRDefault="00E7681F" w:rsidP="00640820">
      <w:pPr>
        <w:spacing w:after="0" w:line="240" w:lineRule="auto"/>
        <w:jc w:val="both"/>
        <w:rPr>
          <w:rFonts w:ascii="Times New Roman" w:hAnsi="Times New Roman"/>
          <w:color w:val="0070C0"/>
          <w:sz w:val="16"/>
          <w:szCs w:val="16"/>
        </w:rPr>
      </w:pPr>
    </w:p>
    <w:p w14:paraId="402E75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сентября 4 шап, первый вооруженный Ил-2, получив 24 Ил-2 отправился из Воронежа на фронт (241,16).</w:t>
      </w:r>
    </w:p>
    <w:p w14:paraId="516814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0D9E7FF" w14:textId="77777777" w:rsidR="00EF6A8F" w:rsidRPr="00640820" w:rsidRDefault="00EF6A8F" w:rsidP="00640820">
      <w:pPr>
        <w:pStyle w:val="ae"/>
        <w:spacing w:before="0" w:after="0"/>
        <w:jc w:val="both"/>
        <w:textAlignment w:val="baseline"/>
        <w:rPr>
          <w:color w:val="000000" w:themeColor="text1"/>
          <w:sz w:val="16"/>
          <w:szCs w:val="16"/>
        </w:rPr>
      </w:pPr>
      <w:r w:rsidRPr="00640820">
        <w:rPr>
          <w:color w:val="000000" w:themeColor="text1"/>
          <w:sz w:val="16"/>
          <w:szCs w:val="16"/>
        </w:rPr>
        <w:t xml:space="preserve">17 сентября 1941 разведчик Пе-2 с высоты 3000 метров сфотографировал летное поле аэродрома Шаталово. При этом по пешке велся сильный зенитный огонь, что свидетельствовало о мощной противовоздушной обороне. На полученных снимках дешифровщики насчитали аж 300 самолетов всех типов. Видимо, качество </w:t>
      </w:r>
      <w:r w:rsidRPr="00640820">
        <w:rPr>
          <w:color w:val="000000" w:themeColor="text1"/>
          <w:sz w:val="16"/>
          <w:szCs w:val="16"/>
        </w:rPr>
        <w:lastRenderedPageBreak/>
        <w:t>фотографий было таковым, что один объект можно было принять за десять.</w:t>
      </w:r>
    </w:p>
    <w:p w14:paraId="62A5F495" w14:textId="77777777" w:rsidR="00EF6A8F" w:rsidRPr="00640820" w:rsidRDefault="00EF6A8F" w:rsidP="00640820">
      <w:pPr>
        <w:pStyle w:val="ae"/>
        <w:spacing w:before="0" w:after="0"/>
        <w:jc w:val="both"/>
        <w:textAlignment w:val="baseline"/>
        <w:rPr>
          <w:color w:val="000000" w:themeColor="text1"/>
          <w:sz w:val="16"/>
          <w:szCs w:val="16"/>
        </w:rPr>
      </w:pPr>
      <w:r w:rsidRPr="00640820">
        <w:rPr>
          <w:color w:val="000000" w:themeColor="text1"/>
          <w:sz w:val="16"/>
          <w:szCs w:val="16"/>
        </w:rPr>
        <w:t>Обнаруженное «скопление» решили подвергнуть удару штурмовиков. Прикрывать их должны были 10 ЛаГГ-3 из 129-го иап. Бывший летчик этого полка Павел Ильич Песков затем после войны вспоминал:</w:t>
      </w:r>
    </w:p>
    <w:p w14:paraId="13A4D4E5" w14:textId="77777777" w:rsidR="00EF6A8F" w:rsidRPr="00640820" w:rsidRDefault="00EF6A8F" w:rsidP="00640820">
      <w:pPr>
        <w:pStyle w:val="ae"/>
        <w:spacing w:before="0" w:after="0"/>
        <w:jc w:val="both"/>
        <w:textAlignment w:val="baseline"/>
        <w:rPr>
          <w:iCs/>
          <w:color w:val="000000" w:themeColor="text1"/>
          <w:sz w:val="16"/>
          <w:szCs w:val="16"/>
          <w:bdr w:val="none" w:sz="0" w:space="0" w:color="auto" w:frame="1"/>
        </w:rPr>
      </w:pPr>
      <w:r w:rsidRPr="00640820">
        <w:rPr>
          <w:iCs/>
          <w:color w:val="000000" w:themeColor="text1"/>
          <w:sz w:val="16"/>
          <w:szCs w:val="16"/>
          <w:bdr w:val="none" w:sz="0" w:space="0" w:color="auto" w:frame="1"/>
        </w:rPr>
        <w:t>«Вечером 17.09 при изучении задачи мы узнали, что подход к цели штурмовики производят с бреющего полета, атакуют цель с планирования, предварительно набрав высоту 400–500 м. Для точного выхода на цель и отвлечения зенитного огня выделены два лидера на самолетах Пе-2, хорошо знающие район аэродрома. Наша группа обеспечивает действия штурмовиков, сопровождая их до цели и обратно, подавляя зенитный огонь и уничтожая взлетающих и находящихся в воздухе истребителей противника».</w:t>
      </w:r>
    </w:p>
    <w:p w14:paraId="358803B9" w14:textId="77777777" w:rsidR="00EF6A8F" w:rsidRPr="00640820" w:rsidRDefault="00EF6A8F" w:rsidP="00640820">
      <w:pPr>
        <w:pStyle w:val="ae"/>
        <w:spacing w:before="0" w:after="0"/>
        <w:jc w:val="both"/>
        <w:textAlignment w:val="baseline"/>
        <w:rPr>
          <w:color w:val="000000" w:themeColor="text1"/>
          <w:sz w:val="16"/>
          <w:szCs w:val="16"/>
        </w:rPr>
      </w:pPr>
      <w:r w:rsidRPr="00640820">
        <w:rPr>
          <w:color w:val="000000" w:themeColor="text1"/>
          <w:sz w:val="16"/>
          <w:szCs w:val="16"/>
        </w:rPr>
        <w:t>Все участвующие в ударе самолеты должны были вылететь с аэродрома Шайновка. Их боевой порядок был спланирован, как в учебниках по тактике. Штурмовики шли к цели в плотном боевом порядке, а слева и справа от них с превышением на 600–1000 метров — истребители сопровождения. Еще двум ЛаГГам предписывалось держаться рядом с самолетом-лидером Пе-2.</w:t>
      </w:r>
    </w:p>
    <w:p w14:paraId="3E03A254" w14:textId="77777777" w:rsidR="00EF6A8F" w:rsidRPr="00640820" w:rsidRDefault="00EF6A8F" w:rsidP="00640820">
      <w:pPr>
        <w:pStyle w:val="ae"/>
        <w:spacing w:before="0" w:after="0"/>
        <w:jc w:val="both"/>
        <w:textAlignment w:val="baseline"/>
        <w:rPr>
          <w:color w:val="000000" w:themeColor="text1"/>
          <w:sz w:val="16"/>
          <w:szCs w:val="16"/>
        </w:rPr>
      </w:pPr>
      <w:r w:rsidRPr="00640820">
        <w:rPr>
          <w:color w:val="000000" w:themeColor="text1"/>
          <w:sz w:val="16"/>
          <w:szCs w:val="16"/>
        </w:rPr>
        <w:t>Удар по аэродрому Шаталово был намечен на 18 сентября, на 6.30 по московскому времени. Однако из-за задержки с заправкой вылет подготовить не успели. Между тем в небе вскоре показались немецкие самолеты, целью которых, как оказалось, был сам аэродром Шайновка. Двенадцать Bf-110 нанесли по нему внезапный бомбово-штурмовой удар, выведя из строя два Ил-2 и по одному Пе-2 и ЛаГГ-3. Это несколько ослабило ударную группу, однако отказываться от атаки не собирались.</w:t>
      </w:r>
    </w:p>
    <w:p w14:paraId="2C774D5A" w14:textId="77777777" w:rsidR="00EF6A8F" w:rsidRPr="00640820" w:rsidRDefault="00EF6A8F" w:rsidP="00640820">
      <w:pPr>
        <w:pStyle w:val="ae"/>
        <w:spacing w:before="0" w:after="0"/>
        <w:jc w:val="both"/>
        <w:textAlignment w:val="baseline"/>
        <w:rPr>
          <w:color w:val="000000" w:themeColor="text1"/>
          <w:sz w:val="16"/>
          <w:szCs w:val="16"/>
        </w:rPr>
      </w:pPr>
      <w:r w:rsidRPr="00640820">
        <w:rPr>
          <w:color w:val="000000" w:themeColor="text1"/>
          <w:sz w:val="16"/>
          <w:szCs w:val="16"/>
        </w:rPr>
        <w:t>В воздух поднялись 22 самолета, в том числе 12 Ил-2. Песков продолжал свой рассказ:</w:t>
      </w:r>
    </w:p>
    <w:p w14:paraId="77DF518E" w14:textId="77777777" w:rsidR="00EF6A8F" w:rsidRPr="00640820" w:rsidRDefault="00EF6A8F" w:rsidP="00640820">
      <w:pPr>
        <w:pStyle w:val="ae"/>
        <w:spacing w:before="0" w:after="0"/>
        <w:jc w:val="both"/>
        <w:textAlignment w:val="baseline"/>
        <w:rPr>
          <w:iCs/>
          <w:color w:val="000000" w:themeColor="text1"/>
          <w:sz w:val="16"/>
          <w:szCs w:val="16"/>
          <w:bdr w:val="none" w:sz="0" w:space="0" w:color="auto" w:frame="1"/>
        </w:rPr>
      </w:pPr>
      <w:r w:rsidRPr="00640820">
        <w:rPr>
          <w:iCs/>
          <w:color w:val="000000" w:themeColor="text1"/>
          <w:sz w:val="16"/>
          <w:szCs w:val="16"/>
          <w:bdr w:val="none" w:sz="0" w:space="0" w:color="auto" w:frame="1"/>
        </w:rPr>
        <w:t>«Встретив поблизости от линии фронта низкую облачность, левая группа ЛаГГ-3 под командой капитана Горюнова вернулась обратно. Несмотря на значительное улучшение погоды, группа прошла оставшиеся до цели 60 км на бреющем полете.</w:t>
      </w:r>
    </w:p>
    <w:p w14:paraId="4D48A8F3" w14:textId="77777777" w:rsidR="00EF6A8F" w:rsidRPr="00640820" w:rsidRDefault="00EF6A8F" w:rsidP="00640820">
      <w:pPr>
        <w:pStyle w:val="ae"/>
        <w:spacing w:before="0" w:after="0"/>
        <w:jc w:val="both"/>
        <w:textAlignment w:val="baseline"/>
        <w:rPr>
          <w:rStyle w:val="HTML"/>
          <w:i w:val="0"/>
          <w:color w:val="000000" w:themeColor="text1"/>
          <w:sz w:val="16"/>
          <w:szCs w:val="16"/>
          <w:bdr w:val="none" w:sz="0" w:space="0" w:color="auto" w:frame="1"/>
        </w:rPr>
      </w:pPr>
      <w:r w:rsidRPr="00640820">
        <w:rPr>
          <w:iCs/>
          <w:color w:val="000000" w:themeColor="text1"/>
          <w:sz w:val="16"/>
          <w:szCs w:val="16"/>
          <w:bdr w:val="none" w:sz="0" w:space="0" w:color="auto" w:frame="1"/>
        </w:rPr>
        <w:t>При подходе к цели с юго-западного сектора штурмов</w:t>
      </w:r>
      <w:r w:rsidRPr="00640820">
        <w:rPr>
          <w:rStyle w:val="HTML"/>
          <w:i w:val="0"/>
          <w:color w:val="000000" w:themeColor="text1"/>
          <w:sz w:val="16"/>
          <w:szCs w:val="16"/>
          <w:bdr w:val="none" w:sz="0" w:space="0" w:color="auto" w:frame="1"/>
        </w:rPr>
        <w:t>ики перестроились в колонну звеньев по шесть самолетов в группе. В это время лидер сбросил бомбы по летному полю и серией зеленых ракет дал сигнал, что истребителей противника в воздухе нет.</w:t>
      </w:r>
    </w:p>
    <w:p w14:paraId="77864F8F" w14:textId="77777777" w:rsidR="00EF6A8F" w:rsidRPr="00640820" w:rsidRDefault="00EF6A8F" w:rsidP="00640820">
      <w:pPr>
        <w:pStyle w:val="ae"/>
        <w:spacing w:before="0" w:after="0"/>
        <w:jc w:val="both"/>
        <w:textAlignment w:val="baseline"/>
        <w:rPr>
          <w:color w:val="000000" w:themeColor="text1"/>
          <w:sz w:val="16"/>
          <w:szCs w:val="16"/>
        </w:rPr>
      </w:pPr>
      <w:r w:rsidRPr="00640820">
        <w:rPr>
          <w:iCs/>
          <w:color w:val="000000" w:themeColor="text1"/>
          <w:sz w:val="16"/>
          <w:szCs w:val="16"/>
          <w:bdr w:val="none" w:sz="0" w:space="0" w:color="auto" w:frame="1"/>
        </w:rPr>
        <w:t>Перед атакой штурмовики набирали высоту 400–500 м и с планирования под углом 15–20 градусов начали обстрел ракетными снарядами и пулеметно-пушечным огнем, сбрасывая осколочные и фугасные бомбы с замедлением на выводе из планирования».</w:t>
      </w:r>
    </w:p>
    <w:p w14:paraId="76A7269E" w14:textId="77777777" w:rsidR="00EF6A8F" w:rsidRPr="00640820" w:rsidRDefault="00EF6A8F" w:rsidP="00640820">
      <w:pPr>
        <w:pStyle w:val="ae"/>
        <w:spacing w:before="0" w:after="0"/>
        <w:jc w:val="both"/>
        <w:textAlignment w:val="baseline"/>
        <w:rPr>
          <w:color w:val="000000" w:themeColor="text1"/>
          <w:sz w:val="16"/>
          <w:szCs w:val="16"/>
        </w:rPr>
      </w:pPr>
      <w:r w:rsidRPr="00640820">
        <w:rPr>
          <w:color w:val="000000" w:themeColor="text1"/>
          <w:sz w:val="16"/>
          <w:szCs w:val="16"/>
        </w:rPr>
        <w:t>Истребители также участвовали в штурмовке, обстреливая с пикирования зенитные батареи. Последние вели интенсивный огонь и сбили два Ил-2, а также один ЛаГГ-3, который совершил вынужденную посадку «на живот» в трех километрах от Шаталово. По возвращении летчики заявили об уничтожении «до двадцати» самолетов противника, что в очередной раз было подтверждено некими агентурными данными[38]. Однако, по данным противника, никаких уничтоженных самолетов в Шаталово 18 сентября не числится (19522).</w:t>
      </w:r>
    </w:p>
    <w:p w14:paraId="05817D67" w14:textId="77777777" w:rsidR="00EF6A8F" w:rsidRPr="00640820" w:rsidRDefault="00EF6A8F" w:rsidP="00640820">
      <w:pPr>
        <w:pStyle w:val="ae"/>
        <w:spacing w:before="0" w:after="0"/>
        <w:jc w:val="both"/>
        <w:textAlignment w:val="baseline"/>
        <w:rPr>
          <w:color w:val="000000" w:themeColor="text1"/>
          <w:sz w:val="16"/>
          <w:szCs w:val="16"/>
        </w:rPr>
      </w:pPr>
    </w:p>
    <w:p w14:paraId="53B491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сентября 1941 г. вышло Постановление Государственного Комитета обороны СССР о создании в г. Щучье Курганской области военного склада № 621. После ряда переименований (ЦВБ № 621, ЦАВБ № 151) 1 апреля 1987 г. склад, фактически находящийся на территории пос. Плановый, получил нынешнее название - ракетно-артиллерийский арсенал 2-го разряда. На складе хранятся ракетно-артиллерийские химические боеприпасы - химические головные части реактивных снарядов калибров 85, 122, 130, 140, 152, 220 мм, химические боевые части ракет 8Ф44Г1, 9Н18Г, 9Н123Г, 9Н123Г2-1. Наполнение - 5452 тонн ОВ, в том числе: зарина (2920,5 тонн), зомана (1838,1 тонн), советского V-газа (693,6 тонн). На территории склада имеются артезианские скважины, используемые без разрешения. Очистные сооружения пос. Плановый отрицательно влияют на реку Миасс (9067).</w:t>
      </w:r>
    </w:p>
    <w:p w14:paraId="514218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CF92C6C" w14:textId="77777777" w:rsidR="003733B8" w:rsidRPr="00640820" w:rsidRDefault="003733B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17-го сентября 1941 вылетали два А-7. Благополучно верну</w:t>
      </w:r>
      <w:r w:rsidRPr="00640820">
        <w:rPr>
          <w:rFonts w:ascii="Times New Roman" w:hAnsi="Times New Roman"/>
          <w:color w:val="0070C0"/>
          <w:sz w:val="16"/>
          <w:szCs w:val="16"/>
        </w:rPr>
        <w:softHyphen/>
        <w:t>лись Шубич с Куцеваловым, Трофимов с Кондрашкиным совершили вынужденную посадку. В этот день на аэродром прибыл главный конструктор Камов, который побывал у артиллеристов, где получил самые благоприятные отзывы об используемых автожирах. Практически все полеты рас</w:t>
      </w:r>
      <w:r w:rsidRPr="00640820">
        <w:rPr>
          <w:rFonts w:ascii="Times New Roman" w:hAnsi="Times New Roman"/>
          <w:color w:val="0070C0"/>
          <w:sz w:val="16"/>
          <w:szCs w:val="16"/>
        </w:rPr>
        <w:softHyphen/>
        <w:t>ценивались командованием артполка как успешные. Мед</w:t>
      </w:r>
      <w:r w:rsidRPr="00640820">
        <w:rPr>
          <w:rFonts w:ascii="Times New Roman" w:hAnsi="Times New Roman"/>
          <w:color w:val="0070C0"/>
          <w:sz w:val="16"/>
          <w:szCs w:val="16"/>
        </w:rPr>
        <w:softHyphen/>
        <w:t>ленно перемещавшийся вдоль линии фронта на высо</w:t>
      </w:r>
      <w:r w:rsidRPr="00640820">
        <w:rPr>
          <w:rFonts w:ascii="Times New Roman" w:hAnsi="Times New Roman"/>
          <w:color w:val="0070C0"/>
          <w:sz w:val="16"/>
          <w:szCs w:val="16"/>
        </w:rPr>
        <w:softHyphen/>
        <w:t>те 300 м автожир являлся ис</w:t>
      </w:r>
      <w:r w:rsidRPr="00640820">
        <w:rPr>
          <w:rFonts w:ascii="Times New Roman" w:hAnsi="Times New Roman"/>
          <w:color w:val="0070C0"/>
          <w:sz w:val="16"/>
          <w:szCs w:val="16"/>
        </w:rPr>
        <w:softHyphen/>
        <w:t>ключительно удачным наблю</w:t>
      </w:r>
      <w:r w:rsidRPr="00640820">
        <w:rPr>
          <w:rFonts w:ascii="Times New Roman" w:hAnsi="Times New Roman"/>
          <w:color w:val="0070C0"/>
          <w:sz w:val="16"/>
          <w:szCs w:val="16"/>
        </w:rPr>
        <w:softHyphen/>
        <w:t>дательным пунктом. Одно</w:t>
      </w:r>
      <w:r w:rsidRPr="00640820">
        <w:rPr>
          <w:rFonts w:ascii="Times New Roman" w:hAnsi="Times New Roman"/>
          <w:color w:val="0070C0"/>
          <w:sz w:val="16"/>
          <w:szCs w:val="16"/>
        </w:rPr>
        <w:softHyphen/>
        <w:t>временно, малая скорость полета позволяла немецкой зенитной артиллерии быст</w:t>
      </w:r>
      <w:r w:rsidRPr="00640820">
        <w:rPr>
          <w:rFonts w:ascii="Times New Roman" w:hAnsi="Times New Roman"/>
          <w:color w:val="0070C0"/>
          <w:sz w:val="16"/>
          <w:szCs w:val="16"/>
        </w:rPr>
        <w:softHyphen/>
        <w:t>ро пристреляться - в одном из полетов ранили летчика- наблюдателя Кондрашкина. Истребители противника на этом участке активности не проявляли, поэтому судить об эффективности оборони</w:t>
      </w:r>
      <w:r w:rsidRPr="00640820">
        <w:rPr>
          <w:rFonts w:ascii="Times New Roman" w:hAnsi="Times New Roman"/>
          <w:color w:val="0070C0"/>
          <w:sz w:val="16"/>
          <w:szCs w:val="16"/>
        </w:rPr>
        <w:softHyphen/>
        <w:t>тельной установки автожира не приходилось. Однако по</w:t>
      </w:r>
      <w:r w:rsidRPr="00640820">
        <w:rPr>
          <w:rFonts w:ascii="Times New Roman" w:hAnsi="Times New Roman"/>
          <w:color w:val="0070C0"/>
          <w:sz w:val="16"/>
          <w:szCs w:val="16"/>
        </w:rPr>
        <w:softHyphen/>
        <w:t>нятно, что в случае атаки сверху автожир оказался бы в сложном положении, так как сквозь несущий винт наблю</w:t>
      </w:r>
      <w:r w:rsidRPr="00640820">
        <w:rPr>
          <w:rFonts w:ascii="Times New Roman" w:hAnsi="Times New Roman"/>
          <w:color w:val="0070C0"/>
          <w:sz w:val="16"/>
          <w:szCs w:val="16"/>
        </w:rPr>
        <w:softHyphen/>
        <w:t>датель стрелять не мог, а большая разница в скорости поз</w:t>
      </w:r>
      <w:r w:rsidRPr="00640820">
        <w:rPr>
          <w:rFonts w:ascii="Times New Roman" w:hAnsi="Times New Roman"/>
          <w:color w:val="0070C0"/>
          <w:sz w:val="16"/>
          <w:szCs w:val="16"/>
        </w:rPr>
        <w:softHyphen/>
        <w:t>воляла истребителю свободно выбирать направление ата</w:t>
      </w:r>
      <w:r w:rsidRPr="00640820">
        <w:rPr>
          <w:rFonts w:ascii="Times New Roman" w:hAnsi="Times New Roman"/>
          <w:color w:val="0070C0"/>
          <w:sz w:val="16"/>
          <w:szCs w:val="16"/>
        </w:rPr>
        <w:softHyphen/>
        <w:t>ки и дальность ведения огня (20361).</w:t>
      </w:r>
    </w:p>
    <w:p w14:paraId="3E29FD0E" w14:textId="77777777" w:rsidR="003733B8" w:rsidRPr="00640820" w:rsidRDefault="003733B8" w:rsidP="00640820">
      <w:pPr>
        <w:shd w:val="clear" w:color="auto" w:fill="FFFFFF"/>
        <w:spacing w:after="0" w:line="240" w:lineRule="auto"/>
        <w:jc w:val="both"/>
        <w:rPr>
          <w:rFonts w:ascii="Times New Roman" w:hAnsi="Times New Roman"/>
          <w:color w:val="0070C0"/>
          <w:sz w:val="16"/>
          <w:szCs w:val="16"/>
        </w:rPr>
      </w:pPr>
    </w:p>
    <w:p w14:paraId="394E7099" w14:textId="77777777" w:rsidR="003733B8" w:rsidRPr="00640820" w:rsidRDefault="003733B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17 сентября 1941 артобстрел Ленинграда длился 18 часов. В этот день было убито 254 и ранено 1485 жителей Ленингра</w:t>
      </w:r>
      <w:r w:rsidRPr="00640820">
        <w:rPr>
          <w:rFonts w:ascii="Times New Roman" w:hAnsi="Times New Roman"/>
          <w:color w:val="0070C0"/>
          <w:sz w:val="16"/>
          <w:szCs w:val="16"/>
        </w:rPr>
        <w:softHyphen/>
        <w:t>да. Под прицельный огонь был взят командный пункт 3-го полка АЗ. Необходимо было перейти на запасной командный пункт, но это означало, что в течение 10-15 минут поднятые в воздух АЗ останутся без управления и прервётся связь с командным пунктом 2-го корпуса. Поэтому командование полка и группа боевого управле</w:t>
      </w:r>
      <w:r w:rsidRPr="00640820">
        <w:rPr>
          <w:rFonts w:ascii="Times New Roman" w:hAnsi="Times New Roman"/>
          <w:color w:val="0070C0"/>
          <w:sz w:val="16"/>
          <w:szCs w:val="16"/>
        </w:rPr>
        <w:softHyphen/>
        <w:t>ния остались на прежнем посту. Прямым попа</w:t>
      </w:r>
      <w:r w:rsidRPr="00640820">
        <w:rPr>
          <w:rFonts w:ascii="Times New Roman" w:hAnsi="Times New Roman"/>
          <w:color w:val="0070C0"/>
          <w:sz w:val="16"/>
          <w:szCs w:val="16"/>
        </w:rPr>
        <w:softHyphen/>
        <w:t>данием тяжёлого артиллерийского снаряда было убито семь человек, в том числе начальник штаба полка капитан М. Агарин, но командный пункт продолжал действовать (20120).</w:t>
      </w:r>
    </w:p>
    <w:p w14:paraId="11426631" w14:textId="77777777" w:rsidR="003733B8" w:rsidRPr="00640820" w:rsidRDefault="003733B8" w:rsidP="00640820">
      <w:pPr>
        <w:spacing w:after="0" w:line="240" w:lineRule="auto"/>
        <w:jc w:val="both"/>
        <w:rPr>
          <w:rFonts w:ascii="Times New Roman" w:hAnsi="Times New Roman"/>
          <w:color w:val="0070C0"/>
          <w:sz w:val="16"/>
          <w:szCs w:val="16"/>
        </w:rPr>
      </w:pPr>
    </w:p>
    <w:p w14:paraId="3B5719A7" w14:textId="77777777" w:rsidR="003733B8" w:rsidRPr="00640820" w:rsidRDefault="003733B8" w:rsidP="00640820">
      <w:pPr>
        <w:pStyle w:val="7d"/>
        <w:shd w:val="clear" w:color="auto" w:fill="auto"/>
        <w:spacing w:before="0" w:line="240" w:lineRule="auto"/>
        <w:jc w:val="both"/>
        <w:rPr>
          <w:rFonts w:ascii="Times New Roman" w:hAnsi="Times New Roman" w:cs="Times New Roman"/>
          <w:color w:val="0070C0"/>
        </w:rPr>
      </w:pPr>
      <w:r w:rsidRPr="00640820">
        <w:rPr>
          <w:rFonts w:ascii="Times New Roman" w:hAnsi="Times New Roman" w:cs="Times New Roman"/>
          <w:color w:val="0070C0"/>
          <w:lang w:val="ru-RU"/>
        </w:rPr>
        <w:t>В</w:t>
      </w:r>
      <w:r w:rsidRPr="00640820">
        <w:rPr>
          <w:rFonts w:ascii="Times New Roman" w:hAnsi="Times New Roman" w:cs="Times New Roman"/>
          <w:color w:val="0070C0"/>
        </w:rPr>
        <w:t xml:space="preserve"> ночь с 17 на 18 сентября </w:t>
      </w:r>
      <w:r w:rsidRPr="00640820">
        <w:rPr>
          <w:rFonts w:ascii="Times New Roman" w:hAnsi="Times New Roman" w:cs="Times New Roman"/>
          <w:color w:val="0070C0"/>
          <w:lang w:val="ru-RU"/>
        </w:rPr>
        <w:t>1941</w:t>
      </w:r>
      <w:r w:rsidRPr="00640820">
        <w:rPr>
          <w:rFonts w:ascii="Times New Roman" w:hAnsi="Times New Roman" w:cs="Times New Roman"/>
          <w:color w:val="0070C0"/>
        </w:rPr>
        <w:t xml:space="preserve"> два ГСТ бомбили аэродром Кульбакино, сбросив четыре РРАБ-3 и 16 ФАБ-70</w:t>
      </w:r>
      <w:r w:rsidRPr="00640820">
        <w:rPr>
          <w:rFonts w:ascii="Times New Roman" w:hAnsi="Times New Roman" w:cs="Times New Roman"/>
          <w:color w:val="0070C0"/>
          <w:lang w:val="ru-RU"/>
        </w:rPr>
        <w:t>. Н</w:t>
      </w:r>
      <w:r w:rsidRPr="00640820">
        <w:rPr>
          <w:rFonts w:ascii="Times New Roman" w:hAnsi="Times New Roman" w:cs="Times New Roman"/>
          <w:color w:val="0070C0"/>
        </w:rPr>
        <w:t>а одном из аэродромов николаевского аэроузла среди немцев были зафиксиро</w:t>
      </w:r>
      <w:r w:rsidRPr="00640820">
        <w:rPr>
          <w:rFonts w:ascii="Times New Roman" w:hAnsi="Times New Roman" w:cs="Times New Roman"/>
          <w:color w:val="0070C0"/>
        </w:rPr>
        <w:softHyphen/>
        <w:t>ваны убитые и раненые (</w:t>
      </w:r>
      <w:r w:rsidRPr="00640820">
        <w:rPr>
          <w:rFonts w:ascii="Times New Roman" w:hAnsi="Times New Roman" w:cs="Times New Roman"/>
          <w:color w:val="0070C0"/>
          <w:lang w:val="ru-RU"/>
        </w:rPr>
        <w:t>19852</w:t>
      </w:r>
      <w:r w:rsidRPr="00640820">
        <w:rPr>
          <w:rFonts w:ascii="Times New Roman" w:hAnsi="Times New Roman" w:cs="Times New Roman"/>
          <w:color w:val="0070C0"/>
        </w:rPr>
        <w:t>).</w:t>
      </w:r>
    </w:p>
    <w:p w14:paraId="177FE9D2" w14:textId="77777777" w:rsidR="003733B8" w:rsidRPr="00640820" w:rsidRDefault="003733B8" w:rsidP="00640820">
      <w:pPr>
        <w:pStyle w:val="7d"/>
        <w:shd w:val="clear" w:color="auto" w:fill="auto"/>
        <w:spacing w:before="0" w:line="240" w:lineRule="auto"/>
        <w:jc w:val="both"/>
        <w:rPr>
          <w:rFonts w:ascii="Times New Roman" w:hAnsi="Times New Roman" w:cs="Times New Roman"/>
          <w:color w:val="0070C0"/>
        </w:rPr>
      </w:pPr>
    </w:p>
    <w:p w14:paraId="2139E213" w14:textId="77777777" w:rsidR="003733B8" w:rsidRPr="00640820" w:rsidRDefault="003733B8" w:rsidP="00640820">
      <w:pPr>
        <w:pStyle w:val="7d"/>
        <w:shd w:val="clear" w:color="auto" w:fill="auto"/>
        <w:spacing w:before="0" w:line="240" w:lineRule="auto"/>
        <w:jc w:val="both"/>
        <w:rPr>
          <w:rFonts w:ascii="Times New Roman" w:hAnsi="Times New Roman" w:cs="Times New Roman"/>
          <w:color w:val="0070C0"/>
        </w:rPr>
      </w:pPr>
      <w:r w:rsidRPr="00640820">
        <w:rPr>
          <w:rFonts w:ascii="Times New Roman" w:hAnsi="Times New Roman" w:cs="Times New Roman"/>
          <w:color w:val="0070C0"/>
        </w:rPr>
        <w:t xml:space="preserve">В ночь с 17 на 18 октября </w:t>
      </w:r>
      <w:r w:rsidRPr="00640820">
        <w:rPr>
          <w:rFonts w:ascii="Times New Roman" w:hAnsi="Times New Roman" w:cs="Times New Roman"/>
          <w:color w:val="0070C0"/>
          <w:lang w:val="ru-RU"/>
        </w:rPr>
        <w:t xml:space="preserve">1941 </w:t>
      </w:r>
      <w:r w:rsidRPr="00640820">
        <w:rPr>
          <w:rFonts w:ascii="Times New Roman" w:hAnsi="Times New Roman" w:cs="Times New Roman"/>
          <w:color w:val="0070C0"/>
        </w:rPr>
        <w:t>попаданием бомбы</w:t>
      </w:r>
      <w:r w:rsidRPr="00640820">
        <w:rPr>
          <w:rFonts w:ascii="Times New Roman" w:hAnsi="Times New Roman" w:cs="Times New Roman"/>
          <w:color w:val="0070C0"/>
          <w:lang w:val="ru-RU"/>
        </w:rPr>
        <w:t>, сброшенной с ГСТ,</w:t>
      </w:r>
      <w:r w:rsidRPr="00640820">
        <w:rPr>
          <w:rFonts w:ascii="Times New Roman" w:hAnsi="Times New Roman" w:cs="Times New Roman"/>
          <w:color w:val="0070C0"/>
        </w:rPr>
        <w:t xml:space="preserve"> был взорван склад со взрывча</w:t>
      </w:r>
      <w:r w:rsidRPr="00640820">
        <w:rPr>
          <w:rFonts w:ascii="Times New Roman" w:hAnsi="Times New Roman" w:cs="Times New Roman"/>
          <w:color w:val="0070C0"/>
        </w:rPr>
        <w:softHyphen/>
        <w:t>тыми веществами</w:t>
      </w:r>
      <w:r w:rsidRPr="00640820">
        <w:rPr>
          <w:rFonts w:ascii="Times New Roman" w:hAnsi="Times New Roman" w:cs="Times New Roman"/>
          <w:color w:val="0070C0"/>
          <w:lang w:val="ru-RU"/>
        </w:rPr>
        <w:t xml:space="preserve"> (19852)</w:t>
      </w:r>
      <w:r w:rsidRPr="00640820">
        <w:rPr>
          <w:rFonts w:ascii="Times New Roman" w:hAnsi="Times New Roman" w:cs="Times New Roman"/>
          <w:color w:val="0070C0"/>
        </w:rPr>
        <w:t>.</w:t>
      </w:r>
    </w:p>
    <w:p w14:paraId="44A2C300" w14:textId="77777777" w:rsidR="003733B8" w:rsidRPr="00640820" w:rsidRDefault="003733B8" w:rsidP="00640820">
      <w:pPr>
        <w:pStyle w:val="7d"/>
        <w:shd w:val="clear" w:color="auto" w:fill="auto"/>
        <w:spacing w:before="0" w:line="240" w:lineRule="auto"/>
        <w:jc w:val="both"/>
        <w:rPr>
          <w:rFonts w:ascii="Times New Roman" w:hAnsi="Times New Roman" w:cs="Times New Roman"/>
          <w:color w:val="0070C0"/>
        </w:rPr>
      </w:pPr>
    </w:p>
    <w:p w14:paraId="6FA0E45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сентября 1941 артиллерия главного калибра крейсера Петропавловск провела стрельбы, ставшие последними осенью этого года. Огонь вели на дальность 4 км, практически в упор. Всего за этот период во произведено 40 стрельб с расходом 676 снарядов главного калибра. В этот день противник произвел целевой обстрел «Петропавловска» из большого числа дальнобойных орудий калибра 170—210 мм. Всего за время обстрела в крейсер попало 53 снаряда крупного калибра, из них 37 - в надстройки. Усилия аварийных партий не смогли предотвратить повреждения внутренних помещений корабля, и, имея дифферент на нос, с креном на левый борт крейсер примерно в 13 час. 17 сентября потерял плавучесть, оборвал швартовы и сел на грунт на восьмиметровой глубине, навалившись бортом на стенку причала (10670,258).</w:t>
      </w:r>
    </w:p>
    <w:p w14:paraId="0A65AE7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E397B2" w14:textId="77777777" w:rsidR="00EF6A8F" w:rsidRPr="00640820" w:rsidRDefault="00EF6A8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сентября 1941 огнём немецкой артиллерии «Петропавловск» был сильно повреждён и лёг на грунт, погрузившись в воду до броневой палубы. Это произошло неподалеку от переднего края противника [572]. Тем не менее летом 1942 года моряки крейсера, флотские водолазы и специалисты Балтийского судостроительного завода под носом у немцев провели подготовительные работы по подъёму крейсера. В ночь на 17 сентября 1942 года «Петропавловск» всплыл, буксиры «Айсберг» и К-1 увели его из-под носа врага и доставили на Балтийский завод [573].</w:t>
      </w:r>
    </w:p>
    <w:p w14:paraId="2B3F80E6" w14:textId="77777777" w:rsidR="00EF6A8F" w:rsidRPr="00640820" w:rsidRDefault="00EF6A8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Через несколько месяцев крейсер вернулся в строй. В январе 1944 года в ходе операции по окончательному снятию блокады Ленинграда «Петропавловск» вместе с другими кораблями Балтийского флота уничтожал долговременные укрепления, коммуникации, боевую технику и скопления пехоты противника, выпустив по врагу свыше тысячи снарядов немецкого производства [574] (18279).</w:t>
      </w:r>
    </w:p>
    <w:p w14:paraId="3E40CD7F" w14:textId="77777777" w:rsidR="00EF6A8F" w:rsidRPr="00640820" w:rsidRDefault="00EF6A8F" w:rsidP="00640820">
      <w:pPr>
        <w:spacing w:after="0" w:line="240" w:lineRule="auto"/>
        <w:jc w:val="both"/>
        <w:rPr>
          <w:rFonts w:ascii="Times New Roman" w:hAnsi="Times New Roman"/>
          <w:color w:val="000000" w:themeColor="text1"/>
          <w:sz w:val="16"/>
          <w:szCs w:val="16"/>
        </w:rPr>
      </w:pPr>
    </w:p>
    <w:p w14:paraId="571868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сентября 1941 огнём немецкой артиллерии «Петропавловск» был сильно повреждён и лёг на грунт, погрузившись в воду до броневой палубы. Это произошло неподалеку от переднего края противника. Тем не менее летом 1942 года моряки крейсера, флотские водолазы и специалисты Балтийского судостроительного завода под носом у немцев провели подготовительные работы по подъёму крейсера и в ночь на 17 сентября 1942 Петропавловск всплыл и его отвели на Балтийский завод. К началу Великой Отечественной войны готовность корабля достигала 70%. Тем не менее ленинградские судостроители смогли ввести его в строй без помощи немецких специалистов. Корабль использовался как плавучая батарея. Когда немцы подошли к Ленинграду, 7 сентября 1941 года четыре 203-мм орудия крейсера открыли огонь. В течение 10 дней по врагу было выпущено свыше 650 снарядов (11208).</w:t>
      </w:r>
    </w:p>
    <w:p w14:paraId="5E5E03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7C6F0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сентября 1941 вышло Постановление ГКО № 686 О танкетных подразделениях при стрелковых дивизиях 32-й армии. РГАНИР, Фонд ГКО, д. 9, лл. 166 (11012).</w:t>
      </w:r>
    </w:p>
    <w:p w14:paraId="05F325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C0464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сентября 1941 вышло Постановление ГКО № 687. Справка о мандате Мерецкова К.А. РГАНИР, Фонд ГКО, д. 9, лл. 167 (11012).</w:t>
      </w:r>
    </w:p>
    <w:p w14:paraId="2F8B83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63065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сентября 1941 вышло Постановление ГКО № 688. Справка о мандате Мишулина. РГАНИР, Фонд ГКО, д. 9, лл. 167 (11012).</w:t>
      </w:r>
    </w:p>
    <w:p w14:paraId="59B9FF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F8A02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сентября 1941вышло Постановление ГКО № 689. Справка о мандате Степанова П.С. РГАНИР, Фонд ГКО, д. 9, лл. 167 (11012).</w:t>
      </w:r>
    </w:p>
    <w:p w14:paraId="7C85F7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A85C173"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17 сентября </w:t>
      </w:r>
      <w:r w:rsidRPr="00640820">
        <w:rPr>
          <w:rFonts w:ascii="Times New Roman" w:hAnsi="Times New Roman"/>
          <w:color w:val="000000" w:themeColor="text1"/>
          <w:sz w:val="16"/>
          <w:szCs w:val="16"/>
        </w:rPr>
        <w:t>в 1941 году развернулись бои между советскими и немецкими войсками на острове Сааремаа Моонзундского архипелага (14772).</w:t>
      </w:r>
    </w:p>
    <w:p w14:paraId="385B3E02" w14:textId="77777777" w:rsidR="001547E5" w:rsidRPr="00640820" w:rsidRDefault="001547E5" w:rsidP="00640820">
      <w:pPr>
        <w:spacing w:after="0" w:line="240" w:lineRule="auto"/>
        <w:jc w:val="both"/>
        <w:rPr>
          <w:rFonts w:ascii="Times New Roman" w:hAnsi="Times New Roman"/>
          <w:color w:val="000000" w:themeColor="text1"/>
          <w:sz w:val="16"/>
          <w:szCs w:val="16"/>
        </w:rPr>
      </w:pPr>
    </w:p>
    <w:p w14:paraId="1F66956A"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17 сентября </w:t>
      </w:r>
      <w:r w:rsidRPr="00640820">
        <w:rPr>
          <w:rFonts w:ascii="Times New Roman" w:hAnsi="Times New Roman"/>
          <w:color w:val="000000" w:themeColor="text1"/>
          <w:sz w:val="16"/>
          <w:szCs w:val="16"/>
        </w:rPr>
        <w:t>в 1941 году (17 сентября – 3 октября) партизанские отряды брянских лесов вели бои против карательной экспедиции оккупантов (2 венгерские пехотные дивизии, 8 полицейских батальонов при поддержке танков и авиации). Партизаны вывели из строя около 3,5 тысяч солдат и офицеров (14772).</w:t>
      </w:r>
    </w:p>
    <w:p w14:paraId="3D7ED04F" w14:textId="77777777" w:rsidR="001547E5" w:rsidRPr="00640820" w:rsidRDefault="001547E5" w:rsidP="00640820">
      <w:pPr>
        <w:spacing w:after="0" w:line="240" w:lineRule="auto"/>
        <w:jc w:val="both"/>
        <w:rPr>
          <w:rFonts w:ascii="Times New Roman" w:hAnsi="Times New Roman"/>
          <w:color w:val="000000" w:themeColor="text1"/>
          <w:sz w:val="16"/>
          <w:szCs w:val="16"/>
        </w:rPr>
      </w:pPr>
    </w:p>
    <w:p w14:paraId="450A4782"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366613C7"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51193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сентября 1941 ГКО принял постановление "О всеобщем обязательном обучении военному делу граждан СССР" (512,49) - c 1 октября 1941 все от 16 до 50 без отрыва от производства (3398,333).</w:t>
      </w:r>
    </w:p>
    <w:p w14:paraId="0E4371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C58C2A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сентября 1941 вышло Постановление ГКО № 690 О всеобщем обязательном обучении военному делу граждан СССР. (7010, 168).</w:t>
      </w:r>
    </w:p>
    <w:p w14:paraId="04315B1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7F441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сентября 1941 в СССР введено обязательное обучение военному делу всех граждан (4962).</w:t>
      </w:r>
    </w:p>
    <w:p w14:paraId="5163E09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AB467C"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17 сентября </w:t>
      </w:r>
      <w:r w:rsidRPr="00640820">
        <w:rPr>
          <w:rFonts w:ascii="Times New Roman" w:hAnsi="Times New Roman"/>
          <w:color w:val="000000" w:themeColor="text1"/>
          <w:sz w:val="16"/>
          <w:szCs w:val="16"/>
        </w:rPr>
        <w:t>в 1941 году Государственный Комитет Обороны принял постановление «О всеобщем обязательном обучении военному делу граждан СССР». Согласно постановлению с 1 октября 1941 г. обучению подлежали все граждане мужского пола (пригодные по здоровью) от 16 до 50 лет. Обучение осуществлялось без отрыва от производства (14772).</w:t>
      </w:r>
    </w:p>
    <w:p w14:paraId="68BBF024" w14:textId="77777777" w:rsidR="001547E5" w:rsidRPr="00640820" w:rsidRDefault="001547E5" w:rsidP="00640820">
      <w:pPr>
        <w:spacing w:after="0" w:line="240" w:lineRule="auto"/>
        <w:jc w:val="both"/>
        <w:rPr>
          <w:rFonts w:ascii="Times New Roman" w:hAnsi="Times New Roman"/>
          <w:color w:val="000000" w:themeColor="text1"/>
          <w:sz w:val="16"/>
          <w:szCs w:val="16"/>
        </w:rPr>
      </w:pPr>
    </w:p>
    <w:p w14:paraId="0CF880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сентября 1941 ЦК ВКП(б) и СНК приняли постановление об обучении сельскохозяйственным работам школьников старших классов (512,113).</w:t>
      </w:r>
    </w:p>
    <w:p w14:paraId="3475E0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91F68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сентября 1941 зафиксирован самый длительный по времени артобстрел Ленинграда фашистской артиллерией - в общей сложности он длился 18 часов 33 минуты. По Ленинграду выпущен 331 крупнокалиберный снаряд. Именно с началом крупномасштабных обстрелов на стенах ленинградских домом стали появляться знаменитые надписи «Граждане! При артобстреле эта сторона улицы наиболее опасна». Прошло какое-то время, прежде чем защитники города привыкли к обстрелам и научились по свисту снаряда определять, как близко он разорвется (10739).</w:t>
      </w:r>
    </w:p>
    <w:p w14:paraId="34EB2EDB"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D71521D" w14:textId="77777777" w:rsidR="001547E5" w:rsidRPr="00640820" w:rsidRDefault="001547E5" w:rsidP="00640820">
      <w:pPr>
        <w:spacing w:after="0" w:line="240" w:lineRule="auto"/>
        <w:jc w:val="both"/>
        <w:rPr>
          <w:rFonts w:ascii="Times New Roman" w:hAnsi="Times New Roman"/>
          <w:color w:val="000000" w:themeColor="text1"/>
          <w:sz w:val="16"/>
          <w:szCs w:val="16"/>
          <w:lang w:val="en-US"/>
        </w:rPr>
      </w:pPr>
      <w:r w:rsidRPr="00640820">
        <w:rPr>
          <w:rStyle w:val="ucoz-forum-post"/>
          <w:rFonts w:ascii="Times New Roman" w:eastAsia="Times New Roman" w:hAnsi="Times New Roman"/>
          <w:bCs/>
          <w:color w:val="000000" w:themeColor="text1"/>
          <w:sz w:val="16"/>
          <w:szCs w:val="16"/>
        </w:rPr>
        <w:t xml:space="preserve">17 сентября </w:t>
      </w:r>
      <w:r w:rsidRPr="00640820">
        <w:rPr>
          <w:rFonts w:ascii="Times New Roman" w:hAnsi="Times New Roman"/>
          <w:color w:val="000000" w:themeColor="text1"/>
          <w:sz w:val="16"/>
          <w:szCs w:val="16"/>
        </w:rPr>
        <w:t xml:space="preserve">в 1941 году в этот день зафиксирован самый длительный по времени артобстрел Ленинграда фашистской артиллерией - в общей сложности он длился 18 часов 33 минуты. По Ленинграду выпущен 331 крупнокалиберный снаряд. Именно с началом крупномасштабных обстрелов на стенах ленинградских домом стали появляться знаменитые надписи «Граждане! При артобстреле эта сторона улицы наиболее опасна». Прошло какое-то время, прежде чем защитники города привыкли к обстрелам и научились по свисту снаряда определять, как близко он разорвется. Но к этому времени на ленинградцев навалилась еще одна беда: Голод! </w:t>
      </w:r>
      <w:r w:rsidRPr="00640820">
        <w:rPr>
          <w:rFonts w:ascii="Times New Roman" w:hAnsi="Times New Roman"/>
          <w:color w:val="000000" w:themeColor="text1"/>
          <w:sz w:val="16"/>
          <w:szCs w:val="16"/>
          <w:lang w:val="en-US"/>
        </w:rPr>
        <w:t>(14772).</w:t>
      </w:r>
    </w:p>
    <w:p w14:paraId="3F67F21C" w14:textId="77777777" w:rsidR="001547E5" w:rsidRPr="00640820" w:rsidRDefault="001547E5" w:rsidP="00640820">
      <w:pPr>
        <w:spacing w:after="0" w:line="240" w:lineRule="auto"/>
        <w:jc w:val="both"/>
        <w:rPr>
          <w:rFonts w:ascii="Times New Roman" w:hAnsi="Times New Roman"/>
          <w:color w:val="000000" w:themeColor="text1"/>
          <w:sz w:val="16"/>
          <w:szCs w:val="16"/>
          <w:lang w:val="en-US"/>
        </w:rPr>
      </w:pPr>
    </w:p>
    <w:p w14:paraId="11BFF245"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lang w:val="en-US"/>
        </w:rPr>
      </w:pPr>
      <w:r w:rsidRPr="00640820">
        <w:rPr>
          <w:rFonts w:ascii="Times New Roman" w:hAnsi="Times New Roman"/>
          <w:i/>
          <w:iCs/>
          <w:color w:val="000000" w:themeColor="text1"/>
          <w:sz w:val="16"/>
          <w:szCs w:val="16"/>
        </w:rPr>
        <w:t>Внешняя</w:t>
      </w:r>
      <w:r w:rsidRPr="00640820">
        <w:rPr>
          <w:rFonts w:ascii="Times New Roman" w:hAnsi="Times New Roman"/>
          <w:i/>
          <w:iCs/>
          <w:color w:val="000000" w:themeColor="text1"/>
          <w:sz w:val="16"/>
          <w:szCs w:val="16"/>
          <w:lang w:val="en-US"/>
        </w:rPr>
        <w:t xml:space="preserve"> </w:t>
      </w:r>
      <w:r w:rsidRPr="00640820">
        <w:rPr>
          <w:rFonts w:ascii="Times New Roman" w:hAnsi="Times New Roman"/>
          <w:i/>
          <w:iCs/>
          <w:color w:val="000000" w:themeColor="text1"/>
          <w:sz w:val="16"/>
          <w:szCs w:val="16"/>
        </w:rPr>
        <w:t>политика</w:t>
      </w:r>
      <w:r w:rsidRPr="00640820">
        <w:rPr>
          <w:rFonts w:ascii="Times New Roman" w:hAnsi="Times New Roman"/>
          <w:i/>
          <w:iCs/>
          <w:color w:val="000000" w:themeColor="text1"/>
          <w:sz w:val="16"/>
          <w:szCs w:val="16"/>
          <w:lang w:val="en-US"/>
        </w:rPr>
        <w:t>:</w:t>
      </w:r>
    </w:p>
    <w:p w14:paraId="0BBDE93B"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0FA93D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September 17, 1941: The US allocates $100,000,000 to the Soviet Union for the purchase of war materials (3819).</w:t>
      </w:r>
    </w:p>
    <w:p w14:paraId="6AB0B7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187D4B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сентября 1941 США выделили СССР 100 млн. долл. для приобретения вооружений (3819).</w:t>
      </w:r>
    </w:p>
    <w:p w14:paraId="19CDD8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8F5F6D2"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5F0A827F"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5BF087C" w14:textId="77777777" w:rsidR="003733B8" w:rsidRPr="00640820" w:rsidRDefault="003733B8" w:rsidP="00640820">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640820">
        <w:rPr>
          <w:rFonts w:ascii="Times New Roman" w:hAnsi="Times New Roman"/>
          <w:color w:val="0070C0"/>
          <w:sz w:val="16"/>
          <w:szCs w:val="16"/>
        </w:rPr>
        <w:t>17 сентября 1940 года всего четырьмя оставшимися самолетами S.79 278- я эскадрильи торпедоносцев (278а Squadriglia AS) был торпедирован английский крейсер «Кент»: он, хотя и не затонул, но требовал значительного ремонта. Удачливая четверка получила кличку Quarto Gatti («четыре кота»), которая из обихода перешла и в официальные бумаги. 10 октября один из «котов» всадил торпеду в борт крейсера «Ливерпуль», 3 декабря другой торпедировал крейсер «Глазго» (22812).</w:t>
      </w:r>
    </w:p>
    <w:p w14:paraId="2CB545CE" w14:textId="77777777" w:rsidR="003733B8" w:rsidRPr="00640820" w:rsidRDefault="003733B8" w:rsidP="00640820">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p>
    <w:p w14:paraId="313D22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September 17 1941 British and Soviet troops occupy Teheran, Iran (1037).</w:t>
      </w:r>
    </w:p>
    <w:p w14:paraId="115E4C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69A4A8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сентября 1941 британские и советские войска оккупировали Тегеран в Иране (1037).</w:t>
      </w:r>
    </w:p>
    <w:p w14:paraId="6CEB08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FC215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сентября 1941 сын Реза-шах Пехлеви - Муххаммед Реза Пехлеви стал новым шахом Ирана (3186).</w:t>
      </w:r>
    </w:p>
    <w:p w14:paraId="23C0ED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B6350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September 17 Wed. 1941 United States Navy escorts eastbound British trans-Atlantic convoy for the first time (1064).</w:t>
      </w:r>
    </w:p>
    <w:p w14:paraId="6C2020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277FCF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сентября 1941 флот США первый раз эскортировал британский конвой (1064).</w:t>
      </w:r>
    </w:p>
    <w:p w14:paraId="6D46F6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65DFB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сентября 1941 для того, чтобы не допустить усиления национально-освободительного движения, которое получило мощный импульс в результате поражения Франции правительство генерала де Голля от имени Франции объявляет о признании независимости Сирии, а 26 ноября - Ливана.</w:t>
      </w:r>
    </w:p>
    <w:p w14:paraId="6E8831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Однако генерал де Голль, будучи в то время убежденным сторонником сохранения французской колониальной империи, рассматривал это признание как политический маневр. Дело в том, что еще в августе он добился от Великобритании согласия на восстановление колониальной администрации и французского контроля над полицией и "спецвойсками Леванта" (соглашение де Голль - Литтлтон) (3871).</w:t>
      </w:r>
    </w:p>
    <w:p w14:paraId="79ED6C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4566838"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21E8E2D2"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E5247C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сентября 1941 Заместитель начальника ЛИИ НКАП А.В. Чесалов и главный конструктор заво</w:t>
      </w:r>
      <w:r w:rsidRPr="00640820">
        <w:rPr>
          <w:rFonts w:ascii="Times New Roman" w:hAnsi="Times New Roman"/>
          <w:color w:val="000000" w:themeColor="text1"/>
          <w:sz w:val="16"/>
          <w:szCs w:val="16"/>
        </w:rPr>
        <w:softHyphen/>
        <w:t>да № 289 П. О Сухой утвер</w:t>
      </w:r>
      <w:r w:rsidRPr="00640820">
        <w:rPr>
          <w:rFonts w:ascii="Times New Roman" w:hAnsi="Times New Roman"/>
          <w:color w:val="000000" w:themeColor="text1"/>
          <w:sz w:val="16"/>
          <w:szCs w:val="16"/>
        </w:rPr>
        <w:softHyphen/>
        <w:t>дили акт о сокращенных испытаниях са</w:t>
      </w:r>
      <w:r w:rsidRPr="00640820">
        <w:rPr>
          <w:rFonts w:ascii="Times New Roman" w:hAnsi="Times New Roman"/>
          <w:color w:val="000000" w:themeColor="text1"/>
          <w:sz w:val="16"/>
          <w:szCs w:val="16"/>
        </w:rPr>
        <w:softHyphen/>
        <w:t xml:space="preserve">молета Су-6. </w:t>
      </w:r>
      <w:r w:rsidRPr="00640820">
        <w:rPr>
          <w:rFonts w:ascii="Times New Roman" w:hAnsi="Times New Roman"/>
          <w:iCs/>
          <w:color w:val="000000" w:themeColor="text1"/>
          <w:sz w:val="16"/>
          <w:szCs w:val="16"/>
        </w:rPr>
        <w:t xml:space="preserve">В </w:t>
      </w:r>
      <w:r w:rsidRPr="00640820">
        <w:rPr>
          <w:rFonts w:ascii="Times New Roman" w:hAnsi="Times New Roman"/>
          <w:color w:val="000000" w:themeColor="text1"/>
          <w:sz w:val="16"/>
          <w:szCs w:val="16"/>
        </w:rPr>
        <w:t>этом документе указывалось, что « ...самолет обладает хорошими летными и пилотажными свойствами, прост и приятен в пилотировании и доступен для летчиков средней квалификации. Кабина летчика удобна и свободна. Обзор хоро</w:t>
      </w:r>
      <w:r w:rsidRPr="00640820">
        <w:rPr>
          <w:rFonts w:ascii="Times New Roman" w:hAnsi="Times New Roman"/>
          <w:color w:val="000000" w:themeColor="text1"/>
          <w:sz w:val="16"/>
          <w:szCs w:val="16"/>
        </w:rPr>
        <w:softHyphen/>
        <w:t>ший, но несколько затруднен всасываю</w:t>
      </w:r>
      <w:r w:rsidRPr="00640820">
        <w:rPr>
          <w:rFonts w:ascii="Times New Roman" w:hAnsi="Times New Roman"/>
          <w:color w:val="000000" w:themeColor="text1"/>
          <w:sz w:val="16"/>
          <w:szCs w:val="16"/>
        </w:rPr>
        <w:softHyphen/>
        <w:t>щим патрубком, стоящим спереди и справа от летчика.</w:t>
      </w:r>
    </w:p>
    <w:p w14:paraId="3598DE6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полного суждения о боевых и лет</w:t>
      </w:r>
      <w:r w:rsidRPr="00640820">
        <w:rPr>
          <w:rFonts w:ascii="Times New Roman" w:hAnsi="Times New Roman"/>
          <w:color w:val="000000" w:themeColor="text1"/>
          <w:sz w:val="16"/>
          <w:szCs w:val="16"/>
        </w:rPr>
        <w:softHyphen/>
        <w:t>ных свойствах самолетах Су-6 необходи</w:t>
      </w:r>
      <w:r w:rsidRPr="00640820">
        <w:rPr>
          <w:rFonts w:ascii="Times New Roman" w:hAnsi="Times New Roman"/>
          <w:color w:val="000000" w:themeColor="text1"/>
          <w:sz w:val="16"/>
          <w:szCs w:val="16"/>
        </w:rPr>
        <w:softHyphen/>
        <w:t>мо установить и отработать пушечное во</w:t>
      </w:r>
      <w:r w:rsidRPr="00640820">
        <w:rPr>
          <w:rFonts w:ascii="Times New Roman" w:hAnsi="Times New Roman"/>
          <w:color w:val="000000" w:themeColor="text1"/>
          <w:sz w:val="16"/>
          <w:szCs w:val="16"/>
        </w:rPr>
        <w:softHyphen/>
        <w:t>оружение и наружные подвески для РС» (10718).</w:t>
      </w:r>
    </w:p>
    <w:p w14:paraId="449832E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8D016A" w14:textId="77777777" w:rsidR="003733B8" w:rsidRPr="00640820" w:rsidRDefault="003733B8" w:rsidP="00640820">
      <w:pPr>
        <w:pStyle w:val="172"/>
        <w:shd w:val="clear" w:color="auto" w:fill="auto"/>
        <w:spacing w:before="0" w:line="240" w:lineRule="auto"/>
        <w:ind w:firstLine="0"/>
        <w:jc w:val="both"/>
        <w:rPr>
          <w:rFonts w:ascii="Times New Roman" w:hAnsi="Times New Roman" w:cs="Times New Roman"/>
          <w:color w:val="0070C0"/>
          <w:sz w:val="16"/>
          <w:szCs w:val="16"/>
        </w:rPr>
      </w:pPr>
      <w:r w:rsidRPr="00640820">
        <w:rPr>
          <w:rFonts w:ascii="Times New Roman" w:hAnsi="Times New Roman" w:cs="Times New Roman"/>
          <w:color w:val="0070C0"/>
          <w:sz w:val="16"/>
          <w:szCs w:val="16"/>
        </w:rPr>
        <w:t>18 сентября 1941 заместитель на</w:t>
      </w:r>
      <w:r w:rsidRPr="00640820">
        <w:rPr>
          <w:rFonts w:ascii="Times New Roman" w:hAnsi="Times New Roman" w:cs="Times New Roman"/>
          <w:color w:val="0070C0"/>
          <w:sz w:val="16"/>
          <w:szCs w:val="16"/>
        </w:rPr>
        <w:softHyphen/>
        <w:t>чальника ЛИИ профессор А.В. Чесалов и главный конструктор самолета Сухой ут</w:t>
      </w:r>
      <w:r w:rsidRPr="00640820">
        <w:rPr>
          <w:rFonts w:ascii="Times New Roman" w:hAnsi="Times New Roman" w:cs="Times New Roman"/>
          <w:color w:val="0070C0"/>
          <w:sz w:val="16"/>
          <w:szCs w:val="16"/>
        </w:rPr>
        <w:softHyphen/>
        <w:t>вердили Акт по результатам испытаний Су-6.</w:t>
      </w:r>
    </w:p>
    <w:p w14:paraId="2A7C08B7" w14:textId="77777777" w:rsidR="003733B8" w:rsidRPr="00640820" w:rsidRDefault="003733B8" w:rsidP="00640820">
      <w:pPr>
        <w:pStyle w:val="172"/>
        <w:shd w:val="clear" w:color="auto" w:fill="auto"/>
        <w:spacing w:before="0" w:line="240" w:lineRule="auto"/>
        <w:ind w:firstLine="0"/>
        <w:jc w:val="both"/>
        <w:rPr>
          <w:rFonts w:ascii="Times New Roman" w:hAnsi="Times New Roman" w:cs="Times New Roman"/>
          <w:color w:val="0070C0"/>
          <w:sz w:val="16"/>
          <w:szCs w:val="16"/>
        </w:rPr>
      </w:pPr>
      <w:r w:rsidRPr="00640820">
        <w:rPr>
          <w:rFonts w:ascii="Times New Roman" w:hAnsi="Times New Roman" w:cs="Times New Roman"/>
          <w:color w:val="0070C0"/>
          <w:sz w:val="16"/>
          <w:szCs w:val="16"/>
        </w:rPr>
        <w:t>Общее впечатление о самолете было положительным. По заявлениям летчи</w:t>
      </w:r>
      <w:r w:rsidRPr="00640820">
        <w:rPr>
          <w:rFonts w:ascii="Times New Roman" w:hAnsi="Times New Roman" w:cs="Times New Roman"/>
          <w:color w:val="0070C0"/>
          <w:sz w:val="16"/>
          <w:szCs w:val="16"/>
        </w:rPr>
        <w:softHyphen/>
        <w:t>ков по легкости пилотирования Су-6 «на</w:t>
      </w:r>
      <w:r w:rsidRPr="00640820">
        <w:rPr>
          <w:rFonts w:ascii="Times New Roman" w:hAnsi="Times New Roman" w:cs="Times New Roman"/>
          <w:color w:val="0070C0"/>
          <w:sz w:val="16"/>
          <w:szCs w:val="16"/>
        </w:rPr>
        <w:softHyphen/>
        <w:t>поминает американские самолеты Северский и Нортроп». Самолет «необычайно «плотен» в воздухе и хорошо ведет себя на больших скоростях», «приятный в пи</w:t>
      </w:r>
      <w:r w:rsidRPr="00640820">
        <w:rPr>
          <w:rFonts w:ascii="Times New Roman" w:hAnsi="Times New Roman" w:cs="Times New Roman"/>
          <w:color w:val="0070C0"/>
          <w:sz w:val="16"/>
          <w:szCs w:val="16"/>
        </w:rPr>
        <w:softHyphen/>
        <w:t>лотировании, доступный по своей про</w:t>
      </w:r>
      <w:r w:rsidRPr="00640820">
        <w:rPr>
          <w:rFonts w:ascii="Times New Roman" w:hAnsi="Times New Roman" w:cs="Times New Roman"/>
          <w:color w:val="0070C0"/>
          <w:sz w:val="16"/>
          <w:szCs w:val="16"/>
        </w:rPr>
        <w:softHyphen/>
        <w:t>стоте для летчика средней квалификации, неутомительный в полете», «по своим пи</w:t>
      </w:r>
      <w:r w:rsidRPr="00640820">
        <w:rPr>
          <w:rFonts w:ascii="Times New Roman" w:hAnsi="Times New Roman" w:cs="Times New Roman"/>
          <w:color w:val="0070C0"/>
          <w:sz w:val="16"/>
          <w:szCs w:val="16"/>
        </w:rPr>
        <w:softHyphen/>
        <w:t>лотажным свойствам и простоте управле</w:t>
      </w:r>
      <w:r w:rsidRPr="00640820">
        <w:rPr>
          <w:rFonts w:ascii="Times New Roman" w:hAnsi="Times New Roman" w:cs="Times New Roman"/>
          <w:color w:val="0070C0"/>
          <w:sz w:val="16"/>
          <w:szCs w:val="16"/>
        </w:rPr>
        <w:softHyphen/>
        <w:t>ния принадлежит к числу лучших совре</w:t>
      </w:r>
      <w:r w:rsidRPr="00640820">
        <w:rPr>
          <w:rFonts w:ascii="Times New Roman" w:hAnsi="Times New Roman" w:cs="Times New Roman"/>
          <w:color w:val="0070C0"/>
          <w:sz w:val="16"/>
          <w:szCs w:val="16"/>
        </w:rPr>
        <w:softHyphen/>
        <w:t>менных самолетов».</w:t>
      </w:r>
    </w:p>
    <w:p w14:paraId="736719B6" w14:textId="77777777" w:rsidR="003733B8" w:rsidRPr="00640820" w:rsidRDefault="003733B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По скорости полета, скороподъемно</w:t>
      </w:r>
      <w:r w:rsidRPr="00640820">
        <w:rPr>
          <w:rFonts w:ascii="Times New Roman" w:hAnsi="Times New Roman"/>
          <w:color w:val="0070C0"/>
          <w:sz w:val="16"/>
          <w:szCs w:val="16"/>
        </w:rPr>
        <w:softHyphen/>
        <w:t>сти и взлетно-посадочным характеристи</w:t>
      </w:r>
      <w:r w:rsidRPr="00640820">
        <w:rPr>
          <w:rFonts w:ascii="Times New Roman" w:hAnsi="Times New Roman"/>
          <w:color w:val="0070C0"/>
          <w:sz w:val="16"/>
          <w:szCs w:val="16"/>
        </w:rPr>
        <w:softHyphen/>
        <w:t>кам Су-6 М-71 значительно превзошел серийный штурмовик Ил-2 АМ-38</w:t>
      </w:r>
    </w:p>
    <w:p w14:paraId="55525506" w14:textId="77777777" w:rsidR="003733B8" w:rsidRPr="00640820" w:rsidRDefault="003733B8" w:rsidP="00640820">
      <w:pPr>
        <w:pStyle w:val="172"/>
        <w:shd w:val="clear" w:color="auto" w:fill="auto"/>
        <w:spacing w:before="0" w:line="240" w:lineRule="auto"/>
        <w:ind w:firstLine="0"/>
        <w:jc w:val="both"/>
        <w:rPr>
          <w:rFonts w:ascii="Times New Roman" w:hAnsi="Times New Roman" w:cs="Times New Roman"/>
          <w:color w:val="0070C0"/>
          <w:sz w:val="16"/>
          <w:szCs w:val="16"/>
        </w:rPr>
      </w:pPr>
      <w:r w:rsidRPr="00640820">
        <w:rPr>
          <w:rFonts w:ascii="Times New Roman" w:hAnsi="Times New Roman" w:cs="Times New Roman"/>
          <w:color w:val="0070C0"/>
          <w:sz w:val="16"/>
          <w:szCs w:val="16"/>
        </w:rPr>
        <w:t>При полетном весе 4214 кг макси</w:t>
      </w:r>
      <w:r w:rsidRPr="00640820">
        <w:rPr>
          <w:rFonts w:ascii="Times New Roman" w:hAnsi="Times New Roman" w:cs="Times New Roman"/>
          <w:color w:val="0070C0"/>
          <w:sz w:val="16"/>
          <w:szCs w:val="16"/>
        </w:rPr>
        <w:softHyphen/>
        <w:t>мальная скорость составила 566 км/ч - на высоте 5700 м, и 474 км/ч (518 км/ч на форсажном режиме) - у земли. Вы</w:t>
      </w:r>
      <w:r w:rsidRPr="00640820">
        <w:rPr>
          <w:rFonts w:ascii="Times New Roman" w:hAnsi="Times New Roman" w:cs="Times New Roman"/>
          <w:color w:val="0070C0"/>
          <w:sz w:val="16"/>
          <w:szCs w:val="16"/>
        </w:rPr>
        <w:softHyphen/>
        <w:t>соту 5000 м самолет набирал за 6,25 мин. Дальность полета на высоте 500-600 м и скорости 462 км/ч - 700 км.</w:t>
      </w:r>
    </w:p>
    <w:p w14:paraId="5294B566" w14:textId="77777777" w:rsidR="003733B8" w:rsidRPr="00640820" w:rsidRDefault="003733B8" w:rsidP="00640820">
      <w:pPr>
        <w:pStyle w:val="172"/>
        <w:shd w:val="clear" w:color="auto" w:fill="auto"/>
        <w:spacing w:before="0" w:line="240" w:lineRule="auto"/>
        <w:ind w:firstLine="0"/>
        <w:jc w:val="both"/>
        <w:rPr>
          <w:rFonts w:ascii="Times New Roman" w:hAnsi="Times New Roman" w:cs="Times New Roman"/>
          <w:color w:val="0070C0"/>
          <w:sz w:val="16"/>
          <w:szCs w:val="16"/>
        </w:rPr>
      </w:pPr>
      <w:r w:rsidRPr="00640820">
        <w:rPr>
          <w:rFonts w:ascii="Times New Roman" w:hAnsi="Times New Roman" w:cs="Times New Roman"/>
          <w:color w:val="0070C0"/>
          <w:sz w:val="16"/>
          <w:szCs w:val="16"/>
        </w:rPr>
        <w:t>Предлагалось увеличить бомбо</w:t>
      </w:r>
      <w:r w:rsidRPr="00640820">
        <w:rPr>
          <w:rFonts w:ascii="Times New Roman" w:hAnsi="Times New Roman" w:cs="Times New Roman"/>
          <w:color w:val="0070C0"/>
          <w:sz w:val="16"/>
          <w:szCs w:val="16"/>
        </w:rPr>
        <w:softHyphen/>
        <w:t>вую нагрузку до 400 кг, установить вме</w:t>
      </w:r>
      <w:r w:rsidRPr="00640820">
        <w:rPr>
          <w:rFonts w:ascii="Times New Roman" w:hAnsi="Times New Roman" w:cs="Times New Roman"/>
          <w:color w:val="0070C0"/>
          <w:sz w:val="16"/>
          <w:szCs w:val="16"/>
        </w:rPr>
        <w:softHyphen/>
        <w:t>сто двух ШКАС две 23-мм пушки Волкова- Ярцева (как того требовал приказ НКАП №462с от 21 мая 1941 г.) и 10 реактив</w:t>
      </w:r>
      <w:r w:rsidRPr="00640820">
        <w:rPr>
          <w:rFonts w:ascii="Times New Roman" w:hAnsi="Times New Roman" w:cs="Times New Roman"/>
          <w:color w:val="0070C0"/>
          <w:sz w:val="16"/>
          <w:szCs w:val="16"/>
        </w:rPr>
        <w:softHyphen/>
        <w:t>ных орудий РО-132 (или РО-82), а также усилить бронирование самолета.</w:t>
      </w:r>
    </w:p>
    <w:p w14:paraId="2DFFEB50" w14:textId="77777777" w:rsidR="003733B8" w:rsidRPr="00640820" w:rsidRDefault="003733B8" w:rsidP="00640820">
      <w:pPr>
        <w:pStyle w:val="28"/>
        <w:shd w:val="clear" w:color="auto" w:fill="auto"/>
        <w:spacing w:before="0" w:line="240" w:lineRule="auto"/>
        <w:jc w:val="both"/>
        <w:rPr>
          <w:rFonts w:ascii="Times New Roman" w:hAnsi="Times New Roman" w:cs="Times New Roman"/>
          <w:color w:val="0070C0"/>
          <w:sz w:val="16"/>
          <w:szCs w:val="16"/>
        </w:rPr>
      </w:pPr>
      <w:r w:rsidRPr="00640820">
        <w:rPr>
          <w:rStyle w:val="28pt100"/>
          <w:rFonts w:ascii="Times New Roman" w:hAnsi="Times New Roman" w:cs="Times New Roman"/>
          <w:i w:val="0"/>
          <w:iCs w:val="0"/>
          <w:color w:val="0070C0"/>
        </w:rPr>
        <w:t>В заключении акта отмечалось:</w:t>
      </w:r>
      <w:r w:rsidRPr="00640820">
        <w:rPr>
          <w:rFonts w:ascii="Times New Roman" w:hAnsi="Times New Roman" w:cs="Times New Roman"/>
          <w:color w:val="0070C0"/>
          <w:sz w:val="16"/>
          <w:szCs w:val="16"/>
        </w:rPr>
        <w:t xml:space="preserve"> «1. Са</w:t>
      </w:r>
      <w:r w:rsidRPr="00640820">
        <w:rPr>
          <w:rFonts w:ascii="Times New Roman" w:hAnsi="Times New Roman" w:cs="Times New Roman"/>
          <w:color w:val="0070C0"/>
          <w:sz w:val="16"/>
          <w:szCs w:val="16"/>
        </w:rPr>
        <w:softHyphen/>
        <w:t>молет Су-6 обладает хорошими летными и пилотажными свойствами. 2. Для пол</w:t>
      </w:r>
      <w:r w:rsidRPr="00640820">
        <w:rPr>
          <w:rFonts w:ascii="Times New Roman" w:hAnsi="Times New Roman" w:cs="Times New Roman"/>
          <w:color w:val="0070C0"/>
          <w:sz w:val="16"/>
          <w:szCs w:val="16"/>
        </w:rPr>
        <w:softHyphen/>
        <w:t>ного суждения о боевых и летных свой</w:t>
      </w:r>
      <w:r w:rsidRPr="00640820">
        <w:rPr>
          <w:rFonts w:ascii="Times New Roman" w:hAnsi="Times New Roman" w:cs="Times New Roman"/>
          <w:color w:val="0070C0"/>
          <w:sz w:val="16"/>
          <w:szCs w:val="16"/>
        </w:rPr>
        <w:softHyphen/>
        <w:t>ствах самолета Су-6, необходимо устано</w:t>
      </w:r>
      <w:r w:rsidRPr="00640820">
        <w:rPr>
          <w:rFonts w:ascii="Times New Roman" w:hAnsi="Times New Roman" w:cs="Times New Roman"/>
          <w:color w:val="0070C0"/>
          <w:sz w:val="16"/>
          <w:szCs w:val="16"/>
        </w:rPr>
        <w:softHyphen/>
        <w:t>вить и отработать пушечное вооружение и наружные подвески РС» (19844).</w:t>
      </w:r>
    </w:p>
    <w:p w14:paraId="4DF32D0F" w14:textId="77777777" w:rsidR="003733B8" w:rsidRPr="00640820" w:rsidRDefault="003733B8" w:rsidP="00640820">
      <w:pPr>
        <w:pStyle w:val="172"/>
        <w:shd w:val="clear" w:color="auto" w:fill="auto"/>
        <w:spacing w:before="0" w:line="240" w:lineRule="auto"/>
        <w:ind w:firstLine="0"/>
        <w:jc w:val="both"/>
        <w:rPr>
          <w:rFonts w:ascii="Times New Roman" w:hAnsi="Times New Roman" w:cs="Times New Roman"/>
          <w:color w:val="0070C0"/>
          <w:sz w:val="16"/>
          <w:szCs w:val="16"/>
        </w:rPr>
      </w:pPr>
    </w:p>
    <w:p w14:paraId="1DE50DC7" w14:textId="77777777" w:rsidR="001547E5" w:rsidRPr="00640820" w:rsidRDefault="001547E5" w:rsidP="00640820">
      <w:pPr>
        <w:pStyle w:val="45"/>
        <w:shd w:val="clear" w:color="auto" w:fill="auto"/>
        <w:spacing w:before="0" w:line="240" w:lineRule="auto"/>
        <w:jc w:val="both"/>
        <w:rPr>
          <w:rFonts w:ascii="Times New Roman" w:cs="Times New Roman"/>
          <w:color w:val="000000" w:themeColor="text1"/>
          <w:sz w:val="16"/>
          <w:szCs w:val="16"/>
        </w:rPr>
      </w:pPr>
      <w:r w:rsidRPr="00640820">
        <w:rPr>
          <w:rStyle w:val="4f0"/>
          <w:rFonts w:ascii="Times New Roman" w:hAnsi="Times New Roman" w:cs="Times New Roman"/>
          <w:i w:val="0"/>
          <w:color w:val="000000" w:themeColor="text1"/>
          <w:sz w:val="16"/>
          <w:szCs w:val="16"/>
        </w:rPr>
        <w:t>18 сентября 1941 г., учитывая большие трудности в массовом производстве цементованной брони, началь</w:t>
      </w:r>
      <w:r w:rsidRPr="00640820">
        <w:rPr>
          <w:rStyle w:val="4f0"/>
          <w:rFonts w:ascii="Times New Roman" w:hAnsi="Times New Roman" w:cs="Times New Roman"/>
          <w:i w:val="0"/>
          <w:color w:val="000000" w:themeColor="text1"/>
          <w:sz w:val="16"/>
          <w:szCs w:val="16"/>
        </w:rPr>
        <w:softHyphen/>
        <w:t>ник ВИАМ А.Т. Туманов обратился к наркому авиапромышленности А.И. Шахурину с предложением</w:t>
      </w:r>
      <w:r w:rsidRPr="00640820">
        <w:rPr>
          <w:rFonts w:ascii="Times New Roman" w:cs="Times New Roman"/>
          <w:color w:val="000000" w:themeColor="text1"/>
          <w:sz w:val="16"/>
          <w:szCs w:val="16"/>
        </w:rPr>
        <w:t xml:space="preserve"> «при брони</w:t>
      </w:r>
      <w:r w:rsidRPr="00640820">
        <w:rPr>
          <w:rFonts w:ascii="Times New Roman" w:cs="Times New Roman"/>
          <w:color w:val="000000" w:themeColor="text1"/>
          <w:sz w:val="16"/>
          <w:szCs w:val="16"/>
        </w:rPr>
        <w:softHyphen/>
        <w:t xml:space="preserve">ровании боевых самолетов по всем толщинам перейти на единую сталь АБ-1 в гомогенном или слегка подцементованном состоянии». </w:t>
      </w:r>
      <w:r w:rsidRPr="00640820">
        <w:rPr>
          <w:rStyle w:val="4f0"/>
          <w:rFonts w:ascii="Times New Roman" w:hAnsi="Times New Roman" w:cs="Times New Roman"/>
          <w:i w:val="0"/>
          <w:color w:val="000000" w:themeColor="text1"/>
          <w:sz w:val="16"/>
          <w:szCs w:val="16"/>
        </w:rPr>
        <w:t>Отмечалось, что</w:t>
      </w:r>
      <w:r w:rsidRPr="00640820">
        <w:rPr>
          <w:rFonts w:ascii="Times New Roman" w:cs="Times New Roman"/>
          <w:color w:val="000000" w:themeColor="text1"/>
          <w:sz w:val="16"/>
          <w:szCs w:val="16"/>
        </w:rPr>
        <w:t xml:space="preserve"> «хорошие технологические показатели стали АБ-1, ее закаливаемость на воздухе, возможность штамповать и изготов</w:t>
      </w:r>
      <w:r w:rsidRPr="00640820">
        <w:rPr>
          <w:rFonts w:ascii="Times New Roman" w:cs="Times New Roman"/>
          <w:color w:val="000000" w:themeColor="text1"/>
          <w:sz w:val="16"/>
          <w:szCs w:val="16"/>
        </w:rPr>
        <w:softHyphen/>
        <w:t>лять детали любой формы позволяют реко</w:t>
      </w:r>
      <w:r w:rsidRPr="00640820">
        <w:rPr>
          <w:rFonts w:ascii="Times New Roman" w:cs="Times New Roman"/>
          <w:color w:val="000000" w:themeColor="text1"/>
          <w:sz w:val="16"/>
          <w:szCs w:val="16"/>
        </w:rPr>
        <w:softHyphen/>
        <w:t>мендовать авиаконструкторам и производст</w:t>
      </w:r>
      <w:r w:rsidRPr="00640820">
        <w:rPr>
          <w:rFonts w:ascii="Times New Roman" w:cs="Times New Roman"/>
          <w:color w:val="000000" w:themeColor="text1"/>
          <w:sz w:val="16"/>
          <w:szCs w:val="16"/>
        </w:rPr>
        <w:softHyphen/>
        <w:t>венникам броню АБ-1 толщиной от 6 до 18 мм как основной материал для бронирования са</w:t>
      </w:r>
      <w:r w:rsidRPr="00640820">
        <w:rPr>
          <w:rFonts w:ascii="Times New Roman" w:cs="Times New Roman"/>
          <w:color w:val="000000" w:themeColor="text1"/>
          <w:sz w:val="16"/>
          <w:szCs w:val="16"/>
        </w:rPr>
        <w:softHyphen/>
        <w:t>молетов против крупнокалиберного оружия».</w:t>
      </w:r>
    </w:p>
    <w:p w14:paraId="774E4090" w14:textId="77777777" w:rsidR="001547E5" w:rsidRPr="00640820" w:rsidRDefault="001547E5" w:rsidP="00640820">
      <w:pPr>
        <w:pStyle w:val="35"/>
        <w:shd w:val="clear" w:color="auto" w:fill="auto"/>
        <w:spacing w:after="0" w:line="240" w:lineRule="auto"/>
        <w:jc w:val="both"/>
        <w:rPr>
          <w:rFonts w:ascii="Times New Roman" w:cs="Times New Roman"/>
          <w:color w:val="000000" w:themeColor="text1"/>
          <w:spacing w:val="0"/>
          <w:sz w:val="16"/>
          <w:szCs w:val="16"/>
        </w:rPr>
      </w:pPr>
      <w:r w:rsidRPr="00640820">
        <w:rPr>
          <w:rFonts w:ascii="Times New Roman" w:cs="Times New Roman"/>
          <w:color w:val="000000" w:themeColor="text1"/>
          <w:spacing w:val="0"/>
          <w:sz w:val="16"/>
          <w:szCs w:val="16"/>
        </w:rPr>
        <w:t>Предлагалось для боковых, нижних и верхних деталей бронирования самолетов применять гомогенную броню АБ-1 толщиной 6-15 мм, а для спинок, щитков и других дета</w:t>
      </w:r>
      <w:r w:rsidRPr="00640820">
        <w:rPr>
          <w:rFonts w:ascii="Times New Roman" w:cs="Times New Roman"/>
          <w:color w:val="000000" w:themeColor="text1"/>
          <w:spacing w:val="0"/>
          <w:sz w:val="16"/>
          <w:szCs w:val="16"/>
        </w:rPr>
        <w:softHyphen/>
        <w:t>лей,</w:t>
      </w:r>
      <w:r w:rsidRPr="00640820">
        <w:rPr>
          <w:rStyle w:val="aff5"/>
          <w:rFonts w:ascii="Times New Roman" w:eastAsia="Arial Narrow" w:hAnsi="Times New Roman" w:cs="Times New Roman"/>
          <w:i w:val="0"/>
          <w:color w:val="000000" w:themeColor="text1"/>
          <w:spacing w:val="0"/>
        </w:rPr>
        <w:t xml:space="preserve"> «для которых возможны попадания пуль калибра 12,7 мм под углами близкими к нор</w:t>
      </w:r>
      <w:r w:rsidRPr="00640820">
        <w:rPr>
          <w:rStyle w:val="aff5"/>
          <w:rFonts w:ascii="Times New Roman" w:eastAsia="Arial Narrow" w:hAnsi="Times New Roman" w:cs="Times New Roman"/>
          <w:i w:val="0"/>
          <w:color w:val="000000" w:themeColor="text1"/>
          <w:spacing w:val="0"/>
        </w:rPr>
        <w:softHyphen/>
        <w:t>мали»,</w:t>
      </w:r>
      <w:r w:rsidRPr="00640820">
        <w:rPr>
          <w:rFonts w:ascii="Times New Roman" w:cs="Times New Roman"/>
          <w:color w:val="000000" w:themeColor="text1"/>
          <w:spacing w:val="0"/>
          <w:sz w:val="16"/>
          <w:szCs w:val="16"/>
        </w:rPr>
        <w:t xml:space="preserve"> - броню АБ-1 толщиной 12-18 мм в го</w:t>
      </w:r>
      <w:r w:rsidRPr="00640820">
        <w:rPr>
          <w:rFonts w:ascii="Times New Roman" w:cs="Times New Roman"/>
          <w:color w:val="000000" w:themeColor="text1"/>
          <w:spacing w:val="0"/>
          <w:sz w:val="16"/>
          <w:szCs w:val="16"/>
        </w:rPr>
        <w:softHyphen/>
        <w:t>могенном или подцементованном состоянии. При этом внимание Шахурина обращалось на сокращение (почти вдвое) в новой стали про</w:t>
      </w:r>
      <w:r w:rsidRPr="00640820">
        <w:rPr>
          <w:rFonts w:ascii="Times New Roman" w:cs="Times New Roman"/>
          <w:color w:val="000000" w:themeColor="text1"/>
          <w:spacing w:val="0"/>
          <w:sz w:val="16"/>
          <w:szCs w:val="16"/>
        </w:rPr>
        <w:softHyphen/>
        <w:t>центного содержания никеля. При этом мо</w:t>
      </w:r>
      <w:r w:rsidRPr="00640820">
        <w:rPr>
          <w:rFonts w:ascii="Times New Roman" w:cs="Times New Roman"/>
          <w:color w:val="000000" w:themeColor="text1"/>
          <w:spacing w:val="0"/>
          <w:sz w:val="16"/>
          <w:szCs w:val="16"/>
        </w:rPr>
        <w:softHyphen/>
        <w:t>либден вводился в сталь АБ-1</w:t>
      </w:r>
      <w:r w:rsidRPr="00640820">
        <w:rPr>
          <w:rStyle w:val="aff5"/>
          <w:rFonts w:ascii="Times New Roman" w:eastAsia="Arial Narrow" w:hAnsi="Times New Roman" w:cs="Times New Roman"/>
          <w:i w:val="0"/>
          <w:color w:val="000000" w:themeColor="text1"/>
          <w:spacing w:val="0"/>
        </w:rPr>
        <w:t xml:space="preserve"> «из возврата, а никель также из возврата или из природно-ле- гированных чугунов».</w:t>
      </w:r>
    </w:p>
    <w:p w14:paraId="100FDA23" w14:textId="77777777" w:rsidR="001547E5" w:rsidRPr="00640820" w:rsidRDefault="001547E5" w:rsidP="00640820">
      <w:pPr>
        <w:pStyle w:val="35"/>
        <w:shd w:val="clear" w:color="auto" w:fill="auto"/>
        <w:spacing w:after="0" w:line="240" w:lineRule="auto"/>
        <w:jc w:val="both"/>
        <w:rPr>
          <w:rFonts w:ascii="Times New Roman" w:cs="Times New Roman"/>
          <w:color w:val="000000" w:themeColor="text1"/>
          <w:spacing w:val="0"/>
          <w:sz w:val="16"/>
          <w:szCs w:val="16"/>
        </w:rPr>
      </w:pPr>
      <w:r w:rsidRPr="00640820">
        <w:rPr>
          <w:rFonts w:ascii="Times New Roman" w:cs="Times New Roman"/>
          <w:color w:val="000000" w:themeColor="text1"/>
          <w:spacing w:val="0"/>
          <w:sz w:val="16"/>
          <w:szCs w:val="16"/>
        </w:rPr>
        <w:lastRenderedPageBreak/>
        <w:t>Идея ВИАМ наркому понравилась. Пере</w:t>
      </w:r>
      <w:r w:rsidRPr="00640820">
        <w:rPr>
          <w:rFonts w:ascii="Times New Roman" w:cs="Times New Roman"/>
          <w:color w:val="000000" w:themeColor="text1"/>
          <w:spacing w:val="0"/>
          <w:sz w:val="16"/>
          <w:szCs w:val="16"/>
        </w:rPr>
        <w:softHyphen/>
        <w:t>ход на единую сталь упрощенного технологи</w:t>
      </w:r>
      <w:r w:rsidRPr="00640820">
        <w:rPr>
          <w:rFonts w:ascii="Times New Roman" w:cs="Times New Roman"/>
          <w:color w:val="000000" w:themeColor="text1"/>
          <w:spacing w:val="0"/>
          <w:sz w:val="16"/>
          <w:szCs w:val="16"/>
        </w:rPr>
        <w:softHyphen/>
        <w:t>ческого цикла изготовления позволял при вы</w:t>
      </w:r>
      <w:r w:rsidRPr="00640820">
        <w:rPr>
          <w:rFonts w:ascii="Times New Roman" w:cs="Times New Roman"/>
          <w:color w:val="000000" w:themeColor="text1"/>
          <w:spacing w:val="0"/>
          <w:sz w:val="16"/>
          <w:szCs w:val="16"/>
        </w:rPr>
        <w:softHyphen/>
        <w:t>полнении плановых заданий резко сократить расходы и главное - время, что в условиях войны имело весьма большое значение (15774).</w:t>
      </w:r>
    </w:p>
    <w:p w14:paraId="4B303413" w14:textId="77777777" w:rsidR="001547E5" w:rsidRPr="00640820" w:rsidRDefault="001547E5" w:rsidP="00640820">
      <w:pPr>
        <w:pStyle w:val="35"/>
        <w:shd w:val="clear" w:color="auto" w:fill="auto"/>
        <w:spacing w:after="0" w:line="240" w:lineRule="auto"/>
        <w:jc w:val="both"/>
        <w:rPr>
          <w:rFonts w:ascii="Times New Roman" w:cs="Times New Roman"/>
          <w:color w:val="000000" w:themeColor="text1"/>
          <w:spacing w:val="0"/>
          <w:sz w:val="16"/>
          <w:szCs w:val="16"/>
        </w:rPr>
      </w:pPr>
    </w:p>
    <w:p w14:paraId="134AA2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сентября 1941 В.Л.Расторгуев закончил совместные испытания планера РФ-8 О.К.А., которые начались 1 сентября 1941. В облетах приняли участие С.Н.Анохин, П.Ф.Павлов, В.П.Федоров, Г.С.Малиновский (94,71). Задержка была вызвана тем, что при посадке с высокого выравнивания чуть-чуть подломили. Запустили в Тюмени и Алапаевске, а с конца 1942 и на заводе Заводоуковск за Тюменью, куда переехало ОКБ-31 и где директором был А.С.Москалев. Всего сделали 400 (112,173-174).</w:t>
      </w:r>
    </w:p>
    <w:p w14:paraId="3137D5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5F9A3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сентября 1941 был подписан приказ об организации серийного производства планера Гр-29 В.К.Грибовского на двух бывших деревообделочных заводах на ст. Козловка (494) в Чувашии и в г. Шумерле (471). В серии стал Г-11 по числу десантников (94,61).</w:t>
      </w:r>
    </w:p>
    <w:p w14:paraId="1503EB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27EDA8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сентября 1941 г. НКАП принял ре</w:t>
      </w:r>
      <w:r w:rsidRPr="00640820">
        <w:rPr>
          <w:rFonts w:ascii="Times New Roman" w:hAnsi="Times New Roman"/>
          <w:color w:val="000000" w:themeColor="text1"/>
          <w:sz w:val="16"/>
          <w:szCs w:val="16"/>
        </w:rPr>
        <w:softHyphen/>
        <w:t>шение развернуть производство нового планёра Гр-29 под обозначением Г-11 (иногда встречалось обозначение Гр-11) на двух бывших деревообрабатывающих заво</w:t>
      </w:r>
      <w:r w:rsidRPr="00640820">
        <w:rPr>
          <w:rFonts w:ascii="Times New Roman" w:hAnsi="Times New Roman"/>
          <w:color w:val="000000" w:themeColor="text1"/>
          <w:sz w:val="16"/>
          <w:szCs w:val="16"/>
        </w:rPr>
        <w:softHyphen/>
        <w:t>дах: № 471 в городе Шумерля и № 494 в поселке Козловка (оба в Чувашии). До войны там выпускали кузова-фур- гоны для грузовиков. 27 и 28 сентября туда выехали представители ОКБ-28 с производственной документацией. 18 октября туда же эвакуировали ос</w:t>
      </w:r>
      <w:r w:rsidRPr="00640820">
        <w:rPr>
          <w:rFonts w:ascii="Times New Roman" w:hAnsi="Times New Roman"/>
          <w:color w:val="000000" w:themeColor="text1"/>
          <w:sz w:val="16"/>
          <w:szCs w:val="16"/>
        </w:rPr>
        <w:softHyphen/>
        <w:t>тальных работников конструкторского бюро. Вместе с ними прибыл неболь</w:t>
      </w:r>
      <w:r w:rsidRPr="00640820">
        <w:rPr>
          <w:rFonts w:ascii="Times New Roman" w:hAnsi="Times New Roman"/>
          <w:color w:val="000000" w:themeColor="text1"/>
          <w:sz w:val="16"/>
          <w:szCs w:val="16"/>
        </w:rPr>
        <w:softHyphen/>
        <w:t>шой задел деталей и узлов.</w:t>
      </w:r>
    </w:p>
    <w:p w14:paraId="679281C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ноября изготовили первый серий</w:t>
      </w:r>
      <w:r w:rsidRPr="00640820">
        <w:rPr>
          <w:rFonts w:ascii="Times New Roman" w:hAnsi="Times New Roman"/>
          <w:color w:val="000000" w:themeColor="text1"/>
          <w:sz w:val="16"/>
          <w:szCs w:val="16"/>
        </w:rPr>
        <w:softHyphen/>
        <w:t>ный экземпляр Г-11. Он немного отли</w:t>
      </w:r>
      <w:r w:rsidRPr="00640820">
        <w:rPr>
          <w:rFonts w:ascii="Times New Roman" w:hAnsi="Times New Roman"/>
          <w:color w:val="000000" w:themeColor="text1"/>
          <w:sz w:val="16"/>
          <w:szCs w:val="16"/>
        </w:rPr>
        <w:softHyphen/>
        <w:t>чался от Гр-29. Крыло для изменения центровки сдвинули немного назад, площадь элеронов увеличили. Шасси получило предусмотренные проектом «ломающиеся» подкосы. Металличес</w:t>
      </w:r>
      <w:r w:rsidRPr="00640820">
        <w:rPr>
          <w:rFonts w:ascii="Times New Roman" w:hAnsi="Times New Roman"/>
          <w:color w:val="000000" w:themeColor="text1"/>
          <w:sz w:val="16"/>
          <w:szCs w:val="16"/>
        </w:rPr>
        <w:softHyphen/>
        <w:t>кий каркас фонаря пилотской кабины заменили деревянным. Теперь при не</w:t>
      </w:r>
      <w:r w:rsidRPr="00640820">
        <w:rPr>
          <w:rFonts w:ascii="Times New Roman" w:hAnsi="Times New Roman"/>
          <w:color w:val="000000" w:themeColor="text1"/>
          <w:sz w:val="16"/>
          <w:szCs w:val="16"/>
        </w:rPr>
        <w:softHyphen/>
        <w:t>обходимости он целиком откидывался назад и сбрасывался. У пилота уста</w:t>
      </w:r>
      <w:r w:rsidRPr="00640820">
        <w:rPr>
          <w:rFonts w:ascii="Times New Roman" w:hAnsi="Times New Roman"/>
          <w:color w:val="000000" w:themeColor="text1"/>
          <w:sz w:val="16"/>
          <w:szCs w:val="16"/>
        </w:rPr>
        <w:softHyphen/>
        <w:t>новили компас. По требованию воен</w:t>
      </w:r>
      <w:r w:rsidRPr="00640820">
        <w:rPr>
          <w:rFonts w:ascii="Times New Roman" w:hAnsi="Times New Roman"/>
          <w:color w:val="000000" w:themeColor="text1"/>
          <w:sz w:val="16"/>
          <w:szCs w:val="16"/>
        </w:rPr>
        <w:softHyphen/>
        <w:t>ных планёр получил комплект элект- роооборудования для полётов ночью: посадочную фару, плафон освещения в грузовой кабине, сигнальную лампу у пилота и аккумулятор 12А-30.</w:t>
      </w:r>
    </w:p>
    <w:p w14:paraId="7A89781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31 декабря через военную приёмку прошла первая серия из десяти Г-11. Облёт первых серийных аппаратов по</w:t>
      </w:r>
      <w:r w:rsidRPr="00640820">
        <w:rPr>
          <w:rFonts w:ascii="Times New Roman" w:hAnsi="Times New Roman"/>
          <w:color w:val="000000" w:themeColor="text1"/>
          <w:sz w:val="16"/>
          <w:szCs w:val="16"/>
        </w:rPr>
        <w:softHyphen/>
        <w:t>казал, что сдвиг крыла назад привёл к появлению тряски хвостового оперения при выпуске щитков. На Гр-29 такого явления не наблюдалось. Тряску быстро устранили введением перфорации на центропланных секциях щитков.</w:t>
      </w:r>
    </w:p>
    <w:p w14:paraId="06D22C6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Уже после поступления Г-11 в стро</w:t>
      </w:r>
      <w:r w:rsidRPr="00640820">
        <w:rPr>
          <w:rFonts w:ascii="Times New Roman" w:hAnsi="Times New Roman"/>
          <w:color w:val="000000" w:themeColor="text1"/>
          <w:sz w:val="16"/>
          <w:szCs w:val="16"/>
        </w:rPr>
        <w:softHyphen/>
        <w:t>евые части обнаружился реверс консолей при отклонении элеронов. В частности, при проведении войсковых испытаний по этой причине погиб пилот В. Романов. Он на буксире перегонял планёр с одного аэродрома на другой. При сильной болтанке Г-11 отцепился от буксировщика, потерял управление и упал. Вместе с Романовым погиб на</w:t>
      </w:r>
      <w:r w:rsidRPr="00640820">
        <w:rPr>
          <w:rFonts w:ascii="Times New Roman" w:hAnsi="Times New Roman"/>
          <w:color w:val="000000" w:themeColor="text1"/>
          <w:sz w:val="16"/>
          <w:szCs w:val="16"/>
        </w:rPr>
        <w:softHyphen/>
        <w:t>ходившийся на борту механик.</w:t>
      </w:r>
    </w:p>
    <w:p w14:paraId="47FD6D7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Это было связано как с увеличением площади элеронов (и, соответствен</w:t>
      </w:r>
      <w:r w:rsidRPr="00640820">
        <w:rPr>
          <w:rFonts w:ascii="Times New Roman" w:hAnsi="Times New Roman"/>
          <w:color w:val="000000" w:themeColor="text1"/>
          <w:sz w:val="16"/>
          <w:szCs w:val="16"/>
        </w:rPr>
        <w:softHyphen/>
        <w:t>но, с ростом усилий, передававшихся на конструкцию крыла), так и с низким качеством фанеры. В качестве меры противодействия часть полотна на кон</w:t>
      </w:r>
      <w:r w:rsidRPr="00640820">
        <w:rPr>
          <w:rFonts w:ascii="Times New Roman" w:hAnsi="Times New Roman"/>
          <w:color w:val="000000" w:themeColor="text1"/>
          <w:sz w:val="16"/>
          <w:szCs w:val="16"/>
        </w:rPr>
        <w:softHyphen/>
        <w:t>солях заменили фанерой, которая шла теперь до задней косой балки (вспомо</w:t>
      </w:r>
      <w:r w:rsidRPr="00640820">
        <w:rPr>
          <w:rFonts w:ascii="Times New Roman" w:hAnsi="Times New Roman"/>
          <w:color w:val="000000" w:themeColor="text1"/>
          <w:sz w:val="16"/>
          <w:szCs w:val="16"/>
        </w:rPr>
        <w:softHyphen/>
        <w:t>гательного лонжерона). Это увеличило жёсткость консолей (12266).</w:t>
      </w:r>
    </w:p>
    <w:p w14:paraId="605D3B1B"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73B1629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сентября 1941 последовало решение о орга</w:t>
      </w:r>
      <w:r w:rsidRPr="00640820">
        <w:rPr>
          <w:rFonts w:ascii="Times New Roman" w:hAnsi="Times New Roman"/>
          <w:color w:val="000000" w:themeColor="text1"/>
          <w:sz w:val="16"/>
          <w:szCs w:val="16"/>
        </w:rPr>
        <w:softHyphen/>
        <w:t>низации серийного производства Г-29 на двух деревооб</w:t>
      </w:r>
      <w:r w:rsidRPr="00640820">
        <w:rPr>
          <w:rFonts w:ascii="Times New Roman" w:hAnsi="Times New Roman"/>
          <w:color w:val="000000" w:themeColor="text1"/>
          <w:sz w:val="16"/>
          <w:szCs w:val="16"/>
        </w:rPr>
        <w:softHyphen/>
        <w:t>делочных комбинатах в г. Шумерля (завод № 471) и поселке Козловка (завод № 494). Оба населенных пункта находи</w:t>
      </w:r>
      <w:r w:rsidRPr="00640820">
        <w:rPr>
          <w:rFonts w:ascii="Times New Roman" w:hAnsi="Times New Roman"/>
          <w:color w:val="000000" w:themeColor="text1"/>
          <w:sz w:val="16"/>
          <w:szCs w:val="16"/>
        </w:rPr>
        <w:softHyphen/>
        <w:t>лись в Чувашской АССР (ныне — Чувашская Республика) (12300).</w:t>
      </w:r>
    </w:p>
    <w:p w14:paraId="771FDDEB"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1C9180E0"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сентября 1941 последовало решение об организации серийного производства Г-29 на двух деревообделочных заводах в городе Шумерля (завод №471) и поселке Козловка (завод №494).</w:t>
      </w:r>
    </w:p>
    <w:p w14:paraId="1509D8A2"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Летные испытания, прошедшие в конце сентября, показали вполне приемлемые пилотажные характеристики Г-29. Для смещения центровки пустого планера вперед (это требование ВВС, на случай продолжения полета планера после покидания его десантниками на парашютах), в серии крыло передвинули немного вперед. При этом, в посадочной конфигурации с выпущенными щитками, стала наблюдаться тряска хвостового оперения. Тряску устранили путем устройства перфорации на щитках.</w:t>
      </w:r>
    </w:p>
    <w:p w14:paraId="35C88EBA"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Сразу после окончания испытаний, 28 сентября 1941г. Грибовский выехал на завод №471, а его заместитель Ландышев - на завод №494.</w:t>
      </w:r>
    </w:p>
    <w:p w14:paraId="6A18412C"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октября в Шумерлю прибыл первый эшелон с «хозяйством» ОКБ-28, а уже 7 ноября здесь собрали первый головной десантный планер. До конца года завод №471 изготовил 10 серийных аппаратов, которые по количеству перевозимых десантников получили обозначение Г-11.</w:t>
      </w:r>
    </w:p>
    <w:p w14:paraId="3F891963"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Десантный планер Г-11 (использовались также обозначения Гр-11 и Гр-29) представлял собой свободнонесущий высокоплан деревянной конструкции с объемным коробчатым фюзеляжем. Металл использовался в малых количествах только в наиболее нагруженных местах.</w:t>
      </w:r>
    </w:p>
    <w:p w14:paraId="099FD418"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Планер имел неубираемое шасси с колесами размером 600×250 мм для взлета и посадочную лыжу для посадки. В случае посадки на лыжу колесное шасси, оборудованное «ломающимся подкосом», сдвигалось назад-вверх.</w:t>
      </w:r>
    </w:p>
    <w:p w14:paraId="53984A20"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Носовая часть фюзеляжа представляла собой одноместную кабину летчика с органами управления, минимальным комплектом приборов и сбрасываемым фонарем. За ней располагался десантно-грузовой отсек длиной 3,24 м и шириной 1,36-1,25 м. Десантники сидели на дощатых скамейках, расположенных вдоль бортов фюзеляжа лицом друг к другу.</w:t>
      </w:r>
    </w:p>
    <w:p w14:paraId="14608A50"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погрузки планера и его покидания в бортах фюзеляжа имелись сбрасываемые дверцы размером 1,2×0,7м, а в потолке и в полу - также сбрасываемые люки размером 0,51×0,46 м. Кроме того, в каждом борту было по два застекленных прямоугольных окна-иллюминатора, которые могли открываться для ведения стрельбы из личного оружия.</w:t>
      </w:r>
    </w:p>
    <w:p w14:paraId="56A6ECFD"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Г-11 нарастало вплоть до июня 1942 г., когда выяснилось, что военные попросту не готовы к приему большого числа десантных планеров. Не хватало самолетов-буксировщиков и пилотов-планеристов. Так как хранение планеров в течение длительного времени не предусматривалось, их нахождение под открытым небом могло привести к снижению прочности и надежности.</w:t>
      </w:r>
    </w:p>
    <w:p w14:paraId="5CDE7C27"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результате производство Г-11 в 1942 г. прекратили, личный состав ОКБ-28 присоединили к техперсоналу завода №471, переориентированного на производство самолетов Як-6, а Грибовский убыл в распоряжение Наркомага авиапромышленности.</w:t>
      </w:r>
    </w:p>
    <w:p w14:paraId="5E4DC0A1"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 до прекращения выпуска в 1942 г. завод №471 выпустил 127 Г-11 (плюс 11 в 1941 г.), а завод №494 -170 планеров. Таким образом, суммарный выпуск к осени 1942 г. составил 308 экземпляров Г-11.</w:t>
      </w:r>
    </w:p>
    <w:p w14:paraId="67E3BFDF"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1943 г. производство планеров восстановили на заводе в Рязани, где Грибовского назначили Главным конструктором. Первый «рязанский» Г-11 испытали в марте 1944 г. Планерист-испытатель старший лейтенант Чубуков написал в своем отзыве:</w:t>
      </w:r>
    </w:p>
    <w:p w14:paraId="2744B09F" w14:textId="77777777" w:rsidR="00165A9C" w:rsidRPr="00640820" w:rsidRDefault="00165A9C" w:rsidP="00640820">
      <w:pPr>
        <w:shd w:val="clear" w:color="auto" w:fill="FFFFFF"/>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«Управляемость планера достаточная. Запас рулей вполне обеспечивает вывод планера из самого тяжелого положения. Управление Г-11 подобрано чрезвычайно удачно, будучи не таким строгим, как у планера А-7, вместе с тем обеспечивает полную управляемость в трудных условиях при любых вариантах загрузки. При выполнении фигур пилотажа - штопора, переворота и бочки планер быстро выходит без запаздывания в нормальное положение. Посадка во всех вариантах загрузки проста и выполняется на малых скоростях».</w:t>
      </w:r>
    </w:p>
    <w:p w14:paraId="113878BD"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ходе серийного производства в конструкцию Г-11 вносились изменения. Начиная с экземпляра №21 на левом борту фюзеляжа оборудовали увеличенный грузовой люк шириной 1400 мм, а дверь на правом борту упразднили. С октября 1944 г. выпускались планеры с двойным управлением, амортизацией посадочной лыжи и дополнительными усилениями конструкции. В серии эти аппараты, дополнительным внешним отличием которых стал небольшой форкиль, получили обозначение Г-11У.</w:t>
      </w:r>
    </w:p>
    <w:p w14:paraId="3E7CAE3F"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Г-11У прекратилось в середине 1945 г., однако, спустя год возобновилось и продолжалось вплоть до 1948 г. (точных данных о количестве Г-11, произведенных в этот период, не обнаружено).</w:t>
      </w:r>
    </w:p>
    <w:p w14:paraId="50357A95"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Использование Г-11 в период Великой Отечественной войны показало их высокую надежность и достаточную эффективность. Особенно активно планеры использовались для снабжения партизан в 1943-44 гг. В августе 1944-го конструктор Грибовский за доставку грузов планерами Г-11 партизанам Белоруссии был награжден медалью «Партизан Отечественной войны».</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677"/>
        <w:gridCol w:w="6645"/>
      </w:tblGrid>
      <w:tr w:rsidR="00643896" w:rsidRPr="00640820" w14:paraId="76A65E9A" w14:textId="77777777" w:rsidTr="000D3BCB">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EAC7BD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Модификация</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A1805E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Г-11</w:t>
            </w:r>
          </w:p>
        </w:tc>
      </w:tr>
      <w:tr w:rsidR="00643896" w:rsidRPr="00640820" w14:paraId="25A30D9E" w14:textId="77777777" w:rsidTr="000D3BCB">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788404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Размах крыла, м</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1174AF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18.00</w:t>
            </w:r>
          </w:p>
        </w:tc>
      </w:tr>
      <w:tr w:rsidR="00643896" w:rsidRPr="00640820" w14:paraId="2463F809" w14:textId="77777777" w:rsidTr="000D3BCB">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B4E28D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Длина, м</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0825E3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10.84</w:t>
            </w:r>
          </w:p>
        </w:tc>
      </w:tr>
      <w:tr w:rsidR="00643896" w:rsidRPr="00640820" w14:paraId="6E208B38" w14:textId="77777777" w:rsidTr="000D3BCB">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A2F254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Высота, м</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DB5AFA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r>
      <w:tr w:rsidR="00643896" w:rsidRPr="00640820" w14:paraId="2E324A35" w14:textId="77777777" w:rsidTr="000D3BCB">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189DB0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Площадь крыла, м²</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0A3925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30.00</w:t>
            </w:r>
          </w:p>
        </w:tc>
      </w:tr>
      <w:tr w:rsidR="00643896" w:rsidRPr="00640820" w14:paraId="3EA9C9DA" w14:textId="77777777" w:rsidTr="000D3BCB">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A559FF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Масса, кг</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1E73A0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r>
      <w:tr w:rsidR="00643896" w:rsidRPr="00640820" w14:paraId="2A331799" w14:textId="77777777" w:rsidTr="000D3BCB">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2B1899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пустого снаряженного</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FF80DB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960</w:t>
            </w:r>
          </w:p>
        </w:tc>
      </w:tr>
      <w:tr w:rsidR="00643896" w:rsidRPr="00640820" w14:paraId="75CFC9E5" w14:textId="77777777" w:rsidTr="000D3BCB">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51D149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максимальная взлетная</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7AA92D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1660</w:t>
            </w:r>
          </w:p>
        </w:tc>
      </w:tr>
      <w:tr w:rsidR="00643896" w:rsidRPr="00640820" w14:paraId="7E20A92A" w14:textId="77777777" w:rsidTr="000D3BCB">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F81523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Максимальная скорость, км/ч</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F3B39A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220</w:t>
            </w:r>
          </w:p>
        </w:tc>
      </w:tr>
      <w:tr w:rsidR="00643896" w:rsidRPr="00640820" w14:paraId="317630FD" w14:textId="77777777" w:rsidTr="000D3BCB">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606B21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Полезная нагрузка:</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9EBADC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11 десантников</w:t>
            </w:r>
          </w:p>
        </w:tc>
      </w:tr>
    </w:tbl>
    <w:p w14:paraId="1E422C42" w14:textId="77777777" w:rsidR="00165A9C" w:rsidRPr="00640820" w:rsidRDefault="00165A9C" w:rsidP="00640820">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(12682).</w:t>
      </w:r>
    </w:p>
    <w:p w14:paraId="6BA8AB5A" w14:textId="77777777" w:rsidR="00165A9C" w:rsidRPr="00640820" w:rsidRDefault="00165A9C" w:rsidP="00640820">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p>
    <w:p w14:paraId="40C291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18 сентября 1941 г. на заводе (ГС Завод № 471 НКАП /г. Шумерля Чувашской АССР/) начато освоение производства десантного планера Г-29 (Г-11), а также планера РФ-8 </w:t>
      </w:r>
      <w:r w:rsidRPr="00640820">
        <w:rPr>
          <w:rFonts w:ascii="Times New Roman" w:hAnsi="Times New Roman"/>
          <w:color w:val="000000" w:themeColor="text1"/>
          <w:sz w:val="16"/>
          <w:szCs w:val="16"/>
          <w:lang w:val="en-US"/>
        </w:rPr>
        <w:t>O</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K</w:t>
      </w:r>
      <w:r w:rsidRPr="00640820">
        <w:rPr>
          <w:rFonts w:ascii="Times New Roman" w:hAnsi="Times New Roman"/>
          <w:color w:val="000000" w:themeColor="text1"/>
          <w:sz w:val="16"/>
          <w:szCs w:val="16"/>
        </w:rPr>
        <w:t xml:space="preserve">. Антонова. Также было задано изготовление двух экземпляров опытного планера А-40 «КТ» (крылья танка) </w:t>
      </w:r>
      <w:r w:rsidRPr="00640820">
        <w:rPr>
          <w:rFonts w:ascii="Times New Roman" w:hAnsi="Times New Roman"/>
          <w:color w:val="000000" w:themeColor="text1"/>
          <w:sz w:val="16"/>
          <w:szCs w:val="16"/>
          <w:lang w:val="en-US"/>
        </w:rPr>
        <w:t>O</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K</w:t>
      </w:r>
      <w:r w:rsidRPr="00640820">
        <w:rPr>
          <w:rFonts w:ascii="Times New Roman" w:hAnsi="Times New Roman"/>
          <w:color w:val="000000" w:themeColor="text1"/>
          <w:sz w:val="16"/>
          <w:szCs w:val="16"/>
        </w:rPr>
        <w:t>. Антонова. Единственный полет А-40 с танком Т-60 выполнил 2.09.1942 г.</w:t>
      </w:r>
    </w:p>
    <w:p w14:paraId="0356EA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завод № 471 эвакуирована в 10-11.1941 г. часть завода № 168 НКАП (винтовой цех). от </w:t>
      </w:r>
    </w:p>
    <w:p w14:paraId="38618D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сентября 1941 г. по приказам № 995сс и № 1050сс от 8.10.1941 г. на площадку завода № 471 11ГУ НКАП переведена основная часть ОКБ-28 11ГУ НКАП гл. конструктора В.К. Грибовского.</w:t>
      </w:r>
    </w:p>
    <w:p w14:paraId="117B25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завод № 471 была эвакуирована основная часть личного состава, оборудования и документации завода № 445 НКАП. Здесь началось возобновление выпуска планера А-7. По приказу № 1088сс от 1.11.1941 г. планировалось влить завод № 445 в состав завода № 471. Но затем по приказу № 1179с от 31.12.1941 г. завод № 445 эвакуирован в Алапаевск на площадку деревообрабатывающего комбината НКЧМ.</w:t>
      </w:r>
    </w:p>
    <w:p w14:paraId="3C4756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09.1942 г. началось освоение выпуска Як-6. На 10.1944 г. завод действовал при 11ГУ.</w:t>
      </w:r>
    </w:p>
    <w:p w14:paraId="17D7F7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1945 г. завод № 471 НКАГ1 ликвидирован. По приказу № 306с/ 203пс от 24.07.1945 г. личный состав и оборудование переданы заводу № 463 НКАП, площадка передана в НКлеса, и на ней организован Комбинат автомобильных фургонов.</w:t>
      </w:r>
    </w:p>
    <w:p w14:paraId="5333CF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(конец 1941 г.)- Егоров, (05.1942 г.)- В.К. Грибовский, (08.1943 г.)- И.Н. Мартынов, (-12.1943- 08.1944 г.-)- П.Н. Голубков, (07.1945 г.)- Шаройко.</w:t>
      </w:r>
    </w:p>
    <w:p w14:paraId="05A47A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(05.1942 г.)- В.К. Грибовский.</w:t>
      </w:r>
    </w:p>
    <w:p w14:paraId="11EAAC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КБ (11.1941 г.-)-  Г.Ф. Грошев.</w:t>
      </w:r>
    </w:p>
    <w:p w14:paraId="72F7B0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планер Г-11 (1941-42-)- 138; самолеты: Як-6 (1942-43)- 82, У-2 (1943-45)- 1127; кузова- фургоны: «Волга», «Двина» (ВОВ).</w:t>
      </w:r>
    </w:p>
    <w:p w14:paraId="232E5F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гл. конструктора В.К. Грибовского при заводе № 471 НКАП</w:t>
      </w:r>
    </w:p>
    <w:p w14:paraId="451E10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приказам № 995сс от 18.09.1941 г. и № 1050сс от 8.10.1941 г. на площадку завода № 471 переведена основная часть ОКБ-28 11ГУ НКАП гл. конструктора В.К. Грибовского и вошла в состав завода. Работы по сопровождению серии десантного планера Гр-29 (Г-11).</w:t>
      </w:r>
    </w:p>
    <w:p w14:paraId="2D77F7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1942 г., после прекращения выпуска Г-11, ОКБ было ликвидировано. Личный состав ОКБ-28 перевели в подчинение завода № 471, а Грибовский убыл в распоряжение НКАП. Затем часть коллектива ОКБ с техдокументацией переведена на вновь образованный завод № 463 в Рязань. По приказу № 730с от 4.12.1943 г. остатки ОКБ В.К. Грибовского переведены с завода № 471 на завод № 463 во вновь организованное КБ по десантным планерам. Грибовский назначен гл. конструктором завода № 463.</w:t>
      </w:r>
    </w:p>
    <w:p w14:paraId="6E5E87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ОАО «Комбинат автомобильных фургонов» /Чувашия 429120  г. Шумерля ул. Ленина, 21А тел. 5-23-93/</w:t>
      </w:r>
    </w:p>
    <w:p w14:paraId="3B7759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Комбинат создан после войны на площадке ликвидированного завода № 471 НКАП.</w:t>
      </w:r>
    </w:p>
    <w:p w14:paraId="6CC46A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Освоено производство мебели, кузовов-фургонов на автомобильном и прицепном шасси для армии. В 1950-е  г. комбинат разрабатывал и выпускал унифицированные кузова для размещения пунктов управления огнем, стартовых комплексов ракетных войск (11982).</w:t>
      </w:r>
    </w:p>
    <w:p w14:paraId="4644C1AE" w14:textId="77777777" w:rsidR="001547E5" w:rsidRPr="00640820" w:rsidRDefault="001547E5"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6C713F0"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2E54D553"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788A3A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сентября 1941 с завода № 183 ушел первый эшелон с группой конструкторов, технологов, необходимой технической доку</w:t>
      </w:r>
      <w:r w:rsidRPr="00640820">
        <w:rPr>
          <w:rFonts w:ascii="Times New Roman" w:hAnsi="Times New Roman"/>
          <w:color w:val="000000" w:themeColor="text1"/>
          <w:sz w:val="16"/>
          <w:szCs w:val="16"/>
        </w:rPr>
        <w:softHyphen/>
        <w:t>ментацией, моделями, штампами и уникальными станками. 18 октября 1941 г. ночью со станции Харьков-Балашовский ушел последний 43-й эшелон с оборудованием и людьми завода № 183. Всего с завода было эвакуировано 5234 квалифицированных работника, 2721 металлорежу</w:t>
      </w:r>
      <w:r w:rsidRPr="00640820">
        <w:rPr>
          <w:rFonts w:ascii="Times New Roman" w:hAnsi="Times New Roman"/>
          <w:color w:val="000000" w:themeColor="text1"/>
          <w:sz w:val="16"/>
          <w:szCs w:val="16"/>
        </w:rPr>
        <w:softHyphen/>
        <w:t>щий станок, 435 сварочных аппаратов, 3282 приспособления, 754 штам</w:t>
      </w:r>
      <w:r w:rsidRPr="00640820">
        <w:rPr>
          <w:rFonts w:ascii="Times New Roman" w:hAnsi="Times New Roman"/>
          <w:color w:val="000000" w:themeColor="text1"/>
          <w:sz w:val="16"/>
          <w:szCs w:val="16"/>
        </w:rPr>
        <w:softHyphen/>
        <w:t>па, 820 000 наименований инструмента, 110 вагонов деталей и заготовок и 348 вагонов различных материалов и комплектующих изделий. В сен</w:t>
      </w:r>
      <w:r w:rsidRPr="00640820">
        <w:rPr>
          <w:rFonts w:ascii="Times New Roman" w:hAnsi="Times New Roman"/>
          <w:color w:val="000000" w:themeColor="text1"/>
          <w:sz w:val="16"/>
          <w:szCs w:val="16"/>
        </w:rPr>
        <w:softHyphen/>
        <w:t>тябре 1941 г. в связи с началом эвакуации завод сдал военным предста</w:t>
      </w:r>
      <w:r w:rsidRPr="00640820">
        <w:rPr>
          <w:rFonts w:ascii="Times New Roman" w:hAnsi="Times New Roman"/>
          <w:color w:val="000000" w:themeColor="text1"/>
          <w:sz w:val="16"/>
          <w:szCs w:val="16"/>
        </w:rPr>
        <w:softHyphen/>
        <w:t>вителям только 228 танков. В середине октября 1941 г., т.е. к моменту завершения эвакуации завода из Харькова, коллектив завода передал военным представителям 41 танк Т-34 октябрьской сборки. Осенью 1941 г. эвакуированному в Нижний Тагил заводу № 183 были предо</w:t>
      </w:r>
      <w:r w:rsidRPr="00640820">
        <w:rPr>
          <w:rFonts w:ascii="Times New Roman" w:hAnsi="Times New Roman"/>
          <w:color w:val="000000" w:themeColor="text1"/>
          <w:sz w:val="16"/>
          <w:szCs w:val="16"/>
        </w:rPr>
        <w:softHyphen/>
        <w:t>ставлены просторные цехи Уралвагонзавода, а также мощное сталели</w:t>
      </w:r>
      <w:r w:rsidRPr="00640820">
        <w:rPr>
          <w:rFonts w:ascii="Times New Roman" w:hAnsi="Times New Roman"/>
          <w:color w:val="000000" w:themeColor="text1"/>
          <w:sz w:val="16"/>
          <w:szCs w:val="16"/>
        </w:rPr>
        <w:softHyphen/>
        <w:t>тейное и кузнечно-прессовое оборудование, теплоэлектроцентраль и га</w:t>
      </w:r>
      <w:r w:rsidRPr="00640820">
        <w:rPr>
          <w:rFonts w:ascii="Times New Roman" w:hAnsi="Times New Roman"/>
          <w:color w:val="000000" w:themeColor="text1"/>
          <w:sz w:val="16"/>
          <w:szCs w:val="16"/>
        </w:rPr>
        <w:softHyphen/>
        <w:t>зогенераторная станция. На новой площадке в завод № 183 влились Мариупольский метал</w:t>
      </w:r>
      <w:r w:rsidRPr="00640820">
        <w:rPr>
          <w:rFonts w:ascii="Times New Roman" w:hAnsi="Times New Roman"/>
          <w:color w:val="000000" w:themeColor="text1"/>
          <w:sz w:val="16"/>
          <w:szCs w:val="16"/>
        </w:rPr>
        <w:softHyphen/>
        <w:t>лургический завод и Московский станкостроительный завод им. Орд</w:t>
      </w:r>
      <w:r w:rsidRPr="00640820">
        <w:rPr>
          <w:rFonts w:ascii="Times New Roman" w:hAnsi="Times New Roman"/>
          <w:color w:val="000000" w:themeColor="text1"/>
          <w:sz w:val="16"/>
          <w:szCs w:val="16"/>
        </w:rPr>
        <w:softHyphen/>
        <w:t>жоникидзе. Расстановка оборудования на новой площадке завода осу</w:t>
      </w:r>
      <w:r w:rsidRPr="00640820">
        <w:rPr>
          <w:rFonts w:ascii="Times New Roman" w:hAnsi="Times New Roman"/>
          <w:color w:val="000000" w:themeColor="text1"/>
          <w:sz w:val="16"/>
          <w:szCs w:val="16"/>
        </w:rPr>
        <w:softHyphen/>
        <w:t>ществлялась из расчета выпуска 20 танков в сутки (10703).</w:t>
      </w:r>
    </w:p>
    <w:p w14:paraId="1FFAF09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EDCB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сентября 1941 началась эвакуация ХТЗ и 20 октября 1941 немцы взяли Харьков (1770,30).</w:t>
      </w:r>
    </w:p>
    <w:p w14:paraId="55924E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8E1A8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сентября 1941 приказ НКТП № 15сс во исполнение распоряжения СНК от 16 сентября 1941, согласно которым з-д № 183 д.б. в пятидневный срок отработать установку М-17 на Т-34 и обеспечить з-ды СТЗ и № 112 необходимыми чертежами и техдокументацией. Был на колесах и сделать не смог (9050,30).</w:t>
      </w:r>
    </w:p>
    <w:p w14:paraId="33F8ED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FAB5F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сентября 1941 г. заводу (Ордена Ленина завод № 183 им. Коминтерна НКОП, НКСМ, НКТП, Харьковский паровозостроительный завод (ХПЗ) им. Коминтерна НКТП, Государственный ХПЗ (ГХПЗ), Уральский танковый завод (УТЗ) № 183 им. Коминтерна НКТП, УТЗ им. Сталина НКТП, «Уралвагонзавод» (УВЗ) НКТП, Минтрансмаша, ПО «УВЗ» им. Ф.Э. Дзержинского», ФГУП «ПО «УВЗ им. Ф.Э. Дзержинского» ФАП, ОАО «Научно-производственная корпорация (НПК) «УВЗ» / г. Харьков п/я 61 «Коминтернзавод» (1938 г.);  г. Нижний Тагил/ /622007(51) поручено в 5-дневный срок отработать установку на Т-34 авиационного двигателя М-17, но работа не была выполнена (11982).</w:t>
      </w:r>
    </w:p>
    <w:p w14:paraId="1C8304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94454B7" w14:textId="77777777" w:rsidR="00F52A2A" w:rsidRPr="00640820" w:rsidRDefault="00F52A2A" w:rsidP="00640820">
      <w:pPr>
        <w:pStyle w:val="ae"/>
        <w:spacing w:before="0" w:after="0"/>
        <w:jc w:val="both"/>
        <w:rPr>
          <w:color w:val="000000" w:themeColor="text1"/>
          <w:sz w:val="16"/>
          <w:szCs w:val="16"/>
        </w:rPr>
      </w:pPr>
      <w:r w:rsidRPr="00640820">
        <w:rPr>
          <w:color w:val="000000" w:themeColor="text1"/>
          <w:sz w:val="16"/>
          <w:szCs w:val="16"/>
        </w:rPr>
        <w:t>По состоянию на 18 сентября 1941 в ГАБТУ оценивали возможности производства Т-60 на ГАЗ в 25 машин за сентябрь, но этот прогноз оказался чересчур оптимистичен. Всего же за сентябрь ГАЗ выпустил 3 танка из 300 запланированных по постановлению ГКО № 222. Кор</w:t>
      </w:r>
      <w:r w:rsidRPr="00640820">
        <w:rPr>
          <w:color w:val="000000" w:themeColor="text1"/>
          <w:sz w:val="16"/>
          <w:szCs w:val="16"/>
        </w:rPr>
        <w:softHyphen/>
        <w:t>пусное производство разворачивалось крайне медленно: по состоянию на 1 октября Выксунский завод ДРО, Муромский завод и Ново-Кра</w:t>
      </w:r>
      <w:r w:rsidRPr="00640820">
        <w:rPr>
          <w:color w:val="000000" w:themeColor="text1"/>
          <w:sz w:val="16"/>
          <w:szCs w:val="16"/>
        </w:rPr>
        <w:softHyphen/>
        <w:t>маторский завод изготовили 6, 15 и 68 комплектов корпусов и башен соответственно (17485).</w:t>
      </w:r>
    </w:p>
    <w:p w14:paraId="7D72E1EB" w14:textId="77777777" w:rsidR="00F52A2A" w:rsidRPr="00640820" w:rsidRDefault="00F52A2A" w:rsidP="00640820">
      <w:pPr>
        <w:pStyle w:val="ae"/>
        <w:spacing w:before="0" w:after="0"/>
        <w:jc w:val="both"/>
        <w:rPr>
          <w:color w:val="000000" w:themeColor="text1"/>
          <w:sz w:val="16"/>
          <w:szCs w:val="16"/>
        </w:rPr>
      </w:pPr>
    </w:p>
    <w:p w14:paraId="3B51F4B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сентября 1941 года вышел приказ № 14с НКТП</w:t>
      </w:r>
    </w:p>
    <w:p w14:paraId="52263CE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Объявляю перечень предприятий и учреждений, входящих в состав 3 Гл. управления НКТП:</w:t>
      </w:r>
    </w:p>
    <w:p w14:paraId="1FFACEF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Ижорский ордена Ленина завод</w:t>
      </w:r>
    </w:p>
    <w:p w14:paraId="73E1E4C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Мариупольский завод им. Ильича</w:t>
      </w:r>
    </w:p>
    <w:p w14:paraId="3C121EA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264</w:t>
      </w:r>
    </w:p>
    <w:p w14:paraId="1E2EB26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Кулебакский завод им. Кирова</w:t>
      </w:r>
    </w:p>
    <w:p w14:paraId="007FDD9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Подольский машиностроительный завод им. Орджоникидзе</w:t>
      </w:r>
    </w:p>
    <w:p w14:paraId="4463883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Выксунский завод ДРО</w:t>
      </w:r>
    </w:p>
    <w:p w14:paraId="396EB5C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Муромский завод Бывш. ПВРЗ</w:t>
      </w:r>
    </w:p>
    <w:p w14:paraId="6741416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Саратовский завод Бывш. ПВРЗ</w:t>
      </w:r>
    </w:p>
    <w:p w14:paraId="4D76F4A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Стройсемь</w:t>
      </w:r>
    </w:p>
    <w:p w14:paraId="67942AD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НИИ № 48 (6032, 29).</w:t>
      </w:r>
    </w:p>
    <w:p w14:paraId="3A3B7BB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0571D3" w14:textId="77777777" w:rsidR="00A80206" w:rsidRPr="00640820" w:rsidRDefault="00A8020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18 сентября 1941 г.</w:t>
      </w:r>
    </w:p>
    <w:p w14:paraId="46EC5F6D" w14:textId="77777777" w:rsidR="00A80206" w:rsidRPr="00640820" w:rsidRDefault="00A8020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Секретно </w:t>
      </w:r>
    </w:p>
    <w:p w14:paraId="7515C624" w14:textId="77777777" w:rsidR="00A80206" w:rsidRPr="00640820" w:rsidRDefault="00A8020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ПРИКАЗ</w:t>
      </w:r>
    </w:p>
    <w:p w14:paraId="5F5F4258" w14:textId="77777777" w:rsidR="00A80206" w:rsidRPr="00640820" w:rsidRDefault="00A8020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 НАРОДНОМУ КОМИССАРИАТУ ТАНКОВОЙ ПРОМЫШЛЕННОСТИ СОЮЗА ССР</w:t>
      </w:r>
    </w:p>
    <w:p w14:paraId="64812021" w14:textId="77777777" w:rsidR="00A80206" w:rsidRPr="00640820" w:rsidRDefault="00A8020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14с</w:t>
      </w:r>
    </w:p>
    <w:p w14:paraId="48BA7CFC" w14:textId="77777777" w:rsidR="00A80206" w:rsidRPr="00640820" w:rsidRDefault="00A8020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г. Москва </w:t>
      </w:r>
    </w:p>
    <w:p w14:paraId="3559B813" w14:textId="77777777" w:rsidR="00A80206" w:rsidRPr="00640820" w:rsidRDefault="00A8020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18 сентября 1941 г.</w:t>
      </w:r>
    </w:p>
    <w:p w14:paraId="4DF7734A" w14:textId="77777777" w:rsidR="00A80206" w:rsidRPr="00640820" w:rsidRDefault="00A8020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Объявляю перечень предприятий и учреждений, входящих в состав 3-го Главного Управления НКТП: </w:t>
      </w:r>
    </w:p>
    <w:p w14:paraId="290EB52D" w14:textId="77777777" w:rsidR="00A80206" w:rsidRPr="00640820" w:rsidRDefault="00A8020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1. Ижорский Ордена Ленина завод </w:t>
      </w:r>
    </w:p>
    <w:p w14:paraId="34494A47" w14:textId="77777777" w:rsidR="00A80206" w:rsidRPr="00640820" w:rsidRDefault="00A8020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2. Мариупольский завод им. Ильича </w:t>
      </w:r>
    </w:p>
    <w:p w14:paraId="7AB351D8" w14:textId="77777777" w:rsidR="00A80206" w:rsidRPr="00640820" w:rsidRDefault="00A8020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3. Завод № 264 </w:t>
      </w:r>
    </w:p>
    <w:p w14:paraId="4C57B352" w14:textId="77777777" w:rsidR="00A80206" w:rsidRPr="00640820" w:rsidRDefault="00A8020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4. Кулебакский завод им. С.М. Кирова </w:t>
      </w:r>
    </w:p>
    <w:p w14:paraId="5B872156" w14:textId="77777777" w:rsidR="00A80206" w:rsidRPr="00640820" w:rsidRDefault="00A8020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5. Подольский Машиностроительный завод им. Орджоникидзе </w:t>
      </w:r>
    </w:p>
    <w:p w14:paraId="6A16C432" w14:textId="77777777" w:rsidR="00A80206" w:rsidRPr="00640820" w:rsidRDefault="00A8020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6. Выксунский завод ДРО </w:t>
      </w:r>
    </w:p>
    <w:p w14:paraId="067197D8" w14:textId="77777777" w:rsidR="00A80206" w:rsidRPr="00640820" w:rsidRDefault="00A8020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7. Муромский завод бывш. ПВРЗ </w:t>
      </w:r>
    </w:p>
    <w:p w14:paraId="4EDAFF9A" w14:textId="77777777" w:rsidR="00A80206" w:rsidRPr="00640820" w:rsidRDefault="00A8020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8. Саратовский завод бывш. ПВРЗ </w:t>
      </w:r>
    </w:p>
    <w:p w14:paraId="428C9162" w14:textId="77777777" w:rsidR="00A80206" w:rsidRPr="00640820" w:rsidRDefault="00A8020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9. Завод Стройсемь </w:t>
      </w:r>
    </w:p>
    <w:p w14:paraId="25B23FA9" w14:textId="77777777" w:rsidR="00A80206" w:rsidRPr="00640820" w:rsidRDefault="00A8020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10. Научно-Исследовательский Институт № 48. </w:t>
      </w:r>
    </w:p>
    <w:p w14:paraId="4240EED1" w14:textId="77777777" w:rsidR="00A80206" w:rsidRPr="00640820" w:rsidRDefault="00A8020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ЗАМЕСТИТЕЛЬ НАРОДНОГО КОМИССАРА</w:t>
      </w:r>
    </w:p>
    <w:p w14:paraId="50169926" w14:textId="77777777" w:rsidR="00A80206" w:rsidRPr="00640820" w:rsidRDefault="00A8020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ТАНКОВОЙ ПРОМЫШЛЕННОСТИ СОЮЗА ССР подпись (НОСЕНКО)</w:t>
      </w:r>
    </w:p>
    <w:p w14:paraId="0DFE1CC0" w14:textId="77777777" w:rsidR="00A80206" w:rsidRPr="00640820" w:rsidRDefault="00A8020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Отп. 3 экз. мп. </w:t>
      </w:r>
    </w:p>
    <w:p w14:paraId="68A1B256" w14:textId="77777777" w:rsidR="00A80206" w:rsidRPr="00640820" w:rsidRDefault="00A8020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19/IX-41 г.</w:t>
      </w:r>
    </w:p>
    <w:p w14:paraId="1E437D1D" w14:textId="77777777" w:rsidR="00A80206" w:rsidRPr="00640820" w:rsidRDefault="00A8020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bCs/>
          <w:iCs/>
          <w:color w:val="000000" w:themeColor="text1"/>
          <w:sz w:val="16"/>
          <w:szCs w:val="16"/>
          <w:lang w:eastAsia="ru-RU"/>
        </w:rPr>
        <w:t>РГАЭ Фонд 8752 Опись 4 Дело 2 лист 29</w:t>
      </w:r>
      <w:r w:rsidRPr="00640820">
        <w:rPr>
          <w:rFonts w:ascii="Times New Roman" w:eastAsia="Times New Roman" w:hAnsi="Times New Roman"/>
          <w:color w:val="000000" w:themeColor="text1"/>
          <w:sz w:val="16"/>
          <w:szCs w:val="16"/>
          <w:lang w:eastAsia="ru-RU"/>
        </w:rPr>
        <w:t xml:space="preserve"> (17628).</w:t>
      </w:r>
    </w:p>
    <w:p w14:paraId="1E237C48" w14:textId="77777777" w:rsidR="00A80206" w:rsidRPr="00640820" w:rsidRDefault="00A80206" w:rsidP="00640820">
      <w:pPr>
        <w:spacing w:after="0" w:line="240" w:lineRule="auto"/>
        <w:jc w:val="both"/>
        <w:rPr>
          <w:rFonts w:ascii="Times New Roman" w:eastAsia="Times New Roman" w:hAnsi="Times New Roman"/>
          <w:color w:val="000000" w:themeColor="text1"/>
          <w:sz w:val="16"/>
          <w:szCs w:val="16"/>
          <w:lang w:eastAsia="ru-RU"/>
        </w:rPr>
      </w:pPr>
    </w:p>
    <w:p w14:paraId="52639937" w14:textId="77777777" w:rsidR="00A80206" w:rsidRPr="00640820" w:rsidRDefault="00A8020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18 сентября 1941 г.</w:t>
      </w:r>
    </w:p>
    <w:p w14:paraId="51F9C29F" w14:textId="77777777" w:rsidR="00A80206" w:rsidRPr="00640820" w:rsidRDefault="00A8020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18.IX. 14229 </w:t>
      </w:r>
    </w:p>
    <w:p w14:paraId="75AC4053" w14:textId="77777777" w:rsidR="00A80206" w:rsidRPr="00640820" w:rsidRDefault="00A8020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Сов.секретно.</w:t>
      </w:r>
    </w:p>
    <w:p w14:paraId="6C2CA5F0" w14:textId="77777777" w:rsidR="00A80206" w:rsidRPr="00640820" w:rsidRDefault="00A8020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ПРИКАЗ</w:t>
      </w:r>
    </w:p>
    <w:p w14:paraId="07E6D6B6" w14:textId="77777777" w:rsidR="00A80206" w:rsidRPr="00640820" w:rsidRDefault="00A8020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НАРОДНОГО КОМИССАРА ТАНКОВОЙ ПРОМЫШЛЕННОСТИ СССР</w:t>
      </w:r>
    </w:p>
    <w:p w14:paraId="3DC7B499" w14:textId="77777777" w:rsidR="00A80206" w:rsidRPr="00640820" w:rsidRDefault="00A8020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15сс</w:t>
      </w:r>
    </w:p>
    <w:p w14:paraId="31681911" w14:textId="77777777" w:rsidR="00A80206" w:rsidRPr="00640820" w:rsidRDefault="00A8020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г. Москва </w:t>
      </w:r>
    </w:p>
    <w:p w14:paraId="01965F98" w14:textId="77777777" w:rsidR="00A80206" w:rsidRPr="00640820" w:rsidRDefault="00A8020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18 сентября 1941 г.</w:t>
      </w:r>
    </w:p>
    <w:p w14:paraId="00DE0976" w14:textId="77777777" w:rsidR="00A80206" w:rsidRPr="00640820" w:rsidRDefault="00A8020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Во исполнение распоряжения СНК СССР от 16 сентября 1941 г. ПРИКАЗЫВАЮ: </w:t>
      </w:r>
    </w:p>
    <w:p w14:paraId="611DB308" w14:textId="77777777" w:rsidR="00A80206" w:rsidRPr="00640820" w:rsidRDefault="00A8020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1. Директору завода № 183 тов. МАКСАРЕВУ в 5-ти дневный срок окончательно отработать установку мотора М-17Т в танке Т-34 и обеспечить завод "Красное Сормово" утвержденными ГАБТУ чертежами и техническими условиями, а также техдокументацией. </w:t>
      </w:r>
    </w:p>
    <w:p w14:paraId="4B6A23F7" w14:textId="77777777" w:rsidR="00A80206" w:rsidRPr="00640820" w:rsidRDefault="00A8020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2. Директору завода СТЗ тов. ДУЛЬКИНУ обеспечить поставку штамповок, деталей кривошипов и балансиров танка Т-34 Муромскому заводу на всю программу 1941 года по его заявкам. </w:t>
      </w:r>
    </w:p>
    <w:p w14:paraId="41F29518" w14:textId="77777777" w:rsidR="00A80206" w:rsidRPr="00640820" w:rsidRDefault="00A8020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ЗАМ. НАРОДНОГО КОМИССАРА ТАНКОВОЙ ПРОМЫШЛЕННОСТИ СОЮЗА ССР</w:t>
      </w:r>
    </w:p>
    <w:p w14:paraId="124E95CF" w14:textId="77777777" w:rsidR="00A80206" w:rsidRPr="00640820" w:rsidRDefault="00A8020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подпись НОСЕНКО</w:t>
      </w:r>
    </w:p>
    <w:p w14:paraId="6BD5E2BD" w14:textId="77777777" w:rsidR="00A80206" w:rsidRPr="00640820" w:rsidRDefault="00A8020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Отп. 1 экз. </w:t>
      </w:r>
    </w:p>
    <w:p w14:paraId="076863E0" w14:textId="77777777" w:rsidR="00A80206" w:rsidRPr="00640820" w:rsidRDefault="00A8020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+ 6 экз. вн. 16 ч. 35 м и 3 экз. выписки.</w:t>
      </w:r>
    </w:p>
    <w:p w14:paraId="4ACC3B8D" w14:textId="77777777" w:rsidR="00A80206" w:rsidRPr="00640820" w:rsidRDefault="00A8020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bCs/>
          <w:iCs/>
          <w:color w:val="000000" w:themeColor="text1"/>
          <w:sz w:val="16"/>
          <w:szCs w:val="16"/>
          <w:lang w:eastAsia="ru-RU"/>
        </w:rPr>
        <w:t>РГАЭ Фонд 8752 Опись 4 Дело 2 лист 30 (17628).</w:t>
      </w:r>
    </w:p>
    <w:p w14:paraId="18156C63" w14:textId="77777777" w:rsidR="00A80206" w:rsidRPr="00640820" w:rsidRDefault="00A80206" w:rsidP="00640820">
      <w:pPr>
        <w:spacing w:after="0" w:line="240" w:lineRule="auto"/>
        <w:jc w:val="both"/>
        <w:rPr>
          <w:rFonts w:ascii="Times New Roman" w:eastAsia="Times New Roman" w:hAnsi="Times New Roman"/>
          <w:color w:val="000000" w:themeColor="text1"/>
          <w:sz w:val="16"/>
          <w:szCs w:val="16"/>
          <w:lang w:eastAsia="ru-RU"/>
        </w:rPr>
      </w:pPr>
    </w:p>
    <w:p w14:paraId="08EBD5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сентября 1941 из-за ожесточенных обстрелов начался демонтаж трубопрокатного стана Ижорского завода, снабжавшего трубами минометное производство Ленинграда. Через 42 дня на новом месте стан выдал первые трубы. Эсминец "Грозящий", поврежденный авиабомбами, повторно встал на ремонт; закончен 8 ноября (10671).</w:t>
      </w:r>
    </w:p>
    <w:p w14:paraId="5A6976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AE28433" w14:textId="77777777" w:rsidR="00EF6A8F" w:rsidRPr="00640820" w:rsidRDefault="00EF6A8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сентября 1941 г.</w:t>
      </w:r>
    </w:p>
    <w:p w14:paraId="7EF66A32" w14:textId="77777777" w:rsidR="00EF6A8F" w:rsidRPr="00640820" w:rsidRDefault="00EF6A8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Протоколы заседаний бюро Ленинградского городского комитета ВКП(б)</w:t>
      </w:r>
    </w:p>
    <w:p w14:paraId="4E54FFEB" w14:textId="77777777" w:rsidR="00EF6A8F" w:rsidRPr="00640820" w:rsidRDefault="00EF6A8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18 сентября 1941 г.</w:t>
      </w:r>
    </w:p>
    <w:p w14:paraId="2DEAA8AC" w14:textId="77777777" w:rsidR="00EF6A8F" w:rsidRPr="00640820" w:rsidRDefault="00EF6A8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64гс. — Об эвакуации Ижорского завода (особая папка).</w:t>
      </w:r>
    </w:p>
    <w:p w14:paraId="1E55A135" w14:textId="77777777" w:rsidR="00EF6A8F" w:rsidRPr="00640820" w:rsidRDefault="00EF6A8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Обязать директора Ижорского завода т. Попова прекратить с 17 сентября 1941 г. все работы на заводе и произвести полную эвакуацию оборудования, материалов, задела и людского состава в г. Ленинград с последующей переадресовкой в соответствии с постановлением ГКО за № 330сс от 30.VII–1941 г.</w:t>
      </w:r>
    </w:p>
    <w:p w14:paraId="5616361C" w14:textId="77777777" w:rsidR="00EF6A8F" w:rsidRPr="00640820" w:rsidRDefault="00EF6A8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Для временного размещения оборудования и материалов Ижорского завода использовать свободные площади заводов «Центролит» и «МОПР».</w:t>
      </w:r>
    </w:p>
    <w:p w14:paraId="2D26B16E" w14:textId="77777777" w:rsidR="00EF6A8F" w:rsidRPr="00640820" w:rsidRDefault="00EF6A8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Обязать директоров завода «Центролит» т. Фрагина и «МОПР» т. Нодельман оказать полное содействие Ижорскому заводу в приемке и размещении оборудования.</w:t>
      </w:r>
    </w:p>
    <w:p w14:paraId="407199F5" w14:textId="77777777" w:rsidR="00EF6A8F" w:rsidRPr="00640820" w:rsidRDefault="00EF6A8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Обязать начальника Октябрьской железной дороги т. Колпакова ежедневно подавать на Ижорский завод по 150 вагонов до полной его эвакуации.</w:t>
      </w:r>
    </w:p>
    <w:p w14:paraId="612C3367" w14:textId="77777777" w:rsidR="00EF6A8F" w:rsidRPr="00640820" w:rsidRDefault="00EF6A8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Предложить исполкому Ленинградского городского совета депутатов трудящихся обеспечить временное размещение эвакуируемых работников Ижорского завода с семьями в г. Ленинграде.</w:t>
      </w:r>
    </w:p>
    <w:p w14:paraId="77BCE9BB" w14:textId="77777777" w:rsidR="00EF6A8F" w:rsidRPr="00640820" w:rsidRDefault="00EF6A8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Производство бронемашин БА-10 передать на завод им. Орджоникидзе, возложив ответственность за задание по выпуску машин на директора завода т. Товстых.</w:t>
      </w:r>
    </w:p>
    <w:p w14:paraId="255F99AE" w14:textId="77777777" w:rsidR="00EF6A8F" w:rsidRPr="00640820" w:rsidRDefault="00EF6A8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обеспечения задания по выпуску бронемашин БА-10 обязать директора Ижорского завода т. Попова передать на завод им. Орджоникидзе:</w:t>
      </w:r>
    </w:p>
    <w:p w14:paraId="5F976DAB" w14:textId="77777777" w:rsidR="00EF6A8F" w:rsidRPr="00640820" w:rsidRDefault="00EF6A8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весь состав квалифицированных рабочих и ИТР, занятых на обработке деталей и сборке машин БА-10;</w:t>
      </w:r>
    </w:p>
    <w:p w14:paraId="4F572192" w14:textId="77777777" w:rsidR="00EF6A8F" w:rsidRPr="00640820" w:rsidRDefault="00EF6A8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технологию, инструмент, приспособления и весь имеющийся задел по машинам БА-10;</w:t>
      </w:r>
    </w:p>
    <w:p w14:paraId="5CAFBFD2" w14:textId="77777777" w:rsidR="00EF6A8F" w:rsidRPr="00640820" w:rsidRDefault="00EF6A8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необходимое количество станочного оборудования. Подписи — Капустин, Кузнецов, Никитин, Попков.</w:t>
      </w:r>
    </w:p>
    <w:p w14:paraId="5D5EB6B3" w14:textId="77777777" w:rsidR="00EF6A8F" w:rsidRPr="00640820" w:rsidRDefault="00EF6A8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ЦГАИПД СПб. Ф. 25. Оп.2а. Д. 156. Л. 94. Оригинал, машинопись. Подписи — автографы (19720).</w:t>
      </w:r>
    </w:p>
    <w:p w14:paraId="1593E1F2" w14:textId="77777777" w:rsidR="00EF6A8F" w:rsidRPr="00640820" w:rsidRDefault="00EF6A8F" w:rsidP="00640820">
      <w:pPr>
        <w:autoSpaceDE w:val="0"/>
        <w:autoSpaceDN w:val="0"/>
        <w:adjustRightInd w:val="0"/>
        <w:spacing w:after="0" w:line="240" w:lineRule="auto"/>
        <w:jc w:val="both"/>
        <w:rPr>
          <w:rFonts w:ascii="Times New Roman" w:hAnsi="Times New Roman"/>
          <w:color w:val="000000" w:themeColor="text1"/>
          <w:sz w:val="16"/>
          <w:szCs w:val="16"/>
        </w:rPr>
      </w:pPr>
    </w:p>
    <w:p w14:paraId="654FD07C" w14:textId="77777777" w:rsidR="00EF6A8F" w:rsidRPr="00640820" w:rsidRDefault="00EF6A8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сентября 1941 г.</w:t>
      </w:r>
    </w:p>
    <w:p w14:paraId="41FE2181" w14:textId="77777777" w:rsidR="00EF6A8F" w:rsidRPr="00640820" w:rsidRDefault="00EF6A8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Протоколы заседаний бюро Ленинградского городского комитета ВКП(б)</w:t>
      </w:r>
    </w:p>
    <w:p w14:paraId="4D582063" w14:textId="77777777" w:rsidR="00EF6A8F" w:rsidRPr="00640820" w:rsidRDefault="00EF6A8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18 сентября 1941 г.</w:t>
      </w:r>
    </w:p>
    <w:p w14:paraId="48DF5D97" w14:textId="77777777" w:rsidR="00EF6A8F" w:rsidRPr="00640820" w:rsidRDefault="00EF6A8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69гс. — Об использовании аппаратуры «Тракс», разработанной НИИ-49 по заданию Главного</w:t>
      </w:r>
    </w:p>
    <w:p w14:paraId="3C164BB6" w14:textId="77777777" w:rsidR="00EF6A8F" w:rsidRPr="00640820" w:rsidRDefault="00EF6A8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артиллерийского управления Красной Армии.2 (особая папка).</w:t>
      </w:r>
    </w:p>
    <w:p w14:paraId="3E636780" w14:textId="77777777" w:rsidR="00EF6A8F" w:rsidRPr="00640820" w:rsidRDefault="00EF6A8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Имеющиеся в НИИ-49 спецаппаратуры связи для корректировки артогня с самолета в количестве двух образцов два образца установить на кораблях и самолетах КВФ.</w:t>
      </w:r>
    </w:p>
    <w:p w14:paraId="06865FF0" w14:textId="77777777" w:rsidR="00EF6A8F" w:rsidRPr="00640820" w:rsidRDefault="00EF6A8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Обязать директора НИИ-49 т. Шаровского передать аппаратуру «Тракс» в распоряжение НИМИСТ`а и по его указанию провести монтаж и установку аппаратуры на кораблях и самолетах.</w:t>
      </w:r>
    </w:p>
    <w:p w14:paraId="6C1B23C5" w14:textId="77777777" w:rsidR="00EF6A8F" w:rsidRPr="00640820" w:rsidRDefault="00EF6A8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Для срочного выполнения монтажа на объектах привлечь к работам «Связьмортрест».</w:t>
      </w:r>
    </w:p>
    <w:p w14:paraId="68383580" w14:textId="77777777" w:rsidR="00EF6A8F" w:rsidRPr="00640820" w:rsidRDefault="00EF6A8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НИИ-49 и «Связьмортресту» немедленно приступить к работе и в трехдневных срок установить аппаратуру «Тракс» на объектах.</w:t>
      </w:r>
    </w:p>
    <w:p w14:paraId="4F694FEF" w14:textId="77777777" w:rsidR="00EF6A8F" w:rsidRPr="00640820" w:rsidRDefault="00EF6A8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18/IX–41 г.</w:t>
      </w:r>
    </w:p>
    <w:p w14:paraId="162C54E6" w14:textId="77777777" w:rsidR="00EF6A8F" w:rsidRPr="00640820" w:rsidRDefault="00EF6A8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Подписи — Капустин, Кузнецов, Никитин, Попков.</w:t>
      </w:r>
    </w:p>
    <w:p w14:paraId="3DC1C390" w14:textId="77777777" w:rsidR="00EF6A8F" w:rsidRPr="00640820" w:rsidRDefault="00EF6A8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ЦГАИПД СПб. Ф. 25. Оп.2а. Д. 156. Л. 101. Оригинал, машинопись. Подписи — автографы (19720).</w:t>
      </w:r>
    </w:p>
    <w:p w14:paraId="4D783424" w14:textId="77777777" w:rsidR="00EF6A8F" w:rsidRPr="00640820" w:rsidRDefault="00EF6A8F" w:rsidP="00640820">
      <w:pPr>
        <w:autoSpaceDE w:val="0"/>
        <w:autoSpaceDN w:val="0"/>
        <w:adjustRightInd w:val="0"/>
        <w:spacing w:after="0" w:line="240" w:lineRule="auto"/>
        <w:jc w:val="both"/>
        <w:rPr>
          <w:rFonts w:ascii="Times New Roman" w:hAnsi="Times New Roman"/>
          <w:color w:val="000000" w:themeColor="text1"/>
          <w:sz w:val="16"/>
          <w:szCs w:val="16"/>
        </w:rPr>
      </w:pPr>
    </w:p>
    <w:p w14:paraId="17753833"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06F9BE51"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606EF56"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СЕНТЯБРЯ 1941 УТРЕННЕЕ СООБЩЕНИЕ Совинформбюро:</w:t>
      </w:r>
    </w:p>
    <w:p w14:paraId="43187BC7"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ночь на 18 сентября наши войска вели бои с противником на всём фронте. </w:t>
      </w:r>
    </w:p>
    <w:p w14:paraId="1D514A5A"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Наша авиация наносила удары по войскам противника и уничтожала авиацию на его аэродромах. </w:t>
      </w:r>
    </w:p>
    <w:p w14:paraId="529E15FE"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Эскадрилья скоростных бомбардировщиков капитана Токарева, действующая на Западном направлении фронта, атаковала немецкую механизировавшую колонну. В результате налёта разбито и подожжено 12 средних немецких танков, 7 бронемашин и 29 грузовиков. Пулемётным огнём убито и ранено свыше 200 солдат и офицеров противника. </w:t>
      </w:r>
    </w:p>
    <w:p w14:paraId="15BE8D10"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районе Днепропетровска группа наших самолётов уничтожила немецкий железнодорожный состав с воинским грузом, несколько цистерн с горючим, 5 автомашин, несколько орудий, 3 зенитных установки и свыше роты солдат. Группа наших самолётов атаковала железнодорожные составы и две автоколонны противника в районе станции Колодня. Уничтожено много вагонов, грузовых и легковых машин. В районе Богданово уничтожено до роты пехоты противника. За два дня лётчики части полковника Толстикова уничтожили 53 немецких самолёта и около 80 автомашин с пехотой и боеприпасами. </w:t>
      </w:r>
    </w:p>
    <w:p w14:paraId="4A3665D8"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Бомбардировщики морской авиации Черноморского флота за последние два дня уничтожили под Одессой полевую батарею, более 60 танков и автомашин и до 300 солдат противника. В воздушных боях сбито два вражеских истребителя. </w:t>
      </w:r>
    </w:p>
    <w:p w14:paraId="23EDF0CD"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Группа самолётов Краснознамённого Балтийского флота нанесла удар по вражеским мотомехвойскам на подступах к Ленинграду. Уничтожено 15 тяжёлых танков, 20 автомашин и одна полевая батарея противника. </w:t>
      </w:r>
    </w:p>
    <w:p w14:paraId="7A3BC06F"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Партизаны Смоленской области продолжают успешно уничтожать прифронтовые немецкие склады и автоцистерны с горючим. 11 сентября отряд под командованием начальника железнодорожной станции тов. И. совершил нападение на автоколонну у деревни Голынки. Завалив дорогу камнями, партизаны заставили остановиться головную машину. Когда охрана начала разбирать баррикады, партизаны открыли огонь. Несколько цистерн загорелось и взорвалось. В течение часа партизанский отряд сжёг 12 автоцистерн и уничтожил до 20 немецких солдат. </w:t>
      </w:r>
    </w:p>
    <w:p w14:paraId="61526BF7"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Партизанский отряд под командованием учителя средней школы тов. А. в течение одной недели захватил и взорвал большой склад боеприпасов у деревни Лешня и разбил отряд штурмовиков у города Рудня. В боях с фашистами убито больше 30 германских солдат и офицеров. Смелое нападение на пристань в Велиже совершил отряд под командованием механика тов. Л. На баржи с различным грузом для германской армии пробрались партизаны и затопили их. Через три дня партизанский отряд снова вернулся в это место и сжёг три склада, построенных немцами для грузов, прибывающих по реке Зап. Двина. </w:t>
      </w:r>
    </w:p>
    <w:p w14:paraId="3204D67F"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Донесения, полученные только от нескольких отрядов за десять дней сентября, говорят о больших успехах партизанского движения на Смоленщине. За это время партизаны в открытом бою и в засадах истребили 165 солдат и 16 немецких офицеров. Уничтожено 3 танка, 12 цистерн с бензином, 14 грузовиков с боеприпасами и продовольствием, 22 мотоцикла, 46 велосипедов, 6 орудий и 7 миномётов. </w:t>
      </w:r>
    </w:p>
    <w:p w14:paraId="7EA591F6"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Советское Информбюро 7 августа сообщало, что, захватывая тот или иной советский район, фашисты немедленно насильно мобилизуют население — крестьян, советских служащих, женщин — на разные тяжёлые работы или угоняют его в тыл, объявляя это население военнопленным. Теперь фашистская печать сама подтверждает правильность сообщения Советского Информбюро, с головой выдавая методы порабощения советского населения в захваченных районах. </w:t>
      </w:r>
    </w:p>
    <w:p w14:paraId="30DD83AD"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Немецко-фашистская газета «Фелькишер беобахтер» опубликовала статью своего корреспондента, посетившего лагерь для военнопленных. Корреспондент проговаривается, что в лагере для военнопленных солдат много лиц, не имеющих никакого отношения к советской армии. Корреспондент отмечает далее, что, например, его собеседником «был крестьянин пятидесяти пяти лет», который «не является солдатом, но также был взят в плен». На вопрос корреспондента, где его взяли в плен, крестьянин ответил: «Я был в поле на работе, когда пришли немецкие солдаты и взяли меня в плен». Таким образом, из корреспонденции, опубликованной в фашистской газете «Фелькишер беобахтер», ясно видно, что фашистские мерзавцы загоняют за проволочную ограду лагерей военнопленных советских граждан, не успевших эвакуироваться вместе с Красной Армией. </w:t>
      </w:r>
    </w:p>
    <w:p w14:paraId="3D1160AF"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Творческая мысль советских людей неустанно работает над увеличением выпуска продукция, необходимой фронту. С каждым днём увеличивается поступление рационализаторских предложений и изобретений в фонд обороны страны. За четыре дня на заводе им. Серго Орджоникидзе, Ивановской области, поступило 48 предложений. Только 17 наиболее ценных предложений дадут экономии несколько сот тысяч рублей. На четырёх предприятиях Воронежа за несколько дней подано 80 рационализаторских предложений. Мастер Таганрогского завода им. Молотова тов. Харченко сконструировал станок для стыковой электросварки медного провода. Молодые рационализаторы завода слесарь тов. Обухов и токарь тов. Евич внесли предложения, увеличивающие производительность труда на отдельных агрегатах в 3-4 раза. Строгальщица Энского завода в Сталинской области тов. Зиновьева, изменив технологию обработки одной ответственной детали, стала выполнять норму на 400 процентов. Рабочий тов. Уланов применил простое приспособление, увеличившее производительность труда на 300 процентов (14773).</w:t>
      </w:r>
    </w:p>
    <w:p w14:paraId="5EB6F56F" w14:textId="77777777" w:rsidR="001547E5" w:rsidRPr="00640820" w:rsidRDefault="001547E5" w:rsidP="00640820">
      <w:pPr>
        <w:spacing w:after="0" w:line="240" w:lineRule="auto"/>
        <w:jc w:val="both"/>
        <w:rPr>
          <w:rFonts w:ascii="Times New Roman" w:hAnsi="Times New Roman"/>
          <w:color w:val="000000" w:themeColor="text1"/>
          <w:sz w:val="16"/>
          <w:szCs w:val="16"/>
        </w:rPr>
      </w:pPr>
    </w:p>
    <w:p w14:paraId="2BF297B0"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СЕНТЯБРЯ 1941 ВЕЧЕРНЕЕ СООБЩЕНИЕ Совинформбюро</w:t>
      </w:r>
    </w:p>
    <w:p w14:paraId="14B21827"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течение 18 сентября наши войска вели бои с противником на всём фронте. </w:t>
      </w:r>
    </w:p>
    <w:p w14:paraId="0F554226"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Наша авиация наносила удары по мотомехчастям, пехоте и артиллерии противника на поле боя и атаковала авиацию на его аэродромах. </w:t>
      </w:r>
    </w:p>
    <w:p w14:paraId="54D76533"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течение 16 сентября в воздушных боях и на аэродромах противника уничтожено 112 немецких самолётов. Наши потери — 29 самолётов. </w:t>
      </w:r>
    </w:p>
    <w:p w14:paraId="6652349C"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ОЖЕСТОЧЁННЫЕ БОИ ПОД КИЕВОМ </w:t>
      </w:r>
    </w:p>
    <w:p w14:paraId="7AB931C4"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течение последних дней под Киевом идут ожесточённые бои. Фашистско-немецкие войска, не считаясь с огромными потерями людьми и вооружением, бросают в бой всё новые и новые части. На одном из участков Киевской обороны противнику удалось прорвать наши укрепления и выйти к окраине города. Ожесточённые бои продолжаются. </w:t>
      </w:r>
    </w:p>
    <w:p w14:paraId="2DB71807"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ЖУЛЬНИЧЕСТВО ГИТЛЕРОВЦЕВ </w:t>
      </w:r>
    </w:p>
    <w:p w14:paraId="642186B4"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16 сентября Советское Информбюро сообщило о разгроме немецко-фашистского десанта, пытавшегося захватить остров Эзель, и о потоплении ряда немецких судов в этой операции. 17 сентября гитлеровцы сделали смешную потугу опровергнуть это сообщение Советского Информбюро, заявив, что «германская армия никогда попыток к захвату острова не предпринимала, так как германское командование не видело в этом никакой необходимости». </w:t>
      </w:r>
    </w:p>
    <w:p w14:paraId="75399023"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 этому поводу следует сказать, что гитлеровцы делают вид, будто они не заметили исчезновения за 13 и 15 сентября с. г. 4 своих транспортов, 80 катеров и шлюпок с войсками и вооружением и 1 эсминца, потопленных советскими морскими вооружёнными силами, и повреждения нескольких эсминцев и транспортов. Гитлеровцы делают вид также, что они не заметили исчезновения при попытке захватить остров Эзель, 15 тысяч своих десантных войск, уничтоженных советскими войсками. </w:t>
      </w:r>
    </w:p>
    <w:p w14:paraId="3C5B8C5F"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Разве не ясно, что фашистское «опровержение» нашего сообщения является жульнической попыткой скрыть от немецкого населения и мирового общественного мнения серьёзные потери фашистов при попытке высадить десант на острове Эзель. </w:t>
      </w:r>
    </w:p>
    <w:p w14:paraId="1F24E384"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Итальянское радио пустило очередную утку о «советских самолётах над Южной Добруджей». На этот раз советские самолёты якобы сбросили над территорией Болгарии круглым счётом 6 парашютистов. «Они сейчас же были окружены болгарскими войсками и после короткой и ожесточённой борьбы убиты»,— заявляет итальянское радио. Итальянские радиолгуны ухитрились разыграть целое сражение «болгарских войск» с 6 советскими парашютистами, сражение, в котором дело не обошлось без «ожесточённой борьбы» и «окружения». </w:t>
      </w:r>
    </w:p>
    <w:p w14:paraId="653911F9"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Нет нужды доказывать, что Советский Союз не посылал и не мог посылать своих самолётов и парашютистов в Болгарию и что сия провокационная выдумка римского радио лишь ставит в смешное и глупое положение её авторов. </w:t>
      </w:r>
    </w:p>
    <w:p w14:paraId="5973612F"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одном из участков Северо-Западного направления фронта огнём нашей артиллерии уничтожено 8 танков противника, 8 бронеавтомобилей и 30 грузовых автомашин. На другом участке наши войска уничтожили 12 вражеских танков, 15 бронеавтомобилей, 6 грузовиков, подавили 6 точек зенитной артиллерии. </w:t>
      </w:r>
    </w:p>
    <w:p w14:paraId="3A643F36"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потопленных за последние дни в Баренцевом море крупных транспортах противника погибло много немецких солдат и вооружения. По показаниям пленных, один крупный транспорт, перевозивший части шестой горной дивизии, был торпедирован на пути из Нарвика в Киркенес. Значительная часть личного состава и всё оружие потоплены. На другом транспорте, торпедированном на этом же пути, из 800 немецких солдат и офицеров спаслись только 8 человек. </w:t>
      </w:r>
    </w:p>
    <w:p w14:paraId="32D9CD1D"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Юго-Западном направлении фронта звено лейтенанта Гладенко атаковало немецкие мотомехчасти. Вражеская зенитная артиллерия подожгла самолёт командира звена. Огромным напряжением воли отважный советский лётчик выровнял свою горящую машину и направил её на переправу, сооружённую немцами через реку Сейм. Взрыв горящего самолёта разрушил переправу. Находившиеся на ней танки и автомашины в вражеской пехотой обрушились в реку. Своим героическим подвигом тов. Гладенко сорвал продвижение войск противника (14773).</w:t>
      </w:r>
    </w:p>
    <w:p w14:paraId="689EAAD9" w14:textId="77777777" w:rsidR="001547E5" w:rsidRPr="00640820" w:rsidRDefault="001547E5" w:rsidP="00640820">
      <w:pPr>
        <w:spacing w:after="0" w:line="240" w:lineRule="auto"/>
        <w:jc w:val="both"/>
        <w:rPr>
          <w:rFonts w:ascii="Times New Roman" w:hAnsi="Times New Roman"/>
          <w:color w:val="000000" w:themeColor="text1"/>
          <w:sz w:val="16"/>
          <w:szCs w:val="16"/>
        </w:rPr>
      </w:pPr>
    </w:p>
    <w:p w14:paraId="2A0D3474"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18 сентября </w:t>
      </w:r>
      <w:r w:rsidRPr="00640820">
        <w:rPr>
          <w:rFonts w:ascii="Times New Roman" w:hAnsi="Times New Roman"/>
          <w:color w:val="000000" w:themeColor="text1"/>
          <w:sz w:val="16"/>
          <w:szCs w:val="16"/>
        </w:rPr>
        <w:t>в 1941 году войска Ленинградского фронта отступили на рубеж Лигово - Нижнее Кайрово - Пулково (14773).</w:t>
      </w:r>
    </w:p>
    <w:p w14:paraId="57A21603" w14:textId="77777777" w:rsidR="001547E5" w:rsidRPr="00640820" w:rsidRDefault="001547E5" w:rsidP="00640820">
      <w:pPr>
        <w:spacing w:after="0" w:line="240" w:lineRule="auto"/>
        <w:jc w:val="both"/>
        <w:rPr>
          <w:rFonts w:ascii="Times New Roman" w:hAnsi="Times New Roman"/>
          <w:color w:val="000000" w:themeColor="text1"/>
          <w:sz w:val="16"/>
          <w:szCs w:val="16"/>
        </w:rPr>
      </w:pPr>
    </w:p>
    <w:p w14:paraId="0033630F"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18 сентября </w:t>
      </w:r>
      <w:r w:rsidRPr="00640820">
        <w:rPr>
          <w:rFonts w:ascii="Times New Roman" w:hAnsi="Times New Roman"/>
          <w:color w:val="000000" w:themeColor="text1"/>
          <w:sz w:val="16"/>
          <w:szCs w:val="16"/>
        </w:rPr>
        <w:t>в 1941 году немецкие войска заняли город Пушкин (14773).</w:t>
      </w:r>
    </w:p>
    <w:p w14:paraId="4E6BF47D" w14:textId="77777777" w:rsidR="001547E5" w:rsidRPr="00640820" w:rsidRDefault="001547E5" w:rsidP="00640820">
      <w:pPr>
        <w:spacing w:after="0" w:line="240" w:lineRule="auto"/>
        <w:jc w:val="both"/>
        <w:rPr>
          <w:rFonts w:ascii="Times New Roman" w:hAnsi="Times New Roman"/>
          <w:color w:val="000000" w:themeColor="text1"/>
          <w:sz w:val="16"/>
          <w:szCs w:val="16"/>
        </w:rPr>
      </w:pPr>
    </w:p>
    <w:p w14:paraId="1E8F48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сентября 1941 был последний полет СПБ на бомбежку железнодорожного моста через Днепр у Запорожья. 90: всех полетов были успешными (1022,29).</w:t>
      </w:r>
    </w:p>
    <w:p w14:paraId="79DE91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A9108FC" w14:textId="77777777" w:rsidR="004D66FB" w:rsidRPr="00640820" w:rsidRDefault="004D66FB" w:rsidP="00640820">
      <w:pPr>
        <w:pStyle w:val="a3"/>
        <w:rPr>
          <w:color w:val="000000" w:themeColor="text1"/>
          <w:lang w:val="ru-RU"/>
        </w:rPr>
      </w:pPr>
      <w:r w:rsidRPr="00640820">
        <w:rPr>
          <w:color w:val="000000" w:themeColor="text1"/>
          <w:lang w:val="ru-RU"/>
        </w:rPr>
        <w:t>18 сентября 1941 одно «звено» выполни</w:t>
      </w:r>
      <w:r w:rsidRPr="00640820">
        <w:rPr>
          <w:color w:val="000000" w:themeColor="text1"/>
          <w:lang w:val="ru-RU"/>
        </w:rPr>
        <w:softHyphen/>
        <w:t>ло два вылета против понтонного моста через Днепр, наведенного немцами у Каховки. Две бомбы ФАБ-250 угодили в переправу. Позднее удары наносили по нефтеперегонному заводу в Плоешти и плавучему доку в Констанце. Когда нем</w:t>
      </w:r>
      <w:r w:rsidRPr="00640820">
        <w:rPr>
          <w:color w:val="000000" w:themeColor="text1"/>
          <w:lang w:val="ru-RU"/>
        </w:rPr>
        <w:softHyphen/>
        <w:t>цы подошли к Перекопу, СПБ привлекли к атакам и ближайших целей, в частности, механизированных колонн. Операции «звеньев» продолжались до осени 1942 г., когда из-за большой уязвимости носите</w:t>
      </w:r>
      <w:r w:rsidRPr="00640820">
        <w:rPr>
          <w:color w:val="000000" w:themeColor="text1"/>
          <w:lang w:val="ru-RU"/>
        </w:rPr>
        <w:softHyphen/>
        <w:t xml:space="preserve">лей </w:t>
      </w:r>
      <w:r w:rsidRPr="00640820">
        <w:rPr>
          <w:color w:val="000000" w:themeColor="text1"/>
          <w:lang w:val="ru-RU"/>
        </w:rPr>
        <w:lastRenderedPageBreak/>
        <w:t>использование СПБ прекратили (17741).</w:t>
      </w:r>
    </w:p>
    <w:p w14:paraId="5912AE4C" w14:textId="77777777" w:rsidR="004D66FB" w:rsidRPr="00640820" w:rsidRDefault="004D66FB" w:rsidP="00640820">
      <w:pPr>
        <w:spacing w:after="0" w:line="240" w:lineRule="auto"/>
        <w:jc w:val="both"/>
        <w:rPr>
          <w:rFonts w:ascii="Times New Roman" w:eastAsia="Times New Roman" w:hAnsi="Times New Roman"/>
          <w:color w:val="000000" w:themeColor="text1"/>
          <w:sz w:val="16"/>
          <w:szCs w:val="16"/>
          <w:lang w:eastAsia="ru-RU"/>
        </w:rPr>
      </w:pPr>
    </w:p>
    <w:p w14:paraId="31E62B51" w14:textId="77777777" w:rsidR="005D688A" w:rsidRPr="00640820" w:rsidRDefault="005D688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18 сентября 1941, на 6.30 по московскому времени был намечен удар по аэродрому Шаталово. Однако из</w:t>
      </w:r>
      <w:r w:rsidRPr="00640820">
        <w:rPr>
          <w:rFonts w:ascii="Times New Roman" w:hAnsi="Times New Roman"/>
          <w:color w:val="0070C0"/>
          <w:sz w:val="16"/>
          <w:szCs w:val="16"/>
        </w:rPr>
        <w:noBreakHyphen/>
        <w:t>за задержки с заправкой вылет подготовить не успели. Между тем в небе вскоре показались немецкие самолеты, целью которых, как оказалось, был сам аэродром Шайновка. Двенадцать Bf</w:t>
      </w:r>
      <w:r w:rsidRPr="00640820">
        <w:rPr>
          <w:rFonts w:ascii="Times New Roman" w:hAnsi="Times New Roman"/>
          <w:color w:val="0070C0"/>
          <w:sz w:val="16"/>
          <w:szCs w:val="16"/>
        </w:rPr>
        <w:noBreakHyphen/>
        <w:t>110 нанесли по нему внезапный бомбово</w:t>
      </w:r>
      <w:r w:rsidRPr="00640820">
        <w:rPr>
          <w:rFonts w:ascii="Times New Roman" w:hAnsi="Times New Roman"/>
          <w:color w:val="0070C0"/>
          <w:sz w:val="16"/>
          <w:szCs w:val="16"/>
        </w:rPr>
        <w:noBreakHyphen/>
        <w:t>штурмовой удар, выведя из строя два Ил</w:t>
      </w:r>
      <w:r w:rsidRPr="00640820">
        <w:rPr>
          <w:rFonts w:ascii="Times New Roman" w:hAnsi="Times New Roman"/>
          <w:color w:val="0070C0"/>
          <w:sz w:val="16"/>
          <w:szCs w:val="16"/>
        </w:rPr>
        <w:noBreakHyphen/>
        <w:t>2 и по одному Пе</w:t>
      </w:r>
      <w:r w:rsidRPr="00640820">
        <w:rPr>
          <w:rFonts w:ascii="Times New Roman" w:hAnsi="Times New Roman"/>
          <w:color w:val="0070C0"/>
          <w:sz w:val="16"/>
          <w:szCs w:val="16"/>
        </w:rPr>
        <w:noBreakHyphen/>
        <w:t>2 и ЛаГГ</w:t>
      </w:r>
      <w:r w:rsidRPr="00640820">
        <w:rPr>
          <w:rFonts w:ascii="Times New Roman" w:hAnsi="Times New Roman"/>
          <w:color w:val="0070C0"/>
          <w:sz w:val="16"/>
          <w:szCs w:val="16"/>
        </w:rPr>
        <w:noBreakHyphen/>
        <w:t>3. Это несколько ослабило ударную группу, однако отказываться от атаки не собирались.</w:t>
      </w:r>
    </w:p>
    <w:p w14:paraId="66188ACE" w14:textId="77777777" w:rsidR="005D688A" w:rsidRPr="00640820" w:rsidRDefault="005D688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воздух поднялись 22 самолета, в том числе 12 Ил</w:t>
      </w:r>
      <w:r w:rsidRPr="00640820">
        <w:rPr>
          <w:rFonts w:ascii="Times New Roman" w:hAnsi="Times New Roman"/>
          <w:color w:val="0070C0"/>
          <w:sz w:val="16"/>
          <w:szCs w:val="16"/>
        </w:rPr>
        <w:noBreakHyphen/>
        <w:t>2. Песков продолжал свой рассказ: «Встретив поблизости от линии фронта низкую облачность, левая группа ЛаГГ</w:t>
      </w:r>
      <w:r w:rsidRPr="00640820">
        <w:rPr>
          <w:rFonts w:ascii="Times New Roman" w:hAnsi="Times New Roman"/>
          <w:color w:val="0070C0"/>
          <w:sz w:val="16"/>
          <w:szCs w:val="16"/>
        </w:rPr>
        <w:noBreakHyphen/>
        <w:t xml:space="preserve">3 под командой капитана Горюнова вернулась обратно. Несмотря на значительное улучшение погоды, группа прошла оставшиеся до цели 60 км на бреющем полете. </w:t>
      </w:r>
    </w:p>
    <w:p w14:paraId="5691EC82" w14:textId="77777777" w:rsidR="005D688A" w:rsidRPr="00640820" w:rsidRDefault="005D688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При подходе к цели с юго</w:t>
      </w:r>
      <w:r w:rsidRPr="00640820">
        <w:rPr>
          <w:rFonts w:ascii="Times New Roman" w:hAnsi="Times New Roman"/>
          <w:color w:val="0070C0"/>
          <w:sz w:val="16"/>
          <w:szCs w:val="16"/>
        </w:rPr>
        <w:noBreakHyphen/>
        <w:t xml:space="preserve">западного сектора штурмовики перестроились в колонну звеньев по шесть самолетов в группе. В это время лидер сбросил бомбы по летному полю и серией зеленых ракет дал сигнал, что истребителей противника в воздухе нет. </w:t>
      </w:r>
    </w:p>
    <w:p w14:paraId="372B11BE" w14:textId="77777777" w:rsidR="005D688A" w:rsidRPr="00640820" w:rsidRDefault="005D688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Перед атакой штурмовики набирали высоту 400–500 м и с планирования под углом 15–20 градусов начали обстрел ракетными снарядами и пулеметно</w:t>
      </w:r>
      <w:r w:rsidRPr="00640820">
        <w:rPr>
          <w:rFonts w:ascii="Times New Roman" w:hAnsi="Times New Roman"/>
          <w:color w:val="0070C0"/>
          <w:sz w:val="16"/>
          <w:szCs w:val="16"/>
        </w:rPr>
        <w:noBreakHyphen/>
        <w:t xml:space="preserve">пушечным огнем, сбрасывая осколочные и фугасные бомбы с замедлением на выводе из планирования». </w:t>
      </w:r>
    </w:p>
    <w:p w14:paraId="0A5469B0" w14:textId="77777777" w:rsidR="005D688A" w:rsidRPr="00640820" w:rsidRDefault="005D688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Истребители также участвовали в штурмовке, обстреливая с пикирования зенитные батареи. Последние вели интенсивный огонь и сбили два Ил</w:t>
      </w:r>
      <w:r w:rsidRPr="00640820">
        <w:rPr>
          <w:rFonts w:ascii="Times New Roman" w:hAnsi="Times New Roman"/>
          <w:color w:val="0070C0"/>
          <w:sz w:val="16"/>
          <w:szCs w:val="16"/>
        </w:rPr>
        <w:noBreakHyphen/>
        <w:t>2, а также один ЛаГГ</w:t>
      </w:r>
      <w:r w:rsidRPr="00640820">
        <w:rPr>
          <w:rFonts w:ascii="Times New Roman" w:hAnsi="Times New Roman"/>
          <w:color w:val="0070C0"/>
          <w:sz w:val="16"/>
          <w:szCs w:val="16"/>
        </w:rPr>
        <w:noBreakHyphen/>
        <w:t>3, который совершил вынужденную посадку «на живот» в трех километрах от Шаталово. По возвращении летчики заявили об уничтожении «до двадцати» самолетов противника, что в очередной раз было подтверждено некими агентурными данными. Однако, по данным противника, никаких уничтоженных самолетов в Шаталово 18 сентября не числится (23199).</w:t>
      </w:r>
    </w:p>
    <w:p w14:paraId="6367393C" w14:textId="77777777" w:rsidR="005D688A" w:rsidRPr="00640820" w:rsidRDefault="005D688A" w:rsidP="00640820">
      <w:pPr>
        <w:spacing w:after="0" w:line="240" w:lineRule="auto"/>
        <w:jc w:val="both"/>
        <w:rPr>
          <w:rFonts w:ascii="Times New Roman" w:hAnsi="Times New Roman"/>
          <w:color w:val="0070C0"/>
          <w:sz w:val="16"/>
          <w:szCs w:val="16"/>
        </w:rPr>
      </w:pPr>
    </w:p>
    <w:p w14:paraId="3CB5720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сентября 1941 созданы первые советские гвардейские части (4962).</w:t>
      </w:r>
    </w:p>
    <w:p w14:paraId="17E436E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1B3D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сентября 1941 по инициативе И.В.С. введена гвардия (100, 161, 127 и 153 стрелковые дивизии - 3481), но только 6 декабря дали авиаторам (271,204).</w:t>
      </w:r>
    </w:p>
    <w:p w14:paraId="150960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3DAD8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сентября 1941 вышел приказ НКО СССР №308 и 18 января1942 приказ НК ВМФ №10 о том, что гвардейским частям вручались особые гвардейские знамена и для их личного состава устанавливались повышенные оклады денежного содержания: для начальствующего состава - полуторные, для рядового - двойные (9396).</w:t>
      </w:r>
    </w:p>
    <w:p w14:paraId="1DB353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38D7B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сентября 1941 г. вышел ПРИКАЗ НКО № 308О ПЕРЕИМЕНОВАНИИ 100, 127, 153 И 161-й СТРЕЛКОВЫХ ДИВИЗИЙ В 1, 2, 3 И 4-ю ГВАРДЕЙСКИЕ ДИВИЗИИ</w:t>
      </w:r>
    </w:p>
    <w:p w14:paraId="65C94D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многочисленных боях за нашу Советскую Родину против гитлеровских орд фашистской Германии 100, 127, 153 и 161-я стрелковые дивизии показали образцы мужества, отваги, дисциплины и организованности. В трудных условиях борьбы эти дивизии неоднократно наносили жестокие поражения немецко-фашистским войскам, обращали их в бегство, наводили на них ужас.</w:t>
      </w:r>
    </w:p>
    <w:p w14:paraId="76A759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Почему этим нашим стрелковым дивизиям удавалось бить врага и гнать перед собой хваленые немецкие войска?</w:t>
      </w:r>
    </w:p>
    <w:p w14:paraId="0D24CE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Потому, во-первых, что при наступлении они шли вперед не вслепую, не очертя голову, а лишь после тщательной разведки, после серьезной подготовки, после того, как они прощупали слабые места противника и обеспечили охранение своих флангов.</w:t>
      </w:r>
    </w:p>
    <w:p w14:paraId="581E32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Потому, во-вторых, что при прорыве фронта противника они не ограничивались движением вперед, а старались расширять прорыв своими действиями по ближайшим тылам противника, направо и налево от места прорыва.</w:t>
      </w:r>
    </w:p>
    <w:p w14:paraId="1995F2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Потому, в-третьих, что, захватив у противника территорию, они немедленно закрепляли за собой захваченное, окапывались на новом месте, организуя крепкое охранение на ночь и высылая вперед серьезную разведку для нового прощупывания отступающего противника.</w:t>
      </w:r>
    </w:p>
    <w:p w14:paraId="289101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Потому, в-четвертых, что, занимая оборонительную позицию, они осуществляли ее не как пассивную оборону, а как оборону активную, соединенную с контратаками. Они не дожидались того момента, когда противник ударит их и оттеснит назад, а сами переходили в контратаки, чтобы прощупать слабые места противника, улучшить свои позиции и вместе с тем закалить свои полки в процессе контратак для подготовки их к наступлению.</w:t>
      </w:r>
    </w:p>
    <w:p w14:paraId="5DF4B4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Потому, в-пятых, что при нажиме со стороны противника эти дивизии не впадали в панику, не бросали оружие, не разбегались в лесные чащи, не кричали “мы окружены”, а организованно отвечали ударом на удар противника, жестоко обуздывали паникеров, беспощадно расправлялись с трусами и дезертирами, обеспечивая тем самым дисциплину и организованность своих частей.</w:t>
      </w:r>
    </w:p>
    <w:p w14:paraId="0FC8A9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Потому, наконец, что командиры и комиссары в этих дивизиях вели себя, как мужественные и требовательные начальники, умеющие заставить своих подчиненных выполнять приказы и не боящиеся наказывать нарушителей приказов и дисциплины.</w:t>
      </w:r>
    </w:p>
    <w:p w14:paraId="201331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основании изложенного и в соответствии с постановлением Президиума Верховного Совета СССР Ставка Верховного Главнокомандования приказывает:*</w:t>
      </w:r>
    </w:p>
    <w:p w14:paraId="1B65CA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За боевые подвиги, за организованность, дисциплину и примерный порядок указанные дивизии переименовать в гвардейские дивизии, а именно:</w:t>
      </w:r>
    </w:p>
    <w:p w14:paraId="2B067A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100-ю стрелковую дивизию — в 1-ю гвардейскую дивизию. Командир дивизии генерал-майор Руссиянов.</w:t>
      </w:r>
    </w:p>
    <w:p w14:paraId="329EBE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127-ю стрелковую дивизию — во 2-ю гвардейскую дивизию. Командир дивизии полковник Акименко.</w:t>
      </w:r>
    </w:p>
    <w:p w14:paraId="0F0611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153-ю стрелковую дивизию — в 3-ю гвардейскую дивизию. Командир дивизии полковник Гаген.</w:t>
      </w:r>
    </w:p>
    <w:p w14:paraId="76D077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161-ю стрелковую дивизию—в 4-ю гвардейскую дивизию. Командир дивизии полковник Москвитин.</w:t>
      </w:r>
    </w:p>
    <w:p w14:paraId="367CAD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В соответствии с постановлением Верховного Совета Союза ССР указанным дивизиям вручить особые гвардейские знамена.</w:t>
      </w:r>
    </w:p>
    <w:p w14:paraId="680664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Всему начальствующему (высшему, старшему, среднему и младшему) составу с сентября с. г. во всех четырех гвардейских дивизиях установить полуторный, а бойцам двойной оклад содержания.</w:t>
      </w:r>
    </w:p>
    <w:p w14:paraId="584D01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Начальнику тыла Красной Армии разработать и к 30 сентября представить проект особой формы одежды для гвардейских дивизий.</w:t>
      </w:r>
    </w:p>
    <w:p w14:paraId="1D2CD7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640820">
        <w:rPr>
          <w:rFonts w:ascii="Times New Roman" w:hAnsi="Times New Roman"/>
          <w:color w:val="000000" w:themeColor="text1"/>
          <w:sz w:val="16"/>
          <w:szCs w:val="16"/>
        </w:rPr>
        <w:t>5. Настоящий приказ объявить в действующей армии и в округах во всех ротах, эскадронах, батареях, эскадрильях и командах.</w:t>
      </w:r>
    </w:p>
    <w:p w14:paraId="5C4DD2C3"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Народный комиссар обороны СССР И. СТАЛИН</w:t>
      </w:r>
    </w:p>
    <w:p w14:paraId="309B58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 xml:space="preserve">Начальник Генерального штаба Красной Армии Маршал Советского Союза Б. ШАПОШНИКОВ </w:t>
      </w:r>
      <w:r w:rsidRPr="00640820">
        <w:rPr>
          <w:rFonts w:ascii="Times New Roman" w:hAnsi="Times New Roman"/>
          <w:color w:val="000000" w:themeColor="text1"/>
          <w:sz w:val="16"/>
          <w:szCs w:val="16"/>
        </w:rPr>
        <w:t>(9844).</w:t>
      </w:r>
    </w:p>
    <w:p w14:paraId="529E58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FA79D9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сентября 1941 фашистами взята Полтава (4962).</w:t>
      </w:r>
    </w:p>
    <w:p w14:paraId="7C566FA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05DE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сентября 1941 части группы юг захватили Полтаву (3819).</w:t>
      </w:r>
    </w:p>
    <w:p w14:paraId="4B25E7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82B4C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September 18, 1941: Units of Heeresgruppe Sud capture Poltava in the Ukraine (3819).</w:t>
      </w:r>
    </w:p>
    <w:p w14:paraId="00210F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0F6AE9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сентября 1941 Ставка решила оставить Киев, хотя это произошло 27 (512,65) - разрешение на выход из КиУР запоздало и 5, 21, 26 и 37 армии были окружены (512,65).</w:t>
      </w:r>
    </w:p>
    <w:p w14:paraId="138802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3D05122"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18 сентября </w:t>
      </w:r>
      <w:r w:rsidRPr="00640820">
        <w:rPr>
          <w:rFonts w:ascii="Times New Roman" w:hAnsi="Times New Roman"/>
          <w:color w:val="000000" w:themeColor="text1"/>
          <w:sz w:val="16"/>
          <w:szCs w:val="16"/>
        </w:rPr>
        <w:t>в 1941 году из сводки Совинформбюро: «В течение 18 сентября наши войска вели бои с противником на всем фронте. В течение последних дней под Киевом идут ожесточенные бои. Фашистско-немецкие войска, не считаясь с огромными потерями людьми и вооружением, бросают в бой все новые и новые части. На одном из участков Киевской обороны противнику удалось прорвать наши укрепления и выйти к окраине города. Ожесточенные бои продолжаются» (14773).</w:t>
      </w:r>
    </w:p>
    <w:p w14:paraId="49C56817" w14:textId="77777777" w:rsidR="001547E5" w:rsidRPr="00640820" w:rsidRDefault="001547E5" w:rsidP="00640820">
      <w:pPr>
        <w:spacing w:after="0" w:line="240" w:lineRule="auto"/>
        <w:jc w:val="both"/>
        <w:rPr>
          <w:rFonts w:ascii="Times New Roman" w:hAnsi="Times New Roman"/>
          <w:color w:val="000000" w:themeColor="text1"/>
          <w:sz w:val="16"/>
          <w:szCs w:val="16"/>
        </w:rPr>
      </w:pPr>
    </w:p>
    <w:p w14:paraId="35370523"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18 сентября </w:t>
      </w:r>
      <w:r w:rsidRPr="00640820">
        <w:rPr>
          <w:rFonts w:ascii="Times New Roman" w:hAnsi="Times New Roman"/>
          <w:color w:val="000000" w:themeColor="text1"/>
          <w:sz w:val="16"/>
          <w:szCs w:val="16"/>
        </w:rPr>
        <w:t>в 1941 году немецкие войска захватили Полтаву (14773).</w:t>
      </w:r>
    </w:p>
    <w:p w14:paraId="1ACCCDD5" w14:textId="77777777" w:rsidR="001547E5" w:rsidRPr="00640820" w:rsidRDefault="001547E5" w:rsidP="00640820">
      <w:pPr>
        <w:spacing w:after="0" w:line="240" w:lineRule="auto"/>
        <w:jc w:val="both"/>
        <w:rPr>
          <w:rFonts w:ascii="Times New Roman" w:hAnsi="Times New Roman"/>
          <w:color w:val="000000" w:themeColor="text1"/>
          <w:sz w:val="16"/>
          <w:szCs w:val="16"/>
        </w:rPr>
      </w:pPr>
    </w:p>
    <w:p w14:paraId="3E012E1C" w14:textId="77777777" w:rsidR="00EF6A8F" w:rsidRPr="00640820" w:rsidRDefault="00EF6A8F" w:rsidP="00640820">
      <w:pPr>
        <w:pStyle w:val="ae"/>
        <w:spacing w:before="0" w:after="0"/>
        <w:jc w:val="both"/>
        <w:textAlignment w:val="baseline"/>
        <w:rPr>
          <w:color w:val="000000" w:themeColor="text1"/>
          <w:sz w:val="16"/>
          <w:szCs w:val="16"/>
        </w:rPr>
      </w:pPr>
      <w:r w:rsidRPr="00640820">
        <w:rPr>
          <w:color w:val="000000" w:themeColor="text1"/>
          <w:sz w:val="16"/>
          <w:szCs w:val="16"/>
        </w:rPr>
        <w:t>На 18 сентября 1941, на 6.30 по московскому времени был намечен удар по аэродрому Шаталово. Однако из-за задержки с заправкой вылет подготовить не успели. Между тем в небе вскоре показались немецкие самолеты, целью которых, как оказалось, был сам аэродром Шайновка. Двенадцать Bf-110 нанесли по нему внезапный бомбово-штурмовой удар, выведя из строя два Ил-2 и по одному Пе-2 и ЛаГГ-3. Это несколько ослабило ударную группу, однако отказываться от атаки не собирались.</w:t>
      </w:r>
    </w:p>
    <w:p w14:paraId="4E52B7D2" w14:textId="77777777" w:rsidR="00EF6A8F" w:rsidRPr="00640820" w:rsidRDefault="00EF6A8F" w:rsidP="00640820">
      <w:pPr>
        <w:pStyle w:val="ae"/>
        <w:spacing w:before="0" w:after="0"/>
        <w:jc w:val="both"/>
        <w:textAlignment w:val="baseline"/>
        <w:rPr>
          <w:color w:val="000000" w:themeColor="text1"/>
          <w:sz w:val="16"/>
          <w:szCs w:val="16"/>
        </w:rPr>
      </w:pPr>
      <w:r w:rsidRPr="00640820">
        <w:rPr>
          <w:color w:val="000000" w:themeColor="text1"/>
          <w:sz w:val="16"/>
          <w:szCs w:val="16"/>
        </w:rPr>
        <w:t>В воздух поднялись 22 самолета, в том числе 12 Ил-2. Песков продолжал свой рассказ:</w:t>
      </w:r>
    </w:p>
    <w:p w14:paraId="5662D059" w14:textId="77777777" w:rsidR="00EF6A8F" w:rsidRPr="00640820" w:rsidRDefault="00EF6A8F" w:rsidP="00640820">
      <w:pPr>
        <w:pStyle w:val="ae"/>
        <w:spacing w:before="0" w:after="0"/>
        <w:jc w:val="both"/>
        <w:textAlignment w:val="baseline"/>
        <w:rPr>
          <w:iCs/>
          <w:color w:val="000000" w:themeColor="text1"/>
          <w:sz w:val="16"/>
          <w:szCs w:val="16"/>
          <w:bdr w:val="none" w:sz="0" w:space="0" w:color="auto" w:frame="1"/>
        </w:rPr>
      </w:pPr>
      <w:r w:rsidRPr="00640820">
        <w:rPr>
          <w:iCs/>
          <w:color w:val="000000" w:themeColor="text1"/>
          <w:sz w:val="16"/>
          <w:szCs w:val="16"/>
          <w:bdr w:val="none" w:sz="0" w:space="0" w:color="auto" w:frame="1"/>
        </w:rPr>
        <w:t>«Встретив поблизости от линии фронта низкую облачность, левая группа ЛаГГ-3 под командой капитана Горюнова вернулась обратно. Несмотря на значительное улучшение погоды, группа прошла оставшиеся до цели 60 км на бреющем полете.</w:t>
      </w:r>
    </w:p>
    <w:p w14:paraId="27DFD71A" w14:textId="77777777" w:rsidR="00EF6A8F" w:rsidRPr="00640820" w:rsidRDefault="00EF6A8F" w:rsidP="00640820">
      <w:pPr>
        <w:pStyle w:val="ae"/>
        <w:spacing w:before="0" w:after="0"/>
        <w:jc w:val="both"/>
        <w:textAlignment w:val="baseline"/>
        <w:rPr>
          <w:rStyle w:val="HTML"/>
          <w:i w:val="0"/>
          <w:color w:val="000000" w:themeColor="text1"/>
          <w:sz w:val="16"/>
          <w:szCs w:val="16"/>
          <w:bdr w:val="none" w:sz="0" w:space="0" w:color="auto" w:frame="1"/>
        </w:rPr>
      </w:pPr>
      <w:r w:rsidRPr="00640820">
        <w:rPr>
          <w:iCs/>
          <w:color w:val="000000" w:themeColor="text1"/>
          <w:sz w:val="16"/>
          <w:szCs w:val="16"/>
          <w:bdr w:val="none" w:sz="0" w:space="0" w:color="auto" w:frame="1"/>
        </w:rPr>
        <w:t>При подходе к цели с юго-западного сектора штурмов</w:t>
      </w:r>
      <w:r w:rsidRPr="00640820">
        <w:rPr>
          <w:rStyle w:val="HTML"/>
          <w:i w:val="0"/>
          <w:color w:val="000000" w:themeColor="text1"/>
          <w:sz w:val="16"/>
          <w:szCs w:val="16"/>
          <w:bdr w:val="none" w:sz="0" w:space="0" w:color="auto" w:frame="1"/>
        </w:rPr>
        <w:t>ики перестроились в колонну звеньев по шесть самолетов в группе. В это время лидер сбросил бомбы по летному полю и серией зеленых ракет дал сигнал, что истребителей противника в воздухе нет.</w:t>
      </w:r>
    </w:p>
    <w:p w14:paraId="514BC215" w14:textId="77777777" w:rsidR="00EF6A8F" w:rsidRPr="00640820" w:rsidRDefault="00EF6A8F" w:rsidP="00640820">
      <w:pPr>
        <w:pStyle w:val="ae"/>
        <w:spacing w:before="0" w:after="0"/>
        <w:jc w:val="both"/>
        <w:textAlignment w:val="baseline"/>
        <w:rPr>
          <w:color w:val="000000" w:themeColor="text1"/>
          <w:sz w:val="16"/>
          <w:szCs w:val="16"/>
        </w:rPr>
      </w:pPr>
      <w:r w:rsidRPr="00640820">
        <w:rPr>
          <w:iCs/>
          <w:color w:val="000000" w:themeColor="text1"/>
          <w:sz w:val="16"/>
          <w:szCs w:val="16"/>
          <w:bdr w:val="none" w:sz="0" w:space="0" w:color="auto" w:frame="1"/>
        </w:rPr>
        <w:t>Перед атакой штурмовики набирали высоту 400–500 м и с планирования под углом 15–20 градусов начали обстрел ракетными снарядами и пулеметно-пушечным огнем, сбрасывая осколочные и фугасные бомбы с замедлением на выводе из планирования».</w:t>
      </w:r>
    </w:p>
    <w:p w14:paraId="62617DF6" w14:textId="77777777" w:rsidR="00EF6A8F" w:rsidRPr="00640820" w:rsidRDefault="00EF6A8F" w:rsidP="00640820">
      <w:pPr>
        <w:pStyle w:val="ae"/>
        <w:spacing w:before="0" w:after="0"/>
        <w:jc w:val="both"/>
        <w:textAlignment w:val="baseline"/>
        <w:rPr>
          <w:color w:val="000000" w:themeColor="text1"/>
          <w:sz w:val="16"/>
          <w:szCs w:val="16"/>
        </w:rPr>
      </w:pPr>
      <w:r w:rsidRPr="00640820">
        <w:rPr>
          <w:color w:val="000000" w:themeColor="text1"/>
          <w:sz w:val="16"/>
          <w:szCs w:val="16"/>
        </w:rPr>
        <w:t xml:space="preserve">Истребители также участвовали в штурмовке, обстреливая с пикирования зенитные батареи. Последние вели интенсивный огонь и сбили два Ил-2, а также один ЛаГГ-3, который совершил вынужденную посадку «на живот» в трех километрах от Шаталово. По возвращении летчики заявили об уничтожении «до двадцати» самолетов противника, что в очередной раз было подтверждено некими агентурными данными[38]. Однако, по данным противника, никаких уничтоженных самолетов в </w:t>
      </w:r>
      <w:r w:rsidRPr="00640820">
        <w:rPr>
          <w:color w:val="000000" w:themeColor="text1"/>
          <w:sz w:val="16"/>
          <w:szCs w:val="16"/>
        </w:rPr>
        <w:lastRenderedPageBreak/>
        <w:t>Шаталово 18 сентября не числится (19522).</w:t>
      </w:r>
    </w:p>
    <w:p w14:paraId="512A3A81" w14:textId="77777777" w:rsidR="00EF6A8F" w:rsidRPr="00640820" w:rsidRDefault="00EF6A8F" w:rsidP="00640820">
      <w:pPr>
        <w:pStyle w:val="ae"/>
        <w:spacing w:before="0" w:after="0"/>
        <w:jc w:val="both"/>
        <w:textAlignment w:val="baseline"/>
        <w:rPr>
          <w:color w:val="000000" w:themeColor="text1"/>
          <w:sz w:val="16"/>
          <w:szCs w:val="16"/>
        </w:rPr>
      </w:pPr>
    </w:p>
    <w:p w14:paraId="5C135588" w14:textId="77777777" w:rsidR="00EF6A8F" w:rsidRPr="00640820" w:rsidRDefault="00EF6A8F" w:rsidP="00640820">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18 сентября 1941 был выполнен повторный налет на переправу в районе Ка</w:t>
      </w:r>
      <w:r w:rsidRPr="00640820">
        <w:rPr>
          <w:rFonts w:ascii="Times New Roman" w:hAnsi="Times New Roman" w:cs="Times New Roman"/>
          <w:color w:val="000000" w:themeColor="text1"/>
          <w:sz w:val="16"/>
          <w:szCs w:val="16"/>
        </w:rPr>
        <w:softHyphen/>
        <w:t>ховки - Бериславля. Днем к цели вылетели два И-16 СПБ, сопровождаемые тремя ЛаГГ-3. Од</w:t>
      </w:r>
      <w:r w:rsidRPr="00640820">
        <w:rPr>
          <w:rFonts w:ascii="Times New Roman" w:hAnsi="Times New Roman" w:cs="Times New Roman"/>
          <w:color w:val="000000" w:themeColor="text1"/>
          <w:sz w:val="16"/>
          <w:szCs w:val="16"/>
        </w:rPr>
        <w:softHyphen/>
        <w:t>нако на подступах к переправе истреби- тели-бомбардироещики были атакованы Ме-109 и им пришлось сбросить бомбы по занятой противником деревне Черненька. Ещё один вылет был организован вечером. На этот раз в 18.30 два И-16 СПБ, вновь сопровождаемые ЛаГГами, смогли отбомбиться по переправе. Истре</w:t>
      </w:r>
      <w:r w:rsidRPr="00640820">
        <w:rPr>
          <w:rFonts w:ascii="Times New Roman" w:hAnsi="Times New Roman" w:cs="Times New Roman"/>
          <w:color w:val="000000" w:themeColor="text1"/>
          <w:sz w:val="16"/>
          <w:szCs w:val="16"/>
        </w:rPr>
        <w:softHyphen/>
        <w:t>бители-бомбардировщики вышли из боя без повреждений, а вот пилот одного из сопровождавших их истребителей был легко ранен, и ему пришлось сажать свой самолет на «брюхо» не выпуская шасси.</w:t>
      </w:r>
    </w:p>
    <w:p w14:paraId="6CC5271C" w14:textId="77777777" w:rsidR="00EF6A8F" w:rsidRPr="00640820" w:rsidRDefault="00EF6A8F" w:rsidP="00640820">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Что касается результативности наших налетов... Несмотря на то, что немецкие документы добросовестно отмечают все случаи повреждения Каховской пере</w:t>
      </w:r>
      <w:r w:rsidRPr="00640820">
        <w:rPr>
          <w:rFonts w:ascii="Times New Roman" w:hAnsi="Times New Roman" w:cs="Times New Roman"/>
          <w:color w:val="000000" w:themeColor="text1"/>
          <w:sz w:val="16"/>
          <w:szCs w:val="16"/>
        </w:rPr>
        <w:softHyphen/>
        <w:t>правы от действий советской авиации, ни один из них не может быть достоверно привязан к вылетам «Звеньев-СПБ» (19112).</w:t>
      </w:r>
    </w:p>
    <w:p w14:paraId="627A3BCE" w14:textId="77777777" w:rsidR="00EF6A8F" w:rsidRPr="00640820" w:rsidRDefault="00EF6A8F" w:rsidP="00640820">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06553790"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18 сентября </w:t>
      </w:r>
      <w:r w:rsidRPr="00640820">
        <w:rPr>
          <w:rFonts w:ascii="Times New Roman" w:hAnsi="Times New Roman"/>
          <w:color w:val="000000" w:themeColor="text1"/>
          <w:sz w:val="16"/>
          <w:szCs w:val="16"/>
        </w:rPr>
        <w:t>в 1941 году по приказу Ставки ВГК взорваны корабли Пинской военной флотилии, участвовавшие в обороне Киева (14773).</w:t>
      </w:r>
    </w:p>
    <w:p w14:paraId="0E414E1B" w14:textId="77777777" w:rsidR="001547E5" w:rsidRPr="00640820" w:rsidRDefault="001547E5" w:rsidP="00640820">
      <w:pPr>
        <w:spacing w:after="0" w:line="240" w:lineRule="auto"/>
        <w:jc w:val="both"/>
        <w:rPr>
          <w:rFonts w:ascii="Times New Roman" w:hAnsi="Times New Roman"/>
          <w:color w:val="000000" w:themeColor="text1"/>
          <w:sz w:val="16"/>
          <w:szCs w:val="16"/>
        </w:rPr>
      </w:pPr>
    </w:p>
    <w:p w14:paraId="7A5E1D86"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18 сентября </w:t>
      </w:r>
      <w:r w:rsidRPr="00640820">
        <w:rPr>
          <w:rFonts w:ascii="Times New Roman" w:hAnsi="Times New Roman"/>
          <w:color w:val="000000" w:themeColor="text1"/>
          <w:sz w:val="16"/>
          <w:szCs w:val="16"/>
        </w:rPr>
        <w:t>в 1941 году четыре английские подводные лодки в районе Триполи атаковали итальянский конвой и потопили два лайнера – «Нептуния» и «Океания» (14773).</w:t>
      </w:r>
    </w:p>
    <w:p w14:paraId="079F94F8" w14:textId="77777777" w:rsidR="001547E5" w:rsidRPr="00640820" w:rsidRDefault="001547E5" w:rsidP="00640820">
      <w:pPr>
        <w:spacing w:after="0" w:line="240" w:lineRule="auto"/>
        <w:jc w:val="both"/>
        <w:rPr>
          <w:rFonts w:ascii="Times New Roman" w:hAnsi="Times New Roman"/>
          <w:color w:val="000000" w:themeColor="text1"/>
          <w:sz w:val="16"/>
          <w:szCs w:val="16"/>
        </w:rPr>
      </w:pPr>
    </w:p>
    <w:p w14:paraId="1022A82B"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18 сентября </w:t>
      </w:r>
      <w:r w:rsidRPr="00640820">
        <w:rPr>
          <w:rFonts w:ascii="Times New Roman" w:hAnsi="Times New Roman"/>
          <w:color w:val="000000" w:themeColor="text1"/>
          <w:sz w:val="16"/>
          <w:szCs w:val="16"/>
        </w:rPr>
        <w:t>в 1941 году в соответствии с решением Ставки Верховного Главнокомандования приказом наркома обороны № 308 созданы первые гвардейские части и соединения в Советских Вооруженных силах. 100-я, 127-я, 153-я и 161-я стрелковые дивизии, отличившиеся в августе — сентябре 1941 года под Смоленском, были переименованы в 1-ю, 2-ю, 3-ю и 4-ю гвардейские. В ходе войны боевой опыт, воинское мастерство, дисциплина, героизм и организованность Гвардии служили образцом для всей армии. Советская Гвардия сражалась на решающих участках фронта. В битве под Москвой высокий героизм проявили воины 316-й и 78-й стрелковых дивизий, 4-й танковой бригады и др. частей, удостоенных звания гвардейских. Частям и соединениям, удостоенным гвардейских званий, в соответствии с постановлением Президиума Верховного Совета СССР вручались гвардейские знамена. 21 мая 1942 года Указом Президиума Верховного Совета СССР для военнослужащих гвардейских частей и соединений были введены гвардейские звания, установлен нагрудный знак гвардии для ношения на правой стороне груди. В июне 1943 утверждены гвардейские Красные знамена для гвардейских армий и корпусов, а в феврале 1944 утверждены образцы гвардейских знамён для частей и соединений ВМФ. Советская Гвардия сыграла большую роль в Сталинградской битве 1942—43. Здесь сражались 1-я, 2-я и 3-я гвардейские армии, проявившие исключительный героизм и мужество. Ряд армий (24-я, 66-я, 21-я и 62-я) получил звание гвардейских и стал именоваться соответственно 4-й, 5-й, 6-й и 8-й гвардейскими армиями. Гвардейские звания получил также ряд танковых и механизированных корпусов и авиадивизий. Летом 1943 появились первые гвардейские танковые армии: 3-я и 5-я, сыгравшие решающую роль в Курской битве. В наступательных операциях 1943—45 гвардейские объединения и соединения действовали на направлениях главных ударов. К концу войны в Гвардии насчитывалось 11 общевойсковых и 6 танковых армий, 39 стрелковых, 7 кавалерийских, 12 танковых, 9 механизированных и 13 авиационных корпусов, 128 стрелковых, 17 кавалерийских, 6 артиллерийских, 47 авиационных, 6 зенитно-артиллерийских дивизий, 15 стрелковых, 8 воздушнодесантных, 68 танковых, 42 мотострелковых и механизированных бригады и значительное количество др. частей. Всем реактивным миномётным соединениям и частям с момента их формирования присваивалось звание гвардейских. Звания гвардейских были удостоены многие боевые корабли и части ВМФ: на Северном флоте — подлодки «Д-3», «С-56», «Щ-402», «М-72», «М-171», «М-174», «К-22», «Щ-422»; на Балтийском Краснознамённом флоте — эсминец «Вице-адмирал Дрозд», минный заградитель «Ока», тральщик «Гафель», ряд дивизионов торпедных и сторожевых катеров и катерных тральщиков, а также 1-я гвардейская морская артиллерийская жедезнодорожная Красносельская Краснознамённая бригада; на Черноморском флоте — крейсеры «Красный Кавказ» и «Красный Крым», эсминец «Сообразительный», тральщик «Защитник», сторожевой катер «СК-065», подлодки «С-33», «Щ-205», «Т-215», «М-35» и «М-62»; на Тихоокеанском флоте — минный заградитель «Охотск», сторожевые корабли «Метель» и «СКР-2», тральщики «Т-278» и «Т-281» и два дивизиона торпедных катеров; на Амурской флотилии — монитор «Свердлов», канонерские лодки «Пролетарий» и «Красная Звезда» и два отряда бронекатеров. Были преобразованы в гвардейские также многие части и соединения авиации ПВО и ВМФ и береговой обороны (14773).</w:t>
      </w:r>
    </w:p>
    <w:p w14:paraId="1C9A2455" w14:textId="77777777" w:rsidR="001547E5" w:rsidRPr="00640820" w:rsidRDefault="001547E5" w:rsidP="00640820">
      <w:pPr>
        <w:spacing w:after="0" w:line="240" w:lineRule="auto"/>
        <w:jc w:val="both"/>
        <w:rPr>
          <w:rFonts w:ascii="Times New Roman" w:hAnsi="Times New Roman"/>
          <w:color w:val="000000" w:themeColor="text1"/>
          <w:sz w:val="16"/>
          <w:szCs w:val="16"/>
        </w:rPr>
      </w:pPr>
    </w:p>
    <w:p w14:paraId="607098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сентября 1941 г. вышел ПРИКАЗ № 72 О РАБОТЕ ПОЛЕВОЙ ПОЧТЫ</w:t>
      </w:r>
    </w:p>
    <w:p w14:paraId="5AA605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Многочисленные жалобы бойцов, командиров и политработников действующей Красной Армии и произведенная в августе месяце с. г. проверка работы управлений и отделов полевой связи фронтов и армий, а также полевых почтовых станций свидетельствуют об исключительно плохой работе органов полевой почты.</w:t>
      </w:r>
    </w:p>
    <w:p w14:paraId="2E25FD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В подлиннике слово “приказываю” исправлено на “приказывает” и добавлено “Ставка Верховного Главнокомандования”.</w:t>
      </w:r>
    </w:p>
    <w:p w14:paraId="0275C0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Почта и печать, как правило, доставляются с большим замедлением и перебоями. На военно-почтовых сортировочных пунктах, базах и полевых почтовых станциях скапливается огромное количество недоставленной корреспонденции. Совершенно не налажена обработка и пересылка денежных переводов и посылок. Имеется множество случаев несвоевременной приписки и отписки полевых почтовых станций к военно-почтовым базам и войсковых частей к полевым почтовым станциям. Служба дислокации крайне запущена и дислосведения сообщаются с большими запозданиями. Полевые почтовые органы совершенно не ведут работы в частях по правильному заадресованию писем. Имеются случаи хищений красноармейских посылок и денежных переводов.</w:t>
      </w:r>
    </w:p>
    <w:p w14:paraId="7A777D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Показателем безответственного отношения к порученному делу являются следующие примеры.</w:t>
      </w:r>
    </w:p>
    <w:p w14:paraId="5506ED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9-го управления* полевой связи т. Михайлов не обеспечил правильной и своевременной организации полевой почты в его соединении, не принял мер к организации правильного адресования корреспонденции, в результате чего красноармейцы и командиры обслуживаемого им войскового соединения длительное время не получали писем.</w:t>
      </w:r>
    </w:p>
    <w:p w14:paraId="05D6A6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33-го отдела полевой связи т. Бешев совершенно не руководит полевой почтой, в результате чего органы полевой почты обслуживаемого им войскового соединения работают крайне плохо, что вызывает огромное число жалоб на его плохую работу.</w:t>
      </w:r>
    </w:p>
    <w:p w14:paraId="16BF8A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16-го отдела полевой связи т. Марченко не обеспечил своевременную приписку и отписку полевых почтовых станций к военно-почтовой базе и воинских частей к полевым почтовым станциям и не проверял работу подчиненных ему полевых почтовых органов, вследствие чего почтовая корреспонденция и печать доставлялись в воинские части с большими замедлениями и перебоями.</w:t>
      </w:r>
    </w:p>
    <w:p w14:paraId="4D4324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военно-почтовой базы литер “Т” т. Румянцев допустил в своей работе длительную задержку свыше девяти тысяч красноармейских писем.</w:t>
      </w:r>
    </w:p>
    <w:p w14:paraId="23DF55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197-й полевой почтовой станции т. Озикович задержал на 7 дней письма, предназначенные для 20 войсковых частей.</w:t>
      </w:r>
    </w:p>
    <w:p w14:paraId="49EC56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полевой связи 9-го т. Михайлов и 16-го т. Марченко запутали дислокацию подчиненных им полевых почтовых станций, что приводило к засылам огромного количества красноармейских писем.</w:t>
      </w:r>
    </w:p>
    <w:p w14:paraId="0ABF0D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Главными причинами многочисленных безобразий в работе полевой почты являются:</w:t>
      </w:r>
    </w:p>
    <w:p w14:paraId="5E7A4B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Отсутствие повседневного контроля и необходимой требовательности со стороны Центрального военного управления НКСвязи, в результате чего подавляющее большинство управлений и отделов полевой связи работают неудовлетворительно.</w:t>
      </w:r>
    </w:p>
    <w:p w14:paraId="14A2E2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Преступно-халатное отношение к порученной работе должностных лиц полевой почты, призванных обслуживать высококачественной работой почты бойцов и начсостав действующей Красной Армии, героически сражающихся против озверелого германского фашизма.</w:t>
      </w:r>
    </w:p>
    <w:p w14:paraId="47E969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Неудовлетворительный подбор начальников многих отделов полевой связи, военно-почтовых баз и начальников полевых почтовых станций.</w:t>
      </w:r>
    </w:p>
    <w:p w14:paraId="608CE2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Крайне низкая военная дисциплина, отсутствие элементарного порядка в работе органов полевой почты.</w:t>
      </w:r>
    </w:p>
    <w:p w14:paraId="17D61F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Полное невнимание и отсутствие всякой заботы об улучшении работы полевой почты со стороны начальников связи фронтов и армий.</w:t>
      </w:r>
    </w:p>
    <w:p w14:paraId="0C7E61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целях улучшения работы полевой почты и недопущения в дальнейшем позорных фактов плохой ее работы приказываю:</w:t>
      </w:r>
    </w:p>
    <w:p w14:paraId="677B74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За проявленную бездеятельность по руководству подчиненными ему органами полевой почты, развал дислослужбы, проявленную халатность к своевременному продвижению красноармейских писем и печати на фронт начальника 9-го отдела полевой связи т. Михайлова снять с работы и перевести на низшую должность.</w:t>
      </w:r>
    </w:p>
    <w:p w14:paraId="063AE4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За развал работы полевой почты начальника 33-го отдела полевой связи т. Бешева снять с работы и перевести на низшую должность.</w:t>
      </w:r>
    </w:p>
    <w:p w14:paraId="1C50B1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За длительную задержку свыше девяти тысяч красноармейских писем начальника военно-почтовой базы литер “Т” т. Румянцева снять с работы и перевести на низшую должность.</w:t>
      </w:r>
    </w:p>
    <w:p w14:paraId="5EAD87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За задержку на 7 дней писем, предназначенных для 20 войсковых частей, начальника 197-й полевой почтовой станции снять с занимаемой должности и перевести на рядовую работу.</w:t>
      </w:r>
    </w:p>
    <w:p w14:paraId="42424D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Начальнику 16-го отдела полевой связи т. Марченко за халатное отношение к исполнению служебных обязанностей объявить строгий выговор с предупреждением.</w:t>
      </w:r>
    </w:p>
    <w:p w14:paraId="04ADB3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Обратить внимание начальника Центрального военного управления НКСвязи т. Гнедина на неудовлетворительную организацию контроля и слабую требовательность к органам полевой связи, следствием чего явилось огромное количество недостатков в работе полевой почты.</w:t>
      </w:r>
    </w:p>
    <w:p w14:paraId="16CB9C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Обязать Центральное военное управление НКСвязи в десятидневный срок добиться:</w:t>
      </w:r>
    </w:p>
    <w:p w14:paraId="1C3055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обеспечения своевременной и бесперебойной доставки печати и красноармейских писем, посылок и денежных переводов как в действующую армию, так и в тыл страны;</w:t>
      </w:r>
    </w:p>
    <w:p w14:paraId="0540A7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ликвидации скопления красноармейских писем на военно-почтовых сортировочных пунктах, военно-почтовых </w:t>
      </w:r>
      <w:r w:rsidRPr="00640820">
        <w:rPr>
          <w:rFonts w:ascii="Times New Roman" w:hAnsi="Times New Roman"/>
          <w:iCs/>
          <w:color w:val="000000" w:themeColor="text1"/>
          <w:sz w:val="16"/>
          <w:szCs w:val="16"/>
        </w:rPr>
        <w:t xml:space="preserve">базах </w:t>
      </w:r>
      <w:r w:rsidRPr="00640820">
        <w:rPr>
          <w:rFonts w:ascii="Times New Roman" w:hAnsi="Times New Roman"/>
          <w:color w:val="000000" w:themeColor="text1"/>
          <w:sz w:val="16"/>
          <w:szCs w:val="16"/>
        </w:rPr>
        <w:t>и полевых почтовых станциях;</w:t>
      </w:r>
    </w:p>
    <w:p w14:paraId="1C60A8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укрепление руководящих кадров полевой почты;</w:t>
      </w:r>
    </w:p>
    <w:p w14:paraId="432AF0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наведения необходимого порядка в приписке, отписке и учете дислокации полевых почтовых станций;</w:t>
      </w:r>
    </w:p>
    <w:p w14:paraId="614E16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укрепления дисциплины в полевых почтовых органах;</w:t>
      </w:r>
    </w:p>
    <w:p w14:paraId="0BBFCA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полной ликвидации хищений и утрат почтовой корреспонденции;</w:t>
      </w:r>
    </w:p>
    <w:p w14:paraId="57BC64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тесной увязки своей работы с центральными управлениями почтовой связи НКСвязи.</w:t>
      </w:r>
    </w:p>
    <w:p w14:paraId="71743D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Всем начальникам отделов и отделений полевой связи, начальникам военно-почтовых сортировочных пунктов, военно-почтовых баз и полевых почтовых станций немедленно принять все меры к коренному улучшению работы полевой почты.</w:t>
      </w:r>
    </w:p>
    <w:p w14:paraId="135806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Начальникам связи фронтов и армий взять под свое личное и неослабное наблюдение работу полевой почты.</w:t>
      </w:r>
    </w:p>
    <w:p w14:paraId="33106F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Начальнику Центрального военного управления НКСвязи и всем начальникам связи фронтов донести мне к 5 октября 1941 г. о проведенных мероприятиях по улучшению работы полевой связи.</w:t>
      </w:r>
    </w:p>
    <w:p w14:paraId="188205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 объявить всему начсоставу полевых органов связи до начальников полевых почтовых станций включительно.</w:t>
      </w:r>
    </w:p>
    <w:p w14:paraId="4F2BBB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 xml:space="preserve">Народный комиссар связи и заместитель Народного комиссара обороны СССР И. ПЕРЕСЫПКИН </w:t>
      </w:r>
      <w:r w:rsidRPr="00640820">
        <w:rPr>
          <w:rFonts w:ascii="Times New Roman" w:hAnsi="Times New Roman"/>
          <w:color w:val="000000" w:themeColor="text1"/>
          <w:sz w:val="16"/>
          <w:szCs w:val="16"/>
        </w:rPr>
        <w:t>(9844).</w:t>
      </w:r>
    </w:p>
    <w:p w14:paraId="5BBD92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2B2B8EC"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6D6CF6EB"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84996A0" w14:textId="77777777" w:rsidR="001547E5" w:rsidRPr="00640820" w:rsidRDefault="001547E5"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сентября 1941 г. пилотируемый К.Сет-Смитом совершил первый полет прототип модели Харрикейн Mk.IID с 40-мм пушкой с регистрационным номером Z2326. Нещадно терзаемые танками Роммеля, части английской армии в Северной Африке чувствовали себя просто безоружными: 40-мм снаряды "валентайнов" и "матильд", 20-мм снаряды привлекаемых для непосредственной поддержки войск истребителей не представляли реальной угрозы для брони "панцеркампфвагенов". Но если ту же 40-мм пушку установить на истребитель, то бронепробиваемость резко возрастет за счет добавления к начальной скорости снаряда скорости самолета, да и "долбить" тонкую верхнюю броню, особенно в районе мотора и бензобаков, конечно, проще. Вопрос о носителе для англичан не стоял: если нужно летать пониже и помедленней, равных "Харрикейну" не было (3187).</w:t>
      </w:r>
    </w:p>
    <w:p w14:paraId="0A243858" w14:textId="77777777" w:rsidR="001547E5" w:rsidRPr="00640820" w:rsidRDefault="001547E5" w:rsidP="00640820">
      <w:pPr>
        <w:autoSpaceDE w:val="0"/>
        <w:autoSpaceDN w:val="0"/>
        <w:adjustRightInd w:val="0"/>
        <w:spacing w:after="0" w:line="240" w:lineRule="auto"/>
        <w:jc w:val="both"/>
        <w:rPr>
          <w:rFonts w:ascii="Times New Roman" w:hAnsi="Times New Roman"/>
          <w:color w:val="000000" w:themeColor="text1"/>
          <w:sz w:val="16"/>
          <w:szCs w:val="16"/>
        </w:rPr>
      </w:pPr>
    </w:p>
    <w:p w14:paraId="2A922EA2"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сентября 1941 г. Сет-Смит совершил на противотанковом "Харрикейне" первый полет (15129).</w:t>
      </w:r>
    </w:p>
    <w:p w14:paraId="4513CC33" w14:textId="77777777" w:rsidR="001547E5" w:rsidRPr="00640820" w:rsidRDefault="001547E5" w:rsidP="00640820">
      <w:pPr>
        <w:spacing w:after="0" w:line="240" w:lineRule="auto"/>
        <w:jc w:val="both"/>
        <w:rPr>
          <w:rFonts w:ascii="Times New Roman" w:hAnsi="Times New Roman"/>
          <w:color w:val="000000" w:themeColor="text1"/>
          <w:sz w:val="16"/>
          <w:szCs w:val="16"/>
        </w:rPr>
      </w:pPr>
    </w:p>
    <w:p w14:paraId="0C31C58B" w14:textId="77777777" w:rsidR="003733B8" w:rsidRPr="00640820" w:rsidRDefault="003733B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xml:space="preserve">18 сентября 1941 состоялся первый полет Curtiss XP-60 (20794). </w:t>
      </w:r>
    </w:p>
    <w:p w14:paraId="6C7429D4" w14:textId="77777777" w:rsidR="003733B8" w:rsidRPr="00640820" w:rsidRDefault="003733B8" w:rsidP="00640820">
      <w:pPr>
        <w:spacing w:after="0" w:line="240" w:lineRule="auto"/>
        <w:jc w:val="both"/>
        <w:rPr>
          <w:rFonts w:ascii="Times New Roman" w:hAnsi="Times New Roman"/>
          <w:color w:val="0070C0"/>
          <w:sz w:val="16"/>
          <w:szCs w:val="16"/>
        </w:rPr>
      </w:pPr>
    </w:p>
    <w:p w14:paraId="3F759D08" w14:textId="77777777" w:rsidR="003733B8" w:rsidRPr="00640820" w:rsidRDefault="003733B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18 сентября 1941 – Первый полёт Curtiss XP-60. Это американский истребитель, разработанный Curtiss-Wright как преемник их P-40. Он прошёл через долгую серию прототипов и в конечном итоге превратился в конструкцию, мало похожую на P-40. Ни одна из этих версий не поступила в производство (22361).</w:t>
      </w:r>
    </w:p>
    <w:p w14:paraId="1E160EDB" w14:textId="77777777" w:rsidR="003733B8" w:rsidRPr="00640820" w:rsidRDefault="003733B8" w:rsidP="00640820">
      <w:pPr>
        <w:spacing w:after="0" w:line="240" w:lineRule="auto"/>
        <w:jc w:val="both"/>
        <w:rPr>
          <w:rFonts w:ascii="Times New Roman" w:hAnsi="Times New Roman"/>
          <w:color w:val="0070C0"/>
          <w:sz w:val="16"/>
          <w:szCs w:val="16"/>
        </w:rPr>
      </w:pPr>
    </w:p>
    <w:p w14:paraId="238DA815"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18 сентября </w:t>
      </w:r>
      <w:r w:rsidRPr="00640820">
        <w:rPr>
          <w:rFonts w:ascii="Times New Roman" w:hAnsi="Times New Roman"/>
          <w:color w:val="000000" w:themeColor="text1"/>
          <w:sz w:val="16"/>
          <w:szCs w:val="16"/>
        </w:rPr>
        <w:t>в 1941 году четыре английские подводные лодки в районе Триполи атаковали итальянский конвой и потопили два лайнера – «Нептуния» и «Океания» (14773).</w:t>
      </w:r>
    </w:p>
    <w:p w14:paraId="0C75E228" w14:textId="77777777" w:rsidR="001547E5" w:rsidRPr="00640820" w:rsidRDefault="001547E5" w:rsidP="00640820">
      <w:pPr>
        <w:spacing w:after="0" w:line="240" w:lineRule="auto"/>
        <w:jc w:val="both"/>
        <w:rPr>
          <w:rFonts w:ascii="Times New Roman" w:hAnsi="Times New Roman"/>
          <w:color w:val="000000" w:themeColor="text1"/>
          <w:sz w:val="16"/>
          <w:szCs w:val="16"/>
        </w:rPr>
      </w:pPr>
    </w:p>
    <w:p w14:paraId="2171D8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сентября 1941 японское командование отдало приказ о подготовке к войне на Тихом Океане (2238,8).</w:t>
      </w:r>
    </w:p>
    <w:p w14:paraId="279204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7C51BF8"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4FCEB9E8"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8BED7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сентября 1941 г. одинокий Не-111 средь бела дня отбомбился по территории воронежского авиазавода N 18, сбросив 16 50-кг фугасок SC50, которые угодили в разные цеха. Наибольший урон нанесла сброшенная этим же экипажем 1000-кг SC1000, попавшая в штамповочный цех. Большая часть бомб была установлена немцами на минирование, их удалось обезвредить, но некоторые сдетонировали от удара (3322,19).</w:t>
      </w:r>
    </w:p>
    <w:p w14:paraId="5C6576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B6E6E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сентября 1941 Зам. начальника ЛИИ Тайц М.А. направил А.И.Ш. с письмом N 8/879с:</w:t>
      </w:r>
    </w:p>
    <w:p w14:paraId="1693AF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Акт о сокращенных испытаниях самолета Су-6, конструкции П.О. Сухого</w:t>
      </w:r>
    </w:p>
    <w:p w14:paraId="3AC375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Утвержденный Зам. начальника ЛИИ НКАП А.В. Чесалов и Гл. конструктор зав. N 289 П.О. Сухой и подписанный Зам. начальника ЛИИ Тайц М.А., начальником 2 лаборатории. ЛИИ Ведров В.С., вед. инженер 2 лаб. ЛИИ Юданов С.С., вед. инженер зав. 289 Балуев В.П., вед. летчик зав. 289 Новин А.И.:</w:t>
      </w:r>
    </w:p>
    <w:p w14:paraId="77801D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Конструкция самолета</w:t>
      </w:r>
    </w:p>
    <w:p w14:paraId="090B9F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Самолет Су-6 представляет собой одноместный бронированный штурмовик с мотором воздушного охлаждения М-71 и с винтом АВ-5-4а, Д-3,25 м Полетный вес самолета без пушек и снарядов 4214 кг.</w:t>
      </w:r>
    </w:p>
    <w:p w14:paraId="1DFA44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Самолет изготовлен на заводе N 289.</w:t>
      </w:r>
    </w:p>
    <w:p w14:paraId="251F34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Основные характеристики самолета:</w:t>
      </w:r>
    </w:p>
    <w:p w14:paraId="39275F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Крыло свободнонесущее, низкорасположенное. Фюзеляж типа монокок. Шасси убирающиеся. Крыло снабжено щитками.</w:t>
      </w:r>
    </w:p>
    <w:p w14:paraId="368B25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Конструкция самолета смешанная: крыло, центроплан и оперение металлические, фюзеляж деревянный, рубли обшиты полотном. Место пилота забронировано с боков, сзади и сверху. Спереди установлено бронебойное стекло.</w:t>
      </w:r>
    </w:p>
    <w:p w14:paraId="132402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Вооружение:</w:t>
      </w:r>
    </w:p>
    <w:p w14:paraId="6790F7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самолете, проходившем испытания, установлено 6 пулеметов "Шкас", 4 крыльевых и 2 синхронных. Запас патронов для крыльевых пулеметов 3160 шт., для синхронных 1520 шт.</w:t>
      </w:r>
    </w:p>
    <w:p w14:paraId="3F7EFB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Время набора высоты на 2000 м равно 2,32 мин.</w:t>
      </w:r>
    </w:p>
    <w:p w14:paraId="057D15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Время набора высоты 5000 м равно 6625 мин.</w:t>
      </w:r>
    </w:p>
    <w:p w14:paraId="2AA3CC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Практический потолок 10500 м.</w:t>
      </w:r>
    </w:p>
    <w:p w14:paraId="68E180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Самолет с зажатой и брошенной ручкой обладает продольной статической устойчивостью в диапазоне центровок от 18 о/о до 23,8 о/о СГХ, на котором он подвергался испытаниям.</w:t>
      </w:r>
    </w:p>
    <w:p w14:paraId="2E053F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Диапазон эксплуатационных центровок - 18 о/о - 26,4 о/о СГХ.</w:t>
      </w:r>
    </w:p>
    <w:p w14:paraId="1A5B5C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Самолет обладает путевой и поперечной устойчивостью.</w:t>
      </w:r>
    </w:p>
    <w:p w14:paraId="3DF56C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Нагрузки на рули и элероны:</w:t>
      </w:r>
    </w:p>
    <w:p w14:paraId="0B403B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на руль высоты несколько велики,</w:t>
      </w:r>
    </w:p>
    <w:p w14:paraId="3A27DC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на элероны велики,</w:t>
      </w:r>
    </w:p>
    <w:p w14:paraId="2652C4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 руль поворотов нормальны.</w:t>
      </w:r>
    </w:p>
    <w:p w14:paraId="504E93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Запас рулей и элеронов достаточный. Приемистость самолета и эффективность рулей хорошая.</w:t>
      </w:r>
    </w:p>
    <w:p w14:paraId="718DEE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Тенденций к развороту на разбеге и пробеге нет. Бафтинг отсутствует.</w:t>
      </w:r>
    </w:p>
    <w:p w14:paraId="6D0FD4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Самолет Су-6 прост и приятен в пилотировании и доступен для летчиков средней квалификации.</w:t>
      </w:r>
    </w:p>
    <w:p w14:paraId="135A96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Скорость самолета при испытании доводилась до 575 км/час по прибору летчика, при чем вибраций не было обнаружено.</w:t>
      </w:r>
    </w:p>
    <w:p w14:paraId="154395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Расход горючего на скорости 0,95 Vmax=462 км/час на высоте 500-600 м = 0,627 кг/км. Дальность на этом режиме при полном израсходовании горючего равна 700 км.</w:t>
      </w:r>
    </w:p>
    <w:p w14:paraId="5CCE37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Система охлаждения обеспечивает нормальные температуры масла и головок цилиндров мотора.</w:t>
      </w:r>
    </w:p>
    <w:p w14:paraId="6E3A59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Кабина летчика удобна и свободна. Обзор хороший, но несколько затруднен всасывающим патрубком, стоящим спереди и справа от летчика.</w:t>
      </w:r>
    </w:p>
    <w:p w14:paraId="4F9B01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Винтомоторная группа работала хорошо. Шасси и щитки и тормозы работают хорошо.</w:t>
      </w:r>
    </w:p>
    <w:p w14:paraId="089917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Испытания самолета были проведены летчиком завода N 289 А.И. Кокиным. В облете самолета принимали участие летчики-испытатели ЛИИ НКАП М.Л. Галлай, А.Н. Гринчик, В.П. Федоров и Г.М. Шиянов.</w:t>
      </w:r>
    </w:p>
    <w:p w14:paraId="7428AB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Заключение.</w:t>
      </w:r>
    </w:p>
    <w:p w14:paraId="573ABC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Самолет Су-6 обладает хорошими летными и пилотажными свойствами.</w:t>
      </w:r>
    </w:p>
    <w:p w14:paraId="035D6E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Для полного суждения о боевых и летных свойствах самолета Су-6, необходимо установить и отработать пушечное вооружение и наружные подвески для РС (2567,2).</w:t>
      </w:r>
    </w:p>
    <w:p w14:paraId="3274AB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0DB72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сентября 1941 письмом N 8/879с Зам. Нач. ЛИИ М.А.Тайц направил А.И.Ш. акт о сокращенных испытаниях самолета Су-6 П.О.С. (2567,2).</w:t>
      </w:r>
    </w:p>
    <w:p w14:paraId="3DD68C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AD626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19 сентября 1941 г. приказом № 999с и 18.10.1941 г № 12сф ОКБ завода № 292 29.10.1941 г. переведено со всем личным составом и оборудованием в Новосибирск на завод № 153 НКАП, где образовано ОКБ завода № 153 НКАП, а часть продолжала действовать в Москве. По приказу № 1072сс от 15.10.1941 г. часть завода № 115, </w:t>
      </w:r>
      <w:r w:rsidRPr="00640820">
        <w:rPr>
          <w:rFonts w:ascii="Times New Roman" w:hAnsi="Times New Roman"/>
          <w:color w:val="000000" w:themeColor="text1"/>
          <w:sz w:val="16"/>
          <w:szCs w:val="16"/>
        </w:rPr>
        <w:lastRenderedPageBreak/>
        <w:t>остававшаяся в Москве, также эвакуирована в Новосибирск на завод № 153 и влита в состав ОКБ завода № 153. В 03.1942 г. завод и ОКБ реэвакуированы обратно на старую площадь.</w:t>
      </w:r>
    </w:p>
    <w:p w14:paraId="349DAA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13.09.1942 г. вышло постановление ГКО № 2302 об организации производства двухмоторных легких самолетов с моторами М-11 конструкции Яковлева. 2.11.1942 г. вышло постановление ГКО № 2467сс об улучшении летных данных самолетов Як-1 и Як-7. 9.12.1942 г. - постановления ГКО № 2603 «О дальнейшем уменьшении веса истребителя Як-1 до 2690 кг и увеличении его скорости у земли до 560 км в час и на высоте 5000 м до 670 км в час» и № 2604 об улучшении истребителей Як-1 и Як-7. 28.05.1943 г. вышло постановление ГКО № 3448 об организации производства Як-9 с мотором М-107А; 12.06.1943 г. - постановление ГКО № 3560 о выпуске дальних истребителей Як-9 для целей воздушной разведки. 26.10.1943 г. - постановление ГКО № 4430 о производстве Як-3 с мотором М-105ПФ; в соответствии с пост. ГКО № 4553 от 12.11.1943 г. Як-3 запущен в серию на заводе № 31. 20.02.1944 г. вышли постановления ГКО: № 5219 о переоборудовании Як-9 в вариант истребителя-бомбардировщика и № 5220 о выпуске самолетов Як-9 в варианте истребителей сопровождения. 15.03.1944 г. - постановление ГКО № 5403 о бомбардировочном варианте Як-9. 29.12.1944 г. вышли постановления ГКО о постройке опытных машин: № 7229 - о постройке Як-3 с пушкой НС-37 и УБ 20-мм; № 7230 - о постройке Як-9 с пушкой НС-37 и двумя УБ 20-мм; № 7232 - о постройке реактивного самолета. 10.04.1945 г. вышло постановление ГКО № 8061 об увеличении выпуска Як-9 с пушкой 37 мм и о выпуске самолетов Як-9 с пушкой 45 мм.</w:t>
      </w:r>
    </w:p>
    <w:p w14:paraId="1F909B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1946 г. на завод передано 78 станков и 162 единицы прочего оборудования завода «Дорнье» в  г. Висмар (Германия).</w:t>
      </w:r>
    </w:p>
    <w:p w14:paraId="09B59F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1946 г. в ОКБ переведена часть специалистов из закрытого ОКБ-482 В.М. Мясищева.</w:t>
      </w:r>
    </w:p>
    <w:p w14:paraId="17A19E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 приказу МАП № 162сс от 27.03.1946 г. был открыт заказ № 357 на постройку экспериментального вертолета Як-Э Г. Ранее приказом по заводу № 49 от 18.03.1946 г. организована бригада геликоптеров во главе с начальником- С.А. Бемовым. В нее вошли 11 чел.: </w:t>
      </w:r>
      <w:r w:rsidRPr="00640820">
        <w:rPr>
          <w:rFonts w:ascii="Times New Roman" w:hAnsi="Times New Roman"/>
          <w:color w:val="000000" w:themeColor="text1"/>
          <w:sz w:val="16"/>
          <w:szCs w:val="16"/>
          <w:lang w:val="en-US"/>
        </w:rPr>
        <w:t>JI</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Вильдгрубе,  Г.И. Огарков, П.Д. Самсонов,  Г.М. Семенов, А.Б. Леканов, А.А. Жиров, Н. Г. Богданов, М.С. Максимов, Н.В. Федюшкин, Б.С. Чиненков. Приказом МАП № 226сс от 16.04.1947 г. был открыт заказ № 389 на постройку второго экземпляра вертолета.</w:t>
      </w:r>
    </w:p>
    <w:p w14:paraId="2E3E73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ЮОсс от 21.02.1955 г. при заводе № 272 МАП организован филиал ОКБ-115 для производства вертолетов и легких самолетов. Руководитель- И.А. Эрлих. Был филиал на заводе № 292.</w:t>
      </w:r>
    </w:p>
    <w:p w14:paraId="2CDFDE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После войны в ОКБ создан ряд самолетов, строившихся серийно: боевые- Як-15, Як-17, Як-23, Як-25, Як-27, Як-28; </w:t>
      </w:r>
      <w:r w:rsidRPr="00640820">
        <w:rPr>
          <w:rFonts w:ascii="Times New Roman" w:hAnsi="Times New Roman"/>
          <w:color w:val="000000" w:themeColor="text1"/>
          <w:sz w:val="16"/>
          <w:szCs w:val="16"/>
          <w:lang w:val="en-US"/>
        </w:rPr>
        <w:t>CBBII</w:t>
      </w:r>
      <w:r w:rsidRPr="00640820">
        <w:rPr>
          <w:rFonts w:ascii="Times New Roman" w:hAnsi="Times New Roman"/>
          <w:color w:val="000000" w:themeColor="text1"/>
          <w:sz w:val="16"/>
          <w:szCs w:val="16"/>
        </w:rPr>
        <w:t xml:space="preserve"> Як-38; легкие и спортивные- Як-11, Як-12, Як-18, Як-50, Як-52, Як-55; пассажирские- Як-40, Як-42; планер Як-14; вертолет Як-24. Всего создано более 200 типов и модификаций ЛА, более 100 из них строились серийно.</w:t>
      </w:r>
    </w:p>
    <w:p w14:paraId="236FE7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8.01.1947 г. взлетел Як-19 - первый советский истребитель, имевший ТРД с форсажной камерой.</w:t>
      </w:r>
    </w:p>
    <w:p w14:paraId="170EFF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 760-288 от 22.02.1949 г. проводились работы по буксировке за Ту-2 истребителя Як- 23 с возможностью отцепки и повторной сцепки в воздухе.</w:t>
      </w:r>
    </w:p>
    <w:p w14:paraId="357AC0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1950 г. в ОКБ-115 под руководством С.М. Алексеева разработана система дозаправки в воздухе типа «шланг-конус» для Ту-4, система буксировки «Бурлаки» для Ту-4.</w:t>
      </w:r>
    </w:p>
    <w:p w14:paraId="41328C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2.08.1947 г. построен первый советский соосный вертолет - экспериментальный «Ш». 3.07.1952 г. взлетел первый советский вертолет продольной схемы Як-24. В соответствии с ПСМ № 1268-711сс от 13.07.1955 г. вертолет Як-24 пнв.</w:t>
      </w:r>
    </w:p>
    <w:p w14:paraId="4B328C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 1144-504сс от 10.06.1954 г. и пр. № 240 от 5.04.1954 г. начаты работы по фронтовому бомбардировщику Як-123 с передачей на испытания в 1-м квартале 1956 г. 30.03.1955 г. вышло постановление СМ СССР № 616-381сс «О создании легкого фронтового бомбардировщика и модификации истребителя- перехватчика конструкции Яковлева». В соответствии с ПСМ № 16-10 от 5.01.1956 г. на заводе № 30 выпущена войсковая серия Як-26.</w:t>
      </w:r>
    </w:p>
    <w:p w14:paraId="6D4AF7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10.03.1955 г. вышло ПСМ № 448-271сс «Об организации серийного производства двухместных самолётов- разведчиков конструкции Яковлева с двумя двигателями АМ-5».</w:t>
      </w:r>
    </w:p>
    <w:p w14:paraId="7018F2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 544-336с от 22.03.1955 г. Як-12 был принят на снабжение ВВС и ГВФ.</w:t>
      </w:r>
    </w:p>
    <w:p w14:paraId="0810F6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от 31.07.1958 г. велась разработка фронтового разведчика Як-32, в начале 1960 г. работы прекращены.</w:t>
      </w:r>
    </w:p>
    <w:p w14:paraId="0DBF3B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 424-261сс от 28.03.1956 г. начата разработка сверхзвукового фронтового бомбардировщика Як-129. Пост. № 1115-578 от 15.08.1956 г. ОКБ поручено разработать вариант самолета с двигателями ВК-11. 5.01.1959 г. вышло ПСМ № 19-7 «О фронтовом бомбардировщике Як-28», 11.03.1960 г. - постановление № 274-108 о модификации Як-28. В соответствии с ПСМ № 1056-457 от 27.11.1961 г. Як-28 пнв и начата разработка разведчика Як-28Р, пост. № 1077-369 от 22.11.1967 г. Як-28Р пнв. В соответствии с ПСМ от 5.02.1962 г. начата разработка носителя химического оружия Як-28СР.</w:t>
      </w:r>
    </w:p>
    <w:p w14:paraId="7C4F5D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 617-251 от 17.06.1960 г. начат серийный выпуск самолетов-мишеней Як-25РВ.</w:t>
      </w:r>
    </w:p>
    <w:p w14:paraId="0BC9DE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2.07.1960 г. взлетел Як-30 - первый отечественный реактивный учебный самолет.</w:t>
      </w:r>
    </w:p>
    <w:p w14:paraId="5A7B5B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 правительства от 12.1967 г. было задано создание на базе СВВП Як-36 корабельного штурмовика Як-ЗбМ и аванпроекта сверхзвукового СВВП Як-ЗбМФ. Пост, от 11.11.1977 г. предусматривалось предъявление Як-41 на госиспытания в 1982 г. В 03.1979 г. выполнены эскизные проекты однодвигательного Як-41 и Як-41М с комбинированной СУ (подъемно-маршевым и подъемньми двигателями). В 1986 г. пост, правительства задано создание сверхзвукового Як-41М (Як-141). В 1991 г. после аварии самолета и прекращения финансирования работы по нему прекращены. Разрабатывался проект дальнейшего развития СВВП - Як-43, в 1991 г. работы также прекращены.</w:t>
      </w:r>
    </w:p>
    <w:p w14:paraId="497FCE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1979 г. велась разработка палубного самолета РЛДН Як-44, в 1990 г. утвержден техпроект самолета. В 1992 г. работы прекращены.</w:t>
      </w:r>
    </w:p>
    <w:p w14:paraId="47186A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Велись также работы по ракетной технике и БПЛА: проект УРВВ К-35 («МВ») для перехватчика Як-35МВ (1959 г.); проект противокорабельного самолета-снаряда К-12 (конец 1950-х); семейство БПЛА (разработка начата в 1960-х) «Пчела» («Шмель», изд. «60»), «Пчела-1» («Шмель-1», изд. «61»).</w:t>
      </w:r>
    </w:p>
    <w:p w14:paraId="0EB8D1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Принимало участие в программе создания ОК «Буран».</w:t>
      </w:r>
    </w:p>
    <w:p w14:paraId="635C95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08.1957 г. - в ведении 1ГУ МАП. С 1959 г. имело открытое наименование- «п/я 1303». С 1966 г.- ММЗ «Скорость». В 1966-89 г. имело наименование «п/я М-5050». С 1990 г. - ММЗ им. А.С. Яковлева. В соответствии с решением Правительства № 2354-р от 16.12.1992 г. преобразовано в АООТ «ОКБ им. А.С. Яковлева», с 1997 г.- ОАО. По решению правительства № 22-р от 9.01.2004 г. вошло в перечень стратегических предприятий.</w:t>
      </w:r>
    </w:p>
    <w:p w14:paraId="71D976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04.2004 г. ОАО «ОКБ им. Яковлева» вошло в корпорацию «Иркут».</w:t>
      </w:r>
    </w:p>
    <w:p w14:paraId="3EADAF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имело ЛИДБ на территории ЛИИ в Жуковском (2006 г.). На Ленинградском пр., 68 имелись два цеха, построенные в 1940-50-х  г. В них размещалось термическое и гальваническое производство. В 1999 г. цеха закрыты санэпидемстанцией, производство перенесено на производственные площадки ОКБ в Химках и Жуковском. В 2006 г. ОКБ переведено из Москвы в Жуковский на территорию ЛИДБ. Комплекс зданий на Ленинградском пр. площадью 25 тыс.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xml:space="preserve"> (в т.ч. два цеха) в 09.2006 г. продан, ОКБ оставило себе около 20% площадей.</w:t>
      </w:r>
      <w:r w:rsidRPr="00640820">
        <w:rPr>
          <w:rFonts w:ascii="Times New Roman" w:hAnsi="Times New Roman"/>
          <w:color w:val="000000" w:themeColor="text1"/>
          <w:sz w:val="16"/>
          <w:szCs w:val="16"/>
          <w:vertAlign w:val="superscript"/>
        </w:rPr>
        <w:t>1</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vertAlign w:val="superscript"/>
        </w:rPr>
        <w:t>230806</w:t>
      </w:r>
    </w:p>
    <w:p w14:paraId="283805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1990-е-2000-е  г. разработаны проекты: аэротакси Як-112, спортивный Як-54, административные Як-48, Як- 58, Як-77; сверхзвуковой У ТС (совместно с Китаем); пассажирские Як-46, Як-90, Як-142, Як-242, ближнемагистральный МС-21 (совместно с ОКБ Ильюшина); БПЛА «Пчела». Як-130 16.03.2002 г. победил в конкурсе на УТС для ВВС России.</w:t>
      </w:r>
    </w:p>
    <w:p w14:paraId="082CD2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(1935-56 г.)- А.С. Яковлев. Ген. конструктор (12.1956-84 г.)- г-п академик (1976 г.) А.С. Яковлев {1.04.1906-22.08.1989}, (1984-90 г.)- А.А. Левинских {5.12.1919-}, (02.1991-2000 г.)- А.Н. Дондуков {29.03.1954-}, (-2004-05 Г.)- О.Ф. Демченко {13.10.1944-}, (2005 г.)- А. Гуртовой.</w:t>
      </w:r>
    </w:p>
    <w:p w14:paraId="3A8B58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1-й зам. ген. конструктора (1992-94 г.)- О.Ф. Демченко, (-1998 г.)- В. Г. Дмитриев (затем- директор ЦАГИ), (2006 г.)- Н.Н. Долженков. Зам. гл. конструктора ОКБ (01.1943- 07.1945 г.)- </w:t>
      </w:r>
      <w:r w:rsidRPr="00640820">
        <w:rPr>
          <w:rFonts w:ascii="Times New Roman" w:hAnsi="Times New Roman"/>
          <w:color w:val="000000" w:themeColor="text1"/>
          <w:sz w:val="16"/>
          <w:szCs w:val="16"/>
          <w:lang w:val="en-US"/>
        </w:rPr>
        <w:t>O</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K</w:t>
      </w:r>
      <w:r w:rsidRPr="00640820">
        <w:rPr>
          <w:rFonts w:ascii="Times New Roman" w:hAnsi="Times New Roman"/>
          <w:color w:val="000000" w:themeColor="text1"/>
          <w:sz w:val="16"/>
          <w:szCs w:val="16"/>
        </w:rPr>
        <w:t>. Антонов, (-1950-60-е  г.-)- Н.К. Скржинский, А.Н. Дондуков. Зам. Ген. конструктора (1959 г.)- Хрупкий, (-1972-75 г.-)- К.Б. Бекирбаев.</w:t>
      </w:r>
    </w:p>
    <w:p w14:paraId="0EDDE2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(1935-1952 г.)- А.С. Яковлев, (1952 г.-)- А.А. Воропанов, (1969-86 г.)- С.Д. Савин. Ответственный руководитель (22.08.1984-31.12.1990 г.)- А.А. Левинских, (31.12.1990 г.-)- А.Н. Дондуков. Гендиректор (1994-2001; 2003-09 г.-)- О.Ф. Демченко, (2001-03 г.)- А. Г. Ефанов.</w:t>
      </w:r>
    </w:p>
    <w:p w14:paraId="714D8A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строительства (06.1937 г.)- А.С. Яковлев, (16.05.1938 г.-)- Н.Л. Кашелевский. 1-й зам. гендиректора (-2005-06 г.-)- Н.Н. Долженков. Зам. директора (06.1937 г.)- А.Н. Седельников. Зам. Гендиректора: (2006 г.)- Н.Н. Долженков; по ВЭД и маркетингу (-2002-05 г.-)- А.И. Гуртовой; по летным испытаниям (1990-е)- А.А. Синицын, (2007 г.)- Р.П. Таскаев.</w:t>
      </w:r>
    </w:p>
    <w:p w14:paraId="46CDA6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Технический директор (2005 г.)- Н.Н. Долженков.</w:t>
      </w:r>
    </w:p>
    <w:p w14:paraId="5A690C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(-06.1937-16.05.1938 г.)- А.Н. Седельников, (16.05.1938 г.-)- А.И. Ястребов.</w:t>
      </w:r>
    </w:p>
    <w:p w14:paraId="0B1A36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Научный руководитель (2003 г.)- А.Н. Дондуков.</w:t>
      </w:r>
    </w:p>
    <w:p w14:paraId="079696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конструкторы: (1972 г.)- С. Г. Мордовии (Як-ЗбМ), (6.09.1975 г.-)- А.А. Левинских, (1977 г.)- В.Н. Павлов (Як-38), А. Звягинцев (Як-38), (1991 г.-)- В.А. Митькин (Як-44), (1990-е)- В. Г. Дмитриев, (2002 г.)- К.Ф. Попович (военные самолеты), (2002 г.)- Ю.И. Янкевич (БПЛА), (2002 г.)- А. Г. Рахимбаев (пассажирские самолеты), (2002 г.)- Д.К. Драч (легкие самолеты).</w:t>
      </w:r>
    </w:p>
    <w:p w14:paraId="371ACF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конструкторов: (-1972-75 г.-)- В.П. Власов (по корабельному базированию Як-ЗбМ), (1986 г.-)- В. Г. Дмитриев, (1.10.1966 г.-)- А.А. Левинских, (-1967-75 г.-)- С. Г. Мордовии.</w:t>
      </w:r>
    </w:p>
    <w:p w14:paraId="1AA0F6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И.О. директора завода (02.1952 г.)- Аншценков. Директор (04.1952 г.)- А. Храмов. Гендиректор завода (1992- 94 г.)- О.Ф. Демченко.</w:t>
      </w:r>
    </w:p>
    <w:p w14:paraId="2C2AFD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Технический директор (-2005-06 г.-)- Н.Н. Долженков.</w:t>
      </w:r>
    </w:p>
    <w:p w14:paraId="085C93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производства (1947 г.)- А.С. Безбородое. Начальник ЛИК (1975 г.)- О.С. Долгих, г-м В. Г. Мухин, летной службы (2007 г.)- Р.П. Таскаев. Гл. контролер (1947 г.)- Н.А. Козлов.</w:t>
      </w:r>
    </w:p>
    <w:p w14:paraId="6293F2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Ведущие конструкторы: (1945-70 г.)- С.А. Бемов, (-1947-51 г.)- Л.Л. Селяков (Як-25, Як-1000), (1970-е)-  Г.А. Матвеев (Як-41).</w:t>
      </w:r>
    </w:p>
    <w:p w14:paraId="60D22B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Ведущие инженеры: (ВОВ-)- Е. Г. Адлер (Як-3 с РД-1, Як-14), (-1958-60 г.-)- М.И. Леонов (Як-129, -28Л), (1972 г.)-  Г.А. Матвеев (Як-ЗбМ), (1947 г.)-  Г.И. Огарков, (-1958-67 г.-)- В.Н. Павлов (Як-ЗбМ, -129), (-1960-64 г.-)- Р.С. Петров (Як-28Л, -28И, -28Н), (1952 г.)- Эрлих, (1965 г.)- С.И. Яськов (Як-28БИ).</w:t>
      </w:r>
    </w:p>
    <w:p w14:paraId="79DE4D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Летчики-испытатели: шеф-пилот (1990 г.)- А.А. Синицын; (-1972-79 г.-)- М.С. Дексбах, (2006 г.)- О.О. Кононенко, (1982 г.)- Ю.И. Митиков, (-1963-67 г.-)- В. Г. Мухин, (1991 г.)- В.А. Якимов.</w:t>
      </w:r>
    </w:p>
    <w:p w14:paraId="605093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самолеты: АИР-7 (19.11.1932 г.); учебно-тренировочные: АИР-9 (2.10.1934 г.), УТ-2 (АИР-10, 11.07.1935 г.), УТ-1 (АИР-14, 05.1936 г.), УТ-3 (АИР-17, 17.05.1938 г.), Як-18 (6.05.1946 г.), Як-18Т (7.08.1967 г.), Як-30 (2.07.1960 г.), Як-52 (8.08.1974 г.), Як-130Д (25.04.1996 г.), Як-130УБС (30.04.2004 г.); легкий АИР-12 (27.07.1936 г.); истребители: Як-1 (И-26, 13.01.1940 г.), Як-1М (Як-3, 28.02.1943 г.), высотный И-28 (1.12.1940 г.), Як-7УТИ (УТИ-26, 23.07.1940 г.), Як-9 (Як-7ДИ, 6.07.1942 г.), Як-9К (23.01.1944 г.), Як-9Б (3.03.1944 г.), Як-ЗРД (22.01.1945 г.), учебный Як-11 (10.07.1945 г.), Як-15 (24.04.1946 г.), Як-17УТИ (6.05.1947 г.), Як-17 (6.06.1947 г.), Як-19 (8.01.1947 г.), Як-23 (8.07.1947 г.), Як-30 (4.09.1948 г.), Як-50 (9.08.1949 г.), перехватчик Як-25 (19.06.1952 г.); высотные Як-27В (15.05.1957 г.), Як-25РВ (1.03.1959 г.); бомбардировщики: ближний Як-2 («22», 23.02.1939 г.); фронтовые: Як-125Б (1955), Як-26 (Як-123, 1955), Як-129 (Як-28, 5.03.1958 г.), Як-28Б («129», изд. «42», пнв в 1959 г.), Як-28Л («28Л», 8.07.1959 г.), Як-28И («28И», 1960), Як-28СР (16.09.1963 г.), Як-28Н (1964), Як-28ИМ (1969); разведчики Як-27Р (28.04.1956 г.), Як-28БИ (1965), Як-28Р (пнв 22.11.1967 г.); СВВП: Як-36 (27.07.1964 г.), Як-38 (Як-ЗбМ, «ВМ», 22.09.1970 г.), Як-38М (30.11.1982 г.), Як-41М (Як-141, 9.03.1987 г., по другой информации 13.06.1990 г.</w:t>
      </w:r>
      <w:r w:rsidRPr="00640820">
        <w:rPr>
          <w:rFonts w:ascii="Times New Roman" w:hAnsi="Times New Roman"/>
          <w:color w:val="000000" w:themeColor="text1"/>
          <w:sz w:val="16"/>
          <w:szCs w:val="16"/>
          <w:vertAlign w:val="superscript"/>
        </w:rPr>
        <w:t>142</w:t>
      </w:r>
      <w:r w:rsidRPr="00640820">
        <w:rPr>
          <w:rFonts w:ascii="Times New Roman" w:hAnsi="Times New Roman"/>
          <w:color w:val="000000" w:themeColor="text1"/>
          <w:sz w:val="16"/>
          <w:szCs w:val="16"/>
        </w:rPr>
        <w:t>); транспортный Як-6 (28.06.1942 г.); многоцелевые: Як-12 (20.10.1947 г.), Як-112 (20.10.1992 г.), Як- 58 (17.04.1994 г.); спортивные: Як-18П (12.12.1957 г.), Як-32 (17.01.1961 г.), Як-50 (22.06.1972 г.), Як-52М (16.04.2004 г.), Як-54 (23.12.1993 г.), Як-55 (28.05.1981 г.); пассажирские: Як-40 (21.10.1966 г.), Як-42 (6.03.1975 г.); проекты самолетов: бомбардировщиков: фронтового Як-35МВ (1950-е); фронтового разведчика Як-32 (1960); СВВП: Як-28ВВ (1960-е), Як-33 (1962), Як-43 (-1991); вертолеты: экспериментальный «Ш» (2.08.1947 г.), Як-24 (3.07.1952 г., пнв 13.07.1955 г.); БПЛА: малоразмерный «60С» (17.06.1983 г.), БЛА-61 «Пчела» (26.04.1986 г., пнв 16.06.1997 г.).</w:t>
      </w:r>
    </w:p>
    <w:p w14:paraId="0E40FB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СВВП: Як-41М (1990)- 4 (11982).</w:t>
      </w:r>
    </w:p>
    <w:p w14:paraId="6E02F368" w14:textId="77777777" w:rsidR="001547E5" w:rsidRPr="00640820" w:rsidRDefault="001547E5" w:rsidP="00640820">
      <w:pPr>
        <w:autoSpaceDE w:val="0"/>
        <w:autoSpaceDN w:val="0"/>
        <w:adjustRightInd w:val="0"/>
        <w:spacing w:after="0" w:line="240" w:lineRule="auto"/>
        <w:jc w:val="both"/>
        <w:rPr>
          <w:rFonts w:ascii="Times New Roman" w:hAnsi="Times New Roman"/>
          <w:color w:val="000000" w:themeColor="text1"/>
          <w:sz w:val="16"/>
          <w:szCs w:val="16"/>
        </w:rPr>
      </w:pPr>
    </w:p>
    <w:p w14:paraId="0240D0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сентября 1941 г. по приказам № 999с и № 12сф от 18.10.1941 г. ОКБ завода № 292 НКАП гл. конструктора А.С. Яковлева было переведено из Саратова со всем оборудованием и личным составом в Новосибирск на завод № 153. Здесь по приказу № 2с от 25.11.1941 г. образовано ОКБ завода № 153. Одновременно, по приказу № 1072сс от 15.10.1941 г. часть завода № 115, остававшаяся в Москве, также была эвакуирована на завод № 153 и влита в состав ОКБ завода № 153. ОКБ-115 выбыло из списков действующих с 12.1941 г.</w:t>
      </w:r>
    </w:p>
    <w:p w14:paraId="0B8797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Продолжены работы по опытному самолетостроению: установка ракетного оружия на Як-1, доводка Як-3, Як-5, Як-7. 14.03.1942 г. вышло постановление ГКО № 1443 о выпуске Як-1 в облегченном варианте.</w:t>
      </w:r>
    </w:p>
    <w:p w14:paraId="6BB97C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работало при заводе до 1942 г., в 03.1942 г. возвратилось в Москву на старое место как завод № 115 НКАП.</w:t>
      </w:r>
    </w:p>
    <w:p w14:paraId="45FC4B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(1941 г.)- А.И. Ястребов.</w:t>
      </w:r>
    </w:p>
    <w:p w14:paraId="7AE333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(1941-42 г.)- А.С. Яковлев (11982).</w:t>
      </w:r>
    </w:p>
    <w:p w14:paraId="792B64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0B696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сентября 1941 г. по приказам № 999с и № 12сф от 18.10.1941 г. ОКБ было А.С. Яковлева переведено со всем личным составом и оборудованием в Новосибирск на завод № 153 НКАП. 6 июля 1941 г. по приказу № 632сс на площадку завода № 292 была эвакуирована часть завода № 115 НКАП гл. конструктора А.С. Яковлева. По приказу № 930с/3сф от 28.08.1941 г. на базе этой части образовано ОКБ завода № 292 с опытным цехом в системе 7ГУ. Начальником ОКБ и гл. конструктором завода назначен А.С. Яковлев, зам. начальника- С.Д. Трефилов. Деятельность ОКБ продолжалась в Саратове до 29.10.1941 г. (11982).</w:t>
      </w:r>
    </w:p>
    <w:p w14:paraId="47A984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D5CEF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сентября 1941 ГК НКАП Можаровский и Веневидов писали в ЦК ВКП(б) письмо (вх. N М-7412оп) о применении новых конструкций для борьбы с противником и это письмо в дальнейшем было передано в НКАП А.И.Ш. (2728,142).</w:t>
      </w:r>
    </w:p>
    <w:p w14:paraId="015EFF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482F7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сентября 1941 в журнале опытного строительства М-82 была сделана запись, что на Гу-82 при первых полетах мотор работал удовлетворительно (737,10).</w:t>
      </w:r>
    </w:p>
    <w:p w14:paraId="1F6BFB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C8B33A6" w14:textId="77777777" w:rsidR="00524243" w:rsidRPr="00640820" w:rsidRDefault="00524243"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19 сентября 1941 материалы технического проекта и доклад автора пушки М. А. Мамонтова рассматривались экспертной комиссией Технического совета НКВ.</w:t>
      </w:r>
    </w:p>
    <w:p w14:paraId="5349242F" w14:textId="77777777" w:rsidR="00524243" w:rsidRPr="00640820" w:rsidRDefault="00524243"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В отличие от предыдущего варианта, приемник подачи ленты имел возможность перемещаться от</w:t>
      </w:r>
      <w:r w:rsidRPr="00640820">
        <w:rPr>
          <w:color w:val="000000" w:themeColor="text1"/>
          <w:sz w:val="16"/>
          <w:szCs w:val="16"/>
        </w:rPr>
        <w:softHyphen/>
        <w:t>носительно ствольной коробки. Благодаря этому при откате пушки приемник оставался неподвиж</w:t>
      </w:r>
      <w:r w:rsidRPr="00640820">
        <w:rPr>
          <w:color w:val="000000" w:themeColor="text1"/>
          <w:sz w:val="16"/>
          <w:szCs w:val="16"/>
        </w:rPr>
        <w:softHyphen/>
        <w:t>ным. Вследствие этого обеспечивалась надежность подачи ленты в приемник пушки. Одновременно с целью снижения затрат при освоении производ</w:t>
      </w:r>
      <w:r w:rsidRPr="00640820">
        <w:rPr>
          <w:color w:val="000000" w:themeColor="text1"/>
          <w:sz w:val="16"/>
          <w:szCs w:val="16"/>
        </w:rPr>
        <w:softHyphen/>
        <w:t>ства пушки ствол, 23-мм выстрелы и звенья были взяты от серийной пушки ВЯ без всяких доработок. Вес пушки оценивался в 40—45 кг. Количество де</w:t>
      </w:r>
      <w:r w:rsidRPr="00640820">
        <w:rPr>
          <w:color w:val="000000" w:themeColor="text1"/>
          <w:sz w:val="16"/>
          <w:szCs w:val="16"/>
        </w:rPr>
        <w:softHyphen/>
        <w:t>талей возрастало до 74. Остальные параметры пуш</w:t>
      </w:r>
      <w:r w:rsidRPr="00640820">
        <w:rPr>
          <w:color w:val="000000" w:themeColor="text1"/>
          <w:sz w:val="16"/>
          <w:szCs w:val="16"/>
        </w:rPr>
        <w:softHyphen/>
        <w:t>ки остались на прежнем уровне.</w:t>
      </w:r>
    </w:p>
    <w:p w14:paraId="37FDFC19" w14:textId="77777777" w:rsidR="00524243" w:rsidRPr="00640820" w:rsidRDefault="00524243"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Экспертная комиссия в составе председателя Технического совета НКВ Э. А. Сателя, начальника сектора ОКР военинженера 1-го ранга А. А. Толочко- ва, старшего инженера сектора ОКР Л. К. Корнеева, представителя от 12-го ГУ ВВС военинженера 1-го ранга П. И. Матаева, представителя от Артакадемии военинженера 1-го ранга А. М. Сидоренко и на</w:t>
      </w:r>
      <w:r w:rsidRPr="00640820">
        <w:rPr>
          <w:color w:val="000000" w:themeColor="text1"/>
          <w:sz w:val="16"/>
          <w:szCs w:val="16"/>
        </w:rPr>
        <w:softHyphen/>
        <w:t>чальника ОКБ-16 военинженера 1-го ранга К. К. Глу</w:t>
      </w:r>
      <w:r w:rsidRPr="00640820">
        <w:rPr>
          <w:color w:val="000000" w:themeColor="text1"/>
          <w:sz w:val="16"/>
          <w:szCs w:val="16"/>
        </w:rPr>
        <w:softHyphen/>
        <w:t>харева отметила, что конструкция пушки Мамонто</w:t>
      </w:r>
      <w:r w:rsidRPr="00640820">
        <w:rPr>
          <w:color w:val="000000" w:themeColor="text1"/>
          <w:sz w:val="16"/>
          <w:szCs w:val="16"/>
        </w:rPr>
        <w:softHyphen/>
        <w:t>ва по своей простоте имеет явное преимущество перед всеми известными на тот момент опытны</w:t>
      </w:r>
      <w:r w:rsidRPr="00640820">
        <w:rPr>
          <w:color w:val="000000" w:themeColor="text1"/>
          <w:sz w:val="16"/>
          <w:szCs w:val="16"/>
        </w:rPr>
        <w:softHyphen/>
        <w:t>ми и серийными образцами автоматов калибра 23 мм.</w:t>
      </w:r>
    </w:p>
    <w:p w14:paraId="25BD2526" w14:textId="77777777" w:rsidR="00524243" w:rsidRPr="00640820" w:rsidRDefault="00524243"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Поскольку на снабжение ВВС КА уже принята 23-мм пушка ВЯ, то считалось возможным предъ</w:t>
      </w:r>
      <w:r w:rsidRPr="00640820">
        <w:rPr>
          <w:color w:val="000000" w:themeColor="text1"/>
          <w:sz w:val="16"/>
          <w:szCs w:val="16"/>
        </w:rPr>
        <w:softHyphen/>
        <w:t>явить к пушке Мамонтова более жесткие требова</w:t>
      </w:r>
      <w:r w:rsidRPr="00640820">
        <w:rPr>
          <w:color w:val="000000" w:themeColor="text1"/>
          <w:sz w:val="16"/>
          <w:szCs w:val="16"/>
        </w:rPr>
        <w:softHyphen/>
        <w:t>ния «в смысле надежности работы, а также и в осо</w:t>
      </w:r>
      <w:r w:rsidRPr="00640820">
        <w:rPr>
          <w:color w:val="000000" w:themeColor="text1"/>
          <w:sz w:val="16"/>
          <w:szCs w:val="16"/>
        </w:rPr>
        <w:softHyphen/>
        <w:t>бенности с точки зрения максимальной техноло</w:t>
      </w:r>
      <w:r w:rsidRPr="00640820">
        <w:rPr>
          <w:color w:val="000000" w:themeColor="text1"/>
          <w:sz w:val="16"/>
          <w:szCs w:val="16"/>
        </w:rPr>
        <w:softHyphen/>
        <w:t>гичности и простоты конструкции». В этой связи предлагалось совместно с заводскими технологами переработать чертежи пушки, «обратив сугубое внимание на простоту изготовления пушки». При этом следовало максимально использовать «свар</w:t>
      </w:r>
      <w:r w:rsidRPr="00640820">
        <w:rPr>
          <w:color w:val="000000" w:themeColor="text1"/>
          <w:sz w:val="16"/>
          <w:szCs w:val="16"/>
        </w:rPr>
        <w:softHyphen/>
        <w:t>ку, штамповку и протяжку». Требовалось «довести простоту изготовления пушки до такой степени, чтобы по количеству производственных затрат 3 пушки системы Мамонтова равнялись 1 пушке Волкова—Ярцева».</w:t>
      </w:r>
    </w:p>
    <w:p w14:paraId="6446E304" w14:textId="77777777" w:rsidR="00524243" w:rsidRPr="00640820" w:rsidRDefault="00524243"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Кроме этого, необходимо было предусмотреть универсальность пушки с возможностью ее уста</w:t>
      </w:r>
      <w:r w:rsidRPr="00640820">
        <w:rPr>
          <w:color w:val="000000" w:themeColor="text1"/>
          <w:sz w:val="16"/>
          <w:szCs w:val="16"/>
        </w:rPr>
        <w:softHyphen/>
        <w:t>новки в танках, на боевых кораблях и катерах, в зе</w:t>
      </w:r>
      <w:r w:rsidRPr="00640820">
        <w:rPr>
          <w:color w:val="000000" w:themeColor="text1"/>
          <w:sz w:val="16"/>
          <w:szCs w:val="16"/>
        </w:rPr>
        <w:softHyphen/>
        <w:t>нитных установках, а также отработать для пушки магазинное питание «без ущерба для ленточного питания».</w:t>
      </w:r>
    </w:p>
    <w:p w14:paraId="0E8003D9" w14:textId="77777777" w:rsidR="00524243" w:rsidRPr="00640820" w:rsidRDefault="00524243"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Решением комиссии технический проект пушки утверждался, а Мамонтову и начальнику ОКБ-16 Глухареву устанавливался срок один месяц для до</w:t>
      </w:r>
      <w:r w:rsidRPr="00640820">
        <w:rPr>
          <w:color w:val="000000" w:themeColor="text1"/>
          <w:sz w:val="16"/>
          <w:szCs w:val="16"/>
        </w:rPr>
        <w:softHyphen/>
        <w:t>работки проекта и его представления в Техсовет НКВ. Председатель Технического совета Сатель ут</w:t>
      </w:r>
      <w:r w:rsidRPr="00640820">
        <w:rPr>
          <w:color w:val="000000" w:themeColor="text1"/>
          <w:sz w:val="16"/>
          <w:szCs w:val="16"/>
        </w:rPr>
        <w:softHyphen/>
        <w:t>вердил протокол заседания экспертной комиссии 22 сентября.</w:t>
      </w:r>
    </w:p>
    <w:p w14:paraId="602044D1" w14:textId="77777777" w:rsidR="00524243" w:rsidRPr="00640820" w:rsidRDefault="00524243"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Отметим, что одновременно с техническим про</w:t>
      </w:r>
      <w:r w:rsidRPr="00640820">
        <w:rPr>
          <w:color w:val="000000" w:themeColor="text1"/>
          <w:sz w:val="16"/>
          <w:szCs w:val="16"/>
        </w:rPr>
        <w:softHyphen/>
        <w:t>ектом пушки калибра 23 мм на рассмотрение экс</w:t>
      </w:r>
      <w:r w:rsidRPr="00640820">
        <w:rPr>
          <w:color w:val="000000" w:themeColor="text1"/>
          <w:sz w:val="16"/>
          <w:szCs w:val="16"/>
        </w:rPr>
        <w:softHyphen/>
        <w:t>пертной комиссии Технического совета НКВ был представлен проект пушки Мамонтова калибра 37 мм. По сути, «танковая» пушка представляла собой 23-мм пушку, перестволенную на больший калибр: 37 мм. Именно по этой причине комиссия сочла целесообразным «вопрос о 37 м/м пушке временно оставить открытым до отработки 23 м/м системы».</w:t>
      </w:r>
    </w:p>
    <w:p w14:paraId="50FCED7A" w14:textId="77777777" w:rsidR="00524243" w:rsidRPr="00640820" w:rsidRDefault="00524243"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По ряду причин, а также в связи с приоритетны</w:t>
      </w:r>
      <w:r w:rsidRPr="00640820">
        <w:rPr>
          <w:color w:val="000000" w:themeColor="text1"/>
          <w:sz w:val="16"/>
          <w:szCs w:val="16"/>
        </w:rPr>
        <w:softHyphen/>
        <w:t>ми работами по требованиям войны дальнейшего развития работы по пушкам конструкции М. А. Ма</w:t>
      </w:r>
      <w:r w:rsidRPr="00640820">
        <w:rPr>
          <w:color w:val="000000" w:themeColor="text1"/>
          <w:sz w:val="16"/>
          <w:szCs w:val="16"/>
        </w:rPr>
        <w:softHyphen/>
        <w:t>монтова не получили (17500).</w:t>
      </w:r>
    </w:p>
    <w:p w14:paraId="122F3C36" w14:textId="77777777" w:rsidR="00524243" w:rsidRPr="00640820" w:rsidRDefault="00524243" w:rsidP="00640820">
      <w:pPr>
        <w:pStyle w:val="129"/>
        <w:shd w:val="clear" w:color="auto" w:fill="auto"/>
        <w:spacing w:after="0" w:line="240" w:lineRule="auto"/>
        <w:jc w:val="both"/>
        <w:rPr>
          <w:color w:val="000000" w:themeColor="text1"/>
          <w:sz w:val="16"/>
          <w:szCs w:val="16"/>
        </w:rPr>
      </w:pPr>
    </w:p>
    <w:p w14:paraId="3925A3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сентября 1941 г. и 18 октября 1941 г. по приказам НКАП № 999с и № 12сф ОКБ завода № 292 НКАП гл. конструктора А.С. Яковлева было переведено из Саратова со всем оборудованием и личным составом в Новосибирск на завод № 153 (10776).</w:t>
      </w:r>
    </w:p>
    <w:p w14:paraId="74080F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448CE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сентября 1941 Зам. Нач. 7 ГУ Алексеев писал Воентехнику Чечубалину по его письму в ГКО и сообщил, что вопросами проектирования и изготовления гусениц для самолетов занимается КБ завода 84. им спроектированы и построены 2 комплекта гусениц для ПС-84, которые в настоящий момент проходят заводские испытания..." (2463,277).</w:t>
      </w:r>
    </w:p>
    <w:p w14:paraId="281CE1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7033E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сентября 1941 завод 18 первый раз бомбили - одиночный He-111. Бомбы - не взорвались (180,43). Был он же 23 и 26 сентября. 23 - отогнали, а 26 - первые жертвы (180,50).</w:t>
      </w:r>
    </w:p>
    <w:p w14:paraId="528055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04C2E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сентября 1941 г. Приказом № 291с в связи с тем что эвакуированные цеха завода № 223 были направлены не в Новосибирск, а в Черемхово, пункт приказа № 231сс об организации завода № 618 (Завод № 618 НКЭП /г. Новосибирск/) был отменен (11982).</w:t>
      </w:r>
    </w:p>
    <w:p w14:paraId="2592E1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ED0EF51"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0079BB5D"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91596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сен</w:t>
      </w:r>
      <w:r w:rsidRPr="00640820">
        <w:rPr>
          <w:rFonts w:ascii="Times New Roman" w:hAnsi="Times New Roman"/>
          <w:color w:val="000000" w:themeColor="text1"/>
          <w:sz w:val="16"/>
          <w:szCs w:val="16"/>
        </w:rPr>
        <w:softHyphen/>
        <w:t>тября 1941 г. на полигоне 4-й танковой бригады М.Е. Кату</w:t>
      </w:r>
      <w:r w:rsidRPr="00640820">
        <w:rPr>
          <w:rFonts w:ascii="Times New Roman" w:hAnsi="Times New Roman"/>
          <w:color w:val="000000" w:themeColor="text1"/>
          <w:sz w:val="16"/>
          <w:szCs w:val="16"/>
        </w:rPr>
        <w:softHyphen/>
        <w:t>кова незадолго до убытия бригады на фронт прошли испытания первого полноценного корпуса Т-34, изготовленного на заводе № 264 по новой методе. Проводились обстрелом из 45-мм противотанковой пушки и 76-мм танковой пушки. В ходе испытаний бронекорпус подвергся следующей схеме обстрела:</w:t>
      </w:r>
    </w:p>
    <w:p w14:paraId="2C39DEC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В правый борт выпущено семь бронебойных 45-мм и один фугасный 76-мм снаряд.</w:t>
      </w:r>
    </w:p>
    <w:p w14:paraId="43240FD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В правый подкрылок было выпущено восемь броне</w:t>
      </w:r>
      <w:r w:rsidRPr="00640820">
        <w:rPr>
          <w:rFonts w:ascii="Times New Roman" w:hAnsi="Times New Roman"/>
          <w:color w:val="000000" w:themeColor="text1"/>
          <w:sz w:val="16"/>
          <w:szCs w:val="16"/>
        </w:rPr>
        <w:softHyphen/>
        <w:t>бойных 45-мм снарядов.</w:t>
      </w:r>
    </w:p>
    <w:p w14:paraId="597FC67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В верхний лист кормы было выпущено три броне</w:t>
      </w:r>
      <w:r w:rsidRPr="00640820">
        <w:rPr>
          <w:rFonts w:ascii="Times New Roman" w:hAnsi="Times New Roman"/>
          <w:color w:val="000000" w:themeColor="text1"/>
          <w:sz w:val="16"/>
          <w:szCs w:val="16"/>
        </w:rPr>
        <w:softHyphen/>
        <w:t>бойных 45-мм снаряда.</w:t>
      </w:r>
    </w:p>
    <w:p w14:paraId="15EE125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В верхний лист носа было выпущено три бронебой</w:t>
      </w:r>
      <w:r w:rsidRPr="00640820">
        <w:rPr>
          <w:rFonts w:ascii="Times New Roman" w:hAnsi="Times New Roman"/>
          <w:color w:val="000000" w:themeColor="text1"/>
          <w:sz w:val="16"/>
          <w:szCs w:val="16"/>
        </w:rPr>
        <w:softHyphen/>
        <w:t>ных и один фугасный 76-мм снаряды.</w:t>
      </w:r>
    </w:p>
    <w:p w14:paraId="694222D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Обстрел из 45-мм ПТП производился с дистанции 50 м. Борта и подкрылки обстреливались под углом 50° и 12° к нормали, нос и корма — по нормали к естественному поло</w:t>
      </w:r>
      <w:r w:rsidRPr="00640820">
        <w:rPr>
          <w:rFonts w:ascii="Times New Roman" w:hAnsi="Times New Roman"/>
          <w:color w:val="000000" w:themeColor="text1"/>
          <w:sz w:val="16"/>
          <w:szCs w:val="16"/>
        </w:rPr>
        <w:softHyphen/>
        <w:t>жению корпуса. Испытаниями было установлено, что общая конструкционная прочность корпуса при его обстреле бро</w:t>
      </w:r>
      <w:r w:rsidRPr="00640820">
        <w:rPr>
          <w:rFonts w:ascii="Times New Roman" w:hAnsi="Times New Roman"/>
          <w:color w:val="000000" w:themeColor="text1"/>
          <w:sz w:val="16"/>
          <w:szCs w:val="16"/>
        </w:rPr>
        <w:softHyphen/>
        <w:t>небойными снарядами калибра 45 мм в целом сохранена полностью и наблюдались лишь частичные разрушения швов при попадании снарядов около них, и только попада</w:t>
      </w:r>
      <w:r w:rsidRPr="00640820">
        <w:rPr>
          <w:rFonts w:ascii="Times New Roman" w:hAnsi="Times New Roman"/>
          <w:color w:val="000000" w:themeColor="text1"/>
          <w:sz w:val="16"/>
          <w:szCs w:val="16"/>
        </w:rPr>
        <w:softHyphen/>
        <w:t>ние 76-мм бронебойных снарядов вызывало незначитель</w:t>
      </w:r>
      <w:r w:rsidRPr="00640820">
        <w:rPr>
          <w:rFonts w:ascii="Times New Roman" w:hAnsi="Times New Roman"/>
          <w:color w:val="000000" w:themeColor="text1"/>
          <w:sz w:val="16"/>
          <w:szCs w:val="16"/>
        </w:rPr>
        <w:softHyphen/>
        <w:t>ные разрушения швов и сколы небольшой протяженности. Вскоре предложенные конструктивные изменения были узаконены по НКТП, и с 5 декабря 1941 г. СТЗ начал полу</w:t>
      </w:r>
      <w:r w:rsidRPr="00640820">
        <w:rPr>
          <w:rFonts w:ascii="Times New Roman" w:hAnsi="Times New Roman"/>
          <w:color w:val="000000" w:themeColor="text1"/>
          <w:sz w:val="16"/>
          <w:szCs w:val="16"/>
        </w:rPr>
        <w:softHyphen/>
        <w:t>чать с завода № 264 такие бронекорпуса для танков Т-34.</w:t>
      </w:r>
    </w:p>
    <w:p w14:paraId="293E80E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результате этих нововведений время на обработку од</w:t>
      </w:r>
      <w:r w:rsidRPr="00640820">
        <w:rPr>
          <w:rFonts w:ascii="Times New Roman" w:hAnsi="Times New Roman"/>
          <w:color w:val="000000" w:themeColor="text1"/>
          <w:sz w:val="16"/>
          <w:szCs w:val="16"/>
        </w:rPr>
        <w:softHyphen/>
        <w:t>ного комплекта броневых деталей корпуса Т-34 сократи</w:t>
      </w:r>
      <w:r w:rsidRPr="00640820">
        <w:rPr>
          <w:rFonts w:ascii="Times New Roman" w:hAnsi="Times New Roman"/>
          <w:color w:val="000000" w:themeColor="text1"/>
          <w:sz w:val="16"/>
          <w:szCs w:val="16"/>
        </w:rPr>
        <w:softHyphen/>
        <w:t>лось весьма значительно — с 198,9 до 36—36,3 часа, а цикл сборки корпуса уменьшился с 9 до 2 суток (в отдельных случаях - до 36 часов). Все это позволило уже в декабре 1941 г. превысить порог месячного выпуска танков в 200 штук, что означало более чем троекратное повышение объ</w:t>
      </w:r>
      <w:r w:rsidRPr="00640820">
        <w:rPr>
          <w:rFonts w:ascii="Times New Roman" w:hAnsi="Times New Roman"/>
          <w:color w:val="000000" w:themeColor="text1"/>
          <w:sz w:val="16"/>
          <w:szCs w:val="16"/>
        </w:rPr>
        <w:softHyphen/>
        <w:t>емов выпуска по сравнению с началом сентября (10782).</w:t>
      </w:r>
    </w:p>
    <w:p w14:paraId="5DE3AA4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0864E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сентября 1941 на полигоне 4-й тб М.Е.Катукова незадолго до отбытия на фронт прошли испытания первого полнойенного корпуса Т-34 завода 264 обстрелом бронебойшыми 45 мм снарядами (с 50 м) и 76 мм фугасными снарядами. Пришли к выводу, что в целом прочность сохранилась при обстреле 45мм снарядами и чуть снизилась при обстреле 76 мм снарядами. С 5 декабря 1941 запустили в серию (9450,18).</w:t>
      </w:r>
    </w:p>
    <w:p w14:paraId="17129B4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DAB0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сентября 1941 первый эшелон с оборудованием ХТЗ покинул Харьков и направился на Урал. Первые 25 танков на новом месте в Нижнем Тагиле собрали уже в конце декабря из узлов и деталей, привезенных из Харькова (3862).</w:t>
      </w:r>
    </w:p>
    <w:p w14:paraId="43BAD5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19F06A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сентября 1941 года вышел приказ № 17с НКТП</w:t>
      </w:r>
    </w:p>
    <w:p w14:paraId="7CCEB6E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исполнение постановления ГКО от 10 сентября 1941 года о передаче завода № 112 (Красное Сормово) из системы Наркомсудпрома в систему НКТП (6032, 36).</w:t>
      </w:r>
    </w:p>
    <w:p w14:paraId="214C1A3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972092"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19 сентября 1941</w:t>
      </w:r>
    </w:p>
    <w:p w14:paraId="63C98AC1"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18.IX. 14253 </w:t>
      </w:r>
    </w:p>
    <w:p w14:paraId="45DD08EC"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Секретно. </w:t>
      </w:r>
    </w:p>
    <w:p w14:paraId="4BAC1469"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ПРИКАЗ</w:t>
      </w:r>
    </w:p>
    <w:p w14:paraId="2397CF59"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НАРОДНОГО КОМИССАРИАТА ТАНКОВОЙ ПРОМЫШЛЕННОСТИ СОЮЗА ССР</w:t>
      </w:r>
    </w:p>
    <w:p w14:paraId="11FA3C96"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17с</w:t>
      </w:r>
    </w:p>
    <w:p w14:paraId="47F30342"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г. Москва </w:t>
      </w:r>
    </w:p>
    <w:p w14:paraId="50D0E0BA"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"19" сентября 1941 г.</w:t>
      </w:r>
    </w:p>
    <w:p w14:paraId="784A3308"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Во исполнение постановления ГКО от 10 сентября 1941 г. о передаче завода № 112 (Красное Сормово) из системы Наркомсудпрома в систему Наркомтанкопрома – ПРИКАЗЫВАЮ: </w:t>
      </w:r>
    </w:p>
    <w:p w14:paraId="5194B696"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1. Организовать Комиссию по приемке завода в составе: </w:t>
      </w:r>
    </w:p>
    <w:p w14:paraId="512D7BEC"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т. ГРИГОРЬЕВА Н.Г. – Председателя Комиссии </w:t>
      </w:r>
    </w:p>
    <w:p w14:paraId="58F7E7FF"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т. КОМОВА С.И. – Член Комиссии </w:t>
      </w:r>
    </w:p>
    <w:p w14:paraId="398C049E"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Комиссии к работе приступить 23 сентября с.г. </w:t>
      </w:r>
    </w:p>
    <w:p w14:paraId="4B99F937"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Приемку завода произвести по состоянию на 1-е сентября 1941 г. </w:t>
      </w:r>
    </w:p>
    <w:p w14:paraId="6CFA8852"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2. Начальникам Отделов: Финансового т. ШАГАЛОВУ, Производственному т. ГНЕСИНУ, Технического т. ГИНЗБУРГУ, Планово-экономического т. ВАСИНУ, СШО т. ВАСИЛЬЕВУ, ИНО т. ПЕТРОВУ, ОКСа т. КОРНЕЕВУ и Главснаба т. РОЗИНУ произвести приемку от Наркомсудпрома материалов и всей технической документации по заводу № 112. </w:t>
      </w:r>
    </w:p>
    <w:p w14:paraId="624CADB8"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Акты приема и сдачи представить в Комиссию к 25-му сентября с.г. </w:t>
      </w:r>
    </w:p>
    <w:p w14:paraId="32B15678"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ЗАМ. НАРОДНОГО КОМИССАРА ТАНКОВОЙ ПРОМЫШЛЕННОСТИ СОЮЗА ССР</w:t>
      </w:r>
    </w:p>
    <w:p w14:paraId="584EFF47"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подпись А. ГОРЕГЛЯД</w:t>
      </w:r>
    </w:p>
    <w:p w14:paraId="69A41DC8"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Отп. 1 экз. </w:t>
      </w:r>
    </w:p>
    <w:p w14:paraId="58177D70"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Исп. Григорьев</w:t>
      </w:r>
    </w:p>
    <w:p w14:paraId="18340E3A"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bCs/>
          <w:iCs/>
          <w:color w:val="000000" w:themeColor="text1"/>
          <w:sz w:val="16"/>
          <w:szCs w:val="16"/>
          <w:lang w:eastAsia="ru-RU"/>
        </w:rPr>
        <w:t>РГАЭ Фонд 8752 Опись 4 Дело 2 лист 36 (17628)ю</w:t>
      </w:r>
    </w:p>
    <w:p w14:paraId="20128710"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p>
    <w:p w14:paraId="01D428F0"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19 сентября 1941</w:t>
      </w:r>
    </w:p>
    <w:p w14:paraId="43333489"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тш. 18.IX. </w:t>
      </w:r>
    </w:p>
    <w:p w14:paraId="1E735234"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 17018 </w:t>
      </w:r>
    </w:p>
    <w:p w14:paraId="4925449F"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Секретно. </w:t>
      </w:r>
    </w:p>
    <w:p w14:paraId="35C6564A"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ПРИКАЗ</w:t>
      </w:r>
    </w:p>
    <w:p w14:paraId="14E91626"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НАРОДНОГО КОМИССАРА ТЯЖЕЛОГО МАШИНОСТРОЕНИЯ СОЮЗА ССР</w:t>
      </w:r>
    </w:p>
    <w:p w14:paraId="4D036B4C"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и</w:t>
      </w:r>
    </w:p>
    <w:p w14:paraId="173824FE"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НАРОДНОГО КОМИССАРА ТАНКОВОЙ ПРОМЫШЛЕННОСТИ СОЮЗА ССР</w:t>
      </w:r>
    </w:p>
    <w:p w14:paraId="5FEFEAB4"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668с/18с</w:t>
      </w:r>
    </w:p>
    <w:p w14:paraId="120BF1B5"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г. Москва </w:t>
      </w:r>
    </w:p>
    <w:p w14:paraId="6F4458F6"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"19" сентября 1941 г.</w:t>
      </w:r>
    </w:p>
    <w:p w14:paraId="2C15B5A7"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Во исполнение постановления СНК Союза ССР от 11 сентября 1941 г. № 2059 приказываем: </w:t>
      </w:r>
    </w:p>
    <w:p w14:paraId="57E68AE1"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1. Передать из ведения Народного Комиссариата Тяжелого Машиностроения Союза ССР в ведение Народного Комиссариата Танковой Промышленности Союза ССР Уральский ордена Ленина завод тяжелого машиностроения им. С. Орджоникидзе в г. Свердловске. </w:t>
      </w:r>
    </w:p>
    <w:p w14:paraId="426AB0F4"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2. Сдачу-приемку завода произвести по балансу на 1-ое октября 1941 года. </w:t>
      </w:r>
    </w:p>
    <w:p w14:paraId="12136AF8"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3. Назначить комиссию в составе: </w:t>
      </w:r>
    </w:p>
    <w:p w14:paraId="0DFB55E8"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От НКТП СССР: </w:t>
      </w:r>
    </w:p>
    <w:p w14:paraId="7E1B6664"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ВАСИН (председатель) </w:t>
      </w:r>
    </w:p>
    <w:p w14:paraId="7C34049C"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КАТАРКЕВИЧ член комиссии </w:t>
      </w:r>
    </w:p>
    <w:p w14:paraId="72A1BF4B"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От НКТМ СССР: </w:t>
      </w:r>
    </w:p>
    <w:p w14:paraId="42348C5E"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Начальник Инспекции при Наркоме т. ЛОГИНОВ М.И. (Зам. председателя) </w:t>
      </w:r>
    </w:p>
    <w:p w14:paraId="74F9D02E"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Зам. Нач. Произв. Распорядит. отдела т. ДАВТЯН М.О. </w:t>
      </w:r>
    </w:p>
    <w:p w14:paraId="2EB47357"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Главный бухгалтер т. ЕЖОВ А.И. </w:t>
      </w:r>
    </w:p>
    <w:p w14:paraId="5BB9A98B"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Сдачу0приемку завода закончить к 1 октября 1941 года. Акт сдачи-приемки представить нам на утверждение. </w:t>
      </w:r>
    </w:p>
    <w:p w14:paraId="7CAA2AA2"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4. Перевести из системы Наркомтяжмаша в систему Наркомтанкопрома следующих работников: </w:t>
      </w:r>
    </w:p>
    <w:p w14:paraId="273293B2"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1. тов. СЕРЕДИНА П.И. </w:t>
      </w:r>
    </w:p>
    <w:p w14:paraId="5A58DD78"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2. КУДРЯВЦЕВА А.И. </w:t>
      </w:r>
    </w:p>
    <w:p w14:paraId="1E351B37"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3. СОСКОВА К.Р. </w:t>
      </w:r>
    </w:p>
    <w:p w14:paraId="7661BF8E"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ЗАМ. НАРОДНОГО КОМИССАРА ТЯЖЕЛОГО МАШИНОСТРОЕНИЯ</w:t>
      </w:r>
    </w:p>
    <w:p w14:paraId="1EFE9BBB"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подпись (КОВАЛЬ) </w:t>
      </w:r>
    </w:p>
    <w:p w14:paraId="28A91333"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ЗАМ. НАРОДНОГО КОМИССАРА ТАНКОВОЙ ПРОМЫШЛЕННОСТИ</w:t>
      </w:r>
    </w:p>
    <w:p w14:paraId="79526331"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подпись (ГОРЕГЛЯД)</w:t>
      </w:r>
    </w:p>
    <w:p w14:paraId="68B43C92"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Отп. 10 экз. 20.IX.</w:t>
      </w:r>
    </w:p>
    <w:p w14:paraId="65848AEC"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bCs/>
          <w:iCs/>
          <w:color w:val="000000" w:themeColor="text1"/>
          <w:sz w:val="16"/>
          <w:szCs w:val="16"/>
          <w:lang w:eastAsia="ru-RU"/>
        </w:rPr>
        <w:t>РГАЭ Фонд 8752 Опись 4 Дело 2 лист 37 (17528).</w:t>
      </w:r>
    </w:p>
    <w:p w14:paraId="28D2706E"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p>
    <w:p w14:paraId="2C2FE6A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сентября 1941 года вышел приказ № 668с/18с Наркомата тяжелого машиностроения и НКТП</w:t>
      </w:r>
    </w:p>
    <w:p w14:paraId="44AF90F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исполнение постановления СНК от 11 сентября 1941 года № 2059:</w:t>
      </w:r>
    </w:p>
    <w:p w14:paraId="1E58615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Передать из ведения НКТМ в ведение НКТП Уральский завод тяжелого машиностроения им. С. Орджоникидзе в Свердловске (6032, 37).</w:t>
      </w:r>
    </w:p>
    <w:p w14:paraId="3F9A2C4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A08C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19 сентября 1941 г. по пр. № 291с завод «Выпрямитель» НКЭП, образованный после начала войны на базе, эвакуированных из Ленинграда цехов в Саратове в помещении районного Дворца культуры, был переименован в ГС завод № 618 в ведении Главсветовакуумпрома НКЭП (ГС завод № 618 НКЭП, Завод «Выпрямитель» НКЭП, Саранский завод «Электровыпрямитель», А-7231, ОАО «Электровыпрямитель» /г. Саратов;  г. Саранск/ /Мордовия 430001  г. Саранск ул. Пролетарская, 126/).</w:t>
      </w:r>
    </w:p>
    <w:p w14:paraId="623D26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10.1941 г. начат выпуск продукции - выпрямительных селеновых аппаратов для зарядки аккумуляторов артиллерийских тягачей, ртутных зарядных станций для аэродромов.</w:t>
      </w:r>
    </w:p>
    <w:p w14:paraId="5F02E9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1944 г. завод передислоцирован в Саранск. Имел наименование «п/я А-7231».</w:t>
      </w:r>
    </w:p>
    <w:p w14:paraId="0DB1EA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1956 г. начат выпуск полупроводниковых вентилей на основе германия. В 1960 г. на основе технологии ЛФТИ начат выпуск кремниевых вентилей. На заводе был разработан и 22.06.1963 г. запатентован первый симметричный тиристор (триак), в этом же году начат выпуск мощных тиристоров.</w:t>
      </w:r>
    </w:p>
    <w:p w14:paraId="7D72F6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(2006 г.): силовые полупроводниковые приборы (более 1000 типов) и преобразователи на основе карбида кремния для ВиВТ, атомной энергетики и ТЭК.</w:t>
      </w:r>
    </w:p>
    <w:p w14:paraId="3E659C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(1941-43 г.)- И.Л. Эристов.</w:t>
      </w:r>
    </w:p>
    <w:p w14:paraId="5B1EA0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Создано: выпрямительные агрегаты ВАР-16 (07.1945), ВАР-102 (1948); аппарат для испытаний кабеля АКИ-2 (1952); германиевые вентили на 50, 200, 500 А (1958), на 1000 А (1961); выпрямители: ВАКЭЛ для электролиза цветных металлов, зарядный ВАЗ, сварочный ВАС, ВУТГ-3000 для питания схем возбуждения турбогенераторов мощностью до 300 МВт, ВУТ-800 для питания тяговых электродвигателей моторного вагона Эр-9 (1960-66); ВАКС для энергетических установок ледоколов «Арктика» и «Сибирь» (1970-80); ТПЕД-З,15к-З,3к для тяговых подстанций железных дорог (1982); тяговые преобразователи: 1-го поколения ВУК-60-4Л для электровозов ВЛ- 60к, ВУК-4000Л для ВЛ-80к, ВУК-7000-У2 для тяговых агрегатов ОПЭ-1 (1966); П-го поколения (1980), ВИП- 4000 (1982); Ш-го поколения В-ОПГ1Д для ВЛ-бОк, ВЛ-80к, ОПЭ-1 (1980-е); серия силовых диодов и тиристоров таблеточной конструкции на токи 200-1250 А и напряжение до 4000 В (1979); преобразователи: ПТ-1000 для возбуждения гидрогенераторов ГЭС мощностью 120-160 МВт; ПАВК, ГИТ, ПТТР, Г1ТО для электроприводов (1980), ПРБУ, ТПП2, </w:t>
      </w:r>
      <w:r w:rsidRPr="00640820">
        <w:rPr>
          <w:rFonts w:ascii="Times New Roman" w:hAnsi="Times New Roman"/>
          <w:color w:val="000000" w:themeColor="text1"/>
          <w:sz w:val="16"/>
          <w:szCs w:val="16"/>
          <w:lang w:val="en-US"/>
        </w:rPr>
        <w:t>TI</w:t>
      </w:r>
      <w:r w:rsidRPr="00640820">
        <w:rPr>
          <w:rFonts w:ascii="Times New Roman" w:hAnsi="Times New Roman"/>
          <w:color w:val="000000" w:themeColor="text1"/>
          <w:sz w:val="16"/>
          <w:szCs w:val="16"/>
        </w:rPr>
        <w:t>1</w:t>
      </w:r>
      <w:r w:rsidRPr="00640820">
        <w:rPr>
          <w:rFonts w:ascii="Times New Roman" w:hAnsi="Times New Roman"/>
          <w:color w:val="000000" w:themeColor="text1"/>
          <w:sz w:val="16"/>
          <w:szCs w:val="16"/>
          <w:lang w:val="en-US"/>
        </w:rPr>
        <w:t>E</w:t>
      </w:r>
      <w:r w:rsidRPr="00640820">
        <w:rPr>
          <w:rFonts w:ascii="Times New Roman" w:hAnsi="Times New Roman"/>
          <w:color w:val="000000" w:themeColor="text1"/>
          <w:sz w:val="16"/>
          <w:szCs w:val="16"/>
        </w:rPr>
        <w:t>, ТДР; высоковольтные тиристоры на шайбе 76 мм (1988), на шайбе 100 мм (2000).</w:t>
      </w:r>
    </w:p>
    <w:p w14:paraId="4100AC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аппарат для испытаний трансформаторного масла АМИ (1949-); полупроводниковые вентили: на основе германия (1956-), на основе кремния ВК-100 (</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960-); аппараты ВАКГ-121600, ВАЗГ 39/54 (</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 xml:space="preserve">960-); агрегаты бесперебойного питания энергообъектов (1979-); силовые диоды, тиристоры, симисторы (1960-е-80-е); беспотенциальные силовые диодные, тиристорные и диодно-тиристорные модули (1992-); преобразователи ВИП- 4000М для электровозов ВЛ-85, ВИП-5600 для ВЛ-65, ЭП1 (1999-); </w:t>
      </w:r>
      <w:r w:rsidRPr="00640820">
        <w:rPr>
          <w:rFonts w:ascii="Times New Roman" w:hAnsi="Times New Roman"/>
          <w:color w:val="000000" w:themeColor="text1"/>
          <w:sz w:val="16"/>
          <w:szCs w:val="16"/>
          <w:lang w:val="en-US"/>
        </w:rPr>
        <w:t>IGBT</w:t>
      </w:r>
      <w:r w:rsidRPr="00640820">
        <w:rPr>
          <w:rFonts w:ascii="Times New Roman" w:hAnsi="Times New Roman"/>
          <w:color w:val="000000" w:themeColor="text1"/>
          <w:sz w:val="16"/>
          <w:szCs w:val="16"/>
        </w:rPr>
        <w:t>-модули (1999-); стабилизатор СНП-400 (11982).</w:t>
      </w:r>
    </w:p>
    <w:p w14:paraId="51EF9EC2" w14:textId="77777777" w:rsidR="001547E5" w:rsidRPr="00640820" w:rsidRDefault="001547E5" w:rsidP="00640820">
      <w:pPr>
        <w:autoSpaceDE w:val="0"/>
        <w:autoSpaceDN w:val="0"/>
        <w:adjustRightInd w:val="0"/>
        <w:spacing w:after="0" w:line="240" w:lineRule="auto"/>
        <w:jc w:val="both"/>
        <w:rPr>
          <w:rFonts w:ascii="Times New Roman" w:hAnsi="Times New Roman"/>
          <w:color w:val="000000" w:themeColor="text1"/>
          <w:sz w:val="16"/>
          <w:szCs w:val="16"/>
        </w:rPr>
      </w:pPr>
    </w:p>
    <w:p w14:paraId="70AA58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сентября 1941 вышло Постановление ГКО № 691 О вывозе угля из Донбасса. РГАНИР, Фонд ГКО, д. 9, лл. 169 (11012).</w:t>
      </w:r>
    </w:p>
    <w:p w14:paraId="522493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03ECBD0" w14:textId="77777777" w:rsidR="004423D2" w:rsidRPr="00640820" w:rsidRDefault="004423D2" w:rsidP="00640820">
      <w:pPr>
        <w:pStyle w:val="Bodytext1"/>
        <w:shd w:val="clear" w:color="auto" w:fill="auto"/>
        <w:spacing w:line="240" w:lineRule="auto"/>
        <w:ind w:firstLine="0"/>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19 сентября 1941 в тире школы связи ЛВО провели испытания заказанных ВВС Краснозна</w:t>
      </w:r>
      <w:r w:rsidRPr="00640820">
        <w:rPr>
          <w:rFonts w:ascii="Times New Roman" w:hAnsi="Times New Roman" w:cs="Times New Roman"/>
          <w:color w:val="000000" w:themeColor="text1"/>
          <w:sz w:val="16"/>
          <w:szCs w:val="16"/>
        </w:rPr>
        <w:softHyphen/>
        <w:t>менного Балтийского флота (КБФ) 5 сен</w:t>
      </w:r>
      <w:r w:rsidRPr="00640820">
        <w:rPr>
          <w:rFonts w:ascii="Times New Roman" w:hAnsi="Times New Roman" w:cs="Times New Roman"/>
          <w:color w:val="000000" w:themeColor="text1"/>
          <w:sz w:val="16"/>
          <w:szCs w:val="16"/>
        </w:rPr>
        <w:softHyphen/>
        <w:t>тября 1941 г. за №234/5 броненагрудников и шлемов: налобники и наушники - обстрелом из револьвера системы Нагана с дистанции 15 м по нормали, а шлем - из пистолета ТТ с дистанции 50 м по нормали. Нагрудники обстреливали винтовочными па</w:t>
      </w:r>
      <w:r w:rsidRPr="00640820">
        <w:rPr>
          <w:rFonts w:ascii="Times New Roman" w:hAnsi="Times New Roman" w:cs="Times New Roman"/>
          <w:color w:val="000000" w:themeColor="text1"/>
          <w:sz w:val="16"/>
          <w:szCs w:val="16"/>
        </w:rPr>
        <w:softHyphen/>
        <w:t>тронами с пулей обр. 1908 г. и из пистолета ТТ с дистанции 50 м по нормали, а также винто</w:t>
      </w:r>
      <w:r w:rsidRPr="00640820">
        <w:rPr>
          <w:rFonts w:ascii="Times New Roman" w:hAnsi="Times New Roman" w:cs="Times New Roman"/>
          <w:color w:val="000000" w:themeColor="text1"/>
          <w:sz w:val="16"/>
          <w:szCs w:val="16"/>
        </w:rPr>
        <w:softHyphen/>
        <w:t>вочными патронами с бронебойными пулями Б-30 с дистанции 50 м под углом 40-50° и с дистанции 125 м под углом 35° к нормали.</w:t>
      </w:r>
    </w:p>
    <w:p w14:paraId="641DE119" w14:textId="77777777" w:rsidR="004423D2" w:rsidRPr="00640820" w:rsidRDefault="004423D2" w:rsidP="00640820">
      <w:pPr>
        <w:pStyle w:val="Bodytext1"/>
        <w:shd w:val="clear" w:color="auto" w:fill="auto"/>
        <w:spacing w:line="240" w:lineRule="auto"/>
        <w:ind w:firstLine="0"/>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Результаты испытаний полностью под</w:t>
      </w:r>
      <w:r w:rsidRPr="00640820">
        <w:rPr>
          <w:rFonts w:ascii="Times New Roman" w:hAnsi="Times New Roman" w:cs="Times New Roman"/>
          <w:color w:val="000000" w:themeColor="text1"/>
          <w:sz w:val="16"/>
          <w:szCs w:val="16"/>
        </w:rPr>
        <w:softHyphen/>
        <w:t>твердили соответствие образцов предъявляв</w:t>
      </w:r>
      <w:r w:rsidRPr="00640820">
        <w:rPr>
          <w:rFonts w:ascii="Times New Roman" w:hAnsi="Times New Roman" w:cs="Times New Roman"/>
          <w:color w:val="000000" w:themeColor="text1"/>
          <w:sz w:val="16"/>
          <w:szCs w:val="16"/>
        </w:rPr>
        <w:softHyphen/>
        <w:t>шимся требованиям. По предложению комис</w:t>
      </w:r>
      <w:r w:rsidRPr="00640820">
        <w:rPr>
          <w:rFonts w:ascii="Times New Roman" w:hAnsi="Times New Roman" w:cs="Times New Roman"/>
          <w:color w:val="000000" w:themeColor="text1"/>
          <w:sz w:val="16"/>
          <w:szCs w:val="16"/>
        </w:rPr>
        <w:softHyphen/>
        <w:t>сии, следовало изготовить опытную партию по 10-15 стальных нагрудников и шлемов. При этом предлагалось снизить массу нагрудника за счет уменьшения толщины брони с 7 до 5 мм и ввести дополнительное крепление на спине для обеспечения плотного прилегания. Шлем принимался без изменений.</w:t>
      </w:r>
    </w:p>
    <w:p w14:paraId="6951638E" w14:textId="77777777" w:rsidR="004423D2" w:rsidRPr="00640820" w:rsidRDefault="004423D2" w:rsidP="00640820">
      <w:pPr>
        <w:pStyle w:val="Bodytext1"/>
        <w:shd w:val="clear" w:color="auto" w:fill="auto"/>
        <w:spacing w:line="240" w:lineRule="auto"/>
        <w:ind w:firstLine="0"/>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Тем не менее, учитывая мнение коман</w:t>
      </w:r>
      <w:r w:rsidRPr="00640820">
        <w:rPr>
          <w:rFonts w:ascii="Times New Roman" w:hAnsi="Times New Roman" w:cs="Times New Roman"/>
          <w:color w:val="000000" w:themeColor="text1"/>
          <w:sz w:val="16"/>
          <w:szCs w:val="16"/>
        </w:rPr>
        <w:softHyphen/>
        <w:t>дования ВВС Ленфронта, производство на</w:t>
      </w:r>
      <w:r w:rsidRPr="00640820">
        <w:rPr>
          <w:rFonts w:ascii="Times New Roman" w:hAnsi="Times New Roman" w:cs="Times New Roman"/>
          <w:color w:val="000000" w:themeColor="text1"/>
          <w:sz w:val="16"/>
          <w:szCs w:val="16"/>
        </w:rPr>
        <w:softHyphen/>
        <w:t>грудников и шлемов на заводе «Большевик» вновь прекратили. Вероятно, решение было принято с учетом разработки и установки ленинградской бригадой сотрудников НИИ- 48</w:t>
      </w:r>
      <w:r w:rsidRPr="00640820">
        <w:rPr>
          <w:rStyle w:val="BodytextItalic4"/>
          <w:rFonts w:ascii="Times New Roman" w:eastAsiaTheme="minorHAnsi" w:hAnsi="Times New Roman" w:cs="Times New Roman"/>
          <w:i w:val="0"/>
          <w:color w:val="000000" w:themeColor="text1"/>
          <w:sz w:val="16"/>
          <w:szCs w:val="16"/>
        </w:rPr>
        <w:t xml:space="preserve"> «на некотором количестве»</w:t>
      </w:r>
      <w:r w:rsidRPr="00640820">
        <w:rPr>
          <w:rFonts w:ascii="Times New Roman" w:hAnsi="Times New Roman" w:cs="Times New Roman"/>
          <w:color w:val="000000" w:themeColor="text1"/>
          <w:sz w:val="16"/>
          <w:szCs w:val="16"/>
        </w:rPr>
        <w:t xml:space="preserve"> пикирующих бомбардировщиков бронированной защиты стрелка-радиста (17746).</w:t>
      </w:r>
    </w:p>
    <w:p w14:paraId="726538DE" w14:textId="77777777" w:rsidR="004423D2" w:rsidRPr="00640820" w:rsidRDefault="004423D2" w:rsidP="00640820">
      <w:pPr>
        <w:spacing w:after="0" w:line="240" w:lineRule="auto"/>
        <w:jc w:val="both"/>
        <w:rPr>
          <w:rFonts w:ascii="Times New Roman" w:eastAsia="Times New Roman" w:hAnsi="Times New Roman"/>
          <w:color w:val="000000" w:themeColor="text1"/>
          <w:sz w:val="16"/>
          <w:szCs w:val="16"/>
          <w:lang w:eastAsia="ru-RU"/>
        </w:rPr>
      </w:pPr>
    </w:p>
    <w:p w14:paraId="304387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сен</w:t>
      </w:r>
      <w:r w:rsidRPr="00640820">
        <w:rPr>
          <w:rFonts w:ascii="Times New Roman" w:hAnsi="Times New Roman"/>
          <w:color w:val="000000" w:themeColor="text1"/>
          <w:sz w:val="16"/>
          <w:szCs w:val="16"/>
        </w:rPr>
        <w:softHyphen/>
        <w:t>тября 1941 г., учитывая небольшой военный опыт, ВМФ выдал новое ОТЗ на торпедный катер дальнего дейст</w:t>
      </w:r>
      <w:r w:rsidRPr="00640820">
        <w:rPr>
          <w:rFonts w:ascii="Times New Roman" w:hAnsi="Times New Roman"/>
          <w:color w:val="000000" w:themeColor="text1"/>
          <w:sz w:val="16"/>
          <w:szCs w:val="16"/>
        </w:rPr>
        <w:softHyphen/>
        <w:t>вия, в соответствии с которым дальность плавания требовалось до</w:t>
      </w:r>
      <w:r w:rsidRPr="00640820">
        <w:rPr>
          <w:rFonts w:ascii="Times New Roman" w:hAnsi="Times New Roman"/>
          <w:color w:val="000000" w:themeColor="text1"/>
          <w:sz w:val="16"/>
          <w:szCs w:val="16"/>
        </w:rPr>
        <w:softHyphen/>
        <w:t>вести до 1000 миль, т. е. в 2—3 раза больше, чем у Д-3. За разработку проекта, который получил номер 163, взялось ОКБ НКВД при зеленодольском заводе 340, где проектированием руководил находившийся в то время в заключении П. Г. Гойнкис (3898).</w:t>
      </w:r>
    </w:p>
    <w:p w14:paraId="29A94E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F29656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сентября 1941 г. руководство ВМФ выдало техническое задание на торпедный катер дальнего действня. Им занялось ОКБ НКВД завода № 340. Проект получил № 163. Занималась им группа конструкторов под водством П.Г. Гойнкиса (10675).</w:t>
      </w:r>
    </w:p>
    <w:p w14:paraId="5223CB5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3D189B"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3CE5D524"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82E8FF5"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СЕНТЯБРЯ 1941 УТРЕННЕЕ СООБЩЕНИЕ Совинформбюро:</w:t>
      </w:r>
    </w:p>
    <w:p w14:paraId="0D558798"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течение ночи на 19 сентября наши войска вели бои с противником в районе Сталинграда и в районе Моздок. На других фронтах существенных изменений не произошло. </w:t>
      </w:r>
    </w:p>
    <w:p w14:paraId="253F80AD"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северо-западной окраине Сталинграда продолжались ожесточённые бои. Н-ская часть отбила несколько атак противника и уничтожила 4 немецких танка, 3 противотанковых орудия и истребила свыше 200 гитлеровцев. Немцы неоднократно пытались захватить наши позиции, прикрывающие подступы к одному важному объекту. Защитники Сталинграда гранатами уничтожили 6 танков, а затем в рукопашной схватке истребили 170 немецких солдат и офицеров. Противник был вынужден отступить. </w:t>
      </w:r>
    </w:p>
    <w:p w14:paraId="10383801"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районе Моздока бойцы Н-ской части Красной Армии в ожесточённом бою уничтожили 7 немецких танков, 6 орудий, 13 автомашин с войсками и боеприпасами и истребили до 300 солдат и офицеров противника. Захвачено у немцев 2 миномёта, орудие, 8 пулемётов и 3 автомашины со снарядами. Взяты пленные. На другом участке наши артиллеристы произвели огневой налёт на скопление противника и уничтожили 20 автомашин и до двух рот гитлеровцев. </w:t>
      </w:r>
    </w:p>
    <w:p w14:paraId="57C938F5"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Советские лётчики в воздушных боях сбили 12 немецких самолётов. </w:t>
      </w:r>
    </w:p>
    <w:p w14:paraId="5D9AEA7D"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одном из участков Северо-Западного фронта наши подразделения под командованием тов. Корчица вели активные боевые действия и несколько потеснили противника. На окраине одного населённого пункта завязался бой, в ходе которого немцы потеряли убитыми и ранеными несколько сот солдат и офицеров. </w:t>
      </w:r>
    </w:p>
    <w:p w14:paraId="1B22B54C"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Группа наших сапёров во главе с т. Галли совершила рейд в тыл неприятеля. Сапёры взорвали железнодорожный мост на магистрали, по которой немцы перебрасывали подкрепления. Движение по железной дороге было прекращено на несколько дней. </w:t>
      </w:r>
    </w:p>
    <w:p w14:paraId="1D91F011"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Лётчики Краснознамённого Балтийского флота произвели ночной налёт на вражеский порт. Преодолев мощный зенитный огонь, наши лётчики сбросили бомбы по заданным целям. В порту возникло пять очагов пожаров и произошло шесть сильных взрывов. </w:t>
      </w:r>
    </w:p>
    <w:p w14:paraId="02B36C49"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Пленный ефрейтор 1 роты 704 полка 281 охранной дивизии Иосиф Марковец рассказал: «Бургомистр одного села прислал коменданту лейтенанту Янсену полицейского с донесением. Бургомистр сообщил, что партизаны готовят на него нападение, и просил защиты. Янсен направил в деревню 10 солдат с фельдфебелем Эрнстом Митигом. Я тоже попал в эту группу. Партизаны, очевидно, следили за нами. По дороге они напали на нас. Из всей группы уцелели только я и ещё один солдат, с которым мы вместе сдались в плен». </w:t>
      </w:r>
    </w:p>
    <w:p w14:paraId="384DD129"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Ниже публикуются выдержки из записной книжки, найденной у убитого венгерского ефрейтора Дюла Янко: «Прошли три деревни и сожгли их дотла. В них не осталось ни одного целого дома. Потом четыре дня отдыхали. Пришли ещё в одну деревню, ждали приказа о дальнейших действиях. После обеда получили приказ — все дома сжечь. Лейтенант спросил, кто возьмётся выполнить этот приказ. Вызвались я и мой друг — ефрейтор Папаи. Мы принялись за дело. Поджигали дом за домом... Одной старухе я отрубил голову топором, другую женщину пристрелил из винтовки». </w:t>
      </w:r>
    </w:p>
    <w:p w14:paraId="1C5DE4EC"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деревне Николаевка, Воронежской области, немецко-фашистские мерзавцы захватили в доме крестьянина Никифорова тяжело раненного красноармейца Озерова Ивана Николаевича. Гитлеровские бандиты живым зарыли в землю раненого бойца. За то, что крестьянин приютил у себя в доме раненого красноармейца, фашисты расстреляли Никифорова, его жену и трёх их детей. </w:t>
      </w:r>
    </w:p>
    <w:p w14:paraId="5923DFBD"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Тронхейме (Норвегия) в результате обвала железнодорожной насыпи, подорванной в нескольких местах минами, разрушен железнодорожный путь. Движение поездов приостановлено. За последнее время норвежские патриоты в районе Тронхейма произвели также несколько диверсий на промышленных предприятиях, захваченных немцами (14774).</w:t>
      </w:r>
    </w:p>
    <w:p w14:paraId="504B43BB" w14:textId="77777777" w:rsidR="001547E5" w:rsidRPr="00640820" w:rsidRDefault="001547E5" w:rsidP="00640820">
      <w:pPr>
        <w:spacing w:after="0" w:line="240" w:lineRule="auto"/>
        <w:jc w:val="both"/>
        <w:rPr>
          <w:rFonts w:ascii="Times New Roman" w:hAnsi="Times New Roman"/>
          <w:color w:val="000000" w:themeColor="text1"/>
          <w:sz w:val="16"/>
          <w:szCs w:val="16"/>
        </w:rPr>
      </w:pPr>
    </w:p>
    <w:p w14:paraId="72723040"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СЕНТЯБРЯ 1941 ВЕЧЕРНЕЕ СООБЩЕНИЕ Совинформбюро:</w:t>
      </w:r>
    </w:p>
    <w:p w14:paraId="21B206DB"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течение 19 сентября наши войска вели ожесточённые бои с противником в районе Сталинграда и в районе Моздок. </w:t>
      </w:r>
    </w:p>
    <w:p w14:paraId="45BDBFEC"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боях в районе Моздока убит командующий немецкой первой танковой армией генерал-полковник фон Клейст. </w:t>
      </w:r>
    </w:p>
    <w:p w14:paraId="1B789BB3"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других фронтах существенных изменений не произошло. </w:t>
      </w:r>
    </w:p>
    <w:p w14:paraId="7CF9E922"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 18 сентября частями нашей авиации на различных участках фронта уничтожено или повреждено 12 немецких танков и бронемашин, 70 автомашин с войсками и грузами, подавлен огонь 10 батарей полевой и зенитной артиллерии, рассеяно и частью уничтожено до батальона пехоты противника. </w:t>
      </w:r>
    </w:p>
    <w:p w14:paraId="1A71A5A8"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В районе Сталинграда продолжались ожесточённые бои. Наши части предприняли ряд контратак, в результате которых очистили от гитлеровцев несколько улиц. На одном участке окружена и полностью истреблена рота немецких автоматчиков. Противник пытался оказать помощь окружённой роте и бросил в бой 20 танков. Наши бойцы огнём из противотанковых ружей, гранатами и бутылками с зажигательной смесью подбили и сожгли 8 немецких танков. </w:t>
      </w:r>
    </w:p>
    <w:p w14:paraId="14ECCB84"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районе Моздока отбит ряд контратак противника. Наши бойцы захватили 3 немецких танка и сразу же использовали их в борьбе против гитлеровцев. Восточнее Моздока Н-ская часть уничтожила до двух рот немецкой пехоты. Артиллеристы этой же части совместно с бронебойщиками сожгли и подбили 5 танков противника. </w:t>
      </w:r>
    </w:p>
    <w:p w14:paraId="5B48443E"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одном из участков в районе Воронежа два полка пехоты противника при поддержке танков в течение дня восемь раз атаковали наши позиции. Бойцы Н-ской части отбили все атаки гитлеровцев. Уничтожено до двух батальонов пехоты и 10 танков противника. </w:t>
      </w:r>
    </w:p>
    <w:p w14:paraId="7E6EEEB0"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Ленинградском фронте действиями наших разведывательных групп, снайперов и артиллерийским огнём за три дня уничтожено до 400 солдат и офицеров противника. Лётчики и зенитчики Ленинградского фронта, отражая налёты вражеской авиации, сбили 10 и подбили 8 немецких самолётов. </w:t>
      </w:r>
    </w:p>
    <w:p w14:paraId="00C7D2EC"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Снайперы одного из подразделений, где командиром тов. Трухан, за 20 дней уничтожили 318 гитлеровцев. Снайпер т. Фролов истребил 43 гитлеровца, т. Коновалов — 38, т. Васильев — 36 немцев. </w:t>
      </w:r>
    </w:p>
    <w:p w14:paraId="0CF35A50"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начале сентября группа партизан организовала на железнодорожном участке Псков—Луга крушение немецкого эшелона, следовавшего к фронту. Разбито 12 платформ с танками и 16 вагонов. На другом участке этой дороги партизаны пустили под откос воинский эшелон. В результате крушения насчитывается много убитых и раненых немецких оккупантов. </w:t>
      </w:r>
    </w:p>
    <w:p w14:paraId="6EDC79D7"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Добровольно перешедший на сторону Красной Армии немецкий унтер-офицер Август Д. рассказал: «Когда-то Геринг говорил, что ни один самолёт противника никогда не достигнет Германии. Геринг уверял, что на Германию не будет сброшено ни одной бомбы. Простаки и глупцы верили ему. Однако всё это оказалось бахвальством, обманом. Сейчас Германия больше, чем какая-либо другая страна в мире, подвергается налётам авиации. В связи с этим растёт недовольство войной и гитлеровским режимом. Я разговаривал с беженцами из Бремена, Кельна, Кенигсберга и других городов. Они сообщили, что целые кварталы этих городов превращены в развалины. На уцелевших стенах разрушенных предприятий и домов часто появляются надписи: «Благодарите фюрера. Это он сделал». </w:t>
      </w:r>
    </w:p>
    <w:p w14:paraId="1B3B1D17"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Ниже публикуется акт о злодеяниях немецко-румынских оккупантов, совершённых ими в деревне Кызбурун, Кабардино-Балкарской АССР. </w:t>
      </w:r>
    </w:p>
    <w:p w14:paraId="45D7AD7C"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«Мы, нижеподписавшиеся, составили настоящий акт о нижеследующем: на другой день после того, как Красная Армия изгнала немецко-румынских захватчиков из села Кызбурун, Кабардино-Балкарской АССР, мы обошли селение, заходили во все дома, беседовали с крестьянами. Смерть и запустение принесли гитлеровцы горцам. За короткий срок немецко-румынские мерзавцы опустошили и разрушили некогда цветущее кабардинское селение Кызбурун. Немцы и румыны угнали скот горцев, разграбили их имущество. Бандиты забирали всё: одежду, обувь, ковры, подушки, одеяла, посуду. Во всём селении нет ни одного не разграбленного дома. Всё, что гитлеровские бандиты не могли унести с собой, они уничтожили и сожгли. Грабежи сопровождались убийствами мирных граждан, насилием над женщинами и девушками. Гитлеровцы обстреляли из автоматов дом жены красноармейца Гисымоловой и тяжело ранили Гисымолову, а её десятилетнего сына убили. Немецко-румынские людоеды замучили и расстреляли больше 50 мирных жителей деревни. Среди жертв гитлеровских убийц — старик Сату Куршев, 12-летний Зарамук Саблиров и другие. Жену красноармейца Мухяжиру А. изнасиловали два немецких ефрейтора. Группа пьяных солдат ворвалась в дом колхозницы Б. и изнасиловала её. Отступая под ударами Красной Армии, гитлеровцы угнали с собой 11 семей колхозников и много девушек и женщин, не успевших скрыться в горах. </w:t>
      </w:r>
    </w:p>
    <w:p w14:paraId="7E273560"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Такова горькая правда о кошмарных преступлениях немецко-румынских оккупантов в кавказско-мусульманском селении Кызбурун». </w:t>
      </w:r>
    </w:p>
    <w:p w14:paraId="4137A115"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Акт подписали: колхозники Муса Албагачиев, Хусейн Муцульгов, Осман Ажигов, Виса Харачеев, Кеха Кокяев, депутат Верховного Совета Чечено-Ингушской АССР Халид Мурадов, ингушский писатель Идрис Базоркин и другие. Всего 28 человек (14774).</w:t>
      </w:r>
    </w:p>
    <w:p w14:paraId="0E2B6A30" w14:textId="77777777" w:rsidR="001547E5" w:rsidRPr="00640820" w:rsidRDefault="001547E5" w:rsidP="00640820">
      <w:pPr>
        <w:spacing w:after="0" w:line="240" w:lineRule="auto"/>
        <w:jc w:val="both"/>
        <w:rPr>
          <w:rFonts w:ascii="Times New Roman" w:hAnsi="Times New Roman"/>
          <w:color w:val="000000" w:themeColor="text1"/>
          <w:sz w:val="16"/>
          <w:szCs w:val="16"/>
        </w:rPr>
      </w:pPr>
    </w:p>
    <w:p w14:paraId="329578D2"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19 сентября </w:t>
      </w:r>
      <w:r w:rsidRPr="00640820">
        <w:rPr>
          <w:rFonts w:ascii="Times New Roman" w:hAnsi="Times New Roman"/>
          <w:color w:val="000000" w:themeColor="text1"/>
          <w:sz w:val="16"/>
          <w:szCs w:val="16"/>
        </w:rPr>
        <w:t>в 1941 году совершен один из самых крупных налетов вражеской авиации на Ленинград: в нем участвовало 276 самолетов, в течение дня город подвергся 6 бомбёжкам. За период Ленинградской битвы на город сброшено свыше 100 тысяч зажигательных и около 5 тысяч фугасных бомб (14774).</w:t>
      </w:r>
    </w:p>
    <w:p w14:paraId="2B48F1C6" w14:textId="77777777" w:rsidR="001547E5" w:rsidRPr="00640820" w:rsidRDefault="001547E5" w:rsidP="00640820">
      <w:pPr>
        <w:spacing w:after="0" w:line="240" w:lineRule="auto"/>
        <w:jc w:val="both"/>
        <w:rPr>
          <w:rFonts w:ascii="Times New Roman" w:hAnsi="Times New Roman"/>
          <w:color w:val="000000" w:themeColor="text1"/>
          <w:sz w:val="16"/>
          <w:szCs w:val="16"/>
        </w:rPr>
      </w:pPr>
    </w:p>
    <w:p w14:paraId="286FF878"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19 сентября </w:t>
      </w:r>
      <w:r w:rsidRPr="00640820">
        <w:rPr>
          <w:rFonts w:ascii="Times New Roman" w:hAnsi="Times New Roman"/>
          <w:color w:val="000000" w:themeColor="text1"/>
          <w:sz w:val="16"/>
          <w:szCs w:val="16"/>
        </w:rPr>
        <w:t>в 1941 году советские войска оставили город Киев (14774).</w:t>
      </w:r>
    </w:p>
    <w:p w14:paraId="6A9BEEA1" w14:textId="77777777" w:rsidR="001547E5" w:rsidRPr="00640820" w:rsidRDefault="001547E5" w:rsidP="00640820">
      <w:pPr>
        <w:spacing w:after="0" w:line="240" w:lineRule="auto"/>
        <w:jc w:val="both"/>
        <w:rPr>
          <w:rFonts w:ascii="Times New Roman" w:hAnsi="Times New Roman"/>
          <w:color w:val="000000" w:themeColor="text1"/>
          <w:sz w:val="16"/>
          <w:szCs w:val="16"/>
        </w:rPr>
      </w:pPr>
    </w:p>
    <w:p w14:paraId="7B1E8AEC"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19 сентября </w:t>
      </w:r>
      <w:r w:rsidRPr="00640820">
        <w:rPr>
          <w:rFonts w:ascii="Times New Roman" w:hAnsi="Times New Roman"/>
          <w:color w:val="000000" w:themeColor="text1"/>
          <w:sz w:val="16"/>
          <w:szCs w:val="16"/>
        </w:rPr>
        <w:t>в 1941 году (19-25 сентября) при отступлении из Киева советские войска уничтожили станцию Киев-Товарный, Киевский паровозостроительный завод, главные железнодорожные мастерские, фабрики имени Розы Люксембург и имени Горького (14774).</w:t>
      </w:r>
    </w:p>
    <w:p w14:paraId="5DC48A46" w14:textId="77777777" w:rsidR="001547E5" w:rsidRPr="00640820" w:rsidRDefault="001547E5" w:rsidP="00640820">
      <w:pPr>
        <w:spacing w:after="0" w:line="240" w:lineRule="auto"/>
        <w:jc w:val="both"/>
        <w:rPr>
          <w:rFonts w:ascii="Times New Roman" w:hAnsi="Times New Roman"/>
          <w:color w:val="000000" w:themeColor="text1"/>
          <w:sz w:val="16"/>
          <w:szCs w:val="16"/>
        </w:rPr>
      </w:pPr>
    </w:p>
    <w:p w14:paraId="57F99A16"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19 сентября </w:t>
      </w:r>
      <w:r w:rsidRPr="00640820">
        <w:rPr>
          <w:rFonts w:ascii="Times New Roman" w:hAnsi="Times New Roman"/>
          <w:color w:val="000000" w:themeColor="text1"/>
          <w:sz w:val="16"/>
          <w:szCs w:val="16"/>
        </w:rPr>
        <w:t>в 1941 году корабли Черноморского флота доставили в Одессу из Новороссийска 157-ю стрелковую дивизию и части усиления (14774).</w:t>
      </w:r>
    </w:p>
    <w:p w14:paraId="1D992519" w14:textId="77777777" w:rsidR="001547E5" w:rsidRPr="00640820" w:rsidRDefault="001547E5" w:rsidP="00640820">
      <w:pPr>
        <w:spacing w:after="0" w:line="240" w:lineRule="auto"/>
        <w:jc w:val="both"/>
        <w:rPr>
          <w:rFonts w:ascii="Times New Roman" w:hAnsi="Times New Roman"/>
          <w:color w:val="000000" w:themeColor="text1"/>
          <w:sz w:val="16"/>
          <w:szCs w:val="16"/>
        </w:rPr>
      </w:pPr>
    </w:p>
    <w:p w14:paraId="1730E12A"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сентября 1941 г. части вермахта вошли в Киев и по заранее намеченному плану стали занимать пустые здания Крещатика. Пустые — потому что здесь было больше учреждений и магазинов, чем квартир. Так, комендатура облюбовала себе дом. Немецкий штаб занял гостиницу “Континенталь”, Дом врача превратился в Дом немецких офицеров (15117).</w:t>
      </w:r>
    </w:p>
    <w:p w14:paraId="493ABAC2" w14:textId="77777777" w:rsidR="001547E5" w:rsidRPr="00640820" w:rsidRDefault="001547E5" w:rsidP="00640820">
      <w:pPr>
        <w:spacing w:after="0" w:line="240" w:lineRule="auto"/>
        <w:jc w:val="both"/>
        <w:rPr>
          <w:rFonts w:ascii="Times New Roman" w:hAnsi="Times New Roman"/>
          <w:color w:val="000000" w:themeColor="text1"/>
          <w:sz w:val="16"/>
          <w:szCs w:val="16"/>
        </w:rPr>
      </w:pPr>
    </w:p>
    <w:p w14:paraId="6D1B8EA6"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19 сентября </w:t>
      </w:r>
      <w:r w:rsidRPr="00640820">
        <w:rPr>
          <w:rFonts w:ascii="Times New Roman" w:hAnsi="Times New Roman"/>
          <w:color w:val="000000" w:themeColor="text1"/>
          <w:sz w:val="16"/>
          <w:szCs w:val="16"/>
        </w:rPr>
        <w:t>в 1941 году гитлеровские войска занимают столицу Украины Киев. Длившаяся более двух месяцев оборона города из-за приказа Сталина удерживать город любой ценой и вследствие этого запоздавшего решения об отводе войск Юго-Западного фронта завершилась окружением оборонявших город войск. Десятки тысяч воинов погибли в боях (в том числе и командующий фронтом генерал-полковник М.П.Кирпонос), свыше двухсот тысяч попали в плен. Вошедшие в город гитлеровцы в первые же дни уничтожили свыше тридцати тысяч оставшихся в городе евреев и раненых в Бабьем Яру, который стал местом массовых казней в последующие два года (14774).</w:t>
      </w:r>
    </w:p>
    <w:p w14:paraId="553C5EE7" w14:textId="77777777" w:rsidR="001547E5" w:rsidRPr="00640820" w:rsidRDefault="001547E5" w:rsidP="00640820">
      <w:pPr>
        <w:spacing w:after="0" w:line="240" w:lineRule="auto"/>
        <w:jc w:val="both"/>
        <w:rPr>
          <w:rFonts w:ascii="Times New Roman" w:hAnsi="Times New Roman"/>
          <w:color w:val="000000" w:themeColor="text1"/>
          <w:sz w:val="16"/>
          <w:szCs w:val="16"/>
        </w:rPr>
      </w:pPr>
    </w:p>
    <w:p w14:paraId="0811B3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сентября 1941 согласно сообщению Совинформбюро в ходе отражения атаки на Ленинград самолеты и ЗА сбили 17 самолетов (438,820).</w:t>
      </w:r>
    </w:p>
    <w:p w14:paraId="2A2547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3306C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сентября 1941 под Ленинградом мл-л В.Бондаренко направил свой подбитый истребитель на зенитную батарею (455,162).</w:t>
      </w:r>
    </w:p>
    <w:p w14:paraId="23B65B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5E4CF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сентября 1941 в 10.00 унтер-офицер Ренкопф сбил два ДБ-3Ф в 20 км восточнее Констанцы. На поиски их экипажей был послан МБР-2, но в 15.55 в 75 км восточнее Констанцы его сбил унтер-офицер Лухр (2694).</w:t>
      </w:r>
    </w:p>
    <w:p w14:paraId="5605CA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72E3D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сентября 1941 судя по записям в записной книжке К.Риделя во время наступления на Вязьминском направлении немцы захватили три "Катюши" на автомобилях, а еще две достались в Орле (1334,111).</w:t>
      </w:r>
    </w:p>
    <w:p w14:paraId="03F239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EA2C8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lang w:val="en-US"/>
        </w:rPr>
        <w:t xml:space="preserve">19 September 1941 Germans capture Kiev in Russia (270). 650,000 Russian soldiers are captured, the largest number ever, in any war. </w:t>
      </w:r>
      <w:r w:rsidRPr="00640820">
        <w:rPr>
          <w:rFonts w:ascii="Times New Roman" w:hAnsi="Times New Roman"/>
          <w:color w:val="000000" w:themeColor="text1"/>
          <w:sz w:val="16"/>
          <w:szCs w:val="16"/>
        </w:rPr>
        <w:t>(1052).</w:t>
      </w:r>
    </w:p>
    <w:p w14:paraId="45EEC7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45DAB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сентября 1941 немцы захватили Киев (270). В плен попало 650 тыс. чел. (1052), а также Полтаву (2260).</w:t>
      </w:r>
    </w:p>
    <w:p w14:paraId="488366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40A94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September 19, 1941: German troops of Heeresgruppe Mitte capture Kiev (3819).</w:t>
      </w:r>
    </w:p>
    <w:p w14:paraId="54DF3D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134FAB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сентября 1941 части Группы Центр захватили Киев (3819).</w:t>
      </w:r>
    </w:p>
    <w:p w14:paraId="726A06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89B66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сентября 1941 г. монитор "Ударный" погиб в бою с самолетами против</w:t>
      </w:r>
      <w:r w:rsidRPr="00640820">
        <w:rPr>
          <w:rFonts w:ascii="Times New Roman" w:hAnsi="Times New Roman"/>
          <w:color w:val="000000" w:themeColor="text1"/>
          <w:sz w:val="16"/>
          <w:szCs w:val="16"/>
        </w:rPr>
        <w:softHyphen/>
        <w:t>ника у Тендры (3898).</w:t>
      </w:r>
    </w:p>
    <w:p w14:paraId="2CC31A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3DC15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19 сентября 1941 начались массированные воздушные налеты противника на Кронштадт и корабли, стоявшие в Морском ка­нале. 21 сентября, воспользовавшись пас­мурной погодой, 1 80 германских самолетов атаковали корабли, стоявшие в Кронштадте. Многие из них получили тяжелые повреж­дения, некоторые затонули. Лидер «Ленинг­рад» также был поврежден. После этого с целью сохранения кораблей и усиления обо­роны Ленинграда основные силы флота были переведены из Кронштадта в Ленинград. Ли­дер пополнил Западную группу кораблей, размещенных в Торговом порту для под­держки артиллерийским огнем частей 8-й и 42-й армий. Налеты авиации и артиллерий­ские обстрелы города не прекращались — командование германской группы армий «Север» решило уничтожить корабли КБФ в Кронштадте и Ленинграде. 22 сентября «Ленинград» (на позиции в Лесной гавани Торгового порта) во время контрбатарейной стрельбы получил повреж­дения корпуса, механизмов и некоторых приборов от взрыва одного из снарядов про­тивника вблизи борта корабля. Лидер пере­вели к Канонерскому острову, и 1 2 октября во время ведения артиллерийского огня при поддержке высадки тактического десанта германский 203-мм снаряд пробил корпус лидера, при этом через пробоину затопило две цистерны —топливную и питьевой воды. От осколков другого снаряда, разорвавше­гося у борта, на палубе лидера загорелся пороховой заряд, приготовленный для стрельбы главным калибром. Пожар и взрыв заряда грозили гибелью корабля. Смертель­но раненый осколками, командир орудия старшина 2-й статьи В.С.Кузнецов дотянул­ся до горящего заряда и пополз с ним к бор­ту, чтобы сбросить в воду, но силы остави­ли моряка и заряд взорвался у него в руках. </w:t>
      </w:r>
      <w:r w:rsidRPr="00640820">
        <w:rPr>
          <w:rFonts w:ascii="Times New Roman" w:hAnsi="Times New Roman"/>
          <w:color w:val="000000" w:themeColor="text1"/>
          <w:sz w:val="16"/>
          <w:szCs w:val="16"/>
        </w:rPr>
        <w:lastRenderedPageBreak/>
        <w:t>Пожар удалось ликвидировать силами эки­пажа. Приказом командующего флотом, имя героя было навечно занесено в список экипажа лидера «Ленинград». Из-за повреждений от попадания снаря­да, пробившего оба борта, 14 октября ли­дер «Ленинград» поставили на ремонт у стенки завода № 196 (11866).</w:t>
      </w:r>
    </w:p>
    <w:p w14:paraId="3D39BA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AC6530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сентября 1941 года в донесение командира танковой группы 40-й армии Юго-Западного фронта:</w:t>
      </w:r>
    </w:p>
    <w:p w14:paraId="556BD6F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«Штаб 293-й стрелковой дивизии, не имея данных о противнике, неправильно использовал как танки, так и другие подчиненные ему войска и не пытался добыть точные сведения о противнике, надеясь на танки, в результате чего [направил] один танк Т-34 против 24 средних и малых немецких танков и на систему противотанковой обороны в направлении совхоза Бурыньский. Танк был уничтожен прямым попаданием нескольких снарядов в моторную группу танка. Левее 1 км находился второй танк [который] имел тяжелое повреждение. Судьба его мне неизвестна.</w:t>
      </w:r>
    </w:p>
    <w:p w14:paraId="2523583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Ущерб, нанесенный противник) в результате боев.</w:t>
      </w:r>
    </w:p>
    <w:p w14:paraId="57FCFC1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Уничтожено: минометов - 9, противотанковых орудий — 4, танков - - бронемашин - 2, пехоты - до роты.</w:t>
      </w:r>
    </w:p>
    <w:p w14:paraId="1F5F053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потери: танков КВ - 1. танков Т-34 - 1.</w:t>
      </w:r>
    </w:p>
    <w:p w14:paraId="1B57340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Неизвестно где находятся: 1 КВ и 1 Т-34» (12217).</w:t>
      </w:r>
    </w:p>
    <w:p w14:paraId="7B736A05"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15B74997"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338EDE6D"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AF7DA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сентября 1941 года было получено:</w:t>
      </w:r>
    </w:p>
    <w:p w14:paraId="619012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ЛИЧНОЕ ПОСЛАНИЕ ОТ г-на ЧЕРЧИЛЛЯ г-ну СТАЛИНУ</w:t>
      </w:r>
    </w:p>
    <w:p w14:paraId="6F1630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Очень благодарен за Ваше послание. Миссия Гарримана прибыла в полном составе и занята работой с утра до вечера с лордом Бивербруком и его сотрудниками. Целью является изучение всего вопроса о ресурсах с тем, чтобы можно было выработать сообща с Вами конкретную программу месячных поставок по всем имеющимся маршрутам и тем самым оказать Вам по возможности помощь в возмещении ущерба, причиненного Вашей военной промышленности. По идее Президента Рузвельта этот первый план должен охватить период до конца июня, но мы, естественно, будем продолжать оказывать Вам помощь до достижения победы. Я надеюсь, что совещание может открыться в Москве 25-го сего месяца, но это не должно предаваться гласности до тех пор, пока все участники не прибудут благополучно к месту назначения. О маршрутах и средствах передвижения будет сообщено позже.</w:t>
      </w:r>
    </w:p>
    <w:p w14:paraId="413E25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Я придаю большое значение вопросу об открытии сквозного пути от Персидского залива до Каспия не только по железной дороге, но и по автомобильной магистрали, к постройке которой мы надеемся привлечь американцев с их энергией и организационными способностями. Лорд Бивербрук сможет объяснить весь план снабжения и перевозок: он находится в самых дружественных отношениях с г-ном Гарриманом.</w:t>
      </w:r>
    </w:p>
    <w:p w14:paraId="08255A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Все возможные театры войны, на которых мы бы могли осуществить военное сотрудничество с Вами, были подвергнуты рассмотрению со стороны штабов. Наиболее благоприятные возможности представляются, несомненно, на обоих флангах — на северном и южном. Если бы мы могли действовать с успехом в Норвегии, то это оказало бы сильное влияние на позицию Швеции, но в настоящее время мы не располагаем ни военными силами, ни судовым тоннажем для осуществления этого проекта. Что касается Юга, то значение Турции чрезвычайно велико: если можно заручиться помощью Турции, то в нашем распоряжении окажется добавочная мощная армия. Турция хотела бы присоединиться к нам, но боится, и не без основания. Возможно, что, обещая ей помощь значительными британскими вооруженными силами и поставку технических средств, в которых Турция испытывает недостаток, можно оказать на нее решающее влияние. Мы изучим с Вами любую другую форму действенной поддержки, ибо единственная цель заключается в том, чтобы привести в действие против общего врага максимальные силы.</w:t>
      </w:r>
    </w:p>
    <w:p w14:paraId="1C0A3B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Я вполне согласен, что возмещение ущерба русскому флоту должно последовать в первую очередь за счет Германии. Победа, несомненно, предоставит в наше распоряжение крупные германские и итальянские военные суда, и, по нашему мнению, таковые явились бы наиболее подходящими для возмещения потерь русского флота (7430).</w:t>
      </w:r>
    </w:p>
    <w:p w14:paraId="4FA995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7C785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сентября 1941 У.Черчиль писал И.В.С.: "Я придаю большое значение вопросу об открытии сквозного пути от Персидского залива до Каспия не только по ж/д, но и по автомобильной магистрали, к постройке которой мы надеемся привлечь американцев с их энергией и организаторскими способностями." (3427).</w:t>
      </w:r>
    </w:p>
    <w:p w14:paraId="7C5312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A0805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сентября 1941 года Черчилль писал Сталину: "Я придаю большое значение вопросу об открытии сквозного пути от Персидского залива до Каспия не только по железной дороге, но и по автомобильной магистрали, к постройке которой мы надеемся привлечь американцев с их энергией и организационными способностями". Однако, широкомасштабные военные действия в районе Персидского залива начались задолго до этого послания. Операцию по захвату иракского порта Басра британские "коммандос" провели еще в апреле 41-го. И первый ленд-лизовский американский завод заработал там до нападения Германии на СССР! (11593).</w:t>
      </w:r>
    </w:p>
    <w:p w14:paraId="40B595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135B6BB"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54AFEC3D"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C06C4D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сентября 1941 г. судя по записям в записной книжке К. Риделя (Клауса Риделя, на которого в Армейском ракетном центре в Пенемюнде возложили обязанность организовать боевое применение ракеты А-4 — первой в мире немецкой баллистической ракеты дальнего действия на жидком топливе (Личный архив X. Треспа. Копия в архиве Т.Н. Желниной. Л. 10.)), во время наступ</w:t>
      </w:r>
      <w:r w:rsidRPr="00640820">
        <w:rPr>
          <w:rFonts w:ascii="Times New Roman" w:hAnsi="Times New Roman"/>
          <w:color w:val="000000" w:themeColor="text1"/>
          <w:sz w:val="16"/>
          <w:szCs w:val="16"/>
        </w:rPr>
        <w:softHyphen/>
        <w:t>ления немецких войск на Вязьминском направлении в качестве военных трофеев были захвачены три автомобильные ракетные пусковые установки; еще две достались нем</w:t>
      </w:r>
      <w:r w:rsidRPr="00640820">
        <w:rPr>
          <w:rFonts w:ascii="Times New Roman" w:hAnsi="Times New Roman"/>
          <w:color w:val="000000" w:themeColor="text1"/>
          <w:sz w:val="16"/>
          <w:szCs w:val="16"/>
        </w:rPr>
        <w:softHyphen/>
        <w:t>цам в Орле (Записная книжка Клауса Риделя... Л. 5.). С целью оценить на месте их технические возможности К. Риделя осенью 1941 г. командировали на фронт (Записная книжка Клауса Риделя... Л. 1.). По-видимому, в архивах Армейского Управления вооруже</w:t>
      </w:r>
      <w:r w:rsidRPr="00640820">
        <w:rPr>
          <w:rFonts w:ascii="Times New Roman" w:hAnsi="Times New Roman"/>
          <w:color w:val="000000" w:themeColor="text1"/>
          <w:sz w:val="16"/>
          <w:szCs w:val="16"/>
        </w:rPr>
        <w:softHyphen/>
        <w:t>ний Германии и Армейского ракетного центра в Пенемюнде должен был сохраниться его подробный отчёт о впечатлениях, полученных во время этой командировки, который, возможно, еще будет выявлен в ходе дальнейших поисков (11696).</w:t>
      </w:r>
    </w:p>
    <w:p w14:paraId="2ABB30E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5091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C 19 сентября 1941 евреи на всей территории Германии были обязаны в качестве отличительного знака носить желтую шестиконечную звезду Давида (3186).</w:t>
      </w:r>
    </w:p>
    <w:p w14:paraId="2FDB2A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6088F19" w14:textId="77777777" w:rsidR="001547E5" w:rsidRPr="00640820" w:rsidRDefault="001547E5"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19 сентября </w:t>
      </w:r>
      <w:r w:rsidRPr="00640820">
        <w:rPr>
          <w:rFonts w:ascii="Times New Roman" w:hAnsi="Times New Roman"/>
          <w:color w:val="000000" w:themeColor="text1"/>
          <w:sz w:val="16"/>
          <w:szCs w:val="16"/>
        </w:rPr>
        <w:t>в 1941 году нацисты заставляют немецких евреев носить еврейские звезды (14774).</w:t>
      </w:r>
    </w:p>
    <w:p w14:paraId="11665CA5" w14:textId="77777777" w:rsidR="001547E5" w:rsidRPr="00640820" w:rsidRDefault="001547E5" w:rsidP="00640820">
      <w:pPr>
        <w:spacing w:after="0" w:line="240" w:lineRule="auto"/>
        <w:jc w:val="both"/>
        <w:rPr>
          <w:rFonts w:ascii="Times New Roman" w:hAnsi="Times New Roman"/>
          <w:color w:val="000000" w:themeColor="text1"/>
          <w:sz w:val="16"/>
          <w:szCs w:val="16"/>
        </w:rPr>
      </w:pPr>
    </w:p>
    <w:p w14:paraId="1EFCE003"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662AA429"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CE8A744" w14:textId="77777777" w:rsidR="007C476F" w:rsidRPr="00640820" w:rsidRDefault="007C476F" w:rsidP="00640820">
      <w:pPr>
        <w:pStyle w:val="ae"/>
        <w:shd w:val="clear" w:color="auto" w:fill="FFFFFF"/>
        <w:spacing w:before="0" w:after="0"/>
        <w:jc w:val="both"/>
        <w:rPr>
          <w:color w:val="000000" w:themeColor="text1"/>
          <w:sz w:val="16"/>
          <w:szCs w:val="16"/>
          <w:shd w:val="clear" w:color="auto" w:fill="FFFFFF"/>
        </w:rPr>
      </w:pPr>
      <w:r w:rsidRPr="00640820">
        <w:rPr>
          <w:color w:val="000000" w:themeColor="text1"/>
          <w:sz w:val="16"/>
          <w:szCs w:val="16"/>
          <w:shd w:val="clear" w:color="auto" w:fill="FFFFFF"/>
        </w:rPr>
        <w:t>20 сентября 1941 вышел приказ НКАП № 1030с</w:t>
      </w:r>
    </w:p>
    <w:p w14:paraId="5465A488" w14:textId="77777777" w:rsidR="007C476F" w:rsidRPr="00640820" w:rsidRDefault="007C476F" w:rsidP="00640820">
      <w:pPr>
        <w:pStyle w:val="ae"/>
        <w:shd w:val="clear" w:color="auto" w:fill="FFFFFF"/>
        <w:spacing w:before="0" w:after="0"/>
        <w:jc w:val="both"/>
        <w:rPr>
          <w:color w:val="000000" w:themeColor="text1"/>
          <w:sz w:val="16"/>
          <w:szCs w:val="16"/>
          <w:shd w:val="clear" w:color="auto" w:fill="FFFFFF"/>
        </w:rPr>
      </w:pPr>
      <w:r w:rsidRPr="00640820">
        <w:rPr>
          <w:color w:val="000000" w:themeColor="text1"/>
          <w:sz w:val="16"/>
          <w:szCs w:val="16"/>
          <w:shd w:val="clear" w:color="auto" w:fill="FFFFFF"/>
        </w:rPr>
        <w:t>О мероприятиях по увеличению скорости Ил-2</w:t>
      </w:r>
    </w:p>
    <w:p w14:paraId="5A65E486" w14:textId="77777777" w:rsidR="007C476F" w:rsidRPr="00640820" w:rsidRDefault="007C476F" w:rsidP="00640820">
      <w:pPr>
        <w:pStyle w:val="ae"/>
        <w:shd w:val="clear" w:color="auto" w:fill="FFFFFF"/>
        <w:spacing w:before="0" w:after="0"/>
        <w:jc w:val="both"/>
        <w:rPr>
          <w:color w:val="000000" w:themeColor="text1"/>
          <w:sz w:val="16"/>
          <w:szCs w:val="16"/>
          <w:shd w:val="clear" w:color="auto" w:fill="FFFFFF"/>
        </w:rPr>
      </w:pPr>
      <w:r w:rsidRPr="00640820">
        <w:rPr>
          <w:color w:val="000000" w:themeColor="text1"/>
          <w:sz w:val="16"/>
          <w:szCs w:val="16"/>
          <w:shd w:val="clear" w:color="auto" w:fill="FFFFFF"/>
        </w:rPr>
        <w:t>Обязать Главного Конструктора тов. Ильюшина для увеличения скорости самолета Ил-2 провести на нем следующие мероприятия:</w:t>
      </w:r>
    </w:p>
    <w:p w14:paraId="11FCD0D5" w14:textId="77777777" w:rsidR="007C476F" w:rsidRPr="00640820" w:rsidRDefault="007C476F" w:rsidP="00640820">
      <w:pPr>
        <w:pStyle w:val="ae"/>
        <w:shd w:val="clear" w:color="auto" w:fill="FFFFFF"/>
        <w:spacing w:before="0" w:after="0"/>
        <w:jc w:val="both"/>
        <w:rPr>
          <w:color w:val="000000" w:themeColor="text1"/>
          <w:sz w:val="16"/>
          <w:szCs w:val="16"/>
          <w:shd w:val="clear" w:color="auto" w:fill="FFFFFF"/>
        </w:rPr>
      </w:pPr>
      <w:r w:rsidRPr="00640820">
        <w:rPr>
          <w:color w:val="000000" w:themeColor="text1"/>
          <w:sz w:val="16"/>
          <w:szCs w:val="16"/>
          <w:shd w:val="clear" w:color="auto" w:fill="FFFFFF"/>
        </w:rPr>
        <w:t>Пар. 1</w:t>
      </w:r>
    </w:p>
    <w:p w14:paraId="2AE4414A" w14:textId="77777777" w:rsidR="007C476F" w:rsidRPr="00640820" w:rsidRDefault="007C476F" w:rsidP="00640820">
      <w:pPr>
        <w:pStyle w:val="ae"/>
        <w:shd w:val="clear" w:color="auto" w:fill="FFFFFF"/>
        <w:spacing w:before="0" w:after="0"/>
        <w:jc w:val="both"/>
        <w:rPr>
          <w:color w:val="000000" w:themeColor="text1"/>
          <w:sz w:val="16"/>
          <w:szCs w:val="16"/>
          <w:shd w:val="clear" w:color="auto" w:fill="FFFFFF"/>
        </w:rPr>
      </w:pPr>
      <w:r w:rsidRPr="00640820">
        <w:rPr>
          <w:color w:val="000000" w:themeColor="text1"/>
          <w:sz w:val="16"/>
          <w:szCs w:val="16"/>
          <w:shd w:val="clear" w:color="auto" w:fill="FFFFFF"/>
        </w:rPr>
        <w:t>1/ Маслорадиатор поставить в один тунель с водорадиатором</w:t>
      </w:r>
    </w:p>
    <w:p w14:paraId="11A9796B" w14:textId="77777777" w:rsidR="007C476F" w:rsidRPr="00640820" w:rsidRDefault="007C476F" w:rsidP="00640820">
      <w:pPr>
        <w:pStyle w:val="ae"/>
        <w:shd w:val="clear" w:color="auto" w:fill="FFFFFF"/>
        <w:spacing w:before="0" w:after="0"/>
        <w:jc w:val="both"/>
        <w:rPr>
          <w:color w:val="000000" w:themeColor="text1"/>
          <w:sz w:val="16"/>
          <w:szCs w:val="16"/>
          <w:shd w:val="clear" w:color="auto" w:fill="FFFFFF"/>
        </w:rPr>
      </w:pPr>
      <w:r w:rsidRPr="00640820">
        <w:rPr>
          <w:color w:val="000000" w:themeColor="text1"/>
          <w:sz w:val="16"/>
          <w:szCs w:val="16"/>
          <w:shd w:val="clear" w:color="auto" w:fill="FFFFFF"/>
        </w:rPr>
        <w:t>2/ Сделать удлиненный заголовник летчика из шпона вместо плексигласа</w:t>
      </w:r>
    </w:p>
    <w:p w14:paraId="2DA3C6ED" w14:textId="77777777" w:rsidR="007C476F" w:rsidRPr="00640820" w:rsidRDefault="007C476F" w:rsidP="00640820">
      <w:pPr>
        <w:pStyle w:val="ae"/>
        <w:shd w:val="clear" w:color="auto" w:fill="FFFFFF"/>
        <w:spacing w:before="0" w:after="0"/>
        <w:jc w:val="both"/>
        <w:rPr>
          <w:color w:val="000000" w:themeColor="text1"/>
          <w:sz w:val="16"/>
          <w:szCs w:val="16"/>
          <w:shd w:val="clear" w:color="auto" w:fill="FFFFFF"/>
        </w:rPr>
      </w:pPr>
      <w:r w:rsidRPr="00640820">
        <w:rPr>
          <w:color w:val="000000" w:themeColor="text1"/>
          <w:sz w:val="16"/>
          <w:szCs w:val="16"/>
          <w:shd w:val="clear" w:color="auto" w:fill="FFFFFF"/>
        </w:rPr>
        <w:t>3/ Убрать противовесы элеронов снаружи во внутрь конструкции</w:t>
      </w:r>
    </w:p>
    <w:p w14:paraId="7F134FC1" w14:textId="77777777" w:rsidR="007C476F" w:rsidRPr="00640820" w:rsidRDefault="007C476F" w:rsidP="00640820">
      <w:pPr>
        <w:pStyle w:val="ae"/>
        <w:shd w:val="clear" w:color="auto" w:fill="FFFFFF"/>
        <w:spacing w:before="0" w:after="0"/>
        <w:jc w:val="both"/>
        <w:rPr>
          <w:color w:val="000000" w:themeColor="text1"/>
          <w:sz w:val="16"/>
          <w:szCs w:val="16"/>
          <w:shd w:val="clear" w:color="auto" w:fill="FFFFFF"/>
        </w:rPr>
      </w:pPr>
      <w:r w:rsidRPr="00640820">
        <w:rPr>
          <w:color w:val="000000" w:themeColor="text1"/>
          <w:sz w:val="16"/>
          <w:szCs w:val="16"/>
          <w:shd w:val="clear" w:color="auto" w:fill="FFFFFF"/>
        </w:rPr>
        <w:t>4/ Установить деревянный обтекатель шасси вместо дюралевого</w:t>
      </w:r>
    </w:p>
    <w:p w14:paraId="22E7A144" w14:textId="77777777" w:rsidR="007C476F" w:rsidRPr="00640820" w:rsidRDefault="007C476F" w:rsidP="00640820">
      <w:pPr>
        <w:pStyle w:val="ae"/>
        <w:shd w:val="clear" w:color="auto" w:fill="FFFFFF"/>
        <w:spacing w:before="0" w:after="0"/>
        <w:jc w:val="both"/>
        <w:rPr>
          <w:color w:val="000000" w:themeColor="text1"/>
          <w:sz w:val="16"/>
          <w:szCs w:val="16"/>
          <w:shd w:val="clear" w:color="auto" w:fill="FFFFFF"/>
        </w:rPr>
      </w:pPr>
      <w:r w:rsidRPr="00640820">
        <w:rPr>
          <w:color w:val="000000" w:themeColor="text1"/>
          <w:sz w:val="16"/>
          <w:szCs w:val="16"/>
          <w:shd w:val="clear" w:color="auto" w:fill="FFFFFF"/>
        </w:rPr>
        <w:t>5/ Кстановить деревянную консоль и выпустить самолет в первый полет с этими изменениями 30 октября 1941</w:t>
      </w:r>
    </w:p>
    <w:p w14:paraId="2B2274D0" w14:textId="77777777" w:rsidR="007C476F" w:rsidRPr="00640820" w:rsidRDefault="007C476F" w:rsidP="00640820">
      <w:pPr>
        <w:pStyle w:val="ae"/>
        <w:shd w:val="clear" w:color="auto" w:fill="FFFFFF"/>
        <w:spacing w:before="0" w:after="0"/>
        <w:jc w:val="both"/>
        <w:rPr>
          <w:color w:val="000000" w:themeColor="text1"/>
          <w:sz w:val="16"/>
          <w:szCs w:val="16"/>
          <w:shd w:val="clear" w:color="auto" w:fill="FFFFFF"/>
        </w:rPr>
      </w:pPr>
      <w:r w:rsidRPr="00640820">
        <w:rPr>
          <w:color w:val="000000" w:themeColor="text1"/>
          <w:sz w:val="16"/>
          <w:szCs w:val="16"/>
          <w:shd w:val="clear" w:color="auto" w:fill="FFFFFF"/>
        </w:rPr>
        <w:t>Пар. 2</w:t>
      </w:r>
    </w:p>
    <w:p w14:paraId="63E8117F" w14:textId="77777777" w:rsidR="007C476F" w:rsidRPr="00640820" w:rsidRDefault="007C476F" w:rsidP="00640820">
      <w:pPr>
        <w:pStyle w:val="ae"/>
        <w:shd w:val="clear" w:color="auto" w:fill="FFFFFF"/>
        <w:spacing w:before="0" w:after="0"/>
        <w:jc w:val="both"/>
        <w:rPr>
          <w:color w:val="000000" w:themeColor="text1"/>
          <w:sz w:val="16"/>
          <w:szCs w:val="16"/>
          <w:shd w:val="clear" w:color="auto" w:fill="FFFFFF"/>
        </w:rPr>
      </w:pPr>
      <w:r w:rsidRPr="00640820">
        <w:rPr>
          <w:color w:val="000000" w:themeColor="text1"/>
          <w:sz w:val="16"/>
          <w:szCs w:val="16"/>
          <w:shd w:val="clear" w:color="auto" w:fill="FFFFFF"/>
        </w:rPr>
        <w:t>Обязать директора завода № 18 товю Шенкмана перегнать летов один самолет Ил-2 в распоряжение Главного конструктора тов. Ильюшинадля проведения на нем этих работ не позднее 3 октября 1941.</w:t>
      </w:r>
    </w:p>
    <w:p w14:paraId="58F42F58" w14:textId="77777777" w:rsidR="007C476F" w:rsidRPr="00640820" w:rsidRDefault="007C476F" w:rsidP="00640820">
      <w:pPr>
        <w:pStyle w:val="ae"/>
        <w:shd w:val="clear" w:color="auto" w:fill="FFFFFF"/>
        <w:spacing w:before="0" w:after="0"/>
        <w:jc w:val="both"/>
        <w:rPr>
          <w:color w:val="000000" w:themeColor="text1"/>
          <w:sz w:val="16"/>
          <w:szCs w:val="16"/>
          <w:shd w:val="clear" w:color="auto" w:fill="FFFFFF"/>
        </w:rPr>
      </w:pPr>
      <w:r w:rsidRPr="00640820">
        <w:rPr>
          <w:color w:val="000000" w:themeColor="text1"/>
          <w:sz w:val="16"/>
          <w:szCs w:val="16"/>
          <w:shd w:val="clear" w:color="auto" w:fill="FFFFFF"/>
        </w:rPr>
        <w:t>Обязать директора завода № 1 Третьякова передать тов. Илльюшину две деревянных консоли и два деревянных обтекателя шасси не позднее 5 октября 1941 (19706).</w:t>
      </w:r>
    </w:p>
    <w:p w14:paraId="2AC926A0" w14:textId="77777777" w:rsidR="007C476F" w:rsidRPr="00640820" w:rsidRDefault="007C476F" w:rsidP="00640820">
      <w:pPr>
        <w:pStyle w:val="ae"/>
        <w:shd w:val="clear" w:color="auto" w:fill="FFFFFF"/>
        <w:spacing w:before="0" w:after="0"/>
        <w:jc w:val="both"/>
        <w:rPr>
          <w:color w:val="000000" w:themeColor="text1"/>
          <w:sz w:val="16"/>
          <w:szCs w:val="16"/>
          <w:shd w:val="clear" w:color="auto" w:fill="FFFFFF"/>
        </w:rPr>
      </w:pPr>
    </w:p>
    <w:p w14:paraId="01DB91E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сентября 1941 была подготовлена Справка для тов. Маленкова Г.М.</w:t>
      </w:r>
    </w:p>
    <w:p w14:paraId="5F7A2E1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Согласно распоряжения ГКО № 106сс от 11 июля 1941 года ЦКБ-14 НКВ изготовило и подало на испытание ВВС КА три 20 мм. пушки Березина.</w:t>
      </w:r>
    </w:p>
    <w:p w14:paraId="6D468E3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Две из этих пушек были установлены в крыльях самолета ИЛ-2 и одна в моторе самолета Лагг-3.</w:t>
      </w:r>
    </w:p>
    <w:p w14:paraId="46CA690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Тов.Жаров - ГУ ВВС КА докладываай, что эти пушки полигонных испы</w:t>
      </w:r>
      <w:r w:rsidRPr="00640820">
        <w:rPr>
          <w:rFonts w:ascii="Times New Roman" w:hAnsi="Times New Roman"/>
          <w:color w:val="000000" w:themeColor="text1"/>
          <w:sz w:val="16"/>
          <w:szCs w:val="16"/>
        </w:rPr>
        <w:softHyphen/>
        <w:t>таний не выдержали ввиду большего количества задержек, поломок и пло</w:t>
      </w:r>
      <w:r w:rsidRPr="00640820">
        <w:rPr>
          <w:rFonts w:ascii="Times New Roman" w:hAnsi="Times New Roman"/>
          <w:color w:val="000000" w:themeColor="text1"/>
          <w:sz w:val="16"/>
          <w:szCs w:val="16"/>
        </w:rPr>
        <w:softHyphen/>
        <w:t>хой работы автоматики.</w:t>
      </w:r>
    </w:p>
    <w:p w14:paraId="5E2C59C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 пушки установленной на самолете Лагг-3 через 2000 вырярелов образовался кольцевой разгар паттонника, что ведет к раздутию гильзы и вызывает задержку - “неотдачу"; у пушек на самолете Ил-2 произошла поломка затворов - у одного на 5-м выстреле, у другого на 30-м выстреле; на 2574 выстреле в месте крепления приемника образовалась трещина; на 2469 выстреле заменен шток с цилиндром, т.к. погнутость штока не позволяля частям автоматики доходить в переднее положение.</w:t>
      </w:r>
    </w:p>
    <w:p w14:paraId="667C38F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Кроме этих дефектов этой пушки неудобством является то, что для стрельбы из жтой пушки требуется другой снарячд, отличный от снаряда пушки ШВАК того же калибра, что нецелесообразно, как с точки зрения производства, так и снабжения строевых частей КА.</w:t>
      </w:r>
    </w:p>
    <w:p w14:paraId="46A3807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Исходя из этих соображений, - т. Жаров просит все дальнейшие работы по 20 мм. пушкам Березина прекратить.</w:t>
      </w:r>
    </w:p>
    <w:p w14:paraId="0983B89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Тов.Устинов, исходя из того, что 20 мм. пушка Березина сконструи</w:t>
      </w:r>
      <w:r w:rsidRPr="00640820">
        <w:rPr>
          <w:rFonts w:ascii="Times New Roman" w:hAnsi="Times New Roman"/>
          <w:color w:val="000000" w:themeColor="text1"/>
          <w:sz w:val="16"/>
          <w:szCs w:val="16"/>
        </w:rPr>
        <w:softHyphen/>
        <w:t>рована путем простого перехода с освоенного 12,7 мм.пулемета Березина с заменой только одного ствола, считает целесообразным доводку этой пушки продолжать, т.к. в случае принятия ее на вооружение, НКВ сможет быстро организовать валовый выпуск этих пушек.</w:t>
      </w:r>
    </w:p>
    <w:p w14:paraId="1D4E03A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связи с тем, что 20 мм.пушка "Швак" удовлетворяет ВВС КА, рабо</w:t>
      </w:r>
      <w:r w:rsidRPr="00640820">
        <w:rPr>
          <w:rFonts w:ascii="Times New Roman" w:hAnsi="Times New Roman"/>
          <w:color w:val="000000" w:themeColor="text1"/>
          <w:sz w:val="16"/>
          <w:szCs w:val="16"/>
        </w:rPr>
        <w:softHyphen/>
        <w:t>тает надежно и освоена промышленностью, считаю доводы т. Жарова о прек</w:t>
      </w:r>
      <w:r w:rsidRPr="00640820">
        <w:rPr>
          <w:rFonts w:ascii="Times New Roman" w:hAnsi="Times New Roman"/>
          <w:color w:val="000000" w:themeColor="text1"/>
          <w:sz w:val="16"/>
          <w:szCs w:val="16"/>
        </w:rPr>
        <w:softHyphen/>
        <w:t>ращении работ по 20 мм. пушке Березина основательными.</w:t>
      </w:r>
    </w:p>
    <w:p w14:paraId="54EFD6D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Прошу рассмотреть этот вопрос (4156,178).</w:t>
      </w:r>
    </w:p>
    <w:p w14:paraId="1012E66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ГОСУДАРСТВЕННШ1 КОМИТЕТ ОБОРОНЫ</w:t>
      </w:r>
    </w:p>
    <w:p w14:paraId="401CE80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РАСПОРЯЖЕНИЕ № ___ от “__ " сентября 1941 г. (проект)</w:t>
      </w:r>
    </w:p>
    <w:p w14:paraId="2FFD8D9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Москва,Кремль.</w:t>
      </w:r>
    </w:p>
    <w:p w14:paraId="2D2D8CC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Удовлетворить ходатайство ГУ ВВС КА и обязать Наркомвооружения т.Устинова прекратить в ЦКБ-14 НКВ все работы по 20 мм. авиационным пушкам Березина ввиду того, что они не выдержали поли</w:t>
      </w:r>
      <w:r w:rsidRPr="00640820">
        <w:rPr>
          <w:rFonts w:ascii="Times New Roman" w:hAnsi="Times New Roman"/>
          <w:color w:val="000000" w:themeColor="text1"/>
          <w:sz w:val="16"/>
          <w:szCs w:val="16"/>
        </w:rPr>
        <w:softHyphen/>
        <w:t>гонных испытаний.</w:t>
      </w:r>
    </w:p>
    <w:p w14:paraId="477FA87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Зам.Председателя Государственного Комитета Обороны</w:t>
      </w:r>
    </w:p>
    <w:p w14:paraId="076E606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(В.Молотов) (4156,179)</w:t>
      </w:r>
    </w:p>
    <w:p w14:paraId="307434D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1C00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20 сентября по 20 ноября 1941 г. в 4-м шап поломалось 27 затворов пушек ВЯ, а в 431-м шап в период с 9 по 20 ноября - 6 затворов. Между тем необходимого запаса затворов на складах Южного фронта, в составе которого воевали эти полки, естественно, не было. В первое время эксплуатации пушек на фронте массовыми были поломки затворов. Вверху боевой грани затвора образовывались трещины после 250-300 выстрелов «на газовом отверстии 4,5 мм», после 750-900 выстрелов «на газовом отверстии 4,0 мм» и после 1200-1300 выстрелов «на газовом отверстии 3,5 мм» (11921).</w:t>
      </w:r>
    </w:p>
    <w:p w14:paraId="4E4C64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3B2A4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20 сентября 1941 Ер-2 с АМ-37 был передан в НИИ ВВС на гос. испытания, которые шли до 9 января 1942. У машины было усиленное шасси - 1250х400 вместо 1000-350 и крупнокалиберные пулеметы, а также бронирование кабины стрелков (2391,10).</w:t>
      </w:r>
    </w:p>
    <w:p w14:paraId="575F25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83980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сентября 1941 г. после ремонта и переоборудования опытную машину Ер-2 с 2АМ-37 в соответствии с распоряжением заместителя начальника ГУ ВВС КА передали на государственные испытания в НИИ ВВС. Ведущим инженером по самолету был назначен военинженер 2-го ранга Н.М.Кокорин, ведущим летчиком-испытателем - майор Лисицин, ведущим штурманом - старший лейтенант Литвинчук. В качестве важнейших отличий самолета от варианта с моторами М-105 специалисты НИИ отметили:</w:t>
      </w:r>
    </w:p>
    <w:p w14:paraId="50F788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винты ВИШ-22Т увеличенного диаметра (3,4м);</w:t>
      </w:r>
    </w:p>
    <w:p w14:paraId="432B5A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крупнокалиберные пулеметы БТ во всех огневых точках;</w:t>
      </w:r>
    </w:p>
    <w:p w14:paraId="712989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колеса основных стоек с типоразмером 1200х450 мм;</w:t>
      </w:r>
    </w:p>
    <w:p w14:paraId="6185F3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гидравлическую систему аварийного выпуска шасси (вместо механической);</w:t>
      </w:r>
    </w:p>
    <w:p w14:paraId="6AD267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усиленное бронирование рабочих мест стрелка и стрелка-радиста;</w:t>
      </w:r>
    </w:p>
    <w:p w14:paraId="24E7AC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синхронный автоматический прицел ПС-1, установленный вместо обычного прицела ОПБ-2М.</w:t>
      </w:r>
    </w:p>
    <w:p w14:paraId="66D675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Первые же полеты продемонстрировали множество недоделок, что уже 24 сентября их пришлось прекратить. Помимо достаточно тривиальных (для каждой опытной машины) недоработок, начальник института бригадный инженер Федоров доложил начальнику ГУ ВВС генералу Петрову о поразительных вещах, например о том, что летчик Ер-2 2АМ-37 "при выпуске и уборке шасси вынужден передавать управление штурману, после чего он двумя руками с помощью левой ноги смещает ручку управления краном..." Далее Федоров настаивал на необходимости "обязать главного конструктора завода N 240 тов. Ермолаева немедленно устранить указанные дефекты". Испытания явно затягивались. В связи с вынужденной переброской самолета в Свердловск на аэродром Кольцове, куда было переведено соответствующее подразделение НИИ ВВС, они были закончены только в начале января 1942 г. (3322,33).</w:t>
      </w:r>
    </w:p>
    <w:p w14:paraId="4C63C7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5FBE111" w14:textId="77777777" w:rsidR="00132C0A" w:rsidRPr="00640820" w:rsidRDefault="00132C0A"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сентября 1941 Зам. Нач. 7 ГУ Алексеев писал письмо N 2758 о том, что представленная заводом 115 документация к первому полету серийного истребителя Як-4 с 2-М-105 конструкции А.С.Я., представляющего собой модификацию серийного ББ-22 с 2хМ-105, найдена в порядке.</w:t>
      </w:r>
    </w:p>
    <w:p w14:paraId="0AF62BEF" w14:textId="77777777" w:rsidR="00132C0A" w:rsidRPr="00640820" w:rsidRDefault="00132C0A"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Нормальный полетный вес Як-4 составляет 6185, что на 6% больше веса ББ-22 с те ми же моторами.</w:t>
      </w:r>
    </w:p>
    <w:p w14:paraId="210032BD" w14:textId="77777777" w:rsidR="00132C0A" w:rsidRPr="00640820" w:rsidRDefault="00132C0A"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Данные о прочности и критической скорости идентичны с Як-4, проходившем ранее испытания, почему указания по проведению летных испытаний в варианте одноместного истребителя остаются теми же, что и для ББ-22 2М-105." (2463,300).</w:t>
      </w:r>
    </w:p>
    <w:p w14:paraId="1FA73801" w14:textId="77777777" w:rsidR="00132C0A" w:rsidRPr="00640820" w:rsidRDefault="00132C0A" w:rsidP="00640820">
      <w:pPr>
        <w:autoSpaceDE w:val="0"/>
        <w:autoSpaceDN w:val="0"/>
        <w:adjustRightInd w:val="0"/>
        <w:spacing w:after="0" w:line="240" w:lineRule="auto"/>
        <w:jc w:val="both"/>
        <w:rPr>
          <w:rFonts w:ascii="Times New Roman" w:hAnsi="Times New Roman"/>
          <w:color w:val="000000" w:themeColor="text1"/>
          <w:sz w:val="16"/>
          <w:szCs w:val="16"/>
        </w:rPr>
      </w:pPr>
    </w:p>
    <w:p w14:paraId="16AB1F8D" w14:textId="77777777" w:rsidR="00132C0A" w:rsidRPr="00640820" w:rsidRDefault="00132C0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20 сентября 1941 года было письмо летчиков-испытателей авиазавода № 31 И.В. Сталину:</w:t>
      </w:r>
    </w:p>
    <w:p w14:paraId="3DE63200" w14:textId="77777777" w:rsidR="00132C0A" w:rsidRPr="00640820" w:rsidRDefault="00132C0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«Самолет ЛаГГ-3 сделан слишком тяжелым, отчего мала его скороподъемность и маневренность, в остальном отзывы о нем с фронта неплохие, но все жалуются на вес, приводят в пример однотипные облегченные немецкие самолеты (Хейнкель, Мессершмидт). Мы вносим предложение облегчить, удешевить и улучшить летные качества самолета за счет уменьшения оборудования на самолете, что дает возможность разгрузить часть заводов-поставщиков и упростить работу нашего завода, дав возможность выпускать больше самолетов и быстрее».</w:t>
      </w:r>
    </w:p>
    <w:p w14:paraId="4318F24E" w14:textId="77777777" w:rsidR="00132C0A" w:rsidRPr="00640820" w:rsidRDefault="00132C0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письме предлагалось отказаться от многих вещей на которых всего год назад упорно настаивали участники техсовета НИИ ВВС. В частности, летчики считали необходимым демонтировать оба пулемета ШКАС, при этом добавив патронов к пушке и БС. Они предлагали снять ВИЕТ, заменив его заливным насосом, бензочасы с насосиком (все равно не показывают), насос «Альвеер» с проводкой (никто не пользуется), бензокран (не нужен), динамо и проводку для кодовых огней, сирену с проводкой и указатель выпуска закрылков, кран к тормозам, аккумулятор и вольтметр с проводкой, а также щитки шасси. Помимо этого, испытатели предлагали кислородное оборудование делать быстроснимающимся (баллон заряжать на базе), поставить индивидуальные патрубки (выигрыш в весе и мощности), заменить электромоторный выпуск заслонки радиатора на ручной и облегчить протектора бензобаков, так как бензобаки обеспечены нейтральным газом, упростить пневмосистему. Летчики просили снять с трех самолетов вышеуказанное и опробовать их на фронте. Они считали, что самолет должен получиться исключительно маневренным, это даст возможность работать с меньших площадок, будет легче осваиваться летным составом, уменьшит аварийность и т.д. (23197).</w:t>
      </w:r>
    </w:p>
    <w:p w14:paraId="2F147F0A" w14:textId="77777777" w:rsidR="00132C0A" w:rsidRPr="00640820" w:rsidRDefault="00132C0A" w:rsidP="00640820">
      <w:pPr>
        <w:spacing w:after="0" w:line="240" w:lineRule="auto"/>
        <w:jc w:val="both"/>
        <w:rPr>
          <w:rFonts w:ascii="Times New Roman" w:hAnsi="Times New Roman"/>
          <w:color w:val="0070C0"/>
          <w:sz w:val="16"/>
          <w:szCs w:val="16"/>
        </w:rPr>
      </w:pPr>
    </w:p>
    <w:p w14:paraId="405A8144" w14:textId="77777777" w:rsidR="00132C0A" w:rsidRPr="00640820" w:rsidRDefault="00132C0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20 сентября 1941 года</w:t>
      </w:r>
    </w:p>
    <w:p w14:paraId="6B1DF75A" w14:textId="77777777" w:rsidR="00132C0A" w:rsidRPr="00640820" w:rsidRDefault="00132C0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Сов. Секретно</w:t>
      </w:r>
    </w:p>
    <w:p w14:paraId="77A715E1" w14:textId="77777777" w:rsidR="00132C0A" w:rsidRPr="00640820" w:rsidRDefault="00132C0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НАРОДНОМУ КОМИССАРУ ОБОРОНЫ СССР ТОВ. СТАЛИНУ И.В.</w:t>
      </w:r>
    </w:p>
    <w:p w14:paraId="5FFF3F04" w14:textId="77777777" w:rsidR="00132C0A" w:rsidRPr="00640820" w:rsidRDefault="00132C0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ОТ КОЛЛЕКТИВА ЛЕТЧИКОВ-ИСПЫТАТЕЛЕЙ ЗАВОДА № 31 ИМЕНИ ДИМИТРОВА</w:t>
      </w:r>
    </w:p>
    <w:p w14:paraId="5E21540B" w14:textId="77777777" w:rsidR="00132C0A" w:rsidRPr="00640820" w:rsidRDefault="00132C0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Иосиф Виссарионович!</w:t>
      </w:r>
    </w:p>
    <w:p w14:paraId="3FA210CC" w14:textId="77777777" w:rsidR="00132C0A" w:rsidRPr="00640820" w:rsidRDefault="00132C0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Обсудив с летным составом нашего завода и с многими командирами и летчиками, прибывающими с фронта, мы решили написать непосредственно Вам для более быстрого решении данного вопроса, предварительно получив одобрение главного конструктора тов. Горбунова Такое предложение нами передано 13/IX с.г. директору завода тов. Агаджанову.</w:t>
      </w:r>
    </w:p>
    <w:p w14:paraId="476B440A" w14:textId="77777777" w:rsidR="00132C0A" w:rsidRPr="00640820" w:rsidRDefault="00132C0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Самолет Лагг-3 сделан слишком тяжелым, отчего мала его скороподъемность и маневренность, в остальном отзывы о нем с фронта неплохие, но все жалуются на вес, приводят в пример однотипные облегченные немецкие самолеты (Хейнкель, Мессершмидт1). Мы вносим предложение облегчить, удешевить и улучшить летные качества самолета за счет уменьшения оборудования на самолете, что дает возможность разгрузить часть заводов-поставщиков и упростить работу нашего завода, дав возможность выпускать больше самолетов и быстрее:</w:t>
      </w:r>
    </w:p>
    <w:p w14:paraId="791E1CFB" w14:textId="77777777" w:rsidR="00132C0A" w:rsidRPr="00640820" w:rsidRDefault="00132C0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 Снять оба пулемета «ШКАС», а добавить патронов к пушке и БС.</w:t>
      </w:r>
    </w:p>
    <w:p w14:paraId="134AB1DD" w14:textId="77777777" w:rsidR="00132C0A" w:rsidRPr="00640820" w:rsidRDefault="00132C0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 Снять ВИЕТ, заменив его заливным насосом.</w:t>
      </w:r>
    </w:p>
    <w:p w14:paraId="33961552" w14:textId="77777777" w:rsidR="00132C0A" w:rsidRPr="00640820" w:rsidRDefault="00132C0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3. Снять бензочасы с насосиком (все равно не показывают).</w:t>
      </w:r>
    </w:p>
    <w:p w14:paraId="1FBCC0CF" w14:textId="77777777" w:rsidR="00132C0A" w:rsidRPr="00640820" w:rsidRDefault="00132C0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4. Снять альвеер с проводкой (никто не пользуется).</w:t>
      </w:r>
    </w:p>
    <w:p w14:paraId="273D8CC2" w14:textId="77777777" w:rsidR="00132C0A" w:rsidRPr="00640820" w:rsidRDefault="00132C0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5. Снять экран с проводкой свечей (на самолете без рации).</w:t>
      </w:r>
    </w:p>
    <w:p w14:paraId="7F4DB3DB" w14:textId="77777777" w:rsidR="00132C0A" w:rsidRPr="00640820" w:rsidRDefault="00132C0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6. Снять рации с проводкой (оставлять на одной 9-й).</w:t>
      </w:r>
    </w:p>
    <w:p w14:paraId="62F9E067" w14:textId="77777777" w:rsidR="00132C0A" w:rsidRPr="00640820" w:rsidRDefault="00132C0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7. Снять фонарь и замок к нему (никто не закрывается).</w:t>
      </w:r>
    </w:p>
    <w:p w14:paraId="2722B566" w14:textId="77777777" w:rsidR="00132C0A" w:rsidRPr="00640820" w:rsidRDefault="00132C0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8. Не делать люк за сиденьем летчика.</w:t>
      </w:r>
    </w:p>
    <w:p w14:paraId="7995C5B2" w14:textId="77777777" w:rsidR="00132C0A" w:rsidRPr="00640820" w:rsidRDefault="00132C0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9. Снять вольтметр с проводкой.</w:t>
      </w:r>
    </w:p>
    <w:p w14:paraId="01CE2DFC" w14:textId="77777777" w:rsidR="00132C0A" w:rsidRPr="00640820" w:rsidRDefault="00132C0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10. Не ставить металлизацию (экономия красной меди), не нужна.</w:t>
      </w:r>
    </w:p>
    <w:p w14:paraId="5DC6DAD0" w14:textId="77777777" w:rsidR="00132C0A" w:rsidRPr="00640820" w:rsidRDefault="00132C0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11. Снять стойку антенны.</w:t>
      </w:r>
    </w:p>
    <w:p w14:paraId="30C5353B" w14:textId="77777777" w:rsidR="00132C0A" w:rsidRPr="00640820" w:rsidRDefault="00132C0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lastRenderedPageBreak/>
        <w:t>12. Снять сирену с проводкой и указатель выпуска закрыл[ков].</w:t>
      </w:r>
    </w:p>
    <w:p w14:paraId="1897F6D9" w14:textId="77777777" w:rsidR="00132C0A" w:rsidRPr="00640820" w:rsidRDefault="00132C0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13. Снять кран к тормозам.</w:t>
      </w:r>
    </w:p>
    <w:p w14:paraId="18E59137" w14:textId="77777777" w:rsidR="00132C0A" w:rsidRPr="00640820" w:rsidRDefault="00132C0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14. Кислородное оборудование делать быстроснимающимся (баллон заряжать на базе).</w:t>
      </w:r>
    </w:p>
    <w:p w14:paraId="3A00AF2A" w14:textId="77777777" w:rsidR="00132C0A" w:rsidRPr="00640820" w:rsidRDefault="00132C0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15. Снять щитки с шасси.</w:t>
      </w:r>
    </w:p>
    <w:p w14:paraId="474CC356" w14:textId="77777777" w:rsidR="00132C0A" w:rsidRPr="00640820" w:rsidRDefault="00132C0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16. Убрать одну подводку воздуха к фюзеляжу (оставить одну).</w:t>
      </w:r>
    </w:p>
    <w:p w14:paraId="66EE955A" w14:textId="77777777" w:rsidR="00132C0A" w:rsidRPr="00640820" w:rsidRDefault="00132C0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17. Снять бензокран (не нужен).</w:t>
      </w:r>
    </w:p>
    <w:p w14:paraId="69E4991A" w14:textId="77777777" w:rsidR="00132C0A" w:rsidRPr="00640820" w:rsidRDefault="00132C0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18. Установить один общий баллон достаточной емкости с отсеком для вооружения.</w:t>
      </w:r>
    </w:p>
    <w:p w14:paraId="01D25A82" w14:textId="77777777" w:rsidR="00132C0A" w:rsidRPr="00640820" w:rsidRDefault="00132C0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19. Снять динамо и проводку для кодовых огней пост. мал[ый]. Щел. аккум., оставив прежнее ночное оборудование на 20-15% самолетов.</w:t>
      </w:r>
    </w:p>
    <w:p w14:paraId="7DE6DB74" w14:textId="77777777" w:rsidR="00132C0A" w:rsidRPr="00640820" w:rsidRDefault="00132C0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20. Снять аккумулятор с проводкой.</w:t>
      </w:r>
    </w:p>
    <w:p w14:paraId="1C7DF41F" w14:textId="77777777" w:rsidR="00132C0A" w:rsidRPr="00640820" w:rsidRDefault="00132C0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21. Поставить индивидуальные патрубки (выигрыш в весе и мощности).</w:t>
      </w:r>
    </w:p>
    <w:p w14:paraId="270B00EF" w14:textId="77777777" w:rsidR="00132C0A" w:rsidRPr="00640820" w:rsidRDefault="00132C0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22. Заменить электромоторный выпуск заслонки радиатора на ручную.</w:t>
      </w:r>
    </w:p>
    <w:p w14:paraId="6C2FA916" w14:textId="77777777" w:rsidR="00132C0A" w:rsidRPr="00640820" w:rsidRDefault="00132C0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23. Облегчить протектора бензобаков так как бензобаки обеспечены нейтральным газом.</w:t>
      </w:r>
    </w:p>
    <w:p w14:paraId="7B76B024" w14:textId="77777777" w:rsidR="00132C0A" w:rsidRPr="00640820" w:rsidRDefault="00132C0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Разрешите, Иосиф Виссарионович, снять с 3-х самолетов вышеуказанное и опробовать их на фронте. Самолет должен получиться исключительно маневренным, это даст возможность работать с меньших площадок, будет легче осваиваться летным составом, уменьшит аварийность и т.д.</w:t>
      </w:r>
    </w:p>
    <w:p w14:paraId="13505EB9" w14:textId="77777777" w:rsidR="00132C0A" w:rsidRPr="00640820" w:rsidRDefault="00132C0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Просим не отказать в нашей просьбе.</w:t>
      </w:r>
    </w:p>
    <w:p w14:paraId="0D4EAC9D" w14:textId="77777777" w:rsidR="00132C0A" w:rsidRPr="00640820" w:rsidRDefault="00132C0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Нач. летной станции</w:t>
      </w:r>
    </w:p>
    <w:p w14:paraId="1E40A880" w14:textId="77777777" w:rsidR="00132C0A" w:rsidRPr="00640820" w:rsidRDefault="00132C0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Летчик-испытатель</w:t>
      </w:r>
      <w:r w:rsidRPr="00640820">
        <w:rPr>
          <w:rFonts w:ascii="Times New Roman" w:hAnsi="Times New Roman"/>
          <w:color w:val="0070C0"/>
          <w:sz w:val="16"/>
          <w:szCs w:val="16"/>
        </w:rPr>
        <w:tab/>
        <w:t>(Моисеенко Г.Н.)</w:t>
      </w:r>
    </w:p>
    <w:p w14:paraId="318D0972" w14:textId="77777777" w:rsidR="00132C0A" w:rsidRPr="00640820" w:rsidRDefault="00132C0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Секретарь Партгруппы</w:t>
      </w:r>
    </w:p>
    <w:p w14:paraId="0AB0372E" w14:textId="77777777" w:rsidR="00132C0A" w:rsidRPr="00640820" w:rsidRDefault="00132C0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Летчик-испытатель</w:t>
      </w:r>
      <w:r w:rsidRPr="00640820">
        <w:rPr>
          <w:rFonts w:ascii="Times New Roman" w:hAnsi="Times New Roman"/>
          <w:color w:val="0070C0"/>
          <w:sz w:val="16"/>
          <w:szCs w:val="16"/>
        </w:rPr>
        <w:tab/>
        <w:t>(Смоловик А.И.)</w:t>
      </w:r>
    </w:p>
    <w:p w14:paraId="25418E3E" w14:textId="77777777" w:rsidR="00132C0A" w:rsidRPr="00640820" w:rsidRDefault="00132C0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Военинженер 2 ранга</w:t>
      </w:r>
    </w:p>
    <w:p w14:paraId="5EFAB2A5" w14:textId="77777777" w:rsidR="00132C0A" w:rsidRPr="00640820" w:rsidRDefault="00132C0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Летчик-испытатель</w:t>
      </w:r>
      <w:r w:rsidRPr="00640820">
        <w:rPr>
          <w:rFonts w:ascii="Times New Roman" w:hAnsi="Times New Roman"/>
          <w:color w:val="0070C0"/>
          <w:sz w:val="16"/>
          <w:szCs w:val="16"/>
        </w:rPr>
        <w:tab/>
        <w:t>(Ермащенко И.П.)</w:t>
      </w:r>
    </w:p>
    <w:p w14:paraId="52A440C7" w14:textId="77777777" w:rsidR="00132C0A" w:rsidRPr="00640820" w:rsidRDefault="00132C0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Гор. Таганрог, завод им. Димитрова, Летная станция</w:t>
      </w:r>
    </w:p>
    <w:p w14:paraId="0255EE29" w14:textId="77777777" w:rsidR="00132C0A" w:rsidRPr="00640820" w:rsidRDefault="00132C0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20 сентября 1941 года.</w:t>
      </w:r>
    </w:p>
    <w:p w14:paraId="359E4288" w14:textId="77777777" w:rsidR="00132C0A" w:rsidRPr="00640820" w:rsidRDefault="00132C0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ЦАНО. Ф. 2066. Оп. 6. Д. 681. Л. 177-178.</w:t>
      </w:r>
    </w:p>
    <w:p w14:paraId="136B389F" w14:textId="77777777" w:rsidR="00132C0A" w:rsidRPr="00640820" w:rsidRDefault="00132C0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Подлинник. Машинопись (20948).</w:t>
      </w:r>
    </w:p>
    <w:p w14:paraId="1367F4BF" w14:textId="77777777" w:rsidR="00132C0A" w:rsidRPr="00640820" w:rsidRDefault="00132C0A" w:rsidP="00640820">
      <w:pPr>
        <w:spacing w:after="0" w:line="240" w:lineRule="auto"/>
        <w:jc w:val="both"/>
        <w:rPr>
          <w:rFonts w:ascii="Times New Roman" w:hAnsi="Times New Roman"/>
          <w:color w:val="0070C0"/>
          <w:sz w:val="16"/>
          <w:szCs w:val="16"/>
        </w:rPr>
      </w:pPr>
    </w:p>
    <w:p w14:paraId="2AF282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20 сентября 1941 г. по результатам испытании уменьшенного стрелкового вооружения на МиГ-3 с 151 самолета 27 серии в производство запустили двухточечный вариант МиГ-3. При этом за счет пулемета ШКАС боезапас БСов увеличили с 300 до 700 патронов. До начала эвакуации было изготовлено 315 самолетов вооруженных двумя пулеметами БС, кроме того. 215 из них оборудовали двумя строенными пусковыми установками ЗРОБ-82 для стрельбы реактивными снарядами РОС-82 (4802).</w:t>
      </w:r>
    </w:p>
    <w:p w14:paraId="347768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3FC9CD9" w14:textId="77777777" w:rsidR="008D1ADA" w:rsidRPr="00640820" w:rsidRDefault="008D1ADA" w:rsidP="00640820">
      <w:pPr>
        <w:pStyle w:val="a3"/>
        <w:rPr>
          <w:color w:val="000000" w:themeColor="text1"/>
          <w:lang w:val="ru-RU"/>
        </w:rPr>
      </w:pPr>
      <w:r w:rsidRPr="00640820">
        <w:rPr>
          <w:color w:val="000000" w:themeColor="text1"/>
          <w:lang w:val="ru-RU"/>
        </w:rPr>
        <w:t>С 20 сентября 1941 г. в производство с машины № 4902 27-й серии запустили двухточечный вариант МиГ-3, как наиболее оптималь</w:t>
      </w:r>
      <w:r w:rsidRPr="00640820">
        <w:rPr>
          <w:color w:val="000000" w:themeColor="text1"/>
          <w:lang w:val="ru-RU"/>
        </w:rPr>
        <w:softHyphen/>
        <w:t>ный. При этом за счёт пулемёта Ш</w:t>
      </w:r>
      <w:r w:rsidRPr="00640820">
        <w:rPr>
          <w:color w:val="000000" w:themeColor="text1"/>
        </w:rPr>
        <w:t>KAC</w:t>
      </w:r>
      <w:r w:rsidRPr="00640820">
        <w:rPr>
          <w:color w:val="000000" w:themeColor="text1"/>
          <w:lang w:val="ru-RU"/>
        </w:rPr>
        <w:t xml:space="preserve"> боезапас БСов увеличили с 300 до 700 патронов. До эвакуации завод изготовил 315 самолётов с двумя пулемётами БС, кроме того, 215 из них оборудовали двумя строенными пусковыми установками ЗРОБ-82 для стрельбы реактивными снарядами РС-82 (15976).</w:t>
      </w:r>
    </w:p>
    <w:p w14:paraId="6D1A0DE4" w14:textId="77777777" w:rsidR="008D1ADA" w:rsidRPr="00640820" w:rsidRDefault="008D1ADA" w:rsidP="00640820">
      <w:pPr>
        <w:pStyle w:val="a3"/>
        <w:rPr>
          <w:color w:val="000000" w:themeColor="text1"/>
          <w:lang w:val="ru-RU"/>
        </w:rPr>
      </w:pPr>
    </w:p>
    <w:p w14:paraId="17AFB3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сентября 1941 состоялся первый полет второго серийного КОР-2 N 28802 и это был последний до эвакуации в октябре 1941 (1288,31).</w:t>
      </w:r>
    </w:p>
    <w:p w14:paraId="4A82F1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C66701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сентября 1941 г. состоялся полет второго серийно</w:t>
      </w:r>
      <w:r w:rsidRPr="00640820">
        <w:rPr>
          <w:rFonts w:ascii="Times New Roman" w:hAnsi="Times New Roman"/>
          <w:color w:val="000000" w:themeColor="text1"/>
          <w:sz w:val="16"/>
          <w:szCs w:val="16"/>
        </w:rPr>
        <w:softHyphen/>
        <w:t>го КОР-2 (заводской №28802). Третий серийный испы</w:t>
      </w:r>
      <w:r w:rsidRPr="00640820">
        <w:rPr>
          <w:rFonts w:ascii="Times New Roman" w:hAnsi="Times New Roman"/>
          <w:color w:val="000000" w:themeColor="text1"/>
          <w:sz w:val="16"/>
          <w:szCs w:val="16"/>
        </w:rPr>
        <w:softHyphen/>
        <w:t>тать не успели - немецкие войска подходили к Москве, поэтому последовало решение об эвакуации. При продви</w:t>
      </w:r>
      <w:r w:rsidRPr="00640820">
        <w:rPr>
          <w:rFonts w:ascii="Times New Roman" w:hAnsi="Times New Roman"/>
          <w:color w:val="000000" w:themeColor="text1"/>
          <w:sz w:val="16"/>
          <w:szCs w:val="16"/>
        </w:rPr>
        <w:softHyphen/>
        <w:t>жении на восток эшелон с имуществом завода №288 ата</w:t>
      </w:r>
      <w:r w:rsidRPr="00640820">
        <w:rPr>
          <w:rFonts w:ascii="Times New Roman" w:hAnsi="Times New Roman"/>
          <w:color w:val="000000" w:themeColor="text1"/>
          <w:sz w:val="16"/>
          <w:szCs w:val="16"/>
        </w:rPr>
        <w:softHyphen/>
        <w:t>ковали немецкие самолеты. Значительного ущерба они не нанесли, однако оставили в недостроенных «КОРах» несколько пулевых отверстий. Первоначально коллектив Бериева направили в район Горького (ныне - Нижний Новгород), но там места для размещения не нашлось и эшелоны проследовали далее, в Сибирь. Следующей остановкой стал город Омск, здесь на базе авиазавода №166 было продолжено совершенствование КОР-2. По соседству, в цехах, зачастую еще не имеющих крыш, строились самолеты Туполева, Мясище-ва и Томашевича. В этот трудный период в КБ Бериева разработали сухопутный вариант корабельного разведчи</w:t>
      </w:r>
      <w:r w:rsidRPr="00640820">
        <w:rPr>
          <w:rFonts w:ascii="Times New Roman" w:hAnsi="Times New Roman"/>
          <w:color w:val="000000" w:themeColor="text1"/>
          <w:sz w:val="16"/>
          <w:szCs w:val="16"/>
        </w:rPr>
        <w:softHyphen/>
        <w:t>ка с неубираемым колесным шасси. Часть строящихся ма</w:t>
      </w:r>
      <w:r w:rsidRPr="00640820">
        <w:rPr>
          <w:rFonts w:ascii="Times New Roman" w:hAnsi="Times New Roman"/>
          <w:color w:val="000000" w:themeColor="text1"/>
          <w:sz w:val="16"/>
          <w:szCs w:val="16"/>
        </w:rPr>
        <w:softHyphen/>
        <w:t>шин получила более мощное наступательное вооруже</w:t>
      </w:r>
      <w:r w:rsidRPr="00640820">
        <w:rPr>
          <w:rFonts w:ascii="Times New Roman" w:hAnsi="Times New Roman"/>
          <w:color w:val="000000" w:themeColor="text1"/>
          <w:sz w:val="16"/>
          <w:szCs w:val="16"/>
        </w:rPr>
        <w:softHyphen/>
        <w:t>ние: вместо одного курсового пулемета ШКАС установи</w:t>
      </w:r>
      <w:r w:rsidRPr="00640820">
        <w:rPr>
          <w:rFonts w:ascii="Times New Roman" w:hAnsi="Times New Roman"/>
          <w:color w:val="000000" w:themeColor="text1"/>
          <w:sz w:val="16"/>
          <w:szCs w:val="16"/>
        </w:rPr>
        <w:softHyphen/>
        <w:t>ли два пулемета БК калибра 12,7 мм. Хотя из привезенных частей и деталей предполагалось постро</w:t>
      </w:r>
      <w:r w:rsidRPr="00640820">
        <w:rPr>
          <w:rFonts w:ascii="Times New Roman" w:hAnsi="Times New Roman"/>
          <w:color w:val="000000" w:themeColor="text1"/>
          <w:sz w:val="16"/>
          <w:szCs w:val="16"/>
        </w:rPr>
        <w:softHyphen/>
        <w:t>ить пять самолетов, всего в Омске в течение 1942 г. изго</w:t>
      </w:r>
      <w:r w:rsidRPr="00640820">
        <w:rPr>
          <w:rFonts w:ascii="Times New Roman" w:hAnsi="Times New Roman"/>
          <w:color w:val="000000" w:themeColor="text1"/>
          <w:sz w:val="16"/>
          <w:szCs w:val="16"/>
        </w:rPr>
        <w:softHyphen/>
        <w:t>товили девять КОР-2. Испытания провели на полновод</w:t>
      </w:r>
      <w:r w:rsidRPr="00640820">
        <w:rPr>
          <w:rFonts w:ascii="Times New Roman" w:hAnsi="Times New Roman"/>
          <w:color w:val="000000" w:themeColor="text1"/>
          <w:sz w:val="16"/>
          <w:szCs w:val="16"/>
        </w:rPr>
        <w:softHyphen/>
        <w:t>ной реке Иртыш, после чего машины направили на Чер</w:t>
      </w:r>
      <w:r w:rsidRPr="00640820">
        <w:rPr>
          <w:rFonts w:ascii="Times New Roman" w:hAnsi="Times New Roman"/>
          <w:color w:val="000000" w:themeColor="text1"/>
          <w:sz w:val="16"/>
          <w:szCs w:val="16"/>
        </w:rPr>
        <w:softHyphen/>
        <w:t>ное море и Тихоокеанский флот (11107).</w:t>
      </w:r>
    </w:p>
    <w:p w14:paraId="20E7F40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8AB00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сентября 1941 г. состоялся полет второго серийного КОР-2 - заводской №28802. Тре</w:t>
      </w:r>
      <w:r w:rsidRPr="00640820">
        <w:rPr>
          <w:rFonts w:ascii="Times New Roman" w:hAnsi="Times New Roman"/>
          <w:color w:val="000000" w:themeColor="text1"/>
          <w:sz w:val="16"/>
          <w:szCs w:val="16"/>
        </w:rPr>
        <w:softHyphen/>
        <w:t>тий серийный испытать не успели — немец</w:t>
      </w:r>
      <w:r w:rsidRPr="00640820">
        <w:rPr>
          <w:rFonts w:ascii="Times New Roman" w:hAnsi="Times New Roman"/>
          <w:color w:val="000000" w:themeColor="text1"/>
          <w:sz w:val="16"/>
          <w:szCs w:val="16"/>
        </w:rPr>
        <w:softHyphen/>
        <w:t>кие войска подходили к Москве, поэтому по</w:t>
      </w:r>
      <w:r w:rsidRPr="00640820">
        <w:rPr>
          <w:rFonts w:ascii="Times New Roman" w:hAnsi="Times New Roman"/>
          <w:color w:val="000000" w:themeColor="text1"/>
          <w:sz w:val="16"/>
          <w:szCs w:val="16"/>
        </w:rPr>
        <w:softHyphen/>
        <w:t>следовало решение об эвакуации. Уже при продвижении на восток эшелон с имущест</w:t>
      </w:r>
      <w:r w:rsidRPr="00640820">
        <w:rPr>
          <w:rFonts w:ascii="Times New Roman" w:hAnsi="Times New Roman"/>
          <w:color w:val="000000" w:themeColor="text1"/>
          <w:sz w:val="16"/>
          <w:szCs w:val="16"/>
        </w:rPr>
        <w:softHyphen/>
        <w:t>вом завода №288 атаковали немецкие само</w:t>
      </w:r>
      <w:r w:rsidRPr="00640820">
        <w:rPr>
          <w:rFonts w:ascii="Times New Roman" w:hAnsi="Times New Roman"/>
          <w:color w:val="000000" w:themeColor="text1"/>
          <w:sz w:val="16"/>
          <w:szCs w:val="16"/>
        </w:rPr>
        <w:softHyphen/>
        <w:t>леты. Значительного ущерба они не нанесли, однако на память в недостроенных «КОРах- оставили несколько пулевых отверстий.</w:t>
      </w:r>
    </w:p>
    <w:p w14:paraId="4C8FC87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Первоначально коллектив Бериева на</w:t>
      </w:r>
      <w:r w:rsidRPr="00640820">
        <w:rPr>
          <w:rFonts w:ascii="Times New Roman" w:hAnsi="Times New Roman"/>
          <w:color w:val="000000" w:themeColor="text1"/>
          <w:sz w:val="16"/>
          <w:szCs w:val="16"/>
        </w:rPr>
        <w:softHyphen/>
        <w:t>правили в район Горького (Нижний Новго</w:t>
      </w:r>
      <w:r w:rsidRPr="00640820">
        <w:rPr>
          <w:rFonts w:ascii="Times New Roman" w:hAnsi="Times New Roman"/>
          <w:color w:val="000000" w:themeColor="text1"/>
          <w:sz w:val="16"/>
          <w:szCs w:val="16"/>
        </w:rPr>
        <w:softHyphen/>
        <w:t>род), однако там места для размещения не нашлось, и эшелоны проследовали далее,</w:t>
      </w:r>
      <w:r w:rsidRPr="00640820">
        <w:rPr>
          <w:rStyle w:val="9pt"/>
          <w:rFonts w:ascii="Times New Roman" w:hAnsi="Times New Roman" w:cs="Times New Roman"/>
          <w:i w:val="0"/>
          <w:color w:val="000000" w:themeColor="text1"/>
          <w:sz w:val="16"/>
          <w:szCs w:val="16"/>
        </w:rPr>
        <w:t xml:space="preserve"> в </w:t>
      </w:r>
      <w:r w:rsidRPr="00640820">
        <w:rPr>
          <w:rFonts w:ascii="Times New Roman" w:hAnsi="Times New Roman"/>
          <w:color w:val="000000" w:themeColor="text1"/>
          <w:sz w:val="16"/>
          <w:szCs w:val="16"/>
        </w:rPr>
        <w:t>Сибирь. Следующей остановкой стал город Омск — здесь на базе авиазавода №166 было продолжено совершенствование КОР-2. По соседству, в цехах, зачастую еше не имеющих крыш, строились самолеты Туполева, Мясищева и Томашевича. В этот трудный период</w:t>
      </w:r>
      <w:r w:rsidRPr="00640820">
        <w:rPr>
          <w:rStyle w:val="9pt"/>
          <w:rFonts w:ascii="Times New Roman" w:hAnsi="Times New Roman" w:cs="Times New Roman"/>
          <w:i w:val="0"/>
          <w:color w:val="000000" w:themeColor="text1"/>
          <w:sz w:val="16"/>
          <w:szCs w:val="16"/>
        </w:rPr>
        <w:t xml:space="preserve"> в </w:t>
      </w:r>
      <w:r w:rsidRPr="00640820">
        <w:rPr>
          <w:rFonts w:ascii="Times New Roman" w:hAnsi="Times New Roman"/>
          <w:color w:val="000000" w:themeColor="text1"/>
          <w:sz w:val="16"/>
          <w:szCs w:val="16"/>
        </w:rPr>
        <w:t>КБ Бериева разработали сухопутный вариант корабельного разведчика с неубираемым ко</w:t>
      </w:r>
      <w:r w:rsidRPr="00640820">
        <w:rPr>
          <w:rFonts w:ascii="Times New Roman" w:hAnsi="Times New Roman"/>
          <w:color w:val="000000" w:themeColor="text1"/>
          <w:sz w:val="16"/>
          <w:szCs w:val="16"/>
        </w:rPr>
        <w:softHyphen/>
        <w:t>лесным шасси. Сухопутный вариант успеш</w:t>
      </w:r>
      <w:r w:rsidRPr="00640820">
        <w:rPr>
          <w:rFonts w:ascii="Times New Roman" w:hAnsi="Times New Roman"/>
          <w:color w:val="000000" w:themeColor="text1"/>
          <w:sz w:val="16"/>
          <w:szCs w:val="16"/>
        </w:rPr>
        <w:softHyphen/>
        <w:t>но испытали на лыжах в Омске в период 2-26 марта 1943 г. Кроме этого, часть строящихся машин получила более мошное наступательное вооружение. Вместо одного курсового пулемета IIIКАС в носу установили два пу</w:t>
      </w:r>
      <w:r w:rsidRPr="00640820">
        <w:rPr>
          <w:rFonts w:ascii="Times New Roman" w:hAnsi="Times New Roman"/>
          <w:color w:val="000000" w:themeColor="text1"/>
          <w:sz w:val="16"/>
          <w:szCs w:val="16"/>
        </w:rPr>
        <w:softHyphen/>
        <w:t>лемета Березина (БК) калибра 12,7 мм. Хо</w:t>
      </w:r>
      <w:r w:rsidRPr="00640820">
        <w:rPr>
          <w:rFonts w:ascii="Times New Roman" w:hAnsi="Times New Roman"/>
          <w:color w:val="000000" w:themeColor="text1"/>
          <w:sz w:val="16"/>
          <w:szCs w:val="16"/>
        </w:rPr>
        <w:softHyphen/>
        <w:t>тя из привезенных частей и деталей предпо</w:t>
      </w:r>
      <w:r w:rsidRPr="00640820">
        <w:rPr>
          <w:rFonts w:ascii="Times New Roman" w:hAnsi="Times New Roman"/>
          <w:color w:val="000000" w:themeColor="text1"/>
          <w:sz w:val="16"/>
          <w:szCs w:val="16"/>
        </w:rPr>
        <w:softHyphen/>
        <w:t>лагалось построить 5 самолетов, всего в Омс</w:t>
      </w:r>
      <w:r w:rsidRPr="00640820">
        <w:rPr>
          <w:rFonts w:ascii="Times New Roman" w:hAnsi="Times New Roman"/>
          <w:color w:val="000000" w:themeColor="text1"/>
          <w:sz w:val="16"/>
          <w:szCs w:val="16"/>
        </w:rPr>
        <w:softHyphen/>
        <w:t>ке в течение 1942 г. изготовили 9 КОР-2 (три самолета вошли в план 1943 г.). Испытания провели на полноводной реке Иртыш, после чего машины направили на Черное море и Тихоокеанский флот (12301).</w:t>
      </w:r>
    </w:p>
    <w:p w14:paraId="43099767"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62022A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сентября 1941 года вышел приказ НКАП №1007сс во исполнение постановления ГКО № 681сс от 16 сентября 1941 года, на основании которого в сентябре-октябре 1941 года завод № 296 был эвакуирован из Харькова в Бердск Новосибирской области и размещен на территории Бердского элеватора.</w:t>
      </w:r>
    </w:p>
    <w:p w14:paraId="08131F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этой же территории был размещен завод № 49, а затем переименованный в завод № 9, эвакуированный из Бердянска.</w:t>
      </w:r>
    </w:p>
    <w:p w14:paraId="60B398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1943 года часть завода № 9 реэвакуировалась в Подольск, а часть рабочих и оборудования влились в завод № 296.</w:t>
      </w:r>
    </w:p>
    <w:p w14:paraId="64E5A0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Постановлением СМ и ЦК ВКП(б) № 1927-812с от 29 июля 1946 года и приказа МАП № 612 от 9 сентября 1946 года, завод № 296 реэвакуировался в Харьков и размещен на части территории завода № 135 на северной окраине Харькова.</w:t>
      </w:r>
    </w:p>
    <w:p w14:paraId="584B3D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Харьков 23, п/я 711</w:t>
      </w:r>
    </w:p>
    <w:p w14:paraId="59961D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1941 года по 1950 год – директор инженер-полковник Берман В.С.</w:t>
      </w:r>
    </w:p>
    <w:p w14:paraId="6F05FE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декабря 1950 года – директор – Ермоленко А.И.</w:t>
      </w:r>
    </w:p>
    <w:p w14:paraId="540487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конструктора на заводе нет. Имеется серийно-конструкторский отдел (9512).</w:t>
      </w:r>
    </w:p>
    <w:p w14:paraId="4CDE60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A26996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сентября 1941 вышло Постановление ГКО № 694 Об организации баз по хранению выстрелов М-8 и М-13. (7011, 5-6,7-19).</w:t>
      </w:r>
    </w:p>
    <w:p w14:paraId="05D6FF4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0BDC8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сентября 1941 вышло Постановление ГКО № 692 Об установлении транспортной воздушной связи с городом Ленинградом. (7011, 1-2).</w:t>
      </w:r>
    </w:p>
    <w:p w14:paraId="7617CE1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49C7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сентября 1941 ГКО поручил ГВФ организовать ежедневные полеты в Ленинград (446,368).</w:t>
      </w:r>
    </w:p>
    <w:p w14:paraId="4B75A6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B7F6689"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618D9106"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F018B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сентября 1941 вышло Постановление ГКО № 696 О производстве винтовок на заводах № 74 и 54 НКВ. РГАНИР, Фонд ГКО, д. 10, лл. 23-28, 29-40 (11012).</w:t>
      </w:r>
    </w:p>
    <w:p w14:paraId="495AB5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7F06DF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сентября 1941 вышло Постановление ГКО № 695 О формировании танковых бригад в октябре месяце с.г. [и назначении уполномоченных ГКО на предприятия НКТП.] (7011, 20-22).</w:t>
      </w:r>
    </w:p>
    <w:p w14:paraId="1DB7B7D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1440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20 сентября 1941 г. Пост. ГКО № 695сс заводу № 183 (Ордена Ленина завод № 183 им. Коминтерна НКОП, НКСМ, НКТП, Харьковский паровозостроительный завод (ХПЗ) им. Коминтерна НКТП, Государственный ХПЗ (ГХПЗ), Уральский танковый завод (УТЗ) № 183 им. Коминтерна НКТП, УТЗ им. Сталина НКТП, «Уралвагонзавод» (УВЗ) НКТП, Минтрансмаша, ПО «УВЗ» им. Ф.Э. Дзержинского», ФГУП «ПО «УВЗ им. Ф.Э. Дзержинского» ФАП, ОАО «Научно-производственная корпорация (НПК) «УВЗ» / г. Харьков п/я 61 «Коминтернзавод» (1938 г.);  г. Нижний Тагил/ /622007(51) установлены суточные планы по выпуску </w:t>
      </w:r>
      <w:r w:rsidRPr="00640820">
        <w:rPr>
          <w:rFonts w:ascii="Times New Roman" w:hAnsi="Times New Roman"/>
          <w:color w:val="000000" w:themeColor="text1"/>
          <w:sz w:val="16"/>
          <w:szCs w:val="16"/>
        </w:rPr>
        <w:lastRenderedPageBreak/>
        <w:t>Т-34: в период 1-25.10.1941 г. - по 3 шт.; 26-31.10.1941 г. - по 4 шт. Затем, в связи с эвакуацией завода, вышло новое распоряжение ГКО о начале выпуска танков на новом месте с 15.11.1941 г. Реально первые 25 машин были сданы 20.12.1941 г. 7.07.1942 г. вышло постановление ГКО № 2000 об обеспечении выпуска танков на заводе. В 1941 г. выпущено 1585 Т-34, в 1942 г. - 5654, в 1943 г. - 8466, в 1944 г. - 8429, в 1945 г.-7362 (11982).</w:t>
      </w:r>
    </w:p>
    <w:p w14:paraId="1FEAB6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A5F7D11" w14:textId="77777777" w:rsidR="00F52A2A" w:rsidRPr="00640820" w:rsidRDefault="00F52A2A" w:rsidP="00640820">
      <w:pPr>
        <w:pStyle w:val="ae"/>
        <w:spacing w:before="0" w:after="0"/>
        <w:jc w:val="both"/>
        <w:rPr>
          <w:color w:val="000000" w:themeColor="text1"/>
          <w:sz w:val="16"/>
          <w:szCs w:val="16"/>
        </w:rPr>
      </w:pPr>
      <w:r w:rsidRPr="00640820">
        <w:rPr>
          <w:color w:val="000000" w:themeColor="text1"/>
          <w:sz w:val="16"/>
          <w:szCs w:val="16"/>
        </w:rPr>
        <w:t>К 20 сентября 1941 немецкие войска вплотную подошли к Харькову, и находящиеся в городе предприятия приступили к эвакуации. Под</w:t>
      </w:r>
      <w:r w:rsidRPr="00640820">
        <w:rPr>
          <w:color w:val="000000" w:themeColor="text1"/>
          <w:sz w:val="16"/>
          <w:szCs w:val="16"/>
        </w:rPr>
        <w:softHyphen/>
        <w:t>готовка эвакуации ХТЗ началась 17 сентября. По планам, завод выво</w:t>
      </w:r>
      <w:r w:rsidRPr="00640820">
        <w:rPr>
          <w:color w:val="000000" w:themeColor="text1"/>
          <w:sz w:val="16"/>
          <w:szCs w:val="16"/>
        </w:rPr>
        <w:softHyphen/>
        <w:t>зился в Сталинград. Полностью эвакуировать производство с ХТЗ не удалось: ворвавшимся в город немецким войскам досталась часть обо</w:t>
      </w:r>
      <w:r w:rsidRPr="00640820">
        <w:rPr>
          <w:color w:val="000000" w:themeColor="text1"/>
          <w:sz w:val="16"/>
          <w:szCs w:val="16"/>
        </w:rPr>
        <w:softHyphen/>
        <w:t>рудования, а также несколько корпусов. Таким образом, единствен</w:t>
      </w:r>
      <w:r w:rsidRPr="00640820">
        <w:rPr>
          <w:color w:val="000000" w:themeColor="text1"/>
          <w:sz w:val="16"/>
          <w:szCs w:val="16"/>
        </w:rPr>
        <w:softHyphen/>
        <w:t>ным производителем Т-60 на несколько месяцев стал ГАЗ (17485).</w:t>
      </w:r>
    </w:p>
    <w:p w14:paraId="0C4D9C4B" w14:textId="77777777" w:rsidR="00F52A2A" w:rsidRPr="00640820" w:rsidRDefault="00F52A2A" w:rsidP="00640820">
      <w:pPr>
        <w:pStyle w:val="ae"/>
        <w:spacing w:before="0" w:after="0"/>
        <w:jc w:val="both"/>
        <w:rPr>
          <w:color w:val="000000" w:themeColor="text1"/>
          <w:sz w:val="16"/>
          <w:szCs w:val="16"/>
        </w:rPr>
      </w:pPr>
    </w:p>
    <w:p w14:paraId="187195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сентября 1941 г. вышло ПОСТАНОВЛЕНИЕ № ГКО-695сс</w:t>
      </w:r>
    </w:p>
    <w:p w14:paraId="588803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Москва, Кремль </w:t>
      </w:r>
    </w:p>
    <w:p w14:paraId="74E94D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 формировании танковых бригад в октябре м-це с.г.</w:t>
      </w:r>
    </w:p>
    <w:p w14:paraId="354B60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Государственный Комитет Обороны постановляет: </w:t>
      </w:r>
    </w:p>
    <w:p w14:paraId="27B49C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 Обязать ГАБТУ обеспечить в октябре месяце формирование 18 танковых бригад, из них 2 бригады за счет ремонтных фондов ГАБТУ, в следующие сроки: </w:t>
      </w:r>
    </w:p>
    <w:p w14:paraId="56D916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 октября - одна бригада </w:t>
      </w:r>
    </w:p>
    <w:p w14:paraId="614CEB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4 октября - одна бригада </w:t>
      </w:r>
    </w:p>
    <w:p w14:paraId="5EF641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6 октября - одна бригада </w:t>
      </w:r>
    </w:p>
    <w:p w14:paraId="2830BA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8 октября - одна бригада </w:t>
      </w:r>
    </w:p>
    <w:p w14:paraId="707024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10 октября - одна бригада </w:t>
      </w:r>
    </w:p>
    <w:p w14:paraId="1926FF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12 октября - одна бригада </w:t>
      </w:r>
    </w:p>
    <w:p w14:paraId="0822A3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14 октября - одна бригада </w:t>
      </w:r>
    </w:p>
    <w:p w14:paraId="33DB3C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16 октября - одна бригада </w:t>
      </w:r>
    </w:p>
    <w:p w14:paraId="7C9BDA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18 октября - одна бригада </w:t>
      </w:r>
    </w:p>
    <w:p w14:paraId="020EAC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20 октября - одна бригада </w:t>
      </w:r>
    </w:p>
    <w:p w14:paraId="0803FE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21 октября - одна бригада </w:t>
      </w:r>
    </w:p>
    <w:p w14:paraId="1C3FE7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23 октября - одна бригада </w:t>
      </w:r>
    </w:p>
    <w:p w14:paraId="5AABAE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24 октября - одна бригада </w:t>
      </w:r>
    </w:p>
    <w:p w14:paraId="0749A1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26 октября - одна бригада </w:t>
      </w:r>
    </w:p>
    <w:p w14:paraId="2EB5AF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27 октября - одна бригада </w:t>
      </w:r>
    </w:p>
    <w:p w14:paraId="0B1A61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29 октября - одна бригада </w:t>
      </w:r>
    </w:p>
    <w:p w14:paraId="0E0F8E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30 октября - одна бригада </w:t>
      </w:r>
    </w:p>
    <w:p w14:paraId="05DFC4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31 октября - одна бригада. </w:t>
      </w:r>
    </w:p>
    <w:p w14:paraId="74701E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 Обязать Наркомтанкопром - т. Малышева обеспечить в октябре месяце выпуск танков по следующему графику: </w:t>
      </w:r>
    </w:p>
    <w:p w14:paraId="0C604B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Танков "КВ" по ЧТЗ: </w:t>
      </w:r>
    </w:p>
    <w:p w14:paraId="6538D9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C 1 по 15 октября по 3 шт. ежедневно </w:t>
      </w:r>
    </w:p>
    <w:p w14:paraId="50F24B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16 по 25 октября по 4 шт. ежедневно </w:t>
      </w:r>
    </w:p>
    <w:p w14:paraId="7A5102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25 по 31 октября по 5 шт. ежедневно. </w:t>
      </w:r>
    </w:p>
    <w:p w14:paraId="10CA9B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Танков "Т-34". </w:t>
      </w:r>
    </w:p>
    <w:p w14:paraId="47B1DC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C 1 по 15 октября ежедневно по 11 шт., </w:t>
      </w:r>
    </w:p>
    <w:p w14:paraId="0D690C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т.ч. по заводу № 183 по 3 шт. ежедневно. </w:t>
      </w:r>
    </w:p>
    <w:p w14:paraId="12178D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16 по 20 октября ежедневно по 13 шт., </w:t>
      </w:r>
    </w:p>
    <w:p w14:paraId="2CAACC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т.ч. по заводу № 183 по 3 шт. ежедневно. </w:t>
      </w:r>
    </w:p>
    <w:p w14:paraId="2F723E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21 по 31 октября ежедневно по 14 шт., </w:t>
      </w:r>
    </w:p>
    <w:p w14:paraId="4CC936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т.ч. по заводу № 183 по 4 шт. ежедневно. </w:t>
      </w:r>
    </w:p>
    <w:p w14:paraId="5E36A5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Танков "Т-60". </w:t>
      </w:r>
    </w:p>
    <w:p w14:paraId="717A45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C 1 по 5 октября ежедневно по 14 шт., </w:t>
      </w:r>
    </w:p>
    <w:p w14:paraId="7AD2B8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т.ч. по заводу ГАЗ 3 шт. ежедневно. </w:t>
      </w:r>
    </w:p>
    <w:p w14:paraId="0103D4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C 6 по 10 октября ежедневно по 16 шт., </w:t>
      </w:r>
    </w:p>
    <w:p w14:paraId="0B013A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т.ч. по заводу ГАЗ 4 шт. ежедневно. </w:t>
      </w:r>
    </w:p>
    <w:p w14:paraId="4930C6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C 11 по 15 октября ежедневно по 17 шт., </w:t>
      </w:r>
    </w:p>
    <w:p w14:paraId="6F30DC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т.ч. по заводу ГАЗ 4 шт. ежедневно. </w:t>
      </w:r>
    </w:p>
    <w:p w14:paraId="4084F2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C 16 по 20 октября ежедневно по 19 шт., </w:t>
      </w:r>
    </w:p>
    <w:p w14:paraId="475610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т.ч. по заводу ГАЗ 6 шт. ежедневно. </w:t>
      </w:r>
    </w:p>
    <w:p w14:paraId="4BB485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C 21 по 25 октября ежедневно по 20 шт., </w:t>
      </w:r>
    </w:p>
    <w:p w14:paraId="6776E5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т.ч. по заводу ГАЗ 6 шт. ежедневно. </w:t>
      </w:r>
    </w:p>
    <w:p w14:paraId="575D96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C 26 по 31 октября ежедневно по 22 шт., </w:t>
      </w:r>
    </w:p>
    <w:p w14:paraId="3C5BA5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т.ч. по заводу ГАЗ 8 шт. ежедневно. </w:t>
      </w:r>
    </w:p>
    <w:p w14:paraId="22F721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 Обязать Наркомсредмаш - т. Акопова обеспечить в октябре месяце равномерную поставку ГАБТУ для вновь формируемых танковых бригад грузовых автомобилей ГАЗ-АА - 1500 шт., ГАЗ-ААА - 170 шт. и ЗИС-5 - 2400 шт. Автомашины поставляются комплектно с цепями Гаянта. </w:t>
      </w:r>
    </w:p>
    <w:p w14:paraId="7DD480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4. Обязать начальника УСГ т. Котова обеспечить в октябре месяце равномерную поставку ГАБТУ для вновь формируемых танковых бригад 270 бензоцистерн и 40 водомаслозаправщиков. </w:t>
      </w:r>
    </w:p>
    <w:p w14:paraId="5C5882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5. Обязать начальника ГАУ т. Яковлева обеспечить в октябре месяце поставку ГАБТУ для вновь формируемых танковых бригад зенитной и противотанковой артиллерии и других видов вооружения. </w:t>
      </w:r>
    </w:p>
    <w:p w14:paraId="4A9152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6. Обязать начальников Главных управлений НКО обеспечить в октябре месяце формирование танковых бригад в указанные сроки, согласно утвержденным штатам и табелям. </w:t>
      </w:r>
    </w:p>
    <w:p w14:paraId="440FAD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7. Обязать ГАУ КА (т. Яковлева) и Наркомат вооружения (т. Устинова) поставить в октябре с.г. Челябинскому тракторному заводу 150 пушек Ф-34 (допускающих установку бронировки толщиной не менее 60 мм), а также поставить вооружение для танков заводам № 183, СТЗ, № 37, № 112, ГАЗ, ХТЗ, ЧТЗ соответственно графику выпуска танков. </w:t>
      </w:r>
    </w:p>
    <w:p w14:paraId="287C99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Обязать УВВС КА (т. Соколов-Соколенок) перебросить до 28 сентября 40 пушек Ф-32 с Кировского завода (Наркомтанкопрома) на Челябинский тракторный завод. </w:t>
      </w:r>
    </w:p>
    <w:p w14:paraId="4F2C80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8. Обязать Управление гражданского воздушного флота т. Молокова обеспечить полностью транспортными самолетами по заявкам Наркомтанкопрома для обслуживания танковых заводов. </w:t>
      </w:r>
    </w:p>
    <w:p w14:paraId="795D29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9. Обязать НКПС (т. Кагановича) взять под особое наблюдение эвакуацию харьковских танковых заводов № 75 - в г. Челябинск, № 183 - в Нижний Тагил, ХТЗ - в Сталинград и Мариупольский им. Ильича - в Нижний Тагил, обеспечив внеочередное продвижение специальными маршрутами наряду с воинскими грузами особого назначения. </w:t>
      </w:r>
    </w:p>
    <w:p w14:paraId="06201A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10. Обязать Госплан СССР в трехдневный срок выделить Наркомтанкопрому для производства танков, танковых дизелей, арттягачей и запчастей, оборудование, инструмент, материалы и изделия полностью по заявкам НКТП с учетом обеспечения необходимых заделов, а также образования запасов на эвакуируемых заводов на новом месте их размещения. </w:t>
      </w:r>
    </w:p>
    <w:p w14:paraId="18B534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11. Распросnранить на октябрь и полседующие месяцы постановление ГКО от 10 сентября, устанавливающее порядок, очередность и ответственность за поставки и перевозки для танковых заводов. </w:t>
      </w:r>
    </w:p>
    <w:p w14:paraId="7AA788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12. Назначить уполномоченных Государственного Комитета Обороны по обеспечению выпуска танков и изделий для танков на следующие заводы: </w:t>
      </w:r>
    </w:p>
    <w:p w14:paraId="08264B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 Муромский завод - секретаря Муромского городского комитета ВКП(б) тов. Москвина. </w:t>
      </w:r>
    </w:p>
    <w:p w14:paraId="402366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 Выксунский завод (ДРО) - зам. народного комиссара станкостроительной промышленности тов. Петросьянц. </w:t>
      </w:r>
    </w:p>
    <w:p w14:paraId="291CFF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 Сталинградский тракторный и № 264 заводы по выпуску танковых дизелей В-2, бронекорпусов и танков Т-34 - секретаря Сталинградского обкома ВКП(б) т. Чуянова. </w:t>
      </w:r>
    </w:p>
    <w:p w14:paraId="58818E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4) Уралвагонзавод, Уралтурбомаш и Уралмаш по выпуску танков Т-34, танковых дизелей В-2 и бронекорпусов "КВ" - секретаря Свердловского обкома ВКП(б) т. Андрианова. </w:t>
      </w:r>
    </w:p>
    <w:p w14:paraId="7D3D66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5) Завод № 112 и Горьковский автозавод по выпуску танков Т-34, Т-60 и моторов М-17 - секретаря Горьковского обкома ВКП(б) т. Родионова. </w:t>
      </w:r>
    </w:p>
    <w:p w14:paraId="3787D7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6) Челябинский тракторный завод - секретаря Челябинского обкома ВКП(б) т. Сапрыкина. </w:t>
      </w:r>
    </w:p>
    <w:p w14:paraId="7153C9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ПРЕДСЕДАТЕЛЬ ГОСУДАРСТВЕННОГО КОМИТЕТА ОБОРОНЫ И. СТАЛИН </w:t>
      </w:r>
    </w:p>
    <w:p w14:paraId="3654D1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Выписки посланы: т.т. Шапошникову, Федоренко - все; наркомам - соответственно (11434).</w:t>
      </w:r>
    </w:p>
    <w:p w14:paraId="6F06B2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EF4786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сентября 1941 по данным штаба Ленинградского фронта, отгрузка броневых автомобилей с завода № 189 - 10 БА-10М линейных №№ 41907, 41908, 41916, 41909, 41915, 41921, 41912, 41911, 41922. 41919 - в ре</w:t>
      </w:r>
      <w:r w:rsidRPr="00640820">
        <w:rPr>
          <w:rFonts w:ascii="Times New Roman" w:hAnsi="Times New Roman"/>
          <w:color w:val="000000" w:themeColor="text1"/>
          <w:sz w:val="16"/>
          <w:szCs w:val="16"/>
        </w:rPr>
        <w:softHyphen/>
        <w:t>зерв командующего Ленинградским фронтом» (11284).</w:t>
      </w:r>
    </w:p>
    <w:p w14:paraId="33BB649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0E49E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сентября 1941 г. вышел приказ № 255 Главмотовелопрома, в соответствии с которым требовалось усовершенствовать М-72, выпускаемые в Ижевске, в соответствии с результатами испытательного пробега М-72 по маршруту Москва -Ижевск - Пермь, проведенного 11-30 августа. В испытании участвовали А.К. Постников, Б.Н. Силкин, Б.В. Зефиров, Д.П. Вашков. На М-72, отправленных в пробег, доставили в Ижевск редкоземельные металлы для изго</w:t>
      </w:r>
      <w:r w:rsidRPr="00640820">
        <w:rPr>
          <w:rFonts w:ascii="Times New Roman" w:hAnsi="Times New Roman"/>
          <w:color w:val="000000" w:themeColor="text1"/>
          <w:sz w:val="16"/>
          <w:szCs w:val="16"/>
        </w:rPr>
        <w:softHyphen/>
        <w:t>товления специальной легированной стали. Пробег прошёл ус</w:t>
      </w:r>
      <w:r w:rsidRPr="00640820">
        <w:rPr>
          <w:rFonts w:ascii="Times New Roman" w:hAnsi="Times New Roman"/>
          <w:color w:val="000000" w:themeColor="text1"/>
          <w:sz w:val="16"/>
          <w:szCs w:val="16"/>
        </w:rPr>
        <w:softHyphen/>
        <w:t>пешно, хотя и не дал ожидаемых технических результатов [5.12]. На ММЗ выпуск М-72 нарастал, и в некоторые дни достигал 70 машин. Завод работал с большим напряжением. Готовые мо</w:t>
      </w:r>
      <w:r w:rsidRPr="00640820">
        <w:rPr>
          <w:rFonts w:ascii="Times New Roman" w:hAnsi="Times New Roman"/>
          <w:color w:val="000000" w:themeColor="text1"/>
          <w:sz w:val="16"/>
          <w:szCs w:val="16"/>
        </w:rPr>
        <w:softHyphen/>
        <w:t>тоциклы полностью укомплектовывали, вооружали, заправляли горючим, сдавали войсковым подразделениям и отправляли на фронт прямо с территории ММЗ [5.11]. Из-за особенностей военного времени ходовые испытания мо</w:t>
      </w:r>
      <w:r w:rsidRPr="00640820">
        <w:rPr>
          <w:rFonts w:ascii="Times New Roman" w:hAnsi="Times New Roman"/>
          <w:color w:val="000000" w:themeColor="text1"/>
          <w:sz w:val="16"/>
          <w:szCs w:val="16"/>
        </w:rPr>
        <w:softHyphen/>
        <w:t>тоцикла М-72 своевременно не провели. Специалисты ВКБМ, ре</w:t>
      </w:r>
      <w:r w:rsidRPr="00640820">
        <w:rPr>
          <w:rFonts w:ascii="Times New Roman" w:hAnsi="Times New Roman"/>
          <w:color w:val="000000" w:themeColor="text1"/>
          <w:sz w:val="16"/>
          <w:szCs w:val="16"/>
        </w:rPr>
        <w:softHyphen/>
        <w:t>шили исправить эту недоработку. В соответствии с приказом № 261 Главмотовелопрома от 7 октяб</w:t>
      </w:r>
      <w:r w:rsidRPr="00640820">
        <w:rPr>
          <w:rFonts w:ascii="Times New Roman" w:hAnsi="Times New Roman"/>
          <w:color w:val="000000" w:themeColor="text1"/>
          <w:sz w:val="16"/>
          <w:szCs w:val="16"/>
        </w:rPr>
        <w:softHyphen/>
        <w:t>ря 1941 г. провели повторный испытательный мотопробег в более сложных условиях на расстояние более 5 тыс. км. Предполагали серийный М-72 с чугунным картером двигателя и ИЖ-12 сравнить с тремя иномарками: Рояль-Энфильд (350 см</w:t>
      </w:r>
      <w:r w:rsidRPr="00640820">
        <w:rPr>
          <w:rFonts w:ascii="Times New Roman" w:hAnsi="Times New Roman"/>
          <w:color w:val="000000" w:themeColor="text1"/>
          <w:sz w:val="16"/>
          <w:szCs w:val="16"/>
          <w:vertAlign w:val="superscript"/>
        </w:rPr>
        <w:t>3</w:t>
      </w:r>
      <w:r w:rsidRPr="00640820">
        <w:rPr>
          <w:rFonts w:ascii="Times New Roman" w:hAnsi="Times New Roman"/>
          <w:color w:val="000000" w:themeColor="text1"/>
          <w:sz w:val="16"/>
          <w:szCs w:val="16"/>
        </w:rPr>
        <w:t>), Мото-Гуцци и Три</w:t>
      </w:r>
      <w:r w:rsidRPr="00640820">
        <w:rPr>
          <w:rFonts w:ascii="Times New Roman" w:hAnsi="Times New Roman"/>
          <w:color w:val="000000" w:themeColor="text1"/>
          <w:sz w:val="16"/>
          <w:szCs w:val="16"/>
        </w:rPr>
        <w:softHyphen/>
        <w:t>умф - (по 500 см</w:t>
      </w:r>
      <w:r w:rsidRPr="00640820">
        <w:rPr>
          <w:rFonts w:ascii="Times New Roman" w:hAnsi="Times New Roman"/>
          <w:color w:val="000000" w:themeColor="text1"/>
          <w:sz w:val="16"/>
          <w:szCs w:val="16"/>
          <w:vertAlign w:val="superscript"/>
        </w:rPr>
        <w:t>3</w:t>
      </w:r>
      <w:r w:rsidRPr="00640820">
        <w:rPr>
          <w:rFonts w:ascii="Times New Roman" w:hAnsi="Times New Roman"/>
          <w:color w:val="000000" w:themeColor="text1"/>
          <w:sz w:val="16"/>
          <w:szCs w:val="16"/>
        </w:rPr>
        <w:t xml:space="preserve"> с колясками [5.13]). Выбранную трассу преодо</w:t>
      </w:r>
      <w:r w:rsidRPr="00640820">
        <w:rPr>
          <w:rFonts w:ascii="Times New Roman" w:hAnsi="Times New Roman"/>
          <w:color w:val="000000" w:themeColor="text1"/>
          <w:sz w:val="16"/>
          <w:szCs w:val="16"/>
        </w:rPr>
        <w:softHyphen/>
        <w:t>лели во второй половине октября - начале ноября. Двигались в сложнейших погодных условиях под дождём и снегом, в грязи рас</w:t>
      </w:r>
      <w:r w:rsidRPr="00640820">
        <w:rPr>
          <w:rFonts w:ascii="Times New Roman" w:hAnsi="Times New Roman"/>
          <w:color w:val="000000" w:themeColor="text1"/>
          <w:sz w:val="16"/>
          <w:szCs w:val="16"/>
        </w:rPr>
        <w:softHyphen/>
        <w:t>кисших грунтовых дорог, что характерно для осени. Зато выявили недостатки, позволившие улучшить конструкцию М-72 и усовер</w:t>
      </w:r>
      <w:r w:rsidRPr="00640820">
        <w:rPr>
          <w:rFonts w:ascii="Times New Roman" w:hAnsi="Times New Roman"/>
          <w:color w:val="000000" w:themeColor="text1"/>
          <w:sz w:val="16"/>
          <w:szCs w:val="16"/>
        </w:rPr>
        <w:softHyphen/>
        <w:t>шенствовать технологию производства (11429).</w:t>
      </w:r>
    </w:p>
    <w:p w14:paraId="3A36B98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774A60" w14:textId="77777777" w:rsidR="007C476F" w:rsidRPr="00640820" w:rsidRDefault="007C476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сентября 1941 г.</w:t>
      </w:r>
    </w:p>
    <w:p w14:paraId="5B6D2DC6" w14:textId="77777777" w:rsidR="007C476F" w:rsidRPr="00640820" w:rsidRDefault="007C476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Протоколы заседаний бюро Ленинградского городского комитета ВКП(б)</w:t>
      </w:r>
    </w:p>
    <w:p w14:paraId="0681EA29" w14:textId="77777777" w:rsidR="007C476F" w:rsidRPr="00640820" w:rsidRDefault="007C476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20 сентября 1941 г.</w:t>
      </w:r>
    </w:p>
    <w:p w14:paraId="4100E995" w14:textId="77777777" w:rsidR="007C476F" w:rsidRPr="00640820" w:rsidRDefault="007C476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70гс. — О работе завода №23 НКАП (особая папка).</w:t>
      </w:r>
    </w:p>
    <w:p w14:paraId="5B0DC5EE" w14:textId="77777777" w:rsidR="007C476F" w:rsidRPr="00640820" w:rsidRDefault="007C476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связи с окончанием выпуска6 заводом №23 НКАП самолетов ЛАГГ-3 оборудование, запасные части, материалы и рабочую силу передать рембазе №1 ВВС Л. Ф.</w:t>
      </w:r>
    </w:p>
    <w:p w14:paraId="3A6F1C45" w14:textId="77777777" w:rsidR="007C476F" w:rsidRPr="00640820" w:rsidRDefault="007C476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19/IX–41 г.</w:t>
      </w:r>
    </w:p>
    <w:p w14:paraId="539C509E" w14:textId="77777777" w:rsidR="007C476F" w:rsidRPr="00640820" w:rsidRDefault="007C476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Подписи — Капустин, Кузнецов, Никитин, Попков.</w:t>
      </w:r>
    </w:p>
    <w:p w14:paraId="2ECD972A" w14:textId="77777777" w:rsidR="007C476F" w:rsidRPr="00640820" w:rsidRDefault="007C476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ЦГАИПД СПб. Ф. 25. Оп.2а. Д. 156. Л. 102. Оригинал, машинопись. Подписи — автографы (19720).</w:t>
      </w:r>
    </w:p>
    <w:p w14:paraId="202CF0F7" w14:textId="77777777" w:rsidR="007C476F" w:rsidRPr="00640820" w:rsidRDefault="007C476F" w:rsidP="00640820">
      <w:pPr>
        <w:autoSpaceDE w:val="0"/>
        <w:autoSpaceDN w:val="0"/>
        <w:adjustRightInd w:val="0"/>
        <w:spacing w:after="0" w:line="240" w:lineRule="auto"/>
        <w:jc w:val="both"/>
        <w:rPr>
          <w:rFonts w:ascii="Times New Roman" w:hAnsi="Times New Roman"/>
          <w:color w:val="000000" w:themeColor="text1"/>
          <w:sz w:val="16"/>
          <w:szCs w:val="16"/>
        </w:rPr>
      </w:pPr>
    </w:p>
    <w:p w14:paraId="7724EAE0" w14:textId="77777777" w:rsidR="007C476F" w:rsidRPr="00640820" w:rsidRDefault="007C476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сентября 1941 г.</w:t>
      </w:r>
    </w:p>
    <w:p w14:paraId="5E538796" w14:textId="77777777" w:rsidR="007C476F" w:rsidRPr="00640820" w:rsidRDefault="007C476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Протоколы заседаний бюро Ленинградского городского комитета ВКП(б)</w:t>
      </w:r>
    </w:p>
    <w:p w14:paraId="45857B34" w14:textId="77777777" w:rsidR="007C476F" w:rsidRPr="00640820" w:rsidRDefault="007C476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20 сентября 1941 г.</w:t>
      </w:r>
    </w:p>
    <w:p w14:paraId="2CD46171" w14:textId="77777777" w:rsidR="007C476F" w:rsidRPr="00640820" w:rsidRDefault="007C476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73г. — Об организации бесперебойной торговли продовольственными товарами в усло-</w:t>
      </w:r>
    </w:p>
    <w:p w14:paraId="6AAB06F0" w14:textId="77777777" w:rsidR="007C476F" w:rsidRPr="00640820" w:rsidRDefault="007C476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виях ВТ.</w:t>
      </w:r>
    </w:p>
    <w:p w14:paraId="3E360BB1" w14:textId="77777777" w:rsidR="007C476F" w:rsidRPr="00640820" w:rsidRDefault="007C476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целях организации бесперебойной торговли основными продовольственными товарами в городе Ленинграде в условиях ВТ обязать в суточный срок:</w:t>
      </w:r>
    </w:p>
    <w:p w14:paraId="3A6B4B5C" w14:textId="77777777" w:rsidR="007C476F" w:rsidRPr="00640820" w:rsidRDefault="007C476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Начальника Ленглавресторана т. Фельдман организовывать продажу печеного хлеба по продовольственным карточкам через заводские и фабричные столовые и буфеты с соблюдением установленных правил продажи печеного хлеба по продовольственным карточкам.</w:t>
      </w:r>
    </w:p>
    <w:p w14:paraId="4136DBE4" w14:textId="77777777" w:rsidR="007C476F" w:rsidRPr="00640820" w:rsidRDefault="007C476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Начальника Управления продторгами г. Ленинграда т. Коновалова:</w:t>
      </w:r>
    </w:p>
    <w:p w14:paraId="709EA100" w14:textId="77777777" w:rsidR="007C476F" w:rsidRPr="00640820" w:rsidRDefault="007C476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организовать продажу печеного хлеба по продовольственным карточкам в крупных жилмассивах;</w:t>
      </w:r>
    </w:p>
    <w:p w14:paraId="109381C7" w14:textId="77777777" w:rsidR="007C476F" w:rsidRPr="00640820" w:rsidRDefault="007C476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организовать дополнительную продажу печеного хлеба в продовольственных магазинах (не менее 102 отделах) и увеличить количество работников прилавка в булочных и магазинах;</w:t>
      </w:r>
    </w:p>
    <w:p w14:paraId="05E65DAD" w14:textId="77777777" w:rsidR="007C476F" w:rsidRPr="00640820" w:rsidRDefault="007C476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для развозки печеного хлеба использовать тележки.</w:t>
      </w:r>
    </w:p>
    <w:p w14:paraId="71A47A08" w14:textId="77777777" w:rsidR="007C476F" w:rsidRPr="00640820" w:rsidRDefault="007C476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Разрешить во время ВТ продажу печеного хлеба и основных продовольственных товаров в булочных и магазинах, расположенных в капитальных помещениях 4–5-ти и выше этажей.</w:t>
      </w:r>
    </w:p>
    <w:p w14:paraId="4DEA69FC" w14:textId="77777777" w:rsidR="007C476F" w:rsidRPr="00640820" w:rsidRDefault="007C476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Обязать начальника МПВО города Ленинграда полковника Лагуткина немедленно обеспечить пропусками автогужтранспорт на право беспрепятственной перевозки продовольственных товаров с баз промышленности и торговых баз в магазины во время ВТ.</w:t>
      </w:r>
    </w:p>
    <w:p w14:paraId="34F0C3BC" w14:textId="77777777" w:rsidR="007C476F" w:rsidRPr="00640820" w:rsidRDefault="007C476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ЦГАИПД СПб. Ф. 25. Оп.2. Д. 3811. Л. 9. Копия, машинопись (19720).</w:t>
      </w:r>
    </w:p>
    <w:p w14:paraId="1391DF50" w14:textId="77777777" w:rsidR="007C476F" w:rsidRPr="00640820" w:rsidRDefault="007C476F" w:rsidP="00640820">
      <w:pPr>
        <w:autoSpaceDE w:val="0"/>
        <w:autoSpaceDN w:val="0"/>
        <w:adjustRightInd w:val="0"/>
        <w:spacing w:after="0" w:line="240" w:lineRule="auto"/>
        <w:jc w:val="both"/>
        <w:rPr>
          <w:rFonts w:ascii="Times New Roman" w:hAnsi="Times New Roman"/>
          <w:color w:val="000000" w:themeColor="text1"/>
          <w:sz w:val="16"/>
          <w:szCs w:val="16"/>
        </w:rPr>
      </w:pPr>
    </w:p>
    <w:p w14:paraId="5E30B5A2" w14:textId="77777777" w:rsidR="007C476F" w:rsidRPr="00640820" w:rsidRDefault="007C476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сентября 1941 г.</w:t>
      </w:r>
    </w:p>
    <w:p w14:paraId="0DB50330" w14:textId="77777777" w:rsidR="007C476F" w:rsidRPr="00640820" w:rsidRDefault="007C476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Протоколы заседаний бюро Ленинградского городского комитета ВКП(б)</w:t>
      </w:r>
    </w:p>
    <w:p w14:paraId="7447FB29" w14:textId="77777777" w:rsidR="007C476F" w:rsidRPr="00640820" w:rsidRDefault="007C476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20 сентября 1941 г.</w:t>
      </w:r>
    </w:p>
    <w:p w14:paraId="087B52FA" w14:textId="77777777" w:rsidR="007C476F" w:rsidRPr="00640820" w:rsidRDefault="007C476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75гс. — О производстве корпусов противопехотных мин из пластмасс (особая папка).</w:t>
      </w:r>
    </w:p>
    <w:p w14:paraId="7E2AF6B1" w14:textId="77777777" w:rsidR="007C476F" w:rsidRPr="00640820" w:rsidRDefault="007C476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Обязать Ленинградское городское управление местной промышленности (т. Позднякова) организовать на заводе «Пластмасс» производство корпусов из азбо-пекелита в количестве 5 тыс. штук в сутки со сдачей для снаряжения заводу № 522.</w:t>
      </w:r>
    </w:p>
    <w:p w14:paraId="5146D524" w14:textId="77777777" w:rsidR="007C476F" w:rsidRPr="00640820" w:rsidRDefault="007C476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Обязать завод электротехнических изделий (т. Часенко) изготовить для завода «Пластмасс» к 25.IX–41 г. 10 комплектов прессформ и организовать производство всех металлических деталей для противопехотных мин в количестве 5 тысяч комплектов в сутки со сдачей заводу «Пластмасс».</w:t>
      </w:r>
    </w:p>
    <w:p w14:paraId="256BB533" w14:textId="77777777" w:rsidR="007C476F" w:rsidRPr="00640820" w:rsidRDefault="007C476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Обязать директоров заводов — Асбестового (т. Филиппова) обеспечить производ-</w:t>
      </w:r>
    </w:p>
    <w:p w14:paraId="30132751" w14:textId="77777777" w:rsidR="007C476F" w:rsidRPr="00640820" w:rsidRDefault="007C476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ство противопехотных мин 5-го и 6-го сорта и завода «Картонталь» (т. Белякова) каменноугольным песком по заявкам завода «Пластмасс» ЛОУМП`а.</w:t>
      </w:r>
    </w:p>
    <w:p w14:paraId="69D81455" w14:textId="77777777" w:rsidR="007C476F" w:rsidRPr="00640820" w:rsidRDefault="007C476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Обязать институт «Пластмасс» (т. Дергачева) оказать техническую помощь заводу «Пластмасс» по производству противопехотных мин.</w:t>
      </w:r>
    </w:p>
    <w:p w14:paraId="2190ECC7" w14:textId="77777777" w:rsidR="007C476F" w:rsidRPr="00640820" w:rsidRDefault="007C476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18/IX–41 г.</w:t>
      </w:r>
    </w:p>
    <w:p w14:paraId="4FD85759" w14:textId="77777777" w:rsidR="007C476F" w:rsidRPr="00640820" w:rsidRDefault="007C476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Подписи — Капустин, Кузнецов, Никитин, Попков.</w:t>
      </w:r>
    </w:p>
    <w:p w14:paraId="399BCEFE" w14:textId="77777777" w:rsidR="007C476F" w:rsidRPr="00640820" w:rsidRDefault="007C476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ЦГАИПД СПб. Ф. 25. Оп.2а. Д. 156. Л. 108. Оригинал, машинопись. Подписи — автографы (19720).</w:t>
      </w:r>
    </w:p>
    <w:p w14:paraId="2960C210" w14:textId="77777777" w:rsidR="007C476F" w:rsidRPr="00640820" w:rsidRDefault="007C476F" w:rsidP="00640820">
      <w:pPr>
        <w:autoSpaceDE w:val="0"/>
        <w:autoSpaceDN w:val="0"/>
        <w:adjustRightInd w:val="0"/>
        <w:spacing w:after="0" w:line="240" w:lineRule="auto"/>
        <w:jc w:val="both"/>
        <w:rPr>
          <w:rFonts w:ascii="Times New Roman" w:hAnsi="Times New Roman"/>
          <w:color w:val="000000" w:themeColor="text1"/>
          <w:sz w:val="16"/>
          <w:szCs w:val="16"/>
        </w:rPr>
      </w:pPr>
    </w:p>
    <w:p w14:paraId="0001A6D9" w14:textId="77777777" w:rsidR="000D310A" w:rsidRPr="00640820" w:rsidRDefault="000D310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сентября 1941 года</w:t>
      </w:r>
    </w:p>
    <w:p w14:paraId="5A6A8DCD" w14:textId="77777777" w:rsidR="000D310A" w:rsidRPr="00640820" w:rsidRDefault="000D310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доклада начальника Транспортного управления НКВД СССР ст. майора госбезопасности Н. И. Синегубова председателю Совета по эвакуации при Совнаркоме СССР Н. М. Швернику.</w:t>
      </w:r>
    </w:p>
    <w:p w14:paraId="44CEC971" w14:textId="77777777" w:rsidR="000D310A" w:rsidRPr="00640820" w:rsidRDefault="000D310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Эвакуация судоремонтных заводов Наркомречфлота из районов прифронтовой полосы, расширение и постройка новых цехов на существующих заводах Поволжья и Зап. Сибири для размещения прибывающего оборудования проходит неудовлетворительно.</w:t>
      </w:r>
    </w:p>
    <w:p w14:paraId="4C12BED4" w14:textId="77777777" w:rsidR="000D310A" w:rsidRPr="00640820" w:rsidRDefault="000D310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Военный отдел НКРФ (ЛЕОНТЬЕВ) имеет планы эвакуации оборудования и расширения тыловых заводов, однако эти планы Советом эвакуации не утверждались и не соответствуют действительности, так как составлялись без учета реальной обстановки.</w:t>
      </w:r>
    </w:p>
    <w:p w14:paraId="062FAF80" w14:textId="77777777" w:rsidR="000D310A" w:rsidRPr="00640820" w:rsidRDefault="000D310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Например: эвакуируемое оборудование заводов Северо-Западного бассейна подлежит отправлению по плану Наркомречфлота на Волжские заводы, фактически же оборудование отправлено по распоряжению нач. Сев.ЦУРФ'а МАЛОВА в Череповецкие мастерские.</w:t>
      </w:r>
    </w:p>
    <w:p w14:paraId="6E6C64DD" w14:textId="77777777" w:rsidR="000D310A" w:rsidRPr="00640820" w:rsidRDefault="000D310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Волжские заводы, не получив намечавшегося им планом дополнительного оборудования, не обеспечивают выполнение заказов для фронта.</w:t>
      </w:r>
    </w:p>
    <w:p w14:paraId="4F66684C" w14:textId="77777777" w:rsidR="000D310A" w:rsidRPr="00640820" w:rsidRDefault="000D310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Заводы: им. "Памяти Парижской Коммуны" (в районе г. Горького), им. Куйбышева (Татария), им. Молотова (г. Горький) — до настоящего времени не имеют данных о том, какое прибудет к ним оборудование, какие цеха надо расширять или строить вновь.</w:t>
      </w:r>
    </w:p>
    <w:p w14:paraId="26BC08BF" w14:textId="77777777" w:rsidR="000D310A" w:rsidRPr="00640820" w:rsidRDefault="000D310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данным Наркомречфлота, Киевский завод им. Сталина должен эвакуировать свое оборудование на завод им. Бутякова (Марийская АССР), в то же время завод им. Бутякова обязан передать несколько своих станков заводу "Теплоход" (Горький).</w:t>
      </w:r>
    </w:p>
    <w:p w14:paraId="16A858C3" w14:textId="77777777" w:rsidR="000D310A" w:rsidRPr="00640820" w:rsidRDefault="000D310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Это объясняется неорганизованностью дела эвакуации. Зам. наркома ЛУКЬЯНОВ утвердил типовые проекты, перечень и объем строительства по основным заводам Наркомата, а зам. наркома РАХМАНИН, находясь на месте, изменил характер и объем строительства ряда заводов (завод им. Бутякова, им. Куйбышева).</w:t>
      </w:r>
    </w:p>
    <w:p w14:paraId="5361EE5B" w14:textId="77777777" w:rsidR="000D310A" w:rsidRPr="00640820" w:rsidRDefault="000D310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ЛУКЬЯНОВ приказал директорам заводов строить всюду деревянные обшивные цеха, а РАХМАНИН предложил заводу им. Бутякова строить цеха с кирпичными колоннами.</w:t>
      </w:r>
    </w:p>
    <w:p w14:paraId="6F01F7C4" w14:textId="77777777" w:rsidR="000D310A" w:rsidRPr="00640820" w:rsidRDefault="000D310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Начавшееся строительство новых цехов на заводах: Омском, им. Бутякова, Красноармейском и др. идет крайне медленно из-за отсутствия основных строительных материалов (цемент, кирпич, лес, гвозди, стекло) и рабочей силы.</w:t>
      </w:r>
    </w:p>
    <w:p w14:paraId="398B0AD2" w14:textId="77777777" w:rsidR="000D310A" w:rsidRPr="00640820" w:rsidRDefault="000D310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результате нераспорядительности военного отдела Наркомречфлота и специально выделенного правительственной комиссией зам. наркома ЛУКЬЯНОВА, ответственного за эвакуацию заводского оборудования, значительная часть дефицитного оборудования эвакуированных заводов уже более 2-х месяцев не используется и выполнение военных заказов из-за отсутствия оборудования срывается (19797).</w:t>
      </w:r>
    </w:p>
    <w:p w14:paraId="262AF46E" w14:textId="77777777" w:rsidR="000D310A" w:rsidRPr="00640820" w:rsidRDefault="000D310A" w:rsidP="00640820">
      <w:pPr>
        <w:spacing w:after="0" w:line="240" w:lineRule="auto"/>
        <w:jc w:val="both"/>
        <w:rPr>
          <w:rFonts w:ascii="Times New Roman" w:hAnsi="Times New Roman"/>
          <w:color w:val="000000" w:themeColor="text1"/>
          <w:sz w:val="16"/>
          <w:szCs w:val="16"/>
        </w:rPr>
      </w:pPr>
    </w:p>
    <w:p w14:paraId="58EFE724"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06833F5A"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422090E" w14:textId="77777777" w:rsidR="008D1ADA" w:rsidRPr="00640820" w:rsidRDefault="008D1ADA"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20 сентября </w:t>
      </w:r>
      <w:r w:rsidRPr="00640820">
        <w:rPr>
          <w:rFonts w:ascii="Times New Roman" w:hAnsi="Times New Roman"/>
          <w:color w:val="000000" w:themeColor="text1"/>
          <w:sz w:val="16"/>
          <w:szCs w:val="16"/>
        </w:rPr>
        <w:t>в 1941 году утреннее сообщение Совинформбюро:</w:t>
      </w:r>
    </w:p>
    <w:p w14:paraId="58C2421D" w14:textId="77777777" w:rsidR="008D1ADA" w:rsidRPr="00640820" w:rsidRDefault="008D1A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20 сентября наши войска вели бои с противником на всём фронте и особенно ожесточённые под Киевом.</w:t>
      </w:r>
    </w:p>
    <w:p w14:paraId="2F6F3F42" w14:textId="77777777" w:rsidR="008D1ADA" w:rsidRPr="00640820" w:rsidRDefault="008D1A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участков фронта подразделение старшего лейтенанта Ладутько разбило ударную группу 7-го белофинского полка. Белофинны потеряли более ста убитых и раненых. Захвачены 2 миномёта, 6 пулемётов, 5 противотанковых орудий, 9 автоматов и много тысяч патронов. Действующий на Северо-Западном направлении фронта отряд тов. Ксенофонтова захватил 16 немецких орудии, 20 автомашин, 6 мотоциклов и 10 пулемётов.</w:t>
      </w:r>
    </w:p>
    <w:p w14:paraId="59DA8FF5" w14:textId="77777777" w:rsidR="008D1ADA" w:rsidRPr="00640820" w:rsidRDefault="008D1A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Зенитная батарея Краснознамённого Балтийского флота отбила налёт десяти вражеских бомбардировщиков. Сбиты четыре самолёта противника. Лётчики-истребители Черноморского флота старший лейтенант Юдин и лейтенанты Круглов и Силин сбили три немецких бомбардировщика «Юнкерс-88». В воздушных боях на подступах к Одессе лётчики эскадрильи капитана Демченко сбили 15 вражеских самолётов.</w:t>
      </w:r>
    </w:p>
    <w:p w14:paraId="30D180B2" w14:textId="77777777" w:rsidR="008D1ADA" w:rsidRPr="00640820" w:rsidRDefault="008D1A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районах Ленинградской области, захваченных немецкими оккупантами, партизанские отряды наносят удар за ударом по тыловым частям, гарнизонам и движущимся к фронту колоннам противника. Партизанский отряд тов. Т., действующий в Гдовском районе, уничтожил с 13 августа по 10 сентября 2 легковые машины с шестью немецкими офицерами, 35 немецких велосипедистов и 6 мотоциклистов. Партизаны ликвидировали несколько немецких патрулей, уничтожив при этом 58 фашистских солдат. Партизанский отряд тов. Т. сжёг две железнодорожные дрезины и уничтожил 11 немецких солдат, находившихся на них. В Гдовском озере, в районе Маковщины, партизаны потопили две вражеские моторные лодки с 8 солдатами. В районе Добручи партизаны во многих местах уничтожили телефонную связь между частями противника. В районе Сланцев отряд партизан в двух местах минировал шоссе, в результате чего было подорвано несколько немецких бронемашин.</w:t>
      </w:r>
    </w:p>
    <w:p w14:paraId="70430C92" w14:textId="77777777" w:rsidR="008D1ADA" w:rsidRPr="00640820" w:rsidRDefault="008D1A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первых числах сентября партизанский отряд тов. К. взорвал 10 мостов на шоссейной дороге. На этом участке было на 5 дней прервано движение обозов и колонн противника. Бойцы отряда сожгли 10 бараков, в которых размещалась охрана мостов, и истребили фашистские караулы.</w:t>
      </w:r>
    </w:p>
    <w:p w14:paraId="57462A0F" w14:textId="77777777" w:rsidR="008D1ADA" w:rsidRPr="00640820" w:rsidRDefault="008D1A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Отряд, возглавляемый тов. И., действующий в Волосовском районе, в конце августа и в начале сентября провёл несколько смелых ночных операций. В районе Бегуницы партизаны перебили разведывательный отряд, состоявший из 40 немецких солдат. В том же районе партизаны убили трёх мотоциклистов и разрушили автомашины с походной кухней. В районе Муратово убиты 4 фашистских разведчика.</w:t>
      </w:r>
    </w:p>
    <w:p w14:paraId="39C86661" w14:textId="77777777" w:rsidR="008D1ADA" w:rsidRPr="00640820" w:rsidRDefault="008D1A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Освобождённые от фашистских захватчиков деревни Ельнинского района, Смоленской области, были разрушены фашистами. Колхозница Н. Авдеева рассказывает: «Нашу деревню Коноплянка фашисты сожгли. Колхозники пытались спасти часть имущества от огня, но фашистские грабители всё у нас отобрали и растащили. У меня они даже рубашку забрали. После долгих издевательств немцы нас погнали на передовые позиции. Сами они прятались в окопах, а нас выставляли вперёд под огонь. Так они делали не только в Ельне, но и в Юрьеве, Ивановичах и в других деревнях». Колхозница М. Баранова сообщает: «Когда фашистские душегубы ворвались в нашу деревню, они всех жителей выселили на улицу. Старики, женщины с грудными детьми остались под открытым небом. Фашистские бандиты взломали наши сундуки и растащили всё имущество. Незадолго до своего отступления немцы собрали всё население, выстроили нас и приказали следовать за ними. Тех, кто отказывался итти, солдаты избивали прикладами. Только случайно, благодаря возникшей панике, нам удалось спастись».</w:t>
      </w:r>
    </w:p>
    <w:p w14:paraId="580C646A" w14:textId="77777777" w:rsidR="008D1ADA" w:rsidRPr="00640820" w:rsidRDefault="008D1A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Боснии и Герцеговине продолжается борьба между югославскими повстанцами и итальянскими войсками. Отряды партизан нарушают коммуникации врага и нападают на итальянские и германские гарнизоны в деревнях и городах. В округе Сребреннца регулярные части фашистских наёмников-усташей 8 дней вели бои с большим отрядом партизан. В этих боях усташи потеряли 200 солдат убитыми и ранеными. По официальному итальянскому сообщению, в августе итальянские войска потеряли в Черногории и Герцеговине 1.300 солдат убитыми и ранеными. В действительности же итальянские потери намного превышают эту цифру.</w:t>
      </w:r>
    </w:p>
    <w:p w14:paraId="6E7513CB" w14:textId="77777777" w:rsidR="008D1ADA" w:rsidRPr="00640820" w:rsidRDefault="008D1A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Сибирские колхозы убирают высокий урожай. Колхозники Омской области намолачивают по 18—20 центнеров зерна с гектара. Хороший урожай собирают колхозники в Новосибирской области, Красноярском и Алтайском краях. Колхоз «Авангард» первым в Ермаковском районе закончил уборку зерновых культур на площади более 900 гектаров. Мастер комбайновой уборки тов. Горбачёв ежедневно убирал по 25—30 гектаров. Широко используются для уборки простейшие машины. На полях сельскохозяйственной артели имени Калинина, Колосовского района, Омской области, 12 простых уборочных машин ежедневно скашивают до 100 гектаров хлеба. Более чем в два раза перевыполняет нормы на жатке-самосброске тов. Буньков, член колхоза имени Сталина Тюкалинского района, Омской области. Стахановки т.т. Горбатова и Шпилько из колхоза имени Будённого, Беловского района, Новосибирской области, ежедневно вяжут по 1.240 снопов при норме в 500. В колхозе «Красный победитель», Тяжинского района, Новосибирской области, круглые сутки работает молотилка. Машинист тов. Федосенко за одни сутки намолачивает 1.260 пудов зерна. Колхоз поставляет государству отборное зерно.» (14775).</w:t>
      </w:r>
    </w:p>
    <w:p w14:paraId="1C85320F" w14:textId="77777777" w:rsidR="008D1ADA" w:rsidRPr="00640820" w:rsidRDefault="008D1ADA" w:rsidP="00640820">
      <w:pPr>
        <w:spacing w:after="0" w:line="240" w:lineRule="auto"/>
        <w:jc w:val="both"/>
        <w:rPr>
          <w:rFonts w:ascii="Times New Roman" w:hAnsi="Times New Roman"/>
          <w:color w:val="000000" w:themeColor="text1"/>
          <w:sz w:val="16"/>
          <w:szCs w:val="16"/>
        </w:rPr>
      </w:pPr>
    </w:p>
    <w:p w14:paraId="3CDE1EB9" w14:textId="77777777" w:rsidR="008D1ADA" w:rsidRPr="00640820" w:rsidRDefault="008D1ADA"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20 сентября </w:t>
      </w:r>
      <w:r w:rsidRPr="00640820">
        <w:rPr>
          <w:rFonts w:ascii="Times New Roman" w:hAnsi="Times New Roman"/>
          <w:color w:val="000000" w:themeColor="text1"/>
          <w:sz w:val="16"/>
          <w:szCs w:val="16"/>
        </w:rPr>
        <w:t>в 1941 году вечернее сообщение Совинформбюро:</w:t>
      </w:r>
    </w:p>
    <w:p w14:paraId="304D7EAB" w14:textId="77777777" w:rsidR="008D1ADA" w:rsidRPr="00640820" w:rsidRDefault="008D1A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20 сентября наши войска вели упорные бои с противником на всём фронте и особенно ожесточённые под Киевом.</w:t>
      </w:r>
    </w:p>
    <w:p w14:paraId="28012955" w14:textId="77777777" w:rsidR="008D1ADA" w:rsidRPr="00640820" w:rsidRDefault="008D1A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Наша авиация наносила удары по мотомехчастям, пехоте и артиллерии противника, бомбардировала его авиацию на аэродромах и уничтожала переправы.</w:t>
      </w:r>
    </w:p>
    <w:p w14:paraId="4F9B7918" w14:textId="77777777" w:rsidR="008D1ADA" w:rsidRPr="00640820" w:rsidRDefault="008D1A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18 сентября сбито в воздушных боях 16 немецких самолётов. Наши потери — 14 самолётов.</w:t>
      </w:r>
    </w:p>
    <w:p w14:paraId="1A81780B" w14:textId="77777777" w:rsidR="008D1ADA" w:rsidRPr="00640820" w:rsidRDefault="008D1A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Баренцовом море нашим кораблём потоплен крупный немецкий транспорт.»</w:t>
      </w:r>
    </w:p>
    <w:p w14:paraId="73E70E2B" w14:textId="77777777" w:rsidR="008D1ADA" w:rsidRPr="00640820" w:rsidRDefault="008D1A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Гитлеровские обманщики скрывают свои потери.</w:t>
      </w:r>
    </w:p>
    <w:p w14:paraId="02176F1A" w14:textId="77777777" w:rsidR="008D1ADA" w:rsidRPr="00640820" w:rsidRDefault="008D1A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«Гитлеровцы опубликовали данные о потерях немецкой авиации на Восточном фронте с 22 июня по 31 августа 1941 года. Фашистские лгуны заявляют, будто они за указанный период военных действий потеряли 725 самолётов и 6.900 лётчиков убитыми, ранеными и пропавшими без вести.</w:t>
      </w:r>
    </w:p>
    <w:p w14:paraId="580DE613" w14:textId="77777777" w:rsidR="008D1ADA" w:rsidRPr="00640820" w:rsidRDefault="008D1A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отношении этих данных следует заметить, что они сфальсифицированы грубо и шиты белыми нитками. В этих фальшивых данных содержится противоречие, разоблачающее жульничество авторов этих цифр, а именно: если даже считать, что немцы потеряли только 6.900 лётчиков, то самый простой подсчёт показывает, что они при всём желании не могли потерять лишь 725 самолётов. Принимая во внимание, что каждый современный самолёт-бомбардировщик имеет 4—5 лётчиков и учитывая также известное количество истребительной авиации, самолёты которой имеют по одному лётчику, следует считать, что на каждый уничтоженный самолёт приходится три лётчика. Таким образом, немцы, потеряв 6.900 лётчиков, по их собственным же подсчётам потеряли 2.300 самолётов. Но для всех очевидно, что и эта цифра нелепа и смехотворна.</w:t>
      </w:r>
    </w:p>
    <w:p w14:paraId="2840587F" w14:textId="77777777" w:rsidR="008D1ADA" w:rsidRPr="00640820" w:rsidRDefault="008D1A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Поскольку гитлеровцы скрывают от немецкого населения подлинные потери своей авиации, Советское Информбюро сообщает действительные потери немецкой авиации: за три месяца войны уничтожено в воздушных боях, зенитной артиллерией и на аэродромах более 8.500 немецких самолётов, не считая потерь немцев при взлётах и посадках.»</w:t>
      </w:r>
    </w:p>
    <w:p w14:paraId="478FD8B4" w14:textId="77777777" w:rsidR="008D1ADA" w:rsidRPr="00640820" w:rsidRDefault="008D1A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Налёт немецких самолётов на Ленинград.</w:t>
      </w:r>
    </w:p>
    <w:p w14:paraId="74793FB0" w14:textId="77777777" w:rsidR="008D1ADA" w:rsidRPr="00640820" w:rsidRDefault="008D1A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19 сентября немецко-фашистская авиация совершила несколько налётов на Ленинград. Значительная часть вражеских самолётов была рассеяна и отогнана на подступах к городу. Отдельным группам самолётов противника удалось прорваться в город и сбросить фугасные и зажигательные бомбы. Главным объектом своего нападения фашистская авиация избрала жилые дома, общественные здания, культурные и больнично-санитарные учреждения. Имеются убитые и раненые. По предварительным данным, нашей авиацией и зенитной артиллерией сбито 17 самолётов противника.»</w:t>
      </w:r>
    </w:p>
    <w:p w14:paraId="6A8D3C05" w14:textId="77777777" w:rsidR="008D1ADA" w:rsidRPr="00640820" w:rsidRDefault="008D1A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время танковой атаки подразделение капитана Шелудько разгромило 18 немецких танков и уничтожило большое количество вражеских орудий разных калибров. Часть подполковника Ермакова атаковала и уничтожила 2 роты белофиннов. На этом же участке артиллерийским огнём рассеяна вражеская колонна, уничтожена большая группа немецких солдат, несколько машин с боеприпасами и 7 противотанковых пушек.</w:t>
      </w:r>
    </w:p>
    <w:p w14:paraId="47447A09" w14:textId="77777777" w:rsidR="008D1ADA" w:rsidRPr="00640820" w:rsidRDefault="008D1A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Западном направлении фронта одна из наших частей уничтожила 4 танка, 16 автомашин, 2 бронемашины, 7 мотоциклов, 3 пулемёта. Захвачено три исправных орудия и миномёты. В бою немцы потеряли убитыми 200 солдат и офицеров. На другом участке фронта наши части захватили 2 орудия, 7 миномётов и 37 станковых пулемётов.</w:t>
      </w:r>
    </w:p>
    <w:p w14:paraId="290A8C87" w14:textId="77777777" w:rsidR="008D1ADA" w:rsidRPr="00640820" w:rsidRDefault="008D1A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невероятной жестокостью обращаются фашисты с захваченными в плен ранеными бойцами Красной Армии. В деревне Ростовское немцы захватили в плен пять тяжело раненных красноармейцев. Мужественные советские патриоты, несмотря на зверские пытки, не дали фашистам никаких показаний. Тогда гитлеровцы повесили красноармейцев. Одного из них повесили за ногу. В Минском лагере военнопленных каждый день от голода и издевательств умирает несколько десятков заключённых. В городе Корма заключённые в лагерь военнопленных раненые красноармейцы содержатся в поле, под открытым небом. Немцы изредка бросают за колючую проволоку трупы дохлых лошадей. Никакой пищи пленные не получают. Местные жители попытались передать заключённым хлеб и яблоки. Тогда фашисты открыли по ним огонь из пулемётов. Три женщины были убиты. В село Васильевка фашисты доставили пять раненых пленных красноармейцев. Собрав крестьян, фашистский офицер произнёс речь, в которой заявил, что он отпускает пленных красноармейцев на свободу. Через несколько дней партизаны нашли в 9 километрах от Васильевки зверски изуродованные трупы красноармейцев — жертв этой гнусной фашистской инсценировки.</w:t>
      </w:r>
    </w:p>
    <w:p w14:paraId="14BDE80B" w14:textId="77777777" w:rsidR="008D1ADA" w:rsidRPr="00640820" w:rsidRDefault="008D1A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Успешно работают металлурги Урала и Востока, выполняя заказы фронта и тыла. Магнитогорские металлурги значительно увеличили темпы выплавки чугуна и стали, успешно осваивают новые марки металла. Из месяца в месяц перевыполняют план доменщики третьей печи под руководством мастеров т.т. Шатилина, Черкасова и Герасимова. Молодёжная смена ежедневно даёт сверх плана десятки тонн металла, вырабатывая 130 процентов нормы. На два часа раньше срока </w:t>
      </w:r>
      <w:r w:rsidRPr="00640820">
        <w:rPr>
          <w:rFonts w:ascii="Times New Roman" w:hAnsi="Times New Roman"/>
          <w:color w:val="000000" w:themeColor="text1"/>
          <w:sz w:val="16"/>
          <w:szCs w:val="16"/>
        </w:rPr>
        <w:lastRenderedPageBreak/>
        <w:t>заканчивает плавки тов. Болотский. Сталевар первой печи т. Щербо даёт плавку на 2-3 часа быстрее установленного срока. Сталевары т.т. Коршенко, Колодяжный и Ладик дали на 30 плавок больше нормы, ни разу не остановив печь на ремонт.</w:t>
      </w:r>
    </w:p>
    <w:p w14:paraId="547BAF08" w14:textId="77777777" w:rsidR="008D1ADA" w:rsidRPr="00640820" w:rsidRDefault="008D1A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передовых рядах советских металлургов идёт коллектив доменного цеха Кузнецкого металлургического завода. За два месяца войны он выпустил сверх плана много тысяч тонн металла, сэкономил десятки тысяч тонн железной руды и другого сырья. Сталевары четвёртой печи Златоустовского металлургического завода т.т. Ногаев, Симонов и Сергеев выпускают 80 процентов всех плавок скоростными методами.» (14775).</w:t>
      </w:r>
    </w:p>
    <w:p w14:paraId="27F6B939" w14:textId="77777777" w:rsidR="008D1ADA" w:rsidRPr="00640820" w:rsidRDefault="008D1ADA" w:rsidP="00640820">
      <w:pPr>
        <w:spacing w:after="0" w:line="240" w:lineRule="auto"/>
        <w:jc w:val="both"/>
        <w:rPr>
          <w:rFonts w:ascii="Times New Roman" w:hAnsi="Times New Roman"/>
          <w:color w:val="000000" w:themeColor="text1"/>
          <w:sz w:val="16"/>
          <w:szCs w:val="16"/>
        </w:rPr>
      </w:pPr>
    </w:p>
    <w:p w14:paraId="3F2C8817" w14:textId="77777777" w:rsidR="008D1ADA" w:rsidRPr="00640820" w:rsidRDefault="008D1ADA"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20 сентября </w:t>
      </w:r>
      <w:r w:rsidRPr="00640820">
        <w:rPr>
          <w:rFonts w:ascii="Times New Roman" w:hAnsi="Times New Roman"/>
          <w:color w:val="000000" w:themeColor="text1"/>
          <w:sz w:val="16"/>
          <w:szCs w:val="16"/>
        </w:rPr>
        <w:t>в 1941 году И.В.Сталин требует от командующего 54-й армии маршала Григория Кулика "пробить брешь во фронте противника и соединиться с ленинградцами, а потом уже будет поздно". Однако Кулик не преуспеет в прорыве блокады (14775).</w:t>
      </w:r>
    </w:p>
    <w:p w14:paraId="2A6D9FAA" w14:textId="77777777" w:rsidR="008D1ADA" w:rsidRPr="00640820" w:rsidRDefault="008D1ADA" w:rsidP="00640820">
      <w:pPr>
        <w:spacing w:after="0" w:line="240" w:lineRule="auto"/>
        <w:jc w:val="both"/>
        <w:rPr>
          <w:rFonts w:ascii="Times New Roman" w:hAnsi="Times New Roman"/>
          <w:color w:val="000000" w:themeColor="text1"/>
          <w:sz w:val="16"/>
          <w:szCs w:val="16"/>
        </w:rPr>
      </w:pPr>
    </w:p>
    <w:p w14:paraId="4A931745" w14:textId="77777777" w:rsidR="008D1ADA" w:rsidRPr="00640820" w:rsidRDefault="008D1ADA"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20 сентября </w:t>
      </w:r>
      <w:r w:rsidRPr="00640820">
        <w:rPr>
          <w:rFonts w:ascii="Times New Roman" w:hAnsi="Times New Roman"/>
          <w:color w:val="000000" w:themeColor="text1"/>
          <w:sz w:val="16"/>
          <w:szCs w:val="16"/>
        </w:rPr>
        <w:t>в 1941 году войска Южного фронта, действовавшие на Нижнем Днепре, отошли на перешеек между Днепровскими плавнями (южнее Запорожья) и озером Молочное. Войска Одесского оборонительно района остановили наступление противника на главном рубеже обороны в 8-15 км от города (14775).</w:t>
      </w:r>
    </w:p>
    <w:p w14:paraId="07F09C18" w14:textId="77777777" w:rsidR="008D1ADA" w:rsidRPr="00640820" w:rsidRDefault="008D1ADA" w:rsidP="00640820">
      <w:pPr>
        <w:spacing w:after="0" w:line="240" w:lineRule="auto"/>
        <w:jc w:val="both"/>
        <w:rPr>
          <w:rFonts w:ascii="Times New Roman" w:hAnsi="Times New Roman"/>
          <w:color w:val="000000" w:themeColor="text1"/>
          <w:sz w:val="16"/>
          <w:szCs w:val="16"/>
        </w:rPr>
      </w:pPr>
    </w:p>
    <w:p w14:paraId="34A0F9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Наличие самолетов Пе-2/Пе-З в частях действующей армии на некоторые даты по данным "Справочника по боевому и численному составу ВВС СА (1941-1945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19"/>
        <w:gridCol w:w="1019"/>
        <w:gridCol w:w="1019"/>
        <w:gridCol w:w="1019"/>
        <w:gridCol w:w="1019"/>
        <w:gridCol w:w="1019"/>
      </w:tblGrid>
      <w:tr w:rsidR="00643896" w:rsidRPr="00640820" w14:paraId="2C6B4589" w14:textId="77777777" w:rsidTr="000D3BCB">
        <w:tc>
          <w:tcPr>
            <w:tcW w:w="1019" w:type="dxa"/>
            <w:tcBorders>
              <w:top w:val="single" w:sz="12" w:space="0" w:color="auto"/>
            </w:tcBorders>
          </w:tcPr>
          <w:p w14:paraId="1E7E06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Соединение (объединение)</w:t>
            </w:r>
          </w:p>
        </w:tc>
        <w:tc>
          <w:tcPr>
            <w:tcW w:w="1019" w:type="dxa"/>
            <w:tcBorders>
              <w:top w:val="single" w:sz="12" w:space="0" w:color="auto"/>
            </w:tcBorders>
          </w:tcPr>
          <w:p w14:paraId="63C8E2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20.9.1941</w:t>
            </w:r>
          </w:p>
        </w:tc>
        <w:tc>
          <w:tcPr>
            <w:tcW w:w="1019" w:type="dxa"/>
            <w:tcBorders>
              <w:top w:val="single" w:sz="12" w:space="0" w:color="auto"/>
            </w:tcBorders>
          </w:tcPr>
          <w:p w14:paraId="2CB696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1.10.1941</w:t>
            </w:r>
          </w:p>
        </w:tc>
        <w:tc>
          <w:tcPr>
            <w:tcW w:w="1019" w:type="dxa"/>
            <w:tcBorders>
              <w:top w:val="single" w:sz="12" w:space="0" w:color="auto"/>
            </w:tcBorders>
          </w:tcPr>
          <w:p w14:paraId="73C44E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1.11.1941</w:t>
            </w:r>
          </w:p>
        </w:tc>
        <w:tc>
          <w:tcPr>
            <w:tcW w:w="1019" w:type="dxa"/>
            <w:tcBorders>
              <w:top w:val="single" w:sz="12" w:space="0" w:color="auto"/>
            </w:tcBorders>
          </w:tcPr>
          <w:p w14:paraId="4D0753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1.12.1941</w:t>
            </w:r>
          </w:p>
        </w:tc>
        <w:tc>
          <w:tcPr>
            <w:tcW w:w="1019" w:type="dxa"/>
            <w:tcBorders>
              <w:top w:val="single" w:sz="12" w:space="0" w:color="auto"/>
            </w:tcBorders>
          </w:tcPr>
          <w:p w14:paraId="2D1226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1.1.1942</w:t>
            </w:r>
          </w:p>
        </w:tc>
      </w:tr>
      <w:tr w:rsidR="00643896" w:rsidRPr="00640820" w14:paraId="2E610DC1" w14:textId="77777777" w:rsidTr="000D3BCB">
        <w:tc>
          <w:tcPr>
            <w:tcW w:w="1019" w:type="dxa"/>
          </w:tcPr>
          <w:p w14:paraId="2A5755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ЛенФ</w:t>
            </w:r>
          </w:p>
        </w:tc>
        <w:tc>
          <w:tcPr>
            <w:tcW w:w="1019" w:type="dxa"/>
          </w:tcPr>
          <w:p w14:paraId="73794E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w:t>
            </w:r>
          </w:p>
        </w:tc>
        <w:tc>
          <w:tcPr>
            <w:tcW w:w="1019" w:type="dxa"/>
          </w:tcPr>
          <w:p w14:paraId="0FC637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15/3</w:t>
            </w:r>
          </w:p>
        </w:tc>
        <w:tc>
          <w:tcPr>
            <w:tcW w:w="1019" w:type="dxa"/>
          </w:tcPr>
          <w:p w14:paraId="4256CA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9/2</w:t>
            </w:r>
          </w:p>
        </w:tc>
        <w:tc>
          <w:tcPr>
            <w:tcW w:w="1019" w:type="dxa"/>
          </w:tcPr>
          <w:p w14:paraId="169218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6/3</w:t>
            </w:r>
          </w:p>
        </w:tc>
        <w:tc>
          <w:tcPr>
            <w:tcW w:w="1019" w:type="dxa"/>
          </w:tcPr>
          <w:p w14:paraId="7DCCA1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5/1</w:t>
            </w:r>
          </w:p>
        </w:tc>
      </w:tr>
      <w:tr w:rsidR="00643896" w:rsidRPr="00640820" w14:paraId="31F0F328" w14:textId="77777777" w:rsidTr="000D3BCB">
        <w:tc>
          <w:tcPr>
            <w:tcW w:w="1019" w:type="dxa"/>
          </w:tcPr>
          <w:p w14:paraId="5C5979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СЗФ</w:t>
            </w:r>
          </w:p>
        </w:tc>
        <w:tc>
          <w:tcPr>
            <w:tcW w:w="1019" w:type="dxa"/>
          </w:tcPr>
          <w:p w14:paraId="6F9931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w:t>
            </w:r>
          </w:p>
        </w:tc>
        <w:tc>
          <w:tcPr>
            <w:tcW w:w="1019" w:type="dxa"/>
          </w:tcPr>
          <w:p w14:paraId="631196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26/3</w:t>
            </w:r>
          </w:p>
        </w:tc>
        <w:tc>
          <w:tcPr>
            <w:tcW w:w="1019" w:type="dxa"/>
          </w:tcPr>
          <w:p w14:paraId="34C0C7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15/2</w:t>
            </w:r>
          </w:p>
        </w:tc>
        <w:tc>
          <w:tcPr>
            <w:tcW w:w="1019" w:type="dxa"/>
          </w:tcPr>
          <w:p w14:paraId="62BF6D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13/1</w:t>
            </w:r>
          </w:p>
        </w:tc>
        <w:tc>
          <w:tcPr>
            <w:tcW w:w="1019" w:type="dxa"/>
          </w:tcPr>
          <w:p w14:paraId="64CD45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10/3</w:t>
            </w:r>
          </w:p>
        </w:tc>
      </w:tr>
      <w:tr w:rsidR="00643896" w:rsidRPr="00640820" w14:paraId="7FF4BA00" w14:textId="77777777" w:rsidTr="000D3BCB">
        <w:tc>
          <w:tcPr>
            <w:tcW w:w="1019" w:type="dxa"/>
          </w:tcPr>
          <w:p w14:paraId="03AD18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ЗФ</w:t>
            </w:r>
          </w:p>
        </w:tc>
        <w:tc>
          <w:tcPr>
            <w:tcW w:w="1019" w:type="dxa"/>
          </w:tcPr>
          <w:p w14:paraId="228B1D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29</w:t>
            </w:r>
          </w:p>
        </w:tc>
        <w:tc>
          <w:tcPr>
            <w:tcW w:w="1019" w:type="dxa"/>
          </w:tcPr>
          <w:p w14:paraId="4DF16F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29/4</w:t>
            </w:r>
          </w:p>
        </w:tc>
        <w:tc>
          <w:tcPr>
            <w:tcW w:w="1019" w:type="dxa"/>
          </w:tcPr>
          <w:p w14:paraId="42589D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43/12</w:t>
            </w:r>
          </w:p>
        </w:tc>
        <w:tc>
          <w:tcPr>
            <w:tcW w:w="1019" w:type="dxa"/>
          </w:tcPr>
          <w:p w14:paraId="5C9B0F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23/8</w:t>
            </w:r>
          </w:p>
        </w:tc>
        <w:tc>
          <w:tcPr>
            <w:tcW w:w="1019" w:type="dxa"/>
          </w:tcPr>
          <w:p w14:paraId="43B132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19/8</w:t>
            </w:r>
          </w:p>
        </w:tc>
      </w:tr>
      <w:tr w:rsidR="00643896" w:rsidRPr="00640820" w14:paraId="71CA5599" w14:textId="77777777" w:rsidTr="000D3BCB">
        <w:tc>
          <w:tcPr>
            <w:tcW w:w="1019" w:type="dxa"/>
          </w:tcPr>
          <w:p w14:paraId="6A9092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ЮЗФ</w:t>
            </w:r>
          </w:p>
        </w:tc>
        <w:tc>
          <w:tcPr>
            <w:tcW w:w="1019" w:type="dxa"/>
          </w:tcPr>
          <w:p w14:paraId="474E46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 (на 10.9)</w:t>
            </w:r>
          </w:p>
        </w:tc>
        <w:tc>
          <w:tcPr>
            <w:tcW w:w="1019" w:type="dxa"/>
          </w:tcPr>
          <w:p w14:paraId="20ECB9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1019" w:type="dxa"/>
          </w:tcPr>
          <w:p w14:paraId="34867B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1019" w:type="dxa"/>
          </w:tcPr>
          <w:p w14:paraId="2629BD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w:t>
            </w:r>
          </w:p>
        </w:tc>
        <w:tc>
          <w:tcPr>
            <w:tcW w:w="1019" w:type="dxa"/>
          </w:tcPr>
          <w:p w14:paraId="2A5DF6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w:t>
            </w:r>
          </w:p>
        </w:tc>
      </w:tr>
      <w:tr w:rsidR="00643896" w:rsidRPr="00640820" w14:paraId="6DC4534C" w14:textId="77777777" w:rsidTr="000D3BCB">
        <w:tc>
          <w:tcPr>
            <w:tcW w:w="1019" w:type="dxa"/>
          </w:tcPr>
          <w:p w14:paraId="7A42BE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ЮФ</w:t>
            </w:r>
          </w:p>
        </w:tc>
        <w:tc>
          <w:tcPr>
            <w:tcW w:w="1019" w:type="dxa"/>
          </w:tcPr>
          <w:p w14:paraId="6D9CA2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w:t>
            </w:r>
          </w:p>
        </w:tc>
        <w:tc>
          <w:tcPr>
            <w:tcW w:w="1019" w:type="dxa"/>
          </w:tcPr>
          <w:p w14:paraId="2D10A9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019" w:type="dxa"/>
          </w:tcPr>
          <w:p w14:paraId="73318B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w:t>
            </w:r>
          </w:p>
        </w:tc>
        <w:tc>
          <w:tcPr>
            <w:tcW w:w="1019" w:type="dxa"/>
          </w:tcPr>
          <w:p w14:paraId="4ED390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w:t>
            </w:r>
          </w:p>
        </w:tc>
        <w:tc>
          <w:tcPr>
            <w:tcW w:w="1019" w:type="dxa"/>
          </w:tcPr>
          <w:p w14:paraId="2566A4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5/3</w:t>
            </w:r>
          </w:p>
        </w:tc>
      </w:tr>
      <w:tr w:rsidR="00643896" w:rsidRPr="00640820" w14:paraId="7DE5323B" w14:textId="77777777" w:rsidTr="000D3BCB">
        <w:tc>
          <w:tcPr>
            <w:tcW w:w="1019" w:type="dxa"/>
          </w:tcPr>
          <w:p w14:paraId="1FBC77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БрянФ</w:t>
            </w:r>
          </w:p>
        </w:tc>
        <w:tc>
          <w:tcPr>
            <w:tcW w:w="1019" w:type="dxa"/>
          </w:tcPr>
          <w:p w14:paraId="1C4C00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23</w:t>
            </w:r>
          </w:p>
        </w:tc>
        <w:tc>
          <w:tcPr>
            <w:tcW w:w="1019" w:type="dxa"/>
          </w:tcPr>
          <w:p w14:paraId="2AAEE9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17/11</w:t>
            </w:r>
          </w:p>
        </w:tc>
        <w:tc>
          <w:tcPr>
            <w:tcW w:w="1019" w:type="dxa"/>
          </w:tcPr>
          <w:p w14:paraId="134D48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7/8</w:t>
            </w:r>
          </w:p>
        </w:tc>
        <w:tc>
          <w:tcPr>
            <w:tcW w:w="1019" w:type="dxa"/>
          </w:tcPr>
          <w:p w14:paraId="16D1F2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019" w:type="dxa"/>
          </w:tcPr>
          <w:p w14:paraId="0F63AC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3/8</w:t>
            </w:r>
          </w:p>
        </w:tc>
      </w:tr>
      <w:tr w:rsidR="00643896" w:rsidRPr="00640820" w14:paraId="5166BBE9" w14:textId="77777777" w:rsidTr="000D3BCB">
        <w:tc>
          <w:tcPr>
            <w:tcW w:w="1019" w:type="dxa"/>
          </w:tcPr>
          <w:p w14:paraId="5CC4EE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Фр. рез. армий</w:t>
            </w:r>
          </w:p>
        </w:tc>
        <w:tc>
          <w:tcPr>
            <w:tcW w:w="1019" w:type="dxa"/>
          </w:tcPr>
          <w:p w14:paraId="09F13D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w:t>
            </w:r>
          </w:p>
        </w:tc>
        <w:tc>
          <w:tcPr>
            <w:tcW w:w="1019" w:type="dxa"/>
          </w:tcPr>
          <w:p w14:paraId="06D481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8/11</w:t>
            </w:r>
          </w:p>
        </w:tc>
        <w:tc>
          <w:tcPr>
            <w:tcW w:w="1019" w:type="dxa"/>
          </w:tcPr>
          <w:p w14:paraId="216B90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019" w:type="dxa"/>
          </w:tcPr>
          <w:p w14:paraId="36A4CE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019" w:type="dxa"/>
          </w:tcPr>
          <w:p w14:paraId="6B8110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r>
      <w:tr w:rsidR="00643896" w:rsidRPr="00640820" w14:paraId="005211DE" w14:textId="77777777" w:rsidTr="000D3BCB">
        <w:tc>
          <w:tcPr>
            <w:tcW w:w="1019" w:type="dxa"/>
          </w:tcPr>
          <w:p w14:paraId="6D43BD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Разведчики ГК</w:t>
            </w:r>
          </w:p>
        </w:tc>
        <w:tc>
          <w:tcPr>
            <w:tcW w:w="1019" w:type="dxa"/>
          </w:tcPr>
          <w:p w14:paraId="5AB95D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w:t>
            </w:r>
          </w:p>
        </w:tc>
        <w:tc>
          <w:tcPr>
            <w:tcW w:w="1019" w:type="dxa"/>
          </w:tcPr>
          <w:p w14:paraId="1437F7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9/1</w:t>
            </w:r>
          </w:p>
        </w:tc>
        <w:tc>
          <w:tcPr>
            <w:tcW w:w="1019" w:type="dxa"/>
          </w:tcPr>
          <w:p w14:paraId="421A76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19/7</w:t>
            </w:r>
          </w:p>
        </w:tc>
        <w:tc>
          <w:tcPr>
            <w:tcW w:w="1019" w:type="dxa"/>
          </w:tcPr>
          <w:p w14:paraId="0C493D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019" w:type="dxa"/>
          </w:tcPr>
          <w:p w14:paraId="70DA43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9/5</w:t>
            </w:r>
          </w:p>
        </w:tc>
      </w:tr>
      <w:tr w:rsidR="00643896" w:rsidRPr="00640820" w14:paraId="05C8122E" w14:textId="77777777" w:rsidTr="000D3BCB">
        <w:tc>
          <w:tcPr>
            <w:tcW w:w="1019" w:type="dxa"/>
          </w:tcPr>
          <w:p w14:paraId="678426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1-я par</w:t>
            </w:r>
          </w:p>
        </w:tc>
        <w:tc>
          <w:tcPr>
            <w:tcW w:w="1019" w:type="dxa"/>
          </w:tcPr>
          <w:p w14:paraId="53CA8B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019" w:type="dxa"/>
          </w:tcPr>
          <w:p w14:paraId="1C5EA7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019" w:type="dxa"/>
          </w:tcPr>
          <w:p w14:paraId="764120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w:t>
            </w:r>
          </w:p>
        </w:tc>
        <w:tc>
          <w:tcPr>
            <w:tcW w:w="1019" w:type="dxa"/>
          </w:tcPr>
          <w:p w14:paraId="3B86BC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13/5</w:t>
            </w:r>
          </w:p>
        </w:tc>
        <w:tc>
          <w:tcPr>
            <w:tcW w:w="1019" w:type="dxa"/>
          </w:tcPr>
          <w:p w14:paraId="3AEF34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r>
      <w:tr w:rsidR="00643896" w:rsidRPr="00640820" w14:paraId="58F00275" w14:textId="77777777" w:rsidTr="000D3BCB">
        <w:tc>
          <w:tcPr>
            <w:tcW w:w="1019" w:type="dxa"/>
          </w:tcPr>
          <w:p w14:paraId="676E33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2-я par</w:t>
            </w:r>
          </w:p>
        </w:tc>
        <w:tc>
          <w:tcPr>
            <w:tcW w:w="1019" w:type="dxa"/>
          </w:tcPr>
          <w:p w14:paraId="09B77F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w:t>
            </w:r>
          </w:p>
        </w:tc>
        <w:tc>
          <w:tcPr>
            <w:tcW w:w="1019" w:type="dxa"/>
          </w:tcPr>
          <w:p w14:paraId="5F9DF7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12/1'</w:t>
            </w:r>
          </w:p>
        </w:tc>
        <w:tc>
          <w:tcPr>
            <w:tcW w:w="1019" w:type="dxa"/>
          </w:tcPr>
          <w:p w14:paraId="4A2975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4/4</w:t>
            </w:r>
          </w:p>
        </w:tc>
        <w:tc>
          <w:tcPr>
            <w:tcW w:w="1019" w:type="dxa"/>
          </w:tcPr>
          <w:p w14:paraId="338106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w:t>
            </w:r>
          </w:p>
        </w:tc>
        <w:tc>
          <w:tcPr>
            <w:tcW w:w="1019" w:type="dxa"/>
          </w:tcPr>
          <w:p w14:paraId="77ECF7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w:t>
            </w:r>
          </w:p>
        </w:tc>
      </w:tr>
      <w:tr w:rsidR="00643896" w:rsidRPr="00640820" w14:paraId="2D56B485" w14:textId="77777777" w:rsidTr="000D3BCB">
        <w:tc>
          <w:tcPr>
            <w:tcW w:w="1019" w:type="dxa"/>
          </w:tcPr>
          <w:p w14:paraId="0A9B27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3-я par</w:t>
            </w:r>
          </w:p>
        </w:tc>
        <w:tc>
          <w:tcPr>
            <w:tcW w:w="1019" w:type="dxa"/>
          </w:tcPr>
          <w:p w14:paraId="7D5019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30</w:t>
            </w:r>
          </w:p>
        </w:tc>
        <w:tc>
          <w:tcPr>
            <w:tcW w:w="1019" w:type="dxa"/>
          </w:tcPr>
          <w:p w14:paraId="0501A5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29/7г</w:t>
            </w:r>
          </w:p>
        </w:tc>
        <w:tc>
          <w:tcPr>
            <w:tcW w:w="1019" w:type="dxa"/>
          </w:tcPr>
          <w:p w14:paraId="2B3128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6/6</w:t>
            </w:r>
          </w:p>
        </w:tc>
        <w:tc>
          <w:tcPr>
            <w:tcW w:w="1019" w:type="dxa"/>
          </w:tcPr>
          <w:p w14:paraId="17E09A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4/3</w:t>
            </w:r>
          </w:p>
        </w:tc>
        <w:tc>
          <w:tcPr>
            <w:tcW w:w="1019" w:type="dxa"/>
          </w:tcPr>
          <w:p w14:paraId="1E93F6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w:t>
            </w:r>
          </w:p>
        </w:tc>
      </w:tr>
      <w:tr w:rsidR="00643896" w:rsidRPr="00640820" w14:paraId="41415876" w14:textId="77777777" w:rsidTr="000D3BCB">
        <w:tc>
          <w:tcPr>
            <w:tcW w:w="1019" w:type="dxa"/>
          </w:tcPr>
          <w:p w14:paraId="72582C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4-я par</w:t>
            </w:r>
          </w:p>
        </w:tc>
        <w:tc>
          <w:tcPr>
            <w:tcW w:w="1019" w:type="dxa"/>
          </w:tcPr>
          <w:p w14:paraId="3BA88B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20</w:t>
            </w:r>
          </w:p>
        </w:tc>
        <w:tc>
          <w:tcPr>
            <w:tcW w:w="1019" w:type="dxa"/>
          </w:tcPr>
          <w:p w14:paraId="4C0D94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10/3</w:t>
            </w:r>
          </w:p>
        </w:tc>
        <w:tc>
          <w:tcPr>
            <w:tcW w:w="1019" w:type="dxa"/>
          </w:tcPr>
          <w:p w14:paraId="3FF5F8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w:t>
            </w:r>
          </w:p>
        </w:tc>
        <w:tc>
          <w:tcPr>
            <w:tcW w:w="1019" w:type="dxa"/>
          </w:tcPr>
          <w:p w14:paraId="5A5622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6/6</w:t>
            </w:r>
          </w:p>
        </w:tc>
        <w:tc>
          <w:tcPr>
            <w:tcW w:w="1019" w:type="dxa"/>
          </w:tcPr>
          <w:p w14:paraId="3566BB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9/11</w:t>
            </w:r>
          </w:p>
        </w:tc>
      </w:tr>
      <w:tr w:rsidR="00643896" w:rsidRPr="00640820" w14:paraId="6A9913B0" w14:textId="77777777" w:rsidTr="000D3BCB">
        <w:tc>
          <w:tcPr>
            <w:tcW w:w="1019" w:type="dxa"/>
          </w:tcPr>
          <w:p w14:paraId="02EB7E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КарФ</w:t>
            </w:r>
          </w:p>
        </w:tc>
        <w:tc>
          <w:tcPr>
            <w:tcW w:w="1019" w:type="dxa"/>
          </w:tcPr>
          <w:p w14:paraId="1F6215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w:t>
            </w:r>
          </w:p>
        </w:tc>
        <w:tc>
          <w:tcPr>
            <w:tcW w:w="1019" w:type="dxa"/>
          </w:tcPr>
          <w:p w14:paraId="10D33D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48/4</w:t>
            </w:r>
          </w:p>
        </w:tc>
        <w:tc>
          <w:tcPr>
            <w:tcW w:w="1019" w:type="dxa"/>
          </w:tcPr>
          <w:p w14:paraId="12DE28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1019" w:type="dxa"/>
          </w:tcPr>
          <w:p w14:paraId="6FBB48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1019" w:type="dxa"/>
          </w:tcPr>
          <w:p w14:paraId="7EC870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r>
      <w:tr w:rsidR="00643896" w:rsidRPr="00640820" w14:paraId="02981A05" w14:textId="77777777" w:rsidTr="000D3BCB">
        <w:tc>
          <w:tcPr>
            <w:tcW w:w="1019" w:type="dxa"/>
          </w:tcPr>
          <w:p w14:paraId="0D9546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МВО</w:t>
            </w:r>
          </w:p>
        </w:tc>
        <w:tc>
          <w:tcPr>
            <w:tcW w:w="1019" w:type="dxa"/>
          </w:tcPr>
          <w:p w14:paraId="32CB82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w:t>
            </w:r>
          </w:p>
        </w:tc>
        <w:tc>
          <w:tcPr>
            <w:tcW w:w="1019" w:type="dxa"/>
          </w:tcPr>
          <w:p w14:paraId="445154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019" w:type="dxa"/>
          </w:tcPr>
          <w:p w14:paraId="7F267E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019" w:type="dxa"/>
          </w:tcPr>
          <w:p w14:paraId="02CF81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019" w:type="dxa"/>
          </w:tcPr>
          <w:p w14:paraId="6DAC35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r>
      <w:tr w:rsidR="00643896" w:rsidRPr="00640820" w14:paraId="1F1B31FE" w14:textId="77777777" w:rsidTr="000D3BCB">
        <w:tc>
          <w:tcPr>
            <w:tcW w:w="1019" w:type="dxa"/>
          </w:tcPr>
          <w:p w14:paraId="202AEC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Авиация ГК</w:t>
            </w:r>
          </w:p>
        </w:tc>
        <w:tc>
          <w:tcPr>
            <w:tcW w:w="1019" w:type="dxa"/>
          </w:tcPr>
          <w:p w14:paraId="29C4F3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019" w:type="dxa"/>
          </w:tcPr>
          <w:p w14:paraId="03B494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w:t>
            </w:r>
          </w:p>
        </w:tc>
        <w:tc>
          <w:tcPr>
            <w:tcW w:w="1019" w:type="dxa"/>
          </w:tcPr>
          <w:p w14:paraId="41A07A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25/4</w:t>
            </w:r>
          </w:p>
        </w:tc>
        <w:tc>
          <w:tcPr>
            <w:tcW w:w="1019" w:type="dxa"/>
          </w:tcPr>
          <w:p w14:paraId="447E1C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9/1</w:t>
            </w:r>
          </w:p>
        </w:tc>
        <w:tc>
          <w:tcPr>
            <w:tcW w:w="1019" w:type="dxa"/>
          </w:tcPr>
          <w:p w14:paraId="35191A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w:t>
            </w:r>
          </w:p>
        </w:tc>
      </w:tr>
      <w:tr w:rsidR="00643896" w:rsidRPr="00640820" w14:paraId="5471AA11" w14:textId="77777777" w:rsidTr="000D3BCB">
        <w:tc>
          <w:tcPr>
            <w:tcW w:w="1019" w:type="dxa"/>
          </w:tcPr>
          <w:p w14:paraId="715990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5-я par</w:t>
            </w:r>
          </w:p>
        </w:tc>
        <w:tc>
          <w:tcPr>
            <w:tcW w:w="1019" w:type="dxa"/>
          </w:tcPr>
          <w:p w14:paraId="1401A8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019" w:type="dxa"/>
          </w:tcPr>
          <w:p w14:paraId="1E9E78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6/2</w:t>
            </w:r>
          </w:p>
        </w:tc>
        <w:tc>
          <w:tcPr>
            <w:tcW w:w="1019" w:type="dxa"/>
          </w:tcPr>
          <w:p w14:paraId="40792E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6/1</w:t>
            </w:r>
          </w:p>
        </w:tc>
        <w:tc>
          <w:tcPr>
            <w:tcW w:w="1019" w:type="dxa"/>
          </w:tcPr>
          <w:p w14:paraId="03EBAF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3/2</w:t>
            </w:r>
          </w:p>
        </w:tc>
        <w:tc>
          <w:tcPr>
            <w:tcW w:w="1019" w:type="dxa"/>
          </w:tcPr>
          <w:p w14:paraId="03AE65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w:t>
            </w:r>
          </w:p>
        </w:tc>
      </w:tr>
      <w:tr w:rsidR="00643896" w:rsidRPr="00640820" w14:paraId="769CA14A" w14:textId="77777777" w:rsidTr="000D3BCB">
        <w:tc>
          <w:tcPr>
            <w:tcW w:w="1019" w:type="dxa"/>
          </w:tcPr>
          <w:p w14:paraId="27963F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6-я par</w:t>
            </w:r>
          </w:p>
        </w:tc>
        <w:tc>
          <w:tcPr>
            <w:tcW w:w="1019" w:type="dxa"/>
          </w:tcPr>
          <w:p w14:paraId="4A136A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019" w:type="dxa"/>
          </w:tcPr>
          <w:p w14:paraId="65E537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20/-</w:t>
            </w:r>
          </w:p>
        </w:tc>
        <w:tc>
          <w:tcPr>
            <w:tcW w:w="1019" w:type="dxa"/>
          </w:tcPr>
          <w:p w14:paraId="2591D3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019" w:type="dxa"/>
          </w:tcPr>
          <w:p w14:paraId="666D97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019" w:type="dxa"/>
          </w:tcPr>
          <w:p w14:paraId="154E44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r>
      <w:tr w:rsidR="00643896" w:rsidRPr="00640820" w14:paraId="5C183FD4" w14:textId="77777777" w:rsidTr="000D3BCB">
        <w:tc>
          <w:tcPr>
            <w:tcW w:w="1019" w:type="dxa"/>
          </w:tcPr>
          <w:p w14:paraId="71E478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ВВС 51-й А</w:t>
            </w:r>
          </w:p>
        </w:tc>
        <w:tc>
          <w:tcPr>
            <w:tcW w:w="1019" w:type="dxa"/>
          </w:tcPr>
          <w:p w14:paraId="64F011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019" w:type="dxa"/>
          </w:tcPr>
          <w:p w14:paraId="68D5B8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9/1</w:t>
            </w:r>
          </w:p>
        </w:tc>
        <w:tc>
          <w:tcPr>
            <w:tcW w:w="1019" w:type="dxa"/>
          </w:tcPr>
          <w:p w14:paraId="6A0D4F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5/1</w:t>
            </w:r>
          </w:p>
        </w:tc>
        <w:tc>
          <w:tcPr>
            <w:tcW w:w="1019" w:type="dxa"/>
          </w:tcPr>
          <w:p w14:paraId="1BA330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w:t>
            </w:r>
          </w:p>
        </w:tc>
        <w:tc>
          <w:tcPr>
            <w:tcW w:w="1019" w:type="dxa"/>
          </w:tcPr>
          <w:p w14:paraId="5E9A2F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w:t>
            </w:r>
          </w:p>
        </w:tc>
      </w:tr>
      <w:tr w:rsidR="00643896" w:rsidRPr="00640820" w14:paraId="6A0CFCB8" w14:textId="77777777" w:rsidTr="000D3BCB">
        <w:tc>
          <w:tcPr>
            <w:tcW w:w="1019" w:type="dxa"/>
          </w:tcPr>
          <w:p w14:paraId="29558C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ВВС 7-й А</w:t>
            </w:r>
          </w:p>
        </w:tc>
        <w:tc>
          <w:tcPr>
            <w:tcW w:w="1019" w:type="dxa"/>
          </w:tcPr>
          <w:p w14:paraId="51FE8D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019" w:type="dxa"/>
          </w:tcPr>
          <w:p w14:paraId="2D9057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019" w:type="dxa"/>
          </w:tcPr>
          <w:p w14:paraId="156DA9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9/4</w:t>
            </w:r>
          </w:p>
        </w:tc>
        <w:tc>
          <w:tcPr>
            <w:tcW w:w="1019" w:type="dxa"/>
          </w:tcPr>
          <w:p w14:paraId="2B1ABD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w:t>
            </w:r>
          </w:p>
        </w:tc>
        <w:tc>
          <w:tcPr>
            <w:tcW w:w="1019" w:type="dxa"/>
          </w:tcPr>
          <w:p w14:paraId="3BDB60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4/5</w:t>
            </w:r>
          </w:p>
        </w:tc>
      </w:tr>
      <w:tr w:rsidR="00643896" w:rsidRPr="00640820" w14:paraId="103A9341" w14:textId="77777777" w:rsidTr="000D3BCB">
        <w:tc>
          <w:tcPr>
            <w:tcW w:w="1019" w:type="dxa"/>
          </w:tcPr>
          <w:p w14:paraId="0F4801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КалинФ</w:t>
            </w:r>
          </w:p>
        </w:tc>
        <w:tc>
          <w:tcPr>
            <w:tcW w:w="1019" w:type="dxa"/>
          </w:tcPr>
          <w:p w14:paraId="586994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019" w:type="dxa"/>
          </w:tcPr>
          <w:p w14:paraId="6568FC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019" w:type="dxa"/>
          </w:tcPr>
          <w:p w14:paraId="07AF26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10/2</w:t>
            </w:r>
          </w:p>
        </w:tc>
        <w:tc>
          <w:tcPr>
            <w:tcW w:w="1019" w:type="dxa"/>
          </w:tcPr>
          <w:p w14:paraId="656655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7/4</w:t>
            </w:r>
          </w:p>
        </w:tc>
        <w:tc>
          <w:tcPr>
            <w:tcW w:w="1019" w:type="dxa"/>
          </w:tcPr>
          <w:p w14:paraId="21E604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12/6</w:t>
            </w:r>
          </w:p>
        </w:tc>
      </w:tr>
      <w:tr w:rsidR="00643896" w:rsidRPr="00640820" w14:paraId="79552399" w14:textId="77777777" w:rsidTr="000D3BCB">
        <w:tc>
          <w:tcPr>
            <w:tcW w:w="1019" w:type="dxa"/>
          </w:tcPr>
          <w:p w14:paraId="322FEF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Группа Петрова</w:t>
            </w:r>
          </w:p>
        </w:tc>
        <w:tc>
          <w:tcPr>
            <w:tcW w:w="1019" w:type="dxa"/>
          </w:tcPr>
          <w:p w14:paraId="7410F3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019" w:type="dxa"/>
          </w:tcPr>
          <w:p w14:paraId="494851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019" w:type="dxa"/>
          </w:tcPr>
          <w:p w14:paraId="7662BC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019" w:type="dxa"/>
          </w:tcPr>
          <w:p w14:paraId="44E56A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8/3</w:t>
            </w:r>
          </w:p>
        </w:tc>
        <w:tc>
          <w:tcPr>
            <w:tcW w:w="1019" w:type="dxa"/>
          </w:tcPr>
          <w:p w14:paraId="302793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12/5</w:t>
            </w:r>
          </w:p>
        </w:tc>
      </w:tr>
      <w:tr w:rsidR="00643896" w:rsidRPr="00640820" w14:paraId="01F599E5" w14:textId="77777777" w:rsidTr="000D3BCB">
        <w:tc>
          <w:tcPr>
            <w:tcW w:w="1019" w:type="dxa"/>
          </w:tcPr>
          <w:p w14:paraId="5243A3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Группа Сбытова</w:t>
            </w:r>
          </w:p>
        </w:tc>
        <w:tc>
          <w:tcPr>
            <w:tcW w:w="1019" w:type="dxa"/>
          </w:tcPr>
          <w:p w14:paraId="07E1C7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019" w:type="dxa"/>
          </w:tcPr>
          <w:p w14:paraId="7B9FC1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019" w:type="dxa"/>
          </w:tcPr>
          <w:p w14:paraId="3AD041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019" w:type="dxa"/>
          </w:tcPr>
          <w:p w14:paraId="6277E1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w:t>
            </w:r>
          </w:p>
        </w:tc>
        <w:tc>
          <w:tcPr>
            <w:tcW w:w="1019" w:type="dxa"/>
          </w:tcPr>
          <w:p w14:paraId="2C1022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r>
      <w:tr w:rsidR="00643896" w:rsidRPr="00640820" w14:paraId="58215ECB" w14:textId="77777777" w:rsidTr="000D3BCB">
        <w:tc>
          <w:tcPr>
            <w:tcW w:w="1019" w:type="dxa"/>
          </w:tcPr>
          <w:p w14:paraId="461DA0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Группа Полынина</w:t>
            </w:r>
          </w:p>
        </w:tc>
        <w:tc>
          <w:tcPr>
            <w:tcW w:w="1019" w:type="dxa"/>
          </w:tcPr>
          <w:p w14:paraId="79A85A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019" w:type="dxa"/>
          </w:tcPr>
          <w:p w14:paraId="4AAF01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019" w:type="dxa"/>
          </w:tcPr>
          <w:p w14:paraId="36EB6F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019" w:type="dxa"/>
          </w:tcPr>
          <w:p w14:paraId="0114A9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6/9</w:t>
            </w:r>
          </w:p>
        </w:tc>
        <w:tc>
          <w:tcPr>
            <w:tcW w:w="1019" w:type="dxa"/>
          </w:tcPr>
          <w:p w14:paraId="10C7B2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r>
      <w:tr w:rsidR="00643896" w:rsidRPr="00640820" w14:paraId="40595232" w14:textId="77777777" w:rsidTr="000D3BCB">
        <w:tc>
          <w:tcPr>
            <w:tcW w:w="1019" w:type="dxa"/>
            <w:tcBorders>
              <w:bottom w:val="single" w:sz="12" w:space="0" w:color="auto"/>
            </w:tcBorders>
          </w:tcPr>
          <w:p w14:paraId="133E7E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Всего на фронтах</w:t>
            </w:r>
          </w:p>
        </w:tc>
        <w:tc>
          <w:tcPr>
            <w:tcW w:w="1019" w:type="dxa"/>
            <w:tcBorders>
              <w:bottom w:val="single" w:sz="12" w:space="0" w:color="auto"/>
            </w:tcBorders>
          </w:tcPr>
          <w:p w14:paraId="5F851A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229</w:t>
            </w:r>
          </w:p>
        </w:tc>
        <w:tc>
          <w:tcPr>
            <w:tcW w:w="1019" w:type="dxa"/>
            <w:tcBorders>
              <w:bottom w:val="single" w:sz="12" w:space="0" w:color="auto"/>
            </w:tcBorders>
          </w:tcPr>
          <w:p w14:paraId="105D3B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243/62</w:t>
            </w:r>
          </w:p>
        </w:tc>
        <w:tc>
          <w:tcPr>
            <w:tcW w:w="1019" w:type="dxa"/>
            <w:tcBorders>
              <w:bottom w:val="single" w:sz="12" w:space="0" w:color="auto"/>
            </w:tcBorders>
          </w:tcPr>
          <w:p w14:paraId="63B085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163/52'</w:t>
            </w:r>
          </w:p>
        </w:tc>
        <w:tc>
          <w:tcPr>
            <w:tcW w:w="1019" w:type="dxa"/>
            <w:tcBorders>
              <w:bottom w:val="single" w:sz="12" w:space="0" w:color="auto"/>
            </w:tcBorders>
          </w:tcPr>
          <w:p w14:paraId="05FD3B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128/47"</w:t>
            </w:r>
          </w:p>
        </w:tc>
        <w:tc>
          <w:tcPr>
            <w:tcW w:w="1019" w:type="dxa"/>
            <w:tcBorders>
              <w:bottom w:val="single" w:sz="12" w:space="0" w:color="auto"/>
            </w:tcBorders>
          </w:tcPr>
          <w:p w14:paraId="5EE2DD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109/685</w:t>
            </w:r>
          </w:p>
        </w:tc>
      </w:tr>
    </w:tbl>
    <w:p w14:paraId="3DB30C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 Вместе с ВВС 4-й А</w:t>
      </w:r>
    </w:p>
    <w:p w14:paraId="190496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 Вместе с ВВС 54-й А</w:t>
      </w:r>
    </w:p>
    <w:p w14:paraId="6009C1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Еше 110 самолетов Пе-2 в запасных и маршевых полках</w:t>
      </w:r>
    </w:p>
    <w:p w14:paraId="714CA4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Еше 92/6 самолетов Пе-2 в запасных и маршевых полках</w:t>
      </w:r>
    </w:p>
    <w:p w14:paraId="245511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Еше 142/20 самолетов Пе-2 в запасных и маршевых полках</w:t>
      </w:r>
    </w:p>
    <w:p w14:paraId="6E99BB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числителе - число исправных, в знаменателе - число неисправных самолетов (12042).</w:t>
      </w:r>
    </w:p>
    <w:p w14:paraId="1AB5FE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2F84B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20 сентября 1941 в школах числились 1429 Р-5 и 29 ССС, еще 90 Р-5 и четырьмя ССС обладали различные части в тылу. Около 400 машин сдал военным "Осоавиахим". Собирали полки очень поспешно. Личный состав комплектовался курсантами и инструкторами школ, оттуда же бралась и техника. Зачастую восстанавливались законсервированные или даже списанные бипланы - из двух-трех машин собирали одну. В конце сентября появилось постановление ГКО о формировании десяти ночных полков на Р-5 и Р-Зет. Технику и личный состав собирались взять из летных школ и училищ, у "Осоавиахима" и ГВФ. Полки военного времени были значительно меньше довоенных. В них насчитывалось всего по три эскадрильи, и парк обычно не превышал три десятка машин (12034).</w:t>
      </w:r>
    </w:p>
    <w:p w14:paraId="1A6322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81C9817" w14:textId="77777777" w:rsidR="000D310A" w:rsidRPr="00640820" w:rsidRDefault="000D310A" w:rsidP="00640820">
      <w:pPr>
        <w:pStyle w:val="11b"/>
        <w:shd w:val="clear" w:color="auto" w:fill="auto"/>
        <w:spacing w:after="0" w:line="240" w:lineRule="auto"/>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20-го сентября 1941-го года, в 3 ч 34 мин</w:t>
      </w:r>
      <w:r w:rsidRPr="00640820">
        <w:rPr>
          <w:rStyle w:val="aff7"/>
          <w:rFonts w:ascii="Times New Roman" w:hAnsi="Times New Roman" w:cs="Times New Roman"/>
          <w:b w:val="0"/>
          <w:color w:val="000000" w:themeColor="text1"/>
          <w:spacing w:val="0"/>
          <w:sz w:val="16"/>
          <w:szCs w:val="16"/>
        </w:rPr>
        <w:t xml:space="preserve"> ТБ-7 № 4215,</w:t>
      </w:r>
      <w:r w:rsidRPr="00640820">
        <w:rPr>
          <w:rFonts w:ascii="Times New Roman" w:hAnsi="Times New Roman" w:cs="Times New Roman"/>
          <w:color w:val="000000" w:themeColor="text1"/>
          <w:sz w:val="16"/>
          <w:szCs w:val="16"/>
        </w:rPr>
        <w:t xml:space="preserve"> командир корабля капитан Асямов, с аэродрома Раменское стартовал для бомбардирования скопления мотомехчастей противника в н. п. Демянск.</w:t>
      </w:r>
    </w:p>
    <w:p w14:paraId="2C03A3BE" w14:textId="77777777" w:rsidR="000D310A" w:rsidRPr="00640820" w:rsidRDefault="000D310A" w:rsidP="00640820">
      <w:pPr>
        <w:pStyle w:val="11b"/>
        <w:shd w:val="clear" w:color="auto" w:fill="auto"/>
        <w:spacing w:after="0" w:line="240" w:lineRule="auto"/>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В 5 ч 35 мин с высоты 5500 м по цели были сброшены восемь ФАБ-250, двенадцать ФАБ-100, четыре ЗАБ-50 и две САБ-50. Бомбы были сброшены се</w:t>
      </w:r>
      <w:r w:rsidRPr="00640820">
        <w:rPr>
          <w:rFonts w:ascii="Times New Roman" w:hAnsi="Times New Roman" w:cs="Times New Roman"/>
          <w:color w:val="000000" w:themeColor="text1"/>
          <w:sz w:val="16"/>
          <w:szCs w:val="16"/>
        </w:rPr>
        <w:softHyphen/>
        <w:t>рией. Экипаж наблюдал разрывы бомб в населенном пункте Демянск, а также два очага пожара, образованного от разрывов сброшенных бомб. В районе цели, когда самолет после бомбомета</w:t>
      </w:r>
      <w:r w:rsidRPr="00640820">
        <w:rPr>
          <w:rFonts w:ascii="Times New Roman" w:hAnsi="Times New Roman" w:cs="Times New Roman"/>
          <w:color w:val="000000" w:themeColor="text1"/>
          <w:sz w:val="16"/>
          <w:szCs w:val="16"/>
        </w:rPr>
        <w:softHyphen/>
        <w:t>ния взял курс на свою территорию, два истребителя противника пытались ата</w:t>
      </w:r>
      <w:r w:rsidRPr="00640820">
        <w:rPr>
          <w:rFonts w:ascii="Times New Roman" w:hAnsi="Times New Roman" w:cs="Times New Roman"/>
          <w:color w:val="000000" w:themeColor="text1"/>
          <w:sz w:val="16"/>
          <w:szCs w:val="16"/>
        </w:rPr>
        <w:softHyphen/>
        <w:t>ковать наш самолет, подходили слева и сзади, на дистанцию 800 - 1000 м. Стрелки открыли огонь, истребители скрылись и больше не подходили. В 8.00 экипаж благополучно произвел посадку на аэродроме Ковров (19088).</w:t>
      </w:r>
    </w:p>
    <w:p w14:paraId="22AD6D64" w14:textId="77777777" w:rsidR="000D310A" w:rsidRPr="00640820" w:rsidRDefault="000D310A" w:rsidP="00640820">
      <w:pPr>
        <w:pStyle w:val="11b"/>
        <w:shd w:val="clear" w:color="auto" w:fill="auto"/>
        <w:spacing w:after="0" w:line="240" w:lineRule="auto"/>
        <w:jc w:val="both"/>
        <w:rPr>
          <w:rFonts w:ascii="Times New Roman" w:hAnsi="Times New Roman" w:cs="Times New Roman"/>
          <w:color w:val="000000" w:themeColor="text1"/>
          <w:sz w:val="16"/>
          <w:szCs w:val="16"/>
        </w:rPr>
      </w:pPr>
    </w:p>
    <w:p w14:paraId="724A66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сентября 1941 согласно сообщению Совинформбюро на подступах к Ленинграду советские б уничтожили до 20 а/м с пехотой, 6 танков, 7 орудий ЗА и несколько цистерн с бензином, а вторая группа - ударила по аэродрому и уничтожила и повредила 15 с и сбила в бою 6 и (438,821).</w:t>
      </w:r>
    </w:p>
    <w:p w14:paraId="2B3BC5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F2587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сентября 1941 вышло Постановление ГКО № 693 Об организации Ленинградской оперативной группы минометных частей Ставки Главного Верховного Командования. РГАНИР, Фонд ГКО, д. 10, лл. 3-4 (11012).</w:t>
      </w:r>
    </w:p>
    <w:p w14:paraId="4DDCF6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0F3FC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сентября 1941 г. вышло ПОСТАНОВЛЕНИЕ № ГКО-692сс</w:t>
      </w:r>
    </w:p>
    <w:p w14:paraId="1B1924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Москва, Кремль </w:t>
      </w:r>
    </w:p>
    <w:p w14:paraId="2E93D8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 установлении транспортной воздушной связи с городом Ленинградом</w:t>
      </w:r>
    </w:p>
    <w:p w14:paraId="78D718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Государственный Комитет Обороны Союза ССР постановляет: </w:t>
      </w:r>
    </w:p>
    <w:p w14:paraId="6EC619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 Возложить на Гражданский воздушный флот транспортировку воздушным путем в Ленинград: взрывателей, снарядов, патронов, ВВ, стрелкового вооружения, моторов, средств связи, оптических приборов, дефицитных деталей для боевых машин и цветных металлов и из Ленинграда: танковых пушек Ф-32, радиостанций, телеграфных и телефонных аппаратов, электрооборудования для самолетов, авиаприборов, взрывателей и трубок, оптических приборов и дефицитных деталей для комплектовки М-8 и М-13. Предоставить тов. Хрулеву право определять подробный перечень и количества доставляемых по воздуху предметов в Ленинград и из Ленинграда. </w:t>
      </w:r>
    </w:p>
    <w:p w14:paraId="40BD2C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2. Установить объем перевозимых грузов до 1 октября 1941 г. в количестве 100 тонн и с 1 октября 1941 г. - 150 тонн в сутки, из расчета одного рейса всеми самолетами и двух рейсов половиной всех самолетов. </w:t>
      </w:r>
    </w:p>
    <w:p w14:paraId="345368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 Установить общее количество рейсовых самолетов ПС-84, работающих на этой линии, с 22 сентября - 50 шт. и с 1 октября - 64 шт. </w:t>
      </w:r>
    </w:p>
    <w:p w14:paraId="7EDBCC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4. Для укомплектования этой линии самолетами ПС-84 обязать ГУГВФ выделить 50 самолетов за счет изъятия их из других авиагрупп; ВВС НКВМФ немедленно передать ГУГВФ 4 шт. самолетов ПС-84; НКАП сдать 10 самолетов ПС-84, находящихся к 18 сентября на заводе № 84 и, начиная с 18 сентября 1941 г., сдавать все выпускаемые самолеты ПС-84 до 1 октября 1941 г. только Главному Управлению Гражданского Воздушного Флота. </w:t>
      </w:r>
    </w:p>
    <w:p w14:paraId="513DCB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5. С 22 сентября 1941 г. установить рейсы до Ленинграда с Московских аэродромов. С 25 сентября установить рейсы со следующих аэродромов базирования: </w:t>
      </w:r>
    </w:p>
    <w:p w14:paraId="4AC475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Великое Село - 10 самолетов ПС-84 </w:t>
      </w:r>
    </w:p>
    <w:p w14:paraId="6DDE55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Большой Двор - 10 " " </w:t>
      </w:r>
    </w:p>
    <w:p w14:paraId="058D65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Шибенец - 10 " " </w:t>
      </w:r>
    </w:p>
    <w:p w14:paraId="1C7E67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Подборовье - 15 " " </w:t>
      </w:r>
    </w:p>
    <w:p w14:paraId="3850F0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Хвойная - 10 " " </w:t>
      </w:r>
    </w:p>
    <w:p w14:paraId="141A8C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Кашин - 10 " " </w:t>
      </w:r>
    </w:p>
    <w:p w14:paraId="597D52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Базой сосредоточения самолетов, работающих на этой линии, назначить Череповец. </w:t>
      </w:r>
    </w:p>
    <w:p w14:paraId="37DF6E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Предоставить т. Хрулеву право менять в отдельных случаях места погрузки и базирования самолетов ПС-84, работающих на этой линии. </w:t>
      </w:r>
    </w:p>
    <w:p w14:paraId="119561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6. Обязать ГУ ВВС КА до 25 сентября 1941 г. подготовить перечисленные выше аэродромы для базирования на них самолетов ПС-84. </w:t>
      </w:r>
    </w:p>
    <w:p w14:paraId="2ADA57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Подвоз и погрузку грузов на самолеты на этих аэродромах возложить на Главное Управление Тыла Красной Армии. </w:t>
      </w:r>
    </w:p>
    <w:p w14:paraId="156CEE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7. В Ленинграде подвоз грузов, погрузку и охрану их и самолетов возложить на Командующего войсками Ленинградского фронта тов. Жукова. </w:t>
      </w:r>
    </w:p>
    <w:p w14:paraId="0F0599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8. Обязать Командующего ВВС Красной Армии т. Жигарева снять с Резервного, Западного и Ленинградского фронтов до 30 самолетов И-153 и И-16, сосредоточить их к 23 сентября на аэродромы Кайвакса и Плеханово с задачей сопровождения воздушных транспортов в Ленинград и обратно. </w:t>
      </w:r>
    </w:p>
    <w:p w14:paraId="64CDAD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22 до 24 сентября 1941 г. сопровождение полностью осуществлять распоряжением Военного Совета Ленинградского фронта. </w:t>
      </w:r>
    </w:p>
    <w:p w14:paraId="417340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Обязать истребительные подразделения, выделенные для сопровождения самолетов ПС-84, выполнять все требования по их сопровождению ответственных работников ГУГВФ, находящихся в пунктах базирования истребителей. </w:t>
      </w:r>
    </w:p>
    <w:p w14:paraId="7D87FE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9. Обязать тов. Пересыпкина поставить Гражданскому Воздушному флоту для установки связи между аэродромами 9 передвижных радиостанций типа РАФ к 25 сентября 1941 г. </w:t>
      </w:r>
    </w:p>
    <w:p w14:paraId="65481F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Для монтажа этих радиостанций обязать Наркомсредмаш в двухдневный срок выделить за счет фондов НКО 9 шасси ЗИС-5. </w:t>
      </w:r>
    </w:p>
    <w:p w14:paraId="1AF111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10. Установить, что вылеты и прилеты самолетов ПС-84 в Ленинграде и на аэродромах базирования производятся без предварительных заявок и гарантий по линии ПВО, но по определенным маршрутам и сигналам с самолетов в указанных пунктах, устанавливаемых в Ленинграде - Командующим фронтом и в Москве - Начальником Московской зоны ПВО. </w:t>
      </w:r>
    </w:p>
    <w:p w14:paraId="2D4915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ПРЕДСЕДАТЕЛЬ ГОСУДАРСТВЕННОГО КОМИТЕТА ОБОРОНЫ И. СТАЛИН </w:t>
      </w:r>
    </w:p>
    <w:p w14:paraId="67DCD4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Выписки посланы: т.т. Шапошникову, Молокову, Жигареву, Хрулеву, Жданову, Жукову - все; Шахурину - 4, Пересыпкину - 9, Акопову - 9, Громадину (Моск. ПВО) - 3, 10 (11434).</w:t>
      </w:r>
    </w:p>
    <w:p w14:paraId="1DDA23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4A365C5" w14:textId="77777777" w:rsidR="000D310A" w:rsidRPr="00640820" w:rsidRDefault="000D310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сентября 1941 г.</w:t>
      </w:r>
    </w:p>
    <w:p w14:paraId="1B840DA3" w14:textId="77777777" w:rsidR="000D310A" w:rsidRPr="00640820" w:rsidRDefault="000D310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 секретно</w:t>
      </w:r>
    </w:p>
    <w:p w14:paraId="340BDC3D" w14:textId="77777777" w:rsidR="000D310A" w:rsidRPr="00640820" w:rsidRDefault="000D310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ГОСУДАРСТВЕННЫЙ КОМИТЕТ ОБОРОНЫ</w:t>
      </w:r>
    </w:p>
    <w:p w14:paraId="460CE893" w14:textId="77777777" w:rsidR="000D310A" w:rsidRPr="00640820" w:rsidRDefault="000D310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 № ГКО-692сс</w:t>
      </w:r>
    </w:p>
    <w:p w14:paraId="78433620" w14:textId="77777777" w:rsidR="000D310A" w:rsidRPr="00640820" w:rsidRDefault="000D310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20 сентября 1941 г. Москва, Кремль</w:t>
      </w:r>
    </w:p>
    <w:p w14:paraId="45806AF4" w14:textId="77777777" w:rsidR="000D310A" w:rsidRPr="00640820" w:rsidRDefault="000D310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 установлении транспортной воздушной связи </w:t>
      </w:r>
    </w:p>
    <w:p w14:paraId="6A93D9E5" w14:textId="77777777" w:rsidR="000D310A" w:rsidRPr="00640820" w:rsidRDefault="000D310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городом Ленинградом</w:t>
      </w:r>
    </w:p>
    <w:p w14:paraId="451B1C6E" w14:textId="77777777" w:rsidR="000D310A" w:rsidRPr="00640820" w:rsidRDefault="000D310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Государственный Комитет Обороны Союза ССР постановляет:</w:t>
      </w:r>
    </w:p>
    <w:p w14:paraId="3C1E7390" w14:textId="77777777" w:rsidR="000D310A" w:rsidRPr="00640820" w:rsidRDefault="000D310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Возложить на Гражданский воздушный флот транспортировку воздушным путем в Ленинград: взрывателей, снарядов, патронов, ВВ, стрелкового вооружения, моторов, средств связи, оптических приборов, дефицитных деталей для боевых машин и цветных металлов и из Ленинграда: танковых пушек Ф-32, радиостанций, телеграфных и телефонных аппаратов, электрооборудования для самолетов, авиаприборов, взрывателей и трубок, оптических приборов и дефицитных деталей для комплектовки М-8 и М-13. Предоставить тов. Хрулеву право определять подробный перечень и количества доставляемых по воздуху предметов в Ленинград и из Ленинграда.</w:t>
      </w:r>
    </w:p>
    <w:p w14:paraId="77443FB7" w14:textId="77777777" w:rsidR="000D310A" w:rsidRPr="00640820" w:rsidRDefault="000D310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Установить объем перевозимых грузов до 1 октября 1941 г. в количестве 100 тонн и с 1 октября 1941 г. – 150 тонн в сутки, из расчета одного рейса всеми самолетами и двух рейсов половиной всех самолетов.</w:t>
      </w:r>
    </w:p>
    <w:p w14:paraId="104D389C" w14:textId="77777777" w:rsidR="000D310A" w:rsidRPr="00640820" w:rsidRDefault="000D310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Установить общее количество рейсовых самолетов ПС-84, работающих на этой линии, с 22 сентября – 50 шт. и с 1 октября – 64 шт.</w:t>
      </w:r>
    </w:p>
    <w:p w14:paraId="7D816626" w14:textId="77777777" w:rsidR="000D310A" w:rsidRPr="00640820" w:rsidRDefault="000D310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Для укомплектования этой линии самолетами ПС-84 обязать ГУГВФ выделить 50 самолетов за счет изъятия их из других авиагрупп; ВВС НКВМФ немедленно передать ГУГВФ 4 шт. самолетов ПС-84; НКАП сдать 10 самолетов ПС-84, находящихся к 18 сентября на заводе № 84 и, начиная с 18 сентября 1941 г., сдавать все выпускаемые самолеты ПС-84 до 1 октября 1941 г. только Главному Управлению Гражданского Воздушного Флота.</w:t>
      </w:r>
      <w:r w:rsidRPr="00640820">
        <w:rPr>
          <w:rFonts w:ascii="Times New Roman" w:hAnsi="Times New Roman"/>
          <w:color w:val="000000" w:themeColor="text1"/>
          <w:sz w:val="16"/>
          <w:szCs w:val="16"/>
        </w:rPr>
        <w:cr/>
        <w:t>5. С 22 сентября 1941 г. установить рейсы до Ленинграда с Московских аэродромов. С 25 сентября установить рейсы со следующих аэродромов базирования:</w:t>
      </w:r>
      <w:r w:rsidRPr="00640820">
        <w:rPr>
          <w:rFonts w:ascii="Times New Roman" w:hAnsi="Times New Roman"/>
          <w:color w:val="000000" w:themeColor="text1"/>
          <w:sz w:val="16"/>
          <w:szCs w:val="16"/>
        </w:rPr>
        <w:cr/>
        <w:t>Великое Село – 10 самолетов ПС-84</w:t>
      </w:r>
      <w:r w:rsidRPr="00640820">
        <w:rPr>
          <w:rFonts w:ascii="Times New Roman" w:hAnsi="Times New Roman"/>
          <w:color w:val="000000" w:themeColor="text1"/>
          <w:sz w:val="16"/>
          <w:szCs w:val="16"/>
        </w:rPr>
        <w:cr/>
        <w:t>Большой Двор – 10 " "</w:t>
      </w:r>
      <w:r w:rsidRPr="00640820">
        <w:rPr>
          <w:rFonts w:ascii="Times New Roman" w:hAnsi="Times New Roman"/>
          <w:color w:val="000000" w:themeColor="text1"/>
          <w:sz w:val="16"/>
          <w:szCs w:val="16"/>
        </w:rPr>
        <w:cr/>
        <w:t>Шибенец – 10 " "</w:t>
      </w:r>
      <w:r w:rsidRPr="00640820">
        <w:rPr>
          <w:rFonts w:ascii="Times New Roman" w:hAnsi="Times New Roman"/>
          <w:color w:val="000000" w:themeColor="text1"/>
          <w:sz w:val="16"/>
          <w:szCs w:val="16"/>
        </w:rPr>
        <w:cr/>
        <w:t>Подборовье – 15 " "</w:t>
      </w:r>
      <w:r w:rsidRPr="00640820">
        <w:rPr>
          <w:rFonts w:ascii="Times New Roman" w:hAnsi="Times New Roman"/>
          <w:color w:val="000000" w:themeColor="text1"/>
          <w:sz w:val="16"/>
          <w:szCs w:val="16"/>
        </w:rPr>
        <w:cr/>
        <w:t>Хвойная – 10 " "</w:t>
      </w:r>
      <w:r w:rsidRPr="00640820">
        <w:rPr>
          <w:rFonts w:ascii="Times New Roman" w:hAnsi="Times New Roman"/>
          <w:color w:val="000000" w:themeColor="text1"/>
          <w:sz w:val="16"/>
          <w:szCs w:val="16"/>
        </w:rPr>
        <w:cr/>
        <w:t>Кашин – 10 " "</w:t>
      </w:r>
      <w:r w:rsidRPr="00640820">
        <w:rPr>
          <w:rFonts w:ascii="Times New Roman" w:hAnsi="Times New Roman"/>
          <w:color w:val="000000" w:themeColor="text1"/>
          <w:sz w:val="16"/>
          <w:szCs w:val="16"/>
        </w:rPr>
        <w:cr/>
        <w:t>Базой сосредоточения самолетов, работающих на этой линии, назначить Череповец.</w:t>
      </w:r>
      <w:r w:rsidRPr="00640820">
        <w:rPr>
          <w:rFonts w:ascii="Times New Roman" w:hAnsi="Times New Roman"/>
          <w:color w:val="000000" w:themeColor="text1"/>
          <w:sz w:val="16"/>
          <w:szCs w:val="16"/>
        </w:rPr>
        <w:cr/>
        <w:t>Предоставить т. Хрулеву право менять в отдельных случаях места погрузки и базирования самолетов ПС-84, работающих на этой линии.</w:t>
      </w:r>
      <w:r w:rsidRPr="00640820">
        <w:rPr>
          <w:rFonts w:ascii="Times New Roman" w:hAnsi="Times New Roman"/>
          <w:color w:val="000000" w:themeColor="text1"/>
          <w:sz w:val="16"/>
          <w:szCs w:val="16"/>
        </w:rPr>
        <w:cr/>
        <w:t>6. Обязать ГУ ВВС КА до 25 сентября 1941 г. подготовить перечисленные выше аэродромы для базирования на них самолетов ПС-84.</w:t>
      </w:r>
      <w:r w:rsidRPr="00640820">
        <w:rPr>
          <w:rFonts w:ascii="Times New Roman" w:hAnsi="Times New Roman"/>
          <w:color w:val="000000" w:themeColor="text1"/>
          <w:sz w:val="16"/>
          <w:szCs w:val="16"/>
        </w:rPr>
        <w:cr/>
        <w:t>Подвоз и погрузку грузов на самолеты на этих аэродромах возложить на Главное Управление Тыла Красной Армии.</w:t>
      </w:r>
      <w:r w:rsidRPr="00640820">
        <w:rPr>
          <w:rFonts w:ascii="Times New Roman" w:hAnsi="Times New Roman"/>
          <w:color w:val="000000" w:themeColor="text1"/>
          <w:sz w:val="16"/>
          <w:szCs w:val="16"/>
        </w:rPr>
        <w:cr/>
        <w:t>7. В Ленинграде подвоз грузов, погрузку и охрану их и самолетов возложить на Командующего войсками Ленинградского фронта тов. Жукова.</w:t>
      </w:r>
      <w:r w:rsidRPr="00640820">
        <w:rPr>
          <w:rFonts w:ascii="Times New Roman" w:hAnsi="Times New Roman"/>
          <w:color w:val="000000" w:themeColor="text1"/>
          <w:sz w:val="16"/>
          <w:szCs w:val="16"/>
        </w:rPr>
        <w:cr/>
        <w:t>8. Обязать Командующего ВВС Красной Армии т. Жигарева снять с Резервного, Западного и Ленинградского фронтов до 30 самолетов И-153 и И-16, сосредоточить их к 23 сентября на аэродромы Кайвакса и Плеханово с задачей сопровождения воздушных транспортов в Ленинград и обратно.</w:t>
      </w:r>
      <w:r w:rsidRPr="00640820">
        <w:rPr>
          <w:rFonts w:ascii="Times New Roman" w:hAnsi="Times New Roman"/>
          <w:color w:val="000000" w:themeColor="text1"/>
          <w:sz w:val="16"/>
          <w:szCs w:val="16"/>
        </w:rPr>
        <w:cr/>
        <w:t>С 22 до 24 сентября 1941 г. сопровождение полностью осуществлять распоряжением Военного Совета Ленинградского фронта.</w:t>
      </w:r>
      <w:r w:rsidRPr="00640820">
        <w:rPr>
          <w:rFonts w:ascii="Times New Roman" w:hAnsi="Times New Roman"/>
          <w:color w:val="000000" w:themeColor="text1"/>
          <w:sz w:val="16"/>
          <w:szCs w:val="16"/>
        </w:rPr>
        <w:cr/>
        <w:t>Обязать истребительные подразделения, выделенные для сопровождения самолетов ПС-84, выполнять все требования по их сопровождению ответственных работников ГУГВФ, находящихся в пунктах базирования истребителей.</w:t>
      </w:r>
      <w:r w:rsidRPr="00640820">
        <w:rPr>
          <w:rFonts w:ascii="Times New Roman" w:hAnsi="Times New Roman"/>
          <w:color w:val="000000" w:themeColor="text1"/>
          <w:sz w:val="16"/>
          <w:szCs w:val="16"/>
        </w:rPr>
        <w:cr/>
        <w:t>9. Обязать тов. Пересыпкина поставить Гражданскому Воздушному флоту для установки связи между аэродромами 9 передвижных радиостанций типа РАФ к 25 сентября 1941 г.</w:t>
      </w:r>
    </w:p>
    <w:p w14:paraId="6838C9D2" w14:textId="77777777" w:rsidR="000D310A" w:rsidRPr="00640820" w:rsidRDefault="000D310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монтажа этих радиостанций обязать Наркомсредмаш в двухдневный срок выделить за счет фондов НКО 9 шасси ЗИС-5.</w:t>
      </w:r>
    </w:p>
    <w:p w14:paraId="65A36D9B" w14:textId="77777777" w:rsidR="000D310A" w:rsidRPr="00640820" w:rsidRDefault="000D310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Установить, что вылеты и прилеты самолетов ПС-84 в Ленинграде и на аэродромах базирования производятся без предварительных заявок и гарантий по линии ПВО, но по определенным маршрутам и сигналам с самолетов в указанных пунктах, устанавливаемых в Ленинграде – Командующим фронтом и в Москве – Начальником Московской зоны ПВО.</w:t>
      </w:r>
    </w:p>
    <w:p w14:paraId="49B0B7DD" w14:textId="77777777" w:rsidR="000D310A" w:rsidRPr="00640820" w:rsidRDefault="000D310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ПРЕДСЕДАТЕЛЬ ГОСУДАРСТВЕННОГО</w:t>
      </w:r>
    </w:p>
    <w:p w14:paraId="1B8A69FC" w14:textId="77777777" w:rsidR="000D310A" w:rsidRPr="00640820" w:rsidRDefault="000D310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КОМИТЕТА ОБОРОНЫ И. СТАЛИН</w:t>
      </w:r>
    </w:p>
    <w:p w14:paraId="2810B414" w14:textId="77777777" w:rsidR="000D310A" w:rsidRPr="00640820" w:rsidRDefault="000D310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Выписки посланы:</w:t>
      </w:r>
    </w:p>
    <w:p w14:paraId="23D91A57" w14:textId="77777777" w:rsidR="000D310A" w:rsidRPr="00640820" w:rsidRDefault="000D310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т.т. Шапошникову, Молокову, Жигареву, </w:t>
      </w:r>
    </w:p>
    <w:p w14:paraId="5AD4427C" w14:textId="77777777" w:rsidR="000D310A" w:rsidRPr="00640820" w:rsidRDefault="000D310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Хрулеву, Жданову, Жукову – все; </w:t>
      </w:r>
    </w:p>
    <w:p w14:paraId="1C0788CF" w14:textId="77777777" w:rsidR="000D310A" w:rsidRPr="00640820" w:rsidRDefault="000D310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Шахурину – 4, Пересыпкину – 9, Акопову – 9, </w:t>
      </w:r>
    </w:p>
    <w:p w14:paraId="6818270B" w14:textId="77777777" w:rsidR="000D310A" w:rsidRPr="00640820" w:rsidRDefault="000D310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Громадину (Моск. ПВО) – 3, 10 (18159).</w:t>
      </w:r>
    </w:p>
    <w:p w14:paraId="019EB388" w14:textId="77777777" w:rsidR="000D310A" w:rsidRPr="00640820" w:rsidRDefault="000D310A" w:rsidP="00640820">
      <w:pPr>
        <w:spacing w:after="0" w:line="240" w:lineRule="auto"/>
        <w:jc w:val="both"/>
        <w:rPr>
          <w:rFonts w:ascii="Times New Roman" w:hAnsi="Times New Roman"/>
          <w:color w:val="000000" w:themeColor="text1"/>
          <w:sz w:val="16"/>
          <w:szCs w:val="16"/>
        </w:rPr>
      </w:pPr>
    </w:p>
    <w:p w14:paraId="405A166A" w14:textId="77777777" w:rsidR="008D1ADA"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5B1AA837" w14:textId="77777777" w:rsidR="008D1ADA" w:rsidRPr="00640820" w:rsidRDefault="008D1ADA"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8B424C4" w14:textId="77777777" w:rsidR="008D1ADA" w:rsidRPr="00640820" w:rsidRDefault="008D1ADA"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lastRenderedPageBreak/>
        <w:t xml:space="preserve">20 сентября </w:t>
      </w:r>
      <w:r w:rsidRPr="00640820">
        <w:rPr>
          <w:rFonts w:ascii="Times New Roman" w:hAnsi="Times New Roman"/>
          <w:color w:val="000000" w:themeColor="text1"/>
          <w:sz w:val="16"/>
          <w:szCs w:val="16"/>
        </w:rPr>
        <w:t>в 1941 году окончание процесса депортации Поволжских немцев в Сибирь и Среднюю Азию (14775).</w:t>
      </w:r>
    </w:p>
    <w:p w14:paraId="21F3446D" w14:textId="77777777" w:rsidR="008D1ADA" w:rsidRPr="00640820" w:rsidRDefault="008D1ADA" w:rsidP="00640820">
      <w:pPr>
        <w:spacing w:after="0" w:line="240" w:lineRule="auto"/>
        <w:jc w:val="both"/>
        <w:rPr>
          <w:rFonts w:ascii="Times New Roman" w:hAnsi="Times New Roman"/>
          <w:color w:val="000000" w:themeColor="text1"/>
          <w:sz w:val="16"/>
          <w:szCs w:val="16"/>
        </w:rPr>
      </w:pPr>
    </w:p>
    <w:p w14:paraId="0C94DF8B"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46509816"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CE74D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20 сентября по 1 октября 1941 состоялась конференция представителей СССР, США и Англии в Москве (1103,227).</w:t>
      </w:r>
    </w:p>
    <w:p w14:paraId="7094E2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AB84DF3"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2B932CA2"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8241606" w14:textId="77777777" w:rsidR="008D1ADA" w:rsidRPr="00640820" w:rsidRDefault="008D1A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сентября 1941 г. английское правительство приняло решение о строительстве «завода для изготовления урановых бомб». Сталин получил сведения об атомных проектах на Западе в марте 1942 г. Иммигрант из Германии Клаус Фукс, привлеченный британскими ядерщиками к оценке немецких усилий в атомной области, сообщил в Москву, что США и Британия создают атомные бомбы.</w:t>
      </w:r>
    </w:p>
    <w:p w14:paraId="2B6DAF7C" w14:textId="77777777" w:rsidR="008D1ADA" w:rsidRPr="00640820" w:rsidRDefault="008D1A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середине 1942 г. научным руководителем советского атомного проекта был назначен Игорь Курчатов. Курчатов проехал по стране и выбрал известных ему специалистов. Он вернулся в назначенную ему как место исследований Казань в тот самый день — 2 декабря 1942 г., когда Энрико Ферми получил первую управляемую цепную ядерную реакцию в Чикаго. Государственный комитет обороны приступил к советскому атомному проекту 12 апреля 1943 г., когда в рамках Академии наук была создана так называемая «лаборатория № 2». В гостинице «Москва» впервые встретились основные участники проекта. Наркомат цветной металлургии получил задание добыть 100 т чистого урана. Не питая особых надежд, советское правительство послало в вашингтонское управление по ленд-лизу запрос на 10 кг металлического урана. Генерал Гроувз, на удивление, удовлетворил запрос, он исходил из опасения, что отказ привлечет внимание СССР к атомным исследованиям.</w:t>
      </w:r>
    </w:p>
    <w:p w14:paraId="29F1F094" w14:textId="77777777" w:rsidR="008D1ADA" w:rsidRPr="00640820" w:rsidRDefault="008D1A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1943 г. К. Фукс прибыл в США и принял участие в разработке процесса газодиффузионного разделения изотопов, одновременно находясь в контакте с советскими разведчиками. Собранные Курчатовым физики и инженеры работали непосредственно над конструкцией бомбы. Возглавил эту группу Ю. Харитон, которому было сказано: «Нельзя упускать время, победа будет за нами, а мы должны заботиться и о будущей безопасности страны. Вокруг этой проблемы за границей создана невиданная по масштабу в истории мировой науки концентрация научных и инженерно-технических сил» (17449).</w:t>
      </w:r>
    </w:p>
    <w:p w14:paraId="41A73103" w14:textId="77777777" w:rsidR="008D1ADA" w:rsidRPr="00640820" w:rsidRDefault="008D1ADA" w:rsidP="00640820">
      <w:pPr>
        <w:spacing w:after="0" w:line="240" w:lineRule="auto"/>
        <w:jc w:val="both"/>
        <w:rPr>
          <w:rFonts w:ascii="Times New Roman" w:hAnsi="Times New Roman"/>
          <w:color w:val="000000" w:themeColor="text1"/>
          <w:sz w:val="16"/>
          <w:szCs w:val="16"/>
        </w:rPr>
      </w:pPr>
    </w:p>
    <w:p w14:paraId="4610125C" w14:textId="77777777" w:rsidR="008D1ADA" w:rsidRPr="00640820" w:rsidRDefault="008D1ADA"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20 сентября </w:t>
      </w:r>
      <w:r w:rsidRPr="00640820">
        <w:rPr>
          <w:rFonts w:ascii="Times New Roman" w:hAnsi="Times New Roman"/>
          <w:color w:val="000000" w:themeColor="text1"/>
          <w:sz w:val="16"/>
          <w:szCs w:val="16"/>
        </w:rPr>
        <w:t>в 1941 году английский комитет начальников штабов на своем совещании принимает решение о немедленном начале строительства в Англии завода для изготовления урановых бомб. Через пять дней донесение об этом будет лежать на столе начальника советской военной разведки (14775).</w:t>
      </w:r>
    </w:p>
    <w:p w14:paraId="719D3E31" w14:textId="77777777" w:rsidR="008D1ADA" w:rsidRPr="00640820" w:rsidRDefault="008D1ADA" w:rsidP="00640820">
      <w:pPr>
        <w:spacing w:after="0" w:line="240" w:lineRule="auto"/>
        <w:jc w:val="both"/>
        <w:rPr>
          <w:rFonts w:ascii="Times New Roman" w:hAnsi="Times New Roman"/>
          <w:color w:val="000000" w:themeColor="text1"/>
          <w:sz w:val="16"/>
          <w:szCs w:val="16"/>
        </w:rPr>
      </w:pPr>
    </w:p>
    <w:p w14:paraId="3867D7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сентября 1941 была относительно удачная атака гавани Гибралтара Альхесирас тремя торпедами, управляемыми подводными пловцами. Целей - линкора Нельсон и авианосца Игл достичь не смогли, но подорвали три судна, включая одно водоизмещением 3000-4000 т, одно - 10000 т и один танкер 15850 т (3961, 39).</w:t>
      </w:r>
    </w:p>
    <w:p w14:paraId="02CE08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53343BC"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0ABA58CC"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9ED37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сентября 1941 был утвержден отчет (№ 0032) по полигонным испытаниям ракетных снарядов РБС-132 и РОФС-132 на НИП АВ ВВС КА на самолетах СБ (зав. № 221), Пе-2 (зав. № 6/9). Ил-2 (зав. № 101) и Су-2. В выводах отчета по испытаниям (№ 0032 от 21.09.41 г.) рекомендовалось увеличить ракетное вооружение Ил-2 до 12 орудий (8270).</w:t>
      </w:r>
    </w:p>
    <w:p w14:paraId="0C85FE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4C275F5" w14:textId="77777777" w:rsidR="00A91828" w:rsidRPr="00640820" w:rsidRDefault="00A9182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21 сентября 1941 г. младший техник - лейтенант Борис Исаакович Шелищ об</w:t>
      </w:r>
      <w:r w:rsidRPr="00640820">
        <w:rPr>
          <w:rFonts w:ascii="Times New Roman" w:hAnsi="Times New Roman"/>
          <w:color w:val="0070C0"/>
          <w:sz w:val="16"/>
          <w:szCs w:val="16"/>
        </w:rPr>
        <w:softHyphen/>
        <w:t>ратился к командованию с предложением пода</w:t>
      </w:r>
      <w:r w:rsidRPr="00640820">
        <w:rPr>
          <w:rFonts w:ascii="Times New Roman" w:hAnsi="Times New Roman"/>
          <w:color w:val="0070C0"/>
          <w:sz w:val="16"/>
          <w:szCs w:val="16"/>
        </w:rPr>
        <w:softHyphen/>
        <w:t>вать отработанную воздушно-водородную смесь из приземлившихся аэростатов во всасывающие патрубки автомобильных двигателей. Идею одо</w:t>
      </w:r>
      <w:r w:rsidRPr="00640820">
        <w:rPr>
          <w:rFonts w:ascii="Times New Roman" w:hAnsi="Times New Roman"/>
          <w:color w:val="0070C0"/>
          <w:sz w:val="16"/>
          <w:szCs w:val="16"/>
        </w:rPr>
        <w:softHyphen/>
        <w:t>брили, и 27 октября 1941 г. был подписан приказ по 2-му корпусу ПВО «Перевод автомашин на отработанный водород». Речь шла об использо</w:t>
      </w:r>
      <w:r w:rsidRPr="00640820">
        <w:rPr>
          <w:rFonts w:ascii="Times New Roman" w:hAnsi="Times New Roman"/>
          <w:color w:val="0070C0"/>
          <w:sz w:val="16"/>
          <w:szCs w:val="16"/>
        </w:rPr>
        <w:softHyphen/>
        <w:t>вании в качестве топлива водорода, концентра</w:t>
      </w:r>
      <w:r w:rsidRPr="00640820">
        <w:rPr>
          <w:rFonts w:ascii="Times New Roman" w:hAnsi="Times New Roman"/>
          <w:color w:val="0070C0"/>
          <w:sz w:val="16"/>
          <w:szCs w:val="16"/>
        </w:rPr>
        <w:softHyphen/>
        <w:t>ция которого в процессе эксплуатации аэростата вследствие диффузии и утечки через пробоины упала, и он уже не обладал достаточной подъём</w:t>
      </w:r>
      <w:r w:rsidRPr="00640820">
        <w:rPr>
          <w:rFonts w:ascii="Times New Roman" w:hAnsi="Times New Roman"/>
          <w:color w:val="0070C0"/>
          <w:sz w:val="16"/>
          <w:szCs w:val="16"/>
        </w:rPr>
        <w:softHyphen/>
        <w:t>ной силой, а с кислородом воздуха образовывал «гремучую смесь». Ежемесячно в Ленинграде в воздух при замене водорода в оболочках АЗ вы</w:t>
      </w:r>
      <w:r w:rsidRPr="00640820">
        <w:rPr>
          <w:rFonts w:ascii="Times New Roman" w:hAnsi="Times New Roman"/>
          <w:color w:val="0070C0"/>
          <w:sz w:val="16"/>
          <w:szCs w:val="16"/>
        </w:rPr>
        <w:softHyphen/>
        <w:t>брасывалось 50-100 тыс. м3 такого газа.</w:t>
      </w:r>
    </w:p>
    <w:p w14:paraId="73340135" w14:textId="77777777" w:rsidR="00A91828" w:rsidRPr="00640820" w:rsidRDefault="00A9182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Установка для использования водорода в ка</w:t>
      </w:r>
      <w:r w:rsidRPr="00640820">
        <w:rPr>
          <w:rFonts w:ascii="Times New Roman" w:hAnsi="Times New Roman"/>
          <w:color w:val="0070C0"/>
          <w:sz w:val="16"/>
          <w:szCs w:val="16"/>
        </w:rPr>
        <w:softHyphen/>
        <w:t>честве топлива для двигателей внутреннего сго</w:t>
      </w:r>
      <w:r w:rsidRPr="00640820">
        <w:rPr>
          <w:rFonts w:ascii="Times New Roman" w:hAnsi="Times New Roman"/>
          <w:color w:val="0070C0"/>
          <w:sz w:val="16"/>
          <w:szCs w:val="16"/>
        </w:rPr>
        <w:softHyphen/>
        <w:t>рания была предельно проста: отработанный водород из матерчатого газгольдера по шлангу подводился к всасывающему коллектору авто</w:t>
      </w:r>
      <w:r w:rsidRPr="00640820">
        <w:rPr>
          <w:rFonts w:ascii="Times New Roman" w:hAnsi="Times New Roman"/>
          <w:color w:val="0070C0"/>
          <w:sz w:val="16"/>
          <w:szCs w:val="16"/>
        </w:rPr>
        <w:softHyphen/>
        <w:t>мобильного двигателя ГАЗ-АА через водяной затвор, исключавший воспламенение водород- но-воздушной смеси при вспышке во всасываю</w:t>
      </w:r>
      <w:r w:rsidRPr="00640820">
        <w:rPr>
          <w:rFonts w:ascii="Times New Roman" w:hAnsi="Times New Roman"/>
          <w:color w:val="0070C0"/>
          <w:sz w:val="16"/>
          <w:szCs w:val="16"/>
        </w:rPr>
        <w:softHyphen/>
        <w:t>щей трубе двигателя. Минуя карбюратор, газ по</w:t>
      </w:r>
      <w:r w:rsidRPr="00640820">
        <w:rPr>
          <w:rFonts w:ascii="Times New Roman" w:hAnsi="Times New Roman"/>
          <w:color w:val="0070C0"/>
          <w:sz w:val="16"/>
          <w:szCs w:val="16"/>
        </w:rPr>
        <w:softHyphen/>
        <w:t>ступал в рабочие цилиндры. Дозировка водорода и воздуха обеспечивалась дроссельной заслонкой или педалью акселератора. Установку изготовил и опробовал сам изобретатель, которому помога</w:t>
      </w:r>
      <w:r w:rsidRPr="00640820">
        <w:rPr>
          <w:rFonts w:ascii="Times New Roman" w:hAnsi="Times New Roman"/>
          <w:color w:val="0070C0"/>
          <w:sz w:val="16"/>
          <w:szCs w:val="16"/>
        </w:rPr>
        <w:softHyphen/>
        <w:t>ли инженер 3-го полка АЗ капитан С.М. Суровский и техники полка.</w:t>
      </w:r>
    </w:p>
    <w:p w14:paraId="2D1F39DA" w14:textId="77777777" w:rsidR="00A91828" w:rsidRPr="00640820" w:rsidRDefault="00A9182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Проводившиеся в декабре 1941 г. испыта</w:t>
      </w:r>
      <w:r w:rsidRPr="00640820">
        <w:rPr>
          <w:rFonts w:ascii="Times New Roman" w:hAnsi="Times New Roman"/>
          <w:color w:val="0070C0"/>
          <w:sz w:val="16"/>
          <w:szCs w:val="16"/>
        </w:rPr>
        <w:softHyphen/>
        <w:t>ния приспособления для двигателя автолебёдки ГАЗ-АА показали, что двигатели легко запуска</w:t>
      </w:r>
      <w:r w:rsidRPr="00640820">
        <w:rPr>
          <w:rFonts w:ascii="Times New Roman" w:hAnsi="Times New Roman"/>
          <w:color w:val="0070C0"/>
          <w:sz w:val="16"/>
          <w:szCs w:val="16"/>
        </w:rPr>
        <w:softHyphen/>
        <w:t>лись даже при -30°C. В течение месяца в Ленин</w:t>
      </w:r>
      <w:r w:rsidRPr="00640820">
        <w:rPr>
          <w:rFonts w:ascii="Times New Roman" w:hAnsi="Times New Roman"/>
          <w:color w:val="0070C0"/>
          <w:sz w:val="16"/>
          <w:szCs w:val="16"/>
        </w:rPr>
        <w:softHyphen/>
        <w:t>граде оборудовали 200 двигателей для работы на водороде (всего же за время блокады переобо</w:t>
      </w:r>
      <w:r w:rsidRPr="00640820">
        <w:rPr>
          <w:rFonts w:ascii="Times New Roman" w:hAnsi="Times New Roman"/>
          <w:color w:val="0070C0"/>
          <w:sz w:val="16"/>
          <w:szCs w:val="16"/>
        </w:rPr>
        <w:softHyphen/>
        <w:t>рудовали около 600 двигателей). Двигатель раз</w:t>
      </w:r>
      <w:r w:rsidRPr="00640820">
        <w:rPr>
          <w:rFonts w:ascii="Times New Roman" w:hAnsi="Times New Roman"/>
          <w:color w:val="0070C0"/>
          <w:sz w:val="16"/>
          <w:szCs w:val="16"/>
        </w:rPr>
        <w:softHyphen/>
        <w:t>вивал мощность всего в 20 л.с., но этого было достаточно, чтобы выбирать аэростаты с высо</w:t>
      </w:r>
      <w:r w:rsidRPr="00640820">
        <w:rPr>
          <w:rFonts w:ascii="Times New Roman" w:hAnsi="Times New Roman"/>
          <w:color w:val="0070C0"/>
          <w:sz w:val="16"/>
          <w:szCs w:val="16"/>
        </w:rPr>
        <w:softHyphen/>
        <w:t>ты 5000 м со скоростью 2-3 м/с. В 1942 г. рабо</w:t>
      </w:r>
      <w:r w:rsidRPr="00640820">
        <w:rPr>
          <w:rFonts w:ascii="Times New Roman" w:hAnsi="Times New Roman"/>
          <w:color w:val="0070C0"/>
          <w:sz w:val="16"/>
          <w:szCs w:val="16"/>
        </w:rPr>
        <w:softHyphen/>
        <w:t>тающий автомобильный водородный двигатель</w:t>
      </w:r>
    </w:p>
    <w:p w14:paraId="21FB33BE" w14:textId="77777777" w:rsidR="00A91828" w:rsidRPr="00640820" w:rsidRDefault="00A9182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Шелища демонстрировался на выставке обору</w:t>
      </w:r>
      <w:r w:rsidRPr="00640820">
        <w:rPr>
          <w:rFonts w:ascii="Times New Roman" w:hAnsi="Times New Roman"/>
          <w:color w:val="0070C0"/>
          <w:sz w:val="16"/>
          <w:szCs w:val="16"/>
        </w:rPr>
        <w:softHyphen/>
        <w:t>дования, приспособленного к эксплуатации в ус</w:t>
      </w:r>
      <w:r w:rsidRPr="00640820">
        <w:rPr>
          <w:rFonts w:ascii="Times New Roman" w:hAnsi="Times New Roman"/>
          <w:color w:val="0070C0"/>
          <w:sz w:val="16"/>
          <w:szCs w:val="16"/>
        </w:rPr>
        <w:softHyphen/>
        <w:t>ловиях блокады. Два баллона с чистым водоро</w:t>
      </w:r>
      <w:r w:rsidRPr="00640820">
        <w:rPr>
          <w:rFonts w:ascii="Times New Roman" w:hAnsi="Times New Roman"/>
          <w:color w:val="0070C0"/>
          <w:sz w:val="16"/>
          <w:szCs w:val="16"/>
        </w:rPr>
        <w:softHyphen/>
        <w:t>дом (12 м3) позволяли автомобилю проехать без перезарядки до 30 км. Изобретателя команди</w:t>
      </w:r>
      <w:r w:rsidRPr="00640820">
        <w:rPr>
          <w:rFonts w:ascii="Times New Roman" w:hAnsi="Times New Roman"/>
          <w:color w:val="0070C0"/>
          <w:sz w:val="16"/>
          <w:szCs w:val="16"/>
        </w:rPr>
        <w:softHyphen/>
        <w:t>ровали в Москву, где в частях ПВО также пере</w:t>
      </w:r>
      <w:r w:rsidRPr="00640820">
        <w:rPr>
          <w:rFonts w:ascii="Times New Roman" w:hAnsi="Times New Roman"/>
          <w:color w:val="0070C0"/>
          <w:sz w:val="16"/>
          <w:szCs w:val="16"/>
        </w:rPr>
        <w:softHyphen/>
        <w:t>вели на отработанный водород 300 двигателей. В декабре 1941 г. Б.И. Шелища за это изобрете</w:t>
      </w:r>
      <w:r w:rsidRPr="00640820">
        <w:rPr>
          <w:rFonts w:ascii="Times New Roman" w:hAnsi="Times New Roman"/>
          <w:color w:val="0070C0"/>
          <w:sz w:val="16"/>
          <w:szCs w:val="16"/>
        </w:rPr>
        <w:softHyphen/>
        <w:t>ние наградили орденом Красной Звезды, а позд</w:t>
      </w:r>
      <w:r w:rsidRPr="00640820">
        <w:rPr>
          <w:rFonts w:ascii="Times New Roman" w:hAnsi="Times New Roman"/>
          <w:color w:val="0070C0"/>
          <w:sz w:val="16"/>
          <w:szCs w:val="16"/>
        </w:rPr>
        <w:softHyphen/>
        <w:t>нее он получил авторское свидетельство № 64209 с приоритетом от 28 июля 1943 г. Это изобрете</w:t>
      </w:r>
      <w:r w:rsidRPr="00640820">
        <w:rPr>
          <w:rFonts w:ascii="Times New Roman" w:hAnsi="Times New Roman"/>
          <w:color w:val="0070C0"/>
          <w:sz w:val="16"/>
          <w:szCs w:val="16"/>
        </w:rPr>
        <w:softHyphen/>
        <w:t>ние позволило сэкономить в аэростатных полках блокадного города около 100 т бензина (20120).</w:t>
      </w:r>
    </w:p>
    <w:p w14:paraId="3CFCC7CE" w14:textId="77777777" w:rsidR="00A91828" w:rsidRPr="00640820" w:rsidRDefault="00A91828" w:rsidP="00640820">
      <w:pPr>
        <w:spacing w:after="0" w:line="240" w:lineRule="auto"/>
        <w:jc w:val="both"/>
        <w:rPr>
          <w:rFonts w:ascii="Times New Roman" w:hAnsi="Times New Roman"/>
          <w:color w:val="0070C0"/>
          <w:sz w:val="16"/>
          <w:szCs w:val="16"/>
        </w:rPr>
      </w:pPr>
    </w:p>
    <w:p w14:paraId="0B9435F6"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4FE6D01E"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4CB001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сентября 1941 вся отработанная заводом № 183 конструкторская документация была передана на СТЗ и завод № 112. Окончательное решение об установке карбюраторного двигате</w:t>
      </w:r>
      <w:r w:rsidRPr="00640820">
        <w:rPr>
          <w:rFonts w:ascii="Times New Roman" w:hAnsi="Times New Roman"/>
          <w:color w:val="000000" w:themeColor="text1"/>
          <w:sz w:val="16"/>
          <w:szCs w:val="16"/>
        </w:rPr>
        <w:softHyphen/>
        <w:t>ля М-17 в танк было принято на заседании ГКО, состоявшемся 4 октя</w:t>
      </w:r>
      <w:r w:rsidRPr="00640820">
        <w:rPr>
          <w:rFonts w:ascii="Times New Roman" w:hAnsi="Times New Roman"/>
          <w:color w:val="000000" w:themeColor="text1"/>
          <w:sz w:val="16"/>
          <w:szCs w:val="16"/>
        </w:rPr>
        <w:softHyphen/>
        <w:t>бря 1941 г. (10703).</w:t>
      </w:r>
    </w:p>
    <w:p w14:paraId="5AD043F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CCE0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C 21 сентября до 15 октября 1941 года продолжалось производство САУ ЗИС-30 на базе тягача Т-20. За этот период завод изготовил 101 машину с пушкой ЗИС-2 (включая и опытную машину) и одну установку с 45-мм пушкой. Дальнейшее производство установок было остановлено в связи с отсутствием "Комсомольцев" (3862).</w:t>
      </w:r>
    </w:p>
    <w:p w14:paraId="08C02E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FC6D7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21 сентября 15 октября 1941 года велось производство САУ ЗИС-30. За этот период завод изготовил 101 машину с пушкой ЗИС-2 (включая и опытную машину) и одну установку с 45-мм пушкой. Дальнейшее производство установок было остановлено в связи с отсутствием "Комсомольцев" (3862).</w:t>
      </w:r>
    </w:p>
    <w:p w14:paraId="1A37D9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BAA9F2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21 сентября 1941 до 15 октября 1941 года заводом № 92 была изготовлена 101 машина ЗИС-30 с 57-мм пушкой ЗИС-2 (с учетом первой опытной машины), и одна ЗИС-30 с 45-мм противотанковой пушкой (в документах именовалась «большой мощности», но что это была за артсистема неизвестно). Дальнейшее производство машин сдерживалось отсутствием тягачей «Комсомолец», а фронт требовал все новых машин - уже полным ходом шла операция «Тайфун» по захвату Москвы, и наши час</w:t>
      </w:r>
      <w:r w:rsidRPr="00640820">
        <w:rPr>
          <w:rFonts w:ascii="Times New Roman" w:hAnsi="Times New Roman"/>
          <w:color w:val="000000" w:themeColor="text1"/>
          <w:sz w:val="16"/>
          <w:szCs w:val="16"/>
        </w:rPr>
        <w:softHyphen/>
        <w:t>ти несли большие потери (11089).</w:t>
      </w:r>
    </w:p>
    <w:p w14:paraId="0BA9732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B3E8C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сентября 1941 года вышел Приказ НКБ № 538</w:t>
      </w:r>
    </w:p>
    <w:p w14:paraId="56F6D27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основании приемочного акта от 3 сентября 1941 года завод “Спартак” Наркомстроя в Свердловске включить в число действующих заводов, присвоить номер 612 и подчинить 4 Гл. Управлению (5598, 100).</w:t>
      </w:r>
    </w:p>
    <w:p w14:paraId="55F42E7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3A756E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сентября 1941 года вышел приказ № 20с НКТП</w:t>
      </w:r>
    </w:p>
    <w:p w14:paraId="15BDEDA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распоряжением СНК № 10381-рс от 16 сентября 1941 года:</w:t>
      </w:r>
    </w:p>
    <w:p w14:paraId="325304A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Директору Уралмашзавода принять в ведение завода гараж Свердловского управления связи для размещения части оборудования эвакуированного спеццеха завода “Красный Профинтерн” (6032, 39).</w:t>
      </w:r>
    </w:p>
    <w:p w14:paraId="35E70EA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290F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сентября 1941 Приказом Наркомата общего машиностроения СССР прибывшие в Томск из Ленинграда заводы: измерительных металлов, «Молодой ударник» и оптико-механический завод №5 слиты в единое предприятие - Томский завод измерительных приборов, в декабре переименованный в Томский манометровый завод (11858).</w:t>
      </w:r>
    </w:p>
    <w:p w14:paraId="4E4A59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552A9E4" w14:textId="77777777" w:rsidR="000D310A" w:rsidRPr="00640820" w:rsidRDefault="000D310A"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сентября 1941 г.</w:t>
      </w:r>
    </w:p>
    <w:p w14:paraId="1F4C3B4A" w14:textId="77777777" w:rsidR="000D310A" w:rsidRPr="00640820" w:rsidRDefault="000D310A"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Протоколы заседаний бюро Ленинградского городского комитета ВКП(б)</w:t>
      </w:r>
    </w:p>
    <w:p w14:paraId="4A8B46D8" w14:textId="77777777" w:rsidR="000D310A" w:rsidRPr="00640820" w:rsidRDefault="000D310A"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21 сентября 1941 г.</w:t>
      </w:r>
    </w:p>
    <w:p w14:paraId="5C29B8D0" w14:textId="77777777" w:rsidR="000D310A" w:rsidRPr="00640820" w:rsidRDefault="000D310A"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82гс. — О производстве бронекозырьков самолетов для ВВС ЛФ (особая папка).</w:t>
      </w:r>
    </w:p>
    <w:p w14:paraId="47A3F66D" w14:textId="77777777" w:rsidR="000D310A" w:rsidRPr="00640820" w:rsidRDefault="000D310A"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Обязать и.о. директора завода «К-4» НКАП (т. Фанштейна):</w:t>
      </w:r>
    </w:p>
    <w:p w14:paraId="78319EE4" w14:textId="77777777" w:rsidR="000D310A" w:rsidRPr="00640820" w:rsidRDefault="000D310A"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изготовить и сдать ВВС ЛФ к 15 октября с.г. самолетных бронекозырьков 320 шт., из них:</w:t>
      </w:r>
    </w:p>
    <w:p w14:paraId="22A9953B" w14:textId="77777777" w:rsidR="000D310A" w:rsidRPr="00640820" w:rsidRDefault="000D310A"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самолетов ИЛ-2 — 20 шт.</w:t>
      </w:r>
    </w:p>
    <w:p w14:paraId="5ECEAA69" w14:textId="77777777" w:rsidR="000D310A" w:rsidRPr="00640820" w:rsidRDefault="000D310A"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ЯК-1 — 50 шт.</w:t>
      </w:r>
    </w:p>
    <w:p w14:paraId="396C5DE7" w14:textId="77777777" w:rsidR="000D310A" w:rsidRPr="00640820" w:rsidRDefault="000D310A"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ЛАГГ-3 — 50 шт.</w:t>
      </w:r>
    </w:p>
    <w:p w14:paraId="0D5B4601" w14:textId="77777777" w:rsidR="000D310A" w:rsidRPr="00640820" w:rsidRDefault="000D310A"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МИГ-3 — 200 шт.;</w:t>
      </w:r>
    </w:p>
    <w:p w14:paraId="01995B1A" w14:textId="77777777" w:rsidR="000D310A" w:rsidRPr="00640820" w:rsidRDefault="000D310A"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выпустить из ремонта в течение этого же срока 60 бронекозырьков.</w:t>
      </w:r>
    </w:p>
    <w:p w14:paraId="7348938A" w14:textId="77777777" w:rsidR="000D310A" w:rsidRPr="00640820" w:rsidRDefault="000D310A"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Обязать директора Ленинградской зеркальной фабрики (т. Нахтман) и председателя правления артели «Лензеркальщик» (т. Барановского) произвести к 10 октября с.г. для завода «К-4» НКХП обработку стекла самолетных козырьков в количестве 320 комплектов.</w:t>
      </w:r>
    </w:p>
    <w:p w14:paraId="4250FD96" w14:textId="77777777" w:rsidR="000D310A" w:rsidRPr="00640820" w:rsidRDefault="000D310A"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Обязать управляющего Ленинградской конторой Главуглесбыта (т. Северова) выделить заводу «К-4» НКХП для производственных нужд лимит по топливу.</w:t>
      </w:r>
    </w:p>
    <w:p w14:paraId="381D2A73" w14:textId="77777777" w:rsidR="000D310A" w:rsidRPr="00640820" w:rsidRDefault="000D310A"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Обязать председателя правления артели «Лензеркальщик» (т. Бариновского) передать заводу «К-4» НКХП 2 вагона зеркального стекла.</w:t>
      </w:r>
    </w:p>
    <w:p w14:paraId="51F25824" w14:textId="77777777" w:rsidR="000D310A" w:rsidRPr="00640820" w:rsidRDefault="000D310A"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21/IX/41 г. Подпись.</w:t>
      </w:r>
    </w:p>
    <w:p w14:paraId="592C392A" w14:textId="77777777" w:rsidR="000D310A" w:rsidRPr="00640820" w:rsidRDefault="000D310A"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Подписи — Капустин, Кузнецов, Никитин, Попков.</w:t>
      </w:r>
    </w:p>
    <w:p w14:paraId="1099E32B" w14:textId="77777777" w:rsidR="000D310A" w:rsidRPr="00640820" w:rsidRDefault="000D310A"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ЦГАИПД СПб. Ф. 25. Оп.2а. Д. 156. Л. 115. Карточка опросного голосования. Оригинал, машинопись. Подписи — автографы (19720).</w:t>
      </w:r>
    </w:p>
    <w:p w14:paraId="7AAC931A" w14:textId="77777777" w:rsidR="000D310A" w:rsidRPr="00640820" w:rsidRDefault="000D310A" w:rsidP="00640820">
      <w:pPr>
        <w:autoSpaceDE w:val="0"/>
        <w:autoSpaceDN w:val="0"/>
        <w:adjustRightInd w:val="0"/>
        <w:spacing w:after="0" w:line="240" w:lineRule="auto"/>
        <w:jc w:val="both"/>
        <w:rPr>
          <w:rFonts w:ascii="Times New Roman" w:hAnsi="Times New Roman"/>
          <w:color w:val="000000" w:themeColor="text1"/>
          <w:sz w:val="16"/>
          <w:szCs w:val="16"/>
        </w:rPr>
      </w:pPr>
    </w:p>
    <w:p w14:paraId="0C63D606" w14:textId="77777777" w:rsidR="00A91828" w:rsidRPr="00640820" w:rsidRDefault="00A9182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21 октября 1941 - Во время Великой Отечественной войны с помощью первых советских радиолокаторов (РУС-2) началось отражение налёта вражеской бомбардировочной авиации с целью уничтожить Балтийский флот в Финском заливе. Боевой расчёт радиоуловителя «Редут-3» (оператор РЛС Григорий Ильич Гельфенштейн) 72-го батальона ВНОС в районе Ораниенбаума обнаружил на удалении в 200 км первый эшелон вражеских бомбардировщиков. Данные о налёте были выданы на пункт управления ПВО Балтийского флота. 12 налётов вражеской авиации (около 500 самолётов) отражались силами истребительной авиации, огнём зенитных батарей и корабельной зенитной артиллерией. В ходе трехдневных боёв уничтожено 25 самолётов врага и сорван план уничтожения советских кораблей (22358).</w:t>
      </w:r>
    </w:p>
    <w:p w14:paraId="6D16637E" w14:textId="77777777" w:rsidR="00A91828" w:rsidRPr="00640820" w:rsidRDefault="00A91828" w:rsidP="00640820">
      <w:pPr>
        <w:spacing w:after="0" w:line="240" w:lineRule="auto"/>
        <w:jc w:val="both"/>
        <w:rPr>
          <w:rFonts w:ascii="Times New Roman" w:hAnsi="Times New Roman"/>
          <w:color w:val="0070C0"/>
          <w:sz w:val="16"/>
          <w:szCs w:val="16"/>
        </w:rPr>
      </w:pPr>
    </w:p>
    <w:p w14:paraId="49944C46"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593EEEC6"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E5AF77F" w14:textId="77777777" w:rsidR="008D1ADA" w:rsidRPr="00640820" w:rsidRDefault="008D1A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сентября в 1941 году оперативная сводка Совинформбюро:</w:t>
      </w:r>
    </w:p>
    <w:p w14:paraId="62D5AD9C" w14:textId="77777777" w:rsidR="008D1ADA" w:rsidRPr="00640820" w:rsidRDefault="008D1A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21 сентября наши войска вели бои с противником на всём фронте и особенно ожесточённые под Киевом.</w:t>
      </w:r>
    </w:p>
    <w:p w14:paraId="3A7217C8" w14:textId="77777777" w:rsidR="008D1ADA" w:rsidRPr="00640820" w:rsidRDefault="008D1A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участков Северо-Западного направления фронта нашими лётчиками сбито 4 самолёта противника, уничтожены 5 немецких танков, обоз из 15 повозок с продовольствием и склад с боеприпасами. Подразделение наших самолётов под командованием капитана Ермаченко разгромило фашистский аэродром. Сброшенными бомбами и пулемётным огнём уничтожено 17 немецких самолётов.</w:t>
      </w:r>
    </w:p>
    <w:p w14:paraId="460732E4" w14:textId="77777777" w:rsidR="008D1ADA" w:rsidRPr="00640820" w:rsidRDefault="008D1A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подступах к Одессе немецко-румынские войска, после артиллерийской подготовки, дважды атаковали один из участков обороны. Атаку отбили наши батареи, которыми командуют лейтенанты Таран и Лысый. Противник отступил, потеряв в бою убитыми и ранеными 500 солдат и офицеров.</w:t>
      </w:r>
    </w:p>
    <w:p w14:paraId="1D382980" w14:textId="77777777" w:rsidR="008D1ADA" w:rsidRPr="00640820" w:rsidRDefault="008D1A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участков Северного фронта наши разведчики под командованием тов. Королёва обнаружили минное поле противника. Разминировав отдельные участки, разведчики устроили засаду и обстреляли две финские роты. Во время паники финны попали на своё же минное поле и понесли большие потери.</w:t>
      </w:r>
    </w:p>
    <w:p w14:paraId="0E9CD0B8" w14:textId="77777777" w:rsidR="008D1ADA" w:rsidRPr="00640820" w:rsidRDefault="008D1A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Подводная лодка Северного флота, находясь в водах противника, обнаружила вражеский транспорт водоизмещением в 6 тысяч тонн, груженный военным снаряжением. Командир подводной лодки капитан 3 ранга тов. Уткин принял решение потопить транспорт артиллерийским огнём. После нескольких выстрелов вражеский корабль загорелся и пошёл ко дну.</w:t>
      </w:r>
    </w:p>
    <w:p w14:paraId="30FFE5AE" w14:textId="77777777" w:rsidR="008D1ADA" w:rsidRPr="00640820" w:rsidRDefault="008D1A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захваченных немецко-фашистскими войсками районах Белоруссии всё шире разрастается партизанское движение. Только за первую половину сентября в нескольких районах Могилёвской и Минской областей партизанскими отрядами, по неполным данным, уничтожено 650 немецких солдат и офицеров, разрушено 12 деревянных мостов, подорвано 2 железнодорожных моста, выведено из строя 23 танка, уничтожено 204 автомашины с горючим, боеприпасами, снаряжением и продовольствием, приведено в негодность 6 орудий, разбито 64 мотоцикла, взорвано 2 склада с боеприпасами.</w:t>
      </w:r>
    </w:p>
    <w:p w14:paraId="641B1EF2" w14:textId="77777777" w:rsidR="008D1ADA" w:rsidRPr="00640820" w:rsidRDefault="008D1A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Крупный партизанский отряд, действующий под командованием тов. Р., совершил недавно налёт на отдыхавшую немецкую кавалерийскую часть. Партизаны уничтожили 50 фашистов и захватили несколько десятков лошадей.</w:t>
      </w:r>
    </w:p>
    <w:p w14:paraId="7F7F28D7" w14:textId="77777777" w:rsidR="008D1ADA" w:rsidRPr="00640820" w:rsidRDefault="008D1A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Минска двигался по направлению к Бобруйску обоз с зимним солдатским обмундированием и сапёрным инвентарём. Отряд под командованием монтёра Минской электростанции тов. В. устроил засаду. Партизаны перебили 40 немцев и уничтожили повозки с грузом.</w:t>
      </w:r>
    </w:p>
    <w:p w14:paraId="4C4EB4C5" w14:textId="77777777" w:rsidR="008D1ADA" w:rsidRPr="00640820" w:rsidRDefault="008D1A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Жители деревни Селиба сообщили командиру партизанского отряда тов. Я., что назначенный немцами староста, известный уголовный преступник Ступин выдал немцам на растерзание трёх колхозных активистов. Партизаны ночью 6 сентября напали на деревню и перебили 18 немецких солдат и двух унтер-офицеров. Предатель родины Ступин был расстрелян партизанами.</w:t>
      </w:r>
    </w:p>
    <w:p w14:paraId="0279BC5E" w14:textId="77777777" w:rsidR="008D1ADA" w:rsidRPr="00640820" w:rsidRDefault="008D1A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Список злодеяний немецко-фашистских мерзавцев непрерывно растёт. Потерпев поражение при попытке форсировать реку Е., фашисты согнали из окружающих деревень 50 женщин с детьми и посадили их в лодки. Под прикрытием этих лодок немцы пытались переправиться на противоположный берег. Только благодаря героизму и находчивости наших бойцов удалось отрезать немцев от лодок и спасти женщин и детей от гибели. 10 сентября 4 немецких истребителя настигли в районе деревни Рядчино советский санитарный самолёт, на борту которого находились тяжело раненные красноармеец Балмагамбетов и младший политрук Яков Пахомов. На фюзеляже санитарной машины отчётливо виднелись знаки Красного Креста. Тем не менее «Мессершмитты» обстреляли её. Самолёт загорелся. Пилот с трудом посадил горящую машину и вынес из неё бойцов. Фашисты с бреющего полёта продолжали обстреливать раненых из пулемётов. Тов. Балмагамбетов был убит, тов. Пахомов ранен в голову. В деревне Коломенец немцы заперли в сарай старика Антипа Уварова и пятерых детей. Продержав их несколько дней без пищи и воды, фашистские изверги сожгли старика и детей живьём. В деревне Шавринка немцы ограбили всех жителей. У колхозницы Чистовой они забрали всю одежду, бельё, мануфактуру. В деревне Боброво, ныне отбитой частями Красной Армии, немцы хозяйничали 8 дней. За это время они сожгли несколько изб и ограбили всех жителей, не успевших эвакуироваться. У крестьянки Быстровой немецкие солдаты увели свинью, трёх овец, отняли все платья, туфли, часы. У Никандра Быстрова забрали корову, овцу, кур, хлеб, домашнюю утварь. Отряды патриотов на острове Крит совершают смелые нападения на германских солдат, склады и аэродромы. Жители острова регулярно снабжают партизан продовольствием, сообщают им о всех передвижениях фашистских отрядов. На днях крестьяне деревни, расположенной к югу от Гераклиона, сообщили командиру партизанского отряда, что в деревню прибыли немецкие солдаты, которые намереваются реквизировать хлеб нового урожая. Партизаны напали на немцев и полностью уничтожили немецкий отряд, состоявший из 38 солдат и одного унтер-офицера.</w:t>
      </w:r>
    </w:p>
    <w:p w14:paraId="133C0A9D" w14:textId="77777777" w:rsidR="008D1ADA" w:rsidRPr="00640820" w:rsidRDefault="008D1A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Стахановцы лёгкой промышленности увеличивают выпуск продукции, обеспечивая нужды фронта и тыла. Помощник мастера Новой Ивановской мануфактуры тов. Пантелеев обслуживает 54 ткацких станка вместо 40. Все работницы его участка перевыполняют нормы.</w:t>
      </w:r>
    </w:p>
    <w:p w14:paraId="016FDFD0" w14:textId="77777777" w:rsidR="008D1ADA" w:rsidRPr="00640820" w:rsidRDefault="008D1A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По-военному работает бригада скорняжниц-резчиц Ленинградской швейной фабрики. Изготовляя для бойцов Красной Армии рукавицы и телогрейки, девушки выполняют задание на триста процентов.</w:t>
      </w:r>
    </w:p>
    <w:p w14:paraId="3BE9F093" w14:textId="77777777" w:rsidR="008D1ADA" w:rsidRPr="00640820" w:rsidRDefault="008D1A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Ленинградской обувной фабрике заслуженной славой пользуется закройная бригада тов. Жданковой. Закройщицы не только вдвое перевыполняют норму, но и добиваются большой экономии ценного сырья. Каждую неделю т.т. Жданкова, Иванова и Гусева экономят такое количество кожи, которое достаточно для изготовления 80—100 пар обуви. Швея Новосибирской фабрики тов. А. Ушакова выполняет задание на 200-250 процентов. На Куйбышевской швейной фабрике имени Володарского мотористка тов. Сомова даёт не менее двух норм в смену. Вместе с мотористкой-многостаночницей тов. Бражкиной тов. Сомова обучает новых работниц стахановским методам труда.</w:t>
      </w:r>
    </w:p>
    <w:p w14:paraId="18BF1238" w14:textId="77777777" w:rsidR="008D1ADA" w:rsidRPr="00640820" w:rsidRDefault="008D1A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21 сентября наши войска вели бои с противником на всём фронте. После многодневных, ожесточённых боёв наши войска оставили Киев.» (14776).</w:t>
      </w:r>
    </w:p>
    <w:p w14:paraId="752AB2FA" w14:textId="77777777" w:rsidR="008D1ADA" w:rsidRPr="00640820" w:rsidRDefault="008D1ADA" w:rsidP="00640820">
      <w:pPr>
        <w:spacing w:after="0" w:line="240" w:lineRule="auto"/>
        <w:jc w:val="both"/>
        <w:rPr>
          <w:rFonts w:ascii="Times New Roman" w:hAnsi="Times New Roman"/>
          <w:color w:val="000000" w:themeColor="text1"/>
          <w:sz w:val="16"/>
          <w:szCs w:val="16"/>
        </w:rPr>
      </w:pPr>
    </w:p>
    <w:p w14:paraId="02210959" w14:textId="77777777" w:rsidR="008D1ADA" w:rsidRPr="00640820" w:rsidRDefault="008D1ADA"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21 по 23 сентября 1941 с помощью радиолокаторов РУС-2 сорвали план по уничтожению КБФ. Самолеты обнаруживали боевые расчеты 72 отдельного радиобатальона ВНОС 2 корпуса ПВО с позиций вблизи Ораниенбаума (Ломоносов) на удалении 180-200 км. В налете приняло участие до 500 и 25 сбили (3398,337).</w:t>
      </w:r>
    </w:p>
    <w:p w14:paraId="48705DCB" w14:textId="77777777" w:rsidR="008D1ADA" w:rsidRPr="00640820" w:rsidRDefault="008D1ADA" w:rsidP="00640820">
      <w:pPr>
        <w:autoSpaceDE w:val="0"/>
        <w:autoSpaceDN w:val="0"/>
        <w:adjustRightInd w:val="0"/>
        <w:spacing w:after="0" w:line="240" w:lineRule="auto"/>
        <w:jc w:val="both"/>
        <w:rPr>
          <w:rFonts w:ascii="Times New Roman" w:hAnsi="Times New Roman"/>
          <w:color w:val="000000" w:themeColor="text1"/>
          <w:sz w:val="16"/>
          <w:szCs w:val="16"/>
        </w:rPr>
      </w:pPr>
    </w:p>
    <w:p w14:paraId="19CB1303" w14:textId="77777777" w:rsidR="008D1ADA" w:rsidRPr="00640820" w:rsidRDefault="008D1A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сентября в 1941 году во время Великой Отечественной войны с помощью первых советских радиолокаторов (РУС-2) началось отражение налета вражеской бомбардировочной авиации с целью уничтожить Балтийский флот в Финском заливе. Боевой расчет радиоуловителя «Редут-3» (оператор РЛС Г.И.Гельфенштейн) 72-го батальона ВНОС в районе Ораниенбаума обнаружил на удалении в 200 км первый эшелон вражеских бомбардировщиков. Данные о налете были выданы на пункт управления ПВО Балтийского флота. 12 налетов вражеской авиации (около 500 самолетов) отражались силами истребительной авиации, огнем зенитных батарей и корабельной зенитной артиллерией. В ходе трехдневных боев уничтожено 25 самолетов врага и сорван план уничтожения советских кораблей (14776).</w:t>
      </w:r>
    </w:p>
    <w:p w14:paraId="1EA5118A" w14:textId="77777777" w:rsidR="008D1ADA" w:rsidRPr="00640820" w:rsidRDefault="008D1ADA" w:rsidP="00640820">
      <w:pPr>
        <w:spacing w:after="0" w:line="240" w:lineRule="auto"/>
        <w:jc w:val="both"/>
        <w:rPr>
          <w:rFonts w:ascii="Times New Roman" w:hAnsi="Times New Roman"/>
          <w:color w:val="000000" w:themeColor="text1"/>
          <w:sz w:val="16"/>
          <w:szCs w:val="16"/>
        </w:rPr>
      </w:pPr>
    </w:p>
    <w:p w14:paraId="3D9E9E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21 сентября 1941, воспользовавшись пас­мурной погодой, 180 германских самолетов атаковали корабли, стоявшие в Кронштадте. Многие из них получили тяжелые повреж­дения, некоторые затонули. Лидер «Ленинград» также был поврежден. После этого с целью сохранения кораблей и усиления обо­роны Ленинграда основные силы флота были переведены из Кронштадта в Ленинград. Ли­дер пополнил Западную группу кораблей, размещенных в Торговом порту для под­держки артиллерийским огнем частей 8-й и 42-й армий. Налеты авиации и артиллерий­ские обстрелы города не прекращались — командование германской группы армий «Север» решило уничтожить корабли КБФ в Кронштадте и Ленинграде. 22 сентября «Ленинград» (на позиции в Лесной гавани Торгового порта) во время контрбатарейной стрельбы получил повреж­дения корпуса, механизмов и некоторых приборов от взрыва одного из снарядов про­тивника вблизи борта корабля. Лидер пере­вели к Канонерскому острову, и 1 2 октября во время ведения артиллерийского огня при поддержке высадки тактического десанта германский 203-мм снаряд пробил корпус лидера, при этом через пробоину затопило две цистерны —топливную и питьевой воды. От осколков другого снаряда, разорвавше­гося у борта, на палубе лидера загорелся пороховой заряд, приготовленный для стрельбы главным калибром. Пожар и взрыв заряда грозили гибелью корабля. Смертель­но раненый осколками, командир орудия старшина 2-й статьи В.С.Кузнецов дотянул­ся до горящего заряда и пополз с ним к бор­ту, чтобы сбросить в воду, но силы остави­ли моряка и заряд взорвался у него в руках. Пожар удалось ликвидировать силами эки­пажа. Приказом командующего флотом, имя героя было навечно занесено в список экипажа лидера «Ленинград». Из-за повреждений от попадания снаря­да, пробившего оба борта, 14 октября ли­дер «Ленинград» поставили на ремонт у стенки завода № 196 (11866).</w:t>
      </w:r>
    </w:p>
    <w:p w14:paraId="09332C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B4F62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сентября 1941 на линкор Октябрьская революция немцы сбросили 411 бомб. 11 самолетов было сбито зенитчиками (1068,55).</w:t>
      </w:r>
    </w:p>
    <w:p w14:paraId="7F764F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8D9DA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сентября 1941 г. три бомбы (веро</w:t>
      </w:r>
      <w:r w:rsidRPr="00640820">
        <w:rPr>
          <w:rFonts w:ascii="Times New Roman" w:hAnsi="Times New Roman"/>
          <w:color w:val="000000" w:themeColor="text1"/>
          <w:sz w:val="16"/>
          <w:szCs w:val="16"/>
        </w:rPr>
        <w:softHyphen/>
        <w:t>ятно, по 250 кг) поразили носовую часть линкора "Октябрьская ре</w:t>
      </w:r>
      <w:r w:rsidRPr="00640820">
        <w:rPr>
          <w:rFonts w:ascii="Times New Roman" w:hAnsi="Times New Roman"/>
          <w:color w:val="000000" w:themeColor="text1"/>
          <w:sz w:val="16"/>
          <w:szCs w:val="16"/>
        </w:rPr>
        <w:softHyphen/>
        <w:t>волюция" в районе 14—29 шпангоута. Они разорвались на среднее броневой палубе, причинив большие разрушения, но не проник</w:t>
      </w:r>
      <w:r w:rsidRPr="00640820">
        <w:rPr>
          <w:rFonts w:ascii="Times New Roman" w:hAnsi="Times New Roman"/>
          <w:color w:val="000000" w:themeColor="text1"/>
          <w:sz w:val="16"/>
          <w:szCs w:val="16"/>
        </w:rPr>
        <w:softHyphen/>
        <w:t>нув в жизненно важные помещения линкора (3898).</w:t>
      </w:r>
    </w:p>
    <w:p w14:paraId="5897F3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86BB6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сентября 1941 лидер "Минск" выведен из строя при бомбардировке на Большом Кронштадтском рейде. Эсминец "Стерегущий", поврежденный при бомбежке, затонул на Восточном рейде (10671).</w:t>
      </w:r>
    </w:p>
    <w:p w14:paraId="373881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DD31B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сентября 1941 г. пароход Дежнев затонул, пораженный авиабомбами противника в военной гавани Кронштадта. После подъема судно переоборудо</w:t>
      </w:r>
      <w:r w:rsidRPr="00640820">
        <w:rPr>
          <w:rFonts w:ascii="Times New Roman" w:hAnsi="Times New Roman"/>
          <w:color w:val="000000" w:themeColor="text1"/>
          <w:sz w:val="16"/>
          <w:szCs w:val="16"/>
        </w:rPr>
        <w:softHyphen/>
        <w:t>вали в танкер (3898).</w:t>
      </w:r>
    </w:p>
    <w:p w14:paraId="76DD13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A36AC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сентября 1941 немцы отрезали Крым (2100).</w:t>
      </w:r>
    </w:p>
    <w:p w14:paraId="3E809E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74589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сентября 1941 вышло Постановление ГКО № 697 О введении т. Саджая в состав Военного Совета Зак. фронта. РГАНИР, Фонд ГКО, д. 10, лл. 41 (11012).</w:t>
      </w:r>
    </w:p>
    <w:p w14:paraId="71C810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32FBC74"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795D6FB3"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09323C3" w14:textId="77777777" w:rsidR="008D1ADA" w:rsidRPr="00640820" w:rsidRDefault="008D1A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сентября в 1941 году ленинградец Георгий Князев записывает в дневнике: "92-1 день. Три месяца войны... Что же происходит? Никто ничего толком из нас не знает. Враг у ворот. Где-то близко. Но где? Люди растерянно глядят друг на друга..." (14776).</w:t>
      </w:r>
    </w:p>
    <w:p w14:paraId="77CF9B85" w14:textId="77777777" w:rsidR="008D1ADA" w:rsidRPr="00640820" w:rsidRDefault="008D1ADA" w:rsidP="00640820">
      <w:pPr>
        <w:spacing w:after="0" w:line="240" w:lineRule="auto"/>
        <w:jc w:val="both"/>
        <w:rPr>
          <w:rFonts w:ascii="Times New Roman" w:hAnsi="Times New Roman"/>
          <w:color w:val="000000" w:themeColor="text1"/>
          <w:sz w:val="16"/>
          <w:szCs w:val="16"/>
        </w:rPr>
      </w:pPr>
    </w:p>
    <w:p w14:paraId="728E398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сентября 1941 вышло Постановление ГКО № 698 О переселении немцев из Краснодарского, Орджоникидзевского краев, Тульской области, Кабардино-Балкарской и Северо-Осетинской АССР. (7011, 42-43).</w:t>
      </w:r>
    </w:p>
    <w:p w14:paraId="55428FF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9ADE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сентября 1941 г., согласно Командованию 18-й армии:</w:t>
      </w:r>
    </w:p>
    <w:p w14:paraId="516670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Отдел 1с</w:t>
      </w:r>
    </w:p>
    <w:p w14:paraId="61E77F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Разведка Петербурга</w:t>
      </w:r>
    </w:p>
    <w:p w14:paraId="090679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непроверенным до сих пор данным источника от 18 сентября, положение Петербурга по состоянию на 16 сентября характеризуется следующим образом:</w:t>
      </w:r>
    </w:p>
    <w:p w14:paraId="587A83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Особенно пострадала от бомбовых ударов часть города, расположенная в восточной части большой излучины Невы, а также находящийся на юго-востоке Володарский район. В Володарском районе расположено большое количество военных предприятий, одно крупное нефте- и бен-зинохранилище, большие автопредприятия, мыловаренные и бумагоделательные фабрики. Кроме того, также там находятся основные запасы хлеба и мяса. Хлебозавод, расположенный на углу Шлиссельбургского проспекта и проспекта 25-го октября, а также находящийся поблизости от Кировского завода мясокомбинат (у Варшавского вокзала) отчасти разрушены, отчасти выгорели. Большой склад продовольствия «Бадаевские склады», расположенный на Большой Неве, горит день и ночь. Из-за многочисленных разрушений жилых домов, промышленных предприятий и складов продовольствия в Володарском районе было, по-видимому, принято решение эвакуировать население этого района на Васильевский остров, расположенный в северо-западной части города между Большой и Малой Невой. Северная и северо-западная части города до сих пор подверглись лишь незначительным разрушениям.</w:t>
      </w:r>
    </w:p>
    <w:p w14:paraId="6F00DB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Большинство заводских рабочих приблизительно с 12 сентября 1941 г. переведено на казарменное положение. Заработная плата осталась на прежнем уровне и в общем повышается лишь за сверхурочную работу. На отдельных предприятиях продолжительность рабочего дня составляет 13 часов. Предполагается вооружить рабочих ручными гранатами. Над их изготовлением трудятся с большим напряжением. Находящаяся на предприятиях охрана по сравнению с численностью работающих мала. Так, например, охрана завода Кагановича, по данным внешнего наблюдения, составляет 25 человек. Кроме того, на заводе имеется еще группа вооруженных рабочих в составе 50 человек. На заводе Кагановича, в главных железнодорожных мастерских московской линии, расположенных в Володарском районе на Московской улице, из 5000 человек все еще продолжают работать 2500 человек. 16 сентября завод не пострадал.</w:t>
      </w:r>
    </w:p>
    <w:p w14:paraId="0EDEE2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Как уже ранее сообщалось, в случае вступления немецких войск в Петербург рабочий класс будет направлен на защиту предприятий и всего города. Организация обороны между тем, по-видимому, в целом улучшается. Находящиеся на предприятиях на казарменном положении рабочие вечером после завершения рабочего дня обучаются обращению с винтовкой, ручными гранатами и пулеметом. В соответствии с решением Ленгоркома (Ленинградского партийного комитета), в городе должно быть сформировано 160 рабочих батальонов. Численность батальона составляет около 1000 человек. Батальон на заводе Кагановича насчитывает в своем составе 700 человек. Командиром этого батальона является директор завода, член коммунистической партии Григорьев. Винтовки, пулеметы и ручные гранаты бойцам еще не выданы.</w:t>
      </w:r>
    </w:p>
    <w:p w14:paraId="17A4FF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Наряду с этим все мужчины города, годные к воинской службе, а также все беженцы мужского пола, которые прибыли в город, зачислены в ополчение и направлены либо на фронт на подступах к Петербургу в части действующей армии, либо объединены в подразделения для защиты самого города. Трудоспособные женщины направлены на рытье траншей и строительство щелей. В городе можно встретить только стариков и детей.</w:t>
      </w:r>
    </w:p>
    <w:p w14:paraId="2FF736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того, чтобы укрепить волю рабочих и повысить их возможности к сопротивлению, ленинградский партийный комитет непрерывно проводит собрания, на которых рабочих призывают защищать свои заводы и город до последней капли крови. У рабочих это не вызывает особого отклика, но они, однако, находятся под едва ли вообразимым террором (царящим в городе), который ставит их перед альтернативой: либо терпеливо выжидать и взяться (впоследствии) за оружие, либо быть расстрелянными как саботажники и контрреволюционеры.</w:t>
      </w:r>
    </w:p>
    <w:p w14:paraId="3A0572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Усиленно работает НКВД и особенно управление государственной безопасности.</w:t>
      </w:r>
    </w:p>
    <w:p w14:paraId="7E18F6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проблема снабжения города продовольствием становится все серьезнее и серьезнее. Установлено, что нормы выдачи хлеба для рабочих с 1 сентября снижены с 800 г до 400 г в день, а остальные категории населения получают всего 200 г хлеба. Помимо хлеба, все население получает ежемесячно 400 г сахара, 500 г мяса, 300 г масла и 1 кг крупы. Однако эти нормы выдаются далеко не полностью и далеко не всем; для того, чтобы получить продукты, необходимо стоять часами в различные пункты выдачи продовольствия. Население полагает, что имеющегося в городе продовольствия в условиях блокады хватит еще на 4 недели. Большие запасы продовольствия находятся в отдельных точках города, а именно на пересечении Шлиссельбургского проспекта и набережной Невы, а также на углу проспекта 3-го июля и проспекта 25-го октября в большом трехэтажном комплексе зданий «Гостиный двор».</w:t>
      </w:r>
    </w:p>
    <w:p w14:paraId="1EBC2F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Запасы дров в городе характеризуются тем, что сначала все деревянные постройки и сараи из-за угрозы пожаров были снесены. Древесину закапывали, хотя ее можно было использовать в качестве топлива. Водо- и электроснабжение в городе еще функционирует. По-прежнему работает транспорт. Во время воздушных тревог, которые весьма часты в последние дни, движение всюду почти полностью замирает. По-видимому, ПВО города плохо организована. Мнение населения относительно противовоздушной обороны невысокое. На население особенно удручающее впечатление оказывает тот факт, что о большинстве налетов вообще нет никаких предупреждений ПВО. Кроме того, бомбоубежища из-за нехватки времени, а также главным образом по причине плохой подпочвы, плохо укреплены, и гражданское население (вследствие этого) уже понесло значительные потери. Рядом с гостиницей «Октябрьская» один дом был разрушен полностью. Жители были завалены в подвале.</w:t>
      </w:r>
    </w:p>
    <w:p w14:paraId="347633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Население города находится под влиянием пропаганды устрашения, которую проводит коммунистическая партия. Коммунистическая пропаганда имеет большой успех, так что при нынешнем положении большая часть населения , несмотря на усталость от войны, участвует в обороне города и верит, что таким образом она наилучшим образом сможет спасти свою жизнь перед угрозой немецкого наступления. Коммунистическая партия работает, как уже отмечалось, проводя собрания, </w:t>
      </w:r>
      <w:r w:rsidRPr="00640820">
        <w:rPr>
          <w:rFonts w:ascii="Times New Roman" w:hAnsi="Times New Roman"/>
          <w:color w:val="000000" w:themeColor="text1"/>
          <w:sz w:val="16"/>
          <w:szCs w:val="16"/>
        </w:rPr>
        <w:lastRenderedPageBreak/>
        <w:t>занимаясь индивидуальным террором и распространяя слухи. Широкая партийная жизнь повсеместно парализована по причине того, что рядовые члены партии боятся проявлять активность из-за возможности прихода немцев.</w:t>
      </w:r>
    </w:p>
    <w:p w14:paraId="3591BB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Воля к борьбе до последней капли крови характерна лишь для высших функционеров государственных, партийных и военных органов. Однако мнение, что город следует сдать, никто открыто не выражает. Собственно «пораженческие» настроения можно услышать только в частных разговорах. Активной деятельности против коммунизма или актов саботажа любого рода при проведении мероприятий по защите города до сих пор не замечено и в ближайшее время не ожидается.</w:t>
      </w:r>
    </w:p>
    <w:p w14:paraId="32C6FA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Немецкая листковая пропаганда в Петербурге в количественном отношении слаба. До сих пор в городе распространено очень незначительное количество листовок, которые, по данным источника, не достигли желаемого результата. Напротив, на фронте на подступах к Петербургу распространено несравнимо большее количество листовок.</w:t>
      </w:r>
    </w:p>
    <w:p w14:paraId="167687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городе господствует мнение, что до тех пор, пока есть какие-либо запасы продовольствия, об оставлении города не может быть и речи, напротив, его следует защищать, используя все возможные средства. В особенности пользу из того, что в городе имеются еще неповрежденные запасы продовольствия, извлекает коммунистическая пропаганда. Используя это, она призывает людей к стойкости и еще до выдачи последних запасов продовольствия рисует перед городом эту ужасную перспективу сдачи города.</w:t>
      </w:r>
    </w:p>
    <w:p w14:paraId="5C41A5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Разослано:</w:t>
      </w:r>
    </w:p>
    <w:p w14:paraId="5D83F6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ОКВ</w:t>
      </w:r>
    </w:p>
    <w:p w14:paraId="2A9784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Группа армий «Север» XXVI армейский корпус XXXVIII армейский корпус ВВС</w:t>
      </w:r>
    </w:p>
    <w:p w14:paraId="11D346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Главнокомандующего армией подпись</w:t>
      </w:r>
    </w:p>
    <w:p w14:paraId="7154A8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Генерального штаба</w:t>
      </w:r>
    </w:p>
    <w:p w14:paraId="57DF44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подпись</w:t>
      </w:r>
    </w:p>
    <w:p w14:paraId="2B4F47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Национальный Архив США. Командование 18-й армии. Отдел 1с. Микро-фильм.Т-312 (коллекция)/1579 (ролик) —1061-62 (кадры) (11814).</w:t>
      </w:r>
    </w:p>
    <w:p w14:paraId="1B7BD8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91F78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сентября 1941 г., согласно Командованию 18-й армии:</w:t>
      </w:r>
    </w:p>
    <w:p w14:paraId="476752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Отдел 1с</w:t>
      </w:r>
    </w:p>
    <w:p w14:paraId="61D059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Предмет: допросы военнопленных о положении в Петербурге</w:t>
      </w:r>
    </w:p>
    <w:p w14:paraId="10F85D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Существуют проблемы в обеспечении населения продовольствием; работающие получают 400 г хлеба, остальные категории — 200 г хлеба в день.</w:t>
      </w:r>
    </w:p>
    <w:p w14:paraId="2336ED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Хлеб является основным продуктом питания; мяса выдают около 2 кг в месяц. Как и перед полной блокадой, продовольствие доставляется в город самыми разнообразными способами (в том числе завозится мука без мешков в вагонах).</w:t>
      </w:r>
    </w:p>
    <w:p w14:paraId="0D39F4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Сообщают, город будут защищать до конца. Согласно слухам, гражданское население эвакуируется в центральную часть города с тем, чтобы можно было защищать внешние районы. Проведено крупномасштабное минирование города.</w:t>
      </w:r>
    </w:p>
    <w:p w14:paraId="035AD5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Немецкая пропаганда практически неэффективна в отношении коммунистов, поскольку она перекрывается куда более активной русской пропагандой. Пропаганда, адресованная русской женщине, имела бы больший успех.</w:t>
      </w:r>
    </w:p>
    <w:p w14:paraId="4EAA0D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Национальный Архив США. Командование 18-й армии. Отдел 1с. Микро-фильм.Т-312/1579 -1055 (11814).</w:t>
      </w:r>
    </w:p>
    <w:p w14:paraId="6CD50A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3EE3AD5"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2553CF21"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B3DDE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сентября 1941 года:</w:t>
      </w:r>
    </w:p>
    <w:p w14:paraId="2FA033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ЕГО ПРЕВОСХОДИТЕЛЬСТВУ ГОСПОДИНУ ИОСИФУ СТАЛИНУ</w:t>
      </w:r>
    </w:p>
    <w:p w14:paraId="2FEA59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Уважаемый Премьер Сталин,</w:t>
      </w:r>
    </w:p>
    <w:p w14:paraId="4C83AF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Британская и американская миссии уже выехали, и это письмо будет вручено Вам лордом Бивербруком. Лорд Бивербрук пользуется полнейшим доверием кабинета и является одним из моих самых старых и близких друзей. Он установил самые тесные отношения с г-ном Гарриманом, который является замечательным американцем, преданным всем своим сердцем победе общего дела. Они изложат Вам всё, что нам удалось выработать в результате весьма тщательной консультации между Великобританией и Соединенными Штатами.</w:t>
      </w:r>
    </w:p>
    <w:p w14:paraId="72F319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Президент Рузвельт решил, что наши предложения должны в первую очередь касаться месячных квот материалов, которые мы отправим Вам в течение девяти месяцев в период от октября 1941 года до июня 1942 года включительно. Вы имеете право знать точно, что мы можем поставлять из месяца в месяц, чтобы Вы могли наиболее выгодно распределить Ваши резервы.</w:t>
      </w:r>
    </w:p>
    <w:p w14:paraId="73377C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Американские предложения ограничены пока концом июня 1942 года, но я не сомневаюсь, что впоследствии обе страны смогут поставить значительно большее количество, и Вы можете быть уверены, что мы приложим все усилия, чтобы компенсировать, насколько возможно, тяжелые потери, которые потерпела Ваша военная промышленность в результате нацистского вторжения. Я не хочу предвосхищать того, что лорд Бивербрук должен будет сказать по этому вопросу.</w:t>
      </w:r>
    </w:p>
    <w:p w14:paraId="329E29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 увидите, что до конца июня 1942 года поставки идут почти полностью за счет британской продукции или продукции, которую Соединенные Штаты предоставят нам в качестве наших собственных закупок или согласно закону о передаче взаймы или в аренду</w:t>
      </w:r>
      <w:r w:rsidRPr="00640820">
        <w:rPr>
          <w:rFonts w:ascii="Times New Roman" w:hAnsi="Times New Roman"/>
          <w:color w:val="000000" w:themeColor="text1"/>
          <w:sz w:val="16"/>
          <w:szCs w:val="16"/>
          <w:vertAlign w:val="superscript"/>
        </w:rPr>
        <w:t>9</w:t>
      </w:r>
      <w:r w:rsidRPr="00640820">
        <w:rPr>
          <w:rFonts w:ascii="Times New Roman" w:hAnsi="Times New Roman"/>
          <w:color w:val="000000" w:themeColor="text1"/>
          <w:sz w:val="16"/>
          <w:szCs w:val="16"/>
        </w:rPr>
        <w:t>. Соединенные Штаты были исполнены решимости предоставить нам фактически все свои экспортные излишки, и для них нелегко обеспечить в течение этого времени новые эффективные источники снабжения. Я надеюсь, что производство Соединенных Штатов получит дальнейший значительный импульс и что к 1943 году мощная промышленность Америки полностью развернется в соответствии с нуждами войны. Что касается нашего участия, то мы не только значительно увеличим свой вклад из нашей существующей, заранее спланированной продукции, но также попытаемся добиться от нашего народа дальнейших усилий для удовлетворения наших общих потребностей. Вы, однако, согласитесь, что наша армия и ее снабжение, которое было спланировано, составляют, может быть, только одну пятую или одну шестую Вашей или германской армий. Наш первый долг и потребность заключаются в том, чтобы держать моря открытыми, а наш второй долг — достигнуть решительного превосходства в воздухе. Это основные требования, предъявляемые к людским ресурсам, составляющим на Британских островах 44 000 000. Мы никогда не можем надеяться иметь армию или военную промышленность, которые можно было бы сравнить с армией и военной промышленностью великих континентальных военных держав. Тем не менее мы сделаем все возможное, чтобы помочь Вам.</w:t>
      </w:r>
    </w:p>
    <w:p w14:paraId="78A64C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Генерал Исмэй, который является моим личным представителем в Комитете начальников штабов и полностью осведомлен о всей нашей военной политике, уполномочен изучить с Вашими командующими любые планы практического сотрудничества, о которых может возникнуть мысль.</w:t>
      </w:r>
    </w:p>
    <w:p w14:paraId="1ECEB1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Если мы сможем очистить от врага наш западный фланг в Ливии, мы будем иметь значительные силы, как воздушные, так и сухопутные, для совместных действий на южном фланге русского фронта.</w:t>
      </w:r>
    </w:p>
    <w:p w14:paraId="7A79E6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Мне кажется, что если бы удалось побудить Турцию к сопротивлению германским требованиям о пропуске войск или, еще лучше, если бы она вступила в войну на нашей стороне, то это было бы наиболее быстрой и эффективной помощью нам. Я уверен, что Вы придадите этому должное значение.</w:t>
      </w:r>
    </w:p>
    <w:p w14:paraId="31826F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 всегда разделял Ваши симпатии к китайскому народу в его борьбе за защиту своей родной земли от японской агрессии. Разумеется, мы не хотим добавлять Японию к числу наших врагов, но позиция Соединенных Штатов, как она выяснилась из моего совещания с Президентом Рузвельтом, уже заставила Японское Правительство придерживаться более трезвых взглядов. Я поспешил заявить от имени Правительства Его Величества, что если Соединенные Штаты будут втянуты в войну с Японией, то Великобритания немедленно выступит на их стороне. Я думаю, что все наши три страны должны, насколько возможно, продолжать оказывать помощь Китаю и что эта помощь может принять значительные размеры, не вызывая объявления войны со стороны Японии.</w:t>
      </w:r>
    </w:p>
    <w:p w14:paraId="7405FE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Нет сомнения, что нашим народам предстоит длительный период борьбы и страданий, но я питаю большие надежды на то, что Соединенные Штаты вступят в войну в качестве воюющей стороны, и если так, то я уверен, что нам надо будет только проявить выдержку для того, чтобы победить.</w:t>
      </w:r>
    </w:p>
    <w:p w14:paraId="250447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 надеюсь, что в ходе войны огромные массы народов Британской Империи, Советского Союза, Соединенных Штатов и Китая, которые вместе составляют две трети всего человечества, выступят против своих врагов; и я уверен, 'что путь, по которому они пойдут, приведет к победе.</w:t>
      </w:r>
    </w:p>
    <w:p w14:paraId="3044AF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Шлю искренние пожелания успехов русским армиям и уничтожения нацистских тиранов.</w:t>
      </w:r>
    </w:p>
    <w:p w14:paraId="55FDD0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Верьте мне, искренне Ваш</w:t>
      </w:r>
    </w:p>
    <w:p w14:paraId="053D8B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Уинстон ЧЕРЧИЛЛЬ (7430).</w:t>
      </w:r>
    </w:p>
    <w:p w14:paraId="2528E0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C2F3072"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lang w:val="en-US"/>
        </w:rPr>
      </w:pPr>
      <w:r w:rsidRPr="00640820">
        <w:rPr>
          <w:rFonts w:ascii="Times New Roman" w:hAnsi="Times New Roman"/>
          <w:i/>
          <w:iCs/>
          <w:color w:val="000000" w:themeColor="text1"/>
          <w:sz w:val="16"/>
          <w:szCs w:val="16"/>
        </w:rPr>
        <w:t>За</w:t>
      </w:r>
      <w:r w:rsidRPr="00640820">
        <w:rPr>
          <w:rFonts w:ascii="Times New Roman" w:hAnsi="Times New Roman"/>
          <w:i/>
          <w:iCs/>
          <w:color w:val="000000" w:themeColor="text1"/>
          <w:sz w:val="16"/>
          <w:szCs w:val="16"/>
          <w:lang w:val="en-US"/>
        </w:rPr>
        <w:t xml:space="preserve"> </w:t>
      </w:r>
      <w:r w:rsidRPr="00640820">
        <w:rPr>
          <w:rFonts w:ascii="Times New Roman" w:hAnsi="Times New Roman"/>
          <w:i/>
          <w:iCs/>
          <w:color w:val="000000" w:themeColor="text1"/>
          <w:sz w:val="16"/>
          <w:szCs w:val="16"/>
        </w:rPr>
        <w:t>рубежом</w:t>
      </w:r>
      <w:r w:rsidRPr="00640820">
        <w:rPr>
          <w:rFonts w:ascii="Times New Roman" w:hAnsi="Times New Roman"/>
          <w:i/>
          <w:iCs/>
          <w:color w:val="000000" w:themeColor="text1"/>
          <w:sz w:val="16"/>
          <w:szCs w:val="16"/>
          <w:lang w:val="en-US"/>
        </w:rPr>
        <w:t>:</w:t>
      </w:r>
    </w:p>
    <w:p w14:paraId="2962464E"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3A2FDD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September 21 1941 Boeing XB-29 Superfortress made its first flight, an indispensible aircraft in the Pacific campaign of World War II (1038).</w:t>
      </w:r>
    </w:p>
    <w:p w14:paraId="594B96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43D28C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сентября 1941 XB-29 Superfortress выполнил первый полет (1038).</w:t>
      </w:r>
    </w:p>
    <w:p w14:paraId="7F5F13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D8AD855" w14:textId="77777777" w:rsidR="008D1ADA" w:rsidRPr="00640820" w:rsidRDefault="008D1ADA"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сентября 1941 в Торонто (Канада) состоялась конференция русских комитетов помощи Родине (4962).</w:t>
      </w:r>
    </w:p>
    <w:p w14:paraId="529A323C" w14:textId="77777777" w:rsidR="008D1ADA" w:rsidRPr="00640820" w:rsidRDefault="008D1ADA"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85FD4B"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lastRenderedPageBreak/>
        <w:t>Авиапромышленность:</w:t>
      </w:r>
    </w:p>
    <w:p w14:paraId="2F52E364"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9EA2F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сентября 1941 С.В.И</w:t>
      </w:r>
      <w:r w:rsidRPr="00640820">
        <w:rPr>
          <w:rFonts w:ascii="Times New Roman" w:hAnsi="Times New Roman"/>
          <w:color w:val="000000" w:themeColor="text1"/>
          <w:sz w:val="16"/>
          <w:szCs w:val="16"/>
        </w:rPr>
        <w:softHyphen/>
        <w:t>льюшина не дожидаясь официаль</w:t>
      </w:r>
      <w:r w:rsidRPr="00640820">
        <w:rPr>
          <w:rFonts w:ascii="Times New Roman" w:hAnsi="Times New Roman"/>
          <w:color w:val="000000" w:themeColor="text1"/>
          <w:sz w:val="16"/>
          <w:szCs w:val="16"/>
        </w:rPr>
        <w:softHyphen/>
        <w:t>ного окончания государственных летных испытаний Ил-2 с ШФК-37, направил на имя И.В.Сталина письмо (№ 1229 от 22.09.41 г.), в кото</w:t>
      </w:r>
      <w:r w:rsidRPr="00640820">
        <w:rPr>
          <w:rFonts w:ascii="Times New Roman" w:hAnsi="Times New Roman"/>
          <w:color w:val="000000" w:themeColor="text1"/>
          <w:sz w:val="16"/>
          <w:szCs w:val="16"/>
        </w:rPr>
        <w:softHyphen/>
        <w:t xml:space="preserve">ром докладывал: </w:t>
      </w:r>
      <w:r w:rsidRPr="00640820">
        <w:rPr>
          <w:rFonts w:ascii="Times New Roman" w:hAnsi="Times New Roman"/>
          <w:iCs/>
          <w:color w:val="000000" w:themeColor="text1"/>
          <w:sz w:val="16"/>
          <w:szCs w:val="16"/>
        </w:rPr>
        <w:t>"На самолет Ил-2 в августе с. г. мною были установлены 2 пушки 37 мм конструкции Шпитального с запасом снарядов 40 штук на пушку, а весь запас снарядов 80 штук. Самолет с этими пуш</w:t>
      </w:r>
      <w:r w:rsidRPr="00640820">
        <w:rPr>
          <w:rFonts w:ascii="Times New Roman" w:hAnsi="Times New Roman"/>
          <w:iCs/>
          <w:color w:val="000000" w:themeColor="text1"/>
          <w:sz w:val="16"/>
          <w:szCs w:val="16"/>
        </w:rPr>
        <w:softHyphen/>
        <w:t>ками прошел Государственные испыта</w:t>
      </w:r>
      <w:r w:rsidRPr="00640820">
        <w:rPr>
          <w:rFonts w:ascii="Times New Roman" w:hAnsi="Times New Roman"/>
          <w:iCs/>
          <w:color w:val="000000" w:themeColor="text1"/>
          <w:sz w:val="16"/>
          <w:szCs w:val="16"/>
        </w:rPr>
        <w:softHyphen/>
        <w:t>ния в НИПАВ ГУ ВВС. Стрельба с само</w:t>
      </w:r>
      <w:r w:rsidRPr="00640820">
        <w:rPr>
          <w:rFonts w:ascii="Times New Roman" w:hAnsi="Times New Roman"/>
          <w:iCs/>
          <w:color w:val="000000" w:themeColor="text1"/>
          <w:sz w:val="16"/>
          <w:szCs w:val="16"/>
        </w:rPr>
        <w:softHyphen/>
        <w:t>лета Ил-2 из этих пушек производит сильное впечатление мощностью огня и точностью попадания. Это уже настоя</w:t>
      </w:r>
      <w:r w:rsidRPr="00640820">
        <w:rPr>
          <w:rFonts w:ascii="Times New Roman" w:hAnsi="Times New Roman"/>
          <w:iCs/>
          <w:color w:val="000000" w:themeColor="text1"/>
          <w:sz w:val="16"/>
          <w:szCs w:val="16"/>
        </w:rPr>
        <w:softHyphen/>
        <w:t>щая летающая артиллерия....Достоин</w:t>
      </w:r>
      <w:r w:rsidRPr="00640820">
        <w:rPr>
          <w:rFonts w:ascii="Times New Roman" w:hAnsi="Times New Roman"/>
          <w:iCs/>
          <w:color w:val="000000" w:themeColor="text1"/>
          <w:sz w:val="16"/>
          <w:szCs w:val="16"/>
        </w:rPr>
        <w:softHyphen/>
        <w:t>ство самолета Ил-2 с установленными пушками состоит в том, что можно бу</w:t>
      </w:r>
      <w:r w:rsidRPr="00640820">
        <w:rPr>
          <w:rFonts w:ascii="Times New Roman" w:hAnsi="Times New Roman"/>
          <w:iCs/>
          <w:color w:val="000000" w:themeColor="text1"/>
          <w:sz w:val="16"/>
          <w:szCs w:val="16"/>
        </w:rPr>
        <w:softHyphen/>
        <w:t>дет вести с самолета прицельную, очень точную стрельбу, и к тому же стрельбу начинать с дистанции 3-х и более кило</w:t>
      </w:r>
      <w:r w:rsidRPr="00640820">
        <w:rPr>
          <w:rFonts w:ascii="Times New Roman" w:hAnsi="Times New Roman"/>
          <w:iCs/>
          <w:color w:val="000000" w:themeColor="text1"/>
          <w:sz w:val="16"/>
          <w:szCs w:val="16"/>
        </w:rPr>
        <w:softHyphen/>
        <w:t>метров, когда вражеские войска нашего самолета не видят и не слышат..."</w:t>
      </w:r>
    </w:p>
    <w:p w14:paraId="48217B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заключение письма Ильюшин внес предложение </w:t>
      </w:r>
      <w:r w:rsidRPr="00640820">
        <w:rPr>
          <w:rFonts w:ascii="Times New Roman" w:hAnsi="Times New Roman"/>
          <w:iCs/>
          <w:color w:val="000000" w:themeColor="text1"/>
          <w:sz w:val="16"/>
          <w:szCs w:val="16"/>
        </w:rPr>
        <w:t>"поручить заводу No 1 обо</w:t>
      </w:r>
      <w:r w:rsidRPr="00640820">
        <w:rPr>
          <w:rFonts w:ascii="Times New Roman" w:hAnsi="Times New Roman"/>
          <w:iCs/>
          <w:color w:val="000000" w:themeColor="text1"/>
          <w:sz w:val="16"/>
          <w:szCs w:val="16"/>
        </w:rPr>
        <w:softHyphen/>
        <w:t>рудовать два авиаполка самолетов Ил-2 пушками 37 мм типа конструкции Шпитального по 2 пушки на самолет с запасом снарядов по 40 штук на пушку"</w:t>
      </w:r>
      <w:r w:rsidRPr="00640820">
        <w:rPr>
          <w:rFonts w:ascii="Times New Roman" w:hAnsi="Times New Roman"/>
          <w:color w:val="000000" w:themeColor="text1"/>
          <w:sz w:val="16"/>
          <w:szCs w:val="16"/>
        </w:rPr>
        <w:t xml:space="preserve"> (6467).</w:t>
      </w:r>
    </w:p>
    <w:p w14:paraId="478CAA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A7682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22 сентября 1941 г. С.В. Ильюшина направил на имя И.В.Сталина письмо: "На самолет Ил-2 в августе с. г. мною были установлены 2 пушки 37 мм конструкции Шпитального с запасом снарядов 40 штук на пушку, а весь запас снарядов 80 штук. Самолет с этими пушками прошел Государственные испытания в НИПАВ ГУ ВВС. Стрельба с самолета Ил-2 из этих пушек производит сильное впечатление мощностью огня и точностью попадания. Это уже настоящая летающая артиллерия. ...Достоинство самолета Ил-2 с установленными пушками состоит в том, что можно будет вести с самолета прицельную, очень точную стрельбу, и к тому же стрельбу начинать с дистанции 3-х и более километров, когда вражеские войска нашего самолета не видят и не слышат...". </w:t>
      </w:r>
    </w:p>
    <w:p w14:paraId="2F7C9F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Это письмо было преждевременным, и к тому же фактически обманным. </w:t>
      </w:r>
    </w:p>
    <w:p w14:paraId="5AF6C7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реальных условиях боев летчик с хорошей летной и стрелковой подготовкой на Ил-2 с ШФК-37 мог обеспечить вероятность поражения немецкого среднего танка типа Pz.III G в одном заходе (атака сбоку, угол планирования 25-30°, дистанция открытия огня 300-400 м) порядка 0,04-0,02, а бронетранспортера типа Sd Kfz 250 - около 0,09-0,06. То есть для гарантированного уничтожения на поле боя одной единицы бронетехники вермахта необходимо было выделять, как минимум, два десятка бронированных "Илов". В результате установка пушек ШФК-37 на самолет Ил-2 у большинства строевых летчиков поддержки не нашла (11224).</w:t>
      </w:r>
    </w:p>
    <w:p w14:paraId="484C69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682A2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сентября 1941 А.И.Ш. писал Зам. Пред. Вознесенскому и Наркому вооружений Устинову письмо N 5149:</w:t>
      </w:r>
    </w:p>
    <w:p w14:paraId="4CB326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письму Устинова N 2794с от 17 сентября 1941 сообщаю, что недостатки в установке пушки ВЯ 23 мм на самолете Ил-2, указанные комиссией по отстрелу взрывателей К-20 и В-179 заводами НКАП устранены:</w:t>
      </w:r>
    </w:p>
    <w:p w14:paraId="0FE00D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Увеличен вырез в нервюре N 7 левого крыла для обеспечения съема части рукава с роликом</w:t>
      </w:r>
    </w:p>
    <w:p w14:paraId="2182E4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Звеньеотводы сделаны легкосъемными</w:t>
      </w:r>
    </w:p>
    <w:p w14:paraId="357F7E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Уменьшен люфт заднего крепления (1520,92).</w:t>
      </w:r>
    </w:p>
    <w:p w14:paraId="77178B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D40B5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сентября 1941 С.В.Ильюшин обратился в правительство с предложением вооружить два штурмовых авиаполка Ил-2 с Ш-37 (9528).</w:t>
      </w:r>
    </w:p>
    <w:p w14:paraId="167CBA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A10E73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сентября 1941 г. С.В. Ильюшина писал письмо (№ 1229 от) на имя И.В. Сталина, в котором С.В.И. не дожидаясь официального окончания государствен</w:t>
      </w:r>
      <w:r w:rsidRPr="00640820">
        <w:rPr>
          <w:rFonts w:ascii="Times New Roman" w:hAnsi="Times New Roman"/>
          <w:color w:val="000000" w:themeColor="text1"/>
          <w:sz w:val="16"/>
          <w:szCs w:val="16"/>
        </w:rPr>
        <w:softHyphen/>
        <w:t>ных летных испытаний Ил-2 с ШФК-37 докладывал следующее: «На самолет Ил-2 в августе с.г. мною были установлены 2 пушки 37 мм конструкции Шпитального с запасом снарядов 40 штук на пушку, а весь запас снарядов 80 штук. Самолет с этими пушками прошел Государственные испытания в НИП АВ ГУ ВВС. Стрельба с самолета Ил-2 из этих пушек производит сильное впечатление мощностью огня и точностью попадания. Это уже настоящая лета</w:t>
      </w:r>
      <w:r w:rsidRPr="00640820">
        <w:rPr>
          <w:rFonts w:ascii="Times New Roman" w:hAnsi="Times New Roman"/>
          <w:color w:val="000000" w:themeColor="text1"/>
          <w:sz w:val="16"/>
          <w:szCs w:val="16"/>
        </w:rPr>
        <w:softHyphen/>
        <w:t>ющая артиллерия... Достоинство самолета Ил-2 с установленными пушками состоит в том, что можно будет вести с самолета прицель</w:t>
      </w:r>
      <w:r w:rsidRPr="00640820">
        <w:rPr>
          <w:rFonts w:ascii="Times New Roman" w:hAnsi="Times New Roman"/>
          <w:color w:val="000000" w:themeColor="text1"/>
          <w:sz w:val="16"/>
          <w:szCs w:val="16"/>
        </w:rPr>
        <w:softHyphen/>
        <w:t>ную, очень точную стрельбу, и к тому же стрельбу начинать с дис</w:t>
      </w:r>
      <w:r w:rsidRPr="00640820">
        <w:rPr>
          <w:rFonts w:ascii="Times New Roman" w:hAnsi="Times New Roman"/>
          <w:color w:val="000000" w:themeColor="text1"/>
          <w:sz w:val="16"/>
          <w:szCs w:val="16"/>
        </w:rPr>
        <w:softHyphen/>
        <w:t>танции 3-х и более километров, когда вражеские войска нашего са</w:t>
      </w:r>
      <w:r w:rsidRPr="00640820">
        <w:rPr>
          <w:rFonts w:ascii="Times New Roman" w:hAnsi="Times New Roman"/>
          <w:color w:val="000000" w:themeColor="text1"/>
          <w:sz w:val="16"/>
          <w:szCs w:val="16"/>
        </w:rPr>
        <w:softHyphen/>
        <w:t>молета не видят и не слышат...». В заключение письма Ильюшин внес предложение «поручить заводу № 1 оборудовать два авиаполка самолетов Ил-2 пушками 37 мм типа конструкции Шпитального по 2 пушки на самолет с за</w:t>
      </w:r>
      <w:r w:rsidRPr="00640820">
        <w:rPr>
          <w:rFonts w:ascii="Times New Roman" w:hAnsi="Times New Roman"/>
          <w:color w:val="000000" w:themeColor="text1"/>
          <w:sz w:val="16"/>
          <w:szCs w:val="16"/>
        </w:rPr>
        <w:softHyphen/>
        <w:t>пасом снарядов по 40 штук на пушку» (10695).</w:t>
      </w:r>
    </w:p>
    <w:p w14:paraId="0583075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BC7C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сентября 1941 В.П.Кузнецов писал секретарю Воронежского обкома ВКП(б) Никитину:</w:t>
      </w:r>
    </w:p>
    <w:p w14:paraId="6FF59F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частях ВВС, эксплуатирующих самолеты Ил-2 с АМ-38, в последнее время произошло несколько аварий и катастроф самолетов Ил-2 из-за поломки гл. шатунов мотора.</w:t>
      </w:r>
    </w:p>
    <w:p w14:paraId="3CE925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Комиссией, назначенной Наркомом и Командующим ВВС, выявлены следующие основные причины, вызывающие эту поломку:</w:t>
      </w:r>
    </w:p>
    <w:p w14:paraId="575E94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Неравномерная затяжка гаек шпилек крышки гл. шатуна, являющаяся следствием недостаточно отработанной технологии сборки данного узла.</w:t>
      </w:r>
    </w:p>
    <w:p w14:paraId="626B77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Недостаточная заправка масла в бак (27 л) и недостаточная общая емкость бака (47 л).</w:t>
      </w:r>
    </w:p>
    <w:p w14:paraId="4FDFF8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Большая откачка масла из бака в картер мотора при переводе с малого газа на номинальный режим (до 15 л).</w:t>
      </w:r>
    </w:p>
    <w:p w14:paraId="5E3ABE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Большой расход масла у значительной части выпущенных заводом 24 моторов 2-й серии, доходящей до 18 гр./л.с.</w:t>
      </w:r>
    </w:p>
    <w:p w14:paraId="0E9896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устранения указанных дефектов проводятся следующие мероприятия:</w:t>
      </w:r>
    </w:p>
    <w:p w14:paraId="0ECD51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заводу 24</w:t>
      </w:r>
    </w:p>
    <w:p w14:paraId="75C5A5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Отработана технология сборки</w:t>
      </w:r>
    </w:p>
    <w:p w14:paraId="3A64C0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Для уменьшения расхода масла устанавливаются поршневые кольца по типу первой серии.</w:t>
      </w:r>
    </w:p>
    <w:p w14:paraId="4642ED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Проводятся работы по улучшению откачки масла из картера. Срок окончания - 5 октября 1941</w:t>
      </w:r>
    </w:p>
    <w:p w14:paraId="108EBB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Разрабатывается конструкция с дополнительным подводом масла к 1-й опоре коленчатого вала</w:t>
      </w:r>
    </w:p>
    <w:p w14:paraId="4EAE0C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заводу 18</w:t>
      </w:r>
    </w:p>
    <w:p w14:paraId="06225B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К 25 октября будут установлены маслобаки увеличенной емкости</w:t>
      </w:r>
    </w:p>
    <w:p w14:paraId="6F259E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С целью уменьшения износа поршневых колец к тому же сроку будут проведены испытания воздушного фильтра</w:t>
      </w:r>
    </w:p>
    <w:p w14:paraId="1130FE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Изданный по этому вопросу приказ НКАП от 20 сентября 1941 N 1006 выслан заводу 18 (1519,29).</w:t>
      </w:r>
    </w:p>
    <w:p w14:paraId="1FAA22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CEC3B0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сентября 1941 вышло Постановление ГКО № 703 Об обеспечении производства самолетов 103-У на заводе № 166 в г. Омске. (7011, 64-64об.).</w:t>
      </w:r>
    </w:p>
    <w:p w14:paraId="6DA1831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2ED362" w14:textId="77777777" w:rsidR="00FA48B2" w:rsidRPr="00640820" w:rsidRDefault="00FA48B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сентября 1941 вышло Постановление ГКО № 703 Об обеспечении производства самолетов 103-У на заводе № 166 в г. Омске</w:t>
      </w:r>
    </w:p>
    <w:p w14:paraId="6770421F" w14:textId="77777777" w:rsidR="00FA48B2" w:rsidRPr="00640820" w:rsidRDefault="00FA48B2"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 xml:space="preserve">Отмечая невыполнение заводом </w:t>
      </w:r>
      <w:r w:rsidR="009F502E" w:rsidRPr="00640820">
        <w:rPr>
          <w:rFonts w:ascii="Times New Roman" w:eastAsia="SimHei" w:hAnsi="Times New Roman"/>
          <w:color w:val="000000" w:themeColor="text1"/>
          <w:sz w:val="16"/>
          <w:szCs w:val="16"/>
        </w:rPr>
        <w:t>№</w:t>
      </w:r>
      <w:r w:rsidRPr="00640820">
        <w:rPr>
          <w:rFonts w:ascii="Times New Roman" w:eastAsia="SimHei" w:hAnsi="Times New Roman"/>
          <w:color w:val="000000" w:themeColor="text1"/>
          <w:sz w:val="16"/>
          <w:szCs w:val="16"/>
        </w:rPr>
        <w:t xml:space="preserve"> 166 постановления Государ</w:t>
      </w:r>
      <w:r w:rsidRPr="00640820">
        <w:rPr>
          <w:rFonts w:ascii="Times New Roman" w:eastAsia="SimHei" w:hAnsi="Times New Roman"/>
          <w:color w:val="000000" w:themeColor="text1"/>
          <w:sz w:val="16"/>
          <w:szCs w:val="16"/>
        </w:rPr>
        <w:softHyphen/>
        <w:t>ственного Комитета Обороны по выпуску самолетов 103-У и слабое разЕертывание производства этих самолетов на заводе,Государст</w:t>
      </w:r>
      <w:r w:rsidRPr="00640820">
        <w:rPr>
          <w:rFonts w:ascii="Times New Roman" w:eastAsia="SimHei" w:hAnsi="Times New Roman"/>
          <w:color w:val="000000" w:themeColor="text1"/>
          <w:sz w:val="16"/>
          <w:szCs w:val="16"/>
        </w:rPr>
        <w:softHyphen/>
        <w:t>венный Комитет Оборону постановляет:</w:t>
      </w:r>
    </w:p>
    <w:p w14:paraId="58A59233" w14:textId="77777777" w:rsidR="00FA48B2" w:rsidRPr="00640820" w:rsidRDefault="00FA48B2" w:rsidP="00640820">
      <w:pPr>
        <w:tabs>
          <w:tab w:val="left" w:pos="963"/>
        </w:tabs>
        <w:spacing w:after="0" w:line="240" w:lineRule="auto"/>
        <w:jc w:val="both"/>
        <w:rPr>
          <w:rFonts w:ascii="Times New Roman" w:eastAsia="SimHei" w:hAnsi="Times New Roman"/>
          <w:color w:val="000000" w:themeColor="text1"/>
          <w:sz w:val="16"/>
          <w:szCs w:val="16"/>
        </w:rPr>
      </w:pPr>
      <w:r w:rsidRPr="00640820">
        <w:rPr>
          <w:rFonts w:ascii="Times New Roman" w:eastAsia="SimHei" w:hAnsi="Times New Roman"/>
          <w:color w:val="000000" w:themeColor="text1"/>
          <w:sz w:val="16"/>
          <w:szCs w:val="16"/>
        </w:rPr>
        <w:t>1. Освободить тов.Ляпидевского А.В. от работы директора завода № 166, как не справившегося с работой, и оставить его в качестве "заместителя директора того же завода.</w:t>
      </w:r>
    </w:p>
    <w:p w14:paraId="62E6A0CB" w14:textId="77777777" w:rsidR="00FA48B2" w:rsidRPr="00640820" w:rsidRDefault="00FA48B2" w:rsidP="00640820">
      <w:pPr>
        <w:tabs>
          <w:tab w:val="left" w:pos="963"/>
        </w:tabs>
        <w:spacing w:after="0" w:line="240" w:lineRule="auto"/>
        <w:jc w:val="both"/>
        <w:rPr>
          <w:rFonts w:ascii="Times New Roman" w:eastAsia="SimHei" w:hAnsi="Times New Roman"/>
          <w:color w:val="000000" w:themeColor="text1"/>
          <w:sz w:val="16"/>
          <w:szCs w:val="16"/>
        </w:rPr>
      </w:pPr>
      <w:r w:rsidRPr="00640820">
        <w:rPr>
          <w:rFonts w:ascii="Times New Roman" w:eastAsia="SimHei" w:hAnsi="Times New Roman"/>
          <w:color w:val="000000" w:themeColor="text1"/>
          <w:sz w:val="16"/>
          <w:szCs w:val="16"/>
        </w:rPr>
        <w:t>2. Назначить директором завода № 166 тов.Соколова Л.П., освободив его от работы директора завода № 39.</w:t>
      </w:r>
    </w:p>
    <w:p w14:paraId="44B365A9" w14:textId="77777777" w:rsidR="00FA48B2" w:rsidRPr="00640820" w:rsidRDefault="00FA48B2" w:rsidP="00640820">
      <w:pPr>
        <w:tabs>
          <w:tab w:val="left" w:pos="993"/>
        </w:tabs>
        <w:spacing w:after="0" w:line="240" w:lineRule="auto"/>
        <w:jc w:val="both"/>
        <w:rPr>
          <w:rFonts w:ascii="Times New Roman" w:eastAsia="SimHei" w:hAnsi="Times New Roman"/>
          <w:color w:val="000000" w:themeColor="text1"/>
          <w:sz w:val="16"/>
          <w:szCs w:val="16"/>
        </w:rPr>
      </w:pPr>
      <w:r w:rsidRPr="00640820">
        <w:rPr>
          <w:rFonts w:ascii="Times New Roman" w:eastAsia="SimHei" w:hAnsi="Times New Roman"/>
          <w:color w:val="000000" w:themeColor="text1"/>
          <w:sz w:val="16"/>
          <w:szCs w:val="16"/>
        </w:rPr>
        <w:t>3. Обязать Наркомат Авиационной промышленности до 1 октяб</w:t>
      </w:r>
      <w:r w:rsidRPr="00640820">
        <w:rPr>
          <w:rFonts w:ascii="Times New Roman" w:eastAsia="SimHei" w:hAnsi="Times New Roman"/>
          <w:color w:val="000000" w:themeColor="text1"/>
          <w:sz w:val="16"/>
          <w:szCs w:val="16"/>
        </w:rPr>
        <w:softHyphen/>
        <w:t>ря с.г. направить на завод № 166 группу руководящих работников, начальников цехов, зам.начальников</w:t>
      </w:r>
      <w:r w:rsidRPr="00640820">
        <w:rPr>
          <w:rFonts w:ascii="Times New Roman" w:eastAsia="Gulim" w:hAnsi="Times New Roman"/>
          <w:color w:val="000000" w:themeColor="text1"/>
          <w:sz w:val="16"/>
          <w:szCs w:val="16"/>
        </w:rPr>
        <w:t xml:space="preserve"> цехов</w:t>
      </w:r>
      <w:r w:rsidRPr="00640820">
        <w:rPr>
          <w:rFonts w:ascii="Times New Roman" w:eastAsia="SimHei" w:hAnsi="Times New Roman"/>
          <w:color w:val="000000" w:themeColor="text1"/>
          <w:sz w:val="16"/>
          <w:szCs w:val="16"/>
        </w:rPr>
        <w:t xml:space="preserve"> и начальников отде</w:t>
      </w:r>
      <w:r w:rsidRPr="00640820">
        <w:rPr>
          <w:rFonts w:ascii="Times New Roman" w:eastAsia="SimHei" w:hAnsi="Times New Roman"/>
          <w:color w:val="000000" w:themeColor="text1"/>
          <w:sz w:val="16"/>
          <w:szCs w:val="16"/>
        </w:rPr>
        <w:softHyphen/>
        <w:t>лов завода в количестве до 20 человек и не менее 150 человек мастеров, бригадиров и квалифицированных рабочих с серийных заводов.</w:t>
      </w:r>
    </w:p>
    <w:p w14:paraId="314FDD09" w14:textId="77777777" w:rsidR="00FA48B2" w:rsidRPr="00640820" w:rsidRDefault="00FA48B2" w:rsidP="00640820">
      <w:pPr>
        <w:tabs>
          <w:tab w:val="left" w:pos="970"/>
        </w:tabs>
        <w:spacing w:after="0" w:line="240" w:lineRule="auto"/>
        <w:jc w:val="both"/>
        <w:rPr>
          <w:rFonts w:ascii="Times New Roman" w:eastAsia="SimHei" w:hAnsi="Times New Roman"/>
          <w:color w:val="000000" w:themeColor="text1"/>
          <w:sz w:val="16"/>
          <w:szCs w:val="16"/>
        </w:rPr>
      </w:pPr>
      <w:r w:rsidRPr="00640820">
        <w:rPr>
          <w:rFonts w:ascii="Times New Roman" w:eastAsia="SimHei" w:hAnsi="Times New Roman"/>
          <w:color w:val="000000" w:themeColor="text1"/>
          <w:sz w:val="16"/>
          <w:szCs w:val="16"/>
        </w:rPr>
        <w:t>4. Обязать директора завода № 166 тов.Соколова Л.П. обес</w:t>
      </w:r>
      <w:r w:rsidRPr="00640820">
        <w:rPr>
          <w:rFonts w:ascii="Times New Roman" w:eastAsia="SimHei" w:hAnsi="Times New Roman"/>
          <w:color w:val="000000" w:themeColor="text1"/>
          <w:sz w:val="16"/>
          <w:szCs w:val="16"/>
        </w:rPr>
        <w:softHyphen/>
        <w:t>печить быстрейший выпуск головной сепии самолетов 103-У, раз</w:t>
      </w:r>
      <w:r w:rsidRPr="00640820">
        <w:rPr>
          <w:rFonts w:ascii="Times New Roman" w:eastAsia="SimHei" w:hAnsi="Times New Roman"/>
          <w:color w:val="000000" w:themeColor="text1"/>
          <w:sz w:val="16"/>
          <w:szCs w:val="16"/>
        </w:rPr>
        <w:softHyphen/>
        <w:t>вертывая их производство без серийной' оснастки.</w:t>
      </w:r>
    </w:p>
    <w:p w14:paraId="5FDF7789" w14:textId="77777777" w:rsidR="00FA48B2" w:rsidRPr="00640820" w:rsidRDefault="00FA48B2" w:rsidP="00640820">
      <w:pPr>
        <w:tabs>
          <w:tab w:val="left" w:pos="978"/>
        </w:tabs>
        <w:spacing w:after="0" w:line="240" w:lineRule="auto"/>
        <w:jc w:val="both"/>
        <w:rPr>
          <w:rFonts w:ascii="Times New Roman" w:eastAsia="SimHei" w:hAnsi="Times New Roman"/>
          <w:color w:val="000000" w:themeColor="text1"/>
          <w:sz w:val="16"/>
          <w:szCs w:val="16"/>
        </w:rPr>
      </w:pPr>
      <w:r w:rsidRPr="00640820">
        <w:rPr>
          <w:rFonts w:ascii="Times New Roman" w:eastAsia="SimHei" w:hAnsi="Times New Roman"/>
          <w:color w:val="000000" w:themeColor="text1"/>
          <w:sz w:val="16"/>
          <w:szCs w:val="16"/>
        </w:rPr>
        <w:t xml:space="preserve">5. Обязать Наркомавиапром т.т.Шахурина и Дементьева и директора завода № 166 тов. Соколова определить недостающее оборудование для обеспечения выпуска самолетов 103-У на заводе № </w:t>
      </w:r>
      <w:r w:rsidRPr="00640820">
        <w:rPr>
          <w:rFonts w:ascii="Times New Roman" w:eastAsia="SimHei" w:hAnsi="Times New Roman"/>
          <w:color w:val="000000" w:themeColor="text1"/>
          <w:sz w:val="16"/>
          <w:szCs w:val="16"/>
          <w:lang w:val="en-US"/>
        </w:rPr>
        <w:t>l</w:t>
      </w:r>
      <w:r w:rsidRPr="00640820">
        <w:rPr>
          <w:rFonts w:ascii="Times New Roman" w:eastAsia="SimHei" w:hAnsi="Times New Roman"/>
          <w:color w:val="000000" w:themeColor="text1"/>
          <w:sz w:val="16"/>
          <w:szCs w:val="16"/>
        </w:rPr>
        <w:t>66 и в пятидневный срок доукомплектовать этим оборудованием завод № 166 путем из"ятия с других заводов.</w:t>
      </w:r>
    </w:p>
    <w:p w14:paraId="1AF9B7BC" w14:textId="77777777" w:rsidR="00FA48B2" w:rsidRPr="00640820" w:rsidRDefault="00FA48B2" w:rsidP="00640820">
      <w:pPr>
        <w:tabs>
          <w:tab w:val="left" w:pos="978"/>
        </w:tabs>
        <w:spacing w:after="0" w:line="240" w:lineRule="auto"/>
        <w:jc w:val="both"/>
        <w:rPr>
          <w:rFonts w:ascii="Times New Roman" w:eastAsia="SimHei" w:hAnsi="Times New Roman"/>
          <w:color w:val="000000" w:themeColor="text1"/>
          <w:sz w:val="16"/>
          <w:szCs w:val="16"/>
        </w:rPr>
      </w:pPr>
      <w:r w:rsidRPr="00640820">
        <w:rPr>
          <w:rFonts w:ascii="Times New Roman" w:eastAsia="SimHei" w:hAnsi="Times New Roman"/>
          <w:color w:val="000000" w:themeColor="text1"/>
          <w:sz w:val="16"/>
          <w:szCs w:val="16"/>
        </w:rPr>
        <w:t>6. Под ответственность зам.Наркома Авиационной промышлен</w:t>
      </w:r>
      <w:r w:rsidRPr="00640820">
        <w:rPr>
          <w:rFonts w:ascii="Times New Roman" w:eastAsia="SimHei" w:hAnsi="Times New Roman"/>
          <w:color w:val="000000" w:themeColor="text1"/>
          <w:sz w:val="16"/>
          <w:szCs w:val="16"/>
        </w:rPr>
        <w:softHyphen/>
        <w:t>ности т.Хруничева М.В. обеспечить снабжение завода № 166 по самолету 103-У материалами, полуфабрикатами и готовыми изделия</w:t>
      </w:r>
      <w:r w:rsidRPr="00640820">
        <w:rPr>
          <w:rFonts w:ascii="Times New Roman" w:eastAsia="SimHei" w:hAnsi="Times New Roman"/>
          <w:color w:val="000000" w:themeColor="text1"/>
          <w:sz w:val="16"/>
          <w:szCs w:val="16"/>
        </w:rPr>
        <w:softHyphen/>
        <w:t>ми при любых условиях на полную потребность завода № 166.</w:t>
      </w:r>
    </w:p>
    <w:p w14:paraId="790A6F86" w14:textId="77777777" w:rsidR="00FA48B2" w:rsidRPr="00640820" w:rsidRDefault="00FA48B2" w:rsidP="00640820">
      <w:pPr>
        <w:tabs>
          <w:tab w:val="left" w:pos="978"/>
        </w:tabs>
        <w:spacing w:after="0" w:line="240" w:lineRule="auto"/>
        <w:jc w:val="both"/>
        <w:rPr>
          <w:rFonts w:ascii="Times New Roman" w:eastAsia="SimHei" w:hAnsi="Times New Roman"/>
          <w:color w:val="000000" w:themeColor="text1"/>
          <w:sz w:val="16"/>
          <w:szCs w:val="16"/>
        </w:rPr>
      </w:pPr>
      <w:r w:rsidRPr="00640820">
        <w:rPr>
          <w:rFonts w:ascii="Times New Roman" w:eastAsia="SimHei" w:hAnsi="Times New Roman"/>
          <w:color w:val="000000" w:themeColor="text1"/>
          <w:sz w:val="16"/>
          <w:szCs w:val="16"/>
        </w:rPr>
        <w:t>7. Обязать Совет по Эвакуации до 1 октября 1941 года пе</w:t>
      </w:r>
      <w:r w:rsidRPr="00640820">
        <w:rPr>
          <w:rFonts w:ascii="Times New Roman" w:eastAsia="SimHei" w:hAnsi="Times New Roman"/>
          <w:color w:val="000000" w:themeColor="text1"/>
          <w:sz w:val="16"/>
          <w:szCs w:val="16"/>
        </w:rPr>
        <w:softHyphen/>
        <w:t>ревезти из гор.Омска филиалы Наркомата Совхозов и Наркомата Мясомолочной промышленности со всеми сотрудниками этих нарко</w:t>
      </w:r>
      <w:r w:rsidRPr="00640820">
        <w:rPr>
          <w:rFonts w:ascii="Times New Roman" w:eastAsia="SimHei" w:hAnsi="Times New Roman"/>
          <w:color w:val="000000" w:themeColor="text1"/>
          <w:sz w:val="16"/>
          <w:szCs w:val="16"/>
        </w:rPr>
        <w:softHyphen/>
        <w:t>матов в другие города.</w:t>
      </w:r>
    </w:p>
    <w:p w14:paraId="20656BC8" w14:textId="77777777" w:rsidR="00FA48B2" w:rsidRPr="00640820" w:rsidRDefault="00FA48B2"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Помещения, занимаемые филиалами наркоматов и всю жилпло</w:t>
      </w:r>
      <w:r w:rsidRPr="00640820">
        <w:rPr>
          <w:rFonts w:ascii="Times New Roman" w:eastAsia="SimHei" w:hAnsi="Times New Roman"/>
          <w:color w:val="000000" w:themeColor="text1"/>
          <w:sz w:val="16"/>
          <w:szCs w:val="16"/>
        </w:rPr>
        <w:softHyphen/>
        <w:t>щадь, освобождающуюся в связи с переводом этих филиалов, пере</w:t>
      </w:r>
      <w:r w:rsidRPr="00640820">
        <w:rPr>
          <w:rFonts w:ascii="Times New Roman" w:eastAsia="SimHei" w:hAnsi="Times New Roman"/>
          <w:color w:val="000000" w:themeColor="text1"/>
          <w:sz w:val="16"/>
          <w:szCs w:val="16"/>
        </w:rPr>
        <w:softHyphen/>
        <w:t xml:space="preserve">дать для размещения рабочих и инженерно-технических работников заводов </w:t>
      </w:r>
      <w:r w:rsidRPr="00640820">
        <w:rPr>
          <w:rFonts w:ascii="Times New Roman" w:eastAsia="SimHei" w:hAnsi="Times New Roman"/>
          <w:color w:val="000000" w:themeColor="text1"/>
          <w:sz w:val="16"/>
          <w:szCs w:val="16"/>
          <w:lang w:val="en-US"/>
        </w:rPr>
        <w:t>NW</w:t>
      </w:r>
      <w:r w:rsidRPr="00640820">
        <w:rPr>
          <w:rFonts w:ascii="Times New Roman" w:eastAsia="SimHei" w:hAnsi="Times New Roman"/>
          <w:color w:val="000000" w:themeColor="text1"/>
          <w:sz w:val="16"/>
          <w:szCs w:val="16"/>
        </w:rPr>
        <w:t xml:space="preserve"> 29 и 166 </w:t>
      </w:r>
      <w:r w:rsidRPr="00640820">
        <w:rPr>
          <w:rFonts w:ascii="Times New Roman" w:eastAsia="SimHei" w:hAnsi="Times New Roman"/>
          <w:color w:val="000000" w:themeColor="text1"/>
          <w:sz w:val="16"/>
          <w:szCs w:val="16"/>
          <w:lang w:val="en-US"/>
        </w:rPr>
        <w:t>HKA</w:t>
      </w:r>
      <w:r w:rsidRPr="00640820">
        <w:rPr>
          <w:rFonts w:ascii="Times New Roman" w:eastAsia="SimHei" w:hAnsi="Times New Roman"/>
          <w:color w:val="000000" w:themeColor="text1"/>
          <w:sz w:val="16"/>
          <w:szCs w:val="16"/>
        </w:rPr>
        <w:t>П.</w:t>
      </w:r>
    </w:p>
    <w:p w14:paraId="6DE4941F" w14:textId="77777777" w:rsidR="00FA48B2" w:rsidRPr="00640820" w:rsidRDefault="00FA48B2" w:rsidP="00640820">
      <w:pPr>
        <w:tabs>
          <w:tab w:val="left" w:pos="985"/>
        </w:tabs>
        <w:spacing w:after="0" w:line="240" w:lineRule="auto"/>
        <w:jc w:val="both"/>
        <w:rPr>
          <w:rFonts w:ascii="Times New Roman" w:eastAsia="SimHei" w:hAnsi="Times New Roman"/>
          <w:color w:val="000000" w:themeColor="text1"/>
          <w:sz w:val="16"/>
          <w:szCs w:val="16"/>
        </w:rPr>
      </w:pPr>
      <w:r w:rsidRPr="00640820">
        <w:rPr>
          <w:rFonts w:ascii="Times New Roman" w:eastAsia="SimHei" w:hAnsi="Times New Roman"/>
          <w:color w:val="000000" w:themeColor="text1"/>
          <w:sz w:val="16"/>
          <w:szCs w:val="16"/>
        </w:rPr>
        <w:t>8. Разрешить Омскому Областному Исполкому и Областному Комитету ВКП(б) выселить из гор.Омска 15 тысяч человек в райо</w:t>
      </w:r>
      <w:r w:rsidRPr="00640820">
        <w:rPr>
          <w:rFonts w:ascii="Times New Roman" w:eastAsia="SimHei" w:hAnsi="Times New Roman"/>
          <w:color w:val="000000" w:themeColor="text1"/>
          <w:sz w:val="16"/>
          <w:szCs w:val="16"/>
        </w:rPr>
        <w:softHyphen/>
        <w:t>ны Омской области. Выселение произвести за счет лиц, не свя</w:t>
      </w:r>
      <w:r w:rsidRPr="00640820">
        <w:rPr>
          <w:rFonts w:ascii="Times New Roman" w:eastAsia="SimHei" w:hAnsi="Times New Roman"/>
          <w:color w:val="000000" w:themeColor="text1"/>
          <w:sz w:val="16"/>
          <w:szCs w:val="16"/>
        </w:rPr>
        <w:softHyphen/>
        <w:t>занных с оборонной машиностроительной промышленностью и желез</w:t>
      </w:r>
      <w:r w:rsidRPr="00640820">
        <w:rPr>
          <w:rFonts w:ascii="Times New Roman" w:eastAsia="SimHei" w:hAnsi="Times New Roman"/>
          <w:color w:val="000000" w:themeColor="text1"/>
          <w:sz w:val="16"/>
          <w:szCs w:val="16"/>
        </w:rPr>
        <w:softHyphen/>
        <w:t>нодорожным транспортом.</w:t>
      </w:r>
    </w:p>
    <w:p w14:paraId="75135980" w14:textId="77777777" w:rsidR="00FA48B2" w:rsidRPr="00640820" w:rsidRDefault="00FA48B2" w:rsidP="00640820">
      <w:pPr>
        <w:spacing w:after="0" w:line="240" w:lineRule="auto"/>
        <w:jc w:val="both"/>
        <w:rPr>
          <w:rFonts w:ascii="Times New Roman" w:eastAsia="SimHei" w:hAnsi="Times New Roman"/>
          <w:color w:val="000000" w:themeColor="text1"/>
          <w:sz w:val="16"/>
          <w:szCs w:val="16"/>
        </w:rPr>
      </w:pPr>
      <w:r w:rsidRPr="00640820">
        <w:rPr>
          <w:rFonts w:ascii="Times New Roman" w:eastAsia="SimHei" w:hAnsi="Times New Roman"/>
          <w:color w:val="000000" w:themeColor="text1"/>
          <w:sz w:val="16"/>
          <w:szCs w:val="16"/>
        </w:rPr>
        <w:t>Освободившуюся в связи с этим перемещением жилплощадь пе</w:t>
      </w:r>
      <w:r w:rsidRPr="00640820">
        <w:rPr>
          <w:rFonts w:ascii="Times New Roman" w:eastAsia="SimHei" w:hAnsi="Times New Roman"/>
          <w:color w:val="000000" w:themeColor="text1"/>
          <w:sz w:val="16"/>
          <w:szCs w:val="16"/>
        </w:rPr>
        <w:softHyphen/>
        <w:t>редать для размещения рабочих и инженерно-технических работни</w:t>
      </w:r>
      <w:r w:rsidRPr="00640820">
        <w:rPr>
          <w:rFonts w:ascii="Times New Roman" w:eastAsia="SimHei" w:hAnsi="Times New Roman"/>
          <w:color w:val="000000" w:themeColor="text1"/>
          <w:sz w:val="16"/>
          <w:szCs w:val="16"/>
        </w:rPr>
        <w:softHyphen/>
        <w:t>ков заводов 29 и 1б6 НКАП</w:t>
      </w:r>
    </w:p>
    <w:p w14:paraId="025D879A" w14:textId="77777777" w:rsidR="00FA48B2" w:rsidRPr="00640820" w:rsidRDefault="00FA48B2"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Gungsuh" w:hAnsi="Times New Roman"/>
          <w:color w:val="000000" w:themeColor="text1"/>
          <w:sz w:val="16"/>
          <w:szCs w:val="16"/>
        </w:rPr>
        <w:t xml:space="preserve">9. Командировать зам.Наркома Авиационной промышленности тов.Дементьева П.В. на завод № 166 и предложить ему совместной с директором завода тов.Соколовым </w:t>
      </w:r>
      <w:r w:rsidRPr="00640820">
        <w:rPr>
          <w:rFonts w:ascii="Times New Roman" w:eastAsia="Gungsuh" w:hAnsi="Times New Roman"/>
          <w:color w:val="000000" w:themeColor="text1"/>
          <w:sz w:val="16"/>
          <w:szCs w:val="16"/>
          <w:lang w:val="en-US"/>
        </w:rPr>
        <w:t>J</w:t>
      </w:r>
      <w:r w:rsidRPr="00640820">
        <w:rPr>
          <w:rFonts w:ascii="Times New Roman" w:eastAsia="Gungsuh" w:hAnsi="Times New Roman"/>
          <w:color w:val="000000" w:themeColor="text1"/>
          <w:sz w:val="16"/>
          <w:szCs w:val="16"/>
        </w:rPr>
        <w:t>1.П. определить на месте необходимые дополнительные мероприятия по развертыванию произ</w:t>
      </w:r>
      <w:r w:rsidRPr="00640820">
        <w:rPr>
          <w:rFonts w:ascii="Times New Roman" w:eastAsia="Gungsuh" w:hAnsi="Times New Roman"/>
          <w:color w:val="000000" w:themeColor="text1"/>
          <w:sz w:val="16"/>
          <w:szCs w:val="16"/>
        </w:rPr>
        <w:softHyphen/>
        <w:t>водства самолетов 103-У и программу выпуска самолетов в тече</w:t>
      </w:r>
      <w:r w:rsidRPr="00640820">
        <w:rPr>
          <w:rFonts w:ascii="Times New Roman" w:eastAsia="Gungsuh" w:hAnsi="Times New Roman"/>
          <w:color w:val="000000" w:themeColor="text1"/>
          <w:sz w:val="16"/>
          <w:szCs w:val="16"/>
        </w:rPr>
        <w:softHyphen/>
        <w:t>ние текущего года.</w:t>
      </w:r>
    </w:p>
    <w:p w14:paraId="5927DB69" w14:textId="77777777" w:rsidR="00FA48B2" w:rsidRPr="00640820" w:rsidRDefault="00FA48B2" w:rsidP="00640820">
      <w:pPr>
        <w:spacing w:after="0" w:line="240" w:lineRule="auto"/>
        <w:jc w:val="both"/>
        <w:rPr>
          <w:rFonts w:ascii="Times New Roman" w:hAnsi="Times New Roman"/>
          <w:color w:val="000000" w:themeColor="text1"/>
          <w:sz w:val="16"/>
          <w:szCs w:val="16"/>
        </w:rPr>
      </w:pPr>
      <w:r w:rsidRPr="00640820">
        <w:rPr>
          <w:rFonts w:ascii="Times New Roman" w:eastAsia="Gungsuh" w:hAnsi="Times New Roman"/>
          <w:color w:val="000000" w:themeColor="text1"/>
          <w:sz w:val="16"/>
          <w:szCs w:val="16"/>
        </w:rPr>
        <w:t xml:space="preserve">Указанные предложения представить в Государственный Комитет Обороны не позднее 1 октября 1941 года </w:t>
      </w:r>
      <w:r w:rsidRPr="00640820">
        <w:rPr>
          <w:rFonts w:ascii="Times New Roman" w:eastAsia="SimHei" w:hAnsi="Times New Roman"/>
          <w:color w:val="000000" w:themeColor="text1"/>
          <w:sz w:val="16"/>
          <w:szCs w:val="16"/>
        </w:rPr>
        <w:t xml:space="preserve"> (19273).</w:t>
      </w:r>
    </w:p>
    <w:p w14:paraId="69193B63" w14:textId="77777777" w:rsidR="00FA48B2" w:rsidRPr="00640820" w:rsidRDefault="00FA48B2"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C0D2DB" w14:textId="77777777" w:rsidR="00FF1EE6" w:rsidRPr="00640820" w:rsidRDefault="00FF1EE6" w:rsidP="00640820">
      <w:pPr>
        <w:spacing w:after="0" w:line="240" w:lineRule="auto"/>
        <w:jc w:val="both"/>
        <w:rPr>
          <w:rFonts w:ascii="Times New Roman" w:hAnsi="Times New Roman"/>
          <w:color w:val="0070C0"/>
          <w:sz w:val="16"/>
          <w:szCs w:val="16"/>
          <w:lang w:eastAsia="ru-RU" w:bidi="ru-RU"/>
        </w:rPr>
      </w:pPr>
      <w:r w:rsidRPr="00640820">
        <w:rPr>
          <w:rFonts w:ascii="Times New Roman" w:hAnsi="Times New Roman"/>
          <w:color w:val="0070C0"/>
          <w:sz w:val="16"/>
          <w:szCs w:val="16"/>
          <w:lang w:eastAsia="ru-RU" w:bidi="ru-RU"/>
        </w:rPr>
        <w:t>22 сентября 1941, «Отмечая невыполнение за</w:t>
      </w:r>
      <w:r w:rsidRPr="00640820">
        <w:rPr>
          <w:rFonts w:ascii="Times New Roman" w:hAnsi="Times New Roman"/>
          <w:color w:val="0070C0"/>
          <w:sz w:val="16"/>
          <w:szCs w:val="16"/>
          <w:lang w:eastAsia="ru-RU" w:bidi="ru-RU"/>
        </w:rPr>
        <w:softHyphen/>
        <w:t>водом №166» двух ранее вышедших по</w:t>
      </w:r>
      <w:r w:rsidRPr="00640820">
        <w:rPr>
          <w:rFonts w:ascii="Times New Roman" w:hAnsi="Times New Roman"/>
          <w:color w:val="0070C0"/>
          <w:sz w:val="16"/>
          <w:szCs w:val="16"/>
          <w:lang w:eastAsia="ru-RU" w:bidi="ru-RU"/>
        </w:rPr>
        <w:softHyphen/>
        <w:t>становлений ГКО, директора А.В. Ляпидевского сняли, заменив А.П. Со</w:t>
      </w:r>
      <w:r w:rsidRPr="00640820">
        <w:rPr>
          <w:rFonts w:ascii="Times New Roman" w:hAnsi="Times New Roman"/>
          <w:color w:val="0070C0"/>
          <w:sz w:val="16"/>
          <w:szCs w:val="16"/>
          <w:lang w:eastAsia="ru-RU" w:bidi="ru-RU"/>
        </w:rPr>
        <w:softHyphen/>
        <w:t>коловым, который ранее руководил мо</w:t>
      </w:r>
      <w:r w:rsidRPr="00640820">
        <w:rPr>
          <w:rFonts w:ascii="Times New Roman" w:hAnsi="Times New Roman"/>
          <w:color w:val="0070C0"/>
          <w:sz w:val="16"/>
          <w:szCs w:val="16"/>
          <w:lang w:eastAsia="ru-RU" w:bidi="ru-RU"/>
        </w:rPr>
        <w:softHyphen/>
        <w:t>сковским заводом №39. 7 октября Ту</w:t>
      </w:r>
      <w:r w:rsidRPr="00640820">
        <w:rPr>
          <w:rFonts w:ascii="Times New Roman" w:hAnsi="Times New Roman"/>
          <w:color w:val="0070C0"/>
          <w:sz w:val="16"/>
          <w:szCs w:val="16"/>
          <w:lang w:eastAsia="ru-RU" w:bidi="ru-RU"/>
        </w:rPr>
        <w:softHyphen/>
        <w:t>полева назначили главным конструкто</w:t>
      </w:r>
      <w:r w:rsidRPr="00640820">
        <w:rPr>
          <w:rFonts w:ascii="Times New Roman" w:hAnsi="Times New Roman"/>
          <w:color w:val="0070C0"/>
          <w:sz w:val="16"/>
          <w:szCs w:val="16"/>
          <w:lang w:eastAsia="ru-RU" w:bidi="ru-RU"/>
        </w:rPr>
        <w:softHyphen/>
        <w:t>ром завода (21061).</w:t>
      </w:r>
    </w:p>
    <w:p w14:paraId="4465D2A2" w14:textId="77777777" w:rsidR="00FF1EE6" w:rsidRPr="00640820" w:rsidRDefault="00FF1EE6" w:rsidP="00640820">
      <w:pPr>
        <w:spacing w:after="0" w:line="240" w:lineRule="auto"/>
        <w:jc w:val="both"/>
        <w:rPr>
          <w:rFonts w:ascii="Times New Roman" w:hAnsi="Times New Roman"/>
          <w:color w:val="0070C0"/>
          <w:sz w:val="16"/>
          <w:szCs w:val="16"/>
        </w:rPr>
      </w:pPr>
    </w:p>
    <w:p w14:paraId="0808398F" w14:textId="77777777" w:rsidR="008D1ADA" w:rsidRPr="00640820" w:rsidRDefault="008D1ADA" w:rsidP="00640820">
      <w:pPr>
        <w:pStyle w:val="a3"/>
        <w:rPr>
          <w:color w:val="000000" w:themeColor="text1"/>
          <w:lang w:val="ru-RU"/>
        </w:rPr>
      </w:pPr>
      <w:r w:rsidRPr="00640820">
        <w:rPr>
          <w:color w:val="000000" w:themeColor="text1"/>
          <w:lang w:val="ru-RU"/>
        </w:rPr>
        <w:t>22 сентября 1941 г. ко</w:t>
      </w:r>
      <w:r w:rsidRPr="00640820">
        <w:rPr>
          <w:color w:val="000000" w:themeColor="text1"/>
          <w:lang w:val="ru-RU"/>
        </w:rPr>
        <w:softHyphen/>
        <w:t>мандир эскадрильи 129-го иап капитан А.Г. Панов в докладной записке, направленной им на имя члена ГКО Г.М. Маленкова, в которой он изложил ряд предложений по повышению боевых качеств истребителя МиГ-3:</w:t>
      </w:r>
      <w:r w:rsidRPr="00640820">
        <w:rPr>
          <w:rStyle w:val="400"/>
          <w:rFonts w:ascii="Times New Roman" w:hAnsi="Times New Roman" w:cs="Times New Roman"/>
          <w:i w:val="0"/>
          <w:color w:val="000000" w:themeColor="text1"/>
          <w:lang w:val="ru-RU"/>
        </w:rPr>
        <w:t xml:space="preserve"> «При работе</w:t>
      </w:r>
      <w:r w:rsidRPr="00640820">
        <w:rPr>
          <w:color w:val="000000" w:themeColor="text1"/>
          <w:lang w:val="ru-RU"/>
        </w:rPr>
        <w:t xml:space="preserve"> до</w:t>
      </w:r>
      <w:r w:rsidRPr="00640820">
        <w:rPr>
          <w:rStyle w:val="400"/>
          <w:rFonts w:ascii="Times New Roman" w:hAnsi="Times New Roman" w:cs="Times New Roman"/>
          <w:i w:val="0"/>
          <w:color w:val="000000" w:themeColor="text1"/>
          <w:lang w:val="ru-RU"/>
        </w:rPr>
        <w:t xml:space="preserve"> 20-25 часов мотор обладает хорошей мощностью, хорошо воспринимает</w:t>
      </w:r>
      <w:r w:rsidRPr="00640820">
        <w:rPr>
          <w:color w:val="000000" w:themeColor="text1"/>
          <w:lang w:val="ru-RU"/>
        </w:rPr>
        <w:t xml:space="preserve"> форсаж, и самолёт имеет преимущество</w:t>
      </w:r>
      <w:r w:rsidRPr="00640820">
        <w:rPr>
          <w:rStyle w:val="400"/>
          <w:rFonts w:ascii="Times New Roman" w:hAnsi="Times New Roman" w:cs="Times New Roman"/>
          <w:i w:val="0"/>
          <w:color w:val="000000" w:themeColor="text1"/>
          <w:lang w:val="ru-RU"/>
        </w:rPr>
        <w:t xml:space="preserve"> над</w:t>
      </w:r>
      <w:r w:rsidRPr="00640820">
        <w:rPr>
          <w:color w:val="000000" w:themeColor="text1"/>
          <w:lang w:val="ru-RU"/>
        </w:rPr>
        <w:t xml:space="preserve"> все</w:t>
      </w:r>
      <w:r w:rsidRPr="00640820">
        <w:rPr>
          <w:color w:val="000000" w:themeColor="text1"/>
          <w:lang w:val="ru-RU"/>
        </w:rPr>
        <w:softHyphen/>
        <w:t>ми</w:t>
      </w:r>
      <w:r w:rsidRPr="00640820">
        <w:rPr>
          <w:rStyle w:val="400"/>
          <w:rFonts w:ascii="Times New Roman" w:hAnsi="Times New Roman" w:cs="Times New Roman"/>
          <w:i w:val="0"/>
          <w:color w:val="000000" w:themeColor="text1"/>
          <w:lang w:val="ru-RU"/>
        </w:rPr>
        <w:t xml:space="preserve"> самолётами Германии, даже на малой высоте.</w:t>
      </w:r>
    </w:p>
    <w:p w14:paraId="3E94C857" w14:textId="77777777" w:rsidR="008D1ADA" w:rsidRPr="00640820" w:rsidRDefault="008D1ADA" w:rsidP="00640820">
      <w:pPr>
        <w:pStyle w:val="212"/>
        <w:shd w:val="clear" w:color="auto" w:fill="auto"/>
        <w:spacing w:line="240" w:lineRule="auto"/>
        <w:jc w:val="both"/>
        <w:rPr>
          <w:rFonts w:ascii="Times New Roman" w:hAnsi="Times New Roman" w:cs="Times New Roman"/>
          <w:i w:val="0"/>
          <w:color w:val="000000" w:themeColor="text1"/>
          <w:sz w:val="16"/>
          <w:szCs w:val="16"/>
        </w:rPr>
      </w:pPr>
      <w:r w:rsidRPr="00640820">
        <w:rPr>
          <w:rStyle w:val="228"/>
          <w:rFonts w:ascii="Times New Roman" w:eastAsia="Arial Unicode MS" w:hAnsi="Times New Roman" w:cs="Times New Roman"/>
          <w:i w:val="0"/>
          <w:iCs w:val="0"/>
          <w:color w:val="000000" w:themeColor="text1"/>
        </w:rPr>
        <w:t>При</w:t>
      </w:r>
      <w:r w:rsidRPr="00640820">
        <w:rPr>
          <w:rFonts w:ascii="Times New Roman" w:hAnsi="Times New Roman" w:cs="Times New Roman"/>
          <w:i w:val="0"/>
          <w:color w:val="000000" w:themeColor="text1"/>
          <w:sz w:val="16"/>
          <w:szCs w:val="16"/>
        </w:rPr>
        <w:t xml:space="preserve"> выработке ресурса 70-80</w:t>
      </w:r>
      <w:r w:rsidRPr="00640820">
        <w:rPr>
          <w:rStyle w:val="228"/>
          <w:rFonts w:ascii="Times New Roman" w:eastAsia="Arial Unicode MS" w:hAnsi="Times New Roman" w:cs="Times New Roman"/>
          <w:i w:val="0"/>
          <w:iCs w:val="0"/>
          <w:color w:val="000000" w:themeColor="text1"/>
        </w:rPr>
        <w:t xml:space="preserve"> часов и</w:t>
      </w:r>
      <w:r w:rsidRPr="00640820">
        <w:rPr>
          <w:rFonts w:ascii="Times New Roman" w:hAnsi="Times New Roman" w:cs="Times New Roman"/>
          <w:i w:val="0"/>
          <w:color w:val="000000" w:themeColor="text1"/>
          <w:sz w:val="16"/>
          <w:szCs w:val="16"/>
        </w:rPr>
        <w:t xml:space="preserve"> при общей сумме пользования форсажём 35-40 ми</w:t>
      </w:r>
      <w:r w:rsidRPr="00640820">
        <w:rPr>
          <w:rFonts w:ascii="Times New Roman" w:hAnsi="Times New Roman" w:cs="Times New Roman"/>
          <w:i w:val="0"/>
          <w:color w:val="000000" w:themeColor="text1"/>
          <w:sz w:val="16"/>
          <w:szCs w:val="16"/>
        </w:rPr>
        <w:softHyphen/>
        <w:t>нут (не больше) мотор сильно дымит, а дача форсажа приводит к перебоям с густыми чёрными выхлопами и значительной потерей мощности (эксплуатационный режим, вода, масло, бензин нормальны)».</w:t>
      </w:r>
    </w:p>
    <w:p w14:paraId="6CD67D95" w14:textId="77777777" w:rsidR="008D1ADA" w:rsidRPr="00640820" w:rsidRDefault="008D1ADA" w:rsidP="00640820">
      <w:pPr>
        <w:pStyle w:val="212"/>
        <w:shd w:val="clear" w:color="auto" w:fill="auto"/>
        <w:spacing w:line="240" w:lineRule="auto"/>
        <w:jc w:val="both"/>
        <w:rPr>
          <w:rFonts w:ascii="Times New Roman" w:hAnsi="Times New Roman" w:cs="Times New Roman"/>
          <w:i w:val="0"/>
          <w:color w:val="000000" w:themeColor="text1"/>
          <w:sz w:val="16"/>
          <w:szCs w:val="16"/>
        </w:rPr>
      </w:pPr>
      <w:r w:rsidRPr="00640820">
        <w:rPr>
          <w:rFonts w:ascii="Times New Roman" w:hAnsi="Times New Roman" w:cs="Times New Roman"/>
          <w:i w:val="0"/>
          <w:color w:val="000000" w:themeColor="text1"/>
          <w:sz w:val="16"/>
          <w:szCs w:val="16"/>
        </w:rPr>
        <w:t>В своём большинстве указанные в докладной недостатки мотора АМ-35А были обусловле</w:t>
      </w:r>
      <w:r w:rsidRPr="00640820">
        <w:rPr>
          <w:rFonts w:ascii="Times New Roman" w:hAnsi="Times New Roman" w:cs="Times New Roman"/>
          <w:i w:val="0"/>
          <w:color w:val="000000" w:themeColor="text1"/>
          <w:sz w:val="16"/>
          <w:szCs w:val="16"/>
        </w:rPr>
        <w:softHyphen/>
        <w:t>ны плохой работой свечей СВ-19, которые отказывали после наработки в среднем 30 часов. Но и СВ-19 не хватало, и на моторы ставили свечи 3-ЭМГ, которые вообще работали на</w:t>
      </w:r>
      <w:r w:rsidRPr="00640820">
        <w:rPr>
          <w:rFonts w:ascii="Times New Roman" w:hAnsi="Times New Roman" w:cs="Times New Roman"/>
          <w:i w:val="0"/>
          <w:color w:val="000000" w:themeColor="text1"/>
          <w:sz w:val="16"/>
          <w:szCs w:val="16"/>
        </w:rPr>
        <w:softHyphen/>
        <w:t xml:space="preserve">дёжно только </w:t>
      </w:r>
      <w:r w:rsidRPr="00640820">
        <w:rPr>
          <w:rStyle w:val="2pt10"/>
          <w:rFonts w:ascii="Times New Roman" w:hAnsi="Times New Roman" w:cs="Times New Roman"/>
          <w:i w:val="0"/>
          <w:color w:val="000000" w:themeColor="text1"/>
          <w:spacing w:val="0"/>
          <w:sz w:val="16"/>
          <w:szCs w:val="16"/>
        </w:rPr>
        <w:t>4-6</w:t>
      </w:r>
      <w:r w:rsidRPr="00640820">
        <w:rPr>
          <w:rFonts w:ascii="Times New Roman" w:hAnsi="Times New Roman" w:cs="Times New Roman"/>
          <w:i w:val="0"/>
          <w:color w:val="000000" w:themeColor="text1"/>
          <w:sz w:val="16"/>
          <w:szCs w:val="16"/>
        </w:rPr>
        <w:t xml:space="preserve"> часов. Причём это была беда не только МиГ-3, но и других самолётов, где применялись указанные свечи. Отрицательно сказывался на работе мотора и быстрый износ поршневых колец из-за попадания во всасывающие патрубки песка и пыли, а также применение топлива низкого качества (15976).</w:t>
      </w:r>
    </w:p>
    <w:p w14:paraId="7B9C9E02" w14:textId="77777777" w:rsidR="008D1ADA" w:rsidRPr="00640820" w:rsidRDefault="008D1ADA" w:rsidP="00640820">
      <w:pPr>
        <w:pStyle w:val="212"/>
        <w:shd w:val="clear" w:color="auto" w:fill="auto"/>
        <w:spacing w:line="240" w:lineRule="auto"/>
        <w:jc w:val="both"/>
        <w:rPr>
          <w:rFonts w:ascii="Times New Roman" w:hAnsi="Times New Roman" w:cs="Times New Roman"/>
          <w:i w:val="0"/>
          <w:color w:val="000000" w:themeColor="text1"/>
          <w:sz w:val="16"/>
          <w:szCs w:val="16"/>
        </w:rPr>
      </w:pPr>
    </w:p>
    <w:p w14:paraId="4266AD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сентября 1941 г. полет И-185 М-82А был прекращен вследствие повышенной температуры масла на входе в мотор и его недостаточного охлаждения в радиаторе. Последующие полеты, 23 и 26 сентября, показали, что существенных изменений в работе радиатора не про</w:t>
      </w:r>
      <w:r w:rsidRPr="00640820">
        <w:rPr>
          <w:rFonts w:ascii="Times New Roman" w:hAnsi="Times New Roman"/>
          <w:color w:val="000000" w:themeColor="text1"/>
          <w:sz w:val="16"/>
          <w:szCs w:val="16"/>
        </w:rPr>
        <w:softHyphen/>
        <w:t>изошло (10667).</w:t>
      </w:r>
    </w:p>
    <w:p w14:paraId="7821EF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8E4AB44"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сентября 1941 г., комиссия  НИИ   ВВС  под председательством полковника К.А.Груздева приняла первый "Харрикейн" (номер 22899), поставленный в нашу страну "напрямую". Комиссия сделала свое заключение только на основании осмотра машины, поскольку лишь на следующий день в СССР отправили инструкцию и описание. В акте констатировано, что самолет далеко не новый, потрепанный, не хватало рукоятки запуска, часов и боекомплекта. Этот случай не был исключением - наоборот, для первых партий "Харрикейнов" это являлось нормой. По данным испытаний, оперативно проведенных в  НИИ   ВВС , по скорости машина занимала промежуточное положение между И-16 и Як-1. Своему основному противнику на Севере, немецкому Вf-109Е, он уступал в скорости на малых и средних высотах (на 40-50 км/ч) и в скороподъемности. Лишь на высотах 6500-7000 м их возможности становились примерно равными. При пикировании громоздкий "Харрикейн" "парашютировал", что не позволяло ему быстро разгоняться. Правда, в актив ему можно было записать небольшой радиус разворота, достигавшийся за счет малой нагрузки на крыло, что позволяло вести бой на горизонталях. Весьма неудачно, с советской точки зрения, было сконструировано шасси. Несмотря на достаточно заднюю центровку, капотажный угол был всего 24 град. с учетом торможения, в то время как наш  НИИ   ВВС  определял минимум в 26,5 град. Он становился еще меньше по израсходовании боеприпасов и горючего. Поэтому при посадке на неровный грунт полевых аэродромов опасность скапотировать была очень высока. При этом, в первую очередь, ломались деревянные лопасти винта "Ротол"; в отличие от металлических, ремонту они почти не поддавались. Скапотировать "Харрикейн" мог и при рулежке. У этого истребителя была неприятная склонность поднимать хвост при работающем моторе (аналогичное свойство наблюдалось и у отечественных "Яков"). Чтобы предохранить машину от неприятностей, нередко на заднюю часть фюзеляжа сажали одного-двух механиков (15129).</w:t>
      </w:r>
    </w:p>
    <w:p w14:paraId="078B25F3"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1941-44 годы в СССР приняли 3082 самолета Харрикейн (в том числе военная авиация получила 2834 машины). Нам было отправлено, по крайней мере, 210 машин модификации IIА, 1557 – IIВ и аналогичных канадских X, XI и XII, 1009 – IIС, 60-110 и 30 -типа IV. Часть "Харрикейнов"IIА на самом деле являлась переделкой старых самолетов типа I, проведенной фирмой "Роллс-Ройс". Осенью 1942 г. нам достался и один "Си-Харрикейн", катапультированный с одного из транспортов конвоя РQ-18 и севший в Архангельске. 37 "Харрикейнов"IIВ 151-го крыла официально передали советской стороне в октябре 1941 г (15129).</w:t>
      </w:r>
    </w:p>
    <w:p w14:paraId="003B9161" w14:textId="77777777" w:rsidR="000E5B37" w:rsidRPr="00640820" w:rsidRDefault="000E5B37" w:rsidP="00640820">
      <w:pPr>
        <w:spacing w:after="0" w:line="240" w:lineRule="auto"/>
        <w:jc w:val="both"/>
        <w:rPr>
          <w:rFonts w:ascii="Times New Roman" w:hAnsi="Times New Roman"/>
          <w:color w:val="000000" w:themeColor="text1"/>
          <w:sz w:val="16"/>
          <w:szCs w:val="16"/>
        </w:rPr>
      </w:pPr>
    </w:p>
    <w:p w14:paraId="0844EF43"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579B9995"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75FD2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сентября 1941 года, через 11 дней после приезда в Йошкар-Олу завода кассовых аппаратов "XIII лет Октября" (в годы войны завод №185) из Киева, 125 45 мм осколочных снарядных корпусов вышли из производства. В 1942 году завод выпустил 134308 штук против плана в 173 тыс. штук. С середины 1943 г. произошло снятие с производства корпусов 45 мм осколочных снарядов и освоено новое производство - выпуск авиабомб. За второе полугодие 1943 г. вместо запланированных 64 тыс. авиабомб было произведено 93 тыс. (172 %). За 1944 г. завод изготовил 143,5 тыс. авиабомб (105% к плану), приступил к выпуску гражданской продукции - гирь и изготовил 23750 шт. Со второго полугодия 1945 г. завод совершил переход производства с военной продукции на гражданскую, успешно закончил период освоения производства весов "Фалько" (9707).</w:t>
      </w:r>
    </w:p>
    <w:p w14:paraId="02287E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68389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сентября 1941 вышло Постановление ГКО № 704 О комбинате № 179 Наркомата боеприпасов. РГАНИР, Фонд ГКО, д. 10, лл. 65-69, 70-72 (11012).</w:t>
      </w:r>
    </w:p>
    <w:p w14:paraId="5F3443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315FB6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сентября 1941 г. НКТП издал приказ № 26сс, предписывающий срочно разработать на ЧТЗ ва</w:t>
      </w:r>
      <w:r w:rsidRPr="00640820">
        <w:rPr>
          <w:rFonts w:ascii="Times New Roman" w:hAnsi="Times New Roman"/>
          <w:color w:val="000000" w:themeColor="text1"/>
          <w:sz w:val="16"/>
          <w:szCs w:val="16"/>
        </w:rPr>
        <w:softHyphen/>
        <w:t>риант установки орудия Ф-34 в танк КВ, а Уралмашзаводу обеспечить для него поставку бронировки. До конца сен</w:t>
      </w:r>
      <w:r w:rsidRPr="00640820">
        <w:rPr>
          <w:rFonts w:ascii="Times New Roman" w:hAnsi="Times New Roman"/>
          <w:color w:val="000000" w:themeColor="text1"/>
          <w:sz w:val="16"/>
          <w:szCs w:val="16"/>
        </w:rPr>
        <w:softHyphen/>
        <w:t>тября таким образом было переделано 40 пушек Ф-34, но установка орудий в башню танка КВ была сопряжена с не</w:t>
      </w:r>
      <w:r w:rsidRPr="00640820">
        <w:rPr>
          <w:rFonts w:ascii="Times New Roman" w:hAnsi="Times New Roman"/>
          <w:color w:val="000000" w:themeColor="text1"/>
          <w:sz w:val="16"/>
          <w:szCs w:val="16"/>
        </w:rPr>
        <w:softHyphen/>
        <w:t>которыми трудностями, требующими некоторой передел</w:t>
      </w:r>
      <w:r w:rsidRPr="00640820">
        <w:rPr>
          <w:rFonts w:ascii="Times New Roman" w:hAnsi="Times New Roman"/>
          <w:color w:val="000000" w:themeColor="text1"/>
          <w:sz w:val="16"/>
          <w:szCs w:val="16"/>
        </w:rPr>
        <w:softHyphen/>
        <w:t>ки люльки орудия. Поэтому опыт не прижился, а с 1 ок</w:t>
      </w:r>
      <w:r w:rsidRPr="00640820">
        <w:rPr>
          <w:rFonts w:ascii="Times New Roman" w:hAnsi="Times New Roman"/>
          <w:color w:val="000000" w:themeColor="text1"/>
          <w:sz w:val="16"/>
          <w:szCs w:val="16"/>
        </w:rPr>
        <w:softHyphen/>
        <w:t>тября на вооружение танка КВ было принято 76,2-мм тан</w:t>
      </w:r>
      <w:r w:rsidRPr="00640820">
        <w:rPr>
          <w:rFonts w:ascii="Times New Roman" w:hAnsi="Times New Roman"/>
          <w:color w:val="000000" w:themeColor="text1"/>
          <w:sz w:val="16"/>
          <w:szCs w:val="16"/>
        </w:rPr>
        <w:softHyphen/>
        <w:t>ковое орудие ЗИС-5 конструкции ОКБ № 92, представлявшее собой определенный гибрид откатных частей ору</w:t>
      </w:r>
      <w:r w:rsidRPr="00640820">
        <w:rPr>
          <w:rFonts w:ascii="Times New Roman" w:hAnsi="Times New Roman"/>
          <w:color w:val="000000" w:themeColor="text1"/>
          <w:sz w:val="16"/>
          <w:szCs w:val="16"/>
        </w:rPr>
        <w:softHyphen/>
        <w:t>дия Ф-34, помещенных в ложе орудия Ф-27. Так, по окончательному варианту, утвержденному техсоветом НКВ, ЗИС-5 отличалась от Ф-34 в основном конструкцией некоторых элементов люльки и бронемас-кой. Поскольку вопрос о снятии орудия Ф-32 с производ</w:t>
      </w:r>
      <w:r w:rsidRPr="00640820">
        <w:rPr>
          <w:rFonts w:ascii="Times New Roman" w:hAnsi="Times New Roman"/>
          <w:color w:val="000000" w:themeColor="text1"/>
          <w:sz w:val="16"/>
          <w:szCs w:val="16"/>
        </w:rPr>
        <w:softHyphen/>
        <w:t>ства был решен, ЗИС-5 последнего варианта была приня</w:t>
      </w:r>
      <w:r w:rsidRPr="00640820">
        <w:rPr>
          <w:rFonts w:ascii="Times New Roman" w:hAnsi="Times New Roman"/>
          <w:color w:val="000000" w:themeColor="text1"/>
          <w:sz w:val="16"/>
          <w:szCs w:val="16"/>
        </w:rPr>
        <w:softHyphen/>
        <w:t>та на вооружение 30 сентября 1941 г. Валовое производст</w:t>
      </w:r>
      <w:r w:rsidRPr="00640820">
        <w:rPr>
          <w:rFonts w:ascii="Times New Roman" w:hAnsi="Times New Roman"/>
          <w:color w:val="000000" w:themeColor="text1"/>
          <w:sz w:val="16"/>
          <w:szCs w:val="16"/>
        </w:rPr>
        <w:softHyphen/>
        <w:t>во пушек ЗИС-5 началось с 1 октября 1941 г. на заводах № 92 и № 9 (на который эвакуировалось танковое произ</w:t>
      </w:r>
      <w:r w:rsidRPr="00640820">
        <w:rPr>
          <w:rFonts w:ascii="Times New Roman" w:hAnsi="Times New Roman"/>
          <w:color w:val="000000" w:themeColor="text1"/>
          <w:sz w:val="16"/>
          <w:szCs w:val="16"/>
        </w:rPr>
        <w:softHyphen/>
        <w:t>водство ЛКЗ) и продолжалось до 21 декабря 1943 г. (10782).</w:t>
      </w:r>
    </w:p>
    <w:p w14:paraId="2D5A5BF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85BE9B"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22 сентября 1941</w:t>
      </w:r>
    </w:p>
    <w:p w14:paraId="6BEE37E4"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СОВ. СЕКРЕТНО. </w:t>
      </w:r>
    </w:p>
    <w:p w14:paraId="2CE32223"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ЭКСТРЕННО. </w:t>
      </w:r>
    </w:p>
    <w:p w14:paraId="20A15961"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ПРИКАЗ</w:t>
      </w:r>
    </w:p>
    <w:p w14:paraId="68EEAEB6"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 Народному Комиссариату Танковой Промышленности Союза ССР</w:t>
      </w:r>
    </w:p>
    <w:p w14:paraId="27B1591B"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22сс</w:t>
      </w:r>
    </w:p>
    <w:p w14:paraId="59B4243E"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г. Москва </w:t>
      </w:r>
    </w:p>
    <w:p w14:paraId="6EDF4AA4"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"22" сентября 1941 г.</w:t>
      </w:r>
    </w:p>
    <w:p w14:paraId="073F79E8"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Во исполнение постановления Государственного Комитета Обороны от 20.IX-1941 г. о формировании танковых бригад в октябре месяце с.г. приказываю: </w:t>
      </w:r>
    </w:p>
    <w:p w14:paraId="2934645E"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1. Обязать директоров заводов: Челябинского тракторного – т. ШОР, Сталинградского тракторного – т. ДУЛЬКИНА, № 183 – т. МАКСАРЕВА, № 112 – т. МИХАЛЕВА, № 37 – т. ФРЕЗЕРОВА обеспечить в октябре м-це выпуск танков по следующему графику: </w:t>
      </w:r>
    </w:p>
    <w:p w14:paraId="59FB2EA2"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танков "КВ" </w:t>
      </w:r>
    </w:p>
    <w:p w14:paraId="1438D771"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а) ЧТЗ – с 1 по 15 октября по 3 штуки ежедневно </w:t>
      </w:r>
    </w:p>
    <w:p w14:paraId="63ADD4AD"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 16 по 25 октября по 5 штук ежедневно </w:t>
      </w:r>
    </w:p>
    <w:p w14:paraId="1EC4EDC1"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 25 по 31 октября по 5 штук ежедневно </w:t>
      </w:r>
    </w:p>
    <w:p w14:paraId="03E1D717"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танков "Т-34" </w:t>
      </w:r>
    </w:p>
    <w:p w14:paraId="0A0535E5"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б) СТЗ – с 1 по 15 октября по 9 штук ежедневно </w:t>
      </w:r>
    </w:p>
    <w:p w14:paraId="04F14FF0"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 16 по 31 октября по 11 штук ежедневно </w:t>
      </w:r>
    </w:p>
    <w:p w14:paraId="38945113"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в) завод № 183 – с 1 по 20 по 5 штук ежедневно </w:t>
      </w:r>
    </w:p>
    <w:p w14:paraId="2CF72A28"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 21 по 31 по 6 штук ежедневно </w:t>
      </w:r>
    </w:p>
    <w:p w14:paraId="21191BB9"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г) завод № 112 – с 1 по 10 октября по 1 шт. ежедневно </w:t>
      </w:r>
    </w:p>
    <w:p w14:paraId="5B493DDB"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 11 по 20 октября по 2 шт. ежедневно </w:t>
      </w:r>
    </w:p>
    <w:p w14:paraId="23D6D67F"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 21 по 31 октября по 3 шт. ежедневно </w:t>
      </w:r>
    </w:p>
    <w:p w14:paraId="03EF9B1C"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танков Т-60 </w:t>
      </w:r>
    </w:p>
    <w:p w14:paraId="1A1E33E7"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д) завод № 37 </w:t>
      </w:r>
    </w:p>
    <w:p w14:paraId="13B9D746"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 1 по 5 октября по 12 штук ежедневно </w:t>
      </w:r>
    </w:p>
    <w:p w14:paraId="5B844E4D"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 6 по 10 октября по 12 штук ежедневно </w:t>
      </w:r>
    </w:p>
    <w:p w14:paraId="7DBCD0D0"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 11 по 15 октября по 13 штук ежедневно </w:t>
      </w:r>
    </w:p>
    <w:p w14:paraId="4FA3AA88"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 16 по 20 октября по 14 штук ежедневно </w:t>
      </w:r>
    </w:p>
    <w:p w14:paraId="54D1FDB2"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 21 по 25 октября по 14 штук ежедневно </w:t>
      </w:r>
    </w:p>
    <w:p w14:paraId="16FE6AC9"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lastRenderedPageBreak/>
        <w:t xml:space="preserve">с 26 по 31 октября по 15 штук ежедневно </w:t>
      </w:r>
    </w:p>
    <w:p w14:paraId="395361AF"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2. Обязать директоров заводов: № 75 – т. Кочеткова, Сталинградского тракторного тов. Дулькина, Уральского турбинного завода тов. Лисина обеспечить в октябре м-це выпуск танковых дизельмоторов В-2 по следующему графику: </w:t>
      </w:r>
    </w:p>
    <w:p w14:paraId="4ED7470C"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а) завод № 75 – </w:t>
      </w:r>
    </w:p>
    <w:p w14:paraId="33CD7459"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 1 по 10 октября по 15 штук ежедневно </w:t>
      </w:r>
    </w:p>
    <w:p w14:paraId="6BF53DC4"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 11 по 20 октября по 10 штук ежедневно </w:t>
      </w:r>
    </w:p>
    <w:p w14:paraId="3A4F7453"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 21 по 31 октября по 8 штук ежедневно </w:t>
      </w:r>
    </w:p>
    <w:p w14:paraId="152E7231"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б) Сталинградский тракторный завод </w:t>
      </w:r>
    </w:p>
    <w:p w14:paraId="31DF73B4"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 1 по 10 октября по 3 штуки ежедневно </w:t>
      </w:r>
    </w:p>
    <w:p w14:paraId="6466992E"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 11 по 20 октября по 4 штуки ежедневно </w:t>
      </w:r>
    </w:p>
    <w:p w14:paraId="4F0F5CEA"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 21 по 31 октября по 5 штук ежедневно </w:t>
      </w:r>
    </w:p>
    <w:p w14:paraId="1B6C69BB"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в) Уральский турбинный завод: </w:t>
      </w:r>
    </w:p>
    <w:p w14:paraId="2920F3EA"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 1 по 10 октября по 1 штуке ежедневно </w:t>
      </w:r>
    </w:p>
    <w:p w14:paraId="703A2EB2"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 11 по 20 октября по 2 штуке ежедневно </w:t>
      </w:r>
    </w:p>
    <w:p w14:paraId="031E68F1"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 21 по 31 октября по 3 штук ежедневно </w:t>
      </w:r>
    </w:p>
    <w:p w14:paraId="40AC85D8"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3. Обязать директоров заводов: Уралмаш – тов. Музруков, № 264 – тов. Щербина, № 112 – тов. Михалева и Подольского механического – тов. Засульского обеспечить в октябре м-це изготовление и поставку бронекорпусов по следующему графику: </w:t>
      </w:r>
    </w:p>
    <w:p w14:paraId="35979453"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а) Уралмашзавод, корпуса "КВ" – поставляются Челябинскому тракторному заводу: </w:t>
      </w:r>
    </w:p>
    <w:p w14:paraId="1322115E"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 1 по 10 октября по 4 корпуса ежедневно </w:t>
      </w:r>
    </w:p>
    <w:p w14:paraId="1D00F521"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 11 по 20 октября по 5 корпусов ежедневно </w:t>
      </w:r>
    </w:p>
    <w:p w14:paraId="48C8AC62"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 21 по 31 октября по 6 корпусов ежедневно </w:t>
      </w:r>
    </w:p>
    <w:p w14:paraId="558A0AAF"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б) завод № 264, корпуса Т-34 – поставляются Сталинградскому тракторному заводу: </w:t>
      </w:r>
    </w:p>
    <w:p w14:paraId="2BC8C8AC"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 1 по 15 октября по 8 корпуса ежедневно </w:t>
      </w:r>
    </w:p>
    <w:p w14:paraId="50C733F1"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 16 по 31 октября по 10 корпусов ежедневно </w:t>
      </w:r>
    </w:p>
    <w:p w14:paraId="05208D01"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в) завод № 112, корпуса Т-34: </w:t>
      </w:r>
    </w:p>
    <w:p w14:paraId="4CCE1AC8"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 1 по 10 октября по 2 корпуса ежедневно </w:t>
      </w:r>
    </w:p>
    <w:p w14:paraId="19E64612"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 11 по 20 октября по 3 корпуса ежедневно </w:t>
      </w:r>
    </w:p>
    <w:p w14:paraId="321AEB18"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 21 по 31 октября по 5 корпусов ежедневно </w:t>
      </w:r>
    </w:p>
    <w:p w14:paraId="4DB9C74B"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Из них отгрузить СТЗ: </w:t>
      </w:r>
    </w:p>
    <w:p w14:paraId="6B1F5E56"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в 1-й декаде – 10 корпусов </w:t>
      </w:r>
    </w:p>
    <w:p w14:paraId="2D72FE22"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в 2-й декаде – 15 корпусов </w:t>
      </w:r>
    </w:p>
    <w:p w14:paraId="2F8C1F9E"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в 3-й декаде – 15 корпусов </w:t>
      </w:r>
    </w:p>
    <w:p w14:paraId="2DA5ABE5"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г) Подольский машиностроительный завод им. Орджоникидзе, корпуса Т-60, поставляются заводу № 37: </w:t>
      </w:r>
    </w:p>
    <w:p w14:paraId="47C02C35"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 1 по 5 октября по 13 корпусов ежедневно </w:t>
      </w:r>
    </w:p>
    <w:p w14:paraId="326CDA0D"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 6 по 10 октября по 14 корпусов ежедневно </w:t>
      </w:r>
    </w:p>
    <w:p w14:paraId="14F5F4AD"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 11 по 20 октября по 15 корпусов ежедневно </w:t>
      </w:r>
    </w:p>
    <w:p w14:paraId="3AB83D0E"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 21 по 31 октября по 16 корпусов ежедневно </w:t>
      </w:r>
    </w:p>
    <w:p w14:paraId="490B225E"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4. Начальнику Главснаба тов. Розину: </w:t>
      </w:r>
    </w:p>
    <w:p w14:paraId="4B3259A6"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а) обеспечить через НКПС эвакуацию харьковских танковых заводов: № 75, № 183, ХТЗ и Мариупольского завода имени Ильича необходимым количеством вагонов и внеочередное их продвижение специальными маршрутами наряду с воинскими грузами особого назначения; </w:t>
      </w:r>
    </w:p>
    <w:p w14:paraId="65A6058D"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б) немедленно передать Госплану Союза ССР заявки на потребное оборудование, инструмент, металл и изделия для производства танков, танковых дизелей, арттягачей и запасных частей с учетом обеспечения необходимых заделов, а также образования запасов для эвакуированных заводов на новом месте их размещения; </w:t>
      </w:r>
    </w:p>
    <w:p w14:paraId="2D2FE0AB"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в) обеспечивать через Управление Гражданского Воздушного Флота транспортировку срочных грузов для танковых заводов самолетами; </w:t>
      </w:r>
    </w:p>
    <w:p w14:paraId="20CACFEC"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г) обеспечить получение в октябре м-це 150 пушек Ф-34 (допускающих установку бронировки толщиной не менее 60 мм) для Челябинского тракторного завода, а также вооружения для танков – заводам № 183, СТЗ, № 37, № 112, ГАЗ, ХТЗ, ЧТЗ соответственно графику выпуска танков; </w:t>
      </w:r>
    </w:p>
    <w:p w14:paraId="1F97555F"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д) до 28 сентября организовать через УВВС КА переброску 40 пушек Ф-32 с Кировского завода на Челябинский тракторный завод. </w:t>
      </w:r>
    </w:p>
    <w:p w14:paraId="0BB2DFAD"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5. Указанное постановление Государственного Комитета Обороны обязало: </w:t>
      </w:r>
    </w:p>
    <w:p w14:paraId="683BB23B"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а) ГАУ КА (т. Яковлева) и Наркомат вооружения (т. Устинова) поставить в октябре с.г. Челябинскому тракторному заводу 150 пушек Ф-34 (допускающих установку бронировки толщиной не менее 60 мм), а также поставить вооружение для танков заводам № 183, № 37, № 112, ГАЗ, ХТЗ, ЧТЗ соответственно графику выпуска танков. </w:t>
      </w:r>
    </w:p>
    <w:p w14:paraId="55317F16"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УВВС КА (т. Соколов-Соколенок) перебросить до 28-го сентября 40 пушек Ф-32 с Кировского завода на Челябинский тракторный завод; </w:t>
      </w:r>
    </w:p>
    <w:p w14:paraId="66E56048"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б) Управление Гражданского Воздушного Флота (т. Молокова) обеспечить полностью транспортными самолетами по заявкам Наркомтанкопрома для обслуживания танковых заводов; </w:t>
      </w:r>
    </w:p>
    <w:p w14:paraId="08AB9C93"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в) НКПС (т. Кагановича) взять под особое наблюдение эвакуацию харьковских танковых заводов: № 75 в гор. Челябинск, № 183 в Нижний Тагил, ХТЗ в Сталинград и Мариупольского имени Ильича в Нижний Тагил, обеспечив внеочередное продвижение специальными маршрутами наряду с воинскими грузами особого назначения; </w:t>
      </w:r>
    </w:p>
    <w:p w14:paraId="3AA274E4"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г) Госплан Союза ССР в 3-дневный срок выделить Наркомтанкопрому для производства танков, танковых дизелей, арттягачей и запасных частей – оборудование, инструмент, металл и изделия полностью по заявкам Наркомтанкопрома с учетом обеспечения необходимых заделов, а также образования запасов для эвакуируемых заводов на новом месте их размещения; </w:t>
      </w:r>
    </w:p>
    <w:p w14:paraId="056B1F3B"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д) распространить на октябрь и следующие месяцы постановление ГКО от 10 сентября (приказ по Наркомсредмашу № 528сс от 11 сентября 1941 г.), устанавливающее порядок и ответственность за поставки и перевозки для танковых заводов; </w:t>
      </w:r>
    </w:p>
    <w:p w14:paraId="7999CA16"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е) назначить уполномоченных Государственного Комитета Обороны по обеспечению выпуска танков и изделий для танков на следующие заводы: </w:t>
      </w:r>
    </w:p>
    <w:p w14:paraId="1BEA9BEA"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ж) Муромский завод – Секретаря Муромского Городского Комитета ВКП(б) – тов. МАКСИМОВА, </w:t>
      </w:r>
    </w:p>
    <w:p w14:paraId="126C2578"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з) Выксунский завод (ДРО) – Зам. Наркома станкостроительной промышленности – тов. ПЕТРОСЯНЦ, </w:t>
      </w:r>
    </w:p>
    <w:p w14:paraId="59E62EAE"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и) Сталинградский тракторный и № 264 – заводы по выпуску танковых дизелей В-2, бронекорпусов и танков Т-34 – Секретаря Обкома ВКП(б) – тов. ЧУЯНОВА, </w:t>
      </w:r>
    </w:p>
    <w:p w14:paraId="6E99AAFD"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к) Уралвагонзавод, Уралтурбозавод и Уралмаш – по выпуску танков Т-34, танковых дизелей и бронекорпусов КВ – Секретаря Свердловского Обкома ВКП(б) – тов. АНДРИАНОВА, </w:t>
      </w:r>
    </w:p>
    <w:p w14:paraId="1841ADB0"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л) завод № 112 и Горьковский Автозавод – по выпуску танков Т-34, Т-60 и моторов М-17 – Секретаря Горьковского Обкома ВКП(б) – тов. РОДИОНОВА, </w:t>
      </w:r>
    </w:p>
    <w:p w14:paraId="2AB1037E"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м) Челябинский тракторный завод – Секретарь Челябинского Обкома ВКП(б) – тов. САПРЫКИНА. </w:t>
      </w:r>
    </w:p>
    <w:p w14:paraId="63DFC858"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Зам. Народного Комиссара Танковой Промышленности Союза ССР</w:t>
      </w:r>
    </w:p>
    <w:p w14:paraId="1B15D46D"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подпись И. НОСЕНКО</w:t>
      </w:r>
    </w:p>
    <w:p w14:paraId="2F832820"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лг/19 </w:t>
      </w:r>
    </w:p>
    <w:p w14:paraId="55A714E3"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отп. 1 экз. </w:t>
      </w:r>
    </w:p>
    <w:p w14:paraId="05D92A53"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22.IX-41 г. </w:t>
      </w:r>
    </w:p>
    <w:p w14:paraId="77396E2B"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+ 8 экз. полн. и 14 выписок согласно рассылки отп. 23.IX. кс.</w:t>
      </w:r>
    </w:p>
    <w:p w14:paraId="7144546A"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bCs/>
          <w:iCs/>
          <w:color w:val="000000" w:themeColor="text1"/>
          <w:sz w:val="16"/>
          <w:szCs w:val="16"/>
          <w:lang w:eastAsia="ru-RU"/>
        </w:rPr>
        <w:t>РГАЭ Фонд 8752 Опись 4 Дело 2 лист 41 – 45</w:t>
      </w:r>
      <w:r w:rsidRPr="00640820">
        <w:rPr>
          <w:rFonts w:ascii="Times New Roman" w:eastAsia="Times New Roman" w:hAnsi="Times New Roman"/>
          <w:color w:val="000000" w:themeColor="text1"/>
          <w:sz w:val="16"/>
          <w:szCs w:val="16"/>
          <w:lang w:eastAsia="ru-RU"/>
        </w:rPr>
        <w:t xml:space="preserve"> (17628).</w:t>
      </w:r>
    </w:p>
    <w:p w14:paraId="65675CD1" w14:textId="77777777" w:rsidR="00D1285C" w:rsidRPr="00640820" w:rsidRDefault="00D1285C" w:rsidP="00640820">
      <w:pPr>
        <w:spacing w:after="0" w:line="240" w:lineRule="auto"/>
        <w:jc w:val="both"/>
        <w:rPr>
          <w:rFonts w:ascii="Times New Roman" w:eastAsia="Times New Roman" w:hAnsi="Times New Roman"/>
          <w:color w:val="000000" w:themeColor="text1"/>
          <w:sz w:val="16"/>
          <w:szCs w:val="16"/>
          <w:lang w:eastAsia="ru-RU"/>
        </w:rPr>
      </w:pPr>
    </w:p>
    <w:p w14:paraId="0771D9B3" w14:textId="77777777" w:rsidR="00FF1EE6" w:rsidRPr="00640820" w:rsidRDefault="00FF1EE6" w:rsidP="00640820">
      <w:pPr>
        <w:pStyle w:val="article-renderblock"/>
        <w:shd w:val="clear" w:color="auto" w:fill="FFFFFF"/>
        <w:spacing w:before="0" w:beforeAutospacing="0" w:after="0" w:afterAutospacing="0"/>
        <w:jc w:val="both"/>
        <w:rPr>
          <w:color w:val="0070C0"/>
          <w:sz w:val="16"/>
          <w:szCs w:val="16"/>
        </w:rPr>
      </w:pPr>
      <w:r w:rsidRPr="00640820">
        <w:rPr>
          <w:color w:val="0070C0"/>
          <w:sz w:val="16"/>
          <w:szCs w:val="16"/>
        </w:rPr>
        <w:t>В период с 22 по 25 сентября 1941 года третьему образцу ГАЗ-66-416 устроили испытания. Машина прошла 645 километров, также провели испытания укладок. По результатам испытаний машину утвердили окончательно, после чего одобрили запуск ГАЗ-61-416 в серию (21375).</w:t>
      </w:r>
    </w:p>
    <w:p w14:paraId="35B96851" w14:textId="77777777" w:rsidR="00FF1EE6" w:rsidRPr="00640820" w:rsidRDefault="00FF1EE6" w:rsidP="00640820">
      <w:pPr>
        <w:pStyle w:val="article-renderblock"/>
        <w:shd w:val="clear" w:color="auto" w:fill="FFFFFF"/>
        <w:spacing w:before="0" w:beforeAutospacing="0" w:after="0" w:afterAutospacing="0"/>
        <w:jc w:val="both"/>
        <w:rPr>
          <w:color w:val="0070C0"/>
          <w:sz w:val="16"/>
          <w:szCs w:val="16"/>
        </w:rPr>
      </w:pPr>
    </w:p>
    <w:p w14:paraId="4960B6E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сентября 1941 года вышел приказ № 466 НКВ</w:t>
      </w:r>
    </w:p>
    <w:p w14:paraId="1E56D61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решением Совета по Эвакуации № 14045-сэ от 20 сентября 1941 года:</w:t>
      </w:r>
    </w:p>
    <w:p w14:paraId="045F7C4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Директору завода № 353 начать немедленно эвакуацию из г. Изюма Харьковской области: в части стекловаренного производства на стекольный завод “Красный гигант” ст. Ночка Пензенской ж/д, в части оптико-механического производства в Новосибирск на площади Силикатного техникума (6305, 146).</w:t>
      </w:r>
    </w:p>
    <w:p w14:paraId="5E2FA6C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1E0B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22 сентября 1941 Балтийцы начали ремонт крейсера "Максим Горький", поврежденного артснарядами; закончен 8 октября. Эсминцы "Строгий" и "Стройный" сданы флоту во временную эксплуатацию. Военный совет фронта предложил НТК НК ВМФ разработать несамоходные средства (плашкоуты) для Ладоги. Вступил в строй еще один ТК типа Д-3 (10671).</w:t>
      </w:r>
    </w:p>
    <w:p w14:paraId="4CA11E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C1D5AA4"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6D2B1C7E"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9F10297"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сентября в 1941 году утреннее сообщение Совинформбюро:</w:t>
      </w:r>
    </w:p>
    <w:p w14:paraId="1DFD153A"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22 сентября наши войска вели бои с противником на всём фронте.</w:t>
      </w:r>
    </w:p>
    <w:p w14:paraId="112418A8"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Группа бомбардировщиков Черноморского флота за два дня уничтожила 9 танков, 30 автомашин, 3 роты пехоты, 4 зенитных орудия противника и несколько самолётов на вражеских аэродромах. На одном из участков Западного направления фронта наши лётчики уничтожили за 20 сентября 15 немецких танков, 90 автомашин, 11 зенитных орудий и сбили один вражеский самолёт. На Юго-Западном направлении фронта авиационная часть полковника Юханова в сложных метеорологических условиях нанесла удар по колонне немецких танков. Несмотря на плохую видимость, сильные взрывы и пожары в тылу врага были видны на расстоянии многих километров.</w:t>
      </w:r>
    </w:p>
    <w:p w14:paraId="30D29C8E"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Лётчики части Героя Советского Союза Бориса Сафонова с начала войны сбили в воздушных боях 132 фашистских самолёта и 25 уничтожили на аэродромах. Герой Советского Союза Сафонов сбил 14 самолётов, лётчики: Коваленко —7 самолётов, Семененко, Половиков, Сорокин — по 5 самолётов, Покровский, Максимович, Раздобудько — по 4 самолёта, Туманов, Яковенко, Родин — по 3 самолёта. В боях с частью Сафонова немцы потеряли более 300 пилотов, штурманов и стрелков-радистов. За время войны часть тов. Сафонова потеряла в воздушных боях и на земле 29 самолётов.</w:t>
      </w:r>
    </w:p>
    <w:p w14:paraId="1ACCBDEB"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Партизанский отряд под командованием тов. В. совершил боевой поход по тылам немецко-финской армии. За 10 дней отряд прошёл более ста километров. Партизаны во многих местах порвали линии связи и разрушили два только что отстроенных фашистами моста. На минах, заложенных партизанами на разных участках шоссе, взорвалось несколько немецко-финских авто машин. Устроив засаду на лесной дороге, партизаны уничтожили ещё три машины, восемь солдат и двух офицеров. Через день разведчики обнаружили, что по дороге движутся 60 белофинских велосипедистов. Ночью через болота, партизаны прошли наперерез белофиннам. Тов. В. выделил группу засады и группу удара. После многочасовой перестрелки группа удара пошла в атаку. Белофинны отошли и попали под огонь партизан, засевших в засаде. Противник понёс большие потери и бежал, бросив 4 станковых пулемёта, 10 велосипедов, несколько повозок с лошадьми и много боеприпасов.</w:t>
      </w:r>
    </w:p>
    <w:p w14:paraId="3B9E9B0A"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Советским танкистам В. Куля, И. Князеву и Н. Костенко удалось бежать из фашистского плена. Вот что рассказали наши бойцы о фашистском лагере военнопленных, в котором они пробыли 12 дней: «Лагерь создан немцами на пустыре и обнесён высоким забором с колючей проволокой. В этом лагере, вместе с небольшим количеством красноармейцев, содержатся мужчины и подростки, начиная с 15-16 лет, не успевшие уйти с Красной Армией из оккупированных немцами районов. У всех загнанных сюда советских граждан немцы отобрали тёплую одежду, а у пленных красноармейцев даже гимнастёрки. Люди ходят по лагерю, как тени, от голода еле передвигая ноги. Воду немцы привозят один раз в день. Когда все бросаются к бочкам с водой, фашисты начинают стрелять. Ежедневно в лагере расстреливаются и умирают от голода и болезней 15-20 человек».</w:t>
      </w:r>
    </w:p>
    <w:p w14:paraId="4EAEB117"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Франции с каждым днём усиливается движение против фашистских оккупантов и правительства Виши. В городе Аррас вспыхнула забастовка строительных рабочих. Выступления рабочих произошли также в городе Лизье. В департаменте Па-де-Кале начались серьёзные волнения среди крестьянства. Крестьяне озлоблены частыми реквизициями, которые фашисты производят во всех деревнях оккупированной зоны. Недавно фашисты отобрали у крестьян весь урожай картофеля и отправили его в Германию. Во многих деревнях крестьяне прячут зерно и активно сопротивляются мероприятиям властей.</w:t>
      </w:r>
    </w:p>
    <w:p w14:paraId="1ECC8CC2"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Работники железнодорожного транспорта готовятся к приближающейся зиме, чтобы в любых условиях бесперебойно обслуживать нужды фронта и тыла. На Южно-Донецкой железной дороге путеобходчики дистанции пути, которой руководит тов. Циолкович, своими силами отремонтировали 11 тысяч щитов. Бригады машинистов-лунинцев т.т. Кандыбко, Васина, Степаниченко, Онищенко и Селиванова без дополнительных ассигнований полностью подготовили свои паровозы к работе в зимних условиях. Машинист депо станции Ярославль тов. Папавин, механики депо т.т. Павлов и Пискарёв отепляют свои паровозы. Па Омской дороге рабочие комплексной ремонтной бригады тов. Бобова в свободное от своей основной работы время готовят служебные помещения к зиме. Ремонт депо подходит к концу. На линейных станциях Петропавловского отделения Омской дороги женщины-активистки отремонтировали будки и общежития. В Батайске вагонники железной дороги имени Ворошилова подготовили к зиме всё буксо-смазочное и автотормозное хозяйство. Собственными силами коллектив произвёл промывку котлов, исправил насосы, привёл в образцовый порядок весь инструмент.» (14777).</w:t>
      </w:r>
    </w:p>
    <w:p w14:paraId="2840BA4E" w14:textId="77777777" w:rsidR="000E5B37" w:rsidRPr="00640820" w:rsidRDefault="000E5B37" w:rsidP="00640820">
      <w:pPr>
        <w:spacing w:after="0" w:line="240" w:lineRule="auto"/>
        <w:jc w:val="both"/>
        <w:rPr>
          <w:rFonts w:ascii="Times New Roman" w:hAnsi="Times New Roman"/>
          <w:color w:val="000000" w:themeColor="text1"/>
          <w:sz w:val="16"/>
          <w:szCs w:val="16"/>
        </w:rPr>
      </w:pPr>
    </w:p>
    <w:p w14:paraId="56381548"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сентября в 1941 году вечернее сообщение Совинформбюро:</w:t>
      </w:r>
    </w:p>
    <w:p w14:paraId="409547EB"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22 сентября наши войска вели бои с противником на всём фронте.</w:t>
      </w:r>
    </w:p>
    <w:p w14:paraId="39F4D744"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20 сентября уничтожено 100 немецких самолётов, из них 28 сбито в воздушных боях и 72 уничтожено на аэродромах. Наши потери — 21 самолёт.</w:t>
      </w:r>
    </w:p>
    <w:p w14:paraId="00F31DD4"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упорном пятидневном бою на одном из участков Западного направления фронта наши части уничтожили до двух батальонов 123 немецкой пехотной дивизии, два батальона 451 пехотного полка 251 немецкой пехотной дивизии и до двух батальонов 102 немецкой пехотной дивизии. Нами захвачено 7 орудий, 13 миномётов, 8 станковых пулемётов, 24 лёгких пулемёта и автомата, иного винтовок, больше 1.800 снарядов и несколько десятков велосипедов.</w:t>
      </w:r>
    </w:p>
    <w:p w14:paraId="09CC047E"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участков Западного направления фронта наши части уничтожили 400 немецких солдат и офицеров, 8 танков, 4 бронемашины, 25 автомашин, 9 мотоциклов и 5 пулемётов. В воздушных боях сбиты два самолёта противника.</w:t>
      </w:r>
    </w:p>
    <w:p w14:paraId="72D50B45"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Батальон части полковника Сафронова, действующий на Южном фронте, в двухдневном бою нанёс крупный урон четвёртой румынской горнострелковой бригаде. Румыны потеряли убитыми 600 солдат и офицеров. Среди трофеев — 42 пулемёта, 275 автоматов и много боеприпасов,</w:t>
      </w:r>
    </w:p>
    <w:p w14:paraId="721E55EE"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Севернее города Ж. отряд днепропетровских партизан под командованием заведующего райземотделом тов. 3. 14 сентября совершил нападение на немецкий аэродром, на который прибывали транспортные самолёты с горючим. Во время налёта на аэродроме находились два самолёта «Юнкерс-52», доставившие баллоны с бензином. Партизаны уничтожили оба самолёта, склад с горючим и 12 автоцистерн.</w:t>
      </w:r>
    </w:p>
    <w:p w14:paraId="10D37770"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нескольких километрах от города И. партизанский отряд, которым командует председатель колхоза тов. Ф., 16 сентября забросал гранатами и бутылками с горючим три немецкие бронемашины. Экипажи машин были перебиты во время перестрелки.</w:t>
      </w:r>
    </w:p>
    <w:p w14:paraId="1B99AD6D"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Отважно сражается с немецкими захватчиками большой партизанский отряд криворожских горняков под командованием бурщика-орденоносца тов. К. За две недели партизаны-горняки перебили до 80 немецких солдат и офицеров, взорвали 3 немецких танка, 29 автомашин, один самолёт на аэродроме, склад с боеприпасами и захватили около 100 повозок с различным военным имуществом.</w:t>
      </w:r>
    </w:p>
    <w:p w14:paraId="719EE8BD"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Приводим выдержки из дневников, найденных у немецких солдат и офицеров, убитых в боях. Фашистское отродье с хладнокровием профессиональных убийц описывает свою бандитскую расправу с мирным советским населением. Немецкий солдат Эмиль Гольц, член национал-социалистской партии, пишет:</w:t>
      </w:r>
    </w:p>
    <w:p w14:paraId="78539910"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июня. Мы в Модлине. Расположились в еврейском квартале. Когда видишь эти слоняющиеся фигуры, берёт охота потянуть за курок и расстрелять этот сброд. Ну, погодите, мы ещё доберёмся до вас!</w:t>
      </w:r>
    </w:p>
    <w:p w14:paraId="3A23E523"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июня. Проходя через Слоним, вместе с Вальтером принял участке в очистке лавок и квартир. Кое-какие нужные вещи я захватил в машину.</w:t>
      </w:r>
    </w:p>
    <w:p w14:paraId="0E1A3FF7"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июня. На рассвете мы проехали Барановичи. Город разгромлен. Но ещё не всё сделано. По дороге от Мира до Столбцев мы разговаривали с населением языком пулемётов. Крики, стоны, кровь, слезы и много трупов. Никакого сострадания мы не ощущали. В каждом местечке, в каждой деревне при виде людей у меня чешутся руки. Хочется пострелять из пистолета по толпе. Надеюсь, что скоро сюда придут отряды «СС» и сделают то, что не успели сделать мы.</w:t>
      </w:r>
    </w:p>
    <w:p w14:paraId="2014AED0"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июля. В 10 часов мы были в местечке Клецк. Сразу же отправились на поиски добычи. Взламывали двери топорами, ломами. Всех, кого находили в запертых изнутри домах, приканчивали. Кто действовал пистолетом, кто винтовкой, а кое-кто штыком и прикладом. Я предпочитаю пользоваться пистолетом».</w:t>
      </w:r>
    </w:p>
    <w:p w14:paraId="5483315C"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Другой фашист-людоед обер-ефрейтор Иоганнес Гердер пишет в своём дневнике:</w:t>
      </w:r>
    </w:p>
    <w:p w14:paraId="4809816B"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августа. Мы бросаем ручные гранаты в жилые дома. Дома очень быстро горят, Огонь перебрасывается на другие избы. Красивое зрелище! Люди плачут, а мы смеёмся над слезами. Мы сожгли уже таким образом деревень десять.</w:t>
      </w:r>
    </w:p>
    <w:p w14:paraId="2FB6CE66"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августа. В одной деревне мы схватили первых попавшихся 12 жителей и отвели на кладбище. Заставили их копать себе просторную и глубокую могилу. Славянам нет и не может быть никакой пощады. Проклятая гуманность нам чужда».</w:t>
      </w:r>
    </w:p>
    <w:p w14:paraId="1318E172"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Эти до предела циничные и людоедские записи разоблачают звериный облик гитлеровских солдат.</w:t>
      </w:r>
    </w:p>
    <w:p w14:paraId="3C8D8358"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Поголовная мобилизация всего мужского населения от 17 до 60 лет вызвала в Германии острый недостаток рабочей силы. Немцы используют в качестве чернорабочих итальянцев. В течение последнего месяца в Германию прибыло большое количество итальянских рабочих, мобилизованных для работы на германских предприятиях. Много итальянцев направлено в Кельн и другие германские города, особенно пострадавшие от бомбардировок, для ликвидации результатов воздушных налётов. По заявлению бежавших в Швейцарию трёх итальянцев, многие рабочие отказались выполнять тяжёлую работу. Итальянцев, пытавшихся протестовать, немцы заковали в кандалы и отправили в концентрационный лагерь. Сейчас в Германии на военных предприятиях можно встретить целые группы итальянских рабочих, закованных в кандалы.» (14777).</w:t>
      </w:r>
    </w:p>
    <w:p w14:paraId="1BF491E6" w14:textId="77777777" w:rsidR="000E5B37" w:rsidRPr="00640820" w:rsidRDefault="000E5B37" w:rsidP="00640820">
      <w:pPr>
        <w:spacing w:after="0" w:line="240" w:lineRule="auto"/>
        <w:jc w:val="both"/>
        <w:rPr>
          <w:rFonts w:ascii="Times New Roman" w:hAnsi="Times New Roman"/>
          <w:color w:val="000000" w:themeColor="text1"/>
          <w:sz w:val="16"/>
          <w:szCs w:val="16"/>
        </w:rPr>
      </w:pPr>
    </w:p>
    <w:p w14:paraId="12C2F3C8" w14:textId="77777777" w:rsidR="000E0496" w:rsidRPr="00640820" w:rsidRDefault="000E0496"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22 сентября 1941 черноморская авиация провела налет на немецкий аэродром, располагавшийся около поселка Чаплинка. В нем снова участвовала целая коллекция самолетов: три Ил</w:t>
      </w:r>
      <w:r w:rsidRPr="00640820">
        <w:rPr>
          <w:rFonts w:ascii="Times New Roman" w:hAnsi="Times New Roman"/>
          <w:color w:val="0070C0"/>
          <w:sz w:val="16"/>
          <w:szCs w:val="16"/>
        </w:rPr>
        <w:noBreakHyphen/>
        <w:t>2, четыре И</w:t>
      </w:r>
      <w:r w:rsidRPr="00640820">
        <w:rPr>
          <w:rFonts w:ascii="Times New Roman" w:hAnsi="Times New Roman"/>
          <w:color w:val="0070C0"/>
          <w:sz w:val="16"/>
          <w:szCs w:val="16"/>
        </w:rPr>
        <w:noBreakHyphen/>
        <w:t>16, три И</w:t>
      </w:r>
      <w:r w:rsidRPr="00640820">
        <w:rPr>
          <w:rFonts w:ascii="Times New Roman" w:hAnsi="Times New Roman"/>
          <w:color w:val="0070C0"/>
          <w:sz w:val="16"/>
          <w:szCs w:val="16"/>
        </w:rPr>
        <w:noBreakHyphen/>
        <w:t>15бис и три Як</w:t>
      </w:r>
      <w:r w:rsidRPr="00640820">
        <w:rPr>
          <w:rFonts w:ascii="Times New Roman" w:hAnsi="Times New Roman"/>
          <w:color w:val="0070C0"/>
          <w:sz w:val="16"/>
          <w:szCs w:val="16"/>
        </w:rPr>
        <w:noBreakHyphen/>
        <w:t xml:space="preserve">1. Их сопровождали, уже в качестве истребителей, еще тринадцать «ишаков». Одновременно по аэродрому </w:t>
      </w:r>
      <w:r w:rsidRPr="00640820">
        <w:rPr>
          <w:rFonts w:ascii="Times New Roman" w:hAnsi="Times New Roman"/>
          <w:color w:val="0070C0"/>
          <w:sz w:val="16"/>
          <w:szCs w:val="16"/>
        </w:rPr>
        <w:lastRenderedPageBreak/>
        <w:t>около поселка Аскания</w:t>
      </w:r>
      <w:r w:rsidRPr="00640820">
        <w:rPr>
          <w:rFonts w:ascii="Times New Roman" w:hAnsi="Times New Roman"/>
          <w:color w:val="0070C0"/>
          <w:sz w:val="16"/>
          <w:szCs w:val="16"/>
        </w:rPr>
        <w:noBreakHyphen/>
        <w:t>Нова, находившегося в 28 километрах к северо</w:t>
      </w:r>
      <w:r w:rsidRPr="00640820">
        <w:rPr>
          <w:rFonts w:ascii="Times New Roman" w:hAnsi="Times New Roman"/>
          <w:color w:val="0070C0"/>
          <w:sz w:val="16"/>
          <w:szCs w:val="16"/>
        </w:rPr>
        <w:noBreakHyphen/>
        <w:t>востоку, должны были нанести удар части ВВС 51</w:t>
      </w:r>
      <w:r w:rsidRPr="00640820">
        <w:rPr>
          <w:rFonts w:ascii="Times New Roman" w:hAnsi="Times New Roman"/>
          <w:color w:val="0070C0"/>
          <w:sz w:val="16"/>
          <w:szCs w:val="16"/>
        </w:rPr>
        <w:noBreakHyphen/>
        <w:t>й армии, которые возглавлял полковник В.А. Судец.</w:t>
      </w:r>
    </w:p>
    <w:p w14:paraId="5C0EF8AD" w14:textId="77777777" w:rsidR="000E0496" w:rsidRPr="00640820" w:rsidRDefault="000E0496"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Однако армейские летчики опоздали, а старые И</w:t>
      </w:r>
      <w:r w:rsidRPr="00640820">
        <w:rPr>
          <w:rFonts w:ascii="Times New Roman" w:hAnsi="Times New Roman"/>
          <w:color w:val="0070C0"/>
          <w:sz w:val="16"/>
          <w:szCs w:val="16"/>
        </w:rPr>
        <w:noBreakHyphen/>
        <w:t>16 не смогли угнаться за «черными смертями» и потеряли их из виду. В итоге ударная группа потеряла семь машин: один Ил</w:t>
      </w:r>
      <w:r w:rsidRPr="00640820">
        <w:rPr>
          <w:rFonts w:ascii="Times New Roman" w:hAnsi="Times New Roman"/>
          <w:color w:val="0070C0"/>
          <w:sz w:val="16"/>
          <w:szCs w:val="16"/>
        </w:rPr>
        <w:noBreakHyphen/>
        <w:t>2, шесть И</w:t>
      </w:r>
      <w:r w:rsidRPr="00640820">
        <w:rPr>
          <w:rFonts w:ascii="Times New Roman" w:hAnsi="Times New Roman"/>
          <w:color w:val="0070C0"/>
          <w:sz w:val="16"/>
          <w:szCs w:val="16"/>
        </w:rPr>
        <w:noBreakHyphen/>
        <w:t>16 и один И</w:t>
      </w:r>
      <w:r w:rsidRPr="00640820">
        <w:rPr>
          <w:rFonts w:ascii="Times New Roman" w:hAnsi="Times New Roman"/>
          <w:color w:val="0070C0"/>
          <w:sz w:val="16"/>
          <w:szCs w:val="16"/>
        </w:rPr>
        <w:noBreakHyphen/>
        <w:t>15бис. Тем не менее советские летчики смело доложили, что уничтожили на земле сразу одиннадцать бомбардировщиков Не</w:t>
      </w:r>
      <w:r w:rsidRPr="00640820">
        <w:rPr>
          <w:rFonts w:ascii="Times New Roman" w:hAnsi="Times New Roman"/>
          <w:color w:val="0070C0"/>
          <w:sz w:val="16"/>
          <w:szCs w:val="16"/>
        </w:rPr>
        <w:noBreakHyphen/>
        <w:t>111. Однако немецкие данные этого не подтверждают (23199).</w:t>
      </w:r>
    </w:p>
    <w:p w14:paraId="4566E774" w14:textId="77777777" w:rsidR="000E0496" w:rsidRPr="00640820" w:rsidRDefault="000E0496" w:rsidP="00640820">
      <w:pPr>
        <w:spacing w:after="0" w:line="240" w:lineRule="auto"/>
        <w:jc w:val="both"/>
        <w:rPr>
          <w:rFonts w:ascii="Times New Roman" w:hAnsi="Times New Roman"/>
          <w:color w:val="0070C0"/>
          <w:sz w:val="16"/>
          <w:szCs w:val="16"/>
        </w:rPr>
      </w:pPr>
    </w:p>
    <w:p w14:paraId="108DF09C" w14:textId="77777777" w:rsidR="000E5B37" w:rsidRPr="00640820" w:rsidRDefault="000E5B37" w:rsidP="00640820">
      <w:pPr>
        <w:pStyle w:val="ae"/>
        <w:shd w:val="clear" w:color="auto" w:fill="FFFFFF"/>
        <w:spacing w:before="0" w:after="0"/>
        <w:jc w:val="both"/>
        <w:rPr>
          <w:color w:val="000000" w:themeColor="text1"/>
          <w:sz w:val="16"/>
          <w:szCs w:val="16"/>
        </w:rPr>
      </w:pPr>
      <w:r w:rsidRPr="00640820">
        <w:rPr>
          <w:color w:val="000000" w:themeColor="text1"/>
          <w:sz w:val="16"/>
          <w:szCs w:val="16"/>
        </w:rPr>
        <w:t>22 сентября 1941 12-я танковая бригада 12-я танковая бригада получила задачу овладеть Красноградом (Харьковская область). Судя по оперативным сводкам, дебютировали бронетрактора в боях с итальянцами. В течение нескольких дней 12-я танковая бригада вела бои за Красноград, в городе шли упорные уличные бои. С 27 сентября советским подразделениям пришлось перейти к обороне, бригада понесла тяжелые потери в танках и живой силе. Участвовали ХТЗ-16 и в обороне Харькова. 24 октября 1941 года один такой бронетрактор поддерживал ополченцев, сражавшихся на площади возле ЦУМа. В этом бою ХТЗ-16 был подбит, а его экипаж сгорел.</w:t>
      </w:r>
    </w:p>
    <w:p w14:paraId="30545229" w14:textId="77777777" w:rsidR="000E5B37" w:rsidRPr="00640820" w:rsidRDefault="000E5B37" w:rsidP="00640820">
      <w:pPr>
        <w:pStyle w:val="ae"/>
        <w:shd w:val="clear" w:color="auto" w:fill="FFFFFF"/>
        <w:spacing w:before="0" w:after="0"/>
        <w:jc w:val="both"/>
        <w:rPr>
          <w:color w:val="000000" w:themeColor="text1"/>
          <w:sz w:val="16"/>
          <w:szCs w:val="16"/>
        </w:rPr>
      </w:pPr>
      <w:r w:rsidRPr="00640820">
        <w:rPr>
          <w:color w:val="000000" w:themeColor="text1"/>
          <w:sz w:val="16"/>
          <w:szCs w:val="16"/>
        </w:rPr>
        <w:t>Большинство ХТЗ-16 оказалось подбитыми осенью 1941 года. Впрочем, небольшое число бронетракторов смогло пережить сражения 1941 года. Отдельные машины использовались в боях за Харьков в мае 1942 года. Это было последнее их боевое применение, по крайней мере в качестве боевых машин. Вопрос применения ХТЗ-16 в боях 1941–42 годов требует глубокого изучения, которое осложняется тем, что документов за тот период сохранилось совсем немного (17461).</w:t>
      </w:r>
    </w:p>
    <w:p w14:paraId="2DE0BF4B" w14:textId="77777777" w:rsidR="000E5B37" w:rsidRPr="00640820" w:rsidRDefault="000E5B37" w:rsidP="00640820">
      <w:pPr>
        <w:pStyle w:val="ae"/>
        <w:shd w:val="clear" w:color="auto" w:fill="FFFFFF"/>
        <w:spacing w:before="0" w:after="0"/>
        <w:jc w:val="both"/>
        <w:rPr>
          <w:color w:val="000000" w:themeColor="text1"/>
          <w:sz w:val="16"/>
          <w:szCs w:val="16"/>
        </w:rPr>
      </w:pPr>
    </w:p>
    <w:p w14:paraId="221776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22 сентября 1941 в ВВС РККА числились 1135 ДБ-3. Их постепенно подтягивали к фронту. В октябре в состав действующих влилась мощная 26-я дивизия (258 самолетов). Ее разбили на две - 26-ю и 133-ю. С 12 октября они начали совершать боевые вылеты из-под Ярославля и Рыбинска. Еше в августе на фронт бросили фуппу из 2-й школы штурманов, действовавшую до начала ноября. Кроме того, из школ, с курсов усовершенствования, из НИИ ВВС, НИПАВ и резервной авиабригады изъяли 156 ДБ-3 для пополнения частей. Для повышения боевой живучести машины решили прикрыть броней стрелка-радис- та. Над этим работали параллельно ОКБ-39 и конструкторы завода № 18. В итоге первые спроектировали оригинальную бронеспинку, а вторые - приспособили спинки пилотских кресел от СБ и ДБ-ЗФ. С октября их начали ставить на самолеты на заводах № 126 (вариант ОКБ-39) и № 18 (свои). Но, к сожалению, в связи с эвакуацией заводов и отсутствием запаса спинок эту работу довольно быстро свернули (12021).</w:t>
      </w:r>
    </w:p>
    <w:p w14:paraId="7920D6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BC88D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сентября 1941 наши войска нанесли комбинированный контрудар по противнику с фронта под Одессой. Накануне в район Григорьевки высадили морской десант, а за 3 минуты - авиация ЧФ выбросила воздушный десант. Поддерживали ВВС ЧФ и 69 иап. Днем наша авиация нанесла удары по аэродромам и вывела из строя 20 машин. десант разгромил 2 дивизии и отбросил остатки на 5-8 км. В течение трех суток авиация выполнила 1500 вылетов и уничтожила в воздушных боях 12 машин (341,61).</w:t>
      </w:r>
    </w:p>
    <w:p w14:paraId="57F1D3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358ACA7" w14:textId="77777777" w:rsidR="000D310A" w:rsidRPr="00640820" w:rsidRDefault="000D310A" w:rsidP="00640820">
      <w:pPr>
        <w:pStyle w:val="ae"/>
        <w:spacing w:before="0" w:after="0"/>
        <w:jc w:val="both"/>
        <w:textAlignment w:val="baseline"/>
        <w:rPr>
          <w:color w:val="000000" w:themeColor="text1"/>
          <w:sz w:val="16"/>
          <w:szCs w:val="16"/>
        </w:rPr>
      </w:pPr>
      <w:r w:rsidRPr="00640820">
        <w:rPr>
          <w:color w:val="000000" w:themeColor="text1"/>
          <w:sz w:val="16"/>
          <w:szCs w:val="16"/>
        </w:rPr>
        <w:t>22 сентября 1941 черноморская авиация провела налет на немецкий аэродром, располагавшийся около поселка Чаплинка. В нем снова участвовала целая коллекция самолетов: три Ил-2, четыре И-16, три И-15бис и три Як-1. Их сопровождали, уже в качестве истребителей, еще тринадцать «ишаков». Одновременно по аэродрому около поселка Аскания-Нова, находившегося в 28 километрах к северо-востоку, должны были нанести удар части ВВС 51-й армии, которые возглавлял полковник В. А. Судец.</w:t>
      </w:r>
    </w:p>
    <w:p w14:paraId="2BE482CC" w14:textId="77777777" w:rsidR="000D310A" w:rsidRPr="00640820" w:rsidRDefault="000D310A" w:rsidP="00640820">
      <w:pPr>
        <w:pStyle w:val="ae"/>
        <w:spacing w:before="0" w:after="0"/>
        <w:jc w:val="both"/>
        <w:textAlignment w:val="baseline"/>
        <w:rPr>
          <w:color w:val="000000" w:themeColor="text1"/>
          <w:sz w:val="16"/>
          <w:szCs w:val="16"/>
        </w:rPr>
      </w:pPr>
      <w:r w:rsidRPr="00640820">
        <w:rPr>
          <w:color w:val="000000" w:themeColor="text1"/>
          <w:sz w:val="16"/>
          <w:szCs w:val="16"/>
        </w:rPr>
        <w:t>Однако армейские летчики опоздали, а старые И-16 не смогли угнаться за «черными смертями» и потеряли их из виду. В итоге ударная группа потеряла семь машин: один Ил-2, шесть И-16 и один И-15бис. Тем не менее советские летчики смело доложили, что уничтожили на земле сразу одиннадцать бомбардировщиков Не-111. Однако немецкие данные этого не подтверждают (19522).</w:t>
      </w:r>
    </w:p>
    <w:p w14:paraId="787A96F6" w14:textId="77777777" w:rsidR="000D310A" w:rsidRPr="00640820" w:rsidRDefault="000D310A" w:rsidP="00640820">
      <w:pPr>
        <w:pStyle w:val="ae"/>
        <w:spacing w:before="0" w:after="0"/>
        <w:jc w:val="both"/>
        <w:textAlignment w:val="baseline"/>
        <w:rPr>
          <w:color w:val="000000" w:themeColor="text1"/>
          <w:sz w:val="16"/>
          <w:szCs w:val="16"/>
        </w:rPr>
      </w:pPr>
    </w:p>
    <w:p w14:paraId="11FE46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сентября 1941 года черноморская авиация провела налет на аэродром в Чаплинке. В налете участвовали 3 Ил-2 из 46-й ШАБ, 4 И-16 из 8-го ИАП, а также 3 И-153 и истребители прикрытия: 13 И-16 и 3 Як-1. Одновременно, удар по аэродрому в Аскания-Нова должны были провести авиационные части 51-й Армии. Трудности начались уже на подлете к цели. Армейские летчики опоздали, поэтому немцы смогли перебросить на помощь свои Вf109. А И-16 и Як-1 просто не успели за Ил-2 и И-153, в результате штурмовики оказались легкой целью для немецких пилотов. Тем не менее советские летчики смогли прорваться к аэродрому и уничтожить на земле 11 Не-111, которые кучно стояли на открытой местности. Тем временем немцы навязали бой и сбили 7 машин: Ил-2, 6 И-16 и 1 И-15бис. Вскоре подоспели опоздавшие армейские ЛаГГи, которые отвлекли на себя немецкие истребители и сбили два "мессера" (2691).</w:t>
      </w:r>
    </w:p>
    <w:p w14:paraId="62EF85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9E86889" w14:textId="77777777" w:rsidR="000D310A" w:rsidRPr="00640820" w:rsidRDefault="000D310A" w:rsidP="00640820">
      <w:pPr>
        <w:pStyle w:val="11b"/>
        <w:shd w:val="clear" w:color="auto" w:fill="auto"/>
        <w:spacing w:after="0" w:line="240" w:lineRule="auto"/>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22-го сентября 1941 года два ко</w:t>
      </w:r>
      <w:r w:rsidRPr="00640820">
        <w:rPr>
          <w:rFonts w:ascii="Times New Roman" w:hAnsi="Times New Roman" w:cs="Times New Roman"/>
          <w:color w:val="000000" w:themeColor="text1"/>
          <w:sz w:val="16"/>
          <w:szCs w:val="16"/>
        </w:rPr>
        <w:softHyphen/>
        <w:t>рабля отправились в боевой вылет.</w:t>
      </w:r>
    </w:p>
    <w:p w14:paraId="03FF2112" w14:textId="77777777" w:rsidR="000D310A" w:rsidRPr="00640820" w:rsidRDefault="000D310A" w:rsidP="00640820">
      <w:pPr>
        <w:pStyle w:val="11b"/>
        <w:shd w:val="clear" w:color="auto" w:fill="auto"/>
        <w:spacing w:after="0" w:line="240" w:lineRule="auto"/>
        <w:jc w:val="both"/>
        <w:rPr>
          <w:rFonts w:ascii="Times New Roman" w:hAnsi="Times New Roman" w:cs="Times New Roman"/>
          <w:color w:val="000000" w:themeColor="text1"/>
          <w:sz w:val="16"/>
          <w:szCs w:val="16"/>
        </w:rPr>
      </w:pPr>
      <w:r w:rsidRPr="00640820">
        <w:rPr>
          <w:rStyle w:val="aff7"/>
          <w:rFonts w:ascii="Times New Roman" w:hAnsi="Times New Roman" w:cs="Times New Roman"/>
          <w:b w:val="0"/>
          <w:color w:val="000000" w:themeColor="text1"/>
          <w:spacing w:val="0"/>
          <w:sz w:val="16"/>
          <w:szCs w:val="16"/>
        </w:rPr>
        <w:t>ТБ-7 № 4221,</w:t>
      </w:r>
      <w:r w:rsidRPr="00640820">
        <w:rPr>
          <w:rFonts w:ascii="Times New Roman" w:hAnsi="Times New Roman" w:cs="Times New Roman"/>
          <w:color w:val="000000" w:themeColor="text1"/>
          <w:sz w:val="16"/>
          <w:szCs w:val="16"/>
        </w:rPr>
        <w:t xml:space="preserve"> командир корабля ст. лейтенант Лисачев, в 2 часа 10 ми</w:t>
      </w:r>
      <w:r w:rsidRPr="00640820">
        <w:rPr>
          <w:rFonts w:ascii="Times New Roman" w:hAnsi="Times New Roman" w:cs="Times New Roman"/>
          <w:color w:val="000000" w:themeColor="text1"/>
          <w:sz w:val="16"/>
          <w:szCs w:val="16"/>
        </w:rPr>
        <w:softHyphen/>
        <w:t>нут стартовал с аэродрома подскока Раменское для бомбардирования ж.д. узла Старая Русса. В 4 час 32 мин с вы</w:t>
      </w:r>
      <w:r w:rsidRPr="00640820">
        <w:rPr>
          <w:rFonts w:ascii="Times New Roman" w:hAnsi="Times New Roman" w:cs="Times New Roman"/>
          <w:color w:val="000000" w:themeColor="text1"/>
          <w:sz w:val="16"/>
          <w:szCs w:val="16"/>
        </w:rPr>
        <w:softHyphen/>
        <w:t>соты 4100 м на цель сброшены ФАБ-100 32 штуки, ЗАБ-50 - 8 шт., всего 40 бомб. Бомбы сброшены в два захода, сериями по 10 сбрасываний в каждом заходе с интервалом 0,5 сек. Штурман цели не наблюдал, бомбы сброшены по расчету времени. Стрелки кормовой и подшас- сийных точек наблюдали жел. дорогу и перекрытие серией бомб. После вы</w:t>
      </w:r>
      <w:r w:rsidRPr="00640820">
        <w:rPr>
          <w:rFonts w:ascii="Times New Roman" w:hAnsi="Times New Roman" w:cs="Times New Roman"/>
          <w:color w:val="000000" w:themeColor="text1"/>
          <w:sz w:val="16"/>
          <w:szCs w:val="16"/>
        </w:rPr>
        <w:softHyphen/>
        <w:t>полнения боевого задания экипаж про</w:t>
      </w:r>
      <w:r w:rsidRPr="00640820">
        <w:rPr>
          <w:rFonts w:ascii="Times New Roman" w:hAnsi="Times New Roman" w:cs="Times New Roman"/>
          <w:color w:val="000000" w:themeColor="text1"/>
          <w:sz w:val="16"/>
          <w:szCs w:val="16"/>
        </w:rPr>
        <w:softHyphen/>
        <w:t>извел посадку на заданный аэродром Ярославль в 6 час 25 мин.</w:t>
      </w:r>
    </w:p>
    <w:p w14:paraId="6DA46616" w14:textId="77777777" w:rsidR="000D310A" w:rsidRPr="00640820" w:rsidRDefault="000D310A" w:rsidP="00640820">
      <w:pPr>
        <w:pStyle w:val="11b"/>
        <w:shd w:val="clear" w:color="auto" w:fill="auto"/>
        <w:spacing w:after="0" w:line="240" w:lineRule="auto"/>
        <w:jc w:val="both"/>
        <w:rPr>
          <w:rFonts w:ascii="Times New Roman" w:hAnsi="Times New Roman" w:cs="Times New Roman"/>
          <w:color w:val="000000" w:themeColor="text1"/>
          <w:sz w:val="16"/>
          <w:szCs w:val="16"/>
        </w:rPr>
      </w:pPr>
      <w:r w:rsidRPr="00640820">
        <w:rPr>
          <w:rStyle w:val="aff7"/>
          <w:rFonts w:ascii="Times New Roman" w:hAnsi="Times New Roman" w:cs="Times New Roman"/>
          <w:b w:val="0"/>
          <w:color w:val="000000" w:themeColor="text1"/>
          <w:spacing w:val="0"/>
          <w:sz w:val="16"/>
          <w:szCs w:val="16"/>
        </w:rPr>
        <w:t>ТБ-7 № 4218,</w:t>
      </w:r>
      <w:r w:rsidRPr="00640820">
        <w:rPr>
          <w:rFonts w:ascii="Times New Roman" w:hAnsi="Times New Roman" w:cs="Times New Roman"/>
          <w:color w:val="000000" w:themeColor="text1"/>
          <w:sz w:val="16"/>
          <w:szCs w:val="16"/>
        </w:rPr>
        <w:t xml:space="preserve"> командир корабля майор Дмитриев, в 2 часа 08 минут стартовал с аэродрома подскока Ра</w:t>
      </w:r>
      <w:r w:rsidRPr="00640820">
        <w:rPr>
          <w:rFonts w:ascii="Times New Roman" w:hAnsi="Times New Roman" w:cs="Times New Roman"/>
          <w:color w:val="000000" w:themeColor="text1"/>
          <w:sz w:val="16"/>
          <w:szCs w:val="16"/>
        </w:rPr>
        <w:softHyphen/>
        <w:t>менское на бомбардирование ж.д. узла Новгород. В 4 часа 50 минут с высоты 5800 м на цель сброшены 12 ФАБ-100, 26 ФАБ-50, 2 ЗАБ-50, всего 40 бомб. Бомбы сброшены в два захода, сериями по 10 сбрасываний в каждом заходе с интервалом 0,3 сек. Экипаж наблюдал прямые попадания по цели. В резуль</w:t>
      </w:r>
      <w:r w:rsidRPr="00640820">
        <w:rPr>
          <w:rFonts w:ascii="Times New Roman" w:hAnsi="Times New Roman" w:cs="Times New Roman"/>
          <w:color w:val="000000" w:themeColor="text1"/>
          <w:sz w:val="16"/>
          <w:szCs w:val="16"/>
        </w:rPr>
        <w:softHyphen/>
        <w:t>тате бомбардирования образовались до 8 небольших очагов пожара. В рай</w:t>
      </w:r>
      <w:r w:rsidRPr="00640820">
        <w:rPr>
          <w:rFonts w:ascii="Times New Roman" w:hAnsi="Times New Roman" w:cs="Times New Roman"/>
          <w:color w:val="000000" w:themeColor="text1"/>
          <w:sz w:val="16"/>
          <w:szCs w:val="16"/>
        </w:rPr>
        <w:softHyphen/>
        <w:t>оне ст. Лычково, 60 км восточнее Старая Русса, экипаж видел два истребителя противника, которые прошли ниже на</w:t>
      </w:r>
      <w:r w:rsidRPr="00640820">
        <w:rPr>
          <w:rFonts w:ascii="Times New Roman" w:hAnsi="Times New Roman" w:cs="Times New Roman"/>
          <w:color w:val="000000" w:themeColor="text1"/>
          <w:sz w:val="16"/>
          <w:szCs w:val="16"/>
        </w:rPr>
        <w:softHyphen/>
        <w:t>шего самолета с попутно пересекаю</w:t>
      </w:r>
      <w:r w:rsidRPr="00640820">
        <w:rPr>
          <w:rFonts w:ascii="Times New Roman" w:hAnsi="Times New Roman" w:cs="Times New Roman"/>
          <w:color w:val="000000" w:themeColor="text1"/>
          <w:sz w:val="16"/>
          <w:szCs w:val="16"/>
        </w:rPr>
        <w:softHyphen/>
        <w:t>щимся курсом. У озера Ильмень, южный берег, отмечены также два истребителя противника, которые прошли ниже со встречным курсом. В обоих случаях ис</w:t>
      </w:r>
      <w:r w:rsidRPr="00640820">
        <w:rPr>
          <w:rFonts w:ascii="Times New Roman" w:hAnsi="Times New Roman" w:cs="Times New Roman"/>
          <w:color w:val="000000" w:themeColor="text1"/>
          <w:sz w:val="16"/>
          <w:szCs w:val="16"/>
        </w:rPr>
        <w:softHyphen/>
        <w:t>требители не пытались атаковать наш бомбардировщик, очевидно не заме</w:t>
      </w:r>
      <w:r w:rsidRPr="00640820">
        <w:rPr>
          <w:rFonts w:ascii="Times New Roman" w:hAnsi="Times New Roman" w:cs="Times New Roman"/>
          <w:color w:val="000000" w:themeColor="text1"/>
          <w:sz w:val="16"/>
          <w:szCs w:val="16"/>
        </w:rPr>
        <w:softHyphen/>
        <w:t>тили. После выполнения боевого зада</w:t>
      </w:r>
      <w:r w:rsidRPr="00640820">
        <w:rPr>
          <w:rFonts w:ascii="Times New Roman" w:hAnsi="Times New Roman" w:cs="Times New Roman"/>
          <w:color w:val="000000" w:themeColor="text1"/>
          <w:sz w:val="16"/>
          <w:szCs w:val="16"/>
        </w:rPr>
        <w:softHyphen/>
        <w:t>ния экипаж произвел посадку на задан</w:t>
      </w:r>
      <w:r w:rsidRPr="00640820">
        <w:rPr>
          <w:rFonts w:ascii="Times New Roman" w:hAnsi="Times New Roman" w:cs="Times New Roman"/>
          <w:color w:val="000000" w:themeColor="text1"/>
          <w:sz w:val="16"/>
          <w:szCs w:val="16"/>
        </w:rPr>
        <w:softHyphen/>
        <w:t>ный аэродром Ярославль в 7 час 20 мин. (19088).</w:t>
      </w:r>
    </w:p>
    <w:p w14:paraId="56ED3CD2" w14:textId="77777777" w:rsidR="000D310A" w:rsidRPr="00640820" w:rsidRDefault="000D310A" w:rsidP="00640820">
      <w:pPr>
        <w:pStyle w:val="11b"/>
        <w:shd w:val="clear" w:color="auto" w:fill="auto"/>
        <w:spacing w:after="0" w:line="240" w:lineRule="auto"/>
        <w:jc w:val="both"/>
        <w:rPr>
          <w:rFonts w:ascii="Times New Roman" w:hAnsi="Times New Roman" w:cs="Times New Roman"/>
          <w:color w:val="000000" w:themeColor="text1"/>
          <w:sz w:val="16"/>
          <w:szCs w:val="16"/>
        </w:rPr>
      </w:pPr>
    </w:p>
    <w:p w14:paraId="664334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сентября 1941 было подготовлено Спецсообщение П.М. Фитина И.В. Сталину о планах Англии в отношении кавказских нефтепромыслов</w:t>
      </w:r>
    </w:p>
    <w:p w14:paraId="3B4602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Сов. секретно </w:t>
      </w:r>
    </w:p>
    <w:p w14:paraId="07E8A8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ГОСУДАРСТВЕННЫЙ КОМИТЕТ ОБОРОНЫ СССР </w:t>
      </w:r>
    </w:p>
    <w:p w14:paraId="03A797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 Сталину,</w:t>
      </w:r>
    </w:p>
    <w:p w14:paraId="4F5B91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 имеющимся у нас агентурным данным, английское командование ближневосточной армией, вскоре после начала советско-германской войны, получило санкцию английского военного министерства на организацию специальной миссии. Перед этой миссией была поставлена задача разрушения наших кавказских нефтепромыслов для того, чтобы не допустить перехода их в руки немцев в случае, если такая опасность оказалась бы реальной. </w:t>
      </w:r>
    </w:p>
    <w:p w14:paraId="06E37D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Эта миссия, получившая условное название «Миссия № 16 (Р)», обосновалась в Северном Иране, где находится в полной готовности для переброски в нужный момент на самолетах на Кавказ. </w:t>
      </w:r>
    </w:p>
    <w:p w14:paraId="6051F7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переписке по данному вопросу англичане неоднократно подчеркивали необходимость соблюдения максимальной осторожности с тем, чтобы даже самый факт существования такой миссии не стал известен советскому правительству, так как это может серьезно скомпрометировать работу КРИППСА и МАК-ФАРЛАНА. </w:t>
      </w:r>
    </w:p>
    <w:p w14:paraId="439C7A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КРИППС уже поднимал перед товарищем СТАЛИНЫМ вопрос о сотрудничестве в деле подготовки уничтожения советских источников снабжения, могущих быть использованными немцами, но получил ответ, что советское правительство само решит, когда именно наступит время для такого сотрудничества. </w:t>
      </w:r>
    </w:p>
    <w:p w14:paraId="6502DA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Несколько позднее, по указанию Лондона, КРИППС вновь возвращался к этому вопросу в письме к товарищу СТАЛИНУ, но опять безрезультатно. </w:t>
      </w:r>
    </w:p>
    <w:p w14:paraId="398641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После этого КРИППС внес предложение (с которым Лондон согласился), что решение данного вопроса может быть ускорено, если ему будет разрешено, в соответствующий момент, обещать СССР компенсацию за уничтожение кавказских нефтепромыслов. В результате многочисленных заседаний специального комитета под председательством лорда Хэнки и при участии члена английской экономической миссии в СССР — БЕРТРУДА был составлен проект следующей английской декларации, сейчас уже пересланной КРИППСУ: </w:t>
      </w:r>
    </w:p>
    <w:p w14:paraId="6E8847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 В том случае, если Советское правительство, в целях недопущения захвата нефтепромыслов немцами, уничтожит их, Британское правительство обязуется поставлять СССР в течение войны и двух лет после ее окончания нефть в количестве, равном полученному Великобританией из своей империи. </w:t>
      </w:r>
    </w:p>
    <w:p w14:paraId="7D20DC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 Британское правительство обязуется обеспечить СССР нефтеналивным тоннажем в количестве, равном тому, которое она сама будет иметь в тот же период. </w:t>
      </w:r>
    </w:p>
    <w:p w14:paraId="70B04F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 Британское правительство обязуется помочь Советскому Союзу в приобретении бурового оборудования взамен уничтоженного. </w:t>
      </w:r>
    </w:p>
    <w:p w14:paraId="36DBB1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Для придания этой декларации большего веса и реальной значимости БЕРТРУД побывал в Вашингтоне, где по указанию РУЗВЕЛЬТА этим вопросом занимался государственный департамент. На днях БЕРТРУД должен был вернуться в Лондон с американским проектом декларации, требующим, после ознакомления Лондона с данным проектом, только подписи РУЗВЕЛЬТА. Сейчас предполагается, что БЕРТРУД выедет в Москву вместе с миссией БИВЕРБРУКА и повезет с собой везде согласованные и утвержденные тексты английских и американских деклараций Советскому правительству по этому вопросу. </w:t>
      </w:r>
    </w:p>
    <w:p w14:paraId="252F58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Одновременно с этим в соответствующих кругах в Лондоне высказывается мнение, что, поскольку советское правительство все равно вынуждено будет уничтожить нефтепромыслы, не следует спешить с вручением этих деклараций, так как они накладывают на англичан определенные обязательства, которых может быть будет возможно избежать. С другой стороны, противники этого курса указывают, что, будучи не уверенными в дальнейшем снабжении нефтью, Советское правительство </w:t>
      </w:r>
      <w:r w:rsidRPr="00640820">
        <w:rPr>
          <w:rFonts w:ascii="Times New Roman" w:hAnsi="Times New Roman"/>
          <w:color w:val="000000" w:themeColor="text1"/>
          <w:sz w:val="16"/>
          <w:szCs w:val="16"/>
        </w:rPr>
        <w:lastRenderedPageBreak/>
        <w:t xml:space="preserve">не решится на своевременное уничтожение нефтепромыслов и в конечном итоге они перейдут в целости к немцам. Во всяком случае, сейчас вопрос о том, следует ли вручать СССР такие декларации или можно обойтись и без этого, по существу передано на усмотрение КРИППСА. </w:t>
      </w:r>
    </w:p>
    <w:p w14:paraId="245012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Начальник Разведуправления НКВД СССР Фитин </w:t>
      </w:r>
    </w:p>
    <w:p w14:paraId="2EEE26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Опубликовано: Очерки истории российской внешней разведки: В 6 т. Т. 4. 1941—1945 годы. М., 1999. С. 533—535 (11430).</w:t>
      </w:r>
    </w:p>
    <w:p w14:paraId="014DA8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B54EC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сентября 1941 ЧФ высадил десант под Григорьевкой недалеко от Одессы. Отбросили немцев на 5-8 км (2438,198).</w:t>
      </w:r>
    </w:p>
    <w:p w14:paraId="240585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2D1C070"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сентября в 1941 году советские войска нанесли в восточном секторе обороны Одессы комбинированный удар - морской десант в районе Григорьевки (3-й полк морской пехоты; 1929 человек), воздушный десант в тылу врага (23 человека), наступление с фронта 2 стрелковых дивизий - разгромили 2 румынские дивизии и отбросили противника на 5 - 8 км (14777).</w:t>
      </w:r>
    </w:p>
    <w:p w14:paraId="43D0384E" w14:textId="77777777" w:rsidR="000E5B37" w:rsidRPr="00640820" w:rsidRDefault="000E5B37" w:rsidP="00640820">
      <w:pPr>
        <w:spacing w:after="0" w:line="240" w:lineRule="auto"/>
        <w:jc w:val="both"/>
        <w:rPr>
          <w:rFonts w:ascii="Times New Roman" w:hAnsi="Times New Roman"/>
          <w:color w:val="000000" w:themeColor="text1"/>
          <w:sz w:val="16"/>
          <w:szCs w:val="16"/>
        </w:rPr>
      </w:pPr>
    </w:p>
    <w:p w14:paraId="260CDF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сентября 1941 Нач. Генштаба Б.М.Шапошников издал директиву о повышении эффективности использования ВВС, в которой в качестве недостатка отмечалось " большое количество самолетовылетов без удара по противнику" и требовалось сократить число холостых полетов. В общем, все должны были штурмовать немецкие войска - и и, сопровождающие б и б и р, от которых требовалось "прочесывать лесные укрытия пулеметным огнем и б" (3105,34).</w:t>
      </w:r>
    </w:p>
    <w:p w14:paraId="56EA95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0741E5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сентября 1941 вышло Постановление ГКО № 699 Положения о начальниках военных сообщений фронта и армии в военное время. (7011, 44,45-53).</w:t>
      </w:r>
    </w:p>
    <w:p w14:paraId="01BCC6F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2A10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сентября 1941 вышло Постановление ГКО № 700 О формировании транспортно-гужевых батальонов. РГАНИР, Фонд ГКО, д. 10, лл. 54, 55-59 (11012).</w:t>
      </w:r>
    </w:p>
    <w:p w14:paraId="62C246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21709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сентября 1941 г. вышел приказ НКО № 312, согласно которому по нормам довольствия выдавалось по 200 (в ВВС — 300) граммов мыла на человека в месяц для туалетных надобностей (9844).</w:t>
      </w:r>
    </w:p>
    <w:p w14:paraId="58CD55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853DB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сентября 1941 г. вышел ПРИКАЗ № 312 НКО О ВВЕДЕНИИ НОВЫХ НОРМ ПРОДОВОЛЬСТВЕННОГО СНАБЖЕНИЯ КРАСНОЙ АРМИИ</w:t>
      </w:r>
    </w:p>
    <w:p w14:paraId="240FAC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исполнение решения Государственного Комитета Обороны от 12 сентября с. г. ввести с 20 сентября 1941 г. новые продовольственные нормы суточного довольствия личного состава Красной Армии по следующим категориям:</w:t>
      </w:r>
    </w:p>
    <w:p w14:paraId="0850DA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Первая категория — нормы согласно приложению № 1.</w:t>
      </w:r>
    </w:p>
    <w:p w14:paraId="20E822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этим нормам довольствовать красноармейцев и начальствующий состав боевых частей действующей армии, за исключением военнослужащих, довольствующихся по нормам летного пайка и нормам технического состава частей ВВС Красной Армии.</w:t>
      </w:r>
    </w:p>
    <w:p w14:paraId="048726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Вторая категория —* нормы согласно приложению № 2.</w:t>
      </w:r>
    </w:p>
    <w:p w14:paraId="4FC9E8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этим нормам довольствовать красноармейцев и начальствующий состав тыла действующей армии — тыл фронта, армии, дивизии и бригады.</w:t>
      </w:r>
    </w:p>
    <w:p w14:paraId="0FE685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Третья категория — нормы согласно приложению № 3. По этим нормам довольствовать красноармейцев строевых и запасных частей, не входящих в состав действующей армии.</w:t>
      </w:r>
    </w:p>
    <w:p w14:paraId="19949D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Четвертая категория — нормы согласно приложению № 4. По этим нормам довольствовать красноармейцев караульных частей и красноармейцев тыловых учреждений, не входящих в состав действующей армии.</w:t>
      </w:r>
    </w:p>
    <w:p w14:paraId="756889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Для летно-технического состава ВВС Красной Армии:</w:t>
      </w:r>
    </w:p>
    <w:p w14:paraId="467306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Первая категория — нормы согласно приложению № 5. По этим нормам довольствовать боевой расчет экипажей самолетов действующей армии.</w:t>
      </w:r>
    </w:p>
    <w:p w14:paraId="45C584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Вторая категория — нормы согласно приложению № 6. По этим нормам довольствовать летно-технический состав ВВС действующей армии по специально объявленному перечню должностей.</w:t>
      </w:r>
    </w:p>
    <w:p w14:paraId="457801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Третья категория — нормы согласно приложению № 7. По этим нормам довольствовать боевой расчет экипажей самолетов, не входящих в состав действующей армии, по специально объявленному перечню должностей, и летно-технический состав, находящийся на казарменном положении.</w:t>
      </w:r>
    </w:p>
    <w:p w14:paraId="27D4F8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Четвертая категория — нормы согласно приложению № 8. По этим нормам довольствовать технический состав ВВС, не входящий в состав действующей армии, по специально объявленному перечню должностей.</w:t>
      </w:r>
    </w:p>
    <w:p w14:paraId="3053D0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Курсантов всех военных училищ сухопутных и воздушных сил Красной Армии, рядовой и младший начсостав авиадесантных войск довольствовать по нормам согласно приложению № 9.</w:t>
      </w:r>
    </w:p>
    <w:p w14:paraId="1A7549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Курсантам летных училищ в дни учебных полетов отпускать дополнительное довольствие по нормам, указанным в приложении № 8.</w:t>
      </w:r>
    </w:p>
    <w:p w14:paraId="209E2D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Красноармейцев, младших командиров и начальствующий состав, находящихся на излечении и испытании в военных госпиталях и войсковых стационарах, довольствовать по нормам согласно приложению № 10.</w:t>
      </w:r>
    </w:p>
    <w:p w14:paraId="6F39AA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Военнослужащих, находящихся на излечении в военных санаториях, в домах отдыха и в центральном военном госпитале НКО, довольствовать по нормам согласно приложению № 11.</w:t>
      </w:r>
    </w:p>
    <w:p w14:paraId="123E17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Установить норму сухого пайка для войск действующей армии и для частей, не входящих в состав действующей армии, согласно приложению № 12. Сухой паек использовать как боевой запас и применять его взамен положенного пайка в тех случаях, когда питание войск горячей пищей невозможно.</w:t>
      </w:r>
    </w:p>
    <w:p w14:paraId="730B30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Личный состав всех войсковых частей, не входящих в состав действующей армии, тыловых частей действующей армии и всех военных училищ довольствовать раз в неделю по нормам согласно приложениям №№ 13 и 14.</w:t>
      </w:r>
    </w:p>
    <w:p w14:paraId="0F4B9A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летно-технический состав ВВС эти нормы довольствия не распространять.</w:t>
      </w:r>
    </w:p>
    <w:p w14:paraId="626D79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8. Среднему и выше начальствующему составу действующей армии, кроме летного и технического, получающего летный паек, отпускать бесплатно паек по нормам №№ 1 и 2 с добавлением в сутки на человека: масла сливочного или сала — 40 г, печенья — 20 г, рыбных консервов — 50 г, папирос — 25 штук или </w:t>
      </w:r>
      <w:r w:rsidRPr="00640820">
        <w:rPr>
          <w:rFonts w:ascii="Times New Roman" w:hAnsi="Times New Roman"/>
          <w:iCs/>
          <w:color w:val="000000" w:themeColor="text1"/>
          <w:sz w:val="16"/>
          <w:szCs w:val="16"/>
        </w:rPr>
        <w:t xml:space="preserve">табака — 25 г и </w:t>
      </w:r>
      <w:r w:rsidRPr="00640820">
        <w:rPr>
          <w:rFonts w:ascii="Times New Roman" w:hAnsi="Times New Roman"/>
          <w:color w:val="000000" w:themeColor="text1"/>
          <w:sz w:val="16"/>
          <w:szCs w:val="16"/>
        </w:rPr>
        <w:t>спичек в месяц 10 коробок.</w:t>
      </w:r>
    </w:p>
    <w:p w14:paraId="1CEDAC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Установить на самолетах фронта и на действующих самолетах тыла на случай аварий и вынужденных посадок пищевой запас на одного человека: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68"/>
        <w:gridCol w:w="3420"/>
      </w:tblGrid>
      <w:tr w:rsidR="00643896" w:rsidRPr="00640820" w14:paraId="3806E515" w14:textId="77777777" w:rsidTr="000D3BCB">
        <w:tc>
          <w:tcPr>
            <w:tcW w:w="3168" w:type="dxa"/>
            <w:tcBorders>
              <w:top w:val="single" w:sz="12" w:space="0" w:color="auto"/>
            </w:tcBorders>
          </w:tcPr>
          <w:p w14:paraId="64EFA5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молока сгущенного....</w:t>
            </w:r>
          </w:p>
        </w:tc>
        <w:tc>
          <w:tcPr>
            <w:tcW w:w="3420" w:type="dxa"/>
            <w:tcBorders>
              <w:top w:val="single" w:sz="12" w:space="0" w:color="auto"/>
            </w:tcBorders>
          </w:tcPr>
          <w:p w14:paraId="58A474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банки</w:t>
            </w:r>
          </w:p>
        </w:tc>
      </w:tr>
      <w:tr w:rsidR="00643896" w:rsidRPr="00640820" w14:paraId="603338F7" w14:textId="77777777" w:rsidTr="000D3BCB">
        <w:tc>
          <w:tcPr>
            <w:tcW w:w="3168" w:type="dxa"/>
          </w:tcPr>
          <w:p w14:paraId="7B8F36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консервов мясных.....</w:t>
            </w:r>
          </w:p>
        </w:tc>
        <w:tc>
          <w:tcPr>
            <w:tcW w:w="3420" w:type="dxa"/>
          </w:tcPr>
          <w:p w14:paraId="401AD3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банки</w:t>
            </w:r>
          </w:p>
        </w:tc>
      </w:tr>
      <w:tr w:rsidR="00643896" w:rsidRPr="00640820" w14:paraId="0B55DE4A" w14:textId="77777777" w:rsidTr="000D3BCB">
        <w:tc>
          <w:tcPr>
            <w:tcW w:w="3168" w:type="dxa"/>
          </w:tcPr>
          <w:p w14:paraId="281D4D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галет “Крекер”......</w:t>
            </w:r>
          </w:p>
        </w:tc>
        <w:tc>
          <w:tcPr>
            <w:tcW w:w="3420" w:type="dxa"/>
          </w:tcPr>
          <w:p w14:paraId="0720AB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800 граммов</w:t>
            </w:r>
          </w:p>
        </w:tc>
      </w:tr>
      <w:tr w:rsidR="00643896" w:rsidRPr="00640820" w14:paraId="740192E2" w14:textId="77777777" w:rsidTr="000D3BCB">
        <w:tc>
          <w:tcPr>
            <w:tcW w:w="3168" w:type="dxa"/>
          </w:tcPr>
          <w:p w14:paraId="783D66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шоколада........</w:t>
            </w:r>
          </w:p>
        </w:tc>
        <w:tc>
          <w:tcPr>
            <w:tcW w:w="3420" w:type="dxa"/>
          </w:tcPr>
          <w:p w14:paraId="66A21B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 ”</w:t>
            </w:r>
          </w:p>
        </w:tc>
      </w:tr>
      <w:tr w:rsidR="00643896" w:rsidRPr="00640820" w14:paraId="64F95BC8" w14:textId="77777777" w:rsidTr="000D3BCB">
        <w:tc>
          <w:tcPr>
            <w:tcW w:w="3168" w:type="dxa"/>
          </w:tcPr>
          <w:p w14:paraId="7B6CD3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сахара.........</w:t>
            </w:r>
          </w:p>
        </w:tc>
        <w:tc>
          <w:tcPr>
            <w:tcW w:w="3420" w:type="dxa"/>
          </w:tcPr>
          <w:p w14:paraId="19080D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400 ”</w:t>
            </w:r>
          </w:p>
        </w:tc>
      </w:tr>
      <w:tr w:rsidR="00643896" w:rsidRPr="00640820" w14:paraId="2A4CF2B3" w14:textId="77777777" w:rsidTr="000D3BCB">
        <w:tc>
          <w:tcPr>
            <w:tcW w:w="3168" w:type="dxa"/>
            <w:tcBorders>
              <w:bottom w:val="single" w:sz="12" w:space="0" w:color="auto"/>
            </w:tcBorders>
          </w:tcPr>
          <w:p w14:paraId="4D42E1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или вместо шоколада печенья</w:t>
            </w:r>
          </w:p>
        </w:tc>
        <w:tc>
          <w:tcPr>
            <w:tcW w:w="3420" w:type="dxa"/>
            <w:tcBorders>
              <w:bottom w:val="single" w:sz="12" w:space="0" w:color="auto"/>
            </w:tcBorders>
          </w:tcPr>
          <w:p w14:paraId="19CEB6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800 ”</w:t>
            </w:r>
          </w:p>
        </w:tc>
      </w:tr>
    </w:tbl>
    <w:p w14:paraId="65078A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Личному составу войск первой линии Карельского фронта на декабрь — февраль месяцы выдавать дополнительно к пайку свиного сала 25 г в сутки на человека.</w:t>
      </w:r>
    </w:p>
    <w:p w14:paraId="6D67A9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Личному составу войсковых частей, расположенных в районах, не благополучных по цынготным заболеваниям, выдавать одну человеко-дозу витамина С в сутки на человека.</w:t>
      </w:r>
    </w:p>
    <w:p w14:paraId="3CCBB8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Утвердить таблицу замен продовольственных продуктов и зернофуража согласно приложению № 15.</w:t>
      </w:r>
    </w:p>
    <w:p w14:paraId="6E787D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Военнослужащим, убывающим во все виды отпусков, выдачу продовольствия натурой не производить на весь срок нахождения в отпуске. Взамен продовольственных пайков выдавать денежную компенсацию по установленной стоимости пайка.</w:t>
      </w:r>
    </w:p>
    <w:p w14:paraId="1F7610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направлении военнослужащего на время отпуска в санатории и в дома отдыха по бесплатным путевкам денежную компенсацию не выдавать.</w:t>
      </w:r>
    </w:p>
    <w:p w14:paraId="0F6E41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Военным советам фронтов, армий и военных округов обязать командиров частей взять под свое непосредственное наблюдение организацию питания в войсках, установить такой режим в питании, чтобы красноармеец получил все положенное по нормам полностью и в хорошо приготовленном виде.</w:t>
      </w:r>
    </w:p>
    <w:p w14:paraId="13CF5B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Отпуск хлеба по нормам для зимнего времени в 1941 г. производить с 20 сентября.</w:t>
      </w:r>
    </w:p>
    <w:p w14:paraId="14F2D3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640820">
        <w:rPr>
          <w:rFonts w:ascii="Times New Roman" w:hAnsi="Times New Roman"/>
          <w:color w:val="000000" w:themeColor="text1"/>
          <w:sz w:val="16"/>
          <w:szCs w:val="16"/>
        </w:rPr>
        <w:t>16. Приказ НКО № 208 1941 г. и приложения к нему за №№ 1—8 отменить.</w:t>
      </w:r>
    </w:p>
    <w:p w14:paraId="42A099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Приказ передать фронтам, отдельным армиям и округам по телеграфу. Приложения:...**</w:t>
      </w:r>
    </w:p>
    <w:p w14:paraId="2625C3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 xml:space="preserve">Народный комиссар обороны СССР И. СТАЛИН </w:t>
      </w:r>
      <w:r w:rsidRPr="00640820">
        <w:rPr>
          <w:rFonts w:ascii="Times New Roman" w:hAnsi="Times New Roman"/>
          <w:color w:val="000000" w:themeColor="text1"/>
          <w:sz w:val="16"/>
          <w:szCs w:val="16"/>
        </w:rPr>
        <w:t>(9844).</w:t>
      </w:r>
    </w:p>
    <w:p w14:paraId="11BCF1D6"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Приложение № 1</w:t>
      </w:r>
    </w:p>
    <w:p w14:paraId="18964E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НОРМЫ СУТОЧНОГО ДОВОЛЬСТВИЯ КРАСНОАРМЕЙЦЕВ И НАЧАЛЬСТВУЮЩЕГО СОСТАВА БОЕВЫХ ЧАСТЕЙ ДЕЙСТВУЮЩЕЙ АРМИИ</w:t>
      </w:r>
    </w:p>
    <w:tbl>
      <w:tblPr>
        <w:tblW w:w="0" w:type="auto"/>
        <w:tblInd w:w="3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445"/>
        <w:gridCol w:w="5643"/>
        <w:gridCol w:w="1262"/>
      </w:tblGrid>
      <w:tr w:rsidR="00643896" w:rsidRPr="00640820" w14:paraId="05B7E5F8" w14:textId="77777777" w:rsidTr="000D3BCB">
        <w:trPr>
          <w:trHeight w:val="525"/>
        </w:trPr>
        <w:tc>
          <w:tcPr>
            <w:tcW w:w="445" w:type="dxa"/>
            <w:tcBorders>
              <w:top w:val="single" w:sz="12" w:space="0" w:color="auto"/>
            </w:tcBorders>
          </w:tcPr>
          <w:p w14:paraId="594D46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пп</w:t>
            </w:r>
          </w:p>
        </w:tc>
        <w:tc>
          <w:tcPr>
            <w:tcW w:w="5643" w:type="dxa"/>
            <w:tcBorders>
              <w:top w:val="single" w:sz="12" w:space="0" w:color="auto"/>
            </w:tcBorders>
          </w:tcPr>
          <w:p w14:paraId="0495C4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Наименование продуктов</w:t>
            </w:r>
          </w:p>
        </w:tc>
        <w:tc>
          <w:tcPr>
            <w:tcW w:w="1262" w:type="dxa"/>
            <w:tcBorders>
              <w:top w:val="single" w:sz="12" w:space="0" w:color="auto"/>
            </w:tcBorders>
          </w:tcPr>
          <w:p w14:paraId="0098EC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в граммах</w:t>
            </w:r>
          </w:p>
        </w:tc>
      </w:tr>
      <w:tr w:rsidR="00643896" w:rsidRPr="00640820" w14:paraId="6D9EB52E" w14:textId="77777777" w:rsidTr="000D3BCB">
        <w:trPr>
          <w:trHeight w:val="420"/>
        </w:trPr>
        <w:tc>
          <w:tcPr>
            <w:tcW w:w="445" w:type="dxa"/>
          </w:tcPr>
          <w:p w14:paraId="7AFE21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5643" w:type="dxa"/>
          </w:tcPr>
          <w:p w14:paraId="025913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1262" w:type="dxa"/>
          </w:tcPr>
          <w:p w14:paraId="2E4D7C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r>
      <w:tr w:rsidR="00643896" w:rsidRPr="00640820" w14:paraId="252FFAEB" w14:textId="77777777" w:rsidTr="000D3BCB">
        <w:trPr>
          <w:trHeight w:val="225"/>
        </w:trPr>
        <w:tc>
          <w:tcPr>
            <w:tcW w:w="445" w:type="dxa"/>
          </w:tcPr>
          <w:p w14:paraId="7C999E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1.</w:t>
            </w:r>
          </w:p>
        </w:tc>
        <w:tc>
          <w:tcPr>
            <w:tcW w:w="5643" w:type="dxa"/>
          </w:tcPr>
          <w:p w14:paraId="2C5C80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Хлеб из ржаной и обойной муки:</w:t>
            </w:r>
          </w:p>
        </w:tc>
        <w:tc>
          <w:tcPr>
            <w:tcW w:w="1262" w:type="dxa"/>
          </w:tcPr>
          <w:p w14:paraId="73C98C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161E58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r>
      <w:tr w:rsidR="00643896" w:rsidRPr="00640820" w14:paraId="51139A40" w14:textId="77777777" w:rsidTr="000D3BCB">
        <w:trPr>
          <w:trHeight w:val="180"/>
        </w:trPr>
        <w:tc>
          <w:tcPr>
            <w:tcW w:w="445" w:type="dxa"/>
          </w:tcPr>
          <w:p w14:paraId="3CB9BF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3CFEBD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43" w:type="dxa"/>
          </w:tcPr>
          <w:p w14:paraId="13B729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зимнего времени (октябрь — март).........</w:t>
            </w:r>
          </w:p>
        </w:tc>
        <w:tc>
          <w:tcPr>
            <w:tcW w:w="1262" w:type="dxa"/>
          </w:tcPr>
          <w:p w14:paraId="74D2AB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900</w:t>
            </w:r>
          </w:p>
        </w:tc>
      </w:tr>
      <w:tr w:rsidR="00643896" w:rsidRPr="00640820" w14:paraId="0E4E0BB2" w14:textId="77777777" w:rsidTr="000D3BCB">
        <w:trPr>
          <w:trHeight w:val="150"/>
        </w:trPr>
        <w:tc>
          <w:tcPr>
            <w:tcW w:w="445" w:type="dxa"/>
          </w:tcPr>
          <w:p w14:paraId="781157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4C52CF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43" w:type="dxa"/>
          </w:tcPr>
          <w:p w14:paraId="1FE3CE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летнего времени (апрель — сентябрь........</w:t>
            </w:r>
          </w:p>
        </w:tc>
        <w:tc>
          <w:tcPr>
            <w:tcW w:w="1262" w:type="dxa"/>
          </w:tcPr>
          <w:p w14:paraId="016803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800</w:t>
            </w:r>
          </w:p>
        </w:tc>
      </w:tr>
      <w:tr w:rsidR="00643896" w:rsidRPr="00640820" w14:paraId="155BE3E4" w14:textId="77777777" w:rsidTr="000D3BCB">
        <w:trPr>
          <w:trHeight w:val="165"/>
        </w:trPr>
        <w:tc>
          <w:tcPr>
            <w:tcW w:w="445" w:type="dxa"/>
          </w:tcPr>
          <w:p w14:paraId="632370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5643" w:type="dxa"/>
          </w:tcPr>
          <w:p w14:paraId="619807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Мука пшеничная 2 сорта................</w:t>
            </w:r>
          </w:p>
        </w:tc>
        <w:tc>
          <w:tcPr>
            <w:tcW w:w="1262" w:type="dxa"/>
          </w:tcPr>
          <w:p w14:paraId="2069C9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r>
      <w:tr w:rsidR="00643896" w:rsidRPr="00640820" w14:paraId="525D2B73" w14:textId="77777777" w:rsidTr="000D3BCB">
        <w:trPr>
          <w:trHeight w:val="165"/>
        </w:trPr>
        <w:tc>
          <w:tcPr>
            <w:tcW w:w="445" w:type="dxa"/>
          </w:tcPr>
          <w:p w14:paraId="01426A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c>
          <w:tcPr>
            <w:tcW w:w="5643" w:type="dxa"/>
          </w:tcPr>
          <w:p w14:paraId="6C029E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Крупа разная....................</w:t>
            </w:r>
          </w:p>
        </w:tc>
        <w:tc>
          <w:tcPr>
            <w:tcW w:w="1262" w:type="dxa"/>
          </w:tcPr>
          <w:p w14:paraId="3B79FF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140</w:t>
            </w:r>
          </w:p>
        </w:tc>
      </w:tr>
      <w:tr w:rsidR="00643896" w:rsidRPr="00640820" w14:paraId="1EE950B7" w14:textId="77777777" w:rsidTr="000D3BCB">
        <w:trPr>
          <w:trHeight w:val="150"/>
        </w:trPr>
        <w:tc>
          <w:tcPr>
            <w:tcW w:w="445" w:type="dxa"/>
          </w:tcPr>
          <w:p w14:paraId="5B58C5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5643" w:type="dxa"/>
          </w:tcPr>
          <w:p w14:paraId="77A265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Макароны-вермишель..................</w:t>
            </w:r>
          </w:p>
        </w:tc>
        <w:tc>
          <w:tcPr>
            <w:tcW w:w="1262" w:type="dxa"/>
          </w:tcPr>
          <w:p w14:paraId="2C24E8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r>
      <w:tr w:rsidR="00643896" w:rsidRPr="00640820" w14:paraId="63DCF5C8" w14:textId="77777777" w:rsidTr="000D3BCB">
        <w:trPr>
          <w:trHeight w:val="165"/>
        </w:trPr>
        <w:tc>
          <w:tcPr>
            <w:tcW w:w="445" w:type="dxa"/>
          </w:tcPr>
          <w:p w14:paraId="77CA4E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5643" w:type="dxa"/>
          </w:tcPr>
          <w:p w14:paraId="273087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Мясо........................</w:t>
            </w:r>
          </w:p>
        </w:tc>
        <w:tc>
          <w:tcPr>
            <w:tcW w:w="1262" w:type="dxa"/>
          </w:tcPr>
          <w:p w14:paraId="0BB96E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150</w:t>
            </w:r>
          </w:p>
        </w:tc>
      </w:tr>
      <w:tr w:rsidR="00643896" w:rsidRPr="00640820" w14:paraId="6824E61C" w14:textId="77777777" w:rsidTr="000D3BCB">
        <w:trPr>
          <w:trHeight w:val="165"/>
        </w:trPr>
        <w:tc>
          <w:tcPr>
            <w:tcW w:w="445" w:type="dxa"/>
          </w:tcPr>
          <w:p w14:paraId="2ECDD9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c>
          <w:tcPr>
            <w:tcW w:w="5643" w:type="dxa"/>
          </w:tcPr>
          <w:p w14:paraId="2A28F5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Рыба........................</w:t>
            </w:r>
          </w:p>
        </w:tc>
        <w:tc>
          <w:tcPr>
            <w:tcW w:w="1262" w:type="dxa"/>
          </w:tcPr>
          <w:p w14:paraId="00701D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w:t>
            </w:r>
          </w:p>
        </w:tc>
      </w:tr>
      <w:tr w:rsidR="00643896" w:rsidRPr="00640820" w14:paraId="54D0BEA3" w14:textId="77777777" w:rsidTr="000D3BCB">
        <w:trPr>
          <w:trHeight w:val="150"/>
        </w:trPr>
        <w:tc>
          <w:tcPr>
            <w:tcW w:w="445" w:type="dxa"/>
          </w:tcPr>
          <w:p w14:paraId="6A9CBD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w:t>
            </w:r>
          </w:p>
        </w:tc>
        <w:tc>
          <w:tcPr>
            <w:tcW w:w="5643" w:type="dxa"/>
          </w:tcPr>
          <w:p w14:paraId="1A1A05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Соевая дезодорированная мука..............</w:t>
            </w:r>
          </w:p>
        </w:tc>
        <w:tc>
          <w:tcPr>
            <w:tcW w:w="1262" w:type="dxa"/>
          </w:tcPr>
          <w:p w14:paraId="7345B8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r>
      <w:tr w:rsidR="00643896" w:rsidRPr="00640820" w14:paraId="6069B844" w14:textId="77777777" w:rsidTr="000D3BCB">
        <w:trPr>
          <w:trHeight w:val="210"/>
        </w:trPr>
        <w:tc>
          <w:tcPr>
            <w:tcW w:w="445" w:type="dxa"/>
          </w:tcPr>
          <w:p w14:paraId="672E45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w:t>
            </w:r>
          </w:p>
        </w:tc>
        <w:tc>
          <w:tcPr>
            <w:tcW w:w="5643" w:type="dxa"/>
          </w:tcPr>
          <w:p w14:paraId="7529B0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Комбижир и сало...................</w:t>
            </w:r>
          </w:p>
        </w:tc>
        <w:tc>
          <w:tcPr>
            <w:tcW w:w="1262" w:type="dxa"/>
          </w:tcPr>
          <w:p w14:paraId="5B7632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r>
      <w:tr w:rsidR="00643896" w:rsidRPr="00640820" w14:paraId="7DE5C2C3" w14:textId="77777777" w:rsidTr="000D3BCB">
        <w:trPr>
          <w:trHeight w:val="150"/>
        </w:trPr>
        <w:tc>
          <w:tcPr>
            <w:tcW w:w="445" w:type="dxa"/>
          </w:tcPr>
          <w:p w14:paraId="52CEE9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tc>
        <w:tc>
          <w:tcPr>
            <w:tcW w:w="5643" w:type="dxa"/>
          </w:tcPr>
          <w:p w14:paraId="66DB54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Масло растительное..................</w:t>
            </w:r>
          </w:p>
        </w:tc>
        <w:tc>
          <w:tcPr>
            <w:tcW w:w="1262" w:type="dxa"/>
          </w:tcPr>
          <w:p w14:paraId="0741AF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r>
      <w:tr w:rsidR="00643896" w:rsidRPr="00640820" w14:paraId="1073D38A" w14:textId="77777777" w:rsidTr="000D3BCB">
        <w:trPr>
          <w:trHeight w:val="165"/>
        </w:trPr>
        <w:tc>
          <w:tcPr>
            <w:tcW w:w="445" w:type="dxa"/>
          </w:tcPr>
          <w:p w14:paraId="726DBD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5643" w:type="dxa"/>
          </w:tcPr>
          <w:p w14:paraId="77158C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Сахар.......................</w:t>
            </w:r>
          </w:p>
        </w:tc>
        <w:tc>
          <w:tcPr>
            <w:tcW w:w="1262" w:type="dxa"/>
          </w:tcPr>
          <w:p w14:paraId="10B525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w:t>
            </w:r>
          </w:p>
        </w:tc>
      </w:tr>
      <w:tr w:rsidR="00643896" w:rsidRPr="00640820" w14:paraId="12A274E6" w14:textId="77777777" w:rsidTr="000D3BCB">
        <w:trPr>
          <w:trHeight w:val="150"/>
        </w:trPr>
        <w:tc>
          <w:tcPr>
            <w:tcW w:w="445" w:type="dxa"/>
          </w:tcPr>
          <w:p w14:paraId="46871F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w:t>
            </w:r>
          </w:p>
        </w:tc>
        <w:tc>
          <w:tcPr>
            <w:tcW w:w="5643" w:type="dxa"/>
          </w:tcPr>
          <w:p w14:paraId="48D492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Чай........................</w:t>
            </w:r>
          </w:p>
        </w:tc>
        <w:tc>
          <w:tcPr>
            <w:tcW w:w="1262" w:type="dxa"/>
          </w:tcPr>
          <w:p w14:paraId="1E0A77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r>
      <w:tr w:rsidR="00643896" w:rsidRPr="00640820" w14:paraId="1C7B4578" w14:textId="77777777" w:rsidTr="000D3BCB">
        <w:trPr>
          <w:trHeight w:val="210"/>
        </w:trPr>
        <w:tc>
          <w:tcPr>
            <w:tcW w:w="445" w:type="dxa"/>
          </w:tcPr>
          <w:p w14:paraId="7D6B60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w:t>
            </w:r>
          </w:p>
        </w:tc>
        <w:tc>
          <w:tcPr>
            <w:tcW w:w="5643" w:type="dxa"/>
          </w:tcPr>
          <w:p w14:paraId="1B5BB9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Соль для приготовления пищи...............</w:t>
            </w:r>
          </w:p>
        </w:tc>
        <w:tc>
          <w:tcPr>
            <w:tcW w:w="1262" w:type="dxa"/>
          </w:tcPr>
          <w:p w14:paraId="28F00E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r>
      <w:tr w:rsidR="00643896" w:rsidRPr="00640820" w14:paraId="41E653E9" w14:textId="77777777" w:rsidTr="000D3BCB">
        <w:trPr>
          <w:trHeight w:val="165"/>
        </w:trPr>
        <w:tc>
          <w:tcPr>
            <w:tcW w:w="445" w:type="dxa"/>
          </w:tcPr>
          <w:p w14:paraId="4024CC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w:t>
            </w:r>
          </w:p>
        </w:tc>
        <w:tc>
          <w:tcPr>
            <w:tcW w:w="5643" w:type="dxa"/>
          </w:tcPr>
          <w:p w14:paraId="5EC0AF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Овощи:</w:t>
            </w:r>
          </w:p>
        </w:tc>
        <w:tc>
          <w:tcPr>
            <w:tcW w:w="1262" w:type="dxa"/>
          </w:tcPr>
          <w:p w14:paraId="21067B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10AC6D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r>
      <w:tr w:rsidR="00643896" w:rsidRPr="00640820" w14:paraId="1B2FCB82" w14:textId="77777777" w:rsidTr="000D3BCB">
        <w:trPr>
          <w:trHeight w:val="150"/>
        </w:trPr>
        <w:tc>
          <w:tcPr>
            <w:tcW w:w="445" w:type="dxa"/>
          </w:tcPr>
          <w:p w14:paraId="3C2DDA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461D83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43" w:type="dxa"/>
          </w:tcPr>
          <w:p w14:paraId="754444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картофель...................</w:t>
            </w:r>
          </w:p>
        </w:tc>
        <w:tc>
          <w:tcPr>
            <w:tcW w:w="1262" w:type="dxa"/>
          </w:tcPr>
          <w:p w14:paraId="56FBF6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500</w:t>
            </w:r>
          </w:p>
        </w:tc>
      </w:tr>
      <w:tr w:rsidR="00643896" w:rsidRPr="00640820" w14:paraId="60784A55" w14:textId="77777777" w:rsidTr="000D3BCB">
        <w:trPr>
          <w:trHeight w:val="150"/>
        </w:trPr>
        <w:tc>
          <w:tcPr>
            <w:tcW w:w="445" w:type="dxa"/>
          </w:tcPr>
          <w:p w14:paraId="139F0D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57C64D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43" w:type="dxa"/>
          </w:tcPr>
          <w:p w14:paraId="6DA663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капуста свежая или квашенная............</w:t>
            </w:r>
          </w:p>
        </w:tc>
        <w:tc>
          <w:tcPr>
            <w:tcW w:w="1262" w:type="dxa"/>
          </w:tcPr>
          <w:p w14:paraId="233FC5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170</w:t>
            </w:r>
          </w:p>
        </w:tc>
      </w:tr>
      <w:tr w:rsidR="00643896" w:rsidRPr="00640820" w14:paraId="2E2F4FFC" w14:textId="77777777" w:rsidTr="000D3BCB">
        <w:trPr>
          <w:trHeight w:val="165"/>
        </w:trPr>
        <w:tc>
          <w:tcPr>
            <w:tcW w:w="445" w:type="dxa"/>
          </w:tcPr>
          <w:p w14:paraId="01C896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073B69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43" w:type="dxa"/>
          </w:tcPr>
          <w:p w14:paraId="0D4890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морковь....................</w:t>
            </w:r>
          </w:p>
        </w:tc>
        <w:tc>
          <w:tcPr>
            <w:tcW w:w="1262" w:type="dxa"/>
          </w:tcPr>
          <w:p w14:paraId="33CF2E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w:t>
            </w:r>
          </w:p>
        </w:tc>
      </w:tr>
      <w:tr w:rsidR="00643896" w:rsidRPr="00640820" w14:paraId="460EF8A0" w14:textId="77777777" w:rsidTr="000D3BCB">
        <w:trPr>
          <w:trHeight w:val="165"/>
        </w:trPr>
        <w:tc>
          <w:tcPr>
            <w:tcW w:w="445" w:type="dxa"/>
          </w:tcPr>
          <w:p w14:paraId="681C42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1F33CF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43" w:type="dxa"/>
          </w:tcPr>
          <w:p w14:paraId="21A9A5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свекла.....................</w:t>
            </w:r>
          </w:p>
        </w:tc>
        <w:tc>
          <w:tcPr>
            <w:tcW w:w="1262" w:type="dxa"/>
          </w:tcPr>
          <w:p w14:paraId="044780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w:t>
            </w:r>
          </w:p>
        </w:tc>
      </w:tr>
      <w:tr w:rsidR="00643896" w:rsidRPr="00640820" w14:paraId="5732658A" w14:textId="77777777" w:rsidTr="000D3BCB">
        <w:trPr>
          <w:trHeight w:val="150"/>
        </w:trPr>
        <w:tc>
          <w:tcPr>
            <w:tcW w:w="445" w:type="dxa"/>
          </w:tcPr>
          <w:p w14:paraId="4764FD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086C35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43" w:type="dxa"/>
          </w:tcPr>
          <w:p w14:paraId="3A4D08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лук репчатый..................</w:t>
            </w:r>
          </w:p>
        </w:tc>
        <w:tc>
          <w:tcPr>
            <w:tcW w:w="1262" w:type="dxa"/>
          </w:tcPr>
          <w:p w14:paraId="3852AF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r>
      <w:tr w:rsidR="00643896" w:rsidRPr="00640820" w14:paraId="0C93F9DA" w14:textId="77777777" w:rsidTr="000D3BCB">
        <w:trPr>
          <w:trHeight w:val="345"/>
        </w:trPr>
        <w:tc>
          <w:tcPr>
            <w:tcW w:w="445" w:type="dxa"/>
          </w:tcPr>
          <w:p w14:paraId="436E43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781928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43" w:type="dxa"/>
          </w:tcPr>
          <w:p w14:paraId="782B32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коренья, зелень, огурцы..............</w:t>
            </w:r>
          </w:p>
        </w:tc>
        <w:tc>
          <w:tcPr>
            <w:tcW w:w="1262" w:type="dxa"/>
          </w:tcPr>
          <w:p w14:paraId="2C351C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w:t>
            </w:r>
          </w:p>
        </w:tc>
      </w:tr>
      <w:tr w:rsidR="00643896" w:rsidRPr="00640820" w14:paraId="3D1AAB66" w14:textId="77777777" w:rsidTr="000D3BCB">
        <w:trPr>
          <w:trHeight w:val="420"/>
        </w:trPr>
        <w:tc>
          <w:tcPr>
            <w:tcW w:w="445" w:type="dxa"/>
          </w:tcPr>
          <w:p w14:paraId="23E4EA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w:t>
            </w:r>
          </w:p>
        </w:tc>
        <w:tc>
          <w:tcPr>
            <w:tcW w:w="5643" w:type="dxa"/>
          </w:tcPr>
          <w:p w14:paraId="200037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Итого......... Томат-паста.....................</w:t>
            </w:r>
          </w:p>
        </w:tc>
        <w:tc>
          <w:tcPr>
            <w:tcW w:w="1262" w:type="dxa"/>
          </w:tcPr>
          <w:p w14:paraId="43700F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820 6</w:t>
            </w:r>
          </w:p>
        </w:tc>
      </w:tr>
      <w:tr w:rsidR="00643896" w:rsidRPr="00640820" w14:paraId="22954A38" w14:textId="77777777" w:rsidTr="000D3BCB">
        <w:trPr>
          <w:trHeight w:val="165"/>
        </w:trPr>
        <w:tc>
          <w:tcPr>
            <w:tcW w:w="445" w:type="dxa"/>
          </w:tcPr>
          <w:p w14:paraId="432E3A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5643" w:type="dxa"/>
          </w:tcPr>
          <w:p w14:paraId="5F976B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Лавровый лист....................</w:t>
            </w:r>
          </w:p>
        </w:tc>
        <w:tc>
          <w:tcPr>
            <w:tcW w:w="1262" w:type="dxa"/>
          </w:tcPr>
          <w:p w14:paraId="4F12E2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0,2</w:t>
            </w:r>
          </w:p>
        </w:tc>
      </w:tr>
      <w:tr w:rsidR="00643896" w:rsidRPr="00640820" w14:paraId="7DDF6E57" w14:textId="77777777" w:rsidTr="000D3BCB">
        <w:trPr>
          <w:trHeight w:val="165"/>
        </w:trPr>
        <w:tc>
          <w:tcPr>
            <w:tcW w:w="445" w:type="dxa"/>
          </w:tcPr>
          <w:p w14:paraId="544D00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w:t>
            </w:r>
          </w:p>
        </w:tc>
        <w:tc>
          <w:tcPr>
            <w:tcW w:w="5643" w:type="dxa"/>
          </w:tcPr>
          <w:p w14:paraId="2912D3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Перец.......................</w:t>
            </w:r>
          </w:p>
        </w:tc>
        <w:tc>
          <w:tcPr>
            <w:tcW w:w="1262" w:type="dxa"/>
          </w:tcPr>
          <w:p w14:paraId="5250B9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0,3</w:t>
            </w:r>
          </w:p>
        </w:tc>
      </w:tr>
      <w:tr w:rsidR="00643896" w:rsidRPr="00640820" w14:paraId="6F3BF198" w14:textId="77777777" w:rsidTr="000D3BCB">
        <w:trPr>
          <w:trHeight w:val="150"/>
        </w:trPr>
        <w:tc>
          <w:tcPr>
            <w:tcW w:w="445" w:type="dxa"/>
          </w:tcPr>
          <w:p w14:paraId="7F98F2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w:t>
            </w:r>
          </w:p>
        </w:tc>
        <w:tc>
          <w:tcPr>
            <w:tcW w:w="5643" w:type="dxa"/>
          </w:tcPr>
          <w:p w14:paraId="299231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Уксус.......................</w:t>
            </w:r>
          </w:p>
        </w:tc>
        <w:tc>
          <w:tcPr>
            <w:tcW w:w="1262" w:type="dxa"/>
          </w:tcPr>
          <w:p w14:paraId="687F1B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r>
      <w:tr w:rsidR="00643896" w:rsidRPr="00640820" w14:paraId="31AEF469" w14:textId="77777777" w:rsidTr="000D3BCB">
        <w:trPr>
          <w:trHeight w:val="180"/>
        </w:trPr>
        <w:tc>
          <w:tcPr>
            <w:tcW w:w="445" w:type="dxa"/>
          </w:tcPr>
          <w:p w14:paraId="69B034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w:t>
            </w:r>
          </w:p>
        </w:tc>
        <w:tc>
          <w:tcPr>
            <w:tcW w:w="5643" w:type="dxa"/>
          </w:tcPr>
          <w:p w14:paraId="27CF7C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Горчичный порошок..................</w:t>
            </w:r>
          </w:p>
        </w:tc>
        <w:tc>
          <w:tcPr>
            <w:tcW w:w="1262" w:type="dxa"/>
          </w:tcPr>
          <w:p w14:paraId="5DEB94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0,3</w:t>
            </w:r>
          </w:p>
        </w:tc>
      </w:tr>
      <w:tr w:rsidR="00643896" w:rsidRPr="00640820" w14:paraId="5834B97C" w14:textId="77777777" w:rsidTr="000D3BCB">
        <w:trPr>
          <w:trHeight w:val="165"/>
        </w:trPr>
        <w:tc>
          <w:tcPr>
            <w:tcW w:w="445" w:type="dxa"/>
          </w:tcPr>
          <w:p w14:paraId="1FE33E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w:t>
            </w:r>
          </w:p>
        </w:tc>
        <w:tc>
          <w:tcPr>
            <w:tcW w:w="5643" w:type="dxa"/>
          </w:tcPr>
          <w:p w14:paraId="6BDDE2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Махорка......................</w:t>
            </w:r>
          </w:p>
        </w:tc>
        <w:tc>
          <w:tcPr>
            <w:tcW w:w="1262" w:type="dxa"/>
          </w:tcPr>
          <w:p w14:paraId="3A4A87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r>
      <w:tr w:rsidR="00643896" w:rsidRPr="00640820" w14:paraId="3D186D69" w14:textId="77777777" w:rsidTr="000D3BCB">
        <w:trPr>
          <w:trHeight w:val="150"/>
        </w:trPr>
        <w:tc>
          <w:tcPr>
            <w:tcW w:w="445" w:type="dxa"/>
          </w:tcPr>
          <w:p w14:paraId="79BCAC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5643" w:type="dxa"/>
          </w:tcPr>
          <w:p w14:paraId="56271E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Спички (коробок в месяц)................</w:t>
            </w:r>
          </w:p>
        </w:tc>
        <w:tc>
          <w:tcPr>
            <w:tcW w:w="1262" w:type="dxa"/>
          </w:tcPr>
          <w:p w14:paraId="35D4BB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r>
      <w:tr w:rsidR="00643896" w:rsidRPr="00640820" w14:paraId="2DB4A924" w14:textId="77777777" w:rsidTr="000D3BCB">
        <w:trPr>
          <w:trHeight w:val="165"/>
        </w:trPr>
        <w:tc>
          <w:tcPr>
            <w:tcW w:w="445" w:type="dxa"/>
          </w:tcPr>
          <w:p w14:paraId="6D2A3B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w:t>
            </w:r>
          </w:p>
        </w:tc>
        <w:tc>
          <w:tcPr>
            <w:tcW w:w="5643" w:type="dxa"/>
          </w:tcPr>
          <w:p w14:paraId="0847B4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Курительная бумага (книжек в месяц)...........</w:t>
            </w:r>
          </w:p>
        </w:tc>
        <w:tc>
          <w:tcPr>
            <w:tcW w:w="1262" w:type="dxa"/>
          </w:tcPr>
          <w:p w14:paraId="41F6A2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w:t>
            </w:r>
          </w:p>
        </w:tc>
      </w:tr>
      <w:tr w:rsidR="00643896" w:rsidRPr="00640820" w14:paraId="2C3A80BE" w14:textId="77777777" w:rsidTr="000D3BCB">
        <w:trPr>
          <w:trHeight w:val="120"/>
        </w:trPr>
        <w:tc>
          <w:tcPr>
            <w:tcW w:w="445" w:type="dxa"/>
            <w:tcBorders>
              <w:bottom w:val="single" w:sz="12" w:space="0" w:color="auto"/>
            </w:tcBorders>
          </w:tcPr>
          <w:p w14:paraId="06C995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w:t>
            </w:r>
          </w:p>
        </w:tc>
        <w:tc>
          <w:tcPr>
            <w:tcW w:w="5643" w:type="dxa"/>
            <w:tcBorders>
              <w:bottom w:val="single" w:sz="12" w:space="0" w:color="auto"/>
            </w:tcBorders>
          </w:tcPr>
          <w:p w14:paraId="7E8018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Мыло для туалетных надобностей (в месяц).........</w:t>
            </w:r>
          </w:p>
        </w:tc>
        <w:tc>
          <w:tcPr>
            <w:tcW w:w="1262" w:type="dxa"/>
            <w:tcBorders>
              <w:bottom w:val="single" w:sz="12" w:space="0" w:color="auto"/>
            </w:tcBorders>
          </w:tcPr>
          <w:p w14:paraId="133D28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w:t>
            </w:r>
          </w:p>
        </w:tc>
      </w:tr>
    </w:tbl>
    <w:p w14:paraId="5B69B6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Приказ НКО № 208 от 24 мая 1941 г. вводил новые нормы снабжения Красной Армии продовольствием в мирное время.</w:t>
      </w:r>
    </w:p>
    <w:p w14:paraId="01840B3C"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Приложение № 2</w:t>
      </w:r>
    </w:p>
    <w:p w14:paraId="41AFAD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НОРМЫ СУТОЧНОГО ДОВОЛЬСТВИЯ КРАСНОАРМЕЙЦЕВ И НАЧАЛЬСТВУЮЩЕГО СОСТАВА ТЫЛА ДЕЙСТВУЮЩЕЙ АРМИИ (ТЫЛА ФРОНТА, АРМИИ, ДИВИЗИИ, БРИГАДЫ)</w:t>
      </w:r>
    </w:p>
    <w:tbl>
      <w:tblPr>
        <w:tblW w:w="0" w:type="auto"/>
        <w:tblInd w:w="3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522"/>
        <w:gridCol w:w="5677"/>
        <w:gridCol w:w="1269"/>
      </w:tblGrid>
      <w:tr w:rsidR="00643896" w:rsidRPr="00640820" w14:paraId="77807E66" w14:textId="77777777" w:rsidTr="000D3BCB">
        <w:trPr>
          <w:trHeight w:val="525"/>
        </w:trPr>
        <w:tc>
          <w:tcPr>
            <w:tcW w:w="522" w:type="dxa"/>
            <w:tcBorders>
              <w:top w:val="single" w:sz="12" w:space="0" w:color="auto"/>
            </w:tcBorders>
          </w:tcPr>
          <w:p w14:paraId="0B8EA4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пп</w:t>
            </w:r>
          </w:p>
        </w:tc>
        <w:tc>
          <w:tcPr>
            <w:tcW w:w="5677" w:type="dxa"/>
            <w:tcBorders>
              <w:top w:val="single" w:sz="12" w:space="0" w:color="auto"/>
            </w:tcBorders>
          </w:tcPr>
          <w:p w14:paraId="7A4FE3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Наименование продуктов</w:t>
            </w:r>
          </w:p>
        </w:tc>
        <w:tc>
          <w:tcPr>
            <w:tcW w:w="1269" w:type="dxa"/>
            <w:tcBorders>
              <w:top w:val="single" w:sz="12" w:space="0" w:color="auto"/>
            </w:tcBorders>
          </w:tcPr>
          <w:p w14:paraId="65EAB0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в граммах</w:t>
            </w:r>
          </w:p>
        </w:tc>
      </w:tr>
      <w:tr w:rsidR="00643896" w:rsidRPr="00640820" w14:paraId="1E34714B" w14:textId="77777777" w:rsidTr="000D3BCB">
        <w:trPr>
          <w:trHeight w:val="375"/>
        </w:trPr>
        <w:tc>
          <w:tcPr>
            <w:tcW w:w="522" w:type="dxa"/>
          </w:tcPr>
          <w:p w14:paraId="177DFF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5677" w:type="dxa"/>
          </w:tcPr>
          <w:p w14:paraId="57C363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1269" w:type="dxa"/>
          </w:tcPr>
          <w:p w14:paraId="7DD98E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r>
      <w:tr w:rsidR="00643896" w:rsidRPr="00640820" w14:paraId="160CA28E" w14:textId="77777777" w:rsidTr="000D3BCB">
        <w:trPr>
          <w:trHeight w:val="240"/>
        </w:trPr>
        <w:tc>
          <w:tcPr>
            <w:tcW w:w="522" w:type="dxa"/>
          </w:tcPr>
          <w:p w14:paraId="5CEB1D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5677" w:type="dxa"/>
          </w:tcPr>
          <w:p w14:paraId="42E87C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Хлеб из ржаной и обойной муки:</w:t>
            </w:r>
          </w:p>
        </w:tc>
        <w:tc>
          <w:tcPr>
            <w:tcW w:w="1269" w:type="dxa"/>
          </w:tcPr>
          <w:p w14:paraId="6BF435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12A66F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r>
      <w:tr w:rsidR="00643896" w:rsidRPr="00640820" w14:paraId="30797424" w14:textId="77777777" w:rsidTr="000D3BCB">
        <w:trPr>
          <w:trHeight w:val="165"/>
        </w:trPr>
        <w:tc>
          <w:tcPr>
            <w:tcW w:w="522" w:type="dxa"/>
          </w:tcPr>
          <w:p w14:paraId="7DC4D6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0370B5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77" w:type="dxa"/>
          </w:tcPr>
          <w:p w14:paraId="15F02A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зимнего времени (октябрь — март).........</w:t>
            </w:r>
          </w:p>
        </w:tc>
        <w:tc>
          <w:tcPr>
            <w:tcW w:w="1269" w:type="dxa"/>
          </w:tcPr>
          <w:p w14:paraId="3987F9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800</w:t>
            </w:r>
          </w:p>
        </w:tc>
      </w:tr>
      <w:tr w:rsidR="00643896" w:rsidRPr="00640820" w14:paraId="7D3AE958" w14:textId="77777777" w:rsidTr="000D3BCB">
        <w:trPr>
          <w:trHeight w:val="150"/>
        </w:trPr>
        <w:tc>
          <w:tcPr>
            <w:tcW w:w="522" w:type="dxa"/>
          </w:tcPr>
          <w:p w14:paraId="3E6947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67F6F1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77" w:type="dxa"/>
          </w:tcPr>
          <w:p w14:paraId="07A463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летнего времени (апрель — сентябрь)........</w:t>
            </w:r>
          </w:p>
        </w:tc>
        <w:tc>
          <w:tcPr>
            <w:tcW w:w="1269" w:type="dxa"/>
          </w:tcPr>
          <w:p w14:paraId="4897A8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700</w:t>
            </w:r>
          </w:p>
        </w:tc>
      </w:tr>
      <w:tr w:rsidR="00643896" w:rsidRPr="00640820" w14:paraId="05C19F18" w14:textId="77777777" w:rsidTr="000D3BCB">
        <w:trPr>
          <w:trHeight w:val="165"/>
        </w:trPr>
        <w:tc>
          <w:tcPr>
            <w:tcW w:w="522" w:type="dxa"/>
          </w:tcPr>
          <w:p w14:paraId="5816C3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5677" w:type="dxa"/>
          </w:tcPr>
          <w:p w14:paraId="7C50A9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Мука пшеничная 2 сорта................</w:t>
            </w:r>
          </w:p>
        </w:tc>
        <w:tc>
          <w:tcPr>
            <w:tcW w:w="1269" w:type="dxa"/>
          </w:tcPr>
          <w:p w14:paraId="3D83D6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r>
      <w:tr w:rsidR="00643896" w:rsidRPr="00640820" w14:paraId="741D1A6A" w14:textId="77777777" w:rsidTr="000D3BCB">
        <w:trPr>
          <w:trHeight w:val="150"/>
        </w:trPr>
        <w:tc>
          <w:tcPr>
            <w:tcW w:w="522" w:type="dxa"/>
          </w:tcPr>
          <w:p w14:paraId="700122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c>
          <w:tcPr>
            <w:tcW w:w="5677" w:type="dxa"/>
          </w:tcPr>
          <w:p w14:paraId="768242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Крупа разная.....................</w:t>
            </w:r>
          </w:p>
        </w:tc>
        <w:tc>
          <w:tcPr>
            <w:tcW w:w="1269" w:type="dxa"/>
          </w:tcPr>
          <w:p w14:paraId="7E3937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120</w:t>
            </w:r>
          </w:p>
        </w:tc>
      </w:tr>
      <w:tr w:rsidR="00643896" w:rsidRPr="00640820" w14:paraId="51AF3A93" w14:textId="77777777" w:rsidTr="000D3BCB">
        <w:trPr>
          <w:trHeight w:val="165"/>
        </w:trPr>
        <w:tc>
          <w:tcPr>
            <w:tcW w:w="522" w:type="dxa"/>
          </w:tcPr>
          <w:p w14:paraId="1B8B47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5677" w:type="dxa"/>
          </w:tcPr>
          <w:p w14:paraId="4954F1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Макароны-вермишель..................</w:t>
            </w:r>
          </w:p>
        </w:tc>
        <w:tc>
          <w:tcPr>
            <w:tcW w:w="1269" w:type="dxa"/>
          </w:tcPr>
          <w:p w14:paraId="5ACEFC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r>
      <w:tr w:rsidR="00643896" w:rsidRPr="00640820" w14:paraId="3F2E3590" w14:textId="77777777" w:rsidTr="000D3BCB">
        <w:trPr>
          <w:trHeight w:val="165"/>
        </w:trPr>
        <w:tc>
          <w:tcPr>
            <w:tcW w:w="522" w:type="dxa"/>
          </w:tcPr>
          <w:p w14:paraId="4A66FC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5677" w:type="dxa"/>
          </w:tcPr>
          <w:p w14:paraId="6BFB72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Мясо.......................</w:t>
            </w:r>
          </w:p>
        </w:tc>
        <w:tc>
          <w:tcPr>
            <w:tcW w:w="1269" w:type="dxa"/>
          </w:tcPr>
          <w:p w14:paraId="286ED6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120</w:t>
            </w:r>
          </w:p>
        </w:tc>
      </w:tr>
      <w:tr w:rsidR="00643896" w:rsidRPr="00640820" w14:paraId="033BEC9A" w14:textId="77777777" w:rsidTr="000D3BCB">
        <w:trPr>
          <w:trHeight w:val="150"/>
        </w:trPr>
        <w:tc>
          <w:tcPr>
            <w:tcW w:w="522" w:type="dxa"/>
          </w:tcPr>
          <w:p w14:paraId="6AC9AE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c>
          <w:tcPr>
            <w:tcW w:w="5677" w:type="dxa"/>
          </w:tcPr>
          <w:p w14:paraId="562BDE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Рыба........................</w:t>
            </w:r>
          </w:p>
        </w:tc>
        <w:tc>
          <w:tcPr>
            <w:tcW w:w="1269" w:type="dxa"/>
          </w:tcPr>
          <w:p w14:paraId="6C047C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80</w:t>
            </w:r>
          </w:p>
        </w:tc>
      </w:tr>
      <w:tr w:rsidR="00643896" w:rsidRPr="00640820" w14:paraId="281587CF" w14:textId="77777777" w:rsidTr="000D3BCB">
        <w:trPr>
          <w:trHeight w:val="165"/>
        </w:trPr>
        <w:tc>
          <w:tcPr>
            <w:tcW w:w="522" w:type="dxa"/>
          </w:tcPr>
          <w:p w14:paraId="2CF078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w:t>
            </w:r>
          </w:p>
        </w:tc>
        <w:tc>
          <w:tcPr>
            <w:tcW w:w="5677" w:type="dxa"/>
          </w:tcPr>
          <w:p w14:paraId="2050AA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Комбижир и сало...................</w:t>
            </w:r>
          </w:p>
        </w:tc>
        <w:tc>
          <w:tcPr>
            <w:tcW w:w="1269" w:type="dxa"/>
          </w:tcPr>
          <w:p w14:paraId="51AAFF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w:t>
            </w:r>
          </w:p>
        </w:tc>
      </w:tr>
      <w:tr w:rsidR="00643896" w:rsidRPr="00640820" w14:paraId="5E0A409D" w14:textId="77777777" w:rsidTr="000D3BCB">
        <w:trPr>
          <w:trHeight w:val="180"/>
        </w:trPr>
        <w:tc>
          <w:tcPr>
            <w:tcW w:w="522" w:type="dxa"/>
          </w:tcPr>
          <w:p w14:paraId="5D07E5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w:t>
            </w:r>
          </w:p>
        </w:tc>
        <w:tc>
          <w:tcPr>
            <w:tcW w:w="5677" w:type="dxa"/>
          </w:tcPr>
          <w:p w14:paraId="12EF7B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Масло растительное..................</w:t>
            </w:r>
          </w:p>
        </w:tc>
        <w:tc>
          <w:tcPr>
            <w:tcW w:w="1269" w:type="dxa"/>
          </w:tcPr>
          <w:p w14:paraId="0869CD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r>
      <w:tr w:rsidR="00643896" w:rsidRPr="00640820" w14:paraId="7CD48E39" w14:textId="77777777" w:rsidTr="000D3BCB">
        <w:trPr>
          <w:trHeight w:val="165"/>
        </w:trPr>
        <w:tc>
          <w:tcPr>
            <w:tcW w:w="522" w:type="dxa"/>
          </w:tcPr>
          <w:p w14:paraId="4A5DB7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tc>
        <w:tc>
          <w:tcPr>
            <w:tcW w:w="5677" w:type="dxa"/>
          </w:tcPr>
          <w:p w14:paraId="0863FB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Сахар.......................</w:t>
            </w:r>
          </w:p>
        </w:tc>
        <w:tc>
          <w:tcPr>
            <w:tcW w:w="1269" w:type="dxa"/>
          </w:tcPr>
          <w:p w14:paraId="7EAE39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w:t>
            </w:r>
          </w:p>
        </w:tc>
      </w:tr>
      <w:tr w:rsidR="00643896" w:rsidRPr="00640820" w14:paraId="1DA2A4C5" w14:textId="77777777" w:rsidTr="000D3BCB">
        <w:trPr>
          <w:trHeight w:val="150"/>
        </w:trPr>
        <w:tc>
          <w:tcPr>
            <w:tcW w:w="522" w:type="dxa"/>
          </w:tcPr>
          <w:p w14:paraId="01610B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5677" w:type="dxa"/>
          </w:tcPr>
          <w:p w14:paraId="031380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Чай........................</w:t>
            </w:r>
          </w:p>
        </w:tc>
        <w:tc>
          <w:tcPr>
            <w:tcW w:w="1269" w:type="dxa"/>
          </w:tcPr>
          <w:p w14:paraId="1E3977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r>
      <w:tr w:rsidR="00643896" w:rsidRPr="00640820" w14:paraId="1C6C5A36" w14:textId="77777777" w:rsidTr="000D3BCB">
        <w:trPr>
          <w:trHeight w:val="180"/>
        </w:trPr>
        <w:tc>
          <w:tcPr>
            <w:tcW w:w="522" w:type="dxa"/>
          </w:tcPr>
          <w:p w14:paraId="0397D1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w:t>
            </w:r>
          </w:p>
        </w:tc>
        <w:tc>
          <w:tcPr>
            <w:tcW w:w="5677" w:type="dxa"/>
          </w:tcPr>
          <w:p w14:paraId="725E38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Соль для приготовления пищи..............</w:t>
            </w:r>
          </w:p>
        </w:tc>
        <w:tc>
          <w:tcPr>
            <w:tcW w:w="1269" w:type="dxa"/>
          </w:tcPr>
          <w:p w14:paraId="239EC1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r>
      <w:tr w:rsidR="00643896" w:rsidRPr="00640820" w14:paraId="0BBAF034" w14:textId="77777777" w:rsidTr="000D3BCB">
        <w:trPr>
          <w:trHeight w:val="165"/>
        </w:trPr>
        <w:tc>
          <w:tcPr>
            <w:tcW w:w="522" w:type="dxa"/>
          </w:tcPr>
          <w:p w14:paraId="03CD8C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w:t>
            </w:r>
          </w:p>
        </w:tc>
        <w:tc>
          <w:tcPr>
            <w:tcW w:w="5677" w:type="dxa"/>
          </w:tcPr>
          <w:p w14:paraId="7F8699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Овощи:</w:t>
            </w:r>
          </w:p>
        </w:tc>
        <w:tc>
          <w:tcPr>
            <w:tcW w:w="1269" w:type="dxa"/>
          </w:tcPr>
          <w:p w14:paraId="69B7A0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449E65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r>
      <w:tr w:rsidR="00643896" w:rsidRPr="00640820" w14:paraId="337FB569" w14:textId="77777777" w:rsidTr="000D3BCB">
        <w:trPr>
          <w:trHeight w:val="165"/>
        </w:trPr>
        <w:tc>
          <w:tcPr>
            <w:tcW w:w="522" w:type="dxa"/>
          </w:tcPr>
          <w:p w14:paraId="1D9DC0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47E33F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77" w:type="dxa"/>
          </w:tcPr>
          <w:p w14:paraId="73F64C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картофель....................</w:t>
            </w:r>
          </w:p>
        </w:tc>
        <w:tc>
          <w:tcPr>
            <w:tcW w:w="1269" w:type="dxa"/>
          </w:tcPr>
          <w:p w14:paraId="4AE7A3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500</w:t>
            </w:r>
          </w:p>
        </w:tc>
      </w:tr>
      <w:tr w:rsidR="00643896" w:rsidRPr="00640820" w14:paraId="5D52E79C" w14:textId="77777777" w:rsidTr="000D3BCB">
        <w:trPr>
          <w:trHeight w:val="165"/>
        </w:trPr>
        <w:tc>
          <w:tcPr>
            <w:tcW w:w="522" w:type="dxa"/>
          </w:tcPr>
          <w:p w14:paraId="455F5D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7692E7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77" w:type="dxa"/>
          </w:tcPr>
          <w:p w14:paraId="7CD9E1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капуста свежая или квашенная............</w:t>
            </w:r>
          </w:p>
        </w:tc>
        <w:tc>
          <w:tcPr>
            <w:tcW w:w="1269" w:type="dxa"/>
          </w:tcPr>
          <w:p w14:paraId="4DA210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170</w:t>
            </w:r>
          </w:p>
        </w:tc>
      </w:tr>
      <w:tr w:rsidR="00643896" w:rsidRPr="00640820" w14:paraId="373E2DFE" w14:textId="77777777" w:rsidTr="000D3BCB">
        <w:trPr>
          <w:trHeight w:val="165"/>
        </w:trPr>
        <w:tc>
          <w:tcPr>
            <w:tcW w:w="522" w:type="dxa"/>
          </w:tcPr>
          <w:p w14:paraId="508C29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2C0EFE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77" w:type="dxa"/>
          </w:tcPr>
          <w:p w14:paraId="563A28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морковь....................</w:t>
            </w:r>
          </w:p>
        </w:tc>
        <w:tc>
          <w:tcPr>
            <w:tcW w:w="1269" w:type="dxa"/>
          </w:tcPr>
          <w:p w14:paraId="103408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w:t>
            </w:r>
          </w:p>
        </w:tc>
      </w:tr>
      <w:tr w:rsidR="00643896" w:rsidRPr="00640820" w14:paraId="380DF7FC" w14:textId="77777777" w:rsidTr="000D3BCB">
        <w:trPr>
          <w:trHeight w:val="150"/>
        </w:trPr>
        <w:tc>
          <w:tcPr>
            <w:tcW w:w="522" w:type="dxa"/>
          </w:tcPr>
          <w:p w14:paraId="67772B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61DB69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77" w:type="dxa"/>
          </w:tcPr>
          <w:p w14:paraId="39636D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свекла.....................</w:t>
            </w:r>
          </w:p>
        </w:tc>
        <w:tc>
          <w:tcPr>
            <w:tcW w:w="1269" w:type="dxa"/>
          </w:tcPr>
          <w:p w14:paraId="366E14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w:t>
            </w:r>
          </w:p>
        </w:tc>
      </w:tr>
      <w:tr w:rsidR="00643896" w:rsidRPr="00640820" w14:paraId="4408B689" w14:textId="77777777" w:rsidTr="000D3BCB">
        <w:trPr>
          <w:trHeight w:val="180"/>
        </w:trPr>
        <w:tc>
          <w:tcPr>
            <w:tcW w:w="522" w:type="dxa"/>
          </w:tcPr>
          <w:p w14:paraId="0AEF5D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1BF076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77" w:type="dxa"/>
          </w:tcPr>
          <w:p w14:paraId="72F33B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лук репчатый..................</w:t>
            </w:r>
          </w:p>
        </w:tc>
        <w:tc>
          <w:tcPr>
            <w:tcW w:w="1269" w:type="dxa"/>
          </w:tcPr>
          <w:p w14:paraId="78432C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r>
      <w:tr w:rsidR="00643896" w:rsidRPr="00640820" w14:paraId="4BACADFF" w14:textId="77777777" w:rsidTr="000D3BCB">
        <w:trPr>
          <w:trHeight w:val="345"/>
        </w:trPr>
        <w:tc>
          <w:tcPr>
            <w:tcW w:w="522" w:type="dxa"/>
          </w:tcPr>
          <w:p w14:paraId="1D4F70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0BA62E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77" w:type="dxa"/>
          </w:tcPr>
          <w:p w14:paraId="016404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коренья, зелень, огурцы...............</w:t>
            </w:r>
          </w:p>
        </w:tc>
        <w:tc>
          <w:tcPr>
            <w:tcW w:w="1269" w:type="dxa"/>
          </w:tcPr>
          <w:p w14:paraId="74FA91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w:t>
            </w:r>
          </w:p>
        </w:tc>
      </w:tr>
      <w:tr w:rsidR="00643896" w:rsidRPr="00640820" w14:paraId="594C78FE" w14:textId="77777777" w:rsidTr="000D3BCB">
        <w:trPr>
          <w:trHeight w:val="405"/>
        </w:trPr>
        <w:tc>
          <w:tcPr>
            <w:tcW w:w="522" w:type="dxa"/>
          </w:tcPr>
          <w:p w14:paraId="3A9BF4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13.</w:t>
            </w:r>
          </w:p>
        </w:tc>
        <w:tc>
          <w:tcPr>
            <w:tcW w:w="5677" w:type="dxa"/>
          </w:tcPr>
          <w:p w14:paraId="0C022B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Итого:......... Томат-паста.....................</w:t>
            </w:r>
          </w:p>
        </w:tc>
        <w:tc>
          <w:tcPr>
            <w:tcW w:w="1269" w:type="dxa"/>
          </w:tcPr>
          <w:p w14:paraId="4A5927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820 6</w:t>
            </w:r>
          </w:p>
        </w:tc>
      </w:tr>
      <w:tr w:rsidR="00643896" w:rsidRPr="00640820" w14:paraId="71D6F308" w14:textId="77777777" w:rsidTr="000D3BCB">
        <w:trPr>
          <w:trHeight w:val="165"/>
        </w:trPr>
        <w:tc>
          <w:tcPr>
            <w:tcW w:w="522" w:type="dxa"/>
          </w:tcPr>
          <w:p w14:paraId="65CA83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w:t>
            </w:r>
          </w:p>
        </w:tc>
        <w:tc>
          <w:tcPr>
            <w:tcW w:w="5677" w:type="dxa"/>
          </w:tcPr>
          <w:p w14:paraId="253361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Лавровый лист....................</w:t>
            </w:r>
          </w:p>
        </w:tc>
        <w:tc>
          <w:tcPr>
            <w:tcW w:w="1269" w:type="dxa"/>
          </w:tcPr>
          <w:p w14:paraId="3F210C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0,2</w:t>
            </w:r>
          </w:p>
        </w:tc>
      </w:tr>
      <w:tr w:rsidR="00643896" w:rsidRPr="00640820" w14:paraId="5CF26CD4" w14:textId="77777777" w:rsidTr="000D3BCB">
        <w:trPr>
          <w:trHeight w:val="180"/>
        </w:trPr>
        <w:tc>
          <w:tcPr>
            <w:tcW w:w="522" w:type="dxa"/>
          </w:tcPr>
          <w:p w14:paraId="5E3664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5677" w:type="dxa"/>
          </w:tcPr>
          <w:p w14:paraId="67AFFB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Перец.......................</w:t>
            </w:r>
          </w:p>
        </w:tc>
        <w:tc>
          <w:tcPr>
            <w:tcW w:w="1269" w:type="dxa"/>
          </w:tcPr>
          <w:p w14:paraId="655730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0,3</w:t>
            </w:r>
          </w:p>
        </w:tc>
      </w:tr>
      <w:tr w:rsidR="00643896" w:rsidRPr="00640820" w14:paraId="4B4A5850" w14:textId="77777777" w:rsidTr="000D3BCB">
        <w:trPr>
          <w:trHeight w:val="150"/>
        </w:trPr>
        <w:tc>
          <w:tcPr>
            <w:tcW w:w="522" w:type="dxa"/>
          </w:tcPr>
          <w:p w14:paraId="5B45EC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w:t>
            </w:r>
          </w:p>
        </w:tc>
        <w:tc>
          <w:tcPr>
            <w:tcW w:w="5677" w:type="dxa"/>
          </w:tcPr>
          <w:p w14:paraId="247C17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Уксус.......................</w:t>
            </w:r>
          </w:p>
        </w:tc>
        <w:tc>
          <w:tcPr>
            <w:tcW w:w="1269" w:type="dxa"/>
          </w:tcPr>
          <w:p w14:paraId="47A2CA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r>
      <w:tr w:rsidR="00643896" w:rsidRPr="00640820" w14:paraId="0ABD45A3" w14:textId="77777777" w:rsidTr="000D3BCB">
        <w:trPr>
          <w:trHeight w:val="165"/>
        </w:trPr>
        <w:tc>
          <w:tcPr>
            <w:tcW w:w="522" w:type="dxa"/>
          </w:tcPr>
          <w:p w14:paraId="7E2ABF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w:t>
            </w:r>
          </w:p>
        </w:tc>
        <w:tc>
          <w:tcPr>
            <w:tcW w:w="5677" w:type="dxa"/>
          </w:tcPr>
          <w:p w14:paraId="49143F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Горчичный порошок..................</w:t>
            </w:r>
          </w:p>
        </w:tc>
        <w:tc>
          <w:tcPr>
            <w:tcW w:w="1269" w:type="dxa"/>
          </w:tcPr>
          <w:p w14:paraId="28CE3B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0,3</w:t>
            </w:r>
          </w:p>
        </w:tc>
      </w:tr>
      <w:tr w:rsidR="00643896" w:rsidRPr="00640820" w14:paraId="4B034690" w14:textId="77777777" w:rsidTr="000D3BCB">
        <w:trPr>
          <w:trHeight w:val="165"/>
        </w:trPr>
        <w:tc>
          <w:tcPr>
            <w:tcW w:w="522" w:type="dxa"/>
          </w:tcPr>
          <w:p w14:paraId="1A2529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w:t>
            </w:r>
          </w:p>
        </w:tc>
        <w:tc>
          <w:tcPr>
            <w:tcW w:w="5677" w:type="dxa"/>
          </w:tcPr>
          <w:p w14:paraId="1EBF72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Махорка......................</w:t>
            </w:r>
          </w:p>
        </w:tc>
        <w:tc>
          <w:tcPr>
            <w:tcW w:w="1269" w:type="dxa"/>
          </w:tcPr>
          <w:p w14:paraId="319F65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r>
      <w:tr w:rsidR="00643896" w:rsidRPr="00640820" w14:paraId="16554614" w14:textId="77777777" w:rsidTr="000D3BCB">
        <w:trPr>
          <w:trHeight w:val="150"/>
        </w:trPr>
        <w:tc>
          <w:tcPr>
            <w:tcW w:w="522" w:type="dxa"/>
          </w:tcPr>
          <w:p w14:paraId="57B6EA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w:t>
            </w:r>
          </w:p>
        </w:tc>
        <w:tc>
          <w:tcPr>
            <w:tcW w:w="5677" w:type="dxa"/>
          </w:tcPr>
          <w:p w14:paraId="1F3F3D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Спички (коробок в месяц)................</w:t>
            </w:r>
          </w:p>
        </w:tc>
        <w:tc>
          <w:tcPr>
            <w:tcW w:w="1269" w:type="dxa"/>
          </w:tcPr>
          <w:p w14:paraId="583222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r>
      <w:tr w:rsidR="00643896" w:rsidRPr="00640820" w14:paraId="55C3E960" w14:textId="77777777" w:rsidTr="000D3BCB">
        <w:trPr>
          <w:trHeight w:val="165"/>
        </w:trPr>
        <w:tc>
          <w:tcPr>
            <w:tcW w:w="522" w:type="dxa"/>
          </w:tcPr>
          <w:p w14:paraId="606E36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5677" w:type="dxa"/>
          </w:tcPr>
          <w:p w14:paraId="7F2105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Курительная бумага (книжек в месяц)...........</w:t>
            </w:r>
          </w:p>
        </w:tc>
        <w:tc>
          <w:tcPr>
            <w:tcW w:w="1269" w:type="dxa"/>
          </w:tcPr>
          <w:p w14:paraId="30E4D4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w:t>
            </w:r>
          </w:p>
        </w:tc>
      </w:tr>
      <w:tr w:rsidR="00643896" w:rsidRPr="00640820" w14:paraId="6E37865E" w14:textId="77777777" w:rsidTr="000D3BCB">
        <w:trPr>
          <w:trHeight w:val="135"/>
        </w:trPr>
        <w:tc>
          <w:tcPr>
            <w:tcW w:w="522" w:type="dxa"/>
            <w:tcBorders>
              <w:bottom w:val="single" w:sz="12" w:space="0" w:color="auto"/>
            </w:tcBorders>
          </w:tcPr>
          <w:p w14:paraId="57DCF7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w:t>
            </w:r>
          </w:p>
        </w:tc>
        <w:tc>
          <w:tcPr>
            <w:tcW w:w="5677" w:type="dxa"/>
            <w:tcBorders>
              <w:bottom w:val="single" w:sz="12" w:space="0" w:color="auto"/>
            </w:tcBorders>
          </w:tcPr>
          <w:p w14:paraId="5304F6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Мыло для туалетных надобностей (в месяц).........</w:t>
            </w:r>
          </w:p>
        </w:tc>
        <w:tc>
          <w:tcPr>
            <w:tcW w:w="1269" w:type="dxa"/>
            <w:tcBorders>
              <w:bottom w:val="single" w:sz="12" w:space="0" w:color="auto"/>
            </w:tcBorders>
          </w:tcPr>
          <w:p w14:paraId="005F97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w:t>
            </w:r>
          </w:p>
        </w:tc>
      </w:tr>
    </w:tbl>
    <w:p w14:paraId="632AA900"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Приложение № 3</w:t>
      </w:r>
    </w:p>
    <w:p w14:paraId="76A25F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НОРМЫ СУТОЧНОГО ДОВОЛЬСТВИЯ КРАСНОАРМЕЙЦЕВ СТРОЕВЫХ И ЗАПАСНЫХ ЧАСТЕЙ, НЕ ВХОДЯЩИХ В СОСТАВ ДЕЙСТВУЮЩЕЙ АРМИИ</w:t>
      </w:r>
    </w:p>
    <w:tbl>
      <w:tblPr>
        <w:tblW w:w="0" w:type="auto"/>
        <w:tblInd w:w="3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523"/>
        <w:gridCol w:w="5677"/>
        <w:gridCol w:w="11"/>
        <w:gridCol w:w="1258"/>
        <w:gridCol w:w="15"/>
      </w:tblGrid>
      <w:tr w:rsidR="00643896" w:rsidRPr="00640820" w14:paraId="2225F653" w14:textId="77777777" w:rsidTr="000D3BCB">
        <w:trPr>
          <w:gridAfter w:val="1"/>
          <w:wAfter w:w="15" w:type="dxa"/>
          <w:trHeight w:val="525"/>
        </w:trPr>
        <w:tc>
          <w:tcPr>
            <w:tcW w:w="522" w:type="dxa"/>
            <w:tcBorders>
              <w:top w:val="single" w:sz="12" w:space="0" w:color="auto"/>
            </w:tcBorders>
          </w:tcPr>
          <w:p w14:paraId="4E4816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пп</w:t>
            </w:r>
          </w:p>
        </w:tc>
        <w:tc>
          <w:tcPr>
            <w:tcW w:w="5677" w:type="dxa"/>
            <w:tcBorders>
              <w:top w:val="single" w:sz="12" w:space="0" w:color="auto"/>
            </w:tcBorders>
          </w:tcPr>
          <w:p w14:paraId="3E9872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Наименование продуктов</w:t>
            </w:r>
          </w:p>
        </w:tc>
        <w:tc>
          <w:tcPr>
            <w:tcW w:w="1269" w:type="dxa"/>
            <w:gridSpan w:val="2"/>
            <w:tcBorders>
              <w:top w:val="single" w:sz="12" w:space="0" w:color="auto"/>
            </w:tcBorders>
          </w:tcPr>
          <w:p w14:paraId="7967E7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в граммах</w:t>
            </w:r>
          </w:p>
        </w:tc>
      </w:tr>
      <w:tr w:rsidR="00643896" w:rsidRPr="00640820" w14:paraId="6489C47B" w14:textId="77777777" w:rsidTr="000D3BCB">
        <w:trPr>
          <w:gridAfter w:val="1"/>
          <w:wAfter w:w="15" w:type="dxa"/>
          <w:trHeight w:val="375"/>
        </w:trPr>
        <w:tc>
          <w:tcPr>
            <w:tcW w:w="522" w:type="dxa"/>
          </w:tcPr>
          <w:p w14:paraId="25678A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5677" w:type="dxa"/>
          </w:tcPr>
          <w:p w14:paraId="10437F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1269" w:type="dxa"/>
            <w:gridSpan w:val="2"/>
          </w:tcPr>
          <w:p w14:paraId="087AA7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r>
      <w:tr w:rsidR="00643896" w:rsidRPr="00640820" w14:paraId="3B66E74F" w14:textId="77777777" w:rsidTr="000D3BCB">
        <w:trPr>
          <w:gridAfter w:val="1"/>
          <w:wAfter w:w="15" w:type="dxa"/>
          <w:trHeight w:val="375"/>
        </w:trPr>
        <w:tc>
          <w:tcPr>
            <w:tcW w:w="522" w:type="dxa"/>
          </w:tcPr>
          <w:p w14:paraId="14438D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5677" w:type="dxa"/>
          </w:tcPr>
          <w:p w14:paraId="7E8B15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Хлеб из ржаной и обойной муки: </w:t>
            </w:r>
          </w:p>
        </w:tc>
        <w:tc>
          <w:tcPr>
            <w:tcW w:w="1269" w:type="dxa"/>
            <w:gridSpan w:val="2"/>
          </w:tcPr>
          <w:p w14:paraId="38CA13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E226A91" w14:textId="77777777" w:rsidTr="000D3BCB">
        <w:trPr>
          <w:gridAfter w:val="1"/>
          <w:wAfter w:w="15" w:type="dxa"/>
          <w:trHeight w:val="375"/>
        </w:trPr>
        <w:tc>
          <w:tcPr>
            <w:tcW w:w="522" w:type="dxa"/>
          </w:tcPr>
          <w:p w14:paraId="75C485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5677" w:type="dxa"/>
          </w:tcPr>
          <w:p w14:paraId="0F5114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зимнего времени (октябрь — март)</w:t>
            </w:r>
          </w:p>
        </w:tc>
        <w:tc>
          <w:tcPr>
            <w:tcW w:w="1269" w:type="dxa"/>
            <w:gridSpan w:val="2"/>
          </w:tcPr>
          <w:p w14:paraId="348003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750</w:t>
            </w:r>
          </w:p>
        </w:tc>
      </w:tr>
      <w:tr w:rsidR="00643896" w:rsidRPr="00640820" w14:paraId="19CA519A" w14:textId="77777777" w:rsidTr="000D3BCB">
        <w:trPr>
          <w:gridAfter w:val="1"/>
          <w:wAfter w:w="15" w:type="dxa"/>
          <w:trHeight w:val="375"/>
        </w:trPr>
        <w:tc>
          <w:tcPr>
            <w:tcW w:w="522" w:type="dxa"/>
          </w:tcPr>
          <w:p w14:paraId="795F18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5677" w:type="dxa"/>
          </w:tcPr>
          <w:p w14:paraId="504014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летнего времени (апрель — сентябрь)</w:t>
            </w:r>
          </w:p>
        </w:tc>
        <w:tc>
          <w:tcPr>
            <w:tcW w:w="1269" w:type="dxa"/>
            <w:gridSpan w:val="2"/>
          </w:tcPr>
          <w:p w14:paraId="454C43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650</w:t>
            </w:r>
          </w:p>
        </w:tc>
      </w:tr>
      <w:tr w:rsidR="00643896" w:rsidRPr="00640820" w14:paraId="53333D5B" w14:textId="77777777" w:rsidTr="000D3BCB">
        <w:trPr>
          <w:gridAfter w:val="1"/>
          <w:wAfter w:w="15" w:type="dxa"/>
          <w:trHeight w:val="375"/>
        </w:trPr>
        <w:tc>
          <w:tcPr>
            <w:tcW w:w="522" w:type="dxa"/>
          </w:tcPr>
          <w:p w14:paraId="01A92E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5677" w:type="dxa"/>
          </w:tcPr>
          <w:p w14:paraId="526CAE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Мука пшеничная 2 сорта</w:t>
            </w:r>
          </w:p>
        </w:tc>
        <w:tc>
          <w:tcPr>
            <w:tcW w:w="1269" w:type="dxa"/>
            <w:gridSpan w:val="2"/>
          </w:tcPr>
          <w:p w14:paraId="2E822E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r>
      <w:tr w:rsidR="00643896" w:rsidRPr="00640820" w14:paraId="4D5BB597" w14:textId="77777777" w:rsidTr="000D3BCB">
        <w:trPr>
          <w:gridAfter w:val="1"/>
          <w:wAfter w:w="15" w:type="dxa"/>
          <w:trHeight w:val="375"/>
        </w:trPr>
        <w:tc>
          <w:tcPr>
            <w:tcW w:w="522" w:type="dxa"/>
          </w:tcPr>
          <w:p w14:paraId="6FC5BC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c>
          <w:tcPr>
            <w:tcW w:w="5677" w:type="dxa"/>
          </w:tcPr>
          <w:p w14:paraId="0FD5B3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Крупа разная</w:t>
            </w:r>
          </w:p>
        </w:tc>
        <w:tc>
          <w:tcPr>
            <w:tcW w:w="1269" w:type="dxa"/>
            <w:gridSpan w:val="2"/>
          </w:tcPr>
          <w:p w14:paraId="145649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w:t>
            </w:r>
          </w:p>
        </w:tc>
      </w:tr>
      <w:tr w:rsidR="00643896" w:rsidRPr="00640820" w14:paraId="400DFE30" w14:textId="77777777" w:rsidTr="000D3BCB">
        <w:trPr>
          <w:gridAfter w:val="1"/>
          <w:wAfter w:w="15" w:type="dxa"/>
          <w:trHeight w:val="375"/>
        </w:trPr>
        <w:tc>
          <w:tcPr>
            <w:tcW w:w="522" w:type="dxa"/>
          </w:tcPr>
          <w:p w14:paraId="52523E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5677" w:type="dxa"/>
          </w:tcPr>
          <w:p w14:paraId="383BE8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Макароны-вермишель</w:t>
            </w:r>
          </w:p>
        </w:tc>
        <w:tc>
          <w:tcPr>
            <w:tcW w:w="1269" w:type="dxa"/>
            <w:gridSpan w:val="2"/>
          </w:tcPr>
          <w:p w14:paraId="6D4661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r>
      <w:tr w:rsidR="00643896" w:rsidRPr="00640820" w14:paraId="1093C5AD" w14:textId="77777777" w:rsidTr="000D3BCB">
        <w:trPr>
          <w:gridAfter w:val="1"/>
          <w:wAfter w:w="15" w:type="dxa"/>
          <w:trHeight w:val="375"/>
        </w:trPr>
        <w:tc>
          <w:tcPr>
            <w:tcW w:w="522" w:type="dxa"/>
          </w:tcPr>
          <w:p w14:paraId="73DD4F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5677" w:type="dxa"/>
          </w:tcPr>
          <w:p w14:paraId="0C4A65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Мясо</w:t>
            </w:r>
          </w:p>
        </w:tc>
        <w:tc>
          <w:tcPr>
            <w:tcW w:w="1269" w:type="dxa"/>
            <w:gridSpan w:val="2"/>
          </w:tcPr>
          <w:p w14:paraId="1D1382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75</w:t>
            </w:r>
          </w:p>
        </w:tc>
      </w:tr>
      <w:tr w:rsidR="00643896" w:rsidRPr="00640820" w14:paraId="5D3FC494" w14:textId="77777777" w:rsidTr="000D3BCB">
        <w:trPr>
          <w:gridAfter w:val="1"/>
          <w:wAfter w:w="15" w:type="dxa"/>
          <w:trHeight w:val="375"/>
        </w:trPr>
        <w:tc>
          <w:tcPr>
            <w:tcW w:w="522" w:type="dxa"/>
          </w:tcPr>
          <w:p w14:paraId="10133B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c>
          <w:tcPr>
            <w:tcW w:w="5677" w:type="dxa"/>
          </w:tcPr>
          <w:p w14:paraId="4CCDBE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Рыба</w:t>
            </w:r>
          </w:p>
        </w:tc>
        <w:tc>
          <w:tcPr>
            <w:tcW w:w="1269" w:type="dxa"/>
            <w:gridSpan w:val="2"/>
          </w:tcPr>
          <w:p w14:paraId="0BFF53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120</w:t>
            </w:r>
          </w:p>
        </w:tc>
      </w:tr>
      <w:tr w:rsidR="00643896" w:rsidRPr="00640820" w14:paraId="2A31A638" w14:textId="77777777" w:rsidTr="000D3BCB">
        <w:trPr>
          <w:gridAfter w:val="1"/>
          <w:wAfter w:w="15" w:type="dxa"/>
          <w:trHeight w:val="375"/>
        </w:trPr>
        <w:tc>
          <w:tcPr>
            <w:tcW w:w="522" w:type="dxa"/>
          </w:tcPr>
          <w:p w14:paraId="726556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w:t>
            </w:r>
          </w:p>
        </w:tc>
        <w:tc>
          <w:tcPr>
            <w:tcW w:w="5677" w:type="dxa"/>
          </w:tcPr>
          <w:p w14:paraId="34B18C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Комбижир и сало</w:t>
            </w:r>
          </w:p>
        </w:tc>
        <w:tc>
          <w:tcPr>
            <w:tcW w:w="1269" w:type="dxa"/>
            <w:gridSpan w:val="2"/>
          </w:tcPr>
          <w:p w14:paraId="1A6EDD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r>
      <w:tr w:rsidR="00643896" w:rsidRPr="00640820" w14:paraId="120EB898" w14:textId="77777777" w:rsidTr="000D3BCB">
        <w:trPr>
          <w:gridAfter w:val="1"/>
          <w:wAfter w:w="15" w:type="dxa"/>
          <w:trHeight w:val="375"/>
        </w:trPr>
        <w:tc>
          <w:tcPr>
            <w:tcW w:w="522" w:type="dxa"/>
          </w:tcPr>
          <w:p w14:paraId="4DC283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w:t>
            </w:r>
          </w:p>
        </w:tc>
        <w:tc>
          <w:tcPr>
            <w:tcW w:w="5677" w:type="dxa"/>
          </w:tcPr>
          <w:p w14:paraId="3A3588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Масло растительное</w:t>
            </w:r>
          </w:p>
        </w:tc>
        <w:tc>
          <w:tcPr>
            <w:tcW w:w="1269" w:type="dxa"/>
            <w:gridSpan w:val="2"/>
          </w:tcPr>
          <w:p w14:paraId="32AF81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r>
      <w:tr w:rsidR="00643896" w:rsidRPr="00640820" w14:paraId="496E7956" w14:textId="77777777" w:rsidTr="000D3BCB">
        <w:trPr>
          <w:gridAfter w:val="1"/>
          <w:wAfter w:w="15" w:type="dxa"/>
          <w:trHeight w:val="375"/>
        </w:trPr>
        <w:tc>
          <w:tcPr>
            <w:tcW w:w="522" w:type="dxa"/>
          </w:tcPr>
          <w:p w14:paraId="59CC64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tc>
        <w:tc>
          <w:tcPr>
            <w:tcW w:w="5677" w:type="dxa"/>
          </w:tcPr>
          <w:p w14:paraId="113969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Сахар</w:t>
            </w:r>
          </w:p>
        </w:tc>
        <w:tc>
          <w:tcPr>
            <w:tcW w:w="1269" w:type="dxa"/>
            <w:gridSpan w:val="2"/>
          </w:tcPr>
          <w:p w14:paraId="629356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w:t>
            </w:r>
          </w:p>
        </w:tc>
      </w:tr>
      <w:tr w:rsidR="00643896" w:rsidRPr="00640820" w14:paraId="68CAA7B4" w14:textId="77777777" w:rsidTr="000D3BCB">
        <w:trPr>
          <w:gridAfter w:val="1"/>
          <w:wAfter w:w="15" w:type="dxa"/>
          <w:trHeight w:val="375"/>
        </w:trPr>
        <w:tc>
          <w:tcPr>
            <w:tcW w:w="522" w:type="dxa"/>
          </w:tcPr>
          <w:p w14:paraId="2E31A9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5677" w:type="dxa"/>
          </w:tcPr>
          <w:p w14:paraId="424D6F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Чай</w:t>
            </w:r>
          </w:p>
        </w:tc>
        <w:tc>
          <w:tcPr>
            <w:tcW w:w="1269" w:type="dxa"/>
            <w:gridSpan w:val="2"/>
          </w:tcPr>
          <w:p w14:paraId="2FBC60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r>
      <w:tr w:rsidR="00643896" w:rsidRPr="00640820" w14:paraId="20BBF697" w14:textId="77777777" w:rsidTr="000D3BCB">
        <w:trPr>
          <w:gridAfter w:val="1"/>
          <w:wAfter w:w="15" w:type="dxa"/>
          <w:trHeight w:val="375"/>
        </w:trPr>
        <w:tc>
          <w:tcPr>
            <w:tcW w:w="522" w:type="dxa"/>
          </w:tcPr>
          <w:p w14:paraId="41909A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w:t>
            </w:r>
          </w:p>
        </w:tc>
        <w:tc>
          <w:tcPr>
            <w:tcW w:w="5677" w:type="dxa"/>
          </w:tcPr>
          <w:p w14:paraId="637A7E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Соль столовая</w:t>
            </w:r>
          </w:p>
        </w:tc>
        <w:tc>
          <w:tcPr>
            <w:tcW w:w="1269" w:type="dxa"/>
            <w:gridSpan w:val="2"/>
          </w:tcPr>
          <w:p w14:paraId="6D5CEB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r>
      <w:tr w:rsidR="00643896" w:rsidRPr="00640820" w14:paraId="40E856A8" w14:textId="77777777" w:rsidTr="000D3BCB">
        <w:trPr>
          <w:trHeight w:val="255"/>
        </w:trPr>
        <w:tc>
          <w:tcPr>
            <w:tcW w:w="523" w:type="dxa"/>
          </w:tcPr>
          <w:p w14:paraId="65EFBE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5688" w:type="dxa"/>
            <w:gridSpan w:val="2"/>
          </w:tcPr>
          <w:p w14:paraId="3959A4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Овощи:</w:t>
            </w:r>
          </w:p>
        </w:tc>
        <w:tc>
          <w:tcPr>
            <w:tcW w:w="1272" w:type="dxa"/>
            <w:gridSpan w:val="2"/>
          </w:tcPr>
          <w:p w14:paraId="3F03D9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11BDFE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r>
      <w:tr w:rsidR="00643896" w:rsidRPr="00640820" w14:paraId="76627A57" w14:textId="77777777" w:rsidTr="000D3BCB">
        <w:trPr>
          <w:trHeight w:val="180"/>
        </w:trPr>
        <w:tc>
          <w:tcPr>
            <w:tcW w:w="523" w:type="dxa"/>
          </w:tcPr>
          <w:p w14:paraId="2C513F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43EE9A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88" w:type="dxa"/>
            <w:gridSpan w:val="2"/>
          </w:tcPr>
          <w:p w14:paraId="33AF69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картофель...................</w:t>
            </w:r>
          </w:p>
        </w:tc>
        <w:tc>
          <w:tcPr>
            <w:tcW w:w="1272" w:type="dxa"/>
            <w:gridSpan w:val="2"/>
          </w:tcPr>
          <w:p w14:paraId="6B6AAC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600</w:t>
            </w:r>
          </w:p>
        </w:tc>
      </w:tr>
      <w:tr w:rsidR="00643896" w:rsidRPr="00640820" w14:paraId="1DFD9BA4" w14:textId="77777777" w:rsidTr="000D3BCB">
        <w:trPr>
          <w:trHeight w:val="180"/>
        </w:trPr>
        <w:tc>
          <w:tcPr>
            <w:tcW w:w="523" w:type="dxa"/>
          </w:tcPr>
          <w:p w14:paraId="3AFC5B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7E5AE5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88" w:type="dxa"/>
            <w:gridSpan w:val="2"/>
          </w:tcPr>
          <w:p w14:paraId="003455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капуста свежая, квашенная.............</w:t>
            </w:r>
          </w:p>
        </w:tc>
        <w:tc>
          <w:tcPr>
            <w:tcW w:w="1272" w:type="dxa"/>
            <w:gridSpan w:val="2"/>
          </w:tcPr>
          <w:p w14:paraId="72B828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170</w:t>
            </w:r>
          </w:p>
        </w:tc>
      </w:tr>
      <w:tr w:rsidR="00643896" w:rsidRPr="00640820" w14:paraId="3D29DD93" w14:textId="77777777" w:rsidTr="000D3BCB">
        <w:trPr>
          <w:trHeight w:val="165"/>
        </w:trPr>
        <w:tc>
          <w:tcPr>
            <w:tcW w:w="523" w:type="dxa"/>
          </w:tcPr>
          <w:p w14:paraId="2548B1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70C1F9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88" w:type="dxa"/>
            <w:gridSpan w:val="2"/>
          </w:tcPr>
          <w:p w14:paraId="5C9E70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свекла.....................</w:t>
            </w:r>
          </w:p>
        </w:tc>
        <w:tc>
          <w:tcPr>
            <w:tcW w:w="1272" w:type="dxa"/>
            <w:gridSpan w:val="2"/>
          </w:tcPr>
          <w:p w14:paraId="454683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w:t>
            </w:r>
          </w:p>
        </w:tc>
      </w:tr>
      <w:tr w:rsidR="00643896" w:rsidRPr="00640820" w14:paraId="46A8ADA3" w14:textId="77777777" w:rsidTr="000D3BCB">
        <w:trPr>
          <w:trHeight w:val="150"/>
        </w:trPr>
        <w:tc>
          <w:tcPr>
            <w:tcW w:w="523" w:type="dxa"/>
          </w:tcPr>
          <w:p w14:paraId="0A262D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75BF17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88" w:type="dxa"/>
            <w:gridSpan w:val="2"/>
          </w:tcPr>
          <w:p w14:paraId="3EFE2C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морковь....................</w:t>
            </w:r>
          </w:p>
        </w:tc>
        <w:tc>
          <w:tcPr>
            <w:tcW w:w="1272" w:type="dxa"/>
            <w:gridSpan w:val="2"/>
          </w:tcPr>
          <w:p w14:paraId="37EE29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w:t>
            </w:r>
          </w:p>
        </w:tc>
      </w:tr>
      <w:tr w:rsidR="00643896" w:rsidRPr="00640820" w14:paraId="150274E1" w14:textId="77777777" w:rsidTr="000D3BCB">
        <w:trPr>
          <w:trHeight w:val="150"/>
        </w:trPr>
        <w:tc>
          <w:tcPr>
            <w:tcW w:w="523" w:type="dxa"/>
          </w:tcPr>
          <w:p w14:paraId="501A13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136F60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88" w:type="dxa"/>
            <w:gridSpan w:val="2"/>
          </w:tcPr>
          <w:p w14:paraId="32CB64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лук репчатый..................</w:t>
            </w:r>
          </w:p>
        </w:tc>
        <w:tc>
          <w:tcPr>
            <w:tcW w:w="1272" w:type="dxa"/>
            <w:gridSpan w:val="2"/>
          </w:tcPr>
          <w:p w14:paraId="3FC8CA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r>
      <w:tr w:rsidR="00643896" w:rsidRPr="00640820" w14:paraId="167BB499" w14:textId="77777777" w:rsidTr="000D3BCB">
        <w:trPr>
          <w:trHeight w:val="315"/>
        </w:trPr>
        <w:tc>
          <w:tcPr>
            <w:tcW w:w="523" w:type="dxa"/>
          </w:tcPr>
          <w:p w14:paraId="1A4A87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383CEF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88" w:type="dxa"/>
            <w:gridSpan w:val="2"/>
          </w:tcPr>
          <w:p w14:paraId="14CEFF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коренья, зелень, огурцы...............</w:t>
            </w:r>
          </w:p>
        </w:tc>
        <w:tc>
          <w:tcPr>
            <w:tcW w:w="1272" w:type="dxa"/>
            <w:gridSpan w:val="2"/>
          </w:tcPr>
          <w:p w14:paraId="6425BA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w:t>
            </w:r>
          </w:p>
        </w:tc>
      </w:tr>
      <w:tr w:rsidR="00643896" w:rsidRPr="00640820" w14:paraId="2BBCA591" w14:textId="77777777" w:rsidTr="000D3BCB">
        <w:trPr>
          <w:trHeight w:val="300"/>
        </w:trPr>
        <w:tc>
          <w:tcPr>
            <w:tcW w:w="523" w:type="dxa"/>
          </w:tcPr>
          <w:p w14:paraId="22CC03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07B164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88" w:type="dxa"/>
            <w:gridSpan w:val="2"/>
          </w:tcPr>
          <w:p w14:paraId="3B7152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Итого.........</w:t>
            </w:r>
          </w:p>
        </w:tc>
        <w:tc>
          <w:tcPr>
            <w:tcW w:w="1272" w:type="dxa"/>
            <w:gridSpan w:val="2"/>
          </w:tcPr>
          <w:p w14:paraId="0583C8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920</w:t>
            </w:r>
          </w:p>
        </w:tc>
      </w:tr>
      <w:tr w:rsidR="00643896" w:rsidRPr="00640820" w14:paraId="209686C6" w14:textId="77777777" w:rsidTr="000D3BCB">
        <w:trPr>
          <w:trHeight w:val="135"/>
        </w:trPr>
        <w:tc>
          <w:tcPr>
            <w:tcW w:w="523" w:type="dxa"/>
          </w:tcPr>
          <w:p w14:paraId="7F286D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w:t>
            </w:r>
          </w:p>
        </w:tc>
        <w:tc>
          <w:tcPr>
            <w:tcW w:w="5688" w:type="dxa"/>
            <w:gridSpan w:val="2"/>
          </w:tcPr>
          <w:p w14:paraId="4D07B3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Томат-паста.....................</w:t>
            </w:r>
          </w:p>
        </w:tc>
        <w:tc>
          <w:tcPr>
            <w:tcW w:w="1272" w:type="dxa"/>
            <w:gridSpan w:val="2"/>
          </w:tcPr>
          <w:p w14:paraId="3B82B6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r>
      <w:tr w:rsidR="00643896" w:rsidRPr="00640820" w14:paraId="0573FF98" w14:textId="77777777" w:rsidTr="000D3BCB">
        <w:trPr>
          <w:trHeight w:val="165"/>
        </w:trPr>
        <w:tc>
          <w:tcPr>
            <w:tcW w:w="523" w:type="dxa"/>
          </w:tcPr>
          <w:p w14:paraId="49BD25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w:t>
            </w:r>
          </w:p>
        </w:tc>
        <w:tc>
          <w:tcPr>
            <w:tcW w:w="5688" w:type="dxa"/>
            <w:gridSpan w:val="2"/>
          </w:tcPr>
          <w:p w14:paraId="784FF7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Лавровый лист....................</w:t>
            </w:r>
          </w:p>
        </w:tc>
        <w:tc>
          <w:tcPr>
            <w:tcW w:w="1272" w:type="dxa"/>
            <w:gridSpan w:val="2"/>
          </w:tcPr>
          <w:p w14:paraId="2EC638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0,2</w:t>
            </w:r>
          </w:p>
        </w:tc>
      </w:tr>
      <w:tr w:rsidR="00643896" w:rsidRPr="00640820" w14:paraId="73CE5DB2" w14:textId="77777777" w:rsidTr="000D3BCB">
        <w:trPr>
          <w:trHeight w:val="165"/>
        </w:trPr>
        <w:tc>
          <w:tcPr>
            <w:tcW w:w="523" w:type="dxa"/>
          </w:tcPr>
          <w:p w14:paraId="4E212E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5688" w:type="dxa"/>
            <w:gridSpan w:val="2"/>
          </w:tcPr>
          <w:p w14:paraId="6A03CA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Перец.......................</w:t>
            </w:r>
          </w:p>
        </w:tc>
        <w:tc>
          <w:tcPr>
            <w:tcW w:w="1272" w:type="dxa"/>
            <w:gridSpan w:val="2"/>
          </w:tcPr>
          <w:p w14:paraId="2E7259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0,3</w:t>
            </w:r>
          </w:p>
        </w:tc>
      </w:tr>
      <w:tr w:rsidR="00643896" w:rsidRPr="00640820" w14:paraId="4E9886B5" w14:textId="77777777" w:rsidTr="000D3BCB">
        <w:trPr>
          <w:trHeight w:val="150"/>
        </w:trPr>
        <w:tc>
          <w:tcPr>
            <w:tcW w:w="523" w:type="dxa"/>
          </w:tcPr>
          <w:p w14:paraId="4EED75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w:t>
            </w:r>
          </w:p>
        </w:tc>
        <w:tc>
          <w:tcPr>
            <w:tcW w:w="5688" w:type="dxa"/>
            <w:gridSpan w:val="2"/>
          </w:tcPr>
          <w:p w14:paraId="06AFF8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Уксус.......................</w:t>
            </w:r>
          </w:p>
        </w:tc>
        <w:tc>
          <w:tcPr>
            <w:tcW w:w="1272" w:type="dxa"/>
            <w:gridSpan w:val="2"/>
          </w:tcPr>
          <w:p w14:paraId="27E671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r>
      <w:tr w:rsidR="00643896" w:rsidRPr="00640820" w14:paraId="5E1DEC76" w14:textId="77777777" w:rsidTr="000D3BCB">
        <w:trPr>
          <w:trHeight w:val="195"/>
        </w:trPr>
        <w:tc>
          <w:tcPr>
            <w:tcW w:w="523" w:type="dxa"/>
          </w:tcPr>
          <w:p w14:paraId="4C7499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w:t>
            </w:r>
          </w:p>
        </w:tc>
        <w:tc>
          <w:tcPr>
            <w:tcW w:w="5688" w:type="dxa"/>
            <w:gridSpan w:val="2"/>
          </w:tcPr>
          <w:p w14:paraId="30403B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Горчичный порошок..................</w:t>
            </w:r>
          </w:p>
        </w:tc>
        <w:tc>
          <w:tcPr>
            <w:tcW w:w="1272" w:type="dxa"/>
            <w:gridSpan w:val="2"/>
          </w:tcPr>
          <w:p w14:paraId="2B39A9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0,3</w:t>
            </w:r>
          </w:p>
        </w:tc>
      </w:tr>
      <w:tr w:rsidR="00643896" w:rsidRPr="00640820" w14:paraId="1B0537F3" w14:textId="77777777" w:rsidTr="000D3BCB">
        <w:trPr>
          <w:trHeight w:val="120"/>
        </w:trPr>
        <w:tc>
          <w:tcPr>
            <w:tcW w:w="523" w:type="dxa"/>
            <w:tcBorders>
              <w:bottom w:val="single" w:sz="12" w:space="0" w:color="auto"/>
            </w:tcBorders>
          </w:tcPr>
          <w:p w14:paraId="3D0555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w:t>
            </w:r>
          </w:p>
        </w:tc>
        <w:tc>
          <w:tcPr>
            <w:tcW w:w="5688" w:type="dxa"/>
            <w:gridSpan w:val="2"/>
            <w:tcBorders>
              <w:bottom w:val="single" w:sz="12" w:space="0" w:color="auto"/>
            </w:tcBorders>
          </w:tcPr>
          <w:p w14:paraId="10A4E8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Мыло для туалетных надобностей (в месяц).........</w:t>
            </w:r>
          </w:p>
        </w:tc>
        <w:tc>
          <w:tcPr>
            <w:tcW w:w="1272" w:type="dxa"/>
            <w:gridSpan w:val="2"/>
            <w:tcBorders>
              <w:bottom w:val="single" w:sz="12" w:space="0" w:color="auto"/>
            </w:tcBorders>
          </w:tcPr>
          <w:p w14:paraId="218589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w:t>
            </w:r>
          </w:p>
        </w:tc>
      </w:tr>
    </w:tbl>
    <w:p w14:paraId="32402604"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Приложение № 4</w:t>
      </w:r>
    </w:p>
    <w:p w14:paraId="61FF3E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НОРМЫ СУТОЧНОГО ДОВОЛЬСТВИЯ КРАСНОАРМЕЙЦЕВ КАРАУЛЬНЫХ ЧАСТЕЙ И ТЫЛОВЫХ УЧРЕЖДЕНИЙ, НЕ ВХОДЯЩИХ В СОСТАВ ДЕЙСТВУЮЩЕЙ АРМИИ</w:t>
      </w:r>
    </w:p>
    <w:tbl>
      <w:tblPr>
        <w:tblW w:w="0" w:type="auto"/>
        <w:tblInd w:w="3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518"/>
        <w:gridCol w:w="5631"/>
        <w:gridCol w:w="1259"/>
      </w:tblGrid>
      <w:tr w:rsidR="00643896" w:rsidRPr="00640820" w14:paraId="57C2DE1F" w14:textId="77777777" w:rsidTr="000D3BCB">
        <w:trPr>
          <w:trHeight w:val="510"/>
        </w:trPr>
        <w:tc>
          <w:tcPr>
            <w:tcW w:w="518" w:type="dxa"/>
            <w:tcBorders>
              <w:top w:val="single" w:sz="12" w:space="0" w:color="auto"/>
            </w:tcBorders>
          </w:tcPr>
          <w:p w14:paraId="181CB0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пп</w:t>
            </w:r>
          </w:p>
        </w:tc>
        <w:tc>
          <w:tcPr>
            <w:tcW w:w="5631" w:type="dxa"/>
            <w:tcBorders>
              <w:top w:val="single" w:sz="12" w:space="0" w:color="auto"/>
            </w:tcBorders>
          </w:tcPr>
          <w:p w14:paraId="1F9AF3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Наименование продукта</w:t>
            </w:r>
          </w:p>
        </w:tc>
        <w:tc>
          <w:tcPr>
            <w:tcW w:w="1259" w:type="dxa"/>
            <w:tcBorders>
              <w:top w:val="single" w:sz="12" w:space="0" w:color="auto"/>
            </w:tcBorders>
          </w:tcPr>
          <w:p w14:paraId="167313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в граммах</w:t>
            </w:r>
          </w:p>
        </w:tc>
      </w:tr>
      <w:tr w:rsidR="00643896" w:rsidRPr="00640820" w14:paraId="2B206310" w14:textId="77777777" w:rsidTr="000D3BCB">
        <w:trPr>
          <w:trHeight w:val="375"/>
        </w:trPr>
        <w:tc>
          <w:tcPr>
            <w:tcW w:w="518" w:type="dxa"/>
          </w:tcPr>
          <w:p w14:paraId="69D01E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5631" w:type="dxa"/>
          </w:tcPr>
          <w:p w14:paraId="702C53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1259" w:type="dxa"/>
          </w:tcPr>
          <w:p w14:paraId="6F9110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r>
      <w:tr w:rsidR="00643896" w:rsidRPr="00640820" w14:paraId="339EFD24" w14:textId="77777777" w:rsidTr="000D3BCB">
        <w:trPr>
          <w:trHeight w:val="375"/>
        </w:trPr>
        <w:tc>
          <w:tcPr>
            <w:tcW w:w="518" w:type="dxa"/>
          </w:tcPr>
          <w:p w14:paraId="14852F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5631" w:type="dxa"/>
          </w:tcPr>
          <w:p w14:paraId="546F03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Хлеб из ржаной и обойной муки:</w:t>
            </w:r>
          </w:p>
        </w:tc>
        <w:tc>
          <w:tcPr>
            <w:tcW w:w="1259" w:type="dxa"/>
          </w:tcPr>
          <w:p w14:paraId="41DD63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654F70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r>
      <w:tr w:rsidR="00643896" w:rsidRPr="00640820" w14:paraId="3D74B692" w14:textId="77777777" w:rsidTr="000D3BCB">
        <w:trPr>
          <w:trHeight w:val="135"/>
        </w:trPr>
        <w:tc>
          <w:tcPr>
            <w:tcW w:w="518" w:type="dxa"/>
          </w:tcPr>
          <w:p w14:paraId="75620E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4DE4FF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31" w:type="dxa"/>
          </w:tcPr>
          <w:p w14:paraId="651BA5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зимнего времени (октябрь — март).........</w:t>
            </w:r>
          </w:p>
        </w:tc>
        <w:tc>
          <w:tcPr>
            <w:tcW w:w="1259" w:type="dxa"/>
          </w:tcPr>
          <w:p w14:paraId="70B727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700</w:t>
            </w:r>
          </w:p>
        </w:tc>
      </w:tr>
      <w:tr w:rsidR="00643896" w:rsidRPr="00640820" w14:paraId="6DDFE466" w14:textId="77777777" w:rsidTr="000D3BCB">
        <w:trPr>
          <w:trHeight w:val="195"/>
        </w:trPr>
        <w:tc>
          <w:tcPr>
            <w:tcW w:w="518" w:type="dxa"/>
          </w:tcPr>
          <w:p w14:paraId="418CC5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5094A2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31" w:type="dxa"/>
          </w:tcPr>
          <w:p w14:paraId="7117B6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летнего времени (апрель — сентябрь)........</w:t>
            </w:r>
          </w:p>
        </w:tc>
        <w:tc>
          <w:tcPr>
            <w:tcW w:w="1259" w:type="dxa"/>
          </w:tcPr>
          <w:p w14:paraId="35B14C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600</w:t>
            </w:r>
          </w:p>
        </w:tc>
      </w:tr>
      <w:tr w:rsidR="00643896" w:rsidRPr="00640820" w14:paraId="04F0A0A9" w14:textId="77777777" w:rsidTr="000D3BCB">
        <w:trPr>
          <w:trHeight w:val="150"/>
        </w:trPr>
        <w:tc>
          <w:tcPr>
            <w:tcW w:w="518" w:type="dxa"/>
          </w:tcPr>
          <w:p w14:paraId="414A1C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5631" w:type="dxa"/>
          </w:tcPr>
          <w:p w14:paraId="5342DF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Мука пшеничная 2 сорта................</w:t>
            </w:r>
          </w:p>
        </w:tc>
        <w:tc>
          <w:tcPr>
            <w:tcW w:w="1259" w:type="dxa"/>
          </w:tcPr>
          <w:p w14:paraId="4782ED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r>
      <w:tr w:rsidR="00643896" w:rsidRPr="00640820" w14:paraId="45E71183" w14:textId="77777777" w:rsidTr="000D3BCB">
        <w:trPr>
          <w:trHeight w:val="150"/>
        </w:trPr>
        <w:tc>
          <w:tcPr>
            <w:tcW w:w="518" w:type="dxa"/>
          </w:tcPr>
          <w:p w14:paraId="1E502B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3.</w:t>
            </w:r>
          </w:p>
        </w:tc>
        <w:tc>
          <w:tcPr>
            <w:tcW w:w="5631" w:type="dxa"/>
          </w:tcPr>
          <w:p w14:paraId="0493E3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Крупа разная.....................</w:t>
            </w:r>
          </w:p>
        </w:tc>
        <w:tc>
          <w:tcPr>
            <w:tcW w:w="1259" w:type="dxa"/>
          </w:tcPr>
          <w:p w14:paraId="388448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w:t>
            </w:r>
          </w:p>
        </w:tc>
      </w:tr>
      <w:tr w:rsidR="00643896" w:rsidRPr="00640820" w14:paraId="6F7FAF77" w14:textId="77777777" w:rsidTr="000D3BCB">
        <w:trPr>
          <w:trHeight w:val="165"/>
        </w:trPr>
        <w:tc>
          <w:tcPr>
            <w:tcW w:w="518" w:type="dxa"/>
          </w:tcPr>
          <w:p w14:paraId="4C97B7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5631" w:type="dxa"/>
          </w:tcPr>
          <w:p w14:paraId="73729B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Макароны-вермишель..................</w:t>
            </w:r>
          </w:p>
        </w:tc>
        <w:tc>
          <w:tcPr>
            <w:tcW w:w="1259" w:type="dxa"/>
          </w:tcPr>
          <w:p w14:paraId="0EB5CC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w:t>
            </w:r>
          </w:p>
        </w:tc>
      </w:tr>
      <w:tr w:rsidR="00643896" w:rsidRPr="00640820" w14:paraId="49B6EC2F" w14:textId="77777777" w:rsidTr="000D3BCB">
        <w:trPr>
          <w:trHeight w:val="150"/>
        </w:trPr>
        <w:tc>
          <w:tcPr>
            <w:tcW w:w="518" w:type="dxa"/>
          </w:tcPr>
          <w:p w14:paraId="107B48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5631" w:type="dxa"/>
          </w:tcPr>
          <w:p w14:paraId="64A812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Мясо........................</w:t>
            </w:r>
          </w:p>
        </w:tc>
        <w:tc>
          <w:tcPr>
            <w:tcW w:w="1259" w:type="dxa"/>
          </w:tcPr>
          <w:p w14:paraId="1EDE1A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75</w:t>
            </w:r>
          </w:p>
        </w:tc>
      </w:tr>
      <w:tr w:rsidR="00643896" w:rsidRPr="00640820" w14:paraId="4D2C1F31" w14:textId="77777777" w:rsidTr="000D3BCB">
        <w:trPr>
          <w:trHeight w:val="165"/>
        </w:trPr>
        <w:tc>
          <w:tcPr>
            <w:tcW w:w="518" w:type="dxa"/>
          </w:tcPr>
          <w:p w14:paraId="098FAC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c>
          <w:tcPr>
            <w:tcW w:w="5631" w:type="dxa"/>
          </w:tcPr>
          <w:p w14:paraId="67D4CE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Рыба....../................</w:t>
            </w:r>
          </w:p>
        </w:tc>
        <w:tc>
          <w:tcPr>
            <w:tcW w:w="1259" w:type="dxa"/>
          </w:tcPr>
          <w:p w14:paraId="6A11EF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w:t>
            </w:r>
          </w:p>
        </w:tc>
      </w:tr>
      <w:tr w:rsidR="00643896" w:rsidRPr="00640820" w14:paraId="40BEEFD6" w14:textId="77777777" w:rsidTr="000D3BCB">
        <w:trPr>
          <w:trHeight w:val="195"/>
        </w:trPr>
        <w:tc>
          <w:tcPr>
            <w:tcW w:w="518" w:type="dxa"/>
          </w:tcPr>
          <w:p w14:paraId="30B58B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w:t>
            </w:r>
          </w:p>
        </w:tc>
        <w:tc>
          <w:tcPr>
            <w:tcW w:w="5631" w:type="dxa"/>
          </w:tcPr>
          <w:p w14:paraId="3FA9C2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Комбижир и сало...................</w:t>
            </w:r>
          </w:p>
        </w:tc>
        <w:tc>
          <w:tcPr>
            <w:tcW w:w="1259" w:type="dxa"/>
          </w:tcPr>
          <w:p w14:paraId="6E90B6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r>
      <w:tr w:rsidR="00643896" w:rsidRPr="00640820" w14:paraId="328BFCEB" w14:textId="77777777" w:rsidTr="000D3BCB">
        <w:trPr>
          <w:trHeight w:val="165"/>
        </w:trPr>
        <w:tc>
          <w:tcPr>
            <w:tcW w:w="518" w:type="dxa"/>
          </w:tcPr>
          <w:p w14:paraId="7803BE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w:t>
            </w:r>
          </w:p>
        </w:tc>
        <w:tc>
          <w:tcPr>
            <w:tcW w:w="5631" w:type="dxa"/>
          </w:tcPr>
          <w:p w14:paraId="42B8EB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Масло растительное..................</w:t>
            </w:r>
          </w:p>
        </w:tc>
        <w:tc>
          <w:tcPr>
            <w:tcW w:w="1259" w:type="dxa"/>
          </w:tcPr>
          <w:p w14:paraId="4B3104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r>
      <w:tr w:rsidR="00643896" w:rsidRPr="00640820" w14:paraId="17AE247A" w14:textId="77777777" w:rsidTr="000D3BCB">
        <w:trPr>
          <w:trHeight w:val="150"/>
        </w:trPr>
        <w:tc>
          <w:tcPr>
            <w:tcW w:w="518" w:type="dxa"/>
          </w:tcPr>
          <w:p w14:paraId="3F7288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tc>
        <w:tc>
          <w:tcPr>
            <w:tcW w:w="5631" w:type="dxa"/>
          </w:tcPr>
          <w:p w14:paraId="27DB56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Сахар.......................</w:t>
            </w:r>
          </w:p>
        </w:tc>
        <w:tc>
          <w:tcPr>
            <w:tcW w:w="1259" w:type="dxa"/>
          </w:tcPr>
          <w:p w14:paraId="249C35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r>
      <w:tr w:rsidR="00643896" w:rsidRPr="00640820" w14:paraId="7E964084" w14:textId="77777777" w:rsidTr="000D3BCB">
        <w:trPr>
          <w:trHeight w:val="150"/>
        </w:trPr>
        <w:tc>
          <w:tcPr>
            <w:tcW w:w="518" w:type="dxa"/>
          </w:tcPr>
          <w:p w14:paraId="0EBA23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5631" w:type="dxa"/>
          </w:tcPr>
          <w:p w14:paraId="15F974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Чай........................</w:t>
            </w:r>
          </w:p>
        </w:tc>
        <w:tc>
          <w:tcPr>
            <w:tcW w:w="1259" w:type="dxa"/>
          </w:tcPr>
          <w:p w14:paraId="1DF296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r>
      <w:tr w:rsidR="00643896" w:rsidRPr="00640820" w14:paraId="78A38493" w14:textId="77777777" w:rsidTr="000D3BCB">
        <w:trPr>
          <w:trHeight w:val="180"/>
        </w:trPr>
        <w:tc>
          <w:tcPr>
            <w:tcW w:w="518" w:type="dxa"/>
          </w:tcPr>
          <w:p w14:paraId="653610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w:t>
            </w:r>
          </w:p>
        </w:tc>
        <w:tc>
          <w:tcPr>
            <w:tcW w:w="5631" w:type="dxa"/>
          </w:tcPr>
          <w:p w14:paraId="661FEA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Соль столовая....................</w:t>
            </w:r>
          </w:p>
        </w:tc>
        <w:tc>
          <w:tcPr>
            <w:tcW w:w="1259" w:type="dxa"/>
          </w:tcPr>
          <w:p w14:paraId="7162DC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r>
      <w:tr w:rsidR="00643896" w:rsidRPr="00640820" w14:paraId="26B737D7" w14:textId="77777777" w:rsidTr="000D3BCB">
        <w:trPr>
          <w:trHeight w:val="150"/>
        </w:trPr>
        <w:tc>
          <w:tcPr>
            <w:tcW w:w="518" w:type="dxa"/>
          </w:tcPr>
          <w:p w14:paraId="3421EA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w:t>
            </w:r>
          </w:p>
        </w:tc>
        <w:tc>
          <w:tcPr>
            <w:tcW w:w="5631" w:type="dxa"/>
          </w:tcPr>
          <w:p w14:paraId="142359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Овощи:</w:t>
            </w:r>
          </w:p>
        </w:tc>
        <w:tc>
          <w:tcPr>
            <w:tcW w:w="1259" w:type="dxa"/>
          </w:tcPr>
          <w:p w14:paraId="2B1C71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7D46F8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r>
      <w:tr w:rsidR="00643896" w:rsidRPr="00640820" w14:paraId="702ECEDC" w14:textId="77777777" w:rsidTr="000D3BCB">
        <w:trPr>
          <w:trHeight w:val="165"/>
        </w:trPr>
        <w:tc>
          <w:tcPr>
            <w:tcW w:w="518" w:type="dxa"/>
          </w:tcPr>
          <w:p w14:paraId="5DE5EC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58B1A9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31" w:type="dxa"/>
          </w:tcPr>
          <w:p w14:paraId="32BEB0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картофель...................</w:t>
            </w:r>
          </w:p>
        </w:tc>
        <w:tc>
          <w:tcPr>
            <w:tcW w:w="1259" w:type="dxa"/>
          </w:tcPr>
          <w:p w14:paraId="587734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600</w:t>
            </w:r>
          </w:p>
        </w:tc>
      </w:tr>
      <w:tr w:rsidR="00643896" w:rsidRPr="00640820" w14:paraId="48B7E9DE" w14:textId="77777777" w:rsidTr="000D3BCB">
        <w:trPr>
          <w:trHeight w:val="180"/>
        </w:trPr>
        <w:tc>
          <w:tcPr>
            <w:tcW w:w="518" w:type="dxa"/>
          </w:tcPr>
          <w:p w14:paraId="4EC2C1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2084A9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31" w:type="dxa"/>
          </w:tcPr>
          <w:p w14:paraId="1C5FDC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капуста свежая или квашенная............</w:t>
            </w:r>
          </w:p>
        </w:tc>
        <w:tc>
          <w:tcPr>
            <w:tcW w:w="1259" w:type="dxa"/>
          </w:tcPr>
          <w:p w14:paraId="249023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170</w:t>
            </w:r>
          </w:p>
        </w:tc>
      </w:tr>
      <w:tr w:rsidR="00643896" w:rsidRPr="00640820" w14:paraId="659FC98D" w14:textId="77777777" w:rsidTr="000D3BCB">
        <w:trPr>
          <w:trHeight w:val="165"/>
        </w:trPr>
        <w:tc>
          <w:tcPr>
            <w:tcW w:w="518" w:type="dxa"/>
          </w:tcPr>
          <w:p w14:paraId="5293CC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0B0CD5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31" w:type="dxa"/>
          </w:tcPr>
          <w:p w14:paraId="06574E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свекла.....................</w:t>
            </w:r>
          </w:p>
        </w:tc>
        <w:tc>
          <w:tcPr>
            <w:tcW w:w="1259" w:type="dxa"/>
          </w:tcPr>
          <w:p w14:paraId="5E650C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w:t>
            </w:r>
          </w:p>
        </w:tc>
      </w:tr>
      <w:tr w:rsidR="00643896" w:rsidRPr="00640820" w14:paraId="550EA7EF" w14:textId="77777777" w:rsidTr="000D3BCB">
        <w:trPr>
          <w:trHeight w:val="135"/>
        </w:trPr>
        <w:tc>
          <w:tcPr>
            <w:tcW w:w="518" w:type="dxa"/>
          </w:tcPr>
          <w:p w14:paraId="3E040C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3C6EC1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31" w:type="dxa"/>
          </w:tcPr>
          <w:p w14:paraId="7FFD24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морковь....................</w:t>
            </w:r>
          </w:p>
        </w:tc>
        <w:tc>
          <w:tcPr>
            <w:tcW w:w="1259" w:type="dxa"/>
          </w:tcPr>
          <w:p w14:paraId="2D774E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w:t>
            </w:r>
          </w:p>
        </w:tc>
      </w:tr>
      <w:tr w:rsidR="00643896" w:rsidRPr="00640820" w14:paraId="2F03B4C4" w14:textId="77777777" w:rsidTr="000D3BCB">
        <w:trPr>
          <w:trHeight w:val="180"/>
        </w:trPr>
        <w:tc>
          <w:tcPr>
            <w:tcW w:w="518" w:type="dxa"/>
          </w:tcPr>
          <w:p w14:paraId="2E4D54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67B6CE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31" w:type="dxa"/>
          </w:tcPr>
          <w:p w14:paraId="6B0DF0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лук репчатый..................</w:t>
            </w:r>
          </w:p>
        </w:tc>
        <w:tc>
          <w:tcPr>
            <w:tcW w:w="1259" w:type="dxa"/>
          </w:tcPr>
          <w:p w14:paraId="10DAA5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r>
      <w:tr w:rsidR="00643896" w:rsidRPr="00640820" w14:paraId="72C8F968" w14:textId="77777777" w:rsidTr="000D3BCB">
        <w:trPr>
          <w:trHeight w:val="330"/>
        </w:trPr>
        <w:tc>
          <w:tcPr>
            <w:tcW w:w="518" w:type="dxa"/>
          </w:tcPr>
          <w:p w14:paraId="3C3A95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2E852D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31" w:type="dxa"/>
          </w:tcPr>
          <w:p w14:paraId="463832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коренья, зелень, огурцы...............</w:t>
            </w:r>
          </w:p>
        </w:tc>
        <w:tc>
          <w:tcPr>
            <w:tcW w:w="1259" w:type="dxa"/>
          </w:tcPr>
          <w:p w14:paraId="74F840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w:t>
            </w:r>
          </w:p>
        </w:tc>
      </w:tr>
      <w:tr w:rsidR="00643896" w:rsidRPr="00640820" w14:paraId="49909DB6" w14:textId="77777777" w:rsidTr="000D3BCB">
        <w:trPr>
          <w:trHeight w:val="255"/>
        </w:trPr>
        <w:tc>
          <w:tcPr>
            <w:tcW w:w="518" w:type="dxa"/>
          </w:tcPr>
          <w:p w14:paraId="231506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78B23E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31" w:type="dxa"/>
          </w:tcPr>
          <w:p w14:paraId="6915EE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Итого.........</w:t>
            </w:r>
          </w:p>
        </w:tc>
        <w:tc>
          <w:tcPr>
            <w:tcW w:w="1259" w:type="dxa"/>
          </w:tcPr>
          <w:p w14:paraId="097431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920</w:t>
            </w:r>
          </w:p>
        </w:tc>
      </w:tr>
      <w:tr w:rsidR="00643896" w:rsidRPr="00640820" w14:paraId="1CB13AF8" w14:textId="77777777" w:rsidTr="000D3BCB">
        <w:trPr>
          <w:trHeight w:val="165"/>
        </w:trPr>
        <w:tc>
          <w:tcPr>
            <w:tcW w:w="518" w:type="dxa"/>
          </w:tcPr>
          <w:p w14:paraId="4BFF38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w:t>
            </w:r>
          </w:p>
        </w:tc>
        <w:tc>
          <w:tcPr>
            <w:tcW w:w="5631" w:type="dxa"/>
          </w:tcPr>
          <w:p w14:paraId="192EB5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Томат-паста....................</w:t>
            </w:r>
          </w:p>
        </w:tc>
        <w:tc>
          <w:tcPr>
            <w:tcW w:w="1259" w:type="dxa"/>
          </w:tcPr>
          <w:p w14:paraId="2FF673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r>
      <w:tr w:rsidR="00643896" w:rsidRPr="00640820" w14:paraId="1DDDFE5C" w14:textId="77777777" w:rsidTr="000D3BCB">
        <w:trPr>
          <w:trHeight w:val="165"/>
        </w:trPr>
        <w:tc>
          <w:tcPr>
            <w:tcW w:w="518" w:type="dxa"/>
          </w:tcPr>
          <w:p w14:paraId="562FFD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w:t>
            </w:r>
          </w:p>
        </w:tc>
        <w:tc>
          <w:tcPr>
            <w:tcW w:w="5631" w:type="dxa"/>
          </w:tcPr>
          <w:p w14:paraId="0A11AE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Лавровый лист....................</w:t>
            </w:r>
          </w:p>
        </w:tc>
        <w:tc>
          <w:tcPr>
            <w:tcW w:w="1259" w:type="dxa"/>
          </w:tcPr>
          <w:p w14:paraId="6353B8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0,2</w:t>
            </w:r>
          </w:p>
        </w:tc>
      </w:tr>
      <w:tr w:rsidR="00643896" w:rsidRPr="00640820" w14:paraId="3EF1D263" w14:textId="77777777" w:rsidTr="000D3BCB">
        <w:trPr>
          <w:trHeight w:val="150"/>
        </w:trPr>
        <w:tc>
          <w:tcPr>
            <w:tcW w:w="518" w:type="dxa"/>
          </w:tcPr>
          <w:p w14:paraId="6873C0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5631" w:type="dxa"/>
          </w:tcPr>
          <w:p w14:paraId="3B9B88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Перец.......................</w:t>
            </w:r>
          </w:p>
        </w:tc>
        <w:tc>
          <w:tcPr>
            <w:tcW w:w="1259" w:type="dxa"/>
          </w:tcPr>
          <w:p w14:paraId="58C2A9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0,3</w:t>
            </w:r>
          </w:p>
        </w:tc>
      </w:tr>
      <w:tr w:rsidR="00643896" w:rsidRPr="00640820" w14:paraId="49407932" w14:textId="77777777" w:rsidTr="000D3BCB">
        <w:trPr>
          <w:trHeight w:val="180"/>
        </w:trPr>
        <w:tc>
          <w:tcPr>
            <w:tcW w:w="518" w:type="dxa"/>
          </w:tcPr>
          <w:p w14:paraId="5E20FE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w:t>
            </w:r>
          </w:p>
        </w:tc>
        <w:tc>
          <w:tcPr>
            <w:tcW w:w="5631" w:type="dxa"/>
          </w:tcPr>
          <w:p w14:paraId="32CE5D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Уксус.......................</w:t>
            </w:r>
          </w:p>
        </w:tc>
        <w:tc>
          <w:tcPr>
            <w:tcW w:w="1259" w:type="dxa"/>
          </w:tcPr>
          <w:p w14:paraId="31E56A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r>
      <w:tr w:rsidR="00643896" w:rsidRPr="00640820" w14:paraId="52871E89" w14:textId="77777777" w:rsidTr="000D3BCB">
        <w:trPr>
          <w:trHeight w:val="150"/>
        </w:trPr>
        <w:tc>
          <w:tcPr>
            <w:tcW w:w="518" w:type="dxa"/>
          </w:tcPr>
          <w:p w14:paraId="49764A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w:t>
            </w:r>
          </w:p>
        </w:tc>
        <w:tc>
          <w:tcPr>
            <w:tcW w:w="5631" w:type="dxa"/>
          </w:tcPr>
          <w:p w14:paraId="5A1EB4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Горчичный порошок..................</w:t>
            </w:r>
          </w:p>
        </w:tc>
        <w:tc>
          <w:tcPr>
            <w:tcW w:w="1259" w:type="dxa"/>
          </w:tcPr>
          <w:p w14:paraId="670F56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0,3</w:t>
            </w:r>
          </w:p>
        </w:tc>
      </w:tr>
      <w:tr w:rsidR="00643896" w:rsidRPr="00640820" w14:paraId="401189CC" w14:textId="77777777" w:rsidTr="000D3BCB">
        <w:trPr>
          <w:trHeight w:val="135"/>
        </w:trPr>
        <w:tc>
          <w:tcPr>
            <w:tcW w:w="518" w:type="dxa"/>
            <w:tcBorders>
              <w:bottom w:val="single" w:sz="12" w:space="0" w:color="auto"/>
            </w:tcBorders>
          </w:tcPr>
          <w:p w14:paraId="24AB56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w:t>
            </w:r>
          </w:p>
        </w:tc>
        <w:tc>
          <w:tcPr>
            <w:tcW w:w="5631" w:type="dxa"/>
            <w:tcBorders>
              <w:bottom w:val="single" w:sz="12" w:space="0" w:color="auto"/>
            </w:tcBorders>
          </w:tcPr>
          <w:p w14:paraId="5C2023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Мыло для туалетных надобностей (в месяц).........</w:t>
            </w:r>
          </w:p>
        </w:tc>
        <w:tc>
          <w:tcPr>
            <w:tcW w:w="1259" w:type="dxa"/>
            <w:tcBorders>
              <w:bottom w:val="single" w:sz="12" w:space="0" w:color="auto"/>
            </w:tcBorders>
          </w:tcPr>
          <w:p w14:paraId="5807D8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w:t>
            </w:r>
          </w:p>
        </w:tc>
      </w:tr>
    </w:tbl>
    <w:p w14:paraId="7BE01C1D"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Приложение № 5</w:t>
      </w:r>
    </w:p>
    <w:p w14:paraId="5FA38F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НОРМЫ СУТОЧНОГО ДОВОЛЬСТВИЯ (С ГОРЯЧИМ ЗАВТРАКОМ) БОЕВОГО РАСЧЕТА ЭКИПАЖЕЙ САМОЛЕТОВ ДЕЙСТВУЮЩЕЙ АРМИИ</w:t>
      </w:r>
    </w:p>
    <w:tbl>
      <w:tblPr>
        <w:tblW w:w="0" w:type="auto"/>
        <w:tblInd w:w="3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518"/>
        <w:gridCol w:w="5631"/>
        <w:gridCol w:w="1259"/>
      </w:tblGrid>
      <w:tr w:rsidR="00643896" w:rsidRPr="00640820" w14:paraId="08F911FC" w14:textId="77777777" w:rsidTr="000D3BCB">
        <w:trPr>
          <w:trHeight w:val="510"/>
        </w:trPr>
        <w:tc>
          <w:tcPr>
            <w:tcW w:w="518" w:type="dxa"/>
            <w:tcBorders>
              <w:top w:val="single" w:sz="12" w:space="0" w:color="auto"/>
            </w:tcBorders>
          </w:tcPr>
          <w:p w14:paraId="20D465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пп</w:t>
            </w:r>
          </w:p>
        </w:tc>
        <w:tc>
          <w:tcPr>
            <w:tcW w:w="5631" w:type="dxa"/>
            <w:tcBorders>
              <w:top w:val="single" w:sz="12" w:space="0" w:color="auto"/>
            </w:tcBorders>
          </w:tcPr>
          <w:p w14:paraId="0F35EF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Наименование продуктов</w:t>
            </w:r>
          </w:p>
        </w:tc>
        <w:tc>
          <w:tcPr>
            <w:tcW w:w="1259" w:type="dxa"/>
            <w:tcBorders>
              <w:top w:val="single" w:sz="12" w:space="0" w:color="auto"/>
            </w:tcBorders>
          </w:tcPr>
          <w:p w14:paraId="234429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в граммах</w:t>
            </w:r>
          </w:p>
        </w:tc>
      </w:tr>
      <w:tr w:rsidR="00643896" w:rsidRPr="00640820" w14:paraId="42A7772A" w14:textId="77777777" w:rsidTr="000D3BCB">
        <w:trPr>
          <w:trHeight w:val="375"/>
        </w:trPr>
        <w:tc>
          <w:tcPr>
            <w:tcW w:w="518" w:type="dxa"/>
          </w:tcPr>
          <w:p w14:paraId="563395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5631" w:type="dxa"/>
          </w:tcPr>
          <w:p w14:paraId="13E965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1259" w:type="dxa"/>
          </w:tcPr>
          <w:p w14:paraId="7BF009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r>
      <w:tr w:rsidR="00643896" w:rsidRPr="00640820" w14:paraId="308B6347" w14:textId="77777777" w:rsidTr="000D3BCB">
        <w:trPr>
          <w:trHeight w:val="240"/>
        </w:trPr>
        <w:tc>
          <w:tcPr>
            <w:tcW w:w="518" w:type="dxa"/>
          </w:tcPr>
          <w:p w14:paraId="2D935F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5631" w:type="dxa"/>
          </w:tcPr>
          <w:p w14:paraId="09CEF1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Хлеб из ржаной и обойной муки.............</w:t>
            </w:r>
          </w:p>
        </w:tc>
        <w:tc>
          <w:tcPr>
            <w:tcW w:w="1259" w:type="dxa"/>
          </w:tcPr>
          <w:p w14:paraId="630ACD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400</w:t>
            </w:r>
          </w:p>
        </w:tc>
      </w:tr>
      <w:tr w:rsidR="00643896" w:rsidRPr="00640820" w14:paraId="72F5D281" w14:textId="77777777" w:rsidTr="000D3BCB">
        <w:trPr>
          <w:trHeight w:val="165"/>
        </w:trPr>
        <w:tc>
          <w:tcPr>
            <w:tcW w:w="518" w:type="dxa"/>
          </w:tcPr>
          <w:p w14:paraId="6E6C74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5631" w:type="dxa"/>
          </w:tcPr>
          <w:p w14:paraId="51C33C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Хлеб пшеничный из муки 2 сорта.............</w:t>
            </w:r>
          </w:p>
        </w:tc>
        <w:tc>
          <w:tcPr>
            <w:tcW w:w="1259" w:type="dxa"/>
          </w:tcPr>
          <w:p w14:paraId="49F5BA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400</w:t>
            </w:r>
          </w:p>
        </w:tc>
      </w:tr>
      <w:tr w:rsidR="00643896" w:rsidRPr="00640820" w14:paraId="22E6AC67" w14:textId="77777777" w:rsidTr="000D3BCB">
        <w:trPr>
          <w:trHeight w:val="165"/>
        </w:trPr>
        <w:tc>
          <w:tcPr>
            <w:tcW w:w="518" w:type="dxa"/>
          </w:tcPr>
          <w:p w14:paraId="5B9988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c>
          <w:tcPr>
            <w:tcW w:w="5631" w:type="dxa"/>
          </w:tcPr>
          <w:p w14:paraId="2C1F87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Мука пшеничная 2 сорта.................</w:t>
            </w:r>
          </w:p>
        </w:tc>
        <w:tc>
          <w:tcPr>
            <w:tcW w:w="1259" w:type="dxa"/>
          </w:tcPr>
          <w:p w14:paraId="509C9A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w:t>
            </w:r>
          </w:p>
        </w:tc>
      </w:tr>
      <w:tr w:rsidR="00643896" w:rsidRPr="00640820" w14:paraId="21F5EDDF" w14:textId="77777777" w:rsidTr="000D3BCB">
        <w:trPr>
          <w:trHeight w:val="150"/>
        </w:trPr>
        <w:tc>
          <w:tcPr>
            <w:tcW w:w="518" w:type="dxa"/>
          </w:tcPr>
          <w:p w14:paraId="06709E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5631" w:type="dxa"/>
          </w:tcPr>
          <w:p w14:paraId="2989A8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Крупа разная.....................</w:t>
            </w:r>
          </w:p>
        </w:tc>
        <w:tc>
          <w:tcPr>
            <w:tcW w:w="1259" w:type="dxa"/>
          </w:tcPr>
          <w:p w14:paraId="2124F5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90</w:t>
            </w:r>
          </w:p>
        </w:tc>
      </w:tr>
      <w:tr w:rsidR="00643896" w:rsidRPr="00640820" w14:paraId="76A91423" w14:textId="77777777" w:rsidTr="000D3BCB">
        <w:trPr>
          <w:trHeight w:val="165"/>
        </w:trPr>
        <w:tc>
          <w:tcPr>
            <w:tcW w:w="518" w:type="dxa"/>
          </w:tcPr>
          <w:p w14:paraId="72B353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5631" w:type="dxa"/>
          </w:tcPr>
          <w:p w14:paraId="648EF8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Рис........................</w:t>
            </w:r>
          </w:p>
        </w:tc>
        <w:tc>
          <w:tcPr>
            <w:tcW w:w="1259" w:type="dxa"/>
          </w:tcPr>
          <w:p w14:paraId="5BD0DC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w:t>
            </w:r>
          </w:p>
        </w:tc>
      </w:tr>
      <w:tr w:rsidR="00643896" w:rsidRPr="00640820" w14:paraId="52A794ED" w14:textId="77777777" w:rsidTr="000D3BCB">
        <w:trPr>
          <w:trHeight w:val="180"/>
        </w:trPr>
        <w:tc>
          <w:tcPr>
            <w:tcW w:w="518" w:type="dxa"/>
          </w:tcPr>
          <w:p w14:paraId="4F766E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c>
          <w:tcPr>
            <w:tcW w:w="5631" w:type="dxa"/>
          </w:tcPr>
          <w:p w14:paraId="0D7B66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Макароны......................</w:t>
            </w:r>
          </w:p>
        </w:tc>
        <w:tc>
          <w:tcPr>
            <w:tcW w:w="1259" w:type="dxa"/>
          </w:tcPr>
          <w:p w14:paraId="521033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w:t>
            </w:r>
          </w:p>
        </w:tc>
      </w:tr>
      <w:tr w:rsidR="00643896" w:rsidRPr="00640820" w14:paraId="4A8A5E6E" w14:textId="77777777" w:rsidTr="000D3BCB">
        <w:trPr>
          <w:trHeight w:val="150"/>
        </w:trPr>
        <w:tc>
          <w:tcPr>
            <w:tcW w:w="518" w:type="dxa"/>
          </w:tcPr>
          <w:p w14:paraId="020939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w:t>
            </w:r>
          </w:p>
        </w:tc>
        <w:tc>
          <w:tcPr>
            <w:tcW w:w="5631" w:type="dxa"/>
          </w:tcPr>
          <w:p w14:paraId="36EB7D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Овощи:</w:t>
            </w:r>
          </w:p>
        </w:tc>
        <w:tc>
          <w:tcPr>
            <w:tcW w:w="1259" w:type="dxa"/>
          </w:tcPr>
          <w:p w14:paraId="0335DA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43FC8B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r>
      <w:tr w:rsidR="00643896" w:rsidRPr="00640820" w14:paraId="568C1D5E" w14:textId="77777777" w:rsidTr="000D3BCB">
        <w:trPr>
          <w:trHeight w:val="165"/>
        </w:trPr>
        <w:tc>
          <w:tcPr>
            <w:tcW w:w="518" w:type="dxa"/>
          </w:tcPr>
          <w:p w14:paraId="395581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204FEF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31" w:type="dxa"/>
          </w:tcPr>
          <w:p w14:paraId="35A6B5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картофель...................</w:t>
            </w:r>
          </w:p>
        </w:tc>
        <w:tc>
          <w:tcPr>
            <w:tcW w:w="1259" w:type="dxa"/>
          </w:tcPr>
          <w:p w14:paraId="5796FD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500</w:t>
            </w:r>
          </w:p>
        </w:tc>
      </w:tr>
      <w:tr w:rsidR="00643896" w:rsidRPr="00640820" w14:paraId="1C7B5AB3" w14:textId="77777777" w:rsidTr="000D3BCB">
        <w:trPr>
          <w:trHeight w:val="180"/>
        </w:trPr>
        <w:tc>
          <w:tcPr>
            <w:tcW w:w="518" w:type="dxa"/>
          </w:tcPr>
          <w:p w14:paraId="584F74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7B433A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31" w:type="dxa"/>
          </w:tcPr>
          <w:p w14:paraId="5D2F94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капуста свежая или квашенная...........</w:t>
            </w:r>
          </w:p>
        </w:tc>
        <w:tc>
          <w:tcPr>
            <w:tcW w:w="1259" w:type="dxa"/>
          </w:tcPr>
          <w:p w14:paraId="056205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w:t>
            </w:r>
          </w:p>
        </w:tc>
      </w:tr>
      <w:tr w:rsidR="00643896" w:rsidRPr="00640820" w14:paraId="04523260" w14:textId="77777777" w:rsidTr="000D3BCB">
        <w:trPr>
          <w:trHeight w:val="165"/>
        </w:trPr>
        <w:tc>
          <w:tcPr>
            <w:tcW w:w="518" w:type="dxa"/>
          </w:tcPr>
          <w:p w14:paraId="435337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6A77C0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31" w:type="dxa"/>
          </w:tcPr>
          <w:p w14:paraId="0F2EB5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свекла.....................</w:t>
            </w:r>
          </w:p>
        </w:tc>
        <w:tc>
          <w:tcPr>
            <w:tcW w:w="1259" w:type="dxa"/>
          </w:tcPr>
          <w:p w14:paraId="0DE77A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w:t>
            </w:r>
          </w:p>
        </w:tc>
      </w:tr>
      <w:tr w:rsidR="00643896" w:rsidRPr="00640820" w14:paraId="7924231B" w14:textId="77777777" w:rsidTr="000D3BCB">
        <w:trPr>
          <w:trHeight w:val="150"/>
        </w:trPr>
        <w:tc>
          <w:tcPr>
            <w:tcW w:w="518" w:type="dxa"/>
          </w:tcPr>
          <w:p w14:paraId="60634C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5C6BDA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31" w:type="dxa"/>
          </w:tcPr>
          <w:p w14:paraId="309976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морковь....................</w:t>
            </w:r>
          </w:p>
        </w:tc>
        <w:tc>
          <w:tcPr>
            <w:tcW w:w="1259" w:type="dxa"/>
          </w:tcPr>
          <w:p w14:paraId="0A5EFD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55</w:t>
            </w:r>
          </w:p>
        </w:tc>
      </w:tr>
      <w:tr w:rsidR="00643896" w:rsidRPr="00640820" w14:paraId="2D87515C" w14:textId="77777777" w:rsidTr="000D3BCB">
        <w:trPr>
          <w:trHeight w:val="150"/>
        </w:trPr>
        <w:tc>
          <w:tcPr>
            <w:tcW w:w="518" w:type="dxa"/>
          </w:tcPr>
          <w:p w14:paraId="7A63A8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5C4949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31" w:type="dxa"/>
          </w:tcPr>
          <w:p w14:paraId="029027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лук репчатый..................</w:t>
            </w:r>
          </w:p>
        </w:tc>
        <w:tc>
          <w:tcPr>
            <w:tcW w:w="1259" w:type="dxa"/>
          </w:tcPr>
          <w:p w14:paraId="6F4E65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w:t>
            </w:r>
          </w:p>
        </w:tc>
      </w:tr>
      <w:tr w:rsidR="00643896" w:rsidRPr="00640820" w14:paraId="0317E6C0" w14:textId="77777777" w:rsidTr="000D3BCB">
        <w:trPr>
          <w:trHeight w:val="345"/>
        </w:trPr>
        <w:tc>
          <w:tcPr>
            <w:tcW w:w="518" w:type="dxa"/>
          </w:tcPr>
          <w:p w14:paraId="3B48F2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7883DF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31" w:type="dxa"/>
          </w:tcPr>
          <w:p w14:paraId="762B54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коренья, зелень, огурцы..............</w:t>
            </w:r>
          </w:p>
        </w:tc>
        <w:tc>
          <w:tcPr>
            <w:tcW w:w="1259" w:type="dxa"/>
          </w:tcPr>
          <w:p w14:paraId="774A93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w:t>
            </w:r>
          </w:p>
        </w:tc>
      </w:tr>
      <w:tr w:rsidR="00643896" w:rsidRPr="00640820" w14:paraId="53B16617" w14:textId="77777777" w:rsidTr="000D3BCB">
        <w:trPr>
          <w:trHeight w:val="240"/>
        </w:trPr>
        <w:tc>
          <w:tcPr>
            <w:tcW w:w="518" w:type="dxa"/>
          </w:tcPr>
          <w:p w14:paraId="46FBF6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4B246A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31" w:type="dxa"/>
          </w:tcPr>
          <w:p w14:paraId="4F28A7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Итого.........</w:t>
            </w:r>
          </w:p>
        </w:tc>
        <w:tc>
          <w:tcPr>
            <w:tcW w:w="1259" w:type="dxa"/>
          </w:tcPr>
          <w:p w14:paraId="65A05A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885</w:t>
            </w:r>
          </w:p>
        </w:tc>
      </w:tr>
      <w:tr w:rsidR="00643896" w:rsidRPr="00640820" w14:paraId="59ADD102" w14:textId="77777777" w:rsidTr="000D3BCB">
        <w:trPr>
          <w:trHeight w:val="150"/>
        </w:trPr>
        <w:tc>
          <w:tcPr>
            <w:tcW w:w="518" w:type="dxa"/>
          </w:tcPr>
          <w:p w14:paraId="57A65B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w:t>
            </w:r>
          </w:p>
        </w:tc>
        <w:tc>
          <w:tcPr>
            <w:tcW w:w="5631" w:type="dxa"/>
          </w:tcPr>
          <w:p w14:paraId="240180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Томат-паста.....................</w:t>
            </w:r>
          </w:p>
        </w:tc>
        <w:tc>
          <w:tcPr>
            <w:tcW w:w="1259" w:type="dxa"/>
          </w:tcPr>
          <w:p w14:paraId="68A33E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w:t>
            </w:r>
          </w:p>
        </w:tc>
      </w:tr>
      <w:tr w:rsidR="00643896" w:rsidRPr="00640820" w14:paraId="002CDC55" w14:textId="77777777" w:rsidTr="000D3BCB">
        <w:trPr>
          <w:trHeight w:val="165"/>
        </w:trPr>
        <w:tc>
          <w:tcPr>
            <w:tcW w:w="518" w:type="dxa"/>
          </w:tcPr>
          <w:p w14:paraId="7C3827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tc>
        <w:tc>
          <w:tcPr>
            <w:tcW w:w="5631" w:type="dxa"/>
          </w:tcPr>
          <w:p w14:paraId="116150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Мясо.......................</w:t>
            </w:r>
          </w:p>
        </w:tc>
        <w:tc>
          <w:tcPr>
            <w:tcW w:w="1259" w:type="dxa"/>
          </w:tcPr>
          <w:p w14:paraId="5D4D79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350</w:t>
            </w:r>
          </w:p>
        </w:tc>
      </w:tr>
      <w:tr w:rsidR="00643896" w:rsidRPr="00640820" w14:paraId="2DAFAF5E" w14:textId="77777777" w:rsidTr="000D3BCB">
        <w:trPr>
          <w:trHeight w:val="180"/>
        </w:trPr>
        <w:tc>
          <w:tcPr>
            <w:tcW w:w="518" w:type="dxa"/>
          </w:tcPr>
          <w:p w14:paraId="540D47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5631" w:type="dxa"/>
          </w:tcPr>
          <w:p w14:paraId="1C7245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Птица.......................</w:t>
            </w:r>
          </w:p>
        </w:tc>
        <w:tc>
          <w:tcPr>
            <w:tcW w:w="1259" w:type="dxa"/>
          </w:tcPr>
          <w:p w14:paraId="66D5A8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w:t>
            </w:r>
          </w:p>
        </w:tc>
      </w:tr>
      <w:tr w:rsidR="00643896" w:rsidRPr="00640820" w14:paraId="3C768798" w14:textId="77777777" w:rsidTr="000D3BCB">
        <w:trPr>
          <w:trHeight w:val="150"/>
        </w:trPr>
        <w:tc>
          <w:tcPr>
            <w:tcW w:w="518" w:type="dxa"/>
          </w:tcPr>
          <w:p w14:paraId="47E77E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w:t>
            </w:r>
          </w:p>
        </w:tc>
        <w:tc>
          <w:tcPr>
            <w:tcW w:w="5631" w:type="dxa"/>
          </w:tcPr>
          <w:p w14:paraId="16FDBC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Рыба.......................</w:t>
            </w:r>
          </w:p>
        </w:tc>
        <w:tc>
          <w:tcPr>
            <w:tcW w:w="1259" w:type="dxa"/>
          </w:tcPr>
          <w:p w14:paraId="1F37D8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90</w:t>
            </w:r>
          </w:p>
        </w:tc>
      </w:tr>
      <w:tr w:rsidR="00643896" w:rsidRPr="00640820" w14:paraId="5F8B8563" w14:textId="77777777" w:rsidTr="000D3BCB">
        <w:trPr>
          <w:trHeight w:val="165"/>
        </w:trPr>
        <w:tc>
          <w:tcPr>
            <w:tcW w:w="518" w:type="dxa"/>
          </w:tcPr>
          <w:p w14:paraId="2A3C9C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w:t>
            </w:r>
          </w:p>
        </w:tc>
        <w:tc>
          <w:tcPr>
            <w:tcW w:w="5631" w:type="dxa"/>
          </w:tcPr>
          <w:p w14:paraId="7245E8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Творог.......................</w:t>
            </w:r>
          </w:p>
        </w:tc>
        <w:tc>
          <w:tcPr>
            <w:tcW w:w="1259" w:type="dxa"/>
          </w:tcPr>
          <w:p w14:paraId="7EECDA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r>
      <w:tr w:rsidR="00643896" w:rsidRPr="00640820" w14:paraId="6F94395B" w14:textId="77777777" w:rsidTr="000D3BCB">
        <w:trPr>
          <w:trHeight w:val="165"/>
        </w:trPr>
        <w:tc>
          <w:tcPr>
            <w:tcW w:w="518" w:type="dxa"/>
          </w:tcPr>
          <w:p w14:paraId="068904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w:t>
            </w:r>
          </w:p>
        </w:tc>
        <w:tc>
          <w:tcPr>
            <w:tcW w:w="5631" w:type="dxa"/>
          </w:tcPr>
          <w:p w14:paraId="517AAA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Сметана......................</w:t>
            </w:r>
          </w:p>
        </w:tc>
        <w:tc>
          <w:tcPr>
            <w:tcW w:w="1259" w:type="dxa"/>
          </w:tcPr>
          <w:p w14:paraId="69E41F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r>
      <w:tr w:rsidR="00643896" w:rsidRPr="00640820" w14:paraId="10A3A6A8" w14:textId="77777777" w:rsidTr="000D3BCB">
        <w:trPr>
          <w:trHeight w:val="165"/>
        </w:trPr>
        <w:tc>
          <w:tcPr>
            <w:tcW w:w="518" w:type="dxa"/>
          </w:tcPr>
          <w:p w14:paraId="24693A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w:t>
            </w:r>
          </w:p>
        </w:tc>
        <w:tc>
          <w:tcPr>
            <w:tcW w:w="5631" w:type="dxa"/>
          </w:tcPr>
          <w:p w14:paraId="73F987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Молоко свежее....................</w:t>
            </w:r>
          </w:p>
        </w:tc>
        <w:tc>
          <w:tcPr>
            <w:tcW w:w="1259" w:type="dxa"/>
          </w:tcPr>
          <w:p w14:paraId="46C863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w:t>
            </w:r>
          </w:p>
        </w:tc>
      </w:tr>
      <w:tr w:rsidR="00643896" w:rsidRPr="00640820" w14:paraId="216AE91E" w14:textId="77777777" w:rsidTr="000D3BCB">
        <w:trPr>
          <w:trHeight w:val="165"/>
        </w:trPr>
        <w:tc>
          <w:tcPr>
            <w:tcW w:w="518" w:type="dxa"/>
          </w:tcPr>
          <w:p w14:paraId="713D3C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5631" w:type="dxa"/>
          </w:tcPr>
          <w:p w14:paraId="553C0B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Молоко сгущенное или кофе, какао с молоком сгущенным.....</w:t>
            </w:r>
          </w:p>
        </w:tc>
        <w:tc>
          <w:tcPr>
            <w:tcW w:w="1259" w:type="dxa"/>
          </w:tcPr>
          <w:p w14:paraId="7B87BD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r>
      <w:tr w:rsidR="00643896" w:rsidRPr="00640820" w14:paraId="08E9FBE8" w14:textId="77777777" w:rsidTr="000D3BCB">
        <w:trPr>
          <w:trHeight w:val="150"/>
        </w:trPr>
        <w:tc>
          <w:tcPr>
            <w:tcW w:w="518" w:type="dxa"/>
          </w:tcPr>
          <w:p w14:paraId="1D7DF3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w:t>
            </w:r>
          </w:p>
        </w:tc>
        <w:tc>
          <w:tcPr>
            <w:tcW w:w="5631" w:type="dxa"/>
          </w:tcPr>
          <w:p w14:paraId="03E99F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Яйца........................</w:t>
            </w:r>
          </w:p>
        </w:tc>
        <w:tc>
          <w:tcPr>
            <w:tcW w:w="1259" w:type="dxa"/>
          </w:tcPr>
          <w:p w14:paraId="349666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0,5</w:t>
            </w:r>
          </w:p>
        </w:tc>
      </w:tr>
      <w:tr w:rsidR="00643896" w:rsidRPr="00640820" w14:paraId="3D80BFAD" w14:textId="77777777" w:rsidTr="000D3BCB">
        <w:trPr>
          <w:trHeight w:val="150"/>
        </w:trPr>
        <w:tc>
          <w:tcPr>
            <w:tcW w:w="518" w:type="dxa"/>
          </w:tcPr>
          <w:p w14:paraId="1371B9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w:t>
            </w:r>
          </w:p>
        </w:tc>
        <w:tc>
          <w:tcPr>
            <w:tcW w:w="5631" w:type="dxa"/>
          </w:tcPr>
          <w:p w14:paraId="0CE012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Масло сливочное...................</w:t>
            </w:r>
          </w:p>
        </w:tc>
        <w:tc>
          <w:tcPr>
            <w:tcW w:w="1259" w:type="dxa"/>
          </w:tcPr>
          <w:p w14:paraId="0B224A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90</w:t>
            </w:r>
          </w:p>
        </w:tc>
      </w:tr>
      <w:tr w:rsidR="00643896" w:rsidRPr="00640820" w14:paraId="2EE83E40" w14:textId="77777777" w:rsidTr="000D3BCB">
        <w:trPr>
          <w:trHeight w:val="165"/>
        </w:trPr>
        <w:tc>
          <w:tcPr>
            <w:tcW w:w="518" w:type="dxa"/>
          </w:tcPr>
          <w:p w14:paraId="0F4624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w:t>
            </w:r>
          </w:p>
        </w:tc>
        <w:tc>
          <w:tcPr>
            <w:tcW w:w="5631" w:type="dxa"/>
          </w:tcPr>
          <w:p w14:paraId="10F69F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Масло растительное.................</w:t>
            </w:r>
          </w:p>
        </w:tc>
        <w:tc>
          <w:tcPr>
            <w:tcW w:w="1259" w:type="dxa"/>
          </w:tcPr>
          <w:p w14:paraId="604E17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r>
      <w:tr w:rsidR="00643896" w:rsidRPr="00640820" w14:paraId="5964FA12" w14:textId="77777777" w:rsidTr="000D3BCB">
        <w:trPr>
          <w:trHeight w:val="165"/>
        </w:trPr>
        <w:tc>
          <w:tcPr>
            <w:tcW w:w="518" w:type="dxa"/>
          </w:tcPr>
          <w:p w14:paraId="1EA8F2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w:t>
            </w:r>
          </w:p>
        </w:tc>
        <w:tc>
          <w:tcPr>
            <w:tcW w:w="5631" w:type="dxa"/>
          </w:tcPr>
          <w:p w14:paraId="526407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Сахар.......................</w:t>
            </w:r>
          </w:p>
        </w:tc>
        <w:tc>
          <w:tcPr>
            <w:tcW w:w="1259" w:type="dxa"/>
          </w:tcPr>
          <w:p w14:paraId="62790F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80</w:t>
            </w:r>
          </w:p>
        </w:tc>
      </w:tr>
      <w:tr w:rsidR="00643896" w:rsidRPr="00640820" w14:paraId="78A15036" w14:textId="77777777" w:rsidTr="000D3BCB">
        <w:trPr>
          <w:trHeight w:val="165"/>
        </w:trPr>
        <w:tc>
          <w:tcPr>
            <w:tcW w:w="518" w:type="dxa"/>
          </w:tcPr>
          <w:p w14:paraId="11DA71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5631" w:type="dxa"/>
          </w:tcPr>
          <w:p w14:paraId="044EDF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Чай (в месяц)....................</w:t>
            </w:r>
          </w:p>
        </w:tc>
        <w:tc>
          <w:tcPr>
            <w:tcW w:w="1259" w:type="dxa"/>
          </w:tcPr>
          <w:p w14:paraId="60D8CF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w:t>
            </w:r>
          </w:p>
        </w:tc>
      </w:tr>
      <w:tr w:rsidR="00643896" w:rsidRPr="00640820" w14:paraId="17ABE443" w14:textId="77777777" w:rsidTr="000D3BCB">
        <w:trPr>
          <w:trHeight w:val="165"/>
        </w:trPr>
        <w:tc>
          <w:tcPr>
            <w:tcW w:w="518" w:type="dxa"/>
          </w:tcPr>
          <w:p w14:paraId="5F8F1E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w:t>
            </w:r>
          </w:p>
        </w:tc>
        <w:tc>
          <w:tcPr>
            <w:tcW w:w="5631" w:type="dxa"/>
          </w:tcPr>
          <w:p w14:paraId="109E84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Перец.......................</w:t>
            </w:r>
          </w:p>
        </w:tc>
        <w:tc>
          <w:tcPr>
            <w:tcW w:w="1259" w:type="dxa"/>
          </w:tcPr>
          <w:p w14:paraId="2C5017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0,3</w:t>
            </w:r>
          </w:p>
        </w:tc>
      </w:tr>
      <w:tr w:rsidR="00643896" w:rsidRPr="00640820" w14:paraId="34B3F12A" w14:textId="77777777" w:rsidTr="000D3BCB">
        <w:trPr>
          <w:trHeight w:val="165"/>
        </w:trPr>
        <w:tc>
          <w:tcPr>
            <w:tcW w:w="518" w:type="dxa"/>
          </w:tcPr>
          <w:p w14:paraId="3860AB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w:t>
            </w:r>
          </w:p>
        </w:tc>
        <w:tc>
          <w:tcPr>
            <w:tcW w:w="5631" w:type="dxa"/>
          </w:tcPr>
          <w:p w14:paraId="6F8F85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Лавровый лист....................</w:t>
            </w:r>
          </w:p>
        </w:tc>
        <w:tc>
          <w:tcPr>
            <w:tcW w:w="1259" w:type="dxa"/>
          </w:tcPr>
          <w:p w14:paraId="6FEEBC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0,2</w:t>
            </w:r>
          </w:p>
        </w:tc>
      </w:tr>
      <w:tr w:rsidR="00643896" w:rsidRPr="00640820" w14:paraId="08920452" w14:textId="77777777" w:rsidTr="000D3BCB">
        <w:trPr>
          <w:trHeight w:val="165"/>
        </w:trPr>
        <w:tc>
          <w:tcPr>
            <w:tcW w:w="518" w:type="dxa"/>
          </w:tcPr>
          <w:p w14:paraId="7637B4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w:t>
            </w:r>
          </w:p>
        </w:tc>
        <w:tc>
          <w:tcPr>
            <w:tcW w:w="5631" w:type="dxa"/>
          </w:tcPr>
          <w:p w14:paraId="521436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Уксус.......................</w:t>
            </w:r>
          </w:p>
        </w:tc>
        <w:tc>
          <w:tcPr>
            <w:tcW w:w="1259" w:type="dxa"/>
          </w:tcPr>
          <w:p w14:paraId="6C8014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r>
      <w:tr w:rsidR="00643896" w:rsidRPr="00640820" w14:paraId="43524437" w14:textId="77777777" w:rsidTr="000D3BCB">
        <w:trPr>
          <w:trHeight w:val="165"/>
        </w:trPr>
        <w:tc>
          <w:tcPr>
            <w:tcW w:w="518" w:type="dxa"/>
          </w:tcPr>
          <w:p w14:paraId="64BC83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w:t>
            </w:r>
          </w:p>
        </w:tc>
        <w:tc>
          <w:tcPr>
            <w:tcW w:w="5631" w:type="dxa"/>
          </w:tcPr>
          <w:p w14:paraId="2F1AEF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Горчичный порошок..................</w:t>
            </w:r>
          </w:p>
        </w:tc>
        <w:tc>
          <w:tcPr>
            <w:tcW w:w="1259" w:type="dxa"/>
          </w:tcPr>
          <w:p w14:paraId="375B44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0,3</w:t>
            </w:r>
          </w:p>
        </w:tc>
      </w:tr>
      <w:tr w:rsidR="00643896" w:rsidRPr="00640820" w14:paraId="0188F8EB" w14:textId="77777777" w:rsidTr="000D3BCB">
        <w:trPr>
          <w:trHeight w:val="165"/>
        </w:trPr>
        <w:tc>
          <w:tcPr>
            <w:tcW w:w="518" w:type="dxa"/>
          </w:tcPr>
          <w:p w14:paraId="460FC6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w:t>
            </w:r>
          </w:p>
        </w:tc>
        <w:tc>
          <w:tcPr>
            <w:tcW w:w="5631" w:type="dxa"/>
          </w:tcPr>
          <w:p w14:paraId="664791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Соль........................</w:t>
            </w:r>
          </w:p>
        </w:tc>
        <w:tc>
          <w:tcPr>
            <w:tcW w:w="1259" w:type="dxa"/>
          </w:tcPr>
          <w:p w14:paraId="62AF7E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r>
      <w:tr w:rsidR="00643896" w:rsidRPr="00640820" w14:paraId="15B27106" w14:textId="77777777" w:rsidTr="000D3BCB">
        <w:trPr>
          <w:trHeight w:val="180"/>
        </w:trPr>
        <w:tc>
          <w:tcPr>
            <w:tcW w:w="518" w:type="dxa"/>
          </w:tcPr>
          <w:p w14:paraId="7EC1FE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w:t>
            </w:r>
          </w:p>
        </w:tc>
        <w:tc>
          <w:tcPr>
            <w:tcW w:w="5631" w:type="dxa"/>
          </w:tcPr>
          <w:p w14:paraId="733C18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Мука картофельная..................</w:t>
            </w:r>
          </w:p>
        </w:tc>
        <w:tc>
          <w:tcPr>
            <w:tcW w:w="1259" w:type="dxa"/>
          </w:tcPr>
          <w:p w14:paraId="638F90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r>
      <w:tr w:rsidR="00643896" w:rsidRPr="00640820" w14:paraId="1C781BF6" w14:textId="77777777" w:rsidTr="000D3BCB">
        <w:trPr>
          <w:trHeight w:val="165"/>
        </w:trPr>
        <w:tc>
          <w:tcPr>
            <w:tcW w:w="518" w:type="dxa"/>
          </w:tcPr>
          <w:p w14:paraId="79A6AC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27.</w:t>
            </w:r>
          </w:p>
        </w:tc>
        <w:tc>
          <w:tcPr>
            <w:tcW w:w="5631" w:type="dxa"/>
          </w:tcPr>
          <w:p w14:paraId="0A2BE3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Фрукты сушеные...................</w:t>
            </w:r>
          </w:p>
        </w:tc>
        <w:tc>
          <w:tcPr>
            <w:tcW w:w="1259" w:type="dxa"/>
          </w:tcPr>
          <w:p w14:paraId="50B074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r>
      <w:tr w:rsidR="00643896" w:rsidRPr="00640820" w14:paraId="44079D54" w14:textId="77777777" w:rsidTr="000D3BCB">
        <w:trPr>
          <w:trHeight w:val="150"/>
        </w:trPr>
        <w:tc>
          <w:tcPr>
            <w:tcW w:w="518" w:type="dxa"/>
          </w:tcPr>
          <w:p w14:paraId="46D578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w:t>
            </w:r>
          </w:p>
        </w:tc>
        <w:tc>
          <w:tcPr>
            <w:tcW w:w="5631" w:type="dxa"/>
          </w:tcPr>
          <w:p w14:paraId="067988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Сыр........................</w:t>
            </w:r>
          </w:p>
        </w:tc>
        <w:tc>
          <w:tcPr>
            <w:tcW w:w="1259" w:type="dxa"/>
          </w:tcPr>
          <w:p w14:paraId="7F7EF1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r>
      <w:tr w:rsidR="00643896" w:rsidRPr="00640820" w14:paraId="322000A5" w14:textId="77777777" w:rsidTr="000D3BCB">
        <w:trPr>
          <w:trHeight w:val="165"/>
        </w:trPr>
        <w:tc>
          <w:tcPr>
            <w:tcW w:w="518" w:type="dxa"/>
          </w:tcPr>
          <w:p w14:paraId="732B67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w:t>
            </w:r>
          </w:p>
        </w:tc>
        <w:tc>
          <w:tcPr>
            <w:tcW w:w="5631" w:type="dxa"/>
          </w:tcPr>
          <w:p w14:paraId="631E09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Экстракт фруктовый..................</w:t>
            </w:r>
          </w:p>
        </w:tc>
        <w:tc>
          <w:tcPr>
            <w:tcW w:w="1259" w:type="dxa"/>
          </w:tcPr>
          <w:p w14:paraId="125717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r>
      <w:tr w:rsidR="00643896" w:rsidRPr="00640820" w14:paraId="7D4FEB71" w14:textId="77777777" w:rsidTr="000D3BCB">
        <w:trPr>
          <w:trHeight w:val="150"/>
        </w:trPr>
        <w:tc>
          <w:tcPr>
            <w:tcW w:w="518" w:type="dxa"/>
          </w:tcPr>
          <w:p w14:paraId="10C58C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c>
          <w:tcPr>
            <w:tcW w:w="5631" w:type="dxa"/>
          </w:tcPr>
          <w:p w14:paraId="05B4FD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Папиросы 1 сорта (штук)................</w:t>
            </w:r>
          </w:p>
        </w:tc>
        <w:tc>
          <w:tcPr>
            <w:tcW w:w="1259" w:type="dxa"/>
          </w:tcPr>
          <w:p w14:paraId="0B6D5B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w:t>
            </w:r>
          </w:p>
        </w:tc>
      </w:tr>
      <w:tr w:rsidR="00643896" w:rsidRPr="00640820" w14:paraId="46FBCE4E" w14:textId="77777777" w:rsidTr="000D3BCB">
        <w:trPr>
          <w:trHeight w:val="150"/>
        </w:trPr>
        <w:tc>
          <w:tcPr>
            <w:tcW w:w="518" w:type="dxa"/>
          </w:tcPr>
          <w:p w14:paraId="7E0858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213014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31" w:type="dxa"/>
          </w:tcPr>
          <w:p w14:paraId="4C7D48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или табак......................</w:t>
            </w:r>
          </w:p>
        </w:tc>
        <w:tc>
          <w:tcPr>
            <w:tcW w:w="1259" w:type="dxa"/>
          </w:tcPr>
          <w:p w14:paraId="7D47CF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w:t>
            </w:r>
          </w:p>
        </w:tc>
      </w:tr>
      <w:tr w:rsidR="00643896" w:rsidRPr="00640820" w14:paraId="50F4D97E" w14:textId="77777777" w:rsidTr="000D3BCB">
        <w:trPr>
          <w:trHeight w:val="165"/>
        </w:trPr>
        <w:tc>
          <w:tcPr>
            <w:tcW w:w="518" w:type="dxa"/>
          </w:tcPr>
          <w:p w14:paraId="452650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w:t>
            </w:r>
          </w:p>
        </w:tc>
        <w:tc>
          <w:tcPr>
            <w:tcW w:w="5631" w:type="dxa"/>
          </w:tcPr>
          <w:p w14:paraId="69E30B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Спички (коробок в месяц)................</w:t>
            </w:r>
          </w:p>
        </w:tc>
        <w:tc>
          <w:tcPr>
            <w:tcW w:w="1259" w:type="dxa"/>
          </w:tcPr>
          <w:p w14:paraId="463A98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r>
      <w:tr w:rsidR="00643896" w:rsidRPr="00640820" w14:paraId="0048C067" w14:textId="77777777" w:rsidTr="000D3BCB">
        <w:trPr>
          <w:trHeight w:val="150"/>
        </w:trPr>
        <w:tc>
          <w:tcPr>
            <w:tcW w:w="518" w:type="dxa"/>
            <w:tcBorders>
              <w:bottom w:val="single" w:sz="12" w:space="0" w:color="auto"/>
            </w:tcBorders>
          </w:tcPr>
          <w:p w14:paraId="5C4894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w:t>
            </w:r>
          </w:p>
        </w:tc>
        <w:tc>
          <w:tcPr>
            <w:tcW w:w="5631" w:type="dxa"/>
            <w:tcBorders>
              <w:bottom w:val="single" w:sz="12" w:space="0" w:color="auto"/>
            </w:tcBorders>
          </w:tcPr>
          <w:p w14:paraId="676AA2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Мыло туалетное (в месяц)................</w:t>
            </w:r>
          </w:p>
        </w:tc>
        <w:tc>
          <w:tcPr>
            <w:tcW w:w="1259" w:type="dxa"/>
            <w:tcBorders>
              <w:bottom w:val="single" w:sz="12" w:space="0" w:color="auto"/>
            </w:tcBorders>
          </w:tcPr>
          <w:p w14:paraId="00E8DB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w:t>
            </w:r>
          </w:p>
        </w:tc>
      </w:tr>
    </w:tbl>
    <w:p w14:paraId="0209EB97"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Приложение № 7</w:t>
      </w:r>
    </w:p>
    <w:p w14:paraId="519FB9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НОРМЫ СУТОЧНОГО ДОВОЛЬСТВИЯ БОЕВОГО РАСЧЕТА ЭКИПАЖЕЙ САМОЛЕТОВ,</w:t>
      </w:r>
    </w:p>
    <w:p w14:paraId="7796E7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 ВХОДЯЩИХ В СОСТАВ ДЕЙСТВУЮЩЕЙ АРМИИ, И ЛЕТНО-ТЕХНИЧЕСКОГО</w:t>
      </w:r>
    </w:p>
    <w:p w14:paraId="73299A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СОСТАВА, НАХОДЯЩЕГОСЯ НА КАЗАРМЕННОМ ПОЛОЖЕНИИ</w:t>
      </w:r>
    </w:p>
    <w:tbl>
      <w:tblPr>
        <w:tblW w:w="0" w:type="auto"/>
        <w:tblInd w:w="3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519"/>
        <w:gridCol w:w="5643"/>
        <w:gridCol w:w="1336"/>
      </w:tblGrid>
      <w:tr w:rsidR="00643896" w:rsidRPr="00640820" w14:paraId="03A195D9" w14:textId="77777777" w:rsidTr="000D3BCB">
        <w:trPr>
          <w:trHeight w:val="240"/>
        </w:trPr>
        <w:tc>
          <w:tcPr>
            <w:tcW w:w="519" w:type="dxa"/>
            <w:tcBorders>
              <w:top w:val="single" w:sz="12" w:space="0" w:color="auto"/>
            </w:tcBorders>
          </w:tcPr>
          <w:p w14:paraId="1E1A4D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пп</w:t>
            </w:r>
          </w:p>
        </w:tc>
        <w:tc>
          <w:tcPr>
            <w:tcW w:w="5643" w:type="dxa"/>
            <w:tcBorders>
              <w:top w:val="single" w:sz="12" w:space="0" w:color="auto"/>
            </w:tcBorders>
          </w:tcPr>
          <w:p w14:paraId="720964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Наименование продуктов</w:t>
            </w:r>
          </w:p>
        </w:tc>
        <w:tc>
          <w:tcPr>
            <w:tcW w:w="1336" w:type="dxa"/>
            <w:tcBorders>
              <w:top w:val="single" w:sz="12" w:space="0" w:color="auto"/>
            </w:tcBorders>
          </w:tcPr>
          <w:p w14:paraId="6D6CD7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в граммах</w:t>
            </w:r>
          </w:p>
        </w:tc>
      </w:tr>
      <w:tr w:rsidR="00643896" w:rsidRPr="00640820" w14:paraId="7A257B10" w14:textId="77777777" w:rsidTr="000D3BCB">
        <w:trPr>
          <w:trHeight w:val="240"/>
        </w:trPr>
        <w:tc>
          <w:tcPr>
            <w:tcW w:w="519" w:type="dxa"/>
          </w:tcPr>
          <w:p w14:paraId="68FE5C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5643" w:type="dxa"/>
          </w:tcPr>
          <w:p w14:paraId="013377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1336" w:type="dxa"/>
          </w:tcPr>
          <w:p w14:paraId="2E8332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r>
      <w:tr w:rsidR="00643896" w:rsidRPr="00640820" w14:paraId="093A5078" w14:textId="77777777" w:rsidTr="000D3BCB">
        <w:trPr>
          <w:trHeight w:val="240"/>
        </w:trPr>
        <w:tc>
          <w:tcPr>
            <w:tcW w:w="519" w:type="dxa"/>
          </w:tcPr>
          <w:p w14:paraId="0AEF10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5643" w:type="dxa"/>
          </w:tcPr>
          <w:p w14:paraId="106963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Хлеб из ржаной и обойной муки</w:t>
            </w:r>
          </w:p>
        </w:tc>
        <w:tc>
          <w:tcPr>
            <w:tcW w:w="1336" w:type="dxa"/>
          </w:tcPr>
          <w:p w14:paraId="3612C5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400</w:t>
            </w:r>
          </w:p>
        </w:tc>
      </w:tr>
      <w:tr w:rsidR="00643896" w:rsidRPr="00640820" w14:paraId="2AD1F2CF" w14:textId="77777777" w:rsidTr="000D3BCB">
        <w:trPr>
          <w:trHeight w:val="240"/>
        </w:trPr>
        <w:tc>
          <w:tcPr>
            <w:tcW w:w="519" w:type="dxa"/>
          </w:tcPr>
          <w:p w14:paraId="1D2DB1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5643" w:type="dxa"/>
          </w:tcPr>
          <w:p w14:paraId="7D055E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Хлеб пшеничный из муки 2 сорта</w:t>
            </w:r>
          </w:p>
        </w:tc>
        <w:tc>
          <w:tcPr>
            <w:tcW w:w="1336" w:type="dxa"/>
          </w:tcPr>
          <w:p w14:paraId="5201D1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w:t>
            </w:r>
          </w:p>
        </w:tc>
      </w:tr>
      <w:tr w:rsidR="00643896" w:rsidRPr="00640820" w14:paraId="58F32D62" w14:textId="77777777" w:rsidTr="000D3BCB">
        <w:trPr>
          <w:trHeight w:val="240"/>
        </w:trPr>
        <w:tc>
          <w:tcPr>
            <w:tcW w:w="519" w:type="dxa"/>
          </w:tcPr>
          <w:p w14:paraId="535CB3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c>
          <w:tcPr>
            <w:tcW w:w="5643" w:type="dxa"/>
          </w:tcPr>
          <w:p w14:paraId="264F1C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Мука пшеничная 2 соота</w:t>
            </w:r>
          </w:p>
        </w:tc>
        <w:tc>
          <w:tcPr>
            <w:tcW w:w="1336" w:type="dxa"/>
          </w:tcPr>
          <w:p w14:paraId="43F995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r>
      <w:tr w:rsidR="00643896" w:rsidRPr="00640820" w14:paraId="08A5D6C3" w14:textId="77777777" w:rsidTr="000D3BCB">
        <w:trPr>
          <w:trHeight w:val="240"/>
        </w:trPr>
        <w:tc>
          <w:tcPr>
            <w:tcW w:w="519" w:type="dxa"/>
          </w:tcPr>
          <w:p w14:paraId="0420F6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5643" w:type="dxa"/>
          </w:tcPr>
          <w:p w14:paraId="7FA6D7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Крупа разная....................</w:t>
            </w:r>
          </w:p>
        </w:tc>
        <w:tc>
          <w:tcPr>
            <w:tcW w:w="1336" w:type="dxa"/>
          </w:tcPr>
          <w:p w14:paraId="3EACDC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80</w:t>
            </w:r>
          </w:p>
        </w:tc>
      </w:tr>
      <w:tr w:rsidR="00643896" w:rsidRPr="00640820" w14:paraId="1D9BADD7" w14:textId="77777777" w:rsidTr="000D3BCB">
        <w:trPr>
          <w:trHeight w:val="165"/>
        </w:trPr>
        <w:tc>
          <w:tcPr>
            <w:tcW w:w="519" w:type="dxa"/>
          </w:tcPr>
          <w:p w14:paraId="5D2CA0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5643" w:type="dxa"/>
          </w:tcPr>
          <w:p w14:paraId="142767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Рис........................</w:t>
            </w:r>
          </w:p>
        </w:tc>
        <w:tc>
          <w:tcPr>
            <w:tcW w:w="1336" w:type="dxa"/>
          </w:tcPr>
          <w:p w14:paraId="46B15F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r>
      <w:tr w:rsidR="00643896" w:rsidRPr="00640820" w14:paraId="42049589" w14:textId="77777777" w:rsidTr="000D3BCB">
        <w:trPr>
          <w:trHeight w:val="150"/>
        </w:trPr>
        <w:tc>
          <w:tcPr>
            <w:tcW w:w="519" w:type="dxa"/>
          </w:tcPr>
          <w:p w14:paraId="7868C8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c>
          <w:tcPr>
            <w:tcW w:w="5643" w:type="dxa"/>
          </w:tcPr>
          <w:p w14:paraId="66E872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Макароны......................</w:t>
            </w:r>
          </w:p>
        </w:tc>
        <w:tc>
          <w:tcPr>
            <w:tcW w:w="1336" w:type="dxa"/>
          </w:tcPr>
          <w:p w14:paraId="7E84A6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r>
      <w:tr w:rsidR="00643896" w:rsidRPr="00640820" w14:paraId="27A33D2B" w14:textId="77777777" w:rsidTr="000D3BCB">
        <w:trPr>
          <w:trHeight w:val="180"/>
        </w:trPr>
        <w:tc>
          <w:tcPr>
            <w:tcW w:w="519" w:type="dxa"/>
          </w:tcPr>
          <w:p w14:paraId="44E96E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w:t>
            </w:r>
          </w:p>
        </w:tc>
        <w:tc>
          <w:tcPr>
            <w:tcW w:w="5643" w:type="dxa"/>
          </w:tcPr>
          <w:p w14:paraId="4A420F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Овощи:</w:t>
            </w:r>
          </w:p>
        </w:tc>
        <w:tc>
          <w:tcPr>
            <w:tcW w:w="1336" w:type="dxa"/>
          </w:tcPr>
          <w:p w14:paraId="63466A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1F76B2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r>
      <w:tr w:rsidR="00643896" w:rsidRPr="00640820" w14:paraId="3D49AB70" w14:textId="77777777" w:rsidTr="000D3BCB">
        <w:trPr>
          <w:trHeight w:val="150"/>
        </w:trPr>
        <w:tc>
          <w:tcPr>
            <w:tcW w:w="519" w:type="dxa"/>
          </w:tcPr>
          <w:p w14:paraId="3C6E64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721260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43" w:type="dxa"/>
          </w:tcPr>
          <w:p w14:paraId="45FD00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Картофель...................</w:t>
            </w:r>
          </w:p>
        </w:tc>
        <w:tc>
          <w:tcPr>
            <w:tcW w:w="1336" w:type="dxa"/>
          </w:tcPr>
          <w:p w14:paraId="1614F6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500</w:t>
            </w:r>
          </w:p>
        </w:tc>
      </w:tr>
      <w:tr w:rsidR="00643896" w:rsidRPr="00640820" w14:paraId="0EE700E8" w14:textId="77777777" w:rsidTr="000D3BCB">
        <w:trPr>
          <w:trHeight w:val="165"/>
        </w:trPr>
        <w:tc>
          <w:tcPr>
            <w:tcW w:w="519" w:type="dxa"/>
          </w:tcPr>
          <w:p w14:paraId="4E42C3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724666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43" w:type="dxa"/>
          </w:tcPr>
          <w:p w14:paraId="11E544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капуста свежая или квашеная............</w:t>
            </w:r>
          </w:p>
        </w:tc>
        <w:tc>
          <w:tcPr>
            <w:tcW w:w="1336" w:type="dxa"/>
          </w:tcPr>
          <w:p w14:paraId="23805F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w:t>
            </w:r>
          </w:p>
        </w:tc>
      </w:tr>
      <w:tr w:rsidR="00643896" w:rsidRPr="00640820" w14:paraId="1CA44E36" w14:textId="77777777" w:rsidTr="000D3BCB">
        <w:trPr>
          <w:trHeight w:val="165"/>
        </w:trPr>
        <w:tc>
          <w:tcPr>
            <w:tcW w:w="519" w:type="dxa"/>
          </w:tcPr>
          <w:p w14:paraId="4F1A6C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43CD72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43" w:type="dxa"/>
          </w:tcPr>
          <w:p w14:paraId="3B9C6A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свекла.....................</w:t>
            </w:r>
          </w:p>
        </w:tc>
        <w:tc>
          <w:tcPr>
            <w:tcW w:w="1336" w:type="dxa"/>
          </w:tcPr>
          <w:p w14:paraId="7AA164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r>
      <w:tr w:rsidR="00643896" w:rsidRPr="00640820" w14:paraId="4142385D" w14:textId="77777777" w:rsidTr="000D3BCB">
        <w:trPr>
          <w:trHeight w:val="150"/>
        </w:trPr>
        <w:tc>
          <w:tcPr>
            <w:tcW w:w="519" w:type="dxa"/>
          </w:tcPr>
          <w:p w14:paraId="665923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04ADA3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43" w:type="dxa"/>
          </w:tcPr>
          <w:p w14:paraId="1466A9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морковь....................</w:t>
            </w:r>
          </w:p>
        </w:tc>
        <w:tc>
          <w:tcPr>
            <w:tcW w:w="1336" w:type="dxa"/>
          </w:tcPr>
          <w:p w14:paraId="417F07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w:t>
            </w:r>
          </w:p>
        </w:tc>
      </w:tr>
      <w:tr w:rsidR="00643896" w:rsidRPr="00640820" w14:paraId="5D13B3BB" w14:textId="77777777" w:rsidTr="000D3BCB">
        <w:trPr>
          <w:trHeight w:val="165"/>
        </w:trPr>
        <w:tc>
          <w:tcPr>
            <w:tcW w:w="519" w:type="dxa"/>
          </w:tcPr>
          <w:p w14:paraId="24790F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535148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43" w:type="dxa"/>
          </w:tcPr>
          <w:p w14:paraId="704C90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лук репчатый..................</w:t>
            </w:r>
          </w:p>
        </w:tc>
        <w:tc>
          <w:tcPr>
            <w:tcW w:w="1336" w:type="dxa"/>
          </w:tcPr>
          <w:p w14:paraId="443FC2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r>
      <w:tr w:rsidR="00643896" w:rsidRPr="00640820" w14:paraId="71DDEB41" w14:textId="77777777" w:rsidTr="000D3BCB">
        <w:trPr>
          <w:trHeight w:val="345"/>
        </w:trPr>
        <w:tc>
          <w:tcPr>
            <w:tcW w:w="519" w:type="dxa"/>
          </w:tcPr>
          <w:p w14:paraId="57E2F3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38AD55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43" w:type="dxa"/>
          </w:tcPr>
          <w:p w14:paraId="6CAB7B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коренья, зелень, огурцы..............</w:t>
            </w:r>
          </w:p>
        </w:tc>
        <w:tc>
          <w:tcPr>
            <w:tcW w:w="1336" w:type="dxa"/>
          </w:tcPr>
          <w:p w14:paraId="09AAA0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w:t>
            </w:r>
          </w:p>
        </w:tc>
      </w:tr>
      <w:tr w:rsidR="00643896" w:rsidRPr="00640820" w14:paraId="69E00481" w14:textId="77777777" w:rsidTr="000D3BCB">
        <w:trPr>
          <w:trHeight w:val="225"/>
        </w:trPr>
        <w:tc>
          <w:tcPr>
            <w:tcW w:w="519" w:type="dxa"/>
          </w:tcPr>
          <w:p w14:paraId="699718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64A6B6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43" w:type="dxa"/>
          </w:tcPr>
          <w:p w14:paraId="6AA861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Итого.........</w:t>
            </w:r>
          </w:p>
        </w:tc>
        <w:tc>
          <w:tcPr>
            <w:tcW w:w="1336" w:type="dxa"/>
          </w:tcPr>
          <w:p w14:paraId="58B319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835</w:t>
            </w:r>
          </w:p>
        </w:tc>
      </w:tr>
      <w:tr w:rsidR="00643896" w:rsidRPr="00640820" w14:paraId="4F8B742D" w14:textId="77777777" w:rsidTr="000D3BCB">
        <w:trPr>
          <w:trHeight w:val="195"/>
        </w:trPr>
        <w:tc>
          <w:tcPr>
            <w:tcW w:w="519" w:type="dxa"/>
          </w:tcPr>
          <w:p w14:paraId="5219CA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w:t>
            </w:r>
          </w:p>
        </w:tc>
        <w:tc>
          <w:tcPr>
            <w:tcW w:w="5643" w:type="dxa"/>
          </w:tcPr>
          <w:p w14:paraId="427160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Томат-паста.....................</w:t>
            </w:r>
          </w:p>
        </w:tc>
        <w:tc>
          <w:tcPr>
            <w:tcW w:w="1336" w:type="dxa"/>
          </w:tcPr>
          <w:p w14:paraId="129A96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r>
      <w:tr w:rsidR="00643896" w:rsidRPr="00640820" w14:paraId="7D94B991" w14:textId="77777777" w:rsidTr="000D3BCB">
        <w:trPr>
          <w:trHeight w:val="150"/>
        </w:trPr>
        <w:tc>
          <w:tcPr>
            <w:tcW w:w="519" w:type="dxa"/>
          </w:tcPr>
          <w:p w14:paraId="33F4C2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tc>
        <w:tc>
          <w:tcPr>
            <w:tcW w:w="5643" w:type="dxa"/>
          </w:tcPr>
          <w:p w14:paraId="4FD5C4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Мясо........................</w:t>
            </w:r>
          </w:p>
        </w:tc>
        <w:tc>
          <w:tcPr>
            <w:tcW w:w="1336" w:type="dxa"/>
          </w:tcPr>
          <w:p w14:paraId="56D67D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w:t>
            </w:r>
          </w:p>
        </w:tc>
      </w:tr>
      <w:tr w:rsidR="00643896" w:rsidRPr="00640820" w14:paraId="7A8194C5" w14:textId="77777777" w:rsidTr="000D3BCB">
        <w:trPr>
          <w:trHeight w:val="150"/>
        </w:trPr>
        <w:tc>
          <w:tcPr>
            <w:tcW w:w="519" w:type="dxa"/>
          </w:tcPr>
          <w:p w14:paraId="4D9FEC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5643" w:type="dxa"/>
          </w:tcPr>
          <w:p w14:paraId="0B4F61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Рыба........................</w:t>
            </w:r>
          </w:p>
        </w:tc>
        <w:tc>
          <w:tcPr>
            <w:tcW w:w="1336" w:type="dxa"/>
          </w:tcPr>
          <w:p w14:paraId="7F6255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70</w:t>
            </w:r>
          </w:p>
        </w:tc>
      </w:tr>
      <w:tr w:rsidR="00643896" w:rsidRPr="00640820" w14:paraId="3EC9BF30" w14:textId="77777777" w:rsidTr="000D3BCB">
        <w:trPr>
          <w:trHeight w:val="165"/>
        </w:trPr>
        <w:tc>
          <w:tcPr>
            <w:tcW w:w="519" w:type="dxa"/>
          </w:tcPr>
          <w:p w14:paraId="583555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w:t>
            </w:r>
          </w:p>
        </w:tc>
        <w:tc>
          <w:tcPr>
            <w:tcW w:w="5643" w:type="dxa"/>
          </w:tcPr>
          <w:p w14:paraId="112D87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Творог........................</w:t>
            </w:r>
          </w:p>
        </w:tc>
        <w:tc>
          <w:tcPr>
            <w:tcW w:w="1336" w:type="dxa"/>
          </w:tcPr>
          <w:p w14:paraId="1AAECB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r>
      <w:tr w:rsidR="00643896" w:rsidRPr="00640820" w14:paraId="72933343" w14:textId="77777777" w:rsidTr="000D3BCB">
        <w:trPr>
          <w:trHeight w:val="165"/>
        </w:trPr>
        <w:tc>
          <w:tcPr>
            <w:tcW w:w="519" w:type="dxa"/>
          </w:tcPr>
          <w:p w14:paraId="5CB865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w:t>
            </w:r>
          </w:p>
        </w:tc>
        <w:tc>
          <w:tcPr>
            <w:tcW w:w="5643" w:type="dxa"/>
          </w:tcPr>
          <w:p w14:paraId="291B1A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Сметана......................</w:t>
            </w:r>
          </w:p>
        </w:tc>
        <w:tc>
          <w:tcPr>
            <w:tcW w:w="1336" w:type="dxa"/>
          </w:tcPr>
          <w:p w14:paraId="0FD828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r>
      <w:tr w:rsidR="00643896" w:rsidRPr="00640820" w14:paraId="6FFBEE01" w14:textId="77777777" w:rsidTr="000D3BCB">
        <w:trPr>
          <w:trHeight w:val="150"/>
        </w:trPr>
        <w:tc>
          <w:tcPr>
            <w:tcW w:w="519" w:type="dxa"/>
          </w:tcPr>
          <w:p w14:paraId="142279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w:t>
            </w:r>
          </w:p>
        </w:tc>
        <w:tc>
          <w:tcPr>
            <w:tcW w:w="5643" w:type="dxa"/>
          </w:tcPr>
          <w:p w14:paraId="099B9C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Молоко свежее....................</w:t>
            </w:r>
          </w:p>
        </w:tc>
        <w:tc>
          <w:tcPr>
            <w:tcW w:w="1336" w:type="dxa"/>
          </w:tcPr>
          <w:p w14:paraId="31DC6A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w:t>
            </w:r>
          </w:p>
        </w:tc>
      </w:tr>
      <w:tr w:rsidR="00643896" w:rsidRPr="00640820" w14:paraId="0BB1AECE" w14:textId="77777777" w:rsidTr="000D3BCB">
        <w:trPr>
          <w:trHeight w:val="165"/>
        </w:trPr>
        <w:tc>
          <w:tcPr>
            <w:tcW w:w="519" w:type="dxa"/>
          </w:tcPr>
          <w:p w14:paraId="2EE6A1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w:t>
            </w:r>
          </w:p>
        </w:tc>
        <w:tc>
          <w:tcPr>
            <w:tcW w:w="5643" w:type="dxa"/>
          </w:tcPr>
          <w:p w14:paraId="60C090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Яйца (штук).....................</w:t>
            </w:r>
          </w:p>
        </w:tc>
        <w:tc>
          <w:tcPr>
            <w:tcW w:w="1336" w:type="dxa"/>
          </w:tcPr>
          <w:p w14:paraId="5672C3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0,5</w:t>
            </w:r>
          </w:p>
        </w:tc>
      </w:tr>
      <w:tr w:rsidR="00643896" w:rsidRPr="00640820" w14:paraId="4167F89C" w14:textId="77777777" w:rsidTr="000D3BCB">
        <w:trPr>
          <w:trHeight w:val="180"/>
        </w:trPr>
        <w:tc>
          <w:tcPr>
            <w:tcW w:w="519" w:type="dxa"/>
          </w:tcPr>
          <w:p w14:paraId="3A8BC9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5643" w:type="dxa"/>
          </w:tcPr>
          <w:p w14:paraId="1FC154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Масло сливочное...................</w:t>
            </w:r>
          </w:p>
        </w:tc>
        <w:tc>
          <w:tcPr>
            <w:tcW w:w="1336" w:type="dxa"/>
          </w:tcPr>
          <w:p w14:paraId="56D4EB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w:t>
            </w:r>
          </w:p>
        </w:tc>
      </w:tr>
      <w:tr w:rsidR="00643896" w:rsidRPr="00640820" w14:paraId="3E42C7D0" w14:textId="77777777" w:rsidTr="000D3BCB">
        <w:trPr>
          <w:trHeight w:val="180"/>
        </w:trPr>
        <w:tc>
          <w:tcPr>
            <w:tcW w:w="519" w:type="dxa"/>
          </w:tcPr>
          <w:p w14:paraId="4CB955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w:t>
            </w:r>
          </w:p>
        </w:tc>
        <w:tc>
          <w:tcPr>
            <w:tcW w:w="5643" w:type="dxa"/>
          </w:tcPr>
          <w:p w14:paraId="7D0998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Масло растительное..................</w:t>
            </w:r>
          </w:p>
        </w:tc>
        <w:tc>
          <w:tcPr>
            <w:tcW w:w="1336" w:type="dxa"/>
          </w:tcPr>
          <w:p w14:paraId="742B5A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r>
      <w:tr w:rsidR="00643896" w:rsidRPr="00640820" w14:paraId="7BEC5C3F" w14:textId="77777777" w:rsidTr="000D3BCB">
        <w:trPr>
          <w:trHeight w:val="150"/>
        </w:trPr>
        <w:tc>
          <w:tcPr>
            <w:tcW w:w="519" w:type="dxa"/>
          </w:tcPr>
          <w:p w14:paraId="22F841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w:t>
            </w:r>
          </w:p>
        </w:tc>
        <w:tc>
          <w:tcPr>
            <w:tcW w:w="5643" w:type="dxa"/>
          </w:tcPr>
          <w:p w14:paraId="28E6EB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Сахар.......................</w:t>
            </w:r>
          </w:p>
        </w:tc>
        <w:tc>
          <w:tcPr>
            <w:tcW w:w="1336" w:type="dxa"/>
          </w:tcPr>
          <w:p w14:paraId="3DE457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w:t>
            </w:r>
          </w:p>
        </w:tc>
      </w:tr>
      <w:tr w:rsidR="00643896" w:rsidRPr="00640820" w14:paraId="29672C6F" w14:textId="77777777" w:rsidTr="000D3BCB">
        <w:trPr>
          <w:trHeight w:val="165"/>
        </w:trPr>
        <w:tc>
          <w:tcPr>
            <w:tcW w:w="519" w:type="dxa"/>
          </w:tcPr>
          <w:p w14:paraId="359BC4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w:t>
            </w:r>
          </w:p>
        </w:tc>
        <w:tc>
          <w:tcPr>
            <w:tcW w:w="5643" w:type="dxa"/>
          </w:tcPr>
          <w:p w14:paraId="33CEB7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Чай........................</w:t>
            </w:r>
          </w:p>
        </w:tc>
        <w:tc>
          <w:tcPr>
            <w:tcW w:w="1336" w:type="dxa"/>
          </w:tcPr>
          <w:p w14:paraId="1C6352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r>
      <w:tr w:rsidR="00643896" w:rsidRPr="00640820" w14:paraId="62757A8A" w14:textId="77777777" w:rsidTr="000D3BCB">
        <w:trPr>
          <w:trHeight w:val="165"/>
        </w:trPr>
        <w:tc>
          <w:tcPr>
            <w:tcW w:w="519" w:type="dxa"/>
          </w:tcPr>
          <w:p w14:paraId="76206E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w:t>
            </w:r>
          </w:p>
        </w:tc>
        <w:tc>
          <w:tcPr>
            <w:tcW w:w="5643" w:type="dxa"/>
          </w:tcPr>
          <w:p w14:paraId="5541A5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Перец.......................</w:t>
            </w:r>
          </w:p>
        </w:tc>
        <w:tc>
          <w:tcPr>
            <w:tcW w:w="1336" w:type="dxa"/>
          </w:tcPr>
          <w:p w14:paraId="52715F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0,3</w:t>
            </w:r>
          </w:p>
        </w:tc>
      </w:tr>
      <w:tr w:rsidR="00643896" w:rsidRPr="00640820" w14:paraId="6A4E7886" w14:textId="77777777" w:rsidTr="000D3BCB">
        <w:trPr>
          <w:trHeight w:val="150"/>
        </w:trPr>
        <w:tc>
          <w:tcPr>
            <w:tcW w:w="519" w:type="dxa"/>
          </w:tcPr>
          <w:p w14:paraId="4FEAE1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5643" w:type="dxa"/>
          </w:tcPr>
          <w:p w14:paraId="00C72A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Лавровый лист....................</w:t>
            </w:r>
          </w:p>
        </w:tc>
        <w:tc>
          <w:tcPr>
            <w:tcW w:w="1336" w:type="dxa"/>
          </w:tcPr>
          <w:p w14:paraId="73C868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0,2</w:t>
            </w:r>
          </w:p>
        </w:tc>
      </w:tr>
      <w:tr w:rsidR="00643896" w:rsidRPr="00640820" w14:paraId="4AA1A3D4" w14:textId="77777777" w:rsidTr="000D3BCB">
        <w:trPr>
          <w:trHeight w:val="180"/>
        </w:trPr>
        <w:tc>
          <w:tcPr>
            <w:tcW w:w="519" w:type="dxa"/>
          </w:tcPr>
          <w:p w14:paraId="5F7292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w:t>
            </w:r>
          </w:p>
        </w:tc>
        <w:tc>
          <w:tcPr>
            <w:tcW w:w="5643" w:type="dxa"/>
          </w:tcPr>
          <w:p w14:paraId="495FD9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Уксус.......................</w:t>
            </w:r>
          </w:p>
        </w:tc>
        <w:tc>
          <w:tcPr>
            <w:tcW w:w="1336" w:type="dxa"/>
          </w:tcPr>
          <w:p w14:paraId="7D33E3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r>
      <w:tr w:rsidR="00643896" w:rsidRPr="00640820" w14:paraId="52E5A152" w14:textId="77777777" w:rsidTr="000D3BCB">
        <w:trPr>
          <w:trHeight w:val="165"/>
        </w:trPr>
        <w:tc>
          <w:tcPr>
            <w:tcW w:w="519" w:type="dxa"/>
          </w:tcPr>
          <w:p w14:paraId="3616E1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w:t>
            </w:r>
          </w:p>
        </w:tc>
        <w:tc>
          <w:tcPr>
            <w:tcW w:w="5643" w:type="dxa"/>
          </w:tcPr>
          <w:p w14:paraId="26E2EF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Горчичный порошок..................</w:t>
            </w:r>
          </w:p>
        </w:tc>
        <w:tc>
          <w:tcPr>
            <w:tcW w:w="1336" w:type="dxa"/>
          </w:tcPr>
          <w:p w14:paraId="6B0C53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0,3</w:t>
            </w:r>
          </w:p>
        </w:tc>
      </w:tr>
      <w:tr w:rsidR="00643896" w:rsidRPr="00640820" w14:paraId="401A6124" w14:textId="77777777" w:rsidTr="000D3BCB">
        <w:trPr>
          <w:trHeight w:val="180"/>
        </w:trPr>
        <w:tc>
          <w:tcPr>
            <w:tcW w:w="519" w:type="dxa"/>
          </w:tcPr>
          <w:p w14:paraId="4E6A9E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w:t>
            </w:r>
          </w:p>
        </w:tc>
        <w:tc>
          <w:tcPr>
            <w:tcW w:w="5643" w:type="dxa"/>
          </w:tcPr>
          <w:p w14:paraId="6B5095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Соль........................</w:t>
            </w:r>
          </w:p>
        </w:tc>
        <w:tc>
          <w:tcPr>
            <w:tcW w:w="1336" w:type="dxa"/>
          </w:tcPr>
          <w:p w14:paraId="0D8EF3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r>
      <w:tr w:rsidR="00643896" w:rsidRPr="00640820" w14:paraId="1AAAF723" w14:textId="77777777" w:rsidTr="000D3BCB">
        <w:trPr>
          <w:trHeight w:val="150"/>
        </w:trPr>
        <w:tc>
          <w:tcPr>
            <w:tcW w:w="519" w:type="dxa"/>
          </w:tcPr>
          <w:p w14:paraId="4F0D8A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w:t>
            </w:r>
          </w:p>
        </w:tc>
        <w:tc>
          <w:tcPr>
            <w:tcW w:w="5643" w:type="dxa"/>
          </w:tcPr>
          <w:p w14:paraId="558DFE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Мука картофельная..................</w:t>
            </w:r>
          </w:p>
        </w:tc>
        <w:tc>
          <w:tcPr>
            <w:tcW w:w="1336" w:type="dxa"/>
          </w:tcPr>
          <w:p w14:paraId="436BD3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r>
      <w:tr w:rsidR="00643896" w:rsidRPr="00640820" w14:paraId="5AD8EE89" w14:textId="77777777" w:rsidTr="000D3BCB">
        <w:trPr>
          <w:trHeight w:val="165"/>
        </w:trPr>
        <w:tc>
          <w:tcPr>
            <w:tcW w:w="519" w:type="dxa"/>
          </w:tcPr>
          <w:p w14:paraId="2BD7C2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w:t>
            </w:r>
          </w:p>
        </w:tc>
        <w:tc>
          <w:tcPr>
            <w:tcW w:w="5643" w:type="dxa"/>
          </w:tcPr>
          <w:p w14:paraId="0F43BE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Фрукты сушеные...................</w:t>
            </w:r>
          </w:p>
        </w:tc>
        <w:tc>
          <w:tcPr>
            <w:tcW w:w="1336" w:type="dxa"/>
          </w:tcPr>
          <w:p w14:paraId="34E1F0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r>
      <w:tr w:rsidR="00643896" w:rsidRPr="00640820" w14:paraId="56C850F7" w14:textId="77777777" w:rsidTr="000D3BCB">
        <w:trPr>
          <w:trHeight w:val="150"/>
        </w:trPr>
        <w:tc>
          <w:tcPr>
            <w:tcW w:w="519" w:type="dxa"/>
          </w:tcPr>
          <w:p w14:paraId="4F43D1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w:t>
            </w:r>
          </w:p>
        </w:tc>
        <w:tc>
          <w:tcPr>
            <w:tcW w:w="5643" w:type="dxa"/>
          </w:tcPr>
          <w:p w14:paraId="77C4B8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Сыр........................</w:t>
            </w:r>
          </w:p>
        </w:tc>
        <w:tc>
          <w:tcPr>
            <w:tcW w:w="1336" w:type="dxa"/>
          </w:tcPr>
          <w:p w14:paraId="50D6AD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r>
      <w:tr w:rsidR="00643896" w:rsidRPr="00640820" w14:paraId="4B369F53" w14:textId="77777777" w:rsidTr="000D3BCB">
        <w:trPr>
          <w:trHeight w:val="180"/>
        </w:trPr>
        <w:tc>
          <w:tcPr>
            <w:tcW w:w="519" w:type="dxa"/>
          </w:tcPr>
          <w:p w14:paraId="5DD705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w:t>
            </w:r>
          </w:p>
        </w:tc>
        <w:tc>
          <w:tcPr>
            <w:tcW w:w="5643" w:type="dxa"/>
          </w:tcPr>
          <w:p w14:paraId="1CEE42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Экстракт фруктовый..................</w:t>
            </w:r>
          </w:p>
        </w:tc>
        <w:tc>
          <w:tcPr>
            <w:tcW w:w="1336" w:type="dxa"/>
          </w:tcPr>
          <w:p w14:paraId="7B8C2A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r>
      <w:tr w:rsidR="00643896" w:rsidRPr="00640820" w14:paraId="6A77CF5C" w14:textId="77777777" w:rsidTr="000D3BCB">
        <w:trPr>
          <w:trHeight w:val="135"/>
        </w:trPr>
        <w:tc>
          <w:tcPr>
            <w:tcW w:w="519" w:type="dxa"/>
            <w:tcBorders>
              <w:bottom w:val="single" w:sz="12" w:space="0" w:color="auto"/>
            </w:tcBorders>
          </w:tcPr>
          <w:p w14:paraId="098B02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w:t>
            </w:r>
          </w:p>
        </w:tc>
        <w:tc>
          <w:tcPr>
            <w:tcW w:w="5643" w:type="dxa"/>
            <w:tcBorders>
              <w:bottom w:val="single" w:sz="12" w:space="0" w:color="auto"/>
            </w:tcBorders>
          </w:tcPr>
          <w:p w14:paraId="34E050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Мыло туалетное (в месяц)................</w:t>
            </w:r>
          </w:p>
        </w:tc>
        <w:tc>
          <w:tcPr>
            <w:tcW w:w="1336" w:type="dxa"/>
            <w:tcBorders>
              <w:bottom w:val="single" w:sz="12" w:space="0" w:color="auto"/>
            </w:tcBorders>
          </w:tcPr>
          <w:p w14:paraId="1C7FB6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w:t>
            </w:r>
          </w:p>
        </w:tc>
      </w:tr>
    </w:tbl>
    <w:p w14:paraId="115AF6EF"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Приложение № 10</w:t>
      </w:r>
    </w:p>
    <w:p w14:paraId="69BFE1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НОРМЫ СУТОЧНОГО ДОВОЛЬСТВИЯ ПО ГОСПИТАЛЬНОМУ ПАЙКУ</w:t>
      </w:r>
    </w:p>
    <w:tbl>
      <w:tblPr>
        <w:tblW w:w="0" w:type="auto"/>
        <w:tblInd w:w="3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521"/>
        <w:gridCol w:w="5654"/>
        <w:gridCol w:w="11"/>
        <w:gridCol w:w="1253"/>
        <w:gridCol w:w="15"/>
      </w:tblGrid>
      <w:tr w:rsidR="00643896" w:rsidRPr="00640820" w14:paraId="168183DB" w14:textId="77777777" w:rsidTr="000D3BCB">
        <w:trPr>
          <w:trHeight w:val="450"/>
        </w:trPr>
        <w:tc>
          <w:tcPr>
            <w:tcW w:w="521" w:type="dxa"/>
            <w:tcBorders>
              <w:top w:val="single" w:sz="12" w:space="0" w:color="auto"/>
            </w:tcBorders>
          </w:tcPr>
          <w:p w14:paraId="013F96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пп</w:t>
            </w:r>
          </w:p>
        </w:tc>
        <w:tc>
          <w:tcPr>
            <w:tcW w:w="5665" w:type="dxa"/>
            <w:gridSpan w:val="2"/>
            <w:tcBorders>
              <w:top w:val="single" w:sz="12" w:space="0" w:color="auto"/>
            </w:tcBorders>
          </w:tcPr>
          <w:p w14:paraId="7F895B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Наименование продуктов</w:t>
            </w:r>
          </w:p>
        </w:tc>
        <w:tc>
          <w:tcPr>
            <w:tcW w:w="1267" w:type="dxa"/>
            <w:gridSpan w:val="2"/>
            <w:tcBorders>
              <w:top w:val="single" w:sz="12" w:space="0" w:color="auto"/>
            </w:tcBorders>
          </w:tcPr>
          <w:p w14:paraId="5380FD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в граммах</w:t>
            </w:r>
          </w:p>
        </w:tc>
      </w:tr>
      <w:tr w:rsidR="00643896" w:rsidRPr="00640820" w14:paraId="7E8C77DD" w14:textId="77777777" w:rsidTr="000D3BCB">
        <w:trPr>
          <w:trHeight w:val="375"/>
        </w:trPr>
        <w:tc>
          <w:tcPr>
            <w:tcW w:w="521" w:type="dxa"/>
          </w:tcPr>
          <w:p w14:paraId="01AC34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5665" w:type="dxa"/>
            <w:gridSpan w:val="2"/>
          </w:tcPr>
          <w:p w14:paraId="46570D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1267" w:type="dxa"/>
            <w:gridSpan w:val="2"/>
          </w:tcPr>
          <w:p w14:paraId="14AAFB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r>
      <w:tr w:rsidR="00643896" w:rsidRPr="00640820" w14:paraId="0F08A582" w14:textId="77777777" w:rsidTr="000D3BCB">
        <w:trPr>
          <w:trHeight w:val="255"/>
        </w:trPr>
        <w:tc>
          <w:tcPr>
            <w:tcW w:w="521" w:type="dxa"/>
          </w:tcPr>
          <w:p w14:paraId="6DDF56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5665" w:type="dxa"/>
            <w:gridSpan w:val="2"/>
          </w:tcPr>
          <w:p w14:paraId="2C1166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Хлеб из ржаной и обойной муки.............</w:t>
            </w:r>
          </w:p>
        </w:tc>
        <w:tc>
          <w:tcPr>
            <w:tcW w:w="1267" w:type="dxa"/>
            <w:gridSpan w:val="2"/>
          </w:tcPr>
          <w:p w14:paraId="32A214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w:t>
            </w:r>
          </w:p>
        </w:tc>
      </w:tr>
      <w:tr w:rsidR="00643896" w:rsidRPr="00640820" w14:paraId="42A6C97D" w14:textId="77777777" w:rsidTr="000D3BCB">
        <w:trPr>
          <w:trHeight w:val="180"/>
        </w:trPr>
        <w:tc>
          <w:tcPr>
            <w:tcW w:w="521" w:type="dxa"/>
          </w:tcPr>
          <w:p w14:paraId="59C219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5665" w:type="dxa"/>
            <w:gridSpan w:val="2"/>
          </w:tcPr>
          <w:p w14:paraId="065B58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Хлеб пшеничный из муки 1 сорта.............</w:t>
            </w:r>
          </w:p>
        </w:tc>
        <w:tc>
          <w:tcPr>
            <w:tcW w:w="1267" w:type="dxa"/>
            <w:gridSpan w:val="2"/>
          </w:tcPr>
          <w:p w14:paraId="79656A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w:t>
            </w:r>
          </w:p>
        </w:tc>
      </w:tr>
      <w:tr w:rsidR="00643896" w:rsidRPr="00640820" w14:paraId="48388FE2" w14:textId="77777777" w:rsidTr="000D3BCB">
        <w:trPr>
          <w:trHeight w:val="105"/>
        </w:trPr>
        <w:tc>
          <w:tcPr>
            <w:tcW w:w="521" w:type="dxa"/>
          </w:tcPr>
          <w:p w14:paraId="138CA0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c>
          <w:tcPr>
            <w:tcW w:w="5665" w:type="dxa"/>
            <w:gridSpan w:val="2"/>
          </w:tcPr>
          <w:p w14:paraId="14F7D0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Мука пшеничная 1 сорта................</w:t>
            </w:r>
          </w:p>
        </w:tc>
        <w:tc>
          <w:tcPr>
            <w:tcW w:w="1267" w:type="dxa"/>
            <w:gridSpan w:val="2"/>
          </w:tcPr>
          <w:p w14:paraId="01F5A7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r>
      <w:tr w:rsidR="00643896" w:rsidRPr="00640820" w14:paraId="17A84EA2" w14:textId="77777777" w:rsidTr="000D3BCB">
        <w:trPr>
          <w:trHeight w:val="180"/>
        </w:trPr>
        <w:tc>
          <w:tcPr>
            <w:tcW w:w="521" w:type="dxa"/>
          </w:tcPr>
          <w:p w14:paraId="3CF4A7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5665" w:type="dxa"/>
            <w:gridSpan w:val="2"/>
          </w:tcPr>
          <w:p w14:paraId="10DBCD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Мука пшеничная 2 сорта................</w:t>
            </w:r>
          </w:p>
        </w:tc>
        <w:tc>
          <w:tcPr>
            <w:tcW w:w="1267" w:type="dxa"/>
            <w:gridSpan w:val="2"/>
          </w:tcPr>
          <w:p w14:paraId="5B639D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r>
      <w:tr w:rsidR="00643896" w:rsidRPr="00640820" w14:paraId="4BB1FCAB" w14:textId="77777777" w:rsidTr="000D3BCB">
        <w:trPr>
          <w:trHeight w:val="195"/>
        </w:trPr>
        <w:tc>
          <w:tcPr>
            <w:tcW w:w="521" w:type="dxa"/>
          </w:tcPr>
          <w:p w14:paraId="2EDD5B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5665" w:type="dxa"/>
            <w:gridSpan w:val="2"/>
          </w:tcPr>
          <w:p w14:paraId="7D1D04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Мука картофельная..................</w:t>
            </w:r>
          </w:p>
        </w:tc>
        <w:tc>
          <w:tcPr>
            <w:tcW w:w="1267" w:type="dxa"/>
            <w:gridSpan w:val="2"/>
          </w:tcPr>
          <w:p w14:paraId="5D34BF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r>
      <w:tr w:rsidR="00643896" w:rsidRPr="00640820" w14:paraId="0E5F6361" w14:textId="77777777" w:rsidTr="000D3BCB">
        <w:trPr>
          <w:trHeight w:val="165"/>
        </w:trPr>
        <w:tc>
          <w:tcPr>
            <w:tcW w:w="521" w:type="dxa"/>
          </w:tcPr>
          <w:p w14:paraId="063715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c>
          <w:tcPr>
            <w:tcW w:w="5665" w:type="dxa"/>
            <w:gridSpan w:val="2"/>
          </w:tcPr>
          <w:p w14:paraId="0A3F85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Крупа разная.....................</w:t>
            </w:r>
          </w:p>
        </w:tc>
        <w:tc>
          <w:tcPr>
            <w:tcW w:w="1267" w:type="dxa"/>
            <w:gridSpan w:val="2"/>
          </w:tcPr>
          <w:p w14:paraId="41E878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w:t>
            </w:r>
          </w:p>
        </w:tc>
      </w:tr>
      <w:tr w:rsidR="00643896" w:rsidRPr="00640820" w14:paraId="69FA4789" w14:textId="77777777" w:rsidTr="000D3BCB">
        <w:trPr>
          <w:trHeight w:val="150"/>
        </w:trPr>
        <w:tc>
          <w:tcPr>
            <w:tcW w:w="521" w:type="dxa"/>
          </w:tcPr>
          <w:p w14:paraId="7C744B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w:t>
            </w:r>
          </w:p>
        </w:tc>
        <w:tc>
          <w:tcPr>
            <w:tcW w:w="5665" w:type="dxa"/>
            <w:gridSpan w:val="2"/>
          </w:tcPr>
          <w:p w14:paraId="14913B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Манная крупа...................</w:t>
            </w:r>
          </w:p>
        </w:tc>
        <w:tc>
          <w:tcPr>
            <w:tcW w:w="1267" w:type="dxa"/>
            <w:gridSpan w:val="2"/>
          </w:tcPr>
          <w:p w14:paraId="229FDD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r>
      <w:tr w:rsidR="00643896" w:rsidRPr="00640820" w14:paraId="131B557D" w14:textId="77777777" w:rsidTr="000D3BCB">
        <w:trPr>
          <w:trHeight w:val="165"/>
        </w:trPr>
        <w:tc>
          <w:tcPr>
            <w:tcW w:w="521" w:type="dxa"/>
          </w:tcPr>
          <w:p w14:paraId="41974E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w:t>
            </w:r>
          </w:p>
        </w:tc>
        <w:tc>
          <w:tcPr>
            <w:tcW w:w="5665" w:type="dxa"/>
            <w:gridSpan w:val="2"/>
          </w:tcPr>
          <w:p w14:paraId="649EF4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Рис........................</w:t>
            </w:r>
          </w:p>
        </w:tc>
        <w:tc>
          <w:tcPr>
            <w:tcW w:w="1267" w:type="dxa"/>
            <w:gridSpan w:val="2"/>
          </w:tcPr>
          <w:p w14:paraId="41130E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r>
      <w:tr w:rsidR="00643896" w:rsidRPr="00640820" w14:paraId="078997C2" w14:textId="77777777" w:rsidTr="000D3BCB">
        <w:trPr>
          <w:trHeight w:val="150"/>
        </w:trPr>
        <w:tc>
          <w:tcPr>
            <w:tcW w:w="521" w:type="dxa"/>
          </w:tcPr>
          <w:p w14:paraId="1AAB63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tc>
        <w:tc>
          <w:tcPr>
            <w:tcW w:w="5665" w:type="dxa"/>
            <w:gridSpan w:val="2"/>
          </w:tcPr>
          <w:p w14:paraId="3C0FE7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Макароны-вермишель..................</w:t>
            </w:r>
          </w:p>
        </w:tc>
        <w:tc>
          <w:tcPr>
            <w:tcW w:w="1267" w:type="dxa"/>
            <w:gridSpan w:val="2"/>
          </w:tcPr>
          <w:p w14:paraId="493168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r>
      <w:tr w:rsidR="00643896" w:rsidRPr="00640820" w14:paraId="70106808" w14:textId="77777777" w:rsidTr="000D3BCB">
        <w:trPr>
          <w:trHeight w:val="165"/>
        </w:trPr>
        <w:tc>
          <w:tcPr>
            <w:tcW w:w="521" w:type="dxa"/>
          </w:tcPr>
          <w:p w14:paraId="448F97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5665" w:type="dxa"/>
            <w:gridSpan w:val="2"/>
          </w:tcPr>
          <w:p w14:paraId="53C591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Мясо........................</w:t>
            </w:r>
          </w:p>
        </w:tc>
        <w:tc>
          <w:tcPr>
            <w:tcW w:w="1267" w:type="dxa"/>
            <w:gridSpan w:val="2"/>
          </w:tcPr>
          <w:p w14:paraId="5D786D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120</w:t>
            </w:r>
          </w:p>
        </w:tc>
      </w:tr>
      <w:tr w:rsidR="00643896" w:rsidRPr="00640820" w14:paraId="1951088B" w14:textId="77777777" w:rsidTr="000D3BCB">
        <w:trPr>
          <w:trHeight w:val="150"/>
        </w:trPr>
        <w:tc>
          <w:tcPr>
            <w:tcW w:w="521" w:type="dxa"/>
          </w:tcPr>
          <w:p w14:paraId="4073ED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w:t>
            </w:r>
          </w:p>
        </w:tc>
        <w:tc>
          <w:tcPr>
            <w:tcW w:w="5665" w:type="dxa"/>
            <w:gridSpan w:val="2"/>
          </w:tcPr>
          <w:p w14:paraId="3A6FCA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Рыба........................</w:t>
            </w:r>
          </w:p>
        </w:tc>
        <w:tc>
          <w:tcPr>
            <w:tcW w:w="1267" w:type="dxa"/>
            <w:gridSpan w:val="2"/>
          </w:tcPr>
          <w:p w14:paraId="6DACCD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w:t>
            </w:r>
          </w:p>
        </w:tc>
      </w:tr>
      <w:tr w:rsidR="00643896" w:rsidRPr="00640820" w14:paraId="2F4CE4E7" w14:textId="77777777" w:rsidTr="000D3BCB">
        <w:trPr>
          <w:trHeight w:val="180"/>
        </w:trPr>
        <w:tc>
          <w:tcPr>
            <w:tcW w:w="521" w:type="dxa"/>
          </w:tcPr>
          <w:p w14:paraId="54C176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w:t>
            </w:r>
          </w:p>
        </w:tc>
        <w:tc>
          <w:tcPr>
            <w:tcW w:w="5665" w:type="dxa"/>
            <w:gridSpan w:val="2"/>
          </w:tcPr>
          <w:p w14:paraId="1CE8AA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Сало или комбижир..................</w:t>
            </w:r>
          </w:p>
        </w:tc>
        <w:tc>
          <w:tcPr>
            <w:tcW w:w="1267" w:type="dxa"/>
            <w:gridSpan w:val="2"/>
          </w:tcPr>
          <w:p w14:paraId="24CEDE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r>
      <w:tr w:rsidR="00643896" w:rsidRPr="00640820" w14:paraId="14204B39" w14:textId="77777777" w:rsidTr="000D3BCB">
        <w:trPr>
          <w:trHeight w:val="165"/>
        </w:trPr>
        <w:tc>
          <w:tcPr>
            <w:tcW w:w="521" w:type="dxa"/>
          </w:tcPr>
          <w:p w14:paraId="33F641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w:t>
            </w:r>
          </w:p>
        </w:tc>
        <w:tc>
          <w:tcPr>
            <w:tcW w:w="5665" w:type="dxa"/>
            <w:gridSpan w:val="2"/>
          </w:tcPr>
          <w:p w14:paraId="0943F4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Масло коровье....................</w:t>
            </w:r>
          </w:p>
        </w:tc>
        <w:tc>
          <w:tcPr>
            <w:tcW w:w="1267" w:type="dxa"/>
            <w:gridSpan w:val="2"/>
          </w:tcPr>
          <w:p w14:paraId="0F06D4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w:t>
            </w:r>
          </w:p>
        </w:tc>
      </w:tr>
      <w:tr w:rsidR="00643896" w:rsidRPr="00640820" w14:paraId="4750BEA0" w14:textId="77777777" w:rsidTr="000D3BCB">
        <w:trPr>
          <w:trHeight w:val="165"/>
        </w:trPr>
        <w:tc>
          <w:tcPr>
            <w:tcW w:w="521" w:type="dxa"/>
          </w:tcPr>
          <w:p w14:paraId="35F27A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14.</w:t>
            </w:r>
          </w:p>
        </w:tc>
        <w:tc>
          <w:tcPr>
            <w:tcW w:w="5665" w:type="dxa"/>
            <w:gridSpan w:val="2"/>
          </w:tcPr>
          <w:p w14:paraId="32578A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Масло растительное..................</w:t>
            </w:r>
          </w:p>
        </w:tc>
        <w:tc>
          <w:tcPr>
            <w:tcW w:w="1267" w:type="dxa"/>
            <w:gridSpan w:val="2"/>
          </w:tcPr>
          <w:p w14:paraId="635B79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r>
      <w:tr w:rsidR="00643896" w:rsidRPr="00640820" w14:paraId="6F2BA1DB" w14:textId="77777777" w:rsidTr="000D3BCB">
        <w:trPr>
          <w:trHeight w:val="165"/>
        </w:trPr>
        <w:tc>
          <w:tcPr>
            <w:tcW w:w="521" w:type="dxa"/>
          </w:tcPr>
          <w:p w14:paraId="7FADD0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5665" w:type="dxa"/>
            <w:gridSpan w:val="2"/>
          </w:tcPr>
          <w:p w14:paraId="4A257A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Овощи свежие и переработанные:</w:t>
            </w:r>
          </w:p>
        </w:tc>
        <w:tc>
          <w:tcPr>
            <w:tcW w:w="1267" w:type="dxa"/>
            <w:gridSpan w:val="2"/>
          </w:tcPr>
          <w:p w14:paraId="1AE0EC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41E0FB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r>
      <w:tr w:rsidR="00643896" w:rsidRPr="00640820" w14:paraId="5D613045" w14:textId="77777777" w:rsidTr="000D3BCB">
        <w:trPr>
          <w:trHeight w:val="195"/>
        </w:trPr>
        <w:tc>
          <w:tcPr>
            <w:tcW w:w="521" w:type="dxa"/>
          </w:tcPr>
          <w:p w14:paraId="77ED34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62026D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65" w:type="dxa"/>
            <w:gridSpan w:val="2"/>
          </w:tcPr>
          <w:p w14:paraId="123F2B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Картофель...................</w:t>
            </w:r>
          </w:p>
        </w:tc>
        <w:tc>
          <w:tcPr>
            <w:tcW w:w="1267" w:type="dxa"/>
            <w:gridSpan w:val="2"/>
          </w:tcPr>
          <w:p w14:paraId="1C7206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450</w:t>
            </w:r>
          </w:p>
        </w:tc>
      </w:tr>
      <w:tr w:rsidR="00643896" w:rsidRPr="00640820" w14:paraId="125B4DD7" w14:textId="77777777" w:rsidTr="000D3BCB">
        <w:trPr>
          <w:trHeight w:val="135"/>
        </w:trPr>
        <w:tc>
          <w:tcPr>
            <w:tcW w:w="521" w:type="dxa"/>
          </w:tcPr>
          <w:p w14:paraId="7485A7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467A8A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65" w:type="dxa"/>
            <w:gridSpan w:val="2"/>
          </w:tcPr>
          <w:p w14:paraId="661DFB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капуста....................</w:t>
            </w:r>
          </w:p>
        </w:tc>
        <w:tc>
          <w:tcPr>
            <w:tcW w:w="1267" w:type="dxa"/>
            <w:gridSpan w:val="2"/>
          </w:tcPr>
          <w:p w14:paraId="274162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150</w:t>
            </w:r>
          </w:p>
        </w:tc>
      </w:tr>
      <w:tr w:rsidR="00643896" w:rsidRPr="00640820" w14:paraId="6D596930" w14:textId="77777777" w:rsidTr="000D3BCB">
        <w:trPr>
          <w:trHeight w:val="135"/>
        </w:trPr>
        <w:tc>
          <w:tcPr>
            <w:tcW w:w="521" w:type="dxa"/>
          </w:tcPr>
          <w:p w14:paraId="53C5DE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68FBE4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65" w:type="dxa"/>
            <w:gridSpan w:val="2"/>
          </w:tcPr>
          <w:p w14:paraId="226759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свекла.....................</w:t>
            </w:r>
          </w:p>
        </w:tc>
        <w:tc>
          <w:tcPr>
            <w:tcW w:w="1267" w:type="dxa"/>
            <w:gridSpan w:val="2"/>
          </w:tcPr>
          <w:p w14:paraId="71E15A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r>
      <w:tr w:rsidR="00643896" w:rsidRPr="00640820" w14:paraId="7716A012" w14:textId="77777777" w:rsidTr="000D3BCB">
        <w:trPr>
          <w:gridAfter w:val="1"/>
          <w:wAfter w:w="15" w:type="dxa"/>
          <w:trHeight w:val="270"/>
        </w:trPr>
        <w:tc>
          <w:tcPr>
            <w:tcW w:w="520" w:type="dxa"/>
          </w:tcPr>
          <w:p w14:paraId="1A2559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25E11E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54" w:type="dxa"/>
          </w:tcPr>
          <w:p w14:paraId="48626B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морковь....................</w:t>
            </w:r>
          </w:p>
        </w:tc>
        <w:tc>
          <w:tcPr>
            <w:tcW w:w="1264" w:type="dxa"/>
            <w:gridSpan w:val="2"/>
          </w:tcPr>
          <w:p w14:paraId="02C5BD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w:t>
            </w:r>
          </w:p>
        </w:tc>
      </w:tr>
      <w:tr w:rsidR="00643896" w:rsidRPr="00640820" w14:paraId="6DA0D7EA" w14:textId="77777777" w:rsidTr="000D3BCB">
        <w:trPr>
          <w:gridAfter w:val="1"/>
          <w:wAfter w:w="15" w:type="dxa"/>
          <w:trHeight w:val="165"/>
        </w:trPr>
        <w:tc>
          <w:tcPr>
            <w:tcW w:w="520" w:type="dxa"/>
          </w:tcPr>
          <w:p w14:paraId="3A07DA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5A631D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54" w:type="dxa"/>
          </w:tcPr>
          <w:p w14:paraId="27786E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лук репчатый..................</w:t>
            </w:r>
          </w:p>
        </w:tc>
        <w:tc>
          <w:tcPr>
            <w:tcW w:w="1264" w:type="dxa"/>
            <w:gridSpan w:val="2"/>
          </w:tcPr>
          <w:p w14:paraId="52359B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r>
      <w:tr w:rsidR="00643896" w:rsidRPr="00640820" w14:paraId="6F2932ED" w14:textId="77777777" w:rsidTr="000D3BCB">
        <w:trPr>
          <w:gridAfter w:val="1"/>
          <w:wAfter w:w="15" w:type="dxa"/>
          <w:trHeight w:val="360"/>
        </w:trPr>
        <w:tc>
          <w:tcPr>
            <w:tcW w:w="520" w:type="dxa"/>
          </w:tcPr>
          <w:p w14:paraId="4E8817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55EA49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54" w:type="dxa"/>
          </w:tcPr>
          <w:p w14:paraId="181F5B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коренья, зелень, огурцы..............</w:t>
            </w:r>
          </w:p>
        </w:tc>
        <w:tc>
          <w:tcPr>
            <w:tcW w:w="1264" w:type="dxa"/>
            <w:gridSpan w:val="2"/>
          </w:tcPr>
          <w:p w14:paraId="061859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w:t>
            </w:r>
          </w:p>
        </w:tc>
      </w:tr>
      <w:tr w:rsidR="00643896" w:rsidRPr="00640820" w14:paraId="1137F2FB" w14:textId="77777777" w:rsidTr="000D3BCB">
        <w:trPr>
          <w:gridAfter w:val="1"/>
          <w:wAfter w:w="15" w:type="dxa"/>
          <w:trHeight w:val="300"/>
        </w:trPr>
        <w:tc>
          <w:tcPr>
            <w:tcW w:w="520" w:type="dxa"/>
          </w:tcPr>
          <w:p w14:paraId="1A93AE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2EA3D0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54" w:type="dxa"/>
          </w:tcPr>
          <w:p w14:paraId="5D939B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Итого.........</w:t>
            </w:r>
          </w:p>
        </w:tc>
        <w:tc>
          <w:tcPr>
            <w:tcW w:w="1264" w:type="dxa"/>
            <w:gridSpan w:val="2"/>
          </w:tcPr>
          <w:p w14:paraId="02C316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735</w:t>
            </w:r>
          </w:p>
        </w:tc>
      </w:tr>
      <w:tr w:rsidR="00643896" w:rsidRPr="00640820" w14:paraId="476F66FE" w14:textId="77777777" w:rsidTr="000D3BCB">
        <w:trPr>
          <w:gridAfter w:val="1"/>
          <w:wAfter w:w="15" w:type="dxa"/>
          <w:trHeight w:val="240"/>
        </w:trPr>
        <w:tc>
          <w:tcPr>
            <w:tcW w:w="520" w:type="dxa"/>
          </w:tcPr>
          <w:p w14:paraId="2A7147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w:t>
            </w:r>
          </w:p>
        </w:tc>
        <w:tc>
          <w:tcPr>
            <w:tcW w:w="5654" w:type="dxa"/>
          </w:tcPr>
          <w:p w14:paraId="56C178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Томат-паста.....................</w:t>
            </w:r>
          </w:p>
        </w:tc>
        <w:tc>
          <w:tcPr>
            <w:tcW w:w="1264" w:type="dxa"/>
            <w:gridSpan w:val="2"/>
          </w:tcPr>
          <w:p w14:paraId="573C82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r>
      <w:tr w:rsidR="00643896" w:rsidRPr="00640820" w14:paraId="548F6248" w14:textId="77777777" w:rsidTr="000D3BCB">
        <w:trPr>
          <w:gridAfter w:val="1"/>
          <w:wAfter w:w="15" w:type="dxa"/>
          <w:trHeight w:val="150"/>
        </w:trPr>
        <w:tc>
          <w:tcPr>
            <w:tcW w:w="520" w:type="dxa"/>
          </w:tcPr>
          <w:p w14:paraId="17CF07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7C5308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54" w:type="dxa"/>
          </w:tcPr>
          <w:p w14:paraId="186EE8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Фрукты сухие....................</w:t>
            </w:r>
          </w:p>
        </w:tc>
        <w:tc>
          <w:tcPr>
            <w:tcW w:w="1264" w:type="dxa"/>
            <w:gridSpan w:val="2"/>
          </w:tcPr>
          <w:p w14:paraId="71E0B5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r>
      <w:tr w:rsidR="00643896" w:rsidRPr="00640820" w14:paraId="05F7DA40" w14:textId="77777777" w:rsidTr="000D3BCB">
        <w:trPr>
          <w:gridAfter w:val="1"/>
          <w:wAfter w:w="15" w:type="dxa"/>
          <w:trHeight w:val="180"/>
        </w:trPr>
        <w:tc>
          <w:tcPr>
            <w:tcW w:w="520" w:type="dxa"/>
          </w:tcPr>
          <w:p w14:paraId="1BBA4F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w:t>
            </w:r>
          </w:p>
        </w:tc>
        <w:tc>
          <w:tcPr>
            <w:tcW w:w="5654" w:type="dxa"/>
          </w:tcPr>
          <w:p w14:paraId="559B12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или консервированные.................</w:t>
            </w:r>
          </w:p>
        </w:tc>
        <w:tc>
          <w:tcPr>
            <w:tcW w:w="1264" w:type="dxa"/>
            <w:gridSpan w:val="2"/>
          </w:tcPr>
          <w:p w14:paraId="3918C2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75</w:t>
            </w:r>
          </w:p>
        </w:tc>
      </w:tr>
      <w:tr w:rsidR="00643896" w:rsidRPr="00640820" w14:paraId="4E8B11DE" w14:textId="77777777" w:rsidTr="000D3BCB">
        <w:trPr>
          <w:gridAfter w:val="1"/>
          <w:wAfter w:w="15" w:type="dxa"/>
          <w:trHeight w:val="150"/>
        </w:trPr>
        <w:tc>
          <w:tcPr>
            <w:tcW w:w="520" w:type="dxa"/>
          </w:tcPr>
          <w:p w14:paraId="107C6D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w:t>
            </w:r>
          </w:p>
        </w:tc>
        <w:tc>
          <w:tcPr>
            <w:tcW w:w="5654" w:type="dxa"/>
          </w:tcPr>
          <w:p w14:paraId="107F57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Молоко.......................</w:t>
            </w:r>
          </w:p>
        </w:tc>
        <w:tc>
          <w:tcPr>
            <w:tcW w:w="1264" w:type="dxa"/>
            <w:gridSpan w:val="2"/>
          </w:tcPr>
          <w:p w14:paraId="00516B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w:t>
            </w:r>
          </w:p>
        </w:tc>
      </w:tr>
      <w:tr w:rsidR="00643896" w:rsidRPr="00640820" w14:paraId="29F56D5C" w14:textId="77777777" w:rsidTr="000D3BCB">
        <w:trPr>
          <w:gridAfter w:val="1"/>
          <w:wAfter w:w="15" w:type="dxa"/>
          <w:trHeight w:val="165"/>
        </w:trPr>
        <w:tc>
          <w:tcPr>
            <w:tcW w:w="520" w:type="dxa"/>
          </w:tcPr>
          <w:p w14:paraId="483959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w:t>
            </w:r>
          </w:p>
        </w:tc>
        <w:tc>
          <w:tcPr>
            <w:tcW w:w="5654" w:type="dxa"/>
          </w:tcPr>
          <w:p w14:paraId="5B22C2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Творог......................................</w:t>
            </w:r>
          </w:p>
        </w:tc>
        <w:tc>
          <w:tcPr>
            <w:tcW w:w="1264" w:type="dxa"/>
            <w:gridSpan w:val="2"/>
          </w:tcPr>
          <w:p w14:paraId="5F931E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w:t>
            </w:r>
          </w:p>
        </w:tc>
      </w:tr>
      <w:tr w:rsidR="00643896" w:rsidRPr="00640820" w14:paraId="7B43592A" w14:textId="77777777" w:rsidTr="000D3BCB">
        <w:trPr>
          <w:gridAfter w:val="1"/>
          <w:wAfter w:w="15" w:type="dxa"/>
          <w:trHeight w:val="195"/>
        </w:trPr>
        <w:tc>
          <w:tcPr>
            <w:tcW w:w="520" w:type="dxa"/>
          </w:tcPr>
          <w:p w14:paraId="47712D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5654" w:type="dxa"/>
          </w:tcPr>
          <w:p w14:paraId="5BEE41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Сметана......................</w:t>
            </w:r>
          </w:p>
        </w:tc>
        <w:tc>
          <w:tcPr>
            <w:tcW w:w="1264" w:type="dxa"/>
            <w:gridSpan w:val="2"/>
          </w:tcPr>
          <w:p w14:paraId="5E4E41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r>
      <w:tr w:rsidR="00643896" w:rsidRPr="00640820" w14:paraId="7A98D0DC" w14:textId="77777777" w:rsidTr="000D3BCB">
        <w:trPr>
          <w:gridAfter w:val="1"/>
          <w:wAfter w:w="15" w:type="dxa"/>
          <w:trHeight w:val="150"/>
        </w:trPr>
        <w:tc>
          <w:tcPr>
            <w:tcW w:w="520" w:type="dxa"/>
          </w:tcPr>
          <w:p w14:paraId="61C092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w:t>
            </w:r>
          </w:p>
        </w:tc>
        <w:tc>
          <w:tcPr>
            <w:tcW w:w="5654" w:type="dxa"/>
          </w:tcPr>
          <w:p w14:paraId="33B0B9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Сахар.......................</w:t>
            </w:r>
          </w:p>
        </w:tc>
        <w:tc>
          <w:tcPr>
            <w:tcW w:w="1264" w:type="dxa"/>
            <w:gridSpan w:val="2"/>
          </w:tcPr>
          <w:p w14:paraId="1DC71C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w:t>
            </w:r>
          </w:p>
        </w:tc>
      </w:tr>
      <w:tr w:rsidR="00643896" w:rsidRPr="00640820" w14:paraId="2094D002" w14:textId="77777777" w:rsidTr="000D3BCB">
        <w:trPr>
          <w:gridAfter w:val="1"/>
          <w:wAfter w:w="15" w:type="dxa"/>
          <w:trHeight w:val="180"/>
        </w:trPr>
        <w:tc>
          <w:tcPr>
            <w:tcW w:w="520" w:type="dxa"/>
          </w:tcPr>
          <w:p w14:paraId="539192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w:t>
            </w:r>
          </w:p>
        </w:tc>
        <w:tc>
          <w:tcPr>
            <w:tcW w:w="5654" w:type="dxa"/>
          </w:tcPr>
          <w:p w14:paraId="12A9D3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Чай.......................</w:t>
            </w:r>
          </w:p>
        </w:tc>
        <w:tc>
          <w:tcPr>
            <w:tcW w:w="1264" w:type="dxa"/>
            <w:gridSpan w:val="2"/>
          </w:tcPr>
          <w:p w14:paraId="1826B9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r>
      <w:tr w:rsidR="00643896" w:rsidRPr="00640820" w14:paraId="7945C2A5" w14:textId="77777777" w:rsidTr="000D3BCB">
        <w:trPr>
          <w:gridAfter w:val="1"/>
          <w:wAfter w:w="15" w:type="dxa"/>
          <w:trHeight w:val="180"/>
        </w:trPr>
        <w:tc>
          <w:tcPr>
            <w:tcW w:w="520" w:type="dxa"/>
          </w:tcPr>
          <w:p w14:paraId="07FC92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w:t>
            </w:r>
          </w:p>
        </w:tc>
        <w:tc>
          <w:tcPr>
            <w:tcW w:w="5654" w:type="dxa"/>
          </w:tcPr>
          <w:p w14:paraId="7F8848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Кофе натуральный...................</w:t>
            </w:r>
          </w:p>
        </w:tc>
        <w:tc>
          <w:tcPr>
            <w:tcW w:w="1264" w:type="dxa"/>
            <w:gridSpan w:val="2"/>
          </w:tcPr>
          <w:p w14:paraId="2A5E28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0,3</w:t>
            </w:r>
          </w:p>
        </w:tc>
      </w:tr>
      <w:tr w:rsidR="00643896" w:rsidRPr="00640820" w14:paraId="558C838F" w14:textId="77777777" w:rsidTr="000D3BCB">
        <w:trPr>
          <w:gridAfter w:val="1"/>
          <w:wAfter w:w="15" w:type="dxa"/>
          <w:trHeight w:val="165"/>
        </w:trPr>
        <w:tc>
          <w:tcPr>
            <w:tcW w:w="520" w:type="dxa"/>
          </w:tcPr>
          <w:p w14:paraId="04491A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038E0D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54" w:type="dxa"/>
          </w:tcPr>
          <w:p w14:paraId="7BA381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или суррогатный...................</w:t>
            </w:r>
          </w:p>
        </w:tc>
        <w:tc>
          <w:tcPr>
            <w:tcW w:w="1264" w:type="dxa"/>
            <w:gridSpan w:val="2"/>
          </w:tcPr>
          <w:p w14:paraId="4ABD26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r>
      <w:tr w:rsidR="00643896" w:rsidRPr="00640820" w14:paraId="28F2DFDA" w14:textId="77777777" w:rsidTr="000D3BCB">
        <w:trPr>
          <w:gridAfter w:val="1"/>
          <w:wAfter w:w="15" w:type="dxa"/>
          <w:trHeight w:val="165"/>
        </w:trPr>
        <w:tc>
          <w:tcPr>
            <w:tcW w:w="520" w:type="dxa"/>
          </w:tcPr>
          <w:p w14:paraId="0A9FD6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w:t>
            </w:r>
          </w:p>
        </w:tc>
        <w:tc>
          <w:tcPr>
            <w:tcW w:w="5654" w:type="dxa"/>
          </w:tcPr>
          <w:p w14:paraId="30FF2A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Фруктовый сок....................</w:t>
            </w:r>
          </w:p>
        </w:tc>
        <w:tc>
          <w:tcPr>
            <w:tcW w:w="1264" w:type="dxa"/>
            <w:gridSpan w:val="2"/>
          </w:tcPr>
          <w:p w14:paraId="481D59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r>
      <w:tr w:rsidR="00643896" w:rsidRPr="00640820" w14:paraId="3BF64519" w14:textId="77777777" w:rsidTr="000D3BCB">
        <w:trPr>
          <w:gridAfter w:val="1"/>
          <w:wAfter w:w="15" w:type="dxa"/>
          <w:trHeight w:val="150"/>
        </w:trPr>
        <w:tc>
          <w:tcPr>
            <w:tcW w:w="520" w:type="dxa"/>
          </w:tcPr>
          <w:p w14:paraId="088273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p w14:paraId="0F8797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5654" w:type="dxa"/>
          </w:tcPr>
          <w:p w14:paraId="5FB999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или ягодно-фруктовый экстракт..............</w:t>
            </w:r>
          </w:p>
        </w:tc>
        <w:tc>
          <w:tcPr>
            <w:tcW w:w="1264" w:type="dxa"/>
            <w:gridSpan w:val="2"/>
          </w:tcPr>
          <w:p w14:paraId="6E4083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0,5</w:t>
            </w:r>
          </w:p>
        </w:tc>
      </w:tr>
      <w:tr w:rsidR="00643896" w:rsidRPr="00640820" w14:paraId="3FD2383B" w14:textId="77777777" w:rsidTr="000D3BCB">
        <w:trPr>
          <w:gridAfter w:val="1"/>
          <w:wAfter w:w="15" w:type="dxa"/>
          <w:trHeight w:val="165"/>
        </w:trPr>
        <w:tc>
          <w:tcPr>
            <w:tcW w:w="520" w:type="dxa"/>
          </w:tcPr>
          <w:p w14:paraId="71C596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w:t>
            </w:r>
          </w:p>
        </w:tc>
        <w:tc>
          <w:tcPr>
            <w:tcW w:w="5654" w:type="dxa"/>
          </w:tcPr>
          <w:p w14:paraId="442936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Перец.......................</w:t>
            </w:r>
          </w:p>
        </w:tc>
        <w:tc>
          <w:tcPr>
            <w:tcW w:w="1264" w:type="dxa"/>
            <w:gridSpan w:val="2"/>
          </w:tcPr>
          <w:p w14:paraId="7C0AA7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0,3</w:t>
            </w:r>
          </w:p>
        </w:tc>
      </w:tr>
      <w:tr w:rsidR="00643896" w:rsidRPr="00640820" w14:paraId="4C1637B8" w14:textId="77777777" w:rsidTr="000D3BCB">
        <w:trPr>
          <w:gridAfter w:val="1"/>
          <w:wAfter w:w="15" w:type="dxa"/>
          <w:trHeight w:val="165"/>
        </w:trPr>
        <w:tc>
          <w:tcPr>
            <w:tcW w:w="520" w:type="dxa"/>
          </w:tcPr>
          <w:p w14:paraId="7EC414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w:t>
            </w:r>
          </w:p>
        </w:tc>
        <w:tc>
          <w:tcPr>
            <w:tcW w:w="5654" w:type="dxa"/>
          </w:tcPr>
          <w:p w14:paraId="434E00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Лавровый лист....................</w:t>
            </w:r>
          </w:p>
        </w:tc>
        <w:tc>
          <w:tcPr>
            <w:tcW w:w="1264" w:type="dxa"/>
            <w:gridSpan w:val="2"/>
          </w:tcPr>
          <w:p w14:paraId="2287BA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0,2</w:t>
            </w:r>
          </w:p>
        </w:tc>
      </w:tr>
      <w:tr w:rsidR="00643896" w:rsidRPr="00640820" w14:paraId="0DBE0895" w14:textId="77777777" w:rsidTr="000D3BCB">
        <w:trPr>
          <w:gridAfter w:val="1"/>
          <w:wAfter w:w="15" w:type="dxa"/>
          <w:trHeight w:val="150"/>
        </w:trPr>
        <w:tc>
          <w:tcPr>
            <w:tcW w:w="520" w:type="dxa"/>
          </w:tcPr>
          <w:p w14:paraId="0B6461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w:t>
            </w:r>
          </w:p>
        </w:tc>
        <w:tc>
          <w:tcPr>
            <w:tcW w:w="5654" w:type="dxa"/>
          </w:tcPr>
          <w:p w14:paraId="24F341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Горчичный порошок..................</w:t>
            </w:r>
          </w:p>
        </w:tc>
        <w:tc>
          <w:tcPr>
            <w:tcW w:w="1264" w:type="dxa"/>
            <w:gridSpan w:val="2"/>
          </w:tcPr>
          <w:p w14:paraId="231F95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0,3</w:t>
            </w:r>
          </w:p>
        </w:tc>
      </w:tr>
      <w:tr w:rsidR="00643896" w:rsidRPr="00640820" w14:paraId="6C67985F" w14:textId="77777777" w:rsidTr="000D3BCB">
        <w:trPr>
          <w:gridAfter w:val="1"/>
          <w:wAfter w:w="15" w:type="dxa"/>
          <w:trHeight w:val="165"/>
        </w:trPr>
        <w:tc>
          <w:tcPr>
            <w:tcW w:w="520" w:type="dxa"/>
          </w:tcPr>
          <w:p w14:paraId="4E5C03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w:t>
            </w:r>
          </w:p>
        </w:tc>
        <w:tc>
          <w:tcPr>
            <w:tcW w:w="5654" w:type="dxa"/>
          </w:tcPr>
          <w:p w14:paraId="3B0BFC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Уксус......................</w:t>
            </w:r>
          </w:p>
        </w:tc>
        <w:tc>
          <w:tcPr>
            <w:tcW w:w="1264" w:type="dxa"/>
            <w:gridSpan w:val="2"/>
          </w:tcPr>
          <w:p w14:paraId="55D1CB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r>
      <w:tr w:rsidR="00643896" w:rsidRPr="00640820" w14:paraId="5FBA753F" w14:textId="77777777" w:rsidTr="000D3BCB">
        <w:trPr>
          <w:gridAfter w:val="1"/>
          <w:wAfter w:w="15" w:type="dxa"/>
          <w:trHeight w:val="150"/>
        </w:trPr>
        <w:tc>
          <w:tcPr>
            <w:tcW w:w="520" w:type="dxa"/>
          </w:tcPr>
          <w:p w14:paraId="5D4D6E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w:t>
            </w:r>
          </w:p>
        </w:tc>
        <w:tc>
          <w:tcPr>
            <w:tcW w:w="5654" w:type="dxa"/>
          </w:tcPr>
          <w:p w14:paraId="7EA32C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Соль для приготовления пищи..............</w:t>
            </w:r>
          </w:p>
        </w:tc>
        <w:tc>
          <w:tcPr>
            <w:tcW w:w="1264" w:type="dxa"/>
            <w:gridSpan w:val="2"/>
          </w:tcPr>
          <w:p w14:paraId="54E7E7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r>
      <w:tr w:rsidR="00643896" w:rsidRPr="00640820" w14:paraId="2F1D4992" w14:textId="77777777" w:rsidTr="000D3BCB">
        <w:trPr>
          <w:gridAfter w:val="1"/>
          <w:wAfter w:w="15" w:type="dxa"/>
          <w:trHeight w:val="150"/>
        </w:trPr>
        <w:tc>
          <w:tcPr>
            <w:tcW w:w="520" w:type="dxa"/>
            <w:tcBorders>
              <w:bottom w:val="single" w:sz="12" w:space="0" w:color="auto"/>
            </w:tcBorders>
          </w:tcPr>
          <w:p w14:paraId="0F30EA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c>
          <w:tcPr>
            <w:tcW w:w="5654" w:type="dxa"/>
            <w:tcBorders>
              <w:bottom w:val="single" w:sz="12" w:space="0" w:color="auto"/>
            </w:tcBorders>
          </w:tcPr>
          <w:p w14:paraId="62A1DB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Мыло для туалетных надобностей (в месяц).........</w:t>
            </w:r>
          </w:p>
        </w:tc>
        <w:tc>
          <w:tcPr>
            <w:tcW w:w="1264" w:type="dxa"/>
            <w:gridSpan w:val="2"/>
            <w:tcBorders>
              <w:bottom w:val="single" w:sz="12" w:space="0" w:color="auto"/>
            </w:tcBorders>
          </w:tcPr>
          <w:p w14:paraId="765ED4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w:t>
            </w:r>
          </w:p>
        </w:tc>
      </w:tr>
    </w:tbl>
    <w:p w14:paraId="119C3C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Примечания:</w:t>
      </w:r>
    </w:p>
    <w:p w14:paraId="31C172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Для выздоравливающих бойцов и командиров Красной Армии устанавливается суточный отпуск, хлеба в 800 г на человека, из них: ржаного хлеба — 400 г и пшеничного хлеба из муки 1 сорта — 400 г.</w:t>
      </w:r>
    </w:p>
    <w:p w14:paraId="6556F6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Раненым и больным, поступившим на излечение в госпитали из действующей армии, выдается по 25 штук папирос 3-го сорта в сутки на человека и спичек 3 коробки в месяц или табак 15 г. (9844).</w:t>
      </w:r>
    </w:p>
    <w:p w14:paraId="544639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50F9AA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сентября 1941 вышло Постановление ГКО № 701 Об улучшении медицинского обслуживания раненых бойцов и командиров Красной Армии. (7011, 60-61).</w:t>
      </w:r>
    </w:p>
    <w:p w14:paraId="62ADC8C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FD0D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сентября 1941 г. вышло постановление ГОСУДАРСТВЕННОГО КОМИТЕТА ОБОРОНЫ № ГКО-701сс ОБ УЛУЧШЕНИИ МЕДИЦИНСКОГО ОБСЛУЖИВАНИЯ РАНЕНЫХ БОЙЦОВ И КОМАНДИРОВ КРАСНОЙ АРМИИ</w:t>
      </w:r>
    </w:p>
    <w:p w14:paraId="6A076D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целях улучшения медицинского обслуживания раненых бойцов и командиров Красной Армии и упорядочения дела эвакуации Государственный Комитет Обороны СССР постановляет:</w:t>
      </w:r>
    </w:p>
    <w:p w14:paraId="3A02B2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Медицинское обслуживание раненых и больных бойцов и командиров в тыловых районах страны возложить на Народный комиссариат здравоохранения Союза ССР, а в армейских и фронтовых районах — на Главное военно-санитарное управление Красной Армии.</w:t>
      </w:r>
    </w:p>
    <w:p w14:paraId="148BC6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Передать в подчинение Наркомздрава Союза ССР все эвакогоспитали, сформированные в военное время, расположенные в тыловых районах (кроме постоянных госпиталей НКО).</w:t>
      </w:r>
    </w:p>
    <w:p w14:paraId="515360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Эвакопункты оставить в подчинении Главного военно-санитарного управления Красной Армии.</w:t>
      </w:r>
    </w:p>
    <w:p w14:paraId="06B672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Возложить на Наркомздрав Союза ССР:</w:t>
      </w:r>
    </w:p>
    <w:p w14:paraId="2058DE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организацию лечения раненых и больных бойцов и командиров Красной Армии в эвакогоспиталях тыловых районов страны;</w:t>
      </w:r>
    </w:p>
    <w:p w14:paraId="0C5569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содержание личного состава этих госпиталей;</w:t>
      </w:r>
    </w:p>
    <w:p w14:paraId="43C2BC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снабжение эвакогоспиталей всеми видами медицинского и санитарно-хозяйственного имущества;</w:t>
      </w:r>
    </w:p>
    <w:p w14:paraId="20D2DB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руководство медицинским обслуживанием госпиталей, сформированных на базе санаториев и домов отдыха ВЦСПС, содержащихся за счет средств ВЦСПС, и снабжение их медицинским имуществом по табелям и нормам для эвакогоспиталей Наркомздрава Союза ССР.</w:t>
      </w:r>
    </w:p>
    <w:p w14:paraId="5435A0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Возложить на НКО Союза ССР:</w:t>
      </w:r>
    </w:p>
    <w:p w14:paraId="284802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снабжение эвакогоспиталей Наркомздрава Союза ССР продовольствием, фуражом, денежным довольствием, проездными документами раненых и больных военнослужащих и обменным фондом белья по нормам и в порядке, установленным в Красной Армии;</w:t>
      </w:r>
    </w:p>
    <w:p w14:paraId="6D930F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организацию эвакуации раненых и больных в тыловые районы;</w:t>
      </w:r>
    </w:p>
    <w:p w14:paraId="3DD603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распределение по эвакогоспиталям Наркомздрава Союза ССР раненых и больных бойцов и командиров через эвакопункты. 5. Установить, что:</w:t>
      </w:r>
    </w:p>
    <w:p w14:paraId="56421C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в передаваемых Наркомздраву Союза ССР и вновь организуемых эвакогоспиталях полностью сохраняются организация работы и внутренний распорядок, существующие в военных госпиталях (врачебные комиссии, режим для больных, медико-санитарная отчетность и т. д.);</w:t>
      </w:r>
    </w:p>
    <w:p w14:paraId="413D87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весь личный состав эвакогоспиталей Наркомздрава Союза ССР из вольнонаемного состава считается мобилизованным. Перемещения по службе и назначения производятся органами Наркомздрава Союза ССР;</w:t>
      </w:r>
    </w:p>
    <w:p w14:paraId="708A33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в каждом эвакогоспитале лицами начальствующего состава Красной Армии замещаются только должности начальника и комиссара эвакогоспиталя. Назначение и перемещение их производится приказами НКО и Наркомздрава Союза ССР. Укомплектование врачами, сестрами, политическими и административно-хозяйственными работниками вновь формируемых эвакогоспиталей производится за счет забронированного за Наркомздравом Союза ССР состава этих категорий работников. Остальной состав набирается по вольному найму;</w:t>
      </w:r>
    </w:p>
    <w:p w14:paraId="00DE70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личному составу в эвакогоспиталях Наркомздрава Союза ССР выплачивается денежное содержание по ставкам, установленным для госпиталей НКО. Никто из личного состава госпиталей, кроме лиц, состоящих в кадрах Красной Армии, военного обмундирования и военных пайков не получает;</w:t>
      </w:r>
    </w:p>
    <w:p w14:paraId="707BB3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 все изменения в штатах эвакогоспиталей Наркомздрава Союза ССР производятся только с утверждения Совнаркома Союза ССР;</w:t>
      </w:r>
    </w:p>
    <w:p w14:paraId="549687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 дислокация тыловых эвакогоспиталей, их мощность и специализация устанавливаются Наркоматом обороны совместно с Наркомздравом Союза ССР;</w:t>
      </w:r>
    </w:p>
    <w:p w14:paraId="2DD4E0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ж) передача эвакогоспиталей тылового района во фронтовой и обратно производится “на ходу”, вместе с личным составом, оборудованием, оснащением и транспортом по состоянию на день передачи. Передача оформляется приказом НКО и Наркомздрава Союза ССР;</w:t>
      </w:r>
    </w:p>
    <w:p w14:paraId="5AC380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 расформирование эвакогоспиталей производится на основе распоряжений Совнаркома Союза ССР приказами Народного комиссара здравоохранения Союза ССР.</w:t>
      </w:r>
    </w:p>
    <w:p w14:paraId="19316F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6. Организовать в Наркомздраве Союза ССР и Наркомздравах союзных республик управления, а в Наркомздравах АССР и обл(край)здравах отделы по руководству эвакогоспиталями и комитеты помощи по обслуживанию больных и раненых бойцов и командиров из представителей партийных, советских, комсомольских, профсоюзных и общественных организаций.</w:t>
      </w:r>
    </w:p>
    <w:p w14:paraId="187EF8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Обязать Совнаркомы АССР и крайисполкомы предоставлять под эвакогоспитали приспособленные помещения, обеспечивать транспортом, твердым инвентарем, топливом, горючим и всеми видами коммунального обслуживания за счет средств местного бюджета.</w:t>
      </w:r>
    </w:p>
    <w:p w14:paraId="5A1512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Предоставить право Главному военно-санитарному управлению Красной Армии и санитарным отделам округов контролировать работу эвакогоспиталей Наркомздрава Союза ССР.</w:t>
      </w:r>
    </w:p>
    <w:p w14:paraId="756CF2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 xml:space="preserve">Председатель Государственного Комитета Обороны И. СТАЛИН </w:t>
      </w:r>
      <w:r w:rsidRPr="00640820">
        <w:rPr>
          <w:rFonts w:ascii="Times New Roman" w:hAnsi="Times New Roman"/>
          <w:color w:val="000000" w:themeColor="text1"/>
          <w:sz w:val="16"/>
          <w:szCs w:val="16"/>
        </w:rPr>
        <w:t>(9844).</w:t>
      </w:r>
    </w:p>
    <w:p w14:paraId="6F93F4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A2437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сентября 1941 г., согласно Командованию 18-й армии</w:t>
      </w:r>
    </w:p>
    <w:p w14:paraId="7A6AF1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Отдел 1 с</w:t>
      </w:r>
    </w:p>
    <w:p w14:paraId="73B4E6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26-му и 38-му корпусам, а также 16-й армии</w:t>
      </w:r>
    </w:p>
    <w:p w14:paraId="7DFCCC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сообщениях о положении в Ленинграде, по возможности, информируйте о следующих моментах:</w:t>
      </w:r>
    </w:p>
    <w:p w14:paraId="663FC1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мероприятия по обороне города</w:t>
      </w:r>
    </w:p>
    <w:p w14:paraId="370025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положение со снабжением</w:t>
      </w:r>
    </w:p>
    <w:p w14:paraId="1BAA74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настроение и пропаганда</w:t>
      </w:r>
    </w:p>
    <w:p w14:paraId="7544B2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новые данные о ранее зафиксированных объектах на военно-географическом плане Ленинграда:</w:t>
      </w:r>
    </w:p>
    <w:p w14:paraId="677F2F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военные командные пункты в) органы власти и управления с) продовольственные предприятия д) заводы е) склады</w:t>
      </w:r>
    </w:p>
    <w:p w14:paraId="155900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новые данные о карте укреплений масштаба 1: 50 000</w:t>
      </w:r>
    </w:p>
    <w:p w14:paraId="1273DC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общая информация</w:t>
      </w:r>
    </w:p>
    <w:p w14:paraId="01D569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допросе военнопленных и гражданских лиц, а также при анализе трофейных документов следует обращать особое внимание на приведенные выше пункты.</w:t>
      </w:r>
    </w:p>
    <w:p w14:paraId="7332B8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Национальный Архив США. Командование 18-й армии. Отдел 1с. Микрофильм. Т-312/1579 -1052 (11814).</w:t>
      </w:r>
    </w:p>
    <w:p w14:paraId="7BCCA1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451DC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сентября 1941 г. Всем армиям, дивизиям, Красному Флоту, Жукову, Жданову, Кузнецову, Меркулову.</w:t>
      </w:r>
    </w:p>
    <w:p w14:paraId="039451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Согласно слухам, подлые немцы, наступающие на Ленинград, посылают перед своими войсками стариков, женщин и детей из оккупированных областей в качестве делегатов к большевикам с просьбой сдать Ленинград и заключить мир.</w:t>
      </w:r>
    </w:p>
    <w:p w14:paraId="6C0C3A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Говорят, что среди ленинградских большевиков есть люди, которые считают неуместным применять оружие в отношении такого рода посланцев.</w:t>
      </w:r>
    </w:p>
    <w:p w14:paraId="2C2DE0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Если такие люди вообще есть среди большевиков, то их, по моему мнению, надо искоренить, поскольку они опаснее фашистов. Я советую не сентиментальничать, а бить врага и его помощников, будь то добровольцы или нет.</w:t>
      </w:r>
    </w:p>
    <w:p w14:paraId="770B57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Борьба идет жестокая. В первую очередь поражение потерпит тот, в чьих рядах появится паника и нерешительность. В падении Ленинграда будут виновны те, кто допустит в наших рядах нерешительность. Уничтожайте немцев и их посланцев, поскольку они одно и то же, что и немцы.</w:t>
      </w:r>
    </w:p>
    <w:p w14:paraId="091D86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Уничтожайте врагов, являющихся таковыми добровольно или нет. Никакой жалости по отношению к немцам, этим извергам; никакой пощады к их посланцам, поскольку они одно и то же, что и немцы.</w:t>
      </w:r>
    </w:p>
    <w:p w14:paraId="4CD05F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Прошу ознакомить с этим приказом всех командиров и комиссаров дивизий и полков, Военный совет Балтийского Флота, командиров и комиссаров всех соединений флота.</w:t>
      </w:r>
    </w:p>
    <w:p w14:paraId="70F6C3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02204 4-10. 21.9.41 И.Сталин</w:t>
      </w:r>
    </w:p>
    <w:p w14:paraId="45B556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Немедленно довести приказ до сведения всех армий, дивизий, полков, Военного совета Балтийского Флота, командиров и комиссаров соединений флота.</w:t>
      </w:r>
    </w:p>
    <w:p w14:paraId="58D243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Приказываем, немедленно открывать огонь по всем лицам, приближающимся к линии фронта и препятствовать их приближению к нашим позициям. Не допускать ведения переговоров с гражданским населением.</w:t>
      </w:r>
    </w:p>
    <w:p w14:paraId="157E63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Жуков, Жданов, Кузнецов, Меркулов.</w:t>
      </w:r>
    </w:p>
    <w:p w14:paraId="2CC5F4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Верховное командование Начальник Генерального штаба</w:t>
      </w:r>
    </w:p>
    <w:p w14:paraId="41324F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Национальный Архив США. Командование 18-й армии. Отдел 1с. Микрофильм. Т-312/1579-954-55 (11814).</w:t>
      </w:r>
    </w:p>
    <w:p w14:paraId="42127B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A2B219A"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43B4ED7B"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F076E0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сентября 1941 вышло Постановление ГКО № 702 О переселении немцев из Запорожской, Сталинской и Ворошиловградской областей. (7011, 62-63).</w:t>
      </w:r>
    </w:p>
    <w:p w14:paraId="2B152DC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8920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22 сентября 1941 года НКВД СССР докладывал в Совнарком: </w:t>
      </w:r>
    </w:p>
    <w:p w14:paraId="35BD25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сообщению Управления НКВД по Смоленской области, в занятых германской армией районах области осталось неэвакуированным значительное количество продовольствия, зерна и товаров, а также оборудование и сырье ряда предприятий.</w:t>
      </w:r>
    </w:p>
    <w:p w14:paraId="344455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городе Рославле на базе 'Заготзерно' оставлено около 1 тыс. тонн пшеницы. В заготовительных пунктах Велижского, Починковского, Руднянского, Ераснинского, Стодолищенского, Глинковского и Кардымовского районов и на базах в городах Смоленске и Ельня оставлено до 4,5 тыс. тонн зерна. На сыроваренных заводах и базах Смоленского Сыртреста осталось около 600 тонн сыра и 47 тонн сливочного масла. </w:t>
      </w:r>
    </w:p>
    <w:p w14:paraId="3C994B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Смоленске на складах облпотребсоюза, облторга и железной дороги осталось невывезенным на 1 млн рублей разных товаров: трикотажа, галантереи, стройматериалов. </w:t>
      </w:r>
    </w:p>
    <w:p w14:paraId="5FEFC8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городской телефонной станции в Смоленске осталась вся действующая аппаратура, а на складе облуправления связи -- на 500 тыс. рублей технического и хозяйственного имущества. Остались действующими почти все имевшиеся в районах, ныне занятых противником, предприятия коммунального хозяйства, как-то: электростанции, водопроводы и бани со всем оборудованием и имуществом..." </w:t>
      </w:r>
    </w:p>
    <w:p w14:paraId="0CDD55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Однако потери в Смоленске были сущей мелочью по сравнению с тем, что не вывезли с баз Управления государственных материальных резервов (УГМР) (11588).</w:t>
      </w:r>
    </w:p>
    <w:p w14:paraId="222811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644E67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сентября 1941 в Виннице украинскими полицаями убито до 28 тысяч евреев (4962).</w:t>
      </w:r>
    </w:p>
    <w:p w14:paraId="4C4B8CD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6649B5"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сентября в 1941 году Вера Инбер записывает в дневнике: "...мы оставили Киев... после того, как писали: "Киев есть и будет советским." (14777).</w:t>
      </w:r>
    </w:p>
    <w:p w14:paraId="34264A12" w14:textId="77777777" w:rsidR="000E5B37" w:rsidRPr="00640820" w:rsidRDefault="000E5B37" w:rsidP="00640820">
      <w:pPr>
        <w:spacing w:after="0" w:line="240" w:lineRule="auto"/>
        <w:jc w:val="both"/>
        <w:rPr>
          <w:rFonts w:ascii="Times New Roman" w:hAnsi="Times New Roman"/>
          <w:color w:val="000000" w:themeColor="text1"/>
          <w:sz w:val="16"/>
          <w:szCs w:val="16"/>
        </w:rPr>
      </w:pPr>
    </w:p>
    <w:p w14:paraId="3BF4598C"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281C34DD"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D24D66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сентября 1941 в Гибралтаре итальянские одноместные подлодки-самоубийцы затопили три английские корабля (4962).</w:t>
      </w:r>
    </w:p>
    <w:p w14:paraId="6943132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41924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сентября 1941 правительство Греции прибыло в Лондон (4962).</w:t>
      </w:r>
    </w:p>
    <w:p w14:paraId="6796B8D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3CF4C8"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698761BD"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9BD7BA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23 сентября по 12 октября 1941 г. в НИИ ВВС КА проводились Государственные испытания Ил-2 (зав. №181404) с ШФК-37 с целью выявления его летных данных (ведущий инженер — военинженер 3 ранга Холопов, ведущий летчик — майор Стадник). Всего по программе испытаний было выполнено 24 полета с общим налетом 10 ч. 6 мин. Большие габаритные размеры пушек ШФК-37 и магазинное питание (емкость магазина 40 снарядов) определили их размеще</w:t>
      </w:r>
      <w:r w:rsidRPr="00640820">
        <w:rPr>
          <w:rFonts w:ascii="Times New Roman" w:hAnsi="Times New Roman"/>
          <w:color w:val="000000" w:themeColor="text1"/>
          <w:sz w:val="16"/>
          <w:szCs w:val="16"/>
        </w:rPr>
        <w:softHyphen/>
        <w:t>ние в обтекателях под крылом самолета Ил-2. Из-за установки на пушке большого магазина ее пришлось сильно опустить вниз отно</w:t>
      </w:r>
      <w:r w:rsidRPr="00640820">
        <w:rPr>
          <w:rFonts w:ascii="Times New Roman" w:hAnsi="Times New Roman"/>
          <w:color w:val="000000" w:themeColor="text1"/>
          <w:sz w:val="16"/>
          <w:szCs w:val="16"/>
        </w:rPr>
        <w:softHyphen/>
        <w:t>сительно строительной плоскости крыла (оси самолета), что не только усложнило конструкцию крепления пушки к крьшу (пушка крепилась на амортизаторе и при стрельбе перемещалась вместе с магазином), но и потребовало сделать для нее громоздкие с боль</w:t>
      </w:r>
      <w:r w:rsidRPr="00640820">
        <w:rPr>
          <w:rFonts w:ascii="Times New Roman" w:hAnsi="Times New Roman"/>
          <w:color w:val="000000" w:themeColor="text1"/>
          <w:sz w:val="16"/>
          <w:szCs w:val="16"/>
        </w:rPr>
        <w:softHyphen/>
        <w:t>шим поперечным сечением обтекатели. Государственные испытания показали, что летные данные Ил-2 с крупнокалиберными авиапушками ШФК-37, по сравнению с обычным серийным одноместным Ил-2 с пушками ШВАК или ВЯ, заметно снизились. Самолет стал более инертным и сложным в технике пилотирования, особенно на виражах и разворотах на ма</w:t>
      </w:r>
      <w:r w:rsidRPr="00640820">
        <w:rPr>
          <w:rFonts w:ascii="Times New Roman" w:hAnsi="Times New Roman"/>
          <w:color w:val="000000" w:themeColor="text1"/>
          <w:sz w:val="16"/>
          <w:szCs w:val="16"/>
        </w:rPr>
        <w:softHyphen/>
        <w:t>лой высоте. На больших скоростях ухудшилась маневренность. Летчики жаловались на значительные нагрузки на рули при выпол</w:t>
      </w:r>
      <w:r w:rsidRPr="00640820">
        <w:rPr>
          <w:rFonts w:ascii="Times New Roman" w:hAnsi="Times New Roman"/>
          <w:color w:val="000000" w:themeColor="text1"/>
          <w:sz w:val="16"/>
          <w:szCs w:val="16"/>
        </w:rPr>
        <w:softHyphen/>
        <w:t>нении маневров. Тем не менее, результаты летных испытаний но</w:t>
      </w:r>
      <w:r w:rsidRPr="00640820">
        <w:rPr>
          <w:rFonts w:ascii="Times New Roman" w:hAnsi="Times New Roman"/>
          <w:color w:val="000000" w:themeColor="text1"/>
          <w:sz w:val="16"/>
          <w:szCs w:val="16"/>
        </w:rPr>
        <w:softHyphen/>
        <w:t>вого штурмовика были признаны в целом удовлетворительными. При нормальном полетном весе самолета 5864 кг максимальная скорость у земли не превышала 373 км/ч, а на высоте 2400 м — 409 км/ч. Время подъема на высоту 1000 м — 2,12 мин., на высоту 2500 м — 5,36 мин. Посадочная скорость — 146 км/ч. Разбег — 515м, пробег на посадке — 535 м. Максимальная скоростная даль</w:t>
      </w:r>
      <w:r w:rsidRPr="00640820">
        <w:rPr>
          <w:rFonts w:ascii="Times New Roman" w:hAnsi="Times New Roman"/>
          <w:color w:val="000000" w:themeColor="text1"/>
          <w:sz w:val="16"/>
          <w:szCs w:val="16"/>
        </w:rPr>
        <w:softHyphen/>
        <w:t>ность полета составляла 582 км, на наивыгоднейшей скорости по</w:t>
      </w:r>
      <w:r w:rsidRPr="00640820">
        <w:rPr>
          <w:rFonts w:ascii="Times New Roman" w:hAnsi="Times New Roman"/>
          <w:color w:val="000000" w:themeColor="text1"/>
          <w:sz w:val="16"/>
          <w:szCs w:val="16"/>
        </w:rPr>
        <w:softHyphen/>
        <w:t xml:space="preserve">лета — 728 км. Темп стрельбы ШФК-37 по данным полигонных </w:t>
      </w:r>
      <w:r w:rsidRPr="00640820">
        <w:rPr>
          <w:rFonts w:ascii="Times New Roman" w:hAnsi="Times New Roman"/>
          <w:color w:val="000000" w:themeColor="text1"/>
          <w:sz w:val="16"/>
          <w:szCs w:val="16"/>
        </w:rPr>
        <w:lastRenderedPageBreak/>
        <w:t>испытаний в среднем равнялся 169 выстрелам в минуту при начальной скорости снаряда около 894 м/с. В боекомплект пушки входили бронебойно-зажигательно-трас-сирующие (БЗТ-37) и осколочно-зажигательно-трассирующие (ОЗТ-37) снаряды.</w:t>
      </w:r>
    </w:p>
    <w:p w14:paraId="453CC5E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Снаряд БЗТ-37 обеспечивал пробитие немецкой танковой бро</w:t>
      </w:r>
      <w:r w:rsidRPr="00640820">
        <w:rPr>
          <w:rFonts w:ascii="Times New Roman" w:hAnsi="Times New Roman"/>
          <w:color w:val="000000" w:themeColor="text1"/>
          <w:sz w:val="16"/>
          <w:szCs w:val="16"/>
        </w:rPr>
        <w:softHyphen/>
        <w:t>ни толщиной 30 мм (твердость по Бринелю 3,15) под углом 45° к нормали с дистанции не более 500 м. Броню толщиной 15—16 мм и меньше (твердость по Бринелю 2,62) снаряд пробивал (или прола</w:t>
      </w:r>
      <w:r w:rsidRPr="00640820">
        <w:rPr>
          <w:rFonts w:ascii="Times New Roman" w:hAnsi="Times New Roman"/>
          <w:color w:val="000000" w:themeColor="text1"/>
          <w:sz w:val="16"/>
          <w:szCs w:val="16"/>
        </w:rPr>
        <w:softHyphen/>
        <w:t>мывал) при углах встречи не более 60° на тех же дистанциях. При этом при пробитии 30-мм брони снаряд выдавливал ее по сво</w:t>
      </w:r>
      <w:r w:rsidRPr="00640820">
        <w:rPr>
          <w:rFonts w:ascii="Times New Roman" w:hAnsi="Times New Roman"/>
          <w:color w:val="000000" w:themeColor="text1"/>
          <w:sz w:val="16"/>
          <w:szCs w:val="16"/>
        </w:rPr>
        <w:softHyphen/>
        <w:t>ему калибру и делал глубокую вмятину на противоположной внут</w:t>
      </w:r>
      <w:r w:rsidRPr="00640820">
        <w:rPr>
          <w:rFonts w:ascii="Times New Roman" w:hAnsi="Times New Roman"/>
          <w:color w:val="000000" w:themeColor="text1"/>
          <w:sz w:val="16"/>
          <w:szCs w:val="16"/>
        </w:rPr>
        <w:softHyphen/>
        <w:t>ренней стенке корпуса танка. Выдавленная же броня и оставшиеся части снаряда производили сильные разрушения внутри танка. Броня толщиной 50 мм (лобовая часть корпуса и башни средних немецких танков Т III Аи$Г Е и Р2.1П АшГС (твердость по Бри</w:t>
      </w:r>
      <w:r w:rsidRPr="00640820">
        <w:rPr>
          <w:rFonts w:ascii="Times New Roman" w:hAnsi="Times New Roman"/>
          <w:color w:val="000000" w:themeColor="text1"/>
          <w:sz w:val="16"/>
          <w:szCs w:val="16"/>
        </w:rPr>
        <w:softHyphen/>
        <w:t>нелю 3,3) пробивалась снарядом БЗТ-37 с дистанций не более 200 м при углах встречи не превышающих 5°. Осколочный же снаряд к пушке ШФК-37 — ОЗТ-37 — пробивал немецкую танковую броню толщиной не более 15 мм (твердость по Бринелю 2,62) с дистанций не превышающих 200 м при углах встречи близких к нормали.</w:t>
      </w:r>
    </w:p>
    <w:p w14:paraId="477FFBE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Проведенные на НИП АВ ВВС КА стрельбы с воздуха из пушки ШФК-37 по трофейной немецкой бронетехнике показали, что сна</w:t>
      </w:r>
      <w:r w:rsidRPr="00640820">
        <w:rPr>
          <w:rFonts w:ascii="Times New Roman" w:hAnsi="Times New Roman"/>
          <w:color w:val="000000" w:themeColor="text1"/>
          <w:sz w:val="16"/>
          <w:szCs w:val="16"/>
        </w:rPr>
        <w:softHyphen/>
        <w:t>ряд БЗТ-37 обеспечивал поражение немецких легких танков типа рг.38(1) АшГС и Рг.Н АизГР с дистанций до 500 м с любого направ</w:t>
      </w:r>
      <w:r w:rsidRPr="00640820">
        <w:rPr>
          <w:rFonts w:ascii="Times New Roman" w:hAnsi="Times New Roman"/>
          <w:color w:val="000000" w:themeColor="text1"/>
          <w:sz w:val="16"/>
          <w:szCs w:val="16"/>
        </w:rPr>
        <w:softHyphen/>
        <w:t>ления и при любых углах планирования. Причем попадание снаря</w:t>
      </w:r>
      <w:r w:rsidRPr="00640820">
        <w:rPr>
          <w:rFonts w:ascii="Times New Roman" w:hAnsi="Times New Roman"/>
          <w:color w:val="000000" w:themeColor="text1"/>
          <w:sz w:val="16"/>
          <w:szCs w:val="16"/>
        </w:rPr>
        <w:softHyphen/>
        <w:t>дов в эти танки давало проломы брони и сквозные пробития через оба борта корпуса танков. Поражение же средних немецких танков типа 8ШО III АизГ Е и рг.Ш АизГО, а также танка Рг.38(1) АизГЕ с усиленным бронирова</w:t>
      </w:r>
      <w:r w:rsidRPr="00640820">
        <w:rPr>
          <w:rFonts w:ascii="Times New Roman" w:hAnsi="Times New Roman"/>
          <w:color w:val="000000" w:themeColor="text1"/>
          <w:sz w:val="16"/>
          <w:szCs w:val="16"/>
        </w:rPr>
        <w:softHyphen/>
        <w:t>нием с толщиной брони на бортах до 30 мм обеспечивалось снаря</w:t>
      </w:r>
      <w:r w:rsidRPr="00640820">
        <w:rPr>
          <w:rFonts w:ascii="Times New Roman" w:hAnsi="Times New Roman"/>
          <w:color w:val="000000" w:themeColor="text1"/>
          <w:sz w:val="16"/>
          <w:szCs w:val="16"/>
        </w:rPr>
        <w:softHyphen/>
        <w:t>дом БЗТ-37 с дистанций не более 500 м, но при углах планирования не более 30°. При этом атаку танков этих типов необходимо было производить в бок колонны или вдоль нее с хвоста, ведя стрельбу по борту или по задней части корпуса и башни танков. На испытаниях из 33 прямых попаданий в средний танк Рг.Ш АикГ С и легкие танки Рг.П АизГ Р и Рг.38(1) АизГ С имели место только 24 пробоины, из которых 17 пробоин оказались в броне тол</w:t>
      </w:r>
      <w:r w:rsidRPr="00640820">
        <w:rPr>
          <w:rFonts w:ascii="Times New Roman" w:hAnsi="Times New Roman"/>
          <w:color w:val="000000" w:themeColor="text1"/>
          <w:sz w:val="16"/>
          <w:szCs w:val="16"/>
        </w:rPr>
        <w:softHyphen/>
        <w:t>щиной 30 мм, один рикошет от 16-мм брони, когда угол встречи снаряда с броней составил 75-80°, и остальные пробоины — в 15—16-мм броне. При этом 51,5% попаданий снарядов пушки ШФК-37 по среднему танку и 70% попаданий по легкому танку вы</w:t>
      </w:r>
      <w:r w:rsidRPr="00640820">
        <w:rPr>
          <w:rFonts w:ascii="Times New Roman" w:hAnsi="Times New Roman"/>
          <w:color w:val="000000" w:themeColor="text1"/>
          <w:sz w:val="16"/>
          <w:szCs w:val="16"/>
        </w:rPr>
        <w:softHyphen/>
        <w:t>водили их из строя. Попадания 37-мм снарядов в катки, колеса и другие детали хо</w:t>
      </w:r>
      <w:r w:rsidRPr="00640820">
        <w:rPr>
          <w:rFonts w:ascii="Times New Roman" w:hAnsi="Times New Roman"/>
          <w:color w:val="000000" w:themeColor="text1"/>
          <w:sz w:val="16"/>
          <w:szCs w:val="16"/>
        </w:rPr>
        <w:softHyphen/>
        <w:t>довой части танков наносили им существенные разрушения, как правило, выводящие танк из строя.</w:t>
      </w:r>
    </w:p>
    <w:p w14:paraId="13F01C2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отчете по полигонным испытаниям пушек ШФК-37 на само</w:t>
      </w:r>
      <w:r w:rsidRPr="00640820">
        <w:rPr>
          <w:rFonts w:ascii="Times New Roman" w:hAnsi="Times New Roman"/>
          <w:color w:val="000000" w:themeColor="text1"/>
          <w:sz w:val="16"/>
          <w:szCs w:val="16"/>
        </w:rPr>
        <w:softHyphen/>
        <w:t>лете Ил-2 особо отмечалось, что летный состав должен быть хоро</w:t>
      </w:r>
      <w:r w:rsidRPr="00640820">
        <w:rPr>
          <w:rFonts w:ascii="Times New Roman" w:hAnsi="Times New Roman"/>
          <w:color w:val="000000" w:themeColor="text1"/>
          <w:sz w:val="16"/>
          <w:szCs w:val="16"/>
        </w:rPr>
        <w:softHyphen/>
        <w:t>шо натренирован в ведении прицельного огня короткими очередя</w:t>
      </w:r>
      <w:r w:rsidRPr="00640820">
        <w:rPr>
          <w:rFonts w:ascii="Times New Roman" w:hAnsi="Times New Roman"/>
          <w:color w:val="000000" w:themeColor="text1"/>
          <w:sz w:val="16"/>
          <w:szCs w:val="16"/>
        </w:rPr>
        <w:softHyphen/>
        <w:t>ми (2—3 снаряда в очереди) по малоразмерным целям типа отдель</w:t>
      </w:r>
      <w:r w:rsidRPr="00640820">
        <w:rPr>
          <w:rFonts w:ascii="Times New Roman" w:hAnsi="Times New Roman"/>
          <w:color w:val="000000" w:themeColor="text1"/>
          <w:sz w:val="16"/>
          <w:szCs w:val="16"/>
        </w:rPr>
        <w:softHyphen/>
        <w:t>ный танк, автомашина и т.д. То есть для успешного применения Ил-2 с пушками ШФК-37 летчик-штурмовик должен был иметь отличную стрелковую и летную подготовку. Дело в том, что прицельная стрельба из пушек ШФК-37 на са</w:t>
      </w:r>
      <w:r w:rsidRPr="00640820">
        <w:rPr>
          <w:rFonts w:ascii="Times New Roman" w:hAnsi="Times New Roman"/>
          <w:color w:val="000000" w:themeColor="text1"/>
          <w:sz w:val="16"/>
          <w:szCs w:val="16"/>
        </w:rPr>
        <w:softHyphen/>
        <w:t>молете Ил-2 была в значительной степени затруднена вследствие сильной отдачи пушек при стрельбе и несинхронности в их работе. Последнее, из-за большого разноса пушек относительно центра масс самолета, а также вследствие недостаточной жесткости креп</w:t>
      </w:r>
      <w:r w:rsidRPr="00640820">
        <w:rPr>
          <w:rFonts w:ascii="Times New Roman" w:hAnsi="Times New Roman"/>
          <w:color w:val="000000" w:themeColor="text1"/>
          <w:sz w:val="16"/>
          <w:szCs w:val="16"/>
        </w:rPr>
        <w:softHyphen/>
        <w:t>ления пушечной установки, приводило к тому, что штурмовик при стрельбе испытывал сильные толчки, «клевки» и сбивался с линии прицеливания. А это, с учетом недостаточной продольной устой</w:t>
      </w:r>
      <w:r w:rsidRPr="00640820">
        <w:rPr>
          <w:rFonts w:ascii="Times New Roman" w:hAnsi="Times New Roman"/>
          <w:color w:val="000000" w:themeColor="text1"/>
          <w:sz w:val="16"/>
          <w:szCs w:val="16"/>
        </w:rPr>
        <w:softHyphen/>
        <w:t>чивости Ил-2, приводило к значительному рассеиванию снарядов и резкому снижению (примерно в 4 раза) точности стрельбы. Стрельба же из одной пушки была совершенно невозможной. Штурмовик сразу же разворачивался в сторону стреляющей пушки так, что ввести поправку в прицеливание не представлялось воз</w:t>
      </w:r>
      <w:r w:rsidRPr="00640820">
        <w:rPr>
          <w:rFonts w:ascii="Times New Roman" w:hAnsi="Times New Roman"/>
          <w:color w:val="000000" w:themeColor="text1"/>
          <w:sz w:val="16"/>
          <w:szCs w:val="16"/>
        </w:rPr>
        <w:softHyphen/>
        <w:t>можным. Попадание в цель в этом случае могло быть только пер</w:t>
      </w:r>
      <w:r w:rsidRPr="00640820">
        <w:rPr>
          <w:rFonts w:ascii="Times New Roman" w:hAnsi="Times New Roman"/>
          <w:color w:val="000000" w:themeColor="text1"/>
          <w:sz w:val="16"/>
          <w:szCs w:val="16"/>
        </w:rPr>
        <w:softHyphen/>
        <w:t>вым снарядом. Тем не менее,-общий вывод по испытаниям состоял в том, что штурмовик Ил-2 с пушками ШФК-37 является эффективным средством борьбы с немецкими легкими и средними танками. Ре</w:t>
      </w:r>
      <w:r w:rsidRPr="00640820">
        <w:rPr>
          <w:rFonts w:ascii="Times New Roman" w:hAnsi="Times New Roman"/>
          <w:color w:val="000000" w:themeColor="text1"/>
          <w:sz w:val="16"/>
          <w:szCs w:val="16"/>
        </w:rPr>
        <w:softHyphen/>
        <w:t>комендовалось построить небольшую серию таких самолетов для проведения войсковых испытаний и сформировать в полках спе</w:t>
      </w:r>
      <w:r w:rsidRPr="00640820">
        <w:rPr>
          <w:rFonts w:ascii="Times New Roman" w:hAnsi="Times New Roman"/>
          <w:color w:val="000000" w:themeColor="text1"/>
          <w:sz w:val="16"/>
          <w:szCs w:val="16"/>
        </w:rPr>
        <w:softHyphen/>
        <w:t>циальные группы летчиков-штурмовиков, обученных прицельной стрельбе из крупнокалиберных пушек с Ил-2 по наземным целям и натренированных для борьбы с немецкими танками (10695).</w:t>
      </w:r>
    </w:p>
    <w:p w14:paraId="7D75877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DBDFDE" w14:textId="77777777" w:rsidR="00E87C01" w:rsidRPr="00640820" w:rsidRDefault="00E87C01" w:rsidP="00640820">
      <w:pPr>
        <w:pStyle w:val="rtejustify"/>
        <w:shd w:val="clear" w:color="auto" w:fill="FFFFFF"/>
        <w:spacing w:before="0" w:after="0"/>
        <w:rPr>
          <w:color w:val="000000" w:themeColor="text1"/>
          <w:sz w:val="16"/>
          <w:szCs w:val="16"/>
        </w:rPr>
      </w:pPr>
      <w:r w:rsidRPr="00640820">
        <w:rPr>
          <w:color w:val="000000" w:themeColor="text1"/>
          <w:sz w:val="16"/>
          <w:szCs w:val="16"/>
        </w:rPr>
        <w:t>С 23 сентября по 12 октября 1941 г. в НИИ ВВС КА Г проводились осударственные испытания Ил-2 (зав. No.181404) с ШФК-37 с целью выявления его летных данных Всего по программе испытаний (ведущий инженер — военинженер 3-го ранга Холопов, ведущий летчик — м-р Стадник) было выполнено 24 полета с общим налетом 10 часов 6 мин.</w:t>
      </w:r>
    </w:p>
    <w:p w14:paraId="2E27FB20" w14:textId="77777777" w:rsidR="00E87C01" w:rsidRPr="00640820" w:rsidRDefault="00E87C01" w:rsidP="00640820">
      <w:pPr>
        <w:pStyle w:val="rtejustify"/>
        <w:shd w:val="clear" w:color="auto" w:fill="FFFFFF"/>
        <w:spacing w:before="0" w:after="0"/>
        <w:rPr>
          <w:color w:val="000000" w:themeColor="text1"/>
          <w:sz w:val="16"/>
          <w:szCs w:val="16"/>
        </w:rPr>
      </w:pPr>
      <w:r w:rsidRPr="00640820">
        <w:rPr>
          <w:color w:val="000000" w:themeColor="text1"/>
          <w:sz w:val="16"/>
          <w:szCs w:val="16"/>
        </w:rPr>
        <w:t>Госиспытания показали, что летные данные Ил-2 с крупнокалиберными авиапушками ШФК-37, по сравнению с обычным серийным одноместным Ил-2 с пушками ШВАК или ВЯ, заметно снизились. Самолет стал более инертным и сложным в технике пилотирования, особенно на виражах и разворотах на малой высоте. На больших скоростях ухудшилась маневренность. Летчики жаловались на значительные нагрузки на рули при выполнении маневров. Тем не менее, результаты летных испытаний нового штурмовика были признаны в целом удовлетворительными.</w:t>
      </w:r>
    </w:p>
    <w:p w14:paraId="4ED9CC4C" w14:textId="77777777" w:rsidR="00E87C01" w:rsidRPr="00640820" w:rsidRDefault="00E87C01" w:rsidP="00640820">
      <w:pPr>
        <w:pStyle w:val="rtejustify"/>
        <w:shd w:val="clear" w:color="auto" w:fill="FFFFFF"/>
        <w:spacing w:before="0" w:after="0"/>
        <w:rPr>
          <w:color w:val="000000" w:themeColor="text1"/>
          <w:sz w:val="16"/>
          <w:szCs w:val="16"/>
        </w:rPr>
      </w:pPr>
      <w:r w:rsidRPr="00640820">
        <w:rPr>
          <w:color w:val="000000" w:themeColor="text1"/>
          <w:sz w:val="16"/>
          <w:szCs w:val="16"/>
        </w:rPr>
        <w:t>Проведенные в НИП АВ ВВС КА стрельбы с воздуха из пушки ШФК-37 по трофейной немецкой бронетехнике показали, что снаряд БЗТ-37 обеспечивал поражение немецких легких танков типа Pz.38(t) Ausf С и Pz.ll Ausf F с дистанций до 500 м с любого направления и при любых углах планирования. Причем попадание снарядов в эти танки давало проломы брони и сквозные пробития через оба борта корпуса танков.</w:t>
      </w:r>
    </w:p>
    <w:p w14:paraId="147F5900" w14:textId="77777777" w:rsidR="00E87C01" w:rsidRPr="00640820" w:rsidRDefault="00E87C01" w:rsidP="00640820">
      <w:pPr>
        <w:pStyle w:val="rtejustify"/>
        <w:shd w:val="clear" w:color="auto" w:fill="FFFFFF"/>
        <w:spacing w:before="0" w:after="0"/>
        <w:rPr>
          <w:color w:val="000000" w:themeColor="text1"/>
          <w:sz w:val="16"/>
          <w:szCs w:val="16"/>
        </w:rPr>
      </w:pPr>
      <w:r w:rsidRPr="00640820">
        <w:rPr>
          <w:color w:val="000000" w:themeColor="text1"/>
          <w:sz w:val="16"/>
          <w:szCs w:val="16"/>
        </w:rPr>
        <w:t>Поражение же средних немецких танков типа StuG III Ausf Е и Pz.III Ausf G, a также танка Pz.38(t) Ausf E с усиленным бронированием с толщиной брони на бортах до 30 мм обеспечивалось снарядом БЗТ-37 с дистанций не более 500 м, но при углах планирования не более 30 градусов. При этом атаку танков этих типов необходимо было производить в бок колонны или вдоль нее с хвоста, ведя стрельбу по борту или по задней части корпуса и башни танков.</w:t>
      </w:r>
    </w:p>
    <w:p w14:paraId="74862339" w14:textId="77777777" w:rsidR="00E87C01" w:rsidRPr="00640820" w:rsidRDefault="00E87C01" w:rsidP="00640820">
      <w:pPr>
        <w:pStyle w:val="rtejustify"/>
        <w:shd w:val="clear" w:color="auto" w:fill="FFFFFF"/>
        <w:spacing w:before="0" w:after="0"/>
        <w:rPr>
          <w:color w:val="000000" w:themeColor="text1"/>
          <w:sz w:val="16"/>
          <w:szCs w:val="16"/>
        </w:rPr>
      </w:pPr>
      <w:r w:rsidRPr="00640820">
        <w:rPr>
          <w:color w:val="000000" w:themeColor="text1"/>
          <w:sz w:val="16"/>
          <w:szCs w:val="16"/>
        </w:rPr>
        <w:t>На испытаниях из 33 прямых попаданий в средний танк Pz.III Ausf G и легкие танки Pz.II Ausf F и Pz.38(t) Ausf С имели место только 24 пробоины, из которых 17 пробоин оказались в броне толщиной 30 мм, 1 рикошет от 16-мм брони, когда угол встречи снаряда с броней составил 75-80 град., и остальные пробоины — в 15-16-мм броне. При этом 51,5% попаданий снарядов пушки ШФК-37 по среднему танку и 70% попаданий по легкому танку выводили их из строя.</w:t>
      </w:r>
    </w:p>
    <w:p w14:paraId="590233D2" w14:textId="77777777" w:rsidR="00E87C01" w:rsidRPr="00640820" w:rsidRDefault="00E87C01" w:rsidP="00640820">
      <w:pPr>
        <w:pStyle w:val="rtejustify"/>
        <w:shd w:val="clear" w:color="auto" w:fill="FFFFFF"/>
        <w:spacing w:before="0" w:after="0"/>
        <w:rPr>
          <w:color w:val="000000" w:themeColor="text1"/>
          <w:sz w:val="16"/>
          <w:szCs w:val="16"/>
        </w:rPr>
      </w:pPr>
      <w:r w:rsidRPr="00640820">
        <w:rPr>
          <w:color w:val="000000" w:themeColor="text1"/>
          <w:sz w:val="16"/>
          <w:szCs w:val="16"/>
        </w:rPr>
        <w:t>Попадания 37-мм снарядов в ролики, колеса и другие детали ходовой части танков наносили им существенные разрушения, как правило, выводящие танк из строя.</w:t>
      </w:r>
    </w:p>
    <w:p w14:paraId="448AF1B4" w14:textId="77777777" w:rsidR="00E87C01" w:rsidRPr="00640820" w:rsidRDefault="00E87C01" w:rsidP="00640820">
      <w:pPr>
        <w:pStyle w:val="rtejustify"/>
        <w:shd w:val="clear" w:color="auto" w:fill="FFFFFF"/>
        <w:spacing w:before="0" w:after="0"/>
        <w:rPr>
          <w:color w:val="000000" w:themeColor="text1"/>
          <w:sz w:val="16"/>
          <w:szCs w:val="16"/>
        </w:rPr>
      </w:pPr>
      <w:r w:rsidRPr="00640820">
        <w:rPr>
          <w:color w:val="000000" w:themeColor="text1"/>
          <w:sz w:val="16"/>
          <w:szCs w:val="16"/>
        </w:rPr>
        <w:t>В отчете по полигонным испытаниям пушек ШФК-37 на самолете Ил-2 особо отмечалось, что летный состав должен быть хорошо натренирован в ведении прицельного огня короткими очередями (2-3 снаряда в очереди) по малоразмерным целям типа отдельный танк, автомашина и т.д. То есть для успешного применения Ил-2 с пушками ШФК-37 летчик-штурмовик должен был иметь отличную стрелковую и летную подготовку.</w:t>
      </w:r>
    </w:p>
    <w:p w14:paraId="21676E3E" w14:textId="77777777" w:rsidR="00E87C01" w:rsidRPr="00640820" w:rsidRDefault="00E87C01" w:rsidP="00640820">
      <w:pPr>
        <w:pStyle w:val="rtejustify"/>
        <w:shd w:val="clear" w:color="auto" w:fill="FFFFFF"/>
        <w:spacing w:before="0" w:after="0"/>
        <w:rPr>
          <w:color w:val="000000" w:themeColor="text1"/>
          <w:sz w:val="16"/>
          <w:szCs w:val="16"/>
        </w:rPr>
      </w:pPr>
      <w:r w:rsidRPr="00640820">
        <w:rPr>
          <w:color w:val="000000" w:themeColor="text1"/>
          <w:sz w:val="16"/>
          <w:szCs w:val="16"/>
        </w:rPr>
        <w:t>Дело в том, что прицельная стрельба из пушек ШФК-37 на самолете Ил-2 была в значительной степени затруднена вследствие сильной отдачи пушек при стрельбе и несинхронности в их работе. Последнее, из-за большого разноса пушек относительно центра масс самолета, а также вследствие недостаточной жесткости крепления пушечной установки, приводило к тому, что штурмовик при стрельбе испытывал сильные толчки, "клевки" и сбивался с линии прицеливания, а это в свою очередь, с учетом недостаточной продольной устойчивости "Ила", приводило к значительному рассеиванию снарядов и резкому снижению (примерно в 4 раза) точности стрельбы.</w:t>
      </w:r>
    </w:p>
    <w:p w14:paraId="17FD10ED" w14:textId="77777777" w:rsidR="00E87C01" w:rsidRPr="00640820" w:rsidRDefault="00E87C01" w:rsidP="00640820">
      <w:pPr>
        <w:pStyle w:val="rtejustify"/>
        <w:shd w:val="clear" w:color="auto" w:fill="FFFFFF"/>
        <w:spacing w:before="0" w:after="0"/>
        <w:rPr>
          <w:color w:val="000000" w:themeColor="text1"/>
          <w:sz w:val="16"/>
          <w:szCs w:val="16"/>
        </w:rPr>
      </w:pPr>
      <w:r w:rsidRPr="00640820">
        <w:rPr>
          <w:color w:val="000000" w:themeColor="text1"/>
          <w:sz w:val="16"/>
          <w:szCs w:val="16"/>
        </w:rPr>
        <w:t>Стрельба же из одной пушки была совершенно невозможной. Штурмовик сразу же разворачивался в сторону стреляющей пушки так, что ввести поправку в прицеливание не представлялось возможным. Попадание в цель в этом случае могло быть только первым снарядом.</w:t>
      </w:r>
    </w:p>
    <w:p w14:paraId="627F03C0" w14:textId="77777777" w:rsidR="00E87C01" w:rsidRPr="00640820" w:rsidRDefault="00E87C01" w:rsidP="00640820">
      <w:pPr>
        <w:pStyle w:val="rtejustify"/>
        <w:shd w:val="clear" w:color="auto" w:fill="FFFFFF"/>
        <w:spacing w:before="0" w:after="0"/>
        <w:rPr>
          <w:color w:val="000000" w:themeColor="text1"/>
          <w:sz w:val="16"/>
          <w:szCs w:val="16"/>
        </w:rPr>
      </w:pPr>
      <w:r w:rsidRPr="00640820">
        <w:rPr>
          <w:color w:val="000000" w:themeColor="text1"/>
          <w:sz w:val="16"/>
          <w:szCs w:val="16"/>
        </w:rPr>
        <w:t>Тем не менее, общий вывод по испытаниям состоял в том, что штурмовик Ил-2 с пушками ШФК-37 является эффективным средством борьбы с немецкими легкими и средними танками. Рекомендовалось построить небольшую серию таких самолетов для проведения войсковых испытаний и сформировать в полках специальные группы летчиков-штурмовиков, обученных прицельной стрельбе из крупнокалиберных пушек с Ил-2 по наземным целям и натренированных для борьбы с немецкими танками (19169).</w:t>
      </w:r>
    </w:p>
    <w:p w14:paraId="3DBFCAAC" w14:textId="77777777" w:rsidR="00E87C01" w:rsidRPr="00640820" w:rsidRDefault="00E87C01" w:rsidP="00640820">
      <w:pPr>
        <w:pStyle w:val="rtejustify"/>
        <w:shd w:val="clear" w:color="auto" w:fill="FFFFFF"/>
        <w:spacing w:before="0" w:after="0"/>
        <w:rPr>
          <w:color w:val="000000" w:themeColor="text1"/>
          <w:sz w:val="16"/>
          <w:szCs w:val="16"/>
        </w:rPr>
      </w:pPr>
    </w:p>
    <w:p w14:paraId="01CEED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23 сентября по 12 ок</w:t>
      </w:r>
      <w:r w:rsidRPr="00640820">
        <w:rPr>
          <w:rFonts w:ascii="Times New Roman" w:hAnsi="Times New Roman"/>
          <w:color w:val="000000" w:themeColor="text1"/>
          <w:sz w:val="16"/>
          <w:szCs w:val="16"/>
        </w:rPr>
        <w:softHyphen/>
        <w:t>тября 1941 г. в НИИ ВВС проходили государственные испытания Ил-2 (зав. №181404) с ШФК-37 с целью вы</w:t>
      </w:r>
      <w:r w:rsidRPr="00640820">
        <w:rPr>
          <w:rFonts w:ascii="Times New Roman" w:hAnsi="Times New Roman"/>
          <w:color w:val="000000" w:themeColor="text1"/>
          <w:sz w:val="16"/>
          <w:szCs w:val="16"/>
        </w:rPr>
        <w:softHyphen/>
        <w:t>явления его летных данных. Всего по программе ис</w:t>
      </w:r>
      <w:r w:rsidRPr="00640820">
        <w:rPr>
          <w:rFonts w:ascii="Times New Roman" w:hAnsi="Times New Roman"/>
          <w:color w:val="000000" w:themeColor="text1"/>
          <w:sz w:val="16"/>
          <w:szCs w:val="16"/>
        </w:rPr>
        <w:softHyphen/>
        <w:t>пытаний (ведущий инженер - военинженер 3-го ранга Холопов, ведущий лет</w:t>
      </w:r>
      <w:r w:rsidRPr="00640820">
        <w:rPr>
          <w:rFonts w:ascii="Times New Roman" w:hAnsi="Times New Roman"/>
          <w:color w:val="000000" w:themeColor="text1"/>
          <w:sz w:val="16"/>
          <w:szCs w:val="16"/>
        </w:rPr>
        <w:softHyphen/>
        <w:t>чик - м-р Стадник) было выполнено 24 полета с общим налетом 10 часов 6 мин.</w:t>
      </w:r>
    </w:p>
    <w:p w14:paraId="7A883F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Большие габаритные размеры пушек ШФК-37 и магазинное питание (емкость магазина 40 снарядов) определили их размещение в обтекателях под крылом самолета Ил-2. Из-за установки на пуш</w:t>
      </w:r>
      <w:r w:rsidRPr="00640820">
        <w:rPr>
          <w:rFonts w:ascii="Times New Roman" w:hAnsi="Times New Roman"/>
          <w:color w:val="000000" w:themeColor="text1"/>
          <w:sz w:val="16"/>
          <w:szCs w:val="16"/>
        </w:rPr>
        <w:softHyphen/>
        <w:t>ке большого магазина ее пришлось силь</w:t>
      </w:r>
      <w:r w:rsidRPr="00640820">
        <w:rPr>
          <w:rFonts w:ascii="Times New Roman" w:hAnsi="Times New Roman"/>
          <w:color w:val="000000" w:themeColor="text1"/>
          <w:sz w:val="16"/>
          <w:szCs w:val="16"/>
        </w:rPr>
        <w:softHyphen/>
        <w:t>но опустить вниз относительно строи</w:t>
      </w:r>
      <w:r w:rsidRPr="00640820">
        <w:rPr>
          <w:rFonts w:ascii="Times New Roman" w:hAnsi="Times New Roman"/>
          <w:color w:val="000000" w:themeColor="text1"/>
          <w:sz w:val="16"/>
          <w:szCs w:val="16"/>
        </w:rPr>
        <w:softHyphen/>
        <w:t>тельной плоскости крыла (оси самоле</w:t>
      </w:r>
      <w:r w:rsidRPr="00640820">
        <w:rPr>
          <w:rFonts w:ascii="Times New Roman" w:hAnsi="Times New Roman"/>
          <w:color w:val="000000" w:themeColor="text1"/>
          <w:sz w:val="16"/>
          <w:szCs w:val="16"/>
        </w:rPr>
        <w:softHyphen/>
        <w:t>та), что не только усложнило конструк</w:t>
      </w:r>
      <w:r w:rsidRPr="00640820">
        <w:rPr>
          <w:rFonts w:ascii="Times New Roman" w:hAnsi="Times New Roman"/>
          <w:color w:val="000000" w:themeColor="text1"/>
          <w:sz w:val="16"/>
          <w:szCs w:val="16"/>
        </w:rPr>
        <w:softHyphen/>
        <w:t>цию крепления пушки к крылу (пушка крепилась на амортизаторе и при стрельбе перемещалась вместе с ма</w:t>
      </w:r>
      <w:r w:rsidRPr="00640820">
        <w:rPr>
          <w:rFonts w:ascii="Times New Roman" w:hAnsi="Times New Roman"/>
          <w:color w:val="000000" w:themeColor="text1"/>
          <w:sz w:val="16"/>
          <w:szCs w:val="16"/>
        </w:rPr>
        <w:softHyphen/>
        <w:t>газином), но и потребовало сделать для нее громоздкие с большим поперечным сечением обтекатели.</w:t>
      </w:r>
    </w:p>
    <w:p w14:paraId="57EABA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Пушка ШФК-37, включая магазин для патронов как ее составную часть, в крыльевом варианте имела 387 деталей. Вес пушки с установкой на самолете Ил-2 составлял 302,5 кг.</w:t>
      </w:r>
    </w:p>
    <w:p w14:paraId="6310AE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Помимо пушек и пулеметов, в состав вооружения штурмовика входили 8 ра</w:t>
      </w:r>
      <w:r w:rsidRPr="00640820">
        <w:rPr>
          <w:rFonts w:ascii="Times New Roman" w:hAnsi="Times New Roman"/>
          <w:color w:val="000000" w:themeColor="text1"/>
          <w:sz w:val="16"/>
          <w:szCs w:val="16"/>
        </w:rPr>
        <w:softHyphen/>
        <w:t>кетных орудий РО-82. Бомбы только в перегрузку - до 200 кг.</w:t>
      </w:r>
    </w:p>
    <w:p w14:paraId="121445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Гос. испытания показали, что летные данные Ил-2 с крупнокалиберными авиапушками ШФК-37, по сравнению с обычным серийным одноместным Ил-2 с пушками ШВАК или ВЯ, заметно сни</w:t>
      </w:r>
      <w:r w:rsidRPr="00640820">
        <w:rPr>
          <w:rFonts w:ascii="Times New Roman" w:hAnsi="Times New Roman"/>
          <w:color w:val="000000" w:themeColor="text1"/>
          <w:sz w:val="16"/>
          <w:szCs w:val="16"/>
        </w:rPr>
        <w:softHyphen/>
        <w:t>зились. Самолет стал более инертным и сложным в технике пилотирования, особенно на виражах и разворотах на малой высоте. На больших скоростях ухудшилась маневренность. Летчики жаловались на значительные нагрузки на рули при выполнении маневров. Тем не менее, результаты летных испытаний нового штурмовика были признаны в целом удовлетворительными.</w:t>
      </w:r>
    </w:p>
    <w:p w14:paraId="2ECA1C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нормальном полетном весе 5864 кг максимальная скорость у земли не превышала 373 км/ч, на высоте 2400 м -409 км/ч. Время подъема на высоту 1000 м - 2,12 мин, на высоту 2500 м - 5,36 мин. Посадочная скорость - 146 км/ч. Разбег -515м, пробег на посадке - 535 м. Максимальная скоростная дальность полета (0,9V^) составляла 582 км, на наивыгоднейшей скорости полета - 728 км.</w:t>
      </w:r>
    </w:p>
    <w:p w14:paraId="1ABC46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Темп стрельбы ШФК-37 по данным полигонных испытаний в среднем равнялся 169 выстрелам в минуту при начальной скорости снаряда около 894 м/с.</w:t>
      </w:r>
    </w:p>
    <w:p w14:paraId="43EEB0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боекомплект пушки входили бронебойно-зажигательно-трассирующие (БЗТ-37) и осколочно-зажигательно-трассирующие (ОЗТ-37) снаряды.</w:t>
      </w:r>
    </w:p>
    <w:p w14:paraId="3703B3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Снаряд БЗТ-37 обеспечивал пробитие немецкой танковой брони толщиной 30 мм (твердость по Бринелю 3,15) по/ углом 45° к нормали с дистанции не более 500 м. Броню толщиной 15-16 мм ^ меньше (твердость по Бринелю 2,62) снаряд пробивал (или проламывал) при углах встречи не более 60</w:t>
      </w:r>
      <w:r w:rsidRPr="00640820">
        <w:rPr>
          <w:rFonts w:ascii="Times New Roman" w:hAnsi="Times New Roman"/>
          <w:color w:val="000000" w:themeColor="text1"/>
          <w:sz w:val="16"/>
          <w:szCs w:val="16"/>
          <w:vertAlign w:val="superscript"/>
        </w:rPr>
        <w:t>е</w:t>
      </w:r>
      <w:r w:rsidRPr="00640820">
        <w:rPr>
          <w:rFonts w:ascii="Times New Roman" w:hAnsi="Times New Roman"/>
          <w:color w:val="000000" w:themeColor="text1"/>
          <w:sz w:val="16"/>
          <w:szCs w:val="16"/>
        </w:rPr>
        <w:t xml:space="preserve"> на тех же дистанциях. При этом </w:t>
      </w:r>
      <w:r w:rsidRPr="00640820">
        <w:rPr>
          <w:rFonts w:ascii="Times New Roman" w:hAnsi="Times New Roman"/>
          <w:color w:val="000000" w:themeColor="text1"/>
          <w:sz w:val="16"/>
          <w:szCs w:val="16"/>
        </w:rPr>
        <w:lastRenderedPageBreak/>
        <w:t>при пробитии 30</w:t>
      </w:r>
      <w:r w:rsidRPr="00640820">
        <w:rPr>
          <w:rFonts w:ascii="Times New Roman" w:hAnsi="Times New Roman"/>
          <w:color w:val="000000" w:themeColor="text1"/>
          <w:sz w:val="16"/>
          <w:szCs w:val="16"/>
        </w:rPr>
        <w:softHyphen/>
        <w:t>мм брони снаряд выдавливал ее по сво</w:t>
      </w:r>
      <w:r w:rsidRPr="00640820">
        <w:rPr>
          <w:rFonts w:ascii="Times New Roman" w:hAnsi="Times New Roman"/>
          <w:color w:val="000000" w:themeColor="text1"/>
          <w:sz w:val="16"/>
          <w:szCs w:val="16"/>
        </w:rPr>
        <w:softHyphen/>
        <w:t>ему калибру и делал глубокую вмятину на противоположной внутренней стенке корпуса танка. Выдавленная же броня и оставшиеся части снаряда производи</w:t>
      </w:r>
      <w:r w:rsidRPr="00640820">
        <w:rPr>
          <w:rFonts w:ascii="Times New Roman" w:hAnsi="Times New Roman"/>
          <w:color w:val="000000" w:themeColor="text1"/>
          <w:sz w:val="16"/>
          <w:szCs w:val="16"/>
        </w:rPr>
        <w:softHyphen/>
        <w:t>ли сильные разрушения внутри танка.</w:t>
      </w:r>
    </w:p>
    <w:p w14:paraId="23F6E0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Броня толщиной 50 мм (лобовая часть корпуса и башни средних немецких тан</w:t>
      </w:r>
      <w:r w:rsidRPr="00640820">
        <w:rPr>
          <w:rFonts w:ascii="Times New Roman" w:hAnsi="Times New Roman"/>
          <w:color w:val="000000" w:themeColor="text1"/>
          <w:sz w:val="16"/>
          <w:szCs w:val="16"/>
        </w:rPr>
        <w:softHyphen/>
        <w:t>ков StuG III Ausf Е и Pz.111 Ausf G, твер</w:t>
      </w:r>
      <w:r w:rsidRPr="00640820">
        <w:rPr>
          <w:rFonts w:ascii="Times New Roman" w:hAnsi="Times New Roman"/>
          <w:color w:val="000000" w:themeColor="text1"/>
          <w:sz w:val="16"/>
          <w:szCs w:val="16"/>
        </w:rPr>
        <w:softHyphen/>
        <w:t>дость по Бринелю 3,3) пробивалась сна</w:t>
      </w:r>
      <w:r w:rsidRPr="00640820">
        <w:rPr>
          <w:rFonts w:ascii="Times New Roman" w:hAnsi="Times New Roman"/>
          <w:color w:val="000000" w:themeColor="text1"/>
          <w:sz w:val="16"/>
          <w:szCs w:val="16"/>
        </w:rPr>
        <w:softHyphen/>
        <w:t>рядом БЗТ-37 с дистанций не более 200 м при углах встречи не превышающих 5</w:t>
      </w:r>
      <w:r w:rsidRPr="00640820">
        <w:rPr>
          <w:rFonts w:ascii="Times New Roman" w:hAnsi="Times New Roman"/>
          <w:color w:val="000000" w:themeColor="text1"/>
          <w:sz w:val="16"/>
          <w:szCs w:val="16"/>
          <w:vertAlign w:val="superscript"/>
        </w:rPr>
        <w:t>е</w:t>
      </w:r>
      <w:r w:rsidRPr="00640820">
        <w:rPr>
          <w:rFonts w:ascii="Times New Roman" w:hAnsi="Times New Roman"/>
          <w:color w:val="000000" w:themeColor="text1"/>
          <w:sz w:val="16"/>
          <w:szCs w:val="16"/>
        </w:rPr>
        <w:t>.</w:t>
      </w:r>
    </w:p>
    <w:p w14:paraId="512229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Осколочный же снаряд к пушке ШФК-37 - ОЗТ-37 пробивал немецкую танко</w:t>
      </w:r>
      <w:r w:rsidRPr="00640820">
        <w:rPr>
          <w:rFonts w:ascii="Times New Roman" w:hAnsi="Times New Roman"/>
          <w:color w:val="000000" w:themeColor="text1"/>
          <w:sz w:val="16"/>
          <w:szCs w:val="16"/>
        </w:rPr>
        <w:softHyphen/>
        <w:t>вую броню толщиной не более 15 мм (твердость по Бринелю 2,62) с дистан</w:t>
      </w:r>
      <w:r w:rsidRPr="00640820">
        <w:rPr>
          <w:rFonts w:ascii="Times New Roman" w:hAnsi="Times New Roman"/>
          <w:color w:val="000000" w:themeColor="text1"/>
          <w:sz w:val="16"/>
          <w:szCs w:val="16"/>
        </w:rPr>
        <w:softHyphen/>
        <w:t>ций не превышающих 200 м при углах встречи близких к нормали (6467).</w:t>
      </w:r>
    </w:p>
    <w:p w14:paraId="269FA4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5753834" w14:textId="77777777" w:rsidR="00B557AB" w:rsidRPr="00640820" w:rsidRDefault="00B557AB"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В период с 23 сентября по 12 октября 1941 г. противо</w:t>
      </w:r>
      <w:r w:rsidRPr="00640820">
        <w:rPr>
          <w:color w:val="000000" w:themeColor="text1"/>
          <w:sz w:val="16"/>
          <w:szCs w:val="16"/>
        </w:rPr>
        <w:softHyphen/>
        <w:t>танковый Ил-2 зав. № 1871704 прошел Государственные летные испытания в НИИ ВВС</w:t>
      </w:r>
    </w:p>
    <w:p w14:paraId="0CFA0DF7" w14:textId="77777777" w:rsidR="00B557AB" w:rsidRPr="00640820" w:rsidRDefault="00B557AB"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Ведущим инженером был назначен военинже</w:t>
      </w:r>
      <w:r w:rsidRPr="00640820">
        <w:rPr>
          <w:color w:val="000000" w:themeColor="text1"/>
          <w:sz w:val="16"/>
          <w:szCs w:val="16"/>
        </w:rPr>
        <w:softHyphen/>
        <w:t>нер 3-го ранга В. С. Холопов. Летал — летчик-ис</w:t>
      </w:r>
      <w:r w:rsidRPr="00640820">
        <w:rPr>
          <w:color w:val="000000" w:themeColor="text1"/>
          <w:sz w:val="16"/>
          <w:szCs w:val="16"/>
        </w:rPr>
        <w:softHyphen/>
        <w:t>пытатель майор И. С. Стадник. Всего было выполне</w:t>
      </w:r>
      <w:r w:rsidRPr="00640820">
        <w:rPr>
          <w:color w:val="000000" w:themeColor="text1"/>
          <w:sz w:val="16"/>
          <w:szCs w:val="16"/>
        </w:rPr>
        <w:softHyphen/>
        <w:t>но 24 полета с общим налетом 10 ч 06 мин. Отчет утвержден генералом И. Ф. Петровым 14 октября 1941 г.</w:t>
      </w:r>
    </w:p>
    <w:p w14:paraId="6FF685DC" w14:textId="77777777" w:rsidR="00B557AB" w:rsidRPr="00640820" w:rsidRDefault="00B557AB"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Летные данные Ил-2 с пушками Ш-37 заметно снизились. Самолет стал более инертным и слож</w:t>
      </w:r>
      <w:r w:rsidRPr="00640820">
        <w:rPr>
          <w:color w:val="000000" w:themeColor="text1"/>
          <w:sz w:val="16"/>
          <w:szCs w:val="16"/>
        </w:rPr>
        <w:softHyphen/>
        <w:t>ным в технике пилотирования, особенно на вира</w:t>
      </w:r>
      <w:r w:rsidRPr="00640820">
        <w:rPr>
          <w:color w:val="000000" w:themeColor="text1"/>
          <w:sz w:val="16"/>
          <w:szCs w:val="16"/>
        </w:rPr>
        <w:softHyphen/>
        <w:t>жах и разворотах на малой высоте. На больших скоростях ухудшилась маневренность. Отмечались значительные нагрузки на рули при выполнении маневров. Тем не менее результаты летных испы</w:t>
      </w:r>
      <w:r w:rsidRPr="00640820">
        <w:rPr>
          <w:color w:val="000000" w:themeColor="text1"/>
          <w:sz w:val="16"/>
          <w:szCs w:val="16"/>
        </w:rPr>
        <w:softHyphen/>
        <w:t>таний нового штурмовика были признаны в целом удовлетворительными.</w:t>
      </w:r>
    </w:p>
    <w:p w14:paraId="5F7A2D8D" w14:textId="77777777" w:rsidR="00B557AB" w:rsidRPr="00640820" w:rsidRDefault="00B557AB"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При полетном весе 5864 кг максимальная ско</w:t>
      </w:r>
      <w:r w:rsidRPr="00640820">
        <w:rPr>
          <w:color w:val="000000" w:themeColor="text1"/>
          <w:sz w:val="16"/>
          <w:szCs w:val="16"/>
        </w:rPr>
        <w:softHyphen/>
        <w:t>рость у земли не превышала 373 км/ч, на высо</w:t>
      </w:r>
      <w:r w:rsidRPr="00640820">
        <w:rPr>
          <w:color w:val="000000" w:themeColor="text1"/>
          <w:sz w:val="16"/>
          <w:szCs w:val="16"/>
        </w:rPr>
        <w:softHyphen/>
        <w:t>те 2400 м — 409 км/ч. Время подъема на высоту 1000 м — 2,12 мин. Посадочная скорость увели</w:t>
      </w:r>
      <w:r w:rsidRPr="00640820">
        <w:rPr>
          <w:color w:val="000000" w:themeColor="text1"/>
          <w:sz w:val="16"/>
          <w:szCs w:val="16"/>
        </w:rPr>
        <w:softHyphen/>
        <w:t>чилась до 146 км/ч. Разбег составил 515 м. Макси</w:t>
      </w:r>
      <w:r w:rsidRPr="00640820">
        <w:rPr>
          <w:color w:val="000000" w:themeColor="text1"/>
          <w:sz w:val="16"/>
          <w:szCs w:val="16"/>
        </w:rPr>
        <w:softHyphen/>
        <w:t>мальная скоростная дальность полета (0,9</w:t>
      </w:r>
      <w:r w:rsidRPr="00640820">
        <w:rPr>
          <w:color w:val="000000" w:themeColor="text1"/>
          <w:sz w:val="16"/>
          <w:szCs w:val="16"/>
          <w:lang w:val="en-US"/>
        </w:rPr>
        <w:t>V</w:t>
      </w:r>
      <w:r w:rsidRPr="00640820">
        <w:rPr>
          <w:color w:val="000000" w:themeColor="text1"/>
          <w:sz w:val="16"/>
          <w:szCs w:val="16"/>
          <w:vertAlign w:val="subscript"/>
          <w:lang w:val="en-US"/>
        </w:rPr>
        <w:t>max</w:t>
      </w:r>
      <w:r w:rsidRPr="00640820">
        <w:rPr>
          <w:color w:val="000000" w:themeColor="text1"/>
          <w:sz w:val="16"/>
          <w:szCs w:val="16"/>
        </w:rPr>
        <w:t>) по</w:t>
      </w:r>
      <w:r w:rsidRPr="00640820">
        <w:rPr>
          <w:color w:val="000000" w:themeColor="text1"/>
          <w:sz w:val="16"/>
          <w:szCs w:val="16"/>
        </w:rPr>
        <w:softHyphen/>
        <w:t>низилась до 582 км.</w:t>
      </w:r>
    </w:p>
    <w:p w14:paraId="6D3251F6" w14:textId="77777777" w:rsidR="00B557AB" w:rsidRPr="00640820" w:rsidRDefault="00B557AB"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Общий вывод состоял в том, что штурмовик Ил-2 с пушками Ш-37 является эффективным сред</w:t>
      </w:r>
      <w:r w:rsidRPr="00640820">
        <w:rPr>
          <w:color w:val="000000" w:themeColor="text1"/>
          <w:sz w:val="16"/>
          <w:szCs w:val="16"/>
        </w:rPr>
        <w:softHyphen/>
        <w:t>ством борьбы с немецкими легкими и средними танками. Рекомендовалось построить небольшую серию таких самолетов для проведения войско</w:t>
      </w:r>
      <w:r w:rsidRPr="00640820">
        <w:rPr>
          <w:color w:val="000000" w:themeColor="text1"/>
          <w:sz w:val="16"/>
          <w:szCs w:val="16"/>
        </w:rPr>
        <w:softHyphen/>
        <w:t>вых испытаний и сформировать в полках специ</w:t>
      </w:r>
      <w:r w:rsidRPr="00640820">
        <w:rPr>
          <w:color w:val="000000" w:themeColor="text1"/>
          <w:sz w:val="16"/>
          <w:szCs w:val="16"/>
        </w:rPr>
        <w:softHyphen/>
        <w:t>альные группы летчиков-штурмовиков, обученных прицельной стрельбе из крупнокалиберных пушек с Ил-2 по наземным целям и натренированных для борьбы с немецкими танками. Самолет Ил-2 зав. № 1861704 после замены стволов пушек предла</w:t>
      </w:r>
      <w:r w:rsidRPr="00640820">
        <w:rPr>
          <w:color w:val="000000" w:themeColor="text1"/>
          <w:sz w:val="16"/>
          <w:szCs w:val="16"/>
        </w:rPr>
        <w:softHyphen/>
        <w:t>галось отправить на фронт для отработки боевого применения (17500).</w:t>
      </w:r>
    </w:p>
    <w:p w14:paraId="3E7F3F1B" w14:textId="77777777" w:rsidR="00B557AB" w:rsidRPr="00640820" w:rsidRDefault="00B557AB"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2A4C8A6" w14:textId="77777777" w:rsidR="000E5B37" w:rsidRPr="00640820" w:rsidRDefault="000E5B37" w:rsidP="00640820">
      <w:pPr>
        <w:pStyle w:val="35"/>
        <w:shd w:val="clear" w:color="auto" w:fill="auto"/>
        <w:spacing w:after="0" w:line="240" w:lineRule="auto"/>
        <w:jc w:val="both"/>
        <w:rPr>
          <w:rFonts w:ascii="Times New Roman" w:cs="Times New Roman"/>
          <w:color w:val="000000" w:themeColor="text1"/>
          <w:spacing w:val="0"/>
          <w:sz w:val="16"/>
          <w:szCs w:val="16"/>
        </w:rPr>
      </w:pPr>
      <w:r w:rsidRPr="00640820">
        <w:rPr>
          <w:rFonts w:ascii="Times New Roman" w:cs="Times New Roman"/>
          <w:color w:val="000000" w:themeColor="text1"/>
          <w:spacing w:val="0"/>
          <w:sz w:val="16"/>
          <w:szCs w:val="16"/>
        </w:rPr>
        <w:t>23 сентября 1941 НКАП  отдал распоряжение</w:t>
      </w:r>
      <w:r w:rsidRPr="00640820">
        <w:rPr>
          <w:rStyle w:val="aff5"/>
          <w:rFonts w:ascii="Times New Roman" w:eastAsia="Arial Narrow" w:hAnsi="Times New Roman" w:cs="Times New Roman"/>
          <w:i w:val="0"/>
          <w:color w:val="000000" w:themeColor="text1"/>
          <w:spacing w:val="0"/>
        </w:rPr>
        <w:t xml:space="preserve"> «т. Яков</w:t>
      </w:r>
      <w:r w:rsidRPr="00640820">
        <w:rPr>
          <w:rStyle w:val="aff5"/>
          <w:rFonts w:ascii="Times New Roman" w:eastAsia="Arial Narrow" w:hAnsi="Times New Roman" w:cs="Times New Roman"/>
          <w:i w:val="0"/>
          <w:color w:val="000000" w:themeColor="text1"/>
          <w:spacing w:val="0"/>
        </w:rPr>
        <w:softHyphen/>
        <w:t>леву»</w:t>
      </w:r>
      <w:r w:rsidRPr="00640820">
        <w:rPr>
          <w:rFonts w:ascii="Times New Roman" w:cs="Times New Roman"/>
          <w:color w:val="000000" w:themeColor="text1"/>
          <w:spacing w:val="0"/>
          <w:sz w:val="16"/>
          <w:szCs w:val="16"/>
        </w:rPr>
        <w:t xml:space="preserve"> подготовить образцы нового варианта брони АБ-1 и передать их в НИИ ВВС для про</w:t>
      </w:r>
      <w:r w:rsidRPr="00640820">
        <w:rPr>
          <w:rFonts w:ascii="Times New Roman" w:cs="Times New Roman"/>
          <w:color w:val="000000" w:themeColor="text1"/>
          <w:spacing w:val="0"/>
          <w:sz w:val="16"/>
          <w:szCs w:val="16"/>
        </w:rPr>
        <w:softHyphen/>
        <w:t>изводства испытаний» (15774).</w:t>
      </w:r>
    </w:p>
    <w:p w14:paraId="76B259F9" w14:textId="77777777" w:rsidR="000E5B37" w:rsidRPr="00640820" w:rsidRDefault="000E5B37" w:rsidP="00640820">
      <w:pPr>
        <w:pStyle w:val="35"/>
        <w:shd w:val="clear" w:color="auto" w:fill="auto"/>
        <w:spacing w:after="0" w:line="240" w:lineRule="auto"/>
        <w:jc w:val="both"/>
        <w:rPr>
          <w:rFonts w:ascii="Times New Roman" w:cs="Times New Roman"/>
          <w:color w:val="000000" w:themeColor="text1"/>
          <w:spacing w:val="0"/>
          <w:sz w:val="16"/>
          <w:szCs w:val="16"/>
        </w:rPr>
      </w:pPr>
    </w:p>
    <w:p w14:paraId="3332A5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сентября 1941 вышло Постановление ГКО № 707 О производстве самолета Пе-2 на заводе № 125 в гор. Иркутске. РГАНИР, Фонд ГКО, д. 10, лл. 76 (11012).</w:t>
      </w:r>
    </w:p>
    <w:p w14:paraId="38F8D6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D59C818" w14:textId="77777777" w:rsidR="00FA48B2" w:rsidRPr="00640820" w:rsidRDefault="00FA48B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сентября 1941 вышло Постановление ГКО № 707 О производстве самолета Пе-2 на заводе № 125 в гор. Иркутске</w:t>
      </w:r>
    </w:p>
    <w:p w14:paraId="385E0893" w14:textId="77777777" w:rsidR="00FA48B2" w:rsidRPr="00640820" w:rsidRDefault="00FA48B2"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 xml:space="preserve">В изменение постановления от 23 августа за № 566сс "О производстве упрощенного самолета </w:t>
      </w:r>
      <w:r w:rsidRPr="00640820">
        <w:rPr>
          <w:rFonts w:ascii="Times New Roman" w:eastAsia="Times New Roman" w:hAnsi="Times New Roman"/>
          <w:color w:val="000000" w:themeColor="text1"/>
          <w:sz w:val="16"/>
          <w:szCs w:val="16"/>
          <w:lang w:val="en-US"/>
        </w:rPr>
        <w:t>Iie</w:t>
      </w:r>
      <w:r w:rsidRPr="00640820">
        <w:rPr>
          <w:rFonts w:ascii="Times New Roman" w:eastAsia="Times New Roman" w:hAnsi="Times New Roman"/>
          <w:color w:val="000000" w:themeColor="text1"/>
          <w:sz w:val="16"/>
          <w:szCs w:val="16"/>
        </w:rPr>
        <w:t>-2 на заводе Р 125 в гор.Иркутске" Государственный Комитет Обороны постанов-</w:t>
      </w:r>
    </w:p>
    <w:p w14:paraId="0A7BD0AA" w14:textId="77777777" w:rsidR="00FA48B2" w:rsidRPr="00640820" w:rsidRDefault="00FA48B2"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Обязать Нарномавпапром тов. Ш</w:t>
      </w:r>
      <w:r w:rsidRPr="00640820">
        <w:rPr>
          <w:rFonts w:ascii="Times New Roman" w:eastAsia="Times New Roman" w:hAnsi="Times New Roman"/>
          <w:color w:val="000000" w:themeColor="text1"/>
          <w:sz w:val="16"/>
          <w:szCs w:val="16"/>
          <w:lang w:val="en-US"/>
        </w:rPr>
        <w:t>axyp</w:t>
      </w:r>
      <w:r w:rsidRPr="00640820">
        <w:rPr>
          <w:rFonts w:ascii="Times New Roman" w:eastAsia="Times New Roman" w:hAnsi="Times New Roman"/>
          <w:color w:val="000000" w:themeColor="text1"/>
          <w:sz w:val="16"/>
          <w:szCs w:val="16"/>
        </w:rPr>
        <w:t>ина и директора заво</w:t>
      </w:r>
      <w:r w:rsidRPr="00640820">
        <w:rPr>
          <w:rFonts w:ascii="Times New Roman" w:eastAsia="Times New Roman" w:hAnsi="Times New Roman"/>
          <w:color w:val="000000" w:themeColor="text1"/>
          <w:sz w:val="16"/>
          <w:szCs w:val="16"/>
        </w:rPr>
        <w:softHyphen/>
        <w:t>да № 125 тов. Иосиловича выпускать самолеты Пе-2 в пикирую</w:t>
      </w:r>
      <w:r w:rsidRPr="00640820">
        <w:rPr>
          <w:rFonts w:ascii="Times New Roman" w:eastAsia="Times New Roman" w:hAnsi="Times New Roman"/>
          <w:color w:val="000000" w:themeColor="text1"/>
          <w:sz w:val="16"/>
          <w:szCs w:val="16"/>
        </w:rPr>
        <w:softHyphen/>
        <w:t>щем варианте, оставив на самолете Пе-2 установку автомата пикирования и тормозные воздушные решетки с управлением и электромотором (1</w:t>
      </w:r>
      <w:r w:rsidR="001F5595" w:rsidRPr="00640820">
        <w:rPr>
          <w:rFonts w:ascii="Times New Roman" w:eastAsia="Times New Roman" w:hAnsi="Times New Roman"/>
          <w:color w:val="000000" w:themeColor="text1"/>
          <w:sz w:val="16"/>
          <w:szCs w:val="16"/>
        </w:rPr>
        <w:t>9</w:t>
      </w:r>
      <w:r w:rsidRPr="00640820">
        <w:rPr>
          <w:rFonts w:ascii="Times New Roman" w:eastAsia="Times New Roman" w:hAnsi="Times New Roman"/>
          <w:color w:val="000000" w:themeColor="text1"/>
          <w:sz w:val="16"/>
          <w:szCs w:val="16"/>
        </w:rPr>
        <w:t>275).</w:t>
      </w:r>
    </w:p>
    <w:p w14:paraId="4B00B464" w14:textId="77777777" w:rsidR="00FA48B2" w:rsidRPr="00640820" w:rsidRDefault="00FA48B2" w:rsidP="00640820">
      <w:pPr>
        <w:autoSpaceDE w:val="0"/>
        <w:autoSpaceDN w:val="0"/>
        <w:adjustRightInd w:val="0"/>
        <w:spacing w:after="0" w:line="240" w:lineRule="auto"/>
        <w:jc w:val="both"/>
        <w:rPr>
          <w:rFonts w:ascii="Times New Roman" w:hAnsi="Times New Roman"/>
          <w:color w:val="000000" w:themeColor="text1"/>
          <w:sz w:val="16"/>
          <w:szCs w:val="16"/>
        </w:rPr>
      </w:pPr>
    </w:p>
    <w:p w14:paraId="751547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сентября 1941 Пе-2 N 15/45 оснастили доработанной по результатам испытаний турелью МВ-7 с аэродинамическим компенсатором типа лепесток. В сентябре же Пе-2 N 16/47 и Пе-3бис N 392207 оснастили турелью Торопова и потом испытали в НИИ ВВС (1841,27).</w:t>
      </w:r>
    </w:p>
    <w:p w14:paraId="4C6D9D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44ED5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сентября 1941 закончились контрольные испытания ЛаГГ-3 М-105П 7 серии 21 завода N 3132715 с винтом ВИШ-61П со ШВАК (150) БС (200) и 2хШКАС (1300), которые шли с 18 августа 1941. Вл Чигарев, Ви Таракановский, ви Рабкин. Выполнили 92 полета и налетали 39:23, в т.ч. на машине N 3121422 - 10 с налетом 7:15. На машине была уменьшена емкость крыльевых баков с 410 кг до 340 кг, сняты БК и один БС, увеличены колеса с 600х180 до 650х200, зафиксировано неубирающееся костыльное колесо, на РН установлены верхний и нижний балансиры, на задней части фюзеляжа сделан люк. По сравнению с опытным п/вес вырос до 3280 кг, но это меньше 1-х серийных 1-й серии в 3346. Макс. скорость - 549 км/час (2567,73).</w:t>
      </w:r>
    </w:p>
    <w:p w14:paraId="7F718B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1EEC8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сентября 1941 вышло Постановление ГКО № 706 О самолете ЛаГГ-3. РГАНИР, Фонд ГКО, д. 10, лл. 74-75 (11012).</w:t>
      </w:r>
    </w:p>
    <w:p w14:paraId="008E01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2CF39A4" w14:textId="77777777" w:rsidR="00FA48B2" w:rsidRPr="00640820" w:rsidRDefault="00FA48B2" w:rsidP="00640820">
      <w:pPr>
        <w:pStyle w:val="47"/>
        <w:shd w:val="clear" w:color="auto" w:fill="auto"/>
        <w:spacing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23 сентября 1941 вышло Постановление ГКО № 706 О самолете ЛаГГ-3</w:t>
      </w:r>
    </w:p>
    <w:p w14:paraId="42E327D0" w14:textId="77777777" w:rsidR="00FA48B2" w:rsidRPr="00640820" w:rsidRDefault="00FA48B2"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Gungsuh" w:hAnsi="Times New Roman"/>
          <w:color w:val="000000" w:themeColor="text1"/>
          <w:sz w:val="16"/>
          <w:szCs w:val="16"/>
        </w:rPr>
        <w:t>1. В целях облегчения веса самолета Лагг-3 снять с самолета</w:t>
      </w:r>
    </w:p>
    <w:p w14:paraId="1F7B36B3" w14:textId="77777777" w:rsidR="00FA48B2" w:rsidRPr="00640820" w:rsidRDefault="00FA48B2" w:rsidP="00640820">
      <w:pPr>
        <w:tabs>
          <w:tab w:val="left" w:pos="1085"/>
        </w:tabs>
        <w:spacing w:after="0" w:line="240" w:lineRule="auto"/>
        <w:jc w:val="both"/>
        <w:rPr>
          <w:rFonts w:ascii="Times New Roman" w:eastAsia="Times New Roman" w:hAnsi="Times New Roman"/>
          <w:color w:val="000000" w:themeColor="text1"/>
          <w:sz w:val="16"/>
          <w:szCs w:val="16"/>
        </w:rPr>
      </w:pPr>
      <w:r w:rsidRPr="00640820">
        <w:rPr>
          <w:rFonts w:ascii="Times New Roman" w:eastAsia="Gungsuh" w:hAnsi="Times New Roman"/>
          <w:color w:val="000000" w:themeColor="text1"/>
          <w:sz w:val="16"/>
          <w:szCs w:val="16"/>
        </w:rPr>
        <w:t>а) два пулемета Шкас с боезапасом - 80 кг.</w:t>
      </w:r>
    </w:p>
    <w:p w14:paraId="54EE263A" w14:textId="77777777" w:rsidR="00FA48B2" w:rsidRPr="00640820" w:rsidRDefault="00FA48B2" w:rsidP="00640820">
      <w:pPr>
        <w:tabs>
          <w:tab w:val="left" w:pos="1085"/>
        </w:tabs>
        <w:spacing w:after="0" w:line="240" w:lineRule="auto"/>
        <w:jc w:val="both"/>
        <w:rPr>
          <w:rFonts w:ascii="Times New Roman" w:eastAsia="Times New Roman" w:hAnsi="Times New Roman"/>
          <w:color w:val="000000" w:themeColor="text1"/>
          <w:sz w:val="16"/>
          <w:szCs w:val="16"/>
        </w:rPr>
      </w:pPr>
      <w:r w:rsidRPr="00640820">
        <w:rPr>
          <w:rFonts w:ascii="Times New Roman" w:eastAsia="Gungsuh" w:hAnsi="Times New Roman"/>
          <w:color w:val="000000" w:themeColor="text1"/>
          <w:sz w:val="16"/>
          <w:szCs w:val="16"/>
        </w:rPr>
        <w:t>б) крыльевые бензиновые баки с бензином - 120 кг.</w:t>
      </w:r>
    </w:p>
    <w:p w14:paraId="4F3D578F" w14:textId="77777777" w:rsidR="00FA48B2" w:rsidRPr="00640820" w:rsidRDefault="00FA48B2" w:rsidP="00640820">
      <w:pPr>
        <w:tabs>
          <w:tab w:val="left" w:pos="1085"/>
        </w:tabs>
        <w:spacing w:after="0" w:line="240" w:lineRule="auto"/>
        <w:jc w:val="both"/>
        <w:rPr>
          <w:rFonts w:ascii="Times New Roman" w:eastAsia="Times New Roman" w:hAnsi="Times New Roman"/>
          <w:color w:val="000000" w:themeColor="text1"/>
          <w:sz w:val="16"/>
          <w:szCs w:val="16"/>
        </w:rPr>
      </w:pPr>
      <w:r w:rsidRPr="00640820">
        <w:rPr>
          <w:rFonts w:ascii="Times New Roman" w:eastAsia="Gungsuh" w:hAnsi="Times New Roman"/>
          <w:color w:val="000000" w:themeColor="text1"/>
          <w:sz w:val="16"/>
          <w:szCs w:val="16"/>
        </w:rPr>
        <w:t>в) за счет облегчения конструкции - 50 кг. (каркас капо</w:t>
      </w:r>
      <w:r w:rsidRPr="00640820">
        <w:rPr>
          <w:rFonts w:ascii="Times New Roman" w:eastAsia="Gungsuh" w:hAnsi="Times New Roman"/>
          <w:color w:val="000000" w:themeColor="text1"/>
          <w:sz w:val="16"/>
          <w:szCs w:val="16"/>
        </w:rPr>
        <w:softHyphen/>
        <w:t>та, синхронизация Шкас, воздушная проводка и другие").</w:t>
      </w:r>
    </w:p>
    <w:p w14:paraId="7F54F6A4" w14:textId="77777777" w:rsidR="00FA48B2" w:rsidRPr="00640820" w:rsidRDefault="00FA48B2" w:rsidP="00640820">
      <w:pPr>
        <w:tabs>
          <w:tab w:val="left" w:pos="1078"/>
        </w:tabs>
        <w:spacing w:after="0" w:line="240" w:lineRule="auto"/>
        <w:jc w:val="both"/>
        <w:rPr>
          <w:rFonts w:ascii="Times New Roman" w:eastAsia="Gungsuh" w:hAnsi="Times New Roman"/>
          <w:color w:val="000000" w:themeColor="text1"/>
          <w:sz w:val="16"/>
          <w:szCs w:val="16"/>
        </w:rPr>
      </w:pPr>
      <w:r w:rsidRPr="00640820">
        <w:rPr>
          <w:rFonts w:ascii="Times New Roman" w:eastAsia="Gungsuh" w:hAnsi="Times New Roman"/>
          <w:color w:val="000000" w:themeColor="text1"/>
          <w:sz w:val="16"/>
          <w:szCs w:val="16"/>
        </w:rPr>
        <w:t>2. Обязать директора завода № 21 тов.Гостинцева с 26 сен</w:t>
      </w:r>
      <w:r w:rsidRPr="00640820">
        <w:rPr>
          <w:rFonts w:ascii="Times New Roman" w:eastAsia="Gungsuh" w:hAnsi="Times New Roman"/>
          <w:color w:val="000000" w:themeColor="text1"/>
          <w:sz w:val="16"/>
          <w:szCs w:val="16"/>
        </w:rPr>
        <w:softHyphen/>
        <w:t>тября все самолеты Лагг-3 выпускать на заводе № 21 с облегче</w:t>
      </w:r>
      <w:r w:rsidRPr="00640820">
        <w:rPr>
          <w:rFonts w:ascii="Times New Roman" w:eastAsia="Gungsuh" w:hAnsi="Times New Roman"/>
          <w:color w:val="000000" w:themeColor="text1"/>
          <w:sz w:val="16"/>
          <w:szCs w:val="16"/>
        </w:rPr>
        <w:softHyphen/>
        <w:t>нием в весе на 200 кг. за счет снятия двух пулеметов Шкас с боекомплектом и крыльевых бензобаков с бензином и с 10 ок</w:t>
      </w:r>
      <w:r w:rsidRPr="00640820">
        <w:rPr>
          <w:rFonts w:ascii="Times New Roman" w:eastAsia="Gungsuh" w:hAnsi="Times New Roman"/>
          <w:color w:val="000000" w:themeColor="text1"/>
          <w:sz w:val="16"/>
          <w:szCs w:val="16"/>
        </w:rPr>
        <w:softHyphen/>
        <w:t>тября с облегчением дополнительно на 50 кг. за счет снятия ото го веса с конструкции (каркаса капота мотора, синхронизация Шкас, воздушной проводки и другие).</w:t>
      </w:r>
    </w:p>
    <w:p w14:paraId="7986EEC8" w14:textId="77777777" w:rsidR="00FA48B2" w:rsidRPr="00640820" w:rsidRDefault="00FA48B2" w:rsidP="00640820">
      <w:pPr>
        <w:tabs>
          <w:tab w:val="left" w:pos="1070"/>
        </w:tabs>
        <w:spacing w:after="0" w:line="240" w:lineRule="auto"/>
        <w:jc w:val="both"/>
        <w:rPr>
          <w:rFonts w:ascii="Times New Roman" w:eastAsia="Gungsuh" w:hAnsi="Times New Roman"/>
          <w:color w:val="000000" w:themeColor="text1"/>
          <w:sz w:val="16"/>
          <w:szCs w:val="16"/>
        </w:rPr>
      </w:pPr>
      <w:r w:rsidRPr="00640820">
        <w:rPr>
          <w:rFonts w:ascii="Times New Roman" w:eastAsia="Gungsuh" w:hAnsi="Times New Roman"/>
          <w:color w:val="000000" w:themeColor="text1"/>
          <w:sz w:val="16"/>
          <w:szCs w:val="16"/>
        </w:rPr>
        <w:t>3. Обязать главного конструктора тов.Лавчкина п дирек</w:t>
      </w:r>
      <w:r w:rsidRPr="00640820">
        <w:rPr>
          <w:rFonts w:ascii="Times New Roman" w:eastAsia="Gungsuh" w:hAnsi="Times New Roman"/>
          <w:color w:val="000000" w:themeColor="text1"/>
          <w:sz w:val="16"/>
          <w:szCs w:val="16"/>
        </w:rPr>
        <w:softHyphen/>
        <w:t>тора завода № 21 тов.Гостинцева с октября выпускать само</w:t>
      </w:r>
      <w:r w:rsidRPr="00640820">
        <w:rPr>
          <w:rFonts w:ascii="Times New Roman" w:eastAsia="Gungsuh" w:hAnsi="Times New Roman"/>
          <w:color w:val="000000" w:themeColor="text1"/>
          <w:sz w:val="16"/>
          <w:szCs w:val="16"/>
        </w:rPr>
        <w:softHyphen/>
        <w:t>леты Лагг-3 с запасом горючего 260 кг. и с оборудованием под подвесные баки.</w:t>
      </w:r>
    </w:p>
    <w:p w14:paraId="48835C93" w14:textId="77777777" w:rsidR="00FA48B2" w:rsidRPr="00640820" w:rsidRDefault="00FA48B2" w:rsidP="00640820">
      <w:pPr>
        <w:tabs>
          <w:tab w:val="left" w:pos="1070"/>
        </w:tabs>
        <w:spacing w:after="0" w:line="240" w:lineRule="auto"/>
        <w:jc w:val="both"/>
        <w:rPr>
          <w:rFonts w:ascii="Times New Roman" w:eastAsia="Gungsuh" w:hAnsi="Times New Roman"/>
          <w:color w:val="000000" w:themeColor="text1"/>
          <w:sz w:val="16"/>
          <w:szCs w:val="16"/>
        </w:rPr>
      </w:pPr>
      <w:r w:rsidRPr="00640820">
        <w:rPr>
          <w:rFonts w:ascii="Times New Roman" w:eastAsia="Gungsuh" w:hAnsi="Times New Roman"/>
          <w:color w:val="000000" w:themeColor="text1"/>
          <w:sz w:val="16"/>
          <w:szCs w:val="16"/>
        </w:rPr>
        <w:t>4. Обязать главного конструктора тов.Лавочкина и директо</w:t>
      </w:r>
      <w:r w:rsidRPr="00640820">
        <w:rPr>
          <w:rFonts w:ascii="Times New Roman" w:eastAsia="Gungsuh" w:hAnsi="Times New Roman"/>
          <w:color w:val="000000" w:themeColor="text1"/>
          <w:sz w:val="16"/>
          <w:szCs w:val="16"/>
        </w:rPr>
        <w:softHyphen/>
        <w:t>ра завода № 21 тов.Гостинцева проработать вопрос о возможности увеличения боезапаса на пулемете БС до 300 штук, идя установ</w:t>
      </w:r>
      <w:r w:rsidRPr="00640820">
        <w:rPr>
          <w:rFonts w:ascii="Times New Roman" w:eastAsia="Gungsuh" w:hAnsi="Times New Roman"/>
          <w:color w:val="000000" w:themeColor="text1"/>
          <w:sz w:val="16"/>
          <w:szCs w:val="16"/>
        </w:rPr>
        <w:softHyphen/>
        <w:t>ки дополнительного пулемета БС.</w:t>
      </w:r>
    </w:p>
    <w:p w14:paraId="72835F39" w14:textId="77777777" w:rsidR="00FA48B2" w:rsidRPr="00640820" w:rsidRDefault="00FA48B2"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Gungsuh" w:hAnsi="Times New Roman"/>
          <w:color w:val="000000" w:themeColor="text1"/>
          <w:sz w:val="16"/>
          <w:szCs w:val="16"/>
        </w:rPr>
        <w:t>Результаты испытания машин с этими установками предста</w:t>
      </w:r>
      <w:r w:rsidRPr="00640820">
        <w:rPr>
          <w:rFonts w:ascii="Times New Roman" w:eastAsia="Gungsuh" w:hAnsi="Times New Roman"/>
          <w:color w:val="000000" w:themeColor="text1"/>
          <w:sz w:val="16"/>
          <w:szCs w:val="16"/>
        </w:rPr>
        <w:softHyphen/>
        <w:t>вить в Комитет Обороны с заключением Наркомата к 15 октября.</w:t>
      </w:r>
    </w:p>
    <w:p w14:paraId="34E8F628" w14:textId="77777777" w:rsidR="00FA48B2" w:rsidRPr="00640820" w:rsidRDefault="00FA48B2" w:rsidP="00640820">
      <w:pPr>
        <w:tabs>
          <w:tab w:val="left" w:pos="1070"/>
        </w:tabs>
        <w:spacing w:after="0" w:line="240" w:lineRule="auto"/>
        <w:jc w:val="both"/>
        <w:rPr>
          <w:rFonts w:ascii="Times New Roman" w:eastAsia="Gungsuh" w:hAnsi="Times New Roman"/>
          <w:color w:val="000000" w:themeColor="text1"/>
          <w:sz w:val="16"/>
          <w:szCs w:val="16"/>
        </w:rPr>
      </w:pPr>
      <w:r w:rsidRPr="00640820">
        <w:rPr>
          <w:rFonts w:ascii="Times New Roman" w:eastAsia="Gungsuh" w:hAnsi="Times New Roman"/>
          <w:color w:val="000000" w:themeColor="text1"/>
          <w:sz w:val="16"/>
          <w:szCs w:val="16"/>
        </w:rPr>
        <w:t>5. Обязать директора завода I 21 тов.Гостинцева и главно</w:t>
      </w:r>
      <w:r w:rsidRPr="00640820">
        <w:rPr>
          <w:rFonts w:ascii="Times New Roman" w:eastAsia="Gungsuh" w:hAnsi="Times New Roman"/>
          <w:color w:val="000000" w:themeColor="text1"/>
          <w:sz w:val="16"/>
          <w:szCs w:val="16"/>
        </w:rPr>
        <w:softHyphen/>
        <w:t>го конструктора тов.Лавочкина обеспечить установку специально</w:t>
      </w:r>
      <w:r w:rsidRPr="00640820">
        <w:rPr>
          <w:rFonts w:ascii="Times New Roman" w:eastAsia="Gungsuh" w:hAnsi="Times New Roman"/>
          <w:color w:val="000000" w:themeColor="text1"/>
          <w:sz w:val="16"/>
          <w:szCs w:val="16"/>
        </w:rPr>
        <w:softHyphen/>
        <w:t xml:space="preserve">го оборудования для подвески </w:t>
      </w:r>
      <w:r w:rsidRPr="00640820">
        <w:rPr>
          <w:rFonts w:ascii="Times New Roman" w:eastAsia="Gungsuh" w:hAnsi="Times New Roman"/>
          <w:color w:val="000000" w:themeColor="text1"/>
          <w:sz w:val="16"/>
          <w:szCs w:val="16"/>
          <w:lang w:val="en-US"/>
        </w:rPr>
        <w:t>PC</w:t>
      </w:r>
      <w:r w:rsidRPr="00640820">
        <w:rPr>
          <w:rFonts w:ascii="Times New Roman" w:eastAsia="Gungsuh" w:hAnsi="Times New Roman"/>
          <w:color w:val="000000" w:themeColor="text1"/>
          <w:sz w:val="16"/>
          <w:szCs w:val="16"/>
        </w:rPr>
        <w:t xml:space="preserve"> в количестве 6 штук калибра</w:t>
      </w:r>
    </w:p>
    <w:p w14:paraId="68383E76" w14:textId="77777777" w:rsidR="00FA48B2" w:rsidRPr="00640820" w:rsidRDefault="00FA48B2"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Gungsuh" w:hAnsi="Times New Roman"/>
          <w:color w:val="000000" w:themeColor="text1"/>
          <w:sz w:val="16"/>
          <w:szCs w:val="16"/>
        </w:rPr>
        <w:t>82 мм.</w:t>
      </w:r>
    </w:p>
    <w:p w14:paraId="50C11E37" w14:textId="77777777" w:rsidR="00FA48B2" w:rsidRPr="00640820" w:rsidRDefault="00FA48B2"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Gungsuh" w:hAnsi="Times New Roman"/>
          <w:color w:val="000000" w:themeColor="text1"/>
          <w:sz w:val="16"/>
          <w:szCs w:val="16"/>
        </w:rPr>
        <w:t xml:space="preserve">Установку </w:t>
      </w:r>
      <w:r w:rsidRPr="00640820">
        <w:rPr>
          <w:rFonts w:ascii="Times New Roman" w:eastAsia="Gungsuh" w:hAnsi="Times New Roman"/>
          <w:color w:val="000000" w:themeColor="text1"/>
          <w:sz w:val="16"/>
          <w:szCs w:val="16"/>
          <w:lang w:val="en-US"/>
        </w:rPr>
        <w:t>PC</w:t>
      </w:r>
      <w:r w:rsidRPr="00640820">
        <w:rPr>
          <w:rFonts w:ascii="Times New Roman" w:eastAsia="Gungsuh" w:hAnsi="Times New Roman"/>
          <w:color w:val="000000" w:themeColor="text1"/>
          <w:sz w:val="16"/>
          <w:szCs w:val="16"/>
        </w:rPr>
        <w:t xml:space="preserve"> на всех самолетах Лагг-3 производить обяза</w:t>
      </w:r>
      <w:r w:rsidRPr="00640820">
        <w:rPr>
          <w:rFonts w:ascii="Times New Roman" w:eastAsia="Gungsuh" w:hAnsi="Times New Roman"/>
          <w:color w:val="000000" w:themeColor="text1"/>
          <w:sz w:val="16"/>
          <w:szCs w:val="16"/>
        </w:rPr>
        <w:softHyphen/>
        <w:t>тельно на облегченном варианте не менее чем на 200 кг.</w:t>
      </w:r>
    </w:p>
    <w:p w14:paraId="1BB10CA8" w14:textId="77777777" w:rsidR="00FA48B2" w:rsidRPr="00640820" w:rsidRDefault="00FA48B2"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Gungsuh" w:hAnsi="Times New Roman"/>
          <w:color w:val="000000" w:themeColor="text1"/>
          <w:sz w:val="16"/>
          <w:szCs w:val="16"/>
        </w:rPr>
        <w:t>Выпуск самолетов Лагг-3, оборудованных под реактивные снаряды, произвести до 1 октября в количестве 30 самолетов, до 5 октября в количестве еще 30 самолетов и с 10 октября перей</w:t>
      </w:r>
      <w:r w:rsidRPr="00640820">
        <w:rPr>
          <w:rFonts w:ascii="Times New Roman" w:eastAsia="Gungsuh" w:hAnsi="Times New Roman"/>
          <w:color w:val="000000" w:themeColor="text1"/>
          <w:sz w:val="16"/>
          <w:szCs w:val="16"/>
        </w:rPr>
        <w:softHyphen/>
        <w:t>ти полностью на выпуск всех самолетов по графику, оборудован</w:t>
      </w:r>
      <w:r w:rsidRPr="00640820">
        <w:rPr>
          <w:rFonts w:ascii="Times New Roman" w:eastAsia="Gungsuh" w:hAnsi="Times New Roman"/>
          <w:color w:val="000000" w:themeColor="text1"/>
          <w:sz w:val="16"/>
          <w:szCs w:val="16"/>
        </w:rPr>
        <w:softHyphen/>
        <w:t>ных установками под реактивные снаряды 82 мм.</w:t>
      </w:r>
    </w:p>
    <w:p w14:paraId="723F595A" w14:textId="77777777" w:rsidR="00FA48B2" w:rsidRPr="00640820" w:rsidRDefault="00FA48B2" w:rsidP="00640820">
      <w:pPr>
        <w:tabs>
          <w:tab w:val="left" w:pos="1070"/>
        </w:tabs>
        <w:spacing w:after="0" w:line="240" w:lineRule="auto"/>
        <w:jc w:val="both"/>
        <w:rPr>
          <w:rFonts w:ascii="Times New Roman" w:eastAsia="Gungsuh" w:hAnsi="Times New Roman"/>
          <w:color w:val="000000" w:themeColor="text1"/>
          <w:sz w:val="16"/>
          <w:szCs w:val="16"/>
        </w:rPr>
      </w:pPr>
      <w:r w:rsidRPr="00640820">
        <w:rPr>
          <w:rFonts w:ascii="Times New Roman" w:eastAsia="Gungsuh" w:hAnsi="Times New Roman"/>
          <w:color w:val="000000" w:themeColor="text1"/>
          <w:sz w:val="16"/>
          <w:szCs w:val="16"/>
        </w:rPr>
        <w:t>6. Обязать директора завода № 31 тов.Агаджанова и дирек</w:t>
      </w:r>
      <w:r w:rsidRPr="00640820">
        <w:rPr>
          <w:rFonts w:ascii="Times New Roman" w:eastAsia="Gungsuh" w:hAnsi="Times New Roman"/>
          <w:color w:val="000000" w:themeColor="text1"/>
          <w:sz w:val="16"/>
          <w:szCs w:val="16"/>
        </w:rPr>
        <w:softHyphen/>
        <w:t>тора завода № 153 тов.Романова выпускать облегченные самоле</w:t>
      </w:r>
      <w:r w:rsidRPr="00640820">
        <w:rPr>
          <w:rFonts w:ascii="Times New Roman" w:eastAsia="Gungsuh" w:hAnsi="Times New Roman"/>
          <w:color w:val="000000" w:themeColor="text1"/>
          <w:sz w:val="16"/>
          <w:szCs w:val="16"/>
        </w:rPr>
        <w:softHyphen/>
        <w:t>ты Лагг-3:</w:t>
      </w:r>
    </w:p>
    <w:p w14:paraId="0353C71D" w14:textId="77777777" w:rsidR="00FA48B2" w:rsidRPr="00640820" w:rsidRDefault="00FA48B2" w:rsidP="00640820">
      <w:pPr>
        <w:spacing w:after="0" w:line="240" w:lineRule="auto"/>
        <w:jc w:val="both"/>
        <w:rPr>
          <w:rFonts w:ascii="Times New Roman" w:hAnsi="Times New Roman"/>
          <w:color w:val="000000" w:themeColor="text1"/>
          <w:sz w:val="16"/>
          <w:szCs w:val="16"/>
        </w:rPr>
      </w:pPr>
      <w:r w:rsidRPr="00640820">
        <w:rPr>
          <w:rFonts w:ascii="Times New Roman" w:eastAsia="Gungsuh" w:hAnsi="Times New Roman"/>
          <w:color w:val="000000" w:themeColor="text1"/>
          <w:sz w:val="16"/>
          <w:szCs w:val="16"/>
        </w:rPr>
        <w:t>а) на 200 кг. за счет снятия двух пулеметов Шкас с бое</w:t>
      </w:r>
      <w:r w:rsidRPr="00640820">
        <w:rPr>
          <w:rFonts w:ascii="Times New Roman" w:eastAsia="Gungsuh" w:hAnsi="Times New Roman"/>
          <w:color w:val="000000" w:themeColor="text1"/>
          <w:sz w:val="16"/>
          <w:szCs w:val="16"/>
        </w:rPr>
        <w:softHyphen/>
        <w:t>комплектом и крыльевых бензобаков с бензином - с</w:t>
      </w:r>
      <w:r w:rsidRPr="00640820">
        <w:rPr>
          <w:rFonts w:ascii="Times New Roman" w:hAnsi="Times New Roman"/>
          <w:color w:val="000000" w:themeColor="text1"/>
          <w:sz w:val="16"/>
          <w:szCs w:val="16"/>
        </w:rPr>
        <w:t xml:space="preserve"> 28</w:t>
      </w:r>
      <w:r w:rsidRPr="00640820">
        <w:rPr>
          <w:rFonts w:ascii="Times New Roman" w:eastAsia="Gungsuh" w:hAnsi="Times New Roman"/>
          <w:color w:val="000000" w:themeColor="text1"/>
          <w:sz w:val="16"/>
          <w:szCs w:val="16"/>
        </w:rPr>
        <w:t xml:space="preserve"> сентября;</w:t>
      </w:r>
    </w:p>
    <w:p w14:paraId="400A48ED" w14:textId="77777777" w:rsidR="00FA48B2" w:rsidRPr="00640820" w:rsidRDefault="00FA48B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с дополнительным облегчением на 50 кг. за счет снятия веса конструкции (каркаса капота мотора, синхрониза</w:t>
      </w:r>
      <w:r w:rsidRPr="00640820">
        <w:rPr>
          <w:rFonts w:ascii="Times New Roman" w:hAnsi="Times New Roman"/>
          <w:color w:val="000000" w:themeColor="text1"/>
          <w:sz w:val="16"/>
          <w:szCs w:val="16"/>
        </w:rPr>
        <w:softHyphen/>
        <w:t>ции Шкас, воздушной проводки и других) по указанию главного конструктора завода 15 21 тов.Лавочкина и с оборудованием под подвесные, бензобаки с 15 октября с.г. (19274).</w:t>
      </w:r>
    </w:p>
    <w:p w14:paraId="659C7813" w14:textId="77777777" w:rsidR="00FA48B2" w:rsidRPr="00640820" w:rsidRDefault="00FA48B2" w:rsidP="00640820">
      <w:pPr>
        <w:spacing w:after="0" w:line="240" w:lineRule="auto"/>
        <w:jc w:val="both"/>
        <w:rPr>
          <w:rFonts w:ascii="Times New Roman" w:hAnsi="Times New Roman"/>
          <w:color w:val="000000" w:themeColor="text1"/>
          <w:sz w:val="16"/>
          <w:szCs w:val="16"/>
        </w:rPr>
      </w:pPr>
    </w:p>
    <w:p w14:paraId="3EB768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сентября 1941 постановление ГКО обязало 292 завод с 5 октября ставить на Як-1 шесть РО-82 (198,40).</w:t>
      </w:r>
    </w:p>
    <w:p w14:paraId="1D3BD8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BFA603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сентября 1941 г. Постановлением ГКО завод №292 обязали с 5 октября перейти на выпуск Як-1 с шестью РО-82, а до 1 октября выпустить 20 машин с этим вооружением. Как оказалось, установка и юстировка РО была доступной даже специалистам авиаремонтных мастерских и не требовала каких-либо дополнительных средств заши</w:t>
      </w:r>
      <w:r w:rsidRPr="00640820">
        <w:rPr>
          <w:rFonts w:ascii="Times New Roman" w:hAnsi="Times New Roman"/>
          <w:color w:val="000000" w:themeColor="text1"/>
          <w:sz w:val="16"/>
          <w:szCs w:val="16"/>
        </w:rPr>
        <w:softHyphen/>
        <w:t>ты деревянных частей крыла от огня ракетного двигателя. Как и на цельнометаллических бомбардировщиках, в крыло лишь добавили усиливающие накладки из многослойной фанеры на нервюры в местах установки ракетно-орудийных батарей 3РОБ-82 (трехорудийных установок).</w:t>
      </w:r>
    </w:p>
    <w:p w14:paraId="6F49C29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Следует напомнить, что на полигонных и войсковых испытаниях ра</w:t>
      </w:r>
      <w:r w:rsidRPr="00640820">
        <w:rPr>
          <w:rFonts w:ascii="Times New Roman" w:hAnsi="Times New Roman"/>
          <w:color w:val="000000" w:themeColor="text1"/>
          <w:sz w:val="16"/>
          <w:szCs w:val="16"/>
        </w:rPr>
        <w:softHyphen/>
        <w:t>кетных систем калибров 82 и 132 мм все работы по их «установке» выпол</w:t>
      </w:r>
      <w:r w:rsidRPr="00640820">
        <w:rPr>
          <w:rFonts w:ascii="Times New Roman" w:hAnsi="Times New Roman"/>
          <w:color w:val="000000" w:themeColor="text1"/>
          <w:sz w:val="16"/>
          <w:szCs w:val="16"/>
        </w:rPr>
        <w:softHyphen/>
        <w:t>няли исключительно в полковых авиаремонтных мастерских. Так что неудивительно, что это смогли повторить и на «Яках». А упрощенный ал</w:t>
      </w:r>
      <w:r w:rsidRPr="00640820">
        <w:rPr>
          <w:rFonts w:ascii="Times New Roman" w:hAnsi="Times New Roman"/>
          <w:color w:val="000000" w:themeColor="text1"/>
          <w:sz w:val="16"/>
          <w:szCs w:val="16"/>
        </w:rPr>
        <w:softHyphen/>
        <w:t>горитм юстировки приписывать к достоинствам машины, по меньшей мере, несерьезно. Тем более, что он ничем не отличался от применяемого наИ-16 и МиГ-3, оснащаемых также ракетно-орудийными батареями.</w:t>
      </w:r>
    </w:p>
    <w:p w14:paraId="7BBC20C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Як-1 с РС впервые применили под Москвой. А.Степанец подтвердил бытовавшее в СССР в послевоенный период официальное мнение, что использование РС в воздушных боях имело скорее моральный эффект, «так как из-за большого рассеивания, понижения снаряда и отсутствия надежного прицела вероятность попадания в маневрирующую воздуш</w:t>
      </w:r>
      <w:r w:rsidRPr="00640820">
        <w:rPr>
          <w:rFonts w:ascii="Times New Roman" w:hAnsi="Times New Roman"/>
          <w:color w:val="000000" w:themeColor="text1"/>
          <w:sz w:val="16"/>
          <w:szCs w:val="16"/>
        </w:rPr>
        <w:softHyphen/>
        <w:t>ную цель оказалась очень низкой». И далее: «Атакуя большие группы бомбардировщиков, наши летчики неприцельно пускали по ним РС. В случае прямого попадания бомбардировщик буквально разваливался на части, но и близкий разрыв, как правило, сбивал его. Зная об этом И пытаясь избежать встречи с РС, немецкие летчики ломали свои боевые порядки, а вместе с тем и систему взаимной обороны, что облегчало на</w:t>
      </w:r>
      <w:r w:rsidRPr="00640820">
        <w:rPr>
          <w:rFonts w:ascii="Times New Roman" w:hAnsi="Times New Roman"/>
          <w:color w:val="000000" w:themeColor="text1"/>
          <w:sz w:val="16"/>
          <w:szCs w:val="16"/>
        </w:rPr>
        <w:softHyphen/>
        <w:t>шим истребителям выполнение атак».</w:t>
      </w:r>
    </w:p>
    <w:p w14:paraId="7B427C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Ни одному выпускнику «жуковки», защитившему диплом на кафедре авиаприцелов, невдомек причина «нытья самолетчиков» по по</w:t>
      </w:r>
      <w:r w:rsidRPr="00640820">
        <w:rPr>
          <w:rFonts w:ascii="Times New Roman" w:hAnsi="Times New Roman"/>
          <w:color w:val="000000" w:themeColor="text1"/>
          <w:sz w:val="16"/>
          <w:szCs w:val="16"/>
        </w:rPr>
        <w:softHyphen/>
        <w:t>воду «отсутствия на «Яках» надежного прицела». Если имеют ввиду Машины, где его вообще не было, а прицеливаться требовалось по так называемой «втулке воздушного винта», то с подобной задачей в штур</w:t>
      </w:r>
      <w:r w:rsidRPr="00640820">
        <w:rPr>
          <w:rFonts w:ascii="Times New Roman" w:hAnsi="Times New Roman"/>
          <w:color w:val="000000" w:themeColor="text1"/>
          <w:sz w:val="16"/>
          <w:szCs w:val="16"/>
        </w:rPr>
        <w:softHyphen/>
        <w:t>мовой авиации справлялись без проблем (более подробно речь об этом пойдет в следующем разделе главы). Если же «специалисты» подразу</w:t>
      </w:r>
      <w:r w:rsidRPr="00640820">
        <w:rPr>
          <w:rFonts w:ascii="Times New Roman" w:hAnsi="Times New Roman"/>
          <w:color w:val="000000" w:themeColor="text1"/>
          <w:sz w:val="16"/>
          <w:szCs w:val="16"/>
        </w:rPr>
        <w:softHyphen/>
        <w:t xml:space="preserve">мевали, что оптико-механические стрелковые прицелы ВВ-1, ПКИ или ПАК-1 часто ломались, то погрешат против истины - выходить из строя там кроме лампочки подсветки </w:t>
      </w:r>
      <w:r w:rsidRPr="00640820">
        <w:rPr>
          <w:rFonts w:ascii="Times New Roman" w:hAnsi="Times New Roman"/>
          <w:color w:val="000000" w:themeColor="text1"/>
          <w:sz w:val="16"/>
          <w:szCs w:val="16"/>
        </w:rPr>
        <w:lastRenderedPageBreak/>
        <w:t>дальномерных колец больше не</w:t>
      </w:r>
      <w:r w:rsidRPr="00640820">
        <w:rPr>
          <w:rFonts w:ascii="Times New Roman" w:hAnsi="Times New Roman"/>
          <w:color w:val="000000" w:themeColor="text1"/>
          <w:sz w:val="16"/>
          <w:szCs w:val="16"/>
        </w:rPr>
        <w:softHyphen/>
        <w:t>чему. Извините, но ни баллистического вычислителя, ни ЦВМ систе</w:t>
      </w:r>
      <w:r w:rsidRPr="00640820">
        <w:rPr>
          <w:rFonts w:ascii="Times New Roman" w:hAnsi="Times New Roman"/>
          <w:color w:val="000000" w:themeColor="text1"/>
          <w:sz w:val="16"/>
          <w:szCs w:val="16"/>
        </w:rPr>
        <w:softHyphen/>
        <w:t>мы управления огнем с ИЛ С фанерному истребителю по штату не бы</w:t>
      </w:r>
      <w:r w:rsidRPr="00640820">
        <w:rPr>
          <w:rFonts w:ascii="Times New Roman" w:hAnsi="Times New Roman"/>
          <w:color w:val="000000" w:themeColor="text1"/>
          <w:sz w:val="16"/>
          <w:szCs w:val="16"/>
        </w:rPr>
        <w:softHyphen/>
        <w:t>ло положено.</w:t>
      </w:r>
    </w:p>
    <w:p w14:paraId="40AAB2D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 все же автор упорно проводит свою мысль. Намекает, но опасается напрямую сказать, что летчики на «Яках» при стрельбе РС по воздуш</w:t>
      </w:r>
      <w:r w:rsidRPr="00640820">
        <w:rPr>
          <w:rFonts w:ascii="Times New Roman" w:hAnsi="Times New Roman"/>
          <w:color w:val="000000" w:themeColor="text1"/>
          <w:sz w:val="16"/>
          <w:szCs w:val="16"/>
        </w:rPr>
        <w:softHyphen/>
        <w:t>ным целям часто «мазали». Не стоит отчаиваться, - «мазали» наши деды и на «МиГах», и на «ЛаГГах». И ничуть не реже. Точность стрельбы - по</w:t>
      </w:r>
      <w:r w:rsidRPr="00640820">
        <w:rPr>
          <w:rFonts w:ascii="Times New Roman" w:hAnsi="Times New Roman"/>
          <w:color w:val="000000" w:themeColor="text1"/>
          <w:sz w:val="16"/>
          <w:szCs w:val="16"/>
        </w:rPr>
        <w:softHyphen/>
        <w:t>нятие многомерное. И если юстировать прицел по оси машины (а отно</w:t>
      </w:r>
      <w:r w:rsidRPr="00640820">
        <w:rPr>
          <w:rFonts w:ascii="Times New Roman" w:hAnsi="Times New Roman"/>
          <w:color w:val="000000" w:themeColor="text1"/>
          <w:sz w:val="16"/>
          <w:szCs w:val="16"/>
        </w:rPr>
        <w:softHyphen/>
        <w:t>сительно него — пушки и пулеметы) авиатехники научились задолго до войны, то ракетное оружие стало неприятной новинкой не только для пилотов, но и для наземного обслуживающего персонала. Это только те</w:t>
      </w:r>
      <w:r w:rsidRPr="00640820">
        <w:rPr>
          <w:rFonts w:ascii="Times New Roman" w:hAnsi="Times New Roman"/>
          <w:color w:val="000000" w:themeColor="text1"/>
          <w:sz w:val="16"/>
          <w:szCs w:val="16"/>
        </w:rPr>
        <w:softHyphen/>
        <w:t>перь осознали и сформулировали аксиому, что новое оружие требует вос</w:t>
      </w:r>
      <w:r w:rsidRPr="00640820">
        <w:rPr>
          <w:rFonts w:ascii="Times New Roman" w:hAnsi="Times New Roman"/>
          <w:color w:val="000000" w:themeColor="text1"/>
          <w:sz w:val="16"/>
          <w:szCs w:val="16"/>
        </w:rPr>
        <w:softHyphen/>
        <w:t>питания нового поколения воинов, способных овладеть им. А вовсе не наоборот - быть доступным (в ущерб своему качеству) для освоения им старого воинства.</w:t>
      </w:r>
    </w:p>
    <w:p w14:paraId="6F9AAF1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оснащении истребителя ракетным оружием в те времена было недостаточно просто нанести черной краской прицельную марку РС на стекле коллиматора. Хотя бы раз в неделю необходимо было заново юс</w:t>
      </w:r>
      <w:r w:rsidRPr="00640820">
        <w:rPr>
          <w:rFonts w:ascii="Times New Roman" w:hAnsi="Times New Roman"/>
          <w:color w:val="000000" w:themeColor="text1"/>
          <w:sz w:val="16"/>
          <w:szCs w:val="16"/>
        </w:rPr>
        <w:softHyphen/>
        <w:t>тировать по ней ракетные орудия. Или вывешивать самолет «в горизонт» и наносить новую марку на стрелковом прицеле со всеми последующи</w:t>
      </w:r>
      <w:r w:rsidRPr="00640820">
        <w:rPr>
          <w:rFonts w:ascii="Times New Roman" w:hAnsi="Times New Roman"/>
          <w:color w:val="000000" w:themeColor="text1"/>
          <w:sz w:val="16"/>
          <w:szCs w:val="16"/>
        </w:rPr>
        <w:softHyphen/>
        <w:t>ми операциями. Совмещать «уход» продольной и прицельной осей ина</w:t>
      </w:r>
      <w:r w:rsidRPr="00640820">
        <w:rPr>
          <w:rFonts w:ascii="Times New Roman" w:hAnsi="Times New Roman"/>
          <w:color w:val="000000" w:themeColor="text1"/>
          <w:sz w:val="16"/>
          <w:szCs w:val="16"/>
        </w:rPr>
        <w:softHyphen/>
        <w:t>че тогда было невозможно. Ничего подобного никто на фронте не делал. А некоторые самолеты в боевых условиях не жили и недели. С пушками и пулеметами таких проблем не было — они более жестко фиксировались узлах крепления на силовых элементах машины, ввиду больших сил от</w:t>
      </w:r>
      <w:r w:rsidRPr="00640820">
        <w:rPr>
          <w:rFonts w:ascii="Times New Roman" w:hAnsi="Times New Roman"/>
          <w:color w:val="000000" w:themeColor="text1"/>
          <w:sz w:val="16"/>
          <w:szCs w:val="16"/>
        </w:rPr>
        <w:softHyphen/>
        <w:t>дачи при стрельбе.</w:t>
      </w:r>
    </w:p>
    <w:p w14:paraId="1C3C549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по мнению Степанца, по наземным целям РС применялся с несколько большим успехом. Между тем «понижение снаряда» {вполне учитывалось в стрелковом прицеле на заданных дистанциях стрельбы, а «вероятность попадания в маневрирующую цель» компенсировала мощь БЧ снаряда и мощь ракетного залпа. Претензии к неуправляемому ракетному вооружению в малой эффективности в ближнем маневренном бою — типичная ошибка, обусловленная аналогиями с современными управляемыми ракетами класса «воздух-воздух». Кстати, сегодня этому отвечают лишь высокоманевренные управляемые ракеты малой дальности. Ракеты средней дальности — отнюдь не столь маневренны. Авиационные РС в прошедшей войне вполне в некоторой степени можно причислить к ракетному оружию средней дальности - на дально</w:t>
      </w:r>
      <w:r w:rsidRPr="00640820">
        <w:rPr>
          <w:rFonts w:ascii="Times New Roman" w:hAnsi="Times New Roman"/>
          <w:color w:val="000000" w:themeColor="text1"/>
          <w:sz w:val="16"/>
          <w:szCs w:val="16"/>
        </w:rPr>
        <w:softHyphen/>
        <w:t>стях стрельбы ими истребители противников лишь сближались, не начи</w:t>
      </w:r>
      <w:r w:rsidRPr="00640820">
        <w:rPr>
          <w:rFonts w:ascii="Times New Roman" w:hAnsi="Times New Roman"/>
          <w:color w:val="000000" w:themeColor="text1"/>
          <w:sz w:val="16"/>
          <w:szCs w:val="16"/>
        </w:rPr>
        <w:softHyphen/>
        <w:t>ная еще маневрировать (11402).</w:t>
      </w:r>
    </w:p>
    <w:p w14:paraId="5186A85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F49F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23 сентября 1941 г. Правительства и постановлением ГКО завод № 292 обязали с 5 октября 1941 г. перейти на выпуск Як-1 с шестью реактивными орудиями РО-82, а до 1 октября выпустить 20 машин с этим вооружением. В октябре выпустили </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22 самолета, вооруженные ракетными орудиями, и 87 - со всей электропроводкой для установки из-за отсутствия на заводе балок и ЭСБР-1 (электросбрасыватель бомб и ракет). По причине отсутствия на заводе труб для изготовления балок в ноябре установка РО была выполнена только на 43 Як-1, а проводка выполня- лясь на всех машинах. В частях, на машинах уже выпушенных с завода, для крепления орудий РО-82 в местах установки прорезалась насквозь обшивка крыла. На ложероны надевались и закреплялись специальные скобы с приваренными гнездами кронштейнов РО.</w:t>
      </w:r>
    </w:p>
    <w:p w14:paraId="049969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 xml:space="preserve"> с Як-1 впервые были применены под Москвой. Их использование в воздушных боях производило скорее моральный эффект, гак как из-за большого рассеивания, понижения (величина отклонения снаряда от оси оружия под действием силы тяжести) снаряда и отсутствия надежного прицела вероятность попадания в маневрирующую воздушную цель оказалась очень низкой. Атакуя большие группы бомбардировщиков, наши летчики с передней полусферы неприцельно пускали по ним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 xml:space="preserve">. В случае прямого попадания бомбардировщик буквально разваливался на части, но и близкий разрыв, как правило, сбивал его. Зная об этом и пытаясь избежать встречи с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 xml:space="preserve">, немецкие летчики ломали свои боевые порядки, а вместе с тем и систему взаимной обороны, что облегчало нашим истребителям выполнение атак. По наземным целям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 xml:space="preserve"> применялись с большим успехом.</w:t>
      </w:r>
    </w:p>
    <w:p w14:paraId="0C6190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Пуск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 xml:space="preserve"> осуществлялся от кнопки на ручке управления самолетом. На самолетах, не оборудованных ЭСБР-1, на ручке монтировалось три кнопки. В этом случае пуск мог выполняться только залпами по два снаряда от каждой кнопки.</w:t>
      </w:r>
    </w:p>
    <w:p w14:paraId="15E387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связи с введением в систему вооружения балочных держателей для подвески авиабомб постановлением ГКО от 2 мая 1942 г. для снижения лобового сопротивления заводу № 292 разрешили уменьшить число устанавливаемых на Як-1 РО с шести до четырех. А постановлением ГКО от 10 мая их сняли совсем. Основной из причин, повлиявших на это решение, была большая потеря скорости (до 30 км/ч) при наличии на самолете РО-82 с подвешенными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 xml:space="preserve"> (12048).</w:t>
      </w:r>
    </w:p>
    <w:p w14:paraId="54CF2B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AD6E55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сентября 1941 г. на И-185 №6204 закончилось испытание бомбового вооружения, которое проходило с 20 августа 1941. В ходе испытаний на подкрыльевых держа телях подвешивались следущие варианты пол весок: авиабомбы 4x100 кг, 2x250 кг, 8 реактив ных снарядов РС-82, выливные приборы ВАП 6М. Подъем и установка под крыло осуществ лялся при помощи стандартной лебедки БЛ-4 устанавливаемой на специальной раме. Выяснилось, в частности, что используемые авиабомбы ФАБ-250, изготовленные из старых артиллерийских снарядов, имеют значительную длину и при их установке открыть закрылки пол ностью невозможно. При испытании ВАП-6М/ имелись опасения, что выливаемая жидкость будет забрызгивать хвостовое оперение, по</w:t>
      </w:r>
      <w:r w:rsidRPr="00640820">
        <w:rPr>
          <w:rFonts w:ascii="Times New Roman" w:hAnsi="Times New Roman"/>
          <w:color w:val="000000" w:themeColor="text1"/>
          <w:sz w:val="16"/>
          <w:szCs w:val="16"/>
        </w:rPr>
        <w:softHyphen/>
        <w:t>этому стабилизатор заклеили полосками белой ткани. Последующий осмотр самолета на зем</w:t>
      </w:r>
      <w:r w:rsidRPr="00640820">
        <w:rPr>
          <w:rFonts w:ascii="Times New Roman" w:hAnsi="Times New Roman"/>
          <w:color w:val="000000" w:themeColor="text1"/>
          <w:sz w:val="16"/>
          <w:szCs w:val="16"/>
        </w:rPr>
        <w:softHyphen/>
        <w:t>ле не выявил никаких следов забрызгивания, что в очередной раз доказало высокое аэроди</w:t>
      </w:r>
      <w:r w:rsidRPr="00640820">
        <w:rPr>
          <w:rFonts w:ascii="Times New Roman" w:hAnsi="Times New Roman"/>
          <w:color w:val="000000" w:themeColor="text1"/>
          <w:sz w:val="16"/>
          <w:szCs w:val="16"/>
        </w:rPr>
        <w:softHyphen/>
        <w:t>намическое совершенство самолета (9979).</w:t>
      </w:r>
    </w:p>
    <w:p w14:paraId="112849E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A868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и 26 сентября 1941 полеты И-185 М-82А показали, что существенных изменений в работе радиатора не про</w:t>
      </w:r>
      <w:r w:rsidRPr="00640820">
        <w:rPr>
          <w:rFonts w:ascii="Times New Roman" w:hAnsi="Times New Roman"/>
          <w:color w:val="000000" w:themeColor="text1"/>
          <w:sz w:val="16"/>
          <w:szCs w:val="16"/>
        </w:rPr>
        <w:softHyphen/>
        <w:t>изошло (10667).</w:t>
      </w:r>
    </w:p>
    <w:p w14:paraId="44C3B5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326DD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сентября 1941 вышло Постановление ГКО № 708 О выпуске самолетов МиГ-3, ЛаГГ-3 и Як-1 с установкой под реактивные снаряды калибра 82 мм. РГАНИР, Фонд ГКО, д. 10, лл. 77 (11012).</w:t>
      </w:r>
    </w:p>
    <w:p w14:paraId="2515DF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3272A6F" w14:textId="77777777" w:rsidR="0025395E" w:rsidRPr="00640820" w:rsidRDefault="0025395E" w:rsidP="00640820">
      <w:pPr>
        <w:pStyle w:val="47"/>
        <w:shd w:val="clear" w:color="auto" w:fill="auto"/>
        <w:spacing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23 сентября 1941 вышло Постановление ГКО № 708 О выпуске самолетов МиГ-3, ЛаГГ-3 и Як-1 с установкой под реактивные снаряды калибра 82 мм</w:t>
      </w:r>
    </w:p>
    <w:p w14:paraId="2093C5E2" w14:textId="77777777" w:rsidR="0025395E" w:rsidRPr="00640820" w:rsidRDefault="0025395E"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Batang" w:hAnsi="Times New Roman"/>
          <w:color w:val="000000" w:themeColor="text1"/>
          <w:sz w:val="16"/>
          <w:szCs w:val="16"/>
        </w:rPr>
        <w:t>Государственный Комитет Обороны постановляет:</w:t>
      </w:r>
    </w:p>
    <w:p w14:paraId="601B359C" w14:textId="77777777" w:rsidR="0025395E" w:rsidRPr="00640820" w:rsidRDefault="0025395E" w:rsidP="00640820">
      <w:pPr>
        <w:tabs>
          <w:tab w:val="left" w:pos="1008"/>
        </w:tabs>
        <w:spacing w:after="0" w:line="240" w:lineRule="auto"/>
        <w:jc w:val="both"/>
        <w:rPr>
          <w:rFonts w:ascii="Times New Roman" w:eastAsia="Batang" w:hAnsi="Times New Roman"/>
          <w:color w:val="000000" w:themeColor="text1"/>
          <w:sz w:val="16"/>
          <w:szCs w:val="16"/>
        </w:rPr>
      </w:pPr>
      <w:r w:rsidRPr="00640820">
        <w:rPr>
          <w:rFonts w:ascii="Times New Roman" w:eastAsia="Batang" w:hAnsi="Times New Roman"/>
          <w:color w:val="000000" w:themeColor="text1"/>
          <w:sz w:val="16"/>
          <w:szCs w:val="16"/>
        </w:rPr>
        <w:t>1. Сбязать Народного Комиссара Авиапромышленности тов.Шахурина и директоров зазодов</w:t>
      </w:r>
      <w:r w:rsidRPr="00640820">
        <w:rPr>
          <w:rFonts w:ascii="Times New Roman" w:eastAsia="Batang" w:hAnsi="Times New Roman"/>
          <w:i/>
          <w:iCs/>
          <w:color w:val="000000" w:themeColor="text1"/>
          <w:sz w:val="16"/>
          <w:szCs w:val="16"/>
        </w:rPr>
        <w:t xml:space="preserve"> №</w:t>
      </w:r>
      <w:r w:rsidRPr="00640820">
        <w:rPr>
          <w:rFonts w:ascii="Times New Roman" w:eastAsia="Batang" w:hAnsi="Times New Roman"/>
          <w:color w:val="000000" w:themeColor="text1"/>
          <w:sz w:val="16"/>
          <w:szCs w:val="16"/>
        </w:rPr>
        <w:t xml:space="preserve"> 1 - тов.Третьякова, 21 - тов.Гостинцева, № 292 - тов.Левина устанавливать на самолеты Лагг-3, Як-1 и Миг-3 оборудование под реактивные снаряды калиб</w:t>
      </w:r>
      <w:r w:rsidRPr="00640820">
        <w:rPr>
          <w:rFonts w:ascii="Times New Roman" w:eastAsia="Batang" w:hAnsi="Times New Roman"/>
          <w:color w:val="000000" w:themeColor="text1"/>
          <w:sz w:val="16"/>
          <w:szCs w:val="16"/>
        </w:rPr>
        <w:softHyphen/>
        <w:t>ра 82 мм., по шесть снарядов на каждый самолет.</w:t>
      </w:r>
    </w:p>
    <w:p w14:paraId="0EE47898" w14:textId="77777777" w:rsidR="0025395E" w:rsidRPr="00640820" w:rsidRDefault="0025395E" w:rsidP="00640820">
      <w:pPr>
        <w:tabs>
          <w:tab w:val="left" w:pos="993"/>
          <w:tab w:val="left" w:pos="3100"/>
        </w:tabs>
        <w:spacing w:after="0" w:line="240" w:lineRule="auto"/>
        <w:jc w:val="both"/>
        <w:rPr>
          <w:rFonts w:ascii="Times New Roman" w:eastAsia="Batang" w:hAnsi="Times New Roman"/>
          <w:color w:val="000000" w:themeColor="text1"/>
          <w:sz w:val="16"/>
          <w:szCs w:val="16"/>
        </w:rPr>
      </w:pPr>
      <w:r w:rsidRPr="00640820">
        <w:rPr>
          <w:rFonts w:ascii="Times New Roman" w:eastAsia="Batang" w:hAnsi="Times New Roman"/>
          <w:color w:val="000000" w:themeColor="text1"/>
          <w:sz w:val="16"/>
          <w:szCs w:val="16"/>
        </w:rPr>
        <w:t>2. Обязать директора завода № 21 тов.Гостинцева и дирек</w:t>
      </w:r>
      <w:r w:rsidRPr="00640820">
        <w:rPr>
          <w:rFonts w:ascii="Times New Roman" w:eastAsia="Batang" w:hAnsi="Times New Roman"/>
          <w:color w:val="000000" w:themeColor="text1"/>
          <w:sz w:val="16"/>
          <w:szCs w:val="16"/>
        </w:rPr>
        <w:softHyphen/>
        <w:t xml:space="preserve">тора завода № 292 тов.Левина перейти на выпуск всех самолетов, оборудованных под реактивные снаряды калибра 82 мм. - по заводу № 21с 10 октября 1941 гоода, по заводу </w:t>
      </w:r>
      <w:r w:rsidRPr="00640820">
        <w:rPr>
          <w:rFonts w:ascii="Times New Roman" w:eastAsia="Batang" w:hAnsi="Times New Roman"/>
          <w:color w:val="000000" w:themeColor="text1"/>
          <w:sz w:val="16"/>
          <w:szCs w:val="16"/>
          <w:lang w:val="en-US"/>
        </w:rPr>
        <w:t>IP</w:t>
      </w:r>
      <w:r w:rsidRPr="00640820">
        <w:rPr>
          <w:rFonts w:ascii="Times New Roman" w:eastAsia="Batang" w:hAnsi="Times New Roman"/>
          <w:color w:val="000000" w:themeColor="text1"/>
          <w:sz w:val="16"/>
          <w:szCs w:val="16"/>
        </w:rPr>
        <w:t xml:space="preserve"> 292 - с 5 октября</w:t>
      </w:r>
    </w:p>
    <w:p w14:paraId="6DF3074E" w14:textId="77777777" w:rsidR="0025395E" w:rsidRPr="00640820" w:rsidRDefault="0025395E" w:rsidP="00640820">
      <w:pPr>
        <w:tabs>
          <w:tab w:val="left" w:pos="978"/>
        </w:tabs>
        <w:spacing w:after="0" w:line="240" w:lineRule="auto"/>
        <w:jc w:val="both"/>
        <w:rPr>
          <w:rFonts w:ascii="Times New Roman" w:eastAsia="Batang" w:hAnsi="Times New Roman"/>
          <w:color w:val="000000" w:themeColor="text1"/>
          <w:sz w:val="16"/>
          <w:szCs w:val="16"/>
        </w:rPr>
      </w:pPr>
      <w:r w:rsidRPr="00640820">
        <w:rPr>
          <w:rFonts w:ascii="Times New Roman" w:eastAsia="Batang" w:hAnsi="Times New Roman"/>
          <w:color w:val="000000" w:themeColor="text1"/>
          <w:sz w:val="16"/>
          <w:szCs w:val="16"/>
        </w:rPr>
        <w:t>3. Обязать директора завода № 1 тов.Третьякова устанавли</w:t>
      </w:r>
      <w:r w:rsidRPr="00640820">
        <w:rPr>
          <w:rFonts w:ascii="Times New Roman" w:eastAsia="Batang" w:hAnsi="Times New Roman"/>
          <w:color w:val="000000" w:themeColor="text1"/>
          <w:sz w:val="16"/>
          <w:szCs w:val="16"/>
        </w:rPr>
        <w:softHyphen/>
        <w:t>вать оборудование под реактивные снаряды калибра 82 мм на шести самолетах в день с 5 октября 1941 года.</w:t>
      </w:r>
    </w:p>
    <w:p w14:paraId="1F6C1BFF" w14:textId="77777777" w:rsidR="0025395E" w:rsidRPr="00640820" w:rsidRDefault="0025395E" w:rsidP="00640820">
      <w:pPr>
        <w:tabs>
          <w:tab w:val="left" w:pos="993"/>
        </w:tabs>
        <w:spacing w:after="0" w:line="240" w:lineRule="auto"/>
        <w:jc w:val="both"/>
        <w:rPr>
          <w:rFonts w:ascii="Times New Roman" w:eastAsia="Batang" w:hAnsi="Times New Roman"/>
          <w:color w:val="000000" w:themeColor="text1"/>
          <w:sz w:val="16"/>
          <w:szCs w:val="16"/>
        </w:rPr>
      </w:pPr>
      <w:r w:rsidRPr="00640820">
        <w:rPr>
          <w:rFonts w:ascii="Times New Roman" w:eastAsia="Batang" w:hAnsi="Times New Roman"/>
          <w:color w:val="000000" w:themeColor="text1"/>
          <w:sz w:val="16"/>
          <w:szCs w:val="16"/>
        </w:rPr>
        <w:t>4. Обязать директора завода № 18 тов.Шенкмана и главного конструктора самолета Ил-2 тов.Ильюшина выпускать самолеты Ил-2, оборудованные под 8 штук реактивных снарядов калибра 82 мм.</w:t>
      </w:r>
    </w:p>
    <w:p w14:paraId="117AC567" w14:textId="77777777" w:rsidR="0025395E" w:rsidRPr="00640820" w:rsidRDefault="0025395E"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Batang" w:hAnsi="Times New Roman"/>
          <w:color w:val="000000" w:themeColor="text1"/>
          <w:sz w:val="16"/>
          <w:szCs w:val="16"/>
        </w:rPr>
        <w:t>5. Обязать директоров заводов № 1, 21 и 292 до 1 октября 1У41 года выпустить самолеты, оборудованные под реактивные сна</w:t>
      </w:r>
      <w:r w:rsidRPr="00640820">
        <w:rPr>
          <w:rFonts w:ascii="Times New Roman" w:eastAsia="Batang" w:hAnsi="Times New Roman"/>
          <w:color w:val="000000" w:themeColor="text1"/>
          <w:sz w:val="16"/>
          <w:szCs w:val="16"/>
        </w:rPr>
        <w:softHyphen/>
        <w:t>ряды калибра 82 мм:</w:t>
      </w:r>
    </w:p>
    <w:p w14:paraId="2DF3CA00" w14:textId="77777777" w:rsidR="0025395E" w:rsidRPr="00640820" w:rsidRDefault="0025395E" w:rsidP="00640820">
      <w:pPr>
        <w:spacing w:after="0" w:line="240" w:lineRule="auto"/>
        <w:jc w:val="both"/>
        <w:rPr>
          <w:rFonts w:ascii="Times New Roman" w:eastAsia="Batang" w:hAnsi="Times New Roman"/>
          <w:color w:val="000000" w:themeColor="text1"/>
          <w:sz w:val="16"/>
          <w:szCs w:val="16"/>
        </w:rPr>
      </w:pPr>
      <w:r w:rsidRPr="00640820">
        <w:rPr>
          <w:rFonts w:ascii="Times New Roman" w:eastAsia="Batang" w:hAnsi="Times New Roman"/>
          <w:color w:val="000000" w:themeColor="text1"/>
          <w:sz w:val="16"/>
          <w:szCs w:val="16"/>
        </w:rPr>
        <w:t>на заводе № 1 - Миг-3 - 50 самолетов;</w:t>
      </w:r>
    </w:p>
    <w:p w14:paraId="7C9923B5" w14:textId="77777777" w:rsidR="0025395E" w:rsidRPr="00640820" w:rsidRDefault="0025395E" w:rsidP="00640820">
      <w:pPr>
        <w:spacing w:after="0" w:line="240" w:lineRule="auto"/>
        <w:jc w:val="both"/>
        <w:rPr>
          <w:rFonts w:ascii="Times New Roman" w:eastAsia="Batang" w:hAnsi="Times New Roman"/>
          <w:color w:val="000000" w:themeColor="text1"/>
          <w:sz w:val="16"/>
          <w:szCs w:val="16"/>
        </w:rPr>
      </w:pPr>
      <w:r w:rsidRPr="00640820">
        <w:rPr>
          <w:rFonts w:ascii="Times New Roman" w:eastAsia="Batang" w:hAnsi="Times New Roman"/>
          <w:color w:val="000000" w:themeColor="text1"/>
          <w:sz w:val="16"/>
          <w:szCs w:val="16"/>
        </w:rPr>
        <w:t>на заводе № 21 - Лагг-3 - 30 самолетов;</w:t>
      </w:r>
    </w:p>
    <w:p w14:paraId="19FBE26C" w14:textId="77777777" w:rsidR="0025395E" w:rsidRPr="00640820" w:rsidRDefault="0025395E"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Batang" w:hAnsi="Times New Roman"/>
          <w:color w:val="000000" w:themeColor="text1"/>
          <w:sz w:val="16"/>
          <w:szCs w:val="16"/>
        </w:rPr>
        <w:t>на эаводе № 292 - Як-1 - 20 самолетов.</w:t>
      </w:r>
    </w:p>
    <w:p w14:paraId="6F2A12E3" w14:textId="77777777" w:rsidR="0025395E" w:rsidRPr="00640820" w:rsidRDefault="0025395E"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Batang" w:hAnsi="Times New Roman"/>
          <w:color w:val="000000" w:themeColor="text1"/>
          <w:sz w:val="16"/>
          <w:szCs w:val="16"/>
        </w:rPr>
        <w:t>б. Обязать Народного Комиссара Авиапромышленности тов. Шахурина и директора завода № 32 тов.Соколова обеспечить изготов</w:t>
      </w:r>
      <w:r w:rsidRPr="00640820">
        <w:rPr>
          <w:rFonts w:ascii="Times New Roman" w:eastAsia="Batang" w:hAnsi="Times New Roman"/>
          <w:color w:val="000000" w:themeColor="text1"/>
          <w:sz w:val="16"/>
          <w:szCs w:val="16"/>
        </w:rPr>
        <w:softHyphen/>
        <w:t>ление установок под реактивные снаряды с 25 сентября 1941 года по 400 шту</w:t>
      </w:r>
      <w:r w:rsidRPr="00640820">
        <w:rPr>
          <w:rFonts w:ascii="Times New Roman" w:eastAsia="Batang" w:hAnsi="Times New Roman"/>
          <w:color w:val="000000" w:themeColor="text1"/>
          <w:sz w:val="16"/>
          <w:szCs w:val="16"/>
          <w:u w:val="single"/>
        </w:rPr>
        <w:t>к еж</w:t>
      </w:r>
      <w:r w:rsidRPr="00640820">
        <w:rPr>
          <w:rFonts w:ascii="Times New Roman" w:eastAsia="Batang" w:hAnsi="Times New Roman"/>
          <w:color w:val="000000" w:themeColor="text1"/>
          <w:sz w:val="16"/>
          <w:szCs w:val="16"/>
        </w:rPr>
        <w:t>едневно.</w:t>
      </w:r>
    </w:p>
    <w:p w14:paraId="3C237D82" w14:textId="77777777" w:rsidR="0025395E" w:rsidRPr="00640820" w:rsidRDefault="0025395E" w:rsidP="00640820">
      <w:pPr>
        <w:spacing w:after="0" w:line="240" w:lineRule="auto"/>
        <w:jc w:val="both"/>
        <w:rPr>
          <w:rFonts w:ascii="Times New Roman" w:hAnsi="Times New Roman"/>
          <w:color w:val="000000" w:themeColor="text1"/>
          <w:sz w:val="16"/>
          <w:szCs w:val="16"/>
        </w:rPr>
      </w:pPr>
      <w:r w:rsidRPr="00640820">
        <w:rPr>
          <w:rFonts w:ascii="Times New Roman" w:eastAsia="Batang" w:hAnsi="Times New Roman"/>
          <w:color w:val="000000" w:themeColor="text1"/>
          <w:sz w:val="16"/>
          <w:szCs w:val="16"/>
        </w:rPr>
        <w:t xml:space="preserve">7. Освободть завод № 32 ИКАП от поставки заводу "Компресор" установок под реактивные снаряды </w:t>
      </w:r>
      <w:r w:rsidRPr="00640820">
        <w:rPr>
          <w:rFonts w:ascii="Times New Roman" w:hAnsi="Times New Roman"/>
          <w:color w:val="000000" w:themeColor="text1"/>
          <w:sz w:val="16"/>
          <w:szCs w:val="16"/>
        </w:rPr>
        <w:t>(19276).</w:t>
      </w:r>
    </w:p>
    <w:p w14:paraId="3892C58F" w14:textId="77777777" w:rsidR="0025395E" w:rsidRPr="00640820" w:rsidRDefault="0025395E" w:rsidP="00640820">
      <w:pPr>
        <w:autoSpaceDE w:val="0"/>
        <w:autoSpaceDN w:val="0"/>
        <w:adjustRightInd w:val="0"/>
        <w:spacing w:after="0" w:line="240" w:lineRule="auto"/>
        <w:jc w:val="both"/>
        <w:rPr>
          <w:rFonts w:ascii="Times New Roman" w:hAnsi="Times New Roman"/>
          <w:color w:val="000000" w:themeColor="text1"/>
          <w:sz w:val="16"/>
          <w:szCs w:val="16"/>
        </w:rPr>
      </w:pPr>
    </w:p>
    <w:p w14:paraId="71B1D6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сентября 1941 г. вышло постановление ГКО № 708 о ежедневном плане выпуска самолета МиГ-3 - 6 машин с 6-ю РС-82 (11982).</w:t>
      </w:r>
    </w:p>
    <w:p w14:paraId="4E8EB2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35A8E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сентября 1941 вышло постановление ГКО N 708 об установке РС на и (4211,34).</w:t>
      </w:r>
    </w:p>
    <w:p w14:paraId="541152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790F34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23 сентября 1941 г. Государственный Комитет Оборо</w:t>
      </w:r>
      <w:r w:rsidRPr="00640820">
        <w:rPr>
          <w:rFonts w:ascii="Times New Roman" w:hAnsi="Times New Roman"/>
          <w:color w:val="000000" w:themeColor="text1"/>
          <w:sz w:val="16"/>
          <w:szCs w:val="16"/>
        </w:rPr>
        <w:softHyphen/>
        <w:t>ны «созрел» для издания Постановления №708сс, о выпуске самолетов МиГ-3, ЛаГГ-3 и Як-1 с установкой под реактивные снаряды калибра 82 мм. Нарком авиапромышленности А.И.Шахурин на следующий же день продублировал его своим приказом: «ОИ начальника 1-го Главного уп</w:t>
      </w:r>
      <w:r w:rsidRPr="00640820">
        <w:rPr>
          <w:rFonts w:ascii="Times New Roman" w:hAnsi="Times New Roman"/>
          <w:color w:val="000000" w:themeColor="text1"/>
          <w:sz w:val="16"/>
          <w:szCs w:val="16"/>
        </w:rPr>
        <w:softHyphen/>
        <w:t>равления тов.Шнец, директорам заводов №1 тов.Третьякову, №21 тов.Гостинцеву, №292 тов.Левину устанавливать на самолеты ЛаГГ-3, Як-1 и МиГ-3 оборудование под реактивные снаряды калибра 82 мм (по шесть снарядов на каждый самолет). ...Директору завода № 1 тов. Третья</w:t>
      </w:r>
      <w:r w:rsidRPr="00640820">
        <w:rPr>
          <w:rFonts w:ascii="Times New Roman" w:hAnsi="Times New Roman"/>
          <w:color w:val="000000" w:themeColor="text1"/>
          <w:sz w:val="16"/>
          <w:szCs w:val="16"/>
        </w:rPr>
        <w:softHyphen/>
        <w:t>кову устанавливать оборудование под реактивные снаряды калибра 82 мм на шести самолетах в день с 5 октября 1941 г. ...До 1 октября 1941 г. выпустить самолеты на заводе №1 (МиГ-3 — 50 машин)...».</w:t>
      </w:r>
    </w:p>
    <w:p w14:paraId="4ED1C7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Знаменитый летчик Г.Я.Бахчиванджи косвенно подтверждает, что ВВС не были готовы к вооружению новых и более скоростных машин Ракетным оружием: «Использование ракетного вооружения на более со</w:t>
      </w:r>
      <w:r w:rsidRPr="00640820">
        <w:rPr>
          <w:rFonts w:ascii="Times New Roman" w:hAnsi="Times New Roman"/>
          <w:color w:val="000000" w:themeColor="text1"/>
          <w:sz w:val="16"/>
          <w:szCs w:val="16"/>
        </w:rPr>
        <w:softHyphen/>
        <w:t>временных самолетах-истребителях поначалу требовало снижать скоростьмашин, чтобы «вписаться» в скоростной диапазон, определенный «Полными таблицами...» для истребителей предшествующего поколе</w:t>
      </w:r>
      <w:r w:rsidRPr="00640820">
        <w:rPr>
          <w:rFonts w:ascii="Times New Roman" w:hAnsi="Times New Roman"/>
          <w:color w:val="000000" w:themeColor="text1"/>
          <w:sz w:val="16"/>
          <w:szCs w:val="16"/>
        </w:rPr>
        <w:softHyphen/>
        <w:t>ния. В противном случае, прицельно вести огонь на дистанциях свыше ШОО м было невозможно. Впоследствии были разработаны поправки к таблицам воздушной стрельбы для разных типов самолетов и вырабо таны рекомендации по оптимальным углам установки ракетных орудий на конкретных машинах».</w:t>
      </w:r>
    </w:p>
    <w:p w14:paraId="60E1677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более современных истребителях Як-1, Як-7, ЛаГГ-3 и МиГ-3 монтаж ракетных орудий не требовал переделки крыла серийных машин Струя продуктов сгорания из сопла РС не оказывала отрицательного влияния на обшивку крыла, фюзеляжа и элеронов самолетов и не требо</w:t>
      </w:r>
      <w:r w:rsidRPr="00640820">
        <w:rPr>
          <w:rFonts w:ascii="Times New Roman" w:hAnsi="Times New Roman"/>
          <w:color w:val="000000" w:themeColor="text1"/>
          <w:sz w:val="16"/>
          <w:szCs w:val="16"/>
        </w:rPr>
        <w:softHyphen/>
        <w:t xml:space="preserve">вала дополнительных защитных покрытий. Крылья, </w:t>
      </w:r>
      <w:r w:rsidRPr="00640820">
        <w:rPr>
          <w:rFonts w:ascii="Times New Roman" w:hAnsi="Times New Roman"/>
          <w:color w:val="000000" w:themeColor="text1"/>
          <w:sz w:val="16"/>
          <w:szCs w:val="16"/>
        </w:rPr>
        <w:lastRenderedPageBreak/>
        <w:t>элероны и узлы кре</w:t>
      </w:r>
      <w:r w:rsidRPr="00640820">
        <w:rPr>
          <w:rFonts w:ascii="Times New Roman" w:hAnsi="Times New Roman"/>
          <w:color w:val="000000" w:themeColor="text1"/>
          <w:sz w:val="16"/>
          <w:szCs w:val="16"/>
        </w:rPr>
        <w:softHyphen/>
        <w:t>пления орудий обладали достаточной прочностью - случаев их поломок и деформаций после стрельбы РС не отмечалось. В эксплуатации РС-82 отличались простотой и безотказностью (по данным 16-го иап, на 100 пусков приходился лишь один отказ).</w:t>
      </w:r>
    </w:p>
    <w:p w14:paraId="424BABC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Як-1 реактивное вооружение начали устанавливать с октября 1941 г. (43 серия). И продолжалось это до мая 1942 г. (около 65 серии) (11402).</w:t>
      </w:r>
    </w:p>
    <w:p w14:paraId="6C0ADAA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73D4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сентября 1941 года вышло Особое распоряжение (1с) №11 за подписью 1-го офицера Генштаба германской армии:</w:t>
      </w:r>
    </w:p>
    <w:p w14:paraId="31A628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районе действия армейской группы Норд захвачена залповая пушка, которая стреляет 76м/м гранатами. Кроме того, сообщается о залповой пушке, состоящей из 10-15 стволов, сконструированных в одну систему. Эта пушка имеет салазки длиной около 6 метров, которые смонтированы в задней части грузовика”. В распоряжении указывалось, что в случае захвата залповой пушки или пленных, дающих показания о ней согласно приказу Верховного Командования обращать особое внимание на детальное выяснение конструкции пушки и снарядов. Немедленно надлежало установить предприятие-изготовитель, что представляло особый интерес [27]. На основании приведенной информации можно сделать вывод, что была захвачена установка серии М-8 – вероятно М-8-36. Осенью 1941 года немцы обладали данными о дальности стрельбы 2000-3000 м., только из одного показания немцам стало известно о дальности 8000м [28]. Дальность порядка 3000 м указывалась и в проекте краткой инструкции по установке М-13 (11772). </w:t>
      </w:r>
    </w:p>
    <w:p w14:paraId="4E6BE1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BC658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сентября 1941 в Коломзино в Омск на завод 266 прибыла комиссия НКАП и ВВС во главе с А.Шахуриным. Тут то Кутепов и сообщил об инициативе Р.Л.Б. по ракетному перехватчику. А.И.Шахурин санкционировал два: двухдвигательную бесхвостку Р со скоростью 2000 км/час и высотный перехватчик Р-114 с пакетом четырех ЖРД с тягой в 1.2 т и скоростью 2400 км/час (1105,7).</w:t>
      </w:r>
    </w:p>
    <w:p w14:paraId="23382A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CCBAD42"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23 сентября </w:t>
      </w:r>
      <w:r w:rsidRPr="00640820">
        <w:rPr>
          <w:rFonts w:ascii="Times New Roman" w:hAnsi="Times New Roman"/>
          <w:color w:val="000000" w:themeColor="text1"/>
          <w:sz w:val="16"/>
          <w:szCs w:val="16"/>
        </w:rPr>
        <w:t>в 1941 году ЦК ВКП(б) принял постановление о реабилитации со снятием судимости авиаконструктора Андрея Туполева и сотрудников его "шарашки" (14778).</w:t>
      </w:r>
    </w:p>
    <w:p w14:paraId="6CC2A3B3" w14:textId="77777777" w:rsidR="000E5B37" w:rsidRPr="00640820" w:rsidRDefault="000E5B37" w:rsidP="00640820">
      <w:pPr>
        <w:spacing w:after="0" w:line="240" w:lineRule="auto"/>
        <w:jc w:val="both"/>
        <w:rPr>
          <w:rFonts w:ascii="Times New Roman" w:hAnsi="Times New Roman"/>
          <w:color w:val="000000" w:themeColor="text1"/>
          <w:sz w:val="16"/>
          <w:szCs w:val="16"/>
        </w:rPr>
      </w:pPr>
    </w:p>
    <w:p w14:paraId="020F0B5C"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сентября 1941 годавышло особое распоряжение (1с) №11 за подписью 1-го офицера Генштаба германской армии: “В районе действия армейской группы Норд захвачена залповая пушка, которая стреляет 76м/м гранатами. Кроме того, сообщается о залповой пушке, состоящей из 10-15 стволов, сконструированных в одну систему. Эта пушка имеет салазки длиной около 6 метров, которые смонтированы в задней части грузовика”. В распоряжении указывалось, что в случае захвата залповой пушки или пленных, дающих показания о ней согласно приказу Верховного Командования обращать особое внимание на детальное выяснение конструкции пушки и снарядов. Немедленно надлежало установить предприятие-изготовитель, что представляло особый интерес.</w:t>
      </w:r>
    </w:p>
    <w:p w14:paraId="16336951"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основании приведенной информации можно сделать вывод, что была захвачена установка серии М-8 – вероятно М-8-36. Осенью 1941 года немцы обладали данными о дальности стрельбы 2000-3000 м., только из одного показания немцам стало известно о дальности 8000м. Дальность порядка 2000-3000 м указывалась и в проекте краткой инструкции по установке М-13 (15981).</w:t>
      </w:r>
    </w:p>
    <w:p w14:paraId="4D5C184D" w14:textId="77777777" w:rsidR="000E5B37" w:rsidRPr="00640820" w:rsidRDefault="000E5B37" w:rsidP="00640820">
      <w:pPr>
        <w:spacing w:after="0" w:line="240" w:lineRule="auto"/>
        <w:jc w:val="both"/>
        <w:rPr>
          <w:rFonts w:ascii="Times New Roman" w:hAnsi="Times New Roman"/>
          <w:color w:val="000000" w:themeColor="text1"/>
          <w:sz w:val="16"/>
          <w:szCs w:val="16"/>
        </w:rPr>
      </w:pPr>
    </w:p>
    <w:p w14:paraId="611D2494"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36111D1B"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996586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сентября 1941 года вышел Приказ НКБ № 548</w:t>
      </w:r>
    </w:p>
    <w:p w14:paraId="27C9EE6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Сохранить в Ленинграде филиал завода № 4 с подчинением его 2 Гл. Управлению (5677, 135).</w:t>
      </w:r>
    </w:p>
    <w:p w14:paraId="08CB21B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D8089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сентября 1941 года вышел приказ № 33с НКТП Челябинск</w:t>
      </w:r>
    </w:p>
    <w:p w14:paraId="41CF91A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 размещении завода № 75 на территории Челябинского тракторного завода (6032, 81).</w:t>
      </w:r>
    </w:p>
    <w:p w14:paraId="5312AD9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9B8854"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23 сентября 1941 г.</w:t>
      </w:r>
    </w:p>
    <w:p w14:paraId="7FC9B0A4"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Секретно </w:t>
      </w:r>
    </w:p>
    <w:p w14:paraId="778A7145"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Экз. № ___ </w:t>
      </w:r>
    </w:p>
    <w:p w14:paraId="15286146"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ПРИКАЗ</w:t>
      </w:r>
    </w:p>
    <w:p w14:paraId="492881FC"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 НАРОДНОМУ КОМИССАРИАТУ ТАНКОВОЙ ПРОМЫШЛЕННОСТИ СССР</w:t>
      </w:r>
    </w:p>
    <w:p w14:paraId="320F8C4C"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33с</w:t>
      </w:r>
    </w:p>
    <w:p w14:paraId="1985FABB"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от 23 сентября 1941 г. </w:t>
      </w:r>
    </w:p>
    <w:p w14:paraId="43F09779"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 Челябинск</w:t>
      </w:r>
    </w:p>
    <w:p w14:paraId="7FEFD7FE"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 размещении завода № 75 на территории Челябинского тракторного завода.</w:t>
      </w:r>
    </w:p>
    <w:p w14:paraId="2F3E1FB7"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Во исполнение постановления Государственного Комитета Обороны СССР от 12.IX-41 г. о размещении завода № 75 на территории Челябинского тракторного завода, ПРИКАЗЫВАЮ: </w:t>
      </w:r>
    </w:p>
    <w:p w14:paraId="7D536D71"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1) Утвердить генплан размещения цехов завода № 75 на площадях Челябинского тракторного завода, представленный заводом (смотри приложение № 1) </w:t>
      </w:r>
    </w:p>
    <w:p w14:paraId="049A9093"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2) В соответствии с утвержденным генпланом: </w:t>
      </w:r>
    </w:p>
    <w:p w14:paraId="38A90915"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а) Обеспечить выпуск всей основной технической документации, связанной с размещением цехов завода № 75. </w:t>
      </w:r>
    </w:p>
    <w:p w14:paraId="47CE2E84"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Ответственный т. ДУБРОВИЧ Е.С. Срок 28.IX-41 г. </w:t>
      </w:r>
    </w:p>
    <w:p w14:paraId="4BDB4728"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б) Для максимального сокращения сроков проектирования – выпускать задания на монтажно-строительные работы в эскизно виде, обеспечив непосредственное оперативно-техническое руководство на местах производства работ. </w:t>
      </w:r>
    </w:p>
    <w:p w14:paraId="3645B521"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Ответственный т. ЯЛОВЕНКО Д.К. Срок – 5 дней. </w:t>
      </w:r>
    </w:p>
    <w:p w14:paraId="2B428689"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в) Немедленно приступить к освобождению, переоборудованию и ремонту цехов и участков, предназначенных для завода № 75, обеспечив монтаж и запуск в производство прибывающего станкового оборудования в течение пяти дней с момента его прибытия на ЧТЗ. </w:t>
      </w:r>
    </w:p>
    <w:p w14:paraId="322FFD8D"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Ответственный т. ЯЛОВЕНКО Д.К., ПЕТРОВ С.М. Порядок освобождения цехов ЧТЗ см. приложение № 2. </w:t>
      </w:r>
    </w:p>
    <w:p w14:paraId="761EE482"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г) Разместить основные производственные цехи завода № 75: </w:t>
      </w:r>
    </w:p>
    <w:p w14:paraId="1A314AB6"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Механические цеха – на площади газогенераторного цеха (быв. МХ-4, МХ-5). </w:t>
      </w:r>
    </w:p>
    <w:p w14:paraId="700BE8C7"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Сборка, переборка и испытательная станция – в заканчивающимся стройкой здании склада металлов. </w:t>
      </w:r>
    </w:p>
    <w:p w14:paraId="13EE1122"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Цех топливной аппаратуры – на площади цеха пусковых моторов. </w:t>
      </w:r>
    </w:p>
    <w:p w14:paraId="2F13FC20"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Термический цех – на площади цеха Ширпотреба (МХ-3 и цех 100А). </w:t>
      </w:r>
    </w:p>
    <w:p w14:paraId="2CBC2900"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Инструментальный отдел – в здании ремесленного училища № 2. </w:t>
      </w:r>
    </w:p>
    <w:p w14:paraId="497DA284"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Литейный цех – на изолированном участке литейного цеха ЧТЗ. </w:t>
      </w:r>
    </w:p>
    <w:p w14:paraId="73D080A9"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Обдирка цветных деталей, термообработка и пропитка – на площади заготовительного отдела Рем. мех. цеха. </w:t>
      </w:r>
    </w:p>
    <w:p w14:paraId="20E4C404"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Кузнечно-штамповочный цех – на площадях Кузнечного цеха ЧТЗ с освобождением заготовительных участков. </w:t>
      </w:r>
    </w:p>
    <w:p w14:paraId="0340813C"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Цех холодной штамповки, сварочный и медницкий – на площадях Холодно-штампового цеха и СБ-3. </w:t>
      </w:r>
    </w:p>
    <w:p w14:paraId="5CAA7B9D"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Склады различные – в привокзальном складе ЧТЗ (быв. Автотрактордеталь); в одном пролете главного магазина. </w:t>
      </w:r>
    </w:p>
    <w:p w14:paraId="1355254F"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Вспомогательные участки – на соответствующих участках ЧТЗ. </w:t>
      </w:r>
    </w:p>
    <w:p w14:paraId="44850810"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Подробное размещение площадей см. утвержденную мною ведомость – приложение № 1. </w:t>
      </w:r>
    </w:p>
    <w:p w14:paraId="3E9328C7"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д) Выдать строителям задание на изготовление фундаментов под 6,5, 9, 13 и 15 тонные молота. </w:t>
      </w:r>
    </w:p>
    <w:p w14:paraId="2E902167"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Ответственный т. ЯЛОВЕНКО Д.К. Срок на выдачу задания на производство земляных работ – 26.IX-41 г., конструктивных работ – 28.IX-41 г. </w:t>
      </w:r>
    </w:p>
    <w:p w14:paraId="6A5E2E5A"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е) Произвести монтаж 6,5 и 13 тонных молотов, прессов и печей к ним. </w:t>
      </w:r>
    </w:p>
    <w:p w14:paraId="3A252CE7"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Ответственный т. ПЕТРОВ С.М. Срок 10.XI-41 г. </w:t>
      </w:r>
    </w:p>
    <w:p w14:paraId="3F387D93"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ж) До запуска в производство тяжелых молотов обеспечить программу штамповки коленвалов на имеющемся на ЧТЗ 9-ти тонном молоте. </w:t>
      </w:r>
    </w:p>
    <w:p w14:paraId="75363A34"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Ответственный т. МАХОНИН С.Н. </w:t>
      </w:r>
    </w:p>
    <w:p w14:paraId="3C63D9DF"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з) Изготовить фундаменты под: 1, 3, 4, 6,5 тонные молота и пресса к ним. </w:t>
      </w:r>
    </w:p>
    <w:p w14:paraId="5DAA18F3"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Ответственный т. ЯЛОВЕНКО Д.К. Срок по 1 и 3-х тонным – 15.Х-41 г., 6,5-ти тонным – 20.Х-41 г., 4-х тонным – 1.XI-41 г. </w:t>
      </w:r>
    </w:p>
    <w:p w14:paraId="618C136B"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и) Смонтировать 1, 3 и 4-х тонные молота с прессами к ним. </w:t>
      </w:r>
    </w:p>
    <w:p w14:paraId="55D1D459"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Ответственный т. ПЕТРОВ С.М. Срок – 5 дней после прибытия оборудования. </w:t>
      </w:r>
    </w:p>
    <w:p w14:paraId="6DCC4A6C"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к) Смонтировать 2 закалочно-отпускных агрегата для термообработки коленвалов. </w:t>
      </w:r>
    </w:p>
    <w:p w14:paraId="5150073F"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Ответственный т. ПЕТРОВ С.М. Срок 10.XI-41 г. </w:t>
      </w:r>
    </w:p>
    <w:p w14:paraId="0632D907"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л) Обеспечить инструментальное хозяйство и цеха 75 завода необходимым инвентарем: стеллажами, верстаками, контрольными плитами, столами и пр. </w:t>
      </w:r>
    </w:p>
    <w:p w14:paraId="67BC8C8D"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Ответственный по проектированию – т. ЯЛОВЕНКО Д.К. Срок исполнения 5 дней с момента получения технического задания. </w:t>
      </w:r>
    </w:p>
    <w:p w14:paraId="4768E11A"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lastRenderedPageBreak/>
        <w:t xml:space="preserve">Ответственный по изготовлению – т. ПЕТРОВ С.М. Срок изготовления: для механосборочных цехов – 15.Х-41 г.; для инструментального хозяйства – 20.Х-41 г.; для литейного цеха – 25.Х-41 г.; для остальных участков – 1.XI-41 г. </w:t>
      </w:r>
    </w:p>
    <w:p w14:paraId="1D908128"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3) Начальнику 8-ГПИ тов. СОЛИНУ выделить в распоряжение ЧТЗ проектантов для обеспечения выпуска технической документации до полного окончания размещения завода № 75 на ЧТЗ, полностью обеспечив разработку документации по сборке и испытанию моторов, а также цеха топливной аппаратуры. В течение 5 дней выдать задание строителям на постройку кабин испытательной станции В-2С4. </w:t>
      </w:r>
    </w:p>
    <w:p w14:paraId="4BB7A5C9"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4) Директору завода тов. ШОР М.И. в соответствии с постановлением Государственного Комитета Обороны обеспечить сборку и выпуск моторов В-2С4 с 20.Х-41 года в следующих количествах: </w:t>
      </w:r>
    </w:p>
    <w:p w14:paraId="5F5FEA15"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Суточный график выпуска В-2С4 на ЧТЗ в октябре 1941:</w:t>
      </w:r>
    </w:p>
    <w:tbl>
      <w:tblPr>
        <w:tblStyle w:val="afffff2"/>
        <w:tblW w:w="0" w:type="auto"/>
        <w:tblLook w:val="04A0" w:firstRow="1" w:lastRow="0" w:firstColumn="1" w:lastColumn="0" w:noHBand="0" w:noVBand="1"/>
      </w:tblPr>
      <w:tblGrid>
        <w:gridCol w:w="824"/>
        <w:gridCol w:w="807"/>
        <w:gridCol w:w="807"/>
        <w:gridCol w:w="807"/>
        <w:gridCol w:w="807"/>
        <w:gridCol w:w="807"/>
        <w:gridCol w:w="807"/>
        <w:gridCol w:w="807"/>
        <w:gridCol w:w="807"/>
        <w:gridCol w:w="807"/>
        <w:gridCol w:w="808"/>
        <w:gridCol w:w="808"/>
        <w:gridCol w:w="808"/>
        <w:gridCol w:w="817"/>
      </w:tblGrid>
      <w:tr w:rsidR="00643896" w:rsidRPr="00640820" w14:paraId="5C692FB7" w14:textId="77777777" w:rsidTr="002B4573">
        <w:tc>
          <w:tcPr>
            <w:tcW w:w="825" w:type="dxa"/>
          </w:tcPr>
          <w:p w14:paraId="7DA40E34" w14:textId="77777777" w:rsidR="00A458F8" w:rsidRPr="00640820" w:rsidRDefault="00A458F8" w:rsidP="00640820">
            <w:pPr>
              <w:spacing w:after="0" w:line="240" w:lineRule="auto"/>
              <w:jc w:val="both"/>
              <w:rPr>
                <w:color w:val="000000" w:themeColor="text1"/>
                <w:sz w:val="16"/>
                <w:szCs w:val="16"/>
                <w:lang w:eastAsia="ru-RU"/>
              </w:rPr>
            </w:pPr>
            <w:r w:rsidRPr="00640820">
              <w:rPr>
                <w:color w:val="000000" w:themeColor="text1"/>
                <w:sz w:val="16"/>
                <w:szCs w:val="16"/>
                <w:lang w:eastAsia="ru-RU"/>
              </w:rPr>
              <w:t>Дата</w:t>
            </w:r>
          </w:p>
        </w:tc>
        <w:tc>
          <w:tcPr>
            <w:tcW w:w="825" w:type="dxa"/>
          </w:tcPr>
          <w:p w14:paraId="19C1D448" w14:textId="77777777" w:rsidR="00A458F8" w:rsidRPr="00640820" w:rsidRDefault="00A458F8" w:rsidP="00640820">
            <w:pPr>
              <w:spacing w:after="0" w:line="240" w:lineRule="auto"/>
              <w:jc w:val="both"/>
              <w:rPr>
                <w:color w:val="000000" w:themeColor="text1"/>
                <w:sz w:val="16"/>
                <w:szCs w:val="16"/>
                <w:lang w:eastAsia="ru-RU"/>
              </w:rPr>
            </w:pPr>
            <w:r w:rsidRPr="00640820">
              <w:rPr>
                <w:color w:val="000000" w:themeColor="text1"/>
                <w:sz w:val="16"/>
                <w:szCs w:val="16"/>
                <w:lang w:eastAsia="ru-RU"/>
              </w:rPr>
              <w:t>20</w:t>
            </w:r>
          </w:p>
        </w:tc>
        <w:tc>
          <w:tcPr>
            <w:tcW w:w="825" w:type="dxa"/>
          </w:tcPr>
          <w:p w14:paraId="3BF99D82" w14:textId="77777777" w:rsidR="00A458F8" w:rsidRPr="00640820" w:rsidRDefault="00A458F8" w:rsidP="00640820">
            <w:pPr>
              <w:spacing w:after="0" w:line="240" w:lineRule="auto"/>
              <w:jc w:val="both"/>
              <w:rPr>
                <w:color w:val="000000" w:themeColor="text1"/>
                <w:sz w:val="16"/>
                <w:szCs w:val="16"/>
                <w:lang w:eastAsia="ru-RU"/>
              </w:rPr>
            </w:pPr>
            <w:r w:rsidRPr="00640820">
              <w:rPr>
                <w:color w:val="000000" w:themeColor="text1"/>
                <w:sz w:val="16"/>
                <w:szCs w:val="16"/>
                <w:lang w:eastAsia="ru-RU"/>
              </w:rPr>
              <w:t>21</w:t>
            </w:r>
          </w:p>
        </w:tc>
        <w:tc>
          <w:tcPr>
            <w:tcW w:w="825" w:type="dxa"/>
          </w:tcPr>
          <w:p w14:paraId="721C4569" w14:textId="77777777" w:rsidR="00A458F8" w:rsidRPr="00640820" w:rsidRDefault="00A458F8" w:rsidP="00640820">
            <w:pPr>
              <w:spacing w:after="0" w:line="240" w:lineRule="auto"/>
              <w:jc w:val="both"/>
              <w:rPr>
                <w:color w:val="000000" w:themeColor="text1"/>
                <w:sz w:val="16"/>
                <w:szCs w:val="16"/>
                <w:lang w:eastAsia="ru-RU"/>
              </w:rPr>
            </w:pPr>
            <w:r w:rsidRPr="00640820">
              <w:rPr>
                <w:color w:val="000000" w:themeColor="text1"/>
                <w:sz w:val="16"/>
                <w:szCs w:val="16"/>
                <w:lang w:eastAsia="ru-RU"/>
              </w:rPr>
              <w:t>22</w:t>
            </w:r>
          </w:p>
        </w:tc>
        <w:tc>
          <w:tcPr>
            <w:tcW w:w="825" w:type="dxa"/>
          </w:tcPr>
          <w:p w14:paraId="419FCE65" w14:textId="77777777" w:rsidR="00A458F8" w:rsidRPr="00640820" w:rsidRDefault="00A458F8" w:rsidP="00640820">
            <w:pPr>
              <w:spacing w:after="0" w:line="240" w:lineRule="auto"/>
              <w:jc w:val="both"/>
              <w:rPr>
                <w:color w:val="000000" w:themeColor="text1"/>
                <w:sz w:val="16"/>
                <w:szCs w:val="16"/>
                <w:lang w:eastAsia="ru-RU"/>
              </w:rPr>
            </w:pPr>
            <w:r w:rsidRPr="00640820">
              <w:rPr>
                <w:color w:val="000000" w:themeColor="text1"/>
                <w:sz w:val="16"/>
                <w:szCs w:val="16"/>
                <w:lang w:eastAsia="ru-RU"/>
              </w:rPr>
              <w:t>23</w:t>
            </w:r>
          </w:p>
        </w:tc>
        <w:tc>
          <w:tcPr>
            <w:tcW w:w="825" w:type="dxa"/>
          </w:tcPr>
          <w:p w14:paraId="2ABDDF45" w14:textId="77777777" w:rsidR="00A458F8" w:rsidRPr="00640820" w:rsidRDefault="00A458F8" w:rsidP="00640820">
            <w:pPr>
              <w:spacing w:after="0" w:line="240" w:lineRule="auto"/>
              <w:jc w:val="both"/>
              <w:rPr>
                <w:color w:val="000000" w:themeColor="text1"/>
                <w:sz w:val="16"/>
                <w:szCs w:val="16"/>
                <w:lang w:eastAsia="ru-RU"/>
              </w:rPr>
            </w:pPr>
            <w:r w:rsidRPr="00640820">
              <w:rPr>
                <w:color w:val="000000" w:themeColor="text1"/>
                <w:sz w:val="16"/>
                <w:szCs w:val="16"/>
                <w:lang w:eastAsia="ru-RU"/>
              </w:rPr>
              <w:t>24</w:t>
            </w:r>
          </w:p>
        </w:tc>
        <w:tc>
          <w:tcPr>
            <w:tcW w:w="825" w:type="dxa"/>
          </w:tcPr>
          <w:p w14:paraId="512B2718" w14:textId="77777777" w:rsidR="00A458F8" w:rsidRPr="00640820" w:rsidRDefault="00A458F8" w:rsidP="00640820">
            <w:pPr>
              <w:spacing w:after="0" w:line="240" w:lineRule="auto"/>
              <w:jc w:val="both"/>
              <w:rPr>
                <w:color w:val="000000" w:themeColor="text1"/>
                <w:sz w:val="16"/>
                <w:szCs w:val="16"/>
                <w:lang w:eastAsia="ru-RU"/>
              </w:rPr>
            </w:pPr>
            <w:r w:rsidRPr="00640820">
              <w:rPr>
                <w:color w:val="000000" w:themeColor="text1"/>
                <w:sz w:val="16"/>
                <w:szCs w:val="16"/>
                <w:lang w:eastAsia="ru-RU"/>
              </w:rPr>
              <w:t>25</w:t>
            </w:r>
          </w:p>
        </w:tc>
        <w:tc>
          <w:tcPr>
            <w:tcW w:w="825" w:type="dxa"/>
          </w:tcPr>
          <w:p w14:paraId="7F879310" w14:textId="77777777" w:rsidR="00A458F8" w:rsidRPr="00640820" w:rsidRDefault="00A458F8" w:rsidP="00640820">
            <w:pPr>
              <w:spacing w:after="0" w:line="240" w:lineRule="auto"/>
              <w:jc w:val="both"/>
              <w:rPr>
                <w:color w:val="000000" w:themeColor="text1"/>
                <w:sz w:val="16"/>
                <w:szCs w:val="16"/>
                <w:lang w:eastAsia="ru-RU"/>
              </w:rPr>
            </w:pPr>
            <w:r w:rsidRPr="00640820">
              <w:rPr>
                <w:color w:val="000000" w:themeColor="text1"/>
                <w:sz w:val="16"/>
                <w:szCs w:val="16"/>
                <w:lang w:eastAsia="ru-RU"/>
              </w:rPr>
              <w:t>25</w:t>
            </w:r>
          </w:p>
        </w:tc>
        <w:tc>
          <w:tcPr>
            <w:tcW w:w="825" w:type="dxa"/>
          </w:tcPr>
          <w:p w14:paraId="0F21DABB" w14:textId="77777777" w:rsidR="00A458F8" w:rsidRPr="00640820" w:rsidRDefault="00A458F8" w:rsidP="00640820">
            <w:pPr>
              <w:spacing w:after="0" w:line="240" w:lineRule="auto"/>
              <w:jc w:val="both"/>
              <w:rPr>
                <w:color w:val="000000" w:themeColor="text1"/>
                <w:sz w:val="16"/>
                <w:szCs w:val="16"/>
                <w:lang w:eastAsia="ru-RU"/>
              </w:rPr>
            </w:pPr>
            <w:r w:rsidRPr="00640820">
              <w:rPr>
                <w:color w:val="000000" w:themeColor="text1"/>
                <w:sz w:val="16"/>
                <w:szCs w:val="16"/>
                <w:lang w:eastAsia="ru-RU"/>
              </w:rPr>
              <w:t>27</w:t>
            </w:r>
          </w:p>
        </w:tc>
        <w:tc>
          <w:tcPr>
            <w:tcW w:w="825" w:type="dxa"/>
          </w:tcPr>
          <w:p w14:paraId="20D0EC9C" w14:textId="77777777" w:rsidR="00A458F8" w:rsidRPr="00640820" w:rsidRDefault="00A458F8" w:rsidP="00640820">
            <w:pPr>
              <w:spacing w:after="0" w:line="240" w:lineRule="auto"/>
              <w:jc w:val="both"/>
              <w:rPr>
                <w:color w:val="000000" w:themeColor="text1"/>
                <w:sz w:val="16"/>
                <w:szCs w:val="16"/>
                <w:lang w:eastAsia="ru-RU"/>
              </w:rPr>
            </w:pPr>
            <w:r w:rsidRPr="00640820">
              <w:rPr>
                <w:color w:val="000000" w:themeColor="text1"/>
                <w:sz w:val="16"/>
                <w:szCs w:val="16"/>
                <w:lang w:eastAsia="ru-RU"/>
              </w:rPr>
              <w:t>28</w:t>
            </w:r>
          </w:p>
        </w:tc>
        <w:tc>
          <w:tcPr>
            <w:tcW w:w="826" w:type="dxa"/>
          </w:tcPr>
          <w:p w14:paraId="0A11EAC0" w14:textId="77777777" w:rsidR="00A458F8" w:rsidRPr="00640820" w:rsidRDefault="00A458F8" w:rsidP="00640820">
            <w:pPr>
              <w:spacing w:after="0" w:line="240" w:lineRule="auto"/>
              <w:jc w:val="both"/>
              <w:rPr>
                <w:color w:val="000000" w:themeColor="text1"/>
                <w:sz w:val="16"/>
                <w:szCs w:val="16"/>
                <w:lang w:eastAsia="ru-RU"/>
              </w:rPr>
            </w:pPr>
            <w:r w:rsidRPr="00640820">
              <w:rPr>
                <w:color w:val="000000" w:themeColor="text1"/>
                <w:sz w:val="16"/>
                <w:szCs w:val="16"/>
                <w:lang w:eastAsia="ru-RU"/>
              </w:rPr>
              <w:t>29</w:t>
            </w:r>
          </w:p>
        </w:tc>
        <w:tc>
          <w:tcPr>
            <w:tcW w:w="826" w:type="dxa"/>
          </w:tcPr>
          <w:p w14:paraId="6C678590" w14:textId="77777777" w:rsidR="00A458F8" w:rsidRPr="00640820" w:rsidRDefault="00A458F8" w:rsidP="00640820">
            <w:pPr>
              <w:spacing w:after="0" w:line="240" w:lineRule="auto"/>
              <w:jc w:val="both"/>
              <w:rPr>
                <w:color w:val="000000" w:themeColor="text1"/>
                <w:sz w:val="16"/>
                <w:szCs w:val="16"/>
                <w:lang w:eastAsia="ru-RU"/>
              </w:rPr>
            </w:pPr>
            <w:r w:rsidRPr="00640820">
              <w:rPr>
                <w:color w:val="000000" w:themeColor="text1"/>
                <w:sz w:val="16"/>
                <w:szCs w:val="16"/>
                <w:lang w:eastAsia="ru-RU"/>
              </w:rPr>
              <w:t>30</w:t>
            </w:r>
          </w:p>
        </w:tc>
        <w:tc>
          <w:tcPr>
            <w:tcW w:w="826" w:type="dxa"/>
          </w:tcPr>
          <w:p w14:paraId="5A7BDFE5" w14:textId="77777777" w:rsidR="00A458F8" w:rsidRPr="00640820" w:rsidRDefault="00A458F8" w:rsidP="00640820">
            <w:pPr>
              <w:spacing w:after="0" w:line="240" w:lineRule="auto"/>
              <w:jc w:val="both"/>
              <w:rPr>
                <w:color w:val="000000" w:themeColor="text1"/>
                <w:sz w:val="16"/>
                <w:szCs w:val="16"/>
                <w:lang w:eastAsia="ru-RU"/>
              </w:rPr>
            </w:pPr>
            <w:r w:rsidRPr="00640820">
              <w:rPr>
                <w:color w:val="000000" w:themeColor="text1"/>
                <w:sz w:val="16"/>
                <w:szCs w:val="16"/>
                <w:lang w:eastAsia="ru-RU"/>
              </w:rPr>
              <w:t>31</w:t>
            </w:r>
          </w:p>
        </w:tc>
        <w:tc>
          <w:tcPr>
            <w:tcW w:w="826" w:type="dxa"/>
          </w:tcPr>
          <w:p w14:paraId="5D493453" w14:textId="77777777" w:rsidR="00A458F8" w:rsidRPr="00640820" w:rsidRDefault="00A458F8" w:rsidP="00640820">
            <w:pPr>
              <w:spacing w:after="0" w:line="240" w:lineRule="auto"/>
              <w:jc w:val="both"/>
              <w:rPr>
                <w:color w:val="000000" w:themeColor="text1"/>
                <w:sz w:val="16"/>
                <w:szCs w:val="16"/>
                <w:lang w:eastAsia="ru-RU"/>
              </w:rPr>
            </w:pPr>
            <w:r w:rsidRPr="00640820">
              <w:rPr>
                <w:color w:val="000000" w:themeColor="text1"/>
                <w:sz w:val="16"/>
                <w:szCs w:val="16"/>
                <w:lang w:eastAsia="ru-RU"/>
              </w:rPr>
              <w:t>Всего</w:t>
            </w:r>
          </w:p>
        </w:tc>
      </w:tr>
      <w:tr w:rsidR="00643896" w:rsidRPr="00640820" w14:paraId="399916BA" w14:textId="77777777" w:rsidTr="002B4573">
        <w:tc>
          <w:tcPr>
            <w:tcW w:w="825" w:type="dxa"/>
          </w:tcPr>
          <w:p w14:paraId="4A5857F8" w14:textId="77777777" w:rsidR="00A458F8" w:rsidRPr="00640820" w:rsidRDefault="00A458F8" w:rsidP="00640820">
            <w:pPr>
              <w:spacing w:after="0" w:line="240" w:lineRule="auto"/>
              <w:jc w:val="both"/>
              <w:rPr>
                <w:color w:val="000000" w:themeColor="text1"/>
                <w:sz w:val="16"/>
                <w:szCs w:val="16"/>
                <w:lang w:eastAsia="ru-RU"/>
              </w:rPr>
            </w:pPr>
            <w:r w:rsidRPr="00640820">
              <w:rPr>
                <w:color w:val="000000" w:themeColor="text1"/>
                <w:sz w:val="16"/>
                <w:szCs w:val="16"/>
                <w:lang w:eastAsia="ru-RU"/>
              </w:rPr>
              <w:t>Кол-во моторов</w:t>
            </w:r>
          </w:p>
        </w:tc>
        <w:tc>
          <w:tcPr>
            <w:tcW w:w="825" w:type="dxa"/>
          </w:tcPr>
          <w:p w14:paraId="3A33B2CA" w14:textId="77777777" w:rsidR="00A458F8" w:rsidRPr="00640820" w:rsidRDefault="00A458F8" w:rsidP="00640820">
            <w:pPr>
              <w:spacing w:after="0" w:line="240" w:lineRule="auto"/>
              <w:jc w:val="both"/>
              <w:rPr>
                <w:color w:val="000000" w:themeColor="text1"/>
                <w:sz w:val="16"/>
                <w:szCs w:val="16"/>
                <w:lang w:eastAsia="ru-RU"/>
              </w:rPr>
            </w:pPr>
            <w:r w:rsidRPr="00640820">
              <w:rPr>
                <w:color w:val="000000" w:themeColor="text1"/>
                <w:sz w:val="16"/>
                <w:szCs w:val="16"/>
                <w:lang w:eastAsia="ru-RU"/>
              </w:rPr>
              <w:t>12</w:t>
            </w:r>
          </w:p>
        </w:tc>
        <w:tc>
          <w:tcPr>
            <w:tcW w:w="825" w:type="dxa"/>
          </w:tcPr>
          <w:p w14:paraId="6C5EC639" w14:textId="77777777" w:rsidR="00A458F8" w:rsidRPr="00640820" w:rsidRDefault="00A458F8" w:rsidP="00640820">
            <w:pPr>
              <w:spacing w:after="0" w:line="240" w:lineRule="auto"/>
              <w:jc w:val="both"/>
              <w:rPr>
                <w:color w:val="000000" w:themeColor="text1"/>
                <w:sz w:val="16"/>
                <w:szCs w:val="16"/>
                <w:lang w:eastAsia="ru-RU"/>
              </w:rPr>
            </w:pPr>
            <w:r w:rsidRPr="00640820">
              <w:rPr>
                <w:color w:val="000000" w:themeColor="text1"/>
                <w:sz w:val="16"/>
                <w:szCs w:val="16"/>
                <w:lang w:eastAsia="ru-RU"/>
              </w:rPr>
              <w:t>12</w:t>
            </w:r>
          </w:p>
        </w:tc>
        <w:tc>
          <w:tcPr>
            <w:tcW w:w="825" w:type="dxa"/>
          </w:tcPr>
          <w:p w14:paraId="0AE7668E" w14:textId="77777777" w:rsidR="00A458F8" w:rsidRPr="00640820" w:rsidRDefault="00A458F8" w:rsidP="00640820">
            <w:pPr>
              <w:spacing w:after="0" w:line="240" w:lineRule="auto"/>
              <w:jc w:val="both"/>
              <w:rPr>
                <w:color w:val="000000" w:themeColor="text1"/>
                <w:sz w:val="16"/>
                <w:szCs w:val="16"/>
                <w:lang w:eastAsia="ru-RU"/>
              </w:rPr>
            </w:pPr>
            <w:r w:rsidRPr="00640820">
              <w:rPr>
                <w:color w:val="000000" w:themeColor="text1"/>
                <w:sz w:val="16"/>
                <w:szCs w:val="16"/>
                <w:lang w:eastAsia="ru-RU"/>
              </w:rPr>
              <w:t>14</w:t>
            </w:r>
          </w:p>
        </w:tc>
        <w:tc>
          <w:tcPr>
            <w:tcW w:w="825" w:type="dxa"/>
          </w:tcPr>
          <w:p w14:paraId="6A561426" w14:textId="77777777" w:rsidR="00A458F8" w:rsidRPr="00640820" w:rsidRDefault="00A458F8" w:rsidP="00640820">
            <w:pPr>
              <w:spacing w:after="0" w:line="240" w:lineRule="auto"/>
              <w:jc w:val="both"/>
              <w:rPr>
                <w:color w:val="000000" w:themeColor="text1"/>
                <w:sz w:val="16"/>
                <w:szCs w:val="16"/>
                <w:lang w:eastAsia="ru-RU"/>
              </w:rPr>
            </w:pPr>
            <w:r w:rsidRPr="00640820">
              <w:rPr>
                <w:color w:val="000000" w:themeColor="text1"/>
                <w:sz w:val="16"/>
                <w:szCs w:val="16"/>
                <w:lang w:eastAsia="ru-RU"/>
              </w:rPr>
              <w:t>14</w:t>
            </w:r>
          </w:p>
        </w:tc>
        <w:tc>
          <w:tcPr>
            <w:tcW w:w="825" w:type="dxa"/>
          </w:tcPr>
          <w:p w14:paraId="034FE959" w14:textId="77777777" w:rsidR="00A458F8" w:rsidRPr="00640820" w:rsidRDefault="00A458F8" w:rsidP="00640820">
            <w:pPr>
              <w:spacing w:after="0" w:line="240" w:lineRule="auto"/>
              <w:jc w:val="both"/>
              <w:rPr>
                <w:color w:val="000000" w:themeColor="text1"/>
                <w:sz w:val="16"/>
                <w:szCs w:val="16"/>
                <w:lang w:eastAsia="ru-RU"/>
              </w:rPr>
            </w:pPr>
            <w:r w:rsidRPr="00640820">
              <w:rPr>
                <w:color w:val="000000" w:themeColor="text1"/>
                <w:sz w:val="16"/>
                <w:szCs w:val="16"/>
                <w:lang w:eastAsia="ru-RU"/>
              </w:rPr>
              <w:t>16</w:t>
            </w:r>
          </w:p>
        </w:tc>
        <w:tc>
          <w:tcPr>
            <w:tcW w:w="825" w:type="dxa"/>
          </w:tcPr>
          <w:p w14:paraId="2BB7B242" w14:textId="77777777" w:rsidR="00A458F8" w:rsidRPr="00640820" w:rsidRDefault="00A458F8" w:rsidP="00640820">
            <w:pPr>
              <w:spacing w:after="0" w:line="240" w:lineRule="auto"/>
              <w:jc w:val="both"/>
              <w:rPr>
                <w:color w:val="000000" w:themeColor="text1"/>
                <w:sz w:val="16"/>
                <w:szCs w:val="16"/>
                <w:lang w:eastAsia="ru-RU"/>
              </w:rPr>
            </w:pPr>
            <w:r w:rsidRPr="00640820">
              <w:rPr>
                <w:color w:val="000000" w:themeColor="text1"/>
                <w:sz w:val="16"/>
                <w:szCs w:val="16"/>
                <w:lang w:eastAsia="ru-RU"/>
              </w:rPr>
              <w:t>16</w:t>
            </w:r>
          </w:p>
        </w:tc>
        <w:tc>
          <w:tcPr>
            <w:tcW w:w="825" w:type="dxa"/>
          </w:tcPr>
          <w:p w14:paraId="413E46ED" w14:textId="77777777" w:rsidR="00A458F8" w:rsidRPr="00640820" w:rsidRDefault="00A458F8" w:rsidP="00640820">
            <w:pPr>
              <w:spacing w:after="0" w:line="240" w:lineRule="auto"/>
              <w:jc w:val="both"/>
              <w:rPr>
                <w:color w:val="000000" w:themeColor="text1"/>
                <w:sz w:val="16"/>
                <w:szCs w:val="16"/>
                <w:lang w:eastAsia="ru-RU"/>
              </w:rPr>
            </w:pPr>
            <w:r w:rsidRPr="00640820">
              <w:rPr>
                <w:color w:val="000000" w:themeColor="text1"/>
                <w:sz w:val="16"/>
                <w:szCs w:val="16"/>
                <w:lang w:eastAsia="ru-RU"/>
              </w:rPr>
              <w:t>18</w:t>
            </w:r>
          </w:p>
        </w:tc>
        <w:tc>
          <w:tcPr>
            <w:tcW w:w="825" w:type="dxa"/>
          </w:tcPr>
          <w:p w14:paraId="0D33BE61" w14:textId="77777777" w:rsidR="00A458F8" w:rsidRPr="00640820" w:rsidRDefault="00A458F8" w:rsidP="00640820">
            <w:pPr>
              <w:spacing w:after="0" w:line="240" w:lineRule="auto"/>
              <w:jc w:val="both"/>
              <w:rPr>
                <w:color w:val="000000" w:themeColor="text1"/>
                <w:sz w:val="16"/>
                <w:szCs w:val="16"/>
                <w:lang w:eastAsia="ru-RU"/>
              </w:rPr>
            </w:pPr>
            <w:r w:rsidRPr="00640820">
              <w:rPr>
                <w:color w:val="000000" w:themeColor="text1"/>
                <w:sz w:val="16"/>
                <w:szCs w:val="16"/>
                <w:lang w:eastAsia="ru-RU"/>
              </w:rPr>
              <w:t>18</w:t>
            </w:r>
          </w:p>
        </w:tc>
        <w:tc>
          <w:tcPr>
            <w:tcW w:w="825" w:type="dxa"/>
          </w:tcPr>
          <w:p w14:paraId="151B3F45" w14:textId="77777777" w:rsidR="00A458F8" w:rsidRPr="00640820" w:rsidRDefault="00A458F8" w:rsidP="00640820">
            <w:pPr>
              <w:spacing w:after="0" w:line="240" w:lineRule="auto"/>
              <w:jc w:val="both"/>
              <w:rPr>
                <w:color w:val="000000" w:themeColor="text1"/>
                <w:sz w:val="16"/>
                <w:szCs w:val="16"/>
                <w:lang w:eastAsia="ru-RU"/>
              </w:rPr>
            </w:pPr>
            <w:r w:rsidRPr="00640820">
              <w:rPr>
                <w:color w:val="000000" w:themeColor="text1"/>
                <w:sz w:val="16"/>
                <w:szCs w:val="16"/>
                <w:lang w:eastAsia="ru-RU"/>
              </w:rPr>
              <w:t>20</w:t>
            </w:r>
          </w:p>
        </w:tc>
        <w:tc>
          <w:tcPr>
            <w:tcW w:w="826" w:type="dxa"/>
          </w:tcPr>
          <w:p w14:paraId="5156FE1A" w14:textId="77777777" w:rsidR="00A458F8" w:rsidRPr="00640820" w:rsidRDefault="00A458F8" w:rsidP="00640820">
            <w:pPr>
              <w:spacing w:after="0" w:line="240" w:lineRule="auto"/>
              <w:jc w:val="both"/>
              <w:rPr>
                <w:color w:val="000000" w:themeColor="text1"/>
                <w:sz w:val="16"/>
                <w:szCs w:val="16"/>
                <w:lang w:eastAsia="ru-RU"/>
              </w:rPr>
            </w:pPr>
            <w:r w:rsidRPr="00640820">
              <w:rPr>
                <w:color w:val="000000" w:themeColor="text1"/>
                <w:sz w:val="16"/>
                <w:szCs w:val="16"/>
                <w:lang w:eastAsia="ru-RU"/>
              </w:rPr>
              <w:t>20</w:t>
            </w:r>
          </w:p>
        </w:tc>
        <w:tc>
          <w:tcPr>
            <w:tcW w:w="826" w:type="dxa"/>
          </w:tcPr>
          <w:p w14:paraId="115F0297" w14:textId="77777777" w:rsidR="00A458F8" w:rsidRPr="00640820" w:rsidRDefault="00A458F8" w:rsidP="00640820">
            <w:pPr>
              <w:spacing w:after="0" w:line="240" w:lineRule="auto"/>
              <w:jc w:val="both"/>
              <w:rPr>
                <w:color w:val="000000" w:themeColor="text1"/>
                <w:sz w:val="16"/>
                <w:szCs w:val="16"/>
                <w:lang w:eastAsia="ru-RU"/>
              </w:rPr>
            </w:pPr>
            <w:r w:rsidRPr="00640820">
              <w:rPr>
                <w:color w:val="000000" w:themeColor="text1"/>
                <w:sz w:val="16"/>
                <w:szCs w:val="16"/>
                <w:lang w:eastAsia="ru-RU"/>
              </w:rPr>
              <w:t>20</w:t>
            </w:r>
          </w:p>
        </w:tc>
        <w:tc>
          <w:tcPr>
            <w:tcW w:w="826" w:type="dxa"/>
          </w:tcPr>
          <w:p w14:paraId="04F317DA" w14:textId="77777777" w:rsidR="00A458F8" w:rsidRPr="00640820" w:rsidRDefault="00A458F8" w:rsidP="00640820">
            <w:pPr>
              <w:spacing w:after="0" w:line="240" w:lineRule="auto"/>
              <w:jc w:val="both"/>
              <w:rPr>
                <w:color w:val="000000" w:themeColor="text1"/>
                <w:sz w:val="16"/>
                <w:szCs w:val="16"/>
                <w:lang w:eastAsia="ru-RU"/>
              </w:rPr>
            </w:pPr>
            <w:r w:rsidRPr="00640820">
              <w:rPr>
                <w:color w:val="000000" w:themeColor="text1"/>
                <w:sz w:val="16"/>
                <w:szCs w:val="16"/>
                <w:lang w:eastAsia="ru-RU"/>
              </w:rPr>
              <w:t>20</w:t>
            </w:r>
          </w:p>
        </w:tc>
        <w:tc>
          <w:tcPr>
            <w:tcW w:w="826" w:type="dxa"/>
          </w:tcPr>
          <w:p w14:paraId="7CE6B41F" w14:textId="77777777" w:rsidR="00A458F8" w:rsidRPr="00640820" w:rsidRDefault="00A458F8" w:rsidP="00640820">
            <w:pPr>
              <w:spacing w:after="0" w:line="240" w:lineRule="auto"/>
              <w:jc w:val="both"/>
              <w:rPr>
                <w:color w:val="000000" w:themeColor="text1"/>
                <w:sz w:val="16"/>
                <w:szCs w:val="16"/>
                <w:lang w:eastAsia="ru-RU"/>
              </w:rPr>
            </w:pPr>
            <w:r w:rsidRPr="00640820">
              <w:rPr>
                <w:color w:val="000000" w:themeColor="text1"/>
                <w:sz w:val="16"/>
                <w:szCs w:val="16"/>
                <w:lang w:eastAsia="ru-RU"/>
              </w:rPr>
              <w:t>200</w:t>
            </w:r>
          </w:p>
        </w:tc>
      </w:tr>
    </w:tbl>
    <w:p w14:paraId="4109B503"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5) Разрешить все проектные и монтажные работы производить с аккордной оплатой. </w:t>
      </w:r>
    </w:p>
    <w:p w14:paraId="2C720CF5"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6) Директору завода тов. ШОР М.И. докладывать мне лично по телефону раз в пятидневку о ходе выполнения настоящего приказа. </w:t>
      </w:r>
    </w:p>
    <w:p w14:paraId="2E67D6D1"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НАРОДНЫЙ КОМИССАР ТАНКОВОЙ ПРОМЫШЛЕННОСТИ СОЮЗА ССР</w:t>
      </w:r>
    </w:p>
    <w:p w14:paraId="60A8D229"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подпись (В. МАЛЫШЕВ)</w:t>
      </w:r>
    </w:p>
    <w:p w14:paraId="47935E9D"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отп. 2 экз. </w:t>
      </w:r>
    </w:p>
    <w:p w14:paraId="7BA18034"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23.IX-41 г. </w:t>
      </w:r>
    </w:p>
    <w:p w14:paraId="7DC03C8E"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мс. 4204 </w:t>
      </w:r>
    </w:p>
    <w:p w14:paraId="52E0028E"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+ 13 экз. отп. 1.X. мч. № 173 </w:t>
      </w:r>
    </w:p>
    <w:p w14:paraId="76CEDBDF"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bCs/>
          <w:iCs/>
          <w:color w:val="000000" w:themeColor="text1"/>
          <w:sz w:val="16"/>
          <w:szCs w:val="16"/>
          <w:lang w:eastAsia="ru-RU"/>
        </w:rPr>
        <w:t>РГАЭ Фонд 8752 Опись 4 Дело 2 лист 78 – 81</w:t>
      </w:r>
      <w:r w:rsidRPr="00640820">
        <w:rPr>
          <w:rFonts w:ascii="Times New Roman" w:eastAsia="Times New Roman" w:hAnsi="Times New Roman"/>
          <w:color w:val="000000" w:themeColor="text1"/>
          <w:sz w:val="16"/>
          <w:szCs w:val="16"/>
          <w:lang w:eastAsia="ru-RU"/>
        </w:rPr>
        <w:t xml:space="preserve"> (17628).</w:t>
      </w:r>
    </w:p>
    <w:p w14:paraId="78D5F57E"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Приложение № 1 </w:t>
      </w:r>
    </w:p>
    <w:p w14:paraId="4337C9CD"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Секретно </w:t>
      </w:r>
    </w:p>
    <w:p w14:paraId="4E458E05"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УТВЕРЖДАЮ: </w:t>
      </w:r>
    </w:p>
    <w:p w14:paraId="5D6639C5"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Пред. Совнаркома (Малышев) </w:t>
      </w:r>
    </w:p>
    <w:p w14:paraId="35C3203F"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«___» _____ 1941 г. </w:t>
      </w:r>
    </w:p>
    <w:p w14:paraId="19B8D706"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ВЕДОМОСТЬ</w:t>
      </w:r>
    </w:p>
    <w:p w14:paraId="631DB541"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РАЗМЕЩЕНИЯ ЗАВОДА № 75 НА ПЛОЩАДЯХ Ч.Т.З. </w:t>
      </w:r>
    </w:p>
    <w:p w14:paraId="05BF61AC"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ГЛАВНЫЙ ИНЖЕНЕР ЧТЗ подпись 22/IX-41 (Махонин) </w:t>
      </w:r>
    </w:p>
    <w:p w14:paraId="1A12BBE8"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ПРЕДСТАВИТЕЛЬ З-да № 75 ГЛАВНЫЙ ИНЖЕНЕР ОКСа подпись 22/IX (Авенбург) </w:t>
      </w:r>
    </w:p>
    <w:p w14:paraId="5BBF8481"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НАЧАЛЬНИК ПРОЕКТНО-ТЕХНОЛОГИЧЕСКОГО ОТДЕЛА ЧТЗ (Дубрович)</w:t>
      </w:r>
    </w:p>
    <w:p w14:paraId="5D4B1ECE"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отп. 2 экз. </w:t>
      </w:r>
    </w:p>
    <w:p w14:paraId="25E9ABCA"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23.IX-41 г. </w:t>
      </w:r>
    </w:p>
    <w:p w14:paraId="10702DE4"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мс. 4204 </w:t>
      </w:r>
    </w:p>
    <w:p w14:paraId="3A9D3E93"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+ 13 экз. отп. 1.X. мч. № 173 </w:t>
      </w:r>
    </w:p>
    <w:p w14:paraId="3D765077"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bCs/>
          <w:iCs/>
          <w:color w:val="000000" w:themeColor="text1"/>
          <w:sz w:val="16"/>
          <w:szCs w:val="16"/>
          <w:lang w:eastAsia="ru-RU"/>
        </w:rPr>
        <w:t>РГАЭ Фонд 8752 Опись 4 Дело 2 лист 76 – 77</w:t>
      </w:r>
      <w:r w:rsidRPr="00640820">
        <w:rPr>
          <w:rFonts w:ascii="Times New Roman" w:eastAsia="Times New Roman" w:hAnsi="Times New Roman"/>
          <w:color w:val="000000" w:themeColor="text1"/>
          <w:sz w:val="16"/>
          <w:szCs w:val="16"/>
          <w:lang w:eastAsia="ru-RU"/>
        </w:rPr>
        <w:t xml:space="preserve"> (17628).</w:t>
      </w:r>
    </w:p>
    <w:p w14:paraId="7EF9AE82"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23.IX-41 г. </w:t>
      </w:r>
    </w:p>
    <w:p w14:paraId="4BA8A3CB"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мс. 4204 </w:t>
      </w:r>
    </w:p>
    <w:p w14:paraId="1FA0723F"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+ 13 экз. отп. 1.X. мч. № 173 </w:t>
      </w:r>
    </w:p>
    <w:p w14:paraId="694BAA02"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bCs/>
          <w:iCs/>
          <w:color w:val="000000" w:themeColor="text1"/>
          <w:sz w:val="16"/>
          <w:szCs w:val="16"/>
          <w:lang w:eastAsia="ru-RU"/>
        </w:rPr>
        <w:t>РГАЭ Фонд 8752 Опись 4 Дело 2 лист 76 – 77</w:t>
      </w:r>
      <w:r w:rsidRPr="00640820">
        <w:rPr>
          <w:rFonts w:ascii="Times New Roman" w:eastAsia="Times New Roman" w:hAnsi="Times New Roman"/>
          <w:color w:val="000000" w:themeColor="text1"/>
          <w:sz w:val="16"/>
          <w:szCs w:val="16"/>
          <w:lang w:eastAsia="ru-RU"/>
        </w:rPr>
        <w:t xml:space="preserve"> (17628).</w:t>
      </w:r>
    </w:p>
    <w:p w14:paraId="16C607BD"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отп. 2 экз. </w:t>
      </w:r>
    </w:p>
    <w:p w14:paraId="46239E8C"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+ 13 экз. отп. 1.X. мч. № 173</w:t>
      </w:r>
    </w:p>
    <w:p w14:paraId="5F86463C"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bCs/>
          <w:iCs/>
          <w:color w:val="000000" w:themeColor="text1"/>
          <w:sz w:val="16"/>
          <w:szCs w:val="16"/>
          <w:lang w:eastAsia="ru-RU"/>
        </w:rPr>
        <w:t>РГАЭ Фонд 8752 Опись 4 Дело 2 лист 75</w:t>
      </w:r>
      <w:r w:rsidRPr="00640820">
        <w:rPr>
          <w:rFonts w:ascii="Times New Roman" w:eastAsia="Times New Roman" w:hAnsi="Times New Roman"/>
          <w:color w:val="000000" w:themeColor="text1"/>
          <w:sz w:val="16"/>
          <w:szCs w:val="16"/>
          <w:lang w:eastAsia="ru-RU"/>
        </w:rPr>
        <w:t xml:space="preserve"> (17628).</w:t>
      </w:r>
    </w:p>
    <w:p w14:paraId="3D4162C9"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p>
    <w:p w14:paraId="779C57EB" w14:textId="77777777" w:rsidR="00843B64" w:rsidRPr="00640820" w:rsidRDefault="00843B6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23 сентября 1941 г.</w:t>
      </w:r>
    </w:p>
    <w:p w14:paraId="43E5D45F" w14:textId="77777777" w:rsidR="00843B64" w:rsidRPr="00640820" w:rsidRDefault="00843B6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xml:space="preserve">ИЗ ПОСТАНОВЛЕНИЯ БЮРО КОСТРОМСКОГО ГОРКОМА ВКП(б) </w:t>
      </w:r>
    </w:p>
    <w:p w14:paraId="6311200B" w14:textId="77777777" w:rsidR="00843B64" w:rsidRPr="00640820" w:rsidRDefault="00843B6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ОБ ОРГАНИЗАЦИИ ПРОИЗВОДСТВА АЭРОСАНЕЙ ДЛЯ ФРОНТА</w:t>
      </w:r>
    </w:p>
    <w:p w14:paraId="2307368A" w14:textId="77777777" w:rsidR="00843B64" w:rsidRPr="00640820" w:rsidRDefault="00843B6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23 сентября 1941 г.</w:t>
      </w:r>
    </w:p>
    <w:p w14:paraId="66C41F3A" w14:textId="77777777" w:rsidR="00843B64" w:rsidRPr="00640820" w:rsidRDefault="00843B6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На основании постановления Государственного Комитета Обороны, Народным Комиссариатом лесной промышленности СССР установлена программа по изготовлению аэросаней на Судомеханическом заводе в г. Костроме.</w:t>
      </w:r>
    </w:p>
    <w:p w14:paraId="0CEEDEC6" w14:textId="77777777" w:rsidR="00843B64" w:rsidRPr="00640820" w:rsidRDefault="00843B6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целях обеспечения выполнения производственного задания по изготовлению аэросаней для нужд фронта на Костромском Судомеханическом заводе, бюро горкома ВКП(б) ПОСТАНОВЛЯЕТ:</w:t>
      </w:r>
    </w:p>
    <w:p w14:paraId="42E4F838" w14:textId="77777777" w:rsidR="00843B64" w:rsidRPr="00640820" w:rsidRDefault="00843B6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 Считать необходимым расширение производственной площади Судомеханического завода с последующим ее использованием для изготовления деревянных кузовов аэросаней.</w:t>
      </w:r>
    </w:p>
    <w:p w14:paraId="65134F36" w14:textId="77777777" w:rsidR="00843B64" w:rsidRPr="00640820" w:rsidRDefault="00843B6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 Обязать Костромкоопстрой произвести строительные работы на Судомеханическом заводе: постройку тепляка (необходимого для покраски катеров и аэросаней), расширение каркасного цеха, закончив их к 10 октября 1941 г. и строительство сушилки  15 октября с. г.</w:t>
      </w:r>
    </w:p>
    <w:p w14:paraId="30D2C6C6" w14:textId="77777777" w:rsidR="00843B64" w:rsidRPr="00640820" w:rsidRDefault="00843B6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3. Впредь до окончания строительства сушилки на Судомеханическом заводе, предложить директору лесозавода «Смычка» тов. Щедрову просушку пиломатериала, необходимого для аэросаней, производить на заводе «Смычка»...</w:t>
      </w:r>
    </w:p>
    <w:p w14:paraId="212072F2" w14:textId="77777777" w:rsidR="00843B64" w:rsidRPr="00640820" w:rsidRDefault="00843B6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Секретарь Костромского горкома ВКП(б) Чесноков.</w:t>
      </w:r>
    </w:p>
    <w:p w14:paraId="74E67FA8" w14:textId="77777777" w:rsidR="00843B64" w:rsidRPr="00640820" w:rsidRDefault="00843B6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ПАКО, ф. 2, on. 1, д. 1142, л. 88. Подлинник (21089).</w:t>
      </w:r>
    </w:p>
    <w:p w14:paraId="49BC56C1" w14:textId="77777777" w:rsidR="00843B64" w:rsidRPr="00640820" w:rsidRDefault="00843B64" w:rsidP="00640820">
      <w:pPr>
        <w:spacing w:after="0" w:line="240" w:lineRule="auto"/>
        <w:jc w:val="both"/>
        <w:rPr>
          <w:rFonts w:ascii="Times New Roman" w:hAnsi="Times New Roman"/>
          <w:color w:val="0070C0"/>
          <w:sz w:val="16"/>
          <w:szCs w:val="16"/>
        </w:rPr>
      </w:pPr>
    </w:p>
    <w:p w14:paraId="5868B826" w14:textId="77777777" w:rsidR="00843B64" w:rsidRPr="00640820" w:rsidRDefault="00843B64" w:rsidP="00640820">
      <w:pPr>
        <w:pStyle w:val="229"/>
        <w:shd w:val="clear" w:color="auto" w:fill="auto"/>
        <w:spacing w:line="240" w:lineRule="auto"/>
        <w:jc w:val="both"/>
        <w:rPr>
          <w:rFonts w:ascii="Times New Roman" w:hAnsi="Times New Roman" w:cs="Times New Roman"/>
          <w:color w:val="0070C0"/>
          <w:sz w:val="16"/>
          <w:szCs w:val="16"/>
        </w:rPr>
      </w:pPr>
      <w:r w:rsidRPr="00640820">
        <w:rPr>
          <w:rFonts w:ascii="Times New Roman" w:hAnsi="Times New Roman" w:cs="Times New Roman"/>
          <w:color w:val="0070C0"/>
          <w:sz w:val="16"/>
          <w:szCs w:val="16"/>
          <w:lang w:val="ru-RU"/>
        </w:rPr>
        <w:t>В</w:t>
      </w:r>
      <w:r w:rsidRPr="00640820">
        <w:rPr>
          <w:rFonts w:ascii="Times New Roman" w:hAnsi="Times New Roman" w:cs="Times New Roman"/>
          <w:color w:val="0070C0"/>
          <w:sz w:val="16"/>
          <w:szCs w:val="16"/>
        </w:rPr>
        <w:t xml:space="preserve"> период с 23 сентября по 21 октября </w:t>
      </w:r>
      <w:r w:rsidRPr="00640820">
        <w:rPr>
          <w:rFonts w:ascii="Times New Roman" w:hAnsi="Times New Roman" w:cs="Times New Roman"/>
          <w:color w:val="0070C0"/>
          <w:sz w:val="16"/>
          <w:szCs w:val="16"/>
          <w:lang w:val="ru-RU"/>
        </w:rPr>
        <w:t>1941, с</w:t>
      </w:r>
      <w:r w:rsidRPr="00640820">
        <w:rPr>
          <w:rFonts w:ascii="Times New Roman" w:hAnsi="Times New Roman" w:cs="Times New Roman"/>
          <w:color w:val="0070C0"/>
          <w:sz w:val="16"/>
          <w:szCs w:val="16"/>
        </w:rPr>
        <w:t>огласно плану эвакуации предприятий из Харькова и Харьковской области, утвержденному Постановлением ГКО СССР № 681 от 16 сентября 1941  г.,</w:t>
      </w:r>
      <w:r w:rsidRPr="00640820">
        <w:rPr>
          <w:rFonts w:ascii="Times New Roman" w:hAnsi="Times New Roman" w:cs="Times New Roman"/>
          <w:color w:val="0070C0"/>
          <w:sz w:val="16"/>
          <w:szCs w:val="16"/>
          <w:lang w:val="ru-RU"/>
        </w:rPr>
        <w:t xml:space="preserve"> </w:t>
      </w:r>
      <w:r w:rsidRPr="00640820">
        <w:rPr>
          <w:rFonts w:ascii="Times New Roman" w:hAnsi="Times New Roman" w:cs="Times New Roman"/>
          <w:color w:val="0070C0"/>
          <w:sz w:val="16"/>
          <w:szCs w:val="16"/>
        </w:rPr>
        <w:t>из Изюма было отправлено семь эшелонов с имуществом и персоналом ИЗОС. Значительную часть работ по демонтажу и погрузке оборудования пришлось проводить, когда подразделения РККА уже оставили город, а немецкие еще не вступили. Производство оптического стекла было эвакуировано в поселок Николо-Пестровка Пензенской области на завод «Красный Гигант», а оптико-механическое производство — в Томск. Пятого ноября оборудование прибыло в Томск и было размещено, заводоуправление располагалось по ул. Набережная р. Ушайки, 20, производство  — пр. Ленина, 5</w:t>
      </w:r>
      <w:r w:rsidRPr="00640820">
        <w:rPr>
          <w:rFonts w:ascii="Times New Roman" w:hAnsi="Times New Roman" w:cs="Times New Roman"/>
          <w:color w:val="0070C0"/>
          <w:sz w:val="16"/>
          <w:szCs w:val="16"/>
          <w:lang w:val="ru-RU"/>
        </w:rPr>
        <w:t xml:space="preserve"> (22791)</w:t>
      </w:r>
      <w:r w:rsidRPr="00640820">
        <w:rPr>
          <w:rFonts w:ascii="Times New Roman" w:hAnsi="Times New Roman" w:cs="Times New Roman"/>
          <w:color w:val="0070C0"/>
          <w:sz w:val="16"/>
          <w:szCs w:val="16"/>
        </w:rPr>
        <w:t>.</w:t>
      </w:r>
    </w:p>
    <w:p w14:paraId="446D715B" w14:textId="77777777" w:rsidR="00843B64" w:rsidRPr="00640820" w:rsidRDefault="00843B64" w:rsidP="00640820">
      <w:pPr>
        <w:pStyle w:val="229"/>
        <w:shd w:val="clear" w:color="auto" w:fill="auto"/>
        <w:spacing w:line="240" w:lineRule="auto"/>
        <w:jc w:val="both"/>
        <w:rPr>
          <w:rFonts w:ascii="Times New Roman" w:hAnsi="Times New Roman" w:cs="Times New Roman"/>
          <w:color w:val="0070C0"/>
          <w:sz w:val="16"/>
          <w:szCs w:val="16"/>
        </w:rPr>
      </w:pPr>
    </w:p>
    <w:p w14:paraId="10777D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сентября 1941 на радиотелефонном заводе № 197 им. Ленина прошло совещание по маскировке. На нем было констатировано, что «работы затягиваются». Через месяц 20 октября начальник штаба МПВО завода писал управляющему облпроекта товарищу Скобло:  «Категорически настаиваем на срочном окончании и утверждении проекта маскировки завода им. Ленина. Проект может быть нам передан отдельными частями, чтобы иметь возможность немедленно приступить к работе по основным объектам». Наконец 1 ноября проект после долгих мытарств был утвержден. Согласно ему предполагалось придать заводу вид жилого поселка на окраине Горького. В остальном завод вроде бы подготовился к бомбежкам. Были укомплектованы 22 группы самозащиты, шесть объектовых команд, запасены 400 кв. м песка, 607 бочек с водой, 227 лопат и другое имущество (11774).</w:t>
      </w:r>
    </w:p>
    <w:p w14:paraId="531978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329CE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сентября 1941 при бомбежке в Кронштадте повреждены: линкор "Марат", ПЛ М-74, крейсер "Киров", буксир и транспорт. На Адмиралтейском заводе в течение суток устранили боевые повреждения на СКР "Зоркий" (10671).</w:t>
      </w:r>
    </w:p>
    <w:p w14:paraId="45EA00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D1ACB83"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47FE413F"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019F3DE"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23 сентября </w:t>
      </w:r>
      <w:r w:rsidRPr="00640820">
        <w:rPr>
          <w:rFonts w:ascii="Times New Roman" w:hAnsi="Times New Roman"/>
          <w:color w:val="000000" w:themeColor="text1"/>
          <w:sz w:val="16"/>
          <w:szCs w:val="16"/>
        </w:rPr>
        <w:t>в 1941 году утреннее сообщение Совинформбюро:</w:t>
      </w:r>
    </w:p>
    <w:p w14:paraId="7EAD474A"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23 сентября наши войска вели бои с противником на всём фронте.</w:t>
      </w:r>
    </w:p>
    <w:p w14:paraId="5894D233"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боях с одной из наших частей на Западном направлении фронта немцы потеряли свыше 300 солдат и офицеров убитыми и около 1.000 ранеными. Нами захвачены 6 немецких танков, 8 орудий, 24 станковых пулемёта, два миномёта и другое вооружение. Взаимодействующая с нашей пехотой авиация уничтожила до двух рот противника и 25 автомашин с боеприпасами.</w:t>
      </w:r>
    </w:p>
    <w:p w14:paraId="6050E0CB"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На другом участке Западного направления фронта одна наша часть за 20 и 21 сентября уничтожила свыше 250 немецких солдат и офицеров, 2 танка, 8 автомашин, 2 самолёта и склад боеприпасов. Нами захвачено у противника 9 танков, 5 бронемашин, 8 орудий, 21 станковый пулемёт, 12 автоматов, 6 тяжёлых пулемётов, 6 миномётов, 25 ящиков мин и несколько тысяч патронов.</w:t>
      </w:r>
    </w:p>
    <w:p w14:paraId="19CCA5AA"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Отряд самолётов Черноморского флота 20 и 21 сентября сбил 9 вражеских самолётов, уничтожил 10 орудий и 34 автомашины.</w:t>
      </w:r>
    </w:p>
    <w:p w14:paraId="5AFC1D09"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Группа наших самолётов, действующая на Западном направлении фронта, атаковала скопления вражеских войск. В результате атаки уничтожено свыше 30 автомашин с пехотой и 30 цистерн с горючим. Другая группа наших самолётов бомбами и пулемётным огнём уничтожила до батальона немецкой пехоты, мотострелковую роту, 65 автомашин с боеприпасами и железнодорожный состав.</w:t>
      </w:r>
    </w:p>
    <w:p w14:paraId="14F2B78A"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ряде освобождённых от немцев населенных пунктов западнее Брянска обнаружены трупы колхозников и красноармейцев, зверски замученных фашистами.</w:t>
      </w:r>
    </w:p>
    <w:p w14:paraId="3E77F7BC"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Недалеко от деревни Лавутино красноармейцы обнаружили в доме лесника шесть трупов крестьян, заколотых немецкими солдатами. У всех шестерых крестьян фашисты выкололи глаза. Головы нескольких других замученных крестьян фашисты опалили огнём. Накануне отхода из Лавутино немцы привязали к двум танкам раненого красноармейца и разорвали его на части. На лесной опушке недалеко от колхоза «Красный Октябрь» найдены 11 обгоревших трупов бойцов и командиров Красной Армии, замученных фашистами. На руках и на спине одного красноармейца остались следы пыток раскалённым железом.</w:t>
      </w:r>
    </w:p>
    <w:p w14:paraId="1B67AF88"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просёлочной дороге у деревни Барковичи немецкие солдаты повесили четырёх раненых красноармейцев. Колхозник Игнатов, случайный свидетель этого злодеяния, на выдержал и бросился на палачей. Немцы схватили Игнатова и подвергли его зверским истязаниям. Фашисты выкололи колхознику правый глаз, лили в нос кипяток, вырывали волосы, топтали сапогами. Когда Игнатов потерял сознание, немцы решили, что он мёртв, и оставили его под виселицей. Ночью Игнатов очнулся, с трудом отполз в лес и утром был подобран нашими разведчиками.</w:t>
      </w:r>
    </w:p>
    <w:p w14:paraId="73C5ABC7"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Письма немецких солдат семьям и знакомым заполнены циничными сообщениями о «добыче», захваченной в оккупированных городах и сёлах. Ефрейтор Иозеф Ремер в письме жене Гефиге в Вальреде (Вестфалия) пишет: «Я нашёл в городе, где мы сейчас находимся, несколько вещей: рулон полотна приблизительно в 15 метров, новое манто, пару ботинок и коричневые полуботинки. Я думаю, что они подойдут Герберту». Солдат Трост сообщает своей жене Елизабете в Люнен у Дортмунда (улица Хорста Весселя, 18): «Дорогая жена! У меня уже есть материал на 4 платья. Постараюсь достать ещё. Здесь вообще трудно что-нибудь достать, но я теперь стал хитрее, чем когда был во Франции. Если ты получила кольцо, напиши мне об этом». Старший ефрейтор Нислони в письме своей жене в Кенигсберг пишет: «...Я здесь достал немного льняного полотна; может, удастся отправить домой. Есть также пара ботинок и трикотажная кофточка, но нет ещё возможности отослать».</w:t>
      </w:r>
    </w:p>
    <w:p w14:paraId="015BD40D"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Солдату Хорсту пишет его жена из Гольдау. «У нас ничего нельзя достать. Не можешь ли ты в той местности, где находишься, достать чулок, шёлковых тканей, рубашек, белья или какой-нибудь хорошей материи? Если достанешь — пошли». В письме унтер-офицеру Гансу Келлеру от жены из Вупперталя говорится: «Зиссель сказал мне, что Ганс Венк прислал своей жене меховое пальто. Не мог ли бы и ты прислать мне меховое пальто?». Солдату Асмусену пишет его знакомая: «Встречаются ли там ещё хорошие вещи? Я бы обрадовалась, если бы вы достали мне один кусок приличного туалетного мыла. Хорошо также получить полтора — два метра белого шелка».</w:t>
      </w:r>
    </w:p>
    <w:p w14:paraId="3AE2B9C9"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Греческие патриоты активно борются с фашистскими оккупантами. За десять дней сентября на железных дорогах Греции про изошло пять крушений немецких и итальянских воинских поездов. В результате крушения одного воинского эшелона убито 97 немецких солдат. В порту Порто-Лаго затонул итальянский пароход с грузом шерсти для Германии. Недалеко от Пашмаклы партизаны разбили отряд итальянских жандармов, реквизировавших у крестьян продовольствие. Во время перестрелки 2 жандарма убиты и 5 ранены.</w:t>
      </w:r>
    </w:p>
    <w:p w14:paraId="26FE1D4D"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дни Великой Отечественной войны в стране всё более возрастает производительность стахановского труда. Мастер Ленинаканского завода имени Л. П. Берия тов. Петросян выполнил ответственный заказ за 4 дня вместо 14 по графику. Забойщик Ленинских медных рудников Кафанского комбината Арам Хочатрян за 2 месяца закончил семимесячную программу. Полуторагодовую программу выполнил в 1941 году врубовый машинист Подмосковного бассейна тов. Чернецкий. В августе он подрубил 15.200 тонн угля. Молодой слесарь Ростовской табачной фабрики тов. Овсянников обслуживает 76 машин вместо 38. Коллектив одного из Калининских заводов освоил выпуск новой машины за три недели. В довоенное время на это потребовалось бы несколько месяцев. Рабочие участка тов. Левицкого, инженера Севастопольского завода имени Серго Орджоникидзе, выполнили за 10 дней заказ, рассчитанный на три месяца. На одном из заводов Сталинской области цех, где начальником инженер тов. Шестаков, построил недавно агрегат в 27 дней. В прошлом году такой агрегат строили в течение 9 месяцев.» (14778).</w:t>
      </w:r>
    </w:p>
    <w:p w14:paraId="7DB6EAA3" w14:textId="77777777" w:rsidR="000E5B37" w:rsidRPr="00640820" w:rsidRDefault="000E5B37" w:rsidP="00640820">
      <w:pPr>
        <w:spacing w:after="0" w:line="240" w:lineRule="auto"/>
        <w:jc w:val="both"/>
        <w:rPr>
          <w:rFonts w:ascii="Times New Roman" w:hAnsi="Times New Roman"/>
          <w:color w:val="000000" w:themeColor="text1"/>
          <w:sz w:val="16"/>
          <w:szCs w:val="16"/>
        </w:rPr>
      </w:pPr>
    </w:p>
    <w:p w14:paraId="6D545CFB"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23 сентября </w:t>
      </w:r>
      <w:r w:rsidRPr="00640820">
        <w:rPr>
          <w:rFonts w:ascii="Times New Roman" w:hAnsi="Times New Roman"/>
          <w:color w:val="000000" w:themeColor="text1"/>
          <w:sz w:val="16"/>
          <w:szCs w:val="16"/>
        </w:rPr>
        <w:t>в 1941 году вечернее сообщение Совинформбюро:</w:t>
      </w:r>
    </w:p>
    <w:p w14:paraId="58800D6E"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23 сентября наши войска вели бои с противником на всём фронте.</w:t>
      </w:r>
    </w:p>
    <w:p w14:paraId="439025BA"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21 сентября уничтожено 53 самолёта противника, из них 28 сбито в воздушных боях и 25 уничтожено на аэродромах. Наши потери — 16 самолётов.</w:t>
      </w:r>
    </w:p>
    <w:p w14:paraId="0C043893"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Захваченные в плен немецкие офицеры и солдаты говорят о большом уроне, который наносит советская артиллерия фашистской армии. Пленный полковник Феликс Качинский, начальник артиллерии немецкой дивизии, на допросе заявил: «Ваши артиллеристы действуют артистически. Они быстро и скрытно меняют огневые позиции, и их батареи неуловимы». Фельдфебель Антон Эрб, пилот бомбардировщика «Юнкерс-88», в своих показаниях отмечает: «Особенно сильна русская артиллерия, в частности зенитная, действия которой я испытал на собственной спине». Ефрейтор Роберт Пранг рассказывает: «Артиллерия русских не давала нам покоя. Почти две неделя мы находились под огнём, который очень редко утихал. Снаряды настигали нас всюду днём и ночью. Мы понесли огромные потери. У тех, кто уцелел, нервы окончательно расшатались».</w:t>
      </w:r>
    </w:p>
    <w:p w14:paraId="18FB1760"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результате упорных четырёхдневных боёв части командира Масленникова на Западном направлении фронта нанесли поражение 233 и 235 пехотным полкам 102 немецкой пехотной дивизии, отбросив их остатки за р. Западная Двина. Враг оста вил на поле боя свыше двух с половиной тысяч трупов солдат и офицеров. Огнём нашей артиллерии разбиты две артиллерийские и десять миномётных батарей врага. Захвачены трофеи.</w:t>
      </w:r>
    </w:p>
    <w:p w14:paraId="73BC8BA6"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Наша штурмовая авиация на одном из участков Северо-Западного направления фронта уничтожила 43 немецких танка. На другом участке фронта авиация разгромила 8 танков, 7 зенитных орудий, 35 грузовых автомашин и цистерну с горючим. В бою с белофинской частью отряд капитана Хрявина уничтожил 150 солдат и офицеров противника и захватил 7 пулемётов, 1000 ручных гранат, 12.000 патронов и важные штабные документы.</w:t>
      </w:r>
    </w:p>
    <w:p w14:paraId="23464DFA"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многих районах Каменец-Подольской области партизаны полностью контролируют движение на шоссейных дорогах. Каждый обоз немцы вынуждены сопровождать бронемашинами. Партизанский отряд тов. Г. получил сообщение о продвижении большого обоза с боеприпасами для немецкого гарнизона, находящегося в г. Проскурове. Партизаны устроили засаду. Головная бронемашина немцев наскочила на мину и выбыла из строя. Экипаж бронемашины бросился бежать, но был уничтожен. Несмотря на сильную охрану, 29 автомашин были подожжены. Отступая, партизанский отряд вновь минировал дорогу. Карательный отряд немцев, посланный для борьбы с партизанами, попал на минированный участок и понёс большие потери. В течение одного дня партизаны уничтожили 41 солдата и двух унтер-офицеров.</w:t>
      </w:r>
    </w:p>
    <w:p w14:paraId="5B2A2E3C"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Большой известностью пользуется партизанский отряд под командованием начальника электростанции тов. 3. Партизаны этого отряда за пять дней сентября сняли больше двадцати километров телефонных проводов, взорвали пять мостов, организовали крушение воинского состава и уничтожили свыше 50 немецких солдат.</w:t>
      </w:r>
    </w:p>
    <w:p w14:paraId="7C3C9965"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Десятки тысяч трудящихся овладели несколькими профессиями и успешно за меняют товарищей, ушедших на фронт. Стахановка прессового цеха Горьковского автомобильного завода имени Молотова Елена Борякова изучила четыре специальности и может теперь выполнять работу электросварщицы, прессовщицы, сверловщицы и наждачницы. Тремя новыми специальностями — плотника, кровельщика и электросварщика — овладел тов. Наводничий, слесарь вагоноремонтного пункта станции Первая Речка. На одном из мариупольских заводов бригада котельного мастера тов. Христенко сама теперь производит автогенную резку и электросварку. Профессией автогенщиков овладели котельщики бригады т.т. Иванченко и Кривенов. Три специальности знают все рабочие смен старших мастеров сталелитейного цеха т.т. Шевченко и Шмакова. На Московском заводе имени Менжинского клепальщик тов. Колчин с начала войны работает без подручного и ежедневно перевыполняет норму выработки. Весь коллектив паровоза тов. Корнилова в депо станции Ярославль с начала войны овладел специальностью слесаря. Все молодые работницы станции Красноярск овладевают второй специальностью. Многие готовятся стать стрелочниками, сигнальщиками и дежурными по станции.» (14778).</w:t>
      </w:r>
    </w:p>
    <w:p w14:paraId="3BD5C395" w14:textId="77777777" w:rsidR="000E5B37" w:rsidRPr="00640820" w:rsidRDefault="000E5B37" w:rsidP="00640820">
      <w:pPr>
        <w:spacing w:after="0" w:line="240" w:lineRule="auto"/>
        <w:jc w:val="both"/>
        <w:rPr>
          <w:rFonts w:ascii="Times New Roman" w:hAnsi="Times New Roman"/>
          <w:color w:val="000000" w:themeColor="text1"/>
          <w:sz w:val="16"/>
          <w:szCs w:val="16"/>
        </w:rPr>
      </w:pPr>
    </w:p>
    <w:p w14:paraId="12BD09C4"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23 сентября </w:t>
      </w:r>
      <w:r w:rsidRPr="00640820">
        <w:rPr>
          <w:rFonts w:ascii="Times New Roman" w:hAnsi="Times New Roman"/>
          <w:color w:val="000000" w:themeColor="text1"/>
          <w:sz w:val="16"/>
          <w:szCs w:val="16"/>
        </w:rPr>
        <w:t>в 1941 году войска 14-й армии Карельского фронта и части морской пехоты при поддержке кораблей и авиации Северного флота нанесли успешный контрудар на мурманском направлении против соединений армии «Норвегия». В результате ликвидирован плацдарм на восточном берегу реки Западная Лица на участке к югу от высоты 183,6, озера Нож-Явр (14778).</w:t>
      </w:r>
    </w:p>
    <w:p w14:paraId="792C677C" w14:textId="77777777" w:rsidR="000E5B37" w:rsidRPr="00640820" w:rsidRDefault="000E5B37" w:rsidP="00640820">
      <w:pPr>
        <w:spacing w:after="0" w:line="240" w:lineRule="auto"/>
        <w:jc w:val="both"/>
        <w:rPr>
          <w:rFonts w:ascii="Times New Roman" w:hAnsi="Times New Roman"/>
          <w:color w:val="000000" w:themeColor="text1"/>
          <w:sz w:val="16"/>
          <w:szCs w:val="16"/>
        </w:rPr>
      </w:pPr>
    </w:p>
    <w:p w14:paraId="378B0499"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23 сентября </w:t>
      </w:r>
      <w:r w:rsidRPr="00640820">
        <w:rPr>
          <w:rFonts w:ascii="Times New Roman" w:hAnsi="Times New Roman"/>
          <w:color w:val="000000" w:themeColor="text1"/>
          <w:sz w:val="16"/>
          <w:szCs w:val="16"/>
        </w:rPr>
        <w:t>в 1941 году во время Великой Отечественной войны в районе населенного пункта Григорьевка близ Одессы корабли Черноморского флота высадили морской десант — 3-й полк морской пехоты для содействия Приморской армии в разгроме крупной группировки румынских войск. В результате противник был отброшен от Одессы на 5—8 км, понеся значительные потери.</w:t>
      </w:r>
    </w:p>
    <w:p w14:paraId="6B3C217E"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году затонул лидер эскадренных миноносцев проекта 38, «Минск». Вышедший в этот день из ремонта лидер отправился на Большой Кронштадтский рейд, но в этот же день был атакован бомбардировщиками. Две бомбы массой по 50 кг нанесли опасный урон кораблю: взорвался котёл, что привело к затоплению отсеков и крену корабля. Осколками было ранено несколько человек экипажа. По окончании заделки пробоин и откачки воды буксиры отвели поврежденный корабль в Военную гавань Кронштадта, к Южной стенке, однако из-за потери плавучести и остойчивости «Минск» повалился на борт и затонул на глубине 8,5 м и в 5 м от стенки с креном 40°. Только 25 августа 1942 лидер был поднят и за 60 рабочих суток был восстановлен. В строй вернулся 5 ноября 1942 (14778).</w:t>
      </w:r>
    </w:p>
    <w:p w14:paraId="7CDDDCA6" w14:textId="77777777" w:rsidR="000E5B37" w:rsidRPr="00640820" w:rsidRDefault="000E5B37" w:rsidP="00640820">
      <w:pPr>
        <w:spacing w:after="0" w:line="240" w:lineRule="auto"/>
        <w:jc w:val="both"/>
        <w:rPr>
          <w:rFonts w:ascii="Times New Roman" w:hAnsi="Times New Roman"/>
          <w:color w:val="000000" w:themeColor="text1"/>
          <w:sz w:val="16"/>
          <w:szCs w:val="16"/>
        </w:rPr>
      </w:pPr>
    </w:p>
    <w:p w14:paraId="6666D280"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23 сентября </w:t>
      </w:r>
      <w:r w:rsidRPr="00640820">
        <w:rPr>
          <w:rFonts w:ascii="Times New Roman" w:hAnsi="Times New Roman"/>
          <w:color w:val="000000" w:themeColor="text1"/>
          <w:sz w:val="16"/>
          <w:szCs w:val="16"/>
        </w:rPr>
        <w:t>в 1941 году немецкие войска вступили в Петергоф (14778).</w:t>
      </w:r>
    </w:p>
    <w:p w14:paraId="11A65EA1" w14:textId="77777777" w:rsidR="000E5B37" w:rsidRPr="00640820" w:rsidRDefault="000E5B37" w:rsidP="00640820">
      <w:pPr>
        <w:spacing w:after="0" w:line="240" w:lineRule="auto"/>
        <w:jc w:val="both"/>
        <w:rPr>
          <w:rFonts w:ascii="Times New Roman" w:hAnsi="Times New Roman"/>
          <w:color w:val="000000" w:themeColor="text1"/>
          <w:sz w:val="16"/>
          <w:szCs w:val="16"/>
        </w:rPr>
      </w:pPr>
    </w:p>
    <w:p w14:paraId="36891012" w14:textId="77777777" w:rsidR="002C36B3" w:rsidRPr="00640820" w:rsidRDefault="002C36B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сентября 1941 г. на центральном участке Восточного фронта начальник штаба 2-й полевой армии Вермахта отправил циркуляр, в котором говорилось следующее: «Потери, понесённые в последнее время при налетах авиации на маршевые колонны при движении или на отдыхе, свидетельствуют, что войска, особенно тыловые части, не уделяют достаточного внимания воздушной опасности. Постоянно происходят случаи, когда марши совершаются в плотных походных порядках, а транспортные средства движутся один за другим, особенно через мосты и в узкостях». Этот циркуляр появился на основании аналогичного документа 2-й Танковой группы от 11 сентября, так как проблемой ПВО озаботился сам командир группы «быстроходный Гейнц» Гудериан. Одним из поводов к этому стал выход из строя двух третей личного состава и материальной части хлебопекарной роты в результате атаки единственного советского бомбардировщика. Вряд ли можно сказать, что в подразделениях 2-й полевой армии сразу осознали проблему по получении упомянутого выше циркуляра. Вот донесение 10-го военно-строительного управления о налёте на колонну военных строителей от 28 сентября 1941 г.31 «Сегодня в 12.45 в районе восточнее Белый Колодезь (20 км юго-западнее Клинцы) колонна 63-го строительного батальона атакована авиацией противника. Потери при этом составили: семь человек убитыми, 12 тяжело и восемь легко раненых. Было убито 37 и ранено десять лошадей. Сгорели четыре повозки с 420 сутодачами продовольствия» (19770).</w:t>
      </w:r>
    </w:p>
    <w:p w14:paraId="433A4440" w14:textId="77777777" w:rsidR="002C36B3" w:rsidRPr="00640820" w:rsidRDefault="002C36B3" w:rsidP="00640820">
      <w:pPr>
        <w:spacing w:after="0" w:line="240" w:lineRule="auto"/>
        <w:jc w:val="both"/>
        <w:rPr>
          <w:rFonts w:ascii="Times New Roman" w:hAnsi="Times New Roman"/>
          <w:color w:val="000000" w:themeColor="text1"/>
          <w:sz w:val="16"/>
          <w:szCs w:val="16"/>
        </w:rPr>
      </w:pPr>
    </w:p>
    <w:p w14:paraId="2D5930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сентября 1941 л 215 шап л В.И.Коробкин во главе четверки Ил-2 вылетел на подавление батарей в районе Ярцево. На пути к цели был ранен осколками зенитного снаряда. С поврежденной левой рукой и глазом не отвернул. Выполнив задание не смог даже выпустить шасси. Стал ГСС (438,821).</w:t>
      </w:r>
    </w:p>
    <w:p w14:paraId="51A881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872F0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сентября 1941 состоялся дневной налет на железнодорожный узел Старая Руса. В этот день пятерка Ер-2 из 421-го ап в сопровождении группы Пе-3 из 40-го сбап (в сентябре 1941 г. этот полк дальних истребителей был временно передан в оперативное подчинение 81-й ад) эффективно отбомбилась по станционным путям так, что вражеские эшелоны по меньшей мере в течение трех дней вынуждены были искать другие пути на восток. "Пешки" также отбомбились по противнику, т.к. мотогондольные бомбоотсеки для пары ФАБ-100 при переделке самолета в истребитель, сохранились. Спустя месяц за этот и ряд последующих вылетов ведущий группы Пе-3 капитан А.Г.Рогов получил Золотую Звезду Героя (3322,20).</w:t>
      </w:r>
    </w:p>
    <w:p w14:paraId="7C75DC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0888E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сентября 1941 И.Золин таранил Бериславскую плотину на Днепре (455,162).</w:t>
      </w:r>
    </w:p>
    <w:p w14:paraId="21E02B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0042F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ночь на 23 сентября 1941 летчицей женского истребительного авиаполка (586-й иап, командир полка ТА. Казаринова) Валерией Хомяковой был сбит </w:t>
      </w:r>
      <w:r w:rsidRPr="00640820">
        <w:rPr>
          <w:rFonts w:ascii="Times New Roman" w:hAnsi="Times New Roman"/>
          <w:color w:val="000000" w:themeColor="text1"/>
          <w:sz w:val="16"/>
          <w:szCs w:val="16"/>
          <w:lang w:val="en-US"/>
        </w:rPr>
        <w:t>Ju</w:t>
      </w:r>
      <w:r w:rsidRPr="00640820">
        <w:rPr>
          <w:rFonts w:ascii="Times New Roman" w:hAnsi="Times New Roman"/>
          <w:color w:val="000000" w:themeColor="text1"/>
          <w:sz w:val="16"/>
          <w:szCs w:val="16"/>
        </w:rPr>
        <w:t>-88. Это был единственный случай в мировой практике, когда бомбардировщик был сбит женщиной - пилотом ночного истребителя. Самой результативной из женщин-летчиц оказалась Л.В. Литвяк (4+3), которая вместе с Е.В. Будановой (2+2) продолжила свою службу в "мужском" 296-м (73-м гиап). Кроме 586-го иап женщины-летчицы проходили службу и в других истребительных полках, вооруженных самолетами Як-1 (например, К.М. Блинова (1 +1) в 653-м иап - 65-м гиап) (12048).</w:t>
      </w:r>
    </w:p>
    <w:p w14:paraId="2B90AA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7EAD6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сентября 1941 состоялся исключительно успешный вылет автожиров А-7-3А на корректировку артогня. Летали низко (300 м) и зенитным огнем ранило л-н Кондрашкина (257,18).</w:t>
      </w:r>
    </w:p>
    <w:p w14:paraId="37454D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D7E01BE" w14:textId="77777777" w:rsidR="00843B64" w:rsidRPr="00640820" w:rsidRDefault="00843B6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23 сентября 1941 вылет автожира на корректировку обеспечивало звено И-153. У одной «Чайки» на выруливании сломалась стойка шасси и воздушный винт. На задание в этот день А-7 пошел под прикрытием двух истребителей.</w:t>
      </w:r>
    </w:p>
    <w:p w14:paraId="7615C597" w14:textId="77777777" w:rsidR="00843B64" w:rsidRPr="00640820" w:rsidRDefault="00843B6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24 сентября на фронтовой аэродром прибыли два А-7, прошедшие восстановительный ремонт на заводе № 290. Таким образом, общее количество боеспособных аппара</w:t>
      </w:r>
      <w:r w:rsidRPr="00640820">
        <w:rPr>
          <w:rFonts w:ascii="Times New Roman" w:hAnsi="Times New Roman"/>
          <w:color w:val="0070C0"/>
          <w:sz w:val="16"/>
          <w:szCs w:val="16"/>
        </w:rPr>
        <w:softHyphen/>
        <w:t>тов вновь довели до трех единиц. Впрочем, очень скоро присутствие 1-й автожирной эскадрильи на передовой в связи с общим ухудшением обстановки на фронте закон</w:t>
      </w:r>
      <w:r w:rsidRPr="00640820">
        <w:rPr>
          <w:rFonts w:ascii="Times New Roman" w:hAnsi="Times New Roman"/>
          <w:color w:val="0070C0"/>
          <w:sz w:val="16"/>
          <w:szCs w:val="16"/>
        </w:rPr>
        <w:softHyphen/>
        <w:t>чилось. Противник усилил давление на советские войска, перебросив под Ельню дополнительные силы. В первых числах октября эскадрилье автожиров пришлось переба</w:t>
      </w:r>
      <w:r w:rsidRPr="00640820">
        <w:rPr>
          <w:rFonts w:ascii="Times New Roman" w:hAnsi="Times New Roman"/>
          <w:color w:val="0070C0"/>
          <w:sz w:val="16"/>
          <w:szCs w:val="16"/>
        </w:rPr>
        <w:softHyphen/>
        <w:t>зироваться. Красная Армия отступала; после того как уш</w:t>
      </w:r>
      <w:r w:rsidRPr="00640820">
        <w:rPr>
          <w:rFonts w:ascii="Times New Roman" w:hAnsi="Times New Roman"/>
          <w:color w:val="0070C0"/>
          <w:sz w:val="16"/>
          <w:szCs w:val="16"/>
        </w:rPr>
        <w:softHyphen/>
        <w:t>ли истребители, 1-ю акэ перевели в 43-ю армию.</w:t>
      </w:r>
    </w:p>
    <w:p w14:paraId="3C4A1D74" w14:textId="77777777" w:rsidR="00843B64" w:rsidRPr="00640820" w:rsidRDefault="00843B6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Два автожира убыли в Москву, а третий под управлени</w:t>
      </w:r>
      <w:r w:rsidRPr="00640820">
        <w:rPr>
          <w:rFonts w:ascii="Times New Roman" w:hAnsi="Times New Roman"/>
          <w:color w:val="0070C0"/>
          <w:sz w:val="16"/>
          <w:szCs w:val="16"/>
        </w:rPr>
        <w:softHyphen/>
        <w:t>ем комэска Трофимова вылетел в Гжатск со срочным доне</w:t>
      </w:r>
      <w:r w:rsidRPr="00640820">
        <w:rPr>
          <w:rFonts w:ascii="Times New Roman" w:hAnsi="Times New Roman"/>
          <w:color w:val="0070C0"/>
          <w:sz w:val="16"/>
          <w:szCs w:val="16"/>
        </w:rPr>
        <w:softHyphen/>
        <w:t>сением о прорыве немцев. Трофимов благополучно доле</w:t>
      </w:r>
      <w:r w:rsidRPr="00640820">
        <w:rPr>
          <w:rFonts w:ascii="Times New Roman" w:hAnsi="Times New Roman"/>
          <w:color w:val="0070C0"/>
          <w:sz w:val="16"/>
          <w:szCs w:val="16"/>
        </w:rPr>
        <w:softHyphen/>
        <w:t>тел до Гжатска, где в отсутствии радиосвязи в полной тем</w:t>
      </w:r>
      <w:r w:rsidRPr="00640820">
        <w:rPr>
          <w:rFonts w:ascii="Times New Roman" w:hAnsi="Times New Roman"/>
          <w:color w:val="0070C0"/>
          <w:sz w:val="16"/>
          <w:szCs w:val="16"/>
        </w:rPr>
        <w:softHyphen/>
        <w:t>ноте приземлился на лес. Автожир получил повреждения, однако летчик был невредим и донесение доставил в срок. Аварийный А-7 под руководством Миля разобрали, погру</w:t>
      </w:r>
      <w:r w:rsidRPr="00640820">
        <w:rPr>
          <w:rFonts w:ascii="Times New Roman" w:hAnsi="Times New Roman"/>
          <w:color w:val="0070C0"/>
          <w:sz w:val="16"/>
          <w:szCs w:val="16"/>
        </w:rPr>
        <w:softHyphen/>
        <w:t>зили на автомашину и отправили в тыл. На этом закончил</w:t>
      </w:r>
      <w:r w:rsidRPr="00640820">
        <w:rPr>
          <w:rFonts w:ascii="Times New Roman" w:hAnsi="Times New Roman"/>
          <w:color w:val="0070C0"/>
          <w:sz w:val="16"/>
          <w:szCs w:val="16"/>
        </w:rPr>
        <w:softHyphen/>
        <w:t>ся эпизод использования боевых автожиров в войне (20361).</w:t>
      </w:r>
    </w:p>
    <w:p w14:paraId="0258BEB1" w14:textId="77777777" w:rsidR="00843B64" w:rsidRPr="00640820" w:rsidRDefault="00843B64" w:rsidP="00640820">
      <w:pPr>
        <w:shd w:val="clear" w:color="auto" w:fill="FFFFFF"/>
        <w:spacing w:after="0" w:line="240" w:lineRule="auto"/>
        <w:jc w:val="both"/>
        <w:rPr>
          <w:rFonts w:ascii="Times New Roman" w:hAnsi="Times New Roman"/>
          <w:color w:val="0070C0"/>
          <w:sz w:val="16"/>
          <w:szCs w:val="16"/>
        </w:rPr>
      </w:pPr>
    </w:p>
    <w:p w14:paraId="78C08835"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23 сентября </w:t>
      </w:r>
      <w:r w:rsidRPr="00640820">
        <w:rPr>
          <w:rFonts w:ascii="Times New Roman" w:hAnsi="Times New Roman"/>
          <w:color w:val="000000" w:themeColor="text1"/>
          <w:sz w:val="16"/>
          <w:szCs w:val="16"/>
        </w:rPr>
        <w:t>в 1941 году немецкий воздушный налет на русскую военно-морскую базу Кронштадт (затопляется линкор "Марат") (14778).</w:t>
      </w:r>
    </w:p>
    <w:p w14:paraId="0D364E38" w14:textId="77777777" w:rsidR="000E5B37" w:rsidRPr="00640820" w:rsidRDefault="000E5B37" w:rsidP="00640820">
      <w:pPr>
        <w:spacing w:after="0" w:line="240" w:lineRule="auto"/>
        <w:jc w:val="both"/>
        <w:rPr>
          <w:rFonts w:ascii="Times New Roman" w:hAnsi="Times New Roman"/>
          <w:color w:val="000000" w:themeColor="text1"/>
          <w:sz w:val="16"/>
          <w:szCs w:val="16"/>
        </w:rPr>
      </w:pPr>
    </w:p>
    <w:p w14:paraId="45A3F279" w14:textId="77777777" w:rsidR="00843B64" w:rsidRPr="00640820" w:rsidRDefault="00843B6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23 сентября  1941 Ханс-Ульрих Рудель в одиночку топит советский линкор « Марат» на пикирующем бомбардировщике Junkers Ju 87  (20794).</w:t>
      </w:r>
    </w:p>
    <w:p w14:paraId="3D99E9EB" w14:textId="77777777" w:rsidR="00843B64" w:rsidRPr="00640820" w:rsidRDefault="00843B64" w:rsidP="00640820">
      <w:pPr>
        <w:spacing w:after="0" w:line="240" w:lineRule="auto"/>
        <w:jc w:val="both"/>
        <w:rPr>
          <w:rFonts w:ascii="Times New Roman" w:hAnsi="Times New Roman"/>
          <w:color w:val="0070C0"/>
          <w:sz w:val="16"/>
          <w:szCs w:val="16"/>
        </w:rPr>
      </w:pPr>
    </w:p>
    <w:p w14:paraId="776382A6" w14:textId="77777777" w:rsidR="000E5B37" w:rsidRPr="00640820" w:rsidRDefault="000E5B37"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23 сентября </w:t>
      </w:r>
      <w:r w:rsidRPr="00640820">
        <w:rPr>
          <w:rFonts w:ascii="Times New Roman" w:hAnsi="Times New Roman"/>
          <w:color w:val="000000" w:themeColor="text1"/>
          <w:sz w:val="16"/>
          <w:szCs w:val="16"/>
        </w:rPr>
        <w:t>в 1941 году пилот Ханс-Ульрих Рудель во время налёта на базу ВМФ СССР в Кронштадте с группой бомбардировщиков «Ju-87», тяжело повредил линкор "Марат" (14778).</w:t>
      </w:r>
    </w:p>
    <w:p w14:paraId="3F97FF02" w14:textId="77777777" w:rsidR="000E5B37" w:rsidRPr="00640820" w:rsidRDefault="000E5B37" w:rsidP="00640820">
      <w:pPr>
        <w:spacing w:after="0" w:line="240" w:lineRule="auto"/>
        <w:jc w:val="both"/>
        <w:rPr>
          <w:rFonts w:ascii="Times New Roman" w:hAnsi="Times New Roman"/>
          <w:color w:val="000000" w:themeColor="text1"/>
          <w:sz w:val="16"/>
          <w:szCs w:val="16"/>
        </w:rPr>
      </w:pPr>
    </w:p>
    <w:p w14:paraId="451ECE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сентября 1941 группа Ганса Руделя (1 и 2 крылья) на Ju-87 атаковала БФ в гавани Кронштадта и Рудель потопил Марат 1000 кг бомбой попав в погреба боеприпасов (3204).</w:t>
      </w:r>
    </w:p>
    <w:p w14:paraId="49DF89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F9A55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сентября 1941 г. немецкие пикирующие бомбардировщики попали в неподвижный ко рабль Марат двумя бомбами (вероятно, калибром 500 кг), которые про никли сквозь броневые палубы по обеим сторонам — в нос и кор му — от башенноподобной фок-мачты и разорвались в нижних по мещениях. Взрыв одной бомбы вызвал детонацию боезапасов противоминной артиллерии (вероятно), а потом — и носовой баш ни главного калибра. В результате сильного взрыва носовая част] корабля до 57-го шпангоута была полностью разрушена, погибло 326 чел. экипажа. Уцелевшая кормовая часть заполнилась водой(до 10000 т) и села на грунт на глубине 11 м. Ранее, до потопления, "Марат" получил два попадания бомбами (250-кг), которые лишь вызвали разрушения в верхних помещени</w:t>
      </w:r>
      <w:r w:rsidRPr="00640820">
        <w:rPr>
          <w:rFonts w:ascii="Times New Roman" w:hAnsi="Times New Roman"/>
          <w:color w:val="000000" w:themeColor="text1"/>
          <w:sz w:val="16"/>
          <w:szCs w:val="16"/>
        </w:rPr>
        <w:softHyphen/>
        <w:t>ях кормовой части корпуса (3898).</w:t>
      </w:r>
    </w:p>
    <w:p w14:paraId="7ED780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C660C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сентября 1941 Тимошенко контратаковал (2260).</w:t>
      </w:r>
    </w:p>
    <w:p w14:paraId="6201C6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92271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сентября 1941 вышло Постановление ГКО № 705 О тов. Попове Г.М. РГАНИР, Фонд ГКО, д. 10, лл. 73 (11012).</w:t>
      </w:r>
    </w:p>
    <w:p w14:paraId="395C1A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8338780"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7BE20CF7"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A186D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сентября 1941 года в связи с тем, что введение карточек только в городе Мурманске привело к тому, что жители областного центра стали выезжать за хлебом в близлежащие населенные пункты, где карточек не было, например, в Колу (Там же, ф. Р-808, оп. 2, д. 5, л. 11.), Мурманский облисполком принял решение (протокол № 67):</w:t>
      </w:r>
    </w:p>
    <w:p w14:paraId="0624CE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Ввести карточки на хлеб с 10 октября 1941 г. в городах Кандалакше, Кировске, Мончегорске и рабочем поселке Кола.</w:t>
      </w:r>
    </w:p>
    <w:p w14:paraId="4D14D2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Утвердить зав. областным бюро карточек тов. Губина.</w:t>
      </w:r>
    </w:p>
    <w:p w14:paraId="32ED01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Обязать Облторготдел т. Прилуцкого и председателей райисполкомов немедленно организовать подготовку к выдаче карточек.</w:t>
      </w:r>
    </w:p>
    <w:p w14:paraId="4955D9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Просить СНК СССР санкционировать введение карточек в указанных городах Мурманской области.» (Там же, ф. Р-405, оп. 1, д. 186, л. 56, 57.).</w:t>
      </w:r>
    </w:p>
    <w:p w14:paraId="7D8DA5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 ноября 1941 года нормированное снабжение хлебом, сахаром и кондитерскими изделиями установлено во всех городах и рабочих поселках страны. Всего по Мурманской области в ноябре было выдано 86110 карточек, в том числе первой категории рабочим 35791, служащим 6491, второй категории рабочим 14638, служащим второй категории, иждивенцам и детям 29190 (Там же, ф. Р-808, оп. 2, д. 5, л. 163, 177.).</w:t>
      </w:r>
    </w:p>
    <w:p w14:paraId="3E2574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Расширялась свободная торговля хлебом по повышенным ценам. 9 ноября 1941 года облисполком разрешил торговлю коммерческим хлебом в открытых столовых городов Кандалакши, Кировска, Мончегорска и рабочих поселков Лесного, Колы и Териберки, а также розничную торговлю коммерческим хлебом в одном магазине в Кандалакше (Там же, ф. Р-405, оп. 1, д. 186, л. 95, 96.).</w:t>
      </w:r>
    </w:p>
    <w:p w14:paraId="3E05C9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сельской местности карточки на хлеб не вводились. В целях упорядочения продажи и экономии хлеба в тех населенных пунктах, где не были введены карточки на хлеб, решением облисполкома от 24 декабря 1941 года устанавливалась продажа хлеба по спискам. Составление списков было возложено на исполкомы сельских советов. Отпуск хлеба в одни руки не мог превышать норм, установленных для городского населения (Там же, ф. Р-405, оп. 1, д. 186, л. 137, 138.).</w:t>
      </w:r>
    </w:p>
    <w:p w14:paraId="7F0F36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Отоварить продуктовые карточки было не так-то просто. Хлеб населению продавался по соответствующим талонам карточки на каждый день. Разрешалось продавать хлеб на один день вперед, а вот просроченные талоны пропадали (Там же, ф. Р-808, оп. 1, д. 96, л. 322 об.). Утерянные карточки не возобновлялись. Когда весной 1942 года Кировский и Мончегорский райисполкомы разрешили выдать ряду лиц хлебные и столовые карточки взамен утерянных, Мурманский облисполком 4 июня 1942 </w:t>
      </w:r>
      <w:r w:rsidRPr="00640820">
        <w:rPr>
          <w:rFonts w:ascii="Times New Roman" w:hAnsi="Times New Roman"/>
          <w:color w:val="000000" w:themeColor="text1"/>
          <w:sz w:val="16"/>
          <w:szCs w:val="16"/>
        </w:rPr>
        <w:lastRenderedPageBreak/>
        <w:t>года отменил их решения, как противоречащие утвержденным правилам, и разъяснил председателям райисполкомов, что в случае повторения подобных фактов они будут привлечены к ответственности (Там же, ф. Р-405, оп. 1, д. 281, л. 159.) (11911).</w:t>
      </w:r>
    </w:p>
    <w:p w14:paraId="05B126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82A3081"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0593C140"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069557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сентября 1941 немецким солдатам во Франции приказано отправлять на Восточный фронт свои одеяла (4962).</w:t>
      </w:r>
    </w:p>
    <w:p w14:paraId="33FFBBC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D4629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сентября 1941 немецкими властями Париж объявлен на осадном положении (4962).</w:t>
      </w:r>
    </w:p>
    <w:p w14:paraId="12D720C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108D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сентября 1941 г де Голь сформировал правительство в изгнании в Лондоне (3481).</w:t>
      </w:r>
    </w:p>
    <w:p w14:paraId="3011CF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64023B9"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55A7446D"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CF8E9BC" w14:textId="77777777" w:rsidR="00B279ED" w:rsidRPr="00640820" w:rsidRDefault="00B279ED"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24 сентября 1941 вышел приказ по заводу № 18</w:t>
      </w:r>
    </w:p>
    <w:p w14:paraId="442B867F" w14:textId="77777777" w:rsidR="00B279ED" w:rsidRPr="00640820" w:rsidRDefault="00B279ED"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 монтаже задних стрелковых точек (на Ил-2) с 25.9.41 (19706).</w:t>
      </w:r>
    </w:p>
    <w:p w14:paraId="54D38EA0" w14:textId="77777777" w:rsidR="00B279ED" w:rsidRPr="00640820" w:rsidRDefault="00B279ED"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3137D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сентября 1941 года Шахурин писал письмо N Н-20/6892 зам. председателя Совнаркома Вознесенскому Н.А. и наркому вооружения Устинову.</w:t>
      </w:r>
    </w:p>
    <w:p w14:paraId="2DCEB8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письму Устинова N 2794с от 17.IX.41 г. сообщаю, что недостатки в установке пушки Волкова-Ярцева 23 мм на самолете Ил-2, указанные комиссией по отстрелу взрывателей К-20 и В-179, заводами НКАП устранены:</w:t>
      </w:r>
    </w:p>
    <w:p w14:paraId="6E7AB7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увеличен вырез в нервюре N 7 левого крыла для обеспечения съемки части рукава с роликом;</w:t>
      </w:r>
    </w:p>
    <w:p w14:paraId="74EB4B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звеньеотводы сделаны легкосъемными;</w:t>
      </w:r>
    </w:p>
    <w:p w14:paraId="01AF23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уменьшены люфты заднего крепления (1520).</w:t>
      </w:r>
    </w:p>
    <w:p w14:paraId="36E694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6E8441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сентября 1941 НКАП А.И.Ш. писал письмо № Н-20/6892 Заместителю Председателя Совета Народных Комиссаров Союза ССР тов. ВОЗНЕСЕНСКОМУ Н.А.</w:t>
      </w:r>
    </w:p>
    <w:p w14:paraId="5787E96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Копия: Народному.Комиссару Вооружения СССР тов. УСТИНОВУ</w:t>
      </w:r>
    </w:p>
    <w:p w14:paraId="1411510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письму тов. Устинова № 2794с от 17.1Х.41 г. сообщаю, что недостатки в установке пушки Волко</w:t>
      </w:r>
      <w:r w:rsidRPr="00640820">
        <w:rPr>
          <w:rFonts w:ascii="Times New Roman" w:hAnsi="Times New Roman"/>
          <w:color w:val="000000" w:themeColor="text1"/>
          <w:sz w:val="16"/>
          <w:szCs w:val="16"/>
        </w:rPr>
        <w:softHyphen/>
        <w:t>ва-Ярцева 23 мм. на самолете Ил-2, указанные ко</w:t>
      </w:r>
      <w:r w:rsidRPr="00640820">
        <w:rPr>
          <w:rFonts w:ascii="Times New Roman" w:hAnsi="Times New Roman"/>
          <w:color w:val="000000" w:themeColor="text1"/>
          <w:sz w:val="16"/>
          <w:szCs w:val="16"/>
        </w:rPr>
        <w:softHyphen/>
        <w:t>миссией по отстрелу взрывателей К-20 и В-179, за</w:t>
      </w:r>
      <w:r w:rsidRPr="00640820">
        <w:rPr>
          <w:rFonts w:ascii="Times New Roman" w:hAnsi="Times New Roman"/>
          <w:color w:val="000000" w:themeColor="text1"/>
          <w:sz w:val="16"/>
          <w:szCs w:val="16"/>
        </w:rPr>
        <w:softHyphen/>
        <w:t>водами НКАП устранены:</w:t>
      </w:r>
    </w:p>
    <w:p w14:paraId="775F7AF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увеличен вырез в нервюре № 7 левого кры</w:t>
      </w:r>
      <w:r w:rsidRPr="00640820">
        <w:rPr>
          <w:rFonts w:ascii="Times New Roman" w:hAnsi="Times New Roman"/>
          <w:color w:val="000000" w:themeColor="text1"/>
          <w:sz w:val="16"/>
          <w:szCs w:val="16"/>
        </w:rPr>
        <w:softHyphen/>
        <w:t>ла для обеспечения с"емки части рукава с роликом;</w:t>
      </w:r>
    </w:p>
    <w:p w14:paraId="24FD8A1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звеньеотводы сделаны легкое с"емными;</w:t>
      </w:r>
    </w:p>
    <w:p w14:paraId="2DA7299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уменьшены люфты заднего крепления (4156,204).</w:t>
      </w:r>
    </w:p>
    <w:p w14:paraId="00F23C4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001848" w14:textId="77777777" w:rsidR="00A458F8" w:rsidRPr="00640820" w:rsidRDefault="00A458F8"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24 сентября 1941 г. Ильюшин, не дожидаясь официального окончания государствен</w:t>
      </w:r>
      <w:r w:rsidRPr="00640820">
        <w:rPr>
          <w:color w:val="000000" w:themeColor="text1"/>
          <w:sz w:val="16"/>
          <w:szCs w:val="16"/>
        </w:rPr>
        <w:softHyphen/>
        <w:t>ных испытаний Ил-2 с Ш-37, направил Сталину пись</w:t>
      </w:r>
      <w:r w:rsidRPr="00640820">
        <w:rPr>
          <w:color w:val="000000" w:themeColor="text1"/>
          <w:sz w:val="16"/>
          <w:szCs w:val="16"/>
        </w:rPr>
        <w:softHyphen/>
        <w:t>мо, в котором докладывал: «На самолет Ил-2 в авгу</w:t>
      </w:r>
      <w:r w:rsidRPr="00640820">
        <w:rPr>
          <w:color w:val="000000" w:themeColor="text1"/>
          <w:sz w:val="16"/>
          <w:szCs w:val="16"/>
        </w:rPr>
        <w:softHyphen/>
        <w:t>сте с.г. мною были установлены 2 пушки 37-мм кон</w:t>
      </w:r>
      <w:r w:rsidRPr="00640820">
        <w:rPr>
          <w:color w:val="000000" w:themeColor="text1"/>
          <w:sz w:val="16"/>
          <w:szCs w:val="16"/>
        </w:rPr>
        <w:softHyphen/>
        <w:t>струкции Шпитального с запасом снарядов 40 штук на пушку, а весь запас снарядов 80 штук. Самолет с этими пушками прошел Государственные испы</w:t>
      </w:r>
      <w:r w:rsidRPr="00640820">
        <w:rPr>
          <w:color w:val="000000" w:themeColor="text1"/>
          <w:sz w:val="16"/>
          <w:szCs w:val="16"/>
        </w:rPr>
        <w:softHyphen/>
        <w:t>тания в НИП АВ ГУ ВВС. Стрельба с самолета Ил-2 из этих пушек производит сильное впечатление мощностью огня и точностью попадания. Это уже настоящая летающая артиллерия. /.../ Основные цели этого самолета будут: танки всех типов, ар</w:t>
      </w:r>
      <w:r w:rsidRPr="00640820">
        <w:rPr>
          <w:color w:val="000000" w:themeColor="text1"/>
          <w:sz w:val="16"/>
          <w:szCs w:val="16"/>
        </w:rPr>
        <w:softHyphen/>
        <w:t>тиллерия, артиллерийские позиции, в том числе позиции зенитной артиллерии, ДЗОТы, подавление пулеметных и противотанковых точек, уцелевших при подготовке нашего наступления, паровозы, же</w:t>
      </w:r>
      <w:r w:rsidRPr="00640820">
        <w:rPr>
          <w:color w:val="000000" w:themeColor="text1"/>
          <w:sz w:val="16"/>
          <w:szCs w:val="16"/>
        </w:rPr>
        <w:softHyphen/>
        <w:t>лезнодорожные составы и моторизованные войска. Достоинство самолета Ил-2 с установленными пуш</w:t>
      </w:r>
      <w:r w:rsidRPr="00640820">
        <w:rPr>
          <w:color w:val="000000" w:themeColor="text1"/>
          <w:sz w:val="16"/>
          <w:szCs w:val="16"/>
        </w:rPr>
        <w:softHyphen/>
        <w:t>ками состоит в том, что можно будет вести с само</w:t>
      </w:r>
      <w:r w:rsidRPr="00640820">
        <w:rPr>
          <w:color w:val="000000" w:themeColor="text1"/>
          <w:sz w:val="16"/>
          <w:szCs w:val="16"/>
        </w:rPr>
        <w:softHyphen/>
        <w:t>лета прицельную, очень точную стрельбу, и к тому же стрельбу можно начинать с дистанции 3 и более километров, когда вражеские войска нашего само</w:t>
      </w:r>
      <w:r w:rsidRPr="00640820">
        <w:rPr>
          <w:color w:val="000000" w:themeColor="text1"/>
          <w:sz w:val="16"/>
          <w:szCs w:val="16"/>
        </w:rPr>
        <w:softHyphen/>
        <w:t>лета не видят и не слышат».</w:t>
      </w:r>
    </w:p>
    <w:p w14:paraId="66B078D7" w14:textId="77777777" w:rsidR="00A458F8" w:rsidRPr="00640820" w:rsidRDefault="00A458F8"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В заключение письма Ильюшин внес пред</w:t>
      </w:r>
      <w:r w:rsidRPr="00640820">
        <w:rPr>
          <w:color w:val="000000" w:themeColor="text1"/>
          <w:sz w:val="16"/>
          <w:szCs w:val="16"/>
        </w:rPr>
        <w:softHyphen/>
        <w:t>ложение «поручить заводу № 1 оборудовать два авиаполка самолетов Ил-2 пушками 37 мм типа конструкции Шпитального по 2 пушки на самолет с запасом снарядов по 40 штук на пушку».</w:t>
      </w:r>
    </w:p>
    <w:p w14:paraId="1B18D0FC" w14:textId="77777777" w:rsidR="00A458F8" w:rsidRPr="00640820" w:rsidRDefault="00A458F8"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К сожалению, это письмо является не чем иным, как попыткой главного конструктора самолета вы</w:t>
      </w:r>
      <w:r w:rsidRPr="00640820">
        <w:rPr>
          <w:color w:val="000000" w:themeColor="text1"/>
          <w:sz w:val="16"/>
          <w:szCs w:val="16"/>
        </w:rPr>
        <w:softHyphen/>
        <w:t>дать желаемое положение дел за действительное.</w:t>
      </w:r>
    </w:p>
    <w:p w14:paraId="22161736" w14:textId="77777777" w:rsidR="00A458F8" w:rsidRPr="00640820" w:rsidRDefault="00A458F8"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Дело в том, что большие габаритные размеры пушек Ш-37 и магазинное питание определили их размещение под крылом самолета Ил-2 в громозд</w:t>
      </w:r>
      <w:r w:rsidRPr="00640820">
        <w:rPr>
          <w:color w:val="000000" w:themeColor="text1"/>
          <w:sz w:val="16"/>
          <w:szCs w:val="16"/>
        </w:rPr>
        <w:softHyphen/>
        <w:t>ких, с большим поперечным сечением, обтекателях. Как следствие, сильная отдача пушек при стрельбе, несинхронность в их работе, а также малый запас продольной устойчивости и усложнение техники пилотирования приводили к тому, что штурмовик при стрельбе в воздухе испытывал сильные «клев</w:t>
      </w:r>
      <w:r w:rsidRPr="00640820">
        <w:rPr>
          <w:color w:val="000000" w:themeColor="text1"/>
          <w:sz w:val="16"/>
          <w:szCs w:val="16"/>
        </w:rPr>
        <w:softHyphen/>
        <w:t>ки», толчки и сбивался с линии прицеливания. При очереди более 3—5 снарядов летчикам было труд</w:t>
      </w:r>
      <w:r w:rsidRPr="00640820">
        <w:rPr>
          <w:color w:val="000000" w:themeColor="text1"/>
          <w:sz w:val="16"/>
          <w:szCs w:val="16"/>
        </w:rPr>
        <w:softHyphen/>
        <w:t>но удерживать линию визирования на цели. Рас</w:t>
      </w:r>
      <w:r w:rsidRPr="00640820">
        <w:rPr>
          <w:color w:val="000000" w:themeColor="text1"/>
          <w:sz w:val="16"/>
          <w:szCs w:val="16"/>
        </w:rPr>
        <w:softHyphen/>
        <w:t>сеивание снарядов резко возрастало, снижалась точность стрельбы. Для эффективного расходова</w:t>
      </w:r>
      <w:r w:rsidRPr="00640820">
        <w:rPr>
          <w:color w:val="000000" w:themeColor="text1"/>
          <w:sz w:val="16"/>
          <w:szCs w:val="16"/>
        </w:rPr>
        <w:softHyphen/>
        <w:t>ния боекомплекта к пушкам необходимо сделать 10—13 заходов на цель. В условиях боя это было совершенно нереально.</w:t>
      </w:r>
    </w:p>
    <w:p w14:paraId="448526EB" w14:textId="77777777" w:rsidR="00A458F8" w:rsidRPr="00640820" w:rsidRDefault="00A458F8"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Учитывая, что полигонные испытания Ил-2 с Ш-37 завершились 15 сентября, а Ильюшин был грамотным инженером и прекрасно понимал все проблемы установки столь мощных пушек на штур</w:t>
      </w:r>
      <w:r w:rsidRPr="00640820">
        <w:rPr>
          <w:color w:val="000000" w:themeColor="text1"/>
          <w:sz w:val="16"/>
          <w:szCs w:val="16"/>
        </w:rPr>
        <w:softHyphen/>
        <w:t>мовик, то письмо Сталину можно рассматривать в том числе и как попытку помочь Шпитальному протолкнуть решение о принятии пушки Ш-37 на вооружение ВВС КА. Все-таки Ил-2 — самолет мас</w:t>
      </w:r>
      <w:r w:rsidRPr="00640820">
        <w:rPr>
          <w:color w:val="000000" w:themeColor="text1"/>
          <w:sz w:val="16"/>
          <w:szCs w:val="16"/>
        </w:rPr>
        <w:softHyphen/>
        <w:t>совый и лучше подходит для работы по земле. К то</w:t>
      </w:r>
      <w:r w:rsidRPr="00640820">
        <w:rPr>
          <w:color w:val="000000" w:themeColor="text1"/>
          <w:sz w:val="16"/>
          <w:szCs w:val="16"/>
        </w:rPr>
        <w:softHyphen/>
        <w:t>му же два боевых самолета, потребляющих пушку Ш-37, это не один самолет (17500).</w:t>
      </w:r>
    </w:p>
    <w:p w14:paraId="4332D6F8" w14:textId="77777777" w:rsidR="00A458F8" w:rsidRPr="00640820" w:rsidRDefault="00A458F8" w:rsidP="00640820">
      <w:pPr>
        <w:pStyle w:val="129"/>
        <w:shd w:val="clear" w:color="auto" w:fill="auto"/>
        <w:spacing w:after="0" w:line="240" w:lineRule="auto"/>
        <w:jc w:val="both"/>
        <w:rPr>
          <w:color w:val="000000" w:themeColor="text1"/>
          <w:sz w:val="16"/>
          <w:szCs w:val="16"/>
        </w:rPr>
      </w:pPr>
    </w:p>
    <w:p w14:paraId="106DBA85" w14:textId="77777777" w:rsidR="009E240F" w:rsidRPr="00640820" w:rsidRDefault="009E240F" w:rsidP="00640820">
      <w:pPr>
        <w:pStyle w:val="ae"/>
        <w:shd w:val="clear" w:color="auto" w:fill="FFFFFF"/>
        <w:spacing w:before="0" w:after="0"/>
        <w:jc w:val="both"/>
        <w:rPr>
          <w:color w:val="000000" w:themeColor="text1"/>
          <w:sz w:val="16"/>
          <w:szCs w:val="16"/>
        </w:rPr>
      </w:pPr>
      <w:r w:rsidRPr="00640820">
        <w:rPr>
          <w:color w:val="000000" w:themeColor="text1"/>
          <w:sz w:val="16"/>
          <w:szCs w:val="16"/>
        </w:rPr>
        <w:t>24 сентября 1941 вышел приказ НКАП № 1009сс</w:t>
      </w:r>
    </w:p>
    <w:p w14:paraId="5C992C4C" w14:textId="77777777" w:rsidR="009E240F" w:rsidRPr="00640820" w:rsidRDefault="009E240F" w:rsidP="00640820">
      <w:pPr>
        <w:pStyle w:val="ae"/>
        <w:shd w:val="clear" w:color="auto" w:fill="FFFFFF"/>
        <w:spacing w:before="0" w:after="0"/>
        <w:jc w:val="both"/>
        <w:rPr>
          <w:color w:val="000000" w:themeColor="text1"/>
          <w:sz w:val="16"/>
          <w:szCs w:val="16"/>
        </w:rPr>
      </w:pPr>
      <w:r w:rsidRPr="00640820">
        <w:rPr>
          <w:color w:val="000000" w:themeColor="text1"/>
          <w:sz w:val="16"/>
          <w:szCs w:val="16"/>
        </w:rPr>
        <w:t>О выпуске самолетов Миг-3, Лагг-3, Як-1 и Ил-2 с установками под реактивные снаряды калибра 82 мм (у Ил-2 8 шт.) (19706).</w:t>
      </w:r>
    </w:p>
    <w:p w14:paraId="7B455159" w14:textId="77777777" w:rsidR="009E240F" w:rsidRPr="00640820" w:rsidRDefault="009E240F" w:rsidP="00640820">
      <w:pPr>
        <w:pStyle w:val="ae"/>
        <w:shd w:val="clear" w:color="auto" w:fill="FFFFFF"/>
        <w:spacing w:before="0" w:after="0"/>
        <w:jc w:val="both"/>
        <w:rPr>
          <w:color w:val="000000" w:themeColor="text1"/>
          <w:sz w:val="16"/>
          <w:szCs w:val="16"/>
        </w:rPr>
      </w:pPr>
    </w:p>
    <w:p w14:paraId="2D4EB932" w14:textId="77777777" w:rsidR="000E5B37" w:rsidRPr="00640820" w:rsidRDefault="000E5B37"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24-го сентября 1941 завод № 125 получает новый приказ Наркома (Приказы и распоряжение по НКАП и ПГУ.1941 год. Центральный архив ИАЗ. Дело № 1, ч. 2, лист 66). На основании очередного Постановления ГКО, А.И. Шахурин приказывает:</w:t>
      </w:r>
    </w:p>
    <w:p w14:paraId="4023825D" w14:textId="77777777" w:rsidR="000E5B37" w:rsidRPr="00640820" w:rsidRDefault="000E5B37" w:rsidP="00640820">
      <w:pPr>
        <w:shd w:val="clear" w:color="auto" w:fill="FFFFFF"/>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Начальнику 10 Главного Управления тов. Тарасевичу, директору завода № 125 тов. Иосилович и главному конструктору тов. Петлякову выпускать самолеты Пе-2 в пикирующем варианте, оставив на самолете Пе-2 установку автомата пикирования и тормозные воздушные решетки с управлением и мотором (15223).</w:t>
      </w:r>
    </w:p>
    <w:p w14:paraId="2D4D0367" w14:textId="77777777" w:rsidR="000E5B37" w:rsidRPr="00640820" w:rsidRDefault="000E5B37" w:rsidP="00640820">
      <w:pPr>
        <w:shd w:val="clear" w:color="auto" w:fill="FFFFFF"/>
        <w:spacing w:after="0" w:line="240" w:lineRule="auto"/>
        <w:jc w:val="both"/>
        <w:rPr>
          <w:rFonts w:ascii="Times New Roman" w:hAnsi="Times New Roman"/>
          <w:iCs/>
          <w:color w:val="000000" w:themeColor="text1"/>
          <w:sz w:val="16"/>
          <w:szCs w:val="16"/>
        </w:rPr>
      </w:pPr>
    </w:p>
    <w:p w14:paraId="7E8843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24 сентября по 1 октября 1941 под Москвой проводились уникальные экспериментальные исследования СБ, соединенного коротким троссом (начали с 60 и дошли до 5 м) или жесткой 3 м тягой с РФ-9 О.К.А. Летал С.Н.Анохин, а вкд. и был И.В.Эйнис. Было 7 полетов на тросе и 9 на тяге (94,117).</w:t>
      </w:r>
    </w:p>
    <w:p w14:paraId="4C8647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67E5D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сентября 1941 испытательные полеты Ер-2 АМ-37 на гос. испытаниях в НИИ ВВС пришлось прекратить. Помимо достаточно тривиальных (для каждой опытной машины) недоработок, начальник института бригадный инженер Федоров доложил начальнику ГУ ВВС генералу Петрову о поразительных вещах, например о том, что летчик Ер-2 2АМ-37 "при выпуске и уборке шасси вынужден передавать управление штурману, после чего он двумя руками с помощью левой ноги смещает ручку управления краном..." Далее Федоров настаивал на необходимости "обязать главного конструктора завода N 240 тов. Ермолаева немедленно устранить указанные дефекты". Испытания явно затягивались. В связи с вынужденной переброской самолета в Свердловск на аэродром Кольцове, куда было переведено соответствующее подразделение НИИ ВВС, они были закончены только в начале января 1942 г. (3322,33).</w:t>
      </w:r>
    </w:p>
    <w:p w14:paraId="48CCDD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66BDB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сентября 1941 вышел приказ НКАП N 1009 во исполнение постановление ГКО N 708 от 23 сентября 1941 в т.ч. об установке РС на МиГ-3 (4211,34).</w:t>
      </w:r>
    </w:p>
    <w:p w14:paraId="22C4C2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17281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сентября 1941 г. вышел приказ НКАП об оборудовании пятидесяти МиГ-3 шестью реактивными орудиями под крыльями к началу октября. С 4 по 16 октября (когда началась эвакуация) ежедневно РСами оснащались по шесть машин. По донесениям военпредов всего завод № 1 установил около 180 (а по заводским материалам - 217) комплектов реактивных орудий на истребители. Вскоре оборудование МиГ-3 шестью или восемью РСами начали также осуществлять во фронтовых условиях.</w:t>
      </w:r>
    </w:p>
    <w:p w14:paraId="50DEE0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воспоминаниям Н.Н. Штучкина, в его 120-м иап еще в сентябре восемь ракетных орудий смонтировали под крыльями МиГов по образцу установок на И-153. Перед началом использования инженеры проверяли правильность подвески снарядов. Летчик Григоренко сбил Однажды по неизвестной причине произо- три вражеские машины шел самопроизвольный пуск (к счастью, на МиГе обошлось без жертв и разрушений), который продемонстрировал всему летному составу огромные возможности нового оружия.</w:t>
      </w:r>
    </w:p>
    <w:p w14:paraId="115634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Как известно, первые штурмовые удары по прорывающемуся противнику датировались 2 октября 1941 г., когда авиаторы 6-го иак начали атаковать противника в районе города Белый. Спустя несколько дней последовали еще более интенсивные налеты по прорвавшейся через наш фронт юхнов- ской группировке противника. При этом основными типами самолетов, участвовавших в бомбоштурмовых ударах, были И-16, И-153 и Пе-3 (12045).</w:t>
      </w:r>
    </w:p>
    <w:p w14:paraId="3335B6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E9524E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24 сентября 1941 Народный Комиссар Авиационной Промышленности А.И.Ш. писал письмо № Н-25/6891:</w:t>
      </w:r>
    </w:p>
    <w:p w14:paraId="2AB57D2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Секретарю центрального комитеяа ВКП/б/ тов. Магенкову</w:t>
      </w:r>
    </w:p>
    <w:p w14:paraId="0F8EDC5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Заместителю Председателя Совет Народных Комиссаров Союза ССР тов. Вознесенскому В.А.</w:t>
      </w:r>
    </w:p>
    <w:p w14:paraId="76A8D98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Копия: НКБ тов. Устинову</w:t>
      </w:r>
    </w:p>
    <w:p w14:paraId="46AD6ED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письму тов. Устинова № 2687 от 11 сентября 1941 о качестве работы пулеметов Березина 12,7 мм на самолетных установках сообщаю, что недостатки установок самолета Пе-2 к настоящее время устранены.</w:t>
      </w:r>
    </w:p>
    <w:p w14:paraId="0682693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носовой установке, ввиду возросших усилий спуска пулемета БК-12,7 электроспуск заменен пневмо-электроспуском.</w:t>
      </w:r>
    </w:p>
    <w:p w14:paraId="540AB8B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люковой установке расширен звеньеотвод, перенесен патронный яшик из-за перегородки ближе к пулемету и укорочен рукав питания, Эти исправления произведены и в частях ВВС на самолете Пе-2 выпуска завода № 22, в настоящее время заканчивается устранение этихдефектов на самолетах выпуска завода № 39 (4156,202).</w:t>
      </w:r>
    </w:p>
    <w:p w14:paraId="3A5D59F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511A8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сентября 1941 Нарком авиапромышленности А.И.Шахурин на следующий же день продублировал своим приказом во исполнение постановления Государственного Комитета Оборо</w:t>
      </w:r>
      <w:r w:rsidRPr="00640820">
        <w:rPr>
          <w:rFonts w:ascii="Times New Roman" w:hAnsi="Times New Roman"/>
          <w:color w:val="000000" w:themeColor="text1"/>
          <w:sz w:val="16"/>
          <w:szCs w:val="16"/>
        </w:rPr>
        <w:softHyphen/>
        <w:t>ны №708сс от 23 сентября 1941 г. о выпуске самолетов МиГ-3, ЛаГГ-3 и Як-1 с установкой под реактивные снаряды калибра 82 мм.: «ОИ начальника 1-го Главного уп</w:t>
      </w:r>
      <w:r w:rsidRPr="00640820">
        <w:rPr>
          <w:rFonts w:ascii="Times New Roman" w:hAnsi="Times New Roman"/>
          <w:color w:val="000000" w:themeColor="text1"/>
          <w:sz w:val="16"/>
          <w:szCs w:val="16"/>
        </w:rPr>
        <w:softHyphen/>
        <w:t>равления тов.Шнец, директорам заводов №1 тов.Третьякову, №21 тов.Гостинцеву, №292 тов.Левину устанавливать на самолеты ЛаГГ-3, Як-1 и МиГ-3 оборудование под реактивные снаряды калибра 82 мм (по шесть снарядов на каждый самолет). ...Директору завода № 1 тов. Третья</w:t>
      </w:r>
      <w:r w:rsidRPr="00640820">
        <w:rPr>
          <w:rFonts w:ascii="Times New Roman" w:hAnsi="Times New Roman"/>
          <w:color w:val="000000" w:themeColor="text1"/>
          <w:sz w:val="16"/>
          <w:szCs w:val="16"/>
        </w:rPr>
        <w:softHyphen/>
        <w:t>кову устанавливать оборудование под реактивные снаряды калибра 82 мм на шести самолетах в день с 5 октября 1941 г. ...До 1 октября 1941 г. выпустить самолеты на заводе №1 (МиГ-3 — 50 машин)...».</w:t>
      </w:r>
    </w:p>
    <w:p w14:paraId="047326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Знаменитый летчик Г.Я.Бахчиванджи косвенно подтверждает, что ВВС не были готовы к вооружению новых и более скоростных машин Ракетным оружием: «Использование ракетного вооружения на более со</w:t>
      </w:r>
      <w:r w:rsidRPr="00640820">
        <w:rPr>
          <w:rFonts w:ascii="Times New Roman" w:hAnsi="Times New Roman"/>
          <w:color w:val="000000" w:themeColor="text1"/>
          <w:sz w:val="16"/>
          <w:szCs w:val="16"/>
        </w:rPr>
        <w:softHyphen/>
        <w:t>временных самолетах-истребителях поначалу требовало снижать скоростьмашин, чтобы «вписаться» в скоростной диапазон, определенный «Полными таблицами...» для истребителей предшествующего поколе</w:t>
      </w:r>
      <w:r w:rsidRPr="00640820">
        <w:rPr>
          <w:rFonts w:ascii="Times New Roman" w:hAnsi="Times New Roman"/>
          <w:color w:val="000000" w:themeColor="text1"/>
          <w:sz w:val="16"/>
          <w:szCs w:val="16"/>
        </w:rPr>
        <w:softHyphen/>
        <w:t>ния. В противном случае, прицельно вести огонь на дистанциях свыше ШОО м было невозможно. Впоследствии были разработаны поправки к таблицам воздушной стрельбы для разных типов самолетов и вырабо таны рекомендации по оптимальным углам установки ракетных орудий на конкретных машинах».</w:t>
      </w:r>
    </w:p>
    <w:p w14:paraId="508E449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более современных истребителях Як-1, Як-7, ЛаГГ-3 и МиГ-3 монтаж ракетных орудий не требовал переделки крыла серийных машин Струя продуктов сгорания из сопла РС не оказывала отрицательного влияния на обшивку крыла, фюзеляжа и элеронов самолетов и не требо</w:t>
      </w:r>
      <w:r w:rsidRPr="00640820">
        <w:rPr>
          <w:rFonts w:ascii="Times New Roman" w:hAnsi="Times New Roman"/>
          <w:color w:val="000000" w:themeColor="text1"/>
          <w:sz w:val="16"/>
          <w:szCs w:val="16"/>
        </w:rPr>
        <w:softHyphen/>
        <w:t>вала дополнительных защитных покрытий. Крылья, элероны и узлы кре</w:t>
      </w:r>
      <w:r w:rsidRPr="00640820">
        <w:rPr>
          <w:rFonts w:ascii="Times New Roman" w:hAnsi="Times New Roman"/>
          <w:color w:val="000000" w:themeColor="text1"/>
          <w:sz w:val="16"/>
          <w:szCs w:val="16"/>
        </w:rPr>
        <w:softHyphen/>
        <w:t>пления орудий обладали достаточной прочностью - случаев их поломок и деформаций после стрельбы РС не отмечалось. В эксплуатации РС-82 отличались простотой и безотказностью (по данным 16-го иап, на 100 пусков приходился лишь один отказ).</w:t>
      </w:r>
    </w:p>
    <w:p w14:paraId="7CEAB75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Як-1 реактивное вооружение начали устанавливать с октября 1941 г. (43 серия). И продолжалось это до мая 1942 г. (около 65 серии) (11402).</w:t>
      </w:r>
    </w:p>
    <w:p w14:paraId="5389487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AD19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сентября 1941 вышел приказ НКАП N 1011 "О самолете ЛаГГ-3" в исполнение постановления ГКО N 706сс от 23 сентября 1941 в целях облегчения веса самолета ЛаГГ-3 обязать снять с самолета: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643896" w:rsidRPr="00640820" w14:paraId="4AA53D8C" w14:textId="77777777" w:rsidTr="000D3BCB">
        <w:tc>
          <w:tcPr>
            <w:tcW w:w="3757" w:type="dxa"/>
            <w:tcBorders>
              <w:top w:val="single" w:sz="12" w:space="0" w:color="auto"/>
            </w:tcBorders>
          </w:tcPr>
          <w:p w14:paraId="0FB266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2хШКАС с б/з</w:t>
            </w:r>
          </w:p>
        </w:tc>
        <w:tc>
          <w:tcPr>
            <w:tcW w:w="3757" w:type="dxa"/>
            <w:tcBorders>
              <w:top w:val="single" w:sz="12" w:space="0" w:color="auto"/>
            </w:tcBorders>
          </w:tcPr>
          <w:p w14:paraId="4A1960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- 80 кг;</w:t>
            </w:r>
          </w:p>
        </w:tc>
      </w:tr>
      <w:tr w:rsidR="00643896" w:rsidRPr="00640820" w14:paraId="6AA921EA" w14:textId="77777777" w:rsidTr="000D3BCB">
        <w:tc>
          <w:tcPr>
            <w:tcW w:w="3757" w:type="dxa"/>
          </w:tcPr>
          <w:p w14:paraId="403700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крыльевые бензобаки с бензином</w:t>
            </w:r>
          </w:p>
        </w:tc>
        <w:tc>
          <w:tcPr>
            <w:tcW w:w="3757" w:type="dxa"/>
          </w:tcPr>
          <w:p w14:paraId="190B89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- 120 кг;</w:t>
            </w:r>
          </w:p>
        </w:tc>
      </w:tr>
      <w:tr w:rsidR="00643896" w:rsidRPr="00640820" w14:paraId="2206A4CD" w14:textId="77777777" w:rsidTr="000D3BCB">
        <w:tc>
          <w:tcPr>
            <w:tcW w:w="3757" w:type="dxa"/>
            <w:tcBorders>
              <w:bottom w:val="single" w:sz="12" w:space="0" w:color="auto"/>
            </w:tcBorders>
          </w:tcPr>
          <w:p w14:paraId="75870E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облегчить конструкцию</w:t>
            </w:r>
          </w:p>
        </w:tc>
        <w:tc>
          <w:tcPr>
            <w:tcW w:w="3757" w:type="dxa"/>
            <w:tcBorders>
              <w:bottom w:val="single" w:sz="12" w:space="0" w:color="auto"/>
            </w:tcBorders>
          </w:tcPr>
          <w:p w14:paraId="59475E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- 50 кг (892/2323,137)</w:t>
            </w:r>
          </w:p>
        </w:tc>
      </w:tr>
    </w:tbl>
    <w:p w14:paraId="73ED23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ГКО своим постановлением от 28 сентября 1941 за № ГОКО-706сс в целях облегчения веса с-та ЛаГГ-3 обязал снять с самолета:</w:t>
      </w:r>
    </w:p>
    <w:p w14:paraId="6B7941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два пулемета ШКАС с б/з - 80 кг</w:t>
      </w:r>
    </w:p>
    <w:p w14:paraId="25D363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крыльевые бензобаки с бензином - 120 кг</w:t>
      </w:r>
    </w:p>
    <w:p w14:paraId="39A8C3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за счет облегчения конструкции - 50 кг (внутренний капот, синхронизаторы ШКАС, воздухопроводы)</w:t>
      </w:r>
    </w:p>
    <w:p w14:paraId="1A64EF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Исполнение этого постановления приказываю:</w:t>
      </w:r>
    </w:p>
    <w:p w14:paraId="2D363B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Ио нач. ПГУ Шиц и дир. Завода № 21 Гостинцеву с 26 сентября все самолеты ЛаГГ-3 выпускать на заводе № 21 с облегченным весом на 200 кг. за счет нятия двух пулеметов ШКАС с б/з, крыльевых бензобаков и с 10 октября с облегчением дополнительно на 50 кг за счет снятия с каждого самолета внутреннего капота, синхронизаторов ШКАС, воздухопроводов).</w:t>
      </w:r>
    </w:p>
    <w:p w14:paraId="149A27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Ио нач. ПГУ Шиц, дир. Завода № 21 Гостинцеву и ГК С.А.Л.:</w:t>
      </w:r>
    </w:p>
    <w:p w14:paraId="78FA1E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с 10 октября 1941 г. выпускать ЛаГГ-3 с запасом горючего 260 кгс оборудованием подвесными б/б</w:t>
      </w:r>
    </w:p>
    <w:p w14:paraId="2E6129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Проработать вопрос о возможности увеличения боезапаса на БС до 300 патронов или установку дополнительного БС</w:t>
      </w:r>
    </w:p>
    <w:p w14:paraId="607969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Обеспечить установку специального оборудования для подвески РС в количестве 6 калибра 82 мм.</w:t>
      </w:r>
    </w:p>
    <w:p w14:paraId="2CC6A7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Установку РС обеспечивать только на облегченно на немее, чем 200 кг варианте</w:t>
      </w:r>
    </w:p>
    <w:p w14:paraId="5C06FE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 же и на заводе № 153 (1004,137).</w:t>
      </w:r>
    </w:p>
    <w:p w14:paraId="135C4A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6A70B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сентября 1941 Дир. завода 301 писал Зам. НКАП А.С.Я. письмо N 20/2122 о том, что в период июль, август, сентябрь бригадами завода 301 в воинских частях в действующей армии проведена большая работа по восстановлению аварийных и даже подлежащих списанию Як-1 и Як-7. Просил награды для 5 работников бригад (1648,102).</w:t>
      </w:r>
    </w:p>
    <w:p w14:paraId="616E3C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D1D57A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сентября 1941 Дир. Завода № 301 Воронин писал письмо № 20/2122 Зам. НКАП А.С.Я.</w:t>
      </w:r>
    </w:p>
    <w:p w14:paraId="49B8B3E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период времени июль, август, сентябрь с/г бригадами нашего завода в Воинских частях в действующей армия произведена большая работа по восстановлению аварийных и даже подлежащих списанию машин "Як-1" и "Як-7".</w:t>
      </w:r>
    </w:p>
    <w:p w14:paraId="4DDB7A8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Бригады не считаясь со временем и условиями выпол</w:t>
      </w:r>
      <w:r w:rsidRPr="00640820">
        <w:rPr>
          <w:rFonts w:ascii="Times New Roman" w:hAnsi="Times New Roman"/>
          <w:color w:val="000000" w:themeColor="text1"/>
          <w:sz w:val="16"/>
          <w:szCs w:val="16"/>
        </w:rPr>
        <w:softHyphen/>
        <w:t>няли работу в кратчайшие сроки, проявляя при этом героизм и преданность партии ЛЕНИНА-СТАЛИНА, чтобы как можно боль</w:t>
      </w:r>
      <w:r w:rsidRPr="00640820">
        <w:rPr>
          <w:rFonts w:ascii="Times New Roman" w:hAnsi="Times New Roman"/>
          <w:color w:val="000000" w:themeColor="text1"/>
          <w:sz w:val="16"/>
          <w:szCs w:val="16"/>
        </w:rPr>
        <w:softHyphen/>
        <w:t>ше принести пользы своей работой Красной Армии. За отличную работу бригад в частях завод получил много отзывов и характеристик подтверждающих дисциплинированность и образцы работы как отдельных рабочих,так и всей бригады в целом.</w:t>
      </w:r>
    </w:p>
    <w:p w14:paraId="77F7F79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Ходатайствую перед Вами о представлении к награде осо</w:t>
      </w:r>
      <w:r w:rsidRPr="00640820">
        <w:rPr>
          <w:rFonts w:ascii="Times New Roman" w:hAnsi="Times New Roman"/>
          <w:color w:val="000000" w:themeColor="text1"/>
          <w:sz w:val="16"/>
          <w:szCs w:val="16"/>
        </w:rPr>
        <w:softHyphen/>
        <w:t>бо отличившихся работников завода, работе которых, дана высокая оценка командования Воинских Частей.</w:t>
      </w:r>
    </w:p>
    <w:p w14:paraId="7EE31DD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ГРЕКИНА Ал-дра Ивановича - нач. бригады в 11 ИАП.</w:t>
      </w:r>
    </w:p>
    <w:p w14:paraId="69FBEEC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ШАМЕТОВА Алексея Захаровича - медника.</w:t>
      </w:r>
    </w:p>
    <w:p w14:paraId="010370D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ОРЛОВА Константина Захаровича - сварщика</w:t>
      </w:r>
    </w:p>
    <w:p w14:paraId="7C0D360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РЯБИНИНА Ивана Васильевича - мастера.</w:t>
      </w:r>
    </w:p>
    <w:p w14:paraId="21DDCA4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МАРЦИНОВСКОГО Владимира Антоновича- слес. по вооруж.</w:t>
      </w:r>
    </w:p>
    <w:p w14:paraId="54A5422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Отзывы и характеристики от работе бригад на 5-ти листах (1648,102).</w:t>
      </w:r>
    </w:p>
    <w:p w14:paraId="62E6EB5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3AC2A9" w14:textId="77777777" w:rsidR="00843B64" w:rsidRPr="00640820" w:rsidRDefault="00843B6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24 сентября 1941 вышел приказ НКАП № 1011 «О самолете ЛаГГ-3» во исполнение постановления ГКО № 706сс от 23 сентября 1941 года. В целях облегчения веса самолета ЛаГГ-3 ГКО обязал с 26 сентября все самолеты ЛаГГ-3 выпускать на заводе № 21 со сниженным на 200 кг весом за счет снятия двух пулеметов ШКАС, крыльевых бензобаков и с 10 октября с облегчением дополнительно на 50 кг за счет снятия с каждого самолета внутреннего капота, синхронизаторов ШКАС, воздухопроводов. Вместе с тем, с 10 октября 1941 года ЛаГГ-3 с уменьшенным до 260 кг запасом горючего должны были оснащаться подвесными баками. Дополнительно требовалось до 15 октября проработать вопрос о возможности увеличения боезапаса пулемета БС до 300 патронов или установки дополнительного БС и доложить результаты испытаний в ГКО. Облегченные на 200 килограммов машины должны были нести шесть РС-82. 3авод 153 переходил на выпуск облегченных на 200 кг машин с 28 сентября, а на установку подвесных баков – с 15 октября (23197).</w:t>
      </w:r>
    </w:p>
    <w:p w14:paraId="0D4ACB6E" w14:textId="77777777" w:rsidR="00843B64" w:rsidRPr="00640820" w:rsidRDefault="00843B64" w:rsidP="00640820">
      <w:pPr>
        <w:spacing w:after="0" w:line="240" w:lineRule="auto"/>
        <w:jc w:val="both"/>
        <w:rPr>
          <w:rFonts w:ascii="Times New Roman" w:hAnsi="Times New Roman"/>
          <w:color w:val="0070C0"/>
          <w:sz w:val="16"/>
          <w:szCs w:val="16"/>
        </w:rPr>
      </w:pPr>
    </w:p>
    <w:p w14:paraId="4FE046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24 сентября 1941 летчик-испытатель А.И. Никашин со</w:t>
      </w:r>
      <w:r w:rsidRPr="00640820">
        <w:rPr>
          <w:rFonts w:ascii="Times New Roman" w:hAnsi="Times New Roman"/>
          <w:color w:val="000000" w:themeColor="text1"/>
          <w:sz w:val="16"/>
          <w:szCs w:val="16"/>
        </w:rPr>
        <w:softHyphen/>
        <w:t>вершил на Гу-82 12 полетов (первый вылет в ЛИИ 11 сентября 1941 года), в которых, как доложил Гудков Сталину 11 ок</w:t>
      </w:r>
      <w:r w:rsidRPr="00640820">
        <w:rPr>
          <w:rFonts w:ascii="Times New Roman" w:hAnsi="Times New Roman"/>
          <w:color w:val="000000" w:themeColor="text1"/>
          <w:sz w:val="16"/>
          <w:szCs w:val="16"/>
        </w:rPr>
        <w:softHyphen/>
        <w:t>тября, была получена максимальная скорость 580 км/ч на высоте 6400 м и время подъема на высоту 5000 м -7-7,5 минут. По расчету же макси</w:t>
      </w:r>
      <w:r w:rsidRPr="00640820">
        <w:rPr>
          <w:rFonts w:ascii="Times New Roman" w:hAnsi="Times New Roman"/>
          <w:color w:val="000000" w:themeColor="text1"/>
          <w:sz w:val="16"/>
          <w:szCs w:val="16"/>
        </w:rPr>
        <w:softHyphen/>
        <w:t>мальная скорость должна была со</w:t>
      </w:r>
      <w:r w:rsidRPr="00640820">
        <w:rPr>
          <w:rFonts w:ascii="Times New Roman" w:hAnsi="Times New Roman"/>
          <w:color w:val="000000" w:themeColor="text1"/>
          <w:sz w:val="16"/>
          <w:szCs w:val="16"/>
        </w:rPr>
        <w:softHyphen/>
        <w:t>ставить 615-620 км/ч. Недополучение скоростей Гудков объяснял плохим качеством изготовления планера ис</w:t>
      </w:r>
      <w:r w:rsidRPr="00640820">
        <w:rPr>
          <w:rFonts w:ascii="Times New Roman" w:hAnsi="Times New Roman"/>
          <w:color w:val="000000" w:themeColor="text1"/>
          <w:sz w:val="16"/>
          <w:szCs w:val="16"/>
        </w:rPr>
        <w:softHyphen/>
        <w:t>ходного ЛаГГ-3 на заводе №21 в Горь</w:t>
      </w:r>
      <w:r w:rsidRPr="00640820">
        <w:rPr>
          <w:rFonts w:ascii="Times New Roman" w:hAnsi="Times New Roman"/>
          <w:color w:val="000000" w:themeColor="text1"/>
          <w:sz w:val="16"/>
          <w:szCs w:val="16"/>
        </w:rPr>
        <w:softHyphen/>
        <w:t>ком. Однако, несмотря на это, Гудков просил разрешить ему организовать серийное производство Гу-82 на од</w:t>
      </w:r>
      <w:r w:rsidRPr="00640820">
        <w:rPr>
          <w:rFonts w:ascii="Times New Roman" w:hAnsi="Times New Roman"/>
          <w:color w:val="000000" w:themeColor="text1"/>
          <w:sz w:val="16"/>
          <w:szCs w:val="16"/>
        </w:rPr>
        <w:softHyphen/>
        <w:t>ном из серийных заводов, выпускаю</w:t>
      </w:r>
      <w:r w:rsidRPr="00640820">
        <w:rPr>
          <w:rFonts w:ascii="Times New Roman" w:hAnsi="Times New Roman"/>
          <w:color w:val="000000" w:themeColor="text1"/>
          <w:sz w:val="16"/>
          <w:szCs w:val="16"/>
        </w:rPr>
        <w:softHyphen/>
        <w:t>щих ЛаГГи, обязуясь устранить выяв</w:t>
      </w:r>
      <w:r w:rsidRPr="00640820">
        <w:rPr>
          <w:rFonts w:ascii="Times New Roman" w:hAnsi="Times New Roman"/>
          <w:color w:val="000000" w:themeColor="text1"/>
          <w:sz w:val="16"/>
          <w:szCs w:val="16"/>
        </w:rPr>
        <w:softHyphen/>
        <w:t>ленные дефекты и довести скорость до 600 км/ч (10686).</w:t>
      </w:r>
    </w:p>
    <w:p w14:paraId="6A0C9F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151AE5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24 сентября по 1 октября 1941 г. РФ-8 стали использовать для экспериментов по буксировке планёров укороченным тросом и жёсткой тягой. Буксировщиком слу</w:t>
      </w:r>
      <w:r w:rsidRPr="00640820">
        <w:rPr>
          <w:rFonts w:ascii="Times New Roman" w:hAnsi="Times New Roman"/>
          <w:color w:val="000000" w:themeColor="text1"/>
          <w:sz w:val="16"/>
          <w:szCs w:val="16"/>
        </w:rPr>
        <w:softHyphen/>
        <w:t>жил бомбардировщик СБ. РФ-8 пилоти</w:t>
      </w:r>
      <w:r w:rsidRPr="00640820">
        <w:rPr>
          <w:rFonts w:ascii="Times New Roman" w:hAnsi="Times New Roman"/>
          <w:color w:val="000000" w:themeColor="text1"/>
          <w:sz w:val="16"/>
          <w:szCs w:val="16"/>
        </w:rPr>
        <w:softHyphen/>
        <w:t>ровал С.Н. Анохин. Длину троса после</w:t>
      </w:r>
      <w:r w:rsidRPr="00640820">
        <w:rPr>
          <w:rFonts w:ascii="Times New Roman" w:hAnsi="Times New Roman"/>
          <w:color w:val="000000" w:themeColor="text1"/>
          <w:sz w:val="16"/>
          <w:szCs w:val="16"/>
        </w:rPr>
        <w:softHyphen/>
        <w:t>довательно сокращали от 60 до 5 м, а затем перешли к жёсткой тяге длиной 3 м. Всего совершили 16 полётов. От</w:t>
      </w:r>
      <w:r w:rsidRPr="00640820">
        <w:rPr>
          <w:rFonts w:ascii="Times New Roman" w:hAnsi="Times New Roman"/>
          <w:color w:val="000000" w:themeColor="text1"/>
          <w:sz w:val="16"/>
          <w:szCs w:val="16"/>
        </w:rPr>
        <w:softHyphen/>
        <w:t>клонения от обычной практики нача</w:t>
      </w:r>
      <w:r w:rsidRPr="00640820">
        <w:rPr>
          <w:rFonts w:ascii="Times New Roman" w:hAnsi="Times New Roman"/>
          <w:color w:val="000000" w:themeColor="text1"/>
          <w:sz w:val="16"/>
          <w:szCs w:val="16"/>
        </w:rPr>
        <w:softHyphen/>
        <w:t>лись с 20 м. Пилотирование планёра резко усложнилось и требовало боль</w:t>
      </w:r>
      <w:r w:rsidRPr="00640820">
        <w:rPr>
          <w:rFonts w:ascii="Times New Roman" w:hAnsi="Times New Roman"/>
          <w:color w:val="000000" w:themeColor="text1"/>
          <w:sz w:val="16"/>
          <w:szCs w:val="16"/>
        </w:rPr>
        <w:softHyphen/>
        <w:t>шего внимания. Эффективность рулей и элеронов возросла из-за обдува их струями воздуха от винтов буксировщи</w:t>
      </w:r>
      <w:r w:rsidRPr="00640820">
        <w:rPr>
          <w:rFonts w:ascii="Times New Roman" w:hAnsi="Times New Roman"/>
          <w:color w:val="000000" w:themeColor="text1"/>
          <w:sz w:val="16"/>
          <w:szCs w:val="16"/>
        </w:rPr>
        <w:softHyphen/>
        <w:t>ка. Разбег планёра на коротком тросе выглядел зигзагообразным. Ещё труд</w:t>
      </w:r>
      <w:r w:rsidRPr="00640820">
        <w:rPr>
          <w:rFonts w:ascii="Times New Roman" w:hAnsi="Times New Roman"/>
          <w:color w:val="000000" w:themeColor="text1"/>
          <w:sz w:val="16"/>
          <w:szCs w:val="16"/>
        </w:rPr>
        <w:softHyphen/>
        <w:t>нее оказалось летать в жёсткой сцепке. От использования укороченных тросов и жёсткой тяги отказались (12266).</w:t>
      </w:r>
    </w:p>
    <w:p w14:paraId="359998A5"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6081BA6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24 сентября по 1 октября 1941 г. прохо</w:t>
      </w:r>
      <w:r w:rsidRPr="00640820">
        <w:rPr>
          <w:rFonts w:ascii="Times New Roman" w:hAnsi="Times New Roman"/>
          <w:color w:val="000000" w:themeColor="text1"/>
          <w:sz w:val="16"/>
          <w:szCs w:val="16"/>
        </w:rPr>
        <w:softHyphen/>
        <w:t>дили полеты протопипа Р-8, модифицированного для экспериментов по буксировке планеров укороченным тросом и жесткой тягой. Буксировщи</w:t>
      </w:r>
      <w:r w:rsidRPr="00640820">
        <w:rPr>
          <w:rFonts w:ascii="Times New Roman" w:hAnsi="Times New Roman"/>
          <w:color w:val="000000" w:themeColor="text1"/>
          <w:sz w:val="16"/>
          <w:szCs w:val="16"/>
        </w:rPr>
        <w:softHyphen/>
        <w:t>ком служил бомбардировщик СБ. РФ-8 пилотировал С.Н. Анохин. Длину троса последовательно сокраща</w:t>
      </w:r>
      <w:r w:rsidRPr="00640820">
        <w:rPr>
          <w:rFonts w:ascii="Times New Roman" w:hAnsi="Times New Roman"/>
          <w:color w:val="000000" w:themeColor="text1"/>
          <w:sz w:val="16"/>
          <w:szCs w:val="16"/>
        </w:rPr>
        <w:softHyphen/>
        <w:t>ли от 60 до 5 м, а затем перешли к жесткой тяге дли</w:t>
      </w:r>
      <w:r w:rsidRPr="00640820">
        <w:rPr>
          <w:rFonts w:ascii="Times New Roman" w:hAnsi="Times New Roman"/>
          <w:color w:val="000000" w:themeColor="text1"/>
          <w:sz w:val="16"/>
          <w:szCs w:val="16"/>
        </w:rPr>
        <w:softHyphen/>
        <w:t>ной 3 м. Всего совершили 16 полетов. Отклонения от обычной практики начались с 20 м. Пилотирование планера резко усложнилось и требовало большего внимания. Эффективность рулей и элеронов возрос</w:t>
      </w:r>
      <w:r w:rsidRPr="00640820">
        <w:rPr>
          <w:rFonts w:ascii="Times New Roman" w:hAnsi="Times New Roman"/>
          <w:color w:val="000000" w:themeColor="text1"/>
          <w:sz w:val="16"/>
          <w:szCs w:val="16"/>
        </w:rPr>
        <w:softHyphen/>
        <w:t>ла из-за обдува их струями воздуха от винтов букси</w:t>
      </w:r>
      <w:r w:rsidRPr="00640820">
        <w:rPr>
          <w:rFonts w:ascii="Times New Roman" w:hAnsi="Times New Roman"/>
          <w:color w:val="000000" w:themeColor="text1"/>
          <w:sz w:val="16"/>
          <w:szCs w:val="16"/>
        </w:rPr>
        <w:softHyphen/>
        <w:t>ровщика. Разбег планера на коротком тросе выгля</w:t>
      </w:r>
      <w:r w:rsidRPr="00640820">
        <w:rPr>
          <w:rFonts w:ascii="Times New Roman" w:hAnsi="Times New Roman"/>
          <w:color w:val="000000" w:themeColor="text1"/>
          <w:sz w:val="16"/>
          <w:szCs w:val="16"/>
        </w:rPr>
        <w:softHyphen/>
        <w:t>дел зигзагообразным. Еще труднее оказалось летать в жесткой сцепке. От использования укороченных тросов и жесткой тяги отказались (12300).</w:t>
      </w:r>
    </w:p>
    <w:p w14:paraId="6BD8B2CB"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73500A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24 сентября по 6 октября 1941 в НИИ ВВС испытывали Томагаук N АН 975, которая в числе первых 146 прибыла в Архангельск 1 сентября и которую передали в НИИ ВВС для летных испытаний и подготовки рекомендаций по эксплуатации и боевому применению. Согласно отчета НИИ это был Томагаук I, но по американской классификации машина с 6 пулеметами д.б. называться Томагаук II, промежуточный между В и С. Ви был С.Г.Фролов, а вл - А.Г.Кочетков. Сделали 33 полета, в т.ч. Архангельск-Вологда-Чкаловское - 3:20 (3805,7).</w:t>
      </w:r>
    </w:p>
    <w:p w14:paraId="60AF10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727A6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сентября 1941 года вышел Приказ № 298/142 НКАП и председателя Центросоюза</w:t>
      </w:r>
    </w:p>
    <w:p w14:paraId="072045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увеличения производственных площадей завода им. Фрунзе НКАП, передать в систему НКАП на время войны освободившиеся здания и сооружения московской автобазы Центросоюза (8122, 304).</w:t>
      </w:r>
    </w:p>
    <w:p w14:paraId="7C2951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838BD39"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13C02287"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CF96152" w14:textId="77777777" w:rsidR="00A458F8" w:rsidRPr="00640820" w:rsidRDefault="00A458F8"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24 сентября 1941 года было подготовлено заключение, которое оказалось отнюдь не в пользу «штурмовика-истребителя танков» Суреняна. Военным не понравилась слишком плотная компоновка боевого отделения, которая отнюдь не способствовала удобству работы экипажа, а также скорости перезарядки орудия. В штыки было встречено и сильно выступающее вперёд вооружение, которое снижало манёвренность машины при движении в лесу и по пересечённой местности. Стоит добавить, что вынесенное вперёд вооружение должно было увеличить нагрузку на передние опорные катки, что ускоряло бы их износ. Одним словом, идею забраковали (17665).</w:t>
      </w:r>
    </w:p>
    <w:p w14:paraId="16175D2F" w14:textId="77777777" w:rsidR="00A458F8" w:rsidRPr="00640820" w:rsidRDefault="00A458F8" w:rsidP="00640820">
      <w:pPr>
        <w:spacing w:after="0" w:line="240" w:lineRule="auto"/>
        <w:jc w:val="both"/>
        <w:rPr>
          <w:rFonts w:ascii="Times New Roman" w:eastAsia="Times New Roman" w:hAnsi="Times New Roman"/>
          <w:color w:val="000000" w:themeColor="text1"/>
          <w:sz w:val="16"/>
          <w:szCs w:val="16"/>
          <w:lang w:eastAsia="ru-RU"/>
        </w:rPr>
      </w:pPr>
    </w:p>
    <w:p w14:paraId="195E981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сентября 1941 года вышел Приказ НКБ № 545</w:t>
      </w:r>
    </w:p>
    <w:p w14:paraId="5CFE415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Принятый на основании приказа НКБ № 367с от 6 августа 1941 года Каслинский чугунолитейный завод НКМП включить в НКБ и присвоить номер 613 (5598, 126).</w:t>
      </w:r>
    </w:p>
    <w:p w14:paraId="211C7D6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04462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сентября 1941 года вышел Приказ НКБ № 546</w:t>
      </w:r>
    </w:p>
    <w:p w14:paraId="0804A05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изменение приказа № 173 от 16 июня 1941 года завод № 560 передать в 1 Гл. управление НКБ для производства снаряжения боеприпасов (5677, 129).</w:t>
      </w:r>
    </w:p>
    <w:p w14:paraId="3488C0D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5BB72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сентября 1941 года вышел приказ № 474 НКВ</w:t>
      </w:r>
    </w:p>
    <w:p w14:paraId="428E16F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исполнение Постановления ГКО от 22 сентября 1941 года за № 704сс</w:t>
      </w:r>
    </w:p>
    <w:p w14:paraId="60145D7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Начальнику 3 Гл. управления произвести приемку патронного завода (включая производство 20 мм гильз) Комбината № 179 НКБ и присвоить ему № 524 (6305, 185).</w:t>
      </w:r>
    </w:p>
    <w:p w14:paraId="0853A17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65FAE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сентября 1941 года вышел приказ № 472сс/94сс НКВ и Наркомату легкой промышленности</w:t>
      </w:r>
    </w:p>
    <w:p w14:paraId="6257D50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исполнение распоряжения СНК от 20 сентября 1941 года за № 10601рс</w:t>
      </w:r>
    </w:p>
    <w:p w14:paraId="5E9518B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Главстекло НКЛП сдать, а 2-му Гл. управлению НКВ принять стеклозавод “Красный Гигант” (6305, 179).</w:t>
      </w:r>
    </w:p>
    <w:p w14:paraId="18E2A2F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91A5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сентября 1941 вышло Постановление ГКО № 709 О снабжении строительства Уральского алюминиевого завода. РГАНИР, Фонд ГКО, д. 10, лл. 78-79 (11012).</w:t>
      </w:r>
    </w:p>
    <w:p w14:paraId="738087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4C990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сентября 1941 В Томск прибыли 229 рабочих и служащих и оборудование Московского электролампового завода. Разместившись в учебных корпусах медицинского института и университета, завод дал первую продукцию на нужды фронта 15 декабря 1941-го. Объединен с Запрудненским стекольным заводом в Томский электроламповый завод (11858).</w:t>
      </w:r>
    </w:p>
    <w:p w14:paraId="63C03B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0B3B0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24 сентября 1941 г. часть оборудования и кадров Московского электролампового завода (229 чел.) эвакуированы в Томск и разместились в корпусах Томского мединститута и университета. На их базе в 09.1941 г. образован Томский электроламповый завод в ведении НКЭП. Уже 7.11.1941 г. завод на новом месте выдал первую продукцию, а 15.12.1941 г. изготовлена первая 1000 авиационных ламп (этот день стал днем рождения завода). В конце декабря 1941 г. сюда эвакуирован также Запрудненский стекольный завод, в 01.1942 г. электроламповое и стекольное производства объединены. 11.11.1942 г. Томский электроламповый переименован в ГС завод № 660 (Завод № 660 НКЭП, МПСС, </w:t>
      </w:r>
      <w:r w:rsidRPr="00640820">
        <w:rPr>
          <w:rFonts w:ascii="Times New Roman" w:hAnsi="Times New Roman"/>
          <w:color w:val="000000" w:themeColor="text1"/>
          <w:sz w:val="16"/>
          <w:szCs w:val="16"/>
          <w:lang w:val="en-US"/>
        </w:rPr>
        <w:t>MPTTI</w:t>
      </w:r>
      <w:r w:rsidRPr="00640820">
        <w:rPr>
          <w:rFonts w:ascii="Times New Roman" w:hAnsi="Times New Roman"/>
          <w:color w:val="000000" w:themeColor="text1"/>
          <w:sz w:val="16"/>
          <w:szCs w:val="16"/>
        </w:rPr>
        <w:t>, СНХ, п/я 134, Томский электроламповый завод (ТЭЛЗ) МЭТП РСФСР, АОЗТ, ЗАО «ТЭЛЗ» /634034  г. Томск пр. Кирова, 5/). Позднее получил наименование «п/я 134». С 28.06.1946 г. передан в ведете 5ГУ МПСС, с 1.01.1953 г.- 12ГУ МПСС, а с 1954 г.- в ведении МРТП.</w:t>
      </w:r>
    </w:p>
    <w:p w14:paraId="687CFB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1945 г. на заводе действовало 8 сборочных линий, а к 1958 г.- 14. В 1964-66 г. построен новый производственный корпус № 2, в котором размещены сборочный и заготовителный цехи.</w:t>
      </w:r>
    </w:p>
    <w:p w14:paraId="1DC8B0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1957 г. завод - в ведении Томского СНХ, с 1963 г. - Управления радиотехнической и электронной промышленности Западно-Сибирского СНХ,</w:t>
      </w:r>
      <w:r w:rsidRPr="00640820">
        <w:rPr>
          <w:rFonts w:ascii="Times New Roman" w:hAnsi="Times New Roman"/>
          <w:color w:val="000000" w:themeColor="text1"/>
          <w:sz w:val="16"/>
          <w:szCs w:val="16"/>
          <w:vertAlign w:val="superscript"/>
        </w:rPr>
        <w:t>80</w:t>
      </w:r>
      <w:r w:rsidRPr="00640820">
        <w:rPr>
          <w:rFonts w:ascii="Times New Roman" w:hAnsi="Times New Roman"/>
          <w:color w:val="000000" w:themeColor="text1"/>
          <w:sz w:val="16"/>
          <w:szCs w:val="16"/>
        </w:rPr>
        <w:t xml:space="preserve"> с 1966 г. - в ведении МЭТП РСФСР.</w:t>
      </w:r>
    </w:p>
    <w:p w14:paraId="3723DF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1960-е  г. выпускал специальные лампы и колбы для различных приборов и узлов оборонной техники. В 1975 г. завод выпустил 123 млн. ламп, а в 1982 г.- 133 млн. шт. Всего к началу 2000-х  г. выпущено более 4,6 млрд ламп.</w:t>
      </w:r>
    </w:p>
    <w:p w14:paraId="763646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1992 г. завод преобразован в АОЗТ ТЭЛЗ. В 2003 г. вошло в состав холдинга В.А.В.С.</w:t>
      </w:r>
    </w:p>
    <w:p w14:paraId="1B2C0B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2008 г. предприятие находилось в процессе внешнего наблюдения.</w:t>
      </w:r>
    </w:p>
    <w:p w14:paraId="03B356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(15.09.1964 г.)- 2668 чел.</w:t>
      </w:r>
      <w:r w:rsidRPr="00640820">
        <w:rPr>
          <w:rFonts w:ascii="Times New Roman" w:hAnsi="Times New Roman"/>
          <w:color w:val="000000" w:themeColor="text1"/>
          <w:sz w:val="16"/>
          <w:szCs w:val="16"/>
          <w:vertAlign w:val="superscript"/>
        </w:rPr>
        <w:t>80</w:t>
      </w:r>
    </w:p>
    <w:p w14:paraId="120041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(01.1942-70 г.)- А.Т. Иванов. Гендиректор (2005 г.)- М.В. Казаков, (2007 г.-)- В. Голубев (11982).</w:t>
      </w:r>
    </w:p>
    <w:p w14:paraId="2EEDB3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00A56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сентября 1941 была начата постройка в Ленинграде по чертежам НТК НК ВМФ 30 несамоходных плашкоутов (10671).</w:t>
      </w:r>
    </w:p>
    <w:p w14:paraId="579B27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64BC0EC"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5335067C"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4469A7D"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24 сентября </w:t>
      </w:r>
      <w:r w:rsidRPr="00640820">
        <w:rPr>
          <w:rFonts w:ascii="Times New Roman" w:hAnsi="Times New Roman"/>
          <w:color w:val="000000" w:themeColor="text1"/>
          <w:sz w:val="16"/>
          <w:szCs w:val="16"/>
        </w:rPr>
        <w:t>в 1941 году дневное сообщение Совинформбюро:</w:t>
      </w:r>
    </w:p>
    <w:p w14:paraId="13A18647"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24 сентября наши войска вели бои с противником на всём фронте.</w:t>
      </w:r>
    </w:p>
    <w:p w14:paraId="36A9159B"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участков Западного направления наши части уничтожили 450 немецких солдат и офицеров, орудийную батарею и 10 автомашин. Среди захваченных трофеев — 10 орудий разных калибров, 11 миномётов, 9 станковых пулемётов, 12 ручных пулемётов, 59 автоматов, несколько тысяч артиллерийских снарядов, 3.900 мин, много боеприпасов и снаряжения.</w:t>
      </w:r>
    </w:p>
    <w:p w14:paraId="0FAE9D8C"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ночном бою танковое подразделение тов. Возникова разгромило немецкую танковую колонну и захватило 20 подбитых и 16 исправных танков. В плен сдались 117 солдат и офицеров противника. В одной из подбитых машин обнаружены документы штаба немецкой танковой дивизии.</w:t>
      </w:r>
    </w:p>
    <w:p w14:paraId="38DECD37"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подступах к Одессе наши войска разгромили части недавно вновь доукомплектованных 13 и 15 румынских пехотных дивизий. Нашими бойцами захвачены 2 батареи тяжёлых орудий, 100 пулемётов, много миномётов и боеприпасов. Сбор трофеев и их подсчёт продолжаются.</w:t>
      </w:r>
    </w:p>
    <w:p w14:paraId="56738A26"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Лётчики морской авиации сбили за 22 сентября 13 самолётов противника и уничтожили при налёте на вражеский аэродром 10 самолётов. На подступах к Ленинграду группа бомбардировщиков морской авиации Краснознамённого Балтийского флота уничтожила две немецкие зенитные батареи, 11 зенитных пулемётных точек, 14 бронемашин и 8 орудий. Авиация Черноморского флота при налёте на вражеские аэродромы уничтожила 11 самолётов противника.</w:t>
      </w:r>
    </w:p>
    <w:p w14:paraId="2987C579"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Партизанский отряд под командованием учителя тов. М., действующий в Одесской области, совершил ряд смелых нападений на немецкие части. Недавно в селе У. расположился отряд немецкой мотопехоты в 50 солдат. Фашисты грабили крестьян и всячески над ними издевались. Ночью партизаны во главе с командиром бесшумно сняли часовых и ворвались в село. Партизаны уничтожили 20 солдат и 2 офицеров, подожгли 12 автомашин и цистерну с бензином. В руки партизан попало много оружия и боеприпасов. Через несколько дней партизанский отряд поджёг мельницу у города С., куда оккупанты свезли для помола зерно для германской армии. Во время пожара сгорело много зерна.</w:t>
      </w:r>
    </w:p>
    <w:p w14:paraId="58AF7B7D"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Захватив село Семцы, Почепского района, фашисты разорили его дотла. Около одной избы немецкие солдаты нашли несколько гильз от патронов. Бандиты ворвались в дом, схватили хозяйку Марию Ахроменкову и потащили на улицу. У Ахроменковой на руках был грудной ребёнок. Гитлеровские выродки вырвали из рук матери младенца и бросили в огород, а затем расстреляли несчастную мать. В тот же день немцы на глазах колхозника Дерюгина растерзали его двенадцатилетнего сына </w:t>
      </w:r>
      <w:r w:rsidRPr="00640820">
        <w:rPr>
          <w:rFonts w:ascii="Times New Roman" w:hAnsi="Times New Roman"/>
          <w:color w:val="000000" w:themeColor="text1"/>
          <w:sz w:val="16"/>
          <w:szCs w:val="16"/>
        </w:rPr>
        <w:lastRenderedPageBreak/>
        <w:t>Егора. Шестидесятилетний колхозник Фёдор Пабычев, житель села Семцы, говорит: «У меня фашистские грабители забрали тёлку, свинью, овец и разорили 6 колод пчёл. Когда я пытался протестовать, немецкие солдаты избили меня до полусмерти».</w:t>
      </w:r>
    </w:p>
    <w:p w14:paraId="5F213DA7"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Злодейское убийство совершили фашисты на разъезде Паниковка. Рано утром группа немецких разведчиков вломилась в станционную будку и учинила допрос сторожу. Отказавшийся отвечать на вопросы немцев сторож А.Е.Голиков был подвергнут жестоким пыткам. Ему выкрутили руки и перебили рёбра. Дальнейшим издевательствам помешали красноармейцы, которые в это время подошли к будке. Фашисты, убегая, бросили в сторожку гранату и убили старика. Патриот Голиков похоронен местным населением. Ему было 70 лет, 40 из которых он проработал на разъезде.</w:t>
      </w:r>
    </w:p>
    <w:p w14:paraId="1947284E"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Бельгийские патриоты всячески противодействуют мероприятиям фашистских оккупантов. На призыв оккупационных властей увеличить выпуск продукции на военных предприятиях Льежа и Антверпена патриоты ответили резким снижением количества и качества изделий. В течение сентября в ряде городов Бельгии Нивеле, Гюа, Дисте, Валькуре произошли крупные пожары в зданиях, которые занимали немецкие офицеры, солдаты и различные германские оккупационные власти. Несколько дней бушевал пожар в лесу северо-восточнее Антверпена. Во время пожара слышны были сильные взрывы. Как выяснилось, лес был подожжён бельгийскими патриотами, которые установили, что там находится немецкий склад боеприпасов и военных материалов. Боеприпасы и материалы немецких воинских частей были уничтожены.</w:t>
      </w:r>
    </w:p>
    <w:p w14:paraId="59E1FCBF"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Агрономы, зоотехники и другие работники животноводческих совхозов прифронтовой полосы сохраняют поголовье племенного скота. Бухгалтеру совхоза Токарево П. П. Клюеву было поручено перегнать в глубокий тыл 205 племенных коров, быков и телят. Несмотря на трудности перегона, весь скот доставлен на место назначения в хорошем состоянии. Управляющий фермой совхоза Засижье тов. Гаврилов отлично руководил перегоном более 700 голов скота. Значительную часть пути пришлось пройти по району действий вражеской авиации. Все животные были доставлены в целости. Работники племсовхоза Сычёвка, перегоняя 750 голов скота, организовали в пути переработку молока на сепараторах. Обратом кормили телят, а сливки сдавали на сливные пункты. Перегоном ценнейшего племенного стада руководила тов. О.В.Суровникова — работник совхоза Носково. Она успешно вывела скот из опасной зоны и доставила его на место назначения без потерь.» (14779).</w:t>
      </w:r>
    </w:p>
    <w:p w14:paraId="4DA9FF02" w14:textId="77777777" w:rsidR="00E118CB" w:rsidRPr="00640820" w:rsidRDefault="00E118CB" w:rsidP="00640820">
      <w:pPr>
        <w:spacing w:after="0" w:line="240" w:lineRule="auto"/>
        <w:jc w:val="both"/>
        <w:rPr>
          <w:rFonts w:ascii="Times New Roman" w:hAnsi="Times New Roman"/>
          <w:color w:val="000000" w:themeColor="text1"/>
          <w:sz w:val="16"/>
          <w:szCs w:val="16"/>
        </w:rPr>
      </w:pPr>
    </w:p>
    <w:p w14:paraId="0DA8BE7B"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24 сентября </w:t>
      </w:r>
      <w:r w:rsidRPr="00640820">
        <w:rPr>
          <w:rFonts w:ascii="Times New Roman" w:hAnsi="Times New Roman"/>
          <w:color w:val="000000" w:themeColor="text1"/>
          <w:sz w:val="16"/>
          <w:szCs w:val="16"/>
        </w:rPr>
        <w:t>в 1941 году вечернее сообщение Совинформбюро:</w:t>
      </w:r>
    </w:p>
    <w:p w14:paraId="1DA0247E"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24 сентября наши войска вели бои с противником на всём фронте.</w:t>
      </w:r>
    </w:p>
    <w:p w14:paraId="23A4A4E8"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22 сентября в воздушных боях и на аэродромах противника уничтожено 75 немецких самолётов. Наши потери — 28 самолётов.</w:t>
      </w:r>
    </w:p>
    <w:p w14:paraId="7E57156B"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Финском заливе нашими торпедными катерами потоплен транспорт противника.»</w:t>
      </w:r>
    </w:p>
    <w:p w14:paraId="6DDDB277"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Фашистская брехня о советских потерях.</w:t>
      </w:r>
    </w:p>
    <w:p w14:paraId="6D145E2A"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«Гитлеровцы, увлёкшись лживыми измышлениями, до того заврались, что вовсе перестали сводить концы с концами.</w:t>
      </w:r>
    </w:p>
    <w:p w14:paraId="416D507E"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первых числах сентября германское информационное бюро изумило весь мир тем, что одним взмахом пера «уничтожило» весь морской флот СССР. 3абыв об этом, немецкое командование в сводке за 22 сентября сообщило: «Германская авиация вчера особенно успешно производила свои атаки против советского флота», при этом якобы потоплены «1 крейсер, 2 эсминца, 1 линкор и 9 пароходов общим водоизмещением примерно в 25 тысяч тонн. Ещё два военных корабля и два парохода были подожжены». Таким образом, гитлеровские пустобрёхи ухитрились вторично «потопить» корабли флота, уже раз потопленные ими в своих чернильницах. «Врёт — себя не помнит»,— говорит русская пословица. Так получилось и с гитлеровской брехнёй. Незачем говорить о том, что никаких «кораблей советского флота» гитлеровцы не потопили и советских пароходов не сожгли. Дело сложилось как раз наоборот: за последнее время советские моряки потопили 14 немецких транспортов и кораблей и один финский броненосец; повреждены и выведены из строя 10 немецких транспортов и миноносцев.</w:t>
      </w:r>
    </w:p>
    <w:p w14:paraId="19B5C685"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 же самое следует сказать и о другой фашистской брехне, согласно которой одна танковая дивизия гитлеровцев будто бы уничтожила под Ленинградом 302 советских танка. На самом деле никаких 302 советских танков ни под Ленинградом, ни в каком-либо другом месте гитлеровцы «на днях» не уничтожали.»</w:t>
      </w:r>
    </w:p>
    <w:p w14:paraId="6D8DA080"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участков Южного направления фронта наши части нанесли крупное поражение войскам противника. В ожесточённых боях фашисты потеряли до 1.500 солдат и офицеров убитыми и не менее 4.000 ранеными. Уничтожено и частично захвачено 20 немецких орудий, 70 станковых и ручных пулемётов, много миномётов, винтовок, снарядов, патронов и другого вооружения противника.</w:t>
      </w:r>
    </w:p>
    <w:p w14:paraId="6D533393"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Группа наших самолётов 21 сентября уничтожила на подступах к Ленинграду 22 автомашины с пехотой противника, 8 танков, 7 орудий зенитной артиллерии и несколько цистерн с бензином. Другая группа самолётов атаковала немецкий аэродром. В результате налёта уничтожено на земле 15 «Мессершиттов-109» и сбито в воздушном бою 6 вражеских самолётов. Во время атаки на два других аэродрома противника подожжено и выведено из строя 10 немецких самолётов.</w:t>
      </w:r>
    </w:p>
    <w:p w14:paraId="2BEE8FF4"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пятидневном непрерывном бою батальон моряков Северного флота под командованием капитана Старовойтова уничтожил на одном участке Северо-Западного направления фронта свыше 700 немецких солдат. Моряки захватили 20 пулемётов, несколько миномётов и большое количество ручных гранат.</w:t>
      </w:r>
    </w:p>
    <w:p w14:paraId="7A155FB9"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другом участке Северо-Западного направления фронта артиллеристы-зенитчики батареи лейтенанта Хендрикова расстреляли взвод фашистских автоматчиков и уничтожили два полевых немецких орудия. Один наш стрелковый полк отразил многочисленные атаки белофиннов и нанёс противнику большой урон. Убито и ранено до 300 вражеских солдат и офицеров. Огнём артиллерии и авиации уничтожено на переправе 30 белофинских автомашин и 3 танка.</w:t>
      </w:r>
    </w:p>
    <w:p w14:paraId="2106457A"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Партизанское движение в Минской области с каждым днём принимает всё более широкий размах. По неполным данным, за два с половиной месяца германская армия от ударов партизан Минской области потеряла убитыми и ранеными свыше 2.500 солдат, и офицеров. Партизаны разгромили 3 немецких штаба, разрушили 112 мостов, уничтожили 39 танков, 12 бронемашин, 22 немецких самолёта, около 400 грузовых и 45 легковых автомобилей, более 200 мотоциклов и 450 велосипедов, до 200 повозок и захватили более 200 лошадей.</w:t>
      </w:r>
    </w:p>
    <w:p w14:paraId="08A42A2C"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Бойцы партизанских отрядов взорвали или сожгли 8 складов и 15 автоколонн с боеприпасами, 75 цистерн с горючим, 47 обозов с продовольствием, армейским имуществом и снаряжением. В боях с фашистами выведены из строя или захвачены 27 орудий, 98 ручных и станковых пулемётов и около 40 миномётов. В 47 пунктах полностью разрушены линии связи.</w:t>
      </w:r>
    </w:p>
    <w:p w14:paraId="1CF28D17"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августа и сентября немцы посылали четыре крупные карательные экспедиции против партизан Минской области. Все эти фашистские экспедиции, сами понеся большие потери от партизан, не дали никаких результатов. В сентябре партизаны захватили четырёхмоторный транспортный самолёт, совершивший вынужденную посадку. На самолёте было 20 ящиков с измерительной аппаратурой для артиллерии. Уничтожив самолёт, партизаны закопали в лесу весь ценный груз. Ночью в середине сентября отряд совершил налёт на немецкую автоколонну, двигавшуюся под усиленной охраной к городу Б. Более 75 фашистов было перебито, остальные бежали. Партизаны взорвали 21 автомашину со снарядами и ручными гранатами. Партизанский отряд тов. С. на днях пустил под откос два немецких воинских эшелона.» (14779).</w:t>
      </w:r>
    </w:p>
    <w:p w14:paraId="201B5A30" w14:textId="77777777" w:rsidR="00E118CB" w:rsidRPr="00640820" w:rsidRDefault="00E118CB" w:rsidP="00640820">
      <w:pPr>
        <w:spacing w:after="0" w:line="240" w:lineRule="auto"/>
        <w:jc w:val="both"/>
        <w:rPr>
          <w:rFonts w:ascii="Times New Roman" w:hAnsi="Times New Roman"/>
          <w:color w:val="000000" w:themeColor="text1"/>
          <w:sz w:val="16"/>
          <w:szCs w:val="16"/>
        </w:rPr>
      </w:pPr>
    </w:p>
    <w:p w14:paraId="255EE6A3" w14:textId="77777777" w:rsidR="00843B64" w:rsidRPr="00640820" w:rsidRDefault="00843B6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24 сентября 1941 на фронтовой аэродром прибыли два А-7, прошедшие восстановительный ремонт на заводе № 290. Таким образом, общее количество боеспособных аппара</w:t>
      </w:r>
      <w:r w:rsidRPr="00640820">
        <w:rPr>
          <w:rFonts w:ascii="Times New Roman" w:hAnsi="Times New Roman"/>
          <w:color w:val="0070C0"/>
          <w:sz w:val="16"/>
          <w:szCs w:val="16"/>
        </w:rPr>
        <w:softHyphen/>
        <w:t>тов вновь довели до трех единиц. Впрочем, очень скоро присутствие 1-й автожирной эскадрильи на передовой в связи с общим ухудшением обстановки на фронте закон</w:t>
      </w:r>
      <w:r w:rsidRPr="00640820">
        <w:rPr>
          <w:rFonts w:ascii="Times New Roman" w:hAnsi="Times New Roman"/>
          <w:color w:val="0070C0"/>
          <w:sz w:val="16"/>
          <w:szCs w:val="16"/>
        </w:rPr>
        <w:softHyphen/>
        <w:t>чилось. Противник усилил давление на советские войска, перебросив под Ельню дополнительные силы. В первых числах октября эскадрилье автожиров пришлось переба</w:t>
      </w:r>
      <w:r w:rsidRPr="00640820">
        <w:rPr>
          <w:rFonts w:ascii="Times New Roman" w:hAnsi="Times New Roman"/>
          <w:color w:val="0070C0"/>
          <w:sz w:val="16"/>
          <w:szCs w:val="16"/>
        </w:rPr>
        <w:softHyphen/>
        <w:t>зироваться. Красная Армия отступала; после того как уш</w:t>
      </w:r>
      <w:r w:rsidRPr="00640820">
        <w:rPr>
          <w:rFonts w:ascii="Times New Roman" w:hAnsi="Times New Roman"/>
          <w:color w:val="0070C0"/>
          <w:sz w:val="16"/>
          <w:szCs w:val="16"/>
        </w:rPr>
        <w:softHyphen/>
        <w:t>ли истребители, 1-ю акэ перевели в 43-ю армию.</w:t>
      </w:r>
    </w:p>
    <w:p w14:paraId="44C2AEB1" w14:textId="77777777" w:rsidR="00843B64" w:rsidRPr="00640820" w:rsidRDefault="00843B6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Два автожира убыли в Москву, а третий под управлени</w:t>
      </w:r>
      <w:r w:rsidRPr="00640820">
        <w:rPr>
          <w:rFonts w:ascii="Times New Roman" w:hAnsi="Times New Roman"/>
          <w:color w:val="0070C0"/>
          <w:sz w:val="16"/>
          <w:szCs w:val="16"/>
        </w:rPr>
        <w:softHyphen/>
        <w:t>ем комэска Трофимова вылетел в Гжатск со срочным доне</w:t>
      </w:r>
      <w:r w:rsidRPr="00640820">
        <w:rPr>
          <w:rFonts w:ascii="Times New Roman" w:hAnsi="Times New Roman"/>
          <w:color w:val="0070C0"/>
          <w:sz w:val="16"/>
          <w:szCs w:val="16"/>
        </w:rPr>
        <w:softHyphen/>
        <w:t>сением о прорыве немцев. Трофимов благополучно доле</w:t>
      </w:r>
      <w:r w:rsidRPr="00640820">
        <w:rPr>
          <w:rFonts w:ascii="Times New Roman" w:hAnsi="Times New Roman"/>
          <w:color w:val="0070C0"/>
          <w:sz w:val="16"/>
          <w:szCs w:val="16"/>
        </w:rPr>
        <w:softHyphen/>
        <w:t>тел до Гжатска, где в отсутствии радиосвязи в полной тем</w:t>
      </w:r>
      <w:r w:rsidRPr="00640820">
        <w:rPr>
          <w:rFonts w:ascii="Times New Roman" w:hAnsi="Times New Roman"/>
          <w:color w:val="0070C0"/>
          <w:sz w:val="16"/>
          <w:szCs w:val="16"/>
        </w:rPr>
        <w:softHyphen/>
        <w:t>ноте приземлился на лес. Автожир получил повреждения, однако летчик был невредим и донесение доставил в срок. Аварийный А-7 под руководством Миля разобрали, погру</w:t>
      </w:r>
      <w:r w:rsidRPr="00640820">
        <w:rPr>
          <w:rFonts w:ascii="Times New Roman" w:hAnsi="Times New Roman"/>
          <w:color w:val="0070C0"/>
          <w:sz w:val="16"/>
          <w:szCs w:val="16"/>
        </w:rPr>
        <w:softHyphen/>
        <w:t>зили на автомашину и отправили в тыл. На этом закончил</w:t>
      </w:r>
      <w:r w:rsidRPr="00640820">
        <w:rPr>
          <w:rFonts w:ascii="Times New Roman" w:hAnsi="Times New Roman"/>
          <w:color w:val="0070C0"/>
          <w:sz w:val="16"/>
          <w:szCs w:val="16"/>
        </w:rPr>
        <w:softHyphen/>
        <w:t>ся эпизод использования боевых автожиров в войне (20361).</w:t>
      </w:r>
    </w:p>
    <w:p w14:paraId="7BB48DF8" w14:textId="77777777" w:rsidR="00843B64" w:rsidRPr="00640820" w:rsidRDefault="00843B64" w:rsidP="00640820">
      <w:pPr>
        <w:shd w:val="clear" w:color="auto" w:fill="FFFFFF"/>
        <w:spacing w:after="0" w:line="240" w:lineRule="auto"/>
        <w:jc w:val="both"/>
        <w:rPr>
          <w:rFonts w:ascii="Times New Roman" w:hAnsi="Times New Roman"/>
          <w:color w:val="0070C0"/>
          <w:sz w:val="16"/>
          <w:szCs w:val="16"/>
        </w:rPr>
      </w:pPr>
    </w:p>
    <w:p w14:paraId="545FAB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24-25 сентября 1941 командующий ВВС КА, получив данные воздушной разведки, специальной телеграммой предупреждал командующих ВВС фронтов о том, что "немцы на 25 сентября перебросили на смоленское направление с других фронтов 300 одномоторных и 90 двухмоторных истребителей и 90 пб." (518,212).</w:t>
      </w:r>
    </w:p>
    <w:p w14:paraId="75329D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20737BB" w14:textId="77777777" w:rsidR="00843B64" w:rsidRPr="00640820" w:rsidRDefault="00843B64" w:rsidP="00640820">
      <w:pPr>
        <w:shd w:val="clear" w:color="auto" w:fill="FFFFFF"/>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shd w:val="clear" w:color="auto" w:fill="FFFFFF"/>
        </w:rPr>
        <w:t>24 сентября 1941 года (немецкие войска вошли в городе 19 сентября) примерно в полдень начали взрываться здания, расположенные на центральной улице Киева. Мины детонировали не все сразу, а по очереди, с определенной периодичностью. Из-за многочисленных бутылок с зажигательной жидкостью, которые хранились на чердаках и крышах зданий (они оказались там в ходе подготовки Киева к уличным боям), в городе возникли сильные пожары, которые продолжали полыхать вплоть до 28 сентября. Взрывами была уничтожена жандармерия, полевая комендатура, офицерская гостиница, кинотеатр, склад радиоприемников и множество других городских зданий. Точное количество немецких солдат и офицеров, которые стали жертвами данной диверсии, неизвестно по сей день (22290).</w:t>
      </w:r>
    </w:p>
    <w:p w14:paraId="49F1F84B" w14:textId="77777777" w:rsidR="00843B64" w:rsidRPr="00640820" w:rsidRDefault="00843B64" w:rsidP="00640820">
      <w:pPr>
        <w:spacing w:after="0" w:line="240" w:lineRule="auto"/>
        <w:jc w:val="both"/>
        <w:rPr>
          <w:rFonts w:ascii="Times New Roman" w:hAnsi="Times New Roman"/>
          <w:color w:val="0070C0"/>
          <w:sz w:val="16"/>
          <w:szCs w:val="16"/>
        </w:rPr>
      </w:pPr>
    </w:p>
    <w:p w14:paraId="31E011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сентября 1941 г. из-за слабости зенитного вооружения в боях с пикирующими бомбардировщиками противника погиб лидер Минск (3898).</w:t>
      </w:r>
    </w:p>
    <w:p w14:paraId="7C0044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15EB7B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rPr>
        <w:t>24 сентября 1941 Гитлер утвердил план “Тайфун” по взятию Москвы</w:t>
      </w:r>
      <w:r w:rsidRPr="00640820">
        <w:rPr>
          <w:rFonts w:ascii="Times New Roman" w:hAnsi="Times New Roman"/>
          <w:color w:val="000000" w:themeColor="text1"/>
          <w:sz w:val="16"/>
          <w:szCs w:val="16"/>
          <w:lang w:val="en-US"/>
        </w:rPr>
        <w:t xml:space="preserve"> (4962).</w:t>
      </w:r>
    </w:p>
    <w:p w14:paraId="19BBA56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4EC52E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September 24, 1941: Heeresgruppe Sud begins an offensive against the vital land bridge to the Crimea at Perekop (3819).</w:t>
      </w:r>
    </w:p>
    <w:p w14:paraId="7DA0FB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23DABB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сентября 1941 части Группы Юг начали наступление на Перекопский перешеек (3819).</w:t>
      </w:r>
    </w:p>
    <w:p w14:paraId="1954FF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CE8B51F"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lastRenderedPageBreak/>
        <w:t>Жизнь и внутренняя политика:</w:t>
      </w:r>
    </w:p>
    <w:p w14:paraId="36795F6C"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94E812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сентября 1941 вышло Постановление ГКО № 710 [Об отсрочке призыва в КА до 10 октября для завершения уборки и сдачи хлебов в ряде областей, краев и АССР.] (7011, 80).</w:t>
      </w:r>
    </w:p>
    <w:p w14:paraId="03BCD97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EF2AC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сентября 1941 г. в 4 часа утра в только что занятом немцами Киеве на Крещатике взлетел на воздух магазин «Дет</w:t>
      </w:r>
      <w:r w:rsidRPr="00640820">
        <w:rPr>
          <w:rFonts w:ascii="Times New Roman" w:hAnsi="Times New Roman"/>
          <w:color w:val="000000" w:themeColor="text1"/>
          <w:sz w:val="16"/>
          <w:szCs w:val="16"/>
        </w:rPr>
        <w:softHyphen/>
        <w:t>ский мир», где расположилась городская комендатура. Вслед за ним взлетели в воздух, буквально рассыпавшись на мелкие обломки, кинотеатр Шанцера, считавшийся памятником ропейской архитектуры, здания цирка, гостиницы «Континенталь», консерватории. Все это были здания еще дореволюционной постройки. Рвались мины под жилыми домами, которых немцы еще не успели выселить жильцов. Взрывами радиоуправляемых бомб был разрушен практически весь центр Киева. Немцы решили, что взрывы произво</w:t>
      </w:r>
      <w:r w:rsidRPr="00640820">
        <w:rPr>
          <w:rFonts w:ascii="Times New Roman" w:hAnsi="Times New Roman"/>
          <w:color w:val="000000" w:themeColor="text1"/>
          <w:sz w:val="16"/>
          <w:szCs w:val="16"/>
        </w:rPr>
        <w:softHyphen/>
        <w:t>дят диверсанты, прячущиеся в городе. Немецкие власти напрямую через листовки и радиоустановки обратились к предполагаемым организаторам взрывов с требованием хотя бы предупреждать их о предстоящих акциях. Но не дождались. И тогда были расстреляны первые десятки заложников. Их тела и стали первыми захоронениями в Бабьем Яру. Но взрывы продолжались, и тогда нацисты приняли решение ускорить начало акции по уничтожению евреев, наметив для этого день 29 сентября (10675).</w:t>
      </w:r>
    </w:p>
    <w:p w14:paraId="3848125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F57B7D"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сентября 1941 в четвертом часу пополудни раздался первый взрыв — под немецком комендатурой, на углу Крещатика и Прорезной, где на первом этаже был магазин “Детский мир” превративший ее в груду кирпича. Потом грянул второй, третий… Поднялась паника. Взрывы раздавались через неравные промежутки времени в самых разных местах Крещатика и продолжались всю ночь. Стояла сухая пора, и потому начался чудовищный пожар, охвативший почти весь центр Киева. Его сравнивали со знаменитым пожаром Москвы во время нашествия Наполеона в 1812 г. Жители охваченных пламенем улиц бежали кто куда, обгоревшие и раненые. Над чудовищным костром образовались мощные воздушные потоки, в которых, как в трубе, высоко взлетали горящие щепки, бумаги и головни. Пожар продолжался две недели, и зарево от него было видно ночью за сотни километров и служило ориентиром для самолетов (15117).</w:t>
      </w:r>
    </w:p>
    <w:p w14:paraId="478F2DFF" w14:textId="77777777" w:rsidR="00E118CB" w:rsidRPr="00640820" w:rsidRDefault="00E118CB" w:rsidP="00640820">
      <w:pPr>
        <w:spacing w:after="0" w:line="240" w:lineRule="auto"/>
        <w:jc w:val="both"/>
        <w:rPr>
          <w:rFonts w:ascii="Times New Roman" w:hAnsi="Times New Roman"/>
          <w:color w:val="000000" w:themeColor="text1"/>
          <w:sz w:val="16"/>
          <w:szCs w:val="16"/>
        </w:rPr>
      </w:pPr>
    </w:p>
    <w:p w14:paraId="5AE46355"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сентября 1941 г. полковник Старинов, который в это время в качестве представителя Инженерного управления РККА контролировал оборудование оборонительных рубежей под Вязьмой, был вызван в Москву к начальнику Инженерного управления РККА генерал-майору Л.З. Котляру. 27 сентября Старинов прибыл в Москву и получил от генерала Котляра приказ сформировать инженерную оперативную группу Юго-Западного фронта с задачей создать «харьковский узел заграждений». В подчинение Старинова выделялось 15 офицеров инженерных войск, 5 специалистов из ОУЦ (оперативный учебный центр) и спецрота РГК под командованием военинженера 2-го ранга В.П. Ястребова. 29 сентября 1941 г. Старинов с пятнадцатью офицерами выехали на нескольких автомашинах из Москвы в направлении на Орел, куда прибыли во второй половине дня. Там к ним присоединились пятеро специалистов ОУЦа. Из Орла автоколонна направилась в направлении на Курск и далее на Харьков. 1 октября к середине дня Старинов с офицерами были уже в Харькове. К этому времени часть роты спецминирования, которая выехала из Москвы поездом, уже находилась в Харькове. Командир роты спецминирования В.П. Ястребов выехал с автоколонной роты из Москвы на сутки позже, 30 сентября. Из имеющихся документов следует, что его задержало получение 30 штук радиоаппаратов Ф-10 и питания к ним. Фронт смог выделить группе около 100 т взрывчатки (а требовалось 300 т) и 30 тысяч противотанковых и противопехотных мин. Рота спецминирования получила в Москве 30 радиоуправляемых объектных мин Ф-10, около 1000 инерционных замыкателей, 2000 электрохимических замыкателей ЭХЗ и электрохимических взрывателей ЭХВ, а также 1200 различных взрывателей и замыкателей замедленного действия (химические взрыватели замедленного действия ВЗДХ, 10-суточных часовые замыкатели, 35-суточные часовые замыкатели, 30-суточные маятниковые замыкатели).</w:t>
      </w:r>
    </w:p>
    <w:p w14:paraId="06C3899A"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Сейчас краеведы и историки спорят, какие объекты в Харькове были взорваны радиофугасами Ф-10, а какие иными средствами. Считается доказанным гибель от Ф-10 коменданта Харькова генерал-лейтенант фон Брауна (кстати, близкого родственника известного ученого Вернера фон Брауна, изобретателя ракет ФАУ-2) в помещении бывшего штаба военного округа на улице Руднева (15117).</w:t>
      </w:r>
    </w:p>
    <w:p w14:paraId="168284A2" w14:textId="77777777" w:rsidR="00E118CB" w:rsidRPr="00640820" w:rsidRDefault="00E118CB" w:rsidP="00640820">
      <w:pPr>
        <w:spacing w:after="0" w:line="240" w:lineRule="auto"/>
        <w:jc w:val="both"/>
        <w:rPr>
          <w:rFonts w:ascii="Times New Roman" w:hAnsi="Times New Roman"/>
          <w:color w:val="000000" w:themeColor="text1"/>
          <w:sz w:val="16"/>
          <w:szCs w:val="16"/>
        </w:rPr>
      </w:pPr>
    </w:p>
    <w:p w14:paraId="2826EA5C"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77F9850A"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A71C49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сентября 1941 СССР присоединился к “Атлантической хартии”, в которой декларировались демократические цели войны против фашистской Германии (4962).</w:t>
      </w:r>
    </w:p>
    <w:p w14:paraId="3990E87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3416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сентября 1941 вышла декларация СССР на Межсоюзной конференции в Лондоне - наши планы послевоенного устройства (512,140). По сути СССР присоединился к принципам Атлантической хартии (1348,246).</w:t>
      </w:r>
    </w:p>
    <w:p w14:paraId="74586E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F9CC6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сентября 1941 в Лондоне открылась межсоюзническая конференция (3186).</w:t>
      </w:r>
    </w:p>
    <w:p w14:paraId="3C6ED9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4E3DF72" w14:textId="77777777" w:rsidR="00843B64" w:rsidRPr="00640820" w:rsidRDefault="00843B6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24 сентября 1941 г. на межсоюзнической конференции в Лондоне СССР заявил о своем согласии с основными принципами Атланти</w:t>
      </w:r>
      <w:r w:rsidRPr="00640820">
        <w:rPr>
          <w:rFonts w:ascii="Times New Roman" w:hAnsi="Times New Roman"/>
          <w:color w:val="0070C0"/>
          <w:sz w:val="16"/>
          <w:szCs w:val="16"/>
        </w:rPr>
        <w:softHyphen/>
        <w:t>ческой хартии — декларации о совместных целях политики Великобритании и США, подписанной Рузвельтом и Черчиллем 14 августа (22686).</w:t>
      </w:r>
    </w:p>
    <w:p w14:paraId="45000270" w14:textId="77777777" w:rsidR="00843B64" w:rsidRPr="00640820" w:rsidRDefault="00843B64" w:rsidP="00640820">
      <w:pPr>
        <w:spacing w:after="0" w:line="240" w:lineRule="auto"/>
        <w:jc w:val="both"/>
        <w:rPr>
          <w:rFonts w:ascii="Times New Roman" w:hAnsi="Times New Roman"/>
          <w:color w:val="0070C0"/>
          <w:sz w:val="16"/>
          <w:szCs w:val="16"/>
        </w:rPr>
      </w:pPr>
    </w:p>
    <w:p w14:paraId="0395F4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сентября 1941 на конференции союзных держав в Лондоне официально обнародуется Атлантическая хартия и СССР, США и Великобритания совместно и публично провозгласили цели борьбы против фашизма (3481).</w:t>
      </w:r>
    </w:p>
    <w:p w14:paraId="2AC01E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759C3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сентября 1941 в Лондоне был создан Национальный комитет "Свободная Франция во главе с де Голем (3186).</w:t>
      </w:r>
    </w:p>
    <w:p w14:paraId="39BB7B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88C3F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сентября 1941 посол И.М.Майский в Лондоне от имени СССР подписал Атлантическую хартию. На сентябрь 1941 г. это был единственный документ, объединяющий СССР, США и Великобританию (3871).</w:t>
      </w:r>
    </w:p>
    <w:p w14:paraId="677F40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D6B0334" w14:textId="2B490902" w:rsidR="00843B64" w:rsidRPr="00640820" w:rsidRDefault="00843B64" w:rsidP="00640820">
      <w:pPr>
        <w:autoSpaceDE w:val="0"/>
        <w:autoSpaceDN w:val="0"/>
        <w:adjustRightInd w:val="0"/>
        <w:spacing w:after="0" w:line="240" w:lineRule="auto"/>
        <w:jc w:val="both"/>
        <w:rPr>
          <w:rFonts w:ascii="Times New Roman" w:hAnsi="Times New Roman"/>
          <w:i/>
          <w:iCs/>
          <w:color w:val="000000" w:themeColor="text1"/>
          <w:sz w:val="16"/>
          <w:szCs w:val="16"/>
        </w:rPr>
      </w:pPr>
      <w:r w:rsidRPr="00640820">
        <w:rPr>
          <w:rFonts w:ascii="Times New Roman" w:hAnsi="Times New Roman"/>
          <w:i/>
          <w:iCs/>
          <w:color w:val="000000" w:themeColor="text1"/>
          <w:sz w:val="16"/>
          <w:szCs w:val="16"/>
        </w:rPr>
        <w:t>За рубежом:</w:t>
      </w:r>
    </w:p>
    <w:p w14:paraId="193426FF" w14:textId="77777777" w:rsidR="00843B64" w:rsidRPr="00640820" w:rsidRDefault="00843B64" w:rsidP="00640820">
      <w:pPr>
        <w:autoSpaceDE w:val="0"/>
        <w:autoSpaceDN w:val="0"/>
        <w:adjustRightInd w:val="0"/>
        <w:spacing w:after="0" w:line="240" w:lineRule="auto"/>
        <w:jc w:val="both"/>
        <w:rPr>
          <w:rFonts w:ascii="Times New Roman" w:hAnsi="Times New Roman"/>
          <w:i/>
          <w:iCs/>
          <w:color w:val="000000" w:themeColor="text1"/>
          <w:sz w:val="16"/>
          <w:szCs w:val="16"/>
        </w:rPr>
      </w:pPr>
    </w:p>
    <w:p w14:paraId="2BEB5FF4" w14:textId="77777777" w:rsidR="00843B64" w:rsidRPr="00640820" w:rsidRDefault="00843B6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24 сентября 1941 года состоялся первый полет В-17Е – с опозданием почти на 5 месяцев по сравнению с планом. Фирма обещала наверстать упущенное, но при старой цене 207 150 долларов за машину «Боинг» выпускал бы В-17Е себе в убыток. Американская администрация и лично президент Рузвельт добились разрешения погасить из бюджета издержки на разработку В-17Е и одновременно поднять закупочную цену до 298 065$. Но фирма не имела права повышать цену до исполнения контракта в 277 самолетов, и «Боинг» честно выполнил свое обязательство. Мало того, когда требовалась какая-либо доработка конструкции, фирма делала ее «за свои». А понадобилось это довольно скоро. Начало строевой эксплуатации В-17Е в декабре 1941 года совпало со вступлением Америки в войну.</w:t>
      </w:r>
    </w:p>
    <w:p w14:paraId="7FCCDF64" w14:textId="77777777" w:rsidR="00843B64" w:rsidRPr="00640820" w:rsidRDefault="00843B6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Война заставила увеличить заказ на В-17Е, финансовая поддержка позволила «Боингу» нарастить темп выпуска, и последний 512-й самолет ВВС приняли уже в мае 1942 года, опередив план на 49 дней. Из них 45 было поставлено Великобритании под обозначением «Фортресс» Mk. IIА (22838).</w:t>
      </w:r>
    </w:p>
    <w:p w14:paraId="71A2F1AA" w14:textId="77777777" w:rsidR="00843B64" w:rsidRPr="00640820" w:rsidRDefault="00843B64" w:rsidP="00640820">
      <w:pPr>
        <w:spacing w:after="0" w:line="240" w:lineRule="auto"/>
        <w:jc w:val="both"/>
        <w:rPr>
          <w:rFonts w:ascii="Times New Roman" w:hAnsi="Times New Roman"/>
          <w:color w:val="0070C0"/>
          <w:sz w:val="16"/>
          <w:szCs w:val="16"/>
        </w:rPr>
      </w:pPr>
    </w:p>
    <w:p w14:paraId="17D935F4" w14:textId="6D66BB81"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02F79CDF"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049D89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25 сентября по 10 октября 1941 года самолет Су-6 («81») про</w:t>
      </w:r>
      <w:r w:rsidRPr="00640820">
        <w:rPr>
          <w:rFonts w:ascii="Times New Roman" w:hAnsi="Times New Roman"/>
          <w:color w:val="000000" w:themeColor="text1"/>
          <w:sz w:val="16"/>
          <w:szCs w:val="16"/>
        </w:rPr>
        <w:softHyphen/>
        <w:t>ходил испытания в НИИ ВВС КА. Из-за выработки ресурса мотором М-71 и эвакуации завода №289 испытания остались незавершенны</w:t>
      </w:r>
      <w:r w:rsidRPr="00640820">
        <w:rPr>
          <w:rFonts w:ascii="Times New Roman" w:hAnsi="Times New Roman"/>
          <w:color w:val="000000" w:themeColor="text1"/>
          <w:sz w:val="16"/>
          <w:szCs w:val="16"/>
        </w:rPr>
        <w:softHyphen/>
        <w:t>ми (11845).</w:t>
      </w:r>
    </w:p>
    <w:p w14:paraId="5C0656C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F933FB" w14:textId="77777777" w:rsidR="00BA22CC" w:rsidRPr="00640820" w:rsidRDefault="00BA22CC" w:rsidP="00640820">
      <w:pPr>
        <w:pStyle w:val="172"/>
        <w:shd w:val="clear" w:color="auto" w:fill="auto"/>
        <w:spacing w:before="0" w:line="240" w:lineRule="auto"/>
        <w:ind w:firstLine="0"/>
        <w:jc w:val="both"/>
        <w:rPr>
          <w:rFonts w:ascii="Times New Roman" w:hAnsi="Times New Roman" w:cs="Times New Roman"/>
          <w:color w:val="0070C0"/>
          <w:sz w:val="16"/>
          <w:szCs w:val="16"/>
        </w:rPr>
      </w:pPr>
      <w:r w:rsidRPr="00640820">
        <w:rPr>
          <w:rFonts w:ascii="Times New Roman" w:hAnsi="Times New Roman" w:cs="Times New Roman"/>
          <w:color w:val="0070C0"/>
          <w:sz w:val="16"/>
          <w:szCs w:val="16"/>
        </w:rPr>
        <w:t>С 25 сентября по 10 октября 1941 первый экземпляр Су-6 М-71 без стрелкового во</w:t>
      </w:r>
      <w:r w:rsidRPr="00640820">
        <w:rPr>
          <w:rFonts w:ascii="Times New Roman" w:hAnsi="Times New Roman" w:cs="Times New Roman"/>
          <w:color w:val="0070C0"/>
          <w:sz w:val="16"/>
          <w:szCs w:val="16"/>
        </w:rPr>
        <w:softHyphen/>
        <w:t>оружения (по решению Сухого пулеметы с него сняли и установили на второй опыт</w:t>
      </w:r>
      <w:r w:rsidRPr="00640820">
        <w:rPr>
          <w:rFonts w:ascii="Times New Roman" w:hAnsi="Times New Roman" w:cs="Times New Roman"/>
          <w:color w:val="0070C0"/>
          <w:sz w:val="16"/>
          <w:szCs w:val="16"/>
        </w:rPr>
        <w:softHyphen/>
        <w:t>ный экземпляр - «самолет 82») проходил контрольные испытания в НИИ ВВС, где заслужил высокую оценку у военных лет</w:t>
      </w:r>
      <w:r w:rsidRPr="00640820">
        <w:rPr>
          <w:rFonts w:ascii="Times New Roman" w:hAnsi="Times New Roman" w:cs="Times New Roman"/>
          <w:color w:val="0070C0"/>
          <w:sz w:val="16"/>
          <w:szCs w:val="16"/>
        </w:rPr>
        <w:softHyphen/>
        <w:t>чиков-испытателей по летным и пилотаж</w:t>
      </w:r>
      <w:r w:rsidRPr="00640820">
        <w:rPr>
          <w:rFonts w:ascii="Times New Roman" w:hAnsi="Times New Roman" w:cs="Times New Roman"/>
          <w:color w:val="0070C0"/>
          <w:sz w:val="16"/>
          <w:szCs w:val="16"/>
        </w:rPr>
        <w:softHyphen/>
        <w:t>ным качествам. Испытания не были за</w:t>
      </w:r>
      <w:r w:rsidRPr="00640820">
        <w:rPr>
          <w:rFonts w:ascii="Times New Roman" w:hAnsi="Times New Roman" w:cs="Times New Roman"/>
          <w:color w:val="0070C0"/>
          <w:sz w:val="16"/>
          <w:szCs w:val="16"/>
        </w:rPr>
        <w:softHyphen/>
        <w:t>кончены по причине израсходования ре</w:t>
      </w:r>
      <w:r w:rsidRPr="00640820">
        <w:rPr>
          <w:rFonts w:ascii="Times New Roman" w:hAnsi="Times New Roman" w:cs="Times New Roman"/>
          <w:color w:val="0070C0"/>
          <w:sz w:val="16"/>
          <w:szCs w:val="16"/>
        </w:rPr>
        <w:softHyphen/>
        <w:t>сурса установленного на нем мотора М-71. Самолет возвратили на завод. По</w:t>
      </w:r>
      <w:r w:rsidRPr="00640820">
        <w:rPr>
          <w:rFonts w:ascii="Times New Roman" w:hAnsi="Times New Roman" w:cs="Times New Roman"/>
          <w:color w:val="0070C0"/>
          <w:sz w:val="16"/>
          <w:szCs w:val="16"/>
        </w:rPr>
        <w:softHyphen/>
        <w:t>сле перелета в г. Молотов, куда эвакуиро</w:t>
      </w:r>
      <w:r w:rsidRPr="00640820">
        <w:rPr>
          <w:rFonts w:ascii="Times New Roman" w:hAnsi="Times New Roman" w:cs="Times New Roman"/>
          <w:color w:val="0070C0"/>
          <w:sz w:val="16"/>
          <w:szCs w:val="16"/>
        </w:rPr>
        <w:softHyphen/>
        <w:t>вался завод №289, Су-6 («81») облетали летчики моторного завода №19 и еще раз летчики НИИ ВВС. Затем самолет попал в ремонт после вынужденной посадки с убранным шасси. В ходе ремонта само</w:t>
      </w:r>
      <w:r w:rsidRPr="00640820">
        <w:rPr>
          <w:rFonts w:ascii="Times New Roman" w:hAnsi="Times New Roman" w:cs="Times New Roman"/>
          <w:color w:val="0070C0"/>
          <w:sz w:val="16"/>
          <w:szCs w:val="16"/>
        </w:rPr>
        <w:softHyphen/>
        <w:t>лета заменили мотор, карбюратор, улуч</w:t>
      </w:r>
      <w:r w:rsidRPr="00640820">
        <w:rPr>
          <w:rFonts w:ascii="Times New Roman" w:hAnsi="Times New Roman" w:cs="Times New Roman"/>
          <w:color w:val="0070C0"/>
          <w:sz w:val="16"/>
          <w:szCs w:val="16"/>
        </w:rPr>
        <w:softHyphen/>
        <w:t>шили конструкцию шасси (19844).</w:t>
      </w:r>
    </w:p>
    <w:p w14:paraId="354BF662" w14:textId="77777777" w:rsidR="00BA22CC" w:rsidRPr="00640820" w:rsidRDefault="00BA22CC" w:rsidP="00640820">
      <w:pPr>
        <w:pStyle w:val="172"/>
        <w:shd w:val="clear" w:color="auto" w:fill="auto"/>
        <w:spacing w:before="0" w:line="240" w:lineRule="auto"/>
        <w:ind w:firstLine="0"/>
        <w:jc w:val="both"/>
        <w:rPr>
          <w:rFonts w:ascii="Times New Roman" w:hAnsi="Times New Roman" w:cs="Times New Roman"/>
          <w:color w:val="0070C0"/>
          <w:sz w:val="16"/>
          <w:szCs w:val="16"/>
        </w:rPr>
      </w:pPr>
    </w:p>
    <w:p w14:paraId="7A3BAC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25 сентября 1941 года сформировали 3-ю особую группу связи, базировавшуюся на подмосковном аэродроме Мячково, в которую поступили 11 ПС-43 - гражданских версий БШ-1 (пять самолетов "Аэрофлот" получил в августе 1941). С началом Великой Отечественной воины ПС-43 вместе с другими самолетами гражданской авиации привлекли к военно-транспортной службе. По несколько машин оказалось в различных авиагруппах ГВФ, отправленных на фронт. Больше всех - пять ПС-43, имела Московская авиагруппа особого назначения (МАГОП): они входили во 2-ю эскадрилью. Этих машин в гражданской авиации становилось все больше, т.к. в июле-августе 1941 специалисты ГВФ занялись ремонтом тех самолетов Валти, что в свое время бросили на центральном аэродроме. Хозяев у них не было, поэтому что-то растащили, что-то испортилось от времени и небрежного хранения. Несколько машин пострадали, когда в "железный ряд" врезался промахнувшийся на посадке </w:t>
      </w:r>
      <w:r w:rsidRPr="00640820">
        <w:rPr>
          <w:rFonts w:ascii="Times New Roman" w:hAnsi="Times New Roman"/>
          <w:color w:val="000000" w:themeColor="text1"/>
          <w:sz w:val="16"/>
          <w:szCs w:val="16"/>
        </w:rPr>
        <w:lastRenderedPageBreak/>
        <w:t>МиГ-3. Руководил работами старшин инженер И.А.Иванов. Время поджимало, и ПС-43 перегоняли в Мячково без всяких испытании. Перегонку осуществляли летчики П.С.Гусев, В.П.Ильин, В.С.Минеев. В общей сложности набралось 37 машин. Самолеты, в основном, возили почту и курьеров фельдслужбы, иногда штабных офицеров (3457,43).</w:t>
      </w:r>
    </w:p>
    <w:p w14:paraId="5E5716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E00797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сентября 1941 Нач. заказов вооружения ГУ ВВС КА гмис Жаров и Военком заказов вооружения ГУ ВВС КА стбк Пекин писали письмо № 210690сс СЕКРЕТАРЮ КОМИССИИ по ВОЕННЫМ и ВОЕННО МОРСКИМ ДЕЛАМ при БЮРО СНК СССР тов. САФОНОВУ.</w:t>
      </w:r>
    </w:p>
    <w:p w14:paraId="033FD79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ваш № 630/вк от 29 августа 1941 г. “О вооружении самолетов ракетными орудиями</w:t>
      </w:r>
    </w:p>
    <w:p w14:paraId="433E992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настоящее время ракетными орудиями под ракетный снаряд калибра 132 мм. всех типов (РС-132, РОФС-132 и РБС-132 ) вооружаются только самолеты Ил-2. Комплекта ция самолетов Ил-2 ракетными орудиями - 100 %.</w:t>
      </w:r>
    </w:p>
    <w:p w14:paraId="5385D96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самолете Су -2 отработаны и испытаны ракетные орудия под калибр 132 мм. (РО-132 ). В данное время также отрабатываются на этом же типе самолета уста</w:t>
      </w:r>
      <w:r w:rsidRPr="00640820">
        <w:rPr>
          <w:rFonts w:ascii="Times New Roman" w:hAnsi="Times New Roman"/>
          <w:color w:val="000000" w:themeColor="text1"/>
          <w:sz w:val="16"/>
          <w:szCs w:val="16"/>
        </w:rPr>
        <w:softHyphen/>
        <w:t>новки ракетных орудий под калибр 82 мм. (РО-82). После отработки ракетной установки калибра 82 мм. ( РО-82) самолеты Су-2будут выпускаться промышленностью с ракетными орудиями РО-82.</w:t>
      </w:r>
    </w:p>
    <w:p w14:paraId="50F19D9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самолетах истребителях - ЛаГГ-3, Миг-3, Як-1 - ракетное вооружение отработано и испытано, в настоя</w:t>
      </w:r>
      <w:r w:rsidRPr="00640820">
        <w:rPr>
          <w:rFonts w:ascii="Times New Roman" w:hAnsi="Times New Roman"/>
          <w:color w:val="000000" w:themeColor="text1"/>
          <w:sz w:val="16"/>
          <w:szCs w:val="16"/>
        </w:rPr>
        <w:softHyphen/>
        <w:t>щее время приступают к установке РО-82 (4156,203).</w:t>
      </w:r>
    </w:p>
    <w:p w14:paraId="603819B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3ED2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сентября 1941 Зам. НКАП П.Воронин писал письмо N Н-7/7030 Зам. Нач. 7 ГУ Долинскому (копия Нач. ОКБ-31 Москалеву и ГУ ВВС КА):</w:t>
      </w:r>
    </w:p>
    <w:p w14:paraId="7C1B76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связи с уменьшением заказа на изготовление во 2-м полугодии 1941 подвесных кабин под ДБ-3 до 150 вместо 500 и необходимостью сосредоточить это производство в одном месте, установленное задание ОКБ-31 по выпуску в 1941 кабин под ДБ-3 увеличивается с 50 до 150.</w:t>
      </w:r>
    </w:p>
    <w:p w14:paraId="44A714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Мною дано указание заводу 164 о передаче ОКБ-31 всего имеющегося задела по кабине под ДБ-3." (2463,289).</w:t>
      </w:r>
    </w:p>
    <w:p w14:paraId="58B7B1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A3093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сентября 1941 года директор завода N 1 Третьяков А.Т. и гл. конструктор Микоян А.И. писали письмо № 6301 Шахурину.</w:t>
      </w:r>
    </w:p>
    <w:p w14:paraId="548D0D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Докладная записка</w:t>
      </w:r>
    </w:p>
    <w:p w14:paraId="4250D9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вопросу предложений капитана Панова.</w:t>
      </w:r>
    </w:p>
    <w:p w14:paraId="32B38D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Прицел.</w:t>
      </w:r>
    </w:p>
    <w:p w14:paraId="2D42E8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самолете МИГ-3 стоит прицел ПБП-1а.</w:t>
      </w:r>
    </w:p>
    <w:p w14:paraId="7AD1D3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самолетов МИГ-3 установлен прицел с новым светлым стеклом и с двойным светофильтром, испытания в НИИ ВВС дали положительные результаты.</w:t>
      </w:r>
    </w:p>
    <w:p w14:paraId="5EA9B9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Улучшенные прицелы могут быть немедленно установлены по поступлении их с завода N 217.</w:t>
      </w:r>
    </w:p>
    <w:p w14:paraId="302EB1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Вопрос об увеличении стекла ставится впервые, увеличенное стекло конструктивных изменений в самолете МИГ-3 не вызовет и может быть установлено в любое время по получении от поставщика.</w:t>
      </w:r>
    </w:p>
    <w:p w14:paraId="0A4EDA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Козырек.</w:t>
      </w:r>
    </w:p>
    <w:p w14:paraId="0E10A1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Видоизменить козырек (увеличить его размеры) не представляется возможным, это вызовет излишнее сопротивление.</w:t>
      </w:r>
    </w:p>
    <w:p w14:paraId="2F0353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более легкого открывания фонаря установлена дополнительная ручка, при наличии которой фонарь открывается на всех скоростях.</w:t>
      </w:r>
    </w:p>
    <w:p w14:paraId="2DA152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Бензиновые баки.</w:t>
      </w:r>
    </w:p>
    <w:p w14:paraId="20ED8C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Прорабатывается конструкция изоляции центропланных и заднего бензобака от кабины. Опытный образец будет готов 28/IX с/г.</w:t>
      </w:r>
    </w:p>
    <w:p w14:paraId="5430A8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Повышение огнестойкости предусмотрено введением во все бензобаки нейтрального газа.</w:t>
      </w:r>
    </w:p>
    <w:p w14:paraId="69CF83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 самолеты оборудованы установками нейтрального газа и в таком виде выходят с завода.</w:t>
      </w:r>
    </w:p>
    <w:p w14:paraId="58ECB3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Сбрасывание заднего бензобака выполнить нельзя, так как только через задний бак подается горючее в мотор.</w:t>
      </w:r>
    </w:p>
    <w:p w14:paraId="0BAE4A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Раздельная подача горючего приведет к необходимости полной переделки всей системы бензопровода, сильно усложнит конструкцию, вызовет дополнительные краны переключения подачи бензина и увеличит вес самолета.</w:t>
      </w:r>
    </w:p>
    <w:p w14:paraId="386742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Подъем и выпуск шасси.</w:t>
      </w:r>
    </w:p>
    <w:p w14:paraId="6C6660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Легкое открытие замков при помощи аварийного выпуска - обеспечено новой системой воздухопровода с последовательной подачей воздуха сначала в цилиндр замка, потом в цилиндр подъема.</w:t>
      </w:r>
    </w:p>
    <w:p w14:paraId="2E95DB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Введено в серию.</w:t>
      </w:r>
    </w:p>
    <w:p w14:paraId="460818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Сохранение мощности мотора сверх 20-25 час. работы.</w:t>
      </w:r>
    </w:p>
    <w:p w14:paraId="3FA8D3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Падение мощности мотора следует отнести к посадке поршневых колец.</w:t>
      </w:r>
    </w:p>
    <w:p w14:paraId="4AC24B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Удлинение срока службы мотора возможно и за счет установки фильтров на всасывающих патрубках, экспериментальная работа над которыми ведется конструкторским отделом завода N 1.</w:t>
      </w:r>
    </w:p>
    <w:p w14:paraId="1AD9C1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Защита самолета от нападения противника с хвоста.</w:t>
      </w:r>
    </w:p>
    <w:p w14:paraId="2EF0BF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Совместно с заводом N 32 разрабатывается способ установки на самолете МИГ-3 с специальной кассеты под парашютные гранаты.</w:t>
      </w:r>
    </w:p>
    <w:p w14:paraId="64DCDF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Применение гранат испытано в НИПАВ"е с положительными результатами.</w:t>
      </w:r>
    </w:p>
    <w:p w14:paraId="086BDD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Вопрос о применении воспламеняющейся жидкости будет проработан дополнительно.</w:t>
      </w:r>
    </w:p>
    <w:p w14:paraId="2D1E65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Постановка мотора 82 на самолет МИГ-3.</w:t>
      </w:r>
    </w:p>
    <w:p w14:paraId="02324B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Два опытных образца изготовлены, проходят испытания и доводку.</w:t>
      </w:r>
    </w:p>
    <w:p w14:paraId="5E7B8B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 сигнализации с самолета ракетами.</w:t>
      </w:r>
    </w:p>
    <w:p w14:paraId="44B086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Промышленность не имеет других сигнальных пистолетов и пиротехнических патронов.</w:t>
      </w:r>
    </w:p>
    <w:p w14:paraId="431D4E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Конструкторский отдел завода N 1 приступит к проектированию установки, удовлетворяющей поставленным требованиям.</w:t>
      </w:r>
    </w:p>
    <w:p w14:paraId="566AC0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Радиосвязь.</w:t>
      </w:r>
    </w:p>
    <w:p w14:paraId="586F9F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самолете МИГ-3 имеется двухсторонняя связь на каждом 3-м самолете.</w:t>
      </w:r>
    </w:p>
    <w:p w14:paraId="4D58BA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30/IX с.г. будет сдан на испытание один самолет МИГ-3, оборудованный радиополукомпасом типа "Чаенок".</w:t>
      </w:r>
    </w:p>
    <w:p w14:paraId="5FE906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Антиобледенители.</w:t>
      </w:r>
    </w:p>
    <w:p w14:paraId="09AF76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настоящее время не имеем системы для практического применения на истребителе.</w:t>
      </w:r>
    </w:p>
    <w:p w14:paraId="2B5743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Слепые полеты на самолете МИГ-3.</w:t>
      </w:r>
    </w:p>
    <w:p w14:paraId="4DC904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Для слепых полетов на самолете МИГ-3 потребуется устанавливать авиагоризонт, единственное место расположение которого возможно </w:t>
      </w:r>
      <w:r w:rsidR="009F502E"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rPr>
        <w:t>на месте размещения приборов радиополукомпаса "Чаенок". Кроме того, потребуется полное переоборудование арматурной доски.</w:t>
      </w:r>
    </w:p>
    <w:p w14:paraId="33C6F3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Опытный образец может быть изготовлен в течение 12-15 дней (2191,57).</w:t>
      </w:r>
    </w:p>
    <w:p w14:paraId="726F4B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2A3BE2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25 сентября 1941 г. состав военного представитель</w:t>
      </w:r>
      <w:r w:rsidRPr="00640820">
        <w:rPr>
          <w:rFonts w:ascii="Times New Roman" w:hAnsi="Times New Roman"/>
          <w:color w:val="000000" w:themeColor="text1"/>
          <w:sz w:val="16"/>
          <w:szCs w:val="16"/>
        </w:rPr>
        <w:softHyphen/>
        <w:t>ства ГУ ВВС КА на заводе №1 включал:</w:t>
      </w:r>
    </w:p>
    <w:p w14:paraId="4EC3096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Старший военпред военин-женер 2-го ранга Францев Миха</w:t>
      </w:r>
      <w:r w:rsidRPr="00640820">
        <w:rPr>
          <w:rFonts w:ascii="Times New Roman" w:hAnsi="Times New Roman"/>
          <w:color w:val="000000" w:themeColor="text1"/>
          <w:sz w:val="16"/>
          <w:szCs w:val="16"/>
        </w:rPr>
        <w:softHyphen/>
        <w:t>ил Васильевич.</w:t>
      </w:r>
    </w:p>
    <w:p w14:paraId="2B4BA9F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Военпред военинженер 2-го ранга Галкин Тимофей Иосифович.</w:t>
      </w:r>
    </w:p>
    <w:p w14:paraId="10C3B5B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Военпред военинженер 3-го ранга Князев Борис Андреевич.</w:t>
      </w:r>
    </w:p>
    <w:p w14:paraId="3F1E9FD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Военпред военинженер 2-го ранга Копнинский Иван Ильич.</w:t>
      </w:r>
    </w:p>
    <w:p w14:paraId="14E6F91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Военпред военинженер 2-го ранга Куканов Иван Алексеевич.</w:t>
      </w:r>
    </w:p>
    <w:p w14:paraId="7BED9B3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Военпред военинженер 2-го ранга Морковка Максим Марко</w:t>
      </w:r>
      <w:r w:rsidRPr="00640820">
        <w:rPr>
          <w:rFonts w:ascii="Times New Roman" w:hAnsi="Times New Roman"/>
          <w:color w:val="000000" w:themeColor="text1"/>
          <w:sz w:val="16"/>
          <w:szCs w:val="16"/>
        </w:rPr>
        <w:softHyphen/>
        <w:t>вич.</w:t>
      </w:r>
    </w:p>
    <w:p w14:paraId="6569C82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Военпред военинженер 2-го ранга Нахманович Абрам Наумо</w:t>
      </w:r>
      <w:r w:rsidRPr="00640820">
        <w:rPr>
          <w:rFonts w:ascii="Times New Roman" w:hAnsi="Times New Roman"/>
          <w:color w:val="000000" w:themeColor="text1"/>
          <w:sz w:val="16"/>
          <w:szCs w:val="16"/>
        </w:rPr>
        <w:softHyphen/>
        <w:t>вич.</w:t>
      </w:r>
    </w:p>
    <w:p w14:paraId="2631762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Военпред военинженер 3-го ранга Янушкевич Владимир Михай</w:t>
      </w:r>
      <w:r w:rsidRPr="00640820">
        <w:rPr>
          <w:rFonts w:ascii="Times New Roman" w:hAnsi="Times New Roman"/>
          <w:color w:val="000000" w:themeColor="text1"/>
          <w:sz w:val="16"/>
          <w:szCs w:val="16"/>
        </w:rPr>
        <w:softHyphen/>
        <w:t>лович.</w:t>
      </w:r>
    </w:p>
    <w:p w14:paraId="528DE5F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Помощник военпреда вое</w:t>
      </w:r>
      <w:r w:rsidRPr="00640820">
        <w:rPr>
          <w:rFonts w:ascii="Times New Roman" w:hAnsi="Times New Roman"/>
          <w:color w:val="000000" w:themeColor="text1"/>
          <w:sz w:val="16"/>
          <w:szCs w:val="16"/>
        </w:rPr>
        <w:softHyphen/>
        <w:t>нинженер 3-го ранга Егудин Арон Ильич.</w:t>
      </w:r>
    </w:p>
    <w:p w14:paraId="28BD33D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Помощник военпреда воен</w:t>
      </w:r>
      <w:r w:rsidRPr="00640820">
        <w:rPr>
          <w:rFonts w:ascii="Times New Roman" w:hAnsi="Times New Roman"/>
          <w:color w:val="000000" w:themeColor="text1"/>
          <w:sz w:val="16"/>
          <w:szCs w:val="16"/>
        </w:rPr>
        <w:softHyphen/>
        <w:t>техник 1-го ранга Данильченко Михаил Михайлович.</w:t>
      </w:r>
    </w:p>
    <w:p w14:paraId="7D7A8E8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Помощник военпреда воен</w:t>
      </w:r>
      <w:r w:rsidRPr="00640820">
        <w:rPr>
          <w:rFonts w:ascii="Times New Roman" w:hAnsi="Times New Roman"/>
          <w:color w:val="000000" w:themeColor="text1"/>
          <w:sz w:val="16"/>
          <w:szCs w:val="16"/>
        </w:rPr>
        <w:softHyphen/>
        <w:t>техник 2-го ранга Добрин Юрий Васильевич.</w:t>
      </w:r>
    </w:p>
    <w:p w14:paraId="61BABF8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Помощник военпреда воен</w:t>
      </w:r>
      <w:r w:rsidRPr="00640820">
        <w:rPr>
          <w:rFonts w:ascii="Times New Roman" w:hAnsi="Times New Roman"/>
          <w:color w:val="000000" w:themeColor="text1"/>
          <w:sz w:val="16"/>
          <w:szCs w:val="16"/>
        </w:rPr>
        <w:softHyphen/>
        <w:t>техник 3-го ранга Зыкалин Сергей Николаевич.</w:t>
      </w:r>
    </w:p>
    <w:p w14:paraId="5453CE2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Помощник военпреда воен</w:t>
      </w:r>
      <w:r w:rsidRPr="00640820">
        <w:rPr>
          <w:rFonts w:ascii="Times New Roman" w:hAnsi="Times New Roman"/>
          <w:color w:val="000000" w:themeColor="text1"/>
          <w:sz w:val="16"/>
          <w:szCs w:val="16"/>
        </w:rPr>
        <w:softHyphen/>
        <w:t>техник 1-го ранга Харитонов Алек</w:t>
      </w:r>
      <w:r w:rsidRPr="00640820">
        <w:rPr>
          <w:rFonts w:ascii="Times New Roman" w:hAnsi="Times New Roman"/>
          <w:color w:val="000000" w:themeColor="text1"/>
          <w:sz w:val="16"/>
          <w:szCs w:val="16"/>
        </w:rPr>
        <w:softHyphen/>
        <w:t>сандр Степанович.</w:t>
      </w:r>
    </w:p>
    <w:p w14:paraId="2E189C0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Старший лётчик майор Гурс-кий Валерий Николаевич.</w:t>
      </w:r>
    </w:p>
    <w:p w14:paraId="012603D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Старший лётчик капитан Доб-роскокин Игнат Андреевич.</w:t>
      </w:r>
    </w:p>
    <w:p w14:paraId="2A6F414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16.Старший лётчик полковник Марцелюк Михаил Иванович.</w:t>
      </w:r>
    </w:p>
    <w:p w14:paraId="092719C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17.Старший лётчик полковник Нехлюдов Павел Георгиевич.</w:t>
      </w:r>
    </w:p>
    <w:p w14:paraId="3C14D15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18.Старший лётчик подполков</w:t>
      </w:r>
      <w:r w:rsidRPr="00640820">
        <w:rPr>
          <w:rFonts w:ascii="Times New Roman" w:hAnsi="Times New Roman"/>
          <w:color w:val="000000" w:themeColor="text1"/>
          <w:sz w:val="16"/>
          <w:szCs w:val="16"/>
        </w:rPr>
        <w:softHyphen/>
        <w:t>ник Фегервари Николай Бертало-нович.</w:t>
      </w:r>
    </w:p>
    <w:p w14:paraId="05B05B0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19.Старший техник воентехник 1-го ранга Абрамов Михаил Саве-льевич.</w:t>
      </w:r>
    </w:p>
    <w:p w14:paraId="59A0D7E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20.Старший техник воентехник 1-го ранга Баранов Виктор Ивано</w:t>
      </w:r>
      <w:r w:rsidRPr="00640820">
        <w:rPr>
          <w:rFonts w:ascii="Times New Roman" w:hAnsi="Times New Roman"/>
          <w:color w:val="000000" w:themeColor="text1"/>
          <w:sz w:val="16"/>
          <w:szCs w:val="16"/>
        </w:rPr>
        <w:softHyphen/>
        <w:t>вич.</w:t>
      </w:r>
    </w:p>
    <w:p w14:paraId="0A88D51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21.Старший техник воентехник 1-го ранга Волович Борис Василь</w:t>
      </w:r>
      <w:r w:rsidRPr="00640820">
        <w:rPr>
          <w:rFonts w:ascii="Times New Roman" w:hAnsi="Times New Roman"/>
          <w:color w:val="000000" w:themeColor="text1"/>
          <w:sz w:val="16"/>
          <w:szCs w:val="16"/>
        </w:rPr>
        <w:softHyphen/>
        <w:t>евич.</w:t>
      </w:r>
    </w:p>
    <w:p w14:paraId="3E6401C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22.Старший техник воентехник 1-го ранга Ельшов Василий Егоро</w:t>
      </w:r>
      <w:r w:rsidRPr="00640820">
        <w:rPr>
          <w:rFonts w:ascii="Times New Roman" w:hAnsi="Times New Roman"/>
          <w:color w:val="000000" w:themeColor="text1"/>
          <w:sz w:val="16"/>
          <w:szCs w:val="16"/>
        </w:rPr>
        <w:softHyphen/>
        <w:t>вич.</w:t>
      </w:r>
    </w:p>
    <w:p w14:paraId="1DA576D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23.Старший техник воентехник 2-го ранга Ерофеев Ю.С.</w:t>
      </w:r>
    </w:p>
    <w:p w14:paraId="6FCC71B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24.Старший техник воентехник 1-го ранга Кирильцев Иван Илла</w:t>
      </w:r>
      <w:r w:rsidRPr="00640820">
        <w:rPr>
          <w:rFonts w:ascii="Times New Roman" w:hAnsi="Times New Roman"/>
          <w:color w:val="000000" w:themeColor="text1"/>
          <w:sz w:val="16"/>
          <w:szCs w:val="16"/>
        </w:rPr>
        <w:softHyphen/>
        <w:t>рионович.</w:t>
      </w:r>
    </w:p>
    <w:p w14:paraId="1132628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25.Старший техник воентехник 1-го ранга Красножен Николай Григорьевич.</w:t>
      </w:r>
    </w:p>
    <w:p w14:paraId="54F9A23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26.Старший техник воентехник 2-го ранга Кричевер Моисей Со</w:t>
      </w:r>
      <w:r w:rsidRPr="00640820">
        <w:rPr>
          <w:rFonts w:ascii="Times New Roman" w:hAnsi="Times New Roman"/>
          <w:color w:val="000000" w:themeColor="text1"/>
          <w:sz w:val="16"/>
          <w:szCs w:val="16"/>
        </w:rPr>
        <w:softHyphen/>
        <w:t>ломонович.</w:t>
      </w:r>
    </w:p>
    <w:p w14:paraId="07CFF58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27.Старший техник воентехник 2-го ранга Макарченко Леонид Капитонович.</w:t>
      </w:r>
    </w:p>
    <w:p w14:paraId="500B6A6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Старший техник воентехник 2-го ранга Макаров Георгий Ива</w:t>
      </w:r>
      <w:r w:rsidRPr="00640820">
        <w:rPr>
          <w:rFonts w:ascii="Times New Roman" w:hAnsi="Times New Roman"/>
          <w:color w:val="000000" w:themeColor="text1"/>
          <w:sz w:val="16"/>
          <w:szCs w:val="16"/>
        </w:rPr>
        <w:softHyphen/>
        <w:t>нович.</w:t>
      </w:r>
    </w:p>
    <w:p w14:paraId="60FDBEE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Старший техник воентехник 1-го ранга Морозов Александр Иванович.</w:t>
      </w:r>
    </w:p>
    <w:p w14:paraId="019129F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30.Старший техник воентехник 2-го ранга Оксентюк Роман Тро</w:t>
      </w:r>
      <w:r w:rsidRPr="00640820">
        <w:rPr>
          <w:rFonts w:ascii="Times New Roman" w:hAnsi="Times New Roman"/>
          <w:color w:val="000000" w:themeColor="text1"/>
          <w:sz w:val="16"/>
          <w:szCs w:val="16"/>
        </w:rPr>
        <w:softHyphen/>
        <w:t>фимович.</w:t>
      </w:r>
    </w:p>
    <w:p w14:paraId="39049DB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31.Старший техник воентехник 1-го ранга Охрименко Алексей Ефимович.</w:t>
      </w:r>
    </w:p>
    <w:p w14:paraId="0124127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32.Старший техник воентехник 1-го ранга Пенкин Владимир Анд</w:t>
      </w:r>
      <w:r w:rsidRPr="00640820">
        <w:rPr>
          <w:rFonts w:ascii="Times New Roman" w:hAnsi="Times New Roman"/>
          <w:color w:val="000000" w:themeColor="text1"/>
          <w:sz w:val="16"/>
          <w:szCs w:val="16"/>
        </w:rPr>
        <w:softHyphen/>
        <w:t>реевич.</w:t>
      </w:r>
    </w:p>
    <w:p w14:paraId="5FE4092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33.Старший техник воентехник 1-го ранга Подкорытов Михаил Григорьевич.</w:t>
      </w:r>
    </w:p>
    <w:p w14:paraId="4A4045C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34. Старший техник воентехник 1-го ранга Сахаров Николай Ива</w:t>
      </w:r>
      <w:r w:rsidRPr="00640820">
        <w:rPr>
          <w:rFonts w:ascii="Times New Roman" w:hAnsi="Times New Roman"/>
          <w:color w:val="000000" w:themeColor="text1"/>
          <w:sz w:val="16"/>
          <w:szCs w:val="16"/>
        </w:rPr>
        <w:softHyphen/>
        <w:t>нович.</w:t>
      </w:r>
    </w:p>
    <w:p w14:paraId="1EC0FCF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35.Старший техник воентехник 1-го ранга Семёнов Сергей Васи</w:t>
      </w:r>
      <w:r w:rsidRPr="00640820">
        <w:rPr>
          <w:rFonts w:ascii="Times New Roman" w:hAnsi="Times New Roman"/>
          <w:color w:val="000000" w:themeColor="text1"/>
          <w:sz w:val="16"/>
          <w:szCs w:val="16"/>
        </w:rPr>
        <w:softHyphen/>
        <w:t>льевич.</w:t>
      </w:r>
    </w:p>
    <w:p w14:paraId="6CB47EB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36.Старший техник воентехник 2-го ранга Смирнов Вячеслав Ива</w:t>
      </w:r>
      <w:r w:rsidRPr="00640820">
        <w:rPr>
          <w:rFonts w:ascii="Times New Roman" w:hAnsi="Times New Roman"/>
          <w:color w:val="000000" w:themeColor="text1"/>
          <w:sz w:val="16"/>
          <w:szCs w:val="16"/>
        </w:rPr>
        <w:softHyphen/>
        <w:t>нович.</w:t>
      </w:r>
    </w:p>
    <w:p w14:paraId="636F2D0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37.Старший техник воентехник 2-го ранга Собочев Николай Пет</w:t>
      </w:r>
      <w:r w:rsidRPr="00640820">
        <w:rPr>
          <w:rFonts w:ascii="Times New Roman" w:hAnsi="Times New Roman"/>
          <w:color w:val="000000" w:themeColor="text1"/>
          <w:sz w:val="16"/>
          <w:szCs w:val="16"/>
        </w:rPr>
        <w:softHyphen/>
        <w:t>рович.</w:t>
      </w:r>
    </w:p>
    <w:p w14:paraId="3B1EE52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38.Старший техник воентехник 2-го ранга Степанов Евгений Дмит</w:t>
      </w:r>
      <w:r w:rsidRPr="00640820">
        <w:rPr>
          <w:rFonts w:ascii="Times New Roman" w:hAnsi="Times New Roman"/>
          <w:color w:val="000000" w:themeColor="text1"/>
          <w:sz w:val="16"/>
          <w:szCs w:val="16"/>
        </w:rPr>
        <w:softHyphen/>
        <w:t>риевич.</w:t>
      </w:r>
    </w:p>
    <w:p w14:paraId="2B4A7FF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 Старший техник воентехник 1-го ранга Строганов Петр Алек</w:t>
      </w:r>
      <w:r w:rsidRPr="00640820">
        <w:rPr>
          <w:rFonts w:ascii="Times New Roman" w:hAnsi="Times New Roman"/>
          <w:color w:val="000000" w:themeColor="text1"/>
          <w:sz w:val="16"/>
          <w:szCs w:val="16"/>
        </w:rPr>
        <w:softHyphen/>
        <w:t>сандрович.</w:t>
      </w:r>
    </w:p>
    <w:p w14:paraId="641CA67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40.Старший техник воентехник 1-го ранга Тертычный Семён Фи</w:t>
      </w:r>
      <w:r w:rsidRPr="00640820">
        <w:rPr>
          <w:rFonts w:ascii="Times New Roman" w:hAnsi="Times New Roman"/>
          <w:color w:val="000000" w:themeColor="text1"/>
          <w:sz w:val="16"/>
          <w:szCs w:val="16"/>
        </w:rPr>
        <w:softHyphen/>
        <w:t>липпович.</w:t>
      </w:r>
    </w:p>
    <w:p w14:paraId="3A2AD46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41.Старший техник воентехник 1-го ранга Торобченко Иван Пет</w:t>
      </w:r>
      <w:r w:rsidRPr="00640820">
        <w:rPr>
          <w:rFonts w:ascii="Times New Roman" w:hAnsi="Times New Roman"/>
          <w:color w:val="000000" w:themeColor="text1"/>
          <w:sz w:val="16"/>
          <w:szCs w:val="16"/>
        </w:rPr>
        <w:softHyphen/>
        <w:t>рович.</w:t>
      </w:r>
    </w:p>
    <w:p w14:paraId="1822937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42.Старший техник воентехник 2-го ранга Умников Николай Ефи</w:t>
      </w:r>
      <w:r w:rsidRPr="00640820">
        <w:rPr>
          <w:rFonts w:ascii="Times New Roman" w:hAnsi="Times New Roman"/>
          <w:color w:val="000000" w:themeColor="text1"/>
          <w:sz w:val="16"/>
          <w:szCs w:val="16"/>
        </w:rPr>
        <w:softHyphen/>
        <w:t>мович.</w:t>
      </w:r>
    </w:p>
    <w:p w14:paraId="017EEF6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43.Старший техник воентехник 2-го ранга Федотов Георгий Дани</w:t>
      </w:r>
      <w:r w:rsidRPr="00640820">
        <w:rPr>
          <w:rFonts w:ascii="Times New Roman" w:hAnsi="Times New Roman"/>
          <w:color w:val="000000" w:themeColor="text1"/>
          <w:sz w:val="16"/>
          <w:szCs w:val="16"/>
        </w:rPr>
        <w:softHyphen/>
        <w:t>лович.</w:t>
      </w:r>
    </w:p>
    <w:p w14:paraId="7DB21ED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44.Старший техник воентехник 2-го ранга Филимонович Сергей Михайлович.</w:t>
      </w:r>
    </w:p>
    <w:p w14:paraId="3556570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45.Старший техник воентехник 2-го ранга Шапошилков Игорь Бо</w:t>
      </w:r>
      <w:r w:rsidRPr="00640820">
        <w:rPr>
          <w:rFonts w:ascii="Times New Roman" w:hAnsi="Times New Roman"/>
          <w:color w:val="000000" w:themeColor="text1"/>
          <w:sz w:val="16"/>
          <w:szCs w:val="16"/>
        </w:rPr>
        <w:softHyphen/>
        <w:t>рисович.</w:t>
      </w:r>
    </w:p>
    <w:p w14:paraId="4C55980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46.Старший техник воентехник 1-го ранга Широков Виктор Гаври</w:t>
      </w:r>
      <w:r w:rsidRPr="00640820">
        <w:rPr>
          <w:rFonts w:ascii="Times New Roman" w:hAnsi="Times New Roman"/>
          <w:color w:val="000000" w:themeColor="text1"/>
          <w:sz w:val="16"/>
          <w:szCs w:val="16"/>
        </w:rPr>
        <w:softHyphen/>
        <w:t>лович (11761).</w:t>
      </w:r>
    </w:p>
    <w:p w14:paraId="0AB5773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AB67C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сентября 1941 Секретарь комиссии по военным и военно-морским делам И.Сафонов писал записку № 909/вк в ГУ ВВС т. Жарову:</w:t>
      </w:r>
    </w:p>
    <w:p w14:paraId="40B9EFC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Вашей просьюе возвращаю письмо о заказе 10000 шт. авиационных гранат АГ-2 для проведения их испытаний на фронте.</w:t>
      </w:r>
    </w:p>
    <w:p w14:paraId="382F6F4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Приложение: за № 210131с на 2-х листах (4156,190).</w:t>
      </w:r>
    </w:p>
    <w:p w14:paraId="0ECD623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сентября 1941 с письмом № № 210131с были направлены:</w:t>
      </w:r>
    </w:p>
    <w:p w14:paraId="783DCD3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Записка Г.М.М:</w:t>
      </w:r>
    </w:p>
    <w:p w14:paraId="75F7A7A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Согласно распоряжению ГКО № 247 от 23 июля 1941 г. ГСКБ-47 НКБ отработало авиационную гранату АГ-2. Тов. Жаров ГУ ВВС КА просит изготовить 10000 шт. этих гранат для испытаний их в боевых условиях.</w:t>
      </w:r>
    </w:p>
    <w:p w14:paraId="38E698B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Докладываю, наиболее трудоемкой деталью гранат, требующей обработки на револьверных станках, является взрыватель, от изготовления которого отказались НКСМ, НКОМ, Управление Промкооперации при СНК РСФСР, мотивируя свой отказ загруженностью производством боеприпасов.</w:t>
      </w:r>
    </w:p>
    <w:p w14:paraId="017E6EF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Корпус гранаты. Коробку с крышкой для парашюта и скобку взрывателя берется делать НКСМ.</w:t>
      </w:r>
    </w:p>
    <w:p w14:paraId="6A74C21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Т.к. НКСМ изготовляет взрыватели и имеет в производстве этих деталей соответствующий опыт, считаю возможным обязать его изготовить партию взрывателей для АГ в количестве 1000 шт.</w:t>
      </w:r>
    </w:p>
    <w:p w14:paraId="1C45DE1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Изготовление остальных деталей гранат и кассет к ним с соответствующими наркоматами согласовано.</w:t>
      </w:r>
    </w:p>
    <w:p w14:paraId="3F6519F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Прошу Рассмотреть проект распоряжения ГКО, согласованный с тов. Вознесенским Н.А.</w:t>
      </w:r>
    </w:p>
    <w:p w14:paraId="24A16F1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Виза ГММ:</w:t>
      </w:r>
    </w:p>
    <w:p w14:paraId="602EDFA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“тов. Вознесенскому</w:t>
      </w:r>
    </w:p>
    <w:p w14:paraId="0147DD6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Выходит, что граната еще не отработана.</w:t>
      </w:r>
    </w:p>
    <w:p w14:paraId="3D05349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Решение ГКО в таком случае принимать нельзя. Как твое мнение?</w:t>
      </w:r>
    </w:p>
    <w:p w14:paraId="0BBFA14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сентября 1941”</w:t>
      </w:r>
    </w:p>
    <w:p w14:paraId="519C1CD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Виза Вознесенского:</w:t>
      </w:r>
    </w:p>
    <w:p w14:paraId="6D0AD5A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Согласен с тов. Маленковым</w:t>
      </w:r>
    </w:p>
    <w:p w14:paraId="53B2F29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Надо обязать НКБ отработать гранату, после чего испытать в боевой обстановке”</w:t>
      </w:r>
    </w:p>
    <w:p w14:paraId="1312123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 СЕКРЕТНО</w:t>
      </w:r>
    </w:p>
    <w:p w14:paraId="375226D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ГОСУДАРСТВЕННЫЙ КОМИТЕТ ОБОРОНЫ</w:t>
      </w:r>
    </w:p>
    <w:p w14:paraId="65A8016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РАСПОРЯЖЕНИЕ №__ " "сентября 1941 г. (проект)</w:t>
      </w:r>
    </w:p>
    <w:p w14:paraId="794AD8A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 Кремль</w:t>
      </w:r>
    </w:p>
    <w:p w14:paraId="47678C9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Обязать Наркомередмаш - т. Акопова изготовить и поставить Наркомбоеприпасов 1000 шт. авиационных гранат "АГ-2" комплектно с взрывателями к 15 октября 1941 г.</w:t>
      </w:r>
    </w:p>
    <w:p w14:paraId="6A8A312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Обязать Управление Промкооперации при Совнаркоме РСФСР -т. Бритова изготовить и поставить Наркомбоеприпасов 1000 шт. парашютовк авиационным гранатам "АГ-2" к 15 октября 1941 г.</w:t>
      </w:r>
    </w:p>
    <w:p w14:paraId="528DC33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Обязать Наркомтекстиль СССР - т. Акимова поставить Управ</w:t>
      </w:r>
      <w:r w:rsidRPr="00640820">
        <w:rPr>
          <w:rFonts w:ascii="Times New Roman" w:hAnsi="Times New Roman"/>
          <w:color w:val="000000" w:themeColor="text1"/>
          <w:sz w:val="16"/>
          <w:szCs w:val="16"/>
        </w:rPr>
        <w:softHyphen/>
        <w:t>ление Промкооперации при Совнаркоме РСФСР к 25 сентября 1941 г. 650 погонных метров перкаля марки А или АГ (ГОСТ 634-41 артикул 817).</w:t>
      </w:r>
    </w:p>
    <w:p w14:paraId="238731C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Обязать Наркомбоеприпасов - т. Горемыкина снарядить авиация ные гранаты "АГ-2" в количестве 1000 шт. и подать их ГУ ВВС КА к 25 октября 1941 г.</w:t>
      </w:r>
    </w:p>
    <w:p w14:paraId="148E8C5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Обязать Наркомавиапром - т.Пахурина изготовить и подать ГУ ВВС КА 20 тт.кассет КГ-10 к 10 октября 1941 г.</w:t>
      </w:r>
    </w:p>
    <w:p w14:paraId="3BAAE40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Обязать ГУ ВВС КА - т. Петрова провести испытания авиацион</w:t>
      </w:r>
      <w:r w:rsidRPr="00640820">
        <w:rPr>
          <w:rFonts w:ascii="Times New Roman" w:hAnsi="Times New Roman"/>
          <w:color w:val="000000" w:themeColor="text1"/>
          <w:sz w:val="16"/>
          <w:szCs w:val="16"/>
        </w:rPr>
        <w:softHyphen/>
        <w:t>ных гранат "АГ-2" в боевых условиях, после чего решить вопрос о ва</w:t>
      </w:r>
      <w:r w:rsidRPr="00640820">
        <w:rPr>
          <w:rFonts w:ascii="Times New Roman" w:hAnsi="Times New Roman"/>
          <w:color w:val="000000" w:themeColor="text1"/>
          <w:sz w:val="16"/>
          <w:szCs w:val="16"/>
        </w:rPr>
        <w:softHyphen/>
        <w:t>ловом заказе этих гранат промышленности.</w:t>
      </w:r>
    </w:p>
    <w:p w14:paraId="25FA0AF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Зам.Председателя Государственного Комитета Обороны</w:t>
      </w:r>
    </w:p>
    <w:p w14:paraId="0483E20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(В.МОЛОТОВ) (4156,190).</w:t>
      </w:r>
    </w:p>
    <w:p w14:paraId="5282EBC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9C04D8" w14:textId="77777777" w:rsidR="00E118CB" w:rsidRPr="00640820" w:rsidRDefault="00E118CB"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color w:val="000000" w:themeColor="text1"/>
          <w:sz w:val="16"/>
          <w:szCs w:val="16"/>
        </w:rPr>
        <w:t>25 сентября 1941 года в письме Заместителя начальника Генерального штаба РККА, Начальника Разведуправления генерал-лейтенанта Голикова (исх. №634380сс, г.Москва) в адрес Начальника Главного Артиллерийского Управления РККА генерал-полковника Яковлева сообщалось о захвате немцами нашей установки для пуска 42 реактивных снарядов (в переводе с немецкого гранат). Приводим ее содержание: "</w:t>
      </w:r>
      <w:r w:rsidRPr="00640820">
        <w:rPr>
          <w:rFonts w:ascii="Times New Roman" w:hAnsi="Times New Roman"/>
          <w:iCs/>
          <w:color w:val="000000" w:themeColor="text1"/>
          <w:sz w:val="16"/>
          <w:szCs w:val="16"/>
        </w:rPr>
        <w:t>Направляю перехваченную Центральной Радиостанцией "ОСНАЗ" Разведуправления Генштаба РККА, фотограмму передаваемую посредством бильдтелеграфа берлинской радиостанцией в Нью-Йорк, с изображением захваченной у нашей армии автоматической установки выбрасывающей одновременно 42 гранаты. ПРИЛОЖЕНИЕ: Фотограмма на 1 листе (15981).</w:t>
      </w:r>
    </w:p>
    <w:p w14:paraId="137273E4" w14:textId="77777777" w:rsidR="00E118CB" w:rsidRPr="00640820" w:rsidRDefault="00E118CB" w:rsidP="00640820">
      <w:pPr>
        <w:spacing w:after="0" w:line="240" w:lineRule="auto"/>
        <w:jc w:val="both"/>
        <w:rPr>
          <w:rFonts w:ascii="Times New Roman" w:hAnsi="Times New Roman"/>
          <w:color w:val="000000" w:themeColor="text1"/>
          <w:sz w:val="16"/>
          <w:szCs w:val="16"/>
        </w:rPr>
      </w:pPr>
    </w:p>
    <w:p w14:paraId="28D4A5C1"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00E7B23C"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3AD6876" w14:textId="77777777" w:rsidR="00444017" w:rsidRPr="00640820" w:rsidRDefault="00444017"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сентября 1941 вышло Постановление ГКО № 711 Об организации производства 120 мм минометов. РГАНИР, Фонд ГКО, д. 10, лл. 81 -83, 84-86 (11012).</w:t>
      </w:r>
    </w:p>
    <w:p w14:paraId="3E8D4757" w14:textId="77777777" w:rsidR="00444017" w:rsidRPr="00640820" w:rsidRDefault="00444017" w:rsidP="00640820">
      <w:pPr>
        <w:autoSpaceDE w:val="0"/>
        <w:autoSpaceDN w:val="0"/>
        <w:adjustRightInd w:val="0"/>
        <w:spacing w:after="0" w:line="240" w:lineRule="auto"/>
        <w:jc w:val="both"/>
        <w:rPr>
          <w:rFonts w:ascii="Times New Roman" w:hAnsi="Times New Roman"/>
          <w:color w:val="000000" w:themeColor="text1"/>
          <w:sz w:val="16"/>
          <w:szCs w:val="16"/>
        </w:rPr>
      </w:pPr>
    </w:p>
    <w:p w14:paraId="4CF6BD0E" w14:textId="77777777" w:rsidR="00444017" w:rsidRPr="00640820" w:rsidRDefault="00444017"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сентября 1941 вышло Постановление ГКО № 712 О плане производства 82 мм минометов на октябрь и ноябрь месяцы 1941 года. РГАНИР, Фонд ГКО, д. 10, лл. 87-88, 89-91 (11012).</w:t>
      </w:r>
    </w:p>
    <w:p w14:paraId="30BFA3DE" w14:textId="77777777" w:rsidR="00444017" w:rsidRPr="00640820" w:rsidRDefault="00444017" w:rsidP="00640820">
      <w:pPr>
        <w:autoSpaceDE w:val="0"/>
        <w:autoSpaceDN w:val="0"/>
        <w:adjustRightInd w:val="0"/>
        <w:spacing w:after="0" w:line="240" w:lineRule="auto"/>
        <w:jc w:val="both"/>
        <w:rPr>
          <w:rFonts w:ascii="Times New Roman" w:hAnsi="Times New Roman"/>
          <w:color w:val="000000" w:themeColor="text1"/>
          <w:sz w:val="16"/>
          <w:szCs w:val="16"/>
        </w:rPr>
      </w:pPr>
    </w:p>
    <w:p w14:paraId="42FE5710" w14:textId="77777777" w:rsidR="00E118CB" w:rsidRPr="00640820" w:rsidRDefault="00E118C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сентября 1941 г. по приказу НКТП № 32с производство танков с завода № 183 (Ордена Ленина завод № 183 им. Коминтерна НКОП, НКСМ, НКТП, Харьковский паровозостроительный завод (ХПЗ) им. Коминтерна НКТП, Государственный ХПЗ (ГХПЗ), Уральский танковый завод (УТЗ) № 183 им. Коминтерна НКТП, УТЗ им. Сталина НКТП, «Уралвагонзавод» (УВЗ) НКТП, Минтрансмаша, ПО «УВЗ» им. Ф.Э. Дзержинского», ФГУП «ПО «УВЗ им. Ф.Э. Дзержинского» ФАП, ОАО «Научно-производственная корпорация (НПК) «УВЗ» / г. Харьков п/я 61 «Коминтернзавод» (1938 г.);  г. Нижний Тагил/ /622007(51) и деталей к ним с Мариупольского завода переведено на Уралвагонзавод и образован единый Уральский танковый завод № 183. Этим же приказом назначено руководство завода.</w:t>
      </w:r>
    </w:p>
    <w:p w14:paraId="325ECB5E" w14:textId="77777777" w:rsidR="00E118CB" w:rsidRPr="00640820" w:rsidRDefault="00E118C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12 сентября 1941 г. (1-я очередь) в соответствии с постановлениями ГКО № 667с и № 731 от 4.10.1941 г. (2-я очередь) завод (Ордена Ленина завод № 183 им. Коминтерна НКОП, НКСМ, НКТП, Харьковский паровозостроительный завод (ХПЗ) им. Коминтерна НКТП, Государственный ХПЗ (ГХПЗ), Уральский танковый завод (УТЗ) № 183 им. Коминтерна НКТП, УТЗ им. Сталина НКТП, «Уралвагонзавод» (УВЗ) НКТП, Минтрансмаша, ПО «УВЗ» им. Ф.Э. Дзержинского», ФГУП «ПО «УВЗ им. Ф.Э. Дзержинского» ФАП, ОАО «Научно-производственная корпорация (НПК) «УВЗ» / г. Харьков п/я 61 «Коминтернзавод» (1938 г.);  г. Нижний Тагил/ /622007(51) эвакуирован в период 17.09-19.10.1941 г. на площадку Нижнетагильского вагонзавода, эшелоны прибыли на место 27.11-1.12.1941 г. В Нижний Тагил так же эвакуирован Мариупольский завод им. Ильича и Московский станкостроительный завод им. Орджоникидзе.</w:t>
      </w:r>
    </w:p>
    <w:p w14:paraId="79ACA4B8" w14:textId="77777777" w:rsidR="00E118CB" w:rsidRPr="00640820" w:rsidRDefault="00E118C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1943-44 г. назывался также УТЗ им. Сталина.</w:t>
      </w:r>
    </w:p>
    <w:p w14:paraId="6F38234C" w14:textId="77777777" w:rsidR="00E118CB" w:rsidRPr="00640820" w:rsidRDefault="00E118C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НКТП № 15сс от 18.09.1941 г. заводу поручено в 5-дневный срок отработать установку на Т-34 авиационного двигателя М-17, но работа не была выполнена. Пост. ГКО № 695сс от 20.09.1941 г. заводу № 183 установлены суточные планы по выпуску Т-34: в период 1-25.10.1941 г. - по 3 шт.; 26-31.10.1941 г. - по 4 шт. Затем, в связи с эвакуацией завода, вышло новое распоряжение ГКО о начале выпуска танков на новом месте с 15.11.1941 г. Реально первые 25 машин были сданы 20.12.1941 г. 7.07.1942 г. вышло постановление ГКО № 2000 об обеспечении выпуска танков на заводе. В 1941 г. выпущено 1585 Т-34, в 1942 г. - 5654, в 1943 г. - 8466, в 1944 г. - 8429, в 1945 г.-7362.</w:t>
      </w:r>
      <w:r w:rsidRPr="00640820">
        <w:rPr>
          <w:rFonts w:ascii="Times New Roman" w:hAnsi="Times New Roman"/>
          <w:color w:val="000000" w:themeColor="text1"/>
          <w:sz w:val="16"/>
          <w:szCs w:val="16"/>
          <w:vertAlign w:val="superscript"/>
        </w:rPr>
        <w:t>128</w:t>
      </w:r>
    </w:p>
    <w:p w14:paraId="57AF0F92" w14:textId="77777777" w:rsidR="00E118CB" w:rsidRPr="00640820" w:rsidRDefault="00E118C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02.1942 г. на заводе организован опытный участок, представлявший собой часть пролета между корпусным и сборочным цехами, накрытый навесом. Имелся также испытательный участок (размещавшийся под открытым небом до 1950-х  г.). Впервые в мире на заводе была внедрена полуавтоматическая сварка броневой стали под флюсом (к 11.1942 г. работало 6 полуавтоматов), поточно-конвейерная сборка танков. В 05.1942 г. организован второй конвейер по сборке Т-34 (в начале 1944 г. он ликвидирован, а на его месте организовано башенное производство для Т-34-85). В составе завода (1943 г.)- цех № 130 по сборке Т-34 с конвейером, сдаточный цех № 150; отделы 520, 540. В 07.1944 г. отделу 520 поручена разработка 100-мм танковой пушки для Т-34.</w:t>
      </w:r>
    </w:p>
    <w:p w14:paraId="71F542B5" w14:textId="77777777" w:rsidR="00E118CB" w:rsidRPr="00640820" w:rsidRDefault="00E118C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9.11.1942 г. вышло постановление ГКО № 2491сс о восстановлении на УВЗ производства колес Гриффина, пост. ГКО № 2622 от 13.12.1942 г. оно отменено. 5.09.1943 г. вновь вышло постановление ГКО № 4048 об организации производства колес Гриффина и переносе производства ФАБ-100 на завод № 4. В соответствии с пост. ГКО № 4078 от 9.09.1943 г. завод освобожден от выпуска бронекорпусов самолетов. 20.08.1944 г. - постановление ГКО № 6408 о плане выпуска и поставок заводом колес Гриффина.</w:t>
      </w:r>
    </w:p>
    <w:p w14:paraId="690CFE75" w14:textId="77777777" w:rsidR="00E118CB" w:rsidRPr="00640820" w:rsidRDefault="00E118C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03.1943 г. часть личного состава и оборудования по выпуску М-13 переданы заводу № 183. В соответствии с распоряжением ГКО № 5498 от 28.03.1944 г. на завод в металлургические цеха временно переведено 1000 рабочих из Харькова и Мариуполя.</w:t>
      </w:r>
    </w:p>
    <w:p w14:paraId="328AAD24" w14:textId="77777777" w:rsidR="00E118CB" w:rsidRPr="00640820" w:rsidRDefault="00E118C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годы войны на заводе № 183 им. Коминтерна действовало Главное КБ-34 - центр по работе над Т-34 и модификациям.</w:t>
      </w:r>
    </w:p>
    <w:p w14:paraId="0D21015E" w14:textId="77777777" w:rsidR="00E118CB" w:rsidRPr="00640820" w:rsidRDefault="00E118C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 за годы войны выпущено более 30 тыс. единиц бронетанковой техники.</w:t>
      </w:r>
    </w:p>
    <w:p w14:paraId="463E2AF8" w14:textId="77777777" w:rsidR="00E118CB" w:rsidRPr="00640820" w:rsidRDefault="00E118C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435с от 12.11.1945 г. в распоряжение завода № 183 НКТП ( г. Нижний Тагил) передана территория ликвидированного завода № 120 НКАП.</w:t>
      </w:r>
    </w:p>
    <w:p w14:paraId="5A03524B" w14:textId="77777777" w:rsidR="00E118CB" w:rsidRPr="00640820" w:rsidRDefault="00E118C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оборудование завода № 183 было реэвакуировано на старое место в Харьков, и вновь организован завод № 75, далее- Харьковский машиностроительный завод им. В.А. Малышева.</w:t>
      </w:r>
    </w:p>
    <w:p w14:paraId="4C78FE28" w14:textId="77777777" w:rsidR="00E118CB" w:rsidRPr="00640820" w:rsidRDefault="00E118C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возобновлено производство вагонов.</w:t>
      </w:r>
    </w:p>
    <w:p w14:paraId="58BB287C" w14:textId="77777777" w:rsidR="00E118CB" w:rsidRPr="00640820" w:rsidRDefault="00E118C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05.1947 г. выпущены первые 20 Т-54 («объект 137»), в 1949 г. их производство остановлено из-за доработок конструкции. Цена Т-54 (1947 г.)- 326 тыс. руб. В 1954 г. выпущены первые 25 Т-54А.</w:t>
      </w:r>
    </w:p>
    <w:p w14:paraId="1F0D02BA" w14:textId="77777777" w:rsidR="00E118CB" w:rsidRPr="00640820" w:rsidRDefault="00E118C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28.10.1963 г. вышло распоряжение правительства № 2233-рс о выпуске с 10.1963 г. танков Т-62 с пушкой У5ТС.</w:t>
      </w:r>
    </w:p>
    <w:p w14:paraId="512E5FB4" w14:textId="77777777" w:rsidR="00E118CB" w:rsidRPr="00640820" w:rsidRDefault="00E118C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принимал участие в разработке и изготовлении систем и оборудования для запуска КА и РН, в т.ч. «Энергия-Буран», проекте «Морской старт».</w:t>
      </w:r>
    </w:p>
    <w:p w14:paraId="7B1A56D3" w14:textId="77777777" w:rsidR="00E118CB" w:rsidRPr="00640820" w:rsidRDefault="00E118C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Единственный в России производитель танков (2004 г.). Крупнейший в России производитель вагонов (в 2004 г. выпустил 21.168 вагонов, более 60%). Всего на 2006 г. выпущено более 900 тыс. вагонов.</w:t>
      </w:r>
    </w:p>
    <w:p w14:paraId="3C81E612" w14:textId="77777777" w:rsidR="00E118CB" w:rsidRPr="00640820" w:rsidRDefault="00E118C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5E641F79" w14:textId="77777777" w:rsidR="00E118CB" w:rsidRPr="00640820" w:rsidRDefault="00E118C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предприятия (2004-06 г.): металлургический завод; механосборочный завод (27 цехов); вагоносборочный завод (И цехов, в т.ч. механообрабатывающий, сборочно-сварочный, котельный, малярно- сдаточный цех; инструментальный завод; завод нестадартизованного оборудования; экспериментальный цех вагоностроения; проектно-строительный комплекс. Имеется литейный цех № 4, кузнечный цех, корпус инженерных машин; криогенное производство.</w:t>
      </w:r>
    </w:p>
    <w:p w14:paraId="4218441E" w14:textId="77777777" w:rsidR="00E118CB" w:rsidRPr="00640820" w:rsidRDefault="00E118C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заводе действовали (2006 г.): Уральское КБ вагоностроения, Уральский научно-технологический комплекс, КБ сельскохозяйственной техники, Центр исследований и испытаний материалов.</w:t>
      </w:r>
    </w:p>
    <w:p w14:paraId="37FA009A" w14:textId="77777777" w:rsidR="00E118CB" w:rsidRPr="00640820" w:rsidRDefault="00E118C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базе УВЗ в 2006 г. планировалось создание бронетанкового холдинга ОАО «НПО «Бронетанковая техника и артиллерия», в который должны войти 20 предприятий: УВЗ, ООО «ЧТЗ-Уралтрак», Завод № 9, Уралтрансмаш, УКБТМ, ОАО «Уральский научно-технологический комплекс», ОАО «Уралкриомаш», ОАО «УралНИТИ», КУЛЗ, ОАО «НПО «Электромашина», КБ транспортного машиностроения (Омск), НИИД, ЦНИИ материалов, ЦНИИ «Буревестник», ОАО «Муромское СКБ», Рубцовский машиностроительный завод, ОАО «Внедрение научных и инженерно-технических инноваций», ОАО «Спецмаш», ВНИИтрансмаш, Мотовилихинские заводы. В 08.2007 г. Указом Президента РФ ФГУП «ПО «УВЗ» преобразовано в ОАО «Научно-производственная корпорация (НПК) «УВЗ», в состав которой вошли 19 предприятий.</w:t>
      </w:r>
    </w:p>
    <w:p w14:paraId="0CF5D549" w14:textId="77777777" w:rsidR="00E118CB" w:rsidRPr="00640820" w:rsidRDefault="00E118C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контракту с Индией завод строил 300 танков Т-90 (на 06.2009 г. выбущено более 100) и 1000 комплектов для сборки в Индии.</w:t>
      </w:r>
    </w:p>
    <w:p w14:paraId="4E0413FB" w14:textId="77777777" w:rsidR="00E118CB" w:rsidRPr="00640820" w:rsidRDefault="00E118C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2006 г. выпущено около 17 тыс. единиц подвижного состава для ж/д, в 2008 г. - около 20 тыс. В 02.2009 г. приостановлено вагонное производство завода.</w:t>
      </w:r>
    </w:p>
    <w:p w14:paraId="0D7F6272" w14:textId="77777777" w:rsidR="00E118CB" w:rsidRPr="00640820" w:rsidRDefault="00E118C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Общая производственная площадь (ВОВ)- 312 тыс.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6AF07638" w14:textId="77777777" w:rsidR="00E118CB" w:rsidRPr="00640820" w:rsidRDefault="00E118C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(2006 г.)- более 30 тыс. чел.</w:t>
      </w:r>
    </w:p>
    <w:p w14:paraId="25F43523" w14:textId="77777777" w:rsidR="00E118CB" w:rsidRPr="00640820" w:rsidRDefault="00E118C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(1914 г.)- С. Палашковский, (09.1933-03.1937; 11.01-26.07.1938 г.)- И.П. Бондаренко (снят); и.о. (07.1937 г.-)- Лящ, (08.1938 г.)- Парфенов; (27.10.1938-41 г.-)- Ю.Е. Максарев, С.А. Скачков. Гендиректор (07.1997- 10.04.2009 г.)- Н.А. Малых, (16.04.2009 г.-)- О.В. Сиенко.</w:t>
      </w:r>
    </w:p>
    <w:p w14:paraId="24A73DAF" w14:textId="77777777" w:rsidR="00E118CB" w:rsidRPr="00640820" w:rsidRDefault="00E118C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строительства (11.1937 г.)- Лобойченко. Зам. директора (8.05.1937-11.04.1938 г.)- Ф.И. Лящ (снят), (25.09.1941 г.-)- М. Кривич. Зам. гендиректора: по маркетингу и сбыту (-2006-07 г.-)- С.П. Колосок; (2007 г.)- Б. Минеев, (2009 г.)- В. Щелоков. Помощник директора: (1920-е)- Гордиенко; по найму и увольнению (8.10.1937 г.-)- А.Д. Фирсов, (-27.03.1938 г.)- Я.Л. Лазарев-Мильдон.</w:t>
      </w:r>
    </w:p>
    <w:p w14:paraId="3EF61E5E" w14:textId="77777777" w:rsidR="00E118CB" w:rsidRPr="00640820" w:rsidRDefault="00E118C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Коммерческий директор (2010 г.)- А. Шленский.</w:t>
      </w:r>
    </w:p>
    <w:p w14:paraId="02F7D40B" w14:textId="77777777" w:rsidR="00E118CB" w:rsidRPr="00640820" w:rsidRDefault="00E118C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(8.05.1937-11.04.1938 г.)- Ф.И. Лящ, (25.09.1941 г.-)- В. Ниценко, (2003 г.)- В. Шишков.</w:t>
      </w:r>
    </w:p>
    <w:p w14:paraId="788E5FF1" w14:textId="77777777" w:rsidR="00E118CB" w:rsidRPr="00640820" w:rsidRDefault="00E118C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инженера (1928 г.)- М. Андриянов.</w:t>
      </w:r>
    </w:p>
    <w:p w14:paraId="0903985E" w14:textId="77777777" w:rsidR="00E118CB" w:rsidRPr="00640820" w:rsidRDefault="00E118C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(-1939-09.1940 г.)- М.И. Кошкин, (1940 г.-)- А.А. Морозов.</w:t>
      </w:r>
    </w:p>
    <w:p w14:paraId="69F90345" w14:textId="77777777" w:rsidR="00E118CB" w:rsidRPr="00640820" w:rsidRDefault="00E118C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технолог (1932 г.-)- К. Церевицкий. Гл. энергетик (1937-44 г.)- А.И. Чурин.</w:t>
      </w:r>
    </w:p>
    <w:p w14:paraId="10FF65F4" w14:textId="77777777" w:rsidR="00E118CB" w:rsidRPr="00640820" w:rsidRDefault="00E118C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Руководитель управления по связям с общественностью (2006 г.)- Б. Минеев.</w:t>
      </w:r>
    </w:p>
    <w:p w14:paraId="30F70D18" w14:textId="77777777" w:rsidR="00E118CB" w:rsidRPr="00640820" w:rsidRDefault="00E118C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цехов: механического (03.1937 г.)- П.А. Бобров.</w:t>
      </w:r>
    </w:p>
    <w:p w14:paraId="10BE2830" w14:textId="77777777" w:rsidR="00E118CB" w:rsidRPr="00640820" w:rsidRDefault="00E118C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начальника цеха: тракторного (1928 г.)- В. Дудка.</w:t>
      </w:r>
    </w:p>
    <w:p w14:paraId="6A188470" w14:textId="77777777" w:rsidR="00E118CB" w:rsidRPr="00640820" w:rsidRDefault="00E118C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Т2 (1931 г.)- Тоскин, (1932-03.1937 г.-)- Л. Зайчик; 400 (14.07.1937-02.1938 г.-)- Т.П. Чупахин; опытного (1932 г.-)- А. Кулик; ОТК (1932 г.-)- С, Махонин; снабжения (-1937 г.)- Л. Г. Гольденфарб (репрессирован), (1938 г.)- Шульман; бюро финансового управления (2006 г.)- М. Курашова.</w:t>
      </w:r>
    </w:p>
    <w:p w14:paraId="499DB612" w14:textId="77777777" w:rsidR="00E118CB" w:rsidRPr="00640820" w:rsidRDefault="00E118C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дизельного отдела (14.07.1937 г.-)- К.Ф. Челпан; зам. гл. технолога дизельного отдела (07.1937 г.-)- Поддубный.</w:t>
      </w:r>
    </w:p>
    <w:p w14:paraId="425EB445" w14:textId="77777777" w:rsidR="00E118CB" w:rsidRPr="00640820" w:rsidRDefault="00E118C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Заведующие бюро: курортным (-1937 г.)- Барков.</w:t>
      </w:r>
    </w:p>
    <w:p w14:paraId="46368BD7" w14:textId="77777777" w:rsidR="00E118CB" w:rsidRPr="00640820" w:rsidRDefault="00E118C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паровые котлы: для линкора «Императрица Мария» (1913), Ярроу для крейсеров (1914)- 14; паровые шпили, лебедки и рулевые машины для 20 десантных кораблей типа «эльпидифор» (1917); дизели типа Зульцер 715 л.с. для грузопассажирских теплоходов типа «Дельфин» (1928), для сухогрузов типа «Ногин» (1930- е), мотор КИН для катеров (1938); танки: Т-24 (1930-31)- 25, Т-35 (1933-39)- 4; БТ-2 (1931-33-)- 396 (1932), 224 (1933), БТ-5 (1933-), БТ-7 (1936-38)- всего более 8000; БТ-7М (А-8, 12.1939-09.1940), БТ-8 (1938), БТ-20 (1938), Т- 34 (1940-45)- 31.496,</w:t>
      </w:r>
      <w:r w:rsidRPr="00640820">
        <w:rPr>
          <w:rFonts w:ascii="Times New Roman" w:hAnsi="Times New Roman"/>
          <w:color w:val="000000" w:themeColor="text1"/>
          <w:sz w:val="16"/>
          <w:szCs w:val="16"/>
          <w:vertAlign w:val="superscript"/>
        </w:rPr>
        <w:t>128</w:t>
      </w:r>
      <w:r w:rsidRPr="00640820">
        <w:rPr>
          <w:rFonts w:ascii="Times New Roman" w:hAnsi="Times New Roman"/>
          <w:color w:val="000000" w:themeColor="text1"/>
          <w:sz w:val="16"/>
          <w:szCs w:val="16"/>
        </w:rPr>
        <w:t xml:space="preserve"> Т-44 (1944-45)- 8, Т-54 («объект 137», 1947-49)- 54 (1949), Т-54А (1954-)- 25 (1954), Т-55, Т-62 (1963), Т-72 (-1985-)- всего 7000, Т-90 (1993-), Т-90С (2004); машины: «А», «Е» (1938), мостоукладчики МТУ-1, МТУ-72 (2005), разграждения ИМР-2, БМР-3, ремонтно-эвакуационная БРЭМ-1, траншейная БТМ-4М (2004), БМПТ; цилиндры авиационного мотора М-85 (1937); коленвалы и муфты «Бамаг» для судовых дизелей (1937); бронекорпуса для Ил-2, корпуса авиабомб, детали для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 xml:space="preserve"> М-8, М-13 (1942); паровозы (1938); вагоны (полувагоны, хопперы, платформы, цистерны) (2004); криогенные железнодорожные системы и цистерны, пожарная автоцистерна АЦ-40; тракторы: «Коммунар» (1930-е), универсально-пропашной РТМ-160 (2006) (11982).</w:t>
      </w:r>
    </w:p>
    <w:p w14:paraId="359F899A" w14:textId="77777777" w:rsidR="00E118CB" w:rsidRPr="00640820" w:rsidRDefault="00E118CB" w:rsidP="00640820">
      <w:pPr>
        <w:autoSpaceDE w:val="0"/>
        <w:autoSpaceDN w:val="0"/>
        <w:adjustRightInd w:val="0"/>
        <w:spacing w:after="0" w:line="240" w:lineRule="auto"/>
        <w:jc w:val="both"/>
        <w:rPr>
          <w:rFonts w:ascii="Times New Roman" w:hAnsi="Times New Roman"/>
          <w:color w:val="000000" w:themeColor="text1"/>
          <w:sz w:val="16"/>
          <w:szCs w:val="16"/>
        </w:rPr>
      </w:pPr>
    </w:p>
    <w:p w14:paraId="446EB243"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25 сентября 1941</w:t>
      </w:r>
    </w:p>
    <w:p w14:paraId="65B97B98"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Секретно. </w:t>
      </w:r>
    </w:p>
    <w:p w14:paraId="17C76C75"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ПРИКАЗ</w:t>
      </w:r>
    </w:p>
    <w:p w14:paraId="5898901B"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НАРОДНОГО КОМИССАРА ТАНКОВОЙ ПРОМЫШЛЕННОСТИ СОЮЗА ССР</w:t>
      </w:r>
    </w:p>
    <w:p w14:paraId="6FDD4036"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32с</w:t>
      </w:r>
    </w:p>
    <w:p w14:paraId="15F540BF"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г. Н.Тагил </w:t>
      </w:r>
    </w:p>
    <w:p w14:paraId="7CC18CDD"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"25" сентября 1941 г.</w:t>
      </w:r>
    </w:p>
    <w:p w14:paraId="2846044E"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lastRenderedPageBreak/>
        <w:t xml:space="preserve">В связи с переводом производства танков с завода № 183 и производства бронедеталей с Мариупольского завода им. Ильича на Уралвагонзавод, – ПРИКАЗЫВАЮ: </w:t>
      </w:r>
    </w:p>
    <w:p w14:paraId="211FEE4B"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1.</w:t>
      </w:r>
    </w:p>
    <w:p w14:paraId="6105716F"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Назначить директором Уралвагонзавода и завода № 183 директора завода № 183 им. Коминтерна тов. МАКСАРЕВА Ю.Е., подчинив ему переводимое на Уралвагонзавод производство бронедеталей Мариупольского завода им. Ильича. </w:t>
      </w:r>
    </w:p>
    <w:p w14:paraId="28DDA663"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2.</w:t>
      </w:r>
    </w:p>
    <w:p w14:paraId="5A44EF7E"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До окончания перевода производства завода № 183 и завода имени Ильича на Уралвагонзавод, исполнение обязанностей директора Уралвагонзавода и завода № 183 на Уралвагонзаводе возложить на Заместителя директора – Главного инженера – тов. КРИВИЧ М.П. </w:t>
      </w:r>
    </w:p>
    <w:p w14:paraId="21A49236"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3.</w:t>
      </w:r>
    </w:p>
    <w:p w14:paraId="4189E880"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Главного инженера Мариупольского завода им. Ильича – тов. НИЦЕНКО В.С, назначить Главным инженером Уралвагонзавода и завода № 183 по бронепроизводству. </w:t>
      </w:r>
    </w:p>
    <w:p w14:paraId="62A949E5"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4.</w:t>
      </w:r>
    </w:p>
    <w:p w14:paraId="1384B667"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Главного инженера Уралвагонзавода тов. ПЕРЦОВСКОГО И.Н. назначить заместителем Главного инженера завода № 183 по спецпроизводству (за исключением Т-34 и арттягачей "Ворошиловец"). </w:t>
      </w:r>
    </w:p>
    <w:p w14:paraId="65564995"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5.</w:t>
      </w:r>
    </w:p>
    <w:p w14:paraId="3A51D3DD"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И.О. Директора Уралвагонзавода и завода № 183 тов. КРИВИЧ в 3-х дневный срок: </w:t>
      </w:r>
    </w:p>
    <w:p w14:paraId="70398CFD"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а) исходя из имеющихся заделов и комплектности металла, установить сроки освобождения цехов от вагонного производства с тем, чтобы к моменту прибытия завода № 183 и завода им. Ильича – полностью подготовить цехи для приема оборудования. </w:t>
      </w:r>
    </w:p>
    <w:p w14:paraId="6AE2BF97"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б) Установить номенклатуру и количество вагонных деталей, подлежащих реализации, как запчасти для НКПС, так и полуфабрикаты для вагоноремонтных заводов. Вагонные детали, которые в настоящее время не могут быть реализованы, должны быть сданы на консервацию по инвентаризационным ведомостям. </w:t>
      </w:r>
    </w:p>
    <w:p w14:paraId="17DD0376"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в) Произвести полную инвентаризацию оборудования, штампов, приспособлений и специнструмента вагонного производства по цехам и организовать их хранение, с назначением ответственных лиц по каждому цеху. </w:t>
      </w:r>
    </w:p>
    <w:p w14:paraId="14DA863C"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6.</w:t>
      </w:r>
    </w:p>
    <w:p w14:paraId="1E5C6066"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И.О. Директора Уралвагонзавода и завода № 183 т. КРИВИЧ П.М. в 3-х дневный срок разработать порядок приема оборудования, график монтажа и пуска в работу, с указанием ответственных лиц по цехам и участкам, и представить мне на утверждение. Предусмотреть в плане и графиках такой порядок, чтобы цеха были подготовлены полностью к приему нового оборудования не менее чем за 5 дней до его прибытия на завод. </w:t>
      </w:r>
    </w:p>
    <w:p w14:paraId="58EAF029"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7.</w:t>
      </w:r>
    </w:p>
    <w:p w14:paraId="480C3D32"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И.О. Директора Уралвагонзавода и завода № 183 т. КРИВИЧ П.М. в пятидневный срок составить график выпуска продукции, в обеспечение выполнения приказа № 4сс от 13/IX-41 г. График представить мне на утверждение. </w:t>
      </w:r>
    </w:p>
    <w:p w14:paraId="18947B03"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8.</w:t>
      </w:r>
    </w:p>
    <w:p w14:paraId="133FDF62"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В целях быстрейшей организации нового производства: </w:t>
      </w:r>
    </w:p>
    <w:p w14:paraId="14697C69"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а) Утвердить прилагаемый план размещения производства танков Т-34, арттягачей "Ворошиловец" и бронедеталей. </w:t>
      </w:r>
    </w:p>
    <w:p w14:paraId="2DD67866"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б) Ответственность за составление проекта по новому производству возложить на тов. СЫРКИНА В.А., которого назначить Заместителем Главного инженера завода № 183 по проектированию. </w:t>
      </w:r>
    </w:p>
    <w:p w14:paraId="17D5B9FF"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в) Проектирование по энергетической части и производство монтажных работ по электрической части возложить на Главного энергетика тов. ЧУРИНА А.И. </w:t>
      </w:r>
    </w:p>
    <w:p w14:paraId="7D4D3669"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г) Монтаж оборудования возложить на Главного механика завода – тов. ЩУКИНА П.Д. </w:t>
      </w:r>
    </w:p>
    <w:p w14:paraId="162D64FD"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9.</w:t>
      </w:r>
    </w:p>
    <w:p w14:paraId="668807B6"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Заместителю директора Уралвагонзавода – тов. ЧЕЛНОКОВУ и пом. Директора завода № 183 – тов. СИЦЕВОМУ М.С. в 3-х дневный срок проработать порядок приема и размещения рабочих, ИТР с их семьями и организацию питания, с выделением ответственных лиц по отдельным участкам. Для размещения рабочих, ИТР и их семей произвести уплотнение живущих в домах завода. </w:t>
      </w:r>
    </w:p>
    <w:p w14:paraId="0B9CCE1A"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10.</w:t>
      </w:r>
    </w:p>
    <w:p w14:paraId="199B6E06"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Пом. директора завода № 183 по кадрам тов. ФИРСОВУ А.Д. с помощью работников отдела кадров Уралвагонзавода в 10-ти дневный срок определить состав рабочих и ИТР, подлежащих использованию на новом производстве. </w:t>
      </w:r>
    </w:p>
    <w:p w14:paraId="7AD8A6F4"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11.</w:t>
      </w:r>
    </w:p>
    <w:p w14:paraId="6489E97B"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Зам. Директора Уралвагонзавода по снабжению тов. ГЛАГОЛЕВУ и Начальнику отдела "3" завода № 183 тов. ВЕРБИЦКОМУ Д.С. проработать вопросы кооперирования и переадресовки заказов на снабжение Уралвагонзавода для нового производства. </w:t>
      </w:r>
    </w:p>
    <w:p w14:paraId="19CF03DB"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12.</w:t>
      </w:r>
    </w:p>
    <w:p w14:paraId="35D398D0"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И.О. Директора Уралвагонзавода и завода № 183 – тов. КРИВИЧ изготовить в цехах Уралвагонзавода из наличного металла: </w:t>
      </w:r>
    </w:p>
    <w:p w14:paraId="119A3C81"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а) комплект металлоконструкций двух мартеновских печей 1350 тонн. </w:t>
      </w:r>
    </w:p>
    <w:p w14:paraId="650FEBA4"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б) Комплект конструкций нагревательных и отжигательных печей с выдвижными подами – 1300 тонн. </w:t>
      </w:r>
    </w:p>
    <w:p w14:paraId="2ECFD70F"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в) Чугунное литье к мартеновским, нагревательным и отжигательным печам – 900 тонн. </w:t>
      </w:r>
    </w:p>
    <w:p w14:paraId="767A242D"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г) Стальное литье мартеновских, нагревательных и отжигательных печей – 600 тонн. </w:t>
      </w:r>
    </w:p>
    <w:p w14:paraId="46CAC85C"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д) Закладные части (поковки) – 300 тонн. </w:t>
      </w:r>
    </w:p>
    <w:p w14:paraId="6C754E8E"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е) Горелки и форсунки – 476 штук. </w:t>
      </w:r>
    </w:p>
    <w:p w14:paraId="6B539552"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ж) Все строительные металлоконструкции новых цехов. </w:t>
      </w:r>
    </w:p>
    <w:p w14:paraId="00944ED3"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Для выполнения указанной работы привлечь цеха металлоконструкций строительных организаций (30% объема) и Уралвагонзавода. </w:t>
      </w:r>
    </w:p>
    <w:p w14:paraId="54A094A5"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13.</w:t>
      </w:r>
    </w:p>
    <w:p w14:paraId="2F736D4A"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Назначить уполномоченным Наркомата по контролю и помощи в эвакуации заводов № 183 и им. Ильича и организации производства т. БОГДАНОВА П.В. Тов. БОГДАНОВУ каждые пять дней докладывать мне лично о ходе эвакуации и организации производства. </w:t>
      </w:r>
    </w:p>
    <w:p w14:paraId="7A346BAC"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НАРОДНЫЙ КОМИССАР ТАНКОВОЙ ПРОМЫШЛЕННОСТИ СОЮЗА ССР</w:t>
      </w:r>
    </w:p>
    <w:p w14:paraId="4813A3BD"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подпись (В. МАЛЫШЕВ)</w:t>
      </w:r>
    </w:p>
    <w:p w14:paraId="347D660C"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Экз. отп. 30.IX. </w:t>
      </w:r>
    </w:p>
    <w:p w14:paraId="49C0B2C6"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и 1 выписка </w:t>
      </w:r>
    </w:p>
    <w:p w14:paraId="00973CA9"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168 кс.</w:t>
      </w:r>
    </w:p>
    <w:p w14:paraId="44FED3FF"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bCs/>
          <w:iCs/>
          <w:color w:val="000000" w:themeColor="text1"/>
          <w:sz w:val="16"/>
          <w:szCs w:val="16"/>
          <w:lang w:eastAsia="ru-RU"/>
        </w:rPr>
        <w:t>РГАЭ Фонд 8752 Опись 4 Дело 2 лист 72 – 74</w:t>
      </w:r>
      <w:r w:rsidRPr="00640820">
        <w:rPr>
          <w:rFonts w:ascii="Times New Roman" w:eastAsia="Times New Roman" w:hAnsi="Times New Roman"/>
          <w:color w:val="000000" w:themeColor="text1"/>
          <w:sz w:val="16"/>
          <w:szCs w:val="16"/>
          <w:lang w:eastAsia="ru-RU"/>
        </w:rPr>
        <w:t xml:space="preserve"> (17628).</w:t>
      </w:r>
    </w:p>
    <w:p w14:paraId="7F17A4BE" w14:textId="77777777" w:rsidR="00444017" w:rsidRPr="00640820" w:rsidRDefault="00444017" w:rsidP="00640820">
      <w:pPr>
        <w:spacing w:after="0" w:line="240" w:lineRule="auto"/>
        <w:jc w:val="both"/>
        <w:rPr>
          <w:rFonts w:ascii="Times New Roman" w:eastAsia="Times New Roman" w:hAnsi="Times New Roman"/>
          <w:color w:val="000000" w:themeColor="text1"/>
          <w:sz w:val="16"/>
          <w:szCs w:val="16"/>
          <w:lang w:eastAsia="ru-RU"/>
        </w:rPr>
      </w:pPr>
    </w:p>
    <w:p w14:paraId="491800C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сен</w:t>
      </w:r>
      <w:r w:rsidRPr="00640820">
        <w:rPr>
          <w:rFonts w:ascii="Times New Roman" w:hAnsi="Times New Roman"/>
          <w:color w:val="000000" w:themeColor="text1"/>
          <w:sz w:val="16"/>
          <w:szCs w:val="16"/>
        </w:rPr>
        <w:softHyphen/>
        <w:t>тября 1941 вышел приказ НКТП № 32с «о переводе производства танков с завода № 183 и бронедеталей к ним с Мариупольского завода им. Ильича на Уралвагонзавод». Упомянутый приказ констатировал убытие завода в эвакуацию, при этом новое предприятие отныне именовалось «Уральский танковый завод № 183», его директором назначался Ю. Максарев (бывший дирек</w:t>
      </w:r>
      <w:r w:rsidRPr="00640820">
        <w:rPr>
          <w:rFonts w:ascii="Times New Roman" w:hAnsi="Times New Roman"/>
          <w:color w:val="000000" w:themeColor="text1"/>
          <w:sz w:val="16"/>
          <w:szCs w:val="16"/>
        </w:rPr>
        <w:softHyphen/>
        <w:t>тор Харьковского завода № 183 им Коминтерна), замести</w:t>
      </w:r>
      <w:r w:rsidRPr="00640820">
        <w:rPr>
          <w:rFonts w:ascii="Times New Roman" w:hAnsi="Times New Roman"/>
          <w:color w:val="000000" w:themeColor="text1"/>
          <w:sz w:val="16"/>
          <w:szCs w:val="16"/>
        </w:rPr>
        <w:softHyphen/>
        <w:t>телем директора М. Кривич (бывший директор УВЗ), глав</w:t>
      </w:r>
      <w:r w:rsidRPr="00640820">
        <w:rPr>
          <w:rFonts w:ascii="Times New Roman" w:hAnsi="Times New Roman"/>
          <w:color w:val="000000" w:themeColor="text1"/>
          <w:sz w:val="16"/>
          <w:szCs w:val="16"/>
        </w:rPr>
        <w:softHyphen/>
        <w:t>ным инженером - Ниценко с Мариупольского завода (10782).</w:t>
      </w:r>
    </w:p>
    <w:p w14:paraId="38E3114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1AF76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сентября 1941 года вышел приказ № 32с НКТП Челябинск</w:t>
      </w:r>
    </w:p>
    <w:p w14:paraId="779335F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связи с переводом производства танков с завода № 183 и производства бронедеталей с Мариупольского завода им. Ильича на Уралвагонзавод (6032, 74).</w:t>
      </w:r>
    </w:p>
    <w:p w14:paraId="658A1A1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17208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сентября 1941 года вышел приказ № 476/2043сс НКВ и Наркомата просвещения</w:t>
      </w:r>
    </w:p>
    <w:p w14:paraId="584865F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распоряжением Совета по Эвакуации № СЭ-115 от 12 сентября 1941 года:</w:t>
      </w:r>
    </w:p>
    <w:p w14:paraId="6C7B825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Передать Наркомату вооружения помещения Томского госуниверситета для размещения завода № 355 НКВ (6305, 191).</w:t>
      </w:r>
    </w:p>
    <w:p w14:paraId="594397B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1F77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сентября 1941 адмиралтейцы начали установку зенитного вооружения на восьми транспортах Ладожской флотилии; работа закончена 14 октября (10671).</w:t>
      </w:r>
    </w:p>
    <w:p w14:paraId="7F283E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5EA78AC"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4F242597"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8C2FA28"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сентября в 1941 году дневное сообщение Совинформбюро:</w:t>
      </w:r>
    </w:p>
    <w:p w14:paraId="2B03A461"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25 сентября наши войска вели бои с противником на всём фронте.</w:t>
      </w:r>
    </w:p>
    <w:p w14:paraId="45C5DA88"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части, действующие на одном из участков Западного направления фронта, захватили 11 танков, 5 бронемашин, 8 автомашин, 29 пулемётов, 8 миномётов и 25 ящиков мин. Уничтожено 600 немецких солдат и офицеров. В воздушных боях сбито два вражеских самолёта.</w:t>
      </w:r>
    </w:p>
    <w:p w14:paraId="525D5D36"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Группа самолётов Черноморского флота уничтожила 22 орудия противника, 40 автомашин с пехотой и 2 танкетки. Группа истребителей под командованием старшего лейтенанта Денисова подожгла и уничтожила при налёте на вражеский аэродром 11 самолётов. Лётчики другой авиационной части Черноморского флота, совершив 22 сентября успешный налёт на аэродромы противника, уничтожили 15 немецких самолётов.</w:t>
      </w:r>
    </w:p>
    <w:p w14:paraId="62CDB73C"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Лётчики части полковника Трифонова разрушили мост на одной из важнейших для противника транспортных магистралей. В воду вместе с мостом рухнуло до десятка вражеских танков и автомашин.</w:t>
      </w:r>
    </w:p>
    <w:p w14:paraId="08FB51BE"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днях немцы перебрасывали из Житомира на фронт мотоколонну. Между пунктами К. и В. партизанский отряд минировал два моста и шоссейную дорогу. Минами уничтожено 8 автомашин и убито более ста фашистских солдат и офицеров. Партизаны непрерывно обстреливали вражескую колонну и препятствовали восстановлению мостов и разрушенных участков дороги. Немецкая колонна была задержана партизанами на 12 часов.</w:t>
      </w:r>
    </w:p>
    <w:p w14:paraId="2C7B8A71"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Отряд агронома МТС тов. П. в первой половине сентября оперировал в зоне пунктов У. и М. Действуя мелкими группами, а иногда и в одиночку, партизаны за две недели перебили более 60 фашистских мародёров. Партизаны отбили у немцев 11 повозок с награбленным у крестьян имуществом и спрятали его в лесу для возврата владельцам. С самого начала немецкой оккупации партизаны срывают работы по восстановлению линий связи между немецкими гарнизонами.</w:t>
      </w:r>
    </w:p>
    <w:p w14:paraId="1A7ACF2B"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Отряд депутата районного совета тов. А. за первую половину сентября истребил более 50 фашистов. Бойцы отряда уничтожили 14 немецких цистерн с горючим, 17 грузовиков с боеприпасами и 2 бронеавтомобиля. Захвачено 2 немецких орудия, 6 пулеметов, 12 автоматов, много патронов и ручных гранат. За последнее время отряд тов. А. вырос почти вдвое.</w:t>
      </w:r>
    </w:p>
    <w:p w14:paraId="746A6E59"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 наша часть захватила в числе прочих документов дневник австрийского капитана Генриха Клипперта — командира немецкого противотанкового дивизиона. Воспроизводим некоторые выдержки из дневника:</w:t>
      </w:r>
    </w:p>
    <w:p w14:paraId="32184258"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февраля. Майор Дейнгард разыгрывает из себя фюрера, чтобы возвышаться над австрийцами. Он смешивает с грязью всё австрийское.</w:t>
      </w:r>
    </w:p>
    <w:p w14:paraId="67B6071A"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марта. Встретил майора Анакера. Ана-кер говорит, что о назначении австрийцев на должности командира батальона и выше не может быть и речи. Это портит кровь. Каждый австриец чувствует себя в Австрии и в армии, как бесправный житель колоний.</w:t>
      </w:r>
    </w:p>
    <w:p w14:paraId="4D3B682E"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марта. Майор Мангер говорит, что немцы угнетают всех австрийцев. Из Берлина приказано заменить весь австрийский офицерский корпус господами из империи.</w:t>
      </w:r>
    </w:p>
    <w:p w14:paraId="7B189096"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июля. Майор Дейнгард в присутствии нижних чинов и унтер-офицера грубо ру гал австрийских офицеров. Он орал: «Вечно эти вялые, тупоумные австрийцы...» Неужели мы, австрийцы, не лучше собак, если с нами осмеливаются так обращаться?</w:t>
      </w:r>
    </w:p>
    <w:p w14:paraId="786FCF90"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августа. Немецкие офицеры обращаются с австрийцами, как с неграми. Я не могу больше выдержать этого и продолжать такую жизнь, полную унижений.</w:t>
      </w:r>
    </w:p>
    <w:p w14:paraId="747AB7ED"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августа. Меня третируют на каждом шагу. Мне явно не доверяют».</w:t>
      </w:r>
    </w:p>
    <w:p w14:paraId="22EEFF9A"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Чешские патриоты взорвали большой пороховой завод в городе Влашим и военный завод в Требениге. Разрушенные здания оцеплены немецкими войсками. Гестаповцы арестовали несколько десятков чешских рабочих, подозреваемых в организации взрыва.</w:t>
      </w:r>
    </w:p>
    <w:p w14:paraId="45D07E34"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Колхозы и совхозы всемерно расширяют производство продуктов животноводства. Колхоз «Новый свет», Недригайловского района, Сумской области, откормил и сдал государству 76 свиней вместо 60 по плану. Колхоз «Красное поле», Курганинского района, Краснодарского края, выполнил план мясопоставок и выращивает для сдачи государству дополнительно ещё 108 свиней. Колхозы Щербиновского района сверх плана откармливают 457 свиней. Колхозы Дульдургинского района, Читинской области, сдали 3.650 тонн мяса в счёт поставок 1942 г. Совхозы Свиноводтреста Харьковской области из месяца в месяц увеличивают поставки свинины. В июне они сдали 1.590 центнеров, а в августе — 3.684.</w:t>
      </w:r>
    </w:p>
    <w:p w14:paraId="6A8660C3"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Многие колхозы, выполнив план молокопоставок, продают государству многие тонны молока. Годовой план закупок молока и масла в Юринском районе, Марийской АССР, выполнен на 170 процентов, в Еласовском — на 208, в Волжском — на 215. Перевыполнены планы поставок молока и мяса животноводческими совхозами Московской, Новосибирской, Омской, Ростовской и Ярославской областей.» (14780).</w:t>
      </w:r>
    </w:p>
    <w:p w14:paraId="403B0ACE" w14:textId="77777777" w:rsidR="00E118CB" w:rsidRPr="00640820" w:rsidRDefault="00E118CB" w:rsidP="00640820">
      <w:pPr>
        <w:spacing w:after="0" w:line="240" w:lineRule="auto"/>
        <w:jc w:val="both"/>
        <w:rPr>
          <w:rFonts w:ascii="Times New Roman" w:hAnsi="Times New Roman"/>
          <w:color w:val="000000" w:themeColor="text1"/>
          <w:sz w:val="16"/>
          <w:szCs w:val="16"/>
        </w:rPr>
      </w:pPr>
    </w:p>
    <w:p w14:paraId="341A653E"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сентября в 1941 году вечернее сообщение Совинформбюро:</w:t>
      </w:r>
    </w:p>
    <w:p w14:paraId="73AABE48"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25 сентября наши войска вели бои с противником на всём фронте.</w:t>
      </w:r>
    </w:p>
    <w:p w14:paraId="7852CA49"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23 сентября уничтожено 138 самолётов противника, из них сбито в воздушных боях и зенитной артиллерией 70 самолетов и уничтожено на аэродромах 68 самолётов. Наши потери — 36 самолётов.»</w:t>
      </w:r>
    </w:p>
    <w:p w14:paraId="1B2755B9"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Очередная фальшивка гитлеровцев о советских потерях.</w:t>
      </w:r>
    </w:p>
    <w:p w14:paraId="4F104FC8"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«Фашистские пустобрёхи из главного командования германской армии 24 сентября разразились ещё одной очередной фальшивкой. Теперь их уже не удовлетворяют десятки взмахом пера «уничтоженных» советских танков и тысячи «взятых» в плен красноармейцев. К подобной брехне немецкая публика настолько привыкла, что её нельзя уже удивить такой обычной для фашистов ложью. Учтя это, гитлеровцы решили соврать позабористее. На утеху себе они торжественно вещают о захвате в районе Киева 570 советских танков и 380 тысяч пленных.</w:t>
      </w:r>
    </w:p>
    <w:p w14:paraId="3FD180A0"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Разумеется, гитлеровцы никаких 570 танков не захватывали и не уничтожали и никаких 380 тысяч пленных не взяли. Ожесточённая борьба на Киевском фронте продолжается. Несомненно, что у немецких, захватчиков имеется здесь преобладание сил. Чем кончится эта борьба — пока трудно сказать. Конечно, у немцев имеется план захватить тысячи пленных и сотни танков. Но план ещё нужно осуществить, причём одного лишь желания немцев для осуществления такого плана далеко не достаточно.</w:t>
      </w:r>
    </w:p>
    <w:p w14:paraId="63405337"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Существо неумной брехни немецких Фашистов состоит в том, что они свой план выдают за действительность.»</w:t>
      </w:r>
    </w:p>
    <w:p w14:paraId="35C53DB2"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Жульнические попытки немецкого командования создать себе незаслуженную славу.</w:t>
      </w:r>
    </w:p>
    <w:p w14:paraId="6ADCB1E6"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своё время немцы прокричали на весь мир, что они прорвали французскую укреплённую линию «Мажино». На самом деле немцы линии «Мажино» не прорывали, они её обошли. Заявление о прорыве потребовалось немцам для того, чтобы приписать себе незаслуженные успехи и славу.</w:t>
      </w:r>
    </w:p>
    <w:p w14:paraId="2FA1B566"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Этот трюк немецкие захватчики повторили и при вероломном нападении на Советский Союз, когда они заявили, что якобы прорвали «линию Сталина». Советское Информбюро разъяснило, что укреплённого района «линии Сталина» не существовало, а были укрепления обычного полевого типа. «Линию Сталина» немцы выдумали опять-таки для того, чтобы приписать себе незаслуженные успехи и славу.</w:t>
      </w:r>
    </w:p>
    <w:p w14:paraId="69B8D2CF"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Теперь гитлеровцы в третий раз жульнически пытаются повторить тот же самый трюк. Немецкий журнал «Милитерише корреспонденц аус Дейчланд» в одной из своих статей пишет о превосходстве оборонительной системы Ленинграда по сравнению с линией «Мажино». Всякому мало-мальски грамотному человеку известно, что укреплённые линии типа «Мажино» строились годами, что в один — два месяца такую линию построить невозможно. Известно это и гитлеровским захватчикам. Для чего же они жульнически утверждают о превосходстве оборонительной системы Ленинграда по сравнению с линией «Мажино»? Делают гитлеровцы это для того, чтобы, во-первых, оправдать свои огромные потери, какие они понесли на подступах к Ленинграду; во-вторых, для того, чтобы объяснить, почему срывается их хвастливый план захвата Ленинграда, назначенного на конец августа.»</w:t>
      </w:r>
    </w:p>
    <w:p w14:paraId="727C3759"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участков Западного направления фронта наш стрелковый полк полностью уничтожил две роты противника. На поле боя осталось 200 убитых и 70 раненых немецких солдат и офицеров, 20 ручных пулемётов, свыше 200 винтовок, много автоматов и другого вооружения. На другом участке Западного направления фронта наши войска разгромили вражеский батальон. Противник потерял свыше 150 солдат и офицеров убитыми и до 300 человек ранеными. Нашими войсками захвачено 8 станковых пулемётов, 400 винтовок, 20 автоматов, 10 миномётов и гранатомётов, 2 радиостанции и 50 лошадей.</w:t>
      </w:r>
    </w:p>
    <w:p w14:paraId="22643D9B"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Западнее Новгорода-Северского отряд советских самолётов разбил 10 немецких танков и много автомашин. Семь танков, больше роты фашистских солдат, несколько десятков кавалеристов уничтожили советские лётчики в районе Починок. На одной из днепровских переправ немцы потеряли от огня наших самолётов до двух батальонов пехоты, 57 автомашин, 10 орудий и несколько десятков повозок с боеприпасами.» (14780).</w:t>
      </w:r>
    </w:p>
    <w:p w14:paraId="7A9C28EA" w14:textId="145184FA" w:rsidR="00E118CB" w:rsidRPr="00640820" w:rsidRDefault="00E118CB" w:rsidP="00640820">
      <w:pPr>
        <w:spacing w:after="0" w:line="240" w:lineRule="auto"/>
        <w:jc w:val="both"/>
        <w:rPr>
          <w:rFonts w:ascii="Times New Roman" w:hAnsi="Times New Roman"/>
          <w:color w:val="000000" w:themeColor="text1"/>
          <w:sz w:val="16"/>
          <w:szCs w:val="16"/>
        </w:rPr>
      </w:pPr>
    </w:p>
    <w:p w14:paraId="6D054E55" w14:textId="77777777" w:rsidR="00A122A6" w:rsidRPr="00640820" w:rsidRDefault="00A122A6"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25 сентября 1941 НАЧАЛЬНИКУ ШТАБА ВВС БРЯНСКОГО ФРОНТА ДОНЕСЕНИЕ О ДЕЙСТВИЯХ 60 АВИАДИВИЗИИ ПО ТАНКАМ ПРОТИВНИКА</w:t>
      </w:r>
    </w:p>
    <w:p w14:paraId="035DFC78" w14:textId="77777777" w:rsidR="00A122A6" w:rsidRPr="00640820" w:rsidRDefault="00A122A6"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По эффективности наблюдаемого летчиком воздействия на противника наилучше себя проявили «РС», на втором месте – бомбы ФАБ-50 и последующем – пушечно-пулеметный огонь. Последним средством поражения пушки и пулеметы поставлены летным составом видимо потому, что результат атаки хуже наблюдаем, нельзя допустить, что одновременный огонь двух ШВАК и двух ШКАС дает слабое поражение.</w:t>
      </w:r>
    </w:p>
    <w:p w14:paraId="13BD630F" w14:textId="77777777" w:rsidR="00A122A6" w:rsidRPr="00640820" w:rsidRDefault="00A122A6"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Какой эффект получается от атаки РС-ами?</w:t>
      </w:r>
    </w:p>
    <w:p w14:paraId="2CA28761" w14:textId="77777777" w:rsidR="00A122A6" w:rsidRPr="00640820" w:rsidRDefault="00A122A6"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Летчики докладывают, что автомашины, при условии попадания снаряда под машину - машину переворачивает на борт и отбрасывает на обочину дороги. Прямое попадание в танк почти на 100% обеспечивает пожар танка. Строи и порядки нал целью всецело зависят от характера цели. Колонну на дороге лучше всего атаковывать в строю кильватера с дистанцией самолет от самолета 400-600 метров, но не ближе 300 мтр. При атаке пушечно-пулеметным огнем дистанция может сокращаться до 200 мтр.</w:t>
      </w:r>
    </w:p>
    <w:p w14:paraId="0BACC5A9" w14:textId="77777777" w:rsidR="00A122A6" w:rsidRPr="00640820" w:rsidRDefault="00A122A6"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случае если звено не сумело перестроиться в кильватер перед целью, то необходимо строй звена держать по фронту как можно плотнее, т.к. огонь крайних самолетов будет ложиться по полю за обочинами дорог.</w:t>
      </w:r>
    </w:p>
    <w:p w14:paraId="5147EB24" w14:textId="7E279219" w:rsidR="00A122A6" w:rsidRPr="00640820" w:rsidRDefault="00A122A6"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При атаке цели в районах сосредоточения, строй над целью лучше всего, звено в клину или пеленге и проходить над целью по наиболее густому скоплению.</w:t>
      </w:r>
    </w:p>
    <w:p w14:paraId="43A05749" w14:textId="77777777" w:rsidR="00A122A6" w:rsidRPr="00640820" w:rsidRDefault="00A122A6"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Атак предбоевых порядков танков и атак боевых порядков, когда танки ведут наступление, в боевой практике дивизии не встречалось, и метод атаки, а. также какой наилучший строй в этом случае - практически в дивизии не применялись.</w:t>
      </w:r>
    </w:p>
    <w:p w14:paraId="1D3D9476" w14:textId="77777777" w:rsidR="00A122A6" w:rsidRPr="00640820" w:rsidRDefault="00A122A6"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lastRenderedPageBreak/>
        <w:t>Не имеет практической отработки и способ одновременной атаки колонны с выходом звеньев или отдельных самолетов на заранее отведенные участки колонны. Этот способ требует обязательно доразведки и наведения доразведчиками звеньев на свои участки атаки, требует хорошего мастерства летного состава и учитывая быстрое перемещение мотоколонн вообще трудно осуществим.</w:t>
      </w:r>
    </w:p>
    <w:p w14:paraId="66CDE684" w14:textId="5E752B36" w:rsidR="00A122A6" w:rsidRPr="00640820" w:rsidRDefault="00A122A6"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Наибольшие потери и повреждения штурмовики имеют после атаки, при уходе от цели, для парирования таких приемов обстрела штурмовиков противником, применялось две попытки подвески РС-ов обращенными головной частью к хвосту самолета, по одному под каждой плоскостью. Это имеет двоякое назначение; первое – ведение огня назад при уходе от цели и второе – обстрел самолетов противника, пытавшихся атаковывать штурмовиков в хвост. И то и другое применение РС-ов обращенных в хвост самолета себя оправдывает и дает хорошие результаты.</w:t>
      </w:r>
    </w:p>
    <w:p w14:paraId="60360F42" w14:textId="77777777" w:rsidR="00A122A6" w:rsidRPr="00640820" w:rsidRDefault="00A122A6"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Применение по танкам ампул КС, в частях дивизии не практиковалось.</w:t>
      </w:r>
    </w:p>
    <w:p w14:paraId="1667244B" w14:textId="599A0620" w:rsidR="00A122A6" w:rsidRPr="00640820" w:rsidRDefault="00A122A6"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ЦАМО, Фонд 20124, Опись 0000001, Дело 0008 (23198).</w:t>
      </w:r>
    </w:p>
    <w:p w14:paraId="1ADE89CD" w14:textId="77777777" w:rsidR="00A122A6" w:rsidRPr="00640820" w:rsidRDefault="00A122A6" w:rsidP="00640820">
      <w:pPr>
        <w:spacing w:after="0" w:line="240" w:lineRule="auto"/>
        <w:jc w:val="both"/>
        <w:rPr>
          <w:rFonts w:ascii="Times New Roman" w:hAnsi="Times New Roman"/>
          <w:color w:val="0070C0"/>
          <w:sz w:val="16"/>
          <w:szCs w:val="16"/>
        </w:rPr>
      </w:pPr>
    </w:p>
    <w:p w14:paraId="53DA8F65"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сентября в 1941 году немецкими войсками Крым отрезан от континента (14780).</w:t>
      </w:r>
    </w:p>
    <w:p w14:paraId="02BBEF3C" w14:textId="77777777" w:rsidR="00E118CB" w:rsidRPr="00640820" w:rsidRDefault="00E118CB" w:rsidP="00640820">
      <w:pPr>
        <w:spacing w:after="0" w:line="240" w:lineRule="auto"/>
        <w:jc w:val="both"/>
        <w:rPr>
          <w:rFonts w:ascii="Times New Roman" w:hAnsi="Times New Roman"/>
          <w:color w:val="000000" w:themeColor="text1"/>
          <w:sz w:val="16"/>
          <w:szCs w:val="16"/>
        </w:rPr>
      </w:pPr>
    </w:p>
    <w:p w14:paraId="7ED58698"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сентября в 1941 году войска 51-й отдельной армии оставили перекопские позиции (14780).</w:t>
      </w:r>
    </w:p>
    <w:p w14:paraId="60995F18" w14:textId="77777777" w:rsidR="00E118CB" w:rsidRPr="00640820" w:rsidRDefault="00E118CB" w:rsidP="00640820">
      <w:pPr>
        <w:spacing w:after="0" w:line="240" w:lineRule="auto"/>
        <w:jc w:val="both"/>
        <w:rPr>
          <w:rFonts w:ascii="Times New Roman" w:hAnsi="Times New Roman"/>
          <w:color w:val="000000" w:themeColor="text1"/>
          <w:sz w:val="16"/>
          <w:szCs w:val="16"/>
        </w:rPr>
      </w:pPr>
    </w:p>
    <w:p w14:paraId="76E1FF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сентября 1941 г. Приказом командующего ВВС 95-й сбап был преобразован в истребительный авиационный полк (иап). Тем же приказом его включили в состав 6-го истребительного авиакорпуса ПВО, прикрывавшего Москву. Спустя несколько дней шестерка Пе-3 под командованием капитана А. Жатькова вылетела на первое боевое задание в новой роли истребителей сопровождения. Группа прикрывала на маршруте транспортные С-47 английской военной делегации, направлявшейся из Вологды в Москву. Двухмоторные истребители отбили три попытки немцев атаковать самолеты делегации и без потерь вернулись на свой аэродром (4476).</w:t>
      </w:r>
    </w:p>
    <w:p w14:paraId="5711AF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C8886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25 сентября 1941 из 2-й эскадрильи МАГОН и 200-го отряда Московского управления ГВФ создали Особую авиагруппу связи (ОАГС), базировавшуюся на подмосковном аэродроме Мячково. Туда передали все уцелевшие ПС-43; к началу октября их осталось 16. За последующий месяц группа лишилась еще одной машины. Последний ПС-43 поступил в ОАГС в декабре. В том же месяце одну машину в ходе разведки сбили немецкие зенитки. К концу 1941 года все "Валти" находились во фронтовых авиагруппах, в тылу таких машин не осталось. </w:t>
      </w:r>
    </w:p>
    <w:p w14:paraId="7CAAD9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Зимой 1941 -42 годов ПС-43 участвовали в "воздушном мосту" между "большой землей" и блокадным Ленинградом. Самолет под управлением М.Г.Скрыльникова немецкие истребители подбили над Ладогой, пришлось совершить вынужденную посадку на лед. В результате было сломано шасси и напрочь оторван хвост. Но за 10 дней машину вновь ввели в строй, а летчик И.И.Тукиш летал на ней до конца войны! </w:t>
      </w:r>
    </w:p>
    <w:p w14:paraId="417631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(11470).</w:t>
      </w:r>
    </w:p>
    <w:p w14:paraId="6E666E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AAAD635" w14:textId="77777777" w:rsidR="009E240F" w:rsidRPr="00640820" w:rsidRDefault="009E240F" w:rsidP="00640820">
      <w:pPr>
        <w:pStyle w:val="rtejustify"/>
        <w:shd w:val="clear" w:color="auto" w:fill="FFFFFF"/>
        <w:spacing w:before="0" w:after="0"/>
        <w:rPr>
          <w:color w:val="000000" w:themeColor="text1"/>
          <w:sz w:val="16"/>
          <w:szCs w:val="16"/>
        </w:rPr>
      </w:pPr>
      <w:r w:rsidRPr="00640820">
        <w:rPr>
          <w:color w:val="000000" w:themeColor="text1"/>
          <w:sz w:val="16"/>
          <w:szCs w:val="16"/>
        </w:rPr>
        <w:t>25 сентября 1941 из 2-й эскадрильи МАГОН и 200-го отряда Московского управления ГВФ создали Особую авиагруппу связи (ОАГС), базировавшуюся на подмосковном аэродроме Мячково. Туда передали все уцелевшие ПС-43; к началу октября их осталось 16. За последующий месяц группа лишилась еще одной машины. Последний ПС-43 поступил в ОАГС в декабре. В том же месяце одну машину в ходе разведки сбили немецкие зенитки. К концу 1941 года все «Валти» находились во фронтовых авиагруппах, в тылу таких машин не осталось.</w:t>
      </w:r>
    </w:p>
    <w:p w14:paraId="36E88CB1" w14:textId="77777777" w:rsidR="009E240F" w:rsidRPr="00640820" w:rsidRDefault="009E240F" w:rsidP="00640820">
      <w:pPr>
        <w:pStyle w:val="rtejustify"/>
        <w:shd w:val="clear" w:color="auto" w:fill="FFFFFF"/>
        <w:spacing w:before="0" w:after="0"/>
        <w:rPr>
          <w:color w:val="000000" w:themeColor="text1"/>
          <w:sz w:val="16"/>
          <w:szCs w:val="16"/>
        </w:rPr>
      </w:pPr>
      <w:r w:rsidRPr="00640820">
        <w:rPr>
          <w:color w:val="000000" w:themeColor="text1"/>
          <w:sz w:val="16"/>
          <w:szCs w:val="16"/>
        </w:rPr>
        <w:t>Зимой 1941-42 годов ПС-43 участвовали в «воздушном мосту» между «большой землей» и блокад</w:t>
      </w:r>
      <w:r w:rsidRPr="00640820">
        <w:rPr>
          <w:color w:val="000000" w:themeColor="text1"/>
          <w:sz w:val="16"/>
          <w:szCs w:val="16"/>
        </w:rPr>
        <w:softHyphen/>
        <w:t>ным Ленинградом. Самолет под управлением М. Г. Скрыльникова немецкие истребители подбили над Ладогой, пришлось совершить вынужденную посадку на лед. В результате было сломано шасси и напрочь оторван хвост. Но за 10 дней машину вновь ввели в строй, а летчик И. И. Тукиш летал на ней до конца войны!</w:t>
      </w:r>
    </w:p>
    <w:p w14:paraId="126A2930" w14:textId="77777777" w:rsidR="009E240F" w:rsidRPr="00640820" w:rsidRDefault="009E240F" w:rsidP="00640820">
      <w:pPr>
        <w:pStyle w:val="rtejustify"/>
        <w:shd w:val="clear" w:color="auto" w:fill="FFFFFF"/>
        <w:spacing w:before="0" w:after="0"/>
        <w:rPr>
          <w:color w:val="000000" w:themeColor="text1"/>
          <w:sz w:val="16"/>
          <w:szCs w:val="16"/>
        </w:rPr>
      </w:pPr>
      <w:r w:rsidRPr="00640820">
        <w:rPr>
          <w:color w:val="000000" w:themeColor="text1"/>
          <w:sz w:val="16"/>
          <w:szCs w:val="16"/>
        </w:rPr>
        <w:t>Весной 1942 г. зафиксировали резкое увеличение аварийности. Это было связано с тем, что группа лишилась наиболее опытных пилотов, отправленных в боевые части. За 2-й квартал произошло восемь аварий, при этом один самолет был полностью разбит (19199).</w:t>
      </w:r>
    </w:p>
    <w:p w14:paraId="0DBAC379" w14:textId="77777777" w:rsidR="009E240F" w:rsidRPr="00640820" w:rsidRDefault="009E240F" w:rsidP="00640820">
      <w:pPr>
        <w:pStyle w:val="rtejustify"/>
        <w:shd w:val="clear" w:color="auto" w:fill="FFFFFF"/>
        <w:spacing w:before="0" w:after="0"/>
        <w:rPr>
          <w:color w:val="000000" w:themeColor="text1"/>
          <w:sz w:val="16"/>
          <w:szCs w:val="16"/>
        </w:rPr>
      </w:pPr>
    </w:p>
    <w:p w14:paraId="50E9B2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сентября 1941 г. вышел немецкий отчет, с котором впервые были упомянуты сведения о потерях Люфтваффе от действий партизан Согласно этому документу в районе Житомира было уничтожено сразу три транспортных “Юнкерса” Ju 52/3m. Поскольку в том же списке потерь фигурируют 48 автомашин, 260 бочек с бензином и 50 мотоциклов, можно предположить, что самолеты вместе со всем остальным были уничтожены на одном из аэродромов. Разумеется, акция такого масштаба была бы не по силам диверсионной группе или небольшому отряду. О существовании в то время и в том районе каких-либо крупных партизанских соединений ничего не известно. Скорее всего, это была операция одной из советских воинских частей, пробивавшихся из окружения (9974).</w:t>
      </w:r>
    </w:p>
    <w:p w14:paraId="307D45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0CD0B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сентября 1941 г. из-за заметных потерь летающих лодок ГСТ нарком ВМФ приказал военному совету ЧФ не применять ГСТ против наземных войск. Тем не менее, за год участия в боевых действиях, потери ГСТ 80-й эскадрильи оказались ощутимыми: два самолета не вернулись с боевого задания, один был разбит при взлете, два - разбиты при посадке, два - потеряны при при налете противника на аэродром базирования, один сгорел при артиллерийском обстреле, один был "угнан врагом народа" (именно так было указано в отчетных документах о боевой деятельности ВВС ЧФ). За указанный период бортовые стрелки этих летающих лодок заявили о трех сбитых истребителях противника (2 Ме-109 и 1 Ме-110) (11962).</w:t>
      </w:r>
    </w:p>
    <w:p w14:paraId="6547F3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44240B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сентября 1941 немецкими войсками Крым отрезан от континента (4962).</w:t>
      </w:r>
    </w:p>
    <w:p w14:paraId="4CB852D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4DDC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сентября 1941 на Крым был выброшен воздушный десант (2260).</w:t>
      </w:r>
    </w:p>
    <w:p w14:paraId="0405FD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4ED2B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September 25, 1941: Hitler orders all attacks by Heeresgruppe Nord (von Leeb) on Leningrad stopped; the city is to be besieged and starved-out, and after its eventual surrender, levelled to the ground (3819).</w:t>
      </w:r>
    </w:p>
    <w:p w14:paraId="499953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1A1CEE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сентября 1941 А.Г. приказал Группе Север (фон Лееб) полностью остановить наступление на Ленинград. Город должен был быть в осаде и после сдачи - уничтожен (3819).</w:t>
      </w:r>
    </w:p>
    <w:p w14:paraId="63082C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B95BD9B"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сентября 1941 ледокол «С. Макаров» в последний раз зашел в Мариуполь для буксировки из Мариупольского порта, в Черное море парохода «Пролетарий». Как рассказывают очевидцы, в этот приход на ледокол поставили вооружение. Очевидцы видели ледокол «С. Макаров» в последний раз в середине ноября в Туапсе. Он направлялся в Севастополь, где в это время шли кровопролитные бои. Командующий Черноморским флотом адмирал Ф. Октябрьский писал в своем дневнике «21.11.41 г. Продолжаем вывозить из главной базы флотский боезапас. Загруженные два тральщика в сопровождении трех эсминцев отправили в Поти. А погода плохая: туман, низкая облачность, парение. Лидер «Ташкент» решили ввести в главную базу ледоколом «Макаров». «22.11.41г. лидер «Ташкент» обстрелял район Качи... Вообще в морском секторе все нормально, вот только нет данных о ледоколе «Макаров».</w:t>
      </w:r>
    </w:p>
    <w:p w14:paraId="4A97CBE8"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Итак, командующий Черноморским флотом 22 ноября ещё не знает, что случилось с ледоколом. Прямым продолжением адмиральского дневника является упоминание в «Морском сборнике» №11 за 1991 год в рубрике «Из хроники боевых действий ВМФ в ноябре 1941 года»: «26 ноября. Закончились не давшие результаты поиски ледокола «Макаров», вышедшего из Туапсе 17 ноября и направляющегося в Севастополь» (15732).</w:t>
      </w:r>
    </w:p>
    <w:p w14:paraId="3C767300" w14:textId="77777777" w:rsidR="00E118CB" w:rsidRPr="00640820" w:rsidRDefault="00E118CB" w:rsidP="00640820">
      <w:pPr>
        <w:spacing w:after="0" w:line="240" w:lineRule="auto"/>
        <w:jc w:val="both"/>
        <w:rPr>
          <w:rFonts w:ascii="Times New Roman" w:hAnsi="Times New Roman"/>
          <w:color w:val="000000" w:themeColor="text1"/>
          <w:sz w:val="16"/>
          <w:szCs w:val="16"/>
        </w:rPr>
      </w:pPr>
    </w:p>
    <w:p w14:paraId="27269A2C"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0EF5554A"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4D5C069"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сентября в 1941 году советское правительство выпустило декрет о ликвидации с 1 октября автономной республики поволжских немцев (14780).</w:t>
      </w:r>
    </w:p>
    <w:p w14:paraId="474375C1" w14:textId="77777777" w:rsidR="00E118CB" w:rsidRPr="00640820" w:rsidRDefault="00E118CB" w:rsidP="00640820">
      <w:pPr>
        <w:spacing w:after="0" w:line="240" w:lineRule="auto"/>
        <w:jc w:val="both"/>
        <w:rPr>
          <w:rFonts w:ascii="Times New Roman" w:hAnsi="Times New Roman"/>
          <w:color w:val="000000" w:themeColor="text1"/>
          <w:sz w:val="16"/>
          <w:szCs w:val="16"/>
        </w:rPr>
      </w:pPr>
    </w:p>
    <w:p w14:paraId="02093F77"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сентября в 1941 году (25 сентября – 2 октября) выселение немцев из Ворошиловоградской, Запорожской и Сталинской областей в Казахстан (всего 109 тысяч человек) (14780).</w:t>
      </w:r>
    </w:p>
    <w:p w14:paraId="37D45D3F" w14:textId="77777777" w:rsidR="00E118CB" w:rsidRPr="00640820" w:rsidRDefault="00E118CB" w:rsidP="00640820">
      <w:pPr>
        <w:spacing w:after="0" w:line="240" w:lineRule="auto"/>
        <w:jc w:val="both"/>
        <w:rPr>
          <w:rFonts w:ascii="Times New Roman" w:hAnsi="Times New Roman"/>
          <w:color w:val="000000" w:themeColor="text1"/>
          <w:sz w:val="16"/>
          <w:szCs w:val="16"/>
        </w:rPr>
      </w:pPr>
    </w:p>
    <w:p w14:paraId="690A0963"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сентября в 1941 году (25 сентября – 10 октября) выселение немцев из Тульской области и регионов Северного Кавказа в Сибирь и Среднюю Азию (всего 141 тысяча человек) (14780).</w:t>
      </w:r>
    </w:p>
    <w:p w14:paraId="41170118" w14:textId="77777777" w:rsidR="00E118CB" w:rsidRPr="00640820" w:rsidRDefault="00E118CB" w:rsidP="00640820">
      <w:pPr>
        <w:spacing w:after="0" w:line="240" w:lineRule="auto"/>
        <w:jc w:val="both"/>
        <w:rPr>
          <w:rFonts w:ascii="Times New Roman" w:hAnsi="Times New Roman"/>
          <w:color w:val="000000" w:themeColor="text1"/>
          <w:sz w:val="16"/>
          <w:szCs w:val="16"/>
        </w:rPr>
      </w:pPr>
    </w:p>
    <w:p w14:paraId="2A91BF4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сентября 1941 вышло Постановление ГКО № 714 [О передаче Мосгорисполкомом 600 автомашин НКО к 10 октября 1941 г.] (7011, 93).</w:t>
      </w:r>
    </w:p>
    <w:p w14:paraId="3464AEB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8E54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сентября 1941 г., согласно Командованию 18-й армии:</w:t>
      </w:r>
    </w:p>
    <w:p w14:paraId="105B05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Разрушения в Петербурге.</w:t>
      </w:r>
    </w:p>
    <w:p w14:paraId="0EEABC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поступающим сообщениям, помимо целой серии жилых зданий были разрушены:</w:t>
      </w:r>
    </w:p>
    <w:p w14:paraId="5E4969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завод резиновых изделий «Красный треугольник» (горел и сильно пострадал);</w:t>
      </w:r>
    </w:p>
    <w:p w14:paraId="41689B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обувная фабрика «Скороход» получила повреждения, столовая разрушена;</w:t>
      </w:r>
    </w:p>
    <w:p w14:paraId="6529C0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две бомбы упали на «Кировский завод», но он продолжает работать; сгорел военный склад на Балтийском вокзале, сам вокзал не пострадал;</w:t>
      </w:r>
    </w:p>
    <w:p w14:paraId="0DD72B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сгорели запасы угля на 1-й электростанции на Обводном канале; уничтожен железнодорожный склад на Витебском вокзале; сгорели склад железнодорожных мастерских на Московском шоссе, а также Бадаевские склады (часть их переведена); комплекс Смольного института и здания партии невредимы. Вокруг здания, где располагается НКВД, разрушено много жилых домов, но само оно не повреждено; в Октябрьском районе разрушено много школ, в том числе те, в которых жили беженцы.</w:t>
      </w:r>
    </w:p>
    <w:p w14:paraId="12A242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Между тем, следует упомянуть еще о целом ряде разрушений.</w:t>
      </w:r>
    </w:p>
    <w:p w14:paraId="75D7B7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Дополнение: данные относятся к 17 сентября 1941 г.:</w:t>
      </w:r>
    </w:p>
    <w:p w14:paraId="6F9A52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Нанесены успешные бомбовые удары по Кировскому заводу, хотя отдельные цеха продолжают работать;</w:t>
      </w:r>
    </w:p>
    <w:p w14:paraId="0E4F37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разбомблен завод «Красная заря».</w:t>
      </w:r>
    </w:p>
    <w:p w14:paraId="100A67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Питание, транспорт, гигиена.</w:t>
      </w:r>
    </w:p>
    <w:p w14:paraId="7A245A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Красноармеец получает в день 400 г хлеба</w:t>
      </w:r>
    </w:p>
    <w:p w14:paraId="5FC2DC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Рабочий 200 г хлеба</w:t>
      </w:r>
    </w:p>
    <w:p w14:paraId="518FE1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Иждивенцы 100 г хлеба Кроме того, в день на человека</w:t>
      </w:r>
    </w:p>
    <w:p w14:paraId="17BB54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положено 10 г сахара</w:t>
      </w:r>
    </w:p>
    <w:p w14:paraId="0899F3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г чечевицы (по данным от 17 сентября)</w:t>
      </w:r>
    </w:p>
    <w:p w14:paraId="151ABB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Картофель достать очень трудно; 1 кг картофеля стоит 7 руб.</w:t>
      </w:r>
    </w:p>
    <w:p w14:paraId="3D9F14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Еще сохраняется движение трамваев в центре города; движение на окраинах города прекращено.</w:t>
      </w:r>
    </w:p>
    <w:p w14:paraId="1AE40E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По-прежнему работает водопровод и продолжается подача электроэнергии.</w:t>
      </w:r>
    </w:p>
    <w:p w14:paraId="3A1BCD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Беженцы в настоящее время размещаются в зданиях школ. Мероприятия по обороне города: действия властей.</w:t>
      </w:r>
    </w:p>
    <w:p w14:paraId="57ACE8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случай предполагаемых уличных боев заслуживающие доверия коммунисты получили бутылки с горючей смесью и ручные гранаты. Оружия и боеприпасов мало.</w:t>
      </w:r>
    </w:p>
    <w:p w14:paraId="1F6984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Наиболее активные коммунисты получили новые документы с измененными именами. 2 сентября жгли архивы органов власти. Речь идет о текущих и наиболее старых архивах. В связи с тем, что ввозится частично сырье для электростанций, следует предположить, что они по-прежнему работают.</w:t>
      </w:r>
    </w:p>
    <w:p w14:paraId="2E0E48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Город заполнен войсками, которые движутся к передовой. Внезапно появились в городе танки.</w:t>
      </w:r>
    </w:p>
    <w:p w14:paraId="750009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Пулковских высотах установлены корабельные орудия, которые, вероятно, были сняты с военных судов.</w:t>
      </w:r>
    </w:p>
    <w:p w14:paraId="1D8B8D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сентября орудия были установлены возле Шушар. В Восточной части города на Большой Охте в районе Пороховых установлены противотанковые заграждения. То же самое было сделано в деревнях Пустошь и Кольдишово. Уличные заграждения стоят на той же стороне Охты, хотя баррикад в городе не замечено.</w:t>
      </w:r>
    </w:p>
    <w:p w14:paraId="0DBFF4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 по минированию города не замечено, хотя имеется план подорвать минами все важные здания и заводы. Говорят, что Кировский завод и «Большевик» уже заминированы.</w:t>
      </w:r>
    </w:p>
    <w:p w14:paraId="180C7D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Общее настроение в Петербурге.</w:t>
      </w:r>
    </w:p>
    <w:p w14:paraId="322CDD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Около 70—75 процентов красноармейцев — это крестьяне, которые работали в колхозах. Как слой, подвергавшийся насилию, они не заинтересованы в сохранении своего положения. Эти солдаты находятся под влиянием интенсивной пропаганды, рисующей их судьбу под немецким господством в самых мрачных красках.</w:t>
      </w:r>
    </w:p>
    <w:p w14:paraId="7E3D69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Хотя гражданское население чрезвычайно устало от войны, воля к сопротивлению поддерживается ведением активной пропаганды, не встречающей никакой контрпропаганды. Никто не желает разрушения города, кроме партийных функционеров. Даже большая часть простых членов партии выступает за сохранение города. Все обязательные работы прерываются продолжительными воздушными тревогами. Для того, чтобы купить продукты, надо очень долго стоять в очереди. Этого работающие петербуржцы себе позволить не могут. Поскольку хлебные карточки действительны только на текущий день, рабочие часто получают хлеба меньше, чем им положено. Все это ведет к ухудшению настроения. Петербуржец, который слышал об организаторском таланте немцев, ожидает также пропагандистского воздействия с немецкой стороны. Он ждет указаний, которые подскажут ему как себя вести. Отсутствие пропагандистского влияния оставит его во власти очень сильной коммунистической пропаганды. Это подтверждается последними донесениями, согласно которым, несмотря на растущую усталость от войны, голод и нехватку жилья, опасность восстания еще не встала на повестку дня. В связи с тем, что влиянию коммунистов не противостоит никакое другое влияние, рабочие Петербурга, очевидно, будут скорее следовать указаниям коммунистов, нежели им противиться (выделено мной — Н.Л.).</w:t>
      </w:r>
    </w:p>
    <w:p w14:paraId="1512D0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Петербургское радио каждый день требует вести борьбу до конца; в результате изъятия частных радиоприемников прослушивание немецких передач исключено. То небольшое количество листовок, которое сбрасывается на город, тотчас изымается милицией.</w:t>
      </w:r>
    </w:p>
    <w:p w14:paraId="0DD1AA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на всех заборах, колонках для афиш и объявлений висит огромное количество истерических плакатов, которые издаются соответствующими газетами.</w:t>
      </w:r>
    </w:p>
    <w:p w14:paraId="3F925A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данным одного агента, положение в Петербурге 19 сентября было следующим:</w:t>
      </w:r>
    </w:p>
    <w:p w14:paraId="6CB367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Вокруг Кировского завода вырыты защитные рвы; кроме того, сгорели два завода № 121 и 223, в которые попали бомбы.</w:t>
      </w:r>
    </w:p>
    <w:p w14:paraId="3995CC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центре города разбомблено и уничтожено много жилых зданий. В результате бомбового удара уничтожено здание милиции в 11-м районе. Речь идет о районном/участковом здании милиции. Разбомблен и сгорел склад продовольствия в 14-м районе.</w:t>
      </w:r>
    </w:p>
    <w:p w14:paraId="42C6A2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агент сообщил, что магазины в Петербурге все еще работают.</w:t>
      </w:r>
    </w:p>
    <w:p w14:paraId="596085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данным другого агента от 18 сентября о положении в Петербурге, в вывешенных объявлениях население призывают к защите города. Эти объявления являются решениями партийных и комсомольских собраний. Они проходят почти ежедневно на заводах, в административных зданиях, клубах и имеют своей целью обсудить средства и возможности защиты города. Далее, на Лиговской и Растанной установлены баррикады, которые сделаны из цементных труб, наполненных камнями.</w:t>
      </w:r>
    </w:p>
    <w:p w14:paraId="66DF7F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Разослано</w:t>
      </w:r>
    </w:p>
    <w:p w14:paraId="273B91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Верховное Командование армии Начальник Генерального штаба</w:t>
      </w:r>
    </w:p>
    <w:p w14:paraId="33498C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Национальный Архив США. Командование 18-й армии. Отдел 1с. Микрофильм. Т-312/1579 -1026-28 (11814).</w:t>
      </w:r>
    </w:p>
    <w:p w14:paraId="279763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5C37D19"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67A30F2E"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58A55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сентября 1941 вышло Постановление ГКО № 713 О составе делегации на конференции трех стран в Москве. РГАНИР, Фонд ГКО, д. 10, лл. 92 (11012).</w:t>
      </w:r>
    </w:p>
    <w:p w14:paraId="56FF81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3241940" w14:textId="77777777" w:rsidR="00E118CB"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3AE97C6D" w14:textId="77777777" w:rsidR="00E118CB" w:rsidRPr="00640820" w:rsidRDefault="00E118CB"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A5722B6"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сентября в 1941 году правительство Таиланда заключило военный союз с Японией, в стране разместились японские войска (14780).</w:t>
      </w:r>
    </w:p>
    <w:p w14:paraId="6BDB7409" w14:textId="77777777" w:rsidR="00E118CB" w:rsidRPr="00640820" w:rsidRDefault="00E118CB" w:rsidP="00640820">
      <w:pPr>
        <w:spacing w:after="0" w:line="240" w:lineRule="auto"/>
        <w:jc w:val="both"/>
        <w:rPr>
          <w:rFonts w:ascii="Times New Roman" w:hAnsi="Times New Roman"/>
          <w:color w:val="000000" w:themeColor="text1"/>
          <w:sz w:val="16"/>
          <w:szCs w:val="16"/>
        </w:rPr>
      </w:pPr>
    </w:p>
    <w:p w14:paraId="5CFF67E4"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4D4181F3"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52325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сентября 1941 Нач. НИИ ВВС КА Федоров и Военком Чернышев писали письмо N 3/0137 Зам. НКАП А.С.Я. о том, что при эксплуатации Пе-2 были случаи потери скорости и срыва, оканчивающиеся катастрофой. Просил указаний Нач. ЛИИ НКАП о проведении испытаний Пе-2 на штопор. Командующий ВВС МВО п Сбытов разрешил самолет Пе-2 6/24, специально оборудованный для испытаний на штопор, держать гп аэродроме ЛИИ НКАП сверх установленной нормы на время испытаний. Программа испытаний рассчитана на 6-7 полетов (2567,36).</w:t>
      </w:r>
    </w:p>
    <w:p w14:paraId="105866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A5F73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26 сентября 1941 все самолеты ЛаГГ выпускать на 21 заводе облегченными на 200 кг, но решили ставить 6 РО для РС-82 (892/2323,137).</w:t>
      </w:r>
    </w:p>
    <w:p w14:paraId="2ADB8C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3A3AF7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26 сентября по 2 октября 1941 г. И-185М-71 (№6202), перестроенный с заме</w:t>
      </w:r>
      <w:r w:rsidRPr="00640820">
        <w:rPr>
          <w:rFonts w:ascii="Times New Roman" w:hAnsi="Times New Roman"/>
          <w:color w:val="000000" w:themeColor="text1"/>
          <w:sz w:val="16"/>
          <w:szCs w:val="16"/>
        </w:rPr>
        <w:softHyphen/>
        <w:t>ной двигателя и капотирования из машины с М-81, который после облета был передали в ЛИИ НКАП, проходил совместные испытания воздушным винтом АВ5-119. Летал летчик Попельнушенко, двигатель эксплуатировался на 1-й скорости ПЦН. На номинале у земли самолет развивал ско</w:t>
      </w:r>
      <w:r w:rsidRPr="00640820">
        <w:rPr>
          <w:rFonts w:ascii="Times New Roman" w:hAnsi="Times New Roman"/>
          <w:color w:val="000000" w:themeColor="text1"/>
          <w:sz w:val="16"/>
          <w:szCs w:val="16"/>
        </w:rPr>
        <w:softHyphen/>
        <w:t>рость 503 км/ч, с форсированным газом 520 км/ч. На высоте 3300 м скорость составила 582 км/ч, на второй скорости нагнетателя надеялись полу</w:t>
      </w:r>
      <w:r w:rsidRPr="00640820">
        <w:rPr>
          <w:rFonts w:ascii="Times New Roman" w:hAnsi="Times New Roman"/>
          <w:color w:val="000000" w:themeColor="text1"/>
          <w:sz w:val="16"/>
          <w:szCs w:val="16"/>
        </w:rPr>
        <w:softHyphen/>
        <w:t>чить 620 км/ч на высоте 6150м. При эвакуации этот И-185 в октябре 1941 г. отправили летом по воздуху в Казань, однако машина соверши</w:t>
      </w:r>
      <w:r w:rsidRPr="00640820">
        <w:rPr>
          <w:rFonts w:ascii="Times New Roman" w:hAnsi="Times New Roman"/>
          <w:color w:val="000000" w:themeColor="text1"/>
          <w:sz w:val="16"/>
          <w:szCs w:val="16"/>
        </w:rPr>
        <w:softHyphen/>
        <w:t>ла вынужденную посадку, после чего лежала там под открытым небом вплоть до января 1942 г. После многочисленных просьб Н.Н.Поликарпо</w:t>
      </w:r>
      <w:r w:rsidRPr="00640820">
        <w:rPr>
          <w:rFonts w:ascii="Times New Roman" w:hAnsi="Times New Roman"/>
          <w:color w:val="000000" w:themeColor="text1"/>
          <w:sz w:val="16"/>
          <w:szCs w:val="16"/>
        </w:rPr>
        <w:softHyphen/>
        <w:t>ва самолет доставили наконец в Москву на за</w:t>
      </w:r>
      <w:r w:rsidRPr="00640820">
        <w:rPr>
          <w:rFonts w:ascii="Times New Roman" w:hAnsi="Times New Roman"/>
          <w:color w:val="000000" w:themeColor="text1"/>
          <w:sz w:val="16"/>
          <w:szCs w:val="16"/>
        </w:rPr>
        <w:softHyphen/>
        <w:t>вод №482, а 12 мая 1942 г. передали на мос</w:t>
      </w:r>
      <w:r w:rsidRPr="00640820">
        <w:rPr>
          <w:rFonts w:ascii="Times New Roman" w:hAnsi="Times New Roman"/>
          <w:color w:val="000000" w:themeColor="text1"/>
          <w:sz w:val="16"/>
          <w:szCs w:val="16"/>
        </w:rPr>
        <w:softHyphen/>
        <w:t>ковский филиал завода №51. Поэтому капи</w:t>
      </w:r>
      <w:r w:rsidRPr="00640820">
        <w:rPr>
          <w:rFonts w:ascii="Times New Roman" w:hAnsi="Times New Roman"/>
          <w:color w:val="000000" w:themeColor="text1"/>
          <w:sz w:val="16"/>
          <w:szCs w:val="16"/>
        </w:rPr>
        <w:softHyphen/>
        <w:t>тальный ремонт самолета продолжался сравни</w:t>
      </w:r>
      <w:r w:rsidRPr="00640820">
        <w:rPr>
          <w:rFonts w:ascii="Times New Roman" w:hAnsi="Times New Roman"/>
          <w:color w:val="000000" w:themeColor="text1"/>
          <w:sz w:val="16"/>
          <w:szCs w:val="16"/>
        </w:rPr>
        <w:softHyphen/>
        <w:t>тельно долго, до 18 марта 1943 г. (9979).</w:t>
      </w:r>
    </w:p>
    <w:p w14:paraId="799005A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34ECAC"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7A684DA2"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E7747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26 сентября 1941 года вышел приказ директора завода № 221 Л. Гонора № 581: "В связи с изменением характера работы ОГК... назначить главным конструктором завода Иванова И. И., зам. главного конструктора Розенберга М. М."</w:t>
      </w:r>
    </w:p>
    <w:p w14:paraId="10F23E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Характер работы конструкторов изменился кардинально, причем касалось это не только самого вооружения, но и технологии его изготовления. Испытания первых пяти орудий показали, что требовалось еще раз пересмотреть чертежи, т. к. не все характеристики, полученные на испытаниях, удовлетворяли заказчика, а пересмотренные узлы были еще очень далеки от того, чтобы начать их массовое изготовление. Требовалось переработать чертежи, оснастку, сохранив достигнутые ранее технические и огневые показатели орудий. Работа конструкторов и технологов совместилась. Повторные испытания подтвердили высокую надежность этого орудия. 76-мм дивизионная пушка обр. 1939 года под новым индексом Ф-22 УСВ-БР пошла в производство с ежемесячным нарастанием выпуска: октябрь — 130 штук, ноябрь — 400, декабрь — 880. Литерные эшелоны с продукцией завода "Баррикады" направлялись на фронт под Москву, где сталинградские пушки сразу же вступали в бой.</w:t>
      </w:r>
    </w:p>
    <w:p w14:paraId="385939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Тем временем фронт приближался к Сталинграду. Осенью 1942 года заводчане были рассредоточены по 17 городам страны. Почти все конструкторы ОКБ-221 прибыли в г. Юрга Кемеровской области. Эвакуация ряда артиллерийских заводов, в том числе "Баррикад", отодвинула на второй план проектирование новых образцов оружия. Актуальной необходимостью стало форсированное налаживание производства на новых местах (11268).</w:t>
      </w:r>
    </w:p>
    <w:p w14:paraId="51F502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F7DC897" w14:textId="77777777" w:rsidR="002C1B9B" w:rsidRPr="00640820" w:rsidRDefault="002C1B9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26 сентября 1941</w:t>
      </w:r>
    </w:p>
    <w:p w14:paraId="57850CD0" w14:textId="77777777" w:rsidR="002C1B9B" w:rsidRPr="00640820" w:rsidRDefault="002C1B9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16.IX. 14099 </w:t>
      </w:r>
    </w:p>
    <w:p w14:paraId="26497E1A" w14:textId="77777777" w:rsidR="002C1B9B" w:rsidRPr="00640820" w:rsidRDefault="002C1B9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Секретно.</w:t>
      </w:r>
    </w:p>
    <w:p w14:paraId="6C776C8E" w14:textId="77777777" w:rsidR="002C1B9B" w:rsidRPr="00640820" w:rsidRDefault="002C1B9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ПРИКАЗ</w:t>
      </w:r>
    </w:p>
    <w:p w14:paraId="3C8C7DDF" w14:textId="77777777" w:rsidR="002C1B9B" w:rsidRPr="00640820" w:rsidRDefault="002C1B9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 НАРОДНОМУ КОМИССАРИАТУ ТАНКОВОЙ ПРОМЫШЛЕННОСТИ СОЮЗА ССР</w:t>
      </w:r>
    </w:p>
    <w:p w14:paraId="74C59845" w14:textId="77777777" w:rsidR="002C1B9B" w:rsidRPr="00640820" w:rsidRDefault="002C1B9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23с</w:t>
      </w:r>
    </w:p>
    <w:p w14:paraId="5B6F7B1D" w14:textId="77777777" w:rsidR="002C1B9B" w:rsidRPr="00640820" w:rsidRDefault="002C1B9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г. Москва </w:t>
      </w:r>
    </w:p>
    <w:p w14:paraId="5ED2DEAD" w14:textId="77777777" w:rsidR="002C1B9B" w:rsidRPr="00640820" w:rsidRDefault="002C1B9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"26" сентября 1941 г.</w:t>
      </w:r>
    </w:p>
    <w:p w14:paraId="5AB57634" w14:textId="77777777" w:rsidR="002C1B9B" w:rsidRPr="00640820" w:rsidRDefault="002C1B9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Для оперативного разрешения вопросов по обеспечению материальной частью 121-ую танковую бригаду им. Наркомсредмаша, – ПРИКАЗЫВАЮ: </w:t>
      </w:r>
    </w:p>
    <w:p w14:paraId="7E847D2E" w14:textId="77777777" w:rsidR="002C1B9B" w:rsidRPr="00640820" w:rsidRDefault="002C1B9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Назначить ст. инженера 1-го отдела тов. УСАЧЕВА уполномоченным 121-й бригады, предоставив ему право непосредственного сношения с директорами заводов НКТП, поставляющих материальную часть, согласно приказов НКСМ за № 331 от 13.VII-41 г. и № 491 от 28.VIII-41 г. </w:t>
      </w:r>
    </w:p>
    <w:p w14:paraId="3BC35B2D" w14:textId="77777777" w:rsidR="002C1B9B" w:rsidRPr="00640820" w:rsidRDefault="002C1B9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ЗАМ. НАРОДНОГО КОМИССАРА ТАНКОВОЙ ПРОМЫШЛЕННОСТИ СОЮЗА ССР</w:t>
      </w:r>
    </w:p>
    <w:p w14:paraId="508DA4CA" w14:textId="77777777" w:rsidR="002C1B9B" w:rsidRPr="00640820" w:rsidRDefault="002C1B9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подпись (НОСЕНКО)</w:t>
      </w:r>
    </w:p>
    <w:p w14:paraId="64F7B23F" w14:textId="77777777" w:rsidR="002C1B9B" w:rsidRPr="00640820" w:rsidRDefault="002C1B9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Отп. 1 экз. </w:t>
      </w:r>
    </w:p>
    <w:p w14:paraId="0D7E0510" w14:textId="77777777" w:rsidR="002C1B9B" w:rsidRPr="00640820" w:rsidRDefault="002C1B9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+ 28 экз. отп. 26.IX. мч.</w:t>
      </w:r>
    </w:p>
    <w:p w14:paraId="3694F90D" w14:textId="77777777" w:rsidR="002C1B9B" w:rsidRPr="00640820" w:rsidRDefault="002C1B9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bCs/>
          <w:iCs/>
          <w:color w:val="000000" w:themeColor="text1"/>
          <w:sz w:val="16"/>
          <w:szCs w:val="16"/>
          <w:lang w:eastAsia="ru-RU"/>
        </w:rPr>
        <w:t>РГАЭ Фонд 8752 Опись 4 Дело 2 лист 46 (17628).</w:t>
      </w:r>
    </w:p>
    <w:p w14:paraId="0C233115" w14:textId="77777777" w:rsidR="002C1B9B" w:rsidRPr="00640820" w:rsidRDefault="002C1B9B" w:rsidP="00640820">
      <w:pPr>
        <w:spacing w:after="0" w:line="240" w:lineRule="auto"/>
        <w:jc w:val="both"/>
        <w:rPr>
          <w:rFonts w:ascii="Times New Roman" w:eastAsia="Times New Roman" w:hAnsi="Times New Roman"/>
          <w:color w:val="000000" w:themeColor="text1"/>
          <w:sz w:val="16"/>
          <w:szCs w:val="16"/>
          <w:lang w:eastAsia="ru-RU"/>
        </w:rPr>
      </w:pPr>
    </w:p>
    <w:p w14:paraId="3D1E9F70" w14:textId="77777777" w:rsidR="002C1B9B" w:rsidRPr="00640820" w:rsidRDefault="002C1B9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26 сентября 1941</w:t>
      </w:r>
    </w:p>
    <w:p w14:paraId="5AD756FD" w14:textId="77777777" w:rsidR="002C1B9B" w:rsidRPr="00640820" w:rsidRDefault="002C1B9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16.IX. 14099 </w:t>
      </w:r>
    </w:p>
    <w:p w14:paraId="123116CF" w14:textId="77777777" w:rsidR="002C1B9B" w:rsidRPr="00640820" w:rsidRDefault="002C1B9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Секретно.</w:t>
      </w:r>
    </w:p>
    <w:p w14:paraId="0044B016" w14:textId="77777777" w:rsidR="002C1B9B" w:rsidRPr="00640820" w:rsidRDefault="002C1B9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ПРИКАЗ</w:t>
      </w:r>
    </w:p>
    <w:p w14:paraId="6623E7E6" w14:textId="77777777" w:rsidR="002C1B9B" w:rsidRPr="00640820" w:rsidRDefault="002C1B9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 НАРОДНОМУ КОМИССАРИАТУ ТАНКОВОЙ ПРОМЫШЛЕННОСТИ СОЮЗА ССР</w:t>
      </w:r>
    </w:p>
    <w:p w14:paraId="0A844D55" w14:textId="77777777" w:rsidR="002C1B9B" w:rsidRPr="00640820" w:rsidRDefault="002C1B9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23с</w:t>
      </w:r>
    </w:p>
    <w:p w14:paraId="10977186" w14:textId="77777777" w:rsidR="002C1B9B" w:rsidRPr="00640820" w:rsidRDefault="002C1B9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г. Москва </w:t>
      </w:r>
    </w:p>
    <w:p w14:paraId="1CEAEBA3" w14:textId="77777777" w:rsidR="002C1B9B" w:rsidRPr="00640820" w:rsidRDefault="002C1B9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"26" сентября 1941 г.</w:t>
      </w:r>
    </w:p>
    <w:p w14:paraId="7B5E8A67" w14:textId="77777777" w:rsidR="002C1B9B" w:rsidRPr="00640820" w:rsidRDefault="002C1B9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Для оперативного разрешения вопросов по обеспечению материальной частью 121-ую танковую бригаду им. Наркомсредмаша, – ПРИКАЗЫВАЮ: </w:t>
      </w:r>
    </w:p>
    <w:p w14:paraId="74F0887A" w14:textId="77777777" w:rsidR="002C1B9B" w:rsidRPr="00640820" w:rsidRDefault="002C1B9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Назначить ст. инженера 1-го отдела тов. УСАЧЕВА уполномоченным 121-й бригады, предоставив ему право непосредственного сношения с директорами заводов НКТП, поставляющих материальную часть, согласно приказов НКСМ за № 331 от 13.VII-41 г. и № 491 от 28.VIII-41 г. </w:t>
      </w:r>
    </w:p>
    <w:p w14:paraId="4AB0A249" w14:textId="77777777" w:rsidR="002C1B9B" w:rsidRPr="00640820" w:rsidRDefault="002C1B9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ЗАМ. НАРОДНОГО КОМИССАРА ТАНКОВОЙ ПРОМЫШЛЕННОСТИ СОЮЗА ССР</w:t>
      </w:r>
    </w:p>
    <w:p w14:paraId="754EAEFF" w14:textId="77777777" w:rsidR="002C1B9B" w:rsidRPr="00640820" w:rsidRDefault="002C1B9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подпись (НОСЕНКО)</w:t>
      </w:r>
    </w:p>
    <w:p w14:paraId="669C5CBA" w14:textId="77777777" w:rsidR="002C1B9B" w:rsidRPr="00640820" w:rsidRDefault="002C1B9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Отп. 1 экз. </w:t>
      </w:r>
    </w:p>
    <w:p w14:paraId="179E4196" w14:textId="77777777" w:rsidR="002C1B9B" w:rsidRPr="00640820" w:rsidRDefault="002C1B9B"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+ 28 экз. отп. 26.IX. мч.</w:t>
      </w:r>
    </w:p>
    <w:p w14:paraId="2D46CE31" w14:textId="77777777" w:rsidR="002C1B9B" w:rsidRPr="00640820" w:rsidRDefault="002C1B9B" w:rsidP="00640820">
      <w:pPr>
        <w:spacing w:after="0" w:line="240" w:lineRule="auto"/>
        <w:jc w:val="both"/>
        <w:rPr>
          <w:rFonts w:ascii="Times New Roman" w:eastAsia="Times New Roman" w:hAnsi="Times New Roman"/>
          <w:bCs/>
          <w:iCs/>
          <w:color w:val="000000" w:themeColor="text1"/>
          <w:sz w:val="16"/>
          <w:szCs w:val="16"/>
          <w:lang w:eastAsia="ru-RU"/>
        </w:rPr>
      </w:pPr>
      <w:r w:rsidRPr="00640820">
        <w:rPr>
          <w:rFonts w:ascii="Times New Roman" w:eastAsia="Times New Roman" w:hAnsi="Times New Roman"/>
          <w:bCs/>
          <w:iCs/>
          <w:color w:val="000000" w:themeColor="text1"/>
          <w:sz w:val="16"/>
          <w:szCs w:val="16"/>
          <w:lang w:eastAsia="ru-RU"/>
        </w:rPr>
        <w:t>РГАЭ Фонд 8752 Опись 4 Дело 2 лист 46 (17628).</w:t>
      </w:r>
    </w:p>
    <w:p w14:paraId="1060F835" w14:textId="77777777" w:rsidR="002C1B9B" w:rsidRPr="00640820" w:rsidRDefault="002C1B9B" w:rsidP="00640820">
      <w:pPr>
        <w:spacing w:after="0" w:line="240" w:lineRule="auto"/>
        <w:jc w:val="both"/>
        <w:rPr>
          <w:rFonts w:ascii="Times New Roman" w:eastAsia="Times New Roman" w:hAnsi="Times New Roman"/>
          <w:color w:val="000000" w:themeColor="text1"/>
          <w:sz w:val="16"/>
          <w:szCs w:val="16"/>
          <w:lang w:eastAsia="ru-RU"/>
        </w:rPr>
      </w:pPr>
    </w:p>
    <w:p w14:paraId="731ECA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26 сентября 1941 г. приказом наркомата электропромышленности СССР был создан Государственный союзный завод </w:t>
      </w:r>
      <w:r w:rsidRPr="00640820">
        <w:rPr>
          <w:rFonts w:ascii="Times New Roman" w:hAnsi="Times New Roman"/>
          <w:color w:val="000000" w:themeColor="text1"/>
          <w:sz w:val="16"/>
          <w:szCs w:val="16"/>
          <w:lang w:val="en-US"/>
        </w:rPr>
        <w:t>N</w:t>
      </w:r>
      <w:r w:rsidRPr="00640820">
        <w:rPr>
          <w:rFonts w:ascii="Times New Roman" w:hAnsi="Times New Roman"/>
          <w:color w:val="000000" w:themeColor="text1"/>
          <w:sz w:val="16"/>
          <w:szCs w:val="16"/>
        </w:rPr>
        <w:t xml:space="preserve"> 627. Переименован приказом наркомата от 5 мая 1944 г. в Государственный союзный научно-исследовательский институт (НИИ-627), приказом Госкомитета Совета Министров СССР по автоматизации и машиностроению от 29 сентября 1959 г. - во Всесоюзный научно-исследовательский институт электромеханики (ВНИИЭМ). Указом Президиума Верховного Совета СССР в июне 1961 г. награжден орденом Трудового Красного Знамени (12102).</w:t>
      </w:r>
    </w:p>
    <w:p w14:paraId="7F5A6B29" w14:textId="77777777" w:rsidR="00E118CB" w:rsidRPr="00640820" w:rsidRDefault="00E118CB" w:rsidP="00640820">
      <w:pPr>
        <w:autoSpaceDE w:val="0"/>
        <w:autoSpaceDN w:val="0"/>
        <w:adjustRightInd w:val="0"/>
        <w:spacing w:after="0" w:line="240" w:lineRule="auto"/>
        <w:jc w:val="both"/>
        <w:rPr>
          <w:rFonts w:ascii="Times New Roman" w:hAnsi="Times New Roman"/>
          <w:color w:val="000000" w:themeColor="text1"/>
          <w:sz w:val="16"/>
          <w:szCs w:val="16"/>
        </w:rPr>
      </w:pPr>
    </w:p>
    <w:p w14:paraId="4ACDF8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сентября 1941 г. по пр. НКЭП № 298с в соответствии с пост. ГКО № 673 от 15.09.1941 г. Московский электромеханический завод Наркомтекстиля передан в ведение Главэлектромашпрома НКЭП и переименован в ГС завод № 627 (ГС Завод № 627 НКЭП, ГС НИИ-627 Минэлектротехпрома, ГКЭТ, НИИ электротехнической промышленности № 627, ВНИИ электромеханики (ВНИИЭМ) МЭТП, ФГУП «НПП ВНИИЭМ с заводом им. А. Г. Иосифьяна» ФКА /101000  г. Москва Хоромный туп., 4 а/я 496 и ул. Вольная, 30 тел. 208-84-67, 365-25-70/). 5.05.1944 г. ГС завод № 627 переименован в ГС НИИ-627.</w:t>
      </w:r>
    </w:p>
    <w:p w14:paraId="5AB419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Создание источников электропитания для радиостанций, передвижных электростанций.</w:t>
      </w:r>
    </w:p>
    <w:p w14:paraId="4A43EA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соответствии с пост. ГКО № 3774 от 20.07.1943 г. на заводе организован выпуск электротрансмиссий для танка </w:t>
      </w:r>
      <w:r w:rsidRPr="00640820">
        <w:rPr>
          <w:rFonts w:ascii="Times New Roman" w:hAnsi="Times New Roman"/>
          <w:color w:val="000000" w:themeColor="text1"/>
          <w:sz w:val="16"/>
          <w:szCs w:val="16"/>
          <w:lang w:val="en-US"/>
        </w:rPr>
        <w:t>KB</w:t>
      </w:r>
      <w:r w:rsidRPr="00640820">
        <w:rPr>
          <w:rFonts w:ascii="Times New Roman" w:hAnsi="Times New Roman"/>
          <w:color w:val="000000" w:themeColor="text1"/>
          <w:sz w:val="16"/>
          <w:szCs w:val="16"/>
        </w:rPr>
        <w:t>, в связи с этим заводу поставлены станки и инструмент.</w:t>
      </w:r>
    </w:p>
    <w:p w14:paraId="2A9621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1945 г. на базе лабораторий и цехов НИИ-627 создано самостоятельное СКБ-627.</w:t>
      </w:r>
    </w:p>
    <w:p w14:paraId="5C916B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1946-48 г. группой Н.Н. Шереметьевского воссоздана американская амплидинно-сельсинная следящая система для пушечного вооружения Ту-4. В 1946 г. создан электромагнитный трал для самолета-тральщика Ли- 2МТ (А. Г. Иосифьян).</w:t>
      </w:r>
    </w:p>
    <w:p w14:paraId="51CD22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1940-х  г. - разработка и выпуск бортоборудования для МБР (Р-7).</w:t>
      </w:r>
    </w:p>
    <w:p w14:paraId="45B0E8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1953 г. в отделе Б.М. Кагана начались работы по вычислительной технике. В 1957 г. вступила в эксплуатацию ЭВМ М-3. В 1962 г. создана управляющая вычислительная машина «ВНИИЭМ-1». В 1965 г.- УВМ «ВНИИЭМ-3», на ее базе созданы: УВМ В-ЗМ, система обработки телеметрической информации с ИСЗ, «Скала» для энергоблоков АЭС, информационно-управляющая система для химпроизводства в Ангарске, управляющие вычислительные комплексы для испытаний КА. В 1979 г.- комплексы функционально-модульных микросредств управляющей ВТ МСУВТ В7. ВК повышенной надежности В6 для КА «Электро» (1994 г.). Для испытаний КА «Электро» была создана испытательная система на микросредствах МСУВТ В7/В9.</w:t>
      </w:r>
    </w:p>
    <w:p w14:paraId="2EE2E6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 правительства в 08.1962 г. институту из ОКБ-586 переданы работы по созданию метеорологического КА «Метеор». Пост, от 30.10.1963 г. НИИ-627 определен головным по производству КА «Метеор»; системы «Метеор» (2) (испытания- с 1975 г.). В соответствии с ПСМ № 29-7 от 16.01.1967 г. КА «Метеор» в 1969 г. введен в эксплуатацию; 10.10.1969 г. вышло ПСМ № 810-282 о метеорологической космической системе «Метеор».</w:t>
      </w:r>
    </w:p>
    <w:p w14:paraId="51C17D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Следящие системы ( и для ППВ), электродвигатели, реле рулевых машинок. Источники питания для ЗУР Р- 101 (1948 г.). 1960-е  г.: бортовое электрооборудование КА (приводы системы ориентации солнечных батарей, построители местной вертикали, двигатели, преобразователи, силовой гироскоп- «гиродин» для управления орбитальными станциями, шаровой двигатель-маховик для станции «Алмаз», бесщеточные двигатели постоянного тока систем жизнеобеспечения КА).</w:t>
      </w:r>
    </w:p>
    <w:p w14:paraId="06F546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1951 г. создан Томский филиал (затем- НПЦ «Полюс»),</w:t>
      </w:r>
    </w:p>
    <w:p w14:paraId="0AA2DF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Действовал филиал при заводе «Электросила». Распоряжением правительства № 2748-рс от 30.09.1959 г. Отдел электроники и борьбы с радиопомехами филиала передан в ведение Минсвязи. В 10.1962 г. Ленинградский филиал вошел в состав образованного ЛПЭО «Электросила».</w:t>
      </w:r>
    </w:p>
    <w:p w14:paraId="25683C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1959 г. организован филиал в  г. Истра для сборки и испытаний КА, с 1992 г.- самостоятельный НИИЭМ.</w:t>
      </w:r>
    </w:p>
    <w:p w14:paraId="2ADA98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12.1967 г. в Мирном создан филиал опытного завода ВНИИЭМ, в 11.1971 г. на нем создан НИИ «Новатор» как филиал ВНИИЭМ.</w:t>
      </w:r>
    </w:p>
    <w:p w14:paraId="1F1423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Решением ВПК от 4.06.1970 г. начата разработка Единой космической системы гидрометеорологического обеспечения (ГМКС). Затем, по Решению ВПК от 16.12.1972 г. начаты работы по ГМКС 3-го поколения «Планета- С» на базе КА «Метеор» (3).</w:t>
      </w:r>
    </w:p>
    <w:p w14:paraId="6296EE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СМ СССР от 12.1971 г. началось создание КА для получения информации о природных ресурсах Земли (ИПРЗ) «Метеор-Природа» (запуски 9.07.1974 г., 15.05.1976 г., 29.06.1977 г.).</w:t>
      </w:r>
    </w:p>
    <w:p w14:paraId="535642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1957 г. назывался НИИ электротехнической промышленности № 627. В 1959 г. НИИ-627 переименован во ВНИИЭМ (по другой информации- в 1953 г.).</w:t>
      </w:r>
      <w:r w:rsidRPr="00640820">
        <w:rPr>
          <w:rFonts w:ascii="Times New Roman" w:hAnsi="Times New Roman"/>
          <w:color w:val="000000" w:themeColor="text1"/>
          <w:sz w:val="16"/>
          <w:szCs w:val="16"/>
          <w:vertAlign w:val="superscript"/>
        </w:rPr>
        <w:t>103</w:t>
      </w:r>
      <w:r w:rsidRPr="00640820">
        <w:rPr>
          <w:rFonts w:ascii="Times New Roman" w:hAnsi="Times New Roman"/>
          <w:color w:val="000000" w:themeColor="text1"/>
          <w:sz w:val="16"/>
          <w:szCs w:val="16"/>
        </w:rPr>
        <w:t xml:space="preserve"> В 1962 г. - в веднии ГК по автоматизации и машиностроению, затем - ГКЭТ. В 1990 г. ВНИИЭМ - в ведении Минэлектротехпрома.</w:t>
      </w:r>
      <w:r w:rsidRPr="00640820">
        <w:rPr>
          <w:rFonts w:ascii="Times New Roman" w:hAnsi="Times New Roman"/>
          <w:color w:val="000000" w:themeColor="text1"/>
          <w:sz w:val="16"/>
          <w:szCs w:val="16"/>
          <w:vertAlign w:val="superscript"/>
        </w:rPr>
        <w:t>77</w:t>
      </w:r>
      <w:r w:rsidRPr="00640820">
        <w:rPr>
          <w:rFonts w:ascii="Times New Roman" w:hAnsi="Times New Roman"/>
          <w:color w:val="000000" w:themeColor="text1"/>
          <w:sz w:val="16"/>
          <w:szCs w:val="16"/>
        </w:rPr>
        <w:t xml:space="preserve"> С 2002 г. - ФГУП «НПП ВНИИЭМ». По Указу Президента РФ № 1009 от 4.08.2004 г. вошел в число стратегических оборонных предприятий. В 2009 г. - в ведении ФКА.</w:t>
      </w:r>
    </w:p>
    <w:p w14:paraId="2F429E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Разработка и производство бортовых преобразователей тока (умформеров) для РКТ.</w:t>
      </w:r>
    </w:p>
    <w:p w14:paraId="29C9E7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1970-е  г. принимал участие в разработке аппаратуры контроля ядерного реактора ВВЭР-440 для Кольской АЭС.</w:t>
      </w:r>
    </w:p>
    <w:p w14:paraId="41C80C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Принимал участие в программах: «Алмаз», «Мир», МКС.</w:t>
      </w:r>
    </w:p>
    <w:p w14:paraId="328976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(2002 г.): электрооборудование, прецизионные электроприводы для РКТ и судостроения, электромагнитные подшипники; электрооборудование, системы управления и защиты, информационно- диагностические системы для АЭС; (2005 г.): разработка КА «Метеор-М» для комплекса «Метеор-ЗМ»; малые КА ДЗЗ; разработка медтехники.</w:t>
      </w:r>
    </w:p>
    <w:p w14:paraId="5E834D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 ВНИИЭМ входили (2004 г.): отделы: электрооборудования АЭС, электрооборудования систем управления и защиты (СУЗ) АЭС, комплексных систем автоматизации, управляющих вычислительных средств, систем управления перегрузочными машинами АЭС и специальных электроприводов, локальных систем автоматизации и испытательных систем; испытательный центр.</w:t>
      </w:r>
      <w:r w:rsidRPr="00640820">
        <w:rPr>
          <w:rFonts w:ascii="Times New Roman" w:hAnsi="Times New Roman"/>
          <w:color w:val="000000" w:themeColor="text1"/>
          <w:sz w:val="16"/>
          <w:szCs w:val="16"/>
          <w:vertAlign w:val="superscript"/>
        </w:rPr>
        <w:t>1</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vertAlign w:val="superscript"/>
        </w:rPr>
        <w:t>огсш</w:t>
      </w:r>
    </w:p>
    <w:p w14:paraId="6E30EF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(1941-1970-е  г.)- А. Г. Иосифьян.</w:t>
      </w:r>
      <w:r w:rsidRPr="00640820">
        <w:rPr>
          <w:rFonts w:ascii="Times New Roman" w:hAnsi="Times New Roman"/>
          <w:color w:val="000000" w:themeColor="text1"/>
          <w:sz w:val="16"/>
          <w:szCs w:val="16"/>
          <w:vertAlign w:val="superscript"/>
        </w:rPr>
        <w:t>60</w:t>
      </w:r>
      <w:r w:rsidRPr="00640820">
        <w:rPr>
          <w:rFonts w:ascii="Times New Roman" w:hAnsi="Times New Roman"/>
          <w:color w:val="000000" w:themeColor="text1"/>
          <w:sz w:val="16"/>
          <w:szCs w:val="16"/>
        </w:rPr>
        <w:t xml:space="preserve"> Ген. конструктор (1981 г.)- академик Н.Н. Шереметьевский.</w:t>
      </w:r>
    </w:p>
    <w:p w14:paraId="665FF4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конструктора по ИСЗ (1962 г.)- Геворкян.</w:t>
      </w:r>
    </w:p>
    <w:p w14:paraId="0A3E98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(08.1941-59 г.-)- А. Г. Иосифьян. Гендиректор (-2000-04 г.-)- С.А. Стома.</w:t>
      </w:r>
    </w:p>
    <w:p w14:paraId="1E67FD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Гендиректора (2004 г.)-  Г.А. Жемчугов. Зам. Гендиректора: по науке (2002 г.)- А.П. Сарычев; по ВЭС (2002 г.)- В.А. Круглин.</w:t>
      </w:r>
      <w:r w:rsidRPr="00640820">
        <w:rPr>
          <w:rFonts w:ascii="Times New Roman" w:hAnsi="Times New Roman"/>
          <w:color w:val="000000" w:themeColor="text1"/>
          <w:sz w:val="16"/>
          <w:szCs w:val="16"/>
          <w:vertAlign w:val="superscript"/>
        </w:rPr>
        <w:t>69</w:t>
      </w:r>
    </w:p>
    <w:p w14:paraId="166F50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конструкторы: (1981 г.)- Ю.В. Трифонов («Планета»), (2009 г.)- Р. Салихов («Коронас-Фотон»),</w:t>
      </w:r>
    </w:p>
    <w:p w14:paraId="47635F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(1953 г.)- Б.М. Каган, (1966 г.-)- В.М. Долкарт; электрооборудования: АЭС (2004 г.)- С.Д. Джумаев; СУЗ АЭС (2004 г.)- В.А. Соколов; комплексных систем автоматизации (2004 г.)- А.В. Петров; управляющих вычислительных средств (2004 г.)- С.Я. Куцаков; систем управления перегрузочными машинами АЭС и специальных электроприводов (2004 г.)- Ю.Т. Портной; локальных систем автоматизации и испытательных систем (2004 г.)- Л.М. Лукьянов; испытательного центра (2004 г.)- Ю.Ф. Пчеляков.</w:t>
      </w:r>
    </w:p>
    <w:p w14:paraId="4A5C68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КА: «Омега-1» (1963), «Метеор», «Метеор-2», «Радио-1, -2» (1978), «Ресурс-01» (1994), солнечная обсерватория «Коронас-Фотон» (30.01.2009 г.).</w:t>
      </w:r>
    </w:p>
    <w:p w14:paraId="56150E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СКБ-627, СКБ ПМ, КБСМ, «Спецмагнит», ФГУП «Спецмагнит» /127238  г. Москва Дмитровское ш., 58 тел. 482-00-08/</w:t>
      </w:r>
    </w:p>
    <w:p w14:paraId="00D210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Самостоятельное СКБ-627 создано в 1945 г. на базе лабораторий и цехов НИИ-627 для разработки постоянных магнитов. Далее называлось СКБ ПМ, КБСМ, «Спецмагнит». С 2001 г.- ФГУП «Спецмагнит».</w:t>
      </w:r>
    </w:p>
    <w:p w14:paraId="15CE68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годы войны изготавливались постоянные магниты на основе безкобальтовых литых сплавов на заводе НИИ- 627. В 1973 г. при КБСМ создан свой завод для серийного выпуска литых и самарий-кобальтовых магнитов.</w:t>
      </w:r>
    </w:p>
    <w:p w14:paraId="2A7B2E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1960-е-70-е  г. создано более 20 новых сплавов с уникальными свойствами (в т.ч. деформируемые на основе железо-хром-кобальт, 30Х23КА, ЮНДК25БА, ЮНДК35Т5БА). В 1960-х  г. создан сверхсильный магнит на основе самариевого сплава. Разработан новый техпроцесс внепечной направленной кристаллизации, создан первый отечественный плавильно-кристаллизационный комплекс. В 1970-х  г. разработан и внедрен новый высокоэнергетический сплав на основе редкоземельных элементов для миниатюрных магнитов.</w:t>
      </w:r>
    </w:p>
    <w:p w14:paraId="52C3AB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3786D4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Единственное предприятие в стране (2005 г.) по разработке и производству энергоемких постоянных магнитов и систем на их основе. К 2005 г. разработано более 1000 наименований магнитов, более 550 магнитных систем, в т.ч. более 400- для оборонной промышленности.</w:t>
      </w:r>
    </w:p>
    <w:p w14:paraId="4AA082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(2005 г.): разработка принципиально новых магнитных систем МПФС для приборов СВЧ.</w:t>
      </w:r>
    </w:p>
    <w:p w14:paraId="0AB61B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(-1986-2000 Г.-)- В.П. Збойков.</w:t>
      </w:r>
    </w:p>
    <w:p w14:paraId="0747F9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(1960-е-70-е)- Ю.С. Сакатунов.</w:t>
      </w:r>
    </w:p>
    <w:p w14:paraId="6F420E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Истринский филиал (ИФ) ВНИИЭМ, ФГУП «НИИЭМ (электромеханики)» РАКА, ФКА /143500  г. Исгра Московской обл. ул. Панфилова, 1 тел. 994-51-10/</w:t>
      </w:r>
    </w:p>
    <w:p w14:paraId="543BEE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Основан в 1959(60) г. как Истринский филиал ВНИИ электромеханики. В 1992 г. реорганизован в самостоятельное предприятие- НИИЭМ. По Указу Президента РФ № 1009 от 4.08.2004 г. вошел в число стратегических оборонных предприятий. В 10.2004 г. вошел в ОАО «ВПК «НПО машиностроения».</w:t>
      </w:r>
    </w:p>
    <w:p w14:paraId="1A2E2B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Созданы и испытаны метеорологические КА «Метеор-2» (в 1975-89 г. 18 запусков), «Метеор-3» (запущено 33 аппарата).</w:t>
      </w:r>
    </w:p>
    <w:p w14:paraId="7853AC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(2004-05 г.): разработка и изготовление бортовых систем для КА: систем ориентации и стабилизации, сброса кинетических моментов, коррекции орбиты радиационных холодильников и тепловых труб, бортовых комплексов управления и автоматизированных испытательных комплексов, информационно-навигационных систем; проектирование и изготовление: источников питания на основе электромашинных генераторов для морского флота, РКТ, прецизионных электроприводов для КА и станков с ЧПУ; разработка передвижных дизельных и газотурбинных электростанций мощностью до 300 кВт; разработка полупроводниковых преобразователей частоты, систем гарантированного питания, сложных электротехнических комплексов, частотно-регулируемых электроприводов.</w:t>
      </w:r>
    </w:p>
    <w:p w14:paraId="3CFEE7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Национальные программы: «Метеор», «Ресурс», «Электро». Участие в разработке метеорологических и природоресурсных космических систем нового поколения «Метеор-ЗМ» и «МКА-Метео». Международные программы: «Интеркосмос-Болгария 1300», «Метеор-Томе», «Миссия к планете Земля», «СКАРАБ», «Спектр-Рентген-Гамма», запуск малых спутников «Тубсат» и «Темисат» совместно с Германией; попутный запуск микроспутников </w:t>
      </w:r>
      <w:r w:rsidRPr="00640820">
        <w:rPr>
          <w:rFonts w:ascii="Times New Roman" w:hAnsi="Times New Roman"/>
          <w:color w:val="000000" w:themeColor="text1"/>
          <w:sz w:val="16"/>
          <w:szCs w:val="16"/>
          <w:lang w:val="en-US"/>
        </w:rPr>
        <w:t>BADR</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 xml:space="preserve"> (Пакистан), </w:t>
      </w:r>
      <w:r w:rsidRPr="00640820">
        <w:rPr>
          <w:rFonts w:ascii="Times New Roman" w:hAnsi="Times New Roman"/>
          <w:color w:val="000000" w:themeColor="text1"/>
          <w:sz w:val="16"/>
          <w:szCs w:val="16"/>
          <w:lang w:val="en-US"/>
        </w:rPr>
        <w:t>Maroc</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Tubsat</w:t>
      </w:r>
      <w:r w:rsidRPr="00640820">
        <w:rPr>
          <w:rFonts w:ascii="Times New Roman" w:hAnsi="Times New Roman"/>
          <w:color w:val="000000" w:themeColor="text1"/>
          <w:sz w:val="16"/>
          <w:szCs w:val="16"/>
        </w:rPr>
        <w:t xml:space="preserve"> (Марокко), установка на борту «Метеор- ЗМ» № 1 спектрометра </w:t>
      </w:r>
      <w:r w:rsidRPr="00640820">
        <w:rPr>
          <w:rFonts w:ascii="Times New Roman" w:hAnsi="Times New Roman"/>
          <w:color w:val="000000" w:themeColor="text1"/>
          <w:sz w:val="16"/>
          <w:szCs w:val="16"/>
          <w:lang w:val="en-US"/>
        </w:rPr>
        <w:t>Sage</w:t>
      </w:r>
      <w:r w:rsidRPr="00640820">
        <w:rPr>
          <w:rFonts w:ascii="Times New Roman" w:hAnsi="Times New Roman"/>
          <w:color w:val="000000" w:themeColor="text1"/>
          <w:sz w:val="16"/>
          <w:szCs w:val="16"/>
        </w:rPr>
        <w:t>-З (США, НАСА).</w:t>
      </w:r>
    </w:p>
    <w:p w14:paraId="1A0E47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Перспективные программы: создание космической системы оперативного краткосрочного прогноза землетрясений «Вулкан»; КА «Коронас-Фотон» для исследования солнечно-земных связей.</w:t>
      </w:r>
      <w:r w:rsidRPr="00640820">
        <w:rPr>
          <w:rFonts w:ascii="Times New Roman" w:hAnsi="Times New Roman"/>
          <w:color w:val="000000" w:themeColor="text1"/>
          <w:sz w:val="16"/>
          <w:szCs w:val="16"/>
          <w:vertAlign w:val="superscript"/>
        </w:rPr>
        <w:t>101</w:t>
      </w:r>
    </w:p>
    <w:p w14:paraId="30DC0E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Научно-производственная база НИИЭМ (2004 г.): монтажно-испытательный комплекс для КА с центром приема спутниковой телеметрической информации; - комплексный стенд механических и климатических испытаний; комплексный стенд электрических испытаний; автоматизированное производство сложных многослойных печатных плат; специализированное производство медицинской рентгеновской техники; опытный завод НИИЭМ (ЗАО «Новатор»), расположенный на территории института.</w:t>
      </w:r>
    </w:p>
    <w:p w14:paraId="052008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Гендиректор (-2002-03 г.-)- А.Э. Хохлович. И.О. гендиректора (2004 г.)- А.Э. Хохлович. Гл. конструктор (1983 г.)- В.И. Адасько, (-2002-03 г.-)- А.Э. Хохлович.</w:t>
      </w:r>
    </w:p>
    <w:p w14:paraId="38FA07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Гендиректора (2002 г.)- Е.Ф. Апанасенко. Зам. Гендиректора/ гл. конструктор по космической технике (2002 г.)- Р.С. Салихов.</w:t>
      </w:r>
    </w:p>
    <w:p w14:paraId="6B0EED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(2002 г.)- Ю.Ф. Помосов.</w:t>
      </w:r>
      <w:r w:rsidRPr="00640820">
        <w:rPr>
          <w:rFonts w:ascii="Times New Roman" w:hAnsi="Times New Roman"/>
          <w:color w:val="000000" w:themeColor="text1"/>
          <w:sz w:val="16"/>
          <w:szCs w:val="16"/>
          <w:vertAlign w:val="superscript"/>
        </w:rPr>
        <w:t>69</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vertAlign w:val="superscript"/>
          <w:lang w:val="en-US"/>
        </w:rPr>
        <w:t>www</w:t>
      </w:r>
      <w:r w:rsidRPr="00640820">
        <w:rPr>
          <w:rFonts w:ascii="Times New Roman" w:hAnsi="Times New Roman"/>
          <w:color w:val="000000" w:themeColor="text1"/>
          <w:sz w:val="16"/>
          <w:szCs w:val="16"/>
          <w:vertAlign w:val="superscript"/>
        </w:rPr>
        <w:t>,</w:t>
      </w:r>
      <w:r w:rsidRPr="00640820">
        <w:rPr>
          <w:rFonts w:ascii="Times New Roman" w:hAnsi="Times New Roman"/>
          <w:color w:val="000000" w:themeColor="text1"/>
          <w:sz w:val="16"/>
          <w:szCs w:val="16"/>
          <w:vertAlign w:val="superscript"/>
          <w:lang w:val="en-US"/>
        </w:rPr>
        <w:t>senkicora</w:t>
      </w:r>
      <w:r w:rsidRPr="00640820">
        <w:rPr>
          <w:rFonts w:ascii="Times New Roman" w:hAnsi="Times New Roman"/>
          <w:color w:val="000000" w:themeColor="text1"/>
          <w:sz w:val="16"/>
          <w:szCs w:val="16"/>
        </w:rPr>
        <w:t>Начальники бюро: М.А. Липатов. Создано: ПЭВМ «Истра-4816» (1985).</w:t>
      </w:r>
      <w:r w:rsidRPr="00640820">
        <w:rPr>
          <w:rFonts w:ascii="Times New Roman" w:hAnsi="Times New Roman"/>
          <w:color w:val="000000" w:themeColor="text1"/>
          <w:sz w:val="16"/>
          <w:szCs w:val="16"/>
          <w:vertAlign w:val="superscript"/>
        </w:rPr>
        <w:t xml:space="preserve">82 </w:t>
      </w:r>
      <w:r w:rsidRPr="00640820">
        <w:rPr>
          <w:rFonts w:ascii="Times New Roman" w:hAnsi="Times New Roman"/>
          <w:color w:val="000000" w:themeColor="text1"/>
          <w:sz w:val="16"/>
          <w:szCs w:val="16"/>
        </w:rPr>
        <w:t>Производство: КА «Метеор-2» (1978-), «Метеор-3» (1984).</w:t>
      </w:r>
      <w:r w:rsidRPr="00640820">
        <w:rPr>
          <w:rFonts w:ascii="Times New Roman" w:hAnsi="Times New Roman"/>
          <w:color w:val="000000" w:themeColor="text1"/>
          <w:sz w:val="16"/>
          <w:szCs w:val="16"/>
          <w:vertAlign w:val="superscript"/>
        </w:rPr>
        <w:t>77</w:t>
      </w:r>
    </w:p>
    <w:p w14:paraId="36BD48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Опытный завод ВНИИЭМ, ЗАО «Новатор» /143500  г. Истра Московской обл. ул. Панфилова, 1 тел. 994-53-04/</w:t>
      </w:r>
    </w:p>
    <w:p w14:paraId="16A046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Опытное производство ВНИИЭМ создано в 1965 г. С 1988 г.- Опытный завод ВНИИЭМ, с 1992 г. - ЗАО «Новатор».</w:t>
      </w:r>
    </w:p>
    <w:p w14:paraId="1DBEB4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12.1967 г. в  г. Мирном создан филиал опытного завода ВНИИЭМ.</w:t>
      </w:r>
    </w:p>
    <w:p w14:paraId="382D33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Принимало участие в программах: «Метеор», «Ресурс», «Электро», «Радиационный баланс», «Спектр- Рентген-Гамма», «Вулкан».</w:t>
      </w:r>
    </w:p>
    <w:p w14:paraId="391E0F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решению правительства № 22-р от 9.01.2004 г. вошло в перечень стратегических предприятий. Гендиректор (2002 г.)- Н.Д. Федченко.</w:t>
      </w:r>
    </w:p>
    <w:p w14:paraId="514151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Гендиректора (2002 г.)-  Г.И. Терещенко. Зам. гендиректора по ВЭД (2002 г.)- Ю.А. Панько. Зам. гл. конструктора (2002 г.)-  Г.И. Терещенко (КК «Метеор-ЗМ»),</w:t>
      </w:r>
    </w:p>
    <w:p w14:paraId="51D73A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(2002 г.): служебные системы, блоки для КА «Ресурс», «Метеор»; системы управления КА; прецизионные приводы КА ССП-1, ССП-2; наземные испытательные комплексы КА 11Н6392, 17Н321, 17Н35, 17Н41; испытательная станция для климатических и вибрационных испытаний КА; сухие пленочные фоторезисторы.</w:t>
      </w:r>
      <w:r w:rsidRPr="00640820">
        <w:rPr>
          <w:rFonts w:ascii="Times New Roman" w:hAnsi="Times New Roman"/>
          <w:color w:val="000000" w:themeColor="text1"/>
          <w:sz w:val="16"/>
          <w:szCs w:val="16"/>
          <w:vertAlign w:val="superscript"/>
        </w:rPr>
        <w:t>69</w:t>
      </w:r>
    </w:p>
    <w:p w14:paraId="48E56A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НИИ «Новатор»-филиал ВНИИЭМ, ФГУП «НИИ «Новатор» с опытным заводом» /164170  г. Мирный Архангельской обл. ул. Неделина, 35 тел. 53-030/</w:t>
      </w:r>
    </w:p>
    <w:p w14:paraId="244017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12.1967 г. в Мирном создан филиал опытного завода ВНИИЭМ, в 11.1971 г. на нем создан НИИ «Новатор» как филиал ВНИИЭМ с целью приближения базы ВНИИЭМ к космодрому Плесецк.</w:t>
      </w:r>
    </w:p>
    <w:p w14:paraId="49CC33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1998 г. на космодроме создано дочернее предприятие НИИ- ГУП «Технический центр «Новатор». Принимал участие в программах: «Салют», «Мир», «Метеор», «Болгария-1300», «Ангара». Работы (2002 г.): эксплуатация наземных вычислительных комплексов на космодроме Плесецк; разработка и изготовление узлов и блоков для наземных испытательных комплексов; изготовление бортовых устройств КА; производство помехозащитных устройств, трансфильтров, преобразователей напряжения, источников вторичного питания, электродвигателей, трансформаторов, электровентиляторов, узлов и блоков для систем контроля АЭС. Гендиректор (2002 г.)-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Погорелый. Гл. инженер (2002 г.)- В.П. Лыкова.</w:t>
      </w:r>
      <w:r w:rsidRPr="00640820">
        <w:rPr>
          <w:rFonts w:ascii="Times New Roman" w:hAnsi="Times New Roman"/>
          <w:color w:val="000000" w:themeColor="text1"/>
          <w:sz w:val="16"/>
          <w:szCs w:val="16"/>
          <w:vertAlign w:val="superscript"/>
        </w:rPr>
        <w:t>69</w:t>
      </w:r>
    </w:p>
    <w:p w14:paraId="39E67F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Томский филиал ВНИИЭМ, НПА «Полюс», ФГУП «Научно-производственный центр (НПЦ) «Полюс» /634050  г. Томск пл. Кирова, 2 тел. 55-77-66/</w:t>
      </w:r>
    </w:p>
    <w:p w14:paraId="5ABE2E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Томский филиал ВНИИЭМ создан в 1951 г. Разработка электромашинных преобразователей напряжения для бронетанковой, ракетной и торпедной техники. С 1960-х  г.- разработка полупроводниковых статических преобразователей для систем питания и синхронизации бортовой и наземной аппаратуры РКТ.</w:t>
      </w:r>
    </w:p>
    <w:p w14:paraId="4CFC66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Принимало участие в программах: «Мир», «Бион», «Фотон», «Сесат», МКС, «Спектр», «Электро», «Экспресс- К2», «Гироскоп-Полюс», «Экспресс-1000», «Гонец», «Руслан-ММ», «Фобос-Грунт».</w:t>
      </w:r>
    </w:p>
    <w:p w14:paraId="09FA02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Разработка и производство (2002 г.): бортовое и наземное электротехническое оборудование (электроэнергетические и электромеханические системы, приборы, электромашины), системы точной механики, лазерные гироскопы.</w:t>
      </w:r>
    </w:p>
    <w:p w14:paraId="5743DA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3.03.2008 г. НПЦ «Полюс» вошло в состав ОАО «ИСС им. академика М.Ф. Решетнева». Гендиректор (2002 г.)- А.И. Чернышев. Ген. Конструктор (2002 г.)- А.И. Чернышев.</w:t>
      </w:r>
    </w:p>
    <w:p w14:paraId="610FAB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гендиректора по экономической работе (2002 г.)- В.Н. Гладущенко.</w:t>
      </w:r>
    </w:p>
    <w:p w14:paraId="312535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системы точной механики для РН «Союз-ТМ», «Протресс-ТМ», КА «Молния», «Экран-М», «Галс», «Экспресс», «Метеор», «Фобос», «Марс» (11982).</w:t>
      </w:r>
    </w:p>
    <w:p w14:paraId="7B8EF7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6AF7DE2" w14:textId="77777777" w:rsidR="00A574B0" w:rsidRPr="00640820" w:rsidRDefault="00A574B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сентября 1941 г.</w:t>
      </w:r>
    </w:p>
    <w:p w14:paraId="057D0CDD" w14:textId="77777777" w:rsidR="00A574B0" w:rsidRPr="00640820" w:rsidRDefault="00A574B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Протоколы заседаний бюро Ленинградского городского комитета ВКП(б)</w:t>
      </w:r>
    </w:p>
    <w:p w14:paraId="296331E2" w14:textId="77777777" w:rsidR="00A574B0" w:rsidRPr="00640820" w:rsidRDefault="00A574B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26 сентября 1941 г.</w:t>
      </w:r>
    </w:p>
    <w:p w14:paraId="5D7D7C66" w14:textId="77777777" w:rsidR="00A574B0" w:rsidRPr="00640820" w:rsidRDefault="00A574B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96гс. — Об обеспечении натуральным каучуком производств танковых катков (особая папка).</w:t>
      </w:r>
    </w:p>
    <w:p w14:paraId="321A31F8" w14:textId="77777777" w:rsidR="00A574B0" w:rsidRPr="00640820" w:rsidRDefault="00A574B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В целях обеспечения производства танковых катков обязать Лен.контору Главлегснаба (т. Поддубный) передать Шинному заводу 5 тонн натурального каучука.</w:t>
      </w:r>
    </w:p>
    <w:p w14:paraId="31FBB390" w14:textId="77777777" w:rsidR="00A574B0" w:rsidRPr="00640820" w:rsidRDefault="00A574B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Подписи — Капустин, Кузнецов, Никитин, Попков.</w:t>
      </w:r>
    </w:p>
    <w:p w14:paraId="20246532" w14:textId="77777777" w:rsidR="00A574B0" w:rsidRPr="00640820" w:rsidRDefault="00A574B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ЦГАИПД СПб. Ф. 25. Оп.2а. Д. 157. Л. 20. Карточка опросного голосования. Оригинал, машинопись. Подписи — автографы (19720).</w:t>
      </w:r>
    </w:p>
    <w:p w14:paraId="2F4AE663" w14:textId="77777777" w:rsidR="00A574B0" w:rsidRPr="00640820" w:rsidRDefault="00A574B0" w:rsidP="00640820">
      <w:pPr>
        <w:autoSpaceDE w:val="0"/>
        <w:autoSpaceDN w:val="0"/>
        <w:adjustRightInd w:val="0"/>
        <w:spacing w:after="0" w:line="240" w:lineRule="auto"/>
        <w:jc w:val="both"/>
        <w:rPr>
          <w:rFonts w:ascii="Times New Roman" w:hAnsi="Times New Roman"/>
          <w:color w:val="000000" w:themeColor="text1"/>
          <w:sz w:val="16"/>
          <w:szCs w:val="16"/>
        </w:rPr>
      </w:pPr>
    </w:p>
    <w:p w14:paraId="677538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сентября 1941 катеростроители передали флоту ТК типа Д-3 (10671).</w:t>
      </w:r>
    </w:p>
    <w:p w14:paraId="171042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5C772F1"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2F91630A"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7914827"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сентября в 1941 году утреннее сообщение Совинформбюро:</w:t>
      </w:r>
    </w:p>
    <w:p w14:paraId="1B89F1FD"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26 сентября наши войска вели бои с противником на всём фронте.</w:t>
      </w:r>
    </w:p>
    <w:p w14:paraId="16152718"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сентября под Москвой нашей авиацией сбиты два немецких самолёта-разведчика.</w:t>
      </w:r>
    </w:p>
    <w:p w14:paraId="44896F54"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23 сентября наша авиация наносила удары по войскам противника. Разными частями авиации за этот день уничтожено 86 немецких танков, 32 бронемашины, 7 танкеток, 339 автомашин с войсками и военным грузом, 27 цистерн с бензином, 7 противотанковых орудий, 15 зенитных установок, подавлено 11 батарей зенитной артиллерии. Уничтожено также пять рот пехоты и дивизион артиллерии, три батальона противника рассеяны. Кроме того, в воздушных боях и на аэродромах противника уничтожено 138 немецких самолётов.</w:t>
      </w:r>
    </w:p>
    <w:p w14:paraId="6780B86A"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Лётчики Черноморского флота уничтожили на аэродромах противника 22 сентября 30 самолётов и сбили в воздушных боях 23 сентября 8 немецких самолётов.</w:t>
      </w:r>
    </w:p>
    <w:p w14:paraId="502F9E9D"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участков Юго-Западного направления фронта на скоростной истребитель лётчика Н. Н. Халеева напали четыре истребителя «Мессершмитт-109». Смело вступив в неравный бой, тов. Халеев сбил два вражеских истребителя, а остальных обратил в бегство. Лётчик-герой Халеев вышел невредимым из схватки с врагом.</w:t>
      </w:r>
    </w:p>
    <w:p w14:paraId="4DE4BA49"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участков фронта советские самолёты истребители действуют в сентябре месяце совместно с английскими истребителями. За несколько дней на этом участке фронта в воздушных боях сбито 26 немецких самолётов; из этого количества 7 немецких самолётов уничтожили английские истребителя. За этот же период потерян один советский самолёт и одна английский.</w:t>
      </w:r>
    </w:p>
    <w:p w14:paraId="5ACB66C6"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Партизаны Черниговщины за короткое время, прошедшее после оккупации немцами ряда районов области, развернули широкую деятельность и нанесли серьёзные удары отдельным частям фашистских войск. Группа бойцов партизанского отряда под командованием тов. К., действующего на побережье Днепра, приобрела большой опыт в деле уничтожения танков и бронемашин противника. За последние десять дней партизаны Павел Н. и Никита Г. бутылками с бензином подожгли и уничтожили 3 фашистских танка и одну бронемашину, Сергей У. и Михаил Д. — два танка. Особенно удачной была операция, проведённая партизанами в середине сентября. 6 вражеских танков задержались в деревне Н. в ожидании горючего. Узнав об этом, партизаны устроили засады на дорогах. Подступы к деревне Н. были минированы. 13 грузовых автомашин и 2 цистерны с горючим, наскочив на мины, взорвались. Ночью партизаны пробрались огородами и канавами к колхозному двору, где стояли немецкие танки. Бесшумно сняв часовых, партизаны облили бензином и подожгли все танки. На шум и зарево из хат выскочили немецкие солдаты и офицеры и открыли беспорядочную стрельбу из автоматов. В перестрелке было убито 15 фашистов.</w:t>
      </w:r>
    </w:p>
    <w:p w14:paraId="4832951E"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Партизанский отряд тов. Ю. за последние дни разрушил 12 мостов через Десну и её притоки. Партизаны минировали большой мост через Десну неподалеку от села 0. Партизаны-подрывники, после того как заложили мины, возвращались ночью на лодках в свой отряд. В четырёх километрах от моста лодка была замечена фашистским отрядом с правого берега реки. Немцы открыли ожесточённый огонь из пулемётов. Находившиеся на левом берегу германские зенитчики, решив, что пулемётный огонь направлен против них, открыли по правому берегу артиллерийский огонь. Партизаны, воспользовавшись суматохой в лагере врага, благополучно скрылись.</w:t>
      </w:r>
    </w:p>
    <w:p w14:paraId="578F7BE9"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Жители освобождённой от немцев деревни Ново-Васильевки сообщают о злодейских преступлениях фашистских извергов. Колхозница Федосья Матюха рассказывает: «Фашистские душегубы ворвались в мой дом, схватили мужа Ануфрия и увели с собой. На другой день я нашла его труп в канаве. Он лежал весь изрезанный, изуродованный, с выколотыми глазами». Колхозника Василия Шнырёва, больного туберкулёзом, долго пытали и мучили. Его кололи штыками, резали, а потом расстреляли. Колхозница Мария Прядко говорит: «Немцы разграбили всю деревню. Они, как собаки, рыскали по хатам и забирали всё. У меня фашисты вышибли рамы в избе, разбили зеркало, забрали мануфактуру, все чугуны, вёдра, растоптали огород. Я и семеро моих детей спрятались от немцев в яме. Один пьяный мерзавец подошёл к нам и начал стрелять в яму. Только чудом мы уцелели». У колхозника Петра Козлова солдаты утащили швейную машину, две скатерти, подушки. В других домах фашисты забрали патефоны, велосипеды, одеяла, одежду.</w:t>
      </w:r>
    </w:p>
    <w:p w14:paraId="36917595"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Колхозница Татьяна Галушко рассказывает: «Три дня бесчинствовали немцы в нашей деревне. Сколько лиха они наделали, сколько горя и слез принесли! Они разрушили и сожгли 13 хат. У Ивана Пучко немцы разграбили и подожгли хату. Изверги хватали женщин, насильничали. Они поймали мою дочь и на моих глазах, не обращая внимания на мои крики и слезы, долго над ней измывались. Всех злодеяний гитлеровских разбойников, всего того, что мы видели за эти три дня, мне не перечесть».</w:t>
      </w:r>
    </w:p>
    <w:p w14:paraId="0558AA1A"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Советские хлопководы широко развернули сбор урожая. Страна получает сотни тысяч тонн отборного первосортного хлопка. За первые пять дней уборки в этом году сдано государству хлопка в восемь раз больше, чем в прошлом году на это же время. В сельскохозяйственной артели имени Молотова, Ленинабадского района, звенья т.т. Иргашбая Якубова и Исматбая Акилова выполнили годовой план сдачи хлопка. Оба звена продолжают сбор. Они обязались вдвое перевыполнить годовой план и собрать 35 центнеров американского хлопка с каждого гектара.</w:t>
      </w:r>
    </w:p>
    <w:p w14:paraId="35825A2C"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Ошской области, Киргизской ССР, колхозники сельскохозяйственной артели имени «Правды» увеличили установленную норму дневного сбора хлопка с 32 килограммов до 45. Теперь десятки сборщиков перевыполняют и эту норму в 2-3 раза. Колхозница Мубаракхан Амедова собирает ежедневно 118 килограммов хлопка. Тов. Патылхан Газизова сдала за десять дней 1.245 килограммов. Намного раньше и быстрее, чем в прошлом году, собирают и сдают хлопок колхозы Азербайджанской ССР.» (14781).</w:t>
      </w:r>
    </w:p>
    <w:p w14:paraId="64CA22B3" w14:textId="77777777" w:rsidR="00E118CB" w:rsidRPr="00640820" w:rsidRDefault="00E118CB" w:rsidP="00640820">
      <w:pPr>
        <w:spacing w:after="0" w:line="240" w:lineRule="auto"/>
        <w:jc w:val="both"/>
        <w:rPr>
          <w:rFonts w:ascii="Times New Roman" w:hAnsi="Times New Roman"/>
          <w:color w:val="000000" w:themeColor="text1"/>
          <w:sz w:val="16"/>
          <w:szCs w:val="16"/>
        </w:rPr>
      </w:pPr>
    </w:p>
    <w:p w14:paraId="39A20944"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сентября в 1941 году вечернее сообщение Совинформбюро:</w:t>
      </w:r>
    </w:p>
    <w:p w14:paraId="184A402F"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26 сентября наши войска вели бои с противником на всём фронте.</w:t>
      </w:r>
    </w:p>
    <w:p w14:paraId="738D13AD"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24 сентября уничтожено 118 немецких самолётов. Наши потери — 29 самолётов.»</w:t>
      </w:r>
    </w:p>
    <w:p w14:paraId="0638D46E"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Разгром румынских дивизий под Одессой.</w:t>
      </w:r>
    </w:p>
    <w:p w14:paraId="4D3A27BF"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утреннем сообщении Советского Информбюро от 24 сентября говорилось о новом разгроме на подступах к Одессе 13 и 15 пополненных румынских дивизий. Полученные дополнительные сведения дают более подробную картину разгрома румынских дивизий.</w:t>
      </w:r>
    </w:p>
    <w:p w14:paraId="4B13B589"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сентября наши войска комбинированным ударом пехотных частей и десанта моряков, заброшенного нашими кораблями в тыл противника, нанесли сильный внезапный удар по румынским войскам на подступах к Одессе. Действия наземных войск были поддержаны огнём нескольких кораблей Черноморского флота и авиацией.</w:t>
      </w:r>
    </w:p>
    <w:p w14:paraId="4E2818DE"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результате успешно проведённой операции наших войск румыны понесли серьёзные потери людьми и вооружением. Общие потери румын убитыми, ранеными и пленными составляют не менее 5.000-6.000 солдат; из них убитыми 2.000 человек. По неполным данным, наши части захватили 33 орудия разных калибров, в том числе несколько тяжёлых дальнобойных, 6 танков, 2 тысячи винтовок, 110 пулемётов, 30 миномётов, 130 автоматов, 4 тысячи снарядов, 15 тысяч мин, большое количество ящиков с винтовочными патронами и гранатами.»</w:t>
      </w:r>
    </w:p>
    <w:p w14:paraId="734EDD27"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упорном бою на одном из участков фронта на подступах к Ленинграду противник потерял до 500 солдат и офицеров убитыми. Наши части уничтожили 5 немецких орудий, 6 миномётов, 20 автомашин и много другого вооружения. На другом участке фронта нами захвачено 3 фашистских танка, несколько орудий, много пулемётов и автоматов и одна радиостанция. Противник понёс большие потеря людьми и материалами.</w:t>
      </w:r>
    </w:p>
    <w:p w14:paraId="33871F93"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Советские бомбардировщики авиачастей т.т. Осадчего и Филиппова 24 сентября разгромили один из аэродромов противника на Западном направлении. Сброшенными бомбами и пулемётным огнём уничтожены 50 вражеских самолётов, подожжены склады боеприпасов. Несмотря на сильный огонь зенитных орудий противника, наши самолёты потерь не имели.</w:t>
      </w:r>
    </w:p>
    <w:p w14:paraId="61D30E5C"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На одном из участков Юго-Западного направления фронта разведывательный отряд лейтенанта Рудина разгромил штаб батальона 437 немецкого пехотного полка. Уничтожено более 100 немецких солдат и офицеров, захвачены 3 танкетки и важные оперативные документы.</w:t>
      </w:r>
    </w:p>
    <w:p w14:paraId="78DAD5F5"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Полтора месяца назад в одном из районов Украины, захваченном немецко-фашистскими войсками, организовался партизанский отряд под командованием тов. Ф. Крепко спаянный в непрерывных боевых операциях коллектив всё время растёт и в настоящее время насчитывает уже около 200 бойцов. Отряд вооружён пулемётами и автоматами. Командир отряда не предпринимает ни одной операции без тщательной разведки. Партизаны-разведчики наладили связь с десятками населённых пунктов района.</w:t>
      </w:r>
    </w:p>
    <w:p w14:paraId="7E4EFF7A"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Ночью и днём налетают партизаны на небольшие танковые группы, одиночные танки и бронемашины врага. Партизаны-снайперы истребили более 20 немцев, в большинстве офицеров. Подрывники систематически уничтожают мосты. Некоторые мосты немцы восстанавливали уже по пять—шесть раз. Отряд тов. Ф. контролирует четыре важные шоссейные дороги, уничтожая проходящие вражеские цистерны с горючим, автоколонны и обозы с боеприпасами, снаряжением и продовольствием. В последнее время немцы были вынуждены перебрасывать свои войска и транспорты, минуя зону деятельности партизанского отряда тов. Ф. Для этого фашистам приходится делать несколько лишних десятков километров по худшим дорогам. Но и там обозы противника подвергаются постоянным нападениям других партизанских отрядов.</w:t>
      </w:r>
    </w:p>
    <w:p w14:paraId="37ABE5AE"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 за полтора месяца партизанский отряд тов. Ф. уничтожил более 300 немецких солдат и офицеров, подбил или сжёг несколько танков, бронемашин и орудий, уничтожил много машин с боеприпасами и снаряжением, цистерн с горючим и обозов с продовольствием. Отрядом взорвано 2 склада с боеприпасами и 3 бензинохранилища.</w:t>
      </w:r>
    </w:p>
    <w:p w14:paraId="58970F83"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Финский народ устал от войны, в которую он ввергнут гитлеровской Германией. В тылу и на фронте царит всеобщее недовольство. За последнее время участились, случаи дезертирства из финской армии. Аанре Саммалсаари, пленный солдат 7 роты 51 финского пехотного полка, говорит: «Из нашей роты дезертировали Пааво Лехтинен, Ялава, Каэрто, Кари Мюллюнийтю», Капрал 3 роты сапёрного батальона Талвинтиэ сообщает, что при раздаче оружия некоторые солдаты отказываются брать винтовки. Кухти Корхонен, солдат 6 роты 31 финского пехотного полка, рассказывает: «Командир роты Хейкинен отдал приказ итти в наступление. Но несколько солдат не вышло из окопов, несмотря на то, что командир бешено вопил и яростно размахивал оружием».</w:t>
      </w:r>
    </w:p>
    <w:p w14:paraId="363B037C"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письмах из тыла на фронт многие финны открыто высказываются против войны. Солдату Арво Суонперя пишет его мать: «До чего эта война может довести нас! Мы получаем ежедневно извещения об убитых. Скоро не останется в живых ни одного мужчины. Из нашей деревни уже погибло 22 человека». Младшему сержанту Ниило Невала пишут: «Всё время проходит в том, что одних увозят на фронт, других возвращают калеками. Калеки теперь считают себя счастливыми». Родные солдата Варманена Юхо Вейкко жалуются в письме: «В магазинах только сушёные свёкла и морковь. В деревне Хейкиля у домохозяев забрали всех коров. Говорят, что у нас тоже будут брать». Брат капрала Хелимяки пишет: «Скоро, мы все протянем ноги с голоду» (14781).</w:t>
      </w:r>
    </w:p>
    <w:p w14:paraId="11017F4C" w14:textId="77777777" w:rsidR="00E118CB" w:rsidRPr="00640820" w:rsidRDefault="00E118CB" w:rsidP="00640820">
      <w:pPr>
        <w:spacing w:after="0" w:line="240" w:lineRule="auto"/>
        <w:jc w:val="both"/>
        <w:rPr>
          <w:rFonts w:ascii="Times New Roman" w:hAnsi="Times New Roman"/>
          <w:color w:val="000000" w:themeColor="text1"/>
          <w:sz w:val="16"/>
          <w:szCs w:val="16"/>
        </w:rPr>
      </w:pPr>
    </w:p>
    <w:p w14:paraId="017D3286"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сентября в 1941 году завершилась Синявинская операция: 54-я армия продвинулась на 6-10 км, соединения Ленинградского фронта захватили в районе Московской Дубровки небольшой плацдарм (14781).</w:t>
      </w:r>
    </w:p>
    <w:p w14:paraId="3B07DCBA" w14:textId="77777777" w:rsidR="00E118CB" w:rsidRPr="00640820" w:rsidRDefault="00E118CB" w:rsidP="00640820">
      <w:pPr>
        <w:spacing w:after="0" w:line="240" w:lineRule="auto"/>
        <w:jc w:val="both"/>
        <w:rPr>
          <w:rFonts w:ascii="Times New Roman" w:hAnsi="Times New Roman"/>
          <w:color w:val="000000" w:themeColor="text1"/>
          <w:sz w:val="16"/>
          <w:szCs w:val="16"/>
        </w:rPr>
      </w:pPr>
    </w:p>
    <w:p w14:paraId="37AB9F31"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сентября в 1941 году после 80-дневных оборонительных боёв войска Ленинградского фронта вынудили противника отказаться от дальнейших попыток захватить Ленинград штурмом (14781).</w:t>
      </w:r>
    </w:p>
    <w:p w14:paraId="4E06F504" w14:textId="77777777" w:rsidR="00E118CB" w:rsidRPr="00640820" w:rsidRDefault="00E118CB" w:rsidP="00640820">
      <w:pPr>
        <w:spacing w:after="0" w:line="240" w:lineRule="auto"/>
        <w:jc w:val="both"/>
        <w:rPr>
          <w:rFonts w:ascii="Times New Roman" w:hAnsi="Times New Roman"/>
          <w:color w:val="000000" w:themeColor="text1"/>
          <w:sz w:val="16"/>
          <w:szCs w:val="16"/>
        </w:rPr>
      </w:pPr>
    </w:p>
    <w:p w14:paraId="7BF2689A"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сентября в 1941 году завершилась Киевская операция (проходила на территории свыше 300 км по фронту и ок. 600 км в глубину); советские войска отвлекли значительные силы группы армий «Центр» на юг, что задержало наступление врага на московском направлении. Юго-Западный фронт был восссоздан на рубеже Белополье, Шишаки, Красноград. Это одна из самых кровавых и неудачных операций. Из котла не вышли 430 тысяч наших бойцов и командиров (14781).</w:t>
      </w:r>
    </w:p>
    <w:p w14:paraId="1DA3C718" w14:textId="77777777" w:rsidR="00E118CB" w:rsidRPr="00640820" w:rsidRDefault="00E118CB" w:rsidP="00640820">
      <w:pPr>
        <w:spacing w:after="0" w:line="240" w:lineRule="auto"/>
        <w:jc w:val="both"/>
        <w:rPr>
          <w:rFonts w:ascii="Times New Roman" w:hAnsi="Times New Roman"/>
          <w:color w:val="000000" w:themeColor="text1"/>
          <w:sz w:val="16"/>
          <w:szCs w:val="16"/>
        </w:rPr>
      </w:pPr>
    </w:p>
    <w:p w14:paraId="2F19B3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сентября 1941 г. вышел приказ командующего ВВС СФ генерал-майора авиации Кузнецова №00200:</w:t>
      </w:r>
    </w:p>
    <w:p w14:paraId="0819F9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Согласно решения Военного совета СФ, считать расформированной 2 АГ ВВС СФ с 1.10.41 г. Самолеты с экипажами немедленно передать:</w:t>
      </w:r>
    </w:p>
    <w:p w14:paraId="677903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ТБ-3 в состав 72 АП ГСТ в состав 118 АП МБР-2 в состав 49 аэ СБ в состав 72 АП</w:t>
      </w:r>
    </w:p>
    <w:p w14:paraId="287A8D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Впрочем, это решение очень скоро было признано неверным, поэтому последовал новый приказ генерал-майора Кузнецова №0212 от 11.10.41 г., и группа продолжила свое существование. 2-й АГ в полном составе предписывалось выполнять поставленные ей ранее задачи по разведке и охране северного побережья (11977).</w:t>
      </w:r>
    </w:p>
    <w:p w14:paraId="0090EA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27602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сентября 1941 А.Гитлер приказал начать наступление на Москву (2260).</w:t>
      </w:r>
    </w:p>
    <w:p w14:paraId="1445A7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F3570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сентября 1941 ком. ЗФ г И.С.Конев докладывал И.В.С. и Б.М.Шапошникову, что по материалам допроса пленного л "противник готовится к наступлению в направлении Москвы с главной группировкой вдоль автомагистрали Вязьма - Москва. Противник подтянул уже 1000 танков и из них 500 в район Смоленск-Починок..." Просил полк б и полк ш. Не дали (3105,35).</w:t>
      </w:r>
    </w:p>
    <w:p w14:paraId="502789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7D0D7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сентября 1941 попытки отбить Киев прекратились из-за тяжелых погодных условий (2260).</w:t>
      </w:r>
    </w:p>
    <w:p w14:paraId="41F835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A31F4DD"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198BA964"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DEE12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сентября 1941 вышло Постановление ГКО № 715 Об организации Управления по эвакуации населения при Совете по эвакуации. РГАНИР, Фонд ГКО, д. 10, лл. 94 (11012).</w:t>
      </w:r>
    </w:p>
    <w:p w14:paraId="5144F8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E03BC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сентября 1941 вышло Постановление ГКО № 716 О прописке граждан, эвакуируемых из прифронтовой полосы. РГАНИР, Фонд ГКО, д. 10, лл. 95-96 (11012).</w:t>
      </w:r>
    </w:p>
    <w:p w14:paraId="50548D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6B741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сентября 1941 при Совете по эвакуации создали Управление по эвакуации населения, которым руководил К.Д.Памфилов и оно располагало аппаратом на местах (512,97).</w:t>
      </w:r>
    </w:p>
    <w:p w14:paraId="4F4822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счет населения не очень-то торопились.</w:t>
      </w:r>
    </w:p>
    <w:p w14:paraId="1D686B6C"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9EDD6C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сентября 1941 Горьковский обком партии приказал «привлечь в порядке трудовой повинности для уборки сельскохозяйственных культур все трудоспособное сельское население, в том числе учащихся обоего пола, а также население городов и поселков городского типа, однако не в ущерб работе госучреждений и предприятий». Районные комитеты партии были обязаны разъяснить данное постановление населению и обеспечить его выход на уборку урожая. [421 — ГОПАНО, Ф. 3, Оп. 1, Д. 2158, Л. 191.] (11741).</w:t>
      </w:r>
    </w:p>
    <w:p w14:paraId="4454F07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993E0D"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сентября в 1941 году нацисты убивают около 34 000 евреев в Киеве (14781).</w:t>
      </w:r>
    </w:p>
    <w:p w14:paraId="56EE3D22" w14:textId="77777777" w:rsidR="00E118CB" w:rsidRPr="00640820" w:rsidRDefault="00E118CB" w:rsidP="00640820">
      <w:pPr>
        <w:spacing w:after="0" w:line="240" w:lineRule="auto"/>
        <w:jc w:val="both"/>
        <w:rPr>
          <w:rFonts w:ascii="Times New Roman" w:hAnsi="Times New Roman"/>
          <w:color w:val="000000" w:themeColor="text1"/>
          <w:sz w:val="16"/>
          <w:szCs w:val="16"/>
        </w:rPr>
      </w:pPr>
    </w:p>
    <w:p w14:paraId="0CAC14FA"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lang w:val="en-US"/>
        </w:rPr>
      </w:pPr>
      <w:r w:rsidRPr="00640820">
        <w:rPr>
          <w:rFonts w:ascii="Times New Roman" w:hAnsi="Times New Roman"/>
          <w:i/>
          <w:iCs/>
          <w:color w:val="000000" w:themeColor="text1"/>
          <w:sz w:val="16"/>
          <w:szCs w:val="16"/>
        </w:rPr>
        <w:t>Внешняя</w:t>
      </w:r>
      <w:r w:rsidRPr="00640820">
        <w:rPr>
          <w:rFonts w:ascii="Times New Roman" w:hAnsi="Times New Roman"/>
          <w:i/>
          <w:iCs/>
          <w:color w:val="000000" w:themeColor="text1"/>
          <w:sz w:val="16"/>
          <w:szCs w:val="16"/>
          <w:lang w:val="en-US"/>
        </w:rPr>
        <w:t xml:space="preserve"> </w:t>
      </w:r>
      <w:r w:rsidRPr="00640820">
        <w:rPr>
          <w:rFonts w:ascii="Times New Roman" w:hAnsi="Times New Roman"/>
          <w:i/>
          <w:iCs/>
          <w:color w:val="000000" w:themeColor="text1"/>
          <w:sz w:val="16"/>
          <w:szCs w:val="16"/>
        </w:rPr>
        <w:t>политика</w:t>
      </w:r>
      <w:r w:rsidRPr="00640820">
        <w:rPr>
          <w:rFonts w:ascii="Times New Roman" w:hAnsi="Times New Roman"/>
          <w:i/>
          <w:iCs/>
          <w:color w:val="000000" w:themeColor="text1"/>
          <w:sz w:val="16"/>
          <w:szCs w:val="16"/>
          <w:lang w:val="en-US"/>
        </w:rPr>
        <w:t>:</w:t>
      </w:r>
    </w:p>
    <w:p w14:paraId="40AD6335"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56C3BE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September 26, 1941: The Free French government in London under General de Gaulle signs an alliance with the Soviet Union (3819).</w:t>
      </w:r>
    </w:p>
    <w:p w14:paraId="2E6D0A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284165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сентября 1941 Советское правительство признало де Голя в качестве "руководителя всех свободных французов, где бы они не находились" (512,136).</w:t>
      </w:r>
    </w:p>
    <w:p w14:paraId="6FCF6C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37433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сентября 1941 правительство свободной Франции во главе с Де Голем подписало соглашение с СССР (3819).</w:t>
      </w:r>
    </w:p>
    <w:p w14:paraId="1BDD76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A2974C4" w14:textId="77777777" w:rsidR="00E118CB"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43713BED" w14:textId="77777777" w:rsidR="00E118CB" w:rsidRPr="00640820" w:rsidRDefault="00E118CB"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A14B9D4"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сентября в 1941 году начало японского наступления на Лоян (14781).</w:t>
      </w:r>
    </w:p>
    <w:p w14:paraId="3829E5D7" w14:textId="77777777" w:rsidR="00E118CB" w:rsidRPr="00640820" w:rsidRDefault="00E118CB" w:rsidP="00640820">
      <w:pPr>
        <w:spacing w:after="0" w:line="240" w:lineRule="auto"/>
        <w:jc w:val="both"/>
        <w:rPr>
          <w:rFonts w:ascii="Times New Roman" w:hAnsi="Times New Roman"/>
          <w:color w:val="000000" w:themeColor="text1"/>
          <w:sz w:val="16"/>
          <w:szCs w:val="16"/>
        </w:rPr>
      </w:pPr>
    </w:p>
    <w:p w14:paraId="3A632B31"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097CD896"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58DA7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сентября 1941 года Шахурин писал письмо N Н-20/6999 Сталину.</w:t>
      </w:r>
    </w:p>
    <w:p w14:paraId="76614A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Постановлением СНК от 19 июня 1941 года N 1672-700 НКАП обязан установить на трех самолетах Миг-3 синхронные и крыльевые пулеметы Юрченко калибра 7,62 и на трех самолетах Лагг-3 - синхронные пулеметы для проведения испытаний.</w:t>
      </w:r>
    </w:p>
    <w:p w14:paraId="0D62A4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Ввиду того, что опыт боевых действий показал недостаточную эффективность оружия калибра 7,2, выделение трех самолетов Лагг-3, для проведения испытаний этих пулеметов, нецелесообразно.</w:t>
      </w:r>
    </w:p>
    <w:p w14:paraId="1C45CD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Прошу Вашего разрешения о подаче на испытания только одного самолета Миг-3, с синхронными пулеметами Юрченко 7,62, так как в крыльевом и турельном варианте пулеметы будут испытаны на самолете Пе-2 (1520).</w:t>
      </w:r>
    </w:p>
    <w:p w14:paraId="3CF700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AE10C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27 сентября по 14 ноября 1941 в НИИ ВВС проходил гос. испытания Як-1 N 2029 (796,3).</w:t>
      </w:r>
    </w:p>
    <w:p w14:paraId="56A621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E5130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27-28 сентября 1941 Н.Камов побывал в эскадрильи автожиров А-7-3А. Съездил и на КП артполка - отзывы были хорошими. На следующий день прилетела еще пара отремонтированных А-7-3А, но пришлось отступать. Считается, что было не менее 20 боевых вылетов. Никто не погиб, все машины остались целыми (257,18).</w:t>
      </w:r>
    </w:p>
    <w:p w14:paraId="4BCCC4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9ACE51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и 28 сентября 1941 на заво</w:t>
      </w:r>
      <w:r w:rsidRPr="00640820">
        <w:rPr>
          <w:rFonts w:ascii="Times New Roman" w:hAnsi="Times New Roman"/>
          <w:color w:val="000000" w:themeColor="text1"/>
          <w:sz w:val="16"/>
          <w:szCs w:val="16"/>
        </w:rPr>
        <w:softHyphen/>
        <w:t>дыы № 471 в городе Шумерля и № 494 в поселке Козловка (оба в Чувашии) выехали представители ОКБ-28 с производственной документацией. 18 октября туда же эвакуировали ос</w:t>
      </w:r>
      <w:r w:rsidRPr="00640820">
        <w:rPr>
          <w:rFonts w:ascii="Times New Roman" w:hAnsi="Times New Roman"/>
          <w:color w:val="000000" w:themeColor="text1"/>
          <w:sz w:val="16"/>
          <w:szCs w:val="16"/>
        </w:rPr>
        <w:softHyphen/>
        <w:t>тальных работников конструкторского бюро. Вместе с ними прибыл неболь</w:t>
      </w:r>
      <w:r w:rsidRPr="00640820">
        <w:rPr>
          <w:rFonts w:ascii="Times New Roman" w:hAnsi="Times New Roman"/>
          <w:color w:val="000000" w:themeColor="text1"/>
          <w:sz w:val="16"/>
          <w:szCs w:val="16"/>
        </w:rPr>
        <w:softHyphen/>
        <w:t>шой задел деталей и узлов.</w:t>
      </w:r>
    </w:p>
    <w:p w14:paraId="48DC6C8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ноября изготовили первый серий</w:t>
      </w:r>
      <w:r w:rsidRPr="00640820">
        <w:rPr>
          <w:rFonts w:ascii="Times New Roman" w:hAnsi="Times New Roman"/>
          <w:color w:val="000000" w:themeColor="text1"/>
          <w:sz w:val="16"/>
          <w:szCs w:val="16"/>
        </w:rPr>
        <w:softHyphen/>
        <w:t>ный экземпляр Г-11. Он немного отли</w:t>
      </w:r>
      <w:r w:rsidRPr="00640820">
        <w:rPr>
          <w:rFonts w:ascii="Times New Roman" w:hAnsi="Times New Roman"/>
          <w:color w:val="000000" w:themeColor="text1"/>
          <w:sz w:val="16"/>
          <w:szCs w:val="16"/>
        </w:rPr>
        <w:softHyphen/>
        <w:t>чался от Гр-29. Крыло для изменения центровки сдвинули немного назад, площадь элеронов увеличили. Шасси получило предусмотренные проектом «ломающиеся» подкосы. Металличес</w:t>
      </w:r>
      <w:r w:rsidRPr="00640820">
        <w:rPr>
          <w:rFonts w:ascii="Times New Roman" w:hAnsi="Times New Roman"/>
          <w:color w:val="000000" w:themeColor="text1"/>
          <w:sz w:val="16"/>
          <w:szCs w:val="16"/>
        </w:rPr>
        <w:softHyphen/>
        <w:t>кий каркас фонаря пилотской кабины заменили деревянным. Теперь при не</w:t>
      </w:r>
      <w:r w:rsidRPr="00640820">
        <w:rPr>
          <w:rFonts w:ascii="Times New Roman" w:hAnsi="Times New Roman"/>
          <w:color w:val="000000" w:themeColor="text1"/>
          <w:sz w:val="16"/>
          <w:szCs w:val="16"/>
        </w:rPr>
        <w:softHyphen/>
        <w:t>обходимости он целиком откидывался назад и сбрасывался. У пилота уста</w:t>
      </w:r>
      <w:r w:rsidRPr="00640820">
        <w:rPr>
          <w:rFonts w:ascii="Times New Roman" w:hAnsi="Times New Roman"/>
          <w:color w:val="000000" w:themeColor="text1"/>
          <w:sz w:val="16"/>
          <w:szCs w:val="16"/>
        </w:rPr>
        <w:softHyphen/>
        <w:t>новили компас. По требованию воен</w:t>
      </w:r>
      <w:r w:rsidRPr="00640820">
        <w:rPr>
          <w:rFonts w:ascii="Times New Roman" w:hAnsi="Times New Roman"/>
          <w:color w:val="000000" w:themeColor="text1"/>
          <w:sz w:val="16"/>
          <w:szCs w:val="16"/>
        </w:rPr>
        <w:softHyphen/>
        <w:t>ных планёр получил комплект элект- роооборудования для полётов ночью: посадочную фару, плафон освещения в грузовой кабине, сигнальную лампу у пилота и аккумулятор 12А-30.</w:t>
      </w:r>
    </w:p>
    <w:p w14:paraId="4B3C6F7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31 декабря через военную приёмку прошла первая серия из десяти Г-11. Облёт первых серийных аппаратов по</w:t>
      </w:r>
      <w:r w:rsidRPr="00640820">
        <w:rPr>
          <w:rFonts w:ascii="Times New Roman" w:hAnsi="Times New Roman"/>
          <w:color w:val="000000" w:themeColor="text1"/>
          <w:sz w:val="16"/>
          <w:szCs w:val="16"/>
        </w:rPr>
        <w:softHyphen/>
        <w:t>казал, что сдвиг крыла назад привёл к появлению тряски хвостового оперения при выпуске щитков. На Гр-29 такого явления не наблюдалось. Тряску быстро устранили введением перфорации на центропланных секциях щитков.</w:t>
      </w:r>
    </w:p>
    <w:p w14:paraId="688C8B0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Уже после поступления Г-11 в стро</w:t>
      </w:r>
      <w:r w:rsidRPr="00640820">
        <w:rPr>
          <w:rFonts w:ascii="Times New Roman" w:hAnsi="Times New Roman"/>
          <w:color w:val="000000" w:themeColor="text1"/>
          <w:sz w:val="16"/>
          <w:szCs w:val="16"/>
        </w:rPr>
        <w:softHyphen/>
        <w:t>евые части обнаружился реверс консолей при отклонении элеронов. В частности, при проведении войсковых испытаний по этой причине погиб пилот В. Романов. Он на буксире перегонял планёр с одного аэродрома на другой. При сильной болтанке Г-11 отцепился от буксировщика, потерял управление и упал. Вместе с Романовым погиб на</w:t>
      </w:r>
      <w:r w:rsidRPr="00640820">
        <w:rPr>
          <w:rFonts w:ascii="Times New Roman" w:hAnsi="Times New Roman"/>
          <w:color w:val="000000" w:themeColor="text1"/>
          <w:sz w:val="16"/>
          <w:szCs w:val="16"/>
        </w:rPr>
        <w:softHyphen/>
        <w:t>ходившийся на борту механик.</w:t>
      </w:r>
    </w:p>
    <w:p w14:paraId="72BDABB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Это было связано как с увеличением площади элеронов (и, соответствен</w:t>
      </w:r>
      <w:r w:rsidRPr="00640820">
        <w:rPr>
          <w:rFonts w:ascii="Times New Roman" w:hAnsi="Times New Roman"/>
          <w:color w:val="000000" w:themeColor="text1"/>
          <w:sz w:val="16"/>
          <w:szCs w:val="16"/>
        </w:rPr>
        <w:softHyphen/>
        <w:t>но, с ростом усилий, передававшихся на конструкцию крыла), так и с низким качеством фанеры. В качестве меры противодействия часть полотна на кон</w:t>
      </w:r>
      <w:r w:rsidRPr="00640820">
        <w:rPr>
          <w:rFonts w:ascii="Times New Roman" w:hAnsi="Times New Roman"/>
          <w:color w:val="000000" w:themeColor="text1"/>
          <w:sz w:val="16"/>
          <w:szCs w:val="16"/>
        </w:rPr>
        <w:softHyphen/>
        <w:t>солях заменили фанерой, которая шла теперь до задней косой балки (вспомо</w:t>
      </w:r>
      <w:r w:rsidRPr="00640820">
        <w:rPr>
          <w:rFonts w:ascii="Times New Roman" w:hAnsi="Times New Roman"/>
          <w:color w:val="000000" w:themeColor="text1"/>
          <w:sz w:val="16"/>
          <w:szCs w:val="16"/>
        </w:rPr>
        <w:softHyphen/>
        <w:t>гательного лонжерона). Это увеличило жёсткость консолей (12266).</w:t>
      </w:r>
    </w:p>
    <w:p w14:paraId="717132BD"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1EB483C2" w14:textId="77777777" w:rsidR="00A574B0" w:rsidRPr="00640820" w:rsidRDefault="00A574B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сентября 1941 г. Справка № 630 начальника 2-го отдела филиала Наркомата авиационной промышленности СССР Л. Купцова о работе завода № 455 (директор Е.А. Рогов) эвакуированного из г. Киева в Управленческий городок строительства Куйбышевского гидроузла в 38 км от г. Куйбышева (сведения о производстве, трудностях и мероприятиях по улучшению работы завода, производящего агрегаты химического и бомбардировочного вооружения).</w:t>
      </w:r>
    </w:p>
    <w:p w14:paraId="0E2F7023" w14:textId="77777777" w:rsidR="00A574B0" w:rsidRPr="00640820" w:rsidRDefault="00A574B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Подлинник (рассекречено).</w:t>
      </w:r>
    </w:p>
    <w:p w14:paraId="4CEDAD34" w14:textId="77777777" w:rsidR="00A574B0" w:rsidRPr="00640820" w:rsidRDefault="00A574B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РГАЭ ф. 8044, оп. 1, д. 682, лл. 185 – 186. (18959)</w:t>
      </w:r>
    </w:p>
    <w:p w14:paraId="551A9076" w14:textId="77777777" w:rsidR="00A574B0" w:rsidRPr="00640820" w:rsidRDefault="00A574B0" w:rsidP="00640820">
      <w:pPr>
        <w:spacing w:after="0" w:line="240" w:lineRule="auto"/>
        <w:jc w:val="both"/>
        <w:rPr>
          <w:rFonts w:ascii="Times New Roman" w:hAnsi="Times New Roman"/>
          <w:color w:val="000000" w:themeColor="text1"/>
          <w:sz w:val="16"/>
          <w:szCs w:val="16"/>
        </w:rPr>
      </w:pPr>
    </w:p>
    <w:p w14:paraId="7724E045" w14:textId="77777777" w:rsidR="00A574B0" w:rsidRPr="00640820" w:rsidRDefault="00A574B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сентября 1941 г. Справка № 631 начальника 2-го отдела филиала Наркомата авиационной промышленности СССР Л. Купцова о работе завода № 454 (директор М.Я. Горелик), эвакуированного из г. Киева на ст. Безымянка в 15 км от г. Куйбышева (сведения о производстве, трудностях и мероприятиях по улучшению работы завода, производящего агрегаты стрелкового и бомбардировочного вооружения).</w:t>
      </w:r>
    </w:p>
    <w:p w14:paraId="5CBCBC5D" w14:textId="77777777" w:rsidR="00A574B0" w:rsidRPr="00640820" w:rsidRDefault="00A574B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Подлинник (рассекречено).</w:t>
      </w:r>
    </w:p>
    <w:p w14:paraId="4F931B05" w14:textId="77777777" w:rsidR="00A574B0" w:rsidRPr="00640820" w:rsidRDefault="00A574B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 8044, оп. 1, д. 682, лл. 187 – 188. (18959).</w:t>
      </w:r>
    </w:p>
    <w:p w14:paraId="5980637C" w14:textId="77777777" w:rsidR="00A574B0" w:rsidRPr="00640820" w:rsidRDefault="00A574B0" w:rsidP="00640820">
      <w:pPr>
        <w:spacing w:after="0" w:line="240" w:lineRule="auto"/>
        <w:jc w:val="both"/>
        <w:rPr>
          <w:rFonts w:ascii="Times New Roman" w:hAnsi="Times New Roman"/>
          <w:color w:val="000000" w:themeColor="text1"/>
          <w:sz w:val="16"/>
          <w:szCs w:val="16"/>
        </w:rPr>
      </w:pPr>
    </w:p>
    <w:p w14:paraId="2D756F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сентября 1941 г. по результатам испытаний ракетных снарядов РБС-132 и РОФС-132 Заместитель начальника ГУ ВВС КА генерал Ф. И. Жаров и Начальник ВВС ВМФ генерал С. Ф. Жаворонков вышли на Заместителя председателя ГКО Н. М. Вознесенского (письмо № НВ-13022сс) с предложением о немедленной постановке РБС-132 на вооружение ВВС КА и ВМФ. После согласования ряда вопросов с командующим минометными частями Ставки ГК полковником Аборенковым в ГКО было принято решение о проведении сравнительных войсковых испытаний ракетных снарядов нового типа с целью определения наилучшего из них (8270).</w:t>
      </w:r>
    </w:p>
    <w:p w14:paraId="0D4836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658E8E4" w14:textId="77777777" w:rsidR="002F5DDC" w:rsidRPr="00640820" w:rsidRDefault="002F5DD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27 сентября на Софринском артиллерийском полигоне начались испытания установки М-8 на шасси Т-30. Это изделие, получившее заводской индекс КС-77, было также разработано на заводе «Компрессор». Одновременно со сменой базы изменилась и сама установка М-8. Её направляющие были удлинены до 2 метров, а количество сократилось до 12. Таким образом, теперь залп производился не тридцатью шестью, а двадцатью четырьмя реактивными снарядами РС-82.</w:t>
      </w:r>
    </w:p>
    <w:p w14:paraId="3BEB4B65" w14:textId="77777777" w:rsidR="002F5DDC" w:rsidRPr="00640820" w:rsidRDefault="002F5DD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На шасси Т-30 менялся подбашенный лист. Вместо башни устанавливалась система М-8, которая могла наводиться как по вертикали, так и по горизонтали. В отличие от М-8 на шасси ЗИС-6, устойчивости базы Т-30 было вполне достаточно, чтобы обходиться при стрельбе без дополнительных упоров, что заметно сократило время приведения машины в боевое положение.</w:t>
      </w:r>
    </w:p>
    <w:p w14:paraId="4CB82FFE" w14:textId="77777777" w:rsidR="002F5DDC" w:rsidRPr="00640820" w:rsidRDefault="002F5DD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На испытания вышли два варианта машины, отличавшиеся конструкцией направляющих. У первой они были коробчатой формы и закреплялись на раме. В конструкции использовались откидные пиропистолеты системы инженера Горелика. У второй машины направляющие имели форму двутавра (как и на М-13), крепились на раме, а пиропистолеты были разработаны в НИИ-3.</w:t>
      </w:r>
    </w:p>
    <w:p w14:paraId="5115F5FE" w14:textId="77777777" w:rsidR="002F5DDC" w:rsidRPr="00640820" w:rsidRDefault="002F5DD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Направляющие второй машины, как и её пиропистолеты, оказались низкого качества, что повлияло на результаты испытаний. Из 24 снарядов при залпе сработало 17, тогда как у первого варианта не сработал всего один снаряд. Совсем иная ситуация оказалась при стрельбе на кучность. Испытания первого вариант РСЗО из-за проблем с электрикой пришлось прекратить уже после двух выстрелов, второй вариант смог произвести на два выстрела больше.</w:t>
      </w:r>
    </w:p>
    <w:p w14:paraId="528AFF7E" w14:textId="77777777" w:rsidR="002F5DDC" w:rsidRPr="00640820" w:rsidRDefault="002F5DD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 итогам испытаний оба варианта были признаны примерно равнозначными, но в серию было решено пустить второй. Приняли эту РСЗО на вооружение тем же постановлением ГКО, что и М-13 на базе трактора СТЗ-5.</w:t>
      </w:r>
    </w:p>
    <w:p w14:paraId="39786608" w14:textId="77777777" w:rsidR="002F5DDC" w:rsidRPr="00640820" w:rsidRDefault="002F5DD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Стоит отметить, что серийная установка М-8 на шасси Т-30 несколько отличалась от опытных машин. Слева от пусковой установки появилась рубка, в которой находился командир, он же оператор М-8. По планам, изготавливать рубки должен был Подольский завод им. Орджоникидзе, но ввиду загруженности поставки затянулись. В связи с этим выпуск рубок был возложен на «Компрессор» (17665).</w:t>
      </w:r>
    </w:p>
    <w:p w14:paraId="5AEF11E7" w14:textId="77777777" w:rsidR="002F5DDC" w:rsidRPr="00640820" w:rsidRDefault="002F5DDC" w:rsidP="00640820">
      <w:pPr>
        <w:spacing w:after="0" w:line="240" w:lineRule="auto"/>
        <w:jc w:val="both"/>
        <w:rPr>
          <w:rFonts w:ascii="Times New Roman" w:eastAsia="Times New Roman" w:hAnsi="Times New Roman"/>
          <w:color w:val="000000" w:themeColor="text1"/>
          <w:sz w:val="16"/>
          <w:szCs w:val="16"/>
          <w:lang w:eastAsia="ru-RU"/>
        </w:rPr>
      </w:pPr>
    </w:p>
    <w:p w14:paraId="208EB252"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1D5BC0BE"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3FE01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сентября 1941 вышло Постановление ГКО № 717 Об эвакуации заводов Наркомбоеприпасов № 64,144,73,20,65 и 513. РГАНИР, Фонд ГКО, д. 10, лл. 97, 98-99 (11012).</w:t>
      </w:r>
    </w:p>
    <w:p w14:paraId="2288B8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20B24DE" w14:textId="77777777" w:rsidR="00A574B0" w:rsidRPr="00640820" w:rsidRDefault="00A574B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сентября 1941 г. по Постановлению ГКО № 717с завод № 20 1ГУ (Завод № 20 НКБ, НКХП /Украина  г. Рубежное Ворошиловградской обл./) планировалось эвакуировать: производство пикриновой кислоты - в  г. Кемерово на площадку завода № 319; производства ДНН и ксилила - на завод № 15; часть завода - в Черниковск на стройплощадку завода № 751 и на площадку Уфимского НПЗ. В итоге 1- 10.10.1941 г. большая часть оборудования (277 ед. оборудования) была эвакуирована: производство ВВ и ксилила, 69 чел. - в Уфу на площадку завода № 505 НКХП; 64 единицы оборудования, 28 чел. (производство олеума) эвакуировано на завод № 319. Осталось невывезенным около 185 ед. оборудования.</w:t>
      </w:r>
    </w:p>
    <w:p w14:paraId="309242AC" w14:textId="77777777" w:rsidR="00A574B0" w:rsidRPr="00640820" w:rsidRDefault="00A574B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11.1943 г. завод № 20 НКБ действовал в Рубежном, в 08.1943-09.1944 г. - в ведении 1ГУ. 6.11.1943 г. вышло постановление ГКО № 4505 о мобилизации на завод 500 рабочих. Вероятно, в 1943 г. завод был передан в ведение НКХП. 27.01.1944 г. вышло распоряжение ГКО № 5060 об оставлении завода № 20 в системе НКБ. 14.06.1944 г. вышло постановление ГКО № 6045 о мероприятиях по восстановлению производства тротила на заводе.</w:t>
      </w:r>
    </w:p>
    <w:p w14:paraId="76149B38" w14:textId="77777777" w:rsidR="00A574B0" w:rsidRPr="00640820" w:rsidRDefault="00A574B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Позднее на старом месте образован Рубежанский казенный химический завод «Заря».</w:t>
      </w:r>
    </w:p>
    <w:p w14:paraId="0F93B247" w14:textId="77777777" w:rsidR="00A574B0" w:rsidRPr="00640820" w:rsidRDefault="00A574B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(09.1941 г.)- 1021 чел., (11.1943 г.)- 650 чел. (11982).</w:t>
      </w:r>
    </w:p>
    <w:p w14:paraId="302AF5E2" w14:textId="77777777" w:rsidR="00A574B0" w:rsidRPr="00640820" w:rsidRDefault="00A574B0" w:rsidP="00640820">
      <w:pPr>
        <w:autoSpaceDE w:val="0"/>
        <w:autoSpaceDN w:val="0"/>
        <w:adjustRightInd w:val="0"/>
        <w:spacing w:after="0" w:line="240" w:lineRule="auto"/>
        <w:jc w:val="both"/>
        <w:rPr>
          <w:rFonts w:ascii="Times New Roman" w:hAnsi="Times New Roman"/>
          <w:color w:val="000000" w:themeColor="text1"/>
          <w:sz w:val="16"/>
          <w:szCs w:val="16"/>
        </w:rPr>
      </w:pPr>
    </w:p>
    <w:p w14:paraId="7B2799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сентября 1941 г. в соответствии с пост. ГКО № 717 в Красноуральск на площадку завода № 595 планировалось эвакуировать завод № 144 НКБ.</w:t>
      </w:r>
    </w:p>
    <w:p w14:paraId="39349D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08.1943-09.1944 г. - в ведении 1ГУ.</w:t>
      </w:r>
    </w:p>
    <w:p w14:paraId="32918B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31.07.1944 г. вышло постановление ГКО № 6285 о неотложных мерах по созданию безопасных условий работы и увеличению мощностей по производству тротила на заводе.</w:t>
      </w:r>
    </w:p>
    <w:p w14:paraId="14961A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(12.1942 г.)- 452 чел.</w:t>
      </w:r>
    </w:p>
    <w:p w14:paraId="5D8F7D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Красноуральский химический завод, ФГУП «Красноуральский химический завод» Росбоеприпаса /624330  г. Красноуральск Свердловской обл. ул. Победы, 15 тел. 29-250/</w:t>
      </w:r>
    </w:p>
    <w:p w14:paraId="64E170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Завод основан 26.01.1943 г. Боеприпасное производство. Но, в соответствии с пост. ГКО № 99сс от 11.07.1941 г. на площадку Красноуральского химзавода (ст. Верхняя) должен был эвакуироваться Винницкий химзавод.</w:t>
      </w:r>
    </w:p>
    <w:p w14:paraId="37ADBE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9.07.1996 г. завод вошел во вновь созданную ФПГ «Оборонметхимпром». По Указу Президента РФ № 1009 от 4.08.2004 г. вошел в число стратегических оборонных предприятий. Один из четырех заводов в России, производящих тротил (2004 г.). В 09.2005 г. на заводе введено конкурсное производство. 29.08.2008 г. вновь открыто конкурсное производство сроком на 12 месяцев.</w:t>
      </w:r>
    </w:p>
    <w:p w14:paraId="1F639A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(2004 г.)- 2282 чел., (2007 г.)- около 2000 чел.</w:t>
      </w:r>
    </w:p>
    <w:p w14:paraId="4B2943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(1993 г.)- В.И. Гагулин. Гендиректор (-1998-09.2004 г.)-  Г.М. Еремеев (уволен за злоупотребления). И.О. директора (-03.2006 г.)- А. Прокопъев (арестован), (09.2006 г.-)- А. Куткин. Конкурсный управляющий (29.08.2008 г.-&gt; В.И. Ирадионов.</w:t>
      </w:r>
    </w:p>
    <w:p w14:paraId="090623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(1993 г.)-  Г.М. Еремеев, (2006 г.)- В. Жуков.</w:t>
      </w:r>
    </w:p>
    <w:p w14:paraId="4B7E6E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цехов: (1993 г.)- Ю.А. Овчинников.</w:t>
      </w:r>
    </w:p>
    <w:p w14:paraId="4C7133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взрывчатка для военной и горнодобывающей промышленности: тротил (продукт № 2), граммоншы, гранулотол; бытовая химия; лекарственные препараты; оборудование (трубчатые воздухоподогреватели, фрагмент установки очистки воды, стальные конструкции опор линий электропередач, экономайзеры для ТЭЦ и ГРЭС, запчасти к углеразмельному оборудованию ТЭЦ, ролики ленточных конвейеров), стройматериалы (2004) (11982).</w:t>
      </w:r>
    </w:p>
    <w:p w14:paraId="2DC1C2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D4C13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сентября 1941 г. по постановлению ГКО № 717с от завод № 64 1ГУ (производство ВВ, цех денитрации кислот и частично цех олеума; всего 285 единиц оборудования, 700 чел.) 1-8.10.1941 г. эвакуирован в  г. Кемерово на завод №319.</w:t>
      </w:r>
    </w:p>
    <w:p w14:paraId="6AA0A1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09.1943 г. завод № 64 НКБ действовал в Горловке, в 08.1943-09.1944 г. - в ведении 1ГУ. 6.11.1943 г. вышло постановление ГКО № 4505 о мобилизации на завод 700 рабочих. 14.06.1944 г. вышло постановление ГКО № 6045 о мероприятиях по восстановлению производства тротила на заводе.</w:t>
      </w:r>
    </w:p>
    <w:p w14:paraId="2F653E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(1939 г.)- 291 чел. (рабочих), (1940 г.)- 1134 чел. (рабочих), (09.1941 г.)- 1620 чел., (11.1943 г.)- 124 чел. (11982).</w:t>
      </w:r>
    </w:p>
    <w:p w14:paraId="5A1145BC" w14:textId="77777777" w:rsidR="00E118CB" w:rsidRPr="00640820" w:rsidRDefault="00E118CB" w:rsidP="00640820">
      <w:pPr>
        <w:autoSpaceDE w:val="0"/>
        <w:autoSpaceDN w:val="0"/>
        <w:adjustRightInd w:val="0"/>
        <w:spacing w:after="0" w:line="240" w:lineRule="auto"/>
        <w:jc w:val="both"/>
        <w:rPr>
          <w:rFonts w:ascii="Times New Roman" w:hAnsi="Times New Roman"/>
          <w:color w:val="000000" w:themeColor="text1"/>
          <w:sz w:val="16"/>
          <w:szCs w:val="16"/>
        </w:rPr>
      </w:pPr>
    </w:p>
    <w:p w14:paraId="63AD11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сентября 1941 г. по постановлению ГКО № 717с в  г. Миасс на площадку ремонтно-механического завода треста «Миассзолото» НКЦМ была эвакуирована из Сталино основная часть комбината № 144 НКБ (снаряжение снарядов среднего калибра, бомб ФАБ-100 и АО-2,5, производство суррогатных ВВ; всего 62 ед. оборудования, 1055 чел.), на 30.12.1941 г. все оборудование прибыло. На базе эвакуированного оборудования создан завод № 611 НКБ (Завод № 611 НКБ, п/я 25 /г. Миасс Челябинской обл. п/я 25 «Корпус» (1943 г.)/). С 1.01.1942 г. пущена в эксплуатацию мастерская по снаряжению бомб АО мощностью 3 млн. шт. в год.</w:t>
      </w:r>
    </w:p>
    <w:p w14:paraId="017775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12.1942-11.1943 г. - в ведении 1ГУ НКБ. В составе завода цехи (1943 г.): основные: № 1, 2, 4; вспомогательные: РМЦ.</w:t>
      </w:r>
    </w:p>
    <w:p w14:paraId="5EEC77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1946 г. завод влит в состав строящегося комбината № 817 ПГУ и получил наименование «База № 8». Руководство завода № 611 вошло в состав управления комбината, оборудование было передано родственным предприятиям. В цехах изготовлялась мебель для управления комбината.</w:t>
      </w:r>
    </w:p>
    <w:p w14:paraId="30A1F7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производственная (04.1943 г.)- 4380 м</w:t>
      </w:r>
      <w:r w:rsidRPr="00640820">
        <w:rPr>
          <w:rFonts w:ascii="Times New Roman" w:hAnsi="Times New Roman"/>
          <w:color w:val="000000" w:themeColor="text1"/>
          <w:sz w:val="16"/>
          <w:szCs w:val="16"/>
          <w:vertAlign w:val="superscript"/>
        </w:rPr>
        <w:t>2</w:t>
      </w:r>
    </w:p>
    <w:p w14:paraId="509005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(12.1942 г.)- 1220 чел.; рабочих (04.1943 г.)- 900 чел.</w:t>
      </w:r>
    </w:p>
    <w:p w14:paraId="4024F8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(04.1943 г.)- Симоненко. Начальник (07.1943)- Мейпариани, (10.1943)- Аксенов.</w:t>
      </w:r>
    </w:p>
    <w:p w14:paraId="654EF7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(04.1943 г.)- Савальский; и.о. (08.1943 г.)- Лукьянов; (10.1943 г.)- Симоненко.</w:t>
      </w:r>
    </w:p>
    <w:p w14:paraId="217CC5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ФАБ-100, снаряды 122-мм, 152-мм; мины 120-мм; амматол (1943) (11982).</w:t>
      </w:r>
    </w:p>
    <w:p w14:paraId="4AAFC1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38E7F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сентября 1941 г. по постановлению ГКО № 717с от завод № 65 эвакуирован в  г. Новосибирск: часть (производство 45-мм, 57-мм и 122-м снарядов, инструментальный цех и прессовое оборудование; всего 1529 ед. оборудования, 2000 чел.) - на площадку комбината № 179; часть (производство РГМ, 643 ед., из них 122 ед. подлежали передаче комбинату № 179) - на площадку завода № 564. Завод № 65 продолжил действовать в Новосибирске под своим прежним номером.</w:t>
      </w:r>
    </w:p>
    <w:p w14:paraId="1CBB08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завода основные цехи (1943 г.): механические, кузнечно-прессовый, термический, литейный. Количество оборудования- 1548 ед.</w:t>
      </w:r>
    </w:p>
    <w:p w14:paraId="4E3B84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12.1942-09.1944 г. - в ведении 4ГУ НКБ.</w:t>
      </w:r>
    </w:p>
    <w:p w14:paraId="5C4DE0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ГКО № 4125сс от 14.09.1943 г. начато восстановление завода № 65 НКБ в Таганроге. По приказу НКБ № 903 от 22.09.1943 г. он получил №81.</w:t>
      </w:r>
    </w:p>
    <w:p w14:paraId="32BB7F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(1943 г.): производственная- 29373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вспомогательная- 21088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5E0DA4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(1917 г.)- около 8000 чел., (1938 г.)- 10259 чел. (рабочих), (1939 г.)- 10842 чел. (рабочих), (1940 г.)- 10405 чел. (рабочих), (09.1941 г.)- 13557 чел., (12.1942 г.)- 5563 чел.</w:t>
      </w:r>
      <w:r w:rsidRPr="00640820">
        <w:rPr>
          <w:rFonts w:ascii="Times New Roman" w:hAnsi="Times New Roman"/>
          <w:color w:val="000000" w:themeColor="text1"/>
          <w:sz w:val="16"/>
          <w:szCs w:val="16"/>
          <w:vertAlign w:val="superscript"/>
        </w:rPr>
        <w:t>132</w:t>
      </w:r>
    </w:p>
    <w:p w14:paraId="4C610C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И.О. директора (31.12.1936 г.-)- Р.И. Шестопалов. Директор (1.02-8.10.1937 г.)- П.И. Муравьев, (8.10.1937 г.-)- К.А. Агапов, (04.1943 г.)- Парфенов. Гендиректор (-2003 г.)- В.И. Ткачук, (2003-07 г.-)- Е.А. Струков.</w:t>
      </w:r>
    </w:p>
    <w:p w14:paraId="421EBC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(06.1937 г.)- Р.И. Шестопалов. Помощник директора по найму и увольнению (14.08.1938 г.-)- А.И. Васильев.</w:t>
      </w:r>
    </w:p>
    <w:p w14:paraId="302F73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(-1936-2.02.1938 г.)- Р.И. Шестопалов (снят), (04.1943 г.)- Шевелев.</w:t>
      </w:r>
    </w:p>
    <w:p w14:paraId="277456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мобилизационно-планового (04.1943 г.)- Бугаенко.</w:t>
      </w:r>
    </w:p>
    <w:p w14:paraId="353323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клапанные тарелки моторов АМ-34, М-100 (1937); пружины для мин (1939); снаряды 45-мм, 122-мм; мины 120-мм (1943); взрыватели: РГМ (-1941), КТМ-1 (1943) (11982).</w:t>
      </w:r>
    </w:p>
    <w:p w14:paraId="05D98FB4" w14:textId="77777777" w:rsidR="00E118CB" w:rsidRPr="00640820" w:rsidRDefault="00E118CB" w:rsidP="00640820">
      <w:pPr>
        <w:autoSpaceDE w:val="0"/>
        <w:autoSpaceDN w:val="0"/>
        <w:adjustRightInd w:val="0"/>
        <w:spacing w:after="0" w:line="240" w:lineRule="auto"/>
        <w:jc w:val="both"/>
        <w:rPr>
          <w:rFonts w:ascii="Times New Roman" w:hAnsi="Times New Roman"/>
          <w:color w:val="000000" w:themeColor="text1"/>
          <w:sz w:val="16"/>
          <w:szCs w:val="16"/>
        </w:rPr>
      </w:pPr>
    </w:p>
    <w:p w14:paraId="066AA6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сентября 1941 г. по постановлению ГКО № 717с завод № 513 НКБ (Завод № 513 НКБ, Ростовское паевое товарищество «Жесть», Советско-австрийский завод «Жесть-Вестерн», Ростовский завод стальной эмалированной посуды, Завод «Эмальпосуда», Завод «Штамповщик», Омский телевизионный завод МРП, МПСС, Р-6135, ПО «Иртыш» МПСС, ФГУП «Омское ПО (ОмПО) «Иртыш» /г. Ростов-на-Дону;  г. Омск/ /644060  г. Омск ул. Гурьева, 18 тел. 41-72-67/) 1-11.10.1941 г. был эвакуирован (733 чел.): производство 20-мм гильз и звеньев (207 ед. оборудования, 770 чел.) - в Омск, где был образован новый завод № 513А; производство 20-мм снарядов (233 ед. оборудования) - в Новосибирск на завод № 325 (филиал комбината № 179); производство эмалированой посуды (43 ед. оборудования) - в Челябинск на завод № 78.</w:t>
      </w:r>
    </w:p>
    <w:p w14:paraId="448C4D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НКБ № 13 от 23.01.1942 г. в Омске на базе завода № 513А и завода № 187 «Новая Тула», эвакуированного из Тулы, создан единый завод № 513, в 12.1942 г. - в ведении 5ГУ НКБ, в 08.1943-09.1944 г. - в ведении 8ГУ. Далее- завод «Штамповщик».</w:t>
      </w:r>
    </w:p>
    <w:p w14:paraId="558306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2.02.1942 г. (этот день стал днем рождения завода) была выпущена первая партия гильз и звеньев для авиапушек, производство которых продолжалось всю войну и в послевоенные годы. После войны освоен также выпуск комплектующих для сельхозтехники, газовых плит, медицинских приборов.</w:t>
      </w:r>
    </w:p>
    <w:p w14:paraId="1E8E9D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1943 г. в Ростове на старом месте создан завод № 359.</w:t>
      </w:r>
    </w:p>
    <w:p w14:paraId="60408A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1958 г. завод перепрофилирован на выпуск радиотехнических изделий. В 1960 г. освоено производство аппаратуры радиосвязи, телевизоров, затем- станций и мобильных комплексов радиосвязи военного и гражданского назначения СДВ, СВ, </w:t>
      </w:r>
      <w:r w:rsidRPr="00640820">
        <w:rPr>
          <w:rFonts w:ascii="Times New Roman" w:hAnsi="Times New Roman"/>
          <w:color w:val="000000" w:themeColor="text1"/>
          <w:sz w:val="16"/>
          <w:szCs w:val="16"/>
          <w:lang w:val="en-US"/>
        </w:rPr>
        <w:t>KB</w:t>
      </w:r>
      <w:r w:rsidRPr="00640820">
        <w:rPr>
          <w:rFonts w:ascii="Times New Roman" w:hAnsi="Times New Roman"/>
          <w:color w:val="000000" w:themeColor="text1"/>
          <w:sz w:val="16"/>
          <w:szCs w:val="16"/>
        </w:rPr>
        <w:t xml:space="preserve"> и УКВ диапазонов. С 1974 г.- производство приводных аэродромных радиостанций автомобильного и стационарного исполнения. В 1977 г. освоен выпуск цветных телевизоров. В 1978 г. начат выпуск автоматизированных телерадиовещательных станций.</w:t>
      </w:r>
    </w:p>
    <w:p w14:paraId="271D08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МРП № 160 от 24.03.1966 г. переименован в Омский телевизионный завод. Имел наименование «п/я Р-6135». В 1960-е  г. - в ведении Управления радиотехнической и электронной промышленности Западно- Сибирского совнархоза. По приказу МПСС от 28.11.1988 г. на базе Омского телевизионного завода создано ПО «Иртыш». В него вошли также: Тарский завод «Кварц», Исилькульский завод «Экран» и Черлакское производство.</w:t>
      </w:r>
    </w:p>
    <w:p w14:paraId="1FEC13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1996 г. был прекращен выпуск телевизоров, всего их к этому времени было выпущено более 5 млн.</w:t>
      </w:r>
    </w:p>
    <w:p w14:paraId="3EA6F1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258D34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( 2005 г.): приводные аэродромные радиостанции; профессиональные всеволновые радиоприемники и возбудители; УКВ мобильные и портативные радиостанции; ТНП (телевизоры, радиоприемники, электроводонагреватели).</w:t>
      </w:r>
    </w:p>
    <w:p w14:paraId="3521AF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(09.1941 г.)- 3284 чел., (12.1942 г.)- 3090 чел.,</w:t>
      </w:r>
      <w:r w:rsidRPr="00640820">
        <w:rPr>
          <w:rFonts w:ascii="Times New Roman" w:hAnsi="Times New Roman"/>
          <w:color w:val="000000" w:themeColor="text1"/>
          <w:sz w:val="16"/>
          <w:szCs w:val="16"/>
          <w:vertAlign w:val="superscript"/>
        </w:rPr>
        <w:t>132</w:t>
      </w:r>
      <w:r w:rsidRPr="00640820">
        <w:rPr>
          <w:rFonts w:ascii="Times New Roman" w:hAnsi="Times New Roman"/>
          <w:color w:val="000000" w:themeColor="text1"/>
          <w:sz w:val="16"/>
          <w:szCs w:val="16"/>
        </w:rPr>
        <w:t xml:space="preserve"> (15.09.1964 г.)- 3444 чел.</w:t>
      </w:r>
      <w:r w:rsidRPr="00640820">
        <w:rPr>
          <w:rFonts w:ascii="Times New Roman" w:hAnsi="Times New Roman"/>
          <w:color w:val="000000" w:themeColor="text1"/>
          <w:sz w:val="16"/>
          <w:szCs w:val="16"/>
          <w:vertAlign w:val="superscript"/>
        </w:rPr>
        <w:t>80</w:t>
      </w:r>
    </w:p>
    <w:p w14:paraId="686293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(1941-42 г.)- военинженер 1р Е.И. Дремух, (1968-97 г.-)- А.И. Фальчевскии. Гендиректор (2002 г.)- А.С. Дацков, (2005 г.)- В.А. Березовский.</w:t>
      </w:r>
    </w:p>
    <w:p w14:paraId="28BFC1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Зам. гендиректора по производству и ВЭД (2002 г.)-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Аршинин.</w:t>
      </w:r>
    </w:p>
    <w:p w14:paraId="5F73F3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(1941 г.-)- А.И. Некрасов, (2002 г.)- В.А. Березовский.</w:t>
      </w:r>
    </w:p>
    <w:p w14:paraId="7E6300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автоматизированная приводная аэродромная радиостанция ПАР-10 (-2002-06-); оборудование для телевидения и радиовещания (автоматизированные телевизионные радиостанции </w:t>
      </w:r>
      <w:r w:rsidRPr="00640820">
        <w:rPr>
          <w:rFonts w:ascii="Times New Roman" w:hAnsi="Times New Roman"/>
          <w:color w:val="000000" w:themeColor="text1"/>
          <w:sz w:val="16"/>
          <w:szCs w:val="16"/>
          <w:lang w:val="en-US"/>
        </w:rPr>
        <w:t>MB</w:t>
      </w:r>
      <w:r w:rsidRPr="00640820">
        <w:rPr>
          <w:rFonts w:ascii="Times New Roman" w:hAnsi="Times New Roman"/>
          <w:color w:val="000000" w:themeColor="text1"/>
          <w:sz w:val="16"/>
          <w:szCs w:val="16"/>
        </w:rPr>
        <w:t xml:space="preserve"> и ДМВ диапазона; всеволновые радиоприемники «Ольхо-Гелиос-215», «Ольхон-Гелиос-М» (2005); радиоприемник ДВ-СВ-КВ-УКВ диапазонов «Скаляр» (2005); судовая радиостанция «Бирюза»; портативная радиостанция «Охта»; приемно- передающие устройства ПТ-100, ПВ-100; «Артек-Сириус» Р-170В; изд. Р-788, прибор 1-ОМ; комплект диагностики электрического и спецоборудования танка для Т-72, Т-80 (2005); оборудование для пищевой промышленности; газовое отопительное оборудование; телевизоры: «Спутник» (1959-), «Спутник-61», «Снежок», «Снежок-301, -302», «Кварц», «Кварц-301, -302, -303, -306, 40ТБ-308, 40ТБ-401, Ц-202»; радиоприемники: «Блюз РП-201», «Кварц РП-201»; репродуктор «Кварц-301» (11982).</w:t>
      </w:r>
    </w:p>
    <w:p w14:paraId="370CA5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B3370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27 сентября 1941 г. пост. ГКО № 717с в Омск была эвакуирована часть завода № 513 из Ростова- на-Дону (производство 20-мм гильз и звеньев, 754 ед. оборудования), к 30.12.1941 г. прибыло 119 ед., основная его часть была смонтирована; к 30.01.1942 г. восстановлено производство мощностью: 20-мм гильзы - 4 млн. шт. в год, </w:t>
      </w:r>
      <w:r w:rsidRPr="00640820">
        <w:rPr>
          <w:rFonts w:ascii="Times New Roman" w:hAnsi="Times New Roman"/>
          <w:color w:val="000000" w:themeColor="text1"/>
          <w:sz w:val="16"/>
          <w:szCs w:val="16"/>
        </w:rPr>
        <w:lastRenderedPageBreak/>
        <w:t>звенья: 20-мм - 48 млн. шт., 23-мм - 2 млн. шт. В Омске часть эвакуированного завода получила наименование «завод № 513А». Также на площадку завода № 51 ЗА эвакуирована часть завода № 187 из Тулы (производство звеньев для 7,62-мм и 12,7-мм патронов и 20-, 23-мм снарядов, 359 ед. оборудования, 60 чел.), к 30.12.1941 г. прибыло лишь 98 ед. оборудования. По приказу НКБ № 13 от 23.01.1942 г. в Омске на базе завода № 513 А и эвакуированной части завода № 187 единый завод № 513 НКБ (11982).</w:t>
      </w:r>
    </w:p>
    <w:p w14:paraId="7F73EF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DCA4B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сентября 1941 г. по Постановлению ГКО № 717с на площадку комбината (Комбинат № 319 НКБ, п/я 11, Завод «Коммунар» Росбоеприпаса, ФГУП «Кемеровский завод «Коммунар» /г. Кемерово п/я И «Заря» (1943 г.)/ / г. Кемерово ул. Черемховская, 6/) эвакуированы: завод № 64 НКБ (производство ВВ, цех денитрации кислот и частично цех олеума; всего 285 единиц оборудования, 700 чел.), на 30.12.1941 г. прибыло 245 ед. оборудования, начат его монтаж; производство олеума завода № 20 НКБ (64 единицы оборудования, 28 чел.), на 30.12.1941г-. все оборудование прибыло, начат монтаж.</w:t>
      </w:r>
      <w:r w:rsidRPr="00640820">
        <w:rPr>
          <w:rFonts w:ascii="Times New Roman" w:hAnsi="Times New Roman"/>
          <w:color w:val="000000" w:themeColor="text1"/>
          <w:sz w:val="16"/>
          <w:szCs w:val="16"/>
          <w:vertAlign w:val="superscript"/>
        </w:rPr>
        <w:t>132</w:t>
      </w:r>
      <w:r w:rsidRPr="00640820">
        <w:rPr>
          <w:rFonts w:ascii="Times New Roman" w:hAnsi="Times New Roman"/>
          <w:color w:val="000000" w:themeColor="text1"/>
          <w:sz w:val="16"/>
          <w:szCs w:val="16"/>
        </w:rPr>
        <w:t xml:space="preserve"> По приказу НКБ № 14/620 от 22.10.1941 г. сюда также эвакуирована часть НИИ-6 НКБ.</w:t>
      </w:r>
      <w:r w:rsidRPr="00640820">
        <w:rPr>
          <w:rFonts w:ascii="Times New Roman" w:hAnsi="Times New Roman"/>
          <w:color w:val="000000" w:themeColor="text1"/>
          <w:sz w:val="16"/>
          <w:szCs w:val="16"/>
          <w:vertAlign w:val="superscript"/>
        </w:rPr>
        <w:t>56</w:t>
      </w:r>
    </w:p>
    <w:p w14:paraId="74CB96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Строительство завода закончено в 1942 г. 19.05.1942 г. вышло постановление ГКО № 1774 о восстановлении на заводе производства пикриновой кислоты; 7.06.1943 г. - постановление ГКО № 3528 о срочных мерах по восстановлению на заводе цеха взрывчатых веществ; 5.01.1944 г. - постановление ГКО № 4883 о завершении строительства цеха по производству тетрила. 13.07.1944 г. вышло распоряжение ГКО № 6184 о мерах по обеспечению срочного ремонта и восстановления цеха по производству гексогена.</w:t>
      </w:r>
    </w:p>
    <w:p w14:paraId="4165E6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12.1942 г. - в ведении 1ГУ НКБ. Имел обозначение «п/я 11» (1943 г.).</w:t>
      </w:r>
    </w:p>
    <w:p w14:paraId="7D554C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завода цехи (1943 г.): основные: тротил № 2, гексоген и ТЭН № 8а, «объект 700»; вспомогательные: ремонтно-механический.</w:t>
      </w:r>
    </w:p>
    <w:p w14:paraId="4C6968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Далее - ФГУП «Кемеровский завод «Коммунар», был в 2004 г. В соответствии с пост, правительства № 876-98 от 30.12.2004 г. установлен гособоронзаказ по ликвидации производства ВВ на Кемеровском заводе «Коммунар».</w:t>
      </w:r>
    </w:p>
    <w:p w14:paraId="02D6D5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2008-09 г. предприятие являлось банкротом, имущество выставлено на торги.</w:t>
      </w:r>
    </w:p>
    <w:p w14:paraId="06CDC9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(04.1943 г.): производственная- 9970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вспомогательная- 2410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прочая- 7580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1FBB92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(12.1942 г.)- 1847 чел., (04.1943 г.)- 893 чел.</w:t>
      </w:r>
    </w:p>
    <w:p w14:paraId="79F8D7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(04.1943 г.)- Романов.</w:t>
      </w:r>
    </w:p>
    <w:p w14:paraId="5A6F66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(04.1943 г.)- Адаскин.</w:t>
      </w:r>
    </w:p>
    <w:p w14:paraId="7EAFE8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ВВ: гексоген, ТЭН, тротил (1943) (11982).</w:t>
      </w:r>
    </w:p>
    <w:p w14:paraId="3D859E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A0B9B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сентября 1941 г. в соответствии с пост. ГКО № 717 завод № 73 4ГУ (ГС завод № 73 им. Коваля НКОП, НКБ /г. Сталино/) 1-18.10.1941 г. эвакуирован и выбыл из числа действующих: производство 76-мм и 152-мм снарядов (320 ед. оборудования, 551 чел.) - в Нижний Тагил на завод № 63; производство 76-мм снарядов, ФАБ-100, инструментальный и ремонтный цеха (736 ед. оборудования, 1400 чел.) - в Челябинск на завод № 78; производство 152-мм снарядов (427 ед. оборудования, 477 чел.) - в В. Туру на завод № 72.</w:t>
      </w:r>
    </w:p>
    <w:p w14:paraId="3A4FCF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1943 г. начато восстановление завода на прежнем месте в Сталино. По приказу НКБ № 903с от 22.09.1943 г. заводу присвоен № 110.</w:t>
      </w:r>
    </w:p>
    <w:p w14:paraId="22C50A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(1938 г.)- 7130 чел. (рабочих), (1939 г.)- 7254 чел. (рабочих), (1940 г.)- 8079 чел. (рабочих), (09.1941 г.)- 9600 чел.</w:t>
      </w:r>
      <w:r w:rsidRPr="00640820">
        <w:rPr>
          <w:rFonts w:ascii="Times New Roman" w:hAnsi="Times New Roman"/>
          <w:color w:val="000000" w:themeColor="text1"/>
          <w:sz w:val="16"/>
          <w:szCs w:val="16"/>
          <w:vertAlign w:val="superscript"/>
        </w:rPr>
        <w:t>132</w:t>
      </w:r>
    </w:p>
    <w:p w14:paraId="7C28AA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(-01-22.11.1937 г.)- К.А. Фрондт (снят); и.о. (11.1937 г.)- Мендельбаум; (29.11.1937-2.02.1938 г.)-  Г.Д. Тырышкин, (9.04.1938 г.-)- М.Д. Горшунов.</w:t>
      </w:r>
    </w:p>
    <w:p w14:paraId="3F154C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(06.1937 г.)- С.А. Кушпель.</w:t>
      </w:r>
    </w:p>
    <w:p w14:paraId="2F20CC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(-01-06.1937 г.-&gt; С.А. Кушпель, (19.07.1938 г.-)- Ф.Ф. Кучеренко.</w:t>
      </w:r>
    </w:p>
    <w:p w14:paraId="186490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инженера (01.1937 г.)- Н.А. Сперанский.</w:t>
      </w:r>
    </w:p>
    <w:p w14:paraId="650A43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цилиндры авиационного мотора М-22 (1937) (11982).</w:t>
      </w:r>
    </w:p>
    <w:p w14:paraId="55BDC4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C1C74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сентября 1941 г. комбинат № 144 1ГУ 1-10.10.1941 г. был эвакуирован (109 ед. оборудования, 1055 человек, 205 вагонов) и выбыл из числа действующих: часть - на завод № 114 (снаряжение снарядов среднего калибра, ФАБ-100 и производство суррогатных ВВ, 36 ед. оборудования); часть (снаряжение снарядов среднего калибра, бомб ФАБ-100 и АО, производство суррогатных ВВ, всего 62 ед. оборудования) - в  г. Миасс на площадку ремонтно-механического завода треста «Миассзолото», где создан завод № 611 НКБ; часть (снаряжение снарядов среднего калибра, И ед. оборудования) - на завод № 15; оставшееся оборудование, производственные корпуса и коммуникации были взорваны.</w:t>
      </w:r>
    </w:p>
    <w:p w14:paraId="1A9BFD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Сталино на старом месте по приказу НКБ № 903с от 22.09.1943 г. был организован новый завод № 107 НКБ.</w:t>
      </w:r>
    </w:p>
    <w:p w14:paraId="6D55D9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(1940 г.)- 156 чел. (рабочих), (начало 1941 г.)- более 6000 чел., (09.1941 г.)- 4315 чел.</w:t>
      </w:r>
      <w:r w:rsidRPr="00640820">
        <w:rPr>
          <w:rFonts w:ascii="Times New Roman" w:hAnsi="Times New Roman"/>
          <w:color w:val="000000" w:themeColor="text1"/>
          <w:sz w:val="16"/>
          <w:szCs w:val="16"/>
          <w:vertAlign w:val="superscript"/>
        </w:rPr>
        <w:t>Ь2</w:t>
      </w:r>
    </w:p>
    <w:p w14:paraId="11913E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строительства (-1.02.1937 г.)- Брауде, (1.02.1937 г.-)- М.Т. Наумов (11982).</w:t>
      </w:r>
    </w:p>
    <w:p w14:paraId="0C16A0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B130C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сентября 1941 г. по Постановлению ГКО № 717с на площадку завода № 505 НКХП, вероятно, созданного выделением части Уфимского крекинг-завода в самостоятельное предприятие, была эвакуирована основная часть завода № 20 НКБ из  г. Рубежное (производство ВВ и ксилила, 277 ед. оборудования, 69 чел.), на 30.12.1941 г. в Уфу прибыло 33 единицы оборудования. НКБ ходатайствовало перед СНК о передаче химического цеха Уфимского-крекинг завода в НКБ для организации производства пикриновой кислоты к 1.04.1942 г. (11982).</w:t>
      </w:r>
    </w:p>
    <w:p w14:paraId="04C0D5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4C8F7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сентября 1941 года гл. конструктор завода N 145 им. С.М. Кирова Картуков писал письмо N 2638с в КО и Шахурину.</w:t>
      </w:r>
    </w:p>
    <w:p w14:paraId="5CC498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целях более эффективной борьбы с бронетанковыми частями противника Опытно-конструкторским бюро завода N 145 - НКАП под моим руководством в порядке инициативы разработан наземный ампуломет.</w:t>
      </w:r>
    </w:p>
    <w:p w14:paraId="7D2690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Ампуломет рассчитан на поражение частей противника стоящими на вооружении огнесмесями путем метания их прямой наводкой по движущимся объектам в ранее разработанных нашим ОКБ ампулах - АЖ-2, принятых на вооружения ВВС.</w:t>
      </w:r>
    </w:p>
    <w:p w14:paraId="4B8C94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Проведенные нами опыты на изготовленных образцах показали значительное преимущество данного способа борьбы по сравнению с метанием горючей смеси в бутылках и кроме того в случае необходимости ампуломет может быть использован для поражения тех же целей химическими веществами. ампуломет является простым и дешевым в изготовлении оружием.</w:t>
      </w:r>
    </w:p>
    <w:p w14:paraId="6B18C9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Прошу Ваших указаний ХИМУ о срочном проведении испытаний вышеуказанного ампуломета и принять соответствующее решение о необходимости ввода его на вооружение.</w:t>
      </w:r>
    </w:p>
    <w:p w14:paraId="3102D3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Приложение: Техническое описание и чертеж ампуломета на 8 листах (2846,270).</w:t>
      </w:r>
    </w:p>
    <w:p w14:paraId="546C62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D0DA91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период с 27 по 28 сентября 1941 г. опытный образец танка КВ-1 с ЗИС-5 (Ф-34), изготовленный в един</w:t>
      </w:r>
      <w:r w:rsidRPr="00640820">
        <w:rPr>
          <w:rFonts w:ascii="Times New Roman" w:hAnsi="Times New Roman"/>
          <w:color w:val="000000" w:themeColor="text1"/>
          <w:sz w:val="16"/>
          <w:szCs w:val="16"/>
        </w:rPr>
        <w:softHyphen/>
        <w:t>ственном экземпляре, прошел испы</w:t>
      </w:r>
      <w:r w:rsidRPr="00640820">
        <w:rPr>
          <w:rFonts w:ascii="Times New Roman" w:hAnsi="Times New Roman"/>
          <w:color w:val="000000" w:themeColor="text1"/>
          <w:sz w:val="16"/>
          <w:szCs w:val="16"/>
        </w:rPr>
        <w:softHyphen/>
        <w:t>тания на полигоне учебного отдельного танкового батальона в Челя</w:t>
      </w:r>
      <w:r w:rsidRPr="00640820">
        <w:rPr>
          <w:rFonts w:ascii="Times New Roman" w:hAnsi="Times New Roman"/>
          <w:color w:val="000000" w:themeColor="text1"/>
          <w:sz w:val="16"/>
          <w:szCs w:val="16"/>
        </w:rPr>
        <w:softHyphen/>
        <w:t>бинске, по результатам которых в октябре 1941 г. пушка ЗИС-5 (Ф-34) была принята на вооружение для танка КВ-1 обр. 1941 г. Опытный образец машины был создан на базе опытного танка КВ-1 с пушкой ЗИС-5 (Ф-22) и отличался от него установкой новой пушки. Вооружение танка состояло из 76,2-мм пушки ЗИС-5 (Ф-34) и трех 7,62-мм пулеметов ДТ. Один пулемет был спарен с пушкой, второй ус</w:t>
      </w:r>
      <w:r w:rsidRPr="00640820">
        <w:rPr>
          <w:rFonts w:ascii="Times New Roman" w:hAnsi="Times New Roman"/>
          <w:color w:val="000000" w:themeColor="text1"/>
          <w:sz w:val="16"/>
          <w:szCs w:val="16"/>
        </w:rPr>
        <w:softHyphen/>
        <w:t>танавливался в шаровой опоре в кормовом листе башни, третий - запас</w:t>
      </w:r>
      <w:r w:rsidRPr="00640820">
        <w:rPr>
          <w:rFonts w:ascii="Times New Roman" w:hAnsi="Times New Roman"/>
          <w:color w:val="000000" w:themeColor="text1"/>
          <w:sz w:val="16"/>
          <w:szCs w:val="16"/>
        </w:rPr>
        <w:softHyphen/>
        <w:t>ной, укладывался в боевом отделении (10703).</w:t>
      </w:r>
    </w:p>
    <w:p w14:paraId="701BD5F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серийных танков КВ в годы Великой Отечественной войны</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682"/>
        <w:gridCol w:w="710"/>
        <w:gridCol w:w="586"/>
        <w:gridCol w:w="557"/>
        <w:gridCol w:w="566"/>
        <w:gridCol w:w="586"/>
        <w:gridCol w:w="557"/>
        <w:gridCol w:w="566"/>
        <w:gridCol w:w="586"/>
        <w:gridCol w:w="662"/>
        <w:gridCol w:w="624"/>
        <w:gridCol w:w="605"/>
        <w:gridCol w:w="576"/>
        <w:gridCol w:w="499"/>
        <w:gridCol w:w="1037"/>
      </w:tblGrid>
      <w:tr w:rsidR="00643896" w:rsidRPr="00640820" w14:paraId="497E69F0" w14:textId="77777777" w:rsidTr="000D3BCB">
        <w:trPr>
          <w:trHeight w:val="576"/>
        </w:trPr>
        <w:tc>
          <w:tcPr>
            <w:tcW w:w="682" w:type="dxa"/>
            <w:tcBorders>
              <w:top w:val="single" w:sz="12" w:space="0" w:color="auto"/>
            </w:tcBorders>
          </w:tcPr>
          <w:p w14:paraId="76EBD73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Год</w:t>
            </w:r>
          </w:p>
        </w:tc>
        <w:tc>
          <w:tcPr>
            <w:tcW w:w="710" w:type="dxa"/>
            <w:tcBorders>
              <w:top w:val="single" w:sz="12" w:space="0" w:color="auto"/>
            </w:tcBorders>
          </w:tcPr>
          <w:p w14:paraId="50AD4B0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Марка танка (завод)</w:t>
            </w:r>
          </w:p>
        </w:tc>
        <w:tc>
          <w:tcPr>
            <w:tcW w:w="6970" w:type="dxa"/>
            <w:gridSpan w:val="12"/>
            <w:tcBorders>
              <w:top w:val="single" w:sz="12" w:space="0" w:color="auto"/>
            </w:tcBorders>
          </w:tcPr>
          <w:p w14:paraId="2325105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Месяцы</w:t>
            </w:r>
          </w:p>
        </w:tc>
        <w:tc>
          <w:tcPr>
            <w:tcW w:w="1037" w:type="dxa"/>
            <w:tcBorders>
              <w:top w:val="single" w:sz="12" w:space="0" w:color="auto"/>
            </w:tcBorders>
          </w:tcPr>
          <w:p w14:paraId="5FF15CB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w:t>
            </w:r>
          </w:p>
        </w:tc>
      </w:tr>
      <w:tr w:rsidR="00643896" w:rsidRPr="00640820" w14:paraId="2057C70E" w14:textId="77777777" w:rsidTr="000D3BCB">
        <w:trPr>
          <w:trHeight w:val="336"/>
        </w:trPr>
        <w:tc>
          <w:tcPr>
            <w:tcW w:w="682" w:type="dxa"/>
          </w:tcPr>
          <w:p w14:paraId="11B302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1B6F86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2096235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w:t>
            </w:r>
          </w:p>
        </w:tc>
        <w:tc>
          <w:tcPr>
            <w:tcW w:w="557" w:type="dxa"/>
          </w:tcPr>
          <w:p w14:paraId="3AD6333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II</w:t>
            </w:r>
          </w:p>
        </w:tc>
        <w:tc>
          <w:tcPr>
            <w:tcW w:w="566" w:type="dxa"/>
          </w:tcPr>
          <w:p w14:paraId="4676CB4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III</w:t>
            </w:r>
          </w:p>
        </w:tc>
        <w:tc>
          <w:tcPr>
            <w:tcW w:w="586" w:type="dxa"/>
          </w:tcPr>
          <w:p w14:paraId="5661FD0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IV</w:t>
            </w:r>
          </w:p>
        </w:tc>
        <w:tc>
          <w:tcPr>
            <w:tcW w:w="557" w:type="dxa"/>
          </w:tcPr>
          <w:p w14:paraId="0835986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V</w:t>
            </w:r>
          </w:p>
        </w:tc>
        <w:tc>
          <w:tcPr>
            <w:tcW w:w="566" w:type="dxa"/>
          </w:tcPr>
          <w:p w14:paraId="0B24F94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VI</w:t>
            </w:r>
          </w:p>
        </w:tc>
        <w:tc>
          <w:tcPr>
            <w:tcW w:w="586" w:type="dxa"/>
          </w:tcPr>
          <w:p w14:paraId="247C837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VII</w:t>
            </w:r>
          </w:p>
        </w:tc>
        <w:tc>
          <w:tcPr>
            <w:tcW w:w="662" w:type="dxa"/>
          </w:tcPr>
          <w:p w14:paraId="57CC688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VIII</w:t>
            </w:r>
          </w:p>
        </w:tc>
        <w:tc>
          <w:tcPr>
            <w:tcW w:w="624" w:type="dxa"/>
          </w:tcPr>
          <w:p w14:paraId="57D336B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IX</w:t>
            </w:r>
          </w:p>
        </w:tc>
        <w:tc>
          <w:tcPr>
            <w:tcW w:w="605" w:type="dxa"/>
          </w:tcPr>
          <w:p w14:paraId="5CE720B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X</w:t>
            </w:r>
          </w:p>
        </w:tc>
        <w:tc>
          <w:tcPr>
            <w:tcW w:w="576" w:type="dxa"/>
          </w:tcPr>
          <w:p w14:paraId="29DEC73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XI</w:t>
            </w:r>
          </w:p>
        </w:tc>
        <w:tc>
          <w:tcPr>
            <w:tcW w:w="499" w:type="dxa"/>
          </w:tcPr>
          <w:p w14:paraId="628DBF2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XII</w:t>
            </w:r>
          </w:p>
        </w:tc>
        <w:tc>
          <w:tcPr>
            <w:tcW w:w="1037" w:type="dxa"/>
          </w:tcPr>
          <w:p w14:paraId="72EA44A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EFA4354" w14:textId="77777777" w:rsidTr="000D3BCB">
        <w:trPr>
          <w:trHeight w:val="739"/>
        </w:trPr>
        <w:tc>
          <w:tcPr>
            <w:tcW w:w="682" w:type="dxa"/>
          </w:tcPr>
          <w:p w14:paraId="627C339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w:t>
            </w:r>
          </w:p>
        </w:tc>
        <w:tc>
          <w:tcPr>
            <w:tcW w:w="710" w:type="dxa"/>
          </w:tcPr>
          <w:p w14:paraId="51D3D09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КВ-1 (ЛКЗ) КВ-1 (ЧКЗ)</w:t>
            </w:r>
          </w:p>
        </w:tc>
        <w:tc>
          <w:tcPr>
            <w:tcW w:w="586" w:type="dxa"/>
          </w:tcPr>
          <w:p w14:paraId="45F7100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57" w:type="dxa"/>
          </w:tcPr>
          <w:p w14:paraId="322F5D4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6" w:type="dxa"/>
          </w:tcPr>
          <w:p w14:paraId="5E191F4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86" w:type="dxa"/>
          </w:tcPr>
          <w:p w14:paraId="04D1445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57" w:type="dxa"/>
          </w:tcPr>
          <w:p w14:paraId="6B370F1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6" w:type="dxa"/>
          </w:tcPr>
          <w:p w14:paraId="3A4A2D7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86" w:type="dxa"/>
          </w:tcPr>
          <w:p w14:paraId="4ABECE8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153</w:t>
            </w:r>
          </w:p>
          <w:p w14:paraId="1505CF8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F780F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w:t>
            </w:r>
          </w:p>
        </w:tc>
        <w:tc>
          <w:tcPr>
            <w:tcW w:w="662" w:type="dxa"/>
          </w:tcPr>
          <w:p w14:paraId="241BD83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180</w:t>
            </w:r>
          </w:p>
          <w:p w14:paraId="5B43080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96ED8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w:t>
            </w:r>
          </w:p>
        </w:tc>
        <w:tc>
          <w:tcPr>
            <w:tcW w:w="624" w:type="dxa"/>
          </w:tcPr>
          <w:p w14:paraId="7A22FB6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81</w:t>
            </w:r>
          </w:p>
          <w:p w14:paraId="2B129FF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8EA30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w:t>
            </w:r>
          </w:p>
        </w:tc>
        <w:tc>
          <w:tcPr>
            <w:tcW w:w="605" w:type="dxa"/>
          </w:tcPr>
          <w:p w14:paraId="6F10885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p w14:paraId="684BAB8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FF405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62</w:t>
            </w:r>
          </w:p>
        </w:tc>
        <w:tc>
          <w:tcPr>
            <w:tcW w:w="576" w:type="dxa"/>
          </w:tcPr>
          <w:p w14:paraId="10551B1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156</w:t>
            </w:r>
          </w:p>
        </w:tc>
        <w:tc>
          <w:tcPr>
            <w:tcW w:w="499" w:type="dxa"/>
          </w:tcPr>
          <w:p w14:paraId="2BFCD2A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190</w:t>
            </w:r>
          </w:p>
        </w:tc>
        <w:tc>
          <w:tcPr>
            <w:tcW w:w="1037" w:type="dxa"/>
          </w:tcPr>
          <w:p w14:paraId="1D2A9C0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444</w:t>
            </w:r>
          </w:p>
          <w:p w14:paraId="06B06AF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048F4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486</w:t>
            </w:r>
          </w:p>
        </w:tc>
      </w:tr>
      <w:tr w:rsidR="00643896" w:rsidRPr="00640820" w14:paraId="4569F52A" w14:textId="77777777" w:rsidTr="000D3BCB">
        <w:trPr>
          <w:trHeight w:val="442"/>
        </w:trPr>
        <w:tc>
          <w:tcPr>
            <w:tcW w:w="682" w:type="dxa"/>
          </w:tcPr>
          <w:p w14:paraId="61F5DCD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1942</w:t>
            </w:r>
          </w:p>
        </w:tc>
        <w:tc>
          <w:tcPr>
            <w:tcW w:w="710" w:type="dxa"/>
          </w:tcPr>
          <w:p w14:paraId="3026BAC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КВ-1 (ЧКЗ)</w:t>
            </w:r>
          </w:p>
        </w:tc>
        <w:tc>
          <w:tcPr>
            <w:tcW w:w="586" w:type="dxa"/>
          </w:tcPr>
          <w:p w14:paraId="58D7B8A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216</w:t>
            </w:r>
          </w:p>
        </w:tc>
        <w:tc>
          <w:tcPr>
            <w:tcW w:w="557" w:type="dxa"/>
          </w:tcPr>
          <w:p w14:paraId="66D4F65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262/2</w:t>
            </w:r>
          </w:p>
        </w:tc>
        <w:tc>
          <w:tcPr>
            <w:tcW w:w="566" w:type="dxa"/>
          </w:tcPr>
          <w:p w14:paraId="12FBC04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250</w:t>
            </w:r>
          </w:p>
        </w:tc>
        <w:tc>
          <w:tcPr>
            <w:tcW w:w="586" w:type="dxa"/>
          </w:tcPr>
          <w:p w14:paraId="5F0D092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260/22</w:t>
            </w:r>
          </w:p>
        </w:tc>
        <w:tc>
          <w:tcPr>
            <w:tcW w:w="557" w:type="dxa"/>
          </w:tcPr>
          <w:p w14:paraId="1224624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325/26</w:t>
            </w:r>
          </w:p>
        </w:tc>
        <w:tc>
          <w:tcPr>
            <w:tcW w:w="566" w:type="dxa"/>
          </w:tcPr>
          <w:p w14:paraId="18DAFA1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287/13</w:t>
            </w:r>
          </w:p>
        </w:tc>
        <w:tc>
          <w:tcPr>
            <w:tcW w:w="586" w:type="dxa"/>
          </w:tcPr>
          <w:p w14:paraId="23B9E67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132/18</w:t>
            </w:r>
          </w:p>
        </w:tc>
        <w:tc>
          <w:tcPr>
            <w:tcW w:w="662" w:type="dxa"/>
          </w:tcPr>
          <w:p w14:paraId="2DCBBC2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70/21</w:t>
            </w:r>
          </w:p>
        </w:tc>
        <w:tc>
          <w:tcPr>
            <w:tcW w:w="624" w:type="dxa"/>
          </w:tcPr>
          <w:p w14:paraId="7BFDD1D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05" w:type="dxa"/>
          </w:tcPr>
          <w:p w14:paraId="5369509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76" w:type="dxa"/>
          </w:tcPr>
          <w:p w14:paraId="0A44D4E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499" w:type="dxa"/>
          </w:tcPr>
          <w:p w14:paraId="0DA91A1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037" w:type="dxa"/>
          </w:tcPr>
          <w:p w14:paraId="2B5A61E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1802/102</w:t>
            </w:r>
          </w:p>
        </w:tc>
      </w:tr>
      <w:tr w:rsidR="00643896" w:rsidRPr="00640820" w14:paraId="3CDB07FD" w14:textId="77777777" w:rsidTr="000D3BCB">
        <w:trPr>
          <w:trHeight w:val="422"/>
        </w:trPr>
        <w:tc>
          <w:tcPr>
            <w:tcW w:w="682" w:type="dxa"/>
          </w:tcPr>
          <w:p w14:paraId="0CEF32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4F7E08C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КВ-1 С (ЧКЗ)</w:t>
            </w:r>
          </w:p>
        </w:tc>
        <w:tc>
          <w:tcPr>
            <w:tcW w:w="586" w:type="dxa"/>
          </w:tcPr>
          <w:p w14:paraId="31233CE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57" w:type="dxa"/>
          </w:tcPr>
          <w:p w14:paraId="2FE4C48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6" w:type="dxa"/>
          </w:tcPr>
          <w:p w14:paraId="76557CD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86" w:type="dxa"/>
          </w:tcPr>
          <w:p w14:paraId="48A3043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57" w:type="dxa"/>
          </w:tcPr>
          <w:p w14:paraId="30E6AAF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6" w:type="dxa"/>
          </w:tcPr>
          <w:p w14:paraId="1C38D96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86" w:type="dxa"/>
          </w:tcPr>
          <w:p w14:paraId="4BF86BC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62" w:type="dxa"/>
          </w:tcPr>
          <w:p w14:paraId="144B8FB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34</w:t>
            </w:r>
          </w:p>
        </w:tc>
        <w:tc>
          <w:tcPr>
            <w:tcW w:w="624" w:type="dxa"/>
          </w:tcPr>
          <w:p w14:paraId="31D4C12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174/6</w:t>
            </w:r>
          </w:p>
        </w:tc>
        <w:tc>
          <w:tcPr>
            <w:tcW w:w="605" w:type="dxa"/>
          </w:tcPr>
          <w:p w14:paraId="4A021FE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166/9</w:t>
            </w:r>
          </w:p>
        </w:tc>
        <w:tc>
          <w:tcPr>
            <w:tcW w:w="576" w:type="dxa"/>
          </w:tcPr>
          <w:p w14:paraId="4E8E9FA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125/10</w:t>
            </w:r>
          </w:p>
        </w:tc>
        <w:tc>
          <w:tcPr>
            <w:tcW w:w="499" w:type="dxa"/>
          </w:tcPr>
          <w:p w14:paraId="508EE4F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125</w:t>
            </w:r>
          </w:p>
        </w:tc>
        <w:tc>
          <w:tcPr>
            <w:tcW w:w="1037" w:type="dxa"/>
          </w:tcPr>
          <w:p w14:paraId="14F2ACC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624/25</w:t>
            </w:r>
          </w:p>
        </w:tc>
      </w:tr>
      <w:tr w:rsidR="00643896" w:rsidRPr="00640820" w14:paraId="708B2499" w14:textId="77777777" w:rsidTr="000D3BCB">
        <w:trPr>
          <w:trHeight w:val="384"/>
        </w:trPr>
        <w:tc>
          <w:tcPr>
            <w:tcW w:w="682" w:type="dxa"/>
          </w:tcPr>
          <w:p w14:paraId="39CE498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1943</w:t>
            </w:r>
          </w:p>
        </w:tc>
        <w:tc>
          <w:tcPr>
            <w:tcW w:w="710" w:type="dxa"/>
          </w:tcPr>
          <w:p w14:paraId="39E6B67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КВ-1 С (ЧКЗ)</w:t>
            </w:r>
          </w:p>
        </w:tc>
        <w:tc>
          <w:tcPr>
            <w:tcW w:w="586" w:type="dxa"/>
          </w:tcPr>
          <w:p w14:paraId="62F32D4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93/7</w:t>
            </w:r>
          </w:p>
        </w:tc>
        <w:tc>
          <w:tcPr>
            <w:tcW w:w="557" w:type="dxa"/>
          </w:tcPr>
          <w:p w14:paraId="261CD72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72/3</w:t>
            </w:r>
          </w:p>
        </w:tc>
        <w:tc>
          <w:tcPr>
            <w:tcW w:w="566" w:type="dxa"/>
          </w:tcPr>
          <w:p w14:paraId="3B76F59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53</w:t>
            </w:r>
          </w:p>
        </w:tc>
        <w:tc>
          <w:tcPr>
            <w:tcW w:w="586" w:type="dxa"/>
          </w:tcPr>
          <w:p w14:paraId="5DB9914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w:t>
            </w:r>
          </w:p>
        </w:tc>
        <w:tc>
          <w:tcPr>
            <w:tcW w:w="557" w:type="dxa"/>
          </w:tcPr>
          <w:p w14:paraId="33082E2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75</w:t>
            </w:r>
          </w:p>
        </w:tc>
        <w:tc>
          <w:tcPr>
            <w:tcW w:w="566" w:type="dxa"/>
          </w:tcPr>
          <w:p w14:paraId="5BE09A8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c>
          <w:tcPr>
            <w:tcW w:w="586" w:type="dxa"/>
          </w:tcPr>
          <w:p w14:paraId="5295755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52</w:t>
            </w:r>
          </w:p>
        </w:tc>
        <w:tc>
          <w:tcPr>
            <w:tcW w:w="662" w:type="dxa"/>
          </w:tcPr>
          <w:p w14:paraId="4AC2DF2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w:t>
            </w:r>
          </w:p>
        </w:tc>
        <w:tc>
          <w:tcPr>
            <w:tcW w:w="624" w:type="dxa"/>
          </w:tcPr>
          <w:p w14:paraId="30F7812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05" w:type="dxa"/>
          </w:tcPr>
          <w:p w14:paraId="2222B8E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76" w:type="dxa"/>
          </w:tcPr>
          <w:p w14:paraId="291BE91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2ECA885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Pr>
          <w:p w14:paraId="2ADCB7F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459/10</w:t>
            </w:r>
          </w:p>
        </w:tc>
      </w:tr>
      <w:tr w:rsidR="00643896" w:rsidRPr="00640820" w14:paraId="395DFFA9" w14:textId="77777777" w:rsidTr="000D3BCB">
        <w:trPr>
          <w:trHeight w:val="374"/>
        </w:trPr>
        <w:tc>
          <w:tcPr>
            <w:tcW w:w="682" w:type="dxa"/>
          </w:tcPr>
          <w:p w14:paraId="2507EA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3BBE35D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КВ-85 (ЧКЗ)</w:t>
            </w:r>
          </w:p>
        </w:tc>
        <w:tc>
          <w:tcPr>
            <w:tcW w:w="586" w:type="dxa"/>
          </w:tcPr>
          <w:p w14:paraId="0B24FE7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57" w:type="dxa"/>
          </w:tcPr>
          <w:p w14:paraId="2542979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6" w:type="dxa"/>
          </w:tcPr>
          <w:p w14:paraId="06BD269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86" w:type="dxa"/>
          </w:tcPr>
          <w:p w14:paraId="217F0A7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57" w:type="dxa"/>
          </w:tcPr>
          <w:p w14:paraId="21C117E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6" w:type="dxa"/>
          </w:tcPr>
          <w:p w14:paraId="07BEB3E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86" w:type="dxa"/>
          </w:tcPr>
          <w:p w14:paraId="3A07E36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62" w:type="dxa"/>
          </w:tcPr>
          <w:p w14:paraId="5BACD63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w:t>
            </w:r>
          </w:p>
        </w:tc>
        <w:tc>
          <w:tcPr>
            <w:tcW w:w="624" w:type="dxa"/>
          </w:tcPr>
          <w:p w14:paraId="10A3D5D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63</w:t>
            </w:r>
          </w:p>
        </w:tc>
        <w:tc>
          <w:tcPr>
            <w:tcW w:w="605" w:type="dxa"/>
          </w:tcPr>
          <w:p w14:paraId="784FD10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63</w:t>
            </w:r>
          </w:p>
        </w:tc>
        <w:tc>
          <w:tcPr>
            <w:tcW w:w="576" w:type="dxa"/>
          </w:tcPr>
          <w:p w14:paraId="2913DD2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499" w:type="dxa"/>
          </w:tcPr>
          <w:p w14:paraId="7A17FDB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037" w:type="dxa"/>
          </w:tcPr>
          <w:p w14:paraId="056CC8B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148</w:t>
            </w:r>
          </w:p>
        </w:tc>
      </w:tr>
      <w:tr w:rsidR="00643896" w:rsidRPr="00640820" w14:paraId="7052DFBD" w14:textId="77777777" w:rsidTr="000D3BCB">
        <w:trPr>
          <w:trHeight w:val="221"/>
        </w:trPr>
        <w:tc>
          <w:tcPr>
            <w:tcW w:w="1392" w:type="dxa"/>
            <w:gridSpan w:val="2"/>
            <w:tcBorders>
              <w:bottom w:val="single" w:sz="12" w:space="0" w:color="auto"/>
            </w:tcBorders>
          </w:tcPr>
          <w:p w14:paraId="6625B9A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Итого</w:t>
            </w:r>
          </w:p>
        </w:tc>
        <w:tc>
          <w:tcPr>
            <w:tcW w:w="6970" w:type="dxa"/>
            <w:gridSpan w:val="12"/>
            <w:tcBorders>
              <w:bottom w:val="single" w:sz="12" w:space="0" w:color="auto"/>
            </w:tcBorders>
          </w:tcPr>
          <w:p w14:paraId="5051266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bottom w:val="single" w:sz="12" w:space="0" w:color="auto"/>
            </w:tcBorders>
          </w:tcPr>
          <w:p w14:paraId="543AD6E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3963/137</w:t>
            </w:r>
          </w:p>
        </w:tc>
      </w:tr>
    </w:tbl>
    <w:p w14:paraId="365E399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(10703).</w:t>
      </w:r>
    </w:p>
    <w:p w14:paraId="57D521D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80EF5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и 28 сентября 1941 г. танк КВ с пушкой ЗИС-5 (Ф-22) прошел испытания на полиго</w:t>
      </w:r>
      <w:r w:rsidRPr="00640820">
        <w:rPr>
          <w:rFonts w:ascii="Times New Roman" w:hAnsi="Times New Roman"/>
          <w:color w:val="000000" w:themeColor="text1"/>
          <w:sz w:val="16"/>
          <w:szCs w:val="16"/>
        </w:rPr>
        <w:softHyphen/>
        <w:t>не учебного отдельного танкового батальона в г. Челябинске, по резуль</w:t>
      </w:r>
      <w:r w:rsidRPr="00640820">
        <w:rPr>
          <w:rFonts w:ascii="Times New Roman" w:hAnsi="Times New Roman"/>
          <w:color w:val="000000" w:themeColor="text1"/>
          <w:sz w:val="16"/>
          <w:szCs w:val="16"/>
        </w:rPr>
        <w:softHyphen/>
        <w:t>татам которых в октябре 1941 г. пушка ЗИС-5 (Ф-34) была принята на вооружение и она стала устанавливаться в серийные танки КВ-1 (10703).</w:t>
      </w:r>
    </w:p>
    <w:p w14:paraId="3B6B484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BFC9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сентября 1941 вышло Постановление ГКО № 718 О тов. Пронине А.М. РГАНИР, Фонд ГКО, д. 10, лл. 100 (11012).</w:t>
      </w:r>
    </w:p>
    <w:p w14:paraId="619EE5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7DB8669" w14:textId="77777777" w:rsidR="00A574B0" w:rsidRPr="00640820" w:rsidRDefault="00A574B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сентября 1941 г.</w:t>
      </w:r>
    </w:p>
    <w:p w14:paraId="2BC043D6" w14:textId="77777777" w:rsidR="00A574B0" w:rsidRPr="00640820" w:rsidRDefault="00A574B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Протоколы заседаний бюро Ленинградского городского комитета ВКП(б)</w:t>
      </w:r>
    </w:p>
    <w:p w14:paraId="09F72C7B" w14:textId="77777777" w:rsidR="00A574B0" w:rsidRPr="00640820" w:rsidRDefault="00A574B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27 сентября 1941 г.</w:t>
      </w:r>
    </w:p>
    <w:p w14:paraId="6A7225F3" w14:textId="77777777" w:rsidR="00A574B0" w:rsidRPr="00640820" w:rsidRDefault="00A574B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104гс. — О программе производства минометов на предприятиях г. Ленинграда (особая папка).</w:t>
      </w:r>
    </w:p>
    <w:p w14:paraId="3826CF1E" w14:textId="77777777" w:rsidR="00A574B0" w:rsidRPr="00640820" w:rsidRDefault="00A574B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исполнение директивы тов. Сталина И. В. решения ГКО от 26/XI–41 г. бюро Ленинградского горкома ВКП(б) постановляет утвердить программу производства минометов в следующем количестве:</w:t>
      </w:r>
    </w:p>
    <w:p w14:paraId="43E484B2" w14:textId="77777777" w:rsidR="00A574B0" w:rsidRPr="00640820" w:rsidRDefault="00A574B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Завод № 194 (директор т. Лебедев) — 450 штук батальонных 82 мм минометов.</w:t>
      </w:r>
    </w:p>
    <w:p w14:paraId="30C36F7D" w14:textId="77777777" w:rsidR="00A574B0" w:rsidRPr="00640820" w:rsidRDefault="00A574B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Завод № 189 (директор т. Товстых) — 350 шт. батальонных 82 мм минометов.</w:t>
      </w:r>
    </w:p>
    <w:p w14:paraId="5498EB8C" w14:textId="77777777" w:rsidR="00A574B0" w:rsidRPr="00640820" w:rsidRDefault="00A574B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Завод № 103 (директор т. Николаев) — 210 шт. батальонных 82 мм минометов.</w:t>
      </w:r>
    </w:p>
    <w:p w14:paraId="09912B3C" w14:textId="77777777" w:rsidR="00A574B0" w:rsidRPr="00640820" w:rsidRDefault="00A574B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Завод № 7 им. Фрунзе (директор т. Калистратов) — 450 шт. 120 мм минометов.</w:t>
      </w:r>
    </w:p>
    <w:p w14:paraId="21345A51" w14:textId="77777777" w:rsidR="00A574B0" w:rsidRPr="00640820" w:rsidRDefault="00A574B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Завод им. Энгельса (т. Боярский) — 1600 шт. ротных 50 мм минометов.</w:t>
      </w:r>
    </w:p>
    <w:p w14:paraId="70798DC5" w14:textId="77777777" w:rsidR="00A574B0" w:rsidRPr="00640820" w:rsidRDefault="00A574B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Завод им. К. Маркса (т. Клавсуть) — 300 шт. батальонных 82 мм минометов.</w:t>
      </w:r>
    </w:p>
    <w:p w14:paraId="0240AF30" w14:textId="77777777" w:rsidR="00A574B0" w:rsidRPr="00640820" w:rsidRDefault="00A574B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Подписи — Капустин, Кузнецов, Никитин, Попков.</w:t>
      </w:r>
    </w:p>
    <w:p w14:paraId="068D7837" w14:textId="77777777" w:rsidR="00A574B0" w:rsidRPr="00640820" w:rsidRDefault="00A574B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ЦГАИПД СПб. Ф. 25. Оп.2. Д. 157. Л. 31. Карточка опросного голосования. Оригинал, машинопись. Подписи — автографы (19720).</w:t>
      </w:r>
    </w:p>
    <w:p w14:paraId="7C499D29" w14:textId="77777777" w:rsidR="00A574B0" w:rsidRPr="00640820" w:rsidRDefault="00A574B0" w:rsidP="00640820">
      <w:pPr>
        <w:autoSpaceDE w:val="0"/>
        <w:autoSpaceDN w:val="0"/>
        <w:adjustRightInd w:val="0"/>
        <w:spacing w:after="0" w:line="240" w:lineRule="auto"/>
        <w:jc w:val="both"/>
        <w:rPr>
          <w:rFonts w:ascii="Times New Roman" w:hAnsi="Times New Roman"/>
          <w:color w:val="000000" w:themeColor="text1"/>
          <w:sz w:val="16"/>
          <w:szCs w:val="16"/>
        </w:rPr>
      </w:pPr>
    </w:p>
    <w:p w14:paraId="2F1F3428" w14:textId="77777777" w:rsidR="00A574B0" w:rsidRPr="00640820" w:rsidRDefault="00A574B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сентября 1941 г.</w:t>
      </w:r>
    </w:p>
    <w:p w14:paraId="5B20C06A" w14:textId="77777777" w:rsidR="00A574B0" w:rsidRPr="00640820" w:rsidRDefault="00A574B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Протоколы заседаний бюро Ленинградского городского комитета ВКП(б)</w:t>
      </w:r>
    </w:p>
    <w:p w14:paraId="12829334" w14:textId="77777777" w:rsidR="00A574B0" w:rsidRPr="00640820" w:rsidRDefault="00A574B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27 сентября 1941 г.</w:t>
      </w:r>
    </w:p>
    <w:p w14:paraId="3655EC8F" w14:textId="77777777" w:rsidR="00A574B0" w:rsidRPr="00640820" w:rsidRDefault="00A574B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114гс. — О производстве авиабомб на ленинградских заводах (особая папка).</w:t>
      </w:r>
    </w:p>
    <w:p w14:paraId="19610C68" w14:textId="77777777" w:rsidR="00A574B0" w:rsidRPr="00640820" w:rsidRDefault="00A574B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решение Военного Совета Ленинградского Фронта от 21 сентября 1941 г. Бюро Ленинградского ГК ВКП(б) постановляет:</w:t>
      </w:r>
    </w:p>
    <w:p w14:paraId="3B25BF2F" w14:textId="77777777" w:rsidR="00A574B0" w:rsidRPr="00640820" w:rsidRDefault="00A574B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Обязать директоров заводов, перечисленных в приложении № 12, изготовить и сдать на снаряжение корпуса авиабомб заводу № 522 и Всесоюзному Алюминиево-магниевому комбинату.</w:t>
      </w:r>
    </w:p>
    <w:p w14:paraId="322439E7" w14:textId="77777777" w:rsidR="00A574B0" w:rsidRPr="00640820" w:rsidRDefault="00A574B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Обязать директоров завода № 522 т. Малышева и ВАМИ т. Ходыко производить снаряжение авиабомб в количестве, указанном в приложении № 2.</w:t>
      </w:r>
    </w:p>
    <w:p w14:paraId="32CE25DD" w14:textId="77777777" w:rsidR="00A574B0" w:rsidRPr="00640820" w:rsidRDefault="00A574B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Обязать директора завода электрогазовых приборов т. Бабаева организовать производство взрывателей АМБ к зажигательным авиабомбам и АМА к осколочно-фугасным авиабомбам с выпуском в октябре месяце 30 тысяч АМБ и 30 тысяч штук АМА.</w:t>
      </w:r>
    </w:p>
    <w:p w14:paraId="298F6C0C" w14:textId="77777777" w:rsidR="00A574B0" w:rsidRPr="00640820" w:rsidRDefault="00A574B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Обязать директора завода Госметр т. Кукушкина передать заводу электрогазовых приборов станки автоматы индекс 11–36 для производства авиационных взрывателей.</w:t>
      </w:r>
    </w:p>
    <w:p w14:paraId="7E30DD40" w14:textId="77777777" w:rsidR="00A574B0" w:rsidRPr="00640820" w:rsidRDefault="00A574B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Обязать директора завода № 5 т. Агафина организовать производство капсюлей детонаторов АГМ и произвести в октябре месяце снаряжение авиационных взрывателей в количестве 60 тысяч штук.</w:t>
      </w:r>
    </w:p>
    <w:p w14:paraId="33A4D8BC" w14:textId="77777777" w:rsidR="00A574B0" w:rsidRPr="00640820" w:rsidRDefault="00A574B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Разрешить директорам заводов, указанных в приложении № 31 временно приостановить производство авиабомб, переключив свободные мощности на производство других видов боеприпасов, в соответствии с потребностями фронта.</w:t>
      </w:r>
    </w:p>
    <w:p w14:paraId="561B8122" w14:textId="77777777" w:rsidR="00A574B0" w:rsidRPr="00640820" w:rsidRDefault="00A574B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Подписи — Капустин, Кузнецов, Никитин, Попков.</w:t>
      </w:r>
    </w:p>
    <w:p w14:paraId="7835D136" w14:textId="77777777" w:rsidR="00A574B0" w:rsidRPr="00640820" w:rsidRDefault="00A574B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ЦГАИПД СПб. Ф. 25. Оп.2а. Д. 157. Л. 53. Карточка опросного голосования. Оригинал, машинопись. Подписи — автографы (19720).</w:t>
      </w:r>
    </w:p>
    <w:p w14:paraId="43A7F8FB" w14:textId="77777777" w:rsidR="00A574B0" w:rsidRPr="00640820" w:rsidRDefault="00A574B0" w:rsidP="00640820">
      <w:pPr>
        <w:autoSpaceDE w:val="0"/>
        <w:autoSpaceDN w:val="0"/>
        <w:adjustRightInd w:val="0"/>
        <w:spacing w:after="0" w:line="240" w:lineRule="auto"/>
        <w:jc w:val="both"/>
        <w:rPr>
          <w:rFonts w:ascii="Times New Roman" w:hAnsi="Times New Roman"/>
          <w:color w:val="000000" w:themeColor="text1"/>
          <w:sz w:val="16"/>
          <w:szCs w:val="16"/>
        </w:rPr>
      </w:pPr>
    </w:p>
    <w:p w14:paraId="1E079279"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238AE4E8"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27C4D8F"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сентября в 1941 году утреннее сообщение Совинформбюро:</w:t>
      </w:r>
    </w:p>
    <w:p w14:paraId="15B8200C"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27 сентября наши войска вели бои с противником на всём фронте.</w:t>
      </w:r>
    </w:p>
    <w:p w14:paraId="53B22F92"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неполным данным, на подступах к Ленинграду за несколько последних дней уничтожено свыше 4 тысяч немецких солдат и офицеров, 66 вражеских самолётов, 34 танка, свыше 30 орудий, 30 пулемётов, 20 миномётов, до 100 автомашин, много винтовок, автоматов и боеприпасов. На одном из участков Ленинградского фронта противник пытался 25 сентября перейти в наступление, но был отброшен с большими для него потерями. На поле боя осталось более 200 трупов немецких солдат и офицеров.</w:t>
      </w:r>
    </w:p>
    <w:p w14:paraId="75D7CB41"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трёхдневных упорных боях части командира Кривенко, действующие на Северо-Западном направлении фронта, уничтожили первый батальон 6 пехотного полка, второй батальон 3 полка дивизии «СС» и несколько рот противника. В бою убито до 1500 немецких солдат и офицеров, уничтожено 4 танка и несколько противотанковых орудий. Бойцы подразделения захватили у противника 4 противотанковых орудия, 2 миномёта, 3 автомобиля и радиостанцию.</w:t>
      </w:r>
    </w:p>
    <w:p w14:paraId="729D66EF"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Звено бомбардировщиков части майора Щеголеватых совершило успешный налёт на аэродром противника. С высоты 700 метров звено подвергло бомбардировке около 50 немецких самолётов находившихся на аэродроме. Уничтожено и повреждено более 20 самолётов типа «Хейнкель» и «Мессершмитт».</w:t>
      </w:r>
    </w:p>
    <w:p w14:paraId="1B82D570"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Авиация, действующая на Западном направлении фронта, уничтожила за 24 сентября на земле и в воздушных боях 30 немецких самолётов, разбомбила 65 танков, больше 220 автомашин, склад с горючим, разрушила 3 казармы и 2 ангара, подавила 10 зенитных установок и батарею, сожгла железнодорожный состав.</w:t>
      </w:r>
    </w:p>
    <w:p w14:paraId="0542F1D9"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участков Западного направления фронта наши части уничтожили более 300 немецких солдат и офицеров, 17 танков, 16 автомашин, 4 миномёта и 13 пулемётов. Захвачены многочисленные трофеи. В упорном бою на другом участке Западного направления фронта противник потерял 3 танка, 4 танкетки, одну бронемашину и несколько орудий.</w:t>
      </w:r>
    </w:p>
    <w:p w14:paraId="7444C23C"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Каждый день поступают сообщения о беззаветной храбрости советских партизан, наносящих беспощадные удары по фашистским оккупантам. 20 сентября группа партизан из отряда тов. С. совершила налёт на захваченную немцами железнодорожную станцию Днепропетровской области. Партизаны взорвали путевые стрелки и железнодорожный мост. Убито несколько десятков немецких солдат и офицеров.</w:t>
      </w:r>
    </w:p>
    <w:p w14:paraId="0CDC5EAD"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Партизаны карело-финского отряда под командованием тов. Н. взорвали мост через реку и подорвали дорогу через заболоченный участок. Когда раздались взрывы, белофинны начали артиллерийский и миномётный обстрел леса в зоне взорванного участка дороги и моста, но партизаны уже скрылись в безопасном месте. Недавно бойцы отряда подорвали штабную грузовую машину, шедшую под большим конвоем. Истребив конвой, партизаны захватили много оперативных документов. Успешно действует также и партизанский отряд тов. П. За несколько дней партизаны уничтожили четыре белофинских транспорта с солдатами, оружием и боеприпасами. На днях партизаны уничтожили легковую машину с тремя белофинскими офицерами.</w:t>
      </w:r>
    </w:p>
    <w:p w14:paraId="7D28D575"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Бесстрашные советские патриоты, действующие в одиночку, также наносят ощутительные удары немцам. В одной из временно захваченных деревень Ленинградской области фашисты сожгли дом старого колхозника Б., убили его жену и дочь — жену красноармейца. Тов. Б. добыл себе немецкий автомат, ручные гранаты и стал партизанить, скрываясь в лесах и болотах. За две недели тов. Б. ручными гранатами и из автомата уничтожил 16 немецких солдат, 2 мотоциклистов, разведчика и одного офицера.</w:t>
      </w:r>
    </w:p>
    <w:p w14:paraId="2291D5B4"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территорию, занятую Красной Армией, перешла группа жителей г. Черкассы, захваченного немецкими войсками. Вырвавшиеся из фашистского ада советские граждане рассказывают о невероятных зверствах, чинимых фашистами в городе и его окрестностях. Старый рабочий сахарорафинадного завода И.И.Гринько был свидетелем расправы немцев над пятью рабочими завода имени Фрунзе. Офицер из гестапо долго пытал рабочих с целью выведать у них место, где спрятаны заводские машины. «Я видел, как во дворе дома, где агенты гестапо устроили свою канцелярию, горели костры у ног рабочих, подвешенных за руки к деревьям. Фашисты поджаривали рабочих на огне, кололи их раскалёнными прутьями. Не получив ответа, офицер приказал солдатам зарубить несчастных тесаками».</w:t>
      </w:r>
    </w:p>
    <w:p w14:paraId="4FC018F5"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Шофёр санатория для туберкулёзных больных Г.В.Шпунтов и медицинская сестра этого санатория В.И.Ломанова рассказывают о диких сценах, происшедших в санатории. «В санатории к приходу немцев оставалось восемь тяжело больных. Всех их немецкий отряд, прибывший в санаторий, переколол штыками, а трупы бросил в Днепр».</w:t>
      </w:r>
    </w:p>
    <w:p w14:paraId="178A3C2F"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Строго экономя топливо, металл и электроэнергию, трудящиеся дают Красной Армии огромные дополнительные материальные средства для разгрома врага. Коллектив Ревдинского завода, снизив себестоимость продукции, сберег государству в августе 331 тысячу рублей, сэкономил за месяц свыше 218.000 киловаттчасов электроэнергии и 173 тонны топлива. Экипаж нефтевоза «Коллективизация» сэкономил за один месяц 40 тонн топлива и 500 килограммов смазки. Машинисты-паровозники одного из депо Пензенской железной дороги т.т. Кашев и Ларин сберегли в августе свыше 11 тонн топлива, т.т. Лаушкин и Васильев — 30 тонн, т.т. Рябов и Плегин — около 9 тонн. Всего машинисты этого депо сэкономили больше 80 тонн каменного угля. Шахтинская электростанция имени Артёма, улучшив очистку поверхностей нагрева котлов, только за один месяц сэкономила 1.463 тонны топлива. Коллектив Студеневского каменного карьера Воронежской области сократил расход взрывчатых веществ на 18 процентов. Директор Ковровского хлебозавода т. Пронин и механик т. Глухов с начала войны стали применять в качестве топлива опилки. За полтора месяца сэкономлено около 200 тысяч рублей.» (14782).</w:t>
      </w:r>
    </w:p>
    <w:p w14:paraId="2D338E00" w14:textId="77777777" w:rsidR="00E118CB" w:rsidRPr="00640820" w:rsidRDefault="00E118CB" w:rsidP="00640820">
      <w:pPr>
        <w:spacing w:after="0" w:line="240" w:lineRule="auto"/>
        <w:jc w:val="both"/>
        <w:rPr>
          <w:rFonts w:ascii="Times New Roman" w:hAnsi="Times New Roman"/>
          <w:color w:val="000000" w:themeColor="text1"/>
          <w:sz w:val="16"/>
          <w:szCs w:val="16"/>
        </w:rPr>
      </w:pPr>
    </w:p>
    <w:p w14:paraId="2DDB4EF2"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сентября в 1941 году вечернее сообщение Совинформбюро:</w:t>
      </w:r>
    </w:p>
    <w:p w14:paraId="5170758D"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27 сентября наши войска вели бои с противником на всём фронте.</w:t>
      </w:r>
    </w:p>
    <w:p w14:paraId="625A81AE"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25 сентября уничтожено 44 немецких самолёта. Наши потери — 19 самолётов.</w:t>
      </w:r>
    </w:p>
    <w:p w14:paraId="452DD9C9"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Отряд командира Жукова на одном из участков Северо-Западного направления фронта разгромил батальон 392 немецкого полка. В бою убито около 100 и ранено свыше 200 немецких солдат и офицеров, захвачено 850 ящиков мин, 70 тысяч патронов, 40 ящиков ручных гранат, 2 пулемёта, 1 миномёт и штабные документы 392 немецкого пехотного полка. В числе захваченных документов имеется строевая записка другого батальона этого полка, в которой отмечено, что 23 сентября батальон потерял убитыми и ранеными 13 офицеров, 47 унтер-офицеров и 350 солдат.</w:t>
      </w:r>
    </w:p>
    <w:p w14:paraId="0B08CB3D"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 наша авиачасть, действующая на Юго-Западном направлении фронта, за два дня уничтожила 46 танков и более 145 автомашин противника.</w:t>
      </w:r>
    </w:p>
    <w:p w14:paraId="6B69A71E"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участков Северо-Западного направления фронта наши лётчики 24 сентября уничтожили 5 танков, 4 батареи, 5 зенитных установок, 6 бронемашин и 155 автомашин противника, рассеяли до 3 батальонов фашистской пехоты. В воздушных боях сбито 8 немецких самолётов.</w:t>
      </w:r>
    </w:p>
    <w:p w14:paraId="4F3D206F"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захваченных немцами районах Витебской области партизанские отряды добились серьёзных успехов. Партизаны пользуются широкой поддержкой населения, оставшегося в оккупированных городах и сёлах. Жители немедленно сообщают партизанским разведчикам о всех передвижениях германских войск, транспортов и автоколонн. Недавно командиру партизанского отряда тов. Г. крестьяне сообщили, что немцы восстановили автотракторную мастерскую в совхозе и свозят туда повреждённые танки и автомашины для ремонта. Партизаны ночью напали на совхоз, перебили более 20 фашистских солдат и техников, взорвали помещение мастерской и сожгли 24 автомашины и 7 танков.</w:t>
      </w:r>
    </w:p>
    <w:p w14:paraId="771229F2"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Старик крестьянин П. сообщил командиру партизанского отряда, что в их деревню приехали фашистские штурмовики. Вечером немцы согнали на площадь всех женщин и отобрали 20 молодых девушек. Офицер заявил, что они будут отданы в публичные дома для солдат. На утро фашисты посадили девушек в грузовые машины и увезли из деревни. В десяти километрах от деревни автомашины остановились перед большим завалом из брёвен и камней, преграждавшим лесную дорогу. Когда немцы занялись разборкой завала, партизаны выскочили из засады и перебили офицеров и солдат. Все девушки были освобождены.</w:t>
      </w:r>
    </w:p>
    <w:p w14:paraId="0EE03123"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сведениям, полученным от партизанских отрядов и групп только из двух районов Витебской области, за сентябрь месяц партизаны уничтожили более 200 немецких солдат и офицеров, несколько танков, бронемашин и более 40 автомобилей. Захвачено и взорвано 7 обозов с боеприпасами. Взорвано или подожжено 13 цистерн с горючим и 11 мостов.</w:t>
      </w:r>
    </w:p>
    <w:p w14:paraId="49C9C7E2"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числе документов, захваченных нашими частями на Западном направлении фронта, обнаружен дневник немецкого военного священника Эриха Никеля. Автор не лишён наблюдательности. Приводим некоторые выдержки из дневника.</w:t>
      </w:r>
    </w:p>
    <w:p w14:paraId="5D05FD78"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февраля. Прибыл в Намюр. Вечером беседа с лейтенантом Раисе о проблеме актуализации проповедей.</w:t>
      </w:r>
    </w:p>
    <w:p w14:paraId="49D9D2AA"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февраля. Как бесполезно проходит время. С каждым шагом — ближе к смерти. Обед почти несъедобный: бобовый суп, жёсткие бобы и вода.</w:t>
      </w:r>
    </w:p>
    <w:p w14:paraId="44739714"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марта. Мы все голодаем. Чтобы приучить нас к голоду, разок на обед ничего не дали. Ужин заменили бравой выправкой.</w:t>
      </w:r>
    </w:p>
    <w:p w14:paraId="2177B382"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апреля. Служба, служба, служба и слишком мало еды.</w:t>
      </w:r>
    </w:p>
    <w:p w14:paraId="082E4285"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июня. Выступление маршевой команды в Польшу.</w:t>
      </w:r>
    </w:p>
    <w:p w14:paraId="71BA95F2"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июля.Опять поход всю ночь. Настроение, так же как и питание, очень плохое.</w:t>
      </w:r>
    </w:p>
    <w:p w14:paraId="1E175682"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июля. Русские истребили целую роту (199 человек).</w:t>
      </w:r>
    </w:p>
    <w:p w14:paraId="005E7ACB"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июля. Обеда не было.</w:t>
      </w:r>
    </w:p>
    <w:p w14:paraId="43996EC0"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июля. Русские предприняли стремительную и сильную атаку. Мы понесли большие потери. У русских хорошее оружие. Нам не хватает превосходства в воздухе.</w:t>
      </w:r>
    </w:p>
    <w:p w14:paraId="703A8DA5"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августа. В час ночи мы отступили. Потери. С 12 часов сильный артиллерийский огонь. Кажется, что плотина, у которой мы окопались, взлетит на воздух. Просто чудо, что я ещё жив.</w:t>
      </w:r>
    </w:p>
    <w:p w14:paraId="1158EFA0"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августа. Солдаты потеряли бравый вид. Лица измятые, изнурённые. Дисциплина ослабла. Стрелки нехотя идут в атаку.</w:t>
      </w:r>
    </w:p>
    <w:p w14:paraId="1BED8A32"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августа. Страшный, незабываемый день. Для воодушевления солдат, не желающих итти в атаку, пустили в ход пулемёты. Я и раньше слыхал нечто подобное, но не хотел верить этому. Значит, это правда».</w:t>
      </w:r>
    </w:p>
    <w:p w14:paraId="02DB5511"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Трудящиеся Калининской области стахановским трудом укрепляют обороноспособность родины. Одно из крупнейших предприятий области, фабрика имени Ворошилова, систематически перевыполняет план. Ткачихи-стахановки т.т. Кузнецова, Седова, Гордеева, Базанова и Воронова ежедневно дают от 120 до 150 процентов нормы. Намного увеличила выпуск ткани по сравнению с довоенным временем ситценабивная фабрика «Пролетарка». Многие калининские стахановцы в дни Отечественной войны увеличили производительность труда в несколь-ко раз. Кузнец вагоноремонтного пункта тов. Макеев, изготовляя срочный оборонный заказ, выполнял по 8 норм в смену. Стахановец калининского Энского завода тов. Емельянов систематически вырабатывает по 6 норм.</w:t>
      </w:r>
    </w:p>
    <w:p w14:paraId="335B29CB"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Завершая уборку урожая, калининские колхозы боевыми темпами ведут обмолот хлебов и сдают зерно государству. Хорошо проведён сев озимых. В Сандовском районе сверх задания засеяно 600 гектаров, в Овинищенском — 400, в Кимрском — 350.</w:t>
      </w:r>
    </w:p>
    <w:p w14:paraId="4B5F2890"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Трудящиеся области овладевают военным делом. В отрядах народного ополчения и истребительных батальонах состоят десятки тысяч трудящихся области. Ополченцы Энского калининского завода, швейной фабрики им. Володарского, драматического театра и педагогического института хорошо владеют винтовкой, пулемётом, гранатой, изучили приёмы штыкового боя. Все работницы швейной фабрики имени Володарского сдали нормы ПВХО первой ступени. Свыше 200 из них состоят донорами, около 250 обучаются санитарному делу.» (14782).</w:t>
      </w:r>
    </w:p>
    <w:p w14:paraId="1CA408A9" w14:textId="77777777" w:rsidR="00E118CB" w:rsidRPr="00640820" w:rsidRDefault="00E118CB" w:rsidP="00640820">
      <w:pPr>
        <w:spacing w:after="0" w:line="240" w:lineRule="auto"/>
        <w:jc w:val="both"/>
        <w:rPr>
          <w:rFonts w:ascii="Times New Roman" w:hAnsi="Times New Roman"/>
          <w:color w:val="000000" w:themeColor="text1"/>
          <w:sz w:val="16"/>
          <w:szCs w:val="16"/>
        </w:rPr>
      </w:pPr>
    </w:p>
    <w:p w14:paraId="5BED07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сентября 1941 года корабли противника, определенные как вспомогательный крейсер и четыре эсминца, обстреляли позиции защитников Сырве. По приказу г-л Елисеева командир дивизиона ТК к-л А.Н.Богданов выделил отряд в составе ТКА № 67 (главстаршина А.И.Афанасьев, № 83 (лентенант Н.Н.Кременский, № 111 (л Б.П.Ущев), № 164 (л В.Д.Налетов) под общим командованием капитан-лейтенента В.П. Гуманенко. Это были все боеспособные на тот момент единицы. оставшиеся в распоряжении защитников архипелага. Как оказалось в действительности. нашим морякам противостояли немецкие легкие крейсера Лейпциг и Эмлен с миноносцами и тральщиками охранения. Наши донесли о поражении крейсера и двух эсминцев и повреждении третьего эсминца, но на самом деле потерь не было. Катер № 83 погиб. Катера задачу выполнили. Больше немецкие корабли в обстреле Эйзеля не участвовали (6002,34).</w:t>
      </w:r>
    </w:p>
    <w:p w14:paraId="2F54C7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275E4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сентября 1941 пара ТКА №103 и Д-3 впервые осуществили минную постановку (в Днепро-Бугском лимане). В этом походе 103-й сел на мель у Кинбурнской косы, но был спасен и выполнял задание самостоятельно (6002).</w:t>
      </w:r>
    </w:p>
    <w:p w14:paraId="5FC9C1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A1809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сентября 1941 г. входе нападения партизан на финский аэродром Тииксярви в Восточной Карелии несколько самолетов были выведены из строя, а истребитель “Фоккер” D.XXI с бортовым номером “FR-138” из состава разведывательной эскадрильи 1/Lelv 10 сгорел (9974).</w:t>
      </w:r>
    </w:p>
    <w:p w14:paraId="671E28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AF93F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сентября 1941 г. вышел ПРИКАЗ НКО № 0374 О МЕРАХ ПО ПОВЫШЕНИЮ ЭФФЕКТИВНОСТИ ИСПОЛЬЗОВАНИЯ АВТОМАТИЧЕСКОГО ОРУЖИЯ, МАТЕРИАЛЬНОЙ ЧАСТИ АРТИЛЛЕРИИ И МИНОМЕТОВ</w:t>
      </w:r>
    </w:p>
    <w:p w14:paraId="170A33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целях наиболее эффективного использования автоматического оружия, материальной части артиллерии и минометов, а также сохранения ее приказываю:</w:t>
      </w:r>
    </w:p>
    <w:p w14:paraId="7D53F7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На должности первых номеров пулеметов, противотанковых ружей, наводчиков орудий и минометов, а также бойцов с пистолетом-пулеметом во всех стрелковых, кавалерийских, артиллерийских, автобронетанковых и минометных частях Красной Армии назначить наиболее развитых, смелых и инициативных бойцов, произведя их в младшие сержанты или ефрейторы.</w:t>
      </w:r>
    </w:p>
    <w:p w14:paraId="193D26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Ввести в штаты должность заместителя командира отделения (орудия, миномета), на которую назначать младших сержантов или ефрейторов — первых номеров пулеметов, противотанковых ружей и наводчиков орудий и минометов, а в стрелковых полках и бойцов, вооруженных пистолетом-пулеметом.</w:t>
      </w:r>
    </w:p>
    <w:p w14:paraId="59F511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Установить для заместителей командиров отделений — наводчиков орудий, минометов, первых номеров пулеметов и противотанковых ружей, а также бойцов стрелковых и кавалерийских полков, вооруженных пистолетами-пулеметами, повышенный оклад содержания по категории “Старший красноармеец” и выплачивать: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43896" w:rsidRPr="00640820" w14:paraId="591CC65E" w14:textId="77777777" w:rsidTr="000D3BCB">
        <w:tc>
          <w:tcPr>
            <w:tcW w:w="5636" w:type="dxa"/>
            <w:tcBorders>
              <w:top w:val="single" w:sz="12" w:space="0" w:color="auto"/>
            </w:tcBorders>
          </w:tcPr>
          <w:p w14:paraId="29A78E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Наводчикам орудий и минометов</w:t>
            </w:r>
          </w:p>
        </w:tc>
        <w:tc>
          <w:tcPr>
            <w:tcW w:w="5636" w:type="dxa"/>
            <w:tcBorders>
              <w:top w:val="single" w:sz="12" w:space="0" w:color="auto"/>
            </w:tcBorders>
          </w:tcPr>
          <w:p w14:paraId="1C147D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руб. в месяц</w:t>
            </w:r>
          </w:p>
        </w:tc>
      </w:tr>
      <w:tr w:rsidR="00643896" w:rsidRPr="00640820" w14:paraId="34DFC216" w14:textId="77777777" w:rsidTr="000D3BCB">
        <w:tc>
          <w:tcPr>
            <w:tcW w:w="5636" w:type="dxa"/>
          </w:tcPr>
          <w:p w14:paraId="3FF2E3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Первым номерам пулеметов и противотанковых ружей</w:t>
            </w:r>
          </w:p>
        </w:tc>
        <w:tc>
          <w:tcPr>
            <w:tcW w:w="5636" w:type="dxa"/>
          </w:tcPr>
          <w:p w14:paraId="63FE7B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 50 коп.</w:t>
            </w:r>
          </w:p>
        </w:tc>
      </w:tr>
      <w:tr w:rsidR="00643896" w:rsidRPr="00640820" w14:paraId="465909DD" w14:textId="77777777" w:rsidTr="000D3BCB">
        <w:tc>
          <w:tcPr>
            <w:tcW w:w="5636" w:type="dxa"/>
            <w:tcBorders>
              <w:bottom w:val="single" w:sz="12" w:space="0" w:color="auto"/>
            </w:tcBorders>
          </w:tcPr>
          <w:p w14:paraId="072587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Бойцам, вооруженным пистолетом-пулеметом в стрелковых и кавалерийских полках</w:t>
            </w:r>
          </w:p>
        </w:tc>
        <w:tc>
          <w:tcPr>
            <w:tcW w:w="5636" w:type="dxa"/>
            <w:tcBorders>
              <w:bottom w:val="single" w:sz="12" w:space="0" w:color="auto"/>
            </w:tcBorders>
          </w:tcPr>
          <w:p w14:paraId="45C58A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 50 ”</w:t>
            </w:r>
          </w:p>
        </w:tc>
      </w:tr>
    </w:tbl>
    <w:p w14:paraId="60DC50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Выплату начать производить с октября месяца 1941 г. Приказ ввести в действие по телеграфу.</w:t>
      </w:r>
    </w:p>
    <w:p w14:paraId="7F0764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 xml:space="preserve">Народный комиссар обороны И. СТАЛИН </w:t>
      </w:r>
      <w:r w:rsidRPr="00640820">
        <w:rPr>
          <w:rFonts w:ascii="Times New Roman" w:hAnsi="Times New Roman"/>
          <w:color w:val="000000" w:themeColor="text1"/>
          <w:sz w:val="16"/>
          <w:szCs w:val="16"/>
        </w:rPr>
        <w:t>(9844).</w:t>
      </w:r>
    </w:p>
    <w:p w14:paraId="59B7E2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E8441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сентября 1941 500-ки</w:t>
      </w:r>
      <w:r w:rsidRPr="00640820">
        <w:rPr>
          <w:rFonts w:ascii="Times New Roman" w:hAnsi="Times New Roman"/>
          <w:color w:val="000000" w:themeColor="text1"/>
          <w:sz w:val="16"/>
          <w:szCs w:val="16"/>
        </w:rPr>
        <w:softHyphen/>
        <w:t>лограммовая бомба пробила верхнюю и среднюю броневые палубь "Октябрины" и разорвалась о барбет второй башни главного калиб</w:t>
      </w:r>
      <w:r w:rsidRPr="00640820">
        <w:rPr>
          <w:rFonts w:ascii="Times New Roman" w:hAnsi="Times New Roman"/>
          <w:color w:val="000000" w:themeColor="text1"/>
          <w:sz w:val="16"/>
          <w:szCs w:val="16"/>
        </w:rPr>
        <w:softHyphen/>
        <w:t>ра, барбет был разрушен и башню заклинило, но без катастрофиче</w:t>
      </w:r>
      <w:r w:rsidRPr="00640820">
        <w:rPr>
          <w:rFonts w:ascii="Times New Roman" w:hAnsi="Times New Roman"/>
          <w:color w:val="000000" w:themeColor="text1"/>
          <w:sz w:val="16"/>
          <w:szCs w:val="16"/>
        </w:rPr>
        <w:softHyphen/>
        <w:t>ских последствий (3898).</w:t>
      </w:r>
    </w:p>
    <w:p w14:paraId="32D602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739E388"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62DAB82A"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BD802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сентября 1941 вышел знаменитый приказ коменданта Киевка: "Усим жидам города Кыева" и приказали с вещами явиться в Бабий Яр для эвакуации (3481).</w:t>
      </w:r>
    </w:p>
    <w:p w14:paraId="28DEB0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22DAEDA" w14:textId="77777777" w:rsidR="00306CC6" w:rsidRPr="00640820" w:rsidRDefault="00306CC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сентября в 1941 году после взрыва радиоуправляемых фугасов на Крещатике вышел приказ коменданта Киева: "Усим жидам города Кыева". Евреям приказывается собрать необходимые вещи и явиться на сборный пункт в районе Бабьего Яра "для эвакуации" (14782).</w:t>
      </w:r>
    </w:p>
    <w:p w14:paraId="2D99A349" w14:textId="77777777" w:rsidR="00306CC6" w:rsidRPr="00640820" w:rsidRDefault="00306CC6" w:rsidP="00640820">
      <w:pPr>
        <w:spacing w:after="0" w:line="240" w:lineRule="auto"/>
        <w:jc w:val="both"/>
        <w:rPr>
          <w:rFonts w:ascii="Times New Roman" w:hAnsi="Times New Roman"/>
          <w:color w:val="000000" w:themeColor="text1"/>
          <w:sz w:val="16"/>
          <w:szCs w:val="16"/>
        </w:rPr>
      </w:pPr>
    </w:p>
    <w:p w14:paraId="7A19E2F0" w14:textId="77777777" w:rsidR="00E118CB"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4E24039A" w14:textId="77777777" w:rsidR="00E118CB" w:rsidRPr="00640820" w:rsidRDefault="00E118CB"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6AB12DF"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сентября в 1941 году советское правительство признало генерала Шарля де Голля «как руководителя всех свободных французов, где бы они ни находились», выразило готовность оказывать помощь антифашистскому движению «Свободная Франция» (с июля 1942 г. - «Сражающаяся Франция») (14782).</w:t>
      </w:r>
    </w:p>
    <w:p w14:paraId="7BFFCC60" w14:textId="77777777" w:rsidR="00E118CB" w:rsidRPr="00640820" w:rsidRDefault="00E118CB" w:rsidP="00640820">
      <w:pPr>
        <w:spacing w:after="0" w:line="240" w:lineRule="auto"/>
        <w:jc w:val="both"/>
        <w:rPr>
          <w:rFonts w:ascii="Times New Roman" w:hAnsi="Times New Roman"/>
          <w:color w:val="000000" w:themeColor="text1"/>
          <w:sz w:val="16"/>
          <w:szCs w:val="16"/>
        </w:rPr>
      </w:pPr>
    </w:p>
    <w:p w14:paraId="1F507723" w14:textId="77777777" w:rsidR="00E118CB" w:rsidRPr="00640820" w:rsidRDefault="00E118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сентября в 1941 году в Москве представителями советского Верховного Главнокомандования и чехословацкого Верховного командования подписано соглашение, регламентировавшее формирования и деятельность чехословацких воинских частей на территории СССР (14782).</w:t>
      </w:r>
    </w:p>
    <w:p w14:paraId="6CF741B8" w14:textId="77777777" w:rsidR="00E118CB" w:rsidRPr="00640820" w:rsidRDefault="00E118CB" w:rsidP="00640820">
      <w:pPr>
        <w:spacing w:after="0" w:line="240" w:lineRule="auto"/>
        <w:jc w:val="both"/>
        <w:rPr>
          <w:rFonts w:ascii="Times New Roman" w:hAnsi="Times New Roman"/>
          <w:color w:val="000000" w:themeColor="text1"/>
          <w:sz w:val="16"/>
          <w:szCs w:val="16"/>
        </w:rPr>
      </w:pPr>
    </w:p>
    <w:p w14:paraId="64A11F09"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14308B64"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51043E0"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27 сентября 1941 - во время операции «Алебарда» итальянские самолеты атакуют идущий на Мальту конвой и его эскорт в Средиземном море, повредив британский линкор HMS Nelson и смертельно повредив торговый корабль (20794).</w:t>
      </w:r>
    </w:p>
    <w:p w14:paraId="7C08BB78" w14:textId="77777777" w:rsidR="007F55E4" w:rsidRPr="00640820" w:rsidRDefault="007F55E4" w:rsidP="00640820">
      <w:pPr>
        <w:spacing w:after="0" w:line="240" w:lineRule="auto"/>
        <w:jc w:val="both"/>
        <w:rPr>
          <w:rFonts w:ascii="Times New Roman" w:hAnsi="Times New Roman"/>
          <w:color w:val="0070C0"/>
          <w:sz w:val="16"/>
          <w:szCs w:val="16"/>
        </w:rPr>
      </w:pPr>
    </w:p>
    <w:p w14:paraId="25603D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сентября 1941 исполняющим обязанности имперского протектора в Чехии и Моравии был назначен Рейнхард Гедрих, который ввел чрезвычайное положение и начал репрессии против сил сопротивления (3186).</w:t>
      </w:r>
    </w:p>
    <w:p w14:paraId="78156D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92263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сентября 1941 в Греции был создан национально-освободительный фронт (3186).</w:t>
      </w:r>
    </w:p>
    <w:p w14:paraId="6758EC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970165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сентября 1941 Сирия провозглашена независимым государством (4962).</w:t>
      </w:r>
    </w:p>
    <w:p w14:paraId="3C167CD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C057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сентября 1941 на воду было спущено первое гражданское судно во время мировой войны - Patrick Henry (3481).</w:t>
      </w:r>
    </w:p>
    <w:p w14:paraId="7EF79A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BF3775C"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46370E37"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9292F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сентября 1941 МиГ-3 №5395 с АМ-38 вернули из НИИ ВВС на завод для доработки, замены смятых баков и снятия летных характеристик. 4 октября полеты возобновились на ЛЭС завода №1. Однако 5 октября 1941 г. самолет МиГ-3 №3595 во время определения скоростей по высотам и проверки скороподъемности потерпел катастрофу, в которой погиб летчик-испытатель Н.П.Баулин. Как показало расследование, причиной случившегося стал воздушный бой, в результате которого МиГ-3 №3595 перешел в пикирование, окончившееся катастрофой. Как рассказывали очевидцы, в районе катастрофы они видели второй самолет и слышали стрельбу в воздухе. Изучение останков МиГ-3 показало, что из пулеметов ШКАС было сделано 5-10 выстрелов, а из пулемета БС - 50-70 выстрелов. Это обстоятельство также свидетельствовало о боевом соприкосновении с самолетом противника. Непосредственной причиной катастрофы стало разрушение поврежденной в бою обшивки хвостовой части фюзеляжа с потерей хвостового оперения, в результате чего самолет потерял управление и перешел в неуправляемый штопор (4802).</w:t>
      </w:r>
    </w:p>
    <w:p w14:paraId="4C0920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52BD69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сентября 1941 МиГ—3 зав. № 3595, на котором в порядке эксперимента был установлен мотор АМ—38 вновь вернулся на завод (9984).</w:t>
      </w:r>
    </w:p>
    <w:p w14:paraId="4DD374C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33088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сентября 1941 ведущий конструктор завода № 19 Заскалько счел недопустимой эксплуатацию мотора М-82А с кольцевым маслорадиатором данной конструкции и потребовал прекращения испытаний И-185 М-82А. К такому же выводу пришел и заместитель начальника 8-го (мотор</w:t>
      </w:r>
      <w:r w:rsidRPr="00640820">
        <w:rPr>
          <w:rFonts w:ascii="Times New Roman" w:hAnsi="Times New Roman"/>
          <w:color w:val="000000" w:themeColor="text1"/>
          <w:sz w:val="16"/>
          <w:szCs w:val="16"/>
        </w:rPr>
        <w:softHyphen/>
        <w:t>ного) главного управления НКАП Воликов: «Летным испытанием в ЛИИ НКАП установлено, что кольцевой радиатор на самолете И-185 «И» не обеспечивает пере</w:t>
      </w:r>
      <w:r w:rsidRPr="00640820">
        <w:rPr>
          <w:rFonts w:ascii="Times New Roman" w:hAnsi="Times New Roman"/>
          <w:color w:val="000000" w:themeColor="text1"/>
          <w:sz w:val="16"/>
          <w:szCs w:val="16"/>
        </w:rPr>
        <w:softHyphen/>
        <w:t>пад температур масла, вследствие чего температура масла на входе в мотор колеблется в пределах 90-100°С, что является недопустимым, так как снижает надеж</w:t>
      </w:r>
      <w:r w:rsidRPr="00640820">
        <w:rPr>
          <w:rFonts w:ascii="Times New Roman" w:hAnsi="Times New Roman"/>
          <w:color w:val="000000" w:themeColor="text1"/>
          <w:sz w:val="16"/>
          <w:szCs w:val="16"/>
        </w:rPr>
        <w:softHyphen/>
        <w:t>ность работы мотора и может привести к аварии. Исхо</w:t>
      </w:r>
      <w:r w:rsidRPr="00640820">
        <w:rPr>
          <w:rFonts w:ascii="Times New Roman" w:hAnsi="Times New Roman"/>
          <w:color w:val="000000" w:themeColor="text1"/>
          <w:sz w:val="16"/>
          <w:szCs w:val="16"/>
        </w:rPr>
        <w:softHyphen/>
        <w:t>дя из этого, считаю, что дальнейшая эксплуатация мотора при данном радиаторе, обеспечивающим пере</w:t>
      </w:r>
      <w:r w:rsidRPr="00640820">
        <w:rPr>
          <w:rFonts w:ascii="Times New Roman" w:hAnsi="Times New Roman"/>
          <w:color w:val="000000" w:themeColor="text1"/>
          <w:sz w:val="16"/>
          <w:szCs w:val="16"/>
        </w:rPr>
        <w:softHyphen/>
        <w:t>пад температуры масла 3-15°, не допустима. В случае дальнейшей эксплуатации мотора на указанных пере</w:t>
      </w:r>
      <w:r w:rsidRPr="00640820">
        <w:rPr>
          <w:rFonts w:ascii="Times New Roman" w:hAnsi="Times New Roman"/>
          <w:color w:val="000000" w:themeColor="text1"/>
          <w:sz w:val="16"/>
          <w:szCs w:val="16"/>
        </w:rPr>
        <w:softHyphen/>
        <w:t>падах масла, ответственности за работу мотора М-82 за</w:t>
      </w:r>
      <w:r w:rsidRPr="00640820">
        <w:rPr>
          <w:rFonts w:ascii="Times New Roman" w:hAnsi="Times New Roman"/>
          <w:color w:val="000000" w:themeColor="text1"/>
          <w:sz w:val="16"/>
          <w:szCs w:val="16"/>
        </w:rPr>
        <w:softHyphen/>
        <w:t>вод № 19 нести не может». Кольцевой радиатор пришлось снять и заменить на туннельный, сотовый. Вновь испытания, вновь дора</w:t>
      </w:r>
      <w:r w:rsidRPr="00640820">
        <w:rPr>
          <w:rFonts w:ascii="Times New Roman" w:hAnsi="Times New Roman"/>
          <w:color w:val="000000" w:themeColor="text1"/>
          <w:sz w:val="16"/>
          <w:szCs w:val="16"/>
        </w:rPr>
        <w:softHyphen/>
        <w:t>ботки... Мотоустановку удалось довести только к концу 1941 г., после чего начались испытания по отстрелу во</w:t>
      </w:r>
      <w:r w:rsidRPr="00640820">
        <w:rPr>
          <w:rFonts w:ascii="Times New Roman" w:hAnsi="Times New Roman"/>
          <w:color w:val="000000" w:themeColor="text1"/>
          <w:sz w:val="16"/>
          <w:szCs w:val="16"/>
        </w:rPr>
        <w:softHyphen/>
        <w:t>оружения. Установка на И-185 мощного двигателя воздушного охлаждения с синхронными пушками была осуществ</w:t>
      </w:r>
      <w:r w:rsidRPr="00640820">
        <w:rPr>
          <w:rFonts w:ascii="Times New Roman" w:hAnsi="Times New Roman"/>
          <w:color w:val="000000" w:themeColor="text1"/>
          <w:sz w:val="16"/>
          <w:szCs w:val="16"/>
        </w:rPr>
        <w:softHyphen/>
        <w:t>лена впервые в мире и потому для авиационных специ</w:t>
      </w:r>
      <w:r w:rsidRPr="00640820">
        <w:rPr>
          <w:rFonts w:ascii="Times New Roman" w:hAnsi="Times New Roman"/>
          <w:color w:val="000000" w:themeColor="text1"/>
          <w:sz w:val="16"/>
          <w:szCs w:val="16"/>
        </w:rPr>
        <w:softHyphen/>
        <w:t>алистов представляла большой интерес. Летом 1941 г. из Наркомата авиационной промышленности пришло распоряжение заместителя наркома А.С.Яковлева, предписывающее срочно передать чертежи винтомо</w:t>
      </w:r>
      <w:r w:rsidRPr="00640820">
        <w:rPr>
          <w:rFonts w:ascii="Times New Roman" w:hAnsi="Times New Roman"/>
          <w:color w:val="000000" w:themeColor="text1"/>
          <w:sz w:val="16"/>
          <w:szCs w:val="16"/>
        </w:rPr>
        <w:softHyphen/>
        <w:t>торной установки самолета И-185 с двигателем М-82А в конструкторские бюро С.А.Лавочкина, А.И.Микояна, А.С.Яковлева. Чертежи должны были отражать все уточнения и доработки, выполненные к этому времени на самолете. Николай Николаевич написал распоряже</w:t>
      </w:r>
      <w:r w:rsidRPr="00640820">
        <w:rPr>
          <w:rFonts w:ascii="Times New Roman" w:hAnsi="Times New Roman"/>
          <w:color w:val="000000" w:themeColor="text1"/>
          <w:sz w:val="16"/>
          <w:szCs w:val="16"/>
        </w:rPr>
        <w:softHyphen/>
        <w:t>ние о рассылке и убыл в срочную командировку. Быстрый отъезд Поликарпова породил у исполните</w:t>
      </w:r>
      <w:r w:rsidRPr="00640820">
        <w:rPr>
          <w:rFonts w:ascii="Times New Roman" w:hAnsi="Times New Roman"/>
          <w:color w:val="000000" w:themeColor="text1"/>
          <w:sz w:val="16"/>
          <w:szCs w:val="16"/>
        </w:rPr>
        <w:softHyphen/>
        <w:t>лей мнение, что он в спешке недостаточно хорошо разо</w:t>
      </w:r>
      <w:r w:rsidRPr="00640820">
        <w:rPr>
          <w:rFonts w:ascii="Times New Roman" w:hAnsi="Times New Roman"/>
          <w:color w:val="000000" w:themeColor="text1"/>
          <w:sz w:val="16"/>
          <w:szCs w:val="16"/>
        </w:rPr>
        <w:softHyphen/>
        <w:t>брался в ситуации. Чертежи могли использовать «конкурирующие» организации, что нарушало приори</w:t>
      </w:r>
      <w:r w:rsidRPr="00640820">
        <w:rPr>
          <w:rFonts w:ascii="Times New Roman" w:hAnsi="Times New Roman"/>
          <w:color w:val="000000" w:themeColor="text1"/>
          <w:sz w:val="16"/>
          <w:szCs w:val="16"/>
        </w:rPr>
        <w:softHyphen/>
        <w:t>тет конструкторского бюро. Сотрудники хотели зару</w:t>
      </w:r>
      <w:r w:rsidRPr="00640820">
        <w:rPr>
          <w:rFonts w:ascii="Times New Roman" w:hAnsi="Times New Roman"/>
          <w:color w:val="000000" w:themeColor="text1"/>
          <w:sz w:val="16"/>
          <w:szCs w:val="16"/>
        </w:rPr>
        <w:softHyphen/>
        <w:t>читься устным распоряжением Поликарпова, узнать его мнение по этому вопросу. Поэтому отправку чертежей они задерживали, несмотря на напоминания наркомата. Вернувшись из командировки, Николай Николае</w:t>
      </w:r>
      <w:r w:rsidRPr="00640820">
        <w:rPr>
          <w:rFonts w:ascii="Times New Roman" w:hAnsi="Times New Roman"/>
          <w:color w:val="000000" w:themeColor="text1"/>
          <w:sz w:val="16"/>
          <w:szCs w:val="16"/>
        </w:rPr>
        <w:softHyphen/>
        <w:t>вич, выслушал своих сотрудников и без тени досады и неудовольствия сказал: «Посылайте, срочно посылайте. Пусть учатся, а у нас с вами еще многое впереди». Чер</w:t>
      </w:r>
      <w:r w:rsidRPr="00640820">
        <w:rPr>
          <w:rFonts w:ascii="Times New Roman" w:hAnsi="Times New Roman"/>
          <w:color w:val="000000" w:themeColor="text1"/>
          <w:sz w:val="16"/>
          <w:szCs w:val="16"/>
        </w:rPr>
        <w:softHyphen/>
        <w:t>тежи в тот же день были отправлены. Как гражда</w:t>
      </w:r>
      <w:r w:rsidRPr="00640820">
        <w:rPr>
          <w:rFonts w:ascii="Times New Roman" w:hAnsi="Times New Roman"/>
          <w:color w:val="000000" w:themeColor="text1"/>
          <w:sz w:val="16"/>
          <w:szCs w:val="16"/>
        </w:rPr>
        <w:softHyphen/>
        <w:t>нин, как патриот он не мог поступить иначе. Лозунг: «Все для фронта, все для победы!» находил горячий от</w:t>
      </w:r>
      <w:r w:rsidRPr="00640820">
        <w:rPr>
          <w:rFonts w:ascii="Times New Roman" w:hAnsi="Times New Roman"/>
          <w:color w:val="000000" w:themeColor="text1"/>
          <w:sz w:val="16"/>
          <w:szCs w:val="16"/>
        </w:rPr>
        <w:softHyphen/>
        <w:t>клик в сердцах всех советских людей. Передача чертежей позволила сократить сроки со</w:t>
      </w:r>
      <w:r w:rsidRPr="00640820">
        <w:rPr>
          <w:rFonts w:ascii="Times New Roman" w:hAnsi="Times New Roman"/>
          <w:color w:val="000000" w:themeColor="text1"/>
          <w:sz w:val="16"/>
          <w:szCs w:val="16"/>
        </w:rPr>
        <w:softHyphen/>
        <w:t>здания новых истребителей МиГ с двигателем М-82, Як-7 с тем же мотором, а также Ла-5, сыгравшего боль</w:t>
      </w:r>
      <w:r w:rsidRPr="00640820">
        <w:rPr>
          <w:rFonts w:ascii="Times New Roman" w:hAnsi="Times New Roman"/>
          <w:color w:val="000000" w:themeColor="text1"/>
          <w:sz w:val="16"/>
          <w:szCs w:val="16"/>
        </w:rPr>
        <w:softHyphen/>
        <w:t>шую роль в Великой Отечественной войне (10667).</w:t>
      </w:r>
    </w:p>
    <w:p w14:paraId="74DAD28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CC24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сентября 1941 сразу после окончания испытаний планера Г-29 (Г-11) В.К.Грибовский отправился на завод № 471 в Шумерлю, а его зам. - Ландышев - на завод № 494 в Козловке (9080).</w:t>
      </w:r>
    </w:p>
    <w:p w14:paraId="77AE40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2E0995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сентября 1941, сразу после окончания испытаний Г-11, г., Грибовский выехал на завод № 471, а его за</w:t>
      </w:r>
      <w:r w:rsidRPr="00640820">
        <w:rPr>
          <w:rFonts w:ascii="Times New Roman" w:hAnsi="Times New Roman"/>
          <w:color w:val="000000" w:themeColor="text1"/>
          <w:sz w:val="16"/>
          <w:szCs w:val="16"/>
        </w:rPr>
        <w:softHyphen/>
        <w:t>меститель Ландышев — на завод № 494. В середине октября в Шумерлю прибыл основной состав эваку</w:t>
      </w:r>
      <w:r w:rsidRPr="00640820">
        <w:rPr>
          <w:rFonts w:ascii="Times New Roman" w:hAnsi="Times New Roman"/>
          <w:color w:val="000000" w:themeColor="text1"/>
          <w:sz w:val="16"/>
          <w:szCs w:val="16"/>
        </w:rPr>
        <w:softHyphen/>
        <w:t>ированного ОКБ-28, а уже 7 ноября здесь собрали первый серийный десантный планер. До конца года завод №471 изготовил 10 серийных аппаратов.</w:t>
      </w:r>
    </w:p>
    <w:p w14:paraId="2D66C79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Г-11 нарастало вплоть до июня 1942 г., когда выяснилось, что военным попросту не нужно такое большое количество десантных плане</w:t>
      </w:r>
      <w:r w:rsidRPr="00640820">
        <w:rPr>
          <w:rFonts w:ascii="Times New Roman" w:hAnsi="Times New Roman"/>
          <w:color w:val="000000" w:themeColor="text1"/>
          <w:sz w:val="16"/>
          <w:szCs w:val="16"/>
        </w:rPr>
        <w:softHyphen/>
        <w:t>ров. Война протекала не так, как это виделось больше</w:t>
      </w:r>
      <w:r w:rsidRPr="00640820">
        <w:rPr>
          <w:rFonts w:ascii="Times New Roman" w:hAnsi="Times New Roman"/>
          <w:color w:val="000000" w:themeColor="text1"/>
          <w:sz w:val="16"/>
          <w:szCs w:val="16"/>
        </w:rPr>
        <w:softHyphen/>
        <w:t>вистским стратегам в предвоенные годы, — Красная Армия терпела поражения на всех фронтах. В общем, было не до планерных десантных операций. А отме</w:t>
      </w:r>
      <w:r w:rsidRPr="00640820">
        <w:rPr>
          <w:rFonts w:ascii="Times New Roman" w:hAnsi="Times New Roman"/>
          <w:color w:val="000000" w:themeColor="text1"/>
          <w:sz w:val="16"/>
          <w:szCs w:val="16"/>
        </w:rPr>
        <w:softHyphen/>
        <w:t>нить ранее принятое решение забыли. В результате деревянные планеры, рассчитанные, по сути, на один боевой вылет, часто зимовали под открытым небом, что приводило их в негод</w:t>
      </w:r>
      <w:r w:rsidRPr="00640820">
        <w:rPr>
          <w:rFonts w:ascii="Times New Roman" w:hAnsi="Times New Roman"/>
          <w:color w:val="000000" w:themeColor="text1"/>
          <w:sz w:val="16"/>
          <w:szCs w:val="16"/>
        </w:rPr>
        <w:softHyphen/>
        <w:t>ность. Не хватало также само</w:t>
      </w:r>
      <w:r w:rsidRPr="00640820">
        <w:rPr>
          <w:rFonts w:ascii="Times New Roman" w:hAnsi="Times New Roman"/>
          <w:color w:val="000000" w:themeColor="text1"/>
          <w:sz w:val="16"/>
          <w:szCs w:val="16"/>
        </w:rPr>
        <w:softHyphen/>
        <w:t>летов-буксировщиков и пило- тов-планеристов (12300).</w:t>
      </w:r>
    </w:p>
    <w:p w14:paraId="5B04B05E"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5DEEFA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28 сентября 1941 г. Грибовский выехал на завод №471, а его заместитель Ландышев — на завод №494 (11810). </w:t>
      </w:r>
    </w:p>
    <w:p w14:paraId="3404B1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30E6324" w14:textId="77777777" w:rsidR="00224205" w:rsidRPr="00640820" w:rsidRDefault="0022420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28 сентября 1941 года, сразу после окончания испытаний, Грибовский выехал на завод № 471, а его заместитель Ландышев – на завод № 494. В середине октября в Шумерлю прибыл основной состав эвакуированного ОКБ-28, а уже 7 ноября здесь собрали первый серийный десантный планер. До конца года завод № 471 изготовил 10 серийных аппаратов. Производство Г-11 нарастало вплоть до июня 1942 года, когда выяснилось, что военным попросту не нужно такое большое количество </w:t>
      </w:r>
      <w:r w:rsidRPr="00640820">
        <w:rPr>
          <w:rFonts w:ascii="Times New Roman" w:hAnsi="Times New Roman"/>
          <w:color w:val="000000" w:themeColor="text1"/>
          <w:sz w:val="16"/>
          <w:szCs w:val="16"/>
        </w:rPr>
        <w:lastRenderedPageBreak/>
        <w:t>десантных планёров. Война протекала не так, как это виделось большевицким стратегам в предвоенные годы – Красная армия терпела поражения на всех фронтах. В общем, было не до планерных десантных операций. А отменить ранее принятое решение забыли. В результате деревянные планеры, рассчитанные, по сути, на один боевой вылет, часто зимовали под открытым небом, что приводило их в негодность. Не хватало также самолётовбуксировщиков и пилотов-планеристов. Решение о прекращении выпуска Г-11 было принято в 1942 г, после постройки 138 Г-11 на заводе в Шумерле и 170 планеров на заводе в Козловке (19014).</w:t>
      </w:r>
    </w:p>
    <w:p w14:paraId="49FE3AB6" w14:textId="77777777" w:rsidR="00224205" w:rsidRPr="00640820" w:rsidRDefault="00224205" w:rsidP="00640820">
      <w:pPr>
        <w:spacing w:after="0" w:line="240" w:lineRule="auto"/>
        <w:jc w:val="both"/>
        <w:rPr>
          <w:rFonts w:ascii="Times New Roman" w:hAnsi="Times New Roman"/>
          <w:color w:val="000000" w:themeColor="text1"/>
          <w:sz w:val="16"/>
          <w:szCs w:val="16"/>
        </w:rPr>
      </w:pPr>
    </w:p>
    <w:p w14:paraId="391F41C4"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7F2ADA62"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A08EE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сентября 1941 вышло Постановление ГКО № 719 Об освобождении Попова. РГАНИР, Фонд ГКО, д. М. от обязанностей чл. ВС ЗФ и назначении на эту должность Хохлова И.С. РГАНИР, Фонд ГКО, д. 10, лл. 101 (11012).</w:t>
      </w:r>
    </w:p>
    <w:p w14:paraId="33A5B8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7972D9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сентября 1941 года приказ №36с, подписанный В. А. Малышевым, предусматривал, чтобы на ЧТЗ был организован конвейер по сборке танков с циклом работы 4,5 дня. Для подготовки персонала к работе на конвейере на заводе должны были организовать ускоренное обучение будущих сборщиков в нерабочее время. Каждое рабочее место предписывалось полностью оснастить необходимым инструментом, для чего техбюро завода предстояло подготовить разбивку операций по конвейеру, разработать необходимую оснастку и выпустить нужное количество чертежей (12290).</w:t>
      </w:r>
    </w:p>
    <w:p w14:paraId="7DBC4614"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3AD959D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сентября 1941 года помощник военпреда завода № 183 Павлов докладывал в бронетанковое управление ГАБТУ КА</w:t>
      </w:r>
    </w:p>
    <w:p w14:paraId="3F58483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«Прибыл на Уралвагонзавод 25 сентября. В настоящее время закончена планировка цехов за исключением цеха № 200, которому не находится свободной площадей. Помещения, предназначенные для размещения цехов завода № 183 освобождаются для расстановки оборудования. 28 сентября приступили к установке имеющихся здесь двух термических печей и нескольких станков.</w:t>
      </w:r>
    </w:p>
    <w:p w14:paraId="38D7989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Эшелоны из Харькова еще не прибыли, первый эшелон ожидается числа 3-го октября. С прибытием чертежей и заготовок на установленном оборудовании будет проводиться обработка деталей с тем расчетом, чтобы к моменту окончательного размещения всего оборудования иметь по ряду деталей задел» (12217).</w:t>
      </w:r>
    </w:p>
    <w:p w14:paraId="420673B6"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0C91DB3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сентября - 1 октября 1941 года в районе населенного пункта Штеповка был пример удачного использования танка Т-34 в ходе действий 1-й танковой бригады, приданной 2-му кавалерийскому корпусу Юго-Западного фронта.</w:t>
      </w:r>
    </w:p>
    <w:p w14:paraId="5292CAF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Получив данные о движении моторизованной колонны противника с танками по дороге из Васильевка на Штеповку и далее на Сумы, и учитывая, что Штеповка является важным узлом дорог, командир бригады полковник Хасин принял решение атаковать колонну, обходя ее с фланга и тыла. Для выполнения задачи было выделено 9 танков Т-34 и 3 танка КВ. К 14.00 28 сентября наши танки выли к населенному пункту Рудка, откуда было хорошо видно движение мотоколонны противника на Штеповку.</w:t>
      </w:r>
    </w:p>
    <w:p w14:paraId="6481D36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Выдвинувшись в сторону Штепов- ки и повернув пушки влево, танки с места неожиданно для немцев открыли артиллерийский и пулеметный огонь с небольших дистанций. Противник от такого мощного и неожиданного огня пришел в замешательство, открыл ответную стрельбу из противотанковых орудий и. бросая машины и артиллерию, в беспорядке начал отходить. Часть колонны противника, которая в это время подходила к деревне Мироновшина с юго-запада, заняла оборону; открыв огонь по нашим танкам из орудий.</w:t>
      </w:r>
    </w:p>
    <w:p w14:paraId="6397F68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уничтожения этой группы танки бригады разделили на две равные группы, которые атаковали немцев с двух сторон. Первая атака была отбита противником, но в ходе второй танкисты ворвались в Миронов- щину и противник, понеся значительные потери, в беспорядке отошел на запад и юго-запад. В результате боя бригадой было уничтожено: противотанковых орудий - 36, 75-мм орудий - 16; 105-мм орудий - 12; тракторов - 8; автомашин - 40; мотоциклов — 12;</w:t>
      </w:r>
    </w:p>
    <w:p w14:paraId="57DA5AC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танков - 4 (один подбит и три сгорело); до роты пехоты.</w:t>
      </w:r>
    </w:p>
    <w:p w14:paraId="6ED9A98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Свои потери составили 3 человека раненными, 3 танка Т-34 (два подбито и один сгорел) и 2 танка КВ (подбиты и эвакуированы).</w:t>
      </w:r>
    </w:p>
    <w:p w14:paraId="2F48CDE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сентября бригада получила приказ командира 2-го кавалерийского корпуса «к исходу дня овладеть Ште- повка и удерживать ее до подхода 72-го и 136-го кавалерийских полков». Для выполнения этой задачи привлекалось 10 танков 8 (Т-34 и 2 КВ) и мотострелковый батальон бригады.</w:t>
      </w:r>
    </w:p>
    <w:p w14:paraId="1710AD9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23 часа 40 минут мотострелковый батальон, опрокинув охранение противника, ворвался в Штеповка, где вел бой до 6.00 30 сентября. Не имея связи с танками (не успели подойти, так как должны были атаковать с другого направления) и не получив помощи от 72 и 136-го кавалерийских полков (которые к этому времени также еще не подошли к Штепов- ке), мотострелковый батальон отошел на восток.</w:t>
      </w:r>
    </w:p>
    <w:p w14:paraId="75DFCE3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13.00 30 сентября танки с мотострелковым батальоном бригады вновь начали атаку Штеповки, но в результате сильного сопротивления противника, овладеть населенным пунктом не удалось. Не помог и ввод в бой прямо с марша части сил 136-го кавалерийского полка. В этом бою противник потерял до 40 автомашин, 8 орудий разных калибров, до двух рот пехоты, потери бригады составили подбитыми Т-34 и КВ, оба были эвакуированы и к следующему утру восстановлены.</w:t>
      </w:r>
    </w:p>
    <w:p w14:paraId="25F82BA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октября 1941 года для атаки Ште- повки создали две ударные группы: северная - 136-й кавалерийский полк с пятью танками и южная - мотострелковый батальон также с пятью танками. В 16.00, после артиллерийской подготовки, проводимой 136-м кавалерийским полком, началась атака.</w:t>
      </w:r>
    </w:p>
    <w:p w14:paraId="3CAFFE7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Учитывая возможность отсечения мотострелкового батальона от танков, он был посажен на эти танки и подвезен к окраине Штеповки, откуда в пешем строю начал атаку противника. Продвижение северной группы было замедленно, и только с подходом 72-го кавалерийского полка оно ускорилось. Ожесточенные бои за населенный пункт продолжались до 20.00, после чего противник отошел в западном направлении, оставив в Штеповке значительное количество автомашин, артиллерии и убитых.</w:t>
      </w:r>
    </w:p>
    <w:p w14:paraId="46C0D4D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результате боев 28 сентября - 1 октября 1941 года танкисты и мотострелки 1-й танковой бригады уничтожили: автомашин - 95, орудий разных калибров - 60, мотоциклов - 26, танков - 8, тракторов - 18, пехоты - до двух батальонов, самолетов - 1.</w:t>
      </w:r>
    </w:p>
    <w:p w14:paraId="6EB156B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Бригада захватила трофеи: легковых машин - 11, грузовых - 15, мин — ПО, винтовочных патронов— 40 тысяч, пулеметов танковых — 3. Из документов и показаний пленных установлено, что в Штеповке действовала 25-я моторизованная противника.</w:t>
      </w:r>
    </w:p>
    <w:p w14:paraId="245900A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Свои потери составили: 159 человек (убито 40, ранено 78, пропало без вести.41), 11 танков Т-34 (сгорело - 4, подбито - 7) и 3 танка КВ (подбиты). Все подбитые танки были эвакуированы с поля боя и впоследствии восстановлены. В конце своего итогового доклада командир бригады полковник Хасин писал:</w:t>
      </w:r>
    </w:p>
    <w:p w14:paraId="0579D91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четырехдневных боях за Ште- повка бойцы и начальствующий состав проявили мужество и беспримерный героизм. Бойцы и командиры еще раз продемонстрирован) свою любовь и преданность Родине» (12217).</w:t>
      </w:r>
    </w:p>
    <w:p w14:paraId="2E88F39C"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56F675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сентября 1941 еще один ТК типа Д-3 вступил в строй (10671).</w:t>
      </w:r>
    </w:p>
    <w:p w14:paraId="4801A5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22BF172"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6ADA5A4F"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5C775DF" w14:textId="77777777" w:rsidR="00306CC6" w:rsidRPr="00640820" w:rsidRDefault="00306CC6"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28 сентября </w:t>
      </w:r>
      <w:r w:rsidRPr="00640820">
        <w:rPr>
          <w:rFonts w:ascii="Times New Roman" w:hAnsi="Times New Roman"/>
          <w:color w:val="000000" w:themeColor="text1"/>
          <w:sz w:val="16"/>
          <w:szCs w:val="16"/>
        </w:rPr>
        <w:t>в 1941 году утреннее сообщение Совинформбюро:</w:t>
      </w:r>
    </w:p>
    <w:p w14:paraId="6001CF71" w14:textId="77777777" w:rsidR="00306CC6" w:rsidRPr="00640820" w:rsidRDefault="00306CC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28 сентября наши войска вели бои с противником на всём фронте.</w:t>
      </w:r>
    </w:p>
    <w:p w14:paraId="407FFD50" w14:textId="77777777" w:rsidR="00306CC6" w:rsidRPr="00640820" w:rsidRDefault="00306CC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результате семидневных боёв на одном из участков Западного направления фронта части тов. Юшкевича нанесли тяжёлый удар противнику, вынудив его оставить укреплённые позиции. За неделю части тов. Юшкевича уничтожили 18 рот немецкой пехоты. На поле боя подобрано 2.300 трупов немецких солдат и офицеров. Уничтожено 18 вражеских танков, 41 автомашина с боеприпасами, 10 миномётных батарей, разрушено 10 ДЗОТов. Много немецких солдат взято в плен. Среди захваченного исправного вооружения 48 орудий, 19 миномётов, 64 пулемёта, 2 радиостанции и большое количество винтовок.</w:t>
      </w:r>
    </w:p>
    <w:p w14:paraId="0925C90C" w14:textId="77777777" w:rsidR="00306CC6" w:rsidRPr="00640820" w:rsidRDefault="00306CC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части на одном из участков Северо-Западного направления фронта уничтожили 580 солдат и офицеров противника. Подбиты 6 немецких танков, захвачены 3 орудия, 20 пулемётов и 500 винтовок. На другом участке Северо-Западного направления фронта наши части захватили 5 станковых пулемётов, 26 автоматов и ручных пулемётов, 334 винтовки, 127 велосипедов, 4 автомашины и радиостанцию.</w:t>
      </w:r>
    </w:p>
    <w:p w14:paraId="099E82D1" w14:textId="77777777" w:rsidR="00306CC6" w:rsidRPr="00640820" w:rsidRDefault="00306CC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Части командира Городянского, действующие на Западном направлении фронта, 25 сентября уничтожили более 150 немецких солдат и офицеров, 10 танков, 27 автомашин и 6 зенитных точек.</w:t>
      </w:r>
    </w:p>
    <w:p w14:paraId="210D3AE8" w14:textId="77777777" w:rsidR="00306CC6" w:rsidRPr="00640820" w:rsidRDefault="00306CC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Звено лётчиков-штурмовиков капитана Песлякова уничтожило на одном из участков Юго-Западного направления фронта до 37 автомашин с пехотой противника. На другой день звено капитана Песлякова атаковало аэродром противника. Несмотря на очень плохую погоду, советские лётчики точно вышли на цель и разбомбили 12 вражеских самолётов.</w:t>
      </w:r>
    </w:p>
    <w:p w14:paraId="1399ABDA" w14:textId="77777777" w:rsidR="00306CC6" w:rsidRPr="00640820" w:rsidRDefault="00306CC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Смело действуют в тылу немецких и румынских войск партизанские отряды Одесской области. Отряд партизан под командованием тов. С. огнём из трофейного пулемёта уничтожил катер с 9 немецкими солдатами. На другой день этот отряд расстрелял труппу румынских солдат, пытавшихся переправиться через реку Б. Партизаны создают невыносимые условия для врага. Один из пленных заявил на допросе: «Партизаны — это вторая советская армия, которую мы не видим, но которая не даёт нам жить».</w:t>
      </w:r>
    </w:p>
    <w:p w14:paraId="09628E4F" w14:textId="77777777" w:rsidR="00306CC6" w:rsidRPr="00640820" w:rsidRDefault="00306CC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Три дня немцы восстанавливали мост через реку в районе города Г. Партизанский отряд дал переправиться по новому мосту большому обозу, а затем зажёг мост. В восьми километрах от реки обоз был встречен вторым отрядом партизан. В завязавшемся бою немцы понесли большие потери. Благодаря дружным совместным </w:t>
      </w:r>
      <w:r w:rsidRPr="00640820">
        <w:rPr>
          <w:rFonts w:ascii="Times New Roman" w:hAnsi="Times New Roman"/>
          <w:color w:val="000000" w:themeColor="text1"/>
          <w:sz w:val="16"/>
          <w:szCs w:val="16"/>
        </w:rPr>
        <w:lastRenderedPageBreak/>
        <w:t>действиям двух партизанских отрядов, за один день было убито 57 немецких солдат и два офицера. В руки партизан попали 49 винтовок, 11 автоматов, 50 гранат, 19 пистолетов и 2 пулемёта.</w:t>
      </w:r>
    </w:p>
    <w:p w14:paraId="24FA2473" w14:textId="77777777" w:rsidR="00306CC6" w:rsidRPr="00640820" w:rsidRDefault="00306CC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Партизанский отряд из железнодорожных рабочих и служащих под командованием диспетчера тов. К. напал на воинский поезд. Захватив большое количество боеприпасов и несколько автомашин, партизаны сожгли состав. Паровоз был отцеплен от состава и на полном ходу пущен на железнодорожную станцию Н. На станции паровоз налетел на поезд, в котором находились немецкие солдаты. В результате крушения погибло не менее 150 фашистских солдат и офицеров.</w:t>
      </w:r>
    </w:p>
    <w:p w14:paraId="2B5508A6" w14:textId="77777777" w:rsidR="00306CC6" w:rsidRPr="00640820" w:rsidRDefault="00306CC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Попытки гитлеровцев преуменьшить цифры потерь немецкой армии на Восточном фронте опровергаются многочисленными секретными немецкими документами, захваченными нашими частями, и показаниями пленных. Так, командир 9 армейского корпуса генерал Гейер в обзоре военных действий, захваченном нашей частью, признаёт, что за 22 дня корпус потерял только убитыми более 4.000 человек. Вместе с ранеными корпус потерял около одной трети личного состава.</w:t>
      </w:r>
    </w:p>
    <w:p w14:paraId="78399CF8" w14:textId="77777777" w:rsidR="00306CC6" w:rsidRPr="00640820" w:rsidRDefault="00306CC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Пленный ефрейтор 3 батальона 289 пехотного полка 98 дивизии Карл Гейнц показал: «Потери нашей дивизии значительны. Наш полк потерял свыше 50 процентов своего состава. Всё чаще потрёпанные батальоны и роты сводятся вместе». Винцель Рихтер, обер-ефрейтор 10 роты 282 полка 98 дивизии, рассказал: «Потери в роте очень велики. Они превышают 60 процентов личного состава. Почти все офицеры погибли. Такое же положение во всех подразделениях дивизии. Много солдат хозяйственных подразделений переведено в строевые части». Рудольф Цвифельофер, солдат 12 роты 4 пехотного полка 23 пехотной дивизии, говорит: «Наша армия несёт большие потери. На пути следования полка от Белостока до Рославля мы встречали тысячи машин и повозок с ранеными солдатами. В деревнях и лесах много полевых госпиталей, переполненных ранеными».</w:t>
      </w:r>
    </w:p>
    <w:p w14:paraId="5547E009" w14:textId="77777777" w:rsidR="00306CC6" w:rsidRPr="00640820" w:rsidRDefault="00306CC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Рядовой второй роты 135 полка Рольф Дерр рассказывает: «Многие солдаты недовольны войной. Это недовольство возрастает с каждым днём, особенно в связи с потерями, которые имела наша часть. Из 1.200 солдат только по пути к передовой линии фронта мы потеряли от огня советской авиации и артиллерии убитыми и ранеными 500 человек». Шофёр первого полка 1 дивизии Герберт Грамс в неотправленном письме брату пишет: «Нам очень тяжело. Многие уже распрощались с жизнью или ранены. Очень часто наши обозы подвергаются нападению русских. Наши потери огромны».</w:t>
      </w:r>
    </w:p>
    <w:p w14:paraId="416AA28B" w14:textId="77777777" w:rsidR="00306CC6" w:rsidRPr="00640820" w:rsidRDefault="00306CC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Румынии за последнее время произошло несколько железнодорожных катастроф и взрывов на промышленных предприятиях. На днях потерпел крушение воинский состав, в котором отправлялись на фронт немецкие солдаты. Свыше ста фашистов было убито. С 10 по 20 сентября в городах Крайова, Темишоара и Орадя сгорели 4 склада с продовольствием для германской армии. Почти каждый день на товарных станциях румынские антифашисты поджигают вагоны с военным снаряжением. В связи с многочисленными актами саботажа и диверсиями в румынской газете «Универсул» опубликовано распоряжение властей, в котором говорится: «На железных дорогах и промышленных предприятиях Румынии подготавливаются акты саботажа с целью сорвать транспортировку войск, вооружения и продовольствия. Все виновные в этих актах будут расстреливаться на месте» (14783).</w:t>
      </w:r>
    </w:p>
    <w:p w14:paraId="32EA9034" w14:textId="77777777" w:rsidR="00306CC6" w:rsidRPr="00640820" w:rsidRDefault="00306CC6" w:rsidP="00640820">
      <w:pPr>
        <w:spacing w:after="0" w:line="240" w:lineRule="auto"/>
        <w:jc w:val="both"/>
        <w:rPr>
          <w:rFonts w:ascii="Times New Roman" w:hAnsi="Times New Roman"/>
          <w:color w:val="000000" w:themeColor="text1"/>
          <w:sz w:val="16"/>
          <w:szCs w:val="16"/>
        </w:rPr>
      </w:pPr>
    </w:p>
    <w:p w14:paraId="6BAAEF55" w14:textId="77777777" w:rsidR="00306CC6" w:rsidRPr="00640820" w:rsidRDefault="00306CC6"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28 сентября </w:t>
      </w:r>
      <w:r w:rsidRPr="00640820">
        <w:rPr>
          <w:rFonts w:ascii="Times New Roman" w:hAnsi="Times New Roman"/>
          <w:color w:val="000000" w:themeColor="text1"/>
          <w:sz w:val="16"/>
          <w:szCs w:val="16"/>
        </w:rPr>
        <w:t>в 1941 году вечернее сообщение Совинформбюро:</w:t>
      </w:r>
    </w:p>
    <w:p w14:paraId="17AC84EB" w14:textId="77777777" w:rsidR="00306CC6" w:rsidRPr="00640820" w:rsidRDefault="00306CC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28 сентября наши войска вели бои с противником на всём фронте.</w:t>
      </w:r>
    </w:p>
    <w:p w14:paraId="5073FAB8" w14:textId="77777777" w:rsidR="00306CC6" w:rsidRPr="00640820" w:rsidRDefault="00306CC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26 сентября уничтожено 98 немецких самолётов. Наши потери — 31 самолёт. Наши суда Северного флота потопили два транспорта противника водоизмещением в 8 тысяч и 5 тысяч тонн.</w:t>
      </w:r>
    </w:p>
    <w:p w14:paraId="0C664C66" w14:textId="77777777" w:rsidR="00306CC6" w:rsidRPr="00640820" w:rsidRDefault="00306CC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Береговые батареи и корабли Краснознамённого Балтийского флота потопили один крейсер и один миноносец противника и два миноносца сильно повредили.</w:t>
      </w:r>
    </w:p>
    <w:p w14:paraId="4B8D9994" w14:textId="77777777" w:rsidR="00306CC6" w:rsidRPr="00640820" w:rsidRDefault="00306CC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Чёрном море потоплен танкер противника водоизмещением в 6 тысяч тонн.</w:t>
      </w:r>
    </w:p>
    <w:p w14:paraId="1249A945" w14:textId="77777777" w:rsidR="00306CC6" w:rsidRPr="00640820" w:rsidRDefault="00306CC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 Москвой 27 сентября сбито два немецких самолёта-разведчика и 28 сентября сбито ещё два самолёта.</w:t>
      </w:r>
    </w:p>
    <w:p w14:paraId="2EEF8220" w14:textId="77777777" w:rsidR="00306CC6" w:rsidRPr="00640820" w:rsidRDefault="00306CC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ночь на 27 и утром 27 сентября отдельные группы наших самолётов, действующих на Западном направлении фронта, с большим успехом бомбардировали аэродромы противника. Рано утром отряд советских штурмовиков внезапно налетел на несколько немецких аэродромов. На земле было обнаружено 7 четырёхмоторных, 12 одномоторных и 15 двухмоторных самолетов. Сброшенными бомбами и пулемётным огнём вражеские машины были уничтожены. На одном из аэродромов сожжён ангар. Всего в ночь на 27 сентября и утром 27 сентября наша авиация, действующая на Западном направлении фронта, сбила в воздушных боях и уничтожила на земле 66 самолётов противника.</w:t>
      </w:r>
    </w:p>
    <w:p w14:paraId="355FD919" w14:textId="77777777" w:rsidR="00306CC6" w:rsidRPr="00640820" w:rsidRDefault="00306CC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Замечательный подвиг совершила 27 сентября военный фельдшер Мария Крюкова. На одном из участков Западного направления фронта противник атаковал Энскую стрелковую часть. Тов. Крюкова неотлучно находилась в своём подразделении, оказывала помощь легко раненным, а тяжело раненных эвакуировала в тыл. За три часа она под непрерывным пулемётным и миномётным огнём сделала перевязки и помогла уйти с поля боя 20 раненым бойцам.</w:t>
      </w:r>
    </w:p>
    <w:p w14:paraId="391854E5" w14:textId="77777777" w:rsidR="00306CC6" w:rsidRPr="00640820" w:rsidRDefault="00306CC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части, действующие на одном из участков Северо-Западного направления фронта, уничтожили 30 танков, 10 противотанковых пушек, 10 миномётов, 3 штабных машины, 8 крупнокалиберных пулемётов противника.</w:t>
      </w:r>
    </w:p>
    <w:p w14:paraId="757DB399" w14:textId="77777777" w:rsidR="00306CC6" w:rsidRPr="00640820" w:rsidRDefault="00306CC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 немецкого ефрейтора 4 полка 32 немецкой пехотной дивизии Эрхардта Шредера, убитого на Северо-Западном направлении фронта, найден дневник. Ниже мы приводим некоторые выписки из этого дневника:</w:t>
      </w:r>
    </w:p>
    <w:p w14:paraId="725FEFB0" w14:textId="77777777" w:rsidR="00306CC6" w:rsidRPr="00640820" w:rsidRDefault="00306CC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июля. У нас очень большие потери.</w:t>
      </w:r>
    </w:p>
    <w:p w14:paraId="657B1D8F" w14:textId="77777777" w:rsidR="00306CC6" w:rsidRPr="00640820" w:rsidRDefault="00306CC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Притаившиеся русские стрелки убили многих из наших офицеров. Сегодня полк потерял 16 офицеров и 182 рядовых.</w:t>
      </w:r>
    </w:p>
    <w:p w14:paraId="3F29E312" w14:textId="77777777" w:rsidR="00306CC6" w:rsidRPr="00640820" w:rsidRDefault="00306CC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августа. Ужасающие потери. Стрелок Лаубер и один старший стрелок наскочили на мину. Значит, в нашем взводе осталось только 15 человек. Мы должны оборонять позицию в 300 метров. Когда, наконец, нас сменят и выведут отсюда.</w:t>
      </w:r>
    </w:p>
    <w:p w14:paraId="44F90780" w14:textId="77777777" w:rsidR="00306CC6" w:rsidRPr="00640820" w:rsidRDefault="00306CC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августа. Мы лежим в грязных ямах. Весь день русские глушат нас артиллерией.</w:t>
      </w:r>
    </w:p>
    <w:p w14:paraId="20A18ACD" w14:textId="77777777" w:rsidR="00306CC6" w:rsidRPr="00640820" w:rsidRDefault="00306CC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Это страшно действует на нервы. Наша артиллерия почти не стреляет. Говорят, что снарядов мало.</w:t>
      </w:r>
    </w:p>
    <w:p w14:paraId="70569105" w14:textId="77777777" w:rsidR="00306CC6" w:rsidRPr="00640820" w:rsidRDefault="00306CC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августа. Все думали, что нам дадут немного отдохнуть и мы сможем, впервые за 4 недели, умыться. Оказывается — нет. Сегодня ночью мы должны выступать дальше. Нас гонят на верную смерть».</w:t>
      </w:r>
    </w:p>
    <w:p w14:paraId="44064FA6" w14:textId="77777777" w:rsidR="00306CC6" w:rsidRPr="00640820" w:rsidRDefault="00306CC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этого дня ефрейтор забросил свой дневник. В вещах Шредера найдено также недописанное письмо невесте:</w:t>
      </w:r>
    </w:p>
    <w:p w14:paraId="412A5D42" w14:textId="77777777" w:rsidR="00306CC6" w:rsidRPr="00640820" w:rsidRDefault="00306CC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«Россия, 13 сентября 1941 г. Дорогая Мэди! Два часа тому назад погиб Вернер Мейер. В 7 часов мы начали атаку, и Вернер выехал вперёд с лейтенантом. Дорога была минирована. Обоих разорвало в клочья. Вигант ранен в голову. Карл Юслорф тоже ранен в голову и, видимо, сойдёт с ума. Знаешь, сколько нас осталось? Из всего взвода уцелели только Ганс Грон да я.</w:t>
      </w:r>
    </w:p>
    <w:p w14:paraId="11489189" w14:textId="77777777" w:rsidR="00306CC6" w:rsidRPr="00640820" w:rsidRDefault="00306CC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Позавчера рота за два часа потеряла 82 человека. От всего нашего гордого батальона осталась только маленькая кучка. Война эта жестока, и ещё многие лягут костьми в России...».</w:t>
      </w:r>
    </w:p>
    <w:p w14:paraId="2803DF1B" w14:textId="77777777" w:rsidR="00306CC6" w:rsidRPr="00640820" w:rsidRDefault="00306CC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Фашисты глумятся над бойцами и командирами Красной Армии, попавшими в плен, и подвергают их мучительным пыткам. Вырвавшийся из фашистского плена комиссар полка тов. Гуменюк рассказал о таких фактах. На станции Грейгово фашисты, захватив в плен небольшую группу красноармейцев, несколько дней им не давали пищи и воды. Немецкая банда подвергла группу пленных красноармейцев и командиров жестоким пыткам. Нескольким пленным отрезали уши, выкололи глаза, отрубили руки; а затем закололи их штыками. Когда оставшихся в живых пленных погнали в лагерь, некоторые из них падали от истощения. Того, кто не мог итти, фашистские палачи убивали. На станции Лоцкино немцы долго издевались над пленными лейтенантом и политруком, а затем обоих зарубили тесаками.</w:t>
      </w:r>
    </w:p>
    <w:p w14:paraId="3792DA56" w14:textId="77777777" w:rsidR="00306CC6" w:rsidRPr="00640820" w:rsidRDefault="00306CC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Партизанское движение в Югославии продолжает успешно развиваться. Недалеко от города Требине партизаны атаковали поезд, в котором находились немецкие и итальянские солдаты. В завязавшемся бою 93 фашистских солдата было уничтожено. Партизаны захватили большое количество боеприпасов и свыше ста винтовок. Этот же отряд под командованием югославского офицера К. разрушил железнодорожный путь между ст. Рагуза и Херцегнови. В порту Дубровник партизаны потопили итальянский пароход.</w:t>
      </w:r>
    </w:p>
    <w:p w14:paraId="17CEF2AE" w14:textId="77777777" w:rsidR="00306CC6" w:rsidRPr="00640820" w:rsidRDefault="00306CC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Крупный партизанский отряд сербов совершил нападение на итальянский отряд вблизи города Фоча. Партизаны пулемётным огнем и гранатами уничтожили 67 солдат. Итальянская газета «Пополо ди Рома» в связи с усиливающимся партизанским движением в Югославии вынуждена признать, что на территории между Аграмом и Сараевом тысячи сербов разрушают коммуникации держав оси.» (14783).</w:t>
      </w:r>
    </w:p>
    <w:p w14:paraId="7940C417" w14:textId="77777777" w:rsidR="00306CC6" w:rsidRPr="00640820" w:rsidRDefault="00306CC6" w:rsidP="00640820">
      <w:pPr>
        <w:spacing w:after="0" w:line="240" w:lineRule="auto"/>
        <w:jc w:val="both"/>
        <w:rPr>
          <w:rFonts w:ascii="Times New Roman" w:hAnsi="Times New Roman"/>
          <w:color w:val="000000" w:themeColor="text1"/>
          <w:sz w:val="16"/>
          <w:szCs w:val="16"/>
        </w:rPr>
      </w:pPr>
    </w:p>
    <w:p w14:paraId="44AFA01D" w14:textId="77777777" w:rsidR="00306CC6" w:rsidRPr="00640820" w:rsidRDefault="00306CC6"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28 сентября </w:t>
      </w:r>
      <w:r w:rsidRPr="00640820">
        <w:rPr>
          <w:rFonts w:ascii="Times New Roman" w:hAnsi="Times New Roman"/>
          <w:color w:val="000000" w:themeColor="text1"/>
          <w:sz w:val="16"/>
          <w:szCs w:val="16"/>
        </w:rPr>
        <w:t>в 1941 году в Крыму советские войска отошли на ишуньские позиции (14783).</w:t>
      </w:r>
    </w:p>
    <w:p w14:paraId="209E58D2" w14:textId="77777777" w:rsidR="00306CC6" w:rsidRPr="00640820" w:rsidRDefault="00306CC6" w:rsidP="00640820">
      <w:pPr>
        <w:spacing w:after="0" w:line="240" w:lineRule="auto"/>
        <w:jc w:val="both"/>
        <w:rPr>
          <w:rFonts w:ascii="Times New Roman" w:hAnsi="Times New Roman"/>
          <w:color w:val="000000" w:themeColor="text1"/>
          <w:sz w:val="16"/>
          <w:szCs w:val="16"/>
        </w:rPr>
      </w:pPr>
    </w:p>
    <w:p w14:paraId="75C233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сентября 1941 г. вышел ПРИКАЗ № 0090 О СФОРМИРОВАНИИ ШТУРМОВЫХ АВИАЦИОННЫХ ДИВИЗИЙ</w:t>
      </w:r>
    </w:p>
    <w:p w14:paraId="363BAC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Имея в виду использование наших новых истребителей не только как истребителей, но и как штурмовиков, снабженных установками РС, приказываю:</w:t>
      </w:r>
    </w:p>
    <w:p w14:paraId="2A62C8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В течение октября месяца с. г. сформировать 15 штурмовых авиационных дивизий, каждая из которых будет состоять из одного полка штурмовиков и двух полков истребителей, снабженных установками РС.</w:t>
      </w:r>
    </w:p>
    <w:p w14:paraId="2AC568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Формируемые авиационные дивизии вооружить самолетами Ил-2 и истребителями МиГ-3, Як-1 или ЛаГГ-3 с установками РС.</w:t>
      </w:r>
    </w:p>
    <w:p w14:paraId="724D9B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Формирование штурмовых авиадивизий произвести по возможности на базе существующих штурмовых авиаполков (Ил-2) путем досылки в форми руемые дивизии истребительных полков с РС. Штурмовые авиаполки Ил-2 формируемых дивизий доукомплектовать самолетами и экипажами.</w:t>
      </w:r>
    </w:p>
    <w:p w14:paraId="265BF1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Командующему ВВС Красной Армии к 1 октября с. г. представить в НКО на утверждение инструкцию по боевому применению штурмовых авиадивизий.</w:t>
      </w:r>
    </w:p>
    <w:p w14:paraId="303D7E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Главному интенданту Красной Армии, начальникам центральных управлений НКО обеспечить формируемые авиационные дивизии всеми положенными видами довольствия.</w:t>
      </w:r>
    </w:p>
    <w:p w14:paraId="421908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Командующему ВВС Красной Армии доносить в Генштаб о ходе формирования авиационных дивизий каждую пятидневку.</w:t>
      </w:r>
    </w:p>
    <w:p w14:paraId="5560FE97"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Народный комиссар обороны СССР И. СТАЛИН</w:t>
      </w:r>
    </w:p>
    <w:p w14:paraId="0513C7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lastRenderedPageBreak/>
        <w:t>Начальник Генерального штаба Красной Армии Маршал Советского Союза Б. ШАПОШНИКОВ</w:t>
      </w:r>
      <w:r w:rsidRPr="00640820">
        <w:rPr>
          <w:rFonts w:ascii="Times New Roman" w:hAnsi="Times New Roman"/>
          <w:color w:val="000000" w:themeColor="text1"/>
          <w:sz w:val="16"/>
          <w:szCs w:val="16"/>
        </w:rPr>
        <w:t xml:space="preserve"> (9844).</w:t>
      </w:r>
    </w:p>
    <w:p w14:paraId="62DF92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5FCBA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сентября 1941 комэск 32-го ИАП ВВС Черноморского флота ст. л-т Карасев Семен Евстигнеевич сбил тараном над Севастополем вражеский разведчик. При этом ему пришлось покинуть с парашютом сильно поврежденный при ударе истребитель. Очевидно, Карасев уничтожил Do 215 (w/n 0045, борт T5+EL) из АЭ 3.(F)/ObdL, пропавший без вести “в неустановленном районе”. Нельзя исключить, что на счету этого советского летчика еще один сбитый Do 215, поскольку за ним значится таран, выполненный еще 22 сентября, упоминание о котором в немецких источниках пока найти не удалось (10205).</w:t>
      </w:r>
    </w:p>
    <w:p w14:paraId="3B8A31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FAA7B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сентября 1941 немцы потеряли вылетевший в район Орел-Горбачево Не 111Н-6 (w/n 4441) из 1/KG 100. Известно, что тогда вражеский самолет у ст. Скуратове Тульской обл. таранил ком-звена 171-го ИАП мл. л-т Старцев Георгий Никандрович. Он получил тяжелое ранение и, по одним данным, посадил поврежденную машину, по другим - покинул ее с парашютом. Немцы в послевоенной истории KG 100 “Викинг” красочно описывают, как один “Хейнкель” был таранен советским И-16. Летчик сумел перетянуть линию фронта, а затем пошел на вынужденную посадку, но не справился с управлением, и “бомбер” врезался в сельский дом. Три члена экипажа получили ранения, из них двое - тяжелые. По немецким данным, самолет был выведен из строя на 60% (10205).</w:t>
      </w:r>
    </w:p>
    <w:p w14:paraId="0A4A60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25547FE"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7CB7BBDA"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FAE9F92" w14:textId="77777777" w:rsidR="00306CC6" w:rsidRPr="00640820" w:rsidRDefault="00306CC6" w:rsidP="00640820">
      <w:pPr>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 xml:space="preserve">28 сентября 1941 г. </w:t>
      </w:r>
      <w:bookmarkStart w:id="0" w:name="bookmark157"/>
      <w:r w:rsidRPr="00640820">
        <w:rPr>
          <w:rStyle w:val="Heading22"/>
          <w:rFonts w:eastAsia="Calibri"/>
          <w:color w:val="000000" w:themeColor="text1"/>
          <w:sz w:val="16"/>
          <w:szCs w:val="16"/>
        </w:rPr>
        <w:t>Докладная записка заместителя народного комиссара внутренних дел Б. Кобулова</w:t>
      </w:r>
      <w:bookmarkStart w:id="1" w:name="bookmark158"/>
      <w:bookmarkEnd w:id="0"/>
      <w:r w:rsidRPr="00640820">
        <w:rPr>
          <w:rStyle w:val="Heading22"/>
          <w:rFonts w:eastAsia="Calibri"/>
          <w:color w:val="000000" w:themeColor="text1"/>
          <w:sz w:val="16"/>
          <w:szCs w:val="16"/>
        </w:rPr>
        <w:t>в Совет по эвакуации при СНК СССР о потерях материальных ценностей</w:t>
      </w:r>
      <w:bookmarkStart w:id="2" w:name="bookmark159"/>
      <w:bookmarkEnd w:id="1"/>
      <w:r w:rsidRPr="00640820">
        <w:rPr>
          <w:rStyle w:val="Heading22"/>
          <w:rFonts w:eastAsia="Calibri"/>
          <w:color w:val="000000" w:themeColor="text1"/>
          <w:sz w:val="16"/>
          <w:szCs w:val="16"/>
        </w:rPr>
        <w:t>во время эвакуации</w:t>
      </w:r>
      <w:bookmarkEnd w:id="2"/>
    </w:p>
    <w:p w14:paraId="592C63CD" w14:textId="77777777" w:rsidR="00306CC6" w:rsidRPr="00640820" w:rsidRDefault="00306CC6"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По сообщению Управления НКВД по Смоленской обл. в занятых германской армией р-нах обл. осталось не эвакуированным значительное кол-во продовольствия, зерна и това</w:t>
      </w:r>
      <w:r w:rsidRPr="00640820">
        <w:rPr>
          <w:rStyle w:val="16"/>
          <w:rFonts w:ascii="Times New Roman" w:cs="Times New Roman"/>
          <w:color w:val="000000" w:themeColor="text1"/>
          <w:spacing w:val="0"/>
          <w:u w:val="none"/>
        </w:rPr>
        <w:softHyphen/>
        <w:t>ров, а также оборудование и сырье ряда предприятий.</w:t>
      </w:r>
    </w:p>
    <w:p w14:paraId="16FD9F6B" w14:textId="77777777" w:rsidR="00306CC6" w:rsidRPr="00640820" w:rsidRDefault="00306CC6"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В г. Рославле на базе «Заготзерно» оставлено около 1000 тонн пшеницы. В заготовитель</w:t>
      </w:r>
      <w:r w:rsidRPr="00640820">
        <w:rPr>
          <w:rStyle w:val="16"/>
          <w:rFonts w:ascii="Times New Roman" w:cs="Times New Roman"/>
          <w:color w:val="000000" w:themeColor="text1"/>
          <w:spacing w:val="0"/>
          <w:u w:val="none"/>
        </w:rPr>
        <w:softHyphen/>
        <w:t>ных пунктах только 7 р-нов обл. и на базах в гг. Смоленске, Ельня оставлено до 4500 тонн зерна.</w:t>
      </w:r>
    </w:p>
    <w:p w14:paraId="1AD98D96" w14:textId="77777777" w:rsidR="00306CC6" w:rsidRPr="00640820" w:rsidRDefault="00306CC6"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На сыроваренных заводах и базах Смоленского «Сыртреста» осталось около 600 тонн сыра и 477 сливочного масла.</w:t>
      </w:r>
    </w:p>
    <w:p w14:paraId="2719726F" w14:textId="77777777" w:rsidR="00306CC6" w:rsidRPr="00640820" w:rsidRDefault="00306CC6"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В г. Смоленске на складах Облпотребсоюза, Облторга и железной дороги осталось не вывезенным на 1 млн рублей разных товаров: трикотажа, галантереи, стройматериалов.</w:t>
      </w:r>
    </w:p>
    <w:p w14:paraId="1647D5FB" w14:textId="77777777" w:rsidR="00306CC6" w:rsidRPr="00640820" w:rsidRDefault="00306CC6"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На городской телефонной станции в г. Смоленске осталась вся действующая аппаратура, а на складе Облуправления связи — на 500 тыс. руб. технического и хозяйственного имущества.</w:t>
      </w:r>
    </w:p>
    <w:p w14:paraId="5CE8C6DD" w14:textId="77777777" w:rsidR="00306CC6" w:rsidRPr="00640820" w:rsidRDefault="00306CC6"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Остались действующими почти все имевшиеся в районах, ныне занятых противником, предприятия коммунального хозяйства, как то: электростанции, водопроводы и бани со всем оборудованием и имуществом.</w:t>
      </w:r>
    </w:p>
    <w:p w14:paraId="6921ED77" w14:textId="77777777" w:rsidR="00306CC6" w:rsidRPr="00640820" w:rsidRDefault="00306CC6"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Не вывезено все оборудование и продукция 30 льнозаводов Смоленского льнотреста и все имущество, оборудование и сырье смоленских хлебокомбинатов.</w:t>
      </w:r>
    </w:p>
    <w:p w14:paraId="559FDE9F" w14:textId="77777777" w:rsidR="00306CC6" w:rsidRPr="00640820" w:rsidRDefault="00306CC6"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В Краснинском р-не оставлено 57 тракторов и 257 сельхозмашин, из Глинковского р-на не эвакуировали тракторный парк районной МТС.</w:t>
      </w:r>
    </w:p>
    <w:p w14:paraId="712C6548" w14:textId="77777777" w:rsidR="00306CC6" w:rsidRPr="00640820" w:rsidRDefault="00306CC6"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В 20 занятых противником р-нах осталось 20—22% крупного и 18—20% мелкого колхоз</w:t>
      </w:r>
      <w:r w:rsidRPr="00640820">
        <w:rPr>
          <w:rStyle w:val="16"/>
          <w:rFonts w:ascii="Times New Roman" w:cs="Times New Roman"/>
          <w:color w:val="000000" w:themeColor="text1"/>
          <w:spacing w:val="0"/>
          <w:u w:val="none"/>
        </w:rPr>
        <w:softHyphen/>
        <w:t>ного скота, большая часть лошадей и весь скот, принадлежавший лично колхозникам.</w:t>
      </w:r>
    </w:p>
    <w:p w14:paraId="4F366E18" w14:textId="77777777" w:rsidR="00306CC6" w:rsidRPr="00640820" w:rsidRDefault="00306CC6"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Управлением НКВД по Смоленской обл. об изложенном поставлены в известность обком ВКП(б) и облисполком; материалы в отношении лиц, по вине которых были оставлены и не уничтожены при отходе частей Красной Армии продовольствие, товары и материальные ценности, переданы обл. прокурору.</w:t>
      </w:r>
    </w:p>
    <w:p w14:paraId="762A8122" w14:textId="77777777" w:rsidR="00306CC6" w:rsidRPr="00640820" w:rsidRDefault="00306CC6" w:rsidP="00640820">
      <w:pPr>
        <w:tabs>
          <w:tab w:val="left" w:pos="8074"/>
        </w:tabs>
        <w:spacing w:after="0" w:line="240" w:lineRule="auto"/>
        <w:jc w:val="both"/>
        <w:rPr>
          <w:rStyle w:val="Bodytext2"/>
          <w:rFonts w:eastAsia="Calibri"/>
          <w:color w:val="000000" w:themeColor="text1"/>
          <w:sz w:val="16"/>
          <w:szCs w:val="16"/>
        </w:rPr>
      </w:pPr>
      <w:r w:rsidRPr="00640820">
        <w:rPr>
          <w:rStyle w:val="Bodytext2"/>
          <w:rFonts w:eastAsia="Calibri"/>
          <w:color w:val="000000" w:themeColor="text1"/>
          <w:sz w:val="16"/>
          <w:szCs w:val="16"/>
        </w:rPr>
        <w:t>Заместитель НКВД Кобулов (15123).</w:t>
      </w:r>
    </w:p>
    <w:p w14:paraId="57A8DD33" w14:textId="77777777" w:rsidR="00306CC6" w:rsidRPr="00640820" w:rsidRDefault="00306CC6" w:rsidP="00640820">
      <w:pPr>
        <w:tabs>
          <w:tab w:val="left" w:pos="8074"/>
        </w:tabs>
        <w:spacing w:after="0" w:line="240" w:lineRule="auto"/>
        <w:jc w:val="both"/>
        <w:rPr>
          <w:rFonts w:ascii="Times New Roman" w:hAnsi="Times New Roman"/>
          <w:color w:val="000000" w:themeColor="text1"/>
          <w:sz w:val="16"/>
          <w:szCs w:val="16"/>
        </w:rPr>
      </w:pPr>
    </w:p>
    <w:p w14:paraId="043AE4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сентября 1941 в Москве состоялся антифашистский митинг, организованный ЦК ВЛКСМ (338,175).</w:t>
      </w:r>
    </w:p>
    <w:p w14:paraId="625A80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505F941"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11381F1D"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A963775"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28 сентября 1941 на борту крейсера «Лондон» в Архангельск при</w:t>
      </w:r>
      <w:r w:rsidRPr="00640820">
        <w:rPr>
          <w:rFonts w:ascii="Times New Roman" w:hAnsi="Times New Roman"/>
          <w:color w:val="0070C0"/>
          <w:sz w:val="16"/>
          <w:szCs w:val="16"/>
        </w:rPr>
        <w:softHyphen/>
        <w:t>была миссия под руководством министра по делам снабжения Великобритании лорда У. Бивербрука, с участием со стороны США А. Гарримана и У. Стэндли. Оттуда представители союзников вылетели в Москву. В одном из послевоенных британских изданий содержалась хроника событий на конференции: «29 сен</w:t>
      </w:r>
      <w:r w:rsidRPr="00640820">
        <w:rPr>
          <w:rFonts w:ascii="Times New Roman" w:hAnsi="Times New Roman"/>
          <w:color w:val="0070C0"/>
          <w:sz w:val="16"/>
          <w:szCs w:val="16"/>
        </w:rPr>
        <w:softHyphen/>
        <w:t>тября, трехсторонняя конференция по снабжению между Британией, США и Россией открылась в Москве под председательством г. Молотова для изуче</w:t>
      </w:r>
      <w:r w:rsidRPr="00640820">
        <w:rPr>
          <w:rFonts w:ascii="Times New Roman" w:hAnsi="Times New Roman"/>
          <w:color w:val="0070C0"/>
          <w:sz w:val="16"/>
          <w:szCs w:val="16"/>
        </w:rPr>
        <w:softHyphen/>
        <w:t>ния всех доступных ресурсов Советского правительства в сочетании с произ</w:t>
      </w:r>
      <w:r w:rsidRPr="00640820">
        <w:rPr>
          <w:rFonts w:ascii="Times New Roman" w:hAnsi="Times New Roman"/>
          <w:color w:val="0070C0"/>
          <w:sz w:val="16"/>
          <w:szCs w:val="16"/>
        </w:rPr>
        <w:softHyphen/>
        <w:t>водственными возможностями Британии и США. Конференция проводилась шестью комитетами — по ВМФ, армии, авиации, сырью, транспорту и меди</w:t>
      </w:r>
      <w:r w:rsidRPr="00640820">
        <w:rPr>
          <w:rFonts w:ascii="Times New Roman" w:hAnsi="Times New Roman"/>
          <w:color w:val="0070C0"/>
          <w:sz w:val="16"/>
          <w:szCs w:val="16"/>
        </w:rPr>
        <w:softHyphen/>
        <w:t>цинскому снабжению, — которые изучали заявки русских и решили, могли они быть выполнены или нет. 30 сентября лорд Бивербрук и г. Аверелл Гар- риман, руководители британской и американской миссий, навестили Сталина в Кремле, чтобы дать ему окончательные ответы на русские заявки. Эта беседа лучше всего описана словами самого лорда Бивербрука: «Переводчик [М. Лит</w:t>
      </w:r>
      <w:r w:rsidRPr="00640820">
        <w:rPr>
          <w:rFonts w:ascii="Times New Roman" w:hAnsi="Times New Roman"/>
          <w:color w:val="0070C0"/>
          <w:sz w:val="16"/>
          <w:szCs w:val="16"/>
        </w:rPr>
        <w:softHyphen/>
        <w:t>винов] начал торжественно и взволнованно зачитывать каждый пункт. Боль</w:t>
      </w:r>
      <w:r w:rsidRPr="00640820">
        <w:rPr>
          <w:rFonts w:ascii="Times New Roman" w:hAnsi="Times New Roman"/>
          <w:color w:val="0070C0"/>
          <w:sz w:val="16"/>
          <w:szCs w:val="16"/>
        </w:rPr>
        <w:softHyphen/>
        <w:t>шую часть мы смогли поставить, и ответы шли прямо от Гарримана и меня. Он говорил “согласен”, если пункт касался США. Я говорил “хорошо”, если поставки производила Британия. По мере того как список неуклонно продви</w:t>
      </w:r>
      <w:r w:rsidRPr="00640820">
        <w:rPr>
          <w:rFonts w:ascii="Times New Roman" w:hAnsi="Times New Roman"/>
          <w:color w:val="0070C0"/>
          <w:sz w:val="16"/>
          <w:szCs w:val="16"/>
        </w:rPr>
        <w:softHyphen/>
        <w:t>гался вперед, Литвинов вскакивал со своего места, выкрикивая с энтузиазмом. Сталин очевидно чувствовал облегчение» (22686).</w:t>
      </w:r>
    </w:p>
    <w:p w14:paraId="4FDA73AC" w14:textId="77777777" w:rsidR="007F55E4" w:rsidRPr="00640820" w:rsidRDefault="007F55E4" w:rsidP="00640820">
      <w:pPr>
        <w:spacing w:after="0" w:line="240" w:lineRule="auto"/>
        <w:jc w:val="both"/>
        <w:rPr>
          <w:rFonts w:ascii="Times New Roman" w:hAnsi="Times New Roman"/>
          <w:color w:val="0070C0"/>
          <w:sz w:val="16"/>
          <w:szCs w:val="16"/>
        </w:rPr>
      </w:pPr>
    </w:p>
    <w:p w14:paraId="310E4F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сентября 1941 в Россию вышел первый арктический конвой (2260).</w:t>
      </w:r>
    </w:p>
    <w:p w14:paraId="0D10F6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ED61C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сентября 1941 британская (во главе с лордом Уильямом Максуэллом Бивербруком) и американская (во главе с Авереллом Гарриманом) делегации прибыли в Москву. Московская конференция выработала договоренности о поставках СССР с 1 октября 1941 г. по 1 июля 1942 г., что было зафиксировано в протоколе, подписанном в Кремле. Согласно этому соглашению, ежемесячно поставлялось 400 самолетов, в том числе 100 бомбардировщиков, 500 танков; значительное количество автомобилей, зенитных и противотанковых орудий, телефонное оборудование, алюминий, никель, медь, сталь, нефть, медикаменты и т.д. Американская и британская стороны не обязались доставлять соответствующие грузы, но обязались способствовать СССР в их доставке.</w:t>
      </w:r>
    </w:p>
    <w:p w14:paraId="570AA0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Помимо переговоров о поставках, Бивербрук имел четкую миссию: дать понять Сталину, что высадка британских войск в Западной Европе или на территории СССР совершенно нереалистична. Единственно, что было предложено - это чтобы британские войска соединились с советскими на Кавказе (через Иран) (3871).</w:t>
      </w:r>
    </w:p>
    <w:p w14:paraId="4DB3C0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3DD660A" w14:textId="77777777" w:rsidR="00FB057B" w:rsidRPr="00640820" w:rsidRDefault="00FB057B" w:rsidP="00640820">
      <w:pPr>
        <w:pStyle w:val="ae"/>
        <w:shd w:val="clear" w:color="auto" w:fill="FFFFFF"/>
        <w:spacing w:before="0" w:after="0"/>
        <w:jc w:val="both"/>
        <w:rPr>
          <w:color w:val="000000" w:themeColor="text1"/>
          <w:sz w:val="16"/>
          <w:szCs w:val="16"/>
        </w:rPr>
      </w:pPr>
      <w:r w:rsidRPr="00640820">
        <w:rPr>
          <w:color w:val="000000" w:themeColor="text1"/>
          <w:sz w:val="16"/>
          <w:szCs w:val="16"/>
        </w:rPr>
        <w:t>28 сентября 1941 г. Сталин запросил по вопросу о репарациях посола США в СССР Аврелла Гарримана и британского министра запасов и снабжения Уильяма Бивербрука, находившегося в то время с визитом в Москве, но получил от обоих уклончивый ответ [Karlsch, 1993(a). S. 16] (19850).</w:t>
      </w:r>
    </w:p>
    <w:p w14:paraId="5FA030C6" w14:textId="77777777" w:rsidR="00FB057B" w:rsidRPr="00640820" w:rsidRDefault="00FB057B" w:rsidP="00640820">
      <w:pPr>
        <w:pStyle w:val="ae"/>
        <w:shd w:val="clear" w:color="auto" w:fill="FFFFFF"/>
        <w:spacing w:before="0" w:after="0"/>
        <w:jc w:val="both"/>
        <w:rPr>
          <w:color w:val="000000" w:themeColor="text1"/>
          <w:sz w:val="16"/>
          <w:szCs w:val="16"/>
        </w:rPr>
      </w:pPr>
    </w:p>
    <w:p w14:paraId="1F7BFD0A"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72A72BB1"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24414F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сентября 1941 первое хорватское авиасоединение было направлено на советско-германский фронт, а прибыло на место лишь 6 октября 1941 года (Зефиров М.В. Асы Второй мировой войны: Союзники Люфтваффе: Венгрия. Румыния. Болгария, Хорватия. Словакия. Испания. М., 2002. С. 391-392.) (11710,364).</w:t>
      </w:r>
    </w:p>
    <w:p w14:paraId="58E4544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819210"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67CD5616"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B6C87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сентября 1941 Нач. БНТ НКАП С.А.Шумовский писал письмо N 4/1637с Зам. НКАП А.С.Я. в сопровождении докладных записок об устранении некоторых недостатков конструкции ЛаГГ-3, выявленных при исследовании аварий и О разрушении заклепочных швов на ЦП Пе-2 (2567,37).</w:t>
      </w:r>
    </w:p>
    <w:p w14:paraId="1DA555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ADB25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сентября 1941 возобновились испытания ТИС (А) Н.Н.П., который 10 сентября 1941 был направлен на доработку на завод № 51 после двух первых полетов 30 и 31 августа 1941. Из-за эвакуации ЛИИ испытания вновь прервались и 13 октября ТИС (А) перелетел в Арзамас, а 18 октября - в Казань (10545,33).</w:t>
      </w:r>
    </w:p>
    <w:p w14:paraId="743B48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1512B2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29 сентября 1941 возобновилис испытания ТИС (А) с 2хАМ-37 в ЛИИ. 13 октября, после приня</w:t>
      </w:r>
      <w:r w:rsidRPr="00640820">
        <w:rPr>
          <w:rFonts w:ascii="Times New Roman" w:hAnsi="Times New Roman"/>
          <w:color w:val="000000" w:themeColor="text1"/>
          <w:sz w:val="16"/>
          <w:szCs w:val="16"/>
        </w:rPr>
        <w:softHyphen/>
        <w:t>тия решения об эвакуации ЛИИ НКАП, ТИС (А) пере</w:t>
      </w:r>
      <w:r w:rsidRPr="00640820">
        <w:rPr>
          <w:rFonts w:ascii="Times New Roman" w:hAnsi="Times New Roman"/>
          <w:color w:val="000000" w:themeColor="text1"/>
          <w:sz w:val="16"/>
          <w:szCs w:val="16"/>
        </w:rPr>
        <w:softHyphen/>
        <w:t>летел в Арзамас, затем, 18 октября - в Казань, где уже находилось ЛИИ. Но там дали указание провести снача</w:t>
      </w:r>
      <w:r w:rsidRPr="00640820">
        <w:rPr>
          <w:rFonts w:ascii="Times New Roman" w:hAnsi="Times New Roman"/>
          <w:color w:val="000000" w:themeColor="text1"/>
          <w:sz w:val="16"/>
          <w:szCs w:val="16"/>
        </w:rPr>
        <w:softHyphen/>
        <w:t>ла заводские испытания, а потом уже доводочные в ЛИИ НКАП. ТИС (А) разобрали и по железной дороге отправили в Новосибирск. Второй и третий экземпляры ТИС строились, но ввиду небольшой производственной мощности завода и загруженности другими заданиями к началу эвакуа</w:t>
      </w:r>
      <w:r w:rsidRPr="00640820">
        <w:rPr>
          <w:rFonts w:ascii="Times New Roman" w:hAnsi="Times New Roman"/>
          <w:color w:val="000000" w:themeColor="text1"/>
          <w:sz w:val="16"/>
          <w:szCs w:val="16"/>
        </w:rPr>
        <w:softHyphen/>
        <w:t>ции они оказались готовы только на 50-60% и по этой причине до конца 1941 г. работа над ними была приос</w:t>
      </w:r>
      <w:r w:rsidRPr="00640820">
        <w:rPr>
          <w:rFonts w:ascii="Times New Roman" w:hAnsi="Times New Roman"/>
          <w:color w:val="000000" w:themeColor="text1"/>
          <w:sz w:val="16"/>
          <w:szCs w:val="16"/>
        </w:rPr>
        <w:softHyphen/>
        <w:t>тановлена (10667).</w:t>
      </w:r>
    </w:p>
    <w:p w14:paraId="41F1632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752C1A" w14:textId="77777777" w:rsidR="00CD2D86" w:rsidRPr="00640820" w:rsidRDefault="00CD2D86"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29 сентября 1941 испытания ТИС возобновились только, но при первом же полете на скорость стал раскрываться фонарь кабины (даже треснул плексиглас). При</w:t>
      </w:r>
      <w:r w:rsidRPr="00640820">
        <w:rPr>
          <w:rFonts w:ascii="Times New Roman" w:cs="Times New Roman"/>
          <w:color w:val="000000" w:themeColor="text1"/>
          <w:spacing w:val="0"/>
        </w:rPr>
        <w:softHyphen/>
        <w:t>шлось ремонтировать (15755).</w:t>
      </w:r>
    </w:p>
    <w:p w14:paraId="7E29BAFB" w14:textId="77777777" w:rsidR="00CD2D86" w:rsidRPr="00640820" w:rsidRDefault="00CD2D86" w:rsidP="00640820">
      <w:pPr>
        <w:pStyle w:val="27"/>
        <w:shd w:val="clear" w:color="auto" w:fill="auto"/>
        <w:spacing w:after="0" w:line="240" w:lineRule="auto"/>
        <w:ind w:firstLine="0"/>
        <w:rPr>
          <w:rFonts w:ascii="Times New Roman" w:cs="Times New Roman"/>
          <w:color w:val="000000" w:themeColor="text1"/>
          <w:spacing w:val="0"/>
        </w:rPr>
      </w:pPr>
    </w:p>
    <w:p w14:paraId="21F731B6" w14:textId="77777777" w:rsidR="002F5DDC" w:rsidRPr="00640820" w:rsidRDefault="002F5DDC"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29 сентября 1941 испытания ТИС возобновились, но при первом же полете на скорость стал раскры</w:t>
      </w:r>
      <w:r w:rsidRPr="00640820">
        <w:rPr>
          <w:color w:val="000000" w:themeColor="text1"/>
          <w:sz w:val="16"/>
          <w:szCs w:val="16"/>
        </w:rPr>
        <w:softHyphen/>
        <w:t>ваться фонарь летчика и даже треснул плексиглас. Пришлось ремонтировать.</w:t>
      </w:r>
    </w:p>
    <w:p w14:paraId="233AD6C8" w14:textId="77777777" w:rsidR="002F5DDC" w:rsidRPr="00640820" w:rsidRDefault="002F5DDC"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Летной готовности самолет достиг к 12 октября, но к этому времени ГКО уже принял решение об эвакуации заводов г. Москвы и Московской обла</w:t>
      </w:r>
      <w:r w:rsidRPr="00640820">
        <w:rPr>
          <w:color w:val="000000" w:themeColor="text1"/>
          <w:sz w:val="16"/>
          <w:szCs w:val="16"/>
        </w:rPr>
        <w:softHyphen/>
        <w:t>сти на восток, и опытные работы отложили до луч</w:t>
      </w:r>
      <w:r w:rsidRPr="00640820">
        <w:rPr>
          <w:color w:val="000000" w:themeColor="text1"/>
          <w:sz w:val="16"/>
          <w:szCs w:val="16"/>
        </w:rPr>
        <w:softHyphen/>
        <w:t>ших времен. На следующий день ТИС (А) перелетел в Арзамас, а 18 октября — в Казань, куда перебрал</w:t>
      </w:r>
      <w:r w:rsidRPr="00640820">
        <w:rPr>
          <w:color w:val="000000" w:themeColor="text1"/>
          <w:sz w:val="16"/>
          <w:szCs w:val="16"/>
        </w:rPr>
        <w:softHyphen/>
        <w:t>ся ЛИИ НКАП. Начальник ЛИИ профессор А. В. Чесалов решил продолжить совместные заводские испытания в Новосибирске, где на аэродроме Тол- мачево организовывался филиал института и куда отправили завод № 51 и ОКБ Поликарпова. Само</w:t>
      </w:r>
      <w:r w:rsidRPr="00640820">
        <w:rPr>
          <w:color w:val="000000" w:themeColor="text1"/>
          <w:sz w:val="16"/>
          <w:szCs w:val="16"/>
        </w:rPr>
        <w:softHyphen/>
        <w:t>лет разобрали и отправили к месту назначения по железной дороге (17500).</w:t>
      </w:r>
    </w:p>
    <w:p w14:paraId="234E6AF5" w14:textId="77777777" w:rsidR="002F5DDC" w:rsidRPr="00640820" w:rsidRDefault="002F5DDC" w:rsidP="00640820">
      <w:pPr>
        <w:spacing w:after="0" w:line="240" w:lineRule="auto"/>
        <w:jc w:val="both"/>
        <w:rPr>
          <w:rFonts w:ascii="Times New Roman" w:eastAsia="Times New Roman" w:hAnsi="Times New Roman"/>
          <w:color w:val="000000" w:themeColor="text1"/>
          <w:sz w:val="16"/>
          <w:szCs w:val="16"/>
          <w:lang w:eastAsia="ru-RU"/>
        </w:rPr>
      </w:pPr>
    </w:p>
    <w:p w14:paraId="126A0A9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сентября 1941 г капитану И.Пискунову пришлось выбивать верхнее остекление головой, но и после это</w:t>
      </w:r>
      <w:r w:rsidRPr="00640820">
        <w:rPr>
          <w:rFonts w:ascii="Times New Roman" w:hAnsi="Times New Roman"/>
          <w:color w:val="000000" w:themeColor="text1"/>
          <w:sz w:val="16"/>
          <w:szCs w:val="16"/>
        </w:rPr>
        <w:softHyphen/>
        <w:t>го он не мог выбраться из падающей маши</w:t>
      </w:r>
      <w:r w:rsidRPr="00640820">
        <w:rPr>
          <w:rFonts w:ascii="Times New Roman" w:hAnsi="Times New Roman"/>
          <w:color w:val="000000" w:themeColor="text1"/>
          <w:sz w:val="16"/>
          <w:szCs w:val="16"/>
        </w:rPr>
        <w:softHyphen/>
        <w:t>ны. Пилоту, в недавнем прошлом истребите</w:t>
      </w:r>
      <w:r w:rsidRPr="00640820">
        <w:rPr>
          <w:rFonts w:ascii="Times New Roman" w:hAnsi="Times New Roman"/>
          <w:color w:val="000000" w:themeColor="text1"/>
          <w:sz w:val="16"/>
          <w:szCs w:val="16"/>
        </w:rPr>
        <w:softHyphen/>
        <w:t>лю, удалось спастись, перевернув Пе-2 на спину, резко отдав от себя штурвал и выва</w:t>
      </w:r>
      <w:r w:rsidRPr="00640820">
        <w:rPr>
          <w:rFonts w:ascii="Times New Roman" w:hAnsi="Times New Roman"/>
          <w:color w:val="000000" w:themeColor="text1"/>
          <w:sz w:val="16"/>
          <w:szCs w:val="16"/>
        </w:rPr>
        <w:softHyphen/>
        <w:t>лившись наружу. В совершившем вынуж</w:t>
      </w:r>
      <w:r w:rsidRPr="00640820">
        <w:rPr>
          <w:rFonts w:ascii="Times New Roman" w:hAnsi="Times New Roman"/>
          <w:color w:val="000000" w:themeColor="text1"/>
          <w:sz w:val="16"/>
          <w:szCs w:val="16"/>
        </w:rPr>
        <w:softHyphen/>
        <w:t>денную посадку под Бахчисараем Пе-2 фо</w:t>
      </w:r>
      <w:r w:rsidRPr="00640820">
        <w:rPr>
          <w:rFonts w:ascii="Times New Roman" w:hAnsi="Times New Roman"/>
          <w:color w:val="000000" w:themeColor="text1"/>
          <w:sz w:val="16"/>
          <w:szCs w:val="16"/>
        </w:rPr>
        <w:softHyphen/>
        <w:t>нарь вообще не захотел открываться, и стрелку-радисту Н.Данилушкину пришлось выбивать его ногами, чтобы вытащить лёт</w:t>
      </w:r>
      <w:r w:rsidRPr="00640820">
        <w:rPr>
          <w:rFonts w:ascii="Times New Roman" w:hAnsi="Times New Roman"/>
          <w:color w:val="000000" w:themeColor="text1"/>
          <w:sz w:val="16"/>
          <w:szCs w:val="16"/>
        </w:rPr>
        <w:softHyphen/>
        <w:t>чика и штурмана (11392).</w:t>
      </w:r>
    </w:p>
    <w:p w14:paraId="0925885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ED50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29 сентября 1941 г. завод (Завод № 29 ВСНХ, НКТП, НКОП, НКАП, Завод ДЕКА, Завод № 9 «Большевик» ВСНХ, Государственный авиационный завод № 9 (ГАЗ-9) «Большевик» ВСНХ, Омский моторостроительный завод (ОМЗ) им. П.И. Баранова, п/я 64, Омское моторостроительное ПО им. П.И. Баранова, А-3573, Омский авиадвигателестроительный комплекс, ФГУП «Омское моторостроительное объединение (ОМО) им. Баранова», ФГУП «Омское моторостроительное предприятие им. П.И. Баранова» (ОМПБ) / г. Александровск,  г. Запорожье Сталинской ж/д пл. Тараса Шевченко «ГАЗ девятый» (1927 г.);  г. Запорожье п/я 18 «Супорт», ст. Александровск Екатерининской ж/д (1928 г.);  г. Омск 11-я Линия, 283 (1947 г.)/ /644021  г. Омск ул. Б. Хмельницкого, 283 тел. 33-47-20/) и ОКБ в соответствии с пост. ГКО № 457сс от 11.08.1941 г. и приказом № 844сс от 12.08.1941 г. эвакуированы в  г. Омск на площадку завода № 166 НКАП и завода сельскохозяйственных машин им. Куйбышева (завод № 495 НКАП) и продолжили Действовать самостоятельно, заводу переданы склады УГМР.</w:t>
      </w:r>
    </w:p>
    <w:p w14:paraId="4E35E3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19.08.1941 г. вышло постановление ГКО № 512 об ускорении работ на заводе. Приказом № 469с от 3.08.1943 г. заводу переданы все сооружения завода № 288 НКАП (кроме ЛИС и территории, временно закрепленной за ОКБ А.Н. Туполева).</w:t>
      </w:r>
    </w:p>
    <w:p w14:paraId="04660E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01.1942 г. в Омске восстановлено производство М-88Б.</w:t>
      </w:r>
    </w:p>
    <w:p w14:paraId="5A4B07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соответствии с пост. ГКО № 1263 от 9.02.1942 г. под руководством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Нитченко (зам. гл. конструктора А.Д. Швецова) на заводе началось освоение производства М-82. 6.03.1942 г. вышло постановление ГКО № 1397 о сохранении на заводе производства М-88. По постановлению ГКО № 1832 от 30.05.1942 г. 50 чел. ИТР были переведены с завода на завод № 45 НКАП. 24.08.1942 г. вышло постановление ГКО № 2210 о производстве моторов М-82 на заводе; 15.06.1943 г. - постановление ГКО № 3587 о производстве моторов М-82ФН на заводе, первые моторы выпущены в 11.1943 г.; 20.10.1944 г. - постановление ГКО № 6752 об увеличении выпуска мотора АШ-82ФН.</w:t>
      </w:r>
    </w:p>
    <w:p w14:paraId="0B58A2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10.1944 г. на старом месте в Запорожье основан завод № 478 (вступил в строй в 1947 г.).</w:t>
      </w:r>
    </w:p>
    <w:p w14:paraId="6250B3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Распоряжением ГКО № 6827 от 29.10.1944 г. на заводы № 29 и 19 направлено 3000 освобожденных заключенных. В 1946 г. заводу передано 1600 единиц (196 вагонов) трофейного оборудования из Чехословакии.</w:t>
      </w:r>
    </w:p>
    <w:p w14:paraId="4D15CF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 № 557 от 23.08.1955 г. на заводе организовано серйное КБ - филиал ОКБ-19 для сопровождения серийного выпуска и усовершенствования моторов АШ-82Т, -82В (далее - ОКБ-29).</w:t>
      </w:r>
    </w:p>
    <w:p w14:paraId="58BC71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СМ СССР № 713-342 от 26.06.1957 г. завод № 29 передан в ведение управления агрегатостроения Западно-Сибирского СНХ РСФСР. Имел наименование «п/я 64». В 1973-83 г. - предприятие А- 3573, с 1979 г. - ОМПО им. П.И. Баранова. В 2002 г. - ФГУП «ОМО им. Баранова», 2004 г. - ФГУП «ОМПБ».</w:t>
      </w:r>
    </w:p>
    <w:p w14:paraId="50614F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12.1958 г. при заводе создан филиал № 3 ОКБ-456 для сопровождения серии ЖРД. Ликвидирован в 1968 г.</w:t>
      </w:r>
    </w:p>
    <w:p w14:paraId="4022FD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11.1970 г. собран первый АЛ-21Ф (изд. «85»).</w:t>
      </w:r>
    </w:p>
    <w:p w14:paraId="19648F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 В 07.2005 г. было подписано соглашение о вхождении в течение года ОМПБ им. Баранова в состав ММПП «Салют» в качестве филиала.</w:t>
      </w:r>
    </w:p>
    <w:p w14:paraId="41E557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2004 г. предприятие производило также ремонт авиадвигателей.</w:t>
      </w:r>
    </w:p>
    <w:p w14:paraId="164CDE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(1926 г.)- 279 ед.</w:t>
      </w:r>
    </w:p>
    <w:p w14:paraId="1DF796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территории (1925 г.)- 84 тыс.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производственная (1925 г.)- 8,8 тыс.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вспомогательная (1925 г.)- 5,8 тыс.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3E5723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(12.1926 г.)- 521 чел., (15.09.1964 г.)- 21.735 чел., (2005 г.)- около 7000 чел.</w:t>
      </w:r>
    </w:p>
    <w:p w14:paraId="2FE840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(05.1925 г.)- Старов, (-06.1927-01.1928 г.-)- Мартыненко, (08.1928 г.)- Дыпшер, (-1934-23.12.1937 г.)- С.А. Александров (снят как несправившийся), (23.12.1937-39 г.)- В.В. Чернышев, (06.1940 г.)- Громов, (10.1940- 09.41 г.-)- М.М. Лукин, (1941-45 г.-)- И.Т. Борисов. Гендиректор (-1990 г.-)- А.Н. Патрикеичев, (1998-2005 г.-)- Ю.А. Спиваков,</w:t>
      </w:r>
      <w:r w:rsidRPr="00640820">
        <w:rPr>
          <w:rFonts w:ascii="Times New Roman" w:hAnsi="Times New Roman"/>
          <w:color w:val="000000" w:themeColor="text1"/>
          <w:sz w:val="16"/>
          <w:szCs w:val="16"/>
          <w:vertAlign w:val="superscript"/>
        </w:rPr>
        <w:t>49</w:t>
      </w:r>
      <w:r w:rsidRPr="00640820">
        <w:rPr>
          <w:rFonts w:ascii="Times New Roman" w:hAnsi="Times New Roman"/>
          <w:color w:val="000000" w:themeColor="text1"/>
          <w:sz w:val="16"/>
          <w:szCs w:val="16"/>
        </w:rPr>
        <w:t xml:space="preserve"> (11.2006 г.-)- А. Шутов.</w:t>
      </w:r>
    </w:p>
    <w:p w14:paraId="7C108F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(06.1937 г.)- О.Д. Дунаевский, (07.1938 г.)- Игнатьев, (9.08.1938 г.-)- В.П. Заикин, (-10.1940 г.)- К.П. Васильев, (10.1940 г.-)- Н.И. Бирюков; по ПВО и охране (31.10.1938 г.-)- П.В. Филоненко. Помощник директора: по техчасти (-1925-6.04.1926 г.)- Сухоруков (снят за халатность); и.о. (6.04.1926 г.-)- Лялин; (06.1927 г.)- Рякин, (08.1928 г.)- Осипов; по найму и увольнению (-06.1937-28.09.1938 г.)- Д.П. Богданов, (28.09.1938 г.-&gt; И.Ф. Ермаков.</w:t>
      </w:r>
    </w:p>
    <w:p w14:paraId="226F70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(06.1937 г.)- О.Д. Дунаевский; и.о. (-10.07.1938 г.)- Мерцалов (снят и осужден); (9.08.1938 г.-)- В.П. Заикин, (-1998 г.)- Ю.А. Спиваков, (2005 г.)- Е. Шарапов.</w:t>
      </w:r>
    </w:p>
    <w:p w14:paraId="282DC9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строительства (11.03.1937 г.-)- Е.В. Любицкий.</w:t>
      </w:r>
    </w:p>
    <w:p w14:paraId="7F8AC0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(1930-36 г.)- А.С. Назаров, (19.02.1938-10.1940 г.)- С.К. Туманский (снят), (10.1940-08.1941 г.-)- Е.В. Урмин.</w:t>
      </w:r>
    </w:p>
    <w:p w14:paraId="08FD29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металлург (17.05.1938 г.-)- Газезьян; и.о. Колчинский. Гл. механик (06.1927 г.)- Габелин.</w:t>
      </w:r>
    </w:p>
    <w:p w14:paraId="732D98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производства (1973 г.)- В. Соснин.</w:t>
      </w:r>
    </w:p>
    <w:p w14:paraId="372FC7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серийного КБ завода в Омске- А. Г. Ивченко.</w:t>
      </w:r>
    </w:p>
    <w:p w14:paraId="3F0369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Заведующие цехами: механическим (06.1927 г.)- П.К. Молодцов; литейным (06.1927 г.)- С.И. Кривоносов; термическим (06.1927 г.)- Ф.О. Рыбкин; испытательной станцией (06.1927 г.)- В.Л. Бушмарин. Начальники цехов: термического (-10.07.1938 г.)- Путрин (снят); (-1978 г.)- П.С. Верхолезов.</w:t>
      </w:r>
    </w:p>
    <w:p w14:paraId="00F74F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начальника цеха: П.С. Верхолезов.</w:t>
      </w:r>
    </w:p>
    <w:p w14:paraId="2AB3B1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административного (1925 г.)- Китц; эксплуатационного (04.1938 г.)- Потемкин, (-09- 12.1938 г.-)- Еременко. Заведующий секретным делопроизводством (06.1927 г.)- Шперлин г.</w:t>
      </w:r>
    </w:p>
    <w:p w14:paraId="4AB927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лабораторий: П.С. Верхолезов.</w:t>
      </w:r>
    </w:p>
    <w:p w14:paraId="3C1AC1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Заведующий чертежным бюро (бюро приспособлений и инструмента) (06.1927 г.)- В.А. Пивовар. Статистик (01.1928 г.)- Богданов.</w:t>
      </w:r>
    </w:p>
    <w:p w14:paraId="697D08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авиационные двигатели: поршневые: «Дека» М-100 (1916-), М-6 (1923-31), М-11 (1927-41-), М-22 (1930-35)- более 8000, М-85 (1934-41-), М-86 (1937-), М-87 (1937-), М-88 (1940-42-), М-88Б (1942-)- 10.512, М-90 (1940); М-82, АШ-82ФН (1942-45)- всего 17.526; АШ-82Т, АШ-82В, АШ-21; ГТД: ГТД-ЗФ (1966-86)- 1000, ГТД-ЗМ, ГТД-ЗТЛ, ГТД-5М, ТВД-20 (-2002-04), АЛ-21Ф-ЗА (1970-2002-), РД-33 (1980-е-2002-), ВСУ-10 (1990-е- 2002-), ТВ7-117 (2002); ЖРД для РН: РД-119, РД-216 (1960-е); радиаторы для танка Т-26 (1932); коробки передач и дифференциалы для автомобилей ИЖ-2126, ИЖ-2717 (-2006); насосное оборудование, мотокультиваторы, снегоуборочное оборудование (11982).</w:t>
      </w:r>
    </w:p>
    <w:p w14:paraId="7CB1D8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DC637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сентября 1941 вышло Постановление ГКО № 721 О производстве стальных штамповок для самолетов. РГАНИР, Фонд ГКО, д. 10, лл. 105 (11012).</w:t>
      </w:r>
    </w:p>
    <w:p w14:paraId="4840DA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B15B4B2"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0AC1F78B"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E42521B" w14:textId="77777777" w:rsidR="002F5DDC" w:rsidRPr="00640820" w:rsidRDefault="002F5DD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29 сентября 1941. начались испытания М75 на Уральском артиллерийском полигоне (ныне Нижнетагильский институт испытания металлов (НТИИМ)). Первым этапом стала разборка и сборка систем, в ходе которой стволы на орудиях поменяли местами.</w:t>
      </w:r>
    </w:p>
    <w:p w14:paraId="6154C201" w14:textId="77777777" w:rsidR="002F5DDC" w:rsidRPr="00640820" w:rsidRDefault="002F5DD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ходе испытаний проверялись прочность системы, её баллистические свойства и определялась бронепробиваемость. На испытания предъявили те же опытные образцы, что проходили заводские испытания. Система под номером 1 имела трубу №4 с длиной хода нареза 25 калибров, а система под номером 2 имела трубу №7 с длиной нарезов 32 калибра. Также с пушками доставили трубу №5, у которой длина нарезов составляла 32 калибра.</w:t>
      </w:r>
    </w:p>
    <w:p w14:paraId="0BA3854C" w14:textId="77777777" w:rsidR="002F5DDC" w:rsidRPr="00640820" w:rsidRDefault="002F5DD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Документацию на пушки доставили 28 августа.</w:t>
      </w:r>
    </w:p>
    <w:p w14:paraId="1B3D5B6D" w14:textId="77777777" w:rsidR="002F5DDC" w:rsidRPr="00640820" w:rsidRDefault="002F5DD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Испытания осложнялись тем, что Уральский артиллерийский полигон не был приспособлен к целому ряду необходимых работ (17650).</w:t>
      </w:r>
    </w:p>
    <w:p w14:paraId="1BE91B86" w14:textId="77777777" w:rsidR="002F5DDC" w:rsidRPr="00640820" w:rsidRDefault="002F5DDC" w:rsidP="00640820">
      <w:pPr>
        <w:spacing w:after="0" w:line="240" w:lineRule="auto"/>
        <w:jc w:val="both"/>
        <w:rPr>
          <w:rFonts w:ascii="Times New Roman" w:eastAsia="Times New Roman" w:hAnsi="Times New Roman"/>
          <w:color w:val="000000" w:themeColor="text1"/>
          <w:sz w:val="16"/>
          <w:szCs w:val="16"/>
          <w:lang w:eastAsia="ru-RU"/>
        </w:rPr>
      </w:pPr>
    </w:p>
    <w:p w14:paraId="58D19C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сентября 1941 вышло Постановление ГКО№ 720 Об увеличении выпуска на заводах НКЭП деталей к 25 мм пушке. РГАНИР, Фонд ГКО, д. 10, лл. 102, 103-104 (11012).</w:t>
      </w:r>
    </w:p>
    <w:p w14:paraId="7C7281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FE8F54C" w14:textId="77777777" w:rsidR="00CD2D86" w:rsidRPr="00640820" w:rsidRDefault="00CD2D86" w:rsidP="00640820">
      <w:pPr>
        <w:pStyle w:val="ae"/>
        <w:shd w:val="clear" w:color="auto" w:fill="FFFFFF"/>
        <w:spacing w:before="0" w:after="0"/>
        <w:jc w:val="both"/>
        <w:rPr>
          <w:color w:val="000000" w:themeColor="text1"/>
          <w:sz w:val="16"/>
          <w:szCs w:val="16"/>
        </w:rPr>
      </w:pPr>
      <w:r w:rsidRPr="00640820">
        <w:rPr>
          <w:color w:val="000000" w:themeColor="text1"/>
          <w:sz w:val="16"/>
          <w:szCs w:val="16"/>
        </w:rPr>
        <w:t xml:space="preserve">29 сентября 1941 на Уральском артиллерийском полигоне (ныне Нижнетагильский институт испытания металлов (НТИИМ)) начались испытания пушки М-75. </w:t>
      </w:r>
      <w:r w:rsidRPr="00640820">
        <w:rPr>
          <w:color w:val="000000" w:themeColor="text1"/>
          <w:sz w:val="16"/>
          <w:szCs w:val="16"/>
        </w:rPr>
        <w:lastRenderedPageBreak/>
        <w:t>Первым этапом стала разборка и сборка систем, в ходе которой стволы на орудиях поменяли местами. Испытания осложнялись тем, что Уральский артиллерийский полигон не был приспособлен к целому ряду необходимых работ.</w:t>
      </w:r>
    </w:p>
    <w:p w14:paraId="37174E56" w14:textId="77777777" w:rsidR="00CD2D86" w:rsidRPr="00640820" w:rsidRDefault="00CD2D86" w:rsidP="00640820">
      <w:pPr>
        <w:pStyle w:val="ae"/>
        <w:shd w:val="clear" w:color="auto" w:fill="FFFFFF"/>
        <w:spacing w:before="0" w:after="0"/>
        <w:jc w:val="both"/>
        <w:rPr>
          <w:color w:val="000000" w:themeColor="text1"/>
          <w:sz w:val="16"/>
          <w:szCs w:val="16"/>
        </w:rPr>
      </w:pPr>
      <w:r w:rsidRPr="00640820">
        <w:rPr>
          <w:color w:val="000000" w:themeColor="text1"/>
          <w:sz w:val="16"/>
          <w:szCs w:val="16"/>
        </w:rPr>
        <w:t>Первые стрельбы начались лишь 5 октября. Огонь вёлся из системы №1. 16 октября, после 105 выстрелов, по предложению завода №172 испытания приостановили. Связано это было с необходимостью изготовления нового клина и ряда других деталей. Испытания возобновились 3 ноября. После 402 выстрелов из-за большого разгара нарезной части канала ствола трубу №5 заменили на трубу №4. Испытания стрельбой закончили 11 декабря, но из-за занятости испытаниями других систем отчёт о них был составлен только ко 2 января 1942 года.</w:t>
      </w:r>
    </w:p>
    <w:p w14:paraId="1424F809" w14:textId="77777777" w:rsidR="00CD2D86" w:rsidRPr="00640820" w:rsidRDefault="00CD2D86" w:rsidP="00640820">
      <w:pPr>
        <w:pStyle w:val="ae"/>
        <w:shd w:val="clear" w:color="auto" w:fill="FFFFFF"/>
        <w:spacing w:before="0" w:after="0"/>
        <w:jc w:val="both"/>
        <w:rPr>
          <w:color w:val="000000" w:themeColor="text1"/>
          <w:sz w:val="16"/>
          <w:szCs w:val="16"/>
        </w:rPr>
      </w:pPr>
      <w:r w:rsidRPr="00640820">
        <w:rPr>
          <w:color w:val="000000" w:themeColor="text1"/>
          <w:sz w:val="16"/>
          <w:szCs w:val="16"/>
        </w:rPr>
        <w:t>Общие выводы по испытаниям оказались крайне неоднозначными. Во-первых, живучесть трубы была определена всего в 250–300 выстрелов, что было явно недостаточным. Во-вторых, возникли серьёзные проблемы с бронепробиваемостью. Пушка пробила лист толщиной 152 мм, но случилось это на дистанции всего 100 метров. На дистанции в километр обстрел даже не проводился, поскольку корпуса снарядов оказались непрочными.</w:t>
      </w:r>
    </w:p>
    <w:p w14:paraId="694C2CFC" w14:textId="77777777" w:rsidR="00CD2D86" w:rsidRPr="00640820" w:rsidRDefault="00CD2D86" w:rsidP="00640820">
      <w:pPr>
        <w:pStyle w:val="ae"/>
        <w:shd w:val="clear" w:color="auto" w:fill="FFFFFF"/>
        <w:spacing w:before="0" w:after="0"/>
        <w:jc w:val="both"/>
        <w:rPr>
          <w:color w:val="000000" w:themeColor="text1"/>
          <w:sz w:val="16"/>
          <w:szCs w:val="16"/>
        </w:rPr>
      </w:pPr>
      <w:r w:rsidRPr="00640820">
        <w:rPr>
          <w:color w:val="000000" w:themeColor="text1"/>
          <w:sz w:val="16"/>
          <w:szCs w:val="16"/>
        </w:rPr>
        <w:t>Впрочем, это было хронической проблемой советских бронебойных снарядов большинства систем, стоявших на вооружении, и решить её удалось далеко не сразу. Реальная скорострельность пушки оказалась всего 5–6 выстрелов в минуту. Наблюдались большие проблемы и с экстракцией гильз. В итоге М75 признали не выдержавшей испытания.</w:t>
      </w:r>
    </w:p>
    <w:p w14:paraId="2A66B6D6" w14:textId="77777777" w:rsidR="00CD2D86" w:rsidRPr="00640820" w:rsidRDefault="00CD2D86" w:rsidP="00640820">
      <w:pPr>
        <w:pStyle w:val="ae"/>
        <w:shd w:val="clear" w:color="auto" w:fill="FFFFFF"/>
        <w:spacing w:before="0" w:after="0"/>
        <w:jc w:val="both"/>
        <w:rPr>
          <w:color w:val="000000" w:themeColor="text1"/>
          <w:sz w:val="16"/>
          <w:szCs w:val="16"/>
        </w:rPr>
      </w:pPr>
      <w:r w:rsidRPr="00640820">
        <w:rPr>
          <w:color w:val="000000" w:themeColor="text1"/>
          <w:sz w:val="16"/>
          <w:szCs w:val="16"/>
        </w:rPr>
        <w:t>Потенциально довести М75 до ума завод №172, конечно, мог. Схожие проблемы имели многие пушки, в том числе противотанковые. Ход испытаний показал, каким образом можно устранить выявленные недостатки. Кроме того, как уже говорилось выше, Уральский артиллерийский полигон не был приспособлен к полноценным испытаниям, и в условиях завода можно было решить многие возникшие на полигоне проблемы (17108).</w:t>
      </w:r>
    </w:p>
    <w:p w14:paraId="4180E9D0" w14:textId="77777777" w:rsidR="00CD2D86" w:rsidRPr="00640820" w:rsidRDefault="00CD2D86" w:rsidP="00640820">
      <w:pPr>
        <w:pStyle w:val="ae"/>
        <w:shd w:val="clear" w:color="auto" w:fill="FFFFFF"/>
        <w:spacing w:before="0" w:after="0"/>
        <w:jc w:val="both"/>
        <w:rPr>
          <w:color w:val="000000" w:themeColor="text1"/>
          <w:sz w:val="16"/>
          <w:szCs w:val="16"/>
        </w:rPr>
      </w:pPr>
    </w:p>
    <w:p w14:paraId="0996A1A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сентября 1941 года заместитель начальника ГАБТУ КА генерал-майор Лебедев доложил заместителю председателя ГКО Молотову:</w:t>
      </w:r>
    </w:p>
    <w:p w14:paraId="72C3B23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«Согласно постановления ГКО № 1с от 1 июля 1941 года завод № 183 обязан к 10 августа 1941 г. отработать приспособление к мотору М-17Т для работы на дизельном топливе.</w:t>
      </w:r>
    </w:p>
    <w:p w14:paraId="5898FD8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Указанное постановление завод № 183 в срок не выполнил. Проведенными испытаниями установлена неудовлетворительная работа мотора М-17Т на дизельном топливе. НКТП предложил заводам № 112 и СТЗ продолжить работу по доводке приспособления к мотору М-17Т для его работы на дизельном топливе.</w:t>
      </w:r>
    </w:p>
    <w:p w14:paraId="00435FE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Поэтому впредь до получения удовлетворительных результатов работы мотора М-17Т на дизельном топливе, в танки Т-34 выпускаемые заводом № 112, будут устанавливаться моторы, работающие на бензине.</w:t>
      </w:r>
    </w:p>
    <w:p w14:paraId="33C26F9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Одновременно ведутся работы по переводу мотора на топлива с повышенным удельным весом (керосин, лигроин), как резервный вид топлива на случай затруднений в получении бензинов КБ-70 и Б-70».</w:t>
      </w:r>
    </w:p>
    <w:p w14:paraId="4540C64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Между тем, выпуск тридцатьчетверок на заводах № 183 и СТЗ нарастал, хотя при этом стали возникать проблемы с качеством машин. Танк Т-34, имевший и без того большое число недоработок, в условиях военно- ного времени при увеличении программы производства и часто отсутствии необходимых материалов, естественно не становился лучше. В худшую сторону по качеству продукции отмечались сталинградцы, о чем уже говорилось выше. Например, уже 9 августа 1941 года военпред СТЗ Левин сообщал директору завода Дульки- ну о том, что за последнее время при испытании Т-34 обнаружилось большое количество дефектов, основными из которых были заедание в кронштейнах тормозных лент (при этом машина теряла управление, а лента загоралась), массовый скол зубьев шестерен и течь из сальников коробки передач. При этом военпред просил «немедленно принять меры к устранению вышеперечисленных дефектов, так как указанные дефекты отражаются на выполнении программы, срывают транспорта и влияют на качество матчасти танка при эксплуатации» (12217).</w:t>
      </w:r>
    </w:p>
    <w:p w14:paraId="6104989E"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085FD00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сентября 1941 года по наклад</w:t>
      </w:r>
      <w:r w:rsidRPr="00640820">
        <w:rPr>
          <w:rFonts w:ascii="Times New Roman" w:hAnsi="Times New Roman"/>
          <w:color w:val="000000" w:themeColor="text1"/>
          <w:sz w:val="16"/>
          <w:szCs w:val="16"/>
        </w:rPr>
        <w:softHyphen/>
        <w:t>ной № 2909 БА-30, вместе с 41 другими машинами из му</w:t>
      </w:r>
      <w:r w:rsidRPr="00640820">
        <w:rPr>
          <w:rFonts w:ascii="Times New Roman" w:hAnsi="Times New Roman"/>
          <w:color w:val="000000" w:themeColor="text1"/>
          <w:sz w:val="16"/>
          <w:szCs w:val="16"/>
        </w:rPr>
        <w:softHyphen/>
        <w:t>зея НИБТ полигона, был отправлен в распоряжение Казанских бронетанковых курсов Красной Армии. Дальнейшая судьба броневика неизвестна, скорее всего, его сдали в металлолом (11284).</w:t>
      </w:r>
    </w:p>
    <w:p w14:paraId="5EBC3BD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F0A156" w14:textId="77777777" w:rsidR="007F55E4" w:rsidRPr="00640820" w:rsidRDefault="007F55E4" w:rsidP="00640820">
      <w:pPr>
        <w:shd w:val="clear" w:color="auto" w:fill="FFFFFF"/>
        <w:spacing w:after="0" w:line="240" w:lineRule="auto"/>
        <w:jc w:val="both"/>
        <w:rPr>
          <w:rFonts w:ascii="Times New Roman" w:eastAsia="Times New Roman" w:hAnsi="Times New Roman"/>
          <w:color w:val="0070C0"/>
          <w:sz w:val="16"/>
          <w:szCs w:val="16"/>
          <w:lang w:eastAsia="ru-RU"/>
        </w:rPr>
      </w:pPr>
      <w:r w:rsidRPr="00640820">
        <w:rPr>
          <w:rFonts w:ascii="Times New Roman" w:eastAsia="Times New Roman" w:hAnsi="Times New Roman"/>
          <w:color w:val="0070C0"/>
          <w:sz w:val="16"/>
          <w:szCs w:val="16"/>
          <w:lang w:eastAsia="ru-RU"/>
        </w:rPr>
        <w:t>К 29 сентября 1941 года завод № 37 изготовил 14 литых башен, по которым было дано распоряжение установить их на корпуса и передать заводу №37. Данное распоряжение подтверждалось служебной запиской от 7 октября, но что происходило дальше, неизвестно. Дело в том, что завод №37 в октябре 1941 года эвакуировали в Свердловск. В тот же день, 9 октября 1941 года, было принято решение и по Коломенскому машиностроительному заводу им. Куйбышева. Тем же постановлением ГКО №752сс "Об эвакуации заводов: № 37, КИМ и Подольского и танкового производства Коломенского завода" танковое производство из Коломны направлялось в Киров, на площадку Кировского машиностроительного завода им. 1-го Мая НКПС. На новом месте был образован завод №38 НКТП. С большой долей вероятности литые башни уехали в эвакуацию вместе с заделом по корпусному производству. Одно можно говорить с уверенностью: если эти башни и пустили в дело, то точно не для Т-60. Дело в том, что и на заводе №37, и на заводе №38, первое время выпускали отнюдь не Т-60, а Т-30. Задел по корпусам был такой, что организация выпуска Т-60 случилась далеко не сразу.  (20599).</w:t>
      </w:r>
    </w:p>
    <w:p w14:paraId="256A27CD" w14:textId="77777777" w:rsidR="007F55E4" w:rsidRPr="00640820" w:rsidRDefault="007F55E4" w:rsidP="00640820">
      <w:pPr>
        <w:spacing w:after="0" w:line="240" w:lineRule="auto"/>
        <w:jc w:val="both"/>
        <w:rPr>
          <w:rFonts w:ascii="Times New Roman" w:hAnsi="Times New Roman"/>
          <w:color w:val="0070C0"/>
          <w:sz w:val="16"/>
          <w:szCs w:val="16"/>
        </w:rPr>
      </w:pPr>
    </w:p>
    <w:p w14:paraId="7651644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сентября 1941 года вышел Приказ НКБ № 557</w:t>
      </w:r>
    </w:p>
    <w:p w14:paraId="2B80CD3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основании распоряжения СНК № 6066 от 10 августа и совместного приказа НКБ и НКУП № 247/449 от 25 августа 1941 года о передаче Киселевского завода из НКУП в НКБ и последующей приемке указанного завода по акту от 15 сентября 1941 года:</w:t>
      </w:r>
    </w:p>
    <w:p w14:paraId="074D6D2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Кисилевский машиностроительный завод подчинить 4 Гл. управлению и присвоить номер 605 (5677, 187).</w:t>
      </w:r>
    </w:p>
    <w:p w14:paraId="4061578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6767C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сентября 1941 года вышел Приказ НКБ № 565</w:t>
      </w:r>
    </w:p>
    <w:p w14:paraId="2705FF3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основании постановления СНК и ЦК ВКП(б) от 16 августа 1941 года № 1976-891:</w:t>
      </w:r>
    </w:p>
    <w:p w14:paraId="2C1B948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Строительству завода в Уфе присвоить № 601 (5677, 231).</w:t>
      </w:r>
    </w:p>
    <w:p w14:paraId="391CD7F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9583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сентября 1941 закончилась эвакуация запорожского завода (6,116).</w:t>
      </w:r>
    </w:p>
    <w:p w14:paraId="5CD855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24AC0BA" w14:textId="77777777" w:rsidR="00333541" w:rsidRPr="00640820" w:rsidRDefault="00333541"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сентября 1941 г.</w:t>
      </w:r>
    </w:p>
    <w:p w14:paraId="38D088EC" w14:textId="77777777" w:rsidR="00333541" w:rsidRPr="00640820" w:rsidRDefault="00333541"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Протоколы заседаний бюро Ленинградского городского комитета ВКП(б)</w:t>
      </w:r>
    </w:p>
    <w:p w14:paraId="33218832" w14:textId="77777777" w:rsidR="00333541" w:rsidRPr="00640820" w:rsidRDefault="00333541"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29 сентября 1941 г.</w:t>
      </w:r>
    </w:p>
    <w:p w14:paraId="2872C46D" w14:textId="77777777" w:rsidR="00333541" w:rsidRPr="00640820" w:rsidRDefault="00333541"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115гс. — Об изготовлении звукоимитационных установок (особая папка).</w:t>
      </w:r>
    </w:p>
    <w:p w14:paraId="55E65067" w14:textId="77777777" w:rsidR="00333541" w:rsidRPr="00640820" w:rsidRDefault="00333541"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Обязать директора ИРПА т. Постникова изготовить в октябре м-це3 10 мощных, смонтированных в танке и 30 переносных звукоимитационных установок, начиная поставку их с 5.10–1941 г.</w:t>
      </w:r>
    </w:p>
    <w:p w14:paraId="7FA77234" w14:textId="77777777" w:rsidR="00333541" w:rsidRPr="00640820" w:rsidRDefault="00333541"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Обязать директоров предприятий:</w:t>
      </w:r>
    </w:p>
    <w:p w14:paraId="55D53F95" w14:textId="77777777" w:rsidR="00333541" w:rsidRPr="00640820" w:rsidRDefault="00333541"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«ГОМЗ» — т. Семенова по заданию ИРПА изготовить 20 лентопротяжных механизмов уменьшенных габаритов на постоянном токе, из них: к 1.10–41 — 2 шт., к 5.10 — 4 шт., к 10.10 — 6 шт., к 20.10 — 8 шт.</w:t>
      </w:r>
    </w:p>
    <w:p w14:paraId="70F5195B" w14:textId="77777777" w:rsidR="00333541" w:rsidRPr="00640820" w:rsidRDefault="00333541"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НИИ-9 т. Громова изготовить 20 рупоров по чертежам ИРПА к 10.10.</w:t>
      </w:r>
    </w:p>
    <w:p w14:paraId="05DABD49" w14:textId="77777777" w:rsidR="00333541" w:rsidRPr="00640820" w:rsidRDefault="00333541"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«Экспериментальной фабрике граммофонных пластинок» — т. Заикину изготовить для ИРПА высококачественные граммофонные пластинки со спецзаписью или перезаписью в количестве 10 комплектов к 1.10 и 30 комплектов к 5.10–41 г.</w:t>
      </w:r>
    </w:p>
    <w:p w14:paraId="339C4B7F" w14:textId="77777777" w:rsidR="00333541" w:rsidRPr="00640820" w:rsidRDefault="00333541"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Начальнику 7-го ПУЛФ т. Гольману передать ИРПА 30 шт. громкоговорителей типа 15 ГРД. 2 к 1.10–1941 г.</w:t>
      </w:r>
    </w:p>
    <w:p w14:paraId="0E0926E6" w14:textId="77777777" w:rsidR="00333541" w:rsidRPr="00640820" w:rsidRDefault="00333541"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Директору завода им. Кирова т. Мойкину произвести по указанию ИРПА в октябре месяце дооборудование 10 танков Т-26 для установки звукоимитационных установок.</w:t>
      </w:r>
    </w:p>
    <w:p w14:paraId="1025FE47" w14:textId="77777777" w:rsidR="00333541" w:rsidRPr="00640820" w:rsidRDefault="00333541"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Откомандировать немедленно на работу в ИРПА:</w:t>
      </w:r>
    </w:p>
    <w:p w14:paraId="1C98B087" w14:textId="77777777" w:rsidR="00333541" w:rsidRPr="00640820" w:rsidRDefault="00333541"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директору НИИ-9 т. Громову — механика, слесаря, монтажника 5–6 разряда и 2-х каркасников 4–5 разряда;</w:t>
      </w:r>
    </w:p>
    <w:p w14:paraId="28B8F081" w14:textId="77777777" w:rsidR="00333541" w:rsidRPr="00640820" w:rsidRDefault="00333541"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директору завода № 327 т. Румянцеву — слесаря монтажника 5–6 разряда и одного каркасника;</w:t>
      </w:r>
    </w:p>
    <w:p w14:paraId="59EF46F3" w14:textId="77777777" w:rsidR="00333541" w:rsidRPr="00640820" w:rsidRDefault="00333541"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директору завода № 210 т. Захарову слесаря монтажника и одного каркасника 5–6 разряда;</w:t>
      </w:r>
    </w:p>
    <w:p w14:paraId="4B81BA0F" w14:textId="77777777" w:rsidR="00333541" w:rsidRPr="00640820" w:rsidRDefault="00333541"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директору завода «Красная Заря» т. Смирнову механика и слесаря монтажника 5–6 разряда.</w:t>
      </w:r>
    </w:p>
    <w:p w14:paraId="4ACBACDD" w14:textId="77777777" w:rsidR="00333541" w:rsidRPr="00640820" w:rsidRDefault="00333541"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Подписи — Капустин, Кузнецов, Никитин, Попков.</w:t>
      </w:r>
    </w:p>
    <w:p w14:paraId="02B364D8" w14:textId="77777777" w:rsidR="00333541" w:rsidRPr="00640820" w:rsidRDefault="00333541"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ЦГАИПД СПб. Ф. 25. Оп.2а. Д. 157. Л. 58. Карточка опросного голосования. Оригинал, машинопись. Подписи — автографы (18720).</w:t>
      </w:r>
    </w:p>
    <w:p w14:paraId="37305BAE" w14:textId="77777777" w:rsidR="00333541" w:rsidRPr="00640820" w:rsidRDefault="00333541" w:rsidP="00640820">
      <w:pPr>
        <w:autoSpaceDE w:val="0"/>
        <w:autoSpaceDN w:val="0"/>
        <w:adjustRightInd w:val="0"/>
        <w:spacing w:after="0" w:line="240" w:lineRule="auto"/>
        <w:jc w:val="both"/>
        <w:rPr>
          <w:rFonts w:ascii="Times New Roman" w:hAnsi="Times New Roman"/>
          <w:color w:val="000000" w:themeColor="text1"/>
          <w:sz w:val="16"/>
          <w:szCs w:val="16"/>
        </w:rPr>
      </w:pPr>
    </w:p>
    <w:p w14:paraId="5539F8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сентября 1941 на Петрозаводе начат текущий ремонт 6 тральщиков (10671).</w:t>
      </w:r>
    </w:p>
    <w:p w14:paraId="2BF7AD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7D5D5D8"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4179A226"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24E6E1C"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29 сентября </w:t>
      </w:r>
      <w:r w:rsidRPr="00640820">
        <w:rPr>
          <w:rFonts w:ascii="Times New Roman" w:hAnsi="Times New Roman"/>
          <w:color w:val="000000" w:themeColor="text1"/>
          <w:sz w:val="16"/>
          <w:szCs w:val="16"/>
        </w:rPr>
        <w:t>в 1941 году утреннее сообщение Совинформбюро:</w:t>
      </w:r>
    </w:p>
    <w:p w14:paraId="45E30E00"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29 сентября наши войска вели бои с противником на всём фронте.</w:t>
      </w:r>
    </w:p>
    <w:p w14:paraId="329CEA25"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На одном из участков Южного фронта части т.т. Смирнова и Харитонова 27 сентября разгромили 2 и 4 пехотные румынские бригады. Противник оставил на поле боя свыше 2.500 убитых. По неполным данным, захвачено более 300 пленных солдат и офицеров, 47 орудий, 2 танка, большое количество пулемётов, снарядов, патронов и другого военного имущества. Наши части продолжают наносить урон противнику.</w:t>
      </w:r>
    </w:p>
    <w:p w14:paraId="48CF669B"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участков Северо-Западного направления фронта наша авиация уничтожила 40 автомашин, 5 бронемашин, 3 артиллерийские батареи и до батальона пехоты противника. На другом участке фронта советские лётчики уничтожили 30 танков, 40 автомашин и одну роту немцев.</w:t>
      </w:r>
    </w:p>
    <w:p w14:paraId="57A027FE"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лётчики на одном из участков Юго-Западного направления фронта уничтожили 60 автомашин, 4 миномётных точки и до двух батальонов пехоты противника. В воздушных боях сбито 10 вражеских самолётов.</w:t>
      </w:r>
    </w:p>
    <w:p w14:paraId="362B1364"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Части т.т. Родионова и Воробьёва, действующие на одном из участков Северо-Западного направления фронта, за два дня боёв уничтожили около 600 белофинских солдат и офицеров, захватили 3 орудия, 15 пулемётов, много боеприпасов и военного имущества.</w:t>
      </w:r>
    </w:p>
    <w:p w14:paraId="2D93AE2F"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Действующий в одном из районов Псковщины партизанский отряд под командованием тов. Я. совершил в сентябре 12 налётов на фашистские автоколонны и обозы. В результате налетов уничтожено свыше 20 грузовиков с боеприпасами, 10 цистерн с горючим и 2 передвижные авторемонтные мастерские. Партизаны отбили у немцев около 200 ящиков с консервами и медикаментами, а также обоз с зимней одеждой и обувью для солдат. Во время этих операций партизаны истребили более 70 фашистских солдат и офицеров.</w:t>
      </w:r>
    </w:p>
    <w:p w14:paraId="158E0629"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Партизанский отряд под командованием тов. Г. в сентябре взорвал 14 мостов и минировал 18 участков важнейших шоссейных дорог Псковского района. На минах взорвались 4 немецких танка, 2 бронемашины и несколько грузовых автомашин с горючим. На узкой дороге через болотистую местность партизаны напали на отряд немецких мотоциклистов и убили 46 мотоциклистов.</w:t>
      </w:r>
    </w:p>
    <w:p w14:paraId="048F1882"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Немецкие фашисты убивают, терроризируют и обирают мирное население в захваченных районах. В деревне Басманово Смоленской области гитлеровцы забрали у колхозников весь скот и всё продовольствие. Грабёж сопровождался дикими издевательствами. У старика Василия Пахомова забрали 9 пудов ржи, трёх поросят, овцу, два тулупа и три пары валенок. Всё это немецкий ефрейтор погрузил на телегу. Лошади поблизости не было. Тогда фашистский изверг запряг Пахомова и его жену и, угрожая пистолетом, приказал везти повозку до ротной кухни. Телега проехала несколько десятков метров и остановилась. Пахомов и его жена не могли двигаться дальше. Ефрейтор начал избивать крестьян. Пахомов не выдержал и резко оттолкнул немца. Тогда собравшиеся около воза фашисты тут же растерзали Пахомова, а дом его сожгли. Зверски замучили немцы также члена правления колхоза Алексея Демидова. Его били плётками, прикладами, а затем прикололи штыками.</w:t>
      </w:r>
    </w:p>
    <w:p w14:paraId="00ABDCE4"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села Морозовка, Смоленской области, не успели эвакуироваться 10 хозяйств. Фашисты их разорили дотла. После разбойничьего набега немцев в деревне не осталось ни одной коровы, ни одной курицы, ни крошки хлеба.</w:t>
      </w:r>
    </w:p>
    <w:p w14:paraId="5C45CA01"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железных дорогах Венгрии за последнее время резко возросло количество катастроф и аварий. Преобладающее большинство катастроф происходит с поездами, в которых находятся солдаты, едущие на Восточный фронт, или различное военное снаряжение. Венгерские власти тщательно скрывают факт крушения одного большого воинского эшелона с 600 солдатами, направлявшимися в действующую армию. Катастрофа произошла ночью. Свыше 20 вагонов полетели под откос. Причина крушения — умышленная порча железнодорожного пути. У города Ньиредьхаза столкнулись два поезда с воинским грузом. Разбито 42 вагона. Много военного снаряжения пришло в негодность.</w:t>
      </w:r>
    </w:p>
    <w:p w14:paraId="7C636486"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Изо дня в день растут ряды лунинцев — советских рабочих, которые образцово ухаживают за машинами, станками, аппаратами и самостоятельно производят весь мелкий ремонт. Команда Черноморского танкера «И. Сталин» своими силами провела средний ремонт корабля. Её примеру последовали экипажи танкеров «Эмба» и «Варлаам Аванесов». Успешно ремонтируют суда экипажи танкеров Каспийского моря — «Каганович», «Цюрупа» и других.</w:t>
      </w:r>
    </w:p>
    <w:p w14:paraId="0C145E05"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Машинисты депо Тайнча Карагандинской железной дороги т.т. Щетинин, Васильченко, Посталенко, Тихонов, Ильин и многие другие организовали ремонт паровозов во время промывки. Прекрасных результатов добились лунинцы депо Петропавловск т.т. Авдонин и Корнев. Их локомотивы ни разу за последние месяцы не заходили в депо на межпоездной ремонт. Путевой обходчик Уфалейской дистанции т. Батний сам сменил негодные шпалы на своём участке дороги. До сих пор это делала специальная ремонтная бригада. На Калининской дороге по-лунински работают больше 280 путевых обходчиков. Обходчики Торжокской дистанции пути т.т. Холмушкин, Доронин и Пылаев ремонтируют шпалы, очищают кюветы и производят подбивку шпал. Лунинцы-железнодорожники сберегли государству сотни тысяч рублей.» (14784).</w:t>
      </w:r>
    </w:p>
    <w:p w14:paraId="0467AAAE" w14:textId="77777777" w:rsidR="00CD2D86" w:rsidRPr="00640820" w:rsidRDefault="00CD2D86" w:rsidP="00640820">
      <w:pPr>
        <w:spacing w:after="0" w:line="240" w:lineRule="auto"/>
        <w:jc w:val="both"/>
        <w:rPr>
          <w:rFonts w:ascii="Times New Roman" w:hAnsi="Times New Roman"/>
          <w:color w:val="000000" w:themeColor="text1"/>
          <w:sz w:val="16"/>
          <w:szCs w:val="16"/>
        </w:rPr>
      </w:pPr>
    </w:p>
    <w:p w14:paraId="180B85EB"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29 сентября </w:t>
      </w:r>
      <w:r w:rsidRPr="00640820">
        <w:rPr>
          <w:rFonts w:ascii="Times New Roman" w:hAnsi="Times New Roman"/>
          <w:color w:val="000000" w:themeColor="text1"/>
          <w:sz w:val="16"/>
          <w:szCs w:val="16"/>
        </w:rPr>
        <w:t>в 1941 году вечернее сообщение Совинформбюро:</w:t>
      </w:r>
    </w:p>
    <w:p w14:paraId="0D1D3E66"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29 сентября наши войска вели упорные бои с противником на всём фронте.</w:t>
      </w:r>
    </w:p>
    <w:p w14:paraId="35EF811C"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уточнённым данным, за 26 сентября уничтожено не 98 немецких самолётов, а 113 самолётов.</w:t>
      </w:r>
    </w:p>
    <w:p w14:paraId="4038CF89"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27 сентября уничтожено 150 немецких самолётов, из них сбито в воздушных боях 37 самолётов и уничтожено на аэродромах 113 самолётов. Наши потери— 28 самолётов.</w:t>
      </w:r>
    </w:p>
    <w:p w14:paraId="5E7E95BB"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уточнённым данным, совместными действиями береговых батарей и кораблей Краснознамённого Балтийского флота потоплены не крейсер и один миноносец, как указывалось ранее, а один крейсер и два миноносца.</w:t>
      </w:r>
    </w:p>
    <w:p w14:paraId="39431468"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семидневном бою на Северо-Западном направлении фронта танковая часть полковника Погодина нанесла тяжёлый удар немецким войскам. Противник потерял убитыми и ранеными 1.500 солдат и офицеров. Наши танкисты уничтожили 12 вражеских танков, 2 дальнобойных орудия, две артиллерийские и 9 миномётных батарей, 36 противотанковых орудий. Подбиты и выведены из строя 14 средних и мелких танков противника, 8 танкеток, 3 противотанковых орудия и 3 миномётных батареи.</w:t>
      </w:r>
    </w:p>
    <w:p w14:paraId="5D729BB7"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другом участке Северо-Западного направления фронта части командира тов. Буховец выбили немцев из пункта Б. В боях за этот пункт противник потерял убитыми свыше 600 солдат и офицеров. Захвачено несколько орудий, 8 станковых пулемётов, около 500 винтовок и десятки тысяч патронов. Подразделение батальонного комиссара Пьянкова захватило 150 автомашин с продовольствием, снаряжением и боеприпасами противника.</w:t>
      </w:r>
    </w:p>
    <w:p w14:paraId="10CCB5B1"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Группа наших бомбардировщиков, оперирующая на Северо-Западном направлении фронта, уничтожила 10 немецких танков, 18 орудий, 12 пулемётов, 56 грузовых автомашин и около 200 вражеских солдат. 26 сентября авиачасть майора Соколова совершила налёт на крупный аэродром противника. В результате налёта уничтожено 28 вражеских самолётов, из них 23 — на земле, один — во время взлёта и 4 самолёта — в воздушных боях.</w:t>
      </w:r>
    </w:p>
    <w:p w14:paraId="18630498"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вечернем сообщении Советского Информбюро 28 сентября говорилось о том, что береговые батареи и корабли Краснознамённого Балтийского флота потопили один крейсер и один миноносец и повредили два миноносца противника. По полученным дополнительным сведениям, теперь известно, что потоплен не один миноносец, а два миноносца противника. Передаём некоторые данные о потопленных немецких кораблях. Германский крейсер имел водоизмещение в 6.000 тонн. Крейсер был вооружён девятью 150-миллиметровыми орудиями, 14 зенитными пушками, 4 зенитными пулемётами и 12 торпедными аппаратами. Мощность механизмов крейсера — 65.000 лошадиных сил. Экипаж крейсера состоял из 571 человека. Германские миноносцы имели водоизмещение по 800 тонн. Каждый миноносец был вооружён тремя 105-миллиметровыми, двумя 20-миллиметровыми орудиями и шестью торпедными аппаратами. Мощность механизмов миноносцев — по 25.000 лошадиных сил. Экипажи кораблей имели по 123 человека.</w:t>
      </w:r>
    </w:p>
    <w:p w14:paraId="29B40506"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Оставшиеся в оккупированных районах Днепропетровской области советские патриоты своими смелыми действиями дезорганизуют тыл противника и наносят большой урон немецким войскам. Недавно группа партизан из отряда тов. Ж. глухой ночью подползла к стоянке фашистских танков. Под гусеницы двух танков партизаны незаметно подложили мины и скрылись. На рассвете, когда машины тронулись с места, раздались взрывы. Танки выбыли из строя. На следующий день конная группа партизан отбила у фашистов два обоза с продовольствием и полевую почту.</w:t>
      </w:r>
    </w:p>
    <w:p w14:paraId="7A318DCB"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Вечером 20 сентября к берегу одной реки подошла рота германской пехоты. Немцы спешили переправиться на другой берег, но мост оказался разрушенным. Тогда советский патриот тов. Ш. подошёл к немецкому офицеру и вызвался указать дорогу к другому мосту, находившемуся в 8 километрах. Расспросив других жителей и уточнив путь, офицер повёл роту в указанном направлении. В это время другой советский патриот тов. Р. по тайным тропинкам поскакал на коне к командиру партизанского отряда. Недалеко от моста партизанский отряд устроил засаду. Когда немецкая рота приблизилась, по ней был открыт пулемётный и винтовочный огонь. Завязалась перестрелка, которая продолжалась до рассвета. В результате боя немцы потеряли убитыми и ранеными более 20 солдат и офицеров.</w:t>
      </w:r>
    </w:p>
    <w:p w14:paraId="5A19A40C"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Сдавшиеся в плен одной нашей части итальянские солдаты 3 берсальерского полка Фрал Северино и Пьетро Марлини обратились к солдатам своей роты со следующим письмом:</w:t>
      </w:r>
    </w:p>
    <w:p w14:paraId="24B75194"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«Товарищи солдаты!</w:t>
      </w:r>
    </w:p>
    <w:p w14:paraId="27C15FDA"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Мы, слава богу, живы и здоровы и надеемся после войны вернуться в свою Италию. Для нас война закончилась.</w:t>
      </w:r>
    </w:p>
    <w:p w14:paraId="4086F3CE"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Мы едем на работу и будем трудиться среди таких же, как мы, рабочих и крестьян.</w:t>
      </w:r>
    </w:p>
    <w:p w14:paraId="1443F5DD"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 что нам говорили, будто русские мучат и расстреливают пленных, — ложь. Путём такой лжи нас одурачили и гонят на убой, как скот.</w:t>
      </w:r>
    </w:p>
    <w:p w14:paraId="0E3BD277"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Солдаты! Всё, что мы видели здесь, доказывает силу Красной Армии, авиации и артиллерии.</w:t>
      </w:r>
    </w:p>
    <w:p w14:paraId="2805D508"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Русские солдаты, поддерживаемые всем народом, дерутся геройски. Их поддерживает английский народ и индустрия Соединённых Штатов Америки.</w:t>
      </w:r>
    </w:p>
    <w:p w14:paraId="02CA576C"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Нас гонят на верную смерть под снаряды и пули Красной Армии в угоду Гитлеру и продавшихся ему руководителей Италии. Во имя чего мы воюем против русских рабочих и крестьян? Наши жизни нужны для наших матерей, отцов, жён и детей, которые хотят нас видеть здоровыми и невредимыми.</w:t>
      </w:r>
    </w:p>
    <w:p w14:paraId="27887099"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Солдаты! Следуйте нашему примеру: бросайте оружие и сдавайтесь в плен!</w:t>
      </w:r>
    </w:p>
    <w:p w14:paraId="3854776D"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Фрал Северино и Пьетро Марлини».</w:t>
      </w:r>
    </w:p>
    <w:p w14:paraId="1B7652E9"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Чтобы хоть в какой-то мере восполнить острую нехватку продовольствия, Гитлер беззастенчиво грабит своих «союзников». Во многих сельскохозяйственных районах Италии немцы забрали почти всё продовольствие. Итальянский народ голодает. На днях Гитлер вновь потребовал от Муссолини доставить крупную партию зерна. В связи с этим итальянский совет министров, по настоянию Муссолини, сократил выдачу хлеба населению по карточкам до 200 граммов в день на человека. Итальянский народ с тревогой ожидает наступления голодной зимы.» (14784).</w:t>
      </w:r>
    </w:p>
    <w:p w14:paraId="255784F8" w14:textId="77777777" w:rsidR="00CD2D86" w:rsidRPr="00640820" w:rsidRDefault="00CD2D86" w:rsidP="00640820">
      <w:pPr>
        <w:spacing w:after="0" w:line="240" w:lineRule="auto"/>
        <w:jc w:val="both"/>
        <w:rPr>
          <w:rFonts w:ascii="Times New Roman" w:hAnsi="Times New Roman"/>
          <w:color w:val="000000" w:themeColor="text1"/>
          <w:sz w:val="16"/>
          <w:szCs w:val="16"/>
        </w:rPr>
      </w:pPr>
    </w:p>
    <w:p w14:paraId="2994ED25"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сентября 1941 г. Старинов с пятнадцатью офицерами выехали на нескольких автомашинах из Москвы в направлении на Орел, куда прибыли во второй половине дня. Там к ним присоединились пятеро специалистов ОУЦа. Из Орла автоколонна направилась в направлении на Курск и далее на Харьков. 1 октября к середине дня Старинов с офицерами были уже в Харькове. К этому времени часть роты спецминирования, которая выехала из Москвы поездом, уже находилась в Харькове. Командир роты спецминирования В.П. Ястребов выехал с автоколонной роты из Москвы на сутки позже, 30 сентября. Из имеющихся документов следует, что его задержало получение 30 штук радиоаппаратов Ф-10 и питания к ним. Фронт смог выделить группе около 100 т взрывчатки (а требовалось 300 т) и 30 тысяч противотанковых и противопехотных мин. Рота спецминирования получила в Москве 30 радиоуправляемых объектных мин Ф-10, около 1000 инерционных замыкателей, 2000 электрохимических замыкателей ЭХЗ и электрохимических взрывателей ЭХВ, а также 1200 различных взрывателей и замыкателей замедленного действия (химические взрыватели замедленного действия ВЗДХ, 10-суточных часовые замыкатели, 35-суточные часовые замыкатели, 30-суточные маятниковые замыкатели). Сейчас краеведы и историки спорят, какие объекты в Харькове были взорваны радиофугасами Ф-10, а какие иными средствами. Считается доказанным гибель от Ф-10 коменданта Харькова генерал-лейтенант фон Брауна (кстати, близкого родственника известного ученого Вернера фон Брауна, изобретателя ракет ФАУ-2) в помещении бывшего штаба военного округа на улице Руднева (15117).</w:t>
      </w:r>
    </w:p>
    <w:p w14:paraId="515A701E" w14:textId="77777777" w:rsidR="00CD2D86" w:rsidRPr="00640820" w:rsidRDefault="00CD2D86" w:rsidP="00640820">
      <w:pPr>
        <w:spacing w:after="0" w:line="240" w:lineRule="auto"/>
        <w:jc w:val="both"/>
        <w:rPr>
          <w:rFonts w:ascii="Times New Roman" w:hAnsi="Times New Roman"/>
          <w:color w:val="000000" w:themeColor="text1"/>
          <w:sz w:val="16"/>
          <w:szCs w:val="16"/>
        </w:rPr>
      </w:pPr>
    </w:p>
    <w:p w14:paraId="158C1A4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сентября 1941 Гитлер отдал приказ стереть Ленинград с лица Земли (4962).</w:t>
      </w:r>
    </w:p>
    <w:p w14:paraId="3AD8AE1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9ABCAF"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29 сентября </w:t>
      </w:r>
      <w:r w:rsidRPr="00640820">
        <w:rPr>
          <w:rFonts w:ascii="Times New Roman" w:hAnsi="Times New Roman"/>
          <w:color w:val="000000" w:themeColor="text1"/>
          <w:sz w:val="16"/>
          <w:szCs w:val="16"/>
        </w:rPr>
        <w:t>в 1941 году принята Директива начальника штаба руководства морской войной Германии № 1 - 1а 1601/41- «Будущность города Санкт-Петербурга», которая содержала фразу "Фюрер решил стереть с лица земли Санкт-Петербург" (14784).</w:t>
      </w:r>
    </w:p>
    <w:p w14:paraId="3C455EBD" w14:textId="77777777" w:rsidR="00CD2D86" w:rsidRPr="00640820" w:rsidRDefault="00CD2D86" w:rsidP="00640820">
      <w:pPr>
        <w:spacing w:after="0" w:line="240" w:lineRule="auto"/>
        <w:jc w:val="both"/>
        <w:rPr>
          <w:rFonts w:ascii="Times New Roman" w:hAnsi="Times New Roman"/>
          <w:color w:val="000000" w:themeColor="text1"/>
          <w:sz w:val="16"/>
          <w:szCs w:val="16"/>
        </w:rPr>
      </w:pPr>
    </w:p>
    <w:p w14:paraId="4C5058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rPr>
        <w:t>С 29 сентября по 16 ноября 1941 года была керченско-феодосийская десантная операция. СоветскиевойскаоставалисьвКерчидо</w:t>
      </w:r>
      <w:r w:rsidRPr="00640820">
        <w:rPr>
          <w:rFonts w:ascii="Times New Roman" w:hAnsi="Times New Roman"/>
          <w:color w:val="000000" w:themeColor="text1"/>
          <w:sz w:val="16"/>
          <w:szCs w:val="16"/>
          <w:lang w:val="en-US"/>
        </w:rPr>
        <w:t xml:space="preserve"> 20 </w:t>
      </w:r>
      <w:r w:rsidRPr="00640820">
        <w:rPr>
          <w:rFonts w:ascii="Times New Roman" w:hAnsi="Times New Roman"/>
          <w:color w:val="000000" w:themeColor="text1"/>
          <w:sz w:val="16"/>
          <w:szCs w:val="16"/>
        </w:rPr>
        <w:t>мая</w:t>
      </w:r>
      <w:r w:rsidRPr="00640820">
        <w:rPr>
          <w:rFonts w:ascii="Times New Roman" w:hAnsi="Times New Roman"/>
          <w:color w:val="000000" w:themeColor="text1"/>
          <w:sz w:val="16"/>
          <w:szCs w:val="16"/>
          <w:lang w:val="en-US"/>
        </w:rPr>
        <w:t xml:space="preserve"> 1942 </w:t>
      </w:r>
      <w:r w:rsidRPr="00640820">
        <w:rPr>
          <w:rFonts w:ascii="Times New Roman" w:hAnsi="Times New Roman"/>
          <w:color w:val="000000" w:themeColor="text1"/>
          <w:sz w:val="16"/>
          <w:szCs w:val="16"/>
        </w:rPr>
        <w:t>года</w:t>
      </w:r>
      <w:r w:rsidRPr="00640820">
        <w:rPr>
          <w:rFonts w:ascii="Times New Roman" w:hAnsi="Times New Roman"/>
          <w:color w:val="000000" w:themeColor="text1"/>
          <w:sz w:val="16"/>
          <w:szCs w:val="16"/>
          <w:lang w:val="en-US"/>
        </w:rPr>
        <w:t xml:space="preserve"> (2691).</w:t>
      </w:r>
    </w:p>
    <w:p w14:paraId="415A00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34C216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September 29, 1941: The attacks by Heeresgruppe Sud (von Rundstedt) to force an entry into the Crimea are halted (3819).</w:t>
      </w:r>
    </w:p>
    <w:p w14:paraId="14F347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541AC7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сентября атаки Группы Север по прорыву в Крым были остановлены (3819).</w:t>
      </w:r>
    </w:p>
    <w:p w14:paraId="2276B8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F85A2CB"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29 сентября </w:t>
      </w:r>
      <w:r w:rsidRPr="00640820">
        <w:rPr>
          <w:rFonts w:ascii="Times New Roman" w:hAnsi="Times New Roman"/>
          <w:color w:val="000000" w:themeColor="text1"/>
          <w:sz w:val="16"/>
          <w:szCs w:val="16"/>
        </w:rPr>
        <w:t>в 1941 году началась Донбасская оборонительная операция войск Южного фронта (генерал-лейтенант Д.И.Рябышев, с 5 октября - генерал-полковник Я.Т.Черевиченко) при содействии войск левого крыла Юго-Западного фронта (Маршал Советского Союза С.К.Тимошенко), продолжавшаяся до 4 ноября (14784).</w:t>
      </w:r>
    </w:p>
    <w:p w14:paraId="04C321E9" w14:textId="77777777" w:rsidR="00CD2D86" w:rsidRPr="00640820" w:rsidRDefault="00CD2D86" w:rsidP="00640820">
      <w:pPr>
        <w:spacing w:after="0" w:line="240" w:lineRule="auto"/>
        <w:jc w:val="both"/>
        <w:rPr>
          <w:rFonts w:ascii="Times New Roman" w:hAnsi="Times New Roman"/>
          <w:color w:val="000000" w:themeColor="text1"/>
          <w:sz w:val="16"/>
          <w:szCs w:val="16"/>
        </w:rPr>
      </w:pPr>
    </w:p>
    <w:p w14:paraId="4CF8AB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сентября 1941 вышло Постановление ГКО № 722 О содержании бойцов полков и батальонов местной противовоздушной обороны г. Москвы. РГАНИР, Фонд ГКО, д. 10, лл. 106 (11012).</w:t>
      </w:r>
    </w:p>
    <w:p w14:paraId="7ACAEA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589BFD1"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209086AD"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38B54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сентября 1941 в Горьком была проведена очередная проверка готовности к отражению возможных налетов, в ходе которой инспектор МПВО УНКВД Горьковской области капитан Мельников обследовал авиационный завод № 21, расположенный в Кагановичском районе. Снова были обнаружены многочисленные недостатки. Многие ранее отрытые щели находились в антисанитарном состоянии, а некоторые и вовсе обвалились. При этом никакого ремонта не проводилось. Укрытия были построены очень скучено. Маскировка завода проходила медленно, без необходимого контроля со стороны руководства. Предусмотренный по плану ложный аэродром до сих пор не построили, цеха были захламлены ящиками, отходами, помоями, различными изделиями, повсеместно отсутствовали бачки с водой и песком, пожарный инвентарь. Управление пожарной охраны мер к обеспечению противопожарной безопасности завода № 21 и его филиалов не принимало. Еще одним недостатком было затемнение цехов не методом зашторивания светонепроницаемой бумагой, а щитками из фанеры и досок, т.е. пожароопасными элементами. Единственное, что было реально выполнено, так это закольцовка водопроводной магистрали по основной территории (11774).</w:t>
      </w:r>
    </w:p>
    <w:p w14:paraId="7342AC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FE34F8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сентября 1941 фашистами началось уничтожение евреев в Бабьем Яру в Киеве (4962).</w:t>
      </w:r>
    </w:p>
    <w:p w14:paraId="2E6EDCD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1BD6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сентября 1941 состоялись массовые расстрелы евреев в Киеве (2260) в Бабьем Яру и всего убили 200 тыс. (3263,549).</w:t>
      </w:r>
    </w:p>
    <w:p w14:paraId="3D0328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0CC08F5"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29 сентября 1941 года начало убийств в Бабьем Яру. В конце сентября - начале октября на северо-западной окраине оккупированного гитлеровцами Киева фашисты расстреляли более 150 тысяч мирных граждан и советских военнопленных (21191).</w:t>
      </w:r>
    </w:p>
    <w:p w14:paraId="3E80777F" w14:textId="77777777" w:rsidR="007F55E4" w:rsidRPr="00640820" w:rsidRDefault="007F55E4" w:rsidP="00640820">
      <w:pPr>
        <w:spacing w:after="0" w:line="240" w:lineRule="auto"/>
        <w:jc w:val="both"/>
        <w:rPr>
          <w:rFonts w:ascii="Times New Roman" w:hAnsi="Times New Roman"/>
          <w:color w:val="0070C0"/>
          <w:sz w:val="16"/>
          <w:szCs w:val="16"/>
        </w:rPr>
      </w:pPr>
    </w:p>
    <w:p w14:paraId="3D3D6BDD"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785FDB64"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07090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сентября по 1 октября 1941 г в Москве прошла конференция представителей СССР, Англии и Соединенных Штатов Америки по вопросам взаимных военных поставок (7430).</w:t>
      </w:r>
    </w:p>
    <w:p w14:paraId="4974A8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B7E2A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29 сентября по 1 октября 1941 состоялась Московская конференция трех держав (512,140).</w:t>
      </w:r>
    </w:p>
    <w:p w14:paraId="52372D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Stalin, Harriman, Beaverbrook. Main result: Allied aid to Russia systematized (1052).</w:t>
      </w:r>
    </w:p>
    <w:p w14:paraId="29E2D3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Приняли участие И.В.С., Гарриман и Бевербрук. Систематизировали помощь СССР (1052).</w:t>
      </w:r>
    </w:p>
    <w:p w14:paraId="7DD8AA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C13768D"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29 сентября </w:t>
      </w:r>
      <w:r w:rsidRPr="00640820">
        <w:rPr>
          <w:rFonts w:ascii="Times New Roman" w:hAnsi="Times New Roman"/>
          <w:color w:val="000000" w:themeColor="text1"/>
          <w:sz w:val="16"/>
          <w:szCs w:val="16"/>
        </w:rPr>
        <w:t>в 1941 году лорд Бивенбрук, представитель Великобритании, и Аверелл Гарриман, представитель США, прибывают с визитом в Москву для организации военных поставок в СССР (14784).</w:t>
      </w:r>
    </w:p>
    <w:p w14:paraId="11B7FA55" w14:textId="77777777" w:rsidR="00CD2D86" w:rsidRPr="00640820" w:rsidRDefault="00CD2D86" w:rsidP="00640820">
      <w:pPr>
        <w:spacing w:after="0" w:line="240" w:lineRule="auto"/>
        <w:jc w:val="both"/>
        <w:rPr>
          <w:rFonts w:ascii="Times New Roman" w:hAnsi="Times New Roman"/>
          <w:color w:val="000000" w:themeColor="text1"/>
          <w:sz w:val="16"/>
          <w:szCs w:val="16"/>
        </w:rPr>
      </w:pPr>
    </w:p>
    <w:p w14:paraId="0F713AC3"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29 сентября 1941 г.</w:t>
      </w:r>
    </w:p>
    <w:p w14:paraId="05E81001"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Запись беседы Председателя Совета Народных Комиссаров СССР с главами делегаций США и Великобритании на Московской конференции представителей трех держав</w:t>
      </w:r>
    </w:p>
    <w:p w14:paraId="32BA9C94"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29 сентября 1941 г.</w:t>
      </w:r>
    </w:p>
    <w:p w14:paraId="3C15A5AB"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Бивербрук. Я позволю себе внести на Ваше рассмотрение предложение выступить в четверг на конференции, чтобы сообщить о достигнутых результатах и отметить роль Соединенных Штатов Америки. Такое выступление создало бы атмосферу триумфа, укрепило бы общий фронт и произвело бы сильное впечатление на Англию, США и даже Францию. Я добиваюсь наилучших результатов совещания в интересах всех трех стран.</w:t>
      </w:r>
    </w:p>
    <w:p w14:paraId="25816B09"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Сталин. Я не вижу в этом необходимости. К тому же я очень занят. Я не имею времени даже спать. Я думаю, что будет вполне достаточно выступления Молотова.</w:t>
      </w:r>
    </w:p>
    <w:p w14:paraId="70F410E8"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На предложение Бивербрука привести делегатов конференции в Кремль Сталин вновь указывает на свою занятость. Бивербрук заявляет, что он еще вернется к этому вопросу.</w:t>
      </w:r>
    </w:p>
    <w:p w14:paraId="5E398FE9"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Бивербрук. С помощью Америки мы сможем доставлять 500 танков, из них не больше 50% легких танков, а остальные тяжелые.</w:t>
      </w:r>
    </w:p>
    <w:p w14:paraId="6152D2C1"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Сталин. Каковы вес легких танков и калибр пушек?</w:t>
      </w:r>
    </w:p>
    <w:p w14:paraId="416C32A5"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Бивербрук. 7—8 и 13 тонн, а калибр — от 37 до 40 мм.</w:t>
      </w:r>
    </w:p>
    <w:p w14:paraId="6EDFB96F"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Сталин. Согласны, если малые танки будут не меньше 7 тонн и пушки не меньше 37 мм. Но нельзя ли увеличить количество?</w:t>
      </w:r>
    </w:p>
    <w:p w14:paraId="17D9BAD5"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Бивербрук. Сейчас речь идет о снабжении в течение ближайших 8 месяцев. После этого мы сможем давать и больше. Мы в своем предложении дошли до предела возможностей. Конечно, необходимо будет держать Архангельский порт открытым.</w:t>
      </w:r>
    </w:p>
    <w:p w14:paraId="16E13940"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Г а р р и м а н. Куда вы хотели бы, чтобы американские тапки были посланы — в Архангельск, Владивосток или через Иран? Этот вопрос, конечно, может быть решен в комиссии, если мы не можем принять решение сейчас же.</w:t>
      </w:r>
    </w:p>
    <w:p w14:paraId="595E04BF"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 т а л и н. В Архангельск, поближе к фронту.</w:t>
      </w:r>
    </w:p>
    <w:p w14:paraId="06E8EB95"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Бивербрук. Там, по моим сведениям, очень мало крапов.</w:t>
      </w:r>
    </w:p>
    <w:p w14:paraId="30A25E97"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Сталин. Число кранов может быть увеличено.</w:t>
      </w:r>
    </w:p>
    <w:p w14:paraId="601387D1"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lastRenderedPageBreak/>
        <w:t>Бивербрук. Перейдем теперь к авиации. Мы будем посылать из Великобритании по 200 истребителей в месяц в течение 8 месяцев и большее количество после этого. Если мы не согласимся внести какие-либо изменения в типы истребителей, мы намерены посылать «Харрикейны», «Спитфайеры» или другие типы.</w:t>
      </w:r>
    </w:p>
    <w:p w14:paraId="684E4945"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Придется посылать их морским путем в Архангельск (воздухом посылать их невозможно), конечно, в разобранном виде.</w:t>
      </w:r>
    </w:p>
    <w:p w14:paraId="1E5DCEEF"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Стали н. Не может ли лорд Бивербрук сказать, каков вес «Харрикейиов» и «Спитфайеров».</w:t>
      </w:r>
    </w:p>
    <w:p w14:paraId="0FD86BC3"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Бивербрук. Сейчас сказать не могу.</w:t>
      </w:r>
    </w:p>
    <w:p w14:paraId="7CAACF82"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Сталии. Какие моторы?</w:t>
      </w:r>
    </w:p>
    <w:p w14:paraId="3FE7ACDB"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Бивербрук. Моторы «Мерлен» — «Роллс-Ройс&gt;&gt; в 800 лошадиных сил. Эти истребители спасли Великобританию.</w:t>
      </w:r>
    </w:p>
    <w:p w14:paraId="35DF2680"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Сталин. Насколько мне известно из литературы, мощность должна быть в 1050 лошадиных сил.</w:t>
      </w:r>
    </w:p>
    <w:p w14:paraId="4CD4C747"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Бивербрук. Весьма возможно. Завтра смогу сказать точнее.</w:t>
      </w:r>
    </w:p>
    <w:p w14:paraId="19EDD346"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Стали н. Будут ли они снабжены вооружением?</w:t>
      </w:r>
    </w:p>
    <w:p w14:paraId="53CEEE29"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Бивербрук. Да, пушками и боекомплектами.</w:t>
      </w:r>
    </w:p>
    <w:p w14:paraId="44936A8B"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Сталин. Желательно иметь боекомплекты для каждого самолета на 20 вылетов. «Томагавки» имели боекомплект лишь па 4—5 вылетов, что наши летчики считают весьма недостаточным.</w:t>
      </w:r>
    </w:p>
    <w:p w14:paraId="666B338E"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Бивербрук. Мы послали для «Томагавков» из Апглии боекомплекты на 1100 тысяч выстрелов, из Америки отправлено 3150 тысяч. 10 октября прибудет 500 тысяч, из них 200 тысяч бронебойных и 100 тысяч трассирующих. Я думаю, что этого будет пока достаточно, а если нет, мы дошлем. Мы не заинтересованы в том, чтобы самолеты оставались в бездействии.</w:t>
      </w:r>
    </w:p>
    <w:p w14:paraId="39A5BF5B"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Сталии. Наши самолеты берут с собой по 600 патронов для мелкокалиберных пулеметов, по 300 для крупнокалиберных и но 150 для 20-лш пушек. Эти количества надо помножить па 20.</w:t>
      </w:r>
    </w:p>
    <w:p w14:paraId="26AAC7B3"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xml:space="preserve">Самолет живет у нас месяц и пять дней, что равносильно 20 вылетам. </w:t>
      </w:r>
    </w:p>
    <w:p w14:paraId="00BBD601"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Если не иметь указанного количества боекомплектов, то самолет может некоторое время оставаться в бездействии.</w:t>
      </w:r>
    </w:p>
    <w:p w14:paraId="410D8BC7"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Бивербрук. Этот расчет правилен, если при каждом вылете самолет каждый раз израсходует все взятые запасы. Мы, во всяком случае, заинтересованы в том, чтобы от самолета было максимум пользы, и мы позаботимся о достаточном снабжении истребителей боекомплектами.</w:t>
      </w:r>
    </w:p>
    <w:p w14:paraId="3FB8199A"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Г а р р п м а п. Меня удивляют приведенные цифры.</w:t>
      </w:r>
    </w:p>
    <w:p w14:paraId="14BAF2C1"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Сталин. Наш пулемет делает 2400 выстрелов в минуту, крупнокалиберный— 1100—1200, 20-лш пушка — 800, а 23-мм — 580.</w:t>
      </w:r>
    </w:p>
    <w:p w14:paraId="62FF865E"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Каждый самолет берет 500—600. Это на 15 секунд.</w:t>
      </w:r>
    </w:p>
    <w:p w14:paraId="7FD29D16"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Бивербрук. Это правильно. Я ознакомлю Вас с результатами британского опыта в этом отношении.</w:t>
      </w:r>
    </w:p>
    <w:p w14:paraId="4DE14622"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Сталин. Мы не берем трассирующих пуль. Опыт показал их бесполезность. Нам нужны зажигательные пули.</w:t>
      </w:r>
    </w:p>
    <w:p w14:paraId="564C6AFB"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Бивербрук. Зажигательные также можем посылать. А бронебойные нужны?</w:t>
      </w:r>
    </w:p>
    <w:p w14:paraId="4CB0F6D9"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Сталин. Да, нужны. Нельзя ли получать самолеты одного типа: либо «Харрикейны», либо «Спитфайеры», дабы нашим летчикам легче было освоить.</w:t>
      </w:r>
    </w:p>
    <w:p w14:paraId="3BFAD09A"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Бивербрук. Я вчера понял вас в том смысле, что вы хотите иметь также «Сиитфайеры», п я сегодня телеграфировал заказ, который я могу, конечно, отменить.</w:t>
      </w:r>
    </w:p>
    <w:p w14:paraId="202181C2"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Сталин. Я говорил вчера о том, что мы предпочли бы иметь одни «Сиитфайеры». Если же нельзя, то мы готовы взять одни «Харрикейны».</w:t>
      </w:r>
    </w:p>
    <w:p w14:paraId="407BB2D6"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Говорят, что есть пулеметные танкетки трехтонные. Могли бы Вы нас снабжать ими?</w:t>
      </w:r>
    </w:p>
    <w:p w14:paraId="6488A0E5"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Бивербрук. Мы к этому вопросу перейдем еще.</w:t>
      </w:r>
    </w:p>
    <w:p w14:paraId="68915345"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Я убедил Гарримапа, чтобы из США были посланы 1800 самолетов в течение 9 месяцев, из них около 100 будут посланы в октябре, 150 —в ноябре, 200 — в декабре, 200 — в январе, а остаток — в течение дальнейших 5 месяцев но соглашению между Великобританией и США. Половину каждой месячной отправки будут составлять бомбардировщики. Истребители будут в небольшом количестве типа «Томагавк», а остальные «Китигаук».</w:t>
      </w:r>
    </w:p>
    <w:p w14:paraId="2A34755B"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Это улучшенный тип «Томагавк», и летчикам, знакомым с этим типом, не придется вновь осваивать «Кптпгаук». Согласно Вашим желаниям, радиус будет от 600 до 700 километров, а бомбы в одну тонну в среднем, некоторые будут больше, другие меньше.</w:t>
      </w:r>
    </w:p>
    <w:p w14:paraId="3986DE21"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Сталии. Двухмоторные?</w:t>
      </w:r>
    </w:p>
    <w:p w14:paraId="06046911"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Бпвербрук. Все двухмоторные. Некоторые самолеты из этого количества будут посланы из Англии.</w:t>
      </w:r>
    </w:p>
    <w:p w14:paraId="723F52D1"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Сталин. Мы вчера выразили желание получить больше бомбардировщиков, чем истребителей, а именно в пропорции 75-25%.</w:t>
      </w:r>
    </w:p>
    <w:p w14:paraId="02590B20"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Бивербрук (разводя рукамп). Это абсолютно невозможно.</w:t>
      </w:r>
    </w:p>
    <w:p w14:paraId="2D0C6D05"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Сталин. У нас есть специальный тип бомбардировщика «штурмовик». Он имеет броню в 5—7, а местами и в 13 мм. Он бьет по танковым колоннам и живой силе. Вооружен пушками и бомбами. Мотор не высотный, он летает на высоте 50—150 метров.</w:t>
      </w:r>
    </w:p>
    <w:p w14:paraId="50BF1A9B"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xml:space="preserve">Туманная погода для него не имеет значения, если туманы не очень низки. Он дает большой эффект в бою. На нем пушки 23 мм, ио скоро поставим в 37 мм. Скорость у земли 380—400 километров. </w:t>
      </w:r>
    </w:p>
    <w:p w14:paraId="4E6C8938"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Мотор русский, М-38. Одномоторный. Команда состоит из одного человека. Мощность 1250 лошадиных сил. Немцы очень не любят его. Ваши военные видели его.</w:t>
      </w:r>
    </w:p>
    <w:p w14:paraId="34D90C2D"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Бивербрук. Интересно было бы посмотреть его.</w:t>
      </w:r>
    </w:p>
    <w:p w14:paraId="05B4E43B"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Мы можем давать и другие вещи: полевые пушки, тяжелые самолеты типа «Брен». Я хотел бы обсудить каждый предмет один за другим и прийти здесь к определенным решениям. Мы намерены вновь приехать через 8—9 месяцев с предложением снабжения в большем масштабе. После того как мы придем здесь к определенным решениям, остальные предметы могут быть переданы комитетам но снабжению в Лондоне и Вашингтоне. Если этот план одобряется, то я приступлю к перечислению дальнейших видов снабжения.</w:t>
      </w:r>
    </w:p>
    <w:p w14:paraId="07A462A9"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Нужны ли Вам 25-фунтовые пушки?</w:t>
      </w:r>
    </w:p>
    <w:p w14:paraId="48699BDA"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Сталии. Мы можем обходиться без них. Нельзя ли получить зенитные орудия?</w:t>
      </w:r>
    </w:p>
    <w:p w14:paraId="168CC55A"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Б и в е р б р у к. Их нет у нас.</w:t>
      </w:r>
    </w:p>
    <w:p w14:paraId="317BC84A"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Гарри м а н. К сожалению, мы очень отстаем в производстве зениток. У пас есть 90-мм зенитки, которые мы только начинаем производить. Мы очень дорожим ими, но я уполномочен предложить из них 152 пушки в течение 9 месяцев, а 37-мм — 756 в течение 6 месяцев. Это единственные два типа, которые мы производим около 150 в месяц.</w:t>
      </w:r>
    </w:p>
    <w:p w14:paraId="74BF9A5E"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Бивербрук. Зенитные орудия самолетов не сбивают. Мы предпочитаем поэтому истребители.</w:t>
      </w:r>
    </w:p>
    <w:p w14:paraId="75920008"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Сталин. При массовых налетах зенитки пугают, не дают бить по цели и заставляют разбрасывать бомбы в беспорядке.</w:t>
      </w:r>
    </w:p>
    <w:p w14:paraId="7D1824B8"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Бивербрук. Из противотанковых орудий мы могли бы дать пемпого двухфунтовых с бронебойными снарядами. Мы теперь делаем только бронебойные пушки. В течение ближайших 9 месяцев мы сможем доставить 2750. Они пробивают брошо в 50 мм. Они все па прицепах.</w:t>
      </w:r>
    </w:p>
    <w:p w14:paraId="2245A3C0"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Мы можем дать пулеметы калибром свыше 6,72 мм, употребляемых в «Томагавках». Магазин содержит 97 и 37 патронов.</w:t>
      </w:r>
    </w:p>
    <w:p w14:paraId="64A7CECB"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Можем предложить трехдюймовые мортиры, употребляемые в пехоте. Они стреляют па расстояние 1500 ярдов.</w:t>
      </w:r>
    </w:p>
    <w:p w14:paraId="14B53DFB"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Сталин. Нет, не понадобятся. Мы заменяем их минометами.</w:t>
      </w:r>
    </w:p>
    <w:p w14:paraId="08177FCF"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Бивербрук. У нас есть противотанковые мины, которые мы можем Вам дать по 60 тысяч в месяц.</w:t>
      </w:r>
    </w:p>
    <w:p w14:paraId="088ECF77"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Сталин. Да, нужны.</w:t>
      </w:r>
    </w:p>
    <w:p w14:paraId="69B9C299"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Бивербрук. Ручные гранаты?</w:t>
      </w:r>
    </w:p>
    <w:p w14:paraId="166B5488"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Сталии. У нас есть.</w:t>
      </w:r>
    </w:p>
    <w:p w14:paraId="2E969CEE"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Бивербрук. Мы можем Вам дать некоторое количество противотанковых ружей, а позднее сможем давать их больше. Калибр смогу сообщить Вам завтра.</w:t>
      </w:r>
    </w:p>
    <w:p w14:paraId="630F20CA"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Сталин. Да, хорошо.</w:t>
      </w:r>
    </w:p>
    <w:p w14:paraId="5669C66A"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Бивербрук. Нужны лн Вам танкетки на команду в 2—3 человека?</w:t>
      </w:r>
    </w:p>
    <w:p w14:paraId="32EDB2F7"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Сталин. Да, нужны.</w:t>
      </w:r>
    </w:p>
    <w:p w14:paraId="63F77B21"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Бивербрук. Есть автоматические ружья «Степ» типа «Томсон», 8—9 патронов в магазине.</w:t>
      </w:r>
    </w:p>
    <w:p w14:paraId="283B932E"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Сталин. Нет, не нужны. У нас есть с магазином в 10 патронов.</w:t>
      </w:r>
    </w:p>
    <w:p w14:paraId="108A1EA9"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Бивербрук. Вы их заказывали, и нами уже посланы 20 тысяч.</w:t>
      </w:r>
    </w:p>
    <w:p w14:paraId="1DC6EFCB"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Сталин. Нет, нам не нужны.</w:t>
      </w:r>
    </w:p>
    <w:p w14:paraId="73EA13A3"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Гарриман. У нас есть небольшие четырехколесные автомобили, построенные специально для армии, в особенности для связи, типа «Джип». Их у нас 5 тысяч.</w:t>
      </w:r>
    </w:p>
    <w:p w14:paraId="76004CB2"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Сталин. Хорошо, возьмем.</w:t>
      </w:r>
    </w:p>
    <w:p w14:paraId="048B4BDE"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Гарриман. Я запрошу, сможем ли мы дать их в большем количестве.</w:t>
      </w:r>
    </w:p>
    <w:p w14:paraId="6EEA3938"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Сталин. А как насчет колючей проволоки?</w:t>
      </w:r>
    </w:p>
    <w:p w14:paraId="2AA214AD"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Гарриман. Можно.</w:t>
      </w:r>
    </w:p>
    <w:p w14:paraId="27000A17"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Сталин. Сколько?</w:t>
      </w:r>
    </w:p>
    <w:p w14:paraId="478FD4A5"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Гарриман. Я должен буду запросить.</w:t>
      </w:r>
    </w:p>
    <w:p w14:paraId="73DD91EF"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На этом беседа закончилась, и продолжение намечено на 6 часов вечера следующего дня.</w:t>
      </w:r>
    </w:p>
    <w:p w14:paraId="16346F6B"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lastRenderedPageBreak/>
        <w:t>Печат. по арх. (20855).</w:t>
      </w:r>
    </w:p>
    <w:p w14:paraId="74A31D6E" w14:textId="77777777" w:rsidR="007F55E4" w:rsidRPr="00640820" w:rsidRDefault="007F55E4" w:rsidP="00640820">
      <w:pPr>
        <w:spacing w:after="0" w:line="240" w:lineRule="auto"/>
        <w:jc w:val="both"/>
        <w:rPr>
          <w:rFonts w:ascii="Times New Roman" w:hAnsi="Times New Roman"/>
          <w:color w:val="0070C0"/>
          <w:sz w:val="16"/>
          <w:szCs w:val="16"/>
        </w:rPr>
      </w:pPr>
    </w:p>
    <w:p w14:paraId="5A0B5323"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29 сентября </w:t>
      </w:r>
      <w:r w:rsidRPr="00640820">
        <w:rPr>
          <w:rFonts w:ascii="Times New Roman" w:hAnsi="Times New Roman"/>
          <w:color w:val="000000" w:themeColor="text1"/>
          <w:sz w:val="16"/>
          <w:szCs w:val="16"/>
        </w:rPr>
        <w:t>в 1941 году в Москве прошла (с 29 сентября по 1 октября) конференция представителей трех держав - СССР, США и Великобритании, на которой был подписан «Протокол о взаимных военных поставках на период войны». 1 января 1942 года в Вашингтоне, после официального вступления США в войну, была подписана Декларация 26 государств, известная как «Декларация Объединенных наций», участники которой обязались использовать все свои экономические и военные ресурсы для борьбы против фашистского блока (14784).</w:t>
      </w:r>
    </w:p>
    <w:p w14:paraId="7F8151C2" w14:textId="77777777" w:rsidR="00CD2D86" w:rsidRPr="00640820" w:rsidRDefault="00CD2D86" w:rsidP="00640820">
      <w:pPr>
        <w:spacing w:after="0" w:line="240" w:lineRule="auto"/>
        <w:jc w:val="both"/>
        <w:rPr>
          <w:rFonts w:ascii="Times New Roman" w:hAnsi="Times New Roman"/>
          <w:color w:val="000000" w:themeColor="text1"/>
          <w:sz w:val="16"/>
          <w:szCs w:val="16"/>
        </w:rPr>
      </w:pPr>
    </w:p>
    <w:p w14:paraId="1F2A7CD5" w14:textId="77777777" w:rsidR="00224205" w:rsidRPr="00640820" w:rsidRDefault="0022420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29 сентября по 1 октября 1941 г. в Москве прошла конференция с участием СССР, США и Англии, на которой главным предметом переговоров стал вопрос о военных поставках Советскому Союзу со стороны США и Великобритании. Для оплаты поставок вооружения и сырья по линии ленд-лиза 30 октября представители американского правительства представили СССР беспроцентный заем в 1 млрд долл. Выплата займа должна быланачаться через 5 лет после окончания войны и осуществляться равными долями в течение 10 лет.</w:t>
      </w:r>
    </w:p>
    <w:p w14:paraId="3C03CCDF" w14:textId="77777777" w:rsidR="00224205" w:rsidRPr="00640820" w:rsidRDefault="0022420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Одним из вопросов, обсуждавшихся в ходе данной конференции, стал вопрос о поставках толуола и ТНТ из США в СССР. Советские представители настаивали на ежемесячных поставках толуола в объеме 4 000 т, что позволило бы в год производить не менее 80 000 т ТНТ. Это составляло примерно 60-65% от того минимума, который был необходим действующей армии. Однако американцы крайне неохотно шли навстречу просьбам советской стороны. 1 октября 1941 г. представитель американского президента A. Гарриман, руководитель английской делегации лорд Бивербрук и председатель делегации СССР В.М. Молотов подписали «Секретный протокол Московской конференции представителей СССР, США и Великобритании». На срок действия данного протокола - с октября 1941 г. по конец июня 1942 г. - американцы обязывались ежемесячно поставлять лишь 1250 т толуола, начиная поставки с ноября месяца. «Будет изучена возможность увеличения этих поставок, - отмечалось также в протоколе. - Кроме того, возможно скорее будут отправлены 10 000 т ТНТ, при чем месячное количество будет сообщено в скором времени из Вашингтона» (19151).</w:t>
      </w:r>
    </w:p>
    <w:p w14:paraId="78D76A83" w14:textId="77777777" w:rsidR="00224205" w:rsidRPr="00640820" w:rsidRDefault="00224205" w:rsidP="00640820">
      <w:pPr>
        <w:spacing w:after="0" w:line="240" w:lineRule="auto"/>
        <w:jc w:val="both"/>
        <w:rPr>
          <w:rFonts w:ascii="Times New Roman" w:hAnsi="Times New Roman"/>
          <w:color w:val="000000" w:themeColor="text1"/>
          <w:sz w:val="16"/>
          <w:szCs w:val="16"/>
        </w:rPr>
      </w:pPr>
    </w:p>
    <w:p w14:paraId="7B1E2C2E" w14:textId="77777777" w:rsidR="00224205" w:rsidRPr="00640820" w:rsidRDefault="0022420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сентября - 1 октября 1941 г. на Московской трехсторонней конференции, выработавшей первый из четырех Протоколов о поставках, Советский Союз запросил об отправке в его порты ежемесячно 200 тыс. т пшеницы, 70 тыс. т сахара и 1,5 тыс. т какао, что предполагало полное обеспечение этими продуктами 10-миллионной армии. И пусть не в таких количествах, хотя и во все более увеличивающихся объемах, в Россию стало поступать продовольствие. Помимо муки и сахара, первые пароходы доставили высококалорийные обезвоженные или консервированные продукты. Как бы ни шутили фронтовые острословы, называя американские мясные консервы "вторым фронтом", они пришлись как нельзя кстати для пробивавшихся из окружения под Москвой армий, но особенно для осажденного Ленинграда и городов Крайнего Севера. Один из таких потоков продовольствия шел через Архангельск. Здесь за первую военную зиму от голода и болезней умерло 20 тыс. человек - каждый десятый житель предвоенного города. И если бы не те 10 тыс. т канадской пшеницы, которую после долгих проволочек разрешил оставить в Архангельске "отец народов", неизвестно, сколько бы еще людей подкосил голод. Не менее сложно подсчитать, сколько жизней в освобожденных районах спасли те 9 тыс. т семян, переброшенных в Россию по иранскому "воздушному мосту" к началу весенних полевых работ 1942 г. Впрочем, в общем продовольственном "котле" Красной Армии в первый год войны импортные продукты едва составили бы сотую часть. К июлю 1942 г. т. е. к концу действия Первого Протокола, в СССР было завезено из США и Великобритании 392 тыс. т продовольствия на 90 млн. долл.</w:t>
      </w:r>
    </w:p>
    <w:p w14:paraId="4F91E602" w14:textId="77777777" w:rsidR="00224205" w:rsidRPr="00640820" w:rsidRDefault="0022420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Первый Протокол не мог учесть всех трудностей организации производства и доставки. Наиболее остро тогда стояла проблема транспорта. А только ввезенные продовольственные грузы заняли четверть всего тоннажа. Бесспорно, важнее было заполнить трюмы пароходов оружием и боеприпасами. Это понимала и советская сторона, разрабатывая в апреле заявку для Второго Протокола. Продовольственную проблему в стране предполагалось решить за счет внутренних ресурсов: увеличения посевных площадей, разведения мелкого рогатого скота и птицы, развития местных промыслов, нормирования продуктов (19582).</w:t>
      </w:r>
    </w:p>
    <w:p w14:paraId="2B31B9F6" w14:textId="77777777" w:rsidR="00224205" w:rsidRPr="00640820" w:rsidRDefault="00224205" w:rsidP="00640820">
      <w:pPr>
        <w:spacing w:after="0" w:line="240" w:lineRule="auto"/>
        <w:jc w:val="both"/>
        <w:rPr>
          <w:rFonts w:ascii="Times New Roman" w:hAnsi="Times New Roman"/>
          <w:color w:val="000000" w:themeColor="text1"/>
          <w:sz w:val="16"/>
          <w:szCs w:val="16"/>
        </w:rPr>
      </w:pPr>
    </w:p>
    <w:p w14:paraId="2DB7E70A" w14:textId="77777777" w:rsidR="00224205" w:rsidRPr="00640820" w:rsidRDefault="0022420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Начиная с 29 сентября 1941 в Москве состоялись три заседания, в ходе которых удалось договориться о следующем: союзники обещали с октября 1941 г. по июнь 1942 г. ежемесячно доставлять в СССР по 300 истребителей и 100 бомбардировщиков (советская делегация настаивала на обратной пропорции — 300 бомбардировщиков и 100 истребителей). Однако до конца 1941 г. СССР получил всего 740 самолетов вместо обещанных 1200, да и то в основном несколько устаревших конструкций, например, такие истребители, как британские «Харрикейны» (484 шт.) и американские «Томохауки» (230 шт.). Мало того, что они были не новыми (участвовали в «битве за Англию»), после длительной транспортировки их техническое состояние и вовсе стало плачевным (18305).</w:t>
      </w:r>
    </w:p>
    <w:p w14:paraId="032727DA" w14:textId="77777777" w:rsidR="00224205" w:rsidRPr="00640820" w:rsidRDefault="00224205" w:rsidP="00640820">
      <w:pPr>
        <w:spacing w:after="0" w:line="240" w:lineRule="auto"/>
        <w:jc w:val="both"/>
        <w:rPr>
          <w:rFonts w:ascii="Times New Roman" w:hAnsi="Times New Roman"/>
          <w:color w:val="000000" w:themeColor="text1"/>
          <w:sz w:val="16"/>
          <w:szCs w:val="16"/>
        </w:rPr>
      </w:pPr>
    </w:p>
    <w:p w14:paraId="103099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сентября 1941 в Москве прошли переговоры с участием НКАП по поставкам англо-американской авиатехники. Создали международную комиссию, собиравшуюся три раза. Предполагалось, что с 1 октября 1941 по 30 июня 1942 ежемесячно в СССР пойдет 300 истребителей и 100 Б, хотя наши хотели как раз наоборот. До конца 1941 получили всего 750 вместо 1200 (173,211).</w:t>
      </w:r>
    </w:p>
    <w:p w14:paraId="336BA2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Эти переговоры шли до 1 октября 1941 и приняли участие от СССР - В.М.М., от США - У.А.Гарриман, от Великобритании - лорд У.Бивенбрук. Принял участие и И.В.С. (1348,258).</w:t>
      </w:r>
    </w:p>
    <w:p w14:paraId="434B83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300FDD3"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18165B33"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CB57B4F" w14:textId="77777777" w:rsidR="002F5DDC" w:rsidRPr="00640820" w:rsidRDefault="002F5DDC"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На 30 сентября 1941 г., согласно отчету по состоянию испытаний опыт</w:t>
      </w:r>
      <w:r w:rsidRPr="00640820">
        <w:rPr>
          <w:color w:val="000000" w:themeColor="text1"/>
          <w:sz w:val="16"/>
          <w:szCs w:val="16"/>
        </w:rPr>
        <w:softHyphen/>
        <w:t>ных самолетов в ЛИИ НКАП, первый экземпляр самолета ИТП (М-1) находился на сборке, но к нему отсутствовал мотор М-107П. На стенде был произведен отстрел всего стрел- ково-пушечного вооружения. Срок окончания по</w:t>
      </w:r>
      <w:r w:rsidRPr="00640820">
        <w:rPr>
          <w:color w:val="000000" w:themeColor="text1"/>
          <w:sz w:val="16"/>
          <w:szCs w:val="16"/>
        </w:rPr>
        <w:softHyphen/>
        <w:t>стройки самолета ориентировочно ожидался 10 ок</w:t>
      </w:r>
      <w:r w:rsidRPr="00640820">
        <w:rPr>
          <w:color w:val="000000" w:themeColor="text1"/>
          <w:sz w:val="16"/>
          <w:szCs w:val="16"/>
        </w:rPr>
        <w:softHyphen/>
        <w:t>тября 1941 г., а срок передачи на государственные испытания — не позже 1 апреля 1941 г. (17500).</w:t>
      </w:r>
    </w:p>
    <w:p w14:paraId="49485FFD" w14:textId="77777777" w:rsidR="002F5DDC" w:rsidRPr="00640820" w:rsidRDefault="002F5DD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89742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сентября 1941 на ТИС 2АМ-37 в ходе испытаний проверяли поднятие шасси (2350,27).</w:t>
      </w:r>
    </w:p>
    <w:p w14:paraId="5DCCED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9C2CA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C 30 сентября по 7 октября 1941 г. на заводе N 21 были проведены испытания самолета Лагг-3, вооруженного пушкой ВЯ-23 мм с боекомплектом 90 патронов и двумя пулеметами УБС-12,7 мм с боекомплектом 350 патронов. Испытания дали положительные результаты, но ввиду того, что решение о выпуске самолетов Лагг-3 с пушками ВЯ-23 не состоялось, в производстве сохранена установка пушки Швак-20 (2147,1).</w:t>
      </w:r>
    </w:p>
    <w:p w14:paraId="60E2C0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5FDBB17" w14:textId="77777777" w:rsidR="002F5DDC" w:rsidRPr="00640820" w:rsidRDefault="002F5DDC"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30 сентября 1941 главный конструктор завода № 21 Лавочкин утвердил акт по заводским испытаниям серийной установки ВЯ на двух самолетах ЛаГГ-3 (зав. № 3121521 и № 3121638).</w:t>
      </w:r>
    </w:p>
    <w:p w14:paraId="21FF4DDB" w14:textId="77777777" w:rsidR="002F5DDC" w:rsidRPr="00640820" w:rsidRDefault="002F5DDC"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Между тем, как показали дальнейшие события, контрольные испытания пушек Ш-37 на ЛаГГ-3 на</w:t>
      </w:r>
      <w:r w:rsidRPr="00640820">
        <w:rPr>
          <w:color w:val="000000" w:themeColor="text1"/>
          <w:sz w:val="16"/>
          <w:szCs w:val="16"/>
        </w:rPr>
        <w:softHyphen/>
        <w:t>значили весьма предусмотрительно. Пушки проде</w:t>
      </w:r>
      <w:r w:rsidRPr="00640820">
        <w:rPr>
          <w:color w:val="000000" w:themeColor="text1"/>
          <w:sz w:val="16"/>
          <w:szCs w:val="16"/>
        </w:rPr>
        <w:softHyphen/>
        <w:t>монстрировали никуда не годную живучесть и на</w:t>
      </w:r>
      <w:r w:rsidRPr="00640820">
        <w:rPr>
          <w:color w:val="000000" w:themeColor="text1"/>
          <w:sz w:val="16"/>
          <w:szCs w:val="16"/>
        </w:rPr>
        <w:softHyphen/>
        <w:t>дежность в работе (17500).</w:t>
      </w:r>
    </w:p>
    <w:p w14:paraId="5A5A7EA2" w14:textId="77777777" w:rsidR="002F5DDC" w:rsidRPr="00640820" w:rsidRDefault="002F5DDC" w:rsidP="00640820">
      <w:pPr>
        <w:spacing w:after="0" w:line="240" w:lineRule="auto"/>
        <w:jc w:val="both"/>
        <w:rPr>
          <w:rFonts w:ascii="Times New Roman" w:eastAsia="Times New Roman" w:hAnsi="Times New Roman"/>
          <w:color w:val="000000" w:themeColor="text1"/>
          <w:sz w:val="16"/>
          <w:szCs w:val="16"/>
          <w:lang w:eastAsia="ru-RU"/>
        </w:rPr>
      </w:pPr>
    </w:p>
    <w:p w14:paraId="5CB8EFE8" w14:textId="77777777" w:rsidR="00DC6E91" w:rsidRPr="00640820" w:rsidRDefault="00DC6E9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30 сентября 1941 г. ЦАГИ закончил аэродинамические исследования по истребителям МиГ, Ла, Як с М-82. Установка нового мотора на Як-1 позволяла ожидать увеличение максимальной скорости на 30—35 км/ч, увеличение высотности на 1000 м, сокращение времени набора высоты 5000 м на 0.8—1.2 мин, уменьшение длины разбега примерно на 10%. С другой стороны, мотор М-82 был на 250 кг тяжелее мотора М-105П, возможность улучшения летных данных вступила в противоречие с ограничением полетного веса по прочности шасси. Поэтому ответ на вопрос о замене на Як-1 мотора М-105П мотором М-82 оказался отрицательным. Для натурных испытаний мотор М-82 решено было установить на самолете Як-7. Эта работа носила экспериментальный характер и преследовала цель исследовать возможность улучшения летных данных, повышения боевой живучести и увеличения мощности вооружения (19727).</w:t>
      </w:r>
    </w:p>
    <w:p w14:paraId="3DD87611" w14:textId="77777777" w:rsidR="00DC6E91" w:rsidRPr="00640820" w:rsidRDefault="00DC6E91" w:rsidP="00640820">
      <w:pPr>
        <w:spacing w:after="0" w:line="240" w:lineRule="auto"/>
        <w:jc w:val="both"/>
        <w:rPr>
          <w:rFonts w:ascii="Times New Roman" w:hAnsi="Times New Roman"/>
          <w:color w:val="000000" w:themeColor="text1"/>
          <w:sz w:val="16"/>
          <w:szCs w:val="16"/>
        </w:rPr>
      </w:pPr>
    </w:p>
    <w:p w14:paraId="34363B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30 сентября 1941 г. были выполнены расчеты по установке М-82 на Як-1. Установка нового мотора на Як-1 позволяла ожидать:</w:t>
      </w:r>
    </w:p>
    <w:p w14:paraId="1F918E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увеличение максимальной скорости на 30-35 км/ч;</w:t>
      </w:r>
    </w:p>
    <w:p w14:paraId="2E0156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увеличение высотности на 1000 м;</w:t>
      </w:r>
    </w:p>
    <w:p w14:paraId="0463A8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сокращение времени набора высоты 5000 м на 0,8-1,2 мин.;</w:t>
      </w:r>
    </w:p>
    <w:p w14:paraId="7E3EB2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уменьшение длины разбега примерно на 10%.</w:t>
      </w:r>
    </w:p>
    <w:p w14:paraId="4653CE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другой стороны, сухой вес у мотора М-82 был на 250 кг больше, чем у М-105П. Опять прекрасная возможность улучшения летных данных вступила в противоречие с ограничением полетного веса по прочности колес шасси. Поэтому ответ на вопрос о замене на Як-1 мотора М-105П мотором М-82 оказался отрицательным. А для натурных испытаний мотор М-82 решено было установить на самолете Як-7 (12048).</w:t>
      </w:r>
    </w:p>
    <w:p w14:paraId="18249A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F592F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30 сентября 1941 года Паспорт завода № 493</w:t>
      </w:r>
    </w:p>
    <w:p w14:paraId="2B7E1A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 Никитин</w:t>
      </w:r>
    </w:p>
    <w:p w14:paraId="1FBB60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планер пятиместный конструкции Антонова (9358).</w:t>
      </w:r>
    </w:p>
    <w:p w14:paraId="7264D8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1C4AF5A" w14:textId="77777777" w:rsidR="002F5DDC" w:rsidRPr="00640820" w:rsidRDefault="002F5DD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lastRenderedPageBreak/>
        <w:t>30 сентября 1941 года Постановление ГКО № 726сс на вооружение были приняты реактивные системы залпового огня М-13 на шасси СТЗ-5 и М-8 на шасси Т-30 (17665).</w:t>
      </w:r>
    </w:p>
    <w:p w14:paraId="1187D442" w14:textId="77777777" w:rsidR="002F5DDC" w:rsidRPr="00640820" w:rsidRDefault="002F5DDC" w:rsidP="00640820">
      <w:pPr>
        <w:spacing w:after="0" w:line="240" w:lineRule="auto"/>
        <w:jc w:val="both"/>
        <w:rPr>
          <w:rFonts w:ascii="Times New Roman" w:eastAsia="Times New Roman" w:hAnsi="Times New Roman"/>
          <w:color w:val="000000" w:themeColor="text1"/>
          <w:sz w:val="16"/>
          <w:szCs w:val="16"/>
          <w:lang w:eastAsia="ru-RU"/>
        </w:rPr>
      </w:pPr>
    </w:p>
    <w:p w14:paraId="22E6A32C"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050E957F"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B89D9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сентября 1941 вышло Постановление ГКО № 723 О производстве пулеметов "максим" 7,62 мм. РГАНИР, Фонд ГКО, д. 10, лл. 107 (11012).</w:t>
      </w:r>
    </w:p>
    <w:p w14:paraId="127129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A5B8B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сентября 1941 вышло Постановление ГКО № 724 О производстве снарядов М-8 и М-13 в октябре месяце 1941 г. РГАНИР, Фонд ГКО, д. 10, лл. 108-112, 113-169 (11012).</w:t>
      </w:r>
    </w:p>
    <w:p w14:paraId="44FFFA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B43C6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сентября 1941 г. харьковский завод № 308 6ГУ НКБ (производство корпусов РГ-33, 153 ед. оборудования, 81 чел.) эвакуирован (не полностью) в Курган на завод № 603.</w:t>
      </w:r>
    </w:p>
    <w:p w14:paraId="62224D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09.1943 г. завод № 308 2ГУ НКБ был восстановлен в Харькове.</w:t>
      </w:r>
    </w:p>
    <w:p w14:paraId="58F0DD8D" w14:textId="77777777" w:rsidR="00CD2D86"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(1938 г.)- 732 чел. (рабочих), (1939 г.)- 1123 чел. (рабочих), (1940 г.)- 1143 чел. (рабочих), (09.1941 г.)- 1500 чел. (11982).</w:t>
      </w:r>
    </w:p>
    <w:p w14:paraId="2B706149" w14:textId="77777777" w:rsidR="00CD2D86" w:rsidRPr="00640820" w:rsidRDefault="00CD2D86" w:rsidP="00640820">
      <w:pPr>
        <w:autoSpaceDE w:val="0"/>
        <w:autoSpaceDN w:val="0"/>
        <w:adjustRightInd w:val="0"/>
        <w:spacing w:after="0" w:line="240" w:lineRule="auto"/>
        <w:jc w:val="both"/>
        <w:rPr>
          <w:rFonts w:ascii="Times New Roman" w:hAnsi="Times New Roman"/>
          <w:color w:val="000000" w:themeColor="text1"/>
          <w:sz w:val="16"/>
          <w:szCs w:val="16"/>
        </w:rPr>
      </w:pPr>
    </w:p>
    <w:p w14:paraId="1150F90D" w14:textId="77777777" w:rsidR="00CD2D86" w:rsidRPr="00640820" w:rsidRDefault="00165A9C" w:rsidP="00640820">
      <w:pPr>
        <w:autoSpaceDE w:val="0"/>
        <w:autoSpaceDN w:val="0"/>
        <w:adjustRightInd w:val="0"/>
        <w:spacing w:after="0" w:line="240" w:lineRule="auto"/>
        <w:jc w:val="both"/>
        <w:rPr>
          <w:rFonts w:ascii="Times New Roman" w:hAnsi="Times New Roman"/>
          <w:color w:val="000000" w:themeColor="text1"/>
          <w:kern w:val="36"/>
          <w:sz w:val="16"/>
          <w:szCs w:val="16"/>
        </w:rPr>
      </w:pPr>
      <w:r w:rsidRPr="00640820">
        <w:rPr>
          <w:rFonts w:ascii="Times New Roman" w:hAnsi="Times New Roman"/>
          <w:color w:val="000000" w:themeColor="text1"/>
          <w:kern w:val="36"/>
          <w:sz w:val="16"/>
          <w:szCs w:val="16"/>
        </w:rPr>
        <w:t>30 сентября 1941 вышло:</w:t>
      </w:r>
    </w:p>
    <w:p w14:paraId="6A6F1ECB" w14:textId="77777777" w:rsidR="00CD2D86" w:rsidRPr="00640820" w:rsidRDefault="00165A9C" w:rsidP="00640820">
      <w:pPr>
        <w:autoSpaceDE w:val="0"/>
        <w:autoSpaceDN w:val="0"/>
        <w:adjustRightInd w:val="0"/>
        <w:spacing w:after="0" w:line="240" w:lineRule="auto"/>
        <w:jc w:val="both"/>
        <w:rPr>
          <w:rFonts w:ascii="Times New Roman" w:hAnsi="Times New Roman"/>
          <w:color w:val="000000" w:themeColor="text1"/>
          <w:kern w:val="36"/>
          <w:sz w:val="16"/>
          <w:szCs w:val="16"/>
        </w:rPr>
      </w:pPr>
      <w:r w:rsidRPr="00640820">
        <w:rPr>
          <w:rFonts w:ascii="Times New Roman" w:hAnsi="Times New Roman"/>
          <w:color w:val="000000" w:themeColor="text1"/>
          <w:kern w:val="36"/>
          <w:sz w:val="16"/>
          <w:szCs w:val="16"/>
        </w:rPr>
        <w:t>ПОСТАНОВЛЕНИЕ ГОСУДАРСТВЕННОГО КОМИТЕТА ОБОРОНЫ № ГКО-724сс</w:t>
      </w:r>
    </w:p>
    <w:p w14:paraId="43FD3EFE" w14:textId="77777777" w:rsidR="00CD2D86"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30 сентября 1941 г. Москва, Кремль</w:t>
      </w:r>
    </w:p>
    <w:p w14:paraId="656669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 производстве снарядов М-8 и М-13 в октябре месяце 1941 г.</w:t>
      </w:r>
    </w:p>
    <w:p w14:paraId="24F0A5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Утвердить план производства-сдачи Наркоматом Боеприпасов для НКО снарядов М-8 и М-13 на октябрь 1941 г. в количестве 363 тысячи штук, в том числе снарядов М-8 – 137 т. шт. и снарядов М-13 – 226 т. шт.</w:t>
      </w:r>
    </w:p>
    <w:p w14:paraId="3F036A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Обязать Наркомбоеприпасов (т. Горемыкина) снарядить и поставить Наркомату Обороны снаряды М-8 и М-13 комплектным выстрелом в октябре 1941 г. по пятидневкам:</w:t>
      </w:r>
    </w:p>
    <w:p w14:paraId="010822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первой пятидневке 38, 0 т. Шт., во II – 47,0 т.шт., в III – 56,0 т.шт., в IV – 66,0 т.шт., в V – 76 т.шт., в VI – 80 т.шт., согласно графику (приложение № 1).</w:t>
      </w:r>
    </w:p>
    <w:p w14:paraId="302927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Обязать НКБ (т. Горемыкина) создать в районе Новосибирска новую базу по производству снарядов М-8 с началом выпуска в октябре и доведением выпуска в декабре 1941 года не менее 5 тыс. штук в сутки. Выделить специально для производства снарядов М-8 в качестве головного завода Киселевский механический завод НКБ с привлечением для производства деталей снаряда заводов НКБ, НКСМ, НКЧМ и других наркоматов.</w:t>
      </w:r>
    </w:p>
    <w:p w14:paraId="35E291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Поручить тт. Горемыкину, Ивановскому (НКБ), Кулагину (Новосибирский обком ВКП/б/), Тевосяну (НКЧМ), Аконову (НКСМ), Борисову (Госплан СССР) и Кузнецову (ГУВМЧ) к 1 октября 1941 г. представить на утверждение ГКО проект решения о создании указанной базы (11813).</w:t>
      </w:r>
    </w:p>
    <w:p w14:paraId="5004094C" w14:textId="77777777" w:rsidR="00CD2D86" w:rsidRPr="00640820" w:rsidRDefault="00CD2D86" w:rsidP="00640820">
      <w:pPr>
        <w:autoSpaceDE w:val="0"/>
        <w:autoSpaceDN w:val="0"/>
        <w:adjustRightInd w:val="0"/>
        <w:spacing w:after="0" w:line="240" w:lineRule="auto"/>
        <w:jc w:val="both"/>
        <w:rPr>
          <w:rFonts w:ascii="Times New Roman" w:hAnsi="Times New Roman"/>
          <w:color w:val="000000" w:themeColor="text1"/>
          <w:sz w:val="16"/>
          <w:szCs w:val="16"/>
        </w:rPr>
      </w:pPr>
    </w:p>
    <w:p w14:paraId="45E577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сентября 1941 вышло Постановление ГКО № 725 О плане производства и поставок артиллерийского, минометного и стрелкового вооружения и военных приборов в октябре месяце 1941 г. РГАНИР, Фонд ГКО, д. 10, лл. 170-178, 179 (11012).</w:t>
      </w:r>
    </w:p>
    <w:p w14:paraId="0F297A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541E6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сентября 1941 г. Пост. ГКО № 726сс заводу «Комсомолец» НКСС (Завод № 222 НКТП, Станкостроительный завод «Комсомолец» НКСС, Тогузакский механический завод им. 25-летия Казахской ССР, ОАО «Тогузакский механический завод» /г. Егорьевск Московской обл.; Казахстан  г. Кустанай/ /Казахстан 459030 пос. Карабалык Кустанайской обл., ул. Ленина, 1/) поручено изготовление в 10.1941 г. механизмов подъема для ПУ М-8.</w:t>
      </w:r>
    </w:p>
    <w:p w14:paraId="0C2232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после начала войны завод № 222 эвакуирован в Кустанай, действовал под прежним номером, имел также название «Комсомолец». В 1945 г. реэвакуирован на старое место, где образован новый завод № 301.</w:t>
      </w:r>
    </w:p>
    <w:p w14:paraId="16F617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Далее завод № 222 переименован в Тогузакский механический завод.</w:t>
      </w:r>
    </w:p>
    <w:p w14:paraId="79E048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(2000-е): запчасти к автомобилям ГАЗ-53, КамАЗ, ВАЗ, к тракторам, комбайнам; станок сверлильный, рубанок металлический; агрегат изготовления макаронных изделий; бесконечная лента ЗСМ-60; алюминиевая посуда, формы для выпечки хлеба; печное литье; крышка металлическая майонезная; пленка полиэтиленовая (11982).</w:t>
      </w:r>
    </w:p>
    <w:p w14:paraId="2C385F15" w14:textId="77777777" w:rsidR="00CD2D86" w:rsidRPr="00640820" w:rsidRDefault="00CD2D86"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A46BFE" w14:textId="77777777" w:rsidR="000A728B" w:rsidRPr="00640820" w:rsidRDefault="000A728B"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30 сентября на завод № 37 был отправлен запрос о состоянии дел по экранировке легких танков. Согласно ответу Фрезерова, заводское конструкторское бюро (КБ) вовсю работало над экранировкой совместно с рембазой №2, находившейся в Москве на улице Нижне-Красносельской, д. 40. Непосредственно разработкой экранировки занимался отдел 22 КБ под руководством Н. А. Астрова.</w:t>
      </w:r>
    </w:p>
    <w:p w14:paraId="03CFAE11" w14:textId="77777777" w:rsidR="000A728B" w:rsidRPr="00640820" w:rsidRDefault="000A728B"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Расчёты показали, что максимально допустимая масса экранировки Т-38 находилась в пределах 400–500 кг. Что же касается Т-37, то по поводу усиления его брони имелись большие сомнения. Танк и так страдал проблемами с дифференциалом, а дополнительная нагрузка могла их лишь усугубить.</w:t>
      </w:r>
    </w:p>
    <w:p w14:paraId="51557DE5" w14:textId="77777777" w:rsidR="000A728B" w:rsidRPr="00640820" w:rsidRDefault="000A728B"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Фрезеров предупреждал, что за отведенный промежуток времени заводское КБ успевает разработать экранировку только для машины одного типа. Несмотря на сомнения, связанные с возможными проблемами с перегрузкой, 1 октября 1941 года на испытания вышел экранированный Т-37. Его корпус получил экраны толщиной 7 мм, а башня – 6 мм. Был проведён обстрел танка из пулемёта бронебойными пулями с дистанций 50, 100, 150 и 200 метров. Испытания показали, что пуля пробивала экран, но листы самого корпуса в худшем случае получали вмятины. На этом основании комиссия сделала вывод, что танк не пробивается винтовочно-пулемётным огнём со всех дистанций (17660).</w:t>
      </w:r>
    </w:p>
    <w:p w14:paraId="57CB8B1D" w14:textId="77777777" w:rsidR="000A728B" w:rsidRPr="00640820" w:rsidRDefault="000A728B" w:rsidP="00640820">
      <w:pPr>
        <w:spacing w:after="0" w:line="240" w:lineRule="auto"/>
        <w:jc w:val="both"/>
        <w:rPr>
          <w:rFonts w:ascii="Times New Roman" w:eastAsia="Times New Roman" w:hAnsi="Times New Roman"/>
          <w:color w:val="000000" w:themeColor="text1"/>
          <w:sz w:val="16"/>
          <w:szCs w:val="16"/>
          <w:lang w:eastAsia="ru-RU"/>
        </w:rPr>
      </w:pPr>
    </w:p>
    <w:p w14:paraId="36A4B7F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сентября 1941 г. ЗИС-5 последнего варианта была приня</w:t>
      </w:r>
      <w:r w:rsidRPr="00640820">
        <w:rPr>
          <w:rFonts w:ascii="Times New Roman" w:hAnsi="Times New Roman"/>
          <w:color w:val="000000" w:themeColor="text1"/>
          <w:sz w:val="16"/>
          <w:szCs w:val="16"/>
        </w:rPr>
        <w:softHyphen/>
        <w:t>та на вооружение. Валовое производст</w:t>
      </w:r>
      <w:r w:rsidRPr="00640820">
        <w:rPr>
          <w:rFonts w:ascii="Times New Roman" w:hAnsi="Times New Roman"/>
          <w:color w:val="000000" w:themeColor="text1"/>
          <w:sz w:val="16"/>
          <w:szCs w:val="16"/>
        </w:rPr>
        <w:softHyphen/>
        <w:t>во пушек ЗИС-5 началось с 1 октября 1941 г. на заводах № 92 и № 9 (на который эвакуировалось танковое произ</w:t>
      </w:r>
      <w:r w:rsidRPr="00640820">
        <w:rPr>
          <w:rFonts w:ascii="Times New Roman" w:hAnsi="Times New Roman"/>
          <w:color w:val="000000" w:themeColor="text1"/>
          <w:sz w:val="16"/>
          <w:szCs w:val="16"/>
        </w:rPr>
        <w:softHyphen/>
        <w:t>водство ЛКЗ) и продолжалось до 21 декабря 1943 г. (10782).</w:t>
      </w:r>
    </w:p>
    <w:p w14:paraId="6832762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EC17A0"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сентября 1941 г. на фронт отправляется инструкция Wa Pruef 7 vom 30.9.41 с описанием методов борьбы с советскими радиоминами. В частности, там говорится:</w:t>
      </w:r>
    </w:p>
    <w:p w14:paraId="66534451"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Выведение из строя.</w:t>
      </w:r>
    </w:p>
    <w:p w14:paraId="2370C68C"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Колебания звуковой частоты (между от 150 до 700 Гц в течение 5 секунд) могут выводить два рабочих комплекта камертонов из строя. Тем не менее, предпосылками для этого являются:</w:t>
      </w:r>
    </w:p>
    <w:p w14:paraId="387DAAA6"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то, что частота приема известна,</w:t>
      </w:r>
    </w:p>
    <w:p w14:paraId="48086836"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то, что аккумуляторные батареи устройств еще имеют высокое напряжение, то есть что устройства еще недолго были в режиме (минимум 12 вольт рабочего напряжения, 95 вольт анодного напряжения).</w:t>
      </w:r>
    </w:p>
    <w:p w14:paraId="0592CB85"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Блокирование. Возбуждение может предотвращаться посылками смодулированных сигналов на близкой вызывающему радиопередатчик частоте. Произведенный обоими радиопередатчиками искаженный звук затем управляет частью низкой частоты устройства, вследствие чего возбуждение предотвращается.</w:t>
      </w:r>
    </w:p>
    <w:p w14:paraId="6B965002"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Испытания на местности проводились при помощи 100-ваттного радиопередатчика на частоте 705 килогерц (устройство XXXIV) со следующим результатом:</w:t>
      </w:r>
    </w:p>
    <w:p w14:paraId="00883A64"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Возбуждение взрывного устройства могло предотвращаться при помощи этих радиопередатчиков на расстояние около 3—5 км, если интервал частоты не был больше чем 3 килогерца. При применении более сильного радиопередатчика блокирование было бы возможно в соответствии с этим также при более большом интервале частоты и на более больших расстояниях. Для этих испытаний использовалась модуляция радиопередатчика, реконструированного из трофейного имущества. В модуляции содержатся 3 звуковые частоты, которые изменяются при применении другого ключа».</w:t>
      </w:r>
    </w:p>
    <w:p w14:paraId="0534C3E8"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Финский исследователь Юкка Лайне утверждает, что несколько радиомин было обнаружено финскими войсками при взятии Выборга. Они были выявлены в нескольких мостах, крупных зданиях, водонапорной башне и в портовых сооружениях. Одна радиомина была обнаружена просто брошенной. Борьба с радиоминами в Выборге началась 27 августа 1941 г. и закончилась 1 сентября 1941 г. (по взрывам, но не по контрмерам). В это время произошло 17 взрывов в двенадцати объектах города.</w:t>
      </w:r>
    </w:p>
    <w:p w14:paraId="544C49E3"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Первый взрыв произошел в южной опоре моста у поселка Каменногорск (фин. Антреа, пролив Куукауппи). На мосту погибли три финских офицера и два чиновника. Они не разминировали, а просто находились там. Самый старший по чину из погибших был майор Тапио Тарьянцэ, главный военный адвокат финского Генерального штаба. Следующим был взорван 31 августа мост через Саименский канал.</w:t>
      </w:r>
    </w:p>
    <w:p w14:paraId="0DBB6E0E"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Этим же сигналом должен был быть взорван железнодорожный мост, но там радиомину нашли 30 августа и сняли.</w:t>
      </w:r>
    </w:p>
    <w:p w14:paraId="6A79C87B"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Любопытно событие в Линнансилта, что у Выборгского замка. Там в поисках радиомин находился финский саперный взвод. Ничего не нашли и попросили у взводного разрешения подняться на башню замка, чтобы осмотреть город. Когда все саперы были наверху в башне, взорвались обе опоры моста, камни летели выше башни. Солдаты сбежали с башни, полагая, что она следующий объект. Но разрушения ограничились мостом.</w:t>
      </w:r>
    </w:p>
    <w:p w14:paraId="5D0CF5C4"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Тем не менее первые радиомины удалось раскопать 28 августа у северной опоры моста на Каменногорск, и в гавани Выборга нашли неустановленную радиомину с целым взрывателем.</w:t>
      </w:r>
    </w:p>
    <w:p w14:paraId="553D4D4C"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Всего в Выборге было установлено 25 радиомин Ф-10. Они содержали от 120 до 4500 кг тротила. Из них 17 взорвались, а 8 удалось нейтрализовать и обезвредить, когда стало ясно, что мины приводятся в действие радиосигналом. Руководил работами капитан Лаури Ситела (Lauri Sutela). В восьмидесятых годах он был Командующим Сил обороны Финляндии.</w:t>
      </w:r>
    </w:p>
    <w:p w14:paraId="2BCB486F"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Найденные устройства были отправлены в Хельсинки, проанализированы специалистами и уже к 2 сентября 1941 г. были изданы соответствующие инструкции по правилам обращения и нейтрализации советских радиомин. Так, было выявлено, что в качестве радиосигналов используются довоенные паузовые музыкальные мелодии Харьковской и Минской широковещательных радиостанций (мелодии, которыми заполняется эфир между двумя радиопередачами). Финские специалисты подобрали мелодию, которая звучала в том же диапазоне звуковых частот. Ею оказалась мелодия карельского народного танца «Saekkijarven polkka». В течение двух месяцев (предельное время с полуторным запасом годности батарей радиомин) в Выборге на радиочастотах советских радиомин непрерывно звучала эта мелодия, передаваемая с армейских радиопередатчиков, которая искажала возможные радиосигналы советских радиопередатчиков (15117).</w:t>
      </w:r>
    </w:p>
    <w:p w14:paraId="30A68C6A" w14:textId="77777777" w:rsidR="00CD2D86" w:rsidRPr="00640820" w:rsidRDefault="00CD2D86" w:rsidP="00640820">
      <w:pPr>
        <w:spacing w:after="0" w:line="240" w:lineRule="auto"/>
        <w:jc w:val="both"/>
        <w:rPr>
          <w:rFonts w:ascii="Times New Roman" w:hAnsi="Times New Roman"/>
          <w:color w:val="000000" w:themeColor="text1"/>
          <w:sz w:val="16"/>
          <w:szCs w:val="16"/>
        </w:rPr>
      </w:pPr>
    </w:p>
    <w:p w14:paraId="006579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сентября 1941 эсминец "Совершенный" в день подписания акта прием</w:t>
      </w:r>
      <w:r w:rsidRPr="00640820">
        <w:rPr>
          <w:rFonts w:ascii="Times New Roman" w:hAnsi="Times New Roman"/>
          <w:color w:val="000000" w:themeColor="text1"/>
          <w:sz w:val="16"/>
          <w:szCs w:val="16"/>
        </w:rPr>
        <w:softHyphen/>
        <w:t>ки подорвался на мине и фактически в строй не вступил, так как был уничтожен немецкой авиацией 8 июня 1942 г., находясь на ремонте в Севастополе (3898).</w:t>
      </w:r>
    </w:p>
    <w:p w14:paraId="500354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ACDF026"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39829967"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243D5B7"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30 сентября </w:t>
      </w:r>
      <w:r w:rsidRPr="00640820">
        <w:rPr>
          <w:rFonts w:ascii="Times New Roman" w:hAnsi="Times New Roman"/>
          <w:color w:val="000000" w:themeColor="text1"/>
          <w:sz w:val="16"/>
          <w:szCs w:val="16"/>
        </w:rPr>
        <w:t>в 1941 году утреннее сообщение Совинформбюро:</w:t>
      </w:r>
    </w:p>
    <w:p w14:paraId="5F6AAA64"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30 сентября наши войска вели бои с противником на всём фронте.</w:t>
      </w:r>
    </w:p>
    <w:p w14:paraId="1A17A129"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 наша авиачасть, действующая на Юго-Западном направлении фронта, 27 сентября уничтожила 10 немецких танков, 38 бронемашин и 98 автомобилей.</w:t>
      </w:r>
    </w:p>
    <w:p w14:paraId="178E6BC7"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сентября лётчики этой части тт. Борташевич, Корякин, Денисенко и Костин разрушили крупный мост, по которому переправлялась большая группировка вражеских войск с танками и артиллерией.</w:t>
      </w:r>
    </w:p>
    <w:p w14:paraId="4DC96884"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сентября советские лётчики, действующие на одном из участков Северо-Западного направления фронта, совершили успешный налёт на вражеский аэродром, где находилось большое количество немецких бомбардировщиков и истребителей. В результате налёта было уничтожено 29 фашистских самолётов, из них 26 на земле и 3 в воздухе.</w:t>
      </w:r>
    </w:p>
    <w:p w14:paraId="42BB64C6"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Группа наших самолётов, действующая на Западном направлении фронта, уничтожила за один день 10 немецких танков, 38 бронемашин, 10 автомашин с вражескими солдатами и до роты пехоты.</w:t>
      </w:r>
    </w:p>
    <w:p w14:paraId="2A15CB16"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бою на одном из участков Западного направления фронта красноармеец Широкий в штыковой схватке заколол немецкого офицера, 5 солдат и уничтожил гранатой двух автоматчиков. Подразделение, увлечённое порывом тов. Широкого, уничтожило в бою около ста фашистских солдат и офицеров.</w:t>
      </w:r>
    </w:p>
    <w:p w14:paraId="211CC597"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Письма, обнаруженные у немецких солдат и офицеров, убитых на подступах к Ленинграду, подтверждают те огромные потери, которые несут фашистские войска на Восточном фронте. Ефрейтор Эрнст Реннунг писал 12 сентября своему другу Вернеру Штольцу: «Дорогой Вернер! С 5-го июля я в России. То, что я пережил и проделал за это время, невозможно описать. Всё время я был на передовой линии... В нашей роте, которая выступила в составе 160 человек, осталось лишь 60. Численный состав батальона едва соответствует одной роте. В 10 роте осталось 33 человека. У нас уже третий командир роты. Почти все офицеры нашей дивизии убиты. Дивизия по численности составляет полк. Отсюда ты можешь видеть, что мы прошли через тяжёлые бои».</w:t>
      </w:r>
    </w:p>
    <w:p w14:paraId="67D4E6FA"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Ефрейтор Иозеф Шрейдер 8 сентября сообщал своим родителям: «...Мы целый день лежим в грязи и не получаем ничего, кроме дождя. При этом мы несём большие потери».</w:t>
      </w:r>
    </w:p>
    <w:p w14:paraId="6DADFCB4"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Сдавшийся в плен унтер-офицер 1 полка 1 немецкой пехотной дивизии Артур Клейн сообщил, что из 193 солдат его роты осталось лишь 72. Другие роты этого полка понесли ещё более тяжёлые потери.</w:t>
      </w:r>
    </w:p>
    <w:p w14:paraId="46C47735"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Чехословацкие патриоты усиливают борьбу с фашистскими оккупантами. На военных предприятиях и железных дорогах с каждым днём возрастает количество актов саботажа и диверсий. В Пльзене в течение трёх дней не работал один из сборочных цехов завода Шкода, так как некоторые детали оказались негодными. Недавно на этом заводе патриоты подожгли склад готовой продукции. Погибло много оружия. Между станциями Пршеров и Границе произошло большое крушение воинского поезда с различным военным-снаряжением и танками. В результате крушения разбито 13 вагонов, сильно повреждено 19 танков. Второе крушение было на линии Пльзен — Непомук. В нескольких километрах от города Непомук полетело под откос 15 плат-форм с орудиями для германской армии.</w:t>
      </w:r>
    </w:p>
    <w:p w14:paraId="7A1E02CB"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ухода частей Красной Армии из Кишинёва румыны учинили в городе зверский погром. Все магазины, учреждения и квартиры были ограблены, сотни людей брошены в тюрьмы и расстреляны. Захваченный недавно в плен офицер румынской армии Ион Штефанеску рассказал: «Наша часть вступила в Кишинёв на второй день после ухода Красной Армии. Немцы приказали сигуранце согнать в тюрьмы всех советских жителей города. В здании, которое ранее занимало НКВД, непрерывно па ночам слышались выстрелы и пулемётная стрельба. Это сигуранца расстреливала жителей Кишинёва». Дмитру Филиппеску, ефрейтор 11 роты 3 батальона 5 пограничного румынского полка, заявил: «В Кишинёв я вступил тотчас после оставления города частями Красной Армии. Агенты сигуранцы начали аресты среди населения города. Многих ночью расстреливали, а имущество забирали. Наша рота находилась в карауле, и я видел, как во дворе итальянского консульства были из пулемёта расстреляны больше пятидесяти мужчин и женщин».</w:t>
      </w:r>
    </w:p>
    <w:p w14:paraId="6C5E1E14"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Полтора месяца творила свои чудовищные преступления румынская сигуранца в Кишинёве. Сведения о кровавой расправе над мирным населением стали широко известны не только в Румынии, но и за её пределами. Обеспокоенные этим, румынские власти решили свалить всё с больной головы на здоровую, приписав свои преступления большевикам. С этой целью сигуранца приказала выступить газете «Универсул» с утверждением о том, что в подвалах бывшего итальянского консульства и здания НКВД обнаружено 160 трупов «интеллигентов, священников и невинных детей», убитых якобы большевиками.</w:t>
      </w:r>
    </w:p>
    <w:p w14:paraId="71B4DAAD"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Как известно, гитлеровские бандиты при захвате Каунаса, Львова и других городов расстреляли тысячи советских граждан и тоже пытались приписать свои собственные зверства советским властям. Румынские холопы Гитлера идут по проторённой дорожке. Но как они ни стараются, им не удастся замести следы своих кровавых, преступлений.» (14785).</w:t>
      </w:r>
    </w:p>
    <w:p w14:paraId="423610F7" w14:textId="77777777" w:rsidR="00CD2D86" w:rsidRPr="00640820" w:rsidRDefault="00CD2D86" w:rsidP="00640820">
      <w:pPr>
        <w:spacing w:after="0" w:line="240" w:lineRule="auto"/>
        <w:jc w:val="both"/>
        <w:rPr>
          <w:rFonts w:ascii="Times New Roman" w:hAnsi="Times New Roman"/>
          <w:color w:val="000000" w:themeColor="text1"/>
          <w:sz w:val="16"/>
          <w:szCs w:val="16"/>
        </w:rPr>
      </w:pPr>
    </w:p>
    <w:p w14:paraId="2F359FC9"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30 сентября </w:t>
      </w:r>
      <w:r w:rsidRPr="00640820">
        <w:rPr>
          <w:rFonts w:ascii="Times New Roman" w:hAnsi="Times New Roman"/>
          <w:color w:val="000000" w:themeColor="text1"/>
          <w:sz w:val="16"/>
          <w:szCs w:val="16"/>
        </w:rPr>
        <w:t>в 1941 году вечернее сообщение Совинформбюро:</w:t>
      </w:r>
    </w:p>
    <w:p w14:paraId="373FA382"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30 сентября наши войска вели бои с противником на всём фронте. После упорных боёв наши войска оставили г. Полтаву.</w:t>
      </w:r>
    </w:p>
    <w:p w14:paraId="1F7082A0"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28 сентября уничтожены 65 немецких самолётов. Наши потери — 27 самолётов.</w:t>
      </w:r>
    </w:p>
    <w:p w14:paraId="3A500A25"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Западном направлении фронта наши части разгромили два полка 268 пехотной дивизии противника. После упорного боя немцы оставили на поле боя более 1800 трупов. По неполным данным, захвачено 8 орудий, 15 пулемётов, 5 миномётов, грузовые и легковые машины, мотоциклы, 4 радиостанции, захвачено также много винтовок, снарядов и патронов. Сбор и подсчёт трофеев продолжается.</w:t>
      </w:r>
    </w:p>
    <w:p w14:paraId="2BA1F500"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боях на подступах к Ленинграду противник потерял за два дня 11 самолётов; семь из них сбито в воздушных боях и четыре — огнём зенитной артиллерии. Одна группа наших самолётов в результате успешного налёта на колонны противника уничтожила 9 танков, 11 зенитных орудий, 27 грузовых автомашин и около 200 немецких солдат и офицеров.</w:t>
      </w:r>
    </w:p>
    <w:p w14:paraId="7F40C661"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Артиллеристы подразделения тов. Дахновского на одном из участков Северо-Западного направления фронта разгромили за один день 12 вражеских ДЗОТов, 5 пулемётных гнёзд, штаб вражеской части и рассеяли немецкую колонну. Огнём наших орудий убито 150 германских солдат и офицеров.</w:t>
      </w:r>
    </w:p>
    <w:p w14:paraId="73077F15"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четыре дня на подступах к Одессе группа самолётов Черноморского флота уничтожила 800 солдат и офицеров противника, 59 автомашин и 9 орудий. В воздушных боях сбито 12 вражеских самолётов. Лётчик старший лейтенант Карасёв протаранил немецкий бомбардировщик «Юнкерс-88».</w:t>
      </w:r>
    </w:p>
    <w:p w14:paraId="01A32E9C"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городах и сёлах Украины, захваченных германскими войсками, советские партизаны ведут ожесточённую борьбу с фашистскими извергами. 5 сентября в районе села Л. Днепропетровской области разведчики партизанского отряда тов. П. разгромили группу немецких солдат. Воспользовавшись темнотой, партизаны приблизились к противнику на расстояние 15 метров и забросали его гранатами. Фашисты потеряли до 40 солдат. 6 сентября группа партизан из этого же отряда перерезала больше 30 проводов телеграфных линий, восстановленных немцами. Группа партизан из отряда тов. М. уничтожила три резиновые лодки с двенадцатью немецкими солдатами. В районе села К. партизаны напали на фашистский отряд и убили одного офицера и 9 солдат.</w:t>
      </w:r>
    </w:p>
    <w:p w14:paraId="6C3FD263"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Вблизи одного из городов Николаевской области партизанский отряд тов. С. разгромил штаб германской части. В Николаеве партизаны уничтожили до 30 немецких солдат, расположившихся на ночлег в городском саду имени Петровского. Партизанский отряд тов. Ш. напал на группу немецких солдат. В завязавшемся бою бойцы отряда уничтожили восемь фашистских пулемётчиков и десять пехотинцев. Партизаны захватили три пулемёта, несколько автоматов, 12 винтовок и свыше 2.000 патронов.</w:t>
      </w:r>
    </w:p>
    <w:p w14:paraId="67771740"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сумке пленного немецкого мотоциклиста найдено донесение офицера 11 немецкого мотополка Эрнста Монеса. Офицер так описывает многодневные бои на одном из участков Западного направления фронта: «Мы подвергаемся ударам русских со всех сторон. Русские располагают многочисленной артиллерией и прочим современным оружием и не знают недостатка в боеприпасах. Мы считали, что на нашем участке необыкновенно много нашей артиллерии, и очень надеялись на неё. Но, как выяснилось, артиллерия часто бездействует из-за недостатка боеприпасов. Солдаты боятся нападения противника и поэтому беспорядочно стреляют днём и ночью. Взаимодействие с нашей авиацией нарушено. Зато русские лётчики всё время висят над нашими головами и расстреливают нас из пулемётов на бреющем полёте. Мы пережили 19-дневное упорное и ожесточённое сражение в тяжёлых условиях. От непрерывного пребывания в окопах, полных воды, у многих солдат на теле появились фурункулы, причиняющие невыносимые боли и страдания. Солдаты выражают недовольство создавшимся положением» (14785).</w:t>
      </w:r>
    </w:p>
    <w:p w14:paraId="5EC3DE38" w14:textId="77777777" w:rsidR="00CD2D86" w:rsidRPr="00640820" w:rsidRDefault="00CD2D86" w:rsidP="00640820">
      <w:pPr>
        <w:spacing w:after="0" w:line="240" w:lineRule="auto"/>
        <w:jc w:val="both"/>
        <w:rPr>
          <w:rFonts w:ascii="Times New Roman" w:hAnsi="Times New Roman"/>
          <w:color w:val="000000" w:themeColor="text1"/>
          <w:sz w:val="16"/>
          <w:szCs w:val="16"/>
        </w:rPr>
      </w:pPr>
    </w:p>
    <w:p w14:paraId="76A9C0BB" w14:textId="77777777" w:rsidR="007F55E4" w:rsidRPr="00640820" w:rsidRDefault="007F55E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30 сентября 1941 немцы начинают наступление на Москву, Операция Тайфун, при поддержке Luftflotte 2 (2 - го воздушного флота), который, по оценкам СССР, включал 950 самолетов. Подразделения советских ВВС в этом районе имеют всего 391 самолет и быстро разбиты (20794).</w:t>
      </w:r>
    </w:p>
    <w:p w14:paraId="6953B26D" w14:textId="77777777" w:rsidR="007F55E4" w:rsidRPr="00640820" w:rsidRDefault="007F55E4" w:rsidP="00640820">
      <w:pPr>
        <w:spacing w:after="0" w:line="240" w:lineRule="auto"/>
        <w:jc w:val="both"/>
        <w:rPr>
          <w:rFonts w:ascii="Times New Roman" w:hAnsi="Times New Roman"/>
          <w:color w:val="0070C0"/>
          <w:sz w:val="16"/>
          <w:szCs w:val="16"/>
        </w:rPr>
      </w:pPr>
    </w:p>
    <w:p w14:paraId="1B3100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сентября 1941 семь Пе-2 в сопровождении пятерки ЛаГГ-3 нанесли удар по румынским позициям в районе Одессы. С горизонтального полета было сброшено 20 ФАБ-100 и 34 ФАБ-50, наблюдались прямые попадания в два танка и места скопления пехоты. В районе цели группу атаковали “мессершмитты”, но дружным огнем стрелков и успешными действиями летчиков ЛаГГов нападение удалось отбить. Экипажи доложили о двух победах (их противниками оказались румынские истребители), а все советские самолеты вернулись домой (4476).</w:t>
      </w:r>
    </w:p>
    <w:p w14:paraId="41F5DF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08B01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сентября 1941 семь Пе-2 в сопровождении пятерки ЛаГГ-3 нанесли удар по румынским позициям в районе Одессы. С горизонтального полета было сброшено 20 ФА Б-100 и 34 ФАБ-50, наблюдались прямые попадания в два танка и места скопления пехоты. В районе цели группу атаковали "мессершмитты", но дружным огнем стрелков и самоотверженными действиями пилотов ЛаГГов нападение удалось от- из 40-го бап ВВС бить. Немцы потеряли два истребителя, а все Черноморского флота советские самолеты вернулись домой (12042).</w:t>
      </w:r>
    </w:p>
    <w:p w14:paraId="3FB6C5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1CE09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30 сентября 1941 420-й полк насчитывал 21 исправный Ер-2. Самолеты отличались неплохой живучестью. Однажды, попав под обстрел, загорелся один из моторов на машине Молодчего. Вернулись домой фактически на одном моторе, а когда приземлились, обнаружили две дыры в кабине стрелков и множество мелких пробоин, в том числе и в бензобаках, не хватало одной шайбы вертикального оперения, а колеса оказались разбитыми. Можно сказать, прилетели на честном слове.</w:t>
      </w:r>
    </w:p>
    <w:p w14:paraId="38554B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наступлением осени остро встал вопрос о подготовке самолетов для боевых действий зимой. В связи с этим командир дивизии А.Е. Голованов, сменивший на этом посту М.В. Водопьянова, в письме наркому Шахурину потребовал поручить заводу № 240 подготовить и установить на Ер-2, находившихся в обоих авиаполках, 100 комплектов антиобледенителей на винты и 50 комплектов на крылья и стабилизаторы. Предлагалось также разработать форточки для фонарей кабин пилота и штурмана, лыжи, в том числе и взлетные. Там же отмечалось, что "после трех боевых вылетов... на Ер-2 обнаружена настолько сильная коррозия труб водяной системы, что на одном самолете во время боевого полета отвалилась труба, идущая от радиатора к мотору".</w:t>
      </w:r>
    </w:p>
    <w:p w14:paraId="3B4C7B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начальный период войны оба полка (420 и 421) работали не столько по дальним, сколько по ближним целям. Это диктовала обстановка, сложившаяся на фронтах. Из- за больших потерь Ер-2 экипажи 420-го дбап, в том числе и Молодчего, первым в полку удостоившегося звания Героя Советского Союза, в декабре 1941 г. пересели на Ил-4. Но Ер-2 421-го дбап подполковника А.Г. Гусева продолжали воевать. Этой же осенью, после реорганизации 81-й дивизии, полк Ер-2, провоевавший до конца 1943 г., переименовали в 747-й дбап и перебазировали в Иваново, а весной 1942 г. - в подмосковное Кратово на аэродром ЛИИ (11994).</w:t>
      </w:r>
    </w:p>
    <w:p w14:paraId="0031C1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FEAEE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30 сентября по 31 октября 1941 из 26 тыс. самолето-вылетов наших летчиков 80% были для поддержки и прикрытия войск (512,151).</w:t>
      </w:r>
    </w:p>
    <w:p w14:paraId="42DDF8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89D04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30 сентября 1941 г. в десяти авиаполках 6-го иак насчитывалось 175 МиГ-3 при общей численности 459 истребителей.</w:t>
      </w:r>
    </w:p>
    <w:p w14:paraId="1ACED0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Созданный 20 июня 1941 г. для обороны Москвы 6-й истребительный авиакорпус насчитывал в середине июля 708 боевых машин, включая 220 МиГов. Они наряду с другими истребителями вели патрулирование над Москвой с первых дней войны. Сбитый на подступах к городу 7 июля 1941 г. летчиком 126-го иап лейтенантом Каменщиковым </w:t>
      </w:r>
      <w:r w:rsidRPr="00640820">
        <w:rPr>
          <w:rFonts w:ascii="Times New Roman" w:hAnsi="Times New Roman"/>
          <w:color w:val="000000" w:themeColor="text1"/>
          <w:sz w:val="16"/>
          <w:szCs w:val="16"/>
          <w:lang w:val="en-US"/>
        </w:rPr>
        <w:t>Bf</w:t>
      </w:r>
      <w:r w:rsidRPr="00640820">
        <w:rPr>
          <w:rFonts w:ascii="Times New Roman" w:hAnsi="Times New Roman"/>
          <w:color w:val="000000" w:themeColor="text1"/>
          <w:sz w:val="16"/>
          <w:szCs w:val="16"/>
        </w:rPr>
        <w:t>.109 стал первой победой 6-го иак.</w:t>
      </w:r>
    </w:p>
    <w:p w14:paraId="0B17C0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последующие дни летчикам 6-го авиакорпуса предстояли серьезные испытания. В соответствии с решением разрушить советскую столицу бомбардировкой с воздуха в ночь с 21 на 22 июля немецкая авиация совершила первый массированный ночной налет на Москву. 195 бомбардировщиков из состава различных авиагрупп люфтваффе на больших высотах направились к городу. Навстречу неприятелю в воздух поднялись 173 советских истребителя, в том числе 40 МиГов. Хорошо налаженное взаимодействие истребителей, плотный огонь зенитной артиллерии и многочисленные ложные цели, не позволили противнику достичь заметного успеха.</w:t>
      </w:r>
    </w:p>
    <w:p w14:paraId="293551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Ночные массированные налеты продолжались до 11 августа, после чего интенсивность заметно снизилась. Несмотря на оптимистичные заявления многих пилотов о выполнении заданий, следует отметить, что МиГ-3 плохо подходил для использования его в качестве ночного истребителя. Отсутствовали необходимые авиагоризонт и радиополукомпас, выхлопные газы из патрубков двигателя слепили летчика в полете.</w:t>
      </w:r>
    </w:p>
    <w:p w14:paraId="7D722D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Предполагая дальнейшее обострение ситуации под Москвой, советское командование продолжало наращивать численность пво и сформировало на МиГ-3 с использованием опытного летного состава еще несколько полков, осенью на подступах к Москве на этих машинах активно действовали 27-й, 177-й, 34-й, 16-й и 233-й истребительные авиаполки. Всего в боевой состав авиакорпуса с 22 июня по 20 декабря 1941 г. поступили 361 МиГ-1 и МиГ-3. в ходе боевых действий 41 машину передали в другие части, 74 погибли в бою и 111 самолетов списали (11954).</w:t>
      </w:r>
    </w:p>
    <w:p w14:paraId="204CE9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1A4E6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сентября 1941 г. ударом 2-й тан</w:t>
      </w:r>
      <w:r w:rsidRPr="00640820">
        <w:rPr>
          <w:rFonts w:ascii="Times New Roman" w:hAnsi="Times New Roman"/>
          <w:color w:val="000000" w:themeColor="text1"/>
          <w:sz w:val="16"/>
          <w:szCs w:val="16"/>
        </w:rPr>
        <w:softHyphen/>
        <w:t>ковой группы генерала Гудериана и 2-й полевой армии генерала Вейхса по ле</w:t>
      </w:r>
      <w:r w:rsidRPr="00640820">
        <w:rPr>
          <w:rFonts w:ascii="Times New Roman" w:hAnsi="Times New Roman"/>
          <w:color w:val="000000" w:themeColor="text1"/>
          <w:sz w:val="16"/>
          <w:szCs w:val="16"/>
        </w:rPr>
        <w:softHyphen/>
        <w:t>вому крылу Брянского фронта на участ</w:t>
      </w:r>
      <w:r w:rsidRPr="00640820">
        <w:rPr>
          <w:rFonts w:ascii="Times New Roman" w:hAnsi="Times New Roman"/>
          <w:color w:val="000000" w:themeColor="text1"/>
          <w:sz w:val="16"/>
          <w:szCs w:val="16"/>
        </w:rPr>
        <w:softHyphen/>
        <w:t>ке Жуковка-Шостка началось наступле</w:t>
      </w:r>
      <w:r w:rsidRPr="00640820">
        <w:rPr>
          <w:rFonts w:ascii="Times New Roman" w:hAnsi="Times New Roman"/>
          <w:color w:val="000000" w:themeColor="text1"/>
          <w:sz w:val="16"/>
          <w:szCs w:val="16"/>
        </w:rPr>
        <w:softHyphen/>
        <w:t>ние германских войск по плану опера</w:t>
      </w:r>
      <w:r w:rsidRPr="00640820">
        <w:rPr>
          <w:rFonts w:ascii="Times New Roman" w:hAnsi="Times New Roman"/>
          <w:color w:val="000000" w:themeColor="text1"/>
          <w:sz w:val="16"/>
          <w:szCs w:val="16"/>
        </w:rPr>
        <w:softHyphen/>
        <w:t>ции "Тайфун" (6467).</w:t>
      </w:r>
    </w:p>
    <w:p w14:paraId="6E1B46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75BA1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30 сентября по 23 октября 1941 состоялась Орловско-Брянская оборонительная операция - окружили (2438,477).</w:t>
      </w:r>
    </w:p>
    <w:p w14:paraId="015006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6110D93"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30 сентября </w:t>
      </w:r>
      <w:r w:rsidRPr="00640820">
        <w:rPr>
          <w:rFonts w:ascii="Times New Roman" w:hAnsi="Times New Roman"/>
          <w:color w:val="000000" w:themeColor="text1"/>
          <w:sz w:val="16"/>
          <w:szCs w:val="16"/>
        </w:rPr>
        <w:t>в 1941 году войска группы армий «Центр» перешли в наступление на Москву на брянском направлении (14785).</w:t>
      </w:r>
    </w:p>
    <w:p w14:paraId="0742C0E9" w14:textId="77777777" w:rsidR="00CD2D86" w:rsidRPr="00640820" w:rsidRDefault="00CD2D86" w:rsidP="00640820">
      <w:pPr>
        <w:spacing w:after="0" w:line="240" w:lineRule="auto"/>
        <w:jc w:val="both"/>
        <w:rPr>
          <w:rFonts w:ascii="Times New Roman" w:hAnsi="Times New Roman"/>
          <w:color w:val="000000" w:themeColor="text1"/>
          <w:sz w:val="16"/>
          <w:szCs w:val="16"/>
        </w:rPr>
      </w:pPr>
    </w:p>
    <w:p w14:paraId="26EF5714"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30 сентября </w:t>
      </w:r>
      <w:r w:rsidRPr="00640820">
        <w:rPr>
          <w:rFonts w:ascii="Times New Roman" w:hAnsi="Times New Roman"/>
          <w:color w:val="000000" w:themeColor="text1"/>
          <w:sz w:val="16"/>
          <w:szCs w:val="16"/>
        </w:rPr>
        <w:t>в 1941 году началась Великая битва под Москвой 1941-1942 г.г. - оборонительные (30 сентября - 5 декабря 1941 г.) и наступательные (5 декабря 1941 г.- 20 апреля 1942 г.) операции советских войск. В ходе оборонительного этапа советские войска осуществили Орловско-Брянскую, Вяземскую, Можайско-Малоярославецкую, Калининскую, Клинско-Солнечногорскую, Наро-Фомннскую и Тульскую операции. Войска группы армий «Центр» перешли в наступление на орловском и курском направлениях и прорвали оборону 50-й и 13-й армий Брянского фронта. Началась Орловско-Брянская оборонительная операция войск Брянского фронта (генерал-лейтенант А.И.Еременко, с 13 октября - генерал-майор Г.Ф.Захаров), продолжавшаяся до 23 октября (14785).</w:t>
      </w:r>
    </w:p>
    <w:p w14:paraId="46EC6917" w14:textId="77777777" w:rsidR="00CD2D86" w:rsidRPr="00640820" w:rsidRDefault="00CD2D86" w:rsidP="00640820">
      <w:pPr>
        <w:spacing w:after="0" w:line="240" w:lineRule="auto"/>
        <w:jc w:val="both"/>
        <w:rPr>
          <w:rFonts w:ascii="Times New Roman" w:hAnsi="Times New Roman"/>
          <w:color w:val="000000" w:themeColor="text1"/>
          <w:sz w:val="16"/>
          <w:szCs w:val="16"/>
        </w:rPr>
      </w:pPr>
    </w:p>
    <w:p w14:paraId="7688747D"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30 сентября </w:t>
      </w:r>
      <w:r w:rsidRPr="00640820">
        <w:rPr>
          <w:rFonts w:ascii="Times New Roman" w:hAnsi="Times New Roman"/>
          <w:color w:val="000000" w:themeColor="text1"/>
          <w:sz w:val="16"/>
          <w:szCs w:val="16"/>
        </w:rPr>
        <w:t>в 1941 году войска Юго-Западного фронта начали оборонительные бои на харьковском и сумском направлениях против войск группы армий «Юг» (14785).</w:t>
      </w:r>
    </w:p>
    <w:p w14:paraId="6BE9D725" w14:textId="77777777" w:rsidR="00CD2D86" w:rsidRPr="00640820" w:rsidRDefault="00CD2D86" w:rsidP="00640820">
      <w:pPr>
        <w:spacing w:after="0" w:line="240" w:lineRule="auto"/>
        <w:jc w:val="both"/>
        <w:rPr>
          <w:rFonts w:ascii="Times New Roman" w:hAnsi="Times New Roman"/>
          <w:color w:val="000000" w:themeColor="text1"/>
          <w:sz w:val="16"/>
          <w:szCs w:val="16"/>
        </w:rPr>
      </w:pPr>
    </w:p>
    <w:p w14:paraId="04EF8A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30 сентября 1941 в ВВС ЗФ было 206 исправных самолетов, ВВС Брянского фронта - 138, ВВС Резервного фронта - 65 (518,200).</w:t>
      </w:r>
    </w:p>
    <w:p w14:paraId="74A00A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AB88E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September 30, 1941: Armored forces of Heeresgruppe Mitte (von Bock) launch an attack to capture Orel (3819).</w:t>
      </w:r>
    </w:p>
    <w:p w14:paraId="553C02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7A3D7B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сентября 1941 Группа Центр начала операцию по захвату Орла (3819).</w:t>
      </w:r>
    </w:p>
    <w:p w14:paraId="23BBCE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6DE07A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сентября 1941 началась битва под Москвой (4962).</w:t>
      </w:r>
    </w:p>
    <w:p w14:paraId="3ED9179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6BE2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C 30 сентября по 5 декабря 1941 была Московская оборонительная операция (2438,421).</w:t>
      </w:r>
    </w:p>
    <w:p w14:paraId="2AEA0E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 боевого применения авиации был составлен по 5 вариантам, которые соответствовали ожидаемым направлениям главного удара: руза-волоколамскому, руза-можайскому, малоярославец-наро-фоминскому, серпуховскому и тульскому (518,205).</w:t>
      </w:r>
    </w:p>
    <w:p w14:paraId="704686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период подготовке к оборонительной операции воздушное фотографирование составило 3.2% (518,213).</w:t>
      </w:r>
    </w:p>
    <w:p w14:paraId="5CB1D0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C9548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30 сентября по 2 октября 1941 началось немецкое наступление на Москву (575,12).</w:t>
      </w:r>
    </w:p>
    <w:p w14:paraId="76094A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Это была операция Тайфун и она началась в 5:30 под командованием Fedor von Book (241,20).</w:t>
      </w:r>
    </w:p>
    <w:p w14:paraId="5D84B1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Оборонительная стадия битвы за Москву продолжалась с 30 сентября по 5 декабря 1941 (2438,106).</w:t>
      </w:r>
    </w:p>
    <w:p w14:paraId="4697F6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EE693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сентября 1941 Южная ударная группировка немцев прорвала тактическую оборону на левом крыле БФ и через 2 дня - на правом крыле. К исходу 6 октября расчленили фронт на 3 части. Все попытки контрударов успеха не имели. Противник занял Брянск, Орел и двигался на Тулу (341,66).</w:t>
      </w:r>
    </w:p>
    <w:p w14:paraId="7EA3D2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DC215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сентября 1941 вышла директива ставки ВГК СССР об эвакуации войск Одесского оборонительного района на Крымский полуостров (3186).</w:t>
      </w:r>
    </w:p>
    <w:p w14:paraId="49B09F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7D935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сентября 1941 вышло Постановление ГКО № 726 О формировании и вооружении минометных частей М-8 и М-13. РГАНИР, Фонд ГКО, д. 10, лл. 180-182 (11012).</w:t>
      </w:r>
    </w:p>
    <w:p w14:paraId="02EB5F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AB0B9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30 сентября 1941 г. вышло ПОСТАНОВЛЕНИЕ № ГКО-726сс</w:t>
      </w:r>
    </w:p>
    <w:p w14:paraId="08BF47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Москва, Кремль </w:t>
      </w:r>
    </w:p>
    <w:p w14:paraId="2D252C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 формировании и вооружении минометных частей М-8 и М-13</w:t>
      </w:r>
    </w:p>
    <w:p w14:paraId="0623FC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 Принять на вооружение Армии боевую машину М-8 на танке Т-60. </w:t>
      </w:r>
    </w:p>
    <w:p w14:paraId="2D93BE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 Принять на вооружение Армии боевую машину М-13 на тракторе СТЗ-5. </w:t>
      </w:r>
    </w:p>
    <w:p w14:paraId="17FBCB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 Командующему минометными частями т. Аборенкову к 30 октября 1941 года сформировать: </w:t>
      </w:r>
    </w:p>
    <w:p w14:paraId="31C1CB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а) три гвардейских минометных полка М-8 трехдивизионного состава каждый, из них один полк с боевыми машинами на шасси ЗИС-6 и два полка с боевыми машинами на танке Т-60; </w:t>
      </w:r>
    </w:p>
    <w:p w14:paraId="72B229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б) три гвардейских минометных полка М-13 трехдивизионного состава каждый, из них один полк с боевыми машинами на шасси ЗИС-6 и два полка с боевыми машинами на тракторе СТЗ-5. </w:t>
      </w:r>
    </w:p>
    <w:p w14:paraId="37F633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4. Формирование полков произвести в следующие сроки: </w:t>
      </w:r>
    </w:p>
    <w:p w14:paraId="7B2F45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12-й М-8 на шасси ЗИС-6 к 5 октября 41 г. </w:t>
      </w:r>
    </w:p>
    <w:p w14:paraId="5F8EDD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13-й М-13 на шасси ЗИС-6 к 10 октября 41 г. </w:t>
      </w:r>
    </w:p>
    <w:p w14:paraId="06D056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14-й М-8 на шасси танка Т-60 к 15 октября 41 г. </w:t>
      </w:r>
    </w:p>
    <w:p w14:paraId="0197A6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15-й М-13 на шасси трактора СТЗ-5 к 20 октября 41 г. </w:t>
      </w:r>
    </w:p>
    <w:p w14:paraId="31DEDB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16-й М-8 на шасси танка Т-60 к 25 октября 41 г. </w:t>
      </w:r>
    </w:p>
    <w:p w14:paraId="4DA045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17-й М-13 на шасси трактора СТЗ-5 к 30 октября 41 г. </w:t>
      </w:r>
    </w:p>
    <w:p w14:paraId="1896A6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5. Наркомату общего машиностроения (т. Паршину) изготовить в октябре месяце 1941 года 72 боевых машины М-8 на танке Т-60 и 100 боевых машины М-13 на тракторе СТЗ-5. </w:t>
      </w:r>
    </w:p>
    <w:p w14:paraId="667906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6. Начальнику Главупроформа т. Щаденко и заместителю начальника артиллерии Красной Армии генерал-полковнику т. Яковлеву обеспечить формируемые полки кадрами, передав для этой цели не позднее 3 октября в распоряжение Командующего минометными частями т. Аборенкова один запасный артиллерийский полк и четыре артиллерийских полка, не имеющих материальной части. </w:t>
      </w:r>
    </w:p>
    <w:p w14:paraId="4C0563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Командующему войсками Московского военного округа генерал-лейтенанту т. Артемьеву доукомплектовать формируемые полки рядовым и младшим командным составом. </w:t>
      </w:r>
    </w:p>
    <w:p w14:paraId="05D628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При формировании обеспечить тщательный отбор всего личного состава формируемых полков комиссией Главного Политуправления Красной Армии и политотдела Штаба формирования. </w:t>
      </w:r>
    </w:p>
    <w:p w14:paraId="03CD34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Заместителю начальника артиллерии Красной Армии т. Яковлеву обеспечить формируемые полки недостающим командным и начальствующим составом. </w:t>
      </w:r>
    </w:p>
    <w:p w14:paraId="7254AE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7. Комплектование формируемых полков политическим составом возложить на заместителя начальника Главного Политического Управления Красной Армии т. Кузнецова. </w:t>
      </w:r>
    </w:p>
    <w:p w14:paraId="35AF86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8. Начальнику Главного артиллерийского управления Красной Армии генерал-полковнику т. Яковлеву обеспечить формируемые полки 37 мм зенитными установками, стрелковым вооружением и боеприпасами к ним и артиллерийскими приборами. </w:t>
      </w:r>
    </w:p>
    <w:p w14:paraId="29BB74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9. Наркому танковой промышленности т. Малышеву и зам. начальника ГАБТУ т. Лелюшенко поставить Наркомату общего машиностроения: </w:t>
      </w:r>
    </w:p>
    <w:p w14:paraId="176561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 2 октября 1941 г. 10 танков Т-60 </w:t>
      </w:r>
    </w:p>
    <w:p w14:paraId="276211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 5 октября 1941 г. 10 танков Т-60 </w:t>
      </w:r>
    </w:p>
    <w:p w14:paraId="784377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 10 октября 1941 г. 20 танков Т-60 </w:t>
      </w:r>
    </w:p>
    <w:p w14:paraId="4F3A78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 15 октября 1941 г. 20 танков Т-60 </w:t>
      </w:r>
    </w:p>
    <w:p w14:paraId="112BA8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 20 октября 1941 г. 20 танков Т-60 </w:t>
      </w:r>
    </w:p>
    <w:p w14:paraId="52DBA1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Наркомату среднего машиностроения (т. Акопову) выделить автомашины ЗИС-5, ГАЗ-АА и тракторы СТЗ-5 по следующему графику:</w:t>
      </w:r>
    </w:p>
    <w:tbl>
      <w:tblPr>
        <w:tblW w:w="0" w:type="auto"/>
        <w:jc w:val="center"/>
        <w:tblLayout w:type="fixed"/>
        <w:tblCellMar>
          <w:left w:w="24" w:type="dxa"/>
          <w:right w:w="24" w:type="dxa"/>
        </w:tblCellMar>
        <w:tblLook w:val="0000" w:firstRow="0" w:lastRow="0" w:firstColumn="0" w:lastColumn="0" w:noHBand="0" w:noVBand="0"/>
      </w:tblPr>
      <w:tblGrid>
        <w:gridCol w:w="5829"/>
        <w:gridCol w:w="1253"/>
        <w:gridCol w:w="1253"/>
        <w:gridCol w:w="1253"/>
      </w:tblGrid>
      <w:tr w:rsidR="00643896" w:rsidRPr="00640820" w14:paraId="20195D63" w14:textId="77777777" w:rsidTr="000D3BCB">
        <w:trPr>
          <w:jc w:val="center"/>
        </w:trPr>
        <w:tc>
          <w:tcPr>
            <w:tcW w:w="5829" w:type="dxa"/>
            <w:tcBorders>
              <w:top w:val="single" w:sz="12" w:space="0" w:color="auto"/>
              <w:left w:val="single" w:sz="12" w:space="0" w:color="auto"/>
              <w:bottom w:val="single" w:sz="6" w:space="0" w:color="auto"/>
              <w:right w:val="single" w:sz="6" w:space="0" w:color="auto"/>
            </w:tcBorders>
          </w:tcPr>
          <w:p w14:paraId="4ED4E8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Срок подачи в Штаб формирований</w:t>
            </w:r>
          </w:p>
        </w:tc>
        <w:tc>
          <w:tcPr>
            <w:tcW w:w="1253" w:type="dxa"/>
            <w:gridSpan w:val="3"/>
            <w:tcBorders>
              <w:top w:val="single" w:sz="12" w:space="0" w:color="auto"/>
              <w:left w:val="single" w:sz="6" w:space="0" w:color="auto"/>
              <w:bottom w:val="single" w:sz="6" w:space="0" w:color="auto"/>
              <w:right w:val="single" w:sz="12" w:space="0" w:color="auto"/>
            </w:tcBorders>
          </w:tcPr>
          <w:p w14:paraId="58D5E0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автомашин</w:t>
            </w:r>
          </w:p>
        </w:tc>
      </w:tr>
      <w:tr w:rsidR="00643896" w:rsidRPr="00640820" w14:paraId="7C48CFA4" w14:textId="77777777" w:rsidTr="000D3BCB">
        <w:trPr>
          <w:jc w:val="center"/>
        </w:trPr>
        <w:tc>
          <w:tcPr>
            <w:tcW w:w="5829" w:type="dxa"/>
            <w:tcBorders>
              <w:top w:val="single" w:sz="6" w:space="0" w:color="auto"/>
              <w:left w:val="single" w:sz="12" w:space="0" w:color="auto"/>
              <w:bottom w:val="single" w:sz="6" w:space="0" w:color="auto"/>
              <w:right w:val="single" w:sz="6" w:space="0" w:color="auto"/>
            </w:tcBorders>
          </w:tcPr>
          <w:p w14:paraId="082061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53" w:type="dxa"/>
            <w:tcBorders>
              <w:top w:val="single" w:sz="6" w:space="0" w:color="auto"/>
              <w:left w:val="single" w:sz="6" w:space="0" w:color="auto"/>
              <w:bottom w:val="single" w:sz="6" w:space="0" w:color="auto"/>
              <w:right w:val="single" w:sz="6" w:space="0" w:color="auto"/>
            </w:tcBorders>
          </w:tcPr>
          <w:p w14:paraId="5D3DD1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ЗИС-5</w:t>
            </w:r>
          </w:p>
        </w:tc>
        <w:tc>
          <w:tcPr>
            <w:tcW w:w="1253" w:type="dxa"/>
            <w:tcBorders>
              <w:top w:val="single" w:sz="6" w:space="0" w:color="auto"/>
              <w:left w:val="single" w:sz="6" w:space="0" w:color="auto"/>
              <w:bottom w:val="single" w:sz="6" w:space="0" w:color="auto"/>
              <w:right w:val="single" w:sz="6" w:space="0" w:color="auto"/>
            </w:tcBorders>
          </w:tcPr>
          <w:p w14:paraId="279131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ГАЗ-АА</w:t>
            </w:r>
          </w:p>
        </w:tc>
        <w:tc>
          <w:tcPr>
            <w:tcW w:w="1253" w:type="dxa"/>
            <w:tcBorders>
              <w:top w:val="single" w:sz="6" w:space="0" w:color="auto"/>
              <w:left w:val="single" w:sz="6" w:space="0" w:color="auto"/>
              <w:bottom w:val="single" w:sz="6" w:space="0" w:color="auto"/>
              <w:right w:val="single" w:sz="12" w:space="0" w:color="auto"/>
            </w:tcBorders>
          </w:tcPr>
          <w:p w14:paraId="0813D7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СТЗ-5</w:t>
            </w:r>
          </w:p>
        </w:tc>
      </w:tr>
      <w:tr w:rsidR="00643896" w:rsidRPr="00640820" w14:paraId="7AE557B5" w14:textId="77777777" w:rsidTr="000D3BCB">
        <w:trPr>
          <w:jc w:val="center"/>
        </w:trPr>
        <w:tc>
          <w:tcPr>
            <w:tcW w:w="5829" w:type="dxa"/>
            <w:tcBorders>
              <w:top w:val="single" w:sz="6" w:space="0" w:color="auto"/>
              <w:left w:val="single" w:sz="12" w:space="0" w:color="auto"/>
              <w:bottom w:val="single" w:sz="6" w:space="0" w:color="auto"/>
              <w:right w:val="single" w:sz="6" w:space="0" w:color="auto"/>
            </w:tcBorders>
          </w:tcPr>
          <w:p w14:paraId="1052C0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1 октября 1941 г.</w:t>
            </w:r>
          </w:p>
        </w:tc>
        <w:tc>
          <w:tcPr>
            <w:tcW w:w="1253" w:type="dxa"/>
            <w:tcBorders>
              <w:top w:val="single" w:sz="6" w:space="0" w:color="auto"/>
              <w:left w:val="single" w:sz="6" w:space="0" w:color="auto"/>
              <w:bottom w:val="single" w:sz="6" w:space="0" w:color="auto"/>
              <w:right w:val="single" w:sz="6" w:space="0" w:color="auto"/>
            </w:tcBorders>
          </w:tcPr>
          <w:p w14:paraId="51A3C3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150</w:t>
            </w:r>
          </w:p>
        </w:tc>
        <w:tc>
          <w:tcPr>
            <w:tcW w:w="1253" w:type="dxa"/>
            <w:tcBorders>
              <w:top w:val="single" w:sz="6" w:space="0" w:color="auto"/>
              <w:left w:val="single" w:sz="6" w:space="0" w:color="auto"/>
              <w:bottom w:val="single" w:sz="6" w:space="0" w:color="auto"/>
              <w:right w:val="single" w:sz="6" w:space="0" w:color="auto"/>
            </w:tcBorders>
          </w:tcPr>
          <w:p w14:paraId="129AC1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w:t>
            </w:r>
          </w:p>
        </w:tc>
        <w:tc>
          <w:tcPr>
            <w:tcW w:w="1253" w:type="dxa"/>
            <w:tcBorders>
              <w:top w:val="single" w:sz="6" w:space="0" w:color="auto"/>
              <w:left w:val="single" w:sz="6" w:space="0" w:color="auto"/>
              <w:bottom w:val="single" w:sz="6" w:space="0" w:color="auto"/>
              <w:right w:val="single" w:sz="12" w:space="0" w:color="auto"/>
            </w:tcBorders>
          </w:tcPr>
          <w:p w14:paraId="55FA35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w:t>
            </w:r>
          </w:p>
        </w:tc>
      </w:tr>
      <w:tr w:rsidR="00643896" w:rsidRPr="00640820" w14:paraId="3D43107F" w14:textId="77777777" w:rsidTr="000D3BCB">
        <w:trPr>
          <w:jc w:val="center"/>
        </w:trPr>
        <w:tc>
          <w:tcPr>
            <w:tcW w:w="5829" w:type="dxa"/>
            <w:tcBorders>
              <w:top w:val="single" w:sz="6" w:space="0" w:color="auto"/>
              <w:left w:val="single" w:sz="12" w:space="0" w:color="auto"/>
              <w:bottom w:val="single" w:sz="6" w:space="0" w:color="auto"/>
              <w:right w:val="single" w:sz="6" w:space="0" w:color="auto"/>
            </w:tcBorders>
          </w:tcPr>
          <w:p w14:paraId="4B62B3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5 октября 1941 г.</w:t>
            </w:r>
          </w:p>
        </w:tc>
        <w:tc>
          <w:tcPr>
            <w:tcW w:w="1253" w:type="dxa"/>
            <w:tcBorders>
              <w:top w:val="single" w:sz="6" w:space="0" w:color="auto"/>
              <w:left w:val="single" w:sz="6" w:space="0" w:color="auto"/>
              <w:bottom w:val="single" w:sz="6" w:space="0" w:color="auto"/>
              <w:right w:val="single" w:sz="6" w:space="0" w:color="auto"/>
            </w:tcBorders>
          </w:tcPr>
          <w:p w14:paraId="249727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240</w:t>
            </w:r>
          </w:p>
        </w:tc>
        <w:tc>
          <w:tcPr>
            <w:tcW w:w="1253" w:type="dxa"/>
            <w:tcBorders>
              <w:top w:val="single" w:sz="6" w:space="0" w:color="auto"/>
              <w:left w:val="single" w:sz="6" w:space="0" w:color="auto"/>
              <w:bottom w:val="single" w:sz="6" w:space="0" w:color="auto"/>
              <w:right w:val="single" w:sz="6" w:space="0" w:color="auto"/>
            </w:tcBorders>
          </w:tcPr>
          <w:p w14:paraId="55C662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w:t>
            </w:r>
          </w:p>
        </w:tc>
        <w:tc>
          <w:tcPr>
            <w:tcW w:w="1253" w:type="dxa"/>
            <w:tcBorders>
              <w:top w:val="single" w:sz="6" w:space="0" w:color="auto"/>
              <w:left w:val="single" w:sz="6" w:space="0" w:color="auto"/>
              <w:bottom w:val="single" w:sz="6" w:space="0" w:color="auto"/>
              <w:right w:val="single" w:sz="12" w:space="0" w:color="auto"/>
            </w:tcBorders>
          </w:tcPr>
          <w:p w14:paraId="36C1A0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w:t>
            </w:r>
          </w:p>
        </w:tc>
      </w:tr>
      <w:tr w:rsidR="00643896" w:rsidRPr="00640820" w14:paraId="0F8C4E77" w14:textId="77777777" w:rsidTr="000D3BCB">
        <w:trPr>
          <w:jc w:val="center"/>
        </w:trPr>
        <w:tc>
          <w:tcPr>
            <w:tcW w:w="5829" w:type="dxa"/>
            <w:tcBorders>
              <w:top w:val="single" w:sz="6" w:space="0" w:color="auto"/>
              <w:left w:val="single" w:sz="12" w:space="0" w:color="auto"/>
              <w:bottom w:val="single" w:sz="6" w:space="0" w:color="auto"/>
              <w:right w:val="single" w:sz="6" w:space="0" w:color="auto"/>
            </w:tcBorders>
          </w:tcPr>
          <w:p w14:paraId="50DCB6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10 октября 1941 г.</w:t>
            </w:r>
          </w:p>
        </w:tc>
        <w:tc>
          <w:tcPr>
            <w:tcW w:w="1253" w:type="dxa"/>
            <w:tcBorders>
              <w:top w:val="single" w:sz="6" w:space="0" w:color="auto"/>
              <w:left w:val="single" w:sz="6" w:space="0" w:color="auto"/>
              <w:bottom w:val="single" w:sz="6" w:space="0" w:color="auto"/>
              <w:right w:val="single" w:sz="6" w:space="0" w:color="auto"/>
            </w:tcBorders>
          </w:tcPr>
          <w:p w14:paraId="3E458E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150</w:t>
            </w:r>
          </w:p>
        </w:tc>
        <w:tc>
          <w:tcPr>
            <w:tcW w:w="1253" w:type="dxa"/>
            <w:tcBorders>
              <w:top w:val="single" w:sz="6" w:space="0" w:color="auto"/>
              <w:left w:val="single" w:sz="6" w:space="0" w:color="auto"/>
              <w:bottom w:val="single" w:sz="6" w:space="0" w:color="auto"/>
              <w:right w:val="single" w:sz="6" w:space="0" w:color="auto"/>
            </w:tcBorders>
          </w:tcPr>
          <w:p w14:paraId="0D6F06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w:t>
            </w:r>
          </w:p>
        </w:tc>
        <w:tc>
          <w:tcPr>
            <w:tcW w:w="1253" w:type="dxa"/>
            <w:tcBorders>
              <w:top w:val="single" w:sz="6" w:space="0" w:color="auto"/>
              <w:left w:val="single" w:sz="6" w:space="0" w:color="auto"/>
              <w:bottom w:val="single" w:sz="6" w:space="0" w:color="auto"/>
              <w:right w:val="single" w:sz="12" w:space="0" w:color="auto"/>
            </w:tcBorders>
          </w:tcPr>
          <w:p w14:paraId="774790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w:t>
            </w:r>
          </w:p>
        </w:tc>
      </w:tr>
      <w:tr w:rsidR="00643896" w:rsidRPr="00640820" w14:paraId="5D841DAF" w14:textId="77777777" w:rsidTr="000D3BCB">
        <w:trPr>
          <w:jc w:val="center"/>
        </w:trPr>
        <w:tc>
          <w:tcPr>
            <w:tcW w:w="5829" w:type="dxa"/>
            <w:tcBorders>
              <w:top w:val="single" w:sz="6" w:space="0" w:color="auto"/>
              <w:left w:val="single" w:sz="12" w:space="0" w:color="auto"/>
              <w:bottom w:val="single" w:sz="12" w:space="0" w:color="auto"/>
              <w:right w:val="single" w:sz="6" w:space="0" w:color="auto"/>
            </w:tcBorders>
          </w:tcPr>
          <w:p w14:paraId="14AAF4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15 октября 1941 г.</w:t>
            </w:r>
          </w:p>
        </w:tc>
        <w:tc>
          <w:tcPr>
            <w:tcW w:w="1253" w:type="dxa"/>
            <w:tcBorders>
              <w:top w:val="single" w:sz="6" w:space="0" w:color="auto"/>
              <w:left w:val="single" w:sz="6" w:space="0" w:color="auto"/>
              <w:bottom w:val="single" w:sz="12" w:space="0" w:color="auto"/>
              <w:right w:val="single" w:sz="6" w:space="0" w:color="auto"/>
            </w:tcBorders>
          </w:tcPr>
          <w:p w14:paraId="7D6A72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240</w:t>
            </w:r>
          </w:p>
        </w:tc>
        <w:tc>
          <w:tcPr>
            <w:tcW w:w="1253" w:type="dxa"/>
            <w:tcBorders>
              <w:top w:val="single" w:sz="6" w:space="0" w:color="auto"/>
              <w:left w:val="single" w:sz="6" w:space="0" w:color="auto"/>
              <w:bottom w:val="single" w:sz="12" w:space="0" w:color="auto"/>
              <w:right w:val="single" w:sz="6" w:space="0" w:color="auto"/>
            </w:tcBorders>
          </w:tcPr>
          <w:p w14:paraId="77AB2A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w:t>
            </w:r>
          </w:p>
        </w:tc>
        <w:tc>
          <w:tcPr>
            <w:tcW w:w="1253" w:type="dxa"/>
            <w:tcBorders>
              <w:top w:val="single" w:sz="6" w:space="0" w:color="auto"/>
              <w:left w:val="single" w:sz="6" w:space="0" w:color="auto"/>
              <w:bottom w:val="single" w:sz="12" w:space="0" w:color="auto"/>
              <w:right w:val="single" w:sz="12" w:space="0" w:color="auto"/>
            </w:tcBorders>
          </w:tcPr>
          <w:p w14:paraId="7C8A37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w:t>
            </w:r>
          </w:p>
        </w:tc>
      </w:tr>
    </w:tbl>
    <w:p w14:paraId="30739D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Все автомашины ЗИС-5 и ГАЗ-АА обеспечить комплектом цепей против скольжения с 20% запасов этих цепей. </w:t>
      </w:r>
    </w:p>
    <w:p w14:paraId="5E6C9E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11. Наркомату среднего машиностроения (т. Акопову) поставить Наркомату общего машиностроения, кроме тракторов, предусмотренных в пункте 10 настоящего постановления, тракторы СТЗ-5 для монтажа боевых машин М-13: </w:t>
      </w:r>
    </w:p>
    <w:p w14:paraId="080468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до 1 октября 1941 г. - 60 шт. </w:t>
      </w:r>
    </w:p>
    <w:p w14:paraId="2C2C7C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до 15 октября 1941 г. - 20 шт. </w:t>
      </w:r>
    </w:p>
    <w:p w14:paraId="41B16E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до 1 ноября 1941 г. - 20 шт. </w:t>
      </w:r>
    </w:p>
    <w:p w14:paraId="4EE543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12. Главному Интенданту Красной Армии генерал-майору т. Давыдову обеспечить личный состав формируемых гвардейских полков всеми видами вещевого, продовольственного и имущественного довольствия. </w:t>
      </w:r>
    </w:p>
    <w:p w14:paraId="4C67F0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13. Начальникам центральных управлений Наркомата Обороны обеспечивать внеочередное удовлетворение заявок МВО по вооружению и снабжению всеми видами довольствия формируемых полков. </w:t>
      </w:r>
    </w:p>
    <w:p w14:paraId="4A8C2D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14. Формирование полков вести при Штабе формирований 1-го Московского Краснознаменного артиллерийского училища. </w:t>
      </w:r>
    </w:p>
    <w:p w14:paraId="7EA824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15. Исключить из штатов гвардейских минометных полков взвод бронемашин и ввести в штаты полков должности старшего оружейного техника полка, оружейного техника и одного пиротехника в дивизионе. </w:t>
      </w:r>
    </w:p>
    <w:p w14:paraId="1383D3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16. Ввести в штаты полков по 12 тракторов СТЗ-5 (по одному трактору на батарею и по одному трактору на парковый взвод) для обеспечения перевозок боевых машин и машин подвозки боеприпасов в условиях осенних и зимних грунтов и к ним по 12 трактористов и по 12 помощников трактористов. </w:t>
      </w:r>
    </w:p>
    <w:p w14:paraId="4345EE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17. Наркомату тяжелого машиностроения (т. Казакову) изготовить в октябре 1941 года на Коломенском заводе имени Куйбышева направляющие планки в сборе для боевой машины М-8 на танке Т-60 в количестве 90 комплектов и сдать их Наркомату общего машиностроения в следующие сроки: </w:t>
      </w:r>
    </w:p>
    <w:p w14:paraId="6CD79F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 5 октября 1941 г. - 10 комплектов </w:t>
      </w:r>
    </w:p>
    <w:p w14:paraId="26FFF0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 10 октября 1941 г. - 20 комплектов </w:t>
      </w:r>
    </w:p>
    <w:p w14:paraId="43ABFE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 15 октября 1941 г. - 20 комплектов </w:t>
      </w:r>
    </w:p>
    <w:p w14:paraId="385600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 20 октября 1941 г. - 20 комплектов </w:t>
      </w:r>
    </w:p>
    <w:p w14:paraId="566882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 25 октября 1941 г. - 20 комплектов </w:t>
      </w:r>
    </w:p>
    <w:p w14:paraId="0256AE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18. Наркомату станкостроительной промышленности (т. Ефремову): </w:t>
      </w:r>
    </w:p>
    <w:p w14:paraId="526F2A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а) изготовить в октябре 1941 г. на заводе "Комсомолец" механизмы вертикального подъема в сборе для боевой машины М-8 на танке Т-60 в количестве 90 комплектов и сдать их Наркомату общего машиностроения в следующие сроки: </w:t>
      </w:r>
    </w:p>
    <w:p w14:paraId="0DC9B6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 5 октября 1941 г. - 10 комплектов </w:t>
      </w:r>
    </w:p>
    <w:p w14:paraId="0E737C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 10 октября 1941 г. - 20 комплектов </w:t>
      </w:r>
    </w:p>
    <w:p w14:paraId="7F8865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 15 октября 1941 г. - 20 комплектов </w:t>
      </w:r>
    </w:p>
    <w:p w14:paraId="2E9E1D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 20 октября 1941 г. - 20 комплектов </w:t>
      </w:r>
    </w:p>
    <w:p w14:paraId="02DEB3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 25 октября 1941 г. - 20 комплектов </w:t>
      </w:r>
    </w:p>
    <w:p w14:paraId="34994D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б) изготовить в октябре 1941 г. на Московском заводе шлифовальных станков механизмы горизонтального перемещения в сборе для боевой машины М-8 на танке Т-60 в количестве 90 комплектов и сдать их Наркомату общего машиностроения в следующие сроки: </w:t>
      </w:r>
    </w:p>
    <w:p w14:paraId="783783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 5 октября 1941 г. - 10 комплектов </w:t>
      </w:r>
    </w:p>
    <w:p w14:paraId="04B5FD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 10 октября 1941 г. - 20 комплектов </w:t>
      </w:r>
    </w:p>
    <w:p w14:paraId="54D510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 15 октября 1941 г. - 20 комплектов </w:t>
      </w:r>
    </w:p>
    <w:p w14:paraId="0CE170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 20 октября 1941 г. - 20 комплектов </w:t>
      </w:r>
    </w:p>
    <w:p w14:paraId="3F99C8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 25 октября 1941 г. - 20 комплектов </w:t>
      </w:r>
    </w:p>
    <w:p w14:paraId="09A68D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ПРЕДСЕДАТЕЛЬ ГОСУДАРСТВЕННОГО КОМИТЕТА ОБОРОНЫ И. СТАЛИН </w:t>
      </w:r>
    </w:p>
    <w:p w14:paraId="55A0FB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Выписки посланы: т.т. Аборенкову, Шапошникову, Маленкову, Щаденко, Кузнецову, Яковлеву, Артемьеву - все. Паршину - 1, 2, 5, 9, 11, 17, 18. Малышеву, Лелюшенко - 1, 2, 9. Акопову - 10, 11. Давыдову - 3, 12. Казакову - 17. Ефремову - 18 (11434).</w:t>
      </w:r>
    </w:p>
    <w:p w14:paraId="1BE0DF45"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CE226DF"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2AF9F375"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1FD9D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сентября 1941 г. На базе Отдела по борьбе с бандитизмом ГУМ НКВД СССР создан Отдел по борьбе с бандитизмом (ОББ) НКВД СССР. Его начальником назначен С.А. Клепов (10303).</w:t>
      </w:r>
    </w:p>
    <w:p w14:paraId="097EFB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790A4E6" w14:textId="77777777" w:rsidR="00984994" w:rsidRPr="00640820" w:rsidRDefault="00984994"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30 сентября </w:t>
      </w:r>
      <w:r w:rsidRPr="00640820">
        <w:rPr>
          <w:rFonts w:ascii="Times New Roman" w:hAnsi="Times New Roman"/>
          <w:color w:val="000000" w:themeColor="text1"/>
          <w:sz w:val="16"/>
          <w:szCs w:val="16"/>
        </w:rPr>
        <w:t>в 1941 году в Москве под руководством 1-го секретаря Московского обкома ВКП(б) А.А.Щербакова создаются подпольные группы на случай захвата города немецкими войсками. Одной из задач, возложенных на московское подполье, была ликвидация Гитлера в случае его приезда в Москву на парад по случаю ее захвата (14785).</w:t>
      </w:r>
    </w:p>
    <w:p w14:paraId="3312E911" w14:textId="77777777" w:rsidR="00984994" w:rsidRPr="00640820" w:rsidRDefault="00984994" w:rsidP="00640820">
      <w:pPr>
        <w:spacing w:after="0" w:line="240" w:lineRule="auto"/>
        <w:jc w:val="both"/>
        <w:rPr>
          <w:rFonts w:ascii="Times New Roman" w:hAnsi="Times New Roman"/>
          <w:color w:val="000000" w:themeColor="text1"/>
          <w:sz w:val="16"/>
          <w:szCs w:val="16"/>
        </w:rPr>
      </w:pPr>
    </w:p>
    <w:p w14:paraId="7783FF06"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1DDB7ED2"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89CF8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сентября 1941 года было получено:</w:t>
      </w:r>
    </w:p>
    <w:p w14:paraId="08FC31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 РУЗВЕЛЬТ И. В. СТАЛИНУ*</w:t>
      </w:r>
    </w:p>
    <w:p w14:paraId="4E1621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Уважаемый г-н Сталин,</w:t>
      </w:r>
    </w:p>
    <w:p w14:paraId="4217E7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Это письмо будет вручено Вам моим другом Авереллом Гарриманом, которого я просил быть главой нашей делегации, посылаемой в Москву.</w:t>
      </w:r>
    </w:p>
    <w:p w14:paraId="2A08F1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Г-ну Гарриману хорошо известно стратегическое значение Вашего фронта, и он сделает, я уверен, все, что сможет, для успешного завершения переговоров в Москве.</w:t>
      </w:r>
    </w:p>
    <w:p w14:paraId="342BC2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Гарри Гопкинс сообщил мне подробно о своих обнадеживающих и удовлетворительных встречах с Вами. Я не могу передать Вам, насколько мы все восхищены доблестной оборонительной борьбой советских армий.</w:t>
      </w:r>
    </w:p>
    <w:p w14:paraId="0DDEF2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 уверен, что будут найдены пути для того, чтобы выделить материалы и снабжение, необходимые для борьбы с Гитлером на всех фронтах, включая Ваш собственный.</w:t>
      </w:r>
    </w:p>
    <w:p w14:paraId="3D0DA3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 хочу воспользоваться этим случаем в особенности для того, чтобы выразить твердую уверенность в том, что Ваши армии в конце концов одержат победу над Гитлером, и для того, чтобы заверить Вас в нашей твердой решимости оказывать всю возможную материальную помощь.</w:t>
      </w:r>
    </w:p>
    <w:p w14:paraId="4F42C6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Искренне Ваш</w:t>
      </w:r>
    </w:p>
    <w:p w14:paraId="4FB63D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Франклин Д. РУЗВЕЛЬТ (7430).</w:t>
      </w:r>
    </w:p>
    <w:p w14:paraId="1D537C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6E749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сентября 1941 г. в 11 часов утра с участием Микояна А.И. специалистами на совещании в рамках Московской конференции рассматривался вопрос о поставке нефтепродуктов. На Московской конференции представителей СССР, США и Великобритании был подписан секретный протокол (в дальнейшем его назовут Первым московским протоколом) о снабжении Советского Союза в рамках программы ленд-лиза. В Московском протоколе предусматривалась поставка нефтепродуктов (авиабензины, компоненты авиабензинов, масла и смазки, автобензины и газойль) по 20 000 тонн в месяц.</w:t>
      </w:r>
    </w:p>
    <w:p w14:paraId="1209A6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1 июля 1943 г. США предоставили Британской империи по ленд-лизу собственных нефтепродуктов на сумму 466 млн долл. и нефтепродуктов из неамериканских, но контролирующихся Соединенными Штатами источников на сумму 120 млн. долл.. Эта статистика означает, что за 28 месяцев (с марта 1941 по июнь 1943 гг.) было поставлено нефтепродуктов на 586 млн долл., т.е. в среднем в месяц на 20,93 млн долл. В Россию из США за 51 месяц (с июля 1941 г. по сентябрь 1945 г.) были поставлены нефтепродукты на сумму 111 млн долл. т.е. в среднем в месяц на 2,18 млн долл. Следовательно, поставки в нашу страну (по стоимости) были почти в 10 раз меньше, чем в Британскую империю, а по количеству поставленных в Россию тонн нефтепродуктов эта пропорция была еще меньше, т.к. доставка к нам стоила значительно дороже из-за расстояний, рисков и потерь.</w:t>
      </w:r>
    </w:p>
    <w:p w14:paraId="1744BE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Поскольку действие Первого протокола распространялось на девять месяцев, то, соответственно, планировалось получить 180 тыс. тонн нефтепродуктов. Можно констатировать, что эта задача была практически решена с учетом тех потерь, которые возникали во время войны при транспортировке. К 21 июня 1942 г. было получено 167 995 тонн, а всего за первый год войны союзники поставили почти 298349 т нефтепродуктов.</w:t>
      </w:r>
    </w:p>
    <w:p w14:paraId="435CBE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 второму-четвертому протоколам к предыдущим поставкам добавилось еще 1 408 894 т. Всего за период с 22 июня 1941 г. по 20 сентября 1945 г. с учетом Milepost по ленд-лизу из США было получено 2 113 409 длинных тонн нефтепродуктов. Еще 572 979 т пришло с заводов Канады, Великобритании, с нефтеперерабатывающего завода в Абадане (Иран). Таким образом, общая сумма нефтепродуктового ленд-лиза составила 2 686 388 длинных тонн. </w:t>
      </w:r>
    </w:p>
    <w:p w14:paraId="580A9D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Всего за годы войны в СССР было изготовлено и завезено 4396 тыс. т авиабензина, включая поставки по ленд-лизу. По данным Первого отдела Госплана СССР, импорт и ленд-лиз обеспечили потребление в годовом общественном продукте в 1941–1945 гг. не менее 18,1% авиационного бензина. Полагаю, что этот показатель занижен более чем вдвое. Если стремиться к объективности и советское производство не смешивать с западным, то полученный ленд-лизовский авиабензин составлял по моим расчета 42,2% от объема всего производимого в то время в СССР [2686,4 x 100% / (4396 — 2686,4)]. Однако этот показатель чисто количественный, но никак не качественный, т.к. напомню, что отечественный бензин был с существенно меньшим октановым числом по сравнению с импортным. </w:t>
      </w:r>
    </w:p>
    <w:p w14:paraId="2A3BB9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Поставка авиабензина с октановым числом выше 99 составила 1 163 413 т, с октановыми числами 87—90 была на уровне 122 415 и с октановым числом, равным 87 и ниже, — 19 690 т. Эти показатели учитывают весь импорт из США и Великобритании в СССР, а также потери и некоторую переадресацию поставок). Следовательно, реально в СССР поступило авиабензина в объеме 1 305 518 длинных тонн (без учета светлых фракций), или почти половина от всего нефтепродуктового ленд-лиза.</w:t>
      </w:r>
    </w:p>
    <w:p w14:paraId="50488F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Принимая во внимание, что время боев на советско-германском фронте составляло 1320 дней, а на японском — 24, т.е. всего 1344 дня, и с учетом среднего расхода бензина на один боевой вылет примерно треть тонны, не сложно рассчитать, что за счет поставленного по ленд-лизу горючего можно было осуществить 3,92 млн боевых самолето-вылетов (1 305 518 т/0,333 т). Это означает, что ежедневно в воздух на выполнение боевых задач могли подниматься около 3 тыс. самолетов (3,92 млн вылетов / 1344 дня). По историко-статистическим оценкам во время боевых действий одновременно (с нашей и германской стороны) вводилось в бой от 6,5 до 18,8 тыс. самолетов. То есть в среднем от 3,25 до 9,4 тыс. самолетов с каждой стороны. Это значит, что поставляемым по ленд-лизу авиабензином можно было удовлетворить в разные периоды войны от трети до 90 % всей советской авиации. </w:t>
      </w:r>
    </w:p>
    <w:p w14:paraId="0AC895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ведущем нефтеносном районе СССР — Азербайджане нефтепереработчики в течение войны работали с колоссальным перенапряжением, что было обусловлено и общей драматической ситуацией в стране, и волюнтаристскими решениями по созданию так называемого «Второго Баку» и, соответственно, ослаблением истинного Баку. Тем не менее нефтеперерабатывающие заводы постоянно перевыполняли планы. При этом в 1942 — 1944 гг. бакинцы дали фронту более 1 млн т авиабензина Б-78.</w:t>
      </w:r>
    </w:p>
    <w:p w14:paraId="4C212E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Следовательно, авиабензиновый ленд-лиз за годы войны можно по объему сопоставить с производством всех бакинских нефтеперерабатывающих заводов. Что же касается качества, то оно у поставляемого из-за рубежа горючего было более высоким — на уровне требований, предъявляемых для использования 18,7 тыс. самолетов, полученных по ленд-лизу из США и Великобритании. </w:t>
      </w:r>
    </w:p>
    <w:p w14:paraId="3004F5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Действительно, самолеты «Аircobra», «Hurricane», «Spitfire», «Boston» «Kingcobra», «Warhawk», «Tomahawk» и другие заправлялись бензином марки 99 и 100. Немецкие «Мессершмитты-109» заправлялись 87-м бензином. Чтобы победить врага, необходимы были высококачественные нефтепродукты.</w:t>
      </w:r>
    </w:p>
    <w:p w14:paraId="495C53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Из США по ленд-лизу поставлялся и автомобильный бензин — 242,3 тыс. длинных тонн. Имели место поставки и других нефтепродуктов. В частности, горючего, меняющего цвет (смешанное), топливного масла, смазочных материалов, присадок (к маслу), добавок (к топливу), других бензиновых продуктов. </w:t>
      </w:r>
    </w:p>
    <w:p w14:paraId="7604E8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Общая стоимость поставленных нефтепродуктов от союзников составила порядка 145 млн долл. По нашим расчетам, с учетом среднегодовой четырехпроцентной инфляции, приведенная стоимость по этой сумме по состоянию на середину 2004 г. соответствует 1586 млн долл. То есть поставка во время войны 1 т нефтепродуктов в современном исчислении равняется 590 долл., причем без каких-либо «накруток» в виде таможенных пошлин, НДС, акцизов. </w:t>
      </w:r>
    </w:p>
    <w:p w14:paraId="3552A0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Советскому правительству удалось договориться с правительством США о включении в программу по ленд-лизу поставки 6 нефтеперегонных комплектов оборудования для нефтеперерабатывающих заводов. К примеру, за счет этого оборудования были созданы, по сути, новые НПЗ в Оренбурге, Красноводске, Куйбышеве. Так, приказ Наркомата нефтяной промышленности СССР о строительстве в Саратове на площадке Кряж крекинг-завода на технологическом оборудовании, полученном по ленд-лизу из США, был подписан 21 августа 1943 г.</w:t>
      </w:r>
    </w:p>
    <w:p w14:paraId="3DD51C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Общая стоимость нефтеперерабатывающего оборудования, поставленного по ленд-лизу, составила 43 138 тыс. долл. или с учетом дисконтирования и приведения к современной стоимости — примерно 472 000 тыс. долл. </w:t>
      </w:r>
    </w:p>
    <w:p w14:paraId="33BBDB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ленд-лизу в СССР были поставлены переносные сборно-разборные трубопроводы, переносные нефтехранилища, оборудование для бурения, научные инструменты. Так, например, линия американского трубопровода диаметром 100 мм и протяженностью 220 км была развернута в тыловой полосе 2-го Украинского фронта. По ней горючее подавалось от нефтеперерабатывающего завода в Плоешти (Румыния) до нефтебазы в Рени (СССР), откуда железнодорожным транспортом отгружалась войскам 2-го и 3-го Украинских фронтов, Черноморскому флоту, Дунайской флотилии. Всего по этому трубопроводу было подано более 600 тыс. тонн горючего.</w:t>
      </w:r>
    </w:p>
    <w:p w14:paraId="48D2F0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Таким образом, нефтепродуктовый и сопутствующий ему ленд-лиз (с учетом цистерн, танкеров, специальных автотранспортных средств можно оценить более чем в 200 млн долл. в ценах времен войны и, соответственно, около 2,5 млрд долл. в современном исчислении) (11549).</w:t>
      </w:r>
    </w:p>
    <w:p w14:paraId="5F6286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1C6D2DF"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239496DF"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66CA5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30 сентября 1941 фирма Дженерал Электрик подписала с ВВС контракт на постройку 15 двигателей Уитла для трех опытных самолетов (3408).</w:t>
      </w:r>
    </w:p>
    <w:p w14:paraId="6103EA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E41DB8D" w14:textId="77777777" w:rsidR="00CD2D86" w:rsidRPr="00640820" w:rsidRDefault="00CD2D86"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30 сентября </w:t>
      </w:r>
      <w:r w:rsidRPr="00640820">
        <w:rPr>
          <w:rFonts w:ascii="Times New Roman" w:hAnsi="Times New Roman"/>
          <w:color w:val="000000" w:themeColor="text1"/>
          <w:sz w:val="16"/>
          <w:szCs w:val="16"/>
        </w:rPr>
        <w:t>в 1941 году Антонеску разрешил формирование в Румынии украинских воинских частей под командованием русского эмигранта С.фон Дельвига (14785).</w:t>
      </w:r>
    </w:p>
    <w:p w14:paraId="6F90A928" w14:textId="77777777" w:rsidR="00CD2D86" w:rsidRPr="00640820" w:rsidRDefault="00CD2D86" w:rsidP="00640820">
      <w:pPr>
        <w:spacing w:after="0" w:line="240" w:lineRule="auto"/>
        <w:jc w:val="both"/>
        <w:rPr>
          <w:rFonts w:ascii="Times New Roman" w:hAnsi="Times New Roman"/>
          <w:color w:val="000000" w:themeColor="text1"/>
          <w:sz w:val="16"/>
          <w:szCs w:val="16"/>
        </w:rPr>
      </w:pPr>
    </w:p>
    <w:p w14:paraId="1BB643F7" w14:textId="77777777" w:rsidR="00DC6E91" w:rsidRPr="00640820" w:rsidRDefault="00DC6E91"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3A5A2BE1" w14:textId="77777777" w:rsidR="00DC6E91" w:rsidRPr="00640820" w:rsidRDefault="00DC6E91"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05225B7" w14:textId="77777777" w:rsidR="00DC6E91" w:rsidRPr="00640820" w:rsidRDefault="00DC6E9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третьей декаде сентября 1941 г. Завод НКСП № 209 им. Кулакова после неудавшейся попытки эвакуации возобновил производственную деятельность. Однако изменение военной обстановки сразу же потребовало пересмотреть номенклатуру производства предприятия, включить в нее изделия вооружения. Поэтому утвержденная в июле на 2-е полугодие мобилизационная программа утратила свою реальность и заставила переключиться на работу по оперативным месячным программам, которые утверждались заводу А.В. Самариным и уполномоченным Госплана при СНК СССР по Ленинграду и Ленинградской области Володарским1. С 17 сентября на предприятии приступили к подготовке изготовления пистолетов-пулеметов Дегтярева (ППД) с проектной мощностью 100 шт. в месяц, а в ноябре началось</w:t>
      </w:r>
    </w:p>
    <w:p w14:paraId="5A7DA230" w14:textId="77777777" w:rsidR="00DC6E91" w:rsidRPr="00640820" w:rsidRDefault="00DC6E9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их серийное производство. На два года этот вид продукции занял в номенклатуре завода преобладающую долю.</w:t>
      </w:r>
    </w:p>
    <w:p w14:paraId="20C3FAEF" w14:textId="77777777" w:rsidR="00DC6E91" w:rsidRPr="00640820" w:rsidRDefault="00DC6E9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Выпуск телеграфной аппаратуры продолжался еще до ноября 1941 г., хотя он не был обеспечен мощностями оборудования и выполнялся за счет отрыва мощностей, предназначенных для производства ППД. При этом были достигнуты впечатляющие объемы выпуска: если в августе завод изготовил 292 телеграфных аппарата СТ-35, то в октябре эта цифра возросла до 402, при том, что среднемесячный выпуск в 1-м полугодии не превышал 110 аппаратов (18297).</w:t>
      </w:r>
    </w:p>
    <w:p w14:paraId="197E6118" w14:textId="77777777" w:rsidR="00DC6E91" w:rsidRPr="00640820" w:rsidRDefault="00DC6E91" w:rsidP="00640820">
      <w:pPr>
        <w:spacing w:after="0" w:line="240" w:lineRule="auto"/>
        <w:jc w:val="both"/>
        <w:rPr>
          <w:rFonts w:ascii="Times New Roman" w:hAnsi="Times New Roman"/>
          <w:color w:val="000000" w:themeColor="text1"/>
          <w:sz w:val="16"/>
          <w:szCs w:val="16"/>
        </w:rPr>
      </w:pPr>
    </w:p>
    <w:p w14:paraId="205F8706"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0BCBB897"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17530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второй половине сентября 1941 сразу же по окончании заводских летных испытаний С.В.Ильюшин вышел на руководство НКАП и ВВС с предло</w:t>
      </w:r>
      <w:r w:rsidRPr="00640820">
        <w:rPr>
          <w:rFonts w:ascii="Times New Roman" w:hAnsi="Times New Roman"/>
          <w:color w:val="000000" w:themeColor="text1"/>
          <w:sz w:val="16"/>
          <w:szCs w:val="16"/>
        </w:rPr>
        <w:softHyphen/>
        <w:t>жением немедленно выпустить на 18-м авиазаводе 30 двухместных Ил-2 М-82 с целью проведения всесторонних вой</w:t>
      </w:r>
      <w:r w:rsidRPr="00640820">
        <w:rPr>
          <w:rFonts w:ascii="Times New Roman" w:hAnsi="Times New Roman"/>
          <w:color w:val="000000" w:themeColor="text1"/>
          <w:sz w:val="16"/>
          <w:szCs w:val="16"/>
        </w:rPr>
        <w:softHyphen/>
        <w:t>сковых испытаний. Из этого числа пред</w:t>
      </w:r>
      <w:r w:rsidRPr="00640820">
        <w:rPr>
          <w:rFonts w:ascii="Times New Roman" w:hAnsi="Times New Roman"/>
          <w:color w:val="000000" w:themeColor="text1"/>
          <w:sz w:val="16"/>
          <w:szCs w:val="16"/>
        </w:rPr>
        <w:softHyphen/>
        <w:t>лагалось сформировать один авиаполк, полностью укомплектованный новыми машинами, и один смешанный авиаполк, укомплектованный как одноместными Ил-2 АМ-38, так и двухместными "Илами" с М-82 в пропорции 2:1, то есть каж</w:t>
      </w:r>
      <w:r w:rsidRPr="00640820">
        <w:rPr>
          <w:rFonts w:ascii="Times New Roman" w:hAnsi="Times New Roman"/>
          <w:color w:val="000000" w:themeColor="text1"/>
          <w:sz w:val="16"/>
          <w:szCs w:val="16"/>
        </w:rPr>
        <w:softHyphen/>
        <w:t xml:space="preserve">дым двум одноместным "ильюшинам" придать один </w:t>
      </w:r>
      <w:r w:rsidRPr="00640820">
        <w:rPr>
          <w:rFonts w:ascii="Times New Roman" w:hAnsi="Times New Roman"/>
          <w:iCs/>
          <w:color w:val="000000" w:themeColor="text1"/>
          <w:sz w:val="16"/>
          <w:szCs w:val="16"/>
        </w:rPr>
        <w:t>"...двухместный Ил-2, ко</w:t>
      </w:r>
      <w:r w:rsidRPr="00640820">
        <w:rPr>
          <w:rFonts w:ascii="Times New Roman" w:hAnsi="Times New Roman"/>
          <w:iCs/>
          <w:color w:val="000000" w:themeColor="text1"/>
          <w:sz w:val="16"/>
          <w:szCs w:val="16"/>
        </w:rPr>
        <w:softHyphen/>
        <w:t>торый решал бы задачи лидера группы. В этом случае Ил-2 с М-82 именовался бы как Ил-4".</w:t>
      </w:r>
    </w:p>
    <w:p w14:paraId="27CAE3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Предложение С.В.Ильюшина в целом получило поддержку как у руководства НКАП, так и ВВС КА, однако окончатель</w:t>
      </w:r>
      <w:r w:rsidRPr="00640820">
        <w:rPr>
          <w:rFonts w:ascii="Times New Roman" w:hAnsi="Times New Roman"/>
          <w:color w:val="000000" w:themeColor="text1"/>
          <w:sz w:val="16"/>
          <w:szCs w:val="16"/>
        </w:rPr>
        <w:softHyphen/>
        <w:t>ное решение было отложено до прове</w:t>
      </w:r>
      <w:r w:rsidRPr="00640820">
        <w:rPr>
          <w:rFonts w:ascii="Times New Roman" w:hAnsi="Times New Roman"/>
          <w:color w:val="000000" w:themeColor="text1"/>
          <w:sz w:val="16"/>
          <w:szCs w:val="16"/>
        </w:rPr>
        <w:softHyphen/>
        <w:t>дения государственных испытаний (6467).</w:t>
      </w:r>
    </w:p>
    <w:p w14:paraId="2D8E08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CF51C02"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224049A7"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75645B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 второй половины сентября 1941 г. установка ЗИС-30 была поставлена на серий</w:t>
      </w:r>
      <w:r w:rsidRPr="00640820">
        <w:rPr>
          <w:rFonts w:ascii="Times New Roman" w:hAnsi="Times New Roman"/>
          <w:color w:val="000000" w:themeColor="text1"/>
          <w:sz w:val="16"/>
          <w:szCs w:val="16"/>
        </w:rPr>
        <w:softHyphen/>
        <w:t>ное производство. Всего до середи</w:t>
      </w:r>
      <w:r w:rsidRPr="00640820">
        <w:rPr>
          <w:rFonts w:ascii="Times New Roman" w:hAnsi="Times New Roman"/>
          <w:color w:val="000000" w:themeColor="text1"/>
          <w:sz w:val="16"/>
          <w:szCs w:val="16"/>
        </w:rPr>
        <w:softHyphen/>
        <w:t>ны октября 1941 г. было выпущено 100 установок. Из-за прекращения производства тягача Т-20 на заводе № 37 в августе 1941 г. часть устано</w:t>
      </w:r>
      <w:r w:rsidRPr="00640820">
        <w:rPr>
          <w:rFonts w:ascii="Times New Roman" w:hAnsi="Times New Roman"/>
          <w:color w:val="000000" w:themeColor="text1"/>
          <w:sz w:val="16"/>
          <w:szCs w:val="16"/>
        </w:rPr>
        <w:softHyphen/>
        <w:t>вок была изготовлена за счет изъятия этого типа тягачей из воинских ча</w:t>
      </w:r>
      <w:r w:rsidRPr="00640820">
        <w:rPr>
          <w:rFonts w:ascii="Times New Roman" w:hAnsi="Times New Roman"/>
          <w:color w:val="000000" w:themeColor="text1"/>
          <w:sz w:val="16"/>
          <w:szCs w:val="16"/>
        </w:rPr>
        <w:softHyphen/>
        <w:t>стей. Машины принимали участие в боях на Западном и Юго-Западном фронтах. Они входили в состав противотанковых батарей танковых бри</w:t>
      </w:r>
      <w:r w:rsidRPr="00640820">
        <w:rPr>
          <w:rFonts w:ascii="Times New Roman" w:hAnsi="Times New Roman"/>
          <w:color w:val="000000" w:themeColor="text1"/>
          <w:sz w:val="16"/>
          <w:szCs w:val="16"/>
        </w:rPr>
        <w:softHyphen/>
        <w:t>гад. Всего было укомплектовано около 20 танковых бригад (10703).</w:t>
      </w:r>
    </w:p>
    <w:p w14:paraId="63BE34B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F9D84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второй половине сентября началась и закончилась в середине октября 1941 года эвакуация завода № 183 из Харькова в Нижний Тагил, на площадку Уралвагонзавода. За это время из Харькова было отправлено 43 эшелона с оборудованием, людьми, материалами и заготовками.</w:t>
      </w:r>
    </w:p>
    <w:p w14:paraId="15EBF12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новой площадке в завод № 183 влились другие эвакуированные предприятия: Мариупольским металлургический завод имени Ильича и Московский станкостроительный завод имени Оржоникидзе.</w:t>
      </w:r>
    </w:p>
    <w:p w14:paraId="178FC76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Установка оборудования в Нижнем Тагиле велась исходя из расчета выпуска 20 Т-34 в сутки, для чего было необходимо иметь до 1250 станков, работавших только на производство танков (без вспомогательного оборудования) и не менее 20000 рабочих. Из Харькова было привезено 1254 станка (вместе с вспомогательными) , а рабочих к началу ноября 1941 года было всего 11000, включая и бывший персонал Уралвагонзаво- да. Поэтому в Нижний Тагил переводились дополнительные контингенты рабочих из других городов, а также большое количество людей, не смевших производственной квалификации. Новое предприятие получило наименование Уральский танковый завод № 183 (12217).</w:t>
      </w:r>
    </w:p>
    <w:p w14:paraId="01E09608"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1FE8507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второй половине сентября 1941 на завод № 264 прибыли эвакуированные с ХТЗ конструктора и технологи, которые еще в Харькове начали подготовку к выпуску Т-60 и потому имели лекалы, штампы и выкройки некоторых узлов танка. Казалось, что проблем с выпуском Т-60 здесь не будет, но поскольку трансмиссии должен был подавать СТЗ, до преде</w:t>
      </w:r>
      <w:r w:rsidRPr="00640820">
        <w:rPr>
          <w:rFonts w:ascii="Times New Roman" w:hAnsi="Times New Roman"/>
          <w:color w:val="000000" w:themeColor="text1"/>
          <w:sz w:val="16"/>
          <w:szCs w:val="16"/>
        </w:rPr>
        <w:softHyphen/>
        <w:t>ла загруженный программой выпуска Т-34, организовать се</w:t>
      </w:r>
      <w:r w:rsidRPr="00640820">
        <w:rPr>
          <w:rFonts w:ascii="Times New Roman" w:hAnsi="Times New Roman"/>
          <w:color w:val="000000" w:themeColor="text1"/>
          <w:sz w:val="16"/>
          <w:szCs w:val="16"/>
        </w:rPr>
        <w:softHyphen/>
        <w:t>рийный выпуск Т-60 здесь удалось только со второй декады декабря. Всего до начала 1942 г. завод № 264 сдал заказчику 53 танка и лишь в январе вышел на запланированную произво</w:t>
      </w:r>
      <w:r w:rsidRPr="00640820">
        <w:rPr>
          <w:rFonts w:ascii="Times New Roman" w:hAnsi="Times New Roman"/>
          <w:color w:val="000000" w:themeColor="text1"/>
          <w:sz w:val="16"/>
          <w:szCs w:val="16"/>
        </w:rPr>
        <w:softHyphen/>
        <w:t>дительность (100 танков в месяц), сдав 102 машины. Всего же по июнь 1942 г. здесь было отгружено 830 Т-60 (10782).</w:t>
      </w:r>
    </w:p>
    <w:p w14:paraId="2E6337A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5BC7E8"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6F10E3DF"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602E4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последней декаде сентября 1941 на фронт поставлялось до 100 самолетов в сутки. начиная с октября 1941 года выпуск боевых самолётов стал стремительно падать. В ноябре удалось собрать всего 627 машин – или в 3,6 раза меньше, чем в сентябре. А в декабре авиазаводы дали фронту минимальное за всю войну количество самолётов - 600 (12018).</w:t>
      </w:r>
    </w:p>
    <w:p w14:paraId="681784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9511316"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6656160C"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F98A9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концу сентября 1941 г. в Подлипках под крылом самолета № 070403 смонтировали 10 направляющих для ракет PC-132 или РБС-132 (реактивно-бронебойный снаряд). Полигонные испытания прошли успешно, но наркомат боеприпасов выпускал в то время только стандартные снаряды PC-82. Сухой получил задание переделать машину под них. Планировалось, что с середины октября все Су-2 будут иметь узлы крепления РСов, а каждый четвертый серийный самолет - и балки для них (5360).</w:t>
      </w:r>
    </w:p>
    <w:p w14:paraId="6E9DC1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51B6C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 концу сентября 1941 г. в Подлипках под крылом одного самолета Су-2 смонтировали 10 направляющих под реактивные снаряды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-132 или РБС-132 (ракетно-бронебойный снаряд). Полигонные испытания прошли успешно, но наркомат боеприпасов выпускал как стандартные снаряды РС-82. Сухой получил задание переделать под них машину и, планировалось. что с середины октября все Су-2 будут иметь узлы крепления РСов, а каждый четвертый серийный самолет - также балки для них (12028).</w:t>
      </w:r>
    </w:p>
    <w:p w14:paraId="7825F6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35D47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сентября - начале октября 1941. Усовершенствованный Пе-3 - Пе-Збис (первый с таким названием) был испытан в НИИ ВВС летчиком А. Хрипковым. Самолет зав. № 392207 в ходе испытаний совершил 40 полетов (4476).</w:t>
      </w:r>
    </w:p>
    <w:p w14:paraId="0C8F16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Опытный Пе-Збис отличался от испытанного ранее серийного Пе-3 следующими особенностями:</w:t>
      </w:r>
    </w:p>
    <w:p w14:paraId="684F1B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взамен пулеметов БК в носовой части фюзеляжа установлены два унифицированных крупнокалиберных пулемета УБК, причем второй пулемет размещен на месте, где у Пе-2 располагался ШКАС, т.е. непосредственно перед пилотом. Боезапас пулеметов УБК - по 250 патронов на ствол;</w:t>
      </w:r>
    </w:p>
    <w:p w14:paraId="3DD9A2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на месте, где прежде располагался нижний крупнокалиберный пулемет, смонтирована пушка ШВАК калибра 20 мм с боезапасом 250 патронов;</w:t>
      </w:r>
    </w:p>
    <w:p w14:paraId="614232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вместо верхней турельной установки штурмана ТСС-1 с пулеметом ШКАС смонтирована подвижная установка с пулеметом УБТ и боекомплектом из 180 патронов во вращающейся башне;</w:t>
      </w:r>
    </w:p>
    <w:p w14:paraId="4396EF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укорочен фонарь кабины пилота, а противокапотажная рама перемещена вперед на полметра;</w:t>
      </w:r>
    </w:p>
    <w:p w14:paraId="107C31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система заполнения бензобаков азотом заменена так называемой “системой нейтрального газа” (в баки подавались охлажденные выхлопные газы моторов);</w:t>
      </w:r>
    </w:p>
    <w:p w14:paraId="079304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на всех стеклах кабины установлены шторки для предотвращения ослепления экипажа.</w:t>
      </w:r>
    </w:p>
    <w:p w14:paraId="2E2AC6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Полетная масса истребителя увеличилась до 8040 кг (на 180 кг больше, чем у Пе-3), а скорость на границе высотности незначительно уменьшилась - до 530 км/ч, но зато возросла скорость у земли до 448 км/ч. Автоматические предкрылки несколько упростили технику пилотирования, особенно на посадке.</w:t>
      </w:r>
    </w:p>
    <w:p w14:paraId="3A1184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Несмотря на неоднократные требования военных, завод № 39 оказался не в состоянии установить на Пе-Збис радиополукомпас РПК-10 из-за неритмичных поставок этих приборов. Неожиданным последствием монтажа в носовой части фюзеляжа пушки ШВАК оказалась большая остаточная девиация магнитного компаса А-4, достигавшая двух десятков градусов. Эти обстоятельства, в совокупности с уменьшением остекленной площади носовой части фюзеляжа и неизбежным ухудшением условий ориентирования, сильно затрудняли полеты на большую дальность, да и вообще над незнакомой местностью.</w:t>
      </w:r>
    </w:p>
    <w:p w14:paraId="4D1796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Помимо указанных выше замечаний и дефектов, для этого варианта Пе-Збис были характерны и другие, доставшиеся в наследство от базового бомбардировщика и связанные, главным образом, с силовой установкой (4476).</w:t>
      </w:r>
    </w:p>
    <w:p w14:paraId="1CEB09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FE9E2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сентября - начале октября 1941 летчиком А. Хрипковым был испытан усовершенствованный самолет Пе-Збис (первый с таким названием) в НИИ ВВС. Самолет зав. № 392207 в ходе испытаний совершил 40 полетов.</w:t>
      </w:r>
    </w:p>
    <w:p w14:paraId="4AA35B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Опытный Пе-Збис отличался от испытанного ранее серийного Пе-3 следующими особенностями:</w:t>
      </w:r>
    </w:p>
    <w:p w14:paraId="77F1D3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вместо пулеметов БК в носовой части фюзеляжа установили два унифицированных крупнокачиберных пулемета УБК, причем второй пулемет разместили на месте, где у Пе-2 располагался ШКАС, т.е. непосредственно перед пилотом. Боезапас пулеметов УБК - по 250 патронов на ствол;</w:t>
      </w:r>
    </w:p>
    <w:p w14:paraId="133AFA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под правым носовым УБК смонтировали пушку ШВАК калибра 20 мм с боезапасом 250 патронов;</w:t>
      </w:r>
    </w:p>
    <w:p w14:paraId="58BA63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взамен верхней турельной установки штурмана ТСС-1 с пулеметом ШКАС смонтировали подвижную установку с пулеметом УБТ и боекомплектом 180 патронов во вращающейся башне;</w:t>
      </w:r>
    </w:p>
    <w:p w14:paraId="0185C9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консоли крыла с целью повышения устойчивости машины при малых скоростях полета оснастили автоматическими предкрылками;</w:t>
      </w:r>
    </w:p>
    <w:p w14:paraId="0480EF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уменьшили длину фонаря кабины пилота, а также переместили вперед почти на полметра противокапотажную раму;</w:t>
      </w:r>
    </w:p>
    <w:p w14:paraId="61746B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систему заполнения бензобаков азотом заменили так называемой "системой нейтрального газа" (в баки подавались охлажденные выхлопные газы моторов); </w:t>
      </w:r>
    </w:p>
    <w:p w14:paraId="4A4AAF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смонтировали противопрожекторные [иторки на всс стекла кабины для предотвращения ослепления экипажа.</w:t>
      </w:r>
    </w:p>
    <w:p w14:paraId="2E3B3C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Полетная масса истребителя увеличилась до 8040 кг (на 180 кг больше, чем у Пе-3), а скорость на границе высотности незначительно уменьшилась - до 530 км/ч, но зато скорость у земли возросла до 448 км/ч. Автоматические предкрылки несколько упростили технику пилотирования, особенно на посадке.</w:t>
      </w:r>
    </w:p>
    <w:p w14:paraId="31892E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Неожиданным последствием монтажа в носовой части фюзеляжа пушки ШВАК оказалась большая остаточная девиация магнитного компаса А-4, достигавшая двух десятков градусов. Эти обстоятельства в совокупности с уменьшением остекленной плошали носовой части фюзеляжа и неизбежным ухудшением условий ориентирования сильно затрудняли полеты на большую дальность, да и вообще над незнакомой местностью.</w:t>
      </w:r>
    </w:p>
    <w:p w14:paraId="76BBAB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окончания испытаний опытного Пе-Збис некоторые изменения стали реали- зовывать на серийных самолетах. Отдельные машины дорабатывались в частях силами выездных заводских бригад и специалистов инженерно-авиационной службы. На самолете устанавливали пушку ШВАК, заменяли пулемет ШКАС верхней стрелковой точки на крупнокалиберный УБТ (при этом стандартная "черепаха" - задняя подвижная часть фонаря демонтировалась, но вращающаяся башня-экран еще не применялась), размещали в хвостовой части фюзеляжа держатель авиационных гранат ДАГ-10 (12042).</w:t>
      </w:r>
    </w:p>
    <w:p w14:paraId="18B74B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AD43948" w14:textId="77777777" w:rsidR="00984994" w:rsidRPr="00640820" w:rsidRDefault="00984994"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сентября 1941 Ер-2 с АМ-37 передали на Государственные испытания. Несмотря на обилие недостатков, постепенно устранявшихся, Ер-2 с двигателями АМ-37 впервые чрезвычайно высоко оценен летчиками и инженерами НИИ ВВС. Но увы… желающих получить этот двигатель было предостаточно, среди них А.Н. Туполев, Н.Н. Поликарпов, А.И. Микоян (Медведь А., Хазанов Д. Дальний бомбардировщик Ер-2. Приложение к журналу «Техника Молодежи». АвиАМастер № 2/99 (спецвыпуск 2)). Одновременно ОКБ В.Г. Ермолаева проводило работы по оборудованию Ер-2 и дизельными двигателями (15223).</w:t>
      </w:r>
    </w:p>
    <w:p w14:paraId="4AA665F5" w14:textId="77777777" w:rsidR="00984994" w:rsidRPr="00640820" w:rsidRDefault="00984994" w:rsidP="00640820">
      <w:pPr>
        <w:shd w:val="clear" w:color="auto" w:fill="FFFFFF"/>
        <w:spacing w:after="0" w:line="240" w:lineRule="auto"/>
        <w:jc w:val="both"/>
        <w:rPr>
          <w:rFonts w:ascii="Times New Roman" w:hAnsi="Times New Roman"/>
          <w:color w:val="000000" w:themeColor="text1"/>
          <w:sz w:val="16"/>
          <w:szCs w:val="16"/>
        </w:rPr>
      </w:pPr>
    </w:p>
    <w:p w14:paraId="6CA249E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сентября 1941 прошли летные испытания Г-11, которые показали вполне приемлемые характеристики Г-11. Только представители ВВС потребовали сместить центровку пустого планера вперед, для устойчивого полета аппарата после покидания его десантниками на парашютах. Для этого в серии крыло сместили на</w:t>
      </w:r>
      <w:r w:rsidRPr="00640820">
        <w:rPr>
          <w:rFonts w:ascii="Times New Roman" w:hAnsi="Times New Roman"/>
          <w:color w:val="000000" w:themeColor="text1"/>
          <w:sz w:val="16"/>
          <w:szCs w:val="16"/>
        </w:rPr>
        <w:softHyphen/>
        <w:t>зад. В результате с выпущенными щитками при по</w:t>
      </w:r>
      <w:r w:rsidRPr="00640820">
        <w:rPr>
          <w:rFonts w:ascii="Times New Roman" w:hAnsi="Times New Roman"/>
          <w:color w:val="000000" w:themeColor="text1"/>
          <w:sz w:val="16"/>
          <w:szCs w:val="16"/>
        </w:rPr>
        <w:softHyphen/>
        <w:t>садке стала наблюдаться тряска хвостового опере</w:t>
      </w:r>
      <w:r w:rsidRPr="00640820">
        <w:rPr>
          <w:rFonts w:ascii="Times New Roman" w:hAnsi="Times New Roman"/>
          <w:color w:val="000000" w:themeColor="text1"/>
          <w:sz w:val="16"/>
          <w:szCs w:val="16"/>
        </w:rPr>
        <w:softHyphen/>
        <w:t>ния. Этот дефект устранили, просверлив отверстия во внутренних щитках. В дальнейшем от перфорации удалось избавиться путем корректировки взаимного положения крыла, фюзеляжа и стабилизатора.</w:t>
      </w:r>
    </w:p>
    <w:p w14:paraId="28FB3F2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время испытаний Г-11 под</w:t>
      </w:r>
      <w:r w:rsidRPr="00640820">
        <w:rPr>
          <w:rFonts w:ascii="Times New Roman" w:hAnsi="Times New Roman"/>
          <w:color w:val="000000" w:themeColor="text1"/>
          <w:sz w:val="16"/>
          <w:szCs w:val="16"/>
        </w:rPr>
        <w:softHyphen/>
        <w:t>нимали в воздух разные пило</w:t>
      </w:r>
      <w:r w:rsidRPr="00640820">
        <w:rPr>
          <w:rFonts w:ascii="Times New Roman" w:hAnsi="Times New Roman"/>
          <w:color w:val="000000" w:themeColor="text1"/>
          <w:sz w:val="16"/>
          <w:szCs w:val="16"/>
        </w:rPr>
        <w:softHyphen/>
        <w:t>ты, но больше всех на нем летал В. Романов. С ним и произошла единственная катастрофа Г-11. После взвешивания и определе</w:t>
      </w:r>
      <w:r w:rsidRPr="00640820">
        <w:rPr>
          <w:rFonts w:ascii="Times New Roman" w:hAnsi="Times New Roman"/>
          <w:color w:val="000000" w:themeColor="text1"/>
          <w:sz w:val="16"/>
          <w:szCs w:val="16"/>
        </w:rPr>
        <w:softHyphen/>
        <w:t>ния ЦТ Романов взлетел на пла</w:t>
      </w:r>
      <w:r w:rsidRPr="00640820">
        <w:rPr>
          <w:rFonts w:ascii="Times New Roman" w:hAnsi="Times New Roman"/>
          <w:color w:val="000000" w:themeColor="text1"/>
          <w:sz w:val="16"/>
          <w:szCs w:val="16"/>
        </w:rPr>
        <w:softHyphen/>
        <w:t>нере для перегонки его на другой аэродром. В полете планер при не выясненных обстоятельствах отцепился от буксировщика и упал. В. Романов и летевший с ним механик погибли. Причи</w:t>
      </w:r>
      <w:r w:rsidRPr="00640820">
        <w:rPr>
          <w:rFonts w:ascii="Times New Roman" w:hAnsi="Times New Roman"/>
          <w:color w:val="000000" w:themeColor="text1"/>
          <w:sz w:val="16"/>
          <w:szCs w:val="16"/>
        </w:rPr>
        <w:softHyphen/>
        <w:t>ной катастрофы сочли недоста</w:t>
      </w:r>
      <w:r w:rsidRPr="00640820">
        <w:rPr>
          <w:rFonts w:ascii="Times New Roman" w:hAnsi="Times New Roman"/>
          <w:color w:val="000000" w:themeColor="text1"/>
          <w:sz w:val="16"/>
          <w:szCs w:val="16"/>
        </w:rPr>
        <w:softHyphen/>
        <w:t>точную жесткость крыла и, как следствие, реверс элеронов. Ка</w:t>
      </w:r>
      <w:r w:rsidRPr="00640820">
        <w:rPr>
          <w:rFonts w:ascii="Times New Roman" w:hAnsi="Times New Roman"/>
          <w:color w:val="000000" w:themeColor="text1"/>
          <w:sz w:val="16"/>
          <w:szCs w:val="16"/>
        </w:rPr>
        <w:softHyphen/>
        <w:t>тастрофу спровоцировала ветреная погода и сильная болтанка во время перелета. На заводских испытаниях подобных явлений замечено не было. Крыло доработали, и последующие испыта</w:t>
      </w:r>
      <w:r w:rsidRPr="00640820">
        <w:rPr>
          <w:rFonts w:ascii="Times New Roman" w:hAnsi="Times New Roman"/>
          <w:color w:val="000000" w:themeColor="text1"/>
          <w:sz w:val="16"/>
          <w:szCs w:val="16"/>
        </w:rPr>
        <w:softHyphen/>
        <w:t>ния проводил Б. Годовиков. По мнению пилотов, Г-11 был прост в управлении, надежен и на нем было при</w:t>
      </w:r>
      <w:r w:rsidRPr="00640820">
        <w:rPr>
          <w:rFonts w:ascii="Times New Roman" w:hAnsi="Times New Roman"/>
          <w:color w:val="000000" w:themeColor="text1"/>
          <w:sz w:val="16"/>
          <w:szCs w:val="16"/>
        </w:rPr>
        <w:softHyphen/>
        <w:t>ятно летать (12300).</w:t>
      </w:r>
    </w:p>
    <w:p w14:paraId="49B363CF"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0208DA77"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сентября 1941 летные испытания Г-29 показали вполне приемлемые пилотажные характеристики. Для смещения центровки пустого планера вперед (это требование ВВС, на случай продолжения полета планера после покидания его десантниками на парашютах), в серии крыло передвинули немного вперед. При этом, в посадочной конфигурации с выпущенными щитками, стала наблюдаться тряска хвостового оперения. Тряску устранили путем устройства перфорации на щитках.</w:t>
      </w:r>
    </w:p>
    <w:p w14:paraId="28B1A7AD"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Сразу после окончания испытаний, 28 сентября 1941г. Грибовский выехал на завод №471, а его заместитель Ландышев - на завод №494.</w:t>
      </w:r>
    </w:p>
    <w:p w14:paraId="427A6447"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октября в Шумерлю прибыл первый эшелон с «хозяйством» ОКБ-28, а уже 7 ноября здесь собрали первый головной десантный планер. До конца года завод №471 изготовил 10 серийных аппаратов, которые по количеству перевозимых десантников получили обозначение Г-11.</w:t>
      </w:r>
    </w:p>
    <w:p w14:paraId="6C65CCC2"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Десантный планер Г-11 (использовались также обозначения Гр-11 и Гр-29) представлял собой свободнонесущий высокоплан деревянной конструкции с объемным коробчатым фюзеляжем. Металл использовался в малых количествах только в наиболее нагруженных местах.</w:t>
      </w:r>
    </w:p>
    <w:p w14:paraId="186D2DEF"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Планер имел неубираемое шасси с колесами размером 600×250 мм для взлета и посадочную лыжу для посадки. В случае посадки на лыжу колесное шасси, оборудованное «ломающимся подкосом», сдвигалось назад-вверх.</w:t>
      </w:r>
    </w:p>
    <w:p w14:paraId="2F87DC41"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Носовая часть фюзеляжа представляла собой одноместную кабину летчика с органами управления, минимальным комплектом приборов и сбрасываемым фонарем. За ней располагался десантно-грузовой отсек длиной 3,24 м и шириной 1,36-1,25 м. Десантники сидели на дощатых скамейках, расположенных вдоль бортов фюзеляжа лицом друг к другу.</w:t>
      </w:r>
    </w:p>
    <w:p w14:paraId="0A196675"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погрузки планера и его покидания в бортах фюзеляжа имелись сбрасываемые дверцы размером 1,2×0,7м, а в потолке и в полу - также сбрасываемые люки размером 0,51×0,46 м. Кроме того, в каждом борту было по два застекленных прямоугольных окна-иллюминатора, которые могли открываться для ведения стрельбы из личного оружия.</w:t>
      </w:r>
    </w:p>
    <w:p w14:paraId="0B7C5CDD"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Г-11 нарастало вплоть до июня 1942 г., когда выяснилось, что военные попросту не готовы к приему большого числа десантных планеров. Не хватало самолетов-буксировщиков и пилотов-планеристов. Так как хранение планеров в течение длительного времени не предусматривалось, их нахождение под открытым небом могло привести к снижению прочности и надежности.</w:t>
      </w:r>
    </w:p>
    <w:p w14:paraId="3D035344"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результате производство Г-11 в 1942 г. прекратили, личный состав ОКБ-28 присоединили к техперсоналу завода №471, переориентированного на производство самолетов Як-6, а Грибовский убыл в распоряжение Наркомага авиапромышленности.</w:t>
      </w:r>
    </w:p>
    <w:p w14:paraId="439E2E65"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 до прекращения выпуска в 1942 г. завод №471 выпустил 127 Г-11 (плюс 11 в 1941 г.), а завод №494 -170 планеров. Таким образом, суммарный выпуск к осени 1942 г. составил 308 экземпляров Г-11.</w:t>
      </w:r>
    </w:p>
    <w:p w14:paraId="2666B89A"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1943 г. производство планеров восстановили на заводе в Рязани, где Грибовского назначили Главным конструктором. Первый «рязанский» Г-11 испытали в марте 1944 г. Планерист-испытатель старший лейтенант Чубуков написал в своем отзыве:</w:t>
      </w:r>
    </w:p>
    <w:p w14:paraId="4DC4B29A" w14:textId="77777777" w:rsidR="00165A9C" w:rsidRPr="00640820" w:rsidRDefault="00165A9C" w:rsidP="00640820">
      <w:pPr>
        <w:shd w:val="clear" w:color="auto" w:fill="FFFFFF"/>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«Управляемость планера достаточная. Запас рулей вполне обеспечивает вывод планера из самого тяжелого положения. Управление Г-11 подобрано чрезвычайно удачно, будучи не таким строгим, как у планера А-7, вместе с тем обеспечивает полную управляемость в трудных условиях при любых вариантах загрузки. При выполнении фигур пилотажа - штопора, переворота и бочки планер быстро выходит без запаздывания в нормальное положение. Посадка во всех вариантах загрузки проста и выполняется на малых скоростях».</w:t>
      </w:r>
    </w:p>
    <w:p w14:paraId="0E04A2CD"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ходе серийного производства в конструкцию Г-11 вносились изменения. Начиная с экземпляра №21 на левом борту фюзеляжа оборудовали увеличенный грузовой люк шириной 1400 мм, а дверь на правом борту упразднили. С октября 1944 г. выпускались планеры с двойным управлением, амортизацией посадочной лыжи и дополнительными усилениями конструкции. В серии эти аппараты, дополнительным внешним отличием которых стал небольшой форкиль, получили обозначение Г-11У.</w:t>
      </w:r>
    </w:p>
    <w:p w14:paraId="62E658AE"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Г-11У прекратилось в середине 1945 г., однако, спустя год возобновилось и продолжалось вплоть до 1948 г. (точных данных о количестве Г-11, произведенных в этот период, не обнаружено).</w:t>
      </w:r>
    </w:p>
    <w:p w14:paraId="39E4EC9E"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Использование Г-11 в период Великой Отечественной войны показало их высокую надежность и достаточную эффективность. Особенно активно планеры использовались для снабжения партизан в 1943-44 гг. В августе 1944-го конструктор Грибовский за доставку грузов планерами Г-11 партизанам Белоруссии был награжден медалью «Партизан Отечественной войны».</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677"/>
        <w:gridCol w:w="6645"/>
      </w:tblGrid>
      <w:tr w:rsidR="00643896" w:rsidRPr="00640820" w14:paraId="7D6A8154" w14:textId="77777777" w:rsidTr="000D3BCB">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E56485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Модификация</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F21C40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Г-11</w:t>
            </w:r>
          </w:p>
        </w:tc>
      </w:tr>
      <w:tr w:rsidR="00643896" w:rsidRPr="00640820" w14:paraId="26820FF4" w14:textId="77777777" w:rsidTr="000D3BCB">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9F081A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Размах крыла, м</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AAAD38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18.00</w:t>
            </w:r>
          </w:p>
        </w:tc>
      </w:tr>
      <w:tr w:rsidR="00643896" w:rsidRPr="00640820" w14:paraId="593BFA84" w14:textId="77777777" w:rsidTr="000D3BCB">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6AACDA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Длина, м</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1A104A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10.84</w:t>
            </w:r>
          </w:p>
        </w:tc>
      </w:tr>
      <w:tr w:rsidR="00643896" w:rsidRPr="00640820" w14:paraId="7C822E9D" w14:textId="77777777" w:rsidTr="000D3BCB">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D068C3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Высота, м</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F3E1A4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r>
      <w:tr w:rsidR="00643896" w:rsidRPr="00640820" w14:paraId="7A972F2D" w14:textId="77777777" w:rsidTr="000D3BCB">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94338A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крыла, м²</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2E1C6E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30.00</w:t>
            </w:r>
          </w:p>
        </w:tc>
      </w:tr>
      <w:tr w:rsidR="00643896" w:rsidRPr="00640820" w14:paraId="5AF10FCB" w14:textId="77777777" w:rsidTr="000D3BCB">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4F9CD3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Масса, кг</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E42277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r>
      <w:tr w:rsidR="00643896" w:rsidRPr="00640820" w14:paraId="18D22F7D" w14:textId="77777777" w:rsidTr="000D3BCB">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CF7B97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пустого снаряженного</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693A29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960</w:t>
            </w:r>
          </w:p>
        </w:tc>
      </w:tr>
      <w:tr w:rsidR="00643896" w:rsidRPr="00640820" w14:paraId="0FDE2D0C" w14:textId="77777777" w:rsidTr="000D3BCB">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27488C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максимальная взлетная</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BB0273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1660</w:t>
            </w:r>
          </w:p>
        </w:tc>
      </w:tr>
      <w:tr w:rsidR="00643896" w:rsidRPr="00640820" w14:paraId="32A4F38D" w14:textId="77777777" w:rsidTr="000D3BCB">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972EFB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Максимальная скорость, км/ч</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96213F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220</w:t>
            </w:r>
          </w:p>
        </w:tc>
      </w:tr>
      <w:tr w:rsidR="00643896" w:rsidRPr="00640820" w14:paraId="7D359195" w14:textId="77777777" w:rsidTr="000D3BCB">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D20359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Полезная нагрузка:</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7B606F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11 десантников</w:t>
            </w:r>
          </w:p>
        </w:tc>
      </w:tr>
    </w:tbl>
    <w:p w14:paraId="0B1F0442" w14:textId="77777777" w:rsidR="00165A9C" w:rsidRPr="00640820" w:rsidRDefault="00165A9C" w:rsidP="00640820">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(12682).</w:t>
      </w:r>
    </w:p>
    <w:p w14:paraId="3FF306A8" w14:textId="77777777" w:rsidR="00165A9C" w:rsidRPr="00640820" w:rsidRDefault="00165A9C" w:rsidP="00640820">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p>
    <w:p w14:paraId="69533B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сентября 1941, по воспоминаниям</w:t>
      </w:r>
      <w:r w:rsidRPr="00640820">
        <w:rPr>
          <w:rFonts w:ascii="Times New Roman" w:hAnsi="Times New Roman"/>
          <w:iCs/>
          <w:color w:val="000000" w:themeColor="text1"/>
          <w:sz w:val="16"/>
          <w:szCs w:val="16"/>
        </w:rPr>
        <w:t xml:space="preserve"> (Куманёв ГА.</w:t>
      </w:r>
      <w:r w:rsidRPr="00640820">
        <w:rPr>
          <w:rFonts w:ascii="Times New Roman" w:hAnsi="Times New Roman"/>
          <w:color w:val="000000" w:themeColor="text1"/>
          <w:sz w:val="16"/>
          <w:szCs w:val="16"/>
        </w:rPr>
        <w:t xml:space="preserve"> Говорят сталинские наркомы. Смоленск, 2005. С. 201) А.И. Шахурина, НКАП вышел на рекордную отметку — 100 самолётов в сутки</w:t>
      </w:r>
      <w:r w:rsidRPr="00640820">
        <w:rPr>
          <w:rFonts w:ascii="Times New Roman" w:hAnsi="Times New Roman"/>
          <w:iCs/>
          <w:color w:val="000000" w:themeColor="text1"/>
          <w:sz w:val="16"/>
          <w:szCs w:val="16"/>
        </w:rPr>
        <w:t xml:space="preserve"> (Куманёв ГА.</w:t>
      </w:r>
      <w:r w:rsidRPr="00640820">
        <w:rPr>
          <w:rFonts w:ascii="Times New Roman" w:hAnsi="Times New Roman"/>
          <w:color w:val="000000" w:themeColor="text1"/>
          <w:sz w:val="16"/>
          <w:szCs w:val="16"/>
        </w:rPr>
        <w:t xml:space="preserve"> Говорят сталинские наркомы. Смоленск, 2005. С. 214). Это дало основания ГКО ещё более увеличить плановое задание на </w:t>
      </w:r>
      <w:r w:rsidRPr="00640820">
        <w:rPr>
          <w:rFonts w:ascii="Times New Roman" w:hAnsi="Times New Roman"/>
          <w:color w:val="000000" w:themeColor="text1"/>
          <w:sz w:val="16"/>
          <w:szCs w:val="16"/>
          <w:lang w:val="en-US"/>
        </w:rPr>
        <w:t>IV</w:t>
      </w:r>
      <w:r w:rsidRPr="00640820">
        <w:rPr>
          <w:rFonts w:ascii="Times New Roman" w:hAnsi="Times New Roman"/>
          <w:color w:val="000000" w:themeColor="text1"/>
          <w:sz w:val="16"/>
          <w:szCs w:val="16"/>
        </w:rPr>
        <w:t xml:space="preserve"> квартал 1941 г., так, в ноябре 1941 г. следовало (по пла</w:t>
      </w:r>
      <w:r w:rsidRPr="00640820">
        <w:rPr>
          <w:rFonts w:ascii="Times New Roman" w:hAnsi="Times New Roman"/>
          <w:color w:val="000000" w:themeColor="text1"/>
          <w:sz w:val="16"/>
          <w:szCs w:val="16"/>
        </w:rPr>
        <w:softHyphen/>
        <w:t>ну) произвести 1466 самолётов и 2155 моторов". Однако эти планы были нарушены ходом боевых действий. В результате стремительного наступления немецко-фашистских войск всё большее число авиазаводов и смежных предприятий попада</w:t>
      </w:r>
      <w:r w:rsidRPr="00640820">
        <w:rPr>
          <w:rFonts w:ascii="Times New Roman" w:hAnsi="Times New Roman"/>
          <w:color w:val="000000" w:themeColor="text1"/>
          <w:sz w:val="16"/>
          <w:szCs w:val="16"/>
        </w:rPr>
        <w:softHyphen/>
        <w:t>ли в прифронтовую зону, а значит — нуждались в срочной эвакуации.</w:t>
      </w:r>
    </w:p>
    <w:p w14:paraId="390EB5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Ввиду специфики мемуаров как исторического источника к этой цифре надо относиться осторожно. Как говорится, «человеку свойственно ошибать</w:t>
      </w:r>
      <w:r w:rsidRPr="00640820">
        <w:rPr>
          <w:rFonts w:ascii="Times New Roman" w:hAnsi="Times New Roman"/>
          <w:color w:val="000000" w:themeColor="text1"/>
          <w:sz w:val="16"/>
          <w:szCs w:val="16"/>
        </w:rPr>
        <w:softHyphen/>
        <w:t>ся», а спустя столько лет что-то забыть, а что-то —перепутать более чем извинительно. Однако резкий рост авиавыпуска, апогей которого пришёлся на сентябрь — бесспорен.</w:t>
      </w:r>
    </w:p>
    <w:p w14:paraId="046707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Сыграл свою роль и ещё целый ряд факторов. Во-первых, с началом боевых действий резко возросла нагрузка на же</w:t>
      </w:r>
      <w:r w:rsidRPr="00640820">
        <w:rPr>
          <w:rFonts w:ascii="Times New Roman" w:hAnsi="Times New Roman"/>
          <w:color w:val="000000" w:themeColor="text1"/>
          <w:sz w:val="16"/>
          <w:szCs w:val="16"/>
        </w:rPr>
        <w:softHyphen/>
        <w:t>лезные дороги. Это осложнило поставки на авиапредприятия комплектующих и полуфабрикатов. Во-вторых, начавшаяся эвакуация предприятий-смежников ещё более обострила си</w:t>
      </w:r>
      <w:r w:rsidRPr="00640820">
        <w:rPr>
          <w:rFonts w:ascii="Times New Roman" w:hAnsi="Times New Roman"/>
          <w:color w:val="000000" w:themeColor="text1"/>
          <w:sz w:val="16"/>
          <w:szCs w:val="16"/>
        </w:rPr>
        <w:softHyphen/>
        <w:t>туацию с поставками на авиазаводы необходимых деталей и агрегатов. С июня по ноябрь 1941 г. выпуск валовой продук</w:t>
      </w:r>
      <w:r w:rsidRPr="00640820">
        <w:rPr>
          <w:rFonts w:ascii="Times New Roman" w:hAnsi="Times New Roman"/>
          <w:color w:val="000000" w:themeColor="text1"/>
          <w:sz w:val="16"/>
          <w:szCs w:val="16"/>
        </w:rPr>
        <w:softHyphen/>
        <w:t>ции по всей промышленности СССР уменьшился в 2,1 раза (</w:t>
      </w:r>
      <w:r w:rsidRPr="00640820">
        <w:rPr>
          <w:rFonts w:ascii="Times New Roman" w:hAnsi="Times New Roman"/>
          <w:iCs/>
          <w:color w:val="000000" w:themeColor="text1"/>
          <w:sz w:val="16"/>
          <w:szCs w:val="16"/>
        </w:rPr>
        <w:t>Кравченко Г.С.</w:t>
      </w:r>
      <w:r w:rsidRPr="00640820">
        <w:rPr>
          <w:rFonts w:ascii="Times New Roman" w:hAnsi="Times New Roman"/>
          <w:color w:val="000000" w:themeColor="text1"/>
          <w:sz w:val="16"/>
          <w:szCs w:val="16"/>
        </w:rPr>
        <w:t xml:space="preserve"> Указ. соч. С.124).</w:t>
      </w:r>
    </w:p>
    <w:p w14:paraId="7FA67C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Впрочем, даже если эвакуация завода-смежника была возможна, это не избавляло НКАП от разрывов производ</w:t>
      </w:r>
      <w:r w:rsidRPr="00640820">
        <w:rPr>
          <w:rFonts w:ascii="Times New Roman" w:hAnsi="Times New Roman"/>
          <w:color w:val="000000" w:themeColor="text1"/>
          <w:sz w:val="16"/>
          <w:szCs w:val="16"/>
        </w:rPr>
        <w:softHyphen/>
        <w:t>ственных цепочек. И авиазаводы, и предприятия-смежники, и поставщики сырья были перемещены на новые места дис</w:t>
      </w:r>
      <w:r w:rsidRPr="00640820">
        <w:rPr>
          <w:rFonts w:ascii="Times New Roman" w:hAnsi="Times New Roman"/>
          <w:color w:val="000000" w:themeColor="text1"/>
          <w:sz w:val="16"/>
          <w:szCs w:val="16"/>
        </w:rPr>
        <w:softHyphen/>
        <w:t>локации. Прежние производственные связи рвались, а новые выстраивались недопустимо медленно. Рвущиеся технологи</w:t>
      </w:r>
      <w:r w:rsidRPr="00640820">
        <w:rPr>
          <w:rFonts w:ascii="Times New Roman" w:hAnsi="Times New Roman"/>
          <w:color w:val="000000" w:themeColor="text1"/>
          <w:sz w:val="16"/>
          <w:szCs w:val="16"/>
        </w:rPr>
        <w:softHyphen/>
        <w:t>ческие цепочки оставляли без дела даже готовые к выпуску авиапредприятия. Основными подрядчиками НКАП являлись предприятия Наркомчермета и Наркомата вооружений</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но и эти заводы отправлялись в эвакуацию... Первые месяцы вой</w:t>
      </w:r>
      <w:r w:rsidRPr="00640820">
        <w:rPr>
          <w:rFonts w:ascii="Times New Roman" w:hAnsi="Times New Roman"/>
          <w:color w:val="000000" w:themeColor="text1"/>
          <w:sz w:val="16"/>
          <w:szCs w:val="16"/>
        </w:rPr>
        <w:softHyphen/>
        <w:t>ны авиаотрасль выживала за счёт внутренних запасов, нако</w:t>
      </w:r>
      <w:r w:rsidRPr="00640820">
        <w:rPr>
          <w:rFonts w:ascii="Times New Roman" w:hAnsi="Times New Roman"/>
          <w:color w:val="000000" w:themeColor="text1"/>
          <w:sz w:val="16"/>
          <w:szCs w:val="16"/>
        </w:rPr>
        <w:softHyphen/>
        <w:t>пленных на заводах и базах Главснаба НКАП. Затем пришёл черёд сырья из государственных мобрезервов. Но к началу 1942 г. был исчерпан и этот источник (12011).</w:t>
      </w:r>
    </w:p>
    <w:p w14:paraId="310E05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1F15C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сентября 1941 г. последний эшелон завода № 29 пришел в Омск. Для сборщиков и испытате</w:t>
      </w:r>
      <w:r w:rsidRPr="00640820">
        <w:rPr>
          <w:rFonts w:ascii="Times New Roman" w:hAnsi="Times New Roman"/>
          <w:color w:val="000000" w:themeColor="text1"/>
          <w:sz w:val="16"/>
          <w:szCs w:val="16"/>
        </w:rPr>
        <w:softHyphen/>
        <w:t>лей был отведен пустырь. Соорудили шалаш из брезента и начали разбирать собранные в Запорожье узлы. Освещения не было, поэто</w:t>
      </w:r>
      <w:r w:rsidRPr="00640820">
        <w:rPr>
          <w:rFonts w:ascii="Times New Roman" w:hAnsi="Times New Roman"/>
          <w:color w:val="000000" w:themeColor="text1"/>
          <w:sz w:val="16"/>
          <w:szCs w:val="16"/>
        </w:rPr>
        <w:softHyphen/>
        <w:t>му работали только днем. В помощь одной ко</w:t>
      </w:r>
      <w:r w:rsidRPr="00640820">
        <w:rPr>
          <w:rFonts w:ascii="Times New Roman" w:hAnsi="Times New Roman"/>
          <w:color w:val="000000" w:themeColor="text1"/>
          <w:sz w:val="16"/>
          <w:szCs w:val="16"/>
        </w:rPr>
        <w:softHyphen/>
        <w:t>тельной пригнали 10 локомотивов, которые в цехи подавали пар. В ночь с 6 на 7 ноября был успешно испытан впервые собранный на ом</w:t>
      </w:r>
      <w:r w:rsidRPr="00640820">
        <w:rPr>
          <w:rFonts w:ascii="Times New Roman" w:hAnsi="Times New Roman"/>
          <w:color w:val="000000" w:themeColor="text1"/>
          <w:sz w:val="16"/>
          <w:szCs w:val="16"/>
        </w:rPr>
        <w:softHyphen/>
        <w:t>ской земле авиационный двигатель М-88Б...( http://www.infomsk.ru/media/publish/magcat.php3?catid=14462) (11896). В спешно введенных в эксплуатацию и еще недостроенных цехах началось изготовление производственно-технического задела и по</w:t>
      </w:r>
      <w:r w:rsidRPr="00640820">
        <w:rPr>
          <w:rFonts w:ascii="Times New Roman" w:hAnsi="Times New Roman"/>
          <w:color w:val="000000" w:themeColor="text1"/>
          <w:sz w:val="16"/>
          <w:szCs w:val="16"/>
        </w:rPr>
        <w:softHyphen/>
        <w:t>луфабрикатов, рассчитанных на выпуск до 400–450 авиамоторов «М-88», также доводка мотора «М-89» и модели «М-90» для запуска в серийное производство. Завод № 29 (дирек</w:t>
      </w:r>
      <w:r w:rsidRPr="00640820">
        <w:rPr>
          <w:rFonts w:ascii="Times New Roman" w:hAnsi="Times New Roman"/>
          <w:color w:val="000000" w:themeColor="text1"/>
          <w:sz w:val="16"/>
          <w:szCs w:val="16"/>
        </w:rPr>
        <w:softHyphen/>
        <w:t>торы завода М. М. Лукин, И. Г. Борисов (с 1942 г.)) прибыл в основном в сентябре 1941 г. Завод прибыл на строительную площадку, но до конца года для этого завода были по</w:t>
      </w:r>
      <w:r w:rsidRPr="00640820">
        <w:rPr>
          <w:rFonts w:ascii="Times New Roman" w:hAnsi="Times New Roman"/>
          <w:color w:val="000000" w:themeColor="text1"/>
          <w:sz w:val="16"/>
          <w:szCs w:val="16"/>
        </w:rPr>
        <w:softHyphen/>
        <w:t>строены огромные производственные пло</w:t>
      </w:r>
      <w:r w:rsidRPr="00640820">
        <w:rPr>
          <w:rFonts w:ascii="Times New Roman" w:hAnsi="Times New Roman"/>
          <w:color w:val="000000" w:themeColor="text1"/>
          <w:sz w:val="16"/>
          <w:szCs w:val="16"/>
        </w:rPr>
        <w:softHyphen/>
        <w:t>щади, проведены большие работы по комму</w:t>
      </w:r>
      <w:r w:rsidRPr="00640820">
        <w:rPr>
          <w:rFonts w:ascii="Times New Roman" w:hAnsi="Times New Roman"/>
          <w:color w:val="000000" w:themeColor="text1"/>
          <w:sz w:val="16"/>
          <w:szCs w:val="16"/>
        </w:rPr>
        <w:softHyphen/>
        <w:t>никациям и другим вспомогательным хозяй</w:t>
      </w:r>
      <w:r w:rsidRPr="00640820">
        <w:rPr>
          <w:rFonts w:ascii="Times New Roman" w:hAnsi="Times New Roman"/>
          <w:color w:val="000000" w:themeColor="text1"/>
          <w:sz w:val="16"/>
          <w:szCs w:val="16"/>
        </w:rPr>
        <w:softHyphen/>
        <w:t>ствам. 2 декабря 1941 г. по заводу был издан приказ, положивший начало новому этапу его развития – освоению и производству более экономичных и надежных двигателей, таких как АШ-82 ФН (1850 л. с.) для истребителей и бомбардировщиков. Начал работать завод на выпуск продукции в ноябре месяце, дав за ноябрь – 9,3 %, в декабре – 27,6 % и в январе 1942 г. – 100 % программы (ЦДНИОО. Ф. 17. Оп. 1. Д. 2977. Л. 15.). В мае 1942 г. коллективу завода было при</w:t>
      </w:r>
      <w:r w:rsidRPr="00640820">
        <w:rPr>
          <w:rFonts w:ascii="Times New Roman" w:hAnsi="Times New Roman"/>
          <w:color w:val="000000" w:themeColor="text1"/>
          <w:sz w:val="16"/>
          <w:szCs w:val="16"/>
        </w:rPr>
        <w:softHyphen/>
        <w:t>суждено первое место во Всесоюзном соцсо</w:t>
      </w:r>
      <w:r w:rsidRPr="00640820">
        <w:rPr>
          <w:rFonts w:ascii="Times New Roman" w:hAnsi="Times New Roman"/>
          <w:color w:val="000000" w:themeColor="text1"/>
          <w:sz w:val="16"/>
          <w:szCs w:val="16"/>
        </w:rPr>
        <w:softHyphen/>
        <w:t>ревновании и вручено переходящее Красное знамя ГКО. В первый год работы много сил уходило на обустройство производства и людей. Объекты были разбросаны, другие срочно строились. В 1942 начали возводить горячие цехи. Большая проблема была с алю</w:t>
      </w:r>
      <w:r w:rsidRPr="00640820">
        <w:rPr>
          <w:rFonts w:ascii="Times New Roman" w:hAnsi="Times New Roman"/>
          <w:color w:val="000000" w:themeColor="text1"/>
          <w:sz w:val="16"/>
          <w:szCs w:val="16"/>
        </w:rPr>
        <w:softHyphen/>
        <w:t>миниевым, бронзовым и чугунным литьем (11896).</w:t>
      </w:r>
    </w:p>
    <w:p w14:paraId="23836E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43639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сентября 1941 на Центральный аэродром вечером прилетал Б-17 и разбил крыло задев наш самолет. Привез американцев и англичан на переговоры (574,46).</w:t>
      </w:r>
    </w:p>
    <w:p w14:paraId="2F3965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7F0000E" w14:textId="77777777" w:rsidR="00F52A2A" w:rsidRPr="00640820" w:rsidRDefault="00F52A2A" w:rsidP="00640820">
      <w:pPr>
        <w:pStyle w:val="ae"/>
        <w:spacing w:before="0" w:after="0"/>
        <w:jc w:val="both"/>
        <w:rPr>
          <w:color w:val="000000" w:themeColor="text1"/>
          <w:sz w:val="16"/>
          <w:szCs w:val="16"/>
        </w:rPr>
      </w:pPr>
      <w:r w:rsidRPr="00640820">
        <w:rPr>
          <w:color w:val="000000" w:themeColor="text1"/>
          <w:sz w:val="16"/>
          <w:szCs w:val="16"/>
        </w:rPr>
        <w:t>В конце сентября 1941 опытный образец КС-77 успешно прошел испытания стрельбой, до ноября «Компрессор» изготовил 24 установ</w:t>
      </w:r>
      <w:r w:rsidRPr="00640820">
        <w:rPr>
          <w:color w:val="000000" w:themeColor="text1"/>
          <w:sz w:val="16"/>
          <w:szCs w:val="16"/>
        </w:rPr>
        <w:softHyphen/>
        <w:t>ки М-8 (включая прототип). Стоит отметить, что в сводных отчетах указывается всего 3 М-8 на базе Т-40, но есть полный список шасси Т-30, отправленных с завода № 37 на «Компрессор» — 10 в сентябре и 14 в октябре. Более того, по состоянию на 10 октября 15 М-8 на базе Т-40 находилось в различной степени готовности. Судя по всему, в не</w:t>
      </w:r>
      <w:r w:rsidRPr="00640820">
        <w:rPr>
          <w:color w:val="000000" w:themeColor="text1"/>
          <w:sz w:val="16"/>
          <w:szCs w:val="16"/>
        </w:rPr>
        <w:softHyphen/>
        <w:t>разберихе, связанной с эвакуацией, данные системы по документам были отправлены как М-8 на шасси ЗИС-6 (17485).</w:t>
      </w:r>
    </w:p>
    <w:p w14:paraId="5D3F050E" w14:textId="77777777" w:rsidR="00F52A2A" w:rsidRPr="00640820" w:rsidRDefault="00F52A2A" w:rsidP="00640820">
      <w:pPr>
        <w:pStyle w:val="ae"/>
        <w:spacing w:before="0" w:after="0"/>
        <w:jc w:val="both"/>
        <w:rPr>
          <w:color w:val="000000" w:themeColor="text1"/>
          <w:sz w:val="16"/>
          <w:szCs w:val="16"/>
        </w:rPr>
      </w:pPr>
    </w:p>
    <w:p w14:paraId="55B1E079"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23FD5B80"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9ABF3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сентября 1941 по предложению и В.Ф.Семченко была создана простая и оригинальная конструкция прессформы для изготовлегния твердосплавных сердечников разных размеров с хорошими баллистическими свойствами. Сердечники изготавливали на Московском комбинате твердых сплавов и Кировоградском заводе твердых сплавов (5484,489).</w:t>
      </w:r>
    </w:p>
    <w:p w14:paraId="64A194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5CA25C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сентября 1941 года была поставлена точка в попытках перевести двигатель М-17 на дизельное топливо, о чем заместитель начальника ГАБТУ КА генерал-майор Лебедев доложил заместителю председателя ГКО Молотову 29 сентября 1941 года:</w:t>
      </w:r>
    </w:p>
    <w:p w14:paraId="5717F6C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«Согласно постановления ГКО № 1с от 1 июля 1941 года завод № 183 обязан к 10 августа 1941 г. отработать приспособление к мотору М-17Т для работы на дизельном топливе.</w:t>
      </w:r>
    </w:p>
    <w:p w14:paraId="4D62B53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Указанное постановление завод № 183 в срок не выполнил. Проведенными испытаниями установлена неудовлетворительная работа мотора М-17Т на дизельном топливе. НКТП предложил заводам № 112 и СТЗ продолжить работу по доводке приспособления к мотору М-17Т для его работы на дизельном топливе.</w:t>
      </w:r>
    </w:p>
    <w:p w14:paraId="5ECFBE8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Поэтому впредь до получения удовлетворительных результатов работы мотора М-17Т на дизельном топливе, в танки Т-34 выпускаемые заводом № 112, будут устанавливаться моторы, работающие на бензине.</w:t>
      </w:r>
    </w:p>
    <w:p w14:paraId="62CDF57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Одновременно ведутся работы по переводу мотора на топлива с повышенным удельным весом (керосин, лигроин), как резервный вид топлива на случай затруднений в получении бензинов КБ-70 и Б-70».</w:t>
      </w:r>
    </w:p>
    <w:p w14:paraId="124E088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Между тем, выпуск тридцатьчетверок на заводах № 183 и СТЗ нарастал, хотя при этом стали возникать проблемы с качеством машин. Танк Т-34, имевший и без того большое число недоработок, в условиях военно- ного времени при увеличении программы производства и часто отсутствии необходимых материалов, естественно не становился лучше. В худшую сторону по качеству продукции отмечались сталинградцы, о чем уже говорилось выше. Например, уже 9 августа 1941 года военпред СТЗ Левин сообщал директору завода Дульки- ну о том что за последнее время при испытании Т-34 обнаружилось большое количество дефектов, основными из </w:t>
      </w:r>
      <w:r w:rsidRPr="00640820">
        <w:rPr>
          <w:rFonts w:ascii="Times New Roman" w:hAnsi="Times New Roman"/>
          <w:color w:val="000000" w:themeColor="text1"/>
          <w:sz w:val="16"/>
          <w:szCs w:val="16"/>
        </w:rPr>
        <w:lastRenderedPageBreak/>
        <w:t>которых были заедание в кронштейнах тормозных лент (при этом машина теряла управление, а лента загоралась), массовый скол зубьев шестерен и течь из сальников коробки передач. При этом военпред просил «немедленно принять меры к устранению вышеперечисленных дефектов, так как указанные дефекты отражаются на выполнении программы, срывают транспорта и влияют на качество матчасти танка при эксплуатации».</w:t>
      </w:r>
    </w:p>
    <w:p w14:paraId="56AA156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обеспечения выпуска тридцатьчетверок в конструкторском бюро завода № 183 в спешном порядке велись работы по упрощению конструкции танка и удешевлению его производства. Особенно сильно это коснулось корпуса и башни машины.</w:t>
      </w:r>
    </w:p>
    <w:p w14:paraId="5603317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Дело в том, что особенностью конструкции танков Т-34 выпуска 1940 - первой половины 1941 годов являлось большое разнообразие толщин используемых в конструкции бронелистов: 10, 13, 15, 20, 25,'30, 40 и 45 мм. При этом все основные детали толщиной 40—45 мм по всем свариваемым в стык кромкам имели выборку в «четверть» и «замок», для выполнения которых требовалась строжка и фрезеровка, а, следовательно, использование дефицитных станков.</w:t>
      </w:r>
    </w:p>
    <w:p w14:paraId="538E369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Башня состояла из отдельных. очень сложных штампованных деталей, требовавших сложной механической обработки. Допуски в деталях были такими, что все требовали по кромкам механической обработки. Из-за отсутствия достаточного парка металлообрабатывающих станков нельзя было внедрить оптимальную технологию и большинство операций проводилось полукустарно, и только благодаря высокой квалификации рабочих и инженерно-технического персонала удалось в сравнительно короткий срок освоить в производстве детали танка Т-34.</w:t>
      </w:r>
    </w:p>
    <w:p w14:paraId="11D02E5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Поэтому с началом войны инженеры и конструкторы заводов № 183 и имени Ильича провели упрощение корпусных и башенных деталей, в ряде случаев отменили штамповку, строжку бортов, провели сокращение номенклатуры толщин бро- нелистов.</w:t>
      </w:r>
    </w:p>
    <w:p w14:paraId="7A8DCAD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Как уже говорилось выше, в июле 1941 года у завода № 183 возникли проблемы с траками, так как начались перебои с их поставками с СТЗ. Вот тут на помощь своему «младшему брату» пришел так и не увидевший свет Т-34М. Дело в том, что при организации серийного производства последнего планировалось отливать траки для него на Харьковском тракторном заводе, который для этого строил специальный цех. В июне 1941 года на ХТЗ поступила документация на литой трак Т-34М шириной 500 мм (а не 450 мм. как пишут некоторые авторы, в документах этот трак так и назывался «пятисотмиллиметровый»). имевший более развитую, по сравнению с тридцатьчетверо- чным, поверхность. В последующем за характерную форму грунтозаце- пов его стали именовать «шевронный трак». В начале июля Харьковский тракторный произвел первые отливки таких траков, и в конце месяца первые Т-34 завода № 183 получили гусеницы из «шевронных» траков. При этом военная приемка специально оговаривала, чтобы при отгрузке в войска танковые роты комплектовались машинами с одним типом траков («шевронный» или «плоский»), так как они между собой были не взаимозаменяемыми (12217).</w:t>
      </w:r>
    </w:p>
    <w:p w14:paraId="2CAC80A4"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70CFCCE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концу сентября 1941 г. численность легких танков Т-26 и БТ всех мо</w:t>
      </w:r>
      <w:r w:rsidRPr="00640820">
        <w:rPr>
          <w:rFonts w:ascii="Times New Roman" w:hAnsi="Times New Roman"/>
          <w:color w:val="000000" w:themeColor="text1"/>
          <w:sz w:val="16"/>
          <w:szCs w:val="16"/>
        </w:rPr>
        <w:softHyphen/>
        <w:t>дификаций в РККА составляла 5028 машин, из них свыше 4900 танков находилось в восточной части страны. Машины, участвовавшие в боевых действиях на советско-германском фронте, ис</w:t>
      </w:r>
      <w:r w:rsidRPr="00640820">
        <w:rPr>
          <w:rFonts w:ascii="Times New Roman" w:hAnsi="Times New Roman"/>
          <w:color w:val="000000" w:themeColor="text1"/>
          <w:sz w:val="16"/>
          <w:szCs w:val="16"/>
        </w:rPr>
        <w:softHyphen/>
        <w:t>пользовались до полного выхода их из строя по боевым повреждениям и техническому состоянию вплоть до конца 1944 г. (10703).</w:t>
      </w:r>
    </w:p>
    <w:p w14:paraId="6EF46BA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D370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сентября 1941 года на завод № 264 была эвакуирована основная масса оборудования, рабочих и ИТР с ХТЗ, в связи с чем заводу был утвержден план организации и производства танков Т-60 с началом выпуска с октября 1941 года (8850).</w:t>
      </w:r>
    </w:p>
    <w:p w14:paraId="17897E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0D0F1C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сентября 1941 20-мм пушки начали устанавли</w:t>
      </w:r>
      <w:r w:rsidRPr="00640820">
        <w:rPr>
          <w:rFonts w:ascii="Times New Roman" w:hAnsi="Times New Roman"/>
          <w:color w:val="000000" w:themeColor="text1"/>
          <w:sz w:val="16"/>
          <w:szCs w:val="16"/>
        </w:rPr>
        <w:softHyphen/>
        <w:t>ваться в танки Т-60Ш, но только 1 декабря артсистема удовлетворила всем требованиям бронетанкового управле</w:t>
      </w:r>
      <w:r w:rsidRPr="00640820">
        <w:rPr>
          <w:rFonts w:ascii="Times New Roman" w:hAnsi="Times New Roman"/>
          <w:color w:val="000000" w:themeColor="text1"/>
          <w:sz w:val="16"/>
          <w:szCs w:val="16"/>
        </w:rPr>
        <w:softHyphen/>
        <w:t>ния и была принята на вооружение под названием «20-мм автоматическая танковая пушка обр. 1941 г. с ленточным питанием», а 1 января 1942 г. она получила индекс ТНШ-1, или ТНШ-20 (Танковая Нудельмана-Шпитального) (10782).</w:t>
      </w:r>
    </w:p>
    <w:p w14:paraId="3AD8518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BDB4DE" w14:textId="77777777" w:rsidR="00F52A2A" w:rsidRPr="00640820" w:rsidRDefault="00F52A2A" w:rsidP="00640820">
      <w:pPr>
        <w:pStyle w:val="162"/>
        <w:shd w:val="clear" w:color="auto" w:fill="auto"/>
        <w:spacing w:line="240" w:lineRule="auto"/>
        <w:jc w:val="both"/>
        <w:rPr>
          <w:color w:val="000000" w:themeColor="text1"/>
          <w:sz w:val="16"/>
          <w:szCs w:val="16"/>
        </w:rPr>
      </w:pPr>
      <w:r w:rsidRPr="00640820">
        <w:rPr>
          <w:rFonts w:eastAsia="Calibri"/>
          <w:color w:val="000000" w:themeColor="text1"/>
          <w:sz w:val="16"/>
          <w:szCs w:val="16"/>
        </w:rPr>
        <w:t>В конце сентября 1941 года, в рамках подготовки корпусного произ</w:t>
      </w:r>
      <w:r w:rsidRPr="00640820">
        <w:rPr>
          <w:rFonts w:eastAsia="Calibri"/>
          <w:color w:val="000000" w:themeColor="text1"/>
          <w:sz w:val="16"/>
          <w:szCs w:val="16"/>
        </w:rPr>
        <w:softHyphen/>
        <w:t>водства к выпуску «060», КБ Коломенского машиностроительного заво</w:t>
      </w:r>
      <w:r w:rsidRPr="00640820">
        <w:rPr>
          <w:rFonts w:eastAsia="Calibri"/>
          <w:color w:val="000000" w:themeColor="text1"/>
          <w:sz w:val="16"/>
          <w:szCs w:val="16"/>
        </w:rPr>
        <w:softHyphen/>
        <w:t>да во главе с М. Н. Щукиным разработало литую башню. Данную башню, которая могла устанавливаться как на Т-30, так и на Т-60, разработали как более технологичную в плане производства. Масса башни состави</w:t>
      </w:r>
      <w:r w:rsidRPr="00640820">
        <w:rPr>
          <w:rFonts w:eastAsia="Calibri"/>
          <w:color w:val="000000" w:themeColor="text1"/>
          <w:sz w:val="16"/>
          <w:szCs w:val="16"/>
        </w:rPr>
        <w:softHyphen/>
        <w:t>ла 311 кг (сварная весила 203 кг), толщина стенок составила 22—24 мм. Опытную башню испытали обстрелом, в ходе которого выяснилось, что она не пробивается из 12,7-мм пулемета ДШК с расстояния 100 метров. К 29 сентября завод изготовил 14 литых башен, по которым было дано распоряжение установить их на корпуса и передать заводу № 37. Данное распоряжение подтверждалось служебной запиской от 7 октября, но что происходило дальше, неизвестно. В октябре завод № 37 эвакуировался в Свердловск, про выпущенные на новом месте танки с литыми башня</w:t>
      </w:r>
      <w:r w:rsidRPr="00640820">
        <w:rPr>
          <w:rFonts w:eastAsia="Calibri"/>
          <w:color w:val="000000" w:themeColor="text1"/>
          <w:sz w:val="16"/>
          <w:szCs w:val="16"/>
        </w:rPr>
        <w:softHyphen/>
        <w:t>ми информация отсутствует. С большой долей вероятности башни так и остались в Коломне, а оттуда отправились в Киров (17485).</w:t>
      </w:r>
    </w:p>
    <w:p w14:paraId="63D05AEC" w14:textId="77777777" w:rsidR="00F52A2A" w:rsidRPr="00640820" w:rsidRDefault="00F52A2A" w:rsidP="00640820">
      <w:pPr>
        <w:pStyle w:val="ae"/>
        <w:spacing w:before="0" w:after="0"/>
        <w:jc w:val="both"/>
        <w:rPr>
          <w:color w:val="000000" w:themeColor="text1"/>
          <w:sz w:val="16"/>
          <w:szCs w:val="16"/>
        </w:rPr>
      </w:pPr>
    </w:p>
    <w:p w14:paraId="4B3D0B5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сентября 1941 линия фронта подошла почти вплотную к стенам Ижорского завода, который прекра</w:t>
      </w:r>
      <w:r w:rsidRPr="00640820">
        <w:rPr>
          <w:rFonts w:ascii="Times New Roman" w:hAnsi="Times New Roman"/>
          <w:color w:val="000000" w:themeColor="text1"/>
          <w:sz w:val="16"/>
          <w:szCs w:val="16"/>
        </w:rPr>
        <w:softHyphen/>
        <w:t>щает подачу новых бронекорпусов и башен на ЛКЗ. 18 октября 1941 г. в Ленинграде был собран последний танк КВ. Все</w:t>
      </w:r>
      <w:r w:rsidRPr="00640820">
        <w:rPr>
          <w:rFonts w:ascii="Times New Roman" w:hAnsi="Times New Roman"/>
          <w:color w:val="000000" w:themeColor="text1"/>
          <w:sz w:val="16"/>
          <w:szCs w:val="16"/>
        </w:rPr>
        <w:softHyphen/>
        <w:t>го за 1941 г. Кировский завод изготовил и передал Крас</w:t>
      </w:r>
      <w:r w:rsidRPr="00640820">
        <w:rPr>
          <w:rFonts w:ascii="Times New Roman" w:hAnsi="Times New Roman"/>
          <w:color w:val="000000" w:themeColor="text1"/>
          <w:sz w:val="16"/>
          <w:szCs w:val="16"/>
        </w:rPr>
        <w:softHyphen/>
        <w:t>ной Армии 885 тяжелых танков (10782).</w:t>
      </w:r>
    </w:p>
    <w:p w14:paraId="7FE9E3B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D304F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конца сен</w:t>
      </w:r>
      <w:r w:rsidRPr="00640820">
        <w:rPr>
          <w:rFonts w:ascii="Times New Roman" w:hAnsi="Times New Roman"/>
          <w:color w:val="000000" w:themeColor="text1"/>
          <w:sz w:val="16"/>
          <w:szCs w:val="16"/>
        </w:rPr>
        <w:softHyphen/>
        <w:t>тября 1941 было переделано 40 пушек Ф-34 для установки в КВ, но установка орудий в башню танка КВ была сопряжена с не</w:t>
      </w:r>
      <w:r w:rsidRPr="00640820">
        <w:rPr>
          <w:rFonts w:ascii="Times New Roman" w:hAnsi="Times New Roman"/>
          <w:color w:val="000000" w:themeColor="text1"/>
          <w:sz w:val="16"/>
          <w:szCs w:val="16"/>
        </w:rPr>
        <w:softHyphen/>
        <w:t>которыми трудностями, требующими некоторой передел</w:t>
      </w:r>
      <w:r w:rsidRPr="00640820">
        <w:rPr>
          <w:rFonts w:ascii="Times New Roman" w:hAnsi="Times New Roman"/>
          <w:color w:val="000000" w:themeColor="text1"/>
          <w:sz w:val="16"/>
          <w:szCs w:val="16"/>
        </w:rPr>
        <w:softHyphen/>
        <w:t>ки люльки орудия. Поэтому опыт не прижился, а с 1 ок</w:t>
      </w:r>
      <w:r w:rsidRPr="00640820">
        <w:rPr>
          <w:rFonts w:ascii="Times New Roman" w:hAnsi="Times New Roman"/>
          <w:color w:val="000000" w:themeColor="text1"/>
          <w:sz w:val="16"/>
          <w:szCs w:val="16"/>
        </w:rPr>
        <w:softHyphen/>
        <w:t>тября на вооружение танка КВ было принято 76,2-мм тан</w:t>
      </w:r>
      <w:r w:rsidRPr="00640820">
        <w:rPr>
          <w:rFonts w:ascii="Times New Roman" w:hAnsi="Times New Roman"/>
          <w:color w:val="000000" w:themeColor="text1"/>
          <w:sz w:val="16"/>
          <w:szCs w:val="16"/>
        </w:rPr>
        <w:softHyphen/>
        <w:t>ковое орудие ЗИС-5 конструкции ОКБ № 92, представлявшее собой определенный гибрид откатных частей ору</w:t>
      </w:r>
      <w:r w:rsidRPr="00640820">
        <w:rPr>
          <w:rFonts w:ascii="Times New Roman" w:hAnsi="Times New Roman"/>
          <w:color w:val="000000" w:themeColor="text1"/>
          <w:sz w:val="16"/>
          <w:szCs w:val="16"/>
        </w:rPr>
        <w:softHyphen/>
        <w:t>дия Ф-34, помещенных в ложе орудия Ф-27. Так, по окончательному варианту, утвержденному техсоветом НКВ, ЗИС-5 отличалась от Ф-34 в основном конструкцией некоторых элементов люльки и бронемас-кой. Поскольку вопрос о снятии орудия Ф-32 с производ</w:t>
      </w:r>
      <w:r w:rsidRPr="00640820">
        <w:rPr>
          <w:rFonts w:ascii="Times New Roman" w:hAnsi="Times New Roman"/>
          <w:color w:val="000000" w:themeColor="text1"/>
          <w:sz w:val="16"/>
          <w:szCs w:val="16"/>
        </w:rPr>
        <w:softHyphen/>
        <w:t>ства был решен, ЗИС-5 последнего варианта была приня</w:t>
      </w:r>
      <w:r w:rsidRPr="00640820">
        <w:rPr>
          <w:rFonts w:ascii="Times New Roman" w:hAnsi="Times New Roman"/>
          <w:color w:val="000000" w:themeColor="text1"/>
          <w:sz w:val="16"/>
          <w:szCs w:val="16"/>
        </w:rPr>
        <w:softHyphen/>
        <w:t>та на вооружение 30 сентября 1941 г. Валовое производст</w:t>
      </w:r>
      <w:r w:rsidRPr="00640820">
        <w:rPr>
          <w:rFonts w:ascii="Times New Roman" w:hAnsi="Times New Roman"/>
          <w:color w:val="000000" w:themeColor="text1"/>
          <w:sz w:val="16"/>
          <w:szCs w:val="16"/>
        </w:rPr>
        <w:softHyphen/>
        <w:t>во пушек ЗИС-5 началось с 1 октября 1941 г. на заводах № 92 и № 9 (на который эвакуировалось танковое произ</w:t>
      </w:r>
      <w:r w:rsidRPr="00640820">
        <w:rPr>
          <w:rFonts w:ascii="Times New Roman" w:hAnsi="Times New Roman"/>
          <w:color w:val="000000" w:themeColor="text1"/>
          <w:sz w:val="16"/>
          <w:szCs w:val="16"/>
        </w:rPr>
        <w:softHyphen/>
        <w:t>водство ЛКЗ) и продолжалось до 21 декабря 1943 г. (10782).</w:t>
      </w:r>
    </w:p>
    <w:p w14:paraId="1C72EEE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4490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сентября 1941 года САУ ЗИС-30 начали поступать в войска. Ими были укомплектованы противотанковые батареи 20 танковых бригад Западного и Юго-Западного фронтов. В первых же боях, ЗИС-30 (Это название самоходки почти было не известно в войсках. Обычно в документах ее именовали так же, как и орудие ЗИС-2: "57-мм пушка ПТО") САУ хорошо себя зарекомендовали. Это было в первую очередь связано с тем, что в 1941 году 57-мм пушка ЗИС-2 пробивала броню всех типов бронетехники Вермахта. А подвижность установки давала возможность без проблем менять огневую позицию. С другой стороны, в ходе интенсивного применения у самоходки выявился целый ряд недостатков таких, как плохая устойчивость, перегруженность ходовой части, малый запас хода, малый боекомплект (3862).</w:t>
      </w:r>
    </w:p>
    <w:p w14:paraId="615A04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57ACD4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сентября 1941 года самоходки ЗИС-30 стали от</w:t>
      </w:r>
      <w:r w:rsidRPr="00640820">
        <w:rPr>
          <w:rFonts w:ascii="Times New Roman" w:hAnsi="Times New Roman"/>
          <w:color w:val="000000" w:themeColor="text1"/>
          <w:sz w:val="16"/>
          <w:szCs w:val="16"/>
        </w:rPr>
        <w:softHyphen/>
        <w:t>гружать в войска. Все эти машины шли на вооружение батарей ПТО (по 6 ЗИС-30 в каждой) в танковых бригадах, направля</w:t>
      </w:r>
      <w:r w:rsidRPr="00640820">
        <w:rPr>
          <w:rFonts w:ascii="Times New Roman" w:hAnsi="Times New Roman"/>
          <w:color w:val="000000" w:themeColor="text1"/>
          <w:sz w:val="16"/>
          <w:szCs w:val="16"/>
        </w:rPr>
        <w:softHyphen/>
        <w:t>емых на Западный и Брянский фронты. Всего по разным данным, эти самоходки получили от 15 по 19 танковых бригад: в боевых документах того времени до</w:t>
      </w:r>
      <w:r w:rsidRPr="00640820">
        <w:rPr>
          <w:rFonts w:ascii="Times New Roman" w:hAnsi="Times New Roman"/>
          <w:color w:val="000000" w:themeColor="text1"/>
          <w:sz w:val="16"/>
          <w:szCs w:val="16"/>
        </w:rPr>
        <w:softHyphen/>
        <w:t>вольно сложно отличить самоходную 57-мм пушку ЗИС-2 от буксируемой. Де</w:t>
      </w:r>
      <w:r w:rsidRPr="00640820">
        <w:rPr>
          <w:rFonts w:ascii="Times New Roman" w:hAnsi="Times New Roman"/>
          <w:color w:val="000000" w:themeColor="text1"/>
          <w:sz w:val="16"/>
          <w:szCs w:val="16"/>
        </w:rPr>
        <w:softHyphen/>
        <w:t>ло в том, что заводской индекс ЗИС-30 не был известен в войсках и поэтому в воен</w:t>
      </w:r>
      <w:r w:rsidRPr="00640820">
        <w:rPr>
          <w:rFonts w:ascii="Times New Roman" w:hAnsi="Times New Roman"/>
          <w:color w:val="000000" w:themeColor="text1"/>
          <w:sz w:val="16"/>
          <w:szCs w:val="16"/>
        </w:rPr>
        <w:softHyphen/>
        <w:t>ных сводках эти машины чаще всего проходили как «57-мм пушки ПТО» - точно так же как и 57-мм пушки ЗИС-2 на поле</w:t>
      </w:r>
      <w:r w:rsidRPr="00640820">
        <w:rPr>
          <w:rFonts w:ascii="Times New Roman" w:hAnsi="Times New Roman"/>
          <w:color w:val="000000" w:themeColor="text1"/>
          <w:sz w:val="16"/>
          <w:szCs w:val="16"/>
        </w:rPr>
        <w:softHyphen/>
        <w:t>вых лафетах. Только в отдельных доку</w:t>
      </w:r>
      <w:r w:rsidRPr="00640820">
        <w:rPr>
          <w:rFonts w:ascii="Times New Roman" w:hAnsi="Times New Roman"/>
          <w:color w:val="000000" w:themeColor="text1"/>
          <w:sz w:val="16"/>
          <w:szCs w:val="16"/>
        </w:rPr>
        <w:softHyphen/>
        <w:t>ментах они упоминаются как «самоход</w:t>
      </w:r>
      <w:r w:rsidRPr="00640820">
        <w:rPr>
          <w:rFonts w:ascii="Times New Roman" w:hAnsi="Times New Roman"/>
          <w:color w:val="000000" w:themeColor="text1"/>
          <w:sz w:val="16"/>
          <w:szCs w:val="16"/>
        </w:rPr>
        <w:softHyphen/>
        <w:t>ные 57-мм пушки ПТО» или «57-мм пуш</w:t>
      </w:r>
      <w:r w:rsidRPr="00640820">
        <w:rPr>
          <w:rFonts w:ascii="Times New Roman" w:hAnsi="Times New Roman"/>
          <w:color w:val="000000" w:themeColor="text1"/>
          <w:sz w:val="16"/>
          <w:szCs w:val="16"/>
        </w:rPr>
        <w:softHyphen/>
        <w:t>ки на тягачах». В первых же боях ЗИС-30 показали се</w:t>
      </w:r>
      <w:r w:rsidRPr="00640820">
        <w:rPr>
          <w:rFonts w:ascii="Times New Roman" w:hAnsi="Times New Roman"/>
          <w:color w:val="000000" w:themeColor="text1"/>
          <w:sz w:val="16"/>
          <w:szCs w:val="16"/>
        </w:rPr>
        <w:softHyphen/>
        <w:t>бя очень хорошо, несмотря на то, что по</w:t>
      </w:r>
      <w:r w:rsidRPr="00640820">
        <w:rPr>
          <w:rFonts w:ascii="Times New Roman" w:hAnsi="Times New Roman"/>
          <w:color w:val="000000" w:themeColor="text1"/>
          <w:sz w:val="16"/>
          <w:szCs w:val="16"/>
        </w:rPr>
        <w:softHyphen/>
        <w:t>несли большие потери. Так, уже 1октября на пленуме артиллерийского комитета Главного артиллерийского управления (ГАУ) под председательством Э.А. Сателя, было доложено «об успешном боевом при</w:t>
      </w:r>
      <w:r w:rsidRPr="00640820">
        <w:rPr>
          <w:rFonts w:ascii="Times New Roman" w:hAnsi="Times New Roman"/>
          <w:color w:val="000000" w:themeColor="text1"/>
          <w:sz w:val="16"/>
          <w:szCs w:val="16"/>
        </w:rPr>
        <w:softHyphen/>
        <w:t>менении машин ЗИС-30». Однако при бо</w:t>
      </w:r>
      <w:r w:rsidRPr="00640820">
        <w:rPr>
          <w:rFonts w:ascii="Times New Roman" w:hAnsi="Times New Roman"/>
          <w:color w:val="000000" w:themeColor="text1"/>
          <w:sz w:val="16"/>
          <w:szCs w:val="16"/>
        </w:rPr>
        <w:softHyphen/>
        <w:t xml:space="preserve">лее длительной эксплуатации у самоходок выявилось множесшо недостатков. Так, к </w:t>
      </w:r>
      <w:r w:rsidRPr="00640820">
        <w:rPr>
          <w:rFonts w:ascii="Times New Roman" w:hAnsi="Times New Roman"/>
          <w:iCs/>
          <w:color w:val="000000" w:themeColor="text1"/>
          <w:sz w:val="16"/>
          <w:szCs w:val="16"/>
        </w:rPr>
        <w:t xml:space="preserve">15 </w:t>
      </w:r>
      <w:r w:rsidRPr="00640820">
        <w:rPr>
          <w:rFonts w:ascii="Times New Roman" w:hAnsi="Times New Roman"/>
          <w:color w:val="000000" w:themeColor="text1"/>
          <w:sz w:val="16"/>
          <w:szCs w:val="16"/>
        </w:rPr>
        <w:t xml:space="preserve">апреля </w:t>
      </w:r>
      <w:r w:rsidRPr="00640820">
        <w:rPr>
          <w:rFonts w:ascii="Times New Roman" w:hAnsi="Times New Roman"/>
          <w:iCs/>
          <w:color w:val="000000" w:themeColor="text1"/>
          <w:sz w:val="16"/>
          <w:szCs w:val="16"/>
        </w:rPr>
        <w:t xml:space="preserve">1942 </w:t>
      </w:r>
      <w:r w:rsidRPr="00640820">
        <w:rPr>
          <w:rFonts w:ascii="Times New Roman" w:hAnsi="Times New Roman"/>
          <w:color w:val="000000" w:themeColor="text1"/>
          <w:sz w:val="16"/>
          <w:szCs w:val="16"/>
        </w:rPr>
        <w:t>года в артиллерийский ко</w:t>
      </w:r>
      <w:r w:rsidRPr="00640820">
        <w:rPr>
          <w:rFonts w:ascii="Times New Roman" w:hAnsi="Times New Roman"/>
          <w:color w:val="000000" w:themeColor="text1"/>
          <w:sz w:val="16"/>
          <w:szCs w:val="16"/>
        </w:rPr>
        <w:softHyphen/>
        <w:t>митет ГАУ поступили отзывы из войско</w:t>
      </w:r>
      <w:r w:rsidRPr="00640820">
        <w:rPr>
          <w:rFonts w:ascii="Times New Roman" w:hAnsi="Times New Roman"/>
          <w:color w:val="000000" w:themeColor="text1"/>
          <w:sz w:val="16"/>
          <w:szCs w:val="16"/>
        </w:rPr>
        <w:softHyphen/>
        <w:t>вых частей на 57 мм противотанковые пуш</w:t>
      </w:r>
      <w:r w:rsidRPr="00640820">
        <w:rPr>
          <w:rFonts w:ascii="Times New Roman" w:hAnsi="Times New Roman"/>
          <w:color w:val="000000" w:themeColor="text1"/>
          <w:sz w:val="16"/>
          <w:szCs w:val="16"/>
        </w:rPr>
        <w:softHyphen/>
        <w:t>ки, ЗИС-2 и ЗИС-30. В отношении послед</w:t>
      </w:r>
      <w:r w:rsidRPr="00640820">
        <w:rPr>
          <w:rFonts w:ascii="Times New Roman" w:hAnsi="Times New Roman"/>
          <w:color w:val="000000" w:themeColor="text1"/>
          <w:sz w:val="16"/>
          <w:szCs w:val="16"/>
        </w:rPr>
        <w:softHyphen/>
        <w:t>ней, в частности, было сказано следующее: «Машина неустойчива, ходовая часть пере</w:t>
      </w:r>
      <w:r w:rsidRPr="00640820">
        <w:rPr>
          <w:rFonts w:ascii="Times New Roman" w:hAnsi="Times New Roman"/>
          <w:color w:val="000000" w:themeColor="text1"/>
          <w:sz w:val="16"/>
          <w:szCs w:val="16"/>
        </w:rPr>
        <w:softHyphen/>
        <w:t>гружена, особенно задние тележки, мал за</w:t>
      </w:r>
      <w:r w:rsidRPr="00640820">
        <w:rPr>
          <w:rFonts w:ascii="Times New Roman" w:hAnsi="Times New Roman"/>
          <w:color w:val="000000" w:themeColor="text1"/>
          <w:sz w:val="16"/>
          <w:szCs w:val="16"/>
        </w:rPr>
        <w:softHyphen/>
        <w:t>пас хода и возимый боекомплект, велики габариты, слаба защищенность моторной группы, не обеспечена связь расчета с во</w:t>
      </w:r>
      <w:r w:rsidRPr="00640820">
        <w:rPr>
          <w:rFonts w:ascii="Times New Roman" w:hAnsi="Times New Roman"/>
          <w:color w:val="000000" w:themeColor="text1"/>
          <w:sz w:val="16"/>
          <w:szCs w:val="16"/>
        </w:rPr>
        <w:softHyphen/>
        <w:t>дителем. Стрельба часто ведется с подня</w:t>
      </w:r>
      <w:r w:rsidRPr="00640820">
        <w:rPr>
          <w:rFonts w:ascii="Times New Roman" w:hAnsi="Times New Roman"/>
          <w:color w:val="000000" w:themeColor="text1"/>
          <w:sz w:val="16"/>
          <w:szCs w:val="16"/>
        </w:rPr>
        <w:softHyphen/>
        <w:t>тыми сошниками, так как нет времени на развертывание, при этом наблюдались слу</w:t>
      </w:r>
      <w:r w:rsidRPr="00640820">
        <w:rPr>
          <w:rFonts w:ascii="Times New Roman" w:hAnsi="Times New Roman"/>
          <w:color w:val="000000" w:themeColor="text1"/>
          <w:sz w:val="16"/>
          <w:szCs w:val="16"/>
        </w:rPr>
        <w:softHyphen/>
        <w:t>чаи опрокидывания машин». Тем не менее, при всех недостатках ЗИС-30 воевали и ус</w:t>
      </w:r>
      <w:r w:rsidRPr="00640820">
        <w:rPr>
          <w:rFonts w:ascii="Times New Roman" w:hAnsi="Times New Roman"/>
          <w:color w:val="000000" w:themeColor="text1"/>
          <w:sz w:val="16"/>
          <w:szCs w:val="16"/>
        </w:rPr>
        <w:softHyphen/>
        <w:t xml:space="preserve">пешно боролись с вражескими танками. Но их век оказался недолог. К лету </w:t>
      </w:r>
      <w:r w:rsidRPr="00640820">
        <w:rPr>
          <w:rFonts w:ascii="Times New Roman" w:hAnsi="Times New Roman"/>
          <w:iCs/>
          <w:color w:val="000000" w:themeColor="text1"/>
          <w:sz w:val="16"/>
          <w:szCs w:val="16"/>
        </w:rPr>
        <w:t xml:space="preserve">1942 </w:t>
      </w:r>
      <w:r w:rsidRPr="00640820">
        <w:rPr>
          <w:rFonts w:ascii="Times New Roman" w:hAnsi="Times New Roman"/>
          <w:color w:val="000000" w:themeColor="text1"/>
          <w:sz w:val="16"/>
          <w:szCs w:val="16"/>
        </w:rPr>
        <w:t>года в войсках практически не осталось ЗИС-30. Часть из них была потеряна в бо</w:t>
      </w:r>
      <w:r w:rsidRPr="00640820">
        <w:rPr>
          <w:rFonts w:ascii="Times New Roman" w:hAnsi="Times New Roman"/>
          <w:color w:val="000000" w:themeColor="text1"/>
          <w:sz w:val="16"/>
          <w:szCs w:val="16"/>
        </w:rPr>
        <w:softHyphen/>
        <w:t>ях, а часть вышла из строя по причине по</w:t>
      </w:r>
      <w:r w:rsidRPr="00640820">
        <w:rPr>
          <w:rFonts w:ascii="Times New Roman" w:hAnsi="Times New Roman"/>
          <w:color w:val="000000" w:themeColor="text1"/>
          <w:sz w:val="16"/>
          <w:szCs w:val="16"/>
        </w:rPr>
        <w:softHyphen/>
        <w:t>ломок.(11089).</w:t>
      </w:r>
    </w:p>
    <w:p w14:paraId="6321662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596F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сентября 1941 г. самоходки ЗИС-30 начали поступать в войска. Поскольку штатов самоходных частей не было, все они шли на укомплектование батарей ПТО в тан</w:t>
      </w:r>
      <w:r w:rsidRPr="00640820">
        <w:rPr>
          <w:rFonts w:ascii="Times New Roman" w:hAnsi="Times New Roman"/>
          <w:color w:val="000000" w:themeColor="text1"/>
          <w:sz w:val="16"/>
          <w:szCs w:val="16"/>
        </w:rPr>
        <w:softHyphen/>
        <w:t>ковые бригады Западного и Юго-Западного фронтов. Всего ими было укомплектовано около 20 танковых бригад. В до</w:t>
      </w:r>
      <w:r w:rsidRPr="00640820">
        <w:rPr>
          <w:rFonts w:ascii="Times New Roman" w:hAnsi="Times New Roman"/>
          <w:color w:val="000000" w:themeColor="text1"/>
          <w:sz w:val="16"/>
          <w:szCs w:val="16"/>
        </w:rPr>
        <w:softHyphen/>
        <w:t>кументах того времени довольно сложно отличить машину ЗИС-30 от буксируемой 57-мм пушки ЗИС-2. Дело в том, что заводской индекс ЗИС-30 не был известен в войсках, и поэтому в военных сводках все орудия ЗИС-2 и САУ ЗИС-30 проходили как «57-мм пушки ПТО». Лишь в отдель</w:t>
      </w:r>
      <w:r w:rsidRPr="00640820">
        <w:rPr>
          <w:rFonts w:ascii="Times New Roman" w:hAnsi="Times New Roman"/>
          <w:color w:val="000000" w:themeColor="text1"/>
          <w:sz w:val="16"/>
          <w:szCs w:val="16"/>
        </w:rPr>
        <w:softHyphen/>
        <w:t>ных документах есть упоминания о «самоходных 57-мм пушках ПТО» или «57-мм пушках на тракторном лафете».</w:t>
      </w:r>
    </w:p>
    <w:p w14:paraId="69254ED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Они имели массу недостатков. Прыгали при стрельбе, сбивая наводку, обладали недостаточной проходимостью, плохим балансом. Но в первых же боях ЗИС-30 показали себя очень хорошо. Так, уже 1 октября на пленуме артилле</w:t>
      </w:r>
      <w:r w:rsidRPr="00640820">
        <w:rPr>
          <w:rFonts w:ascii="Times New Roman" w:hAnsi="Times New Roman"/>
          <w:color w:val="000000" w:themeColor="text1"/>
          <w:sz w:val="16"/>
          <w:szCs w:val="16"/>
        </w:rPr>
        <w:softHyphen/>
        <w:t>рийского комитета Главного артиллерийского управления (ГАУ) под председательством Э.А. Сателя было доложено «об успешном боевом применении машин ЗИС-30». Однако при более длительной эксплуатации техническое несовер</w:t>
      </w:r>
      <w:r w:rsidRPr="00640820">
        <w:rPr>
          <w:rFonts w:ascii="Times New Roman" w:hAnsi="Times New Roman"/>
          <w:color w:val="000000" w:themeColor="text1"/>
          <w:sz w:val="16"/>
          <w:szCs w:val="16"/>
        </w:rPr>
        <w:softHyphen/>
        <w:t>шенство машин давало о себе знать. Так, к 15 апреля 1942 г. в арткоме ГАУ накопилось большое число нелестных отзы</w:t>
      </w:r>
      <w:r w:rsidRPr="00640820">
        <w:rPr>
          <w:rFonts w:ascii="Times New Roman" w:hAnsi="Times New Roman"/>
          <w:color w:val="000000" w:themeColor="text1"/>
          <w:sz w:val="16"/>
          <w:szCs w:val="16"/>
        </w:rPr>
        <w:softHyphen/>
        <w:t>вов из войсковых частей на 57-мм противотанковые пуш</w:t>
      </w:r>
      <w:r w:rsidRPr="00640820">
        <w:rPr>
          <w:rFonts w:ascii="Times New Roman" w:hAnsi="Times New Roman"/>
          <w:color w:val="000000" w:themeColor="text1"/>
          <w:sz w:val="16"/>
          <w:szCs w:val="16"/>
        </w:rPr>
        <w:softHyphen/>
        <w:t>ки, ЗИС-2 и ЗИС-30. В отношении последней, в частнос</w:t>
      </w:r>
      <w:r w:rsidRPr="00640820">
        <w:rPr>
          <w:rFonts w:ascii="Times New Roman" w:hAnsi="Times New Roman"/>
          <w:color w:val="000000" w:themeColor="text1"/>
          <w:sz w:val="16"/>
          <w:szCs w:val="16"/>
        </w:rPr>
        <w:softHyphen/>
        <w:t>ти, было сказано следующее: «Машина неустойчива, ходо</w:t>
      </w:r>
      <w:r w:rsidRPr="00640820">
        <w:rPr>
          <w:rFonts w:ascii="Times New Roman" w:hAnsi="Times New Roman"/>
          <w:color w:val="000000" w:themeColor="text1"/>
          <w:sz w:val="16"/>
          <w:szCs w:val="16"/>
        </w:rPr>
        <w:softHyphen/>
        <w:t>вая часть перегружена, особенно задние тележки, мал запас хода и возимый боекомплект, велики габариты, слаба защи</w:t>
      </w:r>
      <w:r w:rsidRPr="00640820">
        <w:rPr>
          <w:rFonts w:ascii="Times New Roman" w:hAnsi="Times New Roman"/>
          <w:color w:val="000000" w:themeColor="text1"/>
          <w:sz w:val="16"/>
          <w:szCs w:val="16"/>
        </w:rPr>
        <w:softHyphen/>
        <w:t>щенность моторной группы, не обеспечена связь расчета с во</w:t>
      </w:r>
      <w:r w:rsidRPr="00640820">
        <w:rPr>
          <w:rFonts w:ascii="Times New Roman" w:hAnsi="Times New Roman"/>
          <w:color w:val="000000" w:themeColor="text1"/>
          <w:sz w:val="16"/>
          <w:szCs w:val="16"/>
        </w:rPr>
        <w:softHyphen/>
        <w:t>дителем. Стрельба часто ведется с поднятыми сошниками, так как нет времени на развертывание, при этом наблюда</w:t>
      </w:r>
      <w:r w:rsidRPr="00640820">
        <w:rPr>
          <w:rFonts w:ascii="Times New Roman" w:hAnsi="Times New Roman"/>
          <w:color w:val="000000" w:themeColor="text1"/>
          <w:sz w:val="16"/>
          <w:szCs w:val="16"/>
        </w:rPr>
        <w:softHyphen/>
        <w:t xml:space="preserve">лись случаи опрокидывания машин*. Тем не менее при всех отмеченных недостатках ЗИС-30 </w:t>
      </w:r>
      <w:r w:rsidRPr="00640820">
        <w:rPr>
          <w:rFonts w:ascii="Times New Roman" w:hAnsi="Times New Roman"/>
          <w:color w:val="000000" w:themeColor="text1"/>
          <w:sz w:val="16"/>
          <w:szCs w:val="16"/>
        </w:rPr>
        <w:lastRenderedPageBreak/>
        <w:t>воевали и успешно боро</w:t>
      </w:r>
      <w:r w:rsidRPr="00640820">
        <w:rPr>
          <w:rFonts w:ascii="Times New Roman" w:hAnsi="Times New Roman"/>
          <w:color w:val="000000" w:themeColor="text1"/>
          <w:sz w:val="16"/>
          <w:szCs w:val="16"/>
        </w:rPr>
        <w:softHyphen/>
        <w:t>лись с вражескими танками под Москвой. К лету 1942 г. ЗИС-30 практически не осталось в вой</w:t>
      </w:r>
      <w:r w:rsidRPr="00640820">
        <w:rPr>
          <w:rFonts w:ascii="Times New Roman" w:hAnsi="Times New Roman"/>
          <w:color w:val="000000" w:themeColor="text1"/>
          <w:sz w:val="16"/>
          <w:szCs w:val="16"/>
        </w:rPr>
        <w:softHyphen/>
        <w:t>сках. Часть из них была потеряна в боях, а часть вышла из строя по причине поломок (11417).</w:t>
      </w:r>
    </w:p>
    <w:p w14:paraId="574F95D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33D78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конца сентября 1941 завод № 189 изготовил 51 БА-10М (все линейные, так как радиостанций не было) и еще 27 сумели собрать за октябрь (из них 7 радийных) (11284).</w:t>
      </w:r>
    </w:p>
    <w:p w14:paraId="16E05D5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6A9446" w14:textId="77777777" w:rsidR="000A728B" w:rsidRPr="00640820" w:rsidRDefault="000A728B"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конце сентября 1941 года предоставленные англичанами данные о танках, которые предполагалось отправить первым конвоем, ещё больше могут запутать исследователей. Дело в том, что в них указан некий «Лёгкий танк марка 8», и такое обозначение носил танк, более известный как «Харри Гопкинс». Впрочем, указанные тактико-технические характеристики однозначно говорили о том, что речь идёт всё-таки о «Тетрархе». В документе указывалось, что с конвоем PQ-1 придёт партия из 20 таких машин. Реально же с конвоем прибыло 20 «Матильд» и Валентайнов, а с более лёгкими машинами дело на некоторое время застопорилось (17648).</w:t>
      </w:r>
    </w:p>
    <w:p w14:paraId="6BC712F3" w14:textId="77777777" w:rsidR="000A728B" w:rsidRPr="00640820" w:rsidRDefault="000A728B" w:rsidP="00640820">
      <w:pPr>
        <w:pStyle w:val="129"/>
        <w:shd w:val="clear" w:color="auto" w:fill="auto"/>
        <w:spacing w:after="0" w:line="240" w:lineRule="auto"/>
        <w:jc w:val="both"/>
        <w:rPr>
          <w:color w:val="000000" w:themeColor="text1"/>
          <w:sz w:val="16"/>
          <w:szCs w:val="16"/>
        </w:rPr>
      </w:pPr>
    </w:p>
    <w:p w14:paraId="4F2EE61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сентября 1941 года в Курган был эвакуирован Кременчугский завод дорожных машин им. Сталина и стал базой для завода 761 (Завод № 761 (п/я 62).</w:t>
      </w:r>
    </w:p>
    <w:p w14:paraId="553DFD4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Курган, ул. Гоголевская, 58, 2ГУ НКМВ). Перед руководством завода встала задача не восстановления, а полная организация завода. Выпуск бензозаправщиков. За 1942 год завод освоил 7 видов изделий и в том числе: Рокс, 2 типа бензозаправщиков (Б3-38У и Б3-42), катки и бензозаправочную станцию (6837).</w:t>
      </w:r>
    </w:p>
    <w:p w14:paraId="4629C55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835CF6"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09922D7A"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7E74835" w14:textId="77777777" w:rsidR="00165A9C" w:rsidRPr="00640820" w:rsidRDefault="00165A9C" w:rsidP="00640820">
      <w:pPr>
        <w:widowControl w:val="0"/>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сентября появилось постановление ГКО о формировании 10 ночных легкобомбарди</w:t>
      </w:r>
      <w:r w:rsidRPr="00640820">
        <w:rPr>
          <w:rFonts w:ascii="Times New Roman" w:hAnsi="Times New Roman"/>
          <w:color w:val="000000" w:themeColor="text1"/>
          <w:sz w:val="16"/>
          <w:szCs w:val="16"/>
        </w:rPr>
        <w:softHyphen/>
        <w:t>ровочных полков (НЛБАП) на Р-5 и Р-Зет. Технику и личный состав решили набрать из летных школ, у «Осоавиахима» и ГВФ. Этот резерв выглядел внушительно: в школах на 20 сентября числились 1429 Р-5, еще 90 в различных тыловых частях. Около 400 машин сдал «Осоавиахим». Собирали полки очень поспешно. Эти авиачасти были значительно меньше довоенных. В них насчитывалось по 3 эскадрильи, а парк обычно не превышал три десятка машин (11936).</w:t>
      </w:r>
    </w:p>
    <w:p w14:paraId="0EC9FD83" w14:textId="77777777" w:rsidR="00165A9C" w:rsidRPr="00640820" w:rsidRDefault="00165A9C" w:rsidP="0064082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0F3F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сентября появилось постановление ГКО о формировании десяти ночных полков на Р-5 и Р-Зет. Технику и личный состав собирались взять из летных школ и училищ, у "Осоавиахима" и ГВФ. Этот резерв выглядел очень внушительно: в школах на 20 сентября числились 1429 Р-5 и 29 ССС, еще 90 Р-5 и четырьмя ССС обладали различные части в тылу. Около 400 машин сдал военным "Осоавиахим". Собирали полки очень поспешно. Личный состав комплектовался курсантами и инструкторами школ, оттуда же бралась и техника. Зачастую восстанавливались законсервированные или даже списанные бипланы - из двух-трех машин собирали одну. Полки военного времени были значительно меньше довоенных. В них насчитывалось всего по три эскадрильи, и парк обычно не превышал три десятка машин (12034).</w:t>
      </w:r>
    </w:p>
    <w:p w14:paraId="4200A1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D4147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сентября 1941 года, когда в составе 10-й танковой бригады вели тяжелые бои на Полтавщине были впервые использованы танки Т-60 (3862).</w:t>
      </w:r>
    </w:p>
    <w:p w14:paraId="3C575D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EADF6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сентября 1941 г., вскоре после того, как наступление на Ленинград захлебнулось, командование 1-го воздушного флота провело против находившихся в Кронштадте кораблей небольшой “блиц". В результате серии авиаударов линкор “Марат” получил сильнейшие повреждения и лег на грунт, а лидер “Минск” и эсминец “Стерегущий” затонули. Таким образом, уничтожив2 всего три корабля, немцы вывели из строя сразу 35 тяжелых орудий, что стало весьма заметным успехом. С учетом этого обстоятельства ликвидация советского флота в Ленинграде становилось не только необходимым шагом, но и наиболее правильным по критерию “стоимость-эффективность” способом приложения усилий (6414).</w:t>
      </w:r>
    </w:p>
    <w:p w14:paraId="72CB9B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8086AB1" w14:textId="77777777" w:rsidR="00DC6E91" w:rsidRPr="00640820" w:rsidRDefault="00DC6E91" w:rsidP="00640820">
      <w:pPr>
        <w:pStyle w:val="a8"/>
        <w:jc w:val="both"/>
        <w:rPr>
          <w:rFonts w:ascii="Times New Roman" w:hAnsi="Times New Roman" w:cs="Times New Roman"/>
          <w:color w:val="000000" w:themeColor="text1"/>
        </w:rPr>
      </w:pPr>
      <w:r w:rsidRPr="00640820">
        <w:rPr>
          <w:rFonts w:ascii="Times New Roman" w:hAnsi="Times New Roman" w:cs="Times New Roman"/>
          <w:color w:val="000000" w:themeColor="text1"/>
        </w:rPr>
        <w:t>В конце сентября 1941 немецкие войска начали наступление в северной части Крыма. Для сдерживания врага использовали все наличные силы авиации, и даже те средства, которые предназначались для нанесения высокоточных ударов в тылу противника. ТБ-3 теперь зачастую использовались лишь для подъема нагруженных И-16 — сами истребители с двумя бомбами по 250 кг взлететь не могли. После бомбардировки эти И-16 вступали в воздушные бои, что вело к тяжелым потерям. Так, 2 октября в схватке с немецкими истребителями погиб командир 32-й эскадрильи к-н А.В. Шубиков.</w:t>
      </w:r>
    </w:p>
    <w:p w14:paraId="45F1AC7E" w14:textId="77777777" w:rsidR="00DC6E91" w:rsidRPr="00640820" w:rsidRDefault="00DC6E91" w:rsidP="00640820">
      <w:pPr>
        <w:pStyle w:val="a8"/>
        <w:jc w:val="both"/>
        <w:rPr>
          <w:rFonts w:ascii="Times New Roman" w:hAnsi="Times New Roman" w:cs="Times New Roman"/>
          <w:color w:val="000000" w:themeColor="text1"/>
        </w:rPr>
      </w:pPr>
      <w:r w:rsidRPr="00640820">
        <w:rPr>
          <w:rFonts w:ascii="Times New Roman" w:hAnsi="Times New Roman" w:cs="Times New Roman"/>
          <w:color w:val="000000" w:themeColor="text1"/>
        </w:rPr>
        <w:t>До октября 1941 г. воздушным авианосцам, несущим И-16, удалось выполнить более 30-ти боевых вылетов. Сообщений о их дальнейшем использовании не отмечено (19109).</w:t>
      </w:r>
    </w:p>
    <w:p w14:paraId="63732D58" w14:textId="77777777" w:rsidR="00DC6E91" w:rsidRPr="00640820" w:rsidRDefault="00DC6E91" w:rsidP="00640820">
      <w:pPr>
        <w:pStyle w:val="a8"/>
        <w:jc w:val="both"/>
        <w:rPr>
          <w:rFonts w:ascii="Times New Roman" w:hAnsi="Times New Roman" w:cs="Times New Roman"/>
          <w:color w:val="000000" w:themeColor="text1"/>
        </w:rPr>
      </w:pPr>
    </w:p>
    <w:p w14:paraId="549F85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сентября 1941 состоялась единственная за всю войну атака катерников советского флота на соединение крупных надводных кораблей, которые обрушили град снарядов на защитников полуострова Сворбе (Сырве). Обстрел наших войск корабельной артиллерией требовал энергичного ответа. Командующий береговой обороной Балтийского района генерал-лейтенант Елисеев принял решение - атаковать врага торпедными катерами. Командир дивизиона капитан-лейтенант А.Н.Богданов выделил отряд в составе ТКА №67 (главстаршина А.И.Афанасьев), №83 (лейтенант Н.Н.Кременский), №111 (лейтенант Б.П.Ущев) и №164 (лейтенант В.Д.Налетов) под общим командованием капитан-лейтенанта В.П.Гуманенко. Это были все боеспособные на тот момент единицы, оставшиеся в распоряжении защитников архипелага. Обогнув Сырве, катерники направились к бухте Льгу, где находилась эскадра противника. В ее состав входили легкие крейсера “Лейпциг” и “Эмден” с миноносцами охранения “Т-7”, “Т-8” и “Т-11”, а неподалеку действовали еще и тральщики из состава 17-й флотилии.</w:t>
      </w:r>
    </w:p>
    <w:p w14:paraId="06CE75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Советские и немецкие описания дальнейших событий настолько разнятся между собой, что складывается впечатление, будто противники вели два отдельных боя, никак не связанных друг с другом. По отечественной версии, уже при выходе из Ирбенского пролива катера атаковал вражеский гидросамолет, который отогнали (и даже сбили) истребители прикрытия, затем отразившие попытку еще двух “стервятников” расправиться с их “подзащитными”. Но фашистские корабли, предупрежденные сигнальными ракетами гидросамолета, успели подготовиться к встрече и по атакующим был открыт ураганный огонь. Находившийся на катере Ущева командир отряда, оценив обстановку, приказал: “Боцман, сигналы: “Дым”, “Атака”. Прикрываясь дымза-весами, “Гэ-пятые” устремились вперед. ТКА Ущева и Афанасьева выпустили торпеды по крейсеру, Налетов и Кременский ударили по миноносцам. В это время огнем противника был подбит №83, потерявший ход и начавший тонуть. Катер Ущева в два захода снял с 83-го экипаж кроме радиста Евгения Бычинского, который задержался, чтобы уничтожить секретные документы. В этот момент на 111-й пошел немецкий миноносец и Ущев скомандовал “Полный вперед”. Бычинский все же успел ухватиться за кормовую консоль и остался висеть за кормой катера, отходившего на скорости более 50 узлов. Когда удалось оторваться от преследования, боцман ТКА №111 заметил чудом удержавшегося Бычинского и помог ему забраться на катер.</w:t>
      </w:r>
    </w:p>
    <w:p w14:paraId="39700D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Германский вариант гласит, что о выходе катеров “Лейпциг” предупредили тральщики, а в 9:17 (время - берлинское) сигнальщики “Эмдена” доложили об обнаружении противника, по которому уже через две минуты был открыт огонь из носовых орудий. Дистанция в этот момент составляла около 55 кабельтовых. После этого оба крейсера изменили курс, стремясь использовать всю мощь артиллерии. В 9:25 советские катера увеличили ход и начали атаку. “Лейпциг” открыл огонь по правофланговому ТКА, который ставил дымовую завесу. Интенсивная стрельба была не слишком точной, что позволило катерам выпустить торпеды. Но они прошли далеко от объектов атаки - немецкие наблюдатели заметили лишь один след. В 9:33 артиллеристы поразили одного из противников 150-мм снарядом. Миноносцы “Т-7”, “Т-8” и тральщик “М-151” некоторое время преследовали отходящие катера, но попали под огонь береговых батарей и отошли к главным силам. Крейсера претендовали на потопление двух нападавших.</w:t>
      </w:r>
    </w:p>
    <w:p w14:paraId="1AD19F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Несмотря на промахи, возвратившиеся в Мынту катерники доложили о блестящей победе. Получалось, что жертвами блестящей атаки оказались два потопленных миноносца плюс тяжело поврежденные крейсер и миноносец. Хотя победные реляции никак не соответствовали действительности, все же атака принесла вполне конкретные плоды - расстреляв в ходе ее отражения большое количество снарядов главного калибра, “Эмден” и “Лейпциг” ушли для пополнения боезапаса и больше в обстрелах наших войск на Сааремаа не участвовали (6002).</w:t>
      </w:r>
    </w:p>
    <w:p w14:paraId="76D9EF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1B9316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сентября 1941 к началу операции «Тайфун» - немецкого наступления на Москву осенью 1941 года - в составе противостоящих немецким ударным группировкам советским фронтам - Западном, Брянском и Резервном - имелось 897 танков, из них 133 Т-34 (Брянский - 245 и 59 соответственно, данные на 25 сентября 1941 года, Западный 475 и 51, на 1 октября, Резервный 177 и 23, на 2 октября). Как видно, тридцатьчетверки составляли 14,8% танкового парка трех фронтов. При этом танковые части Брянского фронта (3, 13 и 50-я армии, оперативная группа генерала Ермакова), несмотря на приказ Ставки ВГК от 10 сентября 1941 года о переходе войск к обороне, совместно с другими соединениями продолжали вести бои по решению частных задач. В результате, к 30 сентября (за 20 дней) понесли большие потери в личном составе и матчасти (202 танка, из них 6 КВ-1, 79 Т-34, 18 БТ и 99 Т-26). Например, к этому времени 108-я танковая дивизия, составлявшая резерв фронта (находилась в районе Брянска), имела всего 64% личного состава и 35 танков - 3 КВ-1, 15 Т-34, 1 БТ-7 и 16 Т-37.</w:t>
      </w:r>
    </w:p>
    <w:p w14:paraId="58A9A5D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Утром 30 сентября 1941 года немецкие части 2-й танковой группы Гуде- риана после артиллерийской подготовки перешли в наступление против войск Брянского фронта, прорвав оборону советских частей и развивая наступление на северо-восток. В результате, 1 октября 1941 года части опергруппы Ермакова были отброшены на восток, и начали неорганизованный отход в Хинельские леса (в районе Хинель) через единственный мост на всем заболоченном участке. Для того чтобы дать </w:t>
      </w:r>
      <w:r w:rsidRPr="00640820">
        <w:rPr>
          <w:rFonts w:ascii="Times New Roman" w:hAnsi="Times New Roman"/>
          <w:color w:val="000000" w:themeColor="text1"/>
          <w:sz w:val="16"/>
          <w:szCs w:val="16"/>
        </w:rPr>
        <w:lastRenderedPageBreak/>
        <w:t>возможность пехоте и тыловым частям переправиться, командир 150-я танковая бригада полковника Б. Баха- рова заняла оборону на расстоянии 6 км от переправы, и умело маневрируя, сдерживала противника в течение шести часов.</w:t>
      </w:r>
    </w:p>
    <w:p w14:paraId="7F4B3BD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прорыва из окружения в ночь на 5 октября танковый полк 150-й бригады предпринял атаку, в результате которой прорвался к штабу 9-й танковой дивизии немцев, отбросил немецкие части и проделал проход шириной до 8 км. Благодаря этому к утру 5 октября наши части вышли из окружения. В последующем части 150-й танковой бригады прикрывали отход группы генерал-майора Ермакова в направлении Поды.</w:t>
      </w:r>
    </w:p>
    <w:p w14:paraId="0444473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боях 30 сентября - 5 октября танкисты бригады проявили мужество и героизм. Так, в районе Глухова старший лейтенант Корниенко с тремя Т-34 вступил в бой с 14 немецкими танками, из них 4 подбил, а остальные обратил в бегство. Он же первым на Т-34 ворвался в расположение штаба 9-й танковой дивизии и уничтожил 15 автомашин.</w:t>
      </w:r>
    </w:p>
    <w:p w14:paraId="4A6C7F7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Лейтенант Кокурин, находясь в засаде у хутора Горелый на танке Т-34, подпустил к себе колонну из 40 танков и вступил в бой. В результате немцы, потеряв 8 машин, отошли. Несмотря на то, что его танк был подбит, Кокурин продолжал вести огонь. Подошедшие на помощь машины 150-й бригады застали танк Кокурина горящим и имеющим 33 пробоины.</w:t>
      </w:r>
    </w:p>
    <w:p w14:paraId="3F62CF7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Командир танкового батальона капитан Каплюченко в районе Хинели маневрируя 10 Т-34 в течение четырех часов сдерживал 60 танков противника, прикрывая строительство гати через болото. В ходе боя его тридцатьчетверки подбили 7 танков и несколько бронемашин противника.</w:t>
      </w:r>
    </w:p>
    <w:p w14:paraId="4CBD32B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полосе Западного и Резервного фронтов немецкое наступление началось 2 октября 1941 года. Несмотря на попытку контрудара резервами и спешно созданной группой генерала Болдина, основу которой составляли танковые части, советскому командованию не удалось задержать немецкое наступление. В результате, во второй половине дня 6 октября 1941 года части 3 и 4-й танковых групп соединились в районе Вязьмы, замкнув таким образом кольцо окружения войск Западного и Резервного фронтов. В кольцо попали 38 дивизий и девять танковых бригад двух фронтов.</w:t>
      </w:r>
    </w:p>
    <w:p w14:paraId="11504CD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Прорвав оборону наших войск, немцы стремились выйти на основные коммуникации, ведущие к Москве, с хода проскочить Можайскую линию обороны и ударами с севера и юга окружить Москву и овладеть ей. При этом немцы стремились не допустить создания Красной Армией нового фронта обороны на ближних подступах к Москве. Войска Западного и Брянского фронтов, понеся огромные потери, отходили на восток, изматывая противника на промежуточных оборонительных рубежах, пытаясь выиграть время для подготовки и сосредоточения резервов. Танковые части Красной Армии играли в этих боях очень важную роль.</w:t>
      </w:r>
    </w:p>
    <w:p w14:paraId="50A06ED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центральном направлении передовые немецкие части, используя кратчайшие пути — автостраду Минск-Москва и Варшавское шоссе - пытались с хода прорваться к Москве. К 13.30 7 октября 1941 года до 40 немецких танков с пехотой перерезали автостраду Москва—Минск, одновременно по шоссе Юхнов-Гжатск двигалась 14-я моторизованная дивизия немцев, которая к 9.50 8 октября передовыми частями вышла к Старой: Слободке в 5 км южнее автострады.</w:t>
      </w:r>
    </w:p>
    <w:p w14:paraId="35C99B7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Чтобы остановить противника и обеспечить занятие Можайского рубежа обороны отходящими войсками Западного фронта в район Можайска и Малоярославца из резерва Ставки ВГК спешно перебросили пять танковых бригад - 9, 17, 18,19 и 20-ю - и две стрелковые дивизии.</w:t>
      </w:r>
    </w:p>
    <w:p w14:paraId="125E81F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18-я танковая бригада, закончившая свое формирование во Владимире 5 октября 1941 года (имела в своем составе 62 танка, из них 29 Т-34), уже 7 октября, в чрезвычайно тяжелых условиях начала разгрузку на четырех станциях. Не успев полностью разгрузиться, бригада получила боевую задачу:</w:t>
      </w:r>
    </w:p>
    <w:p w14:paraId="4EABE69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«Ударом накоротке разгромить продвигающиеся на восток мелкие группы противника из района Гжатск».</w:t>
      </w:r>
    </w:p>
    <w:p w14:paraId="33BA529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Двигаясь по автостраде Москва - Минск на Гжатск, в 14.00 9 октября части бригады вступили в бой с немцами, и, ударом с флангов отбросили их на запад. В своем донесении начальник политотдела бригады старший батальонный комиссар Б. Захаров писал:</w:t>
      </w:r>
    </w:p>
    <w:p w14:paraId="0DFEA6D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"9.10.1941 г. 18-я танковая бригада в составе танкового полка и мотострелкового батальона вступила во встречный бой с частями противника, усиленными танками и мотопехотой, состоящей из эсесовцев (здесь наступала дивизии СС «Дас Райх». - Прим. автора). В этом бою танкисты и мотопехота бригады совместно с артиллеристами 509-го артполка уничтожили до 400 вражеских солдат и офицеров, 10 танков, 4 противотанковых орудия, 2 минометных батареи и несколько бронемашин.</w:t>
      </w:r>
    </w:p>
    <w:p w14:paraId="7D52A2D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Гусеницы наших танков, когда они вернулись из боя, были буквально забиты клочьями амуниции, остатками физически уничтоженных фашистских выродков... »</w:t>
      </w:r>
    </w:p>
    <w:p w14:paraId="663D5F0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дальнейшем движении вперед, наши танки были встречены организованным противотанковым огнем. и дальше продвинуться не смогли и заняли оборону. В этот же день немецкая пехота с танками пыталась обойти позиции бригады с флангов, но благодаря хорошо поставленной разведке это удалось своевременно обнаружить. Контратакой танков и мотострелков противник дважды в течение 9 октября отбрасывался назад, и к вечеру потерял 2 танка, бронемашину и до 100 человек убитыми и ранеными.</w:t>
      </w:r>
    </w:p>
    <w:p w14:paraId="5B7287F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документах штаба 18-й танковой бригады об этих боях говорилось следующее:</w:t>
      </w:r>
    </w:p>
    <w:p w14:paraId="53D82B4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«Бригада начала формироваться 5 октября 1941 года в городе Владимире Ивановской области. Личный состав - в основном из 48 и 34-й танковых дивизий. Матчасть - новая, за исключением батальона легких танков (получены после ремонта). Формирование закончено к 4 октября. На фронт прибыли 7-8 октября, действовала в районе Уварово-Можайск.</w:t>
      </w:r>
    </w:p>
    <w:p w14:paraId="27016DB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бой вступила 9 октября, имея в составе танкового полка: Т-34 - 29, БТ-7 - 3, БТ-5 - 24, БТ-2 - 5, Т-26 - 1, БА - 7. В боях 9-10 октября бригадой уничтожено 10 танков, 2 ПТО, до 400 солдат противника. Свои потери составили 10 танков подбитыми и сожженными и 2 ПТО на тягачах.</w:t>
      </w:r>
    </w:p>
    <w:p w14:paraId="7CDA789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октября ударами по флангам противник перерезал автостраду в районе Ивники и ударом с востока закончил окружение бригады. Бой длился с 11.00 до 20.00, со стороны противника действовало до 40 танков.</w:t>
      </w:r>
    </w:p>
    <w:p w14:paraId="64512FC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утру 12 октября мелкими группами части бригады вышли из боя и заняли оборону на рубеже Старь- ково, Кундасово. В строю имелось 5 Т-34, 1 БТ и 1 Т-26».</w:t>
      </w:r>
    </w:p>
    <w:p w14:paraId="19A2563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ходе боя 11 октября 1941 года у деревни Кузнечики, 7 танков Т-34 и 3 БТ-7 «не имея поддержки артиллерии, встретили 40 танков противника и более полка пехоты с ПТО</w:t>
      </w:r>
    </w:p>
    <w:p w14:paraId="03D3021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 до дивизиона полевой артиллерии. В этом неравном бою нашими танками и орудием ПТО мотострелкового батальона (САУ ЗИС-30. - Прим. автора) уничтожено 20 танков, 10 ПТО, до 600 человек, но и все наши танки погибли». В ходе этого боя погибли заместитель командира бригады, командир и комиссар танкового полка, командир батальона средних танков.</w:t>
      </w:r>
    </w:p>
    <w:p w14:paraId="5103A1A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19-я танковая бригада, выгрузившись 9-10 октября на станциях Ува- ровка и Колочь, 11 октября получила приказ «действовать на Гжатск с задачей овладеть городом». В тот же день бригада начала наступление по Можайскому шоссе, действуя без поддержки пехоты и артиллерии.</w:t>
      </w:r>
    </w:p>
    <w:p w14:paraId="135CEB6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следующий день противник перешел в контратаку, и бригада отошла в район Крюково. Потери за два дня боев составили: безвозвратно 21 Т-34, 11 Т-40, 1 ПТО на тягаче (ЗИС-30), 1 БА-10, подбито и эвакуировано 5 Т-34 и 11 Т-40.</w:t>
      </w:r>
    </w:p>
    <w:p w14:paraId="6EBF3AD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результате, несмотря на большие потери, своими активными действиями 18 и 19-я танковые бригады, не позволили подвижным частям противника развить наступление вдоль шоссе на Можайск.</w:t>
      </w:r>
    </w:p>
    <w:p w14:paraId="3941FA7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20-я танковая бригада с 11 по 13 октября обороняла рубеж на реке Протва в районе Вереи, обеспечивая развертывание на этом рубеже 33-й армии, а 14 октября ее перебросили в район Можайска для совместных действий с 18 и 19-й танковыми бригадами по обеспечению развертывания 5-й армии.</w:t>
      </w:r>
    </w:p>
    <w:p w14:paraId="33327A7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14-15 октября танковые бригады вели ожесточенные сдерживающие бои с противником на историческом Бородинском поле. С подходом 32-й стрелковой дивизии танковые бригады по приказанию начальника Можайского боевого участка были выведены из боя и заняли оборону на западной окраине Можайска.</w:t>
      </w:r>
    </w:p>
    <w:p w14:paraId="32916C9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«Отчете о боевых действиях 20-й танковой бригады» говорилось следующее:</w:t>
      </w:r>
    </w:p>
    <w:p w14:paraId="0FFFC7A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«Бригада формировалась во Владимире с 1 по 8 октября 1941 года, и к 7 октября танковый полк бригады имел 29 Т-34, прибывших с СТЗ вместе с экипажами. Остальная матчасть - 20 Т-26, 12 Т-40 и 8 57-мм ПТО на тягачах для мотострелкового батальона бригады - была получена по пути следования на фронт. Танки Т-26 прибывшие с рембазы. заводились с трудом, с буксировки, а 14 штук не заводились совершенно. Экипажи Т-26 были подготовлены слабо.</w:t>
      </w:r>
    </w:p>
    <w:p w14:paraId="629A3F1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октября бригада вошла в состав Можайского УР. 12 октября 7 Т-34 с мотострелковым батальоном действовали по приказанию командира УР на удалении 50 км от бригады в районе Вереи. Эта рота потеряла 3 танка сгоревшими, 1 подбит (эвакуирован), один вернулся в бригаду и 2 переданы командиру Верейской группы. Кроме того, подбиты и оставлены на территории противника 2 тягача Т-20 с 57-мм ПТО...</w:t>
      </w:r>
    </w:p>
    <w:p w14:paraId="5273E3E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октября бригада действовала тремя группами: первая Т-34 и 3 Т-40. вторая - 11 Т-34 и третья - 5 Т-34 - в направлении Бородино, Кукорев- ка, Нижняя Ельня. Потери: первая группа - 1 Т-40 (сгорел), вторая - 9 Т-34 подбиты огнем ПТО (эвакуированы), третья - 1 Т-34 попал в ров,</w:t>
      </w:r>
    </w:p>
    <w:p w14:paraId="42FBAAE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расстрелян, 1 Т-34 подбит, оставлен на территории противника, остальные отошли. Итого: потеряно 12 танков, из них 9 эвакуировано и 3 остались на поле боя».</w:t>
      </w:r>
    </w:p>
    <w:p w14:paraId="4BD8356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17-я танковая бригада (29 Т-34 и 32 Т-40) разгрузилась на станции Малоярославец 6 октября 1941 года, где получила задачу Ставки ВГК - «войти в подчинение командира 5-й гвардейской стрелковой дивизии и совместными действиями овладеть Юхнов».</w:t>
      </w:r>
    </w:p>
    <w:p w14:paraId="4085E0A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Бригада вступила в бой 9 октября, понеся при этом большие потери в людях и технике из-за отсутствия артиллерийской и авиационной поддержки. В частности, было потеряно 3 танка Т-34, из них 2 безвозвратно.</w:t>
      </w:r>
    </w:p>
    <w:p w14:paraId="6B08228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Отойдя ночью на новый рубеж обороны, утром 10 октября 1941 года 17-я танковая бригада снова вступила в бой, продолжавшийся до вечера. В этот день наиболее успешно действовал 17-й танковый полк, который огнем с места и неоднократными контратаками подбил и уничтожил 19 танков, 7 танкеток и 4 противотанковых орудия. Свои потери составили 12 человек убитыми, 25 ранеными, 4 танка Т-40, 3 Т-34, 2 противотанковых орудия.</w:t>
      </w:r>
    </w:p>
    <w:p w14:paraId="3221C0A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9-я танковая бригада (7 КВ, 22 Т-34, 32 Т-40) совместно с 20-й танковой</w:t>
      </w:r>
    </w:p>
    <w:p w14:paraId="53E7B8D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бригадой с 11 октября в течение трех дней обороняла рубеж на реке Прот- ва в районе Боровска. Сюда же, прикрывая отход частей 43-й армии на Малоярославецкий боевой, участок Можайской линии обороны, с боями отходила 17-я танковая бригада.</w:t>
      </w:r>
    </w:p>
    <w:p w14:paraId="7BAA7CC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связи с разрывом, образовавшимся между 43 и 49-й армиями, 9-я танковая бригада 13 октября получила приказ закрыть образовавшийся разрыв. Здесь бригада в течение двух дней сдерживала противника вплоть до подхода пехоты 43-й армии, действуя в основном вдоль старой Калужской дороги.</w:t>
      </w:r>
    </w:p>
    <w:p w14:paraId="5681970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 наибольшую известность получили действия 4-й (впоследствии 1-й гвардейской) танковой бригады полковника Катукова на тульском направлении (12217).</w:t>
      </w:r>
    </w:p>
    <w:p w14:paraId="448B3B43"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2C6D45C5"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771A5487"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829C7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сентября 1941 во время боев за Чанша был получен приказ о переброске самолетов к фронту, 2-я группа попала под Хунань. 29 сентября восьмерка СБ, возвращаясь на базу, заблудилась, и все самолеты совершили вынужденную посадку в поле. Группу пришлось пополнять техникой из 6-й группы. 1-я группа действовала совместно со 2-й. 23 сентября она бомбила позиции у озера Дунтинху. В октябре к боям за Чанша подключилась 11-я эскадрилья. В ходе этих боев японцам удалось заполучить совершенно исправный СБ. 29 сентября с боевого задания не вернулся самолет командира 2-й эскадрильи Чжан Тициня. Впоследствии выяснилось, что он стал предателем и сдался в плен на аэродроме Ханькоу. Далее советские бомбардировщики воевали мало, совершая эпизодические налеты на японцев во время каких-то ключевых операций. 8 января 1942 г. 2-я группа атаковала Хунань и вступила в воздушный бой с превосходящими силами противника. Два СБ были сбиты, три поврежденных совершили вынужденные посадки. 22 и 24 января эта же группа дважды бомбила аэродром в Аньнане. Группу СБ прикрывали "Летающие тигры" - американская добровольческая авиагруппа (2958).</w:t>
      </w:r>
    </w:p>
    <w:p w14:paraId="05D9B7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86F9EB4" w14:textId="77777777" w:rsidR="00D10CF3" w:rsidRPr="00640820" w:rsidRDefault="00D10CF3"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0D2810EC" w14:textId="77777777" w:rsidR="00D10CF3" w:rsidRPr="00640820" w:rsidRDefault="00D10CF3"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E694E1F" w14:textId="77777777" w:rsidR="00D10CF3" w:rsidRPr="00640820" w:rsidRDefault="00D10CF3" w:rsidP="00640820">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640820">
        <w:rPr>
          <w:rFonts w:ascii="Times New Roman" w:eastAsia="Times New Roman" w:hAnsi="Times New Roman"/>
          <w:color w:val="0070C0"/>
          <w:sz w:val="16"/>
          <w:szCs w:val="16"/>
          <w:lang w:eastAsia="ru-RU"/>
        </w:rPr>
        <w:t>Во второй половине сентября 1941 года на заводе №92 начался выпуск ЗИС-5 со стволами Ф-34. Как бы не хотелось сделать что-то более мощное, нежели Ф-34, но иных вариантов попросту не осталось. Первые 17 пушек ЗИС-5 прибыло на ЧТЗ в самом конце сентября 1941 года, а полноценное производство началось уже в октябре. При этом в НКТП решили подстраховаться, что привело к созданию орудия У-11, которое достойно отдельного повествования (2-272).</w:t>
      </w:r>
    </w:p>
    <w:p w14:paraId="78E6AD50" w14:textId="77777777" w:rsidR="00D10CF3" w:rsidRPr="00640820" w:rsidRDefault="00D10CF3" w:rsidP="00640820">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p>
    <w:p w14:paraId="0C5BE1F2"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3BF7CA1F"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83080AA" w14:textId="77777777" w:rsidR="002E1BEB" w:rsidRPr="00640820" w:rsidRDefault="002E1BE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Сентябрь 1941 Общее количество советских самолетов, уничтоженных с момента начала немецкого вторжения в Советский Союз 22 июня, достигает 7500. В течение месяца самолеты фронтовой авиации советских ВВС, приписанные к Западному фронту, совершили 4101 самолето-вылетов против немецких войск, готовящихся к наземному наступлению на Москву, сбросив 831 тонну (754 метрических тонны ) бомб и заявив, что 120 самолетов противника уничтожены на земле и 89 в воздухе. Самолеты, закрепленные за соседними Брянским и Резервным фронтами, сообщают об аналогичном уровне активности. 81-я бомбардировочная авиационная дивизия советской дальней бомбардировочной авиации наносит удары по базам для налетов Люфтваффе на Москву (20794).</w:t>
      </w:r>
    </w:p>
    <w:p w14:paraId="77C4DFF5" w14:textId="77777777" w:rsidR="002E1BEB" w:rsidRPr="00640820" w:rsidRDefault="002E1BEB" w:rsidP="00640820">
      <w:pPr>
        <w:spacing w:after="0" w:line="240" w:lineRule="auto"/>
        <w:jc w:val="both"/>
        <w:rPr>
          <w:rFonts w:ascii="Times New Roman" w:hAnsi="Times New Roman"/>
          <w:color w:val="0070C0"/>
          <w:sz w:val="16"/>
          <w:szCs w:val="16"/>
        </w:rPr>
      </w:pPr>
    </w:p>
    <w:p w14:paraId="43611325" w14:textId="77777777" w:rsidR="00800A8B" w:rsidRPr="00640820" w:rsidRDefault="00800A8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сентябре 1941 года заводы АП давали вдвое больше боевых самолётов, чем до войны: до 100 единиц в сутки. Из-за перевыполнения плана III-го квартала 1941 года, Государственный комитет обороны увеличил Наркомату авиастроения план на IV квартал (ф. 8044. оп. 1. д. 582. л. 31-35) выпуск №38 «Ведомостей Верховного Совета СССР» за 1941 год) (22727).</w:t>
      </w:r>
    </w:p>
    <w:p w14:paraId="7E2849F4" w14:textId="77777777" w:rsidR="00800A8B" w:rsidRPr="00640820" w:rsidRDefault="00800A8B" w:rsidP="00640820">
      <w:pPr>
        <w:spacing w:after="0" w:line="240" w:lineRule="auto"/>
        <w:jc w:val="both"/>
        <w:rPr>
          <w:rFonts w:ascii="Times New Roman" w:hAnsi="Times New Roman"/>
          <w:color w:val="0070C0"/>
          <w:sz w:val="16"/>
          <w:szCs w:val="16"/>
        </w:rPr>
      </w:pPr>
    </w:p>
    <w:p w14:paraId="2089A9C4" w14:textId="77777777" w:rsidR="00800A8B" w:rsidRPr="00640820" w:rsidRDefault="00800A8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сентябре 1941 на завод № 18 позвонил И. В. Сталин. Он потребовал в сжатые сроки подготовить 250 «Илов». «Передайте всем самолетостроителям завода, что это особо важное зада</w:t>
      </w:r>
      <w:r w:rsidRPr="00640820">
        <w:rPr>
          <w:rFonts w:ascii="Times New Roman" w:hAnsi="Times New Roman"/>
          <w:color w:val="0070C0"/>
          <w:sz w:val="16"/>
          <w:szCs w:val="16"/>
        </w:rPr>
        <w:softHyphen/>
        <w:t>ние. Фронту очень нужны штурмовики! - сказал Верховный Главнокомандую</w:t>
      </w:r>
      <w:r w:rsidRPr="00640820">
        <w:rPr>
          <w:rFonts w:ascii="Times New Roman" w:hAnsi="Times New Roman"/>
          <w:color w:val="0070C0"/>
          <w:sz w:val="16"/>
          <w:szCs w:val="16"/>
        </w:rPr>
        <w:softHyphen/>
        <w:t>щий» (21520).</w:t>
      </w:r>
    </w:p>
    <w:p w14:paraId="5C428DDB" w14:textId="77777777" w:rsidR="00800A8B" w:rsidRPr="00640820" w:rsidRDefault="00800A8B" w:rsidP="00640820">
      <w:pPr>
        <w:spacing w:after="0" w:line="240" w:lineRule="auto"/>
        <w:jc w:val="both"/>
        <w:rPr>
          <w:rFonts w:ascii="Times New Roman" w:hAnsi="Times New Roman"/>
          <w:color w:val="0070C0"/>
          <w:sz w:val="16"/>
          <w:szCs w:val="16"/>
        </w:rPr>
      </w:pPr>
    </w:p>
    <w:p w14:paraId="2C11CC7F" w14:textId="77777777" w:rsidR="00B81D22" w:rsidRPr="00640820" w:rsidRDefault="00B81D22" w:rsidP="00640820">
      <w:pPr>
        <w:pStyle w:val="afffff5"/>
        <w:shd w:val="clear" w:color="auto" w:fill="FFFFFF"/>
        <w:spacing w:before="0" w:beforeAutospacing="0" w:after="0" w:afterAutospacing="0"/>
        <w:jc w:val="both"/>
        <w:rPr>
          <w:color w:val="000000" w:themeColor="text1"/>
          <w:sz w:val="16"/>
          <w:szCs w:val="16"/>
        </w:rPr>
      </w:pPr>
      <w:r w:rsidRPr="00640820">
        <w:rPr>
          <w:color w:val="000000" w:themeColor="text1"/>
          <w:sz w:val="16"/>
          <w:szCs w:val="16"/>
        </w:rPr>
        <w:t>В сентябре 1941 года немецкие летчики несколько раз сбрасывали бомбы на территорию завода № 18. Цехам предприятия были нанесены серьезные повреждения (19822).</w:t>
      </w:r>
    </w:p>
    <w:p w14:paraId="41DEF7AF" w14:textId="77777777" w:rsidR="00B81D22" w:rsidRPr="00640820" w:rsidRDefault="00B81D22" w:rsidP="00640820">
      <w:pPr>
        <w:pStyle w:val="afffff5"/>
        <w:shd w:val="clear" w:color="auto" w:fill="FFFFFF"/>
        <w:spacing w:before="0" w:beforeAutospacing="0" w:after="0" w:afterAutospacing="0"/>
        <w:jc w:val="both"/>
        <w:rPr>
          <w:color w:val="000000" w:themeColor="text1"/>
          <w:sz w:val="16"/>
          <w:szCs w:val="16"/>
        </w:rPr>
      </w:pPr>
    </w:p>
    <w:p w14:paraId="21D0BC5C" w14:textId="77777777" w:rsidR="00B81D22" w:rsidRPr="00640820" w:rsidRDefault="00B81D22" w:rsidP="00640820">
      <w:pPr>
        <w:pStyle w:val="ae"/>
        <w:shd w:val="clear" w:color="auto" w:fill="FFFFFF"/>
        <w:spacing w:before="0" w:after="0"/>
        <w:jc w:val="both"/>
        <w:rPr>
          <w:color w:val="000000" w:themeColor="text1"/>
          <w:sz w:val="16"/>
          <w:szCs w:val="16"/>
        </w:rPr>
      </w:pPr>
      <w:r w:rsidRPr="00640820">
        <w:rPr>
          <w:color w:val="000000" w:themeColor="text1"/>
          <w:sz w:val="16"/>
          <w:szCs w:val="16"/>
        </w:rPr>
        <w:t>В сентябре 1941 да № 1 Третьяков выехал на Воронежский авиазавод № 18 для знакомства с новой машиной. Он пробыл там всего два дня, привез необходимую техдокументацию и сразу познакомил с ней всех руководителей цехов и отделов своего завода. А на другой день его вызвали к Сталину, чтобы доложить о готовности к развертыванию выпуска нового самолета. Как вспоминает присутствовавший на этой встрече нарком Авиапрома А.И.Шахурин, Сталин спросил директора:</w:t>
      </w:r>
    </w:p>
    <w:p w14:paraId="5FD6C958" w14:textId="77777777" w:rsidR="00B81D22" w:rsidRPr="00640820" w:rsidRDefault="00B81D22" w:rsidP="00640820">
      <w:pPr>
        <w:pStyle w:val="ae"/>
        <w:shd w:val="clear" w:color="auto" w:fill="FFFFFF"/>
        <w:spacing w:before="0" w:after="0"/>
        <w:jc w:val="both"/>
        <w:rPr>
          <w:color w:val="000000" w:themeColor="text1"/>
          <w:sz w:val="16"/>
          <w:szCs w:val="16"/>
        </w:rPr>
      </w:pPr>
      <w:r w:rsidRPr="00640820">
        <w:rPr>
          <w:color w:val="000000" w:themeColor="text1"/>
          <w:sz w:val="16"/>
          <w:szCs w:val="16"/>
        </w:rPr>
        <w:t>- Когда начнете выпуск штурмовиков?</w:t>
      </w:r>
    </w:p>
    <w:p w14:paraId="4DF73073" w14:textId="77777777" w:rsidR="00B81D22" w:rsidRPr="00640820" w:rsidRDefault="00B81D22" w:rsidP="00640820">
      <w:pPr>
        <w:pStyle w:val="ae"/>
        <w:shd w:val="clear" w:color="auto" w:fill="FFFFFF"/>
        <w:spacing w:before="0" w:after="0"/>
        <w:jc w:val="both"/>
        <w:rPr>
          <w:color w:val="000000" w:themeColor="text1"/>
          <w:sz w:val="16"/>
          <w:szCs w:val="16"/>
        </w:rPr>
      </w:pPr>
      <w:r w:rsidRPr="00640820">
        <w:rPr>
          <w:color w:val="000000" w:themeColor="text1"/>
          <w:sz w:val="16"/>
          <w:szCs w:val="16"/>
        </w:rPr>
        <w:t>- Думаем, что сможем это сделать через два месяца при условии, если завод будет постепенно снижать выпуск прежней продукции (истребителей МиГ-3).</w:t>
      </w:r>
    </w:p>
    <w:p w14:paraId="1F0A92CE" w14:textId="77777777" w:rsidR="00B81D22" w:rsidRPr="00640820" w:rsidRDefault="00B81D22" w:rsidP="00640820">
      <w:pPr>
        <w:pStyle w:val="ae"/>
        <w:shd w:val="clear" w:color="auto" w:fill="FFFFFF"/>
        <w:spacing w:before="0" w:after="0"/>
        <w:jc w:val="both"/>
        <w:rPr>
          <w:color w:val="000000" w:themeColor="text1"/>
          <w:sz w:val="16"/>
          <w:szCs w:val="16"/>
        </w:rPr>
      </w:pPr>
      <w:r w:rsidRPr="00640820">
        <w:rPr>
          <w:color w:val="000000" w:themeColor="text1"/>
          <w:sz w:val="16"/>
          <w:szCs w:val="16"/>
        </w:rPr>
        <w:t>- Сколько вы сейчас выпускаете самолетов в день?</w:t>
      </w:r>
    </w:p>
    <w:p w14:paraId="73AEB94E" w14:textId="77777777" w:rsidR="00B81D22" w:rsidRPr="00640820" w:rsidRDefault="00B81D22" w:rsidP="00640820">
      <w:pPr>
        <w:pStyle w:val="ae"/>
        <w:shd w:val="clear" w:color="auto" w:fill="FFFFFF"/>
        <w:spacing w:before="0" w:after="0"/>
        <w:jc w:val="both"/>
        <w:rPr>
          <w:color w:val="000000" w:themeColor="text1"/>
          <w:sz w:val="16"/>
          <w:szCs w:val="16"/>
        </w:rPr>
      </w:pPr>
      <w:r w:rsidRPr="00640820">
        <w:rPr>
          <w:color w:val="000000" w:themeColor="text1"/>
          <w:sz w:val="16"/>
          <w:szCs w:val="16"/>
        </w:rPr>
        <w:t>- Двадцать, - отозвался Третьяков.</w:t>
      </w:r>
    </w:p>
    <w:p w14:paraId="1107E8B0" w14:textId="77777777" w:rsidR="00B81D22" w:rsidRPr="00640820" w:rsidRDefault="00B81D22" w:rsidP="00640820">
      <w:pPr>
        <w:pStyle w:val="ae"/>
        <w:shd w:val="clear" w:color="auto" w:fill="FFFFFF"/>
        <w:spacing w:before="0" w:after="0"/>
        <w:jc w:val="both"/>
        <w:rPr>
          <w:color w:val="000000" w:themeColor="text1"/>
          <w:sz w:val="16"/>
          <w:szCs w:val="16"/>
        </w:rPr>
      </w:pPr>
      <w:r w:rsidRPr="00640820">
        <w:rPr>
          <w:color w:val="000000" w:themeColor="text1"/>
          <w:sz w:val="16"/>
          <w:szCs w:val="16"/>
        </w:rPr>
        <w:t>- Хорошо, согласился Сталин – можете снизить выпуск. Но за каждый старый самолет дадите новый.</w:t>
      </w:r>
    </w:p>
    <w:p w14:paraId="77766B72" w14:textId="77777777" w:rsidR="00B81D22" w:rsidRPr="00640820" w:rsidRDefault="00B81D22" w:rsidP="00640820">
      <w:pPr>
        <w:pStyle w:val="ae"/>
        <w:shd w:val="clear" w:color="auto" w:fill="FFFFFF"/>
        <w:spacing w:before="0" w:after="0"/>
        <w:jc w:val="both"/>
        <w:rPr>
          <w:color w:val="000000" w:themeColor="text1"/>
          <w:sz w:val="16"/>
          <w:szCs w:val="16"/>
        </w:rPr>
      </w:pPr>
      <w:r w:rsidRPr="00640820">
        <w:rPr>
          <w:color w:val="000000" w:themeColor="text1"/>
          <w:sz w:val="16"/>
          <w:szCs w:val="16"/>
        </w:rPr>
        <w:t>Срок начала выпуска штурмовиков контролировался очень жестко. Третьяков впоследствии вспоминал: «Весь завод, все цехи, все коллективы получили свои задания и широким фронтом развернули работу по созданию инструментов, приспособлений, стапелей для изготовления деталей, узлов, агрегатов. Участки производства получали необходимое оборудование и тут же пускали его в дело. Темп производства нарастал. Конструкторы и технологи работали в цехах. Днем и ночью вместе с рабочими и мастерами они решали возникавшие в производстве вопросы».</w:t>
      </w:r>
    </w:p>
    <w:p w14:paraId="1504E782" w14:textId="77777777" w:rsidR="00B81D22" w:rsidRPr="00640820" w:rsidRDefault="00B81D22" w:rsidP="00640820">
      <w:pPr>
        <w:pStyle w:val="ae"/>
        <w:shd w:val="clear" w:color="auto" w:fill="FFFFFF"/>
        <w:spacing w:before="0" w:after="0"/>
        <w:jc w:val="both"/>
        <w:rPr>
          <w:color w:val="000000" w:themeColor="text1"/>
          <w:sz w:val="16"/>
          <w:szCs w:val="16"/>
        </w:rPr>
      </w:pPr>
      <w:r w:rsidRPr="00640820">
        <w:rPr>
          <w:color w:val="000000" w:themeColor="text1"/>
          <w:sz w:val="16"/>
          <w:szCs w:val="16"/>
        </w:rPr>
        <w:t>Прикомандированные к заводу представители Ильюшина работали точно так же. Они органично влились в заводской коллектив и на месте решали возникающие вопросы. Когда возникала необходимость, вызывали главного конструктора ИЛ-2, и Сергей Владимирович Ильюшин без промедления приезжал. Через месяц после начала работ на сборку стали поступать узлы и агрегаты новой машины. Завод уже был готов начать выпуск первых штурмовиков, но тут поступил приказ об эвакуации в Куйбышев (19827).</w:t>
      </w:r>
    </w:p>
    <w:p w14:paraId="783219B3" w14:textId="77777777" w:rsidR="00B81D22" w:rsidRPr="00640820" w:rsidRDefault="00B81D22" w:rsidP="00640820">
      <w:pPr>
        <w:pStyle w:val="ae"/>
        <w:shd w:val="clear" w:color="auto" w:fill="FFFFFF"/>
        <w:spacing w:before="0" w:after="0"/>
        <w:jc w:val="both"/>
        <w:rPr>
          <w:color w:val="000000" w:themeColor="text1"/>
          <w:sz w:val="16"/>
          <w:szCs w:val="16"/>
        </w:rPr>
      </w:pPr>
    </w:p>
    <w:p w14:paraId="3510E01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w:t>
      </w:r>
      <w:r w:rsidRPr="00640820">
        <w:rPr>
          <w:rFonts w:ascii="Times New Roman" w:hAnsi="Times New Roman"/>
          <w:color w:val="000000" w:themeColor="text1"/>
          <w:sz w:val="16"/>
          <w:szCs w:val="16"/>
        </w:rPr>
        <w:softHyphen/>
        <w:t>бре 1941 в Москве на заводе № 1 смогли собрать первый штурмовик из деталей, присланных из Воронежа, а в начале следующего ме</w:t>
      </w:r>
      <w:r w:rsidRPr="00640820">
        <w:rPr>
          <w:rFonts w:ascii="Times New Roman" w:hAnsi="Times New Roman"/>
          <w:color w:val="000000" w:themeColor="text1"/>
          <w:sz w:val="16"/>
          <w:szCs w:val="16"/>
        </w:rPr>
        <w:softHyphen/>
        <w:t>сяца к нему добавился еще один «столичный» Ил-2 (9984).</w:t>
      </w:r>
    </w:p>
    <w:p w14:paraId="63709F5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9E1B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на заводе № 1 смогли собрать только один штурмовик из деталей, присланных из Воронежа, а в начале следующего месяца к нему добавился второй "столичный" Ил-2 (12045).</w:t>
      </w:r>
    </w:p>
    <w:p w14:paraId="369F8A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18E91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1942 на заводе 18 было построено 9 ма</w:t>
      </w:r>
      <w:r w:rsidRPr="00640820">
        <w:rPr>
          <w:rFonts w:ascii="Times New Roman" w:hAnsi="Times New Roman"/>
          <w:color w:val="000000" w:themeColor="text1"/>
          <w:sz w:val="16"/>
          <w:szCs w:val="16"/>
        </w:rPr>
        <w:softHyphen/>
        <w:t>шин Ил-2 ШФК-37 (то есть всего 10 самолетов этого типа, включая один опытный "Ил"), кото</w:t>
      </w:r>
      <w:r w:rsidRPr="00640820">
        <w:rPr>
          <w:rFonts w:ascii="Times New Roman" w:hAnsi="Times New Roman"/>
          <w:color w:val="000000" w:themeColor="text1"/>
          <w:sz w:val="16"/>
          <w:szCs w:val="16"/>
        </w:rPr>
        <w:softHyphen/>
        <w:t>рые после проведения летчиком-испытателем Е.Н.Ломакиным заводских ис</w:t>
      </w:r>
      <w:r w:rsidRPr="00640820">
        <w:rPr>
          <w:rFonts w:ascii="Times New Roman" w:hAnsi="Times New Roman"/>
          <w:color w:val="000000" w:themeColor="text1"/>
          <w:sz w:val="16"/>
          <w:szCs w:val="16"/>
        </w:rPr>
        <w:softHyphen/>
        <w:t>пытаний и были направлены под Ста</w:t>
      </w:r>
      <w:r w:rsidRPr="00640820">
        <w:rPr>
          <w:rFonts w:ascii="Times New Roman" w:hAnsi="Times New Roman"/>
          <w:color w:val="000000" w:themeColor="text1"/>
          <w:sz w:val="16"/>
          <w:szCs w:val="16"/>
        </w:rPr>
        <w:softHyphen/>
        <w:t xml:space="preserve">линград в состав 228-й </w:t>
      </w:r>
      <w:r w:rsidRPr="00640820">
        <w:rPr>
          <w:rFonts w:ascii="Times New Roman" w:hAnsi="Times New Roman"/>
          <w:iCs/>
          <w:color w:val="000000" w:themeColor="text1"/>
          <w:sz w:val="16"/>
          <w:szCs w:val="16"/>
        </w:rPr>
        <w:t>шад</w:t>
      </w:r>
      <w:r w:rsidRPr="00640820">
        <w:rPr>
          <w:rFonts w:ascii="Times New Roman" w:hAnsi="Times New Roman"/>
          <w:color w:val="000000" w:themeColor="text1"/>
          <w:sz w:val="16"/>
          <w:szCs w:val="16"/>
        </w:rPr>
        <w:t xml:space="preserve"> 16-й ВА Донского фронта (6467).</w:t>
      </w:r>
    </w:p>
    <w:p w14:paraId="756259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90DC4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причине холодной дождливой погоды в сентябре 1941 г. при отстреле пушек ВЯ на заводе № 18 происходила неотдача на 80 % пушек из-за загустевания смазки и повышенной влажности снарядов", - сообщал военпред предприятия.( ЦАМО, ф. 35, оп. 11320, д. 78. Л. 234). По состоянию на 4 сентября 1941 г. завод сдал в строевые части 16 самолетов Ил-2 с пушками ВЯ (в тот период среднемесячный выпуск "Илов" превышал 250 единиц). Далее такие машины "тонкой струйкой" стали поступать в штурмовые полки. В общем, проблем с ВЯ было много (11148).</w:t>
      </w:r>
    </w:p>
    <w:p w14:paraId="00469F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056D2A7" w14:textId="77777777" w:rsidR="00984994" w:rsidRPr="00640820" w:rsidRDefault="0098499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«По причине холодной дожд</w:t>
      </w:r>
      <w:r w:rsidRPr="00640820">
        <w:rPr>
          <w:rFonts w:ascii="Times New Roman" w:hAnsi="Times New Roman"/>
          <w:color w:val="000000" w:themeColor="text1"/>
          <w:sz w:val="16"/>
          <w:szCs w:val="16"/>
        </w:rPr>
        <w:softHyphen/>
        <w:t>ливой погоды в сентябре 1941 г. при отстреле пушек ВЯ на заводе № 18 происходила неотдача на 80 % пушек из-за загустевания смазки и повышенной влажности снарядов, — сообщал военпред предприятия. — Недостаточное количество газов резко понижает темп стрельбы, а иногда ведет к неотдаче». По состоянию на 4 сентября 1941 г. завод сдал в строевые части 16 Ил-2 с пушками ВЯ (в тот период среднемесячный выпуск «Илов» превышал 250 единиц). Далее такие машины «тонкой струйкой» стали поступать в штурмовые полки. В конце ноября главный инженер ВВС Южного фронта военинженер 1 ранга Родимов докладывал: «На пушках ВЯ самолётов Ил-2 участились случаи поломок затворов: после 250-300 выстрелов при диаметре газового отверстия 4,5 мм и после 750-900 выстрелов при диаметре газового отверстия 4,0 мм. За время с 20.9 по 20.11 в 4-м шап поломалось 27 затворов. С 9.11 по 20.11 в 431-м шап — 6 затво</w:t>
      </w:r>
      <w:r w:rsidRPr="00640820">
        <w:rPr>
          <w:rFonts w:ascii="Times New Roman" w:hAnsi="Times New Roman"/>
          <w:color w:val="000000" w:themeColor="text1"/>
          <w:sz w:val="16"/>
          <w:szCs w:val="16"/>
        </w:rPr>
        <w:softHyphen/>
        <w:t>ров. Запасных затворов нет...». В общем, проблем с ВЯ оставалось много (15787).</w:t>
      </w:r>
    </w:p>
    <w:p w14:paraId="0DDC2A10" w14:textId="77777777" w:rsidR="00984994" w:rsidRPr="00640820" w:rsidRDefault="00984994" w:rsidP="00640820">
      <w:pPr>
        <w:spacing w:after="0" w:line="240" w:lineRule="auto"/>
        <w:jc w:val="both"/>
        <w:rPr>
          <w:rFonts w:ascii="Times New Roman" w:hAnsi="Times New Roman"/>
          <w:color w:val="000000" w:themeColor="text1"/>
          <w:sz w:val="16"/>
          <w:szCs w:val="16"/>
        </w:rPr>
      </w:pPr>
    </w:p>
    <w:p w14:paraId="52465E0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в частях 1-й заб был выяв</w:t>
      </w:r>
      <w:r w:rsidRPr="00640820">
        <w:rPr>
          <w:rFonts w:ascii="Times New Roman" w:hAnsi="Times New Roman"/>
          <w:color w:val="000000" w:themeColor="text1"/>
          <w:sz w:val="16"/>
          <w:szCs w:val="16"/>
        </w:rPr>
        <w:softHyphen/>
        <w:t>лен аварийный массовый дефект обрыва шатунов и заклинения коленчатого вала. Специальной комиссией было установлено, что причиной этого дефекта является масляное голодание. Для его устранения требовалось увеличить емкость масляной систе</w:t>
      </w:r>
      <w:r w:rsidRPr="00640820">
        <w:rPr>
          <w:rFonts w:ascii="Times New Roman" w:hAnsi="Times New Roman"/>
          <w:color w:val="000000" w:themeColor="text1"/>
          <w:sz w:val="16"/>
          <w:szCs w:val="16"/>
        </w:rPr>
        <w:softHyphen/>
        <w:t>мы на самолете Ил-2. Однако вплоть до середины лета 1942 г. никаких изменений в масляной системе Ил-2 сделано не было. Обрывы шатунов на моторах АМ-38 продолжались, а темпера</w:t>
      </w:r>
      <w:r w:rsidRPr="00640820">
        <w:rPr>
          <w:rFonts w:ascii="Times New Roman" w:hAnsi="Times New Roman"/>
          <w:color w:val="000000" w:themeColor="text1"/>
          <w:sz w:val="16"/>
          <w:szCs w:val="16"/>
        </w:rPr>
        <w:softHyphen/>
        <w:t>турный режим в полете держался на максимально допустимом уровне — «вода и масло на верхних пределах».</w:t>
      </w:r>
    </w:p>
    <w:p w14:paraId="709352C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поводу понижения качества выпускаемых НКАП мото</w:t>
      </w:r>
      <w:r w:rsidRPr="00640820">
        <w:rPr>
          <w:rFonts w:ascii="Times New Roman" w:hAnsi="Times New Roman"/>
          <w:color w:val="000000" w:themeColor="text1"/>
          <w:sz w:val="16"/>
          <w:szCs w:val="16"/>
        </w:rPr>
        <w:softHyphen/>
        <w:t>ров и самолетов в 1-м полугодии 1942 г. помощник начальника Инспекции ВВС КА по эксплуатации и ремонту инженер-пол</w:t>
      </w:r>
      <w:r w:rsidRPr="00640820">
        <w:rPr>
          <w:rFonts w:ascii="Times New Roman" w:hAnsi="Times New Roman"/>
          <w:color w:val="000000" w:themeColor="text1"/>
          <w:sz w:val="16"/>
          <w:szCs w:val="16"/>
        </w:rPr>
        <w:softHyphen/>
        <w:t>ковник Бугров докладывал полковнику В.И. Сталину: «Основ</w:t>
      </w:r>
      <w:r w:rsidRPr="00640820">
        <w:rPr>
          <w:rFonts w:ascii="Times New Roman" w:hAnsi="Times New Roman"/>
          <w:color w:val="000000" w:themeColor="text1"/>
          <w:sz w:val="16"/>
          <w:szCs w:val="16"/>
        </w:rPr>
        <w:softHyphen/>
        <w:t xml:space="preserve">ным недостатком в работе заводов НКАП является погоня за количеством выпускаемой продукции, и совершенно забыто качество. &lt;...&gt; Руководство Наркомата Авиапрома и самих авиазаводов сосредоточивает все свое внимание на </w:t>
      </w:r>
      <w:r w:rsidRPr="00640820">
        <w:rPr>
          <w:rFonts w:ascii="Times New Roman" w:hAnsi="Times New Roman"/>
          <w:color w:val="000000" w:themeColor="text1"/>
          <w:sz w:val="16"/>
          <w:szCs w:val="16"/>
        </w:rPr>
        <w:lastRenderedPageBreak/>
        <w:t>увеличении выпуска продукции, тогда как вопросы качества остаются в стороне, устранением дефектов на заводах занимаются мало, дефекты принимают массовый характер, войсковые части Действующей армии получают недоброкачественную боевую технику, боеспособность частей снижается».</w:t>
      </w:r>
    </w:p>
    <w:p w14:paraId="5EDB29E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Несмотря на многочисленные рекламации из строевых час</w:t>
      </w:r>
      <w:r w:rsidRPr="00640820">
        <w:rPr>
          <w:rFonts w:ascii="Times New Roman" w:hAnsi="Times New Roman"/>
          <w:color w:val="000000" w:themeColor="text1"/>
          <w:sz w:val="16"/>
          <w:szCs w:val="16"/>
        </w:rPr>
        <w:softHyphen/>
        <w:t>тей, требования заказывающих и инспектирующих органов ВВС КА, Наркоматом авиапромышленности и заводами №№ 1, 18, 30 и 24 в практическом плане по улучшению качества вы</w:t>
      </w:r>
      <w:r w:rsidRPr="00640820">
        <w:rPr>
          <w:rFonts w:ascii="Times New Roman" w:hAnsi="Times New Roman"/>
          <w:color w:val="000000" w:themeColor="text1"/>
          <w:sz w:val="16"/>
          <w:szCs w:val="16"/>
        </w:rPr>
        <w:softHyphen/>
        <w:t>пускаемых самолетов Ил-2 и моторов АМ-38 почти ничего не делалось.</w:t>
      </w:r>
    </w:p>
    <w:p w14:paraId="18E46BB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Генерал Шульговский отмечал, что все основные дефекты мотора АМ-38 давно известны заводу и НКАП, «но по их уст</w:t>
      </w:r>
      <w:r w:rsidRPr="00640820">
        <w:rPr>
          <w:rFonts w:ascii="Times New Roman" w:hAnsi="Times New Roman"/>
          <w:color w:val="000000" w:themeColor="text1"/>
          <w:sz w:val="16"/>
          <w:szCs w:val="16"/>
        </w:rPr>
        <w:softHyphen/>
        <w:t>ранению никаких реальных мер до сих пор не принято и мате</w:t>
      </w:r>
      <w:r w:rsidRPr="00640820">
        <w:rPr>
          <w:rFonts w:ascii="Times New Roman" w:hAnsi="Times New Roman"/>
          <w:color w:val="000000" w:themeColor="text1"/>
          <w:sz w:val="16"/>
          <w:szCs w:val="16"/>
        </w:rPr>
        <w:softHyphen/>
        <w:t>риальная часть самолетов из-за отказа моторов в запасных авиабригадах, действующих авиаполках и школах ВВС еже</w:t>
      </w:r>
      <w:r w:rsidRPr="00640820">
        <w:rPr>
          <w:rFonts w:ascii="Times New Roman" w:hAnsi="Times New Roman"/>
          <w:color w:val="000000" w:themeColor="text1"/>
          <w:sz w:val="16"/>
          <w:szCs w:val="16"/>
        </w:rPr>
        <w:softHyphen/>
        <w:t>дневно выходит из строя» (11474,266).</w:t>
      </w:r>
    </w:p>
    <w:p w14:paraId="0E047C8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294F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2-й экземпляр Су-6 М-71 прошел сокращенные заводские испытания в ЛИИ НКАП, которые проходили с 16 июня 1941 (9649).</w:t>
      </w:r>
    </w:p>
    <w:p w14:paraId="14E878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Су-6 М-71 представлял собой сво-боднонесущий моноплан с низкорасположенным крылом, фюзеляж - мо-нокок, шасси убирающееся. Крыло, центроплан и оперение - металлические. Обшивка рулей - полотно. Фюзеляж - набор деревянный, обшивка -фанера. Профиль крыла - ЦАГИ-6.</w:t>
      </w:r>
    </w:p>
    <w:p w14:paraId="35672D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Крыло имело поперечное V - 1°30'. площадь крыла - 26 м2.</w:t>
      </w:r>
    </w:p>
    <w:p w14:paraId="52445A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Фюзеляжный бензобак емкостью 645 л протектированный. На самолете устанавливалась система заполнения бензобака инертными газами.</w:t>
      </w:r>
    </w:p>
    <w:p w14:paraId="2348E5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Маслобак 62 л. Вес пустого самолета составлял 3187 кг. Винт трехлопастный типа АВ-5-4А.</w:t>
      </w:r>
    </w:p>
    <w:p w14:paraId="3EA131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Вооружение штурмовика включало 4 крыльевых пулемета ШКАС (3160 патронов), два синхронных ШКАС (1520 патронов) в центроплане и 120 кг бомб. Бомбы размещались в фюзеляжном бомбоотсеке.</w:t>
      </w:r>
    </w:p>
    <w:p w14:paraId="48EBAF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внешние узлы допускалась подвеска двух бомб типа ФАБ-100 или двух ВАП-200. Кроме того, предусматривалась подвеска сбрасывамых подвесных бензобаков.</w:t>
      </w:r>
    </w:p>
    <w:p w14:paraId="14B406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нормальном полетном весе 4217 кг (120 кг бомб и боекомплект к пулеметам) максимальная скорость штурмовика у земли составила 474 км/ ч, а на высоте 5700 м - до 566 км/ч. Высоту 1000 м самолет набирал за 1,16 мин, а высоту 5000 м - 6,25 мин. Максимальная дальность полета на высоте 500-600 м на скорости 462 км/ч - 700 км.</w:t>
      </w:r>
    </w:p>
    <w:p w14:paraId="5969B2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Несмотря на прекрасные летные данные Су-б М-71, специалисты ЛИИ НКАП указали на слабое вооружение штурмовика, которое совершенно не соответствует современным требованиям.</w:t>
      </w:r>
    </w:p>
    <w:p w14:paraId="46F61C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Рекомендовалось установить пушки ВЯ-23, предусмотреть подвеску реактивных снарядов и увеличить бомбовую нагрузку.</w:t>
      </w:r>
    </w:p>
    <w:p w14:paraId="6AB546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заключении отчета указывалось, что: “Для полного суждения о боевых и летных свойствах самолета Су-б необходимо уст а но вить и отработать пушечное вооружение и наружные подвески PC”,</w:t>
      </w:r>
    </w:p>
    <w:p w14:paraId="475A7E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дальнейшем в процессе доводки самолета ОКБ П.О.Сухого все же удалось создать выдающийся штурмовик Су-б М-71ф с прекрасными летными, пилотажными и боевыми свойствами (9649).</w:t>
      </w:r>
    </w:p>
    <w:p w14:paraId="75C0B2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C7AB205" w14:textId="77777777" w:rsidR="00B279ED" w:rsidRPr="00640820" w:rsidRDefault="00B279ED" w:rsidP="00640820">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сентябре 1941 года в ЛИИ прошли сокращенные испытания бронированного штурмовика Су-6. Испытания проводила бригада в составе: летчик-испытатель А.И. Кокин (от авиазавода № 289), ведущие инженеры С.С. Юданов (от ЛИИ) и В.П. Балуев (от авиазавода № 289). В облете участвовали летчики-испытатели ЛИИ М.Л. Галлай, А.Н. Гринчик, В.П. Федоров и Г.М. Шиянов. Выполнили 14 полетов общей продолжительностью 5 часов. Летно-технические свойства самолета были признаны очень хорошими, рекомендовалось продолжить испытания с установленным вооружением, однако этому помешала начавшаяся эвакуация (19569).</w:t>
      </w:r>
    </w:p>
    <w:p w14:paraId="0A0C7736" w14:textId="77777777" w:rsidR="00B279ED" w:rsidRPr="00640820" w:rsidRDefault="00B279ED" w:rsidP="00640820">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p>
    <w:p w14:paraId="1B45FCC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второй экз. Су-6 М-71 прошел сокращенные завод</w:t>
      </w:r>
      <w:r w:rsidRPr="00640820">
        <w:rPr>
          <w:rFonts w:ascii="Times New Roman" w:hAnsi="Times New Roman"/>
          <w:color w:val="000000" w:themeColor="text1"/>
          <w:sz w:val="16"/>
          <w:szCs w:val="16"/>
        </w:rPr>
        <w:softHyphen/>
        <w:t>ские испытания в ЛИИ НКАП с первона</w:t>
      </w:r>
      <w:r w:rsidRPr="00640820">
        <w:rPr>
          <w:rFonts w:ascii="Times New Roman" w:hAnsi="Times New Roman"/>
          <w:color w:val="000000" w:themeColor="text1"/>
          <w:sz w:val="16"/>
          <w:szCs w:val="16"/>
        </w:rPr>
        <w:softHyphen/>
        <w:t>чальным стрелковым вооружением, при</w:t>
      </w:r>
      <w:r w:rsidRPr="00640820">
        <w:rPr>
          <w:rFonts w:ascii="Times New Roman" w:hAnsi="Times New Roman"/>
          <w:color w:val="000000" w:themeColor="text1"/>
          <w:sz w:val="16"/>
          <w:szCs w:val="16"/>
        </w:rPr>
        <w:softHyphen/>
        <w:t>чем в акте по испытаниям отмечалось, что машина “по своим пилотажным свойствам и простоте управления принадлежит к чис</w:t>
      </w:r>
      <w:r w:rsidRPr="00640820">
        <w:rPr>
          <w:rFonts w:ascii="Times New Roman" w:hAnsi="Times New Roman"/>
          <w:color w:val="000000" w:themeColor="text1"/>
          <w:sz w:val="16"/>
          <w:szCs w:val="16"/>
        </w:rPr>
        <w:softHyphen/>
        <w:t>лу лучших современных самолетов” (5011).</w:t>
      </w:r>
    </w:p>
    <w:p w14:paraId="6700286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1BC347" w14:textId="77777777" w:rsidR="00D540A3" w:rsidRPr="00640820" w:rsidRDefault="00D540A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В сентябре 1941 г. 2-й экземпляр Су-6 М-71 прошел сокращенные заводские испытания в ЛИИ НКАП. Акт по испытаниям утвержден 18 октября Заместителем начальника ЛИИ А. В. Чесаловым.</w:t>
      </w:r>
    </w:p>
    <w:p w14:paraId="201F40EE" w14:textId="77777777" w:rsidR="00D540A3" w:rsidRPr="00640820" w:rsidRDefault="00D540A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В акте отмечалось, что:</w:t>
      </w:r>
    </w:p>
    <w:p w14:paraId="6A0A9E89" w14:textId="77777777" w:rsidR="00D540A3" w:rsidRPr="00640820" w:rsidRDefault="00D540A3" w:rsidP="00640820">
      <w:pPr>
        <w:pStyle w:val="ae"/>
        <w:shd w:val="clear" w:color="auto" w:fill="FFFFFF"/>
        <w:spacing w:before="0" w:after="0"/>
        <w:jc w:val="both"/>
        <w:textAlignment w:val="baseline"/>
        <w:rPr>
          <w:color w:val="000000" w:themeColor="text1"/>
          <w:sz w:val="16"/>
          <w:szCs w:val="16"/>
        </w:rPr>
      </w:pPr>
      <w:r w:rsidRPr="00640820">
        <w:rPr>
          <w:rStyle w:val="af0"/>
          <w:i w:val="0"/>
          <w:color w:val="000000" w:themeColor="text1"/>
          <w:sz w:val="16"/>
          <w:szCs w:val="16"/>
          <w:bdr w:val="none" w:sz="0" w:space="0" w:color="auto" w:frame="1"/>
        </w:rPr>
        <w:t>«самолет обладает хорошими летными и пилотажными свойствами… по своим пилотажным свойствам и простоте управления принадлежит к числу лучших современных самолетов».</w:t>
      </w:r>
    </w:p>
    <w:p w14:paraId="3470D0D3" w14:textId="77777777" w:rsidR="00D540A3" w:rsidRPr="00640820" w:rsidRDefault="00D540A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Су-6 М-71 представлял собой свободнонесущий моноплан с низкорасположенным крылом, фюзеляж — монокок, шасси убирающееся. Крыло, центроплан и оперение — металлические. Обшивка рулей — полотно. Фюзеляж — набор деревянный, обшивка — фанера. Профиль крыла — ЦАГИ-6.</w:t>
      </w:r>
    </w:p>
    <w:p w14:paraId="67080D6F" w14:textId="77777777" w:rsidR="00D540A3" w:rsidRPr="00640820" w:rsidRDefault="00D540A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Крыло имело поперечное V — 1°30′. площадь крыла — 26 кв. м.</w:t>
      </w:r>
    </w:p>
    <w:p w14:paraId="3AF852E9" w14:textId="77777777" w:rsidR="00D540A3" w:rsidRPr="00640820" w:rsidRDefault="00D540A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Фюзеляжный бензобак емкостью 645 л протектированный. На самолете устанавливалась система заполнения бензобака инертными газами.</w:t>
      </w:r>
    </w:p>
    <w:p w14:paraId="63918A96" w14:textId="77777777" w:rsidR="00D540A3" w:rsidRPr="00640820" w:rsidRDefault="00D540A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Маслобак 62 л. Вес пустого самолета составлял 3187 кг. Винт трехлопастный типа АВ-5–4А.</w:t>
      </w:r>
    </w:p>
    <w:p w14:paraId="617E8371" w14:textId="77777777" w:rsidR="00D540A3" w:rsidRPr="00640820" w:rsidRDefault="00D540A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Вооружение штурмовика включало 4 крыльевых пулемета ШКАС (3160 патронов), два синхронных ШКАС (1520 патронов) в центроплане и 120 кг бомб. Бомбы размещались в фюзеляжном бомбоотсеке.</w:t>
      </w:r>
    </w:p>
    <w:p w14:paraId="4D8575EB" w14:textId="77777777" w:rsidR="00D540A3" w:rsidRPr="00640820" w:rsidRDefault="00D540A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На внешние узлы допускалась подвеска двух бомб типа ФАБ-100 или двух ВАП-200. Кроме того, предусматривалась подвеска сбрасываемых подвесных бензобаков.</w:t>
      </w:r>
    </w:p>
    <w:p w14:paraId="1409997B" w14:textId="77777777" w:rsidR="00D540A3" w:rsidRPr="00640820" w:rsidRDefault="00D540A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При нормальном полетном весе 4217 кг (120 кг бомб и боекомплект к пулеметам) максимальная скорость штурмовика у земли составила 474 км/ ч, а на высоте 5700 м — до 566 км/ч. Высоту 1000 м самолет набирал за 1,16 мин, а высоту 5000 м — 6,25 мин. Максимальная дальность полета на высоте 500–600 м на скорости 462 км/ч — 700 км.</w:t>
      </w:r>
    </w:p>
    <w:p w14:paraId="4F51C6BE" w14:textId="77777777" w:rsidR="00D540A3" w:rsidRPr="00640820" w:rsidRDefault="00D540A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Несмотря на прекрасные летные данные Су-6 М-71, специалисты ЛИИ НКАП указали на слабое вооружение штурмовика, которое совершенно не соответствует современным требованиям.</w:t>
      </w:r>
    </w:p>
    <w:p w14:paraId="0F4256AB" w14:textId="77777777" w:rsidR="00D540A3" w:rsidRPr="00640820" w:rsidRDefault="00D540A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Рекомендовалось установить пушки ВЯ-23, предусмотреть подвеску реактивных снарядов и увеличить бомбовую нагрузку.</w:t>
      </w:r>
    </w:p>
    <w:p w14:paraId="7F03AA52" w14:textId="77777777" w:rsidR="00D540A3" w:rsidRPr="00640820" w:rsidRDefault="00D540A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В заключении отчета указывалось, что:</w:t>
      </w:r>
    </w:p>
    <w:p w14:paraId="4AAA0193" w14:textId="77777777" w:rsidR="00D540A3" w:rsidRPr="00640820" w:rsidRDefault="00D540A3" w:rsidP="00640820">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640820">
        <w:rPr>
          <w:rStyle w:val="af0"/>
          <w:i w:val="0"/>
          <w:color w:val="000000" w:themeColor="text1"/>
          <w:sz w:val="16"/>
          <w:szCs w:val="16"/>
          <w:bdr w:val="none" w:sz="0" w:space="0" w:color="auto" w:frame="1"/>
        </w:rPr>
        <w:t>«Для полного суждения о боевых и летных свойствах самолета Су-6 необходимо установить и отработать пушечное вооружение и наружные подвески PC» (19188).</w:t>
      </w:r>
    </w:p>
    <w:p w14:paraId="770B52EB" w14:textId="77777777" w:rsidR="00D540A3" w:rsidRPr="00640820" w:rsidRDefault="00D540A3" w:rsidP="00640820">
      <w:pPr>
        <w:pStyle w:val="ae"/>
        <w:shd w:val="clear" w:color="auto" w:fill="FFFFFF"/>
        <w:spacing w:before="0" w:after="0"/>
        <w:jc w:val="both"/>
        <w:textAlignment w:val="baseline"/>
        <w:rPr>
          <w:color w:val="000000" w:themeColor="text1"/>
          <w:sz w:val="16"/>
          <w:szCs w:val="16"/>
        </w:rPr>
      </w:pPr>
    </w:p>
    <w:p w14:paraId="0878FE81" w14:textId="77777777" w:rsidR="00D540A3" w:rsidRPr="00640820" w:rsidRDefault="00D540A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года, после завершения заводских летных испытаний, самолет Су-6 был передан в НИИ ВВС КА для проведения госиспытаний. В начале 1942 года по устному распоряжению А.И.Шахурина завод №289 приступил к изготовлению малой войсковой серии самолетов Су-6 с М-71 в количестве пяти экземпляров и одного планера для статиспытаний, со сроком окончания работ в октябре 1942 года. Но в конце июля Нарком отменил свое распоряжение, и работа по войсковой серии была прекращена. Утвержденный план на 1942 год обязал П.О.Сухого изготовить один экземпляр одноместного штурмовика Су-6 с М-71Ф, представляющего собой эталон войсковой серии. К тому же, учитывая изменившиеся требования к штурмовику, с разрешения руководства НКАП, П.О.Сухой принимает решение переделать строящийся экземпляр в двухместный вариант, со сдачей его на госиспытания в конце февраля 1943 года (19769).</w:t>
      </w:r>
    </w:p>
    <w:p w14:paraId="24C85B87" w14:textId="77777777" w:rsidR="00D540A3" w:rsidRPr="00640820" w:rsidRDefault="00D540A3" w:rsidP="00640820">
      <w:pPr>
        <w:spacing w:after="0" w:line="240" w:lineRule="auto"/>
        <w:jc w:val="both"/>
        <w:rPr>
          <w:rFonts w:ascii="Times New Roman" w:hAnsi="Times New Roman"/>
          <w:color w:val="000000" w:themeColor="text1"/>
          <w:sz w:val="16"/>
          <w:szCs w:val="16"/>
        </w:rPr>
      </w:pPr>
    </w:p>
    <w:p w14:paraId="356C1A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135 завод изготовил первые Су-2 с М-82 в качестве среднего бомбардировщика (1454,53).</w:t>
      </w:r>
    </w:p>
    <w:p w14:paraId="0F4216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576DE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проходили войсковые испытания Су-2 М-88 с 10хРС 82 или 132. Потом 135 завод сделал 30 Су-2 с М-82, вооруженных 8 РО (1454,53).</w:t>
      </w:r>
    </w:p>
    <w:p w14:paraId="6C5555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0C45F29" w14:textId="77777777" w:rsidR="00984994" w:rsidRPr="00640820" w:rsidRDefault="00984994" w:rsidP="00640820">
      <w:pPr>
        <w:pStyle w:val="a3"/>
        <w:rPr>
          <w:color w:val="000000" w:themeColor="text1"/>
          <w:lang w:val="ru-RU"/>
        </w:rPr>
      </w:pPr>
      <w:r w:rsidRPr="00640820">
        <w:rPr>
          <w:color w:val="000000" w:themeColor="text1"/>
          <w:lang w:val="ru-RU"/>
        </w:rPr>
        <w:t>В сентябре 1941 г. на заводе № 135 выпустили первые два серийных бомбардировщика Су-2 с М-82. Таким образом, именно Су-2 стал первым серийным самолётом с мотором М-82. В октябре этот завод, также как и ОКБ Сухого, эвакуиро</w:t>
      </w:r>
      <w:r w:rsidRPr="00640820">
        <w:rPr>
          <w:color w:val="000000" w:themeColor="text1"/>
          <w:lang w:val="ru-RU"/>
        </w:rPr>
        <w:softHyphen/>
        <w:t>вали в Пермь, где рядом с заводом № 19 и намечалось развернуть производство Су-2 с М-82 (15788).</w:t>
      </w:r>
    </w:p>
    <w:p w14:paraId="288359E0" w14:textId="77777777" w:rsidR="00984994" w:rsidRPr="00640820" w:rsidRDefault="00984994" w:rsidP="00640820">
      <w:pPr>
        <w:pStyle w:val="a3"/>
        <w:rPr>
          <w:color w:val="000000" w:themeColor="text1"/>
          <w:lang w:val="ru-RU"/>
        </w:rPr>
      </w:pPr>
    </w:p>
    <w:p w14:paraId="521B9FC5" w14:textId="77777777" w:rsidR="00561678" w:rsidRPr="00640820" w:rsidRDefault="00561678"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В сентябре 1941 г начальник заказов вооружения ГУ ВВС генерал-лейтенант Жаров сообщал заместителю наркома авиационной про</w:t>
      </w:r>
      <w:r w:rsidRPr="00640820">
        <w:rPr>
          <w:rFonts w:ascii="Times New Roman" w:cs="Times New Roman"/>
          <w:color w:val="000000" w:themeColor="text1"/>
          <w:spacing w:val="0"/>
        </w:rPr>
        <w:softHyphen/>
        <w:t>мышленности П.А.Воронину «Опытом боевых действий выявлено, что Су-2 может быть использован на фронте не только как ближний бомбардировщик, но и как разведчик и корректировщик артиллерийского огня ГУ ВВС КА ре</w:t>
      </w:r>
      <w:r w:rsidRPr="00640820">
        <w:rPr>
          <w:rFonts w:ascii="Times New Roman" w:cs="Times New Roman"/>
          <w:color w:val="000000" w:themeColor="text1"/>
          <w:spacing w:val="0"/>
        </w:rPr>
        <w:softHyphen/>
        <w:t>шено самолеты, поставляемые заводом № 207, направлять в разведывательные соединения ВВС » От директора за</w:t>
      </w:r>
      <w:r w:rsidRPr="00640820">
        <w:rPr>
          <w:rFonts w:ascii="Times New Roman" w:cs="Times New Roman"/>
          <w:color w:val="000000" w:themeColor="text1"/>
          <w:spacing w:val="0"/>
        </w:rPr>
        <w:softHyphen/>
        <w:t>вода № 207 Климовникова требовали поставлять машины с фотоаппаратами АФА-1. радиостанциями РСБ. самолет</w:t>
      </w:r>
      <w:r w:rsidRPr="00640820">
        <w:rPr>
          <w:rFonts w:ascii="Times New Roman" w:cs="Times New Roman"/>
          <w:color w:val="000000" w:themeColor="text1"/>
          <w:spacing w:val="0"/>
        </w:rPr>
        <w:softHyphen/>
        <w:t>ными переговорными устройствами, допопнительными баками на 300 кг бензина в бомбоотсеке. ракетницами с патронташем на 20 ракет и портфелями в кабине летнаба под планшет ПУАОС (для корректировки артиллерийского огня) Предлагалось сразу по получении заводом № 207 от промышленности ту</w:t>
      </w:r>
      <w:r w:rsidRPr="00640820">
        <w:rPr>
          <w:rFonts w:ascii="Times New Roman" w:cs="Times New Roman"/>
          <w:color w:val="000000" w:themeColor="text1"/>
          <w:spacing w:val="0"/>
        </w:rPr>
        <w:softHyphen/>
        <w:t>релей МВ-5 с пупеметом ВТ (позже она стала называться ВУС-1). внедрить ее на серииных машинах.</w:t>
      </w:r>
    </w:p>
    <w:p w14:paraId="08CD27A7" w14:textId="77777777" w:rsidR="00561678" w:rsidRPr="00640820" w:rsidRDefault="00561678"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От Сухого требовали отработать уста</w:t>
      </w:r>
      <w:r w:rsidRPr="00640820">
        <w:rPr>
          <w:rFonts w:ascii="Times New Roman" w:cs="Times New Roman"/>
          <w:color w:val="000000" w:themeColor="text1"/>
          <w:spacing w:val="0"/>
        </w:rPr>
        <w:softHyphen/>
        <w:t xml:space="preserve">новку на разведчике радиопопукомпаса РПК-10, а также усилить вооружение Су-2, введя два пулемета БК в крыле и синхронный </w:t>
      </w:r>
      <w:r w:rsidRPr="00640820">
        <w:rPr>
          <w:rFonts w:ascii="Times New Roman" w:cs="Times New Roman"/>
          <w:color w:val="000000" w:themeColor="text1"/>
          <w:spacing w:val="0"/>
          <w:lang w:val="en-US"/>
        </w:rPr>
        <w:t>LUKAC</w:t>
      </w:r>
      <w:r w:rsidRPr="00640820">
        <w:rPr>
          <w:rFonts w:ascii="Times New Roman" w:cs="Times New Roman"/>
          <w:color w:val="000000" w:themeColor="text1"/>
          <w:spacing w:val="0"/>
        </w:rPr>
        <w:t xml:space="preserve"> в фюзеляже, а также добавить два бомбодержателя Дер-31 под крыпом Но ничего из этого реально не сделали (19102).</w:t>
      </w:r>
    </w:p>
    <w:p w14:paraId="4176F867" w14:textId="77777777" w:rsidR="00561678" w:rsidRPr="00640820" w:rsidRDefault="00561678" w:rsidP="00640820">
      <w:pPr>
        <w:pStyle w:val="27"/>
        <w:shd w:val="clear" w:color="auto" w:fill="auto"/>
        <w:spacing w:after="0" w:line="240" w:lineRule="auto"/>
        <w:ind w:firstLine="0"/>
        <w:rPr>
          <w:rFonts w:ascii="Times New Roman" w:cs="Times New Roman"/>
          <w:color w:val="000000" w:themeColor="text1"/>
          <w:spacing w:val="0"/>
        </w:rPr>
      </w:pPr>
    </w:p>
    <w:p w14:paraId="0C244CE1" w14:textId="77777777" w:rsidR="00984994" w:rsidRPr="00640820" w:rsidRDefault="00984994"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lastRenderedPageBreak/>
        <w:t>В сентябре 1941 г. начальник зака</w:t>
      </w:r>
      <w:r w:rsidRPr="00640820">
        <w:rPr>
          <w:rFonts w:ascii="Times New Roman" w:cs="Times New Roman"/>
          <w:color w:val="000000" w:themeColor="text1"/>
          <w:spacing w:val="0"/>
        </w:rPr>
        <w:softHyphen/>
        <w:t>зов вооружения Главного управления ВВС КА генерал-лейтенант интендант</w:t>
      </w:r>
      <w:r w:rsidRPr="00640820">
        <w:rPr>
          <w:rFonts w:ascii="Times New Roman" w:cs="Times New Roman"/>
          <w:color w:val="000000" w:themeColor="text1"/>
          <w:spacing w:val="0"/>
        </w:rPr>
        <w:softHyphen/>
        <w:t xml:space="preserve">ской службы Жаров в своем обращении к заместителю Наркома авиационной промышленности П.А. Воронину писал: </w:t>
      </w:r>
      <w:r w:rsidRPr="00640820">
        <w:rPr>
          <w:rStyle w:val="aff5"/>
          <w:rFonts w:ascii="Times New Roman" w:eastAsia="Arial Narrow" w:hAnsi="Times New Roman" w:cs="Times New Roman"/>
          <w:i w:val="0"/>
          <w:color w:val="000000" w:themeColor="text1"/>
          <w:spacing w:val="0"/>
        </w:rPr>
        <w:t>«Опытом боевых действий выявлено, что самолет Су-2 может быть исполь</w:t>
      </w:r>
      <w:r w:rsidRPr="00640820">
        <w:rPr>
          <w:rStyle w:val="aff5"/>
          <w:rFonts w:ascii="Times New Roman" w:eastAsia="Arial Narrow" w:hAnsi="Times New Roman" w:cs="Times New Roman"/>
          <w:i w:val="0"/>
          <w:color w:val="000000" w:themeColor="text1"/>
          <w:spacing w:val="0"/>
        </w:rPr>
        <w:softHyphen/>
        <w:t>зован на фронте не только как ближний бомбардировщик, но и как разведчик</w:t>
      </w:r>
      <w:r w:rsidRPr="00640820">
        <w:rPr>
          <w:rStyle w:val="95pt-1pt"/>
          <w:rFonts w:ascii="Times New Roman" w:hAnsi="Times New Roman" w:cs="Times New Roman"/>
          <w:b w:val="0"/>
          <w:color w:val="000000" w:themeColor="text1"/>
          <w:spacing w:val="0"/>
          <w:sz w:val="16"/>
          <w:szCs w:val="16"/>
        </w:rPr>
        <w:t xml:space="preserve"> и </w:t>
      </w:r>
      <w:r w:rsidRPr="00640820">
        <w:rPr>
          <w:rStyle w:val="aff5"/>
          <w:rFonts w:ascii="Times New Roman" w:eastAsia="Arial Narrow" w:hAnsi="Times New Roman" w:cs="Times New Roman"/>
          <w:i w:val="0"/>
          <w:color w:val="000000" w:themeColor="text1"/>
          <w:spacing w:val="0"/>
        </w:rPr>
        <w:t>корректировщик артиллерийского огня.</w:t>
      </w:r>
    </w:p>
    <w:p w14:paraId="67A615D3" w14:textId="77777777" w:rsidR="00984994" w:rsidRPr="00640820" w:rsidRDefault="00984994" w:rsidP="00640820">
      <w:pPr>
        <w:pStyle w:val="45"/>
        <w:shd w:val="clear" w:color="auto" w:fill="auto"/>
        <w:spacing w:before="0" w:line="240" w:lineRule="auto"/>
        <w:jc w:val="both"/>
        <w:rPr>
          <w:rFonts w:ascii="Times New Roman" w:cs="Times New Roman"/>
          <w:color w:val="000000" w:themeColor="text1"/>
          <w:sz w:val="16"/>
          <w:szCs w:val="16"/>
        </w:rPr>
      </w:pPr>
      <w:r w:rsidRPr="00640820">
        <w:rPr>
          <w:rFonts w:ascii="Times New Roman" w:cs="Times New Roman"/>
          <w:color w:val="000000" w:themeColor="text1"/>
          <w:sz w:val="16"/>
          <w:szCs w:val="16"/>
        </w:rPr>
        <w:t>ГУ ВВС</w:t>
      </w:r>
      <w:r w:rsidRPr="00640820">
        <w:rPr>
          <w:rStyle w:val="495pt"/>
          <w:rFonts w:ascii="Times New Roman" w:hAnsi="Times New Roman" w:cs="Times New Roman"/>
          <w:b w:val="0"/>
          <w:color w:val="000000" w:themeColor="text1"/>
          <w:sz w:val="16"/>
          <w:szCs w:val="16"/>
        </w:rPr>
        <w:t xml:space="preserve"> КА</w:t>
      </w:r>
      <w:r w:rsidRPr="00640820">
        <w:rPr>
          <w:rFonts w:ascii="Times New Roman" w:cs="Times New Roman"/>
          <w:color w:val="000000" w:themeColor="text1"/>
          <w:sz w:val="16"/>
          <w:szCs w:val="16"/>
        </w:rPr>
        <w:t xml:space="preserve"> решено самолеты,</w:t>
      </w:r>
      <w:r w:rsidRPr="00640820">
        <w:rPr>
          <w:rStyle w:val="495pt"/>
          <w:rFonts w:ascii="Times New Roman" w:hAnsi="Times New Roman" w:cs="Times New Roman"/>
          <w:b w:val="0"/>
          <w:color w:val="000000" w:themeColor="text1"/>
          <w:sz w:val="16"/>
          <w:szCs w:val="16"/>
        </w:rPr>
        <w:t xml:space="preserve"> по</w:t>
      </w:r>
      <w:r w:rsidRPr="00640820">
        <w:rPr>
          <w:rStyle w:val="495pt"/>
          <w:rFonts w:ascii="Times New Roman" w:hAnsi="Times New Roman" w:cs="Times New Roman"/>
          <w:b w:val="0"/>
          <w:color w:val="000000" w:themeColor="text1"/>
          <w:sz w:val="16"/>
          <w:szCs w:val="16"/>
        </w:rPr>
        <w:softHyphen/>
      </w:r>
      <w:r w:rsidRPr="00640820">
        <w:rPr>
          <w:rFonts w:ascii="Times New Roman" w:cs="Times New Roman"/>
          <w:color w:val="000000" w:themeColor="text1"/>
          <w:sz w:val="16"/>
          <w:szCs w:val="16"/>
        </w:rPr>
        <w:t>ставляемые заводом №207,</w:t>
      </w:r>
      <w:r w:rsidRPr="00640820">
        <w:rPr>
          <w:rStyle w:val="495pt"/>
          <w:rFonts w:ascii="Times New Roman" w:hAnsi="Times New Roman" w:cs="Times New Roman"/>
          <w:b w:val="0"/>
          <w:color w:val="000000" w:themeColor="text1"/>
          <w:sz w:val="16"/>
          <w:szCs w:val="16"/>
        </w:rPr>
        <w:t xml:space="preserve"> направ</w:t>
      </w:r>
      <w:r w:rsidRPr="00640820">
        <w:rPr>
          <w:rStyle w:val="495pt"/>
          <w:rFonts w:ascii="Times New Roman" w:hAnsi="Times New Roman" w:cs="Times New Roman"/>
          <w:b w:val="0"/>
          <w:color w:val="000000" w:themeColor="text1"/>
          <w:sz w:val="16"/>
          <w:szCs w:val="16"/>
        </w:rPr>
        <w:softHyphen/>
      </w:r>
      <w:r w:rsidRPr="00640820">
        <w:rPr>
          <w:rFonts w:ascii="Times New Roman" w:cs="Times New Roman"/>
          <w:color w:val="000000" w:themeColor="text1"/>
          <w:sz w:val="16"/>
          <w:szCs w:val="16"/>
        </w:rPr>
        <w:t>лять в разведывательные соединения ВВС</w:t>
      </w:r>
      <w:r w:rsidRPr="00640820">
        <w:rPr>
          <w:rStyle w:val="495pt"/>
          <w:rFonts w:ascii="Times New Roman" w:hAnsi="Times New Roman" w:cs="Times New Roman"/>
          <w:b w:val="0"/>
          <w:color w:val="000000" w:themeColor="text1"/>
          <w:sz w:val="16"/>
          <w:szCs w:val="16"/>
        </w:rPr>
        <w:t xml:space="preserve"> КА.</w:t>
      </w:r>
      <w:r w:rsidRPr="00640820">
        <w:rPr>
          <w:rFonts w:ascii="Times New Roman" w:cs="Times New Roman"/>
          <w:color w:val="000000" w:themeColor="text1"/>
          <w:sz w:val="16"/>
          <w:szCs w:val="16"/>
        </w:rPr>
        <w:t xml:space="preserve"> Прошу Вас дать срочное</w:t>
      </w:r>
      <w:r w:rsidRPr="00640820">
        <w:rPr>
          <w:rStyle w:val="495pt0pt"/>
          <w:rFonts w:ascii="Times New Roman" w:hAnsi="Times New Roman" w:cs="Times New Roman"/>
          <w:b w:val="0"/>
          <w:color w:val="000000" w:themeColor="text1"/>
          <w:spacing w:val="0"/>
          <w:sz w:val="16"/>
          <w:szCs w:val="16"/>
        </w:rPr>
        <w:t xml:space="preserve"> ука</w:t>
      </w:r>
      <w:r w:rsidRPr="00640820">
        <w:rPr>
          <w:rStyle w:val="495pt0pt"/>
          <w:rFonts w:ascii="Times New Roman" w:hAnsi="Times New Roman" w:cs="Times New Roman"/>
          <w:b w:val="0"/>
          <w:color w:val="000000" w:themeColor="text1"/>
          <w:spacing w:val="0"/>
          <w:sz w:val="16"/>
          <w:szCs w:val="16"/>
        </w:rPr>
        <w:softHyphen/>
      </w:r>
      <w:r w:rsidRPr="00640820">
        <w:rPr>
          <w:rFonts w:ascii="Times New Roman" w:cs="Times New Roman"/>
          <w:color w:val="000000" w:themeColor="text1"/>
          <w:sz w:val="16"/>
          <w:szCs w:val="16"/>
        </w:rPr>
        <w:t>зание директору завода 207 т.</w:t>
      </w:r>
      <w:r w:rsidRPr="00640820">
        <w:rPr>
          <w:rStyle w:val="495pt"/>
          <w:rFonts w:ascii="Times New Roman" w:hAnsi="Times New Roman" w:cs="Times New Roman"/>
          <w:b w:val="0"/>
          <w:color w:val="000000" w:themeColor="text1"/>
          <w:sz w:val="16"/>
          <w:szCs w:val="16"/>
        </w:rPr>
        <w:t xml:space="preserve"> Климов- </w:t>
      </w:r>
      <w:r w:rsidRPr="00640820">
        <w:rPr>
          <w:rFonts w:ascii="Times New Roman" w:cs="Times New Roman"/>
          <w:color w:val="000000" w:themeColor="text1"/>
          <w:sz w:val="16"/>
          <w:szCs w:val="16"/>
        </w:rPr>
        <w:t>никову поставлять ГУ ВВС</w:t>
      </w:r>
      <w:r w:rsidRPr="00640820">
        <w:rPr>
          <w:rStyle w:val="495pt"/>
          <w:rFonts w:ascii="Times New Roman" w:hAnsi="Times New Roman" w:cs="Times New Roman"/>
          <w:b w:val="0"/>
          <w:color w:val="000000" w:themeColor="text1"/>
          <w:sz w:val="16"/>
          <w:szCs w:val="16"/>
        </w:rPr>
        <w:t xml:space="preserve"> КА самолет </w:t>
      </w:r>
      <w:r w:rsidRPr="00640820">
        <w:rPr>
          <w:rFonts w:ascii="Times New Roman" w:cs="Times New Roman"/>
          <w:color w:val="000000" w:themeColor="text1"/>
          <w:sz w:val="16"/>
          <w:szCs w:val="16"/>
        </w:rPr>
        <w:t>Су-2, дополнительно оборудованные под аэрофотоаппараты</w:t>
      </w:r>
      <w:r w:rsidRPr="00640820">
        <w:rPr>
          <w:rStyle w:val="495pt"/>
          <w:rFonts w:ascii="Times New Roman" w:hAnsi="Times New Roman" w:cs="Times New Roman"/>
          <w:b w:val="0"/>
          <w:color w:val="000000" w:themeColor="text1"/>
          <w:sz w:val="16"/>
          <w:szCs w:val="16"/>
        </w:rPr>
        <w:t xml:space="preserve"> АФА</w:t>
      </w:r>
      <w:r w:rsidRPr="00640820">
        <w:rPr>
          <w:rFonts w:ascii="Times New Roman" w:cs="Times New Roman"/>
          <w:color w:val="000000" w:themeColor="text1"/>
          <w:sz w:val="16"/>
          <w:szCs w:val="16"/>
        </w:rPr>
        <w:t xml:space="preserve"> по</w:t>
      </w:r>
      <w:r w:rsidRPr="00640820">
        <w:rPr>
          <w:rStyle w:val="495pt"/>
          <w:rFonts w:ascii="Times New Roman" w:hAnsi="Times New Roman" w:cs="Times New Roman"/>
          <w:b w:val="0"/>
          <w:color w:val="000000" w:themeColor="text1"/>
          <w:sz w:val="16"/>
          <w:szCs w:val="16"/>
        </w:rPr>
        <w:t xml:space="preserve"> черте</w:t>
      </w:r>
      <w:r w:rsidRPr="00640820">
        <w:rPr>
          <w:rStyle w:val="495pt"/>
          <w:rFonts w:ascii="Times New Roman" w:hAnsi="Times New Roman" w:cs="Times New Roman"/>
          <w:b w:val="0"/>
          <w:color w:val="000000" w:themeColor="text1"/>
          <w:sz w:val="16"/>
          <w:szCs w:val="16"/>
        </w:rPr>
        <w:softHyphen/>
      </w:r>
      <w:r w:rsidRPr="00640820">
        <w:rPr>
          <w:rFonts w:ascii="Times New Roman" w:cs="Times New Roman"/>
          <w:color w:val="000000" w:themeColor="text1"/>
          <w:sz w:val="16"/>
          <w:szCs w:val="16"/>
        </w:rPr>
        <w:t>жам Гпавного конструктора,</w:t>
      </w:r>
      <w:r w:rsidRPr="00640820">
        <w:rPr>
          <w:rStyle w:val="495pt"/>
          <w:rFonts w:ascii="Times New Roman" w:hAnsi="Times New Roman" w:cs="Times New Roman"/>
          <w:b w:val="0"/>
          <w:color w:val="000000" w:themeColor="text1"/>
          <w:sz w:val="16"/>
          <w:szCs w:val="16"/>
        </w:rPr>
        <w:t xml:space="preserve"> радиостан</w:t>
      </w:r>
      <w:r w:rsidRPr="00640820">
        <w:rPr>
          <w:rStyle w:val="495pt"/>
          <w:rFonts w:ascii="Times New Roman" w:hAnsi="Times New Roman" w:cs="Times New Roman"/>
          <w:b w:val="0"/>
          <w:color w:val="000000" w:themeColor="text1"/>
          <w:sz w:val="16"/>
          <w:szCs w:val="16"/>
        </w:rPr>
        <w:softHyphen/>
      </w:r>
      <w:r w:rsidRPr="00640820">
        <w:rPr>
          <w:rFonts w:ascii="Times New Roman" w:cs="Times New Roman"/>
          <w:color w:val="000000" w:themeColor="text1"/>
          <w:sz w:val="16"/>
          <w:szCs w:val="16"/>
        </w:rPr>
        <w:t>цией РСБ, СПУ» (15762).</w:t>
      </w:r>
    </w:p>
    <w:p w14:paraId="69A0216E" w14:textId="77777777" w:rsidR="00984994" w:rsidRPr="00640820" w:rsidRDefault="00984994" w:rsidP="00640820">
      <w:pPr>
        <w:pStyle w:val="45"/>
        <w:shd w:val="clear" w:color="auto" w:fill="auto"/>
        <w:spacing w:before="0" w:line="240" w:lineRule="auto"/>
        <w:jc w:val="both"/>
        <w:rPr>
          <w:rFonts w:ascii="Times New Roman" w:cs="Times New Roman"/>
          <w:color w:val="000000" w:themeColor="text1"/>
          <w:sz w:val="16"/>
          <w:szCs w:val="16"/>
        </w:rPr>
      </w:pPr>
    </w:p>
    <w:p w14:paraId="3F2F7AB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по распоряжению П.А.Воронина завод №207 начал поставку в войска самолетов Су-2, оборудованных в варианте развед</w:t>
      </w:r>
      <w:r w:rsidRPr="00640820">
        <w:rPr>
          <w:rFonts w:ascii="Times New Roman" w:hAnsi="Times New Roman"/>
          <w:color w:val="000000" w:themeColor="text1"/>
          <w:sz w:val="16"/>
          <w:szCs w:val="16"/>
        </w:rPr>
        <w:softHyphen/>
        <w:t>чика и корректировщика артиллерий</w:t>
      </w:r>
      <w:r w:rsidRPr="00640820">
        <w:rPr>
          <w:rFonts w:ascii="Times New Roman" w:hAnsi="Times New Roman"/>
          <w:color w:val="000000" w:themeColor="text1"/>
          <w:sz w:val="16"/>
          <w:szCs w:val="16"/>
        </w:rPr>
        <w:softHyphen/>
        <w:t>ского огня. До начала эвакуации за</w:t>
      </w:r>
      <w:r w:rsidRPr="00640820">
        <w:rPr>
          <w:rFonts w:ascii="Times New Roman" w:hAnsi="Times New Roman"/>
          <w:color w:val="000000" w:themeColor="text1"/>
          <w:sz w:val="16"/>
          <w:szCs w:val="16"/>
        </w:rPr>
        <w:softHyphen/>
        <w:t>вод №207 передал в части 18 ма</w:t>
      </w:r>
      <w:r w:rsidRPr="00640820">
        <w:rPr>
          <w:rFonts w:ascii="Times New Roman" w:hAnsi="Times New Roman"/>
          <w:color w:val="000000" w:themeColor="text1"/>
          <w:sz w:val="16"/>
          <w:szCs w:val="16"/>
        </w:rPr>
        <w:softHyphen/>
        <w:t>шин (11849).</w:t>
      </w:r>
    </w:p>
    <w:p w14:paraId="1B846F3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AB608E" w14:textId="77777777" w:rsidR="00561678" w:rsidRPr="00640820" w:rsidRDefault="00561678"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В сентябре 1942 по распоряжению П.А.Во</w:t>
      </w:r>
      <w:r w:rsidRPr="00640820">
        <w:rPr>
          <w:rFonts w:ascii="Times New Roman" w:cs="Times New Roman"/>
          <w:color w:val="000000" w:themeColor="text1"/>
          <w:spacing w:val="0"/>
        </w:rPr>
        <w:softHyphen/>
        <w:t>ронина завод № 207 уже начал поставку в войска самопетов оборудованных в варианте разведчика и корректировщика артиплерийского огня До начала эваку</w:t>
      </w:r>
      <w:r w:rsidRPr="00640820">
        <w:rPr>
          <w:rFonts w:ascii="Times New Roman" w:cs="Times New Roman"/>
          <w:color w:val="000000" w:themeColor="text1"/>
          <w:spacing w:val="0"/>
        </w:rPr>
        <w:softHyphen/>
        <w:t>ации это предприятие успепо отправить в строевые части 18 машин (19102).</w:t>
      </w:r>
    </w:p>
    <w:p w14:paraId="43A3FDAE" w14:textId="77777777" w:rsidR="00561678" w:rsidRPr="00640820" w:rsidRDefault="00561678" w:rsidP="00640820">
      <w:pPr>
        <w:pStyle w:val="27"/>
        <w:shd w:val="clear" w:color="auto" w:fill="auto"/>
        <w:spacing w:after="0" w:line="240" w:lineRule="auto"/>
        <w:ind w:firstLine="0"/>
        <w:rPr>
          <w:rFonts w:ascii="Times New Roman" w:cs="Times New Roman"/>
          <w:color w:val="000000" w:themeColor="text1"/>
          <w:spacing w:val="0"/>
        </w:rPr>
      </w:pPr>
    </w:p>
    <w:p w14:paraId="0547CA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Завод № 207 заметно увеличил выпуск Су-2 и смог сдать 5 машин в варианте артиллерийского корректировщика и 6 - дальнего фоторазведчика с дополнительным бензобаком (три из них немедленно направили в 9-ю дальнеразведывательную эскадрилью); удалось отработать установку РО и модифицированных фотоустановок АФА-1 и НАФА-19. Никто не мог тогда предполагать, что очень скоро трудовой ритм будет прерван. Неожиданный прорыв немцев к Москве (началась операция "Тайфун", в ходе которой Гитлер планировал захватить советскую столицу) вынудил Совет по эвакуации отдать приказ перебазировать на восток Долгопрудненский завод вместе с другими предприятиями Москвы и Подмосковья. 8 октября было решено эвакуировать завод № 207 в Пермь, где объединить его с заводом № 135 в единое мошное предприятие по производству Су-2 (12028).</w:t>
      </w:r>
    </w:p>
    <w:p w14:paraId="2E3975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D6DC0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и в июле 1941 года на научно-испытательном полигоне авиационного вооружения ВВС (НИП АВ ВВС КА) прошел испытания се</w:t>
      </w:r>
      <w:r w:rsidRPr="00640820">
        <w:rPr>
          <w:rFonts w:ascii="Times New Roman" w:hAnsi="Times New Roman"/>
          <w:color w:val="000000" w:themeColor="text1"/>
          <w:sz w:val="16"/>
          <w:szCs w:val="16"/>
        </w:rPr>
        <w:softHyphen/>
        <w:t>рийный самолет Су-2 (№070403), во</w:t>
      </w:r>
      <w:r w:rsidRPr="00640820">
        <w:rPr>
          <w:rFonts w:ascii="Times New Roman" w:hAnsi="Times New Roman"/>
          <w:color w:val="000000" w:themeColor="text1"/>
          <w:sz w:val="16"/>
          <w:szCs w:val="16"/>
        </w:rPr>
        <w:softHyphen/>
        <w:t>оруженный десятью ракетными сна</w:t>
      </w:r>
      <w:r w:rsidRPr="00640820">
        <w:rPr>
          <w:rFonts w:ascii="Times New Roman" w:hAnsi="Times New Roman"/>
          <w:color w:val="000000" w:themeColor="text1"/>
          <w:sz w:val="16"/>
          <w:szCs w:val="16"/>
        </w:rPr>
        <w:softHyphen/>
        <w:t>рядами РС-132 и РС-82. По заклю</w:t>
      </w:r>
      <w:r w:rsidRPr="00640820">
        <w:rPr>
          <w:rFonts w:ascii="Times New Roman" w:hAnsi="Times New Roman"/>
          <w:color w:val="000000" w:themeColor="text1"/>
          <w:sz w:val="16"/>
          <w:szCs w:val="16"/>
        </w:rPr>
        <w:softHyphen/>
        <w:t>чению НИП АВ ВВС КА ракетная ус</w:t>
      </w:r>
      <w:r w:rsidRPr="00640820">
        <w:rPr>
          <w:rFonts w:ascii="Times New Roman" w:hAnsi="Times New Roman"/>
          <w:color w:val="000000" w:themeColor="text1"/>
          <w:sz w:val="16"/>
          <w:szCs w:val="16"/>
        </w:rPr>
        <w:softHyphen/>
        <w:t>тановка под РС-82 с возможностью перехода на РС-132 на самолете Су-2, полигонные испытания выдер</w:t>
      </w:r>
      <w:r w:rsidRPr="00640820">
        <w:rPr>
          <w:rFonts w:ascii="Times New Roman" w:hAnsi="Times New Roman"/>
          <w:color w:val="000000" w:themeColor="text1"/>
          <w:sz w:val="16"/>
          <w:szCs w:val="16"/>
        </w:rPr>
        <w:softHyphen/>
        <w:t>жала (11849).</w:t>
      </w:r>
    </w:p>
    <w:p w14:paraId="268243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E5A41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w:t>
      </w:r>
      <w:r w:rsidRPr="00640820">
        <w:rPr>
          <w:rFonts w:ascii="Times New Roman" w:hAnsi="Times New Roman"/>
          <w:color w:val="000000" w:themeColor="text1"/>
          <w:sz w:val="16"/>
          <w:szCs w:val="16"/>
        </w:rPr>
        <w:softHyphen/>
        <w:t>тябре 1941 года в Харькове на заво</w:t>
      </w:r>
      <w:r w:rsidRPr="00640820">
        <w:rPr>
          <w:rFonts w:ascii="Times New Roman" w:hAnsi="Times New Roman"/>
          <w:color w:val="000000" w:themeColor="text1"/>
          <w:sz w:val="16"/>
          <w:szCs w:val="16"/>
        </w:rPr>
        <w:softHyphen/>
        <w:t>де № 135 были выпущены первые два серийных бомбардировщика Су-2 с М-82. Таким образом, именно Су-2 стал первым серийным самолетом с мотором М-82. В октябре этот за</w:t>
      </w:r>
      <w:r w:rsidRPr="00640820">
        <w:rPr>
          <w:rFonts w:ascii="Times New Roman" w:hAnsi="Times New Roman"/>
          <w:color w:val="000000" w:themeColor="text1"/>
          <w:sz w:val="16"/>
          <w:szCs w:val="16"/>
        </w:rPr>
        <w:softHyphen/>
        <w:t>вод, также как и ОКБ Сухого, был эва</w:t>
      </w:r>
      <w:r w:rsidRPr="00640820">
        <w:rPr>
          <w:rFonts w:ascii="Times New Roman" w:hAnsi="Times New Roman"/>
          <w:color w:val="000000" w:themeColor="text1"/>
          <w:sz w:val="16"/>
          <w:szCs w:val="16"/>
        </w:rPr>
        <w:softHyphen/>
        <w:t>куирован в Пермь, где рядом с заво</w:t>
      </w:r>
      <w:r w:rsidRPr="00640820">
        <w:rPr>
          <w:rFonts w:ascii="Times New Roman" w:hAnsi="Times New Roman"/>
          <w:color w:val="000000" w:themeColor="text1"/>
          <w:sz w:val="16"/>
          <w:szCs w:val="16"/>
        </w:rPr>
        <w:softHyphen/>
        <w:t>дом №19 и намечалось развернуть производство Су-2 с М-82. На 1 но</w:t>
      </w:r>
      <w:r w:rsidRPr="00640820">
        <w:rPr>
          <w:rFonts w:ascii="Times New Roman" w:hAnsi="Times New Roman"/>
          <w:color w:val="000000" w:themeColor="text1"/>
          <w:sz w:val="16"/>
          <w:szCs w:val="16"/>
        </w:rPr>
        <w:softHyphen/>
        <w:t>ября завод №19 выпустил уже около 100 серийных моторов (10686).</w:t>
      </w:r>
    </w:p>
    <w:p w14:paraId="179614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38B9214" w14:textId="77777777" w:rsidR="00984994" w:rsidRPr="00640820" w:rsidRDefault="00984994" w:rsidP="00640820">
      <w:pPr>
        <w:pStyle w:val="a3"/>
        <w:rPr>
          <w:color w:val="000000" w:themeColor="text1"/>
          <w:lang w:val="ru-RU"/>
        </w:rPr>
      </w:pPr>
      <w:r w:rsidRPr="00640820">
        <w:rPr>
          <w:color w:val="000000" w:themeColor="text1"/>
          <w:lang w:val="ru-RU"/>
        </w:rPr>
        <w:t>В сентябре 1941 г. на заводе № 135 выпустили первые два серийных бомбардировщика Су-2 с М-82. Таким образом, именно Су-2 стал первым серийным самолётом с мотором М-82. В октябре этот завод, также как и ОКБ Сухого, эвакуиро</w:t>
      </w:r>
      <w:r w:rsidRPr="00640820">
        <w:rPr>
          <w:color w:val="000000" w:themeColor="text1"/>
          <w:lang w:val="ru-RU"/>
        </w:rPr>
        <w:softHyphen/>
        <w:t>вали в Пермь, где рядом с заводом № 19 и намечалось развернуть производство Су-2 с М-82. На 1 ноября завод № 19 выпустил уже около 100 серийных моторов (57880.</w:t>
      </w:r>
    </w:p>
    <w:p w14:paraId="4C701049" w14:textId="77777777" w:rsidR="00984994" w:rsidRPr="00640820" w:rsidRDefault="00984994" w:rsidP="00640820">
      <w:pPr>
        <w:spacing w:after="0" w:line="240" w:lineRule="auto"/>
        <w:jc w:val="both"/>
        <w:rPr>
          <w:rFonts w:ascii="Times New Roman" w:hAnsi="Times New Roman"/>
          <w:color w:val="000000" w:themeColor="text1"/>
          <w:sz w:val="16"/>
          <w:szCs w:val="16"/>
        </w:rPr>
      </w:pPr>
    </w:p>
    <w:p w14:paraId="022DA6A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Начальник заказов вооружения ГУ ВВС КА генерал-лейтенант ин</w:t>
      </w:r>
      <w:r w:rsidRPr="00640820">
        <w:rPr>
          <w:rFonts w:ascii="Times New Roman" w:hAnsi="Times New Roman"/>
          <w:color w:val="000000" w:themeColor="text1"/>
          <w:sz w:val="16"/>
          <w:szCs w:val="16"/>
        </w:rPr>
        <w:softHyphen/>
        <w:t>тендантской службы Жаров в своем обращении к зам. Наркома авиапромышленности П.А. Воронину писал: «Опытом боевых действий выявлено, что самолёт Су-2 может быть использован на фронте не только как ближний бомбардировщик, но и как развед</w:t>
      </w:r>
      <w:r w:rsidRPr="00640820">
        <w:rPr>
          <w:rFonts w:ascii="Times New Roman" w:hAnsi="Times New Roman"/>
          <w:color w:val="000000" w:themeColor="text1"/>
          <w:sz w:val="16"/>
          <w:szCs w:val="16"/>
        </w:rPr>
        <w:softHyphen/>
        <w:t>чик и корректировщик артиллерийского огня.</w:t>
      </w:r>
    </w:p>
    <w:p w14:paraId="2C5EF7E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ГУ ВВС КА решено самолёты, поставляемые заводом № 207, направлять в разведы</w:t>
      </w:r>
      <w:r w:rsidRPr="00640820">
        <w:rPr>
          <w:rFonts w:ascii="Times New Roman" w:hAnsi="Times New Roman"/>
          <w:color w:val="000000" w:themeColor="text1"/>
          <w:sz w:val="16"/>
          <w:szCs w:val="16"/>
        </w:rPr>
        <w:softHyphen/>
        <w:t>вательные соединения ВВС КА. Прошу Вас дать срочное указание: 1. Директору завода № 207 т.Климовникову поставлять ГУ ВВС КА самолёты Су-2 дополнительно оборудо</w:t>
      </w:r>
      <w:r w:rsidRPr="00640820">
        <w:rPr>
          <w:rFonts w:ascii="Times New Roman" w:hAnsi="Times New Roman"/>
          <w:color w:val="000000" w:themeColor="text1"/>
          <w:sz w:val="16"/>
          <w:szCs w:val="16"/>
        </w:rPr>
        <w:softHyphen/>
        <w:t>ванные &lt;...&gt; (Шелест И.И. Лечу за мечтой. М. 1989. С. 323-324.).</w:t>
      </w:r>
    </w:p>
    <w:p w14:paraId="5258812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получении положительных результатов испытаний все перечисленное оборудова</w:t>
      </w:r>
      <w:r w:rsidRPr="00640820">
        <w:rPr>
          <w:rFonts w:ascii="Times New Roman" w:hAnsi="Times New Roman"/>
          <w:color w:val="000000" w:themeColor="text1"/>
          <w:sz w:val="16"/>
          <w:szCs w:val="16"/>
        </w:rPr>
        <w:softHyphen/>
        <w:t>ние внедрить в серию на самолётах, выпускаемых заводом № 207» (ЦАМО. Ф. ГК НИИ ВВС. Оп. 485754. Д. 151. Л. 7, 37.).</w:t>
      </w:r>
    </w:p>
    <w:p w14:paraId="286097A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начала эвакуа</w:t>
      </w:r>
      <w:r w:rsidRPr="00640820">
        <w:rPr>
          <w:rFonts w:ascii="Times New Roman" w:hAnsi="Times New Roman"/>
          <w:color w:val="000000" w:themeColor="text1"/>
          <w:sz w:val="16"/>
          <w:szCs w:val="16"/>
        </w:rPr>
        <w:softHyphen/>
        <w:t>ции завод № 207 сдал в части 18 Су-2 в варианте разведчика-корректировщика. В октябре 1941 г. завод эвакуировался в город Молотов (Пермь) и влился в эвакуирован</w:t>
      </w:r>
      <w:r w:rsidRPr="00640820">
        <w:rPr>
          <w:rFonts w:ascii="Times New Roman" w:hAnsi="Times New Roman"/>
          <w:color w:val="000000" w:themeColor="text1"/>
          <w:sz w:val="16"/>
          <w:szCs w:val="16"/>
        </w:rPr>
        <w:softHyphen/>
        <w:t>ный из Харькова завод № 135. В феврале 1942 г. в связи с расформированием завод № 135 прекратил производство Су-2. Всего этими самолётами вооружили 12 разведы</w:t>
      </w:r>
      <w:r w:rsidRPr="00640820">
        <w:rPr>
          <w:rFonts w:ascii="Times New Roman" w:hAnsi="Times New Roman"/>
          <w:color w:val="000000" w:themeColor="text1"/>
          <w:sz w:val="16"/>
          <w:szCs w:val="16"/>
        </w:rPr>
        <w:softHyphen/>
        <w:t>вательных и корректировочных эскадрилий и 18 звеньев (11696).</w:t>
      </w:r>
    </w:p>
    <w:p w14:paraId="1CA6C89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6B45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Если в сентябре 1941 г. бомбардировщик Пе-2 35-й серии на контрольных испытаниях разгонялся на второй границе высотности до скорости 530 км/ч, то в марте 1942 г. - 520 км/ч, а в мае - только 505 км/ч (87-я серия). Из всех советских бомбардировщиков периода Великой Отечественной войны у Пе-2 во время серийного производства скорость снизилась наиболее значительно. Это было связано с ростом полетного веса и ухудшением качества сборки и отделки на заводах. Заводы укомплектовывались неопытными женщинами и подростками, которым при всем старании не хватало сноровки кадровых рабочих. Им физически трудно было справляться с неподатливым дюралем в течение долгого 11-часового рабочего дня. Поэтому военной приемкой отмечались плохая герметизация самолетов, некачественная подгонка листов обшивки, вмятины, искажение аэродинамического профиля крыла. Сказалось и ухудшение обтекания машины после снятия "черепахи" (12042).</w:t>
      </w:r>
    </w:p>
    <w:p w14:paraId="3F4D22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44C0CE9" w14:textId="77777777" w:rsidR="00872EF7" w:rsidRPr="00640820" w:rsidRDefault="00872EF7" w:rsidP="00640820">
      <w:pPr>
        <w:shd w:val="clear" w:color="auto" w:fill="FFFFFF"/>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сентябре 1941 г. был испытан Пе-2 № 9/9 турель ТСС-1 со ШКАСом заменили на «башенную» МВ-7 с новейшим пулеметом Березина БТ-12,7, а подфюзеляжную установку МВ-2 ограничили подвижной спаркой ШКАСов, но доработка не внедрялась.</w:t>
      </w:r>
    </w:p>
    <w:p w14:paraId="44980AE7" w14:textId="77777777" w:rsidR="00872EF7" w:rsidRPr="00640820" w:rsidRDefault="00872EF7" w:rsidP="00640820">
      <w:pPr>
        <w:shd w:val="clear" w:color="auto" w:fill="FFFFFF"/>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строевую эксплуатацию пулеметы БТ впервые попали на нескольких машинах 13-й серии в верхней турели ВУБ-2 под серийным остеклением типа «черепаха». Они были эффективнее, но их пока на всех не хватало, да и новая установка в старой кабине работала не с полными углами обстрела и требовала много времени на изготовку к стрельбе (22827).</w:t>
      </w:r>
    </w:p>
    <w:p w14:paraId="17E72BF8" w14:textId="77777777" w:rsidR="00872EF7" w:rsidRPr="00640820" w:rsidRDefault="00872EF7" w:rsidP="00640820">
      <w:pPr>
        <w:shd w:val="clear" w:color="auto" w:fill="FFFFFF"/>
        <w:spacing w:after="0" w:line="240" w:lineRule="auto"/>
        <w:jc w:val="both"/>
        <w:rPr>
          <w:rFonts w:ascii="Times New Roman" w:hAnsi="Times New Roman"/>
          <w:color w:val="0070C0"/>
          <w:sz w:val="16"/>
          <w:szCs w:val="16"/>
        </w:rPr>
      </w:pPr>
    </w:p>
    <w:p w14:paraId="05ECE4AB" w14:textId="77777777" w:rsidR="00D10CF3" w:rsidRPr="00640820" w:rsidRDefault="00D10CF3" w:rsidP="00640820">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640820">
        <w:rPr>
          <w:rFonts w:ascii="Times New Roman" w:hAnsi="Times New Roman"/>
          <w:color w:val="0070C0"/>
          <w:sz w:val="16"/>
          <w:szCs w:val="16"/>
        </w:rPr>
        <w:t>В сентябре 1941 г. под крылом Пе-2 № 16/32 поставили 10 реактивных орудий РО-132 для пуска снарядов РС-132 с осколочной боевой частью, бронебойных РБС-132 и других того же калибра. Реактивное вооружение было эффективным, но скорость упала на 25 … 30 км/ч с пустыми направляющими и на 35 … 45 км/ч со снарядами, и их получила лишь небольшая часть Пе-2 выпуска осени-зимы 1941 г. Легкие реактивные снаряды РС-82 пытались использовать для защиты от атак сзади по опыту полевой доработки тяжелых истребителей Пе-3 в 208-м скоростном бомбардировочном авиаполку. В ноябре 1941 г. во 2-м отдельном дальнеразведывательном авиаполку техник А. Помазанский сам поставил два реактивных орудия на фюзеляж Пе-2. Его изобретение в разных вариантах, пусть и не часто, но все же повторялось и дальше в других полках (22827).</w:t>
      </w:r>
    </w:p>
    <w:p w14:paraId="6C0D287E" w14:textId="77777777" w:rsidR="00D10CF3" w:rsidRPr="00640820" w:rsidRDefault="00D10CF3" w:rsidP="00640820">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p>
    <w:p w14:paraId="0D3D48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по заданию Г.М.Маленкова на 39 заводе стали делать модифицированный Пе-3 и появился Пе-3бис. Он испытывался в НИИ ВВС в сентябре-октябре 1941 А.Хрипковым и было выполнено 40 полетов. Вместо БК поставили УБК (250 патронов на пулемет) и одну ШВАК (250 снарядов), а вместо штурманской ТСС-1 со ШКАС поставили УБТ с 180 патронов во вращающейся башне + некоторые другие изменения. Масса выросла и скорость уменьшилась да 530 км/ч (235,4).</w:t>
      </w:r>
    </w:p>
    <w:p w14:paraId="0317EB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7AEC0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начали серию Ту-2 как 103У (4,178), но в октябре 1941 серию закончили, т.к. АМ-37 перестали делать и они пошли на Ил-2 (2348,44).</w:t>
      </w:r>
    </w:p>
    <w:p w14:paraId="162E52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A31F9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другим данным в сентябре 1941 была закончена передача заводу 166 рабочих чертежей по 103У 2М-37 - 103С (1835,19).</w:t>
      </w:r>
    </w:p>
    <w:p w14:paraId="3A41F0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EA4D6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на 166 поступила все рабочие чертежи 103С и началась постройка серии из 10 машин. 103С при нормальном взлетном весе в 10750 кг должен был на высоте 7700 м иметь скорость 604 км/час. Рассмотрели и вариант на неубирающихся лыжах, но скорость падала до 535 км/час (1835,16).</w:t>
      </w:r>
    </w:p>
    <w:p w14:paraId="64D09F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2830F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Пе-2Ф собрали и передали на заводские испытания. Тут-то и выяснилось, что силовая установка машины требует длительной доработки. Ни о какой серии и речи быть не могло, поскольку каждый второй полет заканчивался вынужденной посадкой. Время оказалось упущено. В условиях обострившейся нехватки боевых самолетов на фронтах и эвакуации заводов на Восток, стало не до опытов. Работы по ВИ оказались временно свернуты. Впоследствии идею высотного истребителя на базе Пе-2 попытался реализовать один из ближайших сотрудников В.М. Петлякова и новый главный конструктор “пешек” А.И. Путилов (4476).</w:t>
      </w:r>
    </w:p>
    <w:p w14:paraId="69077D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F6EEE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удалось собрать планер первой машины Пе-2Ф и изготовить агрегаты второй. Осенью 1941 г. перебазирование завода из Москвы в Казань прибавило трудностей. Угрожающее положение, сложившееся в октябре под Москвой, заставило пойти на отчаянный шаг. Вместо испытательного полета “сырую” машину пришлось перегнать в Казань “своим ходом”. Перелет, к счастью, прошел успешно (4476).</w:t>
      </w:r>
    </w:p>
    <w:p w14:paraId="3DC5A1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1C543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сентябре 1941 г. впервые предприняли попытку установить на Пе-2 пулемет БТ у штурмана - конструкция называлась МВ-7 и представляла собой ограниченно подвижную турель под вращающимся экраном-башней. Позднее эксперименты перенесли на истребитель Пе-3 с тем, чтобы привлечь к этой работе завод № 39. Проблема создания удовлетворяющей штурманов верхней стрелковой установки оказалась настолько сложной, что ее решение заняло более полугода. В 1942 г. на серийных машинах последовательно появились шкворневая установка “ФТ”, а позднее - турель ВУБ-1. Оснащенные крупнокалиберным пулеметом Березина, обе конструкции были не лишены недостатков (4476).</w:t>
      </w:r>
    </w:p>
    <w:p w14:paraId="67C973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6625172" w14:textId="77777777" w:rsidR="00984994" w:rsidRPr="00640820" w:rsidRDefault="00984994"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года в Иркутск стали прибывать эшелоны с оборудованием, рабочими, ИТР и служащими вместе с семьями Ленинградского патронного завода № 540 (до войны - бывший цех крупнейшего в стране завода № 60 стрелкового оружия наркомата вооружения). Прибывшее оборудование стали монтировать в здании № 3 по улице Красной Звезды (ныне ул. Сухэ-Батора), и в зданиях №№ 5 и 7 по улице Ленина. Административные службы завода располагались на первом этаже жилого дома № 9, так же по улице Ленина.</w:t>
      </w:r>
    </w:p>
    <w:p w14:paraId="74DB53DC" w14:textId="77777777" w:rsidR="00984994" w:rsidRPr="00640820" w:rsidRDefault="00984994"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в Иркутск прибыл эшелон с оборудованием и рабочими Ленинградской авиаремонтной мастерской (АРМ-21), выпускавшей самолеты-амфибии. АРМ-21 разместили на производственных площадях Иркутских авиамастерских, преобразованных вскоре в авиаремонтную базу АРБ-403 по выпуску самолетов-амфибий (15223).</w:t>
      </w:r>
    </w:p>
    <w:p w14:paraId="1D2D09C6" w14:textId="77777777" w:rsidR="00984994" w:rsidRPr="00640820" w:rsidRDefault="00984994" w:rsidP="00640820">
      <w:pPr>
        <w:shd w:val="clear" w:color="auto" w:fill="FFFFFF"/>
        <w:spacing w:after="0" w:line="240" w:lineRule="auto"/>
        <w:jc w:val="both"/>
        <w:rPr>
          <w:rFonts w:ascii="Times New Roman" w:hAnsi="Times New Roman"/>
          <w:color w:val="000000" w:themeColor="text1"/>
          <w:sz w:val="16"/>
          <w:szCs w:val="16"/>
        </w:rPr>
      </w:pPr>
    </w:p>
    <w:p w14:paraId="63DCA54D" w14:textId="77777777" w:rsidR="00984994" w:rsidRPr="00640820" w:rsidRDefault="00984994" w:rsidP="00640820">
      <w:pPr>
        <w:shd w:val="clear" w:color="auto" w:fill="FFFFFF"/>
        <w:spacing w:after="0" w:line="240" w:lineRule="auto"/>
        <w:jc w:val="both"/>
        <w:rPr>
          <w:rFonts w:ascii="Times New Roman" w:hAnsi="Times New Roman"/>
          <w:iCs/>
          <w:color w:val="000000" w:themeColor="text1"/>
          <w:sz w:val="16"/>
          <w:szCs w:val="16"/>
        </w:rPr>
      </w:pPr>
      <w:r w:rsidRPr="00640820">
        <w:rPr>
          <w:rFonts w:ascii="Times New Roman" w:hAnsi="Times New Roman"/>
          <w:color w:val="000000" w:themeColor="text1"/>
          <w:sz w:val="16"/>
          <w:szCs w:val="16"/>
        </w:rPr>
        <w:t xml:space="preserve">В сентябре 1941 года Директор завода № 125 И.Б. Иосилович докладывает в Наркомат: Директор завода И.Б. Иосилович: </w:t>
      </w:r>
      <w:r w:rsidRPr="00640820">
        <w:rPr>
          <w:rFonts w:ascii="Times New Roman" w:hAnsi="Times New Roman"/>
          <w:iCs/>
          <w:color w:val="000000" w:themeColor="text1"/>
          <w:sz w:val="16"/>
          <w:szCs w:val="16"/>
        </w:rPr>
        <w:t>Объект № 4 (бывший завод № 104 НКО) полностью нами освоен и уже выпускает крылья и Ф-1 (15223).</w:t>
      </w:r>
    </w:p>
    <w:p w14:paraId="22BE79E7" w14:textId="77777777" w:rsidR="00984994" w:rsidRPr="00640820" w:rsidRDefault="00984994" w:rsidP="00640820">
      <w:pPr>
        <w:shd w:val="clear" w:color="auto" w:fill="FFFFFF"/>
        <w:spacing w:after="0" w:line="240" w:lineRule="auto"/>
        <w:jc w:val="both"/>
        <w:rPr>
          <w:rFonts w:ascii="Times New Roman" w:hAnsi="Times New Roman"/>
          <w:iCs/>
          <w:color w:val="000000" w:themeColor="text1"/>
          <w:sz w:val="16"/>
          <w:szCs w:val="16"/>
        </w:rPr>
      </w:pPr>
    </w:p>
    <w:p w14:paraId="00576139" w14:textId="77777777" w:rsidR="00984994" w:rsidRPr="00640820" w:rsidRDefault="00984994"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года Улан-Удэнский филиал поставил в Иркутск первые 32 агрегата Пе-2, однако поставленные агрегаты имели множество дефектов, встречался и производственный брак. Основной причиной низкого качества, по заключению иркутских специалистов, являлось отсутствие у персонала завода № 99 соответствующего практического опыта. Для оказания технической помощи в Улан-Удэ была направлена группа ведущих инженеров иркутского завода во главе с заместителем начальника серийного конструкторского отдела В.С. Демидовичем, а также две рабочие бригады И.И. Плотникова и Ф.П. Воронина. В дальнейшем по распоряжению И.Б. Иосиловича руководящий состав филиала в значительной степени укрепляется более опытными иркутянами. Начальником производства становится В.М. Акимов. Произведены и другие кадровые перемещения. В ноябре 1941 года приказом Наркома авиационной промышленности, директором завода № 99 – филиала завода № 125 назначается Сергей Иванович Прокопьев/</w:t>
      </w:r>
    </w:p>
    <w:p w14:paraId="33397411" w14:textId="77777777" w:rsidR="00984994" w:rsidRPr="00640820" w:rsidRDefault="00984994" w:rsidP="00640820">
      <w:pPr>
        <w:shd w:val="clear" w:color="auto" w:fill="FFFFFF"/>
        <w:spacing w:after="0" w:line="240" w:lineRule="auto"/>
        <w:jc w:val="both"/>
        <w:rPr>
          <w:rFonts w:ascii="Times New Roman" w:hAnsi="Times New Roman"/>
          <w:color w:val="000000" w:themeColor="text1"/>
          <w:sz w:val="16"/>
          <w:szCs w:val="16"/>
        </w:rPr>
      </w:pPr>
    </w:p>
    <w:p w14:paraId="3E267809" w14:textId="77777777" w:rsidR="00984994" w:rsidRPr="00640820" w:rsidRDefault="00984994"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на завод № 125 поступает приказ Наркомата об организации на заводах авиационной промышленности серийного изготовления лыж к самолетам МиГ-3, ЛаГГ-3, Ил-2, Пе-2, Су-2, Як-7 и другим, в количестве 2500 комплектов с последующей поставкой их фронтовым частям ВВС. Сроки поставки определены с 15-го октября до 31-е декабря 1941 года. При этом заводы, занятые производством Пе–2, должны поставить 350 комплектов лыж (Приказы и распоряжения по НКАП и ПГУ. 1941 год. Центральный архив ИАЗ. Дело № 1, ч. 2, лист 65). Для изготовления лыж на иркутском заводе был определен цех № 17. Непростая технология, дефицитные лесоматериалы (дуб, ясень), отсутствие специального оборудования, нехватка специалистов... освоение производства лыж проходило крайне медленно. И хотя вскоре Управление ВВС вместо дуба и ясеня разрешило использовать сибирскую лиственницу, ускорение процесса изготовления лыж не произошло. Сложившаяся ситуация грозила крупными неприятностями. В начале ноября наркомат требует ежедневных отдельных донесений о выполнении графика сдачи лыж. Проблемы, связанные с исполнением этого важнейшего оборонного заказа обсуждались в партийных органах, при этом было найдено компромиссное решение. В вышедшем Постановлении Иркутского горкома ВКП(б) говорится (Личная переписка директора завода № 125 с НКАП по вопросам производства. 1941 г. Центральный архив ИАЗ. Дело № 13, лист 208):</w:t>
      </w:r>
    </w:p>
    <w:p w14:paraId="64D7BA8C" w14:textId="77777777" w:rsidR="00984994" w:rsidRPr="00640820" w:rsidRDefault="00984994"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1. Возложить производство авиалыж для авиазавода 125 на мебельную фабрику ИТКЛ УНКВД.</w:t>
      </w:r>
    </w:p>
    <w:p w14:paraId="431C7F6D" w14:textId="77777777" w:rsidR="00984994" w:rsidRPr="00640820" w:rsidRDefault="00984994"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2. Обязать тов. ЧЕРЕМИСИНА и РЕМНЕВА обеспечить к 20 декабря товарный выпуск не менее 150 комплектов, и с 7 января – 10 комплектов ежедневно.</w:t>
      </w:r>
    </w:p>
    <w:p w14:paraId="37514806" w14:textId="77777777" w:rsidR="00984994" w:rsidRPr="00640820" w:rsidRDefault="00984994"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3. Обязать тов. ИОСИЛОВИЧ – директора завода № 125 передать весь фондируемый материал и обеспечить мебельную фабрику материалом, потребным для данного заказа.</w:t>
      </w:r>
    </w:p>
    <w:p w14:paraId="4444D656" w14:textId="77777777" w:rsidR="00984994" w:rsidRPr="00640820" w:rsidRDefault="00984994"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4. Обязать тов. ИОСИЛОВИЧ передать в штат фабрики 8 инженерно-технических работников, знакомых с производством авиалыж.</w:t>
      </w:r>
    </w:p>
    <w:p w14:paraId="1FDF7803" w14:textId="77777777" w:rsidR="00984994" w:rsidRPr="00640820" w:rsidRDefault="00984994"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Секретарь Иркутского ГК ВКП(б) А.ЦУКАНОВА.</w:t>
      </w:r>
    </w:p>
    <w:p w14:paraId="5B0BCB9A" w14:textId="77777777" w:rsidR="00984994" w:rsidRPr="00640820" w:rsidRDefault="00984994"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Конструкторское сопровождение производства лыж на фабрике и решение возникающих при этом технических вопросов стал осуществлять В.Х. Отченашенко, заместитель начальника СКО завода № 125 (15223).</w:t>
      </w:r>
    </w:p>
    <w:p w14:paraId="6E8EBBD8" w14:textId="77777777" w:rsidR="00984994" w:rsidRPr="00640820" w:rsidRDefault="00984994" w:rsidP="00640820">
      <w:pPr>
        <w:shd w:val="clear" w:color="auto" w:fill="FFFFFF"/>
        <w:spacing w:after="0" w:line="240" w:lineRule="auto"/>
        <w:jc w:val="both"/>
        <w:rPr>
          <w:rFonts w:ascii="Times New Roman" w:hAnsi="Times New Roman"/>
          <w:color w:val="000000" w:themeColor="text1"/>
          <w:sz w:val="16"/>
          <w:szCs w:val="16"/>
        </w:rPr>
      </w:pPr>
    </w:p>
    <w:p w14:paraId="74C932B2" w14:textId="77777777" w:rsidR="00984994" w:rsidRPr="00640820" w:rsidRDefault="00984994"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года деятельность завода № 125 проверял контролер Народного Комитета Государственного Контроля СССР М.С. Писарев и в своем акте выделил ряд причин, тормозящих выполнение плана (15223).</w:t>
      </w:r>
    </w:p>
    <w:p w14:paraId="65AABFC9" w14:textId="77777777" w:rsidR="00984994" w:rsidRPr="00640820" w:rsidRDefault="00984994" w:rsidP="00640820">
      <w:pPr>
        <w:shd w:val="clear" w:color="auto" w:fill="FFFFFF"/>
        <w:spacing w:after="0" w:line="240" w:lineRule="auto"/>
        <w:jc w:val="both"/>
        <w:rPr>
          <w:rFonts w:ascii="Times New Roman" w:hAnsi="Times New Roman"/>
          <w:color w:val="000000" w:themeColor="text1"/>
          <w:sz w:val="16"/>
          <w:szCs w:val="16"/>
        </w:rPr>
      </w:pPr>
    </w:p>
    <w:p w14:paraId="628C7C3A" w14:textId="77777777" w:rsidR="00984994" w:rsidRPr="00640820" w:rsidRDefault="00984994"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для оказания помощи в скорейшем освоении упрощенного варианта Пе-2, на завод № 125 прибыли ведущие конструкторы и специалисты ОКБ В.М. Петлякова и ведущего завода № 22. В бригаду входили представители винтомоторной группы, электрооборудованию и приборам, по управлению и самолету. Одновременно завод получил комплекты опытных чертежей, а также новые готовые изделия, входящие в спецификацию упрощенного самолета. Был принят следующий порядок запуска этого варианта: вне линии основного производства построить три машины по чертежам завода № 22, с отработкой этих чертежей до серийных. Затем, также вне линии основного производства, но уже по отработанным чертежам дополнительно построить еще пять самолетов. На этих восьми самолетах завод должен подготовиться к серийному производству. После постройки и облета третьего самолета, ускоренным порядком осуществить запуск в серийное производство всех новых деталей, узлов и обеспечить переход «непикирующего бомбардировщика Пе-2 на основной график с 5-го октября». О ходе развернувшихся в спешном порядке работ, директор завода И.Б. Иосилович обязан был докладывать в наркомат каждые два дня (15223).</w:t>
      </w:r>
    </w:p>
    <w:p w14:paraId="4286A0BA" w14:textId="77777777" w:rsidR="00984994" w:rsidRPr="00640820" w:rsidRDefault="00984994" w:rsidP="00640820">
      <w:pPr>
        <w:shd w:val="clear" w:color="auto" w:fill="FFFFFF"/>
        <w:spacing w:after="0" w:line="240" w:lineRule="auto"/>
        <w:jc w:val="both"/>
        <w:rPr>
          <w:rFonts w:ascii="Times New Roman" w:hAnsi="Times New Roman"/>
          <w:color w:val="000000" w:themeColor="text1"/>
          <w:sz w:val="16"/>
          <w:szCs w:val="16"/>
        </w:rPr>
      </w:pPr>
    </w:p>
    <w:p w14:paraId="41D0C96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свой вариант турели с пулемё</w:t>
      </w:r>
      <w:r w:rsidRPr="00640820">
        <w:rPr>
          <w:rFonts w:ascii="Times New Roman" w:hAnsi="Times New Roman"/>
          <w:color w:val="000000" w:themeColor="text1"/>
          <w:sz w:val="16"/>
          <w:szCs w:val="16"/>
        </w:rPr>
        <w:softHyphen/>
        <w:t>том БТ для Пе-2 предложил конструктор Торопов. Его установку опробовали на Пе-2 (заводской №16/47) и опытном Пе-Збис завода №39 (за</w:t>
      </w:r>
      <w:r w:rsidRPr="00640820">
        <w:rPr>
          <w:rFonts w:ascii="Times New Roman" w:hAnsi="Times New Roman"/>
          <w:color w:val="000000" w:themeColor="text1"/>
          <w:sz w:val="16"/>
          <w:szCs w:val="16"/>
        </w:rPr>
        <w:softHyphen/>
        <w:t>водской №392207), успешно прошедшем ис</w:t>
      </w:r>
      <w:r w:rsidRPr="00640820">
        <w:rPr>
          <w:rFonts w:ascii="Times New Roman" w:hAnsi="Times New Roman"/>
          <w:color w:val="000000" w:themeColor="text1"/>
          <w:sz w:val="16"/>
          <w:szCs w:val="16"/>
        </w:rPr>
        <w:softHyphen/>
        <w:t>пытания в НИИ ВВС. Планы внедрить турели с крупнокалиберными пулемётами сорвала начавшаяся с середины октября массовая эвакуация московских предприятий на вос</w:t>
      </w:r>
      <w:r w:rsidRPr="00640820">
        <w:rPr>
          <w:rFonts w:ascii="Times New Roman" w:hAnsi="Times New Roman"/>
          <w:color w:val="000000" w:themeColor="text1"/>
          <w:sz w:val="16"/>
          <w:szCs w:val="16"/>
        </w:rPr>
        <w:softHyphen/>
        <w:t>ток, вызванной немецким наступлением. Переезд завода №39 в Иркутск занял три месяца. На новом месте он слился со 125-м заводом. Одновременно самый крупный из производивших «пешки» столичный завод №22 начал перебазирование в Казань, где объединился с местным предприятием №124 в крупнейший комплекс также с «мос</w:t>
      </w:r>
      <w:r w:rsidRPr="00640820">
        <w:rPr>
          <w:rFonts w:ascii="Times New Roman" w:hAnsi="Times New Roman"/>
          <w:color w:val="000000" w:themeColor="text1"/>
          <w:sz w:val="16"/>
          <w:szCs w:val="16"/>
        </w:rPr>
        <w:softHyphen/>
        <w:t>ковским» номером.</w:t>
      </w:r>
    </w:p>
    <w:p w14:paraId="01CA3E7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Эвакуацию сопровождала неизбежная не</w:t>
      </w:r>
      <w:r w:rsidRPr="00640820">
        <w:rPr>
          <w:rFonts w:ascii="Times New Roman" w:hAnsi="Times New Roman"/>
          <w:color w:val="000000" w:themeColor="text1"/>
          <w:sz w:val="16"/>
          <w:szCs w:val="16"/>
        </w:rPr>
        <w:softHyphen/>
        <w:t>разбериха, перелёт опытных и спешно соб</w:t>
      </w:r>
      <w:r w:rsidRPr="00640820">
        <w:rPr>
          <w:rFonts w:ascii="Times New Roman" w:hAnsi="Times New Roman"/>
          <w:color w:val="000000" w:themeColor="text1"/>
          <w:sz w:val="16"/>
          <w:szCs w:val="16"/>
        </w:rPr>
        <w:softHyphen/>
        <w:t>ранных серийных самолётов, множество аварий и трудное обустройство на новом месте. Эшелон с оборудованием провёл в пути месяц, бригаде вооружения во главе с С.Карташкиным вообще пришлось доби</w:t>
      </w:r>
      <w:r w:rsidRPr="00640820">
        <w:rPr>
          <w:rFonts w:ascii="Times New Roman" w:hAnsi="Times New Roman"/>
          <w:color w:val="000000" w:themeColor="text1"/>
          <w:sz w:val="16"/>
          <w:szCs w:val="16"/>
        </w:rPr>
        <w:softHyphen/>
        <w:t>раться своим ходом, и лишь с Нового Года появилась возможность вновь заняться конструкторской работой.</w:t>
      </w:r>
    </w:p>
    <w:p w14:paraId="46CC40B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Решавшую проблему усиления обороно</w:t>
      </w:r>
      <w:r w:rsidRPr="00640820">
        <w:rPr>
          <w:rFonts w:ascii="Times New Roman" w:hAnsi="Times New Roman"/>
          <w:color w:val="000000" w:themeColor="text1"/>
          <w:sz w:val="16"/>
          <w:szCs w:val="16"/>
        </w:rPr>
        <w:softHyphen/>
        <w:t>способности Пе-2турель Торопова в вариан</w:t>
      </w:r>
      <w:r w:rsidRPr="00640820">
        <w:rPr>
          <w:rFonts w:ascii="Times New Roman" w:hAnsi="Times New Roman"/>
          <w:color w:val="000000" w:themeColor="text1"/>
          <w:sz w:val="16"/>
          <w:szCs w:val="16"/>
        </w:rPr>
        <w:softHyphen/>
        <w:t>тах ВУБ-1 (верхняя установка бомбардиров</w:t>
      </w:r>
      <w:r w:rsidRPr="00640820">
        <w:rPr>
          <w:rFonts w:ascii="Times New Roman" w:hAnsi="Times New Roman"/>
          <w:color w:val="000000" w:themeColor="text1"/>
          <w:sz w:val="16"/>
          <w:szCs w:val="16"/>
        </w:rPr>
        <w:softHyphen/>
        <w:t>щика, или Б-270 как изделие завода №32) и ВУБ-2 с осени 1941 г. уже устанавливали на отдельных серийных Пе-2 (иногда до 10 в ме</w:t>
      </w:r>
      <w:r w:rsidRPr="00640820">
        <w:rPr>
          <w:rFonts w:ascii="Times New Roman" w:hAnsi="Times New Roman"/>
          <w:color w:val="000000" w:themeColor="text1"/>
          <w:sz w:val="16"/>
          <w:szCs w:val="16"/>
        </w:rPr>
        <w:softHyphen/>
        <w:t>сяц). Видимо, Петляков с бригадой вооруже</w:t>
      </w:r>
      <w:r w:rsidRPr="00640820">
        <w:rPr>
          <w:rFonts w:ascii="Times New Roman" w:hAnsi="Times New Roman"/>
          <w:color w:val="000000" w:themeColor="text1"/>
          <w:sz w:val="16"/>
          <w:szCs w:val="16"/>
        </w:rPr>
        <w:softHyphen/>
        <w:t>ния хотел отладить её перед массовым вне</w:t>
      </w:r>
      <w:r w:rsidRPr="00640820">
        <w:rPr>
          <w:rFonts w:ascii="Times New Roman" w:hAnsi="Times New Roman"/>
          <w:color w:val="000000" w:themeColor="text1"/>
          <w:sz w:val="16"/>
          <w:szCs w:val="16"/>
        </w:rPr>
        <w:softHyphen/>
        <w:t>дрением, требовавшим некоторого измене</w:t>
      </w:r>
      <w:r w:rsidRPr="00640820">
        <w:rPr>
          <w:rFonts w:ascii="Times New Roman" w:hAnsi="Times New Roman"/>
          <w:color w:val="000000" w:themeColor="text1"/>
          <w:sz w:val="16"/>
          <w:szCs w:val="16"/>
        </w:rPr>
        <w:softHyphen/>
        <w:t>ния технологии поточного производства. Но боевые экипажи не желали погибать из-за трудностей производственников, и фронт, не стесняясь в выражениях, настойчиво требовал от завода принять меры. Реакцией на раздражение военных стала инициатив</w:t>
      </w:r>
      <w:r w:rsidRPr="00640820">
        <w:rPr>
          <w:rFonts w:ascii="Times New Roman" w:hAnsi="Times New Roman"/>
          <w:color w:val="000000" w:themeColor="text1"/>
          <w:sz w:val="16"/>
          <w:szCs w:val="16"/>
        </w:rPr>
        <w:softHyphen/>
        <w:t>ная разработка конструкторов-самолётчи</w:t>
      </w:r>
      <w:r w:rsidRPr="00640820">
        <w:rPr>
          <w:rFonts w:ascii="Times New Roman" w:hAnsi="Times New Roman"/>
          <w:color w:val="000000" w:themeColor="text1"/>
          <w:sz w:val="16"/>
          <w:szCs w:val="16"/>
        </w:rPr>
        <w:softHyphen/>
        <w:t>ков ОКО-22 Л.Селякова, П.Чугунова и слеса</w:t>
      </w:r>
      <w:r w:rsidRPr="00640820">
        <w:rPr>
          <w:rFonts w:ascii="Times New Roman" w:hAnsi="Times New Roman"/>
          <w:color w:val="000000" w:themeColor="text1"/>
          <w:sz w:val="16"/>
          <w:szCs w:val="16"/>
        </w:rPr>
        <w:softHyphen/>
        <w:t>ря-оружейника А.Архипова, самостоятельно изготовивших «альтернативную турель» под пулемёт Березина с ленточным питанием.</w:t>
      </w:r>
    </w:p>
    <w:p w14:paraId="24DB774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Основными особенностями установки, на</w:t>
      </w:r>
      <w:r w:rsidRPr="00640820">
        <w:rPr>
          <w:rFonts w:ascii="Times New Roman" w:hAnsi="Times New Roman"/>
          <w:color w:val="000000" w:themeColor="text1"/>
          <w:sz w:val="16"/>
          <w:szCs w:val="16"/>
        </w:rPr>
        <w:softHyphen/>
        <w:t>званной ФТ (фронт требует) были простота, использование деталей серийной люковой установки МВ-2 и возможность монтажа на месте прежней ТСС-1 без серьёзной пере</w:t>
      </w:r>
      <w:r w:rsidRPr="00640820">
        <w:rPr>
          <w:rFonts w:ascii="Times New Roman" w:hAnsi="Times New Roman"/>
          <w:color w:val="000000" w:themeColor="text1"/>
          <w:sz w:val="16"/>
          <w:szCs w:val="16"/>
        </w:rPr>
        <w:softHyphen/>
        <w:t>делки самолёта. Но</w:t>
      </w:r>
      <w:r w:rsidRPr="00640820">
        <w:rPr>
          <w:rFonts w:ascii="Times New Roman" w:hAnsi="Times New Roman"/>
          <w:color w:val="000000" w:themeColor="text1"/>
          <w:sz w:val="16"/>
          <w:szCs w:val="16"/>
        </w:rPr>
        <w:softHyphen/>
        <w:t>выми были опорная рама, узлы крепле</w:t>
      </w:r>
      <w:r w:rsidRPr="00640820">
        <w:rPr>
          <w:rFonts w:ascii="Times New Roman" w:hAnsi="Times New Roman"/>
          <w:color w:val="000000" w:themeColor="text1"/>
          <w:sz w:val="16"/>
          <w:szCs w:val="16"/>
        </w:rPr>
        <w:softHyphen/>
        <w:t>ния прицела и пр. ме</w:t>
      </w:r>
      <w:r w:rsidRPr="00640820">
        <w:rPr>
          <w:rFonts w:ascii="Times New Roman" w:hAnsi="Times New Roman"/>
          <w:color w:val="000000" w:themeColor="text1"/>
          <w:sz w:val="16"/>
          <w:szCs w:val="16"/>
        </w:rPr>
        <w:softHyphen/>
        <w:t>лочи. Вся разработка заняла 10 дней и бы</w:t>
      </w:r>
      <w:r w:rsidRPr="00640820">
        <w:rPr>
          <w:rFonts w:ascii="Times New Roman" w:hAnsi="Times New Roman"/>
          <w:color w:val="000000" w:themeColor="text1"/>
          <w:sz w:val="16"/>
          <w:szCs w:val="16"/>
        </w:rPr>
        <w:softHyphen/>
        <w:t>ла завершена к 28 февраля 1942 г. Це</w:t>
      </w:r>
      <w:r w:rsidRPr="00640820">
        <w:rPr>
          <w:rFonts w:ascii="Times New Roman" w:hAnsi="Times New Roman"/>
          <w:color w:val="000000" w:themeColor="text1"/>
          <w:sz w:val="16"/>
          <w:szCs w:val="16"/>
        </w:rPr>
        <w:softHyphen/>
        <w:t>ной простоты стали ограниченные углы обстрела, ухудшение ха</w:t>
      </w:r>
      <w:r w:rsidRPr="00640820">
        <w:rPr>
          <w:rFonts w:ascii="Times New Roman" w:hAnsi="Times New Roman"/>
          <w:color w:val="000000" w:themeColor="text1"/>
          <w:sz w:val="16"/>
          <w:szCs w:val="16"/>
        </w:rPr>
        <w:softHyphen/>
        <w:t>рактеристик самолёта из-за снятия обтека</w:t>
      </w:r>
      <w:r w:rsidRPr="00640820">
        <w:rPr>
          <w:rFonts w:ascii="Times New Roman" w:hAnsi="Times New Roman"/>
          <w:color w:val="000000" w:themeColor="text1"/>
          <w:sz w:val="16"/>
          <w:szCs w:val="16"/>
        </w:rPr>
        <w:softHyphen/>
        <w:t>теля - «черепахи», меньшая эффективность самой турели из-за отсутствия аэродинами</w:t>
      </w:r>
      <w:r w:rsidRPr="00640820">
        <w:rPr>
          <w:rFonts w:ascii="Times New Roman" w:hAnsi="Times New Roman"/>
          <w:color w:val="000000" w:themeColor="text1"/>
          <w:sz w:val="16"/>
          <w:szCs w:val="16"/>
        </w:rPr>
        <w:softHyphen/>
        <w:t>ческого компенсатора и механизма учёта собственной скорости (11392).</w:t>
      </w:r>
    </w:p>
    <w:p w14:paraId="127B1A7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B2E1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22 завод разработал усиленную бронезащиту л, ш и с для Пе-2, доведя общий вес брони до 144 кг (1841,27).</w:t>
      </w:r>
    </w:p>
    <w:p w14:paraId="4482EE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E130AB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w:t>
      </w:r>
      <w:r w:rsidRPr="00640820">
        <w:rPr>
          <w:rFonts w:ascii="Times New Roman" w:hAnsi="Times New Roman"/>
          <w:color w:val="000000" w:themeColor="text1"/>
          <w:sz w:val="16"/>
          <w:szCs w:val="16"/>
        </w:rPr>
        <w:softHyphen/>
        <w:t>тябре 1941 г. завод №22 разработал усиленную схему бронирования Пе-2: лётчик получил дополнительно бронесиденье толщи</w:t>
      </w:r>
      <w:r w:rsidRPr="00640820">
        <w:rPr>
          <w:rFonts w:ascii="Times New Roman" w:hAnsi="Times New Roman"/>
          <w:color w:val="000000" w:themeColor="text1"/>
          <w:sz w:val="16"/>
          <w:szCs w:val="16"/>
        </w:rPr>
        <w:softHyphen/>
        <w:t>ной 4,5 мм, позади штурмана вза</w:t>
      </w:r>
      <w:r w:rsidRPr="00640820">
        <w:rPr>
          <w:rFonts w:ascii="Times New Roman" w:hAnsi="Times New Roman"/>
          <w:color w:val="000000" w:themeColor="text1"/>
          <w:sz w:val="16"/>
          <w:szCs w:val="16"/>
        </w:rPr>
        <w:softHyphen/>
        <w:t>мен двух листов установили цемен-тованную бронеплиту размером 530x1050 мм и толщиной 8,5 мм. Стрелка прикрыли такой же наклон</w:t>
      </w:r>
      <w:r w:rsidRPr="00640820">
        <w:rPr>
          <w:rFonts w:ascii="Times New Roman" w:hAnsi="Times New Roman"/>
          <w:color w:val="000000" w:themeColor="text1"/>
          <w:sz w:val="16"/>
          <w:szCs w:val="16"/>
        </w:rPr>
        <w:softHyphen/>
        <w:t>ной плитой размером 480x680 мм с нижней секцией, защищавшей от огня сзади-снизу и боковыми 6-мм бро-нелистами. Дюралевую броню на крышке люка заменили стальной. Общая масса бронезащиты Пе-2, выдерживавшей пули калибра 7-8 мм, составила 144 кг. В августе 1942 г. разработали и испытали на самолё</w:t>
      </w:r>
      <w:r w:rsidRPr="00640820">
        <w:rPr>
          <w:rFonts w:ascii="Times New Roman" w:hAnsi="Times New Roman"/>
          <w:color w:val="000000" w:themeColor="text1"/>
          <w:sz w:val="16"/>
          <w:szCs w:val="16"/>
        </w:rPr>
        <w:softHyphen/>
        <w:t>те №10/1 19 лёгкий бронеэкран тол</w:t>
      </w:r>
      <w:r w:rsidRPr="00640820">
        <w:rPr>
          <w:rFonts w:ascii="Times New Roman" w:hAnsi="Times New Roman"/>
          <w:color w:val="000000" w:themeColor="text1"/>
          <w:sz w:val="16"/>
          <w:szCs w:val="16"/>
        </w:rPr>
        <w:softHyphen/>
        <w:t>щиной всего 1,5 мм, смонтирован</w:t>
      </w:r>
      <w:r w:rsidRPr="00640820">
        <w:rPr>
          <w:rFonts w:ascii="Times New Roman" w:hAnsi="Times New Roman"/>
          <w:color w:val="000000" w:themeColor="text1"/>
          <w:sz w:val="16"/>
          <w:szCs w:val="16"/>
        </w:rPr>
        <w:softHyphen/>
        <w:t>ный позади бронеспинки пилота. Экран улавливал рикошетирующие от бронеспинки пули и осколки бро</w:t>
      </w:r>
      <w:r w:rsidRPr="00640820">
        <w:rPr>
          <w:rFonts w:ascii="Times New Roman" w:hAnsi="Times New Roman"/>
          <w:color w:val="000000" w:themeColor="text1"/>
          <w:sz w:val="16"/>
          <w:szCs w:val="16"/>
        </w:rPr>
        <w:softHyphen/>
        <w:t>ни, поражавшие штурмана.</w:t>
      </w:r>
    </w:p>
    <w:p w14:paraId="6B8F450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Совершенствование оборони</w:t>
      </w:r>
      <w:r w:rsidRPr="00640820">
        <w:rPr>
          <w:rFonts w:ascii="Times New Roman" w:hAnsi="Times New Roman"/>
          <w:color w:val="000000" w:themeColor="text1"/>
          <w:sz w:val="16"/>
          <w:szCs w:val="16"/>
        </w:rPr>
        <w:softHyphen/>
        <w:t>тельного вооружения сопровожда</w:t>
      </w:r>
      <w:r w:rsidRPr="00640820">
        <w:rPr>
          <w:rFonts w:ascii="Times New Roman" w:hAnsi="Times New Roman"/>
          <w:color w:val="000000" w:themeColor="text1"/>
          <w:sz w:val="16"/>
          <w:szCs w:val="16"/>
        </w:rPr>
        <w:softHyphen/>
        <w:t>лось куда большими трудностями. В боях быстро выявлялся любой про</w:t>
      </w:r>
      <w:r w:rsidRPr="00640820">
        <w:rPr>
          <w:rFonts w:ascii="Times New Roman" w:hAnsi="Times New Roman"/>
          <w:color w:val="000000" w:themeColor="text1"/>
          <w:sz w:val="16"/>
          <w:szCs w:val="16"/>
        </w:rPr>
        <w:softHyphen/>
        <w:t>счёт конструкторов или производ</w:t>
      </w:r>
      <w:r w:rsidRPr="00640820">
        <w:rPr>
          <w:rFonts w:ascii="Times New Roman" w:hAnsi="Times New Roman"/>
          <w:color w:val="000000" w:themeColor="text1"/>
          <w:sz w:val="16"/>
          <w:szCs w:val="16"/>
        </w:rPr>
        <w:softHyphen/>
        <w:t>ственный дефект. Здесь цена ошиб</w:t>
      </w:r>
      <w:r w:rsidRPr="00640820">
        <w:rPr>
          <w:rFonts w:ascii="Times New Roman" w:hAnsi="Times New Roman"/>
          <w:color w:val="000000" w:themeColor="text1"/>
          <w:sz w:val="16"/>
          <w:szCs w:val="16"/>
        </w:rPr>
        <w:softHyphen/>
        <w:t>ки была слишком дорогой. Неудач</w:t>
      </w:r>
      <w:r w:rsidRPr="00640820">
        <w:rPr>
          <w:rFonts w:ascii="Times New Roman" w:hAnsi="Times New Roman"/>
          <w:color w:val="000000" w:themeColor="text1"/>
          <w:sz w:val="16"/>
          <w:szCs w:val="16"/>
        </w:rPr>
        <w:softHyphen/>
        <w:t xml:space="preserve">ное размещение патронного ящика люковой установки, отмеченное ещё весной, стало </w:t>
      </w:r>
      <w:r w:rsidRPr="00640820">
        <w:rPr>
          <w:rFonts w:ascii="Times New Roman" w:hAnsi="Times New Roman"/>
          <w:color w:val="000000" w:themeColor="text1"/>
          <w:sz w:val="16"/>
          <w:szCs w:val="16"/>
        </w:rPr>
        <w:lastRenderedPageBreak/>
        <w:t>причиной многих тра</w:t>
      </w:r>
      <w:r w:rsidRPr="00640820">
        <w:rPr>
          <w:rFonts w:ascii="Times New Roman" w:hAnsi="Times New Roman"/>
          <w:color w:val="000000" w:themeColor="text1"/>
          <w:sz w:val="16"/>
          <w:szCs w:val="16"/>
        </w:rPr>
        <w:softHyphen/>
        <w:t>гических происшествий. Лента от ящика шла с несколькими перегиба</w:t>
      </w:r>
      <w:r w:rsidRPr="00640820">
        <w:rPr>
          <w:rFonts w:ascii="Times New Roman" w:hAnsi="Times New Roman"/>
          <w:color w:val="000000" w:themeColor="text1"/>
          <w:sz w:val="16"/>
          <w:szCs w:val="16"/>
        </w:rPr>
        <w:softHyphen/>
        <w:t>ми, то и дело её клинило на входе в пулемёт (причина - недостаточно выровненная лента и несмазанные рукава подачи) иногда после перво</w:t>
      </w:r>
      <w:r w:rsidRPr="00640820">
        <w:rPr>
          <w:rFonts w:ascii="Times New Roman" w:hAnsi="Times New Roman"/>
          <w:color w:val="000000" w:themeColor="text1"/>
          <w:sz w:val="16"/>
          <w:szCs w:val="16"/>
        </w:rPr>
        <w:softHyphen/>
        <w:t>го же выстрела.</w:t>
      </w:r>
    </w:p>
    <w:p w14:paraId="7257237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фронте этот дефект приобрёл массовый характер. Немецкие истре</w:t>
      </w:r>
      <w:r w:rsidRPr="00640820">
        <w:rPr>
          <w:rFonts w:ascii="Times New Roman" w:hAnsi="Times New Roman"/>
          <w:color w:val="000000" w:themeColor="text1"/>
          <w:sz w:val="16"/>
          <w:szCs w:val="16"/>
        </w:rPr>
        <w:softHyphen/>
        <w:t>бители, обнаружив слабое место «пешки», приспособились атаковать снизу, расстреливая беззащитный самолёт в упор. В некоторых частях оказавшиеся в отчаянном положении авиаторы своими силами переделы</w:t>
      </w:r>
      <w:r w:rsidRPr="00640820">
        <w:rPr>
          <w:rFonts w:ascii="Times New Roman" w:hAnsi="Times New Roman"/>
          <w:color w:val="000000" w:themeColor="text1"/>
          <w:sz w:val="16"/>
          <w:szCs w:val="16"/>
        </w:rPr>
        <w:softHyphen/>
        <w:t>вали установку, меняя рукав подво</w:t>
      </w:r>
      <w:r w:rsidRPr="00640820">
        <w:rPr>
          <w:rFonts w:ascii="Times New Roman" w:hAnsi="Times New Roman"/>
          <w:color w:val="000000" w:themeColor="text1"/>
          <w:sz w:val="16"/>
          <w:szCs w:val="16"/>
        </w:rPr>
        <w:softHyphen/>
        <w:t>да ленты, положение патронного ящика или, как это сделали в 58-м сбап ВВС Северного фронта, мон</w:t>
      </w:r>
      <w:r w:rsidRPr="00640820">
        <w:rPr>
          <w:rFonts w:ascii="Times New Roman" w:hAnsi="Times New Roman"/>
          <w:color w:val="000000" w:themeColor="text1"/>
          <w:sz w:val="16"/>
          <w:szCs w:val="16"/>
        </w:rPr>
        <w:softHyphen/>
        <w:t>тируя жёстко закреплённую коробку меньшей ёмкости прямо на лафете пулемёта. Углы обстрела стрелковых установок во многом определялись конструкцией и пространственным расположением ящиков боекомплек</w:t>
      </w:r>
      <w:r w:rsidRPr="00640820">
        <w:rPr>
          <w:rFonts w:ascii="Times New Roman" w:hAnsi="Times New Roman"/>
          <w:color w:val="000000" w:themeColor="text1"/>
          <w:sz w:val="16"/>
          <w:szCs w:val="16"/>
        </w:rPr>
        <w:softHyphen/>
        <w:t>та и гибких рукавов, питающих ору</w:t>
      </w:r>
      <w:r w:rsidRPr="00640820">
        <w:rPr>
          <w:rFonts w:ascii="Times New Roman" w:hAnsi="Times New Roman"/>
          <w:color w:val="000000" w:themeColor="text1"/>
          <w:sz w:val="16"/>
          <w:szCs w:val="16"/>
        </w:rPr>
        <w:softHyphen/>
        <w:t>жие и отводящих гильзы и звенья. Именно этим объясняется несиммет</w:t>
      </w:r>
      <w:r w:rsidRPr="00640820">
        <w:rPr>
          <w:rFonts w:ascii="Times New Roman" w:hAnsi="Times New Roman"/>
          <w:color w:val="000000" w:themeColor="text1"/>
          <w:sz w:val="16"/>
          <w:szCs w:val="16"/>
        </w:rPr>
        <w:softHyphen/>
        <w:t>ричность зон обстрела подвижных пу</w:t>
      </w:r>
      <w:r w:rsidRPr="00640820">
        <w:rPr>
          <w:rFonts w:ascii="Times New Roman" w:hAnsi="Times New Roman"/>
          <w:color w:val="000000" w:themeColor="text1"/>
          <w:sz w:val="16"/>
          <w:szCs w:val="16"/>
        </w:rPr>
        <w:softHyphen/>
        <w:t>лемётов «пешки». Наиболее удачным решением стала простая переста</w:t>
      </w:r>
      <w:r w:rsidRPr="00640820">
        <w:rPr>
          <w:rFonts w:ascii="Times New Roman" w:hAnsi="Times New Roman"/>
          <w:color w:val="000000" w:themeColor="text1"/>
          <w:sz w:val="16"/>
          <w:szCs w:val="16"/>
        </w:rPr>
        <w:softHyphen/>
        <w:t>новка патронного ящика поперек фюзеляжа, чтобы лента тянулась к пулемёту сверху без перекосов. В производство это изменение внедри</w:t>
      </w:r>
      <w:r w:rsidRPr="00640820">
        <w:rPr>
          <w:rFonts w:ascii="Times New Roman" w:hAnsi="Times New Roman"/>
          <w:color w:val="000000" w:themeColor="text1"/>
          <w:sz w:val="16"/>
          <w:szCs w:val="16"/>
        </w:rPr>
        <w:softHyphen/>
        <w:t xml:space="preserve">ли </w:t>
      </w:r>
      <w:r w:rsidRPr="00640820">
        <w:rPr>
          <w:rFonts w:ascii="Times New Roman" w:hAnsi="Times New Roman"/>
          <w:iCs/>
          <w:color w:val="000000" w:themeColor="text1"/>
          <w:sz w:val="16"/>
          <w:szCs w:val="16"/>
        </w:rPr>
        <w:t xml:space="preserve">с </w:t>
      </w:r>
      <w:r w:rsidRPr="00640820">
        <w:rPr>
          <w:rFonts w:ascii="Times New Roman" w:hAnsi="Times New Roman"/>
          <w:color w:val="000000" w:themeColor="text1"/>
          <w:sz w:val="16"/>
          <w:szCs w:val="16"/>
        </w:rPr>
        <w:t>38-й серии. Параллельно дора</w:t>
      </w:r>
      <w:r w:rsidRPr="00640820">
        <w:rPr>
          <w:rFonts w:ascii="Times New Roman" w:hAnsi="Times New Roman"/>
          <w:color w:val="000000" w:themeColor="text1"/>
          <w:sz w:val="16"/>
          <w:szCs w:val="16"/>
        </w:rPr>
        <w:softHyphen/>
        <w:t>батывали машины в строевых частях.</w:t>
      </w:r>
    </w:p>
    <w:p w14:paraId="13F92A1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 всё же люковая установка со</w:t>
      </w:r>
      <w:r w:rsidRPr="00640820">
        <w:rPr>
          <w:rFonts w:ascii="Times New Roman" w:hAnsi="Times New Roman"/>
          <w:color w:val="000000" w:themeColor="text1"/>
          <w:sz w:val="16"/>
          <w:szCs w:val="16"/>
        </w:rPr>
        <w:softHyphen/>
        <w:t>хранила ограниченные углы обстре</w:t>
      </w:r>
      <w:r w:rsidRPr="00640820">
        <w:rPr>
          <w:rFonts w:ascii="Times New Roman" w:hAnsi="Times New Roman"/>
          <w:color w:val="000000" w:themeColor="text1"/>
          <w:sz w:val="16"/>
          <w:szCs w:val="16"/>
        </w:rPr>
        <w:softHyphen/>
        <w:t>ла и перископический прицел с уз</w:t>
      </w:r>
      <w:r w:rsidRPr="00640820">
        <w:rPr>
          <w:rFonts w:ascii="Times New Roman" w:hAnsi="Times New Roman"/>
          <w:color w:val="000000" w:themeColor="text1"/>
          <w:sz w:val="16"/>
          <w:szCs w:val="16"/>
        </w:rPr>
        <w:softHyphen/>
        <w:t>ким полем зрения, отчего поразить цель прицельным огнём удавалось довольно редко. Чаще нижний УБТ служил своего рода «пугачом», вы</w:t>
      </w:r>
      <w:r w:rsidRPr="00640820">
        <w:rPr>
          <w:rFonts w:ascii="Times New Roman" w:hAnsi="Times New Roman"/>
          <w:color w:val="000000" w:themeColor="text1"/>
          <w:sz w:val="16"/>
          <w:szCs w:val="16"/>
        </w:rPr>
        <w:softHyphen/>
        <w:t>куривавшим истребители наверх, под огонь штурмана. Однако, его ШКАС, язвительно прозванный экипажами «горохом» или «гуманным оружием», не представлял для немцев серьёз</w:t>
      </w:r>
      <w:r w:rsidRPr="00640820">
        <w:rPr>
          <w:rFonts w:ascii="Times New Roman" w:hAnsi="Times New Roman"/>
          <w:color w:val="000000" w:themeColor="text1"/>
          <w:sz w:val="16"/>
          <w:szCs w:val="16"/>
        </w:rPr>
        <w:softHyphen/>
        <w:t>ной опасности (донесения с фронта единодушно утверждали: «пулемёт штурмана слаб»), а установка, опу</w:t>
      </w:r>
      <w:r w:rsidRPr="00640820">
        <w:rPr>
          <w:rFonts w:ascii="Times New Roman" w:hAnsi="Times New Roman"/>
          <w:color w:val="000000" w:themeColor="text1"/>
          <w:sz w:val="16"/>
          <w:szCs w:val="16"/>
        </w:rPr>
        <w:softHyphen/>
        <w:t>танная тянущейся снизу лентой и рукавами гильзо- и звеньеотводов, была неудобной в работе. Восполь</w:t>
      </w:r>
      <w:r w:rsidRPr="00640820">
        <w:rPr>
          <w:rFonts w:ascii="Times New Roman" w:hAnsi="Times New Roman"/>
          <w:color w:val="000000" w:themeColor="text1"/>
          <w:sz w:val="16"/>
          <w:szCs w:val="16"/>
        </w:rPr>
        <w:softHyphen/>
        <w:t>зовавшись этим, немцы изменили так</w:t>
      </w:r>
      <w:r w:rsidRPr="00640820">
        <w:rPr>
          <w:rFonts w:ascii="Times New Roman" w:hAnsi="Times New Roman"/>
          <w:color w:val="000000" w:themeColor="text1"/>
          <w:sz w:val="16"/>
          <w:szCs w:val="16"/>
        </w:rPr>
        <w:softHyphen/>
        <w:t>тику, стали чаще атаковать сзади сверху на повышенной скорости и отворачивать в сторону на безопас</w:t>
      </w:r>
      <w:r w:rsidRPr="00640820">
        <w:rPr>
          <w:rFonts w:ascii="Times New Roman" w:hAnsi="Times New Roman"/>
          <w:color w:val="000000" w:themeColor="text1"/>
          <w:sz w:val="16"/>
          <w:szCs w:val="16"/>
        </w:rPr>
        <w:softHyphen/>
        <w:t>ном расстоянии в 200-250 м. В этом случае огонь штурманского пулемё</w:t>
      </w:r>
      <w:r w:rsidRPr="00640820">
        <w:rPr>
          <w:rFonts w:ascii="Times New Roman" w:hAnsi="Times New Roman"/>
          <w:color w:val="000000" w:themeColor="text1"/>
          <w:sz w:val="16"/>
          <w:szCs w:val="16"/>
        </w:rPr>
        <w:softHyphen/>
        <w:t>та был практически неэффективен, чего не скажешь о снарядах немец</w:t>
      </w:r>
      <w:r w:rsidRPr="00640820">
        <w:rPr>
          <w:rFonts w:ascii="Times New Roman" w:hAnsi="Times New Roman"/>
          <w:color w:val="000000" w:themeColor="text1"/>
          <w:sz w:val="16"/>
          <w:szCs w:val="16"/>
        </w:rPr>
        <w:softHyphen/>
        <w:t>ких пушек. Проблем добавило ухуд</w:t>
      </w:r>
      <w:r w:rsidRPr="00640820">
        <w:rPr>
          <w:rFonts w:ascii="Times New Roman" w:hAnsi="Times New Roman"/>
          <w:color w:val="000000" w:themeColor="text1"/>
          <w:sz w:val="16"/>
          <w:szCs w:val="16"/>
        </w:rPr>
        <w:softHyphen/>
        <w:t>шение обзора: из-за дефицита плек</w:t>
      </w:r>
      <w:r w:rsidRPr="00640820">
        <w:rPr>
          <w:rFonts w:ascii="Times New Roman" w:hAnsi="Times New Roman"/>
          <w:color w:val="000000" w:themeColor="text1"/>
          <w:sz w:val="16"/>
          <w:szCs w:val="16"/>
        </w:rPr>
        <w:softHyphen/>
        <w:t>сигласа с 48-й серии осенью 1941 г. пришлось сократить часть остекле</w:t>
      </w:r>
      <w:r w:rsidRPr="00640820">
        <w:rPr>
          <w:rFonts w:ascii="Times New Roman" w:hAnsi="Times New Roman"/>
          <w:color w:val="000000" w:themeColor="text1"/>
          <w:sz w:val="16"/>
          <w:szCs w:val="16"/>
        </w:rPr>
        <w:softHyphen/>
        <w:t>ния в нижней носовой части фюзе</w:t>
      </w:r>
      <w:r w:rsidRPr="00640820">
        <w:rPr>
          <w:rFonts w:ascii="Times New Roman" w:hAnsi="Times New Roman"/>
          <w:color w:val="000000" w:themeColor="text1"/>
          <w:sz w:val="16"/>
          <w:szCs w:val="16"/>
        </w:rPr>
        <w:softHyphen/>
        <w:t>ляжа, ликвидировать пару окон у стрелка, а также заменить прозрач</w:t>
      </w:r>
      <w:r w:rsidRPr="00640820">
        <w:rPr>
          <w:rFonts w:ascii="Times New Roman" w:hAnsi="Times New Roman"/>
          <w:color w:val="000000" w:themeColor="text1"/>
          <w:sz w:val="16"/>
          <w:szCs w:val="16"/>
        </w:rPr>
        <w:softHyphen/>
        <w:t>ную «черепаху» дюралевой (11432).</w:t>
      </w:r>
    </w:p>
    <w:p w14:paraId="58D03FF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32ECD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свой вариант турели с пулемётом БТ для Пе-2 предложил конструк</w:t>
      </w:r>
      <w:r w:rsidRPr="00640820">
        <w:rPr>
          <w:rFonts w:ascii="Times New Roman" w:hAnsi="Times New Roman"/>
          <w:color w:val="000000" w:themeColor="text1"/>
          <w:sz w:val="16"/>
          <w:szCs w:val="16"/>
        </w:rPr>
        <w:softHyphen/>
        <w:t>тор Торопов. Его установку опробо</w:t>
      </w:r>
      <w:r w:rsidRPr="00640820">
        <w:rPr>
          <w:rFonts w:ascii="Times New Roman" w:hAnsi="Times New Roman"/>
          <w:color w:val="000000" w:themeColor="text1"/>
          <w:sz w:val="16"/>
          <w:szCs w:val="16"/>
        </w:rPr>
        <w:softHyphen/>
        <w:t>вали на Пе-2 (заводской №16/47) и опытном Пе-Збис завода №39 (за</w:t>
      </w:r>
      <w:r w:rsidRPr="00640820">
        <w:rPr>
          <w:rFonts w:ascii="Times New Roman" w:hAnsi="Times New Roman"/>
          <w:color w:val="000000" w:themeColor="text1"/>
          <w:sz w:val="16"/>
          <w:szCs w:val="16"/>
        </w:rPr>
        <w:softHyphen/>
        <w:t>водской №392207), успешно про</w:t>
      </w:r>
      <w:r w:rsidRPr="00640820">
        <w:rPr>
          <w:rFonts w:ascii="Times New Roman" w:hAnsi="Times New Roman"/>
          <w:color w:val="000000" w:themeColor="text1"/>
          <w:sz w:val="16"/>
          <w:szCs w:val="16"/>
        </w:rPr>
        <w:softHyphen/>
        <w:t>шедшем испытания в НИИ ВВС. Пла</w:t>
      </w:r>
      <w:r w:rsidRPr="00640820">
        <w:rPr>
          <w:rFonts w:ascii="Times New Roman" w:hAnsi="Times New Roman"/>
          <w:color w:val="000000" w:themeColor="text1"/>
          <w:sz w:val="16"/>
          <w:szCs w:val="16"/>
        </w:rPr>
        <w:softHyphen/>
        <w:t>ны внедрить турели с крупнокалибер</w:t>
      </w:r>
      <w:r w:rsidRPr="00640820">
        <w:rPr>
          <w:rFonts w:ascii="Times New Roman" w:hAnsi="Times New Roman"/>
          <w:color w:val="000000" w:themeColor="text1"/>
          <w:sz w:val="16"/>
          <w:szCs w:val="16"/>
        </w:rPr>
        <w:softHyphen/>
        <w:t>ными пулемётами сорвала начавша</w:t>
      </w:r>
      <w:r w:rsidRPr="00640820">
        <w:rPr>
          <w:rFonts w:ascii="Times New Roman" w:hAnsi="Times New Roman"/>
          <w:color w:val="000000" w:themeColor="text1"/>
          <w:sz w:val="16"/>
          <w:szCs w:val="16"/>
        </w:rPr>
        <w:softHyphen/>
        <w:t>яся с середины октября массовая эвакуация московских предприятий на восток, вызванная немецким наступ</w:t>
      </w:r>
      <w:r w:rsidRPr="00640820">
        <w:rPr>
          <w:rFonts w:ascii="Times New Roman" w:hAnsi="Times New Roman"/>
          <w:color w:val="000000" w:themeColor="text1"/>
          <w:sz w:val="16"/>
          <w:szCs w:val="16"/>
        </w:rPr>
        <w:softHyphen/>
        <w:t>лением. Переезд завода №39 в Ир</w:t>
      </w:r>
      <w:r w:rsidRPr="00640820">
        <w:rPr>
          <w:rFonts w:ascii="Times New Roman" w:hAnsi="Times New Roman"/>
          <w:color w:val="000000" w:themeColor="text1"/>
          <w:sz w:val="16"/>
          <w:szCs w:val="16"/>
        </w:rPr>
        <w:softHyphen/>
        <w:t>кутск занял три месяца. На новом месте он слился со 125-м заводом. Одновременно самый крупный из производивших «пешки» столичный завод №22 начал перебазирование в Казань, где объединился с мест</w:t>
      </w:r>
      <w:r w:rsidRPr="00640820">
        <w:rPr>
          <w:rFonts w:ascii="Times New Roman" w:hAnsi="Times New Roman"/>
          <w:color w:val="000000" w:themeColor="text1"/>
          <w:sz w:val="16"/>
          <w:szCs w:val="16"/>
        </w:rPr>
        <w:softHyphen/>
        <w:t>ным предприятием №124 в крупней</w:t>
      </w:r>
      <w:r w:rsidRPr="00640820">
        <w:rPr>
          <w:rFonts w:ascii="Times New Roman" w:hAnsi="Times New Roman"/>
          <w:color w:val="000000" w:themeColor="text1"/>
          <w:sz w:val="16"/>
          <w:szCs w:val="16"/>
        </w:rPr>
        <w:softHyphen/>
        <w:t>ший комплекс также с «московским» номером.</w:t>
      </w:r>
    </w:p>
    <w:p w14:paraId="64B5464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Эвакуацию сопровождала неиз</w:t>
      </w:r>
      <w:r w:rsidRPr="00640820">
        <w:rPr>
          <w:rFonts w:ascii="Times New Roman" w:hAnsi="Times New Roman"/>
          <w:color w:val="000000" w:themeColor="text1"/>
          <w:sz w:val="16"/>
          <w:szCs w:val="16"/>
        </w:rPr>
        <w:softHyphen/>
        <w:t>бежная неразбериха, перелёт опыт</w:t>
      </w:r>
      <w:r w:rsidRPr="00640820">
        <w:rPr>
          <w:rFonts w:ascii="Times New Roman" w:hAnsi="Times New Roman"/>
          <w:color w:val="000000" w:themeColor="text1"/>
          <w:sz w:val="16"/>
          <w:szCs w:val="16"/>
        </w:rPr>
        <w:softHyphen/>
        <w:t>ных и спешно собранных серийных самолётов, множество аварий и труд</w:t>
      </w:r>
      <w:r w:rsidRPr="00640820">
        <w:rPr>
          <w:rFonts w:ascii="Times New Roman" w:hAnsi="Times New Roman"/>
          <w:color w:val="000000" w:themeColor="text1"/>
          <w:sz w:val="16"/>
          <w:szCs w:val="16"/>
        </w:rPr>
        <w:softHyphen/>
        <w:t>ное обустройство на новом месте. Эшелон с оборудованием провёл в пути месяц, бригаде вооружения во главе с С.Карташкиным вообще при</w:t>
      </w:r>
      <w:r w:rsidRPr="00640820">
        <w:rPr>
          <w:rFonts w:ascii="Times New Roman" w:hAnsi="Times New Roman"/>
          <w:color w:val="000000" w:themeColor="text1"/>
          <w:sz w:val="16"/>
          <w:szCs w:val="16"/>
        </w:rPr>
        <w:softHyphen/>
        <w:t>шлось добираться своим ходом, и лишь с Нового Года появилась воз</w:t>
      </w:r>
      <w:r w:rsidRPr="00640820">
        <w:rPr>
          <w:rFonts w:ascii="Times New Roman" w:hAnsi="Times New Roman"/>
          <w:color w:val="000000" w:themeColor="text1"/>
          <w:sz w:val="16"/>
          <w:szCs w:val="16"/>
        </w:rPr>
        <w:softHyphen/>
        <w:t>можность вновь заняться конструк</w:t>
      </w:r>
      <w:r w:rsidRPr="00640820">
        <w:rPr>
          <w:rFonts w:ascii="Times New Roman" w:hAnsi="Times New Roman"/>
          <w:color w:val="000000" w:themeColor="text1"/>
          <w:sz w:val="16"/>
          <w:szCs w:val="16"/>
        </w:rPr>
        <w:softHyphen/>
        <w:t>торской работой.</w:t>
      </w:r>
    </w:p>
    <w:p w14:paraId="1955FEE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Решавшую проблему усиления обороноспособности Пе-2 турель Торопова в вариантах ВУБ-1 (верх</w:t>
      </w:r>
      <w:r w:rsidRPr="00640820">
        <w:rPr>
          <w:rFonts w:ascii="Times New Roman" w:hAnsi="Times New Roman"/>
          <w:color w:val="000000" w:themeColor="text1"/>
          <w:sz w:val="16"/>
          <w:szCs w:val="16"/>
        </w:rPr>
        <w:softHyphen/>
        <w:t>няя установка бомбардировщика, или Б-270 как изделие завода №32) и ВУБ-2 с осени 1941 г. уже уста</w:t>
      </w:r>
      <w:r w:rsidRPr="00640820">
        <w:rPr>
          <w:rFonts w:ascii="Times New Roman" w:hAnsi="Times New Roman"/>
          <w:color w:val="000000" w:themeColor="text1"/>
          <w:sz w:val="16"/>
          <w:szCs w:val="16"/>
        </w:rPr>
        <w:softHyphen/>
        <w:t>навливали на отдельных серийных Пе-2 (иногда до 10 в месяц). Видимо, Петляков с бригадой вооружения хотел отладить её перед массовым внедрением, требовавшим некоторо</w:t>
      </w:r>
      <w:r w:rsidRPr="00640820">
        <w:rPr>
          <w:rFonts w:ascii="Times New Roman" w:hAnsi="Times New Roman"/>
          <w:color w:val="000000" w:themeColor="text1"/>
          <w:sz w:val="16"/>
          <w:szCs w:val="16"/>
        </w:rPr>
        <w:softHyphen/>
        <w:t>го изменения технологии поточного производства. Но боевые экипажи не желали погибать из-за трудностей производственников, и фронт, не стесняясь в выражениях, настойчиво требовал от завода принять меры. Реакцией на раздражение военных стала инициативная разработка кон</w:t>
      </w:r>
      <w:r w:rsidRPr="00640820">
        <w:rPr>
          <w:rFonts w:ascii="Times New Roman" w:hAnsi="Times New Roman"/>
          <w:color w:val="000000" w:themeColor="text1"/>
          <w:sz w:val="16"/>
          <w:szCs w:val="16"/>
        </w:rPr>
        <w:softHyphen/>
        <w:t>структоров-самолётчиков ОКО-22 Л.Селякова, П.Чугунова и слесаря-оружейника А.Архипова, самостоя</w:t>
      </w:r>
      <w:r w:rsidRPr="00640820">
        <w:rPr>
          <w:rFonts w:ascii="Times New Roman" w:hAnsi="Times New Roman"/>
          <w:color w:val="000000" w:themeColor="text1"/>
          <w:sz w:val="16"/>
          <w:szCs w:val="16"/>
        </w:rPr>
        <w:softHyphen/>
        <w:t>тельно изготовивших «альтернатив</w:t>
      </w:r>
      <w:r w:rsidRPr="00640820">
        <w:rPr>
          <w:rFonts w:ascii="Times New Roman" w:hAnsi="Times New Roman"/>
          <w:color w:val="000000" w:themeColor="text1"/>
          <w:sz w:val="16"/>
          <w:szCs w:val="16"/>
        </w:rPr>
        <w:softHyphen/>
        <w:t>ную турель» под пулемёт Березина с ленточным питанием.</w:t>
      </w:r>
    </w:p>
    <w:p w14:paraId="1320364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Основными особенностями уста</w:t>
      </w:r>
      <w:r w:rsidRPr="00640820">
        <w:rPr>
          <w:rFonts w:ascii="Times New Roman" w:hAnsi="Times New Roman"/>
          <w:color w:val="000000" w:themeColor="text1"/>
          <w:sz w:val="16"/>
          <w:szCs w:val="16"/>
        </w:rPr>
        <w:softHyphen/>
        <w:t>новки, названной ФТ (фронт требу</w:t>
      </w:r>
      <w:r w:rsidRPr="00640820">
        <w:rPr>
          <w:rFonts w:ascii="Times New Roman" w:hAnsi="Times New Roman"/>
          <w:color w:val="000000" w:themeColor="text1"/>
          <w:sz w:val="16"/>
          <w:szCs w:val="16"/>
        </w:rPr>
        <w:softHyphen/>
        <w:t xml:space="preserve">ет) </w:t>
      </w:r>
      <w:r w:rsidRPr="00640820">
        <w:rPr>
          <w:rFonts w:ascii="Times New Roman" w:hAnsi="Times New Roman"/>
          <w:iCs/>
          <w:color w:val="000000" w:themeColor="text1"/>
          <w:sz w:val="16"/>
          <w:szCs w:val="16"/>
        </w:rPr>
        <w:t xml:space="preserve">были </w:t>
      </w:r>
      <w:r w:rsidRPr="00640820">
        <w:rPr>
          <w:rFonts w:ascii="Times New Roman" w:hAnsi="Times New Roman"/>
          <w:color w:val="000000" w:themeColor="text1"/>
          <w:sz w:val="16"/>
          <w:szCs w:val="16"/>
        </w:rPr>
        <w:t>простота, использование деталей серийной люковой установ</w:t>
      </w:r>
      <w:r w:rsidRPr="00640820">
        <w:rPr>
          <w:rFonts w:ascii="Times New Roman" w:hAnsi="Times New Roman"/>
          <w:color w:val="000000" w:themeColor="text1"/>
          <w:sz w:val="16"/>
          <w:szCs w:val="16"/>
        </w:rPr>
        <w:softHyphen/>
        <w:t>ки МВ-2 и возможность монтажа на месте прежней ТСС-1 без серьёзной переделки самолёта. Новыми были опорная рама, узлы крепления при</w:t>
      </w:r>
      <w:r w:rsidRPr="00640820">
        <w:rPr>
          <w:rFonts w:ascii="Times New Roman" w:hAnsi="Times New Roman"/>
          <w:color w:val="000000" w:themeColor="text1"/>
          <w:sz w:val="16"/>
          <w:szCs w:val="16"/>
        </w:rPr>
        <w:softHyphen/>
        <w:t>цела и пр. мелочи. Вся разработка заняла 10 дней и была завершена к 28 февраля 1942 г. Ценой простоты стали ограниченные углы обстрела, ухудшение характеристик самолёта из-за снятия обтекателя - «черепа</w:t>
      </w:r>
      <w:r w:rsidRPr="00640820">
        <w:rPr>
          <w:rFonts w:ascii="Times New Roman" w:hAnsi="Times New Roman"/>
          <w:color w:val="000000" w:themeColor="text1"/>
          <w:sz w:val="16"/>
          <w:szCs w:val="16"/>
        </w:rPr>
        <w:softHyphen/>
        <w:t>хи», меньшая эффективность самой турели из-за отсутствия аэродинами</w:t>
      </w:r>
      <w:r w:rsidRPr="00640820">
        <w:rPr>
          <w:rFonts w:ascii="Times New Roman" w:hAnsi="Times New Roman"/>
          <w:color w:val="000000" w:themeColor="text1"/>
          <w:sz w:val="16"/>
          <w:szCs w:val="16"/>
        </w:rPr>
        <w:softHyphen/>
        <w:t>ческого компенсатора и механизма учёта собственной скорости (11432).</w:t>
      </w:r>
    </w:p>
    <w:p w14:paraId="55CF76F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13E9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НИИ ВВС рекомендовал схему бронирования экипажа на Пе-2 (808,19).</w:t>
      </w:r>
    </w:p>
    <w:p w14:paraId="7E0011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3B73C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(в соответствии с первоначальным графиком) в ЦКБ-29 закончили последние чертежи и с начала октября на заводе приступили к изготовлению первых деталей. 7 октября Туполева назначили главным конструктором завода.</w:t>
      </w:r>
    </w:p>
    <w:p w14:paraId="07A992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Рассматривалась также возможность постройки новых бомбардировщиков "103С" с моторами АМ-37 на заводе № 124 в Казани. На площадку этого предприятия осенью 1941 г. эвакуировали из Москвы завод № 22, строивший пикировщики Пе-2. 19 декабря 1941 г. вышло соответствующее постановление ГКО. Наркомат дал туполевцам только десять дней на копирование всей документации. В начале января 1942 г. Туполев с группой конструкторов побывал в Казани. Но в условиях больших потерь на фронте наркомат не рискнул пожертвовать выпуском Пе-2. Заводы № 124 и № 22 слили в один, который продолжал строить пикировщики до самого конца войны.</w:t>
      </w:r>
    </w:p>
    <w:p w14:paraId="0F72F8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ставка на "103У" являлась дорогой в тупик. Дело в том, что исключительная важность, придаваемая штурмовикам Ил-2, привела к тому, что моторов АМ-38 требовалось все больше. Увеличить их выпуск проще всего было за счет свертывания сборки сходных АМ-35А. Так и сделали. А необходимые для "103У" АМ-37 просто не стали запускать в крупносерийное производство. Зато в Молотове на заводе № 19 скопились сотни невостребованных двигателей М-82А (11988).</w:t>
      </w:r>
    </w:p>
    <w:p w14:paraId="48BFC1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F6529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года ОКБ завершило передачу заводу № 22 рабочих чертежей и началась постройка серии самолетов "103-У" с моторами АМ-37, но из-за эвакуации предприятия на восток страны планы производства машины пришлось пересмотреть.</w:t>
      </w:r>
    </w:p>
    <w:p w14:paraId="66E8E8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Серьезный поворот в судьбе самолета произошел после появления "103-В". Опытная машина еще не покинула сборочный цех, как в конце ноября 1941 года НКАП распорядился выпускать самолеты, начиная с первой серии, с двигателями М-82 в Омске на заводе № 166 (12035).</w:t>
      </w:r>
    </w:p>
    <w:p w14:paraId="1021ED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098D8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сентябре 1941 г. еще в Москве был создан модернизированный вариант истребителя Пе-Збис, у которого изменили носовую часть фюзеляжа, полностью лишив ее остекления, усилили вооружение (пушка </w:t>
      </w:r>
      <w:r w:rsidRPr="00640820">
        <w:rPr>
          <w:rFonts w:ascii="Times New Roman" w:hAnsi="Times New Roman"/>
          <w:color w:val="000000" w:themeColor="text1"/>
          <w:sz w:val="16"/>
          <w:szCs w:val="16"/>
          <w:lang w:val="en-US"/>
        </w:rPr>
        <w:t>LLIBAK</w:t>
      </w:r>
      <w:r w:rsidRPr="00640820">
        <w:rPr>
          <w:rFonts w:ascii="Times New Roman" w:hAnsi="Times New Roman"/>
          <w:color w:val="000000" w:themeColor="text1"/>
          <w:sz w:val="16"/>
          <w:szCs w:val="16"/>
        </w:rPr>
        <w:t xml:space="preserve"> и два пулемета УБ, установленные неподвижно, турельная установка штурмана с пулеметом УБТ). Масса секундного залпа самолета возросла до 2,65 кг.</w:t>
      </w:r>
    </w:p>
    <w:p w14:paraId="02C1C4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Консоли крыла оснастили автоматическими предкрылками, был внесен ряд других усовершенствований. В результате полетная масса истребителя несколько увеличилась.</w:t>
      </w:r>
    </w:p>
    <w:p w14:paraId="5E95A9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Эвакуация завода №39 и работы по модернизации истребителя привели к задержке выпуска Пе-Збис. Он возобновился в Иркутске в апреле 1942 г. Первые 11 самолетов были собраны из деталей, эвакуированных из Москвы. В отличие от опытного Пе-Збис, на серийном истребителе пулеметы У Б были перенесены из носовой части фюзеляжа в гру- зоотсек, где их закрепили на общей раме, закрытой легким открывающимся вниз люком. У штурмана смонтировали серийную установку Б-270 с пулеметом УБК. Было усилено бронирование экипажа (масса брони составила 148 кг). Силовая установка состояла из двух двигателей М- 105РА мощностью по 1050 л.с. (12037).</w:t>
      </w:r>
    </w:p>
    <w:p w14:paraId="2E956B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54276F6" w14:textId="77777777" w:rsidR="00984994" w:rsidRPr="00640820" w:rsidRDefault="00984994"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месяце 1941 по результатам фронтового применения Пе-3, КБ завода № 39 развернуло работы по созданию модифицированного варианта истребителя, получившего название Пе-3бис. Новый самолет отличался от серийных Пе-3 прежде всего вооружением. В носовой части фюзеляжа, полностью лишенной остекления вместо пулемета БК установили два пулемета УБК и пушку ШВАК. Взамен турельной установки штурмана с пулеметом ШКАС смонтировали подвижную установку с пулеметом УБТ. Кроме того, консоли крыла оснастили автоматическими предкрылками, уменьшили длину фонаря кабины пилота и установили противопрожекторные шторки на все стекла кабины. Были предусмотрены и другие изменения. После окончания испытаний опытного Пе-3бис некоторые изменения стали реализовывать на серийных самолетах. Отдельные машины в частях дорабатывались силами выездных заводских бригад и специалистов ИАС. На самолеты устанавливали пушки ШВАК, заменяли пулеметы ШКАС верхней стрелковой точки на крупнокалиберные УБТ, размещали в хвостовой части держатель авиационных гранат ДАГ-10. В дальнейшем многие Пе-3 получили ракетное вооружение: четыре пусковых установки РО-82, а некоторые – еще и пару РО-132 (Марковский В., Медведь А. Оружие «пешки». АвиАМастер - 1997 № 2.). Производство самолетов на заводе № 39 продолжалось до начала эвакуации. Всего за 1941 год завод изготовил 303 пикирующих бомбардировщиков Пе-2 и 196 истребителей Пе-3 (16 - в августе, 98 - в сентябре, и 82 - в октябре). Кроме того построена опытная машина Пе-3бис (первый вариант) (Медведь А., Хазанов Д., Пикирующий бомбардировщик Пе-2 (часть 2) Армада, выпуск № 18. М.: ООО Издательский центр «Экспринт», 2000.) (15223).</w:t>
      </w:r>
    </w:p>
    <w:p w14:paraId="51DA9D39" w14:textId="77777777" w:rsidR="00984994" w:rsidRPr="00640820" w:rsidRDefault="00984994" w:rsidP="00640820">
      <w:pPr>
        <w:shd w:val="clear" w:color="auto" w:fill="FFFFFF"/>
        <w:spacing w:after="0" w:line="240" w:lineRule="auto"/>
        <w:jc w:val="both"/>
        <w:rPr>
          <w:rFonts w:ascii="Times New Roman" w:hAnsi="Times New Roman"/>
          <w:color w:val="000000" w:themeColor="text1"/>
          <w:sz w:val="16"/>
          <w:szCs w:val="16"/>
        </w:rPr>
      </w:pPr>
    </w:p>
    <w:p w14:paraId="4ACE76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завод № 124 получил задание выпустить до конца года 20 самолетов ТБ-7 по пять в месяц (12049).</w:t>
      </w:r>
    </w:p>
    <w:p w14:paraId="6D9516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B9813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к Незвалю обратились из ВМФ с просьбой «изыскать возможность создания самолета-звена из ТБ-7 и двух истребителей типа МиГ-3 (ЛаГ-3) с двумя 250 кг бомбами». Незваль ответил, что по расчетам это возможно, но в текущем году провести такую работу невозможно из-за перегрузки ОКБ (12049).</w:t>
      </w:r>
    </w:p>
    <w:p w14:paraId="642A76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C11D9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сентябре 1941 г., вооруженный первоначально бомбардировщиками СБ, 40-й сбап, воевавший с первого дня войны, начал перевооружение на Пе-2 и Пе-3. В том же месяце полк прошел переформирование, выделив из своего состава “40-А” сбап, впоследствии 511-й ббап. В период с 22 по 24 сентября самолеты 40-го сбап нанесли ряд массированных ударов по железнодорожному узлу Старая Руса и вывели его из строя на неделю. Три полко-вылета 27 и 28 сентября на бомбардировку станции Рославль приостановили движение немецких эшелонов на два - три дня. В числе наиболее заметных успехов полка стоит отметить разрушенный мост через реку Угра в районе Юхнова (командир эскадрильи капитан А. Г. Рогов получил за него звание Героя Советского Союза) и поврежденный мост через Волгу в районе Калинина, что затруднило маневр германских танковых соединений. Цена, которую заплатил полк, также оказалась немалой: 6 октября 1941 г. не вернулись на свои аэродромы 5 экипажей Пе-3, 8 октября пропал без вести в районе Юхнова-Медыни комэск А.Г. Рогов, а четыре дня спустя - второй комэск капитан В.Б. Малофеев.</w:t>
      </w:r>
    </w:p>
    <w:p w14:paraId="63E264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период битвы под Москвой полк, вооруженный преимущественно Пе-3, использовался для нанесения бомбовых ударов и разведки. Он выполнил 365 самолето-вылетов и сбросил на врага 218 тонн бомб (4476).</w:t>
      </w:r>
    </w:p>
    <w:p w14:paraId="7F435C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64936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командир эскадрильи 95 сбап капитан А. Жатьков направил личное письмо секретарю ЦК ВКП(б) Маленкову.</w:t>
      </w:r>
    </w:p>
    <w:p w14:paraId="51BC61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“Являясь командиром авиационной эскадрильи, я хочу посвятить Вас в вопросы недоброкачественности самолетов, поступающих на вооружение ВВС”, - начиналось письмо. Далее Жатьков перечислил большую часть недостатков Пе-3, которые ранее отмечались в отчете по испытаниям НИИ ВВС. По мнению летчика, помимо брони на истребитель следовало срочно установить пушку ШВАК и заменить верхнюю установку штурмана со ШКАСом на турель с крупнокалиберным пулеметом ВТ.</w:t>
      </w:r>
    </w:p>
    <w:p w14:paraId="42F1A0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Письмо Жатькова послужило мощным стимулом для ускоренной модернизации истребителя Пе-3, поскольку Маленков потребовал от командования ВВС срочно разобраться в ситуации и доложить ему. Кроме того, Петляков получил целый набор претензий от пилотов 40-го сбап, также приступившего к перевооружению на Пе-3. Недостатки следовало устранять, и устранять срочно. В результате появился опытный усовершенствованный самолет Пе-Збис (первый с таким названием), испытанный в НИИ ВВС летчиком А. Хрипко-вым в конце сентября - начале октября. Самолет зав. № 392207 в ходе испытаний совершил 40 полетов (4476).</w:t>
      </w:r>
    </w:p>
    <w:p w14:paraId="4A9DD6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44538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был и Иркутский Пе-3, аналогичный московскому, но с 2-БС 12.7 мм по правому борту и с подвижным ШКАС на турели неподвижным ШКАС в конусе кока (1722,52).</w:t>
      </w:r>
    </w:p>
    <w:p w14:paraId="0E9F21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9CB65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появился и Пе-3бис с носовой частью, полностью лишенной остекления и со ШВАК + 2хУБ + турельный УБТ и автоматическими предкрылками (1722,52).</w:t>
      </w:r>
    </w:p>
    <w:p w14:paraId="5B0668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FE93A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года опытные образцы автомата пикирования (АП-103), созданного под руководством А.И. Маркова на заводе № 379, выдержали лабораторные испытания и были отправлены в Омск на завод № 288, но в пути погибли при бомбежке эшелона. Туполев и Марков неоднократно поднимали вопрос о производстве прибора, НКАП же устранился от решения задачи. Хотя постановлением правительства о создании самолета "103-У" предписывалось размещение тормозных решеток под крылом, необходимых для бомбометания с пикирования, в этом качестве он мог использоваться лишь в редких случаях. Причина заключалась в отсутствии автомата пикирования (12035).</w:t>
      </w:r>
    </w:p>
    <w:p w14:paraId="516DF3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2155F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в Харькове на аэродроме перед эвакуацией был уничтожен ББ-2 П.Д.Грушина, который испытывал А.Н.Гринчик (449).</w:t>
      </w:r>
    </w:p>
    <w:p w14:paraId="09083B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BEDA7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были закончены заводские летные испытаний М-71 на И-185 и Су-6 - на 4-х экз. самолетов, которые шли с апреля 1941 и потом начались гос. испытания в НИИ ВВС (1684,17).</w:t>
      </w:r>
    </w:p>
    <w:p w14:paraId="072E10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D4E160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в ЛИИ в Москве про</w:t>
      </w:r>
      <w:r w:rsidRPr="00640820">
        <w:rPr>
          <w:rFonts w:ascii="Times New Roman" w:hAnsi="Times New Roman"/>
          <w:color w:val="000000" w:themeColor="text1"/>
          <w:sz w:val="16"/>
          <w:szCs w:val="16"/>
        </w:rPr>
        <w:softHyphen/>
        <w:t>ходили Испытания самолета И-185 М-82 2-й экземпляр, построеннного по устному распоряжению замнаркома А.С. Яков</w:t>
      </w:r>
      <w:r w:rsidRPr="00640820">
        <w:rPr>
          <w:rFonts w:ascii="Times New Roman" w:hAnsi="Times New Roman"/>
          <w:color w:val="000000" w:themeColor="text1"/>
          <w:sz w:val="16"/>
          <w:szCs w:val="16"/>
        </w:rPr>
        <w:softHyphen/>
        <w:t>лева от 22 июня 1941 г. (9979).</w:t>
      </w:r>
    </w:p>
    <w:p w14:paraId="07B1075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746F0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совместно с И-185М-71 второй экземпляр И-185 М-82 поступил на испытания в ЛИИ (9979).</w:t>
      </w:r>
    </w:p>
    <w:p w14:paraId="66D4923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F9ECF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в ЛИИ НКАП проведены летные испытания на штопор, произведен отстрел оружия и испытания бом</w:t>
      </w:r>
      <w:r w:rsidRPr="00640820">
        <w:rPr>
          <w:rFonts w:ascii="Times New Roman" w:hAnsi="Times New Roman"/>
          <w:color w:val="000000" w:themeColor="text1"/>
          <w:sz w:val="16"/>
          <w:szCs w:val="16"/>
        </w:rPr>
        <w:softHyphen/>
        <w:t>бового вооружения И-185 М-71 3-й экземпляр (эта машина имела заводской №6204, однако именовалась «3-м экземпляром», чем по сей день вносит не которую путаницу). Заводские испытания пре</w:t>
      </w:r>
      <w:r w:rsidRPr="00640820">
        <w:rPr>
          <w:rFonts w:ascii="Times New Roman" w:hAnsi="Times New Roman"/>
          <w:color w:val="000000" w:themeColor="text1"/>
          <w:sz w:val="16"/>
          <w:szCs w:val="16"/>
        </w:rPr>
        <w:softHyphen/>
        <w:t>рваны эвакуацией (9979).</w:t>
      </w:r>
    </w:p>
    <w:p w14:paraId="2604522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D0E2F6" w14:textId="77777777" w:rsidR="000A728B" w:rsidRPr="00640820" w:rsidRDefault="000A728B"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сентябре 1941 летчики ЛИИ на этом самолете И-185 №6204 выполнили испытания на штопор. На хвостовой части установили переходник с контейнером противоштопорного парашюта, но воспользоваться им не пришлось. Штопорные свойства истребителя были признаны удовлетворительными.</w:t>
      </w:r>
    </w:p>
    <w:p w14:paraId="7E9FB8B3" w14:textId="77777777" w:rsidR="000A728B" w:rsidRPr="00640820" w:rsidRDefault="000A728B"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октябре 1941 г. испытания были прерваны в связи с эвакуацией ОКБ-51 и ЛИИ в Новосибирск, куда увезли и 3-ю машину (17736).</w:t>
      </w:r>
    </w:p>
    <w:p w14:paraId="507DBA37" w14:textId="77777777" w:rsidR="000A728B" w:rsidRPr="00640820" w:rsidRDefault="000A728B" w:rsidP="00640820">
      <w:pPr>
        <w:pStyle w:val="129"/>
        <w:shd w:val="clear" w:color="auto" w:fill="auto"/>
        <w:spacing w:after="0" w:line="240" w:lineRule="auto"/>
        <w:jc w:val="both"/>
        <w:rPr>
          <w:color w:val="000000" w:themeColor="text1"/>
          <w:sz w:val="16"/>
          <w:szCs w:val="16"/>
        </w:rPr>
      </w:pPr>
    </w:p>
    <w:p w14:paraId="025DAE52" w14:textId="77777777" w:rsidR="000A728B" w:rsidRPr="00640820" w:rsidRDefault="000A728B"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сентябре 1941 г. оба самолета «И» (И-185 М-82) были переданы на Совместные государственные испытания, которые должны были проводиться на базе ЛИИ НКАП летчиками завода, этого института и НИИ ВВС (17736).</w:t>
      </w:r>
    </w:p>
    <w:p w14:paraId="5EF52733" w14:textId="77777777" w:rsidR="000A728B" w:rsidRPr="00640820" w:rsidRDefault="000A728B" w:rsidP="00640820">
      <w:pPr>
        <w:pStyle w:val="129"/>
        <w:shd w:val="clear" w:color="auto" w:fill="auto"/>
        <w:spacing w:after="0" w:line="240" w:lineRule="auto"/>
        <w:jc w:val="both"/>
        <w:rPr>
          <w:color w:val="000000" w:themeColor="text1"/>
          <w:sz w:val="16"/>
          <w:szCs w:val="16"/>
        </w:rPr>
      </w:pPr>
    </w:p>
    <w:p w14:paraId="7DEDBE32" w14:textId="77777777" w:rsidR="00D540A3" w:rsidRPr="00640820" w:rsidRDefault="00D540A3" w:rsidP="00640820">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сентябре 1941 года летчик-испытатель П.М. Попельнушенко начал испытания второго истребителя И-185 с двигателем М-71. Были проведены полеты по отстрелу оружия, на штопор и испытания бомбового вооружения. Однако закончить испытания помешала эвакуация. Было выполнено лишь 14 полетов общей продолжительностью 6 часов (-ведущий инженер Соколов). В октябре 1941 года этот И-185 отправили летом по воздуху в Казань, однако машина совершила вынужденную посадку в поле, после чего не восстанавливалась.</w:t>
      </w:r>
    </w:p>
    <w:p w14:paraId="24A67FDF" w14:textId="77777777" w:rsidR="00D540A3" w:rsidRPr="00640820" w:rsidRDefault="00D540A3" w:rsidP="00640820">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А вот испытания И-185 с двигателем М-82А продолжились в декабре 1941 года в Новосибирском филиале ЛИИ, размещенном на аэродроме Толмачево (Новосибирск). Их проводил все тот же летчик-испытатель П.М. Попельнушенко. Испытания были завершены к концу февраля 1942 года (ведущий инженер Соколов). Было выполнено 28 полетов общей продолжительностью 8 часов. Истребитель показал очень хорошие характеристики, однако в серию так и не пошел (19569).</w:t>
      </w:r>
    </w:p>
    <w:p w14:paraId="228463A8" w14:textId="77777777" w:rsidR="00D540A3" w:rsidRPr="00640820" w:rsidRDefault="00D540A3" w:rsidP="00640820">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p>
    <w:p w14:paraId="4BEFEF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состоялся первый полет ТИС, выпущенного весной. Затем - эвакуация и испытания до 1943. Опоздали (4,199).</w:t>
      </w:r>
    </w:p>
    <w:p w14:paraId="4EB4DF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BE2078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специалисты ЦАГИ выполнили про</w:t>
      </w:r>
      <w:r w:rsidRPr="00640820">
        <w:rPr>
          <w:rFonts w:ascii="Times New Roman" w:hAnsi="Times New Roman"/>
          <w:color w:val="000000" w:themeColor="text1"/>
          <w:sz w:val="16"/>
          <w:szCs w:val="16"/>
        </w:rPr>
        <w:softHyphen/>
        <w:t>дувку МиГ—9 зав. № 6501 в трубе Т—104, которая подтвердила сильнейшее влияние негерметичности капота мотора на величину лобового сопротивления. Фюзеляж и некоторые другие части самолета требо</w:t>
      </w:r>
      <w:r w:rsidRPr="00640820">
        <w:rPr>
          <w:rFonts w:ascii="Times New Roman" w:hAnsi="Times New Roman"/>
          <w:color w:val="000000" w:themeColor="text1"/>
          <w:sz w:val="16"/>
          <w:szCs w:val="16"/>
        </w:rPr>
        <w:softHyphen/>
        <w:t>вали переделки. Вместе с тем, и в таком незавершен</w:t>
      </w:r>
      <w:r w:rsidRPr="00640820">
        <w:rPr>
          <w:rFonts w:ascii="Times New Roman" w:hAnsi="Times New Roman"/>
          <w:color w:val="000000" w:themeColor="text1"/>
          <w:sz w:val="16"/>
          <w:szCs w:val="16"/>
        </w:rPr>
        <w:softHyphen/>
        <w:t>ном виде А.И.Микоян считал возможным выпуск не</w:t>
      </w:r>
      <w:r w:rsidRPr="00640820">
        <w:rPr>
          <w:rFonts w:ascii="Times New Roman" w:hAnsi="Times New Roman"/>
          <w:color w:val="000000" w:themeColor="text1"/>
          <w:sz w:val="16"/>
          <w:szCs w:val="16"/>
        </w:rPr>
        <w:softHyphen/>
        <w:t>большой войсковой серии МиГов с М—82. Однако завершить испытания и построить серийные маши</w:t>
      </w:r>
      <w:r w:rsidRPr="00640820">
        <w:rPr>
          <w:rFonts w:ascii="Times New Roman" w:hAnsi="Times New Roman"/>
          <w:color w:val="000000" w:themeColor="text1"/>
          <w:sz w:val="16"/>
          <w:szCs w:val="16"/>
        </w:rPr>
        <w:softHyphen/>
        <w:t>ны не позволила эвакуация завода № 1 и ОКБ в Куй</w:t>
      </w:r>
      <w:r w:rsidRPr="00640820">
        <w:rPr>
          <w:rFonts w:ascii="Times New Roman" w:hAnsi="Times New Roman"/>
          <w:color w:val="000000" w:themeColor="text1"/>
          <w:sz w:val="16"/>
          <w:szCs w:val="16"/>
        </w:rPr>
        <w:softHyphen/>
        <w:t>бышев в октябре 1941 г (9984).</w:t>
      </w:r>
    </w:p>
    <w:p w14:paraId="7946B10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018F1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по договору завод № 1 должен был изготовить 600 МиГов, однако по решению прави</w:t>
      </w:r>
      <w:r w:rsidRPr="00640820">
        <w:rPr>
          <w:rFonts w:ascii="Times New Roman" w:hAnsi="Times New Roman"/>
          <w:color w:val="000000" w:themeColor="text1"/>
          <w:sz w:val="16"/>
          <w:szCs w:val="16"/>
        </w:rPr>
        <w:softHyphen/>
        <w:t>тельства с этого месяца он переходил к освоению штурмовика Ил—2, и план по истребителям умень</w:t>
      </w:r>
      <w:r w:rsidRPr="00640820">
        <w:rPr>
          <w:rFonts w:ascii="Times New Roman" w:hAnsi="Times New Roman"/>
          <w:color w:val="000000" w:themeColor="text1"/>
          <w:sz w:val="16"/>
          <w:szCs w:val="16"/>
        </w:rPr>
        <w:softHyphen/>
        <w:t>шили до 420 единиц. Реально до конца месяца вы</w:t>
      </w:r>
      <w:r w:rsidRPr="00640820">
        <w:rPr>
          <w:rFonts w:ascii="Times New Roman" w:hAnsi="Times New Roman"/>
          <w:color w:val="000000" w:themeColor="text1"/>
          <w:sz w:val="16"/>
          <w:szCs w:val="16"/>
        </w:rPr>
        <w:softHyphen/>
        <w:t>пустили 450 МиГ—3, в том числе 60 машин для авиации ВМФ. В числе отправленных 414 истреби</w:t>
      </w:r>
      <w:r w:rsidRPr="00640820">
        <w:rPr>
          <w:rFonts w:ascii="Times New Roman" w:hAnsi="Times New Roman"/>
          <w:color w:val="000000" w:themeColor="text1"/>
          <w:sz w:val="16"/>
          <w:szCs w:val="16"/>
        </w:rPr>
        <w:softHyphen/>
        <w:t>телей только 10 были вооружены двумя пулеметами БС, а остальные несли три типичных для МиГа пу</w:t>
      </w:r>
      <w:r w:rsidRPr="00640820">
        <w:rPr>
          <w:rFonts w:ascii="Times New Roman" w:hAnsi="Times New Roman"/>
          <w:color w:val="000000" w:themeColor="text1"/>
          <w:sz w:val="16"/>
          <w:szCs w:val="16"/>
        </w:rPr>
        <w:softHyphen/>
        <w:t>лемета — один БС и два ШКАС. Правда, оставав</w:t>
      </w:r>
      <w:r w:rsidRPr="00640820">
        <w:rPr>
          <w:rFonts w:ascii="Times New Roman" w:hAnsi="Times New Roman"/>
          <w:color w:val="000000" w:themeColor="text1"/>
          <w:sz w:val="16"/>
          <w:szCs w:val="16"/>
        </w:rPr>
        <w:softHyphen/>
        <w:t>шиеся на заводе неотправленными 88 машин были вооружены двумя крупнокалиберными пулемета</w:t>
      </w:r>
      <w:r w:rsidRPr="00640820">
        <w:rPr>
          <w:rFonts w:ascii="Times New Roman" w:hAnsi="Times New Roman"/>
          <w:color w:val="000000" w:themeColor="text1"/>
          <w:sz w:val="16"/>
          <w:szCs w:val="16"/>
        </w:rPr>
        <w:softHyphen/>
        <w:t>ми, а 43 из них — еще и батареями ракетных ору</w:t>
      </w:r>
      <w:r w:rsidRPr="00640820">
        <w:rPr>
          <w:rFonts w:ascii="Times New Roman" w:hAnsi="Times New Roman"/>
          <w:color w:val="000000" w:themeColor="text1"/>
          <w:sz w:val="16"/>
          <w:szCs w:val="16"/>
        </w:rPr>
        <w:softHyphen/>
        <w:t>дий. Только 30 машин из числа выпущенных в сен</w:t>
      </w:r>
      <w:r w:rsidRPr="00640820">
        <w:rPr>
          <w:rFonts w:ascii="Times New Roman" w:hAnsi="Times New Roman"/>
          <w:color w:val="000000" w:themeColor="text1"/>
          <w:sz w:val="16"/>
          <w:szCs w:val="16"/>
        </w:rPr>
        <w:softHyphen/>
        <w:t>тябре имели бронированный козырек фонаря кабины пилота. Кроме постройки новых самолетов, до конца треть</w:t>
      </w:r>
      <w:r w:rsidRPr="00640820">
        <w:rPr>
          <w:rFonts w:ascii="Times New Roman" w:hAnsi="Times New Roman"/>
          <w:color w:val="000000" w:themeColor="text1"/>
          <w:sz w:val="16"/>
          <w:szCs w:val="16"/>
        </w:rPr>
        <w:softHyphen/>
        <w:t>его квартала завод № 1 сумел отремонтировать капи</w:t>
      </w:r>
      <w:r w:rsidRPr="00640820">
        <w:rPr>
          <w:rFonts w:ascii="Times New Roman" w:hAnsi="Times New Roman"/>
          <w:color w:val="000000" w:themeColor="text1"/>
          <w:sz w:val="16"/>
          <w:szCs w:val="16"/>
        </w:rPr>
        <w:softHyphen/>
        <w:t>тально 452 МиГа, а мелким ремонтом — еще 139 (9984).</w:t>
      </w:r>
    </w:p>
    <w:p w14:paraId="5EDA440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70E4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договору на сентябрь завод № 1 должен был изготовить 600 МиГов, однако по решению правительства с этого месяца он приступил к освоению штурмовика Ил-2, и план по истребителям впоследствии уменьшили до 420 единиц. Реально до конца месяца выпустили 450 МиГ-3, в том числе 60 машин для авиации ВМФ. В числе отправленных 414 истребителей только десять были оснащены двумя пулеметами БС, а остальные несли прежний вариант вооружения - один БС и два ШКАСа. Зато остававшиеся на заводе неотправленными 88 машин были вооружены двумя крупнокалиберными пулеметами, а 43 из них - еще и батареями ракетных орудий. Только 30 машин из числа выпущенных в сентябре имели бронированный козырек фонаря кабины пилота. Следует отметить, что за период войны до конца третьего квартала завод № 1 сумел капитально отремонтировать 452 МиГа и произвести мелкий ремонт еще 139 машин (12045).</w:t>
      </w:r>
    </w:p>
    <w:p w14:paraId="63F493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8D05FFB" w14:textId="77777777" w:rsidR="00984994" w:rsidRPr="00640820" w:rsidRDefault="0098499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Щербаков на заводе № 482 начал переоборудовать один серийный МиГ-3 под гермокабину, но в связи с эвакуацией работы прекратили, а тот МиГ-3 без ГК передали строевой части (15830).</w:t>
      </w:r>
    </w:p>
    <w:p w14:paraId="2CFEE784" w14:textId="77777777" w:rsidR="00984994" w:rsidRPr="00640820" w:rsidRDefault="00984994" w:rsidP="00640820">
      <w:pPr>
        <w:spacing w:after="0" w:line="240" w:lineRule="auto"/>
        <w:jc w:val="both"/>
        <w:rPr>
          <w:rFonts w:ascii="Times New Roman" w:hAnsi="Times New Roman"/>
          <w:color w:val="000000" w:themeColor="text1"/>
          <w:sz w:val="16"/>
          <w:szCs w:val="16"/>
        </w:rPr>
      </w:pPr>
    </w:p>
    <w:p w14:paraId="4A0489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сентябре 1941 в НИИ специальных служб ВВС провели испытания двух опытных самолетов в варианте разведчика Як-7Р с АФА-ИМ и РСИ-4, сделанных по заданию А.С.Я. на 301 заводе на базе Як-7УТИ (65,91).</w:t>
      </w:r>
    </w:p>
    <w:p w14:paraId="2B271E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6CD6B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прошли гос. испытания Як-7Р с АФА-ИМ и РСИ-4, разработанного по заданию А.С.Я. на 301 заводе на базе Як-7УТИ в двух опытных экземплярах, но серии не было (65,91).</w:t>
      </w:r>
    </w:p>
    <w:p w14:paraId="61A70B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06F46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группа ОКБ А.С.Я. на 292 заводе сделала Як-7М с М-105ПА и ВИШ-61П (65,76).</w:t>
      </w:r>
    </w:p>
    <w:p w14:paraId="27F6EC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6E2B1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группа ОКБ А.С.Я. на 292 заводе выпустила Як-7М М-105ПА и 3хШВАК на основе переделки серийного Як-7УТИ N 05-12 (65,76).</w:t>
      </w:r>
    </w:p>
    <w:p w14:paraId="01CF5A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AC1B0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проходил гос. испытания Як-7 N 0411 (796,4).</w:t>
      </w:r>
    </w:p>
    <w:p w14:paraId="4390A8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FA7E9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в НИИПАВ (НИ полигон авиационного вооружения) испытали Як-7 М-105ПА N 06-05 завода 301, оборудованного РО. Оказалось удачным, так как рассеяние было меньше, чем на ЛаГГ-3 и МиГ-3 (65,75).</w:t>
      </w:r>
    </w:p>
    <w:p w14:paraId="07C2F5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D48C7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НИПАВ (научно-испытательный полигон авиационного вооружения) испытывал Як-7 301 завода с РО (65,75).</w:t>
      </w:r>
    </w:p>
    <w:p w14:paraId="4C2CFF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56287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на 301 заводе закончили серию Як-7УТИ М-105ПА, которая шла с апреля 1941, а после эвакуации продолжили на 153 и всего сделали 186 (65,73).</w:t>
      </w:r>
    </w:p>
    <w:p w14:paraId="5FE2FB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1CE7D4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Як-7 №06-05 мос</w:t>
      </w:r>
      <w:r w:rsidRPr="00640820">
        <w:rPr>
          <w:rFonts w:ascii="Times New Roman" w:hAnsi="Times New Roman"/>
          <w:color w:val="000000" w:themeColor="text1"/>
          <w:sz w:val="16"/>
          <w:szCs w:val="16"/>
        </w:rPr>
        <w:softHyphen/>
        <w:t>ковского завода №301, оборудованный РО, успешно прошел поли</w:t>
      </w:r>
      <w:r w:rsidRPr="00640820">
        <w:rPr>
          <w:rFonts w:ascii="Times New Roman" w:hAnsi="Times New Roman"/>
          <w:color w:val="000000" w:themeColor="text1"/>
          <w:sz w:val="16"/>
          <w:szCs w:val="16"/>
        </w:rPr>
        <w:softHyphen/>
        <w:t>гонные испытания на НИПАВ ВВС КА. Ракетное вооружение не ока</w:t>
      </w:r>
      <w:r w:rsidRPr="00640820">
        <w:rPr>
          <w:rFonts w:ascii="Times New Roman" w:hAnsi="Times New Roman"/>
          <w:color w:val="000000" w:themeColor="text1"/>
          <w:sz w:val="16"/>
          <w:szCs w:val="16"/>
        </w:rPr>
        <w:softHyphen/>
        <w:t>зало отрицательного влияния на пилотирование и управление само</w:t>
      </w:r>
      <w:r w:rsidRPr="00640820">
        <w:rPr>
          <w:rFonts w:ascii="Times New Roman" w:hAnsi="Times New Roman"/>
          <w:color w:val="000000" w:themeColor="text1"/>
          <w:sz w:val="16"/>
          <w:szCs w:val="16"/>
        </w:rPr>
        <w:softHyphen/>
        <w:t>летом. Нынешние специалисты фирмы Яковлева утверждают, что благодаря хорошей устойчивости Як-7, рассеивание при стрельбе по наземным целям было значительно меньше, чем у ЛаГГ-3 и МиГ-3. Откровенно говоря, не могу разделить гордость «яковлевцев» за столь «эпохальное событие», ведь именно скверные летные данные их лег</w:t>
      </w:r>
      <w:r w:rsidRPr="00640820">
        <w:rPr>
          <w:rFonts w:ascii="Times New Roman" w:hAnsi="Times New Roman"/>
          <w:color w:val="000000" w:themeColor="text1"/>
          <w:sz w:val="16"/>
          <w:szCs w:val="16"/>
        </w:rPr>
        <w:softHyphen/>
        <w:t>ких машин послужили причиной упразднения ракетного оружия на всех советских истребителях.</w:t>
      </w:r>
    </w:p>
    <w:p w14:paraId="09A8E6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Истребитель Як-7Б М-105ПА создан на основе Як-7А путем повыше</w:t>
      </w:r>
      <w:r w:rsidRPr="00640820">
        <w:rPr>
          <w:rFonts w:ascii="Times New Roman" w:hAnsi="Times New Roman"/>
          <w:color w:val="000000" w:themeColor="text1"/>
          <w:sz w:val="16"/>
          <w:szCs w:val="16"/>
        </w:rPr>
        <w:softHyphen/>
        <w:t>ния огневой мощи. Оно заключалось в установке 20-мм мотор-пушки ШВАК с боезапасом 120 патронов и двух 12,7-мм синхронных пулеметов УБС. Боезапас левого - 260, правого - 140 патронов. Кроме того, в перегрузку допускалось подвешивать шесть РС-82 или две авиабомбы калиб</w:t>
      </w:r>
      <w:r w:rsidRPr="00640820">
        <w:rPr>
          <w:rFonts w:ascii="Times New Roman" w:hAnsi="Times New Roman"/>
          <w:color w:val="000000" w:themeColor="text1"/>
          <w:sz w:val="16"/>
          <w:szCs w:val="16"/>
        </w:rPr>
        <w:softHyphen/>
        <w:t>рами 25-100 кг (11402).</w:t>
      </w:r>
    </w:p>
    <w:p w14:paraId="2F9647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3352A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сентября 1941 по 25 февраля 1942 выпускали Як-1 на лыжах и всего сделали около 830 (65,52).</w:t>
      </w:r>
    </w:p>
    <w:p w14:paraId="19B0BB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C1F92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сентября 1941 года началась эвакуация заводов из Ленинграда и Таганрога. Кроме того, завод № 23 переключился на выпуск другой продукции, прекратив с сентября выпуск ЛаГГов. Завод № 31 эвакуировали в Тбилиси, но заводу потребовалось определенное время для того, чтобы наладить производство. В Новосибирске параллельно с ЛаГГами-3 завод выпускал самолеты Як-7. Но все упомянутые выше предприятия не могли сравниться в производительности с заводом № 21. Какое-то время завод № 21 был наиболее крупным поставщиком истребителей в Советском Союзе. До конца 1941 года завод дал армии 1445 истребителей ЛаГТ-3, в том числе 20 самолетов, вооруженных 37-мм пушкой АП-37. Еще пять самолетов вооружили 23-мм пушками МП-6 и ВЯ-23, а также прототипной пушкой конструкции Салищева-Галкина. В единственном экземпляре был выпущен двухместный ЛаГГ-3 (№ 312129) (11749).</w:t>
      </w:r>
    </w:p>
    <w:p w14:paraId="523522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B776D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года на ЛаГГ-3, предназначавшихся для морской авиации и выпускавшихся в Горьком ставили узлы подвесных топливных баков (11749).</w:t>
      </w:r>
    </w:p>
    <w:p w14:paraId="0FA8B6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65E0351" w14:textId="77777777" w:rsidR="00D540A3" w:rsidRPr="00640820" w:rsidRDefault="00D540A3"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В сентябре 1941 три серийных ЛаГГ-3 (они же К-37 или Гу-37) свели в звено и отправили для войсковых испытаний в 33-й ИАП. Этот полк входил в состав 43-й смешанной авиадивизии, воевавшей на Московском направлении. Он базировался на аэродроме Двоевка. Сюда же прибыли Гудков и Шпитальный.</w:t>
      </w:r>
    </w:p>
    <w:p w14:paraId="6FB22366" w14:textId="77777777" w:rsidR="00D540A3" w:rsidRPr="00640820" w:rsidRDefault="00D540A3"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На машинах летали комзвена л-т Яхнов, летчики мл. л-ты Баринов и Перескоков. Обслуживанием Ш-37 занимались ис</w:t>
      </w:r>
      <w:r w:rsidRPr="00640820">
        <w:rPr>
          <w:rFonts w:ascii="Times New Roman" w:hAnsi="Times New Roman" w:cs="Times New Roman"/>
          <w:color w:val="000000" w:themeColor="text1"/>
          <w:sz w:val="16"/>
          <w:szCs w:val="16"/>
        </w:rPr>
        <w:softHyphen/>
        <w:t>ключительно специалисты ОКБ-15. Летчики должны были док</w:t>
      </w:r>
      <w:r w:rsidRPr="00640820">
        <w:rPr>
          <w:rFonts w:ascii="Times New Roman" w:hAnsi="Times New Roman" w:cs="Times New Roman"/>
          <w:color w:val="000000" w:themeColor="text1"/>
          <w:sz w:val="16"/>
          <w:szCs w:val="16"/>
        </w:rPr>
        <w:softHyphen/>
        <w:t>ладывать о результатах опытно-боевой эксплуатации пушек только Шпитальному.</w:t>
      </w:r>
    </w:p>
    <w:p w14:paraId="2004EC41" w14:textId="77777777" w:rsidR="00D540A3" w:rsidRPr="00640820" w:rsidRDefault="00D540A3"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Боевой счет звена был открыт 2 октября, когда Яхнов в со</w:t>
      </w:r>
      <w:r w:rsidRPr="00640820">
        <w:rPr>
          <w:rFonts w:ascii="Times New Roman" w:hAnsi="Times New Roman" w:cs="Times New Roman"/>
          <w:color w:val="000000" w:themeColor="text1"/>
          <w:sz w:val="16"/>
          <w:szCs w:val="16"/>
        </w:rPr>
        <w:softHyphen/>
        <w:t xml:space="preserve">ставе группы сбил в районе Рославля два </w:t>
      </w:r>
      <w:r w:rsidRPr="00640820">
        <w:rPr>
          <w:rFonts w:ascii="Times New Roman" w:hAnsi="Times New Roman" w:cs="Times New Roman"/>
          <w:color w:val="000000" w:themeColor="text1"/>
          <w:sz w:val="16"/>
          <w:szCs w:val="16"/>
          <w:lang w:val="en-US"/>
        </w:rPr>
        <w:t>Bf</w:t>
      </w:r>
      <w:r w:rsidRPr="00640820">
        <w:rPr>
          <w:rFonts w:ascii="Times New Roman" w:hAnsi="Times New Roman" w:cs="Times New Roman"/>
          <w:color w:val="000000" w:themeColor="text1"/>
          <w:sz w:val="16"/>
          <w:szCs w:val="16"/>
        </w:rPr>
        <w:t>.110. Звено про</w:t>
      </w:r>
      <w:r w:rsidRPr="00640820">
        <w:rPr>
          <w:rFonts w:ascii="Times New Roman" w:hAnsi="Times New Roman" w:cs="Times New Roman"/>
          <w:color w:val="000000" w:themeColor="text1"/>
          <w:sz w:val="16"/>
          <w:szCs w:val="16"/>
        </w:rPr>
        <w:softHyphen/>
        <w:t>воевало еще немногим более недели, в течение которой лет</w:t>
      </w:r>
      <w:r w:rsidRPr="00640820">
        <w:rPr>
          <w:rFonts w:ascii="Times New Roman" w:hAnsi="Times New Roman" w:cs="Times New Roman"/>
          <w:color w:val="000000" w:themeColor="text1"/>
          <w:sz w:val="16"/>
          <w:szCs w:val="16"/>
        </w:rPr>
        <w:softHyphen/>
        <w:t>чики доложили об уничтожении еще шести самолетов против</w:t>
      </w:r>
      <w:r w:rsidRPr="00640820">
        <w:rPr>
          <w:rFonts w:ascii="Times New Roman" w:hAnsi="Times New Roman" w:cs="Times New Roman"/>
          <w:color w:val="000000" w:themeColor="text1"/>
          <w:sz w:val="16"/>
          <w:szCs w:val="16"/>
        </w:rPr>
        <w:softHyphen/>
        <w:t>ника, в т.ч. 3 пошли в зачет Яхнову. 8 октября 33-му ИАП пришлось спешно покинуть Двоевку из-за прорвавшихся к аэродрому танков противника. Взлетев, летчики звена Яхнова обстреляли «панцеры» из 37-мм пушек, и это оказался единст</w:t>
      </w:r>
      <w:r w:rsidRPr="00640820">
        <w:rPr>
          <w:rFonts w:ascii="Times New Roman" w:hAnsi="Times New Roman" w:cs="Times New Roman"/>
          <w:color w:val="000000" w:themeColor="text1"/>
          <w:sz w:val="16"/>
          <w:szCs w:val="16"/>
        </w:rPr>
        <w:softHyphen/>
        <w:t>венный случай, когда они вели огонь по немецкой бронетехни</w:t>
      </w:r>
      <w:r w:rsidRPr="00640820">
        <w:rPr>
          <w:rFonts w:ascii="Times New Roman" w:hAnsi="Times New Roman" w:cs="Times New Roman"/>
          <w:color w:val="000000" w:themeColor="text1"/>
          <w:sz w:val="16"/>
          <w:szCs w:val="16"/>
        </w:rPr>
        <w:softHyphen/>
        <w:t>ке. В той обстановке ни о какой фиксации результатов стрель</w:t>
      </w:r>
      <w:r w:rsidRPr="00640820">
        <w:rPr>
          <w:rFonts w:ascii="Times New Roman" w:hAnsi="Times New Roman" w:cs="Times New Roman"/>
          <w:color w:val="000000" w:themeColor="text1"/>
          <w:sz w:val="16"/>
          <w:szCs w:val="16"/>
        </w:rPr>
        <w:softHyphen/>
        <w:t>бы речь не шла, тем не менее Шпитальный утверждал, что от</w:t>
      </w:r>
      <w:r w:rsidRPr="00640820">
        <w:rPr>
          <w:rFonts w:ascii="Times New Roman" w:hAnsi="Times New Roman" w:cs="Times New Roman"/>
          <w:color w:val="000000" w:themeColor="text1"/>
          <w:sz w:val="16"/>
          <w:szCs w:val="16"/>
        </w:rPr>
        <w:softHyphen/>
        <w:t>ряду в ходе войсковых испытаний удалось уничтожить 5 средних танков противника. Боевая работа звена продолжи</w:t>
      </w:r>
      <w:r w:rsidRPr="00640820">
        <w:rPr>
          <w:rFonts w:ascii="Times New Roman" w:hAnsi="Times New Roman" w:cs="Times New Roman"/>
          <w:color w:val="000000" w:themeColor="text1"/>
          <w:sz w:val="16"/>
          <w:szCs w:val="16"/>
        </w:rPr>
        <w:softHyphen/>
        <w:t>лась с аэродрома Вотулино, но оборвалась 10 октября, когда два «ЛаГГа» были разбиты в ходе вынужденных посадок, а Баринов не вернулся с задания, причем, его судьба не извест</w:t>
      </w:r>
      <w:r w:rsidRPr="00640820">
        <w:rPr>
          <w:rFonts w:ascii="Times New Roman" w:hAnsi="Times New Roman" w:cs="Times New Roman"/>
          <w:color w:val="000000" w:themeColor="text1"/>
          <w:sz w:val="16"/>
          <w:szCs w:val="16"/>
        </w:rPr>
        <w:softHyphen/>
        <w:t>на до сих пор.</w:t>
      </w:r>
    </w:p>
    <w:p w14:paraId="77E8382D" w14:textId="77777777" w:rsidR="00D540A3" w:rsidRPr="00640820" w:rsidRDefault="00D540A3"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Командование 43-й САД вполне благоприятно отзывалось о Ш-37. В частности, было отмечено, что</w:t>
      </w:r>
      <w:r w:rsidRPr="00640820">
        <w:rPr>
          <w:rStyle w:val="aff5"/>
          <w:rFonts w:ascii="Times New Roman" w:eastAsia="Arial" w:hAnsi="Times New Roman" w:cs="Times New Roman"/>
          <w:i w:val="0"/>
          <w:color w:val="000000" w:themeColor="text1"/>
        </w:rPr>
        <w:t xml:space="preserve"> «боевой комплект в 20 патронов вполне достаточен, серьезных отказов в работе пушки не было, в эксплуатации она не сложна, жалоб и особых заме</w:t>
      </w:r>
      <w:r w:rsidRPr="00640820">
        <w:rPr>
          <w:rStyle w:val="aff5"/>
          <w:rFonts w:ascii="Times New Roman" w:eastAsia="Arial" w:hAnsi="Times New Roman" w:cs="Times New Roman"/>
          <w:i w:val="0"/>
          <w:color w:val="000000" w:themeColor="text1"/>
        </w:rPr>
        <w:softHyphen/>
        <w:t>чаний от летного состава нет».</w:t>
      </w:r>
      <w:r w:rsidRPr="00640820">
        <w:rPr>
          <w:rFonts w:ascii="Times New Roman" w:hAnsi="Times New Roman" w:cs="Times New Roman"/>
          <w:color w:val="000000" w:themeColor="text1"/>
          <w:sz w:val="16"/>
          <w:szCs w:val="16"/>
        </w:rPr>
        <w:t xml:space="preserve"> В принципе, ничего удивитель</w:t>
      </w:r>
      <w:r w:rsidRPr="00640820">
        <w:rPr>
          <w:rFonts w:ascii="Times New Roman" w:hAnsi="Times New Roman" w:cs="Times New Roman"/>
          <w:color w:val="000000" w:themeColor="text1"/>
          <w:sz w:val="16"/>
          <w:szCs w:val="16"/>
        </w:rPr>
        <w:softHyphen/>
        <w:t>ного в подобном отзыве нет, поскольку представители ОКБ-15 досконально знали свое детище и делали все, чтобы оно себя проявило наилучшим образом.</w:t>
      </w:r>
    </w:p>
    <w:p w14:paraId="22C009E4" w14:textId="77777777" w:rsidR="00D540A3" w:rsidRPr="00640820" w:rsidRDefault="00D540A3"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Шпитальный с докладом об испытаниях поспешил к Сталину и постарался красочно расписать успехи Ш-37. Вождь тут же дал указание Устинову немедленно приступить к производству новой пушки. На следующий день нарком доложил, что к концу года возможно выпустить 100 Ш-37, а с января 1942 г. — по 250 в месяц. Но в то же время было предложено приостановить про</w:t>
      </w:r>
      <w:r w:rsidRPr="00640820">
        <w:rPr>
          <w:rFonts w:ascii="Times New Roman" w:hAnsi="Times New Roman" w:cs="Times New Roman"/>
          <w:color w:val="000000" w:themeColor="text1"/>
          <w:sz w:val="16"/>
          <w:szCs w:val="16"/>
        </w:rPr>
        <w:softHyphen/>
        <w:t>изводство пушки ВЯ-23, против чего возражали ВВС (19106).</w:t>
      </w:r>
    </w:p>
    <w:p w14:paraId="3C4826E7" w14:textId="77777777" w:rsidR="00D540A3" w:rsidRPr="00640820" w:rsidRDefault="00D540A3"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p>
    <w:p w14:paraId="370932CD" w14:textId="77777777" w:rsidR="00D540A3" w:rsidRPr="00640820" w:rsidRDefault="00D540A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пытаясь еще немного «подтянуть» летные характеристики ЛаГГ-3 за счет уменьшения полетной массы, С.А. Лавочкин пошел на очередное уменьшение числа стволов, отказавшись от установки на истребитель обоих ШКАСов, которые были признаны малоэффективными в воздушном бою. В дальнейшем вариант вооружения, состоявший из одной пушки ШВАК и одного пулемета БС, был определен основным (18999).</w:t>
      </w:r>
    </w:p>
    <w:p w14:paraId="76EEB5DD" w14:textId="77777777" w:rsidR="00D540A3" w:rsidRPr="00640820" w:rsidRDefault="00D540A3" w:rsidP="00640820">
      <w:pPr>
        <w:spacing w:after="0" w:line="240" w:lineRule="auto"/>
        <w:jc w:val="both"/>
        <w:rPr>
          <w:rFonts w:ascii="Times New Roman" w:hAnsi="Times New Roman"/>
          <w:color w:val="000000" w:themeColor="text1"/>
          <w:sz w:val="16"/>
          <w:szCs w:val="16"/>
        </w:rPr>
      </w:pPr>
    </w:p>
    <w:p w14:paraId="3EC3E5DB" w14:textId="77777777" w:rsidR="00D540A3" w:rsidRPr="00640820" w:rsidRDefault="00D540A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серийный ЛаГГ-3 был вооружен пушкой ШВАК, стрелявшей через вал редуктора мотора, и четырьмя синхронными пулеметами: двумя БС и двумя ШКАС Н а п о д к р ы л ь е в ы х д е р ж а т е л я х Д 3 - 4 0 истребитель ЛаГГ-3 был способен нести две бомбы ФАБ-100 Д л я н а н е с е н и я ш т у р м о в ы х у д а р о в п о д крыло ЛаГГ-3 можно было подвесить восемь реактивных снарядов РС-82 Истребитель ЛаГГ-3 с 37-мм пушкой Ш-37 Собственно в строевые части ВВС было направлено всего 39 машин. Даже принятые военпредами истребители нуждались в срочных доработках, из-за чего 108 ЛаГГов задерживались на заводах. Ситуация с подготовкой пилотов из-за отсутствия матчасти была вообще аховой: успели переучиться на ЛаГГ-3 всего 66 пилотов из авиаполков ВВС (18999).</w:t>
      </w:r>
    </w:p>
    <w:p w14:paraId="7C55E516" w14:textId="77777777" w:rsidR="00D540A3" w:rsidRPr="00640820" w:rsidRDefault="00D540A3" w:rsidP="00640820">
      <w:pPr>
        <w:spacing w:after="0" w:line="240" w:lineRule="auto"/>
        <w:jc w:val="both"/>
        <w:rPr>
          <w:rFonts w:ascii="Times New Roman" w:hAnsi="Times New Roman"/>
          <w:color w:val="000000" w:themeColor="text1"/>
          <w:sz w:val="16"/>
          <w:szCs w:val="16"/>
        </w:rPr>
      </w:pPr>
    </w:p>
    <w:p w14:paraId="064277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в ЛИИ прошли испытания серийного ЛаГГ-3 М-105 N 3121855 (1684,143).</w:t>
      </w:r>
    </w:p>
    <w:p w14:paraId="3EF7E2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6B650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сентябре 1941 года в НИИ ВВС закончились испытания ЛаГГа-3 4-й производственной серии, вооруженного восемью ракетами РС-82, подвешенными под крыльями. По сравнению с самолетом № 3121715, «ракетный» ЛаГГ оказался на 220 кг тяжелее. Из-за возросших массы и аэродинамического сопротивления максимальная скорость упала на 30-36 км/ч, а потолок понизился на 300 м. Скороподъемность не изменилась. В ходе экспериментов было установлено, что огнеупорная ткань защищает обшивку самолета не хуже дюралевого листа толщиной 0,5 мм. Это позволило отказаться от накладки металлического листа, который заслонял посадочный прожектор. На серийные ЛаГГи предполагалось ставить по шесть, а не по восемь ракет. Следует заметить, что в истребительных частях неуправляемые ракетные снаряды использовались нечасто. На тестируемом самолете отрабатывалась еще одна новинка. В фюзеляже по предложению техника В.И. Зуева из НИИ ВВС вырезали люк. Здесь был оборудован грузовой отсек, в котором можно было при необходимости перевозить груз массой до 80 кг. Размеры люка позволяли пролезть в него человеку. Это давало возможность летчику, например, подобрать товарища, сбитого над территорией врага (11749). </w:t>
      </w:r>
    </w:p>
    <w:p w14:paraId="5B48B2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EF6D8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сентябре 1941 года в НИИ ВВС испытывался еше один ЛаГГ-3. Испытания показали, что максимальная скорость самолета снизилась на 51 км/ч по сравнению с прототипом. Были проанализированы причины этого неприятного явления. Самолет № 31211062 подвергли специальным испытаниям, имевшим целью исправить аэродинамику планера и работу двигателя. При взлетной массе 3117 кг с убранным хвостовым колесом и полностью закрытом воздухозаборнике на высоте 4960 м самолет развил максимальную скорость 580 км/ч, а высоту 5000 м набрал за 6,7 мин. Для серийных ЛаГГов-3 выпуска 1941 года это был наилучший результат. Большинство изменений, внесенных в конструкцию опытного самолета № 31211062, перенесли и на серийные машины. Но, несмотря на все усилия конструкторов, ЛаГТ-3 по-прежнему уступал не только немецким истребителям, но и советскому истребителю Як-1. Качество сборки постоянно падало. Вместо квалифицированных рабочих, мобилизованных на фронт, в цехах авиазаводов работали женщины и подростки. Не хватало материалов и полуфабрикатов, оборудования, вооружения. Качество деталей, поставляемых смежниками, также упало. Все это не могло не сказаться на летных характеристиках самолета самым негативным образом. </w:t>
      </w:r>
      <w:r w:rsidRPr="00640820">
        <w:rPr>
          <w:rFonts w:ascii="Times New Roman" w:hAnsi="Times New Roman"/>
          <w:color w:val="000000" w:themeColor="text1"/>
          <w:sz w:val="16"/>
          <w:szCs w:val="16"/>
        </w:rPr>
        <w:lastRenderedPageBreak/>
        <w:t>Контрольные испытания, проведенные весной 1942 года в НИИ ВВС над самолетом № 3121232, показали, что несмотря на то, что взлетная масса машины, вооруженной только пушкой ШВАК и пулеметом БС, уменьшилась, максимальная скорость упала до 539 км/ч (11749).</w:t>
      </w:r>
    </w:p>
    <w:p w14:paraId="2EEF2E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8E59C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испытания в ЛИИ другого серийного истребителя показали, что скорость, по сравнению с опытным образцом, снизилась на 51 км/ч. Возник вопрос - каковы же основные причины этого? Самолет № 31211062 подвергли специальной доработке, внеся много мелких изменений, улучшающих аэродинамику и работу мотоустановки. В октябре 1941 г. летчик-испытатель Шемятинков облетал эту машину. При полетном весе 3117 кг, с убранным костылем и полностью закрытым водорадиатором на высоте 4960 м на этом самолете получили скорость 580 км/ч, а время набора 5000 м - 6,7 мин. Для серийных ЛаГГ-3 выпуска 1941 г. это были наилучшие показатели. Большинство опробованных на самолете № 31211062 новинок решили постепенно внедрить в серию. Но несмотря на все старания конструкторов, ЛаГГ-3 продолжал уступать по летным данным как истребителям противника, так и яковлевскому Як-1, поступавшему в ВВС во все больших количествах (11983).</w:t>
      </w:r>
    </w:p>
    <w:p w14:paraId="0BB811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F8183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в планах завода № 21 на IV кварта 1941 года упоминаются два истребителя ЛаГТ-3 с климовским двигателем М-107П, самолеты с наддувом Трескина, в высотной гермокабиной, а также самолет ЛаГТ-З/М-82, оснащенный звездообразным двигателем воздушного охлаждения Швецова М-82. Последний проект вел М.И. Гудков.</w:t>
      </w:r>
    </w:p>
    <w:p w14:paraId="169DA2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Чтобы уменьшить массу самолета и исправить его летные характеристики, начиная с 11-й серии, отказались от узлов подвесных топливных баков. Где-то на седьмом десятке 10-й производственной серии на самолеты перестали ставить пулеметы ШКАС. В результате ЛаГГ-3 перестал превосходить по огневой мощи Як-1, будучи при этом все равно тяжелее яковлевского истребителя. Позднее убрали и пулеметные порты. С 12-й серии (97 самолетов) предусматривалась подвеска шести неуправляемых реактивных снарядов РС-82 калибра 82 мм. Высказьшалось опасение, что деревянная обшивка крыла обгорит под действием раскаленных газов. Поэтому поначалу на нижнюю поверхность крыла набивали тонкие металлические листы, затем прошли эксперименты с несгораемой тканью. Планер, спроектированный под мощный двигатель М-106П, был тяжеловат для М-105П. Нехватку мощности пилоты отметили уже в ходе первых пробных полетов. Поэтому конструкторский коллектив проделал огромную работу для того, чтобы как-то решить эту проблему: неподходящие друг к другу планер и мотор. С одной стороны конструкторы постоянно снижали массу планера, с другой - искали более мощный двигатель.</w:t>
      </w:r>
    </w:p>
    <w:p w14:paraId="388251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Двигатель М-105П, который в первоначальном варианте развиват мощность 1400 л.с, мог обеспечить значительный рост скорости. Рассматривался также вариант с установкой на самолет двигателя М-105Ф, представлявшего собой модификацию М-105П. отличавшуюся повышенной степенью сжатия и увеличенными оборотами. Конструктор двигателя В.Я. Климов использовал четырехклапанную головку цилиндра и оригинальную систему подачи топливовоздушной смеси. Один из клапанов обеспечивал продув цилиндра чистым воздухом, а из карбюратора подавалась обогащенная ТВС. Наиболее нагруженные элементы двигателя были усилены. Самолет с двигателем М-107П должен был иметь посадочную скорость 140 км/ч, максимальную скорость на высоте 6000 м 660 км/ч, время набора высоты 5000 м 5,5 мин, практический потолок 11000 м, дальность полета 1000 км. Вооружение самолета состояло из пушки калибра 23 мм, двух пулеметов БС и двух пулеметов ШКАС. </w:t>
      </w:r>
    </w:p>
    <w:p w14:paraId="7A8AC3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Прототип самолета с прототипом двигателя М-107П построили во II квартале 1941 года, но только 8 августа 1941 года летчиком-испытателем самолета приказом НКАП СССР был назначен ГА. Мищенко. До этого времени шла доработка планера самолета. Тем временем выяснилось, что двигатель М-107П еще слишком сырой. Обеспечить нужный уровень охлаждения масла и воды не представлялось возможным. При работе мотора отмечалось разрушение поршней и ряд других проблем. Становилось ясно, что над двигателем еще работать и работать, поэтому испытания его в воздухе постоянно откладывались. </w:t>
      </w:r>
    </w:p>
    <w:p w14:paraId="387825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Постройку ЛаГТа-3 с высотной гермокабиной прервали, так как завод № 482, который выполнял эту задачу, эвакуировали. Поначалу на самолете стоял наддув конструкции Трескина, а в ходе испытаний самолет получил трехступенчатый наддув Е-42А. Но испытания наддува проводились только на двух первых передачах. Самолет облетали в I квартале 1942 года. С началом войны планы всех заводов резко увеличили. Основной заказ по-прежнему приходился на горьковский завод №21 (11749).</w:t>
      </w:r>
    </w:p>
    <w:p w14:paraId="743EF2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DFB1FA8" w14:textId="77777777" w:rsidR="000A728B" w:rsidRPr="00640820" w:rsidRDefault="000A728B"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В сентябре 1941 г. после окончания контрольного отстрела на НИП АВ ВВС три противотанковых ЛаГГ-3 с Ш-37 были переданы в 33-й иап для проверки самолетов и вооружения в условиях боя.</w:t>
      </w:r>
    </w:p>
    <w:p w14:paraId="15FA3FAF" w14:textId="77777777" w:rsidR="000A728B" w:rsidRPr="00640820" w:rsidRDefault="000A728B"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Боевые действия 33-й иап вел в составе 43-й сад ВВС Западного фронта на московском направле</w:t>
      </w:r>
      <w:r w:rsidRPr="00640820">
        <w:rPr>
          <w:color w:val="000000" w:themeColor="text1"/>
          <w:sz w:val="16"/>
          <w:szCs w:val="16"/>
        </w:rPr>
        <w:softHyphen/>
        <w:t>нии. Полк базировался на аэродроме Двоевка (рай</w:t>
      </w:r>
      <w:r w:rsidRPr="00640820">
        <w:rPr>
          <w:color w:val="000000" w:themeColor="text1"/>
          <w:sz w:val="16"/>
          <w:szCs w:val="16"/>
        </w:rPr>
        <w:softHyphen/>
        <w:t>он г. Вязьма), выполнял задачи по сопровождению бомбардировщиков, разведке и штурмовке войск противника. На ЛаГГ-3 с Ш-37 летали командир зве</w:t>
      </w:r>
      <w:r w:rsidRPr="00640820">
        <w:rPr>
          <w:color w:val="000000" w:themeColor="text1"/>
          <w:sz w:val="16"/>
          <w:szCs w:val="16"/>
        </w:rPr>
        <w:softHyphen/>
        <w:t>на лейтенант Баринов и младшие лейтенанты Яхнов и Перескоков. В связи с прорывом 6 октября мо</w:t>
      </w:r>
      <w:r w:rsidRPr="00640820">
        <w:rPr>
          <w:color w:val="000000" w:themeColor="text1"/>
          <w:sz w:val="16"/>
          <w:szCs w:val="16"/>
        </w:rPr>
        <w:softHyphen/>
        <w:t>томеханизированных частей противника в район Двоевки остатки полка (6 ЛаГГ-3) после штурмовки немецких танков перелетели на аэродром Ватулино (г. Руза). К 12 октября в полку остался только один исправный самолет. Передав его в соседний полк, 33-й иап убыл в г. Арзамас для переформирования и получения новой материальной части (17500).</w:t>
      </w:r>
    </w:p>
    <w:p w14:paraId="3C69D346" w14:textId="77777777" w:rsidR="000A728B" w:rsidRPr="00640820" w:rsidRDefault="000A728B" w:rsidP="00640820">
      <w:pPr>
        <w:spacing w:after="0" w:line="240" w:lineRule="auto"/>
        <w:jc w:val="both"/>
        <w:rPr>
          <w:rFonts w:ascii="Times New Roman" w:eastAsia="Times New Roman" w:hAnsi="Times New Roman"/>
          <w:color w:val="000000" w:themeColor="text1"/>
          <w:sz w:val="16"/>
          <w:szCs w:val="16"/>
          <w:lang w:eastAsia="ru-RU"/>
        </w:rPr>
      </w:pPr>
    </w:p>
    <w:p w14:paraId="42DAEE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сентября 1941 г. началась эвакуация предприятий из Ленинграда и Таганрога. Завод № 23 при этом был поглощен другим, и изготовление ЛаГГ-3 с сентября прекратил. Из Таганрога оборудование и рабочих перебросили в Тбилиси, но требовалось время для развертывания производства. В Новосибирске параллельно с ЛаГГ-3 делали Як-7. Так что все эти предприятия, по сравнению с горьковским заводом, вносили очень небольшой вклад в поставки самолетов фронту. Завод № 21 на некоторое время стал вообще самым мощным предприятием в стране по выпуску истребителей. До конца 1941 г. он сдал 1445 ЛаГГ-3 (11983).</w:t>
      </w:r>
    </w:p>
    <w:p w14:paraId="640949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350EC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года три самолета ЛаГГ-3 с пушкой Ш-37/АП-37 (их также иногда называли самолеты К-37 или Гу-37) отправили на фронт с целью испытания в боевых условиях. Самолеты с успехом участвовали в боях под Москвой. До конца 1941 года в Горьком выпустили еще 20 таких самолетов. Всего завод № 21 построил 85 истребителей, вооруженных пушкой Ш-37 (11749).</w:t>
      </w:r>
    </w:p>
    <w:p w14:paraId="629091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F1E5A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три самолета с пушками Ш-37 (эти машины иногда именуют К-37 или Гу-37) были отправлены на фронт для прохождения войсковых испытаний. Их довольно успешно применили в боях под Москвой. До конца года 20 аналогичных ЛаГГ-3 выпустили в Горьком. Всего завод № 21 изготовил 85 истребителей с Ш-37 (11983).</w:t>
      </w:r>
    </w:p>
    <w:p w14:paraId="2A7030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CF44D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в НИИ ВВС завершились испытания доработанного ЛаГГ-3 4-й серии с восемью реактивными снарядами РС-82 под крылом. По сравнению с истребителем № 3121715, этот самолет за счет вооружения потяжелел на 220 кг. Увеличение аэродинамического сопротивления и веса машины повлекли за собой ухудшение летных данных. Так, скорость в зависимости от высоты снизилась на 30 - 36 км/ч, потолок - на 300 м, хотя на скороподъемность дополнительное вооружение почти не повлияло. В то же время, как говорилось в отчете об испытаниях, "при испытаниях выявлена равноценная стойкость предохранительного покрытия нижней поверхности отъемных частей крыла, как огнеупорным полотном, так и дюралевым листом 0,5 мм толщиной". Это обстоятельство позволило отказаться от металлической обшивки, кстати, закрывавшей собой посадочную фару.</w:t>
      </w:r>
    </w:p>
    <w:p w14:paraId="33412D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последующих сериях ЛаГГ-3 предусматривали подвеску не восьми, а шести РС-82. Надо сказать, что реактивное вооружение вообще не получило на этих истребителях широкого распространения (11983).</w:t>
      </w:r>
    </w:p>
    <w:p w14:paraId="668AFB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CDDEA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сентябре 1941 г. у немцев появился истребитель </w:t>
      </w:r>
      <w:r w:rsidRPr="00640820">
        <w:rPr>
          <w:rFonts w:ascii="Times New Roman" w:hAnsi="Times New Roman"/>
          <w:color w:val="000000" w:themeColor="text1"/>
          <w:sz w:val="16"/>
          <w:szCs w:val="16"/>
          <w:lang w:val="en-US"/>
        </w:rPr>
        <w:t>Bf</w:t>
      </w:r>
      <w:r w:rsidRPr="00640820">
        <w:rPr>
          <w:rFonts w:ascii="Times New Roman" w:hAnsi="Times New Roman"/>
          <w:color w:val="000000" w:themeColor="text1"/>
          <w:sz w:val="16"/>
          <w:szCs w:val="16"/>
        </w:rPr>
        <w:t xml:space="preserve"> 109</w:t>
      </w:r>
      <w:r w:rsidRPr="00640820">
        <w:rPr>
          <w:rFonts w:ascii="Times New Roman" w:hAnsi="Times New Roman"/>
          <w:color w:val="000000" w:themeColor="text1"/>
          <w:sz w:val="16"/>
          <w:szCs w:val="16"/>
          <w:lang w:val="en-US"/>
        </w:rPr>
        <w:t>F</w:t>
      </w:r>
      <w:r w:rsidRPr="00640820">
        <w:rPr>
          <w:rFonts w:ascii="Times New Roman" w:hAnsi="Times New Roman"/>
          <w:color w:val="000000" w:themeColor="text1"/>
          <w:sz w:val="16"/>
          <w:szCs w:val="16"/>
        </w:rPr>
        <w:t xml:space="preserve">, имевший улучшенные аэродинамику, бронезащиту, более мощный двигатель и пушку в развале его цилиндров вместо крыльевых орудий. В 1940 г. опытный образец И-301 заметно превосходил немецкие серийные истребители Мессершмитт </w:t>
      </w:r>
      <w:r w:rsidRPr="00640820">
        <w:rPr>
          <w:rFonts w:ascii="Times New Roman" w:hAnsi="Times New Roman"/>
          <w:color w:val="000000" w:themeColor="text1"/>
          <w:sz w:val="16"/>
          <w:szCs w:val="16"/>
          <w:lang w:val="en-US"/>
        </w:rPr>
        <w:t>Bf</w:t>
      </w:r>
      <w:r w:rsidRPr="00640820">
        <w:rPr>
          <w:rFonts w:ascii="Times New Roman" w:hAnsi="Times New Roman"/>
          <w:color w:val="000000" w:themeColor="text1"/>
          <w:sz w:val="16"/>
          <w:szCs w:val="16"/>
        </w:rPr>
        <w:t xml:space="preserve"> 109Е по многим параметрам. Почти на равных с "мессершмиттом" были и первые серийные (более тяжелые и с худшей внешней отделкой) самолеты до укомплектования их реактивными снарядами РС-82, заметно снижавшими скорость и дальность полета.</w:t>
      </w:r>
    </w:p>
    <w:p w14:paraId="687774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Судя по результатам контрольных испытаний, ЛаГГ-3 29-й серии завода № 21 практически не уступал новому варианту "мессершмитта" в скорости до высоты 4000 м и времени виража. Лишний пулемет калибра 7,92 мм не давал особого преимущества </w:t>
      </w:r>
      <w:r w:rsidRPr="00640820">
        <w:rPr>
          <w:rFonts w:ascii="Times New Roman" w:hAnsi="Times New Roman"/>
          <w:color w:val="000000" w:themeColor="text1"/>
          <w:sz w:val="16"/>
          <w:szCs w:val="16"/>
          <w:lang w:val="en-US"/>
        </w:rPr>
        <w:t>Bf</w:t>
      </w:r>
      <w:r w:rsidRPr="00640820">
        <w:rPr>
          <w:rFonts w:ascii="Times New Roman" w:hAnsi="Times New Roman"/>
          <w:color w:val="000000" w:themeColor="text1"/>
          <w:sz w:val="16"/>
          <w:szCs w:val="16"/>
        </w:rPr>
        <w:t xml:space="preserve"> 109</w:t>
      </w:r>
      <w:r w:rsidRPr="00640820">
        <w:rPr>
          <w:rFonts w:ascii="Times New Roman" w:hAnsi="Times New Roman"/>
          <w:color w:val="000000" w:themeColor="text1"/>
          <w:sz w:val="16"/>
          <w:szCs w:val="16"/>
          <w:lang w:val="en-US"/>
        </w:rPr>
        <w:t>F</w:t>
      </w:r>
      <w:r w:rsidRPr="00640820">
        <w:rPr>
          <w:rFonts w:ascii="Times New Roman" w:hAnsi="Times New Roman"/>
          <w:color w:val="000000" w:themeColor="text1"/>
          <w:sz w:val="16"/>
          <w:szCs w:val="16"/>
        </w:rPr>
        <w:t xml:space="preserve"> перед советской машиной. Но следует учесть один немаловажный фактор - управление заслонками радиаторов у "немца" было автоматическим, что позволяло пилоту больше внимания уделять контролю за воздушной обстановкой и ведению боя, не заботясь о тепловом режиме работы двигателя.</w:t>
      </w:r>
    </w:p>
    <w:p w14:paraId="49CB73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Конструкция подвижной части фонаря </w:t>
      </w:r>
      <w:r w:rsidRPr="00640820">
        <w:rPr>
          <w:rFonts w:ascii="Times New Roman" w:hAnsi="Times New Roman"/>
          <w:color w:val="000000" w:themeColor="text1"/>
          <w:sz w:val="16"/>
          <w:szCs w:val="16"/>
          <w:lang w:val="en-US"/>
        </w:rPr>
        <w:t>Bf</w:t>
      </w:r>
      <w:r w:rsidRPr="00640820">
        <w:rPr>
          <w:rFonts w:ascii="Times New Roman" w:hAnsi="Times New Roman"/>
          <w:color w:val="000000" w:themeColor="text1"/>
          <w:sz w:val="16"/>
          <w:szCs w:val="16"/>
        </w:rPr>
        <w:t xml:space="preserve"> 109 была такова, что пилот не мог открыть его в полете, да и нужды в этом не было - он не ухудшал видимость из кабины. Зато летчик мог сбросить фонарь в аварийной ситуации. В противоположность немцам, на ЛаГГ-3 летали, как правило, с открытыми фонарями, поскольку прозрачность остекления оставляла желать много лучшего. На фронте не всегда грамотно регулировали положение заслонок водо- и маслорадиато- ров, что заметно ухудшало летные данные истребителя.</w:t>
      </w:r>
    </w:p>
    <w:p w14:paraId="1D0933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Существенно улучшить данные ЛаГГ-3 удалось лишь в 1943 г. под руководством Горбунова. Но полученный результат не дал ожидаемого эффекта. Самолет "105" был укомплектован 23-мм пушкой и крупнокалиберным пулеметом и развивал скорость до 618 км/ч, что на этот момент было уже недостаточно. Кардинальные изменения произошли после перехода к мотору М-82, в результате чего получился Ла-5, но это уже другая история (11983).</w:t>
      </w:r>
    </w:p>
    <w:p w14:paraId="050113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54933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главный конструктор завода № 31 в Таган</w:t>
      </w:r>
      <w:r w:rsidRPr="00640820">
        <w:rPr>
          <w:rFonts w:ascii="Times New Roman" w:hAnsi="Times New Roman"/>
          <w:color w:val="000000" w:themeColor="text1"/>
          <w:sz w:val="16"/>
          <w:szCs w:val="16"/>
        </w:rPr>
        <w:softHyphen/>
        <w:t>роге В.П.Горбунов также проработал свой вариант установки мотора М-82 на истребитель ЛаГГ-3 и обратил</w:t>
      </w:r>
      <w:r w:rsidRPr="00640820">
        <w:rPr>
          <w:rFonts w:ascii="Times New Roman" w:hAnsi="Times New Roman"/>
          <w:color w:val="000000" w:themeColor="text1"/>
          <w:sz w:val="16"/>
          <w:szCs w:val="16"/>
        </w:rPr>
        <w:softHyphen/>
        <w:t>ся к начальнику ГУ ВВС КА П.Ф. Жигареву с просьбой разрешить ему эту модификацию (10686).</w:t>
      </w:r>
    </w:p>
    <w:p w14:paraId="344708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42BAA1A" w14:textId="77777777" w:rsidR="00984994" w:rsidRPr="00640820" w:rsidRDefault="00984994" w:rsidP="00640820">
      <w:pPr>
        <w:pStyle w:val="a3"/>
        <w:rPr>
          <w:color w:val="000000" w:themeColor="text1"/>
          <w:lang w:val="ru-RU"/>
        </w:rPr>
      </w:pPr>
      <w:r w:rsidRPr="00640820">
        <w:rPr>
          <w:color w:val="000000" w:themeColor="text1"/>
          <w:lang w:val="ru-RU"/>
        </w:rPr>
        <w:t>В сентябре 1941 главный конструктор завода № 31 в Та</w:t>
      </w:r>
      <w:r w:rsidRPr="00640820">
        <w:rPr>
          <w:color w:val="000000" w:themeColor="text1"/>
          <w:lang w:val="ru-RU"/>
        </w:rPr>
        <w:softHyphen/>
        <w:t>ганроге В.П. Горбунов также проработал свой вариант установки М-82 на ЛаГГ-3 и об</w:t>
      </w:r>
      <w:r w:rsidRPr="00640820">
        <w:rPr>
          <w:color w:val="000000" w:themeColor="text1"/>
          <w:lang w:val="ru-RU"/>
        </w:rPr>
        <w:softHyphen/>
        <w:t>ратился к начальнику ГУ ВВС КА П.Ф. Жигареву с просьбой разрешить эту модификацию (15788).</w:t>
      </w:r>
    </w:p>
    <w:p w14:paraId="3A297A8B" w14:textId="77777777" w:rsidR="00984994" w:rsidRPr="00640820" w:rsidRDefault="00984994" w:rsidP="00640820">
      <w:pPr>
        <w:spacing w:after="0" w:line="240" w:lineRule="auto"/>
        <w:jc w:val="both"/>
        <w:rPr>
          <w:rFonts w:ascii="Times New Roman" w:hAnsi="Times New Roman"/>
          <w:color w:val="000000" w:themeColor="text1"/>
          <w:sz w:val="16"/>
          <w:szCs w:val="16"/>
        </w:rPr>
      </w:pPr>
    </w:p>
    <w:p w14:paraId="644EEA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И.Г.Рабкин составил заключение на эскизный проект ЛаГГ-2 под М-82, разработанный М.И.Гудковым (1204,211).</w:t>
      </w:r>
    </w:p>
    <w:p w14:paraId="4293BA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564BC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Боровковым и Флоровым был представлен эскизный проект И-207 № 11, который являлся переработкой самолета № 10 под основное назначение по требованию комиссии Юрьева, рассмотревшей № 10 3 августа 1940. Вновь комиссия Юрьева рассмотрела проект в октябре.</w:t>
      </w:r>
    </w:p>
    <w:p w14:paraId="248D6A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Основные отличия сводились к тому, что на самолете устанавливались два двигателя Меркулова. Мотор М-71 предполагалось использовать с удлиненным валом. Бомбовое вооружение включало 2 бомбы по 250 кг. Вместо бомб предусматривалась подвеска двух пушек ПТБ-23 калибра 23 мм.</w:t>
      </w:r>
    </w:p>
    <w:p w14:paraId="603A84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на самолете устанавливались 2 синхронных пулемета калибра 12,7 мм и 2 нормального калибра. Максимальная скорость на высоте 5830 м без включения ПВРД - 654 км/ч.</w:t>
      </w:r>
    </w:p>
    <w:p w14:paraId="3FF2E1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проекту максимальная скорость с бомбовой нагрузкой составляла 611 км/ч. Время набора высоты 5000 м, соответственно - 3,7 и 4,5 мин.</w:t>
      </w:r>
    </w:p>
    <w:p w14:paraId="63C2EA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мнению комиссии, без бомб максимальная скорость могла быть равной 630 км/ч. Тогда с бомбами можно было ожидать скорость порядка 585 км/ч. Комиссия посчитала целесообразным строить самолет как экспериментальный. Яковлев согласился включить работу в план экспериментальных работ (9649).</w:t>
      </w:r>
    </w:p>
    <w:p w14:paraId="47AC52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8DB47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был подготовлен справочник по отечественным самолетам и моторам:</w:t>
      </w:r>
    </w:p>
    <w:p w14:paraId="4F4CF7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И-16, И-153, И-21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947"/>
        <w:gridCol w:w="966"/>
        <w:gridCol w:w="966"/>
        <w:gridCol w:w="967"/>
        <w:gridCol w:w="966"/>
        <w:gridCol w:w="966"/>
        <w:gridCol w:w="966"/>
        <w:gridCol w:w="1104"/>
        <w:gridCol w:w="967"/>
        <w:gridCol w:w="967"/>
      </w:tblGrid>
      <w:tr w:rsidR="00643896" w:rsidRPr="00640820" w14:paraId="06AE1C77" w14:textId="77777777" w:rsidTr="000D3BCB">
        <w:tc>
          <w:tcPr>
            <w:tcW w:w="1384" w:type="dxa"/>
            <w:tcBorders>
              <w:top w:val="single" w:sz="12" w:space="0" w:color="auto"/>
            </w:tcBorders>
          </w:tcPr>
          <w:p w14:paraId="56C85E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ЛТД</w:t>
            </w:r>
          </w:p>
        </w:tc>
        <w:tc>
          <w:tcPr>
            <w:tcW w:w="947" w:type="dxa"/>
            <w:tcBorders>
              <w:top w:val="single" w:sz="12" w:space="0" w:color="auto"/>
            </w:tcBorders>
          </w:tcPr>
          <w:p w14:paraId="5FE237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И-16 М-22 (выпущенные лыжи)</w:t>
            </w:r>
          </w:p>
          <w:p w14:paraId="04761A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1934</w:t>
            </w:r>
          </w:p>
        </w:tc>
        <w:tc>
          <w:tcPr>
            <w:tcW w:w="966" w:type="dxa"/>
            <w:tcBorders>
              <w:top w:val="single" w:sz="12" w:space="0" w:color="auto"/>
            </w:tcBorders>
          </w:tcPr>
          <w:p w14:paraId="41D55E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И-16 М-22 убранные шасси</w:t>
            </w:r>
          </w:p>
          <w:p w14:paraId="319CC7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1934</w:t>
            </w:r>
          </w:p>
        </w:tc>
        <w:tc>
          <w:tcPr>
            <w:tcW w:w="966" w:type="dxa"/>
            <w:tcBorders>
              <w:top w:val="single" w:sz="12" w:space="0" w:color="auto"/>
            </w:tcBorders>
          </w:tcPr>
          <w:p w14:paraId="668CC8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заводские испытания И-16 РЦ F-3 с убранными шасси</w:t>
            </w:r>
          </w:p>
          <w:p w14:paraId="41F249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1935</w:t>
            </w:r>
          </w:p>
        </w:tc>
        <w:tc>
          <w:tcPr>
            <w:tcW w:w="967" w:type="dxa"/>
            <w:tcBorders>
              <w:top w:val="single" w:sz="12" w:space="0" w:color="auto"/>
            </w:tcBorders>
          </w:tcPr>
          <w:p w14:paraId="06FC90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И-16 М-25А</w:t>
            </w:r>
          </w:p>
          <w:p w14:paraId="223C5B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1937 серийный с убранным шасси</w:t>
            </w:r>
          </w:p>
        </w:tc>
        <w:tc>
          <w:tcPr>
            <w:tcW w:w="966" w:type="dxa"/>
            <w:tcBorders>
              <w:top w:val="single" w:sz="12" w:space="0" w:color="auto"/>
            </w:tcBorders>
          </w:tcPr>
          <w:p w14:paraId="008715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И-16 М-25В 13 и 10 серия</w:t>
            </w:r>
          </w:p>
          <w:p w14:paraId="595488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1939</w:t>
            </w:r>
          </w:p>
        </w:tc>
        <w:tc>
          <w:tcPr>
            <w:tcW w:w="966" w:type="dxa"/>
            <w:tcBorders>
              <w:top w:val="single" w:sz="12" w:space="0" w:color="auto"/>
            </w:tcBorders>
          </w:tcPr>
          <w:p w14:paraId="1AF6B2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И-16 М-63 модификация 10</w:t>
            </w:r>
          </w:p>
          <w:p w14:paraId="051F48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1939</w:t>
            </w:r>
          </w:p>
        </w:tc>
        <w:tc>
          <w:tcPr>
            <w:tcW w:w="966" w:type="dxa"/>
            <w:tcBorders>
              <w:top w:val="single" w:sz="12" w:space="0" w:color="auto"/>
            </w:tcBorders>
          </w:tcPr>
          <w:p w14:paraId="1C3BF7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И-16 М-63эталон 1940 2 полугодие тип 29 с радиомачтой и РО без РС</w:t>
            </w:r>
          </w:p>
        </w:tc>
        <w:tc>
          <w:tcPr>
            <w:tcW w:w="1104" w:type="dxa"/>
            <w:tcBorders>
              <w:top w:val="single" w:sz="12" w:space="0" w:color="auto"/>
            </w:tcBorders>
          </w:tcPr>
          <w:p w14:paraId="439A29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И-153 М-25В опытный</w:t>
            </w:r>
          </w:p>
          <w:p w14:paraId="0C2C6D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1938</w:t>
            </w:r>
          </w:p>
        </w:tc>
        <w:tc>
          <w:tcPr>
            <w:tcW w:w="967" w:type="dxa"/>
            <w:tcBorders>
              <w:top w:val="single" w:sz="12" w:space="0" w:color="auto"/>
            </w:tcBorders>
          </w:tcPr>
          <w:p w14:paraId="1F6F33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И-153 М-63 эталон 1940 Т 6931 завод № 1 на колесах</w:t>
            </w:r>
          </w:p>
        </w:tc>
        <w:tc>
          <w:tcPr>
            <w:tcW w:w="967" w:type="dxa"/>
            <w:tcBorders>
              <w:top w:val="single" w:sz="12" w:space="0" w:color="auto"/>
            </w:tcBorders>
          </w:tcPr>
          <w:p w14:paraId="081AC9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И-21 М-105П ВИШ 61П завод 21</w:t>
            </w:r>
          </w:p>
        </w:tc>
      </w:tr>
      <w:tr w:rsidR="00643896" w:rsidRPr="00640820" w14:paraId="6BFA74C3" w14:textId="77777777" w:rsidTr="000D3BCB">
        <w:tc>
          <w:tcPr>
            <w:tcW w:w="1384" w:type="dxa"/>
          </w:tcPr>
          <w:p w14:paraId="6086A7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Стрелковое вооружение</w:t>
            </w:r>
          </w:p>
        </w:tc>
        <w:tc>
          <w:tcPr>
            <w:tcW w:w="947" w:type="dxa"/>
          </w:tcPr>
          <w:p w14:paraId="28DE0B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2хШКАС</w:t>
            </w:r>
          </w:p>
        </w:tc>
        <w:tc>
          <w:tcPr>
            <w:tcW w:w="966" w:type="dxa"/>
          </w:tcPr>
          <w:p w14:paraId="697780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2хШКАС</w:t>
            </w:r>
          </w:p>
        </w:tc>
        <w:tc>
          <w:tcPr>
            <w:tcW w:w="966" w:type="dxa"/>
          </w:tcPr>
          <w:p w14:paraId="2898F8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2хШКАС</w:t>
            </w:r>
          </w:p>
        </w:tc>
        <w:tc>
          <w:tcPr>
            <w:tcW w:w="967" w:type="dxa"/>
          </w:tcPr>
          <w:p w14:paraId="0F711E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2хШКАС + 2хПВ1</w:t>
            </w:r>
          </w:p>
        </w:tc>
        <w:tc>
          <w:tcPr>
            <w:tcW w:w="966" w:type="dxa"/>
          </w:tcPr>
          <w:p w14:paraId="01B0F5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4хШКАС</w:t>
            </w:r>
          </w:p>
        </w:tc>
        <w:tc>
          <w:tcPr>
            <w:tcW w:w="966" w:type="dxa"/>
          </w:tcPr>
          <w:p w14:paraId="7CD0E3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4хШКАС, 2700 патронов, подвесные б/б</w:t>
            </w:r>
          </w:p>
        </w:tc>
        <w:tc>
          <w:tcPr>
            <w:tcW w:w="966" w:type="dxa"/>
          </w:tcPr>
          <w:p w14:paraId="74A8FF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1хБС+2хШКАС</w:t>
            </w:r>
          </w:p>
        </w:tc>
        <w:tc>
          <w:tcPr>
            <w:tcW w:w="1104" w:type="dxa"/>
          </w:tcPr>
          <w:p w14:paraId="1260EE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4хШКАС, 2500 патронов</w:t>
            </w:r>
          </w:p>
        </w:tc>
        <w:tc>
          <w:tcPr>
            <w:tcW w:w="967" w:type="dxa"/>
          </w:tcPr>
          <w:p w14:paraId="2BA053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4хШКАС, 2500 патронов + в перегруз 150 кг бомб</w:t>
            </w:r>
          </w:p>
        </w:tc>
        <w:tc>
          <w:tcPr>
            <w:tcW w:w="967" w:type="dxa"/>
          </w:tcPr>
          <w:p w14:paraId="40A3EE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1х23 + 1хШКАС</w:t>
            </w:r>
          </w:p>
        </w:tc>
      </w:tr>
      <w:tr w:rsidR="00643896" w:rsidRPr="00640820" w14:paraId="6A454BA8" w14:textId="77777777" w:rsidTr="000D3BCB">
        <w:tc>
          <w:tcPr>
            <w:tcW w:w="1384" w:type="dxa"/>
          </w:tcPr>
          <w:p w14:paraId="025E46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Вес пустого</w:t>
            </w:r>
          </w:p>
        </w:tc>
        <w:tc>
          <w:tcPr>
            <w:tcW w:w="947" w:type="dxa"/>
          </w:tcPr>
          <w:p w14:paraId="75CE87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934,1</w:t>
            </w:r>
          </w:p>
        </w:tc>
        <w:tc>
          <w:tcPr>
            <w:tcW w:w="966" w:type="dxa"/>
          </w:tcPr>
          <w:p w14:paraId="0F269F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967,6</w:t>
            </w:r>
          </w:p>
        </w:tc>
        <w:tc>
          <w:tcPr>
            <w:tcW w:w="966" w:type="dxa"/>
          </w:tcPr>
          <w:p w14:paraId="57CA83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1052,6</w:t>
            </w:r>
          </w:p>
        </w:tc>
        <w:tc>
          <w:tcPr>
            <w:tcW w:w="967" w:type="dxa"/>
          </w:tcPr>
          <w:p w14:paraId="0F21CD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1263</w:t>
            </w:r>
          </w:p>
        </w:tc>
        <w:tc>
          <w:tcPr>
            <w:tcW w:w="966" w:type="dxa"/>
          </w:tcPr>
          <w:p w14:paraId="1EDBA2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1315,5</w:t>
            </w:r>
          </w:p>
        </w:tc>
        <w:tc>
          <w:tcPr>
            <w:tcW w:w="966" w:type="dxa"/>
          </w:tcPr>
          <w:p w14:paraId="6AE424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1437</w:t>
            </w:r>
          </w:p>
        </w:tc>
        <w:tc>
          <w:tcPr>
            <w:tcW w:w="966" w:type="dxa"/>
          </w:tcPr>
          <w:p w14:paraId="4D6134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1545 (в т.ч. горючее 180)</w:t>
            </w:r>
          </w:p>
        </w:tc>
        <w:tc>
          <w:tcPr>
            <w:tcW w:w="1104" w:type="dxa"/>
          </w:tcPr>
          <w:p w14:paraId="2518CF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1307</w:t>
            </w:r>
          </w:p>
        </w:tc>
        <w:tc>
          <w:tcPr>
            <w:tcW w:w="967" w:type="dxa"/>
          </w:tcPr>
          <w:p w14:paraId="43DCEC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1547</w:t>
            </w:r>
          </w:p>
        </w:tc>
        <w:tc>
          <w:tcPr>
            <w:tcW w:w="967" w:type="dxa"/>
          </w:tcPr>
          <w:p w14:paraId="0D78B1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2211,4</w:t>
            </w:r>
          </w:p>
        </w:tc>
      </w:tr>
      <w:tr w:rsidR="00643896" w:rsidRPr="00640820" w14:paraId="16BB4249" w14:textId="77777777" w:rsidTr="000D3BCB">
        <w:tc>
          <w:tcPr>
            <w:tcW w:w="1384" w:type="dxa"/>
          </w:tcPr>
          <w:p w14:paraId="7F7458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Полетный вес</w:t>
            </w:r>
          </w:p>
        </w:tc>
        <w:tc>
          <w:tcPr>
            <w:tcW w:w="947" w:type="dxa"/>
          </w:tcPr>
          <w:p w14:paraId="2D60EE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1311,7</w:t>
            </w:r>
          </w:p>
        </w:tc>
        <w:tc>
          <w:tcPr>
            <w:tcW w:w="966" w:type="dxa"/>
          </w:tcPr>
          <w:p w14:paraId="7AA625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1345,2</w:t>
            </w:r>
          </w:p>
        </w:tc>
        <w:tc>
          <w:tcPr>
            <w:tcW w:w="966" w:type="dxa"/>
          </w:tcPr>
          <w:p w14:paraId="52F9A2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1431,7</w:t>
            </w:r>
          </w:p>
        </w:tc>
        <w:tc>
          <w:tcPr>
            <w:tcW w:w="967" w:type="dxa"/>
          </w:tcPr>
          <w:p w14:paraId="4DC9AA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1696</w:t>
            </w:r>
          </w:p>
        </w:tc>
        <w:tc>
          <w:tcPr>
            <w:tcW w:w="966" w:type="dxa"/>
          </w:tcPr>
          <w:p w14:paraId="4C9367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1716</w:t>
            </w:r>
          </w:p>
        </w:tc>
        <w:tc>
          <w:tcPr>
            <w:tcW w:w="966" w:type="dxa"/>
          </w:tcPr>
          <w:p w14:paraId="4DF884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1878</w:t>
            </w:r>
          </w:p>
        </w:tc>
        <w:tc>
          <w:tcPr>
            <w:tcW w:w="966" w:type="dxa"/>
          </w:tcPr>
          <w:p w14:paraId="51F3D1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1966,4</w:t>
            </w:r>
          </w:p>
        </w:tc>
        <w:tc>
          <w:tcPr>
            <w:tcW w:w="1104" w:type="dxa"/>
          </w:tcPr>
          <w:p w14:paraId="11B8C7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1650</w:t>
            </w:r>
          </w:p>
        </w:tc>
        <w:tc>
          <w:tcPr>
            <w:tcW w:w="967" w:type="dxa"/>
          </w:tcPr>
          <w:p w14:paraId="78C9AB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1902 в тч. Горючее 150)</w:t>
            </w:r>
          </w:p>
        </w:tc>
        <w:tc>
          <w:tcPr>
            <w:tcW w:w="967" w:type="dxa"/>
          </w:tcPr>
          <w:p w14:paraId="6BC244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2754</w:t>
            </w:r>
          </w:p>
        </w:tc>
      </w:tr>
      <w:tr w:rsidR="00643896" w:rsidRPr="00640820" w14:paraId="64D08392" w14:textId="77777777" w:rsidTr="000D3BCB">
        <w:tc>
          <w:tcPr>
            <w:tcW w:w="1384" w:type="dxa"/>
          </w:tcPr>
          <w:p w14:paraId="28EA9D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Вес горбчего</w:t>
            </w:r>
          </w:p>
        </w:tc>
        <w:tc>
          <w:tcPr>
            <w:tcW w:w="947" w:type="dxa"/>
          </w:tcPr>
          <w:p w14:paraId="4BB651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202</w:t>
            </w:r>
          </w:p>
        </w:tc>
        <w:tc>
          <w:tcPr>
            <w:tcW w:w="966" w:type="dxa"/>
          </w:tcPr>
          <w:p w14:paraId="2C6409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202</w:t>
            </w:r>
          </w:p>
        </w:tc>
        <w:tc>
          <w:tcPr>
            <w:tcW w:w="966" w:type="dxa"/>
          </w:tcPr>
          <w:p w14:paraId="14C5E9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202</w:t>
            </w:r>
          </w:p>
        </w:tc>
        <w:tc>
          <w:tcPr>
            <w:tcW w:w="967" w:type="dxa"/>
          </w:tcPr>
          <w:p w14:paraId="078F36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202</w:t>
            </w:r>
          </w:p>
        </w:tc>
        <w:tc>
          <w:tcPr>
            <w:tcW w:w="966" w:type="dxa"/>
          </w:tcPr>
          <w:p w14:paraId="1C1CF8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195</w:t>
            </w:r>
          </w:p>
        </w:tc>
        <w:tc>
          <w:tcPr>
            <w:tcW w:w="966" w:type="dxa"/>
          </w:tcPr>
          <w:p w14:paraId="1E6D25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190</w:t>
            </w:r>
          </w:p>
        </w:tc>
        <w:tc>
          <w:tcPr>
            <w:tcW w:w="966" w:type="dxa"/>
          </w:tcPr>
          <w:p w14:paraId="5C517A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180+2х135</w:t>
            </w:r>
          </w:p>
        </w:tc>
        <w:tc>
          <w:tcPr>
            <w:tcW w:w="1104" w:type="dxa"/>
          </w:tcPr>
          <w:p w14:paraId="3CD47E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205</w:t>
            </w:r>
          </w:p>
        </w:tc>
        <w:tc>
          <w:tcPr>
            <w:tcW w:w="967" w:type="dxa"/>
          </w:tcPr>
          <w:p w14:paraId="3EFA49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1985 в т.ч. горючее 228</w:t>
            </w:r>
          </w:p>
        </w:tc>
        <w:tc>
          <w:tcPr>
            <w:tcW w:w="967" w:type="dxa"/>
          </w:tcPr>
          <w:p w14:paraId="22D873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270 в трез б/б</w:t>
            </w:r>
          </w:p>
        </w:tc>
      </w:tr>
      <w:tr w:rsidR="00643896" w:rsidRPr="00640820" w14:paraId="0691B19C" w14:textId="77777777" w:rsidTr="000D3BCB">
        <w:tc>
          <w:tcPr>
            <w:tcW w:w="1384" w:type="dxa"/>
          </w:tcPr>
          <w:p w14:paraId="2E545E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Нагрузка на крыло</w:t>
            </w:r>
          </w:p>
        </w:tc>
        <w:tc>
          <w:tcPr>
            <w:tcW w:w="947" w:type="dxa"/>
          </w:tcPr>
          <w:p w14:paraId="75BEA0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91,2</w:t>
            </w:r>
          </w:p>
        </w:tc>
        <w:tc>
          <w:tcPr>
            <w:tcW w:w="966" w:type="dxa"/>
          </w:tcPr>
          <w:p w14:paraId="2D1D44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92,6</w:t>
            </w:r>
          </w:p>
        </w:tc>
        <w:tc>
          <w:tcPr>
            <w:tcW w:w="966" w:type="dxa"/>
          </w:tcPr>
          <w:p w14:paraId="56EADF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98,7</w:t>
            </w:r>
          </w:p>
        </w:tc>
        <w:tc>
          <w:tcPr>
            <w:tcW w:w="967" w:type="dxa"/>
          </w:tcPr>
          <w:p w14:paraId="0B8E92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116,3</w:t>
            </w:r>
          </w:p>
        </w:tc>
        <w:tc>
          <w:tcPr>
            <w:tcW w:w="966" w:type="dxa"/>
          </w:tcPr>
          <w:p w14:paraId="77A9D6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117,8</w:t>
            </w:r>
          </w:p>
        </w:tc>
        <w:tc>
          <w:tcPr>
            <w:tcW w:w="966" w:type="dxa"/>
          </w:tcPr>
          <w:p w14:paraId="498EC1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128</w:t>
            </w:r>
          </w:p>
        </w:tc>
        <w:tc>
          <w:tcPr>
            <w:tcW w:w="966" w:type="dxa"/>
          </w:tcPr>
          <w:p w14:paraId="04A900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135,2</w:t>
            </w:r>
          </w:p>
        </w:tc>
        <w:tc>
          <w:tcPr>
            <w:tcW w:w="1104" w:type="dxa"/>
          </w:tcPr>
          <w:p w14:paraId="6277F7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74,5</w:t>
            </w:r>
          </w:p>
        </w:tc>
        <w:tc>
          <w:tcPr>
            <w:tcW w:w="967" w:type="dxa"/>
          </w:tcPr>
          <w:p w14:paraId="2F5D70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67" w:type="dxa"/>
          </w:tcPr>
          <w:p w14:paraId="2EB23B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1901982A" w14:textId="77777777" w:rsidTr="000D3BCB">
        <w:tc>
          <w:tcPr>
            <w:tcW w:w="1384" w:type="dxa"/>
          </w:tcPr>
          <w:p w14:paraId="1E574F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Макс. скорость у земли</w:t>
            </w:r>
          </w:p>
        </w:tc>
        <w:tc>
          <w:tcPr>
            <w:tcW w:w="947" w:type="dxa"/>
          </w:tcPr>
          <w:p w14:paraId="168D7F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306,1</w:t>
            </w:r>
          </w:p>
        </w:tc>
        <w:tc>
          <w:tcPr>
            <w:tcW w:w="966" w:type="dxa"/>
          </w:tcPr>
          <w:p w14:paraId="4D52D9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359</w:t>
            </w:r>
          </w:p>
        </w:tc>
        <w:tc>
          <w:tcPr>
            <w:tcW w:w="966" w:type="dxa"/>
          </w:tcPr>
          <w:p w14:paraId="7E7391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395,5</w:t>
            </w:r>
          </w:p>
        </w:tc>
        <w:tc>
          <w:tcPr>
            <w:tcW w:w="967" w:type="dxa"/>
          </w:tcPr>
          <w:p w14:paraId="329986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393</w:t>
            </w:r>
          </w:p>
        </w:tc>
        <w:tc>
          <w:tcPr>
            <w:tcW w:w="966" w:type="dxa"/>
          </w:tcPr>
          <w:p w14:paraId="46C0DC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389</w:t>
            </w:r>
          </w:p>
        </w:tc>
        <w:tc>
          <w:tcPr>
            <w:tcW w:w="966" w:type="dxa"/>
          </w:tcPr>
          <w:p w14:paraId="6FD840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440</w:t>
            </w:r>
          </w:p>
        </w:tc>
        <w:tc>
          <w:tcPr>
            <w:tcW w:w="966" w:type="dxa"/>
          </w:tcPr>
          <w:p w14:paraId="561F9C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408</w:t>
            </w:r>
          </w:p>
        </w:tc>
        <w:tc>
          <w:tcPr>
            <w:tcW w:w="1104" w:type="dxa"/>
          </w:tcPr>
          <w:p w14:paraId="15C4CF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360</w:t>
            </w:r>
          </w:p>
        </w:tc>
        <w:tc>
          <w:tcPr>
            <w:tcW w:w="967" w:type="dxa"/>
          </w:tcPr>
          <w:p w14:paraId="3A6196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365</w:t>
            </w:r>
          </w:p>
        </w:tc>
        <w:tc>
          <w:tcPr>
            <w:tcW w:w="967" w:type="dxa"/>
          </w:tcPr>
          <w:p w14:paraId="4CCABE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488</w:t>
            </w:r>
          </w:p>
        </w:tc>
      </w:tr>
      <w:tr w:rsidR="00643896" w:rsidRPr="00640820" w14:paraId="514864A7" w14:textId="77777777" w:rsidTr="000D3BCB">
        <w:tc>
          <w:tcPr>
            <w:tcW w:w="1384" w:type="dxa"/>
          </w:tcPr>
          <w:p w14:paraId="6D3748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Макс. скорость на границе высотности</w:t>
            </w:r>
          </w:p>
        </w:tc>
        <w:tc>
          <w:tcPr>
            <w:tcW w:w="947" w:type="dxa"/>
          </w:tcPr>
          <w:p w14:paraId="7CDC3D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66" w:type="dxa"/>
          </w:tcPr>
          <w:p w14:paraId="28381C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66" w:type="dxa"/>
          </w:tcPr>
          <w:p w14:paraId="0BB97C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455,5/3700</w:t>
            </w:r>
          </w:p>
        </w:tc>
        <w:tc>
          <w:tcPr>
            <w:tcW w:w="967" w:type="dxa"/>
          </w:tcPr>
          <w:p w14:paraId="65F55E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431/2400</w:t>
            </w:r>
          </w:p>
        </w:tc>
        <w:tc>
          <w:tcPr>
            <w:tcW w:w="966" w:type="dxa"/>
          </w:tcPr>
          <w:p w14:paraId="113343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438/3180</w:t>
            </w:r>
          </w:p>
        </w:tc>
        <w:tc>
          <w:tcPr>
            <w:tcW w:w="966" w:type="dxa"/>
          </w:tcPr>
          <w:p w14:paraId="76A014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489/4780</w:t>
            </w:r>
          </w:p>
        </w:tc>
        <w:tc>
          <w:tcPr>
            <w:tcW w:w="966" w:type="dxa"/>
          </w:tcPr>
          <w:p w14:paraId="765096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461/4350</w:t>
            </w:r>
          </w:p>
        </w:tc>
        <w:tc>
          <w:tcPr>
            <w:tcW w:w="1104" w:type="dxa"/>
          </w:tcPr>
          <w:p w14:paraId="0C9F20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425</w:t>
            </w:r>
          </w:p>
        </w:tc>
        <w:tc>
          <w:tcPr>
            <w:tcW w:w="967" w:type="dxa"/>
          </w:tcPr>
          <w:p w14:paraId="4FA835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427/5100, 404/3000</w:t>
            </w:r>
          </w:p>
        </w:tc>
        <w:tc>
          <w:tcPr>
            <w:tcW w:w="967" w:type="dxa"/>
          </w:tcPr>
          <w:p w14:paraId="032584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573/4800</w:t>
            </w:r>
          </w:p>
        </w:tc>
      </w:tr>
      <w:tr w:rsidR="00643896" w:rsidRPr="00640820" w14:paraId="24C22912" w14:textId="77777777" w:rsidTr="000D3BCB">
        <w:tc>
          <w:tcPr>
            <w:tcW w:w="1384" w:type="dxa"/>
          </w:tcPr>
          <w:p w14:paraId="614A4A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Время подъема на 5000 м</w:t>
            </w:r>
          </w:p>
        </w:tc>
        <w:tc>
          <w:tcPr>
            <w:tcW w:w="947" w:type="dxa"/>
          </w:tcPr>
          <w:p w14:paraId="7A2301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66" w:type="dxa"/>
          </w:tcPr>
          <w:p w14:paraId="2BFD12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66" w:type="dxa"/>
          </w:tcPr>
          <w:p w14:paraId="26C5DA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67" w:type="dxa"/>
          </w:tcPr>
          <w:p w14:paraId="0F6A65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66" w:type="dxa"/>
          </w:tcPr>
          <w:p w14:paraId="7FC658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66" w:type="dxa"/>
          </w:tcPr>
          <w:p w14:paraId="774743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5,15</w:t>
            </w:r>
          </w:p>
        </w:tc>
        <w:tc>
          <w:tcPr>
            <w:tcW w:w="966" w:type="dxa"/>
          </w:tcPr>
          <w:p w14:paraId="03ED7F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6,2</w:t>
            </w:r>
          </w:p>
        </w:tc>
        <w:tc>
          <w:tcPr>
            <w:tcW w:w="1104" w:type="dxa"/>
          </w:tcPr>
          <w:p w14:paraId="493476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67" w:type="dxa"/>
          </w:tcPr>
          <w:p w14:paraId="7CA969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5,7</w:t>
            </w:r>
          </w:p>
        </w:tc>
        <w:tc>
          <w:tcPr>
            <w:tcW w:w="967" w:type="dxa"/>
          </w:tcPr>
          <w:p w14:paraId="0A316A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r>
      <w:tr w:rsidR="00643896" w:rsidRPr="00640820" w14:paraId="67292A21" w14:textId="77777777" w:rsidTr="000D3BCB">
        <w:tc>
          <w:tcPr>
            <w:tcW w:w="1384" w:type="dxa"/>
          </w:tcPr>
          <w:p w14:paraId="47AE55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Потолок</w:t>
            </w:r>
          </w:p>
        </w:tc>
        <w:tc>
          <w:tcPr>
            <w:tcW w:w="947" w:type="dxa"/>
          </w:tcPr>
          <w:p w14:paraId="060A78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6350</w:t>
            </w:r>
          </w:p>
        </w:tc>
        <w:tc>
          <w:tcPr>
            <w:tcW w:w="966" w:type="dxa"/>
          </w:tcPr>
          <w:p w14:paraId="5ABA12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7180</w:t>
            </w:r>
          </w:p>
        </w:tc>
        <w:tc>
          <w:tcPr>
            <w:tcW w:w="966" w:type="dxa"/>
          </w:tcPr>
          <w:p w14:paraId="2F52BE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9400</w:t>
            </w:r>
          </w:p>
        </w:tc>
        <w:tc>
          <w:tcPr>
            <w:tcW w:w="967" w:type="dxa"/>
          </w:tcPr>
          <w:p w14:paraId="14616A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8340</w:t>
            </w:r>
          </w:p>
        </w:tc>
        <w:tc>
          <w:tcPr>
            <w:tcW w:w="966" w:type="dxa"/>
          </w:tcPr>
          <w:p w14:paraId="784025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8470</w:t>
            </w:r>
          </w:p>
        </w:tc>
        <w:tc>
          <w:tcPr>
            <w:tcW w:w="966" w:type="dxa"/>
          </w:tcPr>
          <w:p w14:paraId="4FFA70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10800</w:t>
            </w:r>
          </w:p>
        </w:tc>
        <w:tc>
          <w:tcPr>
            <w:tcW w:w="966" w:type="dxa"/>
          </w:tcPr>
          <w:p w14:paraId="55C61B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9800</w:t>
            </w:r>
          </w:p>
        </w:tc>
        <w:tc>
          <w:tcPr>
            <w:tcW w:w="1104" w:type="dxa"/>
          </w:tcPr>
          <w:p w14:paraId="2C140B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8600</w:t>
            </w:r>
          </w:p>
        </w:tc>
        <w:tc>
          <w:tcPr>
            <w:tcW w:w="967" w:type="dxa"/>
          </w:tcPr>
          <w:p w14:paraId="181C96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10600</w:t>
            </w:r>
          </w:p>
        </w:tc>
        <w:tc>
          <w:tcPr>
            <w:tcW w:w="967" w:type="dxa"/>
          </w:tcPr>
          <w:p w14:paraId="1BC81D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10600</w:t>
            </w:r>
          </w:p>
        </w:tc>
      </w:tr>
      <w:tr w:rsidR="00643896" w:rsidRPr="00640820" w14:paraId="3C2B35F7" w14:textId="77777777" w:rsidTr="000D3BCB">
        <w:tc>
          <w:tcPr>
            <w:tcW w:w="1384" w:type="dxa"/>
          </w:tcPr>
          <w:p w14:paraId="314231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Время виража</w:t>
            </w:r>
          </w:p>
        </w:tc>
        <w:tc>
          <w:tcPr>
            <w:tcW w:w="947" w:type="dxa"/>
          </w:tcPr>
          <w:p w14:paraId="537A31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66" w:type="dxa"/>
          </w:tcPr>
          <w:p w14:paraId="11D30D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66" w:type="dxa"/>
          </w:tcPr>
          <w:p w14:paraId="68CB31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67" w:type="dxa"/>
          </w:tcPr>
          <w:p w14:paraId="5644DE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66" w:type="dxa"/>
          </w:tcPr>
          <w:p w14:paraId="2B19A2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66" w:type="dxa"/>
          </w:tcPr>
          <w:p w14:paraId="117A2B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17-19/1000</w:t>
            </w:r>
          </w:p>
        </w:tc>
        <w:tc>
          <w:tcPr>
            <w:tcW w:w="966" w:type="dxa"/>
          </w:tcPr>
          <w:p w14:paraId="16F449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16/1000</w:t>
            </w:r>
          </w:p>
        </w:tc>
        <w:tc>
          <w:tcPr>
            <w:tcW w:w="1104" w:type="dxa"/>
          </w:tcPr>
          <w:p w14:paraId="34C64F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67" w:type="dxa"/>
          </w:tcPr>
          <w:p w14:paraId="36F48C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14-15/1000</w:t>
            </w:r>
          </w:p>
        </w:tc>
        <w:tc>
          <w:tcPr>
            <w:tcW w:w="967" w:type="dxa"/>
          </w:tcPr>
          <w:p w14:paraId="5ECEBC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0183CCA6" w14:textId="77777777" w:rsidTr="000D3BCB">
        <w:tc>
          <w:tcPr>
            <w:tcW w:w="1384" w:type="dxa"/>
          </w:tcPr>
          <w:p w14:paraId="60C20B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Посадочная скорость</w:t>
            </w:r>
          </w:p>
        </w:tc>
        <w:tc>
          <w:tcPr>
            <w:tcW w:w="947" w:type="dxa"/>
          </w:tcPr>
          <w:p w14:paraId="0F2D5A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120-125</w:t>
            </w:r>
          </w:p>
        </w:tc>
        <w:tc>
          <w:tcPr>
            <w:tcW w:w="966" w:type="dxa"/>
          </w:tcPr>
          <w:p w14:paraId="59F462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66" w:type="dxa"/>
          </w:tcPr>
          <w:p w14:paraId="0F621F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67" w:type="dxa"/>
          </w:tcPr>
          <w:p w14:paraId="42606E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66" w:type="dxa"/>
          </w:tcPr>
          <w:p w14:paraId="087F43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66" w:type="dxa"/>
          </w:tcPr>
          <w:p w14:paraId="1550BC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130</w:t>
            </w:r>
          </w:p>
        </w:tc>
        <w:tc>
          <w:tcPr>
            <w:tcW w:w="966" w:type="dxa"/>
          </w:tcPr>
          <w:p w14:paraId="555070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135,5</w:t>
            </w:r>
          </w:p>
        </w:tc>
        <w:tc>
          <w:tcPr>
            <w:tcW w:w="1104" w:type="dxa"/>
          </w:tcPr>
          <w:p w14:paraId="09F6E5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100-1005</w:t>
            </w:r>
          </w:p>
        </w:tc>
        <w:tc>
          <w:tcPr>
            <w:tcW w:w="967" w:type="dxa"/>
          </w:tcPr>
          <w:p w14:paraId="5FBC79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115</w:t>
            </w:r>
          </w:p>
        </w:tc>
        <w:tc>
          <w:tcPr>
            <w:tcW w:w="967" w:type="dxa"/>
          </w:tcPr>
          <w:p w14:paraId="5C9CAC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164</w:t>
            </w:r>
          </w:p>
        </w:tc>
      </w:tr>
      <w:tr w:rsidR="00643896" w:rsidRPr="00640820" w14:paraId="63E9947C" w14:textId="77777777" w:rsidTr="000D3BCB">
        <w:tc>
          <w:tcPr>
            <w:tcW w:w="1384" w:type="dxa"/>
          </w:tcPr>
          <w:p w14:paraId="384EB6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Разбег</w:t>
            </w:r>
          </w:p>
        </w:tc>
        <w:tc>
          <w:tcPr>
            <w:tcW w:w="947" w:type="dxa"/>
          </w:tcPr>
          <w:p w14:paraId="3EB472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66" w:type="dxa"/>
          </w:tcPr>
          <w:p w14:paraId="2B8940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150/10 с</w:t>
            </w:r>
          </w:p>
        </w:tc>
        <w:tc>
          <w:tcPr>
            <w:tcW w:w="966" w:type="dxa"/>
          </w:tcPr>
          <w:p w14:paraId="4B89F8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67" w:type="dxa"/>
          </w:tcPr>
          <w:p w14:paraId="0709C3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372/17,2 с</w:t>
            </w:r>
          </w:p>
        </w:tc>
        <w:tc>
          <w:tcPr>
            <w:tcW w:w="966" w:type="dxa"/>
          </w:tcPr>
          <w:p w14:paraId="1C983D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66" w:type="dxa"/>
          </w:tcPr>
          <w:p w14:paraId="176AB7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180-200/8,5-9,0</w:t>
            </w:r>
          </w:p>
        </w:tc>
        <w:tc>
          <w:tcPr>
            <w:tcW w:w="966" w:type="dxa"/>
          </w:tcPr>
          <w:p w14:paraId="741511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243/10 с</w:t>
            </w:r>
          </w:p>
        </w:tc>
        <w:tc>
          <w:tcPr>
            <w:tcW w:w="1104" w:type="dxa"/>
          </w:tcPr>
          <w:p w14:paraId="675901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130/10 с</w:t>
            </w:r>
          </w:p>
        </w:tc>
        <w:tc>
          <w:tcPr>
            <w:tcW w:w="967" w:type="dxa"/>
          </w:tcPr>
          <w:p w14:paraId="5C91C0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145 без форс. И 116 с форс</w:t>
            </w:r>
          </w:p>
        </w:tc>
        <w:tc>
          <w:tcPr>
            <w:tcW w:w="967" w:type="dxa"/>
          </w:tcPr>
          <w:p w14:paraId="5E7FB2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284/12 с</w:t>
            </w:r>
          </w:p>
        </w:tc>
      </w:tr>
      <w:tr w:rsidR="00643896" w:rsidRPr="00640820" w14:paraId="1153F7AC" w14:textId="77777777" w:rsidTr="000D3BCB">
        <w:tc>
          <w:tcPr>
            <w:tcW w:w="1384" w:type="dxa"/>
          </w:tcPr>
          <w:p w14:paraId="12F253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Пробег</w:t>
            </w:r>
          </w:p>
        </w:tc>
        <w:tc>
          <w:tcPr>
            <w:tcW w:w="947" w:type="dxa"/>
          </w:tcPr>
          <w:p w14:paraId="758AA7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66" w:type="dxa"/>
          </w:tcPr>
          <w:p w14:paraId="633981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130/13,5 с</w:t>
            </w:r>
          </w:p>
        </w:tc>
        <w:tc>
          <w:tcPr>
            <w:tcW w:w="966" w:type="dxa"/>
          </w:tcPr>
          <w:p w14:paraId="3038BB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67" w:type="dxa"/>
          </w:tcPr>
          <w:p w14:paraId="0B81F0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66" w:type="dxa"/>
          </w:tcPr>
          <w:p w14:paraId="12F3DA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66" w:type="dxa"/>
          </w:tcPr>
          <w:p w14:paraId="301914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400-450/23-26 с</w:t>
            </w:r>
          </w:p>
        </w:tc>
        <w:tc>
          <w:tcPr>
            <w:tcW w:w="966" w:type="dxa"/>
          </w:tcPr>
          <w:p w14:paraId="4D44F8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420/18 с</w:t>
            </w:r>
          </w:p>
        </w:tc>
        <w:tc>
          <w:tcPr>
            <w:tcW w:w="1104" w:type="dxa"/>
          </w:tcPr>
          <w:p w14:paraId="6A0BAF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250/15 с</w:t>
            </w:r>
          </w:p>
        </w:tc>
        <w:tc>
          <w:tcPr>
            <w:tcW w:w="967" w:type="dxa"/>
          </w:tcPr>
          <w:p w14:paraId="5D65B3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273/21</w:t>
            </w:r>
          </w:p>
        </w:tc>
        <w:tc>
          <w:tcPr>
            <w:tcW w:w="967" w:type="dxa"/>
          </w:tcPr>
          <w:p w14:paraId="21A350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550</w:t>
            </w:r>
          </w:p>
        </w:tc>
      </w:tr>
      <w:tr w:rsidR="00643896" w:rsidRPr="00640820" w14:paraId="62E97810" w14:textId="77777777" w:rsidTr="000D3BCB">
        <w:tc>
          <w:tcPr>
            <w:tcW w:w="1384" w:type="dxa"/>
          </w:tcPr>
          <w:p w14:paraId="5D514B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Мощность мотора</w:t>
            </w:r>
          </w:p>
        </w:tc>
        <w:tc>
          <w:tcPr>
            <w:tcW w:w="947" w:type="dxa"/>
          </w:tcPr>
          <w:p w14:paraId="12D08B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480/0</w:t>
            </w:r>
          </w:p>
        </w:tc>
        <w:tc>
          <w:tcPr>
            <w:tcW w:w="966" w:type="dxa"/>
          </w:tcPr>
          <w:p w14:paraId="659214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480/0</w:t>
            </w:r>
          </w:p>
        </w:tc>
        <w:tc>
          <w:tcPr>
            <w:tcW w:w="966" w:type="dxa"/>
          </w:tcPr>
          <w:p w14:paraId="303861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712/2000</w:t>
            </w:r>
          </w:p>
        </w:tc>
        <w:tc>
          <w:tcPr>
            <w:tcW w:w="967" w:type="dxa"/>
          </w:tcPr>
          <w:p w14:paraId="7E0E6E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730/2400</w:t>
            </w:r>
          </w:p>
        </w:tc>
        <w:tc>
          <w:tcPr>
            <w:tcW w:w="966" w:type="dxa"/>
          </w:tcPr>
          <w:p w14:paraId="0AABD5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750/2900</w:t>
            </w:r>
          </w:p>
        </w:tc>
        <w:tc>
          <w:tcPr>
            <w:tcW w:w="966" w:type="dxa"/>
          </w:tcPr>
          <w:p w14:paraId="7D2683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900/4400</w:t>
            </w:r>
          </w:p>
        </w:tc>
        <w:tc>
          <w:tcPr>
            <w:tcW w:w="966" w:type="dxa"/>
          </w:tcPr>
          <w:p w14:paraId="4981FB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1100 форсж</w:t>
            </w:r>
          </w:p>
          <w:p w14:paraId="1A8D09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1000/1800</w:t>
            </w:r>
          </w:p>
        </w:tc>
        <w:tc>
          <w:tcPr>
            <w:tcW w:w="1104" w:type="dxa"/>
          </w:tcPr>
          <w:p w14:paraId="2FBC95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900/4500</w:t>
            </w:r>
          </w:p>
        </w:tc>
        <w:tc>
          <w:tcPr>
            <w:tcW w:w="967" w:type="dxa"/>
          </w:tcPr>
          <w:p w14:paraId="70AEB5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1000-1100/1150-4000, винт АВ-1</w:t>
            </w:r>
          </w:p>
        </w:tc>
        <w:tc>
          <w:tcPr>
            <w:tcW w:w="967" w:type="dxa"/>
          </w:tcPr>
          <w:p w14:paraId="79879E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ВИШ-61П</w:t>
            </w:r>
          </w:p>
        </w:tc>
      </w:tr>
      <w:tr w:rsidR="00643896" w:rsidRPr="00640820" w14:paraId="6255A518" w14:textId="77777777" w:rsidTr="000D3BCB">
        <w:tc>
          <w:tcPr>
            <w:tcW w:w="1384" w:type="dxa"/>
          </w:tcPr>
          <w:p w14:paraId="31AFE9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Рация</w:t>
            </w:r>
          </w:p>
        </w:tc>
        <w:tc>
          <w:tcPr>
            <w:tcW w:w="947" w:type="dxa"/>
          </w:tcPr>
          <w:p w14:paraId="448BD5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66" w:type="dxa"/>
          </w:tcPr>
          <w:p w14:paraId="438420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66" w:type="dxa"/>
          </w:tcPr>
          <w:p w14:paraId="3EE498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67" w:type="dxa"/>
          </w:tcPr>
          <w:p w14:paraId="62CABC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66" w:type="dxa"/>
          </w:tcPr>
          <w:p w14:paraId="16B3E0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66" w:type="dxa"/>
          </w:tcPr>
          <w:p w14:paraId="0DC7EB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66" w:type="dxa"/>
          </w:tcPr>
          <w:p w14:paraId="499E1D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РСИ-3 с жесткой антенной</w:t>
            </w:r>
          </w:p>
        </w:tc>
        <w:tc>
          <w:tcPr>
            <w:tcW w:w="1104" w:type="dxa"/>
          </w:tcPr>
          <w:p w14:paraId="51D58D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67" w:type="dxa"/>
          </w:tcPr>
          <w:p w14:paraId="08A417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67" w:type="dxa"/>
          </w:tcPr>
          <w:p w14:paraId="1A26EC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DD2FA01" w14:textId="77777777" w:rsidTr="000D3BCB">
        <w:tc>
          <w:tcPr>
            <w:tcW w:w="1384" w:type="dxa"/>
          </w:tcPr>
          <w:p w14:paraId="0AAB62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Дата приема на госиспытания</w:t>
            </w:r>
          </w:p>
        </w:tc>
        <w:tc>
          <w:tcPr>
            <w:tcW w:w="947" w:type="dxa"/>
          </w:tcPr>
          <w:p w14:paraId="6BF4B8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февраля</w:t>
            </w:r>
          </w:p>
        </w:tc>
        <w:tc>
          <w:tcPr>
            <w:tcW w:w="966" w:type="dxa"/>
          </w:tcPr>
          <w:p w14:paraId="264A54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марта</w:t>
            </w:r>
          </w:p>
        </w:tc>
        <w:tc>
          <w:tcPr>
            <w:tcW w:w="966" w:type="dxa"/>
          </w:tcPr>
          <w:p w14:paraId="0C9723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сентября 1935</w:t>
            </w:r>
          </w:p>
        </w:tc>
        <w:tc>
          <w:tcPr>
            <w:tcW w:w="967" w:type="dxa"/>
          </w:tcPr>
          <w:p w14:paraId="1D27E6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966" w:type="dxa"/>
          </w:tcPr>
          <w:p w14:paraId="1ED16B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966" w:type="dxa"/>
          </w:tcPr>
          <w:p w14:paraId="63123F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966" w:type="dxa"/>
          </w:tcPr>
          <w:p w14:paraId="4E1D35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Pr>
          <w:p w14:paraId="519786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сентября</w:t>
            </w:r>
          </w:p>
        </w:tc>
        <w:tc>
          <w:tcPr>
            <w:tcW w:w="967" w:type="dxa"/>
          </w:tcPr>
          <w:p w14:paraId="3D1703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967" w:type="dxa"/>
          </w:tcPr>
          <w:p w14:paraId="36FF5E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6538203" w14:textId="77777777" w:rsidTr="000D3BCB">
        <w:tc>
          <w:tcPr>
            <w:tcW w:w="1384" w:type="dxa"/>
            <w:tcBorders>
              <w:bottom w:val="single" w:sz="12" w:space="0" w:color="auto"/>
            </w:tcBorders>
          </w:tcPr>
          <w:p w14:paraId="21CE06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Дата окончания госиспытаний</w:t>
            </w:r>
          </w:p>
        </w:tc>
        <w:tc>
          <w:tcPr>
            <w:tcW w:w="947" w:type="dxa"/>
            <w:tcBorders>
              <w:bottom w:val="single" w:sz="12" w:space="0" w:color="auto"/>
            </w:tcBorders>
          </w:tcPr>
          <w:p w14:paraId="77E4EB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февраля 1934</w:t>
            </w:r>
          </w:p>
        </w:tc>
        <w:tc>
          <w:tcPr>
            <w:tcW w:w="966" w:type="dxa"/>
            <w:tcBorders>
              <w:bottom w:val="single" w:sz="12" w:space="0" w:color="auto"/>
            </w:tcBorders>
          </w:tcPr>
          <w:p w14:paraId="243AF1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мая 1934</w:t>
            </w:r>
          </w:p>
        </w:tc>
        <w:tc>
          <w:tcPr>
            <w:tcW w:w="966" w:type="dxa"/>
            <w:tcBorders>
              <w:bottom w:val="single" w:sz="12" w:space="0" w:color="auto"/>
            </w:tcBorders>
          </w:tcPr>
          <w:p w14:paraId="043E94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января 1936 (заводские)</w:t>
            </w:r>
          </w:p>
        </w:tc>
        <w:tc>
          <w:tcPr>
            <w:tcW w:w="967" w:type="dxa"/>
            <w:tcBorders>
              <w:bottom w:val="single" w:sz="12" w:space="0" w:color="auto"/>
            </w:tcBorders>
          </w:tcPr>
          <w:p w14:paraId="6FE354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отч. утв. 5 ноября 1937</w:t>
            </w:r>
          </w:p>
        </w:tc>
        <w:tc>
          <w:tcPr>
            <w:tcW w:w="966" w:type="dxa"/>
            <w:tcBorders>
              <w:bottom w:val="single" w:sz="12" w:space="0" w:color="auto"/>
            </w:tcBorders>
          </w:tcPr>
          <w:p w14:paraId="7F2FC8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отч. утв. 5 мая 1939</w:t>
            </w:r>
          </w:p>
        </w:tc>
        <w:tc>
          <w:tcPr>
            <w:tcW w:w="966" w:type="dxa"/>
            <w:tcBorders>
              <w:bottom w:val="single" w:sz="12" w:space="0" w:color="auto"/>
            </w:tcBorders>
          </w:tcPr>
          <w:p w14:paraId="67259C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отч. утв. 11 октября 1939</w:t>
            </w:r>
          </w:p>
        </w:tc>
        <w:tc>
          <w:tcPr>
            <w:tcW w:w="966" w:type="dxa"/>
            <w:tcBorders>
              <w:bottom w:val="single" w:sz="12" w:space="0" w:color="auto"/>
            </w:tcBorders>
          </w:tcPr>
          <w:p w14:paraId="28E189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04" w:type="dxa"/>
            <w:tcBorders>
              <w:bottom w:val="single" w:sz="12" w:space="0" w:color="auto"/>
            </w:tcBorders>
          </w:tcPr>
          <w:p w14:paraId="6F62E6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октября 1938</w:t>
            </w:r>
          </w:p>
        </w:tc>
        <w:tc>
          <w:tcPr>
            <w:tcW w:w="967" w:type="dxa"/>
            <w:tcBorders>
              <w:bottom w:val="single" w:sz="12" w:space="0" w:color="auto"/>
            </w:tcBorders>
          </w:tcPr>
          <w:p w14:paraId="4043FB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отч. утв. 30 сентяюря 1940</w:t>
            </w:r>
          </w:p>
        </w:tc>
        <w:tc>
          <w:tcPr>
            <w:tcW w:w="967" w:type="dxa"/>
            <w:tcBorders>
              <w:bottom w:val="single" w:sz="12" w:space="0" w:color="auto"/>
            </w:tcBorders>
          </w:tcPr>
          <w:p w14:paraId="0B1D18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bl>
    <w:p w14:paraId="7CAF95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СБ, ТБ</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9"/>
        <w:gridCol w:w="992"/>
        <w:gridCol w:w="851"/>
        <w:gridCol w:w="850"/>
        <w:gridCol w:w="851"/>
        <w:gridCol w:w="850"/>
        <w:gridCol w:w="851"/>
        <w:gridCol w:w="850"/>
        <w:gridCol w:w="709"/>
        <w:gridCol w:w="850"/>
        <w:gridCol w:w="709"/>
        <w:gridCol w:w="851"/>
        <w:gridCol w:w="992"/>
      </w:tblGrid>
      <w:tr w:rsidR="00643896" w:rsidRPr="00640820" w14:paraId="37E2292F" w14:textId="77777777" w:rsidTr="000D3BCB">
        <w:tc>
          <w:tcPr>
            <w:tcW w:w="959" w:type="dxa"/>
            <w:tcBorders>
              <w:top w:val="single" w:sz="12" w:space="0" w:color="auto"/>
            </w:tcBorders>
          </w:tcPr>
          <w:p w14:paraId="7705D1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top w:val="single" w:sz="12" w:space="0" w:color="auto"/>
            </w:tcBorders>
          </w:tcPr>
          <w:p w14:paraId="353452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СБ-2М (ИС-12ydrs) после доводки</w:t>
            </w:r>
          </w:p>
          <w:p w14:paraId="334CDF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1935-36</w:t>
            </w:r>
          </w:p>
        </w:tc>
        <w:tc>
          <w:tcPr>
            <w:tcW w:w="851" w:type="dxa"/>
            <w:tcBorders>
              <w:top w:val="single" w:sz="12" w:space="0" w:color="auto"/>
            </w:tcBorders>
          </w:tcPr>
          <w:p w14:paraId="272408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СБ-2М100 № 11/48</w:t>
            </w:r>
          </w:p>
          <w:p w14:paraId="2C68EC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1937</w:t>
            </w:r>
          </w:p>
        </w:tc>
        <w:tc>
          <w:tcPr>
            <w:tcW w:w="850" w:type="dxa"/>
            <w:tcBorders>
              <w:top w:val="single" w:sz="12" w:space="0" w:color="auto"/>
            </w:tcBorders>
          </w:tcPr>
          <w:p w14:paraId="504B9D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СБ-2М103 № 1/83</w:t>
            </w:r>
          </w:p>
          <w:p w14:paraId="7FF696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1938</w:t>
            </w:r>
          </w:p>
        </w:tc>
        <w:tc>
          <w:tcPr>
            <w:tcW w:w="851" w:type="dxa"/>
            <w:tcBorders>
              <w:top w:val="single" w:sz="12" w:space="0" w:color="auto"/>
            </w:tcBorders>
          </w:tcPr>
          <w:p w14:paraId="31F644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СБ-2М103 № 2/202</w:t>
            </w:r>
          </w:p>
          <w:p w14:paraId="4FBCCD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1939</w:t>
            </w:r>
          </w:p>
        </w:tc>
        <w:tc>
          <w:tcPr>
            <w:tcW w:w="850" w:type="dxa"/>
            <w:tcBorders>
              <w:top w:val="single" w:sz="12" w:space="0" w:color="auto"/>
            </w:tcBorders>
          </w:tcPr>
          <w:p w14:paraId="19375E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опытный СБ-РК 2М-105 ВИШ-22Е</w:t>
            </w:r>
          </w:p>
          <w:p w14:paraId="7C3E48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1940</w:t>
            </w:r>
          </w:p>
        </w:tc>
        <w:tc>
          <w:tcPr>
            <w:tcW w:w="851" w:type="dxa"/>
            <w:tcBorders>
              <w:top w:val="single" w:sz="12" w:space="0" w:color="auto"/>
            </w:tcBorders>
          </w:tcPr>
          <w:p w14:paraId="7C7333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СБ-2М-105 головной серийный завода № 22 пикирую</w:t>
            </w:r>
            <w:r w:rsidRPr="00640820">
              <w:rPr>
                <w:rFonts w:ascii="Times New Roman" w:hAnsi="Times New Roman"/>
                <w:color w:val="000000" w:themeColor="text1"/>
                <w:sz w:val="16"/>
                <w:szCs w:val="16"/>
              </w:rPr>
              <w:lastRenderedPageBreak/>
              <w:t>щий вариант</w:t>
            </w:r>
          </w:p>
          <w:p w14:paraId="6A99F7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1940</w:t>
            </w:r>
          </w:p>
        </w:tc>
        <w:tc>
          <w:tcPr>
            <w:tcW w:w="850" w:type="dxa"/>
            <w:tcBorders>
              <w:top w:val="single" w:sz="12" w:space="0" w:color="auto"/>
            </w:tcBorders>
          </w:tcPr>
          <w:p w14:paraId="2FBCF0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ТБ-7 4АМ-34ФРНА и М-100 опытный</w:t>
            </w:r>
          </w:p>
          <w:p w14:paraId="7E5FFD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1937</w:t>
            </w:r>
          </w:p>
        </w:tc>
        <w:tc>
          <w:tcPr>
            <w:tcW w:w="709" w:type="dxa"/>
            <w:tcBorders>
              <w:top w:val="single" w:sz="12" w:space="0" w:color="auto"/>
            </w:tcBorders>
          </w:tcPr>
          <w:p w14:paraId="437BE7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ТБ-7 4АМ34ФРНБ + М-100 опытный</w:t>
            </w:r>
          </w:p>
          <w:p w14:paraId="036011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1838</w:t>
            </w:r>
          </w:p>
        </w:tc>
        <w:tc>
          <w:tcPr>
            <w:tcW w:w="850" w:type="dxa"/>
            <w:tcBorders>
              <w:top w:val="single" w:sz="12" w:space="0" w:color="auto"/>
            </w:tcBorders>
          </w:tcPr>
          <w:p w14:paraId="178A1E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ТБ-7 4АМ34ФРНВ + М-100 дублер</w:t>
            </w:r>
          </w:p>
          <w:p w14:paraId="28BE17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1838-39</w:t>
            </w:r>
          </w:p>
        </w:tc>
        <w:tc>
          <w:tcPr>
            <w:tcW w:w="709" w:type="dxa"/>
            <w:tcBorders>
              <w:top w:val="single" w:sz="12" w:space="0" w:color="auto"/>
            </w:tcBorders>
          </w:tcPr>
          <w:p w14:paraId="1F99B7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ТБ-7 4АМ34ФРНВ дублер без АЦН</w:t>
            </w:r>
          </w:p>
          <w:p w14:paraId="672AA6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1838-39</w:t>
            </w:r>
          </w:p>
        </w:tc>
        <w:tc>
          <w:tcPr>
            <w:tcW w:w="851" w:type="dxa"/>
            <w:tcBorders>
              <w:top w:val="single" w:sz="12" w:space="0" w:color="auto"/>
            </w:tcBorders>
          </w:tcPr>
          <w:p w14:paraId="6A4BEC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ТБ-7 4М-40 опытный</w:t>
            </w:r>
          </w:p>
          <w:p w14:paraId="7DBB6D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1940</w:t>
            </w:r>
          </w:p>
        </w:tc>
        <w:tc>
          <w:tcPr>
            <w:tcW w:w="992" w:type="dxa"/>
            <w:tcBorders>
              <w:top w:val="single" w:sz="12" w:space="0" w:color="auto"/>
            </w:tcBorders>
          </w:tcPr>
          <w:p w14:paraId="1A635F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ТБ-7 4АМ-35А</w:t>
            </w:r>
          </w:p>
          <w:p w14:paraId="714324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август 1941</w:t>
            </w:r>
          </w:p>
        </w:tc>
      </w:tr>
      <w:tr w:rsidR="00643896" w:rsidRPr="00640820" w14:paraId="57853E75" w14:textId="77777777" w:rsidTr="000D3BCB">
        <w:tc>
          <w:tcPr>
            <w:tcW w:w="959" w:type="dxa"/>
          </w:tcPr>
          <w:p w14:paraId="7A52B6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Стрелковое вооружение</w:t>
            </w:r>
          </w:p>
        </w:tc>
        <w:tc>
          <w:tcPr>
            <w:tcW w:w="992" w:type="dxa"/>
          </w:tcPr>
          <w:p w14:paraId="522209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4хШКАС</w:t>
            </w:r>
          </w:p>
        </w:tc>
        <w:tc>
          <w:tcPr>
            <w:tcW w:w="851" w:type="dxa"/>
          </w:tcPr>
          <w:p w14:paraId="7EDFA4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4хШКАС</w:t>
            </w:r>
          </w:p>
        </w:tc>
        <w:tc>
          <w:tcPr>
            <w:tcW w:w="850" w:type="dxa"/>
          </w:tcPr>
          <w:p w14:paraId="64BB07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4хШКАС</w:t>
            </w:r>
          </w:p>
        </w:tc>
        <w:tc>
          <w:tcPr>
            <w:tcW w:w="851" w:type="dxa"/>
          </w:tcPr>
          <w:p w14:paraId="761707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4хШКАС</w:t>
            </w:r>
          </w:p>
        </w:tc>
        <w:tc>
          <w:tcPr>
            <w:tcW w:w="850" w:type="dxa"/>
          </w:tcPr>
          <w:p w14:paraId="6C7E1B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4хШКАС</w:t>
            </w:r>
          </w:p>
        </w:tc>
        <w:tc>
          <w:tcPr>
            <w:tcW w:w="851" w:type="dxa"/>
          </w:tcPr>
          <w:p w14:paraId="3CF139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Ф-1, МВ-2, МВ-3б 4хШКАС</w:t>
            </w:r>
          </w:p>
        </w:tc>
        <w:tc>
          <w:tcPr>
            <w:tcW w:w="850" w:type="dxa"/>
          </w:tcPr>
          <w:p w14:paraId="0D4A85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7хШКАС (5000), 1хШВАК (2000)</w:t>
            </w:r>
          </w:p>
        </w:tc>
        <w:tc>
          <w:tcPr>
            <w:tcW w:w="709" w:type="dxa"/>
          </w:tcPr>
          <w:p w14:paraId="7F0118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7хШКАС (5000), 1хШВАК (2000)</w:t>
            </w:r>
          </w:p>
        </w:tc>
        <w:tc>
          <w:tcPr>
            <w:tcW w:w="850" w:type="dxa"/>
          </w:tcPr>
          <w:p w14:paraId="681BE8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7хШКАС (5000), 1хШВАК (2000)</w:t>
            </w:r>
          </w:p>
        </w:tc>
        <w:tc>
          <w:tcPr>
            <w:tcW w:w="709" w:type="dxa"/>
          </w:tcPr>
          <w:p w14:paraId="11AEBB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7хШКАС (5000), 1хШВАК (2000)</w:t>
            </w:r>
          </w:p>
        </w:tc>
        <w:tc>
          <w:tcPr>
            <w:tcW w:w="851" w:type="dxa"/>
          </w:tcPr>
          <w:p w14:paraId="774D14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7хШКАС (5000), 1хШВАК (2000)</w:t>
            </w:r>
          </w:p>
        </w:tc>
        <w:tc>
          <w:tcPr>
            <w:tcW w:w="992" w:type="dxa"/>
          </w:tcPr>
          <w:p w14:paraId="630F28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2хШКАС, 2хБТ, 2хШВАК</w:t>
            </w:r>
          </w:p>
        </w:tc>
      </w:tr>
      <w:tr w:rsidR="00643896" w:rsidRPr="00640820" w14:paraId="593EFC51" w14:textId="77777777" w:rsidTr="000D3BCB">
        <w:tc>
          <w:tcPr>
            <w:tcW w:w="959" w:type="dxa"/>
          </w:tcPr>
          <w:p w14:paraId="2DB9EE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Бомбардировочное вооружение</w:t>
            </w:r>
          </w:p>
        </w:tc>
        <w:tc>
          <w:tcPr>
            <w:tcW w:w="992" w:type="dxa"/>
          </w:tcPr>
          <w:p w14:paraId="510D5E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500/600</w:t>
            </w:r>
          </w:p>
        </w:tc>
        <w:tc>
          <w:tcPr>
            <w:tcW w:w="851" w:type="dxa"/>
          </w:tcPr>
          <w:p w14:paraId="08EAEE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500/600</w:t>
            </w:r>
          </w:p>
        </w:tc>
        <w:tc>
          <w:tcPr>
            <w:tcW w:w="850" w:type="dxa"/>
          </w:tcPr>
          <w:p w14:paraId="37CAC6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500/1600</w:t>
            </w:r>
          </w:p>
        </w:tc>
        <w:tc>
          <w:tcPr>
            <w:tcW w:w="851" w:type="dxa"/>
          </w:tcPr>
          <w:p w14:paraId="793F97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500/600</w:t>
            </w:r>
          </w:p>
        </w:tc>
        <w:tc>
          <w:tcPr>
            <w:tcW w:w="850" w:type="dxa"/>
          </w:tcPr>
          <w:p w14:paraId="17A96B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500/1500</w:t>
            </w:r>
          </w:p>
        </w:tc>
        <w:tc>
          <w:tcPr>
            <w:tcW w:w="851" w:type="dxa"/>
          </w:tcPr>
          <w:p w14:paraId="598786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500/1500</w:t>
            </w:r>
          </w:p>
        </w:tc>
        <w:tc>
          <w:tcPr>
            <w:tcW w:w="850" w:type="dxa"/>
          </w:tcPr>
          <w:p w14:paraId="3F3A08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4000</w:t>
            </w:r>
          </w:p>
        </w:tc>
        <w:tc>
          <w:tcPr>
            <w:tcW w:w="709" w:type="dxa"/>
          </w:tcPr>
          <w:p w14:paraId="3070A6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4000</w:t>
            </w:r>
          </w:p>
        </w:tc>
        <w:tc>
          <w:tcPr>
            <w:tcW w:w="850" w:type="dxa"/>
          </w:tcPr>
          <w:p w14:paraId="6C9FD5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4000</w:t>
            </w:r>
          </w:p>
        </w:tc>
        <w:tc>
          <w:tcPr>
            <w:tcW w:w="709" w:type="dxa"/>
          </w:tcPr>
          <w:p w14:paraId="4AC335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4000</w:t>
            </w:r>
          </w:p>
        </w:tc>
        <w:tc>
          <w:tcPr>
            <w:tcW w:w="851" w:type="dxa"/>
          </w:tcPr>
          <w:p w14:paraId="3DF515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2000/4000</w:t>
            </w:r>
          </w:p>
        </w:tc>
        <w:tc>
          <w:tcPr>
            <w:tcW w:w="992" w:type="dxa"/>
          </w:tcPr>
          <w:p w14:paraId="7E4C89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1000/4000</w:t>
            </w:r>
          </w:p>
        </w:tc>
      </w:tr>
      <w:tr w:rsidR="00643896" w:rsidRPr="00640820" w14:paraId="5DC81C2A" w14:textId="77777777" w:rsidTr="000D3BCB">
        <w:tc>
          <w:tcPr>
            <w:tcW w:w="959" w:type="dxa"/>
          </w:tcPr>
          <w:p w14:paraId="6062A4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Вес пустого</w:t>
            </w:r>
          </w:p>
        </w:tc>
        <w:tc>
          <w:tcPr>
            <w:tcW w:w="992" w:type="dxa"/>
          </w:tcPr>
          <w:p w14:paraId="434F18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3958</w:t>
            </w:r>
          </w:p>
        </w:tc>
        <w:tc>
          <w:tcPr>
            <w:tcW w:w="851" w:type="dxa"/>
          </w:tcPr>
          <w:p w14:paraId="4C6417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4370</w:t>
            </w:r>
          </w:p>
        </w:tc>
        <w:tc>
          <w:tcPr>
            <w:tcW w:w="850" w:type="dxa"/>
          </w:tcPr>
          <w:p w14:paraId="36E513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4675</w:t>
            </w:r>
          </w:p>
        </w:tc>
        <w:tc>
          <w:tcPr>
            <w:tcW w:w="851" w:type="dxa"/>
          </w:tcPr>
          <w:p w14:paraId="0D32F5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4790</w:t>
            </w:r>
          </w:p>
        </w:tc>
        <w:tc>
          <w:tcPr>
            <w:tcW w:w="850" w:type="dxa"/>
          </w:tcPr>
          <w:p w14:paraId="77021A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4720</w:t>
            </w:r>
          </w:p>
        </w:tc>
        <w:tc>
          <w:tcPr>
            <w:tcW w:w="851" w:type="dxa"/>
          </w:tcPr>
          <w:p w14:paraId="26CEE8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5121</w:t>
            </w:r>
          </w:p>
        </w:tc>
        <w:tc>
          <w:tcPr>
            <w:tcW w:w="850" w:type="dxa"/>
          </w:tcPr>
          <w:p w14:paraId="6AAB4C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17885</w:t>
            </w:r>
          </w:p>
        </w:tc>
        <w:tc>
          <w:tcPr>
            <w:tcW w:w="709" w:type="dxa"/>
          </w:tcPr>
          <w:p w14:paraId="489216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17885</w:t>
            </w:r>
          </w:p>
        </w:tc>
        <w:tc>
          <w:tcPr>
            <w:tcW w:w="850" w:type="dxa"/>
          </w:tcPr>
          <w:p w14:paraId="2774E1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18520</w:t>
            </w:r>
          </w:p>
        </w:tc>
        <w:tc>
          <w:tcPr>
            <w:tcW w:w="709" w:type="dxa"/>
          </w:tcPr>
          <w:p w14:paraId="4A0802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17885</w:t>
            </w:r>
          </w:p>
        </w:tc>
        <w:tc>
          <w:tcPr>
            <w:tcW w:w="851" w:type="dxa"/>
          </w:tcPr>
          <w:p w14:paraId="3047ED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19790</w:t>
            </w:r>
          </w:p>
        </w:tc>
        <w:tc>
          <w:tcPr>
            <w:tcW w:w="992" w:type="dxa"/>
          </w:tcPr>
          <w:p w14:paraId="525D3B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7E9F59EF" w14:textId="77777777" w:rsidTr="000D3BCB">
        <w:tc>
          <w:tcPr>
            <w:tcW w:w="959" w:type="dxa"/>
          </w:tcPr>
          <w:p w14:paraId="60ED64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Нормальный полетный вес</w:t>
            </w:r>
          </w:p>
        </w:tc>
        <w:tc>
          <w:tcPr>
            <w:tcW w:w="992" w:type="dxa"/>
          </w:tcPr>
          <w:p w14:paraId="0E40FB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5468</w:t>
            </w:r>
          </w:p>
        </w:tc>
        <w:tc>
          <w:tcPr>
            <w:tcW w:w="851" w:type="dxa"/>
          </w:tcPr>
          <w:p w14:paraId="6E0677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5850</w:t>
            </w:r>
          </w:p>
        </w:tc>
        <w:tc>
          <w:tcPr>
            <w:tcW w:w="850" w:type="dxa"/>
          </w:tcPr>
          <w:p w14:paraId="092CBE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6175</w:t>
            </w:r>
          </w:p>
        </w:tc>
        <w:tc>
          <w:tcPr>
            <w:tcW w:w="851" w:type="dxa"/>
          </w:tcPr>
          <w:p w14:paraId="1491D5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6300</w:t>
            </w:r>
          </w:p>
        </w:tc>
        <w:tc>
          <w:tcPr>
            <w:tcW w:w="850" w:type="dxa"/>
          </w:tcPr>
          <w:p w14:paraId="39AE01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6300</w:t>
            </w:r>
          </w:p>
        </w:tc>
        <w:tc>
          <w:tcPr>
            <w:tcW w:w="851" w:type="dxa"/>
          </w:tcPr>
          <w:p w14:paraId="637916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6662 в т.ч. гор. 530 и бомб 500</w:t>
            </w:r>
          </w:p>
        </w:tc>
        <w:tc>
          <w:tcPr>
            <w:tcW w:w="850" w:type="dxa"/>
          </w:tcPr>
          <w:p w14:paraId="375582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23858</w:t>
            </w:r>
          </w:p>
        </w:tc>
        <w:tc>
          <w:tcPr>
            <w:tcW w:w="709" w:type="dxa"/>
          </w:tcPr>
          <w:p w14:paraId="6679C9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24000</w:t>
            </w:r>
          </w:p>
        </w:tc>
        <w:tc>
          <w:tcPr>
            <w:tcW w:w="850" w:type="dxa"/>
          </w:tcPr>
          <w:p w14:paraId="692E19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24594</w:t>
            </w:r>
          </w:p>
        </w:tc>
        <w:tc>
          <w:tcPr>
            <w:tcW w:w="709" w:type="dxa"/>
          </w:tcPr>
          <w:p w14:paraId="28A179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24594</w:t>
            </w:r>
          </w:p>
        </w:tc>
        <w:tc>
          <w:tcPr>
            <w:tcW w:w="851" w:type="dxa"/>
          </w:tcPr>
          <w:p w14:paraId="55CCCE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26000 в т.ч. бомб 2000 и гор. 2650</w:t>
            </w:r>
          </w:p>
        </w:tc>
        <w:tc>
          <w:tcPr>
            <w:tcW w:w="992" w:type="dxa"/>
          </w:tcPr>
          <w:p w14:paraId="2D144B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27000</w:t>
            </w:r>
          </w:p>
        </w:tc>
      </w:tr>
      <w:tr w:rsidR="00643896" w:rsidRPr="00640820" w14:paraId="6EAC4C4F" w14:textId="77777777" w:rsidTr="000D3BCB">
        <w:tc>
          <w:tcPr>
            <w:tcW w:w="959" w:type="dxa"/>
          </w:tcPr>
          <w:p w14:paraId="424A19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Максимальный полетный вес</w:t>
            </w:r>
          </w:p>
        </w:tc>
        <w:tc>
          <w:tcPr>
            <w:tcW w:w="992" w:type="dxa"/>
          </w:tcPr>
          <w:p w14:paraId="2FD001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6198</w:t>
            </w:r>
          </w:p>
        </w:tc>
        <w:tc>
          <w:tcPr>
            <w:tcW w:w="851" w:type="dxa"/>
          </w:tcPr>
          <w:p w14:paraId="59CC70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6580</w:t>
            </w:r>
          </w:p>
        </w:tc>
        <w:tc>
          <w:tcPr>
            <w:tcW w:w="850" w:type="dxa"/>
          </w:tcPr>
          <w:p w14:paraId="13161A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7865</w:t>
            </w:r>
          </w:p>
        </w:tc>
        <w:tc>
          <w:tcPr>
            <w:tcW w:w="851" w:type="dxa"/>
          </w:tcPr>
          <w:p w14:paraId="520E31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7980</w:t>
            </w:r>
          </w:p>
        </w:tc>
        <w:tc>
          <w:tcPr>
            <w:tcW w:w="850" w:type="dxa"/>
          </w:tcPr>
          <w:p w14:paraId="059ACE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51" w:type="dxa"/>
          </w:tcPr>
          <w:p w14:paraId="1EDE18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7383/1220/500</w:t>
            </w:r>
          </w:p>
        </w:tc>
        <w:tc>
          <w:tcPr>
            <w:tcW w:w="850" w:type="dxa"/>
          </w:tcPr>
          <w:p w14:paraId="496AC7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28000</w:t>
            </w:r>
          </w:p>
        </w:tc>
        <w:tc>
          <w:tcPr>
            <w:tcW w:w="709" w:type="dxa"/>
          </w:tcPr>
          <w:p w14:paraId="2077D8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30000</w:t>
            </w:r>
          </w:p>
        </w:tc>
        <w:tc>
          <w:tcPr>
            <w:tcW w:w="850" w:type="dxa"/>
          </w:tcPr>
          <w:p w14:paraId="30B98E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32000</w:t>
            </w:r>
          </w:p>
        </w:tc>
        <w:tc>
          <w:tcPr>
            <w:tcW w:w="709" w:type="dxa"/>
          </w:tcPr>
          <w:p w14:paraId="59AB02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32000</w:t>
            </w:r>
          </w:p>
        </w:tc>
        <w:tc>
          <w:tcPr>
            <w:tcW w:w="851" w:type="dxa"/>
          </w:tcPr>
          <w:p w14:paraId="107FCA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32000</w:t>
            </w:r>
          </w:p>
        </w:tc>
        <w:tc>
          <w:tcPr>
            <w:tcW w:w="992" w:type="dxa"/>
          </w:tcPr>
          <w:p w14:paraId="119A7C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32000</w:t>
            </w:r>
          </w:p>
        </w:tc>
      </w:tr>
      <w:tr w:rsidR="00643896" w:rsidRPr="00640820" w14:paraId="3EC9181E" w14:textId="77777777" w:rsidTr="000D3BCB">
        <w:tc>
          <w:tcPr>
            <w:tcW w:w="959" w:type="dxa"/>
          </w:tcPr>
          <w:p w14:paraId="62F85D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Горючее</w:t>
            </w:r>
          </w:p>
        </w:tc>
        <w:tc>
          <w:tcPr>
            <w:tcW w:w="992" w:type="dxa"/>
          </w:tcPr>
          <w:p w14:paraId="6D23DE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1220</w:t>
            </w:r>
          </w:p>
        </w:tc>
        <w:tc>
          <w:tcPr>
            <w:tcW w:w="851" w:type="dxa"/>
          </w:tcPr>
          <w:p w14:paraId="142398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1220</w:t>
            </w:r>
          </w:p>
        </w:tc>
        <w:tc>
          <w:tcPr>
            <w:tcW w:w="850" w:type="dxa"/>
          </w:tcPr>
          <w:p w14:paraId="34A308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1200</w:t>
            </w:r>
          </w:p>
        </w:tc>
        <w:tc>
          <w:tcPr>
            <w:tcW w:w="851" w:type="dxa"/>
          </w:tcPr>
          <w:p w14:paraId="6D795B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1220</w:t>
            </w:r>
          </w:p>
        </w:tc>
        <w:tc>
          <w:tcPr>
            <w:tcW w:w="850" w:type="dxa"/>
          </w:tcPr>
          <w:p w14:paraId="63A9CA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970</w:t>
            </w:r>
          </w:p>
        </w:tc>
        <w:tc>
          <w:tcPr>
            <w:tcW w:w="851" w:type="dxa"/>
          </w:tcPr>
          <w:p w14:paraId="03CA24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1220</w:t>
            </w:r>
          </w:p>
        </w:tc>
        <w:tc>
          <w:tcPr>
            <w:tcW w:w="850" w:type="dxa"/>
          </w:tcPr>
          <w:p w14:paraId="7CF895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8300</w:t>
            </w:r>
          </w:p>
        </w:tc>
        <w:tc>
          <w:tcPr>
            <w:tcW w:w="709" w:type="dxa"/>
          </w:tcPr>
          <w:p w14:paraId="677A3F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8300</w:t>
            </w:r>
          </w:p>
        </w:tc>
        <w:tc>
          <w:tcPr>
            <w:tcW w:w="850" w:type="dxa"/>
          </w:tcPr>
          <w:p w14:paraId="57E02B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8700</w:t>
            </w:r>
          </w:p>
        </w:tc>
        <w:tc>
          <w:tcPr>
            <w:tcW w:w="709" w:type="dxa"/>
          </w:tcPr>
          <w:p w14:paraId="4DF5F8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8300</w:t>
            </w:r>
          </w:p>
        </w:tc>
        <w:tc>
          <w:tcPr>
            <w:tcW w:w="851" w:type="dxa"/>
          </w:tcPr>
          <w:p w14:paraId="705AB2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11660</w:t>
            </w:r>
          </w:p>
        </w:tc>
        <w:tc>
          <w:tcPr>
            <w:tcW w:w="992" w:type="dxa"/>
          </w:tcPr>
          <w:p w14:paraId="626E5B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3370/9350</w:t>
            </w:r>
          </w:p>
        </w:tc>
      </w:tr>
      <w:tr w:rsidR="00643896" w:rsidRPr="00640820" w14:paraId="62E83FA2" w14:textId="77777777" w:rsidTr="000D3BCB">
        <w:tc>
          <w:tcPr>
            <w:tcW w:w="959" w:type="dxa"/>
          </w:tcPr>
          <w:p w14:paraId="43AF17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Нагрузка на крыло</w:t>
            </w:r>
          </w:p>
        </w:tc>
        <w:tc>
          <w:tcPr>
            <w:tcW w:w="992" w:type="dxa"/>
          </w:tcPr>
          <w:p w14:paraId="2F1C09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96,5</w:t>
            </w:r>
          </w:p>
        </w:tc>
        <w:tc>
          <w:tcPr>
            <w:tcW w:w="851" w:type="dxa"/>
          </w:tcPr>
          <w:p w14:paraId="619536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103</w:t>
            </w:r>
          </w:p>
        </w:tc>
        <w:tc>
          <w:tcPr>
            <w:tcW w:w="850" w:type="dxa"/>
          </w:tcPr>
          <w:p w14:paraId="346278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108,7</w:t>
            </w:r>
          </w:p>
        </w:tc>
        <w:tc>
          <w:tcPr>
            <w:tcW w:w="851" w:type="dxa"/>
          </w:tcPr>
          <w:p w14:paraId="40C635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111</w:t>
            </w:r>
          </w:p>
        </w:tc>
        <w:tc>
          <w:tcPr>
            <w:tcW w:w="850" w:type="dxa"/>
          </w:tcPr>
          <w:p w14:paraId="0EEFFC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131</w:t>
            </w:r>
          </w:p>
        </w:tc>
        <w:tc>
          <w:tcPr>
            <w:tcW w:w="851" w:type="dxa"/>
          </w:tcPr>
          <w:p w14:paraId="27C388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50" w:type="dxa"/>
          </w:tcPr>
          <w:p w14:paraId="134AA4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133</w:t>
            </w:r>
          </w:p>
        </w:tc>
        <w:tc>
          <w:tcPr>
            <w:tcW w:w="709" w:type="dxa"/>
          </w:tcPr>
          <w:p w14:paraId="318ADB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133,8</w:t>
            </w:r>
          </w:p>
        </w:tc>
        <w:tc>
          <w:tcPr>
            <w:tcW w:w="850" w:type="dxa"/>
          </w:tcPr>
          <w:p w14:paraId="371B36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137,6</w:t>
            </w:r>
          </w:p>
        </w:tc>
        <w:tc>
          <w:tcPr>
            <w:tcW w:w="709" w:type="dxa"/>
          </w:tcPr>
          <w:p w14:paraId="29FFCE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137,6</w:t>
            </w:r>
          </w:p>
        </w:tc>
        <w:tc>
          <w:tcPr>
            <w:tcW w:w="851" w:type="dxa"/>
          </w:tcPr>
          <w:p w14:paraId="55B0D8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92" w:type="dxa"/>
          </w:tcPr>
          <w:p w14:paraId="7C65A7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143,5</w:t>
            </w:r>
          </w:p>
        </w:tc>
      </w:tr>
      <w:tr w:rsidR="00643896" w:rsidRPr="00640820" w14:paraId="1CDC0AAB" w14:textId="77777777" w:rsidTr="000D3BCB">
        <w:tc>
          <w:tcPr>
            <w:tcW w:w="959" w:type="dxa"/>
          </w:tcPr>
          <w:p w14:paraId="02DE12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Скорость макс. у земли</w:t>
            </w:r>
          </w:p>
        </w:tc>
        <w:tc>
          <w:tcPr>
            <w:tcW w:w="992" w:type="dxa"/>
          </w:tcPr>
          <w:p w14:paraId="1C7995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356</w:t>
            </w:r>
          </w:p>
        </w:tc>
        <w:tc>
          <w:tcPr>
            <w:tcW w:w="851" w:type="dxa"/>
          </w:tcPr>
          <w:p w14:paraId="7F6406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349</w:t>
            </w:r>
          </w:p>
        </w:tc>
        <w:tc>
          <w:tcPr>
            <w:tcW w:w="850" w:type="dxa"/>
          </w:tcPr>
          <w:p w14:paraId="3B4EB5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346</w:t>
            </w:r>
          </w:p>
        </w:tc>
        <w:tc>
          <w:tcPr>
            <w:tcW w:w="851" w:type="dxa"/>
          </w:tcPr>
          <w:p w14:paraId="558A94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374</w:t>
            </w:r>
          </w:p>
        </w:tc>
        <w:tc>
          <w:tcPr>
            <w:tcW w:w="850" w:type="dxa"/>
          </w:tcPr>
          <w:p w14:paraId="4074F7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411</w:t>
            </w:r>
          </w:p>
        </w:tc>
        <w:tc>
          <w:tcPr>
            <w:tcW w:w="851" w:type="dxa"/>
          </w:tcPr>
          <w:p w14:paraId="624D6B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386</w:t>
            </w:r>
          </w:p>
        </w:tc>
        <w:tc>
          <w:tcPr>
            <w:tcW w:w="850" w:type="dxa"/>
          </w:tcPr>
          <w:p w14:paraId="4F186F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320</w:t>
            </w:r>
          </w:p>
        </w:tc>
        <w:tc>
          <w:tcPr>
            <w:tcW w:w="709" w:type="dxa"/>
          </w:tcPr>
          <w:p w14:paraId="776E3E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315</w:t>
            </w:r>
          </w:p>
        </w:tc>
        <w:tc>
          <w:tcPr>
            <w:tcW w:w="850" w:type="dxa"/>
          </w:tcPr>
          <w:p w14:paraId="5B5B12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305 (при 26000)</w:t>
            </w:r>
          </w:p>
        </w:tc>
        <w:tc>
          <w:tcPr>
            <w:tcW w:w="709" w:type="dxa"/>
          </w:tcPr>
          <w:p w14:paraId="4FE3C8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328</w:t>
            </w:r>
          </w:p>
        </w:tc>
        <w:tc>
          <w:tcPr>
            <w:tcW w:w="851" w:type="dxa"/>
          </w:tcPr>
          <w:p w14:paraId="708414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345</w:t>
            </w:r>
          </w:p>
        </w:tc>
        <w:tc>
          <w:tcPr>
            <w:tcW w:w="992" w:type="dxa"/>
          </w:tcPr>
          <w:p w14:paraId="161774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347</w:t>
            </w:r>
          </w:p>
        </w:tc>
      </w:tr>
      <w:tr w:rsidR="00643896" w:rsidRPr="00640820" w14:paraId="06505725" w14:textId="77777777" w:rsidTr="000D3BCB">
        <w:tc>
          <w:tcPr>
            <w:tcW w:w="959" w:type="dxa"/>
          </w:tcPr>
          <w:p w14:paraId="40920B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Скорость макс. на гр. высотности</w:t>
            </w:r>
          </w:p>
        </w:tc>
        <w:tc>
          <w:tcPr>
            <w:tcW w:w="992" w:type="dxa"/>
          </w:tcPr>
          <w:p w14:paraId="3DC67A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418/5300</w:t>
            </w:r>
          </w:p>
        </w:tc>
        <w:tc>
          <w:tcPr>
            <w:tcW w:w="851" w:type="dxa"/>
          </w:tcPr>
          <w:p w14:paraId="0264E1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418/4200</w:t>
            </w:r>
          </w:p>
        </w:tc>
        <w:tc>
          <w:tcPr>
            <w:tcW w:w="850" w:type="dxa"/>
          </w:tcPr>
          <w:p w14:paraId="73281A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414/4000</w:t>
            </w:r>
          </w:p>
        </w:tc>
        <w:tc>
          <w:tcPr>
            <w:tcW w:w="851" w:type="dxa"/>
          </w:tcPr>
          <w:p w14:paraId="648181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441/4100</w:t>
            </w:r>
          </w:p>
        </w:tc>
        <w:tc>
          <w:tcPr>
            <w:tcW w:w="850" w:type="dxa"/>
          </w:tcPr>
          <w:p w14:paraId="57484E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480/4700</w:t>
            </w:r>
          </w:p>
        </w:tc>
        <w:tc>
          <w:tcPr>
            <w:tcW w:w="851" w:type="dxa"/>
          </w:tcPr>
          <w:p w14:paraId="0BFF98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437/4000, 420/6000, 421/3100</w:t>
            </w:r>
          </w:p>
        </w:tc>
        <w:tc>
          <w:tcPr>
            <w:tcW w:w="850" w:type="dxa"/>
          </w:tcPr>
          <w:p w14:paraId="679D27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2F03B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52E0B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2793B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EE59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5F515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44B83EB" w14:textId="77777777" w:rsidTr="000D3BCB">
        <w:tc>
          <w:tcPr>
            <w:tcW w:w="959" w:type="dxa"/>
          </w:tcPr>
          <w:p w14:paraId="532BEB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Время набора 5000 м</w:t>
            </w:r>
          </w:p>
        </w:tc>
        <w:tc>
          <w:tcPr>
            <w:tcW w:w="992" w:type="dxa"/>
          </w:tcPr>
          <w:p w14:paraId="56FA3F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7,55</w:t>
            </w:r>
          </w:p>
        </w:tc>
        <w:tc>
          <w:tcPr>
            <w:tcW w:w="851" w:type="dxa"/>
          </w:tcPr>
          <w:p w14:paraId="5963C3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tc>
        <w:tc>
          <w:tcPr>
            <w:tcW w:w="850" w:type="dxa"/>
          </w:tcPr>
          <w:p w14:paraId="635305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9,5</w:t>
            </w:r>
          </w:p>
        </w:tc>
        <w:tc>
          <w:tcPr>
            <w:tcW w:w="851" w:type="dxa"/>
          </w:tcPr>
          <w:p w14:paraId="02F54F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9,5</w:t>
            </w:r>
          </w:p>
        </w:tc>
        <w:tc>
          <w:tcPr>
            <w:tcW w:w="850" w:type="dxa"/>
          </w:tcPr>
          <w:p w14:paraId="17FCF5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11,5/7,25</w:t>
            </w:r>
          </w:p>
        </w:tc>
        <w:tc>
          <w:tcPr>
            <w:tcW w:w="851" w:type="dxa"/>
          </w:tcPr>
          <w:p w14:paraId="5E6264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11,5/8,25</w:t>
            </w:r>
          </w:p>
        </w:tc>
        <w:tc>
          <w:tcPr>
            <w:tcW w:w="850" w:type="dxa"/>
          </w:tcPr>
          <w:p w14:paraId="7FBC13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D4669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155C1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1E1B8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B7904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CA014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56A4A76" w14:textId="77777777" w:rsidTr="000D3BCB">
        <w:tc>
          <w:tcPr>
            <w:tcW w:w="959" w:type="dxa"/>
          </w:tcPr>
          <w:p w14:paraId="1010C1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Потолок</w:t>
            </w:r>
          </w:p>
        </w:tc>
        <w:tc>
          <w:tcPr>
            <w:tcW w:w="992" w:type="dxa"/>
          </w:tcPr>
          <w:p w14:paraId="6DCC46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9660</w:t>
            </w:r>
          </w:p>
        </w:tc>
        <w:tc>
          <w:tcPr>
            <w:tcW w:w="851" w:type="dxa"/>
          </w:tcPr>
          <w:p w14:paraId="50B6B0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9800</w:t>
            </w:r>
          </w:p>
        </w:tc>
        <w:tc>
          <w:tcPr>
            <w:tcW w:w="850" w:type="dxa"/>
          </w:tcPr>
          <w:p w14:paraId="0BAB22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9600</w:t>
            </w:r>
          </w:p>
        </w:tc>
        <w:tc>
          <w:tcPr>
            <w:tcW w:w="851" w:type="dxa"/>
          </w:tcPr>
          <w:p w14:paraId="3F44BB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9600</w:t>
            </w:r>
          </w:p>
        </w:tc>
        <w:tc>
          <w:tcPr>
            <w:tcW w:w="850" w:type="dxa"/>
          </w:tcPr>
          <w:p w14:paraId="4ACFC7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10100</w:t>
            </w:r>
          </w:p>
        </w:tc>
        <w:tc>
          <w:tcPr>
            <w:tcW w:w="851" w:type="dxa"/>
          </w:tcPr>
          <w:p w14:paraId="20156C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9500</w:t>
            </w:r>
          </w:p>
        </w:tc>
        <w:tc>
          <w:tcPr>
            <w:tcW w:w="850" w:type="dxa"/>
          </w:tcPr>
          <w:p w14:paraId="70E155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10800</w:t>
            </w:r>
          </w:p>
        </w:tc>
        <w:tc>
          <w:tcPr>
            <w:tcW w:w="709" w:type="dxa"/>
          </w:tcPr>
          <w:p w14:paraId="0F8E56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10200</w:t>
            </w:r>
          </w:p>
        </w:tc>
        <w:tc>
          <w:tcPr>
            <w:tcW w:w="850" w:type="dxa"/>
          </w:tcPr>
          <w:p w14:paraId="62861B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10400</w:t>
            </w:r>
          </w:p>
        </w:tc>
        <w:tc>
          <w:tcPr>
            <w:tcW w:w="709" w:type="dxa"/>
          </w:tcPr>
          <w:p w14:paraId="4DCBDF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8240</w:t>
            </w:r>
          </w:p>
        </w:tc>
        <w:tc>
          <w:tcPr>
            <w:tcW w:w="851" w:type="dxa"/>
          </w:tcPr>
          <w:p w14:paraId="213A32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9200</w:t>
            </w:r>
          </w:p>
        </w:tc>
        <w:tc>
          <w:tcPr>
            <w:tcW w:w="992" w:type="dxa"/>
          </w:tcPr>
          <w:p w14:paraId="50BE73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9300</w:t>
            </w:r>
          </w:p>
        </w:tc>
      </w:tr>
      <w:tr w:rsidR="00643896" w:rsidRPr="00640820" w14:paraId="735AC4F1" w14:textId="77777777" w:rsidTr="000D3BCB">
        <w:tc>
          <w:tcPr>
            <w:tcW w:w="959" w:type="dxa"/>
          </w:tcPr>
          <w:p w14:paraId="49B76A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Посадочная скорость</w:t>
            </w:r>
          </w:p>
        </w:tc>
        <w:tc>
          <w:tcPr>
            <w:tcW w:w="992" w:type="dxa"/>
          </w:tcPr>
          <w:p w14:paraId="1C8E13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51" w:type="dxa"/>
          </w:tcPr>
          <w:p w14:paraId="117D33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50" w:type="dxa"/>
          </w:tcPr>
          <w:p w14:paraId="0B33A9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110-115</w:t>
            </w:r>
          </w:p>
        </w:tc>
        <w:tc>
          <w:tcPr>
            <w:tcW w:w="851" w:type="dxa"/>
          </w:tcPr>
          <w:p w14:paraId="5803C5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50" w:type="dxa"/>
          </w:tcPr>
          <w:p w14:paraId="23BF73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51" w:type="dxa"/>
          </w:tcPr>
          <w:p w14:paraId="02B6C4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w:t>
            </w:r>
          </w:p>
        </w:tc>
        <w:tc>
          <w:tcPr>
            <w:tcW w:w="850" w:type="dxa"/>
          </w:tcPr>
          <w:p w14:paraId="3898D0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w:t>
            </w:r>
          </w:p>
        </w:tc>
        <w:tc>
          <w:tcPr>
            <w:tcW w:w="709" w:type="dxa"/>
          </w:tcPr>
          <w:p w14:paraId="597149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105</w:t>
            </w:r>
          </w:p>
        </w:tc>
        <w:tc>
          <w:tcPr>
            <w:tcW w:w="850" w:type="dxa"/>
          </w:tcPr>
          <w:p w14:paraId="6A2363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09" w:type="dxa"/>
          </w:tcPr>
          <w:p w14:paraId="6AAC61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51" w:type="dxa"/>
          </w:tcPr>
          <w:p w14:paraId="72210E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111</w:t>
            </w:r>
          </w:p>
        </w:tc>
        <w:tc>
          <w:tcPr>
            <w:tcW w:w="992" w:type="dxa"/>
          </w:tcPr>
          <w:p w14:paraId="794551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115</w:t>
            </w:r>
          </w:p>
        </w:tc>
      </w:tr>
      <w:tr w:rsidR="00643896" w:rsidRPr="00640820" w14:paraId="44671D79" w14:textId="77777777" w:rsidTr="000D3BCB">
        <w:tc>
          <w:tcPr>
            <w:tcW w:w="959" w:type="dxa"/>
          </w:tcPr>
          <w:p w14:paraId="7C4237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Разбег</w:t>
            </w:r>
          </w:p>
        </w:tc>
        <w:tc>
          <w:tcPr>
            <w:tcW w:w="992" w:type="dxa"/>
          </w:tcPr>
          <w:p w14:paraId="136497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280-300</w:t>
            </w:r>
          </w:p>
        </w:tc>
        <w:tc>
          <w:tcPr>
            <w:tcW w:w="851" w:type="dxa"/>
          </w:tcPr>
          <w:p w14:paraId="1518FC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50" w:type="dxa"/>
          </w:tcPr>
          <w:p w14:paraId="7A8F7F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310/15 с</w:t>
            </w:r>
          </w:p>
        </w:tc>
        <w:tc>
          <w:tcPr>
            <w:tcW w:w="851" w:type="dxa"/>
          </w:tcPr>
          <w:p w14:paraId="6E2D58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50" w:type="dxa"/>
          </w:tcPr>
          <w:p w14:paraId="5CB01A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51" w:type="dxa"/>
          </w:tcPr>
          <w:p w14:paraId="6AFD18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255-304 без форсажа</w:t>
            </w:r>
          </w:p>
        </w:tc>
        <w:tc>
          <w:tcPr>
            <w:tcW w:w="850" w:type="dxa"/>
          </w:tcPr>
          <w:p w14:paraId="0AB006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510/25,6 с</w:t>
            </w:r>
          </w:p>
        </w:tc>
        <w:tc>
          <w:tcPr>
            <w:tcW w:w="709" w:type="dxa"/>
          </w:tcPr>
          <w:p w14:paraId="1DFC98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280/16,6 с</w:t>
            </w:r>
          </w:p>
        </w:tc>
        <w:tc>
          <w:tcPr>
            <w:tcW w:w="850" w:type="dxa"/>
          </w:tcPr>
          <w:p w14:paraId="7E62F5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09" w:type="dxa"/>
          </w:tcPr>
          <w:p w14:paraId="356F5A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51" w:type="dxa"/>
          </w:tcPr>
          <w:p w14:paraId="0BE448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92" w:type="dxa"/>
          </w:tcPr>
          <w:p w14:paraId="4FBDEE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470-490/18 с</w:t>
            </w:r>
          </w:p>
        </w:tc>
      </w:tr>
      <w:tr w:rsidR="00643896" w:rsidRPr="00640820" w14:paraId="5613D61C" w14:textId="77777777" w:rsidTr="000D3BCB">
        <w:tc>
          <w:tcPr>
            <w:tcW w:w="959" w:type="dxa"/>
          </w:tcPr>
          <w:p w14:paraId="42E27E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Пробег</w:t>
            </w:r>
          </w:p>
        </w:tc>
        <w:tc>
          <w:tcPr>
            <w:tcW w:w="992" w:type="dxa"/>
          </w:tcPr>
          <w:p w14:paraId="062482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350</w:t>
            </w:r>
          </w:p>
        </w:tc>
        <w:tc>
          <w:tcPr>
            <w:tcW w:w="851" w:type="dxa"/>
          </w:tcPr>
          <w:p w14:paraId="41A5EB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50" w:type="dxa"/>
          </w:tcPr>
          <w:p w14:paraId="1557D3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400/28,5 с</w:t>
            </w:r>
          </w:p>
        </w:tc>
        <w:tc>
          <w:tcPr>
            <w:tcW w:w="851" w:type="dxa"/>
          </w:tcPr>
          <w:p w14:paraId="654CA8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50" w:type="dxa"/>
          </w:tcPr>
          <w:p w14:paraId="48E38A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51" w:type="dxa"/>
          </w:tcPr>
          <w:p w14:paraId="5C42F3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325-330</w:t>
            </w:r>
          </w:p>
        </w:tc>
        <w:tc>
          <w:tcPr>
            <w:tcW w:w="850" w:type="dxa"/>
          </w:tcPr>
          <w:p w14:paraId="0F8A4F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620/49,3 с</w:t>
            </w:r>
          </w:p>
        </w:tc>
        <w:tc>
          <w:tcPr>
            <w:tcW w:w="709" w:type="dxa"/>
          </w:tcPr>
          <w:p w14:paraId="4813B3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50" w:type="dxa"/>
          </w:tcPr>
          <w:p w14:paraId="36CA99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550/28,4 с</w:t>
            </w:r>
          </w:p>
        </w:tc>
        <w:tc>
          <w:tcPr>
            <w:tcW w:w="709" w:type="dxa"/>
          </w:tcPr>
          <w:p w14:paraId="157A3D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51" w:type="dxa"/>
          </w:tcPr>
          <w:p w14:paraId="0D836E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92" w:type="dxa"/>
          </w:tcPr>
          <w:p w14:paraId="06250A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570/29 с</w:t>
            </w:r>
          </w:p>
        </w:tc>
      </w:tr>
      <w:tr w:rsidR="00643896" w:rsidRPr="00640820" w14:paraId="5FCEE3F4" w14:textId="77777777" w:rsidTr="000D3BCB">
        <w:tc>
          <w:tcPr>
            <w:tcW w:w="959" w:type="dxa"/>
          </w:tcPr>
          <w:p w14:paraId="5209E4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Мощность двигателей</w:t>
            </w:r>
          </w:p>
        </w:tc>
        <w:tc>
          <w:tcPr>
            <w:tcW w:w="992" w:type="dxa"/>
          </w:tcPr>
          <w:p w14:paraId="6082D9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2х750/4800</w:t>
            </w:r>
          </w:p>
        </w:tc>
        <w:tc>
          <w:tcPr>
            <w:tcW w:w="851" w:type="dxa"/>
          </w:tcPr>
          <w:p w14:paraId="16E3BC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2х860/3300</w:t>
            </w:r>
          </w:p>
        </w:tc>
        <w:tc>
          <w:tcPr>
            <w:tcW w:w="850" w:type="dxa"/>
          </w:tcPr>
          <w:p w14:paraId="39B2DC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2х960/400</w:t>
            </w:r>
          </w:p>
        </w:tc>
        <w:tc>
          <w:tcPr>
            <w:tcW w:w="851" w:type="dxa"/>
          </w:tcPr>
          <w:p w14:paraId="1DBF0B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2х960/400</w:t>
            </w:r>
          </w:p>
        </w:tc>
        <w:tc>
          <w:tcPr>
            <w:tcW w:w="850" w:type="dxa"/>
          </w:tcPr>
          <w:p w14:paraId="453964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2х1100/400</w:t>
            </w:r>
          </w:p>
        </w:tc>
        <w:tc>
          <w:tcPr>
            <w:tcW w:w="851" w:type="dxa"/>
          </w:tcPr>
          <w:p w14:paraId="45C328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2х1100/400</w:t>
            </w:r>
          </w:p>
        </w:tc>
        <w:tc>
          <w:tcPr>
            <w:tcW w:w="850" w:type="dxa"/>
          </w:tcPr>
          <w:p w14:paraId="6AF36A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09" w:type="dxa"/>
          </w:tcPr>
          <w:p w14:paraId="17559F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4х980</w:t>
            </w:r>
          </w:p>
        </w:tc>
        <w:tc>
          <w:tcPr>
            <w:tcW w:w="850" w:type="dxa"/>
          </w:tcPr>
          <w:p w14:paraId="4ADE82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4х980</w:t>
            </w:r>
          </w:p>
        </w:tc>
        <w:tc>
          <w:tcPr>
            <w:tcW w:w="709" w:type="dxa"/>
          </w:tcPr>
          <w:p w14:paraId="553056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4х980</w:t>
            </w:r>
          </w:p>
        </w:tc>
        <w:tc>
          <w:tcPr>
            <w:tcW w:w="851" w:type="dxa"/>
          </w:tcPr>
          <w:p w14:paraId="3A682A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4х1000/5500</w:t>
            </w:r>
          </w:p>
        </w:tc>
        <w:tc>
          <w:tcPr>
            <w:tcW w:w="992" w:type="dxa"/>
          </w:tcPr>
          <w:p w14:paraId="4933B5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4х1200/6000</w:t>
            </w:r>
          </w:p>
        </w:tc>
      </w:tr>
      <w:tr w:rsidR="00643896" w:rsidRPr="00640820" w14:paraId="0DCA3E88" w14:textId="77777777" w:rsidTr="000D3BCB">
        <w:tc>
          <w:tcPr>
            <w:tcW w:w="959" w:type="dxa"/>
          </w:tcPr>
          <w:p w14:paraId="1F0BE3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Винт</w:t>
            </w:r>
          </w:p>
        </w:tc>
        <w:tc>
          <w:tcPr>
            <w:tcW w:w="992" w:type="dxa"/>
          </w:tcPr>
          <w:p w14:paraId="262399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М-100</w:t>
            </w:r>
          </w:p>
        </w:tc>
        <w:tc>
          <w:tcPr>
            <w:tcW w:w="851" w:type="dxa"/>
          </w:tcPr>
          <w:p w14:paraId="3ED290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ВИШ-2</w:t>
            </w:r>
          </w:p>
        </w:tc>
        <w:tc>
          <w:tcPr>
            <w:tcW w:w="850" w:type="dxa"/>
          </w:tcPr>
          <w:p w14:paraId="2EFE30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ВИШ-2</w:t>
            </w:r>
          </w:p>
        </w:tc>
        <w:tc>
          <w:tcPr>
            <w:tcW w:w="851" w:type="dxa"/>
          </w:tcPr>
          <w:p w14:paraId="689698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ВИШ-2</w:t>
            </w:r>
          </w:p>
        </w:tc>
        <w:tc>
          <w:tcPr>
            <w:tcW w:w="850" w:type="dxa"/>
          </w:tcPr>
          <w:p w14:paraId="745516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ВИШ-22Е</w:t>
            </w:r>
          </w:p>
        </w:tc>
        <w:tc>
          <w:tcPr>
            <w:tcW w:w="851" w:type="dxa"/>
          </w:tcPr>
          <w:p w14:paraId="7F4741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ВИШ-22У</w:t>
            </w:r>
          </w:p>
        </w:tc>
        <w:tc>
          <w:tcPr>
            <w:tcW w:w="850" w:type="dxa"/>
          </w:tcPr>
          <w:p w14:paraId="6BA5DE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ВПШ-35/3,9</w:t>
            </w:r>
          </w:p>
        </w:tc>
        <w:tc>
          <w:tcPr>
            <w:tcW w:w="709" w:type="dxa"/>
          </w:tcPr>
          <w:p w14:paraId="555297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ВПШ-35/3,9</w:t>
            </w:r>
          </w:p>
        </w:tc>
        <w:tc>
          <w:tcPr>
            <w:tcW w:w="850" w:type="dxa"/>
          </w:tcPr>
          <w:p w14:paraId="5C86E6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ВПШ-35/3,9</w:t>
            </w:r>
          </w:p>
        </w:tc>
        <w:tc>
          <w:tcPr>
            <w:tcW w:w="709" w:type="dxa"/>
          </w:tcPr>
          <w:p w14:paraId="3E4634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ВИШ-24/4,1</w:t>
            </w:r>
          </w:p>
        </w:tc>
        <w:tc>
          <w:tcPr>
            <w:tcW w:w="851" w:type="dxa"/>
          </w:tcPr>
          <w:p w14:paraId="264DE8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ВИШ-24/4,1</w:t>
            </w:r>
          </w:p>
        </w:tc>
        <w:tc>
          <w:tcPr>
            <w:tcW w:w="992" w:type="dxa"/>
          </w:tcPr>
          <w:p w14:paraId="15E859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ВИШ-24/4,1</w:t>
            </w:r>
          </w:p>
        </w:tc>
      </w:tr>
      <w:tr w:rsidR="00643896" w:rsidRPr="00640820" w14:paraId="2F5A7847" w14:textId="77777777" w:rsidTr="000D3BCB">
        <w:tc>
          <w:tcPr>
            <w:tcW w:w="959" w:type="dxa"/>
          </w:tcPr>
          <w:p w14:paraId="22CDA3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Дата приема на госиспытания</w:t>
            </w:r>
          </w:p>
        </w:tc>
        <w:tc>
          <w:tcPr>
            <w:tcW w:w="992" w:type="dxa"/>
          </w:tcPr>
          <w:p w14:paraId="45FAB3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сентября 1935</w:t>
            </w:r>
          </w:p>
        </w:tc>
        <w:tc>
          <w:tcPr>
            <w:tcW w:w="851" w:type="dxa"/>
          </w:tcPr>
          <w:p w14:paraId="3DC1EC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ноября 1937</w:t>
            </w:r>
          </w:p>
        </w:tc>
        <w:tc>
          <w:tcPr>
            <w:tcW w:w="850" w:type="dxa"/>
          </w:tcPr>
          <w:p w14:paraId="538E98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июля 1938</w:t>
            </w:r>
          </w:p>
        </w:tc>
        <w:tc>
          <w:tcPr>
            <w:tcW w:w="851" w:type="dxa"/>
          </w:tcPr>
          <w:p w14:paraId="207E11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августа 1939</w:t>
            </w:r>
          </w:p>
        </w:tc>
        <w:tc>
          <w:tcPr>
            <w:tcW w:w="850" w:type="dxa"/>
          </w:tcPr>
          <w:p w14:paraId="1F6552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мая 1940</w:t>
            </w:r>
          </w:p>
        </w:tc>
        <w:tc>
          <w:tcPr>
            <w:tcW w:w="851" w:type="dxa"/>
          </w:tcPr>
          <w:p w14:paraId="0D2819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6659A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августа 1937</w:t>
            </w:r>
          </w:p>
        </w:tc>
        <w:tc>
          <w:tcPr>
            <w:tcW w:w="709" w:type="dxa"/>
          </w:tcPr>
          <w:p w14:paraId="12E180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марта 1938</w:t>
            </w:r>
          </w:p>
        </w:tc>
        <w:tc>
          <w:tcPr>
            <w:tcW w:w="850" w:type="dxa"/>
          </w:tcPr>
          <w:p w14:paraId="6FFCCD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июля 1938</w:t>
            </w:r>
          </w:p>
        </w:tc>
        <w:tc>
          <w:tcPr>
            <w:tcW w:w="709" w:type="dxa"/>
          </w:tcPr>
          <w:p w14:paraId="506FEF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ноября 1938</w:t>
            </w:r>
          </w:p>
        </w:tc>
        <w:tc>
          <w:tcPr>
            <w:tcW w:w="851" w:type="dxa"/>
          </w:tcPr>
          <w:p w14:paraId="7138DE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января 1941</w:t>
            </w:r>
          </w:p>
        </w:tc>
        <w:tc>
          <w:tcPr>
            <w:tcW w:w="992" w:type="dxa"/>
          </w:tcPr>
          <w:p w14:paraId="2DB261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67C9EF3" w14:textId="77777777" w:rsidTr="000D3BCB">
        <w:tc>
          <w:tcPr>
            <w:tcW w:w="959" w:type="dxa"/>
            <w:tcBorders>
              <w:bottom w:val="single" w:sz="12" w:space="0" w:color="auto"/>
            </w:tcBorders>
          </w:tcPr>
          <w:p w14:paraId="3CC4FF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Дата окончания госиспытаний</w:t>
            </w:r>
          </w:p>
        </w:tc>
        <w:tc>
          <w:tcPr>
            <w:tcW w:w="992" w:type="dxa"/>
            <w:tcBorders>
              <w:bottom w:val="single" w:sz="12" w:space="0" w:color="auto"/>
            </w:tcBorders>
          </w:tcPr>
          <w:p w14:paraId="6C85FF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февраля 1936</w:t>
            </w:r>
          </w:p>
        </w:tc>
        <w:tc>
          <w:tcPr>
            <w:tcW w:w="851" w:type="dxa"/>
            <w:tcBorders>
              <w:bottom w:val="single" w:sz="12" w:space="0" w:color="auto"/>
            </w:tcBorders>
          </w:tcPr>
          <w:p w14:paraId="6BB849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февраля 1938</w:t>
            </w:r>
          </w:p>
        </w:tc>
        <w:tc>
          <w:tcPr>
            <w:tcW w:w="850" w:type="dxa"/>
            <w:tcBorders>
              <w:bottom w:val="single" w:sz="12" w:space="0" w:color="auto"/>
            </w:tcBorders>
          </w:tcPr>
          <w:p w14:paraId="17EA2B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сентября 1938</w:t>
            </w:r>
          </w:p>
        </w:tc>
        <w:tc>
          <w:tcPr>
            <w:tcW w:w="851" w:type="dxa"/>
            <w:tcBorders>
              <w:bottom w:val="single" w:sz="12" w:space="0" w:color="auto"/>
            </w:tcBorders>
          </w:tcPr>
          <w:p w14:paraId="0D9549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23 1939</w:t>
            </w:r>
          </w:p>
        </w:tc>
        <w:tc>
          <w:tcPr>
            <w:tcW w:w="850" w:type="dxa"/>
            <w:tcBorders>
              <w:bottom w:val="single" w:sz="12" w:space="0" w:color="auto"/>
            </w:tcBorders>
          </w:tcPr>
          <w:p w14:paraId="332F34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мая 1940</w:t>
            </w:r>
          </w:p>
        </w:tc>
        <w:tc>
          <w:tcPr>
            <w:tcW w:w="851" w:type="dxa"/>
            <w:tcBorders>
              <w:bottom w:val="single" w:sz="12" w:space="0" w:color="auto"/>
            </w:tcBorders>
          </w:tcPr>
          <w:p w14:paraId="350341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января 1941 утвержден отчет</w:t>
            </w:r>
          </w:p>
        </w:tc>
        <w:tc>
          <w:tcPr>
            <w:tcW w:w="850" w:type="dxa"/>
            <w:tcBorders>
              <w:bottom w:val="single" w:sz="12" w:space="0" w:color="auto"/>
            </w:tcBorders>
          </w:tcPr>
          <w:p w14:paraId="58E4A3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октября 1938</w:t>
            </w:r>
          </w:p>
        </w:tc>
        <w:tc>
          <w:tcPr>
            <w:tcW w:w="709" w:type="dxa"/>
            <w:tcBorders>
              <w:bottom w:val="single" w:sz="12" w:space="0" w:color="auto"/>
            </w:tcBorders>
          </w:tcPr>
          <w:p w14:paraId="566A4C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апреля 1938</w:t>
            </w:r>
          </w:p>
        </w:tc>
        <w:tc>
          <w:tcPr>
            <w:tcW w:w="850" w:type="dxa"/>
            <w:tcBorders>
              <w:bottom w:val="single" w:sz="12" w:space="0" w:color="auto"/>
            </w:tcBorders>
          </w:tcPr>
          <w:p w14:paraId="470E1E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декабря 1938</w:t>
            </w:r>
          </w:p>
        </w:tc>
        <w:tc>
          <w:tcPr>
            <w:tcW w:w="709" w:type="dxa"/>
            <w:tcBorders>
              <w:bottom w:val="single" w:sz="12" w:space="0" w:color="auto"/>
            </w:tcBorders>
          </w:tcPr>
          <w:p w14:paraId="03B46D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марта 1939</w:t>
            </w:r>
          </w:p>
        </w:tc>
        <w:tc>
          <w:tcPr>
            <w:tcW w:w="851" w:type="dxa"/>
            <w:tcBorders>
              <w:bottom w:val="single" w:sz="12" w:space="0" w:color="auto"/>
            </w:tcBorders>
          </w:tcPr>
          <w:p w14:paraId="3BDDEF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февраля 1941</w:t>
            </w:r>
          </w:p>
        </w:tc>
        <w:tc>
          <w:tcPr>
            <w:tcW w:w="992" w:type="dxa"/>
            <w:tcBorders>
              <w:bottom w:val="single" w:sz="12" w:space="0" w:color="auto"/>
            </w:tcBorders>
          </w:tcPr>
          <w:p w14:paraId="4C384A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июль 1941</w:t>
            </w:r>
          </w:p>
        </w:tc>
      </w:tr>
    </w:tbl>
    <w:p w14:paraId="15EA90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ББ-22, ББ-1, Су-2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1"/>
        <w:gridCol w:w="972"/>
        <w:gridCol w:w="992"/>
        <w:gridCol w:w="992"/>
        <w:gridCol w:w="993"/>
        <w:gridCol w:w="992"/>
        <w:gridCol w:w="850"/>
        <w:gridCol w:w="993"/>
        <w:gridCol w:w="992"/>
        <w:gridCol w:w="1134"/>
        <w:gridCol w:w="992"/>
      </w:tblGrid>
      <w:tr w:rsidR="00643896" w:rsidRPr="00640820" w14:paraId="04D44DD9" w14:textId="77777777" w:rsidTr="000D3BCB">
        <w:tc>
          <w:tcPr>
            <w:tcW w:w="1121" w:type="dxa"/>
            <w:tcBorders>
              <w:top w:val="single" w:sz="12" w:space="0" w:color="auto"/>
            </w:tcBorders>
          </w:tcPr>
          <w:p w14:paraId="62C17E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972" w:type="dxa"/>
            <w:tcBorders>
              <w:top w:val="single" w:sz="12" w:space="0" w:color="auto"/>
            </w:tcBorders>
          </w:tcPr>
          <w:p w14:paraId="341675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ББ-22 2М-103 опытный</w:t>
            </w:r>
          </w:p>
          <w:p w14:paraId="5CA219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1939</w:t>
            </w:r>
          </w:p>
        </w:tc>
        <w:tc>
          <w:tcPr>
            <w:tcW w:w="992" w:type="dxa"/>
            <w:tcBorders>
              <w:top w:val="single" w:sz="12" w:space="0" w:color="auto"/>
            </w:tcBorders>
          </w:tcPr>
          <w:p w14:paraId="51BEE8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ББ-22 2М-103 войсковая серия</w:t>
            </w:r>
          </w:p>
          <w:p w14:paraId="23E924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1940</w:t>
            </w:r>
          </w:p>
        </w:tc>
        <w:tc>
          <w:tcPr>
            <w:tcW w:w="992" w:type="dxa"/>
            <w:tcBorders>
              <w:top w:val="single" w:sz="12" w:space="0" w:color="auto"/>
            </w:tcBorders>
          </w:tcPr>
          <w:p w14:paraId="422650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ББ-22 2М-103 серия № 1041 з-д № 1</w:t>
            </w:r>
          </w:p>
          <w:p w14:paraId="52FD13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1940</w:t>
            </w:r>
          </w:p>
        </w:tc>
        <w:tc>
          <w:tcPr>
            <w:tcW w:w="993" w:type="dxa"/>
            <w:tcBorders>
              <w:top w:val="single" w:sz="12" w:space="0" w:color="auto"/>
            </w:tcBorders>
          </w:tcPr>
          <w:p w14:paraId="51EFA9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ББ-22 2М-103 серия № 70204 з-д № 81</w:t>
            </w:r>
          </w:p>
          <w:p w14:paraId="724B3C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1940-41</w:t>
            </w:r>
          </w:p>
        </w:tc>
        <w:tc>
          <w:tcPr>
            <w:tcW w:w="992" w:type="dxa"/>
            <w:tcBorders>
              <w:top w:val="single" w:sz="12" w:space="0" w:color="auto"/>
            </w:tcBorders>
          </w:tcPr>
          <w:p w14:paraId="4B6207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Як-4 2М-105 госиспытания № 70602, 603 завод № 81</w:t>
            </w:r>
          </w:p>
          <w:p w14:paraId="0AB5E6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1940-41</w:t>
            </w:r>
          </w:p>
        </w:tc>
        <w:tc>
          <w:tcPr>
            <w:tcW w:w="850" w:type="dxa"/>
            <w:tcBorders>
              <w:top w:val="single" w:sz="12" w:space="0" w:color="auto"/>
            </w:tcBorders>
          </w:tcPr>
          <w:p w14:paraId="7F598A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ББ-1 М-62 опытный</w:t>
            </w:r>
          </w:p>
          <w:p w14:paraId="2918D4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1938</w:t>
            </w:r>
          </w:p>
          <w:p w14:paraId="389634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марта - 26 марта</w:t>
            </w:r>
          </w:p>
        </w:tc>
        <w:tc>
          <w:tcPr>
            <w:tcW w:w="993" w:type="dxa"/>
            <w:tcBorders>
              <w:top w:val="single" w:sz="12" w:space="0" w:color="auto"/>
            </w:tcBorders>
          </w:tcPr>
          <w:p w14:paraId="7563C7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ББ-1 М-87А серийный</w:t>
            </w:r>
          </w:p>
          <w:p w14:paraId="0FDCD8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1939</w:t>
            </w:r>
          </w:p>
          <w:p w14:paraId="26720C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февраля - 6 апреля</w:t>
            </w:r>
          </w:p>
        </w:tc>
        <w:tc>
          <w:tcPr>
            <w:tcW w:w="992" w:type="dxa"/>
            <w:tcBorders>
              <w:top w:val="single" w:sz="12" w:space="0" w:color="auto"/>
            </w:tcBorders>
          </w:tcPr>
          <w:p w14:paraId="004E54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ББ-1 М-88 опытный</w:t>
            </w:r>
          </w:p>
          <w:p w14:paraId="5815B9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1939</w:t>
            </w:r>
          </w:p>
        </w:tc>
        <w:tc>
          <w:tcPr>
            <w:tcW w:w="1134" w:type="dxa"/>
            <w:tcBorders>
              <w:top w:val="single" w:sz="12" w:space="0" w:color="auto"/>
            </w:tcBorders>
          </w:tcPr>
          <w:p w14:paraId="5468A1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Су-2 М-88Б серийный</w:t>
            </w:r>
          </w:p>
          <w:p w14:paraId="4D05D7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1940-41</w:t>
            </w:r>
          </w:p>
        </w:tc>
        <w:tc>
          <w:tcPr>
            <w:tcW w:w="992" w:type="dxa"/>
            <w:tcBorders>
              <w:top w:val="single" w:sz="12" w:space="0" w:color="auto"/>
            </w:tcBorders>
          </w:tcPr>
          <w:p w14:paraId="74214C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Су-2 М-88Б модификация с ВИШ-23</w:t>
            </w:r>
          </w:p>
          <w:p w14:paraId="3C7C3A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1940-41</w:t>
            </w:r>
          </w:p>
        </w:tc>
      </w:tr>
      <w:tr w:rsidR="00643896" w:rsidRPr="00640820" w14:paraId="7AD81239" w14:textId="77777777" w:rsidTr="000D3BCB">
        <w:tc>
          <w:tcPr>
            <w:tcW w:w="1121" w:type="dxa"/>
          </w:tcPr>
          <w:p w14:paraId="5FBB3D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Стрелковое вооружение</w:t>
            </w:r>
          </w:p>
        </w:tc>
        <w:tc>
          <w:tcPr>
            <w:tcW w:w="972" w:type="dxa"/>
          </w:tcPr>
          <w:p w14:paraId="2D22C1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2хШКАС/1000</w:t>
            </w:r>
          </w:p>
        </w:tc>
        <w:tc>
          <w:tcPr>
            <w:tcW w:w="992" w:type="dxa"/>
          </w:tcPr>
          <w:p w14:paraId="295587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2хШКАС/1500</w:t>
            </w:r>
          </w:p>
        </w:tc>
        <w:tc>
          <w:tcPr>
            <w:tcW w:w="992" w:type="dxa"/>
          </w:tcPr>
          <w:p w14:paraId="514519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2хШКАС/1500</w:t>
            </w:r>
          </w:p>
        </w:tc>
        <w:tc>
          <w:tcPr>
            <w:tcW w:w="993" w:type="dxa"/>
          </w:tcPr>
          <w:p w14:paraId="63026E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2хШКАС/1500</w:t>
            </w:r>
          </w:p>
        </w:tc>
        <w:tc>
          <w:tcPr>
            <w:tcW w:w="992" w:type="dxa"/>
          </w:tcPr>
          <w:p w14:paraId="6F47A7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2хШКАС/1350</w:t>
            </w:r>
          </w:p>
        </w:tc>
        <w:tc>
          <w:tcPr>
            <w:tcW w:w="850" w:type="dxa"/>
          </w:tcPr>
          <w:p w14:paraId="2AEFE1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6хШКАС</w:t>
            </w:r>
          </w:p>
        </w:tc>
        <w:tc>
          <w:tcPr>
            <w:tcW w:w="993" w:type="dxa"/>
          </w:tcPr>
          <w:p w14:paraId="4F9FA6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6хШКАС</w:t>
            </w:r>
          </w:p>
        </w:tc>
        <w:tc>
          <w:tcPr>
            <w:tcW w:w="992" w:type="dxa"/>
          </w:tcPr>
          <w:p w14:paraId="3AD51D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5хШКАС</w:t>
            </w:r>
          </w:p>
        </w:tc>
        <w:tc>
          <w:tcPr>
            <w:tcW w:w="1134" w:type="dxa"/>
          </w:tcPr>
          <w:p w14:paraId="1CCA8A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2хШКАС в крыле</w:t>
            </w:r>
          </w:p>
          <w:p w14:paraId="2136B7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1хШКАС турель</w:t>
            </w:r>
          </w:p>
        </w:tc>
        <w:tc>
          <w:tcPr>
            <w:tcW w:w="992" w:type="dxa"/>
          </w:tcPr>
          <w:p w14:paraId="4B2EAE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2хШКАС в крыле</w:t>
            </w:r>
          </w:p>
          <w:p w14:paraId="58E240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1хШКАС турель</w:t>
            </w:r>
          </w:p>
        </w:tc>
      </w:tr>
      <w:tr w:rsidR="00643896" w:rsidRPr="00640820" w14:paraId="792FF915" w14:textId="77777777" w:rsidTr="000D3BCB">
        <w:tc>
          <w:tcPr>
            <w:tcW w:w="1121" w:type="dxa"/>
          </w:tcPr>
          <w:p w14:paraId="4E400B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Бомбардировочное вооружение</w:t>
            </w:r>
          </w:p>
        </w:tc>
        <w:tc>
          <w:tcPr>
            <w:tcW w:w="972" w:type="dxa"/>
          </w:tcPr>
          <w:p w14:paraId="0A0D70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120</w:t>
            </w:r>
          </w:p>
        </w:tc>
        <w:tc>
          <w:tcPr>
            <w:tcW w:w="992" w:type="dxa"/>
          </w:tcPr>
          <w:p w14:paraId="40971C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400</w:t>
            </w:r>
          </w:p>
        </w:tc>
        <w:tc>
          <w:tcPr>
            <w:tcW w:w="992" w:type="dxa"/>
          </w:tcPr>
          <w:p w14:paraId="002423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400</w:t>
            </w:r>
          </w:p>
        </w:tc>
        <w:tc>
          <w:tcPr>
            <w:tcW w:w="993" w:type="dxa"/>
          </w:tcPr>
          <w:p w14:paraId="0567A5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400</w:t>
            </w:r>
          </w:p>
        </w:tc>
        <w:tc>
          <w:tcPr>
            <w:tcW w:w="992" w:type="dxa"/>
          </w:tcPr>
          <w:p w14:paraId="744647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400/900</w:t>
            </w:r>
          </w:p>
        </w:tc>
        <w:tc>
          <w:tcPr>
            <w:tcW w:w="850" w:type="dxa"/>
          </w:tcPr>
          <w:p w14:paraId="47271E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400</w:t>
            </w:r>
          </w:p>
        </w:tc>
        <w:tc>
          <w:tcPr>
            <w:tcW w:w="993" w:type="dxa"/>
          </w:tcPr>
          <w:p w14:paraId="42C513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600</w:t>
            </w:r>
          </w:p>
        </w:tc>
        <w:tc>
          <w:tcPr>
            <w:tcW w:w="992" w:type="dxa"/>
          </w:tcPr>
          <w:p w14:paraId="1D8172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400/600</w:t>
            </w:r>
          </w:p>
        </w:tc>
        <w:tc>
          <w:tcPr>
            <w:tcW w:w="1134" w:type="dxa"/>
          </w:tcPr>
          <w:p w14:paraId="0A1DB4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400/600</w:t>
            </w:r>
          </w:p>
        </w:tc>
        <w:tc>
          <w:tcPr>
            <w:tcW w:w="992" w:type="dxa"/>
          </w:tcPr>
          <w:p w14:paraId="309257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400/600</w:t>
            </w:r>
          </w:p>
        </w:tc>
      </w:tr>
      <w:tr w:rsidR="00643896" w:rsidRPr="00640820" w14:paraId="15A9AF11" w14:textId="77777777" w:rsidTr="000D3BCB">
        <w:tc>
          <w:tcPr>
            <w:tcW w:w="1121" w:type="dxa"/>
          </w:tcPr>
          <w:p w14:paraId="4073A5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Вес пустого</w:t>
            </w:r>
          </w:p>
        </w:tc>
        <w:tc>
          <w:tcPr>
            <w:tcW w:w="972" w:type="dxa"/>
          </w:tcPr>
          <w:p w14:paraId="2FA87C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3796</w:t>
            </w:r>
          </w:p>
        </w:tc>
        <w:tc>
          <w:tcPr>
            <w:tcW w:w="992" w:type="dxa"/>
          </w:tcPr>
          <w:p w14:paraId="6DB559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4043</w:t>
            </w:r>
          </w:p>
        </w:tc>
        <w:tc>
          <w:tcPr>
            <w:tcW w:w="992" w:type="dxa"/>
          </w:tcPr>
          <w:p w14:paraId="612E17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4265</w:t>
            </w:r>
          </w:p>
        </w:tc>
        <w:tc>
          <w:tcPr>
            <w:tcW w:w="993" w:type="dxa"/>
          </w:tcPr>
          <w:p w14:paraId="403B66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4258</w:t>
            </w:r>
          </w:p>
        </w:tc>
        <w:tc>
          <w:tcPr>
            <w:tcW w:w="992" w:type="dxa"/>
          </w:tcPr>
          <w:p w14:paraId="41CB7D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4560</w:t>
            </w:r>
          </w:p>
        </w:tc>
        <w:tc>
          <w:tcPr>
            <w:tcW w:w="850" w:type="dxa"/>
          </w:tcPr>
          <w:p w14:paraId="369A77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2263</w:t>
            </w:r>
          </w:p>
        </w:tc>
        <w:tc>
          <w:tcPr>
            <w:tcW w:w="993" w:type="dxa"/>
          </w:tcPr>
          <w:p w14:paraId="5EE0DD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2816</w:t>
            </w:r>
          </w:p>
        </w:tc>
        <w:tc>
          <w:tcPr>
            <w:tcW w:w="992" w:type="dxa"/>
          </w:tcPr>
          <w:p w14:paraId="73AEDC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34" w:type="dxa"/>
          </w:tcPr>
          <w:p w14:paraId="164B7A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2970</w:t>
            </w:r>
          </w:p>
        </w:tc>
        <w:tc>
          <w:tcPr>
            <w:tcW w:w="992" w:type="dxa"/>
          </w:tcPr>
          <w:p w14:paraId="68A825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2954</w:t>
            </w:r>
          </w:p>
        </w:tc>
      </w:tr>
      <w:tr w:rsidR="00643896" w:rsidRPr="00640820" w14:paraId="3C15173D" w14:textId="77777777" w:rsidTr="000D3BCB">
        <w:tc>
          <w:tcPr>
            <w:tcW w:w="1121" w:type="dxa"/>
          </w:tcPr>
          <w:p w14:paraId="29ADD6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Нормальный полетный вес</w:t>
            </w:r>
          </w:p>
        </w:tc>
        <w:tc>
          <w:tcPr>
            <w:tcW w:w="972" w:type="dxa"/>
          </w:tcPr>
          <w:p w14:paraId="0CFB5C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5023</w:t>
            </w:r>
          </w:p>
        </w:tc>
        <w:tc>
          <w:tcPr>
            <w:tcW w:w="992" w:type="dxa"/>
          </w:tcPr>
          <w:p w14:paraId="221443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5386</w:t>
            </w:r>
          </w:p>
        </w:tc>
        <w:tc>
          <w:tcPr>
            <w:tcW w:w="992" w:type="dxa"/>
          </w:tcPr>
          <w:p w14:paraId="7E803A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5660 в т.ч. 600 горючее и 400 бомб</w:t>
            </w:r>
          </w:p>
        </w:tc>
        <w:tc>
          <w:tcPr>
            <w:tcW w:w="993" w:type="dxa"/>
          </w:tcPr>
          <w:p w14:paraId="18452D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5630</w:t>
            </w:r>
          </w:p>
        </w:tc>
        <w:tc>
          <w:tcPr>
            <w:tcW w:w="992" w:type="dxa"/>
          </w:tcPr>
          <w:p w14:paraId="30DCA3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6115 в т.ч. 400 бомб</w:t>
            </w:r>
          </w:p>
        </w:tc>
        <w:tc>
          <w:tcPr>
            <w:tcW w:w="850" w:type="dxa"/>
          </w:tcPr>
          <w:p w14:paraId="1B74B1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3937</w:t>
            </w:r>
          </w:p>
        </w:tc>
        <w:tc>
          <w:tcPr>
            <w:tcW w:w="993" w:type="dxa"/>
          </w:tcPr>
          <w:p w14:paraId="66CB7A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4030</w:t>
            </w:r>
          </w:p>
        </w:tc>
        <w:tc>
          <w:tcPr>
            <w:tcW w:w="992" w:type="dxa"/>
          </w:tcPr>
          <w:p w14:paraId="2725C2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4121</w:t>
            </w:r>
          </w:p>
        </w:tc>
        <w:tc>
          <w:tcPr>
            <w:tcW w:w="1134" w:type="dxa"/>
          </w:tcPr>
          <w:p w14:paraId="6E9DED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4345 в т.ч. горючее 530 и бомб 400</w:t>
            </w:r>
          </w:p>
        </w:tc>
        <w:tc>
          <w:tcPr>
            <w:tcW w:w="992" w:type="dxa"/>
          </w:tcPr>
          <w:p w14:paraId="3BAB77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4310 в т.ч. горючее 530 и бомб 400</w:t>
            </w:r>
          </w:p>
        </w:tc>
      </w:tr>
      <w:tr w:rsidR="00643896" w:rsidRPr="00640820" w14:paraId="2B3A98AF" w14:textId="77777777" w:rsidTr="000D3BCB">
        <w:tc>
          <w:tcPr>
            <w:tcW w:w="1121" w:type="dxa"/>
          </w:tcPr>
          <w:p w14:paraId="102944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Горючее</w:t>
            </w:r>
          </w:p>
        </w:tc>
        <w:tc>
          <w:tcPr>
            <w:tcW w:w="972" w:type="dxa"/>
          </w:tcPr>
          <w:p w14:paraId="1A3769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1000</w:t>
            </w:r>
          </w:p>
        </w:tc>
        <w:tc>
          <w:tcPr>
            <w:tcW w:w="992" w:type="dxa"/>
          </w:tcPr>
          <w:p w14:paraId="5AE981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600</w:t>
            </w:r>
          </w:p>
        </w:tc>
        <w:tc>
          <w:tcPr>
            <w:tcW w:w="992" w:type="dxa"/>
          </w:tcPr>
          <w:p w14:paraId="4B2271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93" w:type="dxa"/>
          </w:tcPr>
          <w:p w14:paraId="035F4B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92" w:type="dxa"/>
          </w:tcPr>
          <w:p w14:paraId="79F200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950</w:t>
            </w:r>
          </w:p>
        </w:tc>
        <w:tc>
          <w:tcPr>
            <w:tcW w:w="850" w:type="dxa"/>
          </w:tcPr>
          <w:p w14:paraId="540BCF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690</w:t>
            </w:r>
          </w:p>
        </w:tc>
        <w:tc>
          <w:tcPr>
            <w:tcW w:w="993" w:type="dxa"/>
          </w:tcPr>
          <w:p w14:paraId="641412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4/600</w:t>
            </w:r>
          </w:p>
        </w:tc>
        <w:tc>
          <w:tcPr>
            <w:tcW w:w="992" w:type="dxa"/>
          </w:tcPr>
          <w:p w14:paraId="7112AE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530</w:t>
            </w:r>
          </w:p>
        </w:tc>
        <w:tc>
          <w:tcPr>
            <w:tcW w:w="1134" w:type="dxa"/>
          </w:tcPr>
          <w:p w14:paraId="74C1BB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530</w:t>
            </w:r>
          </w:p>
        </w:tc>
        <w:tc>
          <w:tcPr>
            <w:tcW w:w="992" w:type="dxa"/>
          </w:tcPr>
          <w:p w14:paraId="4751E1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165B0AEF" w14:textId="77777777" w:rsidTr="000D3BCB">
        <w:tc>
          <w:tcPr>
            <w:tcW w:w="1121" w:type="dxa"/>
          </w:tcPr>
          <w:p w14:paraId="02003B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Нагрузка на крыло</w:t>
            </w:r>
          </w:p>
        </w:tc>
        <w:tc>
          <w:tcPr>
            <w:tcW w:w="972" w:type="dxa"/>
          </w:tcPr>
          <w:p w14:paraId="5E06ED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171</w:t>
            </w:r>
          </w:p>
        </w:tc>
        <w:tc>
          <w:tcPr>
            <w:tcW w:w="992" w:type="dxa"/>
          </w:tcPr>
          <w:p w14:paraId="4AE365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182</w:t>
            </w:r>
          </w:p>
        </w:tc>
        <w:tc>
          <w:tcPr>
            <w:tcW w:w="992" w:type="dxa"/>
          </w:tcPr>
          <w:p w14:paraId="10C2C1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93" w:type="dxa"/>
          </w:tcPr>
          <w:p w14:paraId="1A8DD9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92" w:type="dxa"/>
          </w:tcPr>
          <w:p w14:paraId="4ED080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208</w:t>
            </w:r>
          </w:p>
        </w:tc>
        <w:tc>
          <w:tcPr>
            <w:tcW w:w="850" w:type="dxa"/>
          </w:tcPr>
          <w:p w14:paraId="2FEF53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93" w:type="dxa"/>
          </w:tcPr>
          <w:p w14:paraId="0B7186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92" w:type="dxa"/>
          </w:tcPr>
          <w:p w14:paraId="1D3A0E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34" w:type="dxa"/>
          </w:tcPr>
          <w:p w14:paraId="574030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92" w:type="dxa"/>
          </w:tcPr>
          <w:p w14:paraId="548F3E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3A679DD3" w14:textId="77777777" w:rsidTr="000D3BCB">
        <w:tc>
          <w:tcPr>
            <w:tcW w:w="1121" w:type="dxa"/>
          </w:tcPr>
          <w:p w14:paraId="3DBF27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Скорость макс. у земли</w:t>
            </w:r>
          </w:p>
        </w:tc>
        <w:tc>
          <w:tcPr>
            <w:tcW w:w="972" w:type="dxa"/>
          </w:tcPr>
          <w:p w14:paraId="6966A7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455</w:t>
            </w:r>
          </w:p>
        </w:tc>
        <w:tc>
          <w:tcPr>
            <w:tcW w:w="992" w:type="dxa"/>
          </w:tcPr>
          <w:p w14:paraId="2223BE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439</w:t>
            </w:r>
          </w:p>
        </w:tc>
        <w:tc>
          <w:tcPr>
            <w:tcW w:w="992" w:type="dxa"/>
          </w:tcPr>
          <w:p w14:paraId="504267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399</w:t>
            </w:r>
          </w:p>
        </w:tc>
        <w:tc>
          <w:tcPr>
            <w:tcW w:w="993" w:type="dxa"/>
          </w:tcPr>
          <w:p w14:paraId="1E7C61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410</w:t>
            </w:r>
          </w:p>
        </w:tc>
        <w:tc>
          <w:tcPr>
            <w:tcW w:w="992" w:type="dxa"/>
          </w:tcPr>
          <w:p w14:paraId="24C630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458</w:t>
            </w:r>
          </w:p>
        </w:tc>
        <w:tc>
          <w:tcPr>
            <w:tcW w:w="850" w:type="dxa"/>
          </w:tcPr>
          <w:p w14:paraId="623C58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360</w:t>
            </w:r>
          </w:p>
        </w:tc>
        <w:tc>
          <w:tcPr>
            <w:tcW w:w="993" w:type="dxa"/>
          </w:tcPr>
          <w:p w14:paraId="402997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375</w:t>
            </w:r>
          </w:p>
        </w:tc>
        <w:tc>
          <w:tcPr>
            <w:tcW w:w="992" w:type="dxa"/>
          </w:tcPr>
          <w:p w14:paraId="1699C6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370</w:t>
            </w:r>
          </w:p>
        </w:tc>
        <w:tc>
          <w:tcPr>
            <w:tcW w:w="1134" w:type="dxa"/>
          </w:tcPr>
          <w:p w14:paraId="246CB9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378</w:t>
            </w:r>
          </w:p>
        </w:tc>
        <w:tc>
          <w:tcPr>
            <w:tcW w:w="992" w:type="dxa"/>
          </w:tcPr>
          <w:p w14:paraId="7A200B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410 и 408</w:t>
            </w:r>
          </w:p>
        </w:tc>
      </w:tr>
      <w:tr w:rsidR="00643896" w:rsidRPr="00640820" w14:paraId="741A8317" w14:textId="77777777" w:rsidTr="000D3BCB">
        <w:tc>
          <w:tcPr>
            <w:tcW w:w="1121" w:type="dxa"/>
          </w:tcPr>
          <w:p w14:paraId="341E88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Скорость макс. на гр. высотности</w:t>
            </w:r>
          </w:p>
        </w:tc>
        <w:tc>
          <w:tcPr>
            <w:tcW w:w="972" w:type="dxa"/>
          </w:tcPr>
          <w:p w14:paraId="126E84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567/4900</w:t>
            </w:r>
          </w:p>
        </w:tc>
        <w:tc>
          <w:tcPr>
            <w:tcW w:w="992" w:type="dxa"/>
          </w:tcPr>
          <w:p w14:paraId="34CBF4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515/5000</w:t>
            </w:r>
          </w:p>
        </w:tc>
        <w:tc>
          <w:tcPr>
            <w:tcW w:w="992" w:type="dxa"/>
          </w:tcPr>
          <w:p w14:paraId="0F6846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478/4600</w:t>
            </w:r>
          </w:p>
        </w:tc>
        <w:tc>
          <w:tcPr>
            <w:tcW w:w="993" w:type="dxa"/>
          </w:tcPr>
          <w:p w14:paraId="2E667B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498/4800</w:t>
            </w:r>
          </w:p>
        </w:tc>
        <w:tc>
          <w:tcPr>
            <w:tcW w:w="992" w:type="dxa"/>
          </w:tcPr>
          <w:p w14:paraId="2CAF75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518/3050 и 533/5050</w:t>
            </w:r>
          </w:p>
        </w:tc>
        <w:tc>
          <w:tcPr>
            <w:tcW w:w="850" w:type="dxa"/>
          </w:tcPr>
          <w:p w14:paraId="62421C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403/4200</w:t>
            </w:r>
          </w:p>
        </w:tc>
        <w:tc>
          <w:tcPr>
            <w:tcW w:w="993" w:type="dxa"/>
          </w:tcPr>
          <w:p w14:paraId="1D4787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468/5200</w:t>
            </w:r>
          </w:p>
        </w:tc>
        <w:tc>
          <w:tcPr>
            <w:tcW w:w="992" w:type="dxa"/>
          </w:tcPr>
          <w:p w14:paraId="5C20B1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466/4600 и 467/6600</w:t>
            </w:r>
          </w:p>
        </w:tc>
        <w:tc>
          <w:tcPr>
            <w:tcW w:w="1134" w:type="dxa"/>
          </w:tcPr>
          <w:p w14:paraId="6D3D0C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455/4400</w:t>
            </w:r>
          </w:p>
        </w:tc>
        <w:tc>
          <w:tcPr>
            <w:tcW w:w="992" w:type="dxa"/>
          </w:tcPr>
          <w:p w14:paraId="5A2262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497/4600 и 512/7100 и 493/400 и 504/7100</w:t>
            </w:r>
          </w:p>
        </w:tc>
      </w:tr>
      <w:tr w:rsidR="00643896" w:rsidRPr="00640820" w14:paraId="26B5A262" w14:textId="77777777" w:rsidTr="000D3BCB">
        <w:tc>
          <w:tcPr>
            <w:tcW w:w="1121" w:type="dxa"/>
          </w:tcPr>
          <w:p w14:paraId="38240F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Время набора 5000 м</w:t>
            </w:r>
          </w:p>
        </w:tc>
        <w:tc>
          <w:tcPr>
            <w:tcW w:w="972" w:type="dxa"/>
          </w:tcPr>
          <w:p w14:paraId="5A615B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5,75</w:t>
            </w:r>
          </w:p>
        </w:tc>
        <w:tc>
          <w:tcPr>
            <w:tcW w:w="992" w:type="dxa"/>
          </w:tcPr>
          <w:p w14:paraId="63F3D3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7,7</w:t>
            </w:r>
          </w:p>
        </w:tc>
        <w:tc>
          <w:tcPr>
            <w:tcW w:w="992" w:type="dxa"/>
          </w:tcPr>
          <w:p w14:paraId="1BF902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9,5</w:t>
            </w:r>
          </w:p>
        </w:tc>
        <w:tc>
          <w:tcPr>
            <w:tcW w:w="993" w:type="dxa"/>
          </w:tcPr>
          <w:p w14:paraId="3AD60F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8,0</w:t>
            </w:r>
          </w:p>
        </w:tc>
        <w:tc>
          <w:tcPr>
            <w:tcW w:w="992" w:type="dxa"/>
          </w:tcPr>
          <w:p w14:paraId="4118E6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6,5</w:t>
            </w:r>
          </w:p>
        </w:tc>
        <w:tc>
          <w:tcPr>
            <w:tcW w:w="850" w:type="dxa"/>
          </w:tcPr>
          <w:p w14:paraId="7351F2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93" w:type="dxa"/>
          </w:tcPr>
          <w:p w14:paraId="29D066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92" w:type="dxa"/>
          </w:tcPr>
          <w:p w14:paraId="3AF9F6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10,6</w:t>
            </w:r>
          </w:p>
        </w:tc>
        <w:tc>
          <w:tcPr>
            <w:tcW w:w="1134" w:type="dxa"/>
          </w:tcPr>
          <w:p w14:paraId="227916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12,6</w:t>
            </w:r>
          </w:p>
        </w:tc>
        <w:tc>
          <w:tcPr>
            <w:tcW w:w="992" w:type="dxa"/>
          </w:tcPr>
          <w:p w14:paraId="1A50BE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11,3 и 10,6</w:t>
            </w:r>
          </w:p>
        </w:tc>
      </w:tr>
      <w:tr w:rsidR="00643896" w:rsidRPr="00640820" w14:paraId="6A965A0D" w14:textId="77777777" w:rsidTr="000D3BCB">
        <w:tc>
          <w:tcPr>
            <w:tcW w:w="1121" w:type="dxa"/>
          </w:tcPr>
          <w:p w14:paraId="21235B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Потолок</w:t>
            </w:r>
          </w:p>
        </w:tc>
        <w:tc>
          <w:tcPr>
            <w:tcW w:w="972" w:type="dxa"/>
          </w:tcPr>
          <w:p w14:paraId="647A05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10800</w:t>
            </w:r>
          </w:p>
        </w:tc>
        <w:tc>
          <w:tcPr>
            <w:tcW w:w="992" w:type="dxa"/>
          </w:tcPr>
          <w:p w14:paraId="382F35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8900</w:t>
            </w:r>
          </w:p>
        </w:tc>
        <w:tc>
          <w:tcPr>
            <w:tcW w:w="992" w:type="dxa"/>
          </w:tcPr>
          <w:p w14:paraId="06183F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8100</w:t>
            </w:r>
          </w:p>
        </w:tc>
        <w:tc>
          <w:tcPr>
            <w:tcW w:w="993" w:type="dxa"/>
          </w:tcPr>
          <w:p w14:paraId="6B41C7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8700</w:t>
            </w:r>
          </w:p>
        </w:tc>
        <w:tc>
          <w:tcPr>
            <w:tcW w:w="992" w:type="dxa"/>
          </w:tcPr>
          <w:p w14:paraId="559C4C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9700</w:t>
            </w:r>
          </w:p>
        </w:tc>
        <w:tc>
          <w:tcPr>
            <w:tcW w:w="850" w:type="dxa"/>
          </w:tcPr>
          <w:p w14:paraId="6830FD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7440</w:t>
            </w:r>
          </w:p>
        </w:tc>
        <w:tc>
          <w:tcPr>
            <w:tcW w:w="993" w:type="dxa"/>
          </w:tcPr>
          <w:p w14:paraId="3A899A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8800</w:t>
            </w:r>
          </w:p>
        </w:tc>
        <w:tc>
          <w:tcPr>
            <w:tcW w:w="992" w:type="dxa"/>
          </w:tcPr>
          <w:p w14:paraId="4C057F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8900</w:t>
            </w:r>
          </w:p>
        </w:tc>
        <w:tc>
          <w:tcPr>
            <w:tcW w:w="1134" w:type="dxa"/>
          </w:tcPr>
          <w:p w14:paraId="0A0950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8900</w:t>
            </w:r>
          </w:p>
        </w:tc>
        <w:tc>
          <w:tcPr>
            <w:tcW w:w="992" w:type="dxa"/>
          </w:tcPr>
          <w:p w14:paraId="22607C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9120 и 9670</w:t>
            </w:r>
          </w:p>
        </w:tc>
      </w:tr>
      <w:tr w:rsidR="00643896" w:rsidRPr="00640820" w14:paraId="433F01D6" w14:textId="77777777" w:rsidTr="000D3BCB">
        <w:tc>
          <w:tcPr>
            <w:tcW w:w="1121" w:type="dxa"/>
          </w:tcPr>
          <w:p w14:paraId="25098D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Посадочная скорость</w:t>
            </w:r>
          </w:p>
        </w:tc>
        <w:tc>
          <w:tcPr>
            <w:tcW w:w="972" w:type="dxa"/>
          </w:tcPr>
          <w:p w14:paraId="7A76D2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165</w:t>
            </w:r>
          </w:p>
        </w:tc>
        <w:tc>
          <w:tcPr>
            <w:tcW w:w="992" w:type="dxa"/>
          </w:tcPr>
          <w:p w14:paraId="3B857A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155</w:t>
            </w:r>
          </w:p>
        </w:tc>
        <w:tc>
          <w:tcPr>
            <w:tcW w:w="992" w:type="dxa"/>
          </w:tcPr>
          <w:p w14:paraId="0AC1FB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135/5660 кг</w:t>
            </w:r>
          </w:p>
        </w:tc>
        <w:tc>
          <w:tcPr>
            <w:tcW w:w="993" w:type="dxa"/>
          </w:tcPr>
          <w:p w14:paraId="4EE6A7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130/5150 кг</w:t>
            </w:r>
          </w:p>
        </w:tc>
        <w:tc>
          <w:tcPr>
            <w:tcW w:w="992" w:type="dxa"/>
          </w:tcPr>
          <w:p w14:paraId="01BCFE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140,5</w:t>
            </w:r>
          </w:p>
        </w:tc>
        <w:tc>
          <w:tcPr>
            <w:tcW w:w="850" w:type="dxa"/>
          </w:tcPr>
          <w:p w14:paraId="4A6B52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90</w:t>
            </w:r>
          </w:p>
        </w:tc>
        <w:tc>
          <w:tcPr>
            <w:tcW w:w="993" w:type="dxa"/>
          </w:tcPr>
          <w:p w14:paraId="1247E1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115-120</w:t>
            </w:r>
          </w:p>
        </w:tc>
        <w:tc>
          <w:tcPr>
            <w:tcW w:w="992" w:type="dxa"/>
          </w:tcPr>
          <w:p w14:paraId="6AA95B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34" w:type="dxa"/>
          </w:tcPr>
          <w:p w14:paraId="7E2ECD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147</w:t>
            </w:r>
          </w:p>
        </w:tc>
        <w:tc>
          <w:tcPr>
            <w:tcW w:w="992" w:type="dxa"/>
          </w:tcPr>
          <w:p w14:paraId="649500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147</w:t>
            </w:r>
          </w:p>
        </w:tc>
      </w:tr>
      <w:tr w:rsidR="00643896" w:rsidRPr="00640820" w14:paraId="55C2A3B3" w14:textId="77777777" w:rsidTr="000D3BCB">
        <w:tc>
          <w:tcPr>
            <w:tcW w:w="1121" w:type="dxa"/>
          </w:tcPr>
          <w:p w14:paraId="633642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Пробег с торможением</w:t>
            </w:r>
          </w:p>
        </w:tc>
        <w:tc>
          <w:tcPr>
            <w:tcW w:w="972" w:type="dxa"/>
          </w:tcPr>
          <w:p w14:paraId="3396F8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92" w:type="dxa"/>
          </w:tcPr>
          <w:p w14:paraId="41D362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500/29 с</w:t>
            </w:r>
          </w:p>
        </w:tc>
        <w:tc>
          <w:tcPr>
            <w:tcW w:w="992" w:type="dxa"/>
          </w:tcPr>
          <w:p w14:paraId="65696D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370-380</w:t>
            </w:r>
          </w:p>
        </w:tc>
        <w:tc>
          <w:tcPr>
            <w:tcW w:w="993" w:type="dxa"/>
          </w:tcPr>
          <w:p w14:paraId="189200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298/15 с</w:t>
            </w:r>
          </w:p>
        </w:tc>
        <w:tc>
          <w:tcPr>
            <w:tcW w:w="992" w:type="dxa"/>
          </w:tcPr>
          <w:p w14:paraId="343C5B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496/21,7 с</w:t>
            </w:r>
          </w:p>
        </w:tc>
        <w:tc>
          <w:tcPr>
            <w:tcW w:w="850" w:type="dxa"/>
          </w:tcPr>
          <w:p w14:paraId="0A9E61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240</w:t>
            </w:r>
          </w:p>
        </w:tc>
        <w:tc>
          <w:tcPr>
            <w:tcW w:w="993" w:type="dxa"/>
          </w:tcPr>
          <w:p w14:paraId="7915B2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260-280</w:t>
            </w:r>
          </w:p>
        </w:tc>
        <w:tc>
          <w:tcPr>
            <w:tcW w:w="992" w:type="dxa"/>
          </w:tcPr>
          <w:p w14:paraId="5060D5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34" w:type="dxa"/>
          </w:tcPr>
          <w:p w14:paraId="2DE459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454</w:t>
            </w:r>
          </w:p>
        </w:tc>
        <w:tc>
          <w:tcPr>
            <w:tcW w:w="992" w:type="dxa"/>
          </w:tcPr>
          <w:p w14:paraId="2C3DB1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454</w:t>
            </w:r>
          </w:p>
        </w:tc>
      </w:tr>
      <w:tr w:rsidR="00643896" w:rsidRPr="00640820" w14:paraId="38671A57" w14:textId="77777777" w:rsidTr="000D3BCB">
        <w:tc>
          <w:tcPr>
            <w:tcW w:w="1121" w:type="dxa"/>
          </w:tcPr>
          <w:p w14:paraId="270EE5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Разбег</w:t>
            </w:r>
          </w:p>
        </w:tc>
        <w:tc>
          <w:tcPr>
            <w:tcW w:w="972" w:type="dxa"/>
          </w:tcPr>
          <w:p w14:paraId="01796B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375/17 с</w:t>
            </w:r>
          </w:p>
        </w:tc>
        <w:tc>
          <w:tcPr>
            <w:tcW w:w="992" w:type="dxa"/>
          </w:tcPr>
          <w:p w14:paraId="2A0F64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500/26с</w:t>
            </w:r>
          </w:p>
        </w:tc>
        <w:tc>
          <w:tcPr>
            <w:tcW w:w="992" w:type="dxa"/>
          </w:tcPr>
          <w:p w14:paraId="2B8872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515-520/22-23 с</w:t>
            </w:r>
          </w:p>
        </w:tc>
        <w:tc>
          <w:tcPr>
            <w:tcW w:w="993" w:type="dxa"/>
          </w:tcPr>
          <w:p w14:paraId="2C9901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390</w:t>
            </w:r>
          </w:p>
        </w:tc>
        <w:tc>
          <w:tcPr>
            <w:tcW w:w="992" w:type="dxa"/>
          </w:tcPr>
          <w:p w14:paraId="04E39F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492/16,9 с убр. Щитками</w:t>
            </w:r>
          </w:p>
          <w:p w14:paraId="2B5AE9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442 с вып. Щитками</w:t>
            </w:r>
          </w:p>
        </w:tc>
        <w:tc>
          <w:tcPr>
            <w:tcW w:w="850" w:type="dxa"/>
          </w:tcPr>
          <w:p w14:paraId="59C6F3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380</w:t>
            </w:r>
          </w:p>
        </w:tc>
        <w:tc>
          <w:tcPr>
            <w:tcW w:w="993" w:type="dxa"/>
          </w:tcPr>
          <w:p w14:paraId="4075C8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270-290</w:t>
            </w:r>
          </w:p>
        </w:tc>
        <w:tc>
          <w:tcPr>
            <w:tcW w:w="992" w:type="dxa"/>
          </w:tcPr>
          <w:p w14:paraId="01A31A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34" w:type="dxa"/>
          </w:tcPr>
          <w:p w14:paraId="69332B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388</w:t>
            </w:r>
          </w:p>
        </w:tc>
        <w:tc>
          <w:tcPr>
            <w:tcW w:w="992" w:type="dxa"/>
          </w:tcPr>
          <w:p w14:paraId="6B22FD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474</w:t>
            </w:r>
          </w:p>
        </w:tc>
      </w:tr>
      <w:tr w:rsidR="00643896" w:rsidRPr="00640820" w14:paraId="1AE2E8A4" w14:textId="77777777" w:rsidTr="000D3BCB">
        <w:tc>
          <w:tcPr>
            <w:tcW w:w="1121" w:type="dxa"/>
          </w:tcPr>
          <w:p w14:paraId="666A53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Дальность</w:t>
            </w:r>
          </w:p>
        </w:tc>
        <w:tc>
          <w:tcPr>
            <w:tcW w:w="972" w:type="dxa"/>
          </w:tcPr>
          <w:p w14:paraId="18234A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92" w:type="dxa"/>
          </w:tcPr>
          <w:p w14:paraId="1CF487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800</w:t>
            </w:r>
          </w:p>
        </w:tc>
        <w:tc>
          <w:tcPr>
            <w:tcW w:w="992" w:type="dxa"/>
          </w:tcPr>
          <w:p w14:paraId="6C01B2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1360</w:t>
            </w:r>
          </w:p>
        </w:tc>
        <w:tc>
          <w:tcPr>
            <w:tcW w:w="993" w:type="dxa"/>
          </w:tcPr>
          <w:p w14:paraId="18341B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1130, практ. 900</w:t>
            </w:r>
          </w:p>
        </w:tc>
        <w:tc>
          <w:tcPr>
            <w:tcW w:w="992" w:type="dxa"/>
          </w:tcPr>
          <w:p w14:paraId="220B8D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925, практ 740</w:t>
            </w:r>
          </w:p>
        </w:tc>
        <w:tc>
          <w:tcPr>
            <w:tcW w:w="850" w:type="dxa"/>
          </w:tcPr>
          <w:p w14:paraId="303FDD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1050</w:t>
            </w:r>
          </w:p>
        </w:tc>
        <w:tc>
          <w:tcPr>
            <w:tcW w:w="993" w:type="dxa"/>
          </w:tcPr>
          <w:p w14:paraId="1D1445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1160</w:t>
            </w:r>
          </w:p>
        </w:tc>
        <w:tc>
          <w:tcPr>
            <w:tcW w:w="992" w:type="dxa"/>
          </w:tcPr>
          <w:p w14:paraId="2DAF0D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810/5000 м</w:t>
            </w:r>
          </w:p>
        </w:tc>
        <w:tc>
          <w:tcPr>
            <w:tcW w:w="1134" w:type="dxa"/>
          </w:tcPr>
          <w:p w14:paraId="2FA09B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1090/на 360 км/час</w:t>
            </w:r>
          </w:p>
        </w:tc>
        <w:tc>
          <w:tcPr>
            <w:tcW w:w="992" w:type="dxa"/>
          </w:tcPr>
          <w:p w14:paraId="3F6EDB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1180</w:t>
            </w:r>
          </w:p>
        </w:tc>
      </w:tr>
      <w:tr w:rsidR="00643896" w:rsidRPr="00640820" w14:paraId="2BAA8ED4" w14:textId="77777777" w:rsidTr="000D3BCB">
        <w:tc>
          <w:tcPr>
            <w:tcW w:w="1121" w:type="dxa"/>
          </w:tcPr>
          <w:p w14:paraId="0E038B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Размер колес</w:t>
            </w:r>
          </w:p>
        </w:tc>
        <w:tc>
          <w:tcPr>
            <w:tcW w:w="972" w:type="dxa"/>
          </w:tcPr>
          <w:p w14:paraId="390144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700х300 и 300х150</w:t>
            </w:r>
          </w:p>
        </w:tc>
        <w:tc>
          <w:tcPr>
            <w:tcW w:w="992" w:type="dxa"/>
          </w:tcPr>
          <w:p w14:paraId="00A81C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700х300 и 300х150</w:t>
            </w:r>
          </w:p>
        </w:tc>
        <w:tc>
          <w:tcPr>
            <w:tcW w:w="992" w:type="dxa"/>
          </w:tcPr>
          <w:p w14:paraId="4C57FC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750х175</w:t>
            </w:r>
          </w:p>
        </w:tc>
        <w:tc>
          <w:tcPr>
            <w:tcW w:w="993" w:type="dxa"/>
          </w:tcPr>
          <w:p w14:paraId="667FD3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750х175</w:t>
            </w:r>
          </w:p>
        </w:tc>
        <w:tc>
          <w:tcPr>
            <w:tcW w:w="992" w:type="dxa"/>
          </w:tcPr>
          <w:p w14:paraId="50DA64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542E4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525611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AF3B3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23C79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51682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F695239" w14:textId="77777777" w:rsidTr="000D3BCB">
        <w:tc>
          <w:tcPr>
            <w:tcW w:w="1121" w:type="dxa"/>
            <w:tcBorders>
              <w:bottom w:val="single" w:sz="12" w:space="0" w:color="auto"/>
            </w:tcBorders>
          </w:tcPr>
          <w:p w14:paraId="493630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Винт</w:t>
            </w:r>
          </w:p>
        </w:tc>
        <w:tc>
          <w:tcPr>
            <w:tcW w:w="972" w:type="dxa"/>
            <w:tcBorders>
              <w:bottom w:val="single" w:sz="12" w:space="0" w:color="auto"/>
            </w:tcBorders>
          </w:tcPr>
          <w:p w14:paraId="3EF86E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bottom w:val="single" w:sz="12" w:space="0" w:color="auto"/>
            </w:tcBorders>
          </w:tcPr>
          <w:p w14:paraId="5BADFB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bottom w:val="single" w:sz="12" w:space="0" w:color="auto"/>
            </w:tcBorders>
          </w:tcPr>
          <w:p w14:paraId="3CA320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bottom w:val="single" w:sz="12" w:space="0" w:color="auto"/>
            </w:tcBorders>
          </w:tcPr>
          <w:p w14:paraId="592B4D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bottom w:val="single" w:sz="12" w:space="0" w:color="auto"/>
            </w:tcBorders>
          </w:tcPr>
          <w:p w14:paraId="6D3D57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ВИШ-22Е</w:t>
            </w:r>
          </w:p>
        </w:tc>
        <w:tc>
          <w:tcPr>
            <w:tcW w:w="850" w:type="dxa"/>
            <w:tcBorders>
              <w:bottom w:val="single" w:sz="12" w:space="0" w:color="auto"/>
            </w:tcBorders>
          </w:tcPr>
          <w:p w14:paraId="6561D9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2-х лопастный</w:t>
            </w:r>
          </w:p>
        </w:tc>
        <w:tc>
          <w:tcPr>
            <w:tcW w:w="993" w:type="dxa"/>
            <w:tcBorders>
              <w:bottom w:val="single" w:sz="12" w:space="0" w:color="auto"/>
            </w:tcBorders>
          </w:tcPr>
          <w:p w14:paraId="75D3F1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ВИШ-23 3-х лопастный</w:t>
            </w:r>
          </w:p>
        </w:tc>
        <w:tc>
          <w:tcPr>
            <w:tcW w:w="992" w:type="dxa"/>
            <w:tcBorders>
              <w:bottom w:val="single" w:sz="12" w:space="0" w:color="auto"/>
            </w:tcBorders>
          </w:tcPr>
          <w:p w14:paraId="5EEE2B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bottom w:val="single" w:sz="12" w:space="0" w:color="auto"/>
            </w:tcBorders>
          </w:tcPr>
          <w:p w14:paraId="71F511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bottom w:val="single" w:sz="12" w:space="0" w:color="auto"/>
            </w:tcBorders>
          </w:tcPr>
          <w:p w14:paraId="61A91A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bl>
    <w:p w14:paraId="76842C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(790)</w:t>
      </w:r>
    </w:p>
    <w:p w14:paraId="47A726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274760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сентября 1941 г. велась доводка мотора М-250 в Воронеже, далее в ОКБ-250 в Уфе, с октября 1943 г. в ОКБ-1 (ОКБ-36) в Рыбинске. В 1943 г. планировали подготовку серийного производства двигателя на заводе № 26 в Уфе. Работы по М-250 были прекращены решением Совета министров СССР от 25 июня 1946 г. Всего изготовили 10 М-250, Намеченная серия из 40 двигателей на за</w:t>
      </w:r>
      <w:r w:rsidRPr="00640820">
        <w:rPr>
          <w:rFonts w:ascii="Times New Roman" w:hAnsi="Times New Roman"/>
          <w:color w:val="000000" w:themeColor="text1"/>
          <w:sz w:val="16"/>
          <w:szCs w:val="16"/>
        </w:rPr>
        <w:softHyphen/>
        <w:t>воде № 36 выпущена не была. Часть собранных М-250 позднее исполь</w:t>
      </w:r>
      <w:r w:rsidRPr="00640820">
        <w:rPr>
          <w:rFonts w:ascii="Times New Roman" w:hAnsi="Times New Roman"/>
          <w:color w:val="000000" w:themeColor="text1"/>
          <w:sz w:val="16"/>
          <w:szCs w:val="16"/>
        </w:rPr>
        <w:softHyphen/>
        <w:t>зовали в программе создания усовершенствованного М-251ТК.</w:t>
      </w:r>
    </w:p>
    <w:p w14:paraId="78E14E5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Характеристики:</w:t>
      </w:r>
    </w:p>
    <w:p w14:paraId="7686A72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24-цилиндровый, звездообразный блочный (шесть блоков по четыре цилиндра), жидкостного охлаждения, редукторный, с одноступенча</w:t>
      </w:r>
      <w:r w:rsidRPr="00640820">
        <w:rPr>
          <w:rFonts w:ascii="Times New Roman" w:hAnsi="Times New Roman"/>
          <w:color w:val="000000" w:themeColor="text1"/>
          <w:sz w:val="16"/>
          <w:szCs w:val="16"/>
        </w:rPr>
        <w:softHyphen/>
        <w:t>тым трехскоростным ПЦН;</w:t>
      </w:r>
    </w:p>
    <w:p w14:paraId="26C8989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объем 51,0 л;</w:t>
      </w:r>
    </w:p>
    <w:p w14:paraId="789346C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диаметр цилиндра/ход поршня 140/138 мм;</w:t>
      </w:r>
    </w:p>
    <w:p w14:paraId="450E28C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степень сжатия 6,2;</w:t>
      </w:r>
    </w:p>
    <w:p w14:paraId="4B3F9CB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мощность 2200/2500 л.с.;</w:t>
      </w:r>
    </w:p>
    <w:p w14:paraId="626C997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вес 1280 кг.</w:t>
      </w:r>
    </w:p>
    <w:p w14:paraId="7B4904E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Установка М-250 планировалась на штурмовике Ил-2 и одном из истре</w:t>
      </w:r>
      <w:r w:rsidRPr="00640820">
        <w:rPr>
          <w:rFonts w:ascii="Times New Roman" w:hAnsi="Times New Roman"/>
          <w:color w:val="000000" w:themeColor="text1"/>
          <w:sz w:val="16"/>
          <w:szCs w:val="16"/>
        </w:rPr>
        <w:softHyphen/>
        <w:t>бителей А.С. Яковлева, а позднее на тяжелом истребителе и штурмовике И-218 (с толкающим винтом) (11852).</w:t>
      </w:r>
    </w:p>
    <w:p w14:paraId="3B4F2B5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3DFB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планер Би прошел летные испытания, которые показали удовлетворительные летные качества планера (1666,96). В ЛИИ Раменское л Б.Кудрин с середины сентября до эвакуации выполнил 15 безмоторных полетов, зафиксировав поведение машины в воздухе и на посадке (5159, 21).</w:t>
      </w:r>
    </w:p>
    <w:p w14:paraId="4FE909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A2C97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начались летные испытания Би-1, которые вел Б.Н.Кудрин (318,253).</w:t>
      </w:r>
    </w:p>
    <w:p w14:paraId="5BB0EA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D2E5B9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сентября м-ца 1941 г. на заводе № 293 начались стендовое испытание ЖРД. На заводе был построен стенд, отвечающий самолету "Перехватчик" по компоновке и оборудова</w:t>
      </w:r>
      <w:r w:rsidRPr="00640820">
        <w:rPr>
          <w:rFonts w:ascii="Times New Roman" w:hAnsi="Times New Roman"/>
          <w:color w:val="000000" w:themeColor="text1"/>
          <w:sz w:val="16"/>
          <w:szCs w:val="16"/>
        </w:rPr>
        <w:softHyphen/>
        <w:t>нию. Начальные работы свелись к отработ</w:t>
      </w:r>
      <w:r w:rsidRPr="00640820">
        <w:rPr>
          <w:rFonts w:ascii="Times New Roman" w:hAnsi="Times New Roman"/>
          <w:color w:val="000000" w:themeColor="text1"/>
          <w:sz w:val="16"/>
          <w:szCs w:val="16"/>
        </w:rPr>
        <w:softHyphen/>
        <w:t>ке надежности запуска, так как первые эксперименты характеризовались одним пуском из двадцати-тридцати попыток. Для этой целм заводом были спроектиро</w:t>
      </w:r>
      <w:r w:rsidRPr="00640820">
        <w:rPr>
          <w:rFonts w:ascii="Times New Roman" w:hAnsi="Times New Roman"/>
          <w:color w:val="000000" w:themeColor="text1"/>
          <w:sz w:val="16"/>
          <w:szCs w:val="16"/>
        </w:rPr>
        <w:softHyphen/>
        <w:t>ваны и изготовлены специальные пусковые краны, работающие только на пусковые форсунки_и дающие постоянство в соотношенни окислителя и топлива и тирована свеча накала. Так как рабочий кран НИИ-3 давал необходимое соот</w:t>
      </w:r>
      <w:r w:rsidRPr="00640820">
        <w:rPr>
          <w:rFonts w:ascii="Times New Roman" w:hAnsi="Times New Roman"/>
          <w:color w:val="000000" w:themeColor="text1"/>
          <w:sz w:val="16"/>
          <w:szCs w:val="16"/>
        </w:rPr>
        <w:softHyphen/>
        <w:t>ношение между компонентами только при полном его открытии и не обеспечи</w:t>
      </w:r>
      <w:r w:rsidRPr="00640820">
        <w:rPr>
          <w:rFonts w:ascii="Times New Roman" w:hAnsi="Times New Roman"/>
          <w:color w:val="000000" w:themeColor="text1"/>
          <w:sz w:val="16"/>
          <w:szCs w:val="16"/>
        </w:rPr>
        <w:softHyphen/>
        <w:t>вал это соотношение в рабочем диапазоне, заводом был изготовлен дроссельный кран с профилированными окнами,причем начальное открытие его обеспечивало малу тягу при необходимом соотношении компонентов и дальнейшую пропорциональ</w:t>
      </w:r>
      <w:r w:rsidRPr="00640820">
        <w:rPr>
          <w:rFonts w:ascii="Times New Roman" w:hAnsi="Times New Roman"/>
          <w:color w:val="000000" w:themeColor="text1"/>
          <w:sz w:val="16"/>
          <w:szCs w:val="16"/>
        </w:rPr>
        <w:softHyphen/>
        <w:t>ную подачу на всех режимах работы дви</w:t>
      </w:r>
      <w:r w:rsidRPr="00640820">
        <w:rPr>
          <w:rFonts w:ascii="Times New Roman" w:hAnsi="Times New Roman"/>
          <w:color w:val="000000" w:themeColor="text1"/>
          <w:sz w:val="16"/>
          <w:szCs w:val="16"/>
        </w:rPr>
        <w:softHyphen/>
        <w:t>гателя.</w:t>
      </w:r>
    </w:p>
    <w:p w14:paraId="667C00F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Наличие такого крана дало возмож</w:t>
      </w:r>
      <w:r w:rsidRPr="00640820">
        <w:rPr>
          <w:rFonts w:ascii="Times New Roman" w:hAnsi="Times New Roman"/>
          <w:color w:val="000000" w:themeColor="text1"/>
          <w:sz w:val="16"/>
          <w:szCs w:val="16"/>
        </w:rPr>
        <w:softHyphen/>
        <w:t>ность работать на любом режиме двига</w:t>
      </w:r>
      <w:r w:rsidRPr="00640820">
        <w:rPr>
          <w:rFonts w:ascii="Times New Roman" w:hAnsi="Times New Roman"/>
          <w:color w:val="000000" w:themeColor="text1"/>
          <w:sz w:val="16"/>
          <w:szCs w:val="16"/>
        </w:rPr>
        <w:softHyphen/>
        <w:t>теля, начиная с малой тяги (400 кг.) с плавными переходами, аналогичными обычному авиационному мотору.</w:t>
      </w:r>
    </w:p>
    <w:p w14:paraId="3E3D4F5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целях одновременного пуска и прекращения подачи окислителя и топлива в двигатель, перед рабочими форсунками был введен специальный отсечной кран, исключающий отдельно доступ в камеру двигателя кислоты или керосина и тем самым сводящий к минимуму догорание после выключения двигателя.</w:t>
      </w:r>
    </w:p>
    <w:p w14:paraId="511A312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Управление всеми тремя кранами, для отождествления его с управлением обычных авиационных моторов, сведено на один рычаг сектора. Это дало возмож</w:t>
      </w:r>
      <w:r w:rsidRPr="00640820">
        <w:rPr>
          <w:rFonts w:ascii="Times New Roman" w:hAnsi="Times New Roman"/>
          <w:color w:val="000000" w:themeColor="text1"/>
          <w:sz w:val="16"/>
          <w:szCs w:val="16"/>
        </w:rPr>
        <w:softHyphen/>
        <w:t>ность пилоту свободно манипулировать при даче-уборке "газа", как и на обычных самоле тах.</w:t>
      </w:r>
    </w:p>
    <w:p w14:paraId="74DD3A0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изготовлении указанных работ, завод до своей эвакуации, отработал на</w:t>
      </w:r>
      <w:r w:rsidRPr="00640820">
        <w:rPr>
          <w:rFonts w:ascii="Times New Roman" w:hAnsi="Times New Roman"/>
          <w:color w:val="000000" w:themeColor="text1"/>
          <w:sz w:val="16"/>
          <w:szCs w:val="16"/>
        </w:rPr>
        <w:softHyphen/>
        <w:t>дежность пуска двигателя.</w:t>
      </w:r>
    </w:p>
    <w:p w14:paraId="6607FE9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Урале, до первого полета само</w:t>
      </w:r>
      <w:r w:rsidRPr="00640820">
        <w:rPr>
          <w:rFonts w:ascii="Times New Roman" w:hAnsi="Times New Roman"/>
          <w:color w:val="000000" w:themeColor="text1"/>
          <w:sz w:val="16"/>
          <w:szCs w:val="16"/>
        </w:rPr>
        <w:softHyphen/>
        <w:t>лета (май 1942г.) заводом был отработан переход.с пускового режима на малую тягу (400 кг.) и работа двигателя до тяги. 600 кг., на которой и был совершен пер</w:t>
      </w:r>
      <w:r w:rsidRPr="00640820">
        <w:rPr>
          <w:rFonts w:ascii="Times New Roman" w:hAnsi="Times New Roman"/>
          <w:color w:val="000000" w:themeColor="text1"/>
          <w:sz w:val="16"/>
          <w:szCs w:val="16"/>
        </w:rPr>
        <w:softHyphen/>
        <w:t>вый вылет. Вторым этапом работы над всей двигательной установкой были испы</w:t>
      </w:r>
      <w:r w:rsidRPr="00640820">
        <w:rPr>
          <w:rFonts w:ascii="Times New Roman" w:hAnsi="Times New Roman"/>
          <w:color w:val="000000" w:themeColor="text1"/>
          <w:sz w:val="16"/>
          <w:szCs w:val="16"/>
        </w:rPr>
        <w:softHyphen/>
        <w:t>тания двигателя на продолжительность и доведение его тяги до 1100 кг. В резуль</w:t>
      </w:r>
      <w:r w:rsidRPr="00640820">
        <w:rPr>
          <w:rFonts w:ascii="Times New Roman" w:hAnsi="Times New Roman"/>
          <w:color w:val="000000" w:themeColor="text1"/>
          <w:sz w:val="16"/>
          <w:szCs w:val="16"/>
        </w:rPr>
        <w:softHyphen/>
        <w:t>тате этих испытаний, окончившихся ц октябре 1942 г., были получены регла</w:t>
      </w:r>
      <w:r w:rsidRPr="00640820">
        <w:rPr>
          <w:rFonts w:ascii="Times New Roman" w:hAnsi="Times New Roman"/>
          <w:color w:val="000000" w:themeColor="text1"/>
          <w:sz w:val="16"/>
          <w:szCs w:val="16"/>
        </w:rPr>
        <w:softHyphen/>
        <w:t>менты на работу сопла (6 рабочих пусков) и головку с камерой двигателя (12 рабо</w:t>
      </w:r>
      <w:r w:rsidRPr="00640820">
        <w:rPr>
          <w:rFonts w:ascii="Times New Roman" w:hAnsi="Times New Roman"/>
          <w:color w:val="000000" w:themeColor="text1"/>
          <w:sz w:val="16"/>
          <w:szCs w:val="16"/>
        </w:rPr>
        <w:softHyphen/>
        <w:t>чих пусков). После указанной работы завод приступил к снятию летных харак</w:t>
      </w:r>
      <w:r w:rsidRPr="00640820">
        <w:rPr>
          <w:rFonts w:ascii="Times New Roman" w:hAnsi="Times New Roman"/>
          <w:color w:val="000000" w:themeColor="text1"/>
          <w:sz w:val="16"/>
          <w:szCs w:val="16"/>
        </w:rPr>
        <w:softHyphen/>
        <w:t>теристик самолета, которые закончил в марте 1943 года (1775,138)..</w:t>
      </w:r>
    </w:p>
    <w:p w14:paraId="5BBF2EB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6F00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КБ ЦАГИ под руководством А.А.Сенькова занималась проектом оснащения У-2, Р-5 и УТ-2 параванами для борьбы с осветительными немецкими бомбами (5488, 20).</w:t>
      </w:r>
    </w:p>
    <w:p w14:paraId="4D727A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BC3F8B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при обороне Одессы летчик П.Бевза сбрасывал с У-2 бомбы на позиции врага. Во вре</w:t>
      </w:r>
      <w:r w:rsidRPr="00640820">
        <w:rPr>
          <w:rFonts w:ascii="Times New Roman" w:hAnsi="Times New Roman"/>
          <w:color w:val="000000" w:themeColor="text1"/>
          <w:sz w:val="16"/>
          <w:szCs w:val="16"/>
        </w:rPr>
        <w:softHyphen/>
        <w:t>мя обороны Севастополя по предложению комиссара 2-й авиабригады Б.Е.Михайлова из У-2 был сформирован небольшой отряд легких бомбардировщиков. Име</w:t>
      </w:r>
      <w:r w:rsidRPr="00640820">
        <w:rPr>
          <w:rFonts w:ascii="Times New Roman" w:hAnsi="Times New Roman"/>
          <w:color w:val="000000" w:themeColor="text1"/>
          <w:sz w:val="16"/>
          <w:szCs w:val="16"/>
        </w:rPr>
        <w:softHyphen/>
        <w:t>лись факты подобного применения машины и на других фронтах. Эти успешные опыты побудили Н.Н.По</w:t>
      </w:r>
      <w:r w:rsidRPr="00640820">
        <w:rPr>
          <w:rFonts w:ascii="Times New Roman" w:hAnsi="Times New Roman"/>
          <w:color w:val="000000" w:themeColor="text1"/>
          <w:sz w:val="16"/>
          <w:szCs w:val="16"/>
        </w:rPr>
        <w:softHyphen/>
        <w:t>ликарпова и Г.И.Бакшаева, главного конструктора заво</w:t>
      </w:r>
      <w:r w:rsidRPr="00640820">
        <w:rPr>
          <w:rFonts w:ascii="Times New Roman" w:hAnsi="Times New Roman"/>
          <w:color w:val="000000" w:themeColor="text1"/>
          <w:sz w:val="16"/>
          <w:szCs w:val="16"/>
        </w:rPr>
        <w:softHyphen/>
        <w:t>да № 387, заняться разработкой военного варианта У-2 -У-2ВС («военный самолет»). Иногда он обозначался и как ЛНБ - легкий ночной бомбардировщик. Изменения в конструкции по сравнению с исходным У-2 были небольшими: под фюзеляжем и нижним кры</w:t>
      </w:r>
      <w:r w:rsidRPr="00640820">
        <w:rPr>
          <w:rFonts w:ascii="Times New Roman" w:hAnsi="Times New Roman"/>
          <w:color w:val="000000" w:themeColor="text1"/>
          <w:sz w:val="16"/>
          <w:szCs w:val="16"/>
        </w:rPr>
        <w:softHyphen/>
        <w:t>лом укрепили держатели для бомб общим весом до 350 кг - не так уж и плохо, если учесть, что нормальная нагруз</w:t>
      </w:r>
      <w:r w:rsidRPr="00640820">
        <w:rPr>
          <w:rFonts w:ascii="Times New Roman" w:hAnsi="Times New Roman"/>
          <w:color w:val="000000" w:themeColor="text1"/>
          <w:sz w:val="16"/>
          <w:szCs w:val="16"/>
        </w:rPr>
        <w:softHyphen/>
        <w:t>ка нашего основного двухмоторного бомбардировщика Пе-2 составляла 600 кг; за задней кабиной поставили пу</w:t>
      </w:r>
      <w:r w:rsidRPr="00640820">
        <w:rPr>
          <w:rFonts w:ascii="Times New Roman" w:hAnsi="Times New Roman"/>
          <w:color w:val="000000" w:themeColor="text1"/>
          <w:sz w:val="16"/>
          <w:szCs w:val="16"/>
        </w:rPr>
        <w:softHyphen/>
        <w:t>лемет ДА или ШКАС на шкворневой установке, которая имела углы обстрела несколько меньше, чем турель У-2ВС эталона 1938 г., зато была легче и проще; постави</w:t>
      </w:r>
      <w:r w:rsidRPr="00640820">
        <w:rPr>
          <w:rFonts w:ascii="Times New Roman" w:hAnsi="Times New Roman"/>
          <w:color w:val="000000" w:themeColor="text1"/>
          <w:sz w:val="16"/>
          <w:szCs w:val="16"/>
        </w:rPr>
        <w:softHyphen/>
        <w:t>ли бомбардировочный прицел НВ-5бис; в нижнем крыле вблизи бортов сделали два небольших прямоугольных выреза, закрытых целлулоидом. На самолете дополни</w:t>
      </w:r>
      <w:r w:rsidRPr="00640820">
        <w:rPr>
          <w:rFonts w:ascii="Times New Roman" w:hAnsi="Times New Roman"/>
          <w:color w:val="000000" w:themeColor="text1"/>
          <w:sz w:val="16"/>
          <w:szCs w:val="16"/>
        </w:rPr>
        <w:softHyphen/>
        <w:t>тельно устанавливалось радиооборудование, а под полом задней кабины - фотоаппарат АФА-1Б. Основным двигателем был М-11Д мощностью 115 л.с. Вес пустого самолета равнялся 773 кг, взлетный вес достигал 1406 кг. С нагрузкой У-2ВС развивал макси</w:t>
      </w:r>
      <w:r w:rsidRPr="00640820">
        <w:rPr>
          <w:rFonts w:ascii="Times New Roman" w:hAnsi="Times New Roman"/>
          <w:color w:val="000000" w:themeColor="text1"/>
          <w:sz w:val="16"/>
          <w:szCs w:val="16"/>
        </w:rPr>
        <w:softHyphen/>
        <w:t>мальную скорость у земли 134 км/ч. Серийное производство машины началось в 1942 г. Основным назначением У-2ВС являлось уничтожение авиации противника на аэродромах, складов боеприпа</w:t>
      </w:r>
      <w:r w:rsidRPr="00640820">
        <w:rPr>
          <w:rFonts w:ascii="Times New Roman" w:hAnsi="Times New Roman"/>
          <w:color w:val="000000" w:themeColor="text1"/>
          <w:sz w:val="16"/>
          <w:szCs w:val="16"/>
        </w:rPr>
        <w:softHyphen/>
        <w:t>сов, горючего, продовольствия, штабов, передовых ук</w:t>
      </w:r>
      <w:r w:rsidRPr="00640820">
        <w:rPr>
          <w:rFonts w:ascii="Times New Roman" w:hAnsi="Times New Roman"/>
          <w:color w:val="000000" w:themeColor="text1"/>
          <w:sz w:val="16"/>
          <w:szCs w:val="16"/>
        </w:rPr>
        <w:softHyphen/>
        <w:t>реплений противника и т.д. Немцы иронично называли У-2 «рус-фанер» или «кофейная мельница», но в целом действовали эти машины весьма эффективно. Тактика боевого применения совершенствовалась с накоплением опыта. Днем У-2ВС использовались преимущественно против целей, не имеющих сильного прикрытия назем</w:t>
      </w:r>
      <w:r w:rsidRPr="00640820">
        <w:rPr>
          <w:rFonts w:ascii="Times New Roman" w:hAnsi="Times New Roman"/>
          <w:color w:val="000000" w:themeColor="text1"/>
          <w:sz w:val="16"/>
          <w:szCs w:val="16"/>
        </w:rPr>
        <w:softHyphen/>
        <w:t xml:space="preserve">ными средствами ПВО. Бомбометание </w:t>
      </w:r>
      <w:r w:rsidRPr="00640820">
        <w:rPr>
          <w:rFonts w:ascii="Times New Roman" w:hAnsi="Times New Roman"/>
          <w:color w:val="000000" w:themeColor="text1"/>
          <w:sz w:val="16"/>
          <w:szCs w:val="16"/>
        </w:rPr>
        <w:lastRenderedPageBreak/>
        <w:t>осуществлялось с небольшой высоты. При появлении истребителей про</w:t>
      </w:r>
      <w:r w:rsidRPr="00640820">
        <w:rPr>
          <w:rFonts w:ascii="Times New Roman" w:hAnsi="Times New Roman"/>
          <w:color w:val="000000" w:themeColor="text1"/>
          <w:sz w:val="16"/>
          <w:szCs w:val="16"/>
        </w:rPr>
        <w:softHyphen/>
        <w:t>тивника У-2 старались прижаться к земле и уходили, сле</w:t>
      </w:r>
      <w:r w:rsidRPr="00640820">
        <w:rPr>
          <w:rFonts w:ascii="Times New Roman" w:hAnsi="Times New Roman"/>
          <w:color w:val="000000" w:themeColor="text1"/>
          <w:sz w:val="16"/>
          <w:szCs w:val="16"/>
        </w:rPr>
        <w:softHyphen/>
        <w:t>дуя рельефу местности. Поразить вблизи земли очень маневренный У-2 на скоростном «Мессершмитте» или «Фокке-Вульфе» было довольно трудно. Ночью У-2ВС обычно планировали на цель почти бесшумно, переведя мотор на режим малого газа, а иногда и совсем выключив его. Противник открывал стрельбу уже после разрыва бомб. Впервые У-2ВС громко заявили о себе во время Ста</w:t>
      </w:r>
      <w:r w:rsidRPr="00640820">
        <w:rPr>
          <w:rFonts w:ascii="Times New Roman" w:hAnsi="Times New Roman"/>
          <w:color w:val="000000" w:themeColor="text1"/>
          <w:sz w:val="16"/>
          <w:szCs w:val="16"/>
        </w:rPr>
        <w:softHyphen/>
        <w:t>линградского сражения. В условиях тесного боевого со</w:t>
      </w:r>
      <w:r w:rsidRPr="00640820">
        <w:rPr>
          <w:rFonts w:ascii="Times New Roman" w:hAnsi="Times New Roman"/>
          <w:color w:val="000000" w:themeColor="text1"/>
          <w:sz w:val="16"/>
          <w:szCs w:val="16"/>
        </w:rPr>
        <w:softHyphen/>
        <w:t>прикосновения с противником У-2ВС осуществляли ювелирно точное бомбометание, помогая нашим вой</w:t>
      </w:r>
      <w:r w:rsidRPr="00640820">
        <w:rPr>
          <w:rFonts w:ascii="Times New Roman" w:hAnsi="Times New Roman"/>
          <w:color w:val="000000" w:themeColor="text1"/>
          <w:sz w:val="16"/>
          <w:szCs w:val="16"/>
        </w:rPr>
        <w:softHyphen/>
        <w:t>скам, доставляли снаряжение (10667).</w:t>
      </w:r>
    </w:p>
    <w:p w14:paraId="682A3FB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DABC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вышло постановление о запуске Г-11 Г.Ф.Грошева в серию в Шумерле в Чувашии и в Козловке. Работали до конца 1942 и в конце 1943 перенесли производство в Рязань на вновь организованное КБ по десантным планерам. Всего сделали 500 (112,173).</w:t>
      </w:r>
    </w:p>
    <w:p w14:paraId="5D7C5C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6F085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начались полеты первого опытного БДП и проходили на аэродроме Летно-испытательного института под Москвой. В качестве буксировщика использовался бомбардировщик СБ с двигателями М-103. Летал опытный летчик В. П. Федоров. Всего удалось выполнить четырнадцать полетов (4540).</w:t>
      </w:r>
    </w:p>
    <w:p w14:paraId="542FE3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5B288D3" w14:textId="77777777" w:rsidR="00EB1520" w:rsidRPr="00640820" w:rsidRDefault="00EB1520" w:rsidP="00640820">
      <w:pPr>
        <w:shd w:val="clear" w:color="auto" w:fill="FFFFFF"/>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сентябре 1941 начались полеты первого опытного БДП и проходили на аэродроме Летно-ис</w:t>
      </w:r>
      <w:r w:rsidRPr="00640820">
        <w:rPr>
          <w:rFonts w:ascii="Times New Roman" w:hAnsi="Times New Roman"/>
          <w:color w:val="0070C0"/>
          <w:sz w:val="16"/>
          <w:szCs w:val="16"/>
        </w:rPr>
        <w:softHyphen/>
        <w:t>пытательного института (ЛИИ) под Москвой (20364).</w:t>
      </w:r>
    </w:p>
    <w:p w14:paraId="7D37B16F" w14:textId="77777777" w:rsidR="00EB1520" w:rsidRPr="00640820" w:rsidRDefault="00EB1520" w:rsidP="00640820">
      <w:pPr>
        <w:shd w:val="clear" w:color="auto" w:fill="FFFFFF"/>
        <w:spacing w:after="0" w:line="240" w:lineRule="auto"/>
        <w:jc w:val="both"/>
        <w:rPr>
          <w:rFonts w:ascii="Times New Roman" w:hAnsi="Times New Roman"/>
          <w:color w:val="0070C0"/>
          <w:sz w:val="16"/>
          <w:szCs w:val="16"/>
        </w:rPr>
      </w:pPr>
    </w:p>
    <w:p w14:paraId="4C3AA57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на аэродроме ЛИИ под Москвой начались детные испыта</w:t>
      </w:r>
      <w:r w:rsidRPr="00640820">
        <w:rPr>
          <w:rFonts w:ascii="Times New Roman" w:hAnsi="Times New Roman"/>
          <w:color w:val="000000" w:themeColor="text1"/>
          <w:sz w:val="16"/>
          <w:szCs w:val="16"/>
        </w:rPr>
        <w:softHyphen/>
        <w:t>ния БДП Н.Н.П. Испытания вел летчик В.П. Фёдоров (12300).</w:t>
      </w:r>
    </w:p>
    <w:p w14:paraId="00EBAEDD"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6CA010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на базе БДП разработали проект многоцелевого планера-бомбовоза ПБ (иногда он обозна</w:t>
      </w:r>
      <w:r w:rsidRPr="00640820">
        <w:rPr>
          <w:rFonts w:ascii="Times New Roman" w:hAnsi="Times New Roman"/>
          <w:color w:val="000000" w:themeColor="text1"/>
          <w:sz w:val="16"/>
          <w:szCs w:val="16"/>
        </w:rPr>
        <w:softHyphen/>
        <w:t>чался и как БП). По замыслу, планер кроме выполнения транспортно-десантных операций, мог использоваться в качестве буксируемого бомбардировщика. Большой бом-боотсек ПБ позволял подвешивать до 2000 кг бомб, а так</w:t>
      </w:r>
      <w:r w:rsidRPr="00640820">
        <w:rPr>
          <w:rFonts w:ascii="Times New Roman" w:hAnsi="Times New Roman"/>
          <w:color w:val="000000" w:themeColor="text1"/>
          <w:sz w:val="16"/>
          <w:szCs w:val="16"/>
        </w:rPr>
        <w:softHyphen/>
        <w:t>же мины и торпеду. Предполагалось, что ночью планер будет неслышно выходить в прифронтовой поло</w:t>
      </w:r>
      <w:r w:rsidRPr="00640820">
        <w:rPr>
          <w:rFonts w:ascii="Times New Roman" w:hAnsi="Times New Roman"/>
          <w:color w:val="000000" w:themeColor="text1"/>
          <w:sz w:val="16"/>
          <w:szCs w:val="16"/>
        </w:rPr>
        <w:softHyphen/>
        <w:t>се в точку бомбометания или сброса торпед, а после бом</w:t>
      </w:r>
      <w:r w:rsidRPr="00640820">
        <w:rPr>
          <w:rFonts w:ascii="Times New Roman" w:hAnsi="Times New Roman"/>
          <w:color w:val="000000" w:themeColor="text1"/>
          <w:sz w:val="16"/>
          <w:szCs w:val="16"/>
        </w:rPr>
        <w:softHyphen/>
        <w:t>бометания неслышно и незаметно лететь к своим через линию фронта. В Новосибирске проект доработали и в апреле 1942 г. отправили на рассмотрение в НИИ ВВС. Опыт использования У-2 как ночного бомбардировщика, который выходил на цель, планируя с выключенным дви</w:t>
      </w:r>
      <w:r w:rsidRPr="00640820">
        <w:rPr>
          <w:rFonts w:ascii="Times New Roman" w:hAnsi="Times New Roman"/>
          <w:color w:val="000000" w:themeColor="text1"/>
          <w:sz w:val="16"/>
          <w:szCs w:val="16"/>
        </w:rPr>
        <w:softHyphen/>
        <w:t>гателем, показал, что наибольшая эффективность дости</w:t>
      </w:r>
      <w:r w:rsidRPr="00640820">
        <w:rPr>
          <w:rFonts w:ascii="Times New Roman" w:hAnsi="Times New Roman"/>
          <w:color w:val="000000" w:themeColor="text1"/>
          <w:sz w:val="16"/>
          <w:szCs w:val="16"/>
        </w:rPr>
        <w:softHyphen/>
        <w:t>гается при планировании с малых высот. ПБ для этих операций не был предназначен, поэтому предложений о его постройке не поступало (10667).</w:t>
      </w:r>
    </w:p>
    <w:p w14:paraId="53B265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DFAB4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завершилась разработка ПБ (планер-бомбовоз) Н.Н.П. (228,175).</w:t>
      </w:r>
    </w:p>
    <w:p w14:paraId="15E62E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AA202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Н.Н.П. предложил на основе БДП- построить бомбопланер БП для транспортировки крупнокалиберных бомб, которые не помещались в бомболюках - до 2 т (94,59).</w:t>
      </w:r>
    </w:p>
    <w:p w14:paraId="744A87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A4273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О.К.А. работал ГК з-да № 464 и представил на летные испытания в НИИ пятиместный планер РФ-8, который затем стал А-7 (7483, 8).</w:t>
      </w:r>
    </w:p>
    <w:p w14:paraId="12493B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E83036A" w14:textId="77777777" w:rsidR="00165A9C" w:rsidRPr="00640820" w:rsidRDefault="00165A9C" w:rsidP="00640820">
      <w:pPr>
        <w:tabs>
          <w:tab w:val="left" w:pos="421"/>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года стала видна бессмысленность существования самолётосборочного предприятия в западном Китае. Везти грузовиками составные элементы в Синьцзян, собирать там истребители, а потом транспортировать их сво</w:t>
      </w:r>
      <w:r w:rsidRPr="00640820">
        <w:rPr>
          <w:rFonts w:ascii="Times New Roman" w:hAnsi="Times New Roman"/>
          <w:color w:val="000000" w:themeColor="text1"/>
          <w:sz w:val="16"/>
          <w:szCs w:val="16"/>
        </w:rPr>
        <w:softHyphen/>
        <w:t>им ходом на советско-германский фронт представлялось оче</w:t>
      </w:r>
      <w:r w:rsidRPr="00640820">
        <w:rPr>
          <w:rFonts w:ascii="Times New Roman" w:hAnsi="Times New Roman"/>
          <w:color w:val="000000" w:themeColor="text1"/>
          <w:sz w:val="16"/>
          <w:szCs w:val="16"/>
        </w:rPr>
        <w:softHyphen/>
        <w:t>видным нонсенсом. Весной 1942 г. завод был ликвидирован, а его оборудование — демонтировано и вывезено в СССР (12011).</w:t>
      </w:r>
    </w:p>
    <w:p w14:paraId="2326A9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D3D176E" w14:textId="77777777" w:rsidR="00984994" w:rsidRPr="00640820" w:rsidRDefault="0098499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года стала видна бессмысленность существования самолётосборочного предприятия в западном Китае. Везти грузовиками составные элементы в Синьцзян, собирать там истребители, а потом транспортировать их своим ходом на советско-германский фронт представля</w:t>
      </w:r>
      <w:r w:rsidRPr="00640820">
        <w:rPr>
          <w:rFonts w:ascii="Times New Roman" w:hAnsi="Times New Roman"/>
          <w:color w:val="000000" w:themeColor="text1"/>
          <w:sz w:val="16"/>
          <w:szCs w:val="16"/>
        </w:rPr>
        <w:softHyphen/>
        <w:t>лось очевидным нонсенсом. Окончательно завод дол</w:t>
      </w:r>
      <w:r w:rsidRPr="00640820">
        <w:rPr>
          <w:rFonts w:ascii="Times New Roman" w:hAnsi="Times New Roman"/>
          <w:color w:val="000000" w:themeColor="text1"/>
          <w:sz w:val="16"/>
          <w:szCs w:val="16"/>
        </w:rPr>
        <w:softHyphen/>
        <w:t>жны были ввести в строй к 1 ноября 1941 г. (15811).</w:t>
      </w:r>
    </w:p>
    <w:p w14:paraId="4BB88FFB" w14:textId="77777777" w:rsidR="00984994" w:rsidRPr="00640820" w:rsidRDefault="00984994" w:rsidP="00640820">
      <w:pPr>
        <w:spacing w:after="0" w:line="240" w:lineRule="auto"/>
        <w:jc w:val="both"/>
        <w:rPr>
          <w:rFonts w:ascii="Times New Roman" w:hAnsi="Times New Roman"/>
          <w:color w:val="000000" w:themeColor="text1"/>
          <w:sz w:val="16"/>
          <w:szCs w:val="16"/>
        </w:rPr>
      </w:pPr>
    </w:p>
    <w:p w14:paraId="027872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испытания М-82 № 01 с НВ были временно прекращены из-заотсутствия насоса и автомата РС-2 (737,6).</w:t>
      </w:r>
    </w:p>
    <w:p w14:paraId="61D88A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B4E9E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М-89Б был предъявлен на 50 час. испытания, но они прервались из-за эвакуации ЦИАМ (1684,12).</w:t>
      </w:r>
    </w:p>
    <w:p w14:paraId="222EBC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6002E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мотор М-89Б был предъявлен на 50 часовое совместное испытание в ЦИАМ, которое не было закончено ввиду перебазирования ЦИАМ. Перебазирование завода и ЦИАМ отодвигают сроки окончания государственных испытаний на 2 - 3 месяца. В декабре 1941 на самолете Су-2 было приступлено к заводским летным испытаниям мотора М89Б. Сделано 5 полетов до высоты 5000м (1684,31).</w:t>
      </w:r>
    </w:p>
    <w:p w14:paraId="7FF415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1D843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завод № 29 (дирек</w:t>
      </w:r>
      <w:r w:rsidRPr="00640820">
        <w:rPr>
          <w:rFonts w:ascii="Times New Roman" w:hAnsi="Times New Roman"/>
          <w:color w:val="000000" w:themeColor="text1"/>
          <w:sz w:val="16"/>
          <w:szCs w:val="16"/>
        </w:rPr>
        <w:softHyphen/>
        <w:t>торы завода М. М. Лукин, И. Г. Борисов (с 1942 г.)) в основном прибыл в Омск на строительную площадку, но до конца года для этого завода были по</w:t>
      </w:r>
      <w:r w:rsidRPr="00640820">
        <w:rPr>
          <w:rFonts w:ascii="Times New Roman" w:hAnsi="Times New Roman"/>
          <w:color w:val="000000" w:themeColor="text1"/>
          <w:sz w:val="16"/>
          <w:szCs w:val="16"/>
        </w:rPr>
        <w:softHyphen/>
        <w:t>строены огромные производственные пло</w:t>
      </w:r>
      <w:r w:rsidRPr="00640820">
        <w:rPr>
          <w:rFonts w:ascii="Times New Roman" w:hAnsi="Times New Roman"/>
          <w:color w:val="000000" w:themeColor="text1"/>
          <w:sz w:val="16"/>
          <w:szCs w:val="16"/>
        </w:rPr>
        <w:softHyphen/>
        <w:t>щади, проведены большие работы по комму</w:t>
      </w:r>
      <w:r w:rsidRPr="00640820">
        <w:rPr>
          <w:rFonts w:ascii="Times New Roman" w:hAnsi="Times New Roman"/>
          <w:color w:val="000000" w:themeColor="text1"/>
          <w:sz w:val="16"/>
          <w:szCs w:val="16"/>
        </w:rPr>
        <w:softHyphen/>
        <w:t>никациям и другим вспомогательным хозяй</w:t>
      </w:r>
      <w:r w:rsidRPr="00640820">
        <w:rPr>
          <w:rFonts w:ascii="Times New Roman" w:hAnsi="Times New Roman"/>
          <w:color w:val="000000" w:themeColor="text1"/>
          <w:sz w:val="16"/>
          <w:szCs w:val="16"/>
        </w:rPr>
        <w:softHyphen/>
        <w:t>ствам. 2 декабря 1941 г. по заводу был издан приказ, положивший начало новому этапу его развития – освоению и производству более экономичных и надежных двигателей, таких как АШ-82 ФН (1850 л. с.) для истребителей и бомбардировщиков. Начал работать завод на выпуск продукции в ноябре месяце, дав за ноябрь – 9,3 %, в декабре – 27,6 % и в январе 1942 г. – 100 % программы (ЦДНИОО. Ф. 17. Оп. 1. Д. 2977. Л. 15.). В мае 1942 г. коллективу завода было при</w:t>
      </w:r>
      <w:r w:rsidRPr="00640820">
        <w:rPr>
          <w:rFonts w:ascii="Times New Roman" w:hAnsi="Times New Roman"/>
          <w:color w:val="000000" w:themeColor="text1"/>
          <w:sz w:val="16"/>
          <w:szCs w:val="16"/>
        </w:rPr>
        <w:softHyphen/>
        <w:t>суждено первое место во Всесоюзном соцсо</w:t>
      </w:r>
      <w:r w:rsidRPr="00640820">
        <w:rPr>
          <w:rFonts w:ascii="Times New Roman" w:hAnsi="Times New Roman"/>
          <w:color w:val="000000" w:themeColor="text1"/>
          <w:sz w:val="16"/>
          <w:szCs w:val="16"/>
        </w:rPr>
        <w:softHyphen/>
        <w:t>ревновании и вручено переходящее Красное знамя ГКО. В первый год работы много сил уходило на обустройство производства и людей. Объекты были разбросаны, другие срочно строились. В 1942 начали возводить горячие цехи. Большая проблема была с алю</w:t>
      </w:r>
      <w:r w:rsidRPr="00640820">
        <w:rPr>
          <w:rFonts w:ascii="Times New Roman" w:hAnsi="Times New Roman"/>
          <w:color w:val="000000" w:themeColor="text1"/>
          <w:sz w:val="16"/>
          <w:szCs w:val="16"/>
        </w:rPr>
        <w:softHyphen/>
        <w:t>миниевым, бронзовым и чугунным литьем (11896).</w:t>
      </w:r>
    </w:p>
    <w:p w14:paraId="709AC7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CF7787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НКАП созвал в Москве совещание по вопросам созда</w:t>
      </w:r>
      <w:r w:rsidRPr="00640820">
        <w:rPr>
          <w:rFonts w:ascii="Times New Roman" w:hAnsi="Times New Roman"/>
          <w:color w:val="000000" w:themeColor="text1"/>
          <w:sz w:val="16"/>
          <w:szCs w:val="16"/>
        </w:rPr>
        <w:softHyphen/>
        <w:t>ния реактивного двигателя, на которое Люльку даже не пригласили. Вскоре в конце октября 1941 года коллектив А.М.Люльки был эвакуировн в Челя</w:t>
      </w:r>
      <w:r w:rsidRPr="00640820">
        <w:rPr>
          <w:rFonts w:ascii="Times New Roman" w:hAnsi="Times New Roman"/>
          <w:color w:val="000000" w:themeColor="text1"/>
          <w:sz w:val="16"/>
          <w:szCs w:val="16"/>
        </w:rPr>
        <w:softHyphen/>
        <w:t>бинск на тракторный завод, который выпускал танки конструкции Ж.Я.Ко</w:t>
      </w:r>
      <w:r w:rsidRPr="00640820">
        <w:rPr>
          <w:rFonts w:ascii="Times New Roman" w:hAnsi="Times New Roman"/>
          <w:color w:val="000000" w:themeColor="text1"/>
          <w:sz w:val="16"/>
          <w:szCs w:val="16"/>
        </w:rPr>
        <w:softHyphen/>
        <w:t>тина. Котин поручил Люльке работы по расчету танковых воздуховодов (11158).</w:t>
      </w:r>
    </w:p>
    <w:p w14:paraId="3CD5971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1245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года на завод № 280 были переброшены ценности и материалы бывш. завода № 149, эвакуированного из Вязьмы, кроме того на завод прибыли следующие предприятия: завод № 278, эвакуированный из Ленинграда, а также НИИ-12, эвакуированный из Москвы. Завод размещен на одной площадке, расположенной в центре Ульяновска. Адрес: Ульяновск, п/я 99 (9486).</w:t>
      </w:r>
    </w:p>
    <w:p w14:paraId="7CF447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258B1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года КБ-2 на заводе № 16 было эвакуировано из Воронежа в Уфу и реорганизовано в самостоятельную организацию ОКБ-250. Гл. конструктором ОКБ-250 15 ноября 1941 года был назначен Добрынин В.А., который в настоящее время является генеральным конструктором ОКБ-36.</w:t>
      </w:r>
    </w:p>
    <w:p w14:paraId="5F9A60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конца 1941 года до сентября 1943 года ОКБ-250 занималось оборудованием цехов для изготовления и сборки двигателя, постройкой испытательных стендов, изготовлением деталей и узлов и доводкой двигателя. В виду недостаточной производственной базы ОКБ-250, изготовление двигателей производилось с помощью завода № 26.</w:t>
      </w:r>
    </w:p>
    <w:p w14:paraId="407ECF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это время был отработан запуск двигателя, сняты стендовые характеристики и начата доводка двигателя на прочность, при этом на двигателе были получены все заявленные данные.</w:t>
      </w:r>
    </w:p>
    <w:p w14:paraId="5BFDEA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Доводку двигателя сильно тормозили недостаточное количество двигателей и недостаточная производственная база ОКБ.</w:t>
      </w:r>
    </w:p>
    <w:p w14:paraId="37240A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расширения производственной базы с целью ускорения изготовления двигателя и его доводки, приказом НКАП за № 538сс от 6 сентября 1943 года ОКБ было переведено в город Рыбинск на завод № 36 (на площади занимаемые в корпусах №№ 43 и 44 до эвакуации ОКБ завода № 26).</w:t>
      </w:r>
    </w:p>
    <w:p w14:paraId="7CA4DB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приказом МАП за № 139сс от 19 марта 1945 года были значительно увеличены штаты, производственные площади и количество оборудования ОКБ, что позволило довести двигатель М-250 до 50 часового ресурса в первом полугодии 1946 года.</w:t>
      </w:r>
    </w:p>
    <w:p w14:paraId="5B76EC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решением СМ за № 2418-1025с от 3 ноября 1946 года ОКБ занималось с конца 1946 года созданием на базе двигателя М-250 более мощного двигателя М-251ТК. Работы по двигателю М-250 во втором полугодии 1946 года были прекращены.</w:t>
      </w:r>
    </w:p>
    <w:p w14:paraId="7C6B66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Этот двигатель имел максимальную мощность равную 3500 л.с. ………….</w:t>
      </w:r>
    </w:p>
    <w:p w14:paraId="3F4493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Двигатель был построен и доведен в сравнительно короткие сроки.</w:t>
      </w:r>
    </w:p>
    <w:p w14:paraId="44E408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1947 года были проведены совместные 100-часовые заводские испытания, а в октябре 1949 года – государственные 100-часовые стендовые испытания, после госиспытаний постановлением СМ № 356-122сс от 28 января 1949 года и приказом МАП № 99сс от 7 февраля 1949 года двигателю присвоен индекс ВД-3ТК.</w:t>
      </w:r>
    </w:p>
    <w:p w14:paraId="7B2457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Двигатель ВД-3ТК успешно прошел летные испытания на самолете ТУ-4. Для обеспечения летных испытаний была изготовлена совместно с заводом № 36 малая серия двигателей в количестве 20 шт. (постановление СМ № 131-29сс от 10 января 1949 года и приказ МАП № 25сс от 13 января 1949 года).</w:t>
      </w:r>
    </w:p>
    <w:p w14:paraId="3C3227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решением СМ № 3929-1608 от 16 сентября 1949 года ОКБ занималось с сентября 1949 года созданием на базе двигателя ВД-3ТК еще более мощного комбинированного двигателя М-253К для дальнего высотного бомбардировщика ТУ-85 конструкции гл. конструктора Туполева А.Н.</w:t>
      </w:r>
    </w:p>
    <w:p w14:paraId="6B1AA4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Первый образец двигателя был собран в январе 1950 года.</w:t>
      </w:r>
    </w:p>
    <w:p w14:paraId="7832AD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феврале 1951 года двигатель прошел государственные 100 часовые стендовые испытания и был рекомендован для запуска в малую серию.</w:t>
      </w:r>
    </w:p>
    <w:p w14:paraId="4B2BDA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госиспытаний двигателю М-253К был присвоен индекс ВД-4К.</w:t>
      </w:r>
    </w:p>
    <w:p w14:paraId="6C58A1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Одновременно с доводкой двигателя на стенде производились испытания двигателя на летающей лаборатории и на самолете ТУ-85. В процессе летных испытаний самолет ТУ-85 с двигателями ВД-4К показал рекордные по тому времени дальность и высоту полета. Двигатели показали высокие эксплуатационные качества и надежность, обеспечили длительный беспосадочный полет продолжительностью 22 часа.</w:t>
      </w:r>
    </w:p>
    <w:p w14:paraId="1F32CC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постановлением СМ № 1549-542сс от 29 марта 1952 года и приказом МАП № 356сс/ОВ от 1 апреля 1952 года ОКБ с апреля 1952 года занималось созданием мощного турбореактивного двигателя ВД-5 для дальнего высотного бомбардировщика конструкции гл. конструктора Мясищева В.М.</w:t>
      </w:r>
    </w:p>
    <w:p w14:paraId="7AEA2C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период с марта 1952 года по июнь 1954 года была разработана конструкция двигателя, выпущены чертежи ………….. и проведена доводка его до наработки отдельных двигателей до 100 часов.</w:t>
      </w:r>
    </w:p>
    <w:p w14:paraId="04AAB7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июне 1954 года работы по двигателю ВД-5 были прекращены в виду прекращения работ по самолету, для которого он проектировался.</w:t>
      </w:r>
    </w:p>
    <w:p w14:paraId="245E57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1954 года ОКБ занималось созданием следующих двигателей:</w:t>
      </w:r>
    </w:p>
    <w:p w14:paraId="5242A0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постановлением СМ № 1428-642сс от 6 июля 1954 года и приказом МАП № 438 от 17 июля 1954 года ОКБ с июня 1954 года занималось созданием на базе двигателя ВД-5, нового турбореактивного двигателя ВД-7 для дальнего бомбардировщика конструкции Мясищева В.М.</w:t>
      </w:r>
    </w:p>
    <w:p w14:paraId="6121A6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апреле 1957 года двигатель прошел государственные 100-часовые стендовые испытания (акт комиссии от 22 июля 1957 года) и передан в серийное производство заводу № 36.</w:t>
      </w:r>
    </w:p>
    <w:p w14:paraId="630459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постановлением СМ № 1605-726сс от 30 июля 1954 года и приказом МАП № 489сс/ов от 10 августа 1954 года было проведено в конце 1954 года форсирование турбореактивного двигателя ВД-5 с изменением его индекса на ВД-5Ф.</w:t>
      </w:r>
    </w:p>
    <w:p w14:paraId="38DADF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постановлением СМ № 1606-727сс от 30 июля 1954 года и приказом МАП № 490сс/ов от 10 августа 1954 года был произведен в конце 1954 года газодинамический расчет и разработан технический проект турбореактивного двигателя ВД-5М.</w:t>
      </w:r>
    </w:p>
    <w:p w14:paraId="3FBE61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по двигателям ВД-5Ф и ВД-5М в связи с получением нового более актуального задания по созданию двигателя ВД-7М в соответствии с приказом МАП № 478сс от 25 июля 1955 года были прекращены.</w:t>
      </w:r>
    </w:p>
    <w:p w14:paraId="05A52C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постановлением СМ № 16007-728сс от 30 июля 1954 года и приказом МАП № 468сс/ов от 10 августа 1954 года был произведен газодинамический расчет турбореактивного двигателя ВД-9.</w:t>
      </w:r>
    </w:p>
    <w:p w14:paraId="2C9C1A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Постановлением СМ № 1317-752сс от 19 июля 1955 года и приказом МАП № 476сс/ов от 25 июля 1955 года ОКБ было поручено создание, на базе двигателя ВД-7, мощного форсированного турбореактивного двигателя ВД-7М для самолета гл. конструктора Туполева А.Н.</w:t>
      </w:r>
    </w:p>
    <w:p w14:paraId="7BA8F9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1955 году была разработана конструкция, выпущены чертежи, изготовлен первый образец и начата доводка на прочность.</w:t>
      </w:r>
    </w:p>
    <w:p w14:paraId="1C795A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настоящее время продолжается доводка двигателя на прочность на стендах ОКБ и проводятся летные испытания на летающей лаборатории и на самолете ТУ-105.</w:t>
      </w:r>
    </w:p>
    <w:p w14:paraId="768FE6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Постановлением СМ № 713-342 от 26 июля 1957 года ОКБ при заводе № 36 реорганизовано в самостоятельную уставную организацию и наименовано: Государственное союзное ОКБ № 36 (9382).</w:t>
      </w:r>
    </w:p>
    <w:p w14:paraId="099594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A6600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года "Либерейторы" впервые появились в нашем небе. На двух самолетах В-24А через Англию и Архангельск в Москву прибыл со своей свитой А.Гарриман, представитель американского президента. Эти машины превратили в транспортники, убрав почти все вооружение. Затем на подобном самолете в Москву пожаловал британский премьер-министр У.Черчилль. Машина Черчилля, носившая персональное имя "Коммандо", была мало похожа на серийный бомбардировщик "Либерейтор" II, из которого ее переделали. В мастерских авиакомпании ВОАС в фюзеляже оборудовали довольно комфортабельный салон, а стандартное двухкилевое оперение заменили высоким однокилевым (3457,115).</w:t>
      </w:r>
    </w:p>
    <w:p w14:paraId="4631A5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9B1A5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года ОКБ-33 было эвакуировано вместе с заводом № 33 в Пермь, сохраняя при этом то же название – ОКБ-33. После реэвакуации в августе 1943 года ОКБ было размещено на ранее занимаемых площадях на территории завода № 315, а при заводе № 33 был организован филиал, в силу чего ОКБ было присвоено наименование ОКБ-315-33. Это наименование сохранялось до апреля 1957 года, когда филиал приказом МАП от 26 февраля 1957 года № 66сс был выделен в самостоятельное ОКБ.</w:t>
      </w:r>
    </w:p>
    <w:p w14:paraId="2F3923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производственному назначению ОКБ было организовано как агрегатное предприятие и это свое назначение выполняет до настоящего времени. В профиле ОКБ за время его существования произошли коренные изменения, связанные с развитием авиационной техники.</w:t>
      </w:r>
    </w:p>
    <w:p w14:paraId="3E1DD5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период с 1938 года по 1948 год в тематике ОКБ преобладали работы по проектированию и изготовлению карбюраторов и другой топливной аппаратуры для поршневых двигателей. С 1948 года в тематику ОКБ включаются работы по проектированию и изготовлению систем топливопитания и регулирования различных реактивных двигателей и летательных аппаратов, в настоящее время эти работы полностью определяют профиль ОКБ.</w:t>
      </w:r>
    </w:p>
    <w:p w14:paraId="199AD5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момент организации ОКБ в 1938 году производственной и экспериментальной базой его были цеха серийного производства завода № 33, а начиная с 1939 года началась организация собственной производственной и экспериментальной базы.</w:t>
      </w:r>
    </w:p>
    <w:p w14:paraId="63F18A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Эвакуация задержала этот период развития ОКБ.</w:t>
      </w:r>
    </w:p>
    <w:p w14:paraId="446E3C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Руководителем ОКБ с 1940 года является гл. конструктор Коротков Ф.А. (9391)</w:t>
      </w:r>
    </w:p>
    <w:p w14:paraId="541192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выполнили продувку МиГ-9 №6501 в натурной аэродинамической трубе Т-104 ЦАГИ, которая подтвердила негативное влияние негерметичности капота мотора на лобовое сопротивление. Это, естественно, потребовало провести переделку фюзеляжа и других частей самолета. Однако завершить испытания и закончить выпуск войсковой серии не позволила эвакуация завода №1 и ОКБ в г. Куйбышев в октябре 1941 г. Кроме двух опытных истребителей МиГ-9 было построено еще три машины - №№6503, 6504, 6505 (5485,29).</w:t>
      </w:r>
    </w:p>
    <w:p w14:paraId="413944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CF732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под Москвой были испытаны аэросани НКЛ-26 ОКБ з-да № 41 Н.М.Андреева. Испытывали на колесах и с макетным вооружением (8285,17).</w:t>
      </w:r>
    </w:p>
    <w:p w14:paraId="426A7E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A7F0A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под Москвой были испытаны аэросани НКЛ-26 ОКБ з-да № 41 Н.М.Андреева. Испытывали на колесах и с макетным вооружением (8285,17).</w:t>
      </w:r>
    </w:p>
    <w:p w14:paraId="46C2EA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EB2CE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большая часть института (ГС НИИ-10 НКОП, НКСП, МСП, ГКРЭ, МРП, п/я 2435, Всесоюзный государственный институт телемеханики и связи (ВГИТиС) НКТП, Всесоюзный НИИ радиоэлектронники (ВНИИРЭ) МСП, ВНИИ, НПО «Альтаир», А-1586, ГосНПО «Альтаир», ФГУП «НТК «Альтаир», ОАО «Морской НИИ радиоэлектроники (МНИИРЭ) «Альтаир» ФАП /111024 г. Москва ул. Авиамоторная, 57 тел. 673-14-32/) - кадры и оборудование - эвакуирована в пос. Бекетовка под Сталинградом. Уполномоченным по эвакуации назначен А.С. Андреев. 16.10.1941 г. принято решение о эвакуации оставшейся части института в Свердловск, где он был размещен в здании Политехнического института. Начальником Свердловского отделения назначен Н.В. Рогачевский. В Москве продолжал действовать филиал: велось изготовление аппаратуры для фронта; работы по созданию аппаратуры по обнаружению самолетов с земли (К.В. Байдун). В 12.1941 г. в Свердловске в состав НИИ-10 влилась часть эвакуированного НИИ-49, и образован Свердловский филиал НИИ-10. В начале 1942г. в Москву возвращается часть института из Сталинграда, а в 08.1942г.- из Свердловска. К концу 1943г. институт полностью восстановил свою деятельность. В 07.1942г. группа специалистов НИИ-10 по гироскопической тематике переведена в СКБ НКСП. В 10.1942г. часть сотрудников НИИ-49 из Ленинграда переведена в Москву в распоряжение НИИ-10 (11982).</w:t>
      </w:r>
    </w:p>
    <w:p w14:paraId="6C9CD6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7D4A5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сентября 1941 стали поступать английские донные авиамины А Мк-I и А МК-IV (у нас иногда называли АМК-1 и АМК-4) с зарядом 300 кг, а потом появились и АМК-5 весом 455 кг, которых Ил-4 сначала брали по одной, а потом по две (561,27).</w:t>
      </w:r>
    </w:p>
    <w:p w14:paraId="13DD0A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1F2EC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C сентября 1941 в ВВС флотов стали поступать английские индукционные донные мины A-1-1V длинной 4.2 м, а потом более совершенная A-V длинной 2 м. ДБ-3Ф сначала брал по одной, но потом стали подвешивать две. На Бостоне было тоже самое (1085,176).</w:t>
      </w:r>
    </w:p>
    <w:p w14:paraId="7F5689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5DE8C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состоянию на сентябрь 1941 была подготовлена таблица:</w:t>
      </w:r>
    </w:p>
    <w:p w14:paraId="35C838D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Таблица 5.8 Динамика производства РС по заказам ГМЧ РГК в сентябре 1941 г. (из сводок заместителю председателя СНК Сабурову от Горемыкина)</w:t>
      </w:r>
    </w:p>
    <w:tbl>
      <w:tblPr>
        <w:tblW w:w="0" w:type="auto"/>
        <w:tblInd w:w="40" w:type="dxa"/>
        <w:tblLayout w:type="fixed"/>
        <w:tblCellMar>
          <w:left w:w="40" w:type="dxa"/>
          <w:right w:w="40" w:type="dxa"/>
        </w:tblCellMar>
        <w:tblLook w:val="0000" w:firstRow="0" w:lastRow="0" w:firstColumn="0" w:lastColumn="0" w:noHBand="0" w:noVBand="0"/>
      </w:tblPr>
      <w:tblGrid>
        <w:gridCol w:w="1027"/>
        <w:gridCol w:w="979"/>
        <w:gridCol w:w="989"/>
        <w:gridCol w:w="989"/>
        <w:gridCol w:w="989"/>
        <w:gridCol w:w="960"/>
      </w:tblGrid>
      <w:tr w:rsidR="00643896" w:rsidRPr="00640820" w14:paraId="34C96B74" w14:textId="77777777" w:rsidTr="000D3BCB">
        <w:trPr>
          <w:trHeight w:val="442"/>
        </w:trPr>
        <w:tc>
          <w:tcPr>
            <w:tcW w:w="1027" w:type="dxa"/>
            <w:tcBorders>
              <w:top w:val="single" w:sz="6" w:space="0" w:color="auto"/>
              <w:left w:val="single" w:sz="6" w:space="0" w:color="auto"/>
              <w:bottom w:val="nil"/>
              <w:right w:val="single" w:sz="6" w:space="0" w:color="auto"/>
            </w:tcBorders>
          </w:tcPr>
          <w:p w14:paraId="5D39887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Дата</w:t>
            </w:r>
          </w:p>
          <w:p w14:paraId="033425F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57" w:type="dxa"/>
            <w:gridSpan w:val="3"/>
            <w:tcBorders>
              <w:top w:val="single" w:sz="6" w:space="0" w:color="auto"/>
              <w:left w:val="single" w:sz="6" w:space="0" w:color="auto"/>
              <w:bottom w:val="single" w:sz="6" w:space="0" w:color="auto"/>
              <w:right w:val="single" w:sz="6" w:space="0" w:color="auto"/>
            </w:tcBorders>
          </w:tcPr>
          <w:p w14:paraId="02A0BF6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М-8 (по плану / произведено), тыс. шт.</w:t>
            </w:r>
          </w:p>
          <w:p w14:paraId="6BDADFD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gridSpan w:val="2"/>
            <w:tcBorders>
              <w:top w:val="single" w:sz="6" w:space="0" w:color="auto"/>
              <w:left w:val="single" w:sz="6" w:space="0" w:color="auto"/>
              <w:bottom w:val="single" w:sz="6" w:space="0" w:color="auto"/>
              <w:right w:val="single" w:sz="6" w:space="0" w:color="auto"/>
            </w:tcBorders>
          </w:tcPr>
          <w:p w14:paraId="46CAA97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М- 13 (по плану,' произведено), тыс. шт.</w:t>
            </w:r>
          </w:p>
          <w:p w14:paraId="67D36B5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DF58D5F" w14:textId="77777777" w:rsidTr="000D3BCB">
        <w:trPr>
          <w:trHeight w:val="461"/>
        </w:trPr>
        <w:tc>
          <w:tcPr>
            <w:tcW w:w="1027" w:type="dxa"/>
            <w:tcBorders>
              <w:top w:val="nil"/>
              <w:left w:val="single" w:sz="6" w:space="0" w:color="auto"/>
              <w:bottom w:val="single" w:sz="6" w:space="0" w:color="auto"/>
              <w:right w:val="single" w:sz="6" w:space="0" w:color="auto"/>
            </w:tcBorders>
          </w:tcPr>
          <w:p w14:paraId="2E2C17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C8427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24E55C6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№4 НКБ</w:t>
            </w:r>
          </w:p>
          <w:p w14:paraId="0E17307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AAA220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№68 НКБ</w:t>
            </w:r>
          </w:p>
          <w:p w14:paraId="5BE89BF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05B3633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№70 НКБ</w:t>
            </w:r>
          </w:p>
          <w:p w14:paraId="4DF2EA3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7B0FE54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№4 НКБ</w:t>
            </w:r>
          </w:p>
          <w:p w14:paraId="2BDC599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F66E77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.\°70 НКБ</w:t>
            </w:r>
          </w:p>
          <w:p w14:paraId="69CB0E6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1584FFA" w14:textId="77777777" w:rsidTr="000D3BCB">
        <w:trPr>
          <w:trHeight w:val="202"/>
        </w:trPr>
        <w:tc>
          <w:tcPr>
            <w:tcW w:w="1027" w:type="dxa"/>
            <w:tcBorders>
              <w:top w:val="single" w:sz="6" w:space="0" w:color="auto"/>
              <w:left w:val="single" w:sz="6" w:space="0" w:color="auto"/>
              <w:bottom w:val="single" w:sz="6" w:space="0" w:color="auto"/>
              <w:right w:val="single" w:sz="6" w:space="0" w:color="auto"/>
            </w:tcBorders>
          </w:tcPr>
          <w:p w14:paraId="403D2F3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сентября</w:t>
            </w:r>
          </w:p>
          <w:p w14:paraId="0648D8D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3B3D97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0,6/ —</w:t>
            </w:r>
          </w:p>
          <w:p w14:paraId="15A9B16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A0663E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w:t>
            </w:r>
          </w:p>
          <w:p w14:paraId="5232647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7244E5C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,8/0,5</w:t>
            </w:r>
          </w:p>
          <w:p w14:paraId="582FADC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382A84D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p w14:paraId="5236BB8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8C5870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3,5/1.55</w:t>
            </w:r>
          </w:p>
          <w:p w14:paraId="6CD9247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D6C4D8B" w14:textId="77777777" w:rsidTr="000D3BCB">
        <w:trPr>
          <w:trHeight w:val="202"/>
        </w:trPr>
        <w:tc>
          <w:tcPr>
            <w:tcW w:w="1027" w:type="dxa"/>
            <w:tcBorders>
              <w:top w:val="single" w:sz="6" w:space="0" w:color="auto"/>
              <w:left w:val="single" w:sz="6" w:space="0" w:color="auto"/>
              <w:bottom w:val="single" w:sz="6" w:space="0" w:color="auto"/>
              <w:right w:val="single" w:sz="6" w:space="0" w:color="auto"/>
            </w:tcBorders>
          </w:tcPr>
          <w:p w14:paraId="140121E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5 сентября</w:t>
            </w:r>
          </w:p>
          <w:p w14:paraId="0A7F87D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598A4D6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0,6/—</w:t>
            </w:r>
          </w:p>
          <w:p w14:paraId="29C7E7D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75152BB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w:t>
            </w:r>
          </w:p>
          <w:p w14:paraId="483C0AA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4271F24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,8/1,0</w:t>
            </w:r>
          </w:p>
          <w:p w14:paraId="286945F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69AD23D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p w14:paraId="3243C6A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D295B5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3,5/1.722</w:t>
            </w:r>
          </w:p>
          <w:p w14:paraId="66A32FC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A432F46" w14:textId="77777777" w:rsidTr="000D3BCB">
        <w:trPr>
          <w:trHeight w:val="202"/>
        </w:trPr>
        <w:tc>
          <w:tcPr>
            <w:tcW w:w="1027" w:type="dxa"/>
            <w:tcBorders>
              <w:top w:val="single" w:sz="6" w:space="0" w:color="auto"/>
              <w:left w:val="single" w:sz="6" w:space="0" w:color="auto"/>
              <w:bottom w:val="single" w:sz="6" w:space="0" w:color="auto"/>
              <w:right w:val="single" w:sz="6" w:space="0" w:color="auto"/>
            </w:tcBorders>
          </w:tcPr>
          <w:p w14:paraId="5EE7911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сентября</w:t>
            </w:r>
          </w:p>
          <w:p w14:paraId="74B5A65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77BA93D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0,6/—</w:t>
            </w:r>
          </w:p>
          <w:p w14:paraId="4BC7A40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44EDA96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w:t>
            </w:r>
          </w:p>
          <w:p w14:paraId="6C88484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4349BBA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,8/1,5</w:t>
            </w:r>
          </w:p>
          <w:p w14:paraId="7EB1239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6CAEAEC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p w14:paraId="04748D4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65C5CB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3,5/2.</w:t>
            </w:r>
            <w:r w:rsidRPr="00640820">
              <w:rPr>
                <w:rFonts w:ascii="Times New Roman" w:hAnsi="Times New Roman"/>
                <w:color w:val="000000" w:themeColor="text1"/>
                <w:sz w:val="16"/>
                <w:szCs w:val="16"/>
                <w:vertAlign w:val="superscript"/>
              </w:rPr>
              <w:t>7</w:t>
            </w:r>
            <w:r w:rsidRPr="00640820">
              <w:rPr>
                <w:rFonts w:ascii="Times New Roman" w:hAnsi="Times New Roman"/>
                <w:color w:val="000000" w:themeColor="text1"/>
                <w:sz w:val="16"/>
                <w:szCs w:val="16"/>
              </w:rPr>
              <w:t>06</w:t>
            </w:r>
          </w:p>
          <w:p w14:paraId="205DD1B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263F53A" w14:textId="77777777" w:rsidTr="000D3BCB">
        <w:trPr>
          <w:trHeight w:val="211"/>
        </w:trPr>
        <w:tc>
          <w:tcPr>
            <w:tcW w:w="1027" w:type="dxa"/>
            <w:tcBorders>
              <w:top w:val="single" w:sz="6" w:space="0" w:color="auto"/>
              <w:left w:val="single" w:sz="6" w:space="0" w:color="auto"/>
              <w:bottom w:val="single" w:sz="6" w:space="0" w:color="auto"/>
              <w:right w:val="single" w:sz="6" w:space="0" w:color="auto"/>
            </w:tcBorders>
          </w:tcPr>
          <w:p w14:paraId="0E79697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сентября</w:t>
            </w:r>
          </w:p>
          <w:p w14:paraId="62CF0C2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C12614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0,6/—</w:t>
            </w:r>
          </w:p>
          <w:p w14:paraId="2829C4B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656C92F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w:t>
            </w:r>
          </w:p>
          <w:p w14:paraId="114F22E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3FB374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,8/1,0</w:t>
            </w:r>
          </w:p>
          <w:p w14:paraId="7784C1E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3B0FF20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1,0/0,1</w:t>
            </w:r>
          </w:p>
          <w:p w14:paraId="6DC5672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9128D1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3,5/2.112</w:t>
            </w:r>
          </w:p>
          <w:p w14:paraId="67BABFF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BF48D81" w14:textId="77777777" w:rsidTr="000D3BCB">
        <w:trPr>
          <w:trHeight w:val="202"/>
        </w:trPr>
        <w:tc>
          <w:tcPr>
            <w:tcW w:w="1027" w:type="dxa"/>
            <w:tcBorders>
              <w:top w:val="single" w:sz="6" w:space="0" w:color="auto"/>
              <w:left w:val="single" w:sz="6" w:space="0" w:color="auto"/>
              <w:bottom w:val="single" w:sz="6" w:space="0" w:color="auto"/>
              <w:right w:val="single" w:sz="6" w:space="0" w:color="auto"/>
            </w:tcBorders>
          </w:tcPr>
          <w:p w14:paraId="4FC35AE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сентября</w:t>
            </w:r>
          </w:p>
          <w:p w14:paraId="14834FE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0C9CFE5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0,6/—</w:t>
            </w:r>
          </w:p>
          <w:p w14:paraId="7DD592D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056F100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w:t>
            </w:r>
          </w:p>
          <w:p w14:paraId="10C6D92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3785634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w:t>
            </w:r>
          </w:p>
          <w:p w14:paraId="133E071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4DA2B99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1,0/0,15</w:t>
            </w:r>
          </w:p>
          <w:p w14:paraId="76B6FDE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5380A5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3.5/1. Х36</w:t>
            </w:r>
          </w:p>
          <w:p w14:paraId="31F0BFA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A353A73" w14:textId="77777777" w:rsidTr="000D3BCB">
        <w:trPr>
          <w:trHeight w:val="202"/>
        </w:trPr>
        <w:tc>
          <w:tcPr>
            <w:tcW w:w="1027" w:type="dxa"/>
            <w:tcBorders>
              <w:top w:val="single" w:sz="6" w:space="0" w:color="auto"/>
              <w:left w:val="single" w:sz="6" w:space="0" w:color="auto"/>
              <w:bottom w:val="single" w:sz="6" w:space="0" w:color="auto"/>
              <w:right w:val="single" w:sz="6" w:space="0" w:color="auto"/>
            </w:tcBorders>
          </w:tcPr>
          <w:p w14:paraId="6FE57E0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сентября</w:t>
            </w:r>
          </w:p>
          <w:p w14:paraId="5220CF9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FC9009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0,6/—</w:t>
            </w:r>
          </w:p>
          <w:p w14:paraId="6D27884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0A4D2B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1,1/3,0</w:t>
            </w:r>
          </w:p>
          <w:p w14:paraId="6E34306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633210F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.8/1,0</w:t>
            </w:r>
          </w:p>
          <w:p w14:paraId="12C2F35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5BFED96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1,0/0,15</w:t>
            </w:r>
          </w:p>
          <w:p w14:paraId="5AE71B1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F07E11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3.5/2.664</w:t>
            </w:r>
          </w:p>
          <w:p w14:paraId="1C52A94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8240477" w14:textId="77777777" w:rsidTr="000D3BCB">
        <w:trPr>
          <w:trHeight w:val="202"/>
        </w:trPr>
        <w:tc>
          <w:tcPr>
            <w:tcW w:w="1027" w:type="dxa"/>
            <w:tcBorders>
              <w:top w:val="single" w:sz="6" w:space="0" w:color="auto"/>
              <w:left w:val="single" w:sz="6" w:space="0" w:color="auto"/>
              <w:bottom w:val="single" w:sz="6" w:space="0" w:color="auto"/>
              <w:right w:val="single" w:sz="6" w:space="0" w:color="auto"/>
            </w:tcBorders>
          </w:tcPr>
          <w:p w14:paraId="57101AF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сентября</w:t>
            </w:r>
          </w:p>
          <w:p w14:paraId="1FE6DFE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7729666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0,7/—</w:t>
            </w:r>
          </w:p>
          <w:p w14:paraId="0A4A7F6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67070B6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1,2/1,207</w:t>
            </w:r>
          </w:p>
          <w:p w14:paraId="144D5EF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7740D67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,8/1,0</w:t>
            </w:r>
          </w:p>
          <w:p w14:paraId="0D70579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9DC225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1,0/0,2</w:t>
            </w:r>
          </w:p>
          <w:p w14:paraId="7D1DC36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9DD82C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3,5/2.3</w:t>
            </w:r>
          </w:p>
          <w:p w14:paraId="41EE259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D45412F" w14:textId="77777777" w:rsidTr="000D3BCB">
        <w:trPr>
          <w:trHeight w:val="211"/>
        </w:trPr>
        <w:tc>
          <w:tcPr>
            <w:tcW w:w="1027" w:type="dxa"/>
            <w:tcBorders>
              <w:top w:val="single" w:sz="6" w:space="0" w:color="auto"/>
              <w:left w:val="single" w:sz="6" w:space="0" w:color="auto"/>
              <w:bottom w:val="single" w:sz="6" w:space="0" w:color="auto"/>
              <w:right w:val="single" w:sz="6" w:space="0" w:color="auto"/>
            </w:tcBorders>
          </w:tcPr>
          <w:p w14:paraId="48CC2C6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сентября</w:t>
            </w:r>
          </w:p>
          <w:p w14:paraId="5BD18B0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10D0145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0,7/—</w:t>
            </w:r>
          </w:p>
          <w:p w14:paraId="19A9244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08E2578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1,2/0,666</w:t>
            </w:r>
          </w:p>
          <w:p w14:paraId="6E444FF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4DBCE84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,8/1,6</w:t>
            </w:r>
          </w:p>
          <w:p w14:paraId="63290B6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38A7F73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p w14:paraId="1EC3CFA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902D96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3,5/2.69/</w:t>
            </w:r>
          </w:p>
          <w:p w14:paraId="5D5ABE5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9B80B94" w14:textId="77777777" w:rsidTr="000D3BCB">
        <w:trPr>
          <w:trHeight w:val="202"/>
        </w:trPr>
        <w:tc>
          <w:tcPr>
            <w:tcW w:w="1027" w:type="dxa"/>
            <w:tcBorders>
              <w:top w:val="single" w:sz="6" w:space="0" w:color="auto"/>
              <w:left w:val="single" w:sz="6" w:space="0" w:color="auto"/>
              <w:bottom w:val="single" w:sz="6" w:space="0" w:color="auto"/>
              <w:right w:val="single" w:sz="6" w:space="0" w:color="auto"/>
            </w:tcBorders>
          </w:tcPr>
          <w:p w14:paraId="64E294A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сентября</w:t>
            </w:r>
          </w:p>
          <w:p w14:paraId="636D5F6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75F2982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0,7/—</w:t>
            </w:r>
          </w:p>
          <w:p w14:paraId="76C351C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3E24274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1,2/1,173</w:t>
            </w:r>
          </w:p>
          <w:p w14:paraId="0C03209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6F050B6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1,8/1,124</w:t>
            </w:r>
          </w:p>
          <w:p w14:paraId="2F9264A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1E2B269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1,0/0,2</w:t>
            </w:r>
          </w:p>
          <w:p w14:paraId="787542B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58DD6C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3,5/2.73/</w:t>
            </w:r>
          </w:p>
          <w:p w14:paraId="6D7557D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A9F6260" w14:textId="77777777" w:rsidTr="000D3BCB">
        <w:trPr>
          <w:trHeight w:val="202"/>
        </w:trPr>
        <w:tc>
          <w:tcPr>
            <w:tcW w:w="1027" w:type="dxa"/>
            <w:tcBorders>
              <w:top w:val="single" w:sz="6" w:space="0" w:color="auto"/>
              <w:left w:val="single" w:sz="6" w:space="0" w:color="auto"/>
              <w:bottom w:val="single" w:sz="6" w:space="0" w:color="auto"/>
              <w:right w:val="single" w:sz="6" w:space="0" w:color="auto"/>
            </w:tcBorders>
          </w:tcPr>
          <w:p w14:paraId="34A10E6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сентября</w:t>
            </w:r>
          </w:p>
          <w:p w14:paraId="21B22C8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B63303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0,7/—</w:t>
            </w:r>
          </w:p>
          <w:p w14:paraId="373D09B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3BAA8E9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1,2/0,986</w:t>
            </w:r>
          </w:p>
          <w:p w14:paraId="192E14C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17DFAD7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1,9/1,221</w:t>
            </w:r>
          </w:p>
          <w:p w14:paraId="7B0DCD1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5B830EE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1,0/0,3</w:t>
            </w:r>
          </w:p>
          <w:p w14:paraId="4DDEA7E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1DB29E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4,0/3.313</w:t>
            </w:r>
          </w:p>
          <w:p w14:paraId="7FE40BA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4785BBC" w14:textId="77777777" w:rsidTr="000D3BCB">
        <w:trPr>
          <w:trHeight w:val="202"/>
        </w:trPr>
        <w:tc>
          <w:tcPr>
            <w:tcW w:w="1027" w:type="dxa"/>
            <w:tcBorders>
              <w:top w:val="single" w:sz="6" w:space="0" w:color="auto"/>
              <w:left w:val="single" w:sz="6" w:space="0" w:color="auto"/>
              <w:bottom w:val="single" w:sz="6" w:space="0" w:color="auto"/>
              <w:right w:val="single" w:sz="6" w:space="0" w:color="auto"/>
            </w:tcBorders>
          </w:tcPr>
          <w:p w14:paraId="7F8DE7F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сентября</w:t>
            </w:r>
          </w:p>
          <w:p w14:paraId="02081E6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0C83606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0,7/—</w:t>
            </w:r>
          </w:p>
          <w:p w14:paraId="271673D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365D0F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1,2/1,08</w:t>
            </w:r>
          </w:p>
          <w:p w14:paraId="140E593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0581DED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1,9/1,397</w:t>
            </w:r>
          </w:p>
          <w:p w14:paraId="624E113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67F6606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p w14:paraId="71DD183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9F8180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4,0/3.14</w:t>
            </w:r>
          </w:p>
          <w:p w14:paraId="4DBDC69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480ECDC" w14:textId="77777777" w:rsidTr="000D3BCB">
        <w:trPr>
          <w:trHeight w:val="240"/>
        </w:trPr>
        <w:tc>
          <w:tcPr>
            <w:tcW w:w="1027" w:type="dxa"/>
            <w:tcBorders>
              <w:top w:val="single" w:sz="6" w:space="0" w:color="auto"/>
              <w:left w:val="single" w:sz="6" w:space="0" w:color="auto"/>
              <w:bottom w:val="single" w:sz="6" w:space="0" w:color="auto"/>
              <w:right w:val="single" w:sz="6" w:space="0" w:color="auto"/>
            </w:tcBorders>
          </w:tcPr>
          <w:p w14:paraId="1863FCB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сентября</w:t>
            </w:r>
          </w:p>
          <w:p w14:paraId="4EE29B8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67623F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0,7/—</w:t>
            </w:r>
          </w:p>
          <w:p w14:paraId="5D4FDB2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5B9862F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w:t>
            </w:r>
          </w:p>
          <w:p w14:paraId="001A06E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0187D65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1,9/1,17</w:t>
            </w:r>
          </w:p>
          <w:p w14:paraId="5335815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46B003B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w:t>
            </w:r>
          </w:p>
          <w:p w14:paraId="698B747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6001C8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^дшпГИ</w:t>
            </w:r>
          </w:p>
          <w:p w14:paraId="6D522C7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10B71B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(11402).</w:t>
      </w:r>
    </w:p>
    <w:p w14:paraId="0F1733E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2E1E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приняли на вооружение модификацию прибора торпедного ПТН-5, оснащенную коллиматорным дальномером, после чего он получил обозначение ПТН-5к. Прицел ПТН-5 обеспечивал построение торпедного треугольника по установленным гла- зомерно скорости и курсовому углу цели, вырабатывал значение боевого курса. Прицел позволял производить торпедометание при различных скоростях торпеды и цели как с правого, так и с левого борта корабля. Работы по совершенствованию прицелов не прекращались, и в том же 1940 г. в НИИ-20 началась разработка прицела с использованием гироскопа торпеды для задания угла упреждения не курсом самолета, а разворотом самой торпеды в воде, причем угол упреждения можно было менять непосредственно в воздухе (12002).</w:t>
      </w:r>
    </w:p>
    <w:p w14:paraId="6C632C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3B1DB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года была проработана установка М-13 на модифицированном шасси легкого танка Т-40 для пуска снарядов М-13. Так как ходовая часть была перегружена, установка не была принята на вооружение [33] (11772).</w:t>
      </w:r>
    </w:p>
    <w:p w14:paraId="494DA7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32376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года по заданию ГУВ ГМЧ КА и указанию НКОМ специалисты СКБ проводили работы по установкам М-8 с метательной установкой на месте башни танка Т-40. Для первого варианта использовалась направляющая длиной 2000 мм типа “флейта”. Испытания показали повышенное рассеивание снарядов. Работы по проекту были прекращены (11772).</w:t>
      </w:r>
    </w:p>
    <w:p w14:paraId="4281C4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74B0BE1" w14:textId="77777777" w:rsidR="00984994" w:rsidRPr="00640820" w:rsidRDefault="0098499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года была проработана установка М-13 на доработанном шасси легкого танка Т-40 для пуска снарядов М-13. Так как ходовая часть была перегружена, установка не была принята на вооружение (15981).</w:t>
      </w:r>
    </w:p>
    <w:p w14:paraId="65137274" w14:textId="77777777" w:rsidR="00984994" w:rsidRPr="00640820" w:rsidRDefault="00984994" w:rsidP="00640820">
      <w:pPr>
        <w:spacing w:after="0" w:line="240" w:lineRule="auto"/>
        <w:jc w:val="both"/>
        <w:rPr>
          <w:rFonts w:ascii="Times New Roman" w:hAnsi="Times New Roman"/>
          <w:color w:val="000000" w:themeColor="text1"/>
          <w:sz w:val="16"/>
          <w:szCs w:val="16"/>
        </w:rPr>
      </w:pPr>
    </w:p>
    <w:p w14:paraId="361AC36D" w14:textId="77777777" w:rsidR="00F52A2A" w:rsidRPr="00640820" w:rsidRDefault="00F52A2A" w:rsidP="00640820">
      <w:pPr>
        <w:pStyle w:val="ae"/>
        <w:spacing w:before="0" w:after="0"/>
        <w:jc w:val="both"/>
        <w:rPr>
          <w:color w:val="000000" w:themeColor="text1"/>
          <w:sz w:val="16"/>
          <w:szCs w:val="16"/>
        </w:rPr>
      </w:pPr>
      <w:r w:rsidRPr="00640820">
        <w:rPr>
          <w:color w:val="000000" w:themeColor="text1"/>
          <w:sz w:val="16"/>
          <w:szCs w:val="16"/>
        </w:rPr>
        <w:t>В сентябре 1941 года с фронтов пошла инфор</w:t>
      </w:r>
      <w:r w:rsidRPr="00640820">
        <w:rPr>
          <w:color w:val="000000" w:themeColor="text1"/>
          <w:sz w:val="16"/>
          <w:szCs w:val="16"/>
        </w:rPr>
        <w:softHyphen/>
        <w:t>мация, что в условиях осенней распутицы проходимость БМ рез</w:t>
      </w:r>
      <w:r w:rsidRPr="00640820">
        <w:rPr>
          <w:color w:val="000000" w:themeColor="text1"/>
          <w:sz w:val="16"/>
          <w:szCs w:val="16"/>
        </w:rPr>
        <w:softHyphen/>
        <w:t>ко снизилась. Заводом «Компрессор» (г. Москва) были разработаны установки М-13 на шасси артиллерийского тягача СТЗ-5 и М-8 на базе танка Т-30, они получили заводские индексы КС-75 и КС-77 соответ</w:t>
      </w:r>
      <w:r w:rsidRPr="00640820">
        <w:rPr>
          <w:color w:val="000000" w:themeColor="text1"/>
          <w:sz w:val="16"/>
          <w:szCs w:val="16"/>
        </w:rPr>
        <w:softHyphen/>
        <w:t>ственно. В конце сентября опытный образец КС-77 успешно прошел испытания стрельбой, до ноября «Компрессор» изготовил 24 установ</w:t>
      </w:r>
      <w:r w:rsidRPr="00640820">
        <w:rPr>
          <w:color w:val="000000" w:themeColor="text1"/>
          <w:sz w:val="16"/>
          <w:szCs w:val="16"/>
        </w:rPr>
        <w:softHyphen/>
        <w:t>ки М-8 (включая прототип). Стоит отметить, что в сводных отчетах указывается всего 3 М-8 на базе Т-40, но есть полный список шасси Т-30, отправленных с завода № 37 на «Компрессор» — 10 в сентябре и 14 в октябре. Более того, по состоянию на 10 октября 15 М-8 на базе Т-40 находилось в различной степени готовности. Судя по всему, в не</w:t>
      </w:r>
      <w:r w:rsidRPr="00640820">
        <w:rPr>
          <w:color w:val="000000" w:themeColor="text1"/>
          <w:sz w:val="16"/>
          <w:szCs w:val="16"/>
        </w:rPr>
        <w:softHyphen/>
        <w:t>разберихе, связанной с эвакуацией, данные системы по документам были отправлены как М-8 на шасси ЗИС-6 (17485).</w:t>
      </w:r>
    </w:p>
    <w:p w14:paraId="3BC80D08" w14:textId="77777777" w:rsidR="00F52A2A" w:rsidRPr="00640820" w:rsidRDefault="00F52A2A" w:rsidP="00640820">
      <w:pPr>
        <w:pStyle w:val="ae"/>
        <w:spacing w:before="0" w:after="0"/>
        <w:jc w:val="both"/>
        <w:rPr>
          <w:color w:val="000000" w:themeColor="text1"/>
          <w:sz w:val="16"/>
          <w:szCs w:val="16"/>
        </w:rPr>
      </w:pPr>
    </w:p>
    <w:p w14:paraId="04A8BCFC" w14:textId="77777777" w:rsidR="00984994" w:rsidRPr="00640820" w:rsidRDefault="0098499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года по заданию ГУВ ГМЧ КА и указанию НКОМ специалисты СКБ проводили работы по установкам М-8 с метательной установкой на месте башни танка Т-40. Для первого варианта использовалась направляющая длиной 2000 мм типа “флейта”. Испытания показали повышенное рассеивание снарядов. Работы по проекту были прекращены (15981).</w:t>
      </w:r>
    </w:p>
    <w:p w14:paraId="5866B130" w14:textId="77777777" w:rsidR="00984994" w:rsidRPr="00640820" w:rsidRDefault="00984994" w:rsidP="00640820">
      <w:pPr>
        <w:spacing w:after="0" w:line="240" w:lineRule="auto"/>
        <w:jc w:val="both"/>
        <w:rPr>
          <w:rFonts w:ascii="Times New Roman" w:hAnsi="Times New Roman"/>
          <w:color w:val="000000" w:themeColor="text1"/>
          <w:sz w:val="16"/>
          <w:szCs w:val="16"/>
        </w:rPr>
      </w:pPr>
    </w:p>
    <w:p w14:paraId="76A86D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сентябре 1941 года в руки немецких военных попала советская установка для ведения залпового огня. Согласно Особому распоряжению (1с) №11 за подписью 1-го офицера Генштаба германской армии от 23.9.1941 года “В районе действия армейской группы Норд захвачена залповая пушка, которая стреляет 76м/м гранатами. Кроме того, сообщается о залповой пушке, состоящей из 10-15 стволов, сконструированных в одну систему. Эта пушка имеет салазки длиной около 6 метров, которые смонтированы в задней части грузовика”. В распоряжении указывалось, что в случае захвата залповой пушки или пленных, дающих показания о ней согласно приказу Верховного Командования обращать особое внимание на детальное выяснение конструкции пушки и снарядов. Немедленно надлежало установить предприятие-изготовитель, что представляло особый интерес [27]. На основании приведенной информации можно сделать вывод, что была захвачена установка серии М-8 – вероятно М-8-36. Осенью 1941 года немцы обладали данными о дальности стрельбы 2000-3000 м., только из одного показания немцам стало известно о дальности 8000м [28]. Дальность порядка 3000 м указывалась и в проекте краткой инструкции по установке М-13 (11772). </w:t>
      </w:r>
    </w:p>
    <w:p w14:paraId="3682A8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D5873FE" w14:textId="77777777" w:rsidR="00F874F7" w:rsidRPr="00640820" w:rsidRDefault="00F874F7"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сентябре 1941 Совет обороны поручил НАТИ принять участие в создании пусковой установки реактивных снарядов на базе транспортного трак</w:t>
      </w:r>
      <w:r w:rsidRPr="00640820">
        <w:rPr>
          <w:rFonts w:ascii="Times New Roman" w:hAnsi="Times New Roman"/>
          <w:color w:val="0070C0"/>
          <w:sz w:val="16"/>
          <w:szCs w:val="16"/>
        </w:rPr>
        <w:softHyphen/>
        <w:t>тора СТЗ-5. Н.И. Коротоношко, Е.Г. Попов и Б.Н. Ти</w:t>
      </w:r>
      <w:r w:rsidRPr="00640820">
        <w:rPr>
          <w:rFonts w:ascii="Times New Roman" w:hAnsi="Times New Roman"/>
          <w:color w:val="0070C0"/>
          <w:sz w:val="16"/>
          <w:szCs w:val="16"/>
        </w:rPr>
        <w:softHyphen/>
        <w:t>хомиров, командированные на Московский завод «Компрессор», участвовали в проектировании и изготовлении опытных образцов пусковой установ</w:t>
      </w:r>
      <w:r w:rsidRPr="00640820">
        <w:rPr>
          <w:rFonts w:ascii="Times New Roman" w:hAnsi="Times New Roman"/>
          <w:color w:val="0070C0"/>
          <w:sz w:val="16"/>
          <w:szCs w:val="16"/>
        </w:rPr>
        <w:softHyphen/>
        <w:t>ки, вооруженной снарядами М-13 калибра 132 мм. Впоследствии эти установки выпускались малыми сериями (22518).</w:t>
      </w:r>
    </w:p>
    <w:p w14:paraId="3566A2A7" w14:textId="77777777" w:rsidR="00F874F7" w:rsidRPr="00640820" w:rsidRDefault="00F874F7" w:rsidP="00640820">
      <w:pPr>
        <w:spacing w:after="0" w:line="240" w:lineRule="auto"/>
        <w:jc w:val="both"/>
        <w:rPr>
          <w:rFonts w:ascii="Times New Roman" w:hAnsi="Times New Roman"/>
          <w:color w:val="0070C0"/>
          <w:sz w:val="16"/>
          <w:szCs w:val="16"/>
        </w:rPr>
      </w:pPr>
    </w:p>
    <w:p w14:paraId="1F094E39" w14:textId="77777777" w:rsidR="002E1BEB" w:rsidRPr="00640820" w:rsidRDefault="002E1BEB" w:rsidP="00640820">
      <w:pPr>
        <w:pStyle w:val="ae"/>
        <w:shd w:val="clear" w:color="auto" w:fill="FFFFFF"/>
        <w:spacing w:before="0" w:after="0"/>
        <w:jc w:val="both"/>
        <w:textAlignment w:val="baseline"/>
        <w:rPr>
          <w:color w:val="0070C0"/>
          <w:sz w:val="16"/>
          <w:szCs w:val="16"/>
        </w:rPr>
      </w:pPr>
      <w:r w:rsidRPr="00640820">
        <w:rPr>
          <w:color w:val="0070C0"/>
          <w:sz w:val="16"/>
          <w:szCs w:val="16"/>
        </w:rPr>
        <w:t>Начиная с сентября 1941 года, выдвигались предложения об использовании аэросаней для пусков РС. Они не нашли поддержки по двум причинам: во-первых, аэросани могли передвигаться только по снежному и ледяному насту; во-вторых, существовавшие шасси допускали монтаж только четырёх направляющих, что снижало эффективность залпа. Идея буксировки аэросанями самоходных саней с пусковыми установками, которую обсуждали в декабре, также не вышла за стадию прикидочных расчётов (19941).</w:t>
      </w:r>
    </w:p>
    <w:p w14:paraId="430A918F" w14:textId="77777777" w:rsidR="002E1BEB" w:rsidRPr="00640820" w:rsidRDefault="002E1BEB" w:rsidP="00640820">
      <w:pPr>
        <w:pStyle w:val="ae"/>
        <w:shd w:val="clear" w:color="auto" w:fill="FFFFFF"/>
        <w:spacing w:before="0" w:after="0"/>
        <w:jc w:val="both"/>
        <w:textAlignment w:val="baseline"/>
        <w:rPr>
          <w:color w:val="0070C0"/>
          <w:sz w:val="16"/>
          <w:szCs w:val="16"/>
        </w:rPr>
      </w:pPr>
    </w:p>
    <w:p w14:paraId="4D8B2A89"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6EEB96A5"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EFF1FB7" w14:textId="77777777" w:rsidR="00F26E86" w:rsidRPr="00640820" w:rsidRDefault="00F26E86" w:rsidP="00640820">
      <w:pPr>
        <w:pStyle w:val="ae"/>
        <w:spacing w:before="0" w:after="0"/>
        <w:jc w:val="both"/>
        <w:rPr>
          <w:color w:val="000000" w:themeColor="text1"/>
          <w:sz w:val="16"/>
          <w:szCs w:val="16"/>
        </w:rPr>
      </w:pPr>
      <w:r w:rsidRPr="00640820">
        <w:rPr>
          <w:color w:val="000000" w:themeColor="text1"/>
          <w:sz w:val="16"/>
          <w:szCs w:val="16"/>
        </w:rPr>
        <w:t>В сентябре 1941 года в Казани организуется Проектное бюро по разработке объектов спецназначения во главе с доцентом В.А. Симоновым. Главным технологом назначается директор объединенного института КХТИ (15467).</w:t>
      </w:r>
    </w:p>
    <w:p w14:paraId="7C709F58" w14:textId="77777777" w:rsidR="00F26E86" w:rsidRPr="00640820" w:rsidRDefault="00F26E86" w:rsidP="00640820">
      <w:pPr>
        <w:pStyle w:val="ae"/>
        <w:spacing w:before="0" w:after="0"/>
        <w:jc w:val="both"/>
        <w:rPr>
          <w:color w:val="000000" w:themeColor="text1"/>
          <w:sz w:val="16"/>
          <w:szCs w:val="16"/>
        </w:rPr>
      </w:pPr>
    </w:p>
    <w:p w14:paraId="079DFA71" w14:textId="77777777" w:rsidR="003A0BD1" w:rsidRPr="00640820" w:rsidRDefault="003A0BD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shd w:val="clear" w:color="auto" w:fill="FFFFFF"/>
        </w:rPr>
        <w:t>В сентябре 1941 года организуется Проектное бюро по разработке объектов спецназначения во главе с доцентом В.А. Симоновым. Главным технологом назначается директор объединенного института (19699).</w:t>
      </w:r>
    </w:p>
    <w:p w14:paraId="529D841C" w14:textId="77777777" w:rsidR="003A0BD1" w:rsidRPr="00640820" w:rsidRDefault="003A0BD1" w:rsidP="00640820">
      <w:pPr>
        <w:spacing w:after="0" w:line="240" w:lineRule="auto"/>
        <w:jc w:val="both"/>
        <w:rPr>
          <w:rFonts w:ascii="Times New Roman" w:hAnsi="Times New Roman"/>
          <w:color w:val="000000" w:themeColor="text1"/>
          <w:sz w:val="16"/>
          <w:szCs w:val="16"/>
        </w:rPr>
      </w:pPr>
    </w:p>
    <w:p w14:paraId="7FE215D0" w14:textId="77777777" w:rsidR="003A0BD1" w:rsidRPr="00640820" w:rsidRDefault="003A0BD1" w:rsidP="00640820">
      <w:pPr>
        <w:spacing w:after="0" w:line="240" w:lineRule="auto"/>
        <w:jc w:val="both"/>
        <w:textAlignment w:val="baseline"/>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сентябре 1941-го по инициативе Научно-технического совета по координации и усилению научных исследований в области химии при Государственном Комитете Обороны (ГКО) начались систематические работы по использованию эффекта кумуляции энергии взрыва для создания противотанковых боеприпасов. Уже в октябре 1941 года в НИИ-6 Наркомата боеприпасов прошли испытания кумулятивных зарядов (18988).</w:t>
      </w:r>
    </w:p>
    <w:p w14:paraId="1F6BBF21" w14:textId="77777777" w:rsidR="003A0BD1" w:rsidRPr="00640820" w:rsidRDefault="003A0BD1" w:rsidP="00640820">
      <w:pPr>
        <w:spacing w:after="0" w:line="240" w:lineRule="auto"/>
        <w:jc w:val="both"/>
        <w:textAlignment w:val="baseline"/>
        <w:rPr>
          <w:rFonts w:ascii="Times New Roman" w:eastAsia="Times New Roman" w:hAnsi="Times New Roman"/>
          <w:color w:val="000000" w:themeColor="text1"/>
          <w:sz w:val="16"/>
          <w:szCs w:val="16"/>
          <w:lang w:eastAsia="ru-RU"/>
        </w:rPr>
      </w:pPr>
    </w:p>
    <w:p w14:paraId="039024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основная часть завода № 17 эвакуирована в Барнаул, продолжила действовать там под прежним номером. Сюда же в 1941 г. эвакуированы Опытный завод № 40 НКВ и завод № 44 НКВ из Москвы, а также часть завода № 60 НКВ. Другая часть завода № 17 позже эвакуирована в Глазов на площадку завода № 544 НКВ. Днем рождения завода в Барнауле стало 24.11.1941 г., когда была выпущена первая партия патронов. За годы войны выпустил 50 % всех патронов в стране.</w:t>
      </w:r>
    </w:p>
    <w:p w14:paraId="4BD49E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На старом месте в Подольске в соответствии с пост. ГКО № 1718 от 9.05.1942 г. «Об организации патронного производства в Подольске» создан новый патронный завод, в 1944 г. ему присвоен № 710 НКВ.</w:t>
      </w:r>
    </w:p>
    <w:p w14:paraId="36D2C0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завод перепрофилирован на выпуск станков. Затем освоил производство сельхозоборудования. В 1970-е-80-е  г. освоен выпуск автоматических роторных линий 2-го поколения, новых станков. В конце 1980-х- начале 1990-х  г. создано производство бытовой техники.</w:t>
      </w:r>
    </w:p>
    <w:p w14:paraId="4E2C89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1990-е  г. проведена реорганизация предприятия, производство боеприпасов выделено в самостоятельный Барнаульский патронный завод.</w:t>
      </w:r>
    </w:p>
    <w:p w14:paraId="1DADBC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12.1982 г. заводу присвоено имя 60-летия СССР. По решению правительства № 22-р от 9.01.2004 г. вошло в перечень стратегических предприятий.</w:t>
      </w:r>
    </w:p>
    <w:p w14:paraId="2D32EE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(-04-10.06.1937 Г.)- М.В. Коссой, (-02-03.1938 г.-)- И.А. Штанин, (1941-52 г.)- ГЛ. Соломко, (1970- 95 г.)- П.С. Кулагин, (1995-2001 г.)- В. Г. Горшков, (2001-05 г.-)- В.А. Яшкин.</w:t>
      </w:r>
    </w:p>
    <w:p w14:paraId="15E845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(10.1937 г.)- Першин, (8.07.1938 г.-&gt; К.А. Володин.</w:t>
      </w:r>
    </w:p>
    <w:p w14:paraId="0AC439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И.О. гл. инженера (03.1938 г.)- Ронжин. Гл. инженер (8.07.1938 г.-)- (8.07.1938 г.-)- К.А. Володин.</w:t>
      </w:r>
    </w:p>
    <w:p w14:paraId="24DB37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строительства (1938 г.)- Акопов.</w:t>
      </w:r>
    </w:p>
    <w:p w14:paraId="08F2D8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патроны: калибра 7,62 мм, 12,7 мм, 14,5 мм (ВОВ); автоматы 1111111, минометы 50-мм, патроны к ППШ, запальные трубки для РПГ-40 (1941); станки: токарные, кругло- и бесцентрово-шлифовальные (1950-е), продольно-фрезерный ФАС, электроэрозионные, электрохимические, станки с ЧПУ (1980-е), деревообрабатывающие (1990-е); электрические тали (1950-е-2000-е), промышленные цепи (1950-е-2000-е); передвижные доильные станции, охладители молока, мини-тракторы, передвижные воздушно-компрессорные станции (1960-е), кирпичеделательные прессы (1990-е), теплообменники (2000-е); стиральные машины «Алтай- электрон», насос «Алтай» (1990-е) (11982).</w:t>
      </w:r>
    </w:p>
    <w:p w14:paraId="676BC0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BD5BE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на Завод № 545 НКВ /г. Чкалов/ эвакуирована часть завода № 60 НКВ (865 станков и 5 прессов, 671 человек).</w:t>
      </w:r>
      <w:r w:rsidRPr="00640820">
        <w:rPr>
          <w:rFonts w:ascii="Times New Roman" w:hAnsi="Times New Roman"/>
          <w:color w:val="000000" w:themeColor="text1"/>
          <w:sz w:val="16"/>
          <w:szCs w:val="16"/>
          <w:vertAlign w:val="superscript"/>
        </w:rPr>
        <w:t xml:space="preserve">92 </w:t>
      </w:r>
      <w:r w:rsidRPr="00640820">
        <w:rPr>
          <w:rFonts w:ascii="Times New Roman" w:hAnsi="Times New Roman"/>
          <w:color w:val="000000" w:themeColor="text1"/>
          <w:sz w:val="16"/>
          <w:szCs w:val="16"/>
        </w:rPr>
        <w:t>Размещался в помещениях сельскохозяйственного института, типографии «Южный Урал», церкви (ул. Маврицкого) и политехнического института. Производство бронебойных винтовочных патронов. В 08.1945 г. завод № 545 НКВ перебазирован (11982).</w:t>
      </w:r>
    </w:p>
    <w:p w14:paraId="41EEDD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3AA02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на Завод № 573 НКБ /г. Кемерово/ был эвакуирована часть завода № 101 НКБ из Днепродзержинска.</w:t>
      </w:r>
    </w:p>
    <w:p w14:paraId="2C2C73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12.1942 г. - в ведении ЗГУ НКБ, в 08.1943-09.1944 г. - в ведении 8ГУ.</w:t>
      </w:r>
    </w:p>
    <w:p w14:paraId="4044D1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(12.1942 г.)- 995 чел. (11982).</w:t>
      </w:r>
    </w:p>
    <w:p w14:paraId="2B35F5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0077F11" w14:textId="77777777" w:rsidR="003A0BD1" w:rsidRPr="00640820" w:rsidRDefault="003A0BD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промышленность вооружений произвела 317,7 тыс. шт. винтовок и 22,1 тыс. шт. пистолетов-пулеметов, в ноябре - 221,2 тыс. шт. винтовок и 3345 шт. пистолетов-пулеметов (18406).</w:t>
      </w:r>
    </w:p>
    <w:p w14:paraId="4AA28C9C" w14:textId="77777777" w:rsidR="003A0BD1" w:rsidRPr="00640820" w:rsidRDefault="003A0BD1" w:rsidP="00640820">
      <w:pPr>
        <w:spacing w:after="0" w:line="240" w:lineRule="auto"/>
        <w:jc w:val="both"/>
        <w:rPr>
          <w:rFonts w:ascii="Times New Roman" w:hAnsi="Times New Roman"/>
          <w:color w:val="000000" w:themeColor="text1"/>
          <w:sz w:val="16"/>
          <w:szCs w:val="16"/>
        </w:rPr>
      </w:pPr>
    </w:p>
    <w:p w14:paraId="58F929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Сумской машиностроительный завод им. Фрунзе был эвакуирован в  г. Чирчик (Завод № 724 ИМ. Фрунзе НКМВ, Завод им. Фрунзе НКМВ, Средне-Азиатский завод химического машиностроения («Средазхиммаш») ММиП, АООТ, ОАО «Узбекхиммаш» /г. Чирчик, 8 Ташкентской обл. «Средазхиммаш» (1948 г.)/ /Узбекистан 702108  г. Чирчик Ташкентской обл. ул. Менделеева, 8/). Первый эшелон прибыл на станцию Боз-Су 11.09.1941 г. Оборудование размещено на площадке Ремонтно-механического завода Чирчикского ЭХК. В 10.1941 г. завод уже выдал первую продукцию. На базе эвакуированного завода создан завод № 724 им. Фрунзе НКМВ (был на 19.05.1942 г.).</w:t>
      </w:r>
    </w:p>
    <w:p w14:paraId="69C9EF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июня 1942 г. приказом НКМВ № 222с в соответствии с пост, правительства № 939-481с от 13.06.1942 г. заводу им. Фрунзе поручено восстановить во втором полугодии 1942 г. производство насосокомпрессорного и химического оборудования. Для этого заводу передан Ремонтно-механический завод Чирчикского ЭХК со всеми цехами; на завод направлено 215 чел. в июне и 500 чел. в июле. К 1.10.1942 г. на территории завода необходимо было построить новые цехи: механический (2000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литейный, модельный (500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кузнечно-котельный (2000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 соответствии с пост, правительства № 1032-509с от 25.06.1942 г. и приказом НКМВ № 230с от 30.06.1942 г. заводу поручено изготовить центробежный насос В-200; в соответствии с пост, правительства № 1052-522сс и приказом НКМВ № 231сс от 1.07.1942 г. для строительства завода № 103 НКХП заводу поручено изготовить вакуум-насос РМК-4; в соответствии с пост, правительства № 1028-508с от 26.06.1942 г. и приказом НКМВ № 235с от 3.07.1942 г. заводу поручено изготовить для НК леса вакуум-насосы РМК-3; в соответствии с пост, правительства № 1107-548с от 5.07.1942 г. и приказом № 244с от 10.07.1942 г. заводу поручено изготовить для НКТМ питательные насосы 2П-100 и 2П-125 - 15 шт.; в соответствии с пост. ГКО № 2008сс от 10.07.1942 г. и приказом № 249сс от 13.07.1942 г. заводу поручено изготовить для завода № 576 НКБ вакуум-насос РМК-1 и компрессор 400-2к.</w:t>
      </w:r>
    </w:p>
    <w:p w14:paraId="030012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ГКО № 3616 от 21.06.1943 г. на заводе организовано производство гидротурбин мелких и средних мощностей; в соответствии с пост. ГКО № 7851 от 16.03.1945 г. - организовано производство высоконапорных насосов.</w:t>
      </w:r>
    </w:p>
    <w:p w14:paraId="34CF28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1947-53 г. завод - в ведении Главхиммаша ММиП.</w:t>
      </w:r>
    </w:p>
    <w:p w14:paraId="0A5849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завода (1947 г.) цехи: основные: механические № 1, 2, 3, котельный, кузнечный, литейный, ширпотреба, транспортный, СПП; вспомогательные: модельный, инструментальный. Кроме того, (1953 г.): основные: механический № 4, механосборочный № 2, раскройно-заготовительный, котельно-сборочный № 1, компрессоро-сборочный, кузнечно-прессовый, электро-ремонтный, транспортный, упаковочный, строй-бюро, лаборатория; вспомогательные: ремонтно-механический.</w:t>
      </w:r>
    </w:p>
    <w:p w14:paraId="77FDC8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(1946 г.)- 414 ед., (1947 г.)- 600 ед., (1953 г.)- 750 ед.</w:t>
      </w:r>
    </w:p>
    <w:p w14:paraId="5DF08B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территории (1947 г.)- 16 га, (1953 г.)- 17,3 га; застройки (1947 г.)- 38805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(1953 г.)- 48908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производственная (1946 г.)- 29664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(1947 г.)- 29664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(1953 г.)- 34266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вспомогательная (1953 г.)- 7774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прочая (1953 г.)- 24362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701E62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(1946 г.)- 1804 чел., (1947 г.)- 2062 чел., (1953 г.)- 2598 чел.</w:t>
      </w:r>
    </w:p>
    <w:p w14:paraId="58BF00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(06.1942 г.)- Белоцерковский.</w:t>
      </w:r>
    </w:p>
    <w:p w14:paraId="3285AA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(1942-43 г.)- Н.Я. Толстокор.</w:t>
      </w:r>
    </w:p>
    <w:p w14:paraId="4CDB38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(1948 г.)- Филоненко.</w:t>
      </w:r>
    </w:p>
    <w:p w14:paraId="110EBD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 насосы:</w:t>
      </w:r>
      <w:r w:rsidRPr="00640820">
        <w:rPr>
          <w:rFonts w:ascii="Times New Roman" w:hAnsi="Times New Roman"/>
          <w:color w:val="000000" w:themeColor="text1"/>
          <w:sz w:val="16"/>
          <w:szCs w:val="16"/>
        </w:rPr>
        <w:t xml:space="preserve"> центробежные АР-100 (-1942-47-), -250, В-150, -200, -250 (1942), 4В-75 (1947); питательные 2П-100 и 2П-125 (1942), П-150 (1947); вакуум-насосы РМК-1 (1942), -3, -4 (-1942-47-); мотонасос ВСА-150 (1947);</w:t>
      </w:r>
      <w:r w:rsidRPr="00640820">
        <w:rPr>
          <w:rFonts w:ascii="Times New Roman" w:hAnsi="Times New Roman"/>
          <w:iCs/>
          <w:color w:val="000000" w:themeColor="text1"/>
          <w:sz w:val="16"/>
          <w:szCs w:val="16"/>
        </w:rPr>
        <w:t xml:space="preserve"> компрессоры:</w:t>
      </w:r>
      <w:r w:rsidRPr="00640820">
        <w:rPr>
          <w:rFonts w:ascii="Times New Roman" w:hAnsi="Times New Roman"/>
          <w:color w:val="000000" w:themeColor="text1"/>
          <w:sz w:val="16"/>
          <w:szCs w:val="16"/>
        </w:rPr>
        <w:t xml:space="preserve"> В-55 (-1942-47-), -300 (-1942-53-), 400-2к, 500-к (1942), Р-1/220 (-1947-53-); для кислородных станций К-65, К-180, МТТ-220, кислородные КГ-165, для аргона З-ЮО-ЗК, для гелия Г-30-4К (1947), К-17, 5Э14/220, ЗР7/220, Р01/165 (1953); детандеры ДВ-750, ДВ-400, ЭМ-90 (1942); передвижная кислородная станция КЗС-50; автоклавы, варочные котлы, вальцы, нитраторы, ректификационные колонны, теплообменники, печи Гумбольдта, скрубберы, сушилки «Венулет», турбовоздуходувки ТК-700, -100, РМК-2 (1942), ТВ-127 (1953); турбокомпрессор ТК-700/5 (-1947-53-); воздушная станция СМ-145 (1953); турбогазодувка ТТ-136, турбоэксгаустер ТГ-600, насос центробежный ЭПЖН-2, воздуходувка РМК-4 (1953); гидротурбина Ф13- ГМ50; ножницы гильотинные (1947); ложки, вилки.</w:t>
      </w:r>
      <w:r w:rsidRPr="00640820">
        <w:rPr>
          <w:rFonts w:ascii="Times New Roman" w:hAnsi="Times New Roman"/>
          <w:color w:val="000000" w:themeColor="text1"/>
          <w:sz w:val="16"/>
          <w:szCs w:val="16"/>
          <w:vertAlign w:val="superscript"/>
        </w:rPr>
        <w:t>129</w:t>
      </w:r>
    </w:p>
    <w:p w14:paraId="7D767C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Сумской машиностроительный завод им. М.В. Фрунзе ММиП, ОАО «Сумское НПО (СМНПО) им. М.В. Фрунзе» /Украина 244044  г. Сумы ул. Горького, 58 «Завод Фрунзе» тел. 22-50-72/ /Московское представительство: 209-77-34/</w:t>
      </w:r>
    </w:p>
    <w:p w14:paraId="4595F4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09.1941 г. Сумский машиностроительный завод им. Фрунзе был эвакуирован в  г. Чирчик на площадку Ремонтно-механического завода Чирчикского ЭХК. Первый эшелон прибыл на станцию Боз-Су 11.09.1941 г.</w:t>
      </w:r>
    </w:p>
    <w:p w14:paraId="24DAA8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11.1943 г. Сумский машиностроительный завод им. Фрунзе - в ведении НКМВ, в 1947-53 г. - в ведении Главхиммаша ММиП.</w:t>
      </w:r>
    </w:p>
    <w:p w14:paraId="7378D5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завода (1947 г.) цехи: основные: литейный, кузнечный, котельный, насосно-компрессорный, механический № 1, центрифуг (размещался на отдельной площадке), ширпотреба; вспомогательные: инструментальный, модельный, кислородная станция. Кроме того, (1953 г.): основные: заготовительный, механические № 2, 3, ремонтно-механический, ремонтно-строительный; вспомогательные: теплосиловой.</w:t>
      </w:r>
    </w:p>
    <w:p w14:paraId="7DA30B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СМНПО было в 2005 г.</w:t>
      </w:r>
    </w:p>
    <w:p w14:paraId="730F61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(1939 г.)- 1353 ед., (1946 г.)- 324 ед., (1947 г.)- 867 ед, (1953 г.)- 1320 ед.</w:t>
      </w:r>
    </w:p>
    <w:p w14:paraId="301BF9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территории (1947-53 г.)- 39,3 га, цеха центрифуг (1947 г.)- 7,06 га; застройки (1947 г.)- 89379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(1953 г.)- 99598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цеха центрифуг (1947 г.)- 8695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производственная (1939 г.)- 73079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(1946 г.)- 38960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(1947 г.)- 61900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(1953 г.)- 73707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вспомогательная (1953 г.)- 8676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прочая (1953 г.)- 7306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3C3A2F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(1939 г.)- 8272 чел, (1946 г.)- 2936 чел, (1947 г.)- 3935 чел, (1953 г.)- 6581 чел.</w:t>
      </w:r>
    </w:p>
    <w:p w14:paraId="1F3CAB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(1948 г.)- Белоцерковский.</w:t>
      </w:r>
    </w:p>
    <w:p w14:paraId="759C4A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(1948 г.)- Гончаренко.</w:t>
      </w:r>
    </w:p>
    <w:p w14:paraId="07E62B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компрессоры 2Р, 2РК (1947), 2Р-3, 2РО-3, 2РВ-3, ЗГ-100, ЗГ-8500, 1Г-266 (1953); насос центробежный ЗВ; вакуум-фильтр Б-40; паровоздушный молот; центрифуги: ПМ-3, РНВ-4 (1947), УВ-1, ПМ-У, ПМ-Я1Т, ПС-1200, ТВ-600 (1953); барокамеры ПБК-50, СБК-48; вакуум-насос РВН-30, -60; контакторы, печи 9- подовые;</w:t>
      </w:r>
      <w:r w:rsidRPr="00640820">
        <w:rPr>
          <w:rFonts w:ascii="Times New Roman" w:hAnsi="Times New Roman"/>
          <w:color w:val="000000" w:themeColor="text1"/>
          <w:sz w:val="16"/>
          <w:szCs w:val="16"/>
          <w:vertAlign w:val="superscript"/>
        </w:rPr>
        <w:t>129</w:t>
      </w:r>
      <w:r w:rsidRPr="00640820">
        <w:rPr>
          <w:rFonts w:ascii="Times New Roman" w:hAnsi="Times New Roman"/>
          <w:color w:val="000000" w:themeColor="text1"/>
          <w:sz w:val="16"/>
          <w:szCs w:val="16"/>
        </w:rPr>
        <w:t xml:space="preserve"> фильтры для РКТ (1970-е); газоперекачивающие агрегаты ГПА-Ц-6,3 с двигателем Д-336, ГПА с двигателями НК-36СТ, НК-16СТ, </w:t>
      </w:r>
      <w:r w:rsidRPr="00640820">
        <w:rPr>
          <w:rFonts w:ascii="Times New Roman" w:hAnsi="Times New Roman"/>
          <w:color w:val="000000" w:themeColor="text1"/>
          <w:sz w:val="16"/>
          <w:szCs w:val="16"/>
          <w:lang w:val="en-US"/>
        </w:rPr>
        <w:t>AJI</w:t>
      </w:r>
      <w:r w:rsidRPr="00640820">
        <w:rPr>
          <w:rFonts w:ascii="Times New Roman" w:hAnsi="Times New Roman"/>
          <w:color w:val="000000" w:themeColor="text1"/>
          <w:sz w:val="16"/>
          <w:szCs w:val="16"/>
        </w:rPr>
        <w:t>-31</w:t>
      </w:r>
      <w:r w:rsidRPr="00640820">
        <w:rPr>
          <w:rFonts w:ascii="Times New Roman" w:hAnsi="Times New Roman"/>
          <w:color w:val="000000" w:themeColor="text1"/>
          <w:sz w:val="16"/>
          <w:szCs w:val="16"/>
          <w:lang w:val="en-US"/>
        </w:rPr>
        <w:t>CT</w:t>
      </w:r>
      <w:r w:rsidRPr="00640820">
        <w:rPr>
          <w:rFonts w:ascii="Times New Roman" w:hAnsi="Times New Roman"/>
          <w:color w:val="000000" w:themeColor="text1"/>
          <w:sz w:val="16"/>
          <w:szCs w:val="16"/>
        </w:rPr>
        <w:t>, судовым ДЖ59Л2; компрессорные станции, автомобильные газосварочные станции; секционные центробежные насосы ЦНС-180 (2002).</w:t>
      </w:r>
    </w:p>
    <w:p w14:paraId="2429DE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Чирчикский электрохимический комбинат (ЭХК) НКХП /Узбекистан  г. Чирчик Ташкентской обл./</w:t>
      </w:r>
    </w:p>
    <w:p w14:paraId="755A63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1943-54 г. Чирчикский ЭХК - в ведении НКХП.</w:t>
      </w:r>
    </w:p>
    <w:p w14:paraId="27B25A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ЭХК (1941-42 г.)- Ремонтно-механический завод.</w:t>
      </w:r>
    </w:p>
    <w:p w14:paraId="0044DE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1.03.1943 г. вышло постановление о вводе в 1943 г. в действие 2-й очереди Чирчикского ЭХК НКХП.</w:t>
      </w:r>
    </w:p>
    <w:p w14:paraId="6D1A62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К 06.1944 г. для комбината спроектирован цех «Г» по производству тяжелой воды для ядерных реакторов мощностью 800-1000 кг в год, цех строился в 1946-48 г. 3.03.1945 г. вышло постановление ГКО № 7637 об обеспечении пуска 4-го агрегата по производству аммиака на комбинате. Комбинат строился в 1950 г.</w:t>
      </w:r>
      <w:r w:rsidRPr="00640820">
        <w:rPr>
          <w:rFonts w:ascii="Times New Roman" w:hAnsi="Times New Roman"/>
          <w:color w:val="000000" w:themeColor="text1"/>
          <w:sz w:val="16"/>
          <w:szCs w:val="16"/>
          <w:vertAlign w:val="superscript"/>
        </w:rPr>
        <w:t>78</w:t>
      </w:r>
    </w:p>
    <w:p w14:paraId="284180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Ремонтно-механический завод Чирчикского ЭХК НКХП</w:t>
      </w:r>
    </w:p>
    <w:p w14:paraId="73EA7E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09.1941 г. на площадку Ремонтно-механического завода Чирчиказота Чирчикского ЭХК был эвакуирован Сумской машиностроительный завод им. Фрунзе, на его базе создан завод № 724 НКМВ.</w:t>
      </w:r>
    </w:p>
    <w:p w14:paraId="05F80E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правительства № 939-481с от 13.06.1942 г. и приказом НКМВ № 222с от 20.06.1942 г. Ремонтно-механический завод Чирчикского ЭХК со всеми цехами был передан заводу им. Фрунзе.</w:t>
      </w:r>
    </w:p>
    <w:p w14:paraId="185698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завода (06.1942 г.) цехи: механический, литейный, модельный, электроремонтный; корпус ЦМК, модельный склад, мастерская КИП, подстанция.</w:t>
      </w:r>
    </w:p>
    <w:p w14:paraId="4D2CCC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Площади производственные (06.1942 г.)- 15622 м</w:t>
      </w:r>
      <w:r w:rsidRPr="00640820">
        <w:rPr>
          <w:rFonts w:ascii="Times New Roman" w:hAnsi="Times New Roman"/>
          <w:color w:val="000000" w:themeColor="text1"/>
          <w:sz w:val="16"/>
          <w:szCs w:val="16"/>
          <w:vertAlign w:val="superscript"/>
        </w:rPr>
        <w:t>2 (11982)</w:t>
      </w:r>
      <w:r w:rsidRPr="00640820">
        <w:rPr>
          <w:rFonts w:ascii="Times New Roman" w:hAnsi="Times New Roman"/>
          <w:color w:val="000000" w:themeColor="text1"/>
          <w:sz w:val="16"/>
          <w:szCs w:val="16"/>
        </w:rPr>
        <w:t>.</w:t>
      </w:r>
    </w:p>
    <w:p w14:paraId="4ABA33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4635E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Сумский машиностроительный завод им. Фрунзе (Сумской машиностроительный завод им. М.В. Фрунзе ММиП, ОАО «Сумское НПО (СМНПО) им. М.В. Фрунзе» /Украина 244044  г. Сумы ул. Горького, 58 «Завод Фрунзе» тел. 22-50-72/ /Московское представительство: 209-77-34/) был эвакуирован в  г. Чирчик на площадку Ремонтно-механического завода Чирчикского ЭХК. Первый эшелон прибыл на станцию Боз-Су 11.09.1941 г.</w:t>
      </w:r>
    </w:p>
    <w:p w14:paraId="532492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1943 г. Сумский машиностроительный завод им. Фрунзе - в ведении НКМВ, в 1947-53 г. - в ведении Главхиммаша ММиП.</w:t>
      </w:r>
    </w:p>
    <w:p w14:paraId="3D226C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завода (1947 г.) цехи: основные: литейный, кузнечный, котельный, насосно-компрессорный, механический № 1, центрифуг (размещался на отдельной площадке), ширпотреба; вспомогательные: инструментальный, модельный, кислородная станция. Кроме того, (1953 г.): основные: заготовительный, механические № 2, 3, ремонтно-механический, ремонтно-строительный; вспомогательные: теплосиловой.</w:t>
      </w:r>
    </w:p>
    <w:p w14:paraId="6CA8F9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СМНПО было в 2005 г.</w:t>
      </w:r>
    </w:p>
    <w:p w14:paraId="297AD0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(1939 г.)- 1353 ед., (1946 г.)- 324 ед., (1947 г.)- 867 ед, (1953 г.)- 1320 ед.</w:t>
      </w:r>
    </w:p>
    <w:p w14:paraId="6797A1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территории (1947-53 г.)- 39,3 га, цеха центрифуг (1947 г.)- 7,06 га; застройки (1947 г.)- 89379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(1953 г.)- 99598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цеха центрифуг (1947 г.)- 8695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производственная (1939 г.)- 73079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(1946 г.)- 38960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(1947 г.)- 61900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(1953 г.)- 73707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вспомогательная (1953 г.)- 8676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прочая (1953 г.)- 7306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3F13DE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(1939 г.)- 8272 чел, (1946 г.)- 2936 чел, (1947 г.)- 3935 чел, (1953 г.)- 6581 чел.</w:t>
      </w:r>
    </w:p>
    <w:p w14:paraId="785C80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(1948 г.)- Белоцерковский.</w:t>
      </w:r>
    </w:p>
    <w:p w14:paraId="0FB948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(1948 г.)- Гончаренко.</w:t>
      </w:r>
    </w:p>
    <w:p w14:paraId="522F4A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компрессоры 2Р, 2РК (1947), 2Р-3, 2РО-3, 2РВ-3, ЗГ-100, ЗГ-8500, 1Г-266 (1953); насос центробежный ЗВ; вакуум-фильтр Б-40; паровоздушный молот; центрифуги: ПМ-3, РНВ-4 (1947), УВ-1, ПМ-У, ПМ-Я1Т, ПС-1200, ТВ-600 (1953); барокамеры ПБК-50, СБК-48; вакуум-насос РВН-30, -60; контакторы, печи 9- подовые;</w:t>
      </w:r>
      <w:r w:rsidRPr="00640820">
        <w:rPr>
          <w:rFonts w:ascii="Times New Roman" w:hAnsi="Times New Roman"/>
          <w:color w:val="000000" w:themeColor="text1"/>
          <w:sz w:val="16"/>
          <w:szCs w:val="16"/>
          <w:vertAlign w:val="superscript"/>
        </w:rPr>
        <w:t>129</w:t>
      </w:r>
      <w:r w:rsidRPr="00640820">
        <w:rPr>
          <w:rFonts w:ascii="Times New Roman" w:hAnsi="Times New Roman"/>
          <w:color w:val="000000" w:themeColor="text1"/>
          <w:sz w:val="16"/>
          <w:szCs w:val="16"/>
        </w:rPr>
        <w:t xml:space="preserve"> фильтры для РКТ (1970-е); газоперекачивающие агрегаты ГПА-Ц-6,3 с двигателем Д-336, ГПА с двигателями НК-36СТ, НК-16СТ, </w:t>
      </w:r>
      <w:r w:rsidRPr="00640820">
        <w:rPr>
          <w:rFonts w:ascii="Times New Roman" w:hAnsi="Times New Roman"/>
          <w:color w:val="000000" w:themeColor="text1"/>
          <w:sz w:val="16"/>
          <w:szCs w:val="16"/>
          <w:lang w:val="en-US"/>
        </w:rPr>
        <w:t>AJI</w:t>
      </w:r>
      <w:r w:rsidRPr="00640820">
        <w:rPr>
          <w:rFonts w:ascii="Times New Roman" w:hAnsi="Times New Roman"/>
          <w:color w:val="000000" w:themeColor="text1"/>
          <w:sz w:val="16"/>
          <w:szCs w:val="16"/>
        </w:rPr>
        <w:t>-31</w:t>
      </w:r>
      <w:r w:rsidRPr="00640820">
        <w:rPr>
          <w:rFonts w:ascii="Times New Roman" w:hAnsi="Times New Roman"/>
          <w:color w:val="000000" w:themeColor="text1"/>
          <w:sz w:val="16"/>
          <w:szCs w:val="16"/>
          <w:lang w:val="en-US"/>
        </w:rPr>
        <w:t>CT</w:t>
      </w:r>
      <w:r w:rsidRPr="00640820">
        <w:rPr>
          <w:rFonts w:ascii="Times New Roman" w:hAnsi="Times New Roman"/>
          <w:color w:val="000000" w:themeColor="text1"/>
          <w:sz w:val="16"/>
          <w:szCs w:val="16"/>
        </w:rPr>
        <w:t>, судовым ДЖ59Л2; компрессорные станции, автомобильные газосварочные станции; секционные центробежные насосы ЦНС-180 (2002).</w:t>
      </w:r>
    </w:p>
    <w:p w14:paraId="7B4D80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Чирчикский электрохимический комбинат (ЭХК) НКХП /Узбекистан  г. Чирчик Ташкентской обл./</w:t>
      </w:r>
    </w:p>
    <w:p w14:paraId="673F4C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1943-54 г. Чирчикский ЭХК - в ведении НКХП.</w:t>
      </w:r>
    </w:p>
    <w:p w14:paraId="027638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ЭХК (1941-42 г.)- Ремонтно-механический завод.</w:t>
      </w:r>
    </w:p>
    <w:p w14:paraId="0C6CCB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1.03.1943 г. вышло постановление о вводе в 1943 г. в действие 2-й очереди Чирчикского ЭХК НКХП.</w:t>
      </w:r>
    </w:p>
    <w:p w14:paraId="44BEA0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06.1944 г. для комбината спроектирован цех «Г» по производству тяжелой воды для ядерных реакторов мощностью 800-1000 кг в год, цех строился в 1946-48 г. 3.03.1945 г. вышло постановление ГКО № 7637 об обеспечении пуска 4-го агрегата по производству аммиака на комбинате. Комбинат строился в 1950 г.</w:t>
      </w:r>
      <w:r w:rsidRPr="00640820">
        <w:rPr>
          <w:rFonts w:ascii="Times New Roman" w:hAnsi="Times New Roman"/>
          <w:color w:val="000000" w:themeColor="text1"/>
          <w:sz w:val="16"/>
          <w:szCs w:val="16"/>
          <w:vertAlign w:val="superscript"/>
        </w:rPr>
        <w:t>78</w:t>
      </w:r>
    </w:p>
    <w:p w14:paraId="601409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Ремонтно-механический завод Чирчикского ЭХК НКХП</w:t>
      </w:r>
    </w:p>
    <w:p w14:paraId="7BBF32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09.1941 г. на площадку Ремонтно-механического завода Чирчиказота Чирчикского ЭХК был эвакуирован Сумской машиностроительный завод им. Фрунзе, на его базе создан завод № 724 НКМВ.</w:t>
      </w:r>
    </w:p>
    <w:p w14:paraId="7106EE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правительства № 939-481с от 13.06.1942 г. и приказом НКМВ № 222с от 20.06.1942 г. Ремонтно-механический завод Чирчикского ЭХК со всеми цехами был передан заводу им. Фрунзе.</w:t>
      </w:r>
    </w:p>
    <w:p w14:paraId="31FD9F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завода (06.1942 г.) цехи: механический, литейный, модельный, электроремонтный; корпус ЦМК, модельный склад, мастерская КИП, подстанция.</w:t>
      </w:r>
    </w:p>
    <w:p w14:paraId="69CCC7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Площади производственные (06.1942 г.)- 15622 м</w:t>
      </w:r>
      <w:r w:rsidRPr="00640820">
        <w:rPr>
          <w:rFonts w:ascii="Times New Roman" w:hAnsi="Times New Roman"/>
          <w:color w:val="000000" w:themeColor="text1"/>
          <w:sz w:val="16"/>
          <w:szCs w:val="16"/>
          <w:vertAlign w:val="superscript"/>
        </w:rPr>
        <w:t>2 (11982)</w:t>
      </w:r>
      <w:r w:rsidRPr="00640820">
        <w:rPr>
          <w:rFonts w:ascii="Times New Roman" w:hAnsi="Times New Roman"/>
          <w:color w:val="000000" w:themeColor="text1"/>
          <w:sz w:val="16"/>
          <w:szCs w:val="16"/>
        </w:rPr>
        <w:t>.</w:t>
      </w:r>
    </w:p>
    <w:p w14:paraId="7010BE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D67F5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после начала войны на площадку Кузнецкого завод текстильного машиностроения (КЗТМ, «Кузтекстильмаш») были эвакуированы оборудование и кадры Орловского и Клинцовского заводов текстильного машиностроения. Завод «Текмаш» выпускал мины, авиабомбы, минометы. В 06.1942 г., приказом № 250с 7 июля 1942 г. завод № 748 (Завод № 748 НКМВ, Завод «Текмаш» НКМВ, Кузнецкий завод текстильного машиностроения (КЗТМ, «Кузтекстильмаш») ММиП, ОАО «КЗТМ» /г. Кузнецк Пензенской обл. ул. Белинская, 117 «Кузтекстильмаш» (1948 г.)/ /442530  г. Кузнецк Пензенской обл. ул. Московская, 70А/) - в ведении Главтекстильмаша НКМВ был передан в ведение ЗГУ.</w:t>
      </w:r>
    </w:p>
    <w:p w14:paraId="284815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 ГКО № 1962сс от 4.07.1942 г. и приказом НКМВ № 237сс от 7.07.1942 г. заводу установлен план выпуска на 3-Й квартал 1942 г. 50-мм минометов- 3600 шт.</w:t>
      </w:r>
    </w:p>
    <w:p w14:paraId="70796F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1947 г. завод «Кузтекстильмаш» - в ведении Главтекстильлегмаша ММиП.</w:t>
      </w:r>
    </w:p>
    <w:p w14:paraId="7DBC4D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завода (1947 г.) цехи: основные: литейный, механический № 1, заготовительный, сборочный; вспомогательные: транспортный, строительный, инструментальный, ремонтно-механический, котельная, дизельная.</w:t>
      </w:r>
    </w:p>
    <w:p w14:paraId="3BFAE0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завод перепрофилирован на выпуск машин для текстильной промышленности (для разрыхлительно-трепальных агрегатов), для кабельной промышленности (крутильных сигарного и фонарного типов, бронировочных, обмоточных, изолировочных). Выпускал также гладильные прессы, стиральные машины, детали прядильных головок для пневмопрядильных машин, замочные изделия, алюминиевое литье. Производство оборудования дня текстильных и обувных фабрик (1960-е  г.).</w:t>
      </w:r>
    </w:p>
    <w:p w14:paraId="228CCF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(1946 г.)- 225 ед., (1947 г.)- 369 ед.</w:t>
      </w:r>
    </w:p>
    <w:p w14:paraId="0EFAE8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территории (1947 г.)- 2,5 га; застройки (1947 г.)- 8390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производственная (1946 г.)- 5598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(1947 г.)-6127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4AC253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(1946 г.)- 1223 чел., (1947 г.)-1184 чел.</w:t>
      </w:r>
    </w:p>
    <w:p w14:paraId="1C176E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(06.1942 г.)- Спиридонов, (1948 г.)- Курпяков. Гендиректор (2007 г.)- С.А. Сущев.</w:t>
      </w:r>
    </w:p>
    <w:p w14:paraId="4A08F0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(1948 г.)- Дворников.</w:t>
      </w:r>
    </w:p>
    <w:p w14:paraId="53F928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50-мм миномет; 50-мм мина (1942); станок трепальный ОТ-3, -6, АМ-2, дистрибютор грабельный РХСГ, головной питатель ПС-3, конденсер КХ-2, питатель-смеситель ПС-1, поркупайн «Оппенер» ПО-2, -4, пыльный барабан ПБ-1, крейтон ПХ-4, фильтрующий барабан ФР-1 (1947).</w:t>
      </w:r>
      <w:r w:rsidRPr="00640820">
        <w:rPr>
          <w:rFonts w:ascii="Times New Roman" w:hAnsi="Times New Roman"/>
          <w:color w:val="000000" w:themeColor="text1"/>
          <w:sz w:val="16"/>
          <w:szCs w:val="16"/>
          <w:vertAlign w:val="superscript"/>
        </w:rPr>
        <w:t>129</w:t>
      </w:r>
    </w:p>
    <w:p w14:paraId="18824A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Клинцовский завод текстильного машиностроения им. Калинина /г. Клинцы Брянской обл./</w:t>
      </w:r>
    </w:p>
    <w:p w14:paraId="5971BB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начала войны эвакуирован в Кузнецк, где был организован завод № 748 НКМВ.</w:t>
      </w:r>
    </w:p>
    <w:p w14:paraId="7B2BD4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Затем восстановлен на прежнем месте. Производство текстильных машин (1960-е  г.) (11982).</w:t>
      </w:r>
    </w:p>
    <w:p w14:paraId="5B8767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4908C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года на НИАПе была испытана 152-мм система МУ-2 на железнодорожном транспортере Б-64 (3861).</w:t>
      </w:r>
    </w:p>
    <w:p w14:paraId="687CB8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3C289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года завод "Баррикады" согласно мобилизационному плану, а не по внезапному указанию ГКО начал выпускать 76-мм пушки обр. 1939 г. (УСВ Грабина). В сентябре было сдано 100 пушек, в октябре 250, в ноябре 400 и в декабре 800 пушек. Пушки, выпускаемые с 1941 года на заводе "Баррикады" назывались "УСВ-БР". Пушка УСВ-БР имела ствол-моноблок с навинтным казенником и литой обоймой. Наиболее заметным внешним отличием УСВ-БР от УВ было подрессоривание. У УСВ пластинчатые пружины, а у УСВ-БР четыре цилиндрических пружины, попарно расположенные по сторонам лобовой коробки нижнего станка. Вес УСВ-БР: в боевом положении около 1560 кг, в походном положении с упрощенным передком 2070 кг (3861).</w:t>
      </w:r>
    </w:p>
    <w:p w14:paraId="292369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E99AC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года МБВ-2 № 02 находился в ремонте, по-видимому, в ходе которого пушки КТ-28 заменили на более мощные 76-мм пушки Л-11 с длиной ствола 30,5 калибра, а вместо дальномера и стереотрубы установили танковую командирскую панораму ПТК. Впрочем, возможно, что этой модернизации мотовагон подвергся еще до войны (9634).</w:t>
      </w:r>
    </w:p>
    <w:p w14:paraId="787F3D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467421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военными представителями ГАБТУ на СТЗ было принято 165 танков Т-34. Октябрьскую программу (220 шт.) по выпус</w:t>
      </w:r>
      <w:r w:rsidRPr="00640820">
        <w:rPr>
          <w:rFonts w:ascii="Times New Roman" w:hAnsi="Times New Roman"/>
          <w:color w:val="000000" w:themeColor="text1"/>
          <w:sz w:val="16"/>
          <w:szCs w:val="16"/>
        </w:rPr>
        <w:softHyphen/>
        <w:t>ку танков сталинградцы не выполнили из-за снижения поставок корпу</w:t>
      </w:r>
      <w:r w:rsidRPr="00640820">
        <w:rPr>
          <w:rFonts w:ascii="Times New Roman" w:hAnsi="Times New Roman"/>
          <w:color w:val="000000" w:themeColor="text1"/>
          <w:sz w:val="16"/>
          <w:szCs w:val="16"/>
        </w:rPr>
        <w:softHyphen/>
        <w:t>сов и башен с эвакуируемого в тот период завода № 183. Прекратились поставки дизелей В-2 с завода № 75, который в то время также эвакуи</w:t>
      </w:r>
      <w:r w:rsidRPr="00640820">
        <w:rPr>
          <w:rFonts w:ascii="Times New Roman" w:hAnsi="Times New Roman"/>
          <w:color w:val="000000" w:themeColor="text1"/>
          <w:sz w:val="16"/>
          <w:szCs w:val="16"/>
        </w:rPr>
        <w:softHyphen/>
        <w:t>ровался из Харькова в Челябинск (10703).</w:t>
      </w:r>
    </w:p>
    <w:p w14:paraId="48608B6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D00C9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коллективу завода № 112 удалось собрать первые пять машин Т-34 из узлов и агрегатов, полученных с завода № 183. Перестройка производства судостроительного завода на массовый выпуск боевых машин потребовала неимоверных усилий и самоотверженного труда всего многотысячного коллектива завода. К 25 августа 1941 было установлено 5 из 9 полученных с завода № 183 стендов и 5 держателей, предназначенных для сборки корпусов танка Т-34 (10703).</w:t>
      </w:r>
    </w:p>
    <w:p w14:paraId="5A7EC19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D65A9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года на совещании по качеству танков Т-34 начальник ОТК завода № 183 А. Волков сказал:</w:t>
      </w:r>
    </w:p>
    <w:p w14:paraId="795DE8F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«Машины с поддерживающими колесами с внутренней амортизацией у нас не выдерживают гарантийного километража, а на СТЗ работают. Объясняется это тем, что колеса в данном исполнении на заводе №183 не имеют такой резины, которую имеет СТЗ, используя для этой цели грузошины катков тракторов, что значительно лучше, чем резина, устанавливаемая на колеса машин 18З-го завода» (12217).</w:t>
      </w:r>
    </w:p>
    <w:p w14:paraId="22BEEF40"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11ED21A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года в Харькове прошло сдаточные пробеги 226 тридцатьчетверок. Из них после первого пробега приняли 216, 8 после второго и 2 после третьего. При этом отмечались следующие дефекты: на 5 машинах не развивали полных оборотов из-за недостаточной регулировки топливного насоса, на 12 нарушилась регулировка тормозных лент (при введении вместо фер- родо наклепки чугунных колодок). у 14 большой ход и тугое управление рычагами бортовых фрикционов и ряд других, более мелких. Кроме того, во второй половине сентября выявился очень существенный дефект — разрушение картеров коробки перемены передач. Проведенными испытаниями и лабораторными исследованиями удалось установить, что причиной этого было повышенное содержание меди</w:t>
      </w:r>
    </w:p>
    <w:p w14:paraId="512FB38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Выяснилось, что картеры, в которых меди до 4% отвечают техусловиям, а если больше, это может привести к разрушению. В результате, все не отвечающие требованиям картеры заменили.</w:t>
      </w:r>
    </w:p>
    <w:p w14:paraId="2E06B83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Выпуск танков в сентябре сопровождался большими трудностями, усугубленными подготовкой к эвакуации завода.</w:t>
      </w:r>
    </w:p>
    <w:p w14:paraId="52D66AC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конвейер при сборке машин имел целый ряд дефицитных деталей, поставляемых внешней кооперацией. Особенно остро ощущалась ограниченность в поставке шестерен коробки перемены передач и бортовых передач. С 15 сентября, после постановления ГКО об эвакуации оборудования завода и практической реализации заводом по вывозке оборудования, дефицит в деталях для сборки агрегатов и в целом машины сказался особенно резко.</w:t>
      </w:r>
    </w:p>
    <w:p w14:paraId="06CB28B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Производительность конвейера с 10-12 машин в день упала до 3-5 машин.</w:t>
      </w:r>
    </w:p>
    <w:p w14:paraId="3AE6A95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дефицита деталей необходимо отметить такой фактор понижения производительности всех цехов завода - это большое количество невыходов на работу со стороны рабочих-поездников (то есть живущих не в Харькове, а в области. -Прим. автора). Рабочие в результате обстрелов пригородных поездов не имели возможности по несколько дней выходить на работу. В данный момент, это положение несколько улучшилось с переводом основной массы рабочих на казарменное положение при заводе» (12217).</w:t>
      </w:r>
    </w:p>
    <w:p w14:paraId="3DFB1771"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64BF23A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Сормовскому заводу удалось сдать первые пять Т-34.</w:t>
      </w:r>
    </w:p>
    <w:p w14:paraId="13C813E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Постановлением Государственно - го Комитета Обороны № 1 от 1июля 1941 года к выпуску танков Т-34 подключался завод «Красное Сормово» (после образования наркомата танковой промышленности получил № 112) в Горьком. Уже через три дня с завода № 183 сюда прибыли первые комплекты технической документации на танк Т-34. Сначала «Красное Сормово» должно было выпускать Т-34 из деталей, полученных из Харькова и Мариуполя, постепенно переходя на собственное производство.</w:t>
      </w:r>
    </w:p>
    <w:p w14:paraId="7DAFD13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Несмотря на то, что завод «Красное Сормово» не переживал трудностей, связанных с эвакуацией и организацией производства на новом месте, у него имелись проблемы другого рода. Это прежде всего было связано с переходом от штучного выпуска судостроительной продукции на крупносерийный выпуск танков, а также организацией своего броневого производства и налаживание связей с кооперируемыми предприятиями.</w:t>
      </w:r>
    </w:p>
    <w:p w14:paraId="5CFA1E7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Переключение завода № 112 на серийный выпуск танков потребовало провести в сжатые сроки реконструкцию имеющихся цехов (№№ 5, 15, 16, 21), постройки новых (№№ 7, 20,42,43, 100), а также оснащение их новыми приспособлениями и инструментами, а также обучить и переквалифицировать кадры рабочих и техников.</w:t>
      </w:r>
    </w:p>
    <w:p w14:paraId="026ED1C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Проведенные мероприятия, а также снижение трудоемкости машины в три раза и повышение производительности труда в четыре раза позволили заводу № 112 поднять среднемесячный выпуск танков с 40 в декабре 1940-го до 309 в мае 1945 года.</w:t>
      </w:r>
    </w:p>
    <w:p w14:paraId="7073B63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плану первые 10 танков завод «Красное Сормово» должен был изготовить в августе</w:t>
      </w:r>
    </w:p>
    <w:p w14:paraId="2222F2F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 же до конца года удалось сдать 161 танк Т-34 из заданных 347. Среди причин невыполнения плана назывались следующие:</w:t>
      </w:r>
    </w:p>
    <w:p w14:paraId="31CEDB8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«Низкая оснащенность производства танков приспособлениями, шаблонами и инструментом;</w:t>
      </w:r>
    </w:p>
    <w:p w14:paraId="67C9551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Отсутствие опыта у рабочих ИТР;</w:t>
      </w:r>
    </w:p>
    <w:p w14:paraId="31D214E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Неудовлетворительная организация работы на некоторых участках;</w:t>
      </w:r>
    </w:p>
    <w:p w14:paraId="637952B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Срыв сроков подачи чертежей заводом № 183 и внесение им значительных изменений в чертежах в свези с заменой В-2 на М-17;</w:t>
      </w:r>
    </w:p>
    <w:p w14:paraId="4067EE8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183 не обеспечил укомплектовку заготовками для выпуска в августе 10 опытных машин;</w:t>
      </w:r>
    </w:p>
    <w:p w14:paraId="6E37ABE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183 не выполнил отработку М-17 в части охлаждения».</w:t>
      </w:r>
    </w:p>
    <w:p w14:paraId="68C9BEF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Следует сказать, что из-за недостатка дизелей В-2 танки Т-34 завода «Красное Сормово» выпуска 1941 года, за исключением первых пяти машин, оснащались карбюраторными двигателями М-17. Кстати, тридцатьчетверки с бензиновыми моторами стали «визитной карточкой» заво да № 112 вплотьдо середины 1942 года(с января по май здесь был сдан 541 танк Т-34 с двигателем М-17) (12217).</w:t>
      </w:r>
    </w:p>
    <w:p w14:paraId="1EAFD6AF"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5ACBBF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ввиду эвакуации ХПЗ, программа СТЗ была доведена, по требованиям военных, до 1585 машин. Но напи</w:t>
      </w:r>
      <w:r w:rsidRPr="00640820">
        <w:rPr>
          <w:rFonts w:ascii="Times New Roman" w:hAnsi="Times New Roman"/>
          <w:color w:val="000000" w:themeColor="text1"/>
          <w:sz w:val="16"/>
          <w:szCs w:val="16"/>
        </w:rPr>
        <w:softHyphen/>
        <w:t>сать это в планах было просто. Выполнить оказалось труднее, хотя в первое время увеличение суточной программы выпус</w:t>
      </w:r>
      <w:r w:rsidRPr="00640820">
        <w:rPr>
          <w:rFonts w:ascii="Times New Roman" w:hAnsi="Times New Roman"/>
          <w:color w:val="000000" w:themeColor="text1"/>
          <w:sz w:val="16"/>
          <w:szCs w:val="16"/>
        </w:rPr>
        <w:softHyphen/>
        <w:t>ка танков стимулировалось за счет комплектующих и полу</w:t>
      </w:r>
      <w:r w:rsidRPr="00640820">
        <w:rPr>
          <w:rFonts w:ascii="Times New Roman" w:hAnsi="Times New Roman"/>
          <w:color w:val="000000" w:themeColor="text1"/>
          <w:sz w:val="16"/>
          <w:szCs w:val="16"/>
        </w:rPr>
        <w:softHyphen/>
        <w:t>фабрикатов с эвакуированных ХПЗ и Мариупольского заво</w:t>
      </w:r>
      <w:r w:rsidRPr="00640820">
        <w:rPr>
          <w:rFonts w:ascii="Times New Roman" w:hAnsi="Times New Roman"/>
          <w:color w:val="000000" w:themeColor="text1"/>
          <w:sz w:val="16"/>
          <w:szCs w:val="16"/>
        </w:rPr>
        <w:softHyphen/>
        <w:t>да им. Ильича. Однако к 1 октября 1941 г. СТЗ стал де-факто главным производителем Т-34, и выдаваемая ему суточная программа выпуска Т-34 выросла с 4 до 11 машин (в то время как суточная программа завода № 112 в то же время состав</w:t>
      </w:r>
      <w:r w:rsidRPr="00640820">
        <w:rPr>
          <w:rFonts w:ascii="Times New Roman" w:hAnsi="Times New Roman"/>
          <w:color w:val="000000" w:themeColor="text1"/>
          <w:sz w:val="16"/>
          <w:szCs w:val="16"/>
        </w:rPr>
        <w:softHyphen/>
        <w:t>ляла не более двух танков). Но долго такое положение про</w:t>
      </w:r>
      <w:r w:rsidRPr="00640820">
        <w:rPr>
          <w:rFonts w:ascii="Times New Roman" w:hAnsi="Times New Roman"/>
          <w:color w:val="000000" w:themeColor="text1"/>
          <w:sz w:val="16"/>
          <w:szCs w:val="16"/>
        </w:rPr>
        <w:softHyphen/>
        <w:t>должаться не могло. В октябре завод был практически предо</w:t>
      </w:r>
      <w:r w:rsidRPr="00640820">
        <w:rPr>
          <w:rFonts w:ascii="Times New Roman" w:hAnsi="Times New Roman"/>
          <w:color w:val="000000" w:themeColor="text1"/>
          <w:sz w:val="16"/>
          <w:szCs w:val="16"/>
        </w:rPr>
        <w:softHyphen/>
        <w:t>ставлен сам себе. Связи со многими смежниками наруши</w:t>
      </w:r>
      <w:r w:rsidRPr="00640820">
        <w:rPr>
          <w:rFonts w:ascii="Times New Roman" w:hAnsi="Times New Roman"/>
          <w:color w:val="000000" w:themeColor="text1"/>
          <w:sz w:val="16"/>
          <w:szCs w:val="16"/>
        </w:rPr>
        <w:softHyphen/>
        <w:t>лись. Правда, распоряжением по наркомату в октябре на СТЗ были переданы 5 сварочных аппаратов и 30 квалифициро</w:t>
      </w:r>
      <w:r w:rsidRPr="00640820">
        <w:rPr>
          <w:rFonts w:ascii="Times New Roman" w:hAnsi="Times New Roman"/>
          <w:color w:val="000000" w:themeColor="text1"/>
          <w:sz w:val="16"/>
          <w:szCs w:val="16"/>
        </w:rPr>
        <w:softHyphen/>
        <w:t>ванных сварщиков, но погоды они, конечно, не делали. Ввиду значительного увеличения суточной программы выпуска танков, а также перебазирования Мариупольского завода им. Ильича на Восток броневое производство для Т-34 на СТЗ было ориентировано на мощности завода № 264 (Сталинградская судоверфь в Сарепте) (10782).</w:t>
      </w:r>
    </w:p>
    <w:p w14:paraId="558FDF5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76DA9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ввиду начавшейся эвакуации, завод № 183 сдал заказчику лишь 228 танков, а к моменту завершения эвакуации завода фронт получил еще 41 танк Т-34. Согласно распоряжению ГКО и СНК завод должен был начать изготовление танков на новой площадке уже 15 нояб</w:t>
      </w:r>
      <w:r w:rsidRPr="00640820">
        <w:rPr>
          <w:rFonts w:ascii="Times New Roman" w:hAnsi="Times New Roman"/>
          <w:color w:val="000000" w:themeColor="text1"/>
          <w:sz w:val="16"/>
          <w:szCs w:val="16"/>
        </w:rPr>
        <w:softHyphen/>
        <w:t>ря, но в ноябре (ввиду отсутствия оборудования и запчастей) завод начал только ограниченное изготовление литых башен старого типа для СТЗ (примерно 20% башен поставлялись и на новый завод № 112). 10 октября из привезенных деталей заложили в сборку первый бронекорпус Т-34, но закончили его только 27 ноября (эшелон с корпусными деталями, шаб</w:t>
      </w:r>
      <w:r w:rsidRPr="00640820">
        <w:rPr>
          <w:rFonts w:ascii="Times New Roman" w:hAnsi="Times New Roman"/>
          <w:color w:val="000000" w:themeColor="text1"/>
          <w:sz w:val="16"/>
          <w:szCs w:val="16"/>
        </w:rPr>
        <w:softHyphen/>
        <w:t>лонами и кондукторами прибыл 19 ноября), и 20 декабря, в ходе контрнаступления под Москвой, сдали заказчику пер</w:t>
      </w:r>
      <w:r w:rsidRPr="00640820">
        <w:rPr>
          <w:rFonts w:ascii="Times New Roman" w:hAnsi="Times New Roman"/>
          <w:color w:val="000000" w:themeColor="text1"/>
          <w:sz w:val="16"/>
          <w:szCs w:val="16"/>
        </w:rPr>
        <w:softHyphen/>
        <w:t>вые 25 танков. Главной проблемой для этих танков стали ди</w:t>
      </w:r>
      <w:r w:rsidRPr="00640820">
        <w:rPr>
          <w:rFonts w:ascii="Times New Roman" w:hAnsi="Times New Roman"/>
          <w:color w:val="000000" w:themeColor="text1"/>
          <w:sz w:val="16"/>
          <w:szCs w:val="16"/>
        </w:rPr>
        <w:softHyphen/>
        <w:t>зель-моторы, и потому на них установили 5 дизелей В-2 (480 л.с.), полученных из Челябинска, 12 дизелей В-2-34 (500 л.с.), привезенных из Харькова, а также 8 дизелей В-2В (300 л.с. от тягача «Ворошиловец») (10782).</w:t>
      </w:r>
    </w:p>
    <w:p w14:paraId="69AC236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D7E74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завод № 264 уже почти полностью исчерпал все свои резервы, и месячную норму бронекорпусов, превы</w:t>
      </w:r>
      <w:r w:rsidRPr="00640820">
        <w:rPr>
          <w:rFonts w:ascii="Times New Roman" w:hAnsi="Times New Roman"/>
          <w:color w:val="000000" w:themeColor="text1"/>
          <w:sz w:val="16"/>
          <w:szCs w:val="16"/>
        </w:rPr>
        <w:softHyphen/>
        <w:t>шавшую сто с небольшим, он потянуть уже не мог. Это ко</w:t>
      </w:r>
      <w:r w:rsidRPr="00640820">
        <w:rPr>
          <w:rFonts w:ascii="Times New Roman" w:hAnsi="Times New Roman"/>
          <w:color w:val="000000" w:themeColor="text1"/>
          <w:sz w:val="16"/>
          <w:szCs w:val="16"/>
        </w:rPr>
        <w:softHyphen/>
        <w:t>личество лимитировалось производительностью имеюще</w:t>
      </w:r>
      <w:r w:rsidRPr="00640820">
        <w:rPr>
          <w:rFonts w:ascii="Times New Roman" w:hAnsi="Times New Roman"/>
          <w:color w:val="000000" w:themeColor="text1"/>
          <w:sz w:val="16"/>
          <w:szCs w:val="16"/>
        </w:rPr>
        <w:softHyphen/>
        <w:t>гося здесь оборудования. В сентябре 1941 г. на заводах № 264 и СТЗ начала работу совместная комиссия из пред</w:t>
      </w:r>
      <w:r w:rsidRPr="00640820">
        <w:rPr>
          <w:rFonts w:ascii="Times New Roman" w:hAnsi="Times New Roman"/>
          <w:color w:val="000000" w:themeColor="text1"/>
          <w:sz w:val="16"/>
          <w:szCs w:val="16"/>
        </w:rPr>
        <w:softHyphen/>
        <w:t>ставителей НИИ-48 и конструкторов обоих заводов под об</w:t>
      </w:r>
      <w:r w:rsidRPr="00640820">
        <w:rPr>
          <w:rFonts w:ascii="Times New Roman" w:hAnsi="Times New Roman"/>
          <w:color w:val="000000" w:themeColor="text1"/>
          <w:sz w:val="16"/>
          <w:szCs w:val="16"/>
        </w:rPr>
        <w:softHyphen/>
        <w:t>щим руководством начальника ОГК НКТП. К концу сен</w:t>
      </w:r>
      <w:r w:rsidRPr="00640820">
        <w:rPr>
          <w:rFonts w:ascii="Times New Roman" w:hAnsi="Times New Roman"/>
          <w:color w:val="000000" w:themeColor="text1"/>
          <w:sz w:val="16"/>
          <w:szCs w:val="16"/>
        </w:rPr>
        <w:softHyphen/>
        <w:t>тября комиссия выработала рекомендации по увеличению объемов выпуска бронекорпусов и башен на заводе № 264. В результате проведенных исследований был предло</w:t>
      </w:r>
      <w:r w:rsidRPr="00640820">
        <w:rPr>
          <w:rFonts w:ascii="Times New Roman" w:hAnsi="Times New Roman"/>
          <w:color w:val="000000" w:themeColor="text1"/>
          <w:sz w:val="16"/>
          <w:szCs w:val="16"/>
        </w:rPr>
        <w:softHyphen/>
        <w:t>жен новый, сокращенный процесс термообработки бронекорпусов и введены конструктивные изменения в броне</w:t>
      </w:r>
      <w:r w:rsidRPr="00640820">
        <w:rPr>
          <w:rFonts w:ascii="Times New Roman" w:hAnsi="Times New Roman"/>
          <w:color w:val="000000" w:themeColor="text1"/>
          <w:sz w:val="16"/>
          <w:szCs w:val="16"/>
        </w:rPr>
        <w:softHyphen/>
        <w:t>вых деталях, что позволило упростить в том числе и про</w:t>
      </w:r>
      <w:r w:rsidRPr="00640820">
        <w:rPr>
          <w:rFonts w:ascii="Times New Roman" w:hAnsi="Times New Roman"/>
          <w:color w:val="000000" w:themeColor="text1"/>
          <w:sz w:val="16"/>
          <w:szCs w:val="16"/>
        </w:rPr>
        <w:softHyphen/>
        <w:t>цесс механической обработки броневых деталей как по</w:t>
      </w:r>
      <w:r w:rsidRPr="00640820">
        <w:rPr>
          <w:rFonts w:ascii="Times New Roman" w:hAnsi="Times New Roman"/>
          <w:color w:val="000000" w:themeColor="text1"/>
          <w:sz w:val="16"/>
          <w:szCs w:val="16"/>
        </w:rPr>
        <w:softHyphen/>
        <w:t>рознь, так и в сборе. Дело в том, что первоначально термо</w:t>
      </w:r>
      <w:r w:rsidRPr="00640820">
        <w:rPr>
          <w:rFonts w:ascii="Times New Roman" w:hAnsi="Times New Roman"/>
          <w:color w:val="000000" w:themeColor="text1"/>
          <w:sz w:val="16"/>
          <w:szCs w:val="16"/>
        </w:rPr>
        <w:softHyphen/>
        <w:t>обработка броневых деталей, разработанная на Мариу</w:t>
      </w:r>
      <w:r w:rsidRPr="00640820">
        <w:rPr>
          <w:rFonts w:ascii="Times New Roman" w:hAnsi="Times New Roman"/>
          <w:color w:val="000000" w:themeColor="text1"/>
          <w:sz w:val="16"/>
          <w:szCs w:val="16"/>
        </w:rPr>
        <w:softHyphen/>
        <w:t>польском заводе им. Ильича, проводилась в четыре этапа: первая закалка, высокий отпуск, вторая закалка и низкий отпуск. А это приводило к тому, что механическая обработ</w:t>
      </w:r>
      <w:r w:rsidRPr="00640820">
        <w:rPr>
          <w:rFonts w:ascii="Times New Roman" w:hAnsi="Times New Roman"/>
          <w:color w:val="000000" w:themeColor="text1"/>
          <w:sz w:val="16"/>
          <w:szCs w:val="16"/>
        </w:rPr>
        <w:softHyphen/>
        <w:t>ка заготовок и, главное, их правка после высокого отпуска требовали наличия мощных высокопроизводительных прессов. Кроме того, соединение броневых листов «в за</w:t>
      </w:r>
      <w:r w:rsidRPr="00640820">
        <w:rPr>
          <w:rFonts w:ascii="Times New Roman" w:hAnsi="Times New Roman"/>
          <w:color w:val="000000" w:themeColor="text1"/>
          <w:sz w:val="16"/>
          <w:szCs w:val="16"/>
        </w:rPr>
        <w:softHyphen/>
        <w:t>мок» и «в четверть» требовало обязательной строжки всех кромок листов после высокого отпуска, а затем фрезерных работ для выборки «четверти» и «замка». Благодаря предложению военинженера 3-го ранга Мо</w:t>
      </w:r>
      <w:r w:rsidRPr="00640820">
        <w:rPr>
          <w:rFonts w:ascii="Times New Roman" w:hAnsi="Times New Roman"/>
          <w:color w:val="000000" w:themeColor="text1"/>
          <w:sz w:val="16"/>
          <w:szCs w:val="16"/>
        </w:rPr>
        <w:softHyphen/>
        <w:t>розова (ставшего вскоре старшим военпредом на заводе № 264) по соединению броневых листов «в шип» удалось отказаться от строжек кромок броневых листов, что высво</w:t>
      </w:r>
      <w:r w:rsidRPr="00640820">
        <w:rPr>
          <w:rFonts w:ascii="Times New Roman" w:hAnsi="Times New Roman"/>
          <w:color w:val="000000" w:themeColor="text1"/>
          <w:sz w:val="16"/>
          <w:szCs w:val="16"/>
        </w:rPr>
        <w:softHyphen/>
        <w:t>бождало дефицитное оборудование и квалифицированные кадры и даже несколько уменьшало расход броневого проката. Соединения же «в замок» и «в четверть» остались лишь при соединении верхнего лобового листа с крышей и нижних лобового и кормового листов с днищем машины. Важным достижением завода № 264 при поддержке НИИ-48 стало освоение процесса упрощенной термообра</w:t>
      </w:r>
      <w:r w:rsidRPr="00640820">
        <w:rPr>
          <w:rFonts w:ascii="Times New Roman" w:hAnsi="Times New Roman"/>
          <w:color w:val="000000" w:themeColor="text1"/>
          <w:sz w:val="16"/>
          <w:szCs w:val="16"/>
        </w:rPr>
        <w:softHyphen/>
        <w:t>ботки броневых деталей. После исследований НИИ-48 пер</w:t>
      </w:r>
      <w:r w:rsidRPr="00640820">
        <w:rPr>
          <w:rFonts w:ascii="Times New Roman" w:hAnsi="Times New Roman"/>
          <w:color w:val="000000" w:themeColor="text1"/>
          <w:sz w:val="16"/>
          <w:szCs w:val="16"/>
        </w:rPr>
        <w:softHyphen/>
        <w:t>вая закалка и высокий отпуск были отменены во многом по</w:t>
      </w:r>
      <w:r w:rsidRPr="00640820">
        <w:rPr>
          <w:rFonts w:ascii="Times New Roman" w:hAnsi="Times New Roman"/>
          <w:color w:val="000000" w:themeColor="text1"/>
          <w:sz w:val="16"/>
          <w:szCs w:val="16"/>
        </w:rPr>
        <w:softHyphen/>
        <w:t>тому, что корпуса Т-34 изготавливались из брони высокой твердости и рассчитывались на сопротивление бронебой</w:t>
      </w:r>
      <w:r w:rsidRPr="00640820">
        <w:rPr>
          <w:rFonts w:ascii="Times New Roman" w:hAnsi="Times New Roman"/>
          <w:color w:val="000000" w:themeColor="text1"/>
          <w:sz w:val="16"/>
          <w:szCs w:val="16"/>
        </w:rPr>
        <w:softHyphen/>
        <w:t>ным снарядам малой массы (калибром до 47 мм). Тщатель</w:t>
      </w:r>
      <w:r w:rsidRPr="00640820">
        <w:rPr>
          <w:rFonts w:ascii="Times New Roman" w:hAnsi="Times New Roman"/>
          <w:color w:val="000000" w:themeColor="text1"/>
          <w:sz w:val="16"/>
          <w:szCs w:val="16"/>
        </w:rPr>
        <w:softHyphen/>
        <w:t>ные промеры броневых листов после термообработки по</w:t>
      </w:r>
      <w:r w:rsidRPr="00640820">
        <w:rPr>
          <w:rFonts w:ascii="Times New Roman" w:hAnsi="Times New Roman"/>
          <w:color w:val="000000" w:themeColor="text1"/>
          <w:sz w:val="16"/>
          <w:szCs w:val="16"/>
        </w:rPr>
        <w:softHyphen/>
        <w:t>зволили ввести чистовую огневую резку с учетом припусков, практически не требующую последующей подгонки геомет</w:t>
      </w:r>
      <w:r w:rsidRPr="00640820">
        <w:rPr>
          <w:rFonts w:ascii="Times New Roman" w:hAnsi="Times New Roman"/>
          <w:color w:val="000000" w:themeColor="text1"/>
          <w:sz w:val="16"/>
          <w:szCs w:val="16"/>
        </w:rPr>
        <w:softHyphen/>
        <w:t>рических размеров. Режимы второй закалки были нормали</w:t>
      </w:r>
      <w:r w:rsidRPr="00640820">
        <w:rPr>
          <w:rFonts w:ascii="Times New Roman" w:hAnsi="Times New Roman"/>
          <w:color w:val="000000" w:themeColor="text1"/>
          <w:sz w:val="16"/>
          <w:szCs w:val="16"/>
        </w:rPr>
        <w:softHyphen/>
        <w:t>зованы с целью достижения допустимого соотношения меж</w:t>
      </w:r>
      <w:r w:rsidRPr="00640820">
        <w:rPr>
          <w:rFonts w:ascii="Times New Roman" w:hAnsi="Times New Roman"/>
          <w:color w:val="000000" w:themeColor="text1"/>
          <w:sz w:val="16"/>
          <w:szCs w:val="16"/>
        </w:rPr>
        <w:softHyphen/>
        <w:t>ду твердостью и хрупкостью брони, что также позволило ускорить термообработку, а с учетом 4—5-ярусной посадки броневых корпусов в печи (прежде была одноярусная посад</w:t>
      </w:r>
      <w:r w:rsidRPr="00640820">
        <w:rPr>
          <w:rFonts w:ascii="Times New Roman" w:hAnsi="Times New Roman"/>
          <w:color w:val="000000" w:themeColor="text1"/>
          <w:sz w:val="16"/>
          <w:szCs w:val="16"/>
        </w:rPr>
        <w:softHyphen/>
        <w:t>ка) удалось значительно увеличить их производительность (10782).</w:t>
      </w:r>
    </w:p>
    <w:p w14:paraId="74CFC6E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0FB79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началась эвакуация танкового производства ХТЗ в Сталинград, на территорию завода № 264 («Сталин</w:t>
      </w:r>
      <w:r w:rsidRPr="00640820">
        <w:rPr>
          <w:rFonts w:ascii="Times New Roman" w:hAnsi="Times New Roman"/>
          <w:color w:val="000000" w:themeColor="text1"/>
          <w:sz w:val="16"/>
          <w:szCs w:val="16"/>
        </w:rPr>
        <w:softHyphen/>
        <w:t>градская судоверфь»), который также был привлечен к вы</w:t>
      </w:r>
      <w:r w:rsidRPr="00640820">
        <w:rPr>
          <w:rFonts w:ascii="Times New Roman" w:hAnsi="Times New Roman"/>
          <w:color w:val="000000" w:themeColor="text1"/>
          <w:sz w:val="16"/>
          <w:szCs w:val="16"/>
        </w:rPr>
        <w:softHyphen/>
        <w:t xml:space="preserve">пуску Т-60. Во второй половине сентября на завод прибыли эвакуированные с ХТЗ конструктора и технологи, которые еще в Харькове начали </w:t>
      </w:r>
      <w:r w:rsidRPr="00640820">
        <w:rPr>
          <w:rFonts w:ascii="Times New Roman" w:hAnsi="Times New Roman"/>
          <w:color w:val="000000" w:themeColor="text1"/>
          <w:sz w:val="16"/>
          <w:szCs w:val="16"/>
        </w:rPr>
        <w:lastRenderedPageBreak/>
        <w:t>подготовку к выпуску Т-60 и потому имели лекалы, штампы и выкройки некоторых узлов танка. Казалось, что проблем с выпуском Т-60 здесь не будет, но поскольку трансмиссии должен был подавать СТЗ, до преде</w:t>
      </w:r>
      <w:r w:rsidRPr="00640820">
        <w:rPr>
          <w:rFonts w:ascii="Times New Roman" w:hAnsi="Times New Roman"/>
          <w:color w:val="000000" w:themeColor="text1"/>
          <w:sz w:val="16"/>
          <w:szCs w:val="16"/>
        </w:rPr>
        <w:softHyphen/>
        <w:t>ла загруженный программой выпуска Т-34, организовать се</w:t>
      </w:r>
      <w:r w:rsidRPr="00640820">
        <w:rPr>
          <w:rFonts w:ascii="Times New Roman" w:hAnsi="Times New Roman"/>
          <w:color w:val="000000" w:themeColor="text1"/>
          <w:sz w:val="16"/>
          <w:szCs w:val="16"/>
        </w:rPr>
        <w:softHyphen/>
        <w:t>рийный выпуск Т-60 здесь удалось только со второй декады декабря. Всего до начала 1942 г. завод № 264 сдал заказчику 53 танка и лишь в январе вышел на запланированную произво</w:t>
      </w:r>
      <w:r w:rsidRPr="00640820">
        <w:rPr>
          <w:rFonts w:ascii="Times New Roman" w:hAnsi="Times New Roman"/>
          <w:color w:val="000000" w:themeColor="text1"/>
          <w:sz w:val="16"/>
          <w:szCs w:val="16"/>
        </w:rPr>
        <w:softHyphen/>
        <w:t>дительность (100 танков в месяц), сдав 102 машины. Всего же по июнь 1942 г. здесь было отгружено 830 Т-60 (10782).</w:t>
      </w:r>
    </w:p>
    <w:p w14:paraId="1003AE0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37C1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выпуск на ХПЗ лишь немного снизился по сравнению с августом. Вот данные выпуска по месяцам: июль - 225, август - 250, сентябрь - 220, октябрь - 30 (3905).</w:t>
      </w:r>
    </w:p>
    <w:p w14:paraId="0DFB6A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137CAF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старший военный представитель ГАБТУ военинженер 2-го ранга Левин предложил руковод</w:t>
      </w:r>
      <w:r w:rsidRPr="00640820">
        <w:rPr>
          <w:rFonts w:ascii="Times New Roman" w:hAnsi="Times New Roman"/>
          <w:color w:val="000000" w:themeColor="text1"/>
          <w:sz w:val="16"/>
          <w:szCs w:val="16"/>
        </w:rPr>
        <w:softHyphen/>
        <w:t>ству сталинградского завода принять меры по отработке конструкции литых стальных опорных катков с внутренней резиновой амортизацией по типу опорных катков тяжелого танка КВ. Это позволило сэкономить до 500 кг резины, используемой при производстве каждого танка. Новая конструкция траков была также отработана в кратчайшие сроки и позволила снизить шум (до вполне допустимой величины) при движении танка с литыми опорными катками на всех скоростях. Черте</w:t>
      </w:r>
      <w:r w:rsidRPr="00640820">
        <w:rPr>
          <w:rFonts w:ascii="Times New Roman" w:hAnsi="Times New Roman"/>
          <w:color w:val="000000" w:themeColor="text1"/>
          <w:sz w:val="16"/>
          <w:szCs w:val="16"/>
        </w:rPr>
        <w:softHyphen/>
        <w:t>жи и отчет по новым опорным каткам и гусеницам были отправлены не только в ГАБТУ на утверждение, но и на заводы № 112 и № 183 для ос</w:t>
      </w:r>
      <w:r w:rsidRPr="00640820">
        <w:rPr>
          <w:rFonts w:ascii="Times New Roman" w:hAnsi="Times New Roman"/>
          <w:color w:val="000000" w:themeColor="text1"/>
          <w:sz w:val="16"/>
          <w:szCs w:val="16"/>
        </w:rPr>
        <w:softHyphen/>
        <w:t>воения производства (10703).</w:t>
      </w:r>
    </w:p>
    <w:p w14:paraId="5471F29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757A8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w:t>
      </w:r>
      <w:r w:rsidRPr="00640820">
        <w:rPr>
          <w:rFonts w:ascii="Times New Roman" w:hAnsi="Times New Roman"/>
          <w:color w:val="000000" w:themeColor="text1"/>
          <w:sz w:val="16"/>
          <w:szCs w:val="16"/>
        </w:rPr>
        <w:softHyphen/>
        <w:t>тябре 1941 г. в связи с началом эвакуации завод № 183 сдал военным предста</w:t>
      </w:r>
      <w:r w:rsidRPr="00640820">
        <w:rPr>
          <w:rFonts w:ascii="Times New Roman" w:hAnsi="Times New Roman"/>
          <w:color w:val="000000" w:themeColor="text1"/>
          <w:sz w:val="16"/>
          <w:szCs w:val="16"/>
        </w:rPr>
        <w:softHyphen/>
        <w:t>вителям только 228 танков. В середине октября 1941 г., т.е. к моменту завершения эвакуации завода из Харькова, коллектив завода передал военным представителям 41 танк Т-34 октябрьской сборки. Осенью 1941 г. эвакуированному в Нижний Тагил заводу № 183 были предо</w:t>
      </w:r>
      <w:r w:rsidRPr="00640820">
        <w:rPr>
          <w:rFonts w:ascii="Times New Roman" w:hAnsi="Times New Roman"/>
          <w:color w:val="000000" w:themeColor="text1"/>
          <w:sz w:val="16"/>
          <w:szCs w:val="16"/>
        </w:rPr>
        <w:softHyphen/>
        <w:t>ставлены просторные цехи Уралвагонзавода, а также мощное сталели</w:t>
      </w:r>
      <w:r w:rsidRPr="00640820">
        <w:rPr>
          <w:rFonts w:ascii="Times New Roman" w:hAnsi="Times New Roman"/>
          <w:color w:val="000000" w:themeColor="text1"/>
          <w:sz w:val="16"/>
          <w:szCs w:val="16"/>
        </w:rPr>
        <w:softHyphen/>
        <w:t>тейное и кузнечно-прессовое оборудование, теплоэлектроцентраль и га</w:t>
      </w:r>
      <w:r w:rsidRPr="00640820">
        <w:rPr>
          <w:rFonts w:ascii="Times New Roman" w:hAnsi="Times New Roman"/>
          <w:color w:val="000000" w:themeColor="text1"/>
          <w:sz w:val="16"/>
          <w:szCs w:val="16"/>
        </w:rPr>
        <w:softHyphen/>
        <w:t>зогенераторная станция. На новой площадке в завод № 183 влились Мариупольский метал</w:t>
      </w:r>
      <w:r w:rsidRPr="00640820">
        <w:rPr>
          <w:rFonts w:ascii="Times New Roman" w:hAnsi="Times New Roman"/>
          <w:color w:val="000000" w:themeColor="text1"/>
          <w:sz w:val="16"/>
          <w:szCs w:val="16"/>
        </w:rPr>
        <w:softHyphen/>
        <w:t>лургический завод и Московский станкостроительный завод им. Орд</w:t>
      </w:r>
      <w:r w:rsidRPr="00640820">
        <w:rPr>
          <w:rFonts w:ascii="Times New Roman" w:hAnsi="Times New Roman"/>
          <w:color w:val="000000" w:themeColor="text1"/>
          <w:sz w:val="16"/>
          <w:szCs w:val="16"/>
        </w:rPr>
        <w:softHyphen/>
        <w:t>жоникидзе. Расстановка оборудования на новой площадке завода осу</w:t>
      </w:r>
      <w:r w:rsidRPr="00640820">
        <w:rPr>
          <w:rFonts w:ascii="Times New Roman" w:hAnsi="Times New Roman"/>
          <w:color w:val="000000" w:themeColor="text1"/>
          <w:sz w:val="16"/>
          <w:szCs w:val="16"/>
        </w:rPr>
        <w:softHyphen/>
        <w:t>ществлялась из расчета выпуска 20 танков в сутки (10703).</w:t>
      </w:r>
    </w:p>
    <w:p w14:paraId="5FEA7E4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FA956D" w14:textId="77777777" w:rsidR="00537B89" w:rsidRPr="00640820" w:rsidRDefault="00537B89"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сентябре 1941 года завод №183 эвакуировали в Нижний Тагил, одновременно прекратилось производство тяжёлых тягачей «Ворошиловец». Осенью 1941 года в Челябинске перестали выпускать трактор С-65 и артиллерийский тягач С-2. Причиной тому стало наращивание выпуска тяжёлых танков КВ-1. Наконец, в Сталинграде всерьёз задумались о снятии с производства артиллерийских тягачей СТЗ-5. Причина оказалась та же — увеличение выпуска танков, на сей раз Т-34. Производство СТЗ-5 все же сохранилось, но в минимальном объёме. Главное артиллерийское управление Красной армии (ГАУ КА) в ноябре 1941 года оказалась перед крайне неприятной перспективой совсем лишиться механической тяги (17668).</w:t>
      </w:r>
    </w:p>
    <w:p w14:paraId="45433C35" w14:textId="77777777" w:rsidR="00537B89" w:rsidRPr="00640820" w:rsidRDefault="00537B89" w:rsidP="00640820">
      <w:pPr>
        <w:pStyle w:val="129"/>
        <w:shd w:val="clear" w:color="auto" w:fill="auto"/>
        <w:spacing w:after="0" w:line="240" w:lineRule="auto"/>
        <w:jc w:val="both"/>
        <w:rPr>
          <w:color w:val="000000" w:themeColor="text1"/>
          <w:sz w:val="16"/>
          <w:szCs w:val="16"/>
        </w:rPr>
      </w:pPr>
    </w:p>
    <w:p w14:paraId="22EACF0F" w14:textId="77777777" w:rsidR="00941540" w:rsidRPr="00640820" w:rsidRDefault="0094154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shd w:val="clear" w:color="auto" w:fill="FFFFFF"/>
        </w:rPr>
        <w:t>В сентябре 1941 года на совещание в Москву вызвали руководство завода №92 и ГАЗ им. Молотова. Темой совещания стала установка в башню Т-60 более мощного орудия - 45-мм пушки. Оба коллектива взялись за работу, но каждый по-своему. В случае с заводом №92 работы привели к созданию новой пушки - ЗИС-19, калибра 37 мм. Что же касается КЭО ГАЗ им. Молотова, то там пошли по пути создания более просторной башни. В итоге эти работы привели к появлению нового танка - Т-70 (ГАЗ-70) (23179).</w:t>
      </w:r>
    </w:p>
    <w:p w14:paraId="251626AD" w14:textId="77777777" w:rsidR="00941540" w:rsidRPr="00640820" w:rsidRDefault="00941540" w:rsidP="00640820">
      <w:pPr>
        <w:spacing w:after="0" w:line="240" w:lineRule="auto"/>
        <w:jc w:val="both"/>
        <w:rPr>
          <w:rFonts w:ascii="Times New Roman" w:hAnsi="Times New Roman"/>
          <w:color w:val="0070C0"/>
          <w:sz w:val="16"/>
          <w:szCs w:val="16"/>
        </w:rPr>
      </w:pPr>
    </w:p>
    <w:p w14:paraId="5DD6857A" w14:textId="77777777" w:rsidR="00941540" w:rsidRPr="00640820" w:rsidRDefault="00941540" w:rsidP="00640820">
      <w:pPr>
        <w:spacing w:after="0" w:line="240" w:lineRule="auto"/>
        <w:jc w:val="both"/>
        <w:rPr>
          <w:rFonts w:ascii="Times New Roman" w:hAnsi="Times New Roman"/>
          <w:color w:val="0070C0"/>
          <w:sz w:val="16"/>
          <w:szCs w:val="16"/>
          <w:shd w:val="clear" w:color="auto" w:fill="FFFFFF"/>
        </w:rPr>
      </w:pPr>
      <w:r w:rsidRPr="00640820">
        <w:rPr>
          <w:rFonts w:ascii="Times New Roman" w:hAnsi="Times New Roman"/>
          <w:color w:val="0070C0"/>
          <w:sz w:val="16"/>
          <w:szCs w:val="16"/>
          <w:shd w:val="clear" w:color="auto" w:fill="FFFFFF"/>
        </w:rPr>
        <w:t>В сентябре 1941 года шасси ЗИС-22М стало рассматриваться и как база для монтажа систем залпового огня М-13. Данная идея появилась в августе 1941 года, когда выяснилось, что шасси ЗИС-6 имеет крайне ограниченную проходимость. В отличие от истребителя танков, данная работа вошла в практическую фазу. Испытания переоборудованной машины проходили 10-12 сентября 1941 года на Софринском полигоне. Самое интересное, что машина несла уже другой индекс - ЗИС-42. Надо сказать, что общее мнение комиссии склонялось к использованию платформы ЗИС-42, но при ряде переделок. Поэтому выбрали компромиссный вариант - шасси СТЗ-5 (21127).</w:t>
      </w:r>
    </w:p>
    <w:p w14:paraId="09CB6FDE" w14:textId="77777777" w:rsidR="00941540" w:rsidRPr="00640820" w:rsidRDefault="00941540" w:rsidP="00640820">
      <w:pPr>
        <w:spacing w:after="0" w:line="240" w:lineRule="auto"/>
        <w:jc w:val="both"/>
        <w:rPr>
          <w:rFonts w:ascii="Times New Roman" w:hAnsi="Times New Roman"/>
          <w:color w:val="0070C0"/>
          <w:sz w:val="16"/>
          <w:szCs w:val="16"/>
          <w:shd w:val="clear" w:color="auto" w:fill="FFFFFF"/>
        </w:rPr>
      </w:pPr>
    </w:p>
    <w:p w14:paraId="5C8F4341" w14:textId="77777777" w:rsidR="00941540" w:rsidRPr="00640820" w:rsidRDefault="00941540" w:rsidP="00640820">
      <w:pPr>
        <w:pStyle w:val="article-renderblock"/>
        <w:shd w:val="clear" w:color="auto" w:fill="FFFFFF"/>
        <w:spacing w:before="0" w:beforeAutospacing="0" w:after="0" w:afterAutospacing="0"/>
        <w:jc w:val="both"/>
        <w:rPr>
          <w:color w:val="0070C0"/>
          <w:sz w:val="16"/>
          <w:szCs w:val="16"/>
        </w:rPr>
      </w:pPr>
      <w:r w:rsidRPr="00640820">
        <w:rPr>
          <w:color w:val="0070C0"/>
          <w:sz w:val="16"/>
          <w:szCs w:val="16"/>
        </w:rPr>
        <w:t>В сентябре 1941 года работы по харьковским проектам истребителя танков прекратились. Аналогично заводу №8, завод №183 отправился в эвакуацию. Новым местом базирования стал Нижний Тагил, а завод №8 направили в Свердловск. Так вот, уже 9 октября 1941 года в тематических работах УВНА ГАУ КА значилась "85-мм самоходная артиллерийская установка на шасси из агрегатов танка Т-34 и КВ". Согласно имеющимся данным, боевая масса оценивалась в 25 тонн, а максимальная скорость в 45 км/ч. Первый опытный образец САУ предполагалось получить к июню 1942 года. Стоимость опытной машины оценивалась в 750 тысяч рублей. В эту сумму включались все расходы по разработке и постройке, реальная цена серийной машины была бы в разы ниже. Исполнителем работ являлся УЗТМ (20877).</w:t>
      </w:r>
    </w:p>
    <w:p w14:paraId="7F1409DF" w14:textId="77777777" w:rsidR="00941540" w:rsidRPr="00640820" w:rsidRDefault="00941540" w:rsidP="00640820">
      <w:pPr>
        <w:pStyle w:val="article-renderblock"/>
        <w:shd w:val="clear" w:color="auto" w:fill="FFFFFF"/>
        <w:spacing w:before="0" w:beforeAutospacing="0" w:after="0" w:afterAutospacing="0"/>
        <w:jc w:val="both"/>
        <w:rPr>
          <w:color w:val="0070C0"/>
          <w:sz w:val="16"/>
          <w:szCs w:val="16"/>
        </w:rPr>
      </w:pPr>
    </w:p>
    <w:p w14:paraId="3F698D47" w14:textId="77777777" w:rsidR="00537B89" w:rsidRPr="00640820" w:rsidRDefault="00537B89"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сентябре 1941 ситуация на ГАЗ оставалась в подвешенном состоянии по причине отсутствия корпусов. По состоянию на середину сентября, Муромский завод Народного комиссариата путей сообщения лишь заложил 4 комплекта корпусов и башен, не изготовив ни одного. Новокраматорский завод Народного комиссариата тяжёлого машиностроения заложил 32 корпуса с башней, не закончив к середине месяца ни одного комплекта. Выксунский завод ДРО на ту же дату заложил 6 корпусов и башен, изготовив 2 комплекта. Первый корпус с башней пришёл с Выксы на ГАЗ 17 числа, в тот же день был собран первый танк.</w:t>
      </w:r>
    </w:p>
    <w:p w14:paraId="4F5DB655" w14:textId="77777777" w:rsidR="00537B89" w:rsidRPr="00640820" w:rsidRDefault="00537B89"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Для производства Т-60 на заводе был выделен новокузовной цех, который получил обозначение «цех №5». Как и в случае с ХТЗ, для ускорения ввода Т-60 на ГАЗ в производство потребовалось вмешательство сверху. В начале сентября директор завода И. К. Лоскутов был вызван на совещание в ЦК ВКП(б). На совещании под председательством Г. М. Маленкова руководство ГАБТУ потребовало от директоров заводов, выпускающих танки, ускорить начало их выпуска. Данное требование в полной мере относилось и к Лоскутову. Именно с этого момента началась постепенная переориентация ГАЗ с производства автомобилей на выпуск танков (17569).</w:t>
      </w:r>
    </w:p>
    <w:p w14:paraId="5928B70A" w14:textId="77777777" w:rsidR="00537B89" w:rsidRPr="00640820" w:rsidRDefault="00537B89" w:rsidP="00640820">
      <w:pPr>
        <w:spacing w:after="0" w:line="240" w:lineRule="auto"/>
        <w:jc w:val="both"/>
        <w:rPr>
          <w:rFonts w:ascii="Times New Roman" w:eastAsia="Times New Roman" w:hAnsi="Times New Roman"/>
          <w:color w:val="000000" w:themeColor="text1"/>
          <w:sz w:val="16"/>
          <w:szCs w:val="16"/>
          <w:lang w:eastAsia="ru-RU"/>
        </w:rPr>
      </w:pPr>
    </w:p>
    <w:p w14:paraId="0A02E483" w14:textId="77777777" w:rsidR="00537B89" w:rsidRPr="00640820" w:rsidRDefault="00537B89"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сентябре 1941 года Артиллерийский комитет Главного артиллерийского управления Красной армии (Артком ГАУ КА) инициировал работы по установке в танк Т-60 более мощного вооружения. На совещание по данному вопросу было вызвано руководство конструкторских бюро ГАЗ им. Молотова и завода №92 «Новое Сормово» (ныне ОАО «Нижегородский машиностроительный завод»), одного из ведущих на тот момент предприятий по выпуску танкового и артиллерийского вооружения. Эти два завода находились в одном городе, и от проходной ГАЗ до проходной завода № 92 было километров десять. В случае успеха разработки это заметно облегчило бы дальнейшую кооперацию по выпуску более мощного вооружения.</w:t>
      </w:r>
    </w:p>
    <w:p w14:paraId="2C051BF4" w14:textId="77777777" w:rsidR="00537B89" w:rsidRPr="00640820" w:rsidRDefault="00537B89"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Нередко в качестве причины замены ТНШ на другое вооружение приводится тот факт, что эта автоматическая пушка была капризной системой и при стрельбе часто заедала. Действительно, такие случаи имели место, но связано это в том числе и с неправильной эксплуатацией системы. А часть претензий и вовсе оказалась результатом некоторых вольностей со стороны заводов, производивших боеприпасы к пушке. По этому поводу было даже выпущено постановление Государственного комитета обороны (ГКО) №627 от 4 сентября 1941 года, запрещавшее заводам вносить изменения в конструкцию вооружения и боеприпасов без согласования с Наркоматом вооружения. Ну и самое главное: запуск программы по усилению вооружения Т-60 состоялся в сентябре 1941 года, в то время как жалобы на ТНШ пошли из войск только в октябре. А до того жалобы шли на не модернизированные авиационные пушки ШВАК (16636).</w:t>
      </w:r>
    </w:p>
    <w:p w14:paraId="5B0E397A" w14:textId="77777777" w:rsidR="00537B89" w:rsidRPr="00640820" w:rsidRDefault="00537B89" w:rsidP="00640820">
      <w:pPr>
        <w:pStyle w:val="129"/>
        <w:shd w:val="clear" w:color="auto" w:fill="auto"/>
        <w:spacing w:after="0" w:line="240" w:lineRule="auto"/>
        <w:jc w:val="both"/>
        <w:rPr>
          <w:color w:val="000000" w:themeColor="text1"/>
          <w:sz w:val="16"/>
          <w:szCs w:val="16"/>
        </w:rPr>
      </w:pPr>
    </w:p>
    <w:p w14:paraId="4BBFF55B" w14:textId="77777777" w:rsidR="00537B89" w:rsidRPr="00640820" w:rsidRDefault="00537B89"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сентябре 1941 года была запущена программа по разработке установки в башню Т-60 45-мм танковой пушки. Работы эти затянулись. В их процессе конструкторское бюро КБ завода №92 разработало 37-мм пушку ЗИС-19, которую даже испытали в башне Т-60, но дальше эта программа не продвинулась. Усиление вооружения, несомненно, было нужно этой машине. Но всё же танк, созданный для поддержки пехоты и разведки, мог обойтись и без 45-мм пушки.</w:t>
      </w:r>
    </w:p>
    <w:p w14:paraId="1E347D73" w14:textId="77777777" w:rsidR="00537B89" w:rsidRPr="00640820" w:rsidRDefault="00537B89"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Совсем иная ситуация складывалась с защитой танка. Т-40, который послужил базой для Т-60, имел броню, защищавшую от пуль винтовочного калибра. У Т-60 и </w:t>
      </w:r>
      <w:hyperlink r:id="rId14" w:history="1">
        <w:r w:rsidRPr="00640820">
          <w:rPr>
            <w:rFonts w:ascii="Times New Roman" w:eastAsia="Times New Roman" w:hAnsi="Times New Roman"/>
            <w:color w:val="000000" w:themeColor="text1"/>
            <w:sz w:val="16"/>
            <w:szCs w:val="16"/>
            <w:lang w:eastAsia="ru-RU"/>
          </w:rPr>
          <w:t>Т-30</w:t>
        </w:r>
      </w:hyperlink>
      <w:r w:rsidRPr="00640820">
        <w:rPr>
          <w:rFonts w:ascii="Times New Roman" w:eastAsia="Times New Roman" w:hAnsi="Times New Roman"/>
          <w:color w:val="000000" w:themeColor="text1"/>
          <w:sz w:val="16"/>
          <w:szCs w:val="16"/>
          <w:lang w:eastAsia="ru-RU"/>
        </w:rPr>
        <w:t xml:space="preserve"> толщину брони усилили до 20 мм в лобовой проекции и 15 мм по бортам. Теоретически это позволяло «снимать» пули </w:t>
      </w:r>
      <w:hyperlink r:id="rId15" w:history="1">
        <w:r w:rsidRPr="00640820">
          <w:rPr>
            <w:rFonts w:ascii="Times New Roman" w:eastAsia="Times New Roman" w:hAnsi="Times New Roman"/>
            <w:color w:val="000000" w:themeColor="text1"/>
            <w:sz w:val="16"/>
            <w:szCs w:val="16"/>
            <w:lang w:eastAsia="ru-RU"/>
          </w:rPr>
          <w:t>крупнокалиберных пулемётов</w:t>
        </w:r>
      </w:hyperlink>
      <w:r w:rsidRPr="00640820">
        <w:rPr>
          <w:rFonts w:ascii="Times New Roman" w:eastAsia="Times New Roman" w:hAnsi="Times New Roman"/>
          <w:color w:val="000000" w:themeColor="text1"/>
          <w:sz w:val="16"/>
          <w:szCs w:val="16"/>
          <w:lang w:eastAsia="ru-RU"/>
        </w:rPr>
        <w:t>.</w:t>
      </w:r>
    </w:p>
    <w:p w14:paraId="5EBD7300" w14:textId="77777777" w:rsidR="00537B89" w:rsidRPr="00640820" w:rsidRDefault="00537B89"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Впрочем, как раз у немцев крупнокалиберных пулемётов не было. Их основным средством борьбы с танками являлась </w:t>
      </w:r>
      <w:hyperlink r:id="rId16" w:history="1">
        <w:r w:rsidRPr="00640820">
          <w:rPr>
            <w:rFonts w:ascii="Times New Roman" w:eastAsia="Times New Roman" w:hAnsi="Times New Roman"/>
            <w:color w:val="000000" w:themeColor="text1"/>
            <w:sz w:val="16"/>
            <w:szCs w:val="16"/>
            <w:lang w:eastAsia="ru-RU"/>
          </w:rPr>
          <w:t>37-мм противотанковая пушка 3.7 cm Pak</w:t>
        </w:r>
      </w:hyperlink>
      <w:r w:rsidRPr="00640820">
        <w:rPr>
          <w:rFonts w:ascii="Times New Roman" w:eastAsia="Times New Roman" w:hAnsi="Times New Roman"/>
          <w:color w:val="000000" w:themeColor="text1"/>
          <w:sz w:val="16"/>
          <w:szCs w:val="16"/>
          <w:lang w:eastAsia="ru-RU"/>
        </w:rPr>
        <w:t>, которая постепенно заменялась 50-мм пушкой Pak 38. Весьма действенным оружием оказались и немецкие противотанковые ружья Pz.B. 39. Нередко против лёгких танков применялись и 20-мм зенитные автоматические пушки Flak 30 и Flak 38. Против этого широкого противотанкового ассортимента штатной брони Т-30 и Т-40 оказалось недостаточно (17672).</w:t>
      </w:r>
    </w:p>
    <w:p w14:paraId="24F1B91E" w14:textId="77777777" w:rsidR="00537B89" w:rsidRPr="00640820" w:rsidRDefault="00537B89" w:rsidP="00640820">
      <w:pPr>
        <w:spacing w:after="0" w:line="240" w:lineRule="auto"/>
        <w:jc w:val="both"/>
        <w:rPr>
          <w:rFonts w:ascii="Times New Roman" w:eastAsia="Times New Roman" w:hAnsi="Times New Roman"/>
          <w:color w:val="000000" w:themeColor="text1"/>
          <w:sz w:val="16"/>
          <w:szCs w:val="16"/>
          <w:lang w:eastAsia="ru-RU"/>
        </w:rPr>
      </w:pPr>
    </w:p>
    <w:p w14:paraId="68577FE0" w14:textId="77777777" w:rsidR="00537B89" w:rsidRPr="00640820" w:rsidRDefault="00537B89"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сентябре 1941 года Артиллерийский комитет Главного артиллерийского управления Красной армии (Арткомом ГАУ КА) созвал совещание, куда были приглашены представители двух конструкторских бюро – ГАЗ им. Молотова и завода №92. После изучения образцов трофейной бронетехники было принято решение о перевооружении Т-60 на 45-мм танковую пушку обр.1938 года. При этом, согласно проекту, у танка должна была сохраниться штатная башня.</w:t>
      </w:r>
    </w:p>
    <w:p w14:paraId="7FD19541" w14:textId="77777777" w:rsidR="00537B89" w:rsidRPr="00640820" w:rsidRDefault="00537B89"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Первоначально работы по усилению вооружения выполнялись совместно конструкторскими бюро ГАЗ и завода №92. Но достаточно быстро конструкторские коллективы двух заводов серьёзно разошлись в вопросе проектирования более мощной артиллерийской системы для Т-60. В результате было принято решение о том, что заводы будут разрабатывать два варианта перевооружённой башни. Изготовление макетных образцов намечалось на декабрь.</w:t>
      </w:r>
    </w:p>
    <w:p w14:paraId="2657D97F" w14:textId="77777777" w:rsidR="00537B89" w:rsidRPr="00640820" w:rsidRDefault="00537B89"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задание, которое поставил Артком ГАУ КА, было достаточно непростым. В небольшую башню с диаметром погона 900 мм требовалось установить пушку, спаренный с ней пулемёт и прицел, а также оставить достаточно места для командира танка, выполнявшего ещё роль наводчика и заряжающего. Коллектив ГАЗ им. Молотова для достижения этих целей несколько изменил исходную схему размещения вооружения. 45-мм танковую пушку конструкторы максимально сдвинули вправо, а пулемёт решили установить по центру. Влево вместо него уходил телескопический прицел. Благодаря такой компоновке у командира, которому определили задний левый угол башни, появлялось хоть какое-то место.</w:t>
      </w:r>
    </w:p>
    <w:p w14:paraId="133FB2C8" w14:textId="77777777" w:rsidR="00537B89" w:rsidRPr="00640820" w:rsidRDefault="00537B89"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lastRenderedPageBreak/>
        <w:t>Из-за изменения расположения вооружения и рабочего места командира пришлось изменить расположение механизмов поворота и подъёма башни, а также по-иному разместить боеукладки. Несмотря на то что проект ГАЗ предполагал больше переделок, чем вариант модернизации, предложены заводом №92, он выглядел более предпочтительным, поскольку командир башни получал больше свободного пространства. В отличие от соперников, документации конструкторы ГАЗ не представили. Зато опытную установку здесь не только изготовили, но и испытали стрельбой. Несмотря на то что эта экспериментальная установка была недоработанной, само её наличие оказалось для проекта ГАЗ большим плюсом (17664).</w:t>
      </w:r>
    </w:p>
    <w:p w14:paraId="0DBA6DBD" w14:textId="77777777" w:rsidR="00537B89" w:rsidRPr="00640820" w:rsidRDefault="00537B89" w:rsidP="00640820">
      <w:pPr>
        <w:pStyle w:val="129"/>
        <w:shd w:val="clear" w:color="auto" w:fill="auto"/>
        <w:spacing w:after="0" w:line="240" w:lineRule="auto"/>
        <w:jc w:val="both"/>
        <w:rPr>
          <w:color w:val="000000" w:themeColor="text1"/>
          <w:sz w:val="16"/>
          <w:szCs w:val="16"/>
        </w:rPr>
      </w:pPr>
    </w:p>
    <w:p w14:paraId="44109F49" w14:textId="77777777" w:rsidR="00537B89" w:rsidRPr="00640820" w:rsidRDefault="00537B89"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сентябре 1941 года начальником БТУ ГАБТУ КА (Бронетанкового управления Главного автобронетанкового управления Красной армии) военинженером 1-го ранга Н. Н. Алымовым был поднят вопрос об экранировке плавающих танков. Связан он был с тем, что на ремзаводах стали скапливаться повреждённые Т-37 и Т-38. И возникла идея вместо обычного ремонта усилить бронирование этих танков и превратить их в сухопутные машины. Про увеличение огневой мощи на тот момент не было и речи – 20-мм пушек ШВАК едва хватало для вооружения новых Т-60.</w:t>
      </w:r>
    </w:p>
    <w:p w14:paraId="4CBB9321" w14:textId="77777777" w:rsidR="00537B89" w:rsidRPr="00640820" w:rsidRDefault="00537B89"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Предложение об экранировке ремонтных танков было направлено сразу двум адресатам – заместителю наркома танковой промышленности А. А. Горегляду и директору завода №37 Г. Р. Фрезерову. Именно завод №37 являлся разработчиком и производителем Т-37 и Т-38, и задание на разработку экранировки Алымов возложил на его КБ. Очевидно, что всё это несколько не стыкуется с утверждениями о разработке экранировки на Т-37 и Т-38 НИИБТ Полигоном.</w:t>
      </w:r>
    </w:p>
    <w:p w14:paraId="53082A23" w14:textId="77777777" w:rsidR="00537B89" w:rsidRPr="00640820" w:rsidRDefault="00537B89"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Задание заводу №37 было утверждено, а уже 30 сентября на предприятие был отправлен запрос о состоянии дел по нему. Согласно ответу Фрезерова, заводское конструкторское бюро (КБ) вовсю работало над экранировкой совместно с рембазой №2, находившейся в Москве на улице Нижне-Красносельской, д. 40. Непосредственно разработкой экранировки занимался отдел 22 КБ под руководством Н. А. Астрова.</w:t>
      </w:r>
    </w:p>
    <w:p w14:paraId="7B454FB0" w14:textId="77777777" w:rsidR="00537B89" w:rsidRPr="00640820" w:rsidRDefault="00537B89"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Расчёты показали, что максимально допустимая масса экранировки Т-38 находилась в пределах 400–500 кг. Что же касается Т-37, то по поводу усиления его брони имелись большие сомнения. Танк и так страдал проблемами с дифференциалом, а дополнительная нагрузка могла их лишь усугубить.</w:t>
      </w:r>
    </w:p>
    <w:p w14:paraId="2D0EFE03" w14:textId="77777777" w:rsidR="00537B89" w:rsidRPr="00640820" w:rsidRDefault="00537B89"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Фрезеров предупреждал, что за отведенный промежуток времени заводское КБ успевает разработать экранировку только для машины одного типа. Несмотря на сомнения, связанные с возможными проблемами с перегрузкой, 1 октября 1941 года на испытания вышел экранированный Т-37. Его корпус получил экраны толщиной 7 мм, а башня – 6 мм. Был проведён обстрел танка из пулемёта бронебойными пулями с дистанций 50, 100, 150 и 200 метров. Испытания показали, что пуля пробивала экран, но листы самого корпуса в худшем случае получали вмятины. На этом основании комиссия сделала вывод, что танк не пробивается винтовочно-пулемётным огнём со всех дистанций (17660).</w:t>
      </w:r>
    </w:p>
    <w:p w14:paraId="3333824C" w14:textId="77777777" w:rsidR="00537B89" w:rsidRPr="00640820" w:rsidRDefault="00537B89" w:rsidP="00640820">
      <w:pPr>
        <w:spacing w:after="0" w:line="240" w:lineRule="auto"/>
        <w:jc w:val="both"/>
        <w:rPr>
          <w:rFonts w:ascii="Times New Roman" w:eastAsia="Times New Roman" w:hAnsi="Times New Roman"/>
          <w:color w:val="000000" w:themeColor="text1"/>
          <w:sz w:val="16"/>
          <w:szCs w:val="16"/>
          <w:lang w:eastAsia="ru-RU"/>
        </w:rPr>
      </w:pPr>
    </w:p>
    <w:p w14:paraId="5A1A62D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сентября 1941 г. дизель-моторы В-2 поступали производителям Т-34 с завода № 75, а с июля, согласно мобплану, начались рабо</w:t>
      </w:r>
      <w:r w:rsidRPr="00640820">
        <w:rPr>
          <w:rFonts w:ascii="Times New Roman" w:hAnsi="Times New Roman"/>
          <w:color w:val="000000" w:themeColor="text1"/>
          <w:sz w:val="16"/>
          <w:szCs w:val="16"/>
        </w:rPr>
        <w:softHyphen/>
        <w:t>ты по освоению выпуска дизелей на СТЗ. Первые Т-34 СТЗ с дизелями собственного производства мощностью 480 л.с. были отправлены с завода в конце октября под Москву. Но качество этих моторов было еще плохим. К концу месяца из 65 собранных моторов военная приемка согласилась от</w:t>
      </w:r>
      <w:r w:rsidRPr="00640820">
        <w:rPr>
          <w:rFonts w:ascii="Times New Roman" w:hAnsi="Times New Roman"/>
          <w:color w:val="000000" w:themeColor="text1"/>
          <w:sz w:val="16"/>
          <w:szCs w:val="16"/>
        </w:rPr>
        <w:softHyphen/>
        <w:t>править заказчику только 25 — остальные были возвраще</w:t>
      </w:r>
      <w:r w:rsidRPr="00640820">
        <w:rPr>
          <w:rFonts w:ascii="Times New Roman" w:hAnsi="Times New Roman"/>
          <w:color w:val="000000" w:themeColor="text1"/>
          <w:sz w:val="16"/>
          <w:szCs w:val="16"/>
        </w:rPr>
        <w:softHyphen/>
        <w:t>ны на доработку. И вообще по плану на IV квартал завод должен был отгрузить заказчику 325 моторов, но смог от</w:t>
      </w:r>
      <w:r w:rsidRPr="00640820">
        <w:rPr>
          <w:rFonts w:ascii="Times New Roman" w:hAnsi="Times New Roman"/>
          <w:color w:val="000000" w:themeColor="text1"/>
          <w:sz w:val="16"/>
          <w:szCs w:val="16"/>
        </w:rPr>
        <w:softHyphen/>
        <w:t>грузить лишь 197. На танки Т-34 шли повсеместно дизель-моторы В-2В (от трактора «Ворошиловец») и В-2К (от тан</w:t>
      </w:r>
      <w:r w:rsidRPr="00640820">
        <w:rPr>
          <w:rFonts w:ascii="Times New Roman" w:hAnsi="Times New Roman"/>
          <w:color w:val="000000" w:themeColor="text1"/>
          <w:sz w:val="16"/>
          <w:szCs w:val="16"/>
        </w:rPr>
        <w:softHyphen/>
        <w:t>ка КВ), вывезенные с завода № 75 (10782).</w:t>
      </w:r>
    </w:p>
    <w:p w14:paraId="414ECC0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F57D3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вопрос о замене дефицитного алюминия при производстве танковых двигателей был поставлен на сове</w:t>
      </w:r>
      <w:r w:rsidRPr="00640820">
        <w:rPr>
          <w:rFonts w:ascii="Times New Roman" w:hAnsi="Times New Roman"/>
          <w:color w:val="000000" w:themeColor="text1"/>
          <w:sz w:val="16"/>
          <w:szCs w:val="16"/>
        </w:rPr>
        <w:softHyphen/>
        <w:t>щании у В. Молотова. Разработку дизеля В-2 с чугунными картером и гильзами СТЗ вел с 1 октября, а в январе 1942 г. такой двигатель был принят в серию. Не</w:t>
      </w:r>
      <w:r w:rsidRPr="00640820">
        <w:rPr>
          <w:rFonts w:ascii="Times New Roman" w:hAnsi="Times New Roman"/>
          <w:color w:val="000000" w:themeColor="text1"/>
          <w:sz w:val="16"/>
          <w:szCs w:val="16"/>
        </w:rPr>
        <w:softHyphen/>
        <w:t>смотря на то что его ресурс снизился, увеличился вес дви</w:t>
      </w:r>
      <w:r w:rsidRPr="00640820">
        <w:rPr>
          <w:rFonts w:ascii="Times New Roman" w:hAnsi="Times New Roman"/>
          <w:color w:val="000000" w:themeColor="text1"/>
          <w:sz w:val="16"/>
          <w:szCs w:val="16"/>
        </w:rPr>
        <w:softHyphen/>
        <w:t>гателя и танка, появились течи при подрывах на минах, это решение в то время было единственно правильным, так как позволило не только не остановить, но и несколько увели</w:t>
      </w:r>
      <w:r w:rsidRPr="00640820">
        <w:rPr>
          <w:rFonts w:ascii="Times New Roman" w:hAnsi="Times New Roman"/>
          <w:color w:val="000000" w:themeColor="text1"/>
          <w:sz w:val="16"/>
          <w:szCs w:val="16"/>
        </w:rPr>
        <w:softHyphen/>
        <w:t>чить выпуск В-2. Однако их все равно не хватало. Еще до войны, разрабатывая возможную замену дизеля В-2, по Наркомату среднего машиностроения разрешалось использовать танковый мотор М-17Т.или авиационный М-17Ф. Поэтому приказом по НКТП № 15сс от 18 сентября 1941 г. завод № 183 должен был в пятидневный срок отрабо</w:t>
      </w:r>
      <w:r w:rsidRPr="00640820">
        <w:rPr>
          <w:rFonts w:ascii="Times New Roman" w:hAnsi="Times New Roman"/>
          <w:color w:val="000000" w:themeColor="text1"/>
          <w:sz w:val="16"/>
          <w:szCs w:val="16"/>
        </w:rPr>
        <w:softHyphen/>
        <w:t>тать установку авиамотора М-17 на танк Т-34 и обеспечить заводы СТЗ и № 112 необходимыми чертежами и техдоку</w:t>
      </w:r>
      <w:r w:rsidRPr="00640820">
        <w:rPr>
          <w:rFonts w:ascii="Times New Roman" w:hAnsi="Times New Roman"/>
          <w:color w:val="000000" w:themeColor="text1"/>
          <w:sz w:val="16"/>
          <w:szCs w:val="16"/>
        </w:rPr>
        <w:softHyphen/>
        <w:t>ментацией. Однако завод № 183 в то время находился «на ко</w:t>
      </w:r>
      <w:r w:rsidRPr="00640820">
        <w:rPr>
          <w:rFonts w:ascii="Times New Roman" w:hAnsi="Times New Roman"/>
          <w:color w:val="000000" w:themeColor="text1"/>
          <w:sz w:val="16"/>
          <w:szCs w:val="16"/>
        </w:rPr>
        <w:softHyphen/>
        <w:t>лесах» и закончить работу во время не смог. 4 октября 1941 г. на заседании ГКО слушался вопрос об установке танковых и авиамоторов М-17Т и М-17Ф на танки Т-34 и КВ взамен ди</w:t>
      </w:r>
      <w:r w:rsidRPr="00640820">
        <w:rPr>
          <w:rFonts w:ascii="Times New Roman" w:hAnsi="Times New Roman"/>
          <w:color w:val="000000" w:themeColor="text1"/>
          <w:sz w:val="16"/>
          <w:szCs w:val="16"/>
        </w:rPr>
        <w:softHyphen/>
        <w:t>зель-мотора В-2. Тогда же эта замена была одобрена (10782).</w:t>
      </w:r>
    </w:p>
    <w:p w14:paraId="12D2411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17BE1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сентября 1941 г. до июля 1943 г. выпускался Танк Т-34-76 обр. 1942 года К дству танка были привлечены три завода: № 183 в Харькове, а ле эвакуации - в Нижнем Тагиле, СТЗ в Сталинграде и № 112 ное Сормово" в Горьком. Всего было выпущено 9311 танков данного типа. Танк широко использовался в боях на всех фронтах Отечественной войны (10703).</w:t>
      </w:r>
    </w:p>
    <w:p w14:paraId="54E51F3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EAB7F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сентября 1941 г. бронировка картера бортовой передачи была усилена (10703).</w:t>
      </w:r>
    </w:p>
    <w:p w14:paraId="6BA1B4F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A9116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в целях улучшения об</w:t>
      </w:r>
      <w:r w:rsidRPr="00640820">
        <w:rPr>
          <w:rFonts w:ascii="Times New Roman" w:hAnsi="Times New Roman"/>
          <w:color w:val="000000" w:themeColor="text1"/>
          <w:sz w:val="16"/>
          <w:szCs w:val="16"/>
        </w:rPr>
        <w:softHyphen/>
        <w:t>зорности с места механика-водителя в серийное про</w:t>
      </w:r>
      <w:r w:rsidRPr="00640820">
        <w:rPr>
          <w:rFonts w:ascii="Times New Roman" w:hAnsi="Times New Roman"/>
          <w:color w:val="000000" w:themeColor="text1"/>
          <w:sz w:val="16"/>
          <w:szCs w:val="16"/>
        </w:rPr>
        <w:softHyphen/>
        <w:t>изводство была введена новая конструкция крышки люка Т-34 с установ</w:t>
      </w:r>
      <w:r w:rsidRPr="00640820">
        <w:rPr>
          <w:rFonts w:ascii="Times New Roman" w:hAnsi="Times New Roman"/>
          <w:color w:val="000000" w:themeColor="text1"/>
          <w:sz w:val="16"/>
          <w:szCs w:val="16"/>
        </w:rPr>
        <w:softHyphen/>
        <w:t>кой двух перископических смотровых приборов, закрывавшихся броне</w:t>
      </w:r>
      <w:r w:rsidRPr="00640820">
        <w:rPr>
          <w:rFonts w:ascii="Times New Roman" w:hAnsi="Times New Roman"/>
          <w:color w:val="000000" w:themeColor="text1"/>
          <w:sz w:val="16"/>
          <w:szCs w:val="16"/>
        </w:rPr>
        <w:softHyphen/>
        <w:t>выми крышками. Последующие работы по усовершенствованию маши</w:t>
      </w:r>
      <w:r w:rsidRPr="00640820">
        <w:rPr>
          <w:rFonts w:ascii="Times New Roman" w:hAnsi="Times New Roman"/>
          <w:color w:val="000000" w:themeColor="text1"/>
          <w:sz w:val="16"/>
          <w:szCs w:val="16"/>
        </w:rPr>
        <w:softHyphen/>
        <w:t>ны были продолжены уже в Нижнем Тагиле (10703).</w:t>
      </w:r>
    </w:p>
    <w:p w14:paraId="320E290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Выпуск средних танков в годы Великой Отечественной войны с 1 июля 1941 г. по 1 июня 1945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630"/>
        <w:gridCol w:w="810"/>
        <w:gridCol w:w="1530"/>
        <w:gridCol w:w="7"/>
        <w:gridCol w:w="526"/>
        <w:gridCol w:w="7"/>
        <w:gridCol w:w="450"/>
        <w:gridCol w:w="9"/>
        <w:gridCol w:w="441"/>
        <w:gridCol w:w="455"/>
        <w:gridCol w:w="450"/>
        <w:gridCol w:w="630"/>
        <w:gridCol w:w="540"/>
        <w:gridCol w:w="541"/>
        <w:gridCol w:w="630"/>
        <w:gridCol w:w="545"/>
        <w:gridCol w:w="630"/>
        <w:gridCol w:w="630"/>
        <w:gridCol w:w="1351"/>
      </w:tblGrid>
      <w:tr w:rsidR="00643896" w:rsidRPr="00640820" w14:paraId="2EEA253A" w14:textId="77777777" w:rsidTr="000D3BCB">
        <w:trPr>
          <w:trHeight w:val="576"/>
        </w:trPr>
        <w:tc>
          <w:tcPr>
            <w:tcW w:w="630" w:type="dxa"/>
            <w:tcBorders>
              <w:top w:val="single" w:sz="12" w:space="0" w:color="auto"/>
            </w:tcBorders>
          </w:tcPr>
          <w:p w14:paraId="64491F1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Год</w:t>
            </w:r>
          </w:p>
        </w:tc>
        <w:tc>
          <w:tcPr>
            <w:tcW w:w="810" w:type="dxa"/>
            <w:tcBorders>
              <w:top w:val="single" w:sz="12" w:space="0" w:color="auto"/>
            </w:tcBorders>
          </w:tcPr>
          <w:p w14:paraId="643A0FD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Марка танка</w:t>
            </w:r>
          </w:p>
        </w:tc>
        <w:tc>
          <w:tcPr>
            <w:tcW w:w="1530" w:type="dxa"/>
            <w:tcBorders>
              <w:top w:val="single" w:sz="12" w:space="0" w:color="auto"/>
            </w:tcBorders>
          </w:tcPr>
          <w:p w14:paraId="227D9EB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w:t>
            </w:r>
          </w:p>
        </w:tc>
        <w:tc>
          <w:tcPr>
            <w:tcW w:w="6480" w:type="dxa"/>
            <w:gridSpan w:val="15"/>
            <w:tcBorders>
              <w:top w:val="single" w:sz="12" w:space="0" w:color="auto"/>
            </w:tcBorders>
          </w:tcPr>
          <w:p w14:paraId="483DB70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Месяцы</w:t>
            </w:r>
          </w:p>
        </w:tc>
        <w:tc>
          <w:tcPr>
            <w:tcW w:w="1350" w:type="dxa"/>
            <w:tcBorders>
              <w:top w:val="single" w:sz="12" w:space="0" w:color="auto"/>
            </w:tcBorders>
          </w:tcPr>
          <w:p w14:paraId="02A27EE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A1F5913" w14:textId="77777777" w:rsidTr="000D3BCB">
        <w:trPr>
          <w:trHeight w:val="422"/>
        </w:trPr>
        <w:tc>
          <w:tcPr>
            <w:tcW w:w="630" w:type="dxa"/>
          </w:tcPr>
          <w:p w14:paraId="67A2F1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7111B4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30" w:type="dxa"/>
          </w:tcPr>
          <w:p w14:paraId="4F4881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540" w:type="dxa"/>
            <w:gridSpan w:val="3"/>
          </w:tcPr>
          <w:p w14:paraId="2B9DFF1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w:t>
            </w:r>
          </w:p>
        </w:tc>
        <w:tc>
          <w:tcPr>
            <w:tcW w:w="450" w:type="dxa"/>
          </w:tcPr>
          <w:p w14:paraId="674F260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II</w:t>
            </w:r>
          </w:p>
        </w:tc>
        <w:tc>
          <w:tcPr>
            <w:tcW w:w="450" w:type="dxa"/>
            <w:gridSpan w:val="2"/>
          </w:tcPr>
          <w:p w14:paraId="62721E1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III</w:t>
            </w:r>
          </w:p>
        </w:tc>
        <w:tc>
          <w:tcPr>
            <w:tcW w:w="450" w:type="dxa"/>
          </w:tcPr>
          <w:p w14:paraId="4EF8A8B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IV</w:t>
            </w:r>
          </w:p>
        </w:tc>
        <w:tc>
          <w:tcPr>
            <w:tcW w:w="450" w:type="dxa"/>
          </w:tcPr>
          <w:p w14:paraId="346CC72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V</w:t>
            </w:r>
          </w:p>
        </w:tc>
        <w:tc>
          <w:tcPr>
            <w:tcW w:w="630" w:type="dxa"/>
          </w:tcPr>
          <w:p w14:paraId="4C20DAC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VI</w:t>
            </w:r>
          </w:p>
        </w:tc>
        <w:tc>
          <w:tcPr>
            <w:tcW w:w="540" w:type="dxa"/>
          </w:tcPr>
          <w:p w14:paraId="2375628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VII</w:t>
            </w:r>
          </w:p>
        </w:tc>
        <w:tc>
          <w:tcPr>
            <w:tcW w:w="540" w:type="dxa"/>
          </w:tcPr>
          <w:p w14:paraId="6950A56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VIII</w:t>
            </w:r>
          </w:p>
        </w:tc>
        <w:tc>
          <w:tcPr>
            <w:tcW w:w="630" w:type="dxa"/>
          </w:tcPr>
          <w:p w14:paraId="55E68FF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IX</w:t>
            </w:r>
          </w:p>
        </w:tc>
        <w:tc>
          <w:tcPr>
            <w:tcW w:w="540" w:type="dxa"/>
          </w:tcPr>
          <w:p w14:paraId="092E33B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X</w:t>
            </w:r>
          </w:p>
        </w:tc>
        <w:tc>
          <w:tcPr>
            <w:tcW w:w="630" w:type="dxa"/>
          </w:tcPr>
          <w:p w14:paraId="4C82379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XI</w:t>
            </w:r>
          </w:p>
        </w:tc>
        <w:tc>
          <w:tcPr>
            <w:tcW w:w="630" w:type="dxa"/>
          </w:tcPr>
          <w:p w14:paraId="3A9C56D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XII</w:t>
            </w:r>
          </w:p>
        </w:tc>
        <w:tc>
          <w:tcPr>
            <w:tcW w:w="1350" w:type="dxa"/>
          </w:tcPr>
          <w:p w14:paraId="1ABCDAB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1D1E212" w14:textId="77777777" w:rsidTr="000D3BCB">
        <w:trPr>
          <w:trHeight w:val="384"/>
        </w:trPr>
        <w:tc>
          <w:tcPr>
            <w:tcW w:w="630" w:type="dxa"/>
          </w:tcPr>
          <w:p w14:paraId="7FA9096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w:t>
            </w:r>
          </w:p>
        </w:tc>
        <w:tc>
          <w:tcPr>
            <w:tcW w:w="810" w:type="dxa"/>
          </w:tcPr>
          <w:p w14:paraId="12DA12D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Т-34-76</w:t>
            </w:r>
          </w:p>
        </w:tc>
        <w:tc>
          <w:tcPr>
            <w:tcW w:w="1530" w:type="dxa"/>
          </w:tcPr>
          <w:p w14:paraId="531200A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183 (Харьков)</w:t>
            </w:r>
          </w:p>
        </w:tc>
        <w:tc>
          <w:tcPr>
            <w:tcW w:w="540" w:type="dxa"/>
            <w:gridSpan w:val="3"/>
          </w:tcPr>
          <w:p w14:paraId="74AFB6C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0" w:type="dxa"/>
          </w:tcPr>
          <w:p w14:paraId="140394F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0" w:type="dxa"/>
            <w:gridSpan w:val="2"/>
          </w:tcPr>
          <w:p w14:paraId="687567E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0" w:type="dxa"/>
          </w:tcPr>
          <w:p w14:paraId="7B208D1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0" w:type="dxa"/>
          </w:tcPr>
          <w:p w14:paraId="2AD0B83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243702C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Pr>
          <w:p w14:paraId="6D71362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209</w:t>
            </w:r>
          </w:p>
        </w:tc>
        <w:tc>
          <w:tcPr>
            <w:tcW w:w="540" w:type="dxa"/>
          </w:tcPr>
          <w:p w14:paraId="2B3724B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266</w:t>
            </w:r>
          </w:p>
        </w:tc>
        <w:tc>
          <w:tcPr>
            <w:tcW w:w="630" w:type="dxa"/>
          </w:tcPr>
          <w:p w14:paraId="7D87B93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228</w:t>
            </w:r>
          </w:p>
        </w:tc>
        <w:tc>
          <w:tcPr>
            <w:tcW w:w="540" w:type="dxa"/>
          </w:tcPr>
          <w:p w14:paraId="5AD9A38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41</w:t>
            </w:r>
          </w:p>
        </w:tc>
        <w:tc>
          <w:tcPr>
            <w:tcW w:w="630" w:type="dxa"/>
          </w:tcPr>
          <w:p w14:paraId="6A62B05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67137B4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0" w:type="dxa"/>
          </w:tcPr>
          <w:p w14:paraId="716C464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744</w:t>
            </w:r>
          </w:p>
        </w:tc>
      </w:tr>
      <w:tr w:rsidR="00643896" w:rsidRPr="00640820" w14:paraId="3D6F425F" w14:textId="77777777" w:rsidTr="000D3BCB">
        <w:trPr>
          <w:trHeight w:val="547"/>
        </w:trPr>
        <w:tc>
          <w:tcPr>
            <w:tcW w:w="630" w:type="dxa"/>
          </w:tcPr>
          <w:p w14:paraId="4BDAAE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1F589B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30" w:type="dxa"/>
          </w:tcPr>
          <w:p w14:paraId="2550D0A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183 (Нижний Тагил)</w:t>
            </w:r>
          </w:p>
        </w:tc>
        <w:tc>
          <w:tcPr>
            <w:tcW w:w="540" w:type="dxa"/>
            <w:gridSpan w:val="3"/>
          </w:tcPr>
          <w:p w14:paraId="2861D89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0" w:type="dxa"/>
          </w:tcPr>
          <w:p w14:paraId="4CBEA94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0" w:type="dxa"/>
            <w:gridSpan w:val="2"/>
          </w:tcPr>
          <w:p w14:paraId="4970671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0" w:type="dxa"/>
          </w:tcPr>
          <w:p w14:paraId="782F27C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0" w:type="dxa"/>
          </w:tcPr>
          <w:p w14:paraId="4416025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B659A6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Pr>
          <w:p w14:paraId="23E13B7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Pr>
          <w:p w14:paraId="12B3C44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57D0B5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Pr>
          <w:p w14:paraId="7929E47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72FC3B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E7311F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w:t>
            </w:r>
          </w:p>
        </w:tc>
        <w:tc>
          <w:tcPr>
            <w:tcW w:w="1350" w:type="dxa"/>
          </w:tcPr>
          <w:p w14:paraId="7F8571E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w:t>
            </w:r>
          </w:p>
        </w:tc>
      </w:tr>
      <w:tr w:rsidR="00643896" w:rsidRPr="00640820" w14:paraId="3C3E0D63" w14:textId="77777777" w:rsidTr="000D3BCB">
        <w:trPr>
          <w:trHeight w:val="394"/>
        </w:trPr>
        <w:tc>
          <w:tcPr>
            <w:tcW w:w="630" w:type="dxa"/>
          </w:tcPr>
          <w:p w14:paraId="70520A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167567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30" w:type="dxa"/>
          </w:tcPr>
          <w:p w14:paraId="312139A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 12 (Горький)</w:t>
            </w:r>
          </w:p>
        </w:tc>
        <w:tc>
          <w:tcPr>
            <w:tcW w:w="540" w:type="dxa"/>
            <w:gridSpan w:val="3"/>
          </w:tcPr>
          <w:p w14:paraId="62ACAE5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0" w:type="dxa"/>
          </w:tcPr>
          <w:p w14:paraId="15A99CD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0" w:type="dxa"/>
            <w:gridSpan w:val="2"/>
          </w:tcPr>
          <w:p w14:paraId="26F3D94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0" w:type="dxa"/>
          </w:tcPr>
          <w:p w14:paraId="73E2359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0" w:type="dxa"/>
          </w:tcPr>
          <w:p w14:paraId="482F4E7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9E2902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Pr>
          <w:p w14:paraId="63C0652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Pr>
          <w:p w14:paraId="66F6871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AA8DD4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540" w:type="dxa"/>
          </w:tcPr>
          <w:p w14:paraId="5B3E1D3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630" w:type="dxa"/>
          </w:tcPr>
          <w:p w14:paraId="78F4F10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53</w:t>
            </w:r>
          </w:p>
        </w:tc>
        <w:tc>
          <w:tcPr>
            <w:tcW w:w="630" w:type="dxa"/>
          </w:tcPr>
          <w:p w14:paraId="67CF45A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83</w:t>
            </w:r>
          </w:p>
        </w:tc>
        <w:tc>
          <w:tcPr>
            <w:tcW w:w="1350" w:type="dxa"/>
          </w:tcPr>
          <w:p w14:paraId="15B0D73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161</w:t>
            </w:r>
          </w:p>
        </w:tc>
      </w:tr>
      <w:tr w:rsidR="00643896" w:rsidRPr="00640820" w14:paraId="3D2724F5" w14:textId="77777777" w:rsidTr="000D3BCB">
        <w:trPr>
          <w:trHeight w:val="384"/>
        </w:trPr>
        <w:tc>
          <w:tcPr>
            <w:tcW w:w="630" w:type="dxa"/>
          </w:tcPr>
          <w:p w14:paraId="33945A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5D6910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30" w:type="dxa"/>
          </w:tcPr>
          <w:p w14:paraId="22B7292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СТЗ (Сталинград)</w:t>
            </w:r>
          </w:p>
        </w:tc>
        <w:tc>
          <w:tcPr>
            <w:tcW w:w="540" w:type="dxa"/>
            <w:gridSpan w:val="3"/>
          </w:tcPr>
          <w:p w14:paraId="67B3518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0" w:type="dxa"/>
          </w:tcPr>
          <w:p w14:paraId="654A978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0" w:type="dxa"/>
            <w:gridSpan w:val="2"/>
          </w:tcPr>
          <w:p w14:paraId="79A3214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0" w:type="dxa"/>
          </w:tcPr>
          <w:p w14:paraId="0241875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0" w:type="dxa"/>
          </w:tcPr>
          <w:p w14:paraId="26F15AD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4369BD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Pr>
          <w:p w14:paraId="0E0628C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93</w:t>
            </w:r>
          </w:p>
        </w:tc>
        <w:tc>
          <w:tcPr>
            <w:tcW w:w="540" w:type="dxa"/>
          </w:tcPr>
          <w:p w14:paraId="1D573CA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155</w:t>
            </w:r>
          </w:p>
        </w:tc>
        <w:tc>
          <w:tcPr>
            <w:tcW w:w="630" w:type="dxa"/>
          </w:tcPr>
          <w:p w14:paraId="36BF7F4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165</w:t>
            </w:r>
          </w:p>
        </w:tc>
        <w:tc>
          <w:tcPr>
            <w:tcW w:w="540" w:type="dxa"/>
          </w:tcPr>
          <w:p w14:paraId="6B82BD1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124</w:t>
            </w:r>
          </w:p>
        </w:tc>
        <w:tc>
          <w:tcPr>
            <w:tcW w:w="630" w:type="dxa"/>
          </w:tcPr>
          <w:p w14:paraId="119D876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w:t>
            </w:r>
          </w:p>
        </w:tc>
        <w:tc>
          <w:tcPr>
            <w:tcW w:w="630" w:type="dxa"/>
          </w:tcPr>
          <w:p w14:paraId="635F74A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219</w:t>
            </w:r>
          </w:p>
        </w:tc>
        <w:tc>
          <w:tcPr>
            <w:tcW w:w="1350" w:type="dxa"/>
          </w:tcPr>
          <w:p w14:paraId="600BBB8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956</w:t>
            </w:r>
          </w:p>
        </w:tc>
      </w:tr>
      <w:tr w:rsidR="00643896" w:rsidRPr="00640820" w14:paraId="2B27E1E1" w14:textId="77777777" w:rsidTr="000D3BCB">
        <w:trPr>
          <w:trHeight w:val="403"/>
        </w:trPr>
        <w:tc>
          <w:tcPr>
            <w:tcW w:w="630" w:type="dxa"/>
          </w:tcPr>
          <w:p w14:paraId="21C193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1A5141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30" w:type="dxa"/>
          </w:tcPr>
          <w:p w14:paraId="3A4A8D4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Итого:</w:t>
            </w:r>
          </w:p>
        </w:tc>
        <w:tc>
          <w:tcPr>
            <w:tcW w:w="540" w:type="dxa"/>
            <w:gridSpan w:val="3"/>
          </w:tcPr>
          <w:p w14:paraId="591B15C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0" w:type="dxa"/>
          </w:tcPr>
          <w:p w14:paraId="7F1FD24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0" w:type="dxa"/>
            <w:gridSpan w:val="2"/>
          </w:tcPr>
          <w:p w14:paraId="02D2DD3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0" w:type="dxa"/>
          </w:tcPr>
          <w:p w14:paraId="6E7D3E5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0" w:type="dxa"/>
          </w:tcPr>
          <w:p w14:paraId="55CDE57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6E86D2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Pr>
          <w:p w14:paraId="2DAF6A9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302</w:t>
            </w:r>
          </w:p>
        </w:tc>
        <w:tc>
          <w:tcPr>
            <w:tcW w:w="540" w:type="dxa"/>
          </w:tcPr>
          <w:p w14:paraId="3D9940B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421</w:t>
            </w:r>
          </w:p>
        </w:tc>
        <w:tc>
          <w:tcPr>
            <w:tcW w:w="630" w:type="dxa"/>
          </w:tcPr>
          <w:p w14:paraId="3B5514E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398</w:t>
            </w:r>
          </w:p>
        </w:tc>
        <w:tc>
          <w:tcPr>
            <w:tcW w:w="540" w:type="dxa"/>
          </w:tcPr>
          <w:p w14:paraId="4A0FF35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185</w:t>
            </w:r>
          </w:p>
        </w:tc>
        <w:tc>
          <w:tcPr>
            <w:tcW w:w="630" w:type="dxa"/>
          </w:tcPr>
          <w:p w14:paraId="60F7B33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253</w:t>
            </w:r>
          </w:p>
        </w:tc>
        <w:tc>
          <w:tcPr>
            <w:tcW w:w="630" w:type="dxa"/>
          </w:tcPr>
          <w:p w14:paraId="19A21D1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327</w:t>
            </w:r>
          </w:p>
        </w:tc>
        <w:tc>
          <w:tcPr>
            <w:tcW w:w="1350" w:type="dxa"/>
          </w:tcPr>
          <w:p w14:paraId="7B41ECD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1886</w:t>
            </w:r>
          </w:p>
        </w:tc>
      </w:tr>
      <w:tr w:rsidR="00643896" w:rsidRPr="00640820" w14:paraId="350703F6" w14:textId="77777777" w:rsidTr="000D3BCB">
        <w:trPr>
          <w:trHeight w:val="576"/>
        </w:trPr>
        <w:tc>
          <w:tcPr>
            <w:tcW w:w="630" w:type="dxa"/>
          </w:tcPr>
          <w:p w14:paraId="34112C4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1942</w:t>
            </w:r>
          </w:p>
        </w:tc>
        <w:tc>
          <w:tcPr>
            <w:tcW w:w="810" w:type="dxa"/>
          </w:tcPr>
          <w:p w14:paraId="11DBD0A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Т-34-76</w:t>
            </w:r>
          </w:p>
        </w:tc>
        <w:tc>
          <w:tcPr>
            <w:tcW w:w="1530" w:type="dxa"/>
          </w:tcPr>
          <w:p w14:paraId="38E1112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№183 (Нижний Тагил)</w:t>
            </w:r>
          </w:p>
        </w:tc>
        <w:tc>
          <w:tcPr>
            <w:tcW w:w="540" w:type="dxa"/>
            <w:gridSpan w:val="3"/>
          </w:tcPr>
          <w:p w14:paraId="2D5BE7A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75</w:t>
            </w:r>
          </w:p>
        </w:tc>
        <w:tc>
          <w:tcPr>
            <w:tcW w:w="450" w:type="dxa"/>
          </w:tcPr>
          <w:p w14:paraId="39D1B28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140</w:t>
            </w:r>
          </w:p>
        </w:tc>
        <w:tc>
          <w:tcPr>
            <w:tcW w:w="450" w:type="dxa"/>
            <w:gridSpan w:val="2"/>
          </w:tcPr>
          <w:p w14:paraId="3CBAB0D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225</w:t>
            </w:r>
          </w:p>
        </w:tc>
        <w:tc>
          <w:tcPr>
            <w:tcW w:w="450" w:type="dxa"/>
          </w:tcPr>
          <w:p w14:paraId="61202DF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380</w:t>
            </w:r>
          </w:p>
        </w:tc>
        <w:tc>
          <w:tcPr>
            <w:tcW w:w="450" w:type="dxa"/>
          </w:tcPr>
          <w:p w14:paraId="2A8FECC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500</w:t>
            </w:r>
          </w:p>
        </w:tc>
        <w:tc>
          <w:tcPr>
            <w:tcW w:w="630" w:type="dxa"/>
          </w:tcPr>
          <w:p w14:paraId="6E7AF01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500</w:t>
            </w:r>
          </w:p>
        </w:tc>
        <w:tc>
          <w:tcPr>
            <w:tcW w:w="540" w:type="dxa"/>
          </w:tcPr>
          <w:p w14:paraId="7D59C13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564</w:t>
            </w:r>
          </w:p>
        </w:tc>
        <w:tc>
          <w:tcPr>
            <w:tcW w:w="540" w:type="dxa"/>
          </w:tcPr>
          <w:p w14:paraId="7755C4B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600</w:t>
            </w:r>
          </w:p>
        </w:tc>
        <w:tc>
          <w:tcPr>
            <w:tcW w:w="630" w:type="dxa"/>
          </w:tcPr>
          <w:p w14:paraId="3068EF8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610</w:t>
            </w:r>
          </w:p>
        </w:tc>
        <w:tc>
          <w:tcPr>
            <w:tcW w:w="540" w:type="dxa"/>
          </w:tcPr>
          <w:p w14:paraId="44B9234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707</w:t>
            </w:r>
          </w:p>
        </w:tc>
        <w:tc>
          <w:tcPr>
            <w:tcW w:w="630" w:type="dxa"/>
          </w:tcPr>
          <w:p w14:paraId="0D8AEE2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625</w:t>
            </w:r>
          </w:p>
        </w:tc>
        <w:tc>
          <w:tcPr>
            <w:tcW w:w="630" w:type="dxa"/>
          </w:tcPr>
          <w:p w14:paraId="25DE163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758</w:t>
            </w:r>
          </w:p>
        </w:tc>
        <w:tc>
          <w:tcPr>
            <w:tcW w:w="1350" w:type="dxa"/>
          </w:tcPr>
          <w:p w14:paraId="54073EF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5512/172'</w:t>
            </w:r>
          </w:p>
        </w:tc>
      </w:tr>
      <w:tr w:rsidR="00643896" w:rsidRPr="00640820" w14:paraId="700218FD" w14:textId="77777777" w:rsidTr="000D3BCB">
        <w:trPr>
          <w:trHeight w:val="384"/>
        </w:trPr>
        <w:tc>
          <w:tcPr>
            <w:tcW w:w="630" w:type="dxa"/>
          </w:tcPr>
          <w:p w14:paraId="692FCE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6A1AB8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30" w:type="dxa"/>
          </w:tcPr>
          <w:p w14:paraId="1E127AB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№112 (Горький)</w:t>
            </w:r>
          </w:p>
        </w:tc>
        <w:tc>
          <w:tcPr>
            <w:tcW w:w="540" w:type="dxa"/>
            <w:gridSpan w:val="3"/>
          </w:tcPr>
          <w:p w14:paraId="45FADC0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145</w:t>
            </w:r>
          </w:p>
        </w:tc>
        <w:tc>
          <w:tcPr>
            <w:tcW w:w="450" w:type="dxa"/>
          </w:tcPr>
          <w:p w14:paraId="43D8DE8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131</w:t>
            </w:r>
          </w:p>
        </w:tc>
        <w:tc>
          <w:tcPr>
            <w:tcW w:w="450" w:type="dxa"/>
            <w:gridSpan w:val="2"/>
          </w:tcPr>
          <w:p w14:paraId="71DE9C6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w:t>
            </w:r>
          </w:p>
        </w:tc>
        <w:tc>
          <w:tcPr>
            <w:tcW w:w="450" w:type="dxa"/>
          </w:tcPr>
          <w:p w14:paraId="04237C8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64</w:t>
            </w:r>
          </w:p>
        </w:tc>
        <w:tc>
          <w:tcPr>
            <w:tcW w:w="450" w:type="dxa"/>
          </w:tcPr>
          <w:p w14:paraId="606C2D3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173</w:t>
            </w:r>
          </w:p>
        </w:tc>
        <w:tc>
          <w:tcPr>
            <w:tcW w:w="630" w:type="dxa"/>
          </w:tcPr>
          <w:p w14:paraId="310F745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164</w:t>
            </w:r>
          </w:p>
        </w:tc>
        <w:tc>
          <w:tcPr>
            <w:tcW w:w="540" w:type="dxa"/>
          </w:tcPr>
          <w:p w14:paraId="38EF13E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250</w:t>
            </w:r>
          </w:p>
        </w:tc>
        <w:tc>
          <w:tcPr>
            <w:tcW w:w="540" w:type="dxa"/>
          </w:tcPr>
          <w:p w14:paraId="46DA9C9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w:t>
            </w:r>
          </w:p>
        </w:tc>
        <w:tc>
          <w:tcPr>
            <w:tcW w:w="630" w:type="dxa"/>
          </w:tcPr>
          <w:p w14:paraId="4BB7393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350</w:t>
            </w:r>
          </w:p>
        </w:tc>
        <w:tc>
          <w:tcPr>
            <w:tcW w:w="540" w:type="dxa"/>
          </w:tcPr>
          <w:p w14:paraId="4F1B727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336</w:t>
            </w:r>
          </w:p>
        </w:tc>
        <w:tc>
          <w:tcPr>
            <w:tcW w:w="630" w:type="dxa"/>
          </w:tcPr>
          <w:p w14:paraId="6B03E80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280</w:t>
            </w:r>
          </w:p>
        </w:tc>
        <w:tc>
          <w:tcPr>
            <w:tcW w:w="630" w:type="dxa"/>
          </w:tcPr>
          <w:p w14:paraId="0FE8F40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325</w:t>
            </w:r>
          </w:p>
        </w:tc>
        <w:tc>
          <w:tcPr>
            <w:tcW w:w="1350" w:type="dxa"/>
          </w:tcPr>
          <w:p w14:paraId="76E5FC0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2612/106</w:t>
            </w:r>
          </w:p>
        </w:tc>
      </w:tr>
      <w:tr w:rsidR="00643896" w:rsidRPr="00640820" w14:paraId="28184DFC" w14:textId="77777777" w:rsidTr="000D3BCB">
        <w:trPr>
          <w:trHeight w:val="384"/>
        </w:trPr>
        <w:tc>
          <w:tcPr>
            <w:tcW w:w="630" w:type="dxa"/>
          </w:tcPr>
          <w:p w14:paraId="1B85A5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7132FE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30" w:type="dxa"/>
          </w:tcPr>
          <w:p w14:paraId="4C49F94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СТЗ (Сталинград)</w:t>
            </w:r>
          </w:p>
        </w:tc>
        <w:tc>
          <w:tcPr>
            <w:tcW w:w="540" w:type="dxa"/>
            <w:gridSpan w:val="3"/>
          </w:tcPr>
          <w:p w14:paraId="4CEC81F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234</w:t>
            </w:r>
          </w:p>
        </w:tc>
        <w:tc>
          <w:tcPr>
            <w:tcW w:w="450" w:type="dxa"/>
          </w:tcPr>
          <w:p w14:paraId="2841C50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250</w:t>
            </w:r>
          </w:p>
        </w:tc>
        <w:tc>
          <w:tcPr>
            <w:tcW w:w="450" w:type="dxa"/>
            <w:gridSpan w:val="2"/>
          </w:tcPr>
          <w:p w14:paraId="7E308C8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290</w:t>
            </w:r>
          </w:p>
        </w:tc>
        <w:tc>
          <w:tcPr>
            <w:tcW w:w="450" w:type="dxa"/>
          </w:tcPr>
          <w:p w14:paraId="278B57C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w:t>
            </w:r>
          </w:p>
        </w:tc>
        <w:tc>
          <w:tcPr>
            <w:tcW w:w="450" w:type="dxa"/>
          </w:tcPr>
          <w:p w14:paraId="27B447F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305</w:t>
            </w:r>
          </w:p>
        </w:tc>
        <w:tc>
          <w:tcPr>
            <w:tcW w:w="630" w:type="dxa"/>
          </w:tcPr>
          <w:p w14:paraId="4A3A79B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298</w:t>
            </w:r>
          </w:p>
        </w:tc>
        <w:tc>
          <w:tcPr>
            <w:tcW w:w="540" w:type="dxa"/>
          </w:tcPr>
          <w:p w14:paraId="405B71C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421</w:t>
            </w:r>
          </w:p>
        </w:tc>
        <w:tc>
          <w:tcPr>
            <w:tcW w:w="540" w:type="dxa"/>
          </w:tcPr>
          <w:p w14:paraId="0F28265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290</w:t>
            </w:r>
          </w:p>
        </w:tc>
        <w:tc>
          <w:tcPr>
            <w:tcW w:w="630" w:type="dxa"/>
          </w:tcPr>
          <w:p w14:paraId="1253FC6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101</w:t>
            </w:r>
          </w:p>
        </w:tc>
        <w:tc>
          <w:tcPr>
            <w:tcW w:w="540" w:type="dxa"/>
          </w:tcPr>
          <w:p w14:paraId="3B05B2C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64A7AC0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0F800D9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0" w:type="dxa"/>
          </w:tcPr>
          <w:p w14:paraId="3E9653C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2499/З1</w:t>
            </w:r>
          </w:p>
        </w:tc>
      </w:tr>
      <w:tr w:rsidR="00643896" w:rsidRPr="00640820" w14:paraId="76A60EF6" w14:textId="77777777" w:rsidTr="000D3BCB">
        <w:trPr>
          <w:trHeight w:val="394"/>
        </w:trPr>
        <w:tc>
          <w:tcPr>
            <w:tcW w:w="630" w:type="dxa"/>
          </w:tcPr>
          <w:p w14:paraId="477496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5ECB64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30" w:type="dxa"/>
          </w:tcPr>
          <w:p w14:paraId="3BE932F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174 (Омск)</w:t>
            </w:r>
          </w:p>
        </w:tc>
        <w:tc>
          <w:tcPr>
            <w:tcW w:w="540" w:type="dxa"/>
            <w:gridSpan w:val="3"/>
          </w:tcPr>
          <w:p w14:paraId="7C5464B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0" w:type="dxa"/>
          </w:tcPr>
          <w:p w14:paraId="4CA9F6B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0" w:type="dxa"/>
            <w:gridSpan w:val="2"/>
          </w:tcPr>
          <w:p w14:paraId="2F6B742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0" w:type="dxa"/>
          </w:tcPr>
          <w:p w14:paraId="485488B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0" w:type="dxa"/>
          </w:tcPr>
          <w:p w14:paraId="6E0D87F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82593A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tc>
        <w:tc>
          <w:tcPr>
            <w:tcW w:w="540" w:type="dxa"/>
          </w:tcPr>
          <w:p w14:paraId="749F2D6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w:t>
            </w:r>
          </w:p>
        </w:tc>
        <w:tc>
          <w:tcPr>
            <w:tcW w:w="540" w:type="dxa"/>
          </w:tcPr>
          <w:p w14:paraId="199D0B2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55</w:t>
            </w:r>
          </w:p>
        </w:tc>
        <w:tc>
          <w:tcPr>
            <w:tcW w:w="630" w:type="dxa"/>
          </w:tcPr>
          <w:p w14:paraId="38C0B4A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55</w:t>
            </w:r>
          </w:p>
        </w:tc>
        <w:tc>
          <w:tcPr>
            <w:tcW w:w="540" w:type="dxa"/>
          </w:tcPr>
          <w:p w14:paraId="53DF1EF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105</w:t>
            </w:r>
          </w:p>
        </w:tc>
        <w:tc>
          <w:tcPr>
            <w:tcW w:w="630" w:type="dxa"/>
          </w:tcPr>
          <w:p w14:paraId="31B3E1B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55</w:t>
            </w:r>
          </w:p>
        </w:tc>
        <w:tc>
          <w:tcPr>
            <w:tcW w:w="630" w:type="dxa"/>
          </w:tcPr>
          <w:p w14:paraId="5CE615B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110</w:t>
            </w:r>
          </w:p>
        </w:tc>
        <w:tc>
          <w:tcPr>
            <w:tcW w:w="1350" w:type="dxa"/>
          </w:tcPr>
          <w:p w14:paraId="01DC2C8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417</w:t>
            </w:r>
          </w:p>
        </w:tc>
      </w:tr>
      <w:tr w:rsidR="00643896" w:rsidRPr="00640820" w14:paraId="7B86DCBF" w14:textId="77777777" w:rsidTr="000D3BCB">
        <w:trPr>
          <w:trHeight w:val="384"/>
        </w:trPr>
        <w:tc>
          <w:tcPr>
            <w:tcW w:w="630" w:type="dxa"/>
          </w:tcPr>
          <w:p w14:paraId="5B98E9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143862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30" w:type="dxa"/>
          </w:tcPr>
          <w:p w14:paraId="5229F7E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ЧКЗ (Челябинск)</w:t>
            </w:r>
          </w:p>
        </w:tc>
        <w:tc>
          <w:tcPr>
            <w:tcW w:w="540" w:type="dxa"/>
            <w:gridSpan w:val="3"/>
          </w:tcPr>
          <w:p w14:paraId="2F17CDE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0" w:type="dxa"/>
          </w:tcPr>
          <w:p w14:paraId="3F42FC3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0" w:type="dxa"/>
            <w:gridSpan w:val="2"/>
          </w:tcPr>
          <w:p w14:paraId="07D2E05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0" w:type="dxa"/>
          </w:tcPr>
          <w:p w14:paraId="3FF6187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0" w:type="dxa"/>
          </w:tcPr>
          <w:p w14:paraId="5F156E6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439A28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Pr>
          <w:p w14:paraId="421D4D4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Pr>
          <w:p w14:paraId="792B02D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c>
          <w:tcPr>
            <w:tcW w:w="630" w:type="dxa"/>
          </w:tcPr>
          <w:p w14:paraId="0218248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220</w:t>
            </w:r>
          </w:p>
        </w:tc>
        <w:tc>
          <w:tcPr>
            <w:tcW w:w="540" w:type="dxa"/>
          </w:tcPr>
          <w:p w14:paraId="733F359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w:t>
            </w:r>
          </w:p>
        </w:tc>
        <w:tc>
          <w:tcPr>
            <w:tcW w:w="630" w:type="dxa"/>
          </w:tcPr>
          <w:p w14:paraId="5AF7280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230</w:t>
            </w:r>
          </w:p>
        </w:tc>
        <w:tc>
          <w:tcPr>
            <w:tcW w:w="630" w:type="dxa"/>
          </w:tcPr>
          <w:p w14:paraId="56C6E35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275</w:t>
            </w:r>
          </w:p>
        </w:tc>
        <w:tc>
          <w:tcPr>
            <w:tcW w:w="1350" w:type="dxa"/>
          </w:tcPr>
          <w:p w14:paraId="270B674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1055</w:t>
            </w:r>
          </w:p>
        </w:tc>
      </w:tr>
      <w:tr w:rsidR="00643896" w:rsidRPr="00640820" w14:paraId="1B0CE928" w14:textId="77777777" w:rsidTr="000D3BCB">
        <w:trPr>
          <w:trHeight w:val="384"/>
        </w:trPr>
        <w:tc>
          <w:tcPr>
            <w:tcW w:w="630" w:type="dxa"/>
          </w:tcPr>
          <w:p w14:paraId="7FCF7B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55B56D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30" w:type="dxa"/>
          </w:tcPr>
          <w:p w14:paraId="2C440B7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УЗТМ (Свердловск)</w:t>
            </w:r>
          </w:p>
        </w:tc>
        <w:tc>
          <w:tcPr>
            <w:tcW w:w="540" w:type="dxa"/>
            <w:gridSpan w:val="3"/>
          </w:tcPr>
          <w:p w14:paraId="4978310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0" w:type="dxa"/>
          </w:tcPr>
          <w:p w14:paraId="22FD320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0" w:type="dxa"/>
            <w:gridSpan w:val="2"/>
          </w:tcPr>
          <w:p w14:paraId="6676277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0" w:type="dxa"/>
          </w:tcPr>
          <w:p w14:paraId="5DD5CF8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0" w:type="dxa"/>
          </w:tcPr>
          <w:p w14:paraId="6E878E8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617420D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Pr>
          <w:p w14:paraId="3F1BE64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Pr>
          <w:p w14:paraId="2C5E821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0B1AB0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540" w:type="dxa"/>
          </w:tcPr>
          <w:p w14:paraId="7AFC3E3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51</w:t>
            </w:r>
          </w:p>
        </w:tc>
        <w:tc>
          <w:tcPr>
            <w:tcW w:w="630" w:type="dxa"/>
          </w:tcPr>
          <w:p w14:paraId="39EB565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101</w:t>
            </w:r>
          </w:p>
        </w:tc>
        <w:tc>
          <w:tcPr>
            <w:tcW w:w="630" w:type="dxa"/>
          </w:tcPr>
          <w:p w14:paraId="145C0E6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w:t>
            </w:r>
          </w:p>
        </w:tc>
        <w:tc>
          <w:tcPr>
            <w:tcW w:w="1350" w:type="dxa"/>
          </w:tcPr>
          <w:p w14:paraId="2AA1C4F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267</w:t>
            </w:r>
          </w:p>
        </w:tc>
      </w:tr>
      <w:tr w:rsidR="00643896" w:rsidRPr="00640820" w14:paraId="7FEA7542" w14:textId="77777777" w:rsidTr="000D3BCB">
        <w:trPr>
          <w:trHeight w:val="403"/>
        </w:trPr>
        <w:tc>
          <w:tcPr>
            <w:tcW w:w="630" w:type="dxa"/>
          </w:tcPr>
          <w:p w14:paraId="59595F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54AACB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30" w:type="dxa"/>
          </w:tcPr>
          <w:p w14:paraId="373C414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Итого:</w:t>
            </w:r>
          </w:p>
        </w:tc>
        <w:tc>
          <w:tcPr>
            <w:tcW w:w="540" w:type="dxa"/>
            <w:gridSpan w:val="3"/>
          </w:tcPr>
          <w:p w14:paraId="1DA2452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454</w:t>
            </w:r>
          </w:p>
        </w:tc>
        <w:tc>
          <w:tcPr>
            <w:tcW w:w="450" w:type="dxa"/>
          </w:tcPr>
          <w:p w14:paraId="7543874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521</w:t>
            </w:r>
          </w:p>
        </w:tc>
        <w:tc>
          <w:tcPr>
            <w:tcW w:w="450" w:type="dxa"/>
            <w:gridSpan w:val="2"/>
          </w:tcPr>
          <w:p w14:paraId="3AA9FC7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715</w:t>
            </w:r>
          </w:p>
        </w:tc>
        <w:tc>
          <w:tcPr>
            <w:tcW w:w="450" w:type="dxa"/>
          </w:tcPr>
          <w:p w14:paraId="264778A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744</w:t>
            </w:r>
          </w:p>
        </w:tc>
        <w:tc>
          <w:tcPr>
            <w:tcW w:w="450" w:type="dxa"/>
          </w:tcPr>
          <w:p w14:paraId="1EECC8E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978</w:t>
            </w:r>
          </w:p>
        </w:tc>
        <w:tc>
          <w:tcPr>
            <w:tcW w:w="630" w:type="dxa"/>
          </w:tcPr>
          <w:p w14:paraId="7CE43A2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971</w:t>
            </w:r>
          </w:p>
        </w:tc>
        <w:tc>
          <w:tcPr>
            <w:tcW w:w="540" w:type="dxa"/>
          </w:tcPr>
          <w:p w14:paraId="5A96F9A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1263</w:t>
            </w:r>
          </w:p>
        </w:tc>
        <w:tc>
          <w:tcPr>
            <w:tcW w:w="540" w:type="dxa"/>
          </w:tcPr>
          <w:p w14:paraId="6CF34FD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1275</w:t>
            </w:r>
          </w:p>
        </w:tc>
        <w:tc>
          <w:tcPr>
            <w:tcW w:w="630" w:type="dxa"/>
          </w:tcPr>
          <w:p w14:paraId="4D4B718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1351</w:t>
            </w:r>
          </w:p>
        </w:tc>
        <w:tc>
          <w:tcPr>
            <w:tcW w:w="540" w:type="dxa"/>
          </w:tcPr>
          <w:p w14:paraId="624E3FE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1499</w:t>
            </w:r>
          </w:p>
        </w:tc>
        <w:tc>
          <w:tcPr>
            <w:tcW w:w="630" w:type="dxa"/>
          </w:tcPr>
          <w:p w14:paraId="6EF632D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1291</w:t>
            </w:r>
          </w:p>
        </w:tc>
        <w:tc>
          <w:tcPr>
            <w:tcW w:w="630" w:type="dxa"/>
          </w:tcPr>
          <w:p w14:paraId="76087B1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1568</w:t>
            </w:r>
          </w:p>
        </w:tc>
        <w:tc>
          <w:tcPr>
            <w:tcW w:w="1350" w:type="dxa"/>
          </w:tcPr>
          <w:p w14:paraId="3E66918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12534/137-</w:t>
            </w:r>
          </w:p>
        </w:tc>
      </w:tr>
      <w:tr w:rsidR="00643896" w:rsidRPr="00640820" w14:paraId="2E62B42E" w14:textId="77777777" w:rsidTr="000D3BCB">
        <w:trPr>
          <w:trHeight w:val="413"/>
        </w:trPr>
        <w:tc>
          <w:tcPr>
            <w:tcW w:w="630" w:type="dxa"/>
          </w:tcPr>
          <w:p w14:paraId="60A1572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1943</w:t>
            </w:r>
          </w:p>
        </w:tc>
        <w:tc>
          <w:tcPr>
            <w:tcW w:w="810" w:type="dxa"/>
          </w:tcPr>
          <w:p w14:paraId="2899DF9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Т-34-76</w:t>
            </w:r>
          </w:p>
        </w:tc>
        <w:tc>
          <w:tcPr>
            <w:tcW w:w="1530" w:type="dxa"/>
          </w:tcPr>
          <w:p w14:paraId="32229A7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183 (Нижний Тагил)</w:t>
            </w:r>
          </w:p>
        </w:tc>
        <w:tc>
          <w:tcPr>
            <w:tcW w:w="540" w:type="dxa"/>
            <w:gridSpan w:val="3"/>
          </w:tcPr>
          <w:p w14:paraId="748B8F9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450</w:t>
            </w:r>
          </w:p>
        </w:tc>
        <w:tc>
          <w:tcPr>
            <w:tcW w:w="450" w:type="dxa"/>
          </w:tcPr>
          <w:p w14:paraId="2910194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500</w:t>
            </w:r>
          </w:p>
        </w:tc>
        <w:tc>
          <w:tcPr>
            <w:tcW w:w="450" w:type="dxa"/>
            <w:gridSpan w:val="2"/>
          </w:tcPr>
          <w:p w14:paraId="69A5891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650</w:t>
            </w:r>
          </w:p>
        </w:tc>
        <w:tc>
          <w:tcPr>
            <w:tcW w:w="450" w:type="dxa"/>
          </w:tcPr>
          <w:p w14:paraId="0E88ECD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680</w:t>
            </w:r>
          </w:p>
        </w:tc>
        <w:tc>
          <w:tcPr>
            <w:tcW w:w="450" w:type="dxa"/>
          </w:tcPr>
          <w:p w14:paraId="35F35B8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615</w:t>
            </w:r>
          </w:p>
        </w:tc>
        <w:tc>
          <w:tcPr>
            <w:tcW w:w="630" w:type="dxa"/>
          </w:tcPr>
          <w:p w14:paraId="540C5A2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540</w:t>
            </w:r>
          </w:p>
        </w:tc>
        <w:tc>
          <w:tcPr>
            <w:tcW w:w="540" w:type="dxa"/>
          </w:tcPr>
          <w:p w14:paraId="78EBAF3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675</w:t>
            </w:r>
          </w:p>
        </w:tc>
        <w:tc>
          <w:tcPr>
            <w:tcW w:w="540" w:type="dxa"/>
          </w:tcPr>
          <w:p w14:paraId="04AE708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667</w:t>
            </w:r>
          </w:p>
        </w:tc>
        <w:tc>
          <w:tcPr>
            <w:tcW w:w="630" w:type="dxa"/>
          </w:tcPr>
          <w:p w14:paraId="3320D6D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667</w:t>
            </w:r>
          </w:p>
        </w:tc>
        <w:tc>
          <w:tcPr>
            <w:tcW w:w="540" w:type="dxa"/>
          </w:tcPr>
          <w:p w14:paraId="0DDE0AF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673</w:t>
            </w:r>
          </w:p>
        </w:tc>
        <w:tc>
          <w:tcPr>
            <w:tcW w:w="630" w:type="dxa"/>
          </w:tcPr>
          <w:p w14:paraId="1A573C9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672</w:t>
            </w:r>
          </w:p>
        </w:tc>
        <w:tc>
          <w:tcPr>
            <w:tcW w:w="630" w:type="dxa"/>
          </w:tcPr>
          <w:p w14:paraId="1FBC095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677</w:t>
            </w:r>
          </w:p>
        </w:tc>
        <w:tc>
          <w:tcPr>
            <w:tcW w:w="1350" w:type="dxa"/>
          </w:tcPr>
          <w:p w14:paraId="0BBEB64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7376/90</w:t>
            </w:r>
          </w:p>
        </w:tc>
      </w:tr>
      <w:tr w:rsidR="00643896" w:rsidRPr="00640820" w14:paraId="22D902CB" w14:textId="77777777" w:rsidTr="000D3BCB">
        <w:trPr>
          <w:trHeight w:val="384"/>
        </w:trPr>
        <w:tc>
          <w:tcPr>
            <w:tcW w:w="630" w:type="dxa"/>
          </w:tcPr>
          <w:p w14:paraId="1BA717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742AA0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30" w:type="dxa"/>
          </w:tcPr>
          <w:p w14:paraId="2268136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№112 (Горький)</w:t>
            </w:r>
          </w:p>
        </w:tc>
        <w:tc>
          <w:tcPr>
            <w:tcW w:w="540" w:type="dxa"/>
            <w:gridSpan w:val="3"/>
          </w:tcPr>
          <w:p w14:paraId="0DBDD13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250</w:t>
            </w:r>
          </w:p>
        </w:tc>
        <w:tc>
          <w:tcPr>
            <w:tcW w:w="450" w:type="dxa"/>
          </w:tcPr>
          <w:p w14:paraId="460F8FD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250</w:t>
            </w:r>
          </w:p>
        </w:tc>
        <w:tc>
          <w:tcPr>
            <w:tcW w:w="450" w:type="dxa"/>
            <w:gridSpan w:val="2"/>
          </w:tcPr>
          <w:p w14:paraId="5E0EA7D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276</w:t>
            </w:r>
          </w:p>
        </w:tc>
        <w:tc>
          <w:tcPr>
            <w:tcW w:w="450" w:type="dxa"/>
          </w:tcPr>
          <w:p w14:paraId="7349B06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120</w:t>
            </w:r>
          </w:p>
        </w:tc>
        <w:tc>
          <w:tcPr>
            <w:tcW w:w="450" w:type="dxa"/>
          </w:tcPr>
          <w:p w14:paraId="6D02572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275</w:t>
            </w:r>
          </w:p>
        </w:tc>
        <w:tc>
          <w:tcPr>
            <w:tcW w:w="630" w:type="dxa"/>
          </w:tcPr>
          <w:p w14:paraId="0DD77D3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145</w:t>
            </w:r>
          </w:p>
        </w:tc>
        <w:tc>
          <w:tcPr>
            <w:tcW w:w="540" w:type="dxa"/>
          </w:tcPr>
          <w:p w14:paraId="1EEB8A6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225</w:t>
            </w:r>
          </w:p>
        </w:tc>
        <w:tc>
          <w:tcPr>
            <w:tcW w:w="540" w:type="dxa"/>
          </w:tcPr>
          <w:p w14:paraId="4D29B96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235</w:t>
            </w:r>
          </w:p>
        </w:tc>
        <w:tc>
          <w:tcPr>
            <w:tcW w:w="630" w:type="dxa"/>
          </w:tcPr>
          <w:p w14:paraId="54BAADC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255</w:t>
            </w:r>
          </w:p>
        </w:tc>
        <w:tc>
          <w:tcPr>
            <w:tcW w:w="540" w:type="dxa"/>
          </w:tcPr>
          <w:p w14:paraId="18A8E9A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268</w:t>
            </w:r>
          </w:p>
        </w:tc>
        <w:tc>
          <w:tcPr>
            <w:tcW w:w="630" w:type="dxa"/>
          </w:tcPr>
          <w:p w14:paraId="2318A76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276</w:t>
            </w:r>
          </w:p>
        </w:tc>
        <w:tc>
          <w:tcPr>
            <w:tcW w:w="630" w:type="dxa"/>
          </w:tcPr>
          <w:p w14:paraId="03D9E37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276</w:t>
            </w:r>
          </w:p>
        </w:tc>
        <w:tc>
          <w:tcPr>
            <w:tcW w:w="1350" w:type="dxa"/>
          </w:tcPr>
          <w:p w14:paraId="58F7508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2622/229</w:t>
            </w:r>
          </w:p>
        </w:tc>
      </w:tr>
      <w:tr w:rsidR="00643896" w:rsidRPr="00640820" w14:paraId="6E2532D1" w14:textId="77777777" w:rsidTr="000D3BCB">
        <w:trPr>
          <w:trHeight w:val="384"/>
        </w:trPr>
        <w:tc>
          <w:tcPr>
            <w:tcW w:w="630" w:type="dxa"/>
          </w:tcPr>
          <w:p w14:paraId="7A4CDE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720528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30" w:type="dxa"/>
          </w:tcPr>
          <w:p w14:paraId="4ADEF7E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174 (Омск)</w:t>
            </w:r>
          </w:p>
        </w:tc>
        <w:tc>
          <w:tcPr>
            <w:tcW w:w="540" w:type="dxa"/>
            <w:gridSpan w:val="3"/>
          </w:tcPr>
          <w:p w14:paraId="66D9502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w:t>
            </w:r>
          </w:p>
        </w:tc>
        <w:tc>
          <w:tcPr>
            <w:tcW w:w="450" w:type="dxa"/>
          </w:tcPr>
          <w:p w14:paraId="39E3DB7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w:t>
            </w:r>
          </w:p>
        </w:tc>
        <w:tc>
          <w:tcPr>
            <w:tcW w:w="450" w:type="dxa"/>
            <w:gridSpan w:val="2"/>
          </w:tcPr>
          <w:p w14:paraId="7566C65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131</w:t>
            </w:r>
          </w:p>
        </w:tc>
        <w:tc>
          <w:tcPr>
            <w:tcW w:w="450" w:type="dxa"/>
          </w:tcPr>
          <w:p w14:paraId="02D398E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140</w:t>
            </w:r>
          </w:p>
        </w:tc>
        <w:tc>
          <w:tcPr>
            <w:tcW w:w="450" w:type="dxa"/>
          </w:tcPr>
          <w:p w14:paraId="0A9C95B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61</w:t>
            </w:r>
          </w:p>
        </w:tc>
        <w:tc>
          <w:tcPr>
            <w:tcW w:w="630" w:type="dxa"/>
          </w:tcPr>
          <w:p w14:paraId="3428DDE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75</w:t>
            </w:r>
          </w:p>
        </w:tc>
        <w:tc>
          <w:tcPr>
            <w:tcW w:w="540" w:type="dxa"/>
          </w:tcPr>
          <w:p w14:paraId="1ED6F0B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87</w:t>
            </w:r>
          </w:p>
        </w:tc>
        <w:tc>
          <w:tcPr>
            <w:tcW w:w="540" w:type="dxa"/>
          </w:tcPr>
          <w:p w14:paraId="36DE1B8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99</w:t>
            </w:r>
          </w:p>
        </w:tc>
        <w:tc>
          <w:tcPr>
            <w:tcW w:w="630" w:type="dxa"/>
          </w:tcPr>
          <w:p w14:paraId="01D1CC5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131</w:t>
            </w:r>
          </w:p>
        </w:tc>
        <w:tc>
          <w:tcPr>
            <w:tcW w:w="540" w:type="dxa"/>
          </w:tcPr>
          <w:p w14:paraId="6899D94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121</w:t>
            </w:r>
          </w:p>
        </w:tc>
        <w:tc>
          <w:tcPr>
            <w:tcW w:w="630" w:type="dxa"/>
          </w:tcPr>
          <w:p w14:paraId="7130B22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118</w:t>
            </w:r>
          </w:p>
        </w:tc>
        <w:tc>
          <w:tcPr>
            <w:tcW w:w="630" w:type="dxa"/>
          </w:tcPr>
          <w:p w14:paraId="742ECE8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115</w:t>
            </w:r>
          </w:p>
        </w:tc>
        <w:tc>
          <w:tcPr>
            <w:tcW w:w="1350" w:type="dxa"/>
          </w:tcPr>
          <w:p w14:paraId="42B67EA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1188/159</w:t>
            </w:r>
          </w:p>
        </w:tc>
      </w:tr>
      <w:tr w:rsidR="00643896" w:rsidRPr="00640820" w14:paraId="039BA77E" w14:textId="77777777" w:rsidTr="000D3BCB">
        <w:trPr>
          <w:trHeight w:val="384"/>
        </w:trPr>
        <w:tc>
          <w:tcPr>
            <w:tcW w:w="630" w:type="dxa"/>
          </w:tcPr>
          <w:p w14:paraId="241B62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49A19B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30" w:type="dxa"/>
          </w:tcPr>
          <w:p w14:paraId="57E712C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ЧКЗ (Челябинск)</w:t>
            </w:r>
          </w:p>
        </w:tc>
        <w:tc>
          <w:tcPr>
            <w:tcW w:w="540" w:type="dxa"/>
            <w:gridSpan w:val="3"/>
          </w:tcPr>
          <w:p w14:paraId="56C96EE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220</w:t>
            </w:r>
          </w:p>
        </w:tc>
        <w:tc>
          <w:tcPr>
            <w:tcW w:w="450" w:type="dxa"/>
          </w:tcPr>
          <w:p w14:paraId="08AFAC3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220</w:t>
            </w:r>
          </w:p>
        </w:tc>
        <w:tc>
          <w:tcPr>
            <w:tcW w:w="450" w:type="dxa"/>
            <w:gridSpan w:val="2"/>
          </w:tcPr>
          <w:p w14:paraId="566EAB3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276</w:t>
            </w:r>
          </w:p>
        </w:tc>
        <w:tc>
          <w:tcPr>
            <w:tcW w:w="450" w:type="dxa"/>
          </w:tcPr>
          <w:p w14:paraId="6EAA889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w:t>
            </w:r>
          </w:p>
        </w:tc>
        <w:tc>
          <w:tcPr>
            <w:tcW w:w="450" w:type="dxa"/>
          </w:tcPr>
          <w:p w14:paraId="1F47B4A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275</w:t>
            </w:r>
          </w:p>
        </w:tc>
        <w:tc>
          <w:tcPr>
            <w:tcW w:w="630" w:type="dxa"/>
          </w:tcPr>
          <w:p w14:paraId="1CE9EE0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235</w:t>
            </w:r>
          </w:p>
        </w:tc>
        <w:tc>
          <w:tcPr>
            <w:tcW w:w="540" w:type="dxa"/>
          </w:tcPr>
          <w:p w14:paraId="555DD62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315</w:t>
            </w:r>
          </w:p>
        </w:tc>
        <w:tc>
          <w:tcPr>
            <w:tcW w:w="540" w:type="dxa"/>
          </w:tcPr>
          <w:p w14:paraId="0BECFB1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332</w:t>
            </w:r>
          </w:p>
        </w:tc>
        <w:tc>
          <w:tcPr>
            <w:tcW w:w="630" w:type="dxa"/>
          </w:tcPr>
          <w:p w14:paraId="1D6A982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340</w:t>
            </w:r>
          </w:p>
        </w:tc>
        <w:tc>
          <w:tcPr>
            <w:tcW w:w="540" w:type="dxa"/>
          </w:tcPr>
          <w:p w14:paraId="1D5BB30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366</w:t>
            </w:r>
          </w:p>
        </w:tc>
        <w:tc>
          <w:tcPr>
            <w:tcW w:w="630" w:type="dxa"/>
          </w:tcPr>
          <w:p w14:paraId="61EF3F5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354</w:t>
            </w:r>
          </w:p>
        </w:tc>
        <w:tc>
          <w:tcPr>
            <w:tcW w:w="630" w:type="dxa"/>
          </w:tcPr>
          <w:p w14:paraId="325D26B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360</w:t>
            </w:r>
          </w:p>
        </w:tc>
        <w:tc>
          <w:tcPr>
            <w:tcW w:w="1350" w:type="dxa"/>
          </w:tcPr>
          <w:p w14:paraId="3AA268C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3594</w:t>
            </w:r>
          </w:p>
        </w:tc>
      </w:tr>
      <w:tr w:rsidR="00643896" w:rsidRPr="00640820" w14:paraId="0495B4B1" w14:textId="77777777" w:rsidTr="000D3BCB">
        <w:trPr>
          <w:trHeight w:val="384"/>
        </w:trPr>
        <w:tc>
          <w:tcPr>
            <w:tcW w:w="630" w:type="dxa"/>
          </w:tcPr>
          <w:p w14:paraId="05753B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7D7991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30" w:type="dxa"/>
          </w:tcPr>
          <w:p w14:paraId="3BBF300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УЗТМ (Свердловск)</w:t>
            </w:r>
          </w:p>
        </w:tc>
        <w:tc>
          <w:tcPr>
            <w:tcW w:w="540" w:type="dxa"/>
            <w:gridSpan w:val="3"/>
          </w:tcPr>
          <w:p w14:paraId="30A1C03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w:t>
            </w:r>
          </w:p>
        </w:tc>
        <w:tc>
          <w:tcPr>
            <w:tcW w:w="450" w:type="dxa"/>
          </w:tcPr>
          <w:p w14:paraId="4858427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0" w:type="dxa"/>
            <w:gridSpan w:val="2"/>
          </w:tcPr>
          <w:p w14:paraId="7CF9CCE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0" w:type="dxa"/>
          </w:tcPr>
          <w:p w14:paraId="1637A52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0" w:type="dxa"/>
          </w:tcPr>
          <w:p w14:paraId="6FC8533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732E253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Pr>
          <w:p w14:paraId="4C56E26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Pr>
          <w:p w14:paraId="3C39975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087098D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Pr>
          <w:p w14:paraId="62A5141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7200FDA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2B1042E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0" w:type="dxa"/>
          </w:tcPr>
          <w:p w14:paraId="29E3007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452</w:t>
            </w:r>
          </w:p>
        </w:tc>
      </w:tr>
      <w:tr w:rsidR="00643896" w:rsidRPr="00640820" w14:paraId="182EDFDD" w14:textId="77777777" w:rsidTr="000D3BCB">
        <w:trPr>
          <w:trHeight w:val="413"/>
        </w:trPr>
        <w:tc>
          <w:tcPr>
            <w:tcW w:w="630" w:type="dxa"/>
          </w:tcPr>
          <w:p w14:paraId="7E41AD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38AA51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30" w:type="dxa"/>
          </w:tcPr>
          <w:p w14:paraId="7911362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Итого:</w:t>
            </w:r>
          </w:p>
        </w:tc>
        <w:tc>
          <w:tcPr>
            <w:tcW w:w="540" w:type="dxa"/>
            <w:gridSpan w:val="3"/>
          </w:tcPr>
          <w:p w14:paraId="2457931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1080</w:t>
            </w:r>
          </w:p>
        </w:tc>
        <w:tc>
          <w:tcPr>
            <w:tcW w:w="450" w:type="dxa"/>
          </w:tcPr>
          <w:p w14:paraId="4EB1DAC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0" w:type="dxa"/>
            <w:gridSpan w:val="2"/>
          </w:tcPr>
          <w:p w14:paraId="1823CC5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0" w:type="dxa"/>
          </w:tcPr>
          <w:p w14:paraId="306294E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0" w:type="dxa"/>
          </w:tcPr>
          <w:p w14:paraId="50F701F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2F1416D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995</w:t>
            </w:r>
          </w:p>
        </w:tc>
        <w:tc>
          <w:tcPr>
            <w:tcW w:w="540" w:type="dxa"/>
          </w:tcPr>
          <w:p w14:paraId="30BDC87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1302</w:t>
            </w:r>
          </w:p>
        </w:tc>
        <w:tc>
          <w:tcPr>
            <w:tcW w:w="540" w:type="dxa"/>
          </w:tcPr>
          <w:p w14:paraId="7BC16A0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1333</w:t>
            </w:r>
          </w:p>
        </w:tc>
        <w:tc>
          <w:tcPr>
            <w:tcW w:w="630" w:type="dxa"/>
          </w:tcPr>
          <w:p w14:paraId="460E849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1393</w:t>
            </w:r>
          </w:p>
        </w:tc>
        <w:tc>
          <w:tcPr>
            <w:tcW w:w="540" w:type="dxa"/>
          </w:tcPr>
          <w:p w14:paraId="36013EB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1428</w:t>
            </w:r>
          </w:p>
        </w:tc>
        <w:tc>
          <w:tcPr>
            <w:tcW w:w="630" w:type="dxa"/>
          </w:tcPr>
          <w:p w14:paraId="68D0C71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1420</w:t>
            </w:r>
          </w:p>
        </w:tc>
        <w:tc>
          <w:tcPr>
            <w:tcW w:w="630" w:type="dxa"/>
          </w:tcPr>
          <w:p w14:paraId="2C73269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1428</w:t>
            </w:r>
          </w:p>
        </w:tc>
        <w:tc>
          <w:tcPr>
            <w:tcW w:w="1350" w:type="dxa"/>
          </w:tcPr>
          <w:p w14:paraId="589CF34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15322/388</w:t>
            </w:r>
          </w:p>
        </w:tc>
      </w:tr>
      <w:tr w:rsidR="00643896" w:rsidRPr="00640820" w14:paraId="66D849B6" w14:textId="77777777" w:rsidTr="000D3BCB">
        <w:trPr>
          <w:trHeight w:val="566"/>
        </w:trPr>
        <w:tc>
          <w:tcPr>
            <w:tcW w:w="630" w:type="dxa"/>
          </w:tcPr>
          <w:p w14:paraId="594EE3A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428114C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Т-34-76</w:t>
            </w:r>
          </w:p>
        </w:tc>
        <w:tc>
          <w:tcPr>
            <w:tcW w:w="1530" w:type="dxa"/>
          </w:tcPr>
          <w:p w14:paraId="6D06E13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183 (Нижний Тагил)</w:t>
            </w:r>
          </w:p>
        </w:tc>
        <w:tc>
          <w:tcPr>
            <w:tcW w:w="540" w:type="dxa"/>
            <w:gridSpan w:val="3"/>
          </w:tcPr>
          <w:p w14:paraId="3BFB13C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645</w:t>
            </w:r>
          </w:p>
        </w:tc>
        <w:tc>
          <w:tcPr>
            <w:tcW w:w="450" w:type="dxa"/>
          </w:tcPr>
          <w:p w14:paraId="2A31E16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680</w:t>
            </w:r>
          </w:p>
        </w:tc>
        <w:tc>
          <w:tcPr>
            <w:tcW w:w="450" w:type="dxa"/>
            <w:gridSpan w:val="2"/>
          </w:tcPr>
          <w:p w14:paraId="56A103C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513</w:t>
            </w:r>
          </w:p>
        </w:tc>
        <w:tc>
          <w:tcPr>
            <w:tcW w:w="450" w:type="dxa"/>
          </w:tcPr>
          <w:p w14:paraId="7A1B07E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0" w:type="dxa"/>
          </w:tcPr>
          <w:p w14:paraId="7A0B8A4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27C5943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Pr>
          <w:p w14:paraId="61D3357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Pr>
          <w:p w14:paraId="7EB7781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F85E97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Pr>
          <w:p w14:paraId="2F5B14A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4337BD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622E40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0" w:type="dxa"/>
          </w:tcPr>
          <w:p w14:paraId="1392191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1838</w:t>
            </w:r>
          </w:p>
        </w:tc>
      </w:tr>
      <w:tr w:rsidR="00643896" w:rsidRPr="00640820" w14:paraId="5888E0C4" w14:textId="77777777" w:rsidTr="000D3BCB">
        <w:trPr>
          <w:trHeight w:val="384"/>
        </w:trPr>
        <w:tc>
          <w:tcPr>
            <w:tcW w:w="630" w:type="dxa"/>
          </w:tcPr>
          <w:p w14:paraId="1290AF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539EEA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30" w:type="dxa"/>
          </w:tcPr>
          <w:p w14:paraId="12A89D4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№112 (Горький)</w:t>
            </w:r>
          </w:p>
        </w:tc>
        <w:tc>
          <w:tcPr>
            <w:tcW w:w="540" w:type="dxa"/>
            <w:gridSpan w:val="3"/>
          </w:tcPr>
          <w:p w14:paraId="69A5C82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211</w:t>
            </w:r>
          </w:p>
        </w:tc>
        <w:tc>
          <w:tcPr>
            <w:tcW w:w="450" w:type="dxa"/>
          </w:tcPr>
          <w:p w14:paraId="17FCCF4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169</w:t>
            </w:r>
          </w:p>
        </w:tc>
        <w:tc>
          <w:tcPr>
            <w:tcW w:w="450" w:type="dxa"/>
            <w:gridSpan w:val="2"/>
          </w:tcPr>
          <w:p w14:paraId="58A8660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108</w:t>
            </w:r>
          </w:p>
        </w:tc>
        <w:tc>
          <w:tcPr>
            <w:tcW w:w="450" w:type="dxa"/>
          </w:tcPr>
          <w:p w14:paraId="4F5E095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0" w:type="dxa"/>
          </w:tcPr>
          <w:p w14:paraId="6598DAF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341534C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Pr>
          <w:p w14:paraId="2C97C57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Pr>
          <w:p w14:paraId="557E242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633E4E3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Pr>
          <w:p w14:paraId="684BE14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20E7BA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0AB3A4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0" w:type="dxa"/>
          </w:tcPr>
          <w:p w14:paraId="03E7392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488/52</w:t>
            </w:r>
          </w:p>
        </w:tc>
      </w:tr>
      <w:tr w:rsidR="00643896" w:rsidRPr="00640820" w14:paraId="5AB5C281" w14:textId="77777777" w:rsidTr="000D3BCB">
        <w:trPr>
          <w:trHeight w:val="394"/>
        </w:trPr>
        <w:tc>
          <w:tcPr>
            <w:tcW w:w="630" w:type="dxa"/>
          </w:tcPr>
          <w:p w14:paraId="162397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6E6E0F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30" w:type="dxa"/>
          </w:tcPr>
          <w:p w14:paraId="0F5FE82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174 (Омск)</w:t>
            </w:r>
          </w:p>
        </w:tc>
        <w:tc>
          <w:tcPr>
            <w:tcW w:w="540" w:type="dxa"/>
            <w:gridSpan w:val="3"/>
          </w:tcPr>
          <w:p w14:paraId="6D594C0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111</w:t>
            </w:r>
          </w:p>
        </w:tc>
        <w:tc>
          <w:tcPr>
            <w:tcW w:w="450" w:type="dxa"/>
          </w:tcPr>
          <w:p w14:paraId="15C65CB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90</w:t>
            </w:r>
          </w:p>
        </w:tc>
        <w:tc>
          <w:tcPr>
            <w:tcW w:w="450" w:type="dxa"/>
            <w:gridSpan w:val="2"/>
          </w:tcPr>
          <w:p w14:paraId="75DEDC5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101</w:t>
            </w:r>
          </w:p>
        </w:tc>
        <w:tc>
          <w:tcPr>
            <w:tcW w:w="450" w:type="dxa"/>
          </w:tcPr>
          <w:p w14:paraId="01B736D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101</w:t>
            </w:r>
          </w:p>
        </w:tc>
        <w:tc>
          <w:tcPr>
            <w:tcW w:w="450" w:type="dxa"/>
          </w:tcPr>
          <w:p w14:paraId="6CBEC1A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151</w:t>
            </w:r>
          </w:p>
        </w:tc>
        <w:tc>
          <w:tcPr>
            <w:tcW w:w="630" w:type="dxa"/>
          </w:tcPr>
          <w:p w14:paraId="6D18C3D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172</w:t>
            </w:r>
          </w:p>
        </w:tc>
        <w:tc>
          <w:tcPr>
            <w:tcW w:w="540" w:type="dxa"/>
          </w:tcPr>
          <w:p w14:paraId="6A1E16A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86</w:t>
            </w:r>
          </w:p>
        </w:tc>
        <w:tc>
          <w:tcPr>
            <w:tcW w:w="540" w:type="dxa"/>
          </w:tcPr>
          <w:p w14:paraId="1F57CEC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w:t>
            </w:r>
          </w:p>
        </w:tc>
        <w:tc>
          <w:tcPr>
            <w:tcW w:w="630" w:type="dxa"/>
          </w:tcPr>
          <w:p w14:paraId="06A44E1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540" w:type="dxa"/>
          </w:tcPr>
          <w:p w14:paraId="68535DE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6146598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62E6995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0" w:type="dxa"/>
          </w:tcPr>
          <w:p w14:paraId="4395890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832/331</w:t>
            </w:r>
          </w:p>
        </w:tc>
      </w:tr>
      <w:tr w:rsidR="00643896" w:rsidRPr="00640820" w14:paraId="3D261C0A" w14:textId="77777777" w:rsidTr="000D3BCB">
        <w:trPr>
          <w:trHeight w:val="384"/>
        </w:trPr>
        <w:tc>
          <w:tcPr>
            <w:tcW w:w="630" w:type="dxa"/>
          </w:tcPr>
          <w:p w14:paraId="09F3B2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6508E2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30" w:type="dxa"/>
          </w:tcPr>
          <w:p w14:paraId="20EB6E5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ЧКЗ (Челябинск)</w:t>
            </w:r>
          </w:p>
        </w:tc>
        <w:tc>
          <w:tcPr>
            <w:tcW w:w="540" w:type="dxa"/>
            <w:gridSpan w:val="3"/>
          </w:tcPr>
          <w:p w14:paraId="02F3F0D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185</w:t>
            </w:r>
          </w:p>
        </w:tc>
        <w:tc>
          <w:tcPr>
            <w:tcW w:w="450" w:type="dxa"/>
          </w:tcPr>
          <w:p w14:paraId="636C4D8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185</w:t>
            </w:r>
          </w:p>
        </w:tc>
        <w:tc>
          <w:tcPr>
            <w:tcW w:w="450" w:type="dxa"/>
            <w:gridSpan w:val="2"/>
          </w:tcPr>
          <w:p w14:paraId="4CE684C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75</w:t>
            </w:r>
          </w:p>
        </w:tc>
        <w:tc>
          <w:tcPr>
            <w:tcW w:w="450" w:type="dxa"/>
          </w:tcPr>
          <w:p w14:paraId="42802C7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0" w:type="dxa"/>
          </w:tcPr>
          <w:p w14:paraId="4A35D1B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0DBABA6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Pr>
          <w:p w14:paraId="4F8D333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Pr>
          <w:p w14:paraId="76F1C6B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3461A4F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Pr>
          <w:p w14:paraId="21015D3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C629CA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7E2105B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0" w:type="dxa"/>
          </w:tcPr>
          <w:p w14:paraId="53E617A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445</w:t>
            </w:r>
          </w:p>
        </w:tc>
      </w:tr>
      <w:tr w:rsidR="00643896" w:rsidRPr="00640820" w14:paraId="5EDCB436" w14:textId="77777777" w:rsidTr="000D3BCB">
        <w:trPr>
          <w:trHeight w:val="384"/>
        </w:trPr>
        <w:tc>
          <w:tcPr>
            <w:tcW w:w="630" w:type="dxa"/>
          </w:tcPr>
          <w:p w14:paraId="7A0E72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174085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30" w:type="dxa"/>
          </w:tcPr>
          <w:p w14:paraId="215C600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Итого:</w:t>
            </w:r>
          </w:p>
        </w:tc>
        <w:tc>
          <w:tcPr>
            <w:tcW w:w="540" w:type="dxa"/>
            <w:gridSpan w:val="3"/>
          </w:tcPr>
          <w:p w14:paraId="6FDDBAB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1152</w:t>
            </w:r>
          </w:p>
        </w:tc>
        <w:tc>
          <w:tcPr>
            <w:tcW w:w="450" w:type="dxa"/>
          </w:tcPr>
          <w:p w14:paraId="2851298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1124</w:t>
            </w:r>
          </w:p>
        </w:tc>
        <w:tc>
          <w:tcPr>
            <w:tcW w:w="450" w:type="dxa"/>
            <w:gridSpan w:val="2"/>
          </w:tcPr>
          <w:p w14:paraId="4CB3875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797</w:t>
            </w:r>
          </w:p>
        </w:tc>
        <w:tc>
          <w:tcPr>
            <w:tcW w:w="450" w:type="dxa"/>
          </w:tcPr>
          <w:p w14:paraId="1E5C309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101</w:t>
            </w:r>
          </w:p>
        </w:tc>
        <w:tc>
          <w:tcPr>
            <w:tcW w:w="450" w:type="dxa"/>
          </w:tcPr>
          <w:p w14:paraId="51C18AE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151</w:t>
            </w:r>
          </w:p>
        </w:tc>
        <w:tc>
          <w:tcPr>
            <w:tcW w:w="630" w:type="dxa"/>
          </w:tcPr>
          <w:p w14:paraId="08FA2BD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172</w:t>
            </w:r>
          </w:p>
        </w:tc>
        <w:tc>
          <w:tcPr>
            <w:tcW w:w="540" w:type="dxa"/>
          </w:tcPr>
          <w:p w14:paraId="007096E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86</w:t>
            </w:r>
          </w:p>
        </w:tc>
        <w:tc>
          <w:tcPr>
            <w:tcW w:w="540" w:type="dxa"/>
          </w:tcPr>
          <w:p w14:paraId="7A58B29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w:t>
            </w:r>
          </w:p>
        </w:tc>
        <w:tc>
          <w:tcPr>
            <w:tcW w:w="630" w:type="dxa"/>
          </w:tcPr>
          <w:p w14:paraId="37C832E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540" w:type="dxa"/>
          </w:tcPr>
          <w:p w14:paraId="1656C56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9DEE9D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7BCA6A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0" w:type="dxa"/>
          </w:tcPr>
          <w:p w14:paraId="3B52498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3603/383</w:t>
            </w:r>
          </w:p>
        </w:tc>
      </w:tr>
      <w:tr w:rsidR="00643896" w:rsidRPr="00640820" w14:paraId="6FCB1DE7" w14:textId="77777777" w:rsidTr="000D3BCB">
        <w:trPr>
          <w:trHeight w:val="557"/>
        </w:trPr>
        <w:tc>
          <w:tcPr>
            <w:tcW w:w="630" w:type="dxa"/>
          </w:tcPr>
          <w:p w14:paraId="53FA5D7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46E0CD5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Т-34-85</w:t>
            </w:r>
          </w:p>
        </w:tc>
        <w:tc>
          <w:tcPr>
            <w:tcW w:w="1530" w:type="dxa"/>
          </w:tcPr>
          <w:p w14:paraId="3932490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183 (Нижний Тагил)</w:t>
            </w:r>
          </w:p>
        </w:tc>
        <w:tc>
          <w:tcPr>
            <w:tcW w:w="540" w:type="dxa"/>
            <w:gridSpan w:val="3"/>
          </w:tcPr>
          <w:p w14:paraId="5928D49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450" w:type="dxa"/>
          </w:tcPr>
          <w:p w14:paraId="0E702AB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450" w:type="dxa"/>
            <w:gridSpan w:val="2"/>
          </w:tcPr>
          <w:p w14:paraId="0022F55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150</w:t>
            </w:r>
          </w:p>
        </w:tc>
        <w:tc>
          <w:tcPr>
            <w:tcW w:w="450" w:type="dxa"/>
          </w:tcPr>
          <w:p w14:paraId="5829C13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696</w:t>
            </w:r>
          </w:p>
        </w:tc>
        <w:tc>
          <w:tcPr>
            <w:tcW w:w="450" w:type="dxa"/>
          </w:tcPr>
          <w:p w14:paraId="54E591C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701</w:t>
            </w:r>
          </w:p>
        </w:tc>
        <w:tc>
          <w:tcPr>
            <w:tcW w:w="630" w:type="dxa"/>
          </w:tcPr>
          <w:p w14:paraId="061655C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706</w:t>
            </w:r>
          </w:p>
        </w:tc>
        <w:tc>
          <w:tcPr>
            <w:tcW w:w="540" w:type="dxa"/>
          </w:tcPr>
          <w:p w14:paraId="21E4E4D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711</w:t>
            </w:r>
          </w:p>
        </w:tc>
        <w:tc>
          <w:tcPr>
            <w:tcW w:w="540" w:type="dxa"/>
          </w:tcPr>
          <w:p w14:paraId="652C057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714</w:t>
            </w:r>
          </w:p>
        </w:tc>
        <w:tc>
          <w:tcPr>
            <w:tcW w:w="630" w:type="dxa"/>
          </w:tcPr>
          <w:p w14:paraId="64DB702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723</w:t>
            </w:r>
          </w:p>
        </w:tc>
        <w:tc>
          <w:tcPr>
            <w:tcW w:w="540" w:type="dxa"/>
          </w:tcPr>
          <w:p w14:paraId="5169E5D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724</w:t>
            </w:r>
          </w:p>
        </w:tc>
        <w:tc>
          <w:tcPr>
            <w:tcW w:w="630" w:type="dxa"/>
          </w:tcPr>
          <w:p w14:paraId="66A3AEB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727</w:t>
            </w:r>
          </w:p>
        </w:tc>
        <w:tc>
          <w:tcPr>
            <w:tcW w:w="630" w:type="dxa"/>
          </w:tcPr>
          <w:p w14:paraId="3071959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731</w:t>
            </w:r>
          </w:p>
        </w:tc>
        <w:tc>
          <w:tcPr>
            <w:tcW w:w="1350" w:type="dxa"/>
          </w:tcPr>
          <w:p w14:paraId="108595A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6583</w:t>
            </w:r>
          </w:p>
        </w:tc>
      </w:tr>
      <w:tr w:rsidR="00643896" w:rsidRPr="00640820" w14:paraId="6A3D3CFD" w14:textId="77777777" w:rsidTr="000D3BCB">
        <w:trPr>
          <w:trHeight w:val="384"/>
        </w:trPr>
        <w:tc>
          <w:tcPr>
            <w:tcW w:w="630" w:type="dxa"/>
          </w:tcPr>
          <w:p w14:paraId="5E4718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68927A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30" w:type="dxa"/>
          </w:tcPr>
          <w:p w14:paraId="56756FD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№112 (Горький)</w:t>
            </w:r>
          </w:p>
        </w:tc>
        <w:tc>
          <w:tcPr>
            <w:tcW w:w="540" w:type="dxa"/>
            <w:gridSpan w:val="3"/>
          </w:tcPr>
          <w:p w14:paraId="72511A9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w:t>
            </w:r>
          </w:p>
        </w:tc>
        <w:tc>
          <w:tcPr>
            <w:tcW w:w="450" w:type="dxa"/>
          </w:tcPr>
          <w:p w14:paraId="2C75301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75</w:t>
            </w:r>
          </w:p>
        </w:tc>
        <w:tc>
          <w:tcPr>
            <w:tcW w:w="450" w:type="dxa"/>
            <w:gridSpan w:val="2"/>
          </w:tcPr>
          <w:p w14:paraId="26C3200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178</w:t>
            </w:r>
          </w:p>
        </w:tc>
        <w:tc>
          <w:tcPr>
            <w:tcW w:w="450" w:type="dxa"/>
          </w:tcPr>
          <w:p w14:paraId="26AF6F9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296</w:t>
            </w:r>
          </w:p>
        </w:tc>
        <w:tc>
          <w:tcPr>
            <w:tcW w:w="450" w:type="dxa"/>
          </w:tcPr>
          <w:p w14:paraId="3358307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w:t>
            </w:r>
          </w:p>
        </w:tc>
        <w:tc>
          <w:tcPr>
            <w:tcW w:w="630" w:type="dxa"/>
          </w:tcPr>
          <w:p w14:paraId="594946A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315</w:t>
            </w:r>
          </w:p>
        </w:tc>
        <w:tc>
          <w:tcPr>
            <w:tcW w:w="540" w:type="dxa"/>
          </w:tcPr>
          <w:p w14:paraId="6B28A90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315</w:t>
            </w:r>
          </w:p>
        </w:tc>
        <w:tc>
          <w:tcPr>
            <w:tcW w:w="540" w:type="dxa"/>
          </w:tcPr>
          <w:p w14:paraId="11E906A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315</w:t>
            </w:r>
          </w:p>
        </w:tc>
        <w:tc>
          <w:tcPr>
            <w:tcW w:w="630" w:type="dxa"/>
          </w:tcPr>
          <w:p w14:paraId="33B1D70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315</w:t>
            </w:r>
          </w:p>
        </w:tc>
        <w:tc>
          <w:tcPr>
            <w:tcW w:w="540" w:type="dxa"/>
          </w:tcPr>
          <w:p w14:paraId="489288D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315</w:t>
            </w:r>
          </w:p>
        </w:tc>
        <w:tc>
          <w:tcPr>
            <w:tcW w:w="630" w:type="dxa"/>
          </w:tcPr>
          <w:p w14:paraId="3897CE5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315</w:t>
            </w:r>
          </w:p>
        </w:tc>
        <w:tc>
          <w:tcPr>
            <w:tcW w:w="630" w:type="dxa"/>
          </w:tcPr>
          <w:p w14:paraId="32D472B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315</w:t>
            </w:r>
          </w:p>
        </w:tc>
        <w:tc>
          <w:tcPr>
            <w:tcW w:w="1350" w:type="dxa"/>
          </w:tcPr>
          <w:p w14:paraId="1B42BC4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3079</w:t>
            </w:r>
          </w:p>
        </w:tc>
      </w:tr>
      <w:tr w:rsidR="00643896" w:rsidRPr="00640820" w14:paraId="2858F1F7" w14:textId="77777777" w:rsidTr="000D3BCB">
        <w:trPr>
          <w:trHeight w:val="384"/>
        </w:trPr>
        <w:tc>
          <w:tcPr>
            <w:tcW w:w="630" w:type="dxa"/>
          </w:tcPr>
          <w:p w14:paraId="4A59B0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6DCC12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30" w:type="dxa"/>
          </w:tcPr>
          <w:p w14:paraId="48E6AF2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174 (Омск)</w:t>
            </w:r>
          </w:p>
        </w:tc>
        <w:tc>
          <w:tcPr>
            <w:tcW w:w="540" w:type="dxa"/>
            <w:gridSpan w:val="3"/>
          </w:tcPr>
          <w:p w14:paraId="54DB026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0" w:type="dxa"/>
          </w:tcPr>
          <w:p w14:paraId="70F8E87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0" w:type="dxa"/>
            <w:gridSpan w:val="2"/>
          </w:tcPr>
          <w:p w14:paraId="17FAE10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0" w:type="dxa"/>
          </w:tcPr>
          <w:p w14:paraId="0E98255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0" w:type="dxa"/>
          </w:tcPr>
          <w:p w14:paraId="7DDC180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7F926D3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w:t>
            </w:r>
          </w:p>
        </w:tc>
        <w:tc>
          <w:tcPr>
            <w:tcW w:w="540" w:type="dxa"/>
          </w:tcPr>
          <w:p w14:paraId="2F753C3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93</w:t>
            </w:r>
          </w:p>
        </w:tc>
        <w:tc>
          <w:tcPr>
            <w:tcW w:w="540" w:type="dxa"/>
          </w:tcPr>
          <w:p w14:paraId="3F92C97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146</w:t>
            </w:r>
          </w:p>
        </w:tc>
        <w:tc>
          <w:tcPr>
            <w:tcW w:w="630" w:type="dxa"/>
          </w:tcPr>
          <w:p w14:paraId="7D48A84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198</w:t>
            </w:r>
          </w:p>
        </w:tc>
        <w:tc>
          <w:tcPr>
            <w:tcW w:w="540" w:type="dxa"/>
          </w:tcPr>
          <w:p w14:paraId="676BE2B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190</w:t>
            </w:r>
          </w:p>
        </w:tc>
        <w:tc>
          <w:tcPr>
            <w:tcW w:w="630" w:type="dxa"/>
          </w:tcPr>
          <w:p w14:paraId="30E642C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190</w:t>
            </w:r>
          </w:p>
        </w:tc>
        <w:tc>
          <w:tcPr>
            <w:tcW w:w="630" w:type="dxa"/>
          </w:tcPr>
          <w:p w14:paraId="0C9BB4A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140</w:t>
            </w:r>
          </w:p>
        </w:tc>
        <w:tc>
          <w:tcPr>
            <w:tcW w:w="1350" w:type="dxa"/>
          </w:tcPr>
          <w:p w14:paraId="4C6DB8D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970/30</w:t>
            </w:r>
          </w:p>
        </w:tc>
      </w:tr>
      <w:tr w:rsidR="00643896" w:rsidRPr="00640820" w14:paraId="538C6E5C" w14:textId="77777777" w:rsidTr="000D3BCB">
        <w:trPr>
          <w:trHeight w:val="384"/>
        </w:trPr>
        <w:tc>
          <w:tcPr>
            <w:tcW w:w="630" w:type="dxa"/>
          </w:tcPr>
          <w:p w14:paraId="77474C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055828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30" w:type="dxa"/>
          </w:tcPr>
          <w:p w14:paraId="220A630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Итого:</w:t>
            </w:r>
          </w:p>
        </w:tc>
        <w:tc>
          <w:tcPr>
            <w:tcW w:w="540" w:type="dxa"/>
            <w:gridSpan w:val="3"/>
          </w:tcPr>
          <w:p w14:paraId="0385AFC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w:t>
            </w:r>
          </w:p>
        </w:tc>
        <w:tc>
          <w:tcPr>
            <w:tcW w:w="450" w:type="dxa"/>
          </w:tcPr>
          <w:p w14:paraId="3AB4390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75</w:t>
            </w:r>
          </w:p>
        </w:tc>
        <w:tc>
          <w:tcPr>
            <w:tcW w:w="450" w:type="dxa"/>
            <w:gridSpan w:val="2"/>
          </w:tcPr>
          <w:p w14:paraId="2EFCD16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328</w:t>
            </w:r>
          </w:p>
        </w:tc>
        <w:tc>
          <w:tcPr>
            <w:tcW w:w="450" w:type="dxa"/>
          </w:tcPr>
          <w:p w14:paraId="33FA530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992</w:t>
            </w:r>
          </w:p>
        </w:tc>
        <w:tc>
          <w:tcPr>
            <w:tcW w:w="450" w:type="dxa"/>
          </w:tcPr>
          <w:p w14:paraId="255021F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1001</w:t>
            </w:r>
          </w:p>
        </w:tc>
        <w:tc>
          <w:tcPr>
            <w:tcW w:w="630" w:type="dxa"/>
          </w:tcPr>
          <w:p w14:paraId="0E34B6B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1034</w:t>
            </w:r>
          </w:p>
        </w:tc>
        <w:tc>
          <w:tcPr>
            <w:tcW w:w="540" w:type="dxa"/>
          </w:tcPr>
          <w:p w14:paraId="175228C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1119</w:t>
            </w:r>
          </w:p>
        </w:tc>
        <w:tc>
          <w:tcPr>
            <w:tcW w:w="540" w:type="dxa"/>
          </w:tcPr>
          <w:p w14:paraId="45F2364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1175</w:t>
            </w:r>
          </w:p>
        </w:tc>
        <w:tc>
          <w:tcPr>
            <w:tcW w:w="630" w:type="dxa"/>
          </w:tcPr>
          <w:p w14:paraId="7819042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1236</w:t>
            </w:r>
          </w:p>
        </w:tc>
        <w:tc>
          <w:tcPr>
            <w:tcW w:w="540" w:type="dxa"/>
          </w:tcPr>
          <w:p w14:paraId="72C2300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1229</w:t>
            </w:r>
          </w:p>
        </w:tc>
        <w:tc>
          <w:tcPr>
            <w:tcW w:w="630" w:type="dxa"/>
          </w:tcPr>
          <w:p w14:paraId="1EB8615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1232</w:t>
            </w:r>
          </w:p>
        </w:tc>
        <w:tc>
          <w:tcPr>
            <w:tcW w:w="630" w:type="dxa"/>
          </w:tcPr>
          <w:p w14:paraId="227C263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1186</w:t>
            </w:r>
          </w:p>
        </w:tc>
        <w:tc>
          <w:tcPr>
            <w:tcW w:w="1350" w:type="dxa"/>
          </w:tcPr>
          <w:p w14:paraId="0FD4033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10632/30</w:t>
            </w:r>
          </w:p>
        </w:tc>
      </w:tr>
      <w:tr w:rsidR="00643896" w:rsidRPr="00640820" w14:paraId="7FDCF537" w14:textId="77777777" w:rsidTr="000D3BCB">
        <w:trPr>
          <w:trHeight w:val="413"/>
        </w:trPr>
        <w:tc>
          <w:tcPr>
            <w:tcW w:w="630" w:type="dxa"/>
          </w:tcPr>
          <w:p w14:paraId="4D72924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3F631D0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Т-44</w:t>
            </w:r>
          </w:p>
        </w:tc>
        <w:tc>
          <w:tcPr>
            <w:tcW w:w="1530" w:type="dxa"/>
          </w:tcPr>
          <w:p w14:paraId="585DE1A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№75 (Харьков)</w:t>
            </w:r>
          </w:p>
        </w:tc>
        <w:tc>
          <w:tcPr>
            <w:tcW w:w="540" w:type="dxa"/>
            <w:gridSpan w:val="3"/>
          </w:tcPr>
          <w:p w14:paraId="24A66F0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0" w:type="dxa"/>
          </w:tcPr>
          <w:p w14:paraId="1FFF261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0" w:type="dxa"/>
            <w:gridSpan w:val="2"/>
          </w:tcPr>
          <w:p w14:paraId="1A64BDB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0" w:type="dxa"/>
          </w:tcPr>
          <w:p w14:paraId="25CFA16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0" w:type="dxa"/>
          </w:tcPr>
          <w:p w14:paraId="29709B0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FF9345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Pr>
          <w:p w14:paraId="765AAA2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Pr>
          <w:p w14:paraId="0F3F6AC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0EEEF88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Pr>
          <w:p w14:paraId="00C1366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0F50BB5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630" w:type="dxa"/>
          </w:tcPr>
          <w:p w14:paraId="27302C7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1350" w:type="dxa"/>
          </w:tcPr>
          <w:p w14:paraId="7E25814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w:t>
            </w:r>
          </w:p>
        </w:tc>
      </w:tr>
      <w:tr w:rsidR="00643896" w:rsidRPr="00640820" w14:paraId="034AD5A8" w14:textId="77777777" w:rsidTr="000D3BCB">
        <w:trPr>
          <w:trHeight w:val="557"/>
        </w:trPr>
        <w:tc>
          <w:tcPr>
            <w:tcW w:w="630" w:type="dxa"/>
          </w:tcPr>
          <w:p w14:paraId="5AB8299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1945</w:t>
            </w:r>
          </w:p>
        </w:tc>
        <w:tc>
          <w:tcPr>
            <w:tcW w:w="810" w:type="dxa"/>
          </w:tcPr>
          <w:p w14:paraId="6620E51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Т-34-85</w:t>
            </w:r>
          </w:p>
        </w:tc>
        <w:tc>
          <w:tcPr>
            <w:tcW w:w="1537" w:type="dxa"/>
            <w:gridSpan w:val="2"/>
          </w:tcPr>
          <w:p w14:paraId="17009B2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183 (Нижний Тагил)</w:t>
            </w:r>
          </w:p>
        </w:tc>
        <w:tc>
          <w:tcPr>
            <w:tcW w:w="526" w:type="dxa"/>
          </w:tcPr>
          <w:p w14:paraId="0D4C5F0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745</w:t>
            </w:r>
          </w:p>
        </w:tc>
        <w:tc>
          <w:tcPr>
            <w:tcW w:w="466" w:type="dxa"/>
            <w:gridSpan w:val="3"/>
          </w:tcPr>
          <w:p w14:paraId="45E5D30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750</w:t>
            </w:r>
          </w:p>
        </w:tc>
        <w:tc>
          <w:tcPr>
            <w:tcW w:w="437" w:type="dxa"/>
          </w:tcPr>
          <w:p w14:paraId="1CDC89D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730</w:t>
            </w:r>
          </w:p>
        </w:tc>
        <w:tc>
          <w:tcPr>
            <w:tcW w:w="455" w:type="dxa"/>
          </w:tcPr>
          <w:p w14:paraId="53A07A4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730</w:t>
            </w:r>
          </w:p>
        </w:tc>
        <w:tc>
          <w:tcPr>
            <w:tcW w:w="449" w:type="dxa"/>
          </w:tcPr>
          <w:p w14:paraId="4E7F139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715</w:t>
            </w:r>
          </w:p>
        </w:tc>
        <w:tc>
          <w:tcPr>
            <w:tcW w:w="630" w:type="dxa"/>
          </w:tcPr>
          <w:p w14:paraId="7C1E502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9" w:type="dxa"/>
          </w:tcPr>
          <w:p w14:paraId="31F4F38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1D2E7CE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B7A3FA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5" w:type="dxa"/>
          </w:tcPr>
          <w:p w14:paraId="3BE890B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Pr>
          <w:p w14:paraId="64043B9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16E961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1" w:type="dxa"/>
          </w:tcPr>
          <w:p w14:paraId="5A8033A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3579/91</w:t>
            </w:r>
          </w:p>
        </w:tc>
      </w:tr>
      <w:tr w:rsidR="00643896" w:rsidRPr="00640820" w14:paraId="419DF106" w14:textId="77777777" w:rsidTr="000D3BCB">
        <w:trPr>
          <w:trHeight w:val="384"/>
        </w:trPr>
        <w:tc>
          <w:tcPr>
            <w:tcW w:w="630" w:type="dxa"/>
          </w:tcPr>
          <w:p w14:paraId="68F339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55FCD7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37" w:type="dxa"/>
            <w:gridSpan w:val="2"/>
          </w:tcPr>
          <w:p w14:paraId="5FD9723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№112 (Горький)</w:t>
            </w:r>
          </w:p>
        </w:tc>
        <w:tc>
          <w:tcPr>
            <w:tcW w:w="526" w:type="dxa"/>
          </w:tcPr>
          <w:p w14:paraId="33FF468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w:t>
            </w:r>
          </w:p>
        </w:tc>
        <w:tc>
          <w:tcPr>
            <w:tcW w:w="466" w:type="dxa"/>
            <w:gridSpan w:val="3"/>
          </w:tcPr>
          <w:p w14:paraId="63426D4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w:t>
            </w:r>
          </w:p>
        </w:tc>
        <w:tc>
          <w:tcPr>
            <w:tcW w:w="437" w:type="dxa"/>
          </w:tcPr>
          <w:p w14:paraId="0666553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315</w:t>
            </w:r>
          </w:p>
        </w:tc>
        <w:tc>
          <w:tcPr>
            <w:tcW w:w="455" w:type="dxa"/>
          </w:tcPr>
          <w:p w14:paraId="1EE1045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315</w:t>
            </w:r>
          </w:p>
        </w:tc>
        <w:tc>
          <w:tcPr>
            <w:tcW w:w="449" w:type="dxa"/>
          </w:tcPr>
          <w:p w14:paraId="396F544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315</w:t>
            </w:r>
          </w:p>
        </w:tc>
        <w:tc>
          <w:tcPr>
            <w:tcW w:w="630" w:type="dxa"/>
          </w:tcPr>
          <w:p w14:paraId="7F00A16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9" w:type="dxa"/>
          </w:tcPr>
          <w:p w14:paraId="563D9B9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1486539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00424F2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5" w:type="dxa"/>
          </w:tcPr>
          <w:p w14:paraId="0AE36FF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Pr>
          <w:p w14:paraId="524A7C8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0E97C7D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1" w:type="dxa"/>
          </w:tcPr>
          <w:p w14:paraId="6FDB0D6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1490/55</w:t>
            </w:r>
          </w:p>
        </w:tc>
      </w:tr>
      <w:tr w:rsidR="00643896" w:rsidRPr="00640820" w14:paraId="0055AFC9" w14:textId="77777777" w:rsidTr="000D3BCB">
        <w:trPr>
          <w:trHeight w:val="394"/>
        </w:trPr>
        <w:tc>
          <w:tcPr>
            <w:tcW w:w="630" w:type="dxa"/>
          </w:tcPr>
          <w:p w14:paraId="63344D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688CC9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37" w:type="dxa"/>
            <w:gridSpan w:val="2"/>
          </w:tcPr>
          <w:p w14:paraId="7C23322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174 (Омск)</w:t>
            </w:r>
          </w:p>
        </w:tc>
        <w:tc>
          <w:tcPr>
            <w:tcW w:w="526" w:type="dxa"/>
          </w:tcPr>
          <w:p w14:paraId="6D4785E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125</w:t>
            </w:r>
          </w:p>
        </w:tc>
        <w:tc>
          <w:tcPr>
            <w:tcW w:w="466" w:type="dxa"/>
            <w:gridSpan w:val="3"/>
          </w:tcPr>
          <w:p w14:paraId="6BE93F2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110</w:t>
            </w:r>
          </w:p>
        </w:tc>
        <w:tc>
          <w:tcPr>
            <w:tcW w:w="437" w:type="dxa"/>
          </w:tcPr>
          <w:p w14:paraId="6E283FE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170</w:t>
            </w:r>
          </w:p>
        </w:tc>
        <w:tc>
          <w:tcPr>
            <w:tcW w:w="455" w:type="dxa"/>
          </w:tcPr>
          <w:p w14:paraId="1927D26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145</w:t>
            </w:r>
          </w:p>
        </w:tc>
        <w:tc>
          <w:tcPr>
            <w:tcW w:w="449" w:type="dxa"/>
          </w:tcPr>
          <w:p w14:paraId="27BF019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160</w:t>
            </w:r>
          </w:p>
        </w:tc>
        <w:tc>
          <w:tcPr>
            <w:tcW w:w="630" w:type="dxa"/>
          </w:tcPr>
          <w:p w14:paraId="65AD180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9" w:type="dxa"/>
          </w:tcPr>
          <w:p w14:paraId="3C80CA3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33DBA1B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0BD7A04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5" w:type="dxa"/>
          </w:tcPr>
          <w:p w14:paraId="6A2BAEF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Pr>
          <w:p w14:paraId="28E4DD6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6F0F7D4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1" w:type="dxa"/>
          </w:tcPr>
          <w:p w14:paraId="404709F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710/155</w:t>
            </w:r>
          </w:p>
        </w:tc>
      </w:tr>
      <w:tr w:rsidR="00643896" w:rsidRPr="00640820" w14:paraId="61C0CD26" w14:textId="77777777" w:rsidTr="000D3BCB">
        <w:trPr>
          <w:trHeight w:val="384"/>
        </w:trPr>
        <w:tc>
          <w:tcPr>
            <w:tcW w:w="630" w:type="dxa"/>
          </w:tcPr>
          <w:p w14:paraId="724552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6887CB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37" w:type="dxa"/>
            <w:gridSpan w:val="2"/>
          </w:tcPr>
          <w:p w14:paraId="3C84104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Итого:</w:t>
            </w:r>
          </w:p>
        </w:tc>
        <w:tc>
          <w:tcPr>
            <w:tcW w:w="526" w:type="dxa"/>
          </w:tcPr>
          <w:p w14:paraId="317133A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1170</w:t>
            </w:r>
          </w:p>
        </w:tc>
        <w:tc>
          <w:tcPr>
            <w:tcW w:w="466" w:type="dxa"/>
            <w:gridSpan w:val="3"/>
          </w:tcPr>
          <w:p w14:paraId="5ED69E6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1160</w:t>
            </w:r>
          </w:p>
        </w:tc>
        <w:tc>
          <w:tcPr>
            <w:tcW w:w="437" w:type="dxa"/>
          </w:tcPr>
          <w:p w14:paraId="6A87930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1215</w:t>
            </w:r>
          </w:p>
        </w:tc>
        <w:tc>
          <w:tcPr>
            <w:tcW w:w="455" w:type="dxa"/>
          </w:tcPr>
          <w:p w14:paraId="6E1F996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1190</w:t>
            </w:r>
          </w:p>
        </w:tc>
        <w:tc>
          <w:tcPr>
            <w:tcW w:w="449" w:type="dxa"/>
          </w:tcPr>
          <w:p w14:paraId="4D4CF0E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1190</w:t>
            </w:r>
          </w:p>
        </w:tc>
        <w:tc>
          <w:tcPr>
            <w:tcW w:w="630" w:type="dxa"/>
          </w:tcPr>
          <w:p w14:paraId="1BC31B7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9" w:type="dxa"/>
          </w:tcPr>
          <w:p w14:paraId="2700C77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63F1256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3533CB7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5" w:type="dxa"/>
          </w:tcPr>
          <w:p w14:paraId="1F1143D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Pr>
          <w:p w14:paraId="7463432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F13F8A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1" w:type="dxa"/>
          </w:tcPr>
          <w:p w14:paraId="5C37BFA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5779/210</w:t>
            </w:r>
          </w:p>
        </w:tc>
      </w:tr>
      <w:tr w:rsidR="00643896" w:rsidRPr="00640820" w14:paraId="6661988C" w14:textId="77777777" w:rsidTr="000D3BCB">
        <w:trPr>
          <w:trHeight w:val="413"/>
        </w:trPr>
        <w:tc>
          <w:tcPr>
            <w:tcW w:w="630" w:type="dxa"/>
            <w:tcBorders>
              <w:bottom w:val="single" w:sz="12" w:space="0" w:color="auto"/>
            </w:tcBorders>
          </w:tcPr>
          <w:p w14:paraId="3C8B165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Borders>
              <w:bottom w:val="single" w:sz="12" w:space="0" w:color="auto"/>
            </w:tcBorders>
          </w:tcPr>
          <w:p w14:paraId="3EE4611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Т-44</w:t>
            </w:r>
          </w:p>
        </w:tc>
        <w:tc>
          <w:tcPr>
            <w:tcW w:w="1537" w:type="dxa"/>
            <w:gridSpan w:val="2"/>
            <w:tcBorders>
              <w:bottom w:val="single" w:sz="12" w:space="0" w:color="auto"/>
            </w:tcBorders>
          </w:tcPr>
          <w:p w14:paraId="5A6DA19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№75 (Харьков)</w:t>
            </w:r>
          </w:p>
        </w:tc>
        <w:tc>
          <w:tcPr>
            <w:tcW w:w="526" w:type="dxa"/>
            <w:tcBorders>
              <w:bottom w:val="single" w:sz="12" w:space="0" w:color="auto"/>
            </w:tcBorders>
          </w:tcPr>
          <w:p w14:paraId="3ADE2AA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466" w:type="dxa"/>
            <w:gridSpan w:val="3"/>
            <w:tcBorders>
              <w:bottom w:val="single" w:sz="12" w:space="0" w:color="auto"/>
            </w:tcBorders>
          </w:tcPr>
          <w:p w14:paraId="7818077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437" w:type="dxa"/>
            <w:tcBorders>
              <w:bottom w:val="single" w:sz="12" w:space="0" w:color="auto"/>
            </w:tcBorders>
          </w:tcPr>
          <w:p w14:paraId="4CE41BA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w:t>
            </w:r>
          </w:p>
        </w:tc>
        <w:tc>
          <w:tcPr>
            <w:tcW w:w="455" w:type="dxa"/>
            <w:tcBorders>
              <w:bottom w:val="single" w:sz="12" w:space="0" w:color="auto"/>
            </w:tcBorders>
          </w:tcPr>
          <w:p w14:paraId="6606B0F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65</w:t>
            </w:r>
          </w:p>
        </w:tc>
        <w:tc>
          <w:tcPr>
            <w:tcW w:w="449" w:type="dxa"/>
            <w:tcBorders>
              <w:bottom w:val="single" w:sz="12" w:space="0" w:color="auto"/>
            </w:tcBorders>
          </w:tcPr>
          <w:p w14:paraId="29BFA38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75</w:t>
            </w:r>
          </w:p>
        </w:tc>
        <w:tc>
          <w:tcPr>
            <w:tcW w:w="630" w:type="dxa"/>
            <w:tcBorders>
              <w:bottom w:val="single" w:sz="12" w:space="0" w:color="auto"/>
            </w:tcBorders>
          </w:tcPr>
          <w:p w14:paraId="37F1944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9" w:type="dxa"/>
            <w:tcBorders>
              <w:bottom w:val="single" w:sz="12" w:space="0" w:color="auto"/>
            </w:tcBorders>
          </w:tcPr>
          <w:p w14:paraId="49D1B1D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Borders>
              <w:bottom w:val="single" w:sz="12" w:space="0" w:color="auto"/>
            </w:tcBorders>
          </w:tcPr>
          <w:p w14:paraId="0CA08DB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Borders>
              <w:bottom w:val="single" w:sz="12" w:space="0" w:color="auto"/>
            </w:tcBorders>
          </w:tcPr>
          <w:p w14:paraId="0668EAE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5" w:type="dxa"/>
            <w:tcBorders>
              <w:bottom w:val="single" w:sz="12" w:space="0" w:color="auto"/>
            </w:tcBorders>
          </w:tcPr>
          <w:p w14:paraId="0207DEA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bottom w:val="single" w:sz="12" w:space="0" w:color="auto"/>
            </w:tcBorders>
          </w:tcPr>
          <w:p w14:paraId="02F5A4D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Borders>
              <w:bottom w:val="single" w:sz="12" w:space="0" w:color="auto"/>
            </w:tcBorders>
          </w:tcPr>
          <w:p w14:paraId="24C2268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1" w:type="dxa"/>
            <w:tcBorders>
              <w:bottom w:val="single" w:sz="12" w:space="0" w:color="auto"/>
            </w:tcBorders>
          </w:tcPr>
          <w:p w14:paraId="474CBFA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240</w:t>
            </w:r>
          </w:p>
        </w:tc>
      </w:tr>
    </w:tbl>
    <w:p w14:paraId="4926311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(10703).</w:t>
      </w:r>
    </w:p>
    <w:p w14:paraId="593701D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4EB348" w14:textId="77777777" w:rsidR="00F52A2A" w:rsidRPr="00640820" w:rsidRDefault="00F52A2A" w:rsidP="00640820">
      <w:pPr>
        <w:pStyle w:val="ae"/>
        <w:spacing w:before="0" w:after="0"/>
        <w:jc w:val="both"/>
        <w:rPr>
          <w:color w:val="000000" w:themeColor="text1"/>
          <w:sz w:val="16"/>
          <w:szCs w:val="16"/>
        </w:rPr>
      </w:pPr>
      <w:r w:rsidRPr="00640820">
        <w:rPr>
          <w:color w:val="000000" w:themeColor="text1"/>
          <w:sz w:val="16"/>
          <w:szCs w:val="16"/>
        </w:rPr>
        <w:t>В сентябре 1941 года Артиллерийский комитет Главного артиллерийского управления Красной армии (Артком ГАУ КА) инициировал работы по установке в танк Т-60 более мощного вооружения. На совещание по данному вопросу было вызвано руководство конструкторских бюро ГАЗ им. Молотова и завода №92 «Новое Сормово» (ныне ОАО «Нижегородский машиностроительный завод»), одного из ведущих на тот момент предприятий по выпуску танкового и артиллерийского вооружения. Эти два завода находились в одном городе, и от проходной ГАЗ до проходной завода № 92 было километров десять. В случае успеха разработки это заметно облегчило бы дальнейшую кооперацию по выпуску более мощного вооружения. Нередко в качестве причины замены ТНШ на другое вооружение приводится тот факт, что эта автоматическая пушка была капризной системой и при стрельбе часто заедала. Действительно, такие случаи имели место, но связано это в том числе и с неправильной эксплуатацией системы. А часть претензий и вовсе оказалась результатом некоторых вольностей со стороны заводов, производивших боеприпасы к пушке. По этому поводу было даже выпущено постановление Государственного комитета обороны (ГКО) №627 от 4 сентября 1941 года, запрещавшее заводам вносить изменения в конструкцию вооружения и боеприпасов без согласования с Наркоматом вооружения. Ну и самое главное: запуск программы по усилению вооружения Т-60 состоялся в сентябре 1941 года, в то время как жалобы на ТНШ пошли из войск только в октябре. А до того жалобы шли на не модернизированные авиационные пушки ШВАК (17468).</w:t>
      </w:r>
    </w:p>
    <w:p w14:paraId="1C4095A5" w14:textId="77777777" w:rsidR="00F52A2A" w:rsidRPr="00640820" w:rsidRDefault="00F52A2A" w:rsidP="00640820">
      <w:pPr>
        <w:pStyle w:val="ae"/>
        <w:spacing w:before="0" w:after="0"/>
        <w:jc w:val="both"/>
        <w:rPr>
          <w:color w:val="000000" w:themeColor="text1"/>
          <w:sz w:val="16"/>
          <w:szCs w:val="16"/>
        </w:rPr>
      </w:pPr>
    </w:p>
    <w:p w14:paraId="74B98F2A" w14:textId="77777777" w:rsidR="00F52A2A" w:rsidRPr="00640820" w:rsidRDefault="00F52A2A" w:rsidP="00640820">
      <w:pPr>
        <w:pStyle w:val="ae"/>
        <w:spacing w:before="0" w:after="0"/>
        <w:jc w:val="both"/>
        <w:rPr>
          <w:color w:val="000000" w:themeColor="text1"/>
          <w:sz w:val="16"/>
          <w:szCs w:val="16"/>
        </w:rPr>
      </w:pPr>
      <w:r w:rsidRPr="00640820">
        <w:rPr>
          <w:color w:val="000000" w:themeColor="text1"/>
          <w:sz w:val="16"/>
          <w:szCs w:val="16"/>
        </w:rPr>
        <w:t>В сентябре 1941 ситуация с производством Т-60 на ГАЗ оставалась в подвешенном состоянии по причине отсутствия корпусов. По состоянию на середину сентя</w:t>
      </w:r>
      <w:r w:rsidRPr="00640820">
        <w:rPr>
          <w:color w:val="000000" w:themeColor="text1"/>
          <w:sz w:val="16"/>
          <w:szCs w:val="16"/>
        </w:rPr>
        <w:softHyphen/>
        <w:t>бря Муромский завод НКПС заложил 4 комплекта корпусов и башен, не изготовив ни одного. Ново-Краматорский завод НКТМ заложил 32 корпуса с башней, не закончив к середине месяца ни одного ком</w:t>
      </w:r>
      <w:r w:rsidRPr="00640820">
        <w:rPr>
          <w:color w:val="000000" w:themeColor="text1"/>
          <w:sz w:val="16"/>
          <w:szCs w:val="16"/>
        </w:rPr>
        <w:softHyphen/>
        <w:t>плекта. Выксунский завод ДРО на ту же дату заложил 6 корпусов и ба</w:t>
      </w:r>
      <w:r w:rsidRPr="00640820">
        <w:rPr>
          <w:color w:val="000000" w:themeColor="text1"/>
          <w:sz w:val="16"/>
          <w:szCs w:val="16"/>
        </w:rPr>
        <w:softHyphen/>
        <w:t>шен, изготовив 2 комплекта. Первый корпус с башней пришел с Выксы на ГАЗ 17 числа, в тот же день был собран первый танк. Для производ</w:t>
      </w:r>
      <w:r w:rsidRPr="00640820">
        <w:rPr>
          <w:color w:val="000000" w:themeColor="text1"/>
          <w:sz w:val="16"/>
          <w:szCs w:val="16"/>
        </w:rPr>
        <w:softHyphen/>
        <w:t>ства Т-60 на заводе был выделен новокузовной цех, который получил обозначение «Цех № 5».</w:t>
      </w:r>
    </w:p>
    <w:p w14:paraId="0DB62F41" w14:textId="77777777" w:rsidR="00F52A2A" w:rsidRPr="00640820" w:rsidRDefault="00F52A2A" w:rsidP="00640820">
      <w:pPr>
        <w:pStyle w:val="162"/>
        <w:shd w:val="clear" w:color="auto" w:fill="auto"/>
        <w:spacing w:line="240" w:lineRule="auto"/>
        <w:jc w:val="both"/>
        <w:rPr>
          <w:color w:val="000000" w:themeColor="text1"/>
          <w:sz w:val="16"/>
          <w:szCs w:val="16"/>
        </w:rPr>
      </w:pPr>
      <w:r w:rsidRPr="00640820">
        <w:rPr>
          <w:color w:val="000000" w:themeColor="text1"/>
          <w:sz w:val="16"/>
          <w:szCs w:val="16"/>
        </w:rPr>
        <w:t>Помимо проблем с корпусами, ГАЗ столкнулся с тем, что заводы- смежники затянули, а в некоторых случаях вообще не приступили к производству агрегатов. Для примера, завод «Двигатель Революции», который должен был выпускать бортовые передачи для Т-60, по состо</w:t>
      </w:r>
      <w:r w:rsidRPr="00640820">
        <w:rPr>
          <w:color w:val="000000" w:themeColor="text1"/>
          <w:sz w:val="16"/>
          <w:szCs w:val="16"/>
        </w:rPr>
        <w:softHyphen/>
        <w:t>янию на 18 сентября не сдал ни одного комплекта. В результате ряд агрегатов ГАЗ пришлось изготовлять по обходной технологии, что по</w:t>
      </w:r>
      <w:r w:rsidRPr="00640820">
        <w:rPr>
          <w:color w:val="000000" w:themeColor="text1"/>
          <w:sz w:val="16"/>
          <w:szCs w:val="16"/>
        </w:rPr>
        <w:softHyphen/>
        <w:t>зволило к той же дате получить 10 комплектов деталей. Одновременно от ГАЗ во все больших количествах требовали двигатель ГАЗ-11 модель 202 (также в переписке танковую версию мотора ГАЗ-11 обозначают ГАЗ-202), при этом производство ГАЗ-61 с завода никто не снимал.</w:t>
      </w:r>
    </w:p>
    <w:p w14:paraId="213F80CB" w14:textId="77777777" w:rsidR="00F52A2A" w:rsidRPr="00640820" w:rsidRDefault="00F52A2A" w:rsidP="00640820">
      <w:pPr>
        <w:pStyle w:val="ae"/>
        <w:spacing w:before="0" w:after="0"/>
        <w:jc w:val="both"/>
        <w:rPr>
          <w:color w:val="000000" w:themeColor="text1"/>
          <w:sz w:val="16"/>
          <w:szCs w:val="16"/>
        </w:rPr>
      </w:pPr>
      <w:r w:rsidRPr="00640820">
        <w:rPr>
          <w:color w:val="000000" w:themeColor="text1"/>
          <w:sz w:val="16"/>
          <w:szCs w:val="16"/>
        </w:rPr>
        <w:t>Как и в случае с ХТЗ, для ускорения внедрения Т-60 на ГАЗ потре</w:t>
      </w:r>
      <w:r w:rsidRPr="00640820">
        <w:rPr>
          <w:color w:val="000000" w:themeColor="text1"/>
          <w:sz w:val="16"/>
          <w:szCs w:val="16"/>
        </w:rPr>
        <w:softHyphen/>
        <w:t>бовалось вмешательство сверху (17485).</w:t>
      </w:r>
    </w:p>
    <w:p w14:paraId="1C3CBDB8" w14:textId="77777777" w:rsidR="00F52A2A" w:rsidRPr="00640820" w:rsidRDefault="00F52A2A" w:rsidP="00640820">
      <w:pPr>
        <w:pStyle w:val="ae"/>
        <w:spacing w:before="0" w:after="0"/>
        <w:jc w:val="both"/>
        <w:rPr>
          <w:color w:val="000000" w:themeColor="text1"/>
          <w:sz w:val="16"/>
          <w:szCs w:val="16"/>
        </w:rPr>
      </w:pPr>
    </w:p>
    <w:p w14:paraId="61470ABE" w14:textId="77777777" w:rsidR="00F52A2A" w:rsidRPr="00640820" w:rsidRDefault="00F52A2A" w:rsidP="00640820">
      <w:pPr>
        <w:pStyle w:val="162"/>
        <w:shd w:val="clear" w:color="auto" w:fill="auto"/>
        <w:spacing w:line="240" w:lineRule="auto"/>
        <w:jc w:val="both"/>
        <w:rPr>
          <w:color w:val="000000" w:themeColor="text1"/>
          <w:sz w:val="16"/>
          <w:szCs w:val="16"/>
        </w:rPr>
      </w:pPr>
      <w:r w:rsidRPr="00640820">
        <w:rPr>
          <w:rFonts w:eastAsia="Calibri"/>
          <w:color w:val="000000" w:themeColor="text1"/>
          <w:sz w:val="16"/>
          <w:szCs w:val="16"/>
        </w:rPr>
        <w:t>В сентябре 1941 Артиллерийский комитет Главного артилле</w:t>
      </w:r>
      <w:r w:rsidRPr="00640820">
        <w:rPr>
          <w:rFonts w:eastAsia="Calibri"/>
          <w:color w:val="000000" w:themeColor="text1"/>
          <w:sz w:val="16"/>
          <w:szCs w:val="16"/>
        </w:rPr>
        <w:softHyphen/>
        <w:t>рийского управления Красной Армии (Артком ГАУ КА) инициировал работы по установке в Т-60 более мощного вооружения. На совещание по данному вопросу вызвали руководство конструкторских бюро ГАЗ и завода № 92 «Новое Сормово» (г. Горький, ныне ОАО «Нижегород</w:t>
      </w:r>
      <w:r w:rsidRPr="00640820">
        <w:rPr>
          <w:rFonts w:eastAsia="Calibri"/>
          <w:color w:val="000000" w:themeColor="text1"/>
          <w:sz w:val="16"/>
          <w:szCs w:val="16"/>
        </w:rPr>
        <w:softHyphen/>
        <w:t>ский машиностроительный завод»), одного из ведущих на тот момент предприятий по выпуску танкового и артиллерийского вооружения. Стоит отметить, что часто данную работу связывают с выявившимися недостатками ТНШ, но на деле это не так. Действительно в ходе экс</w:t>
      </w:r>
      <w:r w:rsidRPr="00640820">
        <w:rPr>
          <w:rFonts w:eastAsia="Calibri"/>
          <w:color w:val="000000" w:themeColor="text1"/>
          <w:sz w:val="16"/>
          <w:szCs w:val="16"/>
        </w:rPr>
        <w:softHyphen/>
        <w:t>плуатации к пушке стала предъявляться масса претензий, связанных с надежностью работы и качеством изготовления, но в войска первые Т-60 попали в октябре, то есть уже после принятия решения о запуске опытных работ. К слову, часть претензий проистекала из недостаточ</w:t>
      </w:r>
      <w:r w:rsidRPr="00640820">
        <w:rPr>
          <w:rFonts w:eastAsia="Calibri"/>
          <w:color w:val="000000" w:themeColor="text1"/>
          <w:sz w:val="16"/>
          <w:szCs w:val="16"/>
        </w:rPr>
        <w:softHyphen/>
        <w:t>ного уровня изучения матчасти и неправильной эксплуатации пуш</w:t>
      </w:r>
      <w:r w:rsidRPr="00640820">
        <w:rPr>
          <w:rFonts w:eastAsia="Calibri"/>
          <w:color w:val="000000" w:themeColor="text1"/>
          <w:sz w:val="16"/>
          <w:szCs w:val="16"/>
        </w:rPr>
        <w:softHyphen/>
        <w:t>ки, а также некоторых вольностей заводов, выпускавших боеприпасы к пушке.</w:t>
      </w:r>
    </w:p>
    <w:p w14:paraId="7D73FF20" w14:textId="77777777" w:rsidR="00F52A2A" w:rsidRPr="00640820" w:rsidRDefault="00F52A2A" w:rsidP="00640820">
      <w:pPr>
        <w:pStyle w:val="162"/>
        <w:shd w:val="clear" w:color="auto" w:fill="auto"/>
        <w:spacing w:line="240" w:lineRule="auto"/>
        <w:jc w:val="both"/>
        <w:rPr>
          <w:color w:val="000000" w:themeColor="text1"/>
          <w:sz w:val="16"/>
          <w:szCs w:val="16"/>
        </w:rPr>
      </w:pPr>
      <w:r w:rsidRPr="00640820">
        <w:rPr>
          <w:rFonts w:eastAsia="Calibri"/>
          <w:color w:val="000000" w:themeColor="text1"/>
          <w:sz w:val="16"/>
          <w:szCs w:val="16"/>
        </w:rPr>
        <w:t>После изучения образцов трофейной бронетехники было принято ре</w:t>
      </w:r>
      <w:r w:rsidRPr="00640820">
        <w:rPr>
          <w:rFonts w:eastAsia="Calibri"/>
          <w:color w:val="000000" w:themeColor="text1"/>
          <w:sz w:val="16"/>
          <w:szCs w:val="16"/>
        </w:rPr>
        <w:softHyphen/>
        <w:t>шение о перевооружении Т-60 на 45-мм танковую пушку обр. 1938 года, при этом согласно проекту сохранялась штатная башня. По первоначаль</w:t>
      </w:r>
      <w:r w:rsidRPr="00640820">
        <w:rPr>
          <w:rFonts w:eastAsia="Calibri"/>
          <w:color w:val="000000" w:themeColor="text1"/>
          <w:sz w:val="16"/>
          <w:szCs w:val="16"/>
        </w:rPr>
        <w:softHyphen/>
        <w:t xml:space="preserve">ному плану, работы по усилению вооружения выполнялись совместно конструкторскими бюро ГАЗ и завода № </w:t>
      </w:r>
      <w:r w:rsidRPr="00640820">
        <w:rPr>
          <w:rFonts w:eastAsia="Calibri"/>
          <w:color w:val="000000" w:themeColor="text1"/>
          <w:sz w:val="16"/>
          <w:szCs w:val="16"/>
        </w:rPr>
        <w:lastRenderedPageBreak/>
        <w:t>92, однако в ходе проектиро</w:t>
      </w:r>
      <w:r w:rsidRPr="00640820">
        <w:rPr>
          <w:rFonts w:eastAsia="Calibri"/>
          <w:color w:val="000000" w:themeColor="text1"/>
          <w:sz w:val="16"/>
          <w:szCs w:val="16"/>
        </w:rPr>
        <w:softHyphen/>
        <w:t>вания возникли разногласия. В результате было принято решение о том, что заводы будут разрабатывать два варианта перевооруженной башни, изготовление макетных образцов намечалось на декабрь.</w:t>
      </w:r>
    </w:p>
    <w:p w14:paraId="660F623D" w14:textId="77777777" w:rsidR="00F52A2A" w:rsidRPr="00640820" w:rsidRDefault="00F52A2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92 решил не изобретать велосипед и максимально исполь</w:t>
      </w:r>
      <w:r w:rsidRPr="00640820">
        <w:rPr>
          <w:rFonts w:ascii="Times New Roman" w:hAnsi="Times New Roman"/>
          <w:color w:val="000000" w:themeColor="text1"/>
          <w:sz w:val="16"/>
          <w:szCs w:val="16"/>
        </w:rPr>
        <w:softHyphen/>
        <w:t>зовал первоначальную схему размещения вооружения в башне Т-60.</w:t>
      </w:r>
    </w:p>
    <w:p w14:paraId="7738A27C" w14:textId="77777777" w:rsidR="00F52A2A" w:rsidRPr="00640820" w:rsidRDefault="00F52A2A" w:rsidP="00640820">
      <w:pPr>
        <w:pStyle w:val="162"/>
        <w:shd w:val="clear" w:color="auto" w:fill="auto"/>
        <w:spacing w:line="240" w:lineRule="auto"/>
        <w:jc w:val="both"/>
        <w:rPr>
          <w:rFonts w:eastAsia="Calibri"/>
          <w:color w:val="000000" w:themeColor="text1"/>
          <w:sz w:val="16"/>
          <w:szCs w:val="16"/>
        </w:rPr>
      </w:pPr>
      <w:r w:rsidRPr="00640820">
        <w:rPr>
          <w:rFonts w:eastAsia="Calibri"/>
          <w:color w:val="000000" w:themeColor="text1"/>
          <w:sz w:val="16"/>
          <w:szCs w:val="16"/>
        </w:rPr>
        <w:t>Как и на исходном танке, прицел располагался в центре маски, сле</w:t>
      </w:r>
      <w:r w:rsidRPr="00640820">
        <w:rPr>
          <w:rFonts w:eastAsia="Calibri"/>
          <w:color w:val="000000" w:themeColor="text1"/>
          <w:sz w:val="16"/>
          <w:szCs w:val="16"/>
        </w:rPr>
        <w:softHyphen/>
        <w:t>ва устанавливался пулемет ДТ, а справа 45-мм пушка обр. 1938 года. Сиденье командира башни располагалось со смешением к корме баш</w:t>
      </w:r>
      <w:r w:rsidRPr="00640820">
        <w:rPr>
          <w:rFonts w:eastAsia="Calibri"/>
          <w:color w:val="000000" w:themeColor="text1"/>
          <w:sz w:val="16"/>
          <w:szCs w:val="16"/>
        </w:rPr>
        <w:softHyphen/>
        <w:t>ни, между пушкой и пулеметом, также повторяя конструкцию Т-60. Ведение огня было выполнено раздельно: кнопку для выстрела пуш</w:t>
      </w:r>
      <w:r w:rsidRPr="00640820">
        <w:rPr>
          <w:rFonts w:eastAsia="Calibri"/>
          <w:color w:val="000000" w:themeColor="text1"/>
          <w:sz w:val="16"/>
          <w:szCs w:val="16"/>
        </w:rPr>
        <w:softHyphen/>
        <w:t>ки предполагалось расположить на рукоятке поворотного механизма башни, а кнопку стрельбы пулемета — на рукоятке подъемного меха</w:t>
      </w:r>
      <w:r w:rsidRPr="00640820">
        <w:rPr>
          <w:rFonts w:eastAsia="Calibri"/>
          <w:color w:val="000000" w:themeColor="text1"/>
          <w:sz w:val="16"/>
          <w:szCs w:val="16"/>
        </w:rPr>
        <w:softHyphen/>
        <w:t>низма. К моменту представления проекта завод № 92 имел чертежи для установки 45-мм пушки, после получения танка планировалось при</w:t>
      </w:r>
      <w:r w:rsidRPr="00640820">
        <w:rPr>
          <w:rFonts w:eastAsia="Calibri"/>
          <w:color w:val="000000" w:themeColor="text1"/>
          <w:sz w:val="16"/>
          <w:szCs w:val="16"/>
        </w:rPr>
        <w:softHyphen/>
        <w:t>ступить к изготовлению опытного образца в металле.</w:t>
      </w:r>
    </w:p>
    <w:p w14:paraId="52BE7791" w14:textId="77777777" w:rsidR="00F52A2A" w:rsidRPr="00640820" w:rsidRDefault="00F52A2A" w:rsidP="00640820">
      <w:pPr>
        <w:pStyle w:val="162"/>
        <w:shd w:val="clear" w:color="auto" w:fill="auto"/>
        <w:spacing w:line="240" w:lineRule="auto"/>
        <w:jc w:val="both"/>
        <w:rPr>
          <w:rStyle w:val="aff5"/>
          <w:rFonts w:ascii="Times New Roman" w:hAnsi="Times New Roman" w:cs="Times New Roman"/>
          <w:i w:val="0"/>
          <w:color w:val="000000" w:themeColor="text1"/>
        </w:rPr>
      </w:pPr>
      <w:r w:rsidRPr="00640820">
        <w:rPr>
          <w:rFonts w:eastAsia="Calibri"/>
          <w:color w:val="000000" w:themeColor="text1"/>
          <w:sz w:val="16"/>
          <w:szCs w:val="16"/>
        </w:rPr>
        <w:t>В отличие от конкурентов, КБ ГАЗ во главе с Астровым подошло к вопросу перевооружения более радикально. Схему расположения вооружения изменили: прицел сместился влево, а на его место уста</w:t>
      </w:r>
      <w:r w:rsidRPr="00640820">
        <w:rPr>
          <w:rFonts w:eastAsia="Calibri"/>
          <w:color w:val="000000" w:themeColor="text1"/>
          <w:sz w:val="16"/>
          <w:szCs w:val="16"/>
        </w:rPr>
        <w:softHyphen/>
        <w:t>новили пулемет ДТ, также влево оказалось смещено место команди</w:t>
      </w:r>
      <w:r w:rsidRPr="00640820">
        <w:rPr>
          <w:rFonts w:eastAsia="Calibri"/>
          <w:color w:val="000000" w:themeColor="text1"/>
          <w:sz w:val="16"/>
          <w:szCs w:val="16"/>
        </w:rPr>
        <w:softHyphen/>
        <w:t>ра башни. Ввиду изменения расположения вооружения и сиденья ко</w:t>
      </w:r>
      <w:r w:rsidRPr="00640820">
        <w:rPr>
          <w:rFonts w:eastAsia="Calibri"/>
          <w:color w:val="000000" w:themeColor="text1"/>
          <w:sz w:val="16"/>
          <w:szCs w:val="16"/>
        </w:rPr>
        <w:softHyphen/>
        <w:t>мандира башни пришлось сместить механизмы поворота и подъема башни, а также по-иному разместить боеукладки. Несмотря на то что проект ГАЗ предполагал больше переделок, он выглядел более предпо</w:t>
      </w:r>
      <w:r w:rsidRPr="00640820">
        <w:rPr>
          <w:rFonts w:eastAsia="Calibri"/>
          <w:color w:val="000000" w:themeColor="text1"/>
          <w:sz w:val="16"/>
          <w:szCs w:val="16"/>
        </w:rPr>
        <w:softHyphen/>
        <w:t>чтительным, поскольку командир башни получал больше свободного пространства. В отличие от завода № 92, документации ГАЗ не представил, зато опытную установку не только изготовили, но и испытали стрельбой. Несмотря на то что экспериментальная установка была не</w:t>
      </w:r>
      <w:r w:rsidRPr="00640820">
        <w:rPr>
          <w:rFonts w:eastAsia="Calibri"/>
          <w:color w:val="000000" w:themeColor="text1"/>
          <w:sz w:val="16"/>
          <w:szCs w:val="16"/>
        </w:rPr>
        <w:softHyphen/>
        <w:t>доработанной, само ее наличие было в пользу ГАЗ (17485).</w:t>
      </w:r>
    </w:p>
    <w:p w14:paraId="6FFDCDB7" w14:textId="77777777" w:rsidR="00F52A2A" w:rsidRPr="00640820" w:rsidRDefault="00F52A2A" w:rsidP="00640820">
      <w:pPr>
        <w:spacing w:after="0" w:line="240" w:lineRule="auto"/>
        <w:jc w:val="both"/>
        <w:rPr>
          <w:rStyle w:val="aff5"/>
          <w:rFonts w:ascii="Times New Roman" w:hAnsi="Times New Roman" w:cs="Times New Roman"/>
          <w:i w:val="0"/>
          <w:color w:val="000000" w:themeColor="text1"/>
        </w:rPr>
      </w:pPr>
    </w:p>
    <w:p w14:paraId="76C9CF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в соответствии с “Отчётом об истории производства танковой брони на заводе имени Ильича в 1931 – 1946 гг”, написаном после войны, когда по инициативе наркома танковой промышленности В. М. Малышева, началась эвакуация Мариупольского завода:</w:t>
      </w:r>
    </w:p>
    <w:p w14:paraId="373302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“Поступившим в сентябре месяце 41 телеграфным распоряжением Наркомата и приказом директора об эвакуации завода, всё основное оборудование было остановлено на демонтаж”. “Как только был издан приказ Директора об эвакуации завода, было решено в первую очередь производить вывоз оборудования, занятого изготовлением танковой и судовой брони и во вторую очередь – оборудования второстепенного значения”. Мариупольскому заводу имени Ильича приказом № 4 сс было предписано разделить оборудование на две равные части, одна из которых должна была продолжать работать до тех пор, пока другая не начнёт работу на новом месте. Вместо этого директор завода Гармашов приказал остановить производство и вывозить в первую очередь самое ценное оборудование, в том числе то, что работало на нужды танкостроения. Тем самым он нарушил постановление ГКО и приказ наркома. Безусловно, это решение было оправдано, так как обстановка на фронте была такой, что никто не мог поручиться, сколько времени Мариуполь будет оставаться советским. Решение Гармашова было более рациональным. Оно позволило вывезти больше уникального оборудование, которое впоследствии очень пригодилось. То, что он провёл его в жизнь вопреки приказам вышестоящего руководства, можно считать оправданным.</w:t>
      </w:r>
    </w:p>
    <w:p w14:paraId="3AEBA4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связи с этой ситуацией возникает несколько вопросов. Во-первых, по чьей инициативе произошло нарушение постановления ГКО. Была ли это личная инициатива Гармашова, или может быть решение было принято на более высоком уровне – самим В. А. Малышевым. Во вторых, неясно, было ли произошедшее на Мариупольском заводе случайным явлением, или на других заводах приказы наркомата об эвакуации выполняли так же “творчески”.0 Сведения об этом до нас не дошли. Ведь в официальных документах такие вещи не должны были оставить следов, а в секретную историю Мариупольский завода имени Ильича информация об этом попала достаточно случайно. В большинстве других случаев работу над этими документами брал под свой контроль директор или главный инженер. Однако Мариупольский завод имени Ильича в ходе эвакуации был расформирован, и затем создан вновь только в 1944 году. Руководство завода формировалось в основном из новых людей, которые о происходившем на заводе осенью 41 года знали мало. Возможно, никто из них и не знал, что некоторые факты истории завода являются более опасными, чем кажутся. Во всяком случае, можно утверждать, что если бы подобное происходило на заводе № 183, то в “Истории танкостроения на заводе № 183”, конечно, эти факты никогда не были бы упомянуты. Ведь написание этой работы контролировал тот же человек, что и проведение эвакуации завода – Ю. Е. Максарёв (11510).</w:t>
      </w:r>
    </w:p>
    <w:p w14:paraId="7D0458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ABAC6C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на ЛКЗ было вы</w:t>
      </w:r>
      <w:r w:rsidRPr="00640820">
        <w:rPr>
          <w:rFonts w:ascii="Times New Roman" w:hAnsi="Times New Roman"/>
          <w:color w:val="000000" w:themeColor="text1"/>
          <w:sz w:val="16"/>
          <w:szCs w:val="16"/>
        </w:rPr>
        <w:softHyphen/>
        <w:t>пущено 37 танков с карбюраторными двигателями (10703).</w:t>
      </w:r>
    </w:p>
    <w:p w14:paraId="5A67877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C3F62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Челябинский тракторный завод с учетом влившихся в него кадров и оборудования Ленин</w:t>
      </w:r>
      <w:r w:rsidRPr="00640820">
        <w:rPr>
          <w:rFonts w:ascii="Times New Roman" w:hAnsi="Times New Roman"/>
          <w:color w:val="000000" w:themeColor="text1"/>
          <w:sz w:val="16"/>
          <w:szCs w:val="16"/>
        </w:rPr>
        <w:softHyphen/>
        <w:t>градского Кировского завода был готов начать массовое производство танка КВ, но для этого не хватало 76,2-мм пушек Ф-32, так как артиллерийское производство ЛКЗ находилось на пути в эвакуацию в Свердловск. В то же время мощности завода № 92 позволяли уве</w:t>
      </w:r>
      <w:r w:rsidRPr="00640820">
        <w:rPr>
          <w:rFonts w:ascii="Times New Roman" w:hAnsi="Times New Roman"/>
          <w:color w:val="000000" w:themeColor="text1"/>
          <w:sz w:val="16"/>
          <w:szCs w:val="16"/>
        </w:rPr>
        <w:softHyphen/>
        <w:t>личить выпуск 76,2-мм орудия Ф-34, ставившегося в танк Т-34 (10782).</w:t>
      </w:r>
    </w:p>
    <w:p w14:paraId="08C6486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D446EC" w14:textId="77777777" w:rsidR="00F26E86" w:rsidRPr="00640820" w:rsidRDefault="00F26E86" w:rsidP="00640820">
      <w:pPr>
        <w:pStyle w:val="ae"/>
        <w:shd w:val="clear" w:color="auto" w:fill="FFFFFF"/>
        <w:spacing w:before="0" w:after="0"/>
        <w:jc w:val="both"/>
        <w:rPr>
          <w:color w:val="000000" w:themeColor="text1"/>
          <w:sz w:val="16"/>
          <w:szCs w:val="16"/>
        </w:rPr>
      </w:pPr>
      <w:r w:rsidRPr="00640820">
        <w:rPr>
          <w:color w:val="000000" w:themeColor="text1"/>
          <w:sz w:val="16"/>
          <w:szCs w:val="16"/>
        </w:rPr>
        <w:t>В сентябре 1941 года башню Т-220 демонтировали и вместо неё установили серийную башню от КВ-1. Оставшейся без танка башне нашли достойное применение. Её установили на бетонное основание в полосе обороны 22-го Карельского укреплённого района. Бронированную огневую точку назвали Арт. БОТ (КВ) с пушкой 85 мм «Победа». В таком виде башня прожила всю войну (15224).</w:t>
      </w:r>
    </w:p>
    <w:p w14:paraId="1FB1ABB8" w14:textId="77777777" w:rsidR="00F26E86" w:rsidRPr="00640820" w:rsidRDefault="00F26E86" w:rsidP="00640820">
      <w:pPr>
        <w:pStyle w:val="ae"/>
        <w:shd w:val="clear" w:color="auto" w:fill="FFFFFF"/>
        <w:spacing w:before="0" w:after="0"/>
        <w:jc w:val="both"/>
        <w:rPr>
          <w:color w:val="000000" w:themeColor="text1"/>
          <w:sz w:val="16"/>
          <w:szCs w:val="16"/>
        </w:rPr>
      </w:pPr>
    </w:p>
    <w:p w14:paraId="7E157F7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был выполнен Технический проект танка ЭКВ и завод "Динамо" приступил к изготовлению агрегатов электротрансмис</w:t>
      </w:r>
      <w:r w:rsidRPr="00640820">
        <w:rPr>
          <w:rFonts w:ascii="Times New Roman" w:hAnsi="Times New Roman"/>
          <w:color w:val="000000" w:themeColor="text1"/>
          <w:sz w:val="16"/>
          <w:szCs w:val="16"/>
        </w:rPr>
        <w:softHyphen/>
        <w:t>сии. Передислокация академии и эвакуация заводов задержали работу по созданию агрегатов трансмиссии танка и к январю 1943 г. было вы</w:t>
      </w:r>
      <w:r w:rsidRPr="00640820">
        <w:rPr>
          <w:rFonts w:ascii="Times New Roman" w:hAnsi="Times New Roman"/>
          <w:color w:val="000000" w:themeColor="text1"/>
          <w:sz w:val="16"/>
          <w:szCs w:val="16"/>
        </w:rPr>
        <w:softHyphen/>
        <w:t>полнено только 60% от общего объема работ. В феврале 1943 г. заверше</w:t>
      </w:r>
      <w:r w:rsidRPr="00640820">
        <w:rPr>
          <w:rFonts w:ascii="Times New Roman" w:hAnsi="Times New Roman"/>
          <w:color w:val="000000" w:themeColor="text1"/>
          <w:sz w:val="16"/>
          <w:szCs w:val="16"/>
        </w:rPr>
        <w:softHyphen/>
        <w:t>ние работ было перенесено в Москву на завод № 627. Испытания опыт</w:t>
      </w:r>
      <w:r w:rsidRPr="00640820">
        <w:rPr>
          <w:rFonts w:ascii="Times New Roman" w:hAnsi="Times New Roman"/>
          <w:color w:val="000000" w:themeColor="text1"/>
          <w:sz w:val="16"/>
          <w:szCs w:val="16"/>
        </w:rPr>
        <w:softHyphen/>
        <w:t>ного образца машины были проведены в период с ноября по декабрь 1944 г. на НИБТ полигоне. Из-за конструкционных недостатков танк ЭКВ на вооружение РККА принят не был, а полученный при разработ</w:t>
      </w:r>
      <w:r w:rsidRPr="00640820">
        <w:rPr>
          <w:rFonts w:ascii="Times New Roman" w:hAnsi="Times New Roman"/>
          <w:color w:val="000000" w:themeColor="text1"/>
          <w:sz w:val="16"/>
          <w:szCs w:val="16"/>
        </w:rPr>
        <w:softHyphen/>
        <w:t>ке танка опыт в последующем был использован при проектировании электромеханических трансмиссий для тяжелых танков ИС-6 и ИС-7. Танк ЭКВ был изготовлен на базе серийного танка КВ-1 обр. 1941 г. и отличался от него установкой электромеханической трансмиссии вме</w:t>
      </w:r>
      <w:r w:rsidRPr="00640820">
        <w:rPr>
          <w:rFonts w:ascii="Times New Roman" w:hAnsi="Times New Roman"/>
          <w:color w:val="000000" w:themeColor="text1"/>
          <w:sz w:val="16"/>
          <w:szCs w:val="16"/>
        </w:rPr>
        <w:softHyphen/>
        <w:t>сто механической, а также башни с вооружением, аналогичной конструк</w:t>
      </w:r>
      <w:r w:rsidRPr="00640820">
        <w:rPr>
          <w:rFonts w:ascii="Times New Roman" w:hAnsi="Times New Roman"/>
          <w:color w:val="000000" w:themeColor="text1"/>
          <w:sz w:val="16"/>
          <w:szCs w:val="16"/>
        </w:rPr>
        <w:softHyphen/>
        <w:t>ции, устанавливаемой на танке КВ-1 С. Машина имела классическую схему общей компоновки. В отделении управления находились сиденья механика-водителя и стрелка-радиста, приводы управления движением танка, контрольные приборы, аккумуляторные батареи, воздушные бал</w:t>
      </w:r>
      <w:r w:rsidRPr="00640820">
        <w:rPr>
          <w:rFonts w:ascii="Times New Roman" w:hAnsi="Times New Roman"/>
          <w:color w:val="000000" w:themeColor="text1"/>
          <w:sz w:val="16"/>
          <w:szCs w:val="16"/>
        </w:rPr>
        <w:softHyphen/>
        <w:t>лоны, пулемет ДТ, радиостанция, часть боеукладки и ЗИПа. В середине лобового броневого листа корпуса располагался смотровой люк механи</w:t>
      </w:r>
      <w:r w:rsidRPr="00640820">
        <w:rPr>
          <w:rFonts w:ascii="Times New Roman" w:hAnsi="Times New Roman"/>
          <w:color w:val="000000" w:themeColor="text1"/>
          <w:sz w:val="16"/>
          <w:szCs w:val="16"/>
        </w:rPr>
        <w:softHyphen/>
        <w:t>ка-водителя, закрывавшийся броневой крышкой (пробкой) со смотро</w:t>
      </w:r>
      <w:r w:rsidRPr="00640820">
        <w:rPr>
          <w:rFonts w:ascii="Times New Roman" w:hAnsi="Times New Roman"/>
          <w:color w:val="000000" w:themeColor="text1"/>
          <w:sz w:val="16"/>
          <w:szCs w:val="16"/>
        </w:rPr>
        <w:softHyphen/>
        <w:t>вой щелью с триплексом. Справа от механика-водителя в крыше корпу</w:t>
      </w:r>
      <w:r w:rsidRPr="00640820">
        <w:rPr>
          <w:rFonts w:ascii="Times New Roman" w:hAnsi="Times New Roman"/>
          <w:color w:val="000000" w:themeColor="text1"/>
          <w:sz w:val="16"/>
          <w:szCs w:val="16"/>
        </w:rPr>
        <w:softHyphen/>
        <w:t>са устанавливался зеркальный смотровой прибор. Перед стрелком-ради</w:t>
      </w:r>
      <w:r w:rsidRPr="00640820">
        <w:rPr>
          <w:rFonts w:ascii="Times New Roman" w:hAnsi="Times New Roman"/>
          <w:color w:val="000000" w:themeColor="text1"/>
          <w:sz w:val="16"/>
          <w:szCs w:val="16"/>
        </w:rPr>
        <w:softHyphen/>
        <w:t>стом в лобовом листе располагалась шаровая опора под установку лобового пулемета. Для входа и выхода членов экипажа, располагавшихся в отделении управления, в крыше корпуса машины над рабочим местом стрелка-радиста был сделан люк, закрывавшийся откидной броневой крышкой на внутренней петле. За сиденьем механика-водителя в днище корпуса имелся запасный люк для выхода экипажа (10703).</w:t>
      </w:r>
    </w:p>
    <w:p w14:paraId="19C7FF5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9B002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года изготовленные три огнеметных КВ-1 были отправлены на Ленинградский фронт. В связи с прекращением в октяб</w:t>
      </w:r>
      <w:r w:rsidRPr="00640820">
        <w:rPr>
          <w:rFonts w:ascii="Times New Roman" w:hAnsi="Times New Roman"/>
          <w:color w:val="000000" w:themeColor="text1"/>
          <w:sz w:val="16"/>
          <w:szCs w:val="16"/>
        </w:rPr>
        <w:softHyphen/>
        <w:t>ре 1941 г. серийного производства танков КВ-1 на ЛКЗ, производство огнеметных танков КВ-1 организовано не было (10703).</w:t>
      </w:r>
    </w:p>
    <w:p w14:paraId="5D627CD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F0AAC2" w14:textId="77777777" w:rsidR="00941540" w:rsidRPr="00640820" w:rsidRDefault="00941540" w:rsidP="00640820">
      <w:pPr>
        <w:shd w:val="clear" w:color="auto" w:fill="FFFFFF"/>
        <w:spacing w:after="0" w:line="240" w:lineRule="auto"/>
        <w:jc w:val="both"/>
        <w:rPr>
          <w:rFonts w:ascii="Times New Roman" w:eastAsia="Times New Roman" w:hAnsi="Times New Roman"/>
          <w:color w:val="0070C0"/>
          <w:sz w:val="16"/>
          <w:szCs w:val="16"/>
          <w:lang w:eastAsia="ru-RU"/>
        </w:rPr>
      </w:pPr>
      <w:r w:rsidRPr="00640820">
        <w:rPr>
          <w:rFonts w:ascii="Times New Roman" w:eastAsia="Times New Roman" w:hAnsi="Times New Roman"/>
          <w:color w:val="0070C0"/>
          <w:sz w:val="16"/>
          <w:szCs w:val="16"/>
          <w:lang w:eastAsia="ru-RU"/>
        </w:rPr>
        <w:t>Сентябрем 1941 года датирована последняя активность по ЗИС-6. В КБ завода №92 была разработана версия орудия, которая также проходит как ЗИС-6А. Это та самая система, которую некоторые исследователи приписывают к штурмовому танку КВ-7. На самом деле никакого отношения ЗИС-6А к данной машине не имеет. Это была попытка создать систему по типу той, что прорабатывалась для КВ-4, то есть с дополнительной 45-мм пушкой. Впрочем, дальше бумажной переписки, которая быстро прекратилась, дело не продвинулось. Увы, но из всей программы КВ нового поколения справился только коллектив завода №92. Довести орудие до кондиции вполне было по силам, вот только при отсутствии базы, куда ставить систему, все эти работы оказались лишены смысла.</w:t>
      </w:r>
    </w:p>
    <w:p w14:paraId="05D3A3E8" w14:textId="77777777" w:rsidR="00941540" w:rsidRPr="00640820" w:rsidRDefault="00941540" w:rsidP="00640820">
      <w:pPr>
        <w:shd w:val="clear" w:color="auto" w:fill="FFFFFF"/>
        <w:spacing w:after="0" w:line="240" w:lineRule="auto"/>
        <w:jc w:val="both"/>
        <w:rPr>
          <w:rFonts w:ascii="Times New Roman" w:hAnsi="Times New Roman"/>
          <w:color w:val="0070C0"/>
          <w:sz w:val="16"/>
          <w:szCs w:val="16"/>
        </w:rPr>
      </w:pPr>
      <w:r w:rsidRPr="00640820">
        <w:rPr>
          <w:rFonts w:ascii="Times New Roman" w:eastAsia="Times New Roman" w:hAnsi="Times New Roman"/>
          <w:color w:val="0070C0"/>
          <w:sz w:val="16"/>
          <w:szCs w:val="16"/>
          <w:lang w:eastAsia="ru-RU"/>
        </w:rPr>
        <w:t xml:space="preserve">В дальнейшем же ЗИС-6 попросту не повезло. Во-первых, производство М-60 прекратилось, во-вторых, приоритетом стали совсем другие калибры. Сначала 85 мм (баллистика зенитки 52-К), а затем 122 мм (баллистика корпусного орудия А-19). А третьим калибром оказался 100 мм, то есть всё равно пришли к морским пушкам (изначально имевшим унитарное заряжание), срочно запустив работы по созданию для них бронебойного снаряда Последняя активность по ЗИС-6 датирована </w:t>
      </w:r>
      <w:r w:rsidRPr="00640820">
        <w:rPr>
          <w:rFonts w:ascii="Times New Roman" w:hAnsi="Times New Roman"/>
          <w:color w:val="0070C0"/>
          <w:sz w:val="16"/>
          <w:szCs w:val="16"/>
        </w:rPr>
        <w:t>(20349)</w:t>
      </w:r>
    </w:p>
    <w:p w14:paraId="23439D13" w14:textId="77777777" w:rsidR="00941540" w:rsidRPr="00640820" w:rsidRDefault="00941540" w:rsidP="00640820">
      <w:pPr>
        <w:shd w:val="clear" w:color="auto" w:fill="FFFFFF"/>
        <w:spacing w:after="0" w:line="240" w:lineRule="auto"/>
        <w:jc w:val="both"/>
        <w:rPr>
          <w:rFonts w:ascii="Times New Roman" w:hAnsi="Times New Roman"/>
          <w:color w:val="0070C0"/>
          <w:sz w:val="16"/>
          <w:szCs w:val="16"/>
        </w:rPr>
      </w:pPr>
    </w:p>
    <w:p w14:paraId="73EDB8AB" w14:textId="77777777" w:rsidR="00941540" w:rsidRPr="00640820" w:rsidRDefault="00941540" w:rsidP="00640820">
      <w:pPr>
        <w:shd w:val="clear" w:color="auto" w:fill="FFFFFF"/>
        <w:spacing w:after="0" w:line="240" w:lineRule="auto"/>
        <w:jc w:val="both"/>
        <w:rPr>
          <w:rFonts w:ascii="Times New Roman" w:eastAsia="Times New Roman" w:hAnsi="Times New Roman"/>
          <w:color w:val="0070C0"/>
          <w:sz w:val="16"/>
          <w:szCs w:val="16"/>
          <w:lang w:eastAsia="ru-RU"/>
        </w:rPr>
      </w:pPr>
      <w:r w:rsidRPr="00640820">
        <w:rPr>
          <w:rFonts w:ascii="Times New Roman" w:eastAsia="Times New Roman" w:hAnsi="Times New Roman"/>
          <w:color w:val="0070C0"/>
          <w:sz w:val="16"/>
          <w:szCs w:val="16"/>
          <w:lang w:eastAsia="ru-RU"/>
        </w:rPr>
        <w:t>В сентябре 1941 года была разработана спаренная установка 45-мм танковой пушки и ЗИС-6. Данная работа известна как ЗИС-6А, хотя ее некоторые исследователи записали как орудие для КВ-7. Это не соответствует действительности. На самом деле ЗИС-6А создали для КВ-3, таким образом пытались реализовать идею сделать из танка некое подобие почившего в бозе КВ-4. Впрочем, осенью 1941 года стало уже совсем не до КВ-3. ЧТЗ, переименованный в ЧКЗ, стал резко наращивать выпуск КВ-1. Вместе с тем, тема КВ-3 всё еще витала в воздухе вплоть до начала 1942 года.</w:t>
      </w:r>
    </w:p>
    <w:p w14:paraId="01D25F00" w14:textId="77777777" w:rsidR="00941540" w:rsidRPr="00640820" w:rsidRDefault="00941540" w:rsidP="00640820">
      <w:pPr>
        <w:shd w:val="clear" w:color="auto" w:fill="FFFFFF"/>
        <w:spacing w:after="0" w:line="240" w:lineRule="auto"/>
        <w:jc w:val="both"/>
        <w:rPr>
          <w:rFonts w:ascii="Times New Roman" w:eastAsia="Times New Roman" w:hAnsi="Times New Roman"/>
          <w:color w:val="0070C0"/>
          <w:sz w:val="16"/>
          <w:szCs w:val="16"/>
          <w:lang w:eastAsia="ru-RU"/>
        </w:rPr>
      </w:pPr>
      <w:r w:rsidRPr="00640820">
        <w:rPr>
          <w:rFonts w:ascii="Times New Roman" w:eastAsia="Times New Roman" w:hAnsi="Times New Roman"/>
          <w:color w:val="0070C0"/>
          <w:sz w:val="16"/>
          <w:szCs w:val="16"/>
          <w:lang w:eastAsia="ru-RU"/>
        </w:rPr>
        <w:t>Окончательно от КВ-3 отказались после того, как выяснилось, что даже КВ-1 нуждается в облегчении конструкции. Впрочем, тему реально похоронили явно раньше. Стало очевидно, что в текущей ситуации эту машину всё равно не построить даже как опытный образец. Тут можно только высказать сожаление, что даже опытный образец не достроили. Нет, не потому, что он бы мог показать какие-то выдающиеся результаты. Скорее он был нужен как предостережение. Попытка создать 68-тонного мастодонта вместо КВ-1 привела бы к вполне ожидаемому результату. Если уж Т-220 ездил столь печально, можно представить уровень надежности еще более тяжелого танка. Вполне возможно, что наверху поняли бессмысленность таких монстров раньше и не стали бы доводить дело до ИС-7. Увы, до испытаний КВ-3 дело не дошло (91295).</w:t>
      </w:r>
    </w:p>
    <w:p w14:paraId="7E93459C" w14:textId="77777777" w:rsidR="00941540" w:rsidRPr="00640820" w:rsidRDefault="0094154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Осенью 1941 г. при выходе не</w:t>
      </w:r>
      <w:r w:rsidRPr="00640820">
        <w:rPr>
          <w:rFonts w:ascii="Times New Roman" w:hAnsi="Times New Roman"/>
          <w:color w:val="0070C0"/>
          <w:sz w:val="16"/>
          <w:szCs w:val="16"/>
        </w:rPr>
        <w:softHyphen/>
        <w:t>мецких войск на ближние подступы к Москве вертолет ЦАГИ 11-ЭА уничтожили. В 1934 г. в ООК ЦАГИ началось проектирование верто</w:t>
      </w:r>
      <w:r w:rsidRPr="00640820">
        <w:rPr>
          <w:rFonts w:ascii="Times New Roman" w:hAnsi="Times New Roman"/>
          <w:color w:val="0070C0"/>
          <w:sz w:val="16"/>
          <w:szCs w:val="16"/>
        </w:rPr>
        <w:softHyphen/>
        <w:t>лета ЦАГИ 11-ЭА. Этот двухместный одновинтовой верто</w:t>
      </w:r>
      <w:r w:rsidRPr="00640820">
        <w:rPr>
          <w:rFonts w:ascii="Times New Roman" w:hAnsi="Times New Roman"/>
          <w:color w:val="0070C0"/>
          <w:sz w:val="16"/>
          <w:szCs w:val="16"/>
        </w:rPr>
        <w:softHyphen/>
        <w:t>лет с двигателем Кертис «Конкверор» имел несущий ро</w:t>
      </w:r>
      <w:r w:rsidRPr="00640820">
        <w:rPr>
          <w:rFonts w:ascii="Times New Roman" w:hAnsi="Times New Roman"/>
          <w:color w:val="0070C0"/>
          <w:sz w:val="16"/>
          <w:szCs w:val="16"/>
        </w:rPr>
        <w:softHyphen/>
        <w:t xml:space="preserve">тор, аналогичный ротору ЦАГИ 5-ЭА. </w:t>
      </w:r>
      <w:r w:rsidRPr="00640820">
        <w:rPr>
          <w:rFonts w:ascii="Times New Roman" w:hAnsi="Times New Roman"/>
          <w:color w:val="0070C0"/>
          <w:sz w:val="16"/>
          <w:szCs w:val="16"/>
        </w:rPr>
        <w:lastRenderedPageBreak/>
        <w:t>Реактивный крутящий момент от несущего ротора уравновешивался тягой руле</w:t>
      </w:r>
      <w:r w:rsidRPr="00640820">
        <w:rPr>
          <w:rFonts w:ascii="Times New Roman" w:hAnsi="Times New Roman"/>
          <w:color w:val="0070C0"/>
          <w:sz w:val="16"/>
          <w:szCs w:val="16"/>
        </w:rPr>
        <w:softHyphen/>
        <w:t>вых винтов изменяемого шага, расположенных на концах небольших крыльев. Рулевые винты создавали в полете до</w:t>
      </w:r>
      <w:r w:rsidRPr="00640820">
        <w:rPr>
          <w:rFonts w:ascii="Times New Roman" w:hAnsi="Times New Roman"/>
          <w:color w:val="0070C0"/>
          <w:sz w:val="16"/>
          <w:szCs w:val="16"/>
        </w:rPr>
        <w:softHyphen/>
        <w:t>полнительную поступательную тягу, что приближало аппа</w:t>
      </w:r>
      <w:r w:rsidRPr="00640820">
        <w:rPr>
          <w:rFonts w:ascii="Times New Roman" w:hAnsi="Times New Roman"/>
          <w:color w:val="0070C0"/>
          <w:sz w:val="16"/>
          <w:szCs w:val="16"/>
        </w:rPr>
        <w:softHyphen/>
        <w:t>рат по своим свойствам к автожирам. 11-ЭА долго дово</w:t>
      </w:r>
      <w:r w:rsidRPr="00640820">
        <w:rPr>
          <w:rFonts w:ascii="Times New Roman" w:hAnsi="Times New Roman"/>
          <w:color w:val="0070C0"/>
          <w:sz w:val="16"/>
          <w:szCs w:val="16"/>
        </w:rPr>
        <w:softHyphen/>
        <w:t>дился и совершенствовался. В 1938-39 гг. после значитель</w:t>
      </w:r>
      <w:r w:rsidRPr="00640820">
        <w:rPr>
          <w:rFonts w:ascii="Times New Roman" w:hAnsi="Times New Roman"/>
          <w:color w:val="0070C0"/>
          <w:sz w:val="16"/>
          <w:szCs w:val="16"/>
        </w:rPr>
        <w:softHyphen/>
        <w:t>ных изменений вертолет обозначался ЦАГИ 11-ЭА ПВ (пропульсивный вариант). Во время испытаний в 1940-41 гг. на нем летал летчик Д.И. Савельев, руководил испыта</w:t>
      </w:r>
      <w:r w:rsidRPr="00640820">
        <w:rPr>
          <w:rFonts w:ascii="Times New Roman" w:hAnsi="Times New Roman"/>
          <w:color w:val="0070C0"/>
          <w:sz w:val="16"/>
          <w:szCs w:val="16"/>
        </w:rPr>
        <w:softHyphen/>
        <w:t>ниями В.П. Лаписов. Затем, по причине изношенности двигателя, вертолет некоторое время стоял на окраине аэ</w:t>
      </w:r>
      <w:r w:rsidRPr="00640820">
        <w:rPr>
          <w:rFonts w:ascii="Times New Roman" w:hAnsi="Times New Roman"/>
          <w:color w:val="0070C0"/>
          <w:sz w:val="16"/>
          <w:szCs w:val="16"/>
        </w:rPr>
        <w:softHyphen/>
        <w:t>родрома ЛИИ в Раменском (20361).</w:t>
      </w:r>
    </w:p>
    <w:p w14:paraId="72E25DDE" w14:textId="77777777" w:rsidR="00941540" w:rsidRPr="00640820" w:rsidRDefault="00941540" w:rsidP="00640820">
      <w:pPr>
        <w:shd w:val="clear" w:color="auto" w:fill="FFFFFF"/>
        <w:spacing w:after="0" w:line="240" w:lineRule="auto"/>
        <w:jc w:val="both"/>
        <w:rPr>
          <w:rFonts w:ascii="Times New Roman" w:hAnsi="Times New Roman"/>
          <w:color w:val="0070C0"/>
          <w:sz w:val="16"/>
          <w:szCs w:val="16"/>
        </w:rPr>
      </w:pPr>
    </w:p>
    <w:p w14:paraId="713809A7" w14:textId="77777777" w:rsidR="00941540" w:rsidRPr="00640820" w:rsidRDefault="0094154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сентябре 1941 года оба танка, вместе с матчастью ЛБТКУКС, эвакуировали в Магнитогорск. Вместе с ними эвакуировали тот самый КВ-2, что ныне стоит в экспозиции Центрального Музея Вооруженных Сил РФ. И если первый образец Т-126 так и сгинул, то второму повезло больше. Надо сказать, что машине изначально не повезло даже с описательной частью. Например, указывалось, что на танке №2 стояли опорные катки с внутренней амортизацией, а на самом деле стояли они на машине №1. Перепутали и тип запуска. Инерционный стартер стоял на танке №2, а на машине №1 - обычный электрический. Завод записал всё иначе. Также на танке №2 не ставили курсовой пулемет ДС. Повезло ему по той причине, что опытный завод №100 забрал один из танков себе. Он появляется в ведомости матчасти завода за 1943 год.</w:t>
      </w:r>
    </w:p>
    <w:p w14:paraId="0DD73D30" w14:textId="77777777" w:rsidR="00941540" w:rsidRPr="00640820" w:rsidRDefault="0094154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Можно сказать, что танку №2 повезло дважды. Дело в том, что далее завод №100 устроил торжественную сдачу части танков в металлолом. Правда, порезали явно не все, потому что некоторые машины были живы и далее. Что же касается Т-126, то его передали на НИБТ Полигон, уже в 1945 году танк находился на территории парка-музея. Тем ему составил компанию Т-50, который прибыл на полигон где-то в 1943 году. Так они и стояли парой сначала на площадке, а затем в павильоне №3 танкового музея. Построили его в 1972 году.</w:t>
      </w:r>
    </w:p>
    <w:p w14:paraId="1553151C" w14:textId="77777777" w:rsidR="00941540" w:rsidRPr="00640820" w:rsidRDefault="0094154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Танку относительно везло и далее. Если Т-50 утащили на улицу, где он гнил почти два десятка лет, то Т-126 не тронули, поскольку машина опытная. Повезло ему и в лихие 60-е, когда на полигоне действовала бригада ух, которая изувечила немалое количество отечественных и зарубежных машин. Опять же, повезло со статусом опытной машины, не тронули. Да и в лихие 90-е, когда прошла волна грабежа машин, ему тоже повезло. Урон внутренним агрегатам оказался минимальным.</w:t>
      </w:r>
    </w:p>
    <w:p w14:paraId="2F5D8F44" w14:textId="77777777" w:rsidR="00941540" w:rsidRPr="00640820" w:rsidRDefault="0094154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Всё это привело к тому, что когда до машины дошли руки у отдела реставрации, она оказалась вполне комплектной. Это позволило не только поставить танк на ход, но и восстановить его интерьер. 12 сентября 2021 года в Техническом центре парка "Патриот" состоялся динамический показ техники. Там же презентовали и Т-126. Кто решил отметить День Танкиста в Кубинке, смог увидеть машину в движении, а заодно и посмотреть, как она выглядит внутри. В отличие от Т-50, опытный танк остался в Техническом центре, поскольку он не воевал. С определенной долей вероятности и ему позже откроют люк механика-водителя, чтобы можно было видеть интерьер (21824).</w:t>
      </w:r>
    </w:p>
    <w:p w14:paraId="334DF11B" w14:textId="77777777" w:rsidR="00941540" w:rsidRPr="00640820" w:rsidRDefault="00941540" w:rsidP="00640820">
      <w:pPr>
        <w:spacing w:after="0" w:line="240" w:lineRule="auto"/>
        <w:jc w:val="both"/>
        <w:rPr>
          <w:rFonts w:ascii="Times New Roman" w:hAnsi="Times New Roman"/>
          <w:color w:val="0070C0"/>
          <w:sz w:val="16"/>
          <w:szCs w:val="16"/>
        </w:rPr>
      </w:pPr>
    </w:p>
    <w:p w14:paraId="265C0A5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старший военный представитель ГАБТУ военинженер 2-го ранга Левин предложил руковод</w:t>
      </w:r>
      <w:r w:rsidRPr="00640820">
        <w:rPr>
          <w:rFonts w:ascii="Times New Roman" w:hAnsi="Times New Roman"/>
          <w:color w:val="000000" w:themeColor="text1"/>
          <w:sz w:val="16"/>
          <w:szCs w:val="16"/>
        </w:rPr>
        <w:softHyphen/>
        <w:t>ству сталинградского завода принять меры по отработке конструкции литых стальных опорных катков с внутренней резиновой амортизацией по типу опорных катков тяжелого танка КВ. Это позволило сэкономить до 500 кг резины, используемой при производстве каждого танка. Новая конструкция траков была также отработана в кратчайшие сроки и позволила снизить шум (до вполне допустимой величины) при движении танка с литыми опорными катками на всех скоростях. Черте</w:t>
      </w:r>
      <w:r w:rsidRPr="00640820">
        <w:rPr>
          <w:rFonts w:ascii="Times New Roman" w:hAnsi="Times New Roman"/>
          <w:color w:val="000000" w:themeColor="text1"/>
          <w:sz w:val="16"/>
          <w:szCs w:val="16"/>
        </w:rPr>
        <w:softHyphen/>
        <w:t>жи и отчет по новым опорным каткам и гусеницам были отправлены не только в ГАБТУ на утверждение, но и на заводы № 112 и № 183 для ос</w:t>
      </w:r>
      <w:r w:rsidRPr="00640820">
        <w:rPr>
          <w:rFonts w:ascii="Times New Roman" w:hAnsi="Times New Roman"/>
          <w:color w:val="000000" w:themeColor="text1"/>
          <w:sz w:val="16"/>
          <w:szCs w:val="16"/>
        </w:rPr>
        <w:softHyphen/>
        <w:t>воения производства (10703).</w:t>
      </w:r>
    </w:p>
    <w:p w14:paraId="3404807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C15A8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из-за нехватки дизелей В-2 на 37 танках произ</w:t>
      </w:r>
      <w:r w:rsidRPr="00640820">
        <w:rPr>
          <w:rFonts w:ascii="Times New Roman" w:hAnsi="Times New Roman"/>
          <w:color w:val="000000" w:themeColor="text1"/>
          <w:sz w:val="16"/>
          <w:szCs w:val="16"/>
        </w:rPr>
        <w:softHyphen/>
        <w:t>водства ЛКЗ вынужденно были установлены карбюраторные двигатели М-17Т. По этой же причине на 130 танках, изготовленных ЧТЗ в нояб</w:t>
      </w:r>
      <w:r w:rsidRPr="00640820">
        <w:rPr>
          <w:rFonts w:ascii="Times New Roman" w:hAnsi="Times New Roman"/>
          <w:color w:val="000000" w:themeColor="text1"/>
          <w:sz w:val="16"/>
          <w:szCs w:val="16"/>
        </w:rPr>
        <w:softHyphen/>
        <w:t>ре - декабре 1941 г., также были установлены двигатели М-17Т с двумя спаренными карбюраторами К-1 ТТ. Для подачи топлива в карбюраторы использовался бензиновый насос БНК-6 или БНК-12. На некоторых двигателях устанавливался импортный бензиновый насос типа "Хорнет" (18ПБ-1). В системе смазки двигателя использовался фильтр сис</w:t>
      </w:r>
      <w:r w:rsidRPr="00640820">
        <w:rPr>
          <w:rFonts w:ascii="Times New Roman" w:hAnsi="Times New Roman"/>
          <w:color w:val="000000" w:themeColor="text1"/>
          <w:sz w:val="16"/>
          <w:szCs w:val="16"/>
        </w:rPr>
        <w:softHyphen/>
        <w:t>темы "Куно". Пуск карбюраторного двигателя производился с помощью электростартера СТ-61, мощностью 3,5 л.с. (2,6 кВт) или сжатым возду</w:t>
      </w:r>
      <w:r w:rsidRPr="00640820">
        <w:rPr>
          <w:rFonts w:ascii="Times New Roman" w:hAnsi="Times New Roman"/>
          <w:color w:val="000000" w:themeColor="text1"/>
          <w:sz w:val="16"/>
          <w:szCs w:val="16"/>
        </w:rPr>
        <w:softHyphen/>
        <w:t>хом. Система зажигания — двойная, от магнето. В ее состав входили: два магнето, пусковая катушка зажигания (бобина) или пусковое магнето, 24 запальных свечи, переключатель магнето и экранированные провода (10703).</w:t>
      </w:r>
    </w:p>
    <w:p w14:paraId="33BACC3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38B49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сов</w:t>
      </w:r>
      <w:r w:rsidRPr="00640820">
        <w:rPr>
          <w:rFonts w:ascii="Times New Roman" w:hAnsi="Times New Roman"/>
          <w:color w:val="000000" w:themeColor="text1"/>
          <w:sz w:val="16"/>
          <w:szCs w:val="16"/>
        </w:rPr>
        <w:softHyphen/>
        <w:t>местными усилиями двух заводов — ЧТЗ и № 92 НКВ в целях оснаще</w:t>
      </w:r>
      <w:r w:rsidRPr="00640820">
        <w:rPr>
          <w:rFonts w:ascii="Times New Roman" w:hAnsi="Times New Roman"/>
          <w:color w:val="000000" w:themeColor="text1"/>
          <w:sz w:val="16"/>
          <w:szCs w:val="16"/>
        </w:rPr>
        <w:softHyphen/>
        <w:t>ния танка КВ-1 более эффективной 76,2-мм танковой пушкой по результатам испытаний танка КВ-1 с пушкой ЗИС-5 (Ф-22) был изготовлен Танк КВ-1 с пушкой ЗИС-5 (Ф-34). Ведущи</w:t>
      </w:r>
      <w:r w:rsidRPr="00640820">
        <w:rPr>
          <w:rFonts w:ascii="Times New Roman" w:hAnsi="Times New Roman"/>
          <w:color w:val="000000" w:themeColor="text1"/>
          <w:sz w:val="16"/>
          <w:szCs w:val="16"/>
        </w:rPr>
        <w:softHyphen/>
        <w:t>ми инженерами машины были: от завода № 92 - И.М. Лепендин, от ЧТЗ - А.С. Шнейдман. Опытный образец танка, изготовленный в един</w:t>
      </w:r>
      <w:r w:rsidRPr="00640820">
        <w:rPr>
          <w:rFonts w:ascii="Times New Roman" w:hAnsi="Times New Roman"/>
          <w:color w:val="000000" w:themeColor="text1"/>
          <w:sz w:val="16"/>
          <w:szCs w:val="16"/>
        </w:rPr>
        <w:softHyphen/>
        <w:t>ственном экземпляре, в период с 27 по 28 сентября 1941 г. прошел испы</w:t>
      </w:r>
      <w:r w:rsidRPr="00640820">
        <w:rPr>
          <w:rFonts w:ascii="Times New Roman" w:hAnsi="Times New Roman"/>
          <w:color w:val="000000" w:themeColor="text1"/>
          <w:sz w:val="16"/>
          <w:szCs w:val="16"/>
        </w:rPr>
        <w:softHyphen/>
        <w:t>тания на полигоне учебного отдельного танкового батальона в Челя</w:t>
      </w:r>
      <w:r w:rsidRPr="00640820">
        <w:rPr>
          <w:rFonts w:ascii="Times New Roman" w:hAnsi="Times New Roman"/>
          <w:color w:val="000000" w:themeColor="text1"/>
          <w:sz w:val="16"/>
          <w:szCs w:val="16"/>
        </w:rPr>
        <w:softHyphen/>
        <w:t>бинске, по результатам которых в октябре 1941 г. пушка ЗИС-5 (Ф-34) была принята на вооружение для танка КВ-1 обр. 1941 г. Опытный образец машины был создан на базе опытного танка КВ-1 с пушкой ЗИС-5 (Ф-22) и отличался от него установкой новой пушки. Вооружение танка состояло из 76,2-мм пушки ЗИС-5 (Ф-34) и трех 7,62-мм пулеметов ДТ. Один пулемет был спарен с пушкой, второй ус</w:t>
      </w:r>
      <w:r w:rsidRPr="00640820">
        <w:rPr>
          <w:rFonts w:ascii="Times New Roman" w:hAnsi="Times New Roman"/>
          <w:color w:val="000000" w:themeColor="text1"/>
          <w:sz w:val="16"/>
          <w:szCs w:val="16"/>
        </w:rPr>
        <w:softHyphen/>
        <w:t>танавливался в шаровой опоре в кормовом листе башни, третий - запас</w:t>
      </w:r>
      <w:r w:rsidRPr="00640820">
        <w:rPr>
          <w:rFonts w:ascii="Times New Roman" w:hAnsi="Times New Roman"/>
          <w:color w:val="000000" w:themeColor="text1"/>
          <w:sz w:val="16"/>
          <w:szCs w:val="16"/>
        </w:rPr>
        <w:softHyphen/>
        <w:t>ной, укладывался в боевом отделении (10703).</w:t>
      </w:r>
    </w:p>
    <w:p w14:paraId="3A74EC8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A3EC69"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года СКБ-2 Кировского завода приступило к проектированию такой самоходной установки, получившей обозначение «проект 212». Позже машина получила обозначение «проект 212А» для отличия от проекта бронированного тягача на базе КВ, который имел обозначение «Объект 212». Ведущим по разработке самоходки назначили инженера Ц.Н. Гольбурга.</w:t>
      </w:r>
    </w:p>
    <w:p w14:paraId="55B15667"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Первые же расчеты показали, что при заданных характеристиках уложиться в заданную массу невозможно. В результате обсуждений с военными решили уменьшить толщину брони и немного сократить боекомплект — но и в таком варианте боевая масса самоходки составляла 65 тонн. Проект закончили в декабре 1940 года, после чего на Ижорский завод передали чертежи для изготовления бронекорпуса.</w:t>
      </w:r>
    </w:p>
    <w:p w14:paraId="0F4C9A97"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Машина «212А» представляла собой самоходную установку с задним расположением боевого отделения, передним — управления и трансмиссии и средним двигателя. Машина была полностью бронированной, корпус собирался из бронелистов толщиной 60 (верхний лобовой лист, борта корпуса и рубки, верхний лист кормы), 50 (нижний передний лист корпуса и нижний лист кормы), 30 (передняя часть днища) и 20 мм (задняя часть днища и крыша). В качестве основного вооружения использовалась 152-мм пушка Бр-2, кроме того машина имела три пулемета ДТ — курсовой, кормовой и зенитный. Из-за значительных размеров артсистемы довольно мощной брони габариты и масса самоходки сильно возросли, что потребовало использования семикатковой ходовой части, как у машины КВ-220. В качестве силовой установки предполагалось использование форсированного двигателя В-2СН с турбонаддувом мощностью 850 л.с., который должен был обеспечить максимальную скорость до 35 км/ч. Экипаж самоходки состоял из семи человек.</w:t>
      </w:r>
    </w:p>
    <w:p w14:paraId="08D35F49"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третьей декаде февраля 1941 года корпус самоходки был изготовлен, и 5 марта поступил на Кировский завод. В документах военной приемки он именовался как «корпус СУ 212 группы». К этому же времени был изготовлен ряд узлов и агрегатов машины.</w:t>
      </w:r>
    </w:p>
    <w:p w14:paraId="2FFB317D"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 из-за большой загрузки работами по танкам КВ, как Кировского завода, так и его конструкторского бюро, дальнейшее изготовление самоходки 212А затянулось. Кроме того, после переориентировки на выпуск нового танка КВ-3 весной 1941 года, в качестве базы для тяжелой самоходки предполагалось использовать именно КВ-3. Это потребовало внесения в «проект 212А» ряда изменений. Правда, справедливости ради, изменения эти были минимальны. Еще до изготовления опытного образца было принято решение об изготовлении до конца 1941 года десяти 152-мм самоходок на базе танка КВ-3. 3 июня 1941 года начальник военного отдела наркомата тяжелого машиностроения Дорошкевич (именно в состав этого наркомата входил Кировский завод) направил наркому Ефремову справку, в которой сообщал: «Изготовление на Кировском заводе 10 штук самоходных установок 152-мм пушек Бр-3 на базе КВ-3 может быть обеспечено в нижеследующие сроки:</w:t>
      </w:r>
    </w:p>
    <w:p w14:paraId="52A64434"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Сентябрь — 1 шт.;</w:t>
      </w:r>
    </w:p>
    <w:p w14:paraId="4F9356C8"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Октябрь — 3 шт.;</w:t>
      </w:r>
    </w:p>
    <w:p w14:paraId="627512F7"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Ноябрь — 3 шт.;</w:t>
      </w:r>
    </w:p>
    <w:p w14:paraId="4065858B"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Декабрь — 3 шт.</w:t>
      </w:r>
    </w:p>
    <w:p w14:paraId="11C0E9FC"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Эти сроки выпуска самоходных установок обуславливаются необходимостью окончательной отработки и пуска в производство КВ-3, после чего можно будет приступить к проектированию и пуску в производство самоходной установки.</w:t>
      </w:r>
    </w:p>
    <w:p w14:paraId="30DD1CC6"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обеспечения своевременной подготовки производства КВ-3 (постановлением Правительства завод обязан начать выпуск КВ-3 с августа месяца) а, следовательно, и самоходных установок крайне необходимо оказать заводу помощь путем привлечения к проектным работам Гипрообщемаш НКОМ и 5 ГСПИ НКЭП» (17434).</w:t>
      </w:r>
    </w:p>
    <w:p w14:paraId="2DA5A28F" w14:textId="77777777" w:rsidR="00F26E86" w:rsidRPr="00640820" w:rsidRDefault="00F26E86" w:rsidP="00640820">
      <w:pPr>
        <w:spacing w:after="0" w:line="240" w:lineRule="auto"/>
        <w:jc w:val="both"/>
        <w:rPr>
          <w:rFonts w:ascii="Times New Roman" w:hAnsi="Times New Roman"/>
          <w:color w:val="000000" w:themeColor="text1"/>
          <w:sz w:val="16"/>
          <w:szCs w:val="16"/>
        </w:rPr>
      </w:pPr>
    </w:p>
    <w:p w14:paraId="465A1E7E" w14:textId="77777777" w:rsidR="00F26E86" w:rsidRPr="00640820" w:rsidRDefault="00F26E86" w:rsidP="00640820">
      <w:pPr>
        <w:widowControl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Выксунский завод ДРО вошел в состав новосозданного наркомата танковой промышленности и стал именоваться завод №177. Его основной продукцией стали бронекорпуса и башни танков Т-60 и Т-34, выпуску которых придавали первоочередное значение. Поэтому производство БА-20М отошло на второй план – война показала, что боевая ценность этих машин невелика. А с принятием на вооружение легкого полноприводного бронеавтомобиля БА-64, спроектированного на Горьковском автомобильном заводе, принимается решение о свертывании изготовления бронемашин БА-20М. За время серийного производства с 1936-го по июль 1942 года на заводе ДРО (№177) изготовлено 1567 бронеавтомобилей БА-20 и БА-20М всех типов (15218).</w:t>
      </w:r>
    </w:p>
    <w:p w14:paraId="0A5099C0" w14:textId="77777777" w:rsidR="00F26E86" w:rsidRPr="00640820" w:rsidRDefault="00F26E86" w:rsidP="00640820">
      <w:pPr>
        <w:widowControl w:val="0"/>
        <w:spacing w:after="0" w:line="240" w:lineRule="auto"/>
        <w:jc w:val="both"/>
        <w:rPr>
          <w:rFonts w:ascii="Times New Roman" w:hAnsi="Times New Roman"/>
          <w:color w:val="000000" w:themeColor="text1"/>
          <w:sz w:val="16"/>
          <w:szCs w:val="16"/>
        </w:rPr>
      </w:pPr>
    </w:p>
    <w:p w14:paraId="5127034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сентября 1941 г. на танке Т-30 вместо 12,7-мм пулемета ДШК стала устанавливаться 20-мм автоматическая пушка ТНШ, имевшая ленточное питание (10703).</w:t>
      </w:r>
    </w:p>
    <w:p w14:paraId="60B5EB9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1D266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С сентя</w:t>
      </w:r>
      <w:r w:rsidRPr="00640820">
        <w:rPr>
          <w:rFonts w:ascii="Times New Roman" w:hAnsi="Times New Roman"/>
          <w:color w:val="000000" w:themeColor="text1"/>
          <w:sz w:val="16"/>
          <w:szCs w:val="16"/>
        </w:rPr>
        <w:softHyphen/>
        <w:t>бря 1941 г. для повышения огневой мощи малых танков Т-30 и с января 1942 г. при капитальном ремонте Т-40С вмес</w:t>
      </w:r>
      <w:r w:rsidRPr="00640820">
        <w:rPr>
          <w:rFonts w:ascii="Times New Roman" w:hAnsi="Times New Roman"/>
          <w:color w:val="000000" w:themeColor="text1"/>
          <w:sz w:val="16"/>
          <w:szCs w:val="16"/>
        </w:rPr>
        <w:softHyphen/>
        <w:t>то 12,7-мм пулемета ДШК устанавливалась 20-мм автоматическая пушка ТНШ (10703).</w:t>
      </w:r>
    </w:p>
    <w:p w14:paraId="7F56152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756E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Начиная с сентября 1941 года, на некоторых серийных танках Т-40 с улучшенным бронированием - Т-30 уже устанавливалась автоматическая 20-мм танковая пушка ШВАК (боекомплект - 750 снарядов), которая еще находилась в стадии доработки. Ее устанавливали в спаренной установке с пулеметом ДТС (1512 патронов в 24 магазинах) (3862).</w:t>
      </w:r>
    </w:p>
    <w:p w14:paraId="481090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E81D53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конструктор А. Богачев создал для Т-60 принципиально новый, «пониженный» корпус - высотой всего 1360 мм. Углы наклона броневых листов к вертикали составляли: для верхнего лобового — 70°, нижнего лобового — 30°, переднего листа рубки водителя - 25°, бортов башни -25,5°, верхнего кормового - 69°, нижнего кормового - 32,5°. Благодаря малым размерам корпус удалось выполнить из броневых листов толщиной до 25 мм в лобовой проекции, но так как из-за трудностей технологического характера вместо цементованной брони для производства Т-60 пошла гомо</w:t>
      </w:r>
      <w:r w:rsidRPr="00640820">
        <w:rPr>
          <w:rFonts w:ascii="Times New Roman" w:hAnsi="Times New Roman"/>
          <w:color w:val="000000" w:themeColor="text1"/>
          <w:sz w:val="16"/>
          <w:szCs w:val="16"/>
        </w:rPr>
        <w:softHyphen/>
        <w:t>генная марки 2П, стойкость корпуса практически не возрос</w:t>
      </w:r>
      <w:r w:rsidRPr="00640820">
        <w:rPr>
          <w:rFonts w:ascii="Times New Roman" w:hAnsi="Times New Roman"/>
          <w:color w:val="000000" w:themeColor="text1"/>
          <w:sz w:val="16"/>
          <w:szCs w:val="16"/>
        </w:rPr>
        <w:softHyphen/>
        <w:t>ла, а в бортах даже снизилась. Это заставило поднять толщи</w:t>
      </w:r>
      <w:r w:rsidRPr="00640820">
        <w:rPr>
          <w:rFonts w:ascii="Times New Roman" w:hAnsi="Times New Roman"/>
          <w:color w:val="000000" w:themeColor="text1"/>
          <w:sz w:val="16"/>
          <w:szCs w:val="16"/>
        </w:rPr>
        <w:softHyphen/>
        <w:t>ну брони танка Т-60 до 20-35 мм во лбу, до 20-25-мм в бор</w:t>
      </w:r>
      <w:r w:rsidRPr="00640820">
        <w:rPr>
          <w:rFonts w:ascii="Times New Roman" w:hAnsi="Times New Roman"/>
          <w:color w:val="000000" w:themeColor="text1"/>
          <w:sz w:val="16"/>
          <w:szCs w:val="16"/>
        </w:rPr>
        <w:softHyphen/>
        <w:t>тах и до 15—20 мм в кормовой части, что при наличии «пони</w:t>
      </w:r>
      <w:r w:rsidRPr="00640820">
        <w:rPr>
          <w:rFonts w:ascii="Times New Roman" w:hAnsi="Times New Roman"/>
          <w:color w:val="000000" w:themeColor="text1"/>
          <w:sz w:val="16"/>
          <w:szCs w:val="16"/>
        </w:rPr>
        <w:softHyphen/>
        <w:t>женного» корпуса привело к незначительной перегрузке ма</w:t>
      </w:r>
      <w:r w:rsidRPr="00640820">
        <w:rPr>
          <w:rFonts w:ascii="Times New Roman" w:hAnsi="Times New Roman"/>
          <w:color w:val="000000" w:themeColor="text1"/>
          <w:sz w:val="16"/>
          <w:szCs w:val="16"/>
        </w:rPr>
        <w:softHyphen/>
        <w:t>шины по сравнению с заданием. Тогда же для танка была принята сварная восьмигранная башня конструкции Ю. Юдовича высотой 380 мм с толщиной стенок 25 мм, бы</w:t>
      </w:r>
      <w:r w:rsidRPr="00640820">
        <w:rPr>
          <w:rFonts w:ascii="Times New Roman" w:hAnsi="Times New Roman"/>
          <w:color w:val="000000" w:themeColor="text1"/>
          <w:sz w:val="16"/>
          <w:szCs w:val="16"/>
        </w:rPr>
        <w:softHyphen/>
        <w:t>вшая более технологичной, нежели штампованная коничес</w:t>
      </w:r>
      <w:r w:rsidRPr="00640820">
        <w:rPr>
          <w:rFonts w:ascii="Times New Roman" w:hAnsi="Times New Roman"/>
          <w:color w:val="000000" w:themeColor="text1"/>
          <w:sz w:val="16"/>
          <w:szCs w:val="16"/>
        </w:rPr>
        <w:softHyphen/>
        <w:t>кая, так как последняя при утолщении брони до 25-30 мм требовала применения мощных прессов, которые отсутство</w:t>
      </w:r>
      <w:r w:rsidRPr="00640820">
        <w:rPr>
          <w:rFonts w:ascii="Times New Roman" w:hAnsi="Times New Roman"/>
          <w:color w:val="000000" w:themeColor="text1"/>
          <w:sz w:val="16"/>
          <w:szCs w:val="16"/>
        </w:rPr>
        <w:softHyphen/>
        <w:t>вали на большинстве предприятий, выпускавших Т-60 (10782).</w:t>
      </w:r>
    </w:p>
    <w:p w14:paraId="15DE094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75B30A" w14:textId="77777777" w:rsidR="002E1BEB" w:rsidRPr="00640820" w:rsidRDefault="002E1BEB" w:rsidP="00640820">
      <w:pPr>
        <w:spacing w:after="0" w:line="240" w:lineRule="auto"/>
        <w:jc w:val="both"/>
        <w:rPr>
          <w:rFonts w:ascii="Times New Roman" w:hAnsi="Times New Roman"/>
          <w:color w:val="0070C0"/>
          <w:sz w:val="16"/>
          <w:szCs w:val="16"/>
          <w:shd w:val="clear" w:color="auto" w:fill="FFFFFF"/>
        </w:rPr>
      </w:pPr>
      <w:r w:rsidRPr="00640820">
        <w:rPr>
          <w:rFonts w:ascii="Times New Roman" w:hAnsi="Times New Roman"/>
          <w:color w:val="0070C0"/>
          <w:sz w:val="16"/>
          <w:szCs w:val="16"/>
          <w:shd w:val="clear" w:color="auto" w:fill="FFFFFF"/>
        </w:rPr>
        <w:t>В сентябре состоялось техническое совещание, которое созвал Артиллерийский Комитет ГАУ КА. На нем присутствовали представители ГАЗ им. Молотова, а также завода №92. Двум горьковским предприятиям поставили одну и ту же задачу. Требовалось разместить в башне Т-60 не что-нибудь, а 45-мм пушку. Задача, мягко говоря, нетривиальная, с учетом того, что изначально танк вооружался ДШК. Поэтому и оба завода пошли по нетривиальному пути. Если ГАЗ, по итогам, попросту изменил сам танк, то завод №92 выбрал иную пушку. Ей стала 37-мм танковая система ЗИС-19, разработку которой вел, в том числе, и конструктор Иван Андреевич Горшков.</w:t>
      </w:r>
    </w:p>
    <w:p w14:paraId="6162772C" w14:textId="77777777" w:rsidR="002E1BEB" w:rsidRPr="00640820" w:rsidRDefault="002E1BE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shd w:val="clear" w:color="auto" w:fill="FFFFFF"/>
        </w:rPr>
        <w:t>Причины, по которым заводы пошли по нетривиальному пути, оказались предельно простыми. Артиллерийский Комитет ГАУ КА дал указание ставить 45-мм пушку в минимально измененную башню Т-60 (желательно вообще без изменений). Согласно идее, КБ завода №92 должно было проработать саму установку, а ГАЗ им. Молотова изготовить опытный образец, в случае успеха там перевооруженный Т-60 запускался в серию. Но совместной работы не получилось. Сначала ГАЗ им. Молотова был слегка занят запуском Т-60 в крупную серию, а затем начал то, что в ТЗ не прописывалось - увеличивать башню. Это шло в разрез с техническим заданием Арткома ГАУ КА, но оказалось наиболее разумным. Завод №92 так сделать изначально не мог, но при этом там задумались над тем, как сделать орудие менее габаритным. (22879).</w:t>
      </w:r>
    </w:p>
    <w:p w14:paraId="1982CC98" w14:textId="77777777" w:rsidR="002E1BEB" w:rsidRPr="00640820" w:rsidRDefault="002E1BEB" w:rsidP="00640820">
      <w:pPr>
        <w:spacing w:after="0" w:line="240" w:lineRule="auto"/>
        <w:jc w:val="both"/>
        <w:rPr>
          <w:rFonts w:ascii="Times New Roman" w:hAnsi="Times New Roman"/>
          <w:color w:val="0070C0"/>
          <w:sz w:val="16"/>
          <w:szCs w:val="16"/>
        </w:rPr>
      </w:pPr>
    </w:p>
    <w:p w14:paraId="0216E8A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w:t>
      </w:r>
      <w:r w:rsidRPr="00640820">
        <w:rPr>
          <w:rFonts w:ascii="Times New Roman" w:hAnsi="Times New Roman"/>
          <w:color w:val="000000" w:themeColor="text1"/>
          <w:sz w:val="16"/>
          <w:szCs w:val="16"/>
        </w:rPr>
        <w:softHyphen/>
        <w:t>тябре 1941 г. Коломенский паровозостроительный завод (КПЗ) приступил к выпуску бронекорпусов и башен для Т-60. Поскольку у завода не было мощных прессов, но имелся развитый литейный участок, здесь пошли в серию литые башни с толщиной брони до 50 мм, литые катки с внутренней амортизацией и литая башенка механика-води</w:t>
      </w:r>
      <w:r w:rsidRPr="00640820">
        <w:rPr>
          <w:rFonts w:ascii="Times New Roman" w:hAnsi="Times New Roman"/>
          <w:color w:val="000000" w:themeColor="text1"/>
          <w:sz w:val="16"/>
          <w:szCs w:val="16"/>
        </w:rPr>
        <w:softHyphen/>
        <w:t>теля. Однако в октябре завод № 38 эвакуировался в Киров, на территорию завода Имени 1 мая, где начало свою деятель</w:t>
      </w:r>
      <w:r w:rsidRPr="00640820">
        <w:rPr>
          <w:rFonts w:ascii="Times New Roman" w:hAnsi="Times New Roman"/>
          <w:color w:val="000000" w:themeColor="text1"/>
          <w:sz w:val="16"/>
          <w:szCs w:val="16"/>
        </w:rPr>
        <w:softHyphen/>
        <w:t>ность не только бронекорпусное, но уже и танковое произ</w:t>
      </w:r>
      <w:r w:rsidRPr="00640820">
        <w:rPr>
          <w:rFonts w:ascii="Times New Roman" w:hAnsi="Times New Roman"/>
          <w:color w:val="000000" w:themeColor="text1"/>
          <w:sz w:val="16"/>
          <w:szCs w:val="16"/>
        </w:rPr>
        <w:softHyphen/>
        <w:t>водство (главный конструктор - М.Н. Щукин) Первые пять Т-60 были сданы в Кирове уже в январе 1942 г., за I квартал 1942 г. здесь изготовили 241 машину, а по июнь — 535 (10782).</w:t>
      </w:r>
    </w:p>
    <w:p w14:paraId="43E6F0F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B6AEA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Московский автозавод ЗИС выполнил проект легкого танка ЗИС-60, отличавшийся двигателем ЗИС-16 и литой улучшенной башней но до эвакуации опыт</w:t>
      </w:r>
      <w:r w:rsidRPr="00640820">
        <w:rPr>
          <w:rFonts w:ascii="Times New Roman" w:hAnsi="Times New Roman"/>
          <w:color w:val="000000" w:themeColor="text1"/>
          <w:sz w:val="16"/>
          <w:szCs w:val="16"/>
        </w:rPr>
        <w:softHyphen/>
        <w:t>ный образец танка построен не был (10782).</w:t>
      </w:r>
    </w:p>
    <w:p w14:paraId="3456869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75635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на втором опытном образце 0-60 в башне была смонти</w:t>
      </w:r>
      <w:r w:rsidRPr="00640820">
        <w:rPr>
          <w:rFonts w:ascii="Times New Roman" w:hAnsi="Times New Roman"/>
          <w:color w:val="000000" w:themeColor="text1"/>
          <w:sz w:val="16"/>
          <w:szCs w:val="16"/>
        </w:rPr>
        <w:softHyphen/>
        <w:t>рована спаренная установка 20-мм автоматической танковой пушки ТНШ с ленточным питанием и 7,62-мм пулемета ДТ. Углы наводки спа</w:t>
      </w:r>
      <w:r w:rsidRPr="00640820">
        <w:rPr>
          <w:rFonts w:ascii="Times New Roman" w:hAnsi="Times New Roman"/>
          <w:color w:val="000000" w:themeColor="text1"/>
          <w:sz w:val="16"/>
          <w:szCs w:val="16"/>
        </w:rPr>
        <w:softHyphen/>
        <w:t>ренной установки по вертикали составляли от -7 до +25°. Механизмы наводки оружия были сохранены. Для ведения прицельной стрельбы из пушки и пулемета был установлен телескопический прицел ТМФП-1 и дублирующий механический прицел. Ведение огня из пушки ТНШ и спаренного пулемета Д Т обеспечивалось аналогичными действиями ко</w:t>
      </w:r>
      <w:r w:rsidRPr="00640820">
        <w:rPr>
          <w:rFonts w:ascii="Times New Roman" w:hAnsi="Times New Roman"/>
          <w:color w:val="000000" w:themeColor="text1"/>
          <w:sz w:val="16"/>
          <w:szCs w:val="16"/>
        </w:rPr>
        <w:softHyphen/>
        <w:t>мандира как на первом опытном образце танка. При установке 20-мм пушки в боекомплект танка входили 754 выстрела и 945 патронов к пу</w:t>
      </w:r>
      <w:r w:rsidRPr="00640820">
        <w:rPr>
          <w:rFonts w:ascii="Times New Roman" w:hAnsi="Times New Roman"/>
          <w:color w:val="000000" w:themeColor="text1"/>
          <w:sz w:val="16"/>
          <w:szCs w:val="16"/>
        </w:rPr>
        <w:softHyphen/>
        <w:t>лемету ДТ (15 дисков) (10703).</w:t>
      </w:r>
    </w:p>
    <w:p w14:paraId="10709AF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F666A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был принят на вооружение легкий танк Т-60 перво</w:t>
      </w:r>
      <w:r w:rsidRPr="00640820">
        <w:rPr>
          <w:rFonts w:ascii="Times New Roman" w:hAnsi="Times New Roman"/>
          <w:color w:val="000000" w:themeColor="text1"/>
          <w:sz w:val="16"/>
          <w:szCs w:val="16"/>
        </w:rPr>
        <w:softHyphen/>
        <w:t>начально был вооруженный 12,7-мм пулеметом ДШК, но уже с 1 октября на нем установили 20-мм пушку ТНШ, чтобы использовать танк для борь</w:t>
      </w:r>
      <w:r w:rsidRPr="00640820">
        <w:rPr>
          <w:rFonts w:ascii="Times New Roman" w:hAnsi="Times New Roman"/>
          <w:color w:val="000000" w:themeColor="text1"/>
          <w:sz w:val="16"/>
          <w:szCs w:val="16"/>
        </w:rPr>
        <w:softHyphen/>
        <w:t>бы не только с пехотой, но и с легкими танками и бронемашинами про</w:t>
      </w:r>
      <w:r w:rsidRPr="00640820">
        <w:rPr>
          <w:rFonts w:ascii="Times New Roman" w:hAnsi="Times New Roman"/>
          <w:color w:val="000000" w:themeColor="text1"/>
          <w:sz w:val="16"/>
          <w:szCs w:val="16"/>
        </w:rPr>
        <w:softHyphen/>
        <w:t>тивника. 20-мм пушка ТНШ (Танковая Нудельмана-Шпитального) была со</w:t>
      </w:r>
      <w:r w:rsidRPr="00640820">
        <w:rPr>
          <w:rFonts w:ascii="Times New Roman" w:hAnsi="Times New Roman"/>
          <w:color w:val="000000" w:themeColor="text1"/>
          <w:sz w:val="16"/>
          <w:szCs w:val="16"/>
        </w:rPr>
        <w:softHyphen/>
        <w:t>здана во второй половине 1941 г. совместно ОКБ-15 и ОКБ-16 на осно</w:t>
      </w:r>
      <w:r w:rsidRPr="00640820">
        <w:rPr>
          <w:rFonts w:ascii="Times New Roman" w:hAnsi="Times New Roman"/>
          <w:color w:val="000000" w:themeColor="text1"/>
          <w:sz w:val="16"/>
          <w:szCs w:val="16"/>
        </w:rPr>
        <w:softHyphen/>
        <w:t>ве вариантов крыльевой и турельной авиационных пушек ШВАК-20. Она была принята на вооружение 5 декабря 1941 г. и производилась на трех заводах НКВ до 1943 г. От крыльевой пушки был использован ствол длиной 82,4 калибра, а от турельной — тяга перезаряжания. Спус</w:t>
      </w:r>
      <w:r w:rsidRPr="00640820">
        <w:rPr>
          <w:rFonts w:ascii="Times New Roman" w:hAnsi="Times New Roman"/>
          <w:color w:val="000000" w:themeColor="text1"/>
          <w:sz w:val="16"/>
          <w:szCs w:val="16"/>
        </w:rPr>
        <w:softHyphen/>
        <w:t>ковой механизм и затыльник были сконструированы заново. Действие автоматики пушки было основано на использовании энергии порохо</w:t>
      </w:r>
      <w:r w:rsidRPr="00640820">
        <w:rPr>
          <w:rFonts w:ascii="Times New Roman" w:hAnsi="Times New Roman"/>
          <w:color w:val="000000" w:themeColor="text1"/>
          <w:sz w:val="16"/>
          <w:szCs w:val="16"/>
        </w:rPr>
        <w:softHyphen/>
        <w:t>вых газов. Темп стрельбы пушки составлял 600 выстр./мин., а боевая скорострельность - 200 выстр./мин. Пушка имела ленточное питание. Каждая лента, состоявшая из 58 выстрелов и 58 разъемных звеньев, ук</w:t>
      </w:r>
      <w:r w:rsidRPr="00640820">
        <w:rPr>
          <w:rFonts w:ascii="Times New Roman" w:hAnsi="Times New Roman"/>
          <w:color w:val="000000" w:themeColor="text1"/>
          <w:sz w:val="16"/>
          <w:szCs w:val="16"/>
        </w:rPr>
        <w:softHyphen/>
        <w:t>ладывалась в коробку, устанавливавшуюся на специальном кронштейне под пушкой. Выброс стреляных гильз из башни наружу под брониров</w:t>
      </w:r>
      <w:r w:rsidRPr="00640820">
        <w:rPr>
          <w:rFonts w:ascii="Times New Roman" w:hAnsi="Times New Roman"/>
          <w:color w:val="000000" w:themeColor="text1"/>
          <w:sz w:val="16"/>
          <w:szCs w:val="16"/>
        </w:rPr>
        <w:softHyphen/>
        <w:t>ку ствола осуществлялся через трубку газоотвода, а звеньев лент - по направляющей на днище танка. Из пушки можно было вести стрельбу на дальности до 2000 м осколочно-трассирующими и осколочно-зажи-гательными снарядами с взрывателем мгновенного действия, а также бронебойно-зажигательными снарядами с карбид-вольфрамовыми сер</w:t>
      </w:r>
      <w:r w:rsidRPr="00640820">
        <w:rPr>
          <w:rFonts w:ascii="Times New Roman" w:hAnsi="Times New Roman"/>
          <w:color w:val="000000" w:themeColor="text1"/>
          <w:sz w:val="16"/>
          <w:szCs w:val="16"/>
        </w:rPr>
        <w:softHyphen/>
        <w:t>дечниками. Существенным недостатком автоматической пушки ТНШ были от</w:t>
      </w:r>
      <w:r w:rsidRPr="00640820">
        <w:rPr>
          <w:rFonts w:ascii="Times New Roman" w:hAnsi="Times New Roman"/>
          <w:color w:val="000000" w:themeColor="text1"/>
          <w:sz w:val="16"/>
          <w:szCs w:val="16"/>
        </w:rPr>
        <w:softHyphen/>
        <w:t>носительно низкое осколочное действие и малая бронепробиваемость 20-мм снарядов. Дальнейшие работы по повышению огневой мощи легких танков, которые предусматривали установку 23-мм авиационной пушки ВЯ и 37-мм пушек ЗИС-19 и ЗИС-19БМ, остались на стадии опытных разра</w:t>
      </w:r>
      <w:r w:rsidRPr="00640820">
        <w:rPr>
          <w:rFonts w:ascii="Times New Roman" w:hAnsi="Times New Roman"/>
          <w:color w:val="000000" w:themeColor="text1"/>
          <w:sz w:val="16"/>
          <w:szCs w:val="16"/>
        </w:rPr>
        <w:softHyphen/>
        <w:t>боток, поскольку на вооружение был принят легкий танк Т-70 с 45-мм пушкой 20К (10703).</w:t>
      </w:r>
    </w:p>
    <w:p w14:paraId="69CBE0F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83341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года он сумел в сжатые сроки наладить у себя на заводе производство корпусов танков Т-60, доведя их выпуск в первой декаде октября до 12 - 15 штук в день (ГАРФ. Ф. Р-6822. Оп.1. Д. 178. Л. 25 - 28). Этот успех подтолкнул руководство НКТП к тому, что заводу доверили более сложное задание - перейти к производству танков. К сожалению, через 5 дней после этого решения пришлось начать эвакуацию завода, и налаживать производство танков пришлось уже на новом месте. Хорошо зарекомендовавший себя директор в итоге был назначен на пост руководителя одного из ключевых предприятий Наркомата танковой промышленности - завода № 112 («Красное Сормово»).</w:t>
      </w:r>
    </w:p>
    <w:p w14:paraId="3D71F23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Эвакуация Коломенского паровозостроительного завода прошла наиболее успешно, как с точки зрения вывоза оборудования, так и с точки зрения эвакуации людей. Всего было вывезено 3260 вагонов, содержащих 2590 единиц оборудования, 4840 работников завода и 5192 члена их семей. Многие рабочие не желали эвакуироваться, из-за чего партийному комитету пришлось проводить специальную разъяснительную работу. Завод вывозился в город Киров, на территорию сливавшегося с ним завода «Имени 1 Мая». Эвакуация была хорошо организована. На каждой железнодорожной станции маршрута были расставлены представители завода, в результате у директора постоянно имелись свежие сведения о ходе местоположения эшелонов. Потери завода были минимальными, что позволило быстро наладить производство танков на новом месте. Хорошая организация эвакуации была заслугой директора завода И. Э. Рубинчика, который уже успел доказать свои способности организатора производства.</w:t>
      </w:r>
    </w:p>
    <w:p w14:paraId="57668AC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Хотя эвакуация Коломенского завода была одной из самых успешных в отрасли, но даже она столкнулась со значительными трудностями. Об этих трудностях свидетельствует письмо Е. И. Рубинчика И. В. Сталину 8 ноября 1941 года: «Из общего количества направленных нами в город Киров 26 эшелонов на 7-е ноября к месту назначения в город Киров прибыло всего 3 эшелона, причём, эшелоны №№ 22741, 22742, 22743, 22744, 22745 находятся в пути свыше 20 дней. В пути следования мы получаем бесконечное количество телеграмм о простоях эшелонов по 3-5 дней ... Кадры завода в эшелонах с перебоями получают продовольствие и длительно находятся в пути, вместо того, чтобы работать на новом месте. Несмотря на то, что эвакуация далеко не закончена и невзирая на неоднократные решения о выделении нам вагонов, НКПС и Ленинская железная дорога за последние 8 дней по существу прекратили подачу вагонов на погрузку оборудования и материалов, в результате чего мы до сих пор не можем отправить значительную часть кузнечно-прессового, литейного, энергетического оборудования и части материалов, без чего, конечно, нельзя начать танковое производство в городе Кирове. НКПС (тов. Архангельский) до сих пор тянет с передачей завода 1 -го мая в Кирове Коломзаводу вопреки решению ГКО от 9/1Х о немедленной передаче завода нам. Кировский обком тов. Лукьянов обязывался решением ГКО подготовить к 25 октября квартир для рабочих и инженерно-технических работников завода на 10000 человек. Это решение так и не выполнено, размещение даже незначительной части прибывших людей не обеспечено ... Всё это привело к тому, ЧТО В СТОЛЬ ОТВЕТСТВЕННЫЙ ДЛЯ РОДИНЫ МОМЕНТ, КОГДА СТРАНЕ БОЛЬШЕ ВСЕГО И РАНЬШЕ ВСЕГО НУЖНЫ ТАНКИ ... ТАКОЙ МОЩНЫЙ ПРОМЫШЛЕННЫЙ ГИГАНТ, КАК КОЛОМЕНСКИЙ ЗАВОД ПО СУЩЕСТВУ ВЫНУЖДЕН В ТЕЧЕНИЕ МЕСЯЦА БЕЗДЕЙСТВОВАТЬ, А 2500 ЕДИНИЦ ОБОРУДОВАНИЯ И ТЫСЯЧИ КВАЛИФИЦИРОВАННЫХ РАБОЧИХ ПРОСТАИВАЮТ БЕЗ ДЕЛА. Наши неоднократные обращения во все без исключения партийные, советские и хозяйственные организации в Москве и Куйбышеве, от которых зависит обеспечение выполнения постановления Государственного Комитета Обороны, оказались, к сожалению, безрезультатными. Все признают справедливость наших требований, важность нашего завода в деле выпуска танков и боеприпасов, все обещают помочь, но дело с места не двигается». Далее Е. И. Рубинчик просил И. В. Сталина обязать </w:t>
      </w:r>
      <w:r w:rsidRPr="00640820">
        <w:rPr>
          <w:rFonts w:ascii="Times New Roman" w:hAnsi="Times New Roman"/>
          <w:color w:val="000000" w:themeColor="text1"/>
          <w:sz w:val="16"/>
          <w:szCs w:val="16"/>
        </w:rPr>
        <w:lastRenderedPageBreak/>
        <w:t>наркома путей сообщения Л. М. Кагановича, в шестидневный срок доставить в Киров эшелоны, отправленные до 2-го ноября, и подать заводу во второй декаде ноября ещё 1200 вагонов для завершения эвакуации. Кроме того, Е. И. Рубинчик просил передать заводу квартиры на 22.000 человек в Кирове, как для нынешнего персонала, так и для предполагавшегося в будущем увеличения числа работников завода, в том числе, 100 благоустроенных квартир для руководства завода. Также он просил организовать усиленное питание для рабочих и провести на завод правительственную связь. К письму приложена сводка, в которой указано местоположение всех эшелонов с оборудованием завода, что свидетельствует о том, что директор Коломенского завода, в отличие от многих других руководителей предприятий, сохранил контроль над их передвижением (12290).</w:t>
      </w:r>
    </w:p>
    <w:p w14:paraId="13E73A8E"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28BE24E4" w14:textId="77777777" w:rsidR="00F26E86" w:rsidRPr="00640820" w:rsidRDefault="00F26E86" w:rsidP="00640820">
      <w:pPr>
        <w:pStyle w:val="ae"/>
        <w:shd w:val="clear" w:color="auto" w:fill="FFFFFF"/>
        <w:spacing w:before="0" w:after="0"/>
        <w:jc w:val="both"/>
        <w:rPr>
          <w:color w:val="000000" w:themeColor="text1"/>
          <w:sz w:val="16"/>
          <w:szCs w:val="16"/>
        </w:rPr>
      </w:pPr>
      <w:r w:rsidRPr="00640820">
        <w:rPr>
          <w:color w:val="000000" w:themeColor="text1"/>
          <w:sz w:val="16"/>
          <w:szCs w:val="16"/>
        </w:rPr>
        <w:t>В сентябре 1941 ситуация на ГАЗ оставалась в подвешенном состоянии по причине отсутствия корпусов. По состоянию на середину сентября, Муромский завод Народного комиссариата путей сообщения лишь заложил 4 комплекта корпусов и башен, не изготовив ни одного. Новокраматорский завод Народного комиссариата тяжёлого машиностроения заложил 32 корпуса с башней, не закончив к середине месяца ни одного комплекта. Выксунский завод ДРО на ту же дату заложил 6 корпусов и башен, изготовив 2 комплекта. Первый корпус с башней пришёл с Выксы на ГАЗ 17 числа, в тот же день был собран первый танк.</w:t>
      </w:r>
    </w:p>
    <w:p w14:paraId="219A075C" w14:textId="77777777" w:rsidR="00F26E86" w:rsidRPr="00640820" w:rsidRDefault="00F26E86" w:rsidP="00640820">
      <w:pPr>
        <w:pStyle w:val="ae"/>
        <w:shd w:val="clear" w:color="auto" w:fill="FFFFFF"/>
        <w:spacing w:before="0" w:after="0"/>
        <w:jc w:val="both"/>
        <w:rPr>
          <w:color w:val="000000" w:themeColor="text1"/>
          <w:sz w:val="16"/>
          <w:szCs w:val="16"/>
        </w:rPr>
      </w:pPr>
      <w:r w:rsidRPr="00640820">
        <w:rPr>
          <w:color w:val="000000" w:themeColor="text1"/>
          <w:sz w:val="16"/>
          <w:szCs w:val="16"/>
        </w:rPr>
        <w:t>Для производства Т-60 на заводе был выделен новокузовной цех, который получил обозначение «цех №5». Как и в случае с ХТЗ, для ускорения ввода Т-60 на ГАЗ в производство потребовалось вмешательство сверху. В начале сентября директор завода И. К. Лоскутов был вызван на совещание в ЦК ВКП(б). На совещании под председательством Г. М. Маленкова руководство ГАБТУ потребовало от директоров заводов, выпускающих танки, ускорить начало их выпуска. Данное требование в полной мере относилось и к Лоскутову. Именно с этого момента началась постепенная переориентация ГАЗ с производства автомобилей на выпуск танков.</w:t>
      </w:r>
    </w:p>
    <w:p w14:paraId="2D1927AB" w14:textId="77777777" w:rsidR="00F26E86" w:rsidRPr="00640820" w:rsidRDefault="00F26E86" w:rsidP="00640820">
      <w:pPr>
        <w:pStyle w:val="ae"/>
        <w:shd w:val="clear" w:color="auto" w:fill="FFFFFF"/>
        <w:spacing w:before="0" w:after="0"/>
        <w:jc w:val="both"/>
        <w:rPr>
          <w:color w:val="000000" w:themeColor="text1"/>
          <w:sz w:val="16"/>
          <w:szCs w:val="16"/>
        </w:rPr>
      </w:pPr>
      <w:r w:rsidRPr="00640820">
        <w:rPr>
          <w:color w:val="000000" w:themeColor="text1"/>
          <w:sz w:val="16"/>
          <w:szCs w:val="16"/>
        </w:rPr>
        <w:t>Реальное серийное производство Т-60 на ГАЗ началось лишь в октябре 1941 года. В десятых числах октября с завода №37 на ГАЗ отправляются Астров и Окунев. На новом месте Астров стал заместителем главного конструктора, а Окунев старшим военпредом. За первые пять дней месяца вместо запланированных 15 машин было сдано всего 5 танков, к 20 октября было сдано 69 Т-60 (17462).</w:t>
      </w:r>
    </w:p>
    <w:p w14:paraId="39139D65" w14:textId="77777777" w:rsidR="00F26E86" w:rsidRPr="00640820" w:rsidRDefault="00F26E86" w:rsidP="00640820">
      <w:pPr>
        <w:pStyle w:val="ae"/>
        <w:shd w:val="clear" w:color="auto" w:fill="FFFFFF"/>
        <w:spacing w:before="0" w:after="0"/>
        <w:jc w:val="both"/>
        <w:rPr>
          <w:color w:val="000000" w:themeColor="text1"/>
          <w:sz w:val="16"/>
          <w:szCs w:val="16"/>
        </w:rPr>
      </w:pPr>
    </w:p>
    <w:p w14:paraId="4089F01A" w14:textId="77777777" w:rsidR="00F5663D" w:rsidRPr="00640820" w:rsidRDefault="00F5663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shd w:val="clear" w:color="auto" w:fill="FFFFFF"/>
        </w:rPr>
        <w:t>Сентябрём 1941 года датирован проект под названием «Ползущий форт», авторами которого являлись С.Г. Филиппов и С.П. Жилин из Алма-Аты, которые направили своё изобретение лично Сталину. К сожалению, профессиональная деятельность этих двух изобретателей неизвестна, но учитывая тот факт, что предлагаемая ими машина описывалась на оборотных сторонах инструкций по изготовлению литой штукатурки, можно сделать определённые выводы. Материал, из которого Филиппов и Жилин предлагали изготовлять свой «Ползущий форт», также намекает на сферу деятельности авторов.</w:t>
      </w:r>
    </w:p>
    <w:p w14:paraId="06CCE912" w14:textId="77777777" w:rsidR="00F5663D" w:rsidRPr="00640820" w:rsidRDefault="00F5663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shd w:val="clear" w:color="auto" w:fill="FFFFFF"/>
        </w:rPr>
        <w:t>В общей сложности проект «Ползучего форта» занимал более 20 станиц текста, причём изобретатели делали расчёты с массой формул. Если кратко, изобретатели из Казахстана предлагали Сталину боевой виброход длиной 60 м, толщиной брони в полметра и массой 14 000 тонн. Это самый тяжёлый из предлагавшихся в годы войны проектов. На схеме, объяснявшей принцип работы «Движущего форта», был изображён боковой вид боевой машины с башенными орудиями, но учитывая массу и принцип движения, для борьбы с вражескими укреплениями и орудий не требовалось. Что «Движущий форт» не раздавил бы, то само сломалось бы от чудовищных вибраций. Правда, о том, что при этом происходило бы с командой прыгающей железобетонной глыбы, лучше даже не думать. Для рецензирования проекта привлекли нескольких серьёзных специалистов, в том числе и того самого Благонравова, который в 1933 году спроектировал 600-тонный танк. Позже «Ползучий форт» рецензировал и академик Е.А. Чудаков, один из столпов советского автомобилестроения. Академик сделал вывод, что в теории такой аппарат может двигаться, но высказывал сомнения в том, что экипаж сможет выжить при таком типе движения (19738).</w:t>
      </w:r>
    </w:p>
    <w:p w14:paraId="7E15FFEC" w14:textId="77777777" w:rsidR="00F5663D" w:rsidRPr="00640820" w:rsidRDefault="00F5663D" w:rsidP="00640820">
      <w:pPr>
        <w:spacing w:after="0" w:line="240" w:lineRule="auto"/>
        <w:jc w:val="both"/>
        <w:rPr>
          <w:rFonts w:ascii="Times New Roman" w:hAnsi="Times New Roman"/>
          <w:color w:val="000000" w:themeColor="text1"/>
          <w:sz w:val="16"/>
          <w:szCs w:val="16"/>
        </w:rPr>
      </w:pPr>
    </w:p>
    <w:p w14:paraId="2D07FD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года на свет появилась суррогатная САУ ЗИС-30 на базе бронированного арттягача "Комсомолец". Эта машина имела малый запас хода, была перетяжелена и неустойчива, но она могла бороться с любыми бронеобъектами Panzerwaffe и это искупало все недостатки (3862).</w:t>
      </w:r>
    </w:p>
    <w:p w14:paraId="268BEF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169F4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1941-42 годах в блокированном Ленинграде малой серией производилась САУ СУ-76П, представлявшая собой 76-мм полковую пушку, установленную на шасси Т-26 за простым щитовым прикрытием и имевшую круговой сектор обстрела. Эта мера вынужденной, так как осажденный город мог обходиться лишь оставшейся внутри кольца техникой (3862).</w:t>
      </w:r>
    </w:p>
    <w:p w14:paraId="38D23A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40D09F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ОКБ завода № 9 спро</w:t>
      </w:r>
      <w:r w:rsidRPr="00640820">
        <w:rPr>
          <w:rFonts w:ascii="Times New Roman" w:hAnsi="Times New Roman"/>
          <w:color w:val="000000" w:themeColor="text1"/>
          <w:sz w:val="16"/>
          <w:szCs w:val="16"/>
        </w:rPr>
        <w:softHyphen/>
        <w:t>ектировало 122-мм танковую гаубицу У-11, а в декабре был изготовлен ее опытный образец. В январе 1942 г. гаубица была установлена в кон</w:t>
      </w:r>
      <w:r w:rsidRPr="00640820">
        <w:rPr>
          <w:rFonts w:ascii="Times New Roman" w:hAnsi="Times New Roman"/>
          <w:color w:val="000000" w:themeColor="text1"/>
          <w:sz w:val="16"/>
          <w:szCs w:val="16"/>
        </w:rPr>
        <w:softHyphen/>
        <w:t>структивно измененной башне танка КВ и в марте того же года прошла испытания на опытных образцах танка КВ-9, а позже - на опытном тан</w:t>
      </w:r>
      <w:r w:rsidRPr="00640820">
        <w:rPr>
          <w:rFonts w:ascii="Times New Roman" w:hAnsi="Times New Roman"/>
          <w:color w:val="000000" w:themeColor="text1"/>
          <w:sz w:val="16"/>
          <w:szCs w:val="16"/>
        </w:rPr>
        <w:softHyphen/>
        <w:t>ке "Объект 234". В августе 1943 г. был изготовлен опытный образец тан</w:t>
      </w:r>
      <w:r w:rsidRPr="00640820">
        <w:rPr>
          <w:rFonts w:ascii="Times New Roman" w:hAnsi="Times New Roman"/>
          <w:color w:val="000000" w:themeColor="text1"/>
          <w:sz w:val="16"/>
          <w:szCs w:val="16"/>
        </w:rPr>
        <w:softHyphen/>
        <w:t>ка КВ с установленной в нем 122-мм гаубицей С-41, разработанной в ЦАКБ НКВ под руководством В.Г. Грабина. Дальнейшие работы по ус</w:t>
      </w:r>
      <w:r w:rsidRPr="00640820">
        <w:rPr>
          <w:rFonts w:ascii="Times New Roman" w:hAnsi="Times New Roman"/>
          <w:color w:val="000000" w:themeColor="text1"/>
          <w:sz w:val="16"/>
          <w:szCs w:val="16"/>
        </w:rPr>
        <w:softHyphen/>
        <w:t>тановке в танк 122-мм гаубицы были прекращены. Гаубица такого кали</w:t>
      </w:r>
      <w:r w:rsidRPr="00640820">
        <w:rPr>
          <w:rFonts w:ascii="Times New Roman" w:hAnsi="Times New Roman"/>
          <w:color w:val="000000" w:themeColor="text1"/>
          <w:sz w:val="16"/>
          <w:szCs w:val="16"/>
        </w:rPr>
        <w:softHyphen/>
        <w:t>бра оставалась на вооружении только самоходных установок СУ-122, созданных на базе танка Т-34-76 (10703).</w:t>
      </w:r>
    </w:p>
    <w:p w14:paraId="3343F38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E1DE00" w14:textId="77777777" w:rsidR="00F26E86" w:rsidRPr="00640820" w:rsidRDefault="00F26E86" w:rsidP="00640820">
      <w:pPr>
        <w:widowControl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сентябре </w:t>
      </w:r>
      <w:smartTag w:uri="urn:schemas-microsoft-com:office:smarttags" w:element="metricconverter">
        <w:smartTagPr>
          <w:attr w:name="ProductID" w:val="1945 г"/>
        </w:smartTagPr>
        <w:r w:rsidRPr="00640820">
          <w:rPr>
            <w:rFonts w:ascii="Times New Roman" w:hAnsi="Times New Roman"/>
            <w:color w:val="000000" w:themeColor="text1"/>
            <w:sz w:val="16"/>
            <w:szCs w:val="16"/>
          </w:rPr>
          <w:t>1941 г</w:t>
        </w:r>
      </w:smartTag>
      <w:r w:rsidRPr="00640820">
        <w:rPr>
          <w:rFonts w:ascii="Times New Roman" w:hAnsi="Times New Roman"/>
          <w:color w:val="000000" w:themeColor="text1"/>
          <w:sz w:val="16"/>
          <w:szCs w:val="16"/>
        </w:rPr>
        <w:t>. начальник второго отдела НКТП (техотдел) С.А. Гинзбург в условиях острого недостатка специальных артиллерийских тягачей, гусеничных тракторов и грузовых автомобилей выдвинул предложение о начале разработки штурмовых и зенитных бронированных гусеничных машин на шасси легких танков Т-60, производство которых широко разворачивалось. Однако до конца 1941 года эта инициатива отклика ГКО не получила (15218).</w:t>
      </w:r>
    </w:p>
    <w:p w14:paraId="040E980B" w14:textId="77777777" w:rsidR="00F26E86" w:rsidRPr="00640820" w:rsidRDefault="00F26E86" w:rsidP="00640820">
      <w:pPr>
        <w:widowControl w:val="0"/>
        <w:spacing w:after="0" w:line="240" w:lineRule="auto"/>
        <w:jc w:val="both"/>
        <w:rPr>
          <w:rFonts w:ascii="Times New Roman" w:hAnsi="Times New Roman"/>
          <w:color w:val="000000" w:themeColor="text1"/>
          <w:sz w:val="16"/>
          <w:szCs w:val="16"/>
        </w:rPr>
      </w:pPr>
    </w:p>
    <w:p w14:paraId="3EEBA301" w14:textId="77777777" w:rsidR="00F26E86" w:rsidRPr="00640820" w:rsidRDefault="00F26E86" w:rsidP="00640820">
      <w:pPr>
        <w:widowControl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сентябре 1941 года в КБ Горьковского автозавода начались работы по созданию нового легкого полноприводного бронеавтомобиля для Красной Армии начались. На ГАЗе прошло совещание под руководством главного конструктора завода А. Липгарта и его заместителя Н. Астрова (только что прибывшего из Москвы), на котором обсуждалась концепция нового броневика. В результате было принято единственно возможное в то время решение – использовать в качестве базы для новой машины шасси ГАЗ-64, производство которого ГАЗ начал в конце августа 1941 года. Из-за малых габаритов ГАЗ-64 решено было ограничиться экипажем из двух человек и вооружением из одного пулемета ДТ. При конструировании бронекорпуса решили использовать свой опыт по ЛБ-62, а также схему немецкого трофейного броневика </w:t>
      </w:r>
      <w:r w:rsidRPr="00640820">
        <w:rPr>
          <w:rFonts w:ascii="Times New Roman" w:hAnsi="Times New Roman"/>
          <w:color w:val="000000" w:themeColor="text1"/>
          <w:sz w:val="16"/>
          <w:szCs w:val="16"/>
          <w:lang w:val="en-US"/>
        </w:rPr>
        <w:t>Sd</w:t>
      </w:r>
      <w:r w:rsidRPr="00640820">
        <w:rPr>
          <w:rFonts w:ascii="Times New Roman" w:hAnsi="Times New Roman"/>
          <w:color w:val="000000" w:themeColor="text1"/>
          <w:sz w:val="16"/>
          <w:szCs w:val="16"/>
        </w:rPr>
        <w:t xml:space="preserve">. </w:t>
      </w:r>
      <w:r w:rsidRPr="00640820">
        <w:rPr>
          <w:rFonts w:ascii="Times New Roman" w:hAnsi="Times New Roman"/>
          <w:color w:val="000000" w:themeColor="text1"/>
          <w:sz w:val="16"/>
          <w:szCs w:val="16"/>
          <w:lang w:val="en-US"/>
        </w:rPr>
        <w:t>Kfz</w:t>
      </w:r>
      <w:r w:rsidRPr="00640820">
        <w:rPr>
          <w:rFonts w:ascii="Times New Roman" w:hAnsi="Times New Roman"/>
          <w:color w:val="000000" w:themeColor="text1"/>
          <w:sz w:val="16"/>
          <w:szCs w:val="16"/>
        </w:rPr>
        <w:t>. 221, доставленного в Горький (впрочем, форма бронекорпуса ЛБ-62 во многом была заимствована от немецкой машины). Предложение по разработке нового легкого бронеавтомобиля доложили «наверх», в наркомат среднего машиностроения, а оттуда – в ГАБТУ Красной Армии. Инициатива ГАЗа была одобрена, и завод получил задание – разработать детальный проект и изготовить опытный образец нового броневого автомобиля к 1 января 1942 года (15218).</w:t>
      </w:r>
    </w:p>
    <w:p w14:paraId="70D9425D" w14:textId="77777777" w:rsidR="00F26E86" w:rsidRPr="00640820" w:rsidRDefault="00F26E86" w:rsidP="00640820">
      <w:pPr>
        <w:widowControl w:val="0"/>
        <w:spacing w:after="0" w:line="240" w:lineRule="auto"/>
        <w:jc w:val="both"/>
        <w:rPr>
          <w:rFonts w:ascii="Times New Roman" w:hAnsi="Times New Roman"/>
          <w:color w:val="000000" w:themeColor="text1"/>
          <w:sz w:val="16"/>
          <w:szCs w:val="16"/>
        </w:rPr>
      </w:pPr>
    </w:p>
    <w:p w14:paraId="59D3E44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сентября 1941 г. бронеавтомобили БА-1 ОМ были сняты с производства, а бронеавтомо</w:t>
      </w:r>
      <w:r w:rsidRPr="00640820">
        <w:rPr>
          <w:rFonts w:ascii="Times New Roman" w:hAnsi="Times New Roman"/>
          <w:color w:val="000000" w:themeColor="text1"/>
          <w:sz w:val="16"/>
          <w:szCs w:val="16"/>
        </w:rPr>
        <w:softHyphen/>
        <w:t>били БЛ-20М - с июля 1942 г. (10703).</w:t>
      </w:r>
    </w:p>
    <w:p w14:paraId="30E9EA7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D57D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kern w:val="65535"/>
          <w:sz w:val="16"/>
          <w:szCs w:val="16"/>
        </w:rPr>
      </w:pPr>
      <w:r w:rsidRPr="00640820">
        <w:rPr>
          <w:rFonts w:ascii="Times New Roman" w:hAnsi="Times New Roman"/>
          <w:color w:val="000000" w:themeColor="text1"/>
          <w:kern w:val="65535"/>
          <w:sz w:val="16"/>
          <w:szCs w:val="16"/>
        </w:rPr>
        <w:t>В сентябре 1941 года Выксунский завод ДРО вошел в состав новосозданного наркомата тан</w:t>
      </w:r>
      <w:r w:rsidRPr="00640820">
        <w:rPr>
          <w:rFonts w:ascii="Times New Roman" w:hAnsi="Times New Roman"/>
          <w:color w:val="000000" w:themeColor="text1"/>
          <w:kern w:val="65535"/>
          <w:sz w:val="16"/>
          <w:szCs w:val="16"/>
        </w:rPr>
        <w:softHyphen/>
        <w:t>ковой промышленности и стал именоваться завод № 177. Его основной продукцией стали бронекорпуса и башни танков Т-60 и Т-34, выпуску которых предавали первооче</w:t>
      </w:r>
      <w:r w:rsidRPr="00640820">
        <w:rPr>
          <w:rFonts w:ascii="Times New Roman" w:hAnsi="Times New Roman"/>
          <w:color w:val="000000" w:themeColor="text1"/>
          <w:kern w:val="65535"/>
          <w:sz w:val="16"/>
          <w:szCs w:val="16"/>
        </w:rPr>
        <w:softHyphen/>
        <w:t>редное значение. Поэтому производство БА-20М отошло на второй план — война показала, что боевая ценность этих машин невелика. А с принятием на вооружение лег</w:t>
      </w:r>
      <w:r w:rsidRPr="00640820">
        <w:rPr>
          <w:rFonts w:ascii="Times New Roman" w:hAnsi="Times New Roman"/>
          <w:color w:val="000000" w:themeColor="text1"/>
          <w:kern w:val="65535"/>
          <w:sz w:val="16"/>
          <w:szCs w:val="16"/>
        </w:rPr>
        <w:softHyphen/>
        <w:t>кого полноприводного бронеавтомобиля БА-64, спроек</w:t>
      </w:r>
      <w:r w:rsidRPr="00640820">
        <w:rPr>
          <w:rFonts w:ascii="Times New Roman" w:hAnsi="Times New Roman"/>
          <w:color w:val="000000" w:themeColor="text1"/>
          <w:kern w:val="65535"/>
          <w:sz w:val="16"/>
          <w:szCs w:val="16"/>
        </w:rPr>
        <w:softHyphen/>
        <w:t>тированного на Горьковском автомобильном заводе, при</w:t>
      </w:r>
      <w:r w:rsidRPr="00640820">
        <w:rPr>
          <w:rFonts w:ascii="Times New Roman" w:hAnsi="Times New Roman"/>
          <w:color w:val="000000" w:themeColor="text1"/>
          <w:kern w:val="65535"/>
          <w:sz w:val="16"/>
          <w:szCs w:val="16"/>
        </w:rPr>
        <w:softHyphen/>
        <w:t>нимается решение о свертывании изготовления бронема</w:t>
      </w:r>
      <w:r w:rsidRPr="00640820">
        <w:rPr>
          <w:rFonts w:ascii="Times New Roman" w:hAnsi="Times New Roman"/>
          <w:color w:val="000000" w:themeColor="text1"/>
          <w:kern w:val="65535"/>
          <w:sz w:val="16"/>
          <w:szCs w:val="16"/>
        </w:rPr>
        <w:softHyphen/>
        <w:t>шин БА-20М (11284).</w:t>
      </w:r>
    </w:p>
    <w:p w14:paraId="514410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kern w:val="65535"/>
          <w:sz w:val="16"/>
          <w:szCs w:val="16"/>
        </w:rPr>
      </w:pPr>
    </w:p>
    <w:p w14:paraId="3B27816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в связи с приближением линии фронта непосредственно к Ижорскому заводу, производство бронеавтомобилей БЛ-10 было переведено из Колпино в Ленинград на Балтийский завод. Из ос</w:t>
      </w:r>
      <w:r w:rsidRPr="00640820">
        <w:rPr>
          <w:rFonts w:ascii="Times New Roman" w:hAnsi="Times New Roman"/>
          <w:color w:val="000000" w:themeColor="text1"/>
          <w:sz w:val="16"/>
          <w:szCs w:val="16"/>
        </w:rPr>
        <w:softHyphen/>
        <w:t>тавшихся на Ижорском заводе заделов было изготовлено несколько де</w:t>
      </w:r>
      <w:r w:rsidRPr="00640820">
        <w:rPr>
          <w:rFonts w:ascii="Times New Roman" w:hAnsi="Times New Roman"/>
          <w:color w:val="000000" w:themeColor="text1"/>
          <w:sz w:val="16"/>
          <w:szCs w:val="16"/>
        </w:rPr>
        <w:softHyphen/>
        <w:t>сятков бронеавтомобилей, которые использовались в боях при обороне Ленинграда (10703).</w:t>
      </w:r>
    </w:p>
    <w:p w14:paraId="759C5AB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50A920" w14:textId="77777777" w:rsidR="00F5663D" w:rsidRPr="00640820" w:rsidRDefault="00F5663D" w:rsidP="00640820">
      <w:pPr>
        <w:spacing w:after="0" w:line="240" w:lineRule="auto"/>
        <w:jc w:val="both"/>
        <w:textAlignment w:val="baseline"/>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сентябре 1941-го в мастерских Артиллерийского научно-исследовательского морского института в Ленинграде по предложению военинженера 2-го ранга Денисова изготовили партию фугасных противотанковых гранат… со стеклянным корпусом (18988).</w:t>
      </w:r>
    </w:p>
    <w:p w14:paraId="5374DC4F" w14:textId="77777777" w:rsidR="00F5663D" w:rsidRPr="00640820" w:rsidRDefault="00F5663D" w:rsidP="00640820">
      <w:pPr>
        <w:spacing w:after="0" w:line="240" w:lineRule="auto"/>
        <w:jc w:val="both"/>
        <w:textAlignment w:val="baseline"/>
        <w:rPr>
          <w:rFonts w:ascii="Times New Roman" w:eastAsia="Times New Roman" w:hAnsi="Times New Roman"/>
          <w:color w:val="000000" w:themeColor="text1"/>
          <w:sz w:val="16"/>
          <w:szCs w:val="16"/>
          <w:lang w:eastAsia="ru-RU"/>
        </w:rPr>
      </w:pPr>
    </w:p>
    <w:p w14:paraId="45349891" w14:textId="77777777" w:rsidR="00F5663D" w:rsidRPr="00640820" w:rsidRDefault="00F5663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года почти все оборудование и люди с завода, прибывшие в ГМЗ из Ленинграда, были переданы ГАЗ им. Молотова. Привезенные из Харькова оборудование и людской состав не были комплектным и поэтому ГМЗ не мог дать фронту требуемого количества мотоциклов. Постановлением ГКО от 10 ноября 1943 г. Тюменьский мотозавод был воссоединен с Горьковским. После этого начинается настоящая организация завода )19776).</w:t>
      </w:r>
    </w:p>
    <w:p w14:paraId="0DCDD2AA" w14:textId="77777777" w:rsidR="00F5663D" w:rsidRPr="00640820" w:rsidRDefault="00F5663D" w:rsidP="00640820">
      <w:pPr>
        <w:spacing w:after="0" w:line="240" w:lineRule="auto"/>
        <w:jc w:val="both"/>
        <w:rPr>
          <w:rFonts w:ascii="Times New Roman" w:hAnsi="Times New Roman"/>
          <w:color w:val="000000" w:themeColor="text1"/>
          <w:sz w:val="16"/>
          <w:szCs w:val="16"/>
        </w:rPr>
      </w:pPr>
    </w:p>
    <w:p w14:paraId="2C176B06" w14:textId="77777777" w:rsidR="003A0BD1" w:rsidRPr="00640820" w:rsidRDefault="003A0BD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военинженер 2-го ранга Кунтыш сообщил в КПК, что выполнение заказа Главного военно-химического управления НКО Наркомату общего машиностроения «на изготовление 30 штук зиговочных машин для ремонта противогазов недопустимо затянулось»136. После вмешательства КПК были установлены новые сроки сдачи заказа, однако никакое наказание за просрочку не было наложено (18627).</w:t>
      </w:r>
    </w:p>
    <w:p w14:paraId="19717F8D" w14:textId="77777777" w:rsidR="003A0BD1" w:rsidRPr="00640820" w:rsidRDefault="003A0BD1" w:rsidP="00640820">
      <w:pPr>
        <w:spacing w:after="0" w:line="240" w:lineRule="auto"/>
        <w:jc w:val="both"/>
        <w:rPr>
          <w:rFonts w:ascii="Times New Roman" w:hAnsi="Times New Roman"/>
          <w:color w:val="000000" w:themeColor="text1"/>
          <w:sz w:val="16"/>
          <w:szCs w:val="16"/>
        </w:rPr>
      </w:pPr>
    </w:p>
    <w:p w14:paraId="32370A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года решением Правительства ташкентская кондитерская фабрика была передана НК минометного вооружения для размещения и строительства на ней завода № 735.</w:t>
      </w:r>
    </w:p>
    <w:p w14:paraId="04A65E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Основные кадры и оборудование завода состояли в основном из эвакуированных из Ростова-на-Дону завода “Красный Аксай” и Ленинграда завода “ВУЛКАН”.</w:t>
      </w:r>
    </w:p>
    <w:p w14:paraId="7D8CA9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Ташкент 17, п/я 247 (9661).</w:t>
      </w:r>
    </w:p>
    <w:p w14:paraId="1850CD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EF414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сентябре 1941 года на имеющихся площадях завода № 255 в Нижнем Ломове был размещен эвакуированный из г. Шостка завод № 53. Ввиду недостатка площадей часть оборудования была размещена в здании ликеро-водочного завода, находящегося в черте г. Н. Ломова.</w:t>
      </w:r>
    </w:p>
    <w:p w14:paraId="24B03E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НКБ № 116 от 27 марта 1945 года завод № 53 был реэвакуирован и в построенных зданиях было размещено оборудование для производства взрывателя ГВМЗ-1. В июле 1946 года завод получил задание на изготовление взрывателя М-4.</w:t>
      </w:r>
    </w:p>
    <w:p w14:paraId="18637A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Нижний Ломов Пензенской области, п/я 5</w:t>
      </w:r>
    </w:p>
    <w:p w14:paraId="3B520B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 Шумов (10032).</w:t>
      </w:r>
    </w:p>
    <w:p w14:paraId="558D25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2E81F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года на строительную площадку завода № 322 начали прибывать оборудование и основная часть личного состава завода № 79 НКБ, эвакуированного из Днепропетровска УССР.</w:t>
      </w:r>
    </w:p>
    <w:p w14:paraId="3E11E3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Строительная площадка завода № 322 располагалась на правом берегу реки Урал на расстоянии 8 км от реки, в районе нового города, между поселком ТЭЦ и Новым городом.</w:t>
      </w:r>
    </w:p>
    <w:p w14:paraId="4F59AB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Размещение на территории строительства эвакуированного завода № 79 предопределило перестройку профиля завода на выпуск 152 мм снарядов.</w:t>
      </w:r>
    </w:p>
    <w:p w14:paraId="3E2302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Выпуск корпусов снарядов начался с конца октября 1941 года.</w:t>
      </w:r>
    </w:p>
    <w:p w14:paraId="60275B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окончании ВОВ оборонная продукция с плана завода была снята. Профиль завода изменен на выпуск с/х машин, запасных деталей к ним и изготовление бурильных замков для нефтяной промышленности.</w:t>
      </w:r>
    </w:p>
    <w:p w14:paraId="60F6FE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Орск Чкаловской области, п/я 12</w:t>
      </w:r>
    </w:p>
    <w:p w14:paraId="7E9FD7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 Погудин (10034).</w:t>
      </w:r>
    </w:p>
    <w:p w14:paraId="55218C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32041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завод № 317 (Завод № 317 ИМ. ОГПУ НКБ, Мелитопольский станкостроительный завод, п/я 57, Акмолинский насосный завод, Целиноградский насосный завод, ПК «Насосный завод» / г. Мелитополь Запорожской обл.; Казахстан  г. Акмолинск п/я 57 «Поршень» (1943-44 г.),  г. Целиноград,  г. Акмола/ /Казахстан  г. Астана ул. 50 лет Октября, 111/ (оборудование и 165 чел.) эвакуирован в Акмолинск, размещен в здании педучилища (позднее- это ул. 50 лет Октября). 15.11.1941 г. завод выдал первую партию боеприпасов. В 12.1942-04.1943 г. - в ведении 4ГУ НКБ, в 08.1943-09.1944 г. - в ведении 8ГУ. Имел обозначение «п/я 57» (1943 г.).</w:t>
      </w:r>
    </w:p>
    <w:p w14:paraId="07777F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завода основные цехи (1944 г.): станкостроения, литейный; вспомогательные: инструментальный.</w:t>
      </w:r>
    </w:p>
    <w:p w14:paraId="0E7347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технологического оборудования для заводов отрасли (ВОВ). В 1945 г. завод перепрофилирован на производство вакуумных насосов. В 1959 г. переименован в Акмолинский насосный завод.</w:t>
      </w:r>
    </w:p>
    <w:p w14:paraId="779DC2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(1943 г.)- 133 ед., (1944 г.)-146 ед.</w:t>
      </w:r>
    </w:p>
    <w:p w14:paraId="7A2DB8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производственная (1943 г.)- 891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(1944 г.)- 2017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вспомогательная (1943 г.)- 1518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(1944 г.)- 1144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4714B1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(12.1942 г.)- 723 чел.</w:t>
      </w:r>
    </w:p>
    <w:p w14:paraId="7FE983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(-1941-04.1944 г.-)- Н.А. Муравьев.</w:t>
      </w:r>
    </w:p>
    <w:p w14:paraId="3C6826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механик (04.1944 г.)- Коваленко.</w:t>
      </w:r>
    </w:p>
    <w:p w14:paraId="02959B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ППО (-04.1943-04.1944 г.-)- Лотов.</w:t>
      </w:r>
    </w:p>
    <w:p w14:paraId="407A66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45-мм осколочная граната (1943), корпуса 37-мм снарядов (1944) (11982).</w:t>
      </w:r>
    </w:p>
    <w:p w14:paraId="32B336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037C7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Заводом № 687, Завод электросварочного оборудования «Искра», ЗАО «Завод «Искра» /623131  г. Первоуральск пос. Новоуткинск Свердловской обл. ул. Партизан, 23/, куда после начала войны из Ленинграда был эвакуирован цех сварочных машин завода «Электрик», было выпущено первое сварочное оборудование.</w:t>
      </w:r>
    </w:p>
    <w:p w14:paraId="16FD84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специализация завода была сохранена. В 1970-х  г. завод стал ведущим по производству сварочного оборудования от Волги до Дальнего Востока (11982).</w:t>
      </w:r>
    </w:p>
    <w:p w14:paraId="16C930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F471C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года завод 355 был эвакуирован в Томск и реэвакуирован обратно в Загорск в сентябре 1943 года.</w:t>
      </w:r>
    </w:p>
    <w:p w14:paraId="2627D5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период ВОВ завод освоил и в массовом порядке выпускал бинокли 6-ти кратного увеличения, авиационные прицелы (ОП2Л, ПБП-1А), прицелы для зенитной артиллерии (К-37), танковые призмы и перископ-разведчик (ТР).</w:t>
      </w:r>
    </w:p>
    <w:p w14:paraId="612867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60BCD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1949 года завод вместо выпуска оптико-механических приборов перешел на выпуск оптико-электромеханических приборов (10250).</w:t>
      </w:r>
    </w:p>
    <w:p w14:paraId="6DE87C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AEFC9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года завод № 596 был передан в состав Ярославского электромашиностроительного завода (в настоящее время завод № 655 НКЭП) и окончательная организация в феврале 1942 года завода как самостоятельной единицы (10227).</w:t>
      </w:r>
    </w:p>
    <w:p w14:paraId="2C1990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BC19D4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сентяб</w:t>
      </w:r>
      <w:r w:rsidRPr="00640820">
        <w:rPr>
          <w:rFonts w:ascii="Times New Roman" w:hAnsi="Times New Roman"/>
          <w:color w:val="000000" w:themeColor="text1"/>
          <w:sz w:val="16"/>
          <w:szCs w:val="16"/>
        </w:rPr>
        <w:softHyphen/>
        <w:t>рю 1941 г. относятся первые упоминания о проектных работах по созданию отечественных САУ военного времени, когда начальник второго отдела НКТП (техот</w:t>
      </w:r>
      <w:r w:rsidRPr="00640820">
        <w:rPr>
          <w:rFonts w:ascii="Times New Roman" w:hAnsi="Times New Roman"/>
          <w:color w:val="000000" w:themeColor="text1"/>
          <w:sz w:val="16"/>
          <w:szCs w:val="16"/>
        </w:rPr>
        <w:softHyphen/>
        <w:t>дел) С.А. Гинзбург в условиях острого недостатка специаль</w:t>
      </w:r>
      <w:r w:rsidRPr="00640820">
        <w:rPr>
          <w:rFonts w:ascii="Times New Roman" w:hAnsi="Times New Roman"/>
          <w:color w:val="000000" w:themeColor="text1"/>
          <w:sz w:val="16"/>
          <w:szCs w:val="16"/>
        </w:rPr>
        <w:softHyphen/>
        <w:t>ных артиллерийских тягачей, гусеничных тракторов и гру</w:t>
      </w:r>
      <w:r w:rsidRPr="00640820">
        <w:rPr>
          <w:rFonts w:ascii="Times New Roman" w:hAnsi="Times New Roman"/>
          <w:color w:val="000000" w:themeColor="text1"/>
          <w:sz w:val="16"/>
          <w:szCs w:val="16"/>
        </w:rPr>
        <w:softHyphen/>
        <w:t>зовых автомобилей выдвинул предложение о начале разра</w:t>
      </w:r>
      <w:r w:rsidRPr="00640820">
        <w:rPr>
          <w:rFonts w:ascii="Times New Roman" w:hAnsi="Times New Roman"/>
          <w:color w:val="000000" w:themeColor="text1"/>
          <w:sz w:val="16"/>
          <w:szCs w:val="16"/>
        </w:rPr>
        <w:softHyphen/>
        <w:t>ботки штурмовых и зенитных бронированных гусеничных машин на шасси легких танков Т-60, производство кото</w:t>
      </w:r>
      <w:r w:rsidRPr="00640820">
        <w:rPr>
          <w:rFonts w:ascii="Times New Roman" w:hAnsi="Times New Roman"/>
          <w:color w:val="000000" w:themeColor="text1"/>
          <w:sz w:val="16"/>
          <w:szCs w:val="16"/>
        </w:rPr>
        <w:softHyphen/>
        <w:t>рых широко разворачивалось. Однако до конца 1941 г. эта инициатива отклика ГКО не получила (11417).</w:t>
      </w:r>
    </w:p>
    <w:p w14:paraId="7DBACB2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10CA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начал строиться на новой площадке на территории гаража Военно-строительного управления ПриВО (Военно-механический завод (ВМЗ) № 1, Куйбышевский механический завод (КМЗ) № 1 Минмонтажспецстроя, ОАО «Сокол» /г. Киев; г. Куйбышев ул. Гаражная/ /443079 г. Самара ул. Революционная, 101 тел. 60-08-67), эвакуированный из Киева. Планировалось перебазировать его в Оренбург, но эшелон застрял в Куйбышеве, здесь он и остался. В 12.1941 г. дал первую продукцию: автобензозаправщики, водомаслогрейки, станки для танковых пушек «Гочкис». В годы ВОВ выпускал также цистерны, генераторы на автомобили ЗИС-5, котлы для котельных, детали для «катюш», понтоны и полупонтоны, шанцевый инструмент, гвозди. После войны- производство кранов.</w:t>
      </w:r>
    </w:p>
    <w:p w14:paraId="5928D1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03.1949г. ВМЗ № 1 переименован в Куйбышевский механический завод № 1 Минмонтажспецстроя СССР.</w:t>
      </w:r>
    </w:p>
    <w:p w14:paraId="0DFCDB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08.1993г. Куйбышевский механический завод №1 преобразован в ОАО «Сокол».</w:t>
      </w:r>
    </w:p>
    <w:p w14:paraId="387252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Гендиректор (1981-2003г.-)- Н.П. Кузьменко.</w:t>
      </w:r>
    </w:p>
    <w:p w14:paraId="14E048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(1979-81 г.)- Н.П. Кузьменко, (2002г.)- В.И. Павленко. Зам. Директора (2002г.)- А. Кайда. Коммерческий директор (2003г.)- Т.Н. Белова.</w:t>
      </w:r>
    </w:p>
    <w:p w14:paraId="7B5AE2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краны: АК-3 на шасси ЗИС-5 (1945-); кран «Пионер»; стреловой кран «Деррик» (1950-); башенные краны: СБК-1 (1951-), рельсовый кран БК-5 (1959-), МСК-5-20; монтажный кран МК-1 на базе трактора С-80 (1959-); монтажные колесные краны: МКП-20, МКП-25-А, МКШ-25, МКП-50, МКА-6,3 на шасси ЗИЛ-130 (1960-е), МКАТ-40 (1980-е); мостовой кран для железнодорожных депо (1994); кран на железнодорожном ходу «Сокол 60-01» (2001); винтовой домкрат; трейлеры, телескопические вышки, платформы для перевозки опор ЛЭП, поточная линия по производству изоляции трубопроводов, гидравлические подъемники для ректификационных колонн, редуктор ПСК-025 и лебедка ЛО для подъёма мачт радиолокаторов для МО (1970-е); кран специальный на железнодорожном ходу «Сокол-80.01» (2003); кран специальный на гусеничном ходу; автомобильный кран СКАТ-32 на шасси КрАЗ-65101 (2003); металлоконструкции для капитального строительства; автоматические железнодорожные переезды; напольные грузоподъемные комплексы ремонта подвижного состава (11982).</w:t>
      </w:r>
    </w:p>
    <w:p w14:paraId="68A95A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3FDE9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после начала войны завод № 23 НКС (Завод № 23 НКС, МС , Новосибирский союзный завод «Промсвязь», Новосибирский опытный завод «Промсвязь», АООТ, ОАО «Дельта» / г. Киев;  г. Новосибирск ул. Трудовая, 27/ /630088  г. Новосибирск ул.Сибиряков-Гвардейцев, 51/3/) эвакуирован в Новосибирск на площади мастерских областного Управления связи и продолжил действовать под своим номером. Далее подчинялся ГУ промышленных предприятий Минсвязи.</w:t>
      </w:r>
    </w:p>
    <w:p w14:paraId="7EF683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МС № 23 от 06.01.1967 г. завод № 23 переименован в Новосибирский союзный завод «Промсвязь», в 1985 г. переименован в Новосибирский опытный завод «Промсвязь». 15.12.1993 г. завод реорганизован в АООТ «Дельта» (свидетельство о регистрации № 683), 09.09.1997 г. АООТ преобразовано в ОАО «Дельта» (свидетельство № 0007207).</w:t>
      </w:r>
    </w:p>
    <w:p w14:paraId="5212EF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(1943 г.)- 60 чел. Директор (1943 г.)- Ильин.</w:t>
      </w:r>
    </w:p>
    <w:p w14:paraId="3B7AC4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детали для линейного оборудования связи и телефонов (11982).</w:t>
      </w:r>
    </w:p>
    <w:p w14:paraId="6FC2525E" w14:textId="77777777" w:rsidR="00F26E86" w:rsidRPr="00640820" w:rsidRDefault="00F26E86" w:rsidP="00640820">
      <w:pPr>
        <w:autoSpaceDE w:val="0"/>
        <w:autoSpaceDN w:val="0"/>
        <w:adjustRightInd w:val="0"/>
        <w:spacing w:after="0" w:line="240" w:lineRule="auto"/>
        <w:jc w:val="both"/>
        <w:rPr>
          <w:rFonts w:ascii="Times New Roman" w:hAnsi="Times New Roman"/>
          <w:color w:val="000000" w:themeColor="text1"/>
          <w:sz w:val="16"/>
          <w:szCs w:val="16"/>
        </w:rPr>
      </w:pPr>
    </w:p>
    <w:p w14:paraId="0CDEC5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года было изготовлено 3000 "голубеснарядов" ГЗС-7, которые затем были отправлены на фронт. После окончания войны среди трофейных немецких документов нашли брошюру с описанием ГЗС-7 и результатов их применения по немецким аэродромам. Понятно, что психологическое действие на противника такого неожиданного оружия, как ГЗС, намного превысило материальный ущерб, нанесенный зажигательными снарядами (3861).</w:t>
      </w:r>
    </w:p>
    <w:p w14:paraId="593B5D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57F753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в Грозном построили завод брекетированного бензина достроили и начали выпуск продукции. А вскоре выяснилось, что отвержденный бензин никому не нужен (12153).</w:t>
      </w:r>
    </w:p>
    <w:p w14:paraId="15C04D72"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0D67C4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завод № 351 НКЭП (Завод № 351 НКОП, НКСП, НКЭП, «Елецэлементстрой» НКОП, п/я 13, Елецкий элементный завод, п/я 113, ОАО «Энергия» /г. Елец Липецкой обл.;  г. Верхний Уфалей Челябинской обл./ /399775  г. Елец Липецкой обл. пос. Электрик, 1/) выпустил первую продукцию - анодные галетные батареи.</w:t>
      </w:r>
    </w:p>
    <w:p w14:paraId="60D975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эвакуирован в  г. Верхний Уфалей, где действовал по 1944 г., затем реэвакуирован на прежнее место.</w:t>
      </w:r>
    </w:p>
    <w:p w14:paraId="11871B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28.10.1944 г. вышло постановление ГКО № 6814 об увеличении производства гальванических батарей и элементов для радиоузлов и войсковых радиостанций на заводе.</w:t>
      </w:r>
    </w:p>
    <w:p w14:paraId="073F3A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Имел открытые наименования «п/я 13» (1952 г.-), затем «п/я 113» (1964-65 г.). Далее - Елецкий элементный завод.</w:t>
      </w:r>
    </w:p>
    <w:p w14:paraId="1FC4BB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w:t>
      </w:r>
      <w:r w:rsidRPr="00640820">
        <w:rPr>
          <w:rFonts w:ascii="Times New Roman" w:hAnsi="Times New Roman"/>
          <w:iCs/>
          <w:color w:val="000000" w:themeColor="text1"/>
          <w:sz w:val="16"/>
          <w:szCs w:val="16"/>
        </w:rPr>
        <w:t xml:space="preserve"> Я.К.</w:t>
      </w:r>
      <w:r w:rsidRPr="00640820">
        <w:rPr>
          <w:rFonts w:ascii="Times New Roman" w:hAnsi="Times New Roman"/>
          <w:color w:val="000000" w:themeColor="text1"/>
          <w:sz w:val="16"/>
          <w:szCs w:val="16"/>
        </w:rPr>
        <w:t xml:space="preserve"> Проскурин, Шагиян. Гендиректор (1985-2007 г.-)- В.А. Архипенко.</w:t>
      </w:r>
    </w:p>
    <w:p w14:paraId="595B79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строительства (-14.07.1937 г.)- И. Г. Симхович, (14.07.1937-11.04.1938 г.)- К.П(Н). Нагог, (4.10.1938 г.-)- И.С. Кузовов.</w:t>
      </w:r>
      <w:r w:rsidRPr="00640820">
        <w:rPr>
          <w:rFonts w:ascii="Times New Roman" w:hAnsi="Times New Roman"/>
          <w:color w:val="000000" w:themeColor="text1"/>
          <w:sz w:val="16"/>
          <w:szCs w:val="16"/>
          <w:vertAlign w:val="superscript"/>
        </w:rPr>
        <w:t>139</w:t>
      </w:r>
    </w:p>
    <w:p w14:paraId="254BFB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(2007 г.)- М.В. Каменцев (11982).</w:t>
      </w:r>
    </w:p>
    <w:p w14:paraId="6F0F07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EAE1C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после начала войны в Ленинск-Кузнецкий эвакуирован завод № 220 НКЭП и часть завода «Ленинская Искра». Вероятно, на их базе создан новый завод № 587 НКЭП (Завод № 587 НКЭП, п/я 25, Завод «Запсибэлемент», Завод «Кузбассэлемент», ЗАО «Кузбассэлемент» /652521  г. Ленинск-Кузнецкий Кемеровской обл. пр. Ленина, 43; ул. Спасстанция, 15 (2008 г.)/). В 1943-53 г. имел наименование «п/я 25». В 1954 г. получил название завод «Запсибэлемент». Распоряжением СНХ № 278 от 10.11.1957 г. переименован в завод «Кузбассэлемент».</w:t>
      </w:r>
    </w:p>
    <w:p w14:paraId="68998A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щелочные аккумуляторы, гальванические элементы и батареи, водоактивируемые источники тока.</w:t>
      </w:r>
    </w:p>
    <w:p w14:paraId="656E52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6.11.2008 г. на предприятии введена процедура внешнего наблюдения, 5.05.2009 г. предприятие признано банкротом, введено конкурсное производство.</w:t>
      </w:r>
    </w:p>
    <w:p w14:paraId="5460FB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Временный управляющий (12.11.2008 г.-)-  Г.И. Купцов. Конкурсный управляющий (05.2009 г.-)-  Г.И. Купцов (11982).</w:t>
      </w:r>
    </w:p>
    <w:p w14:paraId="279D64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C2068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пл П-3 находилась в одном из Кронштадтских доков, получила прямое попадание бомбы и вышла из строя. В 1942 г. П-2 и П-3 поставили в консервацию, а после войны вывели из состава ВМФ (3898).</w:t>
      </w:r>
    </w:p>
    <w:p w14:paraId="6257D3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E5892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ЦКБ-50 влито в состав ЦКБ-32 НКСП. Группа конструкторов катеров была переведена в ЦКБ-19.</w:t>
      </w:r>
    </w:p>
    <w:p w14:paraId="06EC1A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Вновь образовано в 1945(6) г. в Ленинграде на базе КБ завода № 189 и группы конструкторов из ЦКБ-17 для проектирования тральщиков, больших охотников, десантных кораблей, спасательных судов. В начале 1949 г. проектирование базовых тральщиков было передано в КБ завода № 363, а рейдовых - в КБ завода № 341. Разрабатывались также проекты сухогрузов, танкеров, противопожарных судов, рыбопромысловых; спусковых, транспортных и ремонтных доков.</w:t>
      </w:r>
    </w:p>
    <w:p w14:paraId="2AC127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1946 г. разрабатывался проект тральщика пр. 254, затем работы переданы в КБ завода № 363.</w:t>
      </w:r>
    </w:p>
    <w:p w14:paraId="4F0E3C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1950-е  г. проектировался понтон пр. 755, работы переданы в ЦКБ-17. В начале 1960-х  г. сюда из ЦКБ-17 передано проектирование плавдока пр. 1753. Спроектирован крупнейший отечественный спусковой плавучий док пр. 2121 «Сухона» грузоподъемностью 25 тыс. т.</w:t>
      </w:r>
    </w:p>
    <w:p w14:paraId="703687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правительства от 02.1958 г. начато проектирование тральщиков со стеклопластиковыми корпусами. Пост, правительства № 70-33 от 17.01.1959 г. утверждено ТТЗ на рейдовый тральщик пр. 1252. Впервые в мире в 1963-65 г. созданы тральщики пр. 1251 и 1252 с корпусом из стеклопластика. Пост, правительства № 432-155 от 16.06.1970 г. были утверждены ТТТ на базовый тральщик пр. 1265.</w:t>
      </w:r>
    </w:p>
    <w:p w14:paraId="76F276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 1159-498 от 12.10.1959 г. головной танкодесантный корабль ТДК-8 пр. 188 пнв.</w:t>
      </w:r>
    </w:p>
    <w:p w14:paraId="4EBE0B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правительства от 02.1959 г. ЦКБ в 06.1959 г. выдано задание на проектирование сухогрузно-трейлерного судна пр. 1173 и большого десантного корабля пр. 1171. В 07.1960 г. эти проекты объединены в один пр. 1171, технический проект утвержден в 11.1961 г.</w:t>
      </w:r>
    </w:p>
    <w:p w14:paraId="6BDA87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 210-68 от 26.03.1965 г. корабль противолодочной обороны пр. 159 пнв; пост. № 573- 203 от 24.07.1968 г. сетевой заградитель пр. 317 пнв.</w:t>
      </w:r>
    </w:p>
    <w:p w14:paraId="3984DF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1963 г. в состав ЦКБ-50 влито ЦКБ-363, из ЦКБ-19 в него переведена группа конструкторов деревянных тральщиков. В 1966 г. ЦКБ-50 МСП переименовано в Западное ПКБ.</w:t>
      </w:r>
    </w:p>
    <w:p w14:paraId="397E0A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1994 г. - единственный в стране проектировщик противоминных кораблей (ПМК, тральщиков). В 1998 г. вошло в состав ЦМКБ «Алмаз».</w:t>
      </w:r>
    </w:p>
    <w:p w14:paraId="337095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 В. А. Пономарев.</w:t>
      </w:r>
      <w:r w:rsidRPr="00640820">
        <w:rPr>
          <w:rFonts w:ascii="Times New Roman" w:hAnsi="Times New Roman"/>
          <w:color w:val="000000" w:themeColor="text1"/>
          <w:sz w:val="16"/>
          <w:szCs w:val="16"/>
          <w:vertAlign w:val="superscript"/>
        </w:rPr>
        <w:t>61</w:t>
      </w:r>
    </w:p>
    <w:p w14:paraId="011465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Гл. конструкторы: (1939 г.)- Б.Н. Четвериков (С-40), (1950 г.)- Е.С. Толоцкий (пр. 437Н, 450, 568), (1955 г.)- Н.М. Ивашков (пр. 317), (1950-е-60 г.-&gt; И.И. Кузьмин (пр. 188, 189, 1171), (1950-е)- Н. Г. Лощинский (пр. 189, 527), (-1959-65 Г.-)- Д.Т. Походун (пр. 266М, 1251), (1965 г.)- Д.И. Рудаков (пр. 1265Д), (1960-е&gt; Е.С. Васильев (пр. 106К), (1960-е-70-е)- М.К. Горшков (пр. 527П, 537, 11980), (1960-е-75 г.-)- В.П. Вилунас (пр. 1252, 1256), (-1967- 77 г.-)- В.И. Блинов (пр. 1253А, 1259, 1259М, 12591, 12592), (-1969-76 г.-&gt; В.И. Немудров (пр. 257В, 10750, 12255, 1253В, 12531,1256, 1265Д, 1265Э, 12651, 1300), (1960-е-72 г.-)- Н.П. Пегов (пр. 266М, 266МЭ, 923, 12660), (1960- е)- К.И. Чичев (пр. 535), (1970-е-80-е)- В.Ф. Безукладов (пр. 535, 1236, 05035), (1970-е-80-е)- Л.А. Петраков (пр. 1780, 2121, 20230,20270), (1980-е)- В.В. Черномордик (пр. 01001), (1980-е)- С.В. Чежин (пр. 05430),  Г.П. Курилко (пр. 05430), В.Н. Чесноков (пр. 1780), Ю.В. Чуистов (пр. 1769), П.А. Антонов (пр. 1769), Ш.А. Мустафин (пр. 266МЭ), А.А. Форст (пр. 12255),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Сергеев (пр. 12660), А. Г. Минаев (пр. 530); и.о. гл. конструктора (1965 г.)- К.Я. Абдулов (пр. 1254).</w:t>
      </w:r>
    </w:p>
    <w:p w14:paraId="0688B6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Создано: бронекатера:</w:t>
      </w:r>
      <w:r w:rsidRPr="00640820">
        <w:rPr>
          <w:rFonts w:ascii="Times New Roman" w:hAnsi="Times New Roman"/>
          <w:color w:val="000000" w:themeColor="text1"/>
          <w:sz w:val="16"/>
          <w:szCs w:val="16"/>
        </w:rPr>
        <w:t xml:space="preserve"> большой пр. 1124 (1934), малый пр. 1125 (1930-е), пр. 1125у, пр. С-40 (1939), морской пр. 138 (1940); охотник за ПЛ пр. 159 (1941, пнв 26.03.1965 г.); торпедный катер пр. 157 (1941), пр. 158 (1942, не реализован);</w:t>
      </w:r>
      <w:r w:rsidRPr="00640820">
        <w:rPr>
          <w:rFonts w:ascii="Times New Roman" w:hAnsi="Times New Roman"/>
          <w:iCs/>
          <w:color w:val="000000" w:themeColor="text1"/>
          <w:sz w:val="16"/>
          <w:szCs w:val="16"/>
        </w:rPr>
        <w:t xml:space="preserve"> тральщики:</w:t>
      </w:r>
      <w:r w:rsidRPr="00640820">
        <w:rPr>
          <w:rFonts w:ascii="Times New Roman" w:hAnsi="Times New Roman"/>
          <w:color w:val="000000" w:themeColor="text1"/>
          <w:sz w:val="16"/>
          <w:szCs w:val="16"/>
        </w:rPr>
        <w:t xml:space="preserve"> морские 2-го поколения пр. 254 (1946), пр. 266, пр. 266М «Аквамарин» (1965-69), экспортный пр. 266МЭ (1977); стеклопластиковый пр. 1251 «Рубин» (1959-63, не реализован), морской 3-го поколения пр. 12660 «Рубин» (1972-); базовые: стеклопластиковый пр. 1252 «Изумруд» (1965), стеклопластиковый пр. 1265П «Яхонт» (1965-70), деревянный пр. 1265Д (1965-70), экспортный пр. 1265Э (1970- е), пр. 12651 «Яхонт-1» (1970-е, не реализован); рейдовые пр. 1258 «Корунд», 3-го поколения пр. 10750 «Сапфир» (1975-), 10750Е; шнуроукладчики пр. 1253А (1967-70), пр. 12531 (1976-78); прорыватели минных заграждений пр. 1254 «Базальт» (1965-68, не реализован), пр. 1300 (1975-78), пр. 12255 (1980-е); волновой охранитель пр. 1256 (1975-); морской вертолетоносец пр. 923 (1972-79, не реализован); речные: стеклопластиковый пр. 1259 «Малахит» (1968-72), пр. 1259М (1970-е, не реализован), пр. 12591 (1970-е, не реализован), пр. 1259МЭ (12592) (1977-82), пр. 13000 «Челнок-Т», пр. 12255 «Лазурит», пр. 12561 «Топаз-1»; сетевой заградитель пр. 317 (1955-58, пнв 24.07.1968 г.); пассажирские катера: типа «Леваневский» (1936), типа «Громов» (1936); сухоргузные транспорты: пр. 450 (1950), пр. 450Б (1955), пр. 568 (1950-е); танкер пр. 437Н (1954); рейдовый буксир пр. 255Б на базе тральщика пр. 255 (1950-е, совместно с СКБ-341); корабли-водители шнуроукладчиков пр. 257В (1969), пр. 1253В «Аметист» (1969-70);</w:t>
      </w:r>
      <w:r w:rsidRPr="00640820">
        <w:rPr>
          <w:rFonts w:ascii="Times New Roman" w:hAnsi="Times New Roman"/>
          <w:iCs/>
          <w:color w:val="000000" w:themeColor="text1"/>
          <w:sz w:val="16"/>
          <w:szCs w:val="16"/>
        </w:rPr>
        <w:t xml:space="preserve"> спасательные суда:</w:t>
      </w:r>
      <w:r w:rsidRPr="00640820">
        <w:rPr>
          <w:rFonts w:ascii="Times New Roman" w:hAnsi="Times New Roman"/>
          <w:color w:val="000000" w:themeColor="text1"/>
          <w:sz w:val="16"/>
          <w:szCs w:val="16"/>
        </w:rPr>
        <w:t xml:space="preserve"> универсальное пр. 527 (1950-е), пр. 527П (1960-е), пр. 527М (1970-е), пр. 532, пр. 539, пр. 541, экспедиционное судно-носитель глубоководных аппаратов пр. 545 (1960-е-70-е, не реализован), пр. 2666, многоцелевое спасательное пр. 537 «Осьминог» (1979), 05430 «Гиндукуш» (1985), судоподъемные пр. 530 «Карпаты» (1966), пр. 05410 «Байкал» (1980-е, не реализован); поисково- обследовательское судно пр. 01001 «Саяны» (1980-е, не реализован); плавучая лаборатория пр. 02546 (1980-е); </w:t>
      </w:r>
      <w:r w:rsidRPr="00640820">
        <w:rPr>
          <w:rFonts w:ascii="Times New Roman" w:hAnsi="Times New Roman"/>
          <w:iCs/>
          <w:color w:val="000000" w:themeColor="text1"/>
          <w:sz w:val="16"/>
          <w:szCs w:val="16"/>
        </w:rPr>
        <w:t>десантные корабли:</w:t>
      </w:r>
      <w:r w:rsidRPr="00640820">
        <w:rPr>
          <w:rFonts w:ascii="Times New Roman" w:hAnsi="Times New Roman"/>
          <w:color w:val="000000" w:themeColor="text1"/>
          <w:sz w:val="16"/>
          <w:szCs w:val="16"/>
        </w:rPr>
        <w:t xml:space="preserve"> средний (СДК) пр. 188 (пнв 12.10.1959 г.); малые (МДК) пр. 189 (1950-е), пр. 106К «Сайгак» (1965); пр. 572 (1950-е), пр. 586; большой пр. 1171 «Тапир» (1961);</w:t>
      </w:r>
      <w:r w:rsidRPr="00640820">
        <w:rPr>
          <w:rFonts w:ascii="Times New Roman" w:hAnsi="Times New Roman"/>
          <w:iCs/>
          <w:color w:val="000000" w:themeColor="text1"/>
          <w:sz w:val="16"/>
          <w:szCs w:val="16"/>
        </w:rPr>
        <w:t xml:space="preserve"> пожарные суда:</w:t>
      </w:r>
      <w:r w:rsidRPr="00640820">
        <w:rPr>
          <w:rFonts w:ascii="Times New Roman" w:hAnsi="Times New Roman"/>
          <w:color w:val="000000" w:themeColor="text1"/>
          <w:sz w:val="16"/>
          <w:szCs w:val="16"/>
        </w:rPr>
        <w:t xml:space="preserve"> дезактивационное пр. 1893 (1967), пр. 1893А, дле нефтедобычи пр. 1893Н, пр. 1993 (1979), для нефтяников пр. 1993Н;</w:t>
      </w:r>
      <w:r w:rsidRPr="00640820">
        <w:rPr>
          <w:rFonts w:ascii="Times New Roman" w:hAnsi="Times New Roman"/>
          <w:iCs/>
          <w:color w:val="000000" w:themeColor="text1"/>
          <w:sz w:val="16"/>
          <w:szCs w:val="16"/>
        </w:rPr>
        <w:t xml:space="preserve"> специальные суда:</w:t>
      </w:r>
      <w:r w:rsidRPr="00640820">
        <w:rPr>
          <w:rFonts w:ascii="Times New Roman" w:hAnsi="Times New Roman"/>
          <w:color w:val="000000" w:themeColor="text1"/>
          <w:sz w:val="16"/>
          <w:szCs w:val="16"/>
        </w:rPr>
        <w:t xml:space="preserve"> пр. 1931, опытовое судно для испытаний минно-торпедного оружия пр. 1236 (1970), пр. 1236М, пр. 963, водолазные боты: пр. 535 (1969), пр. 535М, пр. 11980; пр. 05035 (1983); пр. переоборудования баржи пр. 415 для слива радиоактивных отходов (1958);-</w:t>
      </w:r>
      <w:r w:rsidRPr="00640820">
        <w:rPr>
          <w:rFonts w:ascii="Times New Roman" w:hAnsi="Times New Roman"/>
          <w:iCs/>
          <w:color w:val="000000" w:themeColor="text1"/>
          <w:sz w:val="16"/>
          <w:szCs w:val="16"/>
        </w:rPr>
        <w:t xml:space="preserve"> плавучие доки:</w:t>
      </w:r>
      <w:r w:rsidRPr="00640820">
        <w:rPr>
          <w:rFonts w:ascii="Times New Roman" w:hAnsi="Times New Roman"/>
          <w:color w:val="000000" w:themeColor="text1"/>
          <w:sz w:val="16"/>
          <w:szCs w:val="16"/>
        </w:rPr>
        <w:t xml:space="preserve"> транспортные: грузоподъемностью 1700 т пр. 764 (1956), пр. 769 (1950-е), пр. 769А на 4500 т (1962), пр. 1753 (1962), на 4800 т пр. 1767 «Нева», на 8500 т пр. 1757 «Амур», на 11500 т пр. 17571 «Зея», пр. 1637 «Онега»; для АПЛ пр. 767, пр. 782 (1960-е); спусковые: на 12.000 т пр. 1769 «Балтика» (1971), 17690, 17691, на 25.000 т пр. 2121 «Сухона» (1978); док-эллинг на 12.000 т пр. 1780 «Шилка» (1970-е); на 12.000 т пр. 1759 «Вуокса», пр. 1759Р «Двина» (1960-е); пр. 1779 «Луга», пр. 00187; плавсредства пр. 20230 «Ока-2», пр. 20270 «Ока-4» (1980-е); судоподъемный комплекс пр. 01000 (1970-е, не реализован) (11982).</w:t>
      </w:r>
    </w:p>
    <w:p w14:paraId="45BC02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8B08464"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06D3D1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7081966"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сентябре 1941 г. интенсивный огонь башенной батареи №113 форта «Тотлебен» стабилизировал линию фронта у Сестрорецка. Сразу после начала ВОВ командование Балтийским флотом приняло меры по усилению Кронштадской крепости и особенно укреплению её береговой обороны. К тому времени на вооружении крепости находилась стационарная и железнодорожная артиллерия калибром от 45 до 356 мм. Стационарные системы размещались на фортах, а железнодорожные на специальных железнодорожных позициях. В районе Дудергофа-Пулково были построены две батареи специального назначения; батарея «А» на Вороньей горе из 9-ти 6-дм орудий, снятых с крейсера «Аврора», и батарея «Б» на Пулковских высотах из 10-ти новых 130-мм орудий Б-13. Эти батареи сыграли важную роль в удержании Пулковских высот. В районе Невской Дубровки на правом берегу Невы были установлены 4-орудийная стационарная батарея 180-мм калибра и 8 корабельных 120-мм орудий, снятых с линкоров «Марат» и «Октябрьская Революция», укомплектованных личным составом этих кораблей. Шесть железнодорожных батарей с орудиями калибра 180,305 и 356 мм поступили на вооружение перед самой войной. На железнодорожные платформы были установлены морские орудия калибра 130 и 152 мм, предназначенные для строящихся кораблей. Дальность стрельбы батарей: 180-мм — 37,8 км, 305-мм — 45 км, 356-мм — 31,2 км. Для железнодорожных транспортёров были построены специальные ветки. Хорошая маскировка и частая смена позиций делала их неуязвимыми для врага. В начальный период обороны Ленинграда (сентябрь-октябрь 1941 г.) в защите города участвовали 148 морских орудий береговой обороны (не считая корабельной и морской железнодорожной артиллерии) калибром 406-100 мм. В дальнейшем боевой состав морской артиллерии продолжал пополняться. Применение крупных калибров морской артиллерии значительно усиливало артиллерийскую оборону Ленинграда, восполняя нехватку крупных калибров во фронтовой сухопутной </w:t>
      </w:r>
      <w:r w:rsidRPr="00640820">
        <w:rPr>
          <w:rFonts w:ascii="Times New Roman" w:hAnsi="Times New Roman"/>
          <w:color w:val="000000" w:themeColor="text1"/>
          <w:sz w:val="16"/>
          <w:szCs w:val="16"/>
        </w:rPr>
        <w:lastRenderedPageBreak/>
        <w:t>артиллерии. В отражении сентябрьского 1941 г. штурма Ленинграда участвовали 294 корабельных орудия и орудия береговой обороны, выпустившие по врагу 25 392 снаряда. «Заслугой артиллеристов Кронштадта является то, что врагу так и не удалось захватить жизненно важный для защитников Ленинграда Ораниенбаумский плацдарм. Для его защиты была использована мощь фортов «Красная Горка», «Серая Лошадь», орудий железнодорожных батарей» (адмирал В. Ф. Трибуц) (15132).</w:t>
      </w:r>
    </w:p>
    <w:p w14:paraId="5CC31593" w14:textId="77777777" w:rsidR="00F26E86" w:rsidRPr="00640820" w:rsidRDefault="00F26E86" w:rsidP="00640820">
      <w:pPr>
        <w:spacing w:after="0" w:line="240" w:lineRule="auto"/>
        <w:jc w:val="both"/>
        <w:rPr>
          <w:rFonts w:ascii="Times New Roman" w:hAnsi="Times New Roman"/>
          <w:color w:val="000000" w:themeColor="text1"/>
          <w:sz w:val="16"/>
          <w:szCs w:val="16"/>
        </w:rPr>
      </w:pPr>
    </w:p>
    <w:p w14:paraId="431F99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ВВС ЗФ при подготовке к оборонительной операции для ударов по коммуникациям было выполнено всего 169 самолетовылетов (518,213).</w:t>
      </w:r>
    </w:p>
    <w:p w14:paraId="2E410E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0DFBE35" w14:textId="77777777" w:rsidR="003A0BD1" w:rsidRPr="00640820" w:rsidRDefault="003A0BD1"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 xml:space="preserve">В сентябре 1941 г. сформировали 2-й штурмовой полк ВВС 51-й отдельной армии в Крыму, использовав летный и технический состав из резервов фронта и списанные самолеты, хранившиеся в ангарах Качинской авиашколы. Командиром полка стал майор Г. И. Семенов. Летчики и механики полка сами восстанавливали поломанные и разбитые И-5, собирая из двух-трех одну пригодную для полетов машину. К 10 октября полк насчитывал уже 32 самолета. На них он и начал воевать, базируясь в Каче, Багерово. Киевской и Бесскорбной до января 1942 г., когда его отправили в Чапаевск для перевооружения на Ил-2. Там же, в Крыму, воевал на И-5 11-й штурмовой полк ВВС Черноморского флота (19176). </w:t>
      </w:r>
    </w:p>
    <w:p w14:paraId="7290C4A7" w14:textId="77777777" w:rsidR="003A0BD1" w:rsidRPr="00640820" w:rsidRDefault="003A0BD1" w:rsidP="00640820">
      <w:pPr>
        <w:pStyle w:val="ae"/>
        <w:shd w:val="clear" w:color="auto" w:fill="FFFFFF"/>
        <w:spacing w:before="0" w:after="0"/>
        <w:jc w:val="both"/>
        <w:textAlignment w:val="baseline"/>
        <w:rPr>
          <w:color w:val="000000" w:themeColor="text1"/>
          <w:sz w:val="16"/>
          <w:szCs w:val="16"/>
        </w:rPr>
      </w:pPr>
    </w:p>
    <w:p w14:paraId="5482A19F" w14:textId="77777777" w:rsidR="00D10CF3" w:rsidRPr="00640820" w:rsidRDefault="00D10CF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сентябре 1941 г. противник изменил тактику налётов на Москву и боевой порядок построения авиации в воздухе. Общее число бомбардиров</w:t>
      </w:r>
      <w:r w:rsidRPr="00640820">
        <w:rPr>
          <w:rFonts w:ascii="Times New Roman" w:hAnsi="Times New Roman"/>
          <w:color w:val="0070C0"/>
          <w:sz w:val="16"/>
          <w:szCs w:val="16"/>
        </w:rPr>
        <w:softHyphen/>
        <w:t>щиков в эшелонах уменьшилось, а высота на</w:t>
      </w:r>
      <w:r w:rsidRPr="00640820">
        <w:rPr>
          <w:rFonts w:ascii="Times New Roman" w:hAnsi="Times New Roman"/>
          <w:color w:val="0070C0"/>
          <w:sz w:val="16"/>
          <w:szCs w:val="16"/>
        </w:rPr>
        <w:softHyphen/>
        <w:t>лётов увеличилась до 6000 м. Налёты проводи</w:t>
      </w:r>
      <w:r w:rsidRPr="00640820">
        <w:rPr>
          <w:rFonts w:ascii="Times New Roman" w:hAnsi="Times New Roman"/>
          <w:color w:val="0070C0"/>
          <w:sz w:val="16"/>
          <w:szCs w:val="16"/>
        </w:rPr>
        <w:softHyphen/>
        <w:t>лись днём и ночью с целью сорвать эвакуацию промышленных предприятий и населения. Ста</w:t>
      </w:r>
      <w:r w:rsidRPr="00640820">
        <w:rPr>
          <w:rFonts w:ascii="Times New Roman" w:hAnsi="Times New Roman"/>
          <w:color w:val="0070C0"/>
          <w:sz w:val="16"/>
          <w:szCs w:val="16"/>
        </w:rPr>
        <w:softHyphen/>
        <w:t>ли практиковаться «звёздные» налёты на город (одновременно с разных направлений), вынуж</w:t>
      </w:r>
      <w:r w:rsidRPr="00640820">
        <w:rPr>
          <w:rFonts w:ascii="Times New Roman" w:hAnsi="Times New Roman"/>
          <w:color w:val="0070C0"/>
          <w:sz w:val="16"/>
          <w:szCs w:val="16"/>
        </w:rPr>
        <w:softHyphen/>
        <w:t>давшие рассредоточивать силы ПВО. Продол</w:t>
      </w:r>
      <w:r w:rsidRPr="00640820">
        <w:rPr>
          <w:rFonts w:ascii="Times New Roman" w:hAnsi="Times New Roman"/>
          <w:color w:val="0070C0"/>
          <w:sz w:val="16"/>
          <w:szCs w:val="16"/>
        </w:rPr>
        <w:softHyphen/>
        <w:t>жительность налётов достигала трёх-пяти часов и была рассчитана на изматывание личного со</w:t>
      </w:r>
      <w:r w:rsidRPr="00640820">
        <w:rPr>
          <w:rFonts w:ascii="Times New Roman" w:hAnsi="Times New Roman"/>
          <w:color w:val="0070C0"/>
          <w:sz w:val="16"/>
          <w:szCs w:val="16"/>
        </w:rPr>
        <w:softHyphen/>
        <w:t>става частей ПВО. Так, 29 сентября налёты велись малыми группами, и состояние воздушной тре</w:t>
      </w:r>
      <w:r w:rsidRPr="00640820">
        <w:rPr>
          <w:rFonts w:ascii="Times New Roman" w:hAnsi="Times New Roman"/>
          <w:color w:val="0070C0"/>
          <w:sz w:val="16"/>
          <w:szCs w:val="16"/>
        </w:rPr>
        <w:softHyphen/>
        <w:t>воги в Москве продолжалось девять часов.</w:t>
      </w:r>
    </w:p>
    <w:p w14:paraId="327F2E6C" w14:textId="77777777" w:rsidR="00D10CF3" w:rsidRPr="00640820" w:rsidRDefault="00D10CF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Новой тактике врага командование Москов</w:t>
      </w:r>
      <w:r w:rsidRPr="00640820">
        <w:rPr>
          <w:rFonts w:ascii="Times New Roman" w:hAnsi="Times New Roman"/>
          <w:color w:val="0070C0"/>
          <w:sz w:val="16"/>
          <w:szCs w:val="16"/>
        </w:rPr>
        <w:softHyphen/>
        <w:t>ской зоны ПВО противопоставило новый метод борьбы с ним. К аэростатам заграждения стали подвешивать мины воздушного заграждения, а боевой потолок заграждения подняли за счёт более широкого использования тандемной сис</w:t>
      </w:r>
      <w:r w:rsidRPr="00640820">
        <w:rPr>
          <w:rFonts w:ascii="Times New Roman" w:hAnsi="Times New Roman"/>
          <w:color w:val="0070C0"/>
          <w:sz w:val="16"/>
          <w:szCs w:val="16"/>
        </w:rPr>
        <w:softHyphen/>
        <w:t>темы аэростатного поста. Зенитная артиллерия применила разработанную преподавателем ВАА им. Ф.Э. Дзержинского военинженером 1-го ран</w:t>
      </w:r>
      <w:r w:rsidRPr="00640820">
        <w:rPr>
          <w:rFonts w:ascii="Times New Roman" w:hAnsi="Times New Roman"/>
          <w:color w:val="0070C0"/>
          <w:sz w:val="16"/>
          <w:szCs w:val="16"/>
        </w:rPr>
        <w:softHyphen/>
        <w:t>га И.И. Кюпаром схему заградительного огня, исключавшую не простреливаемые между сосед</w:t>
      </w:r>
      <w:r w:rsidRPr="00640820">
        <w:rPr>
          <w:rFonts w:ascii="Times New Roman" w:hAnsi="Times New Roman"/>
          <w:color w:val="0070C0"/>
          <w:sz w:val="16"/>
          <w:szCs w:val="16"/>
        </w:rPr>
        <w:softHyphen/>
        <w:t>ними зонами огня поля.</w:t>
      </w:r>
    </w:p>
    <w:p w14:paraId="5424C105" w14:textId="77777777" w:rsidR="00D10CF3" w:rsidRPr="00640820" w:rsidRDefault="00D10CF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Увеличивалось число постов АЗ. В сентябре 1941 г. их количество возросло до 273, а к концу 1941 г. их число составило уже 30346. В 1942 г. их число ещё более возросло.</w:t>
      </w:r>
    </w:p>
    <w:p w14:paraId="210DCA37" w14:textId="77777777" w:rsidR="00D10CF3" w:rsidRPr="00640820" w:rsidRDefault="00D10CF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Комплексные меры, усиленные действиями истребителей, привели к тому, что за три налёта на Москву в ночь с 8 на 9 сентября ни один из 30 бомбардировщиков не прорвался к столице. Всего же за сентябрь на Москву фашисты совер</w:t>
      </w:r>
      <w:r w:rsidRPr="00640820">
        <w:rPr>
          <w:rFonts w:ascii="Times New Roman" w:hAnsi="Times New Roman"/>
          <w:color w:val="0070C0"/>
          <w:sz w:val="16"/>
          <w:szCs w:val="16"/>
        </w:rPr>
        <w:softHyphen/>
        <w:t>шили около 2000 самолёто-вылетов, но только 51 бомбардировщик прорвался в воздушное про</w:t>
      </w:r>
      <w:r w:rsidRPr="00640820">
        <w:rPr>
          <w:rFonts w:ascii="Times New Roman" w:hAnsi="Times New Roman"/>
          <w:color w:val="0070C0"/>
          <w:sz w:val="16"/>
          <w:szCs w:val="16"/>
        </w:rPr>
        <w:softHyphen/>
        <w:t>странство над Москвой на высоте, превышавшей высоты подъёма аэростатов заграждения.</w:t>
      </w:r>
    </w:p>
    <w:p w14:paraId="29135AF3" w14:textId="77777777" w:rsidR="00D10CF3" w:rsidRPr="00640820" w:rsidRDefault="00D10CF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 приближением линии фронта к Москве сис</w:t>
      </w:r>
      <w:r w:rsidRPr="00640820">
        <w:rPr>
          <w:rFonts w:ascii="Times New Roman" w:hAnsi="Times New Roman"/>
          <w:color w:val="0070C0"/>
          <w:sz w:val="16"/>
          <w:szCs w:val="16"/>
        </w:rPr>
        <w:softHyphen/>
        <w:t>тема наблюдательных постов ВНОС на западном направлении была нарушена, а её глубина уже не обеспечивала борьбу с авиацией противника на дальней границе зоны зенитного огня. На не</w:t>
      </w:r>
      <w:r w:rsidRPr="00640820">
        <w:rPr>
          <w:rFonts w:ascii="Times New Roman" w:hAnsi="Times New Roman"/>
          <w:color w:val="0070C0"/>
          <w:sz w:val="16"/>
          <w:szCs w:val="16"/>
        </w:rPr>
        <w:softHyphen/>
        <w:t>которых направлениях РЛС «Редут» оставались единственным средством получения данных о воздушном противнике. В тоже время немецкая бомбардировочная авиация перебазировалась из Белоруссии на аэродромы в Ржев и Калинин, со</w:t>
      </w:r>
      <w:r w:rsidRPr="00640820">
        <w:rPr>
          <w:rFonts w:ascii="Times New Roman" w:hAnsi="Times New Roman"/>
          <w:color w:val="0070C0"/>
          <w:sz w:val="16"/>
          <w:szCs w:val="16"/>
        </w:rPr>
        <w:softHyphen/>
        <w:t>кратив время подлёта к Москве. В этих условиях возросло значение аэростатов заграждения как средства предотвращения внезапного авиацион</w:t>
      </w:r>
      <w:r w:rsidRPr="00640820">
        <w:rPr>
          <w:rFonts w:ascii="Times New Roman" w:hAnsi="Times New Roman"/>
          <w:color w:val="0070C0"/>
          <w:sz w:val="16"/>
          <w:szCs w:val="16"/>
        </w:rPr>
        <w:softHyphen/>
        <w:t>ного удара противника по Москве. Теперь они поднимались в ночное небо столицы ежедневно, и только штормовой ветер мог воспрепятство</w:t>
      </w:r>
      <w:r w:rsidRPr="00640820">
        <w:rPr>
          <w:rFonts w:ascii="Times New Roman" w:hAnsi="Times New Roman"/>
          <w:color w:val="0070C0"/>
          <w:sz w:val="16"/>
          <w:szCs w:val="16"/>
        </w:rPr>
        <w:softHyphen/>
        <w:t>вать этому (20120).</w:t>
      </w:r>
    </w:p>
    <w:p w14:paraId="6694F43E" w14:textId="77777777" w:rsidR="00D10CF3" w:rsidRPr="00640820" w:rsidRDefault="00D10CF3" w:rsidP="00640820">
      <w:pPr>
        <w:spacing w:after="0" w:line="240" w:lineRule="auto"/>
        <w:jc w:val="both"/>
        <w:rPr>
          <w:rFonts w:ascii="Times New Roman" w:hAnsi="Times New Roman"/>
          <w:color w:val="0070C0"/>
          <w:sz w:val="16"/>
          <w:szCs w:val="16"/>
        </w:rPr>
      </w:pPr>
    </w:p>
    <w:p w14:paraId="36D52CDC" w14:textId="77777777" w:rsidR="003A0BD1" w:rsidRPr="00640820" w:rsidRDefault="003A0BD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командир 8-й сад полковник Н.С. Торопчин указывал, что ЛаГГ-3 оказались более подходящими для штурмовки наступающих немецких войск, нежели Як-1 и МиГ-3. Они лучше «держали удар» малокалиберных средств ПВО противника, реже загорались, а три-четыре пулеметных и один пушечный ствол создавали мощный сноп огня, эффективно поражавший автомобили и живую силу врага (18999).</w:t>
      </w:r>
    </w:p>
    <w:p w14:paraId="2B26C6DE" w14:textId="77777777" w:rsidR="003A0BD1" w:rsidRPr="00640820" w:rsidRDefault="003A0BD1" w:rsidP="00640820">
      <w:pPr>
        <w:spacing w:after="0" w:line="240" w:lineRule="auto"/>
        <w:jc w:val="both"/>
        <w:rPr>
          <w:rFonts w:ascii="Times New Roman" w:hAnsi="Times New Roman"/>
          <w:color w:val="000000" w:themeColor="text1"/>
          <w:sz w:val="16"/>
          <w:szCs w:val="16"/>
        </w:rPr>
      </w:pPr>
    </w:p>
    <w:p w14:paraId="09A80F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Генеральный штаб рассмотрел вопрос о создании частей на самолетах У-2, Р-5 и Р-Зет. Мотивировка звучала так: "В связи с наступлением плохой погоды и недостатком подготовленных аэродромов боевая авиация на новой скоростной материальной части будет действовать ограниченно, а поэтому считаем необходимым использовать тихоходную авиацию, способную летать в дождь, при низкой облачности и даже в облачную ночь. Все тихоходные самолёты имеют незначительный шум моторов, что позволяет на малых высотах появляться совершенно неожиданно для противника над полем боя, изнурять немецкие войска по ночам, мешая им совершать передвижения и сосредоточение".</w:t>
      </w:r>
    </w:p>
    <w:p w14:paraId="0F6404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Первоначально предполагалось сформировать 10 полков на Р-5 и Р-Зет уже к 30 сентября. Материальная база для этого имелась. На 20 сентября в тыловых округах числилось 57 Р-Зет и еще 215 в учебных заведениях ВВС. 2 ноября появилось постановление ГКО о формировании уже 60 ночных легкобомбардировочных полков (нлбап). Большей их части предстояло летать на У-2, некоторым - на Р-5, и уж совсем немногим - на Р-Зет.</w:t>
      </w:r>
    </w:p>
    <w:p w14:paraId="0AFBC5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Полки создавались, как правило, на базе лётных школ и училищ и собирались очень поспешно. Личный состав комплектовался курсантами и инструкторами школ, оттуда же бралась техника. Зачастую восстанавливались законсервированные или даже списанные бипланы - из двух-трёх машин собирали одну. В сентябре 1941 г. в Харьковской школе лётчиков самолётами Р-5 и </w:t>
      </w:r>
      <w:r w:rsidRPr="00640820">
        <w:rPr>
          <w:rFonts w:ascii="Times New Roman" w:hAnsi="Times New Roman"/>
          <w:color w:val="000000" w:themeColor="text1"/>
          <w:sz w:val="16"/>
          <w:szCs w:val="16"/>
          <w:lang w:val="en-US"/>
        </w:rPr>
        <w:t>P</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Z</w:t>
      </w:r>
      <w:r w:rsidRPr="00640820">
        <w:rPr>
          <w:rFonts w:ascii="Times New Roman" w:hAnsi="Times New Roman"/>
          <w:color w:val="000000" w:themeColor="text1"/>
          <w:sz w:val="16"/>
          <w:szCs w:val="16"/>
        </w:rPr>
        <w:t xml:space="preserve"> укомплектовали 719-й полк. Первый боевой вылет он совершил в ночь на 29 сентября на Юго-Западном фронте, а в ноябре участвовал в разгроме танковой группы Клейста под Ростовом. За первый год войны экипажи этой части совершили 2800 боевых вылетов, уничтожили 108 автомашин, 22 артиллерийские и миномётные батареи, 14 зенитных установок, 27 складов, 8 эшелонов, свыше 8000 солдат и офицеров.</w:t>
      </w:r>
    </w:p>
    <w:p w14:paraId="77DE59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Челябинской школе стрелков-бомбардиров сформировали сразу три полка - 658-й (командир подполковник В.Н. Кулаков-Павлов), 686-й (майор П.Д. Бон- даренко) и 688-й (капитан К.В. Яровой). Эти части укомплектовали Р-5, ССС и </w:t>
      </w:r>
      <w:r w:rsidRPr="00640820">
        <w:rPr>
          <w:rFonts w:ascii="Times New Roman" w:hAnsi="Times New Roman"/>
          <w:color w:val="000000" w:themeColor="text1"/>
          <w:sz w:val="16"/>
          <w:szCs w:val="16"/>
          <w:lang w:val="en-US"/>
        </w:rPr>
        <w:t>P</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Z</w:t>
      </w:r>
      <w:r w:rsidRPr="00640820">
        <w:rPr>
          <w:rFonts w:ascii="Times New Roman" w:hAnsi="Times New Roman"/>
          <w:color w:val="000000" w:themeColor="text1"/>
          <w:sz w:val="16"/>
          <w:szCs w:val="16"/>
        </w:rPr>
        <w:t xml:space="preserve">. Всего за короткий срок ВВС пополнились 27 полками на Р-5 и ССС и пятью на </w:t>
      </w:r>
      <w:r w:rsidRPr="00640820">
        <w:rPr>
          <w:rFonts w:ascii="Times New Roman" w:hAnsi="Times New Roman"/>
          <w:color w:val="000000" w:themeColor="text1"/>
          <w:sz w:val="16"/>
          <w:szCs w:val="16"/>
          <w:lang w:val="en-US"/>
        </w:rPr>
        <w:t>P</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Z</w:t>
      </w:r>
      <w:r w:rsidRPr="00640820">
        <w:rPr>
          <w:rFonts w:ascii="Times New Roman" w:hAnsi="Times New Roman"/>
          <w:color w:val="000000" w:themeColor="text1"/>
          <w:sz w:val="16"/>
          <w:szCs w:val="16"/>
        </w:rPr>
        <w:t>.</w:t>
      </w:r>
    </w:p>
    <w:p w14:paraId="282D9B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Подготовка экипажей в этих частях была довольно слабой. Недоученные курсанты перед отправкой на фронт совершали всего по несколько самостоятельных ночных полётов. Сроки подготовки новых полков были весьма сжатыми. Так, 688-й полк отправился на Западный фронт менее чем через месяц после приказа о его формировании, и уже в день прибытия на передовую машины совершили свой первый боевой вылет. </w:t>
      </w:r>
    </w:p>
    <w:p w14:paraId="78A582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Тем не менее переброска на фронт такого значительного количества техники позволила существенно усилить ВВС фронтов и армий, частично возместить потери и общую нехватку бомбардировщиков современных типов.</w:t>
      </w:r>
    </w:p>
    <w:p w14:paraId="0081D6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Большую роль сыграли ночные полки в битве под Москвой. Ночники атаковали свои цели поодиночно с высоты 600 - 800 м, с различных направлений с интервалом 3 - 5 минут. На подходе лётчик убирал газ и планировал до момента сброса бомб. За ночь совершали до пяти-шести вылетов.</w:t>
      </w:r>
    </w:p>
    <w:p w14:paraId="1003F2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качестве лёгкого бомбардировщика </w:t>
      </w:r>
      <w:r w:rsidRPr="00640820">
        <w:rPr>
          <w:rFonts w:ascii="Times New Roman" w:hAnsi="Times New Roman"/>
          <w:color w:val="000000" w:themeColor="text1"/>
          <w:sz w:val="16"/>
          <w:szCs w:val="16"/>
          <w:lang w:val="en-US"/>
        </w:rPr>
        <w:t>P</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Z</w:t>
      </w:r>
      <w:r w:rsidRPr="00640820">
        <w:rPr>
          <w:rFonts w:ascii="Times New Roman" w:hAnsi="Times New Roman"/>
          <w:color w:val="000000" w:themeColor="text1"/>
          <w:sz w:val="16"/>
          <w:szCs w:val="16"/>
        </w:rPr>
        <w:t xml:space="preserve"> имел ряд преимуществ перед более распространённым У-2. Это, во-первых, дальность. Радиус действия с бомбовой нагрузкой 400 кг у него превышал 300 км. Обычно брали четыре бомбы по 100 кг, или восемь по 50 кг плюс осветительные, или две "сотки" и две кассеты с мелкими осколочными бомбами (по 25 - 30 штук в каждой). Во-вторых, существенно превосходил У-2 по скорости. В-треть- их, имел штатное стрелковое вооружение, которое частенько пускалось в ход и для защиты от немецких ночных истребителей, и для обстрела наземных целей. Так, осенью 1941 г. под Ростовом штурман А. Холостых из 719-го полка, отстреливаясь, сбил истребитель </w:t>
      </w:r>
      <w:r w:rsidRPr="00640820">
        <w:rPr>
          <w:rFonts w:ascii="Times New Roman" w:hAnsi="Times New Roman"/>
          <w:color w:val="000000" w:themeColor="text1"/>
          <w:sz w:val="16"/>
          <w:szCs w:val="16"/>
          <w:lang w:val="en-US"/>
        </w:rPr>
        <w:t>Bf</w:t>
      </w:r>
      <w:r w:rsidRPr="00640820">
        <w:rPr>
          <w:rFonts w:ascii="Times New Roman" w:hAnsi="Times New Roman"/>
          <w:color w:val="000000" w:themeColor="text1"/>
          <w:sz w:val="16"/>
          <w:szCs w:val="16"/>
        </w:rPr>
        <w:t xml:space="preserve"> 109 (11995).</w:t>
      </w:r>
    </w:p>
    <w:p w14:paraId="027E79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9005A4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w:t>
      </w:r>
      <w:r w:rsidRPr="00640820">
        <w:rPr>
          <w:rFonts w:ascii="Times New Roman" w:hAnsi="Times New Roman"/>
          <w:color w:val="000000" w:themeColor="text1"/>
          <w:sz w:val="16"/>
          <w:szCs w:val="16"/>
        </w:rPr>
        <w:softHyphen/>
        <w:t>тябре 1941 г. специальная авиагруппа на аэродроме в Фрайдорфе (отсюда название группы - «Фрайдорфская») имела до 10 - 15 «бисов», которые использовались как штурмовики. Особенно успешными ока</w:t>
      </w:r>
      <w:r w:rsidRPr="00640820">
        <w:rPr>
          <w:rFonts w:ascii="Times New Roman" w:hAnsi="Times New Roman"/>
          <w:color w:val="000000" w:themeColor="text1"/>
          <w:sz w:val="16"/>
          <w:szCs w:val="16"/>
        </w:rPr>
        <w:softHyphen/>
        <w:t>зались удары по немецким колоннам 16 и 17 сентября, в них были задействованы 12 И-15бис и четыре И-16.62-я авиабригада продолжала применять И-15бис и в 1942 г. По состоянию на 22 ию</w:t>
      </w:r>
      <w:r w:rsidRPr="00640820">
        <w:rPr>
          <w:rFonts w:ascii="Times New Roman" w:hAnsi="Times New Roman"/>
          <w:color w:val="000000" w:themeColor="text1"/>
          <w:sz w:val="16"/>
          <w:szCs w:val="16"/>
        </w:rPr>
        <w:softHyphen/>
        <w:t>ля 1942 г. в составе 62-й авиабригады насчитывалось 15 И-15бис (из них четыре находились в ремонте) (12294).</w:t>
      </w:r>
    </w:p>
    <w:p w14:paraId="2D9402B7"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223900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в Авиационном отделе Генштаба составили документ, который потом дошел до самого верха. В нем говорилось: "В связи с наступлением плохой погоды и недостатком подготовленных аэродромов, боевая авиация на новых скоростных самолетах будет действовать ограниченно, а поэтому считаем необходимым использовать тихоходную авиацию, способную летать в дождь, при низкой облачности и даже в облачную ночь. Все тихоходные самолеты имеют незначительный шум моторов, что позволяет на малых высотах появляться совершенно неожиданно для противника над полем боя, изнурять немецкие войска по ночам, мешая им совершать передвижения и сосредоточение". Здесь, видимо, намеренно не сказали о еще одной причине привлечения устаревшей техники - огромных потерях лета 1941 г. Современных самолетов просто не хватало, а враг продолжал двигаться на восток.</w:t>
      </w:r>
    </w:p>
    <w:p w14:paraId="7FC29B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Уже в конце сентября появилось постановление ГКО о формировании десяти ночных полков на Р-5 и Р-Зет. Технику и личный состав собирались взять из летных школ и училищ, у "Осоавиахима" и ГВФ. Этот резерв выглядел очень внушительно: в школах на 20 сентября числились 1429 Р-5 и 29 ССС, еще 90 Р-5 и четырьмя ССС обладали различные части в тылу. Около 400 машин сдал военным "Осоавиахим". Собирали полки очень поспешно. Личный состав комплектовался курсантами и инструкторами школ, оттуда же бралась и техника. Зачастую восстанавливались законсервированные или даже списанные бипланы - из двух-трех машин собирали одну.</w:t>
      </w:r>
    </w:p>
    <w:p w14:paraId="67E6AF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Полки военного времени были значительно меньше довоенных. В них насчитывалось всего по три эскадрильи, и парк обычно не превышал три десятка машин (12034).</w:t>
      </w:r>
    </w:p>
    <w:p w14:paraId="17EF0C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8BE120A" w14:textId="77777777" w:rsidR="00165A9C" w:rsidRPr="00640820" w:rsidRDefault="00165A9C" w:rsidP="00640820">
      <w:pPr>
        <w:widowControl w:val="0"/>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Р-5 и Р-Зет Харь</w:t>
      </w:r>
      <w:r w:rsidRPr="00640820">
        <w:rPr>
          <w:rFonts w:ascii="Times New Roman" w:hAnsi="Times New Roman"/>
          <w:color w:val="000000" w:themeColor="text1"/>
          <w:sz w:val="16"/>
          <w:szCs w:val="16"/>
        </w:rPr>
        <w:softHyphen/>
        <w:t>ковской школы укомплектовали 719-й НЛБАП. Первый боевой вылет он совершил в ночь на 29 сентября на Юго-Западном фрон</w:t>
      </w:r>
      <w:r w:rsidRPr="00640820">
        <w:rPr>
          <w:rFonts w:ascii="Times New Roman" w:hAnsi="Times New Roman"/>
          <w:color w:val="000000" w:themeColor="text1"/>
          <w:sz w:val="16"/>
          <w:szCs w:val="16"/>
        </w:rPr>
        <w:softHyphen/>
        <w:t>те. В ноябре полк участвовал в разгроме танковой группы Клейста под Ростовом. За первый год войны экипажи этой части со</w:t>
      </w:r>
      <w:r w:rsidRPr="00640820">
        <w:rPr>
          <w:rFonts w:ascii="Times New Roman" w:hAnsi="Times New Roman"/>
          <w:color w:val="000000" w:themeColor="text1"/>
          <w:sz w:val="16"/>
          <w:szCs w:val="16"/>
        </w:rPr>
        <w:softHyphen/>
        <w:t>вершили 2800 боевых вылетов, уничтожив, по официальным данным, 108 автомашин, 22 артиллерийские и минометные батареи, 14 зенитных установок, 27 складов, 8 эшело</w:t>
      </w:r>
      <w:r w:rsidRPr="00640820">
        <w:rPr>
          <w:rFonts w:ascii="Times New Roman" w:hAnsi="Times New Roman"/>
          <w:color w:val="000000" w:themeColor="text1"/>
          <w:sz w:val="16"/>
          <w:szCs w:val="16"/>
        </w:rPr>
        <w:softHyphen/>
        <w:t xml:space="preserve">нов, свыше 8000 солдат и офицеров. </w:t>
      </w:r>
      <w:r w:rsidRPr="00640820">
        <w:rPr>
          <w:rFonts w:ascii="Times New Roman" w:hAnsi="Times New Roman"/>
          <w:color w:val="000000" w:themeColor="text1"/>
          <w:sz w:val="16"/>
          <w:szCs w:val="16"/>
        </w:rPr>
        <w:lastRenderedPageBreak/>
        <w:t>606-й НЛБАП пришел из Ярославской школы стрелков-радистов. Он включал 27 Р-5 и эскадрилью Р-Зет. В Челябинской школе стрелков-бомбардиров сформировали сразу три полка — 658-й (командир подп-к В.Н. Ку</w:t>
      </w:r>
      <w:r w:rsidRPr="00640820">
        <w:rPr>
          <w:rFonts w:ascii="Times New Roman" w:hAnsi="Times New Roman"/>
          <w:color w:val="000000" w:themeColor="text1"/>
          <w:sz w:val="16"/>
          <w:szCs w:val="16"/>
        </w:rPr>
        <w:softHyphen/>
        <w:t xml:space="preserve">лаков-Павлов), 686-й (м-р П.Д. Бондаренко) и 688-й (к-н К.В. Яровой). Эти части получили Р-5, ССС и </w:t>
      </w:r>
      <w:r w:rsidRPr="00640820">
        <w:rPr>
          <w:rFonts w:ascii="Times New Roman" w:hAnsi="Times New Roman"/>
          <w:color w:val="000000" w:themeColor="text1"/>
          <w:sz w:val="16"/>
          <w:szCs w:val="16"/>
          <w:lang w:val="en-US"/>
        </w:rPr>
        <w:t>P</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Z</w:t>
      </w:r>
      <w:r w:rsidRPr="00640820">
        <w:rPr>
          <w:rFonts w:ascii="Times New Roman" w:hAnsi="Times New Roman"/>
          <w:color w:val="000000" w:themeColor="text1"/>
          <w:sz w:val="16"/>
          <w:szCs w:val="16"/>
        </w:rPr>
        <w:t>. Всего за короткий срок ВВС пополнились 27 полками на Р-5. Подготовка экипажей в этих частях была довольно слабой. Недоученные курсанты совершали всего по несколько самостоя</w:t>
      </w:r>
      <w:r w:rsidRPr="00640820">
        <w:rPr>
          <w:rFonts w:ascii="Times New Roman" w:hAnsi="Times New Roman"/>
          <w:color w:val="000000" w:themeColor="text1"/>
          <w:sz w:val="16"/>
          <w:szCs w:val="16"/>
        </w:rPr>
        <w:softHyphen/>
        <w:t>тельных полетов ночью перед отправкой на фронт. Сроки подготовки были весьма сжа</w:t>
      </w:r>
      <w:r w:rsidRPr="00640820">
        <w:rPr>
          <w:rFonts w:ascii="Times New Roman" w:hAnsi="Times New Roman"/>
          <w:color w:val="000000" w:themeColor="text1"/>
          <w:sz w:val="16"/>
          <w:szCs w:val="16"/>
        </w:rPr>
        <w:softHyphen/>
        <w:t>тыми. Так, 688-й НЛБАП отправился на Западный фронт менее чем через месяц после приказа о формировании, и уже в день прибытия на передовую его машины ушли в первый боевой вылет (11936).</w:t>
      </w:r>
    </w:p>
    <w:p w14:paraId="3EC6D72F" w14:textId="77777777" w:rsidR="00165A9C" w:rsidRPr="00640820" w:rsidRDefault="00165A9C" w:rsidP="0064082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39FF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сентябре 1941 г. был сформирован 2-й штурмовой полк ВВС 51-й отдельной армии в Крыму, использовав лётный и технический состав из резервов фронта и списанные самолёты, хранившиеся в ангарах Качинской лётной школы. Командиром полка стал майор Г.И. Семёнов. Лётчики и механики полка сами восстанавливали разбитые И-5, собирая из двух-трёх одну пригодную для полётов машину. К 10 октября в полку насчитывалось 32 самолёта. С ними и начали воевать, базируясь в Каче, Багерово, Киевской и Бескорбной до января 1942 г., когда полк отправили в Чапаевск для перевооружения на Ил-2. </w:t>
      </w:r>
    </w:p>
    <w:p w14:paraId="6518A5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Там же, в Крыму, воевал на И-5 11-й штурмовой полк ВВС Черноморского флота. На 22 июня в составе авиации флота имелось всего пять машин этого типа. Собрав технику из разных мест, к сентябрю 1941 г. удалось набрать более 20 самолётов. В октябре полк под командованием майора И.М. Рассудкова вошёл в состав Фрайдорфской авиационной группы. Она действовала у Перекопа, а затем атаковала немцев при отступлении советских войск к Севастополю. Например, 23 октября вражеские войска в районе Казак-Сарая бомбили и обстреливали 11 И-5 и восемь И-153. Их прикрывали 15 И-16. Сопровождение устаревших бипланов представляло собой нелёгкую задачу, хотя бы потому, что истребители-монопланы не могли лететь так медленно. В условиях полного господства немцев в воздухе пилоты импровизированных штурмовиков могли рассчитывать только на своё мастерство и увёртливость машины. При появлении вражеских истребителей И-5 обычно выстраивались в оборонительный круг, прикрывая друг друга. Потери в этих условиях были неизбежны. Так, 23 октября назад не вернулись пять самолётов (11997).</w:t>
      </w:r>
    </w:p>
    <w:p w14:paraId="7D9DD3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AD29A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9-й ббап получил на вооружение дальние истребители Пе-3, но наименование его не изменилось. В период с октября 1941 по февраль 1942 г. часть базировалась на Центральном аэродроме в Москве. Командовал полком майор В. Лукин (4476).</w:t>
      </w:r>
    </w:p>
    <w:p w14:paraId="6C8AF5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9EFC5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когда противник подступал к Москве, самолеты ПС-43 группы связи привлекли к разведке вражеских войск под Малоярославцем, Можайском, Волоколамском, Калугой, и довольно успешно. К этому времени ПС-43 уже несли оборонительное вооружение, монтировавшееся с начала сентября. В роли стрелков выступали бортмеханики, а при перевозке пассажиров - сами фельдъегеря (3457,43).</w:t>
      </w:r>
    </w:p>
    <w:p w14:paraId="6E893D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207B7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при обороне Одессы У-2 л П.Бевза сбрасывал бомбы. Потом при обороне Севастополя У-2, Ут-2 и Ут-1 оборудовали цилиндрическими кассетами для мелких бомб (3523).</w:t>
      </w:r>
    </w:p>
    <w:p w14:paraId="1D10D4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9C37A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420-й авиаполк перебазировался в Московский военный округ на аэродром Киржач во второй половине августа 1941 г. совершил 12 ночных самолетовылетов на Витебск и восемь самолетовылетов на Рославль (3322,20).</w:t>
      </w:r>
    </w:p>
    <w:p w14:paraId="4B406F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1F3EF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ВВС ЗФ при подготовке к оборонительной операции для ударов по коммуникациям было выполнено всего 169 самолетовылетов (518,213).</w:t>
      </w:r>
    </w:p>
    <w:p w14:paraId="0639AE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DE044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некоторые строевые летчики на аэродроме Кадников близ Вологды проходили обучение на Томагавках (172,206).</w:t>
      </w:r>
    </w:p>
    <w:p w14:paraId="4FA9DC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28808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сентября 1941 Берлин бомбили и Ер-2 (76,13).</w:t>
      </w:r>
    </w:p>
    <w:p w14:paraId="77B620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101B9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Когда в сентябре 1941 блокада Ленинграда с суши стала реальностью, на экипажи ПС-84 была возложена задача по транспортировке в осажденный город необходимых грузов и эвакуации оттуда детей, женщин, специалистов различных профессий. Для этого выделялись 30 воздушных кораблей МАГОН, а также самолеты, собранные в Особой северной группе гражданской авиации (ОСАГ). Полеты осуществлялись с ближайших к северной столице аэродромов в Тихвине, Кушевере и Хвойной (3772).</w:t>
      </w:r>
    </w:p>
    <w:p w14:paraId="5A4114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DAC4F1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w:t>
      </w:r>
      <w:r w:rsidRPr="00640820">
        <w:rPr>
          <w:rFonts w:ascii="Times New Roman" w:hAnsi="Times New Roman"/>
          <w:color w:val="000000" w:themeColor="text1"/>
          <w:sz w:val="16"/>
          <w:szCs w:val="16"/>
        </w:rPr>
        <w:softHyphen/>
        <w:t>ре 1941 г. в составе ВВС 51-й отдельной армии в Крыму был сформирован 2-й штурмовой полк на И-5. На этих самолетах он сражался до января 1942 г., когда его на</w:t>
      </w:r>
      <w:r w:rsidRPr="00640820">
        <w:rPr>
          <w:rFonts w:ascii="Times New Roman" w:hAnsi="Times New Roman"/>
          <w:color w:val="000000" w:themeColor="text1"/>
          <w:sz w:val="16"/>
          <w:szCs w:val="16"/>
        </w:rPr>
        <w:softHyphen/>
        <w:t>правили в Чапаевск для перевооружения на Ил-2. Там же, в Крыму, на И-5 воевал 11-й штурмовой полк ВВС Черноморского флота (командир - майор И.Ф.Рассуд-ков). 5 ноября 1941 г. капитан Н.Т.Хрусталев штурмо-вал танки и пехоту немцев в Бельбекской долине. Когда его машину подожгли, он направил ее на скопление не</w:t>
      </w:r>
      <w:r w:rsidRPr="00640820">
        <w:rPr>
          <w:rFonts w:ascii="Times New Roman" w:hAnsi="Times New Roman"/>
          <w:color w:val="000000" w:themeColor="text1"/>
          <w:sz w:val="16"/>
          <w:szCs w:val="16"/>
        </w:rPr>
        <w:softHyphen/>
        <w:t>мецкой техники. И-5 внес свой, пусть и небольшой, вклад в Победу (10667).</w:t>
      </w:r>
    </w:p>
    <w:p w14:paraId="2662B03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0F3B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началось относительно широкое использование МиГ-3 в интересах ПВО разных тыловых центров. Отдельные полки и эскадрильи МиГов стали "брать под охрану" воздушные рубежи, прежде всего в районах Поволжья и Закавказья. На 1 октября в числе 673 истребителей ПВО имелись 209 МиГ-3 - они являлись самым многочисленным типом. А к началу советского зимнего контрнаступления под Москвой самолеты Микояна и Гуревича составляли уже 34,5% всех машин ПВО (309 из общего числа 895 истребителей) (12045).</w:t>
      </w:r>
    </w:p>
    <w:p w14:paraId="6A5CDC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77F11D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на ЧМ три КОР-1 передали 3-й эскад</w:t>
      </w:r>
      <w:r w:rsidRPr="00640820">
        <w:rPr>
          <w:rFonts w:ascii="Times New Roman" w:hAnsi="Times New Roman"/>
          <w:color w:val="000000" w:themeColor="text1"/>
          <w:sz w:val="16"/>
          <w:szCs w:val="16"/>
        </w:rPr>
        <w:softHyphen/>
        <w:t>рилье, входящей в состав Фрайдорфской авиагруппы, сформированной из разнотипных самолетов. Авиагруп</w:t>
      </w:r>
      <w:r w:rsidRPr="00640820">
        <w:rPr>
          <w:rFonts w:ascii="Times New Roman" w:hAnsi="Times New Roman"/>
          <w:color w:val="000000" w:themeColor="text1"/>
          <w:sz w:val="16"/>
          <w:szCs w:val="16"/>
        </w:rPr>
        <w:softHyphen/>
        <w:t>пу создали для противодействия наземным войскам 11-й немецкой армии, наступающей с севера Крыма. Группа базировалась на аэродромах центральной части Крыма в районе местечка Фрайдорф, от которого и получила свое название. Как штурмовики КОР-1 показали себя невысоко по причине малой скорости и ограниченной маневреннос</w:t>
      </w:r>
      <w:r w:rsidRPr="00640820">
        <w:rPr>
          <w:rFonts w:ascii="Times New Roman" w:hAnsi="Times New Roman"/>
          <w:color w:val="000000" w:themeColor="text1"/>
          <w:sz w:val="16"/>
          <w:szCs w:val="16"/>
        </w:rPr>
        <w:softHyphen/>
        <w:t>ти. Один КОР-1 скоро был сбит, другой подбили над це</w:t>
      </w:r>
      <w:r w:rsidRPr="00640820">
        <w:rPr>
          <w:rFonts w:ascii="Times New Roman" w:hAnsi="Times New Roman"/>
          <w:color w:val="000000" w:themeColor="text1"/>
          <w:sz w:val="16"/>
          <w:szCs w:val="16"/>
        </w:rPr>
        <w:softHyphen/>
        <w:t>лью, однако летчику удалось дотянуть до своей территории. Последний КОР-1 передали в 11-й авиаполк, имею</w:t>
      </w:r>
      <w:r w:rsidRPr="00640820">
        <w:rPr>
          <w:rFonts w:ascii="Times New Roman" w:hAnsi="Times New Roman"/>
          <w:color w:val="000000" w:themeColor="text1"/>
          <w:sz w:val="16"/>
          <w:szCs w:val="16"/>
        </w:rPr>
        <w:softHyphen/>
        <w:t>щий на вооружении устаревшие бипланы И-5. Здесь само</w:t>
      </w:r>
      <w:r w:rsidRPr="00640820">
        <w:rPr>
          <w:rFonts w:ascii="Times New Roman" w:hAnsi="Times New Roman"/>
          <w:color w:val="000000" w:themeColor="text1"/>
          <w:sz w:val="16"/>
          <w:szCs w:val="16"/>
        </w:rPr>
        <w:softHyphen/>
        <w:t>лет использовался вплоть до наступления зимы (11107).</w:t>
      </w:r>
    </w:p>
    <w:p w14:paraId="30DD0D9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5F76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минно-торпедная авиация появилась на Северном флоте. С Балтики туда перевели звено ДБ-ЗФ во главе с капитаном И.Я. Гарбузом. Сначала они использовались как обычные бомбардировщики, а затем как высотные торпедоносцы. До конца года сбросили 13 торпед 45-36АВА и не попали ни разу (12021).</w:t>
      </w:r>
    </w:p>
    <w:p w14:paraId="086171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D4595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пришлось перевести танковые бригады на батальонную основу. Ее два танковых батальона насчитывали всего 46 танков. Из них тридцатьчетверок - 16, KB - 10, остальные Т-60. Формировались также отдельные танковые батальоны по 29 танков в составе трех танковых рот, из коих только одна имела семь Т-34. Остальные танки этого батальона, насчитывавшего всего 130 человек, были Т-60 (3905).</w:t>
      </w:r>
    </w:p>
    <w:p w14:paraId="118753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FACC303" w14:textId="77777777" w:rsidR="00165A9C" w:rsidRPr="00640820" w:rsidRDefault="00165A9C" w:rsidP="00640820">
      <w:pPr>
        <w:widowControl w:val="0"/>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восемь тракторов «Комсомолец» находились в 142-й танковой бригаде, где использовались для транспор</w:t>
      </w:r>
      <w:r w:rsidRPr="00640820">
        <w:rPr>
          <w:rFonts w:ascii="Times New Roman" w:hAnsi="Times New Roman"/>
          <w:color w:val="000000" w:themeColor="text1"/>
          <w:sz w:val="16"/>
          <w:szCs w:val="16"/>
        </w:rPr>
        <w:softHyphen/>
        <w:t>тировки 45-мм противотанковых пушек. На ремонтных базах №1, 2 и 81 в ожидании ремонта находились 37 тракторов «Комсо</w:t>
      </w:r>
      <w:r w:rsidRPr="00640820">
        <w:rPr>
          <w:rFonts w:ascii="Times New Roman" w:hAnsi="Times New Roman"/>
          <w:color w:val="000000" w:themeColor="text1"/>
          <w:sz w:val="16"/>
          <w:szCs w:val="16"/>
        </w:rPr>
        <w:softHyphen/>
        <w:t>молец» (11895).</w:t>
      </w:r>
    </w:p>
    <w:p w14:paraId="71C1F7DE" w14:textId="77777777" w:rsidR="00165A9C" w:rsidRPr="00640820" w:rsidRDefault="00165A9C" w:rsidP="0064082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4EFF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года приказом НКО СССР №312 были введены нормы суточного довольствия, подготовленные с учетом возможностей экономики страны. Эти нормы не изменялись на протяжении всей войны. Нормы были дифференцированы и учитывали специфику труда различных контингентов военнослужащих при действиях на фронте и в тылу (9090).</w:t>
      </w:r>
    </w:p>
    <w:p w14:paraId="26A041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CF167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ко</w:t>
      </w:r>
      <w:r w:rsidRPr="00640820">
        <w:rPr>
          <w:rFonts w:ascii="Times New Roman" w:hAnsi="Times New Roman"/>
          <w:color w:val="000000" w:themeColor="text1"/>
          <w:sz w:val="16"/>
          <w:szCs w:val="16"/>
        </w:rPr>
        <w:softHyphen/>
        <w:t>рабли нашей флотилии на Днепре оказались в окружении. Во избе</w:t>
      </w:r>
      <w:r w:rsidRPr="00640820">
        <w:rPr>
          <w:rFonts w:ascii="Times New Roman" w:hAnsi="Times New Roman"/>
          <w:color w:val="000000" w:themeColor="text1"/>
          <w:sz w:val="16"/>
          <w:szCs w:val="16"/>
        </w:rPr>
        <w:softHyphen/>
        <w:t>жание захвата противником экипажи взорвали мониторы " Жемчу</w:t>
      </w:r>
      <w:r w:rsidRPr="00640820">
        <w:rPr>
          <w:rFonts w:ascii="Times New Roman" w:hAnsi="Times New Roman"/>
          <w:color w:val="000000" w:themeColor="text1"/>
          <w:sz w:val="16"/>
          <w:szCs w:val="16"/>
        </w:rPr>
        <w:softHyphen/>
        <w:t>жин", "Левачев", "Мартынов" и "Флягин". "Ростовцев" был затоплен, а "Ударный" 19 сентября 1941 г. погиб в бою с самолетами против</w:t>
      </w:r>
      <w:r w:rsidRPr="00640820">
        <w:rPr>
          <w:rFonts w:ascii="Times New Roman" w:hAnsi="Times New Roman"/>
          <w:color w:val="000000" w:themeColor="text1"/>
          <w:sz w:val="16"/>
          <w:szCs w:val="16"/>
        </w:rPr>
        <w:softHyphen/>
        <w:t>ника у Тендры. Уцелел только "Железняков", прошедший славный боевой путь на Дону, Кубани, в Азовском море и на Дунае и закончивший вой</w:t>
      </w:r>
      <w:r w:rsidRPr="00640820">
        <w:rPr>
          <w:rFonts w:ascii="Times New Roman" w:hAnsi="Times New Roman"/>
          <w:color w:val="000000" w:themeColor="text1"/>
          <w:sz w:val="16"/>
          <w:szCs w:val="16"/>
        </w:rPr>
        <w:softHyphen/>
        <w:t>ну в Будапеште. В 1967 г. восстановленный монитор был установ</w:t>
      </w:r>
      <w:r w:rsidRPr="00640820">
        <w:rPr>
          <w:rFonts w:ascii="Times New Roman" w:hAnsi="Times New Roman"/>
          <w:color w:val="000000" w:themeColor="text1"/>
          <w:sz w:val="16"/>
          <w:szCs w:val="16"/>
        </w:rPr>
        <w:softHyphen/>
        <w:t>лен в качестве корабля-памятника в Киеве (3898).</w:t>
      </w:r>
    </w:p>
    <w:p w14:paraId="04268C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5F4F3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эсминец "Безупреч</w:t>
      </w:r>
      <w:r w:rsidRPr="00640820">
        <w:rPr>
          <w:rFonts w:ascii="Times New Roman" w:hAnsi="Times New Roman"/>
          <w:color w:val="000000" w:themeColor="text1"/>
          <w:sz w:val="16"/>
          <w:szCs w:val="16"/>
        </w:rPr>
        <w:softHyphen/>
        <w:t>ный" во время боев в районе Одессы получил 400 пробоин от осколков. На корабле были затоплены 3-е котельное и 1-е машинное отделения. Корабль потерял ход и получил крен в 17°, но остался на плаву и был отбук</w:t>
      </w:r>
      <w:r w:rsidRPr="00640820">
        <w:rPr>
          <w:rFonts w:ascii="Times New Roman" w:hAnsi="Times New Roman"/>
          <w:color w:val="000000" w:themeColor="text1"/>
          <w:sz w:val="16"/>
          <w:szCs w:val="16"/>
        </w:rPr>
        <w:softHyphen/>
        <w:t>сирован в базу (3898).</w:t>
      </w:r>
    </w:p>
    <w:p w14:paraId="313B1E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40552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пл П-1 погибла на мине в походе с гру</w:t>
      </w:r>
      <w:r w:rsidRPr="00640820">
        <w:rPr>
          <w:rFonts w:ascii="Times New Roman" w:hAnsi="Times New Roman"/>
          <w:color w:val="000000" w:themeColor="text1"/>
          <w:sz w:val="16"/>
          <w:szCs w:val="16"/>
        </w:rPr>
        <w:softHyphen/>
        <w:t>зом для гарнизона ВМБ Ханко (3898).</w:t>
      </w:r>
    </w:p>
    <w:p w14:paraId="1B482C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ADFB99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года П-1, взяв на борт около 20 т груза для осажденного гарнизона Ханко, под командованием капитан-лейтенанта И. А. Логинова вышла из Кронштадта. Однако до конечной цели она не дошла — очевидно, погибла на минах (12718).</w:t>
      </w:r>
    </w:p>
    <w:p w14:paraId="33DE9058"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7C54614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сентябре 1941 г. ПЛ "П-1" ("Правда") под командованием капитан-лейтенанта И.А.Логинова вышла в поход с грузом боеприпасов и продовольствия для осажденной противником военно-морской базе Ханко, однако погибла на переходе, подорвавшись на мине (12719).</w:t>
      </w:r>
    </w:p>
    <w:p w14:paraId="4C259EF0"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5A4F409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года П-3, находясь в одном из кронштадтских доков, получила прямое попадание авиабомбы. После ремонта и некоторого усиления зенитного вооружения П-3 была включена в систему ПВО города на Неве, одновременно являясь зарядовой станцией: она заряжала аккумуляторы уходивших в боевые походы подлодок сберегая тем самым моторесурс их дизелей. В 1944 году бывшую “Искру” окончательно переклассифицировали в учебную лодку и передали Высшему военно-морскому инженерному училищу имени Ф. Э. Дзержинского. В конце 40-х годов П-3 исключили из списков флота и разобрали на металл (12719).</w:t>
      </w:r>
    </w:p>
    <w:p w14:paraId="2D6EC8AA"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0E14DE61"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51A3E0B1"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6EFBB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в Москве в сквере у большого театра открылась выставка трофейного оружия. По авиации сначала были только шлемофон, парашют и пулемет MG-17, а затем появился Ju-88. В начале лета 1943 выставку перевели в Парк Горького (4617,2).</w:t>
      </w:r>
    </w:p>
    <w:p w14:paraId="05FE7E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92C2D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сентября 1941 г. в Алма-Ате была создана Центральная объединенная киностудия (ЦОКС), на которой работали лучшие мастера Москвы, Ленинграда, других городов. Марка ЦОКСа стояла в титрах фильмов </w:t>
      </w:r>
      <w:r w:rsidRPr="00640820">
        <w:rPr>
          <w:rFonts w:ascii="Times New Roman" w:hAnsi="Times New Roman"/>
          <w:iCs/>
          <w:color w:val="000000" w:themeColor="text1"/>
          <w:sz w:val="16"/>
          <w:szCs w:val="16"/>
        </w:rPr>
        <w:t>Иван Грозный</w:t>
      </w:r>
      <w:r w:rsidRPr="00640820">
        <w:rPr>
          <w:rFonts w:ascii="Times New Roman" w:hAnsi="Times New Roman"/>
          <w:color w:val="000000" w:themeColor="text1"/>
          <w:sz w:val="16"/>
          <w:szCs w:val="16"/>
        </w:rPr>
        <w:t xml:space="preserve"> (1-я серия) (1944—1945), </w:t>
      </w:r>
      <w:r w:rsidRPr="00640820">
        <w:rPr>
          <w:rFonts w:ascii="Times New Roman" w:hAnsi="Times New Roman"/>
          <w:iCs/>
          <w:color w:val="000000" w:themeColor="text1"/>
          <w:sz w:val="16"/>
          <w:szCs w:val="16"/>
        </w:rPr>
        <w:t>Котовский</w:t>
      </w:r>
      <w:r w:rsidRPr="00640820">
        <w:rPr>
          <w:rFonts w:ascii="Times New Roman" w:hAnsi="Times New Roman"/>
          <w:color w:val="000000" w:themeColor="text1"/>
          <w:sz w:val="16"/>
          <w:szCs w:val="16"/>
        </w:rPr>
        <w:t xml:space="preserve"> (1942) , </w:t>
      </w:r>
      <w:r w:rsidRPr="00640820">
        <w:rPr>
          <w:rFonts w:ascii="Times New Roman" w:hAnsi="Times New Roman"/>
          <w:iCs/>
          <w:color w:val="000000" w:themeColor="text1"/>
          <w:sz w:val="16"/>
          <w:szCs w:val="16"/>
        </w:rPr>
        <w:t>Жди меня</w:t>
      </w:r>
      <w:r w:rsidRPr="00640820">
        <w:rPr>
          <w:rFonts w:ascii="Times New Roman" w:hAnsi="Times New Roman"/>
          <w:color w:val="000000" w:themeColor="text1"/>
          <w:sz w:val="16"/>
          <w:szCs w:val="16"/>
        </w:rPr>
        <w:t xml:space="preserve"> (1943) , </w:t>
      </w:r>
      <w:r w:rsidRPr="00640820">
        <w:rPr>
          <w:rFonts w:ascii="Times New Roman" w:hAnsi="Times New Roman"/>
          <w:iCs/>
          <w:color w:val="000000" w:themeColor="text1"/>
          <w:sz w:val="16"/>
          <w:szCs w:val="16"/>
        </w:rPr>
        <w:t>Фронт</w:t>
      </w:r>
      <w:r w:rsidRPr="00640820">
        <w:rPr>
          <w:rFonts w:ascii="Times New Roman" w:hAnsi="Times New Roman"/>
          <w:color w:val="000000" w:themeColor="text1"/>
          <w:sz w:val="16"/>
          <w:szCs w:val="16"/>
        </w:rPr>
        <w:t xml:space="preserve"> (1943) , </w:t>
      </w:r>
      <w:r w:rsidRPr="00640820">
        <w:rPr>
          <w:rFonts w:ascii="Times New Roman" w:hAnsi="Times New Roman"/>
          <w:iCs/>
          <w:color w:val="000000" w:themeColor="text1"/>
          <w:sz w:val="16"/>
          <w:szCs w:val="16"/>
        </w:rPr>
        <w:t>Парень из нашего города</w:t>
      </w:r>
      <w:r w:rsidRPr="00640820">
        <w:rPr>
          <w:rFonts w:ascii="Times New Roman" w:hAnsi="Times New Roman"/>
          <w:color w:val="000000" w:themeColor="text1"/>
          <w:sz w:val="16"/>
          <w:szCs w:val="16"/>
        </w:rPr>
        <w:t xml:space="preserve"> (1942) , </w:t>
      </w:r>
      <w:r w:rsidRPr="00640820">
        <w:rPr>
          <w:rFonts w:ascii="Times New Roman" w:hAnsi="Times New Roman"/>
          <w:iCs/>
          <w:color w:val="000000" w:themeColor="text1"/>
          <w:sz w:val="16"/>
          <w:szCs w:val="16"/>
        </w:rPr>
        <w:t>Она защищает Родину</w:t>
      </w:r>
      <w:r w:rsidRPr="00640820">
        <w:rPr>
          <w:rFonts w:ascii="Times New Roman" w:hAnsi="Times New Roman"/>
          <w:color w:val="000000" w:themeColor="text1"/>
          <w:sz w:val="16"/>
          <w:szCs w:val="16"/>
        </w:rPr>
        <w:t xml:space="preserve"> (1943) , комедий </w:t>
      </w:r>
      <w:r w:rsidRPr="00640820">
        <w:rPr>
          <w:rFonts w:ascii="Times New Roman" w:hAnsi="Times New Roman"/>
          <w:iCs/>
          <w:color w:val="000000" w:themeColor="text1"/>
          <w:sz w:val="16"/>
          <w:szCs w:val="16"/>
        </w:rPr>
        <w:t>Антоша Рыбкин</w:t>
      </w:r>
      <w:r w:rsidRPr="00640820">
        <w:rPr>
          <w:rFonts w:ascii="Times New Roman" w:hAnsi="Times New Roman"/>
          <w:color w:val="000000" w:themeColor="text1"/>
          <w:sz w:val="16"/>
          <w:szCs w:val="16"/>
        </w:rPr>
        <w:t xml:space="preserve"> (1942), </w:t>
      </w:r>
      <w:r w:rsidRPr="00640820">
        <w:rPr>
          <w:rFonts w:ascii="Times New Roman" w:hAnsi="Times New Roman"/>
          <w:iCs/>
          <w:color w:val="000000" w:themeColor="text1"/>
          <w:sz w:val="16"/>
          <w:szCs w:val="16"/>
        </w:rPr>
        <w:t>Воздушный извозчик</w:t>
      </w:r>
      <w:r w:rsidRPr="00640820">
        <w:rPr>
          <w:rFonts w:ascii="Times New Roman" w:hAnsi="Times New Roman"/>
          <w:color w:val="000000" w:themeColor="text1"/>
          <w:sz w:val="16"/>
          <w:szCs w:val="16"/>
        </w:rPr>
        <w:t xml:space="preserve"> (1943) и т. д. На всех фронтах успешно снимали кинодокументалисты. Вскоре после битвы под Москвой, с февраля 1942 г., в районах, освобожденных от оккупантов, возобновился кинопрокат, шли хроникальные съемки. Ровно через год, в феврале 1943 г., началось возвращение киностудий (11019).</w:t>
      </w:r>
    </w:p>
    <w:p w14:paraId="6EEB97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F31027E"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7639850B"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7B1FF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английское правительство известило правительство СССР о своем решении немедленно ввести войска в Тегеран и о том, что оно направило соответствующие инструкции командующему английскими войсками в Иране. Английское правительство просило Советское правительство дать такие же инструкции командующему советскими войсками в Иране. В результате этой инициативы английского правительства в сентябре 1941 г. в Тегеран были введены английские и советские войска (7430).</w:t>
      </w:r>
    </w:p>
    <w:p w14:paraId="229303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CFEB9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в обратный рейс за границу вместе с пятью английскими транспортами первого каравана отправились семь советских судов с грузом лесоматериалов. Из них пять - суда Мурманского пароходства: "Севзаплес", "Алма-Ата", "Старый большевик", "Моссовет", "Сухона" (11910).</w:t>
      </w:r>
    </w:p>
    <w:p w14:paraId="531CCC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2ECFA28" w14:textId="77777777" w:rsidR="00B81D22" w:rsidRPr="00640820" w:rsidRDefault="00B81D22" w:rsidP="00640820">
      <w:pPr>
        <w:pStyle w:val="ae"/>
        <w:shd w:val="clear" w:color="auto" w:fill="FFFFFF"/>
        <w:spacing w:before="0" w:after="0"/>
        <w:jc w:val="both"/>
        <w:rPr>
          <w:color w:val="000000" w:themeColor="text1"/>
          <w:sz w:val="16"/>
          <w:szCs w:val="16"/>
        </w:rPr>
      </w:pPr>
      <w:r w:rsidRPr="00640820">
        <w:rPr>
          <w:color w:val="000000" w:themeColor="text1"/>
          <w:sz w:val="16"/>
          <w:szCs w:val="16"/>
        </w:rPr>
        <w:t>В сентябре 1941 г. правительством Нидерландов, находившемся в эмиграции, впервые был поднят вопрос о репарациях. Реакция Советского Союза не заставила себя ждать: уже 28 сентября 1941 г. Сталин запросил по вопросу о репарациях посола США в СССР Аврелла Гарримана и британского министра запасов и снабжения Уильяма Бивербрука, находившегося в то время с визитом в Москве, но получил от обоих уклончивый ответ [Karlsch, 1993(a). S. 16] (19850).</w:t>
      </w:r>
    </w:p>
    <w:p w14:paraId="28459445" w14:textId="77777777" w:rsidR="00B81D22" w:rsidRPr="00640820" w:rsidRDefault="00B81D22" w:rsidP="00640820">
      <w:pPr>
        <w:pStyle w:val="ae"/>
        <w:shd w:val="clear" w:color="auto" w:fill="FFFFFF"/>
        <w:spacing w:before="0" w:after="0"/>
        <w:jc w:val="both"/>
        <w:rPr>
          <w:color w:val="000000" w:themeColor="text1"/>
          <w:sz w:val="16"/>
          <w:szCs w:val="16"/>
        </w:rPr>
      </w:pPr>
    </w:p>
    <w:p w14:paraId="1055D657"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480C6EB8"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0005B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ФВ-190 был впервые замечен в боевых операциях против Англии (747,5).</w:t>
      </w:r>
    </w:p>
    <w:p w14:paraId="48C871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609B8AC" w14:textId="77777777" w:rsidR="002E1BEB" w:rsidRPr="00640820" w:rsidRDefault="002E1BE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Сентябрь 1941 истребитель Grumman Мартлет впервые используется на борту авианосца Королевского флот авианосцев для охраны конвоя. Это первое авианосное боевое применение любого варианта Grumman F4F Wildcat (20794).</w:t>
      </w:r>
    </w:p>
    <w:p w14:paraId="1DFE9A58" w14:textId="77777777" w:rsidR="002E1BEB" w:rsidRPr="00640820" w:rsidRDefault="002E1BEB" w:rsidP="00640820">
      <w:pPr>
        <w:spacing w:after="0" w:line="240" w:lineRule="auto"/>
        <w:jc w:val="both"/>
        <w:rPr>
          <w:rFonts w:ascii="Times New Roman" w:hAnsi="Times New Roman"/>
          <w:color w:val="0070C0"/>
          <w:sz w:val="16"/>
          <w:szCs w:val="16"/>
        </w:rPr>
      </w:pPr>
    </w:p>
    <w:p w14:paraId="582EE80A" w14:textId="77777777" w:rsidR="003375C8" w:rsidRPr="00640820" w:rsidRDefault="003375C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сентябре 1941 года супруга лорда Галифакса окрестила последний из девять самолетов модификации B Mk. I srs. III. B Mk. I srs. III поставили моторы «Мерлин» ХХ взлетной мощностью по 1280 л.с. Не найдя другого места, дополнительные баки поставили на месте коек для отдыха, что вызвало недовольство летчиков, ведь полет мог продолжаться 15-18 часов. Предкрылки, которые функционировали не всегда надежно, сняли, а на усиленной передней кромке установили 6 небольших ножей для подрезки тросов аэростатов заграждения. Был добавлен третий (резервный) электрогенератор, за счет замены сбрасываемых крышек аварийного слива топлива длинными трубами снизили риск загорания струй бензина при пожаре самого самолета и уменьшили время слива. Но при всем том «Галифакс» оставался все еще «сырой», недовведенной машиной.</w:t>
      </w:r>
    </w:p>
    <w:p w14:paraId="1A88B555" w14:textId="77777777" w:rsidR="003375C8" w:rsidRPr="00640820" w:rsidRDefault="003375C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Выпуск машин 1-й серии был остановлен, и с 51-й машины в производство пошел вариант B Mk. I srs. II. На нем довели до ума пулеметные турели в бортах, которые ранее техники эскадрилий были вынуждены просто демонтировать. В носу появились блистеры для обзора назад. Через них штурманы теперь были обязаны фотографировать результаты бомбометания. Ставилась задача бомбардировки целей в Восточной Германии и в Италии, самолет облегчили (например, сняли механизм уборки хвостового колеса), а разрешенный взлетный вес подняли с 24950 до 26310 кг. Но запас топлива, ради чего все и затевалось, пока остался прежним, и выпуск этой серии ограничили 25-ю самолетами. Летные данные «галифаксов» снижались пропорционально внедрению усовершенствований (22824).</w:t>
      </w:r>
    </w:p>
    <w:p w14:paraId="09A12E5C" w14:textId="77777777" w:rsidR="003375C8" w:rsidRPr="00640820" w:rsidRDefault="003375C8" w:rsidP="00640820">
      <w:pPr>
        <w:spacing w:after="0" w:line="240" w:lineRule="auto"/>
        <w:jc w:val="both"/>
        <w:rPr>
          <w:rFonts w:ascii="Times New Roman" w:hAnsi="Times New Roman"/>
          <w:color w:val="0070C0"/>
          <w:sz w:val="16"/>
          <w:szCs w:val="16"/>
        </w:rPr>
      </w:pPr>
    </w:p>
    <w:p w14:paraId="077C46E8" w14:textId="77777777" w:rsidR="003375C8" w:rsidRPr="00640820" w:rsidRDefault="003375C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сентябре 1941 г. был сдан головной борт «Бофорт» B Mk. II AW244 с моторами R-1830-S3C4-G, но всего их было сделано только 167 (а по др. данным — 165) машин: моторы из Австралии возить было сложно, и пришлось возобновить выпуск Mk. I с «таурусами», которых в Англии было сделано 1013 штук. «Бофорт» Mk. II получил тормозные щитки и мог бомбить с пикирования, фирма сделала и специальный пикировщик B Mk. III с высотными моторами «Мерлин» Mk. XX, но их не хватало для истребителей, а под угрозой массированных авианалетов они имели высший приоритет. Завод в Филтоне сам был загружен выпуском ночных перехватчиков «Бофайтер» — и задание на выпуск торпедоносцев «Бофорт» с него сняли. Не пошел в серию и «Бофорт» B Mk. IV, пикирующий бомбардировщик, торпедоносец и разведчик с моторами «Таурус» XX (22973).</w:t>
      </w:r>
    </w:p>
    <w:p w14:paraId="45B8F0B2" w14:textId="77777777" w:rsidR="003375C8" w:rsidRPr="00640820" w:rsidRDefault="003375C8" w:rsidP="00640820">
      <w:pPr>
        <w:spacing w:after="0" w:line="240" w:lineRule="auto"/>
        <w:jc w:val="both"/>
        <w:rPr>
          <w:rFonts w:ascii="Times New Roman" w:hAnsi="Times New Roman"/>
          <w:color w:val="0070C0"/>
          <w:sz w:val="16"/>
          <w:szCs w:val="16"/>
        </w:rPr>
      </w:pPr>
    </w:p>
    <w:p w14:paraId="4CB359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lang w:val="en-US"/>
        </w:rPr>
        <w:t xml:space="preserve">During September 1941 Messerschmitt Me-163A powered by "cold" H. Walther rocket successfully flown at Augsburg, Germany, development of which had begun in 1937, but "cold" engine proved unreliable. Flights were also made in October which reached speeds of 1,003 km/hr, or Mach 0.85. </w:t>
      </w:r>
      <w:r w:rsidRPr="00640820">
        <w:rPr>
          <w:rFonts w:ascii="Times New Roman" w:hAnsi="Times New Roman"/>
          <w:color w:val="000000" w:themeColor="text1"/>
          <w:sz w:val="16"/>
          <w:szCs w:val="16"/>
        </w:rPr>
        <w:t>(1038).</w:t>
      </w:r>
    </w:p>
    <w:p w14:paraId="177F6D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EAA33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Мессершмит Ме-163А с двигателем Вальтера совершил успешный полет в Аусбурге в Германии. Разработка машины началась в 1937 но двигатель оказался ненадежным. Полеты проводились и в октябре 1941 и была достигнута скорость 1003 км/час или 0.85 М (1038).</w:t>
      </w:r>
    </w:p>
    <w:p w14:paraId="329543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3574C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в II(Shc)/LG2 для фронтовых испытаний поступили 6 предсерийных штурмовиков Hsl29B-0. Кроме "хеншелей", на вооружении группы находились Hsl23 и ВП09Е-4/В.</w:t>
      </w:r>
    </w:p>
    <w:p w14:paraId="672AC7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Вооружение штурмовика Hsl29B-0 состояло из двух 20-мм пушек MG151/ 20, двух пулеметов нормального калибра MG17 и максимальной (в перегрузку) бомбовой нагрузки до 350 кг (четыре 50-кг бомбы на бомбодержателях типа ЕТС50 под фюзеляжем, две "пятидесятки" на ЕТС50 под консолями крыла и 25х2 кг в фюзеляжном бомбовом отсеке). Вместо двух 50-кг бомб на ЕТС50 под консолями крыла имелась возможность подвески двух контейнеров типа АВ24 на 24 противопехотные 2-кг осколочные бомбы типа SD2 каждый.</w:t>
      </w:r>
    </w:p>
    <w:p w14:paraId="6F471B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докладам немецких пилотов штурмовики Hsl29B-0 проявили себя как эффективное авиационное средство поражения бронетехники и других наземных целей. Так, в один из дней шестерка "хеншелей" восточнее Вязьмы атаковала прорвавшиеся через немецкие позиции советские танки. По словам участников вылета, им удалось в нескольких заходах с высоты 60 м уничтожить 15 советских танков. Стрельба велась по моторному отсеку танков. Командир эскадрильи майор Вейсс только за 10 октябрьских дней уничтожил в районе Калинина 18 советских танков.</w:t>
      </w:r>
    </w:p>
    <w:p w14:paraId="15F657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Достоверность докладов немецких пилотов в отношении потерь советских танков вызывает очень большие сомнения. Дело в том, что бронебойный снаряд к MG151/20 в типовых условиях боев не обеспечивал пробитие брони как средних и тяжелых советских танков - Т-34-76 и КВ-1, так и легких - типа Т-60 и Т-70, при атаках с любого направления и под любым углом пикирования...</w:t>
      </w:r>
    </w:p>
    <w:p w14:paraId="268533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Надмоторная броня и броня крыши советских танков всех типов поражалась бронебойным снарядом к пушке MG151/20 лишь при углах пикирования не менее 20°. При меньших углах пикирования горизонтальная броня не поражалась при любых дистанциях стрельбы.</w:t>
      </w:r>
    </w:p>
    <w:p w14:paraId="5F03C7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то же время угол пикирования на "хеншеле" ограничивался 30°. Дело в том, что летные характеристики штурмовика были откровенно плохими, а управление Hsl29B-0 настолько тяжелым, что делало очень сложным точное прицеливание и удерживание линии визирования на цели во время стрельбы на пикировании. По воспоминаниям немецких летчиков ввести поправки в прицеливание во время стрельбы удавалось далеко не всегда. Короткая ручка управления совершенно не учитывала анатомическое строение человека, и вывод машины даже из пологого пикирования представлял собой мучительный процесс. Более того, если угол </w:t>
      </w:r>
      <w:r w:rsidRPr="00640820">
        <w:rPr>
          <w:rFonts w:ascii="Times New Roman" w:hAnsi="Times New Roman"/>
          <w:color w:val="000000" w:themeColor="text1"/>
          <w:sz w:val="16"/>
          <w:szCs w:val="16"/>
        </w:rPr>
        <w:lastRenderedPageBreak/>
        <w:t>пикирования превышал 30°, то усилия на ручке управления становились настолько большими, что летчикам просто не хватало сил для вывода штурмовика в горизонтальный полет.</w:t>
      </w:r>
    </w:p>
    <w:p w14:paraId="2F159E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Вероятность поражения танков с использованием бомбового вооружения Hsl29B-0 (6 бомб типа SC50), как с горизонтального полета, так и на выходе из пикирования под углами 25-30°, была все же небольшой и по расчетам не могла превышать 0,004.</w:t>
      </w:r>
    </w:p>
    <w:p w14:paraId="6B620A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Более или менее эффективными могли быть атаки "хеншелей" только по советским бронемашинам всех типов, бортовая броня которых не превышала 10 мм, автомашинам и другим небронированным целям.</w:t>
      </w:r>
    </w:p>
    <w:p w14:paraId="2B4713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этом случае вероятность поражения (выведения из строя) в одном заходе, например, бронемашины типа БА-10 в боевых условиях при стрельбе в воздухе с Hsl29B-0 из пушек MG151/ 20 бронебойными снарядами (атака сбоку, угол пикирования 25-30°, дальность открытия огня 300-400 м) в самом лучшем случае не могла превышать 0,23-0,25. То есть для гарантированного уничтожения на поле боя одного БА-10 необходимо было выделять не менее 8-9 бронированных "хеншелей".</w:t>
      </w:r>
    </w:p>
    <w:p w14:paraId="60BA78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Очевидно, что состав и огневая мощь вооружения Hsl29B-0, а также пилотажные свойства самолета не позволяли эффективно бороться с бронетехникой Красной Армии.</w:t>
      </w:r>
    </w:p>
    <w:p w14:paraId="6CA084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Тем не менее после победных реляций с восточного фронта германским командованием было принято решение о срочном запуске Hsl29B в серию (8907).</w:t>
      </w:r>
    </w:p>
    <w:p w14:paraId="650EBB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12E02E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на фронтовые испытания поступили 6 предсерийных штурмовиков Нз 129В-0. Вооружение самолета состояло из двух 20-мм пушек МС151/20, двух пу</w:t>
      </w:r>
      <w:r w:rsidRPr="00640820">
        <w:rPr>
          <w:rFonts w:ascii="Times New Roman" w:hAnsi="Times New Roman"/>
          <w:color w:val="000000" w:themeColor="text1"/>
          <w:sz w:val="16"/>
          <w:szCs w:val="16"/>
        </w:rPr>
        <w:softHyphen/>
        <w:t>леметов нормального калибра МС17 и максимальной (в перегрузку) бомбовой нагрузки до 350 кг (четыре 50-кг бомбы на бомбодержателях под фюзеляжем, две «пятидесятки» под консолями крыла и 25x2 кг в фюзеляжном бомбовом отсеке). Вместо двух 50-кг бомб под консолями крыла имелась возможность подвески двух контейнеров типа АВ24 на 24 противопе</w:t>
      </w:r>
      <w:r w:rsidRPr="00640820">
        <w:rPr>
          <w:rFonts w:ascii="Times New Roman" w:hAnsi="Times New Roman"/>
          <w:color w:val="000000" w:themeColor="text1"/>
          <w:sz w:val="16"/>
          <w:szCs w:val="16"/>
        </w:rPr>
        <w:softHyphen/>
        <w:t>хотные 2-кг осколочные бомбы.</w:t>
      </w:r>
    </w:p>
    <w:p w14:paraId="5D326C4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докладам немецких пилотов штурмовики Нз 129В-0 проявили себя как эффективное авиационное средство поражения бронетехники и других назем</w:t>
      </w:r>
      <w:r w:rsidRPr="00640820">
        <w:rPr>
          <w:rFonts w:ascii="Times New Roman" w:hAnsi="Times New Roman"/>
          <w:color w:val="000000" w:themeColor="text1"/>
          <w:sz w:val="16"/>
          <w:szCs w:val="16"/>
        </w:rPr>
        <w:softHyphen/>
        <w:t>ных целей. Так, в один из дней шестерка «хеншелей» восточнее Вязьмы атаковали прорвавшиеся через немецкие позиции советские танки. По словам участников вылета, им удалось в нескольких заходах с высоты 60 м уничтожить 15 советских тан</w:t>
      </w:r>
      <w:r w:rsidRPr="00640820">
        <w:rPr>
          <w:rFonts w:ascii="Times New Roman" w:hAnsi="Times New Roman"/>
          <w:color w:val="000000" w:themeColor="text1"/>
          <w:sz w:val="16"/>
          <w:szCs w:val="16"/>
        </w:rPr>
        <w:softHyphen/>
        <w:t>ков. Стрельба велась по моторному отсеку танков. Командир эскадрильи майор Вейсс только за 10 октябрьских дней доложил об уничтожении в районе Калинина 18 совет</w:t>
      </w:r>
      <w:r w:rsidRPr="00640820">
        <w:rPr>
          <w:rFonts w:ascii="Times New Roman" w:hAnsi="Times New Roman"/>
          <w:color w:val="000000" w:themeColor="text1"/>
          <w:sz w:val="16"/>
          <w:szCs w:val="16"/>
        </w:rPr>
        <w:softHyphen/>
        <w:t>ских танков.</w:t>
      </w:r>
    </w:p>
    <w:p w14:paraId="7270AC2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Вот только достоверность докладов немецких пилотов в отношении потерь советских танков вызывает очень большие сомнения. Дело в том, что бронебойный снаряд к пушке МОП 51/20 в типовых усло</w:t>
      </w:r>
      <w:r w:rsidRPr="00640820">
        <w:rPr>
          <w:rFonts w:ascii="Times New Roman" w:hAnsi="Times New Roman"/>
          <w:color w:val="000000" w:themeColor="text1"/>
          <w:sz w:val="16"/>
          <w:szCs w:val="16"/>
        </w:rPr>
        <w:softHyphen/>
        <w:t>виях боев не обеспечивал пробитие брони даже легких танков типа Т-60 и Т-70 при атаках с любого направления и под любым углом пикирования...</w:t>
      </w:r>
    </w:p>
    <w:p w14:paraId="6788F04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Надмоторная броня и броня крыши советских танков всех типов поражалась бронебойным снарядом к пушке МС151 /20 лишь при углах пикирования свыше 50°. При меньших углах пикирования горизон</w:t>
      </w:r>
      <w:r w:rsidRPr="00640820">
        <w:rPr>
          <w:rFonts w:ascii="Times New Roman" w:hAnsi="Times New Roman"/>
          <w:color w:val="000000" w:themeColor="text1"/>
          <w:sz w:val="16"/>
          <w:szCs w:val="16"/>
        </w:rPr>
        <w:softHyphen/>
        <w:t>тальная броня не поражалась при любых дистанциях стрельбы.</w:t>
      </w:r>
    </w:p>
    <w:p w14:paraId="0B763F0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ведь угол пикирования на «Хеншеле» ограничивался 30°. Дело в том, что летные характеристики штурмовика были откро</w:t>
      </w:r>
      <w:r w:rsidRPr="00640820">
        <w:rPr>
          <w:rFonts w:ascii="Times New Roman" w:hAnsi="Times New Roman"/>
          <w:color w:val="000000" w:themeColor="text1"/>
          <w:sz w:val="16"/>
          <w:szCs w:val="16"/>
        </w:rPr>
        <w:softHyphen/>
        <w:t>венно плохими, а управление Нз 129В-0 настолько тяжелым, что делало очень сложным точное прицеливание и удержи</w:t>
      </w:r>
      <w:r w:rsidRPr="00640820">
        <w:rPr>
          <w:rFonts w:ascii="Times New Roman" w:hAnsi="Times New Roman"/>
          <w:color w:val="000000" w:themeColor="text1"/>
          <w:sz w:val="16"/>
          <w:szCs w:val="16"/>
        </w:rPr>
        <w:softHyphen/>
        <w:t>вание линии визирования на цели во время стрельбы на пикировании. По воспомина</w:t>
      </w:r>
      <w:r w:rsidRPr="00640820">
        <w:rPr>
          <w:rFonts w:ascii="Times New Roman" w:hAnsi="Times New Roman"/>
          <w:color w:val="000000" w:themeColor="text1"/>
          <w:sz w:val="16"/>
          <w:szCs w:val="16"/>
        </w:rPr>
        <w:softHyphen/>
        <w:t>ниям немецких летчиков ввести поправки в прицеливание во время стрельбы уда</w:t>
      </w:r>
      <w:r w:rsidRPr="00640820">
        <w:rPr>
          <w:rFonts w:ascii="Times New Roman" w:hAnsi="Times New Roman"/>
          <w:color w:val="000000" w:themeColor="text1"/>
          <w:sz w:val="16"/>
          <w:szCs w:val="16"/>
        </w:rPr>
        <w:softHyphen/>
        <w:t>валось далеко не всегда. Короткая ручка управления совершенно не учитывала ана</w:t>
      </w:r>
      <w:r w:rsidRPr="00640820">
        <w:rPr>
          <w:rFonts w:ascii="Times New Roman" w:hAnsi="Times New Roman"/>
          <w:color w:val="000000" w:themeColor="text1"/>
          <w:sz w:val="16"/>
          <w:szCs w:val="16"/>
        </w:rPr>
        <w:softHyphen/>
        <w:t>томическое строение человека, и вывод машины даже из пологого пикирования представлял собой мучительный процесс. А если угол пикирования превышал 30°, то усилия на ручке управления становились настолько большими, что летчикам просто не хватало сил для вывода штурмовика в горизонтальный полет!</w:t>
      </w:r>
    </w:p>
    <w:p w14:paraId="525D306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Более или менее эффективными могли быть атаки «хеншелей» только по совет</w:t>
      </w:r>
      <w:r w:rsidRPr="00640820">
        <w:rPr>
          <w:rFonts w:ascii="Times New Roman" w:hAnsi="Times New Roman"/>
          <w:color w:val="000000" w:themeColor="text1"/>
          <w:sz w:val="16"/>
          <w:szCs w:val="16"/>
        </w:rPr>
        <w:softHyphen/>
        <w:t>ским бронемашинам всех типов, бортовая броня которых не превышала 10 мм, ав</w:t>
      </w:r>
      <w:r w:rsidRPr="00640820">
        <w:rPr>
          <w:rFonts w:ascii="Times New Roman" w:hAnsi="Times New Roman"/>
          <w:color w:val="000000" w:themeColor="text1"/>
          <w:sz w:val="16"/>
          <w:szCs w:val="16"/>
        </w:rPr>
        <w:softHyphen/>
        <w:t>томашинам и другим небронированным целям.</w:t>
      </w:r>
    </w:p>
    <w:p w14:paraId="5C16F47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Таким образом, состав и огневая мощь вооружения Нз 129В-0, а также пило</w:t>
      </w:r>
      <w:r w:rsidRPr="00640820">
        <w:rPr>
          <w:rFonts w:ascii="Times New Roman" w:hAnsi="Times New Roman"/>
          <w:color w:val="000000" w:themeColor="text1"/>
          <w:sz w:val="16"/>
          <w:szCs w:val="16"/>
        </w:rPr>
        <w:softHyphen/>
        <w:t>тажные свойства самолета не позволяли эффективно бороться с бронетехникой Красной Армии.</w:t>
      </w:r>
    </w:p>
    <w:p w14:paraId="77ACC47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Тем не менее, после победных ре</w:t>
      </w:r>
      <w:r w:rsidRPr="00640820">
        <w:rPr>
          <w:rFonts w:ascii="Times New Roman" w:hAnsi="Times New Roman"/>
          <w:color w:val="000000" w:themeColor="text1"/>
          <w:sz w:val="16"/>
          <w:szCs w:val="16"/>
        </w:rPr>
        <w:softHyphen/>
        <w:t>ляций с восточного фронта германским командованием было принято решение о срочном запуске Нз 129В в серию. Первый серийный экземпляр Нз 129В-1 покинул сборочный цех 21 декабря. Последний отличался от В-0 главным образом некото</w:t>
      </w:r>
      <w:r w:rsidRPr="00640820">
        <w:rPr>
          <w:rFonts w:ascii="Times New Roman" w:hAnsi="Times New Roman"/>
          <w:color w:val="000000" w:themeColor="text1"/>
          <w:sz w:val="16"/>
          <w:szCs w:val="16"/>
        </w:rPr>
        <w:softHyphen/>
        <w:t>рым улучшением в системе бронирования самолета, несколько улучшенным обзором у летчика вперед-вниз и отчасти в стороны за счет изменения формы носовой части самолета и остекления фонаря кабины, другими капотами моторов, открытыми оружейными каналами фюзеляжа и иным размещением радиооборудования. С 3 ян</w:t>
      </w:r>
      <w:r w:rsidRPr="00640820">
        <w:rPr>
          <w:rFonts w:ascii="Times New Roman" w:hAnsi="Times New Roman"/>
          <w:color w:val="000000" w:themeColor="text1"/>
          <w:sz w:val="16"/>
          <w:szCs w:val="16"/>
        </w:rPr>
        <w:softHyphen/>
        <w:t>варя 1942 г. началась регулярная приемка Нз 129В-1 люфтваффе. Всего по апрель месяц включительно люфтваффе приняло 44 Нз 129В-1 (12728).</w:t>
      </w:r>
    </w:p>
    <w:p w14:paraId="39FA8152"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5A3FEA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группа немецких генералов-фронтовиков обратилась с письмом к А.Г. прося организовать в Германии производство Т-34 (1069,19).</w:t>
      </w:r>
    </w:p>
    <w:p w14:paraId="610698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526D1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в Германии Harteck отказался от метода термосепарации изотопов урана из-за сильной коррозии оборудования (2221).</w:t>
      </w:r>
    </w:p>
    <w:p w14:paraId="4D3009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6F93671" w14:textId="77777777" w:rsidR="00C365F0" w:rsidRPr="00640820" w:rsidRDefault="00C365F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года Финны провели в Хельсенки выставку захваченной советской техники и оружия (19202).</w:t>
      </w:r>
    </w:p>
    <w:p w14:paraId="61AA5E1F" w14:textId="77777777" w:rsidR="00C365F0" w:rsidRPr="00640820" w:rsidRDefault="00C365F0" w:rsidP="00640820">
      <w:pPr>
        <w:spacing w:after="0" w:line="240" w:lineRule="auto"/>
        <w:jc w:val="both"/>
        <w:rPr>
          <w:rFonts w:ascii="Times New Roman" w:hAnsi="Times New Roman"/>
          <w:color w:val="000000" w:themeColor="text1"/>
          <w:sz w:val="16"/>
          <w:szCs w:val="16"/>
        </w:rPr>
      </w:pPr>
    </w:p>
    <w:p w14:paraId="5FE9B9A1" w14:textId="77777777" w:rsidR="00537B89" w:rsidRPr="00640820" w:rsidRDefault="00537B89" w:rsidP="00640820">
      <w:pPr>
        <w:pStyle w:val="ae"/>
        <w:shd w:val="clear" w:color="auto" w:fill="FFFFFF"/>
        <w:spacing w:before="0" w:after="0"/>
        <w:jc w:val="both"/>
        <w:rPr>
          <w:color w:val="000000" w:themeColor="text1"/>
          <w:sz w:val="16"/>
          <w:szCs w:val="16"/>
        </w:rPr>
      </w:pPr>
      <w:r w:rsidRPr="00640820">
        <w:rPr>
          <w:color w:val="000000" w:themeColor="text1"/>
          <w:sz w:val="16"/>
          <w:szCs w:val="16"/>
        </w:rPr>
        <w:t xml:space="preserve">В сентябре 1941 года наиболее подходящим для оборудования </w:t>
      </w:r>
      <w:hyperlink r:id="rId17" w:history="1">
        <w:r w:rsidRPr="00640820">
          <w:rPr>
            <w:rStyle w:val="a5"/>
            <w:color w:val="000000" w:themeColor="text1"/>
            <w:sz w:val="16"/>
            <w:szCs w:val="16"/>
            <w:u w:val="none"/>
          </w:rPr>
          <w:t>Duplex Drive</w:t>
        </w:r>
      </w:hyperlink>
      <w:r w:rsidRPr="00640820">
        <w:rPr>
          <w:color w:val="000000" w:themeColor="text1"/>
          <w:sz w:val="16"/>
          <w:szCs w:val="16"/>
        </w:rPr>
        <w:t xml:space="preserve">, сокращённо DD был признан Valentine. Испытания Valentine II с комплектом DD показали, что конструкция Николаса Штраусслера вполне подходит для установки на него. Впрочем, более подходящими были признаны Valentine, оснащённые моторами GMC. В июне 1942 года было принято решение о комплектовании танками Valentine DD двух бронетанковых дивизий. Всего было заказано 450 танков, из них 225 ожидалось получить к 1 января 1943 года. Основной модификацией для переделки в плавающий танк считался Valentine IX. Тем не менее 85 Valentine V по контракту T2454 и 75 танков по контракту TM6118 тоже было построено в таком исполнении. Часть Valentine V DD получила более тонкие борта толщиной 43 мм для компенсации выросшей боевой массы. Ещё с начала 1941 года венгерский изобретатель Николас Штраусслер работал над системой, превращавшей обычный танк в </w:t>
      </w:r>
      <w:hyperlink r:id="rId18" w:history="1">
        <w:r w:rsidRPr="00640820">
          <w:rPr>
            <w:rStyle w:val="a5"/>
            <w:color w:val="000000" w:themeColor="text1"/>
            <w:sz w:val="16"/>
            <w:szCs w:val="16"/>
            <w:u w:val="none"/>
          </w:rPr>
          <w:t>амфибию</w:t>
        </w:r>
      </w:hyperlink>
      <w:r w:rsidRPr="00640820">
        <w:rPr>
          <w:color w:val="000000" w:themeColor="text1"/>
          <w:sz w:val="16"/>
          <w:szCs w:val="16"/>
        </w:rPr>
        <w:t xml:space="preserve">. Она известна как </w:t>
      </w:r>
      <w:hyperlink r:id="rId19" w:history="1">
        <w:r w:rsidRPr="00640820">
          <w:rPr>
            <w:rStyle w:val="a5"/>
            <w:color w:val="000000" w:themeColor="text1"/>
            <w:sz w:val="16"/>
            <w:szCs w:val="16"/>
            <w:u w:val="none"/>
          </w:rPr>
          <w:t>Duplex Drive</w:t>
        </w:r>
      </w:hyperlink>
      <w:r w:rsidRPr="00640820">
        <w:rPr>
          <w:color w:val="000000" w:themeColor="text1"/>
          <w:sz w:val="16"/>
          <w:szCs w:val="16"/>
        </w:rPr>
        <w:t>, сокращённо DD. Рецепт превращения был прост: на корпусе танка крепилась металлическая конструкция, сверху которой устанавливался раскладной прорезиненный брезентовый экран с рамами. С помощью резиновых трубок, наполняемых сжатым воздухом, экран поднимался, чем обеспечивалась плавучесть танка. Для движения в воде использовались гребные винты, устанавливаемые в кормовой части корпуса (17702).</w:t>
      </w:r>
    </w:p>
    <w:p w14:paraId="248344AF" w14:textId="77777777" w:rsidR="00537B89" w:rsidRPr="00640820" w:rsidRDefault="00537B89" w:rsidP="00640820">
      <w:pPr>
        <w:pStyle w:val="129"/>
        <w:shd w:val="clear" w:color="auto" w:fill="auto"/>
        <w:spacing w:after="0" w:line="240" w:lineRule="auto"/>
        <w:jc w:val="both"/>
        <w:rPr>
          <w:color w:val="000000" w:themeColor="text1"/>
          <w:sz w:val="16"/>
          <w:szCs w:val="16"/>
        </w:rPr>
      </w:pPr>
    </w:p>
    <w:p w14:paraId="5AEEB6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Гейзенберг, который выступал в лекциями в институте пропаганды, встретился в Копенгагене с Нильсом Бором и сообщил об исследованиях деления, а также пытался обсудить эти проблемы (2221).</w:t>
      </w:r>
    </w:p>
    <w:p w14:paraId="12D59C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7E812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группа Ферми закончила работу над реактором с графическим замедлителем с 8 тоннами окиси урана в порошке в стальных баках, расположенных в матрице из 30 тонн графита (2220).</w:t>
      </w:r>
    </w:p>
    <w:p w14:paraId="0D0882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A80F21C"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5FD4D378"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2C17E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 начале октября 1941 г. Ил-2 с Ш-37 проходил полигонные и государственные испытания в НИП АВ. На штурмовике пушки подвешивались под крылом в больших гондолах, поскольку они имели магазинное питание (40 патронов в магазине). В тот период Красная Армия остро нуждалась в эффективном и мобильном противотанковом средстве. Штурмовик Ил-2 с двумя пушками ШВАК и реактивными снарядами, отличавшимися невысокой точностью, таковым не являлся, поскольку "эрэсом" в танк можно было попасть лишь случайно, а снаряд ШВАК на соответствующей дальности не мог пробить броню толщиной более 20…25 мм (11148).</w:t>
      </w:r>
    </w:p>
    <w:p w14:paraId="541A3C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D94F430" w14:textId="77777777" w:rsidR="00984994" w:rsidRPr="00640820" w:rsidRDefault="00984994" w:rsidP="00640820">
      <w:pPr>
        <w:pStyle w:val="a3"/>
        <w:rPr>
          <w:color w:val="000000" w:themeColor="text1"/>
          <w:lang w:val="ru-RU"/>
        </w:rPr>
      </w:pPr>
      <w:r w:rsidRPr="00640820">
        <w:rPr>
          <w:color w:val="000000" w:themeColor="text1"/>
          <w:lang w:val="ru-RU"/>
        </w:rPr>
        <w:t>В сентябре — начале октября 1941 г. Ил-2 с двумя пушка</w:t>
      </w:r>
      <w:r w:rsidRPr="00640820">
        <w:rPr>
          <w:color w:val="000000" w:themeColor="text1"/>
          <w:lang w:val="ru-RU"/>
        </w:rPr>
        <w:softHyphen/>
        <w:t>ми Ш-37 проходил полигонные и государствен</w:t>
      </w:r>
      <w:r w:rsidRPr="00640820">
        <w:rPr>
          <w:color w:val="000000" w:themeColor="text1"/>
          <w:lang w:val="ru-RU"/>
        </w:rPr>
        <w:softHyphen/>
        <w:t>ные испытания в НИП АВ. На штурмовике пушки подвешивали под крылом в больших гондолах, поскольку они имели магазинное питание (40 патронов в магазине). В тот период Красная Армия остро нуждалась в эффективном и мобильном противотанковом средстве. Штурмовик Ил-2 с двумя пушками ШВАК и реактивными снарядами, отличав</w:t>
      </w:r>
      <w:r w:rsidRPr="00640820">
        <w:rPr>
          <w:color w:val="000000" w:themeColor="text1"/>
          <w:lang w:val="ru-RU"/>
        </w:rPr>
        <w:softHyphen/>
        <w:t>шимися невысокой точностью, таковым не являлся, поскольку «эрэсом» в танк можно было попасть лишь случайно, а снаряд ШВАК на соответствующей дальности не мог пробить броню толщиной более 20...25 мм.</w:t>
      </w:r>
    </w:p>
    <w:p w14:paraId="26689E0B" w14:textId="77777777" w:rsidR="00984994" w:rsidRPr="00640820" w:rsidRDefault="00984994" w:rsidP="00640820">
      <w:pPr>
        <w:pStyle w:val="a3"/>
        <w:rPr>
          <w:color w:val="000000" w:themeColor="text1"/>
          <w:lang w:val="ru-RU"/>
        </w:rPr>
      </w:pPr>
      <w:r w:rsidRPr="00640820">
        <w:rPr>
          <w:color w:val="000000" w:themeColor="text1"/>
          <w:lang w:val="ru-RU"/>
        </w:rPr>
        <w:t>Между тем бронебойный 37-мм снаряд пробивал бортовую броню немецких средних танков (30 мм) под углом 45° к нормали с расстояния 500 м. Лёгкие танки врага пора</w:t>
      </w:r>
      <w:r w:rsidRPr="00640820">
        <w:rPr>
          <w:color w:val="000000" w:themeColor="text1"/>
          <w:lang w:val="ru-RU"/>
        </w:rPr>
        <w:softHyphen/>
        <w:t>жались этим снарядом с любых направлений на дистанции до 700 м. Однако вооруже</w:t>
      </w:r>
      <w:r w:rsidRPr="00640820">
        <w:rPr>
          <w:color w:val="000000" w:themeColor="text1"/>
          <w:lang w:val="ru-RU"/>
        </w:rPr>
        <w:softHyphen/>
        <w:t>ние «Ила» двумя 37-мм пушками таило в себе не только плюсы, но и минусы. Штурмовик стал заметно тяжелее, он потерял в скорости и маневренности. Сильная отдача пушек и их размещение существенно ниже центра масс приводили к тому, что в цель летела только первая пара снарядов, а все прочие из-за «клевков» самолёта уходили вниз. Для эффективного использования боекомплекта требовалось выполнить 10-13 прицельных заходов, что было нереально с учетом противодействия врага (15787).</w:t>
      </w:r>
    </w:p>
    <w:p w14:paraId="1683E636" w14:textId="77777777" w:rsidR="00984994" w:rsidRPr="00640820" w:rsidRDefault="00984994" w:rsidP="00640820">
      <w:pPr>
        <w:spacing w:after="0" w:line="240" w:lineRule="auto"/>
        <w:jc w:val="both"/>
        <w:rPr>
          <w:rFonts w:ascii="Times New Roman" w:hAnsi="Times New Roman"/>
          <w:color w:val="000000" w:themeColor="text1"/>
          <w:sz w:val="16"/>
          <w:szCs w:val="16"/>
        </w:rPr>
      </w:pPr>
    </w:p>
    <w:p w14:paraId="5D2373C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 октябре 1941 г. в Ленинграде на заводе К-4 была разработана технология изготовления прозрачного бронестекла на основе незакаленного силикатного стекла без применения остродефицитного сталинита. По пулестойкости и прозрачности новое бронестекло вполне соответствовало требованиям ВВС и было запущено в массовое производство.</w:t>
      </w:r>
    </w:p>
    <w:p w14:paraId="341D115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Следует сказать, что это изобретение дало огромную эконо</w:t>
      </w:r>
      <w:r w:rsidRPr="00640820">
        <w:rPr>
          <w:rFonts w:ascii="Times New Roman" w:hAnsi="Times New Roman"/>
          <w:color w:val="000000" w:themeColor="text1"/>
          <w:sz w:val="16"/>
          <w:szCs w:val="16"/>
        </w:rPr>
        <w:softHyphen/>
        <w:t>мию государственных средств. Если один комплект бронестек</w:t>
      </w:r>
      <w:r w:rsidRPr="00640820">
        <w:rPr>
          <w:rFonts w:ascii="Times New Roman" w:hAnsi="Times New Roman"/>
          <w:color w:val="000000" w:themeColor="text1"/>
          <w:sz w:val="16"/>
          <w:szCs w:val="16"/>
        </w:rPr>
        <w:softHyphen/>
        <w:t>ла на основе сталинита для Ил-2 стоил 14 тысяч рублей, то комплект из незакаленного силикатного стекла — всего 4 ты</w:t>
      </w:r>
      <w:r w:rsidRPr="00640820">
        <w:rPr>
          <w:rFonts w:ascii="Times New Roman" w:hAnsi="Times New Roman"/>
          <w:color w:val="000000" w:themeColor="text1"/>
          <w:sz w:val="16"/>
          <w:szCs w:val="16"/>
        </w:rPr>
        <w:softHyphen/>
        <w:t>сячи рублей (11474,254).</w:t>
      </w:r>
    </w:p>
    <w:p w14:paraId="5A2F79C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604140" w14:textId="77777777" w:rsidR="00C365F0" w:rsidRPr="00640820" w:rsidRDefault="00C365F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 ноябре 1941 года завод № 381 дал фронту первые 12 самолетов Ил-2, собранных из задела. Цех термической обработки № 310 Уральского танкового завода помимо закалки броневых деталей корпуса и башни танка Т-34, занимался так же термической обработкой деталей, бронекорпусов Ил-2, а так же броневых элементов самолетов А-34, А-35, ЛАГГ-3, Як-1, ДБ-3Ф, Ту-2, Пе-2, Пе-3, заготовки к которым поступали с других заводов (18250).</w:t>
      </w:r>
    </w:p>
    <w:p w14:paraId="09B432A8" w14:textId="77777777" w:rsidR="00C365F0" w:rsidRPr="00640820" w:rsidRDefault="00C365F0" w:rsidP="00640820">
      <w:pPr>
        <w:spacing w:after="0" w:line="240" w:lineRule="auto"/>
        <w:jc w:val="both"/>
        <w:rPr>
          <w:rFonts w:ascii="Times New Roman" w:hAnsi="Times New Roman"/>
          <w:color w:val="000000" w:themeColor="text1"/>
          <w:sz w:val="16"/>
          <w:szCs w:val="16"/>
        </w:rPr>
      </w:pPr>
    </w:p>
    <w:p w14:paraId="61081AEA" w14:textId="77777777" w:rsidR="00C365F0" w:rsidRPr="00640820" w:rsidRDefault="00C365F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 ноябре 1941 года завод №381 дал фронту первые 12 самолетов, собранных из задела. Цех термической обработки №310 Уральского танкового завода помимо закалки броневых деталей корпуса и башни танка Т-34, занимался так же термической обра- боткой деталей, бронекорпусов Ил-2, а так же броневых элементов самолетов А-34, А-35, ЛАГГ-3, Як-1, ДБ-3Ф, Ту-2, Пе-2, Пе-3, за- готовки к которым поступали с других заводов. В конце 1942 г. именно в этом цехе были изготовлены цемен- тованные броневые детали для первого советского реактивного самолета БИ-1, планеры для которых собирались заводом № 381 (18535).</w:t>
      </w:r>
    </w:p>
    <w:p w14:paraId="0EFD7294" w14:textId="77777777" w:rsidR="00C365F0" w:rsidRPr="00640820" w:rsidRDefault="00C365F0" w:rsidP="00640820">
      <w:pPr>
        <w:spacing w:after="0" w:line="240" w:lineRule="auto"/>
        <w:jc w:val="both"/>
        <w:rPr>
          <w:rFonts w:ascii="Times New Roman" w:hAnsi="Times New Roman"/>
          <w:color w:val="000000" w:themeColor="text1"/>
          <w:sz w:val="16"/>
          <w:szCs w:val="16"/>
        </w:rPr>
      </w:pPr>
    </w:p>
    <w:p w14:paraId="2C215D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сентябре-октябре 1941 г. были проведены государственные испытания самолета МиГ-9, по результатам которых он получил неудовлетворительную оценку. Чуть позднее было признано, что он заметно уступает Ла-5 и Як-7 с тем же мотором М-82 - максимальная скорость МиГ-9 не превышала 565 км/ч на высоте 6150 метров. Существенно доработанный самолет (под обозначением МиГ-9Е) в 1943 г. с двигателем М-82Ф взлетной мощностью 1850 л.с. разгонялся до 670 км/ч на высоте 7100 метров. Однако на тот момент двигатель М-82 уже вполне надежно прижился на Ла-5 и другой подобный истребитель не требовался (11954).</w:t>
      </w:r>
    </w:p>
    <w:p w14:paraId="16F99C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0F76E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сентябре-октябре 1941-го в ЛИИ исследовали летные характеристики Гу-82 и они оказались заметно ниже, чем у Ла-5, испытания которого начались лишь в марте следующего года. Достаточно сказать, что его максимальная скорость была меньше на 27 км/ч, а время набора высоты - чуть больше. На это были свои причины - Гудков торопился дать фронту нужную скоростную машину и время на исследования в условиях эвакуации промышленности на восток у него не было. Поставленную задачу он успешно выполнил, надеясь в дальнейшем значительно улучшить данные самолета (7682,3).</w:t>
      </w:r>
    </w:p>
    <w:p w14:paraId="2F5C63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CEBD049" w14:textId="77777777" w:rsidR="00481F6D" w:rsidRPr="00640820" w:rsidRDefault="00481F6D"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C сентября по октябрь 1941 в ЛИИ проходили испытания Гу-82 (1783,88).</w:t>
      </w:r>
    </w:p>
    <w:p w14:paraId="1DA23A97" w14:textId="77777777" w:rsidR="00481F6D" w:rsidRPr="00640820" w:rsidRDefault="00481F6D" w:rsidP="00640820">
      <w:pPr>
        <w:autoSpaceDE w:val="0"/>
        <w:autoSpaceDN w:val="0"/>
        <w:adjustRightInd w:val="0"/>
        <w:spacing w:after="0" w:line="240" w:lineRule="auto"/>
        <w:jc w:val="both"/>
        <w:rPr>
          <w:rFonts w:ascii="Times New Roman" w:hAnsi="Times New Roman"/>
          <w:color w:val="000000" w:themeColor="text1"/>
          <w:sz w:val="16"/>
          <w:szCs w:val="16"/>
        </w:rPr>
      </w:pPr>
    </w:p>
    <w:p w14:paraId="067010C6"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сентябре-октябре 1941-го летные характеристики Гу-82, исследовавшегося в ЛИИ, оказались заметно ниже, чем у Ла-5, испытания которого начались лишь в марте следующего года. Достаточно сказать, что его максимальная скорость была меньше на 27 км/ч, а время набора высоты - чуть больше. На это были свои причины - Гудков торопился дать фронту нужную скоростную машину и время на исследования в условиях эвакуации промышленности на восток у него не было. Поставленную задачу он успешно выполнил, надеясь в дальнейшем значительно улучшить данные самолета (15558).</w:t>
      </w:r>
    </w:p>
    <w:p w14:paraId="144021BC" w14:textId="77777777" w:rsidR="00F26E86" w:rsidRPr="00640820" w:rsidRDefault="00F26E86" w:rsidP="00640820">
      <w:pPr>
        <w:spacing w:after="0" w:line="240" w:lineRule="auto"/>
        <w:jc w:val="both"/>
        <w:rPr>
          <w:rFonts w:ascii="Times New Roman" w:hAnsi="Times New Roman"/>
          <w:color w:val="000000" w:themeColor="text1"/>
          <w:sz w:val="16"/>
          <w:szCs w:val="16"/>
        </w:rPr>
      </w:pPr>
    </w:p>
    <w:p w14:paraId="7B5AE2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сентябре-октябре 1941 г. в НИИ ВВС А.И.Никашин совершил несколько полетов на Гу-82, но из-за эвакуации испытания прервались и больше не возобновлялись; не была закончена и постройка второго экземпляра Гу-82 (4707).</w:t>
      </w:r>
    </w:p>
    <w:p w14:paraId="689F10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9483BBD" w14:textId="77777777" w:rsidR="00C365F0" w:rsidRPr="00640820" w:rsidRDefault="00C365F0" w:rsidP="00640820">
      <w:pPr>
        <w:pStyle w:val="11b"/>
        <w:shd w:val="clear" w:color="auto" w:fill="auto"/>
        <w:spacing w:after="0" w:line="240" w:lineRule="auto"/>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В сентябре-декабре 1941 года заводом № 22 были выпущены корабли с номерами 42076, 42086, 42096, 42106, 42017, 42027, 42037. Оба прототипа ТБ-7 находились на за</w:t>
      </w:r>
      <w:r w:rsidRPr="00640820">
        <w:rPr>
          <w:rFonts w:ascii="Times New Roman" w:hAnsi="Times New Roman" w:cs="Times New Roman"/>
          <w:color w:val="000000" w:themeColor="text1"/>
          <w:sz w:val="16"/>
          <w:szCs w:val="16"/>
        </w:rPr>
        <w:softHyphen/>
        <w:t>водском аэродроме и должны были быть отремонтированы и включены в 432-м АПДД (авиа</w:t>
      </w:r>
      <w:r w:rsidRPr="00640820">
        <w:rPr>
          <w:rFonts w:ascii="Times New Roman" w:hAnsi="Times New Roman" w:cs="Times New Roman"/>
          <w:color w:val="000000" w:themeColor="text1"/>
          <w:sz w:val="16"/>
          <w:szCs w:val="16"/>
        </w:rPr>
        <w:softHyphen/>
        <w:t>ционный полк дальнего действия) в качестве учебных (19088).</w:t>
      </w:r>
    </w:p>
    <w:p w14:paraId="2328A192" w14:textId="77777777" w:rsidR="00C365F0" w:rsidRPr="00640820" w:rsidRDefault="00C365F0" w:rsidP="00640820">
      <w:pPr>
        <w:pStyle w:val="11b"/>
        <w:shd w:val="clear" w:color="auto" w:fill="auto"/>
        <w:spacing w:after="0" w:line="240" w:lineRule="auto"/>
        <w:jc w:val="both"/>
        <w:rPr>
          <w:rFonts w:ascii="Times New Roman" w:hAnsi="Times New Roman" w:cs="Times New Roman"/>
          <w:color w:val="000000" w:themeColor="text1"/>
          <w:sz w:val="16"/>
          <w:szCs w:val="16"/>
        </w:rPr>
      </w:pPr>
    </w:p>
    <w:p w14:paraId="68CB24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сентябре—начале октября 1941 г. на</w:t>
      </w:r>
      <w:r w:rsidRPr="00640820">
        <w:rPr>
          <w:rFonts w:ascii="Times New Roman" w:hAnsi="Times New Roman"/>
          <w:color w:val="000000" w:themeColor="text1"/>
          <w:sz w:val="16"/>
          <w:szCs w:val="16"/>
        </w:rPr>
        <w:softHyphen/>
        <w:t>чалось крупномасштабное перебазирование авиапроизводств Ленинграда, Харькова, Таганрога, Калуги, Москвы, Запоро</w:t>
      </w:r>
      <w:r w:rsidRPr="00640820">
        <w:rPr>
          <w:rFonts w:ascii="Times New Roman" w:hAnsi="Times New Roman"/>
          <w:color w:val="000000" w:themeColor="text1"/>
          <w:sz w:val="16"/>
          <w:szCs w:val="16"/>
        </w:rPr>
        <w:softHyphen/>
        <w:t>жья и других городов Украины и Центральной России. Важно отметить, что авиазаводы Москвы начали эвакуировать уже с 8 октября 1941 г., то есть намного раньше прочих столичных предприятий (Самолётостроение в СССР. 1917—1945. Кн.2. М., 1994. С. 213.). Подавляющее большинство оборудова</w:t>
      </w:r>
      <w:r w:rsidRPr="00640820">
        <w:rPr>
          <w:rFonts w:ascii="Times New Roman" w:hAnsi="Times New Roman"/>
          <w:color w:val="000000" w:themeColor="text1"/>
          <w:sz w:val="16"/>
          <w:szCs w:val="16"/>
        </w:rPr>
        <w:softHyphen/>
        <w:t>ния московских авиазаводов было вывезено к началу ноября. В Поволжье, Сибири, Средней Азии, Закавказье и на Урале эвакуируемые заводы размещались на территориях других авиазаводов или родственных по профилю производства предприятий, на площадках новостроек, а иногда — и на со</w:t>
      </w:r>
      <w:r w:rsidRPr="00640820">
        <w:rPr>
          <w:rFonts w:ascii="Times New Roman" w:hAnsi="Times New Roman"/>
          <w:color w:val="000000" w:themeColor="text1"/>
          <w:sz w:val="16"/>
          <w:szCs w:val="16"/>
        </w:rPr>
        <w:softHyphen/>
        <w:t>вершенно новых, неприспособленных для авиапроизводства, площадях. Перебазирование аппарата собственно НКАП из Москвы в Саратов началось 14 октября 1941 г.</w:t>
      </w:r>
    </w:p>
    <w:p w14:paraId="544BA5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данным Н.С. Симонова (Симонов Н.С. Воешю-промышленный комплекс СССР в 1920—1950-е годы: темпы экономического роста, структура, организация производства и управление. М.,1996. С. 140.), на начало октября 1941 г. пла</w:t>
      </w:r>
      <w:r w:rsidRPr="00640820">
        <w:rPr>
          <w:rFonts w:ascii="Times New Roman" w:hAnsi="Times New Roman"/>
          <w:color w:val="000000" w:themeColor="text1"/>
          <w:sz w:val="16"/>
          <w:szCs w:val="16"/>
        </w:rPr>
        <w:softHyphen/>
        <w:t>ны эвакуации оборонных предприятий предусматривали пе</w:t>
      </w:r>
      <w:r w:rsidRPr="00640820">
        <w:rPr>
          <w:rFonts w:ascii="Times New Roman" w:hAnsi="Times New Roman"/>
          <w:color w:val="000000" w:themeColor="text1"/>
          <w:sz w:val="16"/>
          <w:szCs w:val="16"/>
        </w:rPr>
        <w:softHyphen/>
        <w:t>реброску в восточные регионы приблизительно двух третей всей «оборонки»:</w:t>
      </w:r>
    </w:p>
    <w:tbl>
      <w:tblPr>
        <w:tblW w:w="0" w:type="auto"/>
        <w:tblInd w:w="8" w:type="dxa"/>
        <w:tblLayout w:type="fixed"/>
        <w:tblCellMar>
          <w:left w:w="0" w:type="dxa"/>
          <w:right w:w="0" w:type="dxa"/>
        </w:tblCellMar>
        <w:tblLook w:val="0000" w:firstRow="0" w:lastRow="0" w:firstColumn="0" w:lastColumn="0" w:noHBand="0" w:noVBand="0"/>
      </w:tblPr>
      <w:tblGrid>
        <w:gridCol w:w="1037"/>
        <w:gridCol w:w="1464"/>
        <w:gridCol w:w="1632"/>
        <w:gridCol w:w="1810"/>
      </w:tblGrid>
      <w:tr w:rsidR="00643896" w:rsidRPr="00640820" w14:paraId="443A058C" w14:textId="77777777" w:rsidTr="000D3BCB">
        <w:trPr>
          <w:trHeight w:val="422"/>
        </w:trPr>
        <w:tc>
          <w:tcPr>
            <w:tcW w:w="1037" w:type="dxa"/>
            <w:tcBorders>
              <w:top w:val="single" w:sz="6" w:space="0" w:color="auto"/>
              <w:left w:val="single" w:sz="6" w:space="0" w:color="auto"/>
              <w:bottom w:val="single" w:sz="6" w:space="0" w:color="auto"/>
              <w:right w:val="single" w:sz="6" w:space="0" w:color="auto"/>
            </w:tcBorders>
            <w:shd w:val="clear" w:color="auto" w:fill="FFFFFF"/>
          </w:tcPr>
          <w:p w14:paraId="7519A5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Наркомат</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14:paraId="73EFE7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Предприятий—всего</w:t>
            </w:r>
          </w:p>
        </w:tc>
        <w:tc>
          <w:tcPr>
            <w:tcW w:w="1632" w:type="dxa"/>
            <w:tcBorders>
              <w:top w:val="single" w:sz="6" w:space="0" w:color="auto"/>
              <w:left w:val="single" w:sz="6" w:space="0" w:color="auto"/>
              <w:bottom w:val="single" w:sz="6" w:space="0" w:color="auto"/>
              <w:right w:val="single" w:sz="6" w:space="0" w:color="auto"/>
            </w:tcBorders>
            <w:shd w:val="clear" w:color="auto" w:fill="FFFFFF"/>
          </w:tcPr>
          <w:p w14:paraId="558115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Предпрнтий— действующа!</w:t>
            </w:r>
          </w:p>
        </w:tc>
        <w:tc>
          <w:tcPr>
            <w:tcW w:w="1810" w:type="dxa"/>
            <w:tcBorders>
              <w:top w:val="single" w:sz="6" w:space="0" w:color="auto"/>
              <w:left w:val="single" w:sz="6" w:space="0" w:color="auto"/>
              <w:bottom w:val="single" w:sz="6" w:space="0" w:color="auto"/>
              <w:right w:val="single" w:sz="6" w:space="0" w:color="auto"/>
            </w:tcBorders>
            <w:shd w:val="clear" w:color="auto" w:fill="FFFFFF"/>
          </w:tcPr>
          <w:p w14:paraId="543304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Предприятий— эвакуируемых</w:t>
            </w:r>
          </w:p>
        </w:tc>
      </w:tr>
      <w:tr w:rsidR="00643896" w:rsidRPr="00640820" w14:paraId="263034F4" w14:textId="77777777" w:rsidTr="000D3BCB">
        <w:trPr>
          <w:trHeight w:val="221"/>
        </w:trPr>
        <w:tc>
          <w:tcPr>
            <w:tcW w:w="1037" w:type="dxa"/>
            <w:tcBorders>
              <w:top w:val="single" w:sz="6" w:space="0" w:color="auto"/>
              <w:left w:val="single" w:sz="6" w:space="0" w:color="auto"/>
              <w:bottom w:val="single" w:sz="6" w:space="0" w:color="auto"/>
              <w:right w:val="single" w:sz="6" w:space="0" w:color="auto"/>
            </w:tcBorders>
            <w:shd w:val="clear" w:color="auto" w:fill="FFFFFF"/>
          </w:tcPr>
          <w:p w14:paraId="00F3AF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НКАП</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14:paraId="1F9E44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139</w:t>
            </w:r>
          </w:p>
        </w:tc>
        <w:tc>
          <w:tcPr>
            <w:tcW w:w="1632" w:type="dxa"/>
            <w:tcBorders>
              <w:top w:val="single" w:sz="6" w:space="0" w:color="auto"/>
              <w:left w:val="single" w:sz="6" w:space="0" w:color="auto"/>
              <w:bottom w:val="single" w:sz="6" w:space="0" w:color="auto"/>
              <w:right w:val="single" w:sz="6" w:space="0" w:color="auto"/>
            </w:tcBorders>
            <w:shd w:val="clear" w:color="auto" w:fill="FFFFFF"/>
          </w:tcPr>
          <w:p w14:paraId="15C593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21(15)'</w:t>
            </w:r>
          </w:p>
        </w:tc>
        <w:tc>
          <w:tcPr>
            <w:tcW w:w="1810" w:type="dxa"/>
            <w:tcBorders>
              <w:top w:val="single" w:sz="6" w:space="0" w:color="auto"/>
              <w:left w:val="single" w:sz="6" w:space="0" w:color="auto"/>
              <w:bottom w:val="single" w:sz="6" w:space="0" w:color="auto"/>
              <w:right w:val="single" w:sz="6" w:space="0" w:color="auto"/>
            </w:tcBorders>
            <w:shd w:val="clear" w:color="auto" w:fill="FFFFFF"/>
          </w:tcPr>
          <w:p w14:paraId="57AD15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118(85)</w:t>
            </w:r>
          </w:p>
        </w:tc>
      </w:tr>
      <w:tr w:rsidR="00643896" w:rsidRPr="00640820" w14:paraId="1548FE5A" w14:textId="77777777" w:rsidTr="000D3BCB">
        <w:trPr>
          <w:trHeight w:val="226"/>
        </w:trPr>
        <w:tc>
          <w:tcPr>
            <w:tcW w:w="1037" w:type="dxa"/>
            <w:tcBorders>
              <w:top w:val="single" w:sz="6" w:space="0" w:color="auto"/>
              <w:left w:val="single" w:sz="6" w:space="0" w:color="auto"/>
              <w:bottom w:val="single" w:sz="6" w:space="0" w:color="auto"/>
              <w:right w:val="single" w:sz="6" w:space="0" w:color="auto"/>
            </w:tcBorders>
            <w:shd w:val="clear" w:color="auto" w:fill="FFFFFF"/>
          </w:tcPr>
          <w:p w14:paraId="226C47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нктп</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14:paraId="2F0BC1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27</w:t>
            </w:r>
          </w:p>
        </w:tc>
        <w:tc>
          <w:tcPr>
            <w:tcW w:w="1632" w:type="dxa"/>
            <w:tcBorders>
              <w:top w:val="single" w:sz="6" w:space="0" w:color="auto"/>
              <w:left w:val="single" w:sz="6" w:space="0" w:color="auto"/>
              <w:bottom w:val="single" w:sz="6" w:space="0" w:color="auto"/>
              <w:right w:val="single" w:sz="6" w:space="0" w:color="auto"/>
            </w:tcBorders>
            <w:shd w:val="clear" w:color="auto" w:fill="FFFFFF"/>
          </w:tcPr>
          <w:p w14:paraId="71192A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11(41)</w:t>
            </w:r>
          </w:p>
        </w:tc>
        <w:tc>
          <w:tcPr>
            <w:tcW w:w="1810" w:type="dxa"/>
            <w:tcBorders>
              <w:top w:val="single" w:sz="6" w:space="0" w:color="auto"/>
              <w:left w:val="single" w:sz="6" w:space="0" w:color="auto"/>
              <w:bottom w:val="single" w:sz="6" w:space="0" w:color="auto"/>
              <w:right w:val="single" w:sz="6" w:space="0" w:color="auto"/>
            </w:tcBorders>
            <w:shd w:val="clear" w:color="auto" w:fill="FFFFFF"/>
          </w:tcPr>
          <w:p w14:paraId="6D73F9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16(59)</w:t>
            </w:r>
          </w:p>
        </w:tc>
      </w:tr>
      <w:tr w:rsidR="00643896" w:rsidRPr="00640820" w14:paraId="41C29292" w14:textId="77777777" w:rsidTr="000D3BCB">
        <w:trPr>
          <w:trHeight w:val="221"/>
        </w:trPr>
        <w:tc>
          <w:tcPr>
            <w:tcW w:w="1037" w:type="dxa"/>
            <w:tcBorders>
              <w:top w:val="single" w:sz="6" w:space="0" w:color="auto"/>
              <w:left w:val="single" w:sz="6" w:space="0" w:color="auto"/>
              <w:bottom w:val="single" w:sz="6" w:space="0" w:color="auto"/>
              <w:right w:val="single" w:sz="6" w:space="0" w:color="auto"/>
            </w:tcBorders>
            <w:shd w:val="clear" w:color="auto" w:fill="FFFFFF"/>
          </w:tcPr>
          <w:p w14:paraId="2C528E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нкв</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14:paraId="76241E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58</w:t>
            </w:r>
          </w:p>
        </w:tc>
        <w:tc>
          <w:tcPr>
            <w:tcW w:w="1632" w:type="dxa"/>
            <w:tcBorders>
              <w:top w:val="single" w:sz="6" w:space="0" w:color="auto"/>
              <w:left w:val="single" w:sz="6" w:space="0" w:color="auto"/>
              <w:bottom w:val="single" w:sz="6" w:space="0" w:color="auto"/>
              <w:right w:val="single" w:sz="6" w:space="0" w:color="auto"/>
            </w:tcBorders>
            <w:shd w:val="clear" w:color="auto" w:fill="FFFFFF"/>
          </w:tcPr>
          <w:p w14:paraId="62AA2E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26(45)</w:t>
            </w:r>
          </w:p>
        </w:tc>
        <w:tc>
          <w:tcPr>
            <w:tcW w:w="1810" w:type="dxa"/>
            <w:tcBorders>
              <w:top w:val="single" w:sz="6" w:space="0" w:color="auto"/>
              <w:left w:val="single" w:sz="6" w:space="0" w:color="auto"/>
              <w:bottom w:val="single" w:sz="6" w:space="0" w:color="auto"/>
              <w:right w:val="single" w:sz="6" w:space="0" w:color="auto"/>
            </w:tcBorders>
            <w:shd w:val="clear" w:color="auto" w:fill="FFFFFF"/>
          </w:tcPr>
          <w:p w14:paraId="35C42B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32(55)</w:t>
            </w:r>
          </w:p>
        </w:tc>
      </w:tr>
      <w:tr w:rsidR="00643896" w:rsidRPr="00640820" w14:paraId="17448073" w14:textId="77777777" w:rsidTr="000D3BCB">
        <w:trPr>
          <w:trHeight w:val="221"/>
        </w:trPr>
        <w:tc>
          <w:tcPr>
            <w:tcW w:w="1037" w:type="dxa"/>
            <w:tcBorders>
              <w:top w:val="single" w:sz="6" w:space="0" w:color="auto"/>
              <w:left w:val="single" w:sz="6" w:space="0" w:color="auto"/>
              <w:bottom w:val="single" w:sz="6" w:space="0" w:color="auto"/>
              <w:right w:val="single" w:sz="6" w:space="0" w:color="auto"/>
            </w:tcBorders>
            <w:shd w:val="clear" w:color="auto" w:fill="FFFFFF"/>
          </w:tcPr>
          <w:p w14:paraId="607DB7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НКБ</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14:paraId="51FCD4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65</w:t>
            </w:r>
          </w:p>
        </w:tc>
        <w:tc>
          <w:tcPr>
            <w:tcW w:w="1632" w:type="dxa"/>
            <w:tcBorders>
              <w:top w:val="single" w:sz="6" w:space="0" w:color="auto"/>
              <w:left w:val="single" w:sz="6" w:space="0" w:color="auto"/>
              <w:bottom w:val="single" w:sz="6" w:space="0" w:color="auto"/>
              <w:right w:val="single" w:sz="6" w:space="0" w:color="auto"/>
            </w:tcBorders>
            <w:shd w:val="clear" w:color="auto" w:fill="FFFFFF"/>
          </w:tcPr>
          <w:p w14:paraId="6B6471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16(25)</w:t>
            </w:r>
          </w:p>
        </w:tc>
        <w:tc>
          <w:tcPr>
            <w:tcW w:w="1810" w:type="dxa"/>
            <w:tcBorders>
              <w:top w:val="single" w:sz="6" w:space="0" w:color="auto"/>
              <w:left w:val="single" w:sz="6" w:space="0" w:color="auto"/>
              <w:bottom w:val="single" w:sz="6" w:space="0" w:color="auto"/>
              <w:right w:val="single" w:sz="6" w:space="0" w:color="auto"/>
            </w:tcBorders>
            <w:shd w:val="clear" w:color="auto" w:fill="FFFFFF"/>
          </w:tcPr>
          <w:p w14:paraId="076DB8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49(75)</w:t>
            </w:r>
          </w:p>
        </w:tc>
      </w:tr>
      <w:tr w:rsidR="00643896" w:rsidRPr="00640820" w14:paraId="08BB7AF2" w14:textId="77777777" w:rsidTr="000D3BCB">
        <w:trPr>
          <w:trHeight w:val="221"/>
        </w:trPr>
        <w:tc>
          <w:tcPr>
            <w:tcW w:w="1037" w:type="dxa"/>
            <w:tcBorders>
              <w:top w:val="single" w:sz="6" w:space="0" w:color="auto"/>
              <w:left w:val="single" w:sz="6" w:space="0" w:color="auto"/>
              <w:bottom w:val="single" w:sz="6" w:space="0" w:color="auto"/>
              <w:right w:val="single" w:sz="6" w:space="0" w:color="auto"/>
            </w:tcBorders>
            <w:shd w:val="clear" w:color="auto" w:fill="FFFFFF"/>
          </w:tcPr>
          <w:p w14:paraId="3A0075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нкмв</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14:paraId="3EB2F7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147</w:t>
            </w:r>
          </w:p>
        </w:tc>
        <w:tc>
          <w:tcPr>
            <w:tcW w:w="1632" w:type="dxa"/>
            <w:tcBorders>
              <w:top w:val="single" w:sz="6" w:space="0" w:color="auto"/>
              <w:left w:val="single" w:sz="6" w:space="0" w:color="auto"/>
              <w:bottom w:val="single" w:sz="6" w:space="0" w:color="auto"/>
              <w:right w:val="single" w:sz="6" w:space="0" w:color="auto"/>
            </w:tcBorders>
            <w:shd w:val="clear" w:color="auto" w:fill="FFFFFF"/>
          </w:tcPr>
          <w:p w14:paraId="72BBE0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75(51)</w:t>
            </w:r>
          </w:p>
        </w:tc>
        <w:tc>
          <w:tcPr>
            <w:tcW w:w="1810" w:type="dxa"/>
            <w:tcBorders>
              <w:top w:val="single" w:sz="6" w:space="0" w:color="auto"/>
              <w:left w:val="single" w:sz="6" w:space="0" w:color="auto"/>
              <w:bottom w:val="single" w:sz="6" w:space="0" w:color="auto"/>
              <w:right w:val="single" w:sz="6" w:space="0" w:color="auto"/>
            </w:tcBorders>
            <w:shd w:val="clear" w:color="auto" w:fill="FFFFFF"/>
          </w:tcPr>
          <w:p w14:paraId="2C9C71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72(49)</w:t>
            </w:r>
          </w:p>
        </w:tc>
      </w:tr>
      <w:tr w:rsidR="00643896" w:rsidRPr="00640820" w14:paraId="6C06FFAE" w14:textId="77777777" w:rsidTr="000D3BCB">
        <w:trPr>
          <w:trHeight w:val="226"/>
        </w:trPr>
        <w:tc>
          <w:tcPr>
            <w:tcW w:w="1037" w:type="dxa"/>
            <w:tcBorders>
              <w:top w:val="single" w:sz="6" w:space="0" w:color="auto"/>
              <w:left w:val="single" w:sz="6" w:space="0" w:color="auto"/>
              <w:bottom w:val="single" w:sz="6" w:space="0" w:color="auto"/>
              <w:right w:val="single" w:sz="6" w:space="0" w:color="auto"/>
            </w:tcBorders>
            <w:shd w:val="clear" w:color="auto" w:fill="FFFFFF"/>
          </w:tcPr>
          <w:p w14:paraId="1B684C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нкс</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14:paraId="0B5B6C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69</w:t>
            </w:r>
          </w:p>
        </w:tc>
        <w:tc>
          <w:tcPr>
            <w:tcW w:w="1632" w:type="dxa"/>
            <w:tcBorders>
              <w:top w:val="single" w:sz="6" w:space="0" w:color="auto"/>
              <w:left w:val="single" w:sz="6" w:space="0" w:color="auto"/>
              <w:bottom w:val="single" w:sz="6" w:space="0" w:color="auto"/>
              <w:right w:val="single" w:sz="6" w:space="0" w:color="auto"/>
            </w:tcBorders>
            <w:shd w:val="clear" w:color="auto" w:fill="FFFFFF"/>
          </w:tcPr>
          <w:p w14:paraId="4D6E71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28(41)</w:t>
            </w:r>
          </w:p>
        </w:tc>
        <w:tc>
          <w:tcPr>
            <w:tcW w:w="1810" w:type="dxa"/>
            <w:tcBorders>
              <w:top w:val="single" w:sz="6" w:space="0" w:color="auto"/>
              <w:left w:val="single" w:sz="6" w:space="0" w:color="auto"/>
              <w:bottom w:val="single" w:sz="6" w:space="0" w:color="auto"/>
              <w:right w:val="single" w:sz="6" w:space="0" w:color="auto"/>
            </w:tcBorders>
            <w:shd w:val="clear" w:color="auto" w:fill="FFFFFF"/>
          </w:tcPr>
          <w:p w14:paraId="20FB84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41(59)</w:t>
            </w:r>
          </w:p>
        </w:tc>
      </w:tr>
      <w:tr w:rsidR="00643896" w:rsidRPr="00640820" w14:paraId="0A90650E" w14:textId="77777777" w:rsidTr="000D3BCB">
        <w:trPr>
          <w:trHeight w:val="240"/>
        </w:trPr>
        <w:tc>
          <w:tcPr>
            <w:tcW w:w="1037" w:type="dxa"/>
            <w:tcBorders>
              <w:top w:val="single" w:sz="6" w:space="0" w:color="auto"/>
              <w:left w:val="single" w:sz="6" w:space="0" w:color="auto"/>
              <w:bottom w:val="single" w:sz="6" w:space="0" w:color="auto"/>
              <w:right w:val="single" w:sz="6" w:space="0" w:color="auto"/>
            </w:tcBorders>
            <w:shd w:val="clear" w:color="auto" w:fill="FFFFFF"/>
          </w:tcPr>
          <w:p w14:paraId="638B9F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Всего</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14:paraId="7E66BA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501</w:t>
            </w:r>
          </w:p>
        </w:tc>
        <w:tc>
          <w:tcPr>
            <w:tcW w:w="1632" w:type="dxa"/>
            <w:tcBorders>
              <w:top w:val="single" w:sz="6" w:space="0" w:color="auto"/>
              <w:left w:val="single" w:sz="6" w:space="0" w:color="auto"/>
              <w:bottom w:val="single" w:sz="6" w:space="0" w:color="auto"/>
              <w:right w:val="single" w:sz="6" w:space="0" w:color="auto"/>
            </w:tcBorders>
            <w:shd w:val="clear" w:color="auto" w:fill="FFFFFF"/>
          </w:tcPr>
          <w:p w14:paraId="4607AD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177(35)</w:t>
            </w:r>
          </w:p>
        </w:tc>
        <w:tc>
          <w:tcPr>
            <w:tcW w:w="1810" w:type="dxa"/>
            <w:tcBorders>
              <w:top w:val="single" w:sz="6" w:space="0" w:color="auto"/>
              <w:left w:val="single" w:sz="6" w:space="0" w:color="auto"/>
              <w:bottom w:val="single" w:sz="6" w:space="0" w:color="auto"/>
              <w:right w:val="single" w:sz="6" w:space="0" w:color="auto"/>
            </w:tcBorders>
            <w:shd w:val="clear" w:color="auto" w:fill="FFFFFF"/>
          </w:tcPr>
          <w:p w14:paraId="2FA5E6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328(65)</w:t>
            </w:r>
          </w:p>
        </w:tc>
      </w:tr>
    </w:tbl>
    <w:p w14:paraId="60817F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Для наглядности в скобках приводится удельный вес (в %) действовавших и эвакуируемых заводов данной отрасли.</w:t>
      </w:r>
    </w:p>
    <w:p w14:paraId="63058B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силу различных причин эти планы не удалось выпол</w:t>
      </w:r>
      <w:r w:rsidRPr="00640820">
        <w:rPr>
          <w:rFonts w:ascii="Times New Roman" w:hAnsi="Times New Roman"/>
          <w:color w:val="000000" w:themeColor="text1"/>
          <w:sz w:val="16"/>
          <w:szCs w:val="16"/>
        </w:rPr>
        <w:softHyphen/>
        <w:t>нить в полном объёме (скажем, не удалось вывести ленин</w:t>
      </w:r>
      <w:r w:rsidRPr="00640820">
        <w:rPr>
          <w:rFonts w:ascii="Times New Roman" w:hAnsi="Times New Roman"/>
          <w:color w:val="000000" w:themeColor="text1"/>
          <w:sz w:val="16"/>
          <w:szCs w:val="16"/>
        </w:rPr>
        <w:softHyphen/>
        <w:t>градскую группу миномётных заводов), однако данная табли</w:t>
      </w:r>
      <w:r w:rsidRPr="00640820">
        <w:rPr>
          <w:rFonts w:ascii="Times New Roman" w:hAnsi="Times New Roman"/>
          <w:color w:val="000000" w:themeColor="text1"/>
          <w:sz w:val="16"/>
          <w:szCs w:val="16"/>
        </w:rPr>
        <w:softHyphen/>
        <w:t>ца позволяет сделать несколько важных выводов.</w:t>
      </w:r>
    </w:p>
    <w:p w14:paraId="66CA34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Во-первых, на 1941 г. авиапромышленность была наибо</w:t>
      </w:r>
      <w:r w:rsidRPr="00640820">
        <w:rPr>
          <w:rFonts w:ascii="Times New Roman" w:hAnsi="Times New Roman"/>
          <w:color w:val="000000" w:themeColor="text1"/>
          <w:sz w:val="16"/>
          <w:szCs w:val="16"/>
        </w:rPr>
        <w:softHyphen/>
        <w:t>лее «дробной» подотраслью «оборонки». Если прочие нар</w:t>
      </w:r>
      <w:r w:rsidRPr="00640820">
        <w:rPr>
          <w:rFonts w:ascii="Times New Roman" w:hAnsi="Times New Roman"/>
          <w:color w:val="000000" w:themeColor="text1"/>
          <w:sz w:val="16"/>
          <w:szCs w:val="16"/>
        </w:rPr>
        <w:softHyphen/>
        <w:t>коматы располагали сравнительно небольшим (30—60) числом предприятий (хотя сами эти предприятия вполне могли относиться к индустриальным гигантам), то НКАП строился на базе кооперации почти 140 заводов. Таким образом, даже если абстрагироваться от проблем поставок от наркоматов- смежников, только внутриотраслевая кооперация ставила авиапредприятия в положение крайней чувствительности к надёжности производственных цепочек. Разрыв таких цепо-, чек бил по авиазаводам существенно ощутимей, чем по пред</w:t>
      </w:r>
      <w:r w:rsidRPr="00640820">
        <w:rPr>
          <w:rFonts w:ascii="Times New Roman" w:hAnsi="Times New Roman"/>
          <w:color w:val="000000" w:themeColor="text1"/>
          <w:sz w:val="16"/>
          <w:szCs w:val="16"/>
        </w:rPr>
        <w:softHyphen/>
        <w:t>приятиям других отраслей «оборонки».</w:t>
      </w:r>
    </w:p>
    <w:p w14:paraId="763D54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Во-вторых, если подавляющее большинство подотраслей оборонного комплекса должны были эвакуировать около 50— 60 % производственных единиц, то наркоматы боеприпасов и авиапромышленности получили предписание о практически поголовном переезде на новые места дислокации. Причём для НКАП удельный вес эвакуируемых предприятий был вообще наивысшим среди всех подотраслей «оборонки». Разумеется, в этой ситуации на надёжную работу производственных це</w:t>
      </w:r>
      <w:r w:rsidRPr="00640820">
        <w:rPr>
          <w:rFonts w:ascii="Times New Roman" w:hAnsi="Times New Roman"/>
          <w:color w:val="000000" w:themeColor="text1"/>
          <w:sz w:val="16"/>
          <w:szCs w:val="16"/>
        </w:rPr>
        <w:softHyphen/>
        <w:t>почек и ритмичные поставки полуфабрикатов и комплектую</w:t>
      </w:r>
      <w:r w:rsidRPr="00640820">
        <w:rPr>
          <w:rFonts w:ascii="Times New Roman" w:hAnsi="Times New Roman"/>
          <w:color w:val="000000" w:themeColor="text1"/>
          <w:sz w:val="16"/>
          <w:szCs w:val="16"/>
        </w:rPr>
        <w:softHyphen/>
        <w:t>щих рассчитывать было бессмысленно. То есть именно авиа</w:t>
      </w:r>
      <w:r w:rsidRPr="00640820">
        <w:rPr>
          <w:rFonts w:ascii="Times New Roman" w:hAnsi="Times New Roman"/>
          <w:color w:val="000000" w:themeColor="text1"/>
          <w:sz w:val="16"/>
          <w:szCs w:val="16"/>
        </w:rPr>
        <w:softHyphen/>
        <w:t>промышленность, наиболее уязвимая с точки зрения разрыва производственных связей, ставилась в ситуацию, при кото</w:t>
      </w:r>
      <w:r w:rsidRPr="00640820">
        <w:rPr>
          <w:rFonts w:ascii="Times New Roman" w:hAnsi="Times New Roman"/>
          <w:color w:val="000000" w:themeColor="text1"/>
          <w:sz w:val="16"/>
          <w:szCs w:val="16"/>
        </w:rPr>
        <w:softHyphen/>
        <w:t>рой такой разрыв был наиболее вероятен. Разумеется, это со</w:t>
      </w:r>
      <w:r w:rsidRPr="00640820">
        <w:rPr>
          <w:rFonts w:ascii="Times New Roman" w:hAnsi="Times New Roman"/>
          <w:color w:val="000000" w:themeColor="text1"/>
          <w:sz w:val="16"/>
          <w:szCs w:val="16"/>
        </w:rPr>
        <w:softHyphen/>
        <w:t>четание было обусловлено объективными причинами — уже летом 1941 г. 94% функционировавших авиапредприятий оказались или в зоне боевых действий, или в прилегающих к фронту регионах; однако объективность причин нисколько не снижала остроту положения. Всё это не могло не поставить перед руководством НКАП целый комплекс крайне сложных вопросов и задач, от разрешения которых напрямую зависе</w:t>
      </w:r>
      <w:r w:rsidRPr="00640820">
        <w:rPr>
          <w:rFonts w:ascii="Times New Roman" w:hAnsi="Times New Roman"/>
          <w:color w:val="000000" w:themeColor="text1"/>
          <w:sz w:val="16"/>
          <w:szCs w:val="16"/>
        </w:rPr>
        <w:softHyphen/>
        <w:t>ло -— сохранится ли авиаиндустрия СССР как дееспособный экономический организм, или нет.</w:t>
      </w:r>
    </w:p>
    <w:p w14:paraId="29E6A0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сожалению, далеко не всегда поэтапная эвакуация про</w:t>
      </w:r>
      <w:r w:rsidRPr="00640820">
        <w:rPr>
          <w:rFonts w:ascii="Times New Roman" w:hAnsi="Times New Roman"/>
          <w:color w:val="000000" w:themeColor="text1"/>
          <w:sz w:val="16"/>
          <w:szCs w:val="16"/>
        </w:rPr>
        <w:softHyphen/>
        <w:t>ходила в соответствии с планом. Так, например, демонтаж и погрузка в вагоны оборудования основных производств за порожских заводов № 29 и 457 были осуществлены только в сентябре 1941 г. К этому моменту немецкие войска уже про</w:t>
      </w:r>
      <w:r w:rsidRPr="00640820">
        <w:rPr>
          <w:rFonts w:ascii="Times New Roman" w:hAnsi="Times New Roman"/>
          <w:color w:val="000000" w:themeColor="text1"/>
          <w:sz w:val="16"/>
          <w:szCs w:val="16"/>
        </w:rPr>
        <w:softHyphen/>
        <w:t>рвались на правобережье Днепра и заняли пригороды Запо</w:t>
      </w:r>
      <w:r w:rsidRPr="00640820">
        <w:rPr>
          <w:rFonts w:ascii="Times New Roman" w:hAnsi="Times New Roman"/>
          <w:color w:val="000000" w:themeColor="text1"/>
          <w:sz w:val="16"/>
          <w:szCs w:val="16"/>
        </w:rPr>
        <w:softHyphen/>
        <w:t>рожья. В результате погрузка и вывоз оборудования шли под артиллерийским и даже миномётным обстрелом противника. Рабочие предприятия были вынуждены вместе с красноар</w:t>
      </w:r>
      <w:r w:rsidRPr="00640820">
        <w:rPr>
          <w:rFonts w:ascii="Times New Roman" w:hAnsi="Times New Roman"/>
          <w:color w:val="000000" w:themeColor="text1"/>
          <w:sz w:val="16"/>
          <w:szCs w:val="16"/>
        </w:rPr>
        <w:softHyphen/>
        <w:t>мейцами сдерживать неприятельские авангарды в предме</w:t>
      </w:r>
      <w:r w:rsidRPr="00640820">
        <w:rPr>
          <w:rFonts w:ascii="Times New Roman" w:hAnsi="Times New Roman"/>
          <w:color w:val="000000" w:themeColor="text1"/>
          <w:sz w:val="16"/>
          <w:szCs w:val="16"/>
        </w:rPr>
        <w:softHyphen/>
        <w:t>стьях, пока на вокзале продолжалась погрузка оборудования в эшелоны (Самолётостроение в СССР. 1917—1945. Кн.2. М., 1994. С. 213.). Несмотря на это, демонтаж оборудования был завершён в 4 дня, а его вывоз — за 11 дней (Самолетостроение в СССР. 1917—1945. Кн. 2. М., 1994. С. 212.). Дополнитель</w:t>
      </w:r>
      <w:r w:rsidRPr="00640820">
        <w:rPr>
          <w:rFonts w:ascii="Times New Roman" w:hAnsi="Times New Roman"/>
          <w:color w:val="000000" w:themeColor="text1"/>
          <w:sz w:val="16"/>
          <w:szCs w:val="16"/>
        </w:rPr>
        <w:softHyphen/>
        <w:t>ную сложность этому процессу добавляло то обстоятельство, что промышленных центров, способных адекватно принять и обеспечить необходимой инфраструктурой эвакуируемые заводы, было не так уж много. В ряде случаев восточные го</w:t>
      </w:r>
      <w:r w:rsidRPr="00640820">
        <w:rPr>
          <w:rFonts w:ascii="Times New Roman" w:hAnsi="Times New Roman"/>
          <w:color w:val="000000" w:themeColor="text1"/>
          <w:sz w:val="16"/>
          <w:szCs w:val="16"/>
        </w:rPr>
        <w:softHyphen/>
        <w:t>рода оказались в известной степени перегружены эвакуируе</w:t>
      </w:r>
      <w:r w:rsidRPr="00640820">
        <w:rPr>
          <w:rFonts w:ascii="Times New Roman" w:hAnsi="Times New Roman"/>
          <w:color w:val="000000" w:themeColor="text1"/>
          <w:sz w:val="16"/>
          <w:szCs w:val="16"/>
        </w:rPr>
        <w:softHyphen/>
        <w:t>мыми предприятиями, что вело к своеобразной конкуренции за условия размещения, энергию, условия размещения персо</w:t>
      </w:r>
      <w:r w:rsidRPr="00640820">
        <w:rPr>
          <w:rFonts w:ascii="Times New Roman" w:hAnsi="Times New Roman"/>
          <w:color w:val="000000" w:themeColor="text1"/>
          <w:sz w:val="16"/>
          <w:szCs w:val="16"/>
        </w:rPr>
        <w:softHyphen/>
        <w:t>нала и прочие ресурсы. Скажем, в Киров были переброшены четыре авиационных завода (№ 32, 266, 444, 476. В результате слияний предприятий свои номера сохранили лишь авиазаводы № 32 и 266, поэтому формально в городе насчи</w:t>
      </w:r>
      <w:r w:rsidRPr="00640820">
        <w:rPr>
          <w:rFonts w:ascii="Times New Roman" w:hAnsi="Times New Roman"/>
          <w:color w:val="000000" w:themeColor="text1"/>
          <w:sz w:val="16"/>
          <w:szCs w:val="16"/>
        </w:rPr>
        <w:softHyphen/>
        <w:t>тывалось лишь 2 авиапредприятия.), завод «Красный инструменталь</w:t>
      </w:r>
      <w:r w:rsidRPr="00640820">
        <w:rPr>
          <w:rFonts w:ascii="Times New Roman" w:hAnsi="Times New Roman"/>
          <w:color w:val="000000" w:themeColor="text1"/>
          <w:sz w:val="16"/>
          <w:szCs w:val="16"/>
        </w:rPr>
        <w:softHyphen/>
        <w:t>щик», кабельный завод, Коломенский машиностроительный, Белохолунский завод тяжелого машиностроения, шинный, автокузовной и другие заводы (Очерки истории Кировской области. Киров, 1972. С. 361.). Разумеется, при размещении на новых площадках предпочтение отдавалось именно голов</w:t>
      </w:r>
      <w:r w:rsidRPr="00640820">
        <w:rPr>
          <w:rFonts w:ascii="Times New Roman" w:hAnsi="Times New Roman"/>
          <w:color w:val="000000" w:themeColor="text1"/>
          <w:sz w:val="16"/>
          <w:szCs w:val="16"/>
        </w:rPr>
        <w:softHyphen/>
        <w:t>ным предприятиям, а заводам, выпускавшим комплектующие и агрегаты, приходилось потесниться. Скажем, московские авиазаводы № 1 и 24 разместились на площадях недостроен</w:t>
      </w:r>
      <w:r w:rsidRPr="00640820">
        <w:rPr>
          <w:rFonts w:ascii="Times New Roman" w:hAnsi="Times New Roman"/>
          <w:color w:val="000000" w:themeColor="text1"/>
          <w:sz w:val="16"/>
          <w:szCs w:val="16"/>
        </w:rPr>
        <w:softHyphen/>
        <w:t xml:space="preserve">ных </w:t>
      </w:r>
      <w:r w:rsidRPr="00640820">
        <w:rPr>
          <w:rFonts w:ascii="Times New Roman" w:hAnsi="Times New Roman"/>
          <w:color w:val="000000" w:themeColor="text1"/>
          <w:sz w:val="16"/>
          <w:szCs w:val="16"/>
        </w:rPr>
        <w:lastRenderedPageBreak/>
        <w:t>куйбышевских заводов № 122 и 337. В то же время завод № 230, выпускавший радиоаппаратуру, разместили в здании ветеринарного техникума, авиаагрегатный № 213 — в здании бывшего мясокомбината и т.п. (Захарченко А.В. Формирование авиапромышленного комплекса в По</w:t>
      </w:r>
      <w:r w:rsidRPr="00640820">
        <w:rPr>
          <w:rFonts w:ascii="Times New Roman" w:hAnsi="Times New Roman"/>
          <w:color w:val="000000" w:themeColor="text1"/>
          <w:sz w:val="16"/>
          <w:szCs w:val="16"/>
        </w:rPr>
        <w:softHyphen/>
        <w:t xml:space="preserve">волжье накануне и в годы Великой Отечественной войны (1940—1942 гг.). Самара, 2004. С. 12.). Ряд авиапредприятий были вынуждены разместиться на территориях клубов, ликёро- водочных и стекольных заводов, мебельных фабрик и т.д. (РГАЭ. Ф. 8044. </w:t>
      </w:r>
      <w:r w:rsidRPr="00640820">
        <w:rPr>
          <w:rFonts w:ascii="Times New Roman" w:hAnsi="Times New Roman"/>
          <w:color w:val="000000" w:themeColor="text1"/>
          <w:sz w:val="16"/>
          <w:szCs w:val="16"/>
          <w:lang w:val="en-US"/>
        </w:rPr>
        <w:t>On</w:t>
      </w:r>
      <w:r w:rsidRPr="00640820">
        <w:rPr>
          <w:rFonts w:ascii="Times New Roman" w:hAnsi="Times New Roman"/>
          <w:color w:val="000000" w:themeColor="text1"/>
          <w:sz w:val="16"/>
          <w:szCs w:val="16"/>
        </w:rPr>
        <w:t>. 1. Д. 2826. Л. 11—20.).</w:t>
      </w:r>
    </w:p>
    <w:p w14:paraId="0FB5BE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анализе хода эвакуации следует учитывать, что, по сути, эвакуация промышленности в 1941 г. представляла со</w:t>
      </w:r>
      <w:r w:rsidRPr="00640820">
        <w:rPr>
          <w:rFonts w:ascii="Times New Roman" w:hAnsi="Times New Roman"/>
          <w:color w:val="000000" w:themeColor="text1"/>
          <w:sz w:val="16"/>
          <w:szCs w:val="16"/>
        </w:rPr>
        <w:softHyphen/>
        <w:t>бой грандиозную импровизацию, крайне слабо и, можно ска</w:t>
      </w:r>
      <w:r w:rsidRPr="00640820">
        <w:rPr>
          <w:rFonts w:ascii="Times New Roman" w:hAnsi="Times New Roman"/>
          <w:color w:val="000000" w:themeColor="text1"/>
          <w:sz w:val="16"/>
          <w:szCs w:val="16"/>
        </w:rPr>
        <w:softHyphen/>
        <w:t>зать, лишь «пунктирно» подготовленную заранее. Хотя по</w:t>
      </w:r>
      <w:r w:rsidRPr="00640820">
        <w:rPr>
          <w:rFonts w:ascii="Times New Roman" w:hAnsi="Times New Roman"/>
          <w:color w:val="000000" w:themeColor="text1"/>
          <w:sz w:val="16"/>
          <w:szCs w:val="16"/>
        </w:rPr>
        <w:softHyphen/>
        <w:t>следние эвакуационные планы относятся, видимо, к 1937 г. (Мелия А.А. Мобилизационная подготовка народного хозяйства СССР. М., 2004. С. 21.), А.А. Мелия, посвятивший изучению советских эвакуацион</w:t>
      </w:r>
      <w:r w:rsidRPr="00640820">
        <w:rPr>
          <w:rFonts w:ascii="Times New Roman" w:hAnsi="Times New Roman"/>
          <w:color w:val="000000" w:themeColor="text1"/>
          <w:sz w:val="16"/>
          <w:szCs w:val="16"/>
        </w:rPr>
        <w:softHyphen/>
        <w:t>ных планов специальное исследование, останавливает де</w:t>
      </w:r>
      <w:r w:rsidRPr="00640820">
        <w:rPr>
          <w:rFonts w:ascii="Times New Roman" w:hAnsi="Times New Roman"/>
          <w:color w:val="000000" w:themeColor="text1"/>
          <w:sz w:val="16"/>
          <w:szCs w:val="16"/>
        </w:rPr>
        <w:softHyphen/>
        <w:t>тальное изложение генезиса эвакуационного планирования на 1932 г., мотивируя это тем, что в дальнейшем очередной ежегодный план, как правило, механически воспроизводил план прошлого года. Не учитывались ни возросший объём грузоперевозок, ни увеличение числа заводов, оборудования и персонала, ни изменившиеся производственные цепочки. Г.А. Куманёв отмечает, что накануне войны некоторая рабо</w:t>
      </w:r>
      <w:r w:rsidRPr="00640820">
        <w:rPr>
          <w:rFonts w:ascii="Times New Roman" w:hAnsi="Times New Roman"/>
          <w:color w:val="000000" w:themeColor="text1"/>
          <w:sz w:val="16"/>
          <w:szCs w:val="16"/>
        </w:rPr>
        <w:softHyphen/>
        <w:t>та по подготовке эвакуационных мероприятий шла, но в то же время признаёт, что на 22.06.1941 г. никаких завершённых и утверждённых эвакуационных планов не существовало (Куманёв Г.А. Война и эвакуация в СССР. 1941—1945 гг. // Новая и Но</w:t>
      </w:r>
      <w:r w:rsidRPr="00640820">
        <w:rPr>
          <w:rFonts w:ascii="Times New Roman" w:hAnsi="Times New Roman"/>
          <w:color w:val="000000" w:themeColor="text1"/>
          <w:sz w:val="16"/>
          <w:szCs w:val="16"/>
        </w:rPr>
        <w:softHyphen/>
        <w:t>вейшая история. № 6.2006.). В январе 1939 г. Военно-промышленная комиссия при Ко</w:t>
      </w:r>
      <w:r w:rsidRPr="00640820">
        <w:rPr>
          <w:rFonts w:ascii="Times New Roman" w:hAnsi="Times New Roman"/>
          <w:color w:val="000000" w:themeColor="text1"/>
          <w:sz w:val="16"/>
          <w:szCs w:val="16"/>
        </w:rPr>
        <w:softHyphen/>
        <w:t>митете обороны приняла Положение об эвакуации промыш</w:t>
      </w:r>
      <w:r w:rsidRPr="00640820">
        <w:rPr>
          <w:rFonts w:ascii="Times New Roman" w:hAnsi="Times New Roman"/>
          <w:color w:val="000000" w:themeColor="text1"/>
          <w:sz w:val="16"/>
          <w:szCs w:val="16"/>
        </w:rPr>
        <w:softHyphen/>
        <w:t>ленных предприятий из угрожаемых зон (Быстрова И.В. Советский военно-промышленный комплекс: проблемы становления и развития (1930—1980-е годы). М., 2006. С. 161.). Однако данный документ лишь очерчивал общие правила проведения эва</w:t>
      </w:r>
      <w:r w:rsidRPr="00640820">
        <w:rPr>
          <w:rFonts w:ascii="Times New Roman" w:hAnsi="Times New Roman"/>
          <w:color w:val="000000" w:themeColor="text1"/>
          <w:sz w:val="16"/>
          <w:szCs w:val="16"/>
        </w:rPr>
        <w:softHyphen/>
        <w:t>куации, оставляя непосредственные директивы на долю эва</w:t>
      </w:r>
      <w:r w:rsidRPr="00640820">
        <w:rPr>
          <w:rFonts w:ascii="Times New Roman" w:hAnsi="Times New Roman"/>
          <w:color w:val="000000" w:themeColor="text1"/>
          <w:sz w:val="16"/>
          <w:szCs w:val="16"/>
        </w:rPr>
        <w:softHyphen/>
        <w:t>куационных планов, которые только предполагалось создать и взаимоувязать. Более того, даже в такой методологической постановке были допущены существенные просчёты. Так, Положение об эвакуации допускало начало эвакуации только в условиях непосредственной угрозы предприятию «в преде</w:t>
      </w:r>
      <w:r w:rsidRPr="00640820">
        <w:rPr>
          <w:rFonts w:ascii="Times New Roman" w:hAnsi="Times New Roman"/>
          <w:color w:val="000000" w:themeColor="text1"/>
          <w:sz w:val="16"/>
          <w:szCs w:val="16"/>
        </w:rPr>
        <w:softHyphen/>
        <w:t>лах административных единиц, на территории которых они расположены». То есть вопрос о заблаговременной эвакуации не ставился, а вывозить заводы изначально предполагалось н аварийном порядке, в ситуации, когда неприятель уже как минимум бомбит место первоначальной дислокации. Исчер</w:t>
      </w:r>
      <w:r w:rsidRPr="00640820">
        <w:rPr>
          <w:rFonts w:ascii="Times New Roman" w:hAnsi="Times New Roman"/>
          <w:color w:val="000000" w:themeColor="text1"/>
          <w:sz w:val="16"/>
          <w:szCs w:val="16"/>
        </w:rPr>
        <w:softHyphen/>
        <w:t>пывающую характеристику уровню планирования эвакуа</w:t>
      </w:r>
      <w:r w:rsidRPr="00640820">
        <w:rPr>
          <w:rFonts w:ascii="Times New Roman" w:hAnsi="Times New Roman"/>
          <w:color w:val="000000" w:themeColor="text1"/>
          <w:sz w:val="16"/>
          <w:szCs w:val="16"/>
        </w:rPr>
        <w:softHyphen/>
        <w:t>ционных мероприятий дал Н.Ф. Дубровин (Эшелоны вдут на восток: Из истории перебазирования производитель</w:t>
      </w:r>
      <w:r w:rsidRPr="00640820">
        <w:rPr>
          <w:rFonts w:ascii="Times New Roman" w:hAnsi="Times New Roman"/>
          <w:color w:val="000000" w:themeColor="text1"/>
          <w:sz w:val="16"/>
          <w:szCs w:val="16"/>
        </w:rPr>
        <w:softHyphen/>
        <w:t>ных сил СССР в 1941—1942 гг. М, 1966. С. 208—209.): «Конкретными, заблаговременно разработанными эвакуационными планами на случай неблагоприятного хода военных действий мы не располагали. Положение осложнялось тем, что многие пред</w:t>
      </w:r>
      <w:r w:rsidRPr="00640820">
        <w:rPr>
          <w:rFonts w:ascii="Times New Roman" w:hAnsi="Times New Roman"/>
          <w:color w:val="000000" w:themeColor="text1"/>
          <w:sz w:val="16"/>
          <w:szCs w:val="16"/>
        </w:rPr>
        <w:softHyphen/>
        <w:t>приятия прифронтовых районов до последней возможности должны были давать продукцию для обеспечения нужд обо</w:t>
      </w:r>
      <w:r w:rsidRPr="00640820">
        <w:rPr>
          <w:rFonts w:ascii="Times New Roman" w:hAnsi="Times New Roman"/>
          <w:color w:val="000000" w:themeColor="text1"/>
          <w:sz w:val="16"/>
          <w:szCs w:val="16"/>
        </w:rPr>
        <w:softHyphen/>
        <w:t>роны. Наряду с этим нужно было своевременно подготовить оборудование промышленных объектов к демонтажу и эваку</w:t>
      </w:r>
      <w:r w:rsidRPr="00640820">
        <w:rPr>
          <w:rFonts w:ascii="Times New Roman" w:hAnsi="Times New Roman"/>
          <w:color w:val="000000" w:themeColor="text1"/>
          <w:sz w:val="16"/>
          <w:szCs w:val="16"/>
        </w:rPr>
        <w:softHyphen/>
        <w:t>ации, которую приходилось часто осуществлять под артилле</w:t>
      </w:r>
      <w:r w:rsidRPr="00640820">
        <w:rPr>
          <w:rFonts w:ascii="Times New Roman" w:hAnsi="Times New Roman"/>
          <w:color w:val="000000" w:themeColor="text1"/>
          <w:sz w:val="16"/>
          <w:szCs w:val="16"/>
        </w:rPr>
        <w:softHyphen/>
        <w:t>рийским обстрелом и вражескими бомбардировками. Между тем необходимого опыта планирования и проведения столь экстренного перемещения производительных сил из запад</w:t>
      </w:r>
      <w:r w:rsidRPr="00640820">
        <w:rPr>
          <w:rFonts w:ascii="Times New Roman" w:hAnsi="Times New Roman"/>
          <w:color w:val="000000" w:themeColor="text1"/>
          <w:sz w:val="16"/>
          <w:szCs w:val="16"/>
        </w:rPr>
        <w:softHyphen/>
        <w:t>ных районов страны на восток у нас не было. Помню, как по заданию директивных органов мы специально разыскивали в архивах и библиотеках Москвы, в том числе в Государствен</w:t>
      </w:r>
      <w:r w:rsidRPr="00640820">
        <w:rPr>
          <w:rFonts w:ascii="Times New Roman" w:hAnsi="Times New Roman"/>
          <w:color w:val="000000" w:themeColor="text1"/>
          <w:sz w:val="16"/>
          <w:szCs w:val="16"/>
        </w:rPr>
        <w:softHyphen/>
        <w:t>ной библиотеке им. В.И. Ленина, хотя бы отрывочные сведе</w:t>
      </w:r>
      <w:r w:rsidRPr="00640820">
        <w:rPr>
          <w:rFonts w:ascii="Times New Roman" w:hAnsi="Times New Roman"/>
          <w:color w:val="000000" w:themeColor="text1"/>
          <w:sz w:val="16"/>
          <w:szCs w:val="16"/>
        </w:rPr>
        <w:softHyphen/>
        <w:t>ния об эвакуации во время Первой мировой войны, но найти почти ничего не удалось. Опыт приобретался в ходе военных действий» (На 1941 г. — заместитель наркома путей сообщения и начальник Грузо</w:t>
      </w:r>
      <w:r w:rsidRPr="00640820">
        <w:rPr>
          <w:rFonts w:ascii="Times New Roman" w:hAnsi="Times New Roman"/>
          <w:color w:val="000000" w:themeColor="text1"/>
          <w:sz w:val="16"/>
          <w:szCs w:val="16"/>
        </w:rPr>
        <w:softHyphen/>
        <w:t>вого управления НКПС). М.Н. Потёмкина отмечает, что уже в июле 1941 г. первый комплексный план эвакуации населения и материальных ценностей был в общих чертах составлен. Однако при его раз</w:t>
      </w:r>
      <w:r w:rsidRPr="00640820">
        <w:rPr>
          <w:rFonts w:ascii="Times New Roman" w:hAnsi="Times New Roman"/>
          <w:color w:val="000000" w:themeColor="text1"/>
          <w:sz w:val="16"/>
          <w:szCs w:val="16"/>
        </w:rPr>
        <w:softHyphen/>
        <w:t>работке авторы плана исходили из того, что неприятельское наступление будет в кратчайшие сроки остановлено (Это само по себе довольно странно, так как уже 27 июня было принято решение об эвакуации из Москвы Алмазного фонда и государственных запа</w:t>
      </w:r>
      <w:r w:rsidRPr="00640820">
        <w:rPr>
          <w:rFonts w:ascii="Times New Roman" w:hAnsi="Times New Roman"/>
          <w:color w:val="000000" w:themeColor="text1"/>
          <w:sz w:val="16"/>
          <w:szCs w:val="16"/>
        </w:rPr>
        <w:softHyphen/>
        <w:t>сов драгоценных металлов и камней (см.: Эшелоны идут на восток... С. 72)). Поэто</w:t>
      </w:r>
      <w:r w:rsidRPr="00640820">
        <w:rPr>
          <w:rFonts w:ascii="Times New Roman" w:hAnsi="Times New Roman"/>
          <w:color w:val="000000" w:themeColor="text1"/>
          <w:sz w:val="16"/>
          <w:szCs w:val="16"/>
        </w:rPr>
        <w:softHyphen/>
        <w:t>му эвакуационные мероприятия распространялись лишь на, прифронтовые (на тот момент) районы, а эвакуируемое иму</w:t>
      </w:r>
      <w:r w:rsidRPr="00640820">
        <w:rPr>
          <w:rFonts w:ascii="Times New Roman" w:hAnsi="Times New Roman"/>
          <w:color w:val="000000" w:themeColor="text1"/>
          <w:sz w:val="16"/>
          <w:szCs w:val="16"/>
        </w:rPr>
        <w:softHyphen/>
        <w:t>щество и население должны были вывозиться на восток на сравнительно небольшое расстояние. Основная масса эвакуа</w:t>
      </w:r>
      <w:r w:rsidRPr="00640820">
        <w:rPr>
          <w:rFonts w:ascii="Times New Roman" w:hAnsi="Times New Roman"/>
          <w:color w:val="000000" w:themeColor="text1"/>
          <w:sz w:val="16"/>
          <w:szCs w:val="16"/>
        </w:rPr>
        <w:softHyphen/>
        <w:t>ционных потоков направлялась в Поволжье, менее четвер</w:t>
      </w:r>
      <w:r w:rsidRPr="00640820">
        <w:rPr>
          <w:rFonts w:ascii="Times New Roman" w:hAnsi="Times New Roman"/>
          <w:color w:val="000000" w:themeColor="text1"/>
          <w:sz w:val="16"/>
          <w:szCs w:val="16"/>
        </w:rPr>
        <w:softHyphen/>
        <w:t>ти — на Урал, а Сибирь и Средняя Азия вообще практиче</w:t>
      </w:r>
      <w:r w:rsidRPr="00640820">
        <w:rPr>
          <w:rFonts w:ascii="Times New Roman" w:hAnsi="Times New Roman"/>
          <w:color w:val="000000" w:themeColor="text1"/>
          <w:sz w:val="16"/>
          <w:szCs w:val="16"/>
        </w:rPr>
        <w:softHyphen/>
        <w:t>ски не рассматривались (Потемкина М.Н. Эвакуация в годы Великой Отечественной войны на Урале: люди и судьбы. Магнитогорск, 2002, С. 51—52.). Разумеется, ход боевых действий достаточно быстро развеял эти оптимистические ожидания, и, соответственно, план июля 1941 г. пришлось отложить в сторону.</w:t>
      </w:r>
    </w:p>
    <w:p w14:paraId="4A6BAF32" w14:textId="77777777" w:rsidR="00165A9C" w:rsidRPr="00640820" w:rsidRDefault="00165A9C" w:rsidP="00640820">
      <w:pPr>
        <w:tabs>
          <w:tab w:val="left" w:pos="458"/>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результате вышеописанных обстоятельств в 1941 г. план эвакуационных мероприятий пришлось как выполнять, так и разрабатывать в условиях спешки и аврала. Разумеется, при этом не могло обойтись без многочисленных накладок и оши</w:t>
      </w:r>
      <w:r w:rsidRPr="00640820">
        <w:rPr>
          <w:rFonts w:ascii="Times New Roman" w:hAnsi="Times New Roman"/>
          <w:color w:val="000000" w:themeColor="text1"/>
          <w:sz w:val="16"/>
          <w:szCs w:val="16"/>
        </w:rPr>
        <w:softHyphen/>
        <w:t>бок. Главный технолог завода № 22 М.П. Семенов указывал впоследствии: «Если бы с первого дня дана была четкая ко</w:t>
      </w:r>
      <w:r w:rsidRPr="00640820">
        <w:rPr>
          <w:rFonts w:ascii="Times New Roman" w:hAnsi="Times New Roman"/>
          <w:color w:val="000000" w:themeColor="text1"/>
          <w:sz w:val="16"/>
          <w:szCs w:val="16"/>
        </w:rPr>
        <w:softHyphen/>
        <w:t>манда, то эвакуация прошла бы организованно» (Цит. по: Захарченко А.В. Формирование авиапромышленного комплек</w:t>
      </w:r>
      <w:r w:rsidRPr="00640820">
        <w:rPr>
          <w:rFonts w:ascii="Times New Roman" w:hAnsi="Times New Roman"/>
          <w:color w:val="000000" w:themeColor="text1"/>
          <w:sz w:val="16"/>
          <w:szCs w:val="16"/>
        </w:rPr>
        <w:softHyphen/>
        <w:t>са в Поволжье накануне и в годы Великой Отечественной войны (1940— 1942 гг.). Самара, 2004. С. 13.). Семёнову было о чём сетовать, так как, по его словам, до Казани до</w:t>
      </w:r>
      <w:r w:rsidRPr="00640820">
        <w:rPr>
          <w:rFonts w:ascii="Times New Roman" w:hAnsi="Times New Roman"/>
          <w:color w:val="000000" w:themeColor="text1"/>
          <w:sz w:val="16"/>
          <w:szCs w:val="16"/>
        </w:rPr>
        <w:softHyphen/>
        <w:t>шло не более 20—25 % материалов цеха холодных штампов; остальная часть либо осталась в Москве, либо была потеря</w:t>
      </w:r>
      <w:r w:rsidRPr="00640820">
        <w:rPr>
          <w:rFonts w:ascii="Times New Roman" w:hAnsi="Times New Roman"/>
          <w:color w:val="000000" w:themeColor="text1"/>
          <w:sz w:val="16"/>
          <w:szCs w:val="16"/>
        </w:rPr>
        <w:softHyphen/>
        <w:t>на по дороге. К сожалению, этот эпизод был не единичным. Так, в записке секретаря Саратовского обкома ВКП(б) отме</w:t>
      </w:r>
      <w:r w:rsidRPr="00640820">
        <w:rPr>
          <w:rFonts w:ascii="Times New Roman" w:hAnsi="Times New Roman"/>
          <w:color w:val="000000" w:themeColor="text1"/>
          <w:sz w:val="16"/>
          <w:szCs w:val="16"/>
        </w:rPr>
        <w:softHyphen/>
        <w:t>чалось, что авиаприборный завод № 213 «растерял при эва</w:t>
      </w:r>
      <w:r w:rsidRPr="00640820">
        <w:rPr>
          <w:rFonts w:ascii="Times New Roman" w:hAnsi="Times New Roman"/>
          <w:color w:val="000000" w:themeColor="text1"/>
          <w:sz w:val="16"/>
          <w:szCs w:val="16"/>
        </w:rPr>
        <w:softHyphen/>
        <w:t>куации в г. Энгельс 50 % квалифицированной рабочей силы, а многие поставленные позднее на фундамент и подключен</w:t>
      </w:r>
      <w:r w:rsidRPr="00640820">
        <w:rPr>
          <w:rFonts w:ascii="Times New Roman" w:hAnsi="Times New Roman"/>
          <w:color w:val="000000" w:themeColor="text1"/>
          <w:sz w:val="16"/>
          <w:szCs w:val="16"/>
        </w:rPr>
        <w:softHyphen/>
        <w:t>ные к электричеству станки оказались без оснастки» (Цит. по: Захарченко А.В. Указ соч.). Тем не менее к январю 1942 г. в восточные регионы страны было перевезено и вскоре введено в строй 1523 завода, в том числе 1360 — оборонных (Быстрова И.В. Указ. соч. С. 193.). К концу 1941 г. на месте осталось лишь 30 % предприятий оборонных наркоматов (Быстрова И.В. Указ. соч. С. 194.). С учётом авраль</w:t>
      </w:r>
      <w:r w:rsidRPr="00640820">
        <w:rPr>
          <w:rFonts w:ascii="Times New Roman" w:hAnsi="Times New Roman"/>
          <w:color w:val="000000" w:themeColor="text1"/>
          <w:sz w:val="16"/>
          <w:szCs w:val="16"/>
        </w:rPr>
        <w:softHyphen/>
        <w:t>ного характера осуществляемой эвакуации, такой успешный результат можно считать грандиозной победой, которая в ко</w:t>
      </w:r>
      <w:r w:rsidRPr="00640820">
        <w:rPr>
          <w:rFonts w:ascii="Times New Roman" w:hAnsi="Times New Roman"/>
          <w:color w:val="000000" w:themeColor="text1"/>
          <w:sz w:val="16"/>
          <w:szCs w:val="16"/>
        </w:rPr>
        <w:softHyphen/>
        <w:t>нечном счёте во многом предопределила победу в Великой Отечественной войне в целом.</w:t>
      </w:r>
    </w:p>
    <w:p w14:paraId="202CE4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другой стороны, возобновление авиавыпуска отнюдь не означало восстановление прежних темпов сдачи продук</w:t>
      </w:r>
      <w:r w:rsidRPr="00640820">
        <w:rPr>
          <w:rFonts w:ascii="Times New Roman" w:hAnsi="Times New Roman"/>
          <w:color w:val="000000" w:themeColor="text1"/>
          <w:sz w:val="16"/>
          <w:szCs w:val="16"/>
        </w:rPr>
        <w:softHyphen/>
        <w:t>ции. Хотя ГКО требовало возобновления сдачи авиатехники в прежнем объёме уже через 1,5—2 месяца после эвакуации, на практике эта директива была практически нище не выполне</w:t>
      </w:r>
      <w:r w:rsidRPr="00640820">
        <w:rPr>
          <w:rFonts w:ascii="Times New Roman" w:hAnsi="Times New Roman"/>
          <w:color w:val="000000" w:themeColor="text1"/>
          <w:sz w:val="16"/>
          <w:szCs w:val="16"/>
        </w:rPr>
        <w:softHyphen/>
        <w:t>на. В ноябре на фронт было отправлено 627 машин, то есть в 3,5 раза меньше, чем в сентябре, а в декабре — 600, наимень</w:t>
      </w:r>
      <w:r w:rsidRPr="00640820">
        <w:rPr>
          <w:rFonts w:ascii="Times New Roman" w:hAnsi="Times New Roman"/>
          <w:color w:val="000000" w:themeColor="text1"/>
          <w:sz w:val="16"/>
          <w:szCs w:val="16"/>
        </w:rPr>
        <w:softHyphen/>
        <w:t>шая партия за весь период войны. Фактически в ноябре— декабре 1941 г. львиная доля авиавыпуска приходилась на не подвергнувшиеся эвакуации горьковский завод № 21 и сара</w:t>
      </w:r>
      <w:r w:rsidRPr="00640820">
        <w:rPr>
          <w:rFonts w:ascii="Times New Roman" w:hAnsi="Times New Roman"/>
          <w:color w:val="000000" w:themeColor="text1"/>
          <w:sz w:val="16"/>
          <w:szCs w:val="16"/>
        </w:rPr>
        <w:softHyphen/>
        <w:t>товский № 292.</w:t>
      </w:r>
    </w:p>
    <w:p w14:paraId="7537E2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Эвакуация — как это делалось. Судьбы людей и заво</w:t>
      </w:r>
      <w:r w:rsidRPr="00640820">
        <w:rPr>
          <w:rFonts w:ascii="Times New Roman" w:hAnsi="Times New Roman"/>
          <w:color w:val="000000" w:themeColor="text1"/>
          <w:sz w:val="16"/>
          <w:szCs w:val="16"/>
        </w:rPr>
        <w:softHyphen/>
        <w:t>дов. Эвакуация авиапредприятий представляла собой титани</w:t>
      </w:r>
      <w:r w:rsidRPr="00640820">
        <w:rPr>
          <w:rFonts w:ascii="Times New Roman" w:hAnsi="Times New Roman"/>
          <w:color w:val="000000" w:themeColor="text1"/>
          <w:sz w:val="16"/>
          <w:szCs w:val="16"/>
        </w:rPr>
        <w:softHyphen/>
        <w:t>ческое свершение, по масштабам не имевшее на тот момент аналогов. При описании этого циклопического процесса очень велик соблазн рассматривать картину исключительно «в целом», в масштабах всей отрасли. Однако, думается, что при таком уровне рассмотрения мы рискуем упустить очень важный аспект — организацию эвакуационных процессов на уровне отдельных предприятий. Между тем именно положе</w:t>
      </w:r>
      <w:r w:rsidRPr="00640820">
        <w:rPr>
          <w:rFonts w:ascii="Times New Roman" w:hAnsi="Times New Roman"/>
          <w:color w:val="000000" w:themeColor="text1"/>
          <w:sz w:val="16"/>
          <w:szCs w:val="16"/>
        </w:rPr>
        <w:softHyphen/>
        <w:t>ние дел на таком «микроуровне» авиапромышленности опре</w:t>
      </w:r>
      <w:r w:rsidRPr="00640820">
        <w:rPr>
          <w:rFonts w:ascii="Times New Roman" w:hAnsi="Times New Roman"/>
          <w:color w:val="000000" w:themeColor="text1"/>
          <w:sz w:val="16"/>
          <w:szCs w:val="16"/>
        </w:rPr>
        <w:softHyphen/>
        <w:t>деляло общее положение дел в Авиапроме в целом (12011).</w:t>
      </w:r>
    </w:p>
    <w:p w14:paraId="7C09BF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D0CC8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сентября 1941 по февраль 1942 в РНИИ отрабатывался 82-мм РС, что позволило двое увеличить заряд, а затем и дальность (384,195).</w:t>
      </w:r>
    </w:p>
    <w:p w14:paraId="0E630B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8BD7F4E"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сентябре-октябре 1941 года была разработана установка М-13 на доработанном шасси гусеничного трактора СТЗ-5 НАТИ. По сравнению с установкой М-13 на шасси ЗИС-6, новый вариант обладал рядом преимуществ: повышенная проходимость по грунтовым дорогам и бездорожью; возможность стрельбы прямой наводкой из-за увеличения диапазона углов возвышения от 0 до 45°; введение в конструкцию метательной установки подрамника, благодаря чему стало возможным вести изготовление и сборку метательной установки независимо от наличия тракторного шасси. Недостатками установки были: малая скорость передвижения, малый запас хода и моторесурса, раскачивание установки на марше.</w:t>
      </w:r>
    </w:p>
    <w:p w14:paraId="68C97739"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Боевая машина М-13 на тракторе СТЗ-5 была принята на вооружение Армии на основании Постановления ГКО № ГКО-726сс от 30 сентября 1941 года "О ФОРМИРОВАНИИ И ВООРУЖЕНИИ МИНОМЕТНЫХ ЧАСТЕЙ М-8 и М-13" (15981).</w:t>
      </w:r>
    </w:p>
    <w:p w14:paraId="13EFC623" w14:textId="77777777" w:rsidR="00F26E86" w:rsidRPr="00640820" w:rsidRDefault="00F26E86" w:rsidP="00640820">
      <w:pPr>
        <w:spacing w:after="0" w:line="240" w:lineRule="auto"/>
        <w:jc w:val="both"/>
        <w:rPr>
          <w:rFonts w:ascii="Times New Roman" w:hAnsi="Times New Roman"/>
          <w:color w:val="000000" w:themeColor="text1"/>
          <w:sz w:val="16"/>
          <w:szCs w:val="16"/>
        </w:rPr>
      </w:pPr>
    </w:p>
    <w:p w14:paraId="7090EC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сентябре-октябре 1941 года была разработана установка М-13 на модифицированном шасси гусеничного трактора СТЗ-5 НАТИ. По сравнению с установкой М-13 на шасси ЗИС-6, новый вариант обладал рядом преимуществ: повышенная проходимость по грунтовым дорогам и бездорожью; возможность стрельбы прямой наводкой из-за увеличения диапазона углов возвышения от 0 до 45°; введение в конструкцию метательной установки подрамника, благодаря чему стало возможным вести изготовление и сборку метательной установки независимо от наличия тракторного шасси. Недостатками установки были: малая </w:t>
      </w:r>
    </w:p>
    <w:p w14:paraId="02DE33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скорость передвижения, малый запас хода и моторесурса, раскачивание на марше.</w:t>
      </w:r>
    </w:p>
    <w:p w14:paraId="216A11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Планом на 4-й квартал 1941 года было запланировано изготовление 360 установок – по 120 штук в месяц [34]. Однако в результате боевого применения было установлено, что гусеничный движитель подвержен быстрому износу (в среднем после прохождения 400-500 км), что снижало маневренные возможности частей. </w:t>
      </w:r>
    </w:p>
    <w:p w14:paraId="7D3827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конструкции метательной установки использовались однотипные направляющие серийной установки М-13 на модифицированном шасси грузового автомобиля ЗИС-6.</w:t>
      </w:r>
    </w:p>
    <w:p w14:paraId="6E3E29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крайней мере, 2 установки были захвачены военнослужащими германской армии [35] (11772).</w:t>
      </w:r>
    </w:p>
    <w:p w14:paraId="61C864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40A53A2" w14:textId="77777777" w:rsidR="00F874F7" w:rsidRPr="00640820" w:rsidRDefault="00F874F7" w:rsidP="00640820">
      <w:pPr>
        <w:pStyle w:val="ae"/>
        <w:shd w:val="clear" w:color="auto" w:fill="FFFFFF"/>
        <w:spacing w:before="0" w:after="0"/>
        <w:jc w:val="both"/>
        <w:rPr>
          <w:color w:val="0070C0"/>
          <w:sz w:val="16"/>
          <w:szCs w:val="16"/>
        </w:rPr>
      </w:pPr>
      <w:r w:rsidRPr="00640820">
        <w:rPr>
          <w:color w:val="0070C0"/>
          <w:sz w:val="16"/>
          <w:szCs w:val="16"/>
        </w:rPr>
        <w:t>В сентябре-октябре 1941 года по заданию Главного Управления Вооружения Гвардейских Минометных Частей была разработана установка М-13 на доработанном под монтаж шасси трактора СТЗ-5 НАТИ. Разработка была поручена воронежскому заводу им. Коминтерна и СКБ при московском заводе “Компрессор”. СКБ выполнило разработку более качественно, и опытные образцы были изготовлены и испытаны в короткие сроки. В результате этого установка была принята на вооружение и запущена в серийное производство (21476).</w:t>
      </w:r>
    </w:p>
    <w:p w14:paraId="2B374CDD" w14:textId="77777777" w:rsidR="00F874F7" w:rsidRPr="00640820" w:rsidRDefault="00F874F7" w:rsidP="00640820">
      <w:pPr>
        <w:pStyle w:val="ae"/>
        <w:shd w:val="clear" w:color="auto" w:fill="FFFFFF"/>
        <w:spacing w:before="0" w:after="0"/>
        <w:jc w:val="both"/>
        <w:rPr>
          <w:color w:val="0070C0"/>
          <w:sz w:val="16"/>
          <w:szCs w:val="16"/>
        </w:rPr>
      </w:pPr>
    </w:p>
    <w:p w14:paraId="5FCE53CC"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0971937A"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533650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сентябре-октябре 1941 г. была отработана тех</w:t>
      </w:r>
      <w:r w:rsidRPr="00640820">
        <w:rPr>
          <w:rFonts w:ascii="Times New Roman" w:hAnsi="Times New Roman"/>
          <w:color w:val="000000" w:themeColor="text1"/>
          <w:sz w:val="16"/>
          <w:szCs w:val="16"/>
        </w:rPr>
        <w:softHyphen/>
        <w:t>нология штамповки бронебойных сердечников малого ка</w:t>
      </w:r>
      <w:r w:rsidRPr="00640820">
        <w:rPr>
          <w:rFonts w:ascii="Times New Roman" w:hAnsi="Times New Roman"/>
          <w:color w:val="000000" w:themeColor="text1"/>
          <w:sz w:val="16"/>
          <w:szCs w:val="16"/>
        </w:rPr>
        <w:softHyphen/>
        <w:t>либра (14,5-мм ПТР, 20-мм ШВАК/ТНШ, 23-мм ВЯ) из кар</w:t>
      </w:r>
      <w:r w:rsidRPr="00640820">
        <w:rPr>
          <w:rFonts w:ascii="Times New Roman" w:hAnsi="Times New Roman"/>
          <w:color w:val="000000" w:themeColor="text1"/>
          <w:sz w:val="16"/>
          <w:szCs w:val="16"/>
        </w:rPr>
        <w:softHyphen/>
        <w:t>бида вольфрама и пробивная способность нашей пушки вы</w:t>
      </w:r>
      <w:r w:rsidRPr="00640820">
        <w:rPr>
          <w:rFonts w:ascii="Times New Roman" w:hAnsi="Times New Roman"/>
          <w:color w:val="000000" w:themeColor="text1"/>
          <w:sz w:val="16"/>
          <w:szCs w:val="16"/>
        </w:rPr>
        <w:softHyphen/>
        <w:t>росла и ей стали под силу борта немецких танков (30-мм). И, хотя заброневое действие этого снарядика было незначитель</w:t>
      </w:r>
      <w:r w:rsidRPr="00640820">
        <w:rPr>
          <w:rFonts w:ascii="Times New Roman" w:hAnsi="Times New Roman"/>
          <w:color w:val="000000" w:themeColor="text1"/>
          <w:sz w:val="16"/>
          <w:szCs w:val="16"/>
        </w:rPr>
        <w:softHyphen/>
        <w:t>ным, его применение в БК танка Т-60 давало ему шанс в борьбе даже с немецкими средними танками (10782).</w:t>
      </w:r>
    </w:p>
    <w:p w14:paraId="7FB839E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9223C4" w14:textId="77777777" w:rsidR="00C365F0" w:rsidRPr="00640820" w:rsidRDefault="00C365F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сентябре-октябре 1941 года на Подольском машиностроительном заводе имени Орджоникидзе, производившим бронекорпуса для танков Т-40 и Т-60, была проведена экранировка корпуса и башен мотоброневагона МБВ №01 15-25 мм бронелистами, в результате суммарная толщина брони МБВ №01 составила 30-40 мм. В ноябре мотоброневагон направили в распоряжение запасного полка бронепоездов. Здесь для него утвердили временный штат МБВ - 64 человека, из них 10 находились вне броневагона (техник-артиллерист младший, мастер оружейный пулеметный, заведующий делопроизводством (казначей), шофер, санитар, сапожник, кладовщик продсклада, дорожный мастер, старший кондуктор) (18626).</w:t>
      </w:r>
    </w:p>
    <w:p w14:paraId="5672EFBE" w14:textId="77777777" w:rsidR="00C365F0" w:rsidRPr="00640820" w:rsidRDefault="00C365F0" w:rsidP="00640820">
      <w:pPr>
        <w:spacing w:after="0" w:line="240" w:lineRule="auto"/>
        <w:jc w:val="both"/>
        <w:rPr>
          <w:rFonts w:ascii="Times New Roman" w:hAnsi="Times New Roman"/>
          <w:color w:val="000000" w:themeColor="text1"/>
          <w:sz w:val="16"/>
          <w:szCs w:val="16"/>
        </w:rPr>
      </w:pPr>
    </w:p>
    <w:p w14:paraId="12642830"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сентября по декабрь 1941 г. были задействованы 53 орудия береговой обороны калибром 406-180 мм. Большая мощь и дальность стрельбы морской артиллерии позволяли им успешно решать различные огневые задачи по береговым объектам от переднего края до значительной глубины обороны противника. За время боевой работы на каждое орудие транспортёров пришлось около 470 выстрелов. Это привело к тому, что стволы орудий подлежали замене (356-мм) или смене лейнеров (305-мм и 180-мм) (15132).</w:t>
      </w:r>
    </w:p>
    <w:p w14:paraId="27667CF3" w14:textId="77777777" w:rsidR="00F26E86" w:rsidRPr="00640820" w:rsidRDefault="00F26E86" w:rsidP="00640820">
      <w:pPr>
        <w:spacing w:after="0" w:line="240" w:lineRule="auto"/>
        <w:jc w:val="both"/>
        <w:rPr>
          <w:rFonts w:ascii="Times New Roman" w:hAnsi="Times New Roman"/>
          <w:color w:val="000000" w:themeColor="text1"/>
          <w:sz w:val="16"/>
          <w:szCs w:val="16"/>
        </w:rPr>
      </w:pPr>
    </w:p>
    <w:p w14:paraId="21D4430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сентября 1941 г. до июля 1943 г. выпускался Танк Т-34-76 обр. 1942 года К производству танка были привлечены три завода: № 183 в Харькове, а ле эвакуации - в Нижнем Тагиле, СТЗ в Сталинграде и № 112 ное Сормово" в Горьком. Всего было выпущено 9311 танков данного типа. Танк широко использовался в боях на всех фронтах Отечественной войны (10703).</w:t>
      </w:r>
    </w:p>
    <w:p w14:paraId="671B573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ED379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г. зенитная башня конструкции А. Савина для Т-34, во</w:t>
      </w:r>
      <w:r w:rsidRPr="00640820">
        <w:rPr>
          <w:rFonts w:ascii="Times New Roman" w:hAnsi="Times New Roman"/>
          <w:color w:val="000000" w:themeColor="text1"/>
          <w:sz w:val="16"/>
          <w:szCs w:val="16"/>
        </w:rPr>
        <w:softHyphen/>
        <w:t>оруженная 37-мм зенитным автоматом обр. 1939 г., была в целом готова, но, как и в случае с Т-50-2, оказалась без вооружения. Но в отличие от меньшого бра</w:t>
      </w:r>
      <w:r w:rsidRPr="00640820">
        <w:rPr>
          <w:rFonts w:ascii="Times New Roman" w:hAnsi="Times New Roman"/>
          <w:color w:val="000000" w:themeColor="text1"/>
          <w:sz w:val="16"/>
          <w:szCs w:val="16"/>
        </w:rPr>
        <w:softHyphen/>
        <w:t>та она была эвакуирована в Свердловск и в дальнейшем по</w:t>
      </w:r>
      <w:r w:rsidRPr="00640820">
        <w:rPr>
          <w:rFonts w:ascii="Times New Roman" w:hAnsi="Times New Roman"/>
          <w:color w:val="000000" w:themeColor="text1"/>
          <w:sz w:val="16"/>
          <w:szCs w:val="16"/>
        </w:rPr>
        <w:softHyphen/>
        <w:t>служила базой для работ по созданию зенитных САУ (11417).</w:t>
      </w:r>
    </w:p>
    <w:p w14:paraId="0D7968B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B28F9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сентябре-октябре 1941 г. на заводе № 292 в Горьком под руководством П.Ф. Муравьева разработали самоходную установку с пушкой ЗИС-2 и изгото</w:t>
      </w:r>
      <w:r w:rsidRPr="00640820">
        <w:rPr>
          <w:rFonts w:ascii="Times New Roman" w:hAnsi="Times New Roman"/>
          <w:color w:val="000000" w:themeColor="text1"/>
          <w:sz w:val="16"/>
          <w:szCs w:val="16"/>
        </w:rPr>
        <w:softHyphen/>
        <w:t>вили в одном экземпляре. В качестве базовой машины использовался ЗИС-22М (ЗИС-42). Установку вооружения выполнили по типу ко</w:t>
      </w:r>
      <w:r w:rsidRPr="00640820">
        <w:rPr>
          <w:rFonts w:ascii="Times New Roman" w:hAnsi="Times New Roman"/>
          <w:color w:val="000000" w:themeColor="text1"/>
          <w:sz w:val="16"/>
          <w:szCs w:val="16"/>
        </w:rPr>
        <w:softHyphen/>
        <w:t>рабельных палубных орудий.</w:t>
      </w:r>
    </w:p>
    <w:p w14:paraId="2E3C6C2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Проведенные в октябре-ноябре испыта</w:t>
      </w:r>
      <w:r w:rsidRPr="00640820">
        <w:rPr>
          <w:rFonts w:ascii="Times New Roman" w:hAnsi="Times New Roman"/>
          <w:color w:val="000000" w:themeColor="text1"/>
          <w:sz w:val="16"/>
          <w:szCs w:val="16"/>
        </w:rPr>
        <w:softHyphen/>
        <w:t>ния выявили незначительные дефекты кон</w:t>
      </w:r>
      <w:r w:rsidRPr="00640820">
        <w:rPr>
          <w:rFonts w:ascii="Times New Roman" w:hAnsi="Times New Roman"/>
          <w:color w:val="000000" w:themeColor="text1"/>
          <w:sz w:val="16"/>
          <w:szCs w:val="16"/>
        </w:rPr>
        <w:softHyphen/>
        <w:t>струкции. Из-за прекращения производства 57-мм пушек ЗИС-2 и эвакуации московского завода ЗИС работы по ЗИС-41 были приоста</w:t>
      </w:r>
      <w:r w:rsidRPr="00640820">
        <w:rPr>
          <w:rFonts w:ascii="Times New Roman" w:hAnsi="Times New Roman"/>
          <w:color w:val="000000" w:themeColor="text1"/>
          <w:sz w:val="16"/>
          <w:szCs w:val="16"/>
        </w:rPr>
        <w:softHyphen/>
        <w:t>новлены. Но весной 1942 г., в связи с предпо</w:t>
      </w:r>
      <w:r w:rsidRPr="00640820">
        <w:rPr>
          <w:rFonts w:ascii="Times New Roman" w:hAnsi="Times New Roman"/>
          <w:color w:val="000000" w:themeColor="text1"/>
          <w:sz w:val="16"/>
          <w:szCs w:val="16"/>
        </w:rPr>
        <w:softHyphen/>
        <w:t>лагавшимся возобновлением производства базовой машины, состоялись повторные испытания ЗИС-41 как в варианте САУ, так и в варианте полубронированного тягача (12729).</w:t>
      </w:r>
    </w:p>
    <w:p w14:paraId="5F0DE025"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325CCC5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сентябре-октябре 1941 г. танкостро</w:t>
      </w:r>
      <w:r w:rsidRPr="00640820">
        <w:rPr>
          <w:rFonts w:ascii="Times New Roman" w:hAnsi="Times New Roman"/>
          <w:color w:val="000000" w:themeColor="text1"/>
          <w:sz w:val="16"/>
          <w:szCs w:val="16"/>
        </w:rPr>
        <w:softHyphen/>
        <w:t>ение в СССР испытало своеобразное предынфарктное со</w:t>
      </w:r>
      <w:r w:rsidRPr="00640820">
        <w:rPr>
          <w:rFonts w:ascii="Times New Roman" w:hAnsi="Times New Roman"/>
          <w:color w:val="000000" w:themeColor="text1"/>
          <w:sz w:val="16"/>
          <w:szCs w:val="16"/>
        </w:rPr>
        <w:softHyphen/>
        <w:t>стояние, вылившееся в кризис в начале 1942-го (10782).</w:t>
      </w:r>
    </w:p>
    <w:p w14:paraId="2D1760A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E47C2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сентября по октябрь 1941 г. в Харькове на ХТЗ и в Сталинграде на СТЗ было организовано производство ХТЗ-16. Бронедетали для производства поставляли Новокраматорский маши</w:t>
      </w:r>
      <w:r w:rsidRPr="00640820">
        <w:rPr>
          <w:rFonts w:ascii="Times New Roman" w:hAnsi="Times New Roman"/>
          <w:color w:val="000000" w:themeColor="text1"/>
          <w:sz w:val="16"/>
          <w:szCs w:val="16"/>
        </w:rPr>
        <w:softHyphen/>
        <w:t>ностроительный завод и завод № 264. Всего было выпущено около 90 машин, которые использовались в боях в районе Харькова. Бронетрактор был создан на базе гусеничного сельскохозяйственно</w:t>
      </w:r>
      <w:r w:rsidRPr="00640820">
        <w:rPr>
          <w:rFonts w:ascii="Times New Roman" w:hAnsi="Times New Roman"/>
          <w:color w:val="000000" w:themeColor="text1"/>
          <w:sz w:val="16"/>
          <w:szCs w:val="16"/>
        </w:rPr>
        <w:softHyphen/>
        <w:t>го трактора СТЗ-3 производства ХТЗ и СТЗ и представлял собой полно</w:t>
      </w:r>
      <w:r w:rsidRPr="00640820">
        <w:rPr>
          <w:rFonts w:ascii="Times New Roman" w:hAnsi="Times New Roman"/>
          <w:color w:val="000000" w:themeColor="text1"/>
          <w:sz w:val="16"/>
          <w:szCs w:val="16"/>
        </w:rPr>
        <w:softHyphen/>
        <w:t>стью бронированную самоходную установку. Компоновочная схема ма</w:t>
      </w:r>
      <w:r w:rsidRPr="00640820">
        <w:rPr>
          <w:rFonts w:ascii="Times New Roman" w:hAnsi="Times New Roman"/>
          <w:color w:val="000000" w:themeColor="text1"/>
          <w:sz w:val="16"/>
          <w:szCs w:val="16"/>
        </w:rPr>
        <w:softHyphen/>
        <w:t>шины предусматривала переднее размещение моторного отделения и кормовое расположение совмещенных отделений управления и боевого в броневой рубке. Трансмиссионное отделение располагалось под полом боевого отделения. Экипаж машины находился в броневой рубке и со</w:t>
      </w:r>
      <w:r w:rsidRPr="00640820">
        <w:rPr>
          <w:rFonts w:ascii="Times New Roman" w:hAnsi="Times New Roman"/>
          <w:color w:val="000000" w:themeColor="text1"/>
          <w:sz w:val="16"/>
          <w:szCs w:val="16"/>
        </w:rPr>
        <w:softHyphen/>
        <w:t>стоял из трех человек. Механик-водитель располагался у правого борта рубки, за ним размещался заряжающий. У левого борта рубки распола</w:t>
      </w:r>
      <w:r w:rsidRPr="00640820">
        <w:rPr>
          <w:rFonts w:ascii="Times New Roman" w:hAnsi="Times New Roman"/>
          <w:color w:val="000000" w:themeColor="text1"/>
          <w:sz w:val="16"/>
          <w:szCs w:val="16"/>
        </w:rPr>
        <w:softHyphen/>
        <w:t>гался наводчик, он же командир установки. Посадка экипажа произво</w:t>
      </w:r>
      <w:r w:rsidRPr="00640820">
        <w:rPr>
          <w:rFonts w:ascii="Times New Roman" w:hAnsi="Times New Roman"/>
          <w:color w:val="000000" w:themeColor="text1"/>
          <w:sz w:val="16"/>
          <w:szCs w:val="16"/>
        </w:rPr>
        <w:softHyphen/>
        <w:t>дилась через люки в правом борту и в кормовой части броневой рубки, закрывавшиеся броневыми крышками (10703).</w:t>
      </w:r>
    </w:p>
    <w:p w14:paraId="7C7AC91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806B5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 ок</w:t>
      </w:r>
      <w:r w:rsidRPr="00640820">
        <w:rPr>
          <w:rFonts w:ascii="Times New Roman" w:hAnsi="Times New Roman"/>
          <w:color w:val="000000" w:themeColor="text1"/>
          <w:sz w:val="16"/>
          <w:szCs w:val="16"/>
        </w:rPr>
        <w:softHyphen/>
        <w:t>тябре 1941 г. в связи с отсутствием тягачей Т-20 на заводе № 92 по инициативе П.Ф. Муравьева была разработана самоход</w:t>
      </w:r>
      <w:r w:rsidRPr="00640820">
        <w:rPr>
          <w:rFonts w:ascii="Times New Roman" w:hAnsi="Times New Roman"/>
          <w:color w:val="000000" w:themeColor="text1"/>
          <w:sz w:val="16"/>
          <w:szCs w:val="16"/>
        </w:rPr>
        <w:softHyphen/>
        <w:t>ная установка ЗИС-41 с 57-мм пушкой ЗИС-2. В качестве базовой машины был использован специально забронированный полугусеничный грузовой автомобиль - вездеход ЗИС-22 производства Московского ав</w:t>
      </w:r>
      <w:r w:rsidRPr="00640820">
        <w:rPr>
          <w:rFonts w:ascii="Times New Roman" w:hAnsi="Times New Roman"/>
          <w:color w:val="000000" w:themeColor="text1"/>
          <w:sz w:val="16"/>
          <w:szCs w:val="16"/>
        </w:rPr>
        <w:softHyphen/>
        <w:t>тозавода ЗИС. Установка вооружения на машине была выполнена по типу корабельных палубных орудий. Заводом № 92 был изготовлен один опытный образец установки ЗИС-41, который в октябре - ноябре 1941 г. прошел заводские испытания. Однако прекращение производст</w:t>
      </w:r>
      <w:r w:rsidRPr="00640820">
        <w:rPr>
          <w:rFonts w:ascii="Times New Roman" w:hAnsi="Times New Roman"/>
          <w:color w:val="000000" w:themeColor="text1"/>
          <w:sz w:val="16"/>
          <w:szCs w:val="16"/>
        </w:rPr>
        <w:softHyphen/>
        <w:t>ва 57-мм пушек ЗИС-2 и эвакуация автозавода ЗИС в конце ноября 1941 г. создали определенные трудности в производстве установки ЗИС-41 и все работы по ней были приостановлены. Позже, в марте -июле 1942 г. изготовленный опытный образец установки ЗИС-41 был подвергнут полигонным испытаниям, которые показали, что полугусе</w:t>
      </w:r>
      <w:r w:rsidRPr="00640820">
        <w:rPr>
          <w:rFonts w:ascii="Times New Roman" w:hAnsi="Times New Roman"/>
          <w:color w:val="000000" w:themeColor="text1"/>
          <w:sz w:val="16"/>
          <w:szCs w:val="16"/>
        </w:rPr>
        <w:softHyphen/>
        <w:t>ничный вездеход ЗИС-22 обладает неудовлетворительной проходимос</w:t>
      </w:r>
      <w:r w:rsidRPr="00640820">
        <w:rPr>
          <w:rFonts w:ascii="Times New Roman" w:hAnsi="Times New Roman"/>
          <w:color w:val="000000" w:themeColor="text1"/>
          <w:sz w:val="16"/>
          <w:szCs w:val="16"/>
        </w:rPr>
        <w:softHyphen/>
        <w:t>тью, особенно в условиях снежных заносов и весенней распутицы. Кро</w:t>
      </w:r>
      <w:r w:rsidRPr="00640820">
        <w:rPr>
          <w:rFonts w:ascii="Times New Roman" w:hAnsi="Times New Roman"/>
          <w:color w:val="000000" w:themeColor="text1"/>
          <w:sz w:val="16"/>
          <w:szCs w:val="16"/>
        </w:rPr>
        <w:softHyphen/>
        <w:t>ме того, установка имела ряд конструктивных недостатков, поэтому бы</w:t>
      </w:r>
      <w:r w:rsidRPr="00640820">
        <w:rPr>
          <w:rFonts w:ascii="Times New Roman" w:hAnsi="Times New Roman"/>
          <w:color w:val="000000" w:themeColor="text1"/>
          <w:sz w:val="16"/>
          <w:szCs w:val="16"/>
        </w:rPr>
        <w:softHyphen/>
        <w:t>ло принято решение дальнейшие работы в этом направлении прекра</w:t>
      </w:r>
      <w:r w:rsidRPr="00640820">
        <w:rPr>
          <w:rFonts w:ascii="Times New Roman" w:hAnsi="Times New Roman"/>
          <w:color w:val="000000" w:themeColor="text1"/>
          <w:sz w:val="16"/>
          <w:szCs w:val="16"/>
        </w:rPr>
        <w:softHyphen/>
        <w:t>тить и развернуть работы по созданию самоходных артиллерийских ус</w:t>
      </w:r>
      <w:r w:rsidRPr="00640820">
        <w:rPr>
          <w:rFonts w:ascii="Times New Roman" w:hAnsi="Times New Roman"/>
          <w:color w:val="000000" w:themeColor="text1"/>
          <w:sz w:val="16"/>
          <w:szCs w:val="16"/>
        </w:rPr>
        <w:softHyphen/>
        <w:t>тановок только на базе гусеничных машин (10703).</w:t>
      </w:r>
    </w:p>
    <w:p w14:paraId="12A1C9B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C30E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сентябре-октябре 1941 была написана Докладная записка Б. Пиля, директора завода №5 «Главприбора», в Томский горком ВКП (б) </w:t>
      </w:r>
    </w:p>
    <w:p w14:paraId="4D0E1D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вопросу монтажа оборудования и пуска завода № 5 «ГЛАВПРИБОРА»</w:t>
      </w:r>
    </w:p>
    <w:p w14:paraId="3189F6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Завод прибыл 8/IX-1941 года, в составе полностью завода «ЛенГЗИП» и частично заводов «ОМЗ №5» и «Молодого ударника». </w:t>
      </w:r>
    </w:p>
    <w:p w14:paraId="14C7DA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Основное производство заводов в Ленинграде было следующее: </w:t>
      </w:r>
    </w:p>
    <w:p w14:paraId="521DFF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завод «ЛенГЗИП» изготовлял тахометры стационарные центробежные; пиметры, индикаторы давления типа «Майгак» и индикаторы часовые типа «Цейс». </w:t>
      </w:r>
    </w:p>
    <w:p w14:paraId="63D2A4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Основные потребители изделий з-да «ЛенГЗИП» – судостроительная промышленность, В.М.Ф., электропромышленность, турбостроение, Н.К.Б. и др.</w:t>
      </w:r>
    </w:p>
    <w:p w14:paraId="2300B6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Завод ОМЗ №5 - микроскопы разные и спектроскопы для Сан. управления и учебные, </w:t>
      </w:r>
    </w:p>
    <w:p w14:paraId="6D550D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колориметры для красильных фабрик и спец. производство – для НКАП.</w:t>
      </w:r>
    </w:p>
    <w:p w14:paraId="72ED2B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«Молодой ударник» - колориметры твердого и газообразного топлива, газовые часы – для электропромышленности, угольной, санитарии и т.п., тахометры ручные для машиностроения.</w:t>
      </w:r>
    </w:p>
    <w:p w14:paraId="0FBCF5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Прибыло металлорежущих станков – токарных, револьверных, фрезерных, строгальных, шлифовальных и др. – всего 151 ед. Кроме того, различное специальное оборудование для производства оптических и точных измерительных приборов. Также привезены полуфабрикаты, различные материалы и инструмент.</w:t>
      </w:r>
    </w:p>
    <w:p w14:paraId="5F1D6E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Личный состав:</w:t>
      </w:r>
    </w:p>
    <w:p w14:paraId="071DCD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Рабоч. ИТР Служ. Всего</w:t>
      </w:r>
    </w:p>
    <w:p w14:paraId="1D532B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ЛЕНГЗИП 10 9 7 26</w:t>
      </w:r>
    </w:p>
    <w:p w14:paraId="1AAD36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ОМЗ № 5 20 9 6 35</w:t>
      </w:r>
    </w:p>
    <w:p w14:paraId="0220A4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Молодой Ударник 11 13 2 26</w:t>
      </w:r>
    </w:p>
    <w:p w14:paraId="395C0E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ИТОГО: 41 31 15 87</w:t>
      </w:r>
    </w:p>
    <w:p w14:paraId="1BA113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 прибыло вместе с членами семей – 222 человека.</w:t>
      </w:r>
    </w:p>
    <w:p w14:paraId="0D7912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Заводы имеют одно помещение ликеро-водочного завода. Таким образом, все три завода целесообразно объединить в один, ибо металлорежущее оборудование всех трех заводов является однородным.</w:t>
      </w:r>
    </w:p>
    <w:p w14:paraId="78BEC4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&lt;…&gt;</w:t>
      </w:r>
    </w:p>
    <w:p w14:paraId="498237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условиях объединенного завода мы не имеем задания и неизвестен профиль завода, поэтому расстановку оборудования производим по групповому принципу.</w:t>
      </w:r>
    </w:p>
    <w:p w14:paraId="23991D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&lt;…&gt;</w:t>
      </w:r>
    </w:p>
    <w:p w14:paraId="4402CB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Директор завода: Б. Пиль </w:t>
      </w:r>
    </w:p>
    <w:p w14:paraId="3A4F7F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ЦДНИ ТО. Ф. 80. Оп. 3. Д. 82. Л. 9-11 (11014). </w:t>
      </w:r>
    </w:p>
    <w:p w14:paraId="16E8DF1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C3F3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1941 - феврале 1942 г. рабочие Горьковской области построили два бронепоезда - "Козьма Минин" и "Илья Муромец". Они были намного ниже прежних, с наклонной броней и литыми башнями. По своей огневой мощи они превосходили созданные ранее боевые машины - на них впервые появились реактивные установки и надежное зенитно-артиллерийское вооружение.</w:t>
      </w:r>
    </w:p>
    <w:p w14:paraId="3E7026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боевое формирование бронепоезда типа "Козьма Минин" входили бронепаровоз серии О, две крытые и две открытые артиллерийские бронеплощадки и четыре двухосные контрольные платформы. Бронепаровоз серии О нес следующее бронирование: на будке машиниста, цилиндрах, рубке командира бронепоезда - 45 мм; на тендере, котле, сухопарнике, ходовой части - 30 мм. Крытая артиллерийская бронеплощадка имела бортовую броню толщиной 45 мм, а верхнюю - 20 мм. Она вооружалась двумя 76-мм пушками в танковых башнях от Т-34 и четырьмя бортовыми станковыми пулеметами в шаровых установках.</w:t>
      </w:r>
    </w:p>
    <w:p w14:paraId="6F84D0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открытой артиллерийской бронеплощадке с боковой броней толщиной 45 мм устанавливались 25- и 37-мм полуавтоматические зенитные пушки. Кроме того, на отдельных площадках размещались реактивные установки М-8. Для борьбы с авиацией противника на контрольные платформы дополнительно устанавливались крупнокалиберные пулеметы системы ДШК и строенные зенитные пулеметы ПВ-1.</w:t>
      </w:r>
    </w:p>
    <w:p w14:paraId="554B75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31-му отдельному бронедивизиону, состоявшему из "Козьмы Минина" и "Ильи Муромца", были приданы "черный" паровоз С-179, бронедрезина БД-39, две бронемашины БА-20, три мотоцикла М-72 и ИЖ-9, шесть грузовых автомашин ГАЗ-АА, две машины М-1, две ГАЗ-64, специальные вагоны: штабной, медпункт, мастерская, кухня, баня, жилые. Личный состав дивизиона вместе с приданной десантно-минометной ротой состоял из 335 человек. "Черный" паровоз - локомотив, используемый для приведения в движение бронепоезда в небоевых условиях (11406).</w:t>
      </w:r>
    </w:p>
    <w:p w14:paraId="4ADE39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A593264"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ентябрь – октябрь 1941 г. Докладная записка Б. Пиля, директора завода №5 «Главприбора», в Томский горком ВКП (б)</w:t>
      </w:r>
    </w:p>
    <w:p w14:paraId="5AEF0B68"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[сентябрь – октябрь 1941 г.]</w:t>
      </w:r>
    </w:p>
    <w:p w14:paraId="1F956FE5"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вопросу монтажа оборудования и пуска завода № 5 «ГЛАВПРИБОРА»</w:t>
      </w:r>
    </w:p>
    <w:p w14:paraId="42F2793C"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прибыл 8/IX-1941 года, в составе полностью завода «ЛенГЗИП» и частично заводов «ОМЗ №5» и «Молодого ударника».</w:t>
      </w:r>
    </w:p>
    <w:p w14:paraId="6B21D2DA"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Основное производство заводов в Ленинграде было следующее:</w:t>
      </w:r>
    </w:p>
    <w:p w14:paraId="0BA2F028"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«ЛенГЗИП» изготовлял тахометры стационарные центробежные; пиметры, индикаторы давления типа «Майгак» и индикаторы часовые типа «Цейс».</w:t>
      </w:r>
    </w:p>
    <w:p w14:paraId="04E3E4DC"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Основные потребители изделий з-да «ЛенГЗИП» – судостроительная промышленность, В.М.Ф., электропромышленность, турбостроение, Н.К.Б. и др.</w:t>
      </w:r>
    </w:p>
    <w:p w14:paraId="35CF737C"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ОМЗ №5 — микроскопы разные и спектроскопы для Сан. управления и учебные,</w:t>
      </w:r>
    </w:p>
    <w:p w14:paraId="728E3249"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колориметры для красильных фабрик и спец. производство – для НКАП.</w:t>
      </w:r>
    </w:p>
    <w:p w14:paraId="542C1D58"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«Молодой ударник» — колориметры твердого и газообразного топлива, газовые часы – для электропромышленности, угольной, санитарии и т.п., тахометры ручные для машиностроения.</w:t>
      </w:r>
    </w:p>
    <w:p w14:paraId="3B6E9881"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Прибыло металлорежущих станков – токарных, револьверных, фрезерных, строгальных, шлифовальных и др. – всего 151 ед. Кроме того, различное специальное оборудование для производства оптических и точных измерительных приборов. Также привезены полуфабрикаты, различные материалы и инструмент.</w:t>
      </w:r>
    </w:p>
    <w:p w14:paraId="1CDD570B"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Личный состав:</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94"/>
        <w:gridCol w:w="472"/>
        <w:gridCol w:w="333"/>
        <w:gridCol w:w="448"/>
        <w:gridCol w:w="425"/>
      </w:tblGrid>
      <w:tr w:rsidR="00643896" w:rsidRPr="00640820" w14:paraId="30776F9E" w14:textId="77777777" w:rsidTr="0038220C">
        <w:trPr>
          <w:tblCellSpacing w:w="0" w:type="dxa"/>
        </w:trPr>
        <w:tc>
          <w:tcPr>
            <w:tcW w:w="0" w:type="auto"/>
            <w:tcBorders>
              <w:top w:val="outset" w:sz="6" w:space="0" w:color="auto"/>
              <w:left w:val="outset" w:sz="6" w:space="0" w:color="auto"/>
              <w:bottom w:val="outset" w:sz="6" w:space="0" w:color="auto"/>
              <w:right w:val="outset" w:sz="6" w:space="0" w:color="auto"/>
            </w:tcBorders>
            <w:hideMark/>
          </w:tcPr>
          <w:p w14:paraId="72611417"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hideMark/>
          </w:tcPr>
          <w:p w14:paraId="114CA10E"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Рабоч.</w:t>
            </w:r>
          </w:p>
        </w:tc>
        <w:tc>
          <w:tcPr>
            <w:tcW w:w="0" w:type="auto"/>
            <w:tcBorders>
              <w:top w:val="outset" w:sz="6" w:space="0" w:color="auto"/>
              <w:left w:val="outset" w:sz="6" w:space="0" w:color="auto"/>
              <w:bottom w:val="outset" w:sz="6" w:space="0" w:color="auto"/>
              <w:right w:val="outset" w:sz="6" w:space="0" w:color="auto"/>
            </w:tcBorders>
            <w:hideMark/>
          </w:tcPr>
          <w:p w14:paraId="43CB62BD"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ИТР</w:t>
            </w:r>
          </w:p>
        </w:tc>
        <w:tc>
          <w:tcPr>
            <w:tcW w:w="0" w:type="auto"/>
            <w:tcBorders>
              <w:top w:val="outset" w:sz="6" w:space="0" w:color="auto"/>
              <w:left w:val="outset" w:sz="6" w:space="0" w:color="auto"/>
              <w:bottom w:val="outset" w:sz="6" w:space="0" w:color="auto"/>
              <w:right w:val="outset" w:sz="6" w:space="0" w:color="auto"/>
            </w:tcBorders>
            <w:hideMark/>
          </w:tcPr>
          <w:p w14:paraId="6C97BF87"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Служ.</w:t>
            </w:r>
          </w:p>
        </w:tc>
        <w:tc>
          <w:tcPr>
            <w:tcW w:w="0" w:type="auto"/>
            <w:tcBorders>
              <w:top w:val="outset" w:sz="6" w:space="0" w:color="auto"/>
              <w:left w:val="outset" w:sz="6" w:space="0" w:color="auto"/>
              <w:bottom w:val="outset" w:sz="6" w:space="0" w:color="auto"/>
              <w:right w:val="outset" w:sz="6" w:space="0" w:color="auto"/>
            </w:tcBorders>
            <w:hideMark/>
          </w:tcPr>
          <w:p w14:paraId="149B9A34"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w:t>
            </w:r>
          </w:p>
        </w:tc>
      </w:tr>
      <w:tr w:rsidR="00643896" w:rsidRPr="00640820" w14:paraId="5E6579D8" w14:textId="77777777" w:rsidTr="0038220C">
        <w:trPr>
          <w:tblCellSpacing w:w="0" w:type="dxa"/>
        </w:trPr>
        <w:tc>
          <w:tcPr>
            <w:tcW w:w="0" w:type="auto"/>
            <w:tcBorders>
              <w:top w:val="outset" w:sz="6" w:space="0" w:color="auto"/>
              <w:left w:val="outset" w:sz="6" w:space="0" w:color="auto"/>
              <w:bottom w:val="outset" w:sz="6" w:space="0" w:color="auto"/>
              <w:right w:val="outset" w:sz="6" w:space="0" w:color="auto"/>
            </w:tcBorders>
            <w:hideMark/>
          </w:tcPr>
          <w:p w14:paraId="7101D91C"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ЛЕНГЗИП</w:t>
            </w:r>
          </w:p>
        </w:tc>
        <w:tc>
          <w:tcPr>
            <w:tcW w:w="0" w:type="auto"/>
            <w:tcBorders>
              <w:top w:val="outset" w:sz="6" w:space="0" w:color="auto"/>
              <w:left w:val="outset" w:sz="6" w:space="0" w:color="auto"/>
              <w:bottom w:val="outset" w:sz="6" w:space="0" w:color="auto"/>
              <w:right w:val="outset" w:sz="6" w:space="0" w:color="auto"/>
            </w:tcBorders>
            <w:hideMark/>
          </w:tcPr>
          <w:p w14:paraId="6EF309C5"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hideMark/>
          </w:tcPr>
          <w:p w14:paraId="7CCABB7B"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hideMark/>
          </w:tcPr>
          <w:p w14:paraId="088753B3"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hideMark/>
          </w:tcPr>
          <w:p w14:paraId="4AA2B0CD"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w:t>
            </w:r>
          </w:p>
        </w:tc>
      </w:tr>
      <w:tr w:rsidR="00643896" w:rsidRPr="00640820" w14:paraId="7EBE2CC0" w14:textId="77777777" w:rsidTr="0038220C">
        <w:trPr>
          <w:tblCellSpacing w:w="0" w:type="dxa"/>
        </w:trPr>
        <w:tc>
          <w:tcPr>
            <w:tcW w:w="0" w:type="auto"/>
            <w:tcBorders>
              <w:top w:val="outset" w:sz="6" w:space="0" w:color="auto"/>
              <w:left w:val="outset" w:sz="6" w:space="0" w:color="auto"/>
              <w:bottom w:val="outset" w:sz="6" w:space="0" w:color="auto"/>
              <w:right w:val="outset" w:sz="6" w:space="0" w:color="auto"/>
            </w:tcBorders>
            <w:hideMark/>
          </w:tcPr>
          <w:p w14:paraId="76003758"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ОМЗ № 5</w:t>
            </w:r>
          </w:p>
        </w:tc>
        <w:tc>
          <w:tcPr>
            <w:tcW w:w="0" w:type="auto"/>
            <w:tcBorders>
              <w:top w:val="outset" w:sz="6" w:space="0" w:color="auto"/>
              <w:left w:val="outset" w:sz="6" w:space="0" w:color="auto"/>
              <w:bottom w:val="outset" w:sz="6" w:space="0" w:color="auto"/>
              <w:right w:val="outset" w:sz="6" w:space="0" w:color="auto"/>
            </w:tcBorders>
            <w:hideMark/>
          </w:tcPr>
          <w:p w14:paraId="0158300C"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hideMark/>
          </w:tcPr>
          <w:p w14:paraId="2F37E040"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hideMark/>
          </w:tcPr>
          <w:p w14:paraId="0DA2D152"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hideMark/>
          </w:tcPr>
          <w:p w14:paraId="3A44DC24"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w:t>
            </w:r>
          </w:p>
        </w:tc>
      </w:tr>
      <w:tr w:rsidR="00643896" w:rsidRPr="00640820" w14:paraId="42A46B87" w14:textId="77777777" w:rsidTr="0038220C">
        <w:trPr>
          <w:tblCellSpacing w:w="0" w:type="dxa"/>
        </w:trPr>
        <w:tc>
          <w:tcPr>
            <w:tcW w:w="0" w:type="auto"/>
            <w:tcBorders>
              <w:top w:val="outset" w:sz="6" w:space="0" w:color="auto"/>
              <w:left w:val="outset" w:sz="6" w:space="0" w:color="auto"/>
              <w:bottom w:val="outset" w:sz="6" w:space="0" w:color="auto"/>
              <w:right w:val="outset" w:sz="6" w:space="0" w:color="auto"/>
            </w:tcBorders>
            <w:hideMark/>
          </w:tcPr>
          <w:p w14:paraId="60C7B7D6"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Молодой Ударник</w:t>
            </w:r>
          </w:p>
        </w:tc>
        <w:tc>
          <w:tcPr>
            <w:tcW w:w="0" w:type="auto"/>
            <w:tcBorders>
              <w:top w:val="outset" w:sz="6" w:space="0" w:color="auto"/>
              <w:left w:val="outset" w:sz="6" w:space="0" w:color="auto"/>
              <w:bottom w:val="outset" w:sz="6" w:space="0" w:color="auto"/>
              <w:right w:val="outset" w:sz="6" w:space="0" w:color="auto"/>
            </w:tcBorders>
            <w:hideMark/>
          </w:tcPr>
          <w:p w14:paraId="68E470C5"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hideMark/>
          </w:tcPr>
          <w:p w14:paraId="1EC72237"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hideMark/>
          </w:tcPr>
          <w:p w14:paraId="587859FE"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hideMark/>
          </w:tcPr>
          <w:p w14:paraId="1C214017"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w:t>
            </w:r>
          </w:p>
        </w:tc>
      </w:tr>
      <w:tr w:rsidR="00643896" w:rsidRPr="00640820" w14:paraId="6E72F5A7" w14:textId="77777777" w:rsidTr="0038220C">
        <w:trPr>
          <w:tblCellSpacing w:w="0" w:type="dxa"/>
        </w:trPr>
        <w:tc>
          <w:tcPr>
            <w:tcW w:w="0" w:type="auto"/>
            <w:tcBorders>
              <w:top w:val="outset" w:sz="6" w:space="0" w:color="auto"/>
              <w:left w:val="outset" w:sz="6" w:space="0" w:color="auto"/>
              <w:bottom w:val="outset" w:sz="6" w:space="0" w:color="auto"/>
              <w:right w:val="outset" w:sz="6" w:space="0" w:color="auto"/>
            </w:tcBorders>
            <w:hideMark/>
          </w:tcPr>
          <w:p w14:paraId="38BDE439"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hideMark/>
          </w:tcPr>
          <w:p w14:paraId="67E931CD"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41</w:t>
            </w:r>
          </w:p>
        </w:tc>
        <w:tc>
          <w:tcPr>
            <w:tcW w:w="0" w:type="auto"/>
            <w:tcBorders>
              <w:top w:val="outset" w:sz="6" w:space="0" w:color="auto"/>
              <w:left w:val="outset" w:sz="6" w:space="0" w:color="auto"/>
              <w:bottom w:val="outset" w:sz="6" w:space="0" w:color="auto"/>
              <w:right w:val="outset" w:sz="6" w:space="0" w:color="auto"/>
            </w:tcBorders>
            <w:hideMark/>
          </w:tcPr>
          <w:p w14:paraId="7828702B"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hideMark/>
          </w:tcPr>
          <w:p w14:paraId="426414A3"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hideMark/>
          </w:tcPr>
          <w:p w14:paraId="1478842A"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87</w:t>
            </w:r>
          </w:p>
        </w:tc>
      </w:tr>
    </w:tbl>
    <w:p w14:paraId="4B4702ED"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 прибыло вместе с членами семей – 222 человека.Заводы имеют одно помещение ликеро-водочного завода. Таким образом, все три завода целесообразно объединить в один, ибо металлорежущее оборудование всех трех заводов является однородным.</w:t>
      </w:r>
    </w:p>
    <w:p w14:paraId="7E48104A"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&lt;…&gt;</w:t>
      </w:r>
    </w:p>
    <w:p w14:paraId="2DA5F10D"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условиях объединенного завода мы не имеем задания и неизвестен профиль завода, поэтому расстановку оборудования производим по групповому принципу.</w:t>
      </w:r>
    </w:p>
    <w:p w14:paraId="521D5777"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&lt;…&gt;</w:t>
      </w:r>
    </w:p>
    <w:p w14:paraId="4AB13E9B"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завода: Б. Пиль</w:t>
      </w:r>
    </w:p>
    <w:p w14:paraId="0CBB9A00"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ЦДНИ ТО. Ф. 80. Оп. 3. Д. 82. Л. 9-11 (15485).</w:t>
      </w:r>
    </w:p>
    <w:p w14:paraId="140FB5BD" w14:textId="77777777" w:rsidR="00F26E86" w:rsidRPr="00640820" w:rsidRDefault="00F26E86" w:rsidP="00640820">
      <w:pPr>
        <w:spacing w:after="0" w:line="240" w:lineRule="auto"/>
        <w:jc w:val="both"/>
        <w:rPr>
          <w:rFonts w:ascii="Times New Roman" w:hAnsi="Times New Roman"/>
          <w:color w:val="000000" w:themeColor="text1"/>
          <w:sz w:val="16"/>
          <w:szCs w:val="16"/>
        </w:rPr>
      </w:pPr>
    </w:p>
    <w:p w14:paraId="39BBCE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1941—октябре 1942 гг. на Балтике был восстановлен в качестве несамоход</w:t>
      </w:r>
      <w:r w:rsidRPr="00640820">
        <w:rPr>
          <w:rFonts w:ascii="Times New Roman" w:hAnsi="Times New Roman"/>
          <w:color w:val="000000" w:themeColor="text1"/>
          <w:sz w:val="16"/>
          <w:szCs w:val="16"/>
        </w:rPr>
        <w:softHyphen/>
        <w:t>ной плавучей батареи линкор "Марат" (3898).</w:t>
      </w:r>
    </w:p>
    <w:p w14:paraId="74FE4D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B00C2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1941—январе 1942 были сданы черноморские эсминцы завода 200 "Совершенный" ("Бес</w:t>
      </w:r>
      <w:r w:rsidRPr="00640820">
        <w:rPr>
          <w:rFonts w:ascii="Times New Roman" w:hAnsi="Times New Roman"/>
          <w:color w:val="000000" w:themeColor="text1"/>
          <w:sz w:val="16"/>
          <w:szCs w:val="16"/>
        </w:rPr>
        <w:softHyphen/>
        <w:t>страшный") и "Свободный" ("Бесшумный"), спущенные на воду еще в феврале 1939 г., но задержанные из-за неготовности главных ме</w:t>
      </w:r>
      <w:r w:rsidRPr="00640820">
        <w:rPr>
          <w:rFonts w:ascii="Times New Roman" w:hAnsi="Times New Roman"/>
          <w:color w:val="000000" w:themeColor="text1"/>
          <w:sz w:val="16"/>
          <w:szCs w:val="16"/>
        </w:rPr>
        <w:softHyphen/>
        <w:t>ханизмов и ускоренно достраивавшиеся в первые месяцы. Правда, "Совершенный" в день подписания акта прием</w:t>
      </w:r>
      <w:r w:rsidRPr="00640820">
        <w:rPr>
          <w:rFonts w:ascii="Times New Roman" w:hAnsi="Times New Roman"/>
          <w:color w:val="000000" w:themeColor="text1"/>
          <w:sz w:val="16"/>
          <w:szCs w:val="16"/>
        </w:rPr>
        <w:softHyphen/>
        <w:t>ки (30 сентября) подорвался на мине и фактически в строй не вступил, так как был уничтожен немецкой авиацией 8 июня 1942 г., находясь на ремонте в Севастополе (3898).</w:t>
      </w:r>
    </w:p>
    <w:p w14:paraId="47450C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EFB5585"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4B0C9C91"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DDF4A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сентября-октября 1941 трехсамолетное звено в истребительной авиации было заменено звеном из 2-х пар (2606,35).</w:t>
      </w:r>
    </w:p>
    <w:p w14:paraId="3A4A67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37727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 декабре 1941 г. немногочисленные Пе-2 из 40-го бап ВВС ЧФ наносили удары по войскам немецкой 11-й армии, рвавшимся к Севастополю (4476).</w:t>
      </w:r>
    </w:p>
    <w:p w14:paraId="1D2C2A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26206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сентябре-декабре 1941 г. немногочисленные Пе-2 из 40-го бап ВВС ЧФ наносили удары по войскам немецкой 11-й армии, рвавшимся к Севастополю. "Непотопляемый авианосец" Крым и главная база флота Севастополь долгое время обеспечивали возможность как борьбы с неприятельскими кораблями и судами, так и нанесение ударов по румыно-не- мецким войскам в приморских районах. Черноморские "пешки" участвовали в налетах на военно-морскую базу Констанца, нефтяные объекты Плоешти, бомбили крупнейший в Румынии Чернаводский мост и активно способствовали оборонительным операциям на сухопутном фронте. Дело дошло до того, что 9 сентября маршал Г.И. Кулик "реквизировал" бомбардировочную авиацию флота и подчинил ее в оперативном отношении командиру 7-го стрелкового корпуса П.И. Батову. Экипажам бомбардировщиков в тот период было приказано выполнять по пять боевых вылетов в день!</w:t>
      </w:r>
    </w:p>
    <w:p w14:paraId="45A9F3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Столь напряженные задания приводили к перегрузке, большой утомляемости летного состава и неоправданным потерям. Недостаточная согласованность в действиях прикрывающих истребителей и наносивших удары бомбардировщиков также оказывала негативное воздействие. Так, 19 октября в период обороны Перекопа шестерка пикировщиков Пе-2 капитана Чеботарева под прикрытием 12 истребителей бомбардировала артиллерийскую батарею противника. На отходе группа была атакована пятеркой "мессершмиттов", в бой с которыми постепенно ввязались все советские истребители. Очевидно, что отвлечение входило в план немцев: еще одно подразделение </w:t>
      </w:r>
      <w:r w:rsidRPr="00640820">
        <w:rPr>
          <w:rFonts w:ascii="Times New Roman" w:hAnsi="Times New Roman"/>
          <w:color w:val="000000" w:themeColor="text1"/>
          <w:sz w:val="16"/>
          <w:szCs w:val="16"/>
          <w:lang w:val="en-US"/>
        </w:rPr>
        <w:t>Bf</w:t>
      </w:r>
      <w:r w:rsidRPr="00640820">
        <w:rPr>
          <w:rFonts w:ascii="Times New Roman" w:hAnsi="Times New Roman"/>
          <w:color w:val="000000" w:themeColor="text1"/>
          <w:sz w:val="16"/>
          <w:szCs w:val="16"/>
        </w:rPr>
        <w:t xml:space="preserve"> 109</w:t>
      </w:r>
      <w:r w:rsidRPr="00640820">
        <w:rPr>
          <w:rFonts w:ascii="Times New Roman" w:hAnsi="Times New Roman"/>
          <w:color w:val="000000" w:themeColor="text1"/>
          <w:sz w:val="16"/>
          <w:szCs w:val="16"/>
          <w:lang w:val="en-US"/>
        </w:rPr>
        <w:t>F</w:t>
      </w:r>
      <w:r w:rsidRPr="00640820">
        <w:rPr>
          <w:rFonts w:ascii="Times New Roman" w:hAnsi="Times New Roman"/>
          <w:color w:val="000000" w:themeColor="text1"/>
          <w:sz w:val="16"/>
          <w:szCs w:val="16"/>
        </w:rPr>
        <w:t xml:space="preserve"> из </w:t>
      </w:r>
      <w:r w:rsidRPr="00640820">
        <w:rPr>
          <w:rFonts w:ascii="Times New Roman" w:hAnsi="Times New Roman"/>
          <w:color w:val="000000" w:themeColor="text1"/>
          <w:sz w:val="16"/>
          <w:szCs w:val="16"/>
          <w:lang w:val="en-US"/>
        </w:rPr>
        <w:t>II</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JG</w:t>
      </w:r>
      <w:r w:rsidRPr="00640820">
        <w:rPr>
          <w:rFonts w:ascii="Times New Roman" w:hAnsi="Times New Roman"/>
          <w:color w:val="000000" w:themeColor="text1"/>
          <w:sz w:val="16"/>
          <w:szCs w:val="16"/>
        </w:rPr>
        <w:t>3, ведомое капитаном Г. Голлобом, внезапно атаковало оставшиеся без прикрытия бомбардировщики; в течение 5-7 мин немцы сбили или подбили все шесть машин.</w:t>
      </w:r>
    </w:p>
    <w:p w14:paraId="23E3EA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Вместе с тем, имелись примеры и противоположных по результатам боев "пешек" с воздушным противником. Так, 30 сентября семь Пе-2 в сопровождении пятерки ЛаГГ-3 нанесли удар по румынским позициям в районе Одессы. С горизонтального полета было сброшено 20 ФА Б-100 и 34 ФАБ-50, наблюдались прямые попадания в два танка и места скопления пехоты. В районе цели группу атаковали "мессершмитты", но дружным огнем стрелков и самоотверженными действиями пилотов ЛаГГов нападение удалось от- из 40-го бап ВВС бить. Немцы потеряли два истребителя, а все Черноморского флота советские самолеты вернулись домой.</w:t>
      </w:r>
    </w:p>
    <w:p w14:paraId="79AC18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 менее успешно действовали экипажи 40-го бап 10 октября 1941 г. В этот день шестерка Пе-2 под прикрытием 12 И-16 и 2 Як-1 с пикирования нанесла удар по танкам, артиллерии и войскам противника в районе Армянска. Несмотря на сильное противодействие, наша группа потерь не имела. При сомкнутом строе бомбардировщиков вражеские истребители, опасаясь поражения сосредоточенным огнем стрелков, прекращали атаки на удалениях 500-800 м от наших самолетов, при этом вероятность уничтожения "пешки" оказывалась очень невысокой. В это период боев стала заметной закономерность: группы Пе-2 в составе девятки несли потери только в тех случаях, когда отдельные самолеты по тем или иным причинам отрывались от строя. Чаще всего такие машины попадали под удар немецких истребителей и сбивались ими.</w:t>
      </w:r>
    </w:p>
    <w:p w14:paraId="5A367D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период осенне-зимних боев за Севастополь на двух его аэродромах практически постоянно базировались от семи до десяти "пешек" из состава особой авиагруппы ВВС ЧФ. Близость линии фронта заставила изменить тактику ударов по войскам противника и его ближайшим тылам. Взлетающие Пе-2 уходили в море, где они вне видимости с берега набирали заданную высоту. После этого, пользуясь хорошим знанием района боевых действий, они внезапно появлялись над целями, наносили удар с пикирования или крутого планирования и на повышенной скорости уходили на свой аэродром. В этих условиях пикировщики практически не нуждались в истребительном прикрытии, поскольку скоротечность удара и большая скорость при отходе не оставляли противнику шансов на перехват.</w:t>
      </w:r>
    </w:p>
    <w:p w14:paraId="77733B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Одним из наиболее известных летчиков авиации ЧФ. в числе первых освоивших Пе-2, был командир эскадрильи 40-го бап майор А.П. Цурцумия, впоследствии Герой Советского Союза (посмертно). В июне 1941 г. он принимал участие в дерзком налете на нефтяные объекты Плоешти, а затем водил в бой "пешки", взлетавшие с севастопольского аэродрома. По состоянию на 1 января 1942 г. ВВС ЧФ располагали 16 Пе-2, восемь из них базировались в Севастополе.</w:t>
      </w:r>
    </w:p>
    <w:p w14:paraId="1AB920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Учитывая хорошие разгонные характеристики самолета даже при пологом снижении, в конце 1941 г. экипажи черноморских "пешек"-разведчиков научились применять новый противозенитный маневр, основанный на плавном увеличении скорости в ходе фотографирования. Суть его заключалась в следующем. К моменту подхода к зоне зенитного огня цель удерживалась на курсовом угле 40-60°, а затем осуществлялся резкий вираж и вывод машины на боевой курс с незначительным снижением, одновременно моторам давался полный газ. В результате такого маневра скорость самолета плавно увеличивалась, и все разрывы зенитных снарядов ложились позади. После окончания боевого курса выполнялся энергичный противозенитный маневр с уходом либо в сторону солнца, либо в море (12042).</w:t>
      </w:r>
    </w:p>
    <w:p w14:paraId="4B236D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B3CB30C" w14:textId="77777777" w:rsidR="00F874F7" w:rsidRPr="00640820" w:rsidRDefault="00F874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сентябре-декабре 1941 г. силами НКВД сооружена вдоль берега Белого моря железнодорожная ветка Сорока (Беломорск) - Обозерская. После того, как германские и финские войска перерезали Кировскую железную дорогу, новая ветка стала единственным путем связи Кольского полуострова с остальной страной и перевозки поступивших в Мурманск грузов по ленд-лизу. Высокая скорость сооружения дороги привела в изумление министра иностранных дел Великобритании А. Идена. В </w:t>
      </w:r>
      <w:r w:rsidRPr="00640820">
        <w:rPr>
          <w:rFonts w:ascii="Times New Roman" w:hAnsi="Times New Roman"/>
          <w:color w:val="000000" w:themeColor="text1"/>
          <w:sz w:val="16"/>
          <w:szCs w:val="16"/>
        </w:rPr>
        <w:lastRenderedPageBreak/>
        <w:t>декабре 1941 г., проезжая в Москву из Мурманска, он выразил крайнее удивление появлением действующей железной дороги там, где еще полгода назад была абсолютно неосвоенная местность (12129).</w:t>
      </w:r>
    </w:p>
    <w:p w14:paraId="62ADD702" w14:textId="77777777" w:rsidR="00F874F7" w:rsidRPr="00640820" w:rsidRDefault="00F874F7" w:rsidP="00640820">
      <w:pPr>
        <w:spacing w:after="0" w:line="240" w:lineRule="auto"/>
        <w:jc w:val="both"/>
        <w:rPr>
          <w:rFonts w:ascii="Times New Roman" w:hAnsi="Times New Roman"/>
          <w:color w:val="000000" w:themeColor="text1"/>
          <w:sz w:val="16"/>
          <w:szCs w:val="16"/>
        </w:rPr>
      </w:pPr>
    </w:p>
    <w:p w14:paraId="292B1B57"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75C4996A"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23E7C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 октябре 1941 года в восточные районы СССР были выселены немцы из Московской, Ленинградской, Ростовской, Тульской, Воронежской, Запорожской, Ворошиловградской, Сталинской областей, Краснодарского и Орджоникидзевского краев, Азербайджанской, Армянской и Грузинской ССР, из Северо-Осетинской, Кабардино-Балкарской, Дагестанской и Чечено-Ингушской АССР. Всего на 1 января 1942-го было переселено около 856 тысяч человек (7560).</w:t>
      </w:r>
    </w:p>
    <w:p w14:paraId="0232AA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CD3241A"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7B1CDE86"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D91AC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осени на заводе и в НИП АВ прошли испытания МиГи с несколькими вариантами стрелкового вооружения. По мнению Микояна, перспективной для серии являлась машина зав. № 4350, у которой изменили схему вооружения (сверху поставили ШКАС с боезапасом 600 патронов, а слева и справа смонтировали два БС, обеспечив их 180 и 270 патронами, соответственно). Этот МиГ-3 рассматривался как эталон по вооружению для последующих серийных истребителей.</w:t>
      </w:r>
    </w:p>
    <w:p w14:paraId="789EDA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Однако испытания истребителя завершились неудачно, прежде всего из-за ненадежной работы всех синхронных установок. Многочисленные задержки при стрельбе, слабость крепления кронштейнов синхронных тяг к деталям планера, многочисленные случаи ударов выброшенных гильз о стабилизатор - все это привело к отрицательному заключению по самолету, которое подписал начальник одного из отделов НИП АВ инженер Лобачев.</w:t>
      </w:r>
    </w:p>
    <w:p w14:paraId="01243E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Более успешно прошел испытания МиГ-3 зав. № 4902, на котором смонтировали два синхронных пулемета УБС (с общим боезапасом 700 патронов). Под руководством инженера Ивашечкина с 27 сентября по 4 октября были проведены многочисленные отстрелы оружия в тире (на земле и в воздухе). К сожалению, снова не обошлось без серьезных критических замечаний в адрес установки вооружения.</w:t>
      </w:r>
    </w:p>
    <w:p w14:paraId="6687F5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Микоян и Третьяков доложили Шахурину, что к началу октября было отстреляно 4330 патронов из двухпулеметного МиГа. Незначительные, по их мнению, дефекты были устранены. Конструкторы предложили запустить в серию этот вариант без проведения государственных испытаний. Нарком ответил согласием, распорядившись устанавливать по два УБС, начиная с 151-го самолета 27 серии.</w:t>
      </w:r>
    </w:p>
    <w:p w14:paraId="08F2B5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Таким образом, истребитель МиГ-3 зав. № 4902 (с устраненными дефектами) стал эталоном по вооружению при дальнейшей серийной постройке. Всего завод № 1 успел построить 215 машин с двумя пулеметами УБС. Кроме того, завод выпустил два самолета МиГ-3, вооруженных двумя крупнокалиберными и одним пулеметом винтовочного калибра, а также один МиГ-3 с двумя УБС и двумя ШКАС. Эти машины использовались при обороне Москвы, в боях на Волховском фронте, на Дальнем Востоке и в различных учебных центрах ВВС и ВМФ (12045).</w:t>
      </w:r>
    </w:p>
    <w:p w14:paraId="623484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3C97ACE"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3378FA91"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3315C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осени 1941 П.О.С. посетил 210 ббап, летавший на Су-2, и получил информацию, что Су-2 для штурмовки не годится. сказал, что это не ш, а бб (3548).</w:t>
      </w:r>
    </w:p>
    <w:p w14:paraId="57AFB9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B613D63"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2C7CC09B"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8F5B24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осени 1941 года, согласно воспоминаниям Э.Пусэпа, управляемый по радио самолет ТБ-3 наполнили взрывчаткой и горючим и направили на запад. Александр Тягунин, который в этот раз заменил меня, поднял эту летающую гигантскую бомбу в воздух (из соображений безо</w:t>
      </w:r>
      <w:r w:rsidRPr="00640820">
        <w:rPr>
          <w:rFonts w:ascii="Times New Roman" w:hAnsi="Times New Roman"/>
          <w:color w:val="000000" w:themeColor="text1"/>
          <w:sz w:val="16"/>
          <w:szCs w:val="16"/>
        </w:rPr>
        <w:softHyphen/>
        <w:t>пасности взлет не доверили автома</w:t>
      </w:r>
      <w:r w:rsidRPr="00640820">
        <w:rPr>
          <w:rFonts w:ascii="Times New Roman" w:hAnsi="Times New Roman"/>
          <w:color w:val="000000" w:themeColor="text1"/>
          <w:sz w:val="16"/>
          <w:szCs w:val="16"/>
        </w:rPr>
        <w:softHyphen/>
        <w:t>там), поднялся на соответствующую высоту и выпрыгнул затем сам с пара</w:t>
      </w:r>
      <w:r w:rsidRPr="00640820">
        <w:rPr>
          <w:rFonts w:ascii="Times New Roman" w:hAnsi="Times New Roman"/>
          <w:color w:val="000000" w:themeColor="text1"/>
          <w:sz w:val="16"/>
          <w:szCs w:val="16"/>
        </w:rPr>
        <w:softHyphen/>
        <w:t>шютом. Самолет со страшным грузом мчался в тыл фашистов. К сожалению, он не достиг назначенной цели - по-видимому, антенны обледенели, само</w:t>
      </w:r>
      <w:r w:rsidRPr="00640820">
        <w:rPr>
          <w:rFonts w:ascii="Times New Roman" w:hAnsi="Times New Roman"/>
          <w:color w:val="000000" w:themeColor="text1"/>
          <w:sz w:val="16"/>
          <w:szCs w:val="16"/>
        </w:rPr>
        <w:softHyphen/>
        <w:t>лет потерял управление и упал» (10734).</w:t>
      </w:r>
    </w:p>
    <w:p w14:paraId="14C541E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7F3621"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214C74B2"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D2588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 С.В.Ильюшин главной своей задачей считал обеспечение серийного выпуска двухместных вариантов Ил-2 с оборонительным стрелковым вооружением. Он обратился с предложением запустить в серию двухместный самолет со стрелковой установкой по типу Ил-2 М-82. Однако это требовало больших конструктивных изменений, внедрить которые в серию в то время было практически невозможно. Действовал строжайший приказ № 118 о технологической дисциплине, запрещавший внесение крупных изменений в конструкцию и технологию серийных самолетов без согласования с правительством. Но, самое главное, из-за эвакуации серийных заводов производство Ил-2 резко сократилось. В течение 35 дней вообще не выпускали столь нужные фронту машины. В тяжелейших условиях самолетостроители налаживали выпуск штурмовиков на новых местах, люди работали в неотапливаемых помещениях, порой под открытым небом. Между тем шла битва за Москву и фронту как никогда прежде были нужны Ил-2 (9528).</w:t>
      </w:r>
    </w:p>
    <w:p w14:paraId="740322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74E5A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завод (№ 122) даже без учёта завода № 8 вообще стал своеобразным сбор</w:t>
      </w:r>
      <w:r w:rsidRPr="00640820">
        <w:rPr>
          <w:rFonts w:ascii="Times New Roman" w:hAnsi="Times New Roman"/>
          <w:color w:val="000000" w:themeColor="text1"/>
          <w:sz w:val="16"/>
          <w:szCs w:val="16"/>
        </w:rPr>
        <w:softHyphen/>
        <w:t>ным пунктом для оборудования и персонала нескольких эва</w:t>
      </w:r>
      <w:r w:rsidRPr="00640820">
        <w:rPr>
          <w:rFonts w:ascii="Times New Roman" w:hAnsi="Times New Roman"/>
          <w:color w:val="000000" w:themeColor="text1"/>
          <w:sz w:val="16"/>
          <w:szCs w:val="16"/>
        </w:rPr>
        <w:softHyphen/>
        <w:t>куированных предприятий — № 35 (Завод с тем же номером был эвакуирован и на площадку завода № 18 (бывш. 295) (См. Военно-промышленный комплекс Куйбышевской области... С. 24.). Однако это были разные заводы. Предприятие, эвакуированное на площадку завода № 1, было вывезено из Смоленска и занималось ремонтов), 453, 463, 464, 465. Тем не менее, так как практически все эти заводы были лишь не давно организованы на новых местах (Заводы № 463,464,465 располагались в Таллине, Риге и Каунасе, представляя собой бывшие авиаремонтные предприятия буржуазных республик.] 453-й завод начал строиться в Минске незадолго до войны), существенно</w:t>
      </w:r>
      <w:r w:rsidRPr="00640820">
        <w:rPr>
          <w:rFonts w:ascii="Times New Roman" w:hAnsi="Times New Roman"/>
          <w:smallCaps/>
          <w:color w:val="000000" w:themeColor="text1"/>
          <w:sz w:val="16"/>
          <w:szCs w:val="16"/>
        </w:rPr>
        <w:t xml:space="preserve"> повысе </w:t>
      </w:r>
      <w:r w:rsidRPr="00640820">
        <w:rPr>
          <w:rFonts w:ascii="Times New Roman" w:hAnsi="Times New Roman"/>
          <w:color w:val="000000" w:themeColor="text1"/>
          <w:sz w:val="16"/>
          <w:szCs w:val="16"/>
        </w:rPr>
        <w:t xml:space="preserve">уровень оснащения завода № 122 они не могли (Военно-промышленный комплекс Куйбышевской области... Л. 59.). На 1 се тября 1941 г. на заводе числилось 1085 станков, из которь 474 было получено от эвакуированных заводов, 581 — пс чено но фондам, а 30 — передано с неэвакуированных: приятий НКАП. Однако далеко не все станки удалось ввес в строй к сентябрю — эксплуатировалось лишь 450 стак 50 находились в капитальном ремонте, а остальные были переданы на монтаж (РГАЭ. Ф. 8044. </w:t>
      </w:r>
      <w:r w:rsidRPr="00640820">
        <w:rPr>
          <w:rFonts w:ascii="Times New Roman" w:hAnsi="Times New Roman"/>
          <w:color w:val="000000" w:themeColor="text1"/>
          <w:sz w:val="16"/>
          <w:szCs w:val="16"/>
          <w:lang w:val="en-US"/>
        </w:rPr>
        <w:t>On</w:t>
      </w:r>
      <w:r w:rsidRPr="00640820">
        <w:rPr>
          <w:rFonts w:ascii="Times New Roman" w:hAnsi="Times New Roman"/>
          <w:color w:val="000000" w:themeColor="text1"/>
          <w:sz w:val="16"/>
          <w:szCs w:val="16"/>
        </w:rPr>
        <w:t>. 1. Д. 4191. Л. 41.). Прибывший на завод в конце он бря 1941 г. нарком Шахурин застал довольно непрг картину: «Группа новых, недостроенных корпусов заводоа Огромная масса людей снует на первый взгляд беспорядочнс грязь и неустроенность самой территории» (Куманёв Г.А. Говорят сталинские наркомы. Смоленск, 2005. С. 208.). Завод испытывал постоянный дефицит квалифицированной рабочей силы, необходимой для налаживания работы завода, поэтому в декабре 1941 г. Л.П. Берия лично озаботился сбором по всему Поволжью квалифицированных слесарей, печников, трубопроводчиков и электросварщиков для строительства завода. Ситуация изменилась после эвакуации на площадку завоя № 122 авиазавода № 1 из Москвы. Примерно тогда же куй</w:t>
      </w:r>
      <w:r w:rsidRPr="00640820">
        <w:rPr>
          <w:rFonts w:ascii="Times New Roman" w:hAnsi="Times New Roman"/>
          <w:color w:val="000000" w:themeColor="text1"/>
          <w:sz w:val="16"/>
          <w:szCs w:val="16"/>
        </w:rPr>
        <w:softHyphen/>
        <w:t>бышевские заводы поменяли свои номера, а вернее — приняли номера крупнейших авиазаводов, эвакуированных на их площадки. Так, завод № 122 стал № 1, № 295 — № 18, № 337 — № 24. Надо отметить, что поручение строительства не ГУКС НКАП, а УОС НКВД дало свои положительные ре зультаты. На конец 1941 г. на заводе № 1 (бывшем № 122) было построено 35 основных и вспомогательных корпусов суммарной площадью 178,7 тыс.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 том числе — 151,1 тыс.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xml:space="preserve"> производственных площадей. Корпуса были обеспечены паровым отоплением, электроэнергией, водоснабжением и прочими коммуникациями, позволявшими развернуть вы</w:t>
      </w:r>
      <w:r w:rsidRPr="00640820">
        <w:rPr>
          <w:rFonts w:ascii="Times New Roman" w:hAnsi="Times New Roman"/>
          <w:color w:val="000000" w:themeColor="text1"/>
          <w:sz w:val="16"/>
          <w:szCs w:val="16"/>
        </w:rPr>
        <w:softHyphen/>
        <w:t>пуск самолётов немедленно (Военно-промышленный комплекс Куйбышевской области... С. 23.). Вообще надо отметить, что ру</w:t>
      </w:r>
      <w:r w:rsidRPr="00640820">
        <w:rPr>
          <w:rFonts w:ascii="Times New Roman" w:hAnsi="Times New Roman"/>
          <w:color w:val="000000" w:themeColor="text1"/>
          <w:sz w:val="16"/>
          <w:szCs w:val="16"/>
        </w:rPr>
        <w:softHyphen/>
        <w:t>ководство УОС стремилось решать проблемы комплексно, одновременно со строительством собственно заводов, соз</w:t>
      </w:r>
      <w:r w:rsidRPr="00640820">
        <w:rPr>
          <w:rFonts w:ascii="Times New Roman" w:hAnsi="Times New Roman"/>
          <w:color w:val="000000" w:themeColor="text1"/>
          <w:sz w:val="16"/>
          <w:szCs w:val="16"/>
        </w:rPr>
        <w:softHyphen/>
        <w:t>давая и необходимую инфраструктуру — трамвайные пути (Военно-промышленный комплекс Куйбышевской области... С. 20.), шоссе, водопровод, электростанции и линии электропередач, и т.д. Это было тем более важно, что в результате эвакуации численность населения г. Куйбышев за 1941—42 годы воз</w:t>
      </w:r>
      <w:r w:rsidRPr="00640820">
        <w:rPr>
          <w:rFonts w:ascii="Times New Roman" w:hAnsi="Times New Roman"/>
          <w:color w:val="000000" w:themeColor="text1"/>
          <w:sz w:val="16"/>
          <w:szCs w:val="16"/>
        </w:rPr>
        <w:softHyphen/>
        <w:t>росла с 429 до 541 тыс. чел. (Военно-промышленный комплекс Куйбышевской области... С. 258), и городские транспортные сети и коммуникации явно не выдержали бы такого роста нагруз</w:t>
      </w:r>
      <w:r w:rsidRPr="00640820">
        <w:rPr>
          <w:rFonts w:ascii="Times New Roman" w:hAnsi="Times New Roman"/>
          <w:color w:val="000000" w:themeColor="text1"/>
          <w:sz w:val="16"/>
          <w:szCs w:val="16"/>
        </w:rPr>
        <w:softHyphen/>
        <w:t>ки. Деятельность УОС продолжалась до весны 1943 г., когда УОС было освобождено от строительных работ в интере</w:t>
      </w:r>
      <w:r w:rsidRPr="00640820">
        <w:rPr>
          <w:rFonts w:ascii="Times New Roman" w:hAnsi="Times New Roman"/>
          <w:color w:val="000000" w:themeColor="text1"/>
          <w:sz w:val="16"/>
          <w:szCs w:val="16"/>
        </w:rPr>
        <w:softHyphen/>
        <w:t>сах НКАП, а дальнейшее строительство авиазаводов Куй</w:t>
      </w:r>
      <w:r w:rsidRPr="00640820">
        <w:rPr>
          <w:rFonts w:ascii="Times New Roman" w:hAnsi="Times New Roman"/>
          <w:color w:val="000000" w:themeColor="text1"/>
          <w:sz w:val="16"/>
          <w:szCs w:val="16"/>
        </w:rPr>
        <w:softHyphen/>
        <w:t>бышева было поручено специально для этого созданному 11 строительно-монтажному тресту НКАП. Работы по ком</w:t>
      </w:r>
      <w:r w:rsidRPr="00640820">
        <w:rPr>
          <w:rFonts w:ascii="Times New Roman" w:hAnsi="Times New Roman"/>
          <w:color w:val="000000" w:themeColor="text1"/>
          <w:sz w:val="16"/>
          <w:szCs w:val="16"/>
        </w:rPr>
        <w:softHyphen/>
        <w:t>плексному развитию куйбышевского узла авиапредприятий шли непрерывно. Так, весной 1944 г. было решено для даль</w:t>
      </w:r>
      <w:r w:rsidRPr="00640820">
        <w:rPr>
          <w:rFonts w:ascii="Times New Roman" w:hAnsi="Times New Roman"/>
          <w:color w:val="000000" w:themeColor="text1"/>
          <w:sz w:val="16"/>
          <w:szCs w:val="16"/>
        </w:rPr>
        <w:softHyphen/>
        <w:t>нейшей интенсификации авиавыпуска проложить электрифи</w:t>
      </w:r>
      <w:r w:rsidRPr="00640820">
        <w:rPr>
          <w:rFonts w:ascii="Times New Roman" w:hAnsi="Times New Roman"/>
          <w:color w:val="000000" w:themeColor="text1"/>
          <w:sz w:val="16"/>
          <w:szCs w:val="16"/>
        </w:rPr>
        <w:softHyphen/>
        <w:t>цированную железнодорожную ветку Куйбышев — станция Безымянка (Собственно, на этой станции, удалённой от города Куйбышев на не</w:t>
      </w:r>
      <w:r w:rsidRPr="00640820">
        <w:rPr>
          <w:rFonts w:ascii="Times New Roman" w:hAnsi="Times New Roman"/>
          <w:color w:val="000000" w:themeColor="text1"/>
          <w:sz w:val="16"/>
          <w:szCs w:val="16"/>
        </w:rPr>
        <w:softHyphen/>
        <w:t>сколько километров, авиапроизводства в основном и базировались). Железная дорога действительно была построена и сдана в эксплуатацию осенью того же года (Военно-промышленный комплекс Куйбышевской области в годы Вели</w:t>
      </w:r>
      <w:r w:rsidRPr="00640820">
        <w:rPr>
          <w:rFonts w:ascii="Times New Roman" w:hAnsi="Times New Roman"/>
          <w:color w:val="000000" w:themeColor="text1"/>
          <w:sz w:val="16"/>
          <w:szCs w:val="16"/>
        </w:rPr>
        <w:softHyphen/>
        <w:t>кой Отечественной войны (1941—1945). Сб. док. Самара, 2005. С. 256.).</w:t>
      </w:r>
    </w:p>
    <w:p w14:paraId="53E4FD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2D86394" w14:textId="77777777" w:rsidR="00F26E86" w:rsidRPr="00640820" w:rsidRDefault="00F26E86" w:rsidP="00640820">
      <w:pPr>
        <w:pStyle w:val="35"/>
        <w:shd w:val="clear" w:color="auto" w:fill="auto"/>
        <w:spacing w:after="0" w:line="240" w:lineRule="auto"/>
        <w:jc w:val="both"/>
        <w:rPr>
          <w:rFonts w:ascii="Times New Roman" w:cs="Times New Roman"/>
          <w:color w:val="000000" w:themeColor="text1"/>
          <w:spacing w:val="0"/>
          <w:sz w:val="16"/>
          <w:szCs w:val="16"/>
        </w:rPr>
      </w:pPr>
      <w:r w:rsidRPr="00640820">
        <w:rPr>
          <w:rFonts w:ascii="Times New Roman" w:cs="Times New Roman"/>
          <w:color w:val="000000" w:themeColor="text1"/>
          <w:spacing w:val="0"/>
          <w:sz w:val="16"/>
          <w:szCs w:val="16"/>
        </w:rPr>
        <w:t>Осенью 1941 для их проверки брони Ил-2 бронегруппа ВИАМ под руководством Н.М. Склярова в срочном порядке провела отстрелы бронеплит валовой броневой стали АБ-1 разных толщин (от 6 до 18 мм) бронебойными пулями калибра 12,7 мм типа ДК. Одновременно аналогичные испытания прошли в НИИ-48 и в НИИ ВВС КА на сталях типа ХД, ФД, ИЗ (танковая) и на раз</w:t>
      </w:r>
      <w:r w:rsidRPr="00640820">
        <w:rPr>
          <w:rFonts w:ascii="Times New Roman" w:cs="Times New Roman"/>
          <w:color w:val="000000" w:themeColor="text1"/>
          <w:spacing w:val="0"/>
          <w:sz w:val="16"/>
          <w:szCs w:val="16"/>
        </w:rPr>
        <w:softHyphen/>
        <w:t>личных толщинах - вплоть до 15,2 мм.</w:t>
      </w:r>
    </w:p>
    <w:p w14:paraId="1270DE3D" w14:textId="77777777" w:rsidR="00F26E86" w:rsidRPr="00640820" w:rsidRDefault="00F26E86" w:rsidP="00640820">
      <w:pPr>
        <w:pStyle w:val="35"/>
        <w:shd w:val="clear" w:color="auto" w:fill="auto"/>
        <w:spacing w:after="0" w:line="240" w:lineRule="auto"/>
        <w:jc w:val="both"/>
        <w:rPr>
          <w:rFonts w:ascii="Times New Roman" w:cs="Times New Roman"/>
          <w:color w:val="000000" w:themeColor="text1"/>
          <w:spacing w:val="0"/>
          <w:sz w:val="16"/>
          <w:szCs w:val="16"/>
        </w:rPr>
      </w:pPr>
      <w:r w:rsidRPr="00640820">
        <w:rPr>
          <w:rFonts w:ascii="Times New Roman" w:cs="Times New Roman"/>
          <w:color w:val="000000" w:themeColor="text1"/>
          <w:spacing w:val="0"/>
          <w:sz w:val="16"/>
          <w:szCs w:val="16"/>
        </w:rPr>
        <w:t>Выяснилось, что гомогенная броня АБ-1 при стрельбе под углами на короткой дистан</w:t>
      </w:r>
      <w:r w:rsidRPr="00640820">
        <w:rPr>
          <w:rFonts w:ascii="Times New Roman" w:cs="Times New Roman"/>
          <w:color w:val="000000" w:themeColor="text1"/>
          <w:spacing w:val="0"/>
          <w:sz w:val="16"/>
          <w:szCs w:val="16"/>
        </w:rPr>
        <w:softHyphen/>
        <w:t>ции (50 м) оказалась лучше цементованной, а при стрельбе с дистанции 500 м практически не уступала последней. Марки брони ХД и ИЗ в гомогенном варианте удовлетворительно вы</w:t>
      </w:r>
      <w:r w:rsidRPr="00640820">
        <w:rPr>
          <w:rFonts w:ascii="Times New Roman" w:cs="Times New Roman"/>
          <w:color w:val="000000" w:themeColor="text1"/>
          <w:spacing w:val="0"/>
          <w:sz w:val="16"/>
          <w:szCs w:val="16"/>
        </w:rPr>
        <w:softHyphen/>
        <w:t xml:space="preserve">держивали пулю ДК только при толщине 15 мм: </w:t>
      </w:r>
      <w:r w:rsidRPr="00640820">
        <w:rPr>
          <w:rStyle w:val="aff5"/>
          <w:rFonts w:ascii="Times New Roman" w:eastAsia="Arial Narrow" w:hAnsi="Times New Roman" w:cs="Times New Roman"/>
          <w:i w:val="0"/>
          <w:color w:val="000000" w:themeColor="text1"/>
          <w:spacing w:val="0"/>
        </w:rPr>
        <w:t>«они противостоят попаданиям пуль ДК с 500 м под углом 20° от нормали, то есть на пределе возможного огня по самолету».</w:t>
      </w:r>
      <w:r w:rsidRPr="00640820">
        <w:rPr>
          <w:rFonts w:ascii="Times New Roman" w:cs="Times New Roman"/>
          <w:color w:val="000000" w:themeColor="text1"/>
          <w:spacing w:val="0"/>
          <w:sz w:val="16"/>
          <w:szCs w:val="16"/>
        </w:rPr>
        <w:t xml:space="preserve"> Цементованная броня показала несколько </w:t>
      </w:r>
      <w:r w:rsidRPr="00640820">
        <w:rPr>
          <w:rFonts w:ascii="Times New Roman" w:cs="Times New Roman"/>
          <w:color w:val="000000" w:themeColor="text1"/>
          <w:spacing w:val="0"/>
          <w:sz w:val="16"/>
          <w:szCs w:val="16"/>
        </w:rPr>
        <w:lastRenderedPageBreak/>
        <w:t>лучшие результаты: броня типа ХД(ц) толщиной 13,5 мм не проби</w:t>
      </w:r>
      <w:r w:rsidRPr="00640820">
        <w:rPr>
          <w:rFonts w:ascii="Times New Roman" w:cs="Times New Roman"/>
          <w:color w:val="000000" w:themeColor="text1"/>
          <w:spacing w:val="0"/>
          <w:sz w:val="16"/>
          <w:szCs w:val="16"/>
        </w:rPr>
        <w:softHyphen/>
        <w:t>валась пулей ДК с 200 м под углом от норма</w:t>
      </w:r>
      <w:r w:rsidRPr="00640820">
        <w:rPr>
          <w:rFonts w:ascii="Times New Roman" w:cs="Times New Roman"/>
          <w:color w:val="000000" w:themeColor="text1"/>
          <w:spacing w:val="0"/>
          <w:sz w:val="16"/>
          <w:szCs w:val="16"/>
        </w:rPr>
        <w:softHyphen/>
        <w:t>ли 30°, а броня типа ФД толщиной 15,2 мм - с 300 м под углом от нормали 20'.</w:t>
      </w:r>
    </w:p>
    <w:p w14:paraId="0F0A89DA" w14:textId="77777777" w:rsidR="00F26E86" w:rsidRPr="00640820" w:rsidRDefault="00F26E86" w:rsidP="00640820">
      <w:pPr>
        <w:pStyle w:val="35"/>
        <w:shd w:val="clear" w:color="auto" w:fill="auto"/>
        <w:spacing w:after="0" w:line="240" w:lineRule="auto"/>
        <w:jc w:val="both"/>
        <w:rPr>
          <w:rFonts w:ascii="Times New Roman" w:cs="Times New Roman"/>
          <w:color w:val="000000" w:themeColor="text1"/>
          <w:spacing w:val="0"/>
          <w:sz w:val="16"/>
          <w:szCs w:val="16"/>
        </w:rPr>
      </w:pPr>
      <w:r w:rsidRPr="00640820">
        <w:rPr>
          <w:rFonts w:ascii="Times New Roman" w:cs="Times New Roman"/>
          <w:color w:val="000000" w:themeColor="text1"/>
          <w:spacing w:val="0"/>
          <w:sz w:val="16"/>
          <w:szCs w:val="16"/>
        </w:rPr>
        <w:t>Учитывая полученные результаты, ВИАМ получил задание срочно отработать более стойкую авиационную броню, защищающую от крупнокалиберных пуль. Экспериментами было установлено, что стальной сердечник пули ДК менее устойчив при ударе о броню повышенной твердости, чем сердечник пули Б-30 калибра 7,62 мм, и более эффективен при внедрении в танковую броню нормальной твердости. При вхождении в броню в сердеч</w:t>
      </w:r>
      <w:r w:rsidRPr="00640820">
        <w:rPr>
          <w:rFonts w:ascii="Times New Roman" w:cs="Times New Roman"/>
          <w:color w:val="000000" w:themeColor="text1"/>
          <w:spacing w:val="0"/>
          <w:sz w:val="16"/>
          <w:szCs w:val="16"/>
        </w:rPr>
        <w:softHyphen/>
        <w:t>нике пули возникали напряжения, и он в боль</w:t>
      </w:r>
      <w:r w:rsidRPr="00640820">
        <w:rPr>
          <w:rFonts w:ascii="Times New Roman" w:cs="Times New Roman"/>
          <w:color w:val="000000" w:themeColor="text1"/>
          <w:spacing w:val="0"/>
          <w:sz w:val="16"/>
          <w:szCs w:val="16"/>
        </w:rPr>
        <w:softHyphen/>
        <w:t>шинстве случаев разрушался. Величина этих напряжений не являлась постоянной и зависе</w:t>
      </w:r>
      <w:r w:rsidRPr="00640820">
        <w:rPr>
          <w:rFonts w:ascii="Times New Roman" w:cs="Times New Roman"/>
          <w:color w:val="000000" w:themeColor="text1"/>
          <w:spacing w:val="0"/>
          <w:sz w:val="16"/>
          <w:szCs w:val="16"/>
        </w:rPr>
        <w:softHyphen/>
        <w:t>ла от твердости брони. Для разрушения сер</w:t>
      </w:r>
      <w:r w:rsidRPr="00640820">
        <w:rPr>
          <w:rFonts w:ascii="Times New Roman" w:cs="Times New Roman"/>
          <w:color w:val="000000" w:themeColor="text1"/>
          <w:spacing w:val="0"/>
          <w:sz w:val="16"/>
          <w:szCs w:val="16"/>
        </w:rPr>
        <w:softHyphen/>
        <w:t>дечника пули ДК при внедрении в более твер</w:t>
      </w:r>
      <w:r w:rsidRPr="00640820">
        <w:rPr>
          <w:rFonts w:ascii="Times New Roman" w:cs="Times New Roman"/>
          <w:color w:val="000000" w:themeColor="text1"/>
          <w:spacing w:val="0"/>
          <w:sz w:val="16"/>
          <w:szCs w:val="16"/>
        </w:rPr>
        <w:softHyphen/>
        <w:t>дую броню требовались сравнительно мень</w:t>
      </w:r>
      <w:r w:rsidRPr="00640820">
        <w:rPr>
          <w:rFonts w:ascii="Times New Roman" w:cs="Times New Roman"/>
          <w:color w:val="000000" w:themeColor="text1"/>
          <w:spacing w:val="0"/>
          <w:sz w:val="16"/>
          <w:szCs w:val="16"/>
        </w:rPr>
        <w:softHyphen/>
        <w:t>шие усилия, чем для разрушения сердечника пули Б-30.</w:t>
      </w:r>
    </w:p>
    <w:p w14:paraId="225732CF" w14:textId="77777777" w:rsidR="00F26E86" w:rsidRPr="00640820" w:rsidRDefault="00F26E86" w:rsidP="00640820">
      <w:pPr>
        <w:pStyle w:val="45"/>
        <w:shd w:val="clear" w:color="auto" w:fill="auto"/>
        <w:spacing w:before="0" w:line="240" w:lineRule="auto"/>
        <w:jc w:val="both"/>
        <w:rPr>
          <w:rFonts w:ascii="Times New Roman" w:cs="Times New Roman"/>
          <w:color w:val="000000" w:themeColor="text1"/>
          <w:sz w:val="16"/>
          <w:szCs w:val="16"/>
        </w:rPr>
      </w:pPr>
      <w:r w:rsidRPr="00640820">
        <w:rPr>
          <w:rStyle w:val="4f0"/>
          <w:rFonts w:ascii="Times New Roman" w:hAnsi="Times New Roman" w:cs="Times New Roman"/>
          <w:i w:val="0"/>
          <w:color w:val="000000" w:themeColor="text1"/>
          <w:sz w:val="16"/>
          <w:szCs w:val="16"/>
        </w:rPr>
        <w:t>Делался следующий вывод:</w:t>
      </w:r>
      <w:r w:rsidRPr="00640820">
        <w:rPr>
          <w:rFonts w:ascii="Times New Roman" w:cs="Times New Roman"/>
          <w:color w:val="000000" w:themeColor="text1"/>
          <w:sz w:val="16"/>
          <w:szCs w:val="16"/>
        </w:rPr>
        <w:t xml:space="preserve"> «В то время как для пули Б-30 необходимо применение длительной, трудоемкой и дорогостоящей це</w:t>
      </w:r>
      <w:r w:rsidRPr="00640820">
        <w:rPr>
          <w:rFonts w:ascii="Times New Roman" w:cs="Times New Roman"/>
          <w:color w:val="000000" w:themeColor="text1"/>
          <w:sz w:val="16"/>
          <w:szCs w:val="16"/>
        </w:rPr>
        <w:softHyphen/>
        <w:t>ментации - против пули ДК с успехом может быть применена гомогенная броня повышен</w:t>
      </w:r>
      <w:r w:rsidRPr="00640820">
        <w:rPr>
          <w:rFonts w:ascii="Times New Roman" w:cs="Times New Roman"/>
          <w:color w:val="000000" w:themeColor="text1"/>
          <w:sz w:val="16"/>
          <w:szCs w:val="16"/>
        </w:rPr>
        <w:softHyphen/>
        <w:t>ной твердости или подцементованная броня с небольшим, легко получаемым науглероженным слоем».</w:t>
      </w:r>
    </w:p>
    <w:p w14:paraId="0644F509" w14:textId="77777777" w:rsidR="00F26E86" w:rsidRPr="00640820" w:rsidRDefault="00F26E86" w:rsidP="00640820">
      <w:pPr>
        <w:pStyle w:val="35"/>
        <w:shd w:val="clear" w:color="auto" w:fill="auto"/>
        <w:spacing w:after="0" w:line="240" w:lineRule="auto"/>
        <w:jc w:val="both"/>
        <w:rPr>
          <w:rFonts w:ascii="Times New Roman" w:cs="Times New Roman"/>
          <w:color w:val="000000" w:themeColor="text1"/>
          <w:spacing w:val="0"/>
          <w:sz w:val="16"/>
          <w:szCs w:val="16"/>
        </w:rPr>
      </w:pPr>
      <w:r w:rsidRPr="00640820">
        <w:rPr>
          <w:rFonts w:ascii="Times New Roman" w:cs="Times New Roman"/>
          <w:color w:val="000000" w:themeColor="text1"/>
          <w:spacing w:val="0"/>
          <w:sz w:val="16"/>
          <w:szCs w:val="16"/>
        </w:rPr>
        <w:t>На этом основании бронегруппой Скля</w:t>
      </w:r>
      <w:r w:rsidRPr="00640820">
        <w:rPr>
          <w:rFonts w:ascii="Times New Roman" w:cs="Times New Roman"/>
          <w:color w:val="000000" w:themeColor="text1"/>
          <w:spacing w:val="0"/>
          <w:sz w:val="16"/>
          <w:szCs w:val="16"/>
        </w:rPr>
        <w:softHyphen/>
        <w:t>рова были рассмотрены несколько вариантов брони против крупнокалиберных пуль на базе стали марки АБ-1 в гомогенном и подцементованном состоянии с максимально возможной твердостью. В результате подбора режимов обработки и уточнения химического состава брони удалось получить вполне удовлетвори</w:t>
      </w:r>
      <w:r w:rsidRPr="00640820">
        <w:rPr>
          <w:rFonts w:ascii="Times New Roman" w:cs="Times New Roman"/>
          <w:color w:val="000000" w:themeColor="text1"/>
          <w:spacing w:val="0"/>
          <w:sz w:val="16"/>
          <w:szCs w:val="16"/>
        </w:rPr>
        <w:softHyphen/>
        <w:t>тельные показатели стойкости при обстреле бронебойными пулями ДК.</w:t>
      </w:r>
    </w:p>
    <w:p w14:paraId="1E7918D6" w14:textId="77777777" w:rsidR="00F26E86" w:rsidRPr="00640820" w:rsidRDefault="00F26E86" w:rsidP="00640820">
      <w:pPr>
        <w:pStyle w:val="35"/>
        <w:shd w:val="clear" w:color="auto" w:fill="auto"/>
        <w:spacing w:after="0" w:line="240" w:lineRule="auto"/>
        <w:jc w:val="both"/>
        <w:rPr>
          <w:rFonts w:ascii="Times New Roman" w:cs="Times New Roman"/>
          <w:color w:val="000000" w:themeColor="text1"/>
          <w:spacing w:val="0"/>
          <w:sz w:val="16"/>
          <w:szCs w:val="16"/>
        </w:rPr>
      </w:pPr>
      <w:r w:rsidRPr="00640820">
        <w:rPr>
          <w:rFonts w:ascii="Times New Roman" w:cs="Times New Roman"/>
          <w:color w:val="000000" w:themeColor="text1"/>
          <w:spacing w:val="0"/>
          <w:sz w:val="16"/>
          <w:szCs w:val="16"/>
        </w:rPr>
        <w:t>Так, на дальности 50 м модернизированная бронесталь АБ-1 толщиной 15 мм удерживала пулю ДК при углах к нормали от 25' и выше, тол</w:t>
      </w:r>
      <w:r w:rsidRPr="00640820">
        <w:rPr>
          <w:rFonts w:ascii="Times New Roman" w:cs="Times New Roman"/>
          <w:color w:val="000000" w:themeColor="text1"/>
          <w:spacing w:val="0"/>
          <w:sz w:val="16"/>
          <w:szCs w:val="16"/>
        </w:rPr>
        <w:softHyphen/>
        <w:t>щиной 18 мм - 15', а с 500 м, соответственно, от 10° и 5°. То есть, новый вариант брони ока</w:t>
      </w:r>
      <w:r w:rsidRPr="00640820">
        <w:rPr>
          <w:rFonts w:ascii="Times New Roman" w:cs="Times New Roman"/>
          <w:color w:val="000000" w:themeColor="text1"/>
          <w:spacing w:val="0"/>
          <w:sz w:val="16"/>
          <w:szCs w:val="16"/>
        </w:rPr>
        <w:softHyphen/>
        <w:t>зался лучше цементованных броневых сталей при стрельбе с дистанции 50-100 м под углами к нормали и практически приближался к ним по стойкости на дистанциях 400-500 м. В подце- ментованном состоянии броня АБ-1 была пол</w:t>
      </w:r>
      <w:r w:rsidRPr="00640820">
        <w:rPr>
          <w:rFonts w:ascii="Times New Roman" w:cs="Times New Roman"/>
          <w:color w:val="000000" w:themeColor="text1"/>
          <w:spacing w:val="0"/>
          <w:sz w:val="16"/>
          <w:szCs w:val="16"/>
        </w:rPr>
        <w:softHyphen/>
        <w:t>ностью равноценна цементованной броне (15774).</w:t>
      </w:r>
    </w:p>
    <w:p w14:paraId="26BA96EC" w14:textId="77777777" w:rsidR="00F26E86" w:rsidRPr="00640820" w:rsidRDefault="00F26E86" w:rsidP="00640820">
      <w:pPr>
        <w:spacing w:after="0" w:line="240" w:lineRule="auto"/>
        <w:jc w:val="both"/>
        <w:rPr>
          <w:rFonts w:ascii="Times New Roman" w:hAnsi="Times New Roman"/>
          <w:color w:val="000000" w:themeColor="text1"/>
          <w:sz w:val="16"/>
          <w:szCs w:val="16"/>
        </w:rPr>
      </w:pPr>
    </w:p>
    <w:p w14:paraId="5F3C92A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 вопросами вооружения ближнего бомбардировщика Су-2 занялись и разработчики. Народному комиссару авиапромышленности А.И.Шахурину от замести</w:t>
      </w:r>
      <w:r w:rsidRPr="00640820">
        <w:rPr>
          <w:rFonts w:ascii="Times New Roman" w:hAnsi="Times New Roman"/>
          <w:color w:val="000000" w:themeColor="text1"/>
          <w:sz w:val="16"/>
          <w:szCs w:val="16"/>
        </w:rPr>
        <w:softHyphen/>
        <w:t>теля НКАП СССР А.И.Кузнецова от 5 декабря 1941 г.: «10-е управление ГУ ВВС КА сообщило, что на самолете Су-2 прошла испытания установ</w:t>
      </w:r>
      <w:r w:rsidRPr="00640820">
        <w:rPr>
          <w:rFonts w:ascii="Times New Roman" w:hAnsi="Times New Roman"/>
          <w:color w:val="000000" w:themeColor="text1"/>
          <w:sz w:val="16"/>
          <w:szCs w:val="16"/>
        </w:rPr>
        <w:softHyphen/>
        <w:t>ка РО-82, допускающая переход на РО-132». Директору завода №13? КУ~ зину с 1 ноября предписывалось «ввести ракетную установку под РС-82 в серию и выпускать все самолеты Су-2 оборудованными этими ракет</w:t>
      </w:r>
      <w:r w:rsidRPr="00640820">
        <w:rPr>
          <w:rFonts w:ascii="Times New Roman" w:hAnsi="Times New Roman"/>
          <w:color w:val="000000" w:themeColor="text1"/>
          <w:sz w:val="16"/>
          <w:szCs w:val="16"/>
        </w:rPr>
        <w:softHyphen/>
        <w:t>ными установками» (11402).</w:t>
      </w:r>
    </w:p>
    <w:p w14:paraId="31D3165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0CE3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осени 1941 г. из-за нехватки дюралюминия на серийные самолеты ДБ-3Ф стали устанавливать деревянные кабину штурмана, пол кабины пилота и хвостовой обтекатель (9528).</w:t>
      </w:r>
    </w:p>
    <w:p w14:paraId="2B76A0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10AA6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и зимой 1941 проводились летные испытания ДБ-3 с УПС, но из-за отсутствия аппаратуры и плохой погоды измерение взлетно-посадочных характеристик не проводилось. УПС применялась на части крыла при небольших расходах воздуха (431,60).</w:t>
      </w:r>
    </w:p>
    <w:p w14:paraId="10AC37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9E16B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года ДБ-3 дали "попробовать" пилоту британской миссии в Москве К.Е.Сли, летавшему на английских тяжелых бомбардировщиках. В своем отчете он отметил, что самолет имеет хороший обзор из кабины, нормально слушается рулей, может летать на одном двигателе и разворачиваться как в сторону работающего мотора, так и против. Главными недостатками были названы большие нагрузки на управление и недостаточная эффективность тормозов. Сли отдельно отметил необходимость частого использования триммеров, узнали, что правильные действия ими значительно снижают нагрузку на штурвал и педали (1727).</w:t>
      </w:r>
    </w:p>
    <w:p w14:paraId="17EAB4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226EC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в 81-й дальнебомбардировочной авиадивизии года проводились войсковые испытания с фосфорными зажигательными боеприпасами и дистанционно-управляемым оружием ДБ-3. Испытывались, в основном, устаревшие ТБ-З, превращенные в летающие бомбы. На них монтировались электромашинки, отклонявшие рули по радиокомандам с самолетов наведения СБ и ДБ-3, радиостанции которых были доработаны соответствующим образом. Аппаратура функционировала нормально, однако с потерей визуального контакт управление нарушалось - т.е. применить этот прообраз крылатых ракет можно было лишь в хорошую погоду, сбить "летающую бомбу" м чего не стоило, да и сам самолет наведения, "привязанный" к тихоходу-гиганту становился легко мишенью. (1727).</w:t>
      </w:r>
    </w:p>
    <w:p w14:paraId="4A401E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8D32A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 испытывался опытный образец истребителя Пе-3бис, оборудованный экранированной турелью ВУБ-1 конструкции И.И.Торопова под тот же пулемет БТ. Однако в серию этот вариант тогда не пошел. Введение ВУБ-1, в частности, требовало внесения серьезных изменений в конструкцию фюзеляжа, что могло замедлить производство и приводило к потере скорости (3542).</w:t>
      </w:r>
    </w:p>
    <w:p w14:paraId="78103F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Весной 1942 г., на 39 заводе раньше чем на заводе № 22, перешли к применению ВУБ-1. Последняя монтировалась и на истребителях Пе-Збис, сменивших к этому времени Пе-3, и на немногочисленных Пе-2, строившихся на заводе № 39 (3542).</w:t>
      </w:r>
    </w:p>
    <w:p w14:paraId="226C03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4C374B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осени 1941 г. принятые меры по совершенствованию вооружения несколько сократили потери Пе-2. Хотя, в большей степени их динамику можно отнести на счёт снизив</w:t>
      </w:r>
      <w:r w:rsidRPr="00640820">
        <w:rPr>
          <w:rFonts w:ascii="Times New Roman" w:hAnsi="Times New Roman"/>
          <w:color w:val="000000" w:themeColor="text1"/>
          <w:sz w:val="16"/>
          <w:szCs w:val="16"/>
        </w:rPr>
        <w:softHyphen/>
        <w:t>шейся активности немецких истребителей. Успехи первых месяцев войны дались им не</w:t>
      </w:r>
      <w:r w:rsidRPr="00640820">
        <w:rPr>
          <w:rFonts w:ascii="Times New Roman" w:hAnsi="Times New Roman"/>
          <w:color w:val="000000" w:themeColor="text1"/>
          <w:sz w:val="16"/>
          <w:szCs w:val="16"/>
        </w:rPr>
        <w:softHyphen/>
        <w:t>легко, наступательный пыл скоро выдохся, а стремительный «блицкриг» сменился за</w:t>
      </w:r>
      <w:r w:rsidRPr="00640820">
        <w:rPr>
          <w:rFonts w:ascii="Times New Roman" w:hAnsi="Times New Roman"/>
          <w:color w:val="000000" w:themeColor="text1"/>
          <w:sz w:val="16"/>
          <w:szCs w:val="16"/>
        </w:rPr>
        <w:softHyphen/>
        <w:t>тяжными боями. Истребительные эскадры люфтваффе к концу октября лишились 1527 машин, а получили с начала войны на Восто</w:t>
      </w:r>
      <w:r w:rsidRPr="00640820">
        <w:rPr>
          <w:rFonts w:ascii="Times New Roman" w:hAnsi="Times New Roman"/>
          <w:color w:val="000000" w:themeColor="text1"/>
          <w:sz w:val="16"/>
          <w:szCs w:val="16"/>
        </w:rPr>
        <w:softHyphen/>
        <w:t>ке лишь 1079. Тем не менее, немцы были ещё очень сильны. В 133-м сбап, вступившем в бой 15 сентября 1941 г. с 23 Пе-2, спустя че</w:t>
      </w:r>
      <w:r w:rsidRPr="00640820">
        <w:rPr>
          <w:rFonts w:ascii="Times New Roman" w:hAnsi="Times New Roman"/>
          <w:color w:val="000000" w:themeColor="text1"/>
          <w:sz w:val="16"/>
          <w:szCs w:val="16"/>
        </w:rPr>
        <w:softHyphen/>
        <w:t>тыре месяца осталось всего 9 самолётов. 603-й сбап, начавший воевать 15 октября, за три месяца утратил 14 бомбардировщи</w:t>
      </w:r>
      <w:r w:rsidRPr="00640820">
        <w:rPr>
          <w:rFonts w:ascii="Times New Roman" w:hAnsi="Times New Roman"/>
          <w:color w:val="000000" w:themeColor="text1"/>
          <w:sz w:val="16"/>
          <w:szCs w:val="16"/>
        </w:rPr>
        <w:softHyphen/>
        <w:t>ков из 24. Все его потери были боевыми, в основном от истребителей. Две трети потерь ББ относились к первым 40 дням войны (значительную их часть со</w:t>
      </w:r>
      <w:r w:rsidRPr="00640820">
        <w:rPr>
          <w:rFonts w:ascii="Times New Roman" w:hAnsi="Times New Roman"/>
          <w:color w:val="000000" w:themeColor="text1"/>
          <w:sz w:val="16"/>
          <w:szCs w:val="16"/>
        </w:rPr>
        <w:softHyphen/>
        <w:t>ставили наиболее массовые СБ, слабо воо</w:t>
      </w:r>
      <w:r w:rsidRPr="00640820">
        <w:rPr>
          <w:rFonts w:ascii="Times New Roman" w:hAnsi="Times New Roman"/>
          <w:color w:val="000000" w:themeColor="text1"/>
          <w:sz w:val="16"/>
          <w:szCs w:val="16"/>
        </w:rPr>
        <w:softHyphen/>
        <w:t>ружённые скоростные бомбардировщики Як-2 и Як-4, выбитые практически полно</w:t>
      </w:r>
      <w:r w:rsidRPr="00640820">
        <w:rPr>
          <w:rFonts w:ascii="Times New Roman" w:hAnsi="Times New Roman"/>
          <w:color w:val="000000" w:themeColor="text1"/>
          <w:sz w:val="16"/>
          <w:szCs w:val="16"/>
        </w:rPr>
        <w:softHyphen/>
        <w:t>стью, а также одномоторные Су-2). Доля «пешек» в совокупных боевых потерях за полгода не превысила пятой части (522 Пе-2). До конца 1941 г. заводы НКАП произве</w:t>
      </w:r>
      <w:r w:rsidRPr="00640820">
        <w:rPr>
          <w:rFonts w:ascii="Times New Roman" w:hAnsi="Times New Roman"/>
          <w:color w:val="000000" w:themeColor="text1"/>
          <w:sz w:val="16"/>
          <w:szCs w:val="16"/>
        </w:rPr>
        <w:softHyphen/>
        <w:t>ли 1671 Пе-2, но далеко не все они успели по</w:t>
      </w:r>
      <w:r w:rsidRPr="00640820">
        <w:rPr>
          <w:rFonts w:ascii="Times New Roman" w:hAnsi="Times New Roman"/>
          <w:color w:val="000000" w:themeColor="text1"/>
          <w:sz w:val="16"/>
          <w:szCs w:val="16"/>
        </w:rPr>
        <w:softHyphen/>
        <w:t>пасть в строевые части (11392).</w:t>
      </w:r>
    </w:p>
    <w:p w14:paraId="7960C13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E0E15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осени 1941 г. принятые меры несколько сократили потери Пе-2. Хотя, в большей степени их динамику мож</w:t>
      </w:r>
      <w:r w:rsidRPr="00640820">
        <w:rPr>
          <w:rFonts w:ascii="Times New Roman" w:hAnsi="Times New Roman"/>
          <w:color w:val="000000" w:themeColor="text1"/>
          <w:sz w:val="16"/>
          <w:szCs w:val="16"/>
        </w:rPr>
        <w:softHyphen/>
        <w:t>но отнести на счёт снизившейся ак</w:t>
      </w:r>
      <w:r w:rsidRPr="00640820">
        <w:rPr>
          <w:rFonts w:ascii="Times New Roman" w:hAnsi="Times New Roman"/>
          <w:color w:val="000000" w:themeColor="text1"/>
          <w:sz w:val="16"/>
          <w:szCs w:val="16"/>
        </w:rPr>
        <w:softHyphen/>
        <w:t>тивности немецких истребителей. Успехи первых месяцев войны дались им нелегко, наступательный пыл ско</w:t>
      </w:r>
      <w:r w:rsidRPr="00640820">
        <w:rPr>
          <w:rFonts w:ascii="Times New Roman" w:hAnsi="Times New Roman"/>
          <w:color w:val="000000" w:themeColor="text1"/>
          <w:sz w:val="16"/>
          <w:szCs w:val="16"/>
        </w:rPr>
        <w:softHyphen/>
        <w:t>ро выдохся, а стремительный «блиц</w:t>
      </w:r>
      <w:r w:rsidRPr="00640820">
        <w:rPr>
          <w:rFonts w:ascii="Times New Roman" w:hAnsi="Times New Roman"/>
          <w:color w:val="000000" w:themeColor="text1"/>
          <w:sz w:val="16"/>
          <w:szCs w:val="16"/>
        </w:rPr>
        <w:softHyphen/>
        <w:t>криг» сменился затяжными боями. Ис</w:t>
      </w:r>
      <w:r w:rsidRPr="00640820">
        <w:rPr>
          <w:rFonts w:ascii="Times New Roman" w:hAnsi="Times New Roman"/>
          <w:color w:val="000000" w:themeColor="text1"/>
          <w:sz w:val="16"/>
          <w:szCs w:val="16"/>
        </w:rPr>
        <w:softHyphen/>
        <w:t>требительные эскадры люфтваффе к концу октября лишились 1527 машин, а получили с начала войны на Вос</w:t>
      </w:r>
      <w:r w:rsidRPr="00640820">
        <w:rPr>
          <w:rFonts w:ascii="Times New Roman" w:hAnsi="Times New Roman"/>
          <w:color w:val="000000" w:themeColor="text1"/>
          <w:sz w:val="16"/>
          <w:szCs w:val="16"/>
        </w:rPr>
        <w:softHyphen/>
        <w:t>токе лишь 1079. Тем не менее, нем</w:t>
      </w:r>
      <w:r w:rsidRPr="00640820">
        <w:rPr>
          <w:rFonts w:ascii="Times New Roman" w:hAnsi="Times New Roman"/>
          <w:color w:val="000000" w:themeColor="text1"/>
          <w:sz w:val="16"/>
          <w:szCs w:val="16"/>
        </w:rPr>
        <w:softHyphen/>
        <w:t>цы были ещё очень сильны. В 133-м сбап, вступившем в бой 15 сентября 1941 г. с 23 Пе-2, спустя четыре месяца осталось всего 9 самолётов. 603-й сбап, начавший воевать 15 октября, за три месяца утратил 14 бомбардировщиков из 24. Все его потери были боевыми, в основном от истребителей.</w:t>
      </w:r>
    </w:p>
    <w:p w14:paraId="4131FE1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Две трети потерь ББ относились к первым 40 дням войны (значитель</w:t>
      </w:r>
      <w:r w:rsidRPr="00640820">
        <w:rPr>
          <w:rFonts w:ascii="Times New Roman" w:hAnsi="Times New Roman"/>
          <w:color w:val="000000" w:themeColor="text1"/>
          <w:sz w:val="16"/>
          <w:szCs w:val="16"/>
        </w:rPr>
        <w:softHyphen/>
        <w:t>ную их часть составили наиболее массовые СБ, слабо вооружённые скоростные бомбардировщики Як-2 и Як-4, выбитые практически полно</w:t>
      </w:r>
      <w:r w:rsidRPr="00640820">
        <w:rPr>
          <w:rFonts w:ascii="Times New Roman" w:hAnsi="Times New Roman"/>
          <w:color w:val="000000" w:themeColor="text1"/>
          <w:sz w:val="16"/>
          <w:szCs w:val="16"/>
        </w:rPr>
        <w:softHyphen/>
        <w:t>стью, а также одномоторные Су-2). Доля «пешек» в совокупных боевых потерях за полгода не превысила пятой части (522 Пе-2). До конца 1941 г. заводы НКАП произвели 1671 Пе-2, но далеко не все они успели попасть в строевые части (11432).</w:t>
      </w:r>
    </w:p>
    <w:p w14:paraId="35EE256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851C1B" w14:textId="77777777" w:rsidR="00432749" w:rsidRPr="00640820" w:rsidRDefault="00432749"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 осени 1941 г. на Пе-2 изменили способ соединения листов обшивки фюзеляжа — стали делать не встык на широких профилях клепкой впотай, а внахлест «на весу» без подкладки профилей и заклепками с чечевичной головкой (22827).</w:t>
      </w:r>
    </w:p>
    <w:p w14:paraId="6E942AD2" w14:textId="77777777" w:rsidR="00432749" w:rsidRPr="00640820" w:rsidRDefault="00432749" w:rsidP="00640820">
      <w:pPr>
        <w:spacing w:after="0" w:line="240" w:lineRule="auto"/>
        <w:jc w:val="both"/>
        <w:rPr>
          <w:rFonts w:ascii="Times New Roman" w:hAnsi="Times New Roman"/>
          <w:color w:val="0070C0"/>
          <w:sz w:val="16"/>
          <w:szCs w:val="16"/>
        </w:rPr>
      </w:pPr>
    </w:p>
    <w:p w14:paraId="0C1EBB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осени 1941 г. ОКБ-22 неоднократно проводило испытания стрелковых установок, предназначенных для усиления огня “пешки” в верхней задней полусфере. Так, на самолете № 9/9 испытывалась спарка пулеметов ШКАС, смонтированных под полусферическим экраном в астролюке стрелка-радиста (4476).</w:t>
      </w:r>
    </w:p>
    <w:p w14:paraId="12140B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601C50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 с 48-й серии пришлось сократить часть остекле</w:t>
      </w:r>
      <w:r w:rsidRPr="00640820">
        <w:rPr>
          <w:rFonts w:ascii="Times New Roman" w:hAnsi="Times New Roman"/>
          <w:color w:val="000000" w:themeColor="text1"/>
          <w:sz w:val="16"/>
          <w:szCs w:val="16"/>
        </w:rPr>
        <w:softHyphen/>
        <w:t>ния в нижней носовой части фюзе</w:t>
      </w:r>
      <w:r w:rsidRPr="00640820">
        <w:rPr>
          <w:rFonts w:ascii="Times New Roman" w:hAnsi="Times New Roman"/>
          <w:color w:val="000000" w:themeColor="text1"/>
          <w:sz w:val="16"/>
          <w:szCs w:val="16"/>
        </w:rPr>
        <w:softHyphen/>
        <w:t>ляжа, ликвидировать пару окон у стрелка, а также заменить прозрач</w:t>
      </w:r>
      <w:r w:rsidRPr="00640820">
        <w:rPr>
          <w:rFonts w:ascii="Times New Roman" w:hAnsi="Times New Roman"/>
          <w:color w:val="000000" w:themeColor="text1"/>
          <w:sz w:val="16"/>
          <w:szCs w:val="16"/>
        </w:rPr>
        <w:softHyphen/>
        <w:t>ную «черепаху» дюралевой (11432).</w:t>
      </w:r>
    </w:p>
    <w:p w14:paraId="2CEFE79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9494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года ОКБ Незваля приступило к первым работам по переводу ТБ-7 на новый тип двигателей. Для сокращения времени проектирования решено было взять с минимальными доработками силовую установку разработанную для Су-2 М-82. Документацию на нее ОКБ получило от ильюшинцев, которые также просматривали возможность установки на свой штурмовик М-82. Получив чертежи установки М-82 на Су-2, ОКБ проделало в короткое время всю необходимую работу по приспособлению конструкции Пе-8 под новые двигатели. От Су-2 были использованы узлы подвески двигателя, его капотирование, система охлаждения и выхлопа. В производстве были изготовлены для первого самолета с М-82 необходимая оснастка для сварки моторных рам, для изготовления элементов и сборки капотов (7685).</w:t>
      </w:r>
    </w:p>
    <w:p w14:paraId="010FDE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8DCEB6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 при подготовке к серийному производству машины «103» на заводе № 22 в Казани (оно должно было начаться с 1 января 1942 г.) А.Н.Туполев принял неожиданное решение об оснащении бомбардировщика моторами воздуш</w:t>
      </w:r>
      <w:r w:rsidRPr="00640820">
        <w:rPr>
          <w:rFonts w:ascii="Times New Roman" w:hAnsi="Times New Roman"/>
          <w:color w:val="000000" w:themeColor="text1"/>
          <w:sz w:val="16"/>
          <w:szCs w:val="16"/>
        </w:rPr>
        <w:softHyphen/>
        <w:t>ного охлаждения М—82А. По оценкам специалистов туполевского КБ, у самолета с М—82А повышалась живучесть, улучшались взлетные характеристики, увеличивалась дальность полета и, самое главное, повышались горизонтальные скорости до высоты 3000 м, что и требовалось для фронтового бомбарди</w:t>
      </w:r>
      <w:r w:rsidRPr="00640820">
        <w:rPr>
          <w:rFonts w:ascii="Times New Roman" w:hAnsi="Times New Roman"/>
          <w:color w:val="000000" w:themeColor="text1"/>
          <w:sz w:val="16"/>
          <w:szCs w:val="16"/>
        </w:rPr>
        <w:softHyphen/>
        <w:t>ровщика. Беспристрастный анализ последствий, да и вся история внедрения Ту—2 в серию свидетельству</w:t>
      </w:r>
      <w:r w:rsidRPr="00640820">
        <w:rPr>
          <w:rFonts w:ascii="Times New Roman" w:hAnsi="Times New Roman"/>
          <w:color w:val="000000" w:themeColor="text1"/>
          <w:sz w:val="16"/>
          <w:szCs w:val="16"/>
        </w:rPr>
        <w:softHyphen/>
        <w:t>ют об ошибочности принятого решения. С моторами А.Д.Швецова комплекс летно-технических характе</w:t>
      </w:r>
      <w:r w:rsidRPr="00640820">
        <w:rPr>
          <w:rFonts w:ascii="Times New Roman" w:hAnsi="Times New Roman"/>
          <w:color w:val="000000" w:themeColor="text1"/>
          <w:sz w:val="16"/>
          <w:szCs w:val="16"/>
        </w:rPr>
        <w:softHyphen/>
        <w:t>ристик туполевского бомбардировщика ухудшился, быть может, за исключением живучести. Впрочем, эта история интересует нас лишь в связи с судьбой мотора АМ—37 (9984).</w:t>
      </w:r>
    </w:p>
    <w:p w14:paraId="2E3FC69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B2F4BC" w14:textId="77777777" w:rsidR="00984372" w:rsidRPr="00640820" w:rsidRDefault="00984372" w:rsidP="00640820">
      <w:pPr>
        <w:pStyle w:val="ae"/>
        <w:shd w:val="clear" w:color="auto" w:fill="FFFFFF"/>
        <w:spacing w:before="0" w:after="0"/>
        <w:jc w:val="both"/>
        <w:rPr>
          <w:color w:val="000000" w:themeColor="text1"/>
          <w:sz w:val="16"/>
          <w:szCs w:val="16"/>
        </w:rPr>
      </w:pPr>
      <w:r w:rsidRPr="00640820">
        <w:rPr>
          <w:color w:val="000000" w:themeColor="text1"/>
          <w:sz w:val="16"/>
          <w:szCs w:val="16"/>
        </w:rPr>
        <w:t>Осенью 1941 года была выпущена небольшая серия истребителей ЛаГГ-3, вооруженных пушками МП-6, которые приняли участие в боях, а некоторые даже дожили до 1943 года (19193).</w:t>
      </w:r>
    </w:p>
    <w:p w14:paraId="6F63B4A0" w14:textId="77777777" w:rsidR="00984372" w:rsidRPr="00640820" w:rsidRDefault="00984372" w:rsidP="00640820">
      <w:pPr>
        <w:spacing w:after="0" w:line="240" w:lineRule="auto"/>
        <w:jc w:val="both"/>
        <w:rPr>
          <w:rFonts w:ascii="Times New Roman" w:hAnsi="Times New Roman"/>
          <w:color w:val="000000" w:themeColor="text1"/>
          <w:sz w:val="16"/>
          <w:szCs w:val="16"/>
        </w:rPr>
      </w:pPr>
    </w:p>
    <w:p w14:paraId="5F1540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успешно прошел войсковые испытания К-37 Гудкова - ЛаГГ-3 с 37-мм пушкой Ш-37 Шпитального. Решили выпустить небольшую серию (3241,3).</w:t>
      </w:r>
    </w:p>
    <w:p w14:paraId="4D4FE2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CA582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1941-го построили да Гу-82, и первый из них на летных испытаниях показал скорость 573 км/ч, что было чуть больше чем у "ЛаГГа", зато дальность полета получилась намного выше. Вооружение первого Гу-82 должно было состоять из четырех пулеметов. На второй машине предусмотрели две пушки ШВАК и пару крупнокалиберных пулеметов БС. Завидная огневая мощь (7682,3)</w:t>
      </w:r>
    </w:p>
    <w:p w14:paraId="4488E5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2E162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Осенью 1941 года на заводе № 301 в подмосковных Химках, незадолго до эвакуации предприятия на восток страны, построили два Гу-82. Первый из них на летных испытаниях показал максимальную скорость 573 км/ч, что было чуть меньше чем у "ЛаГГа", зато дальность получалась выше. Вооружение первого Гу-82 должно было состоять из четырех пулеметов (по парс БС и </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11</w:t>
      </w:r>
      <w:r w:rsidRPr="00640820">
        <w:rPr>
          <w:rFonts w:ascii="Times New Roman" w:hAnsi="Times New Roman"/>
          <w:color w:val="000000" w:themeColor="text1"/>
          <w:sz w:val="16"/>
          <w:szCs w:val="16"/>
          <w:lang w:val="en-US"/>
        </w:rPr>
        <w:t>KAC</w:t>
      </w:r>
      <w:r w:rsidRPr="00640820">
        <w:rPr>
          <w:rFonts w:ascii="Times New Roman" w:hAnsi="Times New Roman"/>
          <w:color w:val="000000" w:themeColor="text1"/>
          <w:sz w:val="16"/>
          <w:szCs w:val="16"/>
        </w:rPr>
        <w:t>), но на испытания он поступил без ШКАСов, а БСы не имели стволов. На второй машине предусмотрели две 20-миллиметровых пушки ШВАК и пару пулеметов БС (12032).</w:t>
      </w:r>
    </w:p>
    <w:p w14:paraId="2B94DA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87D065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осени 1941 на заводе и в НИП АВ прошли ис</w:t>
      </w:r>
      <w:r w:rsidRPr="00640820">
        <w:rPr>
          <w:rFonts w:ascii="Times New Roman" w:hAnsi="Times New Roman"/>
          <w:color w:val="000000" w:themeColor="text1"/>
          <w:sz w:val="16"/>
          <w:szCs w:val="16"/>
        </w:rPr>
        <w:softHyphen/>
        <w:t>пытания МиГи с несколькими вариантами стрелкового вооружения. По мнению Микояна, перспектив</w:t>
      </w:r>
      <w:r w:rsidRPr="00640820">
        <w:rPr>
          <w:rFonts w:ascii="Times New Roman" w:hAnsi="Times New Roman"/>
          <w:color w:val="000000" w:themeColor="text1"/>
          <w:sz w:val="16"/>
          <w:szCs w:val="16"/>
        </w:rPr>
        <w:softHyphen/>
        <w:t>ной для серии являлась машина зав. № 4350, у кото</w:t>
      </w:r>
      <w:r w:rsidRPr="00640820">
        <w:rPr>
          <w:rFonts w:ascii="Times New Roman" w:hAnsi="Times New Roman"/>
          <w:color w:val="000000" w:themeColor="text1"/>
          <w:sz w:val="16"/>
          <w:szCs w:val="16"/>
        </w:rPr>
        <w:softHyphen/>
        <w:t>рой изменили схему вооружения: сверху поставили ШКАС с боезапасом 600 патронов, а слева и справа смонтировали два БС, обеспечив их 180 и 270 патро</w:t>
      </w:r>
      <w:r w:rsidRPr="00640820">
        <w:rPr>
          <w:rFonts w:ascii="Times New Roman" w:hAnsi="Times New Roman"/>
          <w:color w:val="000000" w:themeColor="text1"/>
          <w:sz w:val="16"/>
          <w:szCs w:val="16"/>
        </w:rPr>
        <w:softHyphen/>
        <w:t>нами, соответственно. Этот МиГ—3 рассматривался как эталон по вооружению для последующих серий</w:t>
      </w:r>
      <w:r w:rsidRPr="00640820">
        <w:rPr>
          <w:rFonts w:ascii="Times New Roman" w:hAnsi="Times New Roman"/>
          <w:color w:val="000000" w:themeColor="text1"/>
          <w:sz w:val="16"/>
          <w:szCs w:val="16"/>
        </w:rPr>
        <w:softHyphen/>
        <w:t>ных истребителей. Однако испытания истребителя завершились не</w:t>
      </w:r>
      <w:r w:rsidRPr="00640820">
        <w:rPr>
          <w:rFonts w:ascii="Times New Roman" w:hAnsi="Times New Roman"/>
          <w:color w:val="000000" w:themeColor="text1"/>
          <w:sz w:val="16"/>
          <w:szCs w:val="16"/>
        </w:rPr>
        <w:softHyphen/>
        <w:t>удачно, прежде всего из-за ненадежной работы всех синхронных установок. Многочисленные задержки при стрельбе, слабость крепления кронштейнов син</w:t>
      </w:r>
      <w:r w:rsidRPr="00640820">
        <w:rPr>
          <w:rFonts w:ascii="Times New Roman" w:hAnsi="Times New Roman"/>
          <w:color w:val="000000" w:themeColor="text1"/>
          <w:sz w:val="16"/>
          <w:szCs w:val="16"/>
        </w:rPr>
        <w:softHyphen/>
        <w:t>хронных тяг к деталям планера, многочисленные случаи ударов выброшенных гильз о стабилизатор — все это привело к отрицательному заключению по самолету, которое подписал начальник одного из от</w:t>
      </w:r>
      <w:r w:rsidRPr="00640820">
        <w:rPr>
          <w:rFonts w:ascii="Times New Roman" w:hAnsi="Times New Roman"/>
          <w:color w:val="000000" w:themeColor="text1"/>
          <w:sz w:val="16"/>
          <w:szCs w:val="16"/>
        </w:rPr>
        <w:softHyphen/>
        <w:t>делов НИП АВ инженер Лобачев. Более успешно прошел испытания МиГ—3 зав. № 4902, на котором смонтировали два синхронных пулемета УБС (с общим боезапасом 700 патронов). Под руководством инженера Ивашечкина с 27 сентя</w:t>
      </w:r>
      <w:r w:rsidRPr="00640820">
        <w:rPr>
          <w:rFonts w:ascii="Times New Roman" w:hAnsi="Times New Roman"/>
          <w:color w:val="000000" w:themeColor="text1"/>
          <w:sz w:val="16"/>
          <w:szCs w:val="16"/>
        </w:rPr>
        <w:softHyphen/>
        <w:t>бря по 4 октября были проведены многочисленные отстрелы оружия на земле и в воздухе. К сожалению, снова не обошлось без критических замечаний в ад</w:t>
      </w:r>
      <w:r w:rsidRPr="00640820">
        <w:rPr>
          <w:rFonts w:ascii="Times New Roman" w:hAnsi="Times New Roman"/>
          <w:color w:val="000000" w:themeColor="text1"/>
          <w:sz w:val="16"/>
          <w:szCs w:val="16"/>
        </w:rPr>
        <w:softHyphen/>
        <w:t>рес оружия, смонтированного на МиГе. Все дефекты условно можно было разделить на две группы: связанные с отказами установок при стрельбе и усложнявшие эксплуатацию истребителя на фронте. Оба списка содержали важные замечания, требовавшие срочного устранения. Летавший на МиГ—3 в разное время суток старший лейтенант Воробьев отметил желательность ввода в боекомп</w:t>
      </w:r>
      <w:r w:rsidRPr="00640820">
        <w:rPr>
          <w:rFonts w:ascii="Times New Roman" w:hAnsi="Times New Roman"/>
          <w:color w:val="000000" w:themeColor="text1"/>
          <w:sz w:val="16"/>
          <w:szCs w:val="16"/>
        </w:rPr>
        <w:softHyphen/>
        <w:t>лект трассирующих патронов, а также разработки бо</w:t>
      </w:r>
      <w:r w:rsidRPr="00640820">
        <w:rPr>
          <w:rFonts w:ascii="Times New Roman" w:hAnsi="Times New Roman"/>
          <w:color w:val="000000" w:themeColor="text1"/>
          <w:sz w:val="16"/>
          <w:szCs w:val="16"/>
        </w:rPr>
        <w:softHyphen/>
        <w:t>лее эффективных пламегасителей, поскольку иначе ночью летчика ослепляло пламя выхлопов (9984).</w:t>
      </w:r>
    </w:p>
    <w:p w14:paraId="3F68787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E15C2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осени 1941 г. МиГ-3 получили «именные» ракетно-орудийные батареи 3РОБ-82, на которых сблокировали по три орудия в одном пусковом агрегате. Но до конца го</w:t>
      </w:r>
      <w:r w:rsidRPr="00640820">
        <w:rPr>
          <w:rFonts w:ascii="Times New Roman" w:hAnsi="Times New Roman"/>
          <w:color w:val="000000" w:themeColor="text1"/>
          <w:sz w:val="16"/>
          <w:szCs w:val="16"/>
        </w:rPr>
        <w:softHyphen/>
        <w:t>да, в связи с запуском в производство машин с 12,7-мм крыльевыми пу</w:t>
      </w:r>
      <w:r w:rsidRPr="00640820">
        <w:rPr>
          <w:rFonts w:ascii="Times New Roman" w:hAnsi="Times New Roman"/>
          <w:color w:val="000000" w:themeColor="text1"/>
          <w:sz w:val="16"/>
          <w:szCs w:val="16"/>
        </w:rPr>
        <w:softHyphen/>
        <w:t>леметами БК, пусковые реактивных систем пришлось ограничить ракетно-орудийными батареями 2РОБ-82. Таким образом, варианты реактивного вооружения МиГ-3, в отличие от отечественных истребителей других марок, были обусловлены не «полковой самодеятельностью», а стро</w:t>
      </w:r>
      <w:r w:rsidRPr="00640820">
        <w:rPr>
          <w:rFonts w:ascii="Times New Roman" w:hAnsi="Times New Roman"/>
          <w:color w:val="000000" w:themeColor="text1"/>
          <w:sz w:val="16"/>
          <w:szCs w:val="16"/>
        </w:rPr>
        <w:softHyphen/>
        <w:t>го регламентированы конструкторами машины.</w:t>
      </w:r>
    </w:p>
    <w:p w14:paraId="5199C4A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Кстати, в книге Ф.П.Полынина «Боевые маршруты» упоминается, что на фронте испытывали модернизированный самолет МиГ-3. На серийных машинах стоял высотный мотор АМ-35А, не обеспечивавший требуемой мощности на малых высотах. Зная это, инженер полка В.А.Алексеенко, инженер Ф.А.Шалин и техник В.И.Шурыгин решили поставить на самолет более мощный мотор АМ-38 со штурмовика Ил-2, да, кроме того, шесть РС.</w:t>
      </w:r>
    </w:p>
    <w:p w14:paraId="1319E4C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Между тем уменьшенный ракетный боезапас позволял не менее успешно решать боевые задачи. Вот как выглядела воздушная дуэль четырех истребителей МиГ-3 с превосходящими силами противника на лучших крылатых машинах люфтваффе в воспоминаниях Н.Ф.Кузнецова в книге «Фронт над землей»: «мессершмитты-110» - многоцелевые бронированные и хорошо вооруженные машины. Их было около трех десятков, и они ; уже перестраивались для захода на штурмовку, когда мы пошли на них в атаку. Во время разведки звено не израсходовало ни одного снаряда, и те</w:t>
      </w:r>
      <w:r w:rsidRPr="00640820">
        <w:rPr>
          <w:rFonts w:ascii="Times New Roman" w:hAnsi="Times New Roman"/>
          <w:color w:val="000000" w:themeColor="text1"/>
          <w:sz w:val="16"/>
          <w:szCs w:val="16"/>
        </w:rPr>
        <w:softHyphen/>
        <w:t>перь нетронутый боекомплект оказался как нельзя кстати. Не сговарива</w:t>
      </w:r>
      <w:r w:rsidRPr="00640820">
        <w:rPr>
          <w:rFonts w:ascii="Times New Roman" w:hAnsi="Times New Roman"/>
          <w:color w:val="000000" w:themeColor="text1"/>
          <w:sz w:val="16"/>
          <w:szCs w:val="16"/>
        </w:rPr>
        <w:softHyphen/>
        <w:t>ясь, все трое нажали на кнопки залпового пуска РС. Двенадцать языков пламени вырвалось из-под крыльев наших машин (на машине автора не сработала электроцепь). Два Ме-110, растерзанные РС, упали» (11402).</w:t>
      </w:r>
    </w:p>
    <w:p w14:paraId="636A834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3B2498" w14:textId="77777777" w:rsidR="00984372" w:rsidRPr="00640820" w:rsidRDefault="00984372" w:rsidP="00640820">
      <w:pPr>
        <w:pStyle w:val="rtejustify"/>
        <w:shd w:val="clear" w:color="auto" w:fill="FFFFFF"/>
        <w:spacing w:before="0" w:after="0"/>
        <w:rPr>
          <w:color w:val="000000" w:themeColor="text1"/>
          <w:sz w:val="16"/>
          <w:szCs w:val="16"/>
        </w:rPr>
      </w:pPr>
      <w:r w:rsidRPr="00640820">
        <w:rPr>
          <w:color w:val="000000" w:themeColor="text1"/>
          <w:sz w:val="16"/>
          <w:szCs w:val="16"/>
        </w:rPr>
        <w:t>Осенью 1941 года «своим ходом» Нортроп 2ED вместе с ЛИИ НКАП отправился в эвакуацию. Использовали ли его во время войны – неизвестно. Но обратно в Жуковский не взяли – так он и сгнил где-то на обочине летного поля (19168).</w:t>
      </w:r>
    </w:p>
    <w:p w14:paraId="5FF7A0FA" w14:textId="77777777" w:rsidR="00984372" w:rsidRPr="00640820" w:rsidRDefault="00984372" w:rsidP="00640820">
      <w:pPr>
        <w:spacing w:after="0" w:line="240" w:lineRule="auto"/>
        <w:jc w:val="both"/>
        <w:rPr>
          <w:rFonts w:ascii="Times New Roman" w:hAnsi="Times New Roman"/>
          <w:color w:val="000000" w:themeColor="text1"/>
          <w:sz w:val="16"/>
          <w:szCs w:val="16"/>
        </w:rPr>
      </w:pPr>
    </w:p>
    <w:p w14:paraId="39E774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 немцы блокировали Ленинград и продолжение работ по авиадизелям М-40Ф на Кировском заводе стало невозможным. Харьковский тракторный был полностью переориентирован на выпуск танков Т-34 и дизелей В-2 к ним. По этим причинам программа М-40Ф была свернута (3322,36).</w:t>
      </w:r>
    </w:p>
    <w:p w14:paraId="7F77ED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6F0868D"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1941-го КБ Гудкова эвакуировали в Новосибирск на завод №153, но там он пробыл недолго и в декабре Михаила Ивановича направили в Горький для внедрения в серию самолетов Гу-82 и Гу-37. Но этого не произошло. Рассказывают, что Лавочкин, воспользовавшись своим служебным положением, не подписал пропуск Гудкову, оставив своего бывшего единомышленника за воротами предприятия. Одного этого действия достаточно, чтобы перечеркнуть написанный журналистами и писателями "портрет тихого интеллигента" Лавочкина (15558).</w:t>
      </w:r>
    </w:p>
    <w:p w14:paraId="4466B20E" w14:textId="77777777" w:rsidR="00F26E86" w:rsidRPr="00640820" w:rsidRDefault="00F26E86" w:rsidP="00640820">
      <w:pPr>
        <w:spacing w:after="0" w:line="240" w:lineRule="auto"/>
        <w:jc w:val="both"/>
        <w:rPr>
          <w:rFonts w:ascii="Times New Roman" w:hAnsi="Times New Roman"/>
          <w:color w:val="000000" w:themeColor="text1"/>
          <w:sz w:val="16"/>
          <w:szCs w:val="16"/>
        </w:rPr>
      </w:pPr>
    </w:p>
    <w:p w14:paraId="32C98CF7"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1941-го построили два Гу-82, и первый из них на летных испытаниях показал скорость 573 км/ч, что было чуть больше чем у "ЛаГГа", зато дальность полета получилась намного выше. Вооружение первого Гу-82 должно было состоять из четырех пулеметов. На второй машине предусмотрели две пушки ШВАК и пару крупнокалиберных пулеметов БС. Завидная огневая мощь (15558).</w:t>
      </w:r>
    </w:p>
    <w:p w14:paraId="7931BD50" w14:textId="77777777" w:rsidR="00F26E86" w:rsidRPr="00640820" w:rsidRDefault="00F26E86" w:rsidP="00640820">
      <w:pPr>
        <w:spacing w:after="0" w:line="240" w:lineRule="auto"/>
        <w:jc w:val="both"/>
        <w:rPr>
          <w:rFonts w:ascii="Times New Roman" w:hAnsi="Times New Roman"/>
          <w:color w:val="000000" w:themeColor="text1"/>
          <w:sz w:val="16"/>
          <w:szCs w:val="16"/>
        </w:rPr>
      </w:pPr>
    </w:p>
    <w:p w14:paraId="0438A1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 САМ-5-2бис использовался для перебазировки Центрального аэроклуба и эвакуации семей сотрудников в слободу Владимировка под Сталинградом, а также для связи ЦАКс Москвой. Перелеты Тушино - Владимировка длиной 1150 км осуществлялись, как правило, без посадки за 8 часов 05 минут летчиками Р. В. Беляевой, С. Н. Анохиным, В. М. Малюгиным, B. И. Хаповым и другими. А в 1942 г. самолет оказался необходим для перебазировки ЦАК из Сталинградской области в Казань. В течение 1941 - 1943 г. г. на этом самолете выполнено около 120 полетов, общий налет составил свыше 20000 километров. C. Н. Анохин вспоминал: «В 1941 г. только за один полет из Москвы в Сталинград, Ташкент, Фрунзе и другие города Средней Азии с посадками и обратно в Москву мы с В. М. Малюгиным покрыли расстояние свыше 7000 километров. Длительные беспосадочные полеты на САМ-5-2бис не составляли проблемы и не утомляли. Пилотирование самолета было простым и быстро осваивалось молодыми летчиками.» А вот мнение заслуженного летчика-испытателя В. И. Хапова, в прошлом командира эскадрильи ЦАК: «САМ-5-2 бис был очень прост в полете, устойчив, хорошо слушался рулей, обладал довольно приличным (по тем временам) диапазоном скоростей в пределах 60 - 200 км/ч, мог довольствоваться ограниченной площадкой для взлета и посадки. Безотказный мотор М-11, удачная схема, хорошая аэродинамика этого маленького самолетика обеспечивали ему надежность и хорошие эксплуатационные возможности». В каких условиях осуществлялись дальние перелеты, как вели себя машина и люди, можно узнать из приводимого ниже рассказа летчика-испытателя В. М. Малюгина, бывшего командира отдельной эскадрильи ЦАК им. В. П. Чкалова: «В начале ноября 1941 г. я получил задание вылететь из Владимировки в Среднюю Азию с целью подыскать место для перебазирования эскадрильи ЦАК и приказал инженеру В. С. Романенко подготовить самолет САМ-5-2бис. Штурманом взял летчика С. Н. Анохина. Когда я вручал ему вместо аэронавигационной карты карту магнитных склонений с проложенным маршрутом через казахстанские Голодные степи прямо на Актюбинск, Анохин загрустил и предложил, чтобы я уволил его от этой обязанности: «Вы комэск, командир корабля - возьмите на себя работу штурмана, а я гарантирую точно и беспрекословно выполнять Ваши распоряжения». На том и порешили. Приняв доклад о готовности самолета от Романенко, получив бортпайки и попрощавшись с провожавшими нас летчиками и техниками, мы пошли на вылет. Машина была полностью загружена: горючее в основном и крыльевых баках, смазочные масла и продукты - общий вес немалый.</w:t>
      </w:r>
    </w:p>
    <w:p w14:paraId="0B8EB9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Пробег получился довольно длинным. Оторвавшись на границе аэродрома, мы легли на курс. Через 13 минут пересекли железнодорожный путь - первый и последний линейный ориентир до Актюбинска, а через 30 минут вошли в снегопад. Определив по паровозному дыму направление ветра, я решил, что если точно держать заданный курс, то через 4,5 часа мы будем в Актюбинске. Снегопад с каждой минутой усиливался, мы шли на бреющем полете над землей, покрытой снегом. Видимость стремительно ухудшалась. Я предложил Сергею набрать высоту 300 метров, прибавить обороты и держать скорость 180 км/ч. Выполнив мои указания, Анохин успокоился и попросил поесть. Он брал одной рукой кусок жареной баранины, а другой - ломоть хлеба, и тут мне пришлось ежесекундно спрашивать, какой курс. Я наблюдал из-за его спины за картушкой компаса КАИ* 12, которая отклонялась градусов на 10, когда он кусал баранину, и возвращалась в прежнее положение, когда он кусал хлеб. Я кричал: «Сергей, прекрати хождение по курсу!»</w:t>
      </w:r>
    </w:p>
    <w:p w14:paraId="7D5D95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 более чем три часа в буквальном смысле слепого полета постепенно привыкли к сложным погодным условиям. Потом снегопад стал слабеть, и мы увидели в просвете громадную стаю сайгаков, которая вначале убегала от нас, а затем повернула в обратную сторону. Мы предположили, что впереди жилье. Действительно, минут через тридцать внизу показалась ж.д. Уральск-Мугаджары; самолет развернулся на 90° и оказался над актюбинским аэродромом. Я приказал снижаться и смотреть на указатель ветра. Внизу был глубокий не-укатанный снег. В таких условиях без старта мы садиться не могли. Пришлось сделать три круга, прежде чем на </w:t>
      </w:r>
      <w:r w:rsidRPr="00640820">
        <w:rPr>
          <w:rFonts w:ascii="Times New Roman" w:hAnsi="Times New Roman"/>
          <w:color w:val="000000" w:themeColor="text1"/>
          <w:sz w:val="16"/>
          <w:szCs w:val="16"/>
        </w:rPr>
        <w:lastRenderedPageBreak/>
        <w:t>поле выехала старая полуторка, привезшая посадочные знаки. Кроме того, посадка на неукатанную полосу грозила «накатом», потому что наш самолет имел колесное шасси обычного для того времени типа: с хвостовым костылем и колесом малого диаметра. В той ситуации единственным средством предотвратить «накат» было изменение центровки на предельно «заднюю».</w:t>
      </w:r>
    </w:p>
    <w:p w14:paraId="0A409D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Сергей пошел на посадку, а я стал перетаскивать груз ближе к хвосту. Почувствовав касание нижней части фюзеляжа о снег, я сам переместился назад и приказал летчику выключить зажигание и перекрыть бензобак. Винт остановился, касания колес мы не ощутили. Попытались рулить, но мощи у ГНИД не хватало, а хвостовая часть поднималась. На стоянку нас притащил трактор. Самолет обступили летчики, техники. Пошли расспросы, высказывания. Чувствовалось, что машина всем нравится.</w:t>
      </w:r>
    </w:p>
    <w:p w14:paraId="6BE10A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диспетчерской встретились с начальником актюбинского порта, который просто остолбенел от удивления, узнав, что мы полностью обеспечены горючим на перелет до Ташкента. Затем он попросил рассказать о нашей замечательной машине летно-техническому составу. Аудитория была очень заинтересована. Поздно вечером, провожая нас на отдых после трудного перелета и проведенной беседы, довольный начальник обещал ночью укатать взлетную полосу и выпустить нас завтра первыми. Так и было сделано. Самолет без нас вытащили трактором на подготовленную взлетную полосу, прогрели мотор и ждали. В моих руках вместо карты магнитных отклонений оказалась большая склеенная лоция Аэрофлота с проложенным курсом Актюбинск -Ташкент и обратно с подробными отметками запасных промежуточных аэродромов. На обратной стороне стояла дарственная надпись одного из ведущих летчиков 1 - го класса актюбинского порта по фамилии Ким.</w:t>
      </w:r>
    </w:p>
    <w:p w14:paraId="335F2F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Мы взлетели и сделали прощальный круг, покачав с крыла на крыло в знак благодарности. Поздно вечером без посадки, минуя крупные аэропорты Чел-кар, Джусалы и Туркестан, приземлились в Ташкенте.</w:t>
      </w:r>
    </w:p>
    <w:p w14:paraId="659EA4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Выполняя задание, пришлось исколесить всю Среднюю Азию. Обратно летели из Фрунзе. На маршруте Фрунзе - Туркестан нас застала пурга, но самолет благополучно приземлился в аэропорту Туркестан. А вот вылетевший перед нами военный экипаж на УТ-2 разбился. Погода и перепуганный катастрофой начальник аэропорта держали нас трое суток. Только на четвертый день нам удалось взлететь с шоссейной дороги, проходящей около аэродрома.</w:t>
      </w:r>
    </w:p>
    <w:p w14:paraId="1216DB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Погода опять нас не баловала. В бреющем полете над железной дорогой вдруг сдал мотор. Сели, произвели внешний осмотр двигателя и обнаружили, что отсоединилась тяга заслонки карбюратора и заслонка осталась в положении «закрыто». После присоединения тяги нужно было опробовать мотор на предельной мощности. Сергей запустил его, а я попытался удержать самолет за стабилизатор, но не получилось. Тогда я взял две буханки мерзлого хлеба и подложил под колеса - Сергей сразу вывел обороты на полную мощность, и мотор заработал исправно. Убрав буханки в кабину, я едва успел захлопнуть дверь, как самолет взлетел.</w:t>
      </w:r>
    </w:p>
    <w:p w14:paraId="11E968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сорок километров до очередной посадки в Челкаре стало падать давление масла. Стрелка манометра стояла на «нуле». Это означало не просто отказ прибора или маслонасоса, а более серьезную поломку- лопнул маслобак или масломагистраль. Из-за плохой погоды мы шли на низкой высоте. Пришлось выключить зажигание, перекрыть пожарный кран и садиться, что называется, «прямо подсобой». Шасси зарылось в глубокий снег, самолет пополз на брюхе и остановился. С трэдом сняв бак, мы обнаружили горизонтальную трещину длиной 10 сантиметров. Что делать? Место нашего приземления называлось разъезд Капотай. Через 40 минут здесь проходил товарный поезд, я остановил его на минуту и на паровозе отправил Сергея с баком в железнодорожное депо в Чел кар. Надеялся, что тамошние мастера если и не смогут клепать и варить дюраль, то хотя оы попытаются чем-нибудь склеить и забинтовать лентой с проволокой.</w:t>
      </w:r>
    </w:p>
    <w:p w14:paraId="424BA2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Оставшись на холодном ветру у самолета, я на двух верблюдах подтащил его к железнодорожной насыпи и пошел к дежурному по разъезду обогреться. Дула сильная поземка, и скоро самолет полностью замело снегом. По телефону я связался с секретарем горкома партии г. Челкар, и мне прислали в помощь оперативного уполномоченного НКВД. Молодой казах, проверив мои документы, спросил: «С чего начнем?» Я попросил мобилизовать людей, чтобы утоптать две дорожки для взлета, показал направление и ширину дорожки. В сугроб у самолета воткнули шест с фонарем «летучая мышь», а второй такой шест укрепили на конце взлетной полосы. «Спи хорошо», -сказал мой помощник, а точнее спаситель - «людей мало, работать будут верблюды».</w:t>
      </w:r>
    </w:p>
    <w:p w14:paraId="6AB67D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Рано утром Анохин привез бак. Лицо Сергея осунулось, было все в копоти, но мучился он не напрасно. Мой напарник поведал замечательную историю о местном умельце, спасшем наш самолет. Дело в том, что в депо помочь не смогли. В аэропорту мастерских не было. Один дежурный моторист с электростанции вспомнил, что до него тут работал дядя Кузя, который, хоть и любил выпить, но был мастером на все руки. Сергей ухватился за это предложение, как утопающий за соломинку. Дядя Кузя оказался во хмелю, однако просьбу выслушал внимательно и коротко бросил: «Покаж!» Осмотрел бак, провел своим затвердевшим большим пальцем по трещине и сказал: «Перекалили дюраль, вот и лопнул от вибрации. Клепать нельзя, так как в нутро не залезешь. Варить не на чем, да и не приходилось. Пайка тут тоже ни к чему». И видя, что у Сергея угасают последние надежды на благополучный исход, улыбнулся и успокоительно произнес: «А ты,паря, чем платить будешь? Деньгами не возьму, а коль спирт есть - завтра улетишь». Сергей с радостью согласился. Проснувшись утром, Анохин увидел бак, на трещине которого возвышался громадный «компресс», обкрученный мягкой проволокой вдоль и поперек. Дядя Кузя ощупал сооружение и деловито сказал: «Сделал неказисто на вид, но лети спокойно-головой ручаюсь». Налил себе стакан спирта из анохинской фляжки, залпом осушил его и пожелал счастливого пути. Тем временем нашего «биса» уже откопали. Снегопад прекратился, ветер был встречный, силой до 15 м/с. Устанавливая бак, мы подложили под ленты его крепления куски валеной шерсти от старого валенка для смягчения вибрации, слили конденсат, наполнили бак маслом и запустили мотор. Места для взлета было мало, и чтобы облегчить машину, Анохин полетел один. Мы с уполномоченным добрались до станции Челкар на попутном поезде. На аэродроме у самолета стояли Сергей и дядя Кузя, в руках у которого была самодельная и довольно вместительная фляжка. Вручив дяде Кузе его сосуд полным по пробку, мы обнялись и стали прощаться. Наш новый знакомый сиял…</w:t>
      </w:r>
    </w:p>
    <w:p w14:paraId="75F84B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Мы убедились, что течи масла нет, давление устойчивое, и через пять минут были уже в воздухе. Мотор работал ровно, нагрузка уменьшалась, настроение было приподнятое. Чтобы побыстрее добраться домой, решили лететь напрямую, через Голодные степи и топкие грязи Хаки, благо горючего хватало. Однако в Красном Куте, пришлось сесть, потому что давление масла опять упало. Отверткой прикрутили проволоку в тех местах, где просачивалось масло, долили свежего и благополучно вернулись на свой аэродром. Просто не верилось, что мы долетели с дырявым маслобаком, заклеенным жидким стеклом и лоскутами брезента (потом бак заменили- взяли от УТ-2, а под ленты крепления подложили губчатую резину).</w:t>
      </w:r>
    </w:p>
    <w:p w14:paraId="518282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САМ-5-2бис преодолел в этом полете огромное расстояние и в наших с С. Н. Анохиным сердцах оставил неизгладимый след как машина перспективная, обладающая простотой и легкостью управления. Могу лишь сказать конструктору Александру Сергеевичу Москалеву громадное спасибо за прекрасный самолет. Жаль, что САМ-5-2бис попал, как выражаются летчики, не «в струю», а в период войны и в руки нерадивого хозяина. В 1942 г. ЦАК перевели в Казань. В конце 1943 г. случилась авария, починить самолет как следует не смогли, и при возвращении в Москву бросили наш САМ-5-2бис на краю аэродрома Казанского аэроклуба» (11860).</w:t>
      </w:r>
    </w:p>
    <w:p w14:paraId="16E28F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CA91FF0" w14:textId="77777777" w:rsidR="00482F75" w:rsidRPr="00640820" w:rsidRDefault="00482F75" w:rsidP="00640820">
      <w:pPr>
        <w:pStyle w:val="rtejustify"/>
        <w:shd w:val="clear" w:color="auto" w:fill="FFFFFF"/>
        <w:spacing w:before="0" w:after="0"/>
        <w:rPr>
          <w:color w:val="000000" w:themeColor="text1"/>
          <w:sz w:val="16"/>
          <w:szCs w:val="16"/>
        </w:rPr>
      </w:pPr>
      <w:r w:rsidRPr="00640820">
        <w:rPr>
          <w:color w:val="000000" w:themeColor="text1"/>
          <w:sz w:val="16"/>
          <w:szCs w:val="16"/>
        </w:rPr>
        <w:t>Осенью 1941 специалисты НИИ установили, что противник качественно улучшил свою авиацию, хотя основные типы остались прежними. У бомбардировщиков добавились броня, пулеметы с ленточным питанием вместо магазинного, возросла мощность двигателей. Еще более серьезные изменения претерпела истребительная авиация. Воздушные бои показывали, что самолеты противника обладали превосходством в скорости и скороподъемности даже сравнительно с новыми советскими истребителями. А ведь по ранее полученным результатам испытаний в НИИ самолет Як-1 на колесном шасси без внешних подвесок бомб, с открытым фонарем кабины, как часто летали на фронте, не должен уступать Ме-109Е. Как потом стало известно, перед нападением на СССР немцы кардинально модифицировали одноместный истребитель, названный Ме-109Ф. Улучшенной аэродинамики, с центральной мотопушкой, более мощным мотором, работавшим на высокооктановом горючем. Обнаружились и другие изменения, когда один такой самолет попал в руки советских войск. История его появления на Тушинском аэродроме Москвы аналогична появлению “Мессершмитта” капитана Рольфа Пингля за четыре месяца до этого вблизи Дувра на английском побережье. Даже характер полученных в бою повреждений был схож. На “тушинском” Ме-109Ф-2, принадлежавшем 51-й истребительной эскадре, оказались поврежденными гидро- и электросистема, пробит бензобак. После восстановления силами техсостава 47-й истребительной авиадивизии, которая базировалась в Тушине, самолет сразу же подняли в воздух для летной оценки. Правда, на посадке не повезло: сломали левую ногу шасси и законцовку крыла.</w:t>
      </w:r>
    </w:p>
    <w:p w14:paraId="4F3AF142" w14:textId="77777777" w:rsidR="00482F75" w:rsidRPr="00640820" w:rsidRDefault="00482F75" w:rsidP="00640820">
      <w:pPr>
        <w:pStyle w:val="rtejustify"/>
        <w:shd w:val="clear" w:color="auto" w:fill="FFFFFF"/>
        <w:spacing w:before="0" w:after="0"/>
        <w:rPr>
          <w:color w:val="000000" w:themeColor="text1"/>
          <w:sz w:val="16"/>
          <w:szCs w:val="16"/>
        </w:rPr>
      </w:pPr>
      <w:r w:rsidRPr="00640820">
        <w:rPr>
          <w:color w:val="000000" w:themeColor="text1"/>
          <w:sz w:val="16"/>
          <w:szCs w:val="16"/>
        </w:rPr>
        <w:t>В таком виде машину обнаружила бригада специалистов НИИ ВВС. Там самолет починили вторично. В первом же донесении руководству института инженер А. Розанов обратил внимание на стреляющую через редуктор пушку “Маузер” МГ-151. Она могла иметь калибр как 15, так и 20 мм, в зависимости от устанавливаемого ствола; при этом даже звенья оставались неизменными. Первоначально немцы предпочитали ствол меньшего калибра, а впоследствии 20-мм пушки стали стандартными.</w:t>
      </w:r>
    </w:p>
    <w:p w14:paraId="23465E39" w14:textId="77777777" w:rsidR="00482F75" w:rsidRPr="00640820" w:rsidRDefault="00482F75" w:rsidP="00640820">
      <w:pPr>
        <w:pStyle w:val="rtejustify"/>
        <w:shd w:val="clear" w:color="auto" w:fill="FFFFFF"/>
        <w:spacing w:before="0" w:after="0"/>
        <w:rPr>
          <w:color w:val="000000" w:themeColor="text1"/>
          <w:sz w:val="16"/>
          <w:szCs w:val="16"/>
        </w:rPr>
      </w:pPr>
      <w:r w:rsidRPr="00640820">
        <w:rPr>
          <w:color w:val="000000" w:themeColor="text1"/>
          <w:sz w:val="16"/>
          <w:szCs w:val="16"/>
        </w:rPr>
        <w:t>Летчиком института А. Прошаковым установлено: при полетном весе 2780 кг самолет Ме-109Ф развил максимальную скорость у земли 510 км/ч, а на границе высотности (2750 м) — 560 км/ч; высоту 5000 м “мессер” набирал за 5,4 мин. При испытании не удалось добиться постоянства давления наддува, оно стремительно падало выше 3000 м. В результате летные характеристики на больших высотах нуждались в уточнении (на высоте 5000 м получены максимальная горизонтальная скорость 556 км/ч и вертикальная — 10,6 м/с; установлен и практический потолок — 8750 м). Но на малых и средних высотах сомнений в результатах испытаний не возникало.</w:t>
      </w:r>
    </w:p>
    <w:p w14:paraId="5D99841A" w14:textId="77777777" w:rsidR="00482F75" w:rsidRPr="00640820" w:rsidRDefault="00482F75" w:rsidP="00640820">
      <w:pPr>
        <w:pStyle w:val="rtejustify"/>
        <w:shd w:val="clear" w:color="auto" w:fill="FFFFFF"/>
        <w:spacing w:before="0" w:after="0"/>
        <w:rPr>
          <w:color w:val="000000" w:themeColor="text1"/>
          <w:sz w:val="16"/>
          <w:szCs w:val="16"/>
        </w:rPr>
      </w:pPr>
      <w:r w:rsidRPr="00640820">
        <w:rPr>
          <w:color w:val="000000" w:themeColor="text1"/>
          <w:sz w:val="16"/>
          <w:szCs w:val="16"/>
        </w:rPr>
        <w:t>Острая потребность ВВС Красной Армии в данных обновленного немецкого истребителя заставила ведущего инженера А. Розанова срочно выпустить отчет. Судя по нему, максимальная горизонтальная скорость Ме-109Ф повысилась аж на 70 км/ч! До высоты 4000 м он превосходил все отечественные серийные истребители. Причем лучший из них, Як-1, отставал у земли, по крайней мере, на 30 км/ч. Это заставило начальника института генерала Федорова 24 декабря 1941 г. обратиться с письмом к А.С. Яковлеву, который не только был главным конструктором, но и заместителем наркома авиапромышленности по опытному самолетостроению.</w:t>
      </w:r>
    </w:p>
    <w:p w14:paraId="656DB9A7" w14:textId="77777777" w:rsidR="00482F75" w:rsidRPr="00640820" w:rsidRDefault="00482F75" w:rsidP="00640820">
      <w:pPr>
        <w:pStyle w:val="rtejustify"/>
        <w:shd w:val="clear" w:color="auto" w:fill="FFFFFF"/>
        <w:spacing w:before="0" w:after="0"/>
        <w:rPr>
          <w:color w:val="000000" w:themeColor="text1"/>
          <w:sz w:val="16"/>
          <w:szCs w:val="16"/>
        </w:rPr>
      </w:pPr>
      <w:r w:rsidRPr="00640820">
        <w:rPr>
          <w:color w:val="000000" w:themeColor="text1"/>
          <w:sz w:val="16"/>
          <w:szCs w:val="16"/>
        </w:rPr>
        <w:t>“В настоящее время у нас нет истребителя с летно-тактическими данными лучшими или хотя бы равными Ме-109Ф”.</w:t>
      </w:r>
    </w:p>
    <w:p w14:paraId="3D781E33" w14:textId="77777777" w:rsidR="00482F75" w:rsidRPr="00640820" w:rsidRDefault="00482F75"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 писалось в нем.</w:t>
      </w:r>
    </w:p>
    <w:p w14:paraId="442B5EE6" w14:textId="77777777" w:rsidR="00482F75" w:rsidRPr="00640820" w:rsidRDefault="00482F75"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Требовалось ускорить разработку перспективных боевых машин.</w:t>
      </w:r>
    </w:p>
    <w:p w14:paraId="4EE46543" w14:textId="77777777" w:rsidR="00482F75" w:rsidRPr="00640820" w:rsidRDefault="00482F75" w:rsidP="00640820">
      <w:pPr>
        <w:pStyle w:val="rtejustify"/>
        <w:shd w:val="clear" w:color="auto" w:fill="FFFFFF"/>
        <w:spacing w:before="0" w:after="0"/>
        <w:rPr>
          <w:color w:val="000000" w:themeColor="text1"/>
          <w:sz w:val="16"/>
          <w:szCs w:val="16"/>
        </w:rPr>
      </w:pPr>
      <w:r w:rsidRPr="00640820">
        <w:rPr>
          <w:color w:val="000000" w:themeColor="text1"/>
          <w:sz w:val="16"/>
          <w:szCs w:val="16"/>
        </w:rPr>
        <w:t>Предполагалось, что нашим ответом Вилли Мессершмитту станут новые И-185 Н.Н. Поликарпова и модернизация серийных Як-1 под мотор М-107 и ЛаГТ-3 под М-82 и М-107. Первым из них увидел свет истребитель С.А. Лавочкина Ла-5 с двигателем М-82.</w:t>
      </w:r>
    </w:p>
    <w:p w14:paraId="2B0D8EA9" w14:textId="77777777" w:rsidR="00482F75" w:rsidRPr="00640820" w:rsidRDefault="00482F75" w:rsidP="00640820">
      <w:pPr>
        <w:pStyle w:val="rtejustify"/>
        <w:shd w:val="clear" w:color="auto" w:fill="FFFFFF"/>
        <w:spacing w:before="0" w:after="0"/>
        <w:rPr>
          <w:color w:val="000000" w:themeColor="text1"/>
          <w:sz w:val="16"/>
          <w:szCs w:val="16"/>
        </w:rPr>
      </w:pPr>
      <w:r w:rsidRPr="00640820">
        <w:rPr>
          <w:color w:val="000000" w:themeColor="text1"/>
          <w:sz w:val="16"/>
          <w:szCs w:val="16"/>
        </w:rPr>
        <w:lastRenderedPageBreak/>
        <w:t>После улучшения аэродинамики, снятия внешних подвесок, форсирования моторов М-105П истребители А.С. Яковлева Як-1 и Як-7Б, так же, как и Ла-5, были примерно равны Ме-109Ф-2 (19179).</w:t>
      </w:r>
    </w:p>
    <w:p w14:paraId="4226C2A2" w14:textId="77777777" w:rsidR="00482F75" w:rsidRPr="00640820" w:rsidRDefault="00482F75" w:rsidP="00640820">
      <w:pPr>
        <w:pStyle w:val="rtejustify"/>
        <w:shd w:val="clear" w:color="auto" w:fill="FFFFFF"/>
        <w:spacing w:before="0" w:after="0"/>
        <w:rPr>
          <w:color w:val="000000" w:themeColor="text1"/>
          <w:sz w:val="16"/>
          <w:szCs w:val="16"/>
        </w:rPr>
      </w:pPr>
    </w:p>
    <w:p w14:paraId="2B0AA4A8" w14:textId="77777777" w:rsidR="00432749" w:rsidRPr="00640820" w:rsidRDefault="00432749" w:rsidP="00640820">
      <w:pPr>
        <w:pStyle w:val="article-renderblock"/>
        <w:shd w:val="clear" w:color="auto" w:fill="FFFFFF"/>
        <w:spacing w:before="0" w:beforeAutospacing="0" w:after="0" w:afterAutospacing="0"/>
        <w:jc w:val="both"/>
        <w:rPr>
          <w:color w:val="0070C0"/>
          <w:sz w:val="16"/>
          <w:szCs w:val="16"/>
        </w:rPr>
      </w:pPr>
      <w:r w:rsidRPr="00640820">
        <w:rPr>
          <w:color w:val="0070C0"/>
          <w:sz w:val="16"/>
          <w:szCs w:val="16"/>
        </w:rPr>
        <w:t>Осенью 1941 года в ОКБ заводе № 482 началась работа по созданию нового транспортного самолета. Он получил индекс ТС-1 (транспортный самолет первый). Отличительной особенностью новой машины стала ее максимальная адаптация под производство в условиях военного времени. Была осуществлена унификация его отдельных узлов и систем с уже серийного освоенными образцами. В частности винтомоторная группа была заимствована с У-2, стойки (на серийных машинах) от Ла-5, костыльное колесо от Ил-2. Кроме того, в целом была продумана простая конструкция, с максимальным использованием дешевых материалов (дерево, полотно). Первый опытный образец ТС-1 был построен уже к февралю 1942-ого года (19836).</w:t>
      </w:r>
    </w:p>
    <w:p w14:paraId="525B8417" w14:textId="77777777" w:rsidR="00432749" w:rsidRPr="00640820" w:rsidRDefault="00432749" w:rsidP="00640820">
      <w:pPr>
        <w:shd w:val="clear" w:color="auto" w:fill="FFFFFF"/>
        <w:spacing w:after="0" w:line="240" w:lineRule="auto"/>
        <w:jc w:val="both"/>
        <w:rPr>
          <w:rFonts w:ascii="Times New Roman" w:hAnsi="Times New Roman"/>
          <w:color w:val="0070C0"/>
          <w:sz w:val="16"/>
          <w:szCs w:val="16"/>
        </w:rPr>
      </w:pPr>
    </w:p>
    <w:p w14:paraId="6405A780" w14:textId="77777777" w:rsidR="00047452" w:rsidRPr="00640820" w:rsidRDefault="0004745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Осенью 1941 г. советскому полярному лётчику Энделю Пусэпу довелось полетать на ТБ-3 с системой автоматической посадки.</w:t>
      </w:r>
    </w:p>
    <w:p w14:paraId="47F7D3DC" w14:textId="77777777" w:rsidR="00047452" w:rsidRPr="00640820" w:rsidRDefault="0004745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Вот как описывает он свои впечатления:</w:t>
      </w:r>
    </w:p>
    <w:p w14:paraId="09876A27" w14:textId="77777777" w:rsidR="00047452" w:rsidRPr="00640820" w:rsidRDefault="0004745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«Чачикян сидел на месте второго пилота. Когда каждый из моторов был проверен на полных оборотах, он сказал:</w:t>
      </w:r>
    </w:p>
    <w:p w14:paraId="2B001BBB" w14:textId="77777777" w:rsidR="00047452" w:rsidRPr="00640820" w:rsidRDefault="0004745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Первый полёт совершим вместе, чтобы ознакомиться с самолётом, — и, наклонившись вниз, прокричал что-то борттехнику. Тот согласно кивнул. И не успел я ещё и слова вымолвить, как с удивлением увидел, что тормозные колодки отодвинулись от гигантских колёс и самолёт покатился.</w:t>
      </w:r>
    </w:p>
    <w:p w14:paraId="3E34AC4D" w14:textId="77777777" w:rsidR="00047452" w:rsidRPr="00640820" w:rsidRDefault="0004745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Чачикян заметил моё удивление.</w:t>
      </w:r>
    </w:p>
    <w:p w14:paraId="05C2D7E0" w14:textId="77777777" w:rsidR="00047452" w:rsidRPr="00640820" w:rsidRDefault="0004745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Всё в порядке, — крикнул он мне в самое ухо, — нас ведут на старт по радио из командного пункта.</w:t>
      </w:r>
    </w:p>
    <w:p w14:paraId="1EE04DF2" w14:textId="77777777" w:rsidR="00047452" w:rsidRPr="00640820" w:rsidRDefault="0004745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Корабль, как норовистый конь, вдруг резко наддал ходу, но тут же убавил скорость. Амплитуда оборотов моторов колебалась намного резче и была слишком велика по сравнению с нормальной. Моторы то ревели на полных оборотах, то убавляли обороты настолько, что становились видны вращающиеся винты.</w:t>
      </w:r>
    </w:p>
    <w:p w14:paraId="1E1AFEC7" w14:textId="77777777" w:rsidR="00047452" w:rsidRPr="00640820" w:rsidRDefault="0004745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Похоже было, однако, что вся эта конструкция, установленная на самолёте для управления им по радио, вполне соответствовала своему назначению. В начале взлётной полосы машина остановилась (правда, я не удержался и немного помог этому, нажав на тормоза). Согласно инструкции моторы опробовали ещё раз (также с помощью средств радиоуправления), и самолёт пошёл на взлёт.</w:t>
      </w:r>
    </w:p>
    <w:p w14:paraId="0CACE52C" w14:textId="77777777" w:rsidR="00047452" w:rsidRPr="00640820" w:rsidRDefault="0004745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Начало взлёта, на мой взгляд, не сулило ничего хорошего. Казалось, что за штурвалом находится человек, очень слабо разбирающийся в технике пилотирования, но всё же, стискивая зубы, отчаянно старающийся подчинить непослушный летательный аппарат своей воле. Сначала крутой поворот налево, затем ещё круче направо, снова налево, да так, что колесо сошло с бетонной полосы на траву. Опять поворот направо, налево… Ещё раз направо и наконец, когда самолёт уже набрал существенную скорость, его хвост подбросило вверх так резко и намного, что у меня под сердцем похолодело — сейчас винты начнут крошить бетон взлётной полосы. Моя рука сама по себе потянулась к спасительной красной ручке (ручка для перехода на ручное управления. — Д.С.).</w:t>
      </w:r>
    </w:p>
    <w:p w14:paraId="5FE08A65" w14:textId="77777777" w:rsidR="00047452" w:rsidRPr="00640820" w:rsidRDefault="0004745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тот же миг ладонь Чачикяна успокаивающе легла на мою руку, и, одновременно, фюзеляж самолёта принял нормальное положение. Ещё миг, и мы уже в воздухе.</w:t>
      </w:r>
    </w:p>
    <w:p w14:paraId="442A347C" w14:textId="77777777" w:rsidR="00047452" w:rsidRPr="00640820" w:rsidRDefault="0004745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Признаюсь честно: по моему лбу струился горячий пот, ибо в течение всего взлёта я мысленно всеми силами старался помочь радиотехнике укротить взбесившийся самолёт.</w:t>
      </w:r>
    </w:p>
    <w:p w14:paraId="222C5330" w14:textId="77777777" w:rsidR="00047452" w:rsidRPr="00640820" w:rsidRDefault="0004745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Подобный взлёт был для меня новостью. Я подумал, что если бы я когда-нибудь позволил себе такой „цирк“ на взлёте, мне пришлось бы потом совершать десятки полётов вместе с инструктором по технике пилотирования или командиром, прежде чем меня снова допустили бы к самостоятельным полётам.</w:t>
      </w:r>
    </w:p>
    <w:p w14:paraId="19801F9F" w14:textId="77777777" w:rsidR="00047452" w:rsidRPr="00640820" w:rsidRDefault="0004745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воздухе самолёт вёл себя значительно спокойнее и хорошо набирал высоту. Обычно первый разворот делается на высоте 150–200 метров. На этот раз, бросив взгляд на высотомер, я увидел, что мы поднялись уже почти до 500 метров. Ладно, пусть. Кто знает, что может натворить во время разворота радиооператор, управлявший самолётом с земли? А лишняя высота — всегда союзник лётчика.</w:t>
      </w:r>
    </w:p>
    <w:p w14:paraId="6349DFAA" w14:textId="77777777" w:rsidR="00047452" w:rsidRPr="00640820" w:rsidRDefault="0004745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Мои сомнения оказались обоснованными. Перед разворотом самолёт резко и неожиданно опустил нос, накренившись одновременно значительно больше, чем требовалось. Через несколько мгновений нос поднялся и самолёт стал разворачиваться, но так медленно, что начал скользить на левое крыло. Когда мы потеряли скольжением метров пятьдесят-шестьдесят высоты, я снова ухватились за красную ручку. И опять на мою руку легла успокаивающая ладонь Чачикяна. Хвала небесам! Опасный крен самолёта стал уменьшаться. Я почувствовал это по тому, как струя воздуха слева, угрожавшая свернуть мне голову набок, постепенно ослабла, а затем совсем исчезла.</w:t>
      </w:r>
    </w:p>
    <w:p w14:paraId="241672D9" w14:textId="77777777" w:rsidR="00047452" w:rsidRPr="00640820" w:rsidRDefault="0004745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 грехом пополам были совершены второй, третий и, наконец, четвёртый развороты, которые мало чем отличались от первого. Корабль вышел на посадочную прямую, но так далеко от аэродрома, что его бетонная полоса едва виднелась впереди на горизонте.</w:t>
      </w:r>
    </w:p>
    <w:p w14:paraId="0C40AC80" w14:textId="77777777" w:rsidR="00047452" w:rsidRPr="00640820" w:rsidRDefault="0004745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Мои нервы были напряжены до предела. А ещё предстояло совершить посадку. И я принял твёрдое решение: если в ходе посадки снова начнутся „цирковые“ номера, немедленно выключу радиоуправление. Не хватало ещё чтобы снести на посадке шасси и наш четырёхмоторный гигант плюхнется фюзеляжем на бетон!</w:t>
      </w:r>
    </w:p>
    <w:p w14:paraId="282670C9" w14:textId="77777777" w:rsidR="00047452" w:rsidRPr="00640820" w:rsidRDefault="0004745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Моторы теперь работали ровно, спокойно и, что ещё удивительнее, все параметры полёта держались в пределах нормы: скорость, прямолинейность движения к началу бетонки, строго горизонтальное положение широченнейших крыльев. Но на всякий случай я положил правую руку на красную ручку, левую — на штурвал.</w:t>
      </w:r>
    </w:p>
    <w:p w14:paraId="65C19108" w14:textId="77777777" w:rsidR="00047452" w:rsidRPr="00640820" w:rsidRDefault="0004745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На этот раз Чачикян только улыбнулся.</w:t>
      </w:r>
    </w:p>
    <w:p w14:paraId="4DE5BAB8" w14:textId="77777777" w:rsidR="00047452" w:rsidRPr="00640820" w:rsidRDefault="0004745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Незадолго до начала взлётной полосы я почувствовал, что штурвал потихоньку двигается на меня. Одновременно моторы сбавили обороты до малых. У самой земли хвост самолёта опускался без моего участия так, как это было нужно. Бетон всё ближе, ближе и еле заметный толчок дал знать, что колёса корабля коснулись бетона и теперь плавно катятся по нему.</w:t>
      </w:r>
    </w:p>
    <w:p w14:paraId="01390462" w14:textId="77777777" w:rsidR="00047452" w:rsidRPr="00640820" w:rsidRDefault="0004745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Посадка получилась просто великолепной!</w:t>
      </w:r>
    </w:p>
    <w:p w14:paraId="0369C76C" w14:textId="77777777" w:rsidR="00047452" w:rsidRPr="00640820" w:rsidRDefault="0004745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Ну, как вам понравилась посадка? — с хитринкой в глазах кричал мне Чачикян, когда уже развернувшись на 180 градусов, корабль, мягко покачиваясь с крыла на крыло, катился по бетонной дорожке к месту стоянки. В ответ я поднял большие пальцы обоих рук.</w:t>
      </w:r>
    </w:p>
    <w:p w14:paraId="0C1426F9" w14:textId="77777777" w:rsidR="00047452" w:rsidRPr="00640820" w:rsidRDefault="0004745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Перед следующим полётом конструктор сказал, что на этот раз он с Моисеевым (борттехник самолёта. — Д.С.) останется на земле, а я снова отправлюсь в воздух один.</w:t>
      </w:r>
    </w:p>
    <w:p w14:paraId="7C27C7EC" w14:textId="77777777" w:rsidR="00047452" w:rsidRPr="00640820" w:rsidRDefault="0004745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Повторятся ли опять эти виляния налево-направо и все остальные штучки? — спросил я хмуро.</w:t>
      </w:r>
    </w:p>
    <w:p w14:paraId="1D2DA2C7" w14:textId="77777777" w:rsidR="00047452" w:rsidRPr="00640820" w:rsidRDefault="0004745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Надеюсь, что в гораздо меньшей степени, — улыбнулся Чачикян и пояснил, что на этот раз у пульта управления будет он сам.</w:t>
      </w:r>
    </w:p>
    <w:p w14:paraId="7ACA6383" w14:textId="77777777" w:rsidR="00047452" w:rsidRPr="00640820" w:rsidRDefault="0004745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А к вам просьба: только в крайнем случае, если вам и самолёту будет угрожать реальная опасность, воспользуйтесь аварийным выключателем.</w:t>
      </w:r>
    </w:p>
    <w:p w14:paraId="415893C6" w14:textId="77777777" w:rsidR="00047452" w:rsidRPr="00640820" w:rsidRDefault="0004745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…Чачикян с Моисеевым спустились на землю и дружески помахали мне. Пришлось подождать, пока они добрались до командного пункта. Когда моторы сами по себе стали прибавлять и убавлять обороты, я понял, что они дошли. Я освободил тормоза и корабль начал новый взлёт.</w:t>
      </w:r>
    </w:p>
    <w:p w14:paraId="7E29DE14" w14:textId="77777777" w:rsidR="00047452" w:rsidRPr="00640820" w:rsidRDefault="0004745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 чести Чачикяна надо сказать, что на этот раз взлёт протекал гораздо спокойнее, почти нормально. Со своим детищем ладил куда лучше, чем кто-либо другой. Под его управлением самолёт уже не походил на норовистого скакуна и у меня даже не возникало желания схватиться за красную ручку.</w:t>
      </w:r>
    </w:p>
    <w:p w14:paraId="2739AC97" w14:textId="77777777" w:rsidR="00047452" w:rsidRPr="00640820" w:rsidRDefault="0004745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Сделав несколько кругов над аэродромом, корабль аккуратно приземлился и направился к краю лётного поля, к месту своей обычной стоянки. Для первого дня впечатлений было более чем достаточно» </w:t>
      </w:r>
      <w:hyperlink r:id="rId20" w:history="1">
        <w:r w:rsidRPr="00640820">
          <w:rPr>
            <w:rFonts w:ascii="Times New Roman" w:eastAsia="Times New Roman" w:hAnsi="Times New Roman"/>
            <w:color w:val="000000" w:themeColor="text1"/>
            <w:sz w:val="16"/>
            <w:szCs w:val="16"/>
            <w:lang w:eastAsia="ru-RU"/>
          </w:rPr>
          <w:t>[229]</w:t>
        </w:r>
      </w:hyperlink>
      <w:r w:rsidRPr="00640820">
        <w:rPr>
          <w:rFonts w:ascii="Times New Roman" w:eastAsia="Times New Roman" w:hAnsi="Times New Roman"/>
          <w:color w:val="000000" w:themeColor="text1"/>
          <w:sz w:val="16"/>
          <w:szCs w:val="16"/>
          <w:lang w:eastAsia="ru-RU"/>
        </w:rPr>
        <w:t xml:space="preserve"> (17489).</w:t>
      </w:r>
    </w:p>
    <w:p w14:paraId="6A9ED221" w14:textId="77777777" w:rsidR="00047452" w:rsidRPr="00640820" w:rsidRDefault="00047452" w:rsidP="00640820">
      <w:pPr>
        <w:spacing w:after="0" w:line="240" w:lineRule="auto"/>
        <w:jc w:val="both"/>
        <w:rPr>
          <w:rFonts w:ascii="Times New Roman" w:eastAsia="Times New Roman" w:hAnsi="Times New Roman"/>
          <w:color w:val="000000" w:themeColor="text1"/>
          <w:sz w:val="16"/>
          <w:szCs w:val="16"/>
          <w:lang w:eastAsia="ru-RU"/>
        </w:rPr>
      </w:pPr>
    </w:p>
    <w:p w14:paraId="65C84442" w14:textId="77777777" w:rsidR="00432749" w:rsidRPr="00640820" w:rsidRDefault="00432749"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Осенью 1941 года советской делегации разрешили ознакомиться с новыми машинами «среднего» класса Дуглас А-20 и Норт Америкен В-25. Первые отчеты были скорее отрицательными, впрочем, вероятной причиной тому был отказ продать нам четырехмоторные В-17. Но объективно это были вполне современные самолеты, обладающие высокими характеристиками скорости и маневренности, а также мощным оборонительным вооружением. По составу оборудования в своем классе им не было равных. Устанавливавшийся на экспортных машинах вместо прицела «Норден» упрощенный бомбардировочный прицел пришлось менять на наш НКПБ-7, зато автопилот, гироскопический авиагоризонт, радиокомпас, радиостанции, СПУ, обогрев и освещение кабин, противообледенители и даже неприкосновенный аварийный запас были просто на грани фантастики. К каждой машине прилагался комплект шикарных шлемофонов, жилетов с подогревом и прочего обмундирования, которое сразу оценили наши летчики (22856).</w:t>
      </w:r>
    </w:p>
    <w:p w14:paraId="4EEF8812" w14:textId="77777777" w:rsidR="00432749" w:rsidRPr="00640820" w:rsidRDefault="00432749" w:rsidP="00640820">
      <w:pPr>
        <w:spacing w:after="0" w:line="240" w:lineRule="auto"/>
        <w:jc w:val="both"/>
        <w:rPr>
          <w:rFonts w:ascii="Times New Roman" w:hAnsi="Times New Roman"/>
          <w:color w:val="0070C0"/>
          <w:sz w:val="16"/>
          <w:szCs w:val="16"/>
        </w:rPr>
      </w:pPr>
    </w:p>
    <w:p w14:paraId="69F01B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на казанском 16 заводе была организована моторная "шарага", где под руководством В.П.Глушко, приговоренного еще в 1939 к 8 годам ИТЛ, делали РД-1 и испытывали на Пе-2. С.П.Королева перевели туда из Омска 1942. Указ Президиума ВС о досрочном освобождении со снятием судимости только 27 июля 1944 (173,220).</w:t>
      </w:r>
    </w:p>
    <w:p w14:paraId="3B59CD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F403A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двигателистов с завода 82 (80,424) эвакуировали в Казань на 16 завод.</w:t>
      </w:r>
    </w:p>
    <w:p w14:paraId="5E02C7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КБ Химавтоматики берет начало от ОКБ-296, образованного в октябре 1941 в Бердске, Новосибирская обл. в результате эвакуации завода 296 из Харькова и части ОКБ завода 33 из Москвы. Объединили, ГК стал С.А.Кросбер. Специализация - агрегаты и системы топливопитания. В конце 1945 - переехали в Воронеж как ОКБ-154.</w:t>
      </w:r>
    </w:p>
    <w:p w14:paraId="2BBD8587"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0B854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САМ-5-2бис использовали для эвакуации семей сотрудников ЦАК им. Чкалова из Москвы в слободу Владимировка под Сталинградом и 1150 км пролетали за 8:05 без посадки. Летали Р.В.Беляева, С.Н.Анохин, В.М.Малютин, В.И.Храпов и др. В 1941-1943 выполнили 120 полетов налетав 20000 км. Один раз за один полет покрыли 7000 м (1143,9).</w:t>
      </w:r>
    </w:p>
    <w:p w14:paraId="5A801F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0425D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Осенью 1941 в разработку транспортного самолета ТС-1 включилось КБ завода N 482 А.Я.Щербакова (576,4).</w:t>
      </w:r>
    </w:p>
    <w:p w14:paraId="0CFF88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23607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в Крыму, на аэродроме Саки по крайней мере, на один самолет УТ-1 поставили два крупнокалиберных пуле</w:t>
      </w:r>
      <w:r w:rsidRPr="00640820">
        <w:rPr>
          <w:rFonts w:ascii="Times New Roman" w:hAnsi="Times New Roman"/>
          <w:color w:val="000000" w:themeColor="text1"/>
          <w:sz w:val="16"/>
          <w:szCs w:val="16"/>
        </w:rPr>
        <w:softHyphen/>
        <w:t>мета БК. При этом взяли целиком подкрыльевые установки “пятиточечного” МиГ-3, в которых один пулемет стоял в нормальном положении, а второй- в пе</w:t>
      </w:r>
      <w:r w:rsidRPr="00640820">
        <w:rPr>
          <w:rFonts w:ascii="Times New Roman" w:hAnsi="Times New Roman"/>
          <w:color w:val="000000" w:themeColor="text1"/>
          <w:sz w:val="16"/>
          <w:szCs w:val="16"/>
        </w:rPr>
        <w:softHyphen/>
        <w:t>ревернутом. Также у МиГ-3 “позаимст</w:t>
      </w:r>
      <w:r w:rsidRPr="00640820">
        <w:rPr>
          <w:rFonts w:ascii="Times New Roman" w:hAnsi="Times New Roman"/>
          <w:color w:val="000000" w:themeColor="text1"/>
          <w:sz w:val="16"/>
          <w:szCs w:val="16"/>
        </w:rPr>
        <w:softHyphen/>
        <w:t>вовали” систему управления огнем (3955).</w:t>
      </w:r>
    </w:p>
    <w:p w14:paraId="2DD45C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6F841DE"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 290-й завод, созданный в 1940 г. в Подмосковье для серийного производства автожиров, был эвакуирован в поселок Билимбай Свердловской области. Хотя, откровенно говоря, здесь, на Урале, и завода-то, как такового, не было: несколько срочно эвакуированных с</w:t>
      </w:r>
      <w:hyperlink r:id="rId21" w:tgtFrame="_blank" w:history="1">
        <w:r w:rsidRPr="00640820">
          <w:rPr>
            <w:rFonts w:ascii="Times New Roman" w:hAnsi="Times New Roman"/>
            <w:color w:val="000000" w:themeColor="text1"/>
            <w:sz w:val="16"/>
            <w:szCs w:val="16"/>
          </w:rPr>
          <w:t>танк</w:t>
        </w:r>
      </w:hyperlink>
      <w:r w:rsidRPr="00640820">
        <w:rPr>
          <w:rFonts w:ascii="Times New Roman" w:hAnsi="Times New Roman"/>
          <w:color w:val="000000" w:themeColor="text1"/>
          <w:sz w:val="16"/>
          <w:szCs w:val="16"/>
        </w:rPr>
        <w:t>ов разместили в наспех построенном и не отапливаемом сарае, а под макетный цех и ОКБ приспособили деревенскую церковь, площади которой «камовцы» делили пополам с «болховитинцами». О централизованных поставках материалов для достройки малой серии автожиров-арткорректировщиков речи не шло. Все сроки сдачи готовых изделий уже давно прошли, а заводские снабженцы возвращались с поисков поставщиков ни с чем. Вот тогда, из-за невозможности принести ощутимую пользу, у авиаконструкторов и возникла идея помочь фронту хотя бы в малом. 290-й авиазавод не был предназначен для разработки и производства стрелковых систем, но с середины августа 1942 г. там удалось за три месяца не только спроектировать и создать опытные экземпляры противо</w:t>
      </w:r>
      <w:hyperlink r:id="rId22" w:tgtFrame="_blank" w:history="1">
        <w:r w:rsidRPr="00640820">
          <w:rPr>
            <w:rFonts w:ascii="Times New Roman" w:hAnsi="Times New Roman"/>
            <w:color w:val="000000" w:themeColor="text1"/>
            <w:sz w:val="16"/>
            <w:szCs w:val="16"/>
          </w:rPr>
          <w:t>танк</w:t>
        </w:r>
      </w:hyperlink>
      <w:r w:rsidRPr="00640820">
        <w:rPr>
          <w:rFonts w:ascii="Times New Roman" w:hAnsi="Times New Roman"/>
          <w:color w:val="000000" w:themeColor="text1"/>
          <w:sz w:val="16"/>
          <w:szCs w:val="16"/>
        </w:rPr>
        <w:t>овых установок, но и провести их испытания стрельбой (15595).</w:t>
      </w:r>
    </w:p>
    <w:p w14:paraId="3D03B9FD" w14:textId="77777777" w:rsidR="00F26E86" w:rsidRPr="00640820" w:rsidRDefault="00F26E86" w:rsidP="00640820">
      <w:pPr>
        <w:spacing w:after="0" w:line="240" w:lineRule="auto"/>
        <w:jc w:val="both"/>
        <w:rPr>
          <w:rFonts w:ascii="Times New Roman" w:hAnsi="Times New Roman"/>
          <w:color w:val="000000" w:themeColor="text1"/>
          <w:sz w:val="16"/>
          <w:szCs w:val="16"/>
        </w:rPr>
      </w:pPr>
    </w:p>
    <w:p w14:paraId="5302FEAB" w14:textId="77777777" w:rsidR="00E110AE" w:rsidRPr="00640820" w:rsidRDefault="00E110A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года завод №290 вместе с автожирами эвакуировали в посёлок Билимбай, что в 50 километрах от Свердловска (Екатеринбурга). С этого момента у А-7-3а и его создателей началась непрекращающаяся череда невезений. Мало того, что производственных площадей в Билимбае толком не было, так и имеющиеся пришлось делить с заводом №293, который занимался постройкой ракетного истребителя БИ-1. На момент эвакуации в Билимбай в строю остался всего один А-7-3а. Его переставили на лыжное шасси, после чего эксплуатация продолжилась. Выяснилось, что на лыжах у машины возникал ряд проблем. Из-за отсутствия тормозов перед взлётом машину приходилось удерживать от разворачивания влево командой из 3–5 человек, на рулёжке автожир оказался неуправляемым. Проявились и другие специфичные проблемы зимней эксплуатации. Завод №290 в меру возможностей работал над устранением недостатков, а также медленно занимался ремонтом оставшихся машин (18227).</w:t>
      </w:r>
    </w:p>
    <w:p w14:paraId="34F0C535" w14:textId="77777777" w:rsidR="00E110AE" w:rsidRPr="00640820" w:rsidRDefault="00E110AE" w:rsidP="00640820">
      <w:pPr>
        <w:spacing w:after="0" w:line="240" w:lineRule="auto"/>
        <w:jc w:val="both"/>
        <w:rPr>
          <w:rFonts w:ascii="Times New Roman" w:hAnsi="Times New Roman"/>
          <w:color w:val="000000" w:themeColor="text1"/>
          <w:sz w:val="16"/>
          <w:szCs w:val="16"/>
        </w:rPr>
      </w:pPr>
    </w:p>
    <w:p w14:paraId="13CA48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испытывали буксировку планера РФ-8 (А-7) за СБ (АНТ-40) на коротком тросе. При этом со 100 м сократили до 3 (429,127).</w:t>
      </w:r>
    </w:p>
    <w:p w14:paraId="525ED7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B7919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года конструктор легкой авиации О.К. Антонов предложил для переброски легких танков в составе десантов в тыл врага, а также для снабжения ими крупных партизанских отрядов построить упрощенный буксируемый планер разового применения, в качестве фюзеляжа которого использовался бы корпус танка Т-60, а его ходовая часть - в качестве взлетно-посадочного устройства. Предполагалось, что такой комбинированный планер может буксироваться четырехмоторным бомбардировщиком ТБ-3 или двухмоторным ДБ-3Ф до пункта назначения, а после расцепления производить посадку на площадку ограниченных размеров, сбрасывать крылья с хвостовым оперением и с ходу идти в бой (3862).</w:t>
      </w:r>
    </w:p>
    <w:p w14:paraId="0FD7E4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8609F32" w14:textId="77777777" w:rsidR="00C365F0" w:rsidRPr="00640820" w:rsidRDefault="00C365F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года Олег Антонов предложил построить упрощённый буксируемый планер, фюзеляжем которого должен был послужить лёгкий танк Т-60. При этом ходовая часть танка должна была выполнять роль шасси. Это, по мысли конструктора, позволило бы перебрасывать лёгкие танки в составе десантов в тыл врага, а также снабжать ими крупные партизанские отряды. В качестве буксировщика предполагался бомбардировщик ТБ-3 или ДБ-3Ф. (По отчёту: «планёр «АТ» предназначается для воздушного транспортирования серийного танка «Т-60» на буксире за самолётом типа ТБ-3 4АМ34РНВ»). Крылатый танк в составе такой сцепки доставлялся в район назначения, сбрасывал буксирный трос и совершал самостоятельную посадку на выбранную площадку. Освобождение танка от планера после посадки могло быть выполнено самим экипажем как на пробеге, так и при полной остановке, не выходя из танка. Сбросив крылья и хвостовое оперение, танк мог идти в бой. Конструкция планёра не предусматривала многоразового применения, и её повреждение в ходе посадки не имело значения. Идею одобрили, и в конце 1941 года Антонову было выдано соответствующее задание. Машина, получившая название КТ («Крылья танка», другие названия – А-Т, АТ, АТ-1 или А-40) была очень быстро спроектирована и была завершена постройкой на планерном заводе в Тюмени к лету 1942 года. Для крыла и оперения, размещавшегося на двух балках, Антонов избрал бипланную схему. Это позволило получить достаточно компактные размеры – размах крыла составлял 18 метров, длина аппарата – 12,00 м. Вся конструкция планера выполнялась из дерева, носки крыльев обшивались фанерой, остальное обтягивалось полотном. Экипаж планёра «АТ» состоял из двух человек и размещался на тех же местах, что и в боевой обстановке на танке на земле. Роль пилота выполнял механик-водитель, к рабочему месту которого было подведено тросовое управление планёром, включавшее ручку, педали и рычаг управления закрылками. Обзор по бокам и назад обеспечивался с помощью зеркал (перископа). Расчётная полётная масса танка-планёра составила 7804 кг, в том числе на массу самого танка приходилось 5800 кг, остальное – крыло и оперение. При испытаниях для облегчения с танка сняли вооружение. По отчёту, на танке не было: 1. Бронелиста. 2. Щитка водителя. 3. Люка водителя. 4. Оружия и боеприпасов. 5. Башни стрелка с поворотным механизмом. Фактический полётный вес с одним пилотом получился 6710 кг при запасе бензина в танке 100 кг. Планер и танк перевезли на аэродром ЛИИ в Кратово, где 22 июля 1942 года конструкцию собрали. Осенью 1942 г. планер КТ впервые поднялся в воздух. Увы, этот первый испытательный полёт оказался единственным. Командиром самолёта-буксировщика – четырёхмоторного ТБ-3 с двигателями АМ-34РНВ – был П.А.Еремеев. Пилотом танка-планёра, а одновременно и механиком-водителем, стал лётчик-испытатель С.Н.Анохин. Согласно отчёту, разбег и отрыв производился при взлётном форсаже моторов. Вес самолёта был равен 17500 кг. Планёр оторвался на скорости 110-115 км/час, самолёт на скорости 120 км/час. Как оказалось, мощность четырёх двигателей самолёта ТБ-3 явно не обеспечивала уверенного полёта. Процитируем отчёт об испытаниях: «При форсированных оборотах мотора была набрана высота 30-40 м. После частичной уборки форсажа /…/ поезд сохранил горизонтальный полёт на скорости 130 км/час. При увеличении скорости до 140 км/час поезд снижался с вертикальной скоростью 0,5 м/сек. Не имея возможности набрать высоту, было принято решение сделать отцепку планера с прямой над аэродромом Быково. Посадка был сделана благополучно. /…/ После приземления планер немного развернуло. Длина пробега около 20 метров /…/. С быковского аэродрома на аэродром (название замазано, речь идёт о Монино) (8 км) планер «АТ» без разборки был доставлен самоходом. Ввиду недостатка мощности на самолете ТБ-3 4АМ34РНВ для буксировки планера «АТ», дальнейшие испытания были приостановлены». «Летающий танк» Антонова вернули в Кратово (на аэродром ЛИИ), и более он никогда не поднимался в воздух. Результаты могли бы быть более успешными в случае использовании в качестве буксировщика самолёта ТБ-7 (Пе-8). Однако это было бы непозволительной роскошью – таких самолётов насчитывалось в строю всего около 40, и они были остро необходимы для других целей. По этой причине работа над «летающим танком» КТ (А-40) не получила продолжения (19165).</w:t>
      </w:r>
    </w:p>
    <w:p w14:paraId="5DC83214" w14:textId="77777777" w:rsidR="00C365F0" w:rsidRPr="00640820" w:rsidRDefault="00C365F0" w:rsidP="00640820">
      <w:pPr>
        <w:spacing w:after="0" w:line="240" w:lineRule="auto"/>
        <w:jc w:val="both"/>
        <w:rPr>
          <w:rFonts w:ascii="Times New Roman" w:hAnsi="Times New Roman"/>
          <w:color w:val="000000" w:themeColor="text1"/>
          <w:sz w:val="16"/>
          <w:szCs w:val="16"/>
        </w:rPr>
      </w:pPr>
    </w:p>
    <w:p w14:paraId="64361F3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 авиационный конструктор О.К. Антонов предложил изготовить упрощенный буксируемый планер разового при</w:t>
      </w:r>
      <w:r w:rsidRPr="00640820">
        <w:rPr>
          <w:rFonts w:ascii="Times New Roman" w:hAnsi="Times New Roman"/>
          <w:color w:val="000000" w:themeColor="text1"/>
          <w:sz w:val="16"/>
          <w:szCs w:val="16"/>
        </w:rPr>
        <w:softHyphen/>
        <w:t>менения. Частью фюзеляжа планера являлся корпус танка Т-60, а взлетно-посадочным устройством - ходовая часть танка. Предполага</w:t>
      </w:r>
      <w:r w:rsidRPr="00640820">
        <w:rPr>
          <w:rFonts w:ascii="Times New Roman" w:hAnsi="Times New Roman"/>
          <w:color w:val="000000" w:themeColor="text1"/>
          <w:sz w:val="16"/>
          <w:szCs w:val="16"/>
        </w:rPr>
        <w:softHyphen/>
        <w:t>лось, что такой планер мог буксироваться четырехмоторным тяжелым бомбардировщиком ТБ-3 или самолетом дальнего действия ДБ-3Ф до пункта назначения.' После отцепки танк мог производить посадку на площадку ограниченных размеров и, после отсоединения крыльев с хвостовым оперением, идти в бой. Летом 1942 г. на планерном заводе в Тюмени был изготовлен опытный образец буксируемого планера, кото</w:t>
      </w:r>
      <w:r w:rsidRPr="00640820">
        <w:rPr>
          <w:rFonts w:ascii="Times New Roman" w:hAnsi="Times New Roman"/>
          <w:color w:val="000000" w:themeColor="text1"/>
          <w:sz w:val="16"/>
          <w:szCs w:val="16"/>
        </w:rPr>
        <w:softHyphen/>
        <w:t>рый получил название АТ-1 или КТ ("Крылья танка"). В августе - сен</w:t>
      </w:r>
      <w:r w:rsidRPr="00640820">
        <w:rPr>
          <w:rFonts w:ascii="Times New Roman" w:hAnsi="Times New Roman"/>
          <w:color w:val="000000" w:themeColor="text1"/>
          <w:sz w:val="16"/>
          <w:szCs w:val="16"/>
        </w:rPr>
        <w:softHyphen/>
        <w:t>тябре того же года опытный образец планера прошел испытания в г. Жу</w:t>
      </w:r>
      <w:r w:rsidRPr="00640820">
        <w:rPr>
          <w:rFonts w:ascii="Times New Roman" w:hAnsi="Times New Roman"/>
          <w:color w:val="000000" w:themeColor="text1"/>
          <w:sz w:val="16"/>
          <w:szCs w:val="16"/>
        </w:rPr>
        <w:softHyphen/>
        <w:t>ковский под Москвой в Летно-исследовательском институте (ЛИИ). Крылья планера с двухбалочным хвостовым оперением были выпол</w:t>
      </w:r>
      <w:r w:rsidRPr="00640820">
        <w:rPr>
          <w:rFonts w:ascii="Times New Roman" w:hAnsi="Times New Roman"/>
          <w:color w:val="000000" w:themeColor="text1"/>
          <w:sz w:val="16"/>
          <w:szCs w:val="16"/>
        </w:rPr>
        <w:softHyphen/>
        <w:t>нены по бипланной схеме. Эта конструкция навешивалась и крепилась на корпус танка Т-60. Планер имел длину фюзеляжа 12 м, размах крыльев 18 м, а площадь коробки крыльев - 86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Собственная масса планера составляла 2 т, полетная масса танка была доведена до 5,8 т, при этом по</w:t>
      </w:r>
      <w:r w:rsidRPr="00640820">
        <w:rPr>
          <w:rFonts w:ascii="Times New Roman" w:hAnsi="Times New Roman"/>
          <w:color w:val="000000" w:themeColor="text1"/>
          <w:sz w:val="16"/>
          <w:szCs w:val="16"/>
        </w:rPr>
        <w:softHyphen/>
        <w:t>лезная нагрузка на крыло составляла 90 кгс/м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Для снижения полетной массы танка с него были демонтированы: вооружение с боекомплектом, надгусеничные полки, фары и слита большая часть топлива. Экипаж планера КТ состоял из одного человека, который выполнял функции пилота, механика-водителя и стрелка. Управление планером в воздухе осуществлялось рулями и элеронами с места механика-водите</w:t>
      </w:r>
      <w:r w:rsidRPr="00640820">
        <w:rPr>
          <w:rFonts w:ascii="Times New Roman" w:hAnsi="Times New Roman"/>
          <w:color w:val="000000" w:themeColor="text1"/>
          <w:sz w:val="16"/>
          <w:szCs w:val="16"/>
        </w:rPr>
        <w:softHyphen/>
        <w:t>ля с помощью тросового привода. Для аэродинамической компенсации на рулях и элеронах были дополнительно установлены небольшие кры</w:t>
      </w:r>
      <w:r w:rsidRPr="00640820">
        <w:rPr>
          <w:rFonts w:ascii="Times New Roman" w:hAnsi="Times New Roman"/>
          <w:color w:val="000000" w:themeColor="text1"/>
          <w:sz w:val="16"/>
          <w:szCs w:val="16"/>
        </w:rPr>
        <w:softHyphen/>
        <w:t>лья. С целью удобства управления в полете танк дополнительно был оборудован зеркалами заднего и бокового видов. После приземления танка крыло отсоединялось пилотом с помощью специального приспо</w:t>
      </w:r>
      <w:r w:rsidRPr="00640820">
        <w:rPr>
          <w:rFonts w:ascii="Times New Roman" w:hAnsi="Times New Roman"/>
          <w:color w:val="000000" w:themeColor="text1"/>
          <w:sz w:val="16"/>
          <w:szCs w:val="16"/>
        </w:rPr>
        <w:softHyphen/>
        <w:t>собления без выхода из танка. При испытаниях опытного образца планера КТ для его буксирова-ния был использован бомбардировщик ТБ-3 с форсированными до 970 л.с. (713 кВт) двигателями АМ-34РН. Планером управлял извест</w:t>
      </w:r>
      <w:r w:rsidRPr="00640820">
        <w:rPr>
          <w:rFonts w:ascii="Times New Roman" w:hAnsi="Times New Roman"/>
          <w:color w:val="000000" w:themeColor="text1"/>
          <w:sz w:val="16"/>
          <w:szCs w:val="16"/>
        </w:rPr>
        <w:softHyphen/>
        <w:t>ный летчик-испытатель С.Н. Анохин. Из-за большой массы и малой об-текае-мости планера КТ, буксировка проходила при работе двигателей самолета на мощности близкой к максимальной. Скорость полета со</w:t>
      </w:r>
      <w:r w:rsidRPr="00640820">
        <w:rPr>
          <w:rFonts w:ascii="Times New Roman" w:hAnsi="Times New Roman"/>
          <w:color w:val="000000" w:themeColor="text1"/>
          <w:sz w:val="16"/>
          <w:szCs w:val="16"/>
        </w:rPr>
        <w:softHyphen/>
        <w:t>ставляла 130 км/ч, но скорость подъема все же оказалась недостаточной и самолет смог достичь лишь высоты 40 м, при этом температура воды в системе охлаждения двигателей самолета резко возросла, и из-за опас</w:t>
      </w:r>
      <w:r w:rsidRPr="00640820">
        <w:rPr>
          <w:rFonts w:ascii="Times New Roman" w:hAnsi="Times New Roman"/>
          <w:color w:val="000000" w:themeColor="text1"/>
          <w:sz w:val="16"/>
          <w:szCs w:val="16"/>
        </w:rPr>
        <w:softHyphen/>
        <w:t>ности их перегрева был произведен отцеп планера, который совершил посадку в районе подмосковного аэродрома Быково. После приземле</w:t>
      </w:r>
      <w:r w:rsidRPr="00640820">
        <w:rPr>
          <w:rFonts w:ascii="Times New Roman" w:hAnsi="Times New Roman"/>
          <w:color w:val="000000" w:themeColor="text1"/>
          <w:sz w:val="16"/>
          <w:szCs w:val="16"/>
        </w:rPr>
        <w:softHyphen/>
        <w:t>ния танк своим ходом прибыл на аэродром ЛИИ. Испытания показали, что при создании планера были допущены ошибки в расчетах его аэродинамических свойств и требуемой мощности двига</w:t>
      </w:r>
      <w:r w:rsidRPr="00640820">
        <w:rPr>
          <w:rFonts w:ascii="Times New Roman" w:hAnsi="Times New Roman"/>
          <w:color w:val="000000" w:themeColor="text1"/>
          <w:sz w:val="16"/>
          <w:szCs w:val="16"/>
        </w:rPr>
        <w:softHyphen/>
        <w:t>телей самолета-буксировщика (расчеты проводились без учета сопротив</w:t>
      </w:r>
      <w:r w:rsidRPr="00640820">
        <w:rPr>
          <w:rFonts w:ascii="Times New Roman" w:hAnsi="Times New Roman"/>
          <w:color w:val="000000" w:themeColor="text1"/>
          <w:sz w:val="16"/>
          <w:szCs w:val="16"/>
        </w:rPr>
        <w:softHyphen/>
        <w:t>ления тросов, соединявших бипланную коробку крьиа и оперения, гусе</w:t>
      </w:r>
      <w:r w:rsidRPr="00640820">
        <w:rPr>
          <w:rFonts w:ascii="Times New Roman" w:hAnsi="Times New Roman"/>
          <w:color w:val="000000" w:themeColor="text1"/>
          <w:sz w:val="16"/>
          <w:szCs w:val="16"/>
        </w:rPr>
        <w:softHyphen/>
        <w:t>ниц танка и др.), которые не позволили двигателям самолета ТБ-3 поднять планер на требуемую высоту, и усложнили управление им в полете. После проведения пробного полета дальнейшие работы были пре</w:t>
      </w:r>
      <w:r w:rsidRPr="00640820">
        <w:rPr>
          <w:rFonts w:ascii="Times New Roman" w:hAnsi="Times New Roman"/>
          <w:color w:val="000000" w:themeColor="text1"/>
          <w:sz w:val="16"/>
          <w:szCs w:val="16"/>
        </w:rPr>
        <w:softHyphen/>
        <w:t>кращены (10703).</w:t>
      </w:r>
    </w:p>
    <w:p w14:paraId="0B57E3F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D209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 неподалеку от Москвы совершил вынужденную посадку самолет капитана Рольфа Пингела из эскадры JG51 и таким образом BF-109F достался советским ВВС в летном состоянии. Отремонтированный в мастерских 47-й истребительной авиадивизий истребитель передали в НИИ ВВС, где его облетал капитан А.Г. Прошаков. Результаты проведенных полномасштабных испытаний машины оказались весьма настораживающими (9020).</w:t>
      </w:r>
    </w:p>
    <w:p w14:paraId="25B2DF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A2830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Поздней осенью 1941 г. под Ленинградом в составе эскадры JG51 на советско-германском фронте впервые появились FW 190A-2. Однако и сами машины, и их моторы были еще недостаточно доведенными, а в условиях начинавшейся русской зимы - попросту неработоспособными. Не совершив ни единого боевого вылета, "фоккеры" (так, не совсем корректно, их называли наши бойцы) вернулись в Германию, чтобы вновь появиться на Восточном фронте лишь год спустя (9020).</w:t>
      </w:r>
    </w:p>
    <w:p w14:paraId="52CAAA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40BBF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года после эвакуации завода № 24 на его территории приказом МАП за № 1184с от 23 декабря 1941 года был создан завод авиаремонтного и минометного производства с присвоением ему № 337.</w:t>
      </w:r>
    </w:p>
    <w:p w14:paraId="11CA11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НКАП от 24 февраля 1942 года за № 151с во исполнение Постановления ГКО № ГКО-1288сс от 15 февраля 1942 года на Московской площадке эвакуированного завода № 24 им. Фрунзе и вновь созданного завода № 337 организован завод № 45 с выпуском авиамоторов водяного охлаждения серии АМ-38.</w:t>
      </w:r>
    </w:p>
    <w:p w14:paraId="10191E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Вследствие моторов АМ-38 в серийное производство, производство минометов было снято и оставлен дополнительно к выпуску моторов АМ-38, ремонт моторов серии АМ-35 и АМ-38.</w:t>
      </w:r>
    </w:p>
    <w:p w14:paraId="2EB767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НКАП от 10 апреля 1943 года за № 202сс во исполнение постановления ГКО за № 8063сс от 22 февраля 1943 года завод № 45 перешел на изготовление форсированного мотора АМ-38Ф, а 1 июня 1943 года выпуск моторов АМ-38 заводом полностью прекращен. С марта 1944 года завод параллельно с выпуском моторов АМ-38Ф включил в производство изготовление деталей и агрегатов дизеля АЧ-30Б. С сентября 1945 года выпуск моторов АМ-38Ф с производства снят и оставлен в производстве только дизель-мотор АЧ-30Б</w:t>
      </w:r>
    </w:p>
    <w:p w14:paraId="4CFC93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Москва, Мейеровский пр., 14 (территория Б, В), территория А – Ткацкая ул.</w:t>
      </w:r>
    </w:p>
    <w:p w14:paraId="10A875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Производственный профиль – моторный (9829).</w:t>
      </w:r>
    </w:p>
    <w:p w14:paraId="29A620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53A37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осени 1941 года до июля 1942 года заводом № 99 в качестве филиала завода № 125 было сдано 699 агрегатов фюзеляжей и оперения самолетов ПЕ-2.</w:t>
      </w:r>
    </w:p>
    <w:p w14:paraId="0579AB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переходе на серийное производства агрегатов ПЕ-2 заводу было передано оборудование с завода № 39 (бывш. завод № 125).</w:t>
      </w:r>
    </w:p>
    <w:p w14:paraId="27BEA6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период производства фюзеляжей и оперения самолетов ПЕ-2 директором завода был Прокопьев С.И.</w:t>
      </w:r>
    </w:p>
    <w:p w14:paraId="581621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исполнение Постановления ГКО за № 2209сс от 24 августа 1942 года, приказом НКАП № 652сс от 25 августа 1942 года завод преобразован из филиала завода № 39 в самостоятельный самолетостроительный завод № 99. Заводу было поручено организовать выпуск истребителей ЛА-5 с мотором воздушного охлаждения М-82. С февраля 1943 года завод приступил к серийному выпуску самолета ЛА-5 типа 37.</w:t>
      </w:r>
    </w:p>
    <w:p w14:paraId="640BF6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Выпуск ЛА-5 продолжался до июля 1944 года, за указанный период завод передал ВВС 286 машин. В июле 1944 года была получена директива о прекращении изготовления самолета ЛА-5 и запуске в производство машины типа № 45, названной ЛА-7.</w:t>
      </w:r>
    </w:p>
    <w:p w14:paraId="3A0EEC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Выпуск ЛА-7 продолжался до марта 1946 года, за указанный период сдано частям ВВС 249 машин.</w:t>
      </w:r>
    </w:p>
    <w:p w14:paraId="6992D0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Постановлением ГКО от 6 июня 1945 года № 8934сс и приказом НКАП № 251сс от 15 июня 1945 года о сокращении плана производства самолетов, на освобожденных мощностях организовано производство изделий народного потребления. В ноябре 1946 года по приказу начальника ПГУ МАП за № 39с от 6 ноября 1946 года завод приступил к подготовке производства самолетов ЛА-9 с мотором АШ-82ФН.</w:t>
      </w:r>
    </w:p>
    <w:p w14:paraId="4050B4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Выпуск самолетов ЛА-9 продолжался до 1 июля 1948 года. За указанный период завод передал ВВС 73 машины. Начиная с июня 1948 года завод приступил к выпуску самолетов ЛА-9 УТИ. С января 1947 года по 1 января 1950 года завод передал ВВС самолетов ЛА-9 и ЛА-9 УТИ всего 323 машины. С января 1950 года Постановлением СМ № 5560-2153сс от 17 декабря 1949 года приказом МАП за № 1019сс-ов от 29 декабря 1949 года заводу было предложено приступить к освоению и производству самолетов УТИ МИГ-15 с двигателем РД-45Ф. Завод продолжал ремонт самолетов ЛА-9 до 1951 года.</w:t>
      </w:r>
    </w:p>
    <w:p w14:paraId="732424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начиная с 1951 года начал серийный выпуск самолета МИГ-15 с крыльями получаемыми с родственных заводов.</w:t>
      </w:r>
    </w:p>
    <w:p w14:paraId="4C8CF5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Местонахождение – завод расположен в 12 км от Улан-Удэ</w:t>
      </w:r>
    </w:p>
    <w:p w14:paraId="56A361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Производственный профиль – самолетостроительный завод по выпуску самолетов УТИ МИГ-15 и вертолетов КА-15</w:t>
      </w:r>
    </w:p>
    <w:p w14:paraId="54D7A6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Основными задача, стоявшая перед заводом в 1958 году – выпуск вертолетов КА-15 в количестве 140 единиц, самолетов УТИ МИГ-15 в количестве 100 единиц и выпуск гражданской продукции (9657).</w:t>
      </w:r>
    </w:p>
    <w:p w14:paraId="700EED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7C6C3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 согласно воспоминания В.В. Пшеничнова, в 1941 - 1945 гг. начальника ПАРМ-1 562-го иап ПВО, в боях за Москву полк терял самолеты один за другим. Малочисленный состав ПАРМ был озабочен, как восстановить дотянувшие до аэродрома поврежденные "яки", подобрать машины, совершившие вынужденные посадки, и всю мало-мальски пригодную технику снова ввести в строй. Об окраске в тот период думать времени не оставалось. Подмазывались лишь поврежденные места (11989).</w:t>
      </w:r>
    </w:p>
    <w:p w14:paraId="6F56E9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4452F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 в КБ-35 НКБ корпуса сварных ФАБ-250 модернизировали с целью упрощения технологии их производства за счет замены клепанных соединений сваркой, усиления применявшихся ранее сварных швов и упрощения подвесной системы путем замены бугеля ушком, установленным в корпусе на резьбе. Опытная партия этих боеприпасов проходила полигонные испытания под Чкаловом (в настоящее время - г.Оренбург) в начале 1942. Там по пять бомб сбросили с высот 1000 и 2000 м. В первом случае они пронзили полуметровый слой суглинка, промерзший на 40 см, и взорвались в толще красной глины, продемонстрировав неполный выброс грунта из воронок. Во втором -случились полные камуфлеты, хотя раскопки подтвердили, 'о авиабомбы взорвались полностью, образовав воронки на убине 2,4 м.</w:t>
      </w:r>
    </w:p>
    <w:p w14:paraId="1D315B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сравнения фугасного действия ФАБ-250М и штатных ФАБ-250цк, снаряженных аммотолом 50/50, в том же грунте провели их наземные подрывы. По объему выброшенного грунта первые оказались эффективнее в 1,2 раза. Такие же испытания, проведенные на Ногинском полигоне с меньшей прочностью грунта, уже не дали ни одного камуфлета и подтвердили росходство фугасности ФАБ-250М, при этом размеры воронок увеличились более чем в два раза (7453).</w:t>
      </w:r>
    </w:p>
    <w:p w14:paraId="0996B7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612C656"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стало известно, что авиабомбы ЗАБ-100ЦК успешно выдержали своеобразные государственные испытания: их применили при бомбардировке Плоешти, центра нефтедобычи в Румынии, откуда снабжалась германская армия, а также при налетах на нефтеналивные суда на Дунае. ЗАБ-100ЦК обеспечивала безотказное поджигание бензо- и нефтехранилищ, а также различных сооружений.</w:t>
      </w:r>
    </w:p>
    <w:p w14:paraId="494FCFCC"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Успеху немало способствовало наличие светящих бомб САБ-100-55, доставленных одновременно с ЗАБ-100ЦК. САБ-100-55 отличалась очень высокой силой света, длительным временем горения и обеспечивала возможность вести прицельное бомбометание с высот до 5000 м. Ни в одной армии, в том числе и германской таких осветительных бомб не было.</w:t>
      </w:r>
    </w:p>
    <w:p w14:paraId="15E39702" w14:textId="77777777" w:rsidR="00F26E86" w:rsidRPr="00640820" w:rsidRDefault="00F26E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Инструктировал летный состав, сопровождавший бомбы, сотрудник ГСКБ-47 Е. Б. Шмаенок, что было очень важно при первых вылетах. Е. Б. Шмаенку удалось принять участие в полете на Плоешти (15794).</w:t>
      </w:r>
    </w:p>
    <w:p w14:paraId="5724EFA8" w14:textId="77777777" w:rsidR="00F26E86" w:rsidRPr="00640820" w:rsidRDefault="00F26E86" w:rsidP="00640820">
      <w:pPr>
        <w:spacing w:after="0" w:line="240" w:lineRule="auto"/>
        <w:jc w:val="both"/>
        <w:rPr>
          <w:rFonts w:ascii="Times New Roman" w:hAnsi="Times New Roman"/>
          <w:color w:val="000000" w:themeColor="text1"/>
          <w:sz w:val="16"/>
          <w:szCs w:val="16"/>
        </w:rPr>
      </w:pPr>
    </w:p>
    <w:p w14:paraId="3F0AE8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 когда танковые соединения вермахта на некоторых направлениях подошли к Москве, практически не встретив никакого организованного сопротивления, последние резервные подразделения Красной Армии и народные ополченцы стремились остановить их любыми средствами. В столь отчаянной ситуации в одном из столичных институтов неэвакуировавшиеся инженеры-химики С.И.Беленький, А.П.Ионов и Л.Ф.Шевелкин на основе современных материалов воссоздали авиационный боеприпас времен первой мировой войны, названный “огневым мешком”. Дело в том, что А.П.Ионов еще в 1938 г. начал исследования синтеза порошкообразных загустителей для получения вязких огнесмесей для существенного увеличения дальности струйного огнемета-ния из танковых, траншейных, фугасных и ручных огнеметов, а также высотного огнеметания с самолетов из выливных авиационных приборов. В этих работах непосредственное участие принимали химики В.В.Земскова, Л.Ф.Шевелкин и А.В.Ясницкая. Разработка технологии получения порошкообразного загустителя ОП-2 успешно завершились уже в 1939 г.</w:t>
      </w:r>
    </w:p>
    <w:p w14:paraId="207CF8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Огневые мешки изготавливали в виде больших пакетов из бензостойкой клеенчатой ткани, а иногда и из нескольких слоев крафт-бумаги вместимостью до 30 л. Прямо на аэродромах их заполняли вязкой огнесмесью, приготовленной из авиабензина, загущенного отверждающим порошком-загустителем ОП-2. Позаимствовав прием времен первой мировой войны, в горловину мешков вставляли деревянный блок с терочными воспламенителями, пиротехническими замедлителями и воспламенительно-разрывным зарядом и завязывали ее веревкой. Между тем о серьезности этого образца вооружения говорит тот факт, что массовое производство этих экзотических боеприпасов было налажено до середины 1942 г. в Казани и Москве (7453).</w:t>
      </w:r>
    </w:p>
    <w:p w14:paraId="7563AA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BA2DB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для применения “огненных мешков” создали специальные подкрыльевые кассеты, где размещалось по паре мешков. На высоте около 50 м от земли эти боеприпасы срабатывали, поливая огненными струями скопления вражеской техники и позиции пехоты. Во время ночных налетов на Можайск, Кубинку, деревню Березовку немцам нанесли значительный урон. При этом большой пожар возник на станции Дорохове, где подобным образом удалось поджечь скопившиеся там вражеские эшелоны. Огневые мешки применяли также в боях за Вязьму и Дорогобуж (7453).</w:t>
      </w:r>
    </w:p>
    <w:p w14:paraId="01DA6D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3AB9A7E" w14:textId="77777777" w:rsidR="007B4E69" w:rsidRPr="00640820" w:rsidRDefault="007B4E69" w:rsidP="00640820">
      <w:pPr>
        <w:spacing w:after="0" w:line="240" w:lineRule="auto"/>
        <w:jc w:val="both"/>
        <w:rPr>
          <w:rFonts w:ascii="Times New Roman" w:hAnsi="Times New Roman"/>
          <w:color w:val="000000" w:themeColor="text1"/>
          <w:sz w:val="16"/>
          <w:szCs w:val="16"/>
          <w:shd w:val="clear" w:color="auto" w:fill="FFFFFF"/>
        </w:rPr>
      </w:pPr>
      <w:r w:rsidRPr="00640820">
        <w:rPr>
          <w:rFonts w:ascii="Times New Roman" w:hAnsi="Times New Roman"/>
          <w:color w:val="000000" w:themeColor="text1"/>
          <w:sz w:val="16"/>
          <w:szCs w:val="16"/>
          <w:shd w:val="clear" w:color="auto" w:fill="FFFFFF"/>
        </w:rPr>
        <w:t>Осенью 1941 года, когда немецкие танки рвались к Москве, молодые тогда инженеры НИИ ГВФ Л.Копылов и Я.Островский изобрели простые по своей конструкции, но очень эффективные "огневые мешки".</w:t>
      </w:r>
    </w:p>
    <w:p w14:paraId="59529CAE" w14:textId="77777777" w:rsidR="007B4E69" w:rsidRPr="00640820" w:rsidRDefault="007B4E69" w:rsidP="00640820">
      <w:pPr>
        <w:spacing w:after="0" w:line="240" w:lineRule="auto"/>
        <w:jc w:val="both"/>
        <w:rPr>
          <w:rFonts w:ascii="Times New Roman" w:hAnsi="Times New Roman"/>
          <w:color w:val="000000" w:themeColor="text1"/>
          <w:sz w:val="16"/>
          <w:szCs w:val="16"/>
          <w:shd w:val="clear" w:color="auto" w:fill="FFFFFF"/>
        </w:rPr>
      </w:pPr>
      <w:r w:rsidRPr="00640820">
        <w:rPr>
          <w:rFonts w:ascii="Times New Roman" w:hAnsi="Times New Roman"/>
          <w:color w:val="000000" w:themeColor="text1"/>
          <w:sz w:val="16"/>
          <w:szCs w:val="16"/>
          <w:shd w:val="clear" w:color="auto" w:fill="FFFFFF"/>
        </w:rPr>
        <w:lastRenderedPageBreak/>
        <w:t>По заданию Наркомата боеприпасов СССР серийное производство авиационных боеприпасов типа "огневой мешок" было налажено в ноябре 1941 года на базе опытно-лабораторных установок и производственных мастерских Казанского химико-технологического института.</w:t>
      </w:r>
    </w:p>
    <w:p w14:paraId="5151A5F0" w14:textId="77777777" w:rsidR="007B4E69" w:rsidRPr="00640820" w:rsidRDefault="007B4E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shd w:val="clear" w:color="auto" w:fill="FFFFFF"/>
        </w:rPr>
        <w:t>Эти "казанские подарки фрицам", как называли их пилоты, при падении распространяли пламя пожара буквально кругом. Вот как рассказывал об этом В.С.Молоков: "…В первые месяцы войны с помощью химиков и инженеров были изобретены своеобразные "бомбы" - клеенчатые мешки, заполненные горючей смесью. Это было первое оружие, которое получила наша особая авиагруппа. Эскадрильи с наступлением темноты направлялись к заданным целям. Штурман, он же бомбардир, руками выбрасывал такие мешки за борт, когда самолет пролетал над вражескими позициями. Бомбы взрывались метрах в пятидесяти от земли, поливая огненными струями скопления техники и траншеи противника… Наши летчики успешно использовали "огненные мешки" для выкуривания врага с земли Подмосковья". Последние сообщения об успешном применении "огневых мешков" относятся к декабрю 1942 года - в боевых операциях на Северном Кавказе (19699).</w:t>
      </w:r>
    </w:p>
    <w:p w14:paraId="4457C327" w14:textId="77777777" w:rsidR="007B4E69" w:rsidRPr="00640820" w:rsidRDefault="007B4E69" w:rsidP="00640820">
      <w:pPr>
        <w:spacing w:after="0" w:line="240" w:lineRule="auto"/>
        <w:jc w:val="both"/>
        <w:rPr>
          <w:rFonts w:ascii="Times New Roman" w:hAnsi="Times New Roman"/>
          <w:color w:val="000000" w:themeColor="text1"/>
          <w:sz w:val="16"/>
          <w:szCs w:val="16"/>
        </w:rPr>
      </w:pPr>
    </w:p>
    <w:p w14:paraId="75E676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 на авиационном ремонтном заводе по чертежам командира взвода зенитных пулеметов 64-го батальона аэродромного обслуживания 14-й воздушной армии младшего лейтенанта Н.И.Баранова были изготовлены 8 зенитных ракетных установок с 24 направляющими под ракеты РС-82 и РС-132. Установку смонтировали на шасси автомобиля ЗИС-5. Она обеспечивала угол возвышения направляющих до 85</w:t>
      </w:r>
      <w:r w:rsidRPr="00640820">
        <w:rPr>
          <w:rFonts w:ascii="Times New Roman" w:hAnsi="Times New Roman"/>
          <w:color w:val="000000" w:themeColor="text1"/>
          <w:sz w:val="16"/>
          <w:szCs w:val="16"/>
          <w:vertAlign w:val="superscript"/>
        </w:rPr>
        <w:t>0</w:t>
      </w:r>
      <w:r w:rsidRPr="00640820">
        <w:rPr>
          <w:rFonts w:ascii="Times New Roman" w:hAnsi="Times New Roman"/>
          <w:color w:val="000000" w:themeColor="text1"/>
          <w:sz w:val="16"/>
          <w:szCs w:val="16"/>
        </w:rPr>
        <w:t>. Был создан прибор управления пуском одновременно двух и более ракет. Были разработаны специальные таблицы стрельбы. На ракетах были установлены дистанционные взрыватели, которые позволяли производить разрывы ракет в воздухе с интервалом 100 м (создавать заградительный огонь). Установки находились на прикрытии аэродромов в районе г. Тихвин и на Ладоге. Ими удалось сбить два самолета – бомбардировщик “Юнкерс-88” и истребитель “Мессершмидт-109 (10109).</w:t>
      </w:r>
    </w:p>
    <w:p w14:paraId="255443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CB730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 на авиационном ремонтном заводе по чертежам командира взвода зенитных пулеметов 64-го батальона аэродромного обслуживания 14-й воздушной армии младшего лейтенанта Н.И.Баранова были изготовлены 8 зенитных ракетных установок с 24 направляющими под ракеты РС-82 и РС-132. Установку смонтировали на шасси автомобиля ЗИС-5. Она обеспечивала угол возвышения направляющих до 85</w:t>
      </w:r>
      <w:r w:rsidRPr="00640820">
        <w:rPr>
          <w:rFonts w:ascii="Times New Roman" w:hAnsi="Times New Roman"/>
          <w:color w:val="000000" w:themeColor="text1"/>
          <w:sz w:val="16"/>
          <w:szCs w:val="16"/>
          <w:vertAlign w:val="superscript"/>
        </w:rPr>
        <w:t>0</w:t>
      </w:r>
      <w:r w:rsidRPr="00640820">
        <w:rPr>
          <w:rFonts w:ascii="Times New Roman" w:hAnsi="Times New Roman"/>
          <w:color w:val="000000" w:themeColor="text1"/>
          <w:sz w:val="16"/>
          <w:szCs w:val="16"/>
        </w:rPr>
        <w:t>. Был создан прибор управления пуском одновременно двух и более ракет. Были разработаны специальные таблицы стрельбы. На ракетах были установлены дистанционные взрыватели, которые позволяли производить разрывы ракет в воздухе с интервалом 100 м (создавать заградительный огонь). Установки находились на прикрытии аэродромов в районе г. Тихвин и на Ладоге. Ими удалось сбить два самолета – бомбардировщик “Юнкерс-88” и истребитель “Мессершмидт-109 (10109).</w:t>
      </w:r>
    </w:p>
    <w:p w14:paraId="0AD725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AD7A51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 с целью оценить на месте их технические возможности К. Риделя командировали на фронт (Записная книжка Клауса Риделя... Л. 1.). По-видимому, в архивах Армейского Управления вооруже</w:t>
      </w:r>
      <w:r w:rsidRPr="00640820">
        <w:rPr>
          <w:rFonts w:ascii="Times New Roman" w:hAnsi="Times New Roman"/>
          <w:color w:val="000000" w:themeColor="text1"/>
          <w:sz w:val="16"/>
          <w:szCs w:val="16"/>
        </w:rPr>
        <w:softHyphen/>
        <w:t>ний Германии и Армейского ракетного центра в Пенемюнде должен был сохраниться его подробный отчёт о впечатлениях, полученных во время этой командировки, который, возможно, еще будет выявлен в ходе дальнейших поисков (11696).</w:t>
      </w:r>
    </w:p>
    <w:p w14:paraId="3DE4ED3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6E62D4" w14:textId="77777777" w:rsidR="00F26E86" w:rsidRPr="00640820" w:rsidRDefault="00F26E86" w:rsidP="00640820">
      <w:pPr>
        <w:pStyle w:val="ae"/>
        <w:spacing w:before="0" w:after="0"/>
        <w:jc w:val="both"/>
        <w:rPr>
          <w:color w:val="000000" w:themeColor="text1"/>
          <w:sz w:val="16"/>
          <w:szCs w:val="16"/>
        </w:rPr>
      </w:pPr>
      <w:r w:rsidRPr="00640820">
        <w:rPr>
          <w:color w:val="000000" w:themeColor="text1"/>
          <w:sz w:val="16"/>
          <w:szCs w:val="16"/>
        </w:rPr>
        <w:t>Осенью 1941 года серийное изготовление установок М-8 с направляющими типа «флейта», а также узлов и деталей для них по чертежам и технической документации СКБ было поручено десяткам предприятий СССР. 36-зарядные боевые установки М-8 на шасси ЗИС-6 (52-ТР-391) участвовали в битве под Москвой, в других операциях Красной Армии первого периода войны и, по мнению фронтовиков, внесли весомый вклад в разгром врага (15807).</w:t>
      </w:r>
    </w:p>
    <w:p w14:paraId="2FD229CC" w14:textId="77777777" w:rsidR="00F26E86" w:rsidRPr="00640820" w:rsidRDefault="00F26E86" w:rsidP="00640820">
      <w:pPr>
        <w:pStyle w:val="ae"/>
        <w:spacing w:before="0" w:after="0"/>
        <w:jc w:val="both"/>
        <w:rPr>
          <w:color w:val="000000" w:themeColor="text1"/>
          <w:sz w:val="16"/>
          <w:szCs w:val="16"/>
        </w:rPr>
      </w:pPr>
    </w:p>
    <w:p w14:paraId="2C9A35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в СССР начались работы по копированию трофейных 280 мм фугасных ТРС 28 cm WK.Spr и летом 1942 снаряды под обозначением М-28 приняли на вооружение. БЧ немецкого снаряда могла быть фугасной или зажигательной. Пускались из транспортно-пусковых деревянных контейнеров со специальных установок и с подвижной установки на базе полугусеничного транспортера типа 251 (3815).</w:t>
      </w:r>
    </w:p>
    <w:p w14:paraId="32F8BB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E63A0B7" w14:textId="77777777" w:rsidR="00432749" w:rsidRPr="00640820" w:rsidRDefault="00432749" w:rsidP="00640820">
      <w:pPr>
        <w:pStyle w:val="ae"/>
        <w:shd w:val="clear" w:color="auto" w:fill="FFFFFF"/>
        <w:spacing w:before="0" w:after="0"/>
        <w:jc w:val="both"/>
        <w:textAlignment w:val="baseline"/>
        <w:rPr>
          <w:color w:val="0070C0"/>
          <w:sz w:val="16"/>
          <w:szCs w:val="16"/>
        </w:rPr>
      </w:pPr>
      <w:r w:rsidRPr="00640820">
        <w:rPr>
          <w:color w:val="0070C0"/>
          <w:sz w:val="16"/>
          <w:szCs w:val="16"/>
        </w:rPr>
        <w:t>Осенью 1941 года были разработаны 16-зарядная установка на автоприцепе и 12-зарядная на грузовике ГАЗ-АА, однако из-за технического несовершенства их не приняли на вооружение. Например, испытания установки на автоприцепе конструкции НИИ-3, проходившие с 5 по 7 ноября, выявили существенные проблемы — </w:t>
      </w:r>
      <w:r w:rsidRPr="00640820">
        <w:rPr>
          <w:color w:val="0070C0"/>
          <w:sz w:val="16"/>
          <w:szCs w:val="16"/>
          <w:bdr w:val="none" w:sz="0" w:space="0" w:color="auto" w:frame="1"/>
        </w:rPr>
        <w:t>«неудовлетворительное движение»</w:t>
      </w:r>
      <w:r w:rsidRPr="00640820">
        <w:rPr>
          <w:color w:val="0070C0"/>
          <w:sz w:val="16"/>
          <w:szCs w:val="16"/>
        </w:rPr>
        <w:t>, неудачная конструкция артиллерийской части, вызывающая затруднения при приведении системы в боевое положение, кронштейн прицела посажен неправильно и т. п. (19941).</w:t>
      </w:r>
    </w:p>
    <w:p w14:paraId="3F194AD2" w14:textId="77777777" w:rsidR="00432749" w:rsidRPr="00640820" w:rsidRDefault="00432749" w:rsidP="00640820">
      <w:pPr>
        <w:pStyle w:val="ae"/>
        <w:shd w:val="clear" w:color="auto" w:fill="FFFFFF"/>
        <w:spacing w:before="0" w:after="0"/>
        <w:jc w:val="both"/>
        <w:textAlignment w:val="baseline"/>
        <w:rPr>
          <w:color w:val="0070C0"/>
          <w:sz w:val="16"/>
          <w:szCs w:val="16"/>
        </w:rPr>
      </w:pPr>
    </w:p>
    <w:p w14:paraId="485838EC" w14:textId="77777777" w:rsidR="00432749" w:rsidRPr="00640820" w:rsidRDefault="00432749"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Осенью 1941 г. в Ленинграде А.И. Бернштейн поднял «триплет» — три аэростата «ТВ-ТС- ТН», последовательно присоединявшихся че</w:t>
      </w:r>
      <w:r w:rsidRPr="00640820">
        <w:rPr>
          <w:rFonts w:ascii="Times New Roman" w:hAnsi="Times New Roman"/>
          <w:color w:val="0070C0"/>
          <w:sz w:val="16"/>
          <w:szCs w:val="16"/>
        </w:rPr>
        <w:softHyphen/>
        <w:t>рез 2000 м к поднимаемому тросу, — на высоту 6200 м, что при уходе системы на снос потре</w:t>
      </w:r>
      <w:r w:rsidRPr="00640820">
        <w:rPr>
          <w:rFonts w:ascii="Times New Roman" w:hAnsi="Times New Roman"/>
          <w:color w:val="0070C0"/>
          <w:sz w:val="16"/>
          <w:szCs w:val="16"/>
        </w:rPr>
        <w:softHyphen/>
        <w:t>бовало разматывания 8000 м троса. Эту высоту достигли в условиях свежего подъёмного газа с чистотой 97 % в прохладных условиях и при отсутствии обледенения. Через 10-15 дней, когда чистота водорода снизилась, и началось обледе</w:t>
      </w:r>
      <w:r w:rsidRPr="00640820">
        <w:rPr>
          <w:rFonts w:ascii="Times New Roman" w:hAnsi="Times New Roman"/>
          <w:color w:val="0070C0"/>
          <w:sz w:val="16"/>
          <w:szCs w:val="16"/>
        </w:rPr>
        <w:softHyphen/>
        <w:t>нение троса, высота подъёма триплета уменьши</w:t>
      </w:r>
      <w:r w:rsidRPr="00640820">
        <w:rPr>
          <w:rFonts w:ascii="Times New Roman" w:hAnsi="Times New Roman"/>
          <w:color w:val="0070C0"/>
          <w:sz w:val="16"/>
          <w:szCs w:val="16"/>
        </w:rPr>
        <w:softHyphen/>
        <w:t>лась до 5500 м (20120).</w:t>
      </w:r>
    </w:p>
    <w:p w14:paraId="7B8C9F61" w14:textId="77777777" w:rsidR="00432749" w:rsidRPr="00640820" w:rsidRDefault="00432749" w:rsidP="00640820">
      <w:pPr>
        <w:spacing w:after="0" w:line="240" w:lineRule="auto"/>
        <w:jc w:val="both"/>
        <w:rPr>
          <w:rFonts w:ascii="Times New Roman" w:hAnsi="Times New Roman"/>
          <w:color w:val="0070C0"/>
          <w:sz w:val="16"/>
          <w:szCs w:val="16"/>
        </w:rPr>
      </w:pPr>
    </w:p>
    <w:p w14:paraId="0B497720"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1C6BBD53"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C4AE38E" w14:textId="77777777" w:rsidR="00E110AE" w:rsidRPr="00640820" w:rsidRDefault="00E110A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 в Пермь прибыло подмосковное ОТБ. Возглавлял его А.С. Бакаев – изобретатель порохов, находящийся в заключении, с небольшим перерывом, с 1930 г. Под его руководством трудились талантливые инженеры-химики – Д.И. Гальперин, А.Э. Спориус, Б.И. Пашков, В.А. Лясоцкий, Ф.М. Хритинин и другие. ОТБ было размещено при пороховом заводе №98 им. Кирова и сразу же включилось в разработку важнейшего для страны – баллиститного пороха для «Катюш» и новых технологий производства пороха. Над баллиститными порохами Бакаев работал еще с 1928 г. и заряд для «Катюши» также был разработан задолго до войны. Но, в военные годы иссякли запасы централита (один из компонентов баллиститного пороха). А.С. Бакаев и Д.И. Гальперин в пермском Закамске сумели найти замену редкому централиту и создали новый улучшенный состав баллиститного пороха. Разработанная этим же ОТБ система непрерывного шнекового производства ракетных зарядов увеличила в два раза скорость их изготовления.</w:t>
      </w:r>
    </w:p>
    <w:p w14:paraId="1008A697" w14:textId="77777777" w:rsidR="00E110AE" w:rsidRPr="00640820" w:rsidRDefault="00E110A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Благодаря ученым-химикам из ОТБ НКВД Кировский завод в годы войны стал основным поставщиком порохов в стране. В 1943 г. часть изобретателей была досрочно освобождена и награждена орденами и медалями (18666).</w:t>
      </w:r>
    </w:p>
    <w:p w14:paraId="36EBA6D4" w14:textId="77777777" w:rsidR="00E110AE" w:rsidRPr="00640820" w:rsidRDefault="00E110AE" w:rsidP="00640820">
      <w:pPr>
        <w:spacing w:after="0" w:line="240" w:lineRule="auto"/>
        <w:jc w:val="both"/>
        <w:rPr>
          <w:rFonts w:ascii="Times New Roman" w:hAnsi="Times New Roman"/>
          <w:color w:val="000000" w:themeColor="text1"/>
          <w:sz w:val="16"/>
          <w:szCs w:val="16"/>
        </w:rPr>
      </w:pPr>
    </w:p>
    <w:p w14:paraId="096BE0CB" w14:textId="77777777" w:rsidR="00D11EDA" w:rsidRPr="00640820" w:rsidRDefault="00D11E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Осенью 1941 года завод №8 эвакуировали в Свердловск, а вместе с ним конструкторов и наработки по теме истребителя </w:t>
      </w:r>
      <w:hyperlink r:id="rId23" w:tgtFrame="_blank" w:history="1">
        <w:r w:rsidRPr="00640820">
          <w:rPr>
            <w:rFonts w:ascii="Times New Roman" w:hAnsi="Times New Roman"/>
            <w:color w:val="000000" w:themeColor="text1"/>
            <w:sz w:val="16"/>
            <w:szCs w:val="16"/>
          </w:rPr>
          <w:t>танк</w:t>
        </w:r>
      </w:hyperlink>
      <w:r w:rsidRPr="00640820">
        <w:rPr>
          <w:rFonts w:ascii="Times New Roman" w:hAnsi="Times New Roman"/>
          <w:color w:val="000000" w:themeColor="text1"/>
          <w:sz w:val="16"/>
          <w:szCs w:val="16"/>
        </w:rPr>
        <w:t>а. В ноябре 1941 года было санкционирование начало работ над аналогичной системой, получившей обозначение У-20 (15644).</w:t>
      </w:r>
    </w:p>
    <w:p w14:paraId="0A9B940E" w14:textId="77777777" w:rsidR="00D11EDA" w:rsidRPr="00640820" w:rsidRDefault="00D11EDA" w:rsidP="00640820">
      <w:pPr>
        <w:spacing w:after="0" w:line="240" w:lineRule="auto"/>
        <w:jc w:val="both"/>
        <w:rPr>
          <w:rFonts w:ascii="Times New Roman" w:hAnsi="Times New Roman"/>
          <w:color w:val="000000" w:themeColor="text1"/>
          <w:sz w:val="16"/>
          <w:szCs w:val="16"/>
        </w:rPr>
      </w:pPr>
    </w:p>
    <w:p w14:paraId="0D8B9B6E" w14:textId="77777777" w:rsidR="00D11EDA" w:rsidRPr="00640820" w:rsidRDefault="00D11E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 во время обороны Москвы, обе СУ-14, вместе с еще одной опытной САУ Т-100-Y в составе "Отдельного тяжелого дивизиона особого назначения" использовались в районе ст. Кубинка для стрельбы с закрытых позиций по наступавшим немецким войскам (15647).</w:t>
      </w:r>
    </w:p>
    <w:p w14:paraId="3FD6833C" w14:textId="77777777" w:rsidR="00D11EDA" w:rsidRPr="00640820" w:rsidRDefault="00D11EDA" w:rsidP="00640820">
      <w:pPr>
        <w:spacing w:after="0" w:line="240" w:lineRule="auto"/>
        <w:jc w:val="both"/>
        <w:rPr>
          <w:rFonts w:ascii="Times New Roman" w:hAnsi="Times New Roman"/>
          <w:color w:val="000000" w:themeColor="text1"/>
          <w:sz w:val="16"/>
          <w:szCs w:val="16"/>
        </w:rPr>
      </w:pPr>
    </w:p>
    <w:p w14:paraId="237558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 на площадку завода (ГС завод № 40 ИМ. В.И. Ленина ВСНХ, НКОП, НКБ, Казанский пороховой завод им. Ленина ВСНХ, п/я 673, Казанский химический завод им. В.И. Ленина, НПО им. В.И. Ленина, ФГУП,«Государственное Казанское НПП (ГКНПП) им. В.И. Ленина» Росбоеприпаса, ФКП «Казанский государственный казенный пороховой завод» (КГ КПЗ) / г. Казань 32 п/я 673 «Казлензавод» (1943 г.)/ /Татарстан  г. Казань ул. 1-го Мая, 14/ /Московское представительство:  г. Москва ул. Б. Черемушкинская, 10 к. 1/) эвакуирована часть производства пироксилинового пороха комбината № 100 НКБ.</w:t>
      </w:r>
    </w:p>
    <w:p w14:paraId="67C0FB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конце 1941 г. организована мастерская по изготовлению минометных зарядов из пироксилинового пороха. В годы войны проведена реконструкция сернокислотного производства, мастерской нитрации пироксилинового производства, производство эфира и рекуперации растворителя. Построено здание непрерывной провялки, вымочки и сушки пороха. Производство азотной кислоты по устаревшему методу Валентинера переоборудовано под выпуск зарядов для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 В середине 1942 г. пороховое производство разделено на два производства: № 5а и 5б.</w:t>
      </w:r>
      <w:r w:rsidRPr="00640820">
        <w:rPr>
          <w:rFonts w:ascii="Times New Roman" w:hAnsi="Times New Roman"/>
          <w:color w:val="000000" w:themeColor="text1"/>
          <w:sz w:val="16"/>
          <w:szCs w:val="16"/>
          <w:vertAlign w:val="superscript"/>
        </w:rPr>
        <w:t>55</w:t>
      </w:r>
      <w:r w:rsidRPr="00640820">
        <w:rPr>
          <w:rFonts w:ascii="Times New Roman" w:hAnsi="Times New Roman"/>
          <w:color w:val="000000" w:themeColor="text1"/>
          <w:sz w:val="16"/>
          <w:szCs w:val="16"/>
        </w:rPr>
        <w:t xml:space="preserve"> В составе завода (1943 г.): основные производства: 1-е и 8-е- сернокислотное, азотнокислогное, пироксилиновое, спирто-эфирное, пороховое, зарядное. В 1943 г. ст роился эфирный завод № 4.</w:t>
      </w:r>
    </w:p>
    <w:p w14:paraId="718940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8.06.1953 г. на заводе организован филиал ГОСПИ-1.</w:t>
      </w:r>
    </w:p>
    <w:p w14:paraId="39866F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Крупнейший пороховой завод в России (2002 г.)</w:t>
      </w:r>
    </w:p>
    <w:p w14:paraId="7579FC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2002 г. ФГУП «ГКНПП им. В.И. Ленина» преобразовано в ФКП «КГ КПЗ». По Указу Президента РФ № 1009 от 4.08.2004 г. вошел в число стратегических оборонных предприятий. По приказу ФАП № 56 от 5.02.2007 г. вошел в состав НП «Пороховые заводы».</w:t>
      </w:r>
    </w:p>
    <w:p w14:paraId="63E34A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(1943 г.): производственная-101.176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вспомогательная- 23133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прочая- 4911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21BEC1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(12.1942 г.)- 9504 чел.</w:t>
      </w:r>
      <w:r w:rsidRPr="00640820">
        <w:rPr>
          <w:rFonts w:ascii="Times New Roman" w:hAnsi="Times New Roman"/>
          <w:color w:val="000000" w:themeColor="text1"/>
          <w:sz w:val="16"/>
          <w:szCs w:val="16"/>
          <w:vertAlign w:val="superscript"/>
        </w:rPr>
        <w:t>132</w:t>
      </w:r>
    </w:p>
    <w:p w14:paraId="2E1A4B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Управляющий (-08.1917 г.)- г-л В.В. Лукницкий (погиб). Директор (1930-е)- В.В. Шнегас (репрессирован), (- 05-3.08.1937 г.)- Д.М. Равич, (3.08.1937-4.10.1938 г.)- М.Ф. Федосеев; и.о. (4.10.1938 г.-&gt; А.П. Якушев; (-02.1941 г.)- К.И. Иоффе, (28.02.1941 г.-)- А.П. Якушев, (04.1943 г.)- В.Л. Ивченков. Начальник (11.1943 г.)- В.Л. Ивченков,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 xml:space="preserve">.В.Грязнов. Гендиректор (2006 г.)- </w:t>
      </w:r>
      <w:r w:rsidRPr="00640820">
        <w:rPr>
          <w:rFonts w:ascii="Times New Roman" w:hAnsi="Times New Roman"/>
          <w:color w:val="000000" w:themeColor="text1"/>
          <w:sz w:val="16"/>
          <w:szCs w:val="16"/>
          <w:lang w:val="en-US"/>
        </w:rPr>
        <w:t>X</w:t>
      </w:r>
      <w:r w:rsidRPr="00640820">
        <w:rPr>
          <w:rFonts w:ascii="Times New Roman" w:hAnsi="Times New Roman"/>
          <w:color w:val="000000" w:themeColor="text1"/>
          <w:sz w:val="16"/>
          <w:szCs w:val="16"/>
        </w:rPr>
        <w:t>. Гиниятов.</w:t>
      </w:r>
    </w:p>
    <w:p w14:paraId="41DD5A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технический (-01.1937 г.)- М.Я. Поляков, (19.01-21.04.1937 г.)- К. Г. Лапсаль, (8.05.1937 г.-&gt; Н.П. Путимцев. Помощник директора по найму и увольнению (-8.05.1937 г.)-  Г.К. Круцько, (8.05.1937-09.1938 г.-&gt; С.А. Тарасов.</w:t>
      </w:r>
    </w:p>
    <w:p w14:paraId="63F69A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(1930-35 г.)- Н.П. Путимцев, (05.1937 г.)- Клейтман, (29.11.1937 г.-)- А.П. Якушев, (ВОВ)-  Г.Д. Горбачев, (04.1943 г.)- М.М. Тропп, (ВОВ)- А.К. Вострухин.</w:t>
      </w:r>
    </w:p>
    <w:p w14:paraId="06912C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Гл. технолог (1938 г.)- Горбачев. Гл. механик (ВОВ)- П.С. Базилевич.</w:t>
      </w:r>
    </w:p>
    <w:p w14:paraId="0A6E10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Технические руководители: порохового производства (1941 г.)- Н.И. Дрогеницкая; цеха минометных зарядов (ВОВ)- М.Т. Персов. Начальник производства: порохового (ВОВ)- А.В. Корнилов, В.П. Кочетов, № 5а (1942 г.)- П.М. Потапов, № 56 (1942 г.)- Б.Д. Сапрыгин; пироксилинового (ВОВ&gt; А.В. Грязнов; зарядов (ВОВ)- И.И. Громова; эфира и рекуперации растворителей (ВОВ)- М. Г. Персов.</w:t>
      </w:r>
    </w:p>
    <w:p w14:paraId="3B6E52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Начальники мастерских: № 1 (1941 г.)- Б.П. Медведь; сушки и флегматизации № 3 (-27.05.1937 г.)- Карпуткин (снят и осужден за пожар); пироксилинового производства (ВОВ)- В. Г. Шаповалов; порохового производства (ВОВ)- М. Г. Шарафутдинов; зарядов из трубчатых прохов (ВОВ)- С.П. Семянина; минометных зарядов (1941 г.-)-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.С.Сластников; пошивочной (ВОВ)- Н.И. Алферова.</w:t>
      </w:r>
    </w:p>
    <w:p w14:paraId="12546A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цехов: зарядов из пироксилиновых порохов (01.1942 г.-)- И.И. Громова. Начальник ЦЗЛ (ВОВ)- В.П. Ухарская, И.В. Гаврилова.</w:t>
      </w:r>
    </w:p>
    <w:p w14:paraId="4B9634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мобилизационно-планово-экономического (04.1943 г.)- Пастухов; ТБ (-27.05.19?7 г.)- Шеремук (снят и осужден за пожар); по подготовке кадров (ВОВ)- П.Я. Мальцева.</w:t>
      </w:r>
    </w:p>
    <w:p w14:paraId="5C5D74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порох; кислоты: серная, азотная; пироксилин, эфир (1943) (11982).</w:t>
      </w:r>
    </w:p>
    <w:p w14:paraId="084282EA" w14:textId="77777777" w:rsidR="00D11EDA" w:rsidRPr="00640820" w:rsidRDefault="00D11EDA" w:rsidP="00640820">
      <w:pPr>
        <w:autoSpaceDE w:val="0"/>
        <w:autoSpaceDN w:val="0"/>
        <w:adjustRightInd w:val="0"/>
        <w:spacing w:after="0" w:line="240" w:lineRule="auto"/>
        <w:jc w:val="both"/>
        <w:rPr>
          <w:rFonts w:ascii="Times New Roman" w:hAnsi="Times New Roman"/>
          <w:color w:val="000000" w:themeColor="text1"/>
          <w:sz w:val="16"/>
          <w:szCs w:val="16"/>
        </w:rPr>
      </w:pPr>
    </w:p>
    <w:p w14:paraId="7AA50A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 на площадку завода № 594 (Завод № 594 НКБ, Таватуйский динамитный завод, п/я 31, Калиновский химический завод (КХЗ), ОАО «КХЗ» Росбоеприпаса /пос. Таватуй; пос. Калиново Невьянского р-на Свердловской обл. (1942 г.);  г. Сверловск п/я 31 «Заря» (1943 г.)/ /624186 пос. Калиново Невьянского р-на Свердловской обл. ул. Ленина, 8/) эвакуировано производство динамитов и аммонитов (71 ед. оборудования) завода № 59 НКБ. Затем - производство динамита и аммонита (61 ед. оборудования) завода № 6 из Ленинграда. В 1942 г. производство динамита и аммонита (117 ед. оборудования) эвакуированного завода № 52, прибывшее в Молотов на завод № 98, передано на завод № 594. Строительство завода завершено в 1943 г.</w:t>
      </w:r>
    </w:p>
    <w:p w14:paraId="289277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12.1942-04.1943 г. завод - в ведении треста «Артсбыт», в 08.1943-09.1944 г. - в ведении ЗГУ НКБ. Имел обозначение «п/я 31» (1943 г.).</w:t>
      </w:r>
    </w:p>
    <w:p w14:paraId="160E80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(2000-е): промышленные ВВ (промежуточные детонаторы, смесевые и эмульсионные ВВ).</w:t>
      </w:r>
    </w:p>
    <w:p w14:paraId="456C64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6A59D2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(1943 г.): производственная- 1698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вспомогательная- 688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12E301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(12.1942 г.)- 365 чел.</w:t>
      </w:r>
    </w:p>
    <w:p w14:paraId="29CE52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И.О. директора (10.1943 г.)- Бабкин. Гендиректор (2001 г.)- С.А. Образцов.</w:t>
      </w:r>
    </w:p>
    <w:p w14:paraId="6B4355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планового (12.1942 г.)- Марголин, (04.1943 г.)- Леонов.</w:t>
      </w:r>
    </w:p>
    <w:p w14:paraId="1124B6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640820">
        <w:rPr>
          <w:rFonts w:ascii="Times New Roman" w:hAnsi="Times New Roman"/>
          <w:color w:val="000000" w:themeColor="text1"/>
          <w:sz w:val="16"/>
          <w:szCs w:val="16"/>
        </w:rPr>
        <w:t>Производство: аммонит (1943) (11982).</w:t>
      </w:r>
    </w:p>
    <w:p w14:paraId="48677C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52A1F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 был основан Завод № 636 НКХП, Тюменский завод пластмасс, ЗАО «Тюменский завод пластмасс» /625000  г. Тюмень ул. Первомайская, 52/. Распоряжением ГКО № 4908 от 9.01.1944 г. завод № 636 НКХП перепрофилирован с производства этиловой жидкости на бакелитовые смолы.</w:t>
      </w:r>
    </w:p>
    <w:p w14:paraId="7C01A9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(2000-е): этиловые жидкости; смолы: бакелитовые, фенолформальдегидные, карбамидные; лаки бакелитовые; бакелиты жидкие; замазка «Арзамит-5».</w:t>
      </w:r>
    </w:p>
    <w:p w14:paraId="66D8D2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2005 г. планировался перенос производственных мощностей в пригород Тюмени.</w:t>
      </w:r>
    </w:p>
    <w:p w14:paraId="271096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(2000-е  г.)- 250 чел.</w:t>
      </w:r>
    </w:p>
    <w:p w14:paraId="427CAE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Гендиректор (2000-е)- С.И. Хачко (11982).</w:t>
      </w:r>
    </w:p>
    <w:p w14:paraId="444B52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896C9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 на базе эвакуированных в Тюмень Одесского завода строймеханизмов им. 10-летия Октября и Дмитровского экскаваторного завода был создан Завод № 769 НКМВ, Экскаваторный завод НКМВ, Тюменский завод строительных машин, ООО «Завод «Строймаш» /625630  г. Тюмень ул. Индустриальная, 47/. В соответствии с пост. СНК № 837-430сс от 3.06.1942 г. и приказом НКМВ № 250с от 7.07.1942 г. Экскаваторный завод НКМВ переименован в завод № 769 в ведении 2ГУ.</w:t>
      </w:r>
      <w:r w:rsidRPr="00640820">
        <w:rPr>
          <w:rFonts w:ascii="Times New Roman" w:hAnsi="Times New Roman"/>
          <w:color w:val="000000" w:themeColor="text1"/>
          <w:sz w:val="16"/>
          <w:szCs w:val="16"/>
          <w:vertAlign w:val="superscript"/>
        </w:rPr>
        <w:t>129</w:t>
      </w:r>
    </w:p>
    <w:p w14:paraId="6BAB26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годы войны завод выпускал военную продукцию, а также было построено 10 экскаваторов МК-1. После войны начат выпуск растворо- и бетоносмесителей.</w:t>
      </w:r>
    </w:p>
    <w:p w14:paraId="1FF979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1992 г. предприятие преобразовано в АО.</w:t>
      </w:r>
    </w:p>
    <w:p w14:paraId="40C450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(2000-е): бетоносмесители; сельскохозяйственная техника (сенокосилки, сеноворошилки, стогометатели); ТНП (печи, микромельницы, лебедки).</w:t>
      </w:r>
    </w:p>
    <w:p w14:paraId="464C44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(2000-е): пенобетоно-смеситель ПБС-600; растворосмесительная установка СБ-176 (11982).</w:t>
      </w:r>
    </w:p>
    <w:p w14:paraId="76FA07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10775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1941г. из Москвы в Златоуст был эвакуирован 1-й Государственный часовой завод им. С.М. Кирова, который действовал сначала как «1-й часовой завод в Златоусте», а также часть завода ТТК-2 из Углича. Затем на его базе создан 4-й часовой завод. Монтаж оборудования на новом месте начат в конце ноября, 25.12.1941г. выпущена первая продукция- детали боеприпасов. Этот день стал днем рождения завода. В 06.1942г. 1-й часовой завод в Златоусте - в ведении Главприбора НКМВ. По приказу НКМВ № 203сс от 7.06.1942г. с Златоустовского часового завода в Москву на 1-й и 2-й часовые заводы возвращено 30 станков. В соответствии с пост. СНК № 837-430сс от 3.06.1942г. и приказом НКМВ № 250с от 7.07.1942г. 4-й часовой завод НКМВ переименован в завод № 834 в ведении 5ГУ (Завод № 834 НКМВ, Златоустовский часовой завод НКМВ, ММиП, 4-й часовой завод НКМВ, ОАО «Златоустовский часовой завод» /456200 г. Златоуст Челябинской обл. ул. Ленина, 2 п/я 62 «Баланс» (1948г.)/).</w:t>
      </w:r>
      <w:r w:rsidRPr="00640820">
        <w:rPr>
          <w:rFonts w:ascii="Times New Roman" w:hAnsi="Times New Roman"/>
          <w:color w:val="000000" w:themeColor="text1"/>
          <w:sz w:val="16"/>
          <w:szCs w:val="16"/>
          <w:vertAlign w:val="superscript"/>
        </w:rPr>
        <w:t>129</w:t>
      </w:r>
    </w:p>
    <w:p w14:paraId="4621CD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годы войны выпущено более 300 тыс. приборов времени (92% танковых и 98% авиационных часов) и более 14 млн. деталей боеприпасов.</w:t>
      </w:r>
    </w:p>
    <w:p w14:paraId="19E43B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1947-48г. Златоустовский часовой завод - в ведении Главчаспрома ММиП.</w:t>
      </w:r>
    </w:p>
    <w:p w14:paraId="63C8CD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предприятия цехи (1947г.): основные: механический № 1,2, гшатино-мостовой № 4, сборочный № 8, 9-й, корпусной № 5, термическое отделение; вспомогательные: ремонтно-механический № 7, инструментальный № 6, котельная, компрессорная.</w:t>
      </w:r>
    </w:p>
    <w:p w14:paraId="2971CF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завод переведен на выпуск гражданской продукции. В 1950-е г. освоен выпуск часов для слепых, курвиметров, карманных часов, автомобильных, реле времени для стиральных машин. В 1960-е г. налажен выпуск секундомеров суммирующего действия. В 1970-е г. начат выпуск таймера, был разработан и внедрен в производство один из первых в СССР электронный секундомер с цифровой индексацией; на его базе создан счетчик частоты дыхания и пульса. В 1980-е г. был разработан новый противоударный секундомер, 30-минутное реле времени. Затем освоен выпуск переключателя к электроплитам.</w:t>
      </w:r>
    </w:p>
    <w:p w14:paraId="0E3D54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(2000-е): секундомеры механические (единственный завод в России), часы, курвиметры, реле времени, переключатели мощности.</w:t>
      </w:r>
    </w:p>
    <w:p w14:paraId="61E702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(1946г.)- 717 ед., (1947г.)- 517 ед.</w:t>
      </w:r>
    </w:p>
    <w:p w14:paraId="7648D7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территории (1947г.)-1,44 га; застройки (1947г.)- 4262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производственная (1946-47г.)-</w:t>
      </w:r>
    </w:p>
    <w:p w14:paraId="636DB5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3238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02D521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(1946г.)- 1147 чел., (1947г.)- 1123 чел.</w:t>
      </w:r>
    </w:p>
    <w:p w14:paraId="45726F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(06-07.1942г.)- Бочаров, (1948г.)- Печенов.</w:t>
      </w:r>
    </w:p>
    <w:p w14:paraId="522E8E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(1948г.)- Пушкин.</w:t>
      </w:r>
    </w:p>
    <w:p w14:paraId="5F2934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 часы:</w:t>
      </w:r>
      <w:r w:rsidRPr="00640820">
        <w:rPr>
          <w:rFonts w:ascii="Times New Roman" w:hAnsi="Times New Roman"/>
          <w:color w:val="000000" w:themeColor="text1"/>
          <w:sz w:val="16"/>
          <w:szCs w:val="16"/>
        </w:rPr>
        <w:t xml:space="preserve"> авиационные АЧХО (ВОВ), АЧХ (1947); карманные К-43, молн. К-36, каминные, ТЧ (1947), настольные ЧБН-160 (] 980-е); секундомер </w:t>
      </w:r>
      <w:r w:rsidRPr="00640820">
        <w:rPr>
          <w:rFonts w:ascii="Times New Roman" w:hAnsi="Times New Roman"/>
          <w:color w:val="000000" w:themeColor="text1"/>
          <w:sz w:val="16"/>
          <w:szCs w:val="16"/>
          <w:lang w:val="en-US"/>
        </w:rPr>
        <w:t>CM</w:t>
      </w:r>
      <w:r w:rsidRPr="00640820">
        <w:rPr>
          <w:rFonts w:ascii="Times New Roman" w:hAnsi="Times New Roman"/>
          <w:color w:val="000000" w:themeColor="text1"/>
          <w:sz w:val="16"/>
          <w:szCs w:val="16"/>
        </w:rPr>
        <w:t xml:space="preserve"> (1947);</w:t>
      </w:r>
      <w:r w:rsidRPr="00640820">
        <w:rPr>
          <w:rFonts w:ascii="Times New Roman" w:hAnsi="Times New Roman"/>
          <w:color w:val="000000" w:themeColor="text1"/>
          <w:sz w:val="16"/>
          <w:szCs w:val="16"/>
          <w:vertAlign w:val="superscript"/>
        </w:rPr>
        <w:t>129</w:t>
      </w:r>
      <w:r w:rsidRPr="00640820">
        <w:rPr>
          <w:rFonts w:ascii="Times New Roman" w:hAnsi="Times New Roman"/>
          <w:color w:val="000000" w:themeColor="text1"/>
          <w:sz w:val="16"/>
          <w:szCs w:val="16"/>
        </w:rPr>
        <w:t xml:space="preserve"> счетчик частоты дыхания и пульса СДП-70 (1970- е); реле времени циклическое РВЦ (1980-е) (11982).</w:t>
      </w:r>
    </w:p>
    <w:p w14:paraId="4AD981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540ED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 в Ташкент из Харькова эвакуирован завод «Электростанок». В начале 1942 г. завод восстановлен на новом месте и начат выпуск продукции. В соответствии с пост. СНК № 837-430сс от 3.06.1942 г. и приказом НКМВ № 250с от 7.07.1942 г. ТЭЗ НКМВ переименован в завод № 770 в ведении 2ГУ (Завод № 770 НКМВ, Ташкентский завод «Электростанок», Ташкентский электротехнический завод (ТЭЗ) НКМВ, МЭТП, НПО «Средазэлектроаппарат» /Узбекистан 100105  г. Ташкент ул. Таллимаржон (Фетисова), 1/).</w:t>
      </w:r>
      <w:r w:rsidRPr="00640820">
        <w:rPr>
          <w:rFonts w:ascii="Times New Roman" w:hAnsi="Times New Roman"/>
          <w:color w:val="000000" w:themeColor="text1"/>
          <w:sz w:val="16"/>
          <w:szCs w:val="16"/>
          <w:vertAlign w:val="superscript"/>
        </w:rPr>
        <w:t>129</w:t>
      </w:r>
    </w:p>
    <w:p w14:paraId="76E586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Распоряжением правительства в 1946 г. заводы «Электростанок» и «Токов высокой частоты» объединены в единый ТЭЗ МЭТП.</w:t>
      </w:r>
    </w:p>
    <w:p w14:paraId="5E720F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1949 г. ТЭЗ стал головным в СССР по выпуску пакетных выключателей и переключателей для токов</w:t>
      </w:r>
    </w:p>
    <w:p w14:paraId="58C069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10-400 А.</w:t>
      </w:r>
    </w:p>
    <w:p w14:paraId="68A071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1965 г. при ТЭЗ организован филиал ГКТБ «Электропривод».</w:t>
      </w:r>
    </w:p>
    <w:p w14:paraId="6E31B7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1988 г. на базе ТЭЗ как головного предприятия создано НПО «Средазэлектроаппарат». В 2000 г. на базе ТЭЗ организовано два СП с иностранными фирмами: СП «Ташэлектроаппарат» и ОАО «Узэлектроаппарат». В 2006 г. оба СП вошли в состав ЗАО «ГК «Электрощит»-ТМ Самара как СП «ОАО «Узэлектроаппарат-Электрощит» (11982).</w:t>
      </w:r>
    </w:p>
    <w:p w14:paraId="0449F1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3BDF2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1941г. Завод № 3 Треста техники безопасности (Завод № 856 НКМВ, Завод № 3 Треста техники безопасности, Завод «Кислородных приборов» НКМВ, Завод кислородных приборов «Респиратор» ММиП, АООТ «Респиратор», ОАО «Производственно-конструкторское предприятие (ПКП) «Респиратор», А-3439 /г. Орехово-Зуево «Респиратор» (1948г.)/ /142602 г. Орехово-Зуево Московской обл., ул. Гагарина, 1 тел. 2-70-54/), созданный в 1932г. на базе отбельно-красильной фабрики И.Н. Зимина, имевшей на тот момент три цеха: ситце-печатный, опальный, красильный и около 700 чел. рабочих, выпустил первую продукцию - приборы для горно-спасательной службы угольной промышленности, был эвакуирован в Барнаул (вероятно, послужил основой для завода № 839 НКМВ).</w:t>
      </w:r>
    </w:p>
    <w:p w14:paraId="49007D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январе 1942г. оборудование завода реэвакуировано на старое место, на его базе организован новый завод «Кислородных приборов». В соответствии с пост. СНК № 837-430сс от 3.06.1942г. и приказом НКМВ № 250с от 7.07.1942г. завод «Кислородных приборов» НКМВ переименован в завод № 856 в ведении 5ГУ.</w:t>
      </w:r>
    </w:p>
    <w:p w14:paraId="32D465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Выпускал стабилизаторы для мин. Затем был освоен выпуск подрывных машинок, авиационных кислородных приборов, аэродромных кислородно-заправочных станций.</w:t>
      </w:r>
    </w:p>
    <w:p w14:paraId="194751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1947-48г. Завод кислородных приборов «Респиратор» - в ведении Главлаборприбора ММиП. Имел наименование А-3439 (1983г.).</w:t>
      </w:r>
    </w:p>
    <w:p w14:paraId="6014E9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предприятия (1947г.) цехи: основные: гальванический, медницкий, автоматный, механический, станкостроительный, № 1, № 2, термостатный; вспомогательные: ремонтно-механический, экспериментальный, инструментальный, электроцех.</w:t>
      </w:r>
    </w:p>
    <w:p w14:paraId="1D4938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Указу Президента РФ № 1009 от 4.08.2004г. вошло в число стратегических оборонных предприятий.</w:t>
      </w:r>
    </w:p>
    <w:p w14:paraId="1D18BE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Производство авиационного бортового кислородного оборудования. Поставщик агрегатов кислородной системы для создаваемого регионального самолета </w:t>
      </w:r>
      <w:r w:rsidRPr="00640820">
        <w:rPr>
          <w:rFonts w:ascii="Times New Roman" w:hAnsi="Times New Roman"/>
          <w:color w:val="000000" w:themeColor="text1"/>
          <w:sz w:val="16"/>
          <w:szCs w:val="16"/>
          <w:lang w:val="en-US"/>
        </w:rPr>
        <w:t>RRJ</w:t>
      </w:r>
      <w:r w:rsidRPr="00640820">
        <w:rPr>
          <w:rFonts w:ascii="Times New Roman" w:hAnsi="Times New Roman"/>
          <w:color w:val="000000" w:themeColor="text1"/>
          <w:sz w:val="16"/>
          <w:szCs w:val="16"/>
        </w:rPr>
        <w:t xml:space="preserve"> (2003г.).</w:t>
      </w:r>
    </w:p>
    <w:p w14:paraId="5951F4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(1939г.)- 321 ед., (1946г.)- 498 ед., (1947г.)- 514 ед.</w:t>
      </w:r>
    </w:p>
    <w:p w14:paraId="382CC3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территории (1947г.)- 3,14 га; застройки (1947г.)- 11632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производственная (1939г.)- 6432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(1946г.)- 11630 м, (1947г.)- 11696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284ECB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(1932г.)- 65 чел., (1937г.)- 585 чел., (1939г.)- 1437 чел., (1946г.)- 1503 чел., (1947г.)- 1525 чел.</w:t>
      </w:r>
    </w:p>
    <w:p w14:paraId="71EB7B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(07.1942г.)- Попов, (1948г.)- Жуков.</w:t>
      </w:r>
    </w:p>
    <w:p w14:paraId="71E2A7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(1948г.)- Адамов.</w:t>
      </w:r>
    </w:p>
    <w:p w14:paraId="1F324E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 кислородные приборы:</w:t>
      </w:r>
      <w:r w:rsidRPr="00640820">
        <w:rPr>
          <w:rFonts w:ascii="Times New Roman" w:hAnsi="Times New Roman"/>
          <w:color w:val="000000" w:themeColor="text1"/>
          <w:sz w:val="16"/>
          <w:szCs w:val="16"/>
        </w:rPr>
        <w:t xml:space="preserve"> авиационный КПА-Збис (ВОВ), ИПА-3, КП-14, -16, -17, парашютный КП-15 (1947); индивидуальный спасательный аппарат ИСАМ-48 (1947); маска КМ-35; кислородно-изолирующий противогаз КИП-5 (-1942-47-); кислородные насосы КН-2, КН-3 (1942), антифризное оборудование А-45, кислородный вентиль КВБ-46 (1947); машинка подрывная ПМ-1, ПМ-2 (ВОВ); лабораторная мельница ШМ, установка для взбалтывания УВВ, лабораторная мешалка М-1, ручная центрифуга ЦР-2, КИП-5, термостат ТР-1 (1947).</w:t>
      </w:r>
      <w:r w:rsidRPr="00640820">
        <w:rPr>
          <w:rFonts w:ascii="Times New Roman" w:hAnsi="Times New Roman"/>
          <w:color w:val="000000" w:themeColor="text1"/>
          <w:sz w:val="16"/>
          <w:szCs w:val="16"/>
          <w:vertAlign w:val="superscript"/>
        </w:rPr>
        <w:t>129</w:t>
      </w:r>
    </w:p>
    <w:p w14:paraId="6800BA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Орехово-Зуевское КБ кислородного оборудования, ОАО «КАМПО» /142602 г. Орехово-Зуево Московской обл. ул. Гагарина, 1 тел. 12-60-37/</w:t>
      </w:r>
    </w:p>
    <w:p w14:paraId="7EEF87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в 1953г. для проведения НИОКР в области систем жизнеобеспечения.</w:t>
      </w:r>
    </w:p>
    <w:p w14:paraId="4639AAF3" w14:textId="77777777" w:rsidR="00165A9C" w:rsidRPr="00640820" w:rsidRDefault="00165A9C" w:rsidP="00640820">
      <w:pPr>
        <w:pStyle w:val="ae"/>
        <w:spacing w:before="0" w:after="0"/>
        <w:jc w:val="both"/>
        <w:rPr>
          <w:color w:val="000000" w:themeColor="text1"/>
          <w:sz w:val="16"/>
          <w:szCs w:val="16"/>
        </w:rPr>
      </w:pPr>
      <w:r w:rsidRPr="00640820">
        <w:rPr>
          <w:color w:val="000000" w:themeColor="text1"/>
          <w:sz w:val="16"/>
          <w:szCs w:val="16"/>
        </w:rPr>
        <w:t xml:space="preserve">Осенью 1941 года нагрудников СН-40А испытывалась на Западном фронте. </w:t>
      </w:r>
    </w:p>
    <w:p w14:paraId="2D600046" w14:textId="77777777" w:rsidR="00165A9C" w:rsidRPr="00640820" w:rsidRDefault="00165A9C" w:rsidP="00640820">
      <w:pPr>
        <w:pStyle w:val="ae"/>
        <w:spacing w:before="0" w:after="0"/>
        <w:jc w:val="both"/>
        <w:rPr>
          <w:color w:val="000000" w:themeColor="text1"/>
          <w:sz w:val="16"/>
          <w:szCs w:val="16"/>
        </w:rPr>
      </w:pPr>
      <w:r w:rsidRPr="00640820">
        <w:rPr>
          <w:color w:val="000000" w:themeColor="text1"/>
          <w:sz w:val="16"/>
          <w:szCs w:val="16"/>
        </w:rPr>
        <w:t>Разработчик: НИИ-13 НКВ (в эвакуации в г. Молотове) и завод № 700 НКЧМ (г. Лысьва Молотовской обл.).</w:t>
      </w:r>
    </w:p>
    <w:p w14:paraId="56F748A8" w14:textId="77777777" w:rsidR="00165A9C" w:rsidRPr="00640820" w:rsidRDefault="00165A9C" w:rsidP="00640820">
      <w:pPr>
        <w:pStyle w:val="ae"/>
        <w:spacing w:before="0" w:after="0"/>
        <w:jc w:val="both"/>
        <w:rPr>
          <w:color w:val="000000" w:themeColor="text1"/>
          <w:sz w:val="16"/>
          <w:szCs w:val="16"/>
        </w:rPr>
      </w:pPr>
      <w:r w:rsidRPr="00640820">
        <w:rPr>
          <w:color w:val="000000" w:themeColor="text1"/>
          <w:sz w:val="16"/>
          <w:szCs w:val="16"/>
        </w:rPr>
        <w:t>Изготовитель: завод № 700 НКЧМ (г. Лысьва Молотовской обл.).</w:t>
      </w:r>
    </w:p>
    <w:p w14:paraId="67AB3CF4" w14:textId="77777777" w:rsidR="00165A9C" w:rsidRPr="00640820" w:rsidRDefault="00165A9C" w:rsidP="00640820">
      <w:pPr>
        <w:pStyle w:val="ae"/>
        <w:spacing w:before="0" w:after="0"/>
        <w:jc w:val="both"/>
        <w:rPr>
          <w:color w:val="000000" w:themeColor="text1"/>
          <w:sz w:val="16"/>
          <w:szCs w:val="16"/>
        </w:rPr>
      </w:pPr>
      <w:r w:rsidRPr="00640820">
        <w:rPr>
          <w:color w:val="000000" w:themeColor="text1"/>
          <w:sz w:val="16"/>
          <w:szCs w:val="16"/>
        </w:rPr>
        <w:t>Испытания дали отрицательный результат, поскольку СН-40А был выполнен из листов толщиной 5,2 мм (также была партия толщиной 4,2 мм), что сделало их чересчур тяжелыми. По заданию маршала Тимошенко были разработаны пехотные щитки-нагрудники, изготовлено 25 штук. По результатам испытаний также был получен отрицательный результат (12710).</w:t>
      </w:r>
    </w:p>
    <w:p w14:paraId="2F4E5A5F" w14:textId="77777777" w:rsidR="00165A9C" w:rsidRPr="00640820" w:rsidRDefault="00165A9C" w:rsidP="00640820">
      <w:pPr>
        <w:pStyle w:val="ae"/>
        <w:spacing w:before="0" w:after="0"/>
        <w:jc w:val="both"/>
        <w:rPr>
          <w:color w:val="000000" w:themeColor="text1"/>
          <w:sz w:val="16"/>
          <w:szCs w:val="16"/>
        </w:rPr>
      </w:pPr>
    </w:p>
    <w:p w14:paraId="6BEDC0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Разработаны: первый советский акваланг АВМ-1; образцы кислородно-дыхательной аппаратуры для всех типов самолетов, для индивидуальных систем жизнеобеспечения (в т.ч. для выхода в открытый космос); профессиональная водолазная дыхательная аппаратура, снаряжение для ВМФ; аварийно-спасательная и пожарная дыхательная аппаратура.</w:t>
      </w:r>
    </w:p>
    <w:p w14:paraId="1AFB44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1993г. Орехово-Зуевское КБ кислородного оборудования преобразовано в ОАО «КАМПО». По решению правительства № 22-р от 9.01.2004г. вошло в перечень стратегических предприятий. В 2005г. входило в состав НПЦ «Технокомплекс».</w:t>
      </w:r>
    </w:p>
    <w:p w14:paraId="346F75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Гендиректор (2005г.)- А.Ю. Кулик.</w:t>
      </w:r>
    </w:p>
    <w:p w14:paraId="32ED3F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Создано:</w:t>
      </w:r>
      <w:r w:rsidRPr="00640820">
        <w:rPr>
          <w:rFonts w:ascii="Times New Roman" w:hAnsi="Times New Roman"/>
          <w:color w:val="000000" w:themeColor="text1"/>
          <w:sz w:val="16"/>
          <w:szCs w:val="16"/>
        </w:rPr>
        <w:t xml:space="preserve"> акваланг АВМ-1; изолирующий противогаз для пожарных КИП-8, аппараты пожарного АП-93К, АП-96М; воздушно-дыхательные аппараты: АП «Север» для ВМФ, АП-2000 (2000-е); снаряжение: глубоководное водолазное СВГ-200, СЖВ-1; спасательное для экипажей ПЛ ССП; кислородная станция КИС-2; авиационная дыхательная аппаратура КП-52М, КП-98, КДА-15, АПД-1; контрольная установка КУ-9В, комплекс испытательного оборудования КИО-1 (2000-е); медицинский кислородный ингалятор КИ-5 (11982).</w:t>
      </w:r>
      <w:r w:rsidRPr="00640820">
        <w:rPr>
          <w:rFonts w:ascii="Times New Roman" w:hAnsi="Times New Roman"/>
          <w:color w:val="000000" w:themeColor="text1"/>
          <w:sz w:val="16"/>
          <w:szCs w:val="16"/>
          <w:vertAlign w:val="superscript"/>
        </w:rPr>
        <w:t>101</w:t>
      </w:r>
    </w:p>
    <w:p w14:paraId="52B7E9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474D4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 конструкторское бюро старейшего конструктора шрапнели А. Гартца предложило гениальное решение - подрезать наружный слой бронебой</w:t>
      </w:r>
      <w:r w:rsidRPr="00640820">
        <w:rPr>
          <w:rFonts w:ascii="Times New Roman" w:hAnsi="Times New Roman"/>
          <w:color w:val="000000" w:themeColor="text1"/>
          <w:sz w:val="16"/>
          <w:szCs w:val="16"/>
        </w:rPr>
        <w:softHyphen/>
        <w:t>ного снаряда кольцевыми канавками — «локализаторами» с тем, чтобы он, сминаясь, сохранял тело снаряда, которое та</w:t>
      </w:r>
      <w:r w:rsidRPr="00640820">
        <w:rPr>
          <w:rFonts w:ascii="Times New Roman" w:hAnsi="Times New Roman"/>
          <w:color w:val="000000" w:themeColor="text1"/>
          <w:sz w:val="16"/>
          <w:szCs w:val="16"/>
        </w:rPr>
        <w:softHyphen/>
        <w:t>ким образом глубже проникало в броню. Испытания увенчались подлинным триумфом. Всего две неглубокие кольцевые канавки-проточки привели к то</w:t>
      </w:r>
      <w:r w:rsidRPr="00640820">
        <w:rPr>
          <w:rFonts w:ascii="Times New Roman" w:hAnsi="Times New Roman"/>
          <w:color w:val="000000" w:themeColor="text1"/>
          <w:sz w:val="16"/>
          <w:szCs w:val="16"/>
        </w:rPr>
        <w:softHyphen/>
        <w:t>му, что снаряд, прежде пробивавший лишь 30—32-мм бро-негГреграду (и ту по нормали), вдруг начал при тех же ис</w:t>
      </w:r>
      <w:r w:rsidRPr="00640820">
        <w:rPr>
          <w:rFonts w:ascii="Times New Roman" w:hAnsi="Times New Roman"/>
          <w:color w:val="000000" w:themeColor="text1"/>
          <w:sz w:val="16"/>
          <w:szCs w:val="16"/>
        </w:rPr>
        <w:softHyphen/>
        <w:t>ходных данных перфорировать броневой лист толщиной 40 мм под углом встречи до 30 градусов (10782).</w:t>
      </w:r>
    </w:p>
    <w:p w14:paraId="40FF28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7C7C904" w14:textId="77777777" w:rsidR="00507039" w:rsidRPr="00640820" w:rsidRDefault="00507039" w:rsidP="00640820">
      <w:pPr>
        <w:pStyle w:val="35"/>
        <w:shd w:val="clear" w:color="auto" w:fill="auto"/>
        <w:spacing w:after="0" w:line="240" w:lineRule="auto"/>
        <w:jc w:val="both"/>
        <w:rPr>
          <w:rFonts w:ascii="Times New Roman" w:cs="Times New Roman"/>
          <w:color w:val="000000" w:themeColor="text1"/>
          <w:spacing w:val="0"/>
          <w:sz w:val="16"/>
          <w:szCs w:val="16"/>
        </w:rPr>
      </w:pPr>
      <w:r w:rsidRPr="00640820">
        <w:rPr>
          <w:rFonts w:ascii="Times New Roman" w:cs="Times New Roman"/>
          <w:color w:val="000000" w:themeColor="text1"/>
          <w:spacing w:val="0"/>
          <w:sz w:val="16"/>
          <w:szCs w:val="16"/>
        </w:rPr>
        <w:t>С осени 1941 Сталинграде, который пока он был тыловым го</w:t>
      </w:r>
      <w:r w:rsidRPr="00640820">
        <w:rPr>
          <w:rFonts w:ascii="Times New Roman" w:cs="Times New Roman"/>
          <w:color w:val="000000" w:themeColor="text1"/>
          <w:spacing w:val="0"/>
          <w:sz w:val="16"/>
          <w:szCs w:val="16"/>
        </w:rPr>
        <w:softHyphen/>
        <w:t>родом, выпуск ППШ наладил филиал завода №192. Приклады делал деревообрабатываю</w:t>
      </w:r>
      <w:r w:rsidRPr="00640820">
        <w:rPr>
          <w:rFonts w:ascii="Times New Roman" w:cs="Times New Roman"/>
          <w:color w:val="000000" w:themeColor="text1"/>
          <w:spacing w:val="0"/>
          <w:sz w:val="16"/>
          <w:szCs w:val="16"/>
        </w:rPr>
        <w:softHyphen/>
        <w:t>щий завод им. Куйбышева. В Ворошиловграде (Луганске) ППШ собирали на Ворошиловградском паровозостроительном заводе. В Тбили</w:t>
      </w:r>
      <w:r w:rsidRPr="00640820">
        <w:rPr>
          <w:rFonts w:ascii="Times New Roman" w:cs="Times New Roman"/>
          <w:color w:val="000000" w:themeColor="text1"/>
          <w:spacing w:val="0"/>
          <w:sz w:val="16"/>
          <w:szCs w:val="16"/>
        </w:rPr>
        <w:softHyphen/>
        <w:t>си производство ППШ вели паровозовагоно- ремонтный и инструментальный заводы, а в Баку к выпуску ППШ привлекли завод глубин</w:t>
      </w:r>
      <w:r w:rsidRPr="00640820">
        <w:rPr>
          <w:rFonts w:ascii="Times New Roman" w:cs="Times New Roman"/>
          <w:color w:val="000000" w:themeColor="text1"/>
          <w:spacing w:val="0"/>
          <w:sz w:val="16"/>
          <w:szCs w:val="16"/>
        </w:rPr>
        <w:softHyphen/>
        <w:t>ных насосов и долот им. Дзержинского; дета</w:t>
      </w:r>
      <w:r w:rsidRPr="00640820">
        <w:rPr>
          <w:rFonts w:ascii="Times New Roman" w:cs="Times New Roman"/>
          <w:color w:val="000000" w:themeColor="text1"/>
          <w:spacing w:val="0"/>
          <w:sz w:val="16"/>
          <w:szCs w:val="16"/>
        </w:rPr>
        <w:softHyphen/>
        <w:t>ли для него производил в Баку авиационный завод №458.</w:t>
      </w:r>
    </w:p>
    <w:p w14:paraId="66776E53" w14:textId="77777777" w:rsidR="00507039" w:rsidRPr="00640820" w:rsidRDefault="00507039" w:rsidP="00640820">
      <w:pPr>
        <w:pStyle w:val="45"/>
        <w:shd w:val="clear" w:color="auto" w:fill="auto"/>
        <w:spacing w:before="0" w:line="240" w:lineRule="auto"/>
        <w:jc w:val="both"/>
        <w:rPr>
          <w:rFonts w:ascii="Times New Roman" w:cs="Times New Roman"/>
          <w:color w:val="000000" w:themeColor="text1"/>
          <w:sz w:val="16"/>
          <w:szCs w:val="16"/>
        </w:rPr>
      </w:pPr>
      <w:r w:rsidRPr="00640820">
        <w:rPr>
          <w:rStyle w:val="4f0"/>
          <w:rFonts w:ascii="Times New Roman" w:hAnsi="Times New Roman" w:cs="Times New Roman"/>
          <w:i w:val="0"/>
          <w:color w:val="000000" w:themeColor="text1"/>
          <w:sz w:val="16"/>
          <w:szCs w:val="16"/>
        </w:rPr>
        <w:t>Стволы для ППШ в большом количестве поставлялись из Ижевска. В.Н. Новиков вспо</w:t>
      </w:r>
      <w:r w:rsidRPr="00640820">
        <w:rPr>
          <w:rStyle w:val="4f0"/>
          <w:rFonts w:ascii="Times New Roman" w:hAnsi="Times New Roman" w:cs="Times New Roman"/>
          <w:i w:val="0"/>
          <w:color w:val="000000" w:themeColor="text1"/>
          <w:sz w:val="16"/>
          <w:szCs w:val="16"/>
        </w:rPr>
        <w:softHyphen/>
        <w:t>минал о работе завода №74:</w:t>
      </w:r>
      <w:r w:rsidRPr="00640820">
        <w:rPr>
          <w:rFonts w:ascii="Times New Roman" w:cs="Times New Roman"/>
          <w:color w:val="000000" w:themeColor="text1"/>
          <w:sz w:val="16"/>
          <w:szCs w:val="16"/>
        </w:rPr>
        <w:t xml:space="preserve"> «Во многих ме</w:t>
      </w:r>
      <w:r w:rsidRPr="00640820">
        <w:rPr>
          <w:rFonts w:ascii="Times New Roman" w:cs="Times New Roman"/>
          <w:color w:val="000000" w:themeColor="text1"/>
          <w:sz w:val="16"/>
          <w:szCs w:val="16"/>
        </w:rPr>
        <w:softHyphen/>
        <w:t>стах собирали, например, пулеметы-пистоле</w:t>
      </w:r>
      <w:r w:rsidRPr="00640820">
        <w:rPr>
          <w:rFonts w:ascii="Times New Roman" w:cs="Times New Roman"/>
          <w:color w:val="000000" w:themeColor="text1"/>
          <w:sz w:val="16"/>
          <w:szCs w:val="16"/>
        </w:rPr>
        <w:softHyphen/>
        <w:t>ты Шпагина, а стволы получали из Ижевска. Вот все, начиная с наркома и кончая главным инженером завода, нажимали на Никифора Афанасьевича Андреева, начальника сверлильно-токарного цеха: "Давай, давай ство</w:t>
      </w:r>
      <w:r w:rsidRPr="00640820">
        <w:rPr>
          <w:rFonts w:ascii="Times New Roman" w:cs="Times New Roman"/>
          <w:color w:val="000000" w:themeColor="text1"/>
          <w:sz w:val="16"/>
          <w:szCs w:val="16"/>
        </w:rPr>
        <w:softHyphen/>
        <w:t xml:space="preserve">лы". А затем отправляли их то в Златоуст, то автозаводу в Москве или грузили в десятки </w:t>
      </w:r>
      <w:r w:rsidRPr="00640820">
        <w:rPr>
          <w:rStyle w:val="aff5"/>
          <w:rFonts w:ascii="Times New Roman" w:eastAsia="Arial Narrow" w:hAnsi="Times New Roman" w:cs="Times New Roman"/>
          <w:i w:val="0"/>
          <w:color w:val="000000" w:themeColor="text1"/>
        </w:rPr>
        <w:t>других мест».</w:t>
      </w:r>
      <w:r w:rsidRPr="00640820">
        <w:rPr>
          <w:rFonts w:ascii="Times New Roman" w:cs="Times New Roman"/>
          <w:color w:val="000000" w:themeColor="text1"/>
          <w:sz w:val="16"/>
          <w:szCs w:val="16"/>
        </w:rPr>
        <w:t xml:space="preserve"> Здесь также внедрили сущест</w:t>
      </w:r>
      <w:r w:rsidRPr="00640820">
        <w:rPr>
          <w:rFonts w:ascii="Times New Roman" w:cs="Times New Roman"/>
          <w:color w:val="000000" w:themeColor="text1"/>
          <w:sz w:val="16"/>
          <w:szCs w:val="16"/>
        </w:rPr>
        <w:softHyphen/>
        <w:t>венное технологическое новшество - было налажено производство стволов с использова</w:t>
      </w:r>
      <w:r w:rsidRPr="00640820">
        <w:rPr>
          <w:rFonts w:ascii="Times New Roman" w:cs="Times New Roman"/>
          <w:color w:val="000000" w:themeColor="text1"/>
          <w:sz w:val="16"/>
          <w:szCs w:val="16"/>
        </w:rPr>
        <w:softHyphen/>
        <w:t>нием технологии дорнирования (продавлива- ния через канал ствола особого инструмента- дорна с выступами для формирования наре</w:t>
      </w:r>
      <w:r w:rsidRPr="00640820">
        <w:rPr>
          <w:rFonts w:ascii="Times New Roman" w:cs="Times New Roman"/>
          <w:color w:val="000000" w:themeColor="text1"/>
          <w:sz w:val="16"/>
          <w:szCs w:val="16"/>
        </w:rPr>
        <w:softHyphen/>
        <w:t>зов). Этот процесс даже не в разы, а в десятки раз сокращал время изготовления стволов по сравнению с нарезанием (строжкой шпа- лером), экономил металл и станочный парк. Ижевск поставлял также стальной лист и часть инструмента для производства пистолетов- пулеметов. В Горьком производство стволов к ППШ со второго квартала 1942</w:t>
      </w:r>
      <w:r w:rsidRPr="00640820">
        <w:rPr>
          <w:rStyle w:val="6pt"/>
          <w:rFonts w:ascii="Times New Roman" w:hAnsi="Times New Roman" w:cs="Times New Roman"/>
          <w:b w:val="0"/>
          <w:color w:val="000000" w:themeColor="text1"/>
          <w:sz w:val="16"/>
          <w:szCs w:val="16"/>
        </w:rPr>
        <w:t>.Г.</w:t>
      </w:r>
      <w:r w:rsidRPr="00640820">
        <w:rPr>
          <w:rFonts w:ascii="Times New Roman" w:cs="Times New Roman"/>
          <w:color w:val="000000" w:themeColor="text1"/>
          <w:sz w:val="16"/>
          <w:szCs w:val="16"/>
        </w:rPr>
        <w:t xml:space="preserve"> вел сам завод фрезерных станков.</w:t>
      </w:r>
    </w:p>
    <w:p w14:paraId="0ED0581F" w14:textId="77777777" w:rsidR="00507039" w:rsidRPr="00640820" w:rsidRDefault="00507039" w:rsidP="00640820">
      <w:pPr>
        <w:pStyle w:val="35"/>
        <w:shd w:val="clear" w:color="auto" w:fill="auto"/>
        <w:spacing w:after="0" w:line="240" w:lineRule="auto"/>
        <w:jc w:val="both"/>
        <w:rPr>
          <w:rFonts w:ascii="Times New Roman" w:cs="Times New Roman"/>
          <w:color w:val="000000" w:themeColor="text1"/>
          <w:spacing w:val="0"/>
          <w:sz w:val="16"/>
          <w:szCs w:val="16"/>
        </w:rPr>
      </w:pPr>
      <w:r w:rsidRPr="00640820">
        <w:rPr>
          <w:rFonts w:ascii="Times New Roman" w:cs="Times New Roman"/>
          <w:color w:val="000000" w:themeColor="text1"/>
          <w:spacing w:val="0"/>
          <w:sz w:val="16"/>
          <w:szCs w:val="16"/>
        </w:rPr>
        <w:t>Центрами производства, как уже говори</w:t>
      </w:r>
      <w:r w:rsidRPr="00640820">
        <w:rPr>
          <w:rFonts w:ascii="Times New Roman" w:cs="Times New Roman"/>
          <w:color w:val="000000" w:themeColor="text1"/>
          <w:spacing w:val="0"/>
          <w:sz w:val="16"/>
          <w:szCs w:val="16"/>
        </w:rPr>
        <w:softHyphen/>
        <w:t>лось, стали Вятские Поляны и Москва - на других заводах общий выпуск ППШ оказался срав</w:t>
      </w:r>
      <w:r w:rsidRPr="00640820">
        <w:rPr>
          <w:rFonts w:ascii="Times New Roman" w:cs="Times New Roman"/>
          <w:color w:val="000000" w:themeColor="text1"/>
          <w:spacing w:val="0"/>
          <w:sz w:val="16"/>
          <w:szCs w:val="16"/>
        </w:rPr>
        <w:softHyphen/>
        <w:t>нительно невелик. Так, на заводе №385 в Зла</w:t>
      </w:r>
      <w:r w:rsidRPr="00640820">
        <w:rPr>
          <w:rFonts w:ascii="Times New Roman" w:cs="Times New Roman"/>
          <w:color w:val="000000" w:themeColor="text1"/>
          <w:spacing w:val="0"/>
          <w:sz w:val="16"/>
          <w:szCs w:val="16"/>
        </w:rPr>
        <w:softHyphen/>
        <w:t>тоусте в июне-декабре 1942 г. собрали около 18 860 ППШ, в Горьком в 1942-1944 гг. - лишь 78 230 шт. Но и эти партии внесли свой нема</w:t>
      </w:r>
      <w:r w:rsidRPr="00640820">
        <w:rPr>
          <w:rFonts w:ascii="Times New Roman" w:cs="Times New Roman"/>
          <w:color w:val="000000" w:themeColor="text1"/>
          <w:spacing w:val="0"/>
          <w:sz w:val="16"/>
          <w:szCs w:val="16"/>
        </w:rPr>
        <w:softHyphen/>
        <w:t>ловажный вклад в бои напряженного периода 1942-1943 гг.</w:t>
      </w:r>
    </w:p>
    <w:p w14:paraId="69D15B4D" w14:textId="77777777" w:rsidR="00507039" w:rsidRPr="00640820" w:rsidRDefault="00507039" w:rsidP="00640820">
      <w:pPr>
        <w:pStyle w:val="35"/>
        <w:shd w:val="clear" w:color="auto" w:fill="auto"/>
        <w:spacing w:after="0" w:line="240" w:lineRule="auto"/>
        <w:jc w:val="both"/>
        <w:rPr>
          <w:rFonts w:ascii="Times New Roman" w:cs="Times New Roman"/>
          <w:color w:val="000000" w:themeColor="text1"/>
          <w:spacing w:val="0"/>
          <w:sz w:val="16"/>
          <w:szCs w:val="16"/>
        </w:rPr>
      </w:pPr>
      <w:r w:rsidRPr="00640820">
        <w:rPr>
          <w:rFonts w:ascii="Times New Roman" w:cs="Times New Roman"/>
          <w:color w:val="000000" w:themeColor="text1"/>
          <w:spacing w:val="0"/>
          <w:sz w:val="16"/>
          <w:szCs w:val="16"/>
        </w:rPr>
        <w:t>Упоминаются также планы производст</w:t>
      </w:r>
      <w:r w:rsidRPr="00640820">
        <w:rPr>
          <w:rFonts w:ascii="Times New Roman" w:cs="Times New Roman"/>
          <w:color w:val="000000" w:themeColor="text1"/>
          <w:spacing w:val="0"/>
          <w:sz w:val="16"/>
          <w:szCs w:val="16"/>
        </w:rPr>
        <w:softHyphen/>
        <w:t>ва ППШ в 1942 г. на Ярославском автозаводе, Ижевском заводе №622, незначительный вы</w:t>
      </w:r>
      <w:r w:rsidRPr="00640820">
        <w:rPr>
          <w:rFonts w:ascii="Times New Roman" w:cs="Times New Roman"/>
          <w:color w:val="000000" w:themeColor="text1"/>
          <w:spacing w:val="0"/>
          <w:sz w:val="16"/>
          <w:szCs w:val="16"/>
        </w:rPr>
        <w:softHyphen/>
        <w:t>пуск на заводе №182 в пос. Двигательстрой (г. Каспийск). Планы выпуска ППШ в Ленингра</w:t>
      </w:r>
      <w:r w:rsidRPr="00640820">
        <w:rPr>
          <w:rFonts w:ascii="Times New Roman" w:cs="Times New Roman"/>
          <w:color w:val="000000" w:themeColor="text1"/>
          <w:spacing w:val="0"/>
          <w:sz w:val="16"/>
          <w:szCs w:val="16"/>
        </w:rPr>
        <w:softHyphen/>
        <w:t>де не реализовали: предпочтение, как извест</w:t>
      </w:r>
      <w:r w:rsidRPr="00640820">
        <w:rPr>
          <w:rFonts w:ascii="Times New Roman" w:cs="Times New Roman"/>
          <w:color w:val="000000" w:themeColor="text1"/>
          <w:spacing w:val="0"/>
          <w:sz w:val="16"/>
          <w:szCs w:val="16"/>
        </w:rPr>
        <w:softHyphen/>
        <w:t>но, отдали новому и значительно более техно</w:t>
      </w:r>
      <w:r w:rsidRPr="00640820">
        <w:rPr>
          <w:rFonts w:ascii="Times New Roman" w:cs="Times New Roman"/>
          <w:color w:val="000000" w:themeColor="text1"/>
          <w:spacing w:val="0"/>
          <w:sz w:val="16"/>
          <w:szCs w:val="16"/>
        </w:rPr>
        <w:softHyphen/>
        <w:t>логичному ППС.</w:t>
      </w:r>
    </w:p>
    <w:p w14:paraId="1FA88219" w14:textId="77777777" w:rsidR="00507039" w:rsidRPr="00640820" w:rsidRDefault="00507039" w:rsidP="00640820">
      <w:pPr>
        <w:pStyle w:val="35"/>
        <w:shd w:val="clear" w:color="auto" w:fill="auto"/>
        <w:spacing w:after="0" w:line="240" w:lineRule="auto"/>
        <w:jc w:val="both"/>
        <w:rPr>
          <w:rFonts w:ascii="Times New Roman" w:cs="Times New Roman"/>
          <w:color w:val="000000" w:themeColor="text1"/>
          <w:spacing w:val="0"/>
          <w:sz w:val="16"/>
          <w:szCs w:val="16"/>
        </w:rPr>
      </w:pPr>
      <w:r w:rsidRPr="00640820">
        <w:rPr>
          <w:rFonts w:ascii="Times New Roman" w:cs="Times New Roman"/>
          <w:color w:val="000000" w:themeColor="text1"/>
          <w:spacing w:val="0"/>
          <w:sz w:val="16"/>
          <w:szCs w:val="16"/>
        </w:rPr>
        <w:t>Производство ППШ для СССР наладили даже в Тегеране в 1942 г. К началу 1945 г. «пу</w:t>
      </w:r>
      <w:r w:rsidRPr="00640820">
        <w:rPr>
          <w:rFonts w:ascii="Times New Roman" w:cs="Times New Roman"/>
          <w:color w:val="000000" w:themeColor="text1"/>
          <w:spacing w:val="0"/>
          <w:sz w:val="16"/>
          <w:szCs w:val="16"/>
        </w:rPr>
        <w:softHyphen/>
        <w:t>леметный завод» под Тегераном поставил для РККА от 8 до'10 тыс. ППШ. В ВИМАИВиВС пе</w:t>
      </w:r>
      <w:r w:rsidRPr="00640820">
        <w:rPr>
          <w:rFonts w:ascii="Times New Roman" w:cs="Times New Roman"/>
          <w:color w:val="000000" w:themeColor="text1"/>
          <w:spacing w:val="0"/>
          <w:sz w:val="16"/>
          <w:szCs w:val="16"/>
        </w:rPr>
        <w:softHyphen/>
        <w:t>редали экземпляр тегеранского завода, пре</w:t>
      </w:r>
      <w:r w:rsidRPr="00640820">
        <w:rPr>
          <w:rFonts w:ascii="Times New Roman" w:cs="Times New Roman"/>
          <w:color w:val="000000" w:themeColor="text1"/>
          <w:spacing w:val="0"/>
          <w:sz w:val="16"/>
          <w:szCs w:val="16"/>
        </w:rPr>
        <w:softHyphen/>
        <w:t>поднесенный в 1944 г. начальнику ГАУ КА мар</w:t>
      </w:r>
      <w:r w:rsidRPr="00640820">
        <w:rPr>
          <w:rFonts w:ascii="Times New Roman" w:cs="Times New Roman"/>
          <w:color w:val="000000" w:themeColor="text1"/>
          <w:spacing w:val="0"/>
          <w:sz w:val="16"/>
          <w:szCs w:val="16"/>
        </w:rPr>
        <w:softHyphen/>
        <w:t>шалу артиллерии Н.Д. Яковлеву.</w:t>
      </w:r>
    </w:p>
    <w:p w14:paraId="1E93CCDB" w14:textId="77777777" w:rsidR="00507039" w:rsidRPr="00640820" w:rsidRDefault="00507039" w:rsidP="00640820">
      <w:pPr>
        <w:pStyle w:val="35"/>
        <w:shd w:val="clear" w:color="auto" w:fill="auto"/>
        <w:spacing w:after="0" w:line="240" w:lineRule="auto"/>
        <w:jc w:val="both"/>
        <w:rPr>
          <w:rFonts w:ascii="Times New Roman" w:cs="Times New Roman"/>
          <w:color w:val="000000" w:themeColor="text1"/>
          <w:spacing w:val="0"/>
          <w:sz w:val="16"/>
          <w:szCs w:val="16"/>
        </w:rPr>
      </w:pPr>
      <w:r w:rsidRPr="00640820">
        <w:rPr>
          <w:rFonts w:ascii="Times New Roman" w:cs="Times New Roman"/>
          <w:color w:val="000000" w:themeColor="text1"/>
          <w:spacing w:val="0"/>
          <w:sz w:val="16"/>
          <w:szCs w:val="16"/>
        </w:rPr>
        <w:t>Результаты перечисленных мероприятий оказались более чем убедительными: произ</w:t>
      </w:r>
      <w:r w:rsidRPr="00640820">
        <w:rPr>
          <w:rFonts w:ascii="Times New Roman" w:cs="Times New Roman"/>
          <w:color w:val="000000" w:themeColor="text1"/>
          <w:spacing w:val="0"/>
          <w:sz w:val="16"/>
          <w:szCs w:val="16"/>
        </w:rPr>
        <w:softHyphen/>
        <w:t>водство ППШ в стране за 1942 г. выросло на 1320% по сравнению с 1941 г., т.е. в 13 раз (15779).</w:t>
      </w:r>
    </w:p>
    <w:p w14:paraId="2726A3E2" w14:textId="77777777" w:rsidR="00507039" w:rsidRPr="00640820" w:rsidRDefault="00507039" w:rsidP="00640820">
      <w:pPr>
        <w:spacing w:after="0" w:line="240" w:lineRule="auto"/>
        <w:jc w:val="both"/>
        <w:rPr>
          <w:rFonts w:ascii="Times New Roman" w:hAnsi="Times New Roman"/>
          <w:color w:val="000000" w:themeColor="text1"/>
          <w:sz w:val="16"/>
          <w:szCs w:val="16"/>
        </w:rPr>
      </w:pPr>
    </w:p>
    <w:p w14:paraId="1069E3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года началась эвакуация завода № 8 из подмосковных Подлипок, и к производству "сорокопяток" подключили завод № 172 (3861).</w:t>
      </w:r>
    </w:p>
    <w:p w14:paraId="493759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B7C50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года на техническом совещании КБ завода № 92 Грабин предложил вставить ствол 57-мм противотанковой пушки ЗИС-2 в качающуюся часть 76-мм танковой пушки Ф-34. Сказано - сделано, и через 15 (!) дней новая пушка ЗИС-4 была уже в металле (3861).</w:t>
      </w:r>
    </w:p>
    <w:p w14:paraId="1B285E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6AD94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года из-за недостатка 45-мм осколочно-фугасных боеприпасов Ленинградского фронта, легкие танки РККА, вооруженные 45-мм пушками (Т-26, БТ), оказались безоружны и бесполезны против вражеской пехоты и полевых укреплений. Поэтому Военный Совет Ленфронта подал заявку в НКТП о возможности перевооружения танков БТ и Т-26 пушкой 76,2-мм орудием КТ (3862).</w:t>
      </w:r>
    </w:p>
    <w:p w14:paraId="7C3477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4706030" w14:textId="77777777" w:rsidR="009B52D7" w:rsidRPr="00640820" w:rsidRDefault="009B52D7"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Осенью 1941 года, когда наметился прогресс по выпуску АТО-41, Малышев принял решение об отмене решения об установке ТОГ-ов. Но в октябре 1941 года завод им. Ухтомского подался в эвакуацию, так что и ТОГ, и АТО-41 производить стало некому. То есть ни эрзаца, ни основного решения. Поэтому к началу 1942 года и появилась идея ставить ФОГ-и на бортах корпуса Т-34 (22299).</w:t>
      </w:r>
    </w:p>
    <w:p w14:paraId="3626E030" w14:textId="77777777" w:rsidR="009B52D7" w:rsidRPr="00640820" w:rsidRDefault="009B52D7" w:rsidP="00640820">
      <w:pPr>
        <w:spacing w:after="0" w:line="240" w:lineRule="auto"/>
        <w:jc w:val="both"/>
        <w:rPr>
          <w:rFonts w:ascii="Times New Roman" w:hAnsi="Times New Roman"/>
          <w:color w:val="0070C0"/>
          <w:sz w:val="16"/>
          <w:szCs w:val="16"/>
        </w:rPr>
      </w:pPr>
    </w:p>
    <w:p w14:paraId="0C73679C" w14:textId="77777777" w:rsidR="009B52D7" w:rsidRPr="00640820" w:rsidRDefault="009B52D7"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Осенью 1941 года Г.А. Манилов и другие инженеры-конструктора Кировского Завода, оказавшиеся в Челябинске, стали работать над иной схемой размещения огнемета. Так на свет появился КВ-8, оказавшийся гораздо более массовым явлением. По иронии судьбы, дебютировали эти танки также под Ленинградом, но уже год спустя - в ходе Синявинской операции (22519).</w:t>
      </w:r>
    </w:p>
    <w:p w14:paraId="425A7ACD" w14:textId="77777777" w:rsidR="009B52D7" w:rsidRPr="00640820" w:rsidRDefault="009B52D7" w:rsidP="00640820">
      <w:pPr>
        <w:spacing w:after="0" w:line="240" w:lineRule="auto"/>
        <w:jc w:val="both"/>
        <w:rPr>
          <w:rFonts w:ascii="Times New Roman" w:hAnsi="Times New Roman"/>
          <w:color w:val="0070C0"/>
          <w:sz w:val="16"/>
          <w:szCs w:val="16"/>
        </w:rPr>
      </w:pPr>
    </w:p>
    <w:p w14:paraId="03E73F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года во время боев под Москвой 16 танков Т-28, без моторов, обнаруженные в районе НИБТ Полигона, были зарыты в землю и использовались в качестве неподвижных огневых точек (3862).</w:t>
      </w:r>
    </w:p>
    <w:p w14:paraId="596D0F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B2C6A9C" w14:textId="77777777" w:rsidR="009B52D7" w:rsidRPr="00640820" w:rsidRDefault="009B52D7" w:rsidP="00640820">
      <w:pPr>
        <w:shd w:val="clear" w:color="auto" w:fill="FFFFFF"/>
        <w:spacing w:after="0" w:line="240" w:lineRule="auto"/>
        <w:jc w:val="both"/>
        <w:rPr>
          <w:rFonts w:ascii="Times New Roman" w:eastAsia="Times New Roman" w:hAnsi="Times New Roman"/>
          <w:color w:val="0070C0"/>
          <w:sz w:val="16"/>
          <w:szCs w:val="16"/>
          <w:lang w:eastAsia="ru-RU"/>
        </w:rPr>
      </w:pPr>
      <w:r w:rsidRPr="00640820">
        <w:rPr>
          <w:rFonts w:ascii="Times New Roman" w:hAnsi="Times New Roman"/>
          <w:color w:val="0070C0"/>
          <w:sz w:val="16"/>
          <w:szCs w:val="16"/>
          <w:shd w:val="clear" w:color="auto" w:fill="FFFFFF"/>
        </w:rPr>
        <w:t>Осенью 1941 года оставшиеся на НИБТ Полигоне машины приняли участие в обороне Кубинки. Данная информация не опровергается, поскольку машины остались на НИБТ Полигоне, но и подтверждения ей нет. Самоходки так и остались на полигоне, при этом к 1945 году Т-100Y стали называть СУ-100Y — именно под таким индексом эта машина проходит в послевоенной отечественной литературе. В 60-е годы СУ-14 сдали в металлолом, но СУ-14-1 выжила. При этом её называют то СУ-14-2, то СУ-14-БР-2, что не соответствует действительности. СУ-14-1 и Т-100Y заняли место на музейной площадке при полигоне, позже превратившейся в музей. В прошлом году из музея, который стал частью парка «Патриот», самоходки перевезли на музейную площадку №1. При этом силами сотрудников парка провели косметическую реставрацию, и ныне машины открыты для посетителей (19857).</w:t>
      </w:r>
    </w:p>
    <w:p w14:paraId="2202CA00" w14:textId="77777777" w:rsidR="009B52D7" w:rsidRPr="00640820" w:rsidRDefault="009B52D7" w:rsidP="00640820">
      <w:pPr>
        <w:spacing w:after="0" w:line="240" w:lineRule="auto"/>
        <w:jc w:val="both"/>
        <w:rPr>
          <w:rFonts w:ascii="Times New Roman" w:hAnsi="Times New Roman"/>
          <w:color w:val="0070C0"/>
          <w:sz w:val="16"/>
          <w:szCs w:val="16"/>
          <w:shd w:val="clear" w:color="auto" w:fill="FFFFFF"/>
        </w:rPr>
      </w:pPr>
    </w:p>
    <w:p w14:paraId="47FF5F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года из-за недостатка 45-мм осколочно-фугасных боеприпасов Ленинградского фронта, легкие танки РККА, вооруженные 45-мм пушками (Т-26, БТ), оказались безоружны и бесполезны против вражеской пехоты и полевых укреплений. Поэтому Военный Совет Ленфронта подал заявку в НКТП о возможности перевооружения танков БТ и Т-26 76,2-мм орудием КТ (3862).</w:t>
      </w:r>
    </w:p>
    <w:p w14:paraId="2AFAC5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179D7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года при подходе немцев к Кубинке обе самоходки СУ-14 и СУ-14-1 использовались для стрельбы с дальних дистанций. СУ-14-1 и сейчас находится в Кубинке, а СУ-14 в 60-х годах была разрезана на металл (3861).</w:t>
      </w:r>
    </w:p>
    <w:p w14:paraId="6A3C72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BEF621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 на московском заводе № 733 "Компрессор" на базе тан</w:t>
      </w:r>
      <w:r w:rsidRPr="00640820">
        <w:rPr>
          <w:rFonts w:ascii="Times New Roman" w:hAnsi="Times New Roman"/>
          <w:color w:val="000000" w:themeColor="text1"/>
          <w:sz w:val="16"/>
          <w:szCs w:val="16"/>
        </w:rPr>
        <w:softHyphen/>
        <w:t>ка Т-40С бы</w:t>
      </w:r>
      <w:r w:rsidRPr="00640820">
        <w:rPr>
          <w:rFonts w:ascii="Times New Roman" w:hAnsi="Times New Roman"/>
          <w:color w:val="000000" w:themeColor="text1"/>
          <w:sz w:val="16"/>
          <w:szCs w:val="16"/>
        </w:rPr>
        <w:softHyphen/>
        <w:t>ла разработана реактивная установка залпового огня БМ-8-24, которая была принята на вооружение в конце октября 1941 г. и выпущена не</w:t>
      </w:r>
      <w:r w:rsidRPr="00640820">
        <w:rPr>
          <w:rFonts w:ascii="Times New Roman" w:hAnsi="Times New Roman"/>
          <w:color w:val="000000" w:themeColor="text1"/>
          <w:sz w:val="16"/>
          <w:szCs w:val="16"/>
        </w:rPr>
        <w:softHyphen/>
        <w:t>большой партией (10703).</w:t>
      </w:r>
    </w:p>
    <w:p w14:paraId="1991F2C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1AA2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года на московском заводе № 733 ("Компрессор") на Т-40, как на шасси высокой проходимости, монтировали вместо башни реактивные установки залпового огня БМ-8-24 (ведущий конструктор Д.И.Сазонов) (3862).</w:t>
      </w:r>
    </w:p>
    <w:p w14:paraId="0BC64D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192E7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 к производству Т-60 подключился та</w:t>
      </w:r>
      <w:r w:rsidRPr="00640820">
        <w:rPr>
          <w:rFonts w:ascii="Times New Roman" w:hAnsi="Times New Roman"/>
          <w:color w:val="000000" w:themeColor="text1"/>
          <w:sz w:val="16"/>
          <w:szCs w:val="16"/>
        </w:rPr>
        <w:softHyphen/>
        <w:t>кой крупный производитель, как ГАЗ, который покрыл недо</w:t>
      </w:r>
      <w:r w:rsidRPr="00640820">
        <w:rPr>
          <w:rFonts w:ascii="Times New Roman" w:hAnsi="Times New Roman"/>
          <w:color w:val="000000" w:themeColor="text1"/>
          <w:sz w:val="16"/>
          <w:szCs w:val="16"/>
        </w:rPr>
        <w:softHyphen/>
        <w:t>статок отгружаемых танков в самый сложный период (10782).</w:t>
      </w:r>
    </w:p>
    <w:p w14:paraId="0BD305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98CA64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 танки Т-60 оставались чуть ли не единственным типом танка, что выпускался на предприя</w:t>
      </w:r>
      <w:r w:rsidRPr="00640820">
        <w:rPr>
          <w:rFonts w:ascii="Times New Roman" w:hAnsi="Times New Roman"/>
          <w:color w:val="000000" w:themeColor="text1"/>
          <w:sz w:val="16"/>
          <w:szCs w:val="16"/>
        </w:rPr>
        <w:softHyphen/>
        <w:t>тиях НКТП в более или менее достаточных количествах, несмотря на то что завод № 37 из подмосковного Черкизо</w:t>
      </w:r>
      <w:r w:rsidRPr="00640820">
        <w:rPr>
          <w:rFonts w:ascii="Times New Roman" w:hAnsi="Times New Roman"/>
          <w:color w:val="000000" w:themeColor="text1"/>
          <w:sz w:val="16"/>
          <w:szCs w:val="16"/>
        </w:rPr>
        <w:softHyphen/>
        <w:t>ва в октябре отбыл в Свердловск, на территорию вагоноре</w:t>
      </w:r>
      <w:r w:rsidRPr="00640820">
        <w:rPr>
          <w:rFonts w:ascii="Times New Roman" w:hAnsi="Times New Roman"/>
          <w:color w:val="000000" w:themeColor="text1"/>
          <w:sz w:val="16"/>
          <w:szCs w:val="16"/>
        </w:rPr>
        <w:softHyphen/>
        <w:t>монтного завода имени Воеводина. Перевозка оборудования велась недолго, с 28 октября по 6 ноября, а уже 10 ноября вместе с частью эвакуированного туда завода «КИМ» здесь был образован новый танковый за</w:t>
      </w:r>
      <w:r w:rsidRPr="00640820">
        <w:rPr>
          <w:rFonts w:ascii="Times New Roman" w:hAnsi="Times New Roman"/>
          <w:color w:val="000000" w:themeColor="text1"/>
          <w:sz w:val="16"/>
          <w:szCs w:val="16"/>
        </w:rPr>
        <w:softHyphen/>
        <w:t>вод № 37 (главный конструктор Г. Суренян), и 1 января 1942 г. первые 20 танков Т-60Ш, собранные из привезенных Деталей, прошли по улицам Свердловска и отбыли на фронт. За первый квартал 1942 г. здесь было выпущено свыше 500 танков, а всего за 1942 г. - 1639 машин (10782).</w:t>
      </w:r>
    </w:p>
    <w:p w14:paraId="63D36D4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14DA5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 был разработан Танк Т-60-1 (ЗИС-60) по собствен</w:t>
      </w:r>
      <w:r w:rsidRPr="00640820">
        <w:rPr>
          <w:rFonts w:ascii="Times New Roman" w:hAnsi="Times New Roman"/>
          <w:color w:val="000000" w:themeColor="text1"/>
          <w:sz w:val="16"/>
          <w:szCs w:val="16"/>
        </w:rPr>
        <w:softHyphen/>
        <w:t>ной инициативе Московским автозаводом им. Сталина (ЗИС) совмест</w:t>
      </w:r>
      <w:r w:rsidRPr="00640820">
        <w:rPr>
          <w:rFonts w:ascii="Times New Roman" w:hAnsi="Times New Roman"/>
          <w:color w:val="000000" w:themeColor="text1"/>
          <w:sz w:val="16"/>
          <w:szCs w:val="16"/>
        </w:rPr>
        <w:softHyphen/>
        <w:t>но с КБ танкового завода № 37. Ведущими инженерами машины от ЗИС были инженеры Б.М. Фиттерман и А.М. Авенариус (заводское обозначение танка - ЗИС-60). До эвакуации автозавода Подольский Крекинг завод успел выпустить 10 комплектов корпусов и башен маши</w:t>
      </w:r>
      <w:r w:rsidRPr="00640820">
        <w:rPr>
          <w:rFonts w:ascii="Times New Roman" w:hAnsi="Times New Roman"/>
          <w:color w:val="000000" w:themeColor="text1"/>
          <w:sz w:val="16"/>
          <w:szCs w:val="16"/>
        </w:rPr>
        <w:softHyphen/>
        <w:t>ны, но один опытный образец был собран только в феврале 1942 г. на за</w:t>
      </w:r>
      <w:r w:rsidRPr="00640820">
        <w:rPr>
          <w:rFonts w:ascii="Times New Roman" w:hAnsi="Times New Roman"/>
          <w:color w:val="000000" w:themeColor="text1"/>
          <w:sz w:val="16"/>
          <w:szCs w:val="16"/>
        </w:rPr>
        <w:softHyphen/>
        <w:t>воде № 37 в Свердловске (заводское обозначение — 0-61). Дальнейшие работы по танку Т-60-1 развития не получили. Согласно техническому проекту танк Т-60-1 полностью повторял компоновочную схему танка Т-60 и отличался от последнего оригиналь</w:t>
      </w:r>
      <w:r w:rsidRPr="00640820">
        <w:rPr>
          <w:rFonts w:ascii="Times New Roman" w:hAnsi="Times New Roman"/>
          <w:color w:val="000000" w:themeColor="text1"/>
          <w:sz w:val="16"/>
          <w:szCs w:val="16"/>
        </w:rPr>
        <w:softHyphen/>
        <w:t>ной конструкцией башни и несколько увеличенными размерами корпу</w:t>
      </w:r>
      <w:r w:rsidRPr="00640820">
        <w:rPr>
          <w:rFonts w:ascii="Times New Roman" w:hAnsi="Times New Roman"/>
          <w:color w:val="000000" w:themeColor="text1"/>
          <w:sz w:val="16"/>
          <w:szCs w:val="16"/>
        </w:rPr>
        <w:softHyphen/>
        <w:t>са, связанными с использованием более громоздкого и тяжелого авто</w:t>
      </w:r>
      <w:r w:rsidRPr="00640820">
        <w:rPr>
          <w:rFonts w:ascii="Times New Roman" w:hAnsi="Times New Roman"/>
          <w:color w:val="000000" w:themeColor="text1"/>
          <w:sz w:val="16"/>
          <w:szCs w:val="16"/>
        </w:rPr>
        <w:softHyphen/>
        <w:t>бусного карбюраторного двигателя ЗИС-16 мощностью 88 л.с. (65 кВт). На опытном образце был установлен двигатель ЗИС-60 мощностью 95 л.с. (70 кВт), а в перспективе предусматривалось форсировать двига</w:t>
      </w:r>
      <w:r w:rsidRPr="00640820">
        <w:rPr>
          <w:rFonts w:ascii="Times New Roman" w:hAnsi="Times New Roman"/>
          <w:color w:val="000000" w:themeColor="text1"/>
          <w:sz w:val="16"/>
          <w:szCs w:val="16"/>
        </w:rPr>
        <w:softHyphen/>
        <w:t>тель до мощности 110 л.с. (81 кВт). Установка нового силового агрегата была связана с возросшей боевой массой танка Т-60 при усилении его броневой защиты путем экранирования. В остальном боевые и техниче</w:t>
      </w:r>
      <w:r w:rsidRPr="00640820">
        <w:rPr>
          <w:rFonts w:ascii="Times New Roman" w:hAnsi="Times New Roman"/>
          <w:color w:val="000000" w:themeColor="text1"/>
          <w:sz w:val="16"/>
          <w:szCs w:val="16"/>
        </w:rPr>
        <w:softHyphen/>
        <w:t>ские характеристики танка Т-60-1 были сохранены на уровне танка Т-60 (10703).</w:t>
      </w:r>
    </w:p>
    <w:p w14:paraId="580944B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9E56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параде на Красной площади 7 ноября 1941 года участвовало 48 Т-60, взятых из резерва. После парада все они ушли на фронт. Это были танки московского производства, горьковские же Т-60 впервые вступили в бой под Москвой только 13 декабря (3862).</w:t>
      </w:r>
    </w:p>
    <w:p w14:paraId="33688E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D2B66C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 была разработана 76,2-мм танковая пушка ЗИС-5 на базе пушки Ф-34, которая являлась основным оружием серийных тяжелых тан</w:t>
      </w:r>
      <w:r w:rsidRPr="00640820">
        <w:rPr>
          <w:rFonts w:ascii="Times New Roman" w:hAnsi="Times New Roman"/>
          <w:color w:val="000000" w:themeColor="text1"/>
          <w:sz w:val="16"/>
          <w:szCs w:val="16"/>
        </w:rPr>
        <w:softHyphen/>
        <w:t>ков КВ-1, КВ-1С и опытного среднего танка КВ-13. Она отличалась от модернизированной танковой пушки Ф-34 конструкцией люльки, уст</w:t>
      </w:r>
      <w:r w:rsidRPr="00640820">
        <w:rPr>
          <w:rFonts w:ascii="Times New Roman" w:hAnsi="Times New Roman"/>
          <w:color w:val="000000" w:themeColor="text1"/>
          <w:sz w:val="16"/>
          <w:szCs w:val="16"/>
        </w:rPr>
        <w:softHyphen/>
        <w:t>ройством и креплением бронировки, конструкцией механизма крепления орудия по-походному и тягой к перископическому прицелу. В остальном устройство обеих пушек и применяемые боеприпасы были одинаковы (10703).</w:t>
      </w:r>
    </w:p>
    <w:p w14:paraId="1512889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0F718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осе</w:t>
      </w:r>
      <w:r w:rsidRPr="00640820">
        <w:rPr>
          <w:rFonts w:ascii="Times New Roman" w:hAnsi="Times New Roman"/>
          <w:color w:val="000000" w:themeColor="text1"/>
          <w:sz w:val="16"/>
          <w:szCs w:val="16"/>
        </w:rPr>
        <w:softHyphen/>
        <w:t>ни 1941 г. на машинах производства ЧКЗ вместо двух бронзовых втулках трубы балансира устанавливались чугунные втулки, смонтированных в кронштейнах корпуса танка. Максимальный угол закрутки торсион</w:t>
      </w:r>
      <w:r w:rsidRPr="00640820">
        <w:rPr>
          <w:rFonts w:ascii="Times New Roman" w:hAnsi="Times New Roman"/>
          <w:color w:val="000000" w:themeColor="text1"/>
          <w:sz w:val="16"/>
          <w:szCs w:val="16"/>
        </w:rPr>
        <w:softHyphen/>
        <w:t>ного вала составлял 26°. Торсионы обеспечивали средний динамиче</w:t>
      </w:r>
      <w:r w:rsidRPr="00640820">
        <w:rPr>
          <w:rFonts w:ascii="Times New Roman" w:hAnsi="Times New Roman"/>
          <w:color w:val="000000" w:themeColor="text1"/>
          <w:sz w:val="16"/>
          <w:szCs w:val="16"/>
        </w:rPr>
        <w:softHyphen/>
        <w:t>ский ход катка 162 мм, статический — 65 мм (10703).</w:t>
      </w:r>
    </w:p>
    <w:p w14:paraId="028261D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F0583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 после решения о прекращении работ над КВ-3, артиллерийский танк КВ-122, вооруженный штурмовым орудием с баллистикой гаубицы М-30 в штатной башне танка КВ, работа над которым уже началась в 1940-м на ЛКЗ, вновь привлек внимание НКТП (11417).</w:t>
      </w:r>
    </w:p>
    <w:p w14:paraId="4575F28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E6C79D" w14:textId="77777777" w:rsidR="00680EEE" w:rsidRPr="00640820" w:rsidRDefault="00680EEE"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До осени 1941 года КВ-1 считался временным решением, предполагалось его заменить на КВ-3. То, что от этой идеи придется отказаться, стало ясно только осенью. Примечательно, что КБ завода №92 в начале сентября 1941 года спроектировало спаренную установку 107-мм орудия ЗИС-6 и 45-мм пушки. Вряд ли конструкторы сделали это по собственной инициативе – наверху кто-то явно решил «вырастить» из КВ-3 аналог КВ-4. Когда пришлось смириться с отсутствием перспектив у запуска серийного производства КВ-3 в Челябинске, появилась другая идея – сделать из КВ-1 некий аналог КВ-3. Разумеется, о пушке ЗИС-6 в качестве вооружения теперь речи не шло, тем более что ее производство так и не было развернуто. На горизонте снова замаячила пушка калибра 85 мм (17675).</w:t>
      </w:r>
    </w:p>
    <w:p w14:paraId="2884BB50" w14:textId="77777777" w:rsidR="00680EEE" w:rsidRPr="00640820" w:rsidRDefault="00680EEE" w:rsidP="00640820">
      <w:pPr>
        <w:spacing w:after="0" w:line="240" w:lineRule="auto"/>
        <w:jc w:val="both"/>
        <w:rPr>
          <w:rFonts w:ascii="Times New Roman" w:eastAsia="Times New Roman" w:hAnsi="Times New Roman"/>
          <w:color w:val="000000" w:themeColor="text1"/>
          <w:sz w:val="16"/>
          <w:szCs w:val="16"/>
          <w:lang w:eastAsia="ru-RU"/>
        </w:rPr>
      </w:pPr>
    </w:p>
    <w:p w14:paraId="0712A769" w14:textId="77777777" w:rsidR="00E110AE" w:rsidRPr="00640820" w:rsidRDefault="00E110AE"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Осенью 1941 года сложилась критическая ситуация с производством КВ-1 на ЧТЗ (после эвакуации туда ленинградского Кировского завода его переименовали в ЧКЗ). Наиболее критичной ситуация оказалась с орудиями. Выпуск орудий Ф-32 в Ленинграде прекратился, а производство танковых орудий ЗИС-5, унифицированных с Ф-34, на заводе №92 только разворачивался, поэтому пришлось срочно что-то придумывать. Альтернативой и стала система У-11, которую разработали по требованию </w:t>
      </w:r>
      <w:hyperlink r:id="rId24" w:history="1">
        <w:r w:rsidRPr="00640820">
          <w:rPr>
            <w:rStyle w:val="a5"/>
            <w:rFonts w:eastAsiaTheme="majorEastAsia"/>
            <w:bCs/>
            <w:iCs/>
            <w:color w:val="000000" w:themeColor="text1"/>
            <w:sz w:val="16"/>
            <w:szCs w:val="16"/>
            <w:u w:val="none"/>
            <w:bdr w:val="none" w:sz="0" w:space="0" w:color="auto" w:frame="1"/>
          </w:rPr>
          <w:t>Ж.Я. Котина</w:t>
        </w:r>
      </w:hyperlink>
      <w:r w:rsidRPr="00640820">
        <w:rPr>
          <w:color w:val="000000" w:themeColor="text1"/>
          <w:sz w:val="16"/>
          <w:szCs w:val="16"/>
        </w:rPr>
        <w:t> в ноябре 1941 года. Авторы сводного отчёта «потеряли» Ф.Ф. Петрова и Л.И. Горлицкого, которые руководили работами. Конечно, В.Н. Сидоренко имел прямое отношение к У-11, но руководителем проекта он не являлся (он был старшим инженером). Почему же при создании У-11 была взята баллистика гаубицы М-30? Ответ лежит на поверхности. Осенью 1941 года единственной орудийной системой, которая выпускалась на УЗТМ, была гаубица М-30, поэтому её и взяли за основу. Ни о каком повышении мощности огня речи и не шло — У-11 являлась альтернативой ЗИС-5. Более того, ГАУ КА и НКВ выступили против инициативы НКТП, но пока артиллеристы «топили» эту систему, УЗТМ успел выпустить 10 танковых гаубиц. Кстати, есть и нюанс касательно впечатляющего бронепробития. Стреляли усиленным зарядом, да ещё и бронебойным снарядом от А-19. ГАУ КА и НКВ выступили категорически против таких экспериментов, поскольку резко снижался ресурс ствола, и возникал риск выхода из строя затвора.</w:t>
      </w:r>
    </w:p>
    <w:p w14:paraId="71AD1539" w14:textId="77777777" w:rsidR="00E110AE" w:rsidRPr="00640820" w:rsidRDefault="00E110AE"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На этом история У-11 закончилась, но лишь в случае установки её в танке </w:t>
      </w:r>
      <w:hyperlink r:id="rId25" w:history="1">
        <w:r w:rsidRPr="00640820">
          <w:rPr>
            <w:rStyle w:val="a5"/>
            <w:rFonts w:eastAsiaTheme="majorEastAsia"/>
            <w:bCs/>
            <w:iCs/>
            <w:color w:val="000000" w:themeColor="text1"/>
            <w:sz w:val="16"/>
            <w:szCs w:val="16"/>
            <w:u w:val="none"/>
            <w:bdr w:val="none" w:sz="0" w:space="0" w:color="auto" w:frame="1"/>
          </w:rPr>
          <w:t>КВ-9</w:t>
        </w:r>
      </w:hyperlink>
      <w:r w:rsidRPr="00640820">
        <w:rPr>
          <w:color w:val="000000" w:themeColor="text1"/>
          <w:sz w:val="16"/>
          <w:szCs w:val="16"/>
        </w:rPr>
        <w:t>. С точки зрения установки орудия в САУ система была вполне удачной, поэтому У-11 неоднократно вытаскивали из небытия, упирая уже на то самое «усиление мощности». Правда, в ГАУ КА и НКВ продолжали выступать против У-11, и на сей раз там были неправы. Именно как система для САУ данное орудие было удачным, поскольку получалось более компактным и лёгким. Позже конструкция У-11 легла в основу орудий семейства Д-5, Д-10 и Д-25 (к слову, в сводном отчёте об этом написать постеснялись) (19620).</w:t>
      </w:r>
    </w:p>
    <w:p w14:paraId="181420BF" w14:textId="77777777" w:rsidR="00E110AE" w:rsidRPr="00640820" w:rsidRDefault="00E110AE" w:rsidP="00640820">
      <w:pPr>
        <w:pStyle w:val="ae"/>
        <w:shd w:val="clear" w:color="auto" w:fill="FFFFFF"/>
        <w:spacing w:before="0" w:after="0"/>
        <w:jc w:val="both"/>
        <w:textAlignment w:val="baseline"/>
        <w:rPr>
          <w:color w:val="000000" w:themeColor="text1"/>
          <w:sz w:val="16"/>
          <w:szCs w:val="16"/>
        </w:rPr>
      </w:pPr>
    </w:p>
    <w:p w14:paraId="0A8333D3" w14:textId="77777777" w:rsidR="00947B85" w:rsidRPr="00640820" w:rsidRDefault="00947B85" w:rsidP="00640820">
      <w:pPr>
        <w:spacing w:after="0" w:line="240" w:lineRule="auto"/>
        <w:jc w:val="both"/>
        <w:rPr>
          <w:rFonts w:ascii="Times New Roman" w:hAnsi="Times New Roman"/>
          <w:color w:val="0070C0"/>
          <w:sz w:val="16"/>
          <w:szCs w:val="16"/>
          <w:shd w:val="clear" w:color="auto" w:fill="FFFFFF"/>
        </w:rPr>
      </w:pPr>
      <w:r w:rsidRPr="00640820">
        <w:rPr>
          <w:rFonts w:ascii="Times New Roman" w:hAnsi="Times New Roman"/>
          <w:color w:val="0070C0"/>
          <w:sz w:val="16"/>
          <w:szCs w:val="16"/>
          <w:shd w:val="clear" w:color="auto" w:fill="FFFFFF"/>
        </w:rPr>
        <w:t>Осенью 1941 года на ЧТЗ шли работы по развертыванию производства тяжелого танка КВ-1. Он там и так выпускался, но в скромных объемах - 27 штук в августе, 27 в сентябре и 62 в октябре. Причин для столь медленного роста выпуска было немало. Это и перебои с орудиями (фактически выпуск пушек ЗИС-5 начался только в сентябре 1941 года), и проблемы с поставками моторов (в виду чего пришлось ставить авиационные моторы М-17). Кроме того, никто не снимал с ЧТЗ выпуск тракторов, которые использовались в качестве артиллерийских тягачей. В их числе был и артиллерийский тягач Сталинец С-2. Машина, скажем так, весьма неоднозначная. На вооружение Красной Армии его приняли 19 декабря 1939 года, но реальное производство началось в 1941 году. При этом у С-2 сложилась, пожалуй, самая плохая репутация среди советских артиллерийских тягачей. Тем не менее, на 1941 год было заказано 2000 таких тягачей, из которых к 1 января 1942 года сдали 1129 штук (20288).</w:t>
      </w:r>
    </w:p>
    <w:p w14:paraId="6667E75D" w14:textId="77777777" w:rsidR="00947B85" w:rsidRPr="00640820" w:rsidRDefault="00947B85" w:rsidP="00640820">
      <w:pPr>
        <w:spacing w:after="0" w:line="240" w:lineRule="auto"/>
        <w:jc w:val="both"/>
        <w:rPr>
          <w:rFonts w:ascii="Times New Roman" w:hAnsi="Times New Roman"/>
          <w:color w:val="0070C0"/>
          <w:sz w:val="16"/>
          <w:szCs w:val="16"/>
          <w:shd w:val="clear" w:color="auto" w:fill="FFFFFF"/>
        </w:rPr>
      </w:pPr>
    </w:p>
    <w:p w14:paraId="3B23C017" w14:textId="77777777" w:rsidR="00947B85" w:rsidRPr="00640820" w:rsidRDefault="00947B85" w:rsidP="00640820">
      <w:pPr>
        <w:shd w:val="clear" w:color="auto" w:fill="FFFFFF"/>
        <w:spacing w:after="0" w:line="240" w:lineRule="auto"/>
        <w:jc w:val="both"/>
        <w:rPr>
          <w:rFonts w:ascii="Times New Roman" w:eastAsia="Times New Roman" w:hAnsi="Times New Roman"/>
          <w:color w:val="0070C0"/>
          <w:sz w:val="16"/>
          <w:szCs w:val="16"/>
          <w:lang w:eastAsia="ru-RU"/>
        </w:rPr>
      </w:pPr>
      <w:r w:rsidRPr="00640820">
        <w:rPr>
          <w:rFonts w:ascii="Times New Roman" w:eastAsia="Times New Roman" w:hAnsi="Times New Roman"/>
          <w:color w:val="0070C0"/>
          <w:sz w:val="16"/>
          <w:szCs w:val="16"/>
          <w:lang w:eastAsia="ru-RU"/>
        </w:rPr>
        <w:lastRenderedPageBreak/>
        <w:t>Осенью 1941 года оба танка Т-220 (первый и второй опытные) понадобились. Правда, уже не в том виде, как их изначально планировали. Поскольку орудие Ф-30 так и не испытали, а башня была существенно тяжелее КВ-1, случилась рокировка. На шасси, получившее номер М-220-1, поставили башню КВ-1 с орудием Ф-32. То же самое случилось и со вторым танком, М-220-2. Что же касается башни с Ф-30, то она отправилась прямиком на 22-й УР (Карельский Укреплённый Район). Согласно отчету 22-го УР, башню поставили на бетонное основание, получилась Арт. БОТ (КВ) с пушкой 85 мм, которую назвали "Победа". Таким образом, хотя бы в таком вида 85-мм пушка Ф-30 повоевала.</w:t>
      </w:r>
    </w:p>
    <w:p w14:paraId="658CFC02" w14:textId="77777777" w:rsidR="00947B85" w:rsidRPr="00640820" w:rsidRDefault="00947B85" w:rsidP="00640820">
      <w:pPr>
        <w:shd w:val="clear" w:color="auto" w:fill="FFFFFF"/>
        <w:spacing w:after="0" w:line="240" w:lineRule="auto"/>
        <w:jc w:val="both"/>
        <w:rPr>
          <w:rFonts w:ascii="Times New Roman" w:eastAsia="Times New Roman" w:hAnsi="Times New Roman"/>
          <w:color w:val="0070C0"/>
          <w:sz w:val="16"/>
          <w:szCs w:val="16"/>
          <w:lang w:eastAsia="ru-RU"/>
        </w:rPr>
      </w:pPr>
      <w:r w:rsidRPr="00640820">
        <w:rPr>
          <w:rFonts w:ascii="Times New Roman" w:eastAsia="Times New Roman" w:hAnsi="Times New Roman"/>
          <w:color w:val="0070C0"/>
          <w:sz w:val="16"/>
          <w:szCs w:val="16"/>
          <w:lang w:eastAsia="ru-RU"/>
        </w:rPr>
        <w:t>Более интересная ситуация была вокруг Т-220. Согласно отправкам Кировского Завода, 5 октября 1941 года танк Т-220-1 направили в состав 124-й танковой бригады. Следом, 16 октября, туда же уехал и второй танк. Так вот, периодически оба танка в переписке именовались как "За Родину". Связано ли это со слоганом на башне (был ли он, неизвестно), или же другими причинами, вопрос. Увы, судьба Т-220-2 сложилась трагически. В ходе боя за Усть-Тосно, 5 ноября 1941 года, танк был уничтожен. Погиб весь экипаж под командованием младшего лейтенанта Н.Д. Яхнина, всего он составлял 6 человек. По свидетельствам очевидцев, танку сбило башню.</w:t>
      </w:r>
    </w:p>
    <w:p w14:paraId="6CACC7C5" w14:textId="77777777" w:rsidR="00947B85" w:rsidRPr="00640820" w:rsidRDefault="00947B85" w:rsidP="00640820">
      <w:pPr>
        <w:shd w:val="clear" w:color="auto" w:fill="FFFFFF"/>
        <w:spacing w:after="0" w:line="240" w:lineRule="auto"/>
        <w:jc w:val="both"/>
        <w:rPr>
          <w:rFonts w:ascii="Times New Roman" w:eastAsia="Times New Roman" w:hAnsi="Times New Roman"/>
          <w:color w:val="0070C0"/>
          <w:sz w:val="16"/>
          <w:szCs w:val="16"/>
          <w:lang w:eastAsia="ru-RU"/>
        </w:rPr>
      </w:pPr>
      <w:r w:rsidRPr="00640820">
        <w:rPr>
          <w:rFonts w:ascii="Times New Roman" w:eastAsia="Times New Roman" w:hAnsi="Times New Roman"/>
          <w:color w:val="0070C0"/>
          <w:sz w:val="16"/>
          <w:szCs w:val="16"/>
          <w:lang w:eastAsia="ru-RU"/>
        </w:rPr>
        <w:t>Больше повезло второму танку "За Родину", он же М-220-1. В начале 1942 года машина оказалась на заводе №371, где прошла ремонт. Впрочем, больше ее в бой не пускали. 8 февраля 1942 года танк "За Родину" зачислили в состав 12-го учебного танкового полка. При этом в документах он проходит как Т-220-2, что явно ошибка. На машине стоял мотор В-2К, когда он там появился, тоже отдельный вопрос. Вполне вероятно, что он там прописался еще в 1941 году. Так или иначе, далее Т-220 использовался только как учебный танк (21243).</w:t>
      </w:r>
    </w:p>
    <w:p w14:paraId="3B78B1C0" w14:textId="77777777" w:rsidR="00947B85" w:rsidRPr="00640820" w:rsidRDefault="00947B85" w:rsidP="00640820">
      <w:pPr>
        <w:spacing w:after="0" w:line="240" w:lineRule="auto"/>
        <w:jc w:val="both"/>
        <w:rPr>
          <w:rFonts w:ascii="Times New Roman" w:hAnsi="Times New Roman"/>
          <w:color w:val="0070C0"/>
          <w:sz w:val="16"/>
          <w:szCs w:val="16"/>
          <w:shd w:val="clear" w:color="auto" w:fill="FFFFFF"/>
        </w:rPr>
      </w:pPr>
    </w:p>
    <w:p w14:paraId="2047DCDB" w14:textId="77777777" w:rsidR="00947B85" w:rsidRPr="00640820" w:rsidRDefault="00947B85" w:rsidP="00640820">
      <w:pPr>
        <w:spacing w:after="0" w:line="240" w:lineRule="auto"/>
        <w:jc w:val="both"/>
        <w:rPr>
          <w:rFonts w:ascii="Times New Roman" w:hAnsi="Times New Roman"/>
          <w:color w:val="0070C0"/>
          <w:sz w:val="16"/>
          <w:szCs w:val="16"/>
          <w:shd w:val="clear" w:color="auto" w:fill="FFFFFF"/>
        </w:rPr>
      </w:pPr>
      <w:r w:rsidRPr="00640820">
        <w:rPr>
          <w:rFonts w:ascii="Times New Roman" w:hAnsi="Times New Roman"/>
          <w:color w:val="0070C0"/>
          <w:sz w:val="16"/>
          <w:szCs w:val="16"/>
          <w:shd w:val="clear" w:color="auto" w:fill="FFFFFF"/>
        </w:rPr>
        <w:t>Осенью 1941 года С-2 весьма активно выпускался. Например, за сентябрь 1941 года ЧТЗ сдал 202 таких тягача, причем их выпуск лимитировался производственными возможностями. Даже в ноябре их сдали 64 штуки. И это при том, что именно в этом месяце началось свертывание производства тягачей в Челябинске.</w:t>
      </w:r>
    </w:p>
    <w:p w14:paraId="7FF089AF" w14:textId="77777777" w:rsidR="00947B85" w:rsidRPr="00640820" w:rsidRDefault="00947B85" w:rsidP="00640820">
      <w:pPr>
        <w:spacing w:after="0" w:line="240" w:lineRule="auto"/>
        <w:jc w:val="both"/>
        <w:rPr>
          <w:rFonts w:ascii="Times New Roman" w:hAnsi="Times New Roman"/>
          <w:color w:val="0070C0"/>
          <w:sz w:val="16"/>
          <w:szCs w:val="16"/>
          <w:shd w:val="clear" w:color="auto" w:fill="FFFFFF"/>
        </w:rPr>
      </w:pPr>
      <w:r w:rsidRPr="00640820">
        <w:rPr>
          <w:rFonts w:ascii="Times New Roman" w:hAnsi="Times New Roman"/>
          <w:color w:val="0070C0"/>
          <w:sz w:val="16"/>
          <w:szCs w:val="16"/>
          <w:shd w:val="clear" w:color="auto" w:fill="FFFFFF"/>
        </w:rPr>
        <w:t>Осенью 1941 года на ЧТЗ начались процессы, свойственные некоторым заводам в критичный момент. По собственной инициативе там стали разрабатывать САУ, которая в переписке получила обозначение СУ-С2. По этой машине практически не сохранилось текстовой информации, она как-то бегло проскочила в переписке ГАБТУ КА. Судя по происходящему, там сразу приняли по данной машине решение в стиле "понять и простить". Собственно говоря, базой С-2 данную конструкцию можно назвать весьма условно. В Челябинске отдавали отчет, что исходное шасси для подобных вещей мало подходит. Кроме того, на ЧТЗ, к тому моменту, оказалась часть коллектива Кировского завода. Вскоре завод переименовали в Челябинский Кировский Завод. При этом СУ-С2 была не единственной такой странной разработкой. КВ-7, который появился не без участия Сталина, выглядел ничуть не менее странно.</w:t>
      </w:r>
    </w:p>
    <w:p w14:paraId="49DEED65" w14:textId="77777777" w:rsidR="00947B85" w:rsidRPr="00640820" w:rsidRDefault="00947B85" w:rsidP="00640820">
      <w:pPr>
        <w:spacing w:after="0" w:line="240" w:lineRule="auto"/>
        <w:jc w:val="both"/>
        <w:rPr>
          <w:rFonts w:ascii="Times New Roman" w:hAnsi="Times New Roman"/>
          <w:color w:val="0070C0"/>
          <w:sz w:val="16"/>
          <w:szCs w:val="16"/>
          <w:shd w:val="clear" w:color="auto" w:fill="FFFFFF"/>
        </w:rPr>
      </w:pPr>
      <w:r w:rsidRPr="00640820">
        <w:rPr>
          <w:rFonts w:ascii="Times New Roman" w:hAnsi="Times New Roman"/>
          <w:color w:val="0070C0"/>
          <w:sz w:val="16"/>
          <w:szCs w:val="16"/>
          <w:shd w:val="clear" w:color="auto" w:fill="FFFFFF"/>
        </w:rPr>
        <w:t>От С-2 на данной машине бралась, прежде всего, рама и моторно-трансмиссионная группа, ведущие колеса, поддерживающие катки и траки. При этом раму удлинили, а подвеску переделали. За основу взяли торсионную подвеску КВ, с него же позаимствовали балансиры, а также немного переделанные ленивцы. Теперь ленивцы (точнее, их уменьшенная в диаметре версия) выполняли роль еще и опорных катков. На получившееся шасси установили громоздкий бронекорпус. Место механика-водителя максимально сместили влево, причем каким-то особым комфортом оно явно не отличалось. С правой стороны разместили установку курсового пулемета ДТ.</w:t>
      </w:r>
    </w:p>
    <w:p w14:paraId="0846080C" w14:textId="77777777" w:rsidR="00947B85" w:rsidRPr="00640820" w:rsidRDefault="00947B85" w:rsidP="00640820">
      <w:pPr>
        <w:spacing w:after="0" w:line="240" w:lineRule="auto"/>
        <w:jc w:val="both"/>
        <w:rPr>
          <w:rFonts w:ascii="Times New Roman" w:hAnsi="Times New Roman"/>
          <w:color w:val="0070C0"/>
          <w:sz w:val="16"/>
          <w:szCs w:val="16"/>
          <w:shd w:val="clear" w:color="auto" w:fill="FFFFFF"/>
        </w:rPr>
      </w:pPr>
      <w:r w:rsidRPr="00640820">
        <w:rPr>
          <w:rFonts w:ascii="Times New Roman" w:hAnsi="Times New Roman"/>
          <w:color w:val="0070C0"/>
          <w:sz w:val="16"/>
          <w:szCs w:val="16"/>
          <w:shd w:val="clear" w:color="auto" w:fill="FFFFFF"/>
        </w:rPr>
        <w:t>Вместо кузова было сделано боевое отделение, открытое сверху, сзади и частично сбоку. Чем-то данная конструкция напоминала бронемашину ПБ (о копировании речь не идет, такая схема рождалась, одновременно, в разных странах). Внутри боевого отделения разместили 122-мм гаубицу М-30. Качающуюся часть гаубицы оставили без изменений, даже орудийный щит остался штатный. Выбор М-30 в качестве вооружения объяснялся тем, что это была единственная система, которая в то время серийно выпускалась на Урале. А конкретно на УЗТМ. Помимо гаубицы, в боевом отделении разместили боезапас, его объем неизвестен. (20288).</w:t>
      </w:r>
    </w:p>
    <w:p w14:paraId="01AF6B5C" w14:textId="77777777" w:rsidR="00947B85" w:rsidRPr="00640820" w:rsidRDefault="00947B85" w:rsidP="00640820">
      <w:pPr>
        <w:spacing w:after="0" w:line="240" w:lineRule="auto"/>
        <w:jc w:val="both"/>
        <w:rPr>
          <w:rFonts w:ascii="Times New Roman" w:hAnsi="Times New Roman"/>
          <w:color w:val="0070C0"/>
          <w:sz w:val="16"/>
          <w:szCs w:val="16"/>
          <w:shd w:val="clear" w:color="auto" w:fill="FFFFFF"/>
        </w:rPr>
      </w:pPr>
    </w:p>
    <w:p w14:paraId="1C6B481F" w14:textId="77777777" w:rsidR="009B52D7" w:rsidRPr="00640820" w:rsidRDefault="009B52D7" w:rsidP="00640820">
      <w:pPr>
        <w:pStyle w:val="article-renderblock"/>
        <w:shd w:val="clear" w:color="auto" w:fill="FFFFFF"/>
        <w:spacing w:before="0" w:beforeAutospacing="0" w:after="0" w:afterAutospacing="0"/>
        <w:jc w:val="both"/>
        <w:rPr>
          <w:color w:val="0070C0"/>
          <w:sz w:val="16"/>
          <w:szCs w:val="16"/>
        </w:rPr>
      </w:pPr>
      <w:r w:rsidRPr="00640820">
        <w:rPr>
          <w:color w:val="0070C0"/>
          <w:sz w:val="16"/>
          <w:szCs w:val="16"/>
        </w:rPr>
        <w:t>Осенью 1941 года на УЗТМ оказался ряд ленинградских конструкторов-артиллеристов, в их числе были Л.И.Горлицкий и Н.В.Курин. Практически сразу для них нашлась работа: в ноябре 1941 года НКТП дал указание о разработке танковых пушек У-11 и У-12 калибра 122 и 85 мм. Инициатива шла от Ж.Я. Котина. Это был первый случай, когда Петров, Горлицкий и Котин оказались вовлечены в один проект. Дальше были систему У-13 и У-14 для штурмового танка КВ-7. Примерно в это же время Петров получил задание на разработку первой отечественной средней САУ военного периода, по которой до наших дней дошла техническая документация. Впрочем, материалы по этой машине были закопаны в архивах настолько глубоко, что У-20, так назывался этот проект, даже не упоминается в сводном отчете УЗТМ за годы войны (20877).</w:t>
      </w:r>
    </w:p>
    <w:p w14:paraId="5ABA8036" w14:textId="77777777" w:rsidR="009B52D7" w:rsidRPr="00640820" w:rsidRDefault="009B52D7" w:rsidP="00640820">
      <w:pPr>
        <w:pStyle w:val="article-renderblock"/>
        <w:shd w:val="clear" w:color="auto" w:fill="FFFFFF"/>
        <w:spacing w:before="0" w:beforeAutospacing="0" w:after="0" w:afterAutospacing="0"/>
        <w:jc w:val="both"/>
        <w:rPr>
          <w:color w:val="0070C0"/>
          <w:sz w:val="16"/>
          <w:szCs w:val="16"/>
        </w:rPr>
      </w:pPr>
    </w:p>
    <w:p w14:paraId="3FD5853D" w14:textId="77777777" w:rsidR="009B52D7" w:rsidRPr="00640820" w:rsidRDefault="009B52D7" w:rsidP="00640820">
      <w:pPr>
        <w:shd w:val="clear" w:color="auto" w:fill="FFFFFF"/>
        <w:spacing w:after="0" w:line="240" w:lineRule="auto"/>
        <w:jc w:val="both"/>
        <w:rPr>
          <w:rFonts w:ascii="Times New Roman" w:eastAsia="Times New Roman" w:hAnsi="Times New Roman"/>
          <w:color w:val="0070C0"/>
          <w:sz w:val="16"/>
          <w:szCs w:val="16"/>
          <w:lang w:eastAsia="ru-RU"/>
        </w:rPr>
      </w:pPr>
      <w:r w:rsidRPr="00640820">
        <w:rPr>
          <w:rFonts w:ascii="Times New Roman" w:eastAsia="Times New Roman" w:hAnsi="Times New Roman"/>
          <w:color w:val="0070C0"/>
          <w:sz w:val="16"/>
          <w:szCs w:val="16"/>
          <w:lang w:eastAsia="ru-RU"/>
        </w:rPr>
        <w:t>Осенью 1941 года конструкторское бюро усилили "десантом" из Ленинграда. Среди прибывших в Свердловск оказались Л.И. Горлицкий, бывший начальник СКБ-4 Кировского Завода по вооружению, а также Н.В. Курин, один из ключевых людей в ходе разработку орудийной установки КВ-2. Туда же, в Свердловск, эвакуировали и завод №8, который производил зенитные орудия 52-К. Так что Котин прекрасно знал, что делает. Производство 52-К только разворачивалось, а М-30 уже производились, так что на тот момент именно эта система являлась быстрым решением как дополнение к ЗИС-5. То есть речь шла отнюдь не про "гаубицу».</w:t>
      </w:r>
    </w:p>
    <w:p w14:paraId="7D654508" w14:textId="77777777" w:rsidR="009B52D7" w:rsidRPr="00640820" w:rsidRDefault="009B52D7" w:rsidP="00640820">
      <w:pPr>
        <w:shd w:val="clear" w:color="auto" w:fill="FFFFFF"/>
        <w:spacing w:after="0" w:line="240" w:lineRule="auto"/>
        <w:jc w:val="both"/>
        <w:rPr>
          <w:rFonts w:ascii="Times New Roman" w:eastAsia="Times New Roman" w:hAnsi="Times New Roman"/>
          <w:color w:val="0070C0"/>
          <w:sz w:val="16"/>
          <w:szCs w:val="16"/>
          <w:lang w:eastAsia="ru-RU"/>
        </w:rPr>
      </w:pPr>
      <w:r w:rsidRPr="00640820">
        <w:rPr>
          <w:rFonts w:ascii="Times New Roman" w:eastAsia="Times New Roman" w:hAnsi="Times New Roman"/>
          <w:color w:val="0070C0"/>
          <w:sz w:val="16"/>
          <w:szCs w:val="16"/>
          <w:lang w:eastAsia="ru-RU"/>
        </w:rPr>
        <w:t>Новую систему обозначили как У-11. Ведущим инженером проекта назначили В.Н. Сидоренко, который до Петрова возглавлял артиллерийскую разработку на УЗТМ. В усиление ему выделили А.В. Усенко и Курина, руководили работами Горлицкий и Петров, а общую координацию выполнял Котин. Уже к началу 20-х чисел ноября был подготовлен эскизный проект У-11, в двух вариантах. Первый вариант, сохранившийся только в виде описания, предполагал минимальное вмешательство в конструкцию системы. Вместо тумбы качающаяся часть гаубицы ставилась в рамке и прикрывалась бронировкой, вероятнее всего, это напоминало установку М-30 в самоходной установке СГ-122. Данный вариант, впрочем, при кажущейся простоте оказался не особо удачным. Такая установка получалась слишком габаритной и тяжелой, поэтому от нее отказались. В работу пустили второй вариант У-11. В нем от гаубицы оставалась только баллистика, зато данная система оказывалась гораздо более компактной. В конструкцию башни вносился минимум изменений, а изготовляемые заново детали вполне подходили для быстрого освоения на Ижорском Заводе. По итогам совещания утвердили второй вариант, заводскому КБ предписывалось его доработать и подготовить техническую документацию. При этом оговаривалось, что данная система является авральным вариантом, который, на всякий пожарный, не имел бронебойных снарядов (20860).</w:t>
      </w:r>
    </w:p>
    <w:p w14:paraId="311635E0" w14:textId="77777777" w:rsidR="009B52D7" w:rsidRPr="00640820" w:rsidRDefault="009B52D7" w:rsidP="00640820">
      <w:pPr>
        <w:shd w:val="clear" w:color="auto" w:fill="FFFFFF"/>
        <w:spacing w:after="0" w:line="240" w:lineRule="auto"/>
        <w:jc w:val="both"/>
        <w:rPr>
          <w:rFonts w:ascii="Times New Roman" w:eastAsia="Times New Roman" w:hAnsi="Times New Roman"/>
          <w:color w:val="0070C0"/>
          <w:sz w:val="16"/>
          <w:szCs w:val="16"/>
          <w:lang w:eastAsia="ru-RU"/>
        </w:rPr>
      </w:pPr>
    </w:p>
    <w:p w14:paraId="57390EBC" w14:textId="77777777" w:rsidR="00680EEE" w:rsidRPr="00640820" w:rsidRDefault="00680EEE"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Осенью 1941 года, на ЧТЗ в инициативном порядке начались работы над самоходной установкой, базой для которой послужил тягач «Сталинец С-2». По характеристикам и назначению он примерно соответствовал СТЗ-5, но при этом оказался в два раза тяжелее. Судьба у этого тягача была не самая успешная: на его фоне даже СТЗ-5, к которому в войсках хватало претензий, выглядел выигрышнее.</w:t>
      </w:r>
    </w:p>
    <w:p w14:paraId="42F729D9" w14:textId="77777777" w:rsidR="00680EEE" w:rsidRPr="00640820" w:rsidRDefault="00680EEE"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Прекрасно понимая, что в текущем виде «Сталинец С-2» не годится в качестве базы для САУ, на ЧТЗ разработали удлинённое шасси, в котором от ходовой части С-2 остались только ведущее колесо и поддерживающие катки. Подвеска стала торсионной, а в качестве опорных катков и ленивцев использовались немного уменьшенные в диаметре ленивцы от КВ-1. На шасси конструкторы взгромоздили сварной корпус, причём расположение мест в кабине сохранилось. Члену экипажа на пассажирском месте в качестве нагрузки дали пулемёт ДТ.</w:t>
      </w:r>
    </w:p>
    <w:p w14:paraId="1F0D44B9" w14:textId="77777777" w:rsidR="00680EEE" w:rsidRPr="00640820" w:rsidRDefault="00680EEE"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Основным же вооружением САУ являлась 122-мм гаубица М-30, находившаяся в кормовой части корпуса. Гаубицу поместили на шасси вместе с орудийным щитом. Сзади было организованно боевое отделение, достаточно просторное, чтобы там разместился расчёт орудия и боезапас (17666).</w:t>
      </w:r>
    </w:p>
    <w:p w14:paraId="5B122D58" w14:textId="77777777" w:rsidR="00680EEE" w:rsidRPr="00640820" w:rsidRDefault="00680EEE" w:rsidP="00640820">
      <w:pPr>
        <w:spacing w:after="0" w:line="240" w:lineRule="auto"/>
        <w:jc w:val="both"/>
        <w:rPr>
          <w:rFonts w:ascii="Times New Roman" w:eastAsia="Times New Roman" w:hAnsi="Times New Roman"/>
          <w:color w:val="000000" w:themeColor="text1"/>
          <w:sz w:val="16"/>
          <w:szCs w:val="16"/>
          <w:lang w:eastAsia="ru-RU"/>
        </w:rPr>
      </w:pPr>
    </w:p>
    <w:p w14:paraId="63627563" w14:textId="77777777" w:rsidR="00680EEE" w:rsidRPr="00640820" w:rsidRDefault="00680EEE" w:rsidP="00640820">
      <w:pPr>
        <w:spacing w:after="0" w:line="240" w:lineRule="auto"/>
        <w:jc w:val="both"/>
        <w:textAlignment w:val="baseline"/>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Осенью 1941 года НИБТ Полигон из-за приближения фронта был эвакуирован под Казань. Туда же отправилась и часть захваченной немецкой техники, в том числе и Pz.Kpfw.III Ausf.H с именем собственным ISABELLA. Машина представляла для испытателей больший интерес. Во-первых, этот танк имел не только 50-мм орудие, но и усиленное бронирование лобовой части корпуса. Во-вторых, его шасси отличалось от ранее испытанного Pz.Kpfw.III Ausf.G. Помимо усиленной ходовой части, танк получил коробку передач SSG 77.</w:t>
      </w:r>
    </w:p>
    <w:p w14:paraId="533E50CC" w14:textId="77777777" w:rsidR="00680EEE" w:rsidRPr="00640820" w:rsidRDefault="00680EEE" w:rsidP="00640820">
      <w:pPr>
        <w:spacing w:after="0" w:line="240" w:lineRule="auto"/>
        <w:jc w:val="both"/>
        <w:textAlignment w:val="baseline"/>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Сотрудники НИБТ Полигона восстановили машину до ходового состояния. А вот ставить на ход Pz.Kpfw.IV Ausf.E, также имевшийся на полигоне, даже не планировалось. Танки имели очень схожую боевую массу, одинаковые двигатели и похожие коробки передач (SSG 76 отличалась от SSG 77 тем, что главный фрикцион соединялся с ней через вал, а не крепился прямо к КПП). Поэтому характеристики подвижности танков были почти одинаковыми (17720).</w:t>
      </w:r>
    </w:p>
    <w:p w14:paraId="18AE894A" w14:textId="77777777" w:rsidR="00680EEE" w:rsidRPr="00640820" w:rsidRDefault="00680EEE"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AD593ED" w14:textId="77777777" w:rsidR="00680EEE" w:rsidRPr="00640820" w:rsidRDefault="00680EEE"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Осенью 1941 года в Челябинске перестали выпускать трактор С-65 и артиллерийский тягач С-2. Причиной тому стало наращивание выпуска тяжёлых танков КВ-1. Наконец, в Сталинграде всерьёз задумались о снятии с производства артиллерийских тягачей СТЗ-5. Причина оказалась та же — увеличение выпуска танков, на сей раз Т-34. Производство СТЗ-5 все же сохранилось, но в минимальном объёме. Главное артиллерийское управление Красной армии (ГАУ КА) в ноябре 1941 года оказалась перед крайне неприятной перспективой совсем лишиться механической тяги (17668).</w:t>
      </w:r>
    </w:p>
    <w:p w14:paraId="6E98E634" w14:textId="77777777" w:rsidR="00680EEE" w:rsidRPr="00640820" w:rsidRDefault="00680EEE" w:rsidP="00640820">
      <w:pPr>
        <w:pStyle w:val="129"/>
        <w:shd w:val="clear" w:color="auto" w:fill="auto"/>
        <w:spacing w:after="0" w:line="240" w:lineRule="auto"/>
        <w:jc w:val="both"/>
        <w:rPr>
          <w:color w:val="000000" w:themeColor="text1"/>
          <w:sz w:val="16"/>
          <w:szCs w:val="16"/>
        </w:rPr>
      </w:pPr>
    </w:p>
    <w:p w14:paraId="7AC44383" w14:textId="77777777" w:rsidR="00E110AE" w:rsidRPr="00640820" w:rsidRDefault="00E110AE" w:rsidP="00640820">
      <w:pPr>
        <w:spacing w:after="0" w:line="240" w:lineRule="auto"/>
        <w:jc w:val="both"/>
        <w:rPr>
          <w:rFonts w:ascii="Times New Roman" w:hAnsi="Times New Roman"/>
          <w:color w:val="000000" w:themeColor="text1"/>
          <w:sz w:val="16"/>
          <w:szCs w:val="16"/>
          <w:shd w:val="clear" w:color="auto" w:fill="FFFFFF"/>
        </w:rPr>
      </w:pPr>
      <w:r w:rsidRPr="00640820">
        <w:rPr>
          <w:rFonts w:ascii="Times New Roman" w:hAnsi="Times New Roman"/>
          <w:color w:val="000000" w:themeColor="text1"/>
          <w:sz w:val="16"/>
          <w:szCs w:val="16"/>
        </w:rPr>
        <w:t>Осенью 1941г. в крупных мартенах Новотагильского металлургического завода (НТМЗ) была отлажена технология выплавки броневой стали. В Н.Тагил еще летом прибыли сталевары Ижорского завода, присоединились и ученые Уральского политехнического института. Тагильские металлурги одновременно с освоением мартеновской плавки броневой стали освоили технологию проката броневого листа. В Н.Тагил эвакуирован был стан Ленинградского Кировского завода. Броневой прокат для авиазаводов УТЗ поставлял НТМЗ. 10.09.1941 г. был прокатан первый тагильский лист; всего до конца года было получено 13650 т. листового металла, в том числе около 60% броневого (19537).</w:t>
      </w:r>
    </w:p>
    <w:p w14:paraId="565EE4B6" w14:textId="77777777" w:rsidR="00E110AE" w:rsidRPr="00640820" w:rsidRDefault="00E110AE" w:rsidP="00640820">
      <w:pPr>
        <w:spacing w:after="0" w:line="240" w:lineRule="auto"/>
        <w:jc w:val="both"/>
        <w:rPr>
          <w:rFonts w:ascii="Times New Roman" w:hAnsi="Times New Roman"/>
          <w:color w:val="000000" w:themeColor="text1"/>
          <w:sz w:val="16"/>
          <w:szCs w:val="16"/>
          <w:shd w:val="clear" w:color="auto" w:fill="FFFFFF"/>
        </w:rPr>
      </w:pPr>
    </w:p>
    <w:p w14:paraId="1178F8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Осенью 1941 г из-за нехватки дизелей В-2 Ю.Е.Максареву было приказано отработать способы установки в корпусе Т-34 старого карбюраторного двигателя М-17Т той же мощности, что и В-2 Документацию по этому вопросу следовало передать заводу №112 Эта попытка была осуществлен также и на СТЗ, и не только на Т-34, но и на тяжелом танке KB (разумеется, на ЧКЗ). (3862).</w:t>
      </w:r>
    </w:p>
    <w:p w14:paraId="68D4C8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61A231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 эвакуированному в Нижний Тагил заводу № 183 были предо</w:t>
      </w:r>
      <w:r w:rsidRPr="00640820">
        <w:rPr>
          <w:rFonts w:ascii="Times New Roman" w:hAnsi="Times New Roman"/>
          <w:color w:val="000000" w:themeColor="text1"/>
          <w:sz w:val="16"/>
          <w:szCs w:val="16"/>
        </w:rPr>
        <w:softHyphen/>
        <w:t>ставлены просторные цехи Уралвагонзавода, а также мощное сталели</w:t>
      </w:r>
      <w:r w:rsidRPr="00640820">
        <w:rPr>
          <w:rFonts w:ascii="Times New Roman" w:hAnsi="Times New Roman"/>
          <w:color w:val="000000" w:themeColor="text1"/>
          <w:sz w:val="16"/>
          <w:szCs w:val="16"/>
        </w:rPr>
        <w:softHyphen/>
        <w:t>тейное и кузнечно-прессовое оборудование, теплоэлектроцентраль и га</w:t>
      </w:r>
      <w:r w:rsidRPr="00640820">
        <w:rPr>
          <w:rFonts w:ascii="Times New Roman" w:hAnsi="Times New Roman"/>
          <w:color w:val="000000" w:themeColor="text1"/>
          <w:sz w:val="16"/>
          <w:szCs w:val="16"/>
        </w:rPr>
        <w:softHyphen/>
        <w:t>зогенераторная станция. На новой площадке в завод № 183 влились Мариупольский метал</w:t>
      </w:r>
      <w:r w:rsidRPr="00640820">
        <w:rPr>
          <w:rFonts w:ascii="Times New Roman" w:hAnsi="Times New Roman"/>
          <w:color w:val="000000" w:themeColor="text1"/>
          <w:sz w:val="16"/>
          <w:szCs w:val="16"/>
        </w:rPr>
        <w:softHyphen/>
        <w:t>лургический завод и Московский станкостроительный завод им. Орд</w:t>
      </w:r>
      <w:r w:rsidRPr="00640820">
        <w:rPr>
          <w:rFonts w:ascii="Times New Roman" w:hAnsi="Times New Roman"/>
          <w:color w:val="000000" w:themeColor="text1"/>
          <w:sz w:val="16"/>
          <w:szCs w:val="16"/>
        </w:rPr>
        <w:softHyphen/>
        <w:t>жоникидзе. Расстановка оборудования на новой площадке завода осу</w:t>
      </w:r>
      <w:r w:rsidRPr="00640820">
        <w:rPr>
          <w:rFonts w:ascii="Times New Roman" w:hAnsi="Times New Roman"/>
          <w:color w:val="000000" w:themeColor="text1"/>
          <w:sz w:val="16"/>
          <w:szCs w:val="16"/>
        </w:rPr>
        <w:softHyphen/>
        <w:t>ществлялась из расчета выпуска 20 танков в сутки (10703).</w:t>
      </w:r>
    </w:p>
    <w:p w14:paraId="73C1F2B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8A2961" w14:textId="77777777" w:rsidR="004A61E5" w:rsidRPr="00640820" w:rsidRDefault="004A61E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Осенью 1941 года вопрос об экранировке Т-34 был поднят во второй раз. Этому способствовали анализ боевого применения Т-34 и трофейные документы, среди которых оказалась и немецкая памятка по борьбе с советскими танками.Данные из неё во многом совпали с теми, что были получены весной 1941 года. Лобовая часть корпуса Т-34 оказалась самой стойкой, а наиболее слабой частью танка были нижние части бортов корпуса, которые поражались </w:t>
      </w:r>
      <w:hyperlink r:id="rId26" w:history="1">
        <w:r w:rsidRPr="00640820">
          <w:rPr>
            <w:rFonts w:ascii="Times New Roman" w:eastAsia="Times New Roman" w:hAnsi="Times New Roman"/>
            <w:color w:val="000000" w:themeColor="text1"/>
            <w:sz w:val="16"/>
            <w:szCs w:val="16"/>
            <w:lang w:eastAsia="ru-RU"/>
          </w:rPr>
          <w:t>противотанковой артиллерией даже небольшого калибра</w:t>
        </w:r>
      </w:hyperlink>
      <w:r w:rsidRPr="00640820">
        <w:rPr>
          <w:rFonts w:ascii="Times New Roman" w:eastAsia="Times New Roman" w:hAnsi="Times New Roman"/>
          <w:color w:val="000000" w:themeColor="text1"/>
          <w:sz w:val="16"/>
          <w:szCs w:val="16"/>
          <w:lang w:eastAsia="ru-RU"/>
        </w:rPr>
        <w:t xml:space="preserve"> с дистанции 400 метров и ближе. Ещё хуже была ситуация при обстреле этой же зоны из 50-мм противотанковой пушки Pak 38, которая уже летом 1941 года массово применялась немецкой армией. Эти орудия брали Т-34 в борт с дистанции 700 метров, на той же дистанции танк поражался и более массовым орудием — 105-мм лёгкой полевой гаубицей </w:t>
      </w:r>
      <w:hyperlink r:id="rId27" w:history="1">
        <w:r w:rsidRPr="00640820">
          <w:rPr>
            <w:rFonts w:ascii="Times New Roman" w:eastAsia="Times New Roman" w:hAnsi="Times New Roman"/>
            <w:color w:val="000000" w:themeColor="text1"/>
            <w:sz w:val="16"/>
            <w:szCs w:val="16"/>
            <w:lang w:eastAsia="ru-RU"/>
          </w:rPr>
          <w:t>leFH 18</w:t>
        </w:r>
      </w:hyperlink>
      <w:r w:rsidRPr="00640820">
        <w:rPr>
          <w:rFonts w:ascii="Times New Roman" w:eastAsia="Times New Roman" w:hAnsi="Times New Roman"/>
          <w:color w:val="000000" w:themeColor="text1"/>
          <w:sz w:val="16"/>
          <w:szCs w:val="16"/>
          <w:lang w:eastAsia="ru-RU"/>
        </w:rPr>
        <w:t xml:space="preserve"> (18883).</w:t>
      </w:r>
    </w:p>
    <w:p w14:paraId="39625DA8" w14:textId="77777777" w:rsidR="004A61E5" w:rsidRPr="00640820" w:rsidRDefault="004A61E5" w:rsidP="00640820">
      <w:pPr>
        <w:spacing w:after="0" w:line="240" w:lineRule="auto"/>
        <w:jc w:val="both"/>
        <w:rPr>
          <w:rFonts w:ascii="Times New Roman" w:eastAsia="Times New Roman" w:hAnsi="Times New Roman"/>
          <w:color w:val="000000" w:themeColor="text1"/>
          <w:sz w:val="16"/>
          <w:szCs w:val="16"/>
          <w:lang w:eastAsia="ru-RU"/>
        </w:rPr>
      </w:pPr>
    </w:p>
    <w:p w14:paraId="0DAFD3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года единственным крупным производителем Т-34 оставался СТЗ. При этом выпуск максимально возможного числа комплектующих постарались развернуть в самом Сталинграде. Броневой прокат поступал с завода "Красный Октябрь", бронекорпуса сваривались на Сталинградской судоверфи (завод №264), пушки поставлял завод "Баррикады". В городе организовали практически полный цикл производства танка и его деталей. Так же обстояли дела и в Горьком, и в Нижнем Тагиле (3862).</w:t>
      </w:r>
    </w:p>
    <w:p w14:paraId="2D5BE8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СТЗ множество сварных и штампованных деталей танка заменили литыми, благо литейный цех завода был в то время вторым в стране по мощности. По мере приближения немцев к Волге отрезались все пути подвоза комплектующих, в частности резины. В результате, характерной особенностью сталинградских танков стало отсутствие резиновых бандажей на опорных катках. Впрочем, в 1942-1943 годах и на машинах других заводов можно было встретить такие катки (3862).</w:t>
      </w:r>
    </w:p>
    <w:p w14:paraId="3A04E8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94FCD7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года СТЗ остался единственным производителем тридцатьчетверки. А в конце лета 1942 года предприятие перестало существовать - фронт проходил по его цехам. Завод как солдат выполнил свой долг до конца, отдав все силы на защиту родного города. Кстати, СТЗ был единственным заводом СССР, который в годы Великой Отечественной войны полностью прекратил танковое производство и не эвакуировался (12217).</w:t>
      </w:r>
    </w:p>
    <w:p w14:paraId="358B7BF2"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431EC19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 производство средних и тяжелых танков оказалось под угрозой срыва, так как моторный завод № 75 в Харькове, бывший до войны единственным в стране заводом по производству танковых дизелей В-2, через три месяца после начала войны был вынужден пре</w:t>
      </w:r>
      <w:r w:rsidRPr="00640820">
        <w:rPr>
          <w:rFonts w:ascii="Times New Roman" w:hAnsi="Times New Roman"/>
          <w:color w:val="000000" w:themeColor="text1"/>
          <w:sz w:val="16"/>
          <w:szCs w:val="16"/>
        </w:rPr>
        <w:softHyphen/>
        <w:t>кратить производство и эвакуироваться в г. Челябинск на площадку тракторного завода (ЧТЗ). В этих условиях в 1941 г. и в первом полу</w:t>
      </w:r>
      <w:r w:rsidRPr="00640820">
        <w:rPr>
          <w:rFonts w:ascii="Times New Roman" w:hAnsi="Times New Roman"/>
          <w:color w:val="000000" w:themeColor="text1"/>
          <w:sz w:val="16"/>
          <w:szCs w:val="16"/>
        </w:rPr>
        <w:softHyphen/>
        <w:t>годии 1942 г. на танки Т-34 и КВ устанавливались карбюраторные двигатели М-17Т, находившиеся в резерве на складах и предназначав</w:t>
      </w:r>
      <w:r w:rsidRPr="00640820">
        <w:rPr>
          <w:rFonts w:ascii="Times New Roman" w:hAnsi="Times New Roman"/>
          <w:color w:val="000000" w:themeColor="text1"/>
          <w:sz w:val="16"/>
          <w:szCs w:val="16"/>
        </w:rPr>
        <w:softHyphen/>
        <w:t>шиеся для танков БТ-7, Т-28 и Т-35. Приспособлением этих двигате</w:t>
      </w:r>
      <w:r w:rsidRPr="00640820">
        <w:rPr>
          <w:rFonts w:ascii="Times New Roman" w:hAnsi="Times New Roman"/>
          <w:color w:val="000000" w:themeColor="text1"/>
          <w:sz w:val="16"/>
          <w:szCs w:val="16"/>
        </w:rPr>
        <w:softHyphen/>
        <w:t>лей для установки в танки Т-34 занимались СТЗ и завод № 76. В ию</w:t>
      </w:r>
      <w:r w:rsidRPr="00640820">
        <w:rPr>
          <w:rFonts w:ascii="Times New Roman" w:hAnsi="Times New Roman"/>
          <w:color w:val="000000" w:themeColor="text1"/>
          <w:sz w:val="16"/>
          <w:szCs w:val="16"/>
        </w:rPr>
        <w:softHyphen/>
        <w:t>ле 1941 г. к ремонту этих двигателей был привлечен Горьковский авто</w:t>
      </w:r>
      <w:r w:rsidRPr="00640820">
        <w:rPr>
          <w:rFonts w:ascii="Times New Roman" w:hAnsi="Times New Roman"/>
          <w:color w:val="000000" w:themeColor="text1"/>
          <w:sz w:val="16"/>
          <w:szCs w:val="16"/>
        </w:rPr>
        <w:softHyphen/>
        <w:t>завод (10703).</w:t>
      </w:r>
    </w:p>
    <w:p w14:paraId="0DF58D0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9CA3A8" w14:textId="77777777" w:rsidR="00196C59" w:rsidRPr="00640820" w:rsidRDefault="00196C59"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Осенью 1941 года НАТИ был эвакуирован в Горький. Туда же своим ходом отправились и АР-НАТИ. Какое-то время на них даже ездили. Но речь о производстве так и не зашла. Автор проекта А.Ф. Андронов позже писал: «Сменилось руководство института. Оба образца автомобиля АР-НАТИ были утеряны. Не сохранилось ни чертежей, ни документов. На память остались одни фотографии». Поистине один переезд — половина пожара! (21329)</w:t>
      </w:r>
    </w:p>
    <w:p w14:paraId="2A3F2811" w14:textId="77777777" w:rsidR="00196C59" w:rsidRPr="00640820" w:rsidRDefault="00196C59" w:rsidP="00640820">
      <w:pPr>
        <w:spacing w:after="0" w:line="240" w:lineRule="auto"/>
        <w:jc w:val="both"/>
        <w:rPr>
          <w:rFonts w:ascii="Times New Roman" w:hAnsi="Times New Roman"/>
          <w:color w:val="0070C0"/>
          <w:sz w:val="16"/>
          <w:szCs w:val="16"/>
        </w:rPr>
      </w:pPr>
    </w:p>
    <w:p w14:paraId="53F0EB51" w14:textId="77777777" w:rsidR="00196C59" w:rsidRPr="00640820" w:rsidRDefault="00196C59"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Осенью 1941 в НАТИ А.А. Сеславин разработал рабочий проект гусеничного артиллерийского тягача для дивизион</w:t>
      </w:r>
      <w:r w:rsidRPr="00640820">
        <w:rPr>
          <w:rFonts w:ascii="Times New Roman" w:hAnsi="Times New Roman"/>
          <w:color w:val="0070C0"/>
          <w:sz w:val="16"/>
          <w:szCs w:val="16"/>
        </w:rPr>
        <w:softHyphen/>
        <w:t>ной артиллерии с двумя двигателями ГАЗ-MM, рас</w:t>
      </w:r>
      <w:r w:rsidRPr="00640820">
        <w:rPr>
          <w:rFonts w:ascii="Times New Roman" w:hAnsi="Times New Roman"/>
          <w:color w:val="0070C0"/>
          <w:sz w:val="16"/>
          <w:szCs w:val="16"/>
        </w:rPr>
        <w:softHyphen/>
        <w:t>положенными спереди параллельно. Оба силовых агрегата посредством длинных карданных валов передавали крутящий момент на общий попереч</w:t>
      </w:r>
      <w:r w:rsidRPr="00640820">
        <w:rPr>
          <w:rFonts w:ascii="Times New Roman" w:hAnsi="Times New Roman"/>
          <w:color w:val="0070C0"/>
          <w:sz w:val="16"/>
          <w:szCs w:val="16"/>
        </w:rPr>
        <w:softHyphen/>
        <w:t>ный вал бортовых фрикционов. Посередине вала фрикционов была установлена упругая соедини</w:t>
      </w:r>
      <w:r w:rsidRPr="00640820">
        <w:rPr>
          <w:rFonts w:ascii="Times New Roman" w:hAnsi="Times New Roman"/>
          <w:color w:val="0070C0"/>
          <w:sz w:val="16"/>
          <w:szCs w:val="16"/>
        </w:rPr>
        <w:softHyphen/>
        <w:t>тельная резиновая муфта. Применение двух двига</w:t>
      </w:r>
      <w:r w:rsidRPr="00640820">
        <w:rPr>
          <w:rFonts w:ascii="Times New Roman" w:hAnsi="Times New Roman"/>
          <w:color w:val="0070C0"/>
          <w:sz w:val="16"/>
          <w:szCs w:val="16"/>
        </w:rPr>
        <w:softHyphen/>
        <w:t>телей, спаренных через упругую систему, обеспечи</w:t>
      </w:r>
      <w:r w:rsidRPr="00640820">
        <w:rPr>
          <w:rFonts w:ascii="Times New Roman" w:hAnsi="Times New Roman"/>
          <w:color w:val="0070C0"/>
          <w:sz w:val="16"/>
          <w:szCs w:val="16"/>
        </w:rPr>
        <w:softHyphen/>
        <w:t>вало их надежную работу и повышало удельную мощность тягача, что послужило основанием для продолжения проектирования. Технический и рабо</w:t>
      </w:r>
      <w:r w:rsidRPr="00640820">
        <w:rPr>
          <w:rFonts w:ascii="Times New Roman" w:hAnsi="Times New Roman"/>
          <w:color w:val="0070C0"/>
          <w:sz w:val="16"/>
          <w:szCs w:val="16"/>
        </w:rPr>
        <w:softHyphen/>
        <w:t>чий проекты были выполнены тракторным отделом, а изготовление тягачей - ЗОК. Испытания подтвер</w:t>
      </w:r>
      <w:r w:rsidRPr="00640820">
        <w:rPr>
          <w:rFonts w:ascii="Times New Roman" w:hAnsi="Times New Roman"/>
          <w:color w:val="0070C0"/>
          <w:sz w:val="16"/>
          <w:szCs w:val="16"/>
        </w:rPr>
        <w:softHyphen/>
        <w:t>дили проектные предположения. Тягач получил по</w:t>
      </w:r>
      <w:r w:rsidRPr="00640820">
        <w:rPr>
          <w:rFonts w:ascii="Times New Roman" w:hAnsi="Times New Roman"/>
          <w:color w:val="0070C0"/>
          <w:sz w:val="16"/>
          <w:szCs w:val="16"/>
        </w:rPr>
        <w:softHyphen/>
        <w:t>ложительную оценку представителей ГАПТУ и ГАУ КА и был передан для производства на ЯАЗ под обозначением Я-11 (22518).</w:t>
      </w:r>
    </w:p>
    <w:p w14:paraId="5C8065C7" w14:textId="77777777" w:rsidR="00196C59" w:rsidRPr="00640820" w:rsidRDefault="00196C59" w:rsidP="00640820">
      <w:pPr>
        <w:spacing w:after="0" w:line="240" w:lineRule="auto"/>
        <w:jc w:val="both"/>
        <w:rPr>
          <w:rFonts w:ascii="Times New Roman" w:hAnsi="Times New Roman"/>
          <w:color w:val="0070C0"/>
          <w:sz w:val="16"/>
          <w:szCs w:val="16"/>
        </w:rPr>
      </w:pPr>
    </w:p>
    <w:p w14:paraId="44CD7DF3" w14:textId="77777777" w:rsidR="00196C59" w:rsidRPr="00640820" w:rsidRDefault="00196C59"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Осенью 1941 года воениженер 1-го ранга Н.С. Огурцов, который более известен как начальник кафедры артиллерии ВАММ (Военная Академия Механизиции и Моторизации им. И.В. Сталина), занимался приёмкой английских танков в Архангельске. И именно он первым поднял шум насчет массы недостатков английских машин. Видя то, какая проблема стоит с поставкой запасных частей к орудиям и боеприпасов, Огурцов проявил инициативу, предложив перевооружить Матильды (22545).</w:t>
      </w:r>
    </w:p>
    <w:p w14:paraId="1A65BA62" w14:textId="77777777" w:rsidR="00196C59" w:rsidRPr="00640820" w:rsidRDefault="00196C59" w:rsidP="00640820">
      <w:pPr>
        <w:spacing w:after="0" w:line="240" w:lineRule="auto"/>
        <w:jc w:val="both"/>
        <w:rPr>
          <w:rFonts w:ascii="Times New Roman" w:hAnsi="Times New Roman"/>
          <w:color w:val="0070C0"/>
          <w:sz w:val="16"/>
          <w:szCs w:val="16"/>
        </w:rPr>
      </w:pPr>
    </w:p>
    <w:p w14:paraId="20312B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 завод 174 предложил начать выпуск “танка-истребителя” на базе узлов Т-26, особенно требующих ремонта. Для этого у танка предлагалось демонтировать башню с вооружением, а в броневой надстройке корпуса установить 76-мм пушку Ф-32 (производство которых вел Ленинградский Кировский Завод). Проект был принят к исполнению, но начавшаяся вскоре эвакуация ИЗ, ЛКЗ и завода им. Ворошилова, остановила работы по нему (5742, 14).</w:t>
      </w:r>
    </w:p>
    <w:p w14:paraId="196655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5DDC54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 заводом № 174 было выдвинуто предложение выпу</w:t>
      </w:r>
      <w:r w:rsidRPr="00640820">
        <w:rPr>
          <w:rFonts w:ascii="Times New Roman" w:hAnsi="Times New Roman"/>
          <w:color w:val="000000" w:themeColor="text1"/>
          <w:sz w:val="16"/>
          <w:szCs w:val="16"/>
        </w:rPr>
        <w:softHyphen/>
        <w:t>скать танки-истребители (самоходные установки) на базе танков Т-26, поступавших в ремонт. На машинах предполагалось демонтировать башню, а в броневой надстройке корпуса (рубке) устанавливать 76,2-мм танковую пушку Ф-32. Это предложение было принято, но в результате эвакуации завода дальнейшие работы по его реализации были прекра</w:t>
      </w:r>
      <w:r w:rsidRPr="00640820">
        <w:rPr>
          <w:rFonts w:ascii="Times New Roman" w:hAnsi="Times New Roman"/>
          <w:color w:val="000000" w:themeColor="text1"/>
          <w:sz w:val="16"/>
          <w:szCs w:val="16"/>
        </w:rPr>
        <w:softHyphen/>
        <w:t>щены (10703).</w:t>
      </w:r>
    </w:p>
    <w:p w14:paraId="27E64E9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6300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года Горьковский автозавод в инициативном порядке начал разработку легкой САУ под индексом СУ-71, но в серию эта машина так и не попала (3862).</w:t>
      </w:r>
    </w:p>
    <w:p w14:paraId="7606E2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133A1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на артиллерийском заводе № 8 в Подлипках была предпринята попытка превратить тягач “Ворошиловец” в самоходное орудие с 85-мм зенитной пушной (9640).</w:t>
      </w:r>
    </w:p>
    <w:p w14:paraId="34D7E4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95B6A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осени 1941-го вынужденным экспромтом стал мелкосерийный выпуск «харьковских танков» Т-16 (ХТЗ-16) — легкобронированных тракторов, выполнявших функцию самоходных противотанковых орудий. После войны их история обросла массой домыслов. Бывший секретарь обкома А.А. Епишев вспоминал, что «на Харьковском тракторном заводе был организован выпуск бронированных тракторов, оснащенных орудиями, которые в те дни пригодились на фронте» [21, с. 29]. Вторил ему и бывший секретарь Орджоникидзевского райкома партии П.З. Войтович: «В один из тревожных октябрьских дней на ХТЗ приехала группа работников горкома партии. Их интересовал вопрос, чем может завод помочь ополчению города. Они осмотрели два одетых в броню учебных трактора, которые использовались на районных осоавиахимовских учениях. Собравшиеся у машин ополченцы-осоавиахимовцы посоветовали установить на них пулеметы, обшить еще один трактор броней и организовать на заводе танковый взвод. Это предложение было принято. Так возникла мысль использовать обшитые броней тракторы в качестве огневых точек. Завод дал около 100 таких тракторов» [21, с. 88].</w:t>
      </w:r>
    </w:p>
    <w:p w14:paraId="231DF9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Слившись воедино, воспоминания породили версию о комсомольско-харьковском происхождении Т-16: «По инициативе молодежи предприятия [завода ХТЗ] была осуществлена попытка «одеть» в легкую броню тракторы и установить на них 45-мм орудие. Изготовленные во внерабочее время около ста таких машин, которые в техническом отношении для ведения боевых действий оказались непригодными, использовались в боях как подвижные огневые точки» [63, с. 318]. В кучу смешали все: и три учебные «тарахтелки» Осоавиахима (их-то и переоборудовала во внерабочее время молодежь ХТЗ, оснастив вместо трещеток пулеметами), и десятки созданных по спецпроекту Т-16, выпускавшихся планово, в рамках оборонного заказа.</w:t>
      </w:r>
    </w:p>
    <w:p w14:paraId="4FF017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действительности производство вооруженных орудием бронетракторов было организовано на Харьковском и Сталинградском тракторных заводах не по инициативе молодежи, а постановлением ГКО №219 от 20 июля 1941 г. о выпуске 2 тыс. бронированных тракторов. Разработчик проекта — КБ танкового отдела НАТИ (Е.Г. Попов, А.В. Сапожников, В.Я. Слонимский, A.M. Черепин) с привлечением группы главного конструктора ХТЗ М. С. Сидельникова. Приказом НКО СССР №0062/401 сс создавалась и комиссия по испытанию нового бронемонстра. Тем самым, хоть и не от хорошей жизни, реализовывались старые идеи Тухачевского.</w:t>
      </w:r>
    </w:p>
    <w:p w14:paraId="48C6DC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«Танк»-бронетрактор представлял собой усиленное шасси трактора СТЗ-3 с гусеницами тягача СТЗ-5 и полностью бронированным корпусом (толщина брони — 10-25 мм), в неподвижной кормовой рубке которого устанавливалось 45-мм танковое орудие и пулемет ДТ. В угловатой геометрии этих машин угадывались компоновка и контуры будущих советских самоходок СУ-76. При буйной фантазии в них можно усмотреть и сходство с немецкими «фердинандами», «веспе» и «хуммелями». Это неудивительно: в разных городах и странах мысли конструкторов и технологов часто идут одним путем.</w:t>
      </w:r>
    </w:p>
    <w:p w14:paraId="100799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Бронедетали в Харьков поставлял Новокраматорский машиностроительный завод им. Сталина, изготавливавший их из проката Мариупольского завода им. Ильича. Объем выпуска в августе-сентябре 1941 г. планировался в 750 машин, а первые 50 бронетракторов должны были выехать из ворот ХТЗ уже в июле.</w:t>
      </w:r>
    </w:p>
    <w:p w14:paraId="0E9EC8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августе, не останавливая их выпуск, завод должен был приступить к производству более совершенной модели — легкого танка Т-60, вооруженного 20-мм авиационной пушкой ШВАК(ведущий конструктор по «изделию 060» в Харькове — А.Г. Домбровский) [96, с. 25]. Для восполнения потерь бронетехники, понесенных в первые недели войны, постановлением ГКО №222сс от 20 июля 1941 г. форсированное производство 10 тыс. таких машин организовывалось сразу на трех заводах. Уже в сентябре их выпуск планировалось увеличить многократно: на московском заводе №37 — втрое, на горьковском ГАЗе — вшестеро, на ХТЗ — в 10 (!) раз (с 50 до 500 танков). До конца года Харьковский тракторный, никогда ранее выпуском танков не занимавшийся, должен был выдать «на гора» 3,5 тыс. танков!</w:t>
      </w:r>
    </w:p>
    <w:p w14:paraId="7C6E7F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обоих случаях попахивало волюнтаризмом. За 11 дней, оставшихся до конца июля, завод должен был не только получить образец бронетрактора, но и изготовить к нему все необходимые чертежи, установить дополнительные станки, смонтировать станцию для газовой резки металла, подвести электропитание для сварки брони и выпустить полсотни готовых ХТЗ-16, Первый бронетрактор планировалось изготовить к 29 июля, остальные 49 — в последующие два дня.</w:t>
      </w:r>
    </w:p>
    <w:p w14:paraId="36199D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конца июля ни единого бронетрактора выпущено не было. Выполнение оборонного заказа было сорвано и стало предметом серьезного разбирательства, 4 августа «на ковер» обкома были вызваны директор завода Парфенов и секретарь парткома Тишкин. Подробности выяснились потрясающие: «образец машины прибыл на завод 23 июля, но конструкторский отдел затянул время изготовления основных чертежей до 28-го, а часть чертежей не была готова вообще»; первые отливки деталей оказались частично бракованными; в бронетракторном цехе не закончен монтаж крана, газовой станции и электропитания для сварочных аппаратов. Пропуска в цех оформлялись рабочим в течение двух дней, а работники складов на работу в выходной день не вышли и материалы вовремя не выдали. В чертежах ХТЗ-16 оказался ряд технических неувязок, а по танку Т-60 полного пакета документации не было ни для ХТЗ, ни для скооперированных с ним заводов ХЭМЗ, ХТГЗ, «Свет шахтера», станкозавода и завода им. Шевченко [3, ф. 2, оп. 3, д. 23, л. 3-4].</w:t>
      </w:r>
    </w:p>
    <w:p w14:paraId="0FBA56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главное, в Харьков не начали поступать бронелисты: не имея техусловий, Ворошиловградский и Таганрогский заводы не приступили к изготовлению спецстали, а Сталинский и Енакиевский — к ее прокату. Без брони невозможно было выпускать бронетракторы и танки не только в июле, но и в августе.</w:t>
      </w:r>
    </w:p>
    <w:p w14:paraId="7A9B84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Несмотря на это, в ходе обсуждения прозвучали лучшие образцы партийной риторики, 2-й секретарь обкома И.И. Профатилов: «Мог ли завод выпускать трактора, независимо от наличия бронированного листа? Безусловно, мог и обязан был это сделать. Считаю, что сейчас основной задачей является то, чтобы сегодня-завтра выпустить эти трактора, причем выпускать их как можно скорее и как можно в большем количестве» [там же, л. 13]. Каким образом можно выпускать бронетракторы,не имея бронелистов, для которых еще и сталь не начали выплавлять, Профатилов вряд ли мог объяснить. Да его об этом и не спрашивали.</w:t>
      </w:r>
    </w:p>
    <w:p w14:paraId="3B30A3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секретарь обкома А.А. Епишев: «Пункт о поставке спецстали, приведенный здесь и в известной мере оправдывающий работу завода, нужно будет вообще опустить... И по поводу разговоров, нужно это [выпуск бронетракторов. — Авт.] или не нужно. Подобные разговоры, кроме разврата в умах хозяйственников и ИТР, ничего не приносят. Скептические оценки развращают людей. Люди начинают выжидать и сорвут выполнение решения ГКО, а потом с них — голову долой, и только потому, что такая оценка была проявлена со стороны военных товарищей. Они должны вселять веру в коллектив, потому что машина, хоть она и плоха против 34-й машины или БТ-8 [БТ-7М. — Авт.], но она лучше, чем любой трактор. Задача, поставленная ГКО перед заводом, является боевой задачей, и нужно, чтобы с завтрашнего дня машина выходила» [там же, л. 14-18].</w:t>
      </w:r>
    </w:p>
    <w:p w14:paraId="53EF9C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Решением бюро обкома от 4 августа 1941 г. дирекцию завода обязали в 6-дневный срок завершить монтаж, ремонт и наладку оборудования и «обеспечить изготовление в августе 1941 г. сверх плана 50 машин ХТЗ-16, недоданных в июле месяце». Чертежи танка Т-60 должны были быть закончены и переданы смежникам в течение 8-ми суток. Завод переводился на 11 -часовой рабочий день.</w:t>
      </w:r>
    </w:p>
    <w:p w14:paraId="2A5107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мановению обкомовской палочки и росчерку епишевского пера бронетракторы и танки сходить с конвейера ХТЗ в геометрической прогрессии так и не начали. Да и не могли: Новокраматорский завод с 29 сентября находился в стадии эвакуации и к 9 октября сумел отгрузить в Харьков всего 100 комплектов брони, из которых успели собрать 50-60 бронетракторов, поступивших на вооружение противотанковых дивизионов и Харьковского противотанкового отряда. По мнению некоторых исследователей, все они были потеряны при обороне Харькова в октябре 1941 г. Это не так. Последние ХТЗ-16 (Т-16) были подбиты немцами в мае 1942 г. входе Харьковского сражения [71].</w:t>
      </w:r>
    </w:p>
    <w:p w14:paraId="019C3D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 был реализован на ХТЗ и план выпуска танков Т-60. В связи с быстрым продвижением немцев и началом срочной эвакуации завод выпал из обоймы танкостроителей. На нем не успели собрать даже опытный образец, не говоря о развертывании «широкого серийного производства этой боевой машины» [63, с. 318]. Максимум, что смогли сделать, — это начать отгрузку деталей трансмиссии и подвески в Москву и Горький (11438).</w:t>
      </w:r>
    </w:p>
    <w:p w14:paraId="61E429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9158C39" w14:textId="77777777" w:rsidR="00E110AE" w:rsidRPr="00640820" w:rsidRDefault="00E110A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года было эвакуировано в Киров, где был создано новое предприятие - завод № 38 наркомата танковой промышленности. В начале 1942 года он начал производство легких танков Т-60, затем Т-70 и самоходных установок СУ-76 и СУ-76М (18626).</w:t>
      </w:r>
    </w:p>
    <w:p w14:paraId="1AB114F1" w14:textId="77777777" w:rsidR="00E110AE" w:rsidRPr="00640820" w:rsidRDefault="00E110AE" w:rsidP="00640820">
      <w:pPr>
        <w:spacing w:after="0" w:line="240" w:lineRule="auto"/>
        <w:jc w:val="both"/>
        <w:rPr>
          <w:rFonts w:ascii="Times New Roman" w:hAnsi="Times New Roman"/>
          <w:color w:val="000000" w:themeColor="text1"/>
          <w:sz w:val="16"/>
          <w:szCs w:val="16"/>
        </w:rPr>
      </w:pPr>
    </w:p>
    <w:p w14:paraId="167D17CD" w14:textId="77777777" w:rsidR="00E110AE" w:rsidRPr="00640820" w:rsidRDefault="00E110A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начались опытные работы по установке в башню Т-60 танковой 45-мм пушки. Эти работы привели к созданию нового танка — Т-70. Также в конце 1941 года начался выпуск Т-60 сначала с экранированной, а затем и усиленной броней. В результате выросла стойкость машины к огню вражеских противотанковых средств. Разумеется, от орудий калибра 50 или 75 мм усиленная броня не защищала, но ассортимент пехотных средств, которыми можно было поразить машину, значительно сократился. Даже к началу 1944 года Т-60 оставался довольно массовым явлением на поле боя. Из 1638 танков, числившихся на 1 января 1944 года, 684 всё ещё служили во фронтовых частях. Последним массовым случаем их боевого применения стали сражения на Ленинградском фронте летом-осенью 1944 года — не так уж и плохо для эрзац-танка, созданного за десять дней (19802).</w:t>
      </w:r>
    </w:p>
    <w:p w14:paraId="5806DA6E" w14:textId="77777777" w:rsidR="00E110AE" w:rsidRPr="00640820" w:rsidRDefault="00E110AE" w:rsidP="00640820">
      <w:pPr>
        <w:spacing w:after="0" w:line="240" w:lineRule="auto"/>
        <w:jc w:val="both"/>
        <w:rPr>
          <w:rFonts w:ascii="Times New Roman" w:hAnsi="Times New Roman"/>
          <w:color w:val="000000" w:themeColor="text1"/>
          <w:sz w:val="16"/>
          <w:szCs w:val="16"/>
        </w:rPr>
      </w:pPr>
    </w:p>
    <w:p w14:paraId="19F688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на фронт стали поступать первые ГАЗ-64 (3018,63).</w:t>
      </w:r>
    </w:p>
    <w:p w14:paraId="21D8B4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1876B12" w14:textId="77777777" w:rsidR="00165A9C" w:rsidRPr="00640820" w:rsidRDefault="00165A9C" w:rsidP="00640820">
      <w:pPr>
        <w:widowControl w:val="0"/>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 глиссерный завод, изго</w:t>
      </w:r>
      <w:r w:rsidRPr="00640820">
        <w:rPr>
          <w:rFonts w:ascii="Times New Roman" w:hAnsi="Times New Roman"/>
          <w:color w:val="000000" w:themeColor="text1"/>
          <w:sz w:val="16"/>
          <w:szCs w:val="16"/>
        </w:rPr>
        <w:softHyphen/>
        <w:t>товив 34 трехлыжных аэроса</w:t>
      </w:r>
      <w:r w:rsidRPr="00640820">
        <w:rPr>
          <w:rFonts w:ascii="Times New Roman" w:hAnsi="Times New Roman"/>
          <w:color w:val="000000" w:themeColor="text1"/>
          <w:sz w:val="16"/>
          <w:szCs w:val="16"/>
        </w:rPr>
        <w:softHyphen/>
        <w:t>ней НКЛ-16, был эвакуирован в Ки</w:t>
      </w:r>
      <w:r w:rsidRPr="00640820">
        <w:rPr>
          <w:rFonts w:ascii="Times New Roman" w:hAnsi="Times New Roman"/>
          <w:color w:val="000000" w:themeColor="text1"/>
          <w:sz w:val="16"/>
          <w:szCs w:val="16"/>
        </w:rPr>
        <w:softHyphen/>
        <w:t>ров. Оставшееся в Москве производство (завод №42) получило заказ на ремонт десяти аэросаней, который осуществлялся отделением №2 цеха №1.</w:t>
      </w:r>
    </w:p>
    <w:p w14:paraId="13233C07" w14:textId="77777777" w:rsidR="00165A9C" w:rsidRPr="00640820" w:rsidRDefault="00165A9C" w:rsidP="00640820">
      <w:pPr>
        <w:widowControl w:val="0"/>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Больше завод в Москве аэросанями не занимался, а выпускал катера и другую продукцию. В Кирове завод строил четырехпыжные аэро</w:t>
      </w:r>
      <w:r w:rsidRPr="00640820">
        <w:rPr>
          <w:rFonts w:ascii="Times New Roman" w:hAnsi="Times New Roman"/>
          <w:color w:val="000000" w:themeColor="text1"/>
          <w:sz w:val="16"/>
          <w:szCs w:val="16"/>
        </w:rPr>
        <w:softHyphen/>
        <w:t>сани, а также ремонтировал трехлыжные машины пре</w:t>
      </w:r>
      <w:r w:rsidRPr="00640820">
        <w:rPr>
          <w:rFonts w:ascii="Times New Roman" w:hAnsi="Times New Roman"/>
          <w:color w:val="000000" w:themeColor="text1"/>
          <w:sz w:val="16"/>
          <w:szCs w:val="16"/>
        </w:rPr>
        <w:softHyphen/>
        <w:t>жних выпусков (12064).</w:t>
      </w:r>
    </w:p>
    <w:p w14:paraId="49C28BA5" w14:textId="77777777" w:rsidR="00165A9C" w:rsidRPr="00640820" w:rsidRDefault="00165A9C" w:rsidP="0064082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740E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производство в Кировске приостановилось, оборудование было демонтировано и отправлено в глубь страны. Кировск оказался в прифронтовой полосе и подвергался воздушным бомбардировкам. Комбинат "Апатит" и отдельные организации были переоснащены для выпуска военной продукции. В Кировске на опытном заводе развернулось производство фосфора для зажигательных авиабомб и самовоспломеняющейся смеси "КС" , применяющейся против танков. (9702).</w:t>
      </w:r>
    </w:p>
    <w:p w14:paraId="4A4F1C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7FF4EAF" w14:textId="77777777" w:rsidR="00E110AE" w:rsidRPr="00640820" w:rsidRDefault="00E110AE"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Осенью 1941 года отдел №22 КБ завода №37 эвакуированного в Свердловск, начал работы по уширителям траков. Работы велись в январе 1942 года. На самом заводе уширители траков назвали плицами. Несколько забавно, что ширина уширителя получилась той же, что и у Т-26 — 520 мм. Что-то совсем новое, с точки зрения траков, делать не требовалось. Дело в том, что для траков Т-40/Т-60 имелись шпоры, а крепились они в отверстия, просверленные в траке. Таким образом, плицы прикручивались через те самые отверстия в траках. Сами плицы имели чертёжный номер 030.37.30, то есть на самом деле их делали не для Т-60, а для Т-30, который как раз в это время выпускался на заводе №37. Каждый уширитель весил 2 кг, а при постановке на все траки боевая масса машины вырастала на 365 кг (19593).</w:t>
      </w:r>
    </w:p>
    <w:p w14:paraId="787A6CEF" w14:textId="77777777" w:rsidR="00E110AE" w:rsidRPr="00640820" w:rsidRDefault="00E110AE" w:rsidP="00640820">
      <w:pPr>
        <w:shd w:val="clear" w:color="auto" w:fill="FFFFFF"/>
        <w:spacing w:after="0" w:line="240" w:lineRule="auto"/>
        <w:jc w:val="both"/>
        <w:textAlignment w:val="baseline"/>
        <w:rPr>
          <w:rFonts w:ascii="Times New Roman" w:hAnsi="Times New Roman"/>
          <w:b/>
          <w:bCs/>
          <w:i/>
          <w:iCs/>
          <w:noProof/>
          <w:color w:val="000000" w:themeColor="text1"/>
          <w:sz w:val="16"/>
          <w:szCs w:val="16"/>
          <w:bdr w:val="none" w:sz="0" w:space="0" w:color="auto" w:frame="1"/>
          <w:lang w:eastAsia="ru-RU"/>
        </w:rPr>
      </w:pPr>
    </w:p>
    <w:p w14:paraId="0BB1F31B" w14:textId="77777777" w:rsidR="00680EEE" w:rsidRPr="00640820" w:rsidRDefault="00680EEE" w:rsidP="00640820">
      <w:pPr>
        <w:pStyle w:val="Bodytext1"/>
        <w:shd w:val="clear" w:color="auto" w:fill="auto"/>
        <w:spacing w:line="240" w:lineRule="auto"/>
        <w:ind w:firstLine="0"/>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Осенью 1941 г. в блокированном Ленин</w:t>
      </w:r>
      <w:r w:rsidRPr="00640820">
        <w:rPr>
          <w:rFonts w:ascii="Times New Roman" w:hAnsi="Times New Roman" w:cs="Times New Roman"/>
          <w:color w:val="000000" w:themeColor="text1"/>
          <w:sz w:val="16"/>
          <w:szCs w:val="16"/>
        </w:rPr>
        <w:softHyphen/>
        <w:t>граде сотрудники ЛОНИТОМАШ (Ленинградское отделение</w:t>
      </w:r>
      <w:r w:rsidRPr="00640820">
        <w:rPr>
          <w:rStyle w:val="Bodytext20Bold2"/>
          <w:rFonts w:ascii="Times New Roman" w:hAnsi="Times New Roman" w:cs="Times New Roman"/>
          <w:b w:val="0"/>
          <w:i w:val="0"/>
          <w:color w:val="000000" w:themeColor="text1"/>
          <w:spacing w:val="0"/>
          <w:sz w:val="16"/>
          <w:szCs w:val="16"/>
        </w:rPr>
        <w:t xml:space="preserve"> Всесоюзного научного инженерного </w:t>
      </w:r>
      <w:r w:rsidRPr="00640820">
        <w:rPr>
          <w:rFonts w:ascii="Times New Roman" w:hAnsi="Times New Roman" w:cs="Times New Roman"/>
          <w:color w:val="000000" w:themeColor="text1"/>
          <w:sz w:val="16"/>
          <w:szCs w:val="16"/>
        </w:rPr>
        <w:t>техничестго общества</w:t>
      </w:r>
      <w:r w:rsidRPr="00640820">
        <w:rPr>
          <w:rStyle w:val="Bodytext20Bold2"/>
          <w:rFonts w:ascii="Times New Roman" w:hAnsi="Times New Roman" w:cs="Times New Roman"/>
          <w:b w:val="0"/>
          <w:i w:val="0"/>
          <w:color w:val="000000" w:themeColor="text1"/>
          <w:spacing w:val="0"/>
          <w:sz w:val="16"/>
          <w:szCs w:val="16"/>
        </w:rPr>
        <w:t xml:space="preserve"> машиностроения -</w:t>
      </w:r>
      <w:r w:rsidRPr="00640820">
        <w:rPr>
          <w:rFonts w:ascii="Times New Roman" w:hAnsi="Times New Roman" w:cs="Times New Roman"/>
          <w:color w:val="000000" w:themeColor="text1"/>
          <w:sz w:val="16"/>
          <w:szCs w:val="16"/>
        </w:rPr>
        <w:t xml:space="preserve"> образовано по постановлению</w:t>
      </w:r>
      <w:r w:rsidRPr="00640820">
        <w:rPr>
          <w:rStyle w:val="Bodytext20Bold2"/>
          <w:rFonts w:ascii="Times New Roman" w:hAnsi="Times New Roman" w:cs="Times New Roman"/>
          <w:b w:val="0"/>
          <w:i w:val="0"/>
          <w:color w:val="000000" w:themeColor="text1"/>
          <w:spacing w:val="0"/>
          <w:sz w:val="16"/>
          <w:szCs w:val="16"/>
        </w:rPr>
        <w:t xml:space="preserve"> ЦК ВКПБ от 19 ноября 1931</w:t>
      </w:r>
      <w:r w:rsidRPr="00640820">
        <w:rPr>
          <w:rFonts w:ascii="Times New Roman" w:hAnsi="Times New Roman" w:cs="Times New Roman"/>
          <w:color w:val="000000" w:themeColor="text1"/>
          <w:sz w:val="16"/>
          <w:szCs w:val="16"/>
        </w:rPr>
        <w:t>) выполнили инициативный проект поворотного устройства для установки 82-мм миномета в кузове 1,5-т автомобиля ГАЗ-АА. Данные работы велись, в том числе, с учетом опыта кустарного изготов</w:t>
      </w:r>
      <w:r w:rsidRPr="00640820">
        <w:rPr>
          <w:rFonts w:ascii="Times New Roman" w:hAnsi="Times New Roman" w:cs="Times New Roman"/>
          <w:color w:val="000000" w:themeColor="text1"/>
          <w:sz w:val="16"/>
          <w:szCs w:val="16"/>
        </w:rPr>
        <w:softHyphen/>
        <w:t>ления подобных установок седельными воин</w:t>
      </w:r>
      <w:r w:rsidRPr="00640820">
        <w:rPr>
          <w:rFonts w:ascii="Times New Roman" w:hAnsi="Times New Roman" w:cs="Times New Roman"/>
          <w:color w:val="000000" w:themeColor="text1"/>
          <w:sz w:val="16"/>
          <w:szCs w:val="16"/>
        </w:rPr>
        <w:softHyphen/>
        <w:t>скими частями.</w:t>
      </w:r>
    </w:p>
    <w:p w14:paraId="44C80409" w14:textId="77777777" w:rsidR="00680EEE" w:rsidRPr="00640820" w:rsidRDefault="00680EEE" w:rsidP="00640820">
      <w:pPr>
        <w:pStyle w:val="Bodytext1"/>
        <w:shd w:val="clear" w:color="auto" w:fill="auto"/>
        <w:spacing w:line="240" w:lineRule="auto"/>
        <w:ind w:firstLine="0"/>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Опытный образец поворотного устройства в октябре 1941 г. успешно прошел полигон</w:t>
      </w:r>
      <w:r w:rsidRPr="00640820">
        <w:rPr>
          <w:rFonts w:ascii="Times New Roman" w:hAnsi="Times New Roman" w:cs="Times New Roman"/>
          <w:color w:val="000000" w:themeColor="text1"/>
          <w:sz w:val="16"/>
          <w:szCs w:val="16"/>
        </w:rPr>
        <w:softHyphen/>
        <w:t>ные испытания, но дальнейших решений о его массовом выпуске со стороны Военного со</w:t>
      </w:r>
      <w:r w:rsidRPr="00640820">
        <w:rPr>
          <w:rFonts w:ascii="Times New Roman" w:hAnsi="Times New Roman" w:cs="Times New Roman"/>
          <w:color w:val="000000" w:themeColor="text1"/>
          <w:sz w:val="16"/>
          <w:szCs w:val="16"/>
        </w:rPr>
        <w:softHyphen/>
        <w:t>вета Северо-западного фронта по различным причинам не последовало.</w:t>
      </w:r>
    </w:p>
    <w:p w14:paraId="484FB412" w14:textId="77777777" w:rsidR="00680EEE" w:rsidRPr="00640820" w:rsidRDefault="00680EEE" w:rsidP="00640820">
      <w:pPr>
        <w:pStyle w:val="Bodytext1"/>
        <w:shd w:val="clear" w:color="auto" w:fill="auto"/>
        <w:spacing w:line="240" w:lineRule="auto"/>
        <w:ind w:firstLine="0"/>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В интересах скорейшей реализации своего проекта специалисты ЛОНИТОМАШа предло</w:t>
      </w:r>
      <w:r w:rsidRPr="00640820">
        <w:rPr>
          <w:rFonts w:ascii="Times New Roman" w:hAnsi="Times New Roman" w:cs="Times New Roman"/>
          <w:color w:val="000000" w:themeColor="text1"/>
          <w:sz w:val="16"/>
          <w:szCs w:val="16"/>
        </w:rPr>
        <w:softHyphen/>
        <w:t>жили изготовить небольшую партию установок своими силами и обратились за помощью в транспортный отдел Ленинградского горкома ВЩб). Речь шла о получении поврежденных автомобилей с целью их восстановления как базы для самоходных минометов. Одновре</w:t>
      </w:r>
      <w:r w:rsidRPr="00640820">
        <w:rPr>
          <w:rFonts w:ascii="Times New Roman" w:hAnsi="Times New Roman" w:cs="Times New Roman"/>
          <w:color w:val="000000" w:themeColor="text1"/>
          <w:sz w:val="16"/>
          <w:szCs w:val="16"/>
        </w:rPr>
        <w:softHyphen/>
        <w:t>менно предусматривалось начать сборку пово</w:t>
      </w:r>
      <w:r w:rsidRPr="00640820">
        <w:rPr>
          <w:rFonts w:ascii="Times New Roman" w:hAnsi="Times New Roman" w:cs="Times New Roman"/>
          <w:color w:val="000000" w:themeColor="text1"/>
          <w:sz w:val="16"/>
          <w:szCs w:val="16"/>
        </w:rPr>
        <w:softHyphen/>
        <w:t>ротных устройств на заводе подъемно-транс- портного оборудования (ПТО) им. Кирова.</w:t>
      </w:r>
    </w:p>
    <w:p w14:paraId="34BBF879" w14:textId="77777777" w:rsidR="00680EEE" w:rsidRPr="00640820" w:rsidRDefault="00680EEE" w:rsidP="00640820">
      <w:pPr>
        <w:pStyle w:val="Bodytext1"/>
        <w:shd w:val="clear" w:color="auto" w:fill="auto"/>
        <w:spacing w:line="240" w:lineRule="auto"/>
        <w:ind w:firstLine="0"/>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В горкоме поддержали эту инициативу. В ЛОНИТОМАШе смогли в кратчайшие сроки полностью восстановить полученный авто транспорт, однако из-за катастрофического положения с обеспечением электроэнергией промышленных предприятий Ленинграда в декабре 1941 г. выполнить заказ заводу ПТО им. Кирова не удалось.</w:t>
      </w:r>
    </w:p>
    <w:p w14:paraId="2A37FCF2" w14:textId="77777777" w:rsidR="00680EEE" w:rsidRPr="00640820" w:rsidRDefault="00680EEE" w:rsidP="00640820">
      <w:pPr>
        <w:pStyle w:val="Bodytext1"/>
        <w:shd w:val="clear" w:color="auto" w:fill="auto"/>
        <w:spacing w:line="240" w:lineRule="auto"/>
        <w:ind w:firstLine="0"/>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Не имея собственной производственной базы и располагая только оборудованием авто</w:t>
      </w:r>
      <w:r w:rsidRPr="00640820">
        <w:rPr>
          <w:rFonts w:ascii="Times New Roman" w:hAnsi="Times New Roman" w:cs="Times New Roman"/>
          <w:color w:val="000000" w:themeColor="text1"/>
          <w:sz w:val="16"/>
          <w:szCs w:val="16"/>
        </w:rPr>
        <w:softHyphen/>
        <w:t>ремонтных мастерских, не позволявшим изгото</w:t>
      </w:r>
      <w:r w:rsidRPr="00640820">
        <w:rPr>
          <w:rFonts w:ascii="Times New Roman" w:hAnsi="Times New Roman" w:cs="Times New Roman"/>
          <w:color w:val="000000" w:themeColor="text1"/>
          <w:sz w:val="16"/>
          <w:szCs w:val="16"/>
        </w:rPr>
        <w:softHyphen/>
        <w:t>вить поворотное устройство, в ЛОНИТОМАШе в период первой блокадной зимы спроекти</w:t>
      </w:r>
      <w:r w:rsidRPr="00640820">
        <w:rPr>
          <w:rFonts w:ascii="Times New Roman" w:hAnsi="Times New Roman" w:cs="Times New Roman"/>
          <w:color w:val="000000" w:themeColor="text1"/>
          <w:sz w:val="16"/>
          <w:szCs w:val="16"/>
        </w:rPr>
        <w:softHyphen/>
        <w:t>ровали новый вариант - на основе тумбовой установки морской 45-мм пушки. К началу мая 1942 г. коллектив самостоятельно подготовил к испытаниям две импровизированные са</w:t>
      </w:r>
      <w:r w:rsidRPr="00640820">
        <w:rPr>
          <w:rFonts w:ascii="Times New Roman" w:hAnsi="Times New Roman" w:cs="Times New Roman"/>
          <w:color w:val="000000" w:themeColor="text1"/>
          <w:sz w:val="16"/>
          <w:szCs w:val="16"/>
        </w:rPr>
        <w:softHyphen/>
        <w:t>моходные минометные установки - в кузове 1,5-т грузового автомобиля ГАЗ-АА и на таком же бронированном шасси.</w:t>
      </w:r>
    </w:p>
    <w:p w14:paraId="40EF923A" w14:textId="77777777" w:rsidR="00680EEE" w:rsidRPr="00640820" w:rsidRDefault="00680EEE" w:rsidP="00640820">
      <w:pPr>
        <w:pStyle w:val="Bodytext1"/>
        <w:shd w:val="clear" w:color="auto" w:fill="auto"/>
        <w:spacing w:line="240" w:lineRule="auto"/>
        <w:ind w:firstLine="0"/>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lastRenderedPageBreak/>
        <w:t>Установка тела миномета на тумбе мор</w:t>
      </w:r>
      <w:r w:rsidRPr="00640820">
        <w:rPr>
          <w:rFonts w:ascii="Times New Roman" w:hAnsi="Times New Roman" w:cs="Times New Roman"/>
          <w:color w:val="000000" w:themeColor="text1"/>
          <w:sz w:val="16"/>
          <w:szCs w:val="16"/>
        </w:rPr>
        <w:softHyphen/>
        <w:t>ского орудия в кузове автомобиля давала воз</w:t>
      </w:r>
      <w:r w:rsidRPr="00640820">
        <w:rPr>
          <w:rFonts w:ascii="Times New Roman" w:hAnsi="Times New Roman" w:cs="Times New Roman"/>
          <w:color w:val="000000" w:themeColor="text1"/>
          <w:sz w:val="16"/>
          <w:szCs w:val="16"/>
        </w:rPr>
        <w:softHyphen/>
        <w:t>можность вести огонь с быстрой сменой угла возвышения при круговом секторе обстрела.</w:t>
      </w:r>
    </w:p>
    <w:p w14:paraId="41C98B65" w14:textId="77777777" w:rsidR="00680EEE" w:rsidRPr="00640820" w:rsidRDefault="00680EEE" w:rsidP="00640820">
      <w:pPr>
        <w:pStyle w:val="Bodytext1"/>
        <w:shd w:val="clear" w:color="auto" w:fill="auto"/>
        <w:spacing w:line="240" w:lineRule="auto"/>
        <w:ind w:firstLine="0"/>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Благодаря минимальному времени перехода из походного положения в боевое и обратно, а также возможности стрельбы с необорудо</w:t>
      </w:r>
      <w:r w:rsidRPr="00640820">
        <w:rPr>
          <w:rFonts w:ascii="Times New Roman" w:hAnsi="Times New Roman" w:cs="Times New Roman"/>
          <w:color w:val="000000" w:themeColor="text1"/>
          <w:sz w:val="16"/>
          <w:szCs w:val="16"/>
        </w:rPr>
        <w:softHyphen/>
        <w:t>ванной позиции моторизованные миномет</w:t>
      </w:r>
      <w:r w:rsidRPr="00640820">
        <w:rPr>
          <w:rFonts w:ascii="Times New Roman" w:hAnsi="Times New Roman" w:cs="Times New Roman"/>
          <w:color w:val="000000" w:themeColor="text1"/>
          <w:sz w:val="16"/>
          <w:szCs w:val="16"/>
        </w:rPr>
        <w:softHyphen/>
        <w:t>ные установки позволяли наносить маневрен</w:t>
      </w:r>
      <w:r w:rsidRPr="00640820">
        <w:rPr>
          <w:rFonts w:ascii="Times New Roman" w:hAnsi="Times New Roman" w:cs="Times New Roman"/>
          <w:color w:val="000000" w:themeColor="text1"/>
          <w:sz w:val="16"/>
          <w:szCs w:val="16"/>
        </w:rPr>
        <w:softHyphen/>
        <w:t>ные огневые налеты в условиях как наступа</w:t>
      </w:r>
      <w:r w:rsidRPr="00640820">
        <w:rPr>
          <w:rFonts w:ascii="Times New Roman" w:hAnsi="Times New Roman" w:cs="Times New Roman"/>
          <w:color w:val="000000" w:themeColor="text1"/>
          <w:sz w:val="16"/>
          <w:szCs w:val="16"/>
        </w:rPr>
        <w:softHyphen/>
        <w:t>тельных, так и оборонительных боев.</w:t>
      </w:r>
    </w:p>
    <w:p w14:paraId="6BF570BD" w14:textId="77777777" w:rsidR="00680EEE" w:rsidRPr="00640820" w:rsidRDefault="00680EEE" w:rsidP="00640820">
      <w:pPr>
        <w:pStyle w:val="Bodytext1"/>
        <w:shd w:val="clear" w:color="auto" w:fill="auto"/>
        <w:spacing w:line="240" w:lineRule="auto"/>
        <w:ind w:firstLine="0"/>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Минометный расчет бронированной установки размещался в кабине и открытом сверху кузове, выполненных из броневых листов толщиной 8 мм, что гарантировало за</w:t>
      </w:r>
      <w:r w:rsidRPr="00640820">
        <w:rPr>
          <w:rFonts w:ascii="Times New Roman" w:hAnsi="Times New Roman" w:cs="Times New Roman"/>
          <w:color w:val="000000" w:themeColor="text1"/>
          <w:sz w:val="16"/>
          <w:szCs w:val="16"/>
        </w:rPr>
        <w:softHyphen/>
        <w:t>щиту от пуль и осколков (17747).</w:t>
      </w:r>
    </w:p>
    <w:p w14:paraId="41F2F4B4" w14:textId="77777777" w:rsidR="00680EEE" w:rsidRPr="00640820" w:rsidRDefault="00680EEE" w:rsidP="00640820">
      <w:pPr>
        <w:pStyle w:val="129"/>
        <w:shd w:val="clear" w:color="auto" w:fill="auto"/>
        <w:spacing w:after="0" w:line="240" w:lineRule="auto"/>
        <w:jc w:val="both"/>
        <w:rPr>
          <w:color w:val="000000" w:themeColor="text1"/>
          <w:sz w:val="16"/>
          <w:szCs w:val="16"/>
        </w:rPr>
      </w:pPr>
    </w:p>
    <w:p w14:paraId="20A2628D" w14:textId="77777777" w:rsidR="00E110AE" w:rsidRPr="00640820" w:rsidRDefault="00E110AE" w:rsidP="00640820">
      <w:pPr>
        <w:pStyle w:val="rtejustify"/>
        <w:shd w:val="clear" w:color="auto" w:fill="FFFFFF"/>
        <w:spacing w:before="0" w:after="0"/>
        <w:rPr>
          <w:color w:val="000000" w:themeColor="text1"/>
          <w:sz w:val="16"/>
          <w:szCs w:val="16"/>
        </w:rPr>
      </w:pPr>
      <w:r w:rsidRPr="00640820">
        <w:rPr>
          <w:color w:val="000000" w:themeColor="text1"/>
          <w:sz w:val="16"/>
          <w:szCs w:val="16"/>
        </w:rPr>
        <w:t>Осенью 1941 года в блокированном Ленинграде сотрудники ЛОНИТОМАШ </w:t>
      </w:r>
      <w:bookmarkStart w:id="3" w:name="эпизоды-2-а"/>
      <w:bookmarkEnd w:id="3"/>
      <w:r w:rsidRPr="00640820">
        <w:rPr>
          <w:color w:val="000000" w:themeColor="text1"/>
          <w:sz w:val="16"/>
          <w:szCs w:val="16"/>
        </w:rPr>
        <w:t> выполнили инициативный проект поворотного устройства для установки 82-мм миномета в кузове 1,5-тонного автомобиля ГАЗ-АА. Данные работы велись, в том числе, с учетом опыта кустарного изготовления подобных установок отдельными воинскими частями.</w:t>
      </w:r>
    </w:p>
    <w:p w14:paraId="10AB87CD" w14:textId="77777777" w:rsidR="00E110AE" w:rsidRPr="00640820" w:rsidRDefault="00E110AE" w:rsidP="00640820">
      <w:pPr>
        <w:pStyle w:val="rtejustify"/>
        <w:shd w:val="clear" w:color="auto" w:fill="FFFFFF"/>
        <w:spacing w:before="0" w:after="0"/>
        <w:rPr>
          <w:color w:val="000000" w:themeColor="text1"/>
          <w:sz w:val="16"/>
          <w:szCs w:val="16"/>
        </w:rPr>
      </w:pPr>
      <w:r w:rsidRPr="00640820">
        <w:rPr>
          <w:color w:val="000000" w:themeColor="text1"/>
          <w:sz w:val="16"/>
          <w:szCs w:val="16"/>
        </w:rPr>
        <w:t>Опытный образец поворотного устройства в октябре 1941 г. успешно прошел полигонные испытания, но дальнейших решений о его массовом выпуске со стороны Военного совета Северо-западного фронта по различным причинам не последовало.</w:t>
      </w:r>
    </w:p>
    <w:p w14:paraId="1F858F61" w14:textId="77777777" w:rsidR="00E110AE" w:rsidRPr="00640820" w:rsidRDefault="00E110AE" w:rsidP="00640820">
      <w:pPr>
        <w:pStyle w:val="rtejustify"/>
        <w:shd w:val="clear" w:color="auto" w:fill="FFFFFF"/>
        <w:spacing w:before="0" w:after="0"/>
        <w:rPr>
          <w:color w:val="000000" w:themeColor="text1"/>
          <w:sz w:val="16"/>
          <w:szCs w:val="16"/>
        </w:rPr>
      </w:pPr>
      <w:r w:rsidRPr="00640820">
        <w:rPr>
          <w:color w:val="000000" w:themeColor="text1"/>
          <w:sz w:val="16"/>
          <w:szCs w:val="16"/>
        </w:rPr>
        <w:t>В интересах скорейшей реализации своего проекта специалисты ЛОНИТОМАШа предложили изготовить небольшую партию установок своими силами и обратились за помощью в транспортный отдел Ленинградского горкома ВКП(б). Речь шла о получении поврежденных автомобилей с целью их восстановления как базы для самоходных минометов. Одновременно предусматривалось начать сборку поворотных устройств на заводе подъемно-транспортного оборудования (ПТО) им. Кирова.</w:t>
      </w:r>
    </w:p>
    <w:p w14:paraId="61DA2FCA" w14:textId="77777777" w:rsidR="00E110AE" w:rsidRPr="00640820" w:rsidRDefault="00E110AE" w:rsidP="00640820">
      <w:pPr>
        <w:pStyle w:val="rtejustify"/>
        <w:shd w:val="clear" w:color="auto" w:fill="FFFFFF"/>
        <w:spacing w:before="0" w:after="0"/>
        <w:rPr>
          <w:color w:val="000000" w:themeColor="text1"/>
          <w:sz w:val="16"/>
          <w:szCs w:val="16"/>
        </w:rPr>
      </w:pPr>
      <w:r w:rsidRPr="00640820">
        <w:rPr>
          <w:color w:val="000000" w:themeColor="text1"/>
          <w:sz w:val="16"/>
          <w:szCs w:val="16"/>
        </w:rPr>
        <w:t>В горкоме поддержали эту инициативу. В ЛОНИТОМАШе смогли в кратчайшие сроки полностью восстановить полученный автотранспорт, однако из-за катастрофического положения с обеспечением электроэнергией промышленных предприятий Ленинграда в декабре 1941 года выполнить заказ заводу ПТО им. Кирова не удалось.</w:t>
      </w:r>
    </w:p>
    <w:p w14:paraId="0A683107" w14:textId="77777777" w:rsidR="00E110AE" w:rsidRPr="00640820" w:rsidRDefault="00E110AE" w:rsidP="00640820">
      <w:pPr>
        <w:pStyle w:val="rtejustify"/>
        <w:shd w:val="clear" w:color="auto" w:fill="FFFFFF"/>
        <w:spacing w:before="0" w:after="0"/>
        <w:rPr>
          <w:color w:val="000000" w:themeColor="text1"/>
          <w:sz w:val="16"/>
          <w:szCs w:val="16"/>
        </w:rPr>
      </w:pPr>
      <w:r w:rsidRPr="00640820">
        <w:rPr>
          <w:color w:val="000000" w:themeColor="text1"/>
          <w:sz w:val="16"/>
          <w:szCs w:val="16"/>
        </w:rPr>
        <w:t>Не имея собственной производственной базы и располагая только оборудованием авторемонтных мастерских, не позволявшим изготовить поворотное устройство, в ЛОНИТОМАШе в период первой блокадной зимы спроектировали новый вариант – на основе тумбовой установки морской 45-мм пушки. К началу мая 1942 года коллектив самостоятельно подготовил к испытаниям две импровизированные самоходные минометные установки – в кузове 1,5-тонного грузового автомобиля ГАЗ-АА и на таком же бронированном шасси.</w:t>
      </w:r>
    </w:p>
    <w:p w14:paraId="5A2D8872" w14:textId="77777777" w:rsidR="00E110AE" w:rsidRPr="00640820" w:rsidRDefault="00E110AE" w:rsidP="00640820">
      <w:pPr>
        <w:pStyle w:val="rtejustify"/>
        <w:shd w:val="clear" w:color="auto" w:fill="FFFFFF"/>
        <w:spacing w:before="0" w:after="0"/>
        <w:rPr>
          <w:color w:val="000000" w:themeColor="text1"/>
          <w:sz w:val="16"/>
          <w:szCs w:val="16"/>
        </w:rPr>
      </w:pPr>
      <w:r w:rsidRPr="00640820">
        <w:rPr>
          <w:color w:val="000000" w:themeColor="text1"/>
          <w:sz w:val="16"/>
          <w:szCs w:val="16"/>
        </w:rPr>
        <w:t>Установка тела миномета на тумбе морского орудия в кузове автомобиля давала возможность вести огонь с быстрой сменой угла возвышения при круговом секторе обстрела. Благодаря минимальному времени перехода из походного положения в боевое и обратно, а также возможности стрельбы с необорудованной позиции моторизованные минометные установки позволяли наносить маневренные огневые налеты в условиях как наступательных, так и оборонительных боев.</w:t>
      </w:r>
    </w:p>
    <w:p w14:paraId="1FD87261" w14:textId="77777777" w:rsidR="00E110AE" w:rsidRPr="00640820" w:rsidRDefault="00E110A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shd w:val="clear" w:color="auto" w:fill="FFFFFF"/>
        </w:rPr>
        <w:t>Минометный расчет бронированной установки размещался в кабине и открытом сверху кузове, выполненных из броневых листов толщиной 8 мм, что гарантировало защиту от пуль и осколков.</w:t>
      </w:r>
    </w:p>
    <w:p w14:paraId="4DA8BB78" w14:textId="77777777" w:rsidR="00E110AE" w:rsidRPr="00640820" w:rsidRDefault="00E110AE" w:rsidP="00640820">
      <w:pPr>
        <w:pStyle w:val="rtejustify"/>
        <w:shd w:val="clear" w:color="auto" w:fill="FFFFFF"/>
        <w:spacing w:before="0" w:after="0"/>
        <w:rPr>
          <w:color w:val="000000" w:themeColor="text1"/>
          <w:sz w:val="16"/>
          <w:szCs w:val="16"/>
        </w:rPr>
      </w:pPr>
      <w:r w:rsidRPr="00640820">
        <w:rPr>
          <w:color w:val="000000" w:themeColor="text1"/>
          <w:sz w:val="16"/>
          <w:szCs w:val="16"/>
        </w:rPr>
        <w:t>По ряду причин, в том числе из-за нехватки топлива, испытания установок провели только к середине лета, с 26 июня по 3 июля 1942 года. 10 июля начальник артиллерии генерал-майор Одинцов утвердил акт комиссии, по которому данные машины рекомендовались к принятию на вооружение Красной Армии.</w:t>
      </w:r>
    </w:p>
    <w:p w14:paraId="5D2CC854" w14:textId="77777777" w:rsidR="00E110AE" w:rsidRPr="00640820" w:rsidRDefault="00E110AE" w:rsidP="00640820">
      <w:pPr>
        <w:pStyle w:val="rtejustify"/>
        <w:shd w:val="clear" w:color="auto" w:fill="FFFFFF"/>
        <w:spacing w:before="0" w:after="0"/>
        <w:rPr>
          <w:color w:val="000000" w:themeColor="text1"/>
          <w:sz w:val="16"/>
          <w:szCs w:val="16"/>
        </w:rPr>
      </w:pPr>
      <w:r w:rsidRPr="00640820">
        <w:rPr>
          <w:color w:val="000000" w:themeColor="text1"/>
          <w:sz w:val="16"/>
          <w:szCs w:val="16"/>
        </w:rPr>
        <w:t>Учитывая недостаточную проходимость базового шасси, можно предположить, что боевое применение минометных установок на пересеченной местности было бы затруднено. Кроме того, возможность организации серийного производства подобной техники в условиях блокадного Ленинграда напрямую зависела от количества пригодных автомобилей.</w:t>
      </w:r>
    </w:p>
    <w:p w14:paraId="1A0E2146" w14:textId="77777777" w:rsidR="00E110AE" w:rsidRPr="00640820" w:rsidRDefault="00E110AE" w:rsidP="00640820">
      <w:pPr>
        <w:pStyle w:val="rtejustify"/>
        <w:shd w:val="clear" w:color="auto" w:fill="FFFFFF"/>
        <w:spacing w:before="0" w:after="0"/>
        <w:rPr>
          <w:color w:val="000000" w:themeColor="text1"/>
          <w:sz w:val="16"/>
          <w:szCs w:val="16"/>
        </w:rPr>
      </w:pPr>
      <w:r w:rsidRPr="00640820">
        <w:rPr>
          <w:color w:val="000000" w:themeColor="text1"/>
          <w:sz w:val="16"/>
          <w:szCs w:val="16"/>
        </w:rPr>
        <w:t>Тем не менее, приведенный эпизод ярко характеризует стремление всех организаций внести посильный вклад в общую победу над врагом. Помимо описанных работ, в период блокады ЛОНИТОМАШ успешно выполнял самые различные задания Военного совета Ленинградского фронта. Перечислим лишь основные из них:</w:t>
      </w:r>
    </w:p>
    <w:p w14:paraId="2B1F3D58" w14:textId="77777777" w:rsidR="00E110AE" w:rsidRPr="00640820" w:rsidRDefault="00E110AE"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 формирование авторемонтного дивизиона («завод на колесах» в составе 33 машин) для нужд ВВС. Все автомашины и оборудование, собрали, восстановили и смонтировали силами общественных организаций;</w:t>
      </w:r>
    </w:p>
    <w:p w14:paraId="6881144F" w14:textId="77777777" w:rsidR="00E110AE" w:rsidRPr="00640820" w:rsidRDefault="00E110AE"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 изготовление десяти подвижных ремонтных мастерских для частей Ленинградского фронта;</w:t>
      </w:r>
    </w:p>
    <w:p w14:paraId="3AF51582" w14:textId="77777777" w:rsidR="00E110AE" w:rsidRPr="00640820" w:rsidRDefault="00E110AE"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 выпуск более 500 000 специальных пакетов для химических грелок;</w:t>
      </w:r>
    </w:p>
    <w:p w14:paraId="6746EAE6" w14:textId="77777777" w:rsidR="00E110AE" w:rsidRPr="00640820" w:rsidRDefault="00E110AE"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 восстановление 90 автомобилей и около 25 т различных дефицитных запасных частей к ним.</w:t>
      </w:r>
    </w:p>
    <w:p w14:paraId="26AE6F1E" w14:textId="77777777" w:rsidR="00E110AE" w:rsidRPr="00640820" w:rsidRDefault="00E110AE" w:rsidP="00640820">
      <w:pPr>
        <w:pStyle w:val="rtejustify"/>
        <w:shd w:val="clear" w:color="auto" w:fill="FFFFFF"/>
        <w:spacing w:before="0" w:after="0"/>
        <w:rPr>
          <w:color w:val="000000" w:themeColor="text1"/>
          <w:sz w:val="16"/>
          <w:szCs w:val="16"/>
        </w:rPr>
      </w:pPr>
      <w:r w:rsidRPr="00640820">
        <w:rPr>
          <w:color w:val="000000" w:themeColor="text1"/>
          <w:sz w:val="16"/>
          <w:szCs w:val="16"/>
        </w:rPr>
        <w:t>Стоит отметить, что все работы ЛОНИТОМАШа в период блокады выполнялись в авторемонтных мастерских, организованных с большим трудом в неприспособленных помещениях на площадке законсервированного строительства Выборгской ТЭЦ, а также в небольших электроремонтных мастерских в здании эвакуированного НИИ-46 (19768).</w:t>
      </w:r>
    </w:p>
    <w:p w14:paraId="0CE9AB84" w14:textId="77777777" w:rsidR="00E110AE" w:rsidRPr="00640820" w:rsidRDefault="00E110AE" w:rsidP="00640820">
      <w:pPr>
        <w:spacing w:after="0" w:line="240" w:lineRule="auto"/>
        <w:jc w:val="both"/>
        <w:rPr>
          <w:rFonts w:ascii="Times New Roman" w:hAnsi="Times New Roman"/>
          <w:color w:val="000000" w:themeColor="text1"/>
          <w:sz w:val="16"/>
          <w:szCs w:val="16"/>
        </w:rPr>
      </w:pPr>
    </w:p>
    <w:p w14:paraId="7B65A3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 на дно рек Москвы и Сетуни запасов были затоплены запасы фосгена. Почему это произошло, догадаться нетрудно, имея в виду многолетний выпуск фосгена как боевого ОВ на Дорогомиловском химическом заводе им. М.В.Фрунзе. Извлечение состоялось спустя два года. О его полноте не сообщается (9066).</w:t>
      </w:r>
    </w:p>
    <w:p w14:paraId="0546AF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3CB4D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1941г. завод «Манометр» был эвакуирован в Томск, где на его базе был создан завод № 838 (Завод № 836 НКМВ, Бронзомеднолитейный, чугунолитейный и арматурный завод и фабрика манометров «Ф.Ф. Гакенталь и К</w:t>
      </w:r>
      <w:r w:rsidRPr="00640820">
        <w:rPr>
          <w:rFonts w:ascii="Times New Roman" w:hAnsi="Times New Roman"/>
          <w:color w:val="000000" w:themeColor="text1"/>
          <w:sz w:val="16"/>
          <w:szCs w:val="16"/>
          <w:vertAlign w:val="superscript"/>
        </w:rPr>
        <w:t>0</w:t>
      </w:r>
      <w:r w:rsidRPr="00640820">
        <w:rPr>
          <w:rFonts w:ascii="Times New Roman" w:hAnsi="Times New Roman"/>
          <w:color w:val="000000" w:themeColor="text1"/>
          <w:sz w:val="16"/>
          <w:szCs w:val="16"/>
        </w:rPr>
        <w:t>», 1-й Арматурный завод, Завод «Манометр» НКТП, НКМС, НКОМ, НКМВ, Московский манометровый завод «Манометр» ММиП, МПиСА, Московский приборостроительный завод «Манометр» МПиСА, Московское ПО «Манометр» МПиСА, ЗАО «Манометр» /г. Москва ул. Нижние Сыромятники, 2 «Давление» (1948г.)/ /107120 (105120) г. Москва ул. Н. Сыромятническая, 5/7 тел. 916-15-20/).</w:t>
      </w:r>
    </w:p>
    <w:p w14:paraId="2975C8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площадке эвакуированного завода в Москве в конце 1941г. был вновь организован завод «Манометр». В 06.1942г. завод - в ведении Главприбора НКМВ. В соответствии с пост. СНК № 837-430сс от 3.06.1942г. и приказом НКМВ № 250с от 7.07.1942г. Завод «Манометр» НКМВ переименован в завод № 836 в ведении 5ГУ.</w:t>
      </w:r>
      <w:r w:rsidRPr="00640820">
        <w:rPr>
          <w:rFonts w:ascii="Times New Roman" w:hAnsi="Times New Roman"/>
          <w:color w:val="000000" w:themeColor="text1"/>
          <w:sz w:val="16"/>
          <w:szCs w:val="16"/>
          <w:vertAlign w:val="superscript"/>
        </w:rPr>
        <w:t>129</w:t>
      </w:r>
    </w:p>
    <w:p w14:paraId="269ECA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1946г. завод был вновь переименован в «Манометр» в ведении Главприбора ММиП (1946-53; 1954-56г.), МПиСА (1956-57г.), Управления радиотехнической промышленности МосгорСНХ (1957-61г.), Управления приборостроения МосгорСНХ (1961-65г.), Главпромприбора МПиСА (1965-66г.), Главаналитприбора МПиСА (1966-68г.). В 1968г. переименован в Московский приборостроительный завод «Манометр» Главаналитприбора МПиСА (1968-70г.), Союзаналитприбора МПиСА (1971-77г.). В 1977г. на базе завода создано МПО «Манометр» в ведении Союзаналитприбора МПиСА.</w:t>
      </w:r>
    </w:p>
    <w:p w14:paraId="34B9BD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предприятия (1947г.) цехи: 8 основных: № 1 приборный, № 3 лубрикаторов, № 4 манометров механический, № 5 манометров сборочный, № 6 экспериментальный, № 7 инструментальный, № 8 кузнечно- штамповочный, № 10 литейный; вспомогательные: № 9 ремонтно-механический, № 11 гальванический, № 12 электродах, № 13 ремонтно-строительный, № 14 транспортный, № 15 паросиловой. В 1948г. проведена реконструкция завода. В начале 1980-х г. вновь проведена модернизация производства, введено в строй 9 механизированных поточных и автоматических линий.</w:t>
      </w:r>
    </w:p>
    <w:p w14:paraId="54AD3E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в КБ завода разработано и освоено в производстве более 30 типов и 100 мо.</w:t>
      </w:r>
    </w:p>
    <w:p w14:paraId="155212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(2000-е): разработка и производство приборов для контроля параметров процессов.</w:t>
      </w:r>
    </w:p>
    <w:p w14:paraId="08A482D9" w14:textId="77777777" w:rsidR="00165A9C" w:rsidRPr="00640820" w:rsidRDefault="00165A9C" w:rsidP="00640820">
      <w:pPr>
        <w:tabs>
          <w:tab w:val="left" w:pos="967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(1939г.)- 614 ед., (1946г.)- 490 ед., (1947г.)- 543 ед.</w:t>
      </w:r>
      <w:r w:rsidRPr="00640820">
        <w:rPr>
          <w:rFonts w:ascii="Times New Roman" w:hAnsi="Times New Roman"/>
          <w:color w:val="000000" w:themeColor="text1"/>
          <w:sz w:val="16"/>
          <w:szCs w:val="16"/>
        </w:rPr>
        <w:tab/>
        <w:t>,</w:t>
      </w:r>
    </w:p>
    <w:p w14:paraId="2A3C71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территории (1947г.)- 1,384 га; застройки (1947г.)- 7970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производственная (1939г.)- (1946-47г.)- 11015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6BCEF4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(1895г.)- более 500 чел., (1939г.)- 2675 чел., (1946г.)- 1114 чел., (1947г.)- 1126чеж, (1980-е)- около 2500 чел.</w:t>
      </w:r>
    </w:p>
    <w:p w14:paraId="7D7F6B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(06-07.1942г.)- Долженко, (1948г.)- Горин. Гендиректор (2000г.)- Ю.Ф. Мягков.</w:t>
      </w:r>
    </w:p>
    <w:p w14:paraId="1C4D7C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(1948г.)- Укладов.</w:t>
      </w:r>
    </w:p>
    <w:p w14:paraId="63A48B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 манометры:</w:t>
      </w:r>
      <w:r w:rsidRPr="00640820">
        <w:rPr>
          <w:rFonts w:ascii="Times New Roman" w:hAnsi="Times New Roman"/>
          <w:color w:val="000000" w:themeColor="text1"/>
          <w:sz w:val="16"/>
          <w:szCs w:val="16"/>
        </w:rPr>
        <w:t xml:space="preserve"> воздушные (1936), 60-02 (1947), типа Вьет (1936), для кислородных приборов (1936), 60-00 (1947), технический 150-00 (1947), МКШ (2000-); перепускные краны (1936); взрыватель КВ-4 (1942); преобразователи давления: «Сапфир-22» (1984-), ИПД, ИПДЦ (1980-е), «Сапфир-22МП» (2000-); лубрикаторы; прессы: Бринеля ПБМ, Роквелла РВ (1947) (11982).</w:t>
      </w:r>
      <w:r w:rsidRPr="00640820">
        <w:rPr>
          <w:rFonts w:ascii="Times New Roman" w:hAnsi="Times New Roman"/>
          <w:color w:val="000000" w:themeColor="text1"/>
          <w:sz w:val="16"/>
          <w:szCs w:val="16"/>
          <w:vertAlign w:val="superscript"/>
        </w:rPr>
        <w:t>129</w:t>
      </w:r>
    </w:p>
    <w:p w14:paraId="3A8794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E4D29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в Пензу было эвакуировано много предприятий наркомата минометного вооружения: завод счетно-аналитических машин (Москва), завод "Вперед" (Ленинград), завод им. Ленина (Воронеж), завод текстильного машиностроения (Харьков), наркоматавиационной промышленности, завод № 450 (Воронеж); наркомата общего машиностроения - завод им. Ленина (Воронеж); наркомата боеприпасов - центрально-конструкторское бюро № 22 (Ленинград). В годы войны Пенза превратилась в крупнейший в СССР центр по производству боеприпасов. Заводы №№ 50, 163, 740, 744, 807 и др. выпускали взрыватели для артиллерии и минометов, капсулы и детонаторы, запалы и трубки для минометов, минометы, авиабомбы, приборы управления зенитным огнем, отдельные детали для военного самолетостроения. Каждый 10-й снаряд и мина, выпущенные в годы войны по врагу, имели пензенское происхождение. Завод № 740 специализировался на выпуске сухопутных и морских пусковых установок для "Катюш" (9690).</w:t>
      </w:r>
    </w:p>
    <w:p w14:paraId="714ECB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1F5774D" w14:textId="77777777" w:rsidR="006B6A93" w:rsidRPr="00640820" w:rsidRDefault="006B6A9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Осенью 1941  г. ЛенЗОС и ИЗОС были эвакуированы в поселок Николо-Пестровка Пензенской области на хрустальный завод «Красный гигант», также производство оптического стекла было организовано в поселке Сарс Пермской области (завод №  542) и Ленинск-Кузнецке Кемеровской области (завод № 588).</w:t>
      </w:r>
    </w:p>
    <w:p w14:paraId="20EEBE35" w14:textId="77777777" w:rsidR="006B6A93" w:rsidRPr="00640820" w:rsidRDefault="006B6A9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xml:space="preserve">Ввиду увеличения потребности в оптическом стекле при одновременном уменьшении производственных мощностей для его производства принимается решение об ограничении, на военное время, сортамента производившихся марок стекла и о понижении требований к его качеству. Были внесены изменения в технологию изготовления стекловарных горшков и саму технологию варки стекла. </w:t>
      </w:r>
    </w:p>
    <w:p w14:paraId="0203CD0D" w14:textId="77777777" w:rsidR="006B6A93" w:rsidRPr="00640820" w:rsidRDefault="006B6A9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lastRenderedPageBreak/>
        <w:t>Ранее варка оптического стекла производилась в горшках вместимостью 170-500 литров, изготовленных из смеси высокосортной глины с малым содержанием окислов железа (до 1–2 %) и шамота, затворенных 20% воды, при этом сушка, перед обжигом, длилась 1,5–2 месяца. В сложившихся условиях решено было использовать разработанную перед войной на ИЗОСе технологию трамбования горшков из полусухих масс, позволяющую сократить время сушки до 15 суток, при некотором уменьшении прочности изделия.</w:t>
      </w:r>
    </w:p>
    <w:p w14:paraId="66DE1E5F" w14:textId="77777777" w:rsidR="006B6A93" w:rsidRPr="00640820" w:rsidRDefault="006B6A9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По классической технологии производства, после завершения отжига горшок со слитком стекла разбивают и из получившихся кусков выбирают беспузырные, бессвильные, не содержащие посторонних включений. Поле этого бесформенные куски моллируются, стекло нагревается до температуры размягчения и прессуется в специальных формах. Полученные куски шлифуются и полируются с двух сторон, после чего они повторно бракуются. Только потом стекло размечается, разрезается и после нагревания прессуется в заготовки необходимой формы. В связи с необходимостью покрыть возросшие потребности в оптическом стекле была внедрена технология, при которой стекломасса из горшка напрямую заливалась в формы для заготовок оптических деталей, после чего они отжигались и браковались. Оптические детали, изготовленные со сваренного по упрощенной технологии стекла, зачастую содержат пузырьки и свили, что считалось приемлемым в сложившейся обстановке (22791).</w:t>
      </w:r>
    </w:p>
    <w:p w14:paraId="72401A9F" w14:textId="77777777" w:rsidR="006B6A93" w:rsidRPr="00640820" w:rsidRDefault="006B6A93" w:rsidP="00640820">
      <w:pPr>
        <w:spacing w:after="0" w:line="240" w:lineRule="auto"/>
        <w:jc w:val="both"/>
        <w:rPr>
          <w:rFonts w:ascii="Times New Roman" w:hAnsi="Times New Roman"/>
          <w:color w:val="0070C0"/>
          <w:sz w:val="16"/>
          <w:szCs w:val="16"/>
        </w:rPr>
      </w:pPr>
    </w:p>
    <w:p w14:paraId="76F436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 в Томск эвакуирована из Москвы часть завода № 266 НКАП, и, вероятно, образован филиал завода. С 01.1942 г. филиал завода № 266 НКАП был передан в систему НКЭП, и по приказу НКЭП № 7 от 10.03.1942 г. преобразован в самостоятельный завод № 690 НКЭП (Завод № 690 НКЭП, п/я 16, Томский завод радиомашин, Томский электротехнический завод, ФГУП «Томский электротехнический завод» /634041  г. Томск пр. Кирова, 51А/). Далее он переименован в Томский завод радиомашин, имел наименование «п/я 16». Затем переименован в Томский электротехнический завод.</w:t>
      </w:r>
    </w:p>
    <w:p w14:paraId="11D4D5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Гендиректор (2005 г.)- М.А. Родин (11982).</w:t>
      </w:r>
    </w:p>
    <w:p w14:paraId="2D0BED18" w14:textId="77777777" w:rsidR="00507039" w:rsidRPr="00640820" w:rsidRDefault="00507039" w:rsidP="00640820">
      <w:pPr>
        <w:autoSpaceDE w:val="0"/>
        <w:autoSpaceDN w:val="0"/>
        <w:adjustRightInd w:val="0"/>
        <w:spacing w:after="0" w:line="240" w:lineRule="auto"/>
        <w:jc w:val="both"/>
        <w:rPr>
          <w:rFonts w:ascii="Times New Roman" w:hAnsi="Times New Roman"/>
          <w:color w:val="000000" w:themeColor="text1"/>
          <w:sz w:val="16"/>
          <w:szCs w:val="16"/>
        </w:rPr>
      </w:pPr>
    </w:p>
    <w:p w14:paraId="3D9384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осени 1941 по весну 1942 на на новороссийском заводе "Коммунар" по разработкам Гипроцемента изготавливали шиферные мины. Свежую асбоцементную массу - так называемый этернит - помещали в деревянные формы. И из сырых плит-заготовок как бы складывали по шаблонам коробки разного объема. Края, выступающие за границы форм, смачивали и обрезали. Будущие корпуса мин ставили в специальные камеры для сушки. Готовые коробки вкладывались друг в друга. "Коммунарские" изделия использовались против танков. Но начинялись взрывчаткой они явно не на заводе. Летом, когда фронт приблизился к Новороссийску, "минное" оборудование подготовили к эвакуации. Но вывезти не смогли - его разбомбили на железнодорожной станции... (9701).</w:t>
      </w:r>
    </w:p>
    <w:p w14:paraId="5F46EB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EB893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kern w:val="65535"/>
          <w:sz w:val="16"/>
          <w:szCs w:val="16"/>
        </w:rPr>
      </w:pPr>
      <w:r w:rsidRPr="00640820">
        <w:rPr>
          <w:rFonts w:ascii="Times New Roman" w:hAnsi="Times New Roman"/>
          <w:color w:val="000000" w:themeColor="text1"/>
          <w:kern w:val="65535"/>
          <w:sz w:val="16"/>
          <w:szCs w:val="16"/>
        </w:rPr>
        <w:t>Осенью 1941 г. на бакинском заводе им. И.В. Сталина была пущена в эксплуатацию первая этилирующая установка для получения высокооктанового бензина по методу компаундирования так называемого товарного бензина с высокооктановыми компонентами, в первую очередь с этиловой жидкостью. Однако снижение объемов поступления сырой нефти на переработку и дефицит этилирующей жидкости поставили перед инженерно-техническим составом завода новую сложную задачу. В итоге выпуск высокооктановых бензинов увеличился за счет перевода части установок атмосферной перегонки нефти на вторичную перегонку бензина широкой фракции, которая предварительно подвергалась плюмбитно-кислотно-щелочной очистке. Кроме того, ряд установок термического крекинга был переведен на процесс риформинга низкооктановых топлив (11523).</w:t>
      </w:r>
    </w:p>
    <w:p w14:paraId="4A0949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kern w:val="65535"/>
          <w:sz w:val="16"/>
          <w:szCs w:val="16"/>
        </w:rPr>
      </w:pPr>
    </w:p>
    <w:p w14:paraId="615E2C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 на площадку завода № 316 НКБ эвакуированы заводы НКБ из Москвы: № 67 (производство ФАБ, ХАБ, всего 278 ед. оборудования, 278 чел.), к 30.12.1941 г. прибыла половина оборудования; завод № 561 (производство ФАБ-50, -100, МДШ, ДШ-100, МЯДШ, всего 240 ед. оборудования), к 30.12.1941 г. прибыло 220 ед. оборудования. К этому времени завод № 316 решением правительства передан в ведение НКСМ. В соответствии с пост. ГКО № 983 от 30.11.1941 г. на заводе организовано автомоторное и литейное производство на эвакуированном из Москвы оборудовании Завода им. Сталина. В соответствии с пост. ГКО № 1219 от 28.01.1942 г. оборудование завода № 67 было демонтировано и возвращено обратно; в соответствии с пост. ГКО № 1345 от 24.02.1942 г. возвращены кадры и оборудование по МДШ, ДШ-100 и МЯДШ завода № 561.</w:t>
      </w:r>
      <w:r w:rsidRPr="00640820">
        <w:rPr>
          <w:rFonts w:ascii="Times New Roman" w:hAnsi="Times New Roman"/>
          <w:color w:val="000000" w:themeColor="text1"/>
          <w:sz w:val="16"/>
          <w:szCs w:val="16"/>
          <w:vertAlign w:val="superscript"/>
        </w:rPr>
        <w:t>ш</w:t>
      </w:r>
    </w:p>
    <w:p w14:paraId="74E3D2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Разработан двигатель ЗиС-16 на базе серийного ЗиС-5 и запущен в серию. В 03.1942 г. был пущен первый цех завода, в 04.1942 г. собраны первые двигатели и коробки передач. В соответствии с пост. ГКО № 3619 от 21.06.1943 г. на строительство Миасского автозавода НКСМ мобилизовано 1000 военнообязаных. 11.08.1943 г. вышло постановление ГКО № 3908 об обеспечении строительства завода. Пост. ГКО № 5180 от 14.02.1944 г. завод преобразован в автомобильный. В соответствии с распоряжением ГКО № 5362 от 11.03.1944 г. часть оборудования, материалов, а также 2000 рабочих и ИТР переведено с Ульяновского автозавода на Миасский автозавод. 12.12.1944 г. вышло постановление ГКО № 7122 о увеличении производственных мощностей завода.</w:t>
      </w:r>
    </w:p>
    <w:p w14:paraId="630E0A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8.07.1944 г. собран первый автомобиль «ЗиС-5В». После войны начат выпуск автомобилей собственной разработки «Урал-ЗиС-353М», разработана модель с газогенераторным двигателем «ЗиС-21А».</w:t>
      </w:r>
    </w:p>
    <w:p w14:paraId="2CAB3B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заводе имелся экспериментальный цех.</w:t>
      </w:r>
    </w:p>
    <w:p w14:paraId="401A1E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1962 г. Уральский автомобильный завод им. Сталина («УралЗиС») переименован в Уральский автомобильный завод («УралАЗ»). В 1976 г. на базе УралАЗа создано Уральское объединение по производству грузовых автомобилей, в состав которого также вошли Челябинский кузнечно-прессовый завод, ЧМЗАП и Посевнинский завод запчастей. Возможно, УралАЗ имел наименование «п/я М-5782».</w:t>
      </w:r>
    </w:p>
    <w:p w14:paraId="4522E7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 447-181 от 23.05.1964 г. «Урал-375» пнв.</w:t>
      </w:r>
    </w:p>
    <w:p w14:paraId="67138B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21.02.1986 г. заводом выпущен миллионный автомобиль.</w:t>
      </w:r>
    </w:p>
    <w:p w14:paraId="73EA9C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концу 1999 г. введен в строй новый цех кузовов-фургонов, в 04.2000 г. в нем введена в строй газоплазморезательная установка.</w:t>
      </w:r>
    </w:p>
    <w:p w14:paraId="0A78DE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1998 г. на заводе введена процедура внешнего управления. В 06.2000 г. в процессе реструктуризации производственного комплекса УралАЗ создано ДП ОАО «Автомобильный завод «Урал». Входит в холдинг «Руспромавто» (2003 г.).</w:t>
      </w:r>
    </w:p>
    <w:p w14:paraId="59F7D9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Гендиректор (2002-09.2003 г.)- В. Новик, (09.2003-07 г.-)- В.Х. Корман.</w:t>
      </w:r>
    </w:p>
    <w:p w14:paraId="145CE8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гендиректора (2006 г.)- В. Фишер.</w:t>
      </w:r>
    </w:p>
    <w:p w14:paraId="4B445F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завода (04.2004 г.-)- И. Смирнов (до того- зам. гл. конструктора «КамАЗа»)</w:t>
      </w:r>
    </w:p>
    <w:p w14:paraId="1901C8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центра ИТ (2007 г.)- Ю.Б. Нам.</w:t>
      </w:r>
    </w:p>
    <w:p w14:paraId="7463B5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 грузовые автомобили:</w:t>
      </w:r>
      <w:r w:rsidRPr="00640820">
        <w:rPr>
          <w:rFonts w:ascii="Times New Roman" w:hAnsi="Times New Roman"/>
          <w:color w:val="000000" w:themeColor="text1"/>
          <w:sz w:val="16"/>
          <w:szCs w:val="16"/>
        </w:rPr>
        <w:t xml:space="preserve"> ЗиС-5В (1944-), ЗиС-5М, ЗиС-21, «УралЗиС-353М, -355М», «Урал- 355М» (1958-), армейский «Урал-375» (1961-), «Урал-4320» для РСЗО «Прима» и «Дамба» (1977-80-е), «Урал- 43201» для Крайнего Севера (1979-), седельный тягач «Урал-43202», снегоболотоход «Урал-5920» (1981-), лесовоз «Урал-6002» (1978), «Урал-5557» (1983-), «Урал-5323» для ЗРК «Тор-МНА», «Панцирь-С1» (1989-), «Урал-53236» (1999-), вахтовый автобус «Урал-3255» (1999-), автопоезд «Урал-44202-31» (2001-) (11982).</w:t>
      </w:r>
    </w:p>
    <w:p w14:paraId="3030D4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C42C9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 оборудование и кадры завода (Завод № 376 НКХП, Красноперекопский бромный завод, Ордена Трудового Красного Знамени ОАО «Алтайхимпром им.  Г.С. Верещагина» /пос. Красноперекопск Крымской обл.; пос. Яровое Алтайского кр./ /658837  г. Яровое Алтайского кр. Предзаводская пл., 2/) эвакуированы: часть- на Уральский химический завод № 749; другая часть- в Алтайский кр., где завод продолжил действовать под своим номером. 5.08.1943 г. вышло постановление ГКО № 3885 о мерах по завершению строительства завода № 376 НКХП.</w:t>
      </w:r>
    </w:p>
    <w:p w14:paraId="092A3C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1980-е  г. построен комплекс специальных цехов для производства химического оружия 3-го поколения (производство «гамма»).</w:t>
      </w:r>
      <w:r w:rsidRPr="00640820">
        <w:rPr>
          <w:rFonts w:ascii="Times New Roman" w:hAnsi="Times New Roman"/>
          <w:color w:val="000000" w:themeColor="text1"/>
          <w:sz w:val="16"/>
          <w:szCs w:val="16"/>
          <w:vertAlign w:val="superscript"/>
        </w:rPr>
        <w:t>71</w:t>
      </w:r>
    </w:p>
    <w:p w14:paraId="346746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790345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(1941 г.-)-  Г.С. Верещагин (11982).</w:t>
      </w:r>
    </w:p>
    <w:p w14:paraId="0D8D8E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AAEDF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 на площадку строящегося завода (Завод № 418 НК нефти, Сызранский НПЗ Миннефтехимнрома, ОАО «Сызранский НПЗ» / 446009  г. Сызрань Самарской обл. ул. Астраханская, 1/ /Московское представительство:  г. Москва ул. Казакова, 8А, стр. 2/) были эвакуированы оборудование и кадры Херсонского, Одесского и Туапсинского НПЗ.</w:t>
      </w:r>
    </w:p>
    <w:p w14:paraId="71BB27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Летом 1942 г. была пущена первая технологическая установка ТК-1, изготовлен первый бензин. 6.08.1942 г. вышло постановление ГКО № 2154 об ускорении строительства завода и ввода его в строй. В 1943 г. введена в строй вторая установка. В 1946 г. построена первая американская установка для обессоливания и обезвоживания нефти. Затем пущены установки термического крекинга, каталитического риформирования, установки по производству битумов. В 1963 г. введен в строй цех по производству сажи, в 1965 г. он выделен в самостоятельный завод технического углерода. В 1976 г. утвержден новый проект реконструкции завода.</w:t>
      </w:r>
    </w:p>
    <w:p w14:paraId="33D825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1993 г. завод был акционирован и преобразован в ОАО. В 1995 г. ОАО «Сызранский НПЗ» вошло в состав НК «ЮКОС».</w:t>
      </w:r>
    </w:p>
    <w:p w14:paraId="06229E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(1941 г.-)- К.И. Леонов. Гендиректор (2007 г.)- Н.М. Лядин (11982).</w:t>
      </w:r>
    </w:p>
    <w:p w14:paraId="79180A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A5EC11B"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1022E115"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521A5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Всю осень 1941 г. ДБ-3 и ДБ-ЗФ активно применялись на фронте, но во все уменьшающемся количестве. Прибытие подкреплений из тыловых округов и поставка самолетов промышленностью не возмещали потерь. Тем не менее, общий парк бомбардировщиков Ильюшина оставался внушительным (12021).</w:t>
      </w:r>
    </w:p>
    <w:p w14:paraId="16E6E0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2339E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Осенью 1941 г., когда основная масса СБ была потеряна в летних боях, в истории скоростного бомбардировщика открылась новая страница боевого применения. Постановлением Государственного Комитета Обороны № ГКО-858сс от 1 ноября 1941 г. командование ВВС КА обязали провести формирование и подготовку 100 авиационных полков для ведения боевых действий в сложных метеоусловиях и ночью. Среди прочих самолетов (У-2, Р-5, Р-ЗЕТ, И-15, И-16) значились 100 СБ, из которых требовалось сформировать 5 полков (12027).</w:t>
      </w:r>
    </w:p>
    <w:p w14:paraId="01415C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3963A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 "пешками" оснастили 2-й и частично 1-й апр (авиационный полк разведчиков) Главного Командования КА, а также семь отдельных разведывательных эскадрилий. В 1942 г. каждая воздушная армия получила по разведэскадрилье; большинство из них в конце года развернули в отдельные разведывательные авиаполки (орап). Ставка ВГК, начиная с апреля 1942 г., обеспечивалась разведывательной информацией, поступавшей от трех специализированных полков (иногда их называли "дивизией разведчиков ВГК", хотя все они оставались отдельными). В конце 1944 г. таких полков стало четыре. В разное время "пешки" составляли от 50 до 90% самолетного парка "орапов" и являли собой фактически становой хребет разведывательной авиации в той же мере, в какой бомбардировщики Пе-2 были основой фронтовой бомбардировочной авиации.</w:t>
      </w:r>
    </w:p>
    <w:p w14:paraId="7552E5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Среди летавших на этих машинах можно назвать гвардейские части: 47-й, 48-й, 98-й апр ГК и 99-й орап, почти все остальные стали либо краснознаменными, либо получили почетные наименования. Широкую известность и уважение заслужили в годы войны авиаторы 118-го и 15-го гвардейского полков авиации ВМФ. Роль разведывательных авиационных частей в проведении различных операций Красной Армии очень велика. Например, перед началом контрнаступления под Сталинградом авиационная фоторазведка сумела подготовить и размножить подробнейшую фотосхему расположения войск противника, на которой были нанесены несколько тысяч объектов - пулеметных точек, дотов и дзотов, минометных и артиллерийских позиций, танков в окопах и пр. Только один экипаж майора П. Гаврилова из 99-го гв. орап за 10 дней до начала Курской битвы за 20 вылетов отснял площадь в 625 км кв.</w:t>
      </w:r>
    </w:p>
    <w:p w14:paraId="08320C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целом Пе-2 как разведчик продемонстрировал высокую эффективность и живучесть. Например, в 3-й воздушной армии в 1943 г. один разведчик теряли на 82,5 само- лета-вылета, что является достаточно неплохим показателем. Причем их основным противником были немецкие истребители, поскольку огонь зенитной артиллерии почти не представлял опасности для одиночного самолета, свободного в маневре. Разведчики, как правило, старались уклониться от боя с истребителями противника. В большинстве случаев, применяя оружие и маневр, Пе-2 уходил от перехвата одиночным "мессершмиттом" или "фокке-вульфом".</w:t>
      </w:r>
    </w:p>
    <w:p w14:paraId="032725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строевых частей поступали предложения, направленные на повышение живучести и обороноспособности, особенно важных для действующего в одиночку разведывательного самолета, такие, как усовершенствование системы нейтрального газа, установка прозрачной брони в стрелковой точке штурмана, замена левого ШКАСа на второй УБК и т.д. Пе-2 поздних серий в варианте разведчика имел слишком малую площадь остекления носовой части фюзеляжа. В донесениях из полков отмечались также чисто производственные дефекты фотоаппаратуры, подгонки отдельных частей и т.п. Так, в уже упоминавшейся 3-й воздушной армии в качестве недостатка отмечали, что АФА-1 выступают за створки бомбоотсека, создавая дополнительное сопротивление. На пыльных аэродромах объективы АФА при взлете нередко забрызгивались грязью, а специальных щитков на фотолюках конструкторы не предусмотрели. Тем не менее никаких кардинальных изменений в разведывательном варианте Пе-2 не внедрили, ограничившись внесением тех же усовершенствований, что и на шедших параллельно по конвейеру бомбардировщиках. Немногочисленные серийные самолеты Пе-2 с моторами М-82Ф были переданы преимущественно в разведывательные полки (12042).</w:t>
      </w:r>
    </w:p>
    <w:p w14:paraId="0FDD83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01989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 с И-16 на ЛаГГ-3 был перевооружен 69-й ИАП, в котором служил один из самых результативных летчиков-истребителей Великой Отечественной войны - А.В.Алелюхин (40 побед, одержанных лично и 17 -в группе) (4707).</w:t>
      </w:r>
    </w:p>
    <w:p w14:paraId="2EACF7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CADE8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когда враг подступал к Москве, МАГОН привлекли на ПС-43 к разведке вражеских войск под Малоярославцем, Можайском, Волоколамском и Калугой, причем "Валти" действовали в этой роли довольно успешно (11470).</w:t>
      </w:r>
    </w:p>
    <w:p w14:paraId="76BF28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E71BD0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 И-15бис из состава 62-й авиабригады ВВС Черноморского флота активно участвовали в отражении наступ</w:t>
      </w:r>
      <w:r w:rsidRPr="00640820">
        <w:rPr>
          <w:rFonts w:ascii="Times New Roman" w:hAnsi="Times New Roman"/>
          <w:color w:val="000000" w:themeColor="text1"/>
          <w:sz w:val="16"/>
          <w:szCs w:val="16"/>
        </w:rPr>
        <w:softHyphen/>
        <w:t>ления немецкой 11-й армии на севере Крымского полуострова. Созданная в сен</w:t>
      </w:r>
      <w:r w:rsidRPr="00640820">
        <w:rPr>
          <w:rFonts w:ascii="Times New Roman" w:hAnsi="Times New Roman"/>
          <w:color w:val="000000" w:themeColor="text1"/>
          <w:sz w:val="16"/>
          <w:szCs w:val="16"/>
        </w:rPr>
        <w:softHyphen/>
        <w:t>тябре 1941 г. специальная авиагруппа на аэродроме в Фрайдорфе (отсюда название группы - «Фрайдорфская») имела до 10 - 15 «бисов», которые использовались как штурмовики. Особенно успешными ока</w:t>
      </w:r>
      <w:r w:rsidRPr="00640820">
        <w:rPr>
          <w:rFonts w:ascii="Times New Roman" w:hAnsi="Times New Roman"/>
          <w:color w:val="000000" w:themeColor="text1"/>
          <w:sz w:val="16"/>
          <w:szCs w:val="16"/>
        </w:rPr>
        <w:softHyphen/>
        <w:t>зались удары по немецким колоннам 16 и 17 сентября, в них были задействованы 12 И-15бис и четыре И-16.62-я авиабригада продолжала применять И-15бис и в 1942 г. По состоянию на 22 ию</w:t>
      </w:r>
      <w:r w:rsidRPr="00640820">
        <w:rPr>
          <w:rFonts w:ascii="Times New Roman" w:hAnsi="Times New Roman"/>
          <w:color w:val="000000" w:themeColor="text1"/>
          <w:sz w:val="16"/>
          <w:szCs w:val="16"/>
        </w:rPr>
        <w:softHyphen/>
        <w:t>ля 1942 г. в составе 62-й авиабригады насчитывалось 15 И-15бис (из них четыре находились в ремонте) (12294).</w:t>
      </w:r>
    </w:p>
    <w:p w14:paraId="0C6E1BF3"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773301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осени 1941 года ГСТ постепенно перешли на ночные бомбардировки и транспортные полеты. ГСТ никогда не составляли значительной доли в парке гидроавиации: на Черном море их было около 6%, на Севере - около 12%. Уже в конце 1940 их стало еще меньше, поскольку МБР-2 и Че-2 продолжали поступать, а ГСТ - нет. Особенно опасны для тихоходных и сравнительно слабо вооруженных летающих лодок были истребители противника. Однако, ночные полеты решали эту проблему. На Севере лодки несколько раз по ночам бомбили поселок Западная Лица. На одном из ГСТ там летал известный полярный пилот Б.Г.Чухновский (3457,49).</w:t>
      </w:r>
    </w:p>
    <w:p w14:paraId="7AD375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D5754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 И-15бис из состава 62-й авиабригады ВВС ЧФ активно участвовали в отражении наступления немецкой 11-й армии на севере Крымского полуострова. Созданная в сентябре 1941 г. специальная авиагруппа на аэродроме в Фрайдорфе (отсюда название авиагруппы - "Фрайдорфская") имела до 10-15 "бисов", которые использовались как штурмовики. Особенно успешными были удары по немецким колоннам 16 и 17 сентября, в них участвовали 12 И-15бис и 4 И-16. 62-я авиабригада продолжала использовать И-15бис и в 1942 г. Посостоянию на 22 июля 1942 г. в составе 62-й авиабригады ВВС ЧФ насчитывалось 15 И-15бис (из них 4 находились в ремонте) (12014).</w:t>
      </w:r>
    </w:p>
    <w:p w14:paraId="3A63EB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65D40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 базу для гидросамолетов Черноморского флота организовали в бухте Геленджика. Здесь в течение месяца оборудовали гидроаэродром, спуски на воду и укрытия. В конце октября 1941 г. в Геленджик перебазировалась 82-я эскадрилья на самолетах МБР-2 под командованием капитана Чебаника , позднее - 116-й полк МБР-2 подполковника В.П.Конорева.</w:t>
      </w:r>
    </w:p>
    <w:p w14:paraId="629284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сухопутном аэродроме, устроенном на виноградном поле, базировались истребители и штурмовики: 18-й шап, 62-й иап, 6-й гиап, 25-й иап. До конца 1942 г. в Геленджике базировалась небольшая группа ночных бомбардировщиков УТ-1 (до 5 экземпляров) из состава 46-го авиаполка. Уже в начале 1943 г. оставшиеся УТ-1 перегнали в Сухуми и сдали на хранение. Летчики, летавшие на них, вошли в состав 11-го гвардейского иап, в котором переучились на "Аэрокобры".</w:t>
      </w:r>
    </w:p>
    <w:p w14:paraId="29F889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Сюда же, в Геленджик, перевели тяжелый МТБ-2, для которого с помощью местных жителей построили индивидуальный капонир. Из него самолет выводили сразу на старт. Полеты обычно не отличались большой дальностью и продолжительностью, целями при бомбардировках были Ялта, Гурзуф, Алушта. Уже при совершении боевых вылетов из Геленджика МТБ-2 был сильно поврежден зенитным огнем и совершил посадку в море в районе фальшивого Геленджика (фальшивый Геленджик - это место с ложными аэродромами в 9 км от Геленджика. Теперь - Дивноморск). Аварийный самолет катером отбуксировали в бухту. После того как водолазы смонтировали выкатное шасси, МТБ-2 начали поднимать по спуску на берег. Так как внутрь лодки попало много воды, то имелись опасения, что корпус может разорвать, поэтому подъем длился несколько часов (11962).</w:t>
      </w:r>
    </w:p>
    <w:p w14:paraId="3EC9B8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BA6F6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битве за Москву в массовых количествах использовали танки Т-60. Они имелись почти во всех танковых бригадах и многих отдельных танковых батальонах. В битве под Москвой приняли участие Т-34-57. В частности, в составе 21-й танковой бригады, сформированной во Владимире, было 10 машин указанного типа (3862).</w:t>
      </w:r>
    </w:p>
    <w:p w14:paraId="2F49CC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D3C2C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обороне Москвы участвовали и "танки-истребители" - Т-34 с 57-мм пушкой. Около 10 таких машин имелось в составе 21-й танковой бригады, сражавшейся на Клинском направлении. Только за два дня, 15 и 16 ноября, 21 тбр, действуя из засад, подбила 18 вражеских танков (3862).</w:t>
      </w:r>
    </w:p>
    <w:p w14:paraId="488160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целом же в танковых частях РККА, оборонявших Москву, количество танков Т-34 было невелико. Преобладали легкие боевые машины как старых марок, так и новые Т-60. Скажем, в начале октября 1941 года Западный фронт располагал 483 танками, из которых только 45 были Т-34 и КВ. К концу года число Т-34 в войсках несколько возросло, но не превышало 25 - 30% от общего количества боевых машин (3862).</w:t>
      </w:r>
    </w:p>
    <w:p w14:paraId="264E1E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боях под Москвой в составе танкового полка ВАММ принимали участие два Т-35, правда, подробностей об этом боевом эпизоде пока обнаружить не удалось. До наших дней сохранился единственный экземпляр тяжелого танка Т-35. Он экспонируется в Музее бронетанкового вооружения и техники в Кубинке (3862).</w:t>
      </w:r>
    </w:p>
    <w:p w14:paraId="1DF7B7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Московской оборонительной операции (30.09.- 5.12.41 г.) наши потери достигли 2785 танков. (3862).</w:t>
      </w:r>
    </w:p>
    <w:p w14:paraId="433683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D516A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битве за Москву принимали участие бригады разной организации. Так, 8-я танковая бригада, например, имела полковую структуру, На ее вооружении состояло 22 Т-34, 7 KB и 32 легких танка. 4-ю танковую бригаду (с 11 ноября 1941 года - 1-я гвардейская) сформировали в сентябре 1941 года в Сталинграде уже по батальонной схеме организации, включив в ее состав 49 машин (из них 16 - Т-34 производства СТЗ). Это соединение под командованием М.Е.Катукова успешно действовало под Орлом и Мценском, сражаясь против 2-й немецкой танковой группы генерала Г.Гудериана, а затем, совершив 360-км марш своим ходом, вступило в бой на Волоколамском направлении. Говоря о 1-й гвардейской бригаде, нельзя не упомянуть старшего лейтенанта Дмитрия Федоровича Лавриненко. Он участвовал в 28 боях. Три танка Т-34, на которых он воевал, сгорели. В день своей гибели за деревушку Горюны (под Волоколамском), 17декабря 1941 года Лавриненко подбил 52-й </w:t>
      </w:r>
      <w:r w:rsidRPr="00640820">
        <w:rPr>
          <w:rFonts w:ascii="Times New Roman" w:hAnsi="Times New Roman"/>
          <w:color w:val="000000" w:themeColor="text1"/>
          <w:sz w:val="16"/>
          <w:szCs w:val="16"/>
        </w:rPr>
        <w:lastRenderedPageBreak/>
        <w:t>по счету танк противника и стал самым результативным советским танкистом периода Второй мировой войны. Удивительно и обидно, что Дмитрий Лавриненко так и не был награжден. Даже посмертно (3862).</w:t>
      </w:r>
    </w:p>
    <w:p w14:paraId="5762E4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7D232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Осенью 1941 года БА-27 использовались в составе танковых подразделений. Например, в 18-й танковой бригаде 5-й армии, прикрывавшей московское направление, к 10 октября 1941 года было два таких броневика. 21 ноября один БА-27 вместе с ремонтным взводом бригады прикрывал дорогу Тархово-Петровское. В бою с немецкими танками этот броневик «был подбит и сгорел вместе с экипажем». По состоянию на 30 марта 1942 года в танковых частях 5-й армии Западного фронта имелось 3 БА-27, правда, все они требовали капитального ремонта. Скорее всего, это были одни из последних БА-27М, находившихся в боевых частях. До сегодняшнего дня сохранился один экземпляр БА-27М, находящийся в экспозиции военно-исторического музея бронетанкового вооружения и техники в поселке Кубинка Московской области. Кроме того, в свое время БА-27 был увековечен кинематографистами. Речь идет о фильме «Чапаев», в котором БА-27 «сыграл» роль броневика периода гражданской войны.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715"/>
        <w:gridCol w:w="4800"/>
      </w:tblGrid>
      <w:tr w:rsidR="00643896" w:rsidRPr="00640820" w14:paraId="7D85C019" w14:textId="77777777" w:rsidTr="000D3BCB">
        <w:trPr>
          <w:jc w:val="center"/>
        </w:trPr>
        <w:tc>
          <w:tcPr>
            <w:tcW w:w="4715" w:type="dxa"/>
            <w:tcBorders>
              <w:top w:val="single" w:sz="12" w:space="0" w:color="auto"/>
            </w:tcBorders>
          </w:tcPr>
          <w:p w14:paraId="25EC7D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Масса</w:t>
            </w:r>
          </w:p>
        </w:tc>
        <w:tc>
          <w:tcPr>
            <w:tcW w:w="4800" w:type="dxa"/>
            <w:tcBorders>
              <w:top w:val="single" w:sz="12" w:space="0" w:color="auto"/>
            </w:tcBorders>
          </w:tcPr>
          <w:p w14:paraId="7C9BBB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4500 кг</w:t>
            </w:r>
          </w:p>
        </w:tc>
      </w:tr>
      <w:tr w:rsidR="00643896" w:rsidRPr="00640820" w14:paraId="64E3A3CF" w14:textId="77777777" w:rsidTr="000D3BCB">
        <w:trPr>
          <w:jc w:val="center"/>
        </w:trPr>
        <w:tc>
          <w:tcPr>
            <w:tcW w:w="4715" w:type="dxa"/>
          </w:tcPr>
          <w:p w14:paraId="0F277E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Экипаж</w:t>
            </w:r>
          </w:p>
        </w:tc>
        <w:tc>
          <w:tcPr>
            <w:tcW w:w="4800" w:type="dxa"/>
          </w:tcPr>
          <w:p w14:paraId="791CE7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человека</w:t>
            </w:r>
          </w:p>
        </w:tc>
      </w:tr>
      <w:tr w:rsidR="00643896" w:rsidRPr="00640820" w14:paraId="4FCDE43C" w14:textId="77777777" w:rsidTr="000D3BCB">
        <w:trPr>
          <w:jc w:val="center"/>
        </w:trPr>
        <w:tc>
          <w:tcPr>
            <w:tcW w:w="4715" w:type="dxa"/>
          </w:tcPr>
          <w:p w14:paraId="0C1026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Длина</w:t>
            </w:r>
          </w:p>
        </w:tc>
        <w:tc>
          <w:tcPr>
            <w:tcW w:w="4800" w:type="dxa"/>
          </w:tcPr>
          <w:p w14:paraId="62AE32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4830 мм</w:t>
            </w:r>
          </w:p>
        </w:tc>
      </w:tr>
      <w:tr w:rsidR="00643896" w:rsidRPr="00640820" w14:paraId="36B63F4E" w14:textId="77777777" w:rsidTr="000D3BCB">
        <w:trPr>
          <w:jc w:val="center"/>
        </w:trPr>
        <w:tc>
          <w:tcPr>
            <w:tcW w:w="4715" w:type="dxa"/>
          </w:tcPr>
          <w:p w14:paraId="28B9A7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Ширина</w:t>
            </w:r>
          </w:p>
        </w:tc>
        <w:tc>
          <w:tcPr>
            <w:tcW w:w="4800" w:type="dxa"/>
          </w:tcPr>
          <w:p w14:paraId="7550C5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1930 мм</w:t>
            </w:r>
          </w:p>
        </w:tc>
      </w:tr>
      <w:tr w:rsidR="00643896" w:rsidRPr="00640820" w14:paraId="2410F736" w14:textId="77777777" w:rsidTr="000D3BCB">
        <w:trPr>
          <w:jc w:val="center"/>
        </w:trPr>
        <w:tc>
          <w:tcPr>
            <w:tcW w:w="4715" w:type="dxa"/>
          </w:tcPr>
          <w:p w14:paraId="08A771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Высота</w:t>
            </w:r>
          </w:p>
        </w:tc>
        <w:tc>
          <w:tcPr>
            <w:tcW w:w="4800" w:type="dxa"/>
          </w:tcPr>
          <w:p w14:paraId="1ACC20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2540 мм</w:t>
            </w:r>
          </w:p>
        </w:tc>
      </w:tr>
      <w:tr w:rsidR="00643896" w:rsidRPr="00640820" w14:paraId="0FAFCDAE" w14:textId="77777777" w:rsidTr="000D3BCB">
        <w:trPr>
          <w:jc w:val="center"/>
        </w:trPr>
        <w:tc>
          <w:tcPr>
            <w:tcW w:w="4715" w:type="dxa"/>
          </w:tcPr>
          <w:p w14:paraId="39E892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Клиренс</w:t>
            </w:r>
          </w:p>
        </w:tc>
        <w:tc>
          <w:tcPr>
            <w:tcW w:w="4800" w:type="dxa"/>
          </w:tcPr>
          <w:p w14:paraId="2A4763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240 мм</w:t>
            </w:r>
          </w:p>
        </w:tc>
      </w:tr>
      <w:tr w:rsidR="00643896" w:rsidRPr="00640820" w14:paraId="2252D8CA" w14:textId="77777777" w:rsidTr="000D3BCB">
        <w:trPr>
          <w:jc w:val="center"/>
        </w:trPr>
        <w:tc>
          <w:tcPr>
            <w:tcW w:w="4715" w:type="dxa"/>
          </w:tcPr>
          <w:p w14:paraId="66724B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Давление на грунт</w:t>
            </w:r>
          </w:p>
        </w:tc>
        <w:tc>
          <w:tcPr>
            <w:tcW w:w="4800" w:type="dxa"/>
          </w:tcPr>
          <w:p w14:paraId="49C840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кг/см2</w:t>
            </w:r>
          </w:p>
        </w:tc>
      </w:tr>
      <w:tr w:rsidR="00643896" w:rsidRPr="00640820" w14:paraId="44A37629" w14:textId="77777777" w:rsidTr="000D3BCB">
        <w:trPr>
          <w:jc w:val="center"/>
        </w:trPr>
        <w:tc>
          <w:tcPr>
            <w:tcW w:w="4715" w:type="dxa"/>
          </w:tcPr>
          <w:p w14:paraId="5F537A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Тип двигателя</w:t>
            </w:r>
          </w:p>
        </w:tc>
        <w:tc>
          <w:tcPr>
            <w:tcW w:w="4800" w:type="dxa"/>
          </w:tcPr>
          <w:p w14:paraId="207F09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4-х цил., карб. ГАЗ-АА</w:t>
            </w:r>
          </w:p>
        </w:tc>
      </w:tr>
      <w:tr w:rsidR="00643896" w:rsidRPr="00640820" w14:paraId="3F27262B" w14:textId="77777777" w:rsidTr="000D3BCB">
        <w:trPr>
          <w:jc w:val="center"/>
        </w:trPr>
        <w:tc>
          <w:tcPr>
            <w:tcW w:w="4715" w:type="dxa"/>
          </w:tcPr>
          <w:p w14:paraId="4DF8D8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Мощность двигателя</w:t>
            </w:r>
          </w:p>
        </w:tc>
        <w:tc>
          <w:tcPr>
            <w:tcW w:w="4800" w:type="dxa"/>
          </w:tcPr>
          <w:p w14:paraId="5EA370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 л.с.</w:t>
            </w:r>
          </w:p>
        </w:tc>
      </w:tr>
      <w:tr w:rsidR="00643896" w:rsidRPr="00640820" w14:paraId="5DDCC7EA" w14:textId="77777777" w:rsidTr="000D3BCB">
        <w:trPr>
          <w:jc w:val="center"/>
        </w:trPr>
        <w:tc>
          <w:tcPr>
            <w:tcW w:w="4715" w:type="dxa"/>
          </w:tcPr>
          <w:p w14:paraId="5BF020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Скорость по шоссе</w:t>
            </w:r>
          </w:p>
        </w:tc>
        <w:tc>
          <w:tcPr>
            <w:tcW w:w="4800" w:type="dxa"/>
          </w:tcPr>
          <w:p w14:paraId="262468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48 км/ч</w:t>
            </w:r>
          </w:p>
        </w:tc>
      </w:tr>
      <w:tr w:rsidR="00643896" w:rsidRPr="00640820" w14:paraId="0049892D" w14:textId="77777777" w:rsidTr="000D3BCB">
        <w:trPr>
          <w:jc w:val="center"/>
        </w:trPr>
        <w:tc>
          <w:tcPr>
            <w:tcW w:w="4715" w:type="dxa"/>
          </w:tcPr>
          <w:p w14:paraId="79EE4E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Запас хода по шоссе</w:t>
            </w:r>
          </w:p>
        </w:tc>
        <w:tc>
          <w:tcPr>
            <w:tcW w:w="4800" w:type="dxa"/>
          </w:tcPr>
          <w:p w14:paraId="46492C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415 км</w:t>
            </w:r>
          </w:p>
        </w:tc>
      </w:tr>
      <w:tr w:rsidR="00643896" w:rsidRPr="00640820" w14:paraId="34BF7869" w14:textId="77777777" w:rsidTr="000D3BCB">
        <w:trPr>
          <w:jc w:val="center"/>
        </w:trPr>
        <w:tc>
          <w:tcPr>
            <w:tcW w:w="4715" w:type="dxa"/>
          </w:tcPr>
          <w:p w14:paraId="202033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Преодолеваемый подъем</w:t>
            </w:r>
          </w:p>
        </w:tc>
        <w:tc>
          <w:tcPr>
            <w:tcW w:w="4800" w:type="dxa"/>
          </w:tcPr>
          <w:p w14:paraId="0E6E33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23°</w:t>
            </w:r>
          </w:p>
        </w:tc>
      </w:tr>
      <w:tr w:rsidR="00643896" w:rsidRPr="00640820" w14:paraId="7AB71A1C" w14:textId="77777777" w:rsidTr="000D3BCB">
        <w:trPr>
          <w:jc w:val="center"/>
        </w:trPr>
        <w:tc>
          <w:tcPr>
            <w:tcW w:w="4715" w:type="dxa"/>
          </w:tcPr>
          <w:p w14:paraId="307B34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Вооружение</w:t>
            </w:r>
          </w:p>
        </w:tc>
        <w:tc>
          <w:tcPr>
            <w:tcW w:w="4800" w:type="dxa"/>
          </w:tcPr>
          <w:p w14:paraId="019CE2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37-мм пушка Гочкис, 7,62-мм пулемет ДТ</w:t>
            </w:r>
          </w:p>
        </w:tc>
      </w:tr>
      <w:tr w:rsidR="00643896" w:rsidRPr="00640820" w14:paraId="57544327" w14:textId="77777777" w:rsidTr="000D3BCB">
        <w:trPr>
          <w:jc w:val="center"/>
        </w:trPr>
        <w:tc>
          <w:tcPr>
            <w:tcW w:w="4715" w:type="dxa"/>
          </w:tcPr>
          <w:p w14:paraId="5D7193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Боекомплект</w:t>
            </w:r>
          </w:p>
        </w:tc>
        <w:tc>
          <w:tcPr>
            <w:tcW w:w="4800" w:type="dxa"/>
          </w:tcPr>
          <w:p w14:paraId="692F51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 снарядов, 2016 патронов</w:t>
            </w:r>
          </w:p>
        </w:tc>
      </w:tr>
      <w:tr w:rsidR="00643896" w:rsidRPr="00640820" w14:paraId="379BDCF2" w14:textId="77777777" w:rsidTr="000D3BCB">
        <w:trPr>
          <w:jc w:val="center"/>
        </w:trPr>
        <w:tc>
          <w:tcPr>
            <w:tcW w:w="4715" w:type="dxa"/>
            <w:tcBorders>
              <w:bottom w:val="single" w:sz="12" w:space="0" w:color="auto"/>
            </w:tcBorders>
          </w:tcPr>
          <w:p w14:paraId="56A106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Бронирование</w:t>
            </w:r>
          </w:p>
        </w:tc>
        <w:tc>
          <w:tcPr>
            <w:tcW w:w="4800" w:type="dxa"/>
            <w:tcBorders>
              <w:bottom w:val="single" w:sz="12" w:space="0" w:color="auto"/>
            </w:tcBorders>
          </w:tcPr>
          <w:p w14:paraId="7A8767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 мм</w:t>
            </w:r>
          </w:p>
        </w:tc>
      </w:tr>
    </w:tbl>
    <w:p w14:paraId="7177F2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(11861).</w:t>
      </w:r>
    </w:p>
    <w:p w14:paraId="21946B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5E8D0BD"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Style w:val="a7"/>
          <w:rFonts w:ascii="Times New Roman" w:hAnsi="Times New Roman"/>
          <w:b w:val="0"/>
          <w:color w:val="000000" w:themeColor="text1"/>
          <w:sz w:val="16"/>
          <w:szCs w:val="16"/>
        </w:rPr>
        <w:t>Осенью 1941 года группы истребителей танков начали создаваться во всех стрелковых частях РККА</w:t>
      </w:r>
      <w:r w:rsidRPr="00640820">
        <w:rPr>
          <w:rFonts w:ascii="Times New Roman" w:hAnsi="Times New Roman"/>
          <w:b/>
          <w:color w:val="000000" w:themeColor="text1"/>
          <w:sz w:val="16"/>
          <w:szCs w:val="16"/>
        </w:rPr>
        <w:t xml:space="preserve">. </w:t>
      </w:r>
      <w:r w:rsidRPr="00640820">
        <w:rPr>
          <w:rFonts w:ascii="Times New Roman" w:hAnsi="Times New Roman"/>
          <w:color w:val="000000" w:themeColor="text1"/>
          <w:sz w:val="16"/>
          <w:szCs w:val="16"/>
        </w:rPr>
        <w:t>Каждая группа насчитывала 9–11 человек, имевших кроме стрелкового оружия 14–16 противотанковых гранат и 15–20 зажигательных бутылок. Последние применялись не только в обороне. Так, в Инструкции по организации наступления, объявленной по войскам 29-й армии 23 сентября 1941 года, говорилось: «</w:t>
      </w:r>
      <w:r w:rsidRPr="00640820">
        <w:rPr>
          <w:rStyle w:val="af0"/>
          <w:rFonts w:ascii="Times New Roman" w:hAnsi="Times New Roman"/>
          <w:i w:val="0"/>
          <w:color w:val="000000" w:themeColor="text1"/>
          <w:sz w:val="16"/>
          <w:szCs w:val="16"/>
        </w:rPr>
        <w:t>В процессе атаки пехота атакует огневые точки противника, максимально используя ручные гранаты, бутылки с горючей смесью, после чего переходит в штыки</w:t>
      </w:r>
      <w:r w:rsidRPr="00640820">
        <w:rPr>
          <w:rFonts w:ascii="Times New Roman" w:hAnsi="Times New Roman"/>
          <w:color w:val="000000" w:themeColor="text1"/>
          <w:sz w:val="16"/>
          <w:szCs w:val="16"/>
        </w:rPr>
        <w:t>».</w:t>
      </w:r>
    </w:p>
    <w:p w14:paraId="5F9CD4B3"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Метание бутылок оказывалось успешным из окопов и щелей – особенно в корму танка или штурмового орудия после их прохождения над укрытием. Попадание бутылки в лобовую часть танка обычно лишь «ослепляло» экипаж. Броски вне укрытий или из неглубоких окопчиков приводили к большим потерям среди бойцов. Случайно разбившаяся в руках при неосторожном движении или от попадания пули бутылка сразу воспламенялась.</w:t>
      </w:r>
    </w:p>
    <w:p w14:paraId="1E98C267"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Style w:val="a7"/>
          <w:rFonts w:ascii="Times New Roman" w:hAnsi="Times New Roman"/>
          <w:b w:val="0"/>
          <w:color w:val="000000" w:themeColor="text1"/>
          <w:sz w:val="16"/>
          <w:szCs w:val="16"/>
        </w:rPr>
        <w:t>Лучшие результаты давало использование бутылок и гранат наряду с другими противотанковыми средствами</w:t>
      </w:r>
      <w:r w:rsidRPr="00640820">
        <w:rPr>
          <w:rFonts w:ascii="Times New Roman" w:hAnsi="Times New Roman"/>
          <w:b/>
          <w:color w:val="000000" w:themeColor="text1"/>
          <w:sz w:val="16"/>
          <w:szCs w:val="16"/>
        </w:rPr>
        <w:t xml:space="preserve">. </w:t>
      </w:r>
      <w:r w:rsidRPr="00640820">
        <w:rPr>
          <w:rFonts w:ascii="Times New Roman" w:hAnsi="Times New Roman"/>
          <w:color w:val="000000" w:themeColor="text1"/>
          <w:sz w:val="16"/>
          <w:szCs w:val="16"/>
        </w:rPr>
        <w:t>Уже осенью 1941 года под Москвой группе истребителей танков старались придавать 1–2 расчета противотанковых ружей. Такие меры позволяли стрелковым подразделениям «в период танковой атаки не только отсекать вражескую пехоту, но и принимать деятельное участие в борьбе с самими танками». Практиковались «противотанковые узлы» – возле противотанковой пушки размещали бронебойщиков и стрелков с автоматическим оружием и зажигательными бутылками (12233).</w:t>
      </w:r>
    </w:p>
    <w:p w14:paraId="6566A80E"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p>
    <w:p w14:paraId="2E4A1B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осени 1941 многие командиры на местах поняли, что четкая система опознавания гораздо эффективнее безликой секретности, в угоду которой были уничтожены все тактические обозначения на бронетанковой технике, поэтому в первые месяцы войны в различных танковых частях РККА стали внедряться новые системы Опознавания.</w:t>
      </w:r>
    </w:p>
    <w:p w14:paraId="6C116F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 из них представляла из себя короткие прямоугольники - полосы белого цвета, наносившиеся на переднюю часть боковых стенок башни. Количество таких полос (одна под другой) определяли порядковый номер части (дивизии) в составе механизированного корпуса. По-видимому, такая система обозначений внедрялась в РККА непосредственно перед началом войны. Ее отдельные элементы до конца войны сохранились в тактических обозначениях 6-го (позже 11-го Гвардейского) танкового корпуса.</w:t>
      </w:r>
    </w:p>
    <w:p w14:paraId="73EAE2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Другая система - это квадрат, трапеция или треугольник, внутри которых, разделенные прямыми линиями на отдельные поля группами цифр обозначалась часть, батальон, рота и персональный тактический номер машины. Идентифицировать данные тактические обозначения очень сложно, так как большинство документов начального периода войны не сохранилось.</w:t>
      </w:r>
    </w:p>
    <w:p w14:paraId="14F7E2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Наконец, в 1941 году в бронетанковых войсках Красной Армии по немецкому подобию появляются идентификационные тактические номера танков, нанесенные белой краской арабскими цифрами и имеющие крупные размеры, которые легко опознавались взаимодействующими войсками (11993).</w:t>
      </w:r>
    </w:p>
    <w:p w14:paraId="04C132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2A88B63" w14:textId="77777777" w:rsidR="00507039"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16F816D4" w14:textId="77777777" w:rsidR="00507039" w:rsidRPr="00640820" w:rsidRDefault="00507039"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6908FE5" w14:textId="77777777" w:rsidR="00507039" w:rsidRPr="00640820" w:rsidRDefault="0050703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года Ленинград, пока еще сохранялись связи с Большой землей, стал крупным производителем бронепоездов ПВО. С июля по октябрь на Октябрьской железной дороге было сформировано шесть зенитных бронепоездов, каждый из которых состоял из паровоза с бронированной будкой, шести бронеплощадок с зенитными пушками и пулеметами, двух контрольных площадок. К бронепоезду также цепляли два вагона-склада и два вагона-теплушки для личного состава. В осажденном Ленинграде строился тяжелый бронепоезд №691 «Сталинец-28», имеющий помимо бронепаровоза три бронеплощадки с солидным артиллерийским вооружением: четыре 100-мм пушки, четыре 120-мм миномета, два 76-мм зенитных орудия, 24 станковых пулемета «максим» и одну счетверенную зенитную установку пулеметов «максим». Помимо него в бой под северной столицей вступили бронепоезда «Балтиец» (был вооружен шестью 76-мм пушками, двумя 120-мм минометами и 16 пулеметами), «Народный мститель», «Стойкий», «За Родину!» (15218).</w:t>
      </w:r>
    </w:p>
    <w:p w14:paraId="32ED1C9C" w14:textId="77777777" w:rsidR="00507039" w:rsidRPr="00640820" w:rsidRDefault="00507039" w:rsidP="00640820">
      <w:pPr>
        <w:spacing w:after="0" w:line="240" w:lineRule="auto"/>
        <w:jc w:val="both"/>
        <w:rPr>
          <w:rFonts w:ascii="Times New Roman" w:hAnsi="Times New Roman"/>
          <w:color w:val="000000" w:themeColor="text1"/>
          <w:sz w:val="16"/>
          <w:szCs w:val="16"/>
        </w:rPr>
      </w:pPr>
    </w:p>
    <w:p w14:paraId="4D6F4D09"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41EB2D3C"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6331D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в начале войны финны купили в Германии шесть Пе-2 ранних серий. Они прошли восстановительный ремонт и переоборудование в Германии. На самолеты поставили новые приборы, радиостанции и прочее оборудование в соответствии с немецкими стандартами. Например, отличительным внешним признаком переделанных машин стал новый прицел, установленный снаружи перед козырьком кабины. На испытаниях в Мальми машины РЕ-212 летчик А. Силтавуори зафиксировал максимальную скорость 475 км/ч, что оказалось значительно меньше, чем определяли немцы. Финны оценили, что после снятия внешних держателей самолет мог разгоняться до 500 км/ч, что делало его самым быстроходным бомбардировщиком ВВС Суоми. Силтавуори отметил, что “самолет сложен в пилотировании, а выполнение фигур высшего пилотажа на нем затруднено” (4476).</w:t>
      </w:r>
    </w:p>
    <w:p w14:paraId="220F0F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6C7AB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 “пешками” в разведовательном варианте оснастили 2-й и частично 1-й апр (авиационный полк разведчиков) Главного командования КА, а также семь отдельных разведывательных эскадрилий. В 1942 г. каждая воздушная армия получила по разведэскадрилье; большинство из них развернулись в отдельные разведывательные авиаполки (орап) в конце года (4476).</w:t>
      </w:r>
    </w:p>
    <w:p w14:paraId="24FF34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D7E46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в воздух поднялись два прототипа Не-111Z - два сращенных крыльями Не-111Н-6 с пятым двигателем для буксировки планера Ме-321 Гигант. Построили 10, но так и не использовали, как хотели для захвата Мальты, нефтепромыслов в Баку и десанта в Астрахани. В январе 1943 использовали для снабжения армии Паулюса. Из Франции через Житомир и Полтаву вылетело 11 (4270,24).</w:t>
      </w:r>
    </w:p>
    <w:p w14:paraId="206459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6A6D903" w14:textId="77777777" w:rsidR="006B6A93" w:rsidRPr="00640820" w:rsidRDefault="006B6A9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xml:space="preserve">Осенью 1941 года на испытания поступил полностью соответствовавший проекту «Москито» B.IV Srs.2 с усиленным крылом с двумя замками для баков на 480 кг бензина или 227- кг бомб. 15 ноября восемь машин Srs.1 и две Srs.2 поступили в 105-ю эскадрилью Бомбардировочного Командования RAF. Первый бомбардировщик привел на базу эскадрильи лично шеф-пилот фирмы, который эффектно продемонстрировал строевым пилотам возможности нового самолета, пронесшись на бреющем на полном газу, а затем выполнив немыслимый для двухмоторного самолета каскад фигур высшего пилотажа. Однако поначалу ни летчики, успевшие </w:t>
      </w:r>
      <w:r w:rsidRPr="00640820">
        <w:rPr>
          <w:rFonts w:ascii="Times New Roman" w:hAnsi="Times New Roman"/>
          <w:color w:val="0070C0"/>
          <w:sz w:val="16"/>
          <w:szCs w:val="16"/>
        </w:rPr>
        <w:lastRenderedPageBreak/>
        <w:t>почувствовать на собственной шкуре мощь «мессершмиттов», ни их командиры не решались пускать «Москито» на бомбардировки тыловых целей, а истребителей, способных сопровождать «Москито» на большие расстояния, в Королевских ВВС не было. Потому летали первое время только ночью, не заходя далеко. Безоружный бомбардировщик получил слегка пренебрежительную кличку «мосси», как маленькая комнатная собачонка (22852).</w:t>
      </w:r>
    </w:p>
    <w:p w14:paraId="39E01F15" w14:textId="77777777" w:rsidR="006B6A93" w:rsidRPr="00640820" w:rsidRDefault="006B6A93" w:rsidP="00640820">
      <w:pPr>
        <w:spacing w:after="0" w:line="240" w:lineRule="auto"/>
        <w:jc w:val="both"/>
        <w:rPr>
          <w:rFonts w:ascii="Times New Roman" w:hAnsi="Times New Roman"/>
          <w:color w:val="0070C0"/>
          <w:sz w:val="16"/>
          <w:szCs w:val="16"/>
        </w:rPr>
      </w:pPr>
    </w:p>
    <w:p w14:paraId="44C2918D"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775698FF"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03879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3 квартале 1939 года было начато строительство завода № 318 НКБ по профилю снаряжательного завода. После окончания оккупации строительство завода вновь было начато по приказу НКБ от 16 января 1945 года за № 16с по новому профилю – производства снарядов М-13.</w:t>
      </w:r>
    </w:p>
    <w:p w14:paraId="21992D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переходом страны на выпуск продукции мирного времени профиль завода был изменен под производство продукции с/х машиностроения.</w:t>
      </w:r>
    </w:p>
    <w:p w14:paraId="0C72EB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Азов Ростовской области, п/я 1</w:t>
      </w:r>
    </w:p>
    <w:p w14:paraId="2FAF44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 Мельников (10033).</w:t>
      </w:r>
    </w:p>
    <w:p w14:paraId="71E313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F7C6A22"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53006428"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10F29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октябрю 1941 г. суточный выпуск самолетов на заводе № 292 увеличился вдвое за счет перехода на 12 часовой рабочий день и круглосуточный график работы завода. К концу года планировалось достичь выпуска 10 самолетов в сутки, но с началом войны разрушились многие производственные связи. Война дезорганизовала товарооборот, нарушила работу транспорта, сократила импорт в страну промышленного сырья и машин. многие предприятия лишились к концу года до половины и более состава рабочих, призванных в армию. В результате большинство предприятий, за исключением небольшой группы заводов, сократили производство. включая продукцию, ранее изготовлявшуюся для заводов-смежников. Все это усугублялось эвакуацией многих предприятий авиационной промышленности на восток и одновременным их восстановлением на новых местах. Нехватка готовых изделий и материалов стала ощущаться уже с июля 1941 г. и достигла своего пика к ноябрю. С 7 по 25 ноября цеха окончательной сборки Саратовского авиазавода стояли из-за нехватки моторов. Ценой неимоверных усилий завод налаживал хозяйственные связи, самостоятельно обеспечивая себя материалами, моторами и агрегатами, используя для их доставки все доступные виды транспорта, в том числе и гужевой. Как писал в своем донесении старший военпред завода военинженер 2-го ранга Родин: "...снабжение перешло в формы обеспечения, не поддающиеся учету и планированию" (ЦАМО ф.35 оп.11287 д.265 л.155).</w:t>
      </w:r>
    </w:p>
    <w:p w14:paraId="4DAA6F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Наращивание выпуска продукции не мешало уделять внимание ее качеству. За истекший год Як-1 серийного выпуска стал заметно лучше. Всего в 1941 г. было внесено в чертежи и внедрено в производство 7023 изменений. Были проведены доработки, упростившие эксплуатацию самолета в частях ВВС КА: доведено вооружение, установлен новый кок винта с храповиком для запуска мотора от автостартера, введено управление форсажем мотора, установлены реактивные орудия РО-82, разработано лыжное шасси, маслорадиатор заменили ОП-352-м. С ноября 1941 г. удалось добиться установки радиостанции на каждый десятый самолет, а на всех выпускаемых самолетах была проведена подготовка к ее установке (всего в 1941 году из цехов завода вышло 34 самолета с установленными радиостанциями). В 2,5 раза (до 7112 нормочасов) сократилась трудоемкость на одну машину, составлявшая в начале года 17932 нормочаса.</w:t>
      </w:r>
    </w:p>
    <w:p w14:paraId="1E8DBD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Предусмотрели на Як-1 и посадочную фару, на установке которой с начала испытаний И-26 настаивали ВВС (хотя по ТТТ на прототипе должны были установить только два держателя подкрыльевых факелов НГ-12). С этим связано еще одно изменение конструкции самолета. 29 августа в ЦК ВКП(б) с письмом обратился заместитель 6-го авиакорпуса ПВО, прикрывающего Москву, подполковник П.М. Стефановский. В письме он сообщал, что неподготовленность истребителей МиГ-3, Як-1 и ЛаГГ-3 к действиям ночью "приводит к колоссальным потерям материальной части при ночных вылетах по боевой тревоге". Пункт письма об отсутствии посадочной фары на Як-1 Стефановский специально подчеркнул. Задание выпускать истребители для частей ПВО с посадочной фарой не заставило себя долго ждать, и поступило на завод № 115 и в ОКБ 16 сентября 1941 г. Но это задание вошло в противоречие с предыдущим приказом наркома авиапромышленности, отданным 3 сентября и предписывавшего всем самолетостроительным заводам сократить потребление оргстекла. По постановлению ГКО завод № 292, к этому времени, все выпускаемые самолеты направлял в части, оборонявшие Москву, а также противодействующие ночным налетам немецкой авиации на столицу СССР. Поэтому главный конструктор самолета счел возможным уменьшить площадь остекления задней части фонаря кабины, выполнив их в виде двух небольших окон, как у истребителя ЛаГГ-3. Высвободившееся оргстекло использовали для установки посадочной фары, которая появилась на самолетах примерно с 49-й серии. </w:t>
      </w:r>
    </w:p>
    <w:p w14:paraId="3E9ED8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Выпуск самолетов Як-1 заводом № 292 в 1941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00"/>
        <w:gridCol w:w="800"/>
        <w:gridCol w:w="800"/>
        <w:gridCol w:w="800"/>
        <w:gridCol w:w="800"/>
        <w:gridCol w:w="800"/>
        <w:gridCol w:w="800"/>
        <w:gridCol w:w="800"/>
        <w:gridCol w:w="800"/>
        <w:gridCol w:w="988"/>
        <w:gridCol w:w="851"/>
        <w:gridCol w:w="722"/>
        <w:gridCol w:w="722"/>
        <w:gridCol w:w="722"/>
      </w:tblGrid>
      <w:tr w:rsidR="00643896" w:rsidRPr="00640820" w14:paraId="2A5E7001" w14:textId="77777777" w:rsidTr="000D3BCB">
        <w:tc>
          <w:tcPr>
            <w:tcW w:w="800" w:type="dxa"/>
            <w:tcBorders>
              <w:top w:val="single" w:sz="12" w:space="0" w:color="auto"/>
            </w:tcBorders>
          </w:tcPr>
          <w:p w14:paraId="6EED94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Borders>
              <w:top w:val="single" w:sz="12" w:space="0" w:color="auto"/>
            </w:tcBorders>
          </w:tcPr>
          <w:p w14:paraId="2B628F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Январь</w:t>
            </w:r>
          </w:p>
        </w:tc>
        <w:tc>
          <w:tcPr>
            <w:tcW w:w="800" w:type="dxa"/>
            <w:tcBorders>
              <w:top w:val="single" w:sz="12" w:space="0" w:color="auto"/>
            </w:tcBorders>
          </w:tcPr>
          <w:p w14:paraId="7F3A46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Февраль</w:t>
            </w:r>
          </w:p>
        </w:tc>
        <w:tc>
          <w:tcPr>
            <w:tcW w:w="800" w:type="dxa"/>
            <w:tcBorders>
              <w:top w:val="single" w:sz="12" w:space="0" w:color="auto"/>
            </w:tcBorders>
          </w:tcPr>
          <w:p w14:paraId="79C0F6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Март</w:t>
            </w:r>
          </w:p>
        </w:tc>
        <w:tc>
          <w:tcPr>
            <w:tcW w:w="800" w:type="dxa"/>
            <w:tcBorders>
              <w:top w:val="single" w:sz="12" w:space="0" w:color="auto"/>
            </w:tcBorders>
          </w:tcPr>
          <w:p w14:paraId="7AB8A4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Апрель</w:t>
            </w:r>
          </w:p>
        </w:tc>
        <w:tc>
          <w:tcPr>
            <w:tcW w:w="800" w:type="dxa"/>
            <w:tcBorders>
              <w:top w:val="single" w:sz="12" w:space="0" w:color="auto"/>
            </w:tcBorders>
          </w:tcPr>
          <w:p w14:paraId="189B1E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Май</w:t>
            </w:r>
          </w:p>
        </w:tc>
        <w:tc>
          <w:tcPr>
            <w:tcW w:w="800" w:type="dxa"/>
            <w:tcBorders>
              <w:top w:val="single" w:sz="12" w:space="0" w:color="auto"/>
            </w:tcBorders>
          </w:tcPr>
          <w:p w14:paraId="11F342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Июнь</w:t>
            </w:r>
          </w:p>
        </w:tc>
        <w:tc>
          <w:tcPr>
            <w:tcW w:w="800" w:type="dxa"/>
            <w:tcBorders>
              <w:top w:val="single" w:sz="12" w:space="0" w:color="auto"/>
            </w:tcBorders>
          </w:tcPr>
          <w:p w14:paraId="3C501E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Июль</w:t>
            </w:r>
          </w:p>
        </w:tc>
        <w:tc>
          <w:tcPr>
            <w:tcW w:w="800" w:type="dxa"/>
            <w:tcBorders>
              <w:top w:val="single" w:sz="12" w:space="0" w:color="auto"/>
            </w:tcBorders>
          </w:tcPr>
          <w:p w14:paraId="68AF63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Август</w:t>
            </w:r>
          </w:p>
        </w:tc>
        <w:tc>
          <w:tcPr>
            <w:tcW w:w="988" w:type="dxa"/>
            <w:tcBorders>
              <w:top w:val="single" w:sz="12" w:space="0" w:color="auto"/>
            </w:tcBorders>
          </w:tcPr>
          <w:p w14:paraId="2B8447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Сентябрь</w:t>
            </w:r>
          </w:p>
        </w:tc>
        <w:tc>
          <w:tcPr>
            <w:tcW w:w="851" w:type="dxa"/>
            <w:tcBorders>
              <w:top w:val="single" w:sz="12" w:space="0" w:color="auto"/>
            </w:tcBorders>
          </w:tcPr>
          <w:p w14:paraId="0CAF03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Октябрь</w:t>
            </w:r>
          </w:p>
        </w:tc>
        <w:tc>
          <w:tcPr>
            <w:tcW w:w="722" w:type="dxa"/>
            <w:tcBorders>
              <w:top w:val="single" w:sz="12" w:space="0" w:color="auto"/>
            </w:tcBorders>
          </w:tcPr>
          <w:p w14:paraId="312238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Ноябрь</w:t>
            </w:r>
          </w:p>
        </w:tc>
        <w:tc>
          <w:tcPr>
            <w:tcW w:w="722" w:type="dxa"/>
            <w:tcBorders>
              <w:top w:val="single" w:sz="12" w:space="0" w:color="auto"/>
            </w:tcBorders>
          </w:tcPr>
          <w:p w14:paraId="08CBFB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Декабрь</w:t>
            </w:r>
          </w:p>
        </w:tc>
        <w:tc>
          <w:tcPr>
            <w:tcW w:w="722" w:type="dxa"/>
            <w:tcBorders>
              <w:top w:val="single" w:sz="12" w:space="0" w:color="auto"/>
            </w:tcBorders>
          </w:tcPr>
          <w:p w14:paraId="146CBB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Асего</w:t>
            </w:r>
          </w:p>
        </w:tc>
      </w:tr>
      <w:tr w:rsidR="00643896" w:rsidRPr="00640820" w14:paraId="08EDFA32" w14:textId="77777777" w:rsidTr="000D3BCB">
        <w:tc>
          <w:tcPr>
            <w:tcW w:w="800" w:type="dxa"/>
          </w:tcPr>
          <w:p w14:paraId="03FBAD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693931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5226FB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 квартал</w:t>
            </w:r>
          </w:p>
        </w:tc>
        <w:tc>
          <w:tcPr>
            <w:tcW w:w="800" w:type="dxa"/>
          </w:tcPr>
          <w:p w14:paraId="3C94B5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2FF4F4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635499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 квартал</w:t>
            </w:r>
          </w:p>
        </w:tc>
        <w:tc>
          <w:tcPr>
            <w:tcW w:w="800" w:type="dxa"/>
          </w:tcPr>
          <w:p w14:paraId="3F95B7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6DB1AF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54A73E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 квартал</w:t>
            </w:r>
          </w:p>
        </w:tc>
        <w:tc>
          <w:tcPr>
            <w:tcW w:w="988" w:type="dxa"/>
          </w:tcPr>
          <w:p w14:paraId="2F19B0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51" w:type="dxa"/>
          </w:tcPr>
          <w:p w14:paraId="0799CE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329AB9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 квартал</w:t>
            </w:r>
          </w:p>
        </w:tc>
        <w:tc>
          <w:tcPr>
            <w:tcW w:w="722" w:type="dxa"/>
          </w:tcPr>
          <w:p w14:paraId="74DAEB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0D7CD4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57B4AA3A" w14:textId="77777777" w:rsidTr="000D3BCB">
        <w:tc>
          <w:tcPr>
            <w:tcW w:w="800" w:type="dxa"/>
          </w:tcPr>
          <w:p w14:paraId="2CA404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2B409B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689461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220</w:t>
            </w:r>
          </w:p>
        </w:tc>
        <w:tc>
          <w:tcPr>
            <w:tcW w:w="800" w:type="dxa"/>
          </w:tcPr>
          <w:p w14:paraId="1F7B9F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649827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3C2398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270</w:t>
            </w:r>
          </w:p>
        </w:tc>
        <w:tc>
          <w:tcPr>
            <w:tcW w:w="800" w:type="dxa"/>
          </w:tcPr>
          <w:p w14:paraId="3C91E4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43F1D0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2ED1B7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290</w:t>
            </w:r>
          </w:p>
        </w:tc>
        <w:tc>
          <w:tcPr>
            <w:tcW w:w="988" w:type="dxa"/>
          </w:tcPr>
          <w:p w14:paraId="3E6C13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51" w:type="dxa"/>
          </w:tcPr>
          <w:p w14:paraId="5324E4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49513F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320</w:t>
            </w:r>
          </w:p>
        </w:tc>
        <w:tc>
          <w:tcPr>
            <w:tcW w:w="722" w:type="dxa"/>
          </w:tcPr>
          <w:p w14:paraId="4CF546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789DC5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1100</w:t>
            </w:r>
          </w:p>
        </w:tc>
      </w:tr>
      <w:tr w:rsidR="00643896" w:rsidRPr="00640820" w14:paraId="2C967C18" w14:textId="77777777" w:rsidTr="000D3BCB">
        <w:tc>
          <w:tcPr>
            <w:tcW w:w="800" w:type="dxa"/>
          </w:tcPr>
          <w:p w14:paraId="48F358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Новый план'</w:t>
            </w:r>
          </w:p>
        </w:tc>
        <w:tc>
          <w:tcPr>
            <w:tcW w:w="800" w:type="dxa"/>
          </w:tcPr>
          <w:p w14:paraId="3A83C5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6C302C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w:t>
            </w:r>
          </w:p>
        </w:tc>
        <w:tc>
          <w:tcPr>
            <w:tcW w:w="800" w:type="dxa"/>
          </w:tcPr>
          <w:p w14:paraId="0F2D22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40</w:t>
            </w:r>
          </w:p>
        </w:tc>
        <w:tc>
          <w:tcPr>
            <w:tcW w:w="800" w:type="dxa"/>
          </w:tcPr>
          <w:p w14:paraId="51845A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66</w:t>
            </w:r>
          </w:p>
        </w:tc>
        <w:tc>
          <w:tcPr>
            <w:tcW w:w="800" w:type="dxa"/>
          </w:tcPr>
          <w:p w14:paraId="5D91F2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74</w:t>
            </w:r>
          </w:p>
        </w:tc>
        <w:tc>
          <w:tcPr>
            <w:tcW w:w="800" w:type="dxa"/>
          </w:tcPr>
          <w:p w14:paraId="431EF1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100</w:t>
            </w:r>
          </w:p>
        </w:tc>
        <w:tc>
          <w:tcPr>
            <w:tcW w:w="800" w:type="dxa"/>
          </w:tcPr>
          <w:p w14:paraId="15315C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115</w:t>
            </w:r>
          </w:p>
        </w:tc>
        <w:tc>
          <w:tcPr>
            <w:tcW w:w="800" w:type="dxa"/>
          </w:tcPr>
          <w:p w14:paraId="21A895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130</w:t>
            </w:r>
          </w:p>
        </w:tc>
        <w:tc>
          <w:tcPr>
            <w:tcW w:w="988" w:type="dxa"/>
          </w:tcPr>
          <w:p w14:paraId="5B6A70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156</w:t>
            </w:r>
          </w:p>
        </w:tc>
        <w:tc>
          <w:tcPr>
            <w:tcW w:w="851" w:type="dxa"/>
          </w:tcPr>
          <w:p w14:paraId="1D7676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189</w:t>
            </w:r>
          </w:p>
        </w:tc>
        <w:tc>
          <w:tcPr>
            <w:tcW w:w="722" w:type="dxa"/>
          </w:tcPr>
          <w:p w14:paraId="64A5AE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184</w:t>
            </w:r>
          </w:p>
        </w:tc>
        <w:tc>
          <w:tcPr>
            <w:tcW w:w="722" w:type="dxa"/>
          </w:tcPr>
          <w:p w14:paraId="4336BD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260</w:t>
            </w:r>
          </w:p>
        </w:tc>
        <w:tc>
          <w:tcPr>
            <w:tcW w:w="722" w:type="dxa"/>
          </w:tcPr>
          <w:p w14:paraId="261C73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1350</w:t>
            </w:r>
          </w:p>
        </w:tc>
      </w:tr>
      <w:tr w:rsidR="00643896" w:rsidRPr="00640820" w14:paraId="3FA391F7" w14:textId="77777777" w:rsidTr="000D3BCB">
        <w:tc>
          <w:tcPr>
            <w:tcW w:w="800" w:type="dxa"/>
          </w:tcPr>
          <w:p w14:paraId="24237A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Изготовлено</w:t>
            </w:r>
          </w:p>
        </w:tc>
        <w:tc>
          <w:tcPr>
            <w:tcW w:w="800" w:type="dxa"/>
          </w:tcPr>
          <w:p w14:paraId="00116D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p w14:paraId="379916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0704F0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w:t>
            </w:r>
          </w:p>
        </w:tc>
        <w:tc>
          <w:tcPr>
            <w:tcW w:w="800" w:type="dxa"/>
          </w:tcPr>
          <w:p w14:paraId="638895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40</w:t>
            </w:r>
          </w:p>
        </w:tc>
        <w:tc>
          <w:tcPr>
            <w:tcW w:w="800" w:type="dxa"/>
          </w:tcPr>
          <w:p w14:paraId="09D4E0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68</w:t>
            </w:r>
          </w:p>
        </w:tc>
        <w:tc>
          <w:tcPr>
            <w:tcW w:w="800" w:type="dxa"/>
          </w:tcPr>
          <w:p w14:paraId="46B093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73</w:t>
            </w:r>
          </w:p>
        </w:tc>
        <w:tc>
          <w:tcPr>
            <w:tcW w:w="800" w:type="dxa"/>
          </w:tcPr>
          <w:p w14:paraId="7F0BDA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101</w:t>
            </w:r>
          </w:p>
        </w:tc>
        <w:tc>
          <w:tcPr>
            <w:tcW w:w="800" w:type="dxa"/>
          </w:tcPr>
          <w:p w14:paraId="04CD2B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135</w:t>
            </w:r>
          </w:p>
        </w:tc>
        <w:tc>
          <w:tcPr>
            <w:tcW w:w="800" w:type="dxa"/>
          </w:tcPr>
          <w:p w14:paraId="4E0879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150</w:t>
            </w:r>
          </w:p>
        </w:tc>
        <w:tc>
          <w:tcPr>
            <w:tcW w:w="988" w:type="dxa"/>
          </w:tcPr>
          <w:p w14:paraId="362CC8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168</w:t>
            </w:r>
          </w:p>
        </w:tc>
        <w:tc>
          <w:tcPr>
            <w:tcW w:w="851" w:type="dxa"/>
          </w:tcPr>
          <w:p w14:paraId="6F2711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185</w:t>
            </w:r>
          </w:p>
        </w:tc>
        <w:tc>
          <w:tcPr>
            <w:tcW w:w="722" w:type="dxa"/>
          </w:tcPr>
          <w:p w14:paraId="48C752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104</w:t>
            </w:r>
          </w:p>
        </w:tc>
        <w:tc>
          <w:tcPr>
            <w:tcW w:w="722" w:type="dxa"/>
          </w:tcPr>
          <w:p w14:paraId="21C466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152</w:t>
            </w:r>
          </w:p>
        </w:tc>
        <w:tc>
          <w:tcPr>
            <w:tcW w:w="722" w:type="dxa"/>
          </w:tcPr>
          <w:p w14:paraId="06AD41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1212 3</w:t>
            </w:r>
          </w:p>
        </w:tc>
      </w:tr>
      <w:tr w:rsidR="00643896" w:rsidRPr="00640820" w14:paraId="0EAF376E" w14:textId="77777777" w:rsidTr="000D3BCB">
        <w:tc>
          <w:tcPr>
            <w:tcW w:w="800" w:type="dxa"/>
          </w:tcPr>
          <w:p w14:paraId="012378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48E453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17 2)</w:t>
            </w:r>
          </w:p>
        </w:tc>
        <w:tc>
          <w:tcPr>
            <w:tcW w:w="800" w:type="dxa"/>
          </w:tcPr>
          <w:p w14:paraId="7A54EF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25 2)</w:t>
            </w:r>
          </w:p>
        </w:tc>
        <w:tc>
          <w:tcPr>
            <w:tcW w:w="800" w:type="dxa"/>
          </w:tcPr>
          <w:p w14:paraId="27696C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34 2)</w:t>
            </w:r>
          </w:p>
        </w:tc>
        <w:tc>
          <w:tcPr>
            <w:tcW w:w="800" w:type="dxa"/>
          </w:tcPr>
          <w:p w14:paraId="126B46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387E14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57D88F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29F334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722AD3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988" w:type="dxa"/>
          </w:tcPr>
          <w:p w14:paraId="6FF457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51" w:type="dxa"/>
          </w:tcPr>
          <w:p w14:paraId="0BD4DB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00079B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3EEA1D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367A58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2A10860F" w14:textId="77777777" w:rsidTr="000D3BCB">
        <w:tc>
          <w:tcPr>
            <w:tcW w:w="800" w:type="dxa"/>
          </w:tcPr>
          <w:p w14:paraId="72EE2C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Принято военпредом</w:t>
            </w:r>
          </w:p>
        </w:tc>
        <w:tc>
          <w:tcPr>
            <w:tcW w:w="800" w:type="dxa"/>
          </w:tcPr>
          <w:p w14:paraId="361E19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3BC5A8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28DA74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5FAA86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2BED3E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4788B0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61EB14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128DB4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988" w:type="dxa"/>
          </w:tcPr>
          <w:p w14:paraId="614F1F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51" w:type="dxa"/>
          </w:tcPr>
          <w:p w14:paraId="3384A8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0350C2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4C4333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492BA2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785107D1" w14:textId="77777777" w:rsidTr="000D3BCB">
        <w:tc>
          <w:tcPr>
            <w:tcW w:w="800" w:type="dxa"/>
          </w:tcPr>
          <w:p w14:paraId="56F3B8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для ГУ ВВС КА</w:t>
            </w:r>
          </w:p>
        </w:tc>
        <w:tc>
          <w:tcPr>
            <w:tcW w:w="800" w:type="dxa"/>
          </w:tcPr>
          <w:p w14:paraId="5EEC8D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w:t>
            </w:r>
          </w:p>
        </w:tc>
        <w:tc>
          <w:tcPr>
            <w:tcW w:w="800" w:type="dxa"/>
          </w:tcPr>
          <w:p w14:paraId="34041A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w:t>
            </w:r>
          </w:p>
        </w:tc>
        <w:tc>
          <w:tcPr>
            <w:tcW w:w="800" w:type="dxa"/>
          </w:tcPr>
          <w:p w14:paraId="1C68A7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40</w:t>
            </w:r>
          </w:p>
        </w:tc>
        <w:tc>
          <w:tcPr>
            <w:tcW w:w="800" w:type="dxa"/>
          </w:tcPr>
          <w:p w14:paraId="75DED7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68</w:t>
            </w:r>
          </w:p>
        </w:tc>
        <w:tc>
          <w:tcPr>
            <w:tcW w:w="800" w:type="dxa"/>
          </w:tcPr>
          <w:p w14:paraId="010101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66</w:t>
            </w:r>
          </w:p>
        </w:tc>
        <w:tc>
          <w:tcPr>
            <w:tcW w:w="800" w:type="dxa"/>
          </w:tcPr>
          <w:p w14:paraId="1E9FFF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58</w:t>
            </w:r>
          </w:p>
        </w:tc>
        <w:tc>
          <w:tcPr>
            <w:tcW w:w="800" w:type="dxa"/>
          </w:tcPr>
          <w:p w14:paraId="7B10EA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117</w:t>
            </w:r>
          </w:p>
        </w:tc>
        <w:tc>
          <w:tcPr>
            <w:tcW w:w="800" w:type="dxa"/>
          </w:tcPr>
          <w:p w14:paraId="52EE42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153</w:t>
            </w:r>
          </w:p>
        </w:tc>
        <w:tc>
          <w:tcPr>
            <w:tcW w:w="988" w:type="dxa"/>
          </w:tcPr>
          <w:p w14:paraId="197278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151</w:t>
            </w:r>
          </w:p>
        </w:tc>
        <w:tc>
          <w:tcPr>
            <w:tcW w:w="851" w:type="dxa"/>
          </w:tcPr>
          <w:p w14:paraId="5773D8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171</w:t>
            </w:r>
          </w:p>
        </w:tc>
        <w:tc>
          <w:tcPr>
            <w:tcW w:w="722" w:type="dxa"/>
          </w:tcPr>
          <w:p w14:paraId="12578A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68</w:t>
            </w:r>
          </w:p>
        </w:tc>
        <w:tc>
          <w:tcPr>
            <w:tcW w:w="722" w:type="dxa"/>
          </w:tcPr>
          <w:p w14:paraId="437937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143</w:t>
            </w:r>
          </w:p>
        </w:tc>
        <w:tc>
          <w:tcPr>
            <w:tcW w:w="722" w:type="dxa"/>
          </w:tcPr>
          <w:p w14:paraId="1C5808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1070</w:t>
            </w:r>
          </w:p>
        </w:tc>
      </w:tr>
      <w:tr w:rsidR="00643896" w:rsidRPr="00640820" w14:paraId="459F48F8" w14:textId="77777777" w:rsidTr="000D3BCB">
        <w:tc>
          <w:tcPr>
            <w:tcW w:w="800" w:type="dxa"/>
          </w:tcPr>
          <w:p w14:paraId="57A5E7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для УА ВМФ</w:t>
            </w:r>
          </w:p>
        </w:tc>
        <w:tc>
          <w:tcPr>
            <w:tcW w:w="800" w:type="dxa"/>
          </w:tcPr>
          <w:p w14:paraId="12B37A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0A7451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2B619B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5A9835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1C4956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w:t>
            </w:r>
          </w:p>
        </w:tc>
        <w:tc>
          <w:tcPr>
            <w:tcW w:w="800" w:type="dxa"/>
          </w:tcPr>
          <w:p w14:paraId="4494C9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41</w:t>
            </w:r>
          </w:p>
        </w:tc>
        <w:tc>
          <w:tcPr>
            <w:tcW w:w="800" w:type="dxa"/>
          </w:tcPr>
          <w:p w14:paraId="1AEFD1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7D4506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988" w:type="dxa"/>
          </w:tcPr>
          <w:p w14:paraId="5C229E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w:t>
            </w:r>
          </w:p>
        </w:tc>
        <w:tc>
          <w:tcPr>
            <w:tcW w:w="851" w:type="dxa"/>
          </w:tcPr>
          <w:p w14:paraId="3719C9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w:t>
            </w:r>
          </w:p>
        </w:tc>
        <w:tc>
          <w:tcPr>
            <w:tcW w:w="722" w:type="dxa"/>
          </w:tcPr>
          <w:p w14:paraId="735EDD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w:t>
            </w:r>
          </w:p>
        </w:tc>
        <w:tc>
          <w:tcPr>
            <w:tcW w:w="722" w:type="dxa"/>
          </w:tcPr>
          <w:p w14:paraId="19610A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20</w:t>
            </w:r>
          </w:p>
        </w:tc>
        <w:tc>
          <w:tcPr>
            <w:tcW w:w="722" w:type="dxa"/>
          </w:tcPr>
          <w:p w14:paraId="3AE030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121</w:t>
            </w:r>
          </w:p>
        </w:tc>
      </w:tr>
      <w:tr w:rsidR="00643896" w:rsidRPr="00640820" w14:paraId="07108F9E" w14:textId="77777777" w:rsidTr="000D3BCB">
        <w:tc>
          <w:tcPr>
            <w:tcW w:w="800" w:type="dxa"/>
          </w:tcPr>
          <w:p w14:paraId="0ABF36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Отправлено всего</w:t>
            </w:r>
          </w:p>
        </w:tc>
        <w:tc>
          <w:tcPr>
            <w:tcW w:w="800" w:type="dxa"/>
          </w:tcPr>
          <w:p w14:paraId="6497AF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2A3067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1DF4AB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30</w:t>
            </w:r>
          </w:p>
        </w:tc>
        <w:tc>
          <w:tcPr>
            <w:tcW w:w="800" w:type="dxa"/>
          </w:tcPr>
          <w:p w14:paraId="4E6A1D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45</w:t>
            </w:r>
          </w:p>
        </w:tc>
        <w:tc>
          <w:tcPr>
            <w:tcW w:w="800" w:type="dxa"/>
          </w:tcPr>
          <w:p w14:paraId="57F9BC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45</w:t>
            </w:r>
          </w:p>
        </w:tc>
        <w:tc>
          <w:tcPr>
            <w:tcW w:w="800" w:type="dxa"/>
          </w:tcPr>
          <w:p w14:paraId="22B498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66</w:t>
            </w:r>
          </w:p>
        </w:tc>
        <w:tc>
          <w:tcPr>
            <w:tcW w:w="800" w:type="dxa"/>
          </w:tcPr>
          <w:p w14:paraId="05401A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192</w:t>
            </w:r>
          </w:p>
        </w:tc>
        <w:tc>
          <w:tcPr>
            <w:tcW w:w="800" w:type="dxa"/>
          </w:tcPr>
          <w:p w14:paraId="073BB9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150</w:t>
            </w:r>
          </w:p>
        </w:tc>
        <w:tc>
          <w:tcPr>
            <w:tcW w:w="988" w:type="dxa"/>
          </w:tcPr>
          <w:p w14:paraId="194582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155</w:t>
            </w:r>
          </w:p>
        </w:tc>
        <w:tc>
          <w:tcPr>
            <w:tcW w:w="851" w:type="dxa"/>
          </w:tcPr>
          <w:p w14:paraId="1ABCD9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153</w:t>
            </w:r>
          </w:p>
        </w:tc>
        <w:tc>
          <w:tcPr>
            <w:tcW w:w="722" w:type="dxa"/>
          </w:tcPr>
          <w:p w14:paraId="59F972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123</w:t>
            </w:r>
          </w:p>
        </w:tc>
        <w:tc>
          <w:tcPr>
            <w:tcW w:w="722" w:type="dxa"/>
          </w:tcPr>
          <w:p w14:paraId="51A334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136</w:t>
            </w:r>
          </w:p>
        </w:tc>
        <w:tc>
          <w:tcPr>
            <w:tcW w:w="722" w:type="dxa"/>
          </w:tcPr>
          <w:p w14:paraId="7D1AC5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1125</w:t>
            </w:r>
          </w:p>
        </w:tc>
      </w:tr>
      <w:tr w:rsidR="00643896" w:rsidRPr="00640820" w14:paraId="4D9662C0" w14:textId="77777777" w:rsidTr="000D3BCB">
        <w:tc>
          <w:tcPr>
            <w:tcW w:w="800" w:type="dxa"/>
          </w:tcPr>
          <w:p w14:paraId="216256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 т.ч. ВВС КА</w:t>
            </w:r>
          </w:p>
        </w:tc>
        <w:tc>
          <w:tcPr>
            <w:tcW w:w="800" w:type="dxa"/>
          </w:tcPr>
          <w:p w14:paraId="548EC6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045530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533145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30</w:t>
            </w:r>
          </w:p>
        </w:tc>
        <w:tc>
          <w:tcPr>
            <w:tcW w:w="800" w:type="dxa"/>
          </w:tcPr>
          <w:p w14:paraId="243325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45</w:t>
            </w:r>
          </w:p>
        </w:tc>
        <w:tc>
          <w:tcPr>
            <w:tcW w:w="800" w:type="dxa"/>
          </w:tcPr>
          <w:p w14:paraId="5937F2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42</w:t>
            </w:r>
          </w:p>
        </w:tc>
        <w:tc>
          <w:tcPr>
            <w:tcW w:w="800" w:type="dxa"/>
          </w:tcPr>
          <w:p w14:paraId="5261BD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58</w:t>
            </w:r>
          </w:p>
        </w:tc>
        <w:tc>
          <w:tcPr>
            <w:tcW w:w="800" w:type="dxa"/>
          </w:tcPr>
          <w:p w14:paraId="0AB972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138</w:t>
            </w:r>
          </w:p>
        </w:tc>
        <w:tc>
          <w:tcPr>
            <w:tcW w:w="800" w:type="dxa"/>
          </w:tcPr>
          <w:p w14:paraId="076972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150</w:t>
            </w:r>
          </w:p>
        </w:tc>
        <w:tc>
          <w:tcPr>
            <w:tcW w:w="988" w:type="dxa"/>
          </w:tcPr>
          <w:p w14:paraId="73503F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138</w:t>
            </w:r>
          </w:p>
        </w:tc>
        <w:tc>
          <w:tcPr>
            <w:tcW w:w="851" w:type="dxa"/>
          </w:tcPr>
          <w:p w14:paraId="6899BF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149</w:t>
            </w:r>
          </w:p>
        </w:tc>
        <w:tc>
          <w:tcPr>
            <w:tcW w:w="722" w:type="dxa"/>
          </w:tcPr>
          <w:p w14:paraId="6D639A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102</w:t>
            </w:r>
          </w:p>
        </w:tc>
        <w:tc>
          <w:tcPr>
            <w:tcW w:w="722" w:type="dxa"/>
          </w:tcPr>
          <w:p w14:paraId="212405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128</w:t>
            </w:r>
          </w:p>
        </w:tc>
        <w:tc>
          <w:tcPr>
            <w:tcW w:w="722" w:type="dxa"/>
          </w:tcPr>
          <w:p w14:paraId="7DEECF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1010</w:t>
            </w:r>
          </w:p>
        </w:tc>
      </w:tr>
      <w:tr w:rsidR="00643896" w:rsidRPr="00640820" w14:paraId="397D211E" w14:textId="77777777" w:rsidTr="000D3BCB">
        <w:tc>
          <w:tcPr>
            <w:tcW w:w="800" w:type="dxa"/>
          </w:tcPr>
          <w:p w14:paraId="1D5747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 т.ч. ВВС ВМФ</w:t>
            </w:r>
          </w:p>
        </w:tc>
        <w:tc>
          <w:tcPr>
            <w:tcW w:w="800" w:type="dxa"/>
          </w:tcPr>
          <w:p w14:paraId="38658F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2B3402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055F39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31343D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3C224C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0AD275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w:t>
            </w:r>
          </w:p>
        </w:tc>
        <w:tc>
          <w:tcPr>
            <w:tcW w:w="800" w:type="dxa"/>
          </w:tcPr>
          <w:p w14:paraId="46E07D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54</w:t>
            </w:r>
          </w:p>
        </w:tc>
        <w:tc>
          <w:tcPr>
            <w:tcW w:w="800" w:type="dxa"/>
          </w:tcPr>
          <w:p w14:paraId="2D3526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988" w:type="dxa"/>
          </w:tcPr>
          <w:p w14:paraId="6B0E44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w:t>
            </w:r>
          </w:p>
        </w:tc>
        <w:tc>
          <w:tcPr>
            <w:tcW w:w="851" w:type="dxa"/>
          </w:tcPr>
          <w:p w14:paraId="1D719B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w:t>
            </w:r>
          </w:p>
        </w:tc>
        <w:tc>
          <w:tcPr>
            <w:tcW w:w="722" w:type="dxa"/>
          </w:tcPr>
          <w:p w14:paraId="2A77A2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w:t>
            </w:r>
          </w:p>
        </w:tc>
        <w:tc>
          <w:tcPr>
            <w:tcW w:w="722" w:type="dxa"/>
          </w:tcPr>
          <w:p w14:paraId="4AB116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w:t>
            </w:r>
          </w:p>
        </w:tc>
        <w:tc>
          <w:tcPr>
            <w:tcW w:w="722" w:type="dxa"/>
          </w:tcPr>
          <w:p w14:paraId="06AD17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99</w:t>
            </w:r>
          </w:p>
        </w:tc>
      </w:tr>
      <w:tr w:rsidR="00643896" w:rsidRPr="00640820" w14:paraId="39ADD7FD" w14:textId="77777777" w:rsidTr="000D3BCB">
        <w:tc>
          <w:tcPr>
            <w:tcW w:w="800" w:type="dxa"/>
          </w:tcPr>
          <w:p w14:paraId="106C53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т.ч. другие не принятые</w:t>
            </w:r>
          </w:p>
        </w:tc>
        <w:tc>
          <w:tcPr>
            <w:tcW w:w="800" w:type="dxa"/>
          </w:tcPr>
          <w:p w14:paraId="26C049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39D956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61EAE9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0C08BE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467F3E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З4</w:t>
            </w:r>
          </w:p>
        </w:tc>
        <w:tc>
          <w:tcPr>
            <w:tcW w:w="800" w:type="dxa"/>
          </w:tcPr>
          <w:p w14:paraId="1A8072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4CB391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1FE2A3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988" w:type="dxa"/>
          </w:tcPr>
          <w:p w14:paraId="549A41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w:t>
            </w:r>
          </w:p>
        </w:tc>
        <w:tc>
          <w:tcPr>
            <w:tcW w:w="851" w:type="dxa"/>
          </w:tcPr>
          <w:p w14:paraId="3CDB0A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22" w:type="dxa"/>
          </w:tcPr>
          <w:p w14:paraId="3A2121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w:t>
            </w:r>
          </w:p>
        </w:tc>
        <w:tc>
          <w:tcPr>
            <w:tcW w:w="722" w:type="dxa"/>
          </w:tcPr>
          <w:p w14:paraId="241D98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22" w:type="dxa"/>
          </w:tcPr>
          <w:p w14:paraId="1E8043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w:t>
            </w:r>
          </w:p>
        </w:tc>
      </w:tr>
      <w:tr w:rsidR="00643896" w:rsidRPr="00640820" w14:paraId="51C188E9" w14:textId="77777777" w:rsidTr="000D3BCB">
        <w:tc>
          <w:tcPr>
            <w:tcW w:w="800" w:type="dxa"/>
          </w:tcPr>
          <w:p w14:paraId="5D43E0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Осталось на заводе</w:t>
            </w:r>
          </w:p>
        </w:tc>
        <w:tc>
          <w:tcPr>
            <w:tcW w:w="800" w:type="dxa"/>
          </w:tcPr>
          <w:p w14:paraId="10075A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w:t>
            </w:r>
          </w:p>
        </w:tc>
        <w:tc>
          <w:tcPr>
            <w:tcW w:w="800" w:type="dxa"/>
          </w:tcPr>
          <w:p w14:paraId="0525B5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w:t>
            </w:r>
          </w:p>
        </w:tc>
        <w:tc>
          <w:tcPr>
            <w:tcW w:w="800" w:type="dxa"/>
          </w:tcPr>
          <w:p w14:paraId="12A1CA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32</w:t>
            </w:r>
          </w:p>
        </w:tc>
        <w:tc>
          <w:tcPr>
            <w:tcW w:w="800" w:type="dxa"/>
          </w:tcPr>
          <w:p w14:paraId="63CFC2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55</w:t>
            </w:r>
          </w:p>
        </w:tc>
        <w:tc>
          <w:tcPr>
            <w:tcW w:w="800" w:type="dxa"/>
          </w:tcPr>
          <w:p w14:paraId="34762F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83</w:t>
            </w:r>
          </w:p>
        </w:tc>
        <w:tc>
          <w:tcPr>
            <w:tcW w:w="800" w:type="dxa"/>
          </w:tcPr>
          <w:p w14:paraId="350D0C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118</w:t>
            </w:r>
          </w:p>
        </w:tc>
        <w:tc>
          <w:tcPr>
            <w:tcW w:w="800" w:type="dxa"/>
          </w:tcPr>
          <w:p w14:paraId="50A73C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61</w:t>
            </w:r>
          </w:p>
        </w:tc>
        <w:tc>
          <w:tcPr>
            <w:tcW w:w="800" w:type="dxa"/>
          </w:tcPr>
          <w:p w14:paraId="3AC480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61</w:t>
            </w:r>
          </w:p>
        </w:tc>
        <w:tc>
          <w:tcPr>
            <w:tcW w:w="988" w:type="dxa"/>
          </w:tcPr>
          <w:p w14:paraId="1F8377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74</w:t>
            </w:r>
          </w:p>
        </w:tc>
        <w:tc>
          <w:tcPr>
            <w:tcW w:w="851" w:type="dxa"/>
          </w:tcPr>
          <w:p w14:paraId="1186E6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106</w:t>
            </w:r>
          </w:p>
        </w:tc>
        <w:tc>
          <w:tcPr>
            <w:tcW w:w="722" w:type="dxa"/>
          </w:tcPr>
          <w:p w14:paraId="7F4E53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87</w:t>
            </w:r>
          </w:p>
        </w:tc>
        <w:tc>
          <w:tcPr>
            <w:tcW w:w="722" w:type="dxa"/>
          </w:tcPr>
          <w:p w14:paraId="7AE244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ЮЗ8</w:t>
            </w:r>
          </w:p>
        </w:tc>
        <w:tc>
          <w:tcPr>
            <w:tcW w:w="722" w:type="dxa"/>
          </w:tcPr>
          <w:p w14:paraId="555C51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r>
      <w:tr w:rsidR="00643896" w:rsidRPr="00640820" w14:paraId="7B270013" w14:textId="77777777" w:rsidTr="000D3BCB">
        <w:tc>
          <w:tcPr>
            <w:tcW w:w="800" w:type="dxa"/>
          </w:tcPr>
          <w:p w14:paraId="08AE29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 т.ч. принятых</w:t>
            </w:r>
          </w:p>
        </w:tc>
        <w:tc>
          <w:tcPr>
            <w:tcW w:w="800" w:type="dxa"/>
          </w:tcPr>
          <w:p w14:paraId="1C6C08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779069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w:t>
            </w:r>
          </w:p>
        </w:tc>
        <w:tc>
          <w:tcPr>
            <w:tcW w:w="800" w:type="dxa"/>
          </w:tcPr>
          <w:p w14:paraId="7A1EE0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31</w:t>
            </w:r>
          </w:p>
        </w:tc>
        <w:tc>
          <w:tcPr>
            <w:tcW w:w="800" w:type="dxa"/>
          </w:tcPr>
          <w:p w14:paraId="0DA6A8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54</w:t>
            </w:r>
          </w:p>
        </w:tc>
        <w:tc>
          <w:tcPr>
            <w:tcW w:w="800" w:type="dxa"/>
          </w:tcPr>
          <w:p w14:paraId="4D9750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83</w:t>
            </w:r>
          </w:p>
        </w:tc>
        <w:tc>
          <w:tcPr>
            <w:tcW w:w="800" w:type="dxa"/>
          </w:tcPr>
          <w:p w14:paraId="4109A3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117</w:t>
            </w:r>
          </w:p>
        </w:tc>
        <w:tc>
          <w:tcPr>
            <w:tcW w:w="800" w:type="dxa"/>
          </w:tcPr>
          <w:p w14:paraId="29C56C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57</w:t>
            </w:r>
          </w:p>
        </w:tc>
        <w:tc>
          <w:tcPr>
            <w:tcW w:w="800" w:type="dxa"/>
          </w:tcPr>
          <w:p w14:paraId="15D221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60</w:t>
            </w:r>
          </w:p>
        </w:tc>
        <w:tc>
          <w:tcPr>
            <w:tcW w:w="988" w:type="dxa"/>
          </w:tcPr>
          <w:p w14:paraId="394BD6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73</w:t>
            </w:r>
          </w:p>
        </w:tc>
        <w:tc>
          <w:tcPr>
            <w:tcW w:w="851" w:type="dxa"/>
          </w:tcPr>
          <w:p w14:paraId="2D619B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98</w:t>
            </w:r>
          </w:p>
        </w:tc>
        <w:tc>
          <w:tcPr>
            <w:tcW w:w="722" w:type="dxa"/>
          </w:tcPr>
          <w:p w14:paraId="149697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71</w:t>
            </w:r>
          </w:p>
        </w:tc>
        <w:tc>
          <w:tcPr>
            <w:tcW w:w="722" w:type="dxa"/>
          </w:tcPr>
          <w:p w14:paraId="702E82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98</w:t>
            </w:r>
          </w:p>
        </w:tc>
        <w:tc>
          <w:tcPr>
            <w:tcW w:w="722" w:type="dxa"/>
          </w:tcPr>
          <w:p w14:paraId="4342F7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r>
      <w:tr w:rsidR="00643896" w:rsidRPr="00640820" w14:paraId="515C50FE" w14:textId="77777777" w:rsidTr="000D3BCB">
        <w:tc>
          <w:tcPr>
            <w:tcW w:w="800" w:type="dxa"/>
            <w:tcBorders>
              <w:bottom w:val="single" w:sz="12" w:space="0" w:color="auto"/>
            </w:tcBorders>
          </w:tcPr>
          <w:p w14:paraId="223AC0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 т.ч. облетанных</w:t>
            </w:r>
          </w:p>
        </w:tc>
        <w:tc>
          <w:tcPr>
            <w:tcW w:w="800" w:type="dxa"/>
            <w:tcBorders>
              <w:bottom w:val="single" w:sz="12" w:space="0" w:color="auto"/>
            </w:tcBorders>
          </w:tcPr>
          <w:p w14:paraId="43017C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Borders>
              <w:bottom w:val="single" w:sz="12" w:space="0" w:color="auto"/>
            </w:tcBorders>
          </w:tcPr>
          <w:p w14:paraId="2B1843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Borders>
              <w:bottom w:val="single" w:sz="12" w:space="0" w:color="auto"/>
            </w:tcBorders>
          </w:tcPr>
          <w:p w14:paraId="5CDC93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w:t>
            </w:r>
          </w:p>
        </w:tc>
        <w:tc>
          <w:tcPr>
            <w:tcW w:w="800" w:type="dxa"/>
            <w:tcBorders>
              <w:bottom w:val="single" w:sz="12" w:space="0" w:color="auto"/>
            </w:tcBorders>
          </w:tcPr>
          <w:p w14:paraId="1500A0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Borders>
              <w:bottom w:val="single" w:sz="12" w:space="0" w:color="auto"/>
            </w:tcBorders>
          </w:tcPr>
          <w:p w14:paraId="540F85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Borders>
              <w:bottom w:val="single" w:sz="12" w:space="0" w:color="auto"/>
            </w:tcBorders>
          </w:tcPr>
          <w:p w14:paraId="7273BF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Borders>
              <w:bottom w:val="single" w:sz="12" w:space="0" w:color="auto"/>
            </w:tcBorders>
          </w:tcPr>
          <w:p w14:paraId="5D8649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w:t>
            </w:r>
          </w:p>
        </w:tc>
        <w:tc>
          <w:tcPr>
            <w:tcW w:w="800" w:type="dxa"/>
            <w:tcBorders>
              <w:bottom w:val="single" w:sz="12" w:space="0" w:color="auto"/>
            </w:tcBorders>
          </w:tcPr>
          <w:p w14:paraId="03CEB4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59</w:t>
            </w:r>
          </w:p>
        </w:tc>
        <w:tc>
          <w:tcPr>
            <w:tcW w:w="988" w:type="dxa"/>
            <w:tcBorders>
              <w:bottom w:val="single" w:sz="12" w:space="0" w:color="auto"/>
            </w:tcBorders>
          </w:tcPr>
          <w:p w14:paraId="2BDD73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60</w:t>
            </w:r>
          </w:p>
        </w:tc>
        <w:tc>
          <w:tcPr>
            <w:tcW w:w="851" w:type="dxa"/>
            <w:tcBorders>
              <w:bottom w:val="single" w:sz="12" w:space="0" w:color="auto"/>
            </w:tcBorders>
          </w:tcPr>
          <w:p w14:paraId="69B0FB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Borders>
              <w:bottom w:val="single" w:sz="12" w:space="0" w:color="auto"/>
            </w:tcBorders>
          </w:tcPr>
          <w:p w14:paraId="45B70B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59</w:t>
            </w:r>
          </w:p>
        </w:tc>
        <w:tc>
          <w:tcPr>
            <w:tcW w:w="722" w:type="dxa"/>
            <w:tcBorders>
              <w:bottom w:val="single" w:sz="12" w:space="0" w:color="auto"/>
            </w:tcBorders>
          </w:tcPr>
          <w:p w14:paraId="1A3B7F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48</w:t>
            </w:r>
          </w:p>
        </w:tc>
        <w:tc>
          <w:tcPr>
            <w:tcW w:w="722" w:type="dxa"/>
            <w:tcBorders>
              <w:bottom w:val="single" w:sz="12" w:space="0" w:color="auto"/>
            </w:tcBorders>
          </w:tcPr>
          <w:p w14:paraId="779CB1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r>
    </w:tbl>
    <w:p w14:paraId="5D9C01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План, установленный приказом наркома авиапромышленности № 568сс от 24 июня 194</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 xml:space="preserve"> г. в изменение приказа № 702сс от 9 декабря 1940 г.</w:t>
      </w:r>
    </w:p>
    <w:p w14:paraId="44EAEF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2. Приведены данные по РГАЭ ф.8040 оп.1 д.886 л.9.</w:t>
      </w:r>
    </w:p>
    <w:p w14:paraId="03FE0C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 Из этого числа в деталях и агрегатах (или как тогда говорили "россыпью") пять Як-1, которые были отправлены 14.01.42 г. на завод № 30 для организации производства. На этом заводе к сборке самолетов так и не приступили. Задел деталей был передан 20 февраля на завод № 23, а затем 6 мая 1942 г. на завод № 301. Машины №№ 1749, 2549, 2749, 2949, 3349 "увидели свет" только в 1943 году. Причем летная жизнь самолетов № 2749 и 3349 оказалась недолгой (меньше одного часа!). При перелете в часть после взлета с заводского аэродрома оба были разбиты при вынужденной посадке из-за отказа мотора. А также </w:t>
      </w:r>
      <w:r w:rsidRPr="00640820">
        <w:rPr>
          <w:rFonts w:ascii="Times New Roman" w:hAnsi="Times New Roman"/>
          <w:color w:val="000000" w:themeColor="text1"/>
          <w:sz w:val="16"/>
          <w:szCs w:val="16"/>
          <w:lang w:val="en-US"/>
        </w:rPr>
        <w:t>II</w:t>
      </w:r>
      <w:r w:rsidRPr="00640820">
        <w:rPr>
          <w:rFonts w:ascii="Times New Roman" w:hAnsi="Times New Roman"/>
          <w:color w:val="000000" w:themeColor="text1"/>
          <w:sz w:val="16"/>
          <w:szCs w:val="16"/>
        </w:rPr>
        <w:t xml:space="preserve"> Як-1, отправленные россыпью для организации производства на заводе № 47. Там в начале 1942 г. собрали всего две машины (№ 4844 и № 4944, которые поступили с моторами). Остальные машины (три в расстыкованном состоянии) и агрегаты еще на шесть самолетов россыпью вернули на завод № 292 в июне 1942 г.</w:t>
      </w:r>
    </w:p>
    <w:p w14:paraId="4424D9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В это число входят Як-1 не подлежавшие военной приемке № 1111 (отправлен на завод № 115), № 1811 (отправлен в ЛИИ НКАП) и Як-1 № 1314 (проходивий эксплуатационные испытания на заводе)</w:t>
      </w:r>
    </w:p>
    <w:p w14:paraId="54BDEE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Як-1 № 0915 не подлежавший военной приемке, отправленный в ЛИИ НКАП.</w:t>
      </w:r>
    </w:p>
    <w:p w14:paraId="157EE4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Як-1 № 0130 отправленый на завод № 26</w:t>
      </w:r>
    </w:p>
    <w:p w14:paraId="401F13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11 Як-1 россыпью на завод № 47.</w:t>
      </w:r>
    </w:p>
    <w:p w14:paraId="034B7D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8. В том числе 76 для ГУ </w:t>
      </w:r>
      <w:r w:rsidRPr="00640820">
        <w:rPr>
          <w:rFonts w:ascii="Times New Roman" w:hAnsi="Times New Roman"/>
          <w:color w:val="000000" w:themeColor="text1"/>
          <w:sz w:val="16"/>
          <w:szCs w:val="16"/>
          <w:lang w:val="en-US"/>
        </w:rPr>
        <w:t>BBC</w:t>
      </w:r>
      <w:r w:rsidRPr="00640820">
        <w:rPr>
          <w:rFonts w:ascii="Times New Roman" w:hAnsi="Times New Roman"/>
          <w:color w:val="000000" w:themeColor="text1"/>
          <w:sz w:val="16"/>
          <w:szCs w:val="16"/>
        </w:rPr>
        <w:t xml:space="preserve"> КА, 22 для УА ВМФ, пять Як-1 россыпью для завода № 30 (12048).</w:t>
      </w:r>
    </w:p>
    <w:p w14:paraId="0216B5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C345A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октябрю 1941 г. в Омске работали все цеха завода № 156, за исключением части агрегатных цехов (цех крыла, оперения и отчасти центроплана), ко</w:t>
      </w:r>
      <w:r w:rsidRPr="00640820">
        <w:rPr>
          <w:rFonts w:ascii="Times New Roman" w:hAnsi="Times New Roman"/>
          <w:color w:val="000000" w:themeColor="text1"/>
          <w:sz w:val="16"/>
          <w:szCs w:val="16"/>
        </w:rPr>
        <w:softHyphen/>
        <w:t>торые работали не полностью. В этот период все заготовительные цеха проводили работу на задел, а агрегатные цеха (центроплан, кры</w:t>
      </w:r>
      <w:r w:rsidRPr="00640820">
        <w:rPr>
          <w:rFonts w:ascii="Times New Roman" w:hAnsi="Times New Roman"/>
          <w:color w:val="000000" w:themeColor="text1"/>
          <w:sz w:val="16"/>
          <w:szCs w:val="16"/>
        </w:rPr>
        <w:softHyphen/>
        <w:t>ло, фюзеляж, оперение) только по детальной сборке. Еще не один из крупных стапельных агрегатов в это время не был заложен. По вы</w:t>
      </w:r>
      <w:r w:rsidRPr="00640820">
        <w:rPr>
          <w:rFonts w:ascii="Times New Roman" w:hAnsi="Times New Roman"/>
          <w:color w:val="000000" w:themeColor="text1"/>
          <w:sz w:val="16"/>
          <w:szCs w:val="16"/>
        </w:rPr>
        <w:softHyphen/>
        <w:t>пуску заводу было намечено заместителем наркома авиационной промышленности Н. В. Дементьевым изготовить 2 самолета в ноябре и 8 самолетов в декабре, с соответствующим набором мощностей на первый квартал 1942 г. (Центр документации новейшей истории Омской области (ЦДНИОО). Ф. 17. Оп. 1. Д. 2995. Л. 26.) Первым директором объединенного завода № 166 был назначен первый Герой Советского Союза А. В. Ляпидевский. Он прибыл вместе со своим заводом № 156 в город Омск и рабо</w:t>
      </w:r>
      <w:r w:rsidRPr="00640820">
        <w:rPr>
          <w:rFonts w:ascii="Times New Roman" w:hAnsi="Times New Roman"/>
          <w:color w:val="000000" w:themeColor="text1"/>
          <w:sz w:val="16"/>
          <w:szCs w:val="16"/>
        </w:rPr>
        <w:softHyphen/>
        <w:t>тал до сентября 1942 г. На заводе № 166 должны были произво</w:t>
      </w:r>
      <w:r w:rsidRPr="00640820">
        <w:rPr>
          <w:rFonts w:ascii="Times New Roman" w:hAnsi="Times New Roman"/>
          <w:color w:val="000000" w:themeColor="text1"/>
          <w:sz w:val="16"/>
          <w:szCs w:val="16"/>
        </w:rPr>
        <w:softHyphen/>
        <w:t>дить самолеты типа бомбардировщик 103 – с с двумя моторами водяного охлаждения «АМ-37», которые затем заменили на моторы «М-82» воздушного охлаждения и истреби</w:t>
      </w:r>
      <w:r w:rsidRPr="00640820">
        <w:rPr>
          <w:rFonts w:ascii="Times New Roman" w:hAnsi="Times New Roman"/>
          <w:color w:val="000000" w:themeColor="text1"/>
          <w:sz w:val="16"/>
          <w:szCs w:val="16"/>
        </w:rPr>
        <w:softHyphen/>
        <w:t>тельного типа «ЯК-3». Заводы № 81 и 156 вы</w:t>
      </w:r>
      <w:r w:rsidRPr="00640820">
        <w:rPr>
          <w:rFonts w:ascii="Times New Roman" w:hAnsi="Times New Roman"/>
          <w:color w:val="000000" w:themeColor="text1"/>
          <w:sz w:val="16"/>
          <w:szCs w:val="16"/>
        </w:rPr>
        <w:softHyphen/>
        <w:t>везли из Москвы 909 единиц металлорежуще</w:t>
      </w:r>
      <w:r w:rsidRPr="00640820">
        <w:rPr>
          <w:rFonts w:ascii="Times New Roman" w:hAnsi="Times New Roman"/>
          <w:color w:val="000000" w:themeColor="text1"/>
          <w:sz w:val="16"/>
          <w:szCs w:val="16"/>
        </w:rPr>
        <w:softHyphen/>
        <w:t>го и деревообрабатывающего оборудования, из них к октябрю было установлено 880 еди</w:t>
      </w:r>
      <w:r w:rsidRPr="00640820">
        <w:rPr>
          <w:rFonts w:ascii="Times New Roman" w:hAnsi="Times New Roman"/>
          <w:color w:val="000000" w:themeColor="text1"/>
          <w:sz w:val="16"/>
          <w:szCs w:val="16"/>
        </w:rPr>
        <w:softHyphen/>
        <w:t>ниц, остальные станки должны были пройти капитальный и восстановительный ремонт. Помимо вышеуказанного оборудования было смонтировано еще 700 единиц производ</w:t>
      </w:r>
      <w:r w:rsidRPr="00640820">
        <w:rPr>
          <w:rFonts w:ascii="Times New Roman" w:hAnsi="Times New Roman"/>
          <w:color w:val="000000" w:themeColor="text1"/>
          <w:sz w:val="16"/>
          <w:szCs w:val="16"/>
        </w:rPr>
        <w:softHyphen/>
        <w:t>ственного и энергетического оборудования, сюда относились оборудования медницких цехов, литейная, кузница, пресса, компрес</w:t>
      </w:r>
      <w:r w:rsidRPr="00640820">
        <w:rPr>
          <w:rFonts w:ascii="Times New Roman" w:hAnsi="Times New Roman"/>
          <w:color w:val="000000" w:themeColor="text1"/>
          <w:sz w:val="16"/>
          <w:szCs w:val="16"/>
        </w:rPr>
        <w:softHyphen/>
        <w:t>сора, трансформаторы, печи и прочие. Кроме этого необходимо было еще смонтировать 111 единиц оборудования. На заводе № 166 производилась большая работа по замене на серийных самолетах остродефицитных цветных и черных метал</w:t>
      </w:r>
      <w:r w:rsidRPr="00640820">
        <w:rPr>
          <w:rFonts w:ascii="Times New Roman" w:hAnsi="Times New Roman"/>
          <w:color w:val="000000" w:themeColor="text1"/>
          <w:sz w:val="16"/>
          <w:szCs w:val="16"/>
        </w:rPr>
        <w:softHyphen/>
        <w:t>лов материалами не дефицитными. Также была проведена большая работа внутри за</w:t>
      </w:r>
      <w:r w:rsidRPr="00640820">
        <w:rPr>
          <w:rFonts w:ascii="Times New Roman" w:hAnsi="Times New Roman"/>
          <w:color w:val="000000" w:themeColor="text1"/>
          <w:sz w:val="16"/>
          <w:szCs w:val="16"/>
        </w:rPr>
        <w:softHyphen/>
        <w:t>вода по изготовлению нормального и восста</w:t>
      </w:r>
      <w:r w:rsidRPr="00640820">
        <w:rPr>
          <w:rFonts w:ascii="Times New Roman" w:hAnsi="Times New Roman"/>
          <w:color w:val="000000" w:themeColor="text1"/>
          <w:sz w:val="16"/>
          <w:szCs w:val="16"/>
        </w:rPr>
        <w:softHyphen/>
        <w:t>новлению изношенного инструмента (Центр документации новейшей истории Омской области (ЦДНИОО). Ф. 17. Оп. 1. Д. 2995. Л. 26.) (11896). В Омск прибыло также оборудование из г. Запорожья одного из крупных авиамото</w:t>
      </w:r>
      <w:r w:rsidRPr="00640820">
        <w:rPr>
          <w:rFonts w:ascii="Times New Roman" w:hAnsi="Times New Roman"/>
          <w:color w:val="000000" w:themeColor="text1"/>
          <w:sz w:val="16"/>
          <w:szCs w:val="16"/>
        </w:rPr>
        <w:softHyphen/>
        <w:t>ростроительных заводов № 29 имени П. И. Баранова. Для организации разгрузочных работ, охра</w:t>
      </w:r>
      <w:r w:rsidRPr="00640820">
        <w:rPr>
          <w:rFonts w:ascii="Times New Roman" w:hAnsi="Times New Roman"/>
          <w:color w:val="000000" w:themeColor="text1"/>
          <w:sz w:val="16"/>
          <w:szCs w:val="16"/>
        </w:rPr>
        <w:softHyphen/>
        <w:t>ны оборудования, размещения прибывающих в Омск людей срочно был направлен началь</w:t>
      </w:r>
      <w:r w:rsidRPr="00640820">
        <w:rPr>
          <w:rFonts w:ascii="Times New Roman" w:hAnsi="Times New Roman"/>
          <w:color w:val="000000" w:themeColor="text1"/>
          <w:sz w:val="16"/>
          <w:szCs w:val="16"/>
        </w:rPr>
        <w:softHyphen/>
        <w:t>ник цеха Георгий Колотиленко. Перед отправ</w:t>
      </w:r>
      <w:r w:rsidRPr="00640820">
        <w:rPr>
          <w:rFonts w:ascii="Times New Roman" w:hAnsi="Times New Roman"/>
          <w:color w:val="000000" w:themeColor="text1"/>
          <w:sz w:val="16"/>
          <w:szCs w:val="16"/>
        </w:rPr>
        <w:softHyphen/>
        <w:t>кой ему говорили, что место (пустырь) уже освоено и можно будет быстро наладить про</w:t>
      </w:r>
      <w:r w:rsidRPr="00640820">
        <w:rPr>
          <w:rFonts w:ascii="Times New Roman" w:hAnsi="Times New Roman"/>
          <w:color w:val="000000" w:themeColor="text1"/>
          <w:sz w:val="16"/>
          <w:szCs w:val="16"/>
        </w:rPr>
        <w:softHyphen/>
        <w:t>изводство моторов. Еще в 1936 г. здесь нача</w:t>
      </w:r>
      <w:r w:rsidRPr="00640820">
        <w:rPr>
          <w:rFonts w:ascii="Times New Roman" w:hAnsi="Times New Roman"/>
          <w:color w:val="000000" w:themeColor="text1"/>
          <w:sz w:val="16"/>
          <w:szCs w:val="16"/>
        </w:rPr>
        <w:softHyphen/>
        <w:t>лось строительство авиаремонтного завода и аэродрома. В 1940 г. его профиль был изменен – он преобразовался в двигателестроитель</w:t>
      </w:r>
      <w:r w:rsidRPr="00640820">
        <w:rPr>
          <w:rFonts w:ascii="Times New Roman" w:hAnsi="Times New Roman"/>
          <w:color w:val="000000" w:themeColor="text1"/>
          <w:sz w:val="16"/>
          <w:szCs w:val="16"/>
        </w:rPr>
        <w:softHyphen/>
        <w:t>ный (авиа) завод № 166. Однако в начале во</w:t>
      </w:r>
      <w:r w:rsidRPr="00640820">
        <w:rPr>
          <w:rFonts w:ascii="Times New Roman" w:hAnsi="Times New Roman"/>
          <w:color w:val="000000" w:themeColor="text1"/>
          <w:sz w:val="16"/>
          <w:szCs w:val="16"/>
        </w:rPr>
        <w:softHyphen/>
        <w:t>йны на его площадку пришлось эвакуировать московские заводы 156 и 81. Но и отсюда эти три завода, объединенные номером 166, при</w:t>
      </w:r>
      <w:r w:rsidRPr="00640820">
        <w:rPr>
          <w:rFonts w:ascii="Times New Roman" w:hAnsi="Times New Roman"/>
          <w:color w:val="000000" w:themeColor="text1"/>
          <w:sz w:val="16"/>
          <w:szCs w:val="16"/>
        </w:rPr>
        <w:softHyphen/>
        <w:t>шлось оттеснить на соседнюю площадку. На их место прописали приднепровских моторо</w:t>
      </w:r>
      <w:r w:rsidRPr="00640820">
        <w:rPr>
          <w:rFonts w:ascii="Times New Roman" w:hAnsi="Times New Roman"/>
          <w:color w:val="000000" w:themeColor="text1"/>
          <w:sz w:val="16"/>
          <w:szCs w:val="16"/>
        </w:rPr>
        <w:softHyphen/>
        <w:t>строителей. Увиденное в Омске Колотиленко обрадовало мало. Оборудование можно было размещать лишь в 5 корпусах, шестой стоял в строительных лесах. Наибольшую озабочен</w:t>
      </w:r>
      <w:r w:rsidRPr="00640820">
        <w:rPr>
          <w:rFonts w:ascii="Times New Roman" w:hAnsi="Times New Roman"/>
          <w:color w:val="000000" w:themeColor="text1"/>
          <w:sz w:val="16"/>
          <w:szCs w:val="16"/>
        </w:rPr>
        <w:softHyphen/>
        <w:t>ность вызывала предстоящая транспортиров</w:t>
      </w:r>
      <w:r w:rsidRPr="00640820">
        <w:rPr>
          <w:rFonts w:ascii="Times New Roman" w:hAnsi="Times New Roman"/>
          <w:color w:val="000000" w:themeColor="text1"/>
          <w:sz w:val="16"/>
          <w:szCs w:val="16"/>
        </w:rPr>
        <w:softHyphen/>
        <w:t>ка Запорожского завода от железнодорожной станции до площадки. Ветки нет, автопарк не</w:t>
      </w:r>
      <w:r w:rsidRPr="00640820">
        <w:rPr>
          <w:rFonts w:ascii="Times New Roman" w:hAnsi="Times New Roman"/>
          <w:color w:val="000000" w:themeColor="text1"/>
          <w:sz w:val="16"/>
          <w:szCs w:val="16"/>
        </w:rPr>
        <w:softHyphen/>
        <w:t>велик. А принять надо 60 с лишним эшелонов с грузом. Оставалось единственное – срочно проложить шесть километров железнодорож</w:t>
      </w:r>
      <w:r w:rsidRPr="00640820">
        <w:rPr>
          <w:rFonts w:ascii="Times New Roman" w:hAnsi="Times New Roman"/>
          <w:color w:val="000000" w:themeColor="text1"/>
          <w:sz w:val="16"/>
          <w:szCs w:val="16"/>
        </w:rPr>
        <w:softHyphen/>
        <w:t>ного полотна. С этой целью был организован общегородской воскресник. Помогали все предприятия, тысячи омичей, деревообра</w:t>
      </w:r>
      <w:r w:rsidRPr="00640820">
        <w:rPr>
          <w:rFonts w:ascii="Times New Roman" w:hAnsi="Times New Roman"/>
          <w:color w:val="000000" w:themeColor="text1"/>
          <w:sz w:val="16"/>
          <w:szCs w:val="16"/>
        </w:rPr>
        <w:softHyphen/>
        <w:t>батывающий завод поставил шпалы. Ветку провели за один день. И в этот же день вы</w:t>
      </w:r>
      <w:r w:rsidRPr="00640820">
        <w:rPr>
          <w:rFonts w:ascii="Times New Roman" w:hAnsi="Times New Roman"/>
          <w:color w:val="000000" w:themeColor="text1"/>
          <w:sz w:val="16"/>
          <w:szCs w:val="16"/>
        </w:rPr>
        <w:softHyphen/>
        <w:t>груженное оборудование в Кировском райо</w:t>
      </w:r>
      <w:r w:rsidRPr="00640820">
        <w:rPr>
          <w:rFonts w:ascii="Times New Roman" w:hAnsi="Times New Roman"/>
          <w:color w:val="000000" w:themeColor="text1"/>
          <w:sz w:val="16"/>
          <w:szCs w:val="16"/>
        </w:rPr>
        <w:softHyphen/>
        <w:t>не начали отправлять на его законное место. Вспоминает Николай Куплайс, работавший на заводе с 1933 по 1994 г. В Омск прибыло 1056 платформ и вагонов с оборудованием и около 12 тысяч работников и членов их семей. Последний эшелон пришел в Омск в конце сентября 1941 г. Для сборщиков и испытате</w:t>
      </w:r>
      <w:r w:rsidRPr="00640820">
        <w:rPr>
          <w:rFonts w:ascii="Times New Roman" w:hAnsi="Times New Roman"/>
          <w:color w:val="000000" w:themeColor="text1"/>
          <w:sz w:val="16"/>
          <w:szCs w:val="16"/>
        </w:rPr>
        <w:softHyphen/>
        <w:t>лей был отведен пустырь. Соорудили шалаш из брезента и начали разбирать собранные в Запорожье узлы. Освещения не было, поэто</w:t>
      </w:r>
      <w:r w:rsidRPr="00640820">
        <w:rPr>
          <w:rFonts w:ascii="Times New Roman" w:hAnsi="Times New Roman"/>
          <w:color w:val="000000" w:themeColor="text1"/>
          <w:sz w:val="16"/>
          <w:szCs w:val="16"/>
        </w:rPr>
        <w:softHyphen/>
        <w:t>му работали только днем. В помощь одной ко</w:t>
      </w:r>
      <w:r w:rsidRPr="00640820">
        <w:rPr>
          <w:rFonts w:ascii="Times New Roman" w:hAnsi="Times New Roman"/>
          <w:color w:val="000000" w:themeColor="text1"/>
          <w:sz w:val="16"/>
          <w:szCs w:val="16"/>
        </w:rPr>
        <w:softHyphen/>
        <w:t>тельной пригнали 10 локомотивов, которые в цехи подавали пар. В ночь с 6 на 7 ноября был успешно испытан впервые собранный на ом</w:t>
      </w:r>
      <w:r w:rsidRPr="00640820">
        <w:rPr>
          <w:rFonts w:ascii="Times New Roman" w:hAnsi="Times New Roman"/>
          <w:color w:val="000000" w:themeColor="text1"/>
          <w:sz w:val="16"/>
          <w:szCs w:val="16"/>
        </w:rPr>
        <w:softHyphen/>
        <w:t>ской земле авиационный двигатель М-88Б... (11896). В спешно введенных в эксплуатацию и еще недостроенных цехах началось изготовление производственно-технического задела и по</w:t>
      </w:r>
      <w:r w:rsidRPr="00640820">
        <w:rPr>
          <w:rFonts w:ascii="Times New Roman" w:hAnsi="Times New Roman"/>
          <w:color w:val="000000" w:themeColor="text1"/>
          <w:sz w:val="16"/>
          <w:szCs w:val="16"/>
        </w:rPr>
        <w:softHyphen/>
        <w:t>луфабрикатов, рассчитанных на выпуск до 400–450 авиамоторов «М-88», также доводка мотора «М-89» и модели «М-90» для запуска в серийное производство. Завод № 29 (дирек</w:t>
      </w:r>
      <w:r w:rsidRPr="00640820">
        <w:rPr>
          <w:rFonts w:ascii="Times New Roman" w:hAnsi="Times New Roman"/>
          <w:color w:val="000000" w:themeColor="text1"/>
          <w:sz w:val="16"/>
          <w:szCs w:val="16"/>
        </w:rPr>
        <w:softHyphen/>
        <w:t>торы завода М. М. Лукин, И. Г. Борисов (с 1942 г.)) прибыл в основном в сентябре 1941 г. Завод прибыл на строительную площадку, но до конца года для этого завода были по</w:t>
      </w:r>
      <w:r w:rsidRPr="00640820">
        <w:rPr>
          <w:rFonts w:ascii="Times New Roman" w:hAnsi="Times New Roman"/>
          <w:color w:val="000000" w:themeColor="text1"/>
          <w:sz w:val="16"/>
          <w:szCs w:val="16"/>
        </w:rPr>
        <w:softHyphen/>
        <w:t>строены огромные производственные пло</w:t>
      </w:r>
      <w:r w:rsidRPr="00640820">
        <w:rPr>
          <w:rFonts w:ascii="Times New Roman" w:hAnsi="Times New Roman"/>
          <w:color w:val="000000" w:themeColor="text1"/>
          <w:sz w:val="16"/>
          <w:szCs w:val="16"/>
        </w:rPr>
        <w:softHyphen/>
        <w:t>щади, проведены большие работы по комму</w:t>
      </w:r>
      <w:r w:rsidRPr="00640820">
        <w:rPr>
          <w:rFonts w:ascii="Times New Roman" w:hAnsi="Times New Roman"/>
          <w:color w:val="000000" w:themeColor="text1"/>
          <w:sz w:val="16"/>
          <w:szCs w:val="16"/>
        </w:rPr>
        <w:softHyphen/>
        <w:t>никациям и другим вспомогательным хозяй</w:t>
      </w:r>
      <w:r w:rsidRPr="00640820">
        <w:rPr>
          <w:rFonts w:ascii="Times New Roman" w:hAnsi="Times New Roman"/>
          <w:color w:val="000000" w:themeColor="text1"/>
          <w:sz w:val="16"/>
          <w:szCs w:val="16"/>
        </w:rPr>
        <w:softHyphen/>
        <w:t>ствам. 2 декабря 1941 г. по заводу был издан приказ, положивший начало новому этапу его развития – освоению и производству более экономичных и надежных двигателей, таких как АШ-82 ФН (1850 л. с.) для истребителей и бомбардировщиков. Начал работать завод на выпуск продукции в ноябре месяце, дав за ноябрь – 9,3 %, в декабре – 27,6 % и в январе 1942 г. – 100 % программы (ЦДНИОО. Ф. 17. Оп. 1. Д. 2977. Л. 15.). В мае 1942 г. коллективу завода было при</w:t>
      </w:r>
      <w:r w:rsidRPr="00640820">
        <w:rPr>
          <w:rFonts w:ascii="Times New Roman" w:hAnsi="Times New Roman"/>
          <w:color w:val="000000" w:themeColor="text1"/>
          <w:sz w:val="16"/>
          <w:szCs w:val="16"/>
        </w:rPr>
        <w:softHyphen/>
        <w:t>суждено первое место во Всесоюзном соцсо</w:t>
      </w:r>
      <w:r w:rsidRPr="00640820">
        <w:rPr>
          <w:rFonts w:ascii="Times New Roman" w:hAnsi="Times New Roman"/>
          <w:color w:val="000000" w:themeColor="text1"/>
          <w:sz w:val="16"/>
          <w:szCs w:val="16"/>
        </w:rPr>
        <w:softHyphen/>
        <w:t>ревновании и вручено переходящее Красное знамя ГКО. В первый год работы много сил уходило на обустройство производства и людей. Объекты были разбросаны, другие срочно строились. В 1942 начали возводить горячие цехи. Большая проблема была с алю</w:t>
      </w:r>
      <w:r w:rsidRPr="00640820">
        <w:rPr>
          <w:rFonts w:ascii="Times New Roman" w:hAnsi="Times New Roman"/>
          <w:color w:val="000000" w:themeColor="text1"/>
          <w:sz w:val="16"/>
          <w:szCs w:val="16"/>
        </w:rPr>
        <w:softHyphen/>
        <w:t>миниевым, бронзовым и чугунным литьем (11896).</w:t>
      </w:r>
    </w:p>
    <w:p w14:paraId="3F7FDF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7A719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октябрю 1941 г. в ВИАМе на основе мела и казеинового клея была разработана краска МК-7, неотличимая от снега и в ультрафиолетовой области спектра. Она состояла из пасты (мел, разбавленный водой со спиртом и добавкой 0,1 -0,2% ультрамарина для уничтожения желтоватости мела) и закрепителя (казеиновый клей, перемешанный с водой). Краска приготавливалась непосредственно перед применением смешением пасты и закрепителя в соотношении 6:1. После этого смесь фильтровалась через сито, имеющее 1200 отверстий на 1 см2 и разводилась до рабочей вязкости водой. Наносилась краска в 2 слоя пульверизатором или в 1-2 слоя кистью прямо на летний камуфляж верхних и боковых поверхностей. Нанесенный слой краски должен был быть ровным, без шероховатостей и через него должно было "слегка просвечиваться основное лакокрасочное покрытие"]. Для окраски одного истребителя требовалось около 6 кг. пасты МК-7, Ил-2 - 9 кг., Ил-4 или СБ - 15 кг., Ли-2 - 23 кг., У-2 - 8 кг., Пе-8-35 кг. Кроме меловой краски МК-7 имелись ее модификации МК-7Ш на основе гипса и МК-7Ф (мел, разбавленный водой со спиртом и формалином). Из-за дефицитности мела они были разработаны и в январе 1942 г. проходили испытания и другие белые смываемые краски: С-1, С-4а, Б, АБ-1, использовавшие в качестве белого пигмента алебастр, известь или гипс. Тем не менее основной осталась МК-7 и ее модификации. В зависимости от размеров крупинок мела зимняя окраска "съедала" от 10 до 25 км/ч скорости. Поэтому при изготовлении МК-7 важным было неукоснительное соблюдение технологического процесса, что не всегда выполнялось (3092).</w:t>
      </w:r>
    </w:p>
    <w:p w14:paraId="508217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9C01DBF"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4A4200A7"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11FDF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октябрю 1941 сформировалась тактика применения Ил-2 на первом этапе войны. В случае отсутствия над целью ис</w:t>
      </w:r>
      <w:r w:rsidRPr="00640820">
        <w:rPr>
          <w:rFonts w:ascii="Times New Roman" w:hAnsi="Times New Roman"/>
          <w:color w:val="000000" w:themeColor="text1"/>
          <w:sz w:val="16"/>
          <w:szCs w:val="16"/>
        </w:rPr>
        <w:softHyphen/>
        <w:t>требителей противника или при слабой ПВО, цель атаковывалась штурмовика</w:t>
      </w:r>
      <w:r w:rsidRPr="00640820">
        <w:rPr>
          <w:rFonts w:ascii="Times New Roman" w:hAnsi="Times New Roman"/>
          <w:color w:val="000000" w:themeColor="text1"/>
          <w:sz w:val="16"/>
          <w:szCs w:val="16"/>
        </w:rPr>
        <w:softHyphen/>
        <w:t>ми с нескольких заходов (обычно 2-3 захода). При этом если первую атаку группа производила, как правило, орга</w:t>
      </w:r>
      <w:r w:rsidRPr="00640820">
        <w:rPr>
          <w:rFonts w:ascii="Times New Roman" w:hAnsi="Times New Roman"/>
          <w:color w:val="000000" w:themeColor="text1"/>
          <w:sz w:val="16"/>
          <w:szCs w:val="16"/>
        </w:rPr>
        <w:softHyphen/>
        <w:t>низованно, то в последующих заходах на цель боевой порядок группы нарушался - частыми бывали случаи отрыва ведо</w:t>
      </w:r>
      <w:r w:rsidRPr="00640820">
        <w:rPr>
          <w:rFonts w:ascii="Times New Roman" w:hAnsi="Times New Roman"/>
          <w:color w:val="000000" w:themeColor="text1"/>
          <w:sz w:val="16"/>
          <w:szCs w:val="16"/>
        </w:rPr>
        <w:softHyphen/>
        <w:t>мых летчиков от боевого порядка груп</w:t>
      </w:r>
      <w:r w:rsidRPr="00640820">
        <w:rPr>
          <w:rFonts w:ascii="Times New Roman" w:hAnsi="Times New Roman"/>
          <w:color w:val="000000" w:themeColor="text1"/>
          <w:sz w:val="16"/>
          <w:szCs w:val="16"/>
        </w:rPr>
        <w:softHyphen/>
        <w:t>пы во время атаки цели, что являлось следствием слабого освоения летным составом техники пилотирования само</w:t>
      </w:r>
      <w:r w:rsidRPr="00640820">
        <w:rPr>
          <w:rFonts w:ascii="Times New Roman" w:hAnsi="Times New Roman"/>
          <w:color w:val="000000" w:themeColor="text1"/>
          <w:sz w:val="16"/>
          <w:szCs w:val="16"/>
        </w:rPr>
        <w:softHyphen/>
        <w:t>лета Ил-2 и недостаточной групповой слетанности.</w:t>
      </w:r>
    </w:p>
    <w:p w14:paraId="1ECC6E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Уход от цели после атаки осуществ</w:t>
      </w:r>
      <w:r w:rsidRPr="00640820">
        <w:rPr>
          <w:rFonts w:ascii="Times New Roman" w:hAnsi="Times New Roman"/>
          <w:color w:val="000000" w:themeColor="text1"/>
          <w:sz w:val="16"/>
          <w:szCs w:val="16"/>
        </w:rPr>
        <w:softHyphen/>
        <w:t>лялся на бреющем полете. После выхо</w:t>
      </w:r>
      <w:r w:rsidRPr="00640820">
        <w:rPr>
          <w:rFonts w:ascii="Times New Roman" w:hAnsi="Times New Roman"/>
          <w:color w:val="000000" w:themeColor="text1"/>
          <w:sz w:val="16"/>
          <w:szCs w:val="16"/>
        </w:rPr>
        <w:softHyphen/>
        <w:t>да за пределы зоны зенитного огня ПВО противника ведущим группы снижалась скорость и увеличивалась высота поле</w:t>
      </w:r>
      <w:r w:rsidRPr="00640820">
        <w:rPr>
          <w:rFonts w:ascii="Times New Roman" w:hAnsi="Times New Roman"/>
          <w:color w:val="000000" w:themeColor="text1"/>
          <w:sz w:val="16"/>
          <w:szCs w:val="16"/>
        </w:rPr>
        <w:softHyphen/>
        <w:t>та. Кроме этого, с тем, чтобы ведомые могли занять место в боевом порядке, производился маневр "змейка", обеспе</w:t>
      </w:r>
      <w:r w:rsidRPr="00640820">
        <w:rPr>
          <w:rFonts w:ascii="Times New Roman" w:hAnsi="Times New Roman"/>
          <w:color w:val="000000" w:themeColor="text1"/>
          <w:sz w:val="16"/>
          <w:szCs w:val="16"/>
        </w:rPr>
        <w:softHyphen/>
        <w:t>чивавший при этом и обзор воздушно</w:t>
      </w:r>
      <w:r w:rsidRPr="00640820">
        <w:rPr>
          <w:rFonts w:ascii="Times New Roman" w:hAnsi="Times New Roman"/>
          <w:color w:val="000000" w:themeColor="text1"/>
          <w:sz w:val="16"/>
          <w:szCs w:val="16"/>
        </w:rPr>
        <w:softHyphen/>
        <w:t>го пространства в задней полусфере.</w:t>
      </w:r>
    </w:p>
    <w:p w14:paraId="23C002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Иногда для сбора группы после ата</w:t>
      </w:r>
      <w:r w:rsidRPr="00640820">
        <w:rPr>
          <w:rFonts w:ascii="Times New Roman" w:hAnsi="Times New Roman"/>
          <w:color w:val="000000" w:themeColor="text1"/>
          <w:sz w:val="16"/>
          <w:szCs w:val="16"/>
        </w:rPr>
        <w:softHyphen/>
        <w:t>ки на удалении от цели около 10-15 км над характерным ориентиром назнача</w:t>
      </w:r>
      <w:r w:rsidRPr="00640820">
        <w:rPr>
          <w:rFonts w:ascii="Times New Roman" w:hAnsi="Times New Roman"/>
          <w:color w:val="000000" w:themeColor="text1"/>
          <w:sz w:val="16"/>
          <w:szCs w:val="16"/>
        </w:rPr>
        <w:softHyphen/>
        <w:t>лась зона ожидания.</w:t>
      </w:r>
    </w:p>
    <w:p w14:paraId="182BCB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Естественно, собрать группу после атаки цели удавалось далеко не всегда. Отставшие же от группы Ил-2, как пра</w:t>
      </w:r>
      <w:r w:rsidRPr="00640820">
        <w:rPr>
          <w:rFonts w:ascii="Times New Roman" w:hAnsi="Times New Roman"/>
          <w:color w:val="000000" w:themeColor="text1"/>
          <w:sz w:val="16"/>
          <w:szCs w:val="16"/>
        </w:rPr>
        <w:softHyphen/>
        <w:t>вило. сбивались истребительной авиа в этот период весьма эффективно.</w:t>
      </w:r>
    </w:p>
    <w:p w14:paraId="63231F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Быстро раскусив уязвимые места "Ильюшина", немецкие истребители в большинстве случаев подходили к Ил-2 сзади сбоку и немного сверху на близ</w:t>
      </w:r>
      <w:r w:rsidRPr="00640820">
        <w:rPr>
          <w:rFonts w:ascii="Times New Roman" w:hAnsi="Times New Roman"/>
          <w:color w:val="000000" w:themeColor="text1"/>
          <w:sz w:val="16"/>
          <w:szCs w:val="16"/>
        </w:rPr>
        <w:softHyphen/>
        <w:t xml:space="preserve">кие дистанции, вплоть до 40-50 м, и били по нему из всего стрелково-пушечного вооружения, стараясь поразить мотор или летчика. Кроме того, отмечались случаи, когда немецкие истребители снижались до бреющей высоты и атаковывали Ил-2 снизу-сзади, </w:t>
      </w:r>
      <w:r w:rsidRPr="00640820">
        <w:rPr>
          <w:rFonts w:ascii="Times New Roman" w:hAnsi="Times New Roman"/>
          <w:iCs/>
          <w:color w:val="000000" w:themeColor="text1"/>
          <w:sz w:val="16"/>
          <w:szCs w:val="16"/>
        </w:rPr>
        <w:t>"стремясь отбить хвост и плоскости".</w:t>
      </w:r>
      <w:r w:rsidRPr="00640820">
        <w:rPr>
          <w:rFonts w:ascii="Times New Roman" w:hAnsi="Times New Roman"/>
          <w:color w:val="000000" w:themeColor="text1"/>
          <w:sz w:val="16"/>
          <w:szCs w:val="16"/>
        </w:rPr>
        <w:t xml:space="preserve"> При этом свои истребите</w:t>
      </w:r>
      <w:r w:rsidRPr="00640820">
        <w:rPr>
          <w:rFonts w:ascii="Times New Roman" w:hAnsi="Times New Roman"/>
          <w:color w:val="000000" w:themeColor="text1"/>
          <w:sz w:val="16"/>
          <w:szCs w:val="16"/>
        </w:rPr>
        <w:softHyphen/>
        <w:t>ли прикрытия, которые, как правило, на</w:t>
      </w:r>
      <w:r w:rsidRPr="00640820">
        <w:rPr>
          <w:rFonts w:ascii="Times New Roman" w:hAnsi="Times New Roman"/>
          <w:color w:val="000000" w:themeColor="text1"/>
          <w:sz w:val="16"/>
          <w:szCs w:val="16"/>
        </w:rPr>
        <w:softHyphen/>
        <w:t>ходились выше и в стороне от штурмо</w:t>
      </w:r>
      <w:r w:rsidRPr="00640820">
        <w:rPr>
          <w:rFonts w:ascii="Times New Roman" w:hAnsi="Times New Roman"/>
          <w:color w:val="000000" w:themeColor="text1"/>
          <w:sz w:val="16"/>
          <w:szCs w:val="16"/>
        </w:rPr>
        <w:softHyphen/>
        <w:t>виков, помочь своим подопечным в этих условиях ничем не могли.</w:t>
      </w:r>
    </w:p>
    <w:p w14:paraId="55829C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Обследование 184-х бронекорпусов одноместных самолетов Ил-2, попавших в период зимы 42-го - весны 43-го на разделочные базы НКАП, проведенное в ЦНИИ-48, показало, что 71% попаданий в бронекорпуса, относящиеся к пораже</w:t>
      </w:r>
      <w:r w:rsidRPr="00640820">
        <w:rPr>
          <w:rFonts w:ascii="Times New Roman" w:hAnsi="Times New Roman"/>
          <w:color w:val="000000" w:themeColor="text1"/>
          <w:sz w:val="16"/>
          <w:szCs w:val="16"/>
        </w:rPr>
        <w:softHyphen/>
        <w:t>нию от истребителей противника, при</w:t>
      </w:r>
      <w:r w:rsidRPr="00640820">
        <w:rPr>
          <w:rFonts w:ascii="Times New Roman" w:hAnsi="Times New Roman"/>
          <w:color w:val="000000" w:themeColor="text1"/>
          <w:sz w:val="16"/>
          <w:szCs w:val="16"/>
        </w:rPr>
        <w:softHyphen/>
        <w:t>ходятся на долю поперечной бронеплиты и только 29% - на продольную броню, причем подавляющее число по</w:t>
      </w:r>
      <w:r w:rsidRPr="00640820">
        <w:rPr>
          <w:rFonts w:ascii="Times New Roman" w:hAnsi="Times New Roman"/>
          <w:color w:val="000000" w:themeColor="text1"/>
          <w:sz w:val="16"/>
          <w:szCs w:val="16"/>
        </w:rPr>
        <w:softHyphen/>
        <w:t>паданий соответствует атакам истреби</w:t>
      </w:r>
      <w:r w:rsidRPr="00640820">
        <w:rPr>
          <w:rFonts w:ascii="Times New Roman" w:hAnsi="Times New Roman"/>
          <w:color w:val="000000" w:themeColor="text1"/>
          <w:sz w:val="16"/>
          <w:szCs w:val="16"/>
        </w:rPr>
        <w:softHyphen/>
        <w:t>телей противника почти строго в хвост (до 20° от продольной оси самолета по горизонту и до 3-5° в вертикальной плос</w:t>
      </w:r>
      <w:r w:rsidRPr="00640820">
        <w:rPr>
          <w:rFonts w:ascii="Times New Roman" w:hAnsi="Times New Roman"/>
          <w:color w:val="000000" w:themeColor="text1"/>
          <w:sz w:val="16"/>
          <w:szCs w:val="16"/>
        </w:rPr>
        <w:softHyphen/>
        <w:t>кости).</w:t>
      </w:r>
    </w:p>
    <w:p w14:paraId="0EC112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Бронекоробка Ил-2, как показал опыт боевых действий, а позже и полигонные испытания, не спасала его от разруша</w:t>
      </w:r>
      <w:r w:rsidRPr="00640820">
        <w:rPr>
          <w:rFonts w:ascii="Times New Roman" w:hAnsi="Times New Roman"/>
          <w:color w:val="000000" w:themeColor="text1"/>
          <w:sz w:val="16"/>
          <w:szCs w:val="16"/>
        </w:rPr>
        <w:softHyphen/>
        <w:t>ющего действия как 20-мм фугасных снарядов немецких авиационных пушек, так и крупнокалиберных немецких пуле</w:t>
      </w:r>
      <w:r w:rsidRPr="00640820">
        <w:rPr>
          <w:rFonts w:ascii="Times New Roman" w:hAnsi="Times New Roman"/>
          <w:color w:val="000000" w:themeColor="text1"/>
          <w:sz w:val="16"/>
          <w:szCs w:val="16"/>
        </w:rPr>
        <w:softHyphen/>
        <w:t>метов.</w:t>
      </w:r>
    </w:p>
    <w:p w14:paraId="1FFA41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Для вывода штурмовика из строя было достаточно: одного попадания 20</w:t>
      </w:r>
      <w:r w:rsidRPr="00640820">
        <w:rPr>
          <w:rFonts w:ascii="Times New Roman" w:hAnsi="Times New Roman"/>
          <w:color w:val="000000" w:themeColor="text1"/>
          <w:sz w:val="16"/>
          <w:szCs w:val="16"/>
        </w:rPr>
        <w:softHyphen/>
        <w:t>мм фугасного снаряда немецкой авиа</w:t>
      </w:r>
      <w:r w:rsidRPr="00640820">
        <w:rPr>
          <w:rFonts w:ascii="Times New Roman" w:hAnsi="Times New Roman"/>
          <w:color w:val="000000" w:themeColor="text1"/>
          <w:sz w:val="16"/>
          <w:szCs w:val="16"/>
        </w:rPr>
        <w:softHyphen/>
        <w:t>пушки в любую часть мотора с дально</w:t>
      </w:r>
      <w:r w:rsidRPr="00640820">
        <w:rPr>
          <w:rFonts w:ascii="Times New Roman" w:hAnsi="Times New Roman"/>
          <w:color w:val="000000" w:themeColor="text1"/>
          <w:sz w:val="16"/>
          <w:szCs w:val="16"/>
        </w:rPr>
        <w:softHyphen/>
        <w:t>сти не более 600 м (размеры пробоин в бронекапоте в некоторых случаях дос</w:t>
      </w:r>
      <w:r w:rsidRPr="00640820">
        <w:rPr>
          <w:rFonts w:ascii="Times New Roman" w:hAnsi="Times New Roman"/>
          <w:color w:val="000000" w:themeColor="text1"/>
          <w:sz w:val="16"/>
          <w:szCs w:val="16"/>
        </w:rPr>
        <w:softHyphen/>
        <w:t>тигали 160 мм в диаметре); одного по</w:t>
      </w:r>
      <w:r w:rsidRPr="00640820">
        <w:rPr>
          <w:rFonts w:ascii="Times New Roman" w:hAnsi="Times New Roman"/>
          <w:color w:val="000000" w:themeColor="text1"/>
          <w:sz w:val="16"/>
          <w:szCs w:val="16"/>
        </w:rPr>
        <w:softHyphen/>
        <w:t>падания снаряда в передний или зад</w:t>
      </w:r>
      <w:r w:rsidRPr="00640820">
        <w:rPr>
          <w:rFonts w:ascii="Times New Roman" w:hAnsi="Times New Roman"/>
          <w:color w:val="000000" w:themeColor="text1"/>
          <w:sz w:val="16"/>
          <w:szCs w:val="16"/>
        </w:rPr>
        <w:softHyphen/>
        <w:t>ний бензобак (размеры пробоин коле</w:t>
      </w:r>
      <w:r w:rsidRPr="00640820">
        <w:rPr>
          <w:rFonts w:ascii="Times New Roman" w:hAnsi="Times New Roman"/>
          <w:color w:val="000000" w:themeColor="text1"/>
          <w:sz w:val="16"/>
          <w:szCs w:val="16"/>
        </w:rPr>
        <w:softHyphen/>
        <w:t>бались от 20-25 мм до 70-90 мм); одного попадания в верхнюю часть бронекабины (нижняя часть, как правило, не пора</w:t>
      </w:r>
      <w:r w:rsidRPr="00640820">
        <w:rPr>
          <w:rFonts w:ascii="Times New Roman" w:hAnsi="Times New Roman"/>
          <w:color w:val="000000" w:themeColor="text1"/>
          <w:sz w:val="16"/>
          <w:szCs w:val="16"/>
        </w:rPr>
        <w:softHyphen/>
        <w:t>жалась), размеры пробоин при этом до</w:t>
      </w:r>
      <w:r w:rsidRPr="00640820">
        <w:rPr>
          <w:rFonts w:ascii="Times New Roman" w:hAnsi="Times New Roman"/>
          <w:color w:val="000000" w:themeColor="text1"/>
          <w:sz w:val="16"/>
          <w:szCs w:val="16"/>
        </w:rPr>
        <w:softHyphen/>
        <w:t>стигали величин 80-170 мм в попереч</w:t>
      </w:r>
      <w:r w:rsidRPr="00640820">
        <w:rPr>
          <w:rFonts w:ascii="Times New Roman" w:hAnsi="Times New Roman"/>
          <w:color w:val="000000" w:themeColor="text1"/>
          <w:sz w:val="16"/>
          <w:szCs w:val="16"/>
        </w:rPr>
        <w:softHyphen/>
        <w:t>нике (6467).</w:t>
      </w:r>
    </w:p>
    <w:p w14:paraId="5EA215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Статистика боевых поражений Ил-2 показывает, что на долю системы управ</w:t>
      </w:r>
      <w:r w:rsidRPr="00640820">
        <w:rPr>
          <w:rFonts w:ascii="Times New Roman" w:hAnsi="Times New Roman"/>
          <w:color w:val="000000" w:themeColor="text1"/>
          <w:sz w:val="16"/>
          <w:szCs w:val="16"/>
        </w:rPr>
        <w:softHyphen/>
        <w:t>ления (рули, элероны и проводка управ</w:t>
      </w:r>
      <w:r w:rsidRPr="00640820">
        <w:rPr>
          <w:rFonts w:ascii="Times New Roman" w:hAnsi="Times New Roman"/>
          <w:color w:val="000000" w:themeColor="text1"/>
          <w:sz w:val="16"/>
          <w:szCs w:val="16"/>
        </w:rPr>
        <w:softHyphen/>
        <w:t>ления ими) приходилось 22,6% всех поражений. В 57% случаев попадания снарядов в фюзеляж Ил-2 происходи</w:t>
      </w:r>
      <w:r w:rsidRPr="00640820">
        <w:rPr>
          <w:rFonts w:ascii="Times New Roman" w:hAnsi="Times New Roman"/>
          <w:color w:val="000000" w:themeColor="text1"/>
          <w:sz w:val="16"/>
          <w:szCs w:val="16"/>
        </w:rPr>
        <w:softHyphen/>
        <w:t>ло перебитие тросов управления рулем поворота и 7% попаданий приводили к частичному повреждению трубчатых тяг рулей высоты.</w:t>
      </w:r>
    </w:p>
    <w:p w14:paraId="0B0CF5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Попадания 2-3-х фугасных снарядов немецких авиапушек калибра 20 мм в киль, стабилизатор, руль поворота или высоты было вполне достаточно для вывода Ил-2 из строя...</w:t>
      </w:r>
    </w:p>
    <w:p w14:paraId="0B32E8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Очень часто, при заходе немецких истребителей в атаку сбоку, от пушечно-пулеметной очереди деревянный хвост Ил-2 чуть не отламывался, букваль</w:t>
      </w:r>
      <w:r w:rsidRPr="00640820">
        <w:rPr>
          <w:rFonts w:ascii="Times New Roman" w:hAnsi="Times New Roman"/>
          <w:color w:val="000000" w:themeColor="text1"/>
          <w:sz w:val="16"/>
          <w:szCs w:val="16"/>
        </w:rPr>
        <w:softHyphen/>
        <w:t>но перерезанный очередью. Штурмовик падал, но летчик в этой ситуации часто оставался жив, так как бронекорпус практически не страдал при посадке на фюзеляж.</w:t>
      </w:r>
    </w:p>
    <w:p w14:paraId="3AFDD9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встрече с немецкими истреби</w:t>
      </w:r>
      <w:r w:rsidRPr="00640820">
        <w:rPr>
          <w:rFonts w:ascii="Times New Roman" w:hAnsi="Times New Roman"/>
          <w:color w:val="000000" w:themeColor="text1"/>
          <w:sz w:val="16"/>
          <w:szCs w:val="16"/>
        </w:rPr>
        <w:softHyphen/>
        <w:t>телями экипажи Ил-2 поначалу стреми</w:t>
      </w:r>
      <w:r w:rsidRPr="00640820">
        <w:rPr>
          <w:rFonts w:ascii="Times New Roman" w:hAnsi="Times New Roman"/>
          <w:color w:val="000000" w:themeColor="text1"/>
          <w:sz w:val="16"/>
          <w:szCs w:val="16"/>
        </w:rPr>
        <w:softHyphen/>
        <w:t>лись занять боевой порядок "фронт", сокращая при этом дистанцию между самолетами. Экипажи, подвергшиеся атаке, применяя маневр разворот и скольжение в сторону немецких истре</w:t>
      </w:r>
      <w:r w:rsidRPr="00640820">
        <w:rPr>
          <w:rFonts w:ascii="Times New Roman" w:hAnsi="Times New Roman"/>
          <w:color w:val="000000" w:themeColor="text1"/>
          <w:sz w:val="16"/>
          <w:szCs w:val="16"/>
        </w:rPr>
        <w:softHyphen/>
        <w:t>бителей, затрудняли ведение последним прицельного огня. Соседний же "Ил", производя резкий разворот на немец</w:t>
      </w:r>
      <w:r w:rsidRPr="00640820">
        <w:rPr>
          <w:rFonts w:ascii="Times New Roman" w:hAnsi="Times New Roman"/>
          <w:color w:val="000000" w:themeColor="text1"/>
          <w:sz w:val="16"/>
          <w:szCs w:val="16"/>
        </w:rPr>
        <w:softHyphen/>
        <w:t>кий истребитель, огнем из пушек и пулеметов отбивал его атаку. Однако та</w:t>
      </w:r>
      <w:r w:rsidRPr="00640820">
        <w:rPr>
          <w:rFonts w:ascii="Times New Roman" w:hAnsi="Times New Roman"/>
          <w:color w:val="000000" w:themeColor="text1"/>
          <w:sz w:val="16"/>
          <w:szCs w:val="16"/>
        </w:rPr>
        <w:softHyphen/>
        <w:t>кой способ защиты был неэффективен, и Ил-2 несли большие потери (6467).</w:t>
      </w:r>
    </w:p>
    <w:p w14:paraId="379575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действиях Ил-2 с бреющего по</w:t>
      </w:r>
      <w:r w:rsidRPr="00640820">
        <w:rPr>
          <w:rFonts w:ascii="Times New Roman" w:hAnsi="Times New Roman"/>
          <w:color w:val="000000" w:themeColor="text1"/>
          <w:sz w:val="16"/>
          <w:szCs w:val="16"/>
        </w:rPr>
        <w:softHyphen/>
        <w:t>лета легче достигались: внезапность удара по цели, особенно при умелом использовании возвышенностей, долин рек, лесных массивов и т.д., и, как след</w:t>
      </w:r>
      <w:r w:rsidRPr="00640820">
        <w:rPr>
          <w:rFonts w:ascii="Times New Roman" w:hAnsi="Times New Roman"/>
          <w:color w:val="000000" w:themeColor="text1"/>
          <w:sz w:val="16"/>
          <w:szCs w:val="16"/>
        </w:rPr>
        <w:softHyphen/>
        <w:t>ствие, снижение потерь штурмовиков от зенитного огня противника; уклонение от встреч с немецкими истребителями, ввиду трудности обнаружения штурмо</w:t>
      </w:r>
      <w:r w:rsidRPr="00640820">
        <w:rPr>
          <w:rFonts w:ascii="Times New Roman" w:hAnsi="Times New Roman"/>
          <w:color w:val="000000" w:themeColor="text1"/>
          <w:sz w:val="16"/>
          <w:szCs w:val="16"/>
        </w:rPr>
        <w:softHyphen/>
        <w:t>виков на фоне местности, а при встрече с последними немецкие летчики не могли эффективно атаковать "Илы", так как были стеснены в маневре.</w:t>
      </w:r>
    </w:p>
    <w:p w14:paraId="7BD248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основным недостаткам бреющего •полета и атак наземных целей с него можно отнести сложность выполнения маневра (как одиночным самолетом, так и группой) и ориентирования на мест</w:t>
      </w:r>
      <w:r w:rsidRPr="00640820">
        <w:rPr>
          <w:rFonts w:ascii="Times New Roman" w:hAnsi="Times New Roman"/>
          <w:color w:val="000000" w:themeColor="text1"/>
          <w:sz w:val="16"/>
          <w:szCs w:val="16"/>
        </w:rPr>
        <w:softHyphen/>
        <w:t>ности во время выхода на цель, а также практическую невозможность ведения прицельной стрельбы и бомбометания. Кроме того, малое время пребывания над целью затрудняло рациональное рас</w:t>
      </w:r>
      <w:r w:rsidRPr="00640820">
        <w:rPr>
          <w:rFonts w:ascii="Times New Roman" w:hAnsi="Times New Roman"/>
          <w:color w:val="000000" w:themeColor="text1"/>
          <w:sz w:val="16"/>
          <w:szCs w:val="16"/>
        </w:rPr>
        <w:softHyphen/>
        <w:t>пределение сил группы и огневых средств.</w:t>
      </w:r>
    </w:p>
    <w:p w14:paraId="4D2B67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Опыт боевых действий показал, что при атаках с бреющего полета Ил-2 способны поражать лишь неукрытую живую силу противника и его автотран</w:t>
      </w:r>
      <w:r w:rsidRPr="00640820">
        <w:rPr>
          <w:rFonts w:ascii="Times New Roman" w:hAnsi="Times New Roman"/>
          <w:color w:val="000000" w:themeColor="text1"/>
          <w:sz w:val="16"/>
          <w:szCs w:val="16"/>
        </w:rPr>
        <w:softHyphen/>
        <w:t>спорт в местах сосредоточения и в ко</w:t>
      </w:r>
      <w:r w:rsidRPr="00640820">
        <w:rPr>
          <w:rFonts w:ascii="Times New Roman" w:hAnsi="Times New Roman"/>
          <w:color w:val="000000" w:themeColor="text1"/>
          <w:sz w:val="16"/>
          <w:szCs w:val="16"/>
        </w:rPr>
        <w:softHyphen/>
        <w:t>лоннах.</w:t>
      </w:r>
    </w:p>
    <w:p w14:paraId="153D74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Тем не менее, тактические приемы, в основе которых лежал бреющий полет, в этот период себя вполне оправдыва</w:t>
      </w:r>
      <w:r w:rsidRPr="00640820">
        <w:rPr>
          <w:rFonts w:ascii="Times New Roman" w:hAnsi="Times New Roman"/>
          <w:color w:val="000000" w:themeColor="text1"/>
          <w:sz w:val="16"/>
          <w:szCs w:val="16"/>
        </w:rPr>
        <w:softHyphen/>
        <w:t>ли, так как штурмовые удары произво</w:t>
      </w:r>
      <w:r w:rsidRPr="00640820">
        <w:rPr>
          <w:rFonts w:ascii="Times New Roman" w:hAnsi="Times New Roman"/>
          <w:color w:val="000000" w:themeColor="text1"/>
          <w:sz w:val="16"/>
          <w:szCs w:val="16"/>
        </w:rPr>
        <w:softHyphen/>
        <w:t>дились в основном по достаточно длин</w:t>
      </w:r>
      <w:r w:rsidRPr="00640820">
        <w:rPr>
          <w:rFonts w:ascii="Times New Roman" w:hAnsi="Times New Roman"/>
          <w:color w:val="000000" w:themeColor="text1"/>
          <w:sz w:val="16"/>
          <w:szCs w:val="16"/>
        </w:rPr>
        <w:softHyphen/>
        <w:t>ным мотомеханизированным колоннам противника, точный выход на которые не был таким затруднительным, как, напри</w:t>
      </w:r>
      <w:r w:rsidRPr="00640820">
        <w:rPr>
          <w:rFonts w:ascii="Times New Roman" w:hAnsi="Times New Roman"/>
          <w:color w:val="000000" w:themeColor="text1"/>
          <w:sz w:val="16"/>
          <w:szCs w:val="16"/>
        </w:rPr>
        <w:softHyphen/>
        <w:t>мер, на огневую точку противника, или отдельный танк на поле боя. Например, танковая рота имела протяженность 1,4-1,6 км, батальон танков - 8-8,5 км, тан</w:t>
      </w:r>
      <w:r w:rsidRPr="00640820">
        <w:rPr>
          <w:rFonts w:ascii="Times New Roman" w:hAnsi="Times New Roman"/>
          <w:color w:val="000000" w:themeColor="text1"/>
          <w:sz w:val="16"/>
          <w:szCs w:val="16"/>
        </w:rPr>
        <w:softHyphen/>
        <w:t>ковый полк - 16,5 км, легкий моторизо</w:t>
      </w:r>
      <w:r w:rsidRPr="00640820">
        <w:rPr>
          <w:rFonts w:ascii="Times New Roman" w:hAnsi="Times New Roman"/>
          <w:color w:val="000000" w:themeColor="text1"/>
          <w:sz w:val="16"/>
          <w:szCs w:val="16"/>
        </w:rPr>
        <w:softHyphen/>
        <w:t>ванный артдивизион - 2,6 км, а общая длина мотомехколонн достигала 28-30 км.</w:t>
      </w:r>
    </w:p>
    <w:p w14:paraId="719E3D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Мотомеханизированные колонны штурмовики Ил-2 обычно атаковывали с бреющего полета (высота подхода к цели 25-30 м) вдоль колонны или под углом 15-20° к ее длинной стороне.</w:t>
      </w:r>
    </w:p>
    <w:p w14:paraId="5E984A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Первый удар наносился по голове колонны с целью приостановления ее движения. Дальность открытия огня 500-600 м. Прицеливание осуществлялось по "колонне вообще" с пристрелкой трас</w:t>
      </w:r>
      <w:r w:rsidRPr="00640820">
        <w:rPr>
          <w:rFonts w:ascii="Times New Roman" w:hAnsi="Times New Roman"/>
          <w:color w:val="000000" w:themeColor="text1"/>
          <w:sz w:val="16"/>
          <w:szCs w:val="16"/>
        </w:rPr>
        <w:softHyphen/>
        <w:t>сирующими пулями из пулеметов ШКАС. Затем, с учетом положения трас</w:t>
      </w:r>
      <w:r w:rsidRPr="00640820">
        <w:rPr>
          <w:rFonts w:ascii="Times New Roman" w:hAnsi="Times New Roman"/>
          <w:color w:val="000000" w:themeColor="text1"/>
          <w:sz w:val="16"/>
          <w:szCs w:val="16"/>
        </w:rPr>
        <w:softHyphen/>
        <w:t>сы пуль относительно цели, открывался огонь из пушек и PC. Все виды огня (пу</w:t>
      </w:r>
      <w:r w:rsidRPr="00640820">
        <w:rPr>
          <w:rFonts w:ascii="Times New Roman" w:hAnsi="Times New Roman"/>
          <w:color w:val="000000" w:themeColor="text1"/>
          <w:sz w:val="16"/>
          <w:szCs w:val="16"/>
        </w:rPr>
        <w:softHyphen/>
        <w:t>леметный, пушечный и PC, а также сброс авиабомб) использовались в одном заходе.</w:t>
      </w:r>
    </w:p>
    <w:p w14:paraId="1371CE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Опыт боевых действий штурмовиков Ил-2 по мотомехколоннам показал, что действенность его бортового огня по целям, составлявшим колонны (пехота на машинах, бронемашины, артиллерия и т.д., исключая танки), была достаточно высокой. Хотя, справедливости ради, не</w:t>
      </w:r>
      <w:r w:rsidRPr="00640820">
        <w:rPr>
          <w:rFonts w:ascii="Times New Roman" w:hAnsi="Times New Roman"/>
          <w:color w:val="000000" w:themeColor="text1"/>
          <w:sz w:val="16"/>
          <w:szCs w:val="16"/>
        </w:rPr>
        <w:softHyphen/>
        <w:t>обходимо отметить, что прицеливание по "колонне вообще", как показали поли</w:t>
      </w:r>
      <w:r w:rsidRPr="00640820">
        <w:rPr>
          <w:rFonts w:ascii="Times New Roman" w:hAnsi="Times New Roman"/>
          <w:color w:val="000000" w:themeColor="text1"/>
          <w:sz w:val="16"/>
          <w:szCs w:val="16"/>
        </w:rPr>
        <w:softHyphen/>
        <w:t>гонные испытания, в большинстве слу</w:t>
      </w:r>
      <w:r w:rsidRPr="00640820">
        <w:rPr>
          <w:rFonts w:ascii="Times New Roman" w:hAnsi="Times New Roman"/>
          <w:color w:val="000000" w:themeColor="text1"/>
          <w:sz w:val="16"/>
          <w:szCs w:val="16"/>
        </w:rPr>
        <w:softHyphen/>
        <w:t>чаев давало низкую точность стрельбы и атака цели, при всей своей стреми</w:t>
      </w:r>
      <w:r w:rsidRPr="00640820">
        <w:rPr>
          <w:rFonts w:ascii="Times New Roman" w:hAnsi="Times New Roman"/>
          <w:color w:val="000000" w:themeColor="text1"/>
          <w:sz w:val="16"/>
          <w:szCs w:val="16"/>
        </w:rPr>
        <w:softHyphen/>
        <w:t>тельности и внезапности, приводила лишь к бесцельной трате боеприпасов практически без ущерба для противника.</w:t>
      </w:r>
    </w:p>
    <w:p w14:paraId="0FFFA05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 во время проведения в ЧИП АВ ВВС КА полигонных испытаний стрелково-пушечного вооружения Ил-2 приме</w:t>
      </w:r>
      <w:r w:rsidRPr="00640820">
        <w:rPr>
          <w:rFonts w:ascii="Times New Roman" w:hAnsi="Times New Roman"/>
          <w:color w:val="000000" w:themeColor="text1"/>
          <w:sz w:val="16"/>
          <w:szCs w:val="16"/>
        </w:rPr>
        <w:softHyphen/>
        <w:t>нительно к укоренившемуся в штурмо</w:t>
      </w:r>
      <w:r w:rsidRPr="00640820">
        <w:rPr>
          <w:rFonts w:ascii="Times New Roman" w:hAnsi="Times New Roman"/>
          <w:color w:val="000000" w:themeColor="text1"/>
          <w:sz w:val="16"/>
          <w:szCs w:val="16"/>
        </w:rPr>
        <w:softHyphen/>
        <w:t>вых авиаполках действующей армии способу атак немецких мотомеханизи</w:t>
      </w:r>
      <w:r w:rsidRPr="00640820">
        <w:rPr>
          <w:rFonts w:ascii="Times New Roman" w:hAnsi="Times New Roman"/>
          <w:color w:val="000000" w:themeColor="text1"/>
          <w:sz w:val="16"/>
          <w:szCs w:val="16"/>
        </w:rPr>
        <w:softHyphen/>
        <w:t>рованных колонн стало ясно, что при ата</w:t>
      </w:r>
      <w:r w:rsidRPr="00640820">
        <w:rPr>
          <w:rFonts w:ascii="Times New Roman" w:hAnsi="Times New Roman"/>
          <w:color w:val="000000" w:themeColor="text1"/>
          <w:sz w:val="16"/>
          <w:szCs w:val="16"/>
        </w:rPr>
        <w:softHyphen/>
        <w:t>ке колонны, состоящей из танков, авто</w:t>
      </w:r>
      <w:r w:rsidRPr="00640820">
        <w:rPr>
          <w:rFonts w:ascii="Times New Roman" w:hAnsi="Times New Roman"/>
          <w:color w:val="000000" w:themeColor="text1"/>
          <w:sz w:val="16"/>
          <w:szCs w:val="16"/>
        </w:rPr>
        <w:softHyphen/>
        <w:t xml:space="preserve">машин и пехоты общей длиной около 600 м, три летчика 245-го </w:t>
      </w:r>
      <w:r w:rsidRPr="00640820">
        <w:rPr>
          <w:rFonts w:ascii="Times New Roman" w:hAnsi="Times New Roman"/>
          <w:iCs/>
          <w:color w:val="000000" w:themeColor="text1"/>
          <w:sz w:val="16"/>
          <w:szCs w:val="16"/>
        </w:rPr>
        <w:t>шап,</w:t>
      </w:r>
      <w:r w:rsidRPr="00640820">
        <w:rPr>
          <w:rFonts w:ascii="Times New Roman" w:hAnsi="Times New Roman"/>
          <w:color w:val="000000" w:themeColor="text1"/>
          <w:sz w:val="16"/>
          <w:szCs w:val="16"/>
        </w:rPr>
        <w:t xml:space="preserve"> имевшие боевой опыт, в полигонных условиях, то есть в отсутствии противодействия ис</w:t>
      </w:r>
      <w:r w:rsidRPr="00640820">
        <w:rPr>
          <w:rFonts w:ascii="Times New Roman" w:hAnsi="Times New Roman"/>
          <w:color w:val="000000" w:themeColor="text1"/>
          <w:sz w:val="16"/>
          <w:szCs w:val="16"/>
        </w:rPr>
        <w:softHyphen/>
        <w:t>требителей и зенитной артиллерии про</w:t>
      </w:r>
      <w:r w:rsidRPr="00640820">
        <w:rPr>
          <w:rFonts w:ascii="Times New Roman" w:hAnsi="Times New Roman"/>
          <w:color w:val="000000" w:themeColor="text1"/>
          <w:sz w:val="16"/>
          <w:szCs w:val="16"/>
        </w:rPr>
        <w:softHyphen/>
        <w:t>тивника, смогли добиться всего 9 (!) пулевых попаданий в танк при общем расходе боеприпасов в 300 снарядов к пушкам ШВАК и 1290 патронов к пуле</w:t>
      </w:r>
      <w:r w:rsidRPr="00640820">
        <w:rPr>
          <w:rFonts w:ascii="Times New Roman" w:hAnsi="Times New Roman"/>
          <w:color w:val="000000" w:themeColor="text1"/>
          <w:sz w:val="16"/>
          <w:szCs w:val="16"/>
        </w:rPr>
        <w:softHyphen/>
        <w:t>метам ШКАС. Стрельба с прицелива</w:t>
      </w:r>
      <w:r w:rsidRPr="00640820">
        <w:rPr>
          <w:rFonts w:ascii="Times New Roman" w:hAnsi="Times New Roman"/>
          <w:color w:val="000000" w:themeColor="text1"/>
          <w:sz w:val="16"/>
          <w:szCs w:val="16"/>
        </w:rPr>
        <w:softHyphen/>
        <w:t>нием по отдельному танку из состава ко</w:t>
      </w:r>
      <w:r w:rsidRPr="00640820">
        <w:rPr>
          <w:rFonts w:ascii="Times New Roman" w:hAnsi="Times New Roman"/>
          <w:color w:val="000000" w:themeColor="text1"/>
          <w:sz w:val="16"/>
          <w:szCs w:val="16"/>
        </w:rPr>
        <w:softHyphen/>
        <w:t>лонны в тех же условиях атак обеспечи</w:t>
      </w:r>
      <w:r w:rsidRPr="00640820">
        <w:rPr>
          <w:rFonts w:ascii="Times New Roman" w:hAnsi="Times New Roman"/>
          <w:color w:val="000000" w:themeColor="text1"/>
          <w:sz w:val="16"/>
          <w:szCs w:val="16"/>
        </w:rPr>
        <w:softHyphen/>
        <w:t>ла в трех вылетах при общем расходе 553 снарядов 20 попаданий в колонну танков, из них 6 попаданий в танк точки наводки, остальные - в другие танки из состава колонны.</w:t>
      </w:r>
    </w:p>
    <w:p w14:paraId="5CB602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Полигонные стрельбы штатными ре</w:t>
      </w:r>
      <w:r w:rsidRPr="00640820">
        <w:rPr>
          <w:rFonts w:ascii="Times New Roman" w:hAnsi="Times New Roman"/>
          <w:color w:val="000000" w:themeColor="text1"/>
          <w:sz w:val="16"/>
          <w:szCs w:val="16"/>
        </w:rPr>
        <w:softHyphen/>
        <w:t>активными снарядами PC-82 и PC-132, проведенные в НИП АВ ВВС КА, так же как и опыт боевого применения Ил-2 на фронте, показали недостаточную эффек</w:t>
      </w:r>
      <w:r w:rsidRPr="00640820">
        <w:rPr>
          <w:rFonts w:ascii="Times New Roman" w:hAnsi="Times New Roman"/>
          <w:color w:val="000000" w:themeColor="text1"/>
          <w:sz w:val="16"/>
          <w:szCs w:val="16"/>
        </w:rPr>
        <w:softHyphen/>
        <w:t>тивность этого вида оружия при дей</w:t>
      </w:r>
      <w:r w:rsidRPr="00640820">
        <w:rPr>
          <w:rFonts w:ascii="Times New Roman" w:hAnsi="Times New Roman"/>
          <w:color w:val="000000" w:themeColor="text1"/>
          <w:sz w:val="16"/>
          <w:szCs w:val="16"/>
        </w:rPr>
        <w:softHyphen/>
        <w:t>ствии по малоразмерным целям ввиду большого рассеивания снарядов и, сле</w:t>
      </w:r>
      <w:r w:rsidRPr="00640820">
        <w:rPr>
          <w:rFonts w:ascii="Times New Roman" w:hAnsi="Times New Roman"/>
          <w:color w:val="000000" w:themeColor="text1"/>
          <w:sz w:val="16"/>
          <w:szCs w:val="16"/>
        </w:rPr>
        <w:softHyphen/>
        <w:t>довательно, малой вероятности попада</w:t>
      </w:r>
      <w:r w:rsidRPr="00640820">
        <w:rPr>
          <w:rFonts w:ascii="Times New Roman" w:hAnsi="Times New Roman"/>
          <w:color w:val="000000" w:themeColor="text1"/>
          <w:sz w:val="16"/>
          <w:szCs w:val="16"/>
        </w:rPr>
        <w:softHyphen/>
        <w:t>ния в цель.</w:t>
      </w:r>
    </w:p>
    <w:p w14:paraId="4D8E39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Средний процент попаданий PC-82 в танк точки наводки при стрельбе с ди</w:t>
      </w:r>
      <w:r w:rsidRPr="00640820">
        <w:rPr>
          <w:rFonts w:ascii="Times New Roman" w:hAnsi="Times New Roman"/>
          <w:color w:val="000000" w:themeColor="text1"/>
          <w:sz w:val="16"/>
          <w:szCs w:val="16"/>
        </w:rPr>
        <w:softHyphen/>
        <w:t>станции 400-500 м, показанный в мате</w:t>
      </w:r>
      <w:r w:rsidRPr="00640820">
        <w:rPr>
          <w:rFonts w:ascii="Times New Roman" w:hAnsi="Times New Roman"/>
          <w:color w:val="000000" w:themeColor="text1"/>
          <w:sz w:val="16"/>
          <w:szCs w:val="16"/>
        </w:rPr>
        <w:softHyphen/>
        <w:t>риалах отчета, составил 1,1 %, а в колон</w:t>
      </w:r>
      <w:r w:rsidRPr="00640820">
        <w:rPr>
          <w:rFonts w:ascii="Times New Roman" w:hAnsi="Times New Roman"/>
          <w:color w:val="000000" w:themeColor="text1"/>
          <w:sz w:val="16"/>
          <w:szCs w:val="16"/>
        </w:rPr>
        <w:softHyphen/>
        <w:t>ну танков - 3,7%, при этом из 186 выпу</w:t>
      </w:r>
      <w:r w:rsidRPr="00640820">
        <w:rPr>
          <w:rFonts w:ascii="Times New Roman" w:hAnsi="Times New Roman"/>
          <w:color w:val="000000" w:themeColor="text1"/>
          <w:sz w:val="16"/>
          <w:szCs w:val="16"/>
        </w:rPr>
        <w:softHyphen/>
        <w:t>щенных снарядов было получено всего 7 прямых попаданий. Высота подхода к цели - 100 м и 400 м, углы планирования - 5-10° и 30° соответственно, дальность прицеливания - 800 м. Стрельба велась одиночными снарядами и залпом по 2, 4 и 8 снарядов.</w:t>
      </w:r>
    </w:p>
    <w:p w14:paraId="643D7A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стрельбах вы</w:t>
      </w:r>
      <w:r w:rsidRPr="00640820">
        <w:rPr>
          <w:rFonts w:ascii="Times New Roman" w:hAnsi="Times New Roman"/>
          <w:color w:val="000000" w:themeColor="text1"/>
          <w:sz w:val="16"/>
          <w:szCs w:val="16"/>
        </w:rPr>
        <w:softHyphen/>
        <w:t>яснилось, что PC-82 может нанести пора</w:t>
      </w:r>
      <w:r w:rsidRPr="00640820">
        <w:rPr>
          <w:rFonts w:ascii="Times New Roman" w:hAnsi="Times New Roman"/>
          <w:color w:val="000000" w:themeColor="text1"/>
          <w:sz w:val="16"/>
          <w:szCs w:val="16"/>
        </w:rPr>
        <w:softHyphen/>
        <w:t>жение немецким лег</w:t>
      </w:r>
      <w:r w:rsidRPr="00640820">
        <w:rPr>
          <w:rFonts w:ascii="Times New Roman" w:hAnsi="Times New Roman"/>
          <w:color w:val="000000" w:themeColor="text1"/>
          <w:sz w:val="16"/>
          <w:szCs w:val="16"/>
        </w:rPr>
        <w:softHyphen/>
        <w:t>ким танкам типа Pz.ll Ausf F, Pz.38(t) Ausf С, а также бронемашине Sd Kfz 250 только при прямом попадании. Разрыв PC-82 в непос</w:t>
      </w:r>
      <w:r w:rsidRPr="00640820">
        <w:rPr>
          <w:rFonts w:ascii="Times New Roman" w:hAnsi="Times New Roman"/>
          <w:color w:val="000000" w:themeColor="text1"/>
          <w:sz w:val="16"/>
          <w:szCs w:val="16"/>
        </w:rPr>
        <w:softHyphen/>
        <w:t>редственной близости от танка (0,5-1 м) ни</w:t>
      </w:r>
      <w:r w:rsidRPr="00640820">
        <w:rPr>
          <w:rFonts w:ascii="Times New Roman" w:hAnsi="Times New Roman"/>
          <w:color w:val="000000" w:themeColor="text1"/>
          <w:sz w:val="16"/>
          <w:szCs w:val="16"/>
        </w:rPr>
        <w:softHyphen/>
        <w:t>какого поражения ему не наносит. Наимень</w:t>
      </w:r>
      <w:r w:rsidRPr="00640820">
        <w:rPr>
          <w:rFonts w:ascii="Times New Roman" w:hAnsi="Times New Roman"/>
          <w:color w:val="000000" w:themeColor="text1"/>
          <w:sz w:val="16"/>
          <w:szCs w:val="16"/>
        </w:rPr>
        <w:softHyphen/>
        <w:t>шее вероятное откло</w:t>
      </w:r>
      <w:r w:rsidRPr="00640820">
        <w:rPr>
          <w:rFonts w:ascii="Times New Roman" w:hAnsi="Times New Roman"/>
          <w:color w:val="000000" w:themeColor="text1"/>
          <w:sz w:val="16"/>
          <w:szCs w:val="16"/>
        </w:rPr>
        <w:softHyphen/>
        <w:t>нение получалось в залпе из 4-х РСов при угле планирования 30°.</w:t>
      </w:r>
    </w:p>
    <w:p w14:paraId="258565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Результаты стрельб PC-132 были еще хуже. Условия атак были те же, что и при стрельбе PC-82, но дальность пуска -500-600 м. Вероятное круговое отклоне</w:t>
      </w:r>
      <w:r w:rsidRPr="00640820">
        <w:rPr>
          <w:rFonts w:ascii="Times New Roman" w:hAnsi="Times New Roman"/>
          <w:color w:val="000000" w:themeColor="text1"/>
          <w:sz w:val="16"/>
          <w:szCs w:val="16"/>
        </w:rPr>
        <w:softHyphen/>
        <w:t>ние по дальности PC-132 при углах пла</w:t>
      </w:r>
      <w:r w:rsidRPr="00640820">
        <w:rPr>
          <w:rFonts w:ascii="Times New Roman" w:hAnsi="Times New Roman"/>
          <w:color w:val="000000" w:themeColor="text1"/>
          <w:sz w:val="16"/>
          <w:szCs w:val="16"/>
        </w:rPr>
        <w:softHyphen/>
        <w:t>нирования Ил-2 25-30° примерно в 1,5 раза было выше, чем для PC-82, а для углов планирования 5-10° - практичес</w:t>
      </w:r>
      <w:r w:rsidRPr="00640820">
        <w:rPr>
          <w:rFonts w:ascii="Times New Roman" w:hAnsi="Times New Roman"/>
          <w:color w:val="000000" w:themeColor="text1"/>
          <w:sz w:val="16"/>
          <w:szCs w:val="16"/>
        </w:rPr>
        <w:softHyphen/>
        <w:t>ки совпадало.</w:t>
      </w:r>
    </w:p>
    <w:p w14:paraId="099D0F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поражения легкого и среднего немецкого танка снарядом PC-132 тре</w:t>
      </w:r>
      <w:r w:rsidRPr="00640820">
        <w:rPr>
          <w:rFonts w:ascii="Times New Roman" w:hAnsi="Times New Roman"/>
          <w:color w:val="000000" w:themeColor="text1"/>
          <w:sz w:val="16"/>
          <w:szCs w:val="16"/>
        </w:rPr>
        <w:softHyphen/>
        <w:t>бовалось только прямое попадание, по</w:t>
      </w:r>
      <w:r w:rsidRPr="00640820">
        <w:rPr>
          <w:rFonts w:ascii="Times New Roman" w:hAnsi="Times New Roman"/>
          <w:color w:val="000000" w:themeColor="text1"/>
          <w:sz w:val="16"/>
          <w:szCs w:val="16"/>
        </w:rPr>
        <w:softHyphen/>
        <w:t>скольку при разрыве снаряда вблизи танка, последний существенных повреж</w:t>
      </w:r>
      <w:r w:rsidRPr="00640820">
        <w:rPr>
          <w:rFonts w:ascii="Times New Roman" w:hAnsi="Times New Roman"/>
          <w:color w:val="000000" w:themeColor="text1"/>
          <w:sz w:val="16"/>
          <w:szCs w:val="16"/>
        </w:rPr>
        <w:softHyphen/>
        <w:t>дений не получал. Однако добиться пря</w:t>
      </w:r>
      <w:r w:rsidRPr="00640820">
        <w:rPr>
          <w:rFonts w:ascii="Times New Roman" w:hAnsi="Times New Roman"/>
          <w:color w:val="000000" w:themeColor="text1"/>
          <w:sz w:val="16"/>
          <w:szCs w:val="16"/>
        </w:rPr>
        <w:softHyphen/>
        <w:t>мого попадания было очень и очень сложно - из 134 выстрелов PC-132, сде</w:t>
      </w:r>
      <w:r w:rsidRPr="00640820">
        <w:rPr>
          <w:rFonts w:ascii="Times New Roman" w:hAnsi="Times New Roman"/>
          <w:color w:val="000000" w:themeColor="text1"/>
          <w:sz w:val="16"/>
          <w:szCs w:val="16"/>
        </w:rPr>
        <w:softHyphen/>
        <w:t>ланных в полигонных условиях летчика</w:t>
      </w:r>
      <w:r w:rsidRPr="00640820">
        <w:rPr>
          <w:rFonts w:ascii="Times New Roman" w:hAnsi="Times New Roman"/>
          <w:color w:val="000000" w:themeColor="text1"/>
          <w:sz w:val="16"/>
          <w:szCs w:val="16"/>
        </w:rPr>
        <w:softHyphen/>
        <w:t>ми с различной степенью подготовки, не было получено ни одного попадания в танк...</w:t>
      </w:r>
    </w:p>
    <w:p w14:paraId="6975F2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этой связи в вы</w:t>
      </w:r>
      <w:r w:rsidRPr="00640820">
        <w:rPr>
          <w:rFonts w:ascii="Times New Roman" w:hAnsi="Times New Roman"/>
          <w:color w:val="000000" w:themeColor="text1"/>
          <w:sz w:val="16"/>
          <w:szCs w:val="16"/>
        </w:rPr>
        <w:softHyphen/>
        <w:t>водах отчета по поли</w:t>
      </w:r>
      <w:r w:rsidRPr="00640820">
        <w:rPr>
          <w:rFonts w:ascii="Times New Roman" w:hAnsi="Times New Roman"/>
          <w:color w:val="000000" w:themeColor="text1"/>
          <w:sz w:val="16"/>
          <w:szCs w:val="16"/>
        </w:rPr>
        <w:softHyphen/>
        <w:t xml:space="preserve">гонным испытаниям указывалось: </w:t>
      </w:r>
      <w:r w:rsidRPr="00640820">
        <w:rPr>
          <w:rFonts w:ascii="Times New Roman" w:hAnsi="Times New Roman"/>
          <w:iCs/>
          <w:color w:val="000000" w:themeColor="text1"/>
          <w:sz w:val="16"/>
          <w:szCs w:val="16"/>
        </w:rPr>
        <w:t>"...не</w:t>
      </w:r>
      <w:r w:rsidRPr="00640820">
        <w:rPr>
          <w:rFonts w:ascii="Times New Roman" w:hAnsi="Times New Roman"/>
          <w:iCs/>
          <w:color w:val="000000" w:themeColor="text1"/>
          <w:sz w:val="16"/>
          <w:szCs w:val="16"/>
        </w:rPr>
        <w:softHyphen/>
        <w:t>смотря на имевшие место прямые попа</w:t>
      </w:r>
      <w:r w:rsidRPr="00640820">
        <w:rPr>
          <w:rFonts w:ascii="Times New Roman" w:hAnsi="Times New Roman"/>
          <w:iCs/>
          <w:color w:val="000000" w:themeColor="text1"/>
          <w:sz w:val="16"/>
          <w:szCs w:val="16"/>
        </w:rPr>
        <w:softHyphen/>
        <w:t>дания PC-82 с пора</w:t>
      </w:r>
      <w:r w:rsidRPr="00640820">
        <w:rPr>
          <w:rFonts w:ascii="Times New Roman" w:hAnsi="Times New Roman"/>
          <w:iCs/>
          <w:color w:val="000000" w:themeColor="text1"/>
          <w:sz w:val="16"/>
          <w:szCs w:val="16"/>
        </w:rPr>
        <w:softHyphen/>
        <w:t>жением легких тан</w:t>
      </w:r>
      <w:r w:rsidRPr="00640820">
        <w:rPr>
          <w:rFonts w:ascii="Times New Roman" w:hAnsi="Times New Roman"/>
          <w:iCs/>
          <w:color w:val="000000" w:themeColor="text1"/>
          <w:sz w:val="16"/>
          <w:szCs w:val="16"/>
        </w:rPr>
        <w:softHyphen/>
        <w:t>ков, из-за малой ве</w:t>
      </w:r>
      <w:r w:rsidRPr="00640820">
        <w:rPr>
          <w:rFonts w:ascii="Times New Roman" w:hAnsi="Times New Roman"/>
          <w:iCs/>
          <w:color w:val="000000" w:themeColor="text1"/>
          <w:sz w:val="16"/>
          <w:szCs w:val="16"/>
        </w:rPr>
        <w:softHyphen/>
        <w:t>роятности попадания по цели ограничен</w:t>
      </w:r>
      <w:r w:rsidRPr="00640820">
        <w:rPr>
          <w:rFonts w:ascii="Times New Roman" w:hAnsi="Times New Roman"/>
          <w:iCs/>
          <w:color w:val="000000" w:themeColor="text1"/>
          <w:sz w:val="16"/>
          <w:szCs w:val="16"/>
        </w:rPr>
        <w:softHyphen/>
        <w:t>ных размеров, а так</w:t>
      </w:r>
      <w:r w:rsidRPr="00640820">
        <w:rPr>
          <w:rFonts w:ascii="Times New Roman" w:hAnsi="Times New Roman"/>
          <w:iCs/>
          <w:color w:val="000000" w:themeColor="text1"/>
          <w:sz w:val="16"/>
          <w:szCs w:val="16"/>
        </w:rPr>
        <w:softHyphen/>
        <w:t>же недостаточно вы</w:t>
      </w:r>
      <w:r w:rsidRPr="00640820">
        <w:rPr>
          <w:rFonts w:ascii="Times New Roman" w:hAnsi="Times New Roman"/>
          <w:iCs/>
          <w:color w:val="000000" w:themeColor="text1"/>
          <w:sz w:val="16"/>
          <w:szCs w:val="16"/>
        </w:rPr>
        <w:softHyphen/>
        <w:t>сокой поражаемости для других калибров при попадании в не</w:t>
      </w:r>
      <w:r w:rsidRPr="00640820">
        <w:rPr>
          <w:rFonts w:ascii="Times New Roman" w:hAnsi="Times New Roman"/>
          <w:iCs/>
          <w:color w:val="000000" w:themeColor="text1"/>
          <w:sz w:val="16"/>
          <w:szCs w:val="16"/>
        </w:rPr>
        <w:softHyphen/>
        <w:t>посредственной бли</w:t>
      </w:r>
      <w:r w:rsidRPr="00640820">
        <w:rPr>
          <w:rFonts w:ascii="Times New Roman" w:hAnsi="Times New Roman"/>
          <w:iCs/>
          <w:color w:val="000000" w:themeColor="text1"/>
          <w:sz w:val="16"/>
          <w:szCs w:val="16"/>
        </w:rPr>
        <w:softHyphen/>
        <w:t>зости от танков, веде</w:t>
      </w:r>
      <w:r w:rsidRPr="00640820">
        <w:rPr>
          <w:rFonts w:ascii="Times New Roman" w:hAnsi="Times New Roman"/>
          <w:iCs/>
          <w:color w:val="000000" w:themeColor="text1"/>
          <w:sz w:val="16"/>
          <w:szCs w:val="16"/>
        </w:rPr>
        <w:softHyphen/>
        <w:t>ние стрельбы по от</w:t>
      </w:r>
      <w:r w:rsidRPr="00640820">
        <w:rPr>
          <w:rFonts w:ascii="Times New Roman" w:hAnsi="Times New Roman"/>
          <w:iCs/>
          <w:color w:val="000000" w:themeColor="text1"/>
          <w:sz w:val="16"/>
          <w:szCs w:val="16"/>
        </w:rPr>
        <w:softHyphen/>
        <w:t>дельным танкам и целям малых размеров (или длины) с самолета Ил-2 реак</w:t>
      </w:r>
      <w:r w:rsidRPr="00640820">
        <w:rPr>
          <w:rFonts w:ascii="Times New Roman" w:hAnsi="Times New Roman"/>
          <w:iCs/>
          <w:color w:val="000000" w:themeColor="text1"/>
          <w:sz w:val="16"/>
          <w:szCs w:val="16"/>
        </w:rPr>
        <w:softHyphen/>
        <w:t>тивными снарядами всех калибров счи</w:t>
      </w:r>
      <w:r w:rsidRPr="00640820">
        <w:rPr>
          <w:rFonts w:ascii="Times New Roman" w:hAnsi="Times New Roman"/>
          <w:iCs/>
          <w:color w:val="000000" w:themeColor="text1"/>
          <w:sz w:val="16"/>
          <w:szCs w:val="16"/>
        </w:rPr>
        <w:softHyphen/>
        <w:t>тать неэффективным".</w:t>
      </w:r>
      <w:r w:rsidRPr="00640820">
        <w:rPr>
          <w:rFonts w:ascii="Times New Roman" w:hAnsi="Times New Roman"/>
          <w:color w:val="000000" w:themeColor="text1"/>
          <w:sz w:val="16"/>
          <w:szCs w:val="16"/>
        </w:rPr>
        <w:t xml:space="preserve"> Вместе с этим в отчете указывалось, что по площадным и линейно вытянутым целям примене</w:t>
      </w:r>
      <w:r w:rsidRPr="00640820">
        <w:rPr>
          <w:rFonts w:ascii="Times New Roman" w:hAnsi="Times New Roman"/>
          <w:color w:val="000000" w:themeColor="text1"/>
          <w:sz w:val="16"/>
          <w:szCs w:val="16"/>
        </w:rPr>
        <w:softHyphen/>
        <w:t>ние PC дает определенный эффект.</w:t>
      </w:r>
    </w:p>
    <w:p w14:paraId="6CDBEC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Отметим, что усреднение результатов стрельб реактивными снарядами, про</w:t>
      </w:r>
      <w:r w:rsidRPr="00640820">
        <w:rPr>
          <w:rFonts w:ascii="Times New Roman" w:hAnsi="Times New Roman"/>
          <w:color w:val="000000" w:themeColor="text1"/>
          <w:sz w:val="16"/>
          <w:szCs w:val="16"/>
        </w:rPr>
        <w:softHyphen/>
        <w:t>веденное специалистами НИП АВ ВВС без учета степени подготовленности летчиков, числа снарядов в залпе и уг</w:t>
      </w:r>
      <w:r w:rsidRPr="00640820">
        <w:rPr>
          <w:rFonts w:ascii="Times New Roman" w:hAnsi="Times New Roman"/>
          <w:color w:val="000000" w:themeColor="text1"/>
          <w:sz w:val="16"/>
          <w:szCs w:val="16"/>
        </w:rPr>
        <w:softHyphen/>
        <w:t>лов планирования штурмовика, нельзя признать корректным при оценке реаль</w:t>
      </w:r>
      <w:r w:rsidRPr="00640820">
        <w:rPr>
          <w:rFonts w:ascii="Times New Roman" w:hAnsi="Times New Roman"/>
          <w:color w:val="000000" w:themeColor="text1"/>
          <w:sz w:val="16"/>
          <w:szCs w:val="16"/>
        </w:rPr>
        <w:softHyphen/>
        <w:t>ной эффективности PC при действии по наземным целям.</w:t>
      </w:r>
    </w:p>
    <w:p w14:paraId="4C1C17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Отрицательный же опыт боевого при</w:t>
      </w:r>
      <w:r w:rsidRPr="00640820">
        <w:rPr>
          <w:rFonts w:ascii="Times New Roman" w:hAnsi="Times New Roman"/>
          <w:color w:val="000000" w:themeColor="text1"/>
          <w:sz w:val="16"/>
          <w:szCs w:val="16"/>
        </w:rPr>
        <w:softHyphen/>
        <w:t>менения PC на фронте объясняется главным образом повышенными (600-700 м) дальностями пуска снарядов и не использованием всего комплекта PC в одном залпе (6467).</w:t>
      </w:r>
    </w:p>
    <w:p w14:paraId="6CB8FC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Основным средством поражения бронетанковой техники про</w:t>
      </w:r>
      <w:r w:rsidRPr="00640820">
        <w:rPr>
          <w:rFonts w:ascii="Times New Roman" w:hAnsi="Times New Roman"/>
          <w:color w:val="000000" w:themeColor="text1"/>
          <w:sz w:val="16"/>
          <w:szCs w:val="16"/>
        </w:rPr>
        <w:softHyphen/>
        <w:t>тивника в этот период являлись авиа</w:t>
      </w:r>
      <w:r w:rsidRPr="00640820">
        <w:rPr>
          <w:rFonts w:ascii="Times New Roman" w:hAnsi="Times New Roman"/>
          <w:color w:val="000000" w:themeColor="text1"/>
          <w:sz w:val="16"/>
          <w:szCs w:val="16"/>
        </w:rPr>
        <w:softHyphen/>
        <w:t>бомбы. При этом наилучшие результа</w:t>
      </w:r>
      <w:r w:rsidRPr="00640820">
        <w:rPr>
          <w:rFonts w:ascii="Times New Roman" w:hAnsi="Times New Roman"/>
          <w:color w:val="000000" w:themeColor="text1"/>
          <w:sz w:val="16"/>
          <w:szCs w:val="16"/>
        </w:rPr>
        <w:softHyphen/>
        <w:t>ты достигались при использовании фу</w:t>
      </w:r>
      <w:r w:rsidRPr="00640820">
        <w:rPr>
          <w:rFonts w:ascii="Times New Roman" w:hAnsi="Times New Roman"/>
          <w:color w:val="000000" w:themeColor="text1"/>
          <w:sz w:val="16"/>
          <w:szCs w:val="16"/>
        </w:rPr>
        <w:softHyphen/>
        <w:t>гасных авиабомб типа ФАБ-100.</w:t>
      </w:r>
    </w:p>
    <w:p w14:paraId="0FAEA5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Действительно, при разрыве ФАБ-100 на расстоянии 1-5 м от танка осколки пробивали броню средних немецких тан</w:t>
      </w:r>
      <w:r w:rsidRPr="00640820">
        <w:rPr>
          <w:rFonts w:ascii="Times New Roman" w:hAnsi="Times New Roman"/>
          <w:color w:val="000000" w:themeColor="text1"/>
          <w:sz w:val="16"/>
          <w:szCs w:val="16"/>
        </w:rPr>
        <w:softHyphen/>
        <w:t>ков типа Pz.lV Ausf D, Pz.lll Ausf G и StuG III Ausf E толщиной до 30 мм и, кроме этого, от взрывной волны разрушались заклепочные и сварные швы танков. Осколочные же авиабомбы типа А0-25с и А0-25м, а также фугасные типа ФАБ-50, ФАБ-50м обеспечивали поражение только легких немецких танков типа Pz.38(t) Ausf С и Pz.ll Ausf F с пробити</w:t>
      </w:r>
      <w:r w:rsidRPr="00640820">
        <w:rPr>
          <w:rFonts w:ascii="Times New Roman" w:hAnsi="Times New Roman"/>
          <w:color w:val="000000" w:themeColor="text1"/>
          <w:sz w:val="16"/>
          <w:szCs w:val="16"/>
        </w:rPr>
        <w:softHyphen/>
        <w:t>ем осколками бортовой брони толщи</w:t>
      </w:r>
      <w:r w:rsidRPr="00640820">
        <w:rPr>
          <w:rFonts w:ascii="Times New Roman" w:hAnsi="Times New Roman"/>
          <w:color w:val="000000" w:themeColor="text1"/>
          <w:sz w:val="16"/>
          <w:szCs w:val="16"/>
        </w:rPr>
        <w:softHyphen/>
        <w:t>ной 15-20 мм при разрыве в непосред</w:t>
      </w:r>
      <w:r w:rsidRPr="00640820">
        <w:rPr>
          <w:rFonts w:ascii="Times New Roman" w:hAnsi="Times New Roman"/>
          <w:color w:val="000000" w:themeColor="text1"/>
          <w:sz w:val="16"/>
          <w:szCs w:val="16"/>
        </w:rPr>
        <w:softHyphen/>
        <w:t>ственной близости (0,5-1 м) или же при прямом попадании.</w:t>
      </w:r>
    </w:p>
    <w:p w14:paraId="3A1511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Однако преимущество 100-кг фугас</w:t>
      </w:r>
      <w:r w:rsidRPr="00640820">
        <w:rPr>
          <w:rFonts w:ascii="Times New Roman" w:hAnsi="Times New Roman"/>
          <w:color w:val="000000" w:themeColor="text1"/>
          <w:sz w:val="16"/>
          <w:szCs w:val="16"/>
        </w:rPr>
        <w:softHyphen/>
        <w:t>ных авиабомб, реализовывалось лишь при условии их сбрасывания с высот не менее 300-500 м со взрывателями мгновенного действия типа АПУВ, что противоречило тактике боевого приме</w:t>
      </w:r>
      <w:r w:rsidRPr="00640820">
        <w:rPr>
          <w:rFonts w:ascii="Times New Roman" w:hAnsi="Times New Roman"/>
          <w:color w:val="000000" w:themeColor="text1"/>
          <w:sz w:val="16"/>
          <w:szCs w:val="16"/>
        </w:rPr>
        <w:softHyphen/>
        <w:t>нения Ил-2 в этот период. Применение же ФАБ-100 с бреющего полета было возможно лишь с использованием взры</w:t>
      </w:r>
      <w:r w:rsidRPr="00640820">
        <w:rPr>
          <w:rFonts w:ascii="Times New Roman" w:hAnsi="Times New Roman"/>
          <w:color w:val="000000" w:themeColor="text1"/>
          <w:sz w:val="16"/>
          <w:szCs w:val="16"/>
        </w:rPr>
        <w:softHyphen/>
        <w:t>вателя замедленного действия, что силь</w:t>
      </w:r>
      <w:r w:rsidRPr="00640820">
        <w:rPr>
          <w:rFonts w:ascii="Times New Roman" w:hAnsi="Times New Roman"/>
          <w:color w:val="000000" w:themeColor="text1"/>
          <w:sz w:val="16"/>
          <w:szCs w:val="16"/>
        </w:rPr>
        <w:softHyphen/>
        <w:t>но снижало эффективность поражения подвижных целей (мотопехота, танки, ав</w:t>
      </w:r>
      <w:r w:rsidRPr="00640820">
        <w:rPr>
          <w:rFonts w:ascii="Times New Roman" w:hAnsi="Times New Roman"/>
          <w:color w:val="000000" w:themeColor="text1"/>
          <w:sz w:val="16"/>
          <w:szCs w:val="16"/>
        </w:rPr>
        <w:softHyphen/>
        <w:t>томашины и т.д.), так как за время за</w:t>
      </w:r>
      <w:r w:rsidRPr="00640820">
        <w:rPr>
          <w:rFonts w:ascii="Times New Roman" w:hAnsi="Times New Roman"/>
          <w:color w:val="000000" w:themeColor="text1"/>
          <w:sz w:val="16"/>
          <w:szCs w:val="16"/>
        </w:rPr>
        <w:softHyphen/>
        <w:t>медления взрывателя (22 сек) после</w:t>
      </w:r>
      <w:r w:rsidRPr="00640820">
        <w:rPr>
          <w:rFonts w:ascii="Times New Roman" w:hAnsi="Times New Roman"/>
          <w:color w:val="000000" w:themeColor="text1"/>
          <w:sz w:val="16"/>
          <w:szCs w:val="16"/>
        </w:rPr>
        <w:softHyphen/>
        <w:t>дние успевали отъехать на значитель</w:t>
      </w:r>
      <w:r w:rsidRPr="00640820">
        <w:rPr>
          <w:rFonts w:ascii="Times New Roman" w:hAnsi="Times New Roman"/>
          <w:color w:val="000000" w:themeColor="text1"/>
          <w:sz w:val="16"/>
          <w:szCs w:val="16"/>
        </w:rPr>
        <w:softHyphen/>
        <w:t>ное расстояние от места падения бом</w:t>
      </w:r>
      <w:r w:rsidRPr="00640820">
        <w:rPr>
          <w:rFonts w:ascii="Times New Roman" w:hAnsi="Times New Roman"/>
          <w:color w:val="000000" w:themeColor="text1"/>
          <w:sz w:val="16"/>
          <w:szCs w:val="16"/>
        </w:rPr>
        <w:softHyphen/>
        <w:t>бы. Кроме того, при ударе о землю бом</w:t>
      </w:r>
      <w:r w:rsidRPr="00640820">
        <w:rPr>
          <w:rFonts w:ascii="Times New Roman" w:hAnsi="Times New Roman"/>
          <w:color w:val="000000" w:themeColor="text1"/>
          <w:sz w:val="16"/>
          <w:szCs w:val="16"/>
        </w:rPr>
        <w:softHyphen/>
        <w:t>бы рикошетировали и разрывались вда</w:t>
      </w:r>
      <w:r w:rsidRPr="00640820">
        <w:rPr>
          <w:rFonts w:ascii="Times New Roman" w:hAnsi="Times New Roman"/>
          <w:color w:val="000000" w:themeColor="text1"/>
          <w:sz w:val="16"/>
          <w:szCs w:val="16"/>
        </w:rPr>
        <w:softHyphen/>
        <w:t>ли от цели.</w:t>
      </w:r>
    </w:p>
    <w:p w14:paraId="555484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Первые же дни боевого применения Ил-2 выявили и серьезный просчет в оснащении самолета прицелом для бом</w:t>
      </w:r>
      <w:r w:rsidRPr="00640820">
        <w:rPr>
          <w:rFonts w:ascii="Times New Roman" w:hAnsi="Times New Roman"/>
          <w:color w:val="000000" w:themeColor="text1"/>
          <w:sz w:val="16"/>
          <w:szCs w:val="16"/>
        </w:rPr>
        <w:softHyphen/>
        <w:t>бометания. Оказалось, что применитель</w:t>
      </w:r>
      <w:r w:rsidRPr="00640820">
        <w:rPr>
          <w:rFonts w:ascii="Times New Roman" w:hAnsi="Times New Roman"/>
          <w:color w:val="000000" w:themeColor="text1"/>
          <w:sz w:val="16"/>
          <w:szCs w:val="16"/>
        </w:rPr>
        <w:softHyphen/>
        <w:t>но к сложившейся тактике действий Ил-2 пользоваться установленным на штур</w:t>
      </w:r>
      <w:r w:rsidRPr="00640820">
        <w:rPr>
          <w:rFonts w:ascii="Times New Roman" w:hAnsi="Times New Roman"/>
          <w:color w:val="000000" w:themeColor="text1"/>
          <w:sz w:val="16"/>
          <w:szCs w:val="16"/>
        </w:rPr>
        <w:softHyphen/>
        <w:t>мовике прицелом ПБП-1бдля бомбоме</w:t>
      </w:r>
      <w:r w:rsidRPr="00640820">
        <w:rPr>
          <w:rFonts w:ascii="Times New Roman" w:hAnsi="Times New Roman"/>
          <w:color w:val="000000" w:themeColor="text1"/>
          <w:sz w:val="16"/>
          <w:szCs w:val="16"/>
        </w:rPr>
        <w:softHyphen/>
        <w:t>тания в горизонтальном полете (или на планировании до 5°) на высотах более 25 м было невозможно (из-за ограни</w:t>
      </w:r>
      <w:r w:rsidRPr="00640820">
        <w:rPr>
          <w:rFonts w:ascii="Times New Roman" w:hAnsi="Times New Roman"/>
          <w:color w:val="000000" w:themeColor="text1"/>
          <w:sz w:val="16"/>
          <w:szCs w:val="16"/>
        </w:rPr>
        <w:softHyphen/>
        <w:t>чения поля зрения капотом мотора), а при меньших высотах его применение затруднялось условиями пилотирования самолета (в этом случае, все внимание летчика было сосредоточено в основ</w:t>
      </w:r>
      <w:r w:rsidRPr="00640820">
        <w:rPr>
          <w:rFonts w:ascii="Times New Roman" w:hAnsi="Times New Roman"/>
          <w:color w:val="000000" w:themeColor="text1"/>
          <w:sz w:val="16"/>
          <w:szCs w:val="16"/>
        </w:rPr>
        <w:softHyphen/>
        <w:t>ном на наблюдении за землей). Поэто</w:t>
      </w:r>
      <w:r w:rsidRPr="00640820">
        <w:rPr>
          <w:rFonts w:ascii="Times New Roman" w:hAnsi="Times New Roman"/>
          <w:color w:val="000000" w:themeColor="text1"/>
          <w:sz w:val="16"/>
          <w:szCs w:val="16"/>
        </w:rPr>
        <w:softHyphen/>
        <w:t>му летчики штурмовых авиаполков были вынуждены осуществлять сброс авиа</w:t>
      </w:r>
      <w:r w:rsidRPr="00640820">
        <w:rPr>
          <w:rFonts w:ascii="Times New Roman" w:hAnsi="Times New Roman"/>
          <w:color w:val="000000" w:themeColor="text1"/>
          <w:sz w:val="16"/>
          <w:szCs w:val="16"/>
        </w:rPr>
        <w:softHyphen/>
        <w:t>бомб по выдержке времени, что было равносильно почти неприцельному бом</w:t>
      </w:r>
      <w:r w:rsidRPr="00640820">
        <w:rPr>
          <w:rFonts w:ascii="Times New Roman" w:hAnsi="Times New Roman"/>
          <w:color w:val="000000" w:themeColor="text1"/>
          <w:sz w:val="16"/>
          <w:szCs w:val="16"/>
        </w:rPr>
        <w:softHyphen/>
        <w:t>бометанию. Кроме того, ПБП-16, установ</w:t>
      </w:r>
      <w:r w:rsidRPr="00640820">
        <w:rPr>
          <w:rFonts w:ascii="Times New Roman" w:hAnsi="Times New Roman"/>
          <w:color w:val="000000" w:themeColor="text1"/>
          <w:sz w:val="16"/>
          <w:szCs w:val="16"/>
        </w:rPr>
        <w:softHyphen/>
        <w:t>ленный в кабине летчика перед броне-козырьком, сильно мешал обзору пере</w:t>
      </w:r>
      <w:r w:rsidRPr="00640820">
        <w:rPr>
          <w:rFonts w:ascii="Times New Roman" w:hAnsi="Times New Roman"/>
          <w:color w:val="000000" w:themeColor="text1"/>
          <w:sz w:val="16"/>
          <w:szCs w:val="16"/>
        </w:rPr>
        <w:softHyphen/>
        <w:t>дней полусферы, а сам летчик при дви</w:t>
      </w:r>
      <w:r w:rsidRPr="00640820">
        <w:rPr>
          <w:rFonts w:ascii="Times New Roman" w:hAnsi="Times New Roman"/>
          <w:color w:val="000000" w:themeColor="text1"/>
          <w:sz w:val="16"/>
          <w:szCs w:val="16"/>
        </w:rPr>
        <w:softHyphen/>
        <w:t>жении часто ударялся головой о при</w:t>
      </w:r>
      <w:r w:rsidRPr="00640820">
        <w:rPr>
          <w:rFonts w:ascii="Times New Roman" w:hAnsi="Times New Roman"/>
          <w:color w:val="000000" w:themeColor="text1"/>
          <w:sz w:val="16"/>
          <w:szCs w:val="16"/>
        </w:rPr>
        <w:softHyphen/>
        <w:t>цел, что нередко приводило к серьез</w:t>
      </w:r>
      <w:r w:rsidRPr="00640820">
        <w:rPr>
          <w:rFonts w:ascii="Times New Roman" w:hAnsi="Times New Roman"/>
          <w:color w:val="000000" w:themeColor="text1"/>
          <w:sz w:val="16"/>
          <w:szCs w:val="16"/>
        </w:rPr>
        <w:softHyphen/>
        <w:t>ным травмам, а во время вынужденных посадок - и к смертельным исходам.</w:t>
      </w:r>
    </w:p>
    <w:p w14:paraId="267E1D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Например, 1 июля 1941 г. во время вынужденной посадки в районе Сещи от удара головой о ПБП-16 погиб ст.л-т Александр Булавин из 4-го </w:t>
      </w:r>
      <w:r w:rsidRPr="00640820">
        <w:rPr>
          <w:rFonts w:ascii="Times New Roman" w:hAnsi="Times New Roman"/>
          <w:iCs/>
          <w:color w:val="000000" w:themeColor="text1"/>
          <w:sz w:val="16"/>
          <w:szCs w:val="16"/>
        </w:rPr>
        <w:t>шап.</w:t>
      </w:r>
      <w:r w:rsidRPr="00640820">
        <w:rPr>
          <w:rFonts w:ascii="Times New Roman" w:hAnsi="Times New Roman"/>
          <w:color w:val="000000" w:themeColor="text1"/>
          <w:sz w:val="16"/>
          <w:szCs w:val="16"/>
        </w:rPr>
        <w:t xml:space="preserve"> Млад</w:t>
      </w:r>
      <w:r w:rsidRPr="00640820">
        <w:rPr>
          <w:rFonts w:ascii="Times New Roman" w:hAnsi="Times New Roman"/>
          <w:color w:val="000000" w:themeColor="text1"/>
          <w:sz w:val="16"/>
          <w:szCs w:val="16"/>
        </w:rPr>
        <w:softHyphen/>
        <w:t xml:space="preserve">шему лейтенанту А.П.Светлову из 175-го </w:t>
      </w:r>
      <w:r w:rsidRPr="00640820">
        <w:rPr>
          <w:rFonts w:ascii="Times New Roman" w:hAnsi="Times New Roman"/>
          <w:iCs/>
          <w:color w:val="000000" w:themeColor="text1"/>
          <w:sz w:val="16"/>
          <w:szCs w:val="16"/>
        </w:rPr>
        <w:t>шап</w:t>
      </w:r>
      <w:r w:rsidRPr="00640820">
        <w:rPr>
          <w:rFonts w:ascii="Times New Roman" w:hAnsi="Times New Roman"/>
          <w:color w:val="000000" w:themeColor="text1"/>
          <w:sz w:val="16"/>
          <w:szCs w:val="16"/>
        </w:rPr>
        <w:t xml:space="preserve"> повезло больше - во время вы</w:t>
      </w:r>
      <w:r w:rsidRPr="00640820">
        <w:rPr>
          <w:rFonts w:ascii="Times New Roman" w:hAnsi="Times New Roman"/>
          <w:color w:val="000000" w:themeColor="text1"/>
          <w:sz w:val="16"/>
          <w:szCs w:val="16"/>
        </w:rPr>
        <w:softHyphen/>
        <w:t>нужденной посадки в районе Шлиссельбурга 29 августа 41 -го от удара головой о ПБП-1 б он получил лишь тяжелое ране</w:t>
      </w:r>
      <w:r w:rsidRPr="00640820">
        <w:rPr>
          <w:rFonts w:ascii="Times New Roman" w:hAnsi="Times New Roman"/>
          <w:color w:val="000000" w:themeColor="text1"/>
          <w:sz w:val="16"/>
          <w:szCs w:val="16"/>
        </w:rPr>
        <w:softHyphen/>
        <w:t>ние головы и был отправлен в госпиталь.</w:t>
      </w:r>
    </w:p>
    <w:p w14:paraId="4F4BDC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По этим причинам на большинстве самолетов Ил-2 в строевых частях по на</w:t>
      </w:r>
      <w:r w:rsidRPr="00640820">
        <w:rPr>
          <w:rFonts w:ascii="Times New Roman" w:hAnsi="Times New Roman"/>
          <w:color w:val="000000" w:themeColor="text1"/>
          <w:sz w:val="16"/>
          <w:szCs w:val="16"/>
        </w:rPr>
        <w:softHyphen/>
        <w:t>стоянию летного состава прицел ПБП-16 снимался, а стрельба из стрелково-пушечного вооружения производилась по пулеметной или пушечной трассам (сначала давалась пулеметная трасса и уже затем открывался огонь из пушек).</w:t>
      </w:r>
    </w:p>
    <w:p w14:paraId="2C45F7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целью повышения эффективности бомбовых ударов Ил-2 с горизонталь</w:t>
      </w:r>
      <w:r w:rsidRPr="00640820">
        <w:rPr>
          <w:rFonts w:ascii="Times New Roman" w:hAnsi="Times New Roman"/>
          <w:color w:val="000000" w:themeColor="text1"/>
          <w:sz w:val="16"/>
          <w:szCs w:val="16"/>
        </w:rPr>
        <w:softHyphen/>
        <w:t>ного полета в НИП АВ ВВС КА в июле 1941 г. был проведен расчет углов при</w:t>
      </w:r>
      <w:r w:rsidRPr="00640820">
        <w:rPr>
          <w:rFonts w:ascii="Times New Roman" w:hAnsi="Times New Roman"/>
          <w:color w:val="000000" w:themeColor="text1"/>
          <w:sz w:val="16"/>
          <w:szCs w:val="16"/>
        </w:rPr>
        <w:softHyphen/>
        <w:t>целивания и сделана специальная раз</w:t>
      </w:r>
      <w:r w:rsidRPr="00640820">
        <w:rPr>
          <w:rFonts w:ascii="Times New Roman" w:hAnsi="Times New Roman"/>
          <w:color w:val="000000" w:themeColor="text1"/>
          <w:sz w:val="16"/>
          <w:szCs w:val="16"/>
        </w:rPr>
        <w:softHyphen/>
        <w:t>метка бронекозырька и капота самоле</w:t>
      </w:r>
      <w:r w:rsidRPr="00640820">
        <w:rPr>
          <w:rFonts w:ascii="Times New Roman" w:hAnsi="Times New Roman"/>
          <w:color w:val="000000" w:themeColor="text1"/>
          <w:sz w:val="16"/>
          <w:szCs w:val="16"/>
        </w:rPr>
        <w:softHyphen/>
        <w:t>та Ил-2, повышающая точность прице</w:t>
      </w:r>
      <w:r w:rsidRPr="00640820">
        <w:rPr>
          <w:rFonts w:ascii="Times New Roman" w:hAnsi="Times New Roman"/>
          <w:color w:val="000000" w:themeColor="text1"/>
          <w:sz w:val="16"/>
          <w:szCs w:val="16"/>
        </w:rPr>
        <w:softHyphen/>
        <w:t>ливания при бомбометании с горизон</w:t>
      </w:r>
      <w:r w:rsidRPr="00640820">
        <w:rPr>
          <w:rFonts w:ascii="Times New Roman" w:hAnsi="Times New Roman"/>
          <w:color w:val="000000" w:themeColor="text1"/>
          <w:sz w:val="16"/>
          <w:szCs w:val="16"/>
        </w:rPr>
        <w:softHyphen/>
        <w:t>тального полета с высот 50, 100, 200 и 300м (6467).</w:t>
      </w:r>
    </w:p>
    <w:p w14:paraId="132951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Начальный опыт войны показал, что принятая до войны организация штур</w:t>
      </w:r>
      <w:r w:rsidRPr="00640820">
        <w:rPr>
          <w:rFonts w:ascii="Times New Roman" w:hAnsi="Times New Roman"/>
          <w:color w:val="000000" w:themeColor="text1"/>
          <w:sz w:val="16"/>
          <w:szCs w:val="16"/>
        </w:rPr>
        <w:softHyphen/>
        <w:t>мовых авиаполков оказалась несостоя</w:t>
      </w:r>
      <w:r w:rsidRPr="00640820">
        <w:rPr>
          <w:rFonts w:ascii="Times New Roman" w:hAnsi="Times New Roman"/>
          <w:color w:val="000000" w:themeColor="text1"/>
          <w:sz w:val="16"/>
          <w:szCs w:val="16"/>
        </w:rPr>
        <w:softHyphen/>
        <w:t>тельной (6467).</w:t>
      </w:r>
    </w:p>
    <w:p w14:paraId="333692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основе изучения боевого опыта первого периода войны Оперативное Управление ГШ ВВС КА в ориентировочных расчетах норм боевых возможнос</w:t>
      </w:r>
      <w:r w:rsidRPr="00640820">
        <w:rPr>
          <w:rFonts w:ascii="Times New Roman" w:hAnsi="Times New Roman"/>
          <w:color w:val="000000" w:themeColor="text1"/>
          <w:sz w:val="16"/>
          <w:szCs w:val="16"/>
        </w:rPr>
        <w:softHyphen/>
        <w:t>тей штурмовика Ил-2 при действиях по танкам в боевых порядках на поле боя указывало, что для поражения одного легкого танка типа Pz.ll или Pz.38(t) не</w:t>
      </w:r>
      <w:r w:rsidRPr="00640820">
        <w:rPr>
          <w:rFonts w:ascii="Times New Roman" w:hAnsi="Times New Roman"/>
          <w:color w:val="000000" w:themeColor="text1"/>
          <w:sz w:val="16"/>
          <w:szCs w:val="16"/>
        </w:rPr>
        <w:softHyphen/>
        <w:t>обходимо высылать наряд в 4-5 само</w:t>
      </w:r>
      <w:r w:rsidRPr="00640820">
        <w:rPr>
          <w:rFonts w:ascii="Times New Roman" w:hAnsi="Times New Roman"/>
          <w:color w:val="000000" w:themeColor="text1"/>
          <w:sz w:val="16"/>
          <w:szCs w:val="16"/>
        </w:rPr>
        <w:softHyphen/>
        <w:t>летов Ил-2, а для поражения одного среднего танка типа Pz.lV, Pz.lll или StuG III требовалось уже 12-15 "Ильюшиных"...(6467).</w:t>
      </w:r>
    </w:p>
    <w:p w14:paraId="4FA03F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1C13C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 ЛаГГ-3 вступили в бой под Москвой. К началу налетов немецкой авиации на столицу эти машины имелись лишь в 24-м и 233-м иап. Первый полк, стоявший на аэродромах Инютино и Спас-Лыкшино, был укомплектован ими полностью, но не все летчики в полной мере освоили новые истребители. Во втором имелась одна эскадрилья ЛаГГ-3, две другие летали на И-16 и МиГ-3. По состоянию на 31 июля оба полка могли выставить 37 готовых к бою истребителей ЛаГГ-3. Впоследствии количество этих машин на московском направлении значительно увеличилось; на них действовали 162, 168, 193, 431-й и 129-й (позднее 5-й гвардейский) иап. Одной эскадрильей истребителей располагал 3-й орап, где ЛаГГ-3 обеспечивали прикрытие разведчиков Пе-2 при полетах в тыл врага. ЛаГГ-3 серьезно уступал по своим летным данным истребителям противника, и все же нашим воздушным бойцам удавалось одерживать на них немало побед. Например, летчик 178-го иап Г.А. Григорьев уничтожил в московском небе 15 вражеских самолетов (11983).</w:t>
      </w:r>
    </w:p>
    <w:p w14:paraId="7D4410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72A8F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 полки перевооружались на ЛаГГ-3 один за другим. В сентябре на Южном фронте появился 149-й иап, летавший как на этих машинах, так и на МиГ-3. Еще в августе отвели с фронта понесший большие потери 8-й иап. В 11-м зап в Ростове-на-Дону его переукомплектовали истребителями таганрогского производства, и через два месяца отправили обратно на передовую в составе 74-й иад. В Горьком в ноябре прошел перевооружение 92-й иап; в начале 1942 г. он вновь вступил в бой на Волховском фронте. Примерно в это же время с И-16 на ЛаГГ-3 пересел 69-й иап, в котором служил один из самых результативных летчиков-истребителей Великой Отечественной войны - А.В. Апелюхин, одержавший 40 личных побед и 17 - в группе (11983).</w:t>
      </w:r>
    </w:p>
    <w:p w14:paraId="76CD75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30EA5D8"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23FD1A53"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FE7A7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октябрю 1941 г. в ВИАМ разработали краску МК-7, недешифрируемую и в ультрафиолетовой области спектра. Она состояла из пасты (мел, разбавленный водой со спиртом и добавкой 0,1-0,2% ультрамарина для устранения желтова- тости мела) и закрепителя (казеиновый клей, перемешанный с водой). Пасту и закрепитель смешивали непосредственно перед применением в соотношении 6:1, фильтровали и разводили до рабочей вязкости водой.</w:t>
      </w:r>
    </w:p>
    <w:p w14:paraId="350794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Наносилась краска прямо на летний камуфляж в два слоя пульверизатором или в один-два слоя кистью. Окраска должна была быть ровной, без шероховатостей и через нее должно было "слегка просвечиваться основное лакокрасочное покрытие".</w:t>
      </w:r>
    </w:p>
    <w:p w14:paraId="7EE319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зависимости от размеров крупинок мела зимняя окраска "съедала" от 10 до 25 км/ч скорости. Существенно уменьшить потерю скорости и даже свести ее на нет можно было, обработав окрашенные поверхности наждачной бумагой или просто грубой тряпкой по только что просохшему слою, но такие меры во фронтовых условиях выглядели мало реальными.</w:t>
      </w:r>
    </w:p>
    <w:p w14:paraId="69598F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Использовалась МК-7 двумя способами. По инструкции от 12 октября 1941 г., ею покрывали все верхние и боковые поверхности, за исключением опознавательных знаков. В таком виде самолет предполагалось поддерживать до весны. При появлении на аэродроме проталин краску нужно было частично смыть, а когда снега оставалась совсем мало, белое покрытие полностью удалялось водой или раствором соды.</w:t>
      </w:r>
    </w:p>
    <w:p w14:paraId="2BDEF1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втором случае, не упоминавшемся в приказах, но применявшемся на практике достаточно часто, белая краска наносилась пятнами, образуя, таким образом, зимний камуфляж. При этом возможны были различные варианты сочетаний цветов, которые зависели от фантазии техников и количества имевшейся в наличии белой краски.</w:t>
      </w:r>
    </w:p>
    <w:p w14:paraId="22F401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Самолеты, выпущенные промышленностью зимой, предписывалось окрашивать МК-7 поверх летнего камуфляжа прямо на заводах. </w:t>
      </w:r>
    </w:p>
    <w:p w14:paraId="05FB43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МК-7 была довольно непрочной и, если покрытие не обновлялось, постепенно стиралась, обнажая летнюю окраску: на самолетах к концу зимы сам собой появлялся так называемый "весенний" камуфляж.</w:t>
      </w:r>
    </w:p>
    <w:p w14:paraId="134C2F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меловой МК-7, имелись ее модификации МК-7Ш на основе гипса и МК- 7Ф (мел, разбавленный водой со спиртом и формалином). Из-за дефицита мела были разработаны и в 1942 г. проходили испытания и другие белые смываемые краски: С-1, С-4а и Б с использованием алебастра, извести или гипса. В январе 1942 г. союзная контора "Лакокраспокрытие" предложила рецептуру белой краски для Главного артуправ- ления на базе уральских гипсов. Краска, названная АБ-1, изготовлялась в Перми и служила для окраски самолетов Су-2 на эвакуированном туда заводе № 135. По заключению НИИ ВВС, она по своим свойствам: расходу, привесу, времени высыхания и другим - была очень близка к МК-7, а по маскировочным свойствам (недешифрируемость в ультрафиолете) превосходила последнюю. Тем не менее широкого распространения в авиации АБ-1 не получила; основной зимней краской оставалась МК-7.</w:t>
      </w:r>
    </w:p>
    <w:p w14:paraId="6CD080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Помимо использования смываемых красок, в документах упоминаются отдельные случаи зимней маскировки самолетов с помощью белых масляных и нитроэмалей и даже алюминиевых аэролаков (например, в 6-м иак в ноябре 1942 г.). Такие попытки пресекались командованием и не являлись системой (11989).</w:t>
      </w:r>
    </w:p>
    <w:p w14:paraId="15DFF2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B76F19E" w14:textId="77777777" w:rsidR="008B31BE" w:rsidRPr="00640820" w:rsidRDefault="008B31BE"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2D2028D8" w14:textId="77777777" w:rsidR="008B31BE" w:rsidRPr="00640820" w:rsidRDefault="008B31BE"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5CBB644" w14:textId="77777777" w:rsidR="008B31BE" w:rsidRPr="00640820" w:rsidRDefault="008B31BE" w:rsidP="00640820">
      <w:pPr>
        <w:pStyle w:val="ae"/>
        <w:shd w:val="clear" w:color="auto" w:fill="FFFFFF"/>
        <w:spacing w:before="0" w:after="0"/>
        <w:jc w:val="both"/>
        <w:rPr>
          <w:color w:val="000000" w:themeColor="text1"/>
          <w:sz w:val="16"/>
          <w:szCs w:val="16"/>
        </w:rPr>
      </w:pPr>
      <w:r w:rsidRPr="00640820">
        <w:rPr>
          <w:color w:val="000000" w:themeColor="text1"/>
          <w:sz w:val="16"/>
          <w:szCs w:val="16"/>
        </w:rPr>
        <w:t>К октябрю 1941 в начале Великой Отечественной войны в связи с оккупацией немецко-фашистскими войсками большой территории на западе страны и с эвакуацией большого количества оборонных предприятий в восточные районы проблема производства боеприпасов стала еще более острой. Из строя выбыли 303 предприятия, производивших эту продукцию. Пороховая промышленность потеряла 2/3 производственных мощностей. Из 8 пороховых заводов 5 было эвакуировано на восток страны. С потерей Донбасса более чем на 1/4 сократились мощности по производству толуола. С августа по ноябрь 1941 г. из строя выбыли предприятия, производившие в месяц т пороха, т тротила, т аммиачной селитры. Однако постепенно производство боеприпасов налаживалось. Мощным центром данного сектора военной промышленности становится Уральский регион, принявший большое количество предприятий этого профиля. Так, на снарядный завод 56 (Нижний Тагил), было эвакуировано оборудование и производственный персонал заводов 55 из Павлодара и 113 из Сельца-Брянского; на завод 114 (Копейск), прибыла техника и кадры заводов 113 и 144 из Сталино. Завод 68 (Невьянск) принял заводы 70 из Москвы и 567 из Рязани; завод 72 г. (Верхняя Тура) завод 73 из Сталино; завод 63 ( Нижний Тагил) заводы 65 из Таганрога и 73 из Сталино; завод 613 (Касли) завод 61 из Липецка; завод 322 (Орск) заводы 73 из Сталино и 79 из Днепропетровска; завод 78 (Челябинск) заводы 73 из Сталино, 70 из Москвы и 561 из Лианозово. Снарядные заводы из Ярославля ( 62), Осипенко ( 258) и Владимира ( 260) были также перебазированы соответственно в Челябинск, Копейск и Пермь. Капсюльный завод 401 из Реутово (Московская обл.) был эвакуирован в Ашу. В Миассе был срочно достроен авиабомбовый завод 611. На производственные площади строившегося в Перми порохового комбината 98 было эвакуировано оборудование и производственный персонал пороховых заводов 6 из Шлиссельбурга, 52 из Ленинградской обл., 100 из Алексина, 191 из Каменска, 59 из Петровенек. Комбинат был расширен: были возведены временные деревянные и шлакоблочные корпуса. На базе эвакуированного оборудования заводов 59 и 56 были пущены пороховые заводы 577 в Соликамске и 850 в Стерлитамаке. Было резко увеличено производство тротила на заводе 392 (Кемерово) и 595 (Красноуральск). Пока шел процесс эвакуации и адаптации указанных заводов на новой территории, фронт расходовал главным образом запасы боеприпасов, накопленные в мирное время. Продукция, поступавшая от перемещенных на восток предприятий, составляла лишь % предусмотренной планом. Резкое сокращение производства снарядов и мин наблюдалось в IV квартале 1941 г. и, особенно, в I квартале 1942 г. Поэтому расход артиллерийских снарядов в действующей армии был строго лимитирован (19154).</w:t>
      </w:r>
    </w:p>
    <w:p w14:paraId="331C39B4" w14:textId="77777777" w:rsidR="008B31BE" w:rsidRPr="00640820" w:rsidRDefault="008B31BE" w:rsidP="00640820">
      <w:pPr>
        <w:pStyle w:val="ae"/>
        <w:shd w:val="clear" w:color="auto" w:fill="FFFFFF"/>
        <w:spacing w:before="0" w:after="0"/>
        <w:jc w:val="both"/>
        <w:rPr>
          <w:color w:val="000000" w:themeColor="text1"/>
          <w:sz w:val="16"/>
          <w:szCs w:val="16"/>
        </w:rPr>
      </w:pPr>
    </w:p>
    <w:p w14:paraId="5CDE708D"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5C90B9F9"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73B5CC0" w14:textId="77777777" w:rsidR="00B81D22" w:rsidRPr="00640820" w:rsidRDefault="00B81D2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состоянию на 1 октября 1941 г., в действующей армии почти половина (48,6%) имевшихся в наличии штурмовиков Ил–2 были неисправными, а к 5 декабря — 31,4% (19825)/</w:t>
      </w:r>
    </w:p>
    <w:p w14:paraId="7B61FCAD" w14:textId="77777777" w:rsidR="00B81D22" w:rsidRPr="00640820" w:rsidRDefault="00B81D22" w:rsidP="00640820">
      <w:pPr>
        <w:spacing w:after="0" w:line="240" w:lineRule="auto"/>
        <w:jc w:val="both"/>
        <w:rPr>
          <w:rFonts w:ascii="Times New Roman" w:hAnsi="Times New Roman"/>
          <w:color w:val="000000" w:themeColor="text1"/>
          <w:sz w:val="16"/>
          <w:szCs w:val="16"/>
        </w:rPr>
      </w:pPr>
    </w:p>
    <w:p w14:paraId="79276B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октября 1941 из Харькова в Молотов прибыл первый эшелон завода № 135, а последний - лишь 4 декабря 1941 г. Некомплектная погрузка оборудования под огнем врага и отсутствие транспорных средств при разгрузке задержали монтаж оборудования. Да и руководство моторного завода № 19, на площади которого перебазировалось производство самолетов Су-2, оказалось не готово к приему огромного хозяйства (5360).</w:t>
      </w:r>
    </w:p>
    <w:p w14:paraId="784AD1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94AF5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октября 1941 прибыл первый эшелон из Харькова в Молотов, а последний - 4 декабря 1941 г. Некомплектная погрузка оборудования по вагонам под огнем врага, и отсутствие транспортных средств при разгрузке, задержали монтаж оборудования. Да и руководство моторного завода № 19, на площади которого перебазировалось производство самолетов Су-2, оказалось не готово к приему огромного хозяйства: корпуса передаваемых цехов были расчищены и освобождены лишь после вмешательства уполномоченного НКАП.</w:t>
      </w:r>
    </w:p>
    <w:p w14:paraId="7BAB65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Надо иметь в виду, что восстанавливали предприятие, как тогда говорили, "на базе слияния в единую производственно-хозяйственную единицу" заводов № 135, 207, филиала завода № 450, фюзеляжного цеха "Серп и молот", "Гидропривода", производственной части ОКБ-289 и деревообделочного цеха. Уже к началу ноября возник гигант, насчитывающий 1763 единицы оборудования, из которых 1114 составляли металлорежущие станки. (Для сравнения: в Харькове имелось около 800 металлорежущих станков.) В то же время рабочих имелось меньше половины от потребности (12028).</w:t>
      </w:r>
    </w:p>
    <w:p w14:paraId="795D2B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6560C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октября 1941 начались работы по переоборудованию самолета ДБ-3 Украина в штатный бомбардировщик ДБ-3. Руководитель работы (тема К) - В.А.Борог (3846,15).</w:t>
      </w:r>
    </w:p>
    <w:p w14:paraId="2E3878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76F62B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1 октября 1941 г. с 22 июня 1941 при заводе №1 был подготовлен 971 человек для полетов на МиГ (11761).</w:t>
      </w:r>
    </w:p>
    <w:p w14:paraId="172A6D1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A782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октября 1941-го вышло постановление Госкомитета обороны о формировании в составе ВВС полков ночных бомбардировщиков на базе устаревшей авиационной техники. Среди них были пять полков, укомплектованных Р-Зет. Надо отметить, что правильность принятия этого решения подтвердилась в ходе боевых действий. Достаточно сказать, что на один потерянный По-2 или Р-5 (равно, как и Р-Зет) во время войны приходилось 767 самолето-вылетов, что в 8-10 раз выше, чем для Ил-2, Пе-2 и Ту-2. В качестве примера приведем фрагменты из боевой деятельности 658-го полка ночных бомбардировщиков из состава 13-й воздушной армии на ленинградском направлении. Зимой 1942-го полк обеспечивал боевые действия 2-й ударной армии, прорвавшей фашистскую оборону в районе населенных пунктов Спасская Полнеть - Мясной Бор. Она устремилась на северо-запад с целью срезать Любань-Киришский выступ противника и этим помочь снять блокаду Ленинграда. Но усилий армии оказалось недостаточно и она вскоре сама попала в окружение. Единственным средством поддержки армии стала авиация. С наступлением темноты экипажи Р-Зет вылетали в район "котла" и сбрасывали войскам на бреющем полете продовольствие и боеприпасы, штурмовали неприятеля, уничтожали его склады. Летный состав полка нес большие потери, но с задачей справлялся, зачастую совершая в течение ночи по несколько вылетов. Тактика, как правило, была хоть и примитивная, но верная. Подходили к цели на большой высоте и, сбросив обороты, планировали с приглушенным мотором. Это давало шанс, выполнив задание, уйти домой невредимым... Зимой самолеты эксплуатировались на лыжах. Весной же боевая работа несколько затихала, поскольку взлетать с раскисшего грунта ВПП ни на лыжах, ни на колесах не представлялось возможным. С наступлением лета боевая деятельность полка снова ожила. Целями Р-Зет, как и прежде, были переправы через реку Волхов, выброска в тыл противника разведчиков и штурмовка его передовых сил, не давая немцам передышки даже ночью (3175,16).</w:t>
      </w:r>
    </w:p>
    <w:p w14:paraId="22410B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45FD559" w14:textId="77777777" w:rsidR="00165A9C" w:rsidRPr="00640820" w:rsidRDefault="00165A9C" w:rsidP="00640820">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октября 1941, согласно журналу оперативной справки по мотору 120 на заводе № 26, после неудач длительных 50-часовых испытаний мотора М-120ТК К-146 на станке, прекратилась подготовка мотора к новым совместным 50 часовым испытаниям на станке, которая шла с 1 сентября. Мотор с испытаний снят в ходе попыток с 6 по 13 и с 15 по 30 июня и с 15 по 31 июля 1941. В октябре, ноябре и декабре работы по мотору не велись. В январе 1942 проводилась подготовка опытного мотора к сборке и монтаж испытательной установки (998).</w:t>
      </w:r>
    </w:p>
    <w:p w14:paraId="5B888A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027E2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1 октября 1941 года Паспорт завода № 387</w:t>
      </w:r>
    </w:p>
    <w:p w14:paraId="353522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Год основания – 1935 год</w:t>
      </w:r>
    </w:p>
    <w:p w14:paraId="5280FE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Год ввода в эксплуатацию:</w:t>
      </w:r>
    </w:p>
    <w:p w14:paraId="39AC72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частичного – 1936 год</w:t>
      </w:r>
    </w:p>
    <w:p w14:paraId="27C219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Реконструируемый на базе завода № 169</w:t>
      </w:r>
    </w:p>
    <w:p w14:paraId="5C5A67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Характер производства –среднесерийное</w:t>
      </w:r>
    </w:p>
    <w:p w14:paraId="132F2B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Наименование производства – самолетостроительный</w:t>
      </w:r>
    </w:p>
    <w:p w14:paraId="139AD0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Казань 30, п/я 634</w:t>
      </w:r>
    </w:p>
    <w:p w14:paraId="352E42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самолеты У-2, С-2 и гр. комплекты; запчасти к самолету И-15 бис; планеры “Орел”, “Сокол” и др.</w:t>
      </w:r>
    </w:p>
    <w:p w14:paraId="4AB8EB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387 ныне находящийся в черте Казани эвакуирован из Ленинграда, монтируется и реконструируется на базе завода № 169 НКАП (9341).</w:t>
      </w:r>
    </w:p>
    <w:p w14:paraId="3327F6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F373D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1 октября 1941 года Паспорт завода № 490</w:t>
      </w:r>
    </w:p>
    <w:p w14:paraId="25398C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 Курбала</w:t>
      </w:r>
    </w:p>
    <w:p w14:paraId="2BC446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Год основания – 1930 год</w:t>
      </w:r>
    </w:p>
    <w:p w14:paraId="23D4BB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Год ввода в эксплуатацию:</w:t>
      </w:r>
    </w:p>
    <w:p w14:paraId="333BB3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частичного – августа 1941 год</w:t>
      </w:r>
    </w:p>
    <w:p w14:paraId="1463B9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Реконструируемый на основании постановления СНК от 1 июля 1941 года № 2330-рс и приказа НКАП от 7 июля 1941 года за № 641сс. До реконструкции завод изготовлял спецящики для снарядов и мебель.</w:t>
      </w:r>
    </w:p>
    <w:p w14:paraId="50DFCE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Характер производства – опытное и среднесерийное</w:t>
      </w:r>
    </w:p>
    <w:p w14:paraId="34EFA6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Наименование производства – планеростроение</w:t>
      </w:r>
    </w:p>
    <w:p w14:paraId="68DC12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Сталинград, ст. Ельшанка. Расстояние до Сталинграда 9 км. (Сталинград, п/я 117)</w:t>
      </w:r>
    </w:p>
    <w:p w14:paraId="5DC445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грузовой планер Курбала Л.П.</w:t>
      </w:r>
    </w:p>
    <w:p w14:paraId="4DA7EE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находился в системе НК леса. По характеру старого производства завод был приспособлен для изготовления жесткой и мягкой мебели и спецящиков для снарядов.</w:t>
      </w:r>
    </w:p>
    <w:p w14:paraId="3E8567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основании Постановления СНК от 1 июля 1941 года за № 2330-рс и приказа НКАП от 7 июля за № 641сс, бывш. Мебельно-ящичный комбинат был реорганизован в завод № 490 по производству грузовых планеров системы Курбала (9357).</w:t>
      </w:r>
    </w:p>
    <w:p w14:paraId="1ECFCB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4C921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1 октября 1941 года Паспорт завода № 384</w:t>
      </w:r>
    </w:p>
    <w:p w14:paraId="530AA8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Год основания – август 1931 года</w:t>
      </w:r>
    </w:p>
    <w:p w14:paraId="5AF582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Год ввода в эксплуатацию:</w:t>
      </w:r>
    </w:p>
    <w:p w14:paraId="179BAB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частичного – ноябрь-декабрь 1940 года</w:t>
      </w:r>
    </w:p>
    <w:p w14:paraId="4A011A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Реконструированный с влившимися в него заводами №№ 234, 451, 338</w:t>
      </w:r>
    </w:p>
    <w:p w14:paraId="275926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Характер производства –крупносерийное</w:t>
      </w:r>
    </w:p>
    <w:p w14:paraId="223346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Наименование производства –моторостроение</w:t>
      </w:r>
    </w:p>
    <w:p w14:paraId="2415C2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Баш. АССР, Уфа, ст. Черниковка, п/я 20</w:t>
      </w:r>
    </w:p>
    <w:p w14:paraId="71C3DA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моторы М-105Р, М-105П и гр. комплекты.</w:t>
      </w:r>
    </w:p>
    <w:p w14:paraId="019C7B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384 – реконструированное предприятие на базе Уфимского моторного завода НКСМ. В августе 1941 года по решению Правительства в завод влились эвакуированные заводы №№ 234, 451 и передан строившийся в Уфе завод № 338. Завод № 384 размещается на двух площадках, расстояние между ними 5 км. В связи со слиянием указанных выше заводов, проект завода № 384 разрабатывается заново (9339).</w:t>
      </w:r>
    </w:p>
    <w:p w14:paraId="6B2958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C4050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1 октября 1941 года Паспорт филиала завода № 213</w:t>
      </w:r>
    </w:p>
    <w:p w14:paraId="3A6FFF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в Энгельсе является филиалом завода в Москве. Организация завода началась 13 июля 1941 года на площади Мясокомбината.</w:t>
      </w:r>
    </w:p>
    <w:p w14:paraId="759E73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Основное количество оборудования и необходимый контингент рабочих и ИТР прибыли в Энгельс с первым эшелоном во главе с директором завода № 213 Михайловым 13 июля 1941 года.</w:t>
      </w:r>
    </w:p>
    <w:p w14:paraId="5ABE77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находится от г. Энгельс на расстоянии 8 км.</w:t>
      </w:r>
    </w:p>
    <w:p w14:paraId="57F014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Характеристика завода – дублер</w:t>
      </w:r>
    </w:p>
    <w:p w14:paraId="303D40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Характер производства – крупносерийное</w:t>
      </w:r>
    </w:p>
    <w:p w14:paraId="38D9FD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Наименование производства – приборостроение</w:t>
      </w:r>
    </w:p>
    <w:p w14:paraId="1DDA5F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Энгельс (9299)</w:t>
      </w:r>
    </w:p>
    <w:p w14:paraId="5D996AEC"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1A7D5D2"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7EC2BD51"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FE5B9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1 октября 1941 г. СТЗ стал де-факто главным производителем Т-34, и выдаваемая ему суточная программа выпуска Т-34 выросла с 4 до 11 машин (в то время как суточная программа завода № 112 в то же время состав</w:t>
      </w:r>
      <w:r w:rsidRPr="00640820">
        <w:rPr>
          <w:rFonts w:ascii="Times New Roman" w:hAnsi="Times New Roman"/>
          <w:color w:val="000000" w:themeColor="text1"/>
          <w:sz w:val="16"/>
          <w:szCs w:val="16"/>
        </w:rPr>
        <w:softHyphen/>
        <w:t>ляла не более двух танков). Но долго такое положение про</w:t>
      </w:r>
      <w:r w:rsidRPr="00640820">
        <w:rPr>
          <w:rFonts w:ascii="Times New Roman" w:hAnsi="Times New Roman"/>
          <w:color w:val="000000" w:themeColor="text1"/>
          <w:sz w:val="16"/>
          <w:szCs w:val="16"/>
        </w:rPr>
        <w:softHyphen/>
        <w:t>должаться не могло. В октябре завод был практически предо</w:t>
      </w:r>
      <w:r w:rsidRPr="00640820">
        <w:rPr>
          <w:rFonts w:ascii="Times New Roman" w:hAnsi="Times New Roman"/>
          <w:color w:val="000000" w:themeColor="text1"/>
          <w:sz w:val="16"/>
          <w:szCs w:val="16"/>
        </w:rPr>
        <w:softHyphen/>
        <w:t>ставлен сам себе. Связи со многими смежниками наруши</w:t>
      </w:r>
      <w:r w:rsidRPr="00640820">
        <w:rPr>
          <w:rFonts w:ascii="Times New Roman" w:hAnsi="Times New Roman"/>
          <w:color w:val="000000" w:themeColor="text1"/>
          <w:sz w:val="16"/>
          <w:szCs w:val="16"/>
        </w:rPr>
        <w:softHyphen/>
        <w:t>лись. Правда, распоряжением по наркомату в октябре на СТЗ были переданы 5 сварочных аппаратов и 30 квалифициро</w:t>
      </w:r>
      <w:r w:rsidRPr="00640820">
        <w:rPr>
          <w:rFonts w:ascii="Times New Roman" w:hAnsi="Times New Roman"/>
          <w:color w:val="000000" w:themeColor="text1"/>
          <w:sz w:val="16"/>
          <w:szCs w:val="16"/>
        </w:rPr>
        <w:softHyphen/>
        <w:t xml:space="preserve">ванных сварщиков, но погоды они, конечно, не делали. Ввиду значительного увеличения суточной программы выпуска танков, а также </w:t>
      </w:r>
      <w:r w:rsidRPr="00640820">
        <w:rPr>
          <w:rFonts w:ascii="Times New Roman" w:hAnsi="Times New Roman"/>
          <w:color w:val="000000" w:themeColor="text1"/>
          <w:sz w:val="16"/>
          <w:szCs w:val="16"/>
        </w:rPr>
        <w:lastRenderedPageBreak/>
        <w:t>перебазирования Мариупольского завода им. Ильича на Восток броневое производство для Т-34 на СТЗ было ориентировано на мощности завода № 264 (Сталинградская судоверфь в Сарепте) (10782).</w:t>
      </w:r>
    </w:p>
    <w:p w14:paraId="7AF9D01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AFDE9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 октября 1941 СТЗ вел разработку дизеля В-2 с чугунными картером и гильзами, а в январе 1942 г. такой двигатель был принят в серию. Не</w:t>
      </w:r>
      <w:r w:rsidRPr="00640820">
        <w:rPr>
          <w:rFonts w:ascii="Times New Roman" w:hAnsi="Times New Roman"/>
          <w:color w:val="000000" w:themeColor="text1"/>
          <w:sz w:val="16"/>
          <w:szCs w:val="16"/>
        </w:rPr>
        <w:softHyphen/>
        <w:t>смотря на то что его ресурс снизился, увеличился вес дви</w:t>
      </w:r>
      <w:r w:rsidRPr="00640820">
        <w:rPr>
          <w:rFonts w:ascii="Times New Roman" w:hAnsi="Times New Roman"/>
          <w:color w:val="000000" w:themeColor="text1"/>
          <w:sz w:val="16"/>
          <w:szCs w:val="16"/>
        </w:rPr>
        <w:softHyphen/>
        <w:t>гателя и танка, появились течи при подрывах на минах, это решение в то время было единственно правильным, так как позволило не только не остановить, но и несколько увели</w:t>
      </w:r>
      <w:r w:rsidRPr="00640820">
        <w:rPr>
          <w:rFonts w:ascii="Times New Roman" w:hAnsi="Times New Roman"/>
          <w:color w:val="000000" w:themeColor="text1"/>
          <w:sz w:val="16"/>
          <w:szCs w:val="16"/>
        </w:rPr>
        <w:softHyphen/>
        <w:t>чить выпуск В-2. Однако их все равно не хватало. Еще до войны, разрабатывая возможную замену дизеля В-2, по Наркомату среднего машиностроения разрешалось использовать танковый мотор М-17Т.или авиационный М-17Ф. Поэтому приказом по НКТП № 15сс от 18 сентября 1941 г. завод № 183 должен был в пятидневный срок отрабо</w:t>
      </w:r>
      <w:r w:rsidRPr="00640820">
        <w:rPr>
          <w:rFonts w:ascii="Times New Roman" w:hAnsi="Times New Roman"/>
          <w:color w:val="000000" w:themeColor="text1"/>
          <w:sz w:val="16"/>
          <w:szCs w:val="16"/>
        </w:rPr>
        <w:softHyphen/>
        <w:t>тать установку авиамотора М-17 на танк Т-34 и обеспечить заводы СТЗ и № 112 необходимыми чертежами и техдоку</w:t>
      </w:r>
      <w:r w:rsidRPr="00640820">
        <w:rPr>
          <w:rFonts w:ascii="Times New Roman" w:hAnsi="Times New Roman"/>
          <w:color w:val="000000" w:themeColor="text1"/>
          <w:sz w:val="16"/>
          <w:szCs w:val="16"/>
        </w:rPr>
        <w:softHyphen/>
        <w:t>ментацией. Однако завод № 183 в то время находился «на ко</w:t>
      </w:r>
      <w:r w:rsidRPr="00640820">
        <w:rPr>
          <w:rFonts w:ascii="Times New Roman" w:hAnsi="Times New Roman"/>
          <w:color w:val="000000" w:themeColor="text1"/>
          <w:sz w:val="16"/>
          <w:szCs w:val="16"/>
        </w:rPr>
        <w:softHyphen/>
        <w:t>лесах» и закончить работу во время не смог. 4 октября 1941 г. на заседании ГКО слушался вопрос об установке танковых и авиамоторов М-17Т и М-17Ф на танки Т-34 и КВ взамен ди</w:t>
      </w:r>
      <w:r w:rsidRPr="00640820">
        <w:rPr>
          <w:rFonts w:ascii="Times New Roman" w:hAnsi="Times New Roman"/>
          <w:color w:val="000000" w:themeColor="text1"/>
          <w:sz w:val="16"/>
          <w:szCs w:val="16"/>
        </w:rPr>
        <w:softHyphen/>
        <w:t>зель-мотора В-2. Тогда же эта замена была одобрена (10782).</w:t>
      </w:r>
    </w:p>
    <w:p w14:paraId="61FA11C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87F1F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 ок</w:t>
      </w:r>
      <w:r w:rsidRPr="00640820">
        <w:rPr>
          <w:rFonts w:ascii="Times New Roman" w:hAnsi="Times New Roman"/>
          <w:color w:val="000000" w:themeColor="text1"/>
          <w:sz w:val="16"/>
          <w:szCs w:val="16"/>
        </w:rPr>
        <w:softHyphen/>
        <w:t>тября 1941 на вооружение танка КВ было принято 76,2-мм тан</w:t>
      </w:r>
      <w:r w:rsidRPr="00640820">
        <w:rPr>
          <w:rFonts w:ascii="Times New Roman" w:hAnsi="Times New Roman"/>
          <w:color w:val="000000" w:themeColor="text1"/>
          <w:sz w:val="16"/>
          <w:szCs w:val="16"/>
        </w:rPr>
        <w:softHyphen/>
        <w:t>ковое орудие ЗИС-5 конструкции ОКБ № 92, представлявшее собой определенный гибрид откатных частей ору</w:t>
      </w:r>
      <w:r w:rsidRPr="00640820">
        <w:rPr>
          <w:rFonts w:ascii="Times New Roman" w:hAnsi="Times New Roman"/>
          <w:color w:val="000000" w:themeColor="text1"/>
          <w:sz w:val="16"/>
          <w:szCs w:val="16"/>
        </w:rPr>
        <w:softHyphen/>
        <w:t>дия Ф-34, помещенных в ложе орудия Ф-27. Так, по окончательному варианту, утвержденному техсоветом НКВ, ЗИС-5 отличалась от Ф-34 в основном конструкцией некоторых элементов люльки и бронемас-кой. Поскольку вопрос о снятии орудия Ф-32 с производ</w:t>
      </w:r>
      <w:r w:rsidRPr="00640820">
        <w:rPr>
          <w:rFonts w:ascii="Times New Roman" w:hAnsi="Times New Roman"/>
          <w:color w:val="000000" w:themeColor="text1"/>
          <w:sz w:val="16"/>
          <w:szCs w:val="16"/>
        </w:rPr>
        <w:softHyphen/>
        <w:t>ства был решен, ЗИС-5 последнего варианта была приня</w:t>
      </w:r>
      <w:r w:rsidRPr="00640820">
        <w:rPr>
          <w:rFonts w:ascii="Times New Roman" w:hAnsi="Times New Roman"/>
          <w:color w:val="000000" w:themeColor="text1"/>
          <w:sz w:val="16"/>
          <w:szCs w:val="16"/>
        </w:rPr>
        <w:softHyphen/>
        <w:t>та на вооружение 30 сентября 1941 г. Валовое производст</w:t>
      </w:r>
      <w:r w:rsidRPr="00640820">
        <w:rPr>
          <w:rFonts w:ascii="Times New Roman" w:hAnsi="Times New Roman"/>
          <w:color w:val="000000" w:themeColor="text1"/>
          <w:sz w:val="16"/>
          <w:szCs w:val="16"/>
        </w:rPr>
        <w:softHyphen/>
        <w:t>во пушек ЗИС-5 началось с 1 октября 1941 г. на заводах № 92 и № 9 (на который эвакуировалось танковое произ</w:t>
      </w:r>
      <w:r w:rsidRPr="00640820">
        <w:rPr>
          <w:rFonts w:ascii="Times New Roman" w:hAnsi="Times New Roman"/>
          <w:color w:val="000000" w:themeColor="text1"/>
          <w:sz w:val="16"/>
          <w:szCs w:val="16"/>
        </w:rPr>
        <w:softHyphen/>
        <w:t>водство ЛКЗ) и продолжалось до 21 декабря 1943 г. (10782).</w:t>
      </w:r>
    </w:p>
    <w:p w14:paraId="675AEDF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6911E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 октября 1941 г. валовое производст</w:t>
      </w:r>
      <w:r w:rsidRPr="00640820">
        <w:rPr>
          <w:rFonts w:ascii="Times New Roman" w:hAnsi="Times New Roman"/>
          <w:color w:val="000000" w:themeColor="text1"/>
          <w:sz w:val="16"/>
          <w:szCs w:val="16"/>
        </w:rPr>
        <w:softHyphen/>
        <w:t>во пушек ЗИС-5 началось на заводах № 92 и № 9 (на который эвакуировалось танковое произ</w:t>
      </w:r>
      <w:r w:rsidRPr="00640820">
        <w:rPr>
          <w:rFonts w:ascii="Times New Roman" w:hAnsi="Times New Roman"/>
          <w:color w:val="000000" w:themeColor="text1"/>
          <w:sz w:val="16"/>
          <w:szCs w:val="16"/>
        </w:rPr>
        <w:softHyphen/>
        <w:t>водство ЛКЗ) и продолжалось до 21 декабря 1943 г. (10782).</w:t>
      </w:r>
    </w:p>
    <w:p w14:paraId="27DF87B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66E41B" w14:textId="77777777" w:rsidR="00E869AD"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1749AB1D" w14:textId="77777777" w:rsidR="00E869AD" w:rsidRPr="00640820" w:rsidRDefault="00E869AD"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0364012" w14:textId="77777777" w:rsidR="00E869AD" w:rsidRPr="00640820" w:rsidRDefault="00E869AD"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1октября 1941 на пленуме артиллерийского комитета Главного артиллерийского управления (ГАУ) под председательством Э.А. Сателя, было доложено «об успешном боевом при</w:t>
      </w:r>
      <w:r w:rsidRPr="00640820">
        <w:rPr>
          <w:rFonts w:ascii="Times New Roman" w:hAnsi="Times New Roman"/>
          <w:color w:val="000000" w:themeColor="text1"/>
          <w:sz w:val="16"/>
          <w:szCs w:val="16"/>
        </w:rPr>
        <w:softHyphen/>
        <w:t>менении машин ЗИС-30». Однако при бо</w:t>
      </w:r>
      <w:r w:rsidRPr="00640820">
        <w:rPr>
          <w:rFonts w:ascii="Times New Roman" w:hAnsi="Times New Roman"/>
          <w:color w:val="000000" w:themeColor="text1"/>
          <w:sz w:val="16"/>
          <w:szCs w:val="16"/>
        </w:rPr>
        <w:softHyphen/>
        <w:t>лее длительной эксплуатации у самоходок выявилось множесшо недостатков (11089).</w:t>
      </w:r>
    </w:p>
    <w:p w14:paraId="3C449F6C" w14:textId="77777777" w:rsidR="00E869AD" w:rsidRPr="00640820" w:rsidRDefault="00E869AD"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A4C482" w14:textId="77777777" w:rsidR="00E869AD" w:rsidRPr="00640820" w:rsidRDefault="00E869AD"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октября на пленуме артилле</w:t>
      </w:r>
      <w:r w:rsidRPr="00640820">
        <w:rPr>
          <w:rFonts w:ascii="Times New Roman" w:hAnsi="Times New Roman"/>
          <w:color w:val="000000" w:themeColor="text1"/>
          <w:sz w:val="16"/>
          <w:szCs w:val="16"/>
        </w:rPr>
        <w:softHyphen/>
        <w:t>рийского комитета Главного артиллерийского управления (ГАУ) под председательством Э.А. Сателя было доложено «об успешном боевом применении машин ЗИС-30». Однако при более длительной эксплуатации техническое несовер</w:t>
      </w:r>
      <w:r w:rsidRPr="00640820">
        <w:rPr>
          <w:rFonts w:ascii="Times New Roman" w:hAnsi="Times New Roman"/>
          <w:color w:val="000000" w:themeColor="text1"/>
          <w:sz w:val="16"/>
          <w:szCs w:val="16"/>
        </w:rPr>
        <w:softHyphen/>
        <w:t>шенство машин давало о себе знать. Так, к 15 апреля 1942 г. в арткоме ГАУ накопилось большое число нелестных отзы</w:t>
      </w:r>
      <w:r w:rsidRPr="00640820">
        <w:rPr>
          <w:rFonts w:ascii="Times New Roman" w:hAnsi="Times New Roman"/>
          <w:color w:val="000000" w:themeColor="text1"/>
          <w:sz w:val="16"/>
          <w:szCs w:val="16"/>
        </w:rPr>
        <w:softHyphen/>
        <w:t>вов из войсковых частей на 57-мм противотанковые пуш</w:t>
      </w:r>
      <w:r w:rsidRPr="00640820">
        <w:rPr>
          <w:rFonts w:ascii="Times New Roman" w:hAnsi="Times New Roman"/>
          <w:color w:val="000000" w:themeColor="text1"/>
          <w:sz w:val="16"/>
          <w:szCs w:val="16"/>
        </w:rPr>
        <w:softHyphen/>
        <w:t>ки, ЗИС-2 и ЗИС-30. В отношении последней, в частнос</w:t>
      </w:r>
      <w:r w:rsidRPr="00640820">
        <w:rPr>
          <w:rFonts w:ascii="Times New Roman" w:hAnsi="Times New Roman"/>
          <w:color w:val="000000" w:themeColor="text1"/>
          <w:sz w:val="16"/>
          <w:szCs w:val="16"/>
        </w:rPr>
        <w:softHyphen/>
        <w:t>ти, было сказано следующее: «Машина неустойчива, ходо</w:t>
      </w:r>
      <w:r w:rsidRPr="00640820">
        <w:rPr>
          <w:rFonts w:ascii="Times New Roman" w:hAnsi="Times New Roman"/>
          <w:color w:val="000000" w:themeColor="text1"/>
          <w:sz w:val="16"/>
          <w:szCs w:val="16"/>
        </w:rPr>
        <w:softHyphen/>
        <w:t>вая часть перегружена, особенно задние тележки, мал запас хода и возимый боекомплект, велики габариты, слаба защи</w:t>
      </w:r>
      <w:r w:rsidRPr="00640820">
        <w:rPr>
          <w:rFonts w:ascii="Times New Roman" w:hAnsi="Times New Roman"/>
          <w:color w:val="000000" w:themeColor="text1"/>
          <w:sz w:val="16"/>
          <w:szCs w:val="16"/>
        </w:rPr>
        <w:softHyphen/>
        <w:t>щенность моторной группы, не обеспечена связь расчета с во</w:t>
      </w:r>
      <w:r w:rsidRPr="00640820">
        <w:rPr>
          <w:rFonts w:ascii="Times New Roman" w:hAnsi="Times New Roman"/>
          <w:color w:val="000000" w:themeColor="text1"/>
          <w:sz w:val="16"/>
          <w:szCs w:val="16"/>
        </w:rPr>
        <w:softHyphen/>
        <w:t>дителем. Стрельба часто ведется с поднятыми сошниками, так как нет времени на развертывание, при этом наблюда</w:t>
      </w:r>
      <w:r w:rsidRPr="00640820">
        <w:rPr>
          <w:rFonts w:ascii="Times New Roman" w:hAnsi="Times New Roman"/>
          <w:color w:val="000000" w:themeColor="text1"/>
          <w:sz w:val="16"/>
          <w:szCs w:val="16"/>
        </w:rPr>
        <w:softHyphen/>
        <w:t>лись случаи опрокидывания машин*. Тем не менее при всех отмеченных недостатках ЗИС-30 воевали и успешно боро</w:t>
      </w:r>
      <w:r w:rsidRPr="00640820">
        <w:rPr>
          <w:rFonts w:ascii="Times New Roman" w:hAnsi="Times New Roman"/>
          <w:color w:val="000000" w:themeColor="text1"/>
          <w:sz w:val="16"/>
          <w:szCs w:val="16"/>
        </w:rPr>
        <w:softHyphen/>
        <w:t>лись с вражескими танками под Москвой. К лету 1942 г. ЗИС-30 практически не осталось в вой</w:t>
      </w:r>
      <w:r w:rsidRPr="00640820">
        <w:rPr>
          <w:rFonts w:ascii="Times New Roman" w:hAnsi="Times New Roman"/>
          <w:color w:val="000000" w:themeColor="text1"/>
          <w:sz w:val="16"/>
          <w:szCs w:val="16"/>
        </w:rPr>
        <w:softHyphen/>
        <w:t>сках. Часть из них была потеряна в боях, а часть вышла из строя по причине поломок (11417).</w:t>
      </w:r>
    </w:p>
    <w:p w14:paraId="5F138205" w14:textId="77777777" w:rsidR="00E869AD" w:rsidRPr="00640820" w:rsidRDefault="00E869AD"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6FEF02" w14:textId="77777777" w:rsidR="00E869AD" w:rsidRPr="00640820" w:rsidRDefault="00E869AD"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1октября 1941 на пленуме артиллерийского комитета Главного артиллерийского управления (ГАУ) под председательством Э.А. Сателя, было доложено «об успешном боевом при</w:t>
      </w:r>
      <w:r w:rsidRPr="00640820">
        <w:rPr>
          <w:rFonts w:ascii="Times New Roman" w:hAnsi="Times New Roman"/>
          <w:color w:val="000000" w:themeColor="text1"/>
          <w:sz w:val="16"/>
          <w:szCs w:val="16"/>
        </w:rPr>
        <w:softHyphen/>
        <w:t>менении машин ЗИС-30». Однако при бо</w:t>
      </w:r>
      <w:r w:rsidRPr="00640820">
        <w:rPr>
          <w:rFonts w:ascii="Times New Roman" w:hAnsi="Times New Roman"/>
          <w:color w:val="000000" w:themeColor="text1"/>
          <w:sz w:val="16"/>
          <w:szCs w:val="16"/>
        </w:rPr>
        <w:softHyphen/>
        <w:t>лее длительной эксплуатации у самоходок выявилось множесшо недостатков (11089).</w:t>
      </w:r>
    </w:p>
    <w:p w14:paraId="0330D681" w14:textId="77777777" w:rsidR="00E869AD" w:rsidRPr="00640820" w:rsidRDefault="00E869AD"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A1BDE0" w14:textId="77777777" w:rsidR="00E869AD" w:rsidRPr="00640820" w:rsidRDefault="00E869AD"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октября на пленуме артилле</w:t>
      </w:r>
      <w:r w:rsidRPr="00640820">
        <w:rPr>
          <w:rFonts w:ascii="Times New Roman" w:hAnsi="Times New Roman"/>
          <w:color w:val="000000" w:themeColor="text1"/>
          <w:sz w:val="16"/>
          <w:szCs w:val="16"/>
        </w:rPr>
        <w:softHyphen/>
        <w:t>рийского комитета Главного артиллерийского управления (ГАУ) под председательством Э.А. Сателя было доложено «об успешном боевом применении машин ЗИС-30». Однако при более длительной эксплуатации техническое несовер</w:t>
      </w:r>
      <w:r w:rsidRPr="00640820">
        <w:rPr>
          <w:rFonts w:ascii="Times New Roman" w:hAnsi="Times New Roman"/>
          <w:color w:val="000000" w:themeColor="text1"/>
          <w:sz w:val="16"/>
          <w:szCs w:val="16"/>
        </w:rPr>
        <w:softHyphen/>
        <w:t>шенство машин давало о себе знать. Так, к 15 апреля 1942 г. в арткоме ГАУ накопилось большое число нелестных отзы</w:t>
      </w:r>
      <w:r w:rsidRPr="00640820">
        <w:rPr>
          <w:rFonts w:ascii="Times New Roman" w:hAnsi="Times New Roman"/>
          <w:color w:val="000000" w:themeColor="text1"/>
          <w:sz w:val="16"/>
          <w:szCs w:val="16"/>
        </w:rPr>
        <w:softHyphen/>
        <w:t>вов из войсковых частей на 57-мм противотанковые пуш</w:t>
      </w:r>
      <w:r w:rsidRPr="00640820">
        <w:rPr>
          <w:rFonts w:ascii="Times New Roman" w:hAnsi="Times New Roman"/>
          <w:color w:val="000000" w:themeColor="text1"/>
          <w:sz w:val="16"/>
          <w:szCs w:val="16"/>
        </w:rPr>
        <w:softHyphen/>
        <w:t>ки, ЗИС-2 и ЗИС-30. В отношении последней, в частнос</w:t>
      </w:r>
      <w:r w:rsidRPr="00640820">
        <w:rPr>
          <w:rFonts w:ascii="Times New Roman" w:hAnsi="Times New Roman"/>
          <w:color w:val="000000" w:themeColor="text1"/>
          <w:sz w:val="16"/>
          <w:szCs w:val="16"/>
        </w:rPr>
        <w:softHyphen/>
        <w:t>ти, было сказано следующее: «Машина неустойчива, ходо</w:t>
      </w:r>
      <w:r w:rsidRPr="00640820">
        <w:rPr>
          <w:rFonts w:ascii="Times New Roman" w:hAnsi="Times New Roman"/>
          <w:color w:val="000000" w:themeColor="text1"/>
          <w:sz w:val="16"/>
          <w:szCs w:val="16"/>
        </w:rPr>
        <w:softHyphen/>
        <w:t>вая часть перегружена, особенно задние тележки, мал запас хода и возимый боекомплект, велики габариты, слаба защи</w:t>
      </w:r>
      <w:r w:rsidRPr="00640820">
        <w:rPr>
          <w:rFonts w:ascii="Times New Roman" w:hAnsi="Times New Roman"/>
          <w:color w:val="000000" w:themeColor="text1"/>
          <w:sz w:val="16"/>
          <w:szCs w:val="16"/>
        </w:rPr>
        <w:softHyphen/>
        <w:t>щенность моторной группы, не обеспечена связь расчета с во</w:t>
      </w:r>
      <w:r w:rsidRPr="00640820">
        <w:rPr>
          <w:rFonts w:ascii="Times New Roman" w:hAnsi="Times New Roman"/>
          <w:color w:val="000000" w:themeColor="text1"/>
          <w:sz w:val="16"/>
          <w:szCs w:val="16"/>
        </w:rPr>
        <w:softHyphen/>
        <w:t>дителем. Стрельба часто ведется с поднятыми сошниками, так как нет времени на развертывание, при этом наблюда</w:t>
      </w:r>
      <w:r w:rsidRPr="00640820">
        <w:rPr>
          <w:rFonts w:ascii="Times New Roman" w:hAnsi="Times New Roman"/>
          <w:color w:val="000000" w:themeColor="text1"/>
          <w:sz w:val="16"/>
          <w:szCs w:val="16"/>
        </w:rPr>
        <w:softHyphen/>
        <w:t>лись случаи опрокидывания машин*. Тем не менее при всех отмеченных недостатках ЗИС-30 воевали и успешно боро</w:t>
      </w:r>
      <w:r w:rsidRPr="00640820">
        <w:rPr>
          <w:rFonts w:ascii="Times New Roman" w:hAnsi="Times New Roman"/>
          <w:color w:val="000000" w:themeColor="text1"/>
          <w:sz w:val="16"/>
          <w:szCs w:val="16"/>
        </w:rPr>
        <w:softHyphen/>
        <w:t>лись с вражескими танками под Москвой. К лету 1942 г. ЗИС-30 практически не осталось в вой</w:t>
      </w:r>
      <w:r w:rsidRPr="00640820">
        <w:rPr>
          <w:rFonts w:ascii="Times New Roman" w:hAnsi="Times New Roman"/>
          <w:color w:val="000000" w:themeColor="text1"/>
          <w:sz w:val="16"/>
          <w:szCs w:val="16"/>
        </w:rPr>
        <w:softHyphen/>
        <w:t>сках. Часть из них была потеряна в боях, а часть вышла из строя по причине поломок (11417).</w:t>
      </w:r>
    </w:p>
    <w:p w14:paraId="6EFDF7E4" w14:textId="77777777" w:rsidR="00E869AD" w:rsidRPr="00640820" w:rsidRDefault="00E869AD"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1BDB89"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1 октября 1941 года на СТЗ имелось в наличии:</w:t>
      </w:r>
    </w:p>
    <w:p w14:paraId="67C1C8BF"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корпусов (на всех операциях сборки и укомплектования машин) - 7; башен (на всех операциях) - 3; погонов верхних и нижних - 0; двигателей В-2 - 30: коробок перемены передач - 50; бортовых передач - 94; ведущих колес - 90. При наличии отдельных узлов трансмиссии и ходовой части можно было бы выпустить в сентябре около 220 тридцатьчетверок:</w:t>
      </w:r>
    </w:p>
    <w:p w14:paraId="103F2726"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«Выпуск Т-34 в первой половине октября целиком будет зависеть от поступления корпусов, башен, погонов и двигателей. Кроме выпуска в сентябре было отремонтировано 10 Т-34, пришедших с фронта (12217).</w:t>
      </w:r>
    </w:p>
    <w:p w14:paraId="61CD9586" w14:textId="77777777" w:rsidR="00E869AD" w:rsidRPr="00640820" w:rsidRDefault="00E869AD" w:rsidP="00640820">
      <w:pPr>
        <w:spacing w:after="0" w:line="240" w:lineRule="auto"/>
        <w:jc w:val="both"/>
        <w:rPr>
          <w:rFonts w:ascii="Times New Roman" w:hAnsi="Times New Roman"/>
          <w:color w:val="000000" w:themeColor="text1"/>
          <w:sz w:val="16"/>
          <w:szCs w:val="16"/>
        </w:rPr>
      </w:pPr>
    </w:p>
    <w:p w14:paraId="26EE22C7"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1 октября 1941 года состояние производства В-2 выглядело следующим образом:</w:t>
      </w:r>
    </w:p>
    <w:p w14:paraId="18B8F1C1"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Новых моторов в сентябре не собирали, вследствие отсутствия обработанных деталей.</w:t>
      </w:r>
    </w:p>
    <w:p w14:paraId="0A1F3B34"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ящее время на заводе в ремонте находятся 9 танков, из них 3 требуют капитального ремонта»</w:t>
      </w:r>
    </w:p>
    <w:p w14:paraId="6B2EF54E"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Отремонтировали 5 моторов, снятых с подбитых танков, прибывших на завод для ремонта с фронта (12217).</w:t>
      </w:r>
    </w:p>
    <w:p w14:paraId="0385B31E" w14:textId="77777777" w:rsidR="00E869AD" w:rsidRPr="00640820" w:rsidRDefault="00E869AD" w:rsidP="00640820">
      <w:pPr>
        <w:spacing w:after="0" w:line="240" w:lineRule="auto"/>
        <w:jc w:val="both"/>
        <w:rPr>
          <w:rFonts w:ascii="Times New Roman" w:hAnsi="Times New Roman"/>
          <w:color w:val="000000" w:themeColor="text1"/>
          <w:sz w:val="16"/>
          <w:szCs w:val="16"/>
        </w:rPr>
      </w:pPr>
    </w:p>
    <w:p w14:paraId="3B352A17"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1 октября 1941 года на СТЗ имелось в наличии:</w:t>
      </w:r>
    </w:p>
    <w:p w14:paraId="019C83EF"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корпусов (на всех операциях сборки и укомплектования машин) - 7; башен (на всех операциях) - 3; погонов верхних и нижних - 0; двигателей В-2 - 30: коробок перемены передач - 50; бортовых передач - 94; ведущих колес - 90. При наличии отдельных узлов трансмиссии и ходовой части можно было бы выпустить в сентябре около 220 тридцатьчетверок:</w:t>
      </w:r>
    </w:p>
    <w:p w14:paraId="6C7E178D"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«Выпуск Т-34 в первой половине октября целиком будет зависеть от поступления корпусов, башен, погонов и двигателей. Кроме выпуска в сентябре было отремонтировано 10 Т-34, пришедших с фронта (12217).</w:t>
      </w:r>
    </w:p>
    <w:p w14:paraId="3C5A711D" w14:textId="77777777" w:rsidR="00E869AD" w:rsidRPr="00640820" w:rsidRDefault="00E869AD" w:rsidP="00640820">
      <w:pPr>
        <w:spacing w:after="0" w:line="240" w:lineRule="auto"/>
        <w:jc w:val="both"/>
        <w:rPr>
          <w:rFonts w:ascii="Times New Roman" w:hAnsi="Times New Roman"/>
          <w:color w:val="000000" w:themeColor="text1"/>
          <w:sz w:val="16"/>
          <w:szCs w:val="16"/>
        </w:rPr>
      </w:pPr>
    </w:p>
    <w:p w14:paraId="74B23255"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1 октября 1941 года состояние производства В-2 выглядело следующим образом:</w:t>
      </w:r>
    </w:p>
    <w:p w14:paraId="7341EE0C"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Новых моторов в сентябре не собирали, вследствие отсутствия обработанных деталей.</w:t>
      </w:r>
    </w:p>
    <w:p w14:paraId="43563646"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ящее время на заводе в ремонте находятся 9 танков, из них 3 требуют капитального ремонта»</w:t>
      </w:r>
    </w:p>
    <w:p w14:paraId="5D6CF544"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Отремонтировали 5 моторов, снятых с подбитых танков, прибывших на завод для ремонта с фронта (12217).</w:t>
      </w:r>
    </w:p>
    <w:p w14:paraId="380A29BD" w14:textId="77777777" w:rsidR="00E869AD" w:rsidRPr="00640820" w:rsidRDefault="00E869AD" w:rsidP="00640820">
      <w:pPr>
        <w:spacing w:after="0" w:line="240" w:lineRule="auto"/>
        <w:jc w:val="both"/>
        <w:rPr>
          <w:rFonts w:ascii="Times New Roman" w:hAnsi="Times New Roman"/>
          <w:color w:val="000000" w:themeColor="text1"/>
          <w:sz w:val="16"/>
          <w:szCs w:val="16"/>
        </w:rPr>
      </w:pPr>
    </w:p>
    <w:p w14:paraId="78F0110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октября 1941 г. дальнейшие работы над Т-38 с ШВАК по указанию наркома НКТП В.А. Малышева были прекращены. Машины были отправлены на склад, где находились до конца войны в распоряжении ОГК НКТП. 'Один из танков Т-38Ш в настоящее время находится в экспозиции ЦМВС РФ в Москве (10703).</w:t>
      </w:r>
    </w:p>
    <w:p w14:paraId="2CCAEDF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174F09" w14:textId="77777777" w:rsidR="00DE6D2C" w:rsidRPr="00640820" w:rsidRDefault="00DE6D2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 октября 1941 года на испытания вышел экранированный Т-37. Его корпус получил экраны толщиной 7 мм, а башня – 6 мм. Был проведён обстрел танка из пулемёта бронебойными пулями с дистанций 50, 100, 150 и 200 метров. Испытания показали, что пуля пробивала экран, но листы самого корпуса в худшем случае получали вмятины. На этом основании комиссия сделала вывод, что танк не пробивается винтовочно-пулемётным огнём со всех дистанций (17660).</w:t>
      </w:r>
    </w:p>
    <w:p w14:paraId="193FB1E3" w14:textId="77777777" w:rsidR="00DE6D2C" w:rsidRPr="00640820" w:rsidRDefault="00DE6D2C" w:rsidP="00640820">
      <w:pPr>
        <w:spacing w:after="0" w:line="240" w:lineRule="auto"/>
        <w:jc w:val="both"/>
        <w:rPr>
          <w:rFonts w:ascii="Times New Roman" w:eastAsia="Times New Roman" w:hAnsi="Times New Roman"/>
          <w:color w:val="000000" w:themeColor="text1"/>
          <w:sz w:val="16"/>
          <w:szCs w:val="16"/>
          <w:lang w:eastAsia="ru-RU"/>
        </w:rPr>
      </w:pPr>
    </w:p>
    <w:p w14:paraId="3B980BF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 октября 1941 на Т-60 установили 20-мм пушку ТНШ, чтобы использовать танк для борь</w:t>
      </w:r>
      <w:r w:rsidRPr="00640820">
        <w:rPr>
          <w:rFonts w:ascii="Times New Roman" w:hAnsi="Times New Roman"/>
          <w:color w:val="000000" w:themeColor="text1"/>
          <w:sz w:val="16"/>
          <w:szCs w:val="16"/>
        </w:rPr>
        <w:softHyphen/>
        <w:t>бы не только с пехотой, но и с легкими танками и бронемашинами про</w:t>
      </w:r>
      <w:r w:rsidRPr="00640820">
        <w:rPr>
          <w:rFonts w:ascii="Times New Roman" w:hAnsi="Times New Roman"/>
          <w:color w:val="000000" w:themeColor="text1"/>
          <w:sz w:val="16"/>
          <w:szCs w:val="16"/>
        </w:rPr>
        <w:softHyphen/>
        <w:t>тивника. 20-мм пушка ТНШ (Танковая Нудельмана-Шпитального) была со</w:t>
      </w:r>
      <w:r w:rsidRPr="00640820">
        <w:rPr>
          <w:rFonts w:ascii="Times New Roman" w:hAnsi="Times New Roman"/>
          <w:color w:val="000000" w:themeColor="text1"/>
          <w:sz w:val="16"/>
          <w:szCs w:val="16"/>
        </w:rPr>
        <w:softHyphen/>
        <w:t>здана во второй половине 1941 г. совместно ОКБ-15 и ОКБ-16 на осно</w:t>
      </w:r>
      <w:r w:rsidRPr="00640820">
        <w:rPr>
          <w:rFonts w:ascii="Times New Roman" w:hAnsi="Times New Roman"/>
          <w:color w:val="000000" w:themeColor="text1"/>
          <w:sz w:val="16"/>
          <w:szCs w:val="16"/>
        </w:rPr>
        <w:softHyphen/>
        <w:t>ве вариантов крыльевой и турельной авиационных пушек ШВАК-20. Она была принята на вооружение 5 декабря 1941 г. и производилась на трех заводах НКВ до 1943 г. От крыльевой пушки был использован ствол длиной 82,4 калибра, а от турельной — тяга перезаряжания. Спус</w:t>
      </w:r>
      <w:r w:rsidRPr="00640820">
        <w:rPr>
          <w:rFonts w:ascii="Times New Roman" w:hAnsi="Times New Roman"/>
          <w:color w:val="000000" w:themeColor="text1"/>
          <w:sz w:val="16"/>
          <w:szCs w:val="16"/>
        </w:rPr>
        <w:softHyphen/>
        <w:t>ковой механизм и затыльник были сконструированы заново. Действие автоматики пушки было основано на использовании энергии порохо</w:t>
      </w:r>
      <w:r w:rsidRPr="00640820">
        <w:rPr>
          <w:rFonts w:ascii="Times New Roman" w:hAnsi="Times New Roman"/>
          <w:color w:val="000000" w:themeColor="text1"/>
          <w:sz w:val="16"/>
          <w:szCs w:val="16"/>
        </w:rPr>
        <w:softHyphen/>
        <w:t>вых газов. Темп стрельбы пушки составлял 600 выстр./мин., а боевая скорострельность - 200 выстр./мин. Пушка имела ленточное питание. Каждая лента, состоявшая из 58 выстрелов и 58 разъемных звеньев, ук</w:t>
      </w:r>
      <w:r w:rsidRPr="00640820">
        <w:rPr>
          <w:rFonts w:ascii="Times New Roman" w:hAnsi="Times New Roman"/>
          <w:color w:val="000000" w:themeColor="text1"/>
          <w:sz w:val="16"/>
          <w:szCs w:val="16"/>
        </w:rPr>
        <w:softHyphen/>
        <w:t>ладывалась в коробку, устанавливавшуюся на специальном кронштейне под пушкой. Выброс стреляных гильз из башни наружу под брониров</w:t>
      </w:r>
      <w:r w:rsidRPr="00640820">
        <w:rPr>
          <w:rFonts w:ascii="Times New Roman" w:hAnsi="Times New Roman"/>
          <w:color w:val="000000" w:themeColor="text1"/>
          <w:sz w:val="16"/>
          <w:szCs w:val="16"/>
        </w:rPr>
        <w:softHyphen/>
        <w:t xml:space="preserve">ку ствола осуществлялся через трубку газоотвода, а звеньев лент - по направляющей на днище танка. Из пушки можно было вести стрельбу на дальности до 2000 м осколочно-трассирующими и осколочно-зажи-гательными снарядами </w:t>
      </w:r>
      <w:r w:rsidRPr="00640820">
        <w:rPr>
          <w:rFonts w:ascii="Times New Roman" w:hAnsi="Times New Roman"/>
          <w:color w:val="000000" w:themeColor="text1"/>
          <w:sz w:val="16"/>
          <w:szCs w:val="16"/>
        </w:rPr>
        <w:lastRenderedPageBreak/>
        <w:t>с взрывателем мгновенного действия, а также бронебойно-зажигательными снарядами с карбид-вольфрамовыми сер</w:t>
      </w:r>
      <w:r w:rsidRPr="00640820">
        <w:rPr>
          <w:rFonts w:ascii="Times New Roman" w:hAnsi="Times New Roman"/>
          <w:color w:val="000000" w:themeColor="text1"/>
          <w:sz w:val="16"/>
          <w:szCs w:val="16"/>
        </w:rPr>
        <w:softHyphen/>
        <w:t>дечниками. Существенным недостатком автоматической пушки ТНШ были от</w:t>
      </w:r>
      <w:r w:rsidRPr="00640820">
        <w:rPr>
          <w:rFonts w:ascii="Times New Roman" w:hAnsi="Times New Roman"/>
          <w:color w:val="000000" w:themeColor="text1"/>
          <w:sz w:val="16"/>
          <w:szCs w:val="16"/>
        </w:rPr>
        <w:softHyphen/>
        <w:t>носительно низкое осколочное действие и малая бронепробиваемость 20-мм снарядов. Дальнейшие работы по повышению огневой мощи легких танков, которые предусматривали установку 23-мм авиационной пушки ВЯ и 37-мм пушек ЗИС-19 и ЗИС-19БМ, остались на стадии опытных разра</w:t>
      </w:r>
      <w:r w:rsidRPr="00640820">
        <w:rPr>
          <w:rFonts w:ascii="Times New Roman" w:hAnsi="Times New Roman"/>
          <w:color w:val="000000" w:themeColor="text1"/>
          <w:sz w:val="16"/>
          <w:szCs w:val="16"/>
        </w:rPr>
        <w:softHyphen/>
        <w:t>боток, поскольку на вооружение был принят легкий танк Т-70 с 45-мм пушкой 20К (10703).</w:t>
      </w:r>
    </w:p>
    <w:p w14:paraId="5310A4B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8C1D3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октяб</w:t>
      </w:r>
      <w:r w:rsidRPr="00640820">
        <w:rPr>
          <w:rFonts w:ascii="Times New Roman" w:hAnsi="Times New Roman"/>
          <w:color w:val="000000" w:themeColor="text1"/>
          <w:sz w:val="16"/>
          <w:szCs w:val="16"/>
        </w:rPr>
        <w:softHyphen/>
        <w:t>ря 1941 завод ГАЗ отгрузил фронту танки своего изготовления (10782). Алтайский тракторный завод (АТЗ) в Рубцовске, куда пе</w:t>
      </w:r>
      <w:r w:rsidRPr="00640820">
        <w:rPr>
          <w:rFonts w:ascii="Times New Roman" w:hAnsi="Times New Roman"/>
          <w:color w:val="000000" w:themeColor="text1"/>
          <w:sz w:val="16"/>
          <w:szCs w:val="16"/>
        </w:rPr>
        <w:softHyphen/>
        <w:t>реехала часть ХТЗ, также вышел с предложением руководст</w:t>
      </w:r>
      <w:r w:rsidRPr="00640820">
        <w:rPr>
          <w:rFonts w:ascii="Times New Roman" w:hAnsi="Times New Roman"/>
          <w:color w:val="000000" w:themeColor="text1"/>
          <w:sz w:val="16"/>
          <w:szCs w:val="16"/>
        </w:rPr>
        <w:softHyphen/>
        <w:t>ву НКТП начать выпуск легких танков АТЗ и АТЗ-2, причем один из вариантов АТЗ-2 предполагал наличие усиленного вооружения в виде 45-мм или даже 76-мм пушки. Однако опытные образцы танка АТЗ были забракованы, тем более для их массового выпуска в СССР уже не хватало двигателей. Кроме того, к весне 1942 г. всем производителям Т-60 стало ясно, что вооружение легкого танка слабенькой 20-мм пушкой уже не отвечает «злобе дня» (10782).</w:t>
      </w:r>
    </w:p>
    <w:p w14:paraId="5A4A39F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9EE19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октября 1941 артиллерийское КБ Кировского завода в ко</w:t>
      </w:r>
      <w:r w:rsidRPr="00640820">
        <w:rPr>
          <w:rFonts w:ascii="Times New Roman" w:hAnsi="Times New Roman"/>
          <w:color w:val="000000" w:themeColor="text1"/>
          <w:sz w:val="16"/>
          <w:szCs w:val="16"/>
        </w:rPr>
        <w:softHyphen/>
        <w:t>личестве 30 человек во главе с Л.И. Горлицким было эваку</w:t>
      </w:r>
      <w:r w:rsidRPr="00640820">
        <w:rPr>
          <w:rFonts w:ascii="Times New Roman" w:hAnsi="Times New Roman"/>
          <w:color w:val="000000" w:themeColor="text1"/>
          <w:sz w:val="16"/>
          <w:szCs w:val="16"/>
        </w:rPr>
        <w:softHyphen/>
        <w:t>ировано в Свердловск, где они вошли в артиллерийское КБ Уралмашзавода. Спустя три дня по прибытии они начали проработку более мощного вооружения танка КВ (11417).</w:t>
      </w:r>
    </w:p>
    <w:p w14:paraId="2642544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A7CE3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октября 1941 года вышел приказ № 489/560с НКВ и Наркомата боеприпасов</w:t>
      </w:r>
    </w:p>
    <w:p w14:paraId="159F8E3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исполнение постановления ГКО от 22 сентября 1941 года № 704сс:</w:t>
      </w:r>
    </w:p>
    <w:p w14:paraId="2520AE1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Передать патронный завод включая производство 20 мм гильз Комбината № 179 НКБ в Новосибирске – 3 Гл. управлению НКВ (6305, 241).</w:t>
      </w:r>
    </w:p>
    <w:p w14:paraId="71C2E8A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64B2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октября 1941 года приказом НКЭП СССР ОмЗЭТА переименован в "Государственный союзный завод № 634". 3 октября 1941 года принято решение НКЭП СССР об эвакуации Краснодарского завода ЗИП, уже в декабре первые эшелоны прибыли из Краснодара в Омск. В феврале-марте 1942 года из Ленинграда прибыли квалифицированные специалисты института ВИЭП - бывшей Отраслевой лаборатории - ОЛИЗ.</w:t>
      </w:r>
    </w:p>
    <w:p w14:paraId="7B2D26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193 киевлянина, 293 краснодарца и 14 специалистов из Ленинграда стояли у истоков будущего флагмана отечественного приборостроения. За годы войны коллектив пополнился сотнями омичей. С началом Великой Отечественной войны в невиданных масштабах развернулось производство военной техники, возросла потребность в электроизмерительных приборах. Задача обеспечения нужд обороны приборами была решена приборостроительными заводами страны. ОмЗЭТА выпустил 80 процентов электроизмерительных приборов от общего числа, произведенных в годы войны. Неконтактные взрыватели для морских мин "МИРАБ" и авиационных мин АМД-500, приборы для радиостанций - М63 и другие изделия специального назначения были основной продукцией ОмЗЭТА. В 1946 году коллективу завода было передано на вечное хранение переходящее Красное знамя Государственного Комитета Обороны СССР, не покидавшее завод с ноября 1942 года и до конца войны. Завод-воин вписал достойную строку в историю Великой Победы.</w:t>
      </w:r>
    </w:p>
    <w:p w14:paraId="0E20C6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годы восстановления разрушенного войной народного хозяйства завод стал одним из крупнейших предприятий приборостроения. Его продукцию можно было встретить в самых различных отраслях. В 1957 году предприятий было переименовано в "завод Омэлектроточприбор". В 1958 году началась "космическая эра" предприятия. Завод получил правительственное задание на освоение приборов для ракетно-космической техники.</w:t>
      </w:r>
    </w:p>
    <w:p w14:paraId="1A7E56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 поколения приборостроителей гордятся тем, что при запуске первого пилотируемого космического корабля "Восток" с космонавтом №1 Юрием Гагариным, главный конструктор С.П. Королев момент пуска определял по стрелке нашего измерительного прибора. И сегодня приборы ПО "Электроточприбор" работают в космосе и на земле при подготовке к полетам.</w:t>
      </w:r>
    </w:p>
    <w:p w14:paraId="7BC302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Более 150 работников предприятия награждены медалями и грамотами Федерации космонавтики СССР, РФ, предприятие дважды награждено Дипломами имени Юрия Гагарина. В 1963 году Министерством приборостроения было принято решение об организации производства приборов для шахтеров. Высокие технологические возможности, квалифицированный технически персонал и опыт специалистов СКБ определили выбор. Перед коллективом "Электроточприбора" была поставлена задача создать приборы безопасности коллективного и индивидуального пользования для контроля концентрации метана в атмосфере горных выработок и современные средства электровзрывания для шахт. В 1964 году первые сигнализаторы метана СМП-1 были отправлены на шахты. Следующим шагом в решении задачи стало объединение сигнализатора метана с головным светильником. В 1973 году был разработан сигнализатор метана СМС-1. Авторский коллектив предприятия был удостоен Государственной премии СССР.</w:t>
      </w:r>
    </w:p>
    <w:p w14:paraId="03383A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последующий период заводом был освоен целый ряд приборов для угольной промышленности - это взрывной прибор ИВП-1/12 (1967 год), малогабаритный сигнализатор метана СММ-1 (1974 год), специально для взрывников создан ИМС-1, совмещающий сигнализатор метана и омметр (1976 год). Работы, выполненные объединением по созданию средств безопасности, отмечены Государственными премиями СССР и Украинской ССР. В 1971 году коллектив завода удостоен высшей награды СССР - ордена Ленина.</w:t>
      </w:r>
    </w:p>
    <w:p w14:paraId="1F167D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История ПО "Электроточприбор" - это история отечественного приборостроения, от первых образцов военной техники до сложнейших информационно-измерительных и информационно-вычислительных комплексов.</w:t>
      </w:r>
    </w:p>
    <w:p w14:paraId="3CC82E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644042, г.Омск-42, Проспект К. Маркса 18 (9687).</w:t>
      </w:r>
    </w:p>
    <w:p w14:paraId="669F2A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3397010"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1 октября </w:t>
      </w:r>
      <w:r w:rsidRPr="00640820">
        <w:rPr>
          <w:rFonts w:ascii="Times New Roman" w:hAnsi="Times New Roman"/>
          <w:color w:val="000000" w:themeColor="text1"/>
          <w:sz w:val="16"/>
          <w:szCs w:val="16"/>
        </w:rPr>
        <w:t xml:space="preserve">в 1941 году свердловский завод № 356 выпустил первую продукцию — фотоаппараты для аэросъемки в оборонных целях. 1811 г – город Санкт-Петербург. Образование мастерских по изготовлению и ремонту геодезических инструментов. Мастерские входили в структуру Военно-Топографического Депо, подчиненного Военному Министру, затем Генеральному штабу. 1918 г – город Ташкент. Мастерские, переведенные в город Ташкент, были переименованы в фабрику «Геодезия». 1923 г. – город Москва. Переведенная в город Москву фабрика «Геодезия» была переименована в завод «Геодезия», который выпускал геодезические приборы, аэрофотоаппараты, и фотоаппараты «Лейка». 1941 г. - В августе завод №356 переведен в г.Свердловск и размещен на площадях бывшей макаронной фабрики, и 1 октября 1941 г. завод выпустил первую партию продукции для нужд армии, в том числе фотоаппараты для аэрофотосъемки типа АФА. (ныне ОАО "Уральское производственное предприятие "Вектор"). 1949 г. - г.Свердловск. Завод №356 перепрофилирован на радиолокационный профиль и определен головным по радиолокационным метеорологическим станциям для нужд Минобороны и Гидромета, а также других изделий на этой базе для Минобороны. 1957 г – город Свердловск. Завод приступил к серийному выпуску радиолокационной метеорологической станции РМС-1 «Метеор», которая в течении длительного времени поставлялась в различные страны мира, в том числе для научных исследований на морские суда в Арктику и Антарктику. 1960 г. – город Свердловск. Завод приступает к освоению и производству новых радиолокационных систем для нужд Минобороны. Для этих целей возводится новый современный корпус вдоль улицы Малышева, который оснащается новым оборудованием. 1965 г. – город Свердловск. Завод осваивает новое направление — цифровую вычислительную технику, новую элементную базу — феррит-транзисторные ячейки и на ее основе выпускает автоматизированные системы управления и информации. 1975 г. - Завод, наращивая объемы серийного производства освоенных изделий спецтехники, сформировал новое направление по ТНП — электромузыкальная и усилительно-аккустическая аппаратура, которая успешно реализуется на рынке СССР. 1989 г. - до настоящего времени — Завод осваивает и выпускает новую продукцию конверсионного направления: оборудование телекоммуникаций, продукцию производственно-технического назначения, медицинскую аппаратуру и товары народного потребления </w:t>
      </w:r>
    </w:p>
    <w:p w14:paraId="4D8CBFC6" w14:textId="77777777" w:rsidR="00E869AD" w:rsidRPr="00640820" w:rsidRDefault="00E869AD" w:rsidP="00640820">
      <w:pPr>
        <w:spacing w:after="0" w:line="240" w:lineRule="auto"/>
        <w:jc w:val="both"/>
        <w:rPr>
          <w:rFonts w:ascii="Times New Roman" w:hAnsi="Times New Roman"/>
          <w:color w:val="000000" w:themeColor="text1"/>
          <w:sz w:val="16"/>
          <w:szCs w:val="16"/>
        </w:rPr>
      </w:pPr>
    </w:p>
    <w:p w14:paraId="2BA5DD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 октября 1941 года завод № 176 НКБ был эвакуирован из г. Тулы на завод № 257 в г. Орск, в связи с чем строительство его в Туле было прекращено (9992).</w:t>
      </w:r>
    </w:p>
    <w:p w14:paraId="1541C8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7C3A898" w14:textId="77777777" w:rsidR="00C813D1" w:rsidRPr="00640820" w:rsidRDefault="00C813D1"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октября 1941 г.</w:t>
      </w:r>
    </w:p>
    <w:p w14:paraId="48278EAF" w14:textId="77777777" w:rsidR="00C813D1" w:rsidRPr="00640820" w:rsidRDefault="00C813D1"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Протоколы заседаний бюро Ленинградского городского комитета ВКП(б)</w:t>
      </w:r>
    </w:p>
    <w:p w14:paraId="3099A3A5" w14:textId="77777777" w:rsidR="00C813D1" w:rsidRPr="00640820" w:rsidRDefault="00C813D1"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1 октября 1941 г.</w:t>
      </w:r>
    </w:p>
    <w:p w14:paraId="1127C324" w14:textId="77777777" w:rsidR="00C813D1" w:rsidRPr="00640820" w:rsidRDefault="00C813D1"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126гс. — Об изготовлении железнодорожных батарей морской обороны г. Ленинграда (особая</w:t>
      </w:r>
    </w:p>
    <w:p w14:paraId="3D75F985" w14:textId="77777777" w:rsidR="00C813D1" w:rsidRPr="00640820" w:rsidRDefault="00C813D1"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папка).</w:t>
      </w:r>
    </w:p>
    <w:p w14:paraId="71F23B0E" w14:textId="77777777" w:rsidR="00C813D1" w:rsidRPr="00640820" w:rsidRDefault="00C813D1"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решением Военного Совета Ленинградского фронта от 28.9–1941 г. № 00304 бюро Ленинградского горкома ВКП(б) постановляет:</w:t>
      </w:r>
    </w:p>
    <w:p w14:paraId="74D07CD2" w14:textId="77777777" w:rsidR="00C813D1" w:rsidRPr="00640820" w:rsidRDefault="00C813D1"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Обязать директора Октябрьского вагоноремонтного завода им. Кагановича т. Григорьева оборудовать тормозами 10 пятидесятитонных платформ для установки морских орудий, 5 вагонов кухонь и 5 вагонов для жилья личного состава с поставкой их заводу «Большевик» в следующие сроки: 4 платформы — 2.10, 6 платформ — 3.10 и вагоны под кухни и жилье личного состава — 4.10–1941 г.</w:t>
      </w:r>
    </w:p>
    <w:p w14:paraId="7D51847D" w14:textId="77777777" w:rsidR="00C813D1" w:rsidRPr="00640820" w:rsidRDefault="00C813D1"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Обязать директоров заводов № 189 т. Товстых, № 371 т. Уварова и № 194 т. Лебедева изготовить каждым по 2 платформы Б-57 с переходными барабанами под установку 120-мм морских орудий.</w:t>
      </w:r>
    </w:p>
    <w:p w14:paraId="3B54A785" w14:textId="77777777" w:rsidR="00C813D1" w:rsidRPr="00640820" w:rsidRDefault="00C813D1"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Обязать директора завода «большевик» т. Волосатого обеспечить заводы чертежами на платформы 1.10–1941 г. и литьем под откидные ноги 2.10–1941 г.</w:t>
      </w:r>
    </w:p>
    <w:p w14:paraId="39AB79C0" w14:textId="77777777" w:rsidR="00C813D1" w:rsidRPr="00640820" w:rsidRDefault="00C813D1"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Обязать начальника Октябрьской ж. д. тов. Колпакова к 4. Х 1941 г. Поставить заводу «Большевик» 20 шт. двадцатитонных домкратов.</w:t>
      </w:r>
    </w:p>
    <w:p w14:paraId="026A8BD4" w14:textId="77777777" w:rsidR="00C813D1" w:rsidRPr="00640820" w:rsidRDefault="00C813D1"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Обязать директора завода им. Егорова т. Баулина изготовить по чертежам завода «Большевик» и поставить последнему к 4.10–1941 г. 40 штук деревянных брусьев.</w:t>
      </w:r>
    </w:p>
    <w:p w14:paraId="4C82E5A8" w14:textId="77777777" w:rsidR="00C813D1" w:rsidRPr="00640820" w:rsidRDefault="00C813D1"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Подписи — Капустин, Кузнецов, Никитин, Попков.</w:t>
      </w:r>
    </w:p>
    <w:p w14:paraId="54B14D3A" w14:textId="77777777" w:rsidR="00C813D1" w:rsidRPr="00640820" w:rsidRDefault="00C813D1"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ЦГАИПД СПб. Ф. 25. Оп.2а. Д. 157. Л. 71. Карточка опросного голосования. Оригинал, машинопись. Подписи — автографы (18720).</w:t>
      </w:r>
    </w:p>
    <w:p w14:paraId="30EC89D4" w14:textId="77777777" w:rsidR="00C813D1" w:rsidRPr="00640820" w:rsidRDefault="00C813D1" w:rsidP="00640820">
      <w:pPr>
        <w:autoSpaceDE w:val="0"/>
        <w:autoSpaceDN w:val="0"/>
        <w:adjustRightInd w:val="0"/>
        <w:spacing w:after="0" w:line="240" w:lineRule="auto"/>
        <w:jc w:val="both"/>
        <w:rPr>
          <w:rFonts w:ascii="Times New Roman" w:hAnsi="Times New Roman"/>
          <w:color w:val="000000" w:themeColor="text1"/>
          <w:sz w:val="16"/>
          <w:szCs w:val="16"/>
        </w:rPr>
      </w:pPr>
    </w:p>
    <w:p w14:paraId="7D7069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октября 1941 по заказу ВМФ адмиралтейцы начали изготовление 40 сухогрузных и бензоналивных несамоходных плашкоутов; закончено 29 октября (10671).</w:t>
      </w:r>
    </w:p>
    <w:p w14:paraId="5C7CD1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B71972C"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0FC13513"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21DD553"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1 октября </w:t>
      </w:r>
      <w:r w:rsidRPr="00640820">
        <w:rPr>
          <w:rFonts w:ascii="Times New Roman" w:hAnsi="Times New Roman"/>
          <w:color w:val="000000" w:themeColor="text1"/>
          <w:sz w:val="16"/>
          <w:szCs w:val="16"/>
        </w:rPr>
        <w:t>в 1941 году утреннее сообщение Совинформбюро:</w:t>
      </w:r>
    </w:p>
    <w:p w14:paraId="4D8D8633"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1 октября наши войска вели бои с противником на всём фронте.</w:t>
      </w:r>
    </w:p>
    <w:p w14:paraId="49624372"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Лётчики-штурмовики части майора Дельнова, оперирующей на одном из участков Северо-Западного направления фронта, за один день уничтожили 80 немецких автомашин, свыше 20 броневиков, 4 танка, 20 зенитных орудий и сожгли два больших склада с горючим и боеприпасами.</w:t>
      </w:r>
    </w:p>
    <w:p w14:paraId="59C252FD"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Авиачасть майора Комарова, действующая на Юго-Западном направлении фронта, за десять последних дней уничтожила 60 немецких танков, 20 зенитных орудий, 420 автомашин, нанесла тяжёлые потери трём полкам пехоты и уничтожила эскадрон кавалерии. На аэродромах противника уничтожено 20 немецких самолётов.</w:t>
      </w:r>
    </w:p>
    <w:p w14:paraId="0EF6A74E"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другом участке Юго-Западного направления фронта лётчики авиачасти, где военкомом тов. Алексеев, 28 сентября уничтожили 70 автомашин с пехотой противника, 14 танков и 10 бронемашин. Самолеты подразделения майора Шишкина на бреющем полёте атаковали немецкую мотоколонну. Уничтожено 20 автомашин с немецкой пехотой.</w:t>
      </w:r>
    </w:p>
    <w:p w14:paraId="277D0453"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участков Северо-Западного направления фронта наши части захватили немецкую автоколонну с боеприпасами. Взятые в плен водители автомашин дали показания, свидетельствующие о серьёзных трудностях, которые испытывают фашистские войска в связи с действиями партизанских отрядов в тылу немецких войск.</w:t>
      </w:r>
    </w:p>
    <w:p w14:paraId="021BA558"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Шофёр Гейнц Апфель показал: «Восьмого сентября шесть моих товарищей были арестованы за то, что они несвоевременно доставили боеприпасы из Луги на линию фронта. Я тоже входил в состав этой колонны. Рейс был жуткий. Партизаны неотступно следовали по нашим пятам и наносили нам удары. Восемь раз на нас нападали партизаны. Несколько автомашин с грузом нам пришлось бросить на дороге. Две автомашины провалились на разрушенном, партизанами мосту через какую-то речку. Пять дней мы пробирались от Луги до места назначения. Из 14 машин в колонне осталось только 7».</w:t>
      </w:r>
    </w:p>
    <w:p w14:paraId="79A2D57E"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Другой водитель Пауль Альтдорф заявил: «Мы ежеминутно подвергаемся не меньшей опасности, чем солдаты, участвующие в боях. Пять водителей, с которыми я в разное время ездил, убиты партизанами в сотне километров от передовых позиций. Каждый рейс сопряжён с опасностью для жизни и большими трудностями. Дороги, испорченные при отступлении русских войск, сейчас, с наступлением дождливой погоды, окончательно пришли в негодность. Ездить становится с каждым днём всё труднее. Машины буксуют, застревают в грязи, в ухабах. Без тягача нельзя проехать и 10 километров. Ни одного рейса не проходит без аварии. Этим пользуются партизаны. Наша автоколонна ни разу не доставила во-время груз к месту назначения».</w:t>
      </w:r>
    </w:p>
    <w:p w14:paraId="76E52946"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Немецко-фашистские мерзавцы продолжают неистовствовать в захваченных ими районах. В деревне Верест, Волосовского района, Ленинградской области, проходившие немецкие части отобрали у колхозников всё продовольствие. Через некоторое время в деревню нагрянул немецкий карательный отряд. Фашисты согнали всех крестьян на площадь и приказали им немедленно доставить хлеб и мясо. Колхозники ответили, что у них ничего нет, так как проходившие через деревню немцы всё продовольствие уже забрали. Тогда фашисты вывели из толпы колхозников В. Егорова, М. Таврид и Р. Озолина, избили их до потери сознания, а затем тут же при всех расстреляли. В деревне Бородкино, Новосельского района, немцы часто устраивают повальные обыски, сопровождающиеся грабежами и насилиями. В одном доме фашисты нашли у 12-летнего мальчика старый штык, изъеденный ржавчиной. В тот же день изверги учинили зверскую расправу над мальчиком и его родными.</w:t>
      </w:r>
    </w:p>
    <w:p w14:paraId="506D65EE"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Гитлеровские войска, оккупировавшие Польшу, терпят значительный урон от действий партизанских отрядов польских патриотов. Недавно партизанский отряд под командованием офицера польской армии совершил налёт на отряд немецких солдат близ гор. Седлец. Фашисты были застигнуты врасплох. Во время перестрелки были убиты 15 немецких солдат и один унтер-офицер. Партизанский отряд захватил на дороге около города Остроленка немецкий обоз с продовольствием. Уничтожив охрану и 9 грузовых автомашин, партизаны скрылись, захватив с собой все продукты. Около Люблина партизаны напали на немецкий кавалерийский взвод. Немцы бросились на партизан в атаку, но попали под сильный пулемётный огонь и отступили, потеряв 14 солдат убитыми и ранеными. Обеспокоенные непрестанными нападениями партизан, оккупационные власти усиливают гарнизоны в польских городах выздоравливающими ранеными солдатами.</w:t>
      </w:r>
    </w:p>
    <w:p w14:paraId="0FEC2CE9"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Сотни тысяч учащихся ремесленных училищ и школ фабрично-заводского обучения самоотверженно помогают нашей промышленности быстрее выполнять заказы фронта. Образцово работают на Сталинградском тракторном заводе ученики ремесленного училища № 1. Отличники учёбы Бородин, Емельянов и другие являются передовыми стахановцами на заводе. Юный фрезеровщик Иван Правов выполняет по две нормы в смену. 150-200 процентов нормы дают ученики Иванов, Щербаков, Подобед, Шур, Юшков и другие.</w:t>
      </w:r>
    </w:p>
    <w:p w14:paraId="7283AB20"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Большинство учащихся ремесленного училища одного из тульских заводов досрочно закончило учёбу и блестяще выполнило пробные работы на 5 разряд. Молодые токари Фундаев, Шарафьев и другие систематически вырабатывают по две нормы в смену. 16-летний слесарь Романов ежедневно даёт 300 и более процентов нормы. В сентябре он заработал 1.254 рубля. Десятки учеников школы фабрично-заводского обучения № 3 Челябинской области работают проходчиками, забойщиками и навалоотбойщиками Копейских рудников и перевыполняют нормы. Прекрасно овладев отбойным молотком, ученик школы Кирпичников вырабатывает до три нормы в смену.» (14786).</w:t>
      </w:r>
    </w:p>
    <w:p w14:paraId="4048EB94" w14:textId="77777777" w:rsidR="00E869AD" w:rsidRPr="00640820" w:rsidRDefault="00E869AD" w:rsidP="00640820">
      <w:pPr>
        <w:spacing w:after="0" w:line="240" w:lineRule="auto"/>
        <w:jc w:val="both"/>
        <w:rPr>
          <w:rFonts w:ascii="Times New Roman" w:hAnsi="Times New Roman"/>
          <w:color w:val="000000" w:themeColor="text1"/>
          <w:sz w:val="16"/>
          <w:szCs w:val="16"/>
        </w:rPr>
      </w:pPr>
    </w:p>
    <w:p w14:paraId="48825778"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1 октября </w:t>
      </w:r>
      <w:r w:rsidRPr="00640820">
        <w:rPr>
          <w:rFonts w:ascii="Times New Roman" w:hAnsi="Times New Roman"/>
          <w:color w:val="000000" w:themeColor="text1"/>
          <w:sz w:val="16"/>
          <w:szCs w:val="16"/>
        </w:rPr>
        <w:t>в 1941 году вечернее сообщение Совинформбюро:</w:t>
      </w:r>
    </w:p>
    <w:p w14:paraId="4B62741B"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первого октября наши войска вели бои с противником на всём фронте.</w:t>
      </w:r>
    </w:p>
    <w:p w14:paraId="1B0CFDA9"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29 сентября уничтожено 26 самолётов противника. Наши потери — 9 самолётов.</w:t>
      </w:r>
    </w:p>
    <w:p w14:paraId="5C6C0BAB"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сентября под Москвой сбит немецкий самолёт-разведчик.</w:t>
      </w:r>
    </w:p>
    <w:p w14:paraId="38087FB4"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Отважно сражаются с немецко-фашистскими войсками лётчики соединения командира тов. Куцевалова. За 28 дней сентября они уничтожили 864 автомашины с пехотой противника, боеприпасами и продовольствием, 78 танков, 80 бронеавтомобилей, 61 цистерну с бензином, взорвали 15 складов с боеприпасами и сбили в воздушных боях 38 немецких самолётов. С каждым днём удары эскадрилий тов. Куцевалова становятся всё более чувствительными для врага. Только за последние три дня лётчики этого соединения разгромили на Северо-Западном направлении фронта около 300 немецких автомашин, 38 бронеавтомобилей, 14 танков, несколько артиллерийских батарей и большое количество пехоты.</w:t>
      </w:r>
    </w:p>
    <w:p w14:paraId="3917FB67"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Части тов. Акименко, действующие на Западном направлении фронта, за несколько дней уничтожили 42 вражеских танка, 8 орудий и захватили знамя 5 немецкого моторизованного пехотного батальона.</w:t>
      </w:r>
    </w:p>
    <w:p w14:paraId="68145E2E"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Лётчики одного авиасоединения Черноморского Военно-Морского флота сбили за один день 10 самолётов и 3 планёра противника. Группа лётчиков Балтийского флота успешно атаковала фашистские мотомехчасти. В результате налёта выведено из строя 2 зенитные батареи, уничтожено два немецких танка и несколько автомашин.</w:t>
      </w:r>
    </w:p>
    <w:p w14:paraId="706DFAA7"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районе Тарту крупный партизанский отряд совершил налёт на штаб фашистских войск. Партизаны убили 15 германских солдат, разгромили штаб и захватили важные документы. В районе Р. партизаны подожгли большой склад с продовольствием, разбили цистерны с горючим и вывели из строя электростанцию.</w:t>
      </w:r>
    </w:p>
    <w:p w14:paraId="4635C0BE"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Партизанский отряд под командованием тов. Г. устроил засаду недалеко от станции П. Воинский поезд, подвозивший боеприпасы на фронт к Ленинграду, вынужден был остановиться из-за порчи полотна. Воспользовавшись остановкой, партизаны открыли огонь из станковых, и ручных пулемётов, автоматов и винтовок. В течение получаса партизаны перебили свыше 30 немецких солдат, сопровождавших поезд. В руки партизан достались большие трофеи: четыре противотанковые пушки, 11 пулемётов, 240 винтовок, 30 пистолетов, 18 ящиков с гранатами, свыше 20 тысяч патронов.</w:t>
      </w:r>
    </w:p>
    <w:p w14:paraId="17301E67"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Отважно действует в тылу фашистских захватчиков отряд, возглавляемый начальником депо тов. И. В течение десяти дней сентября этот отряд полностью истребил немецкую карательную роту, сжёг 11 автомашин с отобранным у крестьян продовольствием и уничтожил 8 немецких мотоциклистов-связистов.</w:t>
      </w:r>
    </w:p>
    <w:p w14:paraId="2C0B260B"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районе озера К. на Западном направлении фронта наши части захватили немецкую полевую почту № 476. Солдатские письма свидетельствуют о подавленном настроении германских солдат. Солдат Отто Гейгер пишет своим родителям: «Хорошо тем, кто не видит и не слышит того, что здесь творится. Я был бы счастлив, если бы эта война скорее окончилась. Сейчас я должен скрыться в убежище, так как русская артиллерия опять нас яростно обстреливает». Солдат Герберт Ланге в письме сообщает: «В грозу и ветер мы лежим в поле без сна. Мы не имеем смены. Деревни разрушены. Жители ушли. Кругом стрельба. В лесах скрываются русские партизаны. Они нападают на нас. Я буду рад, когда эта война кончится».</w:t>
      </w:r>
    </w:p>
    <w:p w14:paraId="42BF388E"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Солдат Курт Гессе жалуется своей матери: «Уже несколько дней мы не снимали сапог. Русские лётчики бомбят вас днем и ночью. В первой роте — десятки убитых и раненых. Вот и сейчас над нами кружат семь русских самолётов. Жутко. Бросаю писать».</w:t>
      </w:r>
    </w:p>
    <w:p w14:paraId="3CE98125"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Солдат Карл Венцель сообщает своему другу: «Мы лежим в грязных ямах и окружены лесами. Питание плохое, приходится самим заботиться. Берём всё, что попадёт в руки. Наше питание интендантству не стоит ни пфеннига». Ефрейтор Герберт Бушмейстер пишет: «...Иногда за целые дни не получаем ни куска хлеба, ни капли воды, ни одной папиросы. Воевать здесь очень трудно. Каждую пядь земли мы берём в ожесточённых боях и расплачиваемся за неё дорогой ценой многих жизней. Наш ротный командир пал в бою».</w:t>
      </w:r>
    </w:p>
    <w:p w14:paraId="650C2EF2"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Захватив Кривой Рог, немецкие войска учинили расправу над населением, которое не успело уйти с частями Красной Армии. Перешедшая линию фронта группа жителей Кривого Рога сообщила командованию о диких зверствах фашистских мерзавцев. Жена сотрудника филиала Украинского железорудного и марганцевого института Н. К. Григоренко заявила: «Меня, мужа и двух других служащих филиала ночью под конвоем доставили в штаб немецкой части. Немецкий офицер потребовал от нас карты и различные сведения о рудниках Криворожья. Когда муж и его сослуживцы ответили, что никаких карт у них нет, офицер несколько раз ударил моего мужа по лицу плетью. Немецкий офицер и солдаты особенно издевались над инженером рудника Г. С. Куличенко. Первым же ударом ему выбили глаз. Озверелые фашисты кололи его ножами, а потом застрелили. Моего мужа отправили в тюрьму. Товарищи мне потом передали, что он на другой день после очередного допроса и избиения умер».</w:t>
      </w:r>
    </w:p>
    <w:p w14:paraId="1F71F732"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Служащий горнорудного института А.С.Петренко рассказал: «В нашем институте немцы устроили настоящий погром в поисках материалов о рудниках. На второй день после вступления немцев в город они привели в институт пять горняков. К вечеру палачи выбросили на улицу трупы замученных. Несколько дней они лежали на мостовой».</w:t>
      </w:r>
    </w:p>
    <w:p w14:paraId="7225079C"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Домашняя хозяйка К.И.Шашкина сообщила, что у неё на глазах пьяные немецкие солдаты схватили около электростанции двух девушек, затащили их во двор, изнасиловали, а потом задушили.» (14786).</w:t>
      </w:r>
    </w:p>
    <w:p w14:paraId="11A1F2B2" w14:textId="77777777" w:rsidR="00E869AD" w:rsidRPr="00640820" w:rsidRDefault="00E869AD" w:rsidP="00640820">
      <w:pPr>
        <w:spacing w:after="0" w:line="240" w:lineRule="auto"/>
        <w:jc w:val="both"/>
        <w:rPr>
          <w:rFonts w:ascii="Times New Roman" w:hAnsi="Times New Roman"/>
          <w:color w:val="000000" w:themeColor="text1"/>
          <w:sz w:val="16"/>
          <w:szCs w:val="16"/>
        </w:rPr>
      </w:pPr>
    </w:p>
    <w:p w14:paraId="0CE8566E" w14:textId="77777777" w:rsidR="00C813D1" w:rsidRPr="00640820" w:rsidRDefault="00C813D1" w:rsidP="00640820">
      <w:pPr>
        <w:pStyle w:val="ae"/>
        <w:spacing w:before="0" w:after="0"/>
        <w:jc w:val="both"/>
        <w:textAlignment w:val="baseline"/>
        <w:rPr>
          <w:color w:val="000000" w:themeColor="text1"/>
          <w:sz w:val="16"/>
          <w:szCs w:val="16"/>
        </w:rPr>
      </w:pPr>
      <w:r w:rsidRPr="00640820">
        <w:rPr>
          <w:color w:val="000000" w:themeColor="text1"/>
          <w:sz w:val="16"/>
          <w:szCs w:val="16"/>
        </w:rPr>
        <w:t>По состоянию на 1 октября 1941 г. в ВВС РККА насчитывалось всего 180 штурмовиков, в том числе 144 Ил-2. Немногочисленные части, вооруженные ими, были более или менее равномерно распределены по всему фронту и, естественно, не могли оказывать значительное влияние на ход боевых действий. Между тем потребности в атаке наземных целей с малой высоты были огромны, и для этих целей в основном приходилось использовать обычные истребители И-16, ЛаГГ-3, МиГ-3 и др. По сути, Илы выполняли лишь вспомогательную роль, штурмуя различные цели совместно с летчиками-истребителями. При этом «горбатые» все еще считались секретными машинами, даже в сводках о потерях их порой указывали не буквально Ил-2, а под зашифрованными номерами (19522).</w:t>
      </w:r>
    </w:p>
    <w:p w14:paraId="4848838A" w14:textId="77777777" w:rsidR="00C813D1" w:rsidRPr="00640820" w:rsidRDefault="00C813D1" w:rsidP="00640820">
      <w:pPr>
        <w:pStyle w:val="ae"/>
        <w:spacing w:before="0" w:after="0"/>
        <w:jc w:val="both"/>
        <w:textAlignment w:val="baseline"/>
        <w:rPr>
          <w:color w:val="000000" w:themeColor="text1"/>
          <w:sz w:val="16"/>
          <w:szCs w:val="16"/>
        </w:rPr>
      </w:pPr>
    </w:p>
    <w:p w14:paraId="6C2D5EBE" w14:textId="77777777" w:rsidR="000E0496" w:rsidRPr="00640820" w:rsidRDefault="000E0496"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На 1 октября 1941 г. около 50 % штурмовиков, находившихся в боевых частях, требовали текущего или капитального ремонта. Отказы шасси, вооружения, перегрев и быстрый выход из строя моторов, возгорания в воздухе из</w:t>
      </w:r>
      <w:r w:rsidRPr="00640820">
        <w:rPr>
          <w:rFonts w:ascii="Times New Roman" w:hAnsi="Times New Roman"/>
          <w:color w:val="0070C0"/>
          <w:sz w:val="16"/>
          <w:szCs w:val="16"/>
        </w:rPr>
        <w:noBreakHyphen/>
        <w:t>за вытекания бензина были массовым явлением. В порядке вещей был срыв обшивки во время полета, обрыв тросов управления, отказ бензопомпы и т. п. Часто поступивший с завода Ил</w:t>
      </w:r>
      <w:r w:rsidRPr="00640820">
        <w:rPr>
          <w:rFonts w:ascii="Times New Roman" w:hAnsi="Times New Roman"/>
          <w:color w:val="0070C0"/>
          <w:sz w:val="16"/>
          <w:szCs w:val="16"/>
        </w:rPr>
        <w:noBreakHyphen/>
        <w:t>2 сразу же отправлялся в ремонт, а большинство машин перед вводом в эксплуатацию дорабатывались техническим персоналом и самими летчиками.</w:t>
      </w:r>
    </w:p>
    <w:p w14:paraId="23987CE9" w14:textId="77777777" w:rsidR="000E0496" w:rsidRPr="00640820" w:rsidRDefault="000E0496"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Конструкторы мотора AM</w:t>
      </w:r>
      <w:r w:rsidRPr="00640820">
        <w:rPr>
          <w:rFonts w:ascii="Times New Roman" w:hAnsi="Times New Roman"/>
          <w:color w:val="0070C0"/>
          <w:sz w:val="16"/>
          <w:szCs w:val="16"/>
        </w:rPr>
        <w:noBreakHyphen/>
        <w:t>38 вообще приготовили летчикам «сюрприз». Дело было в том, что пилоты, дабы кратковременно повысить мощность двигателя, часто увеличивали наддув, не изменяя при этом оборотов. Никто и подумать не мог, что в этом случае может произойти детонация горючего. Так, в сентябре 1942 г. по этой причине в ходе боевого вылета взорвались в воздухе сразу два Ил</w:t>
      </w:r>
      <w:r w:rsidRPr="00640820">
        <w:rPr>
          <w:rFonts w:ascii="Times New Roman" w:hAnsi="Times New Roman"/>
          <w:color w:val="0070C0"/>
          <w:sz w:val="16"/>
          <w:szCs w:val="16"/>
        </w:rPr>
        <w:noBreakHyphen/>
        <w:t>2 из 806</w:t>
      </w:r>
      <w:r w:rsidRPr="00640820">
        <w:rPr>
          <w:rFonts w:ascii="Times New Roman" w:hAnsi="Times New Roman"/>
          <w:color w:val="0070C0"/>
          <w:sz w:val="16"/>
          <w:szCs w:val="16"/>
        </w:rPr>
        <w:noBreakHyphen/>
        <w:t>го шап. Были у мотора и другие недостатки. Например, преждевременный выход из строя поршневых колец, из</w:t>
      </w:r>
      <w:r w:rsidRPr="00640820">
        <w:rPr>
          <w:rFonts w:ascii="Times New Roman" w:hAnsi="Times New Roman"/>
          <w:color w:val="0070C0"/>
          <w:sz w:val="16"/>
          <w:szCs w:val="16"/>
        </w:rPr>
        <w:noBreakHyphen/>
        <w:t>за чего во время полета за штурмовиком тянулся хорошо заметный шлейф белого дыма, по которому его было легко обнаружить (23199).</w:t>
      </w:r>
    </w:p>
    <w:p w14:paraId="2BFCC10D" w14:textId="77777777" w:rsidR="000E0496" w:rsidRPr="00640820" w:rsidRDefault="000E0496" w:rsidP="00640820">
      <w:pPr>
        <w:spacing w:after="0" w:line="240" w:lineRule="auto"/>
        <w:jc w:val="both"/>
        <w:rPr>
          <w:rFonts w:ascii="Times New Roman" w:hAnsi="Times New Roman"/>
          <w:color w:val="0070C0"/>
          <w:sz w:val="16"/>
          <w:szCs w:val="16"/>
        </w:rPr>
      </w:pPr>
    </w:p>
    <w:p w14:paraId="4DE7E78D" w14:textId="77777777" w:rsidR="00227022" w:rsidRPr="00640820" w:rsidRDefault="00227022"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 1 октября по 24 ноября 1941 авиация противника произвела 37 крупных бом</w:t>
      </w:r>
      <w:r w:rsidRPr="00640820">
        <w:rPr>
          <w:rFonts w:ascii="Times New Roman" w:hAnsi="Times New Roman"/>
          <w:color w:val="0070C0"/>
          <w:sz w:val="16"/>
          <w:szCs w:val="16"/>
        </w:rPr>
        <w:softHyphen/>
        <w:t>бардировочных налётов на Ленинград, в которых участвовало 840 самолётов. Интервалы между эшелонами вы</w:t>
      </w:r>
      <w:r w:rsidRPr="00640820">
        <w:rPr>
          <w:rFonts w:ascii="Times New Roman" w:hAnsi="Times New Roman"/>
          <w:color w:val="0070C0"/>
          <w:sz w:val="16"/>
          <w:szCs w:val="16"/>
        </w:rPr>
        <w:softHyphen/>
        <w:t>держивались ровно 20 минут, и бомбёжка растя</w:t>
      </w:r>
      <w:r w:rsidRPr="00640820">
        <w:rPr>
          <w:rFonts w:ascii="Times New Roman" w:hAnsi="Times New Roman"/>
          <w:color w:val="0070C0"/>
          <w:sz w:val="16"/>
          <w:szCs w:val="16"/>
        </w:rPr>
        <w:softHyphen/>
        <w:t>гивалась на всю ночь. В ночь на 14 ноября она продолжалась более 14 часов. В ночь на 19 ноября немцы сбросили более 500 фугасных и 1500 за</w:t>
      </w:r>
      <w:r w:rsidRPr="00640820">
        <w:rPr>
          <w:rFonts w:ascii="Times New Roman" w:hAnsi="Times New Roman"/>
          <w:color w:val="0070C0"/>
          <w:sz w:val="16"/>
          <w:szCs w:val="16"/>
        </w:rPr>
        <w:softHyphen/>
        <w:t>жигательных бомб. Налёты производились выше потолка боевого подъёма аэростатов загражде</w:t>
      </w:r>
      <w:r w:rsidRPr="00640820">
        <w:rPr>
          <w:rFonts w:ascii="Times New Roman" w:hAnsi="Times New Roman"/>
          <w:color w:val="0070C0"/>
          <w:sz w:val="16"/>
          <w:szCs w:val="16"/>
        </w:rPr>
        <w:softHyphen/>
        <w:t>ния на высоте 5000-6000 м (20120).</w:t>
      </w:r>
    </w:p>
    <w:p w14:paraId="54AAE1B7" w14:textId="77777777" w:rsidR="00227022" w:rsidRPr="00640820" w:rsidRDefault="00227022" w:rsidP="00640820">
      <w:pPr>
        <w:spacing w:after="0" w:line="240" w:lineRule="auto"/>
        <w:jc w:val="both"/>
        <w:rPr>
          <w:rFonts w:ascii="Times New Roman" w:hAnsi="Times New Roman"/>
          <w:color w:val="0070C0"/>
          <w:sz w:val="16"/>
          <w:szCs w:val="16"/>
        </w:rPr>
      </w:pPr>
    </w:p>
    <w:p w14:paraId="20EB2D36"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1 октября </w:t>
      </w:r>
      <w:r w:rsidRPr="00640820">
        <w:rPr>
          <w:rFonts w:ascii="Times New Roman" w:hAnsi="Times New Roman"/>
          <w:color w:val="000000" w:themeColor="text1"/>
          <w:sz w:val="16"/>
          <w:szCs w:val="16"/>
        </w:rPr>
        <w:t>в 1941 году войска немецкой группы армий «Центр» (соединения 2-й армии и 2-й танковой группы), прорвавшие оборону войск Брянского фронта, начали развивать наступление на северо-восток: частью сил — на Орел и Тулу, другой частью — на Карачев и Брянск (14786).</w:t>
      </w:r>
    </w:p>
    <w:p w14:paraId="79322F8E" w14:textId="77777777" w:rsidR="00E869AD" w:rsidRPr="00640820" w:rsidRDefault="00E869AD" w:rsidP="00640820">
      <w:pPr>
        <w:spacing w:after="0" w:line="240" w:lineRule="auto"/>
        <w:jc w:val="both"/>
        <w:rPr>
          <w:rFonts w:ascii="Times New Roman" w:hAnsi="Times New Roman"/>
          <w:color w:val="000000" w:themeColor="text1"/>
          <w:sz w:val="16"/>
          <w:szCs w:val="16"/>
        </w:rPr>
      </w:pPr>
    </w:p>
    <w:p w14:paraId="15574A9B"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1 октября </w:t>
      </w:r>
      <w:r w:rsidRPr="00640820">
        <w:rPr>
          <w:rFonts w:ascii="Times New Roman" w:hAnsi="Times New Roman"/>
          <w:color w:val="000000" w:themeColor="text1"/>
          <w:sz w:val="16"/>
          <w:szCs w:val="16"/>
        </w:rPr>
        <w:t>в 1941 году в СССР немецкие войска начинают наступление на Москву со стороны Смоленска (14786).</w:t>
      </w:r>
    </w:p>
    <w:p w14:paraId="50D5E510" w14:textId="77777777" w:rsidR="00E869AD" w:rsidRPr="00640820" w:rsidRDefault="00E869AD" w:rsidP="00640820">
      <w:pPr>
        <w:spacing w:after="0" w:line="240" w:lineRule="auto"/>
        <w:jc w:val="both"/>
        <w:rPr>
          <w:rFonts w:ascii="Times New Roman" w:hAnsi="Times New Roman"/>
          <w:color w:val="000000" w:themeColor="text1"/>
          <w:sz w:val="16"/>
          <w:szCs w:val="16"/>
        </w:rPr>
      </w:pPr>
    </w:p>
    <w:p w14:paraId="38C17EF7"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1 октября </w:t>
      </w:r>
      <w:r w:rsidRPr="00640820">
        <w:rPr>
          <w:rFonts w:ascii="Times New Roman" w:hAnsi="Times New Roman"/>
          <w:color w:val="000000" w:themeColor="text1"/>
          <w:sz w:val="16"/>
          <w:szCs w:val="16"/>
        </w:rPr>
        <w:t>в 1941 году немецкие войска заняли Севск (14786).</w:t>
      </w:r>
    </w:p>
    <w:p w14:paraId="72308FA3" w14:textId="77777777" w:rsidR="00E869AD" w:rsidRPr="00640820" w:rsidRDefault="00E869AD" w:rsidP="00640820">
      <w:pPr>
        <w:spacing w:after="0" w:line="240" w:lineRule="auto"/>
        <w:jc w:val="both"/>
        <w:rPr>
          <w:rFonts w:ascii="Times New Roman" w:hAnsi="Times New Roman"/>
          <w:color w:val="000000" w:themeColor="text1"/>
          <w:sz w:val="16"/>
          <w:szCs w:val="16"/>
        </w:rPr>
      </w:pPr>
    </w:p>
    <w:p w14:paraId="4C034C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1 октября 1941 г. в действующей армии почти половина -48,6%, имевшихся в наличии штурмови</w:t>
      </w:r>
      <w:r w:rsidRPr="00640820">
        <w:rPr>
          <w:rFonts w:ascii="Times New Roman" w:hAnsi="Times New Roman"/>
          <w:color w:val="000000" w:themeColor="text1"/>
          <w:sz w:val="16"/>
          <w:szCs w:val="16"/>
        </w:rPr>
        <w:softHyphen/>
        <w:t>ков Ил-2 были неисправными, а 5 де</w:t>
      </w:r>
      <w:r w:rsidRPr="00640820">
        <w:rPr>
          <w:rFonts w:ascii="Times New Roman" w:hAnsi="Times New Roman"/>
          <w:color w:val="000000" w:themeColor="text1"/>
          <w:sz w:val="16"/>
          <w:szCs w:val="16"/>
        </w:rPr>
        <w:softHyphen/>
        <w:t>кабря - 31,4%.</w:t>
      </w:r>
    </w:p>
    <w:p w14:paraId="358BBD9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октября 1941 немецкие войска захватили Петрозаводск (4962).</w:t>
      </w:r>
    </w:p>
    <w:p w14:paraId="4CF5278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F9CEBD"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1 октября </w:t>
      </w:r>
      <w:r w:rsidRPr="00640820">
        <w:rPr>
          <w:rFonts w:ascii="Times New Roman" w:hAnsi="Times New Roman"/>
          <w:color w:val="000000" w:themeColor="text1"/>
          <w:sz w:val="16"/>
          <w:szCs w:val="16"/>
        </w:rPr>
        <w:t>в 1941 году немецкие войска захватывают Петрозаводск (14786).</w:t>
      </w:r>
    </w:p>
    <w:p w14:paraId="517D160E" w14:textId="77777777" w:rsidR="00E869AD" w:rsidRPr="00640820" w:rsidRDefault="00E869AD" w:rsidP="00640820">
      <w:pPr>
        <w:spacing w:after="0" w:line="240" w:lineRule="auto"/>
        <w:jc w:val="both"/>
        <w:rPr>
          <w:rFonts w:ascii="Times New Roman" w:hAnsi="Times New Roman"/>
          <w:color w:val="000000" w:themeColor="text1"/>
          <w:sz w:val="16"/>
          <w:szCs w:val="16"/>
        </w:rPr>
      </w:pPr>
    </w:p>
    <w:p w14:paraId="46C3F86B"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1 октября </w:t>
      </w:r>
      <w:r w:rsidRPr="00640820">
        <w:rPr>
          <w:rFonts w:ascii="Times New Roman" w:hAnsi="Times New Roman"/>
          <w:color w:val="000000" w:themeColor="text1"/>
          <w:sz w:val="16"/>
          <w:szCs w:val="16"/>
        </w:rPr>
        <w:t>в 1941 году корабли и суда Черноморского флота начали эвакуацию в Крым войск Одесского оборонительного района (около 86 тысяч человек), 15 тысяч человек гражданского населения. Продолжалась до 16 октября (14786).</w:t>
      </w:r>
    </w:p>
    <w:p w14:paraId="671DF8D6" w14:textId="77777777" w:rsidR="00E869AD" w:rsidRPr="00640820" w:rsidRDefault="00E869AD" w:rsidP="00640820">
      <w:pPr>
        <w:spacing w:after="0" w:line="240" w:lineRule="auto"/>
        <w:jc w:val="both"/>
        <w:rPr>
          <w:rFonts w:ascii="Times New Roman" w:hAnsi="Times New Roman"/>
          <w:color w:val="000000" w:themeColor="text1"/>
          <w:sz w:val="16"/>
          <w:szCs w:val="16"/>
        </w:rPr>
      </w:pPr>
    </w:p>
    <w:p w14:paraId="03E00D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октября 1941 в бою погиб командир эскадрильи Звена СПБ А.Шубников и после этого системы почти не использовались, хотя известны примеры и в 1942 (1808,47).</w:t>
      </w:r>
    </w:p>
    <w:p w14:paraId="45606C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F2F7C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состоянию на 1 октября 1941 в единственном 432 авиационном полку вооруженном ТБ-7, имелось 14 машин, из них только 8 исправных. Даже эти весьма ограниченные силы Сталин постарался выделить из ВВС и непосредственно подчинить себе (7685).</w:t>
      </w:r>
    </w:p>
    <w:p w14:paraId="7BB82F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3F22E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состоянию на 1 октября 1941 г. в строю ВВС РККА находились 948 фронтовых истребителей, из них 257 МиГ-3. По оценкам советского командования, это был наиболее активный и эффективный истребитель. Отмечались, однако, его недостаточная маневренность на высотах 2000-3000 м, и малую огневую мощь при отказе от крыльевых пулеметов (11954).</w:t>
      </w:r>
    </w:p>
    <w:p w14:paraId="5CFBA0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C3EE5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 по 16 октября 1941 проводилась эвакуация войск из Одессы (2438,467).</w:t>
      </w:r>
    </w:p>
    <w:p w14:paraId="53E8F9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BC527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октября 1941 А.Гитлер издал приказ о взятии Москвы (2260).</w:t>
      </w:r>
    </w:p>
    <w:p w14:paraId="459707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E0F43A1"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3AA25D04"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1D74104"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1 октября </w:t>
      </w:r>
      <w:r w:rsidRPr="00640820">
        <w:rPr>
          <w:rFonts w:ascii="Times New Roman" w:hAnsi="Times New Roman"/>
          <w:color w:val="000000" w:themeColor="text1"/>
          <w:sz w:val="16"/>
          <w:szCs w:val="16"/>
        </w:rPr>
        <w:t>в 1941 году в Ленинграде произведено третье снижение продовольственных норм по карточкам: рабочие и ИТР стали получать по 400 г хлеба в день, служащие, иждивенцы и дети до 12 лет - по 200 г (14786).</w:t>
      </w:r>
    </w:p>
    <w:p w14:paraId="39E5F2C5" w14:textId="77777777" w:rsidR="00E869AD" w:rsidRPr="00640820" w:rsidRDefault="00E869AD" w:rsidP="00640820">
      <w:pPr>
        <w:spacing w:after="0" w:line="240" w:lineRule="auto"/>
        <w:jc w:val="both"/>
        <w:rPr>
          <w:rFonts w:ascii="Times New Roman" w:hAnsi="Times New Roman"/>
          <w:color w:val="000000" w:themeColor="text1"/>
          <w:sz w:val="16"/>
          <w:szCs w:val="16"/>
        </w:rPr>
      </w:pPr>
    </w:p>
    <w:p w14:paraId="459F51E0"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1 октября </w:t>
      </w:r>
      <w:r w:rsidRPr="00640820">
        <w:rPr>
          <w:rFonts w:ascii="Times New Roman" w:hAnsi="Times New Roman"/>
          <w:color w:val="000000" w:themeColor="text1"/>
          <w:sz w:val="16"/>
          <w:szCs w:val="16"/>
        </w:rPr>
        <w:t>в 1941 году в соответствии с решением ГКО основные радиостанции Москвы были эвакуированы в восточные районы страны. В связи с этим Центральное радиовещание было полностью переведено на короткие волны через передатчики мощностью от 3,5 до 10 киловатт. Вместо трех программ, передававшихся до войны, транслировалась одна. Всесоюзный радиокомитет, подобно многим правительственным учреждениям, был частично эвакуирован в Куйбышев и Свердловск, а оставшиеся в Москве работники переведены на казарменное положение. В филиалах ВРК к концу октября были созданы параллельные службы внутрисоюзного вещания, а также вещания на зарубежные страны (14786).</w:t>
      </w:r>
    </w:p>
    <w:p w14:paraId="0C14D4D9" w14:textId="77777777" w:rsidR="00E869AD" w:rsidRPr="00640820" w:rsidRDefault="00E869AD" w:rsidP="00640820">
      <w:pPr>
        <w:spacing w:after="0" w:line="240" w:lineRule="auto"/>
        <w:jc w:val="both"/>
        <w:rPr>
          <w:rFonts w:ascii="Times New Roman" w:hAnsi="Times New Roman"/>
          <w:color w:val="000000" w:themeColor="text1"/>
          <w:sz w:val="16"/>
          <w:szCs w:val="16"/>
        </w:rPr>
      </w:pPr>
    </w:p>
    <w:p w14:paraId="16362D7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октября 1941 в Литве фашистами расстреляны до трех тысяч евреев (4962).</w:t>
      </w:r>
    </w:p>
    <w:p w14:paraId="377B4DF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6B538E"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00711900"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DD8C1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октября 1941 года:</w:t>
      </w:r>
    </w:p>
    <w:p w14:paraId="4F760E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ЛИЧНОЕ ПОСЛАНИЕ ОТ г-на ЧЕРЧИЛЛЯ г-ну СТАЛИНУ</w:t>
      </w:r>
    </w:p>
    <w:p w14:paraId="7F1D88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 очень хотел бы наладить окончательно наш союз с Персией и достичь тесного, эффективного, практического сотрудничества с Вашими вооруженными силами в Персии. В Персии имеются признаки серьезных беспорядков среди племен и резкого падения авторитета персидских властей. Распространение таких беспорядков означало бы, что мы были бы вынуждены тратить наши войска на усмирение этих людей, а это в свою очередь означало бы загрузку автомобильных и железнодорожных путей сообщения переброской тех же самых войск и перевозкой их снабжения, тогда как нам необходимо освободить путь и улучшить его по возможности, с тем чтобы обеспечить провоз снабжения в Вашу страну. Мы должны стремиться к тому, чтобы заставить персов самих поддерживать у себя порядок, пока мы заняты ведением войны. Решительное указание со стороны Вашего Превосходительства в этом смысле ускорит имеющееся уже благоприятное развитие наших дел на этом второстепенном театре войны (7430).</w:t>
      </w:r>
    </w:p>
    <w:p w14:paraId="2B18FE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8E08C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October 1, 1941: Conclusion of a conference at Moscow between Britain, the U.S. and the Soviet Union with promises of enormous amounts of aid to the Soviet war effort, mostly from the United States (3819).</w:t>
      </w:r>
    </w:p>
    <w:p w14:paraId="597894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01F64C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октября 1941 подписали трехсторонний протокол на срок до 30 июня 1942, предусматривающий поставки военных материалов (512,140).</w:t>
      </w:r>
    </w:p>
    <w:p w14:paraId="60D5FC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C54ACA7"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lastRenderedPageBreak/>
        <w:t xml:space="preserve">1 октября </w:t>
      </w:r>
      <w:r w:rsidRPr="00640820">
        <w:rPr>
          <w:rFonts w:ascii="Times New Roman" w:hAnsi="Times New Roman"/>
          <w:color w:val="000000" w:themeColor="text1"/>
          <w:sz w:val="16"/>
          <w:szCs w:val="16"/>
        </w:rPr>
        <w:t>в 1941 году по итогам трехдневной встречи в Москве представителей СССР, США и Англии подписывается трехстороннее соглашение о поставках СССР военных материалов и вооружения. В период между 22 июня и 1 октября Соединенные Штаты уже поставили в СССР товаров на 29 млн. долларов. Договор подтверждал веру союзников в силы и возможности Красной Армии и народа Советского Союза. Количество поставленных танков, боевых самолетов, артиллерийских орудий не превышало 15% от того, что было произведено советской военной промышленностью, однако поставки новейших истребителей и бомбардировщиков имели большое значение. Значительную роль сыграли поставки продовольствия (тушенка, бекон и пр.), которые до начала союзниками широкомасштабных военных действий в Западной Европе называли "Вторым фронтом" (14786).</w:t>
      </w:r>
    </w:p>
    <w:p w14:paraId="27702EA7" w14:textId="77777777" w:rsidR="00E869AD" w:rsidRPr="00640820" w:rsidRDefault="00E869AD" w:rsidP="00640820">
      <w:pPr>
        <w:spacing w:after="0" w:line="240" w:lineRule="auto"/>
        <w:jc w:val="both"/>
        <w:rPr>
          <w:rFonts w:ascii="Times New Roman" w:hAnsi="Times New Roman"/>
          <w:color w:val="000000" w:themeColor="text1"/>
          <w:sz w:val="16"/>
          <w:szCs w:val="16"/>
        </w:rPr>
      </w:pPr>
    </w:p>
    <w:p w14:paraId="15BA88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октября 1941 ВВС изменил первоначальное решение в пользу пяти В-25В вместо первоначально запрошенных трех В-26 и двух В-25. "Митчелл" имел одно важное преимущество по сравнению с В-26 "Мародер" - он был гораздо проще в пилотировании, хотя несколько уступал в летных данных. Заявку приняли, но последовала задержка из-за требования советской стороны поставить на самолетах антиобледенители, что первоначально не оговаривалось. Группа летчиков во главе с М.М.Громовым, первоначально прибывшая в США для получения тяжелых бомбардировщиков В-17 "Флайинг фортресс" ("Летающая крепость"), занялась освоением незнакомой техники. Ознакомление с машинами и их оборудованием проходило на авиабазах в Спокане и Паттерсоне. Нашим экипажам дали возможность досконально изучить В-25А, полетать на них и.даже провести учебные бои с истребителями Р-43. Гостей принимал капитан Э.Иорк, владевший русским языком. Американский историк Э.Мак-Доуэлл пишет в своей книге, что "русские летали на В-25, как на истребителях". В результате из крыльев "Митчеллов" повыскакивали заклейки, несколько стрелков повредили ребра, а одни Р-43 врезался в землю. По мнению Громова, экипаж В-25А был нецелесообразно велик для фронтового бомбардировщика. Он также оценил бронезащиту и вооружение самолета как недостаточные (3457,90).</w:t>
      </w:r>
    </w:p>
    <w:p w14:paraId="300203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85ADE0C" w14:textId="77777777" w:rsidR="00E869AD"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31054502" w14:textId="77777777" w:rsidR="00E869AD" w:rsidRPr="00640820" w:rsidRDefault="00E869AD"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84148FC" w14:textId="77777777" w:rsidR="00227022" w:rsidRPr="00640820" w:rsidRDefault="00227022"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xml:space="preserve">1 октября 1941 авиакомпания </w:t>
      </w:r>
      <w:r w:rsidRPr="00640820">
        <w:rPr>
          <w:rFonts w:ascii="Times New Roman" w:hAnsi="Times New Roman"/>
          <w:color w:val="0070C0"/>
          <w:sz w:val="16"/>
          <w:szCs w:val="16"/>
          <w:lang w:val="en-US"/>
        </w:rPr>
        <w:t>Inter</w:t>
      </w:r>
      <w:r w:rsidRPr="00640820">
        <w:rPr>
          <w:rFonts w:ascii="Times New Roman" w:hAnsi="Times New Roman"/>
          <w:color w:val="0070C0"/>
          <w:sz w:val="16"/>
          <w:szCs w:val="16"/>
        </w:rPr>
        <w:t>-</w:t>
      </w:r>
      <w:r w:rsidRPr="00640820">
        <w:rPr>
          <w:rFonts w:ascii="Times New Roman" w:hAnsi="Times New Roman"/>
          <w:color w:val="0070C0"/>
          <w:sz w:val="16"/>
          <w:szCs w:val="16"/>
          <w:lang w:val="en-US"/>
        </w:rPr>
        <w:t>Island</w:t>
      </w:r>
      <w:r w:rsidRPr="00640820">
        <w:rPr>
          <w:rFonts w:ascii="Times New Roman" w:hAnsi="Times New Roman"/>
          <w:color w:val="0070C0"/>
          <w:sz w:val="16"/>
          <w:szCs w:val="16"/>
        </w:rPr>
        <w:t xml:space="preserve"> </w:t>
      </w:r>
      <w:r w:rsidRPr="00640820">
        <w:rPr>
          <w:rFonts w:ascii="Times New Roman" w:hAnsi="Times New Roman"/>
          <w:color w:val="0070C0"/>
          <w:sz w:val="16"/>
          <w:szCs w:val="16"/>
          <w:lang w:val="en-US"/>
        </w:rPr>
        <w:t>Airways</w:t>
      </w:r>
      <w:r w:rsidRPr="00640820">
        <w:rPr>
          <w:rFonts w:ascii="Times New Roman" w:hAnsi="Times New Roman"/>
          <w:color w:val="0070C0"/>
          <w:sz w:val="16"/>
          <w:szCs w:val="16"/>
        </w:rPr>
        <w:t xml:space="preserve"> переименована в </w:t>
      </w:r>
      <w:r w:rsidRPr="00640820">
        <w:rPr>
          <w:rFonts w:ascii="Times New Roman" w:hAnsi="Times New Roman"/>
          <w:color w:val="0070C0"/>
          <w:sz w:val="16"/>
          <w:szCs w:val="16"/>
          <w:lang w:val="en-US"/>
        </w:rPr>
        <w:t>Hawaiian</w:t>
      </w:r>
      <w:r w:rsidRPr="00640820">
        <w:rPr>
          <w:rFonts w:ascii="Times New Roman" w:hAnsi="Times New Roman"/>
          <w:color w:val="0070C0"/>
          <w:sz w:val="16"/>
          <w:szCs w:val="16"/>
        </w:rPr>
        <w:t xml:space="preserve"> </w:t>
      </w:r>
      <w:r w:rsidRPr="00640820">
        <w:rPr>
          <w:rFonts w:ascii="Times New Roman" w:hAnsi="Times New Roman"/>
          <w:color w:val="0070C0"/>
          <w:sz w:val="16"/>
          <w:szCs w:val="16"/>
          <w:lang w:val="en-US"/>
        </w:rPr>
        <w:t>Airlines</w:t>
      </w:r>
      <w:r w:rsidRPr="00640820">
        <w:rPr>
          <w:rFonts w:ascii="Times New Roman" w:hAnsi="Times New Roman"/>
          <w:color w:val="0070C0"/>
          <w:sz w:val="16"/>
          <w:szCs w:val="16"/>
        </w:rPr>
        <w:t xml:space="preserve">  (20794).</w:t>
      </w:r>
    </w:p>
    <w:p w14:paraId="0B99CAA2" w14:textId="77777777" w:rsidR="00227022" w:rsidRPr="00640820" w:rsidRDefault="00227022" w:rsidP="00640820">
      <w:pPr>
        <w:spacing w:after="0" w:line="240" w:lineRule="auto"/>
        <w:jc w:val="both"/>
        <w:rPr>
          <w:rFonts w:ascii="Times New Roman" w:hAnsi="Times New Roman"/>
          <w:color w:val="0070C0"/>
          <w:sz w:val="16"/>
          <w:szCs w:val="16"/>
        </w:rPr>
      </w:pPr>
    </w:p>
    <w:p w14:paraId="32351E9E"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1 октября </w:t>
      </w:r>
      <w:r w:rsidRPr="00640820">
        <w:rPr>
          <w:rFonts w:ascii="Times New Roman" w:hAnsi="Times New Roman"/>
          <w:color w:val="000000" w:themeColor="text1"/>
          <w:sz w:val="16"/>
          <w:szCs w:val="16"/>
        </w:rPr>
        <w:t>в 1941 году Германия располагает 217 подводными лодками (14786).</w:t>
      </w:r>
    </w:p>
    <w:p w14:paraId="3AE4526A" w14:textId="77777777" w:rsidR="00E869AD" w:rsidRPr="00640820" w:rsidRDefault="00E869AD" w:rsidP="00640820">
      <w:pPr>
        <w:spacing w:after="0" w:line="240" w:lineRule="auto"/>
        <w:jc w:val="both"/>
        <w:rPr>
          <w:rFonts w:ascii="Times New Roman" w:hAnsi="Times New Roman"/>
          <w:color w:val="000000" w:themeColor="text1"/>
          <w:sz w:val="16"/>
          <w:szCs w:val="16"/>
        </w:rPr>
      </w:pPr>
    </w:p>
    <w:p w14:paraId="643A7D21"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1 октября </w:t>
      </w:r>
      <w:r w:rsidRPr="00640820">
        <w:rPr>
          <w:rFonts w:ascii="Times New Roman" w:hAnsi="Times New Roman"/>
          <w:color w:val="000000" w:themeColor="text1"/>
          <w:sz w:val="16"/>
          <w:szCs w:val="16"/>
        </w:rPr>
        <w:t>в 1941 году в Литве фашисты расстреливают до трех тысяч евреев (14786).</w:t>
      </w:r>
    </w:p>
    <w:p w14:paraId="32DF45E9" w14:textId="77777777" w:rsidR="00E869AD" w:rsidRPr="00640820" w:rsidRDefault="00E869AD" w:rsidP="00640820">
      <w:pPr>
        <w:spacing w:after="0" w:line="240" w:lineRule="auto"/>
        <w:jc w:val="both"/>
        <w:rPr>
          <w:rFonts w:ascii="Times New Roman" w:hAnsi="Times New Roman"/>
          <w:color w:val="000000" w:themeColor="text1"/>
          <w:sz w:val="16"/>
          <w:szCs w:val="16"/>
        </w:rPr>
      </w:pPr>
    </w:p>
    <w:p w14:paraId="3A89DD34"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1 октября </w:t>
      </w:r>
      <w:r w:rsidRPr="00640820">
        <w:rPr>
          <w:rFonts w:ascii="Times New Roman" w:hAnsi="Times New Roman"/>
          <w:color w:val="000000" w:themeColor="text1"/>
          <w:sz w:val="16"/>
          <w:szCs w:val="16"/>
        </w:rPr>
        <w:t>в 1941 году окончательный запрет германских оккупационных властей на еврейскую эмиграцию из Польши (14786).</w:t>
      </w:r>
    </w:p>
    <w:p w14:paraId="55F7DA66" w14:textId="77777777" w:rsidR="00E869AD" w:rsidRPr="00640820" w:rsidRDefault="00E869AD" w:rsidP="00640820">
      <w:pPr>
        <w:spacing w:after="0" w:line="240" w:lineRule="auto"/>
        <w:jc w:val="both"/>
        <w:rPr>
          <w:rFonts w:ascii="Times New Roman" w:hAnsi="Times New Roman"/>
          <w:color w:val="000000" w:themeColor="text1"/>
          <w:sz w:val="16"/>
          <w:szCs w:val="16"/>
        </w:rPr>
      </w:pPr>
    </w:p>
    <w:p w14:paraId="208251F9"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1 октября </w:t>
      </w:r>
      <w:r w:rsidRPr="00640820">
        <w:rPr>
          <w:rFonts w:ascii="Times New Roman" w:hAnsi="Times New Roman"/>
          <w:color w:val="000000" w:themeColor="text1"/>
          <w:sz w:val="16"/>
          <w:szCs w:val="16"/>
        </w:rPr>
        <w:t>в 1941 году в состав Русского корпуса в Югославии записалось 893 добровольца (14786).</w:t>
      </w:r>
    </w:p>
    <w:p w14:paraId="428F8BE8" w14:textId="77777777" w:rsidR="00E869AD" w:rsidRPr="00640820" w:rsidRDefault="00E869AD" w:rsidP="00640820">
      <w:pPr>
        <w:spacing w:after="0" w:line="240" w:lineRule="auto"/>
        <w:jc w:val="both"/>
        <w:rPr>
          <w:rFonts w:ascii="Times New Roman" w:hAnsi="Times New Roman"/>
          <w:color w:val="000000" w:themeColor="text1"/>
          <w:sz w:val="16"/>
          <w:szCs w:val="16"/>
        </w:rPr>
      </w:pPr>
    </w:p>
    <w:p w14:paraId="17F723F1"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1 октября </w:t>
      </w:r>
      <w:r w:rsidRPr="00640820">
        <w:rPr>
          <w:rFonts w:ascii="Times New Roman" w:hAnsi="Times New Roman"/>
          <w:color w:val="000000" w:themeColor="text1"/>
          <w:sz w:val="16"/>
          <w:szCs w:val="16"/>
        </w:rPr>
        <w:t>в 1941 году японские войска начали отходить от Чанша на север. Отход совершался форсированными темпами (14786).</w:t>
      </w:r>
    </w:p>
    <w:p w14:paraId="7F2A9429" w14:textId="77777777" w:rsidR="00E869AD" w:rsidRPr="00640820" w:rsidRDefault="00E869AD" w:rsidP="00640820">
      <w:pPr>
        <w:spacing w:after="0" w:line="240" w:lineRule="auto"/>
        <w:jc w:val="both"/>
        <w:rPr>
          <w:rFonts w:ascii="Times New Roman" w:hAnsi="Times New Roman"/>
          <w:color w:val="000000" w:themeColor="text1"/>
          <w:sz w:val="16"/>
          <w:szCs w:val="16"/>
        </w:rPr>
      </w:pPr>
    </w:p>
    <w:p w14:paraId="1F82F144" w14:textId="77777777" w:rsidR="00E869AD"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7D6E87A7" w14:textId="77777777" w:rsidR="00E869AD" w:rsidRPr="00640820" w:rsidRDefault="00E869AD"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4571C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октября 1941 Незваль в письме А.Коробкову по поводу СПБ на основе ТБ-7 писал:</w:t>
      </w:r>
    </w:p>
    <w:p w14:paraId="6CF077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По своим габаритам и прочности ТБ-7 допускает возможность подвески 2-х МиГ-3 (по ЛаГГ-3 КБ материалами не располагало) с 2ФАБ-250. При этом конструктивные изменения в крыле ТБ-7 помимо установки двух спецбалок будут заключаться в усилении нервюр крыла путем замены существующих раскосов и их креплений между лонжеронами на более мощные...</w:t>
      </w:r>
    </w:p>
    <w:p w14:paraId="601F1E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Далее шли ЛТД</w:t>
      </w:r>
    </w:p>
    <w:p w14:paraId="24D16D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В связи с наличием на заводе других работ, указанное переоборудование в текущем году выполнено быть не может." (2631,21).</w:t>
      </w:r>
    </w:p>
    <w:p w14:paraId="11714C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297269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октября 1941, выполнив прикидочные расчеты, Незваль в сво</w:t>
      </w:r>
      <w:r w:rsidRPr="00640820">
        <w:rPr>
          <w:rFonts w:ascii="Times New Roman" w:hAnsi="Times New Roman"/>
          <w:color w:val="000000" w:themeColor="text1"/>
          <w:sz w:val="16"/>
          <w:szCs w:val="16"/>
        </w:rPr>
        <w:softHyphen/>
        <w:t>ем письме от сообщил результаты:</w:t>
      </w:r>
    </w:p>
    <w:p w14:paraId="3BB0735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По своим габаритам и прочности ТБ—7 допу</w:t>
      </w:r>
      <w:r w:rsidRPr="00640820">
        <w:rPr>
          <w:rFonts w:ascii="Times New Roman" w:hAnsi="Times New Roman"/>
          <w:color w:val="000000" w:themeColor="text1"/>
          <w:sz w:val="16"/>
          <w:szCs w:val="16"/>
        </w:rPr>
        <w:softHyphen/>
        <w:t>скает возможность подвески 2-х МиГ-3 с двумя ФАБ-250. При этом конструктивные изменения в крыле ТБ—7 помимо установки двух спецбалок будут заключаться в усилении двух нервюр крыла в местах подвески истребителей путем замены существующих раскосов и их креплений между лонжеронами на бо</w:t>
      </w:r>
      <w:r w:rsidRPr="00640820">
        <w:rPr>
          <w:rFonts w:ascii="Times New Roman" w:hAnsi="Times New Roman"/>
          <w:color w:val="000000" w:themeColor="text1"/>
          <w:sz w:val="16"/>
          <w:szCs w:val="16"/>
        </w:rPr>
        <w:softHyphen/>
        <w:t>лее мощные...».</w:t>
      </w:r>
    </w:p>
    <w:p w14:paraId="7B453CB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Далее он приводил ориентировочные данные со</w:t>
      </w:r>
      <w:r w:rsidRPr="00640820">
        <w:rPr>
          <w:rFonts w:ascii="Times New Roman" w:hAnsi="Times New Roman"/>
          <w:color w:val="000000" w:themeColor="text1"/>
          <w:sz w:val="16"/>
          <w:szCs w:val="16"/>
        </w:rPr>
        <w:softHyphen/>
        <w:t>ставного самолета. Максимальный полетный вес всей системы по прочности колес ТБ—7 не мог пре</w:t>
      </w:r>
      <w:r w:rsidRPr="00640820">
        <w:rPr>
          <w:rFonts w:ascii="Times New Roman" w:hAnsi="Times New Roman"/>
          <w:color w:val="000000" w:themeColor="text1"/>
          <w:sz w:val="16"/>
          <w:szCs w:val="16"/>
        </w:rPr>
        <w:softHyphen/>
        <w:t>вышать 33500 кг. С двумя истребителями (6200 кг) и четырьмя ФАБ-250 (1000 кг) носитель брал макси</w:t>
      </w:r>
      <w:r w:rsidRPr="00640820">
        <w:rPr>
          <w:rFonts w:ascii="Times New Roman" w:hAnsi="Times New Roman"/>
          <w:color w:val="000000" w:themeColor="text1"/>
          <w:sz w:val="16"/>
          <w:szCs w:val="16"/>
        </w:rPr>
        <w:softHyphen/>
        <w:t>мально 4600-6000 кг топлива. Наибольшая скорость 405—420 км/ч достигалась на высоте 6000 м при рабо</w:t>
      </w:r>
      <w:r w:rsidRPr="00640820">
        <w:rPr>
          <w:rFonts w:ascii="Times New Roman" w:hAnsi="Times New Roman"/>
          <w:color w:val="000000" w:themeColor="text1"/>
          <w:sz w:val="16"/>
          <w:szCs w:val="16"/>
        </w:rPr>
        <w:softHyphen/>
        <w:t>те всех шести моторов на номинальном режиме, дальность полета могла составить 1320—1450 км, а его продолжительность — 4,5-5 часов. При отцепке истребителей на середине пути боевой радиус звена до</w:t>
      </w:r>
      <w:r w:rsidRPr="00640820">
        <w:rPr>
          <w:rFonts w:ascii="Times New Roman" w:hAnsi="Times New Roman"/>
          <w:color w:val="000000" w:themeColor="text1"/>
          <w:sz w:val="16"/>
          <w:szCs w:val="16"/>
        </w:rPr>
        <w:softHyphen/>
        <w:t>стигал 850-950 км. Для взлета не требовалось каких-то особых аэродромов: длина разбега, по расчетам, не превышала 500-520 м.</w:t>
      </w:r>
    </w:p>
    <w:p w14:paraId="2A38666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Таким образом, вариант «составного звена» из ТБ-7 и двух МиГов оказался вполне перспективным. Однако дальше прикидок дело не пошло. Начав «во здравие», Незваль закончил свой ответ вполне «за</w:t>
      </w:r>
      <w:r w:rsidRPr="00640820">
        <w:rPr>
          <w:rFonts w:ascii="Times New Roman" w:hAnsi="Times New Roman"/>
          <w:color w:val="000000" w:themeColor="text1"/>
          <w:sz w:val="16"/>
          <w:szCs w:val="16"/>
        </w:rPr>
        <w:softHyphen/>
        <w:t>упокойной» фразой:</w:t>
      </w:r>
    </w:p>
    <w:p w14:paraId="50BDFA9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В связи с наличием на заво</w:t>
      </w:r>
      <w:r w:rsidRPr="00640820">
        <w:rPr>
          <w:rFonts w:ascii="Times New Roman" w:hAnsi="Times New Roman"/>
          <w:color w:val="000000" w:themeColor="text1"/>
          <w:sz w:val="16"/>
          <w:szCs w:val="16"/>
        </w:rPr>
        <w:softHyphen/>
        <w:t>де других работ, указанное переоборудование в теку</w:t>
      </w:r>
      <w:r w:rsidRPr="00640820">
        <w:rPr>
          <w:rFonts w:ascii="Times New Roman" w:hAnsi="Times New Roman"/>
          <w:color w:val="000000" w:themeColor="text1"/>
          <w:sz w:val="16"/>
          <w:szCs w:val="16"/>
        </w:rPr>
        <w:softHyphen/>
        <w:t>щем году выполнено быть не может» (9984).</w:t>
      </w:r>
    </w:p>
    <w:p w14:paraId="2343B6B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C583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октября 1941 г правительство принимает решение об эвакуации половины имеющегося станочного оборудования завода №22 и половины людей в Казань на 124 завод (5764,38).</w:t>
      </w:r>
    </w:p>
    <w:p w14:paraId="6F4C79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3EE19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октября 1941 Зам. Нач. 7 ГУ Алексеев писал на Завод 22 Парторгу ЦК завода 483 Плоскиному письмо N 2814:</w:t>
      </w:r>
    </w:p>
    <w:p w14:paraId="4067F5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"Согласно указанию Зам. НКАП П.Воронина, на Ваше письмо на имя Г.М.М. сообщаю, что в настоящее время постановка на серийное производство Та-3 невозможно из-за отсутствия серийной базы.</w:t>
      </w:r>
    </w:p>
    <w:p w14:paraId="6F375E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Та-3 не прошел гос. испытания." (2463,299).</w:t>
      </w:r>
    </w:p>
    <w:p w14:paraId="3A28AA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511847A"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 октября </w:t>
      </w:r>
      <w:r w:rsidRPr="00640820">
        <w:rPr>
          <w:rFonts w:ascii="Times New Roman" w:hAnsi="Times New Roman"/>
          <w:color w:val="000000" w:themeColor="text1"/>
          <w:sz w:val="16"/>
          <w:szCs w:val="16"/>
        </w:rPr>
        <w:t>в 1941 году первое боевое применение авиапушки калибра 37 мм. Двумя истребителями «ЛаГГ-3» с пушкой ОКБ-15 Б.Г.Шпитального сбиты два «Ме-110» (14787).</w:t>
      </w:r>
    </w:p>
    <w:p w14:paraId="4C141389" w14:textId="77777777" w:rsidR="00E869AD" w:rsidRPr="00640820" w:rsidRDefault="00E869AD" w:rsidP="00640820">
      <w:pPr>
        <w:spacing w:after="0" w:line="240" w:lineRule="auto"/>
        <w:jc w:val="both"/>
        <w:rPr>
          <w:rFonts w:ascii="Times New Roman" w:hAnsi="Times New Roman"/>
          <w:color w:val="000000" w:themeColor="text1"/>
          <w:sz w:val="16"/>
          <w:szCs w:val="16"/>
        </w:rPr>
      </w:pPr>
    </w:p>
    <w:p w14:paraId="393E5918" w14:textId="77777777" w:rsidR="00E869AD" w:rsidRPr="00640820" w:rsidRDefault="00E869AD" w:rsidP="00640820">
      <w:pPr>
        <w:spacing w:after="0" w:line="240" w:lineRule="auto"/>
        <w:jc w:val="both"/>
        <w:rPr>
          <w:rStyle w:val="ucoz-forum-post"/>
          <w:rFonts w:ascii="Times New Roman" w:eastAsia="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2 октября 1941 года</w:t>
      </w:r>
      <w:r w:rsidRPr="00640820">
        <w:rPr>
          <w:rStyle w:val="ucoz-forum-post"/>
          <w:rFonts w:ascii="Times New Roman" w:eastAsia="Times New Roman" w:hAnsi="Times New Roman"/>
          <w:color w:val="000000" w:themeColor="text1"/>
          <w:sz w:val="16"/>
          <w:szCs w:val="16"/>
        </w:rPr>
        <w:t xml:space="preserve"> Первое боевое применение авиапушки Б.Г. Шпитального калибра 37 мм. Двумя истребителями ЛаГГ-3 с пушкой ОКБ-15 Б.Г. Шпитального «Ш-37» сбиты два Ме-110. В конце 1941 — начале 1942 г. производилась установка двух крыльевых пушек Ш-37 на штурмовиках Ил-2. Из-за большого магазина на 40 патронов пушка не поместилась в крыле, и ее пришлось опустить вниз, поместив в громоздкие обтекатели. Низкое расположение пушек приводило к увеличению пикирующего момента при стрельбе из пушек, клевкам самолета и снижению меткости огня (14787).</w:t>
      </w:r>
    </w:p>
    <w:p w14:paraId="27ECBDE5" w14:textId="77777777" w:rsidR="00E869AD" w:rsidRPr="00640820" w:rsidRDefault="00E869AD" w:rsidP="00640820">
      <w:pPr>
        <w:spacing w:after="0" w:line="240" w:lineRule="auto"/>
        <w:jc w:val="both"/>
        <w:rPr>
          <w:rStyle w:val="ucoz-forum-post"/>
          <w:rFonts w:ascii="Times New Roman" w:eastAsia="Times New Roman" w:hAnsi="Times New Roman"/>
          <w:color w:val="000000" w:themeColor="text1"/>
          <w:sz w:val="16"/>
          <w:szCs w:val="16"/>
        </w:rPr>
      </w:pPr>
    </w:p>
    <w:p w14:paraId="45E68D71" w14:textId="77777777" w:rsidR="00EB2157" w:rsidRPr="00640820" w:rsidRDefault="00EB2157" w:rsidP="00640820">
      <w:pPr>
        <w:shd w:val="clear" w:color="auto" w:fill="FFFFFF"/>
        <w:spacing w:after="0" w:line="240" w:lineRule="auto"/>
        <w:jc w:val="both"/>
        <w:rPr>
          <w:rFonts w:ascii="Times New Roman" w:eastAsia="Times New Roman" w:hAnsi="Times New Roman"/>
          <w:color w:val="0070C0"/>
          <w:sz w:val="16"/>
          <w:szCs w:val="16"/>
          <w:lang w:eastAsia="ru-RU"/>
        </w:rPr>
      </w:pPr>
      <w:r w:rsidRPr="00640820">
        <w:rPr>
          <w:rFonts w:ascii="Times New Roman" w:eastAsia="Times New Roman" w:hAnsi="Times New Roman"/>
          <w:color w:val="0070C0"/>
          <w:sz w:val="16"/>
          <w:szCs w:val="16"/>
          <w:lang w:eastAsia="ru-RU"/>
        </w:rPr>
        <w:t>2 октября 1941 года - Первое боевое применение авиапушки калибра 37 мм. Двумя истребителями ЛаГГ-3 с пушкой ОКБ-15 Б.Г.Шпитального сбиты два Ме.110 (22302).</w:t>
      </w:r>
    </w:p>
    <w:p w14:paraId="38CCFFF1" w14:textId="77777777" w:rsidR="00EB2157" w:rsidRPr="00640820" w:rsidRDefault="00EB2157" w:rsidP="00640820">
      <w:pPr>
        <w:pStyle w:val="96"/>
        <w:shd w:val="clear" w:color="auto" w:fill="auto"/>
        <w:spacing w:before="0" w:line="240" w:lineRule="auto"/>
        <w:rPr>
          <w:rFonts w:ascii="Times New Roman" w:hAnsi="Times New Roman" w:cs="Times New Roman"/>
          <w:color w:val="0070C0"/>
          <w:w w:val="100"/>
          <w:sz w:val="16"/>
          <w:szCs w:val="16"/>
          <w:lang w:val="ru-RU"/>
        </w:rPr>
      </w:pPr>
    </w:p>
    <w:p w14:paraId="403DBB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октября 1941 года была авиария И-185 М-71. Опытные моторы М-71 выпуска начала 1941 года имели срок служ</w:t>
      </w:r>
      <w:r w:rsidRPr="00640820">
        <w:rPr>
          <w:rFonts w:ascii="Times New Roman" w:hAnsi="Times New Roman"/>
          <w:color w:val="000000" w:themeColor="text1"/>
          <w:sz w:val="16"/>
          <w:szCs w:val="16"/>
        </w:rPr>
        <w:softHyphen/>
        <w:t>бы в среднем 12-15 часов и пони</w:t>
      </w:r>
      <w:r w:rsidRPr="00640820">
        <w:rPr>
          <w:rFonts w:ascii="Times New Roman" w:hAnsi="Times New Roman"/>
          <w:color w:val="000000" w:themeColor="text1"/>
          <w:sz w:val="16"/>
          <w:szCs w:val="16"/>
        </w:rPr>
        <w:softHyphen/>
        <w:t>женную высотность и мощность. В процессе заводских летных испытаний в Москве удалось замерить максимальную ско</w:t>
      </w:r>
      <w:r w:rsidRPr="00640820">
        <w:rPr>
          <w:rFonts w:ascii="Times New Roman" w:hAnsi="Times New Roman"/>
          <w:color w:val="000000" w:themeColor="text1"/>
          <w:sz w:val="16"/>
          <w:szCs w:val="16"/>
        </w:rPr>
        <w:softHyphen/>
        <w:t>рость лишь при работе мотора на 1-й скорости нагнетателя: у земли на номинале - 503 км/ч и на форсаже - 520 км/ч, на 1-й границе высотнос</w:t>
      </w:r>
      <w:r w:rsidRPr="00640820">
        <w:rPr>
          <w:rFonts w:ascii="Times New Roman" w:hAnsi="Times New Roman"/>
          <w:color w:val="000000" w:themeColor="text1"/>
          <w:sz w:val="16"/>
          <w:szCs w:val="16"/>
        </w:rPr>
        <w:softHyphen/>
        <w:t>ти 3300 м - 582 км/ч. Исходя из этих данных приближенным расчетом было определено, что максимальная скорость на 2-й границе высотности 6150 м должна составить 620 км/ч, что было значительно ниже расчет</w:t>
      </w:r>
      <w:r w:rsidRPr="00640820">
        <w:rPr>
          <w:rFonts w:ascii="Times New Roman" w:hAnsi="Times New Roman"/>
          <w:color w:val="000000" w:themeColor="text1"/>
          <w:sz w:val="16"/>
          <w:szCs w:val="16"/>
        </w:rPr>
        <w:softHyphen/>
        <w:t>ной. При этом специалистами ЛИИ отмечалось, что на испытания была представлена очень хорошо отделан</w:t>
      </w:r>
      <w:r w:rsidRPr="00640820">
        <w:rPr>
          <w:rFonts w:ascii="Times New Roman" w:hAnsi="Times New Roman"/>
          <w:color w:val="000000" w:themeColor="text1"/>
          <w:sz w:val="16"/>
          <w:szCs w:val="16"/>
        </w:rPr>
        <w:softHyphen/>
        <w:t>ная машина и при серийной отдел</w:t>
      </w:r>
      <w:r w:rsidRPr="00640820">
        <w:rPr>
          <w:rFonts w:ascii="Times New Roman" w:hAnsi="Times New Roman"/>
          <w:color w:val="000000" w:themeColor="text1"/>
          <w:sz w:val="16"/>
          <w:szCs w:val="16"/>
        </w:rPr>
        <w:softHyphen/>
        <w:t>ке следует ожидать снижения скоро</w:t>
      </w:r>
      <w:r w:rsidRPr="00640820">
        <w:rPr>
          <w:rFonts w:ascii="Times New Roman" w:hAnsi="Times New Roman"/>
          <w:color w:val="000000" w:themeColor="text1"/>
          <w:sz w:val="16"/>
          <w:szCs w:val="16"/>
        </w:rPr>
        <w:softHyphen/>
        <w:t>стей на 10-15 км/ч. (10686).</w:t>
      </w:r>
    </w:p>
    <w:p w14:paraId="1B4773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F1D6F3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октября 1941 г. заместитель народного комиссара авиапромышлен</w:t>
      </w:r>
      <w:r w:rsidRPr="00640820">
        <w:rPr>
          <w:rFonts w:ascii="Times New Roman" w:hAnsi="Times New Roman"/>
          <w:color w:val="000000" w:themeColor="text1"/>
          <w:sz w:val="16"/>
          <w:szCs w:val="16"/>
        </w:rPr>
        <w:softHyphen/>
        <w:t>ности Воронин и заместитель начальника ГУ ВВС КА генерал-майор ин</w:t>
      </w:r>
      <w:r w:rsidRPr="00640820">
        <w:rPr>
          <w:rFonts w:ascii="Times New Roman" w:hAnsi="Times New Roman"/>
          <w:color w:val="000000" w:themeColor="text1"/>
          <w:sz w:val="16"/>
          <w:szCs w:val="16"/>
        </w:rPr>
        <w:softHyphen/>
        <w:t>тендантской службы Жаров утвердили мероприятия по устранению де</w:t>
      </w:r>
      <w:r w:rsidRPr="00640820">
        <w:rPr>
          <w:rFonts w:ascii="Times New Roman" w:hAnsi="Times New Roman"/>
          <w:color w:val="000000" w:themeColor="text1"/>
          <w:sz w:val="16"/>
          <w:szCs w:val="16"/>
        </w:rPr>
        <w:softHyphen/>
        <w:t>фектов самолета МиГ-3, выявленных в результате боевой эксплуатации, составленные начальником первого Главного управления НКАП Шицем и начальником 10-го управления ГУ ВВС КА бригинженером Бибико</w:t>
      </w:r>
      <w:r w:rsidRPr="00640820">
        <w:rPr>
          <w:rFonts w:ascii="Times New Roman" w:hAnsi="Times New Roman"/>
          <w:color w:val="000000" w:themeColor="text1"/>
          <w:sz w:val="16"/>
          <w:szCs w:val="16"/>
        </w:rPr>
        <w:softHyphen/>
        <w:t>вым. В пятом пункте документа говорилось: «Опыт боевых действий по</w:t>
      </w:r>
      <w:r w:rsidRPr="00640820">
        <w:rPr>
          <w:rFonts w:ascii="Times New Roman" w:hAnsi="Times New Roman"/>
          <w:color w:val="000000" w:themeColor="text1"/>
          <w:sz w:val="16"/>
          <w:szCs w:val="16"/>
        </w:rPr>
        <w:softHyphen/>
        <w:t>казывает, что крупнокалиберного вооружения самолета МиГ-3 недоста</w:t>
      </w:r>
      <w:r w:rsidRPr="00640820">
        <w:rPr>
          <w:rFonts w:ascii="Times New Roman" w:hAnsi="Times New Roman"/>
          <w:color w:val="000000" w:themeColor="text1"/>
          <w:sz w:val="16"/>
          <w:szCs w:val="16"/>
        </w:rPr>
        <w:softHyphen/>
        <w:t>точно (один пулемет БС с боезапасом 280 патронов)...</w:t>
      </w:r>
    </w:p>
    <w:p w14:paraId="47413CD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отработано и испытано реактивное оборудование для стрельбы шестью РС-82. Постановили со 151-го самолета 27-й серии вы</w:t>
      </w:r>
      <w:r w:rsidRPr="00640820">
        <w:rPr>
          <w:rFonts w:ascii="Times New Roman" w:hAnsi="Times New Roman"/>
          <w:color w:val="000000" w:themeColor="text1"/>
          <w:sz w:val="16"/>
          <w:szCs w:val="16"/>
        </w:rPr>
        <w:softHyphen/>
        <w:t>пускать МиГ-3 с двумя пулеметами БС и боезапасом 700 патронов, а так</w:t>
      </w:r>
      <w:r w:rsidRPr="00640820">
        <w:rPr>
          <w:rFonts w:ascii="Times New Roman" w:hAnsi="Times New Roman"/>
          <w:color w:val="000000" w:themeColor="text1"/>
          <w:sz w:val="16"/>
          <w:szCs w:val="16"/>
        </w:rPr>
        <w:softHyphen/>
        <w:t>же внедрить в серию РС-82 с 5 октября 1941 г. с соответствующей пере</w:t>
      </w:r>
      <w:r w:rsidRPr="00640820">
        <w:rPr>
          <w:rFonts w:ascii="Times New Roman" w:hAnsi="Times New Roman"/>
          <w:color w:val="000000" w:themeColor="text1"/>
          <w:sz w:val="16"/>
          <w:szCs w:val="16"/>
        </w:rPr>
        <w:softHyphen/>
        <w:t xml:space="preserve">делкой электропроводки, обеспечивающей </w:t>
      </w:r>
      <w:r w:rsidRPr="00640820">
        <w:rPr>
          <w:rFonts w:ascii="Times New Roman" w:hAnsi="Times New Roman"/>
          <w:color w:val="000000" w:themeColor="text1"/>
          <w:sz w:val="16"/>
          <w:szCs w:val="16"/>
        </w:rPr>
        <w:lastRenderedPageBreak/>
        <w:t>трехзалповую стрельбу (по два РС в залпе). Установки РС-82 заводу №1 получить от заводов-смеж</w:t>
      </w:r>
      <w:r w:rsidRPr="00640820">
        <w:rPr>
          <w:rFonts w:ascii="Times New Roman" w:hAnsi="Times New Roman"/>
          <w:color w:val="000000" w:themeColor="text1"/>
          <w:sz w:val="16"/>
          <w:szCs w:val="16"/>
        </w:rPr>
        <w:softHyphen/>
        <w:t>ников. По шесть самолетов ежедневно выпускать с установкой РО».</w:t>
      </w:r>
    </w:p>
    <w:p w14:paraId="2CC8017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Положительные отзывы пилотов о «МиГах»-ракетоносцах засвиде</w:t>
      </w:r>
      <w:r w:rsidRPr="00640820">
        <w:rPr>
          <w:rFonts w:ascii="Times New Roman" w:hAnsi="Times New Roman"/>
          <w:color w:val="000000" w:themeColor="text1"/>
          <w:sz w:val="16"/>
          <w:szCs w:val="16"/>
        </w:rPr>
        <w:softHyphen/>
        <w:t>тельствованы не только в мемуарах, но и в документах. Вот оценка ис</w:t>
      </w:r>
      <w:r w:rsidRPr="00640820">
        <w:rPr>
          <w:rFonts w:ascii="Times New Roman" w:hAnsi="Times New Roman"/>
          <w:color w:val="000000" w:themeColor="text1"/>
          <w:sz w:val="16"/>
          <w:szCs w:val="16"/>
        </w:rPr>
        <w:softHyphen/>
        <w:t>требителя МиГ-3 командиром 519-го иап подполковником Рязановым в 1942 г.: «Совершенно неправильное мнение сложилось о том, что само</w:t>
      </w:r>
      <w:r w:rsidRPr="00640820">
        <w:rPr>
          <w:rFonts w:ascii="Times New Roman" w:hAnsi="Times New Roman"/>
          <w:color w:val="000000" w:themeColor="text1"/>
          <w:sz w:val="16"/>
          <w:szCs w:val="16"/>
        </w:rPr>
        <w:softHyphen/>
        <w:t>лет МиГ-3 сложен в технике пилотирования. Боевой опыт 1941 г. пока</w:t>
      </w:r>
      <w:r w:rsidRPr="00640820">
        <w:rPr>
          <w:rFonts w:ascii="Times New Roman" w:hAnsi="Times New Roman"/>
          <w:color w:val="000000" w:themeColor="text1"/>
          <w:sz w:val="16"/>
          <w:szCs w:val="16"/>
        </w:rPr>
        <w:softHyphen/>
        <w:t>зывает, что летчики выпуска 1941 г. полностью овладели самолетом и хо</w:t>
      </w:r>
      <w:r w:rsidRPr="00640820">
        <w:rPr>
          <w:rFonts w:ascii="Times New Roman" w:hAnsi="Times New Roman"/>
          <w:color w:val="000000" w:themeColor="text1"/>
          <w:sz w:val="16"/>
          <w:szCs w:val="16"/>
        </w:rPr>
        <w:softHyphen/>
        <w:t>рошо справляются со своими задачами. Самолет МиГ-3, имеющий пре</w:t>
      </w:r>
      <w:r w:rsidRPr="00640820">
        <w:rPr>
          <w:rFonts w:ascii="Times New Roman" w:hAnsi="Times New Roman"/>
          <w:color w:val="000000" w:themeColor="text1"/>
          <w:sz w:val="16"/>
          <w:szCs w:val="16"/>
        </w:rPr>
        <w:softHyphen/>
        <w:t>восходство в максимальных скоростях на всех высотах, вполне удовле</w:t>
      </w:r>
      <w:r w:rsidRPr="00640820">
        <w:rPr>
          <w:rFonts w:ascii="Times New Roman" w:hAnsi="Times New Roman"/>
          <w:color w:val="000000" w:themeColor="text1"/>
          <w:sz w:val="16"/>
          <w:szCs w:val="16"/>
        </w:rPr>
        <w:softHyphen/>
        <w:t>творяет современным ТТТ. Запас скоростей самолета позволяет легко Догонять противника (Ю-88), атаковать его, сделать переворот, чтобы выбрать новую позицию для атаки, снова атаковать и так далее.</w:t>
      </w:r>
    </w:p>
    <w:p w14:paraId="0FECE14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Таблица 5.4 Исходные данные образцов</w:t>
      </w:r>
    </w:p>
    <w:tbl>
      <w:tblPr>
        <w:tblW w:w="0" w:type="auto"/>
        <w:tblInd w:w="40" w:type="dxa"/>
        <w:tblLayout w:type="fixed"/>
        <w:tblCellMar>
          <w:left w:w="40" w:type="dxa"/>
          <w:right w:w="40" w:type="dxa"/>
        </w:tblCellMar>
        <w:tblLook w:val="0000" w:firstRow="0" w:lastRow="0" w:firstColumn="0" w:lastColumn="0" w:noHBand="0" w:noVBand="0"/>
      </w:tblPr>
      <w:tblGrid>
        <w:gridCol w:w="1162"/>
        <w:gridCol w:w="1190"/>
        <w:gridCol w:w="1190"/>
        <w:gridCol w:w="1181"/>
        <w:gridCol w:w="1210"/>
      </w:tblGrid>
      <w:tr w:rsidR="00643896" w:rsidRPr="00640820" w14:paraId="513CA1F0" w14:textId="77777777" w:rsidTr="000D3BCB">
        <w:trPr>
          <w:trHeight w:val="490"/>
        </w:trPr>
        <w:tc>
          <w:tcPr>
            <w:tcW w:w="1162" w:type="dxa"/>
            <w:tcBorders>
              <w:top w:val="single" w:sz="6" w:space="0" w:color="auto"/>
              <w:left w:val="single" w:sz="6" w:space="0" w:color="auto"/>
              <w:bottom w:val="single" w:sz="6" w:space="0" w:color="auto"/>
              <w:right w:val="single" w:sz="6" w:space="0" w:color="auto"/>
            </w:tcBorders>
          </w:tcPr>
          <w:p w14:paraId="0D8B8A0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Образец</w:t>
            </w:r>
          </w:p>
          <w:p w14:paraId="3D3C217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46DBA42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Начальная скорость, м/с</w:t>
            </w:r>
          </w:p>
          <w:p w14:paraId="733607B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7AD21E1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Масса пули (снаряда), г</w:t>
            </w:r>
          </w:p>
          <w:p w14:paraId="69D93DE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4E27E5B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Коэффициент формы</w:t>
            </w:r>
          </w:p>
          <w:p w14:paraId="6BA546F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E9F901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Темп стрельбы, выстр./мин</w:t>
            </w:r>
          </w:p>
          <w:p w14:paraId="0A67F55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E1BC2A4" w14:textId="77777777" w:rsidTr="000D3BCB">
        <w:trPr>
          <w:trHeight w:val="221"/>
        </w:trPr>
        <w:tc>
          <w:tcPr>
            <w:tcW w:w="1162" w:type="dxa"/>
            <w:tcBorders>
              <w:top w:val="single" w:sz="6" w:space="0" w:color="auto"/>
              <w:left w:val="single" w:sz="6" w:space="0" w:color="auto"/>
              <w:bottom w:val="single" w:sz="6" w:space="0" w:color="auto"/>
              <w:right w:val="single" w:sz="6" w:space="0" w:color="auto"/>
            </w:tcBorders>
          </w:tcPr>
          <w:p w14:paraId="1E1D540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«Браунинг»</w:t>
            </w:r>
          </w:p>
          <w:p w14:paraId="662D29D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6DAC129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825</w:t>
            </w:r>
          </w:p>
          <w:p w14:paraId="7D5349F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7F4920E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9,6</w:t>
            </w:r>
          </w:p>
          <w:p w14:paraId="33813E1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037433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0,6</w:t>
            </w:r>
          </w:p>
          <w:p w14:paraId="631B109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205848C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1000</w:t>
            </w:r>
          </w:p>
          <w:p w14:paraId="75EBB21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65D3A43" w14:textId="77777777" w:rsidTr="000D3BCB">
        <w:trPr>
          <w:trHeight w:val="211"/>
        </w:trPr>
        <w:tc>
          <w:tcPr>
            <w:tcW w:w="1162" w:type="dxa"/>
            <w:tcBorders>
              <w:top w:val="single" w:sz="6" w:space="0" w:color="auto"/>
              <w:left w:val="single" w:sz="6" w:space="0" w:color="auto"/>
              <w:bottom w:val="single" w:sz="6" w:space="0" w:color="auto"/>
              <w:right w:val="single" w:sz="6" w:space="0" w:color="auto"/>
            </w:tcBorders>
          </w:tcPr>
          <w:p w14:paraId="3A0706E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ШВАК</w:t>
            </w:r>
          </w:p>
          <w:p w14:paraId="3AA00F4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2977D8D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800</w:t>
            </w:r>
          </w:p>
          <w:p w14:paraId="75C657B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5520F13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97</w:t>
            </w:r>
          </w:p>
          <w:p w14:paraId="6BD3632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278F157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0,7</w:t>
            </w:r>
          </w:p>
          <w:p w14:paraId="3737A23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6C56067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800</w:t>
            </w:r>
          </w:p>
          <w:p w14:paraId="3B430D2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2339D6C" w14:textId="77777777" w:rsidTr="000D3BCB">
        <w:trPr>
          <w:trHeight w:val="221"/>
        </w:trPr>
        <w:tc>
          <w:tcPr>
            <w:tcW w:w="1162" w:type="dxa"/>
            <w:tcBorders>
              <w:top w:val="single" w:sz="6" w:space="0" w:color="auto"/>
              <w:left w:val="single" w:sz="6" w:space="0" w:color="auto"/>
              <w:bottom w:val="single" w:sz="6" w:space="0" w:color="auto"/>
              <w:right w:val="single" w:sz="6" w:space="0" w:color="auto"/>
            </w:tcBorders>
          </w:tcPr>
          <w:p w14:paraId="1190D7B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ШКАС</w:t>
            </w:r>
          </w:p>
          <w:p w14:paraId="7CAF290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66C5737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825</w:t>
            </w:r>
          </w:p>
          <w:p w14:paraId="3FEC781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6DC924C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9,6</w:t>
            </w:r>
          </w:p>
          <w:p w14:paraId="58961A7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181945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0,6</w:t>
            </w:r>
          </w:p>
          <w:p w14:paraId="3325341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54BFF5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1800</w:t>
            </w:r>
          </w:p>
          <w:p w14:paraId="3F8F942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EA560A9" w14:textId="77777777" w:rsidTr="000D3BCB">
        <w:trPr>
          <w:trHeight w:val="259"/>
        </w:trPr>
        <w:tc>
          <w:tcPr>
            <w:tcW w:w="1162" w:type="dxa"/>
            <w:tcBorders>
              <w:top w:val="single" w:sz="6" w:space="0" w:color="auto"/>
              <w:left w:val="single" w:sz="6" w:space="0" w:color="auto"/>
              <w:bottom w:val="single" w:sz="6" w:space="0" w:color="auto"/>
              <w:right w:val="single" w:sz="6" w:space="0" w:color="auto"/>
            </w:tcBorders>
          </w:tcPr>
          <w:p w14:paraId="112AF86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РО</w:t>
            </w:r>
          </w:p>
          <w:p w14:paraId="388740F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37D2FB4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p w14:paraId="33FF70B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6994221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8000</w:t>
            </w:r>
          </w:p>
          <w:p w14:paraId="72EC2DE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9AB0D6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p w14:paraId="622E11B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1C69950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p w14:paraId="1986422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97A029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МиГ-3 часто используют для сопровождения штурмовиков. В этом случае они сами используются как штурмовики, имея при этом неплохиерезультаты. Стрельба по наземным целям из РО производится под углом 60° с высоты 1500 м. Дистанция стрельбы - 500-600 м, максимальная до800 м...» (11402).</w:t>
      </w:r>
    </w:p>
    <w:p w14:paraId="18C25AD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2380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октября 1941 выходит решение правительства об эвакуации завода № 22 в Казань, и к 12 ноября отправка эшелонов была закончена. На месте оставшихся корпусов организовали фронтовые авиационные ремонтные мастерские. На них осуществляли не только восстановление боевых самолетов, но и с помощью эвакуированных с Украины рабочих и оборудования началась сборка новой техники - Ил-4 и Ту-2. Новый завод получил номер «23», а во главе его, спустя полгода после отъезда в Казань, вновь встал Окулов. Объединенный с казанским заводом № 124, московский завод № 22 сохранил свой номер и директора Карпова. Но Окулов директорствовал в Москве недолго, в марте 1942 г. он сменил Карпова на посту руководителя казанского завода № 22 (12049).</w:t>
      </w:r>
    </w:p>
    <w:p w14:paraId="3405E0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094CA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октября 1941 г. по приказу № 1037с практически все работы по высотно-скоростным самолетам были свернуты (оставлена только доводка опытного планера СП-1 и работы по высотным кабинам). Одновременно по приказу № 1044с от 6.10.1941 г. для развития работ по авиационным ВРД группа А.И. Меркулова с тех. документацией, оборудованием и опытными изделиями (ВРД ДМ-1, ДМ-2, ДМ-4, ДМ-4бис, ДМ-11) переведена с завода № 482 в лабораторию № 1 ЦАГИ.</w:t>
      </w:r>
    </w:p>
    <w:p w14:paraId="4726E8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концу 1942 г. создан Ще-2 (ведущий конструктор- И.В. Ляпин, ведупЦш по производству- В.В. Вентцель).</w:t>
      </w:r>
    </w:p>
    <w:p w14:paraId="3AB550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 приказу № 367сс от 22.06.1943 г. Щербаков освобожден от должности гл. конструктора завода № 482. В конце 1943 г. еще велись совместные работы Щербакова с ОКБ Мясищева по доводке гермокабин Як-7Б, </w:t>
      </w:r>
      <w:r w:rsidRPr="00640820">
        <w:rPr>
          <w:rFonts w:ascii="Times New Roman" w:hAnsi="Times New Roman"/>
          <w:color w:val="000000" w:themeColor="text1"/>
          <w:sz w:val="16"/>
          <w:szCs w:val="16"/>
          <w:lang w:val="en-US"/>
        </w:rPr>
        <w:t>JIa</w:t>
      </w:r>
      <w:r w:rsidRPr="00640820">
        <w:rPr>
          <w:rFonts w:ascii="Times New Roman" w:hAnsi="Times New Roman"/>
          <w:color w:val="000000" w:themeColor="text1"/>
          <w:sz w:val="16"/>
          <w:szCs w:val="16"/>
        </w:rPr>
        <w:t>-5 и Пе-2ВИ.</w:t>
      </w:r>
    </w:p>
    <w:p w14:paraId="58EF7C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Затем в соответствии с пост. ГКО № 4194с от 24.09.1943 г. и приказом № 573с от 25.09.1943 г. Щербаков назначен гл. конструктором завода № 47. Тем же приказом личный состав (48 чел.), оборудование, документация и опытный образец Ще-2 № 01 к 10.1943 г. переведены на завод № 47 (11982).</w:t>
      </w:r>
    </w:p>
    <w:p w14:paraId="768DEE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E078547"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4190CE08"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B3CEF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октября 1941 вышло Постановление ГКО № 727 Об утверждении плана производства (сдачи) боеприпасов на октябрь 1941 года. РГАНИР, Фонд ГКО, д. 11, лл. 1-4, 5-111 (11012).</w:t>
      </w:r>
    </w:p>
    <w:p w14:paraId="1BBF14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C93533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октября 1941 года вышел Приказ НКБ № 572 во изменение приказа НКБ № 231 от 3 июля 1941 года:</w:t>
      </w:r>
    </w:p>
    <w:p w14:paraId="0AEC53E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561 подчинить 4 Гл. Управлению (5676, 12).</w:t>
      </w:r>
    </w:p>
    <w:p w14:paraId="275A8B9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AB25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октября 1941 года было подготовлено Положение о Государственном Союзном Особом конструкторском бюро-лаборатории № 46 (ОКБЛ-46)</w:t>
      </w:r>
    </w:p>
    <w:p w14:paraId="5BB88E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Организовано на основании распоряжения СНК от 13 мая 1941 года. основная задача: организация и выполнение опытно-конструкторских и научно-исследовательских работ (по реализации изобретений Чарнко Е.В., Комарицкого И.А. и Шелкова В.И.) (9200).</w:t>
      </w:r>
    </w:p>
    <w:p w14:paraId="52467C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52FC6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октября 1941 г. Приказом НКВД № 001430 Правительственная ВЧ-связь выделялась в самостоятельную структуру в рамках наркомата - Отдел правительственной связи (ОПС) НКВД СССР. Этим событием начался следующий, наиболее важный с позиции и функциональности, период развития систем правительственной связи (11671).</w:t>
      </w:r>
    </w:p>
    <w:p w14:paraId="44D0B628" w14:textId="77777777" w:rsidR="00E869AD" w:rsidRPr="00640820" w:rsidRDefault="00E869AD" w:rsidP="00640820">
      <w:pPr>
        <w:autoSpaceDE w:val="0"/>
        <w:autoSpaceDN w:val="0"/>
        <w:adjustRightInd w:val="0"/>
        <w:spacing w:after="0" w:line="240" w:lineRule="auto"/>
        <w:jc w:val="both"/>
        <w:rPr>
          <w:rFonts w:ascii="Times New Roman" w:hAnsi="Times New Roman"/>
          <w:color w:val="000000" w:themeColor="text1"/>
          <w:sz w:val="16"/>
          <w:szCs w:val="16"/>
        </w:rPr>
      </w:pPr>
    </w:p>
    <w:p w14:paraId="15E8F22D" w14:textId="77777777" w:rsidR="00FA7983" w:rsidRPr="00640820" w:rsidRDefault="00FA7983"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октября 1941 г.</w:t>
      </w:r>
    </w:p>
    <w:p w14:paraId="249F736E" w14:textId="77777777" w:rsidR="00FA7983" w:rsidRPr="00640820" w:rsidRDefault="00FA7983"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Протоколы заседаний бюро Ленинградского городского комитета ВКП(б)</w:t>
      </w:r>
    </w:p>
    <w:p w14:paraId="141BF697" w14:textId="77777777" w:rsidR="00FA7983" w:rsidRPr="00640820" w:rsidRDefault="00FA7983"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2 октября 1941 г.</w:t>
      </w:r>
    </w:p>
    <w:p w14:paraId="0FCFB81B" w14:textId="77777777" w:rsidR="00FA7983" w:rsidRPr="00640820" w:rsidRDefault="00FA7983"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131гс. — О производстве гильз для минных зарядов (особая папка).</w:t>
      </w:r>
    </w:p>
    <w:p w14:paraId="2ED68E98" w14:textId="77777777" w:rsidR="00FA7983" w:rsidRPr="00640820" w:rsidRDefault="00FA7983"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Обязать 4-ю парфюмерную фабрику (т. Крылова) организовать производство гильз для минных зарядов с выпуском 500 тыс. штук в месяц. Массовую сдачу производить начиная с 20.10 Охтенскому химкомбинату.</w:t>
      </w:r>
    </w:p>
    <w:p w14:paraId="78292C31" w14:textId="77777777" w:rsidR="00FA7983" w:rsidRPr="00640820" w:rsidRDefault="00FA7983"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Обязать завод «Металлоизделий» (т. Шефтер) организовать для 4-й парфюмерной фабрики изготовление латунной части гильзового патрона.</w:t>
      </w:r>
    </w:p>
    <w:p w14:paraId="5E913EDF" w14:textId="77777777" w:rsidR="00FA7983" w:rsidRPr="00640820" w:rsidRDefault="00FA7983"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Обязать бумажную фабрику им. Володарского (т. Иванова) в течение октября выработать для 4 парфюмерной фабрики 5 тонн патронной бумаги. Нарезку на богины и зачистку краев произвести в кооперации с фабриками им. Горького и Техбумаги.</w:t>
      </w:r>
    </w:p>
    <w:p w14:paraId="0525E095" w14:textId="77777777" w:rsidR="00FA7983" w:rsidRPr="00640820" w:rsidRDefault="00FA7983"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Обязать директора Станкостроительного института (т. Королькова) изготовить и сдать в срок до 15.10 мерительные калибры для 4 парфюмерной фабрики, по чертежам последней.</w:t>
      </w:r>
    </w:p>
    <w:p w14:paraId="1925795E" w14:textId="77777777" w:rsidR="00FA7983" w:rsidRPr="00640820" w:rsidRDefault="00FA7983"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Подписи — Капустин, Кузнецов, Никитин, Попков.</w:t>
      </w:r>
    </w:p>
    <w:p w14:paraId="4DADB854" w14:textId="77777777" w:rsidR="00FA7983" w:rsidRPr="00640820" w:rsidRDefault="00FA7983"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ЦГАИПД СПб. Ф. 25. Оп.2а. Д. 157. Л. 75. Карточка опросного голосования. Оригинал, машинопись. Подписи — автографы (19720).</w:t>
      </w:r>
    </w:p>
    <w:p w14:paraId="1C855CAA" w14:textId="77777777" w:rsidR="00FA7983" w:rsidRPr="00640820" w:rsidRDefault="00FA7983" w:rsidP="00640820">
      <w:pPr>
        <w:autoSpaceDE w:val="0"/>
        <w:autoSpaceDN w:val="0"/>
        <w:adjustRightInd w:val="0"/>
        <w:spacing w:after="0" w:line="240" w:lineRule="auto"/>
        <w:jc w:val="both"/>
        <w:rPr>
          <w:rFonts w:ascii="Times New Roman" w:hAnsi="Times New Roman"/>
          <w:color w:val="000000" w:themeColor="text1"/>
          <w:sz w:val="16"/>
          <w:szCs w:val="16"/>
        </w:rPr>
      </w:pPr>
    </w:p>
    <w:p w14:paraId="434099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октября 1941 на Петрозаводе приступили к ремонту буксира мощностью 800 л. с.; закончен 27 октября (10671).</w:t>
      </w:r>
    </w:p>
    <w:p w14:paraId="2054A3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A18A453"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4E64FAFD"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2FD98E6"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 октября </w:t>
      </w:r>
      <w:r w:rsidRPr="00640820">
        <w:rPr>
          <w:rFonts w:ascii="Times New Roman" w:hAnsi="Times New Roman"/>
          <w:color w:val="000000" w:themeColor="text1"/>
          <w:sz w:val="16"/>
          <w:szCs w:val="16"/>
        </w:rPr>
        <w:t>в 1941 году утреннее сообщение Совинформбюро:</w:t>
      </w:r>
    </w:p>
    <w:p w14:paraId="25DF72FE"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2 октября наши войска вели бои с противником на всём фронте.</w:t>
      </w:r>
    </w:p>
    <w:p w14:paraId="084B4009"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двухдневных воздушных боях группа наших самолётов сбила на одном участке Северо-Западного направления фронта 13 фашистских самолётов. На аэродромах противника уничтожено 11 и повреждено 15 самолётов. Прямыми попаданиями бомб уничтожено 12 зенитных и 10 полевых орудий.</w:t>
      </w:r>
    </w:p>
    <w:p w14:paraId="49E450DE"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Звено бомбардировщиков младшего лейтенанта Гречишкина атаковало немецкий аэродром в районе С. Метким попаданием бомб уничтожено 10 вражеских самолётов. Один немецкий истребитель подбит при попытке взлететь с аэродрома.</w:t>
      </w:r>
    </w:p>
    <w:p w14:paraId="56FF25F2"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 наша пехотная часть, действующая на Северо-Западном направлении фронта, успешно отбила атаку противника и нанесла ему значительный урон. Враг потерял до 400 человек убитыми и ранеными. На поле боя фашисты оставили много оружия и боеприпасов. На другом участке этого направления фронта часть командира Конькова в упорном бою с фашистами захватила 17 станковых пулемётов и подбила 6 вражеских танков. Немцы оставили на поле боя около 200 убитых и раненых солдат и офицеров.</w:t>
      </w:r>
    </w:p>
    <w:p w14:paraId="155F91D4"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Часть полковника Фролова нанесла чувствительный удар 506 полку 291 немецкой пехотной дивизии. Противник потерял больше 600 человек убитыми и ранеными. Уничтожены два немецких танка, две танкетки, 8 орудий и конный обоз. Наши бойцы захватили много станковых пулемётов и боеприпасов.</w:t>
      </w:r>
    </w:p>
    <w:p w14:paraId="0E6A2E7C"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Неоценимую помощь героическим защитникам Одессы оказывают отряды партизан. Бойцы партизанских отрядов наносят ощутительные удары по тылам германо-румынских войск. Партизанский отряд под командованием тов. К. в течение сентября совершил 18 налётов на вражеские колонны, направлявшиеся на Одесский фронт. В боях с фашистами партизаны истребили более 200 солдат и офицеров противника и захватили много вооружения и боеприпасов.</w:t>
      </w:r>
    </w:p>
    <w:p w14:paraId="1A8614EE"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Отряд тов. В., действующий северо-западнее Одессы, разрушил 7 больших мостов и минировал дороги в 16 местах. На минах взорвались 6 автомашин с румынской пехотой. Погибло до 100 вражеских солдат. Группа бойцов из отряда тов. В. оперирует в зоне одного из лиманов Одесской области. 22 сентября партизаны загнали в лиман и уничтожили 25 немецких мотоциклистов.</w:t>
      </w:r>
    </w:p>
    <w:p w14:paraId="24DDA5AF"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Западнее Одессы действует партизанский отряд под командованием тов. X. В течение сентября бойцы этого отряда уничтожили 17 цистерн с горючим и две автоколонны со снарядами для румынской артиллерии.</w:t>
      </w:r>
    </w:p>
    <w:p w14:paraId="6629FF64"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Пленные немецкие солдаты в своих показаниях рассказывают о росте антивоенных настроений в германской армии. Особенно страшит солдат надвигающаяся суровая русская зима. Ефрейтор 429 полка 168 дивизии Конрад Клотц заявляет: «Нам говорили, что война будет закончена до наступления морозов. Но если нам придётся воевать с русскими зимой, то мы все погибнем, так как мы не вынесем сильных холодов. Солдатам война надоела. Война выгодна только генералам, которые наживаются на страданиях солдат». Ефрейтор 260 полка 113 дивизии Рупрехт Вайгель на допросе сказал: «Если мы задержимся в России на зиму, то все пропадём. Уже теперь солдаты мёрзнут в окопах, как обезьяны».</w:t>
      </w:r>
    </w:p>
    <w:p w14:paraId="743790D7"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Многие немецкие офицеры также начинают терять веру в победу Германии. Вот выдержки из письма германского офицера Иозефа Кастинга на родину: «За последние дни мы очень много пережили. За жизнь свою я не дал бы и полпфенннга. Я не могу понять, что вокруг меня делается. Мы живём под угрозой смерти. Так жить просто ужасно! По-видимому, наши руководящие господа желают заработать себе рыцарские ордена... У меня только одно желание: как-нибудь унести свои кости в целости и вернуться домой. Я отказываюсь от всего».</w:t>
      </w:r>
    </w:p>
    <w:p w14:paraId="12BC8F6E"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оккупированных Германией странах идёт массовая конфискация всех зимних вещей у населения. Немцы силой отбирают меховую одежду, шерстяное бельё, носки, чулки, фуфайки и шарфы. Оккупационные власти в Норвегии издали декрет о немедленной сдаче населением всех шерстяных одеял. Фашисты угрожают тюремным заключением на срок до 3 лет или большим денежным штрафом каждому, кто попытается уклониться от выполнения этого распоряжения. Население всячески сопротивляется этому грабежу и прячет одежду, бельё и обувь.</w:t>
      </w:r>
    </w:p>
    <w:p w14:paraId="66D7243C"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каждым днём растёт производственный подъём на заводах, фабриках и шахтах Молотовской области. Слесарь-лекальщик завода имени Дзержинского тов. Рыжов с начала войны ежедневно вырабатывает не менее трёх норм в смену. Шлифовщик тов. Семёнов каждый месяц выполняет 8 месячных программ. Одну важную работу, рассчитанную на 130 часов, тов. Семёнов сделал за четыре часа. Коллектив участка тов. Паршукова на заводе имени Сталина выполнил августовскую программу больше чем на 120 процентов и закончил весь план третьего квартала на 15 дней ранее срока.» (14787).</w:t>
      </w:r>
    </w:p>
    <w:p w14:paraId="6695F141" w14:textId="77777777" w:rsidR="00E869AD" w:rsidRPr="00640820" w:rsidRDefault="00E869AD" w:rsidP="00640820">
      <w:pPr>
        <w:spacing w:after="0" w:line="240" w:lineRule="auto"/>
        <w:jc w:val="both"/>
        <w:rPr>
          <w:rFonts w:ascii="Times New Roman" w:hAnsi="Times New Roman"/>
          <w:color w:val="000000" w:themeColor="text1"/>
          <w:sz w:val="16"/>
          <w:szCs w:val="16"/>
        </w:rPr>
      </w:pPr>
    </w:p>
    <w:p w14:paraId="21553430"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 октября </w:t>
      </w:r>
      <w:r w:rsidRPr="00640820">
        <w:rPr>
          <w:rFonts w:ascii="Times New Roman" w:hAnsi="Times New Roman"/>
          <w:color w:val="000000" w:themeColor="text1"/>
          <w:sz w:val="16"/>
          <w:szCs w:val="16"/>
        </w:rPr>
        <w:t>в 1941 году вечернее сообщение Совинформбюро:</w:t>
      </w:r>
    </w:p>
    <w:p w14:paraId="5CBFECA7"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2 октября наши войска вели упорные бои с противником на всём фронте.</w:t>
      </w:r>
    </w:p>
    <w:p w14:paraId="49E6ACFE"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30 сентября уничтожено 20 самолётов противника. Наши потери — 9 самолётов.</w:t>
      </w:r>
    </w:p>
    <w:p w14:paraId="31875C73"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упорном двухдневном бою наши части нанесли серьёзный удар противнику на одном из участков Юго-Западного направления фронта. Поле боя усеяно трупами вражеских солдат, разбитыми танками и орудиями. За два дня противник потерял убитыми до 2.700 солдат и офицеров и 500 человек пленными. Наши части захватили 41 орудие разного калибра, 16 противотанковых пушек, 17 миномётов, 92 пулемёта, несколько танков и большое количество боеприпасов.</w:t>
      </w:r>
    </w:p>
    <w:p w14:paraId="30F268E4"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участков Западного направления фронта бойцы подразделения капитана Кондратенко уничтожили 12 немецких танков, 8 бронемашин и захватили много оружия.</w:t>
      </w:r>
    </w:p>
    <w:p w14:paraId="5EAEC6BF"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два дня наши истребители сбили над островом Эзель 10 самолётов противника.</w:t>
      </w:r>
    </w:p>
    <w:p w14:paraId="720B7802"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Группа наших самолётов совершила успешный налёт на вражеские мотомехвой-ска в районе К. на Северо-Западном направлении фронта. В результате налёта уничтожено 10 германских орудий, 3 точки зенитной артиллерии, 35 автомашин с боеприпасами, крупный конный обоз с военным снаряжением, до роты немецкой пехоты и взвод кавалерии.</w:t>
      </w:r>
    </w:p>
    <w:p w14:paraId="3D07D0C6"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Партизаны Черниговской области за вторую половину сентября взорвали 11 мостов, уничтожили 19 немецких танков, 6 бронемашин и 69 автомашин с боеприпасами. Отряды партизан захватили или вывели из строя несколько орудий, много станковых пулемётов, 98 мотоциклов, сожгли 12 цистерн с горючим и 2 склада артиллерийских снарядов. За это же время партизаны убили и ранили более 450 германских солдат и офицеров.</w:t>
      </w:r>
    </w:p>
    <w:p w14:paraId="6FE11312"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последние дни на одном из участков Северо-Западного направления фронта взята в плен большая группа немецких солдат и офицеров, недавно переброшенных на Восточный фронт из Франции. Лейтенант тяжёлого артиллерийского полка Эрнст Либер показал: «С лета 1940 года наша батарея тяжёлых орудий стояла в Ле-Трепор, на берегу Ла-Манша. В первых числах сентября все тяжёлые орудия нашей батареи были погружены на платформы. Ночью на место увезенных орудий были установлены пушки устаревшего типа из числа захваченных нами в Бельгии и Голландии. В пути мы встретили много других батарей, которые также перебрасывались на русский фронт. Судя по всему, во Франции оставлена, главным образом, зенитная артиллерия, но и то значительно ослабленная. Что же касается полевой и крепостной артиллерии, то её осталось очень мало».</w:t>
      </w:r>
    </w:p>
    <w:p w14:paraId="28A57CE5"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Солдат 51 пехотного полка Гейнц Кениг сообщил: «Только десять дней назад с эшелоном солдат я прибыл на Восточный фронт из Валансьена. Ещё полтора месяца тому назад у солдат гарнизона отобрали все автоматы и годные винтовки и заменили их старыми винтовками. Этими «дубинами», как выражаются наши солдаты, сейчас вооружены многие немецкие части во французских городах». Ефрейтор 416 немецкого пехотного полка Бруно Бечер показал: "До середины августа я и многие мои товарищи служили в Алансонском гарнизоне, на севере Франции. 20 августа более 100 солдат нашей роты было отправлено на Восточный фронт. В день нашего выезда на восток в Алансон прибыло 30 раненых солдат, на которых будет возложена гарнизонная служба».</w:t>
      </w:r>
    </w:p>
    <w:p w14:paraId="6FB531A2"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заводах пищевой промышленности Дании, работающих на германскую армию, во второй половине сентября резко увеличилось количество актов саботажа и диверсий. В результате пожаров на немецких складах в Копенгагене и Оденсе уничтожены большие запасы спирта, сахара и мясных консервов. На винокуренном заводе в Ольборге произошёл взрыв, вызвавший пожар на складе готовой продукции. На всех предприятиях отмечается резкое падение производительности труда и умышленная порча продукции.</w:t>
      </w:r>
    </w:p>
    <w:p w14:paraId="153E08E4"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Немецко-фашистская печать Дании не может скрыть многочисленных фактов порчи продукции, отправляемой в Германию. Большая партия сахара, доставленная на днях в Германию, оказалась подмоченной и смешанной с солью. Только за пятнадцать дней сентября немцы получили несколько железнодорожных составов с испорченными консервами. Германские власти в связи с этим произвели многочисленные аресты среди рабочих сахарных и консервных заводов. В ответ на это датские патриоты пустили под откос железнодорожный состав с сахаром и консервами для германской армии.</w:t>
      </w:r>
    </w:p>
    <w:p w14:paraId="07E7E22E"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Передовые колхозы и совхозы страны успешно закладывают прочный фундамент урожая будущего года. На колхозных и совхозных полях широким фронтом развернулись работы по вспашке зяби. В Усть-Лабинском районе, Краснодарского края, уже вспахано около 20 тысяч гектаров. Десять колхозов этого района выполнили план зяблевой пахоты и сейчас пашут сверх плана. Колхозники артели имени Фрунзе сверх плана вспахали 50 гектаров, колхозники артели имени Будённого — 200 гектаров. Высокие образцы трудовой доблести показывают трактористы. Тракторист Ефим Цымбалов вырабатывает полторы-две нормы в день. Он уже вспахал 170 гектаров зяби вместо 77 гектаров, установленных по сезонному заданию. Тракторист Степан Жуковский перевыполнил сезонное задание по зяблевой вспашке на 83 гектара. Трактористы Ишуткинской машинно-тракторной станции, Куйбышевской области, т.т. Балашин и Вертянкин ежедневно пашут на дизельных тракторах по 15-17 гектаров при норме в 12 гектаров. В Петровской МТС, Чкаловской области, значительная площадь зяби вспахана тракторами в ночное время. Сельхозартель «Колос», Чкаловского района, перевыполнила план озимого сева и уже вспахала более 250 гектаров под зябь.» (14787).</w:t>
      </w:r>
    </w:p>
    <w:p w14:paraId="65DCBFE6" w14:textId="77777777" w:rsidR="00E869AD" w:rsidRPr="00640820" w:rsidRDefault="00E869AD" w:rsidP="00640820">
      <w:pPr>
        <w:spacing w:after="0" w:line="240" w:lineRule="auto"/>
        <w:jc w:val="both"/>
        <w:rPr>
          <w:rFonts w:ascii="Times New Roman" w:hAnsi="Times New Roman"/>
          <w:color w:val="000000" w:themeColor="text1"/>
          <w:sz w:val="16"/>
          <w:szCs w:val="16"/>
        </w:rPr>
      </w:pPr>
    </w:p>
    <w:p w14:paraId="60BAB571"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 октября </w:t>
      </w:r>
      <w:r w:rsidRPr="00640820">
        <w:rPr>
          <w:rFonts w:ascii="Times New Roman" w:hAnsi="Times New Roman"/>
          <w:color w:val="000000" w:themeColor="text1"/>
          <w:sz w:val="16"/>
          <w:szCs w:val="16"/>
        </w:rPr>
        <w:t>в 1941 году группировки противника, прорвав оборону советских войск на духовщинском и рославльском направлениях, продвинулись на 15-30 км. Началась Вяземская оборонительная операция войск Западного (генерал-полковник И.С.Конев; 22, 29, 30, 19, 16 и 20-я армии; занимали оборону в полосе шириной 340 км - от озера Селигер до Ельни) и Резервного (Маршал Советского Союза С.М.Будённый; 24 и 43-я армии; занимали оборону от Ельни до железной дорони Рославль - Киров в полосе шириной до 100 км; 31, 49, 32 и 33-я армии обороняли рубеж в тылу Западного фронта в полосе шириной 300 км по линии Осташков, Селижарово, восточнее Дорогобужа) фронтов, продолжавшаяся до 13 октября. Войска противника: основные силы группы армий "Центр" (4 и 9-я армии, 3 и 4-я танковые группы: включали 75% пехотных и свыше 50% танковых и моторизированных дивизий ее состава) (14787).</w:t>
      </w:r>
    </w:p>
    <w:p w14:paraId="75CF968D" w14:textId="77777777" w:rsidR="00E869AD" w:rsidRPr="00640820" w:rsidRDefault="00E869AD" w:rsidP="00640820">
      <w:pPr>
        <w:spacing w:after="0" w:line="240" w:lineRule="auto"/>
        <w:jc w:val="both"/>
        <w:rPr>
          <w:rFonts w:ascii="Times New Roman" w:hAnsi="Times New Roman"/>
          <w:color w:val="000000" w:themeColor="text1"/>
          <w:sz w:val="16"/>
          <w:szCs w:val="16"/>
        </w:rPr>
      </w:pPr>
    </w:p>
    <w:p w14:paraId="37CF8B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ночь на 2 октября 1941 из Генштаба в адрес командующего ВВС поступило боевое распоряжение о срочном привлечении со 2 октября для разгрома танковой группировки, прорвавшейся в район Глухов - Севск 40, 42, 51 и 52 бад ДБА и 81 адон (А.Е.Голованов). Командование поручили п И.И.Рухле, которому приказали 2 октября прибыть в распоряжение командующего БФ. Прикрытие б возложили на командующего ВВС БФ Ф.П.Полынина. Рухле быстро сформировал небольшую оперативную группу (340,55).</w:t>
      </w:r>
    </w:p>
    <w:p w14:paraId="302D0C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B44DF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октября 1941 г., когда авиаторы 6-го иак начали атаковать противника в районе города Белый, начались первые штурмовые удары МиГ-3 по прорывающемуся противнику датировались. Спустя несколько дней последовали еще более интенсивные налеты по прорвавшейся через наш фронт юхнов- ской группировке противника. При этом основными типами самолетов, участвовавших в бомбоштурмовых ударах, были И-16, И-153 и Пе-3 (12045).</w:t>
      </w:r>
    </w:p>
    <w:p w14:paraId="2C3335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38888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Со 2 октября 1941 5 ад ДБА были привлечены к борьбе с наступающими немецкими войсками на брянском направлении (518,223).</w:t>
      </w:r>
    </w:p>
    <w:p w14:paraId="67E870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B4344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октября 1941 после сильной арт и авиаподготовки началось немецкое наступление против ЗФ - удар в стык 30А и 19А и второй удар - в направлении г. белый. Контрудары успеха не имели. Авиация была малочисленной и с раскисших аэродромов делала всего 100-200 вылетов в сутки. Для действий в интересах войск привлекли 6 иак ПВО, ВВС МВО, несколько дивизий ДБА и две ад СЗФ. Координировал П.С.Степанов. После усиления активность ВВС ЗФ повысилась и за 9 дней она выполнила 2850 вылетов. Противник сделал 4000 (341,68).</w:t>
      </w:r>
    </w:p>
    <w:p w14:paraId="3E9550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149B2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октября 1941 противник начал наступление и против РФ, прорвал оборону и малочисленная авиация пыталась помочь чем могла проводя всего по 100 вылетов в день действуя по мотоколоннам в направлении на Юхнов. К 5 октября привлекли часть сил авиации МВО и 6 иак ПВО и ДБА. В результате за 9 суток выполнили 1340 вылетов. 10 октября РФ расформировали и войска передали ЗФ (341,69).</w:t>
      </w:r>
    </w:p>
    <w:p w14:paraId="0348ED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FC028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октября 1941 основными силами (4-я и 9-я полевые армии и приданные им 3-я и 4-я танковые группы) командующий группой армий "Центр" генерал-фельд</w:t>
      </w:r>
      <w:r w:rsidRPr="00640820">
        <w:rPr>
          <w:rFonts w:ascii="Times New Roman" w:hAnsi="Times New Roman"/>
          <w:color w:val="000000" w:themeColor="text1"/>
          <w:sz w:val="16"/>
          <w:szCs w:val="16"/>
        </w:rPr>
        <w:softHyphen/>
        <w:t>маршал фон Бок нанес мощные удары из районов севернее Духовщины и вос</w:t>
      </w:r>
      <w:r w:rsidRPr="00640820">
        <w:rPr>
          <w:rFonts w:ascii="Times New Roman" w:hAnsi="Times New Roman"/>
          <w:color w:val="000000" w:themeColor="text1"/>
          <w:sz w:val="16"/>
          <w:szCs w:val="16"/>
        </w:rPr>
        <w:softHyphen/>
        <w:t>точнее Рославля по войскам Западного и Резервного фронтов.</w:t>
      </w:r>
    </w:p>
    <w:p w14:paraId="29DAAD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результате Брянский и Западный фронты были прорваны. 3 октября пал Орел. Через три дня немцы заняли Брянск и Карачев. Создалось угрожаю</w:t>
      </w:r>
      <w:r w:rsidRPr="00640820">
        <w:rPr>
          <w:rFonts w:ascii="Times New Roman" w:hAnsi="Times New Roman"/>
          <w:color w:val="000000" w:themeColor="text1"/>
          <w:sz w:val="16"/>
          <w:szCs w:val="16"/>
        </w:rPr>
        <w:softHyphen/>
        <w:t>щее положение на тульском направле</w:t>
      </w:r>
      <w:r w:rsidRPr="00640820">
        <w:rPr>
          <w:rFonts w:ascii="Times New Roman" w:hAnsi="Times New Roman"/>
          <w:color w:val="000000" w:themeColor="text1"/>
          <w:sz w:val="16"/>
          <w:szCs w:val="16"/>
        </w:rPr>
        <w:softHyphen/>
        <w:t>нии. Войска Брянского фронта, неся по</w:t>
      </w:r>
      <w:r w:rsidRPr="00640820">
        <w:rPr>
          <w:rFonts w:ascii="Times New Roman" w:hAnsi="Times New Roman"/>
          <w:color w:val="000000" w:themeColor="text1"/>
          <w:sz w:val="16"/>
          <w:szCs w:val="16"/>
        </w:rPr>
        <w:softHyphen/>
        <w:t>тери, с боями стали отходить на восток (6467).</w:t>
      </w:r>
    </w:p>
    <w:p w14:paraId="454C58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CF5AA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октября 1941 против второй полевой армии г Вейхса, атаковавшего и прорвавшего оборону в районе Брянска была переброшена 6 резервная авиагруппа г А.А.Демидова с и, ш Ил-2 и б Пе-2. На нее пала основная нагрузка в боях на подступах к Мценску (3105,37).</w:t>
      </w:r>
    </w:p>
    <w:p w14:paraId="1789DD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F0793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октября 1941 началось наступление 2-й танковой армии Гудериана, прорвали оборону и вышли в тыл 13 армии, а 3 прорвались и через 50 армию. Пробовали вновь остановить авиацией, но не помогло (340,56).</w:t>
      </w:r>
    </w:p>
    <w:p w14:paraId="00B42E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B6C0A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октября 1941 экипаж ДБ-3Ф 212 ап ДБА бомбил войска, наступающие к Брянску, и был сбит или поврежден собственными б, снизившись до 100 м из-за погоды. Сумел сесть в 500 м от атакуемой колонны и уйти от патрулей. шли 22 дня. Потом, после возвращения в первом же бою его ДБ-3Ф был сбит над Смоленском, выбросился с парашютом, тот не открылся и упал в снег на склон оврага с 600 м (3105,37).</w:t>
      </w:r>
    </w:p>
    <w:p w14:paraId="1AD530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FB476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lang w:val="en-US"/>
        </w:rPr>
        <w:t xml:space="preserve">October 2, 1941: Heeresgruppe Mitte begins Operation Taifun, the final attack on Moscow. Heeresgruppe Sud sets out to advance against Kursk and Kharkov. Hitler, in a special order of the day, announces,"Today begins the last decisive battle of this year." </w:t>
      </w:r>
      <w:r w:rsidRPr="00640820">
        <w:rPr>
          <w:rFonts w:ascii="Times New Roman" w:hAnsi="Times New Roman"/>
          <w:color w:val="000000" w:themeColor="text1"/>
          <w:sz w:val="16"/>
          <w:szCs w:val="16"/>
        </w:rPr>
        <w:t>(3819).</w:t>
      </w:r>
    </w:p>
    <w:p w14:paraId="492413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8096F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октября 1941 Группа Центр начала операцию Тайфун - последнюю атаку на Москву. Группа Юг начала прорыв к Курску и Харькову. А.Г. в приказа отметил, что сегодня начинается последняя решительная битва этой войны (3819).</w:t>
      </w:r>
    </w:p>
    <w:p w14:paraId="6D0178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C8272A1"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 октября </w:t>
      </w:r>
      <w:r w:rsidRPr="00640820">
        <w:rPr>
          <w:rFonts w:ascii="Times New Roman" w:hAnsi="Times New Roman"/>
          <w:color w:val="000000" w:themeColor="text1"/>
          <w:sz w:val="16"/>
          <w:szCs w:val="16"/>
        </w:rPr>
        <w:t>в 1941 году начало операции "Тайфун" - плана гитлеровского командования по захвату Москвы. Гитлер в обращении к войскам заявил: "За три с половиной месяца созданы, наконец, предпосылки для того, чтобы посредством мощного удара сокрушить противника еще до наступления зимы. Вся подготовка, насколько это было в человеческих силах, закончена... Сегодня начинается последняя решающая битва этого года". Через два месяца под Москвой начнется контрнаступление советских войск, и немецкому генштабу придется думать не об уничтожении Москвы, а о спасении своей армии от разгрома (14787).</w:t>
      </w:r>
    </w:p>
    <w:p w14:paraId="637487B1" w14:textId="77777777" w:rsidR="00E869AD" w:rsidRPr="00640820" w:rsidRDefault="00E869AD" w:rsidP="00640820">
      <w:pPr>
        <w:spacing w:after="0" w:line="240" w:lineRule="auto"/>
        <w:jc w:val="both"/>
        <w:rPr>
          <w:rFonts w:ascii="Times New Roman" w:hAnsi="Times New Roman"/>
          <w:color w:val="000000" w:themeColor="text1"/>
          <w:sz w:val="16"/>
          <w:szCs w:val="16"/>
        </w:rPr>
      </w:pPr>
    </w:p>
    <w:p w14:paraId="08867F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October 2 1941 Hitler orders the resumption of the attack on Moscow. There is only limited time before the harsh Russian winter "General January" assists the Red Army. Some argue the delay in attacking Moscow cost Germany the war (1052).</w:t>
      </w:r>
    </w:p>
    <w:p w14:paraId="2ACB73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5A0B1A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октября 1941 началась операция Тайфун (1797) - А.Гитлер отдал приказ возобновить наступление на Москву, т.к. времени до наступления зимы оставалось немного. есть мнение, что задержка этого наступления стала причиной поражения Германии (1052).</w:t>
      </w:r>
    </w:p>
    <w:p w14:paraId="771169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20EB9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C 2 по 13 октября 1941 состоялась Вяземская операция - оборонительная Западного и Резервного фронтов. Немцы прорвались и 7 октября соединились у Вязьмы. окруженные войска сковали 28 дивизий. Время протянули и фронт был восстановлен (2438,162).</w:t>
      </w:r>
    </w:p>
    <w:p w14:paraId="3A01A0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разгрома прорвавшихся войск в районы Вязьмы и Калинина командование привлекло ВВС ЗФ и РФ, часть сил 6 иак ПВО, ВВВС МВО, несколько дивизий ДБА, до 80 самолетов ВВС СЗФ и 4 полка из резерва Ставки ВГК. За 9 дней совершили 3000 вылетов для нанесения б-ш ударов (518,226).</w:t>
      </w:r>
    </w:p>
    <w:p w14:paraId="6B70C8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0B96483" w14:textId="77777777" w:rsidR="00165A9C" w:rsidRPr="00640820" w:rsidRDefault="00165A9C" w:rsidP="00640820">
      <w:pPr>
        <w:autoSpaceDE w:val="0"/>
        <w:autoSpaceDN w:val="0"/>
        <w:adjustRightInd w:val="0"/>
        <w:spacing w:after="0" w:line="240" w:lineRule="auto"/>
        <w:jc w:val="both"/>
        <w:rPr>
          <w:rFonts w:ascii="Times New Roman" w:hAnsi="Times New Roman"/>
          <w:i/>
          <w:iCs/>
          <w:color w:val="000000" w:themeColor="text1"/>
          <w:sz w:val="16"/>
          <w:szCs w:val="16"/>
        </w:rPr>
      </w:pPr>
      <w:r w:rsidRPr="00640820">
        <w:rPr>
          <w:rFonts w:ascii="Times New Roman" w:hAnsi="Times New Roman"/>
          <w:i/>
          <w:iCs/>
          <w:color w:val="000000" w:themeColor="text1"/>
          <w:sz w:val="16"/>
          <w:szCs w:val="16"/>
        </w:rPr>
        <w:t>Жизнь в нутрен</w:t>
      </w:r>
      <w:r w:rsidR="00FA7983" w:rsidRPr="00640820">
        <w:rPr>
          <w:rFonts w:ascii="Times New Roman" w:hAnsi="Times New Roman"/>
          <w:i/>
          <w:iCs/>
          <w:color w:val="000000" w:themeColor="text1"/>
          <w:sz w:val="16"/>
          <w:szCs w:val="16"/>
        </w:rPr>
        <w:t>н</w:t>
      </w:r>
      <w:r w:rsidRPr="00640820">
        <w:rPr>
          <w:rFonts w:ascii="Times New Roman" w:hAnsi="Times New Roman"/>
          <w:i/>
          <w:iCs/>
          <w:color w:val="000000" w:themeColor="text1"/>
          <w:sz w:val="16"/>
          <w:szCs w:val="16"/>
        </w:rPr>
        <w:t>яя политика:</w:t>
      </w:r>
    </w:p>
    <w:p w14:paraId="4351D220" w14:textId="77777777" w:rsidR="00165A9C" w:rsidRPr="00640820" w:rsidRDefault="00165A9C" w:rsidP="00640820">
      <w:pPr>
        <w:autoSpaceDE w:val="0"/>
        <w:autoSpaceDN w:val="0"/>
        <w:adjustRightInd w:val="0"/>
        <w:spacing w:after="0" w:line="240" w:lineRule="auto"/>
        <w:jc w:val="both"/>
        <w:rPr>
          <w:rFonts w:ascii="Times New Roman" w:hAnsi="Times New Roman"/>
          <w:i/>
          <w:iCs/>
          <w:color w:val="000000" w:themeColor="text1"/>
          <w:sz w:val="16"/>
          <w:szCs w:val="16"/>
        </w:rPr>
      </w:pPr>
    </w:p>
    <w:p w14:paraId="34F6FBFA"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 октября </w:t>
      </w:r>
      <w:r w:rsidRPr="00640820">
        <w:rPr>
          <w:rFonts w:ascii="Times New Roman" w:hAnsi="Times New Roman"/>
          <w:color w:val="000000" w:themeColor="text1"/>
          <w:sz w:val="16"/>
          <w:szCs w:val="16"/>
        </w:rPr>
        <w:t>в 1941 году опубликовано сообщение: в августе - сентябре 1941 ремесленные училища и школы ФЗО дали промышленности и транспорту свыше 62 тысяч молодых рабочих (14787).</w:t>
      </w:r>
    </w:p>
    <w:p w14:paraId="022D844F" w14:textId="77777777" w:rsidR="00E869AD" w:rsidRPr="00640820" w:rsidRDefault="00E869AD" w:rsidP="00640820">
      <w:pPr>
        <w:spacing w:after="0" w:line="240" w:lineRule="auto"/>
        <w:jc w:val="both"/>
        <w:rPr>
          <w:rFonts w:ascii="Times New Roman" w:hAnsi="Times New Roman"/>
          <w:color w:val="000000" w:themeColor="text1"/>
          <w:sz w:val="16"/>
          <w:szCs w:val="16"/>
        </w:rPr>
      </w:pPr>
    </w:p>
    <w:p w14:paraId="273980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октября 1941 г., согласно Командованию 18-й армии:</w:t>
      </w:r>
    </w:p>
    <w:p w14:paraId="63F232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Отдел 1с</w:t>
      </w:r>
    </w:p>
    <w:p w14:paraId="5D9345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Адресат: ОКВ, начальник Генштаба</w:t>
      </w:r>
    </w:p>
    <w:p w14:paraId="75DD27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Приложение к информации Отдела 1с 18-й армии от 2 октября 1941 г.</w:t>
      </w:r>
    </w:p>
    <w:p w14:paraId="404E71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Сообщение о Петербурге № 1</w:t>
      </w:r>
    </w:p>
    <w:p w14:paraId="1C5587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основании допросов военнопленных и данных агентуры: 1). Мероприятия по обороне города.</w:t>
      </w:r>
    </w:p>
    <w:p w14:paraId="1841D4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обороны города до настоящего времени были созданы следующие нерегулярные соединения</w:t>
      </w:r>
    </w:p>
    <w:p w14:paraId="3087F3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истребительные батальоны: состоят из молодежи; оружия не хватает</w:t>
      </w:r>
    </w:p>
    <w:p w14:paraId="6A8F47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милиция:</w:t>
      </w:r>
    </w:p>
    <w:p w14:paraId="15AED7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Отчасти милиция уже направлена на фронт. Город разделен на 13 секторов. В каждом находится по 5 взводов милиции численностью до 50 человек. Вооружение в основном состоит из пистолетов.</w:t>
      </w:r>
    </w:p>
    <w:p w14:paraId="6F864A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народное ополчение:</w:t>
      </w:r>
    </w:p>
    <w:p w14:paraId="0DDCBD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Большей частью состоит из молодежи в возрасте 16-18 лет. Вооружены плохо.</w:t>
      </w:r>
    </w:p>
    <w:p w14:paraId="686DB8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около 10 тыс. человек. д) рабочие батальоны:</w:t>
      </w:r>
    </w:p>
    <w:p w14:paraId="545B77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состоят из рабочих промышленных предприятий. Сообщают, что из переведенных на казарменное положение рабочих должно быть сформировано 160 батальонов. Численность батальона — до 700 человек.</w:t>
      </w:r>
    </w:p>
    <w:p w14:paraId="540032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Военная подготовка проводится после работы. Боевая задача — оборона предприятий.</w:t>
      </w:r>
    </w:p>
    <w:p w14:paraId="26A736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Хотя боеспособность зависит от настроения и вооружения, большое значение могут иметь также соответственно фанатизм и руководство.</w:t>
      </w:r>
    </w:p>
    <w:p w14:paraId="77DD15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Противовоздушная оборона построена хорошо.</w:t>
      </w:r>
    </w:p>
    <w:p w14:paraId="779484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Приспособления для тушения пожара имеются в каждом доме. Бомбоубежищ из-за плохих подпочв не хватает. Легкие зенитные орудия стоят на крышах. Окна нижних этажей заделаны мешками с песком и забиты досками.</w:t>
      </w:r>
    </w:p>
    <w:p w14:paraId="17A385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Защитных сооружений внутри города, по нашим данным, нет. Однако по южному радиусу города имеются траншеи, пулеметные гнезда, проволочные заграждения и противотанковые рвы.</w:t>
      </w:r>
    </w:p>
    <w:p w14:paraId="773683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Сообщают, что предусматривается подрыв наиболее важных объектов. В городе заложены мощные взрывные устройства10.</w:t>
      </w:r>
    </w:p>
    <w:p w14:paraId="0171CA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Химическая защита организована хорошо. Около 80 процентов населения имеют противогазы.</w:t>
      </w:r>
    </w:p>
    <w:p w14:paraId="0572E2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Положение со снабжением</w:t>
      </w:r>
    </w:p>
    <w:p w14:paraId="23690D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Положение со снабжением является напряженным, поскольку перед взятием города в кольцо было эвакуировано значительное количество продовольствия.</w:t>
      </w:r>
    </w:p>
    <w:p w14:paraId="1044CA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Нормы выдачи хлеба в последнее время значительно сокращены и составляют сейчас для рабочего 400 г, а для остальных — 200 г в день.</w:t>
      </w:r>
    </w:p>
    <w:p w14:paraId="3A11DA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Мясо поначалу еще имелось в наличии. Данные о нормах выдачи колеблются в пределах от 500 грамм до 2 кг в месяц.</w:t>
      </w:r>
    </w:p>
    <w:p w14:paraId="59FF1A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Даже картошку можно купить только на черном рынке. За всеми видами продуктов население стоит в огромных очередях.</w:t>
      </w:r>
    </w:p>
    <w:p w14:paraId="2A9D9F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Дров хватает. Однако их запасы используются для строительства траншей. Сообщают, что в результате пожаров сгорели маргариновая фабрика и завод по производству маргарина.</w:t>
      </w:r>
    </w:p>
    <w:p w14:paraId="7C0749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3). Настроение и пропаганда.</w:t>
      </w:r>
    </w:p>
    <w:p w14:paraId="3E8AFE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Настроение широких слоев населения можно определить как подавленное. Поскольку население по-прежнему находится под сильным воздействием пропаганды устрашения, оно боится немцев и участвует в обороне города. Вне всякого сомнения, существует большой страх из-за возможности разрушения города и потери рабочих мест (выделено мной — Н.Л.).</w:t>
      </w:r>
    </w:p>
    <w:p w14:paraId="755AC8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 так как частной собственности практически не существует, то, естественно, отсутствует и чувство частной собственности. За сдачу города без боя, вероятно, большая часть оставшейся еще в живых интеллигенции и 30—40 тысяч живущих в Ленинграде немцев. Сильный террор с самого начала парализует все эти побуждения. Коммунистическое руководство города вместе с многочисленной коммунистической молодежью фанатично настроено защищать город. Господствует сильное озлобление в связи с тем, что евреям отдается предпочтение при эвакуации (выделено мной — Н.Л.)..</w:t>
      </w:r>
    </w:p>
    <w:p w14:paraId="36C190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Пропаганда коммунистической партии в настоящее время очень сильна. Она ведется посредством газет, радио, широкой волны митингов и очень сильного индивидуального террора, а также устной пропаганды. Немецкая радио- и листковая пропаганда действенна, но очень слаба по размаху. Большое впечатления производят рассказы перебежчиков, которые уже познакомились с немецкими солдатами. Советская пропаганда очень часто использует тезис о том, что изголодавшийся немецкий народ отнимет хлеб у русского народа. Истинность этого утверждения сильно поддерживается трудностями снабжения в занятых областях в результате уничтожения запасов продовольствия.</w:t>
      </w:r>
    </w:p>
    <w:p w14:paraId="3ABE2B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Объекты, расположение которых не совпадает с военно-географическим планом Ленинграда.</w:t>
      </w:r>
    </w:p>
    <w:p w14:paraId="2CA86B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Военные командные пункты:</w:t>
      </w:r>
    </w:p>
    <w:p w14:paraId="5423B6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Главные военные и партийные органы находятся в бывшем здании окружного суда (смотри план, квадрат 7 к востоку от объекта № 227). Дома, в которых живут функционеры, расположены на северном берегу Невы рядом с Киров-ским мостом. б) Органы управления и партия:</w:t>
      </w:r>
    </w:p>
    <w:p w14:paraId="7921CA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здание НКВД соединяется с тюрьмой. Здание Советов в 8-м районе расположено на углу проспекта 25-го Октября и улицы Рубинштейна. Здание, в котором расположен Совет 11-го района, находится на проспекте Красных командиров между Красноармейской улицей и наб. Фонтанки. Здание Совета 1-го района находится на проспекте Стачек.</w:t>
      </w:r>
    </w:p>
    <w:p w14:paraId="206186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Продовольственные предприятия: нет</w:t>
      </w:r>
    </w:p>
    <w:p w14:paraId="5873E6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 Заводы:</w:t>
      </w:r>
    </w:p>
    <w:p w14:paraId="715EB2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литографический завод — ул. Мира д.3, Петроградский район На участке Ленинград — Кексгольм у станции Девяткино находится завод по производству боеприпасов. Завод по производству синтетического каучука расположен на углу проспекта Огородникова и Гап-сальской улицы. Заводы в районе 614 расширили производство, включая изготовление гильз и боеприпасов. В районе между Володарским мостом и нас. пунктом Мурзинка находится завод им. Ворошилова, на котором делают танки (не подтверждено).</w:t>
      </w:r>
    </w:p>
    <w:p w14:paraId="58F048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Маленький авиазавод расположен на Волновской улице (Московский район).</w:t>
      </w:r>
    </w:p>
    <w:p w14:paraId="1524EF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 Склады:</w:t>
      </w:r>
    </w:p>
    <w:p w14:paraId="44FB7F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Продовольственный склад в Александро-Невской Лавре (план Q 0.10.) и в здании фондовой биржи напротив Зимнего дворца.</w:t>
      </w:r>
    </w:p>
    <w:p w14:paraId="7F4BF1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Зернохранилище — рядом с Исаакиевским собором (план Q № 7).</w:t>
      </w:r>
    </w:p>
    <w:p w14:paraId="1F8F59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Сооружения, расположение которых не совпадает с картой укреплений (в городе) 1: 50 000</w:t>
      </w:r>
    </w:p>
    <w:p w14:paraId="596FB8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Противотанковые рвы тянутся вдоль Обводного канала.</w:t>
      </w:r>
    </w:p>
    <w:p w14:paraId="2DF9AC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Общая информация:</w:t>
      </w:r>
    </w:p>
    <w:p w14:paraId="5E55EB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последним данным, численность населения Петербурга составляла 3,4 миллиона человек. Из них в городе осталось, по общему мнению, около двух третей. В любом случае в Петербурге сейчас еще более 2 миллионов человек11. Сокращение численности населения происходит главным образом за счет принудительной эвакуации военных предприятий вместе с рабочими, которые переводятся, вероятно, на Урал. Так, например, вывезена большая часть коллектива Кировского завода (бывшего Путиловского), являющегося самым крупным оборонным заводом русских.</w:t>
      </w:r>
    </w:p>
    <w:p w14:paraId="212F38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приказом Сталина все женщины и дети эвакуируются вглубь России. В соответствии с планом должны быть эвакуированы 75 процентов населения Петербурга. Осуществление этого плана наталкивается, однако, на транспортные трудности, а также на пассивное сопротивление населения, которое было очень обеспокоено неизвестной судьбой первых транспортов с детьми (эвакуированных из города). Детей эвакуировали в неизвестном направлении, при этом им выдали на семь дней пути лишь сгущенное молоко и сухари. Говорят, что в местах назначения к их приему ничего не было готово, за исключением немецкой колонии на Волге. Поэтому большая часть населения уклонялась от эвакуации, хотя из-за этого оно лишалось хлебных карточек.</w:t>
      </w:r>
    </w:p>
    <w:p w14:paraId="2BA17F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Часть населения перебежала в ближайшие окрестности Петербурга, поскольку она надеется на то, что там больше возможностей найти продовольствие, и впоследствии рассчитывает вернуться в Петербург. С другой стороны, беженцы идут и в другом направлении — в Петербург. В этом случае речь идет о коммунистических элементах и жертвах пропаганды устрашения.</w:t>
      </w:r>
    </w:p>
    <w:p w14:paraId="6D9FC3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600 тыс. евреев, которые жили в городе до начала войны, большая часть бежала при особом содействии через свои ведомства. В то время как остальному населению было позволено брать с собой не более 50 кг багажа, подавляющему большинству евреев разрешалось вывозить все их имущество. Руководство эвакуационными поездами и поездами с беженцами осуществлялось большей частью евреями.</w:t>
      </w:r>
    </w:p>
    <w:p w14:paraId="250FEF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Евреи абсолютно уверены в том, что в случае взятия Петербурга немцами они будут уничтожены. В Петербурге в основном остались лишь евреи, которые принадлежат к высшим слоям. Лишь малая часть простых евреев находится в Петербурге.</w:t>
      </w:r>
    </w:p>
    <w:p w14:paraId="6F5CB9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Заключенные, за исключением рецидивистов и политических, освобождены из тюрем и направлены на фронт, главным образом копать траншеи (в соответствии с секретным приказом от 12 июля 1941 г., это не распространяется на всех немцев, литовцев, эстонцев, латышей, финнов и белорусов, которые продолжают отбывать наказание).</w:t>
      </w:r>
    </w:p>
    <w:p w14:paraId="53337A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Национальный Архив США. Командование 18-й армии. Отдел 1с. Микрофильм. Т-312/1579 — 944-950 (11814).</w:t>
      </w:r>
    </w:p>
    <w:p w14:paraId="78EE0C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F554E12"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66A0E5F9"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5A36E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октября 1941 Ме-163 достиг скорости в 1004 км/ч (237,197).</w:t>
      </w:r>
    </w:p>
    <w:p w14:paraId="29DAC2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86F79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октября 1941 года Дитмар поднял «Me-163V4» на буксире за «Bf110C». На высоте 4 км буксир был отцеплен, Дитмар запустил двигатель и спустя 2 минуты развил в горизонтальном полете скорость 1004 км/ч (0,84 Маха). На этой скорости сказался эффект сжимаемости воздуха – ракетоплан вошел в пикирование. Дитмар выключил двигатель, самолет быстро сбросил скорость и вновь стал управляемым. За этот полет Дитмар получил премию имени Лилиенталя, присуждаемую за выдающиеся работы в области аэродинамических исследований (11688).</w:t>
      </w:r>
    </w:p>
    <w:p w14:paraId="778A88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20BCC25" w14:textId="77777777" w:rsidR="00EB2157" w:rsidRPr="00640820" w:rsidRDefault="00EB2157"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 октября 1941 Хейни Диттмар устанавливает новый рекорд скорости в 1004 км / ч (624 миль / ч) на Messerschmitt Me 163 A. Рекорд неофициальный, потому что полет (и программа Me 163) держится в секрете и оставался «непобитым» до тех пор, пока официально его превзошел американец Дуглас Скайстрик в августе 1947 года (20794).</w:t>
      </w:r>
    </w:p>
    <w:p w14:paraId="29A376DE" w14:textId="77777777" w:rsidR="00EB2157" w:rsidRPr="00640820" w:rsidRDefault="00EB2157" w:rsidP="00640820">
      <w:pPr>
        <w:spacing w:after="0" w:line="240" w:lineRule="auto"/>
        <w:jc w:val="both"/>
        <w:rPr>
          <w:rFonts w:ascii="Times New Roman" w:hAnsi="Times New Roman"/>
          <w:color w:val="0070C0"/>
          <w:sz w:val="16"/>
          <w:szCs w:val="16"/>
        </w:rPr>
      </w:pPr>
    </w:p>
    <w:p w14:paraId="18A75051" w14:textId="77777777" w:rsidR="00515354" w:rsidRPr="00640820" w:rsidRDefault="00515354"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 xml:space="preserve">2 октября 1941 г., в день начала немецкого «генерального» наступления на Москву генерал Г.Томас, начальник управления военной экономики и военной промышленности ОКВ (Верховное командование вооруженных сил Германии), в своем обзоре тогдашней военной и экономической ситуации в СССР проанализировал четыре основных варианта возможного развития дальнейших событий. В результате их анализа Томас вполне обоснованно предсказал, что при самом благоприятном для немцев развитии событий в конце 1941 г., даже при условии взятия ими Москвы и Ленинграда, окончательно сломить советское сопротивление им все равно бы не удалось. Не сулили полной победы немцам и более серьезные территориальные успехи вермахта. К тому же ведущий экономический специалист ОКВ совсем не учитывал возможную помощь Советскому Союзу со стороны союзников (17424). </w:t>
      </w:r>
    </w:p>
    <w:p w14:paraId="65C0FB48" w14:textId="77777777" w:rsidR="00515354" w:rsidRPr="00640820" w:rsidRDefault="00515354"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p>
    <w:p w14:paraId="3774DA6A"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 октября </w:t>
      </w:r>
      <w:r w:rsidRPr="00640820">
        <w:rPr>
          <w:rFonts w:ascii="Times New Roman" w:hAnsi="Times New Roman"/>
          <w:color w:val="000000" w:themeColor="text1"/>
          <w:sz w:val="16"/>
          <w:szCs w:val="16"/>
        </w:rPr>
        <w:t>в 1941 году большая часть японской артиллерии была переправлена на северный берег реки Мило. В тот же день отступавшие японские части подошли к южному берегу реки Мило. На путях отхода японцы оставляли обозы, уклоняясь от боя с преследовавшими их китайскими войсками. При более энергичных действиях на флангах китайцы могли бы окружить в горах всю 11-ю армию (14787).</w:t>
      </w:r>
    </w:p>
    <w:p w14:paraId="18EBE582" w14:textId="77777777" w:rsidR="00E869AD" w:rsidRPr="00640820" w:rsidRDefault="00E869AD" w:rsidP="00640820">
      <w:pPr>
        <w:spacing w:after="0" w:line="240" w:lineRule="auto"/>
        <w:jc w:val="both"/>
        <w:rPr>
          <w:rFonts w:ascii="Times New Roman" w:hAnsi="Times New Roman"/>
          <w:color w:val="000000" w:themeColor="text1"/>
          <w:sz w:val="16"/>
          <w:szCs w:val="16"/>
        </w:rPr>
      </w:pPr>
    </w:p>
    <w:p w14:paraId="2CD06D44"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 октября </w:t>
      </w:r>
      <w:r w:rsidRPr="00640820">
        <w:rPr>
          <w:rFonts w:ascii="Times New Roman" w:hAnsi="Times New Roman"/>
          <w:color w:val="000000" w:themeColor="text1"/>
          <w:sz w:val="16"/>
          <w:szCs w:val="16"/>
        </w:rPr>
        <w:t>в 1941 году американцы отклонили предложение Коноэ о встрече с президентом Рузвельтом (14787).</w:t>
      </w:r>
    </w:p>
    <w:p w14:paraId="52FC96A7" w14:textId="77777777" w:rsidR="00E869AD" w:rsidRPr="00640820" w:rsidRDefault="00E869AD" w:rsidP="00640820">
      <w:pPr>
        <w:spacing w:after="0" w:line="240" w:lineRule="auto"/>
        <w:jc w:val="both"/>
        <w:rPr>
          <w:rFonts w:ascii="Times New Roman" w:hAnsi="Times New Roman"/>
          <w:color w:val="000000" w:themeColor="text1"/>
          <w:sz w:val="16"/>
          <w:szCs w:val="16"/>
        </w:rPr>
      </w:pPr>
    </w:p>
    <w:p w14:paraId="3F2C736A"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27546ED1"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8457483" w14:textId="77777777" w:rsidR="00CC5033" w:rsidRPr="00640820" w:rsidRDefault="00CC5033" w:rsidP="00640820">
      <w:pPr>
        <w:pStyle w:val="96"/>
        <w:shd w:val="clear" w:color="auto" w:fill="auto"/>
        <w:spacing w:before="0" w:line="240" w:lineRule="auto"/>
        <w:rPr>
          <w:rStyle w:val="aff5"/>
          <w:rFonts w:ascii="Times New Roman" w:hAnsi="Times New Roman" w:cs="Times New Roman"/>
          <w:i w:val="0"/>
          <w:iCs w:val="0"/>
          <w:color w:val="0070C0"/>
          <w:w w:val="100"/>
        </w:rPr>
      </w:pPr>
      <w:r w:rsidRPr="00640820">
        <w:rPr>
          <w:rStyle w:val="16"/>
          <w:rFonts w:ascii="Times New Roman" w:hAnsi="Times New Roman" w:cs="Times New Roman"/>
          <w:color w:val="0070C0"/>
          <w:spacing w:val="0"/>
          <w:w w:val="100"/>
          <w:u w:val="none"/>
        </w:rPr>
        <w:t>3 октября 1941 г.</w:t>
      </w:r>
      <w:r w:rsidRPr="00640820">
        <w:rPr>
          <w:rStyle w:val="16"/>
          <w:rFonts w:ascii="Times New Roman" w:hAnsi="Times New Roman" w:cs="Times New Roman"/>
          <w:color w:val="0070C0"/>
          <w:spacing w:val="0"/>
          <w:w w:val="100"/>
          <w:u w:val="none"/>
          <w:lang w:val="ru-RU"/>
        </w:rPr>
        <w:t>, у</w:t>
      </w:r>
      <w:r w:rsidRPr="00640820">
        <w:rPr>
          <w:rStyle w:val="16"/>
          <w:rFonts w:ascii="Times New Roman" w:hAnsi="Times New Roman" w:cs="Times New Roman"/>
          <w:color w:val="0070C0"/>
          <w:spacing w:val="0"/>
          <w:w w:val="100"/>
          <w:u w:val="none"/>
        </w:rPr>
        <w:t>читывая перспективу возможного пере</w:t>
      </w:r>
      <w:r w:rsidRPr="00640820">
        <w:rPr>
          <w:rStyle w:val="16"/>
          <w:rFonts w:ascii="Times New Roman" w:hAnsi="Times New Roman" w:cs="Times New Roman"/>
          <w:color w:val="0070C0"/>
          <w:spacing w:val="0"/>
          <w:w w:val="100"/>
          <w:u w:val="none"/>
        </w:rPr>
        <w:softHyphen/>
        <w:t>хода</w:t>
      </w:r>
      <w:r w:rsidRPr="00640820">
        <w:rPr>
          <w:rStyle w:val="aff5"/>
          <w:rFonts w:ascii="Times New Roman" w:hAnsi="Times New Roman" w:cs="Times New Roman"/>
          <w:color w:val="0070C0"/>
          <w:w w:val="100"/>
        </w:rPr>
        <w:t xml:space="preserve"> </w:t>
      </w:r>
      <w:r w:rsidRPr="00640820">
        <w:rPr>
          <w:rStyle w:val="aff5"/>
          <w:rFonts w:ascii="Times New Roman" w:hAnsi="Times New Roman" w:cs="Times New Roman"/>
          <w:i w:val="0"/>
          <w:iCs w:val="0"/>
          <w:color w:val="0070C0"/>
          <w:w w:val="100"/>
        </w:rPr>
        <w:t>«на самолете Ил-2 с мотора АМ-38 на мотор М-82»</w:t>
      </w:r>
      <w:r w:rsidRPr="00640820">
        <w:rPr>
          <w:rStyle w:val="aff5"/>
          <w:rFonts w:ascii="Times New Roman" w:hAnsi="Times New Roman" w:cs="Times New Roman"/>
          <w:color w:val="0070C0"/>
          <w:w w:val="100"/>
        </w:rPr>
        <w:t>,</w:t>
      </w:r>
      <w:r w:rsidRPr="00640820">
        <w:rPr>
          <w:rStyle w:val="16"/>
          <w:rFonts w:ascii="Times New Roman" w:hAnsi="Times New Roman" w:cs="Times New Roman"/>
          <w:color w:val="0070C0"/>
          <w:spacing w:val="0"/>
          <w:w w:val="100"/>
          <w:u w:val="none"/>
        </w:rPr>
        <w:t xml:space="preserve"> заместитель наркома авиапрома Воронин своим распоряжением №Н-37/7139 потребовал от Ильюшина немедленно выслать на заводы №1 и 18 чер</w:t>
      </w:r>
      <w:r w:rsidRPr="00640820">
        <w:rPr>
          <w:rStyle w:val="16"/>
          <w:rFonts w:ascii="Times New Roman" w:hAnsi="Times New Roman" w:cs="Times New Roman"/>
          <w:color w:val="0070C0"/>
          <w:spacing w:val="0"/>
          <w:w w:val="100"/>
          <w:u w:val="none"/>
        </w:rPr>
        <w:softHyphen/>
        <w:t xml:space="preserve">тежи для установки на самолете мотора М-82. Одновременно </w:t>
      </w:r>
      <w:r w:rsidRPr="00640820">
        <w:rPr>
          <w:rStyle w:val="16"/>
          <w:rFonts w:ascii="Times New Roman" w:hAnsi="Times New Roman" w:cs="Times New Roman"/>
          <w:color w:val="0070C0"/>
          <w:spacing w:val="0"/>
          <w:w w:val="100"/>
          <w:u w:val="none"/>
        </w:rPr>
        <w:lastRenderedPageBreak/>
        <w:t>директора этих заводов Тре</w:t>
      </w:r>
      <w:r w:rsidRPr="00640820">
        <w:rPr>
          <w:rStyle w:val="16"/>
          <w:rFonts w:ascii="Times New Roman" w:hAnsi="Times New Roman" w:cs="Times New Roman"/>
          <w:color w:val="0070C0"/>
          <w:spacing w:val="0"/>
          <w:w w:val="100"/>
          <w:u w:val="none"/>
        </w:rPr>
        <w:softHyphen/>
        <w:t>тьяков и Шенкман обязывались</w:t>
      </w:r>
      <w:r w:rsidRPr="00640820">
        <w:rPr>
          <w:rStyle w:val="aff5"/>
          <w:rFonts w:ascii="Times New Roman" w:hAnsi="Times New Roman" w:cs="Times New Roman"/>
          <w:color w:val="0070C0"/>
          <w:w w:val="100"/>
        </w:rPr>
        <w:t xml:space="preserve"> </w:t>
      </w:r>
      <w:r w:rsidRPr="00640820">
        <w:rPr>
          <w:rStyle w:val="aff5"/>
          <w:rFonts w:ascii="Times New Roman" w:hAnsi="Times New Roman" w:cs="Times New Roman"/>
          <w:i w:val="0"/>
          <w:iCs w:val="0"/>
          <w:color w:val="0070C0"/>
          <w:w w:val="100"/>
        </w:rPr>
        <w:t>«вне потока запустить по одному двухместному самолету Ил-2 с мотором М-82 по чертежам Главного конструктора тов. Ильюшина с тем, чтобы ознакомиться с этой работой и быть подго</w:t>
      </w:r>
      <w:r w:rsidRPr="00640820">
        <w:rPr>
          <w:rStyle w:val="aff5"/>
          <w:rFonts w:ascii="Times New Roman" w:hAnsi="Times New Roman" w:cs="Times New Roman"/>
          <w:i w:val="0"/>
          <w:iCs w:val="0"/>
          <w:color w:val="0070C0"/>
          <w:w w:val="100"/>
        </w:rPr>
        <w:softHyphen/>
        <w:t>товленным к переходу на мотор М-82 в серий</w:t>
      </w:r>
      <w:r w:rsidRPr="00640820">
        <w:rPr>
          <w:rStyle w:val="aff5"/>
          <w:rFonts w:ascii="Times New Roman" w:hAnsi="Times New Roman" w:cs="Times New Roman"/>
          <w:i w:val="0"/>
          <w:iCs w:val="0"/>
          <w:color w:val="0070C0"/>
          <w:w w:val="100"/>
        </w:rPr>
        <w:softHyphen/>
        <w:t>ном производстве»</w:t>
      </w:r>
      <w:r w:rsidRPr="00640820">
        <w:rPr>
          <w:rStyle w:val="aff5"/>
          <w:rFonts w:ascii="Times New Roman" w:hAnsi="Times New Roman" w:cs="Times New Roman"/>
          <w:i w:val="0"/>
          <w:iCs w:val="0"/>
          <w:color w:val="0070C0"/>
          <w:w w:val="100"/>
          <w:lang w:val="ru-RU"/>
        </w:rPr>
        <w:t xml:space="preserve"> (19877)</w:t>
      </w:r>
      <w:r w:rsidRPr="00640820">
        <w:rPr>
          <w:rStyle w:val="aff5"/>
          <w:rFonts w:ascii="Times New Roman" w:hAnsi="Times New Roman" w:cs="Times New Roman"/>
          <w:i w:val="0"/>
          <w:iCs w:val="0"/>
          <w:color w:val="0070C0"/>
          <w:w w:val="100"/>
        </w:rPr>
        <w:t>.</w:t>
      </w:r>
    </w:p>
    <w:p w14:paraId="4B93BDED" w14:textId="77777777" w:rsidR="00CC5033" w:rsidRPr="00640820" w:rsidRDefault="00CC5033" w:rsidP="00640820">
      <w:pPr>
        <w:pStyle w:val="96"/>
        <w:shd w:val="clear" w:color="auto" w:fill="auto"/>
        <w:spacing w:before="0" w:line="240" w:lineRule="auto"/>
        <w:rPr>
          <w:rFonts w:ascii="Times New Roman" w:hAnsi="Times New Roman" w:cs="Times New Roman"/>
          <w:color w:val="0070C0"/>
          <w:w w:val="100"/>
          <w:sz w:val="16"/>
          <w:szCs w:val="16"/>
        </w:rPr>
      </w:pPr>
    </w:p>
    <w:p w14:paraId="6D2C227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октября 1941 Шахурин приказал Третьякову срочно вылететь в Куйбышев и возглавить работы по быстрейшему вве</w:t>
      </w:r>
      <w:r w:rsidRPr="00640820">
        <w:rPr>
          <w:rFonts w:ascii="Times New Roman" w:hAnsi="Times New Roman"/>
          <w:color w:val="000000" w:themeColor="text1"/>
          <w:sz w:val="16"/>
          <w:szCs w:val="16"/>
        </w:rPr>
        <w:softHyphen/>
        <w:t>дению предприятия в строй действующих. Вместе с директором были командированы виднейшие специ</w:t>
      </w:r>
      <w:r w:rsidRPr="00640820">
        <w:rPr>
          <w:rFonts w:ascii="Times New Roman" w:hAnsi="Times New Roman"/>
          <w:color w:val="000000" w:themeColor="text1"/>
          <w:sz w:val="16"/>
          <w:szCs w:val="16"/>
        </w:rPr>
        <w:softHyphen/>
        <w:t>алисты завода и ОКБ Микояна: С.А.Этчин, Н.А.Ша пиро, В.А.Ромодин и др. По приказу наркома, Штейнберга временно назначили заместителем Тре</w:t>
      </w:r>
      <w:r w:rsidRPr="00640820">
        <w:rPr>
          <w:rFonts w:ascii="Times New Roman" w:hAnsi="Times New Roman"/>
          <w:color w:val="000000" w:themeColor="text1"/>
          <w:sz w:val="16"/>
          <w:szCs w:val="16"/>
        </w:rPr>
        <w:softHyphen/>
        <w:t>тьякова (9984).</w:t>
      </w:r>
    </w:p>
    <w:p w14:paraId="51320CB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1E7C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октября 1941 г. нарком Шахурин приказал Третьякову срочно вылететь в Куйбышев и возглавить работы по быстрейшему введению предприятия в строй действующих. Вместе с директором были командированы виднейшие специалисты завода и ОКБ Микояна, в том числе С.А. Этчин, Н.А. Шапиро, В.А. Ромодин и др. (12045).</w:t>
      </w:r>
    </w:p>
    <w:p w14:paraId="14A8B6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75FB7E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октября 1941 года состоялось заседание макетной комиссии по двухмоторному двухместному бро</w:t>
      </w:r>
      <w:r w:rsidRPr="00640820">
        <w:rPr>
          <w:rFonts w:ascii="Times New Roman" w:hAnsi="Times New Roman"/>
          <w:color w:val="000000" w:themeColor="text1"/>
          <w:sz w:val="16"/>
          <w:szCs w:val="16"/>
        </w:rPr>
        <w:softHyphen/>
        <w:t>нированному штурмовику (ДДБШ). В процессе обсуждения макета не</w:t>
      </w:r>
      <w:r w:rsidRPr="00640820">
        <w:rPr>
          <w:rFonts w:ascii="Times New Roman" w:hAnsi="Times New Roman"/>
          <w:color w:val="000000" w:themeColor="text1"/>
          <w:sz w:val="16"/>
          <w:szCs w:val="16"/>
        </w:rPr>
        <w:softHyphen/>
        <w:t>которые члены комиссии высказа</w:t>
      </w:r>
      <w:r w:rsidRPr="00640820">
        <w:rPr>
          <w:rFonts w:ascii="Times New Roman" w:hAnsi="Times New Roman"/>
          <w:color w:val="000000" w:themeColor="text1"/>
          <w:sz w:val="16"/>
          <w:szCs w:val="16"/>
        </w:rPr>
        <w:softHyphen/>
        <w:t>ли сомнение в возможности и це</w:t>
      </w:r>
      <w:r w:rsidRPr="00640820">
        <w:rPr>
          <w:rFonts w:ascii="Times New Roman" w:hAnsi="Times New Roman"/>
          <w:color w:val="000000" w:themeColor="text1"/>
          <w:sz w:val="16"/>
          <w:szCs w:val="16"/>
        </w:rPr>
        <w:softHyphen/>
        <w:t>лесообразности применения этого самолета в качестве штурмовика. Отвечая оппонентам, П.О.Сухой отметил:</w:t>
      </w:r>
    </w:p>
    <w:p w14:paraId="1E1FD1D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«Мы пытались скомпоно</w:t>
      </w:r>
      <w:r w:rsidRPr="00640820">
        <w:rPr>
          <w:rFonts w:ascii="Times New Roman" w:hAnsi="Times New Roman"/>
          <w:color w:val="000000" w:themeColor="text1"/>
          <w:sz w:val="16"/>
          <w:szCs w:val="16"/>
        </w:rPr>
        <w:softHyphen/>
        <w:t>вать одномоторный штурмовик с большим пушечным вооружением. Но сочетать в одномоторной ма</w:t>
      </w:r>
      <w:r w:rsidRPr="00640820">
        <w:rPr>
          <w:rFonts w:ascii="Times New Roman" w:hAnsi="Times New Roman"/>
          <w:color w:val="000000" w:themeColor="text1"/>
          <w:sz w:val="16"/>
          <w:szCs w:val="16"/>
        </w:rPr>
        <w:softHyphen/>
        <w:t>шине скорость с мощным вооруже</w:t>
      </w:r>
      <w:r w:rsidRPr="00640820">
        <w:rPr>
          <w:rFonts w:ascii="Times New Roman" w:hAnsi="Times New Roman"/>
          <w:color w:val="000000" w:themeColor="text1"/>
          <w:sz w:val="16"/>
          <w:szCs w:val="16"/>
        </w:rPr>
        <w:softHyphen/>
        <w:t>нием не представляется возможным. Надо, кроме того, смотреть даль</w:t>
      </w:r>
      <w:r w:rsidRPr="00640820">
        <w:rPr>
          <w:rFonts w:ascii="Times New Roman" w:hAnsi="Times New Roman"/>
          <w:color w:val="000000" w:themeColor="text1"/>
          <w:sz w:val="16"/>
          <w:szCs w:val="16"/>
        </w:rPr>
        <w:softHyphen/>
        <w:t>ше. Надо иметь возможность поста</w:t>
      </w:r>
      <w:r w:rsidRPr="00640820">
        <w:rPr>
          <w:rFonts w:ascii="Times New Roman" w:hAnsi="Times New Roman"/>
          <w:color w:val="000000" w:themeColor="text1"/>
          <w:sz w:val="16"/>
          <w:szCs w:val="16"/>
        </w:rPr>
        <w:softHyphen/>
        <w:t>вить на самолет пушки большего калибра, чем теперешние. Это пуш</w:t>
      </w:r>
      <w:r w:rsidRPr="00640820">
        <w:rPr>
          <w:rFonts w:ascii="Times New Roman" w:hAnsi="Times New Roman"/>
          <w:color w:val="000000" w:themeColor="text1"/>
          <w:sz w:val="16"/>
          <w:szCs w:val="16"/>
        </w:rPr>
        <w:softHyphen/>
        <w:t>ки 45 мм и даже 75 мм. На одномо</w:t>
      </w:r>
      <w:r w:rsidRPr="00640820">
        <w:rPr>
          <w:rFonts w:ascii="Times New Roman" w:hAnsi="Times New Roman"/>
          <w:color w:val="000000" w:themeColor="text1"/>
          <w:sz w:val="16"/>
          <w:szCs w:val="16"/>
        </w:rPr>
        <w:softHyphen/>
        <w:t>торной машине провести такую замену пушек будет невозможно. Отсюда появился второй мотор. Мы говорим о машине завтрашнего дня. Если такой самолет нам нужен, а мое мнение - нужен, то прошу выс</w:t>
      </w:r>
      <w:r w:rsidRPr="00640820">
        <w:rPr>
          <w:rFonts w:ascii="Times New Roman" w:hAnsi="Times New Roman"/>
          <w:color w:val="000000" w:themeColor="text1"/>
          <w:sz w:val="16"/>
          <w:szCs w:val="16"/>
        </w:rPr>
        <w:softHyphen/>
        <w:t>казаться».</w:t>
      </w:r>
    </w:p>
    <w:p w14:paraId="45C12D2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Главного конструктора поддер</w:t>
      </w:r>
      <w:r w:rsidRPr="00640820">
        <w:rPr>
          <w:rFonts w:ascii="Times New Roman" w:hAnsi="Times New Roman"/>
          <w:color w:val="000000" w:themeColor="text1"/>
          <w:sz w:val="16"/>
          <w:szCs w:val="16"/>
        </w:rPr>
        <w:softHyphen/>
        <w:t>жал председатель макетной комис</w:t>
      </w:r>
      <w:r w:rsidRPr="00640820">
        <w:rPr>
          <w:rFonts w:ascii="Times New Roman" w:hAnsi="Times New Roman"/>
          <w:color w:val="000000" w:themeColor="text1"/>
          <w:sz w:val="16"/>
          <w:szCs w:val="16"/>
        </w:rPr>
        <w:softHyphen/>
        <w:t>сии генерал-майор ИАС С.Н.Шиш</w:t>
      </w:r>
      <w:r w:rsidRPr="00640820">
        <w:rPr>
          <w:rFonts w:ascii="Times New Roman" w:hAnsi="Times New Roman"/>
          <w:color w:val="000000" w:themeColor="text1"/>
          <w:sz w:val="16"/>
          <w:szCs w:val="16"/>
        </w:rPr>
        <w:softHyphen/>
        <w:t>кин:</w:t>
      </w:r>
    </w:p>
    <w:p w14:paraId="1EEDC5B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«Прежде всего, надо сказать, что двухмоторный штурмовик нам нужен. Теперь конкретнее о ДДБШ. Скорость мы получили. Дальность для штурмовика достаточная - она в 2 раза превышает дальность со</w:t>
      </w:r>
      <w:r w:rsidRPr="00640820">
        <w:rPr>
          <w:rFonts w:ascii="Times New Roman" w:hAnsi="Times New Roman"/>
          <w:color w:val="000000" w:themeColor="text1"/>
          <w:sz w:val="16"/>
          <w:szCs w:val="16"/>
        </w:rPr>
        <w:softHyphen/>
        <w:t>временного штурмовика. Мощность огня, по сравнению с другими ма</w:t>
      </w:r>
      <w:r w:rsidRPr="00640820">
        <w:rPr>
          <w:rFonts w:ascii="Times New Roman" w:hAnsi="Times New Roman"/>
          <w:color w:val="000000" w:themeColor="text1"/>
          <w:sz w:val="16"/>
          <w:szCs w:val="16"/>
        </w:rPr>
        <w:softHyphen/>
        <w:t>шинами увеличена, но все же не достаточна. Огневая мощь должна быть увеличена еще более. Можно приветствовать установку РС. Это вооружение прекрасно себя заре</w:t>
      </w:r>
      <w:r w:rsidRPr="00640820">
        <w:rPr>
          <w:rFonts w:ascii="Times New Roman" w:hAnsi="Times New Roman"/>
          <w:color w:val="000000" w:themeColor="text1"/>
          <w:sz w:val="16"/>
          <w:szCs w:val="16"/>
        </w:rPr>
        <w:softHyphen/>
        <w:t>комендовало. Задняя люковая уста</w:t>
      </w:r>
      <w:r w:rsidRPr="00640820">
        <w:rPr>
          <w:rFonts w:ascii="Times New Roman" w:hAnsi="Times New Roman"/>
          <w:color w:val="000000" w:themeColor="text1"/>
          <w:sz w:val="16"/>
          <w:szCs w:val="16"/>
        </w:rPr>
        <w:softHyphen/>
        <w:t>новка нужна. Это необходимая вещь, даже в том случае, если стре</w:t>
      </w:r>
      <w:r w:rsidRPr="00640820">
        <w:rPr>
          <w:rFonts w:ascii="Times New Roman" w:hAnsi="Times New Roman"/>
          <w:color w:val="000000" w:themeColor="text1"/>
          <w:sz w:val="16"/>
          <w:szCs w:val="16"/>
        </w:rPr>
        <w:softHyphen/>
        <w:t>лять придется ногой. Надо обратить внимание на удобство работы стрелка. Если бы мы дали обстрел на 200 °, то облегчили бы его положение. Баки бронировать не надо. Надо бронировать мотор, хотя бы только снизу.</w:t>
      </w:r>
    </w:p>
    <w:p w14:paraId="22C6350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Тов. Сухому необходимо проду</w:t>
      </w:r>
      <w:r w:rsidRPr="00640820">
        <w:rPr>
          <w:rFonts w:ascii="Times New Roman" w:hAnsi="Times New Roman"/>
          <w:color w:val="000000" w:themeColor="text1"/>
          <w:sz w:val="16"/>
          <w:szCs w:val="16"/>
        </w:rPr>
        <w:softHyphen/>
        <w:t>мать вопрос об увеличении мощ</w:t>
      </w:r>
      <w:r w:rsidRPr="00640820">
        <w:rPr>
          <w:rFonts w:ascii="Times New Roman" w:hAnsi="Times New Roman"/>
          <w:color w:val="000000" w:themeColor="text1"/>
          <w:sz w:val="16"/>
          <w:szCs w:val="16"/>
        </w:rPr>
        <w:softHyphen/>
        <w:t>ности огня и учесть другие осуще</w:t>
      </w:r>
      <w:r w:rsidRPr="00640820">
        <w:rPr>
          <w:rFonts w:ascii="Times New Roman" w:hAnsi="Times New Roman"/>
          <w:color w:val="000000" w:themeColor="text1"/>
          <w:sz w:val="16"/>
          <w:szCs w:val="16"/>
        </w:rPr>
        <w:softHyphen/>
        <w:t>ствляемые предложения, которые здесь высказаны...» (11853).</w:t>
      </w:r>
    </w:p>
    <w:p w14:paraId="28ED0E9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553715" w14:textId="77777777" w:rsidR="00DE6D2C" w:rsidRPr="00640820" w:rsidRDefault="00DE6D2C"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3 октября 1941 на заводе № 289 («Подлипки» Ярос</w:t>
      </w:r>
      <w:r w:rsidRPr="00640820">
        <w:rPr>
          <w:color w:val="000000" w:themeColor="text1"/>
          <w:sz w:val="16"/>
          <w:szCs w:val="16"/>
        </w:rPr>
        <w:softHyphen/>
        <w:t>лавской жел. дор.) под председательством заме</w:t>
      </w:r>
      <w:r w:rsidRPr="00640820">
        <w:rPr>
          <w:color w:val="000000" w:themeColor="text1"/>
          <w:sz w:val="16"/>
          <w:szCs w:val="16"/>
        </w:rPr>
        <w:softHyphen/>
        <w:t>стителя начальника ГУ ВВС КА генерал-майора С. Н. Шишкина состоялось заседание макетной ко</w:t>
      </w:r>
      <w:r w:rsidRPr="00640820">
        <w:rPr>
          <w:color w:val="000000" w:themeColor="text1"/>
          <w:sz w:val="16"/>
          <w:szCs w:val="16"/>
        </w:rPr>
        <w:softHyphen/>
        <w:t>миссии по ДДБШ.</w:t>
      </w:r>
    </w:p>
    <w:p w14:paraId="452EE902" w14:textId="77777777" w:rsidR="00DE6D2C" w:rsidRPr="00640820" w:rsidRDefault="00DE6D2C"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В числе присутствующих членов комиссии значились: начальник НИИ ВВС бригинженер Фе</w:t>
      </w:r>
      <w:r w:rsidRPr="00640820">
        <w:rPr>
          <w:color w:val="000000" w:themeColor="text1"/>
          <w:sz w:val="16"/>
          <w:szCs w:val="16"/>
        </w:rPr>
        <w:softHyphen/>
        <w:t>доров (заместитель председателя), генерал-май</w:t>
      </w:r>
      <w:r w:rsidRPr="00640820">
        <w:rPr>
          <w:color w:val="000000" w:themeColor="text1"/>
          <w:sz w:val="16"/>
          <w:szCs w:val="16"/>
        </w:rPr>
        <w:softHyphen/>
        <w:t>ор Данилин, бригинженеры Гребенев и Бибиков, полковник Баньковский, военинженеры 1-го ранга Матаев, Сафронов, Павлючук и Воротников, майор Шименас, военинженеры 2-го ранга Яськов, Магон, Романов, Сигошин, Рыжаев, Абашин, капитан Коро</w:t>
      </w:r>
      <w:r w:rsidRPr="00640820">
        <w:rPr>
          <w:color w:val="000000" w:themeColor="text1"/>
          <w:sz w:val="16"/>
          <w:szCs w:val="16"/>
        </w:rPr>
        <w:softHyphen/>
        <w:t>бов и военинженер 3-го ранга Вершило.</w:t>
      </w:r>
    </w:p>
    <w:p w14:paraId="33ADDD66" w14:textId="77777777" w:rsidR="00DE6D2C" w:rsidRPr="00640820" w:rsidRDefault="00DE6D2C"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В ходе обсуждения макета самолета разгоре</w:t>
      </w:r>
      <w:r w:rsidRPr="00640820">
        <w:rPr>
          <w:color w:val="000000" w:themeColor="text1"/>
          <w:sz w:val="16"/>
          <w:szCs w:val="16"/>
        </w:rPr>
        <w:softHyphen/>
        <w:t>лась дискуссия о целесообразности и возможности боевого применения такого самолета. Учитывая реалии воздушных боев на фронте и состояния советской авиапромышленности, предлагалось со</w:t>
      </w:r>
      <w:r w:rsidRPr="00640820">
        <w:rPr>
          <w:color w:val="000000" w:themeColor="text1"/>
          <w:sz w:val="16"/>
          <w:szCs w:val="16"/>
        </w:rPr>
        <w:softHyphen/>
        <w:t>средоточить усилия на разработке одномоторного одноместного штурмовика с центральным располо</w:t>
      </w:r>
      <w:r w:rsidRPr="00640820">
        <w:rPr>
          <w:color w:val="000000" w:themeColor="text1"/>
          <w:sz w:val="16"/>
          <w:szCs w:val="16"/>
        </w:rPr>
        <w:softHyphen/>
        <w:t>жением вооружения как более дешевого и просто</w:t>
      </w:r>
      <w:r w:rsidRPr="00640820">
        <w:rPr>
          <w:color w:val="000000" w:themeColor="text1"/>
          <w:sz w:val="16"/>
          <w:szCs w:val="16"/>
        </w:rPr>
        <w:softHyphen/>
        <w:t>го в производстве. В своем выступлении по этому вопросу П. О. Сухой отмечал: «Мы пытались ском</w:t>
      </w:r>
      <w:r w:rsidRPr="00640820">
        <w:rPr>
          <w:color w:val="000000" w:themeColor="text1"/>
          <w:sz w:val="16"/>
          <w:szCs w:val="16"/>
        </w:rPr>
        <w:softHyphen/>
        <w:t>поновать одномоторный штурмовик с большим пушечным вооружением. Но сочетать в одномо</w:t>
      </w:r>
      <w:r w:rsidRPr="00640820">
        <w:rPr>
          <w:color w:val="000000" w:themeColor="text1"/>
          <w:sz w:val="16"/>
          <w:szCs w:val="16"/>
        </w:rPr>
        <w:softHyphen/>
        <w:t>торной машине скорость с мощным вооружением не представляется возможным. Надо, кроме того, смотреть дальше. Надо иметь возможность поста</w:t>
      </w:r>
      <w:r w:rsidRPr="00640820">
        <w:rPr>
          <w:color w:val="000000" w:themeColor="text1"/>
          <w:sz w:val="16"/>
          <w:szCs w:val="16"/>
        </w:rPr>
        <w:softHyphen/>
        <w:t>вить на самолет пушки большего калибра, чем те</w:t>
      </w:r>
      <w:r w:rsidRPr="00640820">
        <w:rPr>
          <w:color w:val="000000" w:themeColor="text1"/>
          <w:sz w:val="16"/>
          <w:szCs w:val="16"/>
        </w:rPr>
        <w:softHyphen/>
        <w:t>перешние. Это пушки 45 мм и даже 75 мм. На одно</w:t>
      </w:r>
      <w:r w:rsidRPr="00640820">
        <w:rPr>
          <w:color w:val="000000" w:themeColor="text1"/>
          <w:sz w:val="16"/>
          <w:szCs w:val="16"/>
        </w:rPr>
        <w:softHyphen/>
        <w:t>моторной машине провести такую замену пушек будет невозможно. Отсюда появился второй мотор. Мы говорим о машине завтрашнего дня. Если такой самолет нам нужен, а мое мнение — нужен, то про</w:t>
      </w:r>
      <w:r w:rsidRPr="00640820">
        <w:rPr>
          <w:color w:val="000000" w:themeColor="text1"/>
          <w:sz w:val="16"/>
          <w:szCs w:val="16"/>
        </w:rPr>
        <w:softHyphen/>
        <w:t>шу высказаться».</w:t>
      </w:r>
    </w:p>
    <w:p w14:paraId="30136C92" w14:textId="77777777" w:rsidR="00DE6D2C" w:rsidRPr="00640820" w:rsidRDefault="00DE6D2C"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Сухого поддержал генерал Шишкин: «Прежде всего, надо сказать, что двухмоторный штурмовик нам нужен. Теперь конкретнее о ДДБШ. Скорость мы получили. Дальность для штурмовика достаточ</w:t>
      </w:r>
      <w:r w:rsidRPr="00640820">
        <w:rPr>
          <w:color w:val="000000" w:themeColor="text1"/>
          <w:sz w:val="16"/>
          <w:szCs w:val="16"/>
        </w:rPr>
        <w:softHyphen/>
        <w:t>ная — она в 2 раза превышает дальность современ</w:t>
      </w:r>
      <w:r w:rsidRPr="00640820">
        <w:rPr>
          <w:color w:val="000000" w:themeColor="text1"/>
          <w:sz w:val="16"/>
          <w:szCs w:val="16"/>
        </w:rPr>
        <w:softHyphen/>
        <w:t>ного штурмовика. Мощность огня по сравнению с другими машинами увеличена, но все же недоста</w:t>
      </w:r>
      <w:r w:rsidRPr="00640820">
        <w:rPr>
          <w:color w:val="000000" w:themeColor="text1"/>
          <w:sz w:val="16"/>
          <w:szCs w:val="16"/>
        </w:rPr>
        <w:softHyphen/>
        <w:t>точна. Огневая мощь должна быть увеличена еще более. Можно приветствовать установку РС. Это во</w:t>
      </w:r>
      <w:r w:rsidRPr="00640820">
        <w:rPr>
          <w:color w:val="000000" w:themeColor="text1"/>
          <w:sz w:val="16"/>
          <w:szCs w:val="16"/>
        </w:rPr>
        <w:softHyphen/>
        <w:t>оружение прекрасно себя зарекомендовало. Задняя люковая установка нужна. Это необходимая вещь, даже в том случае, если стрелять придется ногой. Надо обратить внимание на удобство работы стрел</w:t>
      </w:r>
      <w:r w:rsidRPr="00640820">
        <w:rPr>
          <w:color w:val="000000" w:themeColor="text1"/>
          <w:sz w:val="16"/>
          <w:szCs w:val="16"/>
        </w:rPr>
        <w:softHyphen/>
        <w:t>ка. Если бы мы дали обстрел на 200°, то облегчили бы его положение. Баки бронировать не надо. Надо бронировать мотор, хотя бы только снизу. Тов. Су</w:t>
      </w:r>
      <w:r w:rsidRPr="00640820">
        <w:rPr>
          <w:color w:val="000000" w:themeColor="text1"/>
          <w:sz w:val="16"/>
          <w:szCs w:val="16"/>
        </w:rPr>
        <w:softHyphen/>
        <w:t>хому необходимо продумать вопрос об увеличении мощности огня и учесть другие осуществляемые предложения, которые здесь высказаны».</w:t>
      </w:r>
    </w:p>
    <w:p w14:paraId="7438E0B2" w14:textId="77777777" w:rsidR="00DE6D2C" w:rsidRPr="00640820" w:rsidRDefault="00DE6D2C"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Наиболее рациональным виделось вооруже</w:t>
      </w:r>
      <w:r w:rsidRPr="00640820">
        <w:rPr>
          <w:color w:val="000000" w:themeColor="text1"/>
          <w:sz w:val="16"/>
          <w:szCs w:val="16"/>
        </w:rPr>
        <w:softHyphen/>
        <w:t>ние штурмовика в составе 3 пушек калибра 37 мм в нижней части фюзеляжа, 8 пулеметов нормаль</w:t>
      </w:r>
      <w:r w:rsidRPr="00640820">
        <w:rPr>
          <w:color w:val="000000" w:themeColor="text1"/>
          <w:sz w:val="16"/>
          <w:szCs w:val="16"/>
        </w:rPr>
        <w:softHyphen/>
        <w:t>ного калибра в крыле (или столько же пулеметов калибра 12,7 мм), 10 ракетных орудий РО-132 (или РО-82) и 1000 кг бомб. Оборонительные установки необходимо было перевести на крупнокалиберное оружие.</w:t>
      </w:r>
    </w:p>
    <w:p w14:paraId="45110DB1" w14:textId="77777777" w:rsidR="00DE6D2C" w:rsidRPr="00640820" w:rsidRDefault="00DE6D2C"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Одновременно предлагалось проработать во</w:t>
      </w:r>
      <w:r w:rsidRPr="00640820">
        <w:rPr>
          <w:color w:val="000000" w:themeColor="text1"/>
          <w:sz w:val="16"/>
          <w:szCs w:val="16"/>
        </w:rPr>
        <w:softHyphen/>
        <w:t>прос применения самолета в качестве брони</w:t>
      </w:r>
      <w:r w:rsidRPr="00640820">
        <w:rPr>
          <w:color w:val="000000" w:themeColor="text1"/>
          <w:sz w:val="16"/>
          <w:szCs w:val="16"/>
        </w:rPr>
        <w:softHyphen/>
        <w:t>рованного пикирующего бомбардировщика, что «делает самолет целеустремленным», а также рас</w:t>
      </w:r>
      <w:r w:rsidRPr="00640820">
        <w:rPr>
          <w:color w:val="000000" w:themeColor="text1"/>
          <w:sz w:val="16"/>
          <w:szCs w:val="16"/>
        </w:rPr>
        <w:softHyphen/>
        <w:t>смотреть возможность перехода к серийным мото</w:t>
      </w:r>
      <w:r w:rsidRPr="00640820">
        <w:rPr>
          <w:color w:val="000000" w:themeColor="text1"/>
          <w:sz w:val="16"/>
          <w:szCs w:val="16"/>
        </w:rPr>
        <w:softHyphen/>
        <w:t>рам М-82.</w:t>
      </w:r>
    </w:p>
    <w:p w14:paraId="3A47110C" w14:textId="77777777" w:rsidR="00DE6D2C" w:rsidRPr="00640820" w:rsidRDefault="00DE6D2C"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В решении протокола макетной комиссии ука</w:t>
      </w:r>
      <w:r w:rsidRPr="00640820">
        <w:rPr>
          <w:color w:val="000000" w:themeColor="text1"/>
          <w:sz w:val="16"/>
          <w:szCs w:val="16"/>
        </w:rPr>
        <w:softHyphen/>
        <w:t>зывалось: «Комиссия считает целесообразным про</w:t>
      </w:r>
      <w:r w:rsidRPr="00640820">
        <w:rPr>
          <w:color w:val="000000" w:themeColor="text1"/>
          <w:sz w:val="16"/>
          <w:szCs w:val="16"/>
        </w:rPr>
        <w:softHyphen/>
        <w:t>должение работ т. Сухого по его самолету ДДБШ как по типу бронированного штурмовика с исполь</w:t>
      </w:r>
      <w:r w:rsidRPr="00640820">
        <w:rPr>
          <w:color w:val="000000" w:themeColor="text1"/>
          <w:sz w:val="16"/>
          <w:szCs w:val="16"/>
        </w:rPr>
        <w:softHyphen/>
        <w:t>зованием самолета в варианте бронированного пикирующего бомбардировщика. Макет самоле</w:t>
      </w:r>
      <w:r w:rsidRPr="00640820">
        <w:rPr>
          <w:color w:val="000000" w:themeColor="text1"/>
          <w:sz w:val="16"/>
          <w:szCs w:val="16"/>
        </w:rPr>
        <w:softHyphen/>
        <w:t>та с внесенными изменениями комиссия считает возможным утвердить, рассмотрев дополнитель</w:t>
      </w:r>
      <w:r w:rsidRPr="00640820">
        <w:rPr>
          <w:color w:val="000000" w:themeColor="text1"/>
          <w:sz w:val="16"/>
          <w:szCs w:val="16"/>
        </w:rPr>
        <w:softHyphen/>
        <w:t>но вопрос о вооружении самолета. Конструктору тов. Сухому необходимо представить в НИИ ВВС Красной Армии соображения об увеличении на самолете количества оружия, его калибров и бое</w:t>
      </w:r>
      <w:r w:rsidRPr="00640820">
        <w:rPr>
          <w:color w:val="000000" w:themeColor="text1"/>
          <w:sz w:val="16"/>
          <w:szCs w:val="16"/>
        </w:rPr>
        <w:softHyphen/>
        <w:t>запаса» (17500).</w:t>
      </w:r>
    </w:p>
    <w:p w14:paraId="5365D9B7" w14:textId="77777777" w:rsidR="00DE6D2C" w:rsidRPr="00640820" w:rsidRDefault="00DE6D2C" w:rsidP="00640820">
      <w:pPr>
        <w:spacing w:after="0" w:line="240" w:lineRule="auto"/>
        <w:jc w:val="both"/>
        <w:rPr>
          <w:rFonts w:ascii="Times New Roman" w:eastAsia="Times New Roman" w:hAnsi="Times New Roman"/>
          <w:color w:val="000000" w:themeColor="text1"/>
          <w:sz w:val="16"/>
          <w:szCs w:val="16"/>
          <w:lang w:eastAsia="ru-RU"/>
        </w:rPr>
      </w:pPr>
    </w:p>
    <w:p w14:paraId="055E31F4" w14:textId="77777777" w:rsidR="00FD1870" w:rsidRPr="00640820" w:rsidRDefault="00FD1870" w:rsidP="00640820">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3 октября 1941 г., учитывая перспективу возможного перехода на самолете Ил-2 с мотора АМ-38 на мотор М-82, заместитель наркома авиапрома Воронин распоряже</w:t>
      </w:r>
      <w:r w:rsidRPr="00640820">
        <w:rPr>
          <w:rFonts w:ascii="Times New Roman" w:hAnsi="Times New Roman" w:cs="Times New Roman"/>
          <w:color w:val="000000" w:themeColor="text1"/>
          <w:sz w:val="16"/>
          <w:szCs w:val="16"/>
        </w:rPr>
        <w:softHyphen/>
        <w:t>нием от потребовал от Ильюшина немедленно выслать на за</w:t>
      </w:r>
      <w:r w:rsidRPr="00640820">
        <w:rPr>
          <w:rFonts w:ascii="Times New Roman" w:hAnsi="Times New Roman" w:cs="Times New Roman"/>
          <w:color w:val="000000" w:themeColor="text1"/>
          <w:sz w:val="16"/>
          <w:szCs w:val="16"/>
        </w:rPr>
        <w:softHyphen/>
        <w:t>воды №№ 1 и 18 чертежи для установки на Ил-2 мотора М-82. Одновременно директора этих заводов Третьяков и Шенкман обязывались «вне потока запу</w:t>
      </w:r>
      <w:r w:rsidRPr="00640820">
        <w:rPr>
          <w:rFonts w:ascii="Times New Roman" w:hAnsi="Times New Roman" w:cs="Times New Roman"/>
          <w:color w:val="000000" w:themeColor="text1"/>
          <w:sz w:val="16"/>
          <w:szCs w:val="16"/>
        </w:rPr>
        <w:softHyphen/>
        <w:t>стить по одному двухместному самолету Ил-2 с мотором М-82 по чертежам Главного конструктора тов. Ильюшина с тем, чтобы ознакомиться с этой работой и быть подготовленным к переходу на мотор М-82 в серийном производстве».</w:t>
      </w:r>
    </w:p>
    <w:p w14:paraId="09AF0368" w14:textId="77777777" w:rsidR="00FD1870" w:rsidRPr="00640820" w:rsidRDefault="00FD1870" w:rsidP="00640820">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Здесь следует сказать, что еще до окончания заводских испытаний прика</w:t>
      </w:r>
      <w:r w:rsidRPr="00640820">
        <w:rPr>
          <w:rFonts w:ascii="Times New Roman" w:hAnsi="Times New Roman" w:cs="Times New Roman"/>
          <w:color w:val="000000" w:themeColor="text1"/>
          <w:sz w:val="16"/>
          <w:szCs w:val="16"/>
        </w:rPr>
        <w:softHyphen/>
        <w:t>зом НКАП от 3 сентября 1941 г. Ильюшин обязывался к 10 октября подготовить чер</w:t>
      </w:r>
      <w:r w:rsidRPr="00640820">
        <w:rPr>
          <w:rFonts w:ascii="Times New Roman" w:hAnsi="Times New Roman" w:cs="Times New Roman"/>
          <w:color w:val="000000" w:themeColor="text1"/>
          <w:sz w:val="16"/>
          <w:szCs w:val="16"/>
        </w:rPr>
        <w:softHyphen/>
        <w:t>тежи в обеспечение запуска в серийное производство самолета Ил-2 М-82 (19111).</w:t>
      </w:r>
    </w:p>
    <w:p w14:paraId="1A22753D" w14:textId="77777777" w:rsidR="00FD1870" w:rsidRPr="00640820" w:rsidRDefault="00FD1870" w:rsidP="00640820">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36F871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октября 1941 года парторг ЦК ВКП(б) на заводе N 39 Кучур писал письмо секретарю ЦК ВКП(б) Маленкову.</w:t>
      </w:r>
    </w:p>
    <w:p w14:paraId="7424AC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"Шахурину, Петрову. Для сведения. На каком основании Жаров вмешивается не в свое дело? Надо с этим покончить. 3/Х-41 г. Маленков".</w:t>
      </w:r>
    </w:p>
    <w:p w14:paraId="3DEA65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Парторг ЦК ВКП(б) на заводе N 39 Кучур В.А.</w:t>
      </w:r>
    </w:p>
    <w:p w14:paraId="644B01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Считаю необходимым поставить Вас в известность о следующем: Комитет обороны своим решением от 3 августа с.г. обязал завод N 39 машину "Пе-2" переделать в вариант 2-местного истребителя со следующими тактико-техническими требованиями:</w:t>
      </w:r>
    </w:p>
    <w:p w14:paraId="2C94B7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Снять часть бомбардировочного вооружения, оставив только внешнюю подвеску, что позволяет вместо максимальной бомбовой загрузки 1600 загружать с-т 700 кг.</w:t>
      </w:r>
    </w:p>
    <w:p w14:paraId="606039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Увеличить огневую мощь с-та вперед за счет дополнительной установки, крупнокалиберного пулемета Березина с запасом патрон по 150 штук на каждую точку.</w:t>
      </w:r>
    </w:p>
    <w:p w14:paraId="669B93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Увеличить дальность самолета до 2000 км, вместо имевшихся 1300 км, что потребовало постановки дополнительных бензобаков для увеличения запаса горючего до 2200 литров вместо имевшихся 1500 литров.</w:t>
      </w:r>
    </w:p>
    <w:p w14:paraId="796E55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процессе выполнения этого задания по инициативе завода была дополнительно смонтирована хвостовая пулеметная установка системы ШКАСС с запасом патрон 250 шт. управляемая с кабины штурмана, что было одобрено Наркомом Шахуриным.</w:t>
      </w:r>
    </w:p>
    <w:p w14:paraId="18CC2A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Снять 3-го члена экипажа, снять тормозные щитки, это дало возможность дополнительно снять нижнюю внешнюю надстройку фюзеляжа, что улучшило аэродинамическую форму с-та и увеличило максимальн. скорость его.</w:t>
      </w:r>
    </w:p>
    <w:p w14:paraId="6B74C5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 эти требования заводом были выполнены и в установленный срок машина была сдана на Гос. испытания в НИИ ВВС.</w:t>
      </w:r>
    </w:p>
    <w:p w14:paraId="79D433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закладке в серию этого варианта машины "Пе-3", Комитетом обороны было предложено снять передний пулемет ШКАСС и вместо этого увеличить запас патронов на каждый Березинский пулемет до 250 шт.</w:t>
      </w:r>
    </w:p>
    <w:p w14:paraId="5CC743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процессе выполнения задания на основе постановлений К.О. и учитывая пожелания боевых летчиков не ухудшая аэродинамических качеств и скорости самолета и не уменьшая запасов бензина, завод предложил увеличить огонь вперед сверх заданного К.О. на одну пушку Швак с запасом патронов 250 штук и верхнюю заднюю пулеметную точку Шкас с ограниченными углами обстрела заменить на крупнокалиберный пулемет Березина с магазинным питанием, установленным на турели со значительно увеличенными углами обстрела.</w:t>
      </w:r>
    </w:p>
    <w:p w14:paraId="63830A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Это предложение завода было санкционировано Наркомом и 26 сентября готовый самолет в этом варианте после заводских испытаний был сдан на гос. испытание в НИИ ВВС.</w:t>
      </w:r>
    </w:p>
    <w:p w14:paraId="353646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Параллельно с этим завод N 22 подготовил такого же назначения машину со следующей основной характеристикой.</w:t>
      </w:r>
    </w:p>
    <w:p w14:paraId="7E4569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1. Переднее вооружение состоит из 2-х пушек Швак внизу под фюзеляжем с-та с запасом патрон по 160 штук, одного крупнокалиберного пулемета "Березина" с запасом патронов 150 штук и одного пулемета Шкас с запасом патронов с задней турельной установкой аналогичной, установленной заводом N 39.</w:t>
      </w:r>
    </w:p>
    <w:p w14:paraId="47DFCD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Запас горючего частично увеличен за счет установки дополнительно фюзеляжного бака и частично за счет подвесных наружных баков под центропланом, и при этом положении запас горючего меньше, чем на машине завода N 39. Подвесные баки устанавливаются на держателях внешней бомбовой загрузки, это снижает максимальную бомбовую загрузку на 500 км (200 км вместо 700 возможных на машине з-да N 39).</w:t>
      </w:r>
    </w:p>
    <w:p w14:paraId="6FDB29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Естественно же подвесные баки и установленные под фюзеляжем пушки Швак ухудшают аэродинамические качества с-та и сниж. его максимальную скорость. Больше того в процессе эксплуатации машины потребуется иметь в наличии на каждый с-т несколько к-тов подвесных баков, что усложнит эксплуатацию машины.</w:t>
      </w:r>
    </w:p>
    <w:p w14:paraId="45E04F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официальном разговоре директора завода Абрамова с нач. заказов вооружения ВВС генерал-майором интендантской службы Жаровым, последний заявил, что ими подрабатывается проект решения для правительства о запуске в серию машины типа завода N 22, при этом никаких конкретных отрицательных моментов против машины завода N 39 он выставить не смог, так как официальные испытания этой машины только что начались.</w:t>
      </w:r>
    </w:p>
    <w:p w14:paraId="495035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 со своей стороны считаю, что выбор типа машины для запуска в серию является чрезвычайно серьезным моментом и окончательное решение по этому вопросу может быть вынесено после тщательного испытания и сравнения одного и другого типа машины с сопоставлением их тактико-технических характеристик.</w:t>
      </w:r>
    </w:p>
    <w:p w14:paraId="250F8D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даче этих оценок крайне целесообразно привлечь летно-технический персонал, имеющий боевой опыт эксплуатации этих типов машин в боевых условиях на фронте.</w:t>
      </w:r>
    </w:p>
    <w:p w14:paraId="60A91C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Исходя из всех рассуждений, изложенных выше, по-моему необходимо:</w:t>
      </w:r>
    </w:p>
    <w:p w14:paraId="52B7F4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Форсировать испытание машины з-да N 39.</w:t>
      </w:r>
    </w:p>
    <w:p w14:paraId="762154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Дать сравнительную оценку обоих типов машин.</w:t>
      </w:r>
    </w:p>
    <w:p w14:paraId="77A332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 только после этого выбрать наиболее выгодный тип машины и подготовить решение для правительства по запуску в серию (2191,57).</w:t>
      </w:r>
    </w:p>
    <w:p w14:paraId="4AC890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B6552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(14) октября 1941 Нач. штаба 3 отд. НИИ ВВС КР п Марин-Федоров письмо N 3/0208 Нач. 10 ГУ ВВУ КА, Зам. НКАП, директору завода 21 и ГК 21 в сопровождении отчета по контрольным испытаниям ЛаГГ-3 М-105П 7 серии 21 завода. Вл Чигарев, Ви Таракановский, ви Рабкин (2567,73).</w:t>
      </w:r>
    </w:p>
    <w:p w14:paraId="491C54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EE62A9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октября 1941 инженер-конструктор завода № 22 В.Доронин писал письмо в ЦК ВКП (б) т. Маленкову Г.М. (входящий № 8439 от 4 октября 1941 (особая папка) и НКАП вход. № 7932 от 9 октября 1941)</w:t>
      </w:r>
    </w:p>
    <w:p w14:paraId="3EFD388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Визы:</w:t>
      </w:r>
    </w:p>
    <w:p w14:paraId="136F549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 Шахурину - 3/Х-41</w:t>
      </w:r>
    </w:p>
    <w:p w14:paraId="310BDBE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 Яковлеву - рассмотреть, Шахурин 4/Х-41</w:t>
      </w:r>
    </w:p>
    <w:p w14:paraId="2EFFDA4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Рассмотреть на комиссии, мне доложить - Яковлев -</w:t>
      </w:r>
    </w:p>
    <w:p w14:paraId="28649EF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целях увеличения боевых качеств современных двухмоторных скоростных 6омбардировщиков, выражающихся в большей полезной загрузке, в мощном стрелково-пушечном вооружении, в большой дальности и в достаточно хороших аэродинамических данных выпускаемых самолетов, предлагаю рассмотреть нижеприложенную схему нового многоцелевого двухмоторного скоростного самолета, имеющего следующие особенности: </w:t>
      </w:r>
    </w:p>
    <w:p w14:paraId="3733622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Запас горючего на предполагаемой схеме самолета можеь быть легко доведен до 3000 л при нормальном варианте без дополнительных баков.</w:t>
      </w:r>
    </w:p>
    <w:p w14:paraId="4948D4F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Одновременно с запасом горючего в 3000 л на самолет может быть взять 1600-1800 кг бомбовой нагрузки на внутренние подвески не считая наружных, варианты которых могут быть самыми разнообразными.</w:t>
      </w:r>
    </w:p>
    <w:p w14:paraId="0A1E27E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Большой запас горючего на самолете дает возможность установить более мощные моторы с большим расходом горючего, например М-107 или М-37 и т.д.; Кроме того на данной схеме самолета может быть предусмотрена установка .моторов воздушного охлаждения: мощностью в 1500-1800 лошадиных</w:t>
      </w:r>
      <w:r w:rsidRPr="00640820">
        <w:rPr>
          <w:rFonts w:ascii="Times New Roman" w:hAnsi="Times New Roman"/>
          <w:color w:val="000000" w:themeColor="text1"/>
          <w:sz w:val="16"/>
          <w:szCs w:val="16"/>
          <w:vertAlign w:val="superscript"/>
        </w:rPr>
        <w:t>:</w:t>
      </w:r>
      <w:r w:rsidRPr="00640820">
        <w:rPr>
          <w:rFonts w:ascii="Times New Roman" w:hAnsi="Times New Roman"/>
          <w:color w:val="000000" w:themeColor="text1"/>
          <w:sz w:val="16"/>
          <w:szCs w:val="16"/>
        </w:rPr>
        <w:t xml:space="preserve"> сил.</w:t>
      </w:r>
    </w:p>
    <w:p w14:paraId="41ED702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Указанная схема самолета имеет хороший обзор и дает возможность.устанавливать мощное стрелково-пушечное вооружение с отличным обстрелом всей сферы действия; неприятельской авиации, .за исключением небольшой части нижней зоны самолета.</w:t>
      </w:r>
    </w:p>
    <w:p w14:paraId="4CF5757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указанная схема дает преимущество в аэродинамическом отношении за счет уменьшения лобового сопротивления самолета в связи с уменьшением фюзеляжной части, его, которая не выходит за пределы габаритных размеров дужек нервюр центроплана и не вызывает завихрений потока над центропланом. Общий мидель сечения на данной схеме меньше на 1,2-1,5 мт., против всех существующих схем двухмоторных самолетов.</w:t>
      </w:r>
    </w:p>
    <w:p w14:paraId="7FA75CF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Увеличивается живучёсть самолета на 200% за счет двойного управления им, установленного в кабинах пилотаи штурмана, при чем размещение экипажа может быть еледующее:</w:t>
      </w:r>
    </w:p>
    <w:p w14:paraId="52A7808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Пилот сидит справа; за ним стрелок-радист сзади бензобака.</w:t>
      </w:r>
    </w:p>
    <w:p w14:paraId="7EFA5F1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Штурман сидит справа; а пилот слева; экипаж стрелков-радистов остается без изменения.</w:t>
      </w:r>
    </w:p>
    <w:p w14:paraId="661E90A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Ряд вариантов кабин стрелков-радистов и хвостового оперения, могущих быть на самолете см. на рис. 1.</w:t>
      </w:r>
    </w:p>
    <w:p w14:paraId="3D9F4ED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возможного проведения в жизнь указанной схемы самолета прошу:</w:t>
      </w:r>
    </w:p>
    <w:p w14:paraId="239FC26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обязать Наркомат авиационной промышленности СССР поручить одному из своих заводов (в частности заводу № 22) детально разработать предлагаемый мной вариант самолета, изготовить модель его для продувки и после соответствующих испытаний дать свое заключение.</w:t>
      </w:r>
    </w:p>
    <w:p w14:paraId="42F2BE4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всем вопросам, могущим возникнуть по данной схеме самолета прошу обращаться ко мне.</w:t>
      </w:r>
    </w:p>
    <w:p w14:paraId="757A1B6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ИНЖЕНЕР-КОНСТРУКТОР 3-ДА 22</w:t>
      </w:r>
    </w:p>
    <w:p w14:paraId="687A436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Домашний адрес:</w:t>
      </w:r>
    </w:p>
    <w:p w14:paraId="3579233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 55 Сущевский вал дом 22 кв. 10</w:t>
      </w:r>
    </w:p>
    <w:p w14:paraId="0349739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телефон И1-33-65.</w:t>
      </w:r>
    </w:p>
    <w:p w14:paraId="33E4239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Служебный телефон:</w:t>
      </w:r>
    </w:p>
    <w:p w14:paraId="52358F5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Г1-55-00 добав. 12-70 или</w:t>
      </w:r>
    </w:p>
    <w:p w14:paraId="6BC85A9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Г1-07-47 (2191,95).</w:t>
      </w:r>
    </w:p>
    <w:p w14:paraId="00481A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93B59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октября 1941 вышел приказ НКАП N 1036с:</w:t>
      </w:r>
    </w:p>
    <w:p w14:paraId="24D97C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Для проведения заводских испытаний ПС-84 на гусеничном шасси назначаю л завода 84 А.С.Демченко.</w:t>
      </w:r>
    </w:p>
    <w:p w14:paraId="468B13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Установить срок окончания заводских испытаний ПС-84 на гусеничном шасси - 20 октября 1941..." (2134,234).</w:t>
      </w:r>
    </w:p>
    <w:p w14:paraId="606867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05A1C70"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3C01CAB5"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BCA49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октября 1941 г. по решению правительства в Верхнюю Салду эвакуирована часть завода № 7 НКЦМ, а также ленинградские заводы «Красный выборжец» и им. Ворошилова. На их базе создан завод № 519 НКЦМ (Завод № 519 НКЦМ /г. Верхняя Салда Свердловской обл./), размещавшийся на площадке завода № 491 НКАП вместе с эвакуированным заводом № 95. Пост. ГКО № 1364 от 2.03.1942 г. заводу определен план на 03.1942 г. по производству листов и лент из цветных сплавов. Затем, вероятно, завод № 519 влит в состав завода № 95 НКАП (11982).</w:t>
      </w:r>
    </w:p>
    <w:p w14:paraId="0A6B47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0A0C1E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октября 1941 года вышел приказ № 492/193с НКВ и Наркомата текстильной промышленности</w:t>
      </w:r>
    </w:p>
    <w:p w14:paraId="423B541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исполнение постановления СНК и ЦК ВКП(б) от 16 августа 1941 года за № 1976-891сс:</w:t>
      </w:r>
    </w:p>
    <w:p w14:paraId="7915F7C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Льнопрядильную фабрику им. Ленина в Свердловске передать из системы Наркомтекстиля в систему НКВ (6288, 5).</w:t>
      </w:r>
    </w:p>
    <w:p w14:paraId="5ACE9B8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32548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октября 1941 года вышел Приказ НКБ № 574</w:t>
      </w:r>
    </w:p>
    <w:p w14:paraId="7CE2876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Включить в состав предприятий НКБ склады УГМР, находящиеся в Кургане и присвоить № 603 (5676, 19).</w:t>
      </w:r>
    </w:p>
    <w:p w14:paraId="19706C2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F10A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октября 1941 года принято решение НКЭП СССР об эвакуации Краснодарского завода ЗИП, уже в декабре первые эшелоны прибыли из Краснодара в Омск. В феврале-марте 1942 года из Ленинграда прибыли квалифицированные специалисты института ВИЭП - бывшей Отраслевой лаборатории - ОЛИЗ.</w:t>
      </w:r>
    </w:p>
    <w:p w14:paraId="2227DD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193 киевлянина, 293 краснодарца и 14 специалистов из Ленинграда стояли у истоков будущего флагмана отечественного приборостроения. За годы войны коллектив пополнился сотнями омичей. С началом Великой Отечественной войны в невиданных масштабах развернулось производство военной техники, возросла потребность в электроизмерительных приборах. Задача обеспечения нужд обороны приборами была решена приборостроительными заводами страны. ОмЗЭТА выпустил 80 процентов электроизмерительных приборов от общего числа, произведенных в годы войны. Неконтактные взрыватели для морских мин "МИРАБ" и авиационных мин АМД-500, приборы для радиостанций - М63 и другие изделия специального назначения были основной продукцией ОмЗЭТА. В 1946 году коллективу завода было передано на вечное хранение переходящее Красное знамя Государственного Комитета Обороны СССР, не покидавшее завод с ноября 1942 года и до конца войны. Завод-воин вписал достойную строку в историю Великой Победы.</w:t>
      </w:r>
    </w:p>
    <w:p w14:paraId="6E6146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За годы восстановления разрушенного войной народного хозяйства завод стал одним из крупнейших предприятий приборостроения. Его продукцию можно было встретить в самых различных отраслях. В 1957 году предприятий было переименовано в "завод Омэлектроточприбор". В 1958 году началась "космическая эра" предприятия. Завод получил правительственное задание на освоение приборов для ракетно-космической техники.</w:t>
      </w:r>
    </w:p>
    <w:p w14:paraId="24DEA9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 поколения приборостроителей гордятся тем, что при запуске первого пилотируемого космического корабля "Восток" с космонавтом №1 Юрием Гагариным, главный конструктор С.П. Королев момент пуска определял по стрелке нашего измерительного прибора. И сегодня приборы ПО "Электроточприбор" работают в космосе и на земле при подготовке к полетам.</w:t>
      </w:r>
    </w:p>
    <w:p w14:paraId="0D1E99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Более 150 работников предприятия награждены медалями и грамотами Федерации космонавтики СССР, РФ, предприятие дважды награждено Дипломами имени Юрия Гагарина. В 1963 году Министерством приборостроения было принято решение об организации производства приборов для шахтеров. Высокие технологические возможности, квалифицированный технически персонал и опыт специалистов СКБ определили выбор. Перед коллективом "Электроточприбора" была поставлена задача создать приборы безопасности коллективного и индивидуального пользования для контроля концентрации метана в атмосфере горных выработок и современные средства электровзрывания для шахт. В 1964 году первые сигнализаторы метана СМП-1 были отправлены на шахты. Следующим шагом в решении задачи стало объединение сигнализатора метана с головным светильником. В 1973 году был разработан сигнализатор метана СМС-1. Авторский коллектив предприятия был удостоен Государственной премии СССР.</w:t>
      </w:r>
    </w:p>
    <w:p w14:paraId="69F286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последующий период заводом был освоен целый ряд приборов для угольной промышленности - это взрывной прибор ИВП-1/12 (1967 год), малогабаритный сигнализатор метана СММ-1 (1974 год), специально для взрывников создан ИМС-1, совмещающий сигнализатор метана и омметр (1976 год). Работы, выполненные объединением по созданию средств безопасности, отмечены Государственными премиями СССР и Украинской ССР. В 1971 году коллектив завода удостоен высшей награды СССР - ордена Ленина.</w:t>
      </w:r>
    </w:p>
    <w:p w14:paraId="182B64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История ПО "Электроточприбор" - это история отечественного приборостроения, от первых образцов военной техники до сложнейших информационно-измерительных и информационно-вычислительных комплексов.</w:t>
      </w:r>
    </w:p>
    <w:p w14:paraId="53CDD5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Наиболее яркими примерами использования наших изделий являются: использование приборов при проведении прочностных испытаний сложных технических объектов, авиационной и космической техники, в том числе космического корабля многоразового пользования "Буран" и сверхзвукового пассажирского лайнера ТУ-144; измерительная АСУ Абаканской ТЭЦ выполненная на блоках аналоговых сигналов ЦТ2170-1; использование Ш711 для температурного контроля реакторной установки Нововоронежской АЭС.</w:t>
      </w:r>
    </w:p>
    <w:p w14:paraId="1A87C4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Современные приборы - это третье и четвертое поколение номенклатуры предприятия. Приборы исправно работают на многочисленных энергетических объектах (в том числе на атомных станциях), в угольной, нефтегазоперерабатывающей, металлургической, пищевой и легкой промышленности, на железнодорожном и городском электротранспорте. Светильники СМС-4, СГГ-8 и ряд других входят в группу - "100 Лучших товаров России".</w:t>
      </w:r>
    </w:p>
    <w:p w14:paraId="658EB5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Основной потребитель широкой гаммы щитовых приборов для тяжелых условий эксплуатации серии "Прочность" - Министерство обороны РФ.</w:t>
      </w:r>
    </w:p>
    <w:p w14:paraId="2EC90F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644042, г.Омск-42, Проспект К. Маркса 18 (9687).</w:t>
      </w:r>
    </w:p>
    <w:p w14:paraId="725D17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8602B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октября 1941 г. (во изменение пр. № 116а от 11.06.1941 г.) по пр. № 307с ВИТА (ГС производственно-экспериментальный институт (ГСПЭИ) № 56 НКЭП, ГС проектно-производственный экспериментальный институт телефонного апнаратостроения (ВИТА) НКЭП /г. Ленинград;  г. Уфа/) переименован в ГСПЭИ-56 НКЭП.</w:t>
      </w:r>
    </w:p>
    <w:p w14:paraId="1C6C91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после начала войны институт эвакуирован в Уфу (3.10.1941 г. уже был там), размещался на площадке завода № 697. Осенью 1941 г. в институт переведена большая группа работников с завода «Красная заря», а также группа В.А. Котельникова. Созданы: аппаратура для организации высокочастотных каналов на воздушных линиях связи, аппаратура для маскировки телефонных разговоров. Создана аппаратура связи, обеспечившая работу конференций глав государств антигитлеровской коалиции в Москве, Тегеране, Ялте, Потсдаме и Берлине.</w:t>
      </w:r>
    </w:p>
    <w:p w14:paraId="0C1DCD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ГСПЭИ-56 вернулся в Ленинград, где распоряжением СНК от 15.10.1945 г. был организован новый ГС завод № 816 НКЭП.</w:t>
      </w:r>
    </w:p>
    <w:p w14:paraId="6E4E5E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(1941 г.)- А.Е. Плешков, (1941 г.-)- К.П. Егоров, (1943 г.-)- В.А. Котельников (Уфа).</w:t>
      </w:r>
    </w:p>
    <w:p w14:paraId="4F8A5F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лабораторий: (1941-43 г.)- В.А. Котельников.</w:t>
      </w:r>
    </w:p>
    <w:p w14:paraId="0A876F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Создано:</w:t>
      </w:r>
      <w:r w:rsidRPr="00640820">
        <w:rPr>
          <w:rFonts w:ascii="Times New Roman" w:hAnsi="Times New Roman"/>
          <w:color w:val="000000" w:themeColor="text1"/>
          <w:sz w:val="16"/>
          <w:szCs w:val="16"/>
        </w:rPr>
        <w:t xml:space="preserve"> каналообразующая аппаратура СМТ-42 «Сойка», ТВЧ-42 «Стриж» (ВОВ); портативная аппаратура ЗАС СИ-15 «Синица», САУ-16 «Снегирь» (ВОВ) (11982).</w:t>
      </w:r>
    </w:p>
    <w:p w14:paraId="08D9411A" w14:textId="77777777" w:rsidR="00E869AD" w:rsidRPr="00640820" w:rsidRDefault="00E869AD" w:rsidP="00640820">
      <w:pPr>
        <w:autoSpaceDE w:val="0"/>
        <w:autoSpaceDN w:val="0"/>
        <w:adjustRightInd w:val="0"/>
        <w:spacing w:after="0" w:line="240" w:lineRule="auto"/>
        <w:jc w:val="both"/>
        <w:rPr>
          <w:rFonts w:ascii="Times New Roman" w:hAnsi="Times New Roman"/>
          <w:color w:val="000000" w:themeColor="text1"/>
          <w:sz w:val="16"/>
          <w:szCs w:val="16"/>
        </w:rPr>
      </w:pPr>
    </w:p>
    <w:p w14:paraId="11A341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октября 1941  г. по пр. № 306с Киевский завод электротехнической аппаратуры, который был эвакуирован в Омск и с 15 августа 1941 г. по приказу НКЭП № 228с стал называться ОмЗЭТА, был переименован в ГС завод № 634 (ГС завод № 634 НКЭП, Киевский завод электротехнической аппаратуры (КЗЭТА) НКЭП, Омский завод электротехнической аппаратуры (ОмЗЭТА) НКЭП, Завод «Омэлектроточприбор», Завод «Электроточприбор» МПиСА, ЗАО «ПО «Электроточприбор» /644042  г. Омск пр. Маркса, 18/).</w:t>
      </w:r>
    </w:p>
    <w:p w14:paraId="3F0D5C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решению НКЭП от 3.10.1941 г. на площадку завода эвакуирован Краснодарский завод ЗИП (293 чел.), первые эшелоны прибыли в Омск в 12.1941 г. В 02-03.1942 г. на завод переведена группа из 14 специалистов из ВИЭП ( г. Ленинград).</w:t>
      </w:r>
    </w:p>
    <w:p w14:paraId="7EABFE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годы войны завод выпустил 80% всех электроизмерительных приборов в стране.</w:t>
      </w:r>
    </w:p>
    <w:p w14:paraId="275148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1957 г. завод переименован в «Омэлектроточприбор». В 1963 г. - завод «Электроточприбор» МПиСА, затем - ПО «Электроточприбор».</w:t>
      </w:r>
    </w:p>
    <w:p w14:paraId="744528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1958 г. начато освоение выпуска приборов для РКТ. В 1963 г. начато освоение производства приборов безопасности коллективного и индивидуального пользования для контроля концентрации метана в шахтах и средств электровзрывания для шахт. На заводе впервые в стране разработаны и внедрены в производство щитовые электронные приборы с цифровой индикацией. Созданы приборы для прочностных испытаний сложных технических объектов, в т.ч. Ту-144 и ОК «Буран».</w:t>
      </w:r>
    </w:p>
    <w:p w14:paraId="1C2DEA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2001 г. освоен выпуск более 500 наименований продукции, в 2001 г. выпускалось около 200 наименований. Производство: неконтактные взрыватели (НВ) для морских мин АГ (1941-), МИРАБ, авиационной мины АМД-500 (ВОВ); взрывной прибор для угольной промышленности ИВП-1/12 (1967-); приборы для радиостанции М63 (ВОВ); блок аналоговых сигналов ЦТ2170-1 для измерительной АСУ Абаканской ТЭЦ; прибор Ш711 для температурного контроля реактора Нововоронежской АЭС; сигнализаторы метана: СМП-1 (1964-), объединенный с головным светильником СМС-1 (1973-), малогабаритный СММ-1 (1974-), объединенный с омметром ИМС-1 (1976-); светильники: СМС-4, СГГ-8.</w:t>
      </w:r>
    </w:p>
    <w:p w14:paraId="288123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Краснодарский завод ЗИП НКЭП, ПО «Краснодарский ЗИП» /350010  г. Краснодар ул. Зиповская, 5/</w:t>
      </w:r>
    </w:p>
    <w:p w14:paraId="7D4BD9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решению НКЭП от 3.10.1941 г. Краснодарский завод ЗИП (293 чел.) эвакуирован в Омск на площадку завода № 634 НКЭП, первые эшелоны прибыли в Омск в 12.1941 г.</w:t>
      </w:r>
    </w:p>
    <w:p w14:paraId="61F012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ГКО № 3766 от 18.07.1943 г. здание Краснодарского завода измерительных приборов временно передано в распоряжение ВС СКФ. Производство: нановольтамперметр Р341 (11982).</w:t>
      </w:r>
    </w:p>
    <w:p w14:paraId="5211D1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0A4D4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октября 1941 вышло Распоряжение ГКО № 729 О сохранении в системе НКХП Титанового завода. РГАНИР, Фонд ГКО, д. 11, лл. 113 (11012).</w:t>
      </w:r>
    </w:p>
    <w:p w14:paraId="1E6C9A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76BB237"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09A0B130"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4BA43AB"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3 октября </w:t>
      </w:r>
      <w:r w:rsidRPr="00640820">
        <w:rPr>
          <w:rFonts w:ascii="Times New Roman" w:hAnsi="Times New Roman"/>
          <w:color w:val="000000" w:themeColor="text1"/>
          <w:sz w:val="16"/>
          <w:szCs w:val="16"/>
        </w:rPr>
        <w:t>в 1941 году утреннее сообщение Совинформбюро:</w:t>
      </w:r>
    </w:p>
    <w:p w14:paraId="28C2F108"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3 октября наши войска вели бои с противником на всём фронте.</w:t>
      </w:r>
    </w:p>
    <w:p w14:paraId="59A587C3"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Части полковника Коломийцева на одном из участков Северо-Западного направления фронта нанесли серьёзный удар двум немецким полкам. Враг потерял более 1.500 солдат и офицеров убитыми и несколько тысяч ранеными. Захвачены большие трофеи. Разгромлен штаб полка, захвачены ценные документы германского командования.</w:t>
      </w:r>
    </w:p>
    <w:p w14:paraId="3E562519"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минных заграждениях, установленных сапёрным батальоном капитана Вавринчука, на одном из участков Северо-Западного направления фронта противник потерял 10 танков, 2 автомашины и 40 солдат и офицеров.</w:t>
      </w:r>
    </w:p>
    <w:p w14:paraId="09DA0115"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Группа капитана Шевцова, длительное время оперировавшая в тылу врага на Западном направлении фронта, уничтожила свыше 3.000 немецких солдат и офицеров, 32 танка и много автомашин. Только на дорогах Витебск-Смоленск и Минск-Смоленск группа разгромила 17 немецких транспортов. В районе В. был разбит батальон «СС» и захвачено 13 станковых пулемётов.</w:t>
      </w:r>
    </w:p>
    <w:p w14:paraId="0B6843AC"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Лётчик-истребитель капитан Городничев сбил в воздушных боях 10 немецких самолётов.</w:t>
      </w:r>
    </w:p>
    <w:p w14:paraId="39F8C413"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районе озера Ильмень отважно действует партизанский отряд под командованием тов. А. Бойцы отряда за два месяца боевых операций уничтожили 42 немецкие автомашины, 14 мотоциклов и 24 велосипеда, взорвали 14 мостов и в 17 местах нарушили полевую телефонную связь противника. В боях с фашистами партизаны убили и ранили несколько сот солдат и офицеров. На днях партизаны совершили смелый налёт на деревню, в которой расположилась немецкая часть. Несмотря на сильный огонь противника, партизаны прорвались к деревне и подожгли её с трёх сторон. На улицах завязался жаркий бой. Немцы вынуждены были отступить, оставив на поле боя 87 трупов своих солдат и много оружия.</w:t>
      </w:r>
    </w:p>
    <w:p w14:paraId="1786D549"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соседству с отрядом тов. А. успешно борется против гитлеровских банд партизанский отряд под командованием тов. С. Отряд состоит главным образом из рабочих. За месяц партизаны уничтожили 39 грузовых и 3 легковых автомашины противника, перебив при этом 116 немецких солдат и 8 офицеров.</w:t>
      </w:r>
    </w:p>
    <w:p w14:paraId="2AB116D4"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боях на Северо-Западном направлении фронта наши части захватили различные штабные документы немецкой армии. В приказах, циркулярах и донесениях говорится о трудностях, которые испытывают германские войска на Восточном фронте. Главный квартирмейстер германской армии пишет в одном из циркуляров: «Учитывая, что необходимо экономить имеющиеся в крайне ограниченном количестве консервы, части обязаны всеми мерами изыскивать продовольствие на месте».</w:t>
      </w:r>
    </w:p>
    <w:p w14:paraId="66C59D87"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Распоряжение командира 30 немецкой пехотной дивизии за № 128 гласит: «Вследствие больших затруднений с железнодорожным транспортом, а также в связи с большими расстояниями и плохими дорогами, невозможно организовать бесперебойное снабжение армии. Ко всем частям должно быть предъявлено требование — использовать со своей стороны все средства и возможности, способствуя тем самым разгрузке транспорта».</w:t>
      </w:r>
    </w:p>
    <w:p w14:paraId="46392E11"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Командир 126 немецкой дивизии в своём приказе с циничной откровенностью, на которую способны фашистские мародёры, поучает офицеров: «Первой заповедью каждой воинской части должно быть — жить за счёт занятой страны». В приказе № 45 командующий 16 немецкой армией воспроизводит следующее распоряжение командования германскими вооружёнными силами: «Любыми средствами должна быть захвачена меховая и тёплая одежда всех видов».</w:t>
      </w:r>
    </w:p>
    <w:p w14:paraId="1AA91CD7"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Обращение антифашистского митинга молодёжи в Москве вызвало новый подъём патриотизма в многомиллионных рядах советской молодёжи. 170 тысяч молодых патриотов Алтайского края вышли на воскресник в фонд обороны страны. Молодёжь депо Барнаул отремонтировала в этот день 2 паровоза и перезаправила буксы у 75 вагонов. Бригада котельщиков тов. Попова выполнила норму на 320 процентов. Около 800 трудодней заработали на воскреснике молодые колхозники и колхозницы Беловского сельсовета, Ребрихинского района. Заработанные средства они передали в фонд обороны.</w:t>
      </w:r>
    </w:p>
    <w:p w14:paraId="64C435B3"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воскреснике, состоявшемся на железной дороге имени Л.М.Кагановича, участвовало 16 тысяч юных железнодорожников. Отремонтировано 6 паровозов, 22 стрелочных поста, заготовлено и отремонтировано 850 снеговых щитов, заготовлено 289 кубометров дров для семей красноармейцев, собрано 1.250 тонн металлолома. Слесари вагонного участка станции Камышлов т.т. Наумов и Шестаков выработали в этот день 380 процентов нормы каждый. Слесарь депо Нижний Тагил тов. Березова выполнила четыре нормы.» (14788).</w:t>
      </w:r>
    </w:p>
    <w:p w14:paraId="564D0CD0" w14:textId="77777777" w:rsidR="00E869AD" w:rsidRPr="00640820" w:rsidRDefault="00E869AD" w:rsidP="00640820">
      <w:pPr>
        <w:spacing w:after="0" w:line="240" w:lineRule="auto"/>
        <w:jc w:val="both"/>
        <w:rPr>
          <w:rFonts w:ascii="Times New Roman" w:hAnsi="Times New Roman"/>
          <w:color w:val="000000" w:themeColor="text1"/>
          <w:sz w:val="16"/>
          <w:szCs w:val="16"/>
        </w:rPr>
      </w:pPr>
    </w:p>
    <w:p w14:paraId="64F159E8"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3 октября </w:t>
      </w:r>
      <w:r w:rsidRPr="00640820">
        <w:rPr>
          <w:rFonts w:ascii="Times New Roman" w:hAnsi="Times New Roman"/>
          <w:color w:val="000000" w:themeColor="text1"/>
          <w:sz w:val="16"/>
          <w:szCs w:val="16"/>
        </w:rPr>
        <w:t>в 1941 году вечернее сообщение Совинформбюро:</w:t>
      </w:r>
    </w:p>
    <w:p w14:paraId="1A130B06"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3 октября наши войска вели бои с противником на всём фронте.</w:t>
      </w:r>
    </w:p>
    <w:p w14:paraId="679AB4AD"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 октября в воздушных боях сбито 16 самолётов противника. Наши потери — 8 самолётов.</w:t>
      </w:r>
    </w:p>
    <w:p w14:paraId="35124656"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Кораблями Северного флота уничтожена немецкая подводная лодка.</w:t>
      </w:r>
    </w:p>
    <w:p w14:paraId="192123E4"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участков Юго-Западного направления фронта наши пехотные части во взаимодействии с авиаподразделениями т.т. Шишкина и Егорова уничтожили 25 немецких танков, 80 автомашин и захватили 300 исправных автомашин и 100 мотоциклов.</w:t>
      </w:r>
    </w:p>
    <w:p w14:paraId="276AA2B8"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воздушных боях на подступах к Ленинграду за два дня сбито 5 немецких самолётов. Во время штурмовых налётов на вражеские колонны лётчики авиачасти полковника Данилова уничтожили 31 автомашину с пехотой и несколько бронемашин.</w:t>
      </w:r>
    </w:p>
    <w:p w14:paraId="40F12BDC"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боях на Северо-Западном направлении фронта часть полковника Бондарева уничтожила в сентябре более 9.500 немецких солдат и офицеров, 7 артиллерийских батарей, 35 противотанковых орудий, 45 станковых пулемётов, 22 миномёта и 60 грузовых автомашин. Захвачено много трофеев, среди них — 4 тяжёлые артиллерийские батареи, 42 противотанковые пушки, 57 станковых и ручных пулемётов, 12 миномётов, 28 огнемётов, 180 повозок, 200 лошадей и большое количество боеприпасов.</w:t>
      </w:r>
    </w:p>
    <w:p w14:paraId="7F2C678B"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Тяжёлый танк младшего лейтенанта Зеленцова в одном бою уничтожил огнём своих орудий и гусеницами 7 немецких противотанковых пушек, 2 трактора-тягача, несколько пулемётов и одну автомашину. В этом же бою экипаж танка разрушил 13 дерево-земляных сооружений противника вместе с засевшими там немецкими солдатами и офицерами.</w:t>
      </w:r>
    </w:p>
    <w:p w14:paraId="658D2A6B"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Младший командир Артамонов, отражая нападение 3 немецких танков и автоматчиков на огневые позиции зенитной батареи, прямой наводкой из орудия расстрелял 2 вражеских танка и десятки немецких солдат.</w:t>
      </w:r>
    </w:p>
    <w:p w14:paraId="73A12C80"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Часть командира тов. Коваленко уничтожила на одном из участков Южного фронта вражеский батальон и рассеяла 4 полк 3 румынской пехотной дивизии. Противник понёс большие потери.</w:t>
      </w:r>
    </w:p>
    <w:p w14:paraId="09351E58"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всех районах Карело-Финской ССР, захваченных фашистами, действуют отважные партизанские отряды. Укрывшись в карельских лесах, партизаны ежедневно разят коварного врага. На днях партизанский отряд под командованием тов. С. получил сведения о том, что противник спешно перебрасывает к линии фронта танковую колонну. Бойцы отряда решили взорвать большой мост в районе Л., усиленно охранявшийся белофиннами, и задержать продвижение фашистов. Пользуясь темнотой, партизаны уничтожили охрану и взорвали мост. Утром у взорванного моста скопилось до тридцати вражеских танков. В середине дня танковая колонна противника была обнаружена советской авиацией. В результате бомбардировки было уничтожено 5 белофинских танков, остальные — рассеяны. На следующий день партизаны вступили в бой с отрядом вражеской пехоты. Двенадцать раз атаковали белофинны партизан, но неизменно откатывались назад. Потеряв до 100 солдат убитыми и ранеными, противник отступил.</w:t>
      </w:r>
    </w:p>
    <w:p w14:paraId="55D9C28D"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Партизанский отряд под командованием тов. Т. за месяц уничтожил 38 вражеских автомашин с боеприпасами и продовольствием.</w:t>
      </w:r>
    </w:p>
    <w:p w14:paraId="1E0977FC"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Партизанский отряд под командованием тов. А. недавно совершил глубокий рейд в расположение немецко-финских войск. Партизаны неоднократно вступали в бой с фашистами. За время боевых действий в тылу врага отряд взорвал склад боеприпасов, окружил и уничтожил 25 мотоциклистов и 20 автомашин с военным снаряжением противника.</w:t>
      </w:r>
    </w:p>
    <w:p w14:paraId="6C4CD370"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Дикие зверства и насилия чинят немецко-фашистские мерзавцы в захваченных ими городах и сёлах Эстонии. В местечке Аэла немецкий офицер приказал солдатам забрать весь хлеб и скот. Против этого грабежа пытался протестовать крестьянин Э. Пятс. Рассвирепевшие фашисты застрелили его, а труп повесили на столбе в центре местечка. В этом же селении немецкие солдаты застрелили ещё десять крестьян, оказавших сопротивление гитлеровским разбойникам. На станции Циргулинна немецкие солдаты изнасиловали двух эстонских девушек П. Кундер и Ф. Туглас, а затем зверски их умертвили. В местечке Вильянди немецкие солдаты потребовали у крестьян достать им водки. За отказ выполнить это требование бандиты расстреляли четырёх крестьян: Р. Каллас, И. Янсен, А. Саари и К. Кясперт.</w:t>
      </w:r>
    </w:p>
    <w:p w14:paraId="5A58682C"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Растёт и ширится патриотическое движение двухсотников. 700 рабочих Магнитогорского комбината за последние два месяца перевыполняют нормы в два раза и более. На Московском заводе имени Фрунзе свыше 400 женщин, недавно ставших к станку, ежедневно вырабатывают 200 и более процентов нормы. На Московском автозаводе имени Сталина сотни рабочих дают по две нормы. Ежедневно вырабатывают две нормы стахановка тов. Емельянова, токарь тов. Зыков и многие другие.</w:t>
      </w:r>
    </w:p>
    <w:p w14:paraId="0CA13CD3"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Четвёртая часть всех станочников Московского инструментального завода даёт ежедневно в среднем более двух норм, а многие — по три, четыре и пять норм. Ежедневно по две — три нормы выполняют сотни рабочих Сталинградского тракторного завода. Токарь механосборочного цеха тов. Чернявский при помощи простого приспособления вдвое увеличил производительность труда. Обрубщики чугунолитейного цеха тт. Носакин и Доронин дают за каждую смену по 300 процентов нормы каждый. Молодой рабочий Иван Копытин обычно выполняет норму на 250-300 процентов, а недавно он дал 1000 процентов дневного задания.»</w:t>
      </w:r>
    </w:p>
    <w:p w14:paraId="20A72027"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А.С.Щербаков</w:t>
      </w:r>
    </w:p>
    <w:p w14:paraId="4689462B"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Советского Информбюро</w:t>
      </w:r>
    </w:p>
    <w:p w14:paraId="1B55BCD6"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Гитлер обманывает немецкий народ.</w:t>
      </w:r>
    </w:p>
    <w:p w14:paraId="433A0FB8"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«Третьего октября по радио выступал Гитлер. Поводом для своего выступления Гитлер выбрал кампанию «зимней помощи». Однако известно, что кампания «зимней помощи» в Германии в текущем году открылась месяц назад и Гитлер несколько недель назад уже опубликовал по этому поводу обращение к населению. Таким образом, выступление Гитлера ни в какой мере не связано с кампанией «зимней помощи».</w:t>
      </w:r>
    </w:p>
    <w:p w14:paraId="2579E59B"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Каковы же действительные мотивы, заставившие Гитлера выступить перед населением Германии?</w:t>
      </w:r>
    </w:p>
    <w:p w14:paraId="506A2407"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Огромные потери немецко-фашистской армии на Восточном фронте вызывают у населения Германии серьёзное беспокойство, тревогу и недовольство гитлеровской политикой войны и насилия. Немецкое население не верит фашистской брехне «о беспримерных победах германской армии» и всё более теряет свою уверенность в исходе войны.</w:t>
      </w:r>
    </w:p>
    <w:p w14:paraId="12F50DA4"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Страх за состояние своего тыла — вот действительная причина, заставившая Гитлера 3 октября 1941 года обратиться по радио к немецкому населению с новой порцией столь же хвастливых, сколь и лживых посул и обещаний скорых побед. Выступление Гитлера, предназначенное для внутреннего употребления, имело задачей не только успокоить немцев, но и как-то оправдать перед населением свою захватническую империалистическую политику.</w:t>
      </w:r>
    </w:p>
    <w:p w14:paraId="5E191209"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Как известно, Гитлер был уличён всем мировым общественным мнением, что он является оголтелым агрессором в отношении СССР, что он односторонне порвал договор с СССР о ненападении и без всякого повода со стороны СССР, без предъявления каких-либо претензий, без объявления войны напал на СССР, чем лишний раз продемонстрировал, что он является империалистом, захватчиком чужих земель. Теперь Гитлер, и это уже не первый раз, пытается вывернуться и скрыть свою разбойничью политику.</w:t>
      </w:r>
    </w:p>
    <w:p w14:paraId="02D5CBB9"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Гитлер уверяет в своей речи, что он не нападал на СССР, а только предупредил нападение на Германию со стороны СССР. Он уверяет, что, поступая так, он ведёт оборонительную войну и защищает Европу от СССР. Но он то же самое говорил, когда захватывал Бельгию, Голландию, Норвегию, Польшу, Грецию, Югославию и уверял, что эти страны представляют угрозу для Европы и арену для нападения на Германию. И если смешно изображать Гитлера в качестве обороняющейся стороны в отношении Греции, Югославии, Польши и т. д. несмотря на то, что эти страны состояли в союзе с Англией, то тем более смешно и нелепо говорить об СССР, как о стране угрожавшей Германии, хотя бы петому, что СССР не состоял в союзе с какой-либо державой, находящейся в состоянии войны с Германией, а, наоборот, Советский Союз имел договор с Германией о ненападении, договор, благие результаты которого восхвалялись тем же Гитлером и Риббентропом в официальных заявлениях. Разве это не факт, что не советские войска вторглись в Германию, а немецкие войска вторглись в СССР. Что может противопоставить этому факту известный жонглёр и профессиональный обманщик так называемый Гитлер?</w:t>
      </w:r>
    </w:p>
    <w:p w14:paraId="5EF533A0"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Гитлер лжёт (который раз), заявляя, что Молотов во время берлинских переговоров требовал Проливов, покорения Финляндии, вторжения в Болгарию, против чего Гитлер, оказывается, протестовал. Эта ложь несколько раз официально опровергалась с советской стороны. Да что опровержение? Гитлер сам хорошо знает, что он лжёт и обманывает общественное мнение. Чем же иначе объяснить, что, после посещения Берлина Молотовым, со стороны Германии и СССР было дано совместное коммюнике о том, что «Обмен мнений протекал в атмосфере взаимного доверия и установил взаимное понимание по всем важнейшим вопросам, интересующим СССР и Германию». Разве это не факт, что совместное коммюнике было опубликовано с полного согласия Гитлера? Плохи дела Гитлера, если он думает, что общественное мнение Европы и всего мира забыло об этих и им подобных фактах, изобличающих Гитлера как профессионального обманщика.</w:t>
      </w:r>
    </w:p>
    <w:p w14:paraId="7FCA5C89"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Гитлер старается обмануть общественное мнение не только в отношении его империалистической, захватнической политики.</w:t>
      </w:r>
    </w:p>
    <w:p w14:paraId="114CFBB1"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Это он старается сделать и по вопросу о потерях Германия и СССР в настоящей войне.</w:t>
      </w:r>
    </w:p>
    <w:p w14:paraId="51607BF5"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Гитлеру в своей речи пришлось сделать горькое признание: «мы ошиблись в вопросе о том, какую силу представляет наш противник». Вслед за этим вынужденным признанием Гитлер приводит фантастические, бредовые цифры потерь Красной Армии. По его уверениям Красная Армия якобы потеряла 2.500.000 человек убитыми, 22.000 орудий, 18.000 танков и 14.000 самолётов. Несусветная лживость этих цифр очевидна. На самом деле Красная Армия за истекший период потеряла убитыми 230.000, ранеными 720.000, пропавшими без вести 178.000, всего-1.128.000 человек, около 7.000 танков, 8.900 орудий и 5.316 самолётов. Гитлер ничего не сказал о потерях немецкой армии. Казалось бы, кому-кому, как не немцам знать о потерях своей собственной армии. Почему же Гитлер немецкому народу — рабочим, крестьянам, интеллигенции, не назвал ни одной цифры о потерях немецкой армии? Потому что Гитлер боится сказать правду немецкому народу, боится назвать цифры этих потерь, ибо они столь огромны, что если бы их назвать, они не оставили бы камня на камне от лживых и хвастливых заявлений Гитлера о «победах». Так, как поступает Гитлер, поступают политические шулеры и жулики.</w:t>
      </w:r>
    </w:p>
    <w:p w14:paraId="7D804ADB"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Поскольку Гитлер скрывает от немецкого населения и мирового общественного мнения потери немецкой армии за три с лишним месяца войны с Советским Союзом, Советское Информбюро сообщает: за истекший период немецко-фашистские войска потеряли на Восточном фронте свыше-3.000.000 убитыми, ранеными и пленными, т. е. столько, сколько, примерно, немцы потеряли в прошлой мировой войне на всех фронтах за два года боевых действий. Не менее тяжелы немецкие потери и в вооружении: за три с лишним месяца войны немцы потеряли более 11.000 танков, 13.000 орудий, 9.000 самолётов, сбитых нашей авиацией в воздушных боях и уничтоженных на аэродромах, не считая потерянных самолётов при взлёте и посадке.</w:t>
      </w:r>
    </w:p>
    <w:p w14:paraId="3DC4A021"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Таковы факты.» (14788).</w:t>
      </w:r>
    </w:p>
    <w:p w14:paraId="3B3FF378" w14:textId="77777777" w:rsidR="00E869AD" w:rsidRPr="00640820" w:rsidRDefault="00E869AD" w:rsidP="00640820">
      <w:pPr>
        <w:spacing w:after="0" w:line="240" w:lineRule="auto"/>
        <w:jc w:val="both"/>
        <w:rPr>
          <w:rFonts w:ascii="Times New Roman" w:hAnsi="Times New Roman"/>
          <w:color w:val="000000" w:themeColor="text1"/>
          <w:sz w:val="16"/>
          <w:szCs w:val="16"/>
        </w:rPr>
      </w:pPr>
    </w:p>
    <w:p w14:paraId="1F6C2880" w14:textId="77777777" w:rsidR="00FD1870" w:rsidRPr="00640820" w:rsidRDefault="00FD1870" w:rsidP="00640820">
      <w:pPr>
        <w:pStyle w:val="ae"/>
        <w:spacing w:before="0" w:after="0"/>
        <w:jc w:val="both"/>
        <w:textAlignment w:val="baseline"/>
        <w:rPr>
          <w:color w:val="000000" w:themeColor="text1"/>
          <w:sz w:val="16"/>
          <w:szCs w:val="16"/>
        </w:rPr>
      </w:pPr>
      <w:r w:rsidRPr="00640820">
        <w:rPr>
          <w:color w:val="000000" w:themeColor="text1"/>
          <w:sz w:val="16"/>
          <w:szCs w:val="16"/>
        </w:rPr>
        <w:t>3 октября 1941 три Ила из 215-го шап, которых прикрывала шестерка МиГ-3 из 129-го иап, нанесли удар по мотоколонне вермахта в районе деревни Карповка. Согласно донесениям, они сбросили 12 бомб ФАБ-50 и выпустили 24 PC-132 и 1000 снарядов к 20-мм пушкам ШВАК. В результате звено штурмовиков уничтожило и повредило до двенадцати автомашин с грузами и две-три батареи полевой артиллерии. Однако при этом огнем зенитной артиллерии был сбит ведущий Ил-2, и его пилот — старший лейтенант А. Новиков — погиб (19522).</w:t>
      </w:r>
    </w:p>
    <w:p w14:paraId="135A6B2D" w14:textId="77777777" w:rsidR="00FD1870" w:rsidRPr="00640820" w:rsidRDefault="00FD1870" w:rsidP="00640820">
      <w:pPr>
        <w:pStyle w:val="ae"/>
        <w:spacing w:before="0" w:after="0"/>
        <w:jc w:val="both"/>
        <w:textAlignment w:val="baseline"/>
        <w:rPr>
          <w:color w:val="000000" w:themeColor="text1"/>
          <w:sz w:val="16"/>
          <w:szCs w:val="16"/>
        </w:rPr>
      </w:pPr>
    </w:p>
    <w:p w14:paraId="38FB408E" w14:textId="77777777" w:rsidR="002966FD" w:rsidRPr="00640820" w:rsidRDefault="002966F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3 октября 1941 три Ила 215 шап майора Рейно, которых прикрывала шестерка МиГ</w:t>
      </w:r>
      <w:r w:rsidRPr="00640820">
        <w:rPr>
          <w:rFonts w:ascii="Times New Roman" w:hAnsi="Times New Roman"/>
          <w:color w:val="0070C0"/>
          <w:sz w:val="16"/>
          <w:szCs w:val="16"/>
        </w:rPr>
        <w:noBreakHyphen/>
        <w:t>3 из 129</w:t>
      </w:r>
      <w:r w:rsidRPr="00640820">
        <w:rPr>
          <w:rFonts w:ascii="Times New Roman" w:hAnsi="Times New Roman"/>
          <w:color w:val="0070C0"/>
          <w:sz w:val="16"/>
          <w:szCs w:val="16"/>
        </w:rPr>
        <w:noBreakHyphen/>
        <w:t>го иап, нанесли удар по мотоколонне вермахта в районе деревни Карповка. Согласно донесениям, они сбросили 12 бомб ФАБ</w:t>
      </w:r>
      <w:r w:rsidRPr="00640820">
        <w:rPr>
          <w:rFonts w:ascii="Times New Roman" w:hAnsi="Times New Roman"/>
          <w:color w:val="0070C0"/>
          <w:sz w:val="16"/>
          <w:szCs w:val="16"/>
        </w:rPr>
        <w:noBreakHyphen/>
        <w:t>50 и выпустили 24 PC</w:t>
      </w:r>
      <w:r w:rsidRPr="00640820">
        <w:rPr>
          <w:rFonts w:ascii="Times New Roman" w:hAnsi="Times New Roman"/>
          <w:color w:val="0070C0"/>
          <w:sz w:val="16"/>
          <w:szCs w:val="16"/>
        </w:rPr>
        <w:noBreakHyphen/>
        <w:t>132 и 1000 снарядов к 20</w:t>
      </w:r>
      <w:r w:rsidRPr="00640820">
        <w:rPr>
          <w:rFonts w:ascii="Times New Roman" w:hAnsi="Times New Roman"/>
          <w:color w:val="0070C0"/>
          <w:sz w:val="16"/>
          <w:szCs w:val="16"/>
        </w:rPr>
        <w:noBreakHyphen/>
        <w:t>мм пушкам ШВАК. В результате звено штурмовиков уничтожило и повредило до двенадцати автомашин с грузами и две</w:t>
      </w:r>
      <w:r w:rsidRPr="00640820">
        <w:rPr>
          <w:rFonts w:ascii="Times New Roman" w:hAnsi="Times New Roman"/>
          <w:color w:val="0070C0"/>
          <w:sz w:val="16"/>
          <w:szCs w:val="16"/>
        </w:rPr>
        <w:noBreakHyphen/>
        <w:t>три батареи полевой артиллерии. Однако при этом огнем зенитной артиллерии был сбит ведущий Ил</w:t>
      </w:r>
      <w:r w:rsidRPr="00640820">
        <w:rPr>
          <w:rFonts w:ascii="Times New Roman" w:hAnsi="Times New Roman"/>
          <w:color w:val="0070C0"/>
          <w:sz w:val="16"/>
          <w:szCs w:val="16"/>
        </w:rPr>
        <w:noBreakHyphen/>
        <w:t>2, и его пилот – старший лейтенант А. Новиков – погиб (23199).</w:t>
      </w:r>
    </w:p>
    <w:p w14:paraId="19E850B8" w14:textId="77777777" w:rsidR="002966FD" w:rsidRPr="00640820" w:rsidRDefault="002966FD" w:rsidP="00640820">
      <w:pPr>
        <w:spacing w:after="0" w:line="240" w:lineRule="auto"/>
        <w:jc w:val="both"/>
        <w:rPr>
          <w:rFonts w:ascii="Times New Roman" w:hAnsi="Times New Roman"/>
          <w:color w:val="0070C0"/>
          <w:sz w:val="16"/>
          <w:szCs w:val="16"/>
        </w:rPr>
      </w:pPr>
    </w:p>
    <w:p w14:paraId="0ECE6B6D"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3 октября </w:t>
      </w:r>
      <w:r w:rsidRPr="00640820">
        <w:rPr>
          <w:rFonts w:ascii="Times New Roman" w:hAnsi="Times New Roman"/>
          <w:color w:val="000000" w:themeColor="text1"/>
          <w:sz w:val="16"/>
          <w:szCs w:val="16"/>
        </w:rPr>
        <w:t>в 1941 году отразив контрудар соединений 13-й армии в районе Хутора Михайловского, части 47-го и 24-го моторизованных корпусов вермахта овладели Орлом. Обороны города не существовало, в городе еще ходили трамваи. Командование Орловским военным округом отсутствовало на месте, не были оставлены даже дозоры на дорогах к фронту, хотя о наступлении Гудериана уже было известно. Имевшаяся в Орле артиллерия попала в руки немцев без единого выстрела. Войска Брянского фронта оказались глубоко охваченными с востока (14788).</w:t>
      </w:r>
    </w:p>
    <w:p w14:paraId="1FFBF26A" w14:textId="77777777" w:rsidR="00E869AD" w:rsidRPr="00640820" w:rsidRDefault="00E869AD" w:rsidP="00640820">
      <w:pPr>
        <w:spacing w:after="0" w:line="240" w:lineRule="auto"/>
        <w:jc w:val="both"/>
        <w:rPr>
          <w:rFonts w:ascii="Times New Roman" w:hAnsi="Times New Roman"/>
          <w:color w:val="000000" w:themeColor="text1"/>
          <w:sz w:val="16"/>
          <w:szCs w:val="16"/>
        </w:rPr>
      </w:pPr>
    </w:p>
    <w:p w14:paraId="1F8FA0BB" w14:textId="77777777" w:rsidR="00E869AD" w:rsidRPr="00640820" w:rsidRDefault="00E869AD"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3 октября </w:t>
      </w:r>
      <w:r w:rsidRPr="00640820">
        <w:rPr>
          <w:rFonts w:ascii="Times New Roman" w:hAnsi="Times New Roman"/>
          <w:color w:val="000000" w:themeColor="text1"/>
          <w:sz w:val="16"/>
          <w:szCs w:val="16"/>
        </w:rPr>
        <w:t>в 1941 году немецкие войска заняли Мещовск (14788).</w:t>
      </w:r>
    </w:p>
    <w:p w14:paraId="6415DFB4" w14:textId="77777777" w:rsidR="00E869AD" w:rsidRPr="00640820" w:rsidRDefault="00E869AD" w:rsidP="00640820">
      <w:pPr>
        <w:spacing w:after="0" w:line="240" w:lineRule="auto"/>
        <w:jc w:val="both"/>
        <w:rPr>
          <w:rFonts w:ascii="Times New Roman" w:hAnsi="Times New Roman"/>
          <w:color w:val="000000" w:themeColor="text1"/>
          <w:sz w:val="16"/>
          <w:szCs w:val="16"/>
        </w:rPr>
      </w:pPr>
    </w:p>
    <w:p w14:paraId="3633D7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октября 1941 командир эскадрильи 215 шап ст.л. А.Е.Новиков во главе звена Ил-2 вылетел на ш автомашин, двигавшихся на Москву, Уничтожил 12 и около 150 чел. пехоты, 3 артбатареи. был сбит и направил горящую машину на скопление техники (438,823).</w:t>
      </w:r>
    </w:p>
    <w:p w14:paraId="7DF084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F09D3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 октября 1941 звено Ил-2 от 215-го шап под прикрытием 6 МиГ-3 от 129-го иап нанесли бомбоштурмовой удар по мотомех- колонне войск противника в районе д. Карлово. Сбросив 12 бомб ФАБ-50 и выпустив 24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-132 и 1 ООО снарядов к пушкам ШВАК, группа уничтожила и повредила до 12 автомашин с грузом и 2-3 батареи полевой артиллерии. По данным журнала боевых действий полка над целью огнем зенитной артиллерии был сбит и геройски погиб ведущий группы ст. лейтенант А. Е. Новиков (12020).</w:t>
      </w:r>
    </w:p>
    <w:p w14:paraId="070AB7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12B4B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3 октября 1941 в соответствии с решением Ставки ВГК для усиления ВВС Брянского фронта привлекались 6-я РАГ генерала А.А.Демидова в составе 6 пол</w:t>
      </w:r>
      <w:r w:rsidRPr="00640820">
        <w:rPr>
          <w:rFonts w:ascii="Times New Roman" w:hAnsi="Times New Roman"/>
          <w:color w:val="000000" w:themeColor="text1"/>
          <w:sz w:val="16"/>
          <w:szCs w:val="16"/>
        </w:rPr>
        <w:softHyphen/>
        <w:t xml:space="preserve">ков (425-й, 509-й и 42-й </w:t>
      </w:r>
      <w:r w:rsidRPr="00640820">
        <w:rPr>
          <w:rFonts w:ascii="Times New Roman" w:hAnsi="Times New Roman"/>
          <w:iCs/>
          <w:color w:val="000000" w:themeColor="text1"/>
          <w:sz w:val="16"/>
          <w:szCs w:val="16"/>
        </w:rPr>
        <w:t>иап,</w:t>
      </w:r>
      <w:r w:rsidRPr="00640820">
        <w:rPr>
          <w:rFonts w:ascii="Times New Roman" w:hAnsi="Times New Roman"/>
          <w:color w:val="000000" w:themeColor="text1"/>
          <w:sz w:val="16"/>
          <w:szCs w:val="16"/>
        </w:rPr>
        <w:t xml:space="preserve"> 74-й и 299-й </w:t>
      </w:r>
      <w:r w:rsidRPr="00640820">
        <w:rPr>
          <w:rFonts w:ascii="Times New Roman" w:hAnsi="Times New Roman"/>
          <w:iCs/>
          <w:color w:val="000000" w:themeColor="text1"/>
          <w:sz w:val="16"/>
          <w:szCs w:val="16"/>
        </w:rPr>
        <w:t>шап,</w:t>
      </w:r>
      <w:r w:rsidRPr="00640820">
        <w:rPr>
          <w:rFonts w:ascii="Times New Roman" w:hAnsi="Times New Roman"/>
          <w:color w:val="000000" w:themeColor="text1"/>
          <w:sz w:val="16"/>
          <w:szCs w:val="16"/>
        </w:rPr>
        <w:t xml:space="preserve"> 244-й </w:t>
      </w:r>
      <w:r w:rsidRPr="00640820">
        <w:rPr>
          <w:rFonts w:ascii="Times New Roman" w:hAnsi="Times New Roman"/>
          <w:iCs/>
          <w:color w:val="000000" w:themeColor="text1"/>
          <w:sz w:val="16"/>
          <w:szCs w:val="16"/>
        </w:rPr>
        <w:t>ббап)</w:t>
      </w:r>
      <w:r w:rsidRPr="00640820">
        <w:rPr>
          <w:rFonts w:ascii="Times New Roman" w:hAnsi="Times New Roman"/>
          <w:color w:val="000000" w:themeColor="text1"/>
          <w:sz w:val="16"/>
          <w:szCs w:val="16"/>
        </w:rPr>
        <w:t xml:space="preserve"> и основные силы ДБА РВГК (40-я, 42-я, 51 -я, 52 и 81-я </w:t>
      </w:r>
      <w:r w:rsidRPr="00640820">
        <w:rPr>
          <w:rFonts w:ascii="Times New Roman" w:hAnsi="Times New Roman"/>
          <w:iCs/>
          <w:color w:val="000000" w:themeColor="text1"/>
          <w:sz w:val="16"/>
          <w:szCs w:val="16"/>
        </w:rPr>
        <w:t>ад).</w:t>
      </w:r>
      <w:r w:rsidRPr="00640820">
        <w:rPr>
          <w:rFonts w:ascii="Times New Roman" w:hAnsi="Times New Roman"/>
          <w:color w:val="000000" w:themeColor="text1"/>
          <w:sz w:val="16"/>
          <w:szCs w:val="16"/>
        </w:rPr>
        <w:t xml:space="preserve"> ВВС Западного и Резервного фронтов помо</w:t>
      </w:r>
      <w:r w:rsidRPr="00640820">
        <w:rPr>
          <w:rFonts w:ascii="Times New Roman" w:hAnsi="Times New Roman"/>
          <w:color w:val="000000" w:themeColor="text1"/>
          <w:sz w:val="16"/>
          <w:szCs w:val="16"/>
        </w:rPr>
        <w:softHyphen/>
        <w:t xml:space="preserve">гали части 6-го иак ПВО (95-й и 27-й </w:t>
      </w:r>
      <w:r w:rsidRPr="00640820">
        <w:rPr>
          <w:rFonts w:ascii="Times New Roman" w:hAnsi="Times New Roman"/>
          <w:iCs/>
          <w:color w:val="000000" w:themeColor="text1"/>
          <w:sz w:val="16"/>
          <w:szCs w:val="16"/>
        </w:rPr>
        <w:t>иап)</w:t>
      </w:r>
      <w:r w:rsidRPr="00640820">
        <w:rPr>
          <w:rFonts w:ascii="Times New Roman" w:hAnsi="Times New Roman"/>
          <w:color w:val="000000" w:themeColor="text1"/>
          <w:sz w:val="16"/>
          <w:szCs w:val="16"/>
        </w:rPr>
        <w:t xml:space="preserve"> и ВВС МВО (в том числе 502-й </w:t>
      </w:r>
      <w:r w:rsidRPr="00640820">
        <w:rPr>
          <w:rFonts w:ascii="Times New Roman" w:hAnsi="Times New Roman"/>
          <w:iCs/>
          <w:color w:val="000000" w:themeColor="text1"/>
          <w:sz w:val="16"/>
          <w:szCs w:val="16"/>
        </w:rPr>
        <w:t>шап).</w:t>
      </w:r>
      <w:r w:rsidRPr="00640820">
        <w:rPr>
          <w:rFonts w:ascii="Times New Roman" w:hAnsi="Times New Roman"/>
          <w:color w:val="000000" w:themeColor="text1"/>
          <w:sz w:val="16"/>
          <w:szCs w:val="16"/>
        </w:rPr>
        <w:t xml:space="preserve"> 10 октября Резервный фронт был расформирован, а его войска и авиация переданы в состав Западного фронта. Авиационная группировка западного на</w:t>
      </w:r>
      <w:r w:rsidRPr="00640820">
        <w:rPr>
          <w:rFonts w:ascii="Times New Roman" w:hAnsi="Times New Roman"/>
          <w:color w:val="000000" w:themeColor="text1"/>
          <w:sz w:val="16"/>
          <w:szCs w:val="16"/>
        </w:rPr>
        <w:softHyphen/>
        <w:t>правления была пополнена 16 авиапол</w:t>
      </w:r>
      <w:r w:rsidRPr="00640820">
        <w:rPr>
          <w:rFonts w:ascii="Times New Roman" w:hAnsi="Times New Roman"/>
          <w:color w:val="000000" w:themeColor="text1"/>
          <w:sz w:val="16"/>
          <w:szCs w:val="16"/>
        </w:rPr>
        <w:softHyphen/>
        <w:t xml:space="preserve">ками, из них 7 истребительных на МиГ-3 (519-й и 28-й иап), ЛаГГ-3 (524-й и 415-й иап), Як-1 (427-й и 436-й иап) и Пе-3 (208-й иап), 4 штурмовых на Ил-2 (61 -и, 62-й, 237-й и 243-й </w:t>
      </w:r>
      <w:r w:rsidRPr="00640820">
        <w:rPr>
          <w:rFonts w:ascii="Times New Roman" w:hAnsi="Times New Roman"/>
          <w:iCs/>
          <w:color w:val="000000" w:themeColor="text1"/>
          <w:sz w:val="16"/>
          <w:szCs w:val="16"/>
        </w:rPr>
        <w:t>шап)</w:t>
      </w:r>
      <w:r w:rsidRPr="00640820">
        <w:rPr>
          <w:rFonts w:ascii="Times New Roman" w:hAnsi="Times New Roman"/>
          <w:color w:val="000000" w:themeColor="text1"/>
          <w:sz w:val="16"/>
          <w:szCs w:val="16"/>
        </w:rPr>
        <w:t xml:space="preserve"> и 5 бом</w:t>
      </w:r>
      <w:r w:rsidRPr="00640820">
        <w:rPr>
          <w:rFonts w:ascii="Times New Roman" w:hAnsi="Times New Roman"/>
          <w:color w:val="000000" w:themeColor="text1"/>
          <w:sz w:val="16"/>
          <w:szCs w:val="16"/>
        </w:rPr>
        <w:softHyphen/>
        <w:t>бардировочных на Пе-2 (46-й и 136-й ббап) и СБ (1-й, 34-й и 459-й сбап), а также одной 39-й тяжелобомбардировочной эскадрильей на ТБ-3. На можай</w:t>
      </w:r>
      <w:r w:rsidRPr="00640820">
        <w:rPr>
          <w:rFonts w:ascii="Times New Roman" w:hAnsi="Times New Roman"/>
          <w:color w:val="000000" w:themeColor="text1"/>
          <w:sz w:val="16"/>
          <w:szCs w:val="16"/>
        </w:rPr>
        <w:softHyphen/>
        <w:t xml:space="preserve">ское направление в помощь 77-й </w:t>
      </w:r>
      <w:r w:rsidRPr="00640820">
        <w:rPr>
          <w:rFonts w:ascii="Times New Roman" w:hAnsi="Times New Roman"/>
          <w:iCs/>
          <w:color w:val="000000" w:themeColor="text1"/>
          <w:sz w:val="16"/>
          <w:szCs w:val="16"/>
        </w:rPr>
        <w:t xml:space="preserve">сад </w:t>
      </w:r>
      <w:r w:rsidRPr="00640820">
        <w:rPr>
          <w:rFonts w:ascii="Times New Roman" w:hAnsi="Times New Roman"/>
          <w:color w:val="000000" w:themeColor="text1"/>
          <w:sz w:val="16"/>
          <w:szCs w:val="16"/>
        </w:rPr>
        <w:t>ВВС МВО (с 12.10.41 г. ВВС 5-й армии) была брошена наспех сформированная авиагруппа п-ка Н.А.Сбытова (41-й, 120-й и 172-й иап, 65-й шап и эскадрилья У-2). Подтягивались к Москве и авиаци</w:t>
      </w:r>
      <w:r w:rsidRPr="00640820">
        <w:rPr>
          <w:rFonts w:ascii="Times New Roman" w:hAnsi="Times New Roman"/>
          <w:color w:val="000000" w:themeColor="text1"/>
          <w:sz w:val="16"/>
          <w:szCs w:val="16"/>
        </w:rPr>
        <w:softHyphen/>
        <w:t>онные резервы из Закавказья и Забайкалья.</w:t>
      </w:r>
    </w:p>
    <w:p w14:paraId="34F6A0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Бои в воздухе в этот период отлича</w:t>
      </w:r>
      <w:r w:rsidRPr="00640820">
        <w:rPr>
          <w:rFonts w:ascii="Times New Roman" w:hAnsi="Times New Roman"/>
          <w:color w:val="000000" w:themeColor="text1"/>
          <w:sz w:val="16"/>
          <w:szCs w:val="16"/>
        </w:rPr>
        <w:softHyphen/>
        <w:t>лись исключительным упорством. Особенно активно действовали немецкие истребительная авиация и зенитная ар</w:t>
      </w:r>
      <w:r w:rsidRPr="00640820">
        <w:rPr>
          <w:rFonts w:ascii="Times New Roman" w:hAnsi="Times New Roman"/>
          <w:color w:val="000000" w:themeColor="text1"/>
          <w:sz w:val="16"/>
          <w:szCs w:val="16"/>
        </w:rPr>
        <w:softHyphen/>
        <w:t>тиллерия. Прикрытие армейских груп</w:t>
      </w:r>
      <w:r w:rsidRPr="00640820">
        <w:rPr>
          <w:rFonts w:ascii="Times New Roman" w:hAnsi="Times New Roman"/>
          <w:color w:val="000000" w:themeColor="text1"/>
          <w:sz w:val="16"/>
          <w:szCs w:val="16"/>
        </w:rPr>
        <w:softHyphen/>
        <w:t>пировок и мотомехколонн вермахта ма</w:t>
      </w:r>
      <w:r w:rsidRPr="00640820">
        <w:rPr>
          <w:rFonts w:ascii="Times New Roman" w:hAnsi="Times New Roman"/>
          <w:color w:val="000000" w:themeColor="text1"/>
          <w:sz w:val="16"/>
          <w:szCs w:val="16"/>
        </w:rPr>
        <w:softHyphen/>
        <w:t>локалиберной зенитной артиллерией, обеспечивавшей значительную поражаемость низколетящих самолетов, значи</w:t>
      </w:r>
      <w:r w:rsidRPr="00640820">
        <w:rPr>
          <w:rFonts w:ascii="Times New Roman" w:hAnsi="Times New Roman"/>
          <w:color w:val="000000" w:themeColor="text1"/>
          <w:sz w:val="16"/>
          <w:szCs w:val="16"/>
        </w:rPr>
        <w:softHyphen/>
        <w:t>тельно усилилось.</w:t>
      </w:r>
    </w:p>
    <w:p w14:paraId="747727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Согласно трофейным документам "стандартное" зенитное прикрытие не</w:t>
      </w:r>
      <w:r w:rsidRPr="00640820">
        <w:rPr>
          <w:rFonts w:ascii="Times New Roman" w:hAnsi="Times New Roman"/>
          <w:color w:val="000000" w:themeColor="text1"/>
          <w:sz w:val="16"/>
          <w:szCs w:val="16"/>
        </w:rPr>
        <w:softHyphen/>
        <w:t>мецкой мотомехдивизии включало один дивизион 37 и 20-мм зенитных автома</w:t>
      </w:r>
      <w:r w:rsidRPr="00640820">
        <w:rPr>
          <w:rFonts w:ascii="Times New Roman" w:hAnsi="Times New Roman"/>
          <w:color w:val="000000" w:themeColor="text1"/>
          <w:sz w:val="16"/>
          <w:szCs w:val="16"/>
        </w:rPr>
        <w:softHyphen/>
        <w:t>тов (всего 27 37-мм орудий и 18 20-мм орудий) приданных сил, одну штатную батарею 37-мм автоматов (12 орудий) и по две батареи 37-мм автоматов (по 4 орудия) в каждом моторизованном полку. Кроме того, в дополнение к име</w:t>
      </w:r>
      <w:r w:rsidRPr="00640820">
        <w:rPr>
          <w:rFonts w:ascii="Times New Roman" w:hAnsi="Times New Roman"/>
          <w:color w:val="000000" w:themeColor="text1"/>
          <w:sz w:val="16"/>
          <w:szCs w:val="16"/>
        </w:rPr>
        <w:softHyphen/>
        <w:t>ющимся зенитным средствам немцы в голове и в хвосте колонны располагали до 60-70 ручных пулеметов для стрель</w:t>
      </w:r>
      <w:r w:rsidRPr="00640820">
        <w:rPr>
          <w:rFonts w:ascii="Times New Roman" w:hAnsi="Times New Roman"/>
          <w:color w:val="000000" w:themeColor="text1"/>
          <w:sz w:val="16"/>
          <w:szCs w:val="16"/>
        </w:rPr>
        <w:softHyphen/>
        <w:t>бы по низколетящим советским штур</w:t>
      </w:r>
      <w:r w:rsidRPr="00640820">
        <w:rPr>
          <w:rFonts w:ascii="Times New Roman" w:hAnsi="Times New Roman"/>
          <w:color w:val="000000" w:themeColor="text1"/>
          <w:sz w:val="16"/>
          <w:szCs w:val="16"/>
        </w:rPr>
        <w:softHyphen/>
        <w:t>мовикам.</w:t>
      </w:r>
    </w:p>
    <w:p w14:paraId="1A357E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Из-за отсутствия опыта действий по целям, сильно прикрытых зенитными средствами, бронированные штурмови</w:t>
      </w:r>
      <w:r w:rsidRPr="00640820">
        <w:rPr>
          <w:rFonts w:ascii="Times New Roman" w:hAnsi="Times New Roman"/>
          <w:color w:val="000000" w:themeColor="text1"/>
          <w:sz w:val="16"/>
          <w:szCs w:val="16"/>
        </w:rPr>
        <w:softHyphen/>
        <w:t>ки Ил-2 практически в каждом боевом вылете несли потери и получали многочисленные повреждения. Боевая жи</w:t>
      </w:r>
      <w:r w:rsidRPr="00640820">
        <w:rPr>
          <w:rFonts w:ascii="Times New Roman" w:hAnsi="Times New Roman"/>
          <w:color w:val="000000" w:themeColor="text1"/>
          <w:sz w:val="16"/>
          <w:szCs w:val="16"/>
        </w:rPr>
        <w:softHyphen/>
        <w:t>вучесть Ил-2 в штурмовых авиаполках московского направления в октябре со</w:t>
      </w:r>
      <w:r w:rsidRPr="00640820">
        <w:rPr>
          <w:rFonts w:ascii="Times New Roman" w:hAnsi="Times New Roman"/>
          <w:color w:val="000000" w:themeColor="text1"/>
          <w:sz w:val="16"/>
          <w:szCs w:val="16"/>
        </w:rPr>
        <w:softHyphen/>
        <w:t>ставила 8,6 боевых вылетов на одну бо</w:t>
      </w:r>
      <w:r w:rsidRPr="00640820">
        <w:rPr>
          <w:rFonts w:ascii="Times New Roman" w:hAnsi="Times New Roman"/>
          <w:color w:val="000000" w:themeColor="text1"/>
          <w:sz w:val="16"/>
          <w:szCs w:val="16"/>
        </w:rPr>
        <w:softHyphen/>
        <w:t>евую потерю (6467).</w:t>
      </w:r>
    </w:p>
    <w:p w14:paraId="1141EC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92C36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 октября 1941 г. 3 Ил-2 215-го </w:t>
      </w:r>
      <w:r w:rsidRPr="00640820">
        <w:rPr>
          <w:rFonts w:ascii="Times New Roman" w:hAnsi="Times New Roman"/>
          <w:iCs/>
          <w:color w:val="000000" w:themeColor="text1"/>
          <w:sz w:val="16"/>
          <w:szCs w:val="16"/>
        </w:rPr>
        <w:t xml:space="preserve">шап </w:t>
      </w:r>
      <w:r w:rsidRPr="00640820">
        <w:rPr>
          <w:rFonts w:ascii="Times New Roman" w:hAnsi="Times New Roman"/>
          <w:color w:val="000000" w:themeColor="text1"/>
          <w:sz w:val="16"/>
          <w:szCs w:val="16"/>
        </w:rPr>
        <w:t xml:space="preserve">47-й </w:t>
      </w:r>
      <w:r w:rsidRPr="00640820">
        <w:rPr>
          <w:rFonts w:ascii="Times New Roman" w:hAnsi="Times New Roman"/>
          <w:iCs/>
          <w:color w:val="000000" w:themeColor="text1"/>
          <w:sz w:val="16"/>
          <w:szCs w:val="16"/>
        </w:rPr>
        <w:t>сад</w:t>
      </w:r>
      <w:r w:rsidRPr="00640820">
        <w:rPr>
          <w:rFonts w:ascii="Times New Roman" w:hAnsi="Times New Roman"/>
          <w:color w:val="000000" w:themeColor="text1"/>
          <w:sz w:val="16"/>
          <w:szCs w:val="16"/>
        </w:rPr>
        <w:t xml:space="preserve"> под прикрытием 6 МиГ-3 из 129-го </w:t>
      </w:r>
      <w:r w:rsidRPr="00640820">
        <w:rPr>
          <w:rFonts w:ascii="Times New Roman" w:hAnsi="Times New Roman"/>
          <w:iCs/>
          <w:color w:val="000000" w:themeColor="text1"/>
          <w:sz w:val="16"/>
          <w:szCs w:val="16"/>
        </w:rPr>
        <w:t>иап</w:t>
      </w:r>
      <w:r w:rsidRPr="00640820">
        <w:rPr>
          <w:rFonts w:ascii="Times New Roman" w:hAnsi="Times New Roman"/>
          <w:color w:val="000000" w:themeColor="text1"/>
          <w:sz w:val="16"/>
          <w:szCs w:val="16"/>
        </w:rPr>
        <w:t xml:space="preserve"> нанесли бомбоштурмовой удар по мотомехколонне войск против</w:t>
      </w:r>
      <w:r w:rsidRPr="00640820">
        <w:rPr>
          <w:rFonts w:ascii="Times New Roman" w:hAnsi="Times New Roman"/>
          <w:color w:val="000000" w:themeColor="text1"/>
          <w:sz w:val="16"/>
          <w:szCs w:val="16"/>
        </w:rPr>
        <w:softHyphen/>
        <w:t>ника в районе д. Карпово. Сбросив 12 бомб ФАБ-50 и выпустив 24 PC-132 и 1000 снарядов к пушкам ШВАК, группа уничтожила и повредила до 12 автома</w:t>
      </w:r>
      <w:r w:rsidRPr="00640820">
        <w:rPr>
          <w:rFonts w:ascii="Times New Roman" w:hAnsi="Times New Roman"/>
          <w:color w:val="000000" w:themeColor="text1"/>
          <w:sz w:val="16"/>
          <w:szCs w:val="16"/>
        </w:rPr>
        <w:softHyphen/>
        <w:t>шин с грузом и 2-3 батареи полевой артиллерии. По данным журнала боевых действий полка, над целью огнем зенитной артил</w:t>
      </w:r>
      <w:r w:rsidRPr="00640820">
        <w:rPr>
          <w:rFonts w:ascii="Times New Roman" w:hAnsi="Times New Roman"/>
          <w:color w:val="000000" w:themeColor="text1"/>
          <w:sz w:val="16"/>
          <w:szCs w:val="16"/>
        </w:rPr>
        <w:softHyphen/>
        <w:t>лерии был сбит и погиб ведущий груп</w:t>
      </w:r>
      <w:r w:rsidRPr="00640820">
        <w:rPr>
          <w:rFonts w:ascii="Times New Roman" w:hAnsi="Times New Roman"/>
          <w:color w:val="000000" w:themeColor="text1"/>
          <w:sz w:val="16"/>
          <w:szCs w:val="16"/>
        </w:rPr>
        <w:softHyphen/>
        <w:t>пы ст. л-т А.Новиков (6467).</w:t>
      </w:r>
    </w:p>
    <w:p w14:paraId="202B93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2B5D9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3-4 октября 1941 посадочным способом частично под огнем с помощью 80 ПС-84 и ТБ-3 на аэродрому Орла перебросили 6000 десантников 10 и 201 воздушно-десантных бригад, чтобы задержать наступление 24 танкового корпуса (3091,9).</w:t>
      </w:r>
    </w:p>
    <w:p w14:paraId="55612E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C4CB8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октября 1941 летчик 95-го иап старший лейтенант Фортовов открыл счет боевым успехам Пе-3 и одержал победу над немецким бомбардировщиком Ju 88. В тот же день еще один Ju88 был атакован и подожжен лейтенантом Куликовым. А уже 5 октября в полк пришла и первая боевая потеря - не вернулся из полета экипаж старшего лейтенанта Фортовова. Он, по свидетельству ведомого, заметил одиночный вражеский самолет, бросился на перехват и исчез из виду. Обстоятельства гибели самолета и экипажа остались неизвестными (4476).</w:t>
      </w:r>
    </w:p>
    <w:p w14:paraId="76610E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4681A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 октября 1941 летчик 95-го иап ст. лейтенант Фортовов на Пе-3 одержал победу над немецким бомбардировщиком </w:t>
      </w:r>
      <w:r w:rsidRPr="00640820">
        <w:rPr>
          <w:rFonts w:ascii="Times New Roman" w:hAnsi="Times New Roman"/>
          <w:color w:val="000000" w:themeColor="text1"/>
          <w:sz w:val="16"/>
          <w:szCs w:val="16"/>
          <w:lang w:val="en-US"/>
        </w:rPr>
        <w:t>Ju</w:t>
      </w:r>
      <w:r w:rsidRPr="00640820">
        <w:rPr>
          <w:rFonts w:ascii="Times New Roman" w:hAnsi="Times New Roman"/>
          <w:color w:val="000000" w:themeColor="text1"/>
          <w:sz w:val="16"/>
          <w:szCs w:val="16"/>
        </w:rPr>
        <w:t xml:space="preserve"> 88. В тот же день еще один </w:t>
      </w:r>
      <w:r w:rsidRPr="00640820">
        <w:rPr>
          <w:rFonts w:ascii="Times New Roman" w:hAnsi="Times New Roman"/>
          <w:color w:val="000000" w:themeColor="text1"/>
          <w:sz w:val="16"/>
          <w:szCs w:val="16"/>
          <w:lang w:val="en-US"/>
        </w:rPr>
        <w:t>Ju</w:t>
      </w:r>
      <w:r w:rsidRPr="00640820">
        <w:rPr>
          <w:rFonts w:ascii="Times New Roman" w:hAnsi="Times New Roman"/>
          <w:color w:val="000000" w:themeColor="text1"/>
          <w:sz w:val="16"/>
          <w:szCs w:val="16"/>
        </w:rPr>
        <w:t xml:space="preserve"> 88 был атакован и подожжен лейтенантом Куликовым. А уже 5 октября в полк пришла и первая боевая потеря - не вернулся из полета экипаж ст. лейтенанта Фортово- ва. По свидетельству ведомого, Фортовов заметил одиночный вражеский самолет и, приказав ведомому продолжать барражирование над объектом, бросился на перехват. Обстоятельства гибели самолета и экипажа остались неизвестными (12042).</w:t>
      </w:r>
    </w:p>
    <w:p w14:paraId="28DAD1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D9B27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3 октября 1941 г. 1-й МТАП был реорганизован в трехэскадрильный. Поскольку пополнений самолетами не поступало, в феврале 42-го в часть передали все уцелевшие на флоте самолеты СБ и Ар-2. Нанихсталалетать 2-яэскадрилья (9965).</w:t>
      </w:r>
    </w:p>
    <w:p w14:paraId="7438AF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DA030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lang w:val="en-US"/>
        </w:rPr>
        <w:t>October</w:t>
      </w:r>
      <w:r w:rsidRPr="00640820">
        <w:rPr>
          <w:rFonts w:ascii="Times New Roman" w:hAnsi="Times New Roman"/>
          <w:color w:val="000000" w:themeColor="text1"/>
          <w:sz w:val="16"/>
          <w:szCs w:val="16"/>
        </w:rPr>
        <w:t xml:space="preserve"> 3, 1941: </w:t>
      </w:r>
      <w:r w:rsidRPr="00640820">
        <w:rPr>
          <w:rFonts w:ascii="Times New Roman" w:hAnsi="Times New Roman"/>
          <w:color w:val="000000" w:themeColor="text1"/>
          <w:sz w:val="16"/>
          <w:szCs w:val="16"/>
          <w:lang w:val="en-US"/>
        </w:rPr>
        <w:t>Units</w:t>
      </w:r>
      <w:r w:rsidRPr="00640820">
        <w:rPr>
          <w:rFonts w:ascii="Times New Roman" w:hAnsi="Times New Roman"/>
          <w:color w:val="000000" w:themeColor="text1"/>
          <w:sz w:val="16"/>
          <w:szCs w:val="16"/>
        </w:rPr>
        <w:t xml:space="preserve"> </w:t>
      </w:r>
      <w:r w:rsidRPr="00640820">
        <w:rPr>
          <w:rFonts w:ascii="Times New Roman" w:hAnsi="Times New Roman"/>
          <w:color w:val="000000" w:themeColor="text1"/>
          <w:sz w:val="16"/>
          <w:szCs w:val="16"/>
          <w:lang w:val="en-US"/>
        </w:rPr>
        <w:t>of</w:t>
      </w:r>
      <w:r w:rsidRPr="00640820">
        <w:rPr>
          <w:rFonts w:ascii="Times New Roman" w:hAnsi="Times New Roman"/>
          <w:color w:val="000000" w:themeColor="text1"/>
          <w:sz w:val="16"/>
          <w:szCs w:val="16"/>
        </w:rPr>
        <w:t xml:space="preserve"> </w:t>
      </w:r>
      <w:r w:rsidRPr="00640820">
        <w:rPr>
          <w:rFonts w:ascii="Times New Roman" w:hAnsi="Times New Roman"/>
          <w:color w:val="000000" w:themeColor="text1"/>
          <w:sz w:val="16"/>
          <w:szCs w:val="16"/>
          <w:lang w:val="en-US"/>
        </w:rPr>
        <w:t>Heeresgruppe</w:t>
      </w:r>
      <w:r w:rsidRPr="00640820">
        <w:rPr>
          <w:rFonts w:ascii="Times New Roman" w:hAnsi="Times New Roman"/>
          <w:color w:val="000000" w:themeColor="text1"/>
          <w:sz w:val="16"/>
          <w:szCs w:val="16"/>
        </w:rPr>
        <w:t xml:space="preserve"> </w:t>
      </w:r>
      <w:r w:rsidRPr="00640820">
        <w:rPr>
          <w:rFonts w:ascii="Times New Roman" w:hAnsi="Times New Roman"/>
          <w:color w:val="000000" w:themeColor="text1"/>
          <w:sz w:val="16"/>
          <w:szCs w:val="16"/>
          <w:lang w:val="en-US"/>
        </w:rPr>
        <w:t>Mitte</w:t>
      </w:r>
      <w:r w:rsidRPr="00640820">
        <w:rPr>
          <w:rFonts w:ascii="Times New Roman" w:hAnsi="Times New Roman"/>
          <w:color w:val="000000" w:themeColor="text1"/>
          <w:sz w:val="16"/>
          <w:szCs w:val="16"/>
        </w:rPr>
        <w:t xml:space="preserve"> </w:t>
      </w:r>
      <w:r w:rsidRPr="00640820">
        <w:rPr>
          <w:rFonts w:ascii="Times New Roman" w:hAnsi="Times New Roman"/>
          <w:color w:val="000000" w:themeColor="text1"/>
          <w:sz w:val="16"/>
          <w:szCs w:val="16"/>
          <w:lang w:val="en-US"/>
        </w:rPr>
        <w:t>capture</w:t>
      </w:r>
      <w:r w:rsidRPr="00640820">
        <w:rPr>
          <w:rFonts w:ascii="Times New Roman" w:hAnsi="Times New Roman"/>
          <w:color w:val="000000" w:themeColor="text1"/>
          <w:sz w:val="16"/>
          <w:szCs w:val="16"/>
        </w:rPr>
        <w:t xml:space="preserve"> </w:t>
      </w:r>
      <w:r w:rsidRPr="00640820">
        <w:rPr>
          <w:rFonts w:ascii="Times New Roman" w:hAnsi="Times New Roman"/>
          <w:color w:val="000000" w:themeColor="text1"/>
          <w:sz w:val="16"/>
          <w:szCs w:val="16"/>
          <w:lang w:val="en-US"/>
        </w:rPr>
        <w:t>Orel</w:t>
      </w:r>
      <w:r w:rsidRPr="00640820">
        <w:rPr>
          <w:rFonts w:ascii="Times New Roman" w:hAnsi="Times New Roman"/>
          <w:color w:val="000000" w:themeColor="text1"/>
          <w:sz w:val="16"/>
          <w:szCs w:val="16"/>
        </w:rPr>
        <w:t xml:space="preserve"> (3819).</w:t>
      </w:r>
    </w:p>
    <w:p w14:paraId="45777A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390D5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октября 1941 немцы захватили Орел и устремились на Тулу (340,57).</w:t>
      </w:r>
    </w:p>
    <w:p w14:paraId="3651E4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EB2EE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октября 1941 немцы взяли Орел (3481).</w:t>
      </w:r>
    </w:p>
    <w:p w14:paraId="317369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399BF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октября 1941 КА оставила Орел (3186).</w:t>
      </w:r>
    </w:p>
    <w:p w14:paraId="2C583A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FC487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октября 1941 немцы захватили Орел и устремились на Тулу (340,57).</w:t>
      </w:r>
    </w:p>
    <w:p w14:paraId="4189B2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A8D2A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октября 1941 оставили Запорожье (512,101).</w:t>
      </w:r>
    </w:p>
    <w:p w14:paraId="74B396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8A0361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октября 1941 Гитлер в своей речи заявил, что Россия окончательно разбита и никогда больше не возродится (4962).</w:t>
      </w:r>
    </w:p>
    <w:p w14:paraId="2546CDC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50BC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октября 1941 вышло Постановление ГКО № 728 О формировании стрелковых дивизий. РГАНИР, Фонд ГКО, д. 11, лл. 112 (11012).</w:t>
      </w:r>
    </w:p>
    <w:p w14:paraId="3C662F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72C9C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октября 1941 в первом же бою в Кировском районе Калужской области погиб ополченец Ю.В.Кондратюк</w:t>
      </w:r>
    </w:p>
    <w:p w14:paraId="458B1A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4906473"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326A3CCF"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0ABB1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октября 1941 г. Для руководства разведывательно-диверсионными группами, действующими в тылу противника, в составе НКВД СССР был организован 2 отдел (10303).</w:t>
      </w:r>
    </w:p>
    <w:p w14:paraId="45C1C5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5BB626F"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70BC0407"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7F37A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октября 1941 года:</w:t>
      </w:r>
    </w:p>
    <w:p w14:paraId="52A4DC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 В. СТАЛИН Ф. РУЗВЕЛЬТУ *</w:t>
      </w:r>
    </w:p>
    <w:p w14:paraId="19A4A9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Уважаемый г-н Рузвельт,</w:t>
      </w:r>
    </w:p>
    <w:p w14:paraId="5D0495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Ваше письмо мне передано г. Гарриманом.</w:t>
      </w:r>
    </w:p>
    <w:p w14:paraId="13EA7C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Пользуюсь случаем, чтобы выразить Вам глубокую благодарность Советского Правительства за то, что Вы поручили руководство американской делегацией столь авторитетному лицу, как г. Гарриман, участие которого в работах Московской конференции трех держав </w:t>
      </w:r>
      <w:r w:rsidRPr="00640820">
        <w:rPr>
          <w:rFonts w:ascii="Times New Roman" w:hAnsi="Times New Roman"/>
          <w:color w:val="000000" w:themeColor="text1"/>
          <w:sz w:val="16"/>
          <w:szCs w:val="16"/>
          <w:vertAlign w:val="superscript"/>
        </w:rPr>
        <w:t>3</w:t>
      </w:r>
      <w:r w:rsidRPr="00640820">
        <w:rPr>
          <w:rFonts w:ascii="Times New Roman" w:hAnsi="Times New Roman"/>
          <w:color w:val="000000" w:themeColor="text1"/>
          <w:sz w:val="16"/>
          <w:szCs w:val="16"/>
        </w:rPr>
        <w:t xml:space="preserve"> было так эффективно.</w:t>
      </w:r>
    </w:p>
    <w:p w14:paraId="25B3FD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 не сомневаюсь, что Вами будет сделано все необходимое для того, чтобы обеспечить реализацию решений Московской конференции возможно скоро и полно, особенно ввиду того, что предзимние месяцы гитлеровцы наверняка постараются использовать для всяческого нажима на фронте против СССР.</w:t>
      </w:r>
    </w:p>
    <w:p w14:paraId="050454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Как и Вы, я не сомневаюсь в конечной победе над Гитлером стран, которые теперь объединяют свои усилии для того, чтобы ускорить ликвидацию кровавого гитлеризма, для чего Советский Союз приносит теперь столь большие и тяжелые жертвы.</w:t>
      </w:r>
    </w:p>
    <w:p w14:paraId="12372C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искренним уважением</w:t>
      </w:r>
    </w:p>
    <w:p w14:paraId="69B98C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 СТАЛИН (7430).</w:t>
      </w:r>
    </w:p>
    <w:p w14:paraId="0E47C9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30A0C70"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638C15D4"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02E4A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октября 1941, через три месяца после начала войны в СССР, Гитлер в победоносной речи заявил, что захваченные советские территории представляли собой «не что иное, как единую фабрику по производству оружия, построенную за счет снижения уровня жизни населения», и что он даже не представлял себе, как далеко зашла подготовка СССР к войне против Германии и Европы. К тому моменту в результате внезапного нападения на СССР было захвачено или уничтожено 18 тыс. танков, 22 тыс. орудий, 14,5 тыс. самолетов.... Легко понять потрясение Гитлера, начавшего поход на Восток с тремя с половиной тысячами танков (11598).</w:t>
      </w:r>
    </w:p>
    <w:p w14:paraId="5AF273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249EF15" w14:textId="77777777" w:rsidR="00A00ACC" w:rsidRPr="00640820" w:rsidRDefault="00A00ACC"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3 октября </w:t>
      </w:r>
      <w:r w:rsidRPr="00640820">
        <w:rPr>
          <w:rFonts w:ascii="Times New Roman" w:hAnsi="Times New Roman"/>
          <w:color w:val="000000" w:themeColor="text1"/>
          <w:sz w:val="16"/>
          <w:szCs w:val="16"/>
        </w:rPr>
        <w:t>в 1941 году американский химики Лайл Гудхью и Салливэн патентуют аэрозольный контейнер для распыления инсектицидов. Вскоре их изобретение найдет применение и в других областях, а озоновый слой Земли станет быстро разрушаться (14788).</w:t>
      </w:r>
    </w:p>
    <w:p w14:paraId="0965B014" w14:textId="77777777" w:rsidR="00A00ACC" w:rsidRPr="00640820" w:rsidRDefault="00A00ACC" w:rsidP="00640820">
      <w:pPr>
        <w:spacing w:after="0" w:line="240" w:lineRule="auto"/>
        <w:jc w:val="both"/>
        <w:rPr>
          <w:rFonts w:ascii="Times New Roman" w:hAnsi="Times New Roman"/>
          <w:color w:val="000000" w:themeColor="text1"/>
          <w:sz w:val="16"/>
          <w:szCs w:val="16"/>
        </w:rPr>
      </w:pPr>
    </w:p>
    <w:p w14:paraId="1D20B2A1"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0A718948"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78A5820" w14:textId="77777777" w:rsidR="0088470A" w:rsidRPr="00640820" w:rsidRDefault="0088470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4 октября 1941 г. в Харькове сдали последний Су-2 — завод отправился в эвакуацию (22829).</w:t>
      </w:r>
    </w:p>
    <w:p w14:paraId="2163AABB" w14:textId="77777777" w:rsidR="0088470A" w:rsidRPr="00640820" w:rsidRDefault="0088470A" w:rsidP="00640820">
      <w:pPr>
        <w:spacing w:after="0" w:line="240" w:lineRule="auto"/>
        <w:jc w:val="both"/>
        <w:rPr>
          <w:rFonts w:ascii="Times New Roman" w:hAnsi="Times New Roman"/>
          <w:color w:val="0070C0"/>
          <w:sz w:val="16"/>
          <w:szCs w:val="16"/>
        </w:rPr>
      </w:pPr>
    </w:p>
    <w:p w14:paraId="40AC4A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октября 1941 полеты на МиГ-3 №5395 с АМ-38 возобновились на ЛЭС завода №1. Однако 5 октября 1941 г. самолет МиГ-3 №3595 во время определения скоростей по высотам и проверки скороподъемности потерпел катастрофу, в которой погиб летчик-испытатель Н.П.Баулин. Как показало расследование, причиной случившегося стал воздушный бой, в результате которого МиГ-3 №3595 перешел в пикирование, окончившееся катастрофой. Как рассказывали очевидцы, в районе катастрофы они видели второй самолет и слышали стрельбу в воздухе. Изучение останков МиГ-3 показало, что из пулеметов ШКАС было сделано 5-10 выстрелов, а из пулемета БС - 50-70 выстрелов. Это обстоятельство также свидетельствовало о боевом соприкосновении с самолетом противника. Непосредственной причиной катастрофы стало разрушение поврежденной в бою обшивки хвостовой части фюзеляжа с потерей хвостового оперения, в результате чего самолет потерял управление и перешел в неуправляемый штопор (4802).</w:t>
      </w:r>
    </w:p>
    <w:p w14:paraId="2CC144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D65F80C"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1BE98F12"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A226D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октября 1941 вышло Постановление ГКО № 731 Об эвакуации второй очереди харьковских заводов: № 183,75 и ХТЗ и Мариупольского завода им. Ильича. РГАНИР, Фонд ГКО, д. 11, лл. 118 (11012).</w:t>
      </w:r>
    </w:p>
    <w:p w14:paraId="45D15C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BDDBB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октября 1941 выходит постановление ГКО, вносившее изменение в порядок эвакуации заводов № 75, № 183, ХТЗ и Мариупольского завода имени Ильича. 7 октября в соответствии с этим постановлением появился приказ наркома танковой промышленности Малышева В. А. № 53сс. Новые решения фактически отменяли двухэшелонный порядок эвакуации. Теперь эвакуировать следовало всё и при этом как можно быстрее. Срок был назван фантастически короткий, и поэтому невыполнимый – 15 октября, то есть, считая с днём появления приказа – 9 суток. Приказом был назначен срок начала производства танков на новом месте – 1 ноября. Эвакуации заводов НКТП из Харькова уделялось особое внимание, о чём свидетельствует то, что личный контроль за её осуществлением должен был осуществлять председатель комитета по эвакуации Шверник Н. М.. От НКТП в Харьков контролировать ход эвакуации был послан заместитель наркома Зернов. Нарком путей сообщения Л. М. Каганович должен был обеспечить подачу необходимого количества вагонов ( при этом точное число вагонов не указывалось, возможно, следовало исходить из того, сколько НКПС вообще сможет предоставить за такой короткий срок ). Начальник Главснаба НКТП Розин должен был обеспечить своевременное получение вагонов от НКПС. То, что на этот раз данная важная задача была доверена начальнику Главснаба, а не начальнику транспортного отдела, который должен был бы этим заниматься по своим служебным обязанностям, показывает, что перед этим с получением вагонов у НКТП возникали большие проблемы (11510).</w:t>
      </w:r>
    </w:p>
    <w:p w14:paraId="545DF0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06EF011" w14:textId="77777777" w:rsidR="0088470A" w:rsidRPr="00640820" w:rsidRDefault="0088470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4 октября 1941 выходит постановление ГКО (РГАСПИ. Ф. 644. Оп. 1. Д. 11. Л. 118), вносившее изменение в порядок эвакуации заводов № 75, № 183, ХТЗ и Мариупольского завода имени Ильича. 7 октября в соответствии с этим постановлением появился приказ Наркома танковой промышленности Малышева В. А. № 53сс (РГАЭ. Ф. 8752. Оп. 4. Д. 3. Л. 47-48). Новые решения фактически отменяли двухэшелонный порядок эвакуации. Теперь вывозить следовало всё и притом как можно быстрее. Срок был назван фантастически короткий - 15 октября, то есть, считая с днём появления приказа - 9 суток. Постановлением ГКО был назначен срок начала производства танков на новом месте - 15 ноября. В. А. Малышев в своём приказе сократил его ещё на 15 дней. Эвакуации заводов НКТП из Харькова уделялось особое внимание, о чём свидетельствует то, что личный контроль за её выполнением должен был осуществлять председатель Комитета по эвакуации Н. М. Шверник. </w:t>
      </w:r>
      <w:r w:rsidRPr="00640820">
        <w:rPr>
          <w:rFonts w:ascii="Times New Roman" w:hAnsi="Times New Roman"/>
          <w:color w:val="000000" w:themeColor="text1"/>
          <w:sz w:val="16"/>
          <w:szCs w:val="16"/>
        </w:rPr>
        <w:lastRenderedPageBreak/>
        <w:t>От НКТП в Харьков контролировать ход эвакуации был послан заместитель наркома П. Зернов. Нарком путей сообщения Л. М. Каганович отвечал за обеспечение подачи необходимого количества вагонов (при этом точное число вагонов не указывалось, возможно, следовало исходить из того, сколько НКПС вообще сможет предоставить за такой короткий срок).</w:t>
      </w:r>
    </w:p>
    <w:p w14:paraId="1AFC9DBC" w14:textId="77777777" w:rsidR="0088470A" w:rsidRPr="00640820" w:rsidRDefault="0088470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Составленные сразу же после завершения отправки грузов с завода акты и справка о выполнении постановлений ГКО и эвакуационного совета об эвакуации города Харькова, сохранившиеся в делах Комитета по эвакуации, рисуют оптимистическую картину: вывезено всё оборудование, приспособления, заделы, запасы. Последний эшелон с грузами завода № 183 ушёл 19 октября. Эвакуировано: с завода № 183 5234 сотрудника, с завода № 75 4480 сотрудников, с ХТЗ 4754 сотрудника (ГАРФ. Ф. Р-6822. Оп. 1. Д. 470. Л. 59-70). Осталось лишь некоторое количество оборудования, которое невозможно было вывезти - котлы, краны, компрессоры, и т. д., а также небольшая часть запасов материалов недефицитных типов. Однако позже, когда стала ясна полная картина итогов эвакуации, ее результаты стали восприниматься иначе, не так однозначно. Оказалось, что в её ходе предприятия понесли значительные потери. В 1942 году А. А. Морозов говорил как об очевидной всем вещи, что «завод не располагает целиком и полностью тем оборудованием, которым завод располагал на старой площадке» (РГАЭ. Ф. 8752. Оп. 4. Д. 204. Л. 18), что наносит большой ущерб качеству продукции (имеется в виду завод № 183).</w:t>
      </w:r>
    </w:p>
    <w:p w14:paraId="683BFBCD" w14:textId="77777777" w:rsidR="0088470A" w:rsidRPr="00640820" w:rsidRDefault="0088470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Хуже всего прошла эвакуация персонала. Всего с завода № 183 в Нижний Тагил эвакуировали 5234 работников, в том числе 2859 рабочих, 1456 ИТР, 119 служащих и 800 учеников ФЗУ, прикреплённого к заводу. Для сравнения, в 1940 году на предприятии работало 17988 рабочих и 3591 ИТР (РГАЭ. Ф. 8798. Оп. 7. Д. 1. Л. 18). Иными словами, эвакуировано было менее половины ИТР и 15% рабочих от предвоенной численности. Дополнительно на завод было эвакуировано 732 человека из Мариупольского завода имени Ильича, в том числе 550 рабочих, 1005 человек с завода № 184 имени Орджоникидзе, 380 человек с завода «Профинтерн», 250 человек с Кольчугинского завода, 110 человек с завода «Марти» в городе Николаеве, 900 трудмобилизованных из Москвы и 147 рабочих из других мест (РГАЭ. Ф. 8798. Оп. 4. Д. 17. Л. 138, 273). В общей сложности в конце 1941 - начале 1942 годов на завод прибыло 8758 человек. Уже сам вышеприведённый список красноречиво свидетельствует о том, какой хаос царил во время эвакуации. И люди, и оборудование пропадали без следа и могли оказаться где угодно. Возможно, точно так же, как в Нижнем Тагиле, оказались рабочие, которых не должно было быть там, и часть рабочих завода № 183 оказалась где-то на других заводах.</w:t>
      </w:r>
    </w:p>
    <w:p w14:paraId="6037E4C0" w14:textId="77777777" w:rsidR="0088470A" w:rsidRPr="00640820" w:rsidRDefault="0088470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Судя по тому, что приказ № 4сс предписывал построить для вновь прибывающих из Харькова и Мариуполя работников домов на 40.000 человек, и ещё дополнительно освободить жилой фонд в городе Нижний Тагил, в тот момент предполагалось перевезти в Нижний Тагил примерно 15.000 работников заводов № 183 и Мариупольского имени Ильича. Но в действительности с этих заводов было эвакуировано только 5966 человек, почти в три раза меньше.</w:t>
      </w:r>
    </w:p>
    <w:p w14:paraId="5B4F8E90" w14:textId="77777777" w:rsidR="0088470A" w:rsidRPr="00640820" w:rsidRDefault="0088470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Причиной столь неутешительных итогов эвакуации рабочих завода № 183 был не только дефицит времени, но и вступление части работников завода в народное ополчение Харькова. В общей сложности в его ряды вошло 85000 человек (население города составляло 800 тысяч человек). Отметим, что в народное ополчение обычно вступали те, кто по каким-либо причинам не был призван в армию, в том числе, из-за работы на военном заводе. Поэтому в его рядах было немало работников ХПЗ, ХТЗ и завода № 75.</w:t>
      </w:r>
    </w:p>
    <w:p w14:paraId="161D0AF9" w14:textId="77777777" w:rsidR="0088470A" w:rsidRPr="00640820" w:rsidRDefault="0088470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Впрочем, ожидаемое число рабочих в Нижнем Тагиле в действительности размещать было негде, так как план строительства жилья выполнен не был. В то время как планировалось построить к 1 января 1942 года жилплощадь на 40.000 человек, в действительности к концу февраля было сдано жилья только на двадцать тысяч человек, при этом 55,5 тыс. кв. метров землянок и 32,4 тыс. кв. метров бараков (РГАЭ. Ф. 8798. Оп. 4, Д. 17. Л. 302). Жильё было построено наспех, расположение его не было продумано. В итоге весной 1942 года многие землянки затопило водой. Это послужило причиной бегства с завода части его персонала. Что касается бараков, то многие из них были построены без утепления и штукатурки. Облегчало ситуацию то, что завод получил 208.000 кв. м. жилья Уральского Вагоностроительного завода, а также часть домов в Нижнем Тагиле (РГАЭ. Ф. 8798. Оп. 4, Д. 14. Л. 10 - 11).</w:t>
      </w:r>
    </w:p>
    <w:p w14:paraId="733AB211" w14:textId="77777777" w:rsidR="0088470A" w:rsidRPr="00640820" w:rsidRDefault="0088470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итоге завод № 183 в Нижнем Тагиле, как и все остальные заводы НКТП, испытывал после эвакуации острую нехватку рабочей силы. Руководство Наркомата приложило немало усилий, пытаясь пополнить её из различных источников. Осложняло ситуацию то, что потерянная рабочая сила в большинстве случаев относилась к категории высококвалифицированной, и в военных условиях возместить эти потери было невозможно.</w:t>
      </w:r>
    </w:p>
    <w:p w14:paraId="2DCE3E8C" w14:textId="77777777" w:rsidR="0088470A" w:rsidRPr="00640820" w:rsidRDefault="0088470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Эвакуация оборудования прошла несколько лучше. В общей сложности согласно актам об эвакуации с завода № 183 было вывезено 2721 единица оборудования, с Харьковского тракторного заводе - 3745 единиц оборудования, с завода № 75 - 3119 единиц оборудования (ГАРФ. Ф. Р-6822. Оп. 1. Д. 470. Л. 59-70). Всего на Уралвагонзавод прибыло около 1500 вагонов с эвакуированным оборудованием. Это, безусловно, очень много, но по первоначальным планам только с завода № 183 должно было прибыть 2100 вагонов. Таким образом, значительное количество оборудования в ходе эвакуации было оставлено в Харькове. Немало его было потеряно в пути. На 30 декабря 1941 года не было доставлено к месту назначения 320 вагонов с завода № 183, 235 вагонов с завода № 75, 700 вагонов с Мариупольского завода имени Ильича (РГАЭ. Ф. 8752. Оп. 4, Д. 9. Л. 90). Поскольку с момента завершения отправки эвакуируемого оборудования прошло более двух месяцев, то это имущество можно смело отнести в разряд потерянного. На конец года в Нижний Тагил прибыло всего 1914 единиц оборудования (12290).</w:t>
      </w:r>
    </w:p>
    <w:p w14:paraId="5C424AD0" w14:textId="77777777" w:rsidR="0088470A" w:rsidRPr="00640820" w:rsidRDefault="0088470A" w:rsidP="00640820">
      <w:pPr>
        <w:spacing w:after="0" w:line="240" w:lineRule="auto"/>
        <w:jc w:val="both"/>
        <w:rPr>
          <w:rFonts w:ascii="Times New Roman" w:hAnsi="Times New Roman"/>
          <w:color w:val="000000" w:themeColor="text1"/>
          <w:sz w:val="16"/>
          <w:szCs w:val="16"/>
        </w:rPr>
      </w:pPr>
    </w:p>
    <w:p w14:paraId="32D61A1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октября 1941 в постановлении ГКО № 734сс (РГАСПИ. Ф. 644. Оп. 1. Д.11. Л. 169-171) решили возобновить эвакуацию танкового производства из Ленинграда. Оборудование и кадры Кировского, Ижорского заводов и завода № 174 предстояло вывозить через Ладожское озеро. Прежнее решение о вывозе Кировского завода в Челябинск оставалось в силе. Ижорский же завод в основном, как и предусматривалось ранее, вывозился на УЗТМ, но часть оборудования должен был выделить заводу № 78. Сроком для завершения эвакуации было определено 1 ноября. Для того, чтобы вывезти из города наиболее ценных работников, было принято решение задействовать транспортную авиацию. До 25 октября она должна была эвакуировать из Ленинграда 5000 рабочих Кировского завода, 3500 Ижорского завода, 1000 завода №174 и 1000 с других предприятий. В этом же постановлении ГКО ЧТЗ переименовывался в Кировский завод, УЗТМ - в Ижорский завод (Позже ГКО в постановлении № 1107 от 4 янв. 1942 года отменило решение о переименовании УЗТМ (РГАСПИ. Ф. 644. Оп. 1. Д.18 Л. 158)). Было решено создать новую организационную структуру: Комбинат тяжелых танков в составе Кировского завода в Челябинске, Ижорского завода и Уралтурбомаша. В тот же день директор Кировского завода И. М. Зальцман постановлением СНК №2124 был назначен заместителем наркома с сохранением прежней должности. Аналогичное повышение получил и главный конструктор Кировского завода Ж. Я. Котин, ставший заместителем Малышева по техническим вопросам, новым конструкциям и опытным работам.</w:t>
      </w:r>
    </w:p>
    <w:p w14:paraId="5AB2EA1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Челябинске эвакуированные кадры и оборудование Кировского завода стали основой для знаменитого Танкограда, слившись в нём с Челябинским тракторным, частью завода № 75, заводом «Красный Пролетарий» и 7-м заводом шлифовальных станков. И. М. Зальцман шёл на самые крайние меры, чтобы быстрее наладить производство. Например, для того, чтобы быстрее ввести в дело станки, их порой устанавливали в недостроенных цехах, даже не заливая основания бетоном. Танкоград в деле налаживания производства на новом месте оказался рекордсменом, выпустившим в 1941 году 514 танков, в том числе, 73 танка в III квартале. Помогало то, что Челябинский тракторный ещё до войны начал готовиться к переходу на производство танков. Энергичный директор завода Исаак Моисеевич Зальцман повысил свой авторитет в глазах руководства страны, которое считало его специалистом по налаживанию производства. Конечно, и на Кировском заводе работа не всегда шла гладко. Большие трудности возникали из-за несоблюдения техпроцессов, частых несоблюдений допусков, особенно неопытными рабочими. В результате увеличивалось количество производственного брака. На решение проблемы организации правильного техпроцесса пришлось переключить специалистов из конструкторского отдела. Но всё же именно Танкоград был тогда наиболее успешным предприятием наркомата. В результате И. М. Зальцман стал считаться своеобразным специалистом по налаживанию производства танков. Поэтому, когда в январе 1942 года на заводе № 183 сложилась кризисная ситуация, именно он был назначен туда директором.</w:t>
      </w:r>
    </w:p>
    <w:p w14:paraId="1CCAA3F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того, как озеро покрылось льдом, вывоз оборудования затормозился и возобновился только летом следующего года. НКТП получил разрешение вывезти из Ленинграда 1500 единиц оборудования. Партии с этим грузом поступили не только на ранее эвакуированные из города заводы.</w:t>
      </w:r>
    </w:p>
    <w:p w14:paraId="2500CBA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Оборудование из Ленинграда распределялось руководством НКТП между предприятиями наркомата исходя из того, где оно в тот момент было более необходимо. В июне 1942 года дизельный завод № 76 получил 239 станков, Кировский завод - 209, завод № 112 - 174, СТЗ - 144, УЗТМ - 94, № 200 – 29 (РГАЭ. Ф. 8752. оп. 4. Д. 90. Л. 210-208). Кроме того, 295 станков было предназначено для передачи заводам, производящим электрооборудование для танков: №255, № 254 и № 238.</w:t>
      </w:r>
    </w:p>
    <w:p w14:paraId="2A92148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Эвакуация Кировского завода превратилась в длительный и тяжелый процесс. Часть оборудования и рабочих так и осталась на месте до конца блокады. К началу 1944 года на заводе всё ещё находилось полторы тысячи металлорежущих станков, и, что особенно важно, 8 прокатных станов. Ещё труднее было вывозить оборудование с Ижорского завода. Его эвакуации препятствовало то, что завод находился в городе Колпино, непосредственно вблизи линии фронта, которая была отодвинута от завода только в 1944 году после снятия блокады Ленинграда. К этому моменту на заводе оставался, как минимум, один прокатный стан и немало другого оборудования, что позволило начать в 1945 году производство бронекорпусов (12290).</w:t>
      </w:r>
    </w:p>
    <w:p w14:paraId="412B05E4"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3ACE629D" w14:textId="77777777" w:rsidR="0088470A" w:rsidRPr="00640820" w:rsidRDefault="0088470A" w:rsidP="00640820">
      <w:pPr>
        <w:shd w:val="clear" w:color="auto" w:fill="FFFFFF"/>
        <w:spacing w:after="0" w:line="240" w:lineRule="auto"/>
        <w:jc w:val="both"/>
        <w:rPr>
          <w:rFonts w:ascii="Times New Roman" w:eastAsia="Times New Roman" w:hAnsi="Times New Roman"/>
          <w:color w:val="0070C0"/>
          <w:sz w:val="16"/>
          <w:szCs w:val="16"/>
          <w:lang w:eastAsia="ru-RU"/>
        </w:rPr>
      </w:pPr>
      <w:r w:rsidRPr="00640820">
        <w:rPr>
          <w:rFonts w:ascii="Times New Roman" w:eastAsia="Times New Roman" w:hAnsi="Times New Roman"/>
          <w:color w:val="0070C0"/>
          <w:sz w:val="16"/>
          <w:szCs w:val="16"/>
          <w:lang w:eastAsia="ru-RU"/>
        </w:rPr>
        <w:t xml:space="preserve">4 октября 1941 Сталин подписал постановление ГКО №734сс "О Кировском и Ижорском заводах и заводе № 174", согласно которому приняли окончательное решение об эвакуации Кировского Завода в Челябинск. Фактически этот процесс начался еще летом, теперь же ЧТЗ, куда эвакуировался Кировский Завод, а также завод №75 (г. Харьков), производивший танковые моторы семейства В-2, становился главной площадкой выпуска КВ-1. Пунктом 11 постановления ГКО №734сс ЧТЗ превращался в "комбинат по производству танков КВ", а сам завод переименовали в Челябинский Кировский Завод (ЧКЗ). С этого момента началась история Танкограда. Новым директором завода стал И.М. Зальцман, до того директор Кировского завода, а Котин стал главным конструктором. Одновременно Зальцмана и Котина назначили заместителями накрома танковой промышленности. Новый наркомат, образованный 11 сентября 1941 года, возглавил В.А. Малышев, до того нарком среднего машиностроения. В ведении Котина оказывались новые конструкции и перспективные разработки бронетанковой техники (20860). </w:t>
      </w:r>
    </w:p>
    <w:p w14:paraId="1AA9F435" w14:textId="77777777" w:rsidR="0088470A" w:rsidRPr="00640820" w:rsidRDefault="0088470A" w:rsidP="00640820">
      <w:pPr>
        <w:shd w:val="clear" w:color="auto" w:fill="FFFFFF"/>
        <w:spacing w:after="0" w:line="240" w:lineRule="auto"/>
        <w:jc w:val="both"/>
        <w:rPr>
          <w:rFonts w:ascii="Times New Roman" w:eastAsia="Times New Roman" w:hAnsi="Times New Roman"/>
          <w:color w:val="0070C0"/>
          <w:sz w:val="16"/>
          <w:szCs w:val="16"/>
          <w:lang w:eastAsia="ru-RU"/>
        </w:rPr>
      </w:pPr>
    </w:p>
    <w:p w14:paraId="2FB210B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4 октября 1941 года Постановлением Государственного Комитета Обороны разрешалось использовать двигатели М-17 в танках Т-34 вместо дизеля В-2. Ситуация осложнялась тем, что М-17 серийно уже не производился, и большая часть этих моторов, поступала со складов и требовала ремонта. Но другого выхода не было, и пришлось ставить на тридцатьчетверки то, что имелось. В октябре СТЗ сдал Красной Армии 15 Т-34 с М-17Т (12217).</w:t>
      </w:r>
    </w:p>
    <w:p w14:paraId="5D380396"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48EE79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октября 1941 вышло Постановление ГКО № 732 О программе производства танков в ноябре и декабре месяцах 1941 г. с доведением ежесуточного выпуска в декабре месяце до 85 танков. РГАНИР, Фонд ГКО, д. 11, лл. 119-133, 134-167 (11012).</w:t>
      </w:r>
    </w:p>
    <w:p w14:paraId="7FC334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EC568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октября 1941 вышло Постановление ГКО № 733 О назначении тов. Пономаренко П.К. РГАНИР, Фонд ГКО, д. 11, лл. 168 (11012).</w:t>
      </w:r>
    </w:p>
    <w:p w14:paraId="764733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4914020" w14:textId="77777777" w:rsidR="00A00AC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октября 1941 вышло Постановление ГКО № 734 [Об эвакуации Кировского и Ижорского заводов и завода № 174]. (7012, 169-171).</w:t>
      </w:r>
    </w:p>
    <w:p w14:paraId="7355E35D" w14:textId="77777777" w:rsidR="00A00ACC" w:rsidRPr="00640820" w:rsidRDefault="00A00AC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005B86" w14:textId="77777777" w:rsidR="00A00AC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kern w:val="36"/>
          <w:sz w:val="16"/>
          <w:szCs w:val="16"/>
        </w:rPr>
      </w:pPr>
      <w:r w:rsidRPr="00640820">
        <w:rPr>
          <w:rFonts w:ascii="Times New Roman" w:hAnsi="Times New Roman"/>
          <w:color w:val="000000" w:themeColor="text1"/>
          <w:kern w:val="36"/>
          <w:sz w:val="16"/>
          <w:szCs w:val="16"/>
        </w:rPr>
        <w:t>4 октября 1941 вышло:</w:t>
      </w:r>
    </w:p>
    <w:p w14:paraId="45C3FD85" w14:textId="77777777" w:rsidR="00A00AC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kern w:val="36"/>
          <w:sz w:val="16"/>
          <w:szCs w:val="16"/>
        </w:rPr>
      </w:pPr>
      <w:r w:rsidRPr="00640820">
        <w:rPr>
          <w:rFonts w:ascii="Times New Roman" w:hAnsi="Times New Roman"/>
          <w:color w:val="000000" w:themeColor="text1"/>
          <w:kern w:val="36"/>
          <w:sz w:val="16"/>
          <w:szCs w:val="16"/>
        </w:rPr>
        <w:t>ПОСТАНОВЛЕНИЕ ГОСУДАРСТВЕННОГО КОМИТЕТА ОБОРОНЫ № 734сс от 4.Х.1941</w:t>
      </w:r>
    </w:p>
    <w:p w14:paraId="0AE1A8F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 Кировском и Ижорском заводах и заводе № 174</w:t>
      </w:r>
    </w:p>
    <w:p w14:paraId="0E1CCB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Государственный Комитет Обороны ПОСТАНОВЛЯЕТ:</w:t>
      </w:r>
    </w:p>
    <w:p w14:paraId="01B017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Немедленно приступить к эвакуации из Ленинграда:</w:t>
      </w:r>
    </w:p>
    <w:p w14:paraId="5B76CB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станков, прессов, электро и энергооборудования, литейного, кузнечного и прокатного оборудования, инструмента, приспособлений, штампов, кадров инженеров, техников и квалифицированных рабочих Кировского завода, занятых на изготовлении танков Кв и танковых пушек;</w:t>
      </w:r>
    </w:p>
    <w:p w14:paraId="776155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станков, прессов, электро и энергооборудования, литейного, кузнечного и прессового оборудования, инструмента, приспособлений, штампов, кадров инженеров, техников и квалифицированных рабочих Ижорского завода, занятых на изготовлении корпусов танков КВ и Т-50 и бронеавтомобилей;</w:t>
      </w:r>
    </w:p>
    <w:p w14:paraId="6C0BF1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станков, прессов, электрооборудования, литейного, кузнечного и прессового оборудования, инструмента, приспособлений, штампов и кадров инженеров, техников и квалифицированных рабочих завода № 174, занятых на изготовлении танков Т-50;</w:t>
      </w:r>
    </w:p>
    <w:p w14:paraId="21327C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станков, инструмента, приспособлений, штампов, кадров инженеров, техников и квалифицированных рабочих всех Ленинградских заводов, занятых на изготовлении танков КВ и Т-50 и корпусов к ним в кооперации с Кировским и Ижорским заводами и заводом № 174.</w:t>
      </w:r>
    </w:p>
    <w:p w14:paraId="28E369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станков и людей, подлежащих эвакуации по п. «г», установить Секретарю ленинградского горкома партии т. Кузнецову.</w:t>
      </w:r>
    </w:p>
    <w:p w14:paraId="375624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Эвакуацию оборудования и людей, определенных в п. 1, закончить к 1 ноября 1941 г.</w:t>
      </w:r>
    </w:p>
    <w:p w14:paraId="7ECC35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Эвакуацию всего оборудования с частью кадров производить по железной дороге до ст. Ладожское озеро и Шлиссельбург, далее на баржах по Ладожскому озеру по Ново-Ладожскому каналу и по реке Волхов до ст. Волховстрой и далее по железной дороге. Квалифицированных рабочих и ИТР вывозить из Ленинграда на самолетах до ст. Тихвин и далее по железной дороге.</w:t>
      </w:r>
    </w:p>
    <w:p w14:paraId="7B2F93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Разрешить тт. Жданову, Жукову и Исакову вносить необходимые изменения в установленный маршрут эвакуации в зависимости от обстановки на месте.</w:t>
      </w:r>
    </w:p>
    <w:p w14:paraId="6B294D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Танковое производство Кировского завода вместе с кадрами эвакуировать на Челябинский тракторный завод, производство танковых пушек Кировского завода эвакуировать на Уралмашзавод.</w:t>
      </w:r>
    </w:p>
    <w:p w14:paraId="2A88C0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корпусов танков КВ с Ижорского завода вместе с кадрами эвакуировать на Уралмашзавод и на завод № 78, производство корпусов танков Т-50 эвакуировать на Куйбышевский завод Особстроя НКВД и производство бронеавтомобилей на Саратовский завод НКТП.</w:t>
      </w:r>
    </w:p>
    <w:p w14:paraId="5B5083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Обязать НКПС — т. Кагановича организовать специальными маршрутами перевозку до 25.Х — с.г. Оборудования и людей Кировского и Ижорского заводов и завода № 174 до ст. Ладожское озеро и ст. Шлиссельбург и от ст. Волховстрой и Тихвин до места назначения.</w:t>
      </w:r>
    </w:p>
    <w:p w14:paraId="3AC8CC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Маршруты с оборудованием и людьми продвигать по особому графику без задержек , установив специальное диспетчерское наблюдение.</w:t>
      </w:r>
    </w:p>
    <w:p w14:paraId="446A78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Обязать Наркомречфлот — т. Шашкова и Наркомвоенморфлот — т. Исакова организовать перевозку до 1.XI — с.г. Оборудования и людей Кировского и Ижорского заводов № 174 по ладожскому озеру, Ново-Ладожскому каналу, по реке Волхову до ст. Волховстрой, обеспечив перевозку соответствующим количеством барж и пароходов, а также перегрузочными средствами.</w:t>
      </w:r>
    </w:p>
    <w:p w14:paraId="439580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Обязать ГУГГВФ - т. Молокова и УВВС — т. Жигарева обеспечить до 25.Х — с.г. Переброску на самолетах из Ленинграда до ст. Тихвин 5000 рабочих и ИТР с Кировского завода, 3500 человек с Ижорского завода, 1000 человек с завода № 174 и 1000 человек с других ленинградских заводов.</w:t>
      </w:r>
    </w:p>
    <w:p w14:paraId="597760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Обязать Начальника УВВС — т. Жигарева обеспечить прикрытие с воздуха эшелонов и барж с оборудованием и самолетов с людьми Кировского, Ижорского заводов и завода № 174 на все время переброски, а т. Исакова обеспечить безопасное продвижение судов с эвакуируемыми грузами по воде.</w:t>
      </w:r>
    </w:p>
    <w:p w14:paraId="53C638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Обязать Наркомторг — т. Любимова организовать на ст. Волховстрой и ст. Тихвин питание и выдачу продуктов питания и табака эвакуируемым рабочим и ИТР Кировского, Ижорского заводов, завода № 174 и других ленинградских заводов, эвакуируемых по данному постановлению, на все время нахождения их в пути.</w:t>
      </w:r>
    </w:p>
    <w:p w14:paraId="767EE9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Переименовать Челябинский тракторный завод в Кировский завод, а Уральский завод тяжелого машиностроения (Уралмашзавод) переименовать в Ижорский завод.</w:t>
      </w:r>
    </w:p>
    <w:p w14:paraId="7DD158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Образовать в Наркомтанкопроме комбинат по производству танков Кв, включив в его состав заводы: Кировский (б. ЧТЗ) Ижорский (б. Уралмашзавод) и Уралтурбозавод.</w:t>
      </w:r>
    </w:p>
    <w:p w14:paraId="63336D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Назначить директором Кировского завода т. Зальцмана И.М. Заместителем Нарком Танковой промышленности и директором комбината по производству танков КВ.</w:t>
      </w:r>
    </w:p>
    <w:p w14:paraId="46F461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Назначить т. Котина Ж.Я. Заместителем Нарком Танковой промышленности по техническим вопросам, новым конструкциям и опытным работам и главным конструктором комбината тяжелых танков.</w:t>
      </w:r>
    </w:p>
    <w:p w14:paraId="285B14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Обязать секретарей обкомов: Свердловского — т. Андрианова, Челябинского — т. Сапрыкина, Куйбышевского - т. Канунникова, Саратовского — т. Власова и Чкаловского — т. Дубровского обеспечить представление необходимой жилплощади для эвакуируемых рабочих и ИТР Кировского и Ижорского заводов, завода № 174 и других ленинградских заводов, эвакуируемых по настоящему постановлению, и для их семей.</w:t>
      </w:r>
    </w:p>
    <w:p w14:paraId="493536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Разрешить секретарям Свердловского, Челябинского и Чкаловского обкомов партии перевести из Свердловска, Челябинска и Чкалова часть советских, хозяйственных учреждений и учебных заведений, а также не связанную с промышленностью часть населения в районе области.</w:t>
      </w:r>
    </w:p>
    <w:p w14:paraId="1970C8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Обязать и.о. Директора Кировского завода в Ленинграде т. Длугач до эвакуации из Ленинграда производства танковых пушек изготовить 50 пушек для замены выходящих из строя пушек, действующих на танках Ленинградского фронта, и организовать ремонтную. базу по ремонту танков КВ.</w:t>
      </w:r>
    </w:p>
    <w:p w14:paraId="16C29D6E" w14:textId="77777777" w:rsidR="00A00AC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17. Утвердить Уполномоченным Государственного Комитета Обороны по эвакуации оборудования и людей по настоящему постановлению Секретаря Ленинградского горкома партии т. Капустина Я.Ф. </w:t>
      </w:r>
    </w:p>
    <w:p w14:paraId="431E470C" w14:textId="77777777" w:rsidR="00A00ACC" w:rsidRPr="00640820" w:rsidRDefault="00165A9C" w:rsidP="00640820">
      <w:pPr>
        <w:autoSpaceDE w:val="0"/>
        <w:autoSpaceDN w:val="0"/>
        <w:adjustRightInd w:val="0"/>
        <w:spacing w:after="0" w:line="240" w:lineRule="auto"/>
        <w:jc w:val="both"/>
        <w:rPr>
          <w:rFonts w:ascii="Times New Roman" w:hAnsi="Times New Roman"/>
          <w:color w:val="000000" w:themeColor="text1"/>
          <w:kern w:val="36"/>
          <w:sz w:val="16"/>
          <w:szCs w:val="16"/>
        </w:rPr>
      </w:pPr>
      <w:r w:rsidRPr="00640820">
        <w:rPr>
          <w:rFonts w:ascii="Times New Roman" w:hAnsi="Times New Roman"/>
          <w:color w:val="000000" w:themeColor="text1"/>
          <w:kern w:val="36"/>
          <w:sz w:val="16"/>
          <w:szCs w:val="16"/>
        </w:rPr>
        <w:t>Товарищу СТАЛИНУ И.В.</w:t>
      </w:r>
    </w:p>
    <w:p w14:paraId="7B9879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 эвакуации Кировского и Ижорскогозаводов и завода № 174</w:t>
      </w:r>
    </w:p>
    <w:p w14:paraId="236C35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Посылаем проект постановления ГКО об эвакуации Кировского и Ижорского заводов и заводов № 174, составленный в соответствии с Вашими указаниями.</w:t>
      </w:r>
    </w:p>
    <w:p w14:paraId="094CED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Для организации производства корпусов легких танков Т-50 просим передать из НКВД в Наркомтанкопром Куйбышевский завод Особстроя. </w:t>
      </w:r>
    </w:p>
    <w:p w14:paraId="67397F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связи с эвакуацией на Уралмашзавод производства танковых пушек с Кировского завода просим снять с Уралмашзавода обязательство по организации производства 85 мм зенитных пушек, обязав НКВ организовать производство этих пушек на одном из своих заводов на Востоке.</w:t>
      </w:r>
    </w:p>
    <w:p w14:paraId="23CD6B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Тем более, что Уралмашзавод не имеет оборудования необходимого для изготовления этих пушек. </w:t>
      </w:r>
    </w:p>
    <w:p w14:paraId="1A9FE9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(В.Малышев).</w:t>
      </w:r>
    </w:p>
    <w:p w14:paraId="03C616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(И.Носенко).</w:t>
      </w:r>
    </w:p>
    <w:p w14:paraId="615DCD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(И.Зальцман) (11813).</w:t>
      </w:r>
    </w:p>
    <w:p w14:paraId="669F2411" w14:textId="77777777" w:rsidR="00A00ACC" w:rsidRPr="00640820" w:rsidRDefault="00A00AC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378CF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октября 1941 г. для компенсации спада про</w:t>
      </w:r>
      <w:r w:rsidRPr="00640820">
        <w:rPr>
          <w:rFonts w:ascii="Times New Roman" w:hAnsi="Times New Roman"/>
          <w:color w:val="000000" w:themeColor="text1"/>
          <w:sz w:val="16"/>
          <w:szCs w:val="16"/>
        </w:rPr>
        <w:softHyphen/>
        <w:t>изводства тяжелых танков постановлением ГКО № 734 от был создан Уральский комбинат по производ</w:t>
      </w:r>
      <w:r w:rsidRPr="00640820">
        <w:rPr>
          <w:rFonts w:ascii="Times New Roman" w:hAnsi="Times New Roman"/>
          <w:color w:val="000000" w:themeColor="text1"/>
          <w:sz w:val="16"/>
          <w:szCs w:val="16"/>
        </w:rPr>
        <w:softHyphen/>
        <w:t>ству тяжелых танков КВ, вскоре получивший неофициаль</w:t>
      </w:r>
      <w:r w:rsidRPr="00640820">
        <w:rPr>
          <w:rFonts w:ascii="Times New Roman" w:hAnsi="Times New Roman"/>
          <w:color w:val="000000" w:themeColor="text1"/>
          <w:sz w:val="16"/>
          <w:szCs w:val="16"/>
        </w:rPr>
        <w:softHyphen/>
        <w:t>ное имя «Танкоград», в составе ЧТЗ, УЗТМ, Уральского тур</w:t>
      </w:r>
      <w:r w:rsidRPr="00640820">
        <w:rPr>
          <w:rFonts w:ascii="Times New Roman" w:hAnsi="Times New Roman"/>
          <w:color w:val="000000" w:themeColor="text1"/>
          <w:sz w:val="16"/>
          <w:szCs w:val="16"/>
        </w:rPr>
        <w:softHyphen/>
        <w:t>бинного завода и завода № 75 по выпуску дизельных двигате</w:t>
      </w:r>
      <w:r w:rsidRPr="00640820">
        <w:rPr>
          <w:rFonts w:ascii="Times New Roman" w:hAnsi="Times New Roman"/>
          <w:color w:val="000000" w:themeColor="text1"/>
          <w:sz w:val="16"/>
          <w:szCs w:val="16"/>
        </w:rPr>
        <w:softHyphen/>
        <w:t>лей (последний был эвакуирован из Харькова и включен в состав ЧТЗ). Этим же постановлением ЧТЗ был переимено</w:t>
      </w:r>
      <w:r w:rsidRPr="00640820">
        <w:rPr>
          <w:rFonts w:ascii="Times New Roman" w:hAnsi="Times New Roman"/>
          <w:color w:val="000000" w:themeColor="text1"/>
          <w:sz w:val="16"/>
          <w:szCs w:val="16"/>
        </w:rPr>
        <w:softHyphen/>
        <w:t>ван в Челябинский Кировский завод (ЧКЗ) (10782).</w:t>
      </w:r>
    </w:p>
    <w:p w14:paraId="2827FC6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0AF45B" w14:textId="77777777" w:rsidR="00FD1870" w:rsidRPr="00640820" w:rsidRDefault="00FD187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4 октября 1941 г. постановление ГКО № 734сс. содержало новый план эвакуации танкового производства из Ленинграда Оборудование и кадры Кировского, Ижорского заводов и завода № 174 предстояло вывозить через Ладожское озеро. Прежнее решение о вывозе Кировского завода в Челябинск оставалось в силе. Ижорский же завод в основном, как и предусматривалось ранее, вывозился на УЗТМ, но часть оборудования должен был выделить заводу № 78. Сроком для завершения эвакуации было определено 1 ноября. Для того, чтобы вывезти из города наиболее ценных работников, было принято решение задействовать транспортную авиацию. До 25 октября она должна была эвакуировать из Ленинграда 5000 рабочих Кировского завода, 3500 Ижорского завода, 1000 завода №174 и 1000 с других предприятий. В этом же постановлении ГКО ЧТЗ переименовывался в Кировский завод. Было решено создать новую организационную структуру: </w:t>
      </w:r>
      <w:r w:rsidRPr="00640820">
        <w:rPr>
          <w:rFonts w:ascii="Times New Roman" w:hAnsi="Times New Roman"/>
          <w:color w:val="000000" w:themeColor="text1"/>
          <w:sz w:val="16"/>
          <w:szCs w:val="16"/>
        </w:rPr>
        <w:lastRenderedPageBreak/>
        <w:t xml:space="preserve">Комбинат тяжелых танков в составе Кировского завода в Челябинске, Ижорского завода и Уралтурбомаша. В тот же день директор Кировского завода И. М. Зальцман постановлением СНК №2124 был назначен заместителем наркома с сохранением прежней должности </w:t>
      </w:r>
      <w:r w:rsidR="00401AC5" w:rsidRPr="00640820">
        <w:rPr>
          <w:rFonts w:ascii="Times New Roman" w:hAnsi="Times New Roman"/>
          <w:color w:val="000000" w:themeColor="text1"/>
          <w:sz w:val="16"/>
          <w:szCs w:val="16"/>
        </w:rPr>
        <w:t>(19807</w:t>
      </w:r>
      <w:r w:rsidRPr="00640820">
        <w:rPr>
          <w:rFonts w:ascii="Times New Roman" w:hAnsi="Times New Roman"/>
          <w:color w:val="000000" w:themeColor="text1"/>
          <w:sz w:val="16"/>
          <w:szCs w:val="16"/>
        </w:rPr>
        <w:t>).</w:t>
      </w:r>
    </w:p>
    <w:p w14:paraId="3C4D17FB" w14:textId="77777777" w:rsidR="00FD1870" w:rsidRPr="00640820" w:rsidRDefault="00FD1870" w:rsidP="00640820">
      <w:pPr>
        <w:spacing w:after="0" w:line="240" w:lineRule="auto"/>
        <w:jc w:val="both"/>
        <w:rPr>
          <w:rFonts w:ascii="Times New Roman" w:hAnsi="Times New Roman"/>
          <w:color w:val="000000" w:themeColor="text1"/>
          <w:sz w:val="16"/>
          <w:szCs w:val="16"/>
        </w:rPr>
      </w:pPr>
    </w:p>
    <w:p w14:paraId="749DD89D" w14:textId="77777777" w:rsidR="00FD1870" w:rsidRPr="00640820" w:rsidRDefault="00FD187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октября 1941 выходит постановление ГКО, вносившее изменение в порядок эвакуации заводов № 75, № 183, ХТЗ и Мариупольского завода имени Ильича. 7 октября 1941 в соответствии с этим постановлением появился приказ Наркома танковой промышленности Малышева № 53сс. Новые решения фактически отменяли двухэшелонный порядок эвакуации. Теперь вывозить следовало всё и притом как можно быстрее. Срок был назван фантастически короткий - 15 октября, то есть, считая с днём появления приказа - 9 суток. Постановлением ГКО был назначен срок начала производства танков на новом месте - 15 ноября. В. А. Малышев в своём приказе сократил его ещё на 15 дней.</w:t>
      </w:r>
    </w:p>
    <w:p w14:paraId="668BF678" w14:textId="77777777" w:rsidR="00FD1870" w:rsidRPr="00640820" w:rsidRDefault="00FD187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Составленные сразу же после завершения отправки грузов с завода акты и справка о выполнении постановлений ГКО и эвакуационного совета об эвакуации города Харькова, сохранившиеся в делах Комитета по эвакуации, рисуют оптимистическую картину: вывезено всё оборудование, приспособления, заделы, запасы. Эвакуировано: с завода № 183 5234 сотрудника, с завода № 75 4480 сотрудников, с ХТЗ 4754 сотрудника. Осталось лишь некоторое количество оборудования, которое невозможно было вывезти - котлы, краны, компрессоры, и т. д., а также небольшая часть запасов материалов недефицитных типов. Однако позже, когда стала ясна полная картина итогов эвакуации, ее результаты стали восприниматься иначе, не так однозначно. Оказалось, что в её ходе предприятия понесли значительные потери.</w:t>
      </w:r>
    </w:p>
    <w:p w14:paraId="227B481D" w14:textId="77777777" w:rsidR="00FD1870" w:rsidRPr="00640820" w:rsidRDefault="00FD187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Хуже всего прошла эвакуация персонала. Всего с завода № 183 в Нижний Тагил эвакуировали 5234 работников, в том числе 2859 рабочих, 1456 ИТР, 119 служащих и 800 учеников ФЗУ, прикреплённого к заводу. Для сравнения, в 1940 году на предприятии работало 17988 рабочих и 3591 ИТР. Иными словами, эвакуировано было менее половины ИТР и 15% рабочих от предвоенной численности. Дополнительно на завод было эвакуировано 732 человека из Мариупольского завода имени Ильича, в том числе 550 рабочих, 1005 человек с завода № 184 имени Орджоникидзе, 380 человек с завода "Профинтерн", 250 человек с Кольчугинского завода, 110 человек с завода "Марти" в городе Николаеве, 900 трудмобилизованных из Москвы и 147 рабочих из других мест</w:t>
      </w:r>
      <w:r w:rsidRPr="00640820">
        <w:rPr>
          <w:rFonts w:ascii="Times New Roman" w:hAnsi="Times New Roman"/>
          <w:color w:val="000000" w:themeColor="text1"/>
          <w:sz w:val="16"/>
          <w:szCs w:val="16"/>
          <w:vertAlign w:val="superscript"/>
        </w:rPr>
        <w:t>хх</w:t>
      </w:r>
      <w:r w:rsidRPr="00640820">
        <w:rPr>
          <w:rFonts w:ascii="Times New Roman" w:hAnsi="Times New Roman"/>
          <w:color w:val="000000" w:themeColor="text1"/>
          <w:sz w:val="16"/>
          <w:szCs w:val="16"/>
        </w:rPr>
        <w:t xml:space="preserve">. В общей сложности в конце 1941 - начале 1942 гг. на завод прибыло 8758 человек. Уже сам вышеприведённый список красноречиво свидетельствует о том, какой хаос царил во время эвакуации </w:t>
      </w:r>
      <w:r w:rsidR="00401AC5" w:rsidRPr="00640820">
        <w:rPr>
          <w:rFonts w:ascii="Times New Roman" w:hAnsi="Times New Roman"/>
          <w:color w:val="000000" w:themeColor="text1"/>
          <w:sz w:val="16"/>
          <w:szCs w:val="16"/>
        </w:rPr>
        <w:t>(19807</w:t>
      </w:r>
      <w:r w:rsidRPr="00640820">
        <w:rPr>
          <w:rFonts w:ascii="Times New Roman" w:hAnsi="Times New Roman"/>
          <w:color w:val="000000" w:themeColor="text1"/>
          <w:sz w:val="16"/>
          <w:szCs w:val="16"/>
        </w:rPr>
        <w:t>).</w:t>
      </w:r>
    </w:p>
    <w:p w14:paraId="6E8A574D" w14:textId="77777777" w:rsidR="00FD1870" w:rsidRPr="00640820" w:rsidRDefault="00FD1870" w:rsidP="00640820">
      <w:pPr>
        <w:spacing w:after="0" w:line="240" w:lineRule="auto"/>
        <w:jc w:val="both"/>
        <w:rPr>
          <w:rFonts w:ascii="Times New Roman" w:hAnsi="Times New Roman"/>
          <w:color w:val="000000" w:themeColor="text1"/>
          <w:sz w:val="16"/>
          <w:szCs w:val="16"/>
        </w:rPr>
      </w:pPr>
    </w:p>
    <w:p w14:paraId="4C440B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октября 1941 г. по постановлению ГКО № 734сс от на площадку завода «Уралмаш» была эвакуирована часть Ижорского завода (пост, отводились сроки с 4 октября по 1 ноября 1941 г.). На новом месте завод продолжил деятельность как Ижорский завод. На УЗТМ эвакуирована также часть танкового производства Кировского завода. В соответствии с пост. ГКО № 734сс от 4.10.1941 г. УЗТМ вошел в состав Уральского комбината по производству тяжелых танков КВ. 4.01.1942г. вышло постановление ГКО № 1107 о сохранении названия «Уралмашзавод».</w:t>
      </w:r>
    </w:p>
    <w:p w14:paraId="69876C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ГКО № 1245 от 4.02.1942г. артиллерийское производство Уралмашзавода выделено в самостоятельный завод № 9 НКВ. По распоряжению ГКО № 4098 от 13.09.1943г. филиалы № 1 и № 2 УЗТМ выделены в самостоятельный завод № 50.</w:t>
      </w:r>
    </w:p>
    <w:p w14:paraId="0B6607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11.1941 г. выпускал бронелисты для корпусов и башен Т-34, траки, в 01.1942г. освоен выпуск литых башен для танка КВ. В начале 1943г. изготовлены два опытных корпуса танка КВ-13. Распоряжением ГКО № 2120 от 28.07.1942г. заводу поручено к 1.10.1942г. освоить выпуск танков Т-34. В 09.1942г. выпущены первые 5 Т-34. В конце 1943г. выпуск Т-34 прекращен в пользу СУ-85 и СУ-122. В соответствии с пост. ГКО № 2559 от 2.12.1942г. на заводе начат выпуск СУ-122. В соответствии с пост. ГКО № 3892 от 8.08.1943г. СУ-122 снята с производства и организован выпуск 85-мм САУ на базе танка Т-34.</w:t>
      </w:r>
    </w:p>
    <w:p w14:paraId="6428A2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03.1942г. велась разработка САУ У-18. По приказу НКТП № 764 от 13.11.1942г. для создания САУ конструкторы Н.В. Курин, Г.Н. Рыбин, К.Н. Ильин и В.А. Вишняков были переведены в КБ ЧКЗ.</w:t>
      </w:r>
    </w:p>
    <w:p w14:paraId="05FBB8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18.08.1942г. вышло постановление ГКО № 2184 о строительстве на «Уралмашзаводе» НКТП мартеновской печи № 5. В соответствии с пост. ГКО № 3158 от 10.04.1943г. на завод мобилизовано 500 чел. служащих и неработающих г. Свердловска. 7.10.1943г. вышло распоряжение ГКО № 4281 об отсрочке изготовления запчастей и оборудования для цементных заводов в связи с производством СУ-85. 21.11.1943г. вышло постановление ГКО № 4623 о загрузке завода индивидуальными заказами по изготовлению металлургического оборудования для тяжелого машиностроения. 23.03.1944г. - постановление ГКО № 5455 о разгрузке Уралмашзавода от производства изделий, не связанных с производством танков и пушек; 4.06.1944г. - постановление ГКО № 6000 о мерах по обеспечению кислородом производства корпусов тяжелых танков и самоходов на заводе. 23.11.1944г. вышло постановление ГКО № 6995 о плане производства на заводе гражданской продукции на 4-й квартал 1944г.</w:t>
      </w:r>
    </w:p>
    <w:p w14:paraId="24F1EC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3.07.1944г. вышло постановление ГКО № 6131 об организации на «Уралмашзаводе» НКТП производства САУ СУ-100.</w:t>
      </w:r>
    </w:p>
    <w:p w14:paraId="7010C8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(ВОВ): бронетанковая техника; оборудование для металлургических заводов, поковки для авиапрома, заготовки артиллерийских стволов, корпуса авиабомб.</w:t>
      </w:r>
    </w:p>
    <w:p w14:paraId="4EE28D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бурового оборудования. С 1945 по 2007г. выпущено более 15 тыс. буровых установок.</w:t>
      </w:r>
    </w:p>
    <w:p w14:paraId="645163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1992г. - ОАО «Уралмаш». В это время в его состав вошло АО «Спецмаш». Позднее оно стало независимым и преобразовано в ГП «Завод № 9». В 1996г. на базе «Уралмаша» создано ОАО «Уральские машиностроительные заводы», в которое вошли также «Ижорские заводы». 30.06.2000 г. оно переименовано в холдинг ОАО «ОМЗ». В 2007г. ОАО «Уралмашзавод» вошло в состав СП «Машиностроительная корпорация «Уралмаш», созданного ОМЗ и УК «Металлоинвест».</w:t>
      </w:r>
    </w:p>
    <w:p w14:paraId="215200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металлургического оборудования. В 2006г. дивизионом «ОМЗ-Уралмаш» выпущены две машины непрерывного литья заготовок (</w:t>
      </w:r>
      <w:r w:rsidRPr="00640820">
        <w:rPr>
          <w:rFonts w:ascii="Times New Roman" w:hAnsi="Times New Roman"/>
          <w:color w:val="000000" w:themeColor="text1"/>
          <w:sz w:val="16"/>
          <w:szCs w:val="16"/>
          <w:lang w:val="en-US"/>
        </w:rPr>
        <w:t>MHJI</w:t>
      </w:r>
      <w:r w:rsidRPr="00640820">
        <w:rPr>
          <w:rFonts w:ascii="Times New Roman" w:hAnsi="Times New Roman"/>
          <w:color w:val="000000" w:themeColor="text1"/>
          <w:sz w:val="16"/>
          <w:szCs w:val="16"/>
        </w:rPr>
        <w:t>3).</w:t>
      </w:r>
    </w:p>
    <w:p w14:paraId="61EEF3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Производственные площади (ВОВ)- 286 тыс.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270385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(1934г.)- С.А. Акопов, (11.1936г.)- Владимиров, (1939-47г.)- г-м Б.Г. Музруков, (1965г.)- Н.И. Рыжков. Гендиректор (- 07.2000 г.)- О. Белоненко, (07.2000-12.2003г.)- К. Бендукидзе, (12.2003-15.12.2004г.)- Ф.А. Воропаев, (12.2004-05г.-)- М.И. Матвиенко, (2006г.)- Б.П. Васильев, (2006-08г.-)- Н.Т. Эфендиев, (2010 г.)- А. Чумаченко.</w:t>
      </w:r>
    </w:p>
    <w:p w14:paraId="4D31E2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гендиректора (12.2004г.-)- А. Кошелев. Зам. гендиректора (2007г.)- Е.Ф. Абысова.</w:t>
      </w:r>
    </w:p>
    <w:p w14:paraId="0DD18C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исполнительный (-2001 г.)- М. Матвиенко, (12.2001-12.2003г.)- Ф.А. Воропаев; финансовый (-2004г.)- Е. Пакерманов, (2004г.-)- К. Войтелев, по экономике и финансам (-2006-07г.-)- Е.Ф. Абысова, (2008г.)- С.А. Воронцова; по продажам (-12.2004г.)- А. Кошелев, (02.2005г.-)- С. Колесниченко; по персоналу (2006г.)- М.Б. Столовицкий, по персоналу и социальным вопросам (2007г.)- А.А. Павлюк.</w:t>
      </w:r>
    </w:p>
    <w:p w14:paraId="3B1AC2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Советник гендиректора (2004г.)- Б. Красилов.</w:t>
      </w:r>
    </w:p>
    <w:p w14:paraId="0C93DF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(-1942-43г.-)- Л.И. Горлицкий.</w:t>
      </w:r>
    </w:p>
    <w:p w14:paraId="1FE62C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гаубицы: 122-мм (1938), Д-30А (2004); танк Т-34 (1942-43)- 266 (1942); САУ: СУ-122 (1942-43- ), СУ-85 (1943-44), СУ-100 (1944) (11982).</w:t>
      </w:r>
    </w:p>
    <w:p w14:paraId="5C47D737" w14:textId="77777777" w:rsidR="00A00ACC" w:rsidRPr="00640820" w:rsidRDefault="00A00AC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18497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октября 1941, через 3 дня после прибытия в Свердловск, где оно вошли в артиллерийское КБ Уралмашзавода, артиллерийское КБ Кировского завода в ко</w:t>
      </w:r>
      <w:r w:rsidRPr="00640820">
        <w:rPr>
          <w:rFonts w:ascii="Times New Roman" w:hAnsi="Times New Roman"/>
          <w:color w:val="000000" w:themeColor="text1"/>
          <w:sz w:val="16"/>
          <w:szCs w:val="16"/>
        </w:rPr>
        <w:softHyphen/>
        <w:t>личестве 30 человек во главе с Л.И. Горлицким, начало проработку более мощного вооружения танка КВ (11417).</w:t>
      </w:r>
    </w:p>
    <w:p w14:paraId="7DC68CE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1868B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октября 1941 на заседании ГОКО слушался вопрос об установке танковых и авиамоторов М-17Т и М-17Ф на Т-34 и КВ взамен В-2 (9050,30).</w:t>
      </w:r>
    </w:p>
    <w:p w14:paraId="5476E70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893B7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октября 1941 г. на заседании ГКО слушался вопрос об установке танковых и авиамоторов М-17Т и М-17Ф на танки Т-34 и КВ взамен ди</w:t>
      </w:r>
      <w:r w:rsidRPr="00640820">
        <w:rPr>
          <w:rFonts w:ascii="Times New Roman" w:hAnsi="Times New Roman"/>
          <w:color w:val="000000" w:themeColor="text1"/>
          <w:sz w:val="16"/>
          <w:szCs w:val="16"/>
        </w:rPr>
        <w:softHyphen/>
        <w:t>зель-мотора В-2. Тогда же эта замена была одобрена (10782).</w:t>
      </w:r>
    </w:p>
    <w:p w14:paraId="5BBA910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5B9DA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октя</w:t>
      </w:r>
      <w:r w:rsidRPr="00640820">
        <w:rPr>
          <w:rFonts w:ascii="Times New Roman" w:hAnsi="Times New Roman"/>
          <w:color w:val="000000" w:themeColor="text1"/>
          <w:sz w:val="16"/>
          <w:szCs w:val="16"/>
        </w:rPr>
        <w:softHyphen/>
        <w:t>бря 1941 г. на заседании ГКО было принято окончательное решение об установке карбюраторного двигате</w:t>
      </w:r>
      <w:r w:rsidRPr="00640820">
        <w:rPr>
          <w:rFonts w:ascii="Times New Roman" w:hAnsi="Times New Roman"/>
          <w:color w:val="000000" w:themeColor="text1"/>
          <w:sz w:val="16"/>
          <w:szCs w:val="16"/>
        </w:rPr>
        <w:softHyphen/>
        <w:t>ля М-17 в танк Т-34 (10703).</w:t>
      </w:r>
    </w:p>
    <w:p w14:paraId="18BCDCA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69AE3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октября 1941 г. была подготовлена ДОКЛАДНАЯ ЗАПИСКА НАЧАЛЬНИКА 1 ОТДЕЛА РЭУ В БТУ ГАБТУ КА О КОНСТРУКТИВНЫХ ДЕФЕКТАХ, ВЫЯВЛЕННЫХ ПРИ ЭКСПЛУАТАЦИИ ТАНКА Т-50</w:t>
      </w:r>
    </w:p>
    <w:p w14:paraId="114E1D2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донесению представителя завода № 174 военинженера 3 ранга т. Сурмина при эксплуа</w:t>
      </w:r>
      <w:r w:rsidRPr="00640820">
        <w:rPr>
          <w:rFonts w:ascii="Times New Roman" w:hAnsi="Times New Roman"/>
          <w:color w:val="000000" w:themeColor="text1"/>
          <w:sz w:val="16"/>
          <w:szCs w:val="16"/>
        </w:rPr>
        <w:softHyphen/>
        <w:t>тации танка Т-50 в 150-й танковой бригаде установлены следующие конструктивные дефекты в машине:</w:t>
      </w:r>
    </w:p>
    <w:p w14:paraId="7CC0FD1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Отказ в работе главного фрикциона (5 случаев за март в 100-120 км).</w:t>
      </w:r>
    </w:p>
    <w:p w14:paraId="12BB383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Частая регулировка сцепления.</w:t>
      </w:r>
    </w:p>
    <w:p w14:paraId="3368B1C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Заедание игольчатого подшипника внутр. барабана.</w:t>
      </w:r>
    </w:p>
    <w:p w14:paraId="52782B2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Сложность регулировки сцепления.</w:t>
      </w:r>
    </w:p>
    <w:p w14:paraId="671C628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а) Поломка перекидки (вилки) 1 и 2 скорости из-за неудовлетворительной работы сцепления (нечистого выключения).</w:t>
      </w:r>
    </w:p>
    <w:p w14:paraId="46FD2D2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Трудное переключение 1-й и 2-й передачи.</w:t>
      </w:r>
    </w:p>
    <w:p w14:paraId="79B96BD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Неудовлетворительная заводка двигателя.</w:t>
      </w:r>
    </w:p>
    <w:p w14:paraId="596BB01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Заводка двигателя инерционным стартером слишком долгая и ненадежная, в результате чего экипаж машины в боевых условиях нервничает.</w:t>
      </w:r>
    </w:p>
    <w:p w14:paraId="134F1BD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Электромотор при заводке резко сажает аккумулятор.</w:t>
      </w:r>
    </w:p>
    <w:p w14:paraId="5CEB53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kern w:val="65535"/>
          <w:sz w:val="16"/>
          <w:szCs w:val="16"/>
        </w:rPr>
      </w:pPr>
      <w:r w:rsidRPr="00640820">
        <w:rPr>
          <w:rFonts w:ascii="Times New Roman" w:hAnsi="Times New Roman"/>
          <w:color w:val="000000" w:themeColor="text1"/>
          <w:kern w:val="65535"/>
          <w:sz w:val="16"/>
          <w:szCs w:val="16"/>
        </w:rPr>
        <w:t>в) Количество воздуха полностью не обеспечивает заводку двигателя.</w:t>
      </w:r>
    </w:p>
    <w:p w14:paraId="4AF709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kern w:val="65535"/>
          <w:sz w:val="16"/>
          <w:szCs w:val="16"/>
        </w:rPr>
      </w:pPr>
      <w:r w:rsidRPr="00640820">
        <w:rPr>
          <w:rFonts w:ascii="Times New Roman" w:hAnsi="Times New Roman"/>
          <w:color w:val="000000" w:themeColor="text1"/>
          <w:kern w:val="65535"/>
          <w:sz w:val="16"/>
          <w:szCs w:val="16"/>
        </w:rPr>
        <w:t>4. Заедание подшипника маховика инерционного стартера.</w:t>
      </w:r>
    </w:p>
    <w:p w14:paraId="022F20F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Три случая пробивки прокладок головки блока двигателя.</w:t>
      </w:r>
    </w:p>
    <w:p w14:paraId="6511221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Прошу для принятия мер по устранению указанных дефектов сообщить заводу № 174.</w:t>
      </w:r>
    </w:p>
    <w:p w14:paraId="5D567FB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1 отдела РЭУ военинженер 1 ранга Мельник</w:t>
      </w:r>
    </w:p>
    <w:p w14:paraId="5A6E5D6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2 отделения 1 отдела военинженер 2 ранга Решетников</w:t>
      </w:r>
    </w:p>
    <w:p w14:paraId="5702350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ЦАМО. Ф. 38. Оп. 11364. Д. 83. Л. 84 с об. Подлинник (11211)</w:t>
      </w:r>
    </w:p>
    <w:p w14:paraId="0AB903A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CD89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октября 1941 года был утвержден Устав завода № 525 НКВ (9200).</w:t>
      </w:r>
    </w:p>
    <w:p w14:paraId="463284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B241FC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октября 1941 года вышел приказ № 493сс НКВ</w:t>
      </w:r>
    </w:p>
    <w:p w14:paraId="53E498B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исполнение распоряжения СНК от 31 мая 1941 года образовать Особое КБ-Лабораторию № 46 (ОКБЛ-46) (6288, 8).</w:t>
      </w:r>
    </w:p>
    <w:p w14:paraId="03C2B85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277723" w14:textId="77777777" w:rsidR="00A00ACC" w:rsidRPr="00640820" w:rsidRDefault="00A00ACC"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4 октября </w:t>
      </w:r>
      <w:r w:rsidRPr="00640820">
        <w:rPr>
          <w:rFonts w:ascii="Times New Roman" w:hAnsi="Times New Roman"/>
          <w:color w:val="000000" w:themeColor="text1"/>
          <w:sz w:val="16"/>
          <w:szCs w:val="16"/>
        </w:rPr>
        <w:t>в 1941 году эвакуация в Свердловск части Института имени П.К.Штернберга и его Службы времени, возобновившей 7 ноября. подачи ритмических сигналов точного времени. В Москве осталась и в течение военных лет не прекращала работу группа работников Службы времени ГАИШ (14789).</w:t>
      </w:r>
    </w:p>
    <w:p w14:paraId="6512721F" w14:textId="77777777" w:rsidR="00A00ACC" w:rsidRPr="00640820" w:rsidRDefault="00A00ACC" w:rsidP="00640820">
      <w:pPr>
        <w:spacing w:after="0" w:line="240" w:lineRule="auto"/>
        <w:jc w:val="both"/>
        <w:rPr>
          <w:rFonts w:ascii="Times New Roman" w:hAnsi="Times New Roman"/>
          <w:color w:val="000000" w:themeColor="text1"/>
          <w:sz w:val="16"/>
          <w:szCs w:val="16"/>
        </w:rPr>
      </w:pPr>
    </w:p>
    <w:p w14:paraId="0FB10B7F"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1612C0C2"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879A01A" w14:textId="77777777" w:rsidR="00A00ACC" w:rsidRPr="00640820" w:rsidRDefault="00A00ACC"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4 октября </w:t>
      </w:r>
      <w:r w:rsidRPr="00640820">
        <w:rPr>
          <w:rFonts w:ascii="Times New Roman" w:hAnsi="Times New Roman"/>
          <w:color w:val="000000" w:themeColor="text1"/>
          <w:sz w:val="16"/>
          <w:szCs w:val="16"/>
        </w:rPr>
        <w:t>в 1941 году утреннее сообщение Совинформбюро:</w:t>
      </w:r>
    </w:p>
    <w:p w14:paraId="1CFFE62E" w14:textId="77777777" w:rsidR="00A00ACC" w:rsidRPr="00640820" w:rsidRDefault="00A00A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4 октября наши войска вели бои с противником на всём фронте.</w:t>
      </w:r>
    </w:p>
    <w:p w14:paraId="202E394C" w14:textId="77777777" w:rsidR="00A00ACC" w:rsidRPr="00640820" w:rsidRDefault="00A00A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дополнительным данным, стало известно, что наши части на одном из участков Юго-Западного направления фронта, нанесшие сильный удар мотопехотной группировке немецких войск, захватили большие трофеи, в том числе около 500 автомашин и 250 мотоциклов. На другом участке Юго-Западного направления фронта на наших минных полях противник за один день потерял 650 солдат и офицеров.</w:t>
      </w:r>
    </w:p>
    <w:p w14:paraId="2858D022" w14:textId="77777777" w:rsidR="00A00ACC" w:rsidRPr="00640820" w:rsidRDefault="00A00A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Звено самолётов младшего лейтенанта Петра Марютина за шесть боевых вылетов уничтожило 17 немецких бронемашин, 11 танков, 4 автомашины и 9 орудий зенитной артиллерии.</w:t>
      </w:r>
    </w:p>
    <w:p w14:paraId="723572AD" w14:textId="77777777" w:rsidR="00A00ACC" w:rsidRPr="00640820" w:rsidRDefault="00A00A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Группа наших бомбардировщиков, оперирующая на Северо-Западном направлении фронта, за один боевой вылет уничтожила 33 автомашины с немецкой пехотой, два склада горючего и три артиллерийские батареи.</w:t>
      </w:r>
    </w:p>
    <w:p w14:paraId="077D5E3F" w14:textId="77777777" w:rsidR="00A00ACC" w:rsidRPr="00640820" w:rsidRDefault="00A00A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 группа наших войск, защищающих подступы к Одессе, совершила успешное нападение на противника. В результате атаки отважные защитники города захватили 45 орудий, тяжёлую дальнобойную батарею, много пулемётов, винтовок и боеприпасов.</w:t>
      </w:r>
    </w:p>
    <w:p w14:paraId="6F95530D" w14:textId="77777777" w:rsidR="00A00ACC" w:rsidRPr="00640820" w:rsidRDefault="00A00A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Английские самолёты-истребители, действующие на одном из участков фронта, сбили в воздушных боях 4 немецких самолёта «Мессершмитт-109». Английские истребители потерь не имели.</w:t>
      </w:r>
    </w:p>
    <w:p w14:paraId="4EA01474" w14:textId="77777777" w:rsidR="00A00ACC" w:rsidRPr="00640820" w:rsidRDefault="00A00A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Чувствительные удары по фашистским тылам наносят партизаны, действующие в оккупированных немцами районах Ленинградской области. Партизанский отряд под командованием тов. К. за последние три недели вывел из строя 22 немецких трактора-тягача, 4 трёхтонные машины с боеприпасами, уничтожил 12 бочек с горючим, подорвал мост, сжёг мельницу, на которой немцы мололи зерно, и несколько раз рвал телефонную связь. В стычках с противником партизаны убили 5 фашистских офицеров и 13 солдат.</w:t>
      </w:r>
    </w:p>
    <w:p w14:paraId="6E3D945C" w14:textId="77777777" w:rsidR="00A00ACC" w:rsidRPr="00640820" w:rsidRDefault="00A00A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Активно борется с немецкими войсками партизанский отряд под командованием тов. Б. За несколько дней отряд уничтожил три немецкие автомашины с солдатами, бронемашину и два мотоцикла с водителями.</w:t>
      </w:r>
    </w:p>
    <w:p w14:paraId="4B716EAE" w14:textId="77777777" w:rsidR="00A00ACC" w:rsidRPr="00640820" w:rsidRDefault="00A00A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Письма немецких солдат и показания пленных говорят о падении дисциплины в ряде частей германской армии на Восточном фронте. Пленный австриец солдат Рудольф Лайзенбергер сообщает, что в его полку целая рота отказалась выполнить боевой приказ. В 260 полку 113 дивизии солдат Бренда Мор отказался выполнить приказ унтер-офицера Карла Кугеля, заявив при этом: «Бороться за неправду и жертвовать при этом своей жизнью я не желаю».</w:t>
      </w:r>
    </w:p>
    <w:p w14:paraId="59AFDA5B" w14:textId="77777777" w:rsidR="00A00ACC" w:rsidRPr="00640820" w:rsidRDefault="00A00A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деревню Старые Залитвинни, Белорусской ССР, на ночёвку пришёл немецкий отряд. На рассвете немцы собрались в поход. Один солдат лет 40-45 бросил винтовку и закричал: «Надоела мне война, ничего хорошего не вижу в этой войне. Не надо мне чужой земли. У меня дома семья голодает. Русских нам всё равно не одолеть. Воевать я больше не могу». К этому солдату присоединилась группа в 9 человек.</w:t>
      </w:r>
    </w:p>
    <w:p w14:paraId="4A58CA65" w14:textId="77777777" w:rsidR="00A00ACC" w:rsidRPr="00640820" w:rsidRDefault="00A00A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письмам и дневникам, найденным у убитых фашистских солдат и отобранным у пленных, видно, что за последнее время в германской армии отмечается рост числа самоубийств.</w:t>
      </w:r>
    </w:p>
    <w:p w14:paraId="4B596FC3" w14:textId="77777777" w:rsidR="00A00ACC" w:rsidRPr="00640820" w:rsidRDefault="00A00A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Антифашистское движение в Югославии принимает всё большие размеры. Многочисленные партизанские отряды сербов в течение сентября уничтожили несколько немецких и итальянских гарнизонов. В связи с этим немцы бросили против партизанских отрядов крупные воинские части и тяжёлую артиллерию. Во время боя между партизанами и немецкой частью фашисты обстреляли из орудий деревни Лозницы, Крупань и Любовия. Как передаёт сербская коротковолновая радиостанция, находящаяся в Южной Сербии, население одного только города Скопле уменьшилось с 60 тыс. до 20 тысяч человек. Такое сокращение населения вызвано казнями, арестами и уходом населения в партизанские отряды.</w:t>
      </w:r>
    </w:p>
    <w:p w14:paraId="41217B55" w14:textId="77777777" w:rsidR="00A00ACC" w:rsidRPr="00640820" w:rsidRDefault="00A00A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Советские патриоты в рекордно короткие сроки выполняют заказы и требования фронта. Бригада тов. Захарова на Рязанском заводе сельскохозяйственного машиностроения меньше чем вдвое суток выполнила заказ, рассчитанный на неделю. Бригады монтажников т.т. Хлобустина и Затулина на Таганрогском машиностроительном заводе произвели электромонтаж нескольких станков за 19 часов вместо 55 по норме. Вскоре после этого они смонтировали ряд других станков за 74 часа вместо 200 часов. На одном чимкентском заводе бригада котельщиков т.т. Бабенко и Семёнова выполнила важное задание в 4 дня вместо 10.</w:t>
      </w:r>
    </w:p>
    <w:p w14:paraId="3C855082" w14:textId="77777777" w:rsidR="00A00ACC" w:rsidRPr="00640820" w:rsidRDefault="00A00A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Бригада мастера тов. Маханько на одном из заводов Тульской области за 18 дней сделала работу, на которую в довоенное время уходило не менее трёх месяцев. Формовщик тов. Максюк и мастер литейного отделения тов. Ерасов отливали детали в три-четыре раза быстрее, чем предусматривалось планом.» (14789).</w:t>
      </w:r>
    </w:p>
    <w:p w14:paraId="616E62E4" w14:textId="77777777" w:rsidR="00A00ACC" w:rsidRPr="00640820" w:rsidRDefault="00A00ACC" w:rsidP="00640820">
      <w:pPr>
        <w:spacing w:after="0" w:line="240" w:lineRule="auto"/>
        <w:jc w:val="both"/>
        <w:rPr>
          <w:rFonts w:ascii="Times New Roman" w:hAnsi="Times New Roman"/>
          <w:color w:val="000000" w:themeColor="text1"/>
          <w:sz w:val="16"/>
          <w:szCs w:val="16"/>
        </w:rPr>
      </w:pPr>
    </w:p>
    <w:p w14:paraId="62D4B299" w14:textId="77777777" w:rsidR="00A00ACC" w:rsidRPr="00640820" w:rsidRDefault="00A00ACC"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4 октября </w:t>
      </w:r>
      <w:r w:rsidRPr="00640820">
        <w:rPr>
          <w:rFonts w:ascii="Times New Roman" w:hAnsi="Times New Roman"/>
          <w:color w:val="000000" w:themeColor="text1"/>
          <w:sz w:val="16"/>
          <w:szCs w:val="16"/>
        </w:rPr>
        <w:t>в 1941 году вечернее сообщение Совинформбюро:</w:t>
      </w:r>
    </w:p>
    <w:p w14:paraId="14D47565" w14:textId="77777777" w:rsidR="00A00ACC" w:rsidRPr="00640820" w:rsidRDefault="00A00A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4 октября наши войска вели бои с противником на всём фронте.</w:t>
      </w:r>
    </w:p>
    <w:p w14:paraId="35A8670E" w14:textId="77777777" w:rsidR="00A00ACC" w:rsidRPr="00640820" w:rsidRDefault="00A00A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 октября в воздушных боях сбит 51 самолёт противника и 2 аэростата. Наши потери — 19 самолётов.</w:t>
      </w:r>
    </w:p>
    <w:p w14:paraId="188642E1" w14:textId="77777777" w:rsidR="00A00ACC" w:rsidRPr="00640820" w:rsidRDefault="00A00A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подступах к Москве 3 октября сбито 3 немецких самолёта и 4 октября сбито 5 немецких самолётов.</w:t>
      </w:r>
    </w:p>
    <w:p w14:paraId="71C06D74" w14:textId="77777777" w:rsidR="00A00ACC" w:rsidRPr="00640820" w:rsidRDefault="00A00A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Баренцовом море потоплено три транспорта противника.</w:t>
      </w:r>
    </w:p>
    <w:p w14:paraId="7E33F26C" w14:textId="77777777" w:rsidR="00A00ACC" w:rsidRPr="00640820" w:rsidRDefault="00A00A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результате упорных боёв, длившихся несколько дней, части командира Харитонова нанесли тяжёлый урон 8 румынской кавалерийской бригаде и 399 немецкому пехотному полку. Противник потерял несколько сотен солдат и офицеров убитыми и ранеными. Поля и дороги, где происходили ожесточённые бои, покрыты разбитыми вражескими танками, автомашинами и орудиями. Наши части захватили трофеи: 3 танка, 20 орудий, более 60 пулемётов, много миномётов, автоматов, мотоциклов и автомашин, около 200.000 патронов, несколько тысяч артиллерийских снарядов, 500 винтовок и большое количество другого военного имущества. Подсчёт трофеев продолжается.</w:t>
      </w:r>
    </w:p>
    <w:p w14:paraId="29E82008" w14:textId="77777777" w:rsidR="00A00ACC" w:rsidRPr="00640820" w:rsidRDefault="00A00A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участков Западного направления фронта наши самолёты уничтожили два эскадрона немецкой кавалерии, две роты пехоты, 64 автомашины и 25 орудий. В воздушных боях сбиты 7 самолётов противника и два аэростата.</w:t>
      </w:r>
    </w:p>
    <w:p w14:paraId="4921A40E" w14:textId="77777777" w:rsidR="00A00ACC" w:rsidRPr="00640820" w:rsidRDefault="00A00A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Штурмовым налётом на немецкие колонны в районе города Полтавы наши самолёты уничтожили батальон немецкой пехоты, 4 танка и 44 автомашины. В воздушных боях сбито 4 самолёта противника.</w:t>
      </w:r>
    </w:p>
    <w:p w14:paraId="2A9F7C10" w14:textId="77777777" w:rsidR="00A00ACC" w:rsidRPr="00640820" w:rsidRDefault="00A00A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районе города X. одна наша авиагруппа уничтожила две роты противника, 45 автомашин и 6 артиллерийских батарей.</w:t>
      </w:r>
    </w:p>
    <w:p w14:paraId="43673686" w14:textId="77777777" w:rsidR="00A00ACC" w:rsidRPr="00640820" w:rsidRDefault="00A00A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Гитлеровские людоеды продолжают бесчинства и зверства в захваченных ими советских районах.</w:t>
      </w:r>
    </w:p>
    <w:p w14:paraId="69A37BCF" w14:textId="77777777" w:rsidR="00A00ACC" w:rsidRPr="00640820" w:rsidRDefault="00A00A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сёлах Глиняная и Диковка, Кировоградской области, фашисты забрали у населения все сельскохозяйственные продукты и домашние вещи. Полностью разгромлены сёла Выползово и Карпиловка, Остёрского района, Черниговской области. Фашистские мерзавцы повсеместно устраивают повальные грабежи и с неслыханной жестокостью расправляются с беззащитными мирными жителями. В селе Слободка, Чернобыльского района, Киевской области, фашисты потребовали у колхозницы Нечуйко молока. В ответ на это т. Нечуйко заявила: «Вы уже забрали корову, где же я вам возьму молока». За это фашисты избили колхозницу до полусмерти, а затем сожгли её дом. В селе Бородаевка, Верхнеднепровского района, Днепропетровской области, фашисты изнасиловали многих женщин и девушек.</w:t>
      </w:r>
    </w:p>
    <w:p w14:paraId="3FD198D4" w14:textId="77777777" w:rsidR="00A00ACC" w:rsidRPr="00640820" w:rsidRDefault="00A00A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деревне Серники немецкий карательный отряд собрал большую группу колхозников и без всяких причин расстрелял их из пулемётов.</w:t>
      </w:r>
    </w:p>
    <w:p w14:paraId="66E0D4AE" w14:textId="77777777" w:rsidR="00A00ACC" w:rsidRPr="00640820" w:rsidRDefault="00A00A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Несколько партизанских отрядов, действующих в оккупированных немцами районах Ленинградской области, за месяц своей борьбы против немецко-фашистских войск истребили 106 германских офицеров, в том числе одного генерала, 1810 солдат и разгромили штабы двух немецких частей. Отважные партизаны нанесли также значительный ущерб материальной части противника. В боях с фашистами бойцы партизанских отрядов уничтожили 6 вражеских самолётов, 2 танка, 9 бронемашин, 2 пулемёта, миномёт, 207 грузовых автомашин, из них 35 с боеприпасами и 30 с горючим, 16 легковых и 6 штабных автомашин, 58 мотоциклов, 70 велосипедов, две моторные лодки, взорвали 4 склада боеприпасов и сожгли 230 бочек с бензином. Под ударами партизанских отрядов находятся многие железные и шоссейные дороги. За последние дни партизаны пустили под откос 7 немецких железнодорожных составов и несколько дрезин, разрушили 3 железнодорожных моста и в шести местах разобрали железнодорожные пути. На шоссейных дорогах взорвана больше 30 мостов. Партизаны подожгли 9 продовольственных баз и 22 строения, в которых размещались немецкие солдаты, повредили 116 линий телефонной связи между воинскими частями противника.</w:t>
      </w:r>
    </w:p>
    <w:p w14:paraId="5A4C04FB" w14:textId="77777777" w:rsidR="00A00ACC" w:rsidRPr="00640820" w:rsidRDefault="00A00A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Немецкие солдаты всё чаще получают письма от родных и знакомых, в которых они осуждают войну против СССР. Ниже мы приводим несколько выдержек из пи-сем, найденных у убитых немецких солдат. Гертруда из Шарлоттенбурга пишет: «На свете существует несправедливость. Одни наживаются на войне и богатеют, а другие должны на полях, в грязи, день и ночь воевать, класть свои кости и отдавать, свою жизнь. Вчера (2 сентября) Штарке мне рассказал, что наши потери на Востоке достигли уже 1.200 тысяч убитыми. А сколько же раненых? Подумать только! Это более чем ужасно». Жена солдата Вильгельма Хюттера спрашивает мужа: «Скоро ли кончится эта война? Все уже устали и надломлены».</w:t>
      </w:r>
    </w:p>
    <w:p w14:paraId="3167EEFF" w14:textId="77777777" w:rsidR="00A00ACC" w:rsidRPr="00640820" w:rsidRDefault="00A00A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Жена солдата Гарти Силиш сообщает мужу: «Я перестала слушать наши сводки, в которых много говорится о России. Так как я знаю, что ты там тоже, эти сводки мне причиняют только горе. Просто страх берет, когда думаешь об ужасах войны на Востоке». Жена Вернера Гепперта в своём письме также пишет, что она перестала верить лживым сообщениям германского радио: «Мне совершенно безразлично, будет ли десять или двенадцать специальных сообщений. Правды никогда не узнаешь. Преподносят только то, что выгодно. Много пролито крови. Почти каждую ночь здесь происходят воздушные налёты. Это уже не скроешь от населения» (14789).</w:t>
      </w:r>
    </w:p>
    <w:p w14:paraId="7B486FFE" w14:textId="77777777" w:rsidR="00A00ACC" w:rsidRPr="00640820" w:rsidRDefault="00A00ACC" w:rsidP="00640820">
      <w:pPr>
        <w:spacing w:after="0" w:line="240" w:lineRule="auto"/>
        <w:jc w:val="both"/>
        <w:rPr>
          <w:rFonts w:ascii="Times New Roman" w:hAnsi="Times New Roman"/>
          <w:color w:val="000000" w:themeColor="text1"/>
          <w:sz w:val="16"/>
          <w:szCs w:val="16"/>
        </w:rPr>
      </w:pPr>
    </w:p>
    <w:p w14:paraId="24FD6ECB" w14:textId="77777777" w:rsidR="00FD1870" w:rsidRPr="00640820" w:rsidRDefault="00FD187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4 октября 1941 в документах 41-го моторизованного корпуса, наступавшего на Калинин, встречаются упоминания о советских бомбардировщиках, атакующих в плотных боевых порядках, и штурмовиках. Восьмого октября в «Дневнике боевых действий» записано, что «авиация противника действует по-прежнему активно и наносит постоянно потери, особенно на дороге Комары - Ивашково, на которой почти весь день стоят колонна за колонной…». В записи от 14 октября немцы жалуются, что советская авиация наносит «чувствительные потери» передовым отрядам корпуса, пользуясь своим превосходством в воздухе. А вот донесение 10-й моторизованной дивизии в штаб 47-го танкового корпуса, отправленное 25 ноября 1941 г.35 «Авиация противника серьёзно осложняет всякое передвижение. Использовать дорогу Михайлов - Рязань днём невозможно. Противник применяет бомбы и пушечно-пулемётный огонь, все подразделения сообщают о тяжёлых потерях». Через два дня в промежуточном донесении уже самого 47-го корпуса сообщалось: «Сегодня до девяти часов утра только 10-й разведывательный батальон потерял от налётов авиации одного убитого и 29 раненых. Выведено из строя несколько автомашин». Ещё через день, 28 ноября, в донесении разведотдела штаба корпуса звучат уже почти панические нотки: «Чрезвычайно высокая активность авиации противника в районе Епифань – Горлово - Скопин – Рязань - Михайлов. Противник обладает абсолютным господством в воздухе. Русские действуют на малых высотах, атакуют каждую колонну бомбами, каждую отдельную повозку пушечно-пулемётным огнём. Постоянные налёты бомбардировщиков, штурмовиков и истребителей делают движение днём без неприемлемых потерь в транспорте невозможным» (19770).</w:t>
      </w:r>
    </w:p>
    <w:p w14:paraId="29901D9E" w14:textId="77777777" w:rsidR="00FD1870" w:rsidRPr="00640820" w:rsidRDefault="00FD1870" w:rsidP="00640820">
      <w:pPr>
        <w:spacing w:after="0" w:line="240" w:lineRule="auto"/>
        <w:jc w:val="both"/>
        <w:rPr>
          <w:rFonts w:ascii="Times New Roman" w:hAnsi="Times New Roman"/>
          <w:color w:val="000000" w:themeColor="text1"/>
          <w:sz w:val="16"/>
          <w:szCs w:val="16"/>
        </w:rPr>
      </w:pPr>
    </w:p>
    <w:p w14:paraId="18CCEEE6" w14:textId="77777777" w:rsidR="00A00ACC" w:rsidRPr="00640820" w:rsidRDefault="00A00ACC"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4 октября </w:t>
      </w:r>
      <w:r w:rsidRPr="00640820">
        <w:rPr>
          <w:rFonts w:ascii="Times New Roman" w:hAnsi="Times New Roman"/>
          <w:color w:val="000000" w:themeColor="text1"/>
          <w:sz w:val="16"/>
          <w:szCs w:val="16"/>
        </w:rPr>
        <w:t>в 1941 году вышел приказ НКО о фактах подмены воспитательной работы репрессиями: «За последнее время наблюдаются частые случаи незаконных репрессий и грубейшего превышения власти со стороны отдельных командиров и комиссаров по отношению к своим подчиненным...»</w:t>
      </w:r>
    </w:p>
    <w:p w14:paraId="08F59F63" w14:textId="77777777" w:rsidR="00A00ACC" w:rsidRPr="00640820" w:rsidRDefault="00A00ACC" w:rsidP="00640820">
      <w:pPr>
        <w:spacing w:after="0" w:line="240" w:lineRule="auto"/>
        <w:jc w:val="both"/>
        <w:rPr>
          <w:rFonts w:ascii="Times New Roman" w:hAnsi="Times New Roman"/>
          <w:color w:val="000000" w:themeColor="text1"/>
          <w:sz w:val="16"/>
          <w:szCs w:val="16"/>
        </w:rPr>
      </w:pPr>
    </w:p>
    <w:p w14:paraId="51F0446C" w14:textId="77777777" w:rsidR="00A00ACC" w:rsidRPr="00640820" w:rsidRDefault="00A00ACC"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4 октября </w:t>
      </w:r>
      <w:r w:rsidRPr="00640820">
        <w:rPr>
          <w:rFonts w:ascii="Times New Roman" w:hAnsi="Times New Roman"/>
          <w:color w:val="000000" w:themeColor="text1"/>
          <w:sz w:val="16"/>
          <w:szCs w:val="16"/>
        </w:rPr>
        <w:t>в 1941 году фашисты взяли Запорожье (14789).</w:t>
      </w:r>
    </w:p>
    <w:p w14:paraId="097DCA90" w14:textId="77777777" w:rsidR="00A00ACC" w:rsidRPr="00640820" w:rsidRDefault="00A00ACC" w:rsidP="00640820">
      <w:pPr>
        <w:spacing w:after="0" w:line="240" w:lineRule="auto"/>
        <w:jc w:val="both"/>
        <w:rPr>
          <w:rFonts w:ascii="Times New Roman" w:hAnsi="Times New Roman"/>
          <w:color w:val="000000" w:themeColor="text1"/>
          <w:sz w:val="16"/>
          <w:szCs w:val="16"/>
        </w:rPr>
      </w:pPr>
    </w:p>
    <w:p w14:paraId="39D0BC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октября 1941 40 ТБ-3 доставили под Мценск танки Т-38, ПТА, грузовики, оружие, боеприпасы для высадившейся 5 воб, которая закрывала разрыв в обороне (1859).</w:t>
      </w:r>
    </w:p>
    <w:p w14:paraId="17D47C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DAA29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4 октября 1941 эскадрилья майора на Пе-3 А. Сачкова бомбила и штурмовала крупную колонну немецкой бронетехники и автомобилей. Всего было сброшено 40 авиабомб ФАБ-50 и ФАБ-100, после чего цель обстреляли из пулеметов. Летчики отметили прямые попадания в танки и автомобили, во вражеской колонне возникли пожары. На обратном пути эскадрилью догнали немецкие истребители </w:t>
      </w:r>
      <w:r w:rsidRPr="00640820">
        <w:rPr>
          <w:rFonts w:ascii="Times New Roman" w:hAnsi="Times New Roman"/>
          <w:color w:val="000000" w:themeColor="text1"/>
          <w:sz w:val="16"/>
          <w:szCs w:val="16"/>
          <w:lang w:val="en-US"/>
        </w:rPr>
        <w:t>Bf</w:t>
      </w:r>
      <w:r w:rsidRPr="00640820">
        <w:rPr>
          <w:rFonts w:ascii="Times New Roman" w:hAnsi="Times New Roman"/>
          <w:color w:val="000000" w:themeColor="text1"/>
          <w:sz w:val="16"/>
          <w:szCs w:val="16"/>
        </w:rPr>
        <w:t xml:space="preserve"> 109. В воздушном бою, закончившемся вничью, каждая из сторон потеряла по одной машине. Еще один Пе-3 был разбит при посадке раненым летчиком (12042).</w:t>
      </w:r>
    </w:p>
    <w:p w14:paraId="1405BE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B6EFE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период с 22 июня по 4 октября 1941 г. Командующий авиацией при группе армий "Юг" информировал штаб Люфтваффе о потерях самолетов-разведчиков: "Уничтожено противником 97 наших разведывательных самолетов. Погибло летного состава 92 человека. Ранено 41. Эти потери в основном от истребителей противника. Кроме того, уничтожено самолетов транспортных и связи, которые подчинялись этим эскадрильям, 27. Погибли и повреждены еще 38 самолетов без воздействия противника. Примечание: самолеты, получившие в боях повреждения и восстановленные в частях, в учете не указаны" (3573).</w:t>
      </w:r>
    </w:p>
    <w:p w14:paraId="2C300A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A1F23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октября 1941 эскадрилья майора А. Сачкова 95 иап бомбила и штурмовала крупную колонну немецкой бронетехники и автомобилей. Всего было сброшено 40 авиабомб ФАБ-50 и ФАБ-100, после чего цель обстреляли из пулеметов. Летчики отметили прямые попадания в танки и автомобили, в колонне возникли пожары. На обратном пути эскадрилью догнали немецкие истребители Bf 109. В воздушном бою каждая из сторон заявила об одной победе. Еще один Пе-3 был разбит при посадке раненым летчиком (4476).</w:t>
      </w:r>
    </w:p>
    <w:p w14:paraId="279348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863B48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4 по 11 октября 1941 бригада Катукова действовала против 4-й танковой дивизии вермахта - 3-я дивизия наступала северо-западнее. Что касается 4-й дивизии, то по состоянию на 10 сентября она имела 162 танка. Согласно официальной истории этой дивизии, 30 сентября она начала наступление «примерно 100 танками». Из этого можно сделать вывод, что около 60 машин находились в ремонте (из них часть могла быть отправлена на заводы для восстановления). По состоянию на 4 октября, по немецким данным, в 4-й танковой дивизии было боеготово 59 машин, «около 35 находятся не на ходу», а 6 уничтожены. На 12 октября в 35-м танковом полку дивизии имелось 40 боеготовых танков. Таким образом, 133 уничтоженных танка, заявленных в докладе Катукова, не получается. Однако немецкие данные не учитывают, сколько танков, из находящихся в ремонте, ввели в строй с 4 по 12 октября. Кроме того, в общее число уничтоженных боевых машин противника могли войти танки, подбитые другими частями (например, батальоном НКВД, который взаимодействовал с бригадой Катукова). Кроме того, не исключено уничтожение катуковцами танков действующей на параллельном направлении 3-й танковой бригады. По мнению автора, можно говорить о том, что не менее 30 боевых машин 4-й танковой дивизии вермахта, подбитых 4-й танковой бригадой в боях 4-11 октября 1941 года. А для весьма чувствительных к потерям немцев треть танков, подбитая в бою в одной дивизии за неделю - это для 1941 года было очень много.</w:t>
      </w:r>
    </w:p>
    <w:p w14:paraId="041175B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не следует забывать, что в горячке боя сложно (а скорее всего практически невозможно) установить, кто подбил тот или иной танк противника: по нему могли вести огонь два или даже три наших танка, а также противотанковые орудия. Не исключен и варианты, когда снаряд не пробивал броню немецкой боевой машины (рикошетировал) или попадал рядом. В горячке боя было трудно разобрать в орудийный прицел что на самом деле произошло: вы видите сноп искр (при рикошете снаряда) или комья земли. А на дистанции 600— 800 м (а может и больше) это можно принять за взрыв танка противника. К тому же бой есть бой - увидев попадание в один танк противника, нужно тут же вести огонь по-другому (12217).</w:t>
      </w:r>
    </w:p>
    <w:p w14:paraId="2CDE8D35"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70DBF0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октября 1941 вышло Постановление ГКО № 730 Об организации штатных линейно-восстановительных колонн для обслуживания правительственной ВЧ-связи со штабами фронтов и назначении уполномоченных правительственной ВЧ-связи в обл. центрах прифронтовой полосы. РГАНИР, Фонд ГКО, д. 11, лл. 114-115, (11012).</w:t>
      </w:r>
    </w:p>
    <w:p w14:paraId="40B5FF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11797D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октября 1941 фашисты взяли Запорожье (4962).</w:t>
      </w:r>
    </w:p>
    <w:p w14:paraId="21299BE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4EC3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октября 1941 г. вышел ПРИКАЗ НКО № 0391 О ФАКТАХ ПОДМЕНЫ ВОСПИТАТЕЛЬНОЙ РАБОТЫ РЕПРЕССИЯМИ</w:t>
      </w:r>
    </w:p>
    <w:p w14:paraId="6CB317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последнее время наблюдаются частые случаи незаконных репрессий и грубейшего превышения власти* со стороны отдельных командиров и комиссаров по отношению к своим подчиненным.</w:t>
      </w:r>
    </w:p>
    <w:p w14:paraId="2D9C75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Лейтенант 288 сп Комиссаров без всяких оснований выстрелом из нагана убил красноармейца Кубицу.</w:t>
      </w:r>
    </w:p>
    <w:p w14:paraId="665F84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Бывший начальник 21 УР полковник Сущенко застрелил мл. сержанта Першикова за то, что он из-за болезни руки медленно слезал с машины.</w:t>
      </w:r>
    </w:p>
    <w:p w14:paraId="797C2B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Командир взвода мотострелковой роты 1026-го стрелкового полка лейтенант Микрюков застрелил своего помощника — младшего командира взвода Бабурина якобы за невыполнение приказания.</w:t>
      </w:r>
    </w:p>
    <w:p w14:paraId="2B9BDE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Военный комиссар 28-й танковой дивизии полковой комиссар Банквицер избил одного сержанта за то, что тот ночью закурил; он же избил майора Занозного за невыдержанный с ним разговор.</w:t>
      </w:r>
    </w:p>
    <w:p w14:paraId="15B0DA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штаба 529-го стрелкового полка капитан Сакур без всяких оснований ударил два раза пистолетом ст. лейтенанта Сергеева.</w:t>
      </w:r>
    </w:p>
    <w:p w14:paraId="3CCDB1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Подобные нетерпимые в Красной Армии факты извращения дисциплинарной практики, превышения предоставленных прав и власти, самосудов и рукоприкладства объясняются тем, что:</w:t>
      </w:r>
    </w:p>
    <w:p w14:paraId="3A2A6D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метод убеждения неправильно отодвинули на задний план, а метод репрессий в отношении к подчиненным занял первое место;</w:t>
      </w:r>
    </w:p>
    <w:p w14:paraId="08C015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повседневная воспитательная работа в частях в ряде случаев подменяется руганью, репрессиями и рукоприкладством;</w:t>
      </w:r>
    </w:p>
    <w:p w14:paraId="4C10E0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заброшен метод разъяснений и беседы командиров, комиссаров, политработников с красноармейцами, и разъяснение непонятных для красноармейцев вопросов зачастую подменяется окриком, бранью и грубостью;</w:t>
      </w:r>
    </w:p>
    <w:p w14:paraId="3E7F24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отдельные командиры и политработники в сложных условиях боя теряются, впадают в панику и собственную растерянность прикрывают применением оружия без всяких на то оснований;</w:t>
      </w:r>
    </w:p>
    <w:p w14:paraId="2EB26B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д) забыта истина, что применение репрессий является крайней мерой, допустимой лишь в случаях прямого неповиновения и открытого сопротивления в условиях боевой обстановки или в случаях злостного нарушения дисциплины и порядка лицами, сознательно идущими на срыв приказов командования.</w:t>
      </w:r>
    </w:p>
    <w:p w14:paraId="0DD73B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Командиры, комиссары и политработники обязаны помнить, что без правильного сочетания метода убеждения с методом принуждения немыслимо насаждение советской воинской дисциплины и укрепление политико-морального состояния войск.</w:t>
      </w:r>
    </w:p>
    <w:p w14:paraId="1521EC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Суровая кара по отношению к злостным нарушителям воинской дисциплины, пособникам врага и явным врагам должна сочетаться с внимательным разбором всех случаев нарушения дисциплины, требующих подробного выяснения обстоятельств дела.</w:t>
      </w:r>
    </w:p>
    <w:p w14:paraId="518A27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Необоснованные репрессии, незаконные расстрелы, самоуправство и рукоприкладство со стороны командиров и комиссаров являются проявлением безволия и безрукости, нередко ведут к обратным результатам, способствуют падению воинской дисциплины и политико-морального состояния войск и могут толкнуть нестойких бойцов к перебежкам на сторону противника.</w:t>
      </w:r>
    </w:p>
    <w:p w14:paraId="3C1BE0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Приказываю:</w:t>
      </w:r>
    </w:p>
    <w:p w14:paraId="1475FE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Восстановить в правах воспитательную работу, широко использовать метод убеждения, не подменять повседневную разъяснительную работу администрированием и репрессиями.</w:t>
      </w:r>
    </w:p>
    <w:p w14:paraId="0D9EBD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Всем командирам, политработникам и начальникам повседневно беседовать с красноармейцами, разъясняя им необходимость железной воинской дисциплины, честного выполнения своего воинского долга, военной присяги и приказов командира и начальника. В беседах разъяснять также, что над нашей Родиной нависла серьезная угроза, что для разгрома врага нужны величайшее самопожертвование, непоколебимая стойкость в бою, презрение к смерти и беспощадная борьба с трусами, дезертирами, членовредителями, провокаторами и изменниками Родины.</w:t>
      </w:r>
    </w:p>
    <w:p w14:paraId="1DD27C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Широко разъяснять начальствующему составу, что самосуды, рукоприкладство и площадная брань, унижающая звание воина Красной Армии, ведут не к укреплению, а к подрыву дисциплины и авторитета командира и политработника.</w:t>
      </w:r>
    </w:p>
    <w:p w14:paraId="2F0FBD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Самым решительным образом, вплоть до предания виновных суду военного трибунала, бороться со всеми явлениями незаконных репрессий, рукоприкладства и самосудов.</w:t>
      </w:r>
    </w:p>
    <w:p w14:paraId="09F35D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 объявить всему начальствующему составу действующей армии до командира и комиссара полка включительно.</w:t>
      </w:r>
    </w:p>
    <w:p w14:paraId="58442FDA"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Народный комиссар обороны И. СТАЛИН</w:t>
      </w:r>
    </w:p>
    <w:p w14:paraId="4AECB0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Начальник Генштаба Б. ШАПОШНИКОВ</w:t>
      </w:r>
      <w:r w:rsidRPr="00640820">
        <w:rPr>
          <w:rFonts w:ascii="Times New Roman" w:hAnsi="Times New Roman"/>
          <w:color w:val="000000" w:themeColor="text1"/>
          <w:sz w:val="16"/>
          <w:szCs w:val="16"/>
        </w:rPr>
        <w:t xml:space="preserve"> (9844).</w:t>
      </w:r>
    </w:p>
    <w:p w14:paraId="753798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0F1FF67"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0EE00DD4"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47F37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октября 1941 Британское военное командование утвердило план наступательной операции в Северной Африке (операция Крусейдер) (3186).</w:t>
      </w:r>
    </w:p>
    <w:p w14:paraId="5F8BF5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6B52F37" w14:textId="77777777" w:rsidR="0073041D" w:rsidRPr="00640820" w:rsidRDefault="0073041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4 октября 1941 г.</w:t>
      </w:r>
    </w:p>
    <w:p w14:paraId="1FE159BA" w14:textId="77777777" w:rsidR="0073041D" w:rsidRPr="00640820" w:rsidRDefault="0073041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Из сообщения резидента НКВД СССР в Англии об использовании атомной энергии в военных целях</w:t>
      </w:r>
    </w:p>
    <w:p w14:paraId="233BFB14" w14:textId="77777777" w:rsidR="0073041D" w:rsidRPr="00640820" w:rsidRDefault="0073041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...Сообщаю очень кратко содержание представленного 24 сентября 1941 г. военному кабинету особо секретного доклада правительственного комитета по разработке способа использования атомной энергии урана для изготовления взрывчатых веществ.</w:t>
      </w:r>
    </w:p>
    <w:p w14:paraId="4F1C052F" w14:textId="77777777" w:rsidR="0073041D" w:rsidRPr="00640820" w:rsidRDefault="0073041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...Даже с учетом веса баллистического механизма урановой бомбы практическая сила ее взрыва будет превышать в 1000 раз силу взрыва обычной бомбы того же веса.</w:t>
      </w:r>
    </w:p>
    <w:p w14:paraId="00FFAA87" w14:textId="77777777" w:rsidR="0073041D" w:rsidRPr="00640820" w:rsidRDefault="0073041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...Следует отметить, что урановая бомба будет иметь двойное действие. Кроме разрушительной взрывной волны огромной силы образуется, наподобие газового облака, огромное пространство, насыщенное радиоактивными частицами. Все живое, что попало в сферу действий этих частиц хотя бы на несколько минут, неизбежно погибнет.</w:t>
      </w:r>
    </w:p>
    <w:p w14:paraId="6B3DB756" w14:textId="77777777" w:rsidR="0073041D" w:rsidRPr="00640820" w:rsidRDefault="0073041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ЦЛ ФСБ России (21027)</w:t>
      </w:r>
    </w:p>
    <w:p w14:paraId="39AF4439" w14:textId="77777777" w:rsidR="0073041D" w:rsidRPr="00640820" w:rsidRDefault="0073041D" w:rsidP="00640820">
      <w:pPr>
        <w:spacing w:after="0" w:line="240" w:lineRule="auto"/>
        <w:jc w:val="both"/>
        <w:rPr>
          <w:rFonts w:ascii="Times New Roman" w:hAnsi="Times New Roman"/>
          <w:color w:val="0070C0"/>
          <w:sz w:val="16"/>
          <w:szCs w:val="16"/>
        </w:rPr>
      </w:pPr>
    </w:p>
    <w:p w14:paraId="17592D9F"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5337F418"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49C13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5 октября 1941 завод 1 ежедневно выпускал по 6 МиГ-3 (4211,34).</w:t>
      </w:r>
    </w:p>
    <w:p w14:paraId="12A742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5BA4A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октября 1941 г. самолет МиГ-3 №3595 во время определения скоростей по высотам и проверки скороподъемности потерпел катастрофу, в которой погиб летчик-испытатель Н.П.Баулин. Как показало расследование, причиной случившегося стал воздушный бой, в результате которого МиГ-3 №3595 перешел в пикирование, окончившееся катастрофой. Как рассказывали очевидцы, в районе катастрофы они видели второй самолет и слышали стрельбу в воздухе. Изучение останков МиГ-3 показало, что из пулеметов ШКАС было сделано 5-10 выстрелов, а из пулемета БС - 50-70 выстрелов. Это обстоятельство также свидетельствовало о боевом соприкосновении с самолетом противника. Непосредственной причиной катастрофы стало разрушение поврежденной в бою обшивки хвостовой части фюзеляжа с потерей хвостового оперения, в результате чего самолет потерял управление и перешел в неуправляемый штопор (4802).</w:t>
      </w:r>
    </w:p>
    <w:p w14:paraId="46C9DC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9149BA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октября 1941 г. самолет МиГ-3 АМ-38 (зав. № 3595), пилотируемый летчиком-испытателем Н.П.Баулиным, разбился. Несчастье произошло в результате воздушного боя с неизвестным противни ком, вероятнее всего, с немецким разведчиком-ис</w:t>
      </w:r>
      <w:r w:rsidRPr="00640820">
        <w:rPr>
          <w:rFonts w:ascii="Times New Roman" w:hAnsi="Times New Roman"/>
          <w:color w:val="000000" w:themeColor="text1"/>
          <w:sz w:val="16"/>
          <w:szCs w:val="16"/>
        </w:rPr>
        <w:softHyphen/>
        <w:t>требителем ВГ НОС, рискнувшим в условиях плотной облачности появиться над советской столицей (од</w:t>
      </w:r>
      <w:r w:rsidRPr="00640820">
        <w:rPr>
          <w:rFonts w:ascii="Times New Roman" w:hAnsi="Times New Roman"/>
          <w:color w:val="000000" w:themeColor="text1"/>
          <w:sz w:val="16"/>
          <w:szCs w:val="16"/>
        </w:rPr>
        <w:softHyphen/>
        <w:t>номоторные истребители врага в то время еще не ле</w:t>
      </w:r>
      <w:r w:rsidRPr="00640820">
        <w:rPr>
          <w:rFonts w:ascii="Times New Roman" w:hAnsi="Times New Roman"/>
          <w:color w:val="000000" w:themeColor="text1"/>
          <w:sz w:val="16"/>
          <w:szCs w:val="16"/>
        </w:rPr>
        <w:softHyphen/>
        <w:t>тали над Москвой). Изучение останков МиГ—3 пока</w:t>
      </w:r>
      <w:r w:rsidRPr="00640820">
        <w:rPr>
          <w:rFonts w:ascii="Times New Roman" w:hAnsi="Times New Roman"/>
          <w:color w:val="000000" w:themeColor="text1"/>
          <w:sz w:val="16"/>
          <w:szCs w:val="16"/>
        </w:rPr>
        <w:softHyphen/>
        <w:t>зало, что из пулеметов ШКАС было сделано 5—10 выстрелов, а из пулемета БС — 50—70 выстрелов. Это свидетельствовало о боевом столкновении с самоле</w:t>
      </w:r>
      <w:r w:rsidRPr="00640820">
        <w:rPr>
          <w:rFonts w:ascii="Times New Roman" w:hAnsi="Times New Roman"/>
          <w:color w:val="000000" w:themeColor="text1"/>
          <w:sz w:val="16"/>
          <w:szCs w:val="16"/>
        </w:rPr>
        <w:softHyphen/>
        <w:t>том противника. Непосредственной причиной ката</w:t>
      </w:r>
      <w:r w:rsidRPr="00640820">
        <w:rPr>
          <w:rFonts w:ascii="Times New Roman" w:hAnsi="Times New Roman"/>
          <w:color w:val="000000" w:themeColor="text1"/>
          <w:sz w:val="16"/>
          <w:szCs w:val="16"/>
        </w:rPr>
        <w:softHyphen/>
        <w:t>строфы, по мнению аварийной комиссии, стало раз</w:t>
      </w:r>
      <w:r w:rsidRPr="00640820">
        <w:rPr>
          <w:rFonts w:ascii="Times New Roman" w:hAnsi="Times New Roman"/>
          <w:color w:val="000000" w:themeColor="text1"/>
          <w:sz w:val="16"/>
          <w:szCs w:val="16"/>
        </w:rPr>
        <w:softHyphen/>
        <w:t>рушение поврежденной в бою обшивки хвостовой части фюзеляжа с потерей части хвостового опере</w:t>
      </w:r>
      <w:r w:rsidRPr="00640820">
        <w:rPr>
          <w:rFonts w:ascii="Times New Roman" w:hAnsi="Times New Roman"/>
          <w:color w:val="000000" w:themeColor="text1"/>
          <w:sz w:val="16"/>
          <w:szCs w:val="16"/>
        </w:rPr>
        <w:softHyphen/>
        <w:t>ния, в результате чего самолет потерял управление и перешел в неуправляемый штопор (9984).</w:t>
      </w:r>
    </w:p>
    <w:p w14:paraId="36A5672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7266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октября 1941 г. самолет МиГ-3 зав. № 3595, пилотируемый летчиком-испытателем Н.П. Баулиным, разбился. Несчастье произошло, вероятнее всего, в результате воздушного боя с неизвестным противником. Изучение останков МиГ-3 показало, что из его пулеметов ШКАС было сделано 5... 10 выстрелов, а из пулемета БС - 50...70 выстрелов. Непосредственной причиной катастрофы, по мнению аварийной комиссии, стало разрушение поврежденной в бою обшивки хвостовой части фюзеляжа с потерей части хвостового оперения.</w:t>
      </w:r>
    </w:p>
    <w:p w14:paraId="79C123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Технические данные моторов АМ-37, АМ-38 и М-82А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643896" w:rsidRPr="00640820" w14:paraId="7CF77EB7" w14:textId="77777777" w:rsidTr="000D3BCB">
        <w:tc>
          <w:tcPr>
            <w:tcW w:w="2802" w:type="dxa"/>
            <w:tcBorders>
              <w:top w:val="single" w:sz="12" w:space="0" w:color="auto"/>
            </w:tcBorders>
          </w:tcPr>
          <w:p w14:paraId="0170B4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Характеристика</w:t>
            </w:r>
          </w:p>
        </w:tc>
        <w:tc>
          <w:tcPr>
            <w:tcW w:w="2802" w:type="dxa"/>
            <w:tcBorders>
              <w:top w:val="single" w:sz="12" w:space="0" w:color="auto"/>
            </w:tcBorders>
          </w:tcPr>
          <w:p w14:paraId="5BC764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АМ-37</w:t>
            </w:r>
          </w:p>
        </w:tc>
        <w:tc>
          <w:tcPr>
            <w:tcW w:w="2802" w:type="dxa"/>
            <w:tcBorders>
              <w:top w:val="single" w:sz="12" w:space="0" w:color="auto"/>
            </w:tcBorders>
          </w:tcPr>
          <w:p w14:paraId="0B66D8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АМ-38</w:t>
            </w:r>
          </w:p>
        </w:tc>
        <w:tc>
          <w:tcPr>
            <w:tcW w:w="2802" w:type="dxa"/>
            <w:tcBorders>
              <w:top w:val="single" w:sz="12" w:space="0" w:color="auto"/>
            </w:tcBorders>
          </w:tcPr>
          <w:p w14:paraId="038E16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М-82А</w:t>
            </w:r>
          </w:p>
        </w:tc>
      </w:tr>
      <w:tr w:rsidR="00643896" w:rsidRPr="00640820" w14:paraId="1EB3E5D8" w14:textId="77777777" w:rsidTr="000D3BCB">
        <w:tc>
          <w:tcPr>
            <w:tcW w:w="2802" w:type="dxa"/>
          </w:tcPr>
          <w:p w14:paraId="3DC535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Год выпуска</w:t>
            </w:r>
          </w:p>
        </w:tc>
        <w:tc>
          <w:tcPr>
            <w:tcW w:w="2802" w:type="dxa"/>
          </w:tcPr>
          <w:p w14:paraId="51B1CF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1941</w:t>
            </w:r>
          </w:p>
        </w:tc>
        <w:tc>
          <w:tcPr>
            <w:tcW w:w="2802" w:type="dxa"/>
          </w:tcPr>
          <w:p w14:paraId="2D7F14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1941</w:t>
            </w:r>
          </w:p>
        </w:tc>
        <w:tc>
          <w:tcPr>
            <w:tcW w:w="2802" w:type="dxa"/>
          </w:tcPr>
          <w:p w14:paraId="7F3B3D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1941</w:t>
            </w:r>
          </w:p>
        </w:tc>
      </w:tr>
      <w:tr w:rsidR="00643896" w:rsidRPr="00640820" w14:paraId="2879D3D1" w14:textId="77777777" w:rsidTr="000D3BCB">
        <w:tc>
          <w:tcPr>
            <w:tcW w:w="2802" w:type="dxa"/>
          </w:tcPr>
          <w:p w14:paraId="768550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Масса, кг</w:t>
            </w:r>
          </w:p>
        </w:tc>
        <w:tc>
          <w:tcPr>
            <w:tcW w:w="2802" w:type="dxa"/>
          </w:tcPr>
          <w:p w14:paraId="7376F7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850</w:t>
            </w:r>
          </w:p>
        </w:tc>
        <w:tc>
          <w:tcPr>
            <w:tcW w:w="2802" w:type="dxa"/>
          </w:tcPr>
          <w:p w14:paraId="360CE2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860</w:t>
            </w:r>
          </w:p>
        </w:tc>
        <w:tc>
          <w:tcPr>
            <w:tcW w:w="2802" w:type="dxa"/>
          </w:tcPr>
          <w:p w14:paraId="2769FF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870</w:t>
            </w:r>
          </w:p>
        </w:tc>
      </w:tr>
      <w:tr w:rsidR="00643896" w:rsidRPr="00640820" w14:paraId="7C04C676" w14:textId="77777777" w:rsidTr="000D3BCB">
        <w:tc>
          <w:tcPr>
            <w:tcW w:w="2802" w:type="dxa"/>
          </w:tcPr>
          <w:p w14:paraId="64BFC8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Взлетная мощность, л.с.</w:t>
            </w:r>
          </w:p>
        </w:tc>
        <w:tc>
          <w:tcPr>
            <w:tcW w:w="2802" w:type="dxa"/>
          </w:tcPr>
          <w:p w14:paraId="2C6D4D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1400</w:t>
            </w:r>
          </w:p>
        </w:tc>
        <w:tc>
          <w:tcPr>
            <w:tcW w:w="2802" w:type="dxa"/>
          </w:tcPr>
          <w:p w14:paraId="783900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1600</w:t>
            </w:r>
          </w:p>
        </w:tc>
        <w:tc>
          <w:tcPr>
            <w:tcW w:w="2802" w:type="dxa"/>
          </w:tcPr>
          <w:p w14:paraId="3DCCFC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1700</w:t>
            </w:r>
          </w:p>
        </w:tc>
      </w:tr>
      <w:tr w:rsidR="00643896" w:rsidRPr="00640820" w14:paraId="3DD2592A" w14:textId="77777777" w:rsidTr="000D3BCB">
        <w:tc>
          <w:tcPr>
            <w:tcW w:w="2802" w:type="dxa"/>
          </w:tcPr>
          <w:p w14:paraId="5E3EA7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Номинальная мощность у земли, л.с.</w:t>
            </w:r>
          </w:p>
        </w:tc>
        <w:tc>
          <w:tcPr>
            <w:tcW w:w="2802" w:type="dxa"/>
          </w:tcPr>
          <w:p w14:paraId="24AC1B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1300</w:t>
            </w:r>
          </w:p>
        </w:tc>
        <w:tc>
          <w:tcPr>
            <w:tcW w:w="2802" w:type="dxa"/>
          </w:tcPr>
          <w:p w14:paraId="79A368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1500</w:t>
            </w:r>
          </w:p>
        </w:tc>
        <w:tc>
          <w:tcPr>
            <w:tcW w:w="2802" w:type="dxa"/>
          </w:tcPr>
          <w:p w14:paraId="0CEEBC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1400</w:t>
            </w:r>
          </w:p>
        </w:tc>
      </w:tr>
      <w:tr w:rsidR="00643896" w:rsidRPr="00640820" w14:paraId="60B1CB0C" w14:textId="77777777" w:rsidTr="000D3BCB">
        <w:tc>
          <w:tcPr>
            <w:tcW w:w="2802" w:type="dxa"/>
          </w:tcPr>
          <w:p w14:paraId="49B379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Номинальная мощность на высоте, л.с.</w:t>
            </w:r>
          </w:p>
        </w:tc>
        <w:tc>
          <w:tcPr>
            <w:tcW w:w="2802" w:type="dxa"/>
          </w:tcPr>
          <w:p w14:paraId="054044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1400</w:t>
            </w:r>
          </w:p>
        </w:tc>
        <w:tc>
          <w:tcPr>
            <w:tcW w:w="2802" w:type="dxa"/>
          </w:tcPr>
          <w:p w14:paraId="0D8452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1500</w:t>
            </w:r>
          </w:p>
        </w:tc>
        <w:tc>
          <w:tcPr>
            <w:tcW w:w="2802" w:type="dxa"/>
          </w:tcPr>
          <w:p w14:paraId="2865B3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1330</w:t>
            </w:r>
          </w:p>
        </w:tc>
      </w:tr>
      <w:tr w:rsidR="00643896" w:rsidRPr="00640820" w14:paraId="13A101A8" w14:textId="77777777" w:rsidTr="000D3BCB">
        <w:tc>
          <w:tcPr>
            <w:tcW w:w="2802" w:type="dxa"/>
          </w:tcPr>
          <w:p w14:paraId="1FC77A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Расчетная высота, м</w:t>
            </w:r>
          </w:p>
        </w:tc>
        <w:tc>
          <w:tcPr>
            <w:tcW w:w="2802" w:type="dxa"/>
          </w:tcPr>
          <w:p w14:paraId="42A702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5800</w:t>
            </w:r>
          </w:p>
        </w:tc>
        <w:tc>
          <w:tcPr>
            <w:tcW w:w="2802" w:type="dxa"/>
          </w:tcPr>
          <w:p w14:paraId="1C2A7A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1650</w:t>
            </w:r>
          </w:p>
        </w:tc>
        <w:tc>
          <w:tcPr>
            <w:tcW w:w="2802" w:type="dxa"/>
          </w:tcPr>
          <w:p w14:paraId="24A2C6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5400</w:t>
            </w:r>
          </w:p>
        </w:tc>
      </w:tr>
      <w:tr w:rsidR="00643896" w:rsidRPr="00640820" w14:paraId="6969ABB1" w14:textId="77777777" w:rsidTr="000D3BCB">
        <w:tc>
          <w:tcPr>
            <w:tcW w:w="2802" w:type="dxa"/>
          </w:tcPr>
          <w:p w14:paraId="22C947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Степень сжатия</w:t>
            </w:r>
          </w:p>
        </w:tc>
        <w:tc>
          <w:tcPr>
            <w:tcW w:w="2802" w:type="dxa"/>
          </w:tcPr>
          <w:p w14:paraId="1EB685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6,8</w:t>
            </w:r>
          </w:p>
        </w:tc>
        <w:tc>
          <w:tcPr>
            <w:tcW w:w="2802" w:type="dxa"/>
          </w:tcPr>
          <w:p w14:paraId="5B2B5A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6,8</w:t>
            </w:r>
          </w:p>
        </w:tc>
        <w:tc>
          <w:tcPr>
            <w:tcW w:w="2802" w:type="dxa"/>
          </w:tcPr>
          <w:p w14:paraId="292AC8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7,0</w:t>
            </w:r>
          </w:p>
        </w:tc>
      </w:tr>
      <w:tr w:rsidR="00643896" w:rsidRPr="00640820" w14:paraId="2906FD88" w14:textId="77777777" w:rsidTr="000D3BCB">
        <w:tc>
          <w:tcPr>
            <w:tcW w:w="2802" w:type="dxa"/>
            <w:tcBorders>
              <w:bottom w:val="single" w:sz="12" w:space="0" w:color="auto"/>
            </w:tcBorders>
          </w:tcPr>
          <w:p w14:paraId="15EC8F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Передаточное число редуктора</w:t>
            </w:r>
          </w:p>
        </w:tc>
        <w:tc>
          <w:tcPr>
            <w:tcW w:w="2802" w:type="dxa"/>
            <w:tcBorders>
              <w:bottom w:val="single" w:sz="12" w:space="0" w:color="auto"/>
            </w:tcBorders>
          </w:tcPr>
          <w:p w14:paraId="2F48FD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0,732</w:t>
            </w:r>
          </w:p>
        </w:tc>
        <w:tc>
          <w:tcPr>
            <w:tcW w:w="2802" w:type="dxa"/>
            <w:tcBorders>
              <w:bottom w:val="single" w:sz="12" w:space="0" w:color="auto"/>
            </w:tcBorders>
          </w:tcPr>
          <w:p w14:paraId="1E3420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0,732</w:t>
            </w:r>
          </w:p>
        </w:tc>
        <w:tc>
          <w:tcPr>
            <w:tcW w:w="2802" w:type="dxa"/>
            <w:tcBorders>
              <w:bottom w:val="single" w:sz="12" w:space="0" w:color="auto"/>
            </w:tcBorders>
          </w:tcPr>
          <w:p w14:paraId="50C823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0,5625; 0,6875</w:t>
            </w:r>
          </w:p>
        </w:tc>
      </w:tr>
    </w:tbl>
    <w:p w14:paraId="0C3912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(12045).</w:t>
      </w:r>
    </w:p>
    <w:p w14:paraId="049854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62EBF8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5 октября 1941 г. в 43-й авиадивизии проходили войсковые испытания три ЛаГГ-3, вооруженные 37мм пушками; согласно отчету эти самолеты смогли уничтожить пять немецких танков. Мощное вооружение буквально провоцировало использовать эти машины в качестве штурмовиков. Однако новые пушки Шпитального были еще сырыми и работали ненадежно. Воевали эти три истребителя недолго - в середине октября их сбили в районе Вязьмы (4707).</w:t>
      </w:r>
    </w:p>
    <w:p w14:paraId="11ACC9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CCDE8E5" w14:textId="77777777" w:rsidR="00FD1870" w:rsidRPr="00640820" w:rsidRDefault="00FD187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5 октября 1941 г. три опытных самолета ЛаГГ-3 с Ш-37 приземлились на одном из аэродромов под Вязьмой, где базировался 33-й истребительный авиаполк. Здесь проявились особенности характера Шпитального, который запретил пилотам давать какую-либо информацию командованию дивизии, привез «своих» авиатехников и вооруженцев, окружив стеной секретности результаты войсковых испытаний. Но шила в мешке не утаишь: один из самолетов вскоре не вернулся с боевого задания, второй, получивший тяжелые повреждения в воздушном бою, разломился при посадке на своем аэродроме, а у третьего вышел из строя мотор. Забрав участников испытаний и остатки техники (включая отломленную часть фюзеляжа с мотор-пушкой), Шпитальный убыл в Москву, где сумел доложить о результатах применения своей пушки лично И.В. Сталину. Этот доклад датирован 10 октября 1941 г., то есть испытания реально продолжались всего три-четыре дня. Со слов Шпитального известно, что в ходе пяти воздушных боев ЛаГГи с 37-мм пушками достоверно сбили четыре и «вероятно» - три самолета противника, а также сожгли пять немецких </w:t>
      </w:r>
      <w:r w:rsidRPr="00640820">
        <w:rPr>
          <w:rFonts w:ascii="Times New Roman" w:hAnsi="Times New Roman"/>
          <w:color w:val="000000" w:themeColor="text1"/>
          <w:sz w:val="16"/>
          <w:szCs w:val="16"/>
        </w:rPr>
        <w:lastRenderedPageBreak/>
        <w:t>танков. Однако момент для запуска в серию «удивительно эффективного варианта» ЛаГГ-3 был крайне неблагоприятным: Красная Армия потерпела сокрушительное поражение под Вязьмой, создалась реальная угроза Москве. Началось перебазирование советской авиапромышленности на восток, суммарный выпуск самолетов резко уменьшился, да и оценки ЛаГГа как истребителя накапливались не слишком благоприятные (18999).</w:t>
      </w:r>
    </w:p>
    <w:p w14:paraId="726C67F0" w14:textId="77777777" w:rsidR="00FD1870" w:rsidRPr="00640820" w:rsidRDefault="00FD1870" w:rsidP="00640820">
      <w:pPr>
        <w:spacing w:after="0" w:line="240" w:lineRule="auto"/>
        <w:jc w:val="both"/>
        <w:rPr>
          <w:rFonts w:ascii="Times New Roman" w:hAnsi="Times New Roman"/>
          <w:color w:val="000000" w:themeColor="text1"/>
          <w:sz w:val="16"/>
          <w:szCs w:val="16"/>
        </w:rPr>
      </w:pPr>
    </w:p>
    <w:p w14:paraId="43DC5E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октября 1941 в ЛИИ закончились летные испытания ДИС (МиГ-5) с 2хАМ-37, которые начались 11 июля 1941 (990,8).</w:t>
      </w:r>
    </w:p>
    <w:p w14:paraId="782A8E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2-х моторный одноместный истребитель с 2АМ-37, 3-х лопастным винтом ААВ-5-Л11У д. 3.1 м</w:t>
      </w:r>
    </w:p>
    <w:p w14:paraId="13A91C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Вооружение: в центроплане 2хВЯ 23 мм и 4хБС 12.7мм с предусмотреной подвеской бомб до 1000 кг</w:t>
      </w:r>
    </w:p>
    <w:p w14:paraId="59B6C1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Полетный вес 8000, размах крыла 15,3, длина 11,2 м, пл. Крыла 38,9 м, цт 21.4% САХ (шасси выпущено, без горюч. Т боеприпасов) и 24.5% (норм. Вариант шасси выпущено), нагрузка 207 кг/м2,</w:t>
      </w:r>
    </w:p>
    <w:p w14:paraId="532C05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Емкость бензобаков: фюзеляж 765 л, центроплан 2х685 = 1370 л., дополнительный 455 л, итого: 2590 л</w:t>
      </w:r>
    </w:p>
    <w:p w14:paraId="5AD82F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Макс. скорость на 7520 м = 560 км/час (990,8).</w:t>
      </w:r>
    </w:p>
    <w:p w14:paraId="32AA42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самолета в 1942 были сняты моторы для переборки. Самолет находился на ЛИС завода в ангаре (990,8).</w:t>
      </w:r>
    </w:p>
    <w:p w14:paraId="48CC31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C90E8E1" w14:textId="77777777" w:rsidR="00A00ACC" w:rsidRPr="00640820" w:rsidRDefault="00A00ACC"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5 октября 1941 заводские летные испытания в ЛИИ НКАП ДИС-200 (Т) с моторами АМ-37 (МиГ-5) были досрочно прекращены в связи с эвакуа</w:t>
      </w:r>
      <w:r w:rsidRPr="00640820">
        <w:rPr>
          <w:rFonts w:ascii="Times New Roman" w:cs="Times New Roman"/>
          <w:color w:val="000000" w:themeColor="text1"/>
          <w:spacing w:val="0"/>
        </w:rPr>
        <w:softHyphen/>
        <w:t>цией промышленности. Всего выполне</w:t>
      </w:r>
      <w:r w:rsidRPr="00640820">
        <w:rPr>
          <w:rFonts w:ascii="Times New Roman" w:cs="Times New Roman"/>
          <w:color w:val="000000" w:themeColor="text1"/>
          <w:spacing w:val="0"/>
        </w:rPr>
        <w:softHyphen/>
        <w:t>но 32 полета. Максимальная скорость с винтами АВ-5Л-114 составила 560 км/ч на высоте 7500 м, а после ряда улучше</w:t>
      </w:r>
      <w:r w:rsidRPr="00640820">
        <w:rPr>
          <w:rFonts w:ascii="Times New Roman" w:cs="Times New Roman"/>
          <w:color w:val="000000" w:themeColor="text1"/>
          <w:spacing w:val="0"/>
        </w:rPr>
        <w:softHyphen/>
        <w:t>ний аэродинамики самолета и с вин</w:t>
      </w:r>
      <w:r w:rsidRPr="00640820">
        <w:rPr>
          <w:rFonts w:ascii="Times New Roman" w:cs="Times New Roman"/>
          <w:color w:val="000000" w:themeColor="text1"/>
          <w:spacing w:val="0"/>
        </w:rPr>
        <w:softHyphen/>
        <w:t>тами АВ-9БЛ-149 - 610 км/ч на высоте 6800 м. Время подъема на высоту 5000 м оценивалось в 7,4 мин. Дальность полета на 0,8 максимальной скорости -1480 км (в перегрузку 2280 км).</w:t>
      </w:r>
    </w:p>
    <w:p w14:paraId="3E42E81D" w14:textId="77777777" w:rsidR="00A00ACC" w:rsidRPr="00640820" w:rsidRDefault="00A00ACC"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Вооружение самолета состояло из пушки калибра 23 мм (200 снарядов) под фюзеляжем на легкосъемном лафе</w:t>
      </w:r>
      <w:r w:rsidRPr="00640820">
        <w:rPr>
          <w:rFonts w:ascii="Times New Roman" w:cs="Times New Roman"/>
          <w:color w:val="000000" w:themeColor="text1"/>
          <w:spacing w:val="0"/>
        </w:rPr>
        <w:softHyphen/>
        <w:t>те, двух крупнокалиберных пулеметов БС (600 патронов) и четырех пулеме</w:t>
      </w:r>
      <w:r w:rsidRPr="00640820">
        <w:rPr>
          <w:rFonts w:ascii="Times New Roman" w:cs="Times New Roman"/>
          <w:color w:val="000000" w:themeColor="text1"/>
          <w:spacing w:val="0"/>
        </w:rPr>
        <w:softHyphen/>
        <w:t>тов ШКАС (4000 патронов) в центропла</w:t>
      </w:r>
      <w:r w:rsidRPr="00640820">
        <w:rPr>
          <w:rFonts w:ascii="Times New Roman" w:cs="Times New Roman"/>
          <w:color w:val="000000" w:themeColor="text1"/>
          <w:spacing w:val="0"/>
        </w:rPr>
        <w:softHyphen/>
        <w:t>не. В перегрузку предполагалась подве</w:t>
      </w:r>
      <w:r w:rsidRPr="00640820">
        <w:rPr>
          <w:rFonts w:ascii="Times New Roman" w:cs="Times New Roman"/>
          <w:color w:val="000000" w:themeColor="text1"/>
          <w:spacing w:val="0"/>
        </w:rPr>
        <w:softHyphen/>
        <w:t>ска бомб до 1000 кг. При этом пушка с самолета снималась. Допускался сброс бомб с пикирования. С целью обеспе</w:t>
      </w:r>
      <w:r w:rsidRPr="00640820">
        <w:rPr>
          <w:rFonts w:ascii="Times New Roman" w:cs="Times New Roman"/>
          <w:color w:val="000000" w:themeColor="text1"/>
          <w:spacing w:val="0"/>
        </w:rPr>
        <w:softHyphen/>
        <w:t>чения летчику лучших условий прице</w:t>
      </w:r>
      <w:r w:rsidRPr="00640820">
        <w:rPr>
          <w:rFonts w:ascii="Times New Roman" w:cs="Times New Roman"/>
          <w:color w:val="000000" w:themeColor="text1"/>
          <w:spacing w:val="0"/>
        </w:rPr>
        <w:softHyphen/>
        <w:t>ливания нижняя носовая часть фюзеля</w:t>
      </w:r>
      <w:r w:rsidRPr="00640820">
        <w:rPr>
          <w:rFonts w:ascii="Times New Roman" w:cs="Times New Roman"/>
          <w:color w:val="000000" w:themeColor="text1"/>
          <w:spacing w:val="0"/>
        </w:rPr>
        <w:softHyphen/>
        <w:t>жа имела остекление. Для ограничения скорости на пикировании применялись отклоняемые щитки в хвостовой части фюзеляжа.</w:t>
      </w:r>
    </w:p>
    <w:p w14:paraId="27CF7B5A" w14:textId="77777777" w:rsidR="00A00ACC" w:rsidRPr="00640820" w:rsidRDefault="00A00ACC"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Вооружение не испытывалось, так как пушку МП-6 с производства сняли, а для установки серийной пушки ВЯ тре</w:t>
      </w:r>
      <w:r w:rsidRPr="00640820">
        <w:rPr>
          <w:rFonts w:ascii="Times New Roman" w:cs="Times New Roman"/>
          <w:color w:val="000000" w:themeColor="text1"/>
          <w:spacing w:val="0"/>
        </w:rPr>
        <w:softHyphen/>
        <w:t>бовалась переделка центроплана (15755).</w:t>
      </w:r>
    </w:p>
    <w:p w14:paraId="5DBBE4DD" w14:textId="77777777" w:rsidR="00A00ACC" w:rsidRPr="00640820" w:rsidRDefault="00A00ACC" w:rsidP="00640820">
      <w:pPr>
        <w:pStyle w:val="27"/>
        <w:shd w:val="clear" w:color="auto" w:fill="auto"/>
        <w:spacing w:after="0" w:line="240" w:lineRule="auto"/>
        <w:ind w:firstLine="0"/>
        <w:rPr>
          <w:rFonts w:ascii="Times New Roman" w:cs="Times New Roman"/>
          <w:color w:val="000000" w:themeColor="text1"/>
          <w:spacing w:val="0"/>
        </w:rPr>
      </w:pPr>
    </w:p>
    <w:p w14:paraId="0C47E2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5 по 16 октября 1941 проходили гос. испытания Як-7М М-105ПА в Чкаловской (56,76), а с 31 октября по 27 декабря 1941 - на Урале, куда был эвакуирован НИИ ВВС. 16 октября А.Г.Прошаковым был выполнен перелет Москва - Свердловск и при посадке в Казани была авария, что привело к задержке до 31 октября. Всего было 39 полетов продолжительностью 20:35. Результаты признаны удовлетворительными, но в серию машина так и не пошла (65,77). Машина N 0512 (796,4).</w:t>
      </w:r>
    </w:p>
    <w:p w14:paraId="3CD5B2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D1EC6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октября 1941 ГК и директор завода 51 Н.Н.П. писал в ЦК ВКП(б) письмо (вх. N М-8496оп) о планере-бомбардировщике и это письмо в дальнейшем было передано в НКАП А.И.Ш. (2728,142).</w:t>
      </w:r>
    </w:p>
    <w:p w14:paraId="50C025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671BD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октября 1941 АМ-38ТК-3 был предъявлен на 50 часовые совместные испытания (1684,13).</w:t>
      </w:r>
    </w:p>
    <w:p w14:paraId="04877F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D25D036"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0EB187AE"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BAECC71" w14:textId="77777777" w:rsidR="00A00ACC" w:rsidRPr="00640820" w:rsidRDefault="00A00ACC" w:rsidP="00640820">
      <w:pPr>
        <w:pStyle w:val="ae"/>
        <w:shd w:val="clear" w:color="auto" w:fill="FFFFFF"/>
        <w:spacing w:before="0" w:after="0"/>
        <w:jc w:val="both"/>
        <w:rPr>
          <w:color w:val="000000" w:themeColor="text1"/>
          <w:sz w:val="16"/>
          <w:szCs w:val="16"/>
        </w:rPr>
      </w:pPr>
      <w:r w:rsidRPr="00640820">
        <w:rPr>
          <w:color w:val="000000" w:themeColor="text1"/>
          <w:sz w:val="16"/>
          <w:szCs w:val="16"/>
        </w:rPr>
        <w:t>5 октября 1941 на Уральском артиллерийском полигоне (ныне Нижнетагильский институт испытания металлов (НТИИМ)) начались первые стрельбы из М75. Огонь вёлся из системы №1. 16 октября, после 105 выстрелов, по предложению завода №172 испытания приостановили. Связано это было с необходимостью изготовления нового клина и ряда других деталей. Испытания возобновились 3 ноября. После 402 выстрелов из-за большого разгара нарезной части канала ствола трубу №5 заменили на трубу №4. Испытания стрельбой закончили 11 декабря, но из-за занятости испытаниями других систем отчёт о них был составлен только ко 2 января 1942 года.</w:t>
      </w:r>
    </w:p>
    <w:p w14:paraId="0BE5E7AA" w14:textId="77777777" w:rsidR="00A00ACC" w:rsidRPr="00640820" w:rsidRDefault="00A00ACC" w:rsidP="00640820">
      <w:pPr>
        <w:pStyle w:val="ae"/>
        <w:shd w:val="clear" w:color="auto" w:fill="FFFFFF"/>
        <w:spacing w:before="0" w:after="0"/>
        <w:jc w:val="both"/>
        <w:rPr>
          <w:color w:val="000000" w:themeColor="text1"/>
          <w:sz w:val="16"/>
          <w:szCs w:val="16"/>
        </w:rPr>
      </w:pPr>
      <w:r w:rsidRPr="00640820">
        <w:rPr>
          <w:color w:val="000000" w:themeColor="text1"/>
          <w:sz w:val="16"/>
          <w:szCs w:val="16"/>
        </w:rPr>
        <w:t>Общие выводы по испытаниям оказались крайне неоднозначными. Во-первых, живучесть трубы была определена всего в 250–300 выстрелов, что было явно недостаточным. Во-вторых, возникли серьёзные проблемы с бронепробиваемостью. Пушка пробила лист толщиной 152 мм, но случилось это на дистанции всего 100 метров. На дистанции в километр обстрел даже не проводился, поскольку корпуса снарядов оказались непрочными.</w:t>
      </w:r>
    </w:p>
    <w:p w14:paraId="0DF52BB8" w14:textId="77777777" w:rsidR="00A00ACC" w:rsidRPr="00640820" w:rsidRDefault="00A00ACC" w:rsidP="00640820">
      <w:pPr>
        <w:pStyle w:val="ae"/>
        <w:shd w:val="clear" w:color="auto" w:fill="FFFFFF"/>
        <w:spacing w:before="0" w:after="0"/>
        <w:jc w:val="both"/>
        <w:rPr>
          <w:color w:val="000000" w:themeColor="text1"/>
          <w:sz w:val="16"/>
          <w:szCs w:val="16"/>
        </w:rPr>
      </w:pPr>
      <w:r w:rsidRPr="00640820">
        <w:rPr>
          <w:color w:val="000000" w:themeColor="text1"/>
          <w:sz w:val="16"/>
          <w:szCs w:val="16"/>
        </w:rPr>
        <w:t>Впрочем, это было хронической проблемой советских бронебойных снарядов большинства систем, стоявших на вооружении, и решить её удалось далеко не сразу. Реальная скорострельность пушки оказалась всего 5–6 выстрелов в минуту. Наблюдались большие проблемы и с экстракцией гильз. В итоге М75 признали не выдержавшей испытания.</w:t>
      </w:r>
    </w:p>
    <w:p w14:paraId="119AE5D9" w14:textId="77777777" w:rsidR="00A00ACC" w:rsidRPr="00640820" w:rsidRDefault="00A00ACC" w:rsidP="00640820">
      <w:pPr>
        <w:pStyle w:val="ae"/>
        <w:shd w:val="clear" w:color="auto" w:fill="FFFFFF"/>
        <w:spacing w:before="0" w:after="0"/>
        <w:jc w:val="both"/>
        <w:rPr>
          <w:color w:val="000000" w:themeColor="text1"/>
          <w:sz w:val="16"/>
          <w:szCs w:val="16"/>
        </w:rPr>
      </w:pPr>
      <w:r w:rsidRPr="00640820">
        <w:rPr>
          <w:color w:val="000000" w:themeColor="text1"/>
          <w:sz w:val="16"/>
          <w:szCs w:val="16"/>
        </w:rPr>
        <w:t>Потенциально довести М75 до ума завод №172, конечно, мог. Схожие проблемы имели многие пушки, в том числе противотанковые. Ход испытаний показал, каким образом можно устранить выявленные недостатки. Кроме того, как уже говорилось выше, Уральский артиллерийский полигон не был приспособлен к полноценным испытаниям, и в условиях завода можно было решить многие возникшие на полигоне проблемы (17108).</w:t>
      </w:r>
    </w:p>
    <w:p w14:paraId="7E706B8D" w14:textId="77777777" w:rsidR="00A00ACC" w:rsidRPr="00640820" w:rsidRDefault="00A00ACC" w:rsidP="00640820">
      <w:pPr>
        <w:pStyle w:val="ae"/>
        <w:shd w:val="clear" w:color="auto" w:fill="FFFFFF"/>
        <w:spacing w:before="0" w:after="0"/>
        <w:jc w:val="both"/>
        <w:rPr>
          <w:color w:val="000000" w:themeColor="text1"/>
          <w:sz w:val="16"/>
          <w:szCs w:val="16"/>
        </w:rPr>
      </w:pPr>
    </w:p>
    <w:p w14:paraId="39DB097E" w14:textId="77777777" w:rsidR="00B179AE" w:rsidRPr="00640820" w:rsidRDefault="00B179AE"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5 октября 1941 начались первые стрельбы из М75 на Уральском артиллерийском полигоне (ныне Нижнетагильский институт испытания металлов (НТИИМ)). Огонь вёлся из системы №1. 16 октября, после 105 выстрелов, по предложению завода №172 испытания приостановили. Связано это было с необходимостью изготовления нового клина и ряда других деталей. Испытания возобновились 3 ноября. После 402 выстрелов из-за большого разгара нарезной части канала ствола трубу №5 заменили на трубу №4. Испытания стрельбой закончили 11 декабря, но из-за занятости испытаниями других систем отчёт о них был составлен только ко 2 января 1942 года (17650).</w:t>
      </w:r>
    </w:p>
    <w:p w14:paraId="2307F7A0" w14:textId="77777777" w:rsidR="00B179AE" w:rsidRPr="00640820" w:rsidRDefault="00B179AE" w:rsidP="00640820">
      <w:pPr>
        <w:spacing w:after="0" w:line="240" w:lineRule="auto"/>
        <w:jc w:val="both"/>
        <w:rPr>
          <w:rFonts w:ascii="Times New Roman" w:eastAsia="Times New Roman" w:hAnsi="Times New Roman"/>
          <w:color w:val="000000" w:themeColor="text1"/>
          <w:sz w:val="16"/>
          <w:szCs w:val="16"/>
          <w:lang w:eastAsia="ru-RU"/>
        </w:rPr>
      </w:pPr>
    </w:p>
    <w:p w14:paraId="03B3683B" w14:textId="77777777" w:rsidR="00B179AE" w:rsidRPr="00640820" w:rsidRDefault="00B179AE"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 5 октября 1941 ГАЗ вместо запланированных 15 машин сдал всего 5 танков Т-60, к 20 октября было сдано 69 Т-60.</w:t>
      </w:r>
    </w:p>
    <w:p w14:paraId="14B24E44" w14:textId="77777777" w:rsidR="00B179AE" w:rsidRPr="00640820" w:rsidRDefault="00B179AE"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20 октября на завод пришла телеграмма лично от Сталина, в которой тот потребовал увеличить объёмы производства Т-60 до 10 машин в сутки. Для изучения ситуации в Горький прибыл Малышев, его энергичные действия в немалой степени способствовали выправлению ситуации. Несмотря на имевшиеся проблемы, уже в октябре ГАЗ смог не только выполнить месячный план по выпуску танков, но и даже слегка его перевыполнить.</w:t>
      </w:r>
    </w:p>
    <w:p w14:paraId="17714E56" w14:textId="77777777" w:rsidR="00B179AE" w:rsidRPr="00640820" w:rsidRDefault="00B179AE"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За увеличение производства Т-60 пришлось заплатить высокую цену: в конце октября производство автомобилей на ГАЗ оказалось практически парализовано. С производства были сняты модели ГАЗ-61–73 и ГАЗ-61–416 как использующие дефицитный двигатель. Был приостановлен выпуск ГАЗ-64, а объёмы поставок </w:t>
      </w:r>
      <w:hyperlink r:id="rId28" w:history="1">
        <w:r w:rsidRPr="00640820">
          <w:rPr>
            <w:rFonts w:ascii="Times New Roman" w:eastAsia="Times New Roman" w:hAnsi="Times New Roman"/>
            <w:color w:val="000000" w:themeColor="text1"/>
            <w:sz w:val="16"/>
            <w:szCs w:val="16"/>
            <w:lang w:eastAsia="ru-RU"/>
          </w:rPr>
          <w:t>грузовиков</w:t>
        </w:r>
      </w:hyperlink>
      <w:r w:rsidRPr="00640820">
        <w:rPr>
          <w:rFonts w:ascii="Times New Roman" w:eastAsia="Times New Roman" w:hAnsi="Times New Roman"/>
          <w:color w:val="000000" w:themeColor="text1"/>
          <w:sz w:val="16"/>
          <w:szCs w:val="16"/>
          <w:lang w:eastAsia="ru-RU"/>
        </w:rPr>
        <w:t xml:space="preserve"> ГАЗ АА и ГАЗ ААА снизились до минимума.</w:t>
      </w:r>
    </w:p>
    <w:p w14:paraId="70D70597" w14:textId="77777777" w:rsidR="00B179AE" w:rsidRPr="00640820" w:rsidRDefault="00B179AE"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Определённую путаницу в историю создания Т-60 внесла эвакуация завода №37 в Свердловск. Видя бедственное положение с корпусами и башнями, руководство завода предложило поставить в Горький некоторое количество башен для танков Т-30, кроме того, на ГАЗ отправилось и 9 готовых Т-30, требовавших ремонта. Точное число отправленных на ГАЗ корпусов и башен неизвестно, однако по состоянию на лето 1942 года на заводе всё ещё находилось 47 комплектов. Корпуса в дело не пошли, зато можно утверждать, что было выпущено несколько десятков Т-60 с установленными на них коническими башнями. Подобные танки имелись, к примеру, в составе 33-й отдельной танковой бригады, машины которой «засветились» на параде 7 ноября на Красной Площади. Кроме того, с завода №37 было поставлено некоторое количество литых опорных катков (17659).</w:t>
      </w:r>
    </w:p>
    <w:p w14:paraId="03FE7595" w14:textId="77777777" w:rsidR="00B179AE" w:rsidRPr="00640820" w:rsidRDefault="00B179AE" w:rsidP="00640820">
      <w:pPr>
        <w:spacing w:after="0" w:line="240" w:lineRule="auto"/>
        <w:jc w:val="both"/>
        <w:rPr>
          <w:rFonts w:ascii="Times New Roman" w:eastAsia="Times New Roman" w:hAnsi="Times New Roman"/>
          <w:color w:val="000000" w:themeColor="text1"/>
          <w:sz w:val="16"/>
          <w:szCs w:val="16"/>
          <w:lang w:eastAsia="ru-RU"/>
        </w:rPr>
      </w:pPr>
    </w:p>
    <w:p w14:paraId="53F1953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октября 1941 года вышел приказ № 496сс НКВ</w:t>
      </w:r>
    </w:p>
    <w:p w14:paraId="75F55E4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дополнение к приказу НКВ № 426сс от 4 сентября 1941 года</w:t>
      </w:r>
    </w:p>
    <w:p w14:paraId="612DBB3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эвакуации завода № 589:</w:t>
      </w:r>
    </w:p>
    <w:p w14:paraId="3273A0C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Материалы всех видов, изделия и оборудование, неиспользуемое на изготовление ФАБ-500, ОС-122 – 50 мм минометов ……… отгрузить в Красноярск на завод № 586.</w:t>
      </w:r>
    </w:p>
    <w:p w14:paraId="18EB681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Оборудование и материалы, предназначенные для изготовления 61-К немедленно отгрузить на завод № 4 (6288, 43).</w:t>
      </w:r>
    </w:p>
    <w:p w14:paraId="1A0592A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D8B988" w14:textId="77777777" w:rsidR="00A00ACC" w:rsidRPr="00640820" w:rsidRDefault="00A00ACC" w:rsidP="00640820">
      <w:pPr>
        <w:pStyle w:val="ae"/>
        <w:shd w:val="clear" w:color="auto" w:fill="FFFFFF"/>
        <w:spacing w:before="0" w:after="0"/>
        <w:jc w:val="both"/>
        <w:rPr>
          <w:color w:val="000000" w:themeColor="text1"/>
          <w:sz w:val="16"/>
          <w:szCs w:val="16"/>
        </w:rPr>
      </w:pPr>
      <w:r w:rsidRPr="00640820">
        <w:rPr>
          <w:color w:val="000000" w:themeColor="text1"/>
          <w:sz w:val="16"/>
          <w:szCs w:val="16"/>
        </w:rPr>
        <w:t>5 октября 1941 года танк Т-220 с серийным номером М-220–1 отправили в распоряжение 124-й танковой бригады. 16 октября туда же отправилась и вторая машина с серийным номером М-220–2 (15224).</w:t>
      </w:r>
    </w:p>
    <w:p w14:paraId="2F528993" w14:textId="77777777" w:rsidR="00A00ACC" w:rsidRPr="00640820" w:rsidRDefault="00A00ACC" w:rsidP="00640820">
      <w:pPr>
        <w:pStyle w:val="ae"/>
        <w:shd w:val="clear" w:color="auto" w:fill="FFFFFF"/>
        <w:spacing w:before="0" w:after="0"/>
        <w:jc w:val="both"/>
        <w:rPr>
          <w:color w:val="000000" w:themeColor="text1"/>
          <w:sz w:val="16"/>
          <w:szCs w:val="16"/>
        </w:rPr>
      </w:pPr>
    </w:p>
    <w:p w14:paraId="3FE0CD28" w14:textId="77777777" w:rsidR="00F226C1" w:rsidRPr="00640820" w:rsidRDefault="00F226C1" w:rsidP="00640820">
      <w:pPr>
        <w:shd w:val="clear" w:color="auto" w:fill="FFFFFF"/>
        <w:spacing w:after="0" w:line="240" w:lineRule="auto"/>
        <w:jc w:val="both"/>
        <w:rPr>
          <w:rFonts w:ascii="Times New Roman" w:eastAsia="Times New Roman" w:hAnsi="Times New Roman"/>
          <w:color w:val="0070C0"/>
          <w:sz w:val="16"/>
          <w:szCs w:val="16"/>
          <w:lang w:eastAsia="ru-RU"/>
        </w:rPr>
      </w:pPr>
      <w:r w:rsidRPr="00640820">
        <w:rPr>
          <w:rFonts w:ascii="Times New Roman" w:eastAsia="Times New Roman" w:hAnsi="Times New Roman"/>
          <w:color w:val="0070C0"/>
          <w:sz w:val="16"/>
          <w:szCs w:val="16"/>
          <w:lang w:eastAsia="ru-RU"/>
        </w:rPr>
        <w:t>5 октября 1941 года, согласно отправкам Кировского Завода, танк Т-220-1 направили в состав 124-й танковой бригады. Следом, 16 октября, туда же уехал и второй танк. Так вот, периодически оба танка в переписке именовались как "За Родину". Связано ли это со слоганом на башне (был ли он, неизвестно), или же другими причинами, вопрос. Увы, судьба Т-220-2 сложилась трагически. В ходе боя за Усть-Тосно, 5 ноября 1941 года, танк был уничтожен. Погиб весь экипаж под командованием младшего лейтенанта Н.Д. Яхнина, всего он составлял 6 человек. По свидетельствам очевидцев, танку сбило башню. Больше повезло второму танку "За Родину", он же М-220-1. В начале 1942 года машина оказалась на заводе №371, где прошла ремонт. Впрочем, больше ее в бой не пускали. 8 февраля 1942 года танк "За Родину" зачислили в состав 12-го учебного танкового полка. При этом в документах он проходит как Т-220-2, что явно ошибка. На машине стоял мотор В-</w:t>
      </w:r>
      <w:r w:rsidRPr="00640820">
        <w:rPr>
          <w:rFonts w:ascii="Times New Roman" w:eastAsia="Times New Roman" w:hAnsi="Times New Roman"/>
          <w:color w:val="0070C0"/>
          <w:sz w:val="16"/>
          <w:szCs w:val="16"/>
          <w:lang w:eastAsia="ru-RU"/>
        </w:rPr>
        <w:lastRenderedPageBreak/>
        <w:t>2К, когда он там появился, тоже отдельный вопрос. Вполне вероятно, что он там прописался еще в 1941 году. Так или иначе, далее Т-220 использовался только как учебный танк (21243).</w:t>
      </w:r>
    </w:p>
    <w:p w14:paraId="2E2B5D96" w14:textId="77777777" w:rsidR="00F226C1" w:rsidRPr="00640820" w:rsidRDefault="00F226C1" w:rsidP="00640820">
      <w:pPr>
        <w:spacing w:after="0" w:line="240" w:lineRule="auto"/>
        <w:jc w:val="both"/>
        <w:rPr>
          <w:rFonts w:ascii="Times New Roman" w:hAnsi="Times New Roman"/>
          <w:color w:val="0070C0"/>
          <w:sz w:val="16"/>
          <w:szCs w:val="16"/>
          <w:shd w:val="clear" w:color="auto" w:fill="FFFFFF"/>
        </w:rPr>
      </w:pPr>
    </w:p>
    <w:p w14:paraId="0C7486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октября 1941 г. вышел приказ Главного управления МПВО НКВД СССР за № 29/5493, который гласил:  «Строить внутри цехов индивидуальные убежища и отсеки. По сигналу „ВТ“ работу не прекращать, за исключением лиц, состоящих в противопожарной охране и соединениях МПВО. Работающим оставаться на своих местах до момента непосредственной атаки (бомбометание) авиации противника на объект. Работа предприятия прекращается, за исключением агрегатов, работа которых по технологическим условиям не может быть приостановлена». Работу надо было возобновлять, не дожидаясь подачи сигнала «Отбой ВТ».</w:t>
      </w:r>
    </w:p>
    <w:p w14:paraId="6D6600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Кроме вышеперечисленных распоряжений начальник ГУ МПВО НКВД генерал-лейтенант Осокин распространил «временную инструкцию» о порядке работы предприятий по сигналу «ВТ» и непосредственной угрозе нападения. В ней давался ряд «ценных указаний», например такое:  «В целях защиты от действия осколкови взрывной волны ФАБ установить устройства, приспособления для защиты сооружений и ценного оборудования путем возведения отсечных стенок, обвалки мешками (кули, ящики) с землей и песком… После сигнала „ВТ“ готовая продукция рассредоточивается и принимаются меры к ее немедленному вывозу с территории предприятия». </w:t>
      </w:r>
    </w:p>
    <w:p w14:paraId="7D2989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Отныне эвакуация из цехов во время налета была запрещена. Учитывая же недостатки в системе обнаружения немецких самолетов и многочисленные факты опоздания с подачей тревоги, понятно, что шансов у рабочих остаться в живых в случае бомбежки осталось гораздо меньше (11774).</w:t>
      </w:r>
    </w:p>
    <w:p w14:paraId="3D87A6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7F83986" w14:textId="77777777" w:rsidR="00FD1870" w:rsidRPr="00640820" w:rsidRDefault="00FD187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октября 1941 г.</w:t>
      </w:r>
    </w:p>
    <w:p w14:paraId="28C39642" w14:textId="77777777" w:rsidR="00FD1870" w:rsidRPr="00640820" w:rsidRDefault="00FD187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ВОПРОСЫ, РЕШЕННЫЕ ОПРОСОМ ЧЛЕНОВ БЮРО ГК ВКП(б)</w:t>
      </w:r>
    </w:p>
    <w:p w14:paraId="72682DE0" w14:textId="77777777" w:rsidR="00FD1870" w:rsidRPr="00640820" w:rsidRDefault="00FD187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5 октября 1941 г.</w:t>
      </w:r>
    </w:p>
    <w:p w14:paraId="21B4EAA8" w14:textId="77777777" w:rsidR="00FD1870" w:rsidRPr="00640820" w:rsidRDefault="00FD187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13гс. — О производстве автоматов ППД на ленинградских заводах в октябре месяце 1941 г. (особая папка).</w:t>
      </w:r>
    </w:p>
    <w:p w14:paraId="349AE14F" w14:textId="77777777" w:rsidR="00FD1870" w:rsidRPr="00640820" w:rsidRDefault="00FD187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постановлением Военного Совета Ленинградского фронта от 3.Х–1941 г.</w:t>
      </w:r>
    </w:p>
    <w:p w14:paraId="34C268F8" w14:textId="77777777" w:rsidR="00FD1870" w:rsidRPr="00640820" w:rsidRDefault="00FD187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00311 бюро Ленинградского горкома ВКП(б) постановляет:</w:t>
      </w:r>
    </w:p>
    <w:p w14:paraId="2141C0B2" w14:textId="77777777" w:rsidR="00FD1870" w:rsidRPr="00640820" w:rsidRDefault="00FD187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Обязать директоров заводов им. Воскова т. Худякова, № 7 т. Калистратова, № 209 т. Терещенко и № 181 т. Румянцева изготовить и сдать Артиллерийскому управлению Ленинградского фронта в октябре месяце следующее количество автоматов ППД:</w:t>
      </w:r>
    </w:p>
    <w:p w14:paraId="728A34E4" w14:textId="77777777" w:rsidR="00FD1870" w:rsidRPr="00640820" w:rsidRDefault="00FD187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завод им. Воскова — 2.500 шт.</w:t>
      </w:r>
    </w:p>
    <w:p w14:paraId="3B1C12ED" w14:textId="77777777" w:rsidR="00FD1870" w:rsidRPr="00640820" w:rsidRDefault="00FD187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завод № 7 — 2.500 шт.</w:t>
      </w:r>
    </w:p>
    <w:p w14:paraId="3F0EF0EE" w14:textId="77777777" w:rsidR="00FD1870" w:rsidRPr="00640820" w:rsidRDefault="00FD187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завод № 209 — 2.500 шт.</w:t>
      </w:r>
    </w:p>
    <w:p w14:paraId="3B3DA457" w14:textId="77777777" w:rsidR="00FD1870" w:rsidRPr="00640820" w:rsidRDefault="00FD187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завод № 181 — 1.000 шт.</w:t>
      </w:r>
    </w:p>
    <w:p w14:paraId="46D67B31" w14:textId="77777777" w:rsidR="00FD1870" w:rsidRPr="00640820" w:rsidRDefault="00FD187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Указанный выпуск автоматов ППД считать программой заводов на октябрь месяц 1941 г., с ежесуточной равномерной сдачей продукции военным представителям.</w:t>
      </w:r>
    </w:p>
    <w:p w14:paraId="2D40DB9F" w14:textId="77777777" w:rsidR="00FD1870" w:rsidRPr="00640820" w:rsidRDefault="00FD187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Обязать директоров заводов им. Ильича т. Гаврилова и «Гидропривод» т. Плотникова увеличить выпуск затворов к ППД в октябре месяце с. г. заводом им. Ильича до 140 шт.</w:t>
      </w:r>
    </w:p>
    <w:p w14:paraId="2C362DEB" w14:textId="77777777" w:rsidR="00FD1870" w:rsidRPr="00640820" w:rsidRDefault="00FD187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сутки, заводом «Гидропривод» до 75 шт. в сутки и подавать их для комплектации автомата на заводы им. Воскова, № 7 и № 181.</w:t>
      </w:r>
    </w:p>
    <w:p w14:paraId="358C4AF7" w14:textId="77777777" w:rsidR="00FD1870" w:rsidRPr="00640820" w:rsidRDefault="00FD187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Обязать директора завода Автогаражного электрооборудования т. Чамаева изготовить в октябре месяце 20 тысяч шт. магазинов к ППД и сдать на комплектацию автоматов заводу им. Воскова 8.000 шт., заводу № 7 — 8.000 шт., заводу № 209 — 1.000 шт. готовых магазинов и на 7.000 шт. штампованных деталей и заводу № 181 — 3.000 шт. магазинов.</w:t>
      </w:r>
    </w:p>
    <w:p w14:paraId="6224C137" w14:textId="77777777" w:rsidR="00FD1870" w:rsidRPr="00640820" w:rsidRDefault="00FD187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Обязать директора завода «Красногвардеец» т. Снежкова принять от завода АГЭ изготовление деталей магазина ППД в порядке кооперации и поставлять их в соответствии с графиком, составленным обоими заводами.</w:t>
      </w:r>
    </w:p>
    <w:p w14:paraId="371552DE" w14:textId="77777777" w:rsidR="00FD1870" w:rsidRPr="00640820" w:rsidRDefault="00FD187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Обязать директора завода «Красный Гвоздильщик» т. Нодельман подающими пружинами к магазинам ППД заводы АГЭ и № 209.</w:t>
      </w:r>
    </w:p>
    <w:p w14:paraId="4818DA1A" w14:textId="77777777" w:rsidR="00FD1870" w:rsidRPr="00640820" w:rsidRDefault="00FD187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Обязать директора Ижорского завода т. Попова поставить заводам им. Воскова, № 7, № 209 и № 181 цельнотянутые трубы марки № 35 (45 х 33) и (38 х 26) по их заявкам.</w:t>
      </w:r>
    </w:p>
    <w:p w14:paraId="7C73EDE9" w14:textId="77777777" w:rsidR="00FD1870" w:rsidRPr="00640820" w:rsidRDefault="00FD187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Обязать директора завода № 7 т. Калистратова организовать к 15.Х–с. г. производство стволов ППД с выпуском в октябре месяце 1.000 шт.</w:t>
      </w:r>
    </w:p>
    <w:p w14:paraId="067AF504" w14:textId="77777777" w:rsidR="00FD1870" w:rsidRPr="00640820" w:rsidRDefault="00FD187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Подписи — Кузнецов, Попков, Капустин, Никитин.</w:t>
      </w:r>
    </w:p>
    <w:p w14:paraId="36164730" w14:textId="77777777" w:rsidR="00FD1870" w:rsidRPr="00640820" w:rsidRDefault="00FD187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ЦГАИПД СПб. Ф. 25. Оп. 2а. Д. 158. Л. 49. Бланк опросного голосования. Оригинал, машинопись. Подписи — автографы (19720).</w:t>
      </w:r>
    </w:p>
    <w:p w14:paraId="0FB5C0C6" w14:textId="77777777" w:rsidR="00FD1870" w:rsidRPr="00640820" w:rsidRDefault="00FD1870" w:rsidP="00640820">
      <w:pPr>
        <w:autoSpaceDE w:val="0"/>
        <w:autoSpaceDN w:val="0"/>
        <w:adjustRightInd w:val="0"/>
        <w:spacing w:after="0" w:line="240" w:lineRule="auto"/>
        <w:jc w:val="both"/>
        <w:rPr>
          <w:rFonts w:ascii="Times New Roman" w:hAnsi="Times New Roman"/>
          <w:color w:val="000000" w:themeColor="text1"/>
          <w:sz w:val="16"/>
          <w:szCs w:val="16"/>
        </w:rPr>
      </w:pPr>
    </w:p>
    <w:p w14:paraId="4AB13895" w14:textId="77777777" w:rsidR="00FD1870" w:rsidRPr="00640820" w:rsidRDefault="00FD187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октября 1941 г.</w:t>
      </w:r>
    </w:p>
    <w:p w14:paraId="0BD47F01" w14:textId="77777777" w:rsidR="00FD1870" w:rsidRPr="00640820" w:rsidRDefault="00FD187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ВОПРОСЫ, РЕШЕННЫЕ ОПРОСОМ ЧЛЕНОВ БЮРО ГК ВКП(б)</w:t>
      </w:r>
    </w:p>
    <w:p w14:paraId="7218F8CA" w14:textId="77777777" w:rsidR="00FD1870" w:rsidRPr="00640820" w:rsidRDefault="00FD187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5 октября 1941 г.</w:t>
      </w:r>
    </w:p>
    <w:p w14:paraId="430D5CC3" w14:textId="77777777" w:rsidR="00FD1870" w:rsidRPr="00640820" w:rsidRDefault="00FD187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15гс. — Об изготовлении деталей магазина ППД (особая папка).</w:t>
      </w:r>
    </w:p>
    <w:p w14:paraId="72AC7695" w14:textId="77777777" w:rsidR="00FD1870" w:rsidRPr="00640820" w:rsidRDefault="00FD187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Обязать директора завода № 7 т. Калистратова ежедневно изготовлять для завода АГЭ деталь № 4 — 600 шт., деталь № 8 — 450 шт. и деталь № 16 — 500 шт.</w:t>
      </w:r>
    </w:p>
    <w:p w14:paraId="5D4E38D9" w14:textId="77777777" w:rsidR="00FD1870" w:rsidRPr="00640820" w:rsidRDefault="00FD187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Обязать директора Ленинградского института инженеров железнодорожного транспорта т. Панфилова ежедневно изготовлять для завода АГЭ деталь № 8 — 200 шт. и деталь № 16 — 200 шт.</w:t>
      </w:r>
    </w:p>
    <w:p w14:paraId="1CE7CD74" w14:textId="77777777" w:rsidR="00FD1870" w:rsidRPr="00640820" w:rsidRDefault="00FD187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Обязать директора мастерских БГМП т. Кузнецова изготовлять ежедневно для завода АГЭ деталь № 8 — 100 шт.</w:t>
      </w:r>
    </w:p>
    <w:p w14:paraId="03C18ED8" w14:textId="77777777" w:rsidR="00FD1870" w:rsidRPr="00640820" w:rsidRDefault="00FD187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Обязать директора завода «Красногвардеец» т. Снежкова поставлять заводу АГЭ вытяжку детали № 1, детали № 12 и поковок детали № 6-а и № 19 по 800 шт. ежедневно, а директору 48 ремесленного училища т. Кривцову производить обработку деталей № 6-а и № 19 по 800 шт. ежедневно.</w:t>
      </w:r>
    </w:p>
    <w:p w14:paraId="3391B4AF" w14:textId="77777777" w:rsidR="00FD1870" w:rsidRPr="00640820" w:rsidRDefault="00FD187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Подписи — Кузнецов, Попков, Капустин, Никитин.</w:t>
      </w:r>
    </w:p>
    <w:p w14:paraId="77CD6A99" w14:textId="77777777" w:rsidR="00FD1870" w:rsidRPr="00640820" w:rsidRDefault="00FD187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ЦГАИПД СПб. Ф. 25. Оп. 2а. Д. 158. Л. 54. Бланк опросного голосования. Оригинал, машинопись. Подписи — автографы (19720).</w:t>
      </w:r>
    </w:p>
    <w:p w14:paraId="1E7F654C" w14:textId="77777777" w:rsidR="00FD1870" w:rsidRPr="00640820" w:rsidRDefault="00FD187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Приложения не публикуются.</w:t>
      </w:r>
    </w:p>
    <w:p w14:paraId="185DD5E0" w14:textId="77777777" w:rsidR="00FD1870" w:rsidRPr="00640820" w:rsidRDefault="00FD1870" w:rsidP="00640820">
      <w:pPr>
        <w:autoSpaceDE w:val="0"/>
        <w:autoSpaceDN w:val="0"/>
        <w:adjustRightInd w:val="0"/>
        <w:spacing w:after="0" w:line="240" w:lineRule="auto"/>
        <w:jc w:val="both"/>
        <w:rPr>
          <w:rFonts w:ascii="Times New Roman" w:hAnsi="Times New Roman"/>
          <w:color w:val="000000" w:themeColor="text1"/>
          <w:sz w:val="16"/>
          <w:szCs w:val="16"/>
        </w:rPr>
      </w:pPr>
    </w:p>
    <w:p w14:paraId="62E2ADDE"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2D350008"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54EF956"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5 октября </w:t>
      </w:r>
      <w:r w:rsidRPr="00640820">
        <w:rPr>
          <w:rFonts w:ascii="Times New Roman" w:hAnsi="Times New Roman"/>
          <w:color w:val="000000" w:themeColor="text1"/>
          <w:sz w:val="16"/>
          <w:szCs w:val="16"/>
        </w:rPr>
        <w:t>в 1941 году утреннее сообщение Совинформбюро:</w:t>
      </w:r>
    </w:p>
    <w:p w14:paraId="21C04E8E"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6 октября наши войска вели бои с противником на всём фронте.</w:t>
      </w:r>
    </w:p>
    <w:p w14:paraId="69927028"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Соединение нашей авиации, действующее на Западном направлении фронта, уничтожило 45 танков, 160 автомашин, 156 мотоциклов противника, до батальона вражеской пехоты и сбило в воздушном бою 19 немецких самолётов.</w:t>
      </w:r>
    </w:p>
    <w:p w14:paraId="31E58ED1"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Авиация Черноморского флота за один день рассеяла два батальона пехоты, уни-чтожила 6 танков, 33 бронемашины, 13 автомобилей с пехотой и 5 орудий.</w:t>
      </w:r>
    </w:p>
    <w:p w14:paraId="4EA4AB10"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Лётчики части командира тов. Радченко в сентябре на Северо-Западном направлении фронта сбили в воздушных боях 96 вражеских самолётов.</w:t>
      </w:r>
    </w:p>
    <w:p w14:paraId="1E435510"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Звено лётчика лейтенанта Мещерякова поднялось в воздух, чтобы преградить путь фашистским воздушным пиратам, направлявшимся в наш тыл к городу Н. Завязался бой. Вскоре метким огнём лейтенант Мещеряков сбил вражеский бомбардировщик. Отважный лётчик атаковал второй бомбардировщик. Израсходовав боеприпасы, т. Мещеряков винтом своего самолёта перерубил рули глубины и стабилизатор вражеской машины. «Юнкерс» грохнулся на землю. Искусно маневрируя, лётчик ушёл от наседавших на него «Мессершмиттов» и благополучно совершил посадку.</w:t>
      </w:r>
    </w:p>
    <w:p w14:paraId="18230EE5"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Партизанский отряд, действующий под командованием одесского финансового работника тов. Н., разгромил крупный отряд румын. Дело происходило следующим образом. Советские лётчики обстреляли колонну румынской пехоты и обратили её в бегство. Одна румынская рота укрылась от огня самолётов в кукурузном поле, где и была обнаружена отрядом товарища Н. Партизаны открыли ружейно-пулемётный огонь по противнику, а затем ударили в штыки. В результате короткой ожесточённой схватки румынская рота была разгромлена. Озлобленные фашисты в тот же вечер двинули против партизан отряд пехоты с бронемашиной. Партизаны залегли и пропустили мимо себя вражеский броневик, ничем не выдав своего присутствия. Пройдя вперёд, вражеский броневик наткнулся на румынских солдат, заходивших в тыл партизанам. Броневик открыл огонь по румынам, приняв их за партизан. Воспользовавшись суматохой, партизаны обстреляла фашистов и нанесли им тяжёлые потери. Румыны отошли, оставив на поле боя много убитых и раненых.</w:t>
      </w:r>
    </w:p>
    <w:p w14:paraId="13FF36FE"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Группа югославских партизан напала на город Петровац. В Загребе в автобус, в котором находились немецкие солдаты, были брошены две гранаты. Во время взрыва ранено несколько солдат и два немецких унтер-офицера. Германский военный комендант полковник Рейхер обещал 10 тыс. марок тому, кто поможет найти виновника покушения. В связи с покушениями на немецких солдат в Загребе с 9 часов вечера запрещено всякое движение по городу. Несмотря на это, в ночь на 30 сентября на одной из улиц Загреба неизвестными лицами убиты два германских лётчика.</w:t>
      </w:r>
    </w:p>
    <w:p w14:paraId="40ED72E8"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Десятки тысяч советских женщин овладевают сложными профессиями, успешно заменяя мужчин, ушедших в ряды Красной Армии. Уборщица пункта технического осмотра вагонов станции Сортировочная Ленинской дороги Клавдия Мальцева в дни Отечественной войны овладела специальностью слесаря и освоила разборку воздухораспределителей. Сейчас она работает за двоих мужчин, ушедших на фронт. До войны на одном из заводов Тульской области обжигальщиками работали только мужчины. Теперь процесс обжига освоили т.т. Галкина, Пышная, Гриценко и Акимова.</w:t>
      </w:r>
    </w:p>
    <w:p w14:paraId="705E16CE"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На вичугской фабрике «Красный Профинтерн» женщины заняли место у сложных шлихтовальных машин, заменив ушедших на фронт мужчин. Работницы т.т. Перфилова и Лебедева стали квалифицированными шлихтовальщицами. Работница тов. Тараканова освоила специальность клеевара. В Кузнецком бассейне 110 женщин работают машинистами электровозов и 218 — электрослесарями. В «Востсибугле» 17 женщин работают машинистами подъёмных машин. На Ярославской железной дороге на днях 3 женщины сдали испытания на машинистов поездов. На Ленинской дороге за время войны переподготовлено более 400 женщин, в том числе около 150 домохозяек. 8 женщин готовятся стать машинистами, 56 — помощниками машинистов, 31 — осмотрщиками вагонов.» (14790).</w:t>
      </w:r>
    </w:p>
    <w:p w14:paraId="649DC595" w14:textId="77777777" w:rsidR="009F6E13" w:rsidRPr="00640820" w:rsidRDefault="009F6E13" w:rsidP="00640820">
      <w:pPr>
        <w:spacing w:after="0" w:line="240" w:lineRule="auto"/>
        <w:jc w:val="both"/>
        <w:rPr>
          <w:rFonts w:ascii="Times New Roman" w:hAnsi="Times New Roman"/>
          <w:color w:val="000000" w:themeColor="text1"/>
          <w:sz w:val="16"/>
          <w:szCs w:val="16"/>
        </w:rPr>
      </w:pPr>
    </w:p>
    <w:p w14:paraId="13B1E2F0"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5 октября </w:t>
      </w:r>
      <w:r w:rsidRPr="00640820">
        <w:rPr>
          <w:rFonts w:ascii="Times New Roman" w:hAnsi="Times New Roman"/>
          <w:color w:val="000000" w:themeColor="text1"/>
          <w:sz w:val="16"/>
          <w:szCs w:val="16"/>
        </w:rPr>
        <w:t>в 1941 году вечернее сообщение Совинформбюро:</w:t>
      </w:r>
    </w:p>
    <w:p w14:paraId="2A5BC3B1"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6 октября наши войска вели упорные бои с противником на всём фронте.</w:t>
      </w:r>
    </w:p>
    <w:p w14:paraId="1D6F211D"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4 октября в воздушных боях сбито 53 самолета и уничтожено на аэродромах 10 самолётов противника, а всего уничтожено 63 самолёта противника. Наши потери — 25 самолётов.</w:t>
      </w:r>
    </w:p>
    <w:p w14:paraId="4B5617C5"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Баренцевом море потоплен немецкий транспорт.</w:t>
      </w:r>
    </w:p>
    <w:p w14:paraId="40DAD049"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Танковые подразделения части тов. Чернова во взаимодействии с бомбардировщиками авиационной части тов. Кравченко нанесли удар по немецкой танковой колонне, вклинившейся в расположение наших войск на одном из участков Западного направления фронта. В результате боя уничтожено 34 немецких танка; из них 22 разбито прямыми попаданиями бомб с наших самолётов и 12 уничтожено нашими танкистами.</w:t>
      </w:r>
    </w:p>
    <w:p w14:paraId="257553B1"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Группа наших самолётов в районе пункта Р. на Юго-Западном направлении фронта 5 октября разгромила крупную танковую часть противника. Бомбардировкой нашей авиации были уничтожены 64 немецких танка, 130 автомашин с пехотой и боеприпасами, 12 орудий и 2 цистерны с горючим. Особенно отличились в этой боевой операции лётчики части майора Шишкина.</w:t>
      </w:r>
    </w:p>
    <w:p w14:paraId="2118789B"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Советское Информбюро публикует ниже акт о зверствах фашистских людоедов в деревне Карбовка, Погарского района, Орловской области.</w:t>
      </w:r>
    </w:p>
    <w:p w14:paraId="42D79AD7"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«Мы, нижеподписавшиеся, председатель Карбовского сельсовета Погарского района Нужный П. П., председатель колхоза «Пролетарий» Гирлин П. М., счетовод колхоза Разуванова Т. П. и крестьяне Гирлин Б. П., Нужный В. Д. составили настоящий акт в нижеследующем:</w:t>
      </w:r>
    </w:p>
    <w:p w14:paraId="645BFD59"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два дня немецкие фашисты сожгли в нашей деревне Карбовке 76 крестьянских домов, две колхозных конюшни, два скотных двора, 3 амбара, 3 мельницы, школу, здание сельсовета. За это время они ограбили магазин, отобрали у населения 20 коров, 15 овец, 30 свиней, 70 гусей и 450 кур.</w:t>
      </w:r>
    </w:p>
    <w:p w14:paraId="381337F8"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Фашисты зверски замучили и убили 11 наших односельчан: Прокопенко Прокофия Ефимовича 65 лет, Ширкину Анастасию Тимофеевну 42 лет, Прокопенко Григория Сергеевича 67 лет, Метлицкого Григория Евдокимовича 63 лет, Метлицкую Ольгу 63 лет, Метлицкую Елизавету Никитичну 30 лет, Метлицкую Александру Васильевну 8 лет, Метлицкую Нину 2 месяцев, Гирлину Анастасию Ивановну 60 лет, Спелую Анну Захаровну 19 лет и Метлицкого Петра Евдокимовича 70 лет.</w:t>
      </w:r>
    </w:p>
    <w:p w14:paraId="5456E981"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фашисты искалечили 6 колхозников и колхозниц.</w:t>
      </w:r>
    </w:p>
    <w:p w14:paraId="2548CD7C"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Подписи: П.Нужный, П.Гирлин, Т.Разуванова, Б.Гирлин, В.Нужный».</w:t>
      </w:r>
    </w:p>
    <w:p w14:paraId="74FFDCCB"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Пленные румынские солдаты рассказывают об огромных потерях, которые несли и несут румынские части под Одессой. Сержант 13 пехотного полка Дмитрий Ионович Антон говорит: «Наш полк прибыл на Одесский фронт 31 августа. В боях у села Петерсталь почти весь полк был уничтожен. В первом батальоне из 800 солдат и офицеров осталось не более 200. Среди убитых командир батальона. Во втором батальоне из 750 солдат и офицеров после первой атаки осталось только 80. Командир батальона Маринеску покончил с собой». Капрал 4 полка Илья Нику заявил: «В моей роте было 240 человек. После первого боя осталось не больше 50. Такое же положение во всех ротах полка». Другой пленный капрал 4 полка Тудор Даскаль сообщил: «Разгромленные румынские части сейчас получают пополнения, но это, главным образом, солдаты из хозяйственных команд и прочих нестроевых подразделений. Эти солдаты не обучены военному делу».</w:t>
      </w:r>
    </w:p>
    <w:p w14:paraId="16C65448"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Французские антифашисты продолжают упорную борьбу с немецкими оккупантами. В районе Аррас ими взорваны четыре мачты электропередачи, вследствие чего на заводах, захваченных немцами, была прекращена работа в течение целого дня. Железнодорожные линии вблизи ст. Аррас были повреждены несколько раз. Французские патриоты повредили железнодорожную линию между Лиллем и Дуэ. Движение поездов на этой линии было временно прекращено. В Орри-ла-Виль потерпел крушение немецкий воинский поезд, 22 вагона сошли с рельсов. На многих шахтах в Куррьер сожжены дровяные склады. На одной шахте перерезаны приводные ремни к машине, сортирующей уголь. Машина бездействовала 5 дней. На канале Дуэ взорвана плотина. В связи с этим движение остановилось на 15 дней. В лагере Варен (департамент Ионна) взорван пороховой склад. На одном заводе, изготовляющем алюминиевые листы, повреждены два прокатных стана. Завод стоял 15 дней.» (14790).</w:t>
      </w:r>
    </w:p>
    <w:p w14:paraId="519BFD6F" w14:textId="77777777" w:rsidR="009F6E13" w:rsidRPr="00640820" w:rsidRDefault="009F6E13" w:rsidP="00640820">
      <w:pPr>
        <w:spacing w:after="0" w:line="240" w:lineRule="auto"/>
        <w:jc w:val="both"/>
        <w:rPr>
          <w:rFonts w:ascii="Times New Roman" w:hAnsi="Times New Roman"/>
          <w:color w:val="000000" w:themeColor="text1"/>
          <w:sz w:val="16"/>
          <w:szCs w:val="16"/>
        </w:rPr>
      </w:pPr>
    </w:p>
    <w:p w14:paraId="68567CC3" w14:textId="77777777" w:rsidR="007B0857" w:rsidRPr="00640820" w:rsidRDefault="007B0857"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5 октября 1941 рано утром воздушная разведка засекла скопление техники в садах Бельбекской долины, у Байдарских ворот. На штурмовку вылетели две группы И-5, в общей сложности 20 самолетов. Группы вели капитан Хрусталев и старший лейтенант Покалюхин. Вскоре к штурмовикам пристроилась шестерка И-16.</w:t>
      </w:r>
    </w:p>
    <w:p w14:paraId="58FD4531" w14:textId="77777777" w:rsidR="007B0857" w:rsidRPr="00640820" w:rsidRDefault="007B0857"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Танки, бронетранспортеры и грузовики прятались в тени деревьев. Бипланы вошли в пике и с высоты 600-800 м сбросили бомбы. Внизу вспыхнули пожары. Второй заход сделали на бреющем полете, поливая врага пулеметным огнем. В этот момент сверху ринулись восемь «Мессершмиттов». Прикрытие связало их боем. Но еще два вражеских истребителя подошли снизу и атаковали бипланы. И тут капитан В. Фомин на древнем И-5 ухитрился сбить один из немецких самолетов! Но и машина комэска Хрусталева загорелась. Самолет развернулся вправо и врезался в скопление техники (19176).</w:t>
      </w:r>
    </w:p>
    <w:p w14:paraId="0754486A" w14:textId="77777777" w:rsidR="007B0857" w:rsidRPr="00640820" w:rsidRDefault="007B0857" w:rsidP="00640820">
      <w:pPr>
        <w:pStyle w:val="ae"/>
        <w:shd w:val="clear" w:color="auto" w:fill="FFFFFF"/>
        <w:spacing w:before="0" w:after="0"/>
        <w:jc w:val="both"/>
        <w:textAlignment w:val="baseline"/>
        <w:rPr>
          <w:color w:val="000000" w:themeColor="text1"/>
          <w:sz w:val="16"/>
          <w:szCs w:val="16"/>
        </w:rPr>
      </w:pPr>
    </w:p>
    <w:p w14:paraId="476AB54B" w14:textId="77777777" w:rsidR="007B0857" w:rsidRPr="00640820" w:rsidRDefault="007B0857" w:rsidP="00640820">
      <w:pPr>
        <w:pStyle w:val="11b"/>
        <w:shd w:val="clear" w:color="auto" w:fill="auto"/>
        <w:spacing w:after="0" w:line="240" w:lineRule="auto"/>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5-го октября 1941-го года в боевой вылет отправились четыре корабля.</w:t>
      </w:r>
    </w:p>
    <w:p w14:paraId="63B9CD38" w14:textId="77777777" w:rsidR="007B0857" w:rsidRPr="00640820" w:rsidRDefault="007B0857" w:rsidP="00640820">
      <w:pPr>
        <w:pStyle w:val="11b"/>
        <w:shd w:val="clear" w:color="auto" w:fill="auto"/>
        <w:spacing w:after="0" w:line="240" w:lineRule="auto"/>
        <w:jc w:val="both"/>
        <w:rPr>
          <w:rFonts w:ascii="Times New Roman" w:hAnsi="Times New Roman" w:cs="Times New Roman"/>
          <w:color w:val="000000" w:themeColor="text1"/>
          <w:sz w:val="16"/>
          <w:szCs w:val="16"/>
        </w:rPr>
      </w:pPr>
      <w:r w:rsidRPr="00640820">
        <w:rPr>
          <w:rStyle w:val="aff7"/>
          <w:rFonts w:ascii="Times New Roman" w:hAnsi="Times New Roman" w:cs="Times New Roman"/>
          <w:b w:val="0"/>
          <w:color w:val="000000" w:themeColor="text1"/>
          <w:spacing w:val="0"/>
          <w:sz w:val="16"/>
          <w:szCs w:val="16"/>
        </w:rPr>
        <w:t>ТБ-7 № 4221,</w:t>
      </w:r>
      <w:r w:rsidRPr="00640820">
        <w:rPr>
          <w:rFonts w:ascii="Times New Roman" w:hAnsi="Times New Roman" w:cs="Times New Roman"/>
          <w:color w:val="000000" w:themeColor="text1"/>
          <w:sz w:val="16"/>
          <w:szCs w:val="16"/>
        </w:rPr>
        <w:t xml:space="preserve"> командир корабля ст. лейтенант Лисачев в 00. 23 стар</w:t>
      </w:r>
      <w:r w:rsidRPr="00640820">
        <w:rPr>
          <w:rFonts w:ascii="Times New Roman" w:hAnsi="Times New Roman" w:cs="Times New Roman"/>
          <w:color w:val="000000" w:themeColor="text1"/>
          <w:sz w:val="16"/>
          <w:szCs w:val="16"/>
        </w:rPr>
        <w:softHyphen/>
        <w:t>товал с аэродрома подскока Ива</w:t>
      </w:r>
      <w:r w:rsidRPr="00640820">
        <w:rPr>
          <w:rFonts w:ascii="Times New Roman" w:hAnsi="Times New Roman" w:cs="Times New Roman"/>
          <w:color w:val="000000" w:themeColor="text1"/>
          <w:sz w:val="16"/>
          <w:szCs w:val="16"/>
        </w:rPr>
        <w:softHyphen/>
        <w:t>ново для бомбардирования ж.д. узла Кричев. В 3-54 с высоты 5300 м на цель были сброшены восемь ФАБ- 250, четыре ФАБ-100, четыре ЗАБ-50 и две САБ-50, всего 18 бомб. Бомбы сброшены в два захода прицельно сериями, интервал 0,25 сек. При за</w:t>
      </w:r>
      <w:r w:rsidRPr="00640820">
        <w:rPr>
          <w:rFonts w:ascii="Times New Roman" w:hAnsi="Times New Roman" w:cs="Times New Roman"/>
          <w:color w:val="000000" w:themeColor="text1"/>
          <w:sz w:val="16"/>
          <w:szCs w:val="16"/>
        </w:rPr>
        <w:softHyphen/>
        <w:t>ходе штурман Томкевич приготовился сбросить две САБ-50, но по рассеян</w:t>
      </w:r>
      <w:r w:rsidRPr="00640820">
        <w:rPr>
          <w:rFonts w:ascii="Times New Roman" w:hAnsi="Times New Roman" w:cs="Times New Roman"/>
          <w:color w:val="000000" w:themeColor="text1"/>
          <w:sz w:val="16"/>
          <w:szCs w:val="16"/>
        </w:rPr>
        <w:softHyphen/>
        <w:t>ности дернул за рукоятку аварийного сбрасывателя и при закрытых лю</w:t>
      </w:r>
      <w:r w:rsidRPr="00640820">
        <w:rPr>
          <w:rFonts w:ascii="Times New Roman" w:hAnsi="Times New Roman" w:cs="Times New Roman"/>
          <w:color w:val="000000" w:themeColor="text1"/>
          <w:sz w:val="16"/>
          <w:szCs w:val="16"/>
        </w:rPr>
        <w:softHyphen/>
        <w:t>ках были сброшены четыре ФАБ-250, бомболюки помяты. По наблюдениям экипажа две бомбы попали в здание ж. д. станции, в результате возник один очаг пожара, также наблюдали разрыв бомб на путях станции. После выполнения задания экипаж произвел посадку на аэродроме Ковров в 7 ча</w:t>
      </w:r>
      <w:r w:rsidRPr="00640820">
        <w:rPr>
          <w:rFonts w:ascii="Times New Roman" w:hAnsi="Times New Roman" w:cs="Times New Roman"/>
          <w:color w:val="000000" w:themeColor="text1"/>
          <w:sz w:val="16"/>
          <w:szCs w:val="16"/>
        </w:rPr>
        <w:softHyphen/>
        <w:t>сов 25 минут.</w:t>
      </w:r>
    </w:p>
    <w:p w14:paraId="6A02C86A" w14:textId="77777777" w:rsidR="007B0857" w:rsidRPr="00640820" w:rsidRDefault="007B0857" w:rsidP="00640820">
      <w:pPr>
        <w:pStyle w:val="11b"/>
        <w:shd w:val="clear" w:color="auto" w:fill="auto"/>
        <w:spacing w:after="0" w:line="240" w:lineRule="auto"/>
        <w:jc w:val="both"/>
        <w:rPr>
          <w:rFonts w:ascii="Times New Roman" w:hAnsi="Times New Roman" w:cs="Times New Roman"/>
          <w:color w:val="000000" w:themeColor="text1"/>
          <w:sz w:val="16"/>
          <w:szCs w:val="16"/>
        </w:rPr>
      </w:pPr>
      <w:r w:rsidRPr="00640820">
        <w:rPr>
          <w:rStyle w:val="aff7"/>
          <w:rFonts w:ascii="Times New Roman" w:hAnsi="Times New Roman" w:cs="Times New Roman"/>
          <w:b w:val="0"/>
          <w:color w:val="000000" w:themeColor="text1"/>
          <w:spacing w:val="0"/>
          <w:sz w:val="16"/>
          <w:szCs w:val="16"/>
        </w:rPr>
        <w:t>ТБ-7 № 4215,</w:t>
      </w:r>
      <w:r w:rsidRPr="00640820">
        <w:rPr>
          <w:rFonts w:ascii="Times New Roman" w:hAnsi="Times New Roman" w:cs="Times New Roman"/>
          <w:color w:val="000000" w:themeColor="text1"/>
          <w:sz w:val="16"/>
          <w:szCs w:val="16"/>
        </w:rPr>
        <w:t xml:space="preserve"> командир корабля капитан Асямов, в 00. 47 стартовал с аэродрома подскока Иваново для бомбардирования ж.д. узла Орша. В 3 час 50 мин с высоты 5400 м на цель сброшены: восемь ФАБ-250, четыре ФАБ-100, четыре ЗАБ-50 и две САБ-25, всего 18 бомб. Бомбы сброшены в два захода прицельно. По наблюдению экипажа были прямые попадания по путям ж. д. узла, в результате воз</w:t>
      </w:r>
      <w:r w:rsidRPr="00640820">
        <w:rPr>
          <w:rFonts w:ascii="Times New Roman" w:hAnsi="Times New Roman" w:cs="Times New Roman"/>
          <w:color w:val="000000" w:themeColor="text1"/>
          <w:sz w:val="16"/>
          <w:szCs w:val="16"/>
        </w:rPr>
        <w:softHyphen/>
        <w:t>ник пожар, который сопровождался несколькими последовательными взрывами. Можно полагать, что был зажжен эшелон с боеприпасами, или цистерны с горючим. После выполне</w:t>
      </w:r>
      <w:r w:rsidRPr="00640820">
        <w:rPr>
          <w:rFonts w:ascii="Times New Roman" w:hAnsi="Times New Roman" w:cs="Times New Roman"/>
          <w:color w:val="000000" w:themeColor="text1"/>
          <w:sz w:val="16"/>
          <w:szCs w:val="16"/>
        </w:rPr>
        <w:softHyphen/>
        <w:t>ния боевого задания экипаж прошел Иванов и взял курс на Ковров. По</w:t>
      </w:r>
      <w:r w:rsidRPr="00640820">
        <w:rPr>
          <w:rFonts w:ascii="Times New Roman" w:hAnsi="Times New Roman" w:cs="Times New Roman"/>
          <w:color w:val="000000" w:themeColor="text1"/>
          <w:sz w:val="16"/>
          <w:szCs w:val="16"/>
        </w:rPr>
        <w:softHyphen/>
        <w:t>садка в Коврове была произведена в 7 ч 15 мин.</w:t>
      </w:r>
    </w:p>
    <w:p w14:paraId="07CF7A01" w14:textId="77777777" w:rsidR="007B0857" w:rsidRPr="00640820" w:rsidRDefault="007B0857" w:rsidP="00640820">
      <w:pPr>
        <w:pStyle w:val="11b"/>
        <w:shd w:val="clear" w:color="auto" w:fill="auto"/>
        <w:spacing w:after="0" w:line="240" w:lineRule="auto"/>
        <w:jc w:val="both"/>
        <w:rPr>
          <w:rFonts w:ascii="Times New Roman" w:hAnsi="Times New Roman" w:cs="Times New Roman"/>
          <w:color w:val="000000" w:themeColor="text1"/>
          <w:sz w:val="16"/>
          <w:szCs w:val="16"/>
        </w:rPr>
      </w:pPr>
      <w:r w:rsidRPr="00640820">
        <w:rPr>
          <w:rStyle w:val="aff7"/>
          <w:rFonts w:ascii="Times New Roman" w:hAnsi="Times New Roman" w:cs="Times New Roman"/>
          <w:b w:val="0"/>
          <w:color w:val="000000" w:themeColor="text1"/>
          <w:spacing w:val="0"/>
          <w:sz w:val="16"/>
          <w:szCs w:val="16"/>
        </w:rPr>
        <w:t>ТБ-7 № 4218,</w:t>
      </w:r>
      <w:r w:rsidRPr="00640820">
        <w:rPr>
          <w:rFonts w:ascii="Times New Roman" w:hAnsi="Times New Roman" w:cs="Times New Roman"/>
          <w:color w:val="000000" w:themeColor="text1"/>
          <w:sz w:val="16"/>
          <w:szCs w:val="16"/>
        </w:rPr>
        <w:t xml:space="preserve"> командир корабля майор Дмитриев, в 01. 07 стартовал с аэродрома подскока Иваново для бом</w:t>
      </w:r>
      <w:r w:rsidRPr="00640820">
        <w:rPr>
          <w:rFonts w:ascii="Times New Roman" w:hAnsi="Times New Roman" w:cs="Times New Roman"/>
          <w:color w:val="000000" w:themeColor="text1"/>
          <w:sz w:val="16"/>
          <w:szCs w:val="16"/>
        </w:rPr>
        <w:softHyphen/>
        <w:t>бардирования ж. д. узла Смоленск. В 4.15 - 4.30 с высоты 5300 м на цель сбро</w:t>
      </w:r>
      <w:r w:rsidRPr="00640820">
        <w:rPr>
          <w:rFonts w:ascii="Times New Roman" w:hAnsi="Times New Roman" w:cs="Times New Roman"/>
          <w:color w:val="000000" w:themeColor="text1"/>
          <w:sz w:val="16"/>
          <w:szCs w:val="16"/>
        </w:rPr>
        <w:softHyphen/>
        <w:t>шены: восемь ФАБ-250, три ФАБ-100, три ЗАБ-50 - всего 14 бомб. Одна ФАБ-100 и одна ЗАБ-50 зависли и не сброшены. Бомбы сброшены в два захода сери</w:t>
      </w:r>
      <w:r w:rsidRPr="00640820">
        <w:rPr>
          <w:rFonts w:ascii="Times New Roman" w:hAnsi="Times New Roman" w:cs="Times New Roman"/>
          <w:color w:val="000000" w:themeColor="text1"/>
          <w:sz w:val="16"/>
          <w:szCs w:val="16"/>
        </w:rPr>
        <w:softHyphen/>
        <w:t>ями. По наблюдению экипажа отмечены четыре попадания по путям ж. д. узла, возник кратковременный пожар. При подходе к цели один истребитель про</w:t>
      </w:r>
      <w:r w:rsidRPr="00640820">
        <w:rPr>
          <w:rFonts w:ascii="Times New Roman" w:hAnsi="Times New Roman" w:cs="Times New Roman"/>
          <w:color w:val="000000" w:themeColor="text1"/>
          <w:sz w:val="16"/>
          <w:szCs w:val="16"/>
        </w:rPr>
        <w:softHyphen/>
        <w:t>тивника пытался атаковать наш самолет, стрелок открыл заградительный огонь, истребитель отошел. После выполнения боевого задания экипаж прошел Ива</w:t>
      </w:r>
      <w:r w:rsidRPr="00640820">
        <w:rPr>
          <w:rFonts w:ascii="Times New Roman" w:hAnsi="Times New Roman" w:cs="Times New Roman"/>
          <w:color w:val="000000" w:themeColor="text1"/>
          <w:sz w:val="16"/>
          <w:szCs w:val="16"/>
        </w:rPr>
        <w:softHyphen/>
        <w:t>ново и взял курс на Ковров. Посадка в Коврове 7.20 - благополучно. При про</w:t>
      </w:r>
      <w:r w:rsidRPr="00640820">
        <w:rPr>
          <w:rFonts w:ascii="Times New Roman" w:hAnsi="Times New Roman" w:cs="Times New Roman"/>
          <w:color w:val="000000" w:themeColor="text1"/>
          <w:sz w:val="16"/>
          <w:szCs w:val="16"/>
        </w:rPr>
        <w:softHyphen/>
        <w:t>лете г. Калинина самолет № 4218 Дмит</w:t>
      </w:r>
      <w:r w:rsidRPr="00640820">
        <w:rPr>
          <w:rFonts w:ascii="Times New Roman" w:hAnsi="Times New Roman" w:cs="Times New Roman"/>
          <w:color w:val="000000" w:themeColor="text1"/>
          <w:sz w:val="16"/>
          <w:szCs w:val="16"/>
        </w:rPr>
        <w:softHyphen/>
        <w:t>риева был обстрелян своей ЗА, после трехкратного повторения сигнала «я свой» - огонь прекращен.</w:t>
      </w:r>
    </w:p>
    <w:p w14:paraId="3D8836A1" w14:textId="77777777" w:rsidR="007B0857" w:rsidRPr="00640820" w:rsidRDefault="007B0857" w:rsidP="00640820">
      <w:pPr>
        <w:spacing w:after="0" w:line="240" w:lineRule="auto"/>
        <w:jc w:val="both"/>
        <w:rPr>
          <w:rFonts w:ascii="Times New Roman" w:hAnsi="Times New Roman"/>
          <w:color w:val="000000" w:themeColor="text1"/>
          <w:sz w:val="16"/>
          <w:szCs w:val="16"/>
        </w:rPr>
      </w:pPr>
      <w:r w:rsidRPr="00640820">
        <w:rPr>
          <w:rStyle w:val="aff7"/>
          <w:rFonts w:ascii="Times New Roman" w:hAnsi="Times New Roman" w:cs="Times New Roman"/>
          <w:b w:val="0"/>
          <w:color w:val="000000" w:themeColor="text1"/>
          <w:spacing w:val="0"/>
          <w:sz w:val="16"/>
          <w:szCs w:val="16"/>
        </w:rPr>
        <w:t>ТБ-7 № 4224,</w:t>
      </w:r>
      <w:r w:rsidRPr="00640820">
        <w:rPr>
          <w:rFonts w:ascii="Times New Roman" w:hAnsi="Times New Roman"/>
          <w:color w:val="000000" w:themeColor="text1"/>
          <w:sz w:val="16"/>
          <w:szCs w:val="16"/>
        </w:rPr>
        <w:t xml:space="preserve"> командир корабля майор Тягунин, в 01. 00 стартовал с аэродрома подскока Иваново для бом</w:t>
      </w:r>
      <w:r w:rsidRPr="00640820">
        <w:rPr>
          <w:rFonts w:ascii="Times New Roman" w:hAnsi="Times New Roman"/>
          <w:color w:val="000000" w:themeColor="text1"/>
          <w:sz w:val="16"/>
          <w:szCs w:val="16"/>
        </w:rPr>
        <w:softHyphen/>
        <w:t>бардирования ж.д. узла Рославль. В 3 час 40 мин с высоты 5100 м на цель сброшены восемь ФАБ-250, две САБ-50. Бомбы сброшены в один заход серией. За самолетом на дистанции 500 - 600 м шли три истребителя противника. Не атаковав самолет, истребители ото</w:t>
      </w:r>
      <w:r w:rsidRPr="00640820">
        <w:rPr>
          <w:rFonts w:ascii="Times New Roman" w:hAnsi="Times New Roman"/>
          <w:color w:val="000000" w:themeColor="text1"/>
          <w:sz w:val="16"/>
          <w:szCs w:val="16"/>
        </w:rPr>
        <w:softHyphen/>
        <w:t>шли, их тип не опознан. Метеоусловия: район цели безоблачно, на маршруте до Калинина облачность 10 баллов, высота 1000-2500 м. На обратном маршруте штурманы Дерелло и Маломуж Калинин не опознали, пошли по РПК на Иваново за облаками. Выйдя из облаков, местность не опознали. Потеряв ориентировку приземлились в Сасово (19088).</w:t>
      </w:r>
    </w:p>
    <w:p w14:paraId="2DA49628" w14:textId="77777777" w:rsidR="007B0857" w:rsidRPr="00640820" w:rsidRDefault="007B0857" w:rsidP="00640820">
      <w:pPr>
        <w:pStyle w:val="11b"/>
        <w:shd w:val="clear" w:color="auto" w:fill="auto"/>
        <w:spacing w:after="0" w:line="240" w:lineRule="auto"/>
        <w:jc w:val="both"/>
        <w:rPr>
          <w:rStyle w:val="aff7"/>
          <w:rFonts w:ascii="Times New Roman" w:hAnsi="Times New Roman" w:cs="Times New Roman"/>
          <w:b w:val="0"/>
          <w:color w:val="000000" w:themeColor="text1"/>
          <w:spacing w:val="0"/>
          <w:sz w:val="16"/>
          <w:szCs w:val="16"/>
        </w:rPr>
      </w:pPr>
    </w:p>
    <w:p w14:paraId="1E2143F1"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5 октября </w:t>
      </w:r>
      <w:r w:rsidRPr="00640820">
        <w:rPr>
          <w:rFonts w:ascii="Times New Roman" w:hAnsi="Times New Roman"/>
          <w:color w:val="000000" w:themeColor="text1"/>
          <w:sz w:val="16"/>
          <w:szCs w:val="16"/>
        </w:rPr>
        <w:t>в 1941 году в ходе Московской битвы во время Великой Отечественной войны воины 4-й танковой бригады (полковник М.Е.Катуков) успешно сдерживали наступление 2-й танковой армии Гудериана на шоссе Орел—Тула южнее Мценска. У села Первый Воин экипаж танка Т-34 лейтенанта Кукаркина в одном бою уничтожил 16 вражеских танков. Группа из четырех Т-34 лейтенанта Д.Лавриненко уничтожила 15 танков врага, 2 орудия и 4 мотоцикла.</w:t>
      </w:r>
    </w:p>
    <w:p w14:paraId="7D382BFF"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году немецкие войска вышли в район восточнее Брянска и Сухиничей, начали охватывать 50-ю армию Брянского фронта с севера. К исходу дня войска Брянского фронта оказались расчлененными на 3 части. Немецкие войска вышли на фронт Карачев - Мценск и перерезали пути отхода основных сил Брянского фронта (14790).</w:t>
      </w:r>
    </w:p>
    <w:p w14:paraId="6EFCBF5C" w14:textId="77777777" w:rsidR="009F6E13" w:rsidRPr="00640820" w:rsidRDefault="009F6E13" w:rsidP="00640820">
      <w:pPr>
        <w:spacing w:after="0" w:line="240" w:lineRule="auto"/>
        <w:jc w:val="both"/>
        <w:rPr>
          <w:rFonts w:ascii="Times New Roman" w:hAnsi="Times New Roman"/>
          <w:color w:val="000000" w:themeColor="text1"/>
          <w:sz w:val="16"/>
          <w:szCs w:val="16"/>
        </w:rPr>
      </w:pPr>
    </w:p>
    <w:p w14:paraId="714611A6"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5 октября </w:t>
      </w:r>
      <w:r w:rsidRPr="00640820">
        <w:rPr>
          <w:rFonts w:ascii="Times New Roman" w:hAnsi="Times New Roman"/>
          <w:color w:val="000000" w:themeColor="text1"/>
          <w:sz w:val="16"/>
          <w:szCs w:val="16"/>
        </w:rPr>
        <w:t>в 1941 году немецкие войска взяли Ельню (14790).</w:t>
      </w:r>
    </w:p>
    <w:p w14:paraId="281FF66E" w14:textId="77777777" w:rsidR="009F6E13" w:rsidRPr="00640820" w:rsidRDefault="009F6E13" w:rsidP="00640820">
      <w:pPr>
        <w:spacing w:after="0" w:line="240" w:lineRule="auto"/>
        <w:jc w:val="both"/>
        <w:rPr>
          <w:rFonts w:ascii="Times New Roman" w:hAnsi="Times New Roman"/>
          <w:color w:val="000000" w:themeColor="text1"/>
          <w:sz w:val="16"/>
          <w:szCs w:val="16"/>
        </w:rPr>
      </w:pPr>
    </w:p>
    <w:p w14:paraId="6D3DADCE"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5 октября </w:t>
      </w:r>
      <w:r w:rsidRPr="00640820">
        <w:rPr>
          <w:rFonts w:ascii="Times New Roman" w:hAnsi="Times New Roman"/>
          <w:color w:val="000000" w:themeColor="text1"/>
          <w:sz w:val="16"/>
          <w:szCs w:val="16"/>
        </w:rPr>
        <w:t>в 1941 году Ставка отдала директиву остановить немецкие войска на Можайской линии обороны (14790).</w:t>
      </w:r>
    </w:p>
    <w:p w14:paraId="72419B7D" w14:textId="77777777" w:rsidR="009F6E13" w:rsidRPr="00640820" w:rsidRDefault="009F6E13" w:rsidP="00640820">
      <w:pPr>
        <w:spacing w:after="0" w:line="240" w:lineRule="auto"/>
        <w:jc w:val="both"/>
        <w:rPr>
          <w:rFonts w:ascii="Times New Roman" w:hAnsi="Times New Roman"/>
          <w:color w:val="000000" w:themeColor="text1"/>
          <w:sz w:val="16"/>
          <w:szCs w:val="16"/>
        </w:rPr>
      </w:pPr>
    </w:p>
    <w:p w14:paraId="59F6FABA"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5 октября </w:t>
      </w:r>
      <w:r w:rsidRPr="00640820">
        <w:rPr>
          <w:rFonts w:ascii="Times New Roman" w:hAnsi="Times New Roman"/>
          <w:color w:val="000000" w:themeColor="text1"/>
          <w:sz w:val="16"/>
          <w:szCs w:val="16"/>
        </w:rPr>
        <w:t>в 1941 году в составе вермахта началось формирование казачьих частей для борьбы с партизанами.</w:t>
      </w:r>
    </w:p>
    <w:p w14:paraId="72FD9632"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году создание указом Г.Гиммлера на оккупированных советских территориях вспомогательной охранной службы полиции порядка из местного населения. На Украине полиция именовалась «Украинское шуцманство», в Белоруссии – «Белорусская краевая оборона» (14790).</w:t>
      </w:r>
    </w:p>
    <w:p w14:paraId="0577FA33" w14:textId="77777777" w:rsidR="009F6E13" w:rsidRPr="00640820" w:rsidRDefault="009F6E13" w:rsidP="00640820">
      <w:pPr>
        <w:spacing w:after="0" w:line="240" w:lineRule="auto"/>
        <w:jc w:val="both"/>
        <w:rPr>
          <w:rFonts w:ascii="Times New Roman" w:hAnsi="Times New Roman"/>
          <w:color w:val="000000" w:themeColor="text1"/>
          <w:sz w:val="16"/>
          <w:szCs w:val="16"/>
        </w:rPr>
      </w:pPr>
    </w:p>
    <w:p w14:paraId="66C617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октября 1941 74 шап под командованием Г.М.Можинца за один вылет уничтожил 15 немецких танков, а в целом за октябрь выполнил 700 боевых вылетов и уничтожил 55 танков, 20 бронеавтомобилей и много грузовиков потеряв 19 Ил-2 (241,16).</w:t>
      </w:r>
    </w:p>
    <w:p w14:paraId="5888D9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боях под Мценском Г.М.Мошинец (74 шап) на бреющем полете атаковал колонну на шоссе Орел-Мценск и уничтожил 15 бронемашин и 3 бензоцисцерны (341,67).</w:t>
      </w:r>
    </w:p>
    <w:p w14:paraId="151057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EF364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октября 1941 74 шап под командованием Г.М.Можинца за один вылет уничтожил 15 немецких танков, а в целом за октябрь выполнил 700 боевых вылетов и уничтожил 55 танков, 20 бронеавтомобилей и много грузовиков потеряв 19 Ил-2 (241,16).</w:t>
      </w:r>
    </w:p>
    <w:p w14:paraId="4A55BA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Погода была плохая и это ограничивало число вылетов. быстрый отход заставлял авиацию постоянно перебазироваться. Ставка задействовала на этом направлении 5 дбад, которые днем и ночью вели борьбу с ж/д перевозками противника и уничтожали войска на дороге Севск-Кромы-Орел. В интересах войск БФ авиация за 11 суток выполнила 1700 вылетов и из низ 65% против 2ТА (341,67).</w:t>
      </w:r>
    </w:p>
    <w:p w14:paraId="55DFCE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60BCC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октября 1941 во время атаки колонны танков ш л В.Я.Рябошапко заметив вынужденную посадку командира звена л А.В.Якушева сел и забрал его. Потом то же сделал с П.В.Дубина для М.П.Вовгона (341,67).</w:t>
      </w:r>
    </w:p>
    <w:p w14:paraId="0DB71D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4EA00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октября 1941 подразделение Пе-2 39 бап ст-л Б.К.Горемыкина было атаковано 10 Ме-109 и сбило 3 (341,68).</w:t>
      </w:r>
    </w:p>
    <w:p w14:paraId="601D8B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870A2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октября 1941 вышло Постановление ГКО № 735 О формировании полков ПТО. РГАНИР, Фонд ГКО, д. 11, лл. 172 (11012).</w:t>
      </w:r>
    </w:p>
    <w:p w14:paraId="442067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A1F677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октября 1941 вышло Постановление ГКО № 736 [О разрешении ВВС производить полеты зимой на лыжах по всей территории СССР.] (7012, 173).</w:t>
      </w:r>
    </w:p>
    <w:p w14:paraId="11D1547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A131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октября 1941 фашисты захватили Юхнов и дорога через Малоярославец на Москву была открыта (3481).</w:t>
      </w:r>
    </w:p>
    <w:p w14:paraId="10F387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9AEDB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октября 1941 простуженный И.В.С. был вынужден вызвать из Ленинграда Г.К.Ж., так как не мог получить информации, и отправил его в разведку (2070,40).</w:t>
      </w:r>
    </w:p>
    <w:p w14:paraId="743731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47FE7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October 5, 1941: Advancing in the southern Ukraine, Panzergruppe 1 (von Kleist) reaches the Sea of Azov (3819).</w:t>
      </w:r>
    </w:p>
    <w:p w14:paraId="39EBEC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2AD8F1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октября 1941 продвигаясь на южной Украине части 1ТГ 9фон Клейст) вышли к Азовскому морю (3819).</w:t>
      </w:r>
    </w:p>
    <w:p w14:paraId="5FC308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81C4603"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5 октября </w:t>
      </w:r>
      <w:r w:rsidRPr="00640820">
        <w:rPr>
          <w:rFonts w:ascii="Times New Roman" w:hAnsi="Times New Roman"/>
          <w:color w:val="000000" w:themeColor="text1"/>
          <w:sz w:val="16"/>
          <w:szCs w:val="16"/>
        </w:rPr>
        <w:t>в 1941 году Советские войска оставили города Карачев и Брянск (14790).</w:t>
      </w:r>
    </w:p>
    <w:p w14:paraId="4FB6C15F" w14:textId="77777777" w:rsidR="009F6E13" w:rsidRPr="00640820" w:rsidRDefault="009F6E13" w:rsidP="00640820">
      <w:pPr>
        <w:spacing w:after="0" w:line="240" w:lineRule="auto"/>
        <w:jc w:val="both"/>
        <w:rPr>
          <w:rFonts w:ascii="Times New Roman" w:hAnsi="Times New Roman"/>
          <w:color w:val="000000" w:themeColor="text1"/>
          <w:sz w:val="16"/>
          <w:szCs w:val="16"/>
        </w:rPr>
      </w:pPr>
    </w:p>
    <w:p w14:paraId="31254303"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7D889A56"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C95C3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октября 1941 вышел ПРИКАЗ ПО КОМИТЕТУ ПО ДЕЛАМ КИНЕМАТОГРАФИИ ПРИ СНК СССР № 490 Об организации Алма-Атинской киностудии художественных фильмов.</w:t>
      </w:r>
    </w:p>
    <w:p w14:paraId="188106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основании распоряжения СНК СССР от 7 сентября 1941 года № 8862 организовать в городе Алма-Ата киностудию по производству художественных фильмов. </w:t>
      </w:r>
    </w:p>
    <w:p w14:paraId="28F205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Утвердить представленное Управлением по производству художественных фильмов временное штатное расписание Алма-Атинской киностудии художественных фильмов. </w:t>
      </w:r>
    </w:p>
    <w:p w14:paraId="67BAEA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базе помещений, предоставленных Алма-Атинской киностудией художественных фильмов постановлением СНК Казахской ССР от 12 сентября 1941 года № 762, временно разместить киностудию «Ленфильм» а также съемочные группы других киностудий, направленных Комитетом по делам кинематографии на работу в город Алма-Ата, впредь до полного развертывания производства киностудии «Ленфильм». </w:t>
      </w:r>
    </w:p>
    <w:p w14:paraId="08C016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Возложить на художественного руководителя киностудии «Ленфильм» художественное руководство Алма-Атинской киностудией. </w:t>
      </w:r>
    </w:p>
    <w:p w14:paraId="4C3055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Директору киностудии «Ленфильм» обеспечить на своей технической базе производство кинокартин Алма-Атинской киностудии. </w:t>
      </w:r>
    </w:p>
    <w:p w14:paraId="7552F8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Управлению капитального строительства Комитета и финансовому отделу Комитета выделить немедленно в распоряжение директора киностудии «Ленфильм» 500.000 рублей на IV квартал 1941 года для финансирования расходов, связанных с приспособлением к производственным нуждам помещений, предоставленных для киностудии СНК Казахской ССР, а также расходов, связанных с передачей кинотеатра «Алатау». </w:t>
      </w:r>
    </w:p>
    <w:p w14:paraId="0B258A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Временно исполняющему обязанности директора киностудии «Ленфильм» в городе Алма-Ата тов. Шостаку М.С.** и исполняющему обязанности директора Алма-Атинской киностудии тов. Толыбекову немедленно приступить к производству всех строительных и монтажных работ с целью быстрейшего приспособления предоставленных СНК Казахской ССР помещений под киностудию. </w:t>
      </w:r>
    </w:p>
    <w:p w14:paraId="3A338D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Начальнику Управления по производству художественных фильмов тов. Ромму и начальнику юридического отдела Комитета по делам кинематографии тов. Мееровскому в 3-х дневный срок представить мне на утверждение устав Алма-Атинской киностудии художественных фильмов. </w:t>
      </w:r>
    </w:p>
    <w:p w14:paraId="66BC28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Начальнику Управления по производству художественных фильмов тов. Ромму в 3-х дневный срок установить производственную программу для Алма-Атинской киностудии художественных фильмов на IV квартал 1941 года, с соответствующим финансовым обеспечением. </w:t>
      </w:r>
    </w:p>
    <w:p w14:paraId="5B7AF8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Председатель Комитета по делам Кинематографии при СНК СССР (Большаков) </w:t>
      </w:r>
      <w:r w:rsidRPr="00640820">
        <w:rPr>
          <w:rFonts w:ascii="Times New Roman" w:hAnsi="Times New Roman"/>
          <w:iCs/>
          <w:color w:val="000000" w:themeColor="text1"/>
          <w:sz w:val="16"/>
          <w:szCs w:val="16"/>
        </w:rPr>
        <w:t xml:space="preserve">Ф. 4437, оп. 16, ед. хр. 1139, л. 110 (11018). </w:t>
      </w:r>
    </w:p>
    <w:p w14:paraId="17A299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3E8AEFA" w14:textId="77777777" w:rsidR="009F6E13"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208D8BFB" w14:textId="77777777" w:rsidR="009F6E13" w:rsidRPr="00640820" w:rsidRDefault="009F6E13"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13FE9E2"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5 октября </w:t>
      </w:r>
      <w:r w:rsidRPr="00640820">
        <w:rPr>
          <w:rFonts w:ascii="Times New Roman" w:hAnsi="Times New Roman"/>
          <w:color w:val="000000" w:themeColor="text1"/>
          <w:sz w:val="16"/>
          <w:szCs w:val="16"/>
        </w:rPr>
        <w:t>в 1941 году после спецобучения двух ирландских добровольцев абвер-2 приступает к проведению операции «Трактирщик» — заброска агентов-радистов в район Большого Лондона (14790).</w:t>
      </w:r>
    </w:p>
    <w:p w14:paraId="3BFC6ACE" w14:textId="77777777" w:rsidR="009F6E13" w:rsidRPr="00640820" w:rsidRDefault="009F6E13" w:rsidP="00640820">
      <w:pPr>
        <w:spacing w:after="0" w:line="240" w:lineRule="auto"/>
        <w:jc w:val="both"/>
        <w:rPr>
          <w:rFonts w:ascii="Times New Roman" w:hAnsi="Times New Roman"/>
          <w:color w:val="000000" w:themeColor="text1"/>
          <w:sz w:val="16"/>
          <w:szCs w:val="16"/>
        </w:rPr>
      </w:pPr>
    </w:p>
    <w:p w14:paraId="5D9A234C"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5 октября </w:t>
      </w:r>
      <w:r w:rsidRPr="00640820">
        <w:rPr>
          <w:rFonts w:ascii="Times New Roman" w:hAnsi="Times New Roman"/>
          <w:color w:val="000000" w:themeColor="text1"/>
          <w:sz w:val="16"/>
          <w:szCs w:val="16"/>
        </w:rPr>
        <w:t>в 1941 году норвежское эмигрантское правительство в Лондоне объявило о введении смертной казни для всех норвежцев, сотрудничающих с немецкими оккупационными властями (14790).</w:t>
      </w:r>
    </w:p>
    <w:p w14:paraId="7D48F8DE" w14:textId="77777777" w:rsidR="009F6E13" w:rsidRPr="00640820" w:rsidRDefault="009F6E13" w:rsidP="00640820">
      <w:pPr>
        <w:spacing w:after="0" w:line="240" w:lineRule="auto"/>
        <w:jc w:val="both"/>
        <w:rPr>
          <w:rFonts w:ascii="Times New Roman" w:hAnsi="Times New Roman"/>
          <w:color w:val="000000" w:themeColor="text1"/>
          <w:sz w:val="16"/>
          <w:szCs w:val="16"/>
        </w:rPr>
      </w:pPr>
    </w:p>
    <w:p w14:paraId="738049D1"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1B9CC9CB"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8F635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Образцы кассет КМБ-Ил-2 деревянной конструкции изготовления завода 32 выдержали испытания на НИП АВ ВВС 6 октября 1941 (1635,184).</w:t>
      </w:r>
    </w:p>
    <w:p w14:paraId="487912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7B8DD0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октября 1941 г. вышел приказ по ВВС КА от об организа</w:t>
      </w:r>
      <w:r w:rsidRPr="00640820">
        <w:rPr>
          <w:rFonts w:ascii="Times New Roman" w:hAnsi="Times New Roman"/>
          <w:color w:val="000000" w:themeColor="text1"/>
          <w:sz w:val="16"/>
          <w:szCs w:val="16"/>
        </w:rPr>
        <w:softHyphen/>
        <w:t>ции сбора стреляных латун</w:t>
      </w:r>
      <w:r w:rsidRPr="00640820">
        <w:rPr>
          <w:rFonts w:ascii="Times New Roman" w:hAnsi="Times New Roman"/>
          <w:color w:val="000000" w:themeColor="text1"/>
          <w:sz w:val="16"/>
          <w:szCs w:val="16"/>
        </w:rPr>
        <w:softHyphen/>
        <w:t>ных гильз. В январе 1942 г. летно-тех-нический состав 47-й сад, творчески развивая требова</w:t>
      </w:r>
      <w:r w:rsidRPr="00640820">
        <w:rPr>
          <w:rFonts w:ascii="Times New Roman" w:hAnsi="Times New Roman"/>
          <w:color w:val="000000" w:themeColor="text1"/>
          <w:sz w:val="16"/>
          <w:szCs w:val="16"/>
        </w:rPr>
        <w:softHyphen/>
        <w:t>ния этого приказа, на всех Ил-2 диви</w:t>
      </w:r>
      <w:r w:rsidRPr="00640820">
        <w:rPr>
          <w:rFonts w:ascii="Times New Roman" w:hAnsi="Times New Roman"/>
          <w:color w:val="000000" w:themeColor="text1"/>
          <w:sz w:val="16"/>
          <w:szCs w:val="16"/>
        </w:rPr>
        <w:softHyphen/>
        <w:t>зии, вооруженных пушками ВЯ-23, установили специаль</w:t>
      </w:r>
      <w:r w:rsidRPr="00640820">
        <w:rPr>
          <w:rFonts w:ascii="Times New Roman" w:hAnsi="Times New Roman"/>
          <w:color w:val="000000" w:themeColor="text1"/>
          <w:sz w:val="16"/>
          <w:szCs w:val="16"/>
        </w:rPr>
        <w:softHyphen/>
        <w:t>ные гильзособиратели, изго</w:t>
      </w:r>
      <w:r w:rsidRPr="00640820">
        <w:rPr>
          <w:rFonts w:ascii="Times New Roman" w:hAnsi="Times New Roman"/>
          <w:color w:val="000000" w:themeColor="text1"/>
          <w:sz w:val="16"/>
          <w:szCs w:val="16"/>
        </w:rPr>
        <w:softHyphen/>
        <w:t>товленные местными умель</w:t>
      </w:r>
      <w:r w:rsidRPr="00640820">
        <w:rPr>
          <w:rFonts w:ascii="Times New Roman" w:hAnsi="Times New Roman"/>
          <w:color w:val="000000" w:themeColor="text1"/>
          <w:sz w:val="16"/>
          <w:szCs w:val="16"/>
        </w:rPr>
        <w:softHyphen/>
        <w:t>цами. Конструкция гильзосо-бирателя представляла собой обычный выбитый лист об</w:t>
      </w:r>
      <w:r w:rsidRPr="00640820">
        <w:rPr>
          <w:rFonts w:ascii="Times New Roman" w:hAnsi="Times New Roman"/>
          <w:color w:val="000000" w:themeColor="text1"/>
          <w:sz w:val="16"/>
          <w:szCs w:val="16"/>
        </w:rPr>
        <w:softHyphen/>
        <w:t>шивки в нижней части плоскостей крыла. Выступая своей выпуклой частью от готоско сти крыла, гильзособиратели снижали скорость полета самоле</w:t>
      </w:r>
      <w:r w:rsidRPr="00640820">
        <w:rPr>
          <w:rFonts w:ascii="Times New Roman" w:hAnsi="Times New Roman"/>
          <w:color w:val="000000" w:themeColor="text1"/>
          <w:sz w:val="16"/>
          <w:szCs w:val="16"/>
        </w:rPr>
        <w:softHyphen/>
        <w:t>та на 3—5 км/ч (по данным 47-й сад), зато после каждого бое</w:t>
      </w:r>
      <w:r w:rsidRPr="00640820">
        <w:rPr>
          <w:rFonts w:ascii="Times New Roman" w:hAnsi="Times New Roman"/>
          <w:color w:val="000000" w:themeColor="text1"/>
          <w:sz w:val="16"/>
          <w:szCs w:val="16"/>
        </w:rPr>
        <w:softHyphen/>
        <w:t>вого вылета техники выгребали из них 63 кг латунных гильз — дефицитного цветного металла.</w:t>
      </w:r>
    </w:p>
    <w:p w14:paraId="3A04C82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Однако главный конструктор штурмовика С.В. Ильюшин выступил против установки на Ил-2 гильзособирателей по образ</w:t>
      </w:r>
      <w:r w:rsidRPr="00640820">
        <w:rPr>
          <w:rFonts w:ascii="Times New Roman" w:hAnsi="Times New Roman"/>
          <w:color w:val="000000" w:themeColor="text1"/>
          <w:sz w:val="16"/>
          <w:szCs w:val="16"/>
        </w:rPr>
        <w:softHyphen/>
        <w:t>цу 47-й сад, обосновывая свою позицию снижением в этом слу</w:t>
      </w:r>
      <w:r w:rsidRPr="00640820">
        <w:rPr>
          <w:rFonts w:ascii="Times New Roman" w:hAnsi="Times New Roman"/>
          <w:color w:val="000000" w:themeColor="text1"/>
          <w:sz w:val="16"/>
          <w:szCs w:val="16"/>
        </w:rPr>
        <w:softHyphen/>
        <w:t>чае скорости полета самолета.</w:t>
      </w:r>
    </w:p>
    <w:p w14:paraId="647FAC9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этой связи 1 апреля 1942 г. авторы пушки ВЯ-23 А.А. Вол</w:t>
      </w:r>
      <w:r w:rsidRPr="00640820">
        <w:rPr>
          <w:rFonts w:ascii="Times New Roman" w:hAnsi="Times New Roman"/>
          <w:color w:val="000000" w:themeColor="text1"/>
          <w:sz w:val="16"/>
          <w:szCs w:val="16"/>
        </w:rPr>
        <w:softHyphen/>
        <w:t>ков и С.А. Ярцев обратились к секретарю ЦК ВКП(б) Г.М. Ма</w:t>
      </w:r>
      <w:r w:rsidRPr="00640820">
        <w:rPr>
          <w:rFonts w:ascii="Times New Roman" w:hAnsi="Times New Roman"/>
          <w:color w:val="000000" w:themeColor="text1"/>
          <w:sz w:val="16"/>
          <w:szCs w:val="16"/>
        </w:rPr>
        <w:softHyphen/>
        <w:t>ленкову с письмом, в котором писали: «...До сих пор наши штурмовики разбрасывают по полям сражений дефицитный металл... И еще до сих пор наши авиационные заводы продол</w:t>
      </w:r>
      <w:r w:rsidRPr="00640820">
        <w:rPr>
          <w:rFonts w:ascii="Times New Roman" w:hAnsi="Times New Roman"/>
          <w:color w:val="000000" w:themeColor="text1"/>
          <w:sz w:val="16"/>
          <w:szCs w:val="16"/>
        </w:rPr>
        <w:softHyphen/>
        <w:t>жают выпускать самолеты Ил-2 без гильзособирателей, хотя изготовление и установка их настолько просты и дешевы, что с этой стороны не может быть никаких возражений.</w:t>
      </w:r>
    </w:p>
    <w:p w14:paraId="110C81E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интересах экономии государству сотен тонн латуни, иду</w:t>
      </w:r>
      <w:r w:rsidRPr="00640820">
        <w:rPr>
          <w:rFonts w:ascii="Times New Roman" w:hAnsi="Times New Roman"/>
          <w:color w:val="000000" w:themeColor="text1"/>
          <w:sz w:val="16"/>
          <w:szCs w:val="16"/>
        </w:rPr>
        <w:softHyphen/>
        <w:t>щей на изготовление 23 мм гильз, просим Вас обязать НКАП немедленно приступить к установке гильзособирателей на вы</w:t>
      </w:r>
      <w:r w:rsidRPr="00640820">
        <w:rPr>
          <w:rFonts w:ascii="Times New Roman" w:hAnsi="Times New Roman"/>
          <w:color w:val="000000" w:themeColor="text1"/>
          <w:sz w:val="16"/>
          <w:szCs w:val="16"/>
        </w:rPr>
        <w:softHyphen/>
        <w:t>пускаемых самолетах Ил-2...»</w:t>
      </w:r>
    </w:p>
    <w:p w14:paraId="27DF85F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Вскоре к Г.М. Маленкову с аналогичной просьбой обратился и главный инженер ВВС КА генерал А.К. Репин. В письме от 5 мая 1942 г. он указывал: «...Конструктор тов. Ильюшин катего</w:t>
      </w:r>
      <w:r w:rsidRPr="00640820">
        <w:rPr>
          <w:rFonts w:ascii="Times New Roman" w:hAnsi="Times New Roman"/>
          <w:color w:val="000000" w:themeColor="text1"/>
          <w:sz w:val="16"/>
          <w:szCs w:val="16"/>
        </w:rPr>
        <w:softHyphen/>
        <w:t>рически возражает устанавливать гильзособиратели из-за потери скорости самолета. Считаю необходимым обязать тов. Ильюши</w:t>
      </w:r>
      <w:r w:rsidRPr="00640820">
        <w:rPr>
          <w:rFonts w:ascii="Times New Roman" w:hAnsi="Times New Roman"/>
          <w:color w:val="000000" w:themeColor="text1"/>
          <w:sz w:val="16"/>
          <w:szCs w:val="16"/>
        </w:rPr>
        <w:softHyphen/>
        <w:t>на установить гильзособиратели на самолетах Ил-2, так как толь</w:t>
      </w:r>
      <w:r w:rsidRPr="00640820">
        <w:rPr>
          <w:rFonts w:ascii="Times New Roman" w:hAnsi="Times New Roman"/>
          <w:color w:val="000000" w:themeColor="text1"/>
          <w:sz w:val="16"/>
          <w:szCs w:val="16"/>
        </w:rPr>
        <w:softHyphen/>
        <w:t>ко за один боевой вылет одного самолета при расстреле всего боекомплекта выбрасывается 63 кг цветного металла — латуни — столь необходимого для страны. Если принять среднюю нагрузку по три самолето-вылета в день, то для полка (20 самолетов) еже</w:t>
      </w:r>
      <w:r w:rsidRPr="00640820">
        <w:rPr>
          <w:rFonts w:ascii="Times New Roman" w:hAnsi="Times New Roman"/>
          <w:color w:val="000000" w:themeColor="text1"/>
          <w:sz w:val="16"/>
          <w:szCs w:val="16"/>
        </w:rPr>
        <w:softHyphen/>
        <w:t>дневно будет собираться 3900 кг гильз. Прошу Вашего указания НКАП и тов. Ильюшину — о срочном внедрении в производство гильзособирателей и установки их на самолеты Ил-2».</w:t>
      </w:r>
    </w:p>
    <w:p w14:paraId="4522CD1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Несмотря на очевидную экономическую целесообразность, гильзособиратели на Ил-2 до самого окончания войны так и не устанавливались (11474,253).</w:t>
      </w:r>
    </w:p>
    <w:p w14:paraId="6322B0F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EBC3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6 октября 1941 вышел приказ НКАП N 1046с о модификации ДБ ЕР-2 под АМ-38 с ТК-3 (1616,39).</w:t>
      </w:r>
    </w:p>
    <w:p w14:paraId="23C19C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проведения летных испытаний мотора АМ-38 с ТК-3 на Ер-2, приказываю:</w:t>
      </w:r>
    </w:p>
    <w:p w14:paraId="55A38E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директору завода 24 Жезлову к 7 октября 1941 направить 2 мотора АМ-38 на завод 240 для установки их на самолет Ер-2.</w:t>
      </w:r>
    </w:p>
    <w:p w14:paraId="7EAB44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Директору и ГК завода 240 Ермолаеву оборудовать ВМГ на 3-м экз. Ер-2 моторами АМ-38 с ТК-3 и передать на летные испытания в ЛИИ НКАП к 7 октября 1941.</w:t>
      </w:r>
    </w:p>
    <w:p w14:paraId="0B7EAB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Нач. ЦИАМ Каширину командировать на завод 240 бригаду для проведения летных испытаний мотора АМ-38 и подать на завод четыре экз. ТК-3 к 7 октября 1941</w:t>
      </w:r>
    </w:p>
    <w:p w14:paraId="158840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Директору завода 305 обеспечить завод 240 моторной арматурой по его спецификации к 9 октября 1941.</w:t>
      </w:r>
    </w:p>
    <w:p w14:paraId="271C67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Директору завода 34 обеспечить завод 240 радиаторами по его заявке к 20 октября 1941.</w:t>
      </w:r>
    </w:p>
    <w:p w14:paraId="07B29B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Директору комбината 150 выделить 3 винта диаметром 4.1 м заводу 240 по его тех. условиям к 15 октября 1941.</w:t>
      </w:r>
    </w:p>
    <w:p w14:paraId="6A02A5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(2134,233).</w:t>
      </w:r>
    </w:p>
    <w:p w14:paraId="029CC2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2E5A5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6/8 октября 1941 года начальник заказов вооружения ГУ ВВС генерал-майор интендантской службы Жаров, военный комиссар заказов вооружения ГУ ВВС ст. батальонный комиссар Пекин писал письмо N 243975с Шахурину.</w:t>
      </w:r>
    </w:p>
    <w:p w14:paraId="4F1AE2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Докладываю, что в настоящее время заводами NN 22 и 39 НКАП предъявлены на испытания самолеты Пе-2 в разных вариантах истребителей (Пе-3 и Пе-3 бис), со следующим вооружением: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126"/>
        <w:gridCol w:w="2835"/>
        <w:gridCol w:w="2127"/>
        <w:gridCol w:w="2126"/>
      </w:tblGrid>
      <w:tr w:rsidR="00643896" w:rsidRPr="00640820" w14:paraId="60109B3B" w14:textId="77777777" w:rsidTr="000D3BCB">
        <w:tc>
          <w:tcPr>
            <w:tcW w:w="1384" w:type="dxa"/>
            <w:tcBorders>
              <w:top w:val="single" w:sz="12" w:space="0" w:color="auto"/>
            </w:tcBorders>
          </w:tcPr>
          <w:p w14:paraId="557F30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Тип с-та</w:t>
            </w:r>
          </w:p>
        </w:tc>
        <w:tc>
          <w:tcPr>
            <w:tcW w:w="2126" w:type="dxa"/>
            <w:tcBorders>
              <w:top w:val="single" w:sz="12" w:space="0" w:color="auto"/>
            </w:tcBorders>
          </w:tcPr>
          <w:p w14:paraId="0B6EB9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установки</w:t>
            </w:r>
          </w:p>
        </w:tc>
        <w:tc>
          <w:tcPr>
            <w:tcW w:w="2835" w:type="dxa"/>
            <w:tcBorders>
              <w:top w:val="single" w:sz="12" w:space="0" w:color="auto"/>
            </w:tcBorders>
          </w:tcPr>
          <w:p w14:paraId="31C67E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Наименование</w:t>
            </w:r>
          </w:p>
        </w:tc>
        <w:tc>
          <w:tcPr>
            <w:tcW w:w="2127" w:type="dxa"/>
            <w:tcBorders>
              <w:top w:val="single" w:sz="12" w:space="0" w:color="auto"/>
            </w:tcBorders>
          </w:tcPr>
          <w:p w14:paraId="26E95C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Боекомплект</w:t>
            </w:r>
          </w:p>
        </w:tc>
        <w:tc>
          <w:tcPr>
            <w:tcW w:w="2126" w:type="dxa"/>
            <w:tcBorders>
              <w:top w:val="single" w:sz="12" w:space="0" w:color="auto"/>
            </w:tcBorders>
          </w:tcPr>
          <w:p w14:paraId="6199B0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Примечание</w:t>
            </w:r>
          </w:p>
        </w:tc>
      </w:tr>
      <w:tr w:rsidR="00643896" w:rsidRPr="00640820" w14:paraId="6CD0B23C" w14:textId="77777777" w:rsidTr="000D3BCB">
        <w:tc>
          <w:tcPr>
            <w:tcW w:w="1384" w:type="dxa"/>
          </w:tcPr>
          <w:p w14:paraId="78201B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 какого</w:t>
            </w:r>
          </w:p>
        </w:tc>
        <w:tc>
          <w:tcPr>
            <w:tcW w:w="2126" w:type="dxa"/>
          </w:tcPr>
          <w:p w14:paraId="02C7E0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оружия в с-те</w:t>
            </w:r>
          </w:p>
        </w:tc>
        <w:tc>
          <w:tcPr>
            <w:tcW w:w="2835" w:type="dxa"/>
          </w:tcPr>
          <w:p w14:paraId="48F42E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оружия и калибр</w:t>
            </w:r>
          </w:p>
        </w:tc>
        <w:tc>
          <w:tcPr>
            <w:tcW w:w="2127" w:type="dxa"/>
          </w:tcPr>
          <w:p w14:paraId="5A9F56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DC154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3281A52" w14:textId="77777777" w:rsidTr="000D3BCB">
        <w:tc>
          <w:tcPr>
            <w:tcW w:w="1384" w:type="dxa"/>
          </w:tcPr>
          <w:p w14:paraId="1D52A3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завода</w:t>
            </w:r>
          </w:p>
        </w:tc>
        <w:tc>
          <w:tcPr>
            <w:tcW w:w="2126" w:type="dxa"/>
          </w:tcPr>
          <w:p w14:paraId="065481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835" w:type="dxa"/>
          </w:tcPr>
          <w:p w14:paraId="7300F9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Pr>
          <w:p w14:paraId="07683B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4ACC5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D0FD9EE" w14:textId="77777777" w:rsidTr="000D3BCB">
        <w:tc>
          <w:tcPr>
            <w:tcW w:w="1384" w:type="dxa"/>
          </w:tcPr>
          <w:p w14:paraId="248696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Пе-2</w:t>
            </w:r>
          </w:p>
        </w:tc>
        <w:tc>
          <w:tcPr>
            <w:tcW w:w="2126" w:type="dxa"/>
          </w:tcPr>
          <w:p w14:paraId="5A4991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Передняя кабина</w:t>
            </w:r>
          </w:p>
        </w:tc>
        <w:tc>
          <w:tcPr>
            <w:tcW w:w="2835" w:type="dxa"/>
          </w:tcPr>
          <w:p w14:paraId="5363DB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пулемет калибра 12,7 мм</w:t>
            </w:r>
          </w:p>
        </w:tc>
        <w:tc>
          <w:tcPr>
            <w:tcW w:w="2127" w:type="dxa"/>
          </w:tcPr>
          <w:p w14:paraId="38FAB2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150 патронов</w:t>
            </w:r>
          </w:p>
        </w:tc>
        <w:tc>
          <w:tcPr>
            <w:tcW w:w="2126" w:type="dxa"/>
          </w:tcPr>
          <w:p w14:paraId="049256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Установлен неподвижно.</w:t>
            </w:r>
          </w:p>
        </w:tc>
      </w:tr>
      <w:tr w:rsidR="00643896" w:rsidRPr="00640820" w14:paraId="6BA4FDCB" w14:textId="77777777" w:rsidTr="000D3BCB">
        <w:tc>
          <w:tcPr>
            <w:tcW w:w="1384" w:type="dxa"/>
          </w:tcPr>
          <w:p w14:paraId="642876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завода N 22</w:t>
            </w:r>
          </w:p>
        </w:tc>
        <w:tc>
          <w:tcPr>
            <w:tcW w:w="2126" w:type="dxa"/>
          </w:tcPr>
          <w:p w14:paraId="7F633D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835" w:type="dxa"/>
          </w:tcPr>
          <w:p w14:paraId="1D455C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"БК" (Березина крыльевой)</w:t>
            </w:r>
          </w:p>
        </w:tc>
        <w:tc>
          <w:tcPr>
            <w:tcW w:w="2127" w:type="dxa"/>
          </w:tcPr>
          <w:p w14:paraId="08EBFB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02AF9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DD3DE9A" w14:textId="77777777" w:rsidTr="000D3BCB">
        <w:tc>
          <w:tcPr>
            <w:tcW w:w="1384" w:type="dxa"/>
          </w:tcPr>
          <w:p w14:paraId="33A950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18327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2835" w:type="dxa"/>
          </w:tcPr>
          <w:p w14:paraId="1F923F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пулемет калибра 7,62 мм</w:t>
            </w:r>
          </w:p>
        </w:tc>
        <w:tc>
          <w:tcPr>
            <w:tcW w:w="2127" w:type="dxa"/>
          </w:tcPr>
          <w:p w14:paraId="488C40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450 патронов</w:t>
            </w:r>
          </w:p>
        </w:tc>
        <w:tc>
          <w:tcPr>
            <w:tcW w:w="2126" w:type="dxa"/>
          </w:tcPr>
          <w:p w14:paraId="478ED6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617AAF43" w14:textId="77777777" w:rsidTr="000D3BCB">
        <w:tc>
          <w:tcPr>
            <w:tcW w:w="1384" w:type="dxa"/>
          </w:tcPr>
          <w:p w14:paraId="540F89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30D2A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835" w:type="dxa"/>
          </w:tcPr>
          <w:p w14:paraId="5B133E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"ШКАС"</w:t>
            </w:r>
          </w:p>
        </w:tc>
        <w:tc>
          <w:tcPr>
            <w:tcW w:w="2127" w:type="dxa"/>
          </w:tcPr>
          <w:p w14:paraId="0C46A9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DED3E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1B1B505" w14:textId="77777777" w:rsidTr="000D3BCB">
        <w:tc>
          <w:tcPr>
            <w:tcW w:w="1384" w:type="dxa"/>
          </w:tcPr>
          <w:p w14:paraId="3AA281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74140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 фюзеляжем для</w:t>
            </w:r>
          </w:p>
        </w:tc>
        <w:tc>
          <w:tcPr>
            <w:tcW w:w="2835" w:type="dxa"/>
          </w:tcPr>
          <w:p w14:paraId="6D4819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пушки "ШВАК" калибра 20 мм</w:t>
            </w:r>
          </w:p>
        </w:tc>
        <w:tc>
          <w:tcPr>
            <w:tcW w:w="2127" w:type="dxa"/>
          </w:tcPr>
          <w:p w14:paraId="02052A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320 патронов</w:t>
            </w:r>
          </w:p>
        </w:tc>
        <w:tc>
          <w:tcPr>
            <w:tcW w:w="2126" w:type="dxa"/>
          </w:tcPr>
          <w:p w14:paraId="1B3B01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6F25FF65" w14:textId="77777777" w:rsidTr="000D3BCB">
        <w:tc>
          <w:tcPr>
            <w:tcW w:w="1384" w:type="dxa"/>
          </w:tcPr>
          <w:p w14:paraId="597A61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6EEC5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стрельбы вперед</w:t>
            </w:r>
          </w:p>
        </w:tc>
        <w:tc>
          <w:tcPr>
            <w:tcW w:w="2835" w:type="dxa"/>
          </w:tcPr>
          <w:p w14:paraId="5119BF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Pr>
          <w:p w14:paraId="63CB82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160 на пушку)</w:t>
            </w:r>
          </w:p>
        </w:tc>
        <w:tc>
          <w:tcPr>
            <w:tcW w:w="2126" w:type="dxa"/>
          </w:tcPr>
          <w:p w14:paraId="115B1A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556483B" w14:textId="77777777" w:rsidTr="000D3BCB">
        <w:tc>
          <w:tcPr>
            <w:tcW w:w="1384" w:type="dxa"/>
          </w:tcPr>
          <w:p w14:paraId="1FC3B0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14739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Люковая установка</w:t>
            </w:r>
          </w:p>
        </w:tc>
        <w:tc>
          <w:tcPr>
            <w:tcW w:w="2835" w:type="dxa"/>
          </w:tcPr>
          <w:p w14:paraId="1475A0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пулемет "БК"</w:t>
            </w:r>
          </w:p>
        </w:tc>
        <w:tc>
          <w:tcPr>
            <w:tcW w:w="2127" w:type="dxa"/>
          </w:tcPr>
          <w:p w14:paraId="7F9AD6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 патронов</w:t>
            </w:r>
          </w:p>
        </w:tc>
        <w:tc>
          <w:tcPr>
            <w:tcW w:w="2126" w:type="dxa"/>
          </w:tcPr>
          <w:p w14:paraId="721331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71DC3007" w14:textId="77777777" w:rsidTr="000D3BCB">
        <w:tc>
          <w:tcPr>
            <w:tcW w:w="1384" w:type="dxa"/>
          </w:tcPr>
          <w:p w14:paraId="3A1DFE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BC263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стрельбы назад</w:t>
            </w:r>
          </w:p>
        </w:tc>
        <w:tc>
          <w:tcPr>
            <w:tcW w:w="2835" w:type="dxa"/>
          </w:tcPr>
          <w:p w14:paraId="5B6DA4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Pr>
          <w:p w14:paraId="183FCF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3027F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D63B679" w14:textId="77777777" w:rsidTr="000D3BCB">
        <w:tc>
          <w:tcPr>
            <w:tcW w:w="1384" w:type="dxa"/>
          </w:tcPr>
          <w:p w14:paraId="272B6D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80D57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Верхняя (штурманская)</w:t>
            </w:r>
          </w:p>
        </w:tc>
        <w:tc>
          <w:tcPr>
            <w:tcW w:w="2835" w:type="dxa"/>
          </w:tcPr>
          <w:p w14:paraId="42ED2C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пулемет ШКАС</w:t>
            </w:r>
          </w:p>
        </w:tc>
        <w:tc>
          <w:tcPr>
            <w:tcW w:w="2127" w:type="dxa"/>
          </w:tcPr>
          <w:p w14:paraId="1FC6C3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750 патронов</w:t>
            </w:r>
          </w:p>
        </w:tc>
        <w:tc>
          <w:tcPr>
            <w:tcW w:w="2126" w:type="dxa"/>
          </w:tcPr>
          <w:p w14:paraId="274501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Подвижная.</w:t>
            </w:r>
          </w:p>
        </w:tc>
      </w:tr>
      <w:tr w:rsidR="00643896" w:rsidRPr="00640820" w14:paraId="6EF36179" w14:textId="77777777" w:rsidTr="000D3BCB">
        <w:tc>
          <w:tcPr>
            <w:tcW w:w="1384" w:type="dxa"/>
          </w:tcPr>
          <w:p w14:paraId="155C09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Пе-3 (бис)</w:t>
            </w:r>
          </w:p>
        </w:tc>
        <w:tc>
          <w:tcPr>
            <w:tcW w:w="2126" w:type="dxa"/>
          </w:tcPr>
          <w:p w14:paraId="06F7F4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Передняя кабина</w:t>
            </w:r>
          </w:p>
        </w:tc>
        <w:tc>
          <w:tcPr>
            <w:tcW w:w="2835" w:type="dxa"/>
          </w:tcPr>
          <w:p w14:paraId="715B23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пулемета калибра 12,7 мм БК</w:t>
            </w:r>
          </w:p>
        </w:tc>
        <w:tc>
          <w:tcPr>
            <w:tcW w:w="2127" w:type="dxa"/>
          </w:tcPr>
          <w:p w14:paraId="505F01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500 патронов</w:t>
            </w:r>
          </w:p>
        </w:tc>
        <w:tc>
          <w:tcPr>
            <w:tcW w:w="2126" w:type="dxa"/>
          </w:tcPr>
          <w:p w14:paraId="67D4EF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Неподвижны.</w:t>
            </w:r>
          </w:p>
        </w:tc>
      </w:tr>
      <w:tr w:rsidR="00643896" w:rsidRPr="00640820" w14:paraId="2901B02F" w14:textId="77777777" w:rsidTr="000D3BCB">
        <w:tc>
          <w:tcPr>
            <w:tcW w:w="1384" w:type="dxa"/>
          </w:tcPr>
          <w:p w14:paraId="09EF56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завода 39</w:t>
            </w:r>
          </w:p>
        </w:tc>
        <w:tc>
          <w:tcPr>
            <w:tcW w:w="2126" w:type="dxa"/>
          </w:tcPr>
          <w:p w14:paraId="3DD508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835" w:type="dxa"/>
          </w:tcPr>
          <w:p w14:paraId="30B96D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Pr>
          <w:p w14:paraId="54AF31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250 на</w:t>
            </w:r>
          </w:p>
        </w:tc>
        <w:tc>
          <w:tcPr>
            <w:tcW w:w="2126" w:type="dxa"/>
          </w:tcPr>
          <w:p w14:paraId="601537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0836F59" w14:textId="77777777" w:rsidTr="000D3BCB">
        <w:tc>
          <w:tcPr>
            <w:tcW w:w="1384" w:type="dxa"/>
          </w:tcPr>
          <w:p w14:paraId="40D0D4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66B07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835" w:type="dxa"/>
          </w:tcPr>
          <w:p w14:paraId="7318C1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Pr>
          <w:p w14:paraId="17C762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пулемет)</w:t>
            </w:r>
          </w:p>
        </w:tc>
        <w:tc>
          <w:tcPr>
            <w:tcW w:w="2126" w:type="dxa"/>
          </w:tcPr>
          <w:p w14:paraId="5714B5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C6B3201" w14:textId="77777777" w:rsidTr="000D3BCB">
        <w:tc>
          <w:tcPr>
            <w:tcW w:w="1384" w:type="dxa"/>
          </w:tcPr>
          <w:p w14:paraId="5D539B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B8516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2835" w:type="dxa"/>
          </w:tcPr>
          <w:p w14:paraId="6BBCDE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пушка ШВАК калибра 20 мм</w:t>
            </w:r>
          </w:p>
        </w:tc>
        <w:tc>
          <w:tcPr>
            <w:tcW w:w="2127" w:type="dxa"/>
          </w:tcPr>
          <w:p w14:paraId="47BB4D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250 патронов</w:t>
            </w:r>
          </w:p>
        </w:tc>
        <w:tc>
          <w:tcPr>
            <w:tcW w:w="2126" w:type="dxa"/>
          </w:tcPr>
          <w:p w14:paraId="779E3B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6A0E72AC" w14:textId="77777777" w:rsidTr="000D3BCB">
        <w:tc>
          <w:tcPr>
            <w:tcW w:w="1384" w:type="dxa"/>
          </w:tcPr>
          <w:p w14:paraId="076A04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92DA0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Верхняя (штурманская)</w:t>
            </w:r>
          </w:p>
        </w:tc>
        <w:tc>
          <w:tcPr>
            <w:tcW w:w="2835" w:type="dxa"/>
          </w:tcPr>
          <w:p w14:paraId="3669F3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пулемет калибра 12,7 мм УБТ</w:t>
            </w:r>
          </w:p>
        </w:tc>
        <w:tc>
          <w:tcPr>
            <w:tcW w:w="2127" w:type="dxa"/>
          </w:tcPr>
          <w:p w14:paraId="19A587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250 патронов</w:t>
            </w:r>
          </w:p>
        </w:tc>
        <w:tc>
          <w:tcPr>
            <w:tcW w:w="2126" w:type="dxa"/>
          </w:tcPr>
          <w:p w14:paraId="7E504F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УБТ - универсальный</w:t>
            </w:r>
          </w:p>
        </w:tc>
      </w:tr>
      <w:tr w:rsidR="00643896" w:rsidRPr="00640820" w14:paraId="2999B182" w14:textId="77777777" w:rsidTr="000D3BCB">
        <w:tc>
          <w:tcPr>
            <w:tcW w:w="1384" w:type="dxa"/>
          </w:tcPr>
          <w:p w14:paraId="475219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3964A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835" w:type="dxa"/>
          </w:tcPr>
          <w:p w14:paraId="27B401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Pr>
          <w:p w14:paraId="3FAEAE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B7B05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Березина турельный</w:t>
            </w:r>
          </w:p>
        </w:tc>
      </w:tr>
      <w:tr w:rsidR="00643896" w:rsidRPr="00640820" w14:paraId="0C14F66D" w14:textId="77777777" w:rsidTr="000D3BCB">
        <w:tc>
          <w:tcPr>
            <w:tcW w:w="1384" w:type="dxa"/>
          </w:tcPr>
          <w:p w14:paraId="083B98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Пе-3 бис</w:t>
            </w:r>
          </w:p>
        </w:tc>
        <w:tc>
          <w:tcPr>
            <w:tcW w:w="2126" w:type="dxa"/>
          </w:tcPr>
          <w:p w14:paraId="715B08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Хвостовая в кормовом</w:t>
            </w:r>
          </w:p>
        </w:tc>
        <w:tc>
          <w:tcPr>
            <w:tcW w:w="2835" w:type="dxa"/>
          </w:tcPr>
          <w:p w14:paraId="4C543A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пулемет ШКАС</w:t>
            </w:r>
          </w:p>
        </w:tc>
        <w:tc>
          <w:tcPr>
            <w:tcW w:w="2127" w:type="dxa"/>
          </w:tcPr>
          <w:p w14:paraId="566834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250 патронов</w:t>
            </w:r>
          </w:p>
        </w:tc>
        <w:tc>
          <w:tcPr>
            <w:tcW w:w="2126" w:type="dxa"/>
          </w:tcPr>
          <w:p w14:paraId="76B154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Установлен неподвижно</w:t>
            </w:r>
          </w:p>
        </w:tc>
      </w:tr>
      <w:tr w:rsidR="00643896" w:rsidRPr="00640820" w14:paraId="0487158A" w14:textId="77777777" w:rsidTr="000D3BCB">
        <w:tc>
          <w:tcPr>
            <w:tcW w:w="1384" w:type="dxa"/>
          </w:tcPr>
          <w:p w14:paraId="1B3E68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завода N 39</w:t>
            </w:r>
          </w:p>
        </w:tc>
        <w:tc>
          <w:tcPr>
            <w:tcW w:w="2126" w:type="dxa"/>
          </w:tcPr>
          <w:p w14:paraId="444452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коке фюзеляжа</w:t>
            </w:r>
          </w:p>
        </w:tc>
        <w:tc>
          <w:tcPr>
            <w:tcW w:w="2835" w:type="dxa"/>
          </w:tcPr>
          <w:p w14:paraId="0C269B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Pr>
          <w:p w14:paraId="4023FB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F719C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2F56F13" w14:textId="77777777" w:rsidTr="000D3BCB">
        <w:tc>
          <w:tcPr>
            <w:tcW w:w="1384" w:type="dxa"/>
          </w:tcPr>
          <w:p w14:paraId="4D520C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FB65B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835" w:type="dxa"/>
          </w:tcPr>
          <w:p w14:paraId="71D85E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Pr>
          <w:p w14:paraId="14BE83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BC440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2C265D6" w14:textId="77777777" w:rsidTr="000D3BCB">
        <w:tc>
          <w:tcPr>
            <w:tcW w:w="1384" w:type="dxa"/>
          </w:tcPr>
          <w:p w14:paraId="7CB31E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E9371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835" w:type="dxa"/>
          </w:tcPr>
          <w:p w14:paraId="798159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Pr>
          <w:p w14:paraId="725E09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CABB8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3B0E6C1" w14:textId="77777777" w:rsidTr="000D3BCB">
        <w:tc>
          <w:tcPr>
            <w:tcW w:w="1384" w:type="dxa"/>
            <w:tcBorders>
              <w:bottom w:val="single" w:sz="12" w:space="0" w:color="auto"/>
            </w:tcBorders>
          </w:tcPr>
          <w:p w14:paraId="76C972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bottom w:val="single" w:sz="12" w:space="0" w:color="auto"/>
            </w:tcBorders>
          </w:tcPr>
          <w:p w14:paraId="293C3A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835" w:type="dxa"/>
            <w:tcBorders>
              <w:bottom w:val="single" w:sz="12" w:space="0" w:color="auto"/>
            </w:tcBorders>
          </w:tcPr>
          <w:p w14:paraId="069789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Borders>
              <w:bottom w:val="single" w:sz="12" w:space="0" w:color="auto"/>
            </w:tcBorders>
          </w:tcPr>
          <w:p w14:paraId="7E7769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bottom w:val="single" w:sz="12" w:space="0" w:color="auto"/>
            </w:tcBorders>
          </w:tcPr>
          <w:p w14:paraId="46061D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bl>
    <w:p w14:paraId="649172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Сравнительные данные самолетов Пе-2 (в истребительном варианте).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2"/>
        <w:gridCol w:w="769"/>
        <w:gridCol w:w="1433"/>
        <w:gridCol w:w="1375"/>
        <w:gridCol w:w="1101"/>
        <w:gridCol w:w="1239"/>
        <w:gridCol w:w="1789"/>
        <w:gridCol w:w="1650"/>
      </w:tblGrid>
      <w:tr w:rsidR="00643896" w:rsidRPr="00640820" w14:paraId="7C89F243" w14:textId="77777777" w:rsidTr="000D3BCB">
        <w:tc>
          <w:tcPr>
            <w:tcW w:w="1242" w:type="dxa"/>
            <w:tcBorders>
              <w:top w:val="single" w:sz="12" w:space="0" w:color="auto"/>
            </w:tcBorders>
          </w:tcPr>
          <w:p w14:paraId="3ADAB4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w:t>
            </w:r>
          </w:p>
        </w:tc>
        <w:tc>
          <w:tcPr>
            <w:tcW w:w="769" w:type="dxa"/>
            <w:tcBorders>
              <w:top w:val="single" w:sz="12" w:space="0" w:color="auto"/>
            </w:tcBorders>
          </w:tcPr>
          <w:p w14:paraId="735C21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33" w:type="dxa"/>
            <w:tcBorders>
              <w:top w:val="single" w:sz="12" w:space="0" w:color="auto"/>
            </w:tcBorders>
          </w:tcPr>
          <w:p w14:paraId="307161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Скорость</w:t>
            </w:r>
          </w:p>
        </w:tc>
        <w:tc>
          <w:tcPr>
            <w:tcW w:w="1375" w:type="dxa"/>
            <w:tcBorders>
              <w:top w:val="single" w:sz="12" w:space="0" w:color="auto"/>
            </w:tcBorders>
          </w:tcPr>
          <w:p w14:paraId="08B5BD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Borders>
              <w:top w:val="single" w:sz="12" w:space="0" w:color="auto"/>
            </w:tcBorders>
          </w:tcPr>
          <w:p w14:paraId="3F3096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 дальность</w:t>
            </w:r>
          </w:p>
        </w:tc>
        <w:tc>
          <w:tcPr>
            <w:tcW w:w="1239" w:type="dxa"/>
            <w:tcBorders>
              <w:top w:val="single" w:sz="12" w:space="0" w:color="auto"/>
            </w:tcBorders>
          </w:tcPr>
          <w:p w14:paraId="4618E3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89" w:type="dxa"/>
            <w:tcBorders>
              <w:top w:val="single" w:sz="12" w:space="0" w:color="auto"/>
            </w:tcBorders>
          </w:tcPr>
          <w:p w14:paraId="43DD3E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Бомбовая нагрузка</w:t>
            </w:r>
          </w:p>
        </w:tc>
        <w:tc>
          <w:tcPr>
            <w:tcW w:w="1650" w:type="dxa"/>
            <w:tcBorders>
              <w:top w:val="single" w:sz="12" w:space="0" w:color="auto"/>
            </w:tcBorders>
          </w:tcPr>
          <w:p w14:paraId="19B2D4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747FD33" w14:textId="77777777" w:rsidTr="000D3BCB">
        <w:tc>
          <w:tcPr>
            <w:tcW w:w="1242" w:type="dxa"/>
          </w:tcPr>
          <w:p w14:paraId="531FE5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изготовитель</w:t>
            </w:r>
          </w:p>
        </w:tc>
        <w:tc>
          <w:tcPr>
            <w:tcW w:w="769" w:type="dxa"/>
          </w:tcPr>
          <w:p w14:paraId="09B664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 земли</w:t>
            </w:r>
          </w:p>
        </w:tc>
        <w:tc>
          <w:tcPr>
            <w:tcW w:w="1433" w:type="dxa"/>
          </w:tcPr>
          <w:p w14:paraId="352B52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расчетной</w:t>
            </w:r>
          </w:p>
        </w:tc>
        <w:tc>
          <w:tcPr>
            <w:tcW w:w="1375" w:type="dxa"/>
          </w:tcPr>
          <w:p w14:paraId="5A125B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Б/подвесн.</w:t>
            </w:r>
          </w:p>
        </w:tc>
        <w:tc>
          <w:tcPr>
            <w:tcW w:w="1101" w:type="dxa"/>
          </w:tcPr>
          <w:p w14:paraId="0D52EF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подвесн.</w:t>
            </w:r>
          </w:p>
        </w:tc>
        <w:tc>
          <w:tcPr>
            <w:tcW w:w="1239" w:type="dxa"/>
          </w:tcPr>
          <w:p w14:paraId="41BDFF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наружн.</w:t>
            </w:r>
          </w:p>
        </w:tc>
        <w:tc>
          <w:tcPr>
            <w:tcW w:w="1789" w:type="dxa"/>
          </w:tcPr>
          <w:p w14:paraId="3109FD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мотогондоле</w:t>
            </w:r>
          </w:p>
        </w:tc>
        <w:tc>
          <w:tcPr>
            <w:tcW w:w="1650" w:type="dxa"/>
          </w:tcPr>
          <w:p w14:paraId="675BC9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общая бомбовая</w:t>
            </w:r>
          </w:p>
        </w:tc>
      </w:tr>
      <w:tr w:rsidR="00643896" w:rsidRPr="00640820" w14:paraId="0C0597D0" w14:textId="77777777" w:rsidTr="000D3BCB">
        <w:tc>
          <w:tcPr>
            <w:tcW w:w="1242" w:type="dxa"/>
          </w:tcPr>
          <w:p w14:paraId="2FC96B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69" w:type="dxa"/>
          </w:tcPr>
          <w:p w14:paraId="5D24CC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км/час</w:t>
            </w:r>
          </w:p>
        </w:tc>
        <w:tc>
          <w:tcPr>
            <w:tcW w:w="1433" w:type="dxa"/>
          </w:tcPr>
          <w:p w14:paraId="67B69D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высоте 5000 м</w:t>
            </w:r>
          </w:p>
        </w:tc>
        <w:tc>
          <w:tcPr>
            <w:tcW w:w="1375" w:type="dxa"/>
          </w:tcPr>
          <w:p w14:paraId="63D7FA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баков км</w:t>
            </w:r>
          </w:p>
        </w:tc>
        <w:tc>
          <w:tcPr>
            <w:tcW w:w="1101" w:type="dxa"/>
          </w:tcPr>
          <w:p w14:paraId="6FC443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баками км</w:t>
            </w:r>
          </w:p>
        </w:tc>
        <w:tc>
          <w:tcPr>
            <w:tcW w:w="1239" w:type="dxa"/>
          </w:tcPr>
          <w:p w14:paraId="576346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держателях</w:t>
            </w:r>
          </w:p>
        </w:tc>
        <w:tc>
          <w:tcPr>
            <w:tcW w:w="1789" w:type="dxa"/>
          </w:tcPr>
          <w:p w14:paraId="168788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кг</w:t>
            </w:r>
          </w:p>
        </w:tc>
        <w:tc>
          <w:tcPr>
            <w:tcW w:w="1650" w:type="dxa"/>
          </w:tcPr>
          <w:p w14:paraId="689089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нагрузка кг</w:t>
            </w:r>
          </w:p>
        </w:tc>
      </w:tr>
      <w:tr w:rsidR="00643896" w:rsidRPr="00640820" w14:paraId="4C02E88C" w14:textId="77777777" w:rsidTr="000D3BCB">
        <w:tc>
          <w:tcPr>
            <w:tcW w:w="1242" w:type="dxa"/>
          </w:tcPr>
          <w:p w14:paraId="4D9DC6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69" w:type="dxa"/>
          </w:tcPr>
          <w:p w14:paraId="38DCAD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33" w:type="dxa"/>
          </w:tcPr>
          <w:p w14:paraId="04F6E8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км/час</w:t>
            </w:r>
          </w:p>
        </w:tc>
        <w:tc>
          <w:tcPr>
            <w:tcW w:w="1375" w:type="dxa"/>
          </w:tcPr>
          <w:p w14:paraId="0F38A0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0A6164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39" w:type="dxa"/>
          </w:tcPr>
          <w:p w14:paraId="554EB3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89" w:type="dxa"/>
          </w:tcPr>
          <w:p w14:paraId="47472D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50" w:type="dxa"/>
          </w:tcPr>
          <w:p w14:paraId="10A2AE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кг</w:t>
            </w:r>
          </w:p>
        </w:tc>
      </w:tr>
      <w:tr w:rsidR="00643896" w:rsidRPr="00640820" w14:paraId="60F565F0" w14:textId="77777777" w:rsidTr="000D3BCB">
        <w:tc>
          <w:tcPr>
            <w:tcW w:w="1242" w:type="dxa"/>
          </w:tcPr>
          <w:p w14:paraId="26A017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 Пе-2</w:t>
            </w:r>
          </w:p>
        </w:tc>
        <w:tc>
          <w:tcPr>
            <w:tcW w:w="769" w:type="dxa"/>
          </w:tcPr>
          <w:p w14:paraId="66C1D8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454</w:t>
            </w:r>
          </w:p>
        </w:tc>
        <w:tc>
          <w:tcPr>
            <w:tcW w:w="1433" w:type="dxa"/>
          </w:tcPr>
          <w:p w14:paraId="35ADC3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540</w:t>
            </w:r>
          </w:p>
        </w:tc>
        <w:tc>
          <w:tcPr>
            <w:tcW w:w="1375" w:type="dxa"/>
          </w:tcPr>
          <w:p w14:paraId="662E96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1780</w:t>
            </w:r>
          </w:p>
        </w:tc>
        <w:tc>
          <w:tcPr>
            <w:tcW w:w="1101" w:type="dxa"/>
          </w:tcPr>
          <w:p w14:paraId="2441EA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2100</w:t>
            </w:r>
          </w:p>
        </w:tc>
        <w:tc>
          <w:tcPr>
            <w:tcW w:w="1239" w:type="dxa"/>
          </w:tcPr>
          <w:p w14:paraId="0FC340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шт. по</w:t>
            </w:r>
          </w:p>
        </w:tc>
        <w:tc>
          <w:tcPr>
            <w:tcW w:w="1789" w:type="dxa"/>
          </w:tcPr>
          <w:p w14:paraId="50963B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шт. по</w:t>
            </w:r>
          </w:p>
        </w:tc>
        <w:tc>
          <w:tcPr>
            <w:tcW w:w="1650" w:type="dxa"/>
          </w:tcPr>
          <w:p w14:paraId="2E828A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Без подвесных</w:t>
            </w:r>
          </w:p>
        </w:tc>
      </w:tr>
      <w:tr w:rsidR="00643896" w:rsidRPr="00640820" w14:paraId="6584F5E9" w14:textId="77777777" w:rsidTr="000D3BCB">
        <w:tc>
          <w:tcPr>
            <w:tcW w:w="1242" w:type="dxa"/>
          </w:tcPr>
          <w:p w14:paraId="415481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з-д N 22</w:t>
            </w:r>
          </w:p>
        </w:tc>
        <w:tc>
          <w:tcPr>
            <w:tcW w:w="769" w:type="dxa"/>
          </w:tcPr>
          <w:p w14:paraId="61FEB8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33" w:type="dxa"/>
          </w:tcPr>
          <w:p w14:paraId="0406BD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75" w:type="dxa"/>
          </w:tcPr>
          <w:p w14:paraId="11B0AC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41DF12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39" w:type="dxa"/>
          </w:tcPr>
          <w:p w14:paraId="25D82A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250 кг</w:t>
            </w:r>
          </w:p>
        </w:tc>
        <w:tc>
          <w:tcPr>
            <w:tcW w:w="1789" w:type="dxa"/>
          </w:tcPr>
          <w:p w14:paraId="70F4AA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 кг</w:t>
            </w:r>
          </w:p>
        </w:tc>
        <w:tc>
          <w:tcPr>
            <w:tcW w:w="1650" w:type="dxa"/>
          </w:tcPr>
          <w:p w14:paraId="7530A0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баков - 700 кг,</w:t>
            </w:r>
          </w:p>
        </w:tc>
      </w:tr>
      <w:tr w:rsidR="00643896" w:rsidRPr="00640820" w14:paraId="1DC74B92" w14:textId="77777777" w:rsidTr="000D3BCB">
        <w:tc>
          <w:tcPr>
            <w:tcW w:w="1242" w:type="dxa"/>
          </w:tcPr>
          <w:p w14:paraId="38DADB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69" w:type="dxa"/>
          </w:tcPr>
          <w:p w14:paraId="3F29D1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33" w:type="dxa"/>
          </w:tcPr>
          <w:p w14:paraId="425496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75" w:type="dxa"/>
          </w:tcPr>
          <w:p w14:paraId="422CB3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47DD72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39" w:type="dxa"/>
          </w:tcPr>
          <w:p w14:paraId="157135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89" w:type="dxa"/>
          </w:tcPr>
          <w:p w14:paraId="330F3F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50" w:type="dxa"/>
          </w:tcPr>
          <w:p w14:paraId="6AF395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подвесными</w:t>
            </w:r>
          </w:p>
        </w:tc>
      </w:tr>
      <w:tr w:rsidR="00643896" w:rsidRPr="00640820" w14:paraId="3EB18AD9" w14:textId="77777777" w:rsidTr="000D3BCB">
        <w:tc>
          <w:tcPr>
            <w:tcW w:w="1242" w:type="dxa"/>
          </w:tcPr>
          <w:p w14:paraId="01AACF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69" w:type="dxa"/>
          </w:tcPr>
          <w:p w14:paraId="10D4C8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33" w:type="dxa"/>
          </w:tcPr>
          <w:p w14:paraId="4E1842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75" w:type="dxa"/>
          </w:tcPr>
          <w:p w14:paraId="13ABC8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402517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39" w:type="dxa"/>
          </w:tcPr>
          <w:p w14:paraId="6A0804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89" w:type="dxa"/>
          </w:tcPr>
          <w:p w14:paraId="509815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50" w:type="dxa"/>
          </w:tcPr>
          <w:p w14:paraId="756F02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баками - 200 кг</w:t>
            </w:r>
          </w:p>
        </w:tc>
      </w:tr>
      <w:tr w:rsidR="00643896" w:rsidRPr="00640820" w14:paraId="1F761BFB" w14:textId="77777777" w:rsidTr="000D3BCB">
        <w:tc>
          <w:tcPr>
            <w:tcW w:w="1242" w:type="dxa"/>
          </w:tcPr>
          <w:p w14:paraId="3C287F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 Пе-3 бис</w:t>
            </w:r>
          </w:p>
        </w:tc>
        <w:tc>
          <w:tcPr>
            <w:tcW w:w="769" w:type="dxa"/>
          </w:tcPr>
          <w:p w14:paraId="78A39A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433" w:type="dxa"/>
          </w:tcPr>
          <w:p w14:paraId="37744A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500</w:t>
            </w:r>
          </w:p>
        </w:tc>
        <w:tc>
          <w:tcPr>
            <w:tcW w:w="1375" w:type="dxa"/>
          </w:tcPr>
          <w:p w14:paraId="034BDA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01" w:type="dxa"/>
          </w:tcPr>
          <w:p w14:paraId="101C9B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39" w:type="dxa"/>
          </w:tcPr>
          <w:p w14:paraId="348A94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789" w:type="dxa"/>
          </w:tcPr>
          <w:p w14:paraId="435CBD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650" w:type="dxa"/>
          </w:tcPr>
          <w:p w14:paraId="57D19C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700</w:t>
            </w:r>
          </w:p>
        </w:tc>
      </w:tr>
      <w:tr w:rsidR="00643896" w:rsidRPr="00640820" w14:paraId="5CFC6F0B" w14:textId="77777777" w:rsidTr="000D3BCB">
        <w:tc>
          <w:tcPr>
            <w:tcW w:w="1242" w:type="dxa"/>
            <w:tcBorders>
              <w:bottom w:val="single" w:sz="12" w:space="0" w:color="auto"/>
            </w:tcBorders>
          </w:tcPr>
          <w:p w14:paraId="111C3D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з-д N 39*</w:t>
            </w:r>
          </w:p>
        </w:tc>
        <w:tc>
          <w:tcPr>
            <w:tcW w:w="769" w:type="dxa"/>
            <w:tcBorders>
              <w:bottom w:val="single" w:sz="12" w:space="0" w:color="auto"/>
            </w:tcBorders>
          </w:tcPr>
          <w:p w14:paraId="037254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33" w:type="dxa"/>
            <w:tcBorders>
              <w:bottom w:val="single" w:sz="12" w:space="0" w:color="auto"/>
            </w:tcBorders>
          </w:tcPr>
          <w:p w14:paraId="541F37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75" w:type="dxa"/>
            <w:tcBorders>
              <w:bottom w:val="single" w:sz="12" w:space="0" w:color="auto"/>
            </w:tcBorders>
          </w:tcPr>
          <w:p w14:paraId="4CB1E2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Borders>
              <w:bottom w:val="single" w:sz="12" w:space="0" w:color="auto"/>
            </w:tcBorders>
          </w:tcPr>
          <w:p w14:paraId="5F56D2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39" w:type="dxa"/>
            <w:tcBorders>
              <w:bottom w:val="single" w:sz="12" w:space="0" w:color="auto"/>
            </w:tcBorders>
          </w:tcPr>
          <w:p w14:paraId="20E5A8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89" w:type="dxa"/>
            <w:tcBorders>
              <w:bottom w:val="single" w:sz="12" w:space="0" w:color="auto"/>
            </w:tcBorders>
          </w:tcPr>
          <w:p w14:paraId="256FED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50" w:type="dxa"/>
            <w:tcBorders>
              <w:bottom w:val="single" w:sz="12" w:space="0" w:color="auto"/>
            </w:tcBorders>
          </w:tcPr>
          <w:p w14:paraId="51F271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bl>
    <w:p w14:paraId="5B3CD3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Примечание: * Самолет проходит испытания в НИИ ВВС. Летные характеристики еще не сняты. Vmax=550 км/час, получена в результате одного замера.</w:t>
      </w:r>
    </w:p>
    <w:p w14:paraId="47996B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Сведения по бронированию.</w:t>
      </w:r>
    </w:p>
    <w:p w14:paraId="63C1DF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 самолеты Пе-2 в истребительном варианте имеют одинаковую бронезащиту:</w:t>
      </w:r>
    </w:p>
    <w:p w14:paraId="1FA2EC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бронирована задняя стенка сидения летчика;</w:t>
      </w:r>
    </w:p>
    <w:p w14:paraId="485C50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сзади штурмана, со стороны бензобаков, установлены две бронеплиты.</w:t>
      </w:r>
    </w:p>
    <w:p w14:paraId="188BF5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представленных вариантов наиболее заслуживает внимания вариант завода N 22, однако, слабая защита верхней задней полусферы из-за малого калибра пулемета и нижней задней полусферы из-за неуправляемости пулеметов, не дают основания остановиться на нем для серийного запуска в производство.</w:t>
      </w:r>
    </w:p>
    <w:p w14:paraId="4C6201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Вариант завода N 39 имеет основной недостаток тот, что при ночной стрельбе будет проходить сильное ослепление стрелка, при одновременной стрельбе из 3-х крупнокалиберных видов оружия и к тому же расположенных впереди стрелка.</w:t>
      </w:r>
    </w:p>
    <w:p w14:paraId="66D8F7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Поэтому более удовлетворительные тактико-технические требования самолета Пе-2 завода N 22. Принять же решение можно только после окончания летных испытаний самолета Пе-3 завода N 39, которые в НИИ ВВС будут закончены при наличии летной погоды в ближайшие два дня.</w:t>
      </w:r>
    </w:p>
    <w:p w14:paraId="2CAA7E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связи с этим никакого окончательного решения по данным самолетам мною принято не было (2637).</w:t>
      </w:r>
    </w:p>
    <w:p w14:paraId="23B785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295C4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октября 1941 года в НКАП за вход. № 21454 поступило письмо № 6301 директора завода N 1 Третьякова А.Т. и гл. конструктора Микоян А.И. Шахурину.</w:t>
      </w:r>
    </w:p>
    <w:p w14:paraId="56A7C0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Докладная записка</w:t>
      </w:r>
    </w:p>
    <w:p w14:paraId="7C994D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вопросу предложений капитана Панова.</w:t>
      </w:r>
    </w:p>
    <w:p w14:paraId="204A8E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Прицел.</w:t>
      </w:r>
    </w:p>
    <w:p w14:paraId="6739A8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самолете МИГ-3 стоит прицел ПБП-1а.</w:t>
      </w:r>
    </w:p>
    <w:p w14:paraId="2A134C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самолетов МИГ-3 установлен прицел с новым светлым стеклом и с двойным светофильтром, испытания в НИИ ВВС дали положительные результаты.</w:t>
      </w:r>
    </w:p>
    <w:p w14:paraId="41700B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Улучшенные прицелы могут быть немедленно установлены по поступлении их с завода N 217.</w:t>
      </w:r>
    </w:p>
    <w:p w14:paraId="027C5B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Вопрос об увеличении стекла ставится впервые, увеличенное стекло конструктивных изменений в самолете МИГ-3 не вызовет и может быть установлено в любое время по получении от поставщика.</w:t>
      </w:r>
    </w:p>
    <w:p w14:paraId="77D559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Козырек.</w:t>
      </w:r>
    </w:p>
    <w:p w14:paraId="4EDB68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Видоизменить козырек (увеличить его размеры) не представляется возможным, это вызовет излишнее сопротивление.</w:t>
      </w:r>
    </w:p>
    <w:p w14:paraId="524F60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более легкого открывания фонаря установлена дополнительная ручка, при наличии которой фонарь открывается на всех скоростях.</w:t>
      </w:r>
    </w:p>
    <w:p w14:paraId="4A2A70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Бензиновые баки.</w:t>
      </w:r>
    </w:p>
    <w:p w14:paraId="5927CE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Прорабатывается конструкция изоляции центропланных и заднего бензобака от кабины. Опытный образец будет готов 28/IX с/г.</w:t>
      </w:r>
    </w:p>
    <w:p w14:paraId="672FBA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Повышение огнестойкости предусмотрено введением во все бензобаки нейтрального газа.</w:t>
      </w:r>
    </w:p>
    <w:p w14:paraId="2D0C04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 самолеты оборудованы установками нейтрального газа и в таком виде выходят с завода.</w:t>
      </w:r>
    </w:p>
    <w:p w14:paraId="410DEB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Сбрасывание заднего бензобака выполнить нельзя, так как только через задний бак подается горючее в мотор.</w:t>
      </w:r>
    </w:p>
    <w:p w14:paraId="4E0B56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Раздельная подача горючего приведет к необходимости полной переделки всей системы бензопровода, сильно усложнит конструкцию, вызовет дополнительные краны переключения подачи бензина и увеличит вес самолета.</w:t>
      </w:r>
    </w:p>
    <w:p w14:paraId="240184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Подъем и выпуск шасси.</w:t>
      </w:r>
    </w:p>
    <w:p w14:paraId="694AB7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Легкое открытие замков при помощи аварийного выпуска - обеспечено новой системой воздухопровода с последовательной подачей воздуха сначала в цилиндр замка, потом в цилиндр подъема.</w:t>
      </w:r>
    </w:p>
    <w:p w14:paraId="7271C2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Введено в серию.</w:t>
      </w:r>
    </w:p>
    <w:p w14:paraId="114BB7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Сохранение мощности мотора сверх 20-25 час. работы.</w:t>
      </w:r>
    </w:p>
    <w:p w14:paraId="20BE03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Падение мощности мотора следует отнести к посадке поршневых колец.</w:t>
      </w:r>
    </w:p>
    <w:p w14:paraId="34AA3E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Удлинение срока службы мотора возможно и за счет установки фильтров на всасывающих патрубках, экспериментальная работа над которыми ведется конструкторским отделом завода N 1.</w:t>
      </w:r>
    </w:p>
    <w:p w14:paraId="0223B1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Защита самолета от нападения противника с хвоста.</w:t>
      </w:r>
    </w:p>
    <w:p w14:paraId="2E57FD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Совместно с заводом N 32 разрабатывается способ установки на самолете МИГ-3 с специальной кассеты под парашютные гранаты.</w:t>
      </w:r>
    </w:p>
    <w:p w14:paraId="00A5D5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Применение гранат испытано в НИПАВ"е с положительными результатами.</w:t>
      </w:r>
    </w:p>
    <w:p w14:paraId="74EDF6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Вопрос о применении воспламеняющейся жидкости будет проработан дополнительно.</w:t>
      </w:r>
    </w:p>
    <w:p w14:paraId="680831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Постановка мотора 82 на самолет МИГ-3.</w:t>
      </w:r>
    </w:p>
    <w:p w14:paraId="1D505A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Два опытных образца изготовлены, проходят испытания и доводку.</w:t>
      </w:r>
    </w:p>
    <w:p w14:paraId="2EB3B3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 сигнализации с самолета ракетами.</w:t>
      </w:r>
    </w:p>
    <w:p w14:paraId="3F05C3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Промышленность не имеет других сигнальных пистолетов и пиротехнических патронов.</w:t>
      </w:r>
    </w:p>
    <w:p w14:paraId="5B2C9A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Конструкторский отдел завода N 1 приступит к проектированию установки, удовлетворяющей поставленным требованиям.</w:t>
      </w:r>
    </w:p>
    <w:p w14:paraId="593B47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Радиосвязь.</w:t>
      </w:r>
    </w:p>
    <w:p w14:paraId="52206C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самолете МИГ-3 имеется двухсторонняя связь на каждом 3-м самолете.</w:t>
      </w:r>
    </w:p>
    <w:p w14:paraId="40F025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30/IX с.г. будет сдан на испытание один самолет МИГ-3, оборудованный радиополукомпасом типа "Чаенок".</w:t>
      </w:r>
    </w:p>
    <w:p w14:paraId="57CD0B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Антиобледенители.</w:t>
      </w:r>
    </w:p>
    <w:p w14:paraId="703758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настоящее время не имеем системы для практического применения на истребителе.</w:t>
      </w:r>
    </w:p>
    <w:p w14:paraId="163E69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Слепые полеты на самолете МИГ-3.</w:t>
      </w:r>
    </w:p>
    <w:p w14:paraId="7365F5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слепых полетов на самолете МИГ-3 потребуется устанавливать авиагоризонт, единственное место расположение которого возможно на месте размещения приборов радиополукомпаса "Чаенок". Кроме того, потребуется полное переоборудование арматурной доски.</w:t>
      </w:r>
    </w:p>
    <w:p w14:paraId="29902C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Опытный образец может быть изготовлен в течение 12-15 дней (2191,57).</w:t>
      </w:r>
    </w:p>
    <w:p w14:paraId="1B1634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DDFD2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6 октября по 1 ноября 1941 помошник С.А.Л. П.Г.Питерин совершил поездку на С-ЗФ для ознакомления с боевым применением ЛаГГ-3 и техпомощи. Были в 21 иап, 272 иап и 429 иап, вооруженных ЛаГГ-3 с 3-й по 8-ю серии. Примерно треть была потеряна в бою. Полки имели по 5-8 самолетов, сильно изношенных В течение всего времени полки в основном занимались штурмовкой передовых позиций противника (колонны пехоты, автомашин, танков и пр.), аэродромов и колонн по тыловым дорогам с 50-100 м. Попутно нападали на б и вступали в бой с истребителями (1648,41).</w:t>
      </w:r>
    </w:p>
    <w:p w14:paraId="4E9EEC6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 Т Ч Е Т</w:t>
      </w:r>
    </w:p>
    <w:p w14:paraId="41E02DC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прм. главного конструктора ПИТЕРИНА П.Г. о поездке с 6/Х по 1/Х1-1941 г.в части Северо-Западного фронта для ознакомления с боевым применением самолетов ЛАГГ-3 и техническо помощи.</w:t>
      </w:r>
    </w:p>
    <w:p w14:paraId="5049A0A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указанный период побывал с следующих частях: штаб ВВС западного фронта, 21 ИАП, 272 ИПП, 429 ИАП и УВВС КА. Вышеперечисленные части имели и имеют самолеты ЛАГГ-3 от 3 до 8 серии, снабжены четырьмя огневыми точками и пяти бензобаками. Следует отметить,что разницы в боевых качествах между самолетами 3-й и 8-й серии - нет.</w:t>
      </w:r>
    </w:p>
    <w:p w14:paraId="33A62E8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течении 1,5-2 м-цев, т.е. с начала боевых действий, примерно одна третья часть самолетов потеряна в бою и при вынужденных посадках, часть самолетов полностью выработали ресурсы, т.к. в 21 ИАП"е - 10 самолетов выработали ресурсы, отправлены для замены моторов.</w:t>
      </w:r>
    </w:p>
    <w:p w14:paraId="0954639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настояций момент полки имеют от 2 до 5 самолетов к томку же сильно изношенные. При посещении частей проводились групповые собеседования с летчиками,техниками и индивидуальные беседы с летчиками после каждого боевого вылета.</w:t>
      </w:r>
    </w:p>
    <w:p w14:paraId="057D4A3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каждой части на аэродроме прибывал в течении 3-х дней, ведя наблюдение за каадым боевым вылетом и возвращением самолетов.Каждая часть ежедневно производили по 3-4 боевых вылета.</w:t>
      </w:r>
    </w:p>
    <w:p w14:paraId="3294AF7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всего времени полки по своему назначению, в основном занимались штурмоваой передовых позиций противника (колонны пехоты, автомашин, танков и пр.), аэродромов и тыловым дорогам противника. Кроме того попутно нападали на бомбардировщики и вступали в бой с истребителями.</w:t>
      </w:r>
    </w:p>
    <w:p w14:paraId="0D1D3F4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результате 1,5-2 месячной боевой деятельности пол</w:t>
      </w:r>
      <w:r w:rsidRPr="00640820">
        <w:rPr>
          <w:rFonts w:ascii="Times New Roman" w:hAnsi="Times New Roman"/>
          <w:color w:val="000000" w:themeColor="text1"/>
          <w:sz w:val="16"/>
          <w:szCs w:val="16"/>
        </w:rPr>
        <w:softHyphen/>
        <w:t>ков помимо уничтожения большого количества живой силы про тивника, автомашин, цистерн с горючим, были сбиты самолеты противника:</w:t>
      </w:r>
    </w:p>
    <w:p w14:paraId="3610693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ИАП"ом - 28 шт.</w:t>
      </w:r>
    </w:p>
    <w:p w14:paraId="2EA1638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272 " - 7 шт.</w:t>
      </w:r>
    </w:p>
    <w:p w14:paraId="0075331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429 " - 8 шт.</w:t>
      </w:r>
    </w:p>
    <w:p w14:paraId="2B36313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 сбито немецких самолетов - 43 штуки.</w:t>
      </w:r>
    </w:p>
    <w:p w14:paraId="590B748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Потеряли в воздушных боях и при штурмовке:</w:t>
      </w:r>
    </w:p>
    <w:p w14:paraId="2782716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ИАП - 7 самолетов</w:t>
      </w:r>
    </w:p>
    <w:p w14:paraId="5245D62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272 " - 12 "</w:t>
      </w:r>
    </w:p>
    <w:p w14:paraId="5C35B6E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429 " - 9 "</w:t>
      </w:r>
    </w:p>
    <w:p w14:paraId="13B6140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них: 5 самолетов разбились при неудачных посадках.</w:t>
      </w:r>
    </w:p>
    <w:p w14:paraId="4B2C450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 потеряли в воздухных боях и при штурмовке - 23 с-та</w:t>
      </w:r>
    </w:p>
    <w:p w14:paraId="7C605B7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Погибло летчиков:</w:t>
      </w:r>
    </w:p>
    <w:p w14:paraId="17A1696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21 ИАП"е - 6</w:t>
      </w:r>
    </w:p>
    <w:p w14:paraId="26555C6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272 " - 10</w:t>
      </w:r>
    </w:p>
    <w:p w14:paraId="33C78A6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429 " - 3 </w:t>
      </w:r>
    </w:p>
    <w:p w14:paraId="091666B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Летчик 429 ИАП тов. РОМАНОВ при помощи "тарана" сбил самолет "Юнкерс-88", при этом самолет тов. РОМАНОВА также разбился,сам остался жив.</w:t>
      </w:r>
    </w:p>
    <w:p w14:paraId="3B6F62A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Бой как с истребителями, так и с бомбардировщиками в большинстве происходит на высотах до 3000 метров, штурмов</w:t>
      </w:r>
      <w:r w:rsidRPr="00640820">
        <w:rPr>
          <w:rFonts w:ascii="Times New Roman" w:hAnsi="Times New Roman"/>
          <w:color w:val="000000" w:themeColor="text1"/>
          <w:sz w:val="16"/>
          <w:szCs w:val="16"/>
        </w:rPr>
        <w:softHyphen/>
        <w:t>ка бреющим полетом на высотах 50-100 метров.</w:t>
      </w:r>
    </w:p>
    <w:p w14:paraId="3B27A6C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Самолет ЛАГГ-3 хорошо справляется с задачей штурмовки и нападением на бомбардировщиков, но слаб против немец</w:t>
      </w:r>
      <w:r w:rsidRPr="00640820">
        <w:rPr>
          <w:rFonts w:ascii="Times New Roman" w:hAnsi="Times New Roman"/>
          <w:color w:val="000000" w:themeColor="text1"/>
          <w:sz w:val="16"/>
          <w:szCs w:val="16"/>
        </w:rPr>
        <w:softHyphen/>
        <w:t>ких истребителей, особенно, против "Хенкель-113" в силу слабой своей маневренности и скоропод"емности.</w:t>
      </w:r>
    </w:p>
    <w:p w14:paraId="7B354C5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Один ЛАГГ- против двух "Хенкель-113" активно бой вести не может.</w:t>
      </w:r>
    </w:p>
    <w:p w14:paraId="46BFC7E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период с 16/Х. по 22/Х - машины возвращались из боя со следующими повреждениями:...</w:t>
      </w:r>
    </w:p>
    <w:p w14:paraId="4665D33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ОТЗЫВЫ ЛЕТЧИКОВ О МАШИНЕ.</w:t>
      </w:r>
    </w:p>
    <w:p w14:paraId="4B6407E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ПОЛОЖИТЕЛЬНЫЕ.</w:t>
      </w:r>
    </w:p>
    <w:p w14:paraId="5790ABA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Машина сильна вооружением. По вооружению эта маши</w:t>
      </w:r>
      <w:r w:rsidRPr="00640820">
        <w:rPr>
          <w:rFonts w:ascii="Times New Roman" w:hAnsi="Times New Roman"/>
          <w:color w:val="000000" w:themeColor="text1"/>
          <w:sz w:val="16"/>
          <w:szCs w:val="16"/>
        </w:rPr>
        <w:softHyphen/>
        <w:t>на на первом месте среди всех остальных самолетов. Воору</w:t>
      </w:r>
      <w:r w:rsidRPr="00640820">
        <w:rPr>
          <w:rFonts w:ascii="Times New Roman" w:hAnsi="Times New Roman"/>
          <w:color w:val="000000" w:themeColor="text1"/>
          <w:sz w:val="16"/>
          <w:szCs w:val="16"/>
        </w:rPr>
        <w:softHyphen/>
        <w:t>жение работает безотказно. Воздуха на вооружение достаточ</w:t>
      </w:r>
      <w:r w:rsidRPr="00640820">
        <w:rPr>
          <w:rFonts w:ascii="Times New Roman" w:hAnsi="Times New Roman"/>
          <w:color w:val="000000" w:themeColor="text1"/>
          <w:sz w:val="16"/>
          <w:szCs w:val="16"/>
        </w:rPr>
        <w:softHyphen/>
        <w:t>но.</w:t>
      </w:r>
    </w:p>
    <w:p w14:paraId="6415BAA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Машина живуча - не горит, при наличии большого ко</w:t>
      </w:r>
      <w:r w:rsidRPr="00640820">
        <w:rPr>
          <w:rFonts w:ascii="Times New Roman" w:hAnsi="Times New Roman"/>
          <w:color w:val="000000" w:themeColor="text1"/>
          <w:sz w:val="16"/>
          <w:szCs w:val="16"/>
        </w:rPr>
        <w:softHyphen/>
        <w:t>личества пробоин в конструкции - прочность сохраняется.</w:t>
      </w:r>
    </w:p>
    <w:p w14:paraId="30A646C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Машина имеет большой об"ем бензина, в этом ее особая ценность.</w:t>
      </w:r>
    </w:p>
    <w:p w14:paraId="75F5026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Машина не трудна в посадке.</w:t>
      </w:r>
    </w:p>
    <w:p w14:paraId="536ADEC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Амортизация шасси и костыля одна из лучших.Шасси прочно.</w:t>
      </w:r>
    </w:p>
    <w:p w14:paraId="45F211C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Наличие люка в фюзеляже дает возможность перево</w:t>
      </w:r>
      <w:r w:rsidRPr="00640820">
        <w:rPr>
          <w:rFonts w:ascii="Times New Roman" w:hAnsi="Times New Roman"/>
          <w:color w:val="000000" w:themeColor="text1"/>
          <w:sz w:val="16"/>
          <w:szCs w:val="16"/>
        </w:rPr>
        <w:softHyphen/>
        <w:t>зить на самолете по одному человеку из обслуживающего технического персонала.</w:t>
      </w:r>
    </w:p>
    <w:p w14:paraId="72A1A93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ОТРИЦАТЕЛЬНЫЕ.</w:t>
      </w:r>
    </w:p>
    <w:p w14:paraId="3EE537E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Машина тяжела - мала скоропод"емность и слабо обладает маневром по сравнению с 110 и "Хенкаль-113".</w:t>
      </w:r>
    </w:p>
    <w:p w14:paraId="7A9DCD0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На многих машинах пониженная горизонтальная скорость, особенно после 20-30 часов работы мотора, скорость самолете снижается приблизительно на 20 км/час.</w:t>
      </w:r>
    </w:p>
    <w:p w14:paraId="12CEEC3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ТРЕБОВАНИЕ ЛЕТНОГО СОСТАВА ЧАСТЕЙ</w:t>
      </w:r>
    </w:p>
    <w:p w14:paraId="2748EB3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 На машине должно быть обязательно три огневых точки: одна пушка и два "БС".</w:t>
      </w:r>
    </w:p>
    <w:p w14:paraId="3373C89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 летчики выразили негодование и возмущение про</w:t>
      </w:r>
      <w:r w:rsidRPr="00640820">
        <w:rPr>
          <w:rFonts w:ascii="Times New Roman" w:hAnsi="Times New Roman"/>
          <w:color w:val="000000" w:themeColor="text1"/>
          <w:sz w:val="16"/>
          <w:szCs w:val="16"/>
        </w:rPr>
        <w:softHyphen/>
        <w:t>тив двухточечного варианта, т.е.одной пушки и одного БС, Даже при налиии "РС". Летчики говорят: "мы ставим под сомнение мероприятия двух-точечного варианта - это не в интересах фронта”</w:t>
      </w:r>
    </w:p>
    <w:p w14:paraId="7BE3F4A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Все. машины довести до 3000 кг.только не за счет сокращения огня и бензина, а за счет снятия лишнего обо</w:t>
      </w:r>
      <w:r w:rsidRPr="00640820">
        <w:rPr>
          <w:rFonts w:ascii="Times New Roman" w:hAnsi="Times New Roman"/>
          <w:color w:val="000000" w:themeColor="text1"/>
          <w:sz w:val="16"/>
          <w:szCs w:val="16"/>
        </w:rPr>
        <w:softHyphen/>
        <w:t>рудования, ликвидации консервации ВИАМ-БЗ и облегчения отдельных частей конструкции.</w:t>
      </w:r>
    </w:p>
    <w:p w14:paraId="732D2DF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Сущее твущий на машиных до 8 серии об"ем бензи</w:t>
      </w:r>
      <w:r w:rsidRPr="00640820">
        <w:rPr>
          <w:rFonts w:ascii="Times New Roman" w:hAnsi="Times New Roman"/>
          <w:color w:val="000000" w:themeColor="text1"/>
          <w:sz w:val="16"/>
          <w:szCs w:val="16"/>
        </w:rPr>
        <w:softHyphen/>
        <w:t>на сохранить.</w:t>
      </w:r>
    </w:p>
    <w:p w14:paraId="2749364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4. Обязательно ставить РС.</w:t>
      </w:r>
    </w:p>
    <w:p w14:paraId="3EB3D14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Обязательно оборудовать самолет предкрылками. Обвиняют главного конструктора и директора завода в нежелании ставить предкрылки.</w:t>
      </w:r>
    </w:p>
    <w:p w14:paraId="137167D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ОБОРУДОВАНИЕ.ПРИБОРЫ И ДЕТАЛИ, ПОДЛЕЖАЩИЕ СНЯТИЮ С САМОЛЕТА.</w:t>
      </w:r>
    </w:p>
    <w:p w14:paraId="00A8858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Летчики и техники, исходя из практики боевой работы на самолете ЛАГГ-3, предложили снять с самолета как лиш</w:t>
      </w:r>
      <w:r w:rsidRPr="00640820">
        <w:rPr>
          <w:rFonts w:ascii="Times New Roman" w:hAnsi="Times New Roman"/>
          <w:color w:val="000000" w:themeColor="text1"/>
          <w:sz w:val="16"/>
          <w:szCs w:val="16"/>
        </w:rPr>
        <w:softHyphen/>
        <w:t>нее и ненужное оборудование и приботы следующие: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2610"/>
      </w:tblGrid>
      <w:tr w:rsidR="00643896" w:rsidRPr="00640820" w14:paraId="0C3D4A42" w14:textId="77777777" w:rsidTr="000D3BCB">
        <w:tc>
          <w:tcPr>
            <w:tcW w:w="4788" w:type="dxa"/>
            <w:tcBorders>
              <w:top w:val="single" w:sz="12" w:space="0" w:color="auto"/>
            </w:tcBorders>
          </w:tcPr>
          <w:p w14:paraId="5C178C9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Манометр шасси</w:t>
            </w:r>
          </w:p>
        </w:tc>
        <w:tc>
          <w:tcPr>
            <w:tcW w:w="2610" w:type="dxa"/>
            <w:tcBorders>
              <w:top w:val="single" w:sz="12" w:space="0" w:color="auto"/>
            </w:tcBorders>
          </w:tcPr>
          <w:p w14:paraId="0E7A7DE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 я т ь</w:t>
            </w:r>
          </w:p>
        </w:tc>
      </w:tr>
      <w:tr w:rsidR="00643896" w:rsidRPr="00640820" w14:paraId="1E944CE3" w14:textId="77777777" w:rsidTr="000D3BCB">
        <w:tc>
          <w:tcPr>
            <w:tcW w:w="4788" w:type="dxa"/>
          </w:tcPr>
          <w:p w14:paraId="26568E0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Вольтметр</w:t>
            </w:r>
          </w:p>
        </w:tc>
        <w:tc>
          <w:tcPr>
            <w:tcW w:w="2610" w:type="dxa"/>
          </w:tcPr>
          <w:p w14:paraId="6194A53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 я т ь</w:t>
            </w:r>
          </w:p>
        </w:tc>
      </w:tr>
      <w:tr w:rsidR="00643896" w:rsidRPr="00640820" w14:paraId="234D74AB" w14:textId="77777777" w:rsidTr="000D3BCB">
        <w:tc>
          <w:tcPr>
            <w:tcW w:w="4788" w:type="dxa"/>
          </w:tcPr>
          <w:p w14:paraId="3A5662A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Заливной бачек</w:t>
            </w:r>
          </w:p>
        </w:tc>
        <w:tc>
          <w:tcPr>
            <w:tcW w:w="2610" w:type="dxa"/>
          </w:tcPr>
          <w:p w14:paraId="1F127CE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 я т ь</w:t>
            </w:r>
          </w:p>
        </w:tc>
      </w:tr>
      <w:tr w:rsidR="00643896" w:rsidRPr="00640820" w14:paraId="7205E0DA" w14:textId="77777777" w:rsidTr="000D3BCB">
        <w:tc>
          <w:tcPr>
            <w:tcW w:w="4788" w:type="dxa"/>
          </w:tcPr>
          <w:p w14:paraId="6D818F0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Альвейер (бензонасос)</w:t>
            </w:r>
          </w:p>
        </w:tc>
        <w:tc>
          <w:tcPr>
            <w:tcW w:w="2610" w:type="dxa"/>
          </w:tcPr>
          <w:p w14:paraId="1E59B1C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заменить простым насосом</w:t>
            </w:r>
          </w:p>
        </w:tc>
      </w:tr>
      <w:tr w:rsidR="00643896" w:rsidRPr="00640820" w14:paraId="7D63E74E" w14:textId="77777777" w:rsidTr="000D3BCB">
        <w:tc>
          <w:tcPr>
            <w:tcW w:w="4788" w:type="dxa"/>
          </w:tcPr>
          <w:p w14:paraId="669008E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Вентиляцию кабины</w:t>
            </w:r>
          </w:p>
        </w:tc>
        <w:tc>
          <w:tcPr>
            <w:tcW w:w="2610" w:type="dxa"/>
          </w:tcPr>
          <w:p w14:paraId="3EB33E2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 я т ь</w:t>
            </w:r>
          </w:p>
        </w:tc>
      </w:tr>
      <w:tr w:rsidR="00643896" w:rsidRPr="00640820" w14:paraId="767F5934" w14:textId="77777777" w:rsidTr="000D3BCB">
        <w:tc>
          <w:tcPr>
            <w:tcW w:w="4788" w:type="dxa"/>
          </w:tcPr>
          <w:p w14:paraId="7CADA1A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Компрессор (воздушный)</w:t>
            </w:r>
          </w:p>
        </w:tc>
        <w:tc>
          <w:tcPr>
            <w:tcW w:w="2610" w:type="dxa"/>
          </w:tcPr>
          <w:p w14:paraId="2C20844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 я т ь</w:t>
            </w:r>
          </w:p>
        </w:tc>
      </w:tr>
      <w:tr w:rsidR="00643896" w:rsidRPr="00640820" w14:paraId="44C8E1AA" w14:textId="77777777" w:rsidTr="000D3BCB">
        <w:tc>
          <w:tcPr>
            <w:tcW w:w="4788" w:type="dxa"/>
          </w:tcPr>
          <w:p w14:paraId="0E8E0FB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Заливной насос ("ВЛЕТ")</w:t>
            </w:r>
          </w:p>
        </w:tc>
        <w:tc>
          <w:tcPr>
            <w:tcW w:w="2610" w:type="dxa"/>
          </w:tcPr>
          <w:p w14:paraId="7AFC86B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заменить насосом по типу с-та "ЯК"</w:t>
            </w:r>
          </w:p>
        </w:tc>
      </w:tr>
      <w:tr w:rsidR="00643896" w:rsidRPr="00640820" w14:paraId="0BE2E27F" w14:textId="77777777" w:rsidTr="000D3BCB">
        <w:tc>
          <w:tcPr>
            <w:tcW w:w="4788" w:type="dxa"/>
          </w:tcPr>
          <w:p w14:paraId="6985FFD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Задний обзор</w:t>
            </w:r>
          </w:p>
        </w:tc>
        <w:tc>
          <w:tcPr>
            <w:tcW w:w="2610" w:type="dxa"/>
          </w:tcPr>
          <w:p w14:paraId="54B3AC3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 я т ь</w:t>
            </w:r>
          </w:p>
        </w:tc>
      </w:tr>
      <w:tr w:rsidR="00643896" w:rsidRPr="00640820" w14:paraId="4A2D239B" w14:textId="77777777" w:rsidTr="000D3BCB">
        <w:tc>
          <w:tcPr>
            <w:tcW w:w="4788" w:type="dxa"/>
          </w:tcPr>
          <w:p w14:paraId="1A17E92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Ракетный пистолет</w:t>
            </w:r>
          </w:p>
        </w:tc>
        <w:tc>
          <w:tcPr>
            <w:tcW w:w="2610" w:type="dxa"/>
          </w:tcPr>
          <w:p w14:paraId="2258F7F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 я т ь</w:t>
            </w:r>
          </w:p>
        </w:tc>
      </w:tr>
      <w:tr w:rsidR="00643896" w:rsidRPr="00640820" w14:paraId="644439EE" w14:textId="77777777" w:rsidTr="000D3BCB">
        <w:tc>
          <w:tcPr>
            <w:tcW w:w="4788" w:type="dxa"/>
          </w:tcPr>
          <w:p w14:paraId="40BBD49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Ручная помпа шасси</w:t>
            </w:r>
          </w:p>
        </w:tc>
        <w:tc>
          <w:tcPr>
            <w:tcW w:w="2610" w:type="dxa"/>
          </w:tcPr>
          <w:p w14:paraId="00D7723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поставить воздушно-аварийный</w:t>
            </w:r>
          </w:p>
        </w:tc>
      </w:tr>
      <w:tr w:rsidR="00643896" w:rsidRPr="00640820" w14:paraId="1247A99D" w14:textId="77777777" w:rsidTr="000D3BCB">
        <w:tc>
          <w:tcPr>
            <w:tcW w:w="4788" w:type="dxa"/>
          </w:tcPr>
          <w:p w14:paraId="286F5CE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Аптечка</w:t>
            </w:r>
          </w:p>
        </w:tc>
        <w:tc>
          <w:tcPr>
            <w:tcW w:w="2610" w:type="dxa"/>
          </w:tcPr>
          <w:p w14:paraId="534B7EA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перенести в фюзеляж</w:t>
            </w:r>
          </w:p>
        </w:tc>
      </w:tr>
      <w:tr w:rsidR="00643896" w:rsidRPr="00640820" w14:paraId="459D694E" w14:textId="77777777" w:rsidTr="000D3BCB">
        <w:tc>
          <w:tcPr>
            <w:tcW w:w="4788" w:type="dxa"/>
          </w:tcPr>
          <w:p w14:paraId="62429BB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Манометр воздуха на 40 атм. (на доске приборов)</w:t>
            </w:r>
          </w:p>
        </w:tc>
        <w:tc>
          <w:tcPr>
            <w:tcW w:w="2610" w:type="dxa"/>
          </w:tcPr>
          <w:p w14:paraId="305B9CD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 я т ь</w:t>
            </w:r>
          </w:p>
        </w:tc>
      </w:tr>
      <w:tr w:rsidR="00643896" w:rsidRPr="00640820" w14:paraId="03D8810F" w14:textId="77777777" w:rsidTr="000D3BCB">
        <w:tc>
          <w:tcPr>
            <w:tcW w:w="4788" w:type="dxa"/>
          </w:tcPr>
          <w:p w14:paraId="42DDB6D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Редуктор на 25 атм. в системе перезарядки пушки</w:t>
            </w:r>
          </w:p>
        </w:tc>
        <w:tc>
          <w:tcPr>
            <w:tcW w:w="2610" w:type="dxa"/>
          </w:tcPr>
          <w:p w14:paraId="4EBB55D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 я т ь</w:t>
            </w:r>
          </w:p>
        </w:tc>
      </w:tr>
      <w:tr w:rsidR="00643896" w:rsidRPr="00640820" w14:paraId="6790D61F" w14:textId="77777777" w:rsidTr="000D3BCB">
        <w:tc>
          <w:tcPr>
            <w:tcW w:w="4788" w:type="dxa"/>
          </w:tcPr>
          <w:p w14:paraId="23DBC42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Щиток над генератором</w:t>
            </w:r>
          </w:p>
        </w:tc>
        <w:tc>
          <w:tcPr>
            <w:tcW w:w="2610" w:type="dxa"/>
          </w:tcPr>
          <w:p w14:paraId="41013D1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 я т ь</w:t>
            </w:r>
          </w:p>
        </w:tc>
      </w:tr>
      <w:tr w:rsidR="00643896" w:rsidRPr="00640820" w14:paraId="15EC771B" w14:textId="77777777" w:rsidTr="000D3BCB">
        <w:tc>
          <w:tcPr>
            <w:tcW w:w="4788" w:type="dxa"/>
          </w:tcPr>
          <w:p w14:paraId="3A73436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Пожарный кран</w:t>
            </w:r>
          </w:p>
        </w:tc>
        <w:tc>
          <w:tcPr>
            <w:tcW w:w="2610" w:type="dxa"/>
          </w:tcPr>
          <w:p w14:paraId="72ED554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 я т ь</w:t>
            </w:r>
          </w:p>
        </w:tc>
      </w:tr>
      <w:tr w:rsidR="00643896" w:rsidRPr="00640820" w14:paraId="6C6AFC1B" w14:textId="77777777" w:rsidTr="000D3BCB">
        <w:tc>
          <w:tcPr>
            <w:tcW w:w="4788" w:type="dxa"/>
          </w:tcPr>
          <w:p w14:paraId="2BA20E3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Боченки, соединяющие водяные трубки</w:t>
            </w:r>
          </w:p>
        </w:tc>
        <w:tc>
          <w:tcPr>
            <w:tcW w:w="2610" w:type="dxa"/>
          </w:tcPr>
          <w:p w14:paraId="030831C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 я т ь</w:t>
            </w:r>
          </w:p>
        </w:tc>
      </w:tr>
      <w:tr w:rsidR="00643896" w:rsidRPr="00640820" w14:paraId="1A7323DF" w14:textId="77777777" w:rsidTr="000D3BCB">
        <w:tc>
          <w:tcPr>
            <w:tcW w:w="4788" w:type="dxa"/>
          </w:tcPr>
          <w:p w14:paraId="5F567CF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Насос для подкачки колес</w:t>
            </w:r>
          </w:p>
        </w:tc>
        <w:tc>
          <w:tcPr>
            <w:tcW w:w="2610" w:type="dxa"/>
          </w:tcPr>
          <w:p w14:paraId="1404E28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 шт.на 10 машин</w:t>
            </w:r>
          </w:p>
        </w:tc>
      </w:tr>
      <w:tr w:rsidR="00643896" w:rsidRPr="00640820" w14:paraId="2E81A835" w14:textId="77777777" w:rsidTr="000D3BCB">
        <w:tc>
          <w:tcPr>
            <w:tcW w:w="4788" w:type="dxa"/>
          </w:tcPr>
          <w:p w14:paraId="4E33D8C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Патронные ящики</w:t>
            </w:r>
          </w:p>
        </w:tc>
        <w:tc>
          <w:tcPr>
            <w:tcW w:w="2610" w:type="dxa"/>
          </w:tcPr>
          <w:p w14:paraId="3610686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 комл.на 10 маш.</w:t>
            </w:r>
          </w:p>
        </w:tc>
      </w:tr>
      <w:tr w:rsidR="00643896" w:rsidRPr="00640820" w14:paraId="1DA9E59D" w14:textId="77777777" w:rsidTr="000D3BCB">
        <w:tc>
          <w:tcPr>
            <w:tcW w:w="4788" w:type="dxa"/>
            <w:tcBorders>
              <w:bottom w:val="single" w:sz="12" w:space="0" w:color="auto"/>
            </w:tcBorders>
          </w:tcPr>
          <w:p w14:paraId="3F1ED7F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Килородное оборудование</w:t>
            </w:r>
          </w:p>
        </w:tc>
        <w:tc>
          <w:tcPr>
            <w:tcW w:w="2610" w:type="dxa"/>
            <w:tcBorders>
              <w:bottom w:val="single" w:sz="12" w:space="0" w:color="auto"/>
            </w:tcBorders>
          </w:tcPr>
          <w:p w14:paraId="1D4FE8F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частях ни когда не пользовались</w:t>
            </w:r>
          </w:p>
        </w:tc>
      </w:tr>
    </w:tbl>
    <w:p w14:paraId="19DA784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ПРЕДЛОЖЕНИЯ ЛЕТНОГО СОСТАВА И ТЕХНИЧЕСКОГО- ЧАСТЕЙ</w:t>
      </w:r>
    </w:p>
    <w:p w14:paraId="6D43FC4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Установить зеркало в кабине для заднего обзора.</w:t>
      </w:r>
    </w:p>
    <w:p w14:paraId="6431FF2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Необходимо ставить бронещиток под сиденье, особен</w:t>
      </w:r>
      <w:r w:rsidRPr="00640820">
        <w:rPr>
          <w:rFonts w:ascii="Times New Roman" w:hAnsi="Times New Roman"/>
          <w:color w:val="000000" w:themeColor="text1"/>
          <w:sz w:val="16"/>
          <w:szCs w:val="16"/>
        </w:rPr>
        <w:softHyphen/>
        <w:t>но важно при штурмовках.</w:t>
      </w:r>
    </w:p>
    <w:p w14:paraId="6D15EFB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Желательно установить планшетку для карты.</w:t>
      </w:r>
    </w:p>
    <w:p w14:paraId="7D99AE3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Желательно иметь с"емный бронещиток на нижней части водорадиатора (для штурмовок).</w:t>
      </w:r>
    </w:p>
    <w:p w14:paraId="0BBE896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Желательно по одному РО с каждой стороны направить назад.</w:t>
      </w:r>
    </w:p>
    <w:p w14:paraId="27AAA25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Защита кабины от пороховых газов не обязательна.</w:t>
      </w:r>
    </w:p>
    <w:p w14:paraId="5821CC1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Обязательно поставить бронестекло у козырька.</w:t>
      </w:r>
    </w:p>
    <w:p w14:paraId="239FD0A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В комплект - правых консолей давать больше,т.к. большинство ломаются правые консоли.</w:t>
      </w:r>
    </w:p>
    <w:p w14:paraId="4514238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Сливную пробку у водяной трубы (между куполами шасси) заменить самоварным краном.</w:t>
      </w:r>
    </w:p>
    <w:p w14:paraId="30A4E1B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Необходимо изменить форму спинной брони - развить 5 бок.а, ИЬ над головную часть.</w:t>
      </w:r>
    </w:p>
    <w:p w14:paraId="40740F3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Сообщение о нижеперечисленных нов о-введениях на машине,летчиками и техниками встречено одобрительно:</w:t>
      </w:r>
    </w:p>
    <w:p w14:paraId="3F793DE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предкрылки,</w:t>
      </w:r>
    </w:p>
    <w:p w14:paraId="294876E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Р.С.</w:t>
      </w:r>
    </w:p>
    <w:p w14:paraId="5C052C7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Лыжи (1648,42).</w:t>
      </w:r>
    </w:p>
    <w:p w14:paraId="4D86C6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672CE0B" w14:textId="77777777" w:rsidR="002A1666" w:rsidRPr="00640820" w:rsidRDefault="002A1666"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6 октября 1941 в связи с прорывом мо</w:t>
      </w:r>
      <w:r w:rsidRPr="00640820">
        <w:rPr>
          <w:color w:val="000000" w:themeColor="text1"/>
          <w:sz w:val="16"/>
          <w:szCs w:val="16"/>
        </w:rPr>
        <w:softHyphen/>
        <w:t>томеханизированных частей противника в район Двоевки остатки 33-й (6 ЛаГГ-3), в котором для проверки самолетов и вооружения в условиях боя было ЛаГГ-3 с Ш-37, после штурмовки немецких танков перелетели на аэродром Ватулино (г. Руза). К 12 октября в полку остался только один исправный самолет. Передав его в соседний полк, 33-й иап убыл в г. Арзамас для переформирования и получения новой материальной части (17500).</w:t>
      </w:r>
    </w:p>
    <w:p w14:paraId="3D5753D0" w14:textId="77777777" w:rsidR="002A1666" w:rsidRPr="00640820" w:rsidRDefault="002A1666" w:rsidP="00640820">
      <w:pPr>
        <w:spacing w:after="0" w:line="240" w:lineRule="auto"/>
        <w:jc w:val="both"/>
        <w:rPr>
          <w:rFonts w:ascii="Times New Roman" w:eastAsia="Times New Roman" w:hAnsi="Times New Roman"/>
          <w:color w:val="000000" w:themeColor="text1"/>
          <w:sz w:val="16"/>
          <w:szCs w:val="16"/>
          <w:lang w:eastAsia="ru-RU"/>
        </w:rPr>
      </w:pPr>
    </w:p>
    <w:p w14:paraId="5A3727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октября 1941 в НИИ ВВС закончились испытания одноместного одномоторного истребителя Томагаук 1 с Аллисон 4-1710-С-15, которые проходили с 14 сентября. Потом делали инструкции к 9 октября и писали отчет к 10 октября (2567,176).</w:t>
      </w:r>
    </w:p>
    <w:p w14:paraId="1102C4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246A3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октября 1941 в НИИ ВВС закончились испытания Томагаук N АН 975, которые велись с 24 сентября 1941. Это была машина, которая в числе первых 146 прибыла в Архангельск 1 сентября и которую передали в НИИ ВВС для летных испытаний и подготовки рекомендаций по эксплуатации и боевому применению. Согласно отчета НИИ это был Томагаук I, но по американской классификации машина с 6 пулеметами д.б. называться Томагаук II, промежуточный между В и С. Ви был С.Г.Фролов, а вл - А.Г.Кочетков. Сделали 33 полета, в т.ч. Архангельск-Вологда-Чкаловское - 3:20. Сделали вывод, что уступает серийным отечественным в скорости, скороподъемности и потолке. Имел слабую бронезащиту, но максимальная продолжительность полета на 500-1000 м достигала 5:18. Отметили хорошие взлетно-посадочные свойства, маневренность и простоту управления. Рекомендовали в Заключении использовать машину для патрулирования и сопровождения (3805,7).</w:t>
      </w:r>
    </w:p>
    <w:p w14:paraId="5AF3C5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4EA85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октября 1941 года был составлен Паспорт завода № 306 по состоянию на 1 сентября 1941 года</w:t>
      </w:r>
    </w:p>
    <w:p w14:paraId="441605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 Доценко</w:t>
      </w:r>
    </w:p>
    <w:p w14:paraId="1BF005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Новостройка</w:t>
      </w:r>
    </w:p>
    <w:p w14:paraId="61FE13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Характер производства – крупносерийное и массовое</w:t>
      </w:r>
    </w:p>
    <w:p w14:paraId="6B3DBD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Наименование производства – агрегатостроение</w:t>
      </w:r>
    </w:p>
    <w:p w14:paraId="3A953E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Саратов, п/я 105 (9323).</w:t>
      </w:r>
    </w:p>
    <w:p w14:paraId="0A8969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4AF23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октября 1941 года вышло постановление Совета эвакуации № 14323 СЭ, которым в октябре, ноябре и декабре 1941 года на площади завода № 125 был эвакуирован из Москвы авиазавод № 39 им. Менжинского. Директор объединенного завода Иосилович.</w:t>
      </w:r>
    </w:p>
    <w:p w14:paraId="5E02BA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дальнейшем завод № 125 именуется завод № 39.</w:t>
      </w:r>
    </w:p>
    <w:p w14:paraId="29BAAF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Слияние завода № 125, 104 и 99, эвакуация завода № 39 резко увеличило количество площадей и работающих.</w:t>
      </w:r>
    </w:p>
    <w:p w14:paraId="79DA4F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короткий период изготовления ПЕ-2 (февраль-август 1941 года) завод сумел освоить и дать ряд модификаций машины ПЕ-2, ПЕ-3, ПЕ-3 БИС наряду с полной отработкой самой машины ПЕ-2 и доведением выпуска до масштабов крупно-серийного производства.</w:t>
      </w:r>
    </w:p>
    <w:p w14:paraId="472F84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Постановлением ГОКО от 3 августа 1942 года № 2134 и приказом НКАП № 589с от 5 августа 1942 года завод получил задание осовить и запустить в серийное производство машину ИЛ-4.</w:t>
      </w:r>
    </w:p>
    <w:p w14:paraId="04F734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период изготовления ИЛ-4 заводом в 1943 году были изготовлены два опытных образца машины ИЛ-6. (Директор завода Абрамов В.И.). В сентябре 1943 года заводом было получено задание параллельно с изготовлением ИЛ-4 организовать производство машины ЕР-2.</w:t>
      </w:r>
    </w:p>
    <w:p w14:paraId="1A9CEE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этот же период наряду с изготовлением машины ЕР-2 на заводе в 1944-1945 гг. были изготовлены четыре образца пассажирского варианта ЕР-2 особого назначения (ЕР-20Н), а также несколько образцов модификаций машины ЕР-2-ЕР-2ММ.</w:t>
      </w:r>
    </w:p>
    <w:p w14:paraId="1169BC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самолетов в период 1942-1945 гг. завод согласно решения ГОКО № 1849сс от июня 1942 года для фронта изготавливал корпуса 82 мм мин (изделие М-82).</w:t>
      </w:r>
    </w:p>
    <w:p w14:paraId="207D65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Постановлением СНК от 26 февраля 1946 года № 473-192сс и приказом НКАП № 83 от 2 марта 1946 года заводу было дано задание освоить изготовление и запустить в производство машину ТУ-2. Директор – Петров.</w:t>
      </w:r>
    </w:p>
    <w:p w14:paraId="05ADEB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Головную машину ТУ-2 завод выпустил 30 июня 1947 года.</w:t>
      </w:r>
    </w:p>
    <w:p w14:paraId="7C28C6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ТУ-2 завод выпускал в течение 1947-1949 гг.</w:t>
      </w:r>
    </w:p>
    <w:p w14:paraId="434D91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Постановлением СМ № 1890-700сс от 14 мая 1949 года и приказом МАП № 374сс от 19 мая 1949 года заводу было дано новое задание по постановлке в серийное производство реактивного бомбардировщика ИЛ-28 с двумя двигателями ВК-1.</w:t>
      </w:r>
    </w:p>
    <w:p w14:paraId="11C683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сентября 1949 года все работы по запуску в производство ИЛ-28 были приостановлены в связи с изменением задания.</w:t>
      </w:r>
    </w:p>
    <w:p w14:paraId="07A123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Постановлением СМ от 28 августа 1949 года № 3654-1518сс и приказом МАП № 731сс от 16 сентября 1949 года заводу было дано новое задание по организации серийного производства самолета ТУ-14 с двумя двигателями ВК-1. (Директор Семенов М.П.).</w:t>
      </w:r>
    </w:p>
    <w:p w14:paraId="4BCAFE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Постановлением СМ от 31 декабря 1952 года № 533-2090сс и приказом МАП от 3-го января 1953 года № 6сс заводу было дано новое задание о постановке в производство нового изделия самолета ИЛ-28Р. (Жиректор завода Иванченко С.К.)</w:t>
      </w:r>
    </w:p>
    <w:p w14:paraId="459BA8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И.о. директора – Гордин</w:t>
      </w:r>
    </w:p>
    <w:p w14:paraId="7F972D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Иркутская область, п/я 411</w:t>
      </w:r>
    </w:p>
    <w:p w14:paraId="65AD5A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Производственный профиль – самолетостроение</w:t>
      </w:r>
    </w:p>
    <w:p w14:paraId="467FB9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расположен в Иркутской области в поселке Ленина, находящемся от Иркутска на расстоянии 7 км по ж/д в западном направлении и по автомобильной дороге на расстоянии 11 км. С северной стороны завода протекает Ангара на расстоянии 2,5 км (9826).</w:t>
      </w:r>
    </w:p>
    <w:p w14:paraId="2D0B2B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090DF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октября 1941 г. по приказу № 1044с для развития работ по авиационным ВРД группа А.И. Меркулова с тех. документацией, оборудованием и опытными изделиями (ВРД ДМ-1, ДМ-2, ДМ-4, ДМ-4бис, ДМ-11) переведена с завода № 482 в лабораторию № 1 ЦАГИ.</w:t>
      </w:r>
    </w:p>
    <w:p w14:paraId="70D0E5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концу 1942 г. создан Ще-2 (ведущий конструктор- И.В. Ляпин, ведупЦш по производству- В.В. Вентцель).</w:t>
      </w:r>
    </w:p>
    <w:p w14:paraId="190CBD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 приказу № 367сс от 22.06.1943 г. Щербаков освобожден от должности гл. конструктора завода № 482. В конце 1943 г. еще велись совместные работы Щербакова с ОКБ Мясищева по доводке гермокабин Як-7Б, </w:t>
      </w:r>
      <w:r w:rsidRPr="00640820">
        <w:rPr>
          <w:rFonts w:ascii="Times New Roman" w:hAnsi="Times New Roman"/>
          <w:color w:val="000000" w:themeColor="text1"/>
          <w:sz w:val="16"/>
          <w:szCs w:val="16"/>
          <w:lang w:val="en-US"/>
        </w:rPr>
        <w:t>JIa</w:t>
      </w:r>
      <w:r w:rsidRPr="00640820">
        <w:rPr>
          <w:rFonts w:ascii="Times New Roman" w:hAnsi="Times New Roman"/>
          <w:color w:val="000000" w:themeColor="text1"/>
          <w:sz w:val="16"/>
          <w:szCs w:val="16"/>
        </w:rPr>
        <w:t>-5 и Пе-2ВИ.</w:t>
      </w:r>
    </w:p>
    <w:p w14:paraId="18D32F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Затем в соответствии с пост. ГКО № 4194с от 24.09.1943 г. и приказом № 573с от 25.09.1943 г. Щербаков назначен гл. конструктором завода № 47. Тем же приказом личный состав (48 чел.), оборудование, документация и опытный образец Ще-2 № 01 к 10.1943 г. переведены на завод № 47 (11982).</w:t>
      </w:r>
    </w:p>
    <w:p w14:paraId="78D766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A9226A4" w14:textId="77777777" w:rsidR="002A1666" w:rsidRPr="00640820" w:rsidRDefault="002A1666" w:rsidP="00640820">
      <w:pPr>
        <w:pStyle w:val="Bodytext1"/>
        <w:shd w:val="clear" w:color="auto" w:fill="auto"/>
        <w:spacing w:line="240" w:lineRule="auto"/>
        <w:ind w:firstLine="0"/>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6 октября 1941 г. Приказом по НКАП конструкторскую группу Меркулова «приютила» оказавшаяся в Новосибирске 1-я лаборатория ЦАГИ, у которой, правда, производственной базы ее не было. По</w:t>
      </w:r>
      <w:r w:rsidRPr="00640820">
        <w:rPr>
          <w:rFonts w:ascii="Times New Roman" w:hAnsi="Times New Roman" w:cs="Times New Roman"/>
          <w:color w:val="000000" w:themeColor="text1"/>
          <w:sz w:val="16"/>
          <w:szCs w:val="16"/>
        </w:rPr>
        <w:softHyphen/>
        <w:t>дыскивая для Меркулова лучшее место, из многих возможных вариантов он выбрал эвакуированный в Ташкент завод №84. Это было мудрое решение, к тому же за КБ Меркулова оставалось место и на тер</w:t>
      </w:r>
      <w:r w:rsidRPr="00640820">
        <w:rPr>
          <w:rFonts w:ascii="Times New Roman" w:hAnsi="Times New Roman" w:cs="Times New Roman"/>
          <w:color w:val="000000" w:themeColor="text1"/>
          <w:sz w:val="16"/>
          <w:szCs w:val="16"/>
        </w:rPr>
        <w:softHyphen/>
        <w:t>ритории 482-го завода в Москве, чем он воспользовался сразу, как только врага от столицы отогнали.</w:t>
      </w:r>
    </w:p>
    <w:p w14:paraId="53E1533E" w14:textId="77777777" w:rsidR="002A1666" w:rsidRPr="00640820" w:rsidRDefault="002A1666" w:rsidP="00640820">
      <w:pPr>
        <w:pStyle w:val="Bodytext1"/>
        <w:shd w:val="clear" w:color="auto" w:fill="auto"/>
        <w:spacing w:line="240" w:lineRule="auto"/>
        <w:ind w:firstLine="0"/>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84-й завод имел все необходимое, получив в свое распоряжение дейст</w:t>
      </w:r>
      <w:r w:rsidRPr="00640820">
        <w:rPr>
          <w:rFonts w:ascii="Times New Roman" w:hAnsi="Times New Roman" w:cs="Times New Roman"/>
          <w:color w:val="000000" w:themeColor="text1"/>
          <w:sz w:val="16"/>
          <w:szCs w:val="16"/>
        </w:rPr>
        <w:softHyphen/>
        <w:t>вующий ремзавод «Аэрофлота» и ряд предприятий местной промышленности. Во-вторых, благодаря сравнительно мяг</w:t>
      </w:r>
      <w:r w:rsidRPr="00640820">
        <w:rPr>
          <w:rFonts w:ascii="Times New Roman" w:hAnsi="Times New Roman" w:cs="Times New Roman"/>
          <w:color w:val="000000" w:themeColor="text1"/>
          <w:sz w:val="16"/>
          <w:szCs w:val="16"/>
        </w:rPr>
        <w:softHyphen/>
        <w:t>кому и сухому климату, а также мест</w:t>
      </w:r>
      <w:r w:rsidRPr="00640820">
        <w:rPr>
          <w:rFonts w:ascii="Times New Roman" w:hAnsi="Times New Roman" w:cs="Times New Roman"/>
          <w:color w:val="000000" w:themeColor="text1"/>
          <w:sz w:val="16"/>
          <w:szCs w:val="16"/>
        </w:rPr>
        <w:softHyphen/>
        <w:t>ной пусть и не квалифицированной, но многочисленной рабсиле, завод быстро вернулся в строй, дав первый самолет уже в январе 1942 г. И, наконец, задание выпуска бомбардировщиков Ил-4 с него сняли, а за транспортные Ли-2 спрос все же был не таков, и предприятие имело возможность выделить часть мощностей на опытные работы. В начале 1942 г. оно отгрузило в Москву первую партию дви</w:t>
      </w:r>
      <w:r w:rsidRPr="00640820">
        <w:rPr>
          <w:rFonts w:ascii="Times New Roman" w:hAnsi="Times New Roman" w:cs="Times New Roman"/>
          <w:color w:val="000000" w:themeColor="text1"/>
          <w:sz w:val="16"/>
          <w:szCs w:val="16"/>
        </w:rPr>
        <w:softHyphen/>
        <w:t>гателей ДМ-4 на испытания.</w:t>
      </w:r>
    </w:p>
    <w:p w14:paraId="0643607F" w14:textId="77777777" w:rsidR="002A1666" w:rsidRPr="00640820" w:rsidRDefault="002A1666" w:rsidP="00640820">
      <w:pPr>
        <w:pStyle w:val="Bodytext1"/>
        <w:shd w:val="clear" w:color="auto" w:fill="auto"/>
        <w:spacing w:line="240" w:lineRule="auto"/>
        <w:ind w:firstLine="0"/>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Они начались в специально соору</w:t>
      </w:r>
      <w:r w:rsidRPr="00640820">
        <w:rPr>
          <w:rFonts w:ascii="Times New Roman" w:hAnsi="Times New Roman" w:cs="Times New Roman"/>
          <w:color w:val="000000" w:themeColor="text1"/>
          <w:sz w:val="16"/>
          <w:szCs w:val="16"/>
        </w:rPr>
        <w:softHyphen/>
        <w:t>женной на территории Московского ави</w:t>
      </w:r>
      <w:r w:rsidRPr="00640820">
        <w:rPr>
          <w:rFonts w:ascii="Times New Roman" w:hAnsi="Times New Roman" w:cs="Times New Roman"/>
          <w:color w:val="000000" w:themeColor="text1"/>
          <w:sz w:val="16"/>
          <w:szCs w:val="16"/>
        </w:rPr>
        <w:softHyphen/>
        <w:t>ационного института аэродинамической трубе АТ-2 со стальной проточной частью размером 17x1 м. Но она давала поток со скоростью до 180 км/ч и для дальнейших испытаний Яковлев распорядился изъять из 120-го (с 7 марта 1942 г. - 12-го гвар</w:t>
      </w:r>
      <w:r w:rsidRPr="00640820">
        <w:rPr>
          <w:rFonts w:ascii="Times New Roman" w:hAnsi="Times New Roman" w:cs="Times New Roman"/>
          <w:color w:val="000000" w:themeColor="text1"/>
          <w:sz w:val="16"/>
          <w:szCs w:val="16"/>
        </w:rPr>
        <w:softHyphen/>
        <w:t>дейского) ИАП ПВО проходивший там опытную эксплуатацию учебно-трениро</w:t>
      </w:r>
      <w:r w:rsidRPr="00640820">
        <w:rPr>
          <w:rFonts w:ascii="Times New Roman" w:hAnsi="Times New Roman" w:cs="Times New Roman"/>
          <w:color w:val="000000" w:themeColor="text1"/>
          <w:sz w:val="16"/>
          <w:szCs w:val="16"/>
        </w:rPr>
        <w:softHyphen/>
        <w:t>вочный истребитель УТИ-26, во второй кабине которого можно было оборудовать место инженера-экспериментатора.</w:t>
      </w:r>
    </w:p>
    <w:p w14:paraId="61D99BFC" w14:textId="77777777" w:rsidR="002A1666" w:rsidRPr="00640820" w:rsidRDefault="002A1666" w:rsidP="00640820">
      <w:pPr>
        <w:pStyle w:val="Bodytext1"/>
        <w:shd w:val="clear" w:color="auto" w:fill="auto"/>
        <w:spacing w:line="240" w:lineRule="auto"/>
        <w:ind w:firstLine="0"/>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Самолет проходил испытания в ЛИИ, но к сожалению, ни времени их прове</w:t>
      </w:r>
      <w:r w:rsidRPr="00640820">
        <w:rPr>
          <w:rFonts w:ascii="Times New Roman" w:hAnsi="Times New Roman" w:cs="Times New Roman"/>
          <w:color w:val="000000" w:themeColor="text1"/>
          <w:sz w:val="16"/>
          <w:szCs w:val="16"/>
        </w:rPr>
        <w:softHyphen/>
        <w:t xml:space="preserve">дения, ни подробностей автору узнать не удалось. В некоторых источниках сказано, что «из-за вибраций наблюдалась течь баков», в других говорится, что полетов с включением ПВРД не проводили, потому А.С.Я. дал распоряжение переоборудовать </w:t>
      </w:r>
      <w:r w:rsidRPr="00640820">
        <w:rPr>
          <w:rStyle w:val="BodytextBold30"/>
          <w:rFonts w:ascii="Times New Roman" w:eastAsiaTheme="minorHAnsi" w:hAnsi="Times New Roman" w:cs="Times New Roman"/>
          <w:b w:val="0"/>
          <w:color w:val="000000" w:themeColor="text1"/>
          <w:sz w:val="16"/>
          <w:szCs w:val="16"/>
        </w:rPr>
        <w:t>другой</w:t>
      </w:r>
      <w:r w:rsidRPr="00640820">
        <w:rPr>
          <w:rFonts w:ascii="Times New Roman" w:hAnsi="Times New Roman" w:cs="Times New Roman"/>
          <w:color w:val="000000" w:themeColor="text1"/>
          <w:sz w:val="16"/>
          <w:szCs w:val="16"/>
        </w:rPr>
        <w:t xml:space="preserve"> самолет для той же цели.</w:t>
      </w:r>
    </w:p>
    <w:p w14:paraId="7442070F" w14:textId="77777777" w:rsidR="002A1666" w:rsidRPr="00640820" w:rsidRDefault="002A1666" w:rsidP="00640820">
      <w:pPr>
        <w:pStyle w:val="Bodytext1"/>
        <w:shd w:val="clear" w:color="auto" w:fill="auto"/>
        <w:spacing w:line="240" w:lineRule="auto"/>
        <w:ind w:firstLine="0"/>
        <w:rPr>
          <w:rFonts w:ascii="Times New Roman" w:hAnsi="Times New Roman" w:cs="Times New Roman"/>
          <w:color w:val="000000" w:themeColor="text1"/>
          <w:sz w:val="16"/>
          <w:szCs w:val="16"/>
        </w:rPr>
      </w:pPr>
      <w:r w:rsidRPr="00640820">
        <w:rPr>
          <w:rStyle w:val="BodytextBold30"/>
          <w:rFonts w:ascii="Times New Roman" w:eastAsiaTheme="minorHAnsi" w:hAnsi="Times New Roman" w:cs="Times New Roman"/>
          <w:b w:val="0"/>
          <w:color w:val="000000" w:themeColor="text1"/>
          <w:sz w:val="16"/>
          <w:szCs w:val="16"/>
        </w:rPr>
        <w:t>Предварительные</w:t>
      </w:r>
      <w:r w:rsidRPr="00640820">
        <w:rPr>
          <w:rFonts w:ascii="Times New Roman" w:hAnsi="Times New Roman" w:cs="Times New Roman"/>
          <w:color w:val="000000" w:themeColor="text1"/>
          <w:sz w:val="16"/>
          <w:szCs w:val="16"/>
        </w:rPr>
        <w:t xml:space="preserve"> трубные испыта</w:t>
      </w:r>
      <w:r w:rsidRPr="00640820">
        <w:rPr>
          <w:rFonts w:ascii="Times New Roman" w:hAnsi="Times New Roman" w:cs="Times New Roman"/>
          <w:color w:val="000000" w:themeColor="text1"/>
          <w:sz w:val="16"/>
          <w:szCs w:val="16"/>
        </w:rPr>
        <w:softHyphen/>
      </w:r>
      <w:r w:rsidRPr="00640820">
        <w:rPr>
          <w:rStyle w:val="BodytextBold30"/>
          <w:rFonts w:ascii="Times New Roman" w:eastAsiaTheme="minorHAnsi" w:hAnsi="Times New Roman" w:cs="Times New Roman"/>
          <w:b w:val="0"/>
          <w:color w:val="000000" w:themeColor="text1"/>
          <w:sz w:val="16"/>
          <w:szCs w:val="16"/>
        </w:rPr>
        <w:t>ния «дополнительных</w:t>
      </w:r>
      <w:r w:rsidRPr="00640820">
        <w:rPr>
          <w:rFonts w:ascii="Times New Roman" w:hAnsi="Times New Roman" w:cs="Times New Roman"/>
          <w:color w:val="000000" w:themeColor="text1"/>
          <w:sz w:val="16"/>
          <w:szCs w:val="16"/>
        </w:rPr>
        <w:t xml:space="preserve"> моторов» ДМ-4 </w:t>
      </w:r>
      <w:r w:rsidRPr="00640820">
        <w:rPr>
          <w:rStyle w:val="BodytextBold30"/>
          <w:rFonts w:ascii="Times New Roman" w:eastAsiaTheme="minorHAnsi" w:hAnsi="Times New Roman" w:cs="Times New Roman"/>
          <w:b w:val="0"/>
          <w:color w:val="000000" w:themeColor="text1"/>
          <w:sz w:val="16"/>
          <w:szCs w:val="16"/>
        </w:rPr>
        <w:t>позволили</w:t>
      </w:r>
      <w:r w:rsidRPr="00640820">
        <w:rPr>
          <w:rFonts w:ascii="Times New Roman" w:hAnsi="Times New Roman" w:cs="Times New Roman"/>
          <w:color w:val="000000" w:themeColor="text1"/>
          <w:sz w:val="16"/>
          <w:szCs w:val="16"/>
        </w:rPr>
        <w:t xml:space="preserve"> наметить ряд важных направ</w:t>
      </w:r>
      <w:r w:rsidRPr="00640820">
        <w:rPr>
          <w:rFonts w:ascii="Times New Roman" w:hAnsi="Times New Roman" w:cs="Times New Roman"/>
          <w:color w:val="000000" w:themeColor="text1"/>
          <w:sz w:val="16"/>
          <w:szCs w:val="16"/>
        </w:rPr>
        <w:softHyphen/>
      </w:r>
      <w:r w:rsidRPr="00640820">
        <w:rPr>
          <w:rStyle w:val="BodytextBold30"/>
          <w:rFonts w:ascii="Times New Roman" w:eastAsiaTheme="minorHAnsi" w:hAnsi="Times New Roman" w:cs="Times New Roman"/>
          <w:b w:val="0"/>
          <w:color w:val="000000" w:themeColor="text1"/>
          <w:sz w:val="16"/>
          <w:szCs w:val="16"/>
        </w:rPr>
        <w:t>лений их</w:t>
      </w:r>
      <w:r w:rsidRPr="00640820">
        <w:rPr>
          <w:rFonts w:ascii="Times New Roman" w:hAnsi="Times New Roman" w:cs="Times New Roman"/>
          <w:color w:val="000000" w:themeColor="text1"/>
          <w:sz w:val="16"/>
          <w:szCs w:val="16"/>
        </w:rPr>
        <w:t xml:space="preserve"> совершенствования и, прежде </w:t>
      </w:r>
      <w:r w:rsidRPr="00640820">
        <w:rPr>
          <w:rStyle w:val="BodytextBold30"/>
          <w:rFonts w:ascii="Times New Roman" w:eastAsiaTheme="minorHAnsi" w:hAnsi="Times New Roman" w:cs="Times New Roman"/>
          <w:b w:val="0"/>
          <w:color w:val="000000" w:themeColor="text1"/>
          <w:sz w:val="16"/>
          <w:szCs w:val="16"/>
        </w:rPr>
        <w:t>всего, повысить</w:t>
      </w:r>
      <w:r w:rsidRPr="00640820">
        <w:rPr>
          <w:rFonts w:ascii="Times New Roman" w:hAnsi="Times New Roman" w:cs="Times New Roman"/>
          <w:color w:val="000000" w:themeColor="text1"/>
          <w:sz w:val="16"/>
          <w:szCs w:val="16"/>
        </w:rPr>
        <w:t xml:space="preserve"> полноту сгорания то</w:t>
      </w:r>
      <w:r w:rsidRPr="00640820">
        <w:rPr>
          <w:rFonts w:ascii="Times New Roman" w:hAnsi="Times New Roman" w:cs="Times New Roman"/>
          <w:color w:val="000000" w:themeColor="text1"/>
          <w:sz w:val="16"/>
          <w:szCs w:val="16"/>
        </w:rPr>
        <w:softHyphen/>
      </w:r>
      <w:r w:rsidRPr="00640820">
        <w:rPr>
          <w:rStyle w:val="BodytextBold30"/>
          <w:rFonts w:ascii="Times New Roman" w:eastAsiaTheme="minorHAnsi" w:hAnsi="Times New Roman" w:cs="Times New Roman"/>
          <w:b w:val="0"/>
          <w:color w:val="000000" w:themeColor="text1"/>
          <w:sz w:val="16"/>
          <w:szCs w:val="16"/>
        </w:rPr>
        <w:t>плива и экономичность</w:t>
      </w:r>
      <w:r w:rsidRPr="00640820">
        <w:rPr>
          <w:rFonts w:ascii="Times New Roman" w:hAnsi="Times New Roman" w:cs="Times New Roman"/>
          <w:color w:val="000000" w:themeColor="text1"/>
          <w:sz w:val="16"/>
          <w:szCs w:val="16"/>
        </w:rPr>
        <w:t xml:space="preserve"> двигателя, что </w:t>
      </w:r>
      <w:r w:rsidRPr="00640820">
        <w:rPr>
          <w:rStyle w:val="BodytextBold30"/>
          <w:rFonts w:ascii="Times New Roman" w:eastAsiaTheme="minorHAnsi" w:hAnsi="Times New Roman" w:cs="Times New Roman"/>
          <w:b w:val="0"/>
          <w:color w:val="000000" w:themeColor="text1"/>
          <w:sz w:val="16"/>
          <w:szCs w:val="16"/>
        </w:rPr>
        <w:t>открывало пути к</w:t>
      </w:r>
      <w:r w:rsidRPr="00640820">
        <w:rPr>
          <w:rFonts w:ascii="Times New Roman" w:hAnsi="Times New Roman" w:cs="Times New Roman"/>
          <w:color w:val="000000" w:themeColor="text1"/>
          <w:sz w:val="16"/>
          <w:szCs w:val="16"/>
        </w:rPr>
        <w:t xml:space="preserve"> увеличению дальности </w:t>
      </w:r>
      <w:r w:rsidRPr="00640820">
        <w:rPr>
          <w:rStyle w:val="BodytextBold30"/>
          <w:rFonts w:ascii="Times New Roman" w:eastAsiaTheme="minorHAnsi" w:hAnsi="Times New Roman" w:cs="Times New Roman"/>
          <w:b w:val="0"/>
          <w:color w:val="000000" w:themeColor="text1"/>
          <w:sz w:val="16"/>
          <w:szCs w:val="16"/>
        </w:rPr>
        <w:t>и продолжительности</w:t>
      </w:r>
      <w:r w:rsidRPr="00640820">
        <w:rPr>
          <w:rFonts w:ascii="Times New Roman" w:hAnsi="Times New Roman" w:cs="Times New Roman"/>
          <w:color w:val="000000" w:themeColor="text1"/>
          <w:sz w:val="16"/>
          <w:szCs w:val="16"/>
        </w:rPr>
        <w:t xml:space="preserve"> полета, которые пока</w:t>
      </w:r>
      <w:r w:rsidRPr="00640820">
        <w:rPr>
          <w:rStyle w:val="BodytextBold30"/>
          <w:rFonts w:ascii="Times New Roman" w:eastAsiaTheme="minorHAnsi" w:hAnsi="Times New Roman" w:cs="Times New Roman"/>
          <w:b w:val="0"/>
          <w:color w:val="000000" w:themeColor="text1"/>
          <w:sz w:val="16"/>
          <w:szCs w:val="16"/>
        </w:rPr>
        <w:t xml:space="preserve"> не</w:t>
      </w:r>
      <w:r w:rsidRPr="00640820">
        <w:rPr>
          <w:rFonts w:ascii="Times New Roman" w:hAnsi="Times New Roman" w:cs="Times New Roman"/>
          <w:color w:val="000000" w:themeColor="text1"/>
          <w:sz w:val="16"/>
          <w:szCs w:val="16"/>
        </w:rPr>
        <w:t xml:space="preserve"> устраивали Заказчика. Однако </w:t>
      </w:r>
      <w:r w:rsidRPr="00640820">
        <w:rPr>
          <w:rStyle w:val="BodytextBold30"/>
          <w:rFonts w:ascii="Times New Roman" w:eastAsiaTheme="minorHAnsi" w:hAnsi="Times New Roman" w:cs="Times New Roman"/>
          <w:b w:val="0"/>
          <w:color w:val="000000" w:themeColor="text1"/>
          <w:sz w:val="16"/>
          <w:szCs w:val="16"/>
        </w:rPr>
        <w:t>в период между</w:t>
      </w:r>
      <w:r w:rsidRPr="00640820">
        <w:rPr>
          <w:rFonts w:ascii="Times New Roman" w:hAnsi="Times New Roman" w:cs="Times New Roman"/>
          <w:color w:val="000000" w:themeColor="text1"/>
          <w:sz w:val="16"/>
          <w:szCs w:val="16"/>
        </w:rPr>
        <w:t xml:space="preserve"> весной 1942 г., когда прошли</w:t>
      </w:r>
      <w:r w:rsidRPr="00640820">
        <w:rPr>
          <w:rStyle w:val="BodytextBold30"/>
          <w:rFonts w:ascii="Times New Roman" w:eastAsiaTheme="minorHAnsi" w:hAnsi="Times New Roman" w:cs="Times New Roman"/>
          <w:b w:val="0"/>
          <w:color w:val="000000" w:themeColor="text1"/>
          <w:sz w:val="16"/>
          <w:szCs w:val="16"/>
        </w:rPr>
        <w:t xml:space="preserve"> первые</w:t>
      </w:r>
      <w:r w:rsidRPr="00640820">
        <w:rPr>
          <w:rFonts w:ascii="Times New Roman" w:hAnsi="Times New Roman" w:cs="Times New Roman"/>
          <w:color w:val="000000" w:themeColor="text1"/>
          <w:sz w:val="16"/>
          <w:szCs w:val="16"/>
        </w:rPr>
        <w:t xml:space="preserve"> включения ПВРД в аэ</w:t>
      </w:r>
      <w:r w:rsidRPr="00640820">
        <w:rPr>
          <w:rFonts w:ascii="Times New Roman" w:hAnsi="Times New Roman" w:cs="Times New Roman"/>
          <w:color w:val="000000" w:themeColor="text1"/>
          <w:sz w:val="16"/>
          <w:szCs w:val="16"/>
        </w:rPr>
        <w:softHyphen/>
      </w:r>
      <w:r w:rsidRPr="00640820">
        <w:rPr>
          <w:rStyle w:val="BodytextBold30"/>
          <w:rFonts w:ascii="Times New Roman" w:eastAsiaTheme="minorHAnsi" w:hAnsi="Times New Roman" w:cs="Times New Roman"/>
          <w:b w:val="0"/>
          <w:color w:val="000000" w:themeColor="text1"/>
          <w:sz w:val="16"/>
          <w:szCs w:val="16"/>
        </w:rPr>
        <w:t>родинамической</w:t>
      </w:r>
      <w:r w:rsidRPr="00640820">
        <w:rPr>
          <w:rFonts w:ascii="Times New Roman" w:hAnsi="Times New Roman" w:cs="Times New Roman"/>
          <w:color w:val="000000" w:themeColor="text1"/>
          <w:sz w:val="16"/>
          <w:szCs w:val="16"/>
        </w:rPr>
        <w:t xml:space="preserve"> трубе, и осенью того же года, когда началось проектирование аг</w:t>
      </w:r>
      <w:r w:rsidRPr="00640820">
        <w:rPr>
          <w:rFonts w:ascii="Times New Roman" w:hAnsi="Times New Roman" w:cs="Times New Roman"/>
          <w:color w:val="000000" w:themeColor="text1"/>
          <w:sz w:val="16"/>
          <w:szCs w:val="16"/>
        </w:rPr>
        <w:softHyphen/>
        <w:t>регатов Як-7Р</w:t>
      </w:r>
      <w:r w:rsidRPr="00640820">
        <w:rPr>
          <w:rStyle w:val="BodytextBold30"/>
          <w:rFonts w:ascii="Times New Roman" w:eastAsiaTheme="minorHAnsi" w:hAnsi="Times New Roman" w:cs="Times New Roman"/>
          <w:b w:val="0"/>
          <w:color w:val="000000" w:themeColor="text1"/>
          <w:sz w:val="16"/>
          <w:szCs w:val="16"/>
        </w:rPr>
        <w:t xml:space="preserve"> и</w:t>
      </w:r>
      <w:r w:rsidRPr="00640820">
        <w:rPr>
          <w:rFonts w:ascii="Times New Roman" w:hAnsi="Times New Roman" w:cs="Times New Roman"/>
          <w:color w:val="000000" w:themeColor="text1"/>
          <w:sz w:val="16"/>
          <w:szCs w:val="16"/>
        </w:rPr>
        <w:t xml:space="preserve"> было принято решение о летной их отработке на новом самолете- лаборатории, кое-что произошло (17742).</w:t>
      </w:r>
    </w:p>
    <w:p w14:paraId="2415B599" w14:textId="77777777" w:rsidR="002A1666" w:rsidRPr="00640820" w:rsidRDefault="002A1666" w:rsidP="00640820">
      <w:pPr>
        <w:spacing w:after="0" w:line="240" w:lineRule="auto"/>
        <w:jc w:val="both"/>
        <w:rPr>
          <w:rFonts w:ascii="Times New Roman" w:eastAsia="Times New Roman" w:hAnsi="Times New Roman"/>
          <w:color w:val="000000" w:themeColor="text1"/>
          <w:sz w:val="16"/>
          <w:szCs w:val="16"/>
          <w:lang w:eastAsia="ru-RU"/>
        </w:rPr>
      </w:pPr>
    </w:p>
    <w:p w14:paraId="6FE47ED4"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2BE27976"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A5A73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октября 1941 года постановлением ГКО № 734 Челябинский тракторный завод был переименован в Кировский завод Наркомтанкопрома в Челябинске (ЧКЗ). Этот завод, прозванный в народе "Танкоградом", стал главным производителем тяжелых танков и САУ вплоть до конца Великой Отечественной войны. (3862).</w:t>
      </w:r>
    </w:p>
    <w:p w14:paraId="6B19EB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C6C476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октября 1941 года вышел приказ № 51сс НКТП</w:t>
      </w:r>
    </w:p>
    <w:p w14:paraId="40FCBD7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исполнение постановления ГКО № 743сс от 4 октября 1941 года:</w:t>
      </w:r>
    </w:p>
    <w:p w14:paraId="3AFC95A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Переименовать:</w:t>
      </w:r>
    </w:p>
    <w:p w14:paraId="07052BD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Челябинский тракторный завод им. Сталина в Кировский завод и именовать его в дальнейшем “Кировский завод НКТП в Челябинске”.</w:t>
      </w:r>
    </w:p>
    <w:p w14:paraId="6C6E9AB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Уральский завод тяжелого машиностроения им. Серго Орджоникидзе в Ижорский завод и именовать его в дальнейшем “Ижорский завод НКТП в Свердловске”.</w:t>
      </w:r>
    </w:p>
    <w:p w14:paraId="6A3305C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Организовать в НКТП комбинат по производству танков КВ, включив в его состав заводы: Кировский (бывш. ЧТЗ), Ижорский (бывш. Уралмашзавод) и Уралтурбозавод (6033, 35).</w:t>
      </w:r>
    </w:p>
    <w:p w14:paraId="427150E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3A5F54" w14:textId="77777777" w:rsidR="00165A9C" w:rsidRPr="00640820" w:rsidRDefault="00165A9C" w:rsidP="00640820">
      <w:pPr>
        <w:pStyle w:val="a3"/>
        <w:rPr>
          <w:color w:val="000000" w:themeColor="text1"/>
          <w:lang w:val="ru-RU"/>
        </w:rPr>
      </w:pPr>
      <w:r w:rsidRPr="00640820">
        <w:rPr>
          <w:color w:val="000000" w:themeColor="text1"/>
          <w:lang w:val="ru-RU"/>
        </w:rPr>
        <w:t>6 октября 1941 г. по предло</w:t>
      </w:r>
      <w:r w:rsidRPr="00640820">
        <w:rPr>
          <w:color w:val="000000" w:themeColor="text1"/>
          <w:lang w:val="ru-RU"/>
        </w:rPr>
        <w:softHyphen/>
        <w:t>жению самого И.В. Сталина название Челябинский тракторный завод им. Сталина было официально заменено на «Кировский завод» (ЧКЗ).</w:t>
      </w:r>
    </w:p>
    <w:p w14:paraId="2A67DB14" w14:textId="77777777" w:rsidR="00165A9C" w:rsidRPr="00640820" w:rsidRDefault="00165A9C" w:rsidP="00640820">
      <w:pPr>
        <w:pStyle w:val="a3"/>
        <w:rPr>
          <w:color w:val="000000" w:themeColor="text1"/>
          <w:lang w:val="ru-RU"/>
        </w:rPr>
      </w:pPr>
      <w:r w:rsidRPr="00640820">
        <w:rPr>
          <w:color w:val="000000" w:themeColor="text1"/>
          <w:lang w:val="ru-RU"/>
        </w:rPr>
        <w:t>Следует отметить, что характер производства на Кировском заводе в Ленинграде и на тракторном заводе в Челябинске существенно различался Если производственный коллектив в Ленинграде складывался годами, а станочный парк и другое оборудование имели в основ</w:t>
      </w:r>
      <w:r w:rsidRPr="00640820">
        <w:rPr>
          <w:color w:val="000000" w:themeColor="text1"/>
          <w:lang w:val="ru-RU"/>
        </w:rPr>
        <w:softHyphen/>
        <w:t>ном универсальный характер, то в Челябинске работа была организована с использованием рабочих-операторов невысокой квалификации, а в составе станочного парка находилось много станков-автоматов и полуавтоматов.</w:t>
      </w:r>
    </w:p>
    <w:p w14:paraId="6D4C65A1" w14:textId="77777777" w:rsidR="00165A9C" w:rsidRPr="00640820" w:rsidRDefault="00165A9C" w:rsidP="00640820">
      <w:pPr>
        <w:pStyle w:val="a3"/>
        <w:rPr>
          <w:color w:val="000000" w:themeColor="text1"/>
          <w:lang w:val="ru-RU"/>
        </w:rPr>
      </w:pPr>
      <w:r w:rsidRPr="00640820">
        <w:rPr>
          <w:color w:val="000000" w:themeColor="text1"/>
          <w:lang w:val="ru-RU"/>
        </w:rPr>
        <w:t>Реорганизация рабочего процесса и осво</w:t>
      </w:r>
      <w:r w:rsidRPr="00640820">
        <w:rPr>
          <w:color w:val="000000" w:themeColor="text1"/>
          <w:lang w:val="ru-RU"/>
        </w:rPr>
        <w:softHyphen/>
        <w:t>ение нового вида продукции осуществлялись параллельно. Выбирались оптимальные тех</w:t>
      </w:r>
      <w:r w:rsidRPr="00640820">
        <w:rPr>
          <w:color w:val="000000" w:themeColor="text1"/>
          <w:lang w:val="ru-RU"/>
        </w:rPr>
        <w:softHyphen/>
        <w:t>нологические маршруты движения деталей. Это потребовало коренного изменения раз</w:t>
      </w:r>
      <w:r w:rsidRPr="00640820">
        <w:rPr>
          <w:color w:val="000000" w:themeColor="text1"/>
          <w:lang w:val="ru-RU"/>
        </w:rPr>
        <w:softHyphen/>
        <w:t>мещения станочного и иного оборудования, выстраивания его по принципу последова</w:t>
      </w:r>
      <w:r w:rsidRPr="00640820">
        <w:rPr>
          <w:color w:val="000000" w:themeColor="text1"/>
          <w:lang w:val="ru-RU"/>
        </w:rPr>
        <w:softHyphen/>
        <w:t>тельности операций в поточные линии. Гран</w:t>
      </w:r>
      <w:r w:rsidRPr="00640820">
        <w:rPr>
          <w:color w:val="000000" w:themeColor="text1"/>
          <w:lang w:val="ru-RU"/>
        </w:rPr>
        <w:softHyphen/>
        <w:t>диозная по масштабам работа проводилась (а это главное!) одновременно с наращива</w:t>
      </w:r>
      <w:r w:rsidRPr="00640820">
        <w:rPr>
          <w:color w:val="000000" w:themeColor="text1"/>
          <w:lang w:val="ru-RU"/>
        </w:rPr>
        <w:softHyphen/>
        <w:t>нием серийного выпуска танков.</w:t>
      </w:r>
    </w:p>
    <w:p w14:paraId="26E3C9C0" w14:textId="77777777" w:rsidR="00165A9C" w:rsidRPr="00640820" w:rsidRDefault="00165A9C" w:rsidP="00640820">
      <w:pPr>
        <w:pStyle w:val="a3"/>
        <w:rPr>
          <w:color w:val="000000" w:themeColor="text1"/>
          <w:lang w:val="ru-RU"/>
        </w:rPr>
      </w:pPr>
      <w:r w:rsidRPr="00640820">
        <w:rPr>
          <w:color w:val="000000" w:themeColor="text1"/>
          <w:lang w:val="ru-RU"/>
        </w:rPr>
        <w:t>Работа ряда подразделений конструкто</w:t>
      </w:r>
      <w:r w:rsidRPr="00640820">
        <w:rPr>
          <w:color w:val="000000" w:themeColor="text1"/>
          <w:lang w:val="ru-RU"/>
        </w:rPr>
        <w:softHyphen/>
        <w:t>ров была направлена на решение неотложных задач. В частности, коррекции подлежали и типовые технологические процессы (замена механической обработки на штамповку, рас</w:t>
      </w:r>
      <w:r w:rsidRPr="00640820">
        <w:rPr>
          <w:color w:val="000000" w:themeColor="text1"/>
          <w:lang w:val="ru-RU"/>
        </w:rPr>
        <w:softHyphen/>
        <w:t>ширение применения электросварки, упро</w:t>
      </w:r>
      <w:r w:rsidRPr="00640820">
        <w:rPr>
          <w:color w:val="000000" w:themeColor="text1"/>
          <w:lang w:val="ru-RU"/>
        </w:rPr>
        <w:softHyphen/>
        <w:t>щение конструкции с заменой остродефи</w:t>
      </w:r>
      <w:r w:rsidRPr="00640820">
        <w:rPr>
          <w:color w:val="000000" w:themeColor="text1"/>
          <w:lang w:val="ru-RU"/>
        </w:rPr>
        <w:softHyphen/>
        <w:t>цитных материалов на более доступные и т.д.). На ЧКЗ впервые в широких масштабах применили высокочастотную закалку рабочих поверхностей стальных деталей, что позво</w:t>
      </w:r>
      <w:r w:rsidRPr="00640820">
        <w:rPr>
          <w:color w:val="000000" w:themeColor="text1"/>
          <w:lang w:val="ru-RU"/>
        </w:rPr>
        <w:softHyphen/>
        <w:t>лило уменьшить потребление высоколегиро</w:t>
      </w:r>
      <w:r w:rsidRPr="00640820">
        <w:rPr>
          <w:color w:val="000000" w:themeColor="text1"/>
          <w:lang w:val="ru-RU"/>
        </w:rPr>
        <w:softHyphen/>
        <w:t>ванных сплавов.</w:t>
      </w:r>
    </w:p>
    <w:p w14:paraId="0BBF92C2" w14:textId="77777777" w:rsidR="00165A9C" w:rsidRPr="00640820" w:rsidRDefault="00165A9C" w:rsidP="00640820">
      <w:pPr>
        <w:pStyle w:val="a3"/>
        <w:rPr>
          <w:color w:val="000000" w:themeColor="text1"/>
          <w:lang w:val="ru-RU"/>
        </w:rPr>
      </w:pPr>
      <w:r w:rsidRPr="00640820">
        <w:rPr>
          <w:color w:val="000000" w:themeColor="text1"/>
          <w:lang w:val="ru-RU"/>
        </w:rPr>
        <w:t>Упомянутые выше мероприятия способ</w:t>
      </w:r>
      <w:r w:rsidRPr="00640820">
        <w:rPr>
          <w:color w:val="000000" w:themeColor="text1"/>
          <w:lang w:val="ru-RU"/>
        </w:rPr>
        <w:softHyphen/>
        <w:t>ствовали непрерывному повышению произво</w:t>
      </w:r>
      <w:r w:rsidRPr="00640820">
        <w:rPr>
          <w:color w:val="000000" w:themeColor="text1"/>
          <w:lang w:val="ru-RU"/>
        </w:rPr>
        <w:softHyphen/>
        <w:t>дительности труда, обеспечивали выпуск тан</w:t>
      </w:r>
      <w:r w:rsidRPr="00640820">
        <w:rPr>
          <w:color w:val="000000" w:themeColor="text1"/>
          <w:lang w:val="ru-RU"/>
        </w:rPr>
        <w:softHyphen/>
        <w:t>ков надлежащего качества (12619).</w:t>
      </w:r>
    </w:p>
    <w:p w14:paraId="4F6DE54E" w14:textId="77777777" w:rsidR="00165A9C" w:rsidRPr="00640820" w:rsidRDefault="00165A9C" w:rsidP="00640820">
      <w:pPr>
        <w:pStyle w:val="a3"/>
        <w:rPr>
          <w:color w:val="000000" w:themeColor="text1"/>
          <w:lang w:val="ru-RU"/>
        </w:rPr>
      </w:pPr>
    </w:p>
    <w:p w14:paraId="4602D07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октября 1941 года главный инженер завода № 112 Кузьмин направил начальнику БТУ следующее письмо:</w:t>
      </w:r>
    </w:p>
    <w:p w14:paraId="7503DA4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«Письмами № 27с от 20 сентября и № 31с от 29 сентября военпред Красной Армии Белов поставил вопрос перед заводом о проведении зимнего камуфлирования танков. Конструкторский отдел завода приступил к этой работе, но ввиду отсутствия соответствующих специалистов и какого-либо опыта по данному вопросу, работа может затянуться и не привести к наилучшим результатам, возможно достигнутых другим заводом или организацией в этой области.</w:t>
      </w:r>
    </w:p>
    <w:p w14:paraId="2FDA352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Полагая, что уже в финскую кампанию имелась необходимость к зимнему камуфлированию танков, и возможно накоплен достаточный опыт в этом деле, просим Вас дать распоряжение о высылке нам имеющихся материалов по камуфляжу танка или указать организации, у которых мы могли бы получить соответствующие материалы.</w:t>
      </w:r>
    </w:p>
    <w:p w14:paraId="6136052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мы считаем, что было бы более целесообразно, ввиду специфичности вопроса, поручить его проработку параллельно или самостоятельно каким-либо из соответствующих научных организаций» (12217).</w:t>
      </w:r>
    </w:p>
    <w:p w14:paraId="70700619"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14A6ECFD" w14:textId="77777777" w:rsidR="002A1666" w:rsidRPr="00640820" w:rsidRDefault="002A166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6 октября 1941 г. Семенов - командир танковой роты, которая была сформирована из боевых машин парка танковой роты и парка музейных и трофейных машин НИ Полигона ГАБТУ КА на основании распоряжения ГАБТУ КА, как и все другие командиры подразделений и частей Можайской линии обороны, получил приказ командующего Московским военным округом генерал-лейтенанта П.А. Артемьева о приведении роты в полную боевую готовность и выдвижении в указанный район. В связи с тем, что во время боевой подготовки танки Т-100, Т-111, БТ-7 и БТ-ИС вышли из строя и находились в ремонте, к исходу 7 октября 1941 г. в районе Новосурино (4 км юго-западнее Можайска), были сосредоточены только пять танков: плавающий – Т-40, два легких – Т-26, два средних – А-20 и Т-29. Из состава отдельной танковой роты в этом районе также находились: самоходная артиллерийская установка АТ-1, два бронеавтомобиля БА-10, бронеавтомобиль БА-20, семь грузовых автомобилей и две ремонтные летучки (танкоремонтные мастерские). </w:t>
      </w:r>
    </w:p>
    <w:p w14:paraId="62DE5BC8" w14:textId="77777777" w:rsidR="002A1666" w:rsidRPr="00640820" w:rsidRDefault="002A166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Такое срочное выдвижение частей из московского и других гарнизонов на усиление Можайского рубежа обороны было вызвано тем, что после начатого 30 сентября 1941 г. на брянском и 2 октября на вяземском направлениях немецко-фашистскими войсками наступления на Москву и окружения противником значительных сил Красной Армии в районе Вязьмы и южнее Брянска на подступах к Москве создалась крайне опасная обстановка. </w:t>
      </w:r>
    </w:p>
    <w:p w14:paraId="0773F881" w14:textId="77777777" w:rsidR="002A1666" w:rsidRPr="00640820" w:rsidRDefault="002A166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Москва совершенно неожиданно оказалась под непосредственным ударом врага. К моменту прорыва немецких танковых соединений через вяземский рубеж на всем пространстве до Можайской линии обороны не было ни промежуточных оборонительных рубежей, ни войск, способных задержать наступление рвавшихся к Москве танковых групп противника. На Можайском рубеже в начале октября имелось очень небольшое количество советских войск. Они могли противостоять лишь передовым частям группы армий «Центр», а не ее главным силам. Боеспособные соединения, которые перебрасывались к Москве с Дальнего Востока и из Средней Азии, а также резервные соединения, сформированные в Европейской части Советского Союза, спешно выдвигались к фронту, но еще находились от него на значительном расстоянии. </w:t>
      </w:r>
    </w:p>
    <w:p w14:paraId="07110F1C" w14:textId="77777777" w:rsidR="002A1666" w:rsidRPr="00640820" w:rsidRDefault="009E4004" w:rsidP="00640820">
      <w:pPr>
        <w:spacing w:after="0" w:line="240" w:lineRule="auto"/>
        <w:jc w:val="both"/>
        <w:rPr>
          <w:rFonts w:ascii="Times New Roman" w:hAnsi="Times New Roman"/>
          <w:color w:val="000000" w:themeColor="text1"/>
          <w:sz w:val="16"/>
          <w:szCs w:val="16"/>
        </w:rPr>
      </w:pPr>
      <w:hyperlink r:id="rId29" w:tgtFrame="_blank" w:history="1"/>
      <w:r w:rsidR="002A1666" w:rsidRPr="00640820">
        <w:rPr>
          <w:rFonts w:ascii="Times New Roman" w:hAnsi="Times New Roman"/>
          <w:color w:val="000000" w:themeColor="text1"/>
          <w:sz w:val="16"/>
          <w:szCs w:val="16"/>
        </w:rPr>
        <w:t xml:space="preserve">К исходу дня 7 октября 1941 г. Можайская линия обороны была приведена в боевую готовность. Заполнявшие ее войска, несмотря на свою относительную малочисленность, готовились оказать упорное сопротивление врагу. На автостраде Москва – Минск в районе Новосурино в качестве подвижного огневого резерва была готова действовать и отдельная танковая рота Семенова, а в ее составе и экипаж танка А-20. </w:t>
      </w:r>
    </w:p>
    <w:p w14:paraId="347D5906" w14:textId="77777777" w:rsidR="002A1666" w:rsidRPr="00640820" w:rsidRDefault="002A166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12 октября 1941 г. начальник Можайского боевого участка выдвинул отдельную танковую роту из района Можайска в направлении Вереи, от которой противник находился уже в 12 км. Рота вошла в состав сводного отряда под командованием начальника штаба 36-го укрепрайона полковника И.В. Кляро. 13 октября 1941 г. на рубеже Пафнутовка – Волченки (4 км юго-восточнее Вереи) экипаж танка А-20 в составе отряда участвовал в бою. </w:t>
      </w:r>
    </w:p>
    <w:p w14:paraId="47CD0954" w14:textId="77777777" w:rsidR="002A1666" w:rsidRPr="00640820" w:rsidRDefault="002A166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Во второй половине октября экипаж танка А-20 в составе отдельной танковой роты участвует в боевых действиях в районе восточнее Можайска, где к 26 – 27 октября 1941 г. было остановлено наступление противника на рубеже западнее и юго-западнее Кубинки. </w:t>
      </w:r>
    </w:p>
    <w:p w14:paraId="1FEBC6AA" w14:textId="77777777" w:rsidR="002A1666" w:rsidRPr="00640820" w:rsidRDefault="002A166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После двухнедельной передышки, 15 ноября 1941 г., пополнив свои силы, немецко-фашистские войска начали новое наступление на Москву. И снова танк А-20 участвует в боевых действиях на ближних подступах к Москве. Но уже не в составе отдельной танковой роты, а в составе 22-го танкового полка (ТП) 22-й танковой бригады (ТБр), в которую он из роты Семенова был передан во второй половине дня 28 ноября 1941 г., после того как бригада была выведена в резерв командующего 5-й армии на пополнение и доукомплектование. </w:t>
      </w:r>
    </w:p>
    <w:p w14:paraId="333137DB" w14:textId="77777777" w:rsidR="002A1666" w:rsidRPr="00640820" w:rsidRDefault="002A166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 21 часу 28 ноября 1941 г. танк А-20 вместе с еще четырьмя танками Т-34, двумя танками Т-30 и танком Т-50 находился в лесу в 1 км южнее Павловской Слободы (30 км на западе от Москвы). </w:t>
      </w:r>
    </w:p>
    <w:p w14:paraId="0238AD12" w14:textId="77777777" w:rsidR="002A1666" w:rsidRPr="00640820" w:rsidRDefault="002A166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Весь день 29 ноября 1941 г. экипаж танка А-20, как и основная часть личного состава подразделений 22-й ТБр, занимался техническим обслуживанием машины и чисткой личного оружия. </w:t>
      </w:r>
    </w:p>
    <w:p w14:paraId="53543D37" w14:textId="77777777" w:rsidR="002A1666" w:rsidRPr="00640820" w:rsidRDefault="002A166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Чтобы не допустить противника в район Павловской Слободы, 29 ноября 1941 г. на базе 22-й ТБр была создана подвижная группа под командованием подполковника И.П. Ермакова – командира 22-й ТБр. В состав группы также вошли остатки 36-го мотоциклетного полка (МЦП), 18-й ТБр и 2-го стрелкового батальона 601-го мотострелкового полка (МСП). </w:t>
      </w:r>
    </w:p>
    <w:p w14:paraId="61BD513B" w14:textId="77777777" w:rsidR="002A1666" w:rsidRPr="00640820" w:rsidRDefault="002A166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9 часов 30 ноября 1941 г. начальник штаба 22-й ТБр майор Н.П. Константинов в боевом донесении № 13, отправленном начальнику автобронетанкового отдела 5-й армии полковнику Д.И. Заеву, в частности, сообщил: </w:t>
      </w:r>
    </w:p>
    <w:p w14:paraId="36E224A4" w14:textId="77777777" w:rsidR="002A1666" w:rsidRPr="00640820" w:rsidRDefault="002A1666"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«1. Части подвижной группы в составе: 22 ТП с приданными танками 18 ТП, 18 МСПБ, 36 МЦП, 2/601 МСП, 22 разведрота, 18 разведрота, 22 зен. див. – сформированы и сосредоточены в р-не Покровское, Юрьево, Павловская Слобода. </w:t>
      </w:r>
    </w:p>
    <w:p w14:paraId="1CA48A1C" w14:textId="77777777" w:rsidR="002A1666" w:rsidRPr="00640820" w:rsidRDefault="002A1666"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&lt;...&gt;</w:t>
      </w:r>
    </w:p>
    <w:p w14:paraId="6F53288A" w14:textId="77777777" w:rsidR="002A1666" w:rsidRPr="00640820" w:rsidRDefault="002A1666"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 Части держатся в готовности действовать в направлениях: </w:t>
      </w:r>
    </w:p>
    <w:p w14:paraId="64472433" w14:textId="77777777" w:rsidR="002A1666" w:rsidRPr="00640820" w:rsidRDefault="002A1666"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1) Рождествено – Снегири, </w:t>
      </w:r>
    </w:p>
    <w:p w14:paraId="1844B24A" w14:textId="77777777" w:rsidR="002A1666" w:rsidRPr="00640820" w:rsidRDefault="002A1666"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2) Рождествено – Крюково, </w:t>
      </w:r>
    </w:p>
    <w:p w14:paraId="1E787ABB" w14:textId="77777777" w:rsidR="002A1666" w:rsidRPr="00640820" w:rsidRDefault="002A1666"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3) Покровское – Борки. </w:t>
      </w:r>
    </w:p>
    <w:p w14:paraId="0F09141B" w14:textId="77777777" w:rsidR="002A1666" w:rsidRPr="00640820" w:rsidRDefault="002A1666"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4) Покровское – Козьмино </w:t>
      </w:r>
    </w:p>
    <w:p w14:paraId="6A54FDD0" w14:textId="77777777" w:rsidR="002A1666" w:rsidRPr="00640820" w:rsidRDefault="002A1666" w:rsidP="00640820">
      <w:pPr>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10. Ведется разведка в вероятных направлениях действия бригады».</w:t>
      </w:r>
      <w:r w:rsidRPr="00640820">
        <w:rPr>
          <w:rFonts w:ascii="Times New Roman" w:hAnsi="Times New Roman"/>
          <w:color w:val="000000" w:themeColor="text1"/>
          <w:sz w:val="16"/>
          <w:szCs w:val="16"/>
        </w:rPr>
        <w:t xml:space="preserve"> </w:t>
      </w:r>
    </w:p>
    <w:p w14:paraId="599A02A2" w14:textId="77777777" w:rsidR="002A1666" w:rsidRPr="00640820" w:rsidRDefault="002A1666" w:rsidP="00640820">
      <w:pPr>
        <w:pStyle w:val="ae"/>
        <w:spacing w:before="0" w:after="0"/>
        <w:jc w:val="both"/>
        <w:rPr>
          <w:color w:val="000000" w:themeColor="text1"/>
          <w:sz w:val="16"/>
          <w:szCs w:val="16"/>
        </w:rPr>
      </w:pPr>
      <w:r w:rsidRPr="00640820">
        <w:rPr>
          <w:bCs/>
          <w:color w:val="000000" w:themeColor="text1"/>
          <w:sz w:val="16"/>
          <w:szCs w:val="16"/>
        </w:rPr>
        <w:t xml:space="preserve">[ЦАМО. Ф. 326. Оп. 5068. Д. 4. Л. 262] </w:t>
      </w:r>
    </w:p>
    <w:p w14:paraId="0463D42D" w14:textId="77777777" w:rsidR="002A1666" w:rsidRPr="00640820" w:rsidRDefault="009E4004" w:rsidP="00640820">
      <w:pPr>
        <w:spacing w:after="0" w:line="240" w:lineRule="auto"/>
        <w:jc w:val="both"/>
        <w:rPr>
          <w:rFonts w:ascii="Times New Roman" w:hAnsi="Times New Roman"/>
          <w:color w:val="000000" w:themeColor="text1"/>
          <w:sz w:val="16"/>
          <w:szCs w:val="16"/>
        </w:rPr>
      </w:pPr>
      <w:hyperlink r:id="rId30" w:tgtFrame="_blank" w:history="1"/>
      <w:r w:rsidR="002A1666" w:rsidRPr="00640820">
        <w:rPr>
          <w:rFonts w:ascii="Times New Roman" w:hAnsi="Times New Roman"/>
          <w:color w:val="000000" w:themeColor="text1"/>
          <w:sz w:val="16"/>
          <w:szCs w:val="16"/>
        </w:rPr>
        <w:t xml:space="preserve">К 16 часам 30 ноября 1941 г. 22-й ТП был пополнен двумя танками Т-34, четырьмя танками Т-60, двумя танками Т-26 и бронеавтомобилем. Все танки полка, включая и танк А-20, к исходу дня были дозаправлены ГСМ и пополнены до норм боеприпасами. </w:t>
      </w:r>
    </w:p>
    <w:p w14:paraId="04CF753A" w14:textId="77777777" w:rsidR="002A1666" w:rsidRPr="00640820" w:rsidRDefault="002A166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утра 1 декабря 1941 г. немцы на флангах обороны 108-й стрелковой дивизии 5-й армии начали наступление и, прорвав оборону Красной Армии, к вечеру заняли: Борисково, Борки, Славково, Писково, Воронино, Абушково. Подвижной группе, в составе которой находился и танк А-20, было приказано восстановить положение. Ночная атака, проведенная частями подвижной группы, увенчалась успехом. Были заняты: Покровское, Воронино, Абушково. </w:t>
      </w:r>
    </w:p>
    <w:p w14:paraId="25D0F25C" w14:textId="77777777" w:rsidR="002A1666" w:rsidRPr="00640820" w:rsidRDefault="002A166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12 часов 2 декабря 1941 г. гитлеровцы силою до двух полков пехоты с танками атаковали: Покровское, Абушково, Юрьево и Козенки. В течении всей ночи шел упорный бой. Благодаря превосходству сил, ценой больших потерь немцам удалось занять эти населенные пункты. За сутки боевых действий в 22-й танковой бригаде безвозвратно были потеряны два танка Т-60 и танк Т-50 (все сгорели). Кроме этого, были подбиты танки Т-26 и Т-34. </w:t>
      </w:r>
    </w:p>
    <w:p w14:paraId="5BEE876A" w14:textId="77777777" w:rsidR="002A1666" w:rsidRPr="00640820" w:rsidRDefault="002A166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 декабря 1941 г. танк А-20 в составе 22-й ТБр, приданной 108-й стрелковой дивизии, участвовал в наступлении в районе западнее Павловской Слободы. В течение дня боевых действий противнику удалось подбить три танка, одним из которых был танк А-20. </w:t>
      </w:r>
    </w:p>
    <w:p w14:paraId="68CDDF19" w14:textId="77777777" w:rsidR="002A1666" w:rsidRPr="00640820" w:rsidRDefault="002A166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докладной записке от 3 декабря 1941 г. своему непосредственному начальнику капитану М. Криволапову старший помощник начальника 1-го отделения автобронетанкового отдела 5-й армии капитан В.Е. Гальчин сообщил, что в подвижной группе подполковника И.П. Ермакова имелись </w:t>
      </w:r>
      <w:r w:rsidRPr="00640820">
        <w:rPr>
          <w:rFonts w:ascii="Times New Roman" w:hAnsi="Times New Roman"/>
          <w:iCs/>
          <w:color w:val="000000" w:themeColor="text1"/>
          <w:sz w:val="16"/>
          <w:szCs w:val="16"/>
        </w:rPr>
        <w:t>«на ходу: Т-34 – 7, КВ – 1, Т-26 – 2, Т-30 – 2, Т-60 – 5, БТ – 4, БА-10 – 1, ФАИ – 1, Т-50 – ремонт ?, А-20 – ремонт»</w:t>
      </w:r>
      <w:r w:rsidRPr="00640820">
        <w:rPr>
          <w:rFonts w:ascii="Times New Roman" w:hAnsi="Times New Roman"/>
          <w:color w:val="000000" w:themeColor="text1"/>
          <w:sz w:val="16"/>
          <w:szCs w:val="16"/>
        </w:rPr>
        <w:t xml:space="preserve">. </w:t>
      </w:r>
    </w:p>
    <w:p w14:paraId="3CF4AA02" w14:textId="77777777" w:rsidR="002A1666" w:rsidRPr="00640820" w:rsidRDefault="002A166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связи с тем, что полученные танком А-20 в бою повреждения устранить силами и средствами ремонтно-восстановительной роты 22-й танковой бригады не представлялось возможным, машина была эвакуирована и передана в 25-ю подвижную ремонтную базу (ПРБ) Западного фронта. В декабре 1941 г. 25-я ПРБ дислоцировалась на территории завода «Красная труба» в подмосковном посёлке Фили. Из-за отсутствия дизеля В-2 ремонт танка А-20 был завершен только весной 1942 г. </w:t>
      </w:r>
    </w:p>
    <w:p w14:paraId="112AE619" w14:textId="77777777" w:rsidR="002A1666" w:rsidRPr="00640820" w:rsidRDefault="002A166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Вот что по этому поводу рассказал бывший в то время командиром отделения монтажных работ 25-й ПРБ сержант А.В. Лунев: </w:t>
      </w:r>
    </w:p>
    <w:p w14:paraId="35C9F89E" w14:textId="77777777" w:rsidR="002A1666" w:rsidRPr="00640820" w:rsidRDefault="002A1666"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«В первые же дни войны на заводе № 183, где я работал, из числа добровольцев – рабочих и инженерно-технических работников – было укомплектовано несколько подвижных танкоремонтных баз (ПРБ). На них была возложена задача восстанавливать поврежденные машины в полевых условиях и оказывать помощь фронтовикам в освоении нового танка Т-34. </w:t>
      </w:r>
    </w:p>
    <w:p w14:paraId="20538D55" w14:textId="77777777" w:rsidR="002A1666" w:rsidRPr="00640820" w:rsidRDefault="002A1666"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&lt;...&gt;</w:t>
      </w:r>
    </w:p>
    <w:p w14:paraId="4061B7BE" w14:textId="77777777" w:rsidR="002A1666" w:rsidRPr="00640820" w:rsidRDefault="002A1666"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На изрядно разбитом, покрытом выгоревшим брезентом грузовике мы, семеро рабочих, носились по фронтовым дорогам, спешили туда, где так нужна была наша помощь. Вместе с войсками проделали тяжелый путь отступления от Смоленска к Москве. Когда наши солдаты насмерть стали на подступах к столице, мы обосновались в подмосковном посёлке Фили. Десятки отремонтированных машин были возвращены в строй, чтобы участвовать в исторической битве за Москву. </w:t>
      </w:r>
    </w:p>
    <w:p w14:paraId="7FD2C0E5" w14:textId="77777777" w:rsidR="002A1666" w:rsidRPr="00640820" w:rsidRDefault="002A1666"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Как-то в числе повреждённых танков попал в наши руки опытный образец А-20. Встреча с ним была подобна встрече со старым другом. Вспомнились горячие дни работы над созданием этой машины, совместные с конструкторами бдения над её сборкой и доводкой. </w:t>
      </w:r>
    </w:p>
    <w:p w14:paraId="533F1F54" w14:textId="77777777" w:rsidR="002A1666" w:rsidRPr="00640820" w:rsidRDefault="002A1666" w:rsidP="00640820">
      <w:pPr>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А-20 был восстановлен. С болью в душе проводил я танк за пределы посёлка, мысленно пожелав удачи в боях с фашистами. Больше мы его не встречали».</w:t>
      </w:r>
      <w:r w:rsidRPr="00640820">
        <w:rPr>
          <w:rFonts w:ascii="Times New Roman" w:hAnsi="Times New Roman"/>
          <w:color w:val="000000" w:themeColor="text1"/>
          <w:sz w:val="16"/>
          <w:szCs w:val="16"/>
        </w:rPr>
        <w:t xml:space="preserve"> </w:t>
      </w:r>
    </w:p>
    <w:p w14:paraId="37A1C962" w14:textId="77777777" w:rsidR="002A1666" w:rsidRPr="00640820" w:rsidRDefault="002A1666" w:rsidP="00640820">
      <w:pPr>
        <w:pStyle w:val="ae"/>
        <w:spacing w:before="0" w:after="0"/>
        <w:jc w:val="both"/>
        <w:rPr>
          <w:bCs/>
          <w:color w:val="000000" w:themeColor="text1"/>
          <w:sz w:val="16"/>
          <w:szCs w:val="16"/>
        </w:rPr>
      </w:pPr>
      <w:r w:rsidRPr="00640820">
        <w:rPr>
          <w:bCs/>
          <w:color w:val="000000" w:themeColor="text1"/>
          <w:sz w:val="16"/>
          <w:szCs w:val="16"/>
        </w:rPr>
        <w:t>[Т-34: путь к Победе: Воспоминания танкостроителей и танкистов. Сост.: К.М. Слободин, В.Д. Листровой,</w:t>
      </w:r>
    </w:p>
    <w:p w14:paraId="54B795B5" w14:textId="77777777" w:rsidR="002A1666" w:rsidRPr="00640820" w:rsidRDefault="002A1666" w:rsidP="00640820">
      <w:pPr>
        <w:pStyle w:val="ae"/>
        <w:spacing w:before="0" w:after="0"/>
        <w:jc w:val="both"/>
        <w:rPr>
          <w:color w:val="000000" w:themeColor="text1"/>
          <w:sz w:val="16"/>
          <w:szCs w:val="16"/>
        </w:rPr>
      </w:pPr>
      <w:r w:rsidRPr="00640820">
        <w:rPr>
          <w:bCs/>
          <w:color w:val="000000" w:themeColor="text1"/>
          <w:sz w:val="16"/>
          <w:szCs w:val="16"/>
        </w:rPr>
        <w:t>Издательство политической литературы Украины, 1989, С 194 – 195]</w:t>
      </w:r>
    </w:p>
    <w:p w14:paraId="21F72A2E" w14:textId="77777777" w:rsidR="002A1666" w:rsidRPr="00640820" w:rsidRDefault="002A166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сожалению, и мы в архивных документах не нашли никаких сведений о дальнейшей судьбе этого танка (17625).</w:t>
      </w:r>
    </w:p>
    <w:p w14:paraId="2219EFFE" w14:textId="77777777" w:rsidR="002A1666" w:rsidRPr="00640820" w:rsidRDefault="002A1666" w:rsidP="00640820">
      <w:pPr>
        <w:spacing w:after="0" w:line="240" w:lineRule="auto"/>
        <w:jc w:val="both"/>
        <w:rPr>
          <w:rFonts w:ascii="Times New Roman" w:eastAsia="Times New Roman" w:hAnsi="Times New Roman"/>
          <w:color w:val="000000" w:themeColor="text1"/>
          <w:sz w:val="16"/>
          <w:szCs w:val="16"/>
          <w:lang w:eastAsia="ru-RU"/>
        </w:rPr>
      </w:pPr>
    </w:p>
    <w:p w14:paraId="5818AF7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октября 1941 года вышел Приказ НКБ № 582</w:t>
      </w:r>
    </w:p>
    <w:p w14:paraId="4610AAB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Подчинить комбинат № 179 4 Гл. Управлению (5676, 190).</w:t>
      </w:r>
    </w:p>
    <w:p w14:paraId="0873298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0D904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октября 1941 года вышел Приказ НКБ № 584</w:t>
      </w:r>
    </w:p>
    <w:p w14:paraId="3464413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Эвакуированному из Павлограда Днепропетровской обл. в Новосибирск Павлоградскому артполигону присвоить наименование Новосибирский артполигон, включив его в состав осуществляемого в районе Новосибирска строительство полигона (5676, 196).</w:t>
      </w:r>
    </w:p>
    <w:p w14:paraId="0526C3E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3573F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октября 1941 года вышел Приказ НКБ № 585</w:t>
      </w:r>
    </w:p>
    <w:p w14:paraId="0CAEB3C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Эвакуированный из Керчи (ст. Багерово, Сталинской ж/д) Крымской АССР в Чапаевск Куйбышевской обл. Крымский Научно-исследовательский и Испытательный авиаполигон включить временно в состав Чапаевского артиллерийского полигона (5676, 199).</w:t>
      </w:r>
    </w:p>
    <w:p w14:paraId="2533CC7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378550"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20021B9E"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BEA2FCE"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6 октября 1941 УТРЕННЕЕ СООБЩЕНИЕ Совинформбюро:</w:t>
      </w:r>
    </w:p>
    <w:p w14:paraId="3238962D"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течение ночи на 6 октября наши войска вели бои с противником на всём фронте. </w:t>
      </w:r>
    </w:p>
    <w:p w14:paraId="3FE619DC"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Соединение нашей авиации, действующее на Западном направлении фронта, уничтожило 45 танков, 160 автомашин, 156 мотоциклов противника, до батальона вражеской пехоты и сбило в воздушном бою 19 немецких самолётов. </w:t>
      </w:r>
    </w:p>
    <w:p w14:paraId="797ADAC5"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Авиация Черноморского флота за один день рассеяла два батальона пехоты, уни-чтожила 6 танков, 33 бронемашины, 13 автомобилей с пехотой и 5 орудий. </w:t>
      </w:r>
    </w:p>
    <w:p w14:paraId="7927AD33"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Лётчики части командира тов. Радченко в сентябре на Северо-Западном направлении фронта сбили в воздушных боях 96 вражеских самолётов. </w:t>
      </w:r>
    </w:p>
    <w:p w14:paraId="022C84A1"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Звено лётчика лейтенанта Мещерякова поднялось в воздух, чтобы преградить путь фашистским воздушным пиратам, направлявшимся в наш тыл к городу Н. Завязался бой. Вскоре метким огнём лейтенант Мещеряков сбил вражеский бомбардировщик. Отважный лётчик атаковал второй бомбардировщик. Израсходовав боеприпасы, т. Мещеряков винтом своего самолёта перерубил рули глубины и стабилизатор вражеской машины. «Юнкерс» грохнулся на землю. Искусно маневрируя, лётчик ушёл от наседавших на него «Мессершмиттов» и благополучно совершил посадку. </w:t>
      </w:r>
    </w:p>
    <w:p w14:paraId="00E8B4C9"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Партизанский отряд, действующий под командованием одесского финансового работника тов. Н., разгромил крупный отряд румын. Дело происходило следующим образом. Советские лётчики обстреляли колонну румынской пехоты и обратили её в бегство. Одна румынская рота укрылась от огня самолётов в кукурузном поле, где и была обнаружена отрядом товарища Н. Партизаны открыли ружейно-пулемётный огонь по противнику, а затем ударили в штыки. В результате короткой ожесточённой схватки румынская рота была разгромлена. Озлобленные фашисты в тот же вечер двинули против партизан отряд пехоты с бронемашиной. Партизаны залегли и пропустили мимо себя вражеский броневик, ничем не выдав своего присутствия. Пройдя вперёд, вражеский броневик наткнулся на румынских солдат, заходивших в тыл партизанам. Броневик открыл огонь по румынам, приняв их за партизан. Воспользовавшись суматохой, партизаны обстреляла фашистов и нанесли им тяжёлые потери. Румыны отошли, оставив на поле боя много убитых и раненых. </w:t>
      </w:r>
    </w:p>
    <w:p w14:paraId="7A6C4182"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Группа югославских партизан напала на город Петровац. В Загребе в автобус, в котором находились немецкие солдаты, были брошены две гранаты. Во время взрыва ранено несколько солдат и два немецких унтер-офицера. Германский военный комендант полковник Рейхер обещал 10 тыс. марок тому, кто поможет найти виновника покушения. В связи с покушениями на немецких солдат в Загребе с 9 часов вечера запрещено всякое движение по городу. Несмотря на это, в ночь на 30 сентября на одной из улиц Загреба неизвестными лицами убиты два германских лётчика. </w:t>
      </w:r>
    </w:p>
    <w:p w14:paraId="261A1BCC"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Десятки тысяч советских женщин овладевают сложными профессиями, успешно заменяя мужчин, ушедших в ряды Красной Армии. Уборщица пункта технического осмотра вагонов станции Сортировочная Ленинской дороги Клавдия Мальцева в дни Отечественной войны овладела специальностью слесаря и освоила разборку воздухораспределителей. Сейчас она работает за двоих мужчин, ушедших на фронт. До войны на одном из заводов Тульской области обжигальщиками работали только мужчины. Теперь процесс обжига освоили т.т. Галкина, Пышная, Гриценко и Акимова. </w:t>
      </w:r>
    </w:p>
    <w:p w14:paraId="52A9266B"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вичугской фабрике «Красный Профинтерн» женщины заняли место у сложных шлихтовальных машин, заменив ушедших на фронт мужчин. Работницы т.т. Перфилова и Лебедева стали квалифицированными шлихтовальщицами. Работница тов. Тараканова освоила специальность клеевара. В Кузнецком бассейне 110 женщин работают машинистами электровозов и 218 — электрослесарями. В «Востсибугле» 17 женщин работают машинистами подъёмных машин. На Ярославской железной дороге на днях 3 женщины сдали испытания на машинистов поездов. На Ленинской дороге за время войны переподготовлено более 400 женщин, в том числе около 150 домохозяек. 8 женщин готовятся стать машинистами, 56 — помощниками машинистов, 31 — осмотрщиками вагонов (14791).</w:t>
      </w:r>
    </w:p>
    <w:p w14:paraId="3E33B163" w14:textId="77777777" w:rsidR="009F6E13" w:rsidRPr="00640820" w:rsidRDefault="009F6E13" w:rsidP="00640820">
      <w:pPr>
        <w:spacing w:after="0" w:line="240" w:lineRule="auto"/>
        <w:jc w:val="both"/>
        <w:rPr>
          <w:rFonts w:ascii="Times New Roman" w:hAnsi="Times New Roman"/>
          <w:color w:val="000000" w:themeColor="text1"/>
          <w:sz w:val="16"/>
          <w:szCs w:val="16"/>
        </w:rPr>
      </w:pPr>
    </w:p>
    <w:p w14:paraId="6028E6A0"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ОКТЯБРЯ 1941 ВЕЧЕРНЕЕ СООБЩЕНИЕ Совинформбюро:</w:t>
      </w:r>
    </w:p>
    <w:p w14:paraId="1C2462CA"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течение 6 октября наши войска вели упорные бои с противником на всём фронте. </w:t>
      </w:r>
    </w:p>
    <w:p w14:paraId="3AEEB0FB"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 4 октября в воздушных боях сбито 53 самолета и уничтожено на аэродромах 10 самолётов противника, а всего уничтожено 63 самолёта противника. Наши потери — 25 самолётов. </w:t>
      </w:r>
    </w:p>
    <w:p w14:paraId="72085F9A"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Баренцевом море потоплен немецкий транспорт. </w:t>
      </w:r>
    </w:p>
    <w:p w14:paraId="46488FA8"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Танковые подразделения части тов. Чернова во взаимодействии с бомбардировщиками авиационной части тов. Кравченко нанесли удар по немецкой танковой колонне, вклинившейся в расположение наших войск на одном из участков Западного направления фронта. В результате боя уничтожено 34 немецких танка; из них 22 разбито прямыми попаданиями бомб с наших самолётов и 12 уничтожено нашими танкистами. </w:t>
      </w:r>
    </w:p>
    <w:p w14:paraId="68BBEB7B"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Группа наших самолётов в районе пункта Р. на Юго-Западном направлении фронта 5 октября разгромила крупную танковую часть противника. Бомбардировкой нашей авиации были уничтожены 64 немецких танка, 130 автомашин с пехотой и боеприпасами, 12 орудий и 2 цистерны с горючим. Особенно отличились в этой боевой операции лётчики части майора Шишкина. </w:t>
      </w:r>
    </w:p>
    <w:p w14:paraId="0C45CA85"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Советское Информбюро публикует ниже акт о зверствах фашистских людоедов в деревне Карбовка, Погарского района, Орловской области. </w:t>
      </w:r>
    </w:p>
    <w:p w14:paraId="6C76F4F4"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«Мы, нижеподписавшиеся, председатель Карбовского сельсовета Погарского района Нужный П. П., председатель колхоза «Пролетарий» Гирлин П. М., счетовод колхоза Разуванова Т. П. и крестьяне Гирлин Б. П., Нужный В. Д. составили настоящий акт в нижеследующем: </w:t>
      </w:r>
    </w:p>
    <w:p w14:paraId="2AA02E07"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 два дня немецкие фашисты сожгли в нашей деревне Карбовке 76 крестьянских домов, две колхозных конюшни, два скотных двора, 3 амбара, 3 мельницы, школу, здание сельсовета. За это время они ограбили магазин, отобрали у населения 20 коров, 15 овец, 30 свиней, 70 гусей и 450 кур. </w:t>
      </w:r>
    </w:p>
    <w:p w14:paraId="5E127FE8"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Фашисты зверски замучили и убили 11 наших односельчан: Прокопенко Прокофия Ефимовича 65 лет, Ширкину Анастасию Тимофеевну 42 лет, Прокопенко Григория Сергеевича 67 лет, Метлицкого Григория Евдокимовича 63 лет, Метлицкую Ольгу 63 лет, Метлицкую Елизавету Никитичну 30 лет, Метлицкую Александру Васильевну 8 лет, Метлицкую Нину 2 месяцев, Гирлину Анастасию Ивановну 60 лет, Спелую Анну Захаровну 19 лет и Метлицкого Петра Евдокимовича 70 лет. </w:t>
      </w:r>
    </w:p>
    <w:p w14:paraId="06C1DE6C"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Кроме того, фашисты искалечили 6 колхозников и колхозниц. </w:t>
      </w:r>
    </w:p>
    <w:p w14:paraId="567E815E"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Подписи: П. Нужный, П. Гирлин, Т. Ра-зуванова, Б. Гирлин, В. Нужный». </w:t>
      </w:r>
    </w:p>
    <w:p w14:paraId="4E35CC76"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Пленные румынские солдаты рассказывают об огромных потерях, которые несли и несут румынские части под Одессой. Сержант 13 пехотного полка Дмитрий Ионович Антон говорит: «Наш полк прибыл на Одесский фронт 31 августа. В боях у села Петерсталь почти весь полк был уничтожен. В первом батальоне из 800 солдат и офицеров осталось не более 200. Среди убитых командир батальона. Во втором батальоне из 750 солдат и офицеров после первой атаки осталось только 80. Командир батальона Маринеску покончил с собой». Капрал 4 полка Илья Нику заявил: «В моей роте было 240 человек. После первого боя осталось не больше 50. Такое же положение во всех ротах полка». Другой пленный капрал 4 полка Тудор Даскаль сообщил: «Разгромленные румынские части сейчас получают пополнения, но это, главным образом, солдаты из хозяйственных команд и прочих нестроевых подразделений. Эти солдаты не обучены военному делу». </w:t>
      </w:r>
    </w:p>
    <w:p w14:paraId="00F1B87E"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Французские антифашисты продолжают упорную борьбу с немецкими оккупантами. В районе Аррас ими взорваны четыре мачты электропередачи, вследствие чего на заводах, захваченных немцами, была прекращена работа в течение целого дня. Железнодорожные линии вблизи ст. Аррас были повреждены несколько раз. Французские патриоты повредили железнодорожную линию между Лиллем и Дуэ. Движение поездов на этой линии было временно прекращено. В Орри-ла-Виль потерпел крушение немецкий воинский поезд, 22 вагона сошли с рельсов. На многих шахтах в Куррьер сожжены дровяные склады. На одной шахте перерезаны приводные ремни к машине, сортирующей уголь. Машина бездействовала 5 дней. На канале Дуэ взорвана плотина. В связи с этим движение остановилось на 15 дней. В лагере Варен (департамент Ионна) взорван пороховой склад. На одном заводе, изготовляющем алюминиевые листы, повреждены два прокатных стана. Завод стоял 15 дней (14791).</w:t>
      </w:r>
    </w:p>
    <w:p w14:paraId="543F6348" w14:textId="77777777" w:rsidR="009F6E13" w:rsidRPr="00640820" w:rsidRDefault="009F6E13" w:rsidP="00640820">
      <w:pPr>
        <w:spacing w:after="0" w:line="240" w:lineRule="auto"/>
        <w:jc w:val="both"/>
        <w:rPr>
          <w:rFonts w:ascii="Times New Roman" w:hAnsi="Times New Roman"/>
          <w:color w:val="000000" w:themeColor="text1"/>
          <w:sz w:val="16"/>
          <w:szCs w:val="16"/>
        </w:rPr>
      </w:pPr>
    </w:p>
    <w:p w14:paraId="0620D3A2" w14:textId="77777777" w:rsidR="00F226C1" w:rsidRPr="00640820" w:rsidRDefault="00F226C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6 октября 1941 в течение первой недели операции «Тайфун» советские ВВС совершили 700 самолето-вылетов против немецких войск, движущихся к Москве (20794).</w:t>
      </w:r>
    </w:p>
    <w:p w14:paraId="3463A513" w14:textId="77777777" w:rsidR="00F226C1" w:rsidRPr="00640820" w:rsidRDefault="00F226C1" w:rsidP="00640820">
      <w:pPr>
        <w:spacing w:after="0" w:line="240" w:lineRule="auto"/>
        <w:jc w:val="both"/>
        <w:rPr>
          <w:rFonts w:ascii="Times New Roman" w:hAnsi="Times New Roman"/>
          <w:color w:val="0070C0"/>
          <w:sz w:val="16"/>
          <w:szCs w:val="16"/>
        </w:rPr>
      </w:pPr>
    </w:p>
    <w:p w14:paraId="1ED0B3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октября 1941 девятка Ер-2 из 421 -го полка под командованием капитана Андреева бомбила неприятельскую колонну на шоссе Вихляево-Юхнов. Обратно не вернулись два экипажа: командира группы (хвостовой номер - белая "1") и лейтенанта Жильцова (голубая "1"). По отчету полка, стрелки белой "восьмерки" Балобуто и Пшеничный сбили по "Мессершмитту", еще одного вражеского истребителя сбил сержант Павлович из экипажа голубой "четверки". Погода была безоблачной, поэтому, как утверждалось в боевых донесениях, падение горящих вражеских самолетов наблюдали многие (3322,21).</w:t>
      </w:r>
    </w:p>
    <w:p w14:paraId="47749C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F967F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6 октября 1941 немцы подошли к Вязьме и прорвались вдоль Варшавского шоссе окружив Вяземскую группировку. Опять пробовали авиацию. Не помогло. 10 октября прибыл Г.К.Жуков (340,57).</w:t>
      </w:r>
    </w:p>
    <w:p w14:paraId="2B96A5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разгрома прорвавшихся войск в районы Вязьмы и Калинина командование привлекло ВВС ЗФ и РФ, часть сил 6 иак ПВО, ВВВС МВО, несколько дивизий ДБА, до 80 самолетов ВВС СЗФ и 4 полка из резерва Ставки ВГК. За 9 дней совершили 3000 вылетов для нанесения б-ш ударов (518,226).</w:t>
      </w:r>
    </w:p>
    <w:p w14:paraId="4D4A45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56196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октября 1941 в директиве Нач. штаба ВВС КА отмечалось: "наземные войска зачастую не обозначают положение передовых частей, многие авиакомандиры не считают нужным бывать на командном пункте общевойскового командира, не стремятся поддерживать с ним личную связь. Имеют место случаи, когда экипажи самолета, действую по войскам противника на поле боя, не знают линии фронта и атакуют свои войска." (518,288).</w:t>
      </w:r>
    </w:p>
    <w:p w14:paraId="7BD409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07FEE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6 по 23 октября 1941 321-м бап на Пе-2 выполнил 107 боевых вылетов и потерял 14 машин, из них </w:t>
      </w:r>
      <w:r w:rsidRPr="00640820">
        <w:rPr>
          <w:rFonts w:ascii="Times New Roman" w:hAnsi="Times New Roman"/>
          <w:color w:val="000000" w:themeColor="text1"/>
          <w:sz w:val="16"/>
          <w:szCs w:val="16"/>
          <w:lang w:val="en-US"/>
        </w:rPr>
        <w:t>II</w:t>
      </w:r>
      <w:r w:rsidRPr="00640820">
        <w:rPr>
          <w:rFonts w:ascii="Times New Roman" w:hAnsi="Times New Roman"/>
          <w:color w:val="000000" w:themeColor="text1"/>
          <w:sz w:val="16"/>
          <w:szCs w:val="16"/>
        </w:rPr>
        <w:t xml:space="preserve"> от истребителей противника, 2 в авариях и 1 в катастрофе. Основными причинами больших потерь командование считало чрезвычайно низкую подготовку летного состава, отсутствие истребительного прикрытия, выполнение полетов в неблагоприятную погоду. 24 октября полк сдал уцелевшие Пе-2 в 46-й бап и убыл на переформирование в Петровск (12042).</w:t>
      </w:r>
    </w:p>
    <w:p w14:paraId="16E1CB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F35D3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октября 1941 в 10.15 Аг 196 (бортовое обозначение СК+ГН) сбил 5 МБР-2. Другой "Арадо" (СК+РР) в 15.00 атаковал два советских гидросамолета, определенных немцами как АРК-3. Один из них был сбит, второй загорелся, но ушел в сторону моря. Советских то летчиков подняли из воды два немецких До 24 (2694).</w:t>
      </w:r>
    </w:p>
    <w:p w14:paraId="7EF47D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46D81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октября 1941 в состав 77-й авиадивизии Западного фронта вошел 606-й легкобомбардировочный полк в составе 20 самолетов Р-5. Полк был сформирован из летчиков-инструкторов и курсантов Ярославской школы штурманов. В течение месяца полк совершил более 800 боевых вылетов ночью и в условиях непогоды. Р-5 бомбили переправы и мосты через реки Угра, Ока и Протва, наносили удары по аэродромам, дорогам и скоплениям вражеских войск. Уже в ходе оборонительного сражения за Москву в действие вступили 615 и 687 авиаполки на Р-5. В период контрнаступления советских войск ночные бомбардировщики выполнили до 10% всех самолетовылетов (5016).</w:t>
      </w:r>
    </w:p>
    <w:p w14:paraId="78111D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ACBFE99" w14:textId="77777777" w:rsidR="00F226C1" w:rsidRPr="00640820" w:rsidRDefault="00F226C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6 октября 1941 г.</w:t>
      </w:r>
    </w:p>
    <w:p w14:paraId="6EF2F897" w14:textId="77777777" w:rsidR="00F226C1" w:rsidRPr="00640820" w:rsidRDefault="00F226C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ПРИКАЗ ВОЕННО-ВОЗДУШНЫМ СИЛАМ КРАСНОЙ АРМИИ № 0191 ОТ 6 ОКТЯБРЯ 1941 г. ОБ ОРГАНИЗАЦИИ СБОРА</w:t>
      </w:r>
    </w:p>
    <w:p w14:paraId="7A379DDB" w14:textId="77777777" w:rsidR="00F226C1" w:rsidRPr="00640820" w:rsidRDefault="00F226C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СТРЕЛЯНЫХ ЛАТУННЫХ ГИЛЬЗ, КОРОБОК ИЗ ОЦИНКОВАННОГО ЖЕЛЕЗА И ДЕРЕВЯННЫХ УКУПОРОЧНЫХ ящиков</w:t>
      </w:r>
    </w:p>
    <w:p w14:paraId="42AFD511" w14:textId="77777777" w:rsidR="00F226C1" w:rsidRPr="00640820" w:rsidRDefault="00F226C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Секретно</w:t>
      </w:r>
    </w:p>
    <w:p w14:paraId="6E8DC66A" w14:textId="77777777" w:rsidR="00F226C1" w:rsidRPr="00640820" w:rsidRDefault="00F226C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ПРИКАЗ</w:t>
      </w:r>
    </w:p>
    <w:p w14:paraId="5001B729" w14:textId="77777777" w:rsidR="00F226C1" w:rsidRPr="00640820" w:rsidRDefault="00F226C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ВОЕННО-ВОЗДУШНЫМ СИЛАМ КРАСНОЙ АРМИИ</w:t>
      </w:r>
    </w:p>
    <w:p w14:paraId="6CDC7409" w14:textId="77777777" w:rsidR="00F226C1" w:rsidRPr="00640820" w:rsidRDefault="00F226C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0191</w:t>
      </w:r>
    </w:p>
    <w:p w14:paraId="605C7CCC" w14:textId="77777777" w:rsidR="00F226C1" w:rsidRPr="00640820" w:rsidRDefault="00F226C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г. Москва</w:t>
      </w:r>
    </w:p>
    <w:p w14:paraId="572C7DF1" w14:textId="77777777" w:rsidR="00F226C1" w:rsidRPr="00640820" w:rsidRDefault="00F226C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Содержание. Об организации сбора стреляных латунных гильз, коробок из</w:t>
      </w:r>
    </w:p>
    <w:p w14:paraId="60E86C9A" w14:textId="77777777" w:rsidR="00F226C1" w:rsidRPr="00640820" w:rsidRDefault="00F226C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оцинкованного железа и жести и деревянных укупорочных ящиков из-под патронов</w:t>
      </w:r>
    </w:p>
    <w:p w14:paraId="4F9B38EB" w14:textId="77777777" w:rsidR="00F226C1" w:rsidRPr="00640820" w:rsidRDefault="00F226C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и звеньев.</w:t>
      </w:r>
    </w:p>
    <w:p w14:paraId="10E37B92" w14:textId="77777777" w:rsidR="00F226C1" w:rsidRPr="00640820" w:rsidRDefault="00F226C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До сих пор в авиационных частях и батальонах аэродромного обслуживания не уделяется должного внимания использованию стреляных латунных гильз, коробок из оцинкованного железа и жести и укупорочных деревянных ящиков из-под патронов и звеньев.</w:t>
      </w:r>
    </w:p>
    <w:p w14:paraId="02084E9C" w14:textId="77777777" w:rsidR="00F226C1" w:rsidRPr="00640820" w:rsidRDefault="00F226C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ПРИКАЗЫВАЮ:</w:t>
      </w:r>
    </w:p>
    <w:p w14:paraId="13BC5D7D" w14:textId="77777777" w:rsidR="00F226C1" w:rsidRPr="00640820" w:rsidRDefault="00F226C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Командующим военно-воздушнаши силами фронтов и армий:</w:t>
      </w:r>
    </w:p>
    <w:p w14:paraId="3C5B3B56" w14:textId="77777777" w:rsidR="00F226C1" w:rsidRPr="00640820" w:rsidRDefault="00F226C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 Обязать командиров частей и подразделений сдавать в батальоны аэродромного обслуживания стреляные латунные гильзы, коробки из оцинкованного железа и деревянные укупорочные ящики.</w:t>
      </w:r>
    </w:p>
    <w:p w14:paraId="13002232" w14:textId="77777777" w:rsidR="00F226C1" w:rsidRPr="00640820" w:rsidRDefault="00F226C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 Организовать через батальоны аэродромного обслуживания систематическую отправку использованных латунных гильз, коробок из оцинкованного железа и жести и деревянных ящиков в головные склады, которые по мере накопления сдавать: 20 и 23-мм латунные гильзы — на завод № 187 Наркомата боеприпасов (г. Тула), а 12,7-мм латунные гильзы — на завод № 17 Наркомата вооружения (г. Подольск).</w:t>
      </w:r>
    </w:p>
    <w:p w14:paraId="072C8460" w14:textId="77777777" w:rsidR="00F226C1" w:rsidRPr="00640820" w:rsidRDefault="00F226C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Упаковку использованных латунных гильз производить в коробки из оцинкованного железа и жести и деревянные укупорочные ящики.</w:t>
      </w:r>
    </w:p>
    <w:p w14:paraId="51DF10CB" w14:textId="77777777" w:rsidR="00F226C1" w:rsidRPr="00640820" w:rsidRDefault="00F226C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О каждой отправке доносить начальнику заказов вооружения Главного Управления Военно-воздушных сил Красной Армии и в копии —</w:t>
      </w:r>
    </w:p>
    <w:p w14:paraId="7594253E" w14:textId="77777777" w:rsidR="00F226C1" w:rsidRPr="00640820" w:rsidRDefault="00F226C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заводу.</w:t>
      </w:r>
    </w:p>
    <w:p w14:paraId="4F65B222" w14:textId="77777777" w:rsidR="00F226C1" w:rsidRPr="00640820" w:rsidRDefault="00F226C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3. Приказ ввести в действие по телеграфу.</w:t>
      </w:r>
    </w:p>
    <w:p w14:paraId="0B6FB0E0" w14:textId="77777777" w:rsidR="00F226C1" w:rsidRPr="00640820" w:rsidRDefault="00F226C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Заместитель командующего Военно-воздушными силами Красной Армии генерал-майор авиации</w:t>
      </w:r>
    </w:p>
    <w:p w14:paraId="56E131C7" w14:textId="77777777" w:rsidR="00F226C1" w:rsidRPr="00640820" w:rsidRDefault="00F226C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СОКОЛОВ-СОКОЛЕНОК</w:t>
      </w:r>
    </w:p>
    <w:p w14:paraId="183F862C" w14:textId="77777777" w:rsidR="00F226C1" w:rsidRPr="00640820" w:rsidRDefault="00F226C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Начальник штаба Военно-воздушных сил Красной Армии генерал-майор авиации</w:t>
      </w:r>
    </w:p>
    <w:p w14:paraId="580B0885" w14:textId="77777777" w:rsidR="00F226C1" w:rsidRPr="00640820" w:rsidRDefault="00F226C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ВОРОЖЕЙКИН</w:t>
      </w:r>
    </w:p>
    <w:p w14:paraId="3A52BB8C" w14:textId="77777777" w:rsidR="00F226C1" w:rsidRPr="00640820" w:rsidRDefault="00F226C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Архив ГШ. ВВС, по описи 1953 г., № 52, ч. II, д. 40, лл. 175—176 (20485).</w:t>
      </w:r>
    </w:p>
    <w:p w14:paraId="12F1AC8C" w14:textId="77777777" w:rsidR="00F226C1" w:rsidRPr="00640820" w:rsidRDefault="00F226C1" w:rsidP="00640820">
      <w:pPr>
        <w:spacing w:after="0" w:line="240" w:lineRule="auto"/>
        <w:jc w:val="both"/>
        <w:rPr>
          <w:rFonts w:ascii="Times New Roman" w:hAnsi="Times New Roman"/>
          <w:color w:val="0070C0"/>
          <w:sz w:val="16"/>
          <w:szCs w:val="16"/>
        </w:rPr>
      </w:pPr>
    </w:p>
    <w:p w14:paraId="43AD3D6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октября 1941 года командир танка Т-34 старший сержант Иван Любушкин из 4-й (впоследствии 1-й гвардейской) танковой бригады подбил в двух танковых дуэлях 9 немецких танков. За этот бой Ивану Любушкину присвоили звание Героя Советского Союза. Всего в боях за Москву экипаж Любушкина записал на свой счет 20 немецких танков. Герой Советского Союза старший сержант И. Любушкин погиб в танковом бою 30 июня 1942 года, когда во время атаки в его Т-34 попала авиабомба (12217).</w:t>
      </w:r>
    </w:p>
    <w:p w14:paraId="681AAA42"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6202852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октября 1941 г. вышло РАСПОРЯЖЕНИЕ ГОСУДАРСТВЕННОГО КОМИТЕТА ОБОРОНЫ СССР О МОБИЛИЗАЦИИ ГУСЕНИЧНЫХ ТРАКТОРОВ</w:t>
      </w:r>
    </w:p>
    <w:p w14:paraId="15BA5D6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Мобилизовать из Москвы и Московской области для Красной Армии 80 штук гусеничных тракторов.</w:t>
      </w:r>
    </w:p>
    <w:p w14:paraId="299E933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Обязать Московский совет (т. Пронина) в 2-суточный срок изъять из хозяйств Московского совета, Метростроя, сельскохозяйственной выставки, НАТИ и Тимирязевской сельскохозяйствен</w:t>
      </w:r>
      <w:r w:rsidRPr="00640820">
        <w:rPr>
          <w:rFonts w:ascii="Times New Roman" w:hAnsi="Times New Roman"/>
          <w:color w:val="000000" w:themeColor="text1"/>
          <w:sz w:val="16"/>
          <w:szCs w:val="16"/>
        </w:rPr>
        <w:softHyphen/>
        <w:t>ной академии 30 тракторов на гусеничном ходу.</w:t>
      </w:r>
    </w:p>
    <w:p w14:paraId="4382411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Обязать Мособлисполком (т. Тарасова) изъять в 2-суточный срок из колхозов и совхозов об</w:t>
      </w:r>
      <w:r w:rsidRPr="00640820">
        <w:rPr>
          <w:rFonts w:ascii="Times New Roman" w:hAnsi="Times New Roman"/>
          <w:color w:val="000000" w:themeColor="text1"/>
          <w:sz w:val="16"/>
          <w:szCs w:val="16"/>
        </w:rPr>
        <w:softHyphen/>
        <w:t>ласти 50 гусеничных тракторов.</w:t>
      </w:r>
    </w:p>
    <w:p w14:paraId="77077A8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Обязать т. Федоренко (АБТУ) обеспечить доставку этих 80 тракторов на Западный фронт (т. Жукову) в 2-дневный срок.</w:t>
      </w:r>
    </w:p>
    <w:p w14:paraId="74F453D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Председатель Государственного Комитета Обороны</w:t>
      </w:r>
    </w:p>
    <w:p w14:paraId="5C419EB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 Сталин</w:t>
      </w:r>
    </w:p>
    <w:p w14:paraId="5C71FE0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ЦАМО. Ф. 38. Оп. 11386. Д. 12. Л. 12. Копия (11211).</w:t>
      </w:r>
    </w:p>
    <w:p w14:paraId="1C2B844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7E45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October 6, 1941: Units of Heeresgruppe Mitte (von Bock) capture Brjansk on the road to Moscow (3819).</w:t>
      </w:r>
    </w:p>
    <w:p w14:paraId="233FF1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672327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октября 1941 противник занял Карачев и Брянск (340,57).</w:t>
      </w:r>
    </w:p>
    <w:p w14:paraId="4AA9CC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F1894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октября 1941 из-за слабости зенитного вооружения в боях с пикирующими бомбардировщиками противника погиб лидер "Харькова" (3898).</w:t>
      </w:r>
    </w:p>
    <w:p w14:paraId="1D1872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E006665"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00650EA8"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FEFED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октября 1941 циркуляром НКВД № 268 “в целях правильного трудового использования в условиях военного времени заключенных, бывших военнослужащих, бывших работников органов НКВД, милиции и военизированной охраны, осужденных за маловажные преступления, совершенные до 22 июня 1941 года”, предлагалось “максимально использовать их” на работе по специальности (танкистов - трактористами, шоферами, экскаваторщиками; военврачей - врачами; саперов - подрывниками; авиатехников - на обслуживании самолетов), на административно-хозяйственной работе (в качестве прорабов, десятников, комендантов лагпунтов и т. п.), в военизированной стрелковой охране (в качестве рядового состава и не более 25 процентов от общей численности охраны), в военизированной пожарной охране (рядовой и младший начсостав), в УРО (в качестве инспекторского состава и “только бывших чекистов”). При этом разрешалось расконвоировать их “с выдачей пропусков на бесконвойное хождение без ограничения маршрутов движения”, допускать проживание “вне зоны охраны”, создать лучшие бытовые условия, не ограничивать переписку и получение посылок. Допуск на работу по специальности, на административно-хозяйственных должностях и в охране давался начальником лагпунта (колонии, участка) “только по согласованию с оперуполномоченным оперативного отдела” (7560).</w:t>
      </w:r>
    </w:p>
    <w:p w14:paraId="7288F9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BDDF9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октября 1941 г. согласно Командованию 18-й армии:</w:t>
      </w:r>
    </w:p>
    <w:p w14:paraId="5DC4CC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Предприятия, мосты, а также, по-видимому, канализация, как сообщается, заминированы и подготовлены к взрыву представителями центральных органов (выделено мной — Н.Л.)</w:t>
      </w:r>
    </w:p>
    <w:p w14:paraId="61DD3F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Несмотря на широкую систему ПВО, она работает плохо. Из-за нехватки бомбоубежищ, плохой службы оповещения и безрассудства населения число жертв авианалетов велико. Противогазов не хватает. Все запасы кончились и поэтому при желании их нельзя даже купить. Можно получить только средства дезактивации.</w:t>
      </w:r>
    </w:p>
    <w:p w14:paraId="7FDF68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Архивы НКВД, милиции и политических органов сожжены еще в начале сентября. Книги квартиросъемщиков собраны и приготовлены к уничтожению в партийных ячейках.</w:t>
      </w:r>
    </w:p>
    <w:p w14:paraId="38C600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Положение со снабжением.</w:t>
      </w:r>
    </w:p>
    <w:p w14:paraId="1F0988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Трудности со снабжением возрастают постоянно. Однако пока еще рано говорить о голоде (выделено мной — Н.Л.). Для гражданского населения еще действуют нормы: 400 г хлеба для занятых на тяжелых работах, 200 г — для остального населения. Хлеб надо получать каждый день лично, для чего приходится стоять часами в очереди. Из-за воздушной тревоги, трудовой повинности и запрета выходить на улицу после наступления темноты часто эти ежедневные нормы просто невозможно отоварить. Кроме того, часто вместо 200 г выдают всего лишь 100 г (хлеба).</w:t>
      </w:r>
    </w:p>
    <w:p w14:paraId="4BBC87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Помимо хлеба населению ежемесячно положено: 400 г сахара, 500 грамм мяса, 300 грамм масла, 100 г крупы. Занятые на тяжелых работах получают больше. Мясо, овощи и, прежде всего, картофель, как сообщают, вообще более нельзя получить.</w:t>
      </w:r>
    </w:p>
    <w:p w14:paraId="1AB245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Положение с продовольствием еще более ухудшилось в результате уничтожения большого количества складов и предприятий, выпускающих продукты питания.</w:t>
      </w:r>
    </w:p>
    <w:p w14:paraId="441B2F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Снабжение дровами обеспечивается еще за счет того, что из-за угрозы пожаров были разобраны все деревянные сараи.</w:t>
      </w:r>
    </w:p>
    <w:p w14:paraId="61FC85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Из-за нехватки угля многие предприятия закрыты и переведены на укороченный рабочий день. Многие предприятия (Кировский завод) переведены на использование дров.</w:t>
      </w:r>
    </w:p>
    <w:p w14:paraId="2F8900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Водо- и электроснабжение еще в порядке, однако в Красногвардейском районе (J 8-9) многие улицы находятся под водой, так как в результате бомбардировок выведены из строя гидранты (водоразборные краны).</w:t>
      </w:r>
    </w:p>
    <w:p w14:paraId="35D641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Настроение и пропаганда.</w:t>
      </w:r>
    </w:p>
    <w:p w14:paraId="77A783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Растет число высказываний о том, что вследствие продолжающейся эвакуации из прилегающих к Петербургу районов его население выросло до 4-5 миллионов человек. Беженцев собирают на сборных пунктах (школы и общежития) и направляют на строительство баррикад. Настроение населения ухудшается с каждым днем (выделено мной — Н.Л.). Из-за обязанности работать на возведении баррикад особенно страдают женщины, поскольку их дети остаются без присмотра.</w:t>
      </w:r>
    </w:p>
    <w:p w14:paraId="707C2F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момента полной блокады города эвакуация осуществляется лишь в очень ограниченных размерах. Речь идет только о специалистах для работы на эвакуируемых предприятиях, чиновниках и партийных функционерах высокого уровня.</w:t>
      </w:r>
    </w:p>
    <w:p w14:paraId="673FC1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Оставленные в городе известные коммунисты получают новые документы с вымышленными именами.</w:t>
      </w:r>
    </w:p>
    <w:p w14:paraId="13E83D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Доля партийных функционеров в городе очень высока: они буквально пронизывают все предприятия, коммунальные службы, ПВО и формирования, призванные защищать заводы с тем, чтобы контролировать растущее недовольство всех слоев населения.</w:t>
      </w:r>
    </w:p>
    <w:p w14:paraId="4F7A38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наибольшей степени в укреплении воли населения города к сопротивлению заинтересованы евреи, которые уверены в том, что в случае взятия города их ждет смерть (выделено мной — Н.Л.). В отношении них все более распространяется угрожающее (им) настроение, так как (у населения) крепнет мнение о том, что именно они являются главной причиной катастрофы и прежде всего они повинны в продолжении обороны города.</w:t>
      </w:r>
    </w:p>
    <w:p w14:paraId="1ED14D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Несмотря на отдельные факты публичного оскорбления евреев и требования прекратить бессмысленную борьбу и т.п., советскому руководству до сих пор удается контролировать все случаи разложения. При этом оно использует чудовищный террор и пропаганду устрашения. Очевидно, что ему удалось многих убедить в том, что у немцев вовсе нет никакого намерения взять город целым, а, напротив, они хотят уничтожить население и разрушить город. Под влиянием этого у многих вновь окрепла воля к сопротивлению.</w:t>
      </w:r>
    </w:p>
    <w:p w14:paraId="5E983D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Материалы всех допросов указывают на отсутствие широкомасштабной немецкой листковой пропаганды. Она достигнет своей цели только тогда, когда листовки будут сбрасываться в огромном количестве, поскольку лишь при этих обстоятельствах нельзя будет воспрепятствовать их прочтению. В тех же случаях, когда население Петербурга находило немецкие листовки, они не достигали поставленной цели.</w:t>
      </w:r>
    </w:p>
    <w:p w14:paraId="116977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Данные, отличающиеся от ранее предоставленного военного плана города.</w:t>
      </w:r>
    </w:p>
    <w:p w14:paraId="16177A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военные командные объекты</w:t>
      </w:r>
    </w:p>
    <w:p w14:paraId="1DC520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здании № 214 (М 6) расположена часть штаба Северного фронта.</w:t>
      </w:r>
    </w:p>
    <w:p w14:paraId="2E7EBD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Запасной КП штаба Северного фронта в настоящее время находится в Колтушах (в 18 км к востоку от Петербурга), так как Карголово, которое сперва предусматривалось для этой цели, в последнее время подвергалось сильным бомбардировкам.</w:t>
      </w:r>
    </w:p>
    <w:p w14:paraId="4F312B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органы административного и партийного управления Новых данных нет.</w:t>
      </w:r>
    </w:p>
    <w:p w14:paraId="2C5A24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Предприятия снабжения.</w:t>
      </w:r>
    </w:p>
    <w:p w14:paraId="1935EF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здании 261 (О 6) находится отдел по мобилизации, укреплению, транспорту и тылу войск Северного фронта.</w:t>
      </w:r>
    </w:p>
    <w:p w14:paraId="4534CE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здании 270 (М 7) расположен отдел снабжения, распределения горючего, военного довольствия, а также санитарный и ветеринарный отделы.</w:t>
      </w:r>
    </w:p>
    <w:p w14:paraId="15DEB3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 Заводы.</w:t>
      </w:r>
    </w:p>
    <w:p w14:paraId="1B8833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установления полной блокады города дальнейшая эвакуация предприятий стала невозможной, поэтому оставшиеся заводы пытаются полностью задействовать для производства вооружений. Для этой цели используются не только собственно оборонные предприятия, а также ряд других, которые в последнее время были переоборудованы для военных целей. Наибольшее значение придается изготовлению танков всех видов. Так, на Ижорском заводе существенно увеличена продолжительность рабочего дня и увеличена производительность по производству корпусов боевых машин. В самом Петербурге главными производителями танков являются Кировский завод, завод «Большевик», завод им. Ворошилова и завод им. Ленина. Следует учитывать, что производственные мощности Кировского завода, на котором работают 45 тыс. человек, остаются все еще большими, нежели Ижорского завода. То же самое относится и к заводу «Большевик», которому был нанесен серьезный ущерб в результате бомбардировок. В своей работе эти заводы очень сильно зависят друг от друга, поскольку существует узкая специализация отдельных цехов по выпуску деталей.</w:t>
      </w:r>
    </w:p>
    <w:p w14:paraId="532887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 Ворошилова, на котором до недавнего времени выпускался танк Т 26, в настоящее время производит танки наиболее тяжелых типов.</w:t>
      </w:r>
    </w:p>
    <w:p w14:paraId="54E603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Большая часть предприятий, переоборудованных для выпуска вооружений, занимается изготовлением ручных гранат, как, например, завод «Металлист»...</w:t>
      </w:r>
    </w:p>
    <w:p w14:paraId="171190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«Красный Химик» (район 4 852) занимается изготовлением боевых отравляющих веществ.</w:t>
      </w:r>
    </w:p>
    <w:p w14:paraId="17EAF8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заводе по производству боеприпасов «Красное знамя» (К 9 398) работает 20 тыс. человек. Перебежчик выразил удивление по поводу того, что это предприятие ни разу не бомбили.</w:t>
      </w:r>
    </w:p>
    <w:p w14:paraId="2C40D6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«МОПР» (I 8 256) выпускает мины и гранаты.</w:t>
      </w:r>
    </w:p>
    <w:p w14:paraId="4E77B6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«Красный Октябрь» переименован в завод № 134 (Н 7 396). На нем изготовляются корпуса для танков и автомобили. К настоящему времени пострадали следующие предприятия: завод им. Ленина, Кировский завод, завод им. Марти или верфи (тяжелые танки).</w:t>
      </w:r>
    </w:p>
    <w:p w14:paraId="61AEE8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разрушены или повреждены некоторые продовольственные склады и предприятия, в частности, мясокомбинат, хлебозавод, Ба-даевские склады, завод по производству маргарина и т.д.</w:t>
      </w:r>
    </w:p>
    <w:p w14:paraId="0E2869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Склады.</w:t>
      </w:r>
    </w:p>
    <w:p w14:paraId="3F60B6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Гостином Дворе (N 7) на углу проспекта 25-го Октября и улицы 3-го июля находится продовольственный складN 10 814).</w:t>
      </w:r>
    </w:p>
    <w:p w14:paraId="7C346F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Склад бензина (Е 6 150 м на запад от железнодорожного моста). Склад аэродрома (F 4-5 301). Очевидно, этот аэродром не разрушен. Бомбовый удар был нанесен по расположенному рядом рынку, в результате чего было много жертв.</w:t>
      </w:r>
    </w:p>
    <w:p w14:paraId="02B01B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Данные об отклонениях от карты оборонительных сооружений масштаба 1:50.000</w:t>
      </w:r>
    </w:p>
    <w:p w14:paraId="392D15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Бункеры: проспект К. Маркса — угол Флюгова переулка (F 7) проспект К. Маркса — угол ул. Батенина (Н 7)</w:t>
      </w:r>
    </w:p>
    <w:p w14:paraId="1193B3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Лесной пр. — угол ул. Батенина (Н 7).</w:t>
      </w:r>
    </w:p>
    <w:p w14:paraId="6A6B61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этого, есть бункеры на этих проспектах.</w:t>
      </w:r>
    </w:p>
    <w:p w14:paraId="348349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Национальный Архив США. Командование 18-й армии. Отдел 1с. Микро-фильм.Т-312/1579 — 908-12 (11814).</w:t>
      </w:r>
    </w:p>
    <w:p w14:paraId="2B9A86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2382F68"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207F90C9"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8E226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октября 1941 года</w:t>
      </w:r>
    </w:p>
    <w:p w14:paraId="76FEAC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ЛИЧНОЕ ПОСЛАНИЕ ОТ г-на ЧЕРЧИЛЛЯ г-ну СТАЛИНУ</w:t>
      </w:r>
    </w:p>
    <w:p w14:paraId="231B37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 был рад узнать от лорда Бивербрука об успехе трехсторонней конференции, состоявшейся в Москве. “Bis dat qui cito dat” “Вдвойне дает тот, кто дает скоро” (латинское изречение). Мы намерены обеспечить непрерывный цикл конвоев , которые будут отправляться с промежутками в десять дней. Следующие грузы находятся уже в пути и прибудут в Архангельск 12 октября: 20 тяжелых танков, 193 истребителя (предоктябрьской квоты). Следующие грузы отправляются 12 октября и намечены к доставке 29-го: 140 тяжелых танков, 100 самолетов типа “Харрикейн”, 200 транспортеров для пулеметов типа “Брен”, 200 противотанковых ружей с патронами, 50 пушек калибром в 42 мм со снарядами. Следующие грузы отправляются 22-го: 200 истребителей, 120 тяжелых танков. Из этого следует, что вся октябрьская квота самолетов и 280 танков прибудут в Россию к 6 ноября. Октябрьская квота транспортеров для пулеметов типа “Брен”, противотанковых ружей и пушек калибром в 42 мм для танков прибудет в октябре. 20 танков были погружены для провоза через Персию и 15 будут немедленно отправлены из Канады через Владивосток.</w:t>
      </w:r>
    </w:p>
    <w:p w14:paraId="661AEC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Таким образом, общее число отправленных танков составит 315, то есть на 19 штук меньше нашей полной квоты. Это количество будет восполнено в ноябре. Вышеупомянутая программа не включает снабжения из Соединенных Штатов.</w:t>
      </w:r>
    </w:p>
    <w:p w14:paraId="31E8EB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организации этого регулярного цикла конвоев мы рассчитываем, что Архангельск будет принимать главную часть поставок. Я предполагаю, что эта часть работы уже производится (7430).</w:t>
      </w:r>
    </w:p>
    <w:p w14:paraId="4F9B40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213F01F"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21EF9195"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EB0BD11" w14:textId="77777777" w:rsidR="00B81D22" w:rsidRPr="00640820" w:rsidRDefault="00B81D22" w:rsidP="00640820">
      <w:pPr>
        <w:pStyle w:val="afffff5"/>
        <w:shd w:val="clear" w:color="auto" w:fill="FFFFFF"/>
        <w:spacing w:before="0" w:beforeAutospacing="0" w:after="0" w:afterAutospacing="0"/>
        <w:jc w:val="both"/>
        <w:rPr>
          <w:color w:val="000000" w:themeColor="text1"/>
          <w:sz w:val="16"/>
          <w:szCs w:val="16"/>
        </w:rPr>
      </w:pPr>
      <w:r w:rsidRPr="00640820">
        <w:rPr>
          <w:color w:val="000000" w:themeColor="text1"/>
          <w:sz w:val="16"/>
          <w:szCs w:val="16"/>
        </w:rPr>
        <w:t>В начале октября 1941 года было принято решение об эвакуации завода 18 на станцию Безымянка в двадцати километрах от Куйбышева (19822).</w:t>
      </w:r>
    </w:p>
    <w:p w14:paraId="5D52415D" w14:textId="77777777" w:rsidR="00B81D22" w:rsidRPr="00640820" w:rsidRDefault="00B81D22" w:rsidP="00640820">
      <w:pPr>
        <w:pStyle w:val="afffff5"/>
        <w:shd w:val="clear" w:color="auto" w:fill="FFFFFF"/>
        <w:spacing w:before="0" w:beforeAutospacing="0" w:after="0" w:afterAutospacing="0"/>
        <w:jc w:val="both"/>
        <w:rPr>
          <w:color w:val="000000" w:themeColor="text1"/>
          <w:sz w:val="16"/>
          <w:szCs w:val="16"/>
        </w:rPr>
      </w:pPr>
    </w:p>
    <w:p w14:paraId="37A2874B" w14:textId="77777777" w:rsidR="00B81D22" w:rsidRPr="00640820" w:rsidRDefault="00B81D2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первых числах октября 1941 года указание об эвакуации на восток было передано на воронежский завод № 18. Основная идея плана состояла в том, чтобы, осуществляя перебазирование завода на новую площадку где-то на востоке, одновременно продолжать выпуск самолетов Ил-2 в Воронеже. Планом предусматривалось, что перебазирование цехов и отделов должно осуществляться последовательно, с учетом места, занимаемого подразделением в технологическом процессе постройки самолетов. Первыми уезжают конструкторы и технологи с чертежами и другой технической документацией. Вместе с ними едет часть сотрудников отделов главного механика, энергетика, плановый отдел, бухгалтерия. Все сотрудники едут со своими семьями. Следом за ними отправляются цехи подготовки производства. Эти подразделения на новом месте должны проводить подготовку к развертыванию основного производства.</w:t>
      </w:r>
    </w:p>
    <w:p w14:paraId="712D2168" w14:textId="77777777" w:rsidR="00B81D22" w:rsidRPr="00640820" w:rsidRDefault="00B81D2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 эвакуация подразделений завода без остановки работы в Воронеже еще не гарантировала бесперебойный выпуск самолетов. Цикл постройки Ил-2 достаточно велик, и если на новом месте его выполнять с начальной стадии, то изготовленные там самолеты взлетели бы не скоро. Поэтому почти одновременно с конструкторами и технологами в дальний путь должны были ехать ящики с деталями, узлами, агрегатами штурмовиков, изготовленными в Воронеже. Это была часть задела цехов завода, продолжавших круглосуточно выдавать продукцию.</w:t>
      </w:r>
    </w:p>
    <w:p w14:paraId="6B6798D3" w14:textId="77777777" w:rsidR="00B81D22" w:rsidRPr="00640820" w:rsidRDefault="00B81D2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Коллективы цехов основного производства делились на две части. Одни оставались в Воронеже и до определенного времени продолжали выпуск самолетов. Другие уезжали на новую площадку, где им предстояло начать освоение новой территории и налаживать выпуск самолетов сначала из воронежских деталей и агрегатов, а затем и самостоятельно. По мере выполнения установленной программы заготовительные и агрегатные цехи должны были сниматься с воронежской площадки и перебазироваться на новую. Цех главной сборки и летно-испытательная станция выезжали из Воронежа позднее всех, после выпуска последнего самолета.</w:t>
      </w:r>
    </w:p>
    <w:p w14:paraId="005ED536" w14:textId="77777777" w:rsidR="00B81D22" w:rsidRPr="00640820" w:rsidRDefault="00B81D2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Первый заводской эшелон, с которым на новое место отправили конструкторский, технологический и другие отделы, а также часть службы подготовки производства, отошел от заводской платформы 11 октября 1941 года. Эшелоны грузились круглосуточно, так же работали и люди. Работали, не считаясь со временем, со своей специальностью, должностью. Делали то, что было необходимо (19823).</w:t>
      </w:r>
    </w:p>
    <w:p w14:paraId="51262426" w14:textId="77777777" w:rsidR="00B81D22" w:rsidRPr="00640820" w:rsidRDefault="00B81D22" w:rsidP="00640820">
      <w:pPr>
        <w:spacing w:after="0" w:line="240" w:lineRule="auto"/>
        <w:jc w:val="both"/>
        <w:rPr>
          <w:rFonts w:ascii="Times New Roman" w:hAnsi="Times New Roman"/>
          <w:color w:val="000000" w:themeColor="text1"/>
          <w:sz w:val="16"/>
          <w:szCs w:val="16"/>
        </w:rPr>
      </w:pPr>
    </w:p>
    <w:p w14:paraId="3F45B41A" w14:textId="77777777" w:rsidR="00D25302" w:rsidRPr="00640820" w:rsidRDefault="00D25302" w:rsidP="00640820">
      <w:pPr>
        <w:pStyle w:val="ae"/>
        <w:spacing w:before="0" w:after="0"/>
        <w:jc w:val="both"/>
        <w:textAlignment w:val="baseline"/>
        <w:rPr>
          <w:color w:val="000000" w:themeColor="text1"/>
          <w:sz w:val="16"/>
          <w:szCs w:val="16"/>
        </w:rPr>
      </w:pPr>
      <w:r w:rsidRPr="00640820">
        <w:rPr>
          <w:color w:val="000000" w:themeColor="text1"/>
          <w:sz w:val="16"/>
          <w:szCs w:val="16"/>
        </w:rPr>
        <w:t>В начале октября 1941 г. на авиазавод № 18 пришел уже давно ожидаемый приказ об эвакуации. Затем было сообщено и место назначения — город Куйбышев (ныне Самара), расположенный на восточном берегу Волги, в 780 километрах северо-восточнее Воронежа. Поскольку завод оставался единственным производителем Ил-2, то переезд неизбежно должен был привести к значительному перерыву в их выпуске. Поначалу даже вынашивался план — одновременно с эвакуацией до последней возможности продолжать сборку в Воронеже.</w:t>
      </w:r>
    </w:p>
    <w:p w14:paraId="701B19B1" w14:textId="77777777" w:rsidR="00D25302" w:rsidRPr="00640820" w:rsidRDefault="00D25302" w:rsidP="00640820">
      <w:pPr>
        <w:pStyle w:val="ae"/>
        <w:spacing w:before="0" w:after="0"/>
        <w:jc w:val="both"/>
        <w:textAlignment w:val="baseline"/>
        <w:rPr>
          <w:color w:val="000000" w:themeColor="text1"/>
          <w:sz w:val="16"/>
          <w:szCs w:val="16"/>
        </w:rPr>
      </w:pPr>
      <w:r w:rsidRPr="00640820">
        <w:rPr>
          <w:color w:val="000000" w:themeColor="text1"/>
          <w:sz w:val="16"/>
          <w:szCs w:val="16"/>
        </w:rPr>
        <w:t>Вскоре началась спешная погрузка в вагоны и на платформы станков, прессов, деталей, электромоторов и т. д. 11 октября ушел первый эшелон, а на следующий день люфтваффе совершили очередной налет на завод. Над ним пролетели два Не-111Н из KG55 «Грайф». Одним управлял командир 7-й эскадрильи обер-лейтенант Хартвиг Кёппен, а вторым — лейтенант Шейдинг из 9-й эскадрильи. В ходе бомбежки сильно пострадали крыльевой цех завода и другие здания, что окончательно дезорганизовало производство.</w:t>
      </w:r>
    </w:p>
    <w:p w14:paraId="5AB589BE" w14:textId="77777777" w:rsidR="00D25302" w:rsidRPr="00640820" w:rsidRDefault="00D25302" w:rsidP="00640820">
      <w:pPr>
        <w:pStyle w:val="ae"/>
        <w:spacing w:before="0" w:after="0"/>
        <w:jc w:val="both"/>
        <w:textAlignment w:val="baseline"/>
        <w:rPr>
          <w:color w:val="000000" w:themeColor="text1"/>
          <w:sz w:val="16"/>
          <w:szCs w:val="16"/>
        </w:rPr>
      </w:pPr>
      <w:r w:rsidRPr="00640820">
        <w:rPr>
          <w:color w:val="000000" w:themeColor="text1"/>
          <w:sz w:val="16"/>
          <w:szCs w:val="16"/>
        </w:rPr>
        <w:t>В Воронеже успели изготовить 1134 Ил-2. Последний вагон с эвакуируемым оборудованием отправился на берега Волги в ноябре. Туда же перебазировалась и 1-я заб. Именно ее 50 штурмовиков продемонстрировали военную мощь Советов представителям иностранных посольств и миссий на военном параде в Куйбышеве 7 ноября 1941 г. (19522).</w:t>
      </w:r>
    </w:p>
    <w:p w14:paraId="01723457" w14:textId="77777777" w:rsidR="00D25302" w:rsidRPr="00640820" w:rsidRDefault="00D25302" w:rsidP="00640820">
      <w:pPr>
        <w:spacing w:after="0" w:line="240" w:lineRule="auto"/>
        <w:jc w:val="both"/>
        <w:rPr>
          <w:rFonts w:ascii="Times New Roman" w:hAnsi="Times New Roman"/>
          <w:color w:val="000000" w:themeColor="text1"/>
          <w:sz w:val="16"/>
          <w:szCs w:val="16"/>
        </w:rPr>
      </w:pPr>
    </w:p>
    <w:p w14:paraId="154E99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первых числах октября 1941 года завод № 18 вместе с коллективом был эвакуирован в Куйбышев. В ноябре 1941 года эвакуация была закончена. За период с 1934 по ноябрь 1941 года завод выпускал: 1934 год – ТБ-3, 5 самолетов гл. конструктора Туполева 1935 год – подготовка производства к новому изделию 1936 год – РД, 14 самолетов гл. конструктора Туполева 1937 год – ДБ-3А, 12 самолетов гл. конструктора С.В.И. 1938 год - ДБ-3А, 204 самолета гл. конструктора С.В.И. 1939 год - ДБ-3А, 155 самолетов гл. конструктора С.В.И. 1940 год - ДБ-3Ф, 808 самолетов гл. конструктора С.В.И. 1941 год - ДБ-3Ф, 329 самолетов гл. конструктора С.В.И. 1941 год – ИЛ-2, 1510 самолетов гл. конструктора С.В.И. 1941 год – “Н” ЕР-2, 70 самолетов гл. конструктора Ермолаева</w:t>
      </w:r>
    </w:p>
    <w:p w14:paraId="036FA0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эвакуации завода № 18 им. Ворошилова в Куйбышев в декабре 1941 года на бывш. площадке завода № 18 в Воронеже был организован филиал завода № 18 по ремонту фронтовых самолетов ИЛ-2 и У-2. В январе 1942 года по приказу КО Юго-западного фронта на площадке базы филиала завода № 18 в Воронеже была организована ремонтная база по ремонту фронтовых самолетов ИЛ-2 и У-2 подчиняющаяся Юго-западному фронту, а также Юго-западным фронтом на площадке бывш. завода № 18 был организован авторемонтный завод № 45. В феврале 1942 года в филиал завода № 18 влился эшелон рабочих и ИТР завода № 135 из Харькова.</w:t>
      </w:r>
    </w:p>
    <w:p w14:paraId="6C7A73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МАП на базе площадки завода № 18 в Воронеже был организован ремонтный завод № 450 по ремонту фронтовых самолетов всех типов и марок, который существовал до 5 июля 1942 года, до дня занятия правобережного Воронежа немцами.</w:t>
      </w:r>
    </w:p>
    <w:p w14:paraId="30ACA1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ГКО завод № 450 (коллектив и оборудование) был эвакуирован в Пензу и влился в коллектив завода № 163. 12 апреля 1943 года согласно приказа МАП за № 209 на базе бывш. завода № 18 и на его территории был организован завод № 64, расположенный в Воронеже по ул. Циолковского, как самолеторемонтный завод. В 1943 году завод № 64 имел задачу восстановления и ремонта всех типов самолетов, как на заводе, так и в воинских частях, действующих на ближних фронтах.</w:t>
      </w:r>
    </w:p>
    <w:p w14:paraId="69BC27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Согласно приказа МАП за № 121 от 21 февраля 1944 года завод № 64 переведен в ведение 10 гл. управления и получил задание изготовлять (крылья) агрегаты самолета ИЛ-2, этим же приказом завод № 64 переведен в разряд агрегатных заводов второй категории. Оснастка была получена с завода № 18 на крыло старой конструкции самолета ИЛ-2.</w:t>
      </w:r>
    </w:p>
    <w:p w14:paraId="723F8E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МАП за № 30 от 9 января 1945 года заводу № 64 была утверждена программа по выпуску крыльев самолета ИЛ-2, изготовление которых производилось в 1944 и 1945 гг. Кроме того, в соответствии с договором № 1219 от 13 марта 1945 года с ВВС завод во втором квартале 1945 года приступил к сборке самолета Ил-4 из готовых агрегатов, получаемых с завода № 126. В 1946 году по приказу МАП за № 15с от 24 января 1946 года заводу было дано задание получить оснастку и техническую документацию самолета ИЛ-10 с завода № 1 им. Сталина и запустить в производство агрегаты самолета Ил-10 с тем, чтобы к концу 1946 года обеспчеить освоение сборки этого самолета. В течение 1946 и 1947 гг. заводом освоены следующие агрегаты:</w:t>
      </w:r>
    </w:p>
    <w:p w14:paraId="0B48C6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хвостовая часть фюзеляжа;</w:t>
      </w:r>
    </w:p>
    <w:p w14:paraId="01EBF0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оперение;</w:t>
      </w:r>
    </w:p>
    <w:p w14:paraId="536712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шасси.</w:t>
      </w:r>
    </w:p>
    <w:p w14:paraId="344BF7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1948 года была произведена крупная модернизация самолета Ил-10 с переходом на 4-х пушечный вариант, а также освоено изготовление учебного варианта самолета УИЛ-10 с изготовлением всей необходимой оснастки своими силами.</w:t>
      </w:r>
    </w:p>
    <w:p w14:paraId="616CE3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Постановлением СМ за № 1890-700сс от 14 мая 1949 года и приказом министра авиапромышленности за № 374сс/ов от 19 мая 1949 года завод был освобожден от производства самолетов Ил-10 и переключен на переоборудование и капитальный ремонт пассажирского самолета Ил-12 и по подготовке производства к выпуску самолетов Ил-28.</w:t>
      </w:r>
    </w:p>
    <w:p w14:paraId="295738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Постановлением СМ за № 5223-1994сс от 14 ноября 1949 года и приказа МАП за № 913сс от 17 ноября 1949 года завод был переведен на производство самолетов Ил-28. Этим же приказом МАП завод № 64 переведен в разряд самолетостроительных заводов первой категории.</w:t>
      </w:r>
    </w:p>
    <w:p w14:paraId="1224A1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МАП за № 33сс от 24 мая 1954 года со второго полугодия 1954 года завод переведен на подготовку производства по выпуску самолетов ТУ-16. Чертежи и технология на самолет ТУ-16 были получены с завода № 22.</w:t>
      </w:r>
    </w:p>
    <w:p w14:paraId="22416A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период с 1943 года по 1958 год коллектив завода № 64 развивал свое производство и набирал мощность по следующим видам работ: 1943 год – ремонт фронтовых самолетов Ил-2 – 218 штук 1943 год – ремонт фронтовых самолетов У-2 – 25 штук 1943 год – ремонт фронтовых самолетов ЯК-1 – 30 штук 1943 год – ремонт фронтовых самолетов ЛА-5 – 14 штук 1943 год – ремонт фронтовых самолетов ПЕ-2 – 4 штуки 1943 год – ремонт фронтовых самолетов Ли-2 – 1 штука 1943 год – ремонт фронтовых самолетов ЯК-6 – 2 штуки 1943 год – ремонт фронтовых самолетов ЯК-9 – 4 штуки 1943 год – ремонт фронтовых самолетов УТ-2 – 1 штука 1944 год – ремонт фронтовых самолетов Ил-2 183 штуки 1944 год – ремонт фронтовых самолетов У-2 – 17 штук 1944 год – ремонт фронтовых самолетов ЯК-1 – 5 штук 1944 год – ремонт фронтовых самолетов ЛА-5 – 14 штук 1944 год – ремонт фронтовых самолетов ЯК-6 – 3 штуки 1944 год – ремонт фронтовых самолетов ЯК-9 – 17 штук 1944 год – ремонт фронтовых самолетов ЛА-7 – 1 штука 1944 год – ремонт фронтовых самолетов Б-25 – 66 штук 1945 год – ремонт штурмовиков разных марок – 110 штук 1945 год – ремонт истребителей разных марок – 34 штуки 1945 год – сборка самолета завода № 126 ИЛ-4 – 151 штука 1945 года – сборка крыла самолета ИЛ-2 – 81 пара 1946 год – ремонт фронтовых самолетов ЯК-9 – 102 штуки 1946 год – ремонт фронтовых самолетов ЛА-7- 11 штук 1946 год – ремонт фронтовых самолетов ЯК-3 – 24 штуки 1946 год – сборка самолета завода № 126 ИЛ-4 – 28 штук 1946 год – сборка крыла самолета ИЛ-2 – 19 штук 1947 год – производство самолета ИЛ-10 – 12 штук 1948 год – производство самолета ИЛ-10 – 155 штук 1949 год – производство самолета ИЛ-10 – 78 штук 1949 год – производство самолета УИЛ-10 – 100 штук 1950 год – производство самолета ИЛ-28 – 4 штуки 1950 год – переоборудование самолета ИЛ-12 – 114 штук 1951 год – производство самолета ИЛ-28 – 75 штук 1952 год – производство самолета ИЛ-28 – 170 штук 1953 год – производство самолета ИЛ-28 – 370 штук 1954 год – производство самолета ИЛ-28 – 303 штук 1954 год – подготовка производства к выпуску самолета ТУ-16 1955 год – производство самолета ТУ-16 – 25 штук 1956 год – производство самолета ТУ-16 – 78 штук 1957 год – производство самолета ТУ-16 – 62 штуки 1957 год – подготовка и выпуск самолета АН-10 – 3 штуки 1958 год - производство самолета АН-10 – 16 штук 1958 год – начата подготовка производства к выпуску самолета ТУ-28</w:t>
      </w:r>
    </w:p>
    <w:p w14:paraId="429B86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 Белявский</w:t>
      </w:r>
    </w:p>
    <w:p w14:paraId="63716C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Производственный профиль – самолет Ан-10 конструкции Антонова</w:t>
      </w:r>
    </w:p>
    <w:p w14:paraId="114EAA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Характеристика аэродрома завода</w:t>
      </w:r>
    </w:p>
    <w:p w14:paraId="11F848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Аэродром расположен в 4-х км от центра восточнее Воронежа на левом берегу реки Воронеж. Аэродром с юга граничит с промплощадкой завода (9836).</w:t>
      </w:r>
    </w:p>
    <w:p w14:paraId="7D0374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89E1B8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октября 1941 в Москве на заводе № 1 смогли собрать второй штурмовик Ил-2 из деталей, присланных из Воронежа (9984).</w:t>
      </w:r>
    </w:p>
    <w:p w14:paraId="3493F32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E2D29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октября 1941, в связи с при</w:t>
      </w:r>
      <w:r w:rsidRPr="00640820">
        <w:rPr>
          <w:rFonts w:ascii="Times New Roman" w:hAnsi="Times New Roman"/>
          <w:color w:val="000000" w:themeColor="text1"/>
          <w:sz w:val="16"/>
          <w:szCs w:val="16"/>
        </w:rPr>
        <w:softHyphen/>
        <w:t>ближением фронта к Москве, нача</w:t>
      </w:r>
      <w:r w:rsidRPr="00640820">
        <w:rPr>
          <w:rFonts w:ascii="Times New Roman" w:hAnsi="Times New Roman"/>
          <w:color w:val="000000" w:themeColor="text1"/>
          <w:sz w:val="16"/>
          <w:szCs w:val="16"/>
        </w:rPr>
        <w:softHyphen/>
        <w:t>лась эвакуация столичных предприя</w:t>
      </w:r>
      <w:r w:rsidRPr="00640820">
        <w:rPr>
          <w:rFonts w:ascii="Times New Roman" w:hAnsi="Times New Roman"/>
          <w:color w:val="000000" w:themeColor="text1"/>
          <w:sz w:val="16"/>
          <w:szCs w:val="16"/>
        </w:rPr>
        <w:softHyphen/>
        <w:t>тий и учреждений. Завод №289 был эвакуирован в г. Молотов (Пермь) и объединен с эвакуированным заво</w:t>
      </w:r>
      <w:r w:rsidRPr="00640820">
        <w:rPr>
          <w:rFonts w:ascii="Times New Roman" w:hAnsi="Times New Roman"/>
          <w:color w:val="000000" w:themeColor="text1"/>
          <w:sz w:val="16"/>
          <w:szCs w:val="16"/>
        </w:rPr>
        <w:softHyphen/>
        <w:t>дом №135, в состав которого вхо</w:t>
      </w:r>
      <w:r w:rsidRPr="00640820">
        <w:rPr>
          <w:rFonts w:ascii="Times New Roman" w:hAnsi="Times New Roman"/>
          <w:color w:val="000000" w:themeColor="text1"/>
          <w:sz w:val="16"/>
          <w:szCs w:val="16"/>
        </w:rPr>
        <w:softHyphen/>
        <w:t>дили эвакуированные заводы №№207, 450, 472, 480. 19 ноября 1941 года ГКО СССР принял постановление, согласно ко</w:t>
      </w:r>
      <w:r w:rsidRPr="00640820">
        <w:rPr>
          <w:rFonts w:ascii="Times New Roman" w:hAnsi="Times New Roman"/>
          <w:color w:val="000000" w:themeColor="text1"/>
          <w:sz w:val="16"/>
          <w:szCs w:val="16"/>
        </w:rPr>
        <w:softHyphen/>
        <w:t>торому заводу №135 надлежало приступить к серийному выпуску бро</w:t>
      </w:r>
      <w:r w:rsidRPr="00640820">
        <w:rPr>
          <w:rFonts w:ascii="Times New Roman" w:hAnsi="Times New Roman"/>
          <w:color w:val="000000" w:themeColor="text1"/>
          <w:sz w:val="16"/>
          <w:szCs w:val="16"/>
        </w:rPr>
        <w:softHyphen/>
        <w:t>нированного штурмовика Ил-2 М-82 с 15 февраля 1942 года. Вместе с тем заводу №135 разрешалось из</w:t>
      </w:r>
      <w:r w:rsidRPr="00640820">
        <w:rPr>
          <w:rFonts w:ascii="Times New Roman" w:hAnsi="Times New Roman"/>
          <w:color w:val="000000" w:themeColor="text1"/>
          <w:sz w:val="16"/>
          <w:szCs w:val="16"/>
        </w:rPr>
        <w:softHyphen/>
        <w:t>готовить некоторое количество са</w:t>
      </w:r>
      <w:r w:rsidRPr="00640820">
        <w:rPr>
          <w:rFonts w:ascii="Times New Roman" w:hAnsi="Times New Roman"/>
          <w:color w:val="000000" w:themeColor="text1"/>
          <w:sz w:val="16"/>
          <w:szCs w:val="16"/>
        </w:rPr>
        <w:softHyphen/>
        <w:t>молетов Су-2, ограниченное имею</w:t>
      </w:r>
      <w:r w:rsidRPr="00640820">
        <w:rPr>
          <w:rFonts w:ascii="Times New Roman" w:hAnsi="Times New Roman"/>
          <w:color w:val="000000" w:themeColor="text1"/>
          <w:sz w:val="16"/>
          <w:szCs w:val="16"/>
        </w:rPr>
        <w:softHyphen/>
        <w:t>щимся заделом. В результате завод изготовил в декабре 1941 года 15 самолетов Су-2, а в январе-феврале 1942 года - 40. Из них - 36 с мото</w:t>
      </w:r>
      <w:r w:rsidRPr="00640820">
        <w:rPr>
          <w:rFonts w:ascii="Times New Roman" w:hAnsi="Times New Roman"/>
          <w:color w:val="000000" w:themeColor="text1"/>
          <w:sz w:val="16"/>
          <w:szCs w:val="16"/>
        </w:rPr>
        <w:softHyphen/>
        <w:t>ром М-82, 2-е М-88, 2 - М-89. Всего же за 1941 год завод №135 выпустил 625 самолетов Су-2, при плане 1068; завод №207 - 89, при плане 115; завод №31 - 4 самолета (11849).</w:t>
      </w:r>
    </w:p>
    <w:p w14:paraId="5AB6AF8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785D08" w14:textId="77777777" w:rsidR="004E06EE" w:rsidRPr="00640820" w:rsidRDefault="004E06EE" w:rsidP="00640820">
      <w:pPr>
        <w:pStyle w:val="35"/>
        <w:shd w:val="clear" w:color="auto" w:fill="auto"/>
        <w:spacing w:after="0" w:line="240" w:lineRule="auto"/>
        <w:jc w:val="both"/>
        <w:rPr>
          <w:rFonts w:ascii="Times New Roman" w:cs="Times New Roman"/>
          <w:color w:val="000000" w:themeColor="text1"/>
          <w:spacing w:val="0"/>
          <w:sz w:val="16"/>
          <w:szCs w:val="16"/>
        </w:rPr>
      </w:pPr>
      <w:r w:rsidRPr="00640820">
        <w:rPr>
          <w:rFonts w:ascii="Times New Roman" w:cs="Times New Roman"/>
          <w:color w:val="000000" w:themeColor="text1"/>
          <w:spacing w:val="0"/>
          <w:sz w:val="16"/>
          <w:szCs w:val="16"/>
        </w:rPr>
        <w:t>В начале октября 1941 г., в связи с приближением фронта к Москве, началась эвакуа</w:t>
      </w:r>
      <w:r w:rsidRPr="00640820">
        <w:rPr>
          <w:rFonts w:ascii="Times New Roman" w:cs="Times New Roman"/>
          <w:color w:val="000000" w:themeColor="text1"/>
          <w:spacing w:val="0"/>
          <w:sz w:val="16"/>
          <w:szCs w:val="16"/>
        </w:rPr>
        <w:softHyphen/>
        <w:t>ция столичных предприятий и учреждений. Завод N9 289 эвакуировали в г. Молотов (ны</w:t>
      </w:r>
      <w:r w:rsidRPr="00640820">
        <w:rPr>
          <w:rFonts w:ascii="Times New Roman" w:cs="Times New Roman"/>
          <w:color w:val="000000" w:themeColor="text1"/>
          <w:spacing w:val="0"/>
          <w:sz w:val="16"/>
          <w:szCs w:val="16"/>
        </w:rPr>
        <w:softHyphen/>
        <w:t>не Пермь) и объединили с эвакуированным заводом № 135, в состав которого входили эвакуированные заводы №№ 207, 450, 472, 480. Такое «объединение» в конечном итоге привело к организационному кол</w:t>
      </w:r>
      <w:r w:rsidRPr="00640820">
        <w:rPr>
          <w:rFonts w:ascii="Times New Roman" w:cs="Times New Roman"/>
          <w:color w:val="000000" w:themeColor="text1"/>
          <w:spacing w:val="0"/>
          <w:sz w:val="16"/>
          <w:szCs w:val="16"/>
        </w:rPr>
        <w:softHyphen/>
        <w:t>лапсу, сорвавшему сро</w:t>
      </w:r>
      <w:r w:rsidRPr="00640820">
        <w:rPr>
          <w:rFonts w:ascii="Times New Roman" w:cs="Times New Roman"/>
          <w:color w:val="000000" w:themeColor="text1"/>
          <w:spacing w:val="0"/>
          <w:sz w:val="16"/>
          <w:szCs w:val="16"/>
        </w:rPr>
        <w:softHyphen/>
        <w:t>ки ввода в эксплуата</w:t>
      </w:r>
      <w:r w:rsidRPr="00640820">
        <w:rPr>
          <w:rFonts w:ascii="Times New Roman" w:cs="Times New Roman"/>
          <w:color w:val="000000" w:themeColor="text1"/>
          <w:spacing w:val="0"/>
          <w:sz w:val="16"/>
          <w:szCs w:val="16"/>
        </w:rPr>
        <w:softHyphen/>
        <w:t>цию завода № 135 (15792).</w:t>
      </w:r>
    </w:p>
    <w:p w14:paraId="7D95BBF7" w14:textId="77777777" w:rsidR="004E06EE" w:rsidRPr="00640820" w:rsidRDefault="004E06EE" w:rsidP="00640820">
      <w:pPr>
        <w:pStyle w:val="35"/>
        <w:shd w:val="clear" w:color="auto" w:fill="auto"/>
        <w:spacing w:after="0" w:line="240" w:lineRule="auto"/>
        <w:jc w:val="both"/>
        <w:rPr>
          <w:rFonts w:ascii="Times New Roman" w:cs="Times New Roman"/>
          <w:color w:val="000000" w:themeColor="text1"/>
          <w:spacing w:val="0"/>
          <w:sz w:val="16"/>
          <w:szCs w:val="16"/>
        </w:rPr>
      </w:pPr>
    </w:p>
    <w:p w14:paraId="7458FE8B" w14:textId="77777777" w:rsidR="00D25302" w:rsidRPr="00640820" w:rsidRDefault="00D253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октября 1941, в связи с прибли</w:t>
      </w:r>
      <w:r w:rsidRPr="00640820">
        <w:rPr>
          <w:rFonts w:ascii="Times New Roman" w:hAnsi="Times New Roman"/>
          <w:color w:val="000000" w:themeColor="text1"/>
          <w:sz w:val="16"/>
          <w:szCs w:val="16"/>
        </w:rPr>
        <w:softHyphen/>
        <w:t>жением фронта к Москве, началась эвакуация столичных предприятий и учреждении Завод № 289 вывезли в Молотов (ныне Пермь) и объединили с заводом № 135 в состав которого уже влили заводы № 207, № 450, № 472 и № 480 (19102).</w:t>
      </w:r>
    </w:p>
    <w:p w14:paraId="152A189A" w14:textId="77777777" w:rsidR="00D25302" w:rsidRPr="00640820" w:rsidRDefault="00D25302" w:rsidP="00640820">
      <w:pPr>
        <w:spacing w:after="0" w:line="240" w:lineRule="auto"/>
        <w:jc w:val="both"/>
        <w:rPr>
          <w:rFonts w:ascii="Times New Roman" w:hAnsi="Times New Roman"/>
          <w:color w:val="000000" w:themeColor="text1"/>
          <w:sz w:val="16"/>
          <w:szCs w:val="16"/>
        </w:rPr>
      </w:pPr>
    </w:p>
    <w:p w14:paraId="0AFE9A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октября 1941 г. Су-2 М-82 переправили в Казань, где с него сняли эскизы ВМГдля использования на бомбардировщике ТБ-7 (5360).</w:t>
      </w:r>
    </w:p>
    <w:p w14:paraId="6475F5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C523D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начала октября 1941 на заводе № 166 приступили к изготовлению первых деталей 103. 7 октября Туполева назначили главным конструктором завода.</w:t>
      </w:r>
    </w:p>
    <w:p w14:paraId="1A06E1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Рассматривалась также возможность постройки новых бомбардировщиков "103С" с моторами АМ-37 на заводе № 124 в Казани. На площадку этого предприятия осенью 1941 г. эвакуировали из Москвы завод № 22, строивший пикировщики Пе-2. 19 декабря 1941 г. вышло соответствующее постановление ГКО. Наркомат дал туполевцам только десять дней на копирование всей документации. В начале января 1942 г. Туполев с группой конструкторов побывал в Казани. Но в условиях больших потерь на фронте наркомат не рискнул пожертвовать выпуском Пе-2. Заводы № 124 и № 22 слили в один, который продолжал строить пикировщики до самого конца войны.</w:t>
      </w:r>
    </w:p>
    <w:p w14:paraId="150DA6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ставка на "103У" являлась дорогой в тупик. Дело в том, что исключительная важность, придаваемая штурмовикам Ил-2, привела к тому, что моторов АМ-38 требовалось все больше. Увеличить их выпуск проще всего было за счет свертывания сборки сходных АМ-35А. Так и сделали. А необходимые для "103У" АМ-37 просто не стали запускать в крупносерийное производство. Зато в Молотове на заводе № 19 скопились сотни невостребованных двигателей М-82А (11988).</w:t>
      </w:r>
    </w:p>
    <w:p w14:paraId="47C152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CD61C70" w14:textId="77777777" w:rsidR="00F226C1" w:rsidRPr="00640820" w:rsidRDefault="00F226C1" w:rsidP="00640820">
      <w:pPr>
        <w:spacing w:after="0" w:line="240" w:lineRule="auto"/>
        <w:jc w:val="both"/>
        <w:rPr>
          <w:rFonts w:ascii="Times New Roman" w:hAnsi="Times New Roman"/>
          <w:color w:val="0070C0"/>
          <w:sz w:val="16"/>
          <w:szCs w:val="16"/>
          <w:lang w:eastAsia="ru-RU" w:bidi="ru-RU"/>
        </w:rPr>
      </w:pPr>
      <w:r w:rsidRPr="00640820">
        <w:rPr>
          <w:rFonts w:ascii="Times New Roman" w:hAnsi="Times New Roman"/>
          <w:color w:val="0070C0"/>
          <w:sz w:val="16"/>
          <w:szCs w:val="16"/>
          <w:lang w:eastAsia="ru-RU" w:bidi="ru-RU"/>
        </w:rPr>
        <w:t>С начала ок</w:t>
      </w:r>
      <w:r w:rsidRPr="00640820">
        <w:rPr>
          <w:rFonts w:ascii="Times New Roman" w:hAnsi="Times New Roman"/>
          <w:color w:val="0070C0"/>
          <w:sz w:val="16"/>
          <w:szCs w:val="16"/>
          <w:lang w:eastAsia="ru-RU" w:bidi="ru-RU"/>
        </w:rPr>
        <w:softHyphen/>
        <w:t>тября 1941 на заводе 166 приступили к изготовлению пер</w:t>
      </w:r>
      <w:r w:rsidRPr="00640820">
        <w:rPr>
          <w:rFonts w:ascii="Times New Roman" w:hAnsi="Times New Roman"/>
          <w:color w:val="0070C0"/>
          <w:sz w:val="16"/>
          <w:szCs w:val="16"/>
          <w:lang w:eastAsia="ru-RU" w:bidi="ru-RU"/>
        </w:rPr>
        <w:softHyphen/>
        <w:t>вых деталей 103. «Отмечая невыполнение за</w:t>
      </w:r>
      <w:r w:rsidRPr="00640820">
        <w:rPr>
          <w:rFonts w:ascii="Times New Roman" w:hAnsi="Times New Roman"/>
          <w:color w:val="0070C0"/>
          <w:sz w:val="16"/>
          <w:szCs w:val="16"/>
          <w:lang w:eastAsia="ru-RU" w:bidi="ru-RU"/>
        </w:rPr>
        <w:softHyphen/>
        <w:t>водом №166» двух ранее вышедших по</w:t>
      </w:r>
      <w:r w:rsidRPr="00640820">
        <w:rPr>
          <w:rFonts w:ascii="Times New Roman" w:hAnsi="Times New Roman"/>
          <w:color w:val="0070C0"/>
          <w:sz w:val="16"/>
          <w:szCs w:val="16"/>
          <w:lang w:eastAsia="ru-RU" w:bidi="ru-RU"/>
        </w:rPr>
        <w:softHyphen/>
        <w:t>становлений ГКО, 22 сентября директора А.В. Ляпидевского сняли, заменив А.П. Со</w:t>
      </w:r>
      <w:r w:rsidRPr="00640820">
        <w:rPr>
          <w:rFonts w:ascii="Times New Roman" w:hAnsi="Times New Roman"/>
          <w:color w:val="0070C0"/>
          <w:sz w:val="16"/>
          <w:szCs w:val="16"/>
          <w:lang w:eastAsia="ru-RU" w:bidi="ru-RU"/>
        </w:rPr>
        <w:softHyphen/>
        <w:t>коловым, который ранее руководил мо</w:t>
      </w:r>
      <w:r w:rsidRPr="00640820">
        <w:rPr>
          <w:rFonts w:ascii="Times New Roman" w:hAnsi="Times New Roman"/>
          <w:color w:val="0070C0"/>
          <w:sz w:val="16"/>
          <w:szCs w:val="16"/>
          <w:lang w:eastAsia="ru-RU" w:bidi="ru-RU"/>
        </w:rPr>
        <w:softHyphen/>
        <w:t>сковским заводом №39. 7 октября Ту</w:t>
      </w:r>
      <w:r w:rsidRPr="00640820">
        <w:rPr>
          <w:rFonts w:ascii="Times New Roman" w:hAnsi="Times New Roman"/>
          <w:color w:val="0070C0"/>
          <w:sz w:val="16"/>
          <w:szCs w:val="16"/>
          <w:lang w:eastAsia="ru-RU" w:bidi="ru-RU"/>
        </w:rPr>
        <w:softHyphen/>
        <w:t>полева назначили главным конструкто</w:t>
      </w:r>
      <w:r w:rsidRPr="00640820">
        <w:rPr>
          <w:rFonts w:ascii="Times New Roman" w:hAnsi="Times New Roman"/>
          <w:color w:val="0070C0"/>
          <w:sz w:val="16"/>
          <w:szCs w:val="16"/>
          <w:lang w:eastAsia="ru-RU" w:bidi="ru-RU"/>
        </w:rPr>
        <w:softHyphen/>
        <w:t>ром завода (21061).</w:t>
      </w:r>
    </w:p>
    <w:p w14:paraId="6D0DEC32" w14:textId="77777777" w:rsidR="00F226C1" w:rsidRPr="00640820" w:rsidRDefault="00F226C1" w:rsidP="00640820">
      <w:pPr>
        <w:spacing w:after="0" w:line="240" w:lineRule="auto"/>
        <w:jc w:val="both"/>
        <w:rPr>
          <w:rFonts w:ascii="Times New Roman" w:hAnsi="Times New Roman"/>
          <w:color w:val="0070C0"/>
          <w:sz w:val="16"/>
          <w:szCs w:val="16"/>
        </w:rPr>
      </w:pPr>
    </w:p>
    <w:p w14:paraId="5E7F716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началу октября 1941 согласно докладу Микояна и Третьякова Шахурину, в ходе испытаний стрелкового вооружения на МИГ-3 было отстреляно 4330 патронов из двухпулеметного МиГа. Незначительные, по их мне</w:t>
      </w:r>
      <w:r w:rsidRPr="00640820">
        <w:rPr>
          <w:rFonts w:ascii="Times New Roman" w:hAnsi="Times New Roman"/>
          <w:color w:val="000000" w:themeColor="text1"/>
          <w:sz w:val="16"/>
          <w:szCs w:val="16"/>
        </w:rPr>
        <w:softHyphen/>
        <w:t>нию, дефекты были устранены. Конструкторы пред</w:t>
      </w:r>
      <w:r w:rsidRPr="00640820">
        <w:rPr>
          <w:rFonts w:ascii="Times New Roman" w:hAnsi="Times New Roman"/>
          <w:color w:val="000000" w:themeColor="text1"/>
          <w:sz w:val="16"/>
          <w:szCs w:val="16"/>
        </w:rPr>
        <w:softHyphen/>
        <w:t>ложили запустить в серию этот вариант без проведе</w:t>
      </w:r>
      <w:r w:rsidRPr="00640820">
        <w:rPr>
          <w:rFonts w:ascii="Times New Roman" w:hAnsi="Times New Roman"/>
          <w:color w:val="000000" w:themeColor="text1"/>
          <w:sz w:val="16"/>
          <w:szCs w:val="16"/>
        </w:rPr>
        <w:softHyphen/>
        <w:t>ния государственных испытаний. Нарком ответил согласием, распорядившись устанавливать по два УБС начиная с 151 самолета 27 серии. Таким образом, истребитель МиГ—3 зав. № 4902 (с устраненными дефектами) стал эталоном по вооружению при дальнейшей серийной постройке. Всего завод № 1 успел построить 215 машин с двумя пулеметами УБС. Кроме того, завод выпустил два са</w:t>
      </w:r>
      <w:r w:rsidRPr="00640820">
        <w:rPr>
          <w:rFonts w:ascii="Times New Roman" w:hAnsi="Times New Roman"/>
          <w:color w:val="000000" w:themeColor="text1"/>
          <w:sz w:val="16"/>
          <w:szCs w:val="16"/>
        </w:rPr>
        <w:softHyphen/>
        <w:t>молета МиГ-3, вооруженных двумя крупнокалибер</w:t>
      </w:r>
      <w:r w:rsidRPr="00640820">
        <w:rPr>
          <w:rFonts w:ascii="Times New Roman" w:hAnsi="Times New Roman"/>
          <w:color w:val="000000" w:themeColor="text1"/>
          <w:sz w:val="16"/>
          <w:szCs w:val="16"/>
        </w:rPr>
        <w:softHyphen/>
        <w:t>ными и одним пулеметом винтовочного калибра, а также один МиГ-3 с двумя УБС и двумя ШКАС. Эти машины использовались при обороне Москвы, в бо</w:t>
      </w:r>
      <w:r w:rsidRPr="00640820">
        <w:rPr>
          <w:rFonts w:ascii="Times New Roman" w:hAnsi="Times New Roman"/>
          <w:color w:val="000000" w:themeColor="text1"/>
          <w:sz w:val="16"/>
          <w:szCs w:val="16"/>
        </w:rPr>
        <w:softHyphen/>
        <w:t>ях на Волховском фронте, на Дальнем Востоке и в различных учебных центрах ВВС и ВМФ (9984).</w:t>
      </w:r>
    </w:p>
    <w:p w14:paraId="5A2E219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CB2E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октября 1941 автожирная эскадрилья перебазируется на восток. Две машины перелетели в 43-ю армию. Два из оставшихся в части А-7-За направили в Москву для ремонта, а на третьем командир эскадрильи Трофимов получил задание срочно доставить донесение в штаб наших войск в Гжатске. В донесении, подписанном руководством 24-й армии, сообщалось о прорыве немцев в районе стыка 24-й и 43-й армий. Полет выполнялся в полной темноте, которая защищала тихоходный аппарат от атак немецких истребителей. Но посадку в таких условиях выполнять было очень сложно. Пилот в сумерках принял лес за земляной покров аэродрома и спарашютировал на него с высоты 10 метров. Автожир получил серьезные повреждения, но Трофимов остался жив, и пакет с донесением был доставлен вовремя. Этот эпизод стал последним в боевой карьере винтокрылого разведчика и корректировщика А-7-За конструкции Н. И. Камова. С угрозой захвата Москвы завод из Ухтомской эвакуировали в поселок Билимбай Свердловской области. Здесь Камов и его соратники ремонтировали уцелевшие А-7. Но главный конструктор уже думал о новой винтокрылой машине - «прыгающем» автожире АК (артиллерийский корректировщик), проектирование которого началось перед самой войной. Этот автожир с двигателем МВ-6 (225 л.с.) имел управление несущим винтом как на современных вертолетах - с помощью автомата перекоса, меняющего циклический шаг лопастей. В сложных условиях эвакуации постройка машины оказалась невозможной. Завод в Билимбае перепрофилировали на ремонт автомобильной и авиационной техники, а Н. И. Камов смог приступить к конструкторской работе только после войны. К автожирам он больше не возвращался, полностью переключившись на создание вертолетов (11860).</w:t>
      </w:r>
    </w:p>
    <w:p w14:paraId="2BC637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E4E3C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октября 1941 37 мм пушку 11П поставили для гос. испытаний на ЛаГГ-3 и они шли до марта 1942 (3996, 125).</w:t>
      </w:r>
    </w:p>
    <w:p w14:paraId="4A6DDC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3A48CE0" w14:textId="77777777" w:rsidR="004E06EE" w:rsidRPr="00640820" w:rsidRDefault="004E06EE"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октября 1941 г. этот первый опытный образец пушки 11П был установлен на самолете ЛаГГ-3 для проведения государственных испытаний. От начала проектирования до готовности к государственным испытаниям было затрачено всего шесть месяцев (15979).</w:t>
      </w:r>
    </w:p>
    <w:p w14:paraId="0ABD681C" w14:textId="77777777" w:rsidR="004E06EE" w:rsidRPr="00640820" w:rsidRDefault="004E06EE" w:rsidP="00640820">
      <w:pPr>
        <w:shd w:val="clear" w:color="auto" w:fill="FFFFFF"/>
        <w:spacing w:after="0" w:line="240" w:lineRule="auto"/>
        <w:jc w:val="both"/>
        <w:rPr>
          <w:rFonts w:ascii="Times New Roman" w:hAnsi="Times New Roman"/>
          <w:color w:val="000000" w:themeColor="text1"/>
          <w:sz w:val="16"/>
          <w:szCs w:val="16"/>
        </w:rPr>
      </w:pPr>
    </w:p>
    <w:p w14:paraId="1F4FC2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октября 1941 в Быково на заводе, где делали А-7, был готов первый экз. планера КЦ-2 П.В.Цыбина и Д.Н.Колесникова. Планер проектировался в ВВА (94,76).</w:t>
      </w:r>
    </w:p>
    <w:p w14:paraId="51D367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641F47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октября 1941 г. на заводе в подмосковном Быково был изготовлен Опытный экземпляр КЦ. Турельная ус</w:t>
      </w:r>
      <w:r w:rsidRPr="00640820">
        <w:rPr>
          <w:rFonts w:ascii="Times New Roman" w:hAnsi="Times New Roman"/>
          <w:color w:val="000000" w:themeColor="text1"/>
          <w:sz w:val="16"/>
          <w:szCs w:val="16"/>
        </w:rPr>
        <w:softHyphen/>
        <w:t>тановка на нём (как и на всех последую</w:t>
      </w:r>
      <w:r w:rsidRPr="00640820">
        <w:rPr>
          <w:rFonts w:ascii="Times New Roman" w:hAnsi="Times New Roman"/>
          <w:color w:val="000000" w:themeColor="text1"/>
          <w:sz w:val="16"/>
          <w:szCs w:val="16"/>
        </w:rPr>
        <w:softHyphen/>
        <w:t>щих) отсутствовала. Но испытать КЦ не успели. При подходе немцев к Москве поступил приказ перегнать планёр по</w:t>
      </w:r>
      <w:r w:rsidRPr="00640820">
        <w:rPr>
          <w:rFonts w:ascii="Times New Roman" w:hAnsi="Times New Roman"/>
          <w:color w:val="000000" w:themeColor="text1"/>
          <w:sz w:val="16"/>
          <w:szCs w:val="16"/>
        </w:rPr>
        <w:softHyphen/>
        <w:t>дальше в тыл. 15 октября КЦ взлетел на буксире, но после отрыва сразу резко перешёл в набор высоты. Буксировщик, хвост которого дёрнуло вверх, отцепил планёр. Тот встал на хвост и в таком положении врезался в землю. Пилот И.Л. Карташев погиб. Причиной катас</w:t>
      </w:r>
      <w:r w:rsidRPr="00640820">
        <w:rPr>
          <w:rFonts w:ascii="Times New Roman" w:hAnsi="Times New Roman"/>
          <w:color w:val="000000" w:themeColor="text1"/>
          <w:sz w:val="16"/>
          <w:szCs w:val="16"/>
        </w:rPr>
        <w:softHyphen/>
        <w:t>трофы сочли очень заднюю центровку пустого аппарата, которую следовало изменить размещением балласта в носу (12266).</w:t>
      </w:r>
    </w:p>
    <w:p w14:paraId="1B4C86FF"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61E3B19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октября 1941 г. первый опытный образец КЦ был готов. В самом начале войны инженеры-конструкторы П.В. Цыбин и Д.Н. Колесников работали под эги</w:t>
      </w:r>
      <w:r w:rsidRPr="00640820">
        <w:rPr>
          <w:rFonts w:ascii="Times New Roman" w:hAnsi="Times New Roman"/>
          <w:color w:val="000000" w:themeColor="text1"/>
          <w:sz w:val="16"/>
          <w:szCs w:val="16"/>
        </w:rPr>
        <w:softHyphen/>
        <w:t>дой Военно-воздушной инженерной академии им. Н.Е. Жуковского. Там они спроектировали тяжелый десантный планер КЦ, предназначенный для пере</w:t>
      </w:r>
      <w:r w:rsidRPr="00640820">
        <w:rPr>
          <w:rFonts w:ascii="Times New Roman" w:hAnsi="Times New Roman"/>
          <w:color w:val="000000" w:themeColor="text1"/>
          <w:sz w:val="16"/>
          <w:szCs w:val="16"/>
        </w:rPr>
        <w:softHyphen/>
        <w:t>возки 2 пилотов и 18 десантников. Опытный экзем</w:t>
      </w:r>
      <w:r w:rsidRPr="00640820">
        <w:rPr>
          <w:rFonts w:ascii="Times New Roman" w:hAnsi="Times New Roman"/>
          <w:color w:val="000000" w:themeColor="text1"/>
          <w:sz w:val="16"/>
          <w:szCs w:val="16"/>
        </w:rPr>
        <w:softHyphen/>
        <w:t>пляр строился в поселке Быково под Москвой. Там же параллельно готовился серийный выпуск планеров А-7.</w:t>
      </w:r>
    </w:p>
    <w:p w14:paraId="7720B63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проектировании конструкторы были жестко ограничены как по времени, так и по номенклатуре применяемых материалов. Заказчик позволял ис</w:t>
      </w:r>
      <w:r w:rsidRPr="00640820">
        <w:rPr>
          <w:rFonts w:ascii="Times New Roman" w:hAnsi="Times New Roman"/>
          <w:color w:val="000000" w:themeColor="text1"/>
          <w:sz w:val="16"/>
          <w:szCs w:val="16"/>
        </w:rPr>
        <w:softHyphen/>
        <w:t>пользовать в каждом планере только несколько ки</w:t>
      </w:r>
      <w:r w:rsidRPr="00640820">
        <w:rPr>
          <w:rFonts w:ascii="Times New Roman" w:hAnsi="Times New Roman"/>
          <w:color w:val="000000" w:themeColor="text1"/>
          <w:sz w:val="16"/>
          <w:szCs w:val="16"/>
        </w:rPr>
        <w:softHyphen/>
        <w:t>лограммов металла (не считая гвоздей), а все детали и агрегаты делать из дерева и полотна. Поэтому ру</w:t>
      </w:r>
      <w:r w:rsidRPr="00640820">
        <w:rPr>
          <w:rFonts w:ascii="Times New Roman" w:hAnsi="Times New Roman"/>
          <w:color w:val="000000" w:themeColor="text1"/>
          <w:sz w:val="16"/>
          <w:szCs w:val="16"/>
        </w:rPr>
        <w:softHyphen/>
        <w:t>левая колонка, штурвалы, качалки управления и даже оси колес шасси были сделаны из фанеры или де</w:t>
      </w:r>
      <w:r w:rsidRPr="00640820">
        <w:rPr>
          <w:rFonts w:ascii="Times New Roman" w:hAnsi="Times New Roman"/>
          <w:color w:val="000000" w:themeColor="text1"/>
          <w:sz w:val="16"/>
          <w:szCs w:val="16"/>
        </w:rPr>
        <w:softHyphen/>
        <w:t>рева. И только тросы системы управления и обоймы подшипников скольжения в шасси были сделаны из стали. В результате прототип планера КЦ имел много серьезных конструктивных недостатков. Так, в неза</w:t>
      </w:r>
      <w:r w:rsidRPr="00640820">
        <w:rPr>
          <w:rFonts w:ascii="Times New Roman" w:hAnsi="Times New Roman"/>
          <w:color w:val="000000" w:themeColor="text1"/>
          <w:sz w:val="16"/>
          <w:szCs w:val="16"/>
        </w:rPr>
        <w:softHyphen/>
        <w:t>груженном состоянии он получил очень заднюю цен</w:t>
      </w:r>
      <w:r w:rsidRPr="00640820">
        <w:rPr>
          <w:rFonts w:ascii="Times New Roman" w:hAnsi="Times New Roman"/>
          <w:color w:val="000000" w:themeColor="text1"/>
          <w:sz w:val="16"/>
          <w:szCs w:val="16"/>
        </w:rPr>
        <w:softHyphen/>
        <w:t>тровку (50% САХ) и был «дубоватым» в управлении.</w:t>
      </w:r>
    </w:p>
    <w:p w14:paraId="3CFC077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Позже, на статических испытаниях в ЦАГИ, вы</w:t>
      </w:r>
      <w:r w:rsidRPr="00640820">
        <w:rPr>
          <w:rFonts w:ascii="Times New Roman" w:hAnsi="Times New Roman"/>
          <w:color w:val="000000" w:themeColor="text1"/>
          <w:sz w:val="16"/>
          <w:szCs w:val="16"/>
        </w:rPr>
        <w:softHyphen/>
        <w:t>явилась неравнопрочность конструкции. Так, центроплан разрушался при нагрузке, в 2,5 превышающей расчетную, а хвост ломался при нагрузке в 45% от расчетной. Исправить такие ошибки в серии было бы очень трудно.</w:t>
      </w:r>
    </w:p>
    <w:p w14:paraId="2BB7612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связи с тем, что враг стоял у стен Москвы, планер решили перегнать в тыл. При перелете, 15 октября, планер, пилотируемый И.Л. Карташе- вым, разбился, а пилот погиб. При разбеге КЦ резко пошел вверх, и самолет-буксировщик, чтобы не раз</w:t>
      </w:r>
      <w:r w:rsidRPr="00640820">
        <w:rPr>
          <w:rFonts w:ascii="Times New Roman" w:hAnsi="Times New Roman"/>
          <w:color w:val="000000" w:themeColor="text1"/>
          <w:sz w:val="16"/>
          <w:szCs w:val="16"/>
        </w:rPr>
        <w:softHyphen/>
        <w:t>биться из-за поднимающегося хвоста, отцепил пла</w:t>
      </w:r>
      <w:r w:rsidRPr="00640820">
        <w:rPr>
          <w:rFonts w:ascii="Times New Roman" w:hAnsi="Times New Roman"/>
          <w:color w:val="000000" w:themeColor="text1"/>
          <w:sz w:val="16"/>
          <w:szCs w:val="16"/>
        </w:rPr>
        <w:softHyphen/>
        <w:t>нер, и тот потерял скорость, свалился на хвост и раз</w:t>
      </w:r>
      <w:r w:rsidRPr="00640820">
        <w:rPr>
          <w:rFonts w:ascii="Times New Roman" w:hAnsi="Times New Roman"/>
          <w:color w:val="000000" w:themeColor="text1"/>
          <w:sz w:val="16"/>
          <w:szCs w:val="16"/>
        </w:rPr>
        <w:softHyphen/>
        <w:t>бился. Катастрофа произошла из-за того, что забыли установить балансировочный груз в нос планера (12300).</w:t>
      </w:r>
    </w:p>
    <w:p w14:paraId="351812B4"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779259EE" w14:textId="77777777" w:rsidR="00D25302" w:rsidRPr="00640820" w:rsidRDefault="00D25302"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 xml:space="preserve">В начале октября 1941 г. был готов первый опытный образец планера КЦ. </w:t>
      </w:r>
    </w:p>
    <w:p w14:paraId="4490F7CC" w14:textId="77777777" w:rsidR="00D25302" w:rsidRPr="00640820" w:rsidRDefault="00D25302"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 xml:space="preserve">В самом начале войны инженеры-конструкторы П. В. Цыбин и Д. Н. Колесников работали под эгидой Военно-Воздушной Инженерной Академии им. Н. Е. Жуковского. Там они спроектировали тяжёлый десантный планер КЦ, предназначенный для перевозки 2 пилотов и 18 десантников. Опытный экземпляр строился в </w:t>
      </w:r>
      <w:r w:rsidRPr="00640820">
        <w:rPr>
          <w:color w:val="000000" w:themeColor="text1"/>
          <w:sz w:val="16"/>
          <w:szCs w:val="16"/>
        </w:rPr>
        <w:lastRenderedPageBreak/>
        <w:t>п. Быково под Москвой. Там же параллельно готовился серийный выпуск планеров А-7.</w:t>
      </w:r>
    </w:p>
    <w:p w14:paraId="087F1C2A" w14:textId="77777777" w:rsidR="00D25302" w:rsidRPr="00640820" w:rsidRDefault="00D25302"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При проектировании конструкторы были жёстко ограничены, как по времени, так и по номенклатуре применяемых материалов. Заказчик позволял использовать в каждом планере только несколько килограммов металла (не считая гвоздей), а все детали и агрегаты делать из дерева и полотна. Поэтому рулевая колонка, штурвалы, качалки управления, и даже оси колёс шасси, были сделаны из фанеры или дерева. И только тросы системы управления и обоймы подшипников скольжения в шасси были сделаны из стали. В результате прототип планера КЦ имел много серьёзных конструктивных недостатков. Так, в незагруженном состоянии он получил очень заднюю центровку (50% САХ) и был «дубоватым» в управлении.</w:t>
      </w:r>
    </w:p>
    <w:p w14:paraId="0F681C93" w14:textId="77777777" w:rsidR="00D25302" w:rsidRPr="00640820" w:rsidRDefault="00D25302"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Позже, на статических испытаниях в ЦАГИ, выявилась неравнопрочность конструкции. Так, центроплан разрушался при нагрузке, в 2,5 превышающей расчётную, а хвост ломался при нагрузке в 45% от расчётной.</w:t>
      </w:r>
    </w:p>
    <w:p w14:paraId="281CF86A" w14:textId="77777777" w:rsidR="00D25302" w:rsidRPr="00640820" w:rsidRDefault="00D25302"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В связи с тем, что враг стоял у стен Москвы, планер решили перегнать в тыл. При перелёте, 15 октября, планер, пилотируемый И. Л. Карташёвым, разбился, а пилот погиб. При разбеге КЦ резко пошёл вверх, и самолёт-буксировщик, чтобы не разбиться из-за поднимающегося хвоста, отцепил планер, и тот потерял скорость, свалился на хвост и разбился. Катастрофа произошла из-за того, что забыли установить балансировочный груз в нос планера (19191).</w:t>
      </w:r>
    </w:p>
    <w:p w14:paraId="7A72B925" w14:textId="77777777" w:rsidR="00D25302" w:rsidRPr="00640820" w:rsidRDefault="00D25302" w:rsidP="00640820">
      <w:pPr>
        <w:pStyle w:val="ae"/>
        <w:shd w:val="clear" w:color="auto" w:fill="FFFFFF"/>
        <w:spacing w:before="0" w:after="0"/>
        <w:jc w:val="both"/>
        <w:textAlignment w:val="baseline"/>
        <w:rPr>
          <w:color w:val="000000" w:themeColor="text1"/>
          <w:sz w:val="16"/>
          <w:szCs w:val="16"/>
        </w:rPr>
      </w:pPr>
    </w:p>
    <w:p w14:paraId="1E35BAF4" w14:textId="77777777" w:rsidR="00D25302" w:rsidRPr="00640820" w:rsidRDefault="00D253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октября 1941 г. в строевых авиачастях скопилось около 2200 неисправных самолетов, а в частях дальней бомбардировочной авиации, имевших на вооружении 504 машины, требовали восстановления 216 машин. Ремонтными работами занялись мастерские, возникавшие в цехах эвакуированных авиазаводов. Только в Москве к 20 октября 1941 г. таковых насчитывалось 15. К 19 ноября в них силами 4867 рабочих были возвращены к жизни 70 самолетов. Постепенно на базе ремонтных мастерских стали воссоздаваться авиазаводы, которые в основном занялись выпуском продукции, производившейся там прежде. В Москве течение 1942 г. были восстановлены шесть самолетных заводов (18305).</w:t>
      </w:r>
    </w:p>
    <w:p w14:paraId="0E51D585" w14:textId="77777777" w:rsidR="00D25302" w:rsidRPr="00640820" w:rsidRDefault="00D25302" w:rsidP="00640820">
      <w:pPr>
        <w:spacing w:after="0" w:line="240" w:lineRule="auto"/>
        <w:jc w:val="both"/>
        <w:rPr>
          <w:rFonts w:ascii="Times New Roman" w:hAnsi="Times New Roman"/>
          <w:color w:val="000000" w:themeColor="text1"/>
          <w:sz w:val="16"/>
          <w:szCs w:val="16"/>
        </w:rPr>
      </w:pPr>
    </w:p>
    <w:p w14:paraId="74790F9A"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6358814D"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56558A3" w14:textId="77777777" w:rsidR="004E06EE" w:rsidRPr="00640820" w:rsidRDefault="004E06EE" w:rsidP="00640820">
      <w:pPr>
        <w:pStyle w:val="35"/>
        <w:shd w:val="clear" w:color="auto" w:fill="auto"/>
        <w:spacing w:after="0" w:line="240" w:lineRule="auto"/>
        <w:jc w:val="both"/>
        <w:rPr>
          <w:rFonts w:ascii="Times New Roman" w:cs="Times New Roman"/>
          <w:color w:val="000000" w:themeColor="text1"/>
          <w:spacing w:val="0"/>
          <w:sz w:val="16"/>
          <w:szCs w:val="16"/>
        </w:rPr>
      </w:pPr>
      <w:r w:rsidRPr="00640820">
        <w:rPr>
          <w:rFonts w:ascii="Times New Roman" w:cs="Times New Roman"/>
          <w:color w:val="000000" w:themeColor="text1"/>
          <w:spacing w:val="0"/>
          <w:sz w:val="16"/>
          <w:szCs w:val="16"/>
        </w:rPr>
        <w:t>В начале октября 1941 г. в рабочий поселке Вятские Поля</w:t>
      </w:r>
      <w:r w:rsidRPr="00640820">
        <w:rPr>
          <w:rFonts w:ascii="Times New Roman" w:cs="Times New Roman"/>
          <w:color w:val="000000" w:themeColor="text1"/>
          <w:spacing w:val="0"/>
          <w:sz w:val="16"/>
          <w:szCs w:val="16"/>
        </w:rPr>
        <w:softHyphen/>
        <w:t>ны Кировской области эвакуировали завод по изготовлению пистолетов-пулеметов из Загорска и завод по выпуску магазинов из Лопасни. Для размеще</w:t>
      </w:r>
      <w:r w:rsidRPr="00640820">
        <w:rPr>
          <w:rFonts w:ascii="Times New Roman" w:cs="Times New Roman"/>
          <w:color w:val="000000" w:themeColor="text1"/>
          <w:spacing w:val="0"/>
          <w:sz w:val="16"/>
          <w:szCs w:val="16"/>
        </w:rPr>
        <w:softHyphen/>
        <w:t>ния производства использовали корпуса недо</w:t>
      </w:r>
      <w:r w:rsidRPr="00640820">
        <w:rPr>
          <w:rFonts w:ascii="Times New Roman" w:cs="Times New Roman"/>
          <w:color w:val="000000" w:themeColor="text1"/>
          <w:spacing w:val="0"/>
          <w:sz w:val="16"/>
          <w:szCs w:val="16"/>
        </w:rPr>
        <w:softHyphen/>
        <w:t>строенной шпульной фабрики. Отправка эше</w:t>
      </w:r>
      <w:r w:rsidRPr="00640820">
        <w:rPr>
          <w:rFonts w:ascii="Times New Roman" w:cs="Times New Roman"/>
          <w:color w:val="000000" w:themeColor="text1"/>
          <w:spacing w:val="0"/>
          <w:sz w:val="16"/>
          <w:szCs w:val="16"/>
        </w:rPr>
        <w:softHyphen/>
        <w:t>лонов в Заволжье производилась с интервалом в три-четыре дня. Сейчас этот путь по желез</w:t>
      </w:r>
      <w:r w:rsidRPr="00640820">
        <w:rPr>
          <w:rFonts w:ascii="Times New Roman" w:cs="Times New Roman"/>
          <w:color w:val="000000" w:themeColor="text1"/>
          <w:spacing w:val="0"/>
          <w:sz w:val="16"/>
          <w:szCs w:val="16"/>
        </w:rPr>
        <w:softHyphen/>
        <w:t>ной дороге займет не больше суток. Но осенью 1941 г. продвижение поездов к месту назначе</w:t>
      </w:r>
      <w:r w:rsidRPr="00640820">
        <w:rPr>
          <w:rFonts w:ascii="Times New Roman" w:cs="Times New Roman"/>
          <w:color w:val="000000" w:themeColor="text1"/>
          <w:spacing w:val="0"/>
          <w:sz w:val="16"/>
          <w:szCs w:val="16"/>
        </w:rPr>
        <w:softHyphen/>
        <w:t>ния сильно задерживалось: преимуществами пользовались воинские эшелоны, идущие на запад, а другие поезда простаивали на запас</w:t>
      </w:r>
      <w:r w:rsidRPr="00640820">
        <w:rPr>
          <w:rFonts w:ascii="Times New Roman" w:cs="Times New Roman"/>
          <w:color w:val="000000" w:themeColor="text1"/>
          <w:spacing w:val="0"/>
          <w:sz w:val="16"/>
          <w:szCs w:val="16"/>
        </w:rPr>
        <w:softHyphen/>
        <w:t>ных путях и в тупиках; при переформировании порой терялись вагоны. Последний эшелон с оборудованием из Загорска прибыл на станцию назначения 7 ноября, а закончить переброску незавершенного производства, вспомогатель</w:t>
      </w:r>
      <w:r w:rsidRPr="00640820">
        <w:rPr>
          <w:rFonts w:ascii="Times New Roman" w:cs="Times New Roman"/>
          <w:color w:val="000000" w:themeColor="text1"/>
          <w:spacing w:val="0"/>
          <w:sz w:val="16"/>
          <w:szCs w:val="16"/>
        </w:rPr>
        <w:softHyphen/>
        <w:t>ного оборудования, запасов материалов, рабо</w:t>
      </w:r>
      <w:r w:rsidRPr="00640820">
        <w:rPr>
          <w:rFonts w:ascii="Times New Roman" w:cs="Times New Roman"/>
          <w:color w:val="000000" w:themeColor="text1"/>
          <w:spacing w:val="0"/>
          <w:sz w:val="16"/>
          <w:szCs w:val="16"/>
        </w:rPr>
        <w:softHyphen/>
        <w:t>чих с семьями удалось только к концу ноября.</w:t>
      </w:r>
    </w:p>
    <w:p w14:paraId="2C06541C" w14:textId="77777777" w:rsidR="004E06EE" w:rsidRPr="00640820" w:rsidRDefault="004E06EE" w:rsidP="00640820">
      <w:pPr>
        <w:pStyle w:val="35"/>
        <w:shd w:val="clear" w:color="auto" w:fill="auto"/>
        <w:spacing w:after="0" w:line="240" w:lineRule="auto"/>
        <w:jc w:val="both"/>
        <w:rPr>
          <w:rFonts w:ascii="Times New Roman" w:cs="Times New Roman"/>
          <w:color w:val="000000" w:themeColor="text1"/>
          <w:spacing w:val="0"/>
          <w:sz w:val="16"/>
          <w:szCs w:val="16"/>
        </w:rPr>
      </w:pPr>
      <w:r w:rsidRPr="00640820">
        <w:rPr>
          <w:rFonts w:ascii="Times New Roman" w:cs="Times New Roman"/>
          <w:color w:val="000000" w:themeColor="text1"/>
          <w:spacing w:val="0"/>
          <w:sz w:val="16"/>
          <w:szCs w:val="16"/>
        </w:rPr>
        <w:t>В этот период в Вятских Полянах уже ве</w:t>
      </w:r>
      <w:r w:rsidRPr="00640820">
        <w:rPr>
          <w:rFonts w:ascii="Times New Roman" w:cs="Times New Roman"/>
          <w:color w:val="000000" w:themeColor="text1"/>
          <w:spacing w:val="0"/>
          <w:sz w:val="16"/>
          <w:szCs w:val="16"/>
        </w:rPr>
        <w:softHyphen/>
        <w:t>лись строительные работы: Наркомат воо</w:t>
      </w:r>
      <w:r w:rsidRPr="00640820">
        <w:rPr>
          <w:rFonts w:ascii="Times New Roman" w:cs="Times New Roman"/>
          <w:color w:val="000000" w:themeColor="text1"/>
          <w:spacing w:val="0"/>
          <w:sz w:val="16"/>
          <w:szCs w:val="16"/>
        </w:rPr>
        <w:softHyphen/>
        <w:t>ружения направил сюда свои строительные организации; также были переброшены два строительных батальона, к строительству при</w:t>
      </w:r>
      <w:r w:rsidRPr="00640820">
        <w:rPr>
          <w:rFonts w:ascii="Times New Roman" w:cs="Times New Roman"/>
          <w:color w:val="000000" w:themeColor="text1"/>
          <w:spacing w:val="0"/>
          <w:sz w:val="16"/>
          <w:szCs w:val="16"/>
        </w:rPr>
        <w:softHyphen/>
        <w:t>влекали и прибывающих рабочих и техников завода. В.Н. Новиков, бывший тогда заме</w:t>
      </w:r>
      <w:r w:rsidRPr="00640820">
        <w:rPr>
          <w:rFonts w:ascii="Times New Roman" w:cs="Times New Roman"/>
          <w:color w:val="000000" w:themeColor="text1"/>
          <w:spacing w:val="0"/>
          <w:sz w:val="16"/>
          <w:szCs w:val="16"/>
        </w:rPr>
        <w:softHyphen/>
        <w:t xml:space="preserve">стителем наркома вооружения, вспоминал: </w:t>
      </w:r>
      <w:r w:rsidRPr="00640820">
        <w:rPr>
          <w:rStyle w:val="aff5"/>
          <w:rFonts w:ascii="Times New Roman" w:eastAsia="Arial Narrow" w:hAnsi="Times New Roman" w:cs="Times New Roman"/>
          <w:i w:val="0"/>
          <w:color w:val="000000" w:themeColor="text1"/>
          <w:spacing w:val="0"/>
        </w:rPr>
        <w:t>«... Начали со строительства железнодорож</w:t>
      </w:r>
      <w:r w:rsidRPr="00640820">
        <w:rPr>
          <w:rStyle w:val="aff5"/>
          <w:rFonts w:ascii="Times New Roman" w:eastAsia="Arial Narrow" w:hAnsi="Times New Roman" w:cs="Times New Roman"/>
          <w:i w:val="0"/>
          <w:color w:val="000000" w:themeColor="text1"/>
          <w:spacing w:val="0"/>
        </w:rPr>
        <w:softHyphen/>
        <w:t xml:space="preserve">ной ветки от станций до завода. К моменту </w:t>
      </w:r>
      <w:r w:rsidRPr="00640820">
        <w:rPr>
          <w:rFonts w:ascii="Times New Roman" w:cs="Times New Roman"/>
          <w:color w:val="000000" w:themeColor="text1"/>
          <w:spacing w:val="0"/>
          <w:sz w:val="16"/>
          <w:szCs w:val="16"/>
        </w:rPr>
        <w:t>«Серп и молот», «Красный штамповщик», «Ис</w:t>
      </w:r>
      <w:r w:rsidRPr="00640820">
        <w:rPr>
          <w:rFonts w:ascii="Times New Roman" w:cs="Times New Roman"/>
          <w:color w:val="000000" w:themeColor="text1"/>
          <w:spacing w:val="0"/>
          <w:sz w:val="16"/>
          <w:szCs w:val="16"/>
        </w:rPr>
        <w:softHyphen/>
        <w:t>кра», завод револьверных станков им. Серго Орджоникидзе, Московский механический завод, фабрика спортинвентаря, завод дере</w:t>
      </w:r>
      <w:r w:rsidRPr="00640820">
        <w:rPr>
          <w:rFonts w:ascii="Times New Roman" w:cs="Times New Roman"/>
          <w:color w:val="000000" w:themeColor="text1"/>
          <w:spacing w:val="0"/>
          <w:sz w:val="16"/>
          <w:szCs w:val="16"/>
        </w:rPr>
        <w:softHyphen/>
        <w:t>вообрабатывающих станков и др. Распреде</w:t>
      </w:r>
      <w:r w:rsidRPr="00640820">
        <w:rPr>
          <w:rFonts w:ascii="Times New Roman" w:cs="Times New Roman"/>
          <w:color w:val="000000" w:themeColor="text1"/>
          <w:spacing w:val="0"/>
          <w:sz w:val="16"/>
          <w:szCs w:val="16"/>
        </w:rPr>
        <w:softHyphen/>
        <w:t>ление и исполнение заказов на детали ППШ подтверждает правило - дело не во внешнем сходстве готовой продукции, а в схожести тех</w:t>
      </w:r>
      <w:r w:rsidRPr="00640820">
        <w:rPr>
          <w:rFonts w:ascii="Times New Roman" w:cs="Times New Roman"/>
          <w:color w:val="000000" w:themeColor="text1"/>
          <w:spacing w:val="0"/>
          <w:sz w:val="16"/>
          <w:szCs w:val="16"/>
        </w:rPr>
        <w:softHyphen/>
        <w:t>нологических операций и требований. Так, за</w:t>
      </w:r>
      <w:r w:rsidRPr="00640820">
        <w:rPr>
          <w:rFonts w:ascii="Times New Roman" w:cs="Times New Roman"/>
          <w:color w:val="000000" w:themeColor="text1"/>
          <w:spacing w:val="0"/>
          <w:sz w:val="16"/>
          <w:szCs w:val="16"/>
        </w:rPr>
        <w:softHyphen/>
        <w:t>воду им. Серго Орджоникидзе задавалась про</w:t>
      </w:r>
      <w:r w:rsidRPr="00640820">
        <w:rPr>
          <w:rFonts w:ascii="Times New Roman" w:cs="Times New Roman"/>
          <w:color w:val="000000" w:themeColor="text1"/>
          <w:spacing w:val="0"/>
          <w:sz w:val="16"/>
          <w:szCs w:val="16"/>
        </w:rPr>
        <w:softHyphen/>
        <w:t>грамма 500-550 комплектов затворов ППШ в сутки; Государственный подшипниковый завод ГПЗ-1 изготавливал магазины. Координацию работ осуществлял отдел машиностроения МГК ВКП(б).</w:t>
      </w:r>
    </w:p>
    <w:p w14:paraId="09D5896C" w14:textId="77777777" w:rsidR="004E06EE" w:rsidRPr="00640820" w:rsidRDefault="004E06EE" w:rsidP="00640820">
      <w:pPr>
        <w:pStyle w:val="35"/>
        <w:shd w:val="clear" w:color="auto" w:fill="auto"/>
        <w:spacing w:after="0" w:line="240" w:lineRule="auto"/>
        <w:jc w:val="both"/>
        <w:rPr>
          <w:rFonts w:ascii="Times New Roman" w:cs="Times New Roman"/>
          <w:color w:val="000000" w:themeColor="text1"/>
          <w:spacing w:val="0"/>
          <w:sz w:val="16"/>
          <w:szCs w:val="16"/>
        </w:rPr>
      </w:pPr>
      <w:r w:rsidRPr="00640820">
        <w:rPr>
          <w:rFonts w:ascii="Times New Roman" w:cs="Times New Roman"/>
          <w:color w:val="000000" w:themeColor="text1"/>
          <w:spacing w:val="0"/>
          <w:sz w:val="16"/>
          <w:szCs w:val="16"/>
        </w:rPr>
        <w:t>Была организована сеть технических кур</w:t>
      </w:r>
      <w:r w:rsidRPr="00640820">
        <w:rPr>
          <w:rFonts w:ascii="Times New Roman" w:cs="Times New Roman"/>
          <w:color w:val="000000" w:themeColor="text1"/>
          <w:spacing w:val="0"/>
          <w:sz w:val="16"/>
          <w:szCs w:val="16"/>
        </w:rPr>
        <w:softHyphen/>
        <w:t>сов, школ, кружков для подготовки рабочих кадров - в основном из женщин и молодежи. Меры принимались по-военному строгие: по</w:t>
      </w:r>
      <w:r w:rsidRPr="00640820">
        <w:rPr>
          <w:rFonts w:ascii="Times New Roman" w:cs="Times New Roman"/>
          <w:color w:val="000000" w:themeColor="text1"/>
          <w:spacing w:val="0"/>
          <w:sz w:val="16"/>
          <w:szCs w:val="16"/>
        </w:rPr>
        <w:softHyphen/>
        <w:t>сле «срыва плана» по производству деталей для ППШ директор завода АТЭ №1 в начале декабря 1941 г. получил не только строгий вы</w:t>
      </w:r>
      <w:r w:rsidRPr="00640820">
        <w:rPr>
          <w:rFonts w:ascii="Times New Roman" w:cs="Times New Roman"/>
          <w:color w:val="000000" w:themeColor="text1"/>
          <w:spacing w:val="0"/>
          <w:sz w:val="16"/>
          <w:szCs w:val="16"/>
        </w:rPr>
        <w:softHyphen/>
        <w:t>говор, но и предупреждение, что будет снят со всех постов, исключен из ВКП(б) и передан суду военного трибунала.</w:t>
      </w:r>
    </w:p>
    <w:p w14:paraId="6005A024" w14:textId="77777777" w:rsidR="004E06EE" w:rsidRPr="00640820" w:rsidRDefault="004E06EE" w:rsidP="00640820">
      <w:pPr>
        <w:pStyle w:val="35"/>
        <w:shd w:val="clear" w:color="auto" w:fill="auto"/>
        <w:spacing w:after="0" w:line="240" w:lineRule="auto"/>
        <w:jc w:val="both"/>
        <w:rPr>
          <w:rFonts w:ascii="Times New Roman" w:cs="Times New Roman"/>
          <w:color w:val="000000" w:themeColor="text1"/>
          <w:spacing w:val="0"/>
          <w:sz w:val="16"/>
          <w:szCs w:val="16"/>
        </w:rPr>
      </w:pPr>
      <w:r w:rsidRPr="00640820">
        <w:rPr>
          <w:rFonts w:ascii="Times New Roman" w:cs="Times New Roman"/>
          <w:color w:val="000000" w:themeColor="text1"/>
          <w:spacing w:val="0"/>
          <w:sz w:val="16"/>
          <w:szCs w:val="16"/>
        </w:rPr>
        <w:t>Ряд предприятий представлял собой пло</w:t>
      </w:r>
      <w:r w:rsidRPr="00640820">
        <w:rPr>
          <w:rFonts w:ascii="Times New Roman" w:cs="Times New Roman"/>
          <w:color w:val="000000" w:themeColor="text1"/>
          <w:spacing w:val="0"/>
          <w:sz w:val="16"/>
          <w:szCs w:val="16"/>
        </w:rPr>
        <w:softHyphen/>
        <w:t>щадки, с которых основную часть производ</w:t>
      </w:r>
      <w:r w:rsidRPr="00640820">
        <w:rPr>
          <w:rFonts w:ascii="Times New Roman" w:cs="Times New Roman"/>
          <w:color w:val="000000" w:themeColor="text1"/>
          <w:spacing w:val="0"/>
          <w:sz w:val="16"/>
          <w:szCs w:val="16"/>
        </w:rPr>
        <w:softHyphen/>
        <w:t>ства уже эвакуировали, поэтому приходилось искать станки и заново набирать рабочих. Быв</w:t>
      </w:r>
      <w:r w:rsidRPr="00640820">
        <w:rPr>
          <w:rStyle w:val="4f0"/>
          <w:rFonts w:ascii="Times New Roman" w:hAnsi="Times New Roman" w:cs="Times New Roman"/>
          <w:i w:val="0"/>
          <w:color w:val="000000" w:themeColor="text1"/>
          <w:spacing w:val="0"/>
          <w:sz w:val="16"/>
          <w:szCs w:val="16"/>
        </w:rPr>
        <w:t xml:space="preserve">ший директор ГПЗ-1 А.А. Громов вспоминал: </w:t>
      </w:r>
      <w:r w:rsidRPr="00640820">
        <w:rPr>
          <w:rFonts w:ascii="Times New Roman" w:cs="Times New Roman"/>
          <w:color w:val="000000" w:themeColor="text1"/>
          <w:spacing w:val="0"/>
          <w:sz w:val="16"/>
          <w:szCs w:val="16"/>
        </w:rPr>
        <w:t>«...На заводе не хватало мелких фрезерных станков. "Разведка" донесла, что в ремеслен</w:t>
      </w:r>
      <w:r w:rsidRPr="00640820">
        <w:rPr>
          <w:rFonts w:ascii="Times New Roman" w:cs="Times New Roman"/>
          <w:color w:val="000000" w:themeColor="text1"/>
          <w:spacing w:val="0"/>
          <w:sz w:val="16"/>
          <w:szCs w:val="16"/>
        </w:rPr>
        <w:softHyphen/>
        <w:t>ном училище на улице им. Осипенко, которое готовило фрезеровщиков, осталось оборудо</w:t>
      </w:r>
      <w:r w:rsidRPr="00640820">
        <w:rPr>
          <w:rFonts w:ascii="Times New Roman" w:cs="Times New Roman"/>
          <w:color w:val="000000" w:themeColor="text1"/>
          <w:spacing w:val="0"/>
          <w:sz w:val="16"/>
          <w:szCs w:val="16"/>
        </w:rPr>
        <w:softHyphen/>
        <w:t>вание... я в тот же час был там. А еще через несколько часов на найденных стёнках было начато освоение первых образцов» (15779).</w:t>
      </w:r>
    </w:p>
    <w:p w14:paraId="52DD6FDA" w14:textId="77777777" w:rsidR="004E06EE" w:rsidRPr="00640820" w:rsidRDefault="004E06EE" w:rsidP="00640820">
      <w:pPr>
        <w:spacing w:after="0" w:line="240" w:lineRule="auto"/>
        <w:jc w:val="both"/>
        <w:rPr>
          <w:rFonts w:ascii="Times New Roman" w:hAnsi="Times New Roman"/>
          <w:color w:val="000000" w:themeColor="text1"/>
          <w:sz w:val="16"/>
          <w:szCs w:val="16"/>
        </w:rPr>
      </w:pPr>
    </w:p>
    <w:p w14:paraId="1418D1D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октября 1941 г. Т-40 с 23-мм пушкой ПТ-23ТБ прошел поли</w:t>
      </w:r>
      <w:r w:rsidRPr="00640820">
        <w:rPr>
          <w:rFonts w:ascii="Times New Roman" w:hAnsi="Times New Roman"/>
          <w:color w:val="000000" w:themeColor="text1"/>
          <w:sz w:val="16"/>
          <w:szCs w:val="16"/>
        </w:rPr>
        <w:softHyphen/>
        <w:t>гонные испытания. На вооружение РККА танк не принимался и серий</w:t>
      </w:r>
      <w:r w:rsidRPr="00640820">
        <w:rPr>
          <w:rFonts w:ascii="Times New Roman" w:hAnsi="Times New Roman"/>
          <w:color w:val="000000" w:themeColor="text1"/>
          <w:sz w:val="16"/>
          <w:szCs w:val="16"/>
        </w:rPr>
        <w:softHyphen/>
        <w:t>но не производился. Машина отличалась от серийного танка Т-40 вооружением и разме</w:t>
      </w:r>
      <w:r w:rsidRPr="00640820">
        <w:rPr>
          <w:rFonts w:ascii="Times New Roman" w:hAnsi="Times New Roman"/>
          <w:color w:val="000000" w:themeColor="text1"/>
          <w:sz w:val="16"/>
          <w:szCs w:val="16"/>
        </w:rPr>
        <w:softHyphen/>
        <w:t>рами корпуса. В конической башне вместо спаренной установки пуле</w:t>
      </w:r>
      <w:r w:rsidRPr="00640820">
        <w:rPr>
          <w:rFonts w:ascii="Times New Roman" w:hAnsi="Times New Roman"/>
          <w:color w:val="000000" w:themeColor="text1"/>
          <w:sz w:val="16"/>
          <w:szCs w:val="16"/>
        </w:rPr>
        <w:softHyphen/>
        <w:t>метов ДШК и ДТ была размещена спаренная установка 23-мм автома</w:t>
      </w:r>
      <w:r w:rsidRPr="00640820">
        <w:rPr>
          <w:rFonts w:ascii="Times New Roman" w:hAnsi="Times New Roman"/>
          <w:color w:val="000000" w:themeColor="text1"/>
          <w:sz w:val="16"/>
          <w:szCs w:val="16"/>
        </w:rPr>
        <w:softHyphen/>
        <w:t>тической пушки ПТ-23ТБ конструкции Я.Г. Таубина и М.Н. Бабурина и 7,62-мм пулемета ДТ. Пушка была разработана на базе авиационной ав</w:t>
      </w:r>
      <w:r w:rsidRPr="00640820">
        <w:rPr>
          <w:rFonts w:ascii="Times New Roman" w:hAnsi="Times New Roman"/>
          <w:color w:val="000000" w:themeColor="text1"/>
          <w:sz w:val="16"/>
          <w:szCs w:val="16"/>
        </w:rPr>
        <w:softHyphen/>
        <w:t>томатической пушки МП-6 в ОКБ-16 (г. Москва). Для установки пуш</w:t>
      </w:r>
      <w:r w:rsidRPr="00640820">
        <w:rPr>
          <w:rFonts w:ascii="Times New Roman" w:hAnsi="Times New Roman"/>
          <w:color w:val="000000" w:themeColor="text1"/>
          <w:sz w:val="16"/>
          <w:szCs w:val="16"/>
        </w:rPr>
        <w:softHyphen/>
        <w:t>ки в танк ее конструкция была доработана А.Э. Нудельманом. Углы на</w:t>
      </w:r>
      <w:r w:rsidRPr="00640820">
        <w:rPr>
          <w:rFonts w:ascii="Times New Roman" w:hAnsi="Times New Roman"/>
          <w:color w:val="000000" w:themeColor="text1"/>
          <w:sz w:val="16"/>
          <w:szCs w:val="16"/>
        </w:rPr>
        <w:softHyphen/>
        <w:t>водки спаренной установки по вертикали составляли от -5 до +27°. Для наводки оружия использовались ручные шестеренчатый горизонталь</w:t>
      </w:r>
      <w:r w:rsidRPr="00640820">
        <w:rPr>
          <w:rFonts w:ascii="Times New Roman" w:hAnsi="Times New Roman"/>
          <w:color w:val="000000" w:themeColor="text1"/>
          <w:sz w:val="16"/>
          <w:szCs w:val="16"/>
        </w:rPr>
        <w:softHyphen/>
        <w:t>ный (справа от спаренной установки) и винтовой вертикальный (слева от спаренной установки) механизмы. Для прицельной стрельбы ис</w:t>
      </w:r>
      <w:r w:rsidRPr="00640820">
        <w:rPr>
          <w:rFonts w:ascii="Times New Roman" w:hAnsi="Times New Roman"/>
          <w:color w:val="000000" w:themeColor="text1"/>
          <w:sz w:val="16"/>
          <w:szCs w:val="16"/>
        </w:rPr>
        <w:softHyphen/>
        <w:t>пользовался телескопический прицел ТМФП-1 и простой механичес</w:t>
      </w:r>
      <w:r w:rsidRPr="00640820">
        <w:rPr>
          <w:rFonts w:ascii="Times New Roman" w:hAnsi="Times New Roman"/>
          <w:color w:val="000000" w:themeColor="text1"/>
          <w:sz w:val="16"/>
          <w:szCs w:val="16"/>
        </w:rPr>
        <w:softHyphen/>
        <w:t>кий прицел - в качестве резервного. Дальность стрельбы прямой навод</w:t>
      </w:r>
      <w:r w:rsidRPr="00640820">
        <w:rPr>
          <w:rFonts w:ascii="Times New Roman" w:hAnsi="Times New Roman"/>
          <w:color w:val="000000" w:themeColor="text1"/>
          <w:sz w:val="16"/>
          <w:szCs w:val="16"/>
        </w:rPr>
        <w:softHyphen/>
        <w:t>кой составляла 2800 м, максимальная - 9000 м. В боекомплект танка входили 154 выстрела к пушке и 2016 патронов к пулемету ДТ (32 дис</w:t>
      </w:r>
      <w:r w:rsidRPr="00640820">
        <w:rPr>
          <w:rFonts w:ascii="Times New Roman" w:hAnsi="Times New Roman"/>
          <w:color w:val="000000" w:themeColor="text1"/>
          <w:sz w:val="16"/>
          <w:szCs w:val="16"/>
        </w:rPr>
        <w:softHyphen/>
        <w:t>ка). Начальная скорость бронебойного снаряда составляла 830 м/с (10703).</w:t>
      </w:r>
    </w:p>
    <w:p w14:paraId="17360DA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B77C0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начала октября 1941 г. производство тракторов на ЧКЗ было по</w:t>
      </w:r>
      <w:r w:rsidRPr="00640820">
        <w:rPr>
          <w:rFonts w:ascii="Times New Roman" w:hAnsi="Times New Roman"/>
          <w:color w:val="000000" w:themeColor="text1"/>
          <w:sz w:val="16"/>
          <w:szCs w:val="16"/>
        </w:rPr>
        <w:softHyphen/>
        <w:t>степенно свернуто, а летом 1942 г. тракторный конвейер был переделан для сборки танков Т-34-76 (10703).</w:t>
      </w:r>
    </w:p>
    <w:p w14:paraId="0D1D7AF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0279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началу октября 1941 опасность, нависшая над Харьковом, стала восприниматься советским руководством более реально. 4 октября выходит постановление ГКО, вносившее изменение в порядок эвакуации заводов № 75, № 183, ХТЗ и Мариупольского завода имени Ильича. 7 октября в соответствии с этим постановлением появился приказ наркома танковой промышленности Малышева В. А. № 53сс. Новые решения фактически отменяли двухэшелонный порядок эвакуации. Теперь эвакуировать следовало всё и при этом как можно быстрее. Срок был назван фантастически короткий, и поэтому невыполнимый – 15 октября, то есть, считая с днём появления приказа – 9 суток. Приказом был назначен срок начала производства танков на новом месте – 1 ноября. Эвакуации заводов НКТП из Харькова уделялось особое внимание, о чём свидетельствует то, что личный контроль за её осуществлением должен был осуществлять председатель комитета по эвакуации Шверник Н. М.. От НКТП в Харьков контролировать ход эвакуации был послан заместитель наркома Зернов. Нарком путей сообщения Л. М. Каганович должен был обеспечить подачу необходимого количества вагонов ( при этом точное число вагонов не указывалось, возможно, следовало исходить из того, сколько НКПС вообще сможет предоставить за такой короткий срок ). Начальник Главснаба НКТП Розин должен был обеспечить своевременное получение вагонов от НКПС. То, что на этот раз данная важная задача была доверена начальнику Главснаба, а не начальнику транспортного отдела, который должен был бы этим заниматься по своим служебным обязанностям, показывает, что перед этим с получением вагонов у НКТП возникали большие проблемы (11510).</w:t>
      </w:r>
    </w:p>
    <w:p w14:paraId="5CF8E0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2BA244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октября 1941 г. ЛКЗ отремонтировал находящиеся в его распоряжении опытные танки КВ-3 ("Объект 150") и КВ-220, а также его второй недостроенный опыт</w:t>
      </w:r>
      <w:r w:rsidRPr="00640820">
        <w:rPr>
          <w:rFonts w:ascii="Times New Roman" w:hAnsi="Times New Roman"/>
          <w:color w:val="000000" w:themeColor="text1"/>
          <w:sz w:val="16"/>
          <w:szCs w:val="16"/>
        </w:rPr>
        <w:softHyphen/>
        <w:t>ный образец. В ходе произведенного ремонта на опытные машины уста</w:t>
      </w:r>
      <w:r w:rsidRPr="00640820">
        <w:rPr>
          <w:rFonts w:ascii="Times New Roman" w:hAnsi="Times New Roman"/>
          <w:color w:val="000000" w:themeColor="text1"/>
          <w:sz w:val="16"/>
          <w:szCs w:val="16"/>
        </w:rPr>
        <w:softHyphen/>
        <w:t>новили башни серийного танка КВ-1 с 76,2-мм пушкой Ф-32 и отправи</w:t>
      </w:r>
      <w:r w:rsidRPr="00640820">
        <w:rPr>
          <w:rFonts w:ascii="Times New Roman" w:hAnsi="Times New Roman"/>
          <w:color w:val="000000" w:themeColor="text1"/>
          <w:sz w:val="16"/>
          <w:szCs w:val="16"/>
        </w:rPr>
        <w:softHyphen/>
        <w:t>ли на Ленинградский фронт, где они были потеряны в боях (10703).</w:t>
      </w:r>
    </w:p>
    <w:p w14:paraId="4A0F9C8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F4B8DD" w14:textId="77777777" w:rsidR="004E06EE" w:rsidRPr="00640820" w:rsidRDefault="004E06EE" w:rsidP="00640820">
      <w:pPr>
        <w:pStyle w:val="28"/>
        <w:shd w:val="clear" w:color="auto" w:fill="auto"/>
        <w:spacing w:before="0" w:line="240" w:lineRule="auto"/>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В начале октября 1941 года в адрес ГАУ КА было отправлено письмо, автором которого был главный инженер УЗТМ А. С. Рыжков. В письме Рыжков запрашивал все имеющиеся материалы по КВ-3, а также вооружению, которое предполагалось устанавливать на самоход. На этом запросе активность по теме «Истребителя ДОТов» на некоторое время снова затихла. Прежде всего, для практических работ по машине отсутствовала база в виде КВ-3. ЧТЗ, на который возлагалось освоение производства этого танка, уже в августе 1941 года стало совсем не до него. К тому же, Артиллерийский комитет ГАУ КА отнюдь не проявлял никаких признаков спешки по вопросу «Истребителя ДОТов». Все эти факторы и стали причиной затягивания работ. Вновь тема «Истребителя ДОТов» была поднята в конце ноября 1941 года. Причина оказалась прозаичной: из-за эвакуации заводов и снятия с ЧТЗ и СТЗ производства тракторов, прекратился выпуск артиллерийских тягачей. Возникла угроза, что в перспективе таскать артиллерию будет просто нечем. Для исправления ситуации было принято решение включить в план на 1942 год целое семейство самоходных установок. Первым номером в списке снова шёл «Истребитель ДОТов – 152-мм пушка БР-2 на шасси из агрегатов танка КВ» (15739).</w:t>
      </w:r>
    </w:p>
    <w:p w14:paraId="6E64DD9C" w14:textId="77777777" w:rsidR="004E06EE" w:rsidRPr="00640820" w:rsidRDefault="004E06EE" w:rsidP="00640820">
      <w:pPr>
        <w:pStyle w:val="28"/>
        <w:shd w:val="clear" w:color="auto" w:fill="auto"/>
        <w:spacing w:before="0" w:line="240" w:lineRule="auto"/>
        <w:jc w:val="both"/>
        <w:rPr>
          <w:rFonts w:ascii="Times New Roman" w:hAnsi="Times New Roman" w:cs="Times New Roman"/>
          <w:color w:val="000000" w:themeColor="text1"/>
          <w:sz w:val="16"/>
          <w:szCs w:val="16"/>
        </w:rPr>
      </w:pPr>
    </w:p>
    <w:p w14:paraId="2E969605" w14:textId="77777777" w:rsidR="00E86F52" w:rsidRPr="00640820" w:rsidRDefault="00E86F52"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начале октября 1941 года в адрес ГАУ КА было отправлено письмо, автором которого был главный инженер УЗТМ А. С. Рыжков. В письме Рыжков запрашивал все имеющиеся материалы по КВ-3, а также вооружению, которое предполагалось устанавливать на самоход. На этом запросе активность по теме «Истребителя ДОТов» на некоторое время снова затихла. Прежде всего, для практических работ по машине отсутствовала база в виде КВ-3. ЧТЗ, на который возлагалось освоение производства этого танка, уже в августе 1941 года стало совсем не до него. К тому же, Артиллерийский комитет ГАУ КА отнюдь не проявлял никаких признаков спешки по вопросу «Истребителя ДОТов». Все эти факторы и стали причиной затягивания работ. Вновь тема «Истребителя ДОТов» была поднята в конце ноября 1941 года. Причина оказалась прозаичной: из-за эвакуации заводов и снятия с ЧТЗ и СТЗ производства тракторов, прекратился выпуск артиллерийских тягачей. Возникла угроза, что в перспективе таскать артиллерию будет просто нечем.</w:t>
      </w:r>
    </w:p>
    <w:p w14:paraId="62060A77" w14:textId="77777777" w:rsidR="00E86F52" w:rsidRPr="00640820" w:rsidRDefault="00E86F52"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lastRenderedPageBreak/>
        <w:t>Для исправления ситуации было принято решение включить в план на 1942 год целое семейство самоходных установок. Первым номером в списке снова шёл «Истребитель ДОТов – 152-мм пушка БР-2 на шасси из агрегатов танка КВ» (17546).</w:t>
      </w:r>
    </w:p>
    <w:p w14:paraId="1CCC7078" w14:textId="77777777" w:rsidR="00E86F52" w:rsidRPr="00640820" w:rsidRDefault="00E86F52" w:rsidP="00640820">
      <w:pPr>
        <w:spacing w:after="0" w:line="240" w:lineRule="auto"/>
        <w:jc w:val="both"/>
        <w:rPr>
          <w:rFonts w:ascii="Times New Roman" w:hAnsi="Times New Roman"/>
          <w:color w:val="000000" w:themeColor="text1"/>
          <w:sz w:val="16"/>
          <w:szCs w:val="16"/>
        </w:rPr>
      </w:pPr>
    </w:p>
    <w:p w14:paraId="6A035B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начале октября 1941 года, когда производство танков KB в Ленинграде было практически полностью прекращено, опытные машины решили передать в войска. Они прошли необходимый ремонт, причем на КВ-3 и КВ-220 установили башни от серийных КВ-1, поскольку на КВ-3 башни не было вовсе, а на КВ-220 орудие окончательно было сломано еще в начале лета. Согласно документам военпредов, «танк Т-150, опытный, убыл 11 октября 1941 года в 123-ю танковую бригаду, танк КВ-220-1 заводской № М-220-1, опыт ный, убыл в 124-ю танковую бригаду 5 октября 1941 года, танк КВ-220-2 заводской № М-220-2, опытный, убыл в 124-ю танковую бригаду 16 октября 1941 года. Все танки вооружены 76-мм пушками Ф-32». </w:t>
      </w:r>
    </w:p>
    <w:p w14:paraId="1DC7CE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Сведения о дальнейшей судьбе этих машин крайне скудны. Так, Д.И.Осадчий, командир роты 124-й танковой бригады, рассказал следующее (цитируется дословно): «Осенью 1941 года наша бригада получила на пополнение несколько танков KB, один из которых назывался «За Родину!». Он был изготовлен в единственном экземпляре на Кировском заводе. Он обладал теми же возможностями, что и танк KB, но имел усиленную броневую защиту, вес более 100 т и более мощный двигатель с турбиной. При движении на высших передачах двигатель свистел, и этот свист был очень похож на свист пикирующих «юнкерсов». Первое время после получения танка при его движении в бригаде даже подавали сигнал «Воздух!». Танк поступил в мою роту и сначала хотели назначить его командиром меня, но потом его командиром стал мой заместитель, опытный танкист лейтенант Яхонин. Танк считался практически неуязвимым для артиллерии противника и предназначался для штурма укрепленных позиций. </w:t>
      </w:r>
    </w:p>
    <w:p w14:paraId="153E25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декабре 1941 года (точной даты я не помню) наша бригада получила задачу прорвать оборону немцев на участке Усть-Тосно — железнодорожный мост, форсировать р.Тосна и во взаимодействии с частями 43-й стрелковой дивизии развить наступление на Мгу. В первом эшелоне атаковал 2-й танковый батальон под командованием майора Пайкина, танковый взвод 1-го батальона и танк «За Родину!» моей роты. В данном бою танк получил задачу захватить железнодорожный мост через р.Тосна и удержать плацдарм для подхода основных сил. Бой развернулся на открытой местности. Промерзший верхний слой торфяника с трудом выдерживал танк. Когда он подошел вплотную к мосту, то был встречен огнем немецких тяжелых орудий и с ним пропала радиосвязь. Я находился в это время на КП батальона. Когда с танком «За Родину!» прервалась связь, я попытался пробраться к месту боя вдоль железнодорожной насыпи. Когда мне удалось подползти к танку, я увидел, что с него сбита башня, а весь экипаж погиб». </w:t>
      </w:r>
    </w:p>
    <w:p w14:paraId="0C413C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Таким образом, КВ-220 или КВ-3 (точно неизвестно) был подбит. О судьбе двух других танков у авторов достоверных сведений нет (11640).</w:t>
      </w:r>
    </w:p>
    <w:p w14:paraId="3DA7BC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6F613B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w:t>
      </w:r>
      <w:r w:rsidRPr="00640820">
        <w:rPr>
          <w:rFonts w:ascii="Times New Roman" w:hAnsi="Times New Roman"/>
          <w:color w:val="000000" w:themeColor="text1"/>
          <w:sz w:val="16"/>
          <w:szCs w:val="16"/>
        </w:rPr>
        <w:softHyphen/>
        <w:t>чале октября 1941 группа Муравьева по своей инициативе спроектировала самоходку ЗИС-41. Она представляла собой вращаю</w:t>
      </w:r>
      <w:r w:rsidRPr="00640820">
        <w:rPr>
          <w:rFonts w:ascii="Times New Roman" w:hAnsi="Times New Roman"/>
          <w:color w:val="000000" w:themeColor="text1"/>
          <w:sz w:val="16"/>
          <w:szCs w:val="16"/>
        </w:rPr>
        <w:softHyphen/>
        <w:t>щуюся часть пушки ЗИС-2, установленную на специально забронированный полугусе-ничный вездеход ЗИС-22 (последний серий</w:t>
      </w:r>
      <w:r w:rsidRPr="00640820">
        <w:rPr>
          <w:rFonts w:ascii="Times New Roman" w:hAnsi="Times New Roman"/>
          <w:color w:val="000000" w:themeColor="text1"/>
          <w:sz w:val="16"/>
          <w:szCs w:val="16"/>
        </w:rPr>
        <w:softHyphen/>
        <w:t>но выпускался автозаводом ЗИС в Москве). Испытанная в ноябре 1941 года, ЗИС-41 по</w:t>
      </w:r>
      <w:r w:rsidRPr="00640820">
        <w:rPr>
          <w:rFonts w:ascii="Times New Roman" w:hAnsi="Times New Roman"/>
          <w:color w:val="000000" w:themeColor="text1"/>
          <w:sz w:val="16"/>
          <w:szCs w:val="16"/>
        </w:rPr>
        <w:softHyphen/>
        <w:t>казала неплохие результаты. Однако к этому времени пушка ЗИС-2 , снималась с серий</w:t>
      </w:r>
      <w:r w:rsidRPr="00640820">
        <w:rPr>
          <w:rFonts w:ascii="Times New Roman" w:hAnsi="Times New Roman"/>
          <w:color w:val="000000" w:themeColor="text1"/>
          <w:sz w:val="16"/>
          <w:szCs w:val="16"/>
        </w:rPr>
        <w:softHyphen/>
        <w:t>ного производства из-за сложности изготов</w:t>
      </w:r>
      <w:r w:rsidRPr="00640820">
        <w:rPr>
          <w:rFonts w:ascii="Times New Roman" w:hAnsi="Times New Roman"/>
          <w:color w:val="000000" w:themeColor="text1"/>
          <w:sz w:val="16"/>
          <w:szCs w:val="16"/>
        </w:rPr>
        <w:softHyphen/>
        <w:t>ления трубы ствола и высокой стоимости. Кроме того, московский автозавод ЗИС эва</w:t>
      </w:r>
      <w:r w:rsidRPr="00640820">
        <w:rPr>
          <w:rFonts w:ascii="Times New Roman" w:hAnsi="Times New Roman"/>
          <w:color w:val="000000" w:themeColor="text1"/>
          <w:sz w:val="16"/>
          <w:szCs w:val="16"/>
        </w:rPr>
        <w:softHyphen/>
        <w:t>куировался и не мог дать достаточного коли</w:t>
      </w:r>
      <w:r w:rsidRPr="00640820">
        <w:rPr>
          <w:rFonts w:ascii="Times New Roman" w:hAnsi="Times New Roman"/>
          <w:color w:val="000000" w:themeColor="text1"/>
          <w:sz w:val="16"/>
          <w:szCs w:val="16"/>
        </w:rPr>
        <w:softHyphen/>
        <w:t>чества вездеходов ЗИС-22. Поэтому в конце ноября 1941 года все работы по ЗИС-41 пре</w:t>
      </w:r>
      <w:r w:rsidRPr="00640820">
        <w:rPr>
          <w:rFonts w:ascii="Times New Roman" w:hAnsi="Times New Roman"/>
          <w:color w:val="000000" w:themeColor="text1"/>
          <w:sz w:val="16"/>
          <w:szCs w:val="16"/>
        </w:rPr>
        <w:softHyphen/>
        <w:t>кратили. Последние попытки «реанимиро</w:t>
      </w:r>
      <w:r w:rsidRPr="00640820">
        <w:rPr>
          <w:rFonts w:ascii="Times New Roman" w:hAnsi="Times New Roman"/>
          <w:color w:val="000000" w:themeColor="text1"/>
          <w:sz w:val="16"/>
          <w:szCs w:val="16"/>
        </w:rPr>
        <w:softHyphen/>
        <w:t>вать» ЗИС-30 были сделаны в январе - апре</w:t>
      </w:r>
      <w:r w:rsidRPr="00640820">
        <w:rPr>
          <w:rFonts w:ascii="Times New Roman" w:hAnsi="Times New Roman"/>
          <w:color w:val="000000" w:themeColor="text1"/>
          <w:sz w:val="16"/>
          <w:szCs w:val="16"/>
        </w:rPr>
        <w:softHyphen/>
        <w:t>ле 1942 года. Группа Муравьева оснастила находившуюся на заводе первую опытную машину ЗИС-30 76-мм пушкой ЗИС-3 (это орудие было поставлено на серийное произ</w:t>
      </w:r>
      <w:r w:rsidRPr="00640820">
        <w:rPr>
          <w:rFonts w:ascii="Times New Roman" w:hAnsi="Times New Roman"/>
          <w:color w:val="000000" w:themeColor="text1"/>
          <w:sz w:val="16"/>
          <w:szCs w:val="16"/>
        </w:rPr>
        <w:softHyphen/>
        <w:t>водство только в конце декабря 1941 года взамен 57-мм пушки ЗИС-2). Однако ре</w:t>
      </w:r>
      <w:r w:rsidRPr="00640820">
        <w:rPr>
          <w:rFonts w:ascii="Times New Roman" w:hAnsi="Times New Roman"/>
          <w:color w:val="000000" w:themeColor="text1"/>
          <w:sz w:val="16"/>
          <w:szCs w:val="16"/>
        </w:rPr>
        <w:softHyphen/>
        <w:t>зультаты испытаний были признаны неудач</w:t>
      </w:r>
      <w:r w:rsidRPr="00640820">
        <w:rPr>
          <w:rFonts w:ascii="Times New Roman" w:hAnsi="Times New Roman"/>
          <w:color w:val="000000" w:themeColor="text1"/>
          <w:sz w:val="16"/>
          <w:szCs w:val="16"/>
        </w:rPr>
        <w:softHyphen/>
        <w:t>ными и дальше заводского опробования это</w:t>
      </w:r>
      <w:r w:rsidRPr="00640820">
        <w:rPr>
          <w:rFonts w:ascii="Times New Roman" w:hAnsi="Times New Roman"/>
          <w:color w:val="000000" w:themeColor="text1"/>
          <w:sz w:val="16"/>
          <w:szCs w:val="16"/>
        </w:rPr>
        <w:softHyphen/>
        <w:t>го образца дело не пошло. В марте был изго</w:t>
      </w:r>
      <w:r w:rsidRPr="00640820">
        <w:rPr>
          <w:rFonts w:ascii="Times New Roman" w:hAnsi="Times New Roman"/>
          <w:color w:val="000000" w:themeColor="text1"/>
          <w:sz w:val="16"/>
          <w:szCs w:val="16"/>
        </w:rPr>
        <w:softHyphen/>
        <w:t>товлен макет аналогичной САУ на шасси танка Т-60, но даже невооруженным глазом было видно, что машина получается со слиш</w:t>
      </w:r>
      <w:r w:rsidRPr="00640820">
        <w:rPr>
          <w:rFonts w:ascii="Times New Roman" w:hAnsi="Times New Roman"/>
          <w:color w:val="000000" w:themeColor="text1"/>
          <w:sz w:val="16"/>
          <w:szCs w:val="16"/>
        </w:rPr>
        <w:softHyphen/>
        <w:t>ком высокой линией огня, больший динами</w:t>
      </w:r>
      <w:r w:rsidRPr="00640820">
        <w:rPr>
          <w:rFonts w:ascii="Times New Roman" w:hAnsi="Times New Roman"/>
          <w:color w:val="000000" w:themeColor="text1"/>
          <w:sz w:val="16"/>
          <w:szCs w:val="16"/>
        </w:rPr>
        <w:softHyphen/>
        <w:t>ческий ход подвески обуславливал сильное раскачивание при стрельбе (11089).</w:t>
      </w:r>
    </w:p>
    <w:p w14:paraId="095F68A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3F0E0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октября 1941 чтобы как-то выйти из положения, связанного с отсутствием тягачей Комсомолец, группа Мура</w:t>
      </w:r>
      <w:r w:rsidRPr="00640820">
        <w:rPr>
          <w:rFonts w:ascii="Times New Roman" w:hAnsi="Times New Roman"/>
          <w:color w:val="000000" w:themeColor="text1"/>
          <w:sz w:val="16"/>
          <w:szCs w:val="16"/>
        </w:rPr>
        <w:softHyphen/>
        <w:t>вьева по своей инициативе спроектирова</w:t>
      </w:r>
      <w:r w:rsidRPr="00640820">
        <w:rPr>
          <w:rFonts w:ascii="Times New Roman" w:hAnsi="Times New Roman"/>
          <w:color w:val="000000" w:themeColor="text1"/>
          <w:sz w:val="16"/>
          <w:szCs w:val="16"/>
        </w:rPr>
        <w:softHyphen/>
        <w:t>ла самоходку ЗИС-41. Она представляла собой вращающу</w:t>
      </w:r>
      <w:r w:rsidRPr="00640820">
        <w:rPr>
          <w:rFonts w:ascii="Times New Roman" w:hAnsi="Times New Roman"/>
          <w:color w:val="000000" w:themeColor="text1"/>
          <w:sz w:val="16"/>
          <w:szCs w:val="16"/>
        </w:rPr>
        <w:softHyphen/>
        <w:t>юся часть пушки ЗИС-2, установленную на специально за</w:t>
      </w:r>
      <w:r w:rsidRPr="00640820">
        <w:rPr>
          <w:rFonts w:ascii="Times New Roman" w:hAnsi="Times New Roman"/>
          <w:color w:val="000000" w:themeColor="text1"/>
          <w:sz w:val="16"/>
          <w:szCs w:val="16"/>
        </w:rPr>
        <w:softHyphen/>
        <w:t>бронированный полугусеничный вездеход ЗИС-22 (по</w:t>
      </w:r>
      <w:r w:rsidRPr="00640820">
        <w:rPr>
          <w:rFonts w:ascii="Times New Roman" w:hAnsi="Times New Roman"/>
          <w:color w:val="000000" w:themeColor="text1"/>
          <w:sz w:val="16"/>
          <w:szCs w:val="16"/>
        </w:rPr>
        <w:softHyphen/>
        <w:t>следний серийно выпускался автозаводом ЗИС в Москве). Испытанная в ноябре 1941 г. ЗИС-41 показала хорошие ре</w:t>
      </w:r>
      <w:r w:rsidRPr="00640820">
        <w:rPr>
          <w:rFonts w:ascii="Times New Roman" w:hAnsi="Times New Roman"/>
          <w:color w:val="000000" w:themeColor="text1"/>
          <w:sz w:val="16"/>
          <w:szCs w:val="16"/>
        </w:rPr>
        <w:softHyphen/>
        <w:t>зультаты. Однако к этому времени стало понятно, что пуш</w:t>
      </w:r>
      <w:r w:rsidRPr="00640820">
        <w:rPr>
          <w:rFonts w:ascii="Times New Roman" w:hAnsi="Times New Roman"/>
          <w:color w:val="000000" w:themeColor="text1"/>
          <w:sz w:val="16"/>
          <w:szCs w:val="16"/>
        </w:rPr>
        <w:softHyphen/>
        <w:t>ка ЗИС-2 недолго просуществует на фронте. Не хватало бо</w:t>
      </w:r>
      <w:r w:rsidRPr="00640820">
        <w:rPr>
          <w:rFonts w:ascii="Times New Roman" w:hAnsi="Times New Roman"/>
          <w:color w:val="000000" w:themeColor="text1"/>
          <w:sz w:val="16"/>
          <w:szCs w:val="16"/>
        </w:rPr>
        <w:softHyphen/>
        <w:t>еприпасов (боеприпасный завод уехал в эвакуацию и еще не начал свою работу), завод № 221 «Баррикады» был за</w:t>
      </w:r>
      <w:r w:rsidRPr="00640820">
        <w:rPr>
          <w:rFonts w:ascii="Times New Roman" w:hAnsi="Times New Roman"/>
          <w:color w:val="000000" w:themeColor="text1"/>
          <w:sz w:val="16"/>
          <w:szCs w:val="16"/>
        </w:rPr>
        <w:softHyphen/>
        <w:t>гружен большой программой выпуска 76,2-мм дивизион</w:t>
      </w:r>
      <w:r w:rsidRPr="00640820">
        <w:rPr>
          <w:rFonts w:ascii="Times New Roman" w:hAnsi="Times New Roman"/>
          <w:color w:val="000000" w:themeColor="text1"/>
          <w:sz w:val="16"/>
          <w:szCs w:val="16"/>
        </w:rPr>
        <w:softHyphen/>
        <w:t>ных пушек Ф-22УСВ, а в одиночку завод № 92 не справлял</w:t>
      </w:r>
      <w:r w:rsidRPr="00640820">
        <w:rPr>
          <w:rFonts w:ascii="Times New Roman" w:hAnsi="Times New Roman"/>
          <w:color w:val="000000" w:themeColor="text1"/>
          <w:sz w:val="16"/>
          <w:szCs w:val="16"/>
        </w:rPr>
        <w:softHyphen/>
        <w:t>ся с выпуском 57-мм стволов большого удлинения. Про</w:t>
      </w:r>
      <w:r w:rsidRPr="00640820">
        <w:rPr>
          <w:rFonts w:ascii="Times New Roman" w:hAnsi="Times New Roman"/>
          <w:color w:val="000000" w:themeColor="text1"/>
          <w:sz w:val="16"/>
          <w:szCs w:val="16"/>
        </w:rPr>
        <w:softHyphen/>
        <w:t>блемы с 57-мм пушкой ЗИС-2 наложились и на проблемы шасси. Артиллерийских тягачей Т-20 «Комсомолец» в на личии больше не было, к тому же московский автозавод ЗИС был эвакуирован и не мог вести выпуск вездеходов ЗИС-22. Поэтому в конце ноября 1941 г. все работы по ЗИС-30 и ЗИС-41 свернули.</w:t>
      </w:r>
    </w:p>
    <w:p w14:paraId="0A0A45A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Последние упоминания о ЗИС-30 относятся к ранней весне 1942 г. Группа Муравьева оснастила находившуюся на заводе первую опытную машину ЗИС-30 76-мм пушкой ЗИС-3 (это орудие было поставлено на серийное производ-гстао в конце декабря 1941 г взамен 57-мм-пушки ЗИС-2). Однако результаты испытаний были признаны неудачными, и дальше заводского опробования этого образца дело не пошло. В марте был изготовлен деревянный макет аналогичной САУ на шасси танка Т-60, но даже невооруженным глазом было видно, что САУ получается со слишком «Высокой линией огня; больший динамический ход подвески обуславливал большее раскачивание на ходу. Поэтому опытный образец машины не изготавливали (11417).</w:t>
      </w:r>
    </w:p>
    <w:p w14:paraId="471F4EC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1E98E4" w14:textId="77777777" w:rsidR="00E86F52" w:rsidRPr="00640820" w:rsidRDefault="00E86F52"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В начале октября 1941 года благодаря советской разведке ГАБТУ КА всё же получила подробные характеристики практически по всему ассортименту выпускавшейся в Великобритании и США бронетанковой техники. В начале декабря в её распоряжении оказались и очень подробные данные о производстве английских танков. Полученные разведчиками цифры поквартального выпуска отлично вписываются в современные данные из английских источников. Первые 15 лёгких танков Mk.VII были выпущены в 4 квартале 1940 года, 30 </w:t>
      </w:r>
      <w:r w:rsidRPr="00640820">
        <w:rPr>
          <w:rFonts w:ascii="Times New Roman" w:eastAsia="Times New Roman" w:hAnsi="Times New Roman"/>
          <w:iCs/>
          <w:color w:val="000000" w:themeColor="text1"/>
          <w:sz w:val="16"/>
          <w:szCs w:val="16"/>
          <w:lang w:eastAsia="ru-RU"/>
        </w:rPr>
        <w:t xml:space="preserve">— </w:t>
      </w:r>
      <w:r w:rsidRPr="00640820">
        <w:rPr>
          <w:rFonts w:ascii="Times New Roman" w:eastAsia="Times New Roman" w:hAnsi="Times New Roman"/>
          <w:color w:val="000000" w:themeColor="text1"/>
          <w:sz w:val="16"/>
          <w:szCs w:val="16"/>
          <w:lang w:eastAsia="ru-RU"/>
        </w:rPr>
        <w:t xml:space="preserve">в 1 квартале 1941 года и 20 </w:t>
      </w:r>
      <w:r w:rsidRPr="00640820">
        <w:rPr>
          <w:rFonts w:ascii="Times New Roman" w:eastAsia="Times New Roman" w:hAnsi="Times New Roman"/>
          <w:iCs/>
          <w:color w:val="000000" w:themeColor="text1"/>
          <w:sz w:val="16"/>
          <w:szCs w:val="16"/>
          <w:lang w:eastAsia="ru-RU"/>
        </w:rPr>
        <w:t xml:space="preserve">— </w:t>
      </w:r>
      <w:r w:rsidRPr="00640820">
        <w:rPr>
          <w:rFonts w:ascii="Times New Roman" w:eastAsia="Times New Roman" w:hAnsi="Times New Roman"/>
          <w:color w:val="000000" w:themeColor="text1"/>
          <w:sz w:val="16"/>
          <w:szCs w:val="16"/>
          <w:lang w:eastAsia="ru-RU"/>
        </w:rPr>
        <w:t>в третьем. Ещё 35 танков ожидалось получить до конца года.</w:t>
      </w:r>
    </w:p>
    <w:p w14:paraId="0BDC1FD3" w14:textId="77777777" w:rsidR="00E86F52" w:rsidRPr="00640820" w:rsidRDefault="00E86F52"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Эти цифры прекрасно соотносятся с данными по выпуску «Тетрархов»: их регистрационные номера начинались с T.9266 и заканчивались T.9365, то есть общий выпуск составил 100 машин. В сообщении разведки указывалось, что производство лёгких танков на 1 квартал 1942 года не запланировано, что явно свидетельствовало о прекращении их выпуска. Кроме того, имелись сведения об имевшихся планах по выпуску нового танка Light Tank Mk.8 с массой 10 тонн и более толстой броней (17648).</w:t>
      </w:r>
    </w:p>
    <w:p w14:paraId="16BD8F96" w14:textId="77777777" w:rsidR="00E86F52" w:rsidRPr="00640820" w:rsidRDefault="00E86F52" w:rsidP="00640820">
      <w:pPr>
        <w:spacing w:after="0" w:line="240" w:lineRule="auto"/>
        <w:jc w:val="both"/>
        <w:rPr>
          <w:rFonts w:ascii="Times New Roman" w:hAnsi="Times New Roman"/>
          <w:color w:val="000000" w:themeColor="text1"/>
          <w:sz w:val="16"/>
          <w:szCs w:val="16"/>
        </w:rPr>
      </w:pPr>
    </w:p>
    <w:p w14:paraId="25B3B240" w14:textId="77777777" w:rsidR="00F226C1" w:rsidRPr="00640820" w:rsidRDefault="00F226C1" w:rsidP="00640820">
      <w:pPr>
        <w:pStyle w:val="article-renderblock"/>
        <w:shd w:val="clear" w:color="auto" w:fill="FFFFFF"/>
        <w:spacing w:before="0" w:beforeAutospacing="0" w:after="0" w:afterAutospacing="0"/>
        <w:jc w:val="both"/>
        <w:rPr>
          <w:color w:val="0070C0"/>
          <w:sz w:val="16"/>
          <w:szCs w:val="16"/>
        </w:rPr>
      </w:pPr>
      <w:r w:rsidRPr="00640820">
        <w:rPr>
          <w:color w:val="0070C0"/>
          <w:sz w:val="16"/>
          <w:szCs w:val="16"/>
        </w:rPr>
        <w:t>К началу октября 1941, когда ГАЗ, наконец, получил отмашку по выпуску ГАЗ-61-416, время вышло. ГАБТУ КА и лично товарищу Сталину было уже глубоко плевать, какая там красивая боеукладка получилась. Красной Армии были нужны танки, срочно, любые. В случае с ГАЗ таковым танком являлся Т-60, который использовал те же самые моторы ГАЗ-11 модель 202. С начала октября 1941 года в сторону Горького летели тяжелые предметы в виде писем Сталина срочно, нет, СРОЧНО, увеличить объемы выпуска танков. В какую сторону отправили бы любителей теории "надо было выпускать тягачи вместо Т-60", очевидно. Вопрос исключительно в формулировках (21375).</w:t>
      </w:r>
    </w:p>
    <w:p w14:paraId="79CA0EA6" w14:textId="77777777" w:rsidR="00F226C1" w:rsidRPr="00640820" w:rsidRDefault="00F226C1" w:rsidP="00640820">
      <w:pPr>
        <w:shd w:val="clear" w:color="auto" w:fill="FFFFFF"/>
        <w:spacing w:after="0" w:line="240" w:lineRule="auto"/>
        <w:jc w:val="both"/>
        <w:rPr>
          <w:rFonts w:ascii="Times New Roman" w:hAnsi="Times New Roman"/>
          <w:color w:val="0070C0"/>
          <w:sz w:val="16"/>
          <w:szCs w:val="16"/>
        </w:rPr>
      </w:pPr>
    </w:p>
    <w:p w14:paraId="013A2E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октября 1941 г. тульский ГС завод № 7 в течение суток был эвакуирован в Пермь на завод № 629.</w:t>
      </w:r>
    </w:p>
    <w:p w14:paraId="300C64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январе 1931 г. фабрика «Радиодеталь», созданная в мае 1929 г. на базе мастерской по изготовлению радиодеталей в ведении губернского Совета общества друзей радио, основанной 14 июня 1927, была передана в НКПиТ и преобразована в ГС завод № 7. Производство электроакустических устройств. В 1932г. разработан первый радиоприемник прямого усиления. В 1934 г. разработан и внедрен в производство 30-ваттный динамик, в 1935г.- рупорный уличный громкоговоритель, в 1936г. разработан и внедрен первый микрофон ДМК. Выпускались также приборы, шкалы. Далее- в ведении НКЭП.</w:t>
      </w:r>
    </w:p>
    <w:p w14:paraId="6686BE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новом месте начат выпуск бумажных конденсаторов для полевых телефонов.</w:t>
      </w:r>
    </w:p>
    <w:p w14:paraId="5A3D1F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02.1942г. на месте эвакуированного завода группой вернувшихся специалистов началось восстановление производства, (далее- это Тульский радиозавод).</w:t>
      </w:r>
    </w:p>
    <w:p w14:paraId="75FB25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(1927г.)- 37 чел., (1929г.)- 74 чел.</w:t>
      </w:r>
      <w:r w:rsidRPr="00640820">
        <w:rPr>
          <w:rFonts w:ascii="Times New Roman" w:hAnsi="Times New Roman"/>
          <w:color w:val="000000" w:themeColor="text1"/>
          <w:sz w:val="16"/>
          <w:szCs w:val="16"/>
          <w:vertAlign w:val="superscript"/>
        </w:rPr>
        <w:t>101</w:t>
      </w:r>
    </w:p>
    <w:p w14:paraId="3EE0CB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Создано:</w:t>
      </w:r>
      <w:r w:rsidRPr="00640820">
        <w:rPr>
          <w:rFonts w:ascii="Times New Roman" w:hAnsi="Times New Roman"/>
          <w:color w:val="000000" w:themeColor="text1"/>
          <w:sz w:val="16"/>
          <w:szCs w:val="16"/>
        </w:rPr>
        <w:t xml:space="preserve"> радиоприемники: прямого усиления (1932), Т-35 (1936); динамик (1934); рупорный уличный громкоговоритель (1935); микрофоны: динамический ДМК (1936).</w:t>
      </w:r>
    </w:p>
    <w:p w14:paraId="50DFE7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рупорный уличный громкоговоритель (1935-45); микрофоны: динамический ДМК (1936-); радиоприемники: Т-37 (1938-) (11982).</w:t>
      </w:r>
    </w:p>
    <w:p w14:paraId="38D224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Тульский радиозавод, Тульский завод «Октава» МПСС, ОАО «Октава»</w:t>
      </w:r>
    </w:p>
    <w:p w14:paraId="70C596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/300000 г. Тула ул. Каминского, 24 тел. 20-00-04, 36-01-77/</w:t>
      </w:r>
    </w:p>
    <w:p w14:paraId="6724B7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02.1942г. на месте эвакуированного ГС завода № 7 НКЭП группой вернувшихся специалистов началось восстановление производства, и создан Тульский радиозавод. С 05.1942г. начат выпуск миноискателей, рупорных динамиков, с 06.1942г. - динамических микрофонов, затем - трансляционных громкоговорителей на пьезоэлементах.</w:t>
      </w:r>
    </w:p>
    <w:p w14:paraId="069829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1943г. завод- в ведении НКЭП. В 1946г. получил название Тульский завод «Октава».</w:t>
      </w:r>
    </w:p>
    <w:p w14:paraId="1687DB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1954-56г. проведена реконструкция завода, он стал специализированным предприятием по производству электроакустики (микрофонов, динамиков, телефонов). В 1961 г. начат 2-й этап реконструкции завода, освоение выпуска измерительных приборов для акустических измерений. В 1980-е г. освоено производство электретных микрофонов.</w:t>
      </w:r>
    </w:p>
    <w:p w14:paraId="7503B6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1990-е г. завод преобразован в ОАО «Октава». Освоено производство миниатюрных электроакустических преобразователей для слуховых аппаратов (одна из 4 фирм в мире).</w:t>
      </w:r>
    </w:p>
    <w:p w14:paraId="2A772B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По решению правительства № 22-р от 9.01,2004г. и Указу Президента РФ № 1009 от 4.08.2004г. вошло в число стратегических оборонных предприятий.</w:t>
      </w:r>
    </w:p>
    <w:p w14:paraId="38D75B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(2005г.): электроакустические преобразователи (микрофоны, телефоны, гарнитуры, сейсмодатчики); освоение выпуска внутриушного слухового аппарата В-01.</w:t>
      </w:r>
    </w:p>
    <w:p w14:paraId="38CB8D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(2007г.)- 1200 чел.</w:t>
      </w:r>
    </w:p>
    <w:p w14:paraId="740455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(1942г.-)- К.А. Глазков, (1967г.)- С.М. Шалашников, (1980-е)- М.А. Макжанов. Гендиректор (1990- е)- Г.И. Ульянов, (2007г.)- С.Н. Беляев.</w:t>
      </w:r>
    </w:p>
    <w:p w14:paraId="654CAE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Технический директор (2007г.)- В.В. Кузьменко. Коммерческий директор (2007г.)- А.В. Мосин.</w:t>
      </w:r>
    </w:p>
    <w:p w14:paraId="49C5AD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(1942-45г.-)- А.И. Верба.</w:t>
      </w:r>
    </w:p>
    <w:p w14:paraId="3FA4E3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отдела сбыта (2007г.)- Н.Ю. Ермакова.</w:t>
      </w:r>
    </w:p>
    <w:p w14:paraId="33BE1F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Создано:</w:t>
      </w:r>
      <w:r w:rsidRPr="00640820">
        <w:rPr>
          <w:rFonts w:ascii="Times New Roman" w:hAnsi="Times New Roman"/>
          <w:color w:val="000000" w:themeColor="text1"/>
          <w:sz w:val="16"/>
          <w:szCs w:val="16"/>
        </w:rPr>
        <w:t xml:space="preserve"> пьезоэлектрический громкоговоритель (1943); телефон миниатюрный ТМ-2 для Кремлевского Дворца съездов (1961); микрофоны: динамические МДО-1, МД-45 (1961).</w:t>
      </w:r>
    </w:p>
    <w:p w14:paraId="1FC408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громкоговорители: пьезоэлектрический РТР-3 (1943-), Р-10 (1944-), мощный 100-ваттный (1948-);</w:t>
      </w:r>
      <w:r w:rsidRPr="00640820">
        <w:rPr>
          <w:rFonts w:ascii="Times New Roman" w:hAnsi="Times New Roman"/>
          <w:iCs/>
          <w:color w:val="000000" w:themeColor="text1"/>
          <w:sz w:val="16"/>
          <w:szCs w:val="16"/>
        </w:rPr>
        <w:t xml:space="preserve"> микрофоны:</w:t>
      </w:r>
      <w:r w:rsidRPr="00640820">
        <w:rPr>
          <w:rFonts w:ascii="Times New Roman" w:hAnsi="Times New Roman"/>
          <w:color w:val="000000" w:themeColor="text1"/>
          <w:sz w:val="16"/>
          <w:szCs w:val="16"/>
        </w:rPr>
        <w:t xml:space="preserve"> угольный (1949-), СДМ (1949-), ДЭМШ, ленточные МЛ-16 (1966), -51 (1960-е), -52 (2007), - 53 (2007), -16, -19, динамические МДО-1, МД-45 (1961-), -66 (1968), -186 (2007), -200, -205 (2007), -282, -47, -64А, -78А (2007), -80М (2007), -85А (2007), -87А (2007), -380 (2007), шумостойкий МДМ, ламповые МКЛ-100 (2007), МКЛ-319А (2007), МКЛ-4000 (2007), МКЛ-5000 (2004-07-), конденсаторные МК-13 (1968), -319 (2007), -219 (1994-2007-), -220 (2007), -100, -101 (2004-), -102 (2005-), -103 (2007), -104 (2007), -105 (2007), -011 (2007), -012 (2007), конденсаторные элекгретные МКЭ-2 (2007), -3, -9, -15А (2007), -204У (2007); стереофоническая микрофонная система МДС-200; микрофонно-телефонные гарнитуры ТМГ-4, ТМГ-5, ТМГ-8 (1970-е), ГБШ (1990-е) ;</w:t>
      </w:r>
      <w:r w:rsidRPr="00640820">
        <w:rPr>
          <w:rFonts w:ascii="Times New Roman" w:hAnsi="Times New Roman"/>
          <w:iCs/>
          <w:color w:val="000000" w:themeColor="text1"/>
          <w:sz w:val="16"/>
          <w:szCs w:val="16"/>
        </w:rPr>
        <w:t xml:space="preserve"> телефоны:</w:t>
      </w:r>
      <w:r w:rsidRPr="00640820">
        <w:rPr>
          <w:rFonts w:ascii="Times New Roman" w:hAnsi="Times New Roman"/>
          <w:color w:val="000000" w:themeColor="text1"/>
          <w:sz w:val="16"/>
          <w:szCs w:val="16"/>
        </w:rPr>
        <w:t xml:space="preserve"> электромагнитный капсюльный (1949-), малогабаритный для аппаратуры синхронного перевода (1957-), миниатюрные ТМ-2 (1961-), ТМ-4 (1966), головные ТГ-9 (1968), ТА-56М; слуховые аппараты У-03 (1993-), У-ОЗА (2005);</w:t>
      </w:r>
      <w:r w:rsidRPr="00640820">
        <w:rPr>
          <w:rFonts w:ascii="Times New Roman" w:hAnsi="Times New Roman"/>
          <w:color w:val="000000" w:themeColor="text1"/>
          <w:sz w:val="16"/>
          <w:szCs w:val="16"/>
          <w:vertAlign w:val="superscript"/>
        </w:rPr>
        <w:t>101</w:t>
      </w:r>
      <w:r w:rsidRPr="00640820">
        <w:rPr>
          <w:rFonts w:ascii="Times New Roman" w:hAnsi="Times New Roman"/>
          <w:color w:val="000000" w:themeColor="text1"/>
          <w:sz w:val="16"/>
          <w:szCs w:val="16"/>
        </w:rPr>
        <w:t xml:space="preserve"> репродукторы: ТГМ-0,25 (1948-), ДГС-0,25, ПГР-3 (1951-), «Тула» (1949-); радиоприемник «Тула» (1950-); электрофон «Октава» (11982).</w:t>
      </w:r>
    </w:p>
    <w:p w14:paraId="3E9601F2" w14:textId="77777777" w:rsidR="009F6E13" w:rsidRPr="00640820" w:rsidRDefault="009F6E13"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BD58911"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69F81715"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D9A6C86" w14:textId="77777777" w:rsidR="00D25302" w:rsidRPr="00640820" w:rsidRDefault="00D25302" w:rsidP="00640820">
      <w:pPr>
        <w:pStyle w:val="ae"/>
        <w:spacing w:before="0" w:after="0"/>
        <w:jc w:val="both"/>
        <w:textAlignment w:val="baseline"/>
        <w:rPr>
          <w:color w:val="000000" w:themeColor="text1"/>
          <w:sz w:val="16"/>
          <w:szCs w:val="16"/>
        </w:rPr>
      </w:pPr>
      <w:r w:rsidRPr="00640820">
        <w:rPr>
          <w:color w:val="000000" w:themeColor="text1"/>
          <w:sz w:val="16"/>
          <w:szCs w:val="16"/>
        </w:rPr>
        <w:t>В начале октября 1941 Не-111 из KGr.100 «Викинг» совершили успешный налет на аэродром Мценск, на котором тогда базировалась почти вся авиация ВВС Брянского фронта. В результате некоторые полки, в частности 42-й иап, практически лишились матчасти. В ответ советское командование вновь пыталось наносить удары по аэродромам люфтваффе. Так, 18 и 19 октября ВВС Западного фронта атаковали немецкую авиабазу в районе Калинина, где, по донесениям экипажей, было «пожжено» до 60 вражеских самолетов. В налетах участвовали все исправные машины, в том числе истребители. При этом 19 октября в ходе штурмовки были сбиты три ЛаГГа — младшего лейтенанта С. А. Рогозянского, лейтенанта И. Е. Логинова и сержанта A. A. Потапова из 27-го иап. Однако и в данном случае никаких потерь на аэродромах у немцев не числится (19522).</w:t>
      </w:r>
    </w:p>
    <w:p w14:paraId="58424019" w14:textId="77777777" w:rsidR="00D25302" w:rsidRPr="00640820" w:rsidRDefault="00D25302" w:rsidP="00640820">
      <w:pPr>
        <w:pStyle w:val="ae"/>
        <w:spacing w:before="0" w:after="0"/>
        <w:jc w:val="both"/>
        <w:textAlignment w:val="baseline"/>
        <w:rPr>
          <w:color w:val="000000" w:themeColor="text1"/>
          <w:sz w:val="16"/>
          <w:szCs w:val="16"/>
        </w:rPr>
      </w:pPr>
    </w:p>
    <w:p w14:paraId="00A1DC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октября 1941 разгорелось воздушное сражение в небе Подмосковья (3105,5).</w:t>
      </w:r>
    </w:p>
    <w:p w14:paraId="5CA120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C6F9C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началу октября 1941 обстановка на советско-германском фронте была трудной. У противника было превосходство в силах и средствах. На СЗН немцы готовили удар на Тихвин с целью полной блокады Ленинграда, на ЮН - хотели овладеть харьковским промрайоном, Донбассом и Крымом. Главный удар наносился на ЗН для овладения Москвой. Для этого готовилась операция группы армий Центр при поддержке 2ВФ в 1000 самолетов. Москву хотели обойти с севера и с юга. Со второй половины сентября немецкая авиация вдвое увеличила интенсивность действий и сосредоточилась на ж/д, войсках и аэродромах. В сентябре было 11 налетов на Москву, но к городу прорвался лишь 51 бомбардировщик. На московском направлении оборонялись ЗФ (ВВС - г Ф.Г.Мичугин и с 25 декабря г Н.Ф.Науменко), РФ (г Е.М.Николаенко) и БФ (г Ф.П.Полынин), фронтовая авиация которых насчитывала всего 365 самолета, в т.ч. 50% устаревших конструкций. Кроме того, в Москве базировались и привлекались 6 иак ПВО и до 5 дбад. Подготовка оборонительной операции началась со второй половины сентября (341,65).</w:t>
      </w:r>
    </w:p>
    <w:p w14:paraId="50D32E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целью задержки войск противника, наступающих с юга на Тулу ВГК всеми видами транспорта, в т.ч. транспортными самолетами перебросило в район Мценска войска, из которых сформировали 1ГСК. Войска из района Тейково, Ярославль успешно выполнила Московская АГОН ГВФ и части ДБА, которые за 3 дня перевезли 5500 солдат и офицеров и 13 т боеприпасов. На аэродромы в районе Мценска перебазировали 5 ап, из которых сформировали 6РАГ (г А.А.Демидов), которая вела бои на подступах к Мценску, прикрывала войска, штурмовала и вела разведку (341,67).</w:t>
      </w:r>
    </w:p>
    <w:p w14:paraId="50A0E6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7C1F7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октября 1941 г., когда для усиления обороны Москвы на аэродромы в Орле и Мценске был переброшен ряд частей 5-го воздушно-десантного корпуса впервые в большом масштабе были применены ПС-84. В операции приняли участие 30 самолетов МАГОН, экипажи которых за три дня выполнили 216 полетов, доставив 5440 человек личного состава и 12 т грузов (3772).</w:t>
      </w:r>
    </w:p>
    <w:p w14:paraId="774FEE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077A4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октября 1941 командованию удалось воссоздать Юго-Западный фронт и его авиацию. Не последнюю роль сыграла напряженная работа завода № 135, сумевшего с 18 сентября по 4 октября собрать и облетать 54 Су-2. Новые машины позволили пополнить сражавшиеся части. На 4 октября в составе ВВС фронта имелось 474 самолета, из которых 116 - типа Су-2. Никогда ни раньше, ни впоследствии бомбардировщики Сухого не играли такой важной роли, не были наиболее массовыми машинами авиации фронта. Приближение противника к Харькову вынудило прекратить сборку и эвакуировать авиазавод (12028).</w:t>
      </w:r>
    </w:p>
    <w:p w14:paraId="18E3FB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D24A0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октября 1941 МАГОН начал действовать на воздушном мосту в Ленинград (4141,21).</w:t>
      </w:r>
    </w:p>
    <w:p w14:paraId="01201F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8551D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началу октября 1941 осталось 16 ПС-43. За последующий месяц группа лишилась еще одной машины. Последний ПС-43 поступил в ОАГС в декабре. В том же месяце одну машину в ходе разведки сбили немецкие зенитки. К концу 1941 года все "Валти" находились во фронтовых авиагруппах, в тылу таких машин не осталось. Зимой 1941 -42 годов ПС-43 участвовали в "воздушном мосту" между "большой землей" и блокадным Ленинградом. Самолет под управлением М.Г.Скрыльникова немецкие истребители подбили над Ладогой, пришлось совершить вынужденную посадку на лед. В результате было сломано шасси и напрочь оторван хвост. Но за 10 дней машину вновь ввели в строй, а летчик И.И.Тукиш летал на ней до конца войны! (11470).</w:t>
      </w:r>
    </w:p>
    <w:p w14:paraId="045207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A9FE174" w14:textId="77777777" w:rsidR="00F226C1" w:rsidRPr="00640820" w:rsidRDefault="00F226C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первых числах октября 1941 эскадрилье автожиров пришлось переба</w:t>
      </w:r>
      <w:r w:rsidRPr="00640820">
        <w:rPr>
          <w:rFonts w:ascii="Times New Roman" w:hAnsi="Times New Roman"/>
          <w:color w:val="0070C0"/>
          <w:sz w:val="16"/>
          <w:szCs w:val="16"/>
        </w:rPr>
        <w:softHyphen/>
        <w:t>зироваться. Красная Армия отступала; после того как уш</w:t>
      </w:r>
      <w:r w:rsidRPr="00640820">
        <w:rPr>
          <w:rFonts w:ascii="Times New Roman" w:hAnsi="Times New Roman"/>
          <w:color w:val="0070C0"/>
          <w:sz w:val="16"/>
          <w:szCs w:val="16"/>
        </w:rPr>
        <w:softHyphen/>
        <w:t>ли истребители, 1-ю акэ перевели в 43-ю армию.</w:t>
      </w:r>
    </w:p>
    <w:p w14:paraId="3298D2B1" w14:textId="77777777" w:rsidR="00F226C1" w:rsidRPr="00640820" w:rsidRDefault="00F226C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Два автожира убыли в Москву, а третий под управлени</w:t>
      </w:r>
      <w:r w:rsidRPr="00640820">
        <w:rPr>
          <w:rFonts w:ascii="Times New Roman" w:hAnsi="Times New Roman"/>
          <w:color w:val="0070C0"/>
          <w:sz w:val="16"/>
          <w:szCs w:val="16"/>
        </w:rPr>
        <w:softHyphen/>
        <w:t>ем комэска Трофимова вылетел в Гжатск со срочным доне</w:t>
      </w:r>
      <w:r w:rsidRPr="00640820">
        <w:rPr>
          <w:rFonts w:ascii="Times New Roman" w:hAnsi="Times New Roman"/>
          <w:color w:val="0070C0"/>
          <w:sz w:val="16"/>
          <w:szCs w:val="16"/>
        </w:rPr>
        <w:softHyphen/>
        <w:t>сением о прорыве немцев. Трофимов благополучно доле</w:t>
      </w:r>
      <w:r w:rsidRPr="00640820">
        <w:rPr>
          <w:rFonts w:ascii="Times New Roman" w:hAnsi="Times New Roman"/>
          <w:color w:val="0070C0"/>
          <w:sz w:val="16"/>
          <w:szCs w:val="16"/>
        </w:rPr>
        <w:softHyphen/>
        <w:t>тел до Гжатска, где в отсутствии радиосвязи в полной тем</w:t>
      </w:r>
      <w:r w:rsidRPr="00640820">
        <w:rPr>
          <w:rFonts w:ascii="Times New Roman" w:hAnsi="Times New Roman"/>
          <w:color w:val="0070C0"/>
          <w:sz w:val="16"/>
          <w:szCs w:val="16"/>
        </w:rPr>
        <w:softHyphen/>
        <w:t>ноте приземлился на лес. Автожир получил повреждения, однако летчик был невредим и донесение доставил в срок. Аварийный А-7 под руководством Миля разобрали, погру</w:t>
      </w:r>
      <w:r w:rsidRPr="00640820">
        <w:rPr>
          <w:rFonts w:ascii="Times New Roman" w:hAnsi="Times New Roman"/>
          <w:color w:val="0070C0"/>
          <w:sz w:val="16"/>
          <w:szCs w:val="16"/>
        </w:rPr>
        <w:softHyphen/>
        <w:t>зили на автомашину и отправили в тыл. На этом закончил</w:t>
      </w:r>
      <w:r w:rsidRPr="00640820">
        <w:rPr>
          <w:rFonts w:ascii="Times New Roman" w:hAnsi="Times New Roman"/>
          <w:color w:val="0070C0"/>
          <w:sz w:val="16"/>
          <w:szCs w:val="16"/>
        </w:rPr>
        <w:softHyphen/>
        <w:t>ся эпизод использования боевых автожиров в войне (20361).</w:t>
      </w:r>
    </w:p>
    <w:p w14:paraId="2BD7A8F1" w14:textId="77777777" w:rsidR="00F226C1" w:rsidRPr="00640820" w:rsidRDefault="00F226C1" w:rsidP="00640820">
      <w:pPr>
        <w:shd w:val="clear" w:color="auto" w:fill="FFFFFF"/>
        <w:spacing w:after="0" w:line="240" w:lineRule="auto"/>
        <w:jc w:val="both"/>
        <w:rPr>
          <w:rFonts w:ascii="Times New Roman" w:hAnsi="Times New Roman"/>
          <w:color w:val="0070C0"/>
          <w:sz w:val="16"/>
          <w:szCs w:val="16"/>
        </w:rPr>
      </w:pPr>
    </w:p>
    <w:p w14:paraId="59F336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начала октября 1941 самолеты 95-го иап стали привлекать к нанесению ударов по наземным объектам (4476).</w:t>
      </w:r>
    </w:p>
    <w:p w14:paraId="6289AF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721DC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октября 1941 враг окружил в районе Вязьмы соединения Красной Армии, вынудив остальные к отходу. Для прикрытия отхода войск Западного фронта были выделены пять недавно образованных танковых бригад (9-я, 17-я, 18-я, 19-я и 20-я), вооруженные танками Т-34. С юго-запада на Москву наступала 2-я танковая группа генерала Г. Гудериана. Его танки, прорвав фронт вблизи г. Орла, стали угрожать обходом Москвы с юга. Навстречу им были выдвинуты 4-я (полковник М. Е. Катуков) и 11-я (полковник П. М. Арманд, он же Тылтынь) танковые бригады. (3862).</w:t>
      </w:r>
    </w:p>
    <w:p w14:paraId="4924EB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86C70D0" w14:textId="77777777" w:rsidR="0038220C" w:rsidRPr="00640820" w:rsidRDefault="0038220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октября 1941 года последний построенный в Брянске Особый бронепоезд №1был уничтожен немецкими танками под Можайском (15218).</w:t>
      </w:r>
    </w:p>
    <w:p w14:paraId="63309C13" w14:textId="77777777" w:rsidR="0038220C" w:rsidRPr="00640820" w:rsidRDefault="0038220C" w:rsidP="00640820">
      <w:pPr>
        <w:spacing w:after="0" w:line="240" w:lineRule="auto"/>
        <w:jc w:val="both"/>
        <w:rPr>
          <w:rFonts w:ascii="Times New Roman" w:hAnsi="Times New Roman"/>
          <w:color w:val="000000" w:themeColor="text1"/>
          <w:sz w:val="16"/>
          <w:szCs w:val="16"/>
        </w:rPr>
      </w:pPr>
    </w:p>
    <w:p w14:paraId="5AE06DCD" w14:textId="77777777" w:rsidR="0038220C" w:rsidRPr="00640820" w:rsidRDefault="0038220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октября 1941 в бою под станцией Колесники (под Москвой) в первом же бою немецкими танками был уничтожен бронепоезд №1 «За Сталина!», только что построенный в Коломне (15218).</w:t>
      </w:r>
    </w:p>
    <w:p w14:paraId="6EE136B3" w14:textId="77777777" w:rsidR="0038220C" w:rsidRPr="00640820" w:rsidRDefault="0038220C" w:rsidP="00640820">
      <w:pPr>
        <w:spacing w:after="0" w:line="240" w:lineRule="auto"/>
        <w:jc w:val="both"/>
        <w:rPr>
          <w:rFonts w:ascii="Times New Roman" w:hAnsi="Times New Roman"/>
          <w:color w:val="000000" w:themeColor="text1"/>
          <w:sz w:val="16"/>
          <w:szCs w:val="16"/>
        </w:rPr>
      </w:pPr>
    </w:p>
    <w:p w14:paraId="50FC5A13"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7C187E37"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2AEF2B9" w14:textId="77777777" w:rsidR="00295B9F" w:rsidRPr="00640820" w:rsidRDefault="00295B9F"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7 октября 1941 вышел приказ № 93 по заводу № 18</w:t>
      </w:r>
    </w:p>
    <w:p w14:paraId="1CA28F08" w14:textId="77777777" w:rsidR="00295B9F" w:rsidRPr="00640820" w:rsidRDefault="00295B9F"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 начале эвакуации завода. В этих приказах описывается порядок эвакуации цехов и персонала, распределение вагонов, ответственные, порядок взрыва цехов и т.д. (19706).</w:t>
      </w:r>
    </w:p>
    <w:p w14:paraId="2355E7FF" w14:textId="77777777" w:rsidR="00295B9F" w:rsidRPr="00640820" w:rsidRDefault="00295B9F"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1B1DD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7 октября 1941 вышел приказ НКАП N 1043 о переносе серийного производства самолета 103 на завод 166 в исполнение постановления КО и ГК назначили А.Н.Т. (890,4).</w:t>
      </w:r>
    </w:p>
    <w:p w14:paraId="0F7A3D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FFE8E21" w14:textId="77777777" w:rsidR="00F226C1" w:rsidRPr="00640820" w:rsidRDefault="00F226C1" w:rsidP="00640820">
      <w:pPr>
        <w:spacing w:after="0" w:line="240" w:lineRule="auto"/>
        <w:jc w:val="both"/>
        <w:rPr>
          <w:rFonts w:ascii="Times New Roman" w:hAnsi="Times New Roman"/>
          <w:color w:val="0070C0"/>
          <w:sz w:val="16"/>
          <w:szCs w:val="16"/>
          <w:lang w:eastAsia="ru-RU" w:bidi="ru-RU"/>
        </w:rPr>
      </w:pPr>
      <w:r w:rsidRPr="00640820">
        <w:rPr>
          <w:rFonts w:ascii="Times New Roman" w:hAnsi="Times New Roman"/>
          <w:color w:val="0070C0"/>
          <w:sz w:val="16"/>
          <w:szCs w:val="16"/>
          <w:lang w:eastAsia="ru-RU" w:bidi="ru-RU"/>
        </w:rPr>
        <w:t>7 октября 1941 Ту</w:t>
      </w:r>
      <w:r w:rsidRPr="00640820">
        <w:rPr>
          <w:rFonts w:ascii="Times New Roman" w:hAnsi="Times New Roman"/>
          <w:color w:val="0070C0"/>
          <w:sz w:val="16"/>
          <w:szCs w:val="16"/>
          <w:lang w:eastAsia="ru-RU" w:bidi="ru-RU"/>
        </w:rPr>
        <w:softHyphen/>
        <w:t>полева назначили главным конструкто</w:t>
      </w:r>
      <w:r w:rsidRPr="00640820">
        <w:rPr>
          <w:rFonts w:ascii="Times New Roman" w:hAnsi="Times New Roman"/>
          <w:color w:val="0070C0"/>
          <w:sz w:val="16"/>
          <w:szCs w:val="16"/>
          <w:lang w:eastAsia="ru-RU" w:bidi="ru-RU"/>
        </w:rPr>
        <w:softHyphen/>
        <w:t>ром завода 166 (21061).</w:t>
      </w:r>
    </w:p>
    <w:p w14:paraId="639F8F28" w14:textId="77777777" w:rsidR="00F226C1" w:rsidRPr="00640820" w:rsidRDefault="00F226C1" w:rsidP="00640820">
      <w:pPr>
        <w:spacing w:after="0" w:line="240" w:lineRule="auto"/>
        <w:jc w:val="both"/>
        <w:rPr>
          <w:rFonts w:ascii="Times New Roman" w:hAnsi="Times New Roman"/>
          <w:color w:val="0070C0"/>
          <w:sz w:val="16"/>
          <w:szCs w:val="16"/>
        </w:rPr>
      </w:pPr>
    </w:p>
    <w:p w14:paraId="5F96220D" w14:textId="77777777" w:rsidR="009F6E13" w:rsidRPr="00640820" w:rsidRDefault="009F6E13" w:rsidP="00640820">
      <w:pPr>
        <w:spacing w:after="0" w:line="240" w:lineRule="auto"/>
        <w:jc w:val="both"/>
        <w:rPr>
          <w:rStyle w:val="ucoz-forum-post"/>
          <w:rFonts w:ascii="Times New Roman" w:eastAsia="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7 октября 1941 года</w:t>
      </w:r>
      <w:r w:rsidRPr="00640820">
        <w:rPr>
          <w:rStyle w:val="ucoz-forum-post"/>
          <w:rFonts w:ascii="Times New Roman" w:eastAsia="Times New Roman" w:hAnsi="Times New Roman"/>
          <w:color w:val="000000" w:themeColor="text1"/>
          <w:sz w:val="16"/>
          <w:szCs w:val="16"/>
        </w:rPr>
        <w:t xml:space="preserve"> Приказом НКАП А.Н.Туполев назначен Главным конструктором авиазавода № 166 (14792).</w:t>
      </w:r>
    </w:p>
    <w:p w14:paraId="1DA542AA" w14:textId="77777777" w:rsidR="009F6E13" w:rsidRPr="00640820" w:rsidRDefault="009F6E13" w:rsidP="00640820">
      <w:pPr>
        <w:spacing w:after="0" w:line="240" w:lineRule="auto"/>
        <w:jc w:val="both"/>
        <w:rPr>
          <w:rStyle w:val="ucoz-forum-post"/>
          <w:rFonts w:ascii="Times New Roman" w:eastAsia="Times New Roman" w:hAnsi="Times New Roman"/>
          <w:color w:val="000000" w:themeColor="text1"/>
          <w:sz w:val="16"/>
          <w:szCs w:val="16"/>
        </w:rPr>
      </w:pPr>
    </w:p>
    <w:p w14:paraId="67FB23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7 октября 1941 г. Туполев, работавший в КБ-29 НКВД при заводе № 166, назначен гл. конструктором завода и ОКБ-166 НКАП. Работы по доводке и внедрению в серию Ту-2 (ведущий по машине- Д.С. Марков). В 10.1941 г. коллектив ОКБ А.А. Архангельского эвакуирован на завод № 166 и влит в состав ОКБ-166. Работы по перевооружению СБ на подвижную установку двух пушек ШВАК (1942г). Приказом № 784с от 17.10.1942 г. коллективу Архангельского предписывалось перебазироваться на завод № 55 НКАП, но это не было выполнено. В начале 1942 г. планировалось организовать при заводе № 22 ОКБ под руководством Туполева для внедрения в серию Ту-2, а чуть позже- перевести ОКБ Туполева на завод № 293 в Химки. Затем эти решения были отменены. Приказом № 233с от 14/ 19.04.1943 г. Туполев назначен гл. конструктором/ ответственным руководителем завода № 156. Осенью 1943 г. КБ вернулось на площадку завода № 156 и действовало как ОКБ-156 НКАП. В начале 1944 г. при заводе № 156 образован филиал ОКБ-166 для доводки Ту-2. Гл. конструктор (7.10.1941 г.-)- А.Н. Туполев. Зам. гл. конструктора (7.10.1941 г.-)- Б.А. Саукке, (1942 г.)- Д.С. Марков, (02.1942 г.-)- И.Б. Иосилович (10776).</w:t>
      </w:r>
    </w:p>
    <w:p w14:paraId="288D40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E00F8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октября 1941 Туполева назначили главным конструктором завода № 166.</w:t>
      </w:r>
    </w:p>
    <w:p w14:paraId="164835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Рассматривалась также возможность постройки новых бомбардировщиков "103С" с моторами АМ-37 на заводе № 124 в Казани. На площадку этого предприятия осенью 1941 г. эвакуировали из Москвы завод № 22, строивший пикировщики Пе-2. 19 декабря 1941 г. вышло соответствующее постановление ГКО. Наркомат дал туполевцам только десять дней на копирование всей документации. В начале января 1942 г. Туполев с группой конструкторов побывал в Казани. Но в условиях больших потерь на фронте наркомат не рискнул пожертвовать выпуском Пе-2. Заводы № 124 и № 22 слили в один, который продолжал строить пикировщики до самого конца войны.</w:t>
      </w:r>
    </w:p>
    <w:p w14:paraId="6B3E6A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ставка на "103У" являлась дорогой в тупик. Дело в том, что исключительная важность, придаваемая штурмовикам Ил-2, привела к тому, что моторов АМ-38 требовалось все больше. Увеличить их выпуск проще всего было за счет свертывания сборки сходных АМ-35А. Так и сделали. А необходимые для "103У" АМ-37 просто не стали запускать в крупносерийное производство. Зато в Молотове на заводе № 19 скопились сотни невостребованных двигателей М-82А (11988).</w:t>
      </w:r>
    </w:p>
    <w:p w14:paraId="547E46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B5915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7 октября 1941 г. Туполев, работавший в КБ-29 НКВД при заводе № 166, назначен гл. конструктором завода и ОКБ-166 НКАП. Работы по доводке и внедрению в серию Ту-2 (ведущий по машине- Д.С. Марков).</w:t>
      </w:r>
    </w:p>
    <w:p w14:paraId="739623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10.1941 г. коллектив ОКБ А.А. Архангельского эвакуирован на завод № 166 и влит в состав ОКБ-166. Работы по перевооружению СБ на подвижную установку двух пушек ШВАК (1942г). Приказом № 784с от 17.10.1942 г. коллективу Архангельского предписывалось перебазироваться на завод № 55 НКАП, но это не было выполнено.</w:t>
      </w:r>
    </w:p>
    <w:p w14:paraId="61D02F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1942 г. планировалось организовать при заводе № 22 ОКБ под руководством Туполева для внедрения в серию Ту-2, а чуть позже- перевести ОКБ Туполева на завод № 293 в Химки. Затем эти решения были отменены.</w:t>
      </w:r>
    </w:p>
    <w:p w14:paraId="0AB22D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 ГКО № 1498 от 26.03.1942 г. самолет «103В» был переименован в Ту-2.</w:t>
      </w:r>
    </w:p>
    <w:p w14:paraId="707FD4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 233с от 14/ 19.04.1943 г. Туполев назначен гл. конструктором/ ответственным руководителем завода № 156. Осенью 1943 г. КБ вернулось на площадку завода № 156 и действовало как ОКБ-156 НКАП. В начале 1944 г. при заводе № 156 образован филиал ОКБ-166 для доводки Ту-2.</w:t>
      </w:r>
    </w:p>
    <w:p w14:paraId="72F53B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(7.10.1941 г.-)- А.Н. Туполев.</w:t>
      </w:r>
    </w:p>
    <w:p w14:paraId="44E731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конструктора (7.10.1941 г.-)- Б.А. Саукке, (1942 г.)- Д.С. Марков, (02.1942 г.-)- И.Б. Иосилович.</w:t>
      </w:r>
      <w:r w:rsidRPr="00640820">
        <w:rPr>
          <w:rFonts w:ascii="Times New Roman" w:hAnsi="Times New Roman"/>
          <w:color w:val="000000" w:themeColor="text1"/>
          <w:sz w:val="16"/>
          <w:szCs w:val="16"/>
          <w:vertAlign w:val="superscript"/>
        </w:rPr>
        <w:t>91</w:t>
      </w:r>
    </w:p>
    <w:p w14:paraId="7474E5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Помощник гл. конструктора (1941 г.-)- Д.С. Марков.</w:t>
      </w:r>
    </w:p>
    <w:p w14:paraId="43998E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бригад: общих видов (-1942-43 г.)- С.М. Егер; АНО (1942 г.)- Френкель; (1941-43 г.)- Н.В. Кирсанов (11982).</w:t>
      </w:r>
    </w:p>
    <w:p w14:paraId="750835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6F93F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октября 1941 г. на заводе N 21 были закончены испытания самолета Лагг-3, вооруженного пушкой ВЯ-23 мм с боекомплектом 90 патронов и двумя пулеметами УБС-12,7 мм с боекомплектом 350 патронов, которые шли 30 сентября 1941. Испытания дали положительные результаты, но ввиду того, что решение о выпуске самолетов Лагг-3 с пушками ВЯ-23 не состоялось, в производстве сохранена установка пушки Швак-20 (2147,1).</w:t>
      </w:r>
    </w:p>
    <w:p w14:paraId="331810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D4168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октября 1941 был утвержден Отчет о контрольных гос. испытаниях ЛаГГ-3 7 серии производства 21 завода (796,8).</w:t>
      </w:r>
    </w:p>
    <w:p w14:paraId="11564C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6CAA7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и 9 октября 1941 Нач. ГУ ВВС КА Шишкин и п/п Военкома Галичева был утвержден Отчет по контрольным испытаниям ЛаГГ-3 М-105П 7 серии 21 завода. Вл Чигарев, Ви Таракановский, ви Рабкин (2567,73).</w:t>
      </w:r>
    </w:p>
    <w:p w14:paraId="1775C1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B9F9440" w14:textId="77777777" w:rsidR="00C30BD0" w:rsidRPr="00640820" w:rsidRDefault="00C30BD0"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7 октября 1941 г.</w:t>
      </w:r>
    </w:p>
    <w:p w14:paraId="54071B76" w14:textId="77777777" w:rsidR="00C30BD0" w:rsidRPr="00640820" w:rsidRDefault="00C30BD0"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Из выписки из Постановления Совета по эвакуации г. Москва</w:t>
      </w:r>
    </w:p>
    <w:p w14:paraId="2FB57142" w14:textId="77777777" w:rsidR="00C30BD0" w:rsidRPr="00640820" w:rsidRDefault="00C30BD0"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секретно</w:t>
      </w:r>
    </w:p>
    <w:p w14:paraId="5EC6C053" w14:textId="77777777" w:rsidR="00C30BD0" w:rsidRPr="00640820" w:rsidRDefault="00C30BD0"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1. Обязать Наркомавиапром (тов. Шахурина):</w:t>
      </w:r>
    </w:p>
    <w:p w14:paraId="09CD17B5" w14:textId="77777777" w:rsidR="00C30BD0" w:rsidRPr="00640820" w:rsidRDefault="00C30BD0"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 xml:space="preserve">а). Приступить к немедленной эвакуации предприятий из г. Москвы и Московской области в пункты, перечисленные в приложении № </w:t>
      </w:r>
    </w:p>
    <w:p w14:paraId="1C132F48" w14:textId="77777777" w:rsidR="00C30BD0" w:rsidRPr="00640820" w:rsidRDefault="00C30BD0"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в). До начала эвакуации заводов обеспечить отправку в новые пункты назначения эвакуируемых заводов бригады монтажников,</w:t>
      </w:r>
    </w:p>
    <w:p w14:paraId="27099D4C" w14:textId="77777777" w:rsidR="00C30BD0" w:rsidRPr="00640820" w:rsidRDefault="00C30BD0"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технологов и конструкторов для подготовки планировок, монтажа оборудования и обеспечения ускоренного его пуска;</w:t>
      </w:r>
    </w:p>
    <w:p w14:paraId="36E432AB" w14:textId="77777777" w:rsidR="00C30BD0" w:rsidRPr="00640820" w:rsidRDefault="00C30BD0"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4. Установить, что вместе с эвакуируемыми предприятиями переводятся в обязательном порядке все рабочие, ИТР и служащие этих предприятий;</w:t>
      </w:r>
    </w:p>
    <w:p w14:paraId="6B789D97" w14:textId="77777777" w:rsidR="00C30BD0" w:rsidRPr="00640820" w:rsidRDefault="00C30BD0"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5. Обязать секретарей […] Красноярского – тов. Голубева под их личную ответственность обеспечить размещение рабочих, ИТР и служащих эвакуируемых заводов с их семьями за счет уплотнения местных жителей, занятия клубов, театров и других общественных организаций, сокращения площадей и, в случае необходимости, разгрузки городов за счет переселения жителей в районы.</w:t>
      </w:r>
    </w:p>
    <w:p w14:paraId="0D429109" w14:textId="77777777" w:rsidR="00C30BD0" w:rsidRPr="00640820" w:rsidRDefault="00C30BD0"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Председатель Совета по эвакуации Н. Шверник</w:t>
      </w:r>
    </w:p>
    <w:p w14:paraId="4DC2BE64" w14:textId="77777777" w:rsidR="00C30BD0" w:rsidRPr="00640820" w:rsidRDefault="00C30BD0"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Секретарь Совета по эвакуации М. Кузьмин (19799).</w:t>
      </w:r>
    </w:p>
    <w:p w14:paraId="430EDE0A" w14:textId="77777777" w:rsidR="00C30BD0" w:rsidRPr="00640820" w:rsidRDefault="00C30BD0"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p>
    <w:p w14:paraId="2C690C1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октября 1941 вышло Постановление ГКО № 737 О зимней маскирующей окраске самолетов. (7012, 174).</w:t>
      </w:r>
    </w:p>
    <w:p w14:paraId="550080E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5DF583" w14:textId="77777777" w:rsidR="005907B3" w:rsidRPr="00640820" w:rsidRDefault="005907B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октября 1941 вышло Постановление ГКО № 737 О зимней маскирующей окраске самолетов</w:t>
      </w:r>
    </w:p>
    <w:p w14:paraId="22A06308" w14:textId="77777777" w:rsidR="005907B3" w:rsidRPr="00640820" w:rsidRDefault="005907B3"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MS Mincho" w:hAnsi="Times New Roman"/>
          <w:color w:val="000000" w:themeColor="text1"/>
          <w:sz w:val="16"/>
          <w:szCs w:val="16"/>
        </w:rPr>
        <w:t>Государственный Комитет Обороны постановляет:</w:t>
      </w:r>
    </w:p>
    <w:p w14:paraId="7E03E579" w14:textId="77777777" w:rsidR="005907B3" w:rsidRPr="00640820" w:rsidRDefault="005907B3"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MS Mincho" w:hAnsi="Times New Roman"/>
          <w:color w:val="000000" w:themeColor="text1"/>
          <w:sz w:val="16"/>
          <w:szCs w:val="16"/>
        </w:rPr>
        <w:t>1. Утвердить предложение Военного Совета ВВС Красной Армии о зимней маскирующей окраске самолетов в белый цвет временной, быстросмываемой краской.</w:t>
      </w:r>
    </w:p>
    <w:p w14:paraId="76873C4E" w14:textId="77777777" w:rsidR="005907B3" w:rsidRPr="00640820" w:rsidRDefault="005907B3"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MS Mincho" w:hAnsi="Times New Roman"/>
          <w:color w:val="000000" w:themeColor="text1"/>
          <w:sz w:val="16"/>
          <w:szCs w:val="16"/>
        </w:rPr>
        <w:t>2. Обязать ИКАП СССР (т.Шахурина) в зимний период 1941-1942 г.г. наносить на верхние и боковые поверхности самолетов, направляемых в снежные районы, белую, быстро-смываемую краску поверх постоянного летнего покрытия.</w:t>
      </w:r>
    </w:p>
    <w:p w14:paraId="3D216529" w14:textId="77777777" w:rsidR="005907B3" w:rsidRPr="00640820" w:rsidRDefault="005907B3"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MS Mincho" w:hAnsi="Times New Roman"/>
          <w:color w:val="000000" w:themeColor="text1"/>
          <w:sz w:val="16"/>
          <w:szCs w:val="16"/>
        </w:rPr>
        <w:t>3. Обяэать Наркомхимпроы</w:t>
      </w:r>
      <w:r w:rsidRPr="00640820">
        <w:rPr>
          <w:rFonts w:ascii="Times New Roman" w:eastAsia="Times New Roman" w:hAnsi="Times New Roman"/>
          <w:color w:val="000000" w:themeColor="text1"/>
          <w:sz w:val="16"/>
          <w:szCs w:val="16"/>
        </w:rPr>
        <w:t xml:space="preserve"> СССР (т.Дснисова) с</w:t>
      </w:r>
      <w:r w:rsidRPr="00640820">
        <w:rPr>
          <w:rFonts w:ascii="Times New Roman" w:eastAsia="MS Mincho" w:hAnsi="Times New Roman"/>
          <w:color w:val="000000" w:themeColor="text1"/>
          <w:sz w:val="16"/>
          <w:szCs w:val="16"/>
        </w:rPr>
        <w:t xml:space="preserve"> привлече</w:t>
      </w:r>
      <w:r w:rsidRPr="00640820">
        <w:rPr>
          <w:rFonts w:ascii="Times New Roman" w:eastAsia="MS Mincho" w:hAnsi="Times New Roman"/>
          <w:color w:val="000000" w:themeColor="text1"/>
          <w:sz w:val="16"/>
          <w:szCs w:val="16"/>
        </w:rPr>
        <w:softHyphen/>
        <w:t>нием Начкомместпрома</w:t>
      </w:r>
      <w:r w:rsidRPr="00640820">
        <w:rPr>
          <w:rFonts w:ascii="Times New Roman" w:eastAsia="Times New Roman" w:hAnsi="Times New Roman"/>
          <w:color w:val="000000" w:themeColor="text1"/>
          <w:sz w:val="16"/>
          <w:szCs w:val="16"/>
        </w:rPr>
        <w:t xml:space="preserve"> РСФСР (т.Смитяева) обеспечить сдачу </w:t>
      </w:r>
      <w:r w:rsidRPr="00640820">
        <w:rPr>
          <w:rFonts w:ascii="Times New Roman" w:eastAsia="MS Mincho" w:hAnsi="Times New Roman"/>
          <w:color w:val="000000" w:themeColor="text1"/>
          <w:sz w:val="16"/>
          <w:szCs w:val="16"/>
        </w:rPr>
        <w:t>белых, быстросмываемнх красок на казеиновом закрепителе по рецептурам ВИАН НКАП</w:t>
      </w:r>
      <w:r w:rsidRPr="00640820">
        <w:rPr>
          <w:rFonts w:ascii="Times New Roman" w:eastAsia="Times New Roman" w:hAnsi="Times New Roman"/>
          <w:color w:val="000000" w:themeColor="text1"/>
          <w:sz w:val="16"/>
          <w:szCs w:val="16"/>
        </w:rPr>
        <w:t xml:space="preserve"> СССР</w:t>
      </w:r>
      <w:r w:rsidRPr="00640820">
        <w:rPr>
          <w:rFonts w:ascii="Times New Roman" w:eastAsia="MS Mincho" w:hAnsi="Times New Roman"/>
          <w:color w:val="000000" w:themeColor="text1"/>
          <w:sz w:val="16"/>
          <w:szCs w:val="16"/>
        </w:rPr>
        <w:t xml:space="preserve"> е</w:t>
      </w:r>
      <w:r w:rsidRPr="00640820">
        <w:rPr>
          <w:rFonts w:ascii="Times New Roman" w:eastAsia="Times New Roman" w:hAnsi="Times New Roman"/>
          <w:color w:val="000000" w:themeColor="text1"/>
          <w:sz w:val="16"/>
          <w:szCs w:val="16"/>
        </w:rPr>
        <w:t xml:space="preserve"> следующих количествах:</w:t>
      </w:r>
    </w:p>
    <w:p w14:paraId="4532B43B" w14:textId="77777777" w:rsidR="005907B3" w:rsidRPr="00640820" w:rsidRDefault="005907B3" w:rsidP="00640820">
      <w:pPr>
        <w:tabs>
          <w:tab w:val="left" w:pos="1175"/>
        </w:tabs>
        <w:spacing w:after="0" w:line="240" w:lineRule="auto"/>
        <w:jc w:val="both"/>
        <w:rPr>
          <w:rFonts w:ascii="Times New Roman" w:eastAsia="Times New Roman" w:hAnsi="Times New Roman"/>
          <w:color w:val="000000" w:themeColor="text1"/>
          <w:sz w:val="16"/>
          <w:szCs w:val="16"/>
        </w:rPr>
      </w:pPr>
      <w:r w:rsidRPr="00640820">
        <w:rPr>
          <w:rFonts w:ascii="Times New Roman" w:eastAsia="MS Mincho" w:hAnsi="Times New Roman"/>
          <w:color w:val="000000" w:themeColor="text1"/>
          <w:sz w:val="16"/>
          <w:szCs w:val="16"/>
        </w:rPr>
        <w:t>а) ГУ ВВС КА сухой краски 200 тонн, по 50 тонн ежеде</w:t>
      </w:r>
      <w:r w:rsidRPr="00640820">
        <w:rPr>
          <w:rFonts w:ascii="Times New Roman" w:eastAsia="MS Mincho" w:hAnsi="Times New Roman"/>
          <w:color w:val="000000" w:themeColor="text1"/>
          <w:sz w:val="16"/>
          <w:szCs w:val="16"/>
        </w:rPr>
        <w:softHyphen/>
        <w:t>кадно, начиная с 10 октября 1941 года;</w:t>
      </w:r>
    </w:p>
    <w:p w14:paraId="45390936" w14:textId="77777777" w:rsidR="005907B3" w:rsidRPr="00640820" w:rsidRDefault="005907B3" w:rsidP="00640820">
      <w:pPr>
        <w:tabs>
          <w:tab w:val="left" w:pos="2448"/>
        </w:tabs>
        <w:spacing w:after="0" w:line="240" w:lineRule="auto"/>
        <w:jc w:val="both"/>
        <w:rPr>
          <w:rFonts w:ascii="Times New Roman" w:eastAsia="Times New Roman" w:hAnsi="Times New Roman"/>
          <w:color w:val="000000" w:themeColor="text1"/>
          <w:sz w:val="16"/>
          <w:szCs w:val="16"/>
        </w:rPr>
      </w:pPr>
      <w:r w:rsidRPr="00640820">
        <w:rPr>
          <w:rFonts w:ascii="Times New Roman" w:eastAsia="MS Mincho" w:hAnsi="Times New Roman"/>
          <w:color w:val="000000" w:themeColor="text1"/>
          <w:sz w:val="16"/>
          <w:szCs w:val="16"/>
        </w:rPr>
        <w:t>б) Наркомату авиационной промышленности СССР в виде пасты на водном растворе, в количестве 100 тонн по весу краски, ежедекадно равными партиями в течение 2-х месяцев, начиная с 25 октября 1941 года (19277).</w:t>
      </w:r>
    </w:p>
    <w:p w14:paraId="382324EC" w14:textId="77777777" w:rsidR="005907B3" w:rsidRPr="00640820" w:rsidRDefault="005907B3" w:rsidP="00640820">
      <w:pPr>
        <w:spacing w:after="0" w:line="240" w:lineRule="auto"/>
        <w:jc w:val="both"/>
        <w:rPr>
          <w:rFonts w:ascii="Times New Roman" w:hAnsi="Times New Roman"/>
          <w:color w:val="000000" w:themeColor="text1"/>
          <w:sz w:val="16"/>
          <w:szCs w:val="16"/>
        </w:rPr>
      </w:pPr>
    </w:p>
    <w:p w14:paraId="374C56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октября 1941 вышло постановление ГКО N 738с по организации производства учебно-тренировочных планеров УС (1513,23).</w:t>
      </w:r>
    </w:p>
    <w:p w14:paraId="069CE5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C1664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октября 1941 № 738 вышло Постановление ГКО Об организации производства двухместных учебно-тренировочных планеров. РГАНИР, Фонд ГКО, д. 11, лл. 175 (11012).</w:t>
      </w:r>
    </w:p>
    <w:p w14:paraId="1217FA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D002337" w14:textId="77777777" w:rsidR="00A973B1" w:rsidRPr="00640820" w:rsidRDefault="00A973B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октября 1941 № 738 вышло Постановление ГКО Об организации производства двухместных учебно-тренировочных планеров</w:t>
      </w:r>
    </w:p>
    <w:p w14:paraId="4953C587" w14:textId="77777777" w:rsidR="00A973B1" w:rsidRPr="00640820" w:rsidRDefault="00A973B1"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Gungsuh" w:hAnsi="Times New Roman"/>
          <w:color w:val="000000" w:themeColor="text1"/>
          <w:sz w:val="16"/>
          <w:szCs w:val="16"/>
        </w:rPr>
        <w:t>В целях организации производства учебно-тренировочных планеров Государственный Комитет Обороны постановляет:</w:t>
      </w:r>
    </w:p>
    <w:p w14:paraId="2DCDB000" w14:textId="77777777" w:rsidR="00A973B1" w:rsidRPr="00640820" w:rsidRDefault="00A973B1"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Gungsuh" w:hAnsi="Times New Roman"/>
          <w:color w:val="000000" w:themeColor="text1"/>
          <w:sz w:val="16"/>
          <w:szCs w:val="16"/>
        </w:rPr>
        <w:t>1.Наркомавиапрому (т.Шахурину)организовать производст</w:t>
      </w:r>
      <w:r w:rsidRPr="00640820">
        <w:rPr>
          <w:rFonts w:ascii="Times New Roman" w:eastAsia="Gungsuh" w:hAnsi="Times New Roman"/>
          <w:color w:val="000000" w:themeColor="text1"/>
          <w:sz w:val="16"/>
          <w:szCs w:val="16"/>
        </w:rPr>
        <w:softHyphen/>
        <w:t>во учебно-тренировочных двухместных планеров УС-6 на заво</w:t>
      </w:r>
      <w:r w:rsidRPr="00640820">
        <w:rPr>
          <w:rFonts w:ascii="Times New Roman" w:eastAsia="Gungsuh" w:hAnsi="Times New Roman"/>
          <w:color w:val="000000" w:themeColor="text1"/>
          <w:sz w:val="16"/>
          <w:szCs w:val="16"/>
        </w:rPr>
        <w:softHyphen/>
        <w:t>дах:</w:t>
      </w:r>
    </w:p>
    <w:p w14:paraId="46E5AF50" w14:textId="77777777" w:rsidR="00A973B1" w:rsidRPr="00640820" w:rsidRDefault="00A973B1" w:rsidP="00640820">
      <w:pPr>
        <w:tabs>
          <w:tab w:val="left" w:pos="2308"/>
        </w:tabs>
        <w:spacing w:after="0" w:line="240" w:lineRule="auto"/>
        <w:jc w:val="both"/>
        <w:rPr>
          <w:rFonts w:ascii="Times New Roman" w:eastAsia="Times New Roman" w:hAnsi="Times New Roman"/>
          <w:color w:val="000000" w:themeColor="text1"/>
          <w:sz w:val="16"/>
          <w:szCs w:val="16"/>
        </w:rPr>
      </w:pPr>
      <w:r w:rsidRPr="00640820">
        <w:rPr>
          <w:rFonts w:ascii="Times New Roman" w:eastAsia="Gungsuh" w:hAnsi="Times New Roman"/>
          <w:color w:val="000000" w:themeColor="text1"/>
          <w:sz w:val="16"/>
          <w:szCs w:val="16"/>
        </w:rPr>
        <w:lastRenderedPageBreak/>
        <w:t>а) планерным мастерским ЦС Осоавиахима ст.Голицино Белорусской х.д. 80 планеров</w:t>
      </w:r>
    </w:p>
    <w:p w14:paraId="74837C8E" w14:textId="77777777" w:rsidR="00A973B1" w:rsidRPr="00640820" w:rsidRDefault="00A973B1" w:rsidP="00640820">
      <w:pPr>
        <w:tabs>
          <w:tab w:val="left" w:pos="2308"/>
        </w:tabs>
        <w:spacing w:after="0" w:line="240" w:lineRule="auto"/>
        <w:jc w:val="both"/>
        <w:rPr>
          <w:rFonts w:ascii="Times New Roman" w:eastAsia="Times New Roman" w:hAnsi="Times New Roman"/>
          <w:color w:val="000000" w:themeColor="text1"/>
          <w:sz w:val="16"/>
          <w:szCs w:val="16"/>
        </w:rPr>
      </w:pPr>
      <w:r w:rsidRPr="00640820">
        <w:rPr>
          <w:rFonts w:ascii="Times New Roman" w:eastAsia="Gungsuh" w:hAnsi="Times New Roman"/>
          <w:color w:val="000000" w:themeColor="text1"/>
          <w:sz w:val="16"/>
          <w:szCs w:val="16"/>
        </w:rPr>
        <w:t>б) ремонтным мастерским ЦС Осоавиахима г.Тюмень (бывш. Педагогический тех</w:t>
      </w:r>
      <w:r w:rsidRPr="00640820">
        <w:rPr>
          <w:rFonts w:ascii="Times New Roman" w:eastAsia="Gungsuh" w:hAnsi="Times New Roman"/>
          <w:color w:val="000000" w:themeColor="text1"/>
          <w:sz w:val="16"/>
          <w:szCs w:val="16"/>
        </w:rPr>
        <w:softHyphen/>
        <w:t>никум) 40 планеров</w:t>
      </w:r>
    </w:p>
    <w:p w14:paraId="734E5463" w14:textId="77777777" w:rsidR="00A973B1" w:rsidRPr="00640820" w:rsidRDefault="00A973B1" w:rsidP="00640820">
      <w:pPr>
        <w:tabs>
          <w:tab w:val="left" w:pos="1963"/>
        </w:tabs>
        <w:spacing w:after="0" w:line="240" w:lineRule="auto"/>
        <w:jc w:val="both"/>
        <w:rPr>
          <w:rFonts w:ascii="Times New Roman" w:eastAsia="Times New Roman" w:hAnsi="Times New Roman"/>
          <w:color w:val="000000" w:themeColor="text1"/>
          <w:sz w:val="16"/>
          <w:szCs w:val="16"/>
        </w:rPr>
      </w:pPr>
      <w:r w:rsidRPr="00640820">
        <w:rPr>
          <w:rFonts w:ascii="Times New Roman" w:eastAsia="Gungsuh" w:hAnsi="Times New Roman"/>
          <w:color w:val="000000" w:themeColor="text1"/>
          <w:sz w:val="16"/>
          <w:szCs w:val="16"/>
        </w:rPr>
        <w:t>в) заводу № 482 НКАП г.Москва 40 планеров</w:t>
      </w:r>
    </w:p>
    <w:p w14:paraId="1F083D19" w14:textId="77777777" w:rsidR="00A973B1" w:rsidRPr="00640820" w:rsidRDefault="00A973B1" w:rsidP="00640820">
      <w:pPr>
        <w:tabs>
          <w:tab w:val="left" w:pos="1955"/>
        </w:tabs>
        <w:spacing w:after="0" w:line="240" w:lineRule="auto"/>
        <w:jc w:val="both"/>
        <w:rPr>
          <w:rFonts w:ascii="Times New Roman" w:eastAsia="Times New Roman" w:hAnsi="Times New Roman"/>
          <w:color w:val="000000" w:themeColor="text1"/>
          <w:sz w:val="16"/>
          <w:szCs w:val="16"/>
        </w:rPr>
      </w:pPr>
      <w:r w:rsidRPr="00640820">
        <w:rPr>
          <w:rFonts w:ascii="Times New Roman" w:eastAsia="Gungsuh" w:hAnsi="Times New Roman"/>
          <w:color w:val="000000" w:themeColor="text1"/>
          <w:sz w:val="16"/>
          <w:szCs w:val="16"/>
        </w:rPr>
        <w:t>Создать мощности по выпуску учебно-тренировочных планеров УС-6 в 1942</w:t>
      </w:r>
    </w:p>
    <w:p w14:paraId="1A1CA78D" w14:textId="77777777" w:rsidR="00A973B1" w:rsidRPr="00640820" w:rsidRDefault="00A973B1" w:rsidP="00640820">
      <w:pPr>
        <w:tabs>
          <w:tab w:val="left" w:pos="4153"/>
        </w:tabs>
        <w:spacing w:after="0" w:line="240" w:lineRule="auto"/>
        <w:jc w:val="both"/>
        <w:rPr>
          <w:rFonts w:ascii="Times New Roman" w:eastAsia="Times New Roman" w:hAnsi="Times New Roman"/>
          <w:color w:val="000000" w:themeColor="text1"/>
          <w:sz w:val="16"/>
          <w:szCs w:val="16"/>
        </w:rPr>
      </w:pPr>
      <w:r w:rsidRPr="00640820">
        <w:rPr>
          <w:rFonts w:ascii="Times New Roman" w:eastAsia="Gungsuh" w:hAnsi="Times New Roman"/>
          <w:color w:val="000000" w:themeColor="text1"/>
          <w:sz w:val="16"/>
          <w:szCs w:val="16"/>
        </w:rPr>
        <w:t>а) планерным мастерским ЦС Осоавиахима ст.Голицино Белорусской ж.д.</w:t>
      </w:r>
      <w:r w:rsidRPr="00640820">
        <w:rPr>
          <w:rFonts w:ascii="Times New Roman" w:eastAsia="Gungsuh" w:hAnsi="Times New Roman"/>
          <w:color w:val="000000" w:themeColor="text1"/>
          <w:sz w:val="16"/>
          <w:szCs w:val="16"/>
        </w:rPr>
        <w:tab/>
        <w:t>600 планеров</w:t>
      </w:r>
    </w:p>
    <w:p w14:paraId="585479EE" w14:textId="77777777" w:rsidR="00A973B1" w:rsidRPr="00640820" w:rsidRDefault="00A973B1" w:rsidP="00640820">
      <w:pPr>
        <w:tabs>
          <w:tab w:val="left" w:pos="4175"/>
        </w:tabs>
        <w:spacing w:after="0" w:line="240" w:lineRule="auto"/>
        <w:jc w:val="both"/>
        <w:rPr>
          <w:rFonts w:ascii="Times New Roman" w:eastAsia="Times New Roman" w:hAnsi="Times New Roman"/>
          <w:color w:val="000000" w:themeColor="text1"/>
          <w:sz w:val="16"/>
          <w:szCs w:val="16"/>
        </w:rPr>
      </w:pPr>
      <w:r w:rsidRPr="00640820">
        <w:rPr>
          <w:rFonts w:ascii="Times New Roman" w:eastAsia="Gungsuh" w:hAnsi="Times New Roman"/>
          <w:color w:val="000000" w:themeColor="text1"/>
          <w:sz w:val="16"/>
          <w:szCs w:val="16"/>
        </w:rPr>
        <w:t>о) ремонтным мастерским ЦС Осоавиахима(бывш.Педагогичес</w:t>
      </w:r>
      <w:r w:rsidRPr="00640820">
        <w:rPr>
          <w:rFonts w:ascii="Times New Roman" w:eastAsia="Gungsuh" w:hAnsi="Times New Roman"/>
          <w:color w:val="000000" w:themeColor="text1"/>
          <w:sz w:val="16"/>
          <w:szCs w:val="16"/>
        </w:rPr>
        <w:softHyphen/>
        <w:t>кий техникум) г.Тюмень.</w:t>
      </w:r>
      <w:r w:rsidRPr="00640820">
        <w:rPr>
          <w:rFonts w:ascii="Times New Roman" w:eastAsia="Gungsuh" w:hAnsi="Times New Roman"/>
          <w:color w:val="000000" w:themeColor="text1"/>
          <w:sz w:val="16"/>
          <w:szCs w:val="16"/>
        </w:rPr>
        <w:tab/>
        <w:t>300 планеров</w:t>
      </w:r>
    </w:p>
    <w:p w14:paraId="3BD671A8" w14:textId="77777777" w:rsidR="00A973B1" w:rsidRPr="00640820" w:rsidRDefault="00A973B1"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Gungsuh" w:hAnsi="Times New Roman"/>
          <w:color w:val="000000" w:themeColor="text1"/>
          <w:sz w:val="16"/>
          <w:szCs w:val="16"/>
        </w:rPr>
        <w:t>в) заводу 482 г.Москва 300 планеров.</w:t>
      </w:r>
    </w:p>
    <w:p w14:paraId="2CD31DD6" w14:textId="77777777" w:rsidR="00A973B1" w:rsidRPr="00640820" w:rsidRDefault="00A973B1" w:rsidP="00640820">
      <w:pPr>
        <w:spacing w:after="0" w:line="240" w:lineRule="auto"/>
        <w:jc w:val="both"/>
        <w:rPr>
          <w:rFonts w:ascii="Times New Roman" w:eastAsia="Gungsuh" w:hAnsi="Times New Roman"/>
          <w:color w:val="000000" w:themeColor="text1"/>
          <w:sz w:val="16"/>
          <w:szCs w:val="16"/>
        </w:rPr>
      </w:pPr>
      <w:r w:rsidRPr="00640820">
        <w:rPr>
          <w:rFonts w:ascii="Times New Roman" w:eastAsia="Gungsuh" w:hAnsi="Times New Roman"/>
          <w:color w:val="000000" w:themeColor="text1"/>
          <w:sz w:val="16"/>
          <w:szCs w:val="16"/>
        </w:rPr>
        <w:t>4.Центральному Совету Осоавиахима (т.Кобыльских) передать Наркомавиапрому Голицинские планерные мастерские в г.Москве и ремонтные мастерские в г.Тюмени по состоянию на 1 сентября 1941 года (19278).</w:t>
      </w:r>
    </w:p>
    <w:p w14:paraId="3A2C727C" w14:textId="77777777" w:rsidR="00A973B1" w:rsidRPr="00640820" w:rsidRDefault="00A973B1" w:rsidP="00640820">
      <w:pPr>
        <w:autoSpaceDE w:val="0"/>
        <w:autoSpaceDN w:val="0"/>
        <w:adjustRightInd w:val="0"/>
        <w:spacing w:after="0" w:line="240" w:lineRule="auto"/>
        <w:jc w:val="both"/>
        <w:rPr>
          <w:rFonts w:ascii="Times New Roman" w:hAnsi="Times New Roman"/>
          <w:color w:val="000000" w:themeColor="text1"/>
          <w:sz w:val="16"/>
          <w:szCs w:val="16"/>
        </w:rPr>
      </w:pPr>
    </w:p>
    <w:p w14:paraId="5630CD6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октября 1941 года зам. наркома В.П. Кузнецов направил Шахурину объяс</w:t>
      </w:r>
      <w:r w:rsidRPr="00640820">
        <w:rPr>
          <w:rFonts w:ascii="Times New Roman" w:hAnsi="Times New Roman"/>
          <w:color w:val="000000" w:themeColor="text1"/>
          <w:sz w:val="16"/>
          <w:szCs w:val="16"/>
        </w:rPr>
        <w:softHyphen/>
        <w:t>нительную записку касательно пись</w:t>
      </w:r>
      <w:r w:rsidRPr="00640820">
        <w:rPr>
          <w:rFonts w:ascii="Times New Roman" w:hAnsi="Times New Roman"/>
          <w:color w:val="000000" w:themeColor="text1"/>
          <w:sz w:val="16"/>
          <w:szCs w:val="16"/>
        </w:rPr>
        <w:softHyphen/>
        <w:t>ма Печенко (от 25 августа 1941 в ГКО). В ней указывалось, что мотор №10 не прошел госиспытаний по причине выгорания поршней и пригорания поршневых колец, а мо</w:t>
      </w:r>
      <w:r w:rsidRPr="00640820">
        <w:rPr>
          <w:rFonts w:ascii="Times New Roman" w:hAnsi="Times New Roman"/>
          <w:color w:val="000000" w:themeColor="text1"/>
          <w:sz w:val="16"/>
          <w:szCs w:val="16"/>
        </w:rPr>
        <w:softHyphen/>
        <w:t>тор №9 по дымлению цилиндров из-за той же причины. Это объясня</w:t>
      </w:r>
      <w:r w:rsidRPr="00640820">
        <w:rPr>
          <w:rFonts w:ascii="Times New Roman" w:hAnsi="Times New Roman"/>
          <w:color w:val="000000" w:themeColor="text1"/>
          <w:sz w:val="16"/>
          <w:szCs w:val="16"/>
        </w:rPr>
        <w:softHyphen/>
        <w:t>лось применением топлива с пони</w:t>
      </w:r>
      <w:r w:rsidRPr="00640820">
        <w:rPr>
          <w:rFonts w:ascii="Times New Roman" w:hAnsi="Times New Roman"/>
          <w:color w:val="000000" w:themeColor="text1"/>
          <w:sz w:val="16"/>
          <w:szCs w:val="16"/>
        </w:rPr>
        <w:softHyphen/>
        <w:t>женным октановым числом (3,5Б-78 вместо 4Б-78), что привело к детона</w:t>
      </w:r>
      <w:r w:rsidRPr="00640820">
        <w:rPr>
          <w:rFonts w:ascii="Times New Roman" w:hAnsi="Times New Roman"/>
          <w:color w:val="000000" w:themeColor="text1"/>
          <w:sz w:val="16"/>
          <w:szCs w:val="16"/>
        </w:rPr>
        <w:softHyphen/>
        <w:t>ции и перегреву отдельных мест ци</w:t>
      </w:r>
      <w:r w:rsidRPr="00640820">
        <w:rPr>
          <w:rFonts w:ascii="Times New Roman" w:hAnsi="Times New Roman"/>
          <w:color w:val="000000" w:themeColor="text1"/>
          <w:sz w:val="16"/>
          <w:szCs w:val="16"/>
        </w:rPr>
        <w:softHyphen/>
        <w:t>линдровой группы. После замены топ</w:t>
      </w:r>
      <w:r w:rsidRPr="00640820">
        <w:rPr>
          <w:rFonts w:ascii="Times New Roman" w:hAnsi="Times New Roman"/>
          <w:color w:val="000000" w:themeColor="text1"/>
          <w:sz w:val="16"/>
          <w:szCs w:val="16"/>
        </w:rPr>
        <w:softHyphen/>
        <w:t>лива на моторе №6501064 была про</w:t>
      </w:r>
      <w:r w:rsidRPr="00640820">
        <w:rPr>
          <w:rFonts w:ascii="Times New Roman" w:hAnsi="Times New Roman"/>
          <w:color w:val="000000" w:themeColor="text1"/>
          <w:sz w:val="16"/>
          <w:szCs w:val="16"/>
        </w:rPr>
        <w:softHyphen/>
        <w:t>ведена 100-часовая проверка при температурах, заданных в ТУ. Мотор нормально отработал при температу</w:t>
      </w:r>
      <w:r w:rsidRPr="00640820">
        <w:rPr>
          <w:rFonts w:ascii="Times New Roman" w:hAnsi="Times New Roman"/>
          <w:color w:val="000000" w:themeColor="text1"/>
          <w:sz w:val="16"/>
          <w:szCs w:val="16"/>
        </w:rPr>
        <w:softHyphen/>
        <w:t>рах по наиболее нагретому цилиндру на взлетном режиме 225-227 гр. С и на номинальном режиме 212-215 гр. С. Одновременно, как докладывал Куз</w:t>
      </w:r>
      <w:r w:rsidRPr="00640820">
        <w:rPr>
          <w:rFonts w:ascii="Times New Roman" w:hAnsi="Times New Roman"/>
          <w:color w:val="000000" w:themeColor="text1"/>
          <w:sz w:val="16"/>
          <w:szCs w:val="16"/>
        </w:rPr>
        <w:softHyphen/>
        <w:t>нецов, карбюратор АК-82БП (беспоп</w:t>
      </w:r>
      <w:r w:rsidRPr="00640820">
        <w:rPr>
          <w:rFonts w:ascii="Times New Roman" w:hAnsi="Times New Roman"/>
          <w:color w:val="000000" w:themeColor="text1"/>
          <w:sz w:val="16"/>
          <w:szCs w:val="16"/>
        </w:rPr>
        <w:softHyphen/>
        <w:t>лавковый) с автокорректором обеспе</w:t>
      </w:r>
      <w:r w:rsidRPr="00640820">
        <w:rPr>
          <w:rFonts w:ascii="Times New Roman" w:hAnsi="Times New Roman"/>
          <w:color w:val="000000" w:themeColor="text1"/>
          <w:sz w:val="16"/>
          <w:szCs w:val="16"/>
        </w:rPr>
        <w:softHyphen/>
        <w:t>чил нормальную работу мотора на станке и в полете на самолете Су-2 на 1-й и 2-й скорости нагнетателя (10686).</w:t>
      </w:r>
    </w:p>
    <w:p w14:paraId="294581E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9624D5" w14:textId="77777777" w:rsidR="009F6E13" w:rsidRPr="00640820" w:rsidRDefault="009F6E13" w:rsidP="00640820">
      <w:pPr>
        <w:pStyle w:val="a3"/>
        <w:rPr>
          <w:color w:val="000000" w:themeColor="text1"/>
          <w:lang w:val="ru-RU"/>
        </w:rPr>
      </w:pPr>
      <w:r w:rsidRPr="00640820">
        <w:rPr>
          <w:color w:val="000000" w:themeColor="text1"/>
          <w:lang w:val="ru-RU"/>
        </w:rPr>
        <w:t>7 октября 1941 г. зам. наркома В.П. Кузнецов направил Шахурину объяснительную записку касательно письма Печенко. В ней указывалось, что мотор № 10 не прошёл госиспытаний по причине выгорания поршней и пригорания поршневых колец, а мотор № 9 — по дымлению цилиндров из-за той же причины. Это объяснялось применением топлива с пониженным октановым числом (3,5Б-78 вместо 5-78), что привело к детонации и перегреву отдельных мест цилиндровой группы. После замены топлива на моторе № 6501064 провели 100-часовую проверку при температурах, заданных в ТУ. Мотор нормально отработал при температурах по наиболее наеретому цилиндру на взлетном режиме 225-227°С и на номинальном режиме 212-215°С. Одновременно, как докладывал Кузнецов, карбюратор АК-82БП (беспоплавковый) с автокорректором обеспечил нормальную работу мотора на станке и в полёте на самолёте Су-2 на 1-й и 2-й скорости нагнетателя. Казалось, что вопрос исчерпан (15788).</w:t>
      </w:r>
    </w:p>
    <w:p w14:paraId="1D0FE103" w14:textId="77777777" w:rsidR="009F6E13" w:rsidRPr="00640820" w:rsidRDefault="009F6E13" w:rsidP="00640820">
      <w:pPr>
        <w:pStyle w:val="a3"/>
        <w:rPr>
          <w:color w:val="000000" w:themeColor="text1"/>
          <w:lang w:val="ru-RU"/>
        </w:rPr>
      </w:pPr>
    </w:p>
    <w:p w14:paraId="0537FD92"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50077679"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958CEC8" w14:textId="77777777" w:rsidR="00F52A2A" w:rsidRPr="00640820" w:rsidRDefault="00F52A2A" w:rsidP="00640820">
      <w:pPr>
        <w:pStyle w:val="a3"/>
        <w:rPr>
          <w:color w:val="000000" w:themeColor="text1"/>
          <w:lang w:val="ru-RU"/>
        </w:rPr>
      </w:pPr>
      <w:r w:rsidRPr="00640820">
        <w:rPr>
          <w:color w:val="000000" w:themeColor="text1"/>
          <w:lang w:val="ru-RU"/>
        </w:rPr>
        <w:t>7 октября 1941 года в письме заместителю начальника ГАУ генерал-майору артиллерии В.И. Холхову, главный инженер УЗТМ А.С. Рыжков писал следующее:</w:t>
      </w:r>
    </w:p>
    <w:p w14:paraId="6F01ABCA" w14:textId="77777777" w:rsidR="00F52A2A" w:rsidRPr="00640820" w:rsidRDefault="00F52A2A" w:rsidP="00640820">
      <w:pPr>
        <w:pStyle w:val="Bodytext141"/>
        <w:shd w:val="clear" w:color="auto" w:fill="auto"/>
        <w:spacing w:line="240" w:lineRule="auto"/>
        <w:ind w:firstLine="0"/>
        <w:jc w:val="both"/>
        <w:rPr>
          <w:i w:val="0"/>
          <w:color w:val="000000" w:themeColor="text1"/>
          <w:sz w:val="16"/>
          <w:szCs w:val="16"/>
        </w:rPr>
      </w:pPr>
      <w:r w:rsidRPr="00640820">
        <w:rPr>
          <w:i w:val="0"/>
          <w:color w:val="000000" w:themeColor="text1"/>
          <w:sz w:val="16"/>
          <w:szCs w:val="16"/>
        </w:rPr>
        <w:t>«На Ваше письмо №281377 от 25 августа 41 г. сообщаем, что Уралмашзавод имеет конструкторские кадры, чтобы приступить к выпол</w:t>
      </w:r>
      <w:r w:rsidRPr="00640820">
        <w:rPr>
          <w:i w:val="0"/>
          <w:color w:val="000000" w:themeColor="text1"/>
          <w:sz w:val="16"/>
          <w:szCs w:val="16"/>
        </w:rPr>
        <w:softHyphen/>
        <w:t>нению поставленной Вами, утвержденной маршалом Советского Союза т. Кулик задачи разработки самоходной артиллерийской установки (ис</w:t>
      </w:r>
      <w:r w:rsidRPr="00640820">
        <w:rPr>
          <w:i w:val="0"/>
          <w:color w:val="000000" w:themeColor="text1"/>
          <w:sz w:val="16"/>
          <w:szCs w:val="16"/>
        </w:rPr>
        <w:softHyphen/>
        <w:t>требитель ДО Тов).</w:t>
      </w:r>
    </w:p>
    <w:p w14:paraId="2E285C1F" w14:textId="77777777" w:rsidR="00F52A2A" w:rsidRPr="00640820" w:rsidRDefault="00F52A2A" w:rsidP="00640820">
      <w:pPr>
        <w:pStyle w:val="Bodytext141"/>
        <w:shd w:val="clear" w:color="auto" w:fill="auto"/>
        <w:spacing w:line="240" w:lineRule="auto"/>
        <w:ind w:firstLine="0"/>
        <w:jc w:val="both"/>
        <w:rPr>
          <w:i w:val="0"/>
          <w:color w:val="000000" w:themeColor="text1"/>
          <w:sz w:val="16"/>
          <w:szCs w:val="16"/>
        </w:rPr>
      </w:pPr>
      <w:r w:rsidRPr="00640820">
        <w:rPr>
          <w:i w:val="0"/>
          <w:color w:val="000000" w:themeColor="text1"/>
          <w:sz w:val="16"/>
          <w:szCs w:val="16"/>
        </w:rPr>
        <w:t>Так как работники Уралмашзавода подобными вопросами прежде не занимались и Уралмашзавод не имеет каких-либо материалов по данному и подобным вопросам, необходимо для правильного и современного реше</w:t>
      </w:r>
      <w:r w:rsidRPr="00640820">
        <w:rPr>
          <w:i w:val="0"/>
          <w:color w:val="000000" w:themeColor="text1"/>
          <w:sz w:val="16"/>
          <w:szCs w:val="16"/>
        </w:rPr>
        <w:softHyphen/>
        <w:t>ния поставленной задачи, выслать или дать указание о высылке соответ</w:t>
      </w:r>
      <w:r w:rsidRPr="00640820">
        <w:rPr>
          <w:i w:val="0"/>
          <w:color w:val="000000" w:themeColor="text1"/>
          <w:sz w:val="16"/>
          <w:szCs w:val="16"/>
        </w:rPr>
        <w:softHyphen/>
        <w:t>ствующим организациям:</w:t>
      </w:r>
    </w:p>
    <w:p w14:paraId="5D62CEED" w14:textId="77777777" w:rsidR="00F52A2A" w:rsidRPr="00640820" w:rsidRDefault="00F52A2A" w:rsidP="00640820">
      <w:pPr>
        <w:pStyle w:val="Bodytext141"/>
        <w:shd w:val="clear" w:color="auto" w:fill="auto"/>
        <w:tabs>
          <w:tab w:val="left" w:pos="565"/>
        </w:tabs>
        <w:spacing w:line="240" w:lineRule="auto"/>
        <w:ind w:firstLine="0"/>
        <w:jc w:val="both"/>
        <w:rPr>
          <w:i w:val="0"/>
          <w:color w:val="000000" w:themeColor="text1"/>
          <w:sz w:val="16"/>
          <w:szCs w:val="16"/>
        </w:rPr>
      </w:pPr>
      <w:r w:rsidRPr="00640820">
        <w:rPr>
          <w:i w:val="0"/>
          <w:color w:val="000000" w:themeColor="text1"/>
          <w:sz w:val="16"/>
          <w:szCs w:val="16"/>
        </w:rPr>
        <w:t>1. Чертежи, модели и описания подобных заграничных систем;</w:t>
      </w:r>
    </w:p>
    <w:p w14:paraId="32A946BF" w14:textId="77777777" w:rsidR="00F52A2A" w:rsidRPr="00640820" w:rsidRDefault="00F52A2A" w:rsidP="00640820">
      <w:pPr>
        <w:pStyle w:val="Bodytext141"/>
        <w:shd w:val="clear" w:color="auto" w:fill="auto"/>
        <w:tabs>
          <w:tab w:val="left" w:pos="589"/>
        </w:tabs>
        <w:spacing w:line="240" w:lineRule="auto"/>
        <w:ind w:firstLine="0"/>
        <w:jc w:val="both"/>
        <w:rPr>
          <w:i w:val="0"/>
          <w:color w:val="000000" w:themeColor="text1"/>
          <w:sz w:val="16"/>
          <w:szCs w:val="16"/>
        </w:rPr>
      </w:pPr>
      <w:r w:rsidRPr="00640820">
        <w:rPr>
          <w:i w:val="0"/>
          <w:color w:val="000000" w:themeColor="text1"/>
          <w:sz w:val="16"/>
          <w:szCs w:val="16"/>
        </w:rPr>
        <w:t>2. То же тяжелых танков;</w:t>
      </w:r>
    </w:p>
    <w:p w14:paraId="230BCF67" w14:textId="77777777" w:rsidR="00F52A2A" w:rsidRPr="00640820" w:rsidRDefault="00F52A2A" w:rsidP="00640820">
      <w:pPr>
        <w:pStyle w:val="Bodytext141"/>
        <w:shd w:val="clear" w:color="auto" w:fill="auto"/>
        <w:tabs>
          <w:tab w:val="left" w:pos="574"/>
        </w:tabs>
        <w:spacing w:line="240" w:lineRule="auto"/>
        <w:ind w:firstLine="0"/>
        <w:jc w:val="both"/>
        <w:rPr>
          <w:i w:val="0"/>
          <w:color w:val="000000" w:themeColor="text1"/>
          <w:sz w:val="16"/>
          <w:szCs w:val="16"/>
        </w:rPr>
      </w:pPr>
      <w:r w:rsidRPr="00640820">
        <w:rPr>
          <w:i w:val="0"/>
          <w:color w:val="000000" w:themeColor="text1"/>
          <w:sz w:val="16"/>
          <w:szCs w:val="16"/>
        </w:rPr>
        <w:t>3. Следующие материалы:</w:t>
      </w:r>
    </w:p>
    <w:p w14:paraId="172056DF" w14:textId="77777777" w:rsidR="00F52A2A" w:rsidRPr="00640820" w:rsidRDefault="00F52A2A" w:rsidP="00640820">
      <w:pPr>
        <w:pStyle w:val="Bodytext141"/>
        <w:shd w:val="clear" w:color="auto" w:fill="auto"/>
        <w:tabs>
          <w:tab w:val="left" w:pos="802"/>
        </w:tabs>
        <w:spacing w:line="240" w:lineRule="auto"/>
        <w:ind w:firstLine="0"/>
        <w:jc w:val="both"/>
        <w:rPr>
          <w:i w:val="0"/>
          <w:color w:val="000000" w:themeColor="text1"/>
          <w:sz w:val="16"/>
          <w:szCs w:val="16"/>
        </w:rPr>
      </w:pPr>
      <w:r w:rsidRPr="00640820">
        <w:rPr>
          <w:i w:val="0"/>
          <w:color w:val="000000" w:themeColor="text1"/>
          <w:sz w:val="16"/>
          <w:szCs w:val="16"/>
        </w:rPr>
        <w:t>1) Полностью все чертежи танка КВ-3,</w:t>
      </w:r>
    </w:p>
    <w:p w14:paraId="4EB1622E" w14:textId="77777777" w:rsidR="00F52A2A" w:rsidRPr="00640820" w:rsidRDefault="00F52A2A" w:rsidP="00640820">
      <w:pPr>
        <w:pStyle w:val="Bodytext141"/>
        <w:shd w:val="clear" w:color="auto" w:fill="auto"/>
        <w:tabs>
          <w:tab w:val="left" w:pos="826"/>
        </w:tabs>
        <w:spacing w:line="240" w:lineRule="auto"/>
        <w:ind w:firstLine="0"/>
        <w:jc w:val="both"/>
        <w:rPr>
          <w:i w:val="0"/>
          <w:color w:val="000000" w:themeColor="text1"/>
          <w:sz w:val="16"/>
          <w:szCs w:val="16"/>
        </w:rPr>
      </w:pPr>
      <w:r w:rsidRPr="00640820">
        <w:rPr>
          <w:i w:val="0"/>
          <w:color w:val="000000" w:themeColor="text1"/>
          <w:sz w:val="16"/>
          <w:szCs w:val="16"/>
        </w:rPr>
        <w:t xml:space="preserve">2) Полное описание танка </w:t>
      </w:r>
      <w:r w:rsidRPr="00640820">
        <w:rPr>
          <w:i w:val="0"/>
          <w:color w:val="000000" w:themeColor="text1"/>
          <w:sz w:val="16"/>
          <w:szCs w:val="16"/>
          <w:lang w:val="en-US"/>
        </w:rPr>
        <w:t>KB</w:t>
      </w:r>
      <w:r w:rsidRPr="00640820">
        <w:rPr>
          <w:i w:val="0"/>
          <w:color w:val="000000" w:themeColor="text1"/>
          <w:sz w:val="16"/>
          <w:szCs w:val="16"/>
        </w:rPr>
        <w:t xml:space="preserve"> и его оборудования.</w:t>
      </w:r>
    </w:p>
    <w:p w14:paraId="06106F42" w14:textId="77777777" w:rsidR="00F52A2A" w:rsidRPr="00640820" w:rsidRDefault="00F52A2A" w:rsidP="00640820">
      <w:pPr>
        <w:pStyle w:val="Bodytext141"/>
        <w:shd w:val="clear" w:color="auto" w:fill="auto"/>
        <w:tabs>
          <w:tab w:val="left" w:pos="830"/>
        </w:tabs>
        <w:spacing w:line="240" w:lineRule="auto"/>
        <w:ind w:firstLine="0"/>
        <w:jc w:val="both"/>
        <w:rPr>
          <w:i w:val="0"/>
          <w:color w:val="000000" w:themeColor="text1"/>
          <w:sz w:val="16"/>
          <w:szCs w:val="16"/>
        </w:rPr>
      </w:pPr>
      <w:r w:rsidRPr="00640820">
        <w:rPr>
          <w:i w:val="0"/>
          <w:color w:val="000000" w:themeColor="text1"/>
          <w:sz w:val="16"/>
          <w:szCs w:val="16"/>
        </w:rPr>
        <w:t>3) Полные технические условия на танки КВ.</w:t>
      </w:r>
    </w:p>
    <w:p w14:paraId="3F88E3B6" w14:textId="77777777" w:rsidR="00F52A2A" w:rsidRPr="00640820" w:rsidRDefault="00F52A2A" w:rsidP="00640820">
      <w:pPr>
        <w:pStyle w:val="Bodytext141"/>
        <w:shd w:val="clear" w:color="auto" w:fill="auto"/>
        <w:tabs>
          <w:tab w:val="left" w:pos="816"/>
        </w:tabs>
        <w:spacing w:line="240" w:lineRule="auto"/>
        <w:ind w:firstLine="0"/>
        <w:jc w:val="both"/>
        <w:rPr>
          <w:i w:val="0"/>
          <w:color w:val="000000" w:themeColor="text1"/>
          <w:sz w:val="16"/>
          <w:szCs w:val="16"/>
        </w:rPr>
      </w:pPr>
      <w:r w:rsidRPr="00640820">
        <w:rPr>
          <w:i w:val="0"/>
          <w:color w:val="000000" w:themeColor="text1"/>
          <w:sz w:val="16"/>
          <w:szCs w:val="16"/>
        </w:rPr>
        <w:t>4) Полный сборник расчетов на танк КВ.</w:t>
      </w:r>
    </w:p>
    <w:p w14:paraId="01948175" w14:textId="77777777" w:rsidR="00F52A2A" w:rsidRPr="00640820" w:rsidRDefault="00F52A2A" w:rsidP="00640820">
      <w:pPr>
        <w:pStyle w:val="Bodytext141"/>
        <w:shd w:val="clear" w:color="auto" w:fill="auto"/>
        <w:tabs>
          <w:tab w:val="left" w:pos="946"/>
        </w:tabs>
        <w:spacing w:line="240" w:lineRule="auto"/>
        <w:ind w:firstLine="0"/>
        <w:jc w:val="both"/>
        <w:rPr>
          <w:i w:val="0"/>
          <w:color w:val="000000" w:themeColor="text1"/>
          <w:sz w:val="16"/>
          <w:szCs w:val="16"/>
        </w:rPr>
      </w:pPr>
      <w:r w:rsidRPr="00640820">
        <w:rPr>
          <w:i w:val="0"/>
          <w:color w:val="000000" w:themeColor="text1"/>
          <w:sz w:val="16"/>
          <w:szCs w:val="16"/>
        </w:rPr>
        <w:t>5) Полностью чертежи вращающейся части пушки 152 мм БР-2 и расчеты.</w:t>
      </w:r>
    </w:p>
    <w:p w14:paraId="39370BCB" w14:textId="77777777" w:rsidR="00F52A2A" w:rsidRPr="00640820" w:rsidRDefault="00F52A2A" w:rsidP="00640820">
      <w:pPr>
        <w:pStyle w:val="Bodytext141"/>
        <w:shd w:val="clear" w:color="auto" w:fill="auto"/>
        <w:tabs>
          <w:tab w:val="left" w:pos="840"/>
        </w:tabs>
        <w:spacing w:line="240" w:lineRule="auto"/>
        <w:ind w:firstLine="0"/>
        <w:jc w:val="both"/>
        <w:rPr>
          <w:i w:val="0"/>
          <w:color w:val="000000" w:themeColor="text1"/>
          <w:sz w:val="16"/>
          <w:szCs w:val="16"/>
        </w:rPr>
      </w:pPr>
      <w:r w:rsidRPr="00640820">
        <w:rPr>
          <w:i w:val="0"/>
          <w:color w:val="000000" w:themeColor="text1"/>
          <w:sz w:val="16"/>
          <w:szCs w:val="16"/>
        </w:rPr>
        <w:t>6) Чертежи пулемета ДТ.</w:t>
      </w:r>
    </w:p>
    <w:p w14:paraId="0FCC3D9F" w14:textId="77777777" w:rsidR="00F52A2A" w:rsidRPr="00640820" w:rsidRDefault="00F52A2A" w:rsidP="00640820">
      <w:pPr>
        <w:pStyle w:val="Bodytext141"/>
        <w:shd w:val="clear" w:color="auto" w:fill="auto"/>
        <w:tabs>
          <w:tab w:val="left" w:pos="821"/>
        </w:tabs>
        <w:spacing w:line="240" w:lineRule="auto"/>
        <w:ind w:firstLine="0"/>
        <w:jc w:val="both"/>
        <w:rPr>
          <w:i w:val="0"/>
          <w:color w:val="000000" w:themeColor="text1"/>
          <w:sz w:val="16"/>
          <w:szCs w:val="16"/>
        </w:rPr>
      </w:pPr>
      <w:r w:rsidRPr="00640820">
        <w:rPr>
          <w:i w:val="0"/>
          <w:color w:val="000000" w:themeColor="text1"/>
          <w:sz w:val="16"/>
          <w:szCs w:val="16"/>
        </w:rPr>
        <w:t>7) Чертежи пистолетов ППД.</w:t>
      </w:r>
    </w:p>
    <w:p w14:paraId="2964B7A8" w14:textId="77777777" w:rsidR="00F52A2A" w:rsidRPr="00640820" w:rsidRDefault="00F52A2A" w:rsidP="00640820">
      <w:pPr>
        <w:pStyle w:val="Bodytext141"/>
        <w:shd w:val="clear" w:color="auto" w:fill="auto"/>
        <w:tabs>
          <w:tab w:val="left" w:pos="845"/>
        </w:tabs>
        <w:spacing w:line="240" w:lineRule="auto"/>
        <w:ind w:firstLine="0"/>
        <w:jc w:val="both"/>
        <w:rPr>
          <w:i w:val="0"/>
          <w:color w:val="000000" w:themeColor="text1"/>
          <w:sz w:val="16"/>
          <w:szCs w:val="16"/>
        </w:rPr>
      </w:pPr>
      <w:r w:rsidRPr="00640820">
        <w:rPr>
          <w:i w:val="0"/>
          <w:color w:val="000000" w:themeColor="text1"/>
          <w:sz w:val="16"/>
          <w:szCs w:val="16"/>
        </w:rPr>
        <w:t>8) Чертежи на прицелы ПТ-1, КТ-1.</w:t>
      </w:r>
    </w:p>
    <w:p w14:paraId="17E67908" w14:textId="77777777" w:rsidR="00F52A2A" w:rsidRPr="00640820" w:rsidRDefault="00F52A2A" w:rsidP="00640820">
      <w:pPr>
        <w:pStyle w:val="Bodytext141"/>
        <w:shd w:val="clear" w:color="auto" w:fill="auto"/>
        <w:tabs>
          <w:tab w:val="left" w:pos="826"/>
        </w:tabs>
        <w:spacing w:line="240" w:lineRule="auto"/>
        <w:ind w:firstLine="0"/>
        <w:jc w:val="both"/>
        <w:rPr>
          <w:i w:val="0"/>
          <w:color w:val="000000" w:themeColor="text1"/>
          <w:sz w:val="16"/>
          <w:szCs w:val="16"/>
        </w:rPr>
      </w:pPr>
      <w:r w:rsidRPr="00640820">
        <w:rPr>
          <w:i w:val="0"/>
          <w:color w:val="000000" w:themeColor="text1"/>
          <w:sz w:val="16"/>
          <w:szCs w:val="16"/>
        </w:rPr>
        <w:t>9) Описание прицелов ПТ-1, КТ-1.</w:t>
      </w:r>
    </w:p>
    <w:p w14:paraId="7FBDE8F1" w14:textId="77777777" w:rsidR="00F52A2A" w:rsidRPr="00640820" w:rsidRDefault="00F52A2A" w:rsidP="00640820">
      <w:pPr>
        <w:pStyle w:val="ae"/>
        <w:spacing w:before="0" w:after="0"/>
        <w:jc w:val="both"/>
        <w:rPr>
          <w:color w:val="000000" w:themeColor="text1"/>
          <w:sz w:val="16"/>
          <w:szCs w:val="16"/>
        </w:rPr>
      </w:pPr>
      <w:r w:rsidRPr="00640820">
        <w:rPr>
          <w:color w:val="000000" w:themeColor="text1"/>
          <w:sz w:val="16"/>
          <w:szCs w:val="16"/>
        </w:rPr>
        <w:t>10) Чертежи крепления или укладки снарядов к танковой гаубице 152 мм М-10.</w:t>
      </w:r>
    </w:p>
    <w:p w14:paraId="339E58DE" w14:textId="77777777" w:rsidR="00F52A2A" w:rsidRPr="00640820" w:rsidRDefault="00F52A2A" w:rsidP="00640820">
      <w:pPr>
        <w:pStyle w:val="Bodytext141"/>
        <w:shd w:val="clear" w:color="auto" w:fill="auto"/>
        <w:spacing w:line="240" w:lineRule="auto"/>
        <w:ind w:firstLine="0"/>
        <w:jc w:val="both"/>
        <w:rPr>
          <w:i w:val="0"/>
          <w:color w:val="000000" w:themeColor="text1"/>
          <w:sz w:val="16"/>
          <w:szCs w:val="16"/>
        </w:rPr>
      </w:pPr>
      <w:r w:rsidRPr="00640820">
        <w:rPr>
          <w:i w:val="0"/>
          <w:color w:val="000000" w:themeColor="text1"/>
          <w:sz w:val="16"/>
          <w:szCs w:val="16"/>
        </w:rPr>
        <w:t>4. Следующие образцы:</w:t>
      </w:r>
    </w:p>
    <w:p w14:paraId="5CC4051A" w14:textId="77777777" w:rsidR="00F52A2A" w:rsidRPr="00640820" w:rsidRDefault="00F52A2A" w:rsidP="00640820">
      <w:pPr>
        <w:pStyle w:val="Bodytext141"/>
        <w:shd w:val="clear" w:color="auto" w:fill="auto"/>
        <w:tabs>
          <w:tab w:val="left" w:pos="1002"/>
        </w:tabs>
        <w:spacing w:line="240" w:lineRule="auto"/>
        <w:ind w:firstLine="0"/>
        <w:jc w:val="both"/>
        <w:rPr>
          <w:i w:val="0"/>
          <w:color w:val="000000" w:themeColor="text1"/>
          <w:sz w:val="16"/>
          <w:szCs w:val="16"/>
        </w:rPr>
      </w:pPr>
      <w:r w:rsidRPr="00640820">
        <w:rPr>
          <w:i w:val="0"/>
          <w:color w:val="000000" w:themeColor="text1"/>
          <w:sz w:val="16"/>
          <w:szCs w:val="16"/>
        </w:rPr>
        <w:t>1) Пулемет ДТ.</w:t>
      </w:r>
    </w:p>
    <w:p w14:paraId="6704A915" w14:textId="77777777" w:rsidR="00F52A2A" w:rsidRPr="00640820" w:rsidRDefault="00F52A2A" w:rsidP="00640820">
      <w:pPr>
        <w:pStyle w:val="ae"/>
        <w:spacing w:before="0" w:after="0"/>
        <w:jc w:val="both"/>
        <w:rPr>
          <w:color w:val="000000" w:themeColor="text1"/>
          <w:sz w:val="16"/>
          <w:szCs w:val="16"/>
        </w:rPr>
      </w:pPr>
      <w:r w:rsidRPr="00640820">
        <w:rPr>
          <w:color w:val="000000" w:themeColor="text1"/>
          <w:sz w:val="16"/>
          <w:szCs w:val="16"/>
        </w:rPr>
        <w:t>2) Пистолет ППД.</w:t>
      </w:r>
    </w:p>
    <w:p w14:paraId="38D78763" w14:textId="77777777" w:rsidR="00F52A2A" w:rsidRPr="00640820" w:rsidRDefault="00F52A2A" w:rsidP="00640820">
      <w:pPr>
        <w:pStyle w:val="Bodytext141"/>
        <w:shd w:val="clear" w:color="auto" w:fill="auto"/>
        <w:tabs>
          <w:tab w:val="left" w:pos="1035"/>
        </w:tabs>
        <w:spacing w:line="240" w:lineRule="auto"/>
        <w:ind w:firstLine="0"/>
        <w:jc w:val="both"/>
        <w:rPr>
          <w:i w:val="0"/>
          <w:color w:val="000000" w:themeColor="text1"/>
          <w:sz w:val="16"/>
          <w:szCs w:val="16"/>
        </w:rPr>
      </w:pPr>
      <w:r w:rsidRPr="00640820">
        <w:rPr>
          <w:i w:val="0"/>
          <w:color w:val="000000" w:themeColor="text1"/>
          <w:sz w:val="16"/>
          <w:szCs w:val="16"/>
        </w:rPr>
        <w:t>3) Прицел ПТ-1.</w:t>
      </w:r>
    </w:p>
    <w:p w14:paraId="3F71A500" w14:textId="77777777" w:rsidR="00F52A2A" w:rsidRPr="00640820" w:rsidRDefault="00F52A2A" w:rsidP="00640820">
      <w:pPr>
        <w:pStyle w:val="Bodytext141"/>
        <w:shd w:val="clear" w:color="auto" w:fill="auto"/>
        <w:tabs>
          <w:tab w:val="left" w:pos="1021"/>
        </w:tabs>
        <w:spacing w:line="240" w:lineRule="auto"/>
        <w:ind w:firstLine="0"/>
        <w:jc w:val="both"/>
        <w:rPr>
          <w:i w:val="0"/>
          <w:color w:val="000000" w:themeColor="text1"/>
          <w:sz w:val="16"/>
          <w:szCs w:val="16"/>
        </w:rPr>
      </w:pPr>
      <w:r w:rsidRPr="00640820">
        <w:rPr>
          <w:i w:val="0"/>
          <w:color w:val="000000" w:themeColor="text1"/>
          <w:sz w:val="16"/>
          <w:szCs w:val="16"/>
        </w:rPr>
        <w:t>4) Прицел КТ-1.</w:t>
      </w:r>
    </w:p>
    <w:p w14:paraId="05D3C825" w14:textId="77777777" w:rsidR="00F52A2A" w:rsidRPr="00640820" w:rsidRDefault="00F52A2A" w:rsidP="00640820">
      <w:pPr>
        <w:pStyle w:val="Bodytext141"/>
        <w:shd w:val="clear" w:color="auto" w:fill="auto"/>
        <w:tabs>
          <w:tab w:val="left" w:pos="1026"/>
        </w:tabs>
        <w:spacing w:line="240" w:lineRule="auto"/>
        <w:ind w:firstLine="0"/>
        <w:jc w:val="both"/>
        <w:rPr>
          <w:i w:val="0"/>
          <w:color w:val="000000" w:themeColor="text1"/>
          <w:sz w:val="16"/>
          <w:szCs w:val="16"/>
        </w:rPr>
      </w:pPr>
      <w:r w:rsidRPr="00640820">
        <w:rPr>
          <w:i w:val="0"/>
          <w:color w:val="000000" w:themeColor="text1"/>
          <w:sz w:val="16"/>
          <w:szCs w:val="16"/>
        </w:rPr>
        <w:t>5) Все остальные приборы.</w:t>
      </w:r>
    </w:p>
    <w:p w14:paraId="28B1F06F" w14:textId="77777777" w:rsidR="00F52A2A" w:rsidRPr="00640820" w:rsidRDefault="00F52A2A" w:rsidP="00640820">
      <w:pPr>
        <w:pStyle w:val="Bodytext141"/>
        <w:shd w:val="clear" w:color="auto" w:fill="auto"/>
        <w:tabs>
          <w:tab w:val="left" w:pos="1026"/>
        </w:tabs>
        <w:spacing w:line="240" w:lineRule="auto"/>
        <w:ind w:firstLine="0"/>
        <w:jc w:val="both"/>
        <w:rPr>
          <w:i w:val="0"/>
          <w:color w:val="000000" w:themeColor="text1"/>
          <w:sz w:val="16"/>
          <w:szCs w:val="16"/>
        </w:rPr>
      </w:pPr>
      <w:r w:rsidRPr="00640820">
        <w:rPr>
          <w:i w:val="0"/>
          <w:color w:val="000000" w:themeColor="text1"/>
          <w:sz w:val="16"/>
          <w:szCs w:val="16"/>
        </w:rPr>
        <w:t>6) Флажки.</w:t>
      </w:r>
    </w:p>
    <w:p w14:paraId="4D61A69E" w14:textId="77777777" w:rsidR="00F52A2A" w:rsidRPr="00640820" w:rsidRDefault="00F52A2A" w:rsidP="00640820">
      <w:pPr>
        <w:pStyle w:val="ae"/>
        <w:spacing w:before="0" w:after="0"/>
        <w:jc w:val="both"/>
        <w:rPr>
          <w:color w:val="000000" w:themeColor="text1"/>
          <w:sz w:val="16"/>
          <w:szCs w:val="16"/>
        </w:rPr>
      </w:pPr>
      <w:r w:rsidRPr="00640820">
        <w:rPr>
          <w:color w:val="000000" w:themeColor="text1"/>
          <w:sz w:val="16"/>
          <w:szCs w:val="16"/>
        </w:rPr>
        <w:t>Просим дать указание Челябинскому заводу о разрешении личного зна</w:t>
      </w:r>
      <w:r w:rsidRPr="00640820">
        <w:rPr>
          <w:color w:val="000000" w:themeColor="text1"/>
          <w:sz w:val="16"/>
          <w:szCs w:val="16"/>
        </w:rPr>
        <w:softHyphen/>
        <w:t xml:space="preserve">комства с танком КВ-3 и </w:t>
      </w:r>
      <w:r w:rsidRPr="00640820">
        <w:rPr>
          <w:color w:val="000000" w:themeColor="text1"/>
          <w:sz w:val="16"/>
          <w:szCs w:val="16"/>
          <w:lang w:val="en-US"/>
        </w:rPr>
        <w:t>KB</w:t>
      </w:r>
      <w:r w:rsidRPr="00640820">
        <w:rPr>
          <w:color w:val="000000" w:themeColor="text1"/>
          <w:sz w:val="16"/>
          <w:szCs w:val="16"/>
        </w:rPr>
        <w:t xml:space="preserve"> на испытаниях группе конструкторов на</w:t>
      </w:r>
      <w:r w:rsidRPr="00640820">
        <w:rPr>
          <w:color w:val="000000" w:themeColor="text1"/>
          <w:sz w:val="16"/>
          <w:szCs w:val="16"/>
        </w:rPr>
        <w:softHyphen/>
        <w:t>шего завода.</w:t>
      </w:r>
    </w:p>
    <w:p w14:paraId="3641E280" w14:textId="77777777" w:rsidR="00F52A2A" w:rsidRPr="00640820" w:rsidRDefault="00F52A2A" w:rsidP="00640820">
      <w:pPr>
        <w:pStyle w:val="Bodytext141"/>
        <w:shd w:val="clear" w:color="auto" w:fill="auto"/>
        <w:spacing w:line="240" w:lineRule="auto"/>
        <w:ind w:firstLine="0"/>
        <w:jc w:val="both"/>
        <w:rPr>
          <w:i w:val="0"/>
          <w:color w:val="000000" w:themeColor="text1"/>
          <w:sz w:val="16"/>
          <w:szCs w:val="16"/>
        </w:rPr>
      </w:pPr>
      <w:r w:rsidRPr="00640820">
        <w:rPr>
          <w:i w:val="0"/>
          <w:color w:val="000000" w:themeColor="text1"/>
          <w:sz w:val="16"/>
          <w:szCs w:val="16"/>
        </w:rPr>
        <w:t>Также просим Вас дать указание С КБ Челябинского завода и заводу, который изготовляет моторы, об обеспечении необходимой консультаци</w:t>
      </w:r>
      <w:r w:rsidRPr="00640820">
        <w:rPr>
          <w:i w:val="0"/>
          <w:color w:val="000000" w:themeColor="text1"/>
          <w:sz w:val="16"/>
          <w:szCs w:val="16"/>
        </w:rPr>
        <w:softHyphen/>
        <w:t>ей наших конструкторов и конструкторами по моторам для данной си</w:t>
      </w:r>
      <w:r w:rsidRPr="00640820">
        <w:rPr>
          <w:i w:val="0"/>
          <w:color w:val="000000" w:themeColor="text1"/>
          <w:sz w:val="16"/>
          <w:szCs w:val="16"/>
        </w:rPr>
        <w:softHyphen/>
        <w:t>стемы.</w:t>
      </w:r>
    </w:p>
    <w:p w14:paraId="189B1FF2" w14:textId="77777777" w:rsidR="00F52A2A" w:rsidRPr="00640820" w:rsidRDefault="00F52A2A" w:rsidP="00640820">
      <w:pPr>
        <w:pStyle w:val="Bodytext141"/>
        <w:shd w:val="clear" w:color="auto" w:fill="auto"/>
        <w:spacing w:line="240" w:lineRule="auto"/>
        <w:ind w:firstLine="0"/>
        <w:jc w:val="both"/>
        <w:rPr>
          <w:i w:val="0"/>
          <w:color w:val="000000" w:themeColor="text1"/>
          <w:sz w:val="16"/>
          <w:szCs w:val="16"/>
        </w:rPr>
      </w:pPr>
      <w:r w:rsidRPr="00640820">
        <w:rPr>
          <w:i w:val="0"/>
          <w:color w:val="000000" w:themeColor="text1"/>
          <w:sz w:val="16"/>
          <w:szCs w:val="16"/>
        </w:rPr>
        <w:t>Считаем особо необходимым и просим дать указание о направлении на Уралмашзавод одного трофейного тяжелого танка для ознакомления кон</w:t>
      </w:r>
      <w:r w:rsidRPr="00640820">
        <w:rPr>
          <w:i w:val="0"/>
          <w:color w:val="000000" w:themeColor="text1"/>
          <w:sz w:val="16"/>
          <w:szCs w:val="16"/>
        </w:rPr>
        <w:softHyphen/>
        <w:t>структорам, технологам и производственникам при разработке заданной системы»'.</w:t>
      </w:r>
    </w:p>
    <w:p w14:paraId="1225396B" w14:textId="77777777" w:rsidR="00F52A2A" w:rsidRPr="00640820" w:rsidRDefault="00F52A2A" w:rsidP="00640820">
      <w:pPr>
        <w:pStyle w:val="ae"/>
        <w:spacing w:before="0" w:after="0"/>
        <w:jc w:val="both"/>
        <w:rPr>
          <w:color w:val="000000" w:themeColor="text1"/>
          <w:sz w:val="16"/>
          <w:szCs w:val="16"/>
        </w:rPr>
      </w:pPr>
      <w:r w:rsidRPr="00640820">
        <w:rPr>
          <w:color w:val="000000" w:themeColor="text1"/>
          <w:sz w:val="16"/>
          <w:szCs w:val="16"/>
        </w:rPr>
        <w:t>Между тем танковой промышленности в октябре 1941 года было совсем не до КВ-3 и тем более не до истребителя ДОТов на его базе (17484).</w:t>
      </w:r>
    </w:p>
    <w:p w14:paraId="391881AF" w14:textId="77777777" w:rsidR="00F52A2A" w:rsidRPr="00640820" w:rsidRDefault="00F52A2A" w:rsidP="00640820">
      <w:pPr>
        <w:pStyle w:val="ae"/>
        <w:spacing w:before="0" w:after="0"/>
        <w:jc w:val="both"/>
        <w:rPr>
          <w:color w:val="000000" w:themeColor="text1"/>
          <w:sz w:val="16"/>
          <w:szCs w:val="16"/>
        </w:rPr>
      </w:pPr>
    </w:p>
    <w:p w14:paraId="7C33D8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октября 1941 в соответствии с постановлением ГКО от 4 октября появился приказ наркома танковой промышленности Малышева В. А. № 53сс. Новые решения фактически отменяли двухэшелонный порядок эвакуации. Теперь эвакуировать следовало всё и при этом как можно быстрее. Срок был назван фантастически короткий, и поэтому невыполнимый – 15 октября, то есть, считая с днём появления приказа – 9 суток. Приказом был назначен срок начала производства танков на новом месте – 1 ноября. Эвакуации заводов НКТП из Харькова уделялось особое внимание, о чём свидетельствует то, что личный контроль за её осуществлением должен был осуществлять председатель комитета по эвакуации Шверник Н. М.. От НКТП в Харьков контролировать ход эвакуации был послан заместитель наркома Зернов. Нарком путей сообщения Л. М. Каганович должен был обеспечить подачу необходимого количества вагонов ( при этом точное число вагонов не указывалось, возможно, следовало исходить из того, сколько НКПС вообще сможет предоставить за такой короткий срок ). Начальник Главснаба НКТП Розин должен был обеспечить своевременное получение вагонов от НКПС. То, что на этот раз данная важная задача была доверена начальнику Главснаба, а не начальнику транспортного отдела, который должен был бы этим заниматься по своим служебным обязанностям, показывает, что перед этим с получением вагонов у НКТП возникали большие проблемы (11510).</w:t>
      </w:r>
    </w:p>
    <w:p w14:paraId="6C116C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38C469D" w14:textId="77777777" w:rsidR="004E2059" w:rsidRPr="00640820" w:rsidRDefault="004E205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7 октября 1941 г. к исходу дня, в связи с тем, что во время боевой подготовки танки Т-100, Т-111, БТ-7 и БТ-ИС вышли из строя и находились в ремонте, в районе Новосурино (4 км юго-западнее Можайска), из танковой роты Полигона ГАБТУ были сосредоточены только пять танков: плавающий – Т-40, два легких – Т-26, два средних – А-20 и Т-29. Из состава отдельной танковой роты в этом районе также находились: самоходная артиллерийская установка АТ-1, два бронеавтомобиля БА-10, бронеавтомобиль БА-20, семь грузовых автомобилей и две ремонтные летучки (танкоремонтные мастерские). </w:t>
      </w:r>
    </w:p>
    <w:p w14:paraId="677DEDBE" w14:textId="77777777" w:rsidR="004E2059" w:rsidRPr="00640820" w:rsidRDefault="004E205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Такое срочное выдвижение частей из московского и других гарнизонов на усиление Можайского рубежа обороны было вызвано тем, что после начатого 30 сентября 1941 г. на брянском и 2 октября на вяземском направлениях немецко-фашистскими войсками наступления на Москву и окружения противником значительных сил Красной Армии в районе Вязьмы и южнее Брянска на подступах к Москве создалась крайне опасная обстановка. </w:t>
      </w:r>
    </w:p>
    <w:p w14:paraId="651683D6" w14:textId="77777777" w:rsidR="004E2059" w:rsidRPr="00640820" w:rsidRDefault="004E205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Москва совершенно неожиданно оказалась под непосредственным ударом врага. К моменту прорыва немецких танковых соединений через вяземский рубеж на всем пространстве до Можайской линии обороны не было ни промежуточных оборонительных рубежей, ни войск, способных задержать наступление рвавшихся к Москве танковых групп противника. На Можайском рубеже в начале октября имелось очень небольшое количество советских войск. Они могли противостоять лишь передовым частям группы армий «Центр», а не ее главным силам. Боеспособные соединения, которые перебрасывались к Москве с Дальнего Востока и из Средней Азии, а также резервные соединения, сформированные в Европейской части Советского Союза, спешно выдвигались к фронту, но еще находились от него на значительном расстоянии. </w:t>
      </w:r>
    </w:p>
    <w:p w14:paraId="2BCCA593" w14:textId="77777777" w:rsidR="004E2059" w:rsidRPr="00640820" w:rsidRDefault="009E4004" w:rsidP="00640820">
      <w:pPr>
        <w:spacing w:after="0" w:line="240" w:lineRule="auto"/>
        <w:jc w:val="both"/>
        <w:rPr>
          <w:rFonts w:ascii="Times New Roman" w:hAnsi="Times New Roman"/>
          <w:color w:val="000000" w:themeColor="text1"/>
          <w:sz w:val="16"/>
          <w:szCs w:val="16"/>
        </w:rPr>
      </w:pPr>
      <w:hyperlink r:id="rId31" w:tgtFrame="_blank" w:history="1"/>
      <w:r w:rsidR="004E2059" w:rsidRPr="00640820">
        <w:rPr>
          <w:rFonts w:ascii="Times New Roman" w:hAnsi="Times New Roman"/>
          <w:color w:val="000000" w:themeColor="text1"/>
          <w:sz w:val="16"/>
          <w:szCs w:val="16"/>
        </w:rPr>
        <w:t xml:space="preserve">К исходу дня 7 октября 1941 г. Можайская линия обороны была приведена в боевую готовность. Заполнявшие ее войска, несмотря на свою относительную малочисленность, готовились оказать упорное сопротивление врагу. На автостраде Москва – Минск в районе Новосурино в качестве подвижного огневого резерва была готова действовать и отдельная танковая рота Семенова, а в ее составе и экипаж танка А-20. </w:t>
      </w:r>
    </w:p>
    <w:p w14:paraId="64F8C367" w14:textId="77777777" w:rsidR="004E2059" w:rsidRPr="00640820" w:rsidRDefault="004E205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12 октября 1941 г. начальник Можайского боевого участка выдвинул отдельную танковую роту из района Можайска в направлении Вереи, от которой противник находился уже в 12 км. Рота вошла в состав сводного отряда под командованием начальника штаба 36-го укрепрайона полковника И.В. Кляро. 13 октября 1941 г. на рубеже Пафнутовка – Волченки (4 км юго-восточнее Вереи) экипаж танка А-20 в составе отряда участвовал в бою. </w:t>
      </w:r>
    </w:p>
    <w:p w14:paraId="366D3FCD" w14:textId="77777777" w:rsidR="004E2059" w:rsidRPr="00640820" w:rsidRDefault="004E205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Во второй половине октября экипаж танка А-20 в составе отдельной танковой роты участвует в боевых действиях в районе восточнее Можайска, где к 26 – 27 октября 1941 г. было остановлено наступление противника на рубеже западнее и юго-западнее Кубинки. </w:t>
      </w:r>
    </w:p>
    <w:p w14:paraId="18357F34" w14:textId="77777777" w:rsidR="004E2059" w:rsidRPr="00640820" w:rsidRDefault="004E205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После двухнедельной передышки, 15 ноября 1941 г., пополнив свои силы, немецко-фашистские войска начали новое наступление на Москву. И снова танк А-20 участвует в боевых действиях на ближних подступах к Москве. Но уже не в составе отдельной танковой роты, а в составе 22-го танкового полка (ТП) 22-й танковой бригады (ТБр), в которую он из роты Семенова был передан во второй половине дня 28 ноября 1941 г., после того как бригада была выведена в резерв командующего 5-й армии на пополнение и доукомплектование. </w:t>
      </w:r>
    </w:p>
    <w:p w14:paraId="575DBEAA" w14:textId="77777777" w:rsidR="004E2059" w:rsidRPr="00640820" w:rsidRDefault="004E205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 21 часу 28 ноября 1941 г. танк А-20 вместе с еще четырьмя танками Т-34, двумя танками Т-30 и танком Т-50 находился в лесу в 1 км южнее Павловской Слободы (30 км на западе от Москвы). </w:t>
      </w:r>
    </w:p>
    <w:p w14:paraId="42685241" w14:textId="77777777" w:rsidR="004E2059" w:rsidRPr="00640820" w:rsidRDefault="004E205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Весь день 29 ноября 1941 г. экипаж танка А-20, как и основная часть личного состава подразделений 22-й ТБр, занимался техническим обслуживанием машины и чисткой личного оружия. </w:t>
      </w:r>
    </w:p>
    <w:p w14:paraId="372860EE" w14:textId="77777777" w:rsidR="004E2059" w:rsidRPr="00640820" w:rsidRDefault="004E205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Чтобы не допустить противника в район Павловской Слободы, 29 ноября 1941 г. на базе 22-й ТБр была создана подвижная группа под командованием подполковника И.П. Ермакова – командира 22-й ТБр. В состав группы также вошли остатки 36-го мотоциклетного полка (МЦП), 18-й ТБр и 2-го стрелкового батальона 601-го мотострелкового полка (МСП). </w:t>
      </w:r>
    </w:p>
    <w:p w14:paraId="231B51B8" w14:textId="77777777" w:rsidR="004E2059" w:rsidRPr="00640820" w:rsidRDefault="004E205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9 часов 30 ноября 1941 г. начальник штаба 22-й ТБр майор Н.П. Константинов в боевом донесении № 13, отправленном начальнику автобронетанкового отдела 5-й армии полковнику Д.И. Заеву, в частности, сообщил: </w:t>
      </w:r>
    </w:p>
    <w:p w14:paraId="6A1ACFB7" w14:textId="77777777" w:rsidR="004E2059" w:rsidRPr="00640820" w:rsidRDefault="004E2059"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«1. Части подвижной группы в составе: 22 ТП с приданными танками 18 ТП, 18 МСПБ, 36 МЦП, 2/601 МСП, 22 разведрота, 18 разведрота, 22 зен. див. – сформированы и сосредоточены в р-не Покровское, Юрьево, Павловская Слобода. </w:t>
      </w:r>
    </w:p>
    <w:p w14:paraId="219F9173" w14:textId="77777777" w:rsidR="004E2059" w:rsidRPr="00640820" w:rsidRDefault="004E2059"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&lt;...&gt;</w:t>
      </w:r>
    </w:p>
    <w:p w14:paraId="019BA6D2" w14:textId="77777777" w:rsidR="004E2059" w:rsidRPr="00640820" w:rsidRDefault="004E2059"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 Части держатся в готовности действовать в направлениях: </w:t>
      </w:r>
    </w:p>
    <w:p w14:paraId="4B5B890D" w14:textId="77777777" w:rsidR="004E2059" w:rsidRPr="00640820" w:rsidRDefault="004E2059"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1) Рождествено – Снегири, </w:t>
      </w:r>
    </w:p>
    <w:p w14:paraId="11A58B7F" w14:textId="77777777" w:rsidR="004E2059" w:rsidRPr="00640820" w:rsidRDefault="004E2059"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2) Рождествено – Крюково, </w:t>
      </w:r>
    </w:p>
    <w:p w14:paraId="16E548ED" w14:textId="77777777" w:rsidR="004E2059" w:rsidRPr="00640820" w:rsidRDefault="004E2059"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3) Покровское – Борки. </w:t>
      </w:r>
    </w:p>
    <w:p w14:paraId="752B7201" w14:textId="77777777" w:rsidR="004E2059" w:rsidRPr="00640820" w:rsidRDefault="004E2059"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4) Покровское – Козьмино </w:t>
      </w:r>
    </w:p>
    <w:p w14:paraId="1EC17C43" w14:textId="77777777" w:rsidR="004E2059" w:rsidRPr="00640820" w:rsidRDefault="004E2059" w:rsidP="00640820">
      <w:pPr>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10. Ведется разведка в вероятных направлениях действия бригады».</w:t>
      </w:r>
      <w:r w:rsidRPr="00640820">
        <w:rPr>
          <w:rFonts w:ascii="Times New Roman" w:hAnsi="Times New Roman"/>
          <w:color w:val="000000" w:themeColor="text1"/>
          <w:sz w:val="16"/>
          <w:szCs w:val="16"/>
        </w:rPr>
        <w:t xml:space="preserve"> </w:t>
      </w:r>
    </w:p>
    <w:p w14:paraId="7FC8DF64" w14:textId="77777777" w:rsidR="004E2059" w:rsidRPr="00640820" w:rsidRDefault="004E2059" w:rsidP="00640820">
      <w:pPr>
        <w:pStyle w:val="ae"/>
        <w:spacing w:before="0" w:after="0"/>
        <w:jc w:val="both"/>
        <w:rPr>
          <w:color w:val="000000" w:themeColor="text1"/>
          <w:sz w:val="16"/>
          <w:szCs w:val="16"/>
        </w:rPr>
      </w:pPr>
      <w:r w:rsidRPr="00640820">
        <w:rPr>
          <w:bCs/>
          <w:color w:val="000000" w:themeColor="text1"/>
          <w:sz w:val="16"/>
          <w:szCs w:val="16"/>
        </w:rPr>
        <w:t xml:space="preserve">[ЦАМО. Ф. 326. Оп. 5068. Д. 4. Л. 262] </w:t>
      </w:r>
    </w:p>
    <w:p w14:paraId="582F035A" w14:textId="77777777" w:rsidR="004E2059" w:rsidRPr="00640820" w:rsidRDefault="009E4004" w:rsidP="00640820">
      <w:pPr>
        <w:spacing w:after="0" w:line="240" w:lineRule="auto"/>
        <w:jc w:val="both"/>
        <w:rPr>
          <w:rFonts w:ascii="Times New Roman" w:hAnsi="Times New Roman"/>
          <w:color w:val="000000" w:themeColor="text1"/>
          <w:sz w:val="16"/>
          <w:szCs w:val="16"/>
        </w:rPr>
      </w:pPr>
      <w:hyperlink r:id="rId32" w:tgtFrame="_blank" w:history="1"/>
      <w:r w:rsidR="004E2059" w:rsidRPr="00640820">
        <w:rPr>
          <w:rFonts w:ascii="Times New Roman" w:hAnsi="Times New Roman"/>
          <w:color w:val="000000" w:themeColor="text1"/>
          <w:sz w:val="16"/>
          <w:szCs w:val="16"/>
        </w:rPr>
        <w:t xml:space="preserve">К 16 часам 30 ноября 1941 г. 22-й ТП был пополнен двумя танками Т-34, четырьмя танками Т-60, двумя танками Т-26 и бронеавтомобилем. Все танки полка, включая и танк А-20, к исходу дня были дозаправлены ГСМ и пополнены до норм боеприпасами. </w:t>
      </w:r>
    </w:p>
    <w:p w14:paraId="1EA06FA2" w14:textId="77777777" w:rsidR="004E2059" w:rsidRPr="00640820" w:rsidRDefault="004E205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утра 1 декабря 1941 г. немцы на флангах обороны 108-й стрелковой дивизии 5-й армии начали наступление и, прорвав оборону Красной Армии, к вечеру заняли: Борисково, Борки, Славково, Писково, Воронино, Абушково. Подвижной группе, в составе которой находился и танк А-20, было приказано восстановить положение. Ночная атака, проведенная частями подвижной группы, увенчалась успехом. Были заняты: Покровское, Воронино, Абушково. </w:t>
      </w:r>
    </w:p>
    <w:p w14:paraId="0BE76ED3" w14:textId="77777777" w:rsidR="004E2059" w:rsidRPr="00640820" w:rsidRDefault="004E205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12 часов 2 декабря 1941 г. гитлеровцы силою до двух полков пехоты с танками атаковали: Покровское, Абушково, Юрьево и Козенки. В течении всей ночи шел упорный бой. Благодаря превосходству сил, ценой больших потерь немцам удалось занять эти населенные пункты. За сутки боевых действий в 22-й танковой бригаде безвозвратно были потеряны два танка Т-60 и танк Т-50 (все сгорели). Кроме этого, были подбиты танки Т-26 и Т-34. </w:t>
      </w:r>
    </w:p>
    <w:p w14:paraId="48934761" w14:textId="77777777" w:rsidR="004E2059" w:rsidRPr="00640820" w:rsidRDefault="004E205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 декабря 1941 г. танк А-20 в составе 22-й ТБр, приданной 108-й стрелковой дивизии, участвовал в наступлении в районе западнее Павловской Слободы. В течение дня боевых действий противнику удалось подбить три танка, одним из которых был танк А-20. </w:t>
      </w:r>
    </w:p>
    <w:p w14:paraId="55262CF4" w14:textId="77777777" w:rsidR="004E2059" w:rsidRPr="00640820" w:rsidRDefault="004E205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докладной записке от 3 декабря 1941 г. своему непосредственному начальнику капитану М. Криволапову старший помощник начальника 1-го отделения автобронетанкового отдела 5-й армии капитан В.Е. Гальчин сообщил, что в подвижной группе подполковника И.П. Ермакова имелись </w:t>
      </w:r>
      <w:r w:rsidRPr="00640820">
        <w:rPr>
          <w:rFonts w:ascii="Times New Roman" w:hAnsi="Times New Roman"/>
          <w:iCs/>
          <w:color w:val="000000" w:themeColor="text1"/>
          <w:sz w:val="16"/>
          <w:szCs w:val="16"/>
        </w:rPr>
        <w:t>«на ходу: Т-34 – 7, КВ – 1, Т-26 – 2, Т-30 – 2, Т-60 – 5, БТ – 4, БА-10 – 1, ФАИ – 1, Т-50 – ремонт ?, А-20 – ремонт»</w:t>
      </w:r>
      <w:r w:rsidRPr="00640820">
        <w:rPr>
          <w:rFonts w:ascii="Times New Roman" w:hAnsi="Times New Roman"/>
          <w:color w:val="000000" w:themeColor="text1"/>
          <w:sz w:val="16"/>
          <w:szCs w:val="16"/>
        </w:rPr>
        <w:t xml:space="preserve">. </w:t>
      </w:r>
    </w:p>
    <w:p w14:paraId="349768E1" w14:textId="77777777" w:rsidR="004E2059" w:rsidRPr="00640820" w:rsidRDefault="004E205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связи с тем, что полученные танком А-20 в бою повреждения устранить силами и средствами ремонтно-восстановительной роты 22-й танковой бригады не представлялось возможным, машина была эвакуирована и передана в 25-ю подвижную ремонтную базу (ПРБ) Западного фронта. В декабре 1941 г. 25-я ПРБ дислоцировалась на территории завода «Красная труба» в подмосковном посёлке Фили. Из-за отсутствия дизеля В-2 ремонт танка А-20 был завершен только весной 1942 г. </w:t>
      </w:r>
    </w:p>
    <w:p w14:paraId="2F9F4A38" w14:textId="77777777" w:rsidR="004E2059" w:rsidRPr="00640820" w:rsidRDefault="004E205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Вот что по этому поводу рассказал бывший в то время командиром отделения монтажных работ 25-й ПРБ сержант А.В. Лунев: </w:t>
      </w:r>
    </w:p>
    <w:p w14:paraId="0CEF0EF4" w14:textId="77777777" w:rsidR="004E2059" w:rsidRPr="00640820" w:rsidRDefault="004E2059"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«В первые же дни войны на заводе № 183, где я работал, из числа добровольцев – рабочих и инженерно-технических работников – было укомплектовано несколько подвижных танкоремонтных баз (ПРБ). На них была возложена задача восстанавливать поврежденные машины в полевых условиях и оказывать помощь фронтовикам в освоении нового танка Т-34. </w:t>
      </w:r>
    </w:p>
    <w:p w14:paraId="4A1D5A7E" w14:textId="77777777" w:rsidR="004E2059" w:rsidRPr="00640820" w:rsidRDefault="004E2059"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&lt;...&gt;</w:t>
      </w:r>
    </w:p>
    <w:p w14:paraId="632561EC" w14:textId="77777777" w:rsidR="004E2059" w:rsidRPr="00640820" w:rsidRDefault="004E2059"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На изрядно разбитом, покрытом выгоревшим брезентом грузовике мы, семеро рабочих, носились по фронтовым дорогам, спешили туда, где так нужна была наша помощь. Вместе с войсками проделали тяжелый путь отступления от Смоленска к Москве. Когда наши солдаты насмерть стали на подступах к столице, мы обосновались в подмосковном посёлке Фили. Десятки отремонтированных машин были возвращены в строй, чтобы участвовать в исторической битве за Москву. </w:t>
      </w:r>
    </w:p>
    <w:p w14:paraId="2C2A85E2" w14:textId="77777777" w:rsidR="004E2059" w:rsidRPr="00640820" w:rsidRDefault="004E2059"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Как-то в числе повреждённых танков попал в наши руки опытный образец А-20. Встреча с ним была подобна встрече со старым другом. Вспомнились горячие дни работы над созданием этой машины, совместные с конструкторами бдения над её сборкой и доводкой. </w:t>
      </w:r>
    </w:p>
    <w:p w14:paraId="765EFF32" w14:textId="77777777" w:rsidR="004E2059" w:rsidRPr="00640820" w:rsidRDefault="004E2059" w:rsidP="00640820">
      <w:pPr>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А-20 был восстановлен. С болью в душе проводил я танк за пределы посёлка, мысленно пожелав удачи в боях с фашистами. Больше мы его не встречали».</w:t>
      </w:r>
      <w:r w:rsidRPr="00640820">
        <w:rPr>
          <w:rFonts w:ascii="Times New Roman" w:hAnsi="Times New Roman"/>
          <w:color w:val="000000" w:themeColor="text1"/>
          <w:sz w:val="16"/>
          <w:szCs w:val="16"/>
        </w:rPr>
        <w:t xml:space="preserve"> </w:t>
      </w:r>
    </w:p>
    <w:p w14:paraId="35712809" w14:textId="77777777" w:rsidR="004E2059" w:rsidRPr="00640820" w:rsidRDefault="004E2059" w:rsidP="00640820">
      <w:pPr>
        <w:pStyle w:val="ae"/>
        <w:spacing w:before="0" w:after="0"/>
        <w:jc w:val="both"/>
        <w:rPr>
          <w:bCs/>
          <w:color w:val="000000" w:themeColor="text1"/>
          <w:sz w:val="16"/>
          <w:szCs w:val="16"/>
        </w:rPr>
      </w:pPr>
      <w:r w:rsidRPr="00640820">
        <w:rPr>
          <w:bCs/>
          <w:color w:val="000000" w:themeColor="text1"/>
          <w:sz w:val="16"/>
          <w:szCs w:val="16"/>
        </w:rPr>
        <w:t>[Т-34: путь к Победе: Воспоминания танкостроителей и танкистов. Сост.: К.М. Слободин, В.Д. Листровой,</w:t>
      </w:r>
    </w:p>
    <w:p w14:paraId="5119B94F" w14:textId="77777777" w:rsidR="004E2059" w:rsidRPr="00640820" w:rsidRDefault="004E2059" w:rsidP="00640820">
      <w:pPr>
        <w:pStyle w:val="ae"/>
        <w:spacing w:before="0" w:after="0"/>
        <w:jc w:val="both"/>
        <w:rPr>
          <w:color w:val="000000" w:themeColor="text1"/>
          <w:sz w:val="16"/>
          <w:szCs w:val="16"/>
        </w:rPr>
      </w:pPr>
      <w:r w:rsidRPr="00640820">
        <w:rPr>
          <w:bCs/>
          <w:color w:val="000000" w:themeColor="text1"/>
          <w:sz w:val="16"/>
          <w:szCs w:val="16"/>
        </w:rPr>
        <w:t>Издательство политической литературы Украины, 1989, С 194 – 195]</w:t>
      </w:r>
    </w:p>
    <w:p w14:paraId="62E6F5F2" w14:textId="77777777" w:rsidR="004E2059" w:rsidRPr="00640820" w:rsidRDefault="004E205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сожалению, и мы в архивных документах не нашли никаких сведений о дальнейшей судьбе этого танка (17625).</w:t>
      </w:r>
    </w:p>
    <w:p w14:paraId="5176347B" w14:textId="77777777" w:rsidR="004E2059" w:rsidRPr="00640820" w:rsidRDefault="004E2059" w:rsidP="00640820">
      <w:pPr>
        <w:spacing w:after="0" w:line="240" w:lineRule="auto"/>
        <w:jc w:val="both"/>
        <w:rPr>
          <w:rFonts w:ascii="Times New Roman" w:eastAsia="Times New Roman" w:hAnsi="Times New Roman"/>
          <w:color w:val="000000" w:themeColor="text1"/>
          <w:sz w:val="16"/>
          <w:szCs w:val="16"/>
          <w:lang w:eastAsia="ru-RU"/>
        </w:rPr>
      </w:pPr>
    </w:p>
    <w:p w14:paraId="3EC83E48" w14:textId="77777777" w:rsidR="004E2059" w:rsidRPr="00640820" w:rsidRDefault="004E2059" w:rsidP="00640820">
      <w:pPr>
        <w:pStyle w:val="ae"/>
        <w:shd w:val="clear" w:color="auto" w:fill="FFFFFF"/>
        <w:spacing w:before="0" w:after="0"/>
        <w:jc w:val="both"/>
        <w:rPr>
          <w:color w:val="000000" w:themeColor="text1"/>
          <w:sz w:val="16"/>
          <w:szCs w:val="16"/>
        </w:rPr>
      </w:pPr>
      <w:r w:rsidRPr="00640820">
        <w:rPr>
          <w:color w:val="000000" w:themeColor="text1"/>
          <w:sz w:val="16"/>
          <w:szCs w:val="16"/>
        </w:rPr>
        <w:t>7 октября 1941 был подписан контракт TM6118 на выпуск 455 танков. Он стал последним не только для Valentine с трёхместными башнями, но и для Valentine с двухфунтовыми орудиями в целом — по крайней мере, для английских производителей. И этот контракт тоже корректировался: Valentine V было изготовлено всего 127 штук, остальные 328 танков построили в модификации Valentine IX. Машины обоих вариантов получили регистрационные номера в интервале T.82163–T.82617 (17702).</w:t>
      </w:r>
    </w:p>
    <w:p w14:paraId="230A23B4" w14:textId="77777777" w:rsidR="004E2059" w:rsidRPr="00640820" w:rsidRDefault="004E2059" w:rsidP="00640820">
      <w:pPr>
        <w:spacing w:after="0" w:line="240" w:lineRule="auto"/>
        <w:jc w:val="both"/>
        <w:rPr>
          <w:rFonts w:ascii="Times New Roman" w:eastAsia="Times New Roman" w:hAnsi="Times New Roman"/>
          <w:color w:val="000000" w:themeColor="text1"/>
          <w:sz w:val="16"/>
          <w:szCs w:val="16"/>
          <w:lang w:eastAsia="ru-RU"/>
        </w:rPr>
      </w:pPr>
    </w:p>
    <w:p w14:paraId="5708782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октяб</w:t>
      </w:r>
      <w:r w:rsidRPr="00640820">
        <w:rPr>
          <w:rFonts w:ascii="Times New Roman" w:hAnsi="Times New Roman"/>
          <w:color w:val="000000" w:themeColor="text1"/>
          <w:sz w:val="16"/>
          <w:szCs w:val="16"/>
        </w:rPr>
        <w:softHyphen/>
        <w:t>ря 1941 г. вышел приказ № 261 Главмотовелопрома НКСМ, в соответствии с которым во второй половине октября - ноябре 1941 провели повторный испытательный мотопробег М-72 в более сложных условиях на расстояние более 5 тыс. км. Пробег должен был проверить усовершенствования М-72, предложенные специалистами ВКБМ ММЗ. В Предполагали серийный М-72 с чугунным картером двигателя и ИЖ-12 сравнить с тремя иномарками: Рояль-Энфильд (350 см</w:t>
      </w:r>
      <w:r w:rsidRPr="00640820">
        <w:rPr>
          <w:rFonts w:ascii="Times New Roman" w:hAnsi="Times New Roman"/>
          <w:color w:val="000000" w:themeColor="text1"/>
          <w:sz w:val="16"/>
          <w:szCs w:val="16"/>
          <w:vertAlign w:val="superscript"/>
        </w:rPr>
        <w:t>3</w:t>
      </w:r>
      <w:r w:rsidRPr="00640820">
        <w:rPr>
          <w:rFonts w:ascii="Times New Roman" w:hAnsi="Times New Roman"/>
          <w:color w:val="000000" w:themeColor="text1"/>
          <w:sz w:val="16"/>
          <w:szCs w:val="16"/>
        </w:rPr>
        <w:t>), Мото-Гуцци и Три</w:t>
      </w:r>
      <w:r w:rsidRPr="00640820">
        <w:rPr>
          <w:rFonts w:ascii="Times New Roman" w:hAnsi="Times New Roman"/>
          <w:color w:val="000000" w:themeColor="text1"/>
          <w:sz w:val="16"/>
          <w:szCs w:val="16"/>
        </w:rPr>
        <w:softHyphen/>
        <w:t>умф - (по 500 см</w:t>
      </w:r>
      <w:r w:rsidRPr="00640820">
        <w:rPr>
          <w:rFonts w:ascii="Times New Roman" w:hAnsi="Times New Roman"/>
          <w:color w:val="000000" w:themeColor="text1"/>
          <w:sz w:val="16"/>
          <w:szCs w:val="16"/>
          <w:vertAlign w:val="superscript"/>
        </w:rPr>
        <w:t>3</w:t>
      </w:r>
      <w:r w:rsidRPr="00640820">
        <w:rPr>
          <w:rFonts w:ascii="Times New Roman" w:hAnsi="Times New Roman"/>
          <w:color w:val="000000" w:themeColor="text1"/>
          <w:sz w:val="16"/>
          <w:szCs w:val="16"/>
        </w:rPr>
        <w:t xml:space="preserve"> с колясками [5.13]). Выбранную трассу преодо</w:t>
      </w:r>
      <w:r w:rsidRPr="00640820">
        <w:rPr>
          <w:rFonts w:ascii="Times New Roman" w:hAnsi="Times New Roman"/>
          <w:color w:val="000000" w:themeColor="text1"/>
          <w:sz w:val="16"/>
          <w:szCs w:val="16"/>
        </w:rPr>
        <w:softHyphen/>
        <w:t>лели во второй половине октября - начале ноября. Двигались в сложнейших погодных условиях под дождём и снегом, в грязи рас</w:t>
      </w:r>
      <w:r w:rsidRPr="00640820">
        <w:rPr>
          <w:rFonts w:ascii="Times New Roman" w:hAnsi="Times New Roman"/>
          <w:color w:val="000000" w:themeColor="text1"/>
          <w:sz w:val="16"/>
          <w:szCs w:val="16"/>
        </w:rPr>
        <w:softHyphen/>
        <w:t>кисших грунтовых дорог, что характерно для осени. Зато выявили недостатки, позволившие улучшить конструкцию М-72 и усовер</w:t>
      </w:r>
      <w:r w:rsidRPr="00640820">
        <w:rPr>
          <w:rFonts w:ascii="Times New Roman" w:hAnsi="Times New Roman"/>
          <w:color w:val="000000" w:themeColor="text1"/>
          <w:sz w:val="16"/>
          <w:szCs w:val="16"/>
        </w:rPr>
        <w:softHyphen/>
        <w:t>шенствовать технологию производства (11429).</w:t>
      </w:r>
    </w:p>
    <w:p w14:paraId="7AF70A4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51F4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октября 1941 года вышло Постановления Совета по эвакуации № 132сс во исполнение Постановления ГКО № 641 от 8 сентября 1941 года и 8 октября 1941 года вышел приказ НКВ № 504сс, согласно которым завод № 60 НКВ в декабре 1941 года был эвакуирован в г. Фрунзе.</w:t>
      </w:r>
    </w:p>
    <w:p w14:paraId="4D1F85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Фрунзе Киргизской ССР, п/я 43</w:t>
      </w:r>
    </w:p>
    <w:p w14:paraId="4D6026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предназначен для выпуска патронов стелкового оружия (9587).</w:t>
      </w:r>
    </w:p>
    <w:p w14:paraId="7C9F25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05CFC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7 октября 1941 года вышло постановление СНК СССР № 2130-972 «О выделении рабочих колонн из военнообязанных», регламентировавшее использование необученных военнообязанных старших возрастов, включая «мобилизованных» немцев, в т.н. "рабочих колоннах". 26 ноября 1941 года приказом наркома НКВД СССР было предписано сформировать из мобилизованных немцев строительные батальоны, которые впоследствии также получили название "рабочих колонн". Юридический статус советских немцев, выселяемых из мест своего проживания и мобилизованных в "рабочие колонны", был закреплен секретным постановлением Государственного Комитета Обороны № 1123 от 10 января 1942 года. В документе говорилось, что в «целях рационального использования немцев-переселенцев </w:t>
      </w:r>
      <w:r w:rsidRPr="00640820">
        <w:rPr>
          <w:rFonts w:ascii="Times New Roman" w:hAnsi="Times New Roman"/>
          <w:color w:val="000000" w:themeColor="text1"/>
          <w:sz w:val="16"/>
          <w:szCs w:val="16"/>
        </w:rPr>
        <w:lastRenderedPageBreak/>
        <w:t>предписывалось мобилизовать немецких мужчин от 17 до 50 лет, годных к физическому труду, в количестве до 120 тысяч в «рабочие колонны» на всё время войны, передав из этого числа:</w:t>
      </w:r>
    </w:p>
    <w:p w14:paraId="0A563F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НКВД СССР на лесозаготовки - 45000 человек; </w:t>
      </w:r>
    </w:p>
    <w:p w14:paraId="29BDDD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НКВД СССР на строительство Бакальского и Богословского заводов - 35000; </w:t>
      </w:r>
    </w:p>
    <w:p w14:paraId="73E718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НКПС СССР на строительство железных дорог Сталинск-Абакан, Сталинск-Барнаул, Акмолинск-Карталы, Акмолинск-Павлодар, Сосьва-Алапаевск, Орск-Кандагач, Магнитогорск-Сара - 40000;</w:t>
      </w:r>
    </w:p>
    <w:p w14:paraId="0393CF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Мобилизованные были обязаны явиться в местные военкоматы в исправной зимней одежде, с запасом белья, постельными принадлежностями, кружкой, ложкой и 10-дневным запасом продовольствия». По самым скромным оценкам, около 40-45 тыс. "мобилизованных" советских немцев из этого числа умерли в лагерях (11572).</w:t>
      </w:r>
    </w:p>
    <w:p w14:paraId="587D2F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59702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октября 1941 эсминец "Сильный" встал на ремонт к Балтийскому заводу для устранения более 300 пробоин; закончен 30 декабря (10671).</w:t>
      </w:r>
    </w:p>
    <w:p w14:paraId="1D4407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5EA44E3" w14:textId="77777777" w:rsidR="00295B9F" w:rsidRPr="00640820" w:rsidRDefault="00295B9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октября 1941 года Государственная комиссия под председательством известного Нижегородского ученого проф. М. Я. Алферьева по результатам защиты дипломного проекта Алексеева «Глиссер на подводных крыльях», подкрепленного исследованиями моделей катера А-4, высоко оцениля работу и определила, что проект имеет уровень научно-исследовательской работы, а в отдельных разделах приближается к уровню кандидатской диссертации (19678).</w:t>
      </w:r>
    </w:p>
    <w:p w14:paraId="1761A723" w14:textId="77777777" w:rsidR="00295B9F" w:rsidRPr="00640820" w:rsidRDefault="00295B9F" w:rsidP="00640820">
      <w:pPr>
        <w:spacing w:after="0" w:line="240" w:lineRule="auto"/>
        <w:jc w:val="both"/>
        <w:rPr>
          <w:rFonts w:ascii="Times New Roman" w:hAnsi="Times New Roman"/>
          <w:color w:val="000000" w:themeColor="text1"/>
          <w:sz w:val="16"/>
          <w:szCs w:val="16"/>
        </w:rPr>
      </w:pPr>
    </w:p>
    <w:p w14:paraId="1855A80F"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291CFFB9"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88B1F7E" w14:textId="77777777" w:rsidR="004E06EE" w:rsidRPr="00640820" w:rsidRDefault="004E06E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ОКТЯБРЯ 1941 УТРЕННЕЕ СООБЩЕНИЕ Совинформбюро:</w:t>
      </w:r>
    </w:p>
    <w:p w14:paraId="6C4402F5" w14:textId="77777777" w:rsidR="004E06EE" w:rsidRPr="00640820" w:rsidRDefault="004E06E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течение ночи на 7 октября наши войска вели бои с противником на всём фронте. </w:t>
      </w:r>
    </w:p>
    <w:p w14:paraId="08325736" w14:textId="77777777" w:rsidR="004E06EE" w:rsidRPr="00640820" w:rsidRDefault="004E06E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одном из участков Юго-Западного направления фронта части т.т. Белова и Лузикова разгромили два батальона 10 немецкого пехотного полка. Захвачено много трофеев и сейфы с важными оперативными документами. </w:t>
      </w:r>
    </w:p>
    <w:p w14:paraId="0E485CCE" w14:textId="77777777" w:rsidR="004E06EE" w:rsidRPr="00640820" w:rsidRDefault="004E06E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подступах к Ленинграду артиллеристы одного нашего соединения огневым налётом разрушили 19 вражеских ДЗОТов, подавили две артиллерийские и восемь миномётных батарей, подбили танкетку и 10 пулемётов. В районе пункта П. рассеяно большое скопление немецкой пехоты. </w:t>
      </w:r>
    </w:p>
    <w:p w14:paraId="091D086E" w14:textId="77777777" w:rsidR="004E06EE" w:rsidRPr="00640820" w:rsidRDefault="004E06E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Во всех оккупированных немецко-фашистскими войсками районах Смоленской области действуют отважные советские партизаны. Смело и решительно наносит удары врагу партизанский отряд под командованием тов. А. На днях получено сообщение командира отряда о боевых операциях, проведённых отрядом в фашистском тылу. Ниже приводятся некоторые данные из этого сообщения: </w:t>
      </w:r>
    </w:p>
    <w:p w14:paraId="39D92347" w14:textId="77777777" w:rsidR="004E06EE" w:rsidRPr="00640820" w:rsidRDefault="004E06E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участке, где мы стояли, происходило движение немецких войск. Наш отряд, выбрав удачный момент, напал на 4 гер майских конных разъезда. В стычках с врагом убили четырёх фашистских офицеров и 8 солдат. Раненых сосчитать не удалось. Разбили две автомашины, разрушили 6 мостов и в 12 местах оборвали провода. Недавно совершили налёт на немецкий гарнизон в местечке Д. Сожгли четыре барака, которые немцы построили на зиму для своих солдат. </w:t>
      </w:r>
    </w:p>
    <w:p w14:paraId="5A2B20ED" w14:textId="77777777" w:rsidR="004E06EE" w:rsidRPr="00640820" w:rsidRDefault="004E06E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Расскажу о некоторых бойцах моего отряда, особо отличившихся в борьбе с фашистами. Тов. 3. четыре раза перерезал телефонные кабели, связывающие немецкий дивизионный командный пункт с фронтом. Во время перестрелки с группой немецких солдат он убил четырёх фашистов. В бою был ранен, но огня не прекратил и вывел свою партизанскую группу в безопасное место. Боец отряда тов. П. дважды перерезал четырёхжильный кабель и произвёл замыкание проводов на важной магистрали, в результате чего немцам пришлось заменить весь кабель. Тов. П. руководил группой партизан, которая сожгла выстроенные немцами жилые бараки. Недавно он с несколькими бойцами совершил налёт на занятое немцами село и убил двух германских солдат. Партизан тов. М. с группой товарищей уничтожил немецкую грузовую автомашину с горючим, разгромил кавалерийский разъезд и забросал гранатами сарай, где находились фашистские солдаты. При разгроме нашим отрядом кавалерийского разъезда противника отвагу и мужество проявил тов. Р. В этом бою он уничтожил несколько немецких офицеров и солдат. Будучи ранен осколком ручной гранаты, тов. Р. не покинул поля боя и продолжал громить врагов. </w:t>
      </w:r>
    </w:p>
    <w:p w14:paraId="439AFE89" w14:textId="77777777" w:rsidR="004E06EE" w:rsidRPr="00640820" w:rsidRDefault="004E06E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Это только некоторые наши герои, а таких в отряде много». </w:t>
      </w:r>
    </w:p>
    <w:p w14:paraId="2C23B0D4" w14:textId="77777777" w:rsidR="004E06EE" w:rsidRPr="00640820" w:rsidRDefault="004E06E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Немецкие военные власти установили в Литве, Латвии и Эстонии свирепый террористический режим. Даже та незначительная часть жителей, которая в первые дни вступления немецких войск угодничала перед фашистами, теперь разочаровалась и впала в уныние. Немцы повсеместно произвели массовые аресты. Арестованы даже буржуазные националисты, изъявившие готовность служить гитлеровской Германии. Всем жителям в возрасте от 16 до 20 лет предложено зарегистрироваться в немецких бюро труда для отправки на принудительные работы. Квалифицированных рабочих - электромонтеров, каменщиков, плотников, лудильщиков и стекольщиков — сгоняют вместе и под конвоем, насильно направляют в Германию. Оккупанты прибирают к рукам народное хозяйство прибалтийских стран, опустошают города и сёла и вывозят всё ценное в Германию. Сейчас фашисты проводят массовую реквизицию у населения обуви, резины, мехов, кожи, мыла, красок, химических товаров и одежды. Всем жителям приказано представить подробные сведения обо всех таких предметах, имеющихся у них. Свободная продажа сыра, масла и других молочных продуктов запрещена. Всё это изымается у населения и отправляется в Германию. </w:t>
      </w:r>
    </w:p>
    <w:p w14:paraId="70436D6F" w14:textId="77777777" w:rsidR="004E06EE" w:rsidRPr="00640820" w:rsidRDefault="004E06E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Стахановцы промышленности героическим трудом помогают Красной Армии громить немецко-фашистские полчища. Успешно работает на Челябинском тракторном заводе имени Сталина коллектив мастера тов. Бессонова. Токарь этого коллектива тов. Анисимов систематически выполняет норму на 400-800 и более процентов. По четыре-пять норм в смену вырабатывает токарь тов. Новгородов. Молодой рабочий Хабаровского завода имени Максима Горького тов. Курдюмов ежедневно даёт по 5 норм. На днях он дал рекордную выработку — 1.250 процентов. Строгальщик Алатырского паровозоремонтного завода тов. Канов на молодёжном воскреснике за 4 часа выработал больше одиннадцати норм. Токарь Гороблагодатского вагонного депо тов. Мезенин в августе дал четыре месячные нормы. В отдельные дни он вырабатывает по 7 норм в смену. Сейчас тов. Мезенин уже завершает выполнение третьей годовой нормы. Фрезеровщик воронежского завода имени Дзержинского тов. Балабанин с начала войны систематически вырабатывает по 3 нормы в день (14792).</w:t>
      </w:r>
    </w:p>
    <w:p w14:paraId="65CA32E8" w14:textId="77777777" w:rsidR="004E06EE" w:rsidRPr="00640820" w:rsidRDefault="004E06EE" w:rsidP="00640820">
      <w:pPr>
        <w:spacing w:after="0" w:line="240" w:lineRule="auto"/>
        <w:jc w:val="both"/>
        <w:rPr>
          <w:rFonts w:ascii="Times New Roman" w:hAnsi="Times New Roman"/>
          <w:color w:val="000000" w:themeColor="text1"/>
          <w:sz w:val="16"/>
          <w:szCs w:val="16"/>
        </w:rPr>
      </w:pPr>
    </w:p>
    <w:p w14:paraId="190FEA97" w14:textId="77777777" w:rsidR="004E06EE" w:rsidRPr="00640820" w:rsidRDefault="004E06E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ОКТЯБРЯ ВЕЧЕРНЕЕ СООБЩЕНИЕ Совинформбюро:</w:t>
      </w:r>
    </w:p>
    <w:p w14:paraId="12A76372" w14:textId="77777777" w:rsidR="004E06EE" w:rsidRPr="00640820" w:rsidRDefault="004E06E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течение 7 октября наши войска вели упорные бои с противником на всём фронте, особенно напряжённые на Вяземском и Брянском направлениях. </w:t>
      </w:r>
    </w:p>
    <w:p w14:paraId="3A9ED5EB" w14:textId="77777777" w:rsidR="004E06EE" w:rsidRPr="00640820" w:rsidRDefault="004E06E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 5 октября в воздушных боях сбито 42 самолёта противника. Наши потери — 27 самолётов. </w:t>
      </w:r>
    </w:p>
    <w:p w14:paraId="7A81797A" w14:textId="77777777" w:rsidR="004E06EE" w:rsidRPr="00640820" w:rsidRDefault="004E06E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Баренцовом море потоплен немецкий транспорт водоизмещением в 7.000 тонн. </w:t>
      </w:r>
    </w:p>
    <w:p w14:paraId="541E26BE" w14:textId="77777777" w:rsidR="004E06EE" w:rsidRPr="00640820" w:rsidRDefault="004E06E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одном из участков Юго-Западного направления фронта наша авиация уничтожила 64 немецких танка и бронемашин, 130 автомашин с пехотой и военными грузами, 2 орудия и несколько цистерн с бензином. </w:t>
      </w:r>
    </w:p>
    <w:p w14:paraId="23C136BE" w14:textId="77777777" w:rsidR="004E06EE" w:rsidRPr="00640820" w:rsidRDefault="004E06E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двухдневном упорном бою героические защитники Одессы нанесли серьёзный урон румыно-немецким войскам. Разгромлено до четырёх батальонов румынской пехоты и 75 пехотный полк 27 немецкой дивизии. У противника отбито 49 орудий разных калибров, 25 пулемётов, много миномётов и боеприпасов. </w:t>
      </w:r>
    </w:p>
    <w:p w14:paraId="465DEA32" w14:textId="77777777" w:rsidR="004E06EE" w:rsidRPr="00640820" w:rsidRDefault="004E06E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Наша авиация, охраняющая подступы к Ленинграду, продолжает наносить удары по скоплениям войск противника. Во время налёта на крупную вражескую колонну группа наших самолётов уничтожила 51 автомашину, 15 точек зенитной артиллерии и батарею тяжёлых орудий. Успешным налётом другой группы самолётов уничтожено 5 немецких бронемашин, 15 автомобилей, две батареи и шесть точек зенитной артиллерии. В завязавшемся воздушном бою с немецкими истребителями, пытавшимися защитить свои мотоколонны, наши лётчики обили 7 «Мессершмиттов-109». </w:t>
      </w:r>
    </w:p>
    <w:p w14:paraId="1BEE4B78" w14:textId="77777777" w:rsidR="004E06EE" w:rsidRPr="00640820" w:rsidRDefault="004E06E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Партизанский отряд под командованием председателя совета Осоавиахима одного из районов Ленинградской области тов. П. прошёл по фашистским тылам более 500 километров и нанёс врагу серьёзный ущерб. Партизаны взорвали склад авиабомб, снарядов и других боеприпасов, уничтожили 6 немецких велосипедистов, захватили одного немецкого офицера и отобрали у него оперативные документы. </w:t>
      </w:r>
    </w:p>
    <w:p w14:paraId="1FD20320" w14:textId="77777777" w:rsidR="004E06EE" w:rsidRPr="00640820" w:rsidRDefault="004E06E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Группа партизан устроила засаду у просёлочной дороги, ведущей к линии фронта, и уничтожила две автомашины с 5 фашистами. Другая группа бойцов отряда обнаружила фашистский "Мессершмитт» совершивший вынужденную посадку. Партизаны уничтожили лётчика и сожгли самолёт. </w:t>
      </w:r>
    </w:p>
    <w:p w14:paraId="56CEB5DF" w14:textId="77777777" w:rsidR="004E06EE" w:rsidRPr="00640820" w:rsidRDefault="004E06E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Сведения об огромных потерях белофинской армии, несмотря на зверскую цензуру, доходят до финского народа. Ниже приводятся некоторые выдержки из писем бело-финских солдат родным и знакомым. Солдат Питкянен сообщает брату: «Только чудом я спасся. В нашем взводе осталось всего 9 солдат. Когда наступит моя очередь?». Капрал Альпо Руут, убитый под Ленинградом, писал незадолго до своей смерти на родину: «В нашей части уже убито и ранено много солдат. Из моих старых товарищей почти никого не осталось». Пленный капрал Ляре на допросе заявил: «В нашем батальоне осталась только: половина прежнего состава. В соседнем подразделении сменилось шесть командиров батальона. Четыре из них убиты, один ранен, шестой выбыл по болезни. Многие солдаты не хотят воевать против Советского Союза. Финский народ устал от непосильной войны, навязанной ему кликой гитлеровских прихлебателей». </w:t>
      </w:r>
    </w:p>
    <w:p w14:paraId="5323FE48" w14:textId="77777777" w:rsidR="004E06EE" w:rsidRPr="00640820" w:rsidRDefault="004E06E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Безрадостные письма получают финские солдаты из тыла. Солдату Мякитало пишет мать: «Недавно у нас расстреляли солдата. Когда партию резервистов отправляли на фронт, он спрятался в шалаше. Его обнаружили, но он заявил, что ни за что на фронт не поедет». Родные солдата Хеймо сообщают ему: «Прислали бы тебе посылку, как ты просил, но ничего купить нельзя. В магазинах пусто». Жена солдата Арттио из Хельсинки жалуется: «Заработок мои ничтожный. Становится страшно, когда подумаю, что скоро зима. Что будет впереди?». </w:t>
      </w:r>
    </w:p>
    <w:p w14:paraId="26DEFAEE" w14:textId="77777777" w:rsidR="004E06EE" w:rsidRPr="00640820" w:rsidRDefault="004E06E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Советские железнодорожники усиленно готовятся к зиме. В депо, на станциях, вагонных участках, дистанциях пути и связи идёт ремонт зданий, путей, стрелок, заготавливается необходимый инструмент и материалы. Многие предприятия железнодорожного транспорта уже полностью подготовились к зиме. Им вручены паспорта готовности к работе в зимних условиях. В свободное от работы время машинисты-лунинцы депо Ртищево Пензенской железной дороги т.т. Ершов, Балабанов, Девятов, Белоусов, Красовский, Макеев отремонтировали и отеплили свои паровозы. Коллектив паровозников депо Тюмень железной дороги имени </w:t>
      </w:r>
      <w:r w:rsidRPr="00640820">
        <w:rPr>
          <w:rFonts w:ascii="Times New Roman" w:hAnsi="Times New Roman"/>
          <w:color w:val="000000" w:themeColor="text1"/>
          <w:sz w:val="16"/>
          <w:szCs w:val="16"/>
        </w:rPr>
        <w:lastRenderedPageBreak/>
        <w:t>Кагановича организовал на месте производство 35 видов деталей, необходимых для зимнего ремонта паровозов и раньше привозившихся в депо с заводов. Путейцы Каширской дистанции Московско-Донбасской железной дороги своими силами заготовляют к зиме снеговые щиты и колья. Они уже отремонтировали свыше 4 тысяч квадратных метров снеговых заборов. Жёны путейцев отремонтировали и побелили все путевые здания. По инициативе инженера паровозной службы Московско-Окружной дороги тов. Никитиной, группа женщин, служащих депо Лихоборы — лаборант Елистратова, техники Ивлева и Добрынина, конторщицы Доросова и Артамонова — оставаясь в депо после работы, починили свыше 100 комплектов зимней одежды (14792).</w:t>
      </w:r>
    </w:p>
    <w:p w14:paraId="534D5014" w14:textId="77777777" w:rsidR="004E06EE" w:rsidRPr="00640820" w:rsidRDefault="004E06EE" w:rsidP="00640820">
      <w:pPr>
        <w:spacing w:after="0" w:line="240" w:lineRule="auto"/>
        <w:jc w:val="both"/>
        <w:rPr>
          <w:rFonts w:ascii="Times New Roman" w:hAnsi="Times New Roman"/>
          <w:color w:val="000000" w:themeColor="text1"/>
          <w:sz w:val="16"/>
          <w:szCs w:val="16"/>
        </w:rPr>
      </w:pPr>
    </w:p>
    <w:p w14:paraId="580604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7 октября 1941 г. два полка МиГ-3, по одному полку Ил-2 и Пе-2 резерва Ставки нанесли сосредоточенный удар по противнику в полосе Западного фронта. Для МиГ-3 та операция стала одной из первых, где применялись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 А 28 ноября летчики 519-го ИАП совместно с 312-м ШАП впервые пустили в дело новые варианты реактивных снарядов. Осколочно-фугасный РОФС-132 убивал все живое в радиусе 8-10 м, а бронебойные РБС-82 и РБС-132 прошивали танковую броню толщиной 50 и 75 мм, но пока их поставлялись мало. Во время штурмовок МиГ-3 несли огромные потери. Например, сформированный из инструкторов Ейской школы летчиков 62-й ИАП ВВС ЧФ за три недели обороны Перекопского перешейка в сентябре-октябре 1941 г. потерял все свои МиГ-3, ЛаГГ-3 и Пе-2 и почти все&amp; пилотов, и основные потери он понес от зениток. Истребители с подвеской двух ФАБ-100 и шести РС-82 теряли 50-75 км/ч скорости, без прикрытия и подавления ПВО они могли выполнять лишь внезапные атаки с одного захода, но командование требовало непрерывно "утюжить" вражеские позиции. Не удивительно, что количество самолетов быстро таяло, а промышленность хоть и делала все, чтобы восполнить тяжелейшие потери, но никак не поспевала за "аппетитом" войны (11938).</w:t>
      </w:r>
    </w:p>
    <w:p w14:paraId="79E2D3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DD512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7 по 22 октября 1941 77-я </w:t>
      </w:r>
      <w:r w:rsidRPr="00640820">
        <w:rPr>
          <w:rFonts w:ascii="Times New Roman" w:hAnsi="Times New Roman"/>
          <w:iCs/>
          <w:color w:val="000000" w:themeColor="text1"/>
          <w:sz w:val="16"/>
          <w:szCs w:val="16"/>
        </w:rPr>
        <w:t>сад</w:t>
      </w:r>
      <w:r w:rsidRPr="00640820">
        <w:rPr>
          <w:rFonts w:ascii="Times New Roman" w:hAnsi="Times New Roman"/>
          <w:color w:val="000000" w:themeColor="text1"/>
          <w:sz w:val="16"/>
          <w:szCs w:val="16"/>
        </w:rPr>
        <w:t xml:space="preserve"> Героя Советско</w:t>
      </w:r>
      <w:r w:rsidRPr="00640820">
        <w:rPr>
          <w:rFonts w:ascii="Times New Roman" w:hAnsi="Times New Roman"/>
          <w:color w:val="000000" w:themeColor="text1"/>
          <w:sz w:val="16"/>
          <w:szCs w:val="16"/>
        </w:rPr>
        <w:softHyphen/>
        <w:t>го Союза п-ка И.Д.Антошкина в течение 15 суток боевые задачи получала сразу из трех инстан</w:t>
      </w:r>
      <w:r w:rsidRPr="00640820">
        <w:rPr>
          <w:rFonts w:ascii="Times New Roman" w:hAnsi="Times New Roman"/>
          <w:color w:val="000000" w:themeColor="text1"/>
          <w:sz w:val="16"/>
          <w:szCs w:val="16"/>
        </w:rPr>
        <w:softHyphen/>
        <w:t>ций: из штаба ВВС КА, штаба ВВС МВО и штаба ВВС Резервного фронта. Ес</w:t>
      </w:r>
      <w:r w:rsidRPr="00640820">
        <w:rPr>
          <w:rFonts w:ascii="Times New Roman" w:hAnsi="Times New Roman"/>
          <w:color w:val="000000" w:themeColor="text1"/>
          <w:sz w:val="16"/>
          <w:szCs w:val="16"/>
        </w:rPr>
        <w:softHyphen/>
        <w:t>тественно, это приводило к путанице и фактической невозможности выполне</w:t>
      </w:r>
      <w:r w:rsidRPr="00640820">
        <w:rPr>
          <w:rFonts w:ascii="Times New Roman" w:hAnsi="Times New Roman"/>
          <w:color w:val="000000" w:themeColor="text1"/>
          <w:sz w:val="16"/>
          <w:szCs w:val="16"/>
        </w:rPr>
        <w:softHyphen/>
        <w:t>ния боевых задач как из-за отсутствия достаточных сил и средств, так и вслед</w:t>
      </w:r>
      <w:r w:rsidRPr="00640820">
        <w:rPr>
          <w:rFonts w:ascii="Times New Roman" w:hAnsi="Times New Roman"/>
          <w:color w:val="000000" w:themeColor="text1"/>
          <w:sz w:val="16"/>
          <w:szCs w:val="16"/>
        </w:rPr>
        <w:softHyphen/>
        <w:t>ствие того, что боевые задачи, постав</w:t>
      </w:r>
      <w:r w:rsidRPr="00640820">
        <w:rPr>
          <w:rFonts w:ascii="Times New Roman" w:hAnsi="Times New Roman"/>
          <w:color w:val="000000" w:themeColor="text1"/>
          <w:sz w:val="16"/>
          <w:szCs w:val="16"/>
        </w:rPr>
        <w:softHyphen/>
        <w:t>ленные разными начальниками, зачас</w:t>
      </w:r>
      <w:r w:rsidRPr="00640820">
        <w:rPr>
          <w:rFonts w:ascii="Times New Roman" w:hAnsi="Times New Roman"/>
          <w:color w:val="000000" w:themeColor="text1"/>
          <w:sz w:val="16"/>
          <w:szCs w:val="16"/>
        </w:rPr>
        <w:softHyphen/>
        <w:t xml:space="preserve">тую взаимно исключали друг друга. В одном из своих донесений п-к Антошкин с горечью писал: </w:t>
      </w:r>
      <w:r w:rsidRPr="00640820">
        <w:rPr>
          <w:rFonts w:ascii="Times New Roman" w:hAnsi="Times New Roman"/>
          <w:iCs/>
          <w:color w:val="000000" w:themeColor="text1"/>
          <w:sz w:val="16"/>
          <w:szCs w:val="16"/>
        </w:rPr>
        <w:t>"...и решите нако</w:t>
      </w:r>
      <w:r w:rsidRPr="00640820">
        <w:rPr>
          <w:rFonts w:ascii="Times New Roman" w:hAnsi="Times New Roman"/>
          <w:iCs/>
          <w:color w:val="000000" w:themeColor="text1"/>
          <w:sz w:val="16"/>
          <w:szCs w:val="16"/>
        </w:rPr>
        <w:softHyphen/>
        <w:t>нец вопрос, кому мне подчиняться, чьи приказы выполнять".</w:t>
      </w:r>
    </w:p>
    <w:p w14:paraId="422AEB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октября 1941 в районе Вязьмы немцы ок</w:t>
      </w:r>
      <w:r w:rsidRPr="00640820">
        <w:rPr>
          <w:rFonts w:ascii="Times New Roman" w:hAnsi="Times New Roman"/>
          <w:color w:val="000000" w:themeColor="text1"/>
          <w:sz w:val="16"/>
          <w:szCs w:val="16"/>
        </w:rPr>
        <w:softHyphen/>
        <w:t>ружили войска 16-й, 19-й и 20-й армий из оперативной группы генерал-лейте</w:t>
      </w:r>
      <w:r w:rsidRPr="00640820">
        <w:rPr>
          <w:rFonts w:ascii="Times New Roman" w:hAnsi="Times New Roman"/>
          <w:color w:val="000000" w:themeColor="text1"/>
          <w:sz w:val="16"/>
          <w:szCs w:val="16"/>
        </w:rPr>
        <w:softHyphen/>
        <w:t>нанта Н.В.Болдина Западного фронта, 32-й и 24-й армий Резервного фронта. Возникла реальная угроза прорыва гер</w:t>
      </w:r>
      <w:r w:rsidRPr="00640820">
        <w:rPr>
          <w:rFonts w:ascii="Times New Roman" w:hAnsi="Times New Roman"/>
          <w:color w:val="000000" w:themeColor="text1"/>
          <w:sz w:val="16"/>
          <w:szCs w:val="16"/>
        </w:rPr>
        <w:softHyphen/>
        <w:t>манских войск на Москву по минскому шоссе через Можайск и по варшавско</w:t>
      </w:r>
      <w:r w:rsidRPr="00640820">
        <w:rPr>
          <w:rFonts w:ascii="Times New Roman" w:hAnsi="Times New Roman"/>
          <w:color w:val="000000" w:themeColor="text1"/>
          <w:sz w:val="16"/>
          <w:szCs w:val="16"/>
        </w:rPr>
        <w:softHyphen/>
        <w:t>му шоссе через Малоярославец (6467).</w:t>
      </w:r>
    </w:p>
    <w:p w14:paraId="038694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D0C22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октября 1941 в 5:40 Нач. Генштаба от имени Ставки в адрес командующего войсками ЗФ отдал распоряжение, по которому корпусному комиссару П.С.Степанову было поручено поступить в распоряжение ком. фронта И.С.Конева и организовать массовые удары авиации по войскам, действующим против ЗФ. Ему подчинили всю авиацию ЗФ на период решения поставленной задачи. Из резерва Ставки выделили 4 ап (один шап, 2 иап на МиГ-3 с РС и один бап на пе-2). Разрешили привлечь часть сил авиации ВВС МВО и ДБА. За 9 дней выполнили 2850 вылетов. Ущерб нанесли, но остановить - не смогли (340,57).</w:t>
      </w:r>
    </w:p>
    <w:p w14:paraId="35A144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6C659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октября 1941 у д. Богатырь Знаменского (б. Вяземского) р-на Смоленской области батарея Флерова попала в засадую Подорвали и Флеров погиб (5484,615).</w:t>
      </w:r>
    </w:p>
    <w:p w14:paraId="025127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E6DAC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октября 1941 г., первая “экспериментальная”, батарея РС капитана И.А. Флерова пыталась последним залпом прямой наводкой пробить дорогу из окружения, хотя сами установки для такого способа стрельбы не предназначались из-за большого угла возвышения направляющих (9632).</w:t>
      </w:r>
    </w:p>
    <w:p w14:paraId="506EC3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43E71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ночь на 7 октября 1941 года у деревни Богатырь Знаменского района (бывшего Вяземского) Смоленской области батарея попала в засаду. Капитан И.А. Флеров приказал подорвать установки и погиб сам, не дав врагу захватить новое секретное оружие. На месте гибели и в городе Орше установлены памятники бойцам 1-й экспериментальной ракетной батареи (11772).</w:t>
      </w:r>
    </w:p>
    <w:p w14:paraId="2A9979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CD0C8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7 октября 1941 под Вязьмой окружили пять армий Западного фронта, а еще три были брошены на рубеже Осташков-Сычевка (575,12) - 19 и 20 ЗФ, 24 и 32 РФ (340,57).</w:t>
      </w:r>
    </w:p>
    <w:p w14:paraId="509F7B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13F50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October 7, 1941: On the central and southern fronts, German forces capture Wjasma, Berdjansk and Mariupol. Finland rejects a British demand to cease fighting the Soviet Union (3819).</w:t>
      </w:r>
    </w:p>
    <w:p w14:paraId="44ECDA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4D752A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октября 1941 германские части захватили Вязьму, Бердянск и Мариуполь Финляндия отклонила требование Великобритании о прекращении боевых действий против СССР (3819).</w:t>
      </w:r>
    </w:p>
    <w:p w14:paraId="22DB9A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DCCAA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октября 1941 немецкие танки закончили окружение советской группировки под Вязьмой (2260).</w:t>
      </w:r>
    </w:p>
    <w:p w14:paraId="0FA335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3432F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октября 1941 согласно Г.К.Ж. между немцами и Москвой не было войск и И.В.С. заявил, что готов принять новый Брестский мир (3304,157).</w:t>
      </w:r>
    </w:p>
    <w:p w14:paraId="438D2D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A1D2E46" w14:textId="77777777" w:rsidR="009F6E13" w:rsidRPr="00640820" w:rsidRDefault="009F6E1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ночь на 7 октября 1941 года у деревни Богатырь Знаменского района (бывшего Вяземского) Смоленской области батарея попала в засаду. Капитан И.А. Флеров приказал подорвать установки и погиб сам, не дав врагу захватить новое секретное оружие. На месте гибели и в городе Орше установлены памятники бойцам 1-й экспериментальной ракетной батареи (15981).</w:t>
      </w:r>
    </w:p>
    <w:p w14:paraId="6C84EC4C" w14:textId="77777777" w:rsidR="009F6E13" w:rsidRPr="00640820" w:rsidRDefault="009F6E13" w:rsidP="00640820">
      <w:pPr>
        <w:spacing w:after="0" w:line="240" w:lineRule="auto"/>
        <w:jc w:val="both"/>
        <w:rPr>
          <w:rFonts w:ascii="Times New Roman" w:hAnsi="Times New Roman"/>
          <w:color w:val="000000" w:themeColor="text1"/>
          <w:sz w:val="16"/>
          <w:szCs w:val="16"/>
        </w:rPr>
      </w:pPr>
    </w:p>
    <w:p w14:paraId="426A1A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октября 1941 НКО издал приказ N 330 О введении красноармейской книжки в военное время на фронте и в тылу (3398,353).</w:t>
      </w:r>
    </w:p>
    <w:p w14:paraId="7B8CE9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7DF4C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октября 1941 г. вышел ПРИКАЗ НКО № 330 О ВВЕДЕНИИ КРАСНОАРМЕЙСКОЙ КНИЖКИ В ВОЙСКОВЫХ ЧАСТЯХ И УЧРЕЖДЕНИЯХ В ТЫЛУ И НА ФРОНТЕ</w:t>
      </w:r>
    </w:p>
    <w:p w14:paraId="7C8590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Введенная приказом НКО № 171 в 1940 г. красноармейская книжкап. 7 этого же приказа отменена для действующей армии. Ввиду этого красноармейцы и младшие командиры оказались на фронте без документов, удостоверяющих их личность, а наша дивизия, которая должна являться замкнутой крепостью, неприступной для проникновения посторонних людей, превратилась на деле в проходной двор.</w:t>
      </w:r>
    </w:p>
    <w:p w14:paraId="2B094B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Противник воспользовался этим беспорядком и в некоторые части Красной Армии заслал своих людей, одетых в наше обмундирование.</w:t>
      </w:r>
    </w:p>
    <w:p w14:paraId="1E96A2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одной из дивизий Северо-Западного фронта была обнаружена и расстреляна группа из 7 человек таких людей, засланных противником с шпионско-диверсионной целью.</w:t>
      </w:r>
    </w:p>
    <w:p w14:paraId="13EC3E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 может быть сомнения, что при полном отсутствии документов, удостоверяющих личность военнослужащих, такие факты имеются и в других частях Красной Армии.</w:t>
      </w:r>
    </w:p>
    <w:p w14:paraId="693460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Далее, не может быть сомнения, что немало болтающихся людей в тылах дивизий и армий, одетых в красноармейскую форму, являются агентами противника, передающими сведения о наших частях, борьба с которыми невозможна по причине отсутствия документов у бойцов Красной Армии, чтобы можно было отличить наших людей от агентуры противника.</w:t>
      </w:r>
    </w:p>
    <w:p w14:paraId="196AD6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 наконец, отсутствие на руках документов у отправляемого на фронт пополнения и убывающих с фронта по эвакуации больных и раненых бойцов и младших командиров лишило возможности органы снабжения проверять их обеспеченность обмундированием, оружием, снаряжением и другим видом довольствия.</w:t>
      </w:r>
    </w:p>
    <w:p w14:paraId="32AA3B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целях исправления допущенной ошибки, обеспечения частей от проникновения враждебных элементов и упорядочения учета личного состава Красной Армии приказываю:</w:t>
      </w:r>
    </w:p>
    <w:p w14:paraId="47A942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Немедленно ввести во всех частях и учреждениях Красной Армии как в тылу, так и на фронте красноармейскую книжку с фотографической карточкой владельца, согласно объявленному образцу.</w:t>
      </w:r>
    </w:p>
    <w:p w14:paraId="4362AF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 НКО № 171 от 20 июня 1940 г. отменить</w:t>
      </w:r>
    </w:p>
    <w:p w14:paraId="3BF13F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Красноармейскую книжку считать единственным документом, удостоверяющим личность красноармейца и младшего командира. В красноармейскую книжку заносить прохождение военнослужащим**** военной службы и получение им от военного ведомства предметов довольствия (оружия, снаряжения и "обмундирования).</w:t>
      </w:r>
    </w:p>
    <w:p w14:paraId="311D9C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Красноармейские книжки выдавать красноармейцам и младшим командирам с момента зачисления их в часть. Книжки выдать командирам или заместителям командиров***** рох, эскадронов, батарей и команд.</w:t>
      </w:r>
    </w:p>
    <w:p w14:paraId="580A42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Начальникам штабов войсковых частей по проверке записанных сведений прикладывать к книжкам гербовую печать части.</w:t>
      </w:r>
    </w:p>
    <w:p w14:paraId="1C9F6A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Красноармейские книжки выдавать строго по спискам под личные расписки красноармейцев и младших командиров.</w:t>
      </w:r>
    </w:p>
    <w:p w14:paraId="2ABA36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Наличие у красноармейцев и младших командиров красноармейских книжек проверять: в частях, находящихся в тылу — ежедневно на утренних осмотрах, в боевых частях — при первой возможности, по усмотрению командиров рот, но не реже одного раза в три дня.</w:t>
      </w:r>
    </w:p>
    <w:p w14:paraId="44DC69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6. Каждому красноармейцу и младшему командиру красноармейскую книжку постоянно иметь при себе. Красноармейцев и младших командиров, не имеющих красноармейских книжек, задерживать как подозрительных* и направлять в военные комендатуры для выяснения личности.</w:t>
      </w:r>
    </w:p>
    <w:p w14:paraId="56C9C6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Красноармейские книжки выдавать на все время службы красноармейца и младшего командира в Красной Армии.</w:t>
      </w:r>
    </w:p>
    <w:p w14:paraId="15E311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переводах из одного подразделения в другое или в другую часть красноармейцам и младшим командирам сохранять красноармейские книжки при себе, предъявляя их по новому месту службы.</w:t>
      </w:r>
    </w:p>
    <w:p w14:paraId="4319B9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Командирам рот, эскадронов, батарей и команд о всякой перемене по службе красноармейцев и младших командиров, о выдаче и сдаче получаемого ими военного имущества отмечать в книжке не иначе, как в присутствии красноармейца и младшего командира, которому принадлежит книжка.</w:t>
      </w:r>
    </w:p>
    <w:p w14:paraId="4CEBDA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При увольнении из Красной Армии красноармейские книжки сдавать через командиров подразделений в штаб части для уничтожения. Взамен красноарейских книжек увольняемым выдавать военные билеты.</w:t>
      </w:r>
    </w:p>
    <w:p w14:paraId="0F36A2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Ввести в действие объявляемую при этом “Инструкцию о порядке заполнения и ведения красноармейской книжки”.</w:t>
      </w:r>
    </w:p>
    <w:p w14:paraId="3DF2A4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Независимо от красноармейских книжек, вести в ротах, эскадронах, батареях и командах установленные именные списки по учету личного состава и суммарные арматурные списки по учету военного имущества, выдаваемого красноармейцам и младшим командирам в индивидуальное пользование.</w:t>
      </w:r>
    </w:p>
    <w:p w14:paraId="208CB2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Главному интенданту Красной Армии в 15-дневный срок изготовить и обеспечить действующую армию и внутренние округа красноармейскими книжками утвержденного мною образца, а также дать указания войскам о порядке изготовления фотографических карточек.</w:t>
      </w:r>
    </w:p>
    <w:p w14:paraId="509B99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Инспекторам родов войск и служб, а также всем прямым начальникам при посещении подчиненных частей проверять наличие у красноармейцев и младших командиров красноармейских книжек и правильность их ведения.</w:t>
      </w:r>
    </w:p>
    <w:p w14:paraId="7C4F20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 xml:space="preserve">Народный комиссар обороны СССР И. СТАЛИН </w:t>
      </w:r>
      <w:r w:rsidRPr="00640820">
        <w:rPr>
          <w:rFonts w:ascii="Times New Roman" w:hAnsi="Times New Roman"/>
          <w:color w:val="000000" w:themeColor="text1"/>
          <w:sz w:val="16"/>
          <w:szCs w:val="16"/>
        </w:rPr>
        <w:t>(9844).</w:t>
      </w:r>
    </w:p>
    <w:p w14:paraId="02ACCB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9FD3D2C"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4320974E"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4595F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октября 1941 циркуляром НКВД № 270 разъяснялось, “что 12-ти часовой рабочий день в лагерях и колониях сохраняется на осенне-зимний период в местах работ, где имеется освещение. По тем видам работ, где применить освещение невозможно, сократите рабочий день до 10 часов, либо установите продолжительность рабочего дня равную световому дню. В тех случаях, когда рабочий день в этих условиях будет составлять 8-9 часов - выходные дни отменяются” (7560).</w:t>
      </w:r>
    </w:p>
    <w:p w14:paraId="03ADEA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21C5CA0"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551A3DDD"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AC43C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октября 1941 г. начальник НИИ ВВС бригадный инженер Федоров доложил генералу Петрову об окончании предварительных исследований в НИИ-3 наркомата боеприпасов, где прорабатывался облик ускорителей для облегчения взлета Ер-2 2М-105. В частности, предлагались два варианта ускорителя: жидкостный (компоненты топлива - керосин и азотная кислота) с тягой 2250 кг и твердотопливный (пакет из шести ракет) с тягой 3500 кг. В первом случае продолжительность работы ускорителя составляла 12 с, во втором - всего 6 с, но и этого было достаточно для уменьшения длины разбега бомбардировщика с максимальной взлетной массой 14000 кг до 600 м (3322,20).</w:t>
      </w:r>
    </w:p>
    <w:p w14:paraId="053F8B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1E5AD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октября 1941 г. Постановлением ГКО №741 и последовавшим на следующий день приказом НКАП №1053 директорам авиазаводов приказывалось немедленно приступить к эвакуации (4802).</w:t>
      </w:r>
    </w:p>
    <w:p w14:paraId="134A39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19BA9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октября 1941 вышло Постановление ГКО № 741 Об эвакуации заводов Наркомавиапрома Московской. Воронежской и Ростовской областей. РГАНИР, Фонд ГКО, д. 11, лл. 182-188, 189-193 (11012).</w:t>
      </w:r>
    </w:p>
    <w:p w14:paraId="6BB6433E" w14:textId="77777777" w:rsidR="00A973B1" w:rsidRPr="00640820" w:rsidRDefault="00A973B1" w:rsidP="00640820">
      <w:pPr>
        <w:autoSpaceDE w:val="0"/>
        <w:autoSpaceDN w:val="0"/>
        <w:adjustRightInd w:val="0"/>
        <w:spacing w:after="0" w:line="240" w:lineRule="auto"/>
        <w:jc w:val="both"/>
        <w:rPr>
          <w:rFonts w:ascii="Times New Roman" w:hAnsi="Times New Roman"/>
          <w:color w:val="000000" w:themeColor="text1"/>
          <w:sz w:val="16"/>
          <w:szCs w:val="16"/>
        </w:rPr>
      </w:pPr>
    </w:p>
    <w:p w14:paraId="4A3E9330" w14:textId="77777777" w:rsidR="001F6AEC" w:rsidRPr="00640820" w:rsidRDefault="001F6AEC"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hAnsi="Times New Roman"/>
          <w:color w:val="000000" w:themeColor="text1"/>
          <w:sz w:val="16"/>
          <w:szCs w:val="16"/>
        </w:rPr>
        <w:t>8 октября 1941 вышло Постановление ГКО № 741 Об эвакуации заводов Наркомавиапрома Московской. Воронежской и Ростовской областей</w:t>
      </w:r>
    </w:p>
    <w:p w14:paraId="5DA18768" w14:textId="77777777" w:rsidR="001F6AEC" w:rsidRPr="00640820" w:rsidRDefault="001F6AEC"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Batang" w:hAnsi="Times New Roman"/>
          <w:color w:val="000000" w:themeColor="text1"/>
          <w:sz w:val="16"/>
          <w:szCs w:val="16"/>
        </w:rPr>
        <w:t>Государственный Комитет Обороны постановляет:</w:t>
      </w:r>
    </w:p>
    <w:p w14:paraId="18D47AFF" w14:textId="77777777" w:rsidR="001F6AEC" w:rsidRPr="00640820" w:rsidRDefault="001F6AEC"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Batang" w:hAnsi="Times New Roman"/>
          <w:color w:val="000000" w:themeColor="text1"/>
          <w:sz w:val="16"/>
          <w:szCs w:val="16"/>
        </w:rPr>
        <w:t>1. Обязать Наркомавиапром тов.Шахурина А.И. приступить к немедленной эвакуации заводов из областей: Московской, Во</w:t>
      </w:r>
      <w:r w:rsidRPr="00640820">
        <w:rPr>
          <w:rFonts w:ascii="Times New Roman" w:eastAsia="Batang" w:hAnsi="Times New Roman"/>
          <w:color w:val="000000" w:themeColor="text1"/>
          <w:sz w:val="16"/>
          <w:szCs w:val="16"/>
        </w:rPr>
        <w:softHyphen/>
        <w:t>ронежской и Ростовской в следующие пункты:</w:t>
      </w:r>
    </w:p>
    <w:p w14:paraId="2A7F56CA" w14:textId="77777777" w:rsidR="001F6AEC" w:rsidRPr="00640820" w:rsidRDefault="001F6AEC" w:rsidP="00640820">
      <w:pPr>
        <w:tabs>
          <w:tab w:val="left" w:pos="965"/>
        </w:tabs>
        <w:spacing w:after="0" w:line="240" w:lineRule="auto"/>
        <w:jc w:val="both"/>
        <w:rPr>
          <w:rFonts w:ascii="Times New Roman" w:eastAsia="Times New Roman" w:hAnsi="Times New Roman"/>
          <w:color w:val="000000" w:themeColor="text1"/>
          <w:sz w:val="16"/>
          <w:szCs w:val="16"/>
        </w:rPr>
      </w:pPr>
      <w:r w:rsidRPr="00640820">
        <w:rPr>
          <w:rFonts w:ascii="Times New Roman" w:eastAsia="Batang" w:hAnsi="Times New Roman"/>
          <w:color w:val="000000" w:themeColor="text1"/>
          <w:sz w:val="16"/>
          <w:szCs w:val="16"/>
        </w:rPr>
        <w:t>а) Завод № 1 им.Сталина в г.Куйбышев на площади завода № 122, об"единив завод № 122 с заводом № 1. Эвакуацию завода произвести в две очереди: первую очередь эвакуировать произ</w:t>
      </w:r>
      <w:r w:rsidRPr="00640820">
        <w:rPr>
          <w:rFonts w:ascii="Times New Roman" w:eastAsia="Batang" w:hAnsi="Times New Roman"/>
          <w:color w:val="000000" w:themeColor="text1"/>
          <w:sz w:val="16"/>
          <w:szCs w:val="16"/>
        </w:rPr>
        <w:softHyphen/>
        <w:t>водство самолета Миг-3 в 10-дневный срок, сохранив при этом выпуск самолетов Миг-3 в октябре месяце.</w:t>
      </w:r>
    </w:p>
    <w:p w14:paraId="7231482A" w14:textId="77777777" w:rsidR="001F6AEC" w:rsidRPr="00640820" w:rsidRDefault="001F6AEC"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Batang" w:hAnsi="Times New Roman"/>
          <w:color w:val="000000" w:themeColor="text1"/>
          <w:sz w:val="16"/>
          <w:szCs w:val="16"/>
        </w:rPr>
        <w:t>Выпуск самолетов Миг-3 в г.Куйбышеве начать с 15 ноября, обеспечив сдачу в ноябре 50 самолетов и в декабре - 225.</w:t>
      </w:r>
    </w:p>
    <w:p w14:paraId="67AA69B8" w14:textId="77777777" w:rsidR="001F6AEC" w:rsidRPr="00640820" w:rsidRDefault="001F6AEC"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Batang" w:hAnsi="Times New Roman"/>
          <w:color w:val="000000" w:themeColor="text1"/>
          <w:sz w:val="16"/>
          <w:szCs w:val="16"/>
        </w:rPr>
        <w:t>Вторую очередь - производство самолетов Ил-2 в полутора</w:t>
      </w:r>
      <w:r w:rsidRPr="00640820">
        <w:rPr>
          <w:rFonts w:ascii="Times New Roman" w:eastAsia="Batang" w:hAnsi="Times New Roman"/>
          <w:color w:val="000000" w:themeColor="text1"/>
          <w:sz w:val="16"/>
          <w:szCs w:val="16"/>
        </w:rPr>
        <w:softHyphen/>
        <w:t>месячный срок, закончив эвакуацию к 1.ХП.41 года, обеспечив сдачу самолетов в октябре месяце - 40 и в ноябре - 200.</w:t>
      </w:r>
    </w:p>
    <w:p w14:paraId="0FA6986E" w14:textId="77777777" w:rsidR="001F6AEC" w:rsidRPr="00640820" w:rsidRDefault="001F6AEC" w:rsidP="00640820">
      <w:pPr>
        <w:tabs>
          <w:tab w:val="left" w:pos="958"/>
        </w:tabs>
        <w:spacing w:after="0" w:line="240" w:lineRule="auto"/>
        <w:jc w:val="both"/>
        <w:rPr>
          <w:rFonts w:ascii="Times New Roman" w:eastAsia="Times New Roman" w:hAnsi="Times New Roman"/>
          <w:color w:val="000000" w:themeColor="text1"/>
          <w:sz w:val="16"/>
          <w:szCs w:val="16"/>
        </w:rPr>
      </w:pPr>
      <w:r w:rsidRPr="00640820">
        <w:rPr>
          <w:rFonts w:ascii="Times New Roman" w:eastAsia="Batang" w:hAnsi="Times New Roman"/>
          <w:color w:val="000000" w:themeColor="text1"/>
          <w:sz w:val="16"/>
          <w:szCs w:val="16"/>
        </w:rPr>
        <w:t>б) Завод № 22 - в г.Казань на площади завода № 124, об</w:t>
      </w:r>
      <w:r w:rsidRPr="00640820">
        <w:rPr>
          <w:rFonts w:ascii="Times New Roman" w:eastAsia="Batang" w:hAnsi="Times New Roman"/>
          <w:color w:val="000000" w:themeColor="text1"/>
          <w:sz w:val="16"/>
          <w:szCs w:val="16"/>
          <w:vertAlign w:val="superscript"/>
        </w:rPr>
        <w:t>в</w:t>
      </w:r>
      <w:r w:rsidRPr="00640820">
        <w:rPr>
          <w:rFonts w:ascii="Times New Roman" w:eastAsia="Batang" w:hAnsi="Times New Roman"/>
          <w:color w:val="000000" w:themeColor="text1"/>
          <w:sz w:val="16"/>
          <w:szCs w:val="16"/>
        </w:rPr>
        <w:t>единив в единый завод.</w:t>
      </w:r>
    </w:p>
    <w:p w14:paraId="05326C9C" w14:textId="77777777" w:rsidR="001F6AEC" w:rsidRPr="00640820" w:rsidRDefault="001F6AEC"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Batang" w:hAnsi="Times New Roman"/>
          <w:color w:val="000000" w:themeColor="text1"/>
          <w:sz w:val="16"/>
          <w:szCs w:val="16"/>
        </w:rPr>
        <w:t>Эвакуацию произвести в две очереди: первую очередь в течение 10 дней, обеспечив при этом ежедневный выпуск самоле</w:t>
      </w:r>
      <w:r w:rsidRPr="00640820">
        <w:rPr>
          <w:rFonts w:ascii="Times New Roman" w:eastAsia="Batang" w:hAnsi="Times New Roman"/>
          <w:color w:val="000000" w:themeColor="text1"/>
          <w:sz w:val="16"/>
          <w:szCs w:val="16"/>
        </w:rPr>
        <w:softHyphen/>
        <w:t>тов в количестве 5 шт. в день; вторую очередь закончить не позднее 1 декабря, обеспечив при этом выпуск эвакуированной первой очереди завода 5 самолетов в день.</w:t>
      </w:r>
    </w:p>
    <w:p w14:paraId="7A7D5C6F" w14:textId="77777777" w:rsidR="001F6AEC" w:rsidRPr="00640820" w:rsidRDefault="001F6AEC" w:rsidP="00640820">
      <w:pPr>
        <w:tabs>
          <w:tab w:val="left" w:pos="958"/>
        </w:tabs>
        <w:spacing w:after="0" w:line="240" w:lineRule="auto"/>
        <w:jc w:val="both"/>
        <w:rPr>
          <w:rFonts w:ascii="Times New Roman" w:eastAsia="Times New Roman" w:hAnsi="Times New Roman"/>
          <w:color w:val="000000" w:themeColor="text1"/>
          <w:sz w:val="16"/>
          <w:szCs w:val="16"/>
        </w:rPr>
      </w:pPr>
      <w:r w:rsidRPr="00640820">
        <w:rPr>
          <w:rFonts w:ascii="Times New Roman" w:eastAsia="Batang" w:hAnsi="Times New Roman"/>
          <w:color w:val="000000" w:themeColor="text1"/>
          <w:sz w:val="16"/>
          <w:szCs w:val="16"/>
        </w:rPr>
        <w:t>в) Завод № 24 в г.Куйбышев на площади завода № 337, об"единив их в один завод.</w:t>
      </w:r>
    </w:p>
    <w:p w14:paraId="364FFE45" w14:textId="77777777" w:rsidR="001F6AEC" w:rsidRPr="00640820" w:rsidRDefault="001F6AEC"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Batang" w:hAnsi="Times New Roman"/>
          <w:color w:val="000000" w:themeColor="text1"/>
          <w:sz w:val="16"/>
          <w:szCs w:val="16"/>
        </w:rPr>
        <w:t>Эвакуацию произвести в две очереди: первую очередь на</w:t>
      </w:r>
      <w:r w:rsidRPr="00640820">
        <w:rPr>
          <w:rFonts w:ascii="Times New Roman" w:eastAsia="Batang" w:hAnsi="Times New Roman"/>
          <w:color w:val="000000" w:themeColor="text1"/>
          <w:sz w:val="16"/>
          <w:szCs w:val="16"/>
        </w:rPr>
        <w:softHyphen/>
        <w:t>чать немедленно и закончить в 15-ти дневный срок, обеспечив при этом ежедневный выпуск по 40 моторов до 15 октября и с 15 октября до 1 декабря ежедневный выпуск по 20 моторов в Москве и с 1-го декабря до 1 января 1942 года от 20 до 30 мо</w:t>
      </w:r>
      <w:r w:rsidRPr="00640820">
        <w:rPr>
          <w:rFonts w:ascii="Times New Roman" w:eastAsia="Batang" w:hAnsi="Times New Roman"/>
          <w:color w:val="000000" w:themeColor="text1"/>
          <w:sz w:val="16"/>
          <w:szCs w:val="16"/>
        </w:rPr>
        <w:softHyphen/>
        <w:t>торов в сутки в Куйбышеве.</w:t>
      </w:r>
    </w:p>
    <w:p w14:paraId="35DA5EEE" w14:textId="77777777" w:rsidR="001F6AEC" w:rsidRPr="00640820" w:rsidRDefault="001F6AEC"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Batang" w:hAnsi="Times New Roman"/>
          <w:color w:val="000000" w:themeColor="text1"/>
          <w:sz w:val="16"/>
          <w:szCs w:val="16"/>
        </w:rPr>
        <w:t>Эвакуацию второй очереди начать с 25 ноября по 5 декабря.</w:t>
      </w:r>
    </w:p>
    <w:p w14:paraId="15789D57" w14:textId="77777777" w:rsidR="001F6AEC" w:rsidRPr="00640820" w:rsidRDefault="001F6AEC" w:rsidP="00640820">
      <w:pPr>
        <w:tabs>
          <w:tab w:val="left" w:pos="965"/>
        </w:tabs>
        <w:spacing w:after="0" w:line="240" w:lineRule="auto"/>
        <w:jc w:val="both"/>
        <w:rPr>
          <w:rFonts w:ascii="Times New Roman" w:eastAsia="Times New Roman" w:hAnsi="Times New Roman"/>
          <w:color w:val="000000" w:themeColor="text1"/>
          <w:sz w:val="16"/>
          <w:szCs w:val="16"/>
        </w:rPr>
      </w:pPr>
      <w:r w:rsidRPr="00640820">
        <w:rPr>
          <w:rFonts w:ascii="Times New Roman" w:eastAsia="Batang" w:hAnsi="Times New Roman"/>
          <w:color w:val="000000" w:themeColor="text1"/>
          <w:sz w:val="16"/>
          <w:szCs w:val="16"/>
        </w:rPr>
        <w:t>г) Завод № 31 в г.Тбилиси, разместив на площади завода № 448.</w:t>
      </w:r>
    </w:p>
    <w:p w14:paraId="4F38D404" w14:textId="77777777" w:rsidR="001F6AEC" w:rsidRPr="00640820" w:rsidRDefault="001F6AEC"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Batang" w:hAnsi="Times New Roman"/>
          <w:color w:val="000000" w:themeColor="text1"/>
          <w:sz w:val="16"/>
          <w:szCs w:val="16"/>
        </w:rPr>
        <w:t>Эвакуацию эавода начать немедленно и закончить в течение 10 дней.</w:t>
      </w:r>
    </w:p>
    <w:p w14:paraId="522A8D3F" w14:textId="77777777" w:rsidR="001F6AEC" w:rsidRPr="00640820" w:rsidRDefault="001F6AEC" w:rsidP="00640820">
      <w:pPr>
        <w:tabs>
          <w:tab w:val="left" w:pos="950"/>
        </w:tabs>
        <w:spacing w:after="0" w:line="240" w:lineRule="auto"/>
        <w:jc w:val="both"/>
        <w:rPr>
          <w:rFonts w:ascii="Times New Roman" w:eastAsia="Times New Roman" w:hAnsi="Times New Roman"/>
          <w:color w:val="000000" w:themeColor="text1"/>
          <w:sz w:val="16"/>
          <w:szCs w:val="16"/>
        </w:rPr>
      </w:pPr>
      <w:r w:rsidRPr="00640820">
        <w:rPr>
          <w:rFonts w:ascii="Times New Roman" w:eastAsia="Batang" w:hAnsi="Times New Roman"/>
          <w:color w:val="000000" w:themeColor="text1"/>
          <w:sz w:val="16"/>
          <w:szCs w:val="16"/>
        </w:rPr>
        <w:t>д) Завод № 16 - в г.Казань на площади завода № 27, об"единив его с заводом № 27.</w:t>
      </w:r>
    </w:p>
    <w:p w14:paraId="45798407" w14:textId="77777777" w:rsidR="001F6AEC" w:rsidRPr="00640820" w:rsidRDefault="001F6AEC"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Batang" w:hAnsi="Times New Roman"/>
          <w:color w:val="000000" w:themeColor="text1"/>
          <w:sz w:val="16"/>
          <w:szCs w:val="16"/>
        </w:rPr>
        <w:t>Эвакуацию начать немедленно, закончив ее в течение 10-ти дней.</w:t>
      </w:r>
    </w:p>
    <w:p w14:paraId="61CAC7B9" w14:textId="77777777" w:rsidR="001F6AEC" w:rsidRPr="00640820" w:rsidRDefault="001F6AEC"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Опытное производство завода № 16 по мотору М-250 пере</w:t>
      </w:r>
      <w:r w:rsidRPr="00640820">
        <w:rPr>
          <w:rFonts w:ascii="Times New Roman" w:eastAsia="Times New Roman" w:hAnsi="Times New Roman"/>
          <w:color w:val="000000" w:themeColor="text1"/>
          <w:sz w:val="16"/>
          <w:szCs w:val="16"/>
        </w:rPr>
        <w:softHyphen/>
        <w:t>вести на завод № 384 в г.Уфу,</w:t>
      </w:r>
    </w:p>
    <w:p w14:paraId="3B5CF37A" w14:textId="77777777" w:rsidR="001F6AEC" w:rsidRPr="00640820" w:rsidRDefault="001F6AEC"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е) Завод № 458 - в г.Баку на площади завода № 446, об"единив завод № 446 с заводом № 458.</w:t>
      </w:r>
    </w:p>
    <w:p w14:paraId="77F55F0A" w14:textId="77777777" w:rsidR="001F6AEC" w:rsidRPr="00640820" w:rsidRDefault="001F6AEC"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Эвакуацию начать немедленно и закончить в течение 10-ти дней.</w:t>
      </w:r>
    </w:p>
    <w:p w14:paraId="1B4C0D07" w14:textId="77777777" w:rsidR="001F6AEC" w:rsidRPr="00640820" w:rsidRDefault="001F6AEC"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Batang" w:hAnsi="Times New Roman"/>
          <w:bCs/>
          <w:color w:val="000000" w:themeColor="text1"/>
          <w:sz w:val="16"/>
          <w:szCs w:val="16"/>
        </w:rPr>
        <w:t>ж)</w:t>
      </w:r>
      <w:r w:rsidRPr="00640820">
        <w:rPr>
          <w:rFonts w:ascii="Times New Roman" w:eastAsia="Times New Roman" w:hAnsi="Times New Roman"/>
          <w:color w:val="000000" w:themeColor="text1"/>
          <w:sz w:val="16"/>
          <w:szCs w:val="16"/>
        </w:rPr>
        <w:t xml:space="preserve"> Завод № 301 - в г.Новосибирск на площади вавода № 153, об"единив завод № 301 с заводом № 153.</w:t>
      </w:r>
    </w:p>
    <w:p w14:paraId="4F9C8BE6" w14:textId="77777777" w:rsidR="001F6AEC" w:rsidRPr="00640820" w:rsidRDefault="001F6AEC"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Эвакуацию начать немедленно и закончить в течение 10-ти дней.</w:t>
      </w:r>
    </w:p>
    <w:p w14:paraId="43AFE5E6" w14:textId="77777777" w:rsidR="001F6AEC" w:rsidRPr="00640820" w:rsidRDefault="001F6AEC"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з) Завод № 207 в г.Молотов на площади вавода № 135, об</w:t>
      </w:r>
      <w:r w:rsidRPr="00640820">
        <w:rPr>
          <w:rFonts w:ascii="Times New Roman" w:eastAsia="Times New Roman" w:hAnsi="Times New Roman"/>
          <w:color w:val="000000" w:themeColor="text1"/>
          <w:sz w:val="16"/>
          <w:szCs w:val="16"/>
          <w:vertAlign w:val="superscript"/>
        </w:rPr>
        <w:t>и</w:t>
      </w:r>
      <w:r w:rsidRPr="00640820">
        <w:rPr>
          <w:rFonts w:ascii="Times New Roman" w:eastAsia="Times New Roman" w:hAnsi="Times New Roman"/>
          <w:color w:val="000000" w:themeColor="text1"/>
          <w:sz w:val="16"/>
          <w:szCs w:val="16"/>
        </w:rPr>
        <w:t>е динив его с заводом № 135.</w:t>
      </w:r>
    </w:p>
    <w:p w14:paraId="4E137F3F" w14:textId="77777777" w:rsidR="001F6AEC" w:rsidRPr="00640820" w:rsidRDefault="001F6AEC"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Эвакуацию начать немедленно и закончить в 10-ти дневный срок.</w:t>
      </w:r>
    </w:p>
    <w:p w14:paraId="5D0573CB" w14:textId="77777777" w:rsidR="001F6AEC" w:rsidRPr="00640820" w:rsidRDefault="001F6AEC"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и) Завод № 154 в г.Ташкент на площади Полиграфического комбината.</w:t>
      </w:r>
    </w:p>
    <w:p w14:paraId="35381FC5" w14:textId="77777777" w:rsidR="001F6AEC" w:rsidRPr="00640820" w:rsidRDefault="001F6AEC"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Эвакуацию начать немедленно, закончив в течение 7-ми дней.</w:t>
      </w:r>
    </w:p>
    <w:p w14:paraId="4527870E" w14:textId="77777777" w:rsidR="001F6AEC" w:rsidRPr="00640820" w:rsidRDefault="001F6AEC"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к) Завод № 20 в г.Омск частично на площади завода № 495, частично в г.Ульяновск на новостроющийся завод № 283, а про</w:t>
      </w:r>
      <w:r w:rsidRPr="00640820">
        <w:rPr>
          <w:rFonts w:ascii="Times New Roman" w:eastAsia="Times New Roman" w:hAnsi="Times New Roman"/>
          <w:color w:val="000000" w:themeColor="text1"/>
          <w:sz w:val="16"/>
          <w:szCs w:val="16"/>
        </w:rPr>
        <w:softHyphen/>
        <w:t>изводство клапанов эвакуировать на моторные заводы. Эвакуацию закончить в 15-ти дневный срок.</w:t>
      </w:r>
    </w:p>
    <w:p w14:paraId="187510A9" w14:textId="77777777" w:rsidR="001F6AEC" w:rsidRPr="00640820" w:rsidRDefault="001F6AEC"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л) Завод № 95 в г.Верхняя Салда на площади завода № 491, приступив к немедленной эвакуации всего прокатного оборудо</w:t>
      </w:r>
      <w:r w:rsidRPr="00640820">
        <w:rPr>
          <w:rFonts w:ascii="Times New Roman" w:eastAsia="Times New Roman" w:hAnsi="Times New Roman"/>
          <w:color w:val="000000" w:themeColor="text1"/>
          <w:sz w:val="16"/>
          <w:szCs w:val="16"/>
        </w:rPr>
        <w:softHyphen/>
        <w:t>вания и 50% прессового оборудования.</w:t>
      </w:r>
    </w:p>
    <w:p w14:paraId="5E0CDE70" w14:textId="77777777" w:rsidR="001F6AEC" w:rsidRPr="00640820" w:rsidRDefault="001F6AEC"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Обеспечение потребности самолетных и моторных заводов в дюралюминиевом прокате возложить на это время полностью на комбинат № 150.</w:t>
      </w:r>
    </w:p>
    <w:p w14:paraId="2EBE4D9F" w14:textId="77777777" w:rsidR="001F6AEC" w:rsidRPr="00640820" w:rsidRDefault="001F6AEC"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м) Комбинат № 150 в г.Каменск на площади вновь строющегося завода № 268 и в г.Верхняя Салда на площади завода №491. Эвакуацию произвести в 2-х месячный срок. Производство винтов комбината № 150 эвакуировать в 15-ти дневный срок в г.Куйбышев на площади бытовок заводов</w:t>
      </w:r>
    </w:p>
    <w:p w14:paraId="55B4ABEB" w14:textId="77777777" w:rsidR="001F6AEC" w:rsidRPr="00640820" w:rsidRDefault="001F6AEC"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н) Завод № 33 в г.Молотов на площади завода № 339. Эвакуацию произвести в месячный срок.</w:t>
      </w:r>
    </w:p>
    <w:p w14:paraId="0F344A70" w14:textId="77777777" w:rsidR="001F6AEC" w:rsidRPr="00640820" w:rsidRDefault="001F6AEC"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о) Завод № 32 в г.Киров на площади завода № 315. Эвакуацию произвести в две очереди в течение полутора</w:t>
      </w:r>
      <w:r w:rsidRPr="00640820">
        <w:rPr>
          <w:rFonts w:ascii="Times New Roman" w:eastAsia="Times New Roman" w:hAnsi="Times New Roman"/>
          <w:color w:val="000000" w:themeColor="text1"/>
          <w:sz w:val="16"/>
          <w:szCs w:val="16"/>
        </w:rPr>
        <w:softHyphen/>
        <w:t>месячного срока.</w:t>
      </w:r>
    </w:p>
    <w:p w14:paraId="64186C06" w14:textId="77777777" w:rsidR="001F6AEC" w:rsidRPr="00640820" w:rsidRDefault="001F6AEC"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п) Завод № 120 в г.Каменск Челябинской области на пло</w:t>
      </w:r>
      <w:r w:rsidRPr="00640820">
        <w:rPr>
          <w:rFonts w:ascii="Times New Roman" w:eastAsia="Times New Roman" w:hAnsi="Times New Roman"/>
          <w:color w:val="000000" w:themeColor="text1"/>
          <w:sz w:val="16"/>
          <w:szCs w:val="16"/>
        </w:rPr>
        <w:softHyphen/>
        <w:t>щади вновь строящегося завода № 286.</w:t>
      </w:r>
    </w:p>
    <w:p w14:paraId="17F50B02" w14:textId="77777777" w:rsidR="001F6AEC" w:rsidRPr="00640820" w:rsidRDefault="001F6AEC"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Эвакуацию произвести в полуторамесячный срок в две оче</w:t>
      </w:r>
      <w:r w:rsidRPr="00640820">
        <w:rPr>
          <w:rFonts w:ascii="Times New Roman" w:eastAsia="Times New Roman" w:hAnsi="Times New Roman"/>
          <w:color w:val="000000" w:themeColor="text1"/>
          <w:sz w:val="16"/>
          <w:szCs w:val="16"/>
        </w:rPr>
        <w:softHyphen/>
        <w:t>реди.</w:t>
      </w:r>
    </w:p>
    <w:p w14:paraId="2EB403A0" w14:textId="77777777" w:rsidR="001F6AEC" w:rsidRPr="00640820" w:rsidRDefault="001F6AEC"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р) Завод № 219 - эвакуировать оборудование на площади литейных цехов заводов № 384 в г.Уфе, № 27 в г.Казани и № 122 и 337 - г.Куйбышев.</w:t>
      </w:r>
    </w:p>
    <w:p w14:paraId="4AFBD7EF" w14:textId="77777777" w:rsidR="001F6AEC" w:rsidRPr="00640820" w:rsidRDefault="001F6AEC"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Эвакуацию произвести в 20-дневный срок.</w:t>
      </w:r>
    </w:p>
    <w:p w14:paraId="3A97B840" w14:textId="77777777" w:rsidR="001F6AEC" w:rsidRPr="00640820" w:rsidRDefault="001F6AEC"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с) Завод № 28 в г.Павлов на Оке на площади завода № 467 в две очереди.</w:t>
      </w:r>
    </w:p>
    <w:p w14:paraId="69845394" w14:textId="77777777" w:rsidR="001F6AEC" w:rsidRPr="00640820" w:rsidRDefault="001F6AEC"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Эвакуацию произвести в течение месячного срока.</w:t>
      </w:r>
    </w:p>
    <w:p w14:paraId="148736ED" w14:textId="77777777" w:rsidR="001F6AEC" w:rsidRPr="00640820" w:rsidRDefault="001F6AEC" w:rsidP="00640820">
      <w:pPr>
        <w:tabs>
          <w:tab w:val="left" w:pos="993"/>
        </w:tabs>
        <w:spacing w:after="0" w:line="240" w:lineRule="auto"/>
        <w:jc w:val="both"/>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2. Обявать тов.Шахурина выделить ив Новосибирского за</w:t>
      </w:r>
      <w:r w:rsidRPr="00640820">
        <w:rPr>
          <w:rFonts w:ascii="Times New Roman" w:eastAsia="Times New Roman" w:hAnsi="Times New Roman"/>
          <w:color w:val="000000" w:themeColor="text1"/>
          <w:sz w:val="16"/>
          <w:szCs w:val="16"/>
        </w:rPr>
        <w:softHyphen/>
        <w:t>вода 250 металлорежущих станков для эавода № 126, доведя мощность завода № 126 по выпуску самолетов до 4-х самолетов в день к 1 января 1942г.</w:t>
      </w:r>
    </w:p>
    <w:p w14:paraId="2252D3A1" w14:textId="77777777" w:rsidR="001F6AEC" w:rsidRPr="00640820" w:rsidRDefault="001F6AEC" w:rsidP="00640820">
      <w:pPr>
        <w:tabs>
          <w:tab w:val="left" w:pos="985"/>
        </w:tabs>
        <w:spacing w:after="0" w:line="240" w:lineRule="auto"/>
        <w:jc w:val="both"/>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lastRenderedPageBreak/>
        <w:t>3. Установить следующую последовательность эвакуации имущества и оборудования эавода: в первую очередь эвакуи</w:t>
      </w:r>
      <w:r w:rsidRPr="00640820">
        <w:rPr>
          <w:rFonts w:ascii="Times New Roman" w:eastAsia="Times New Roman" w:hAnsi="Times New Roman"/>
          <w:color w:val="000000" w:themeColor="text1"/>
          <w:sz w:val="16"/>
          <w:szCs w:val="16"/>
        </w:rPr>
        <w:softHyphen/>
        <w:t>руется вся техническая документация (чертежи иэделий. при</w:t>
      </w:r>
      <w:r w:rsidRPr="00640820">
        <w:rPr>
          <w:rFonts w:ascii="Times New Roman" w:eastAsia="Times New Roman" w:hAnsi="Times New Roman"/>
          <w:color w:val="000000" w:themeColor="text1"/>
          <w:sz w:val="16"/>
          <w:szCs w:val="16"/>
        </w:rPr>
        <w:softHyphen/>
        <w:t>способлений, инструмента и технологического процесса), эапасный инструмент, уникальные особо ценные станки и агрегаты и кузнечно-прессовое оборудование.</w:t>
      </w:r>
    </w:p>
    <w:p w14:paraId="5E8D7D6F" w14:textId="77777777" w:rsidR="001F6AEC" w:rsidRPr="00640820" w:rsidRDefault="001F6AEC"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Во вторую очередь - металлорежущие станки, электрообо</w:t>
      </w:r>
      <w:r w:rsidRPr="00640820">
        <w:rPr>
          <w:rFonts w:ascii="Times New Roman" w:eastAsia="Times New Roman" w:hAnsi="Times New Roman"/>
          <w:color w:val="000000" w:themeColor="text1"/>
          <w:sz w:val="16"/>
          <w:szCs w:val="16"/>
        </w:rPr>
        <w:softHyphen/>
        <w:t>рудование, компрессоры, насосы, отопительные агрегаты, электро монтажное имущество,материалы, металлы и специальный инвен</w:t>
      </w:r>
      <w:r w:rsidRPr="00640820">
        <w:rPr>
          <w:rFonts w:ascii="Times New Roman" w:eastAsia="Times New Roman" w:hAnsi="Times New Roman"/>
          <w:color w:val="000000" w:themeColor="text1"/>
          <w:sz w:val="16"/>
          <w:szCs w:val="16"/>
        </w:rPr>
        <w:softHyphen/>
        <w:t>тарь.</w:t>
      </w:r>
    </w:p>
    <w:p w14:paraId="75120322" w14:textId="77777777" w:rsidR="001F6AEC" w:rsidRPr="00640820" w:rsidRDefault="001F6AEC"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В третью очередь - сборочные цехи и остающуюся часть электрооборудования, а также спец.инвентарь.</w:t>
      </w:r>
    </w:p>
    <w:p w14:paraId="4F0F1A33" w14:textId="77777777" w:rsidR="001F6AEC" w:rsidRPr="00640820" w:rsidRDefault="001F6AEC"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4.Обяэать Наркомавиапром тов.Шахурина до начала эвакуа</w:t>
      </w:r>
      <w:r w:rsidRPr="00640820">
        <w:rPr>
          <w:rFonts w:ascii="Times New Roman" w:eastAsia="Times New Roman" w:hAnsi="Times New Roman"/>
          <w:color w:val="000000" w:themeColor="text1"/>
          <w:sz w:val="16"/>
          <w:szCs w:val="16"/>
        </w:rPr>
        <w:softHyphen/>
        <w:t>ции заводов обеспечить отправку в новые пункты назначения эвакуируемых заводов бригады монтажников, технологов и кон</w:t>
      </w:r>
      <w:r w:rsidRPr="00640820">
        <w:rPr>
          <w:rFonts w:ascii="Times New Roman" w:eastAsia="Times New Roman" w:hAnsi="Times New Roman"/>
          <w:color w:val="000000" w:themeColor="text1"/>
          <w:sz w:val="16"/>
          <w:szCs w:val="16"/>
        </w:rPr>
        <w:softHyphen/>
        <w:t>структоров для подготовки планировок монтажа оборудования и обеспечения ускоренного его пуска.</w:t>
      </w:r>
    </w:p>
    <w:p w14:paraId="116CF145" w14:textId="77777777" w:rsidR="001F6AEC" w:rsidRPr="00640820" w:rsidRDefault="001F6AEC" w:rsidP="00640820">
      <w:pPr>
        <w:tabs>
          <w:tab w:val="left" w:pos="1000"/>
        </w:tabs>
        <w:spacing w:after="0" w:line="240" w:lineRule="auto"/>
        <w:jc w:val="both"/>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5. Обязать НКПС - тов.Кагановича:</w:t>
      </w:r>
    </w:p>
    <w:p w14:paraId="1B709645" w14:textId="77777777" w:rsidR="001F6AEC" w:rsidRPr="00640820" w:rsidRDefault="001F6AEC" w:rsidP="00640820">
      <w:pPr>
        <w:tabs>
          <w:tab w:val="left" w:pos="1000"/>
        </w:tabs>
        <w:spacing w:after="0" w:line="240" w:lineRule="auto"/>
        <w:jc w:val="both"/>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а) выделить заводам и трестам Наркомавиапрома, указан</w:t>
      </w:r>
      <w:r w:rsidRPr="00640820">
        <w:rPr>
          <w:rFonts w:ascii="Times New Roman" w:eastAsia="Times New Roman" w:hAnsi="Times New Roman"/>
          <w:color w:val="000000" w:themeColor="text1"/>
          <w:sz w:val="16"/>
          <w:szCs w:val="16"/>
        </w:rPr>
        <w:softHyphen/>
        <w:t>ным в приложениях № 1 и № 2, 27160 вагонов для перевозки эвакуируемого имущества, оборудования, материалов и людского состава с ежесуточной подачей вагонов по заводам согласно приложению;</w:t>
      </w:r>
    </w:p>
    <w:p w14:paraId="4941A35E" w14:textId="77777777" w:rsidR="001F6AEC" w:rsidRPr="00640820" w:rsidRDefault="001F6AEC" w:rsidP="00640820">
      <w:pPr>
        <w:tabs>
          <w:tab w:val="left" w:pos="993"/>
        </w:tabs>
        <w:spacing w:after="0" w:line="240" w:lineRule="auto"/>
        <w:jc w:val="both"/>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б) обеспечить немедленную отправку эшелонов с эвакуируе</w:t>
      </w:r>
      <w:r w:rsidRPr="00640820">
        <w:rPr>
          <w:rFonts w:ascii="Times New Roman" w:eastAsia="Times New Roman" w:hAnsi="Times New Roman"/>
          <w:color w:val="000000" w:themeColor="text1"/>
          <w:sz w:val="16"/>
          <w:szCs w:val="16"/>
        </w:rPr>
        <w:softHyphen/>
        <w:t>мым оборудованием заводов ШШ1 и ускоренное их продвижение до места назначения, установив для этого специальное диспет</w:t>
      </w:r>
      <w:r w:rsidRPr="00640820">
        <w:rPr>
          <w:rFonts w:ascii="Times New Roman" w:eastAsia="Times New Roman" w:hAnsi="Times New Roman"/>
          <w:color w:val="000000" w:themeColor="text1"/>
          <w:sz w:val="16"/>
          <w:szCs w:val="16"/>
        </w:rPr>
        <w:softHyphen/>
        <w:t>черское наблюдение.</w:t>
      </w:r>
    </w:p>
    <w:p w14:paraId="76251FDE" w14:textId="77777777" w:rsidR="001F6AEC" w:rsidRPr="00640820" w:rsidRDefault="001F6AEC"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Особо ускоренное продвижение эшелонов должно быть обе</w:t>
      </w:r>
      <w:r w:rsidRPr="00640820">
        <w:rPr>
          <w:rFonts w:ascii="Times New Roman" w:eastAsia="Times New Roman" w:hAnsi="Times New Roman"/>
          <w:color w:val="000000" w:themeColor="text1"/>
          <w:sz w:val="16"/>
          <w:szCs w:val="16"/>
        </w:rPr>
        <w:softHyphen/>
        <w:t>спечено заводов №№ 1, 22, 24, 31, 16, 95 и 150.</w:t>
      </w:r>
    </w:p>
    <w:p w14:paraId="094475DF" w14:textId="77777777" w:rsidR="001F6AEC" w:rsidRPr="00640820" w:rsidRDefault="001F6AEC" w:rsidP="00640820">
      <w:pPr>
        <w:tabs>
          <w:tab w:val="left" w:pos="985"/>
        </w:tabs>
        <w:spacing w:after="0" w:line="240" w:lineRule="auto"/>
        <w:jc w:val="both"/>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6. Утвердить в качестве ответственных за демонтаж, погрузку и отправку эшелонов с эвакуируемыми заводами ди</w:t>
      </w:r>
      <w:r w:rsidRPr="00640820">
        <w:rPr>
          <w:rFonts w:ascii="Times New Roman" w:eastAsia="Times New Roman" w:hAnsi="Times New Roman"/>
          <w:color w:val="000000" w:themeColor="text1"/>
          <w:sz w:val="16"/>
          <w:szCs w:val="16"/>
        </w:rPr>
        <w:softHyphen/>
        <w:t>ректоров этих заводов, а ва прием, разгрузку и монтаж - глав</w:t>
      </w:r>
      <w:r w:rsidRPr="00640820">
        <w:rPr>
          <w:rFonts w:ascii="Times New Roman" w:eastAsia="Times New Roman" w:hAnsi="Times New Roman"/>
          <w:color w:val="000000" w:themeColor="text1"/>
          <w:sz w:val="16"/>
          <w:szCs w:val="16"/>
        </w:rPr>
        <w:softHyphen/>
        <w:t>ных инженеров этих заводов, осязав Наркомавиапром (тов.Шаху</w:t>
      </w:r>
      <w:r w:rsidRPr="00640820">
        <w:rPr>
          <w:rFonts w:ascii="Times New Roman" w:eastAsia="Times New Roman" w:hAnsi="Times New Roman"/>
          <w:color w:val="000000" w:themeColor="text1"/>
          <w:sz w:val="16"/>
          <w:szCs w:val="16"/>
        </w:rPr>
        <w:softHyphen/>
        <w:t>рина) кроме этого выделить ответственных уполномоченных по наиболее важным заводам из работников наркомата (заместите</w:t>
      </w:r>
      <w:r w:rsidRPr="00640820">
        <w:rPr>
          <w:rFonts w:ascii="Times New Roman" w:eastAsia="Times New Roman" w:hAnsi="Times New Roman"/>
          <w:color w:val="000000" w:themeColor="text1"/>
          <w:sz w:val="16"/>
          <w:szCs w:val="16"/>
        </w:rPr>
        <w:softHyphen/>
        <w:t>лей наркома, членов Коллегии и начальников Главных Управле</w:t>
      </w:r>
      <w:r w:rsidRPr="00640820">
        <w:rPr>
          <w:rFonts w:ascii="Times New Roman" w:eastAsia="Times New Roman" w:hAnsi="Times New Roman"/>
          <w:color w:val="000000" w:themeColor="text1"/>
          <w:sz w:val="16"/>
          <w:szCs w:val="16"/>
        </w:rPr>
        <w:softHyphen/>
        <w:t>ний).</w:t>
      </w:r>
    </w:p>
    <w:p w14:paraId="226AA6FB" w14:textId="77777777" w:rsidR="001F6AEC" w:rsidRPr="00640820" w:rsidRDefault="001F6AEC" w:rsidP="00640820">
      <w:pPr>
        <w:tabs>
          <w:tab w:val="left" w:pos="978"/>
        </w:tabs>
        <w:spacing w:after="0" w:line="240" w:lineRule="auto"/>
        <w:jc w:val="both"/>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7. Установить, что переброска всех рабочих, ИТР и служащих эвакуируемых предприятий является обязательной в порядке мобилизации.</w:t>
      </w:r>
    </w:p>
    <w:p w14:paraId="7094C326" w14:textId="77777777" w:rsidR="001F6AEC" w:rsidRPr="00640820" w:rsidRDefault="001F6AEC" w:rsidP="00640820">
      <w:pPr>
        <w:tabs>
          <w:tab w:val="left" w:pos="993"/>
        </w:tabs>
        <w:spacing w:after="0" w:line="240" w:lineRule="auto"/>
        <w:jc w:val="both"/>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8. Обязать секретарей ЦК КП(б): Узбекистана - тов.Юсу</w:t>
      </w:r>
      <w:r w:rsidRPr="00640820">
        <w:rPr>
          <w:rFonts w:ascii="Times New Roman" w:eastAsia="Times New Roman" w:hAnsi="Times New Roman"/>
          <w:color w:val="000000" w:themeColor="text1"/>
          <w:sz w:val="16"/>
          <w:szCs w:val="16"/>
        </w:rPr>
        <w:softHyphen/>
        <w:t>пова, Грузии - тов.Чарквиани, Азербайджана - т.Багирова и секретарей областных комитетов ВКП(б): Куйбышевской - тов.Канунникова, Кировской - тов.Лукьянова, Горьковской - тов.Родионова, Йолотовской - тов.Гусарова, Саратовской - тов.Власова, Новосибирской - тов.Кулагина, Челябинской - тов.Сапрыкина, Свердловской - тов.Андрианова. Чкаловской - тов.Дубровского, Пензенской - тов.Кабанова, Омской - тов.Ку</w:t>
      </w:r>
      <w:r w:rsidRPr="00640820">
        <w:rPr>
          <w:rFonts w:ascii="Times New Roman" w:eastAsia="Gungsuh" w:hAnsi="Times New Roman"/>
          <w:color w:val="000000" w:themeColor="text1"/>
          <w:sz w:val="16"/>
          <w:szCs w:val="16"/>
        </w:rPr>
        <w:t>динова, Башкирской - тов.Аношина, Татарской - тов.Алемасова, Алтайского крайкома - тов.Лобкова - под их личную ответствен</w:t>
      </w:r>
      <w:r w:rsidRPr="00640820">
        <w:rPr>
          <w:rFonts w:ascii="Times New Roman" w:eastAsia="Gungsuh" w:hAnsi="Times New Roman"/>
          <w:color w:val="000000" w:themeColor="text1"/>
          <w:sz w:val="16"/>
          <w:szCs w:val="16"/>
        </w:rPr>
        <w:softHyphen/>
        <w:t>ность обеспечить размещение рабочих, ИТР и служащих с их семья ми эвакуируемых заводов, за счет уплотнения местных жителей, занятия клубов, театров и др. общественных организаций, сокра</w:t>
      </w:r>
      <w:r w:rsidRPr="00640820">
        <w:rPr>
          <w:rFonts w:ascii="Times New Roman" w:eastAsia="Gungsuh" w:hAnsi="Times New Roman"/>
          <w:color w:val="000000" w:themeColor="text1"/>
          <w:sz w:val="16"/>
          <w:szCs w:val="16"/>
        </w:rPr>
        <w:softHyphen/>
        <w:t>щения площадей учреждений и в случае необходимости переселения из городов в районы местных жителей.</w:t>
      </w:r>
    </w:p>
    <w:p w14:paraId="160F6C16" w14:textId="77777777" w:rsidR="001F6AEC" w:rsidRPr="00640820" w:rsidRDefault="001F6AEC"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Gungsuh" w:hAnsi="Times New Roman"/>
          <w:color w:val="000000" w:themeColor="text1"/>
          <w:sz w:val="16"/>
          <w:szCs w:val="16"/>
        </w:rPr>
        <w:t>9. Обязать Татарский обком ВКП(б) до 1 ноября 1941 года предоставить заводам Наркомавиапрома дополнительно 30 тыс.кв. метров килой площади в г.Казани за счет переселения местных жителей в районы.</w:t>
      </w:r>
    </w:p>
    <w:p w14:paraId="68B25564" w14:textId="77777777" w:rsidR="001F6AEC" w:rsidRPr="00640820" w:rsidRDefault="001F6AEC" w:rsidP="00640820">
      <w:pPr>
        <w:tabs>
          <w:tab w:val="left" w:pos="1745"/>
        </w:tabs>
        <w:spacing w:after="0" w:line="240" w:lineRule="auto"/>
        <w:jc w:val="both"/>
        <w:rPr>
          <w:rFonts w:ascii="Times New Roman" w:eastAsia="Gungsuh" w:hAnsi="Times New Roman"/>
          <w:color w:val="000000" w:themeColor="text1"/>
          <w:sz w:val="16"/>
          <w:szCs w:val="16"/>
        </w:rPr>
      </w:pPr>
      <w:r w:rsidRPr="00640820">
        <w:rPr>
          <w:rFonts w:ascii="Times New Roman" w:eastAsia="Gungsuh" w:hAnsi="Times New Roman"/>
          <w:color w:val="000000" w:themeColor="text1"/>
          <w:sz w:val="16"/>
          <w:szCs w:val="16"/>
        </w:rPr>
        <w:t>10. Обязать НКВД тов.Завенягина и начальника строительства р Куйбышевских заводов НКВД тов.Лепилова:</w:t>
      </w:r>
    </w:p>
    <w:p w14:paraId="1C82CF85" w14:textId="77777777" w:rsidR="001F6AEC" w:rsidRPr="00640820" w:rsidRDefault="001F6AEC"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Gungsuh" w:hAnsi="Times New Roman"/>
          <w:color w:val="000000" w:themeColor="text1"/>
          <w:sz w:val="16"/>
          <w:szCs w:val="16"/>
        </w:rPr>
        <w:t>а) немедленно развернуть барачное строительство двух го</w:t>
      </w:r>
      <w:r w:rsidRPr="00640820">
        <w:rPr>
          <w:rFonts w:ascii="Times New Roman" w:eastAsia="Gungsuh" w:hAnsi="Times New Roman"/>
          <w:color w:val="000000" w:themeColor="text1"/>
          <w:sz w:val="16"/>
          <w:szCs w:val="16"/>
        </w:rPr>
        <w:softHyphen/>
        <w:t>родков на 7 тыс.человек каждый, ведя строительство бараков по упрощенным проектам;</w:t>
      </w:r>
    </w:p>
    <w:p w14:paraId="615FF443" w14:textId="77777777" w:rsidR="001F6AEC" w:rsidRPr="00640820" w:rsidRDefault="001F6AEC" w:rsidP="00640820">
      <w:pPr>
        <w:tabs>
          <w:tab w:val="left" w:pos="1400"/>
        </w:tabs>
        <w:spacing w:after="0" w:line="240" w:lineRule="auto"/>
        <w:jc w:val="both"/>
        <w:rPr>
          <w:rFonts w:ascii="Times New Roman" w:eastAsia="Times New Roman" w:hAnsi="Times New Roman"/>
          <w:color w:val="000000" w:themeColor="text1"/>
          <w:sz w:val="16"/>
          <w:szCs w:val="16"/>
        </w:rPr>
      </w:pPr>
      <w:r w:rsidRPr="00640820">
        <w:rPr>
          <w:rFonts w:ascii="Times New Roman" w:eastAsia="Gungsuh" w:hAnsi="Times New Roman"/>
          <w:color w:val="000000" w:themeColor="text1"/>
          <w:sz w:val="16"/>
          <w:szCs w:val="16"/>
        </w:rPr>
        <w:t>б) закончить строительство жилых домов в кварталах №№ 707, 709, 710 и 711 и сдать в эксплоатацию 40 тыс.кв.метров жил</w:t>
      </w:r>
      <w:r w:rsidRPr="00640820">
        <w:rPr>
          <w:rFonts w:ascii="Times New Roman" w:eastAsia="Gungsuh" w:hAnsi="Times New Roman"/>
          <w:color w:val="000000" w:themeColor="text1"/>
          <w:sz w:val="16"/>
          <w:szCs w:val="16"/>
        </w:rPr>
        <w:softHyphen/>
        <w:t>площади к 25 октября и 10 тыс.кв.метров - к 1 декабря 1941 г.;</w:t>
      </w:r>
    </w:p>
    <w:p w14:paraId="392A8B1A" w14:textId="77777777" w:rsidR="001F6AEC" w:rsidRPr="00640820" w:rsidRDefault="001F6AEC" w:rsidP="00640820">
      <w:pPr>
        <w:tabs>
          <w:tab w:val="left" w:pos="1780"/>
        </w:tabs>
        <w:spacing w:after="0" w:line="240" w:lineRule="auto"/>
        <w:jc w:val="both"/>
        <w:rPr>
          <w:rFonts w:ascii="Times New Roman" w:eastAsia="Times New Roman" w:hAnsi="Times New Roman"/>
          <w:color w:val="000000" w:themeColor="text1"/>
          <w:sz w:val="16"/>
          <w:szCs w:val="16"/>
        </w:rPr>
      </w:pPr>
      <w:r w:rsidRPr="00640820">
        <w:rPr>
          <w:rFonts w:ascii="Times New Roman" w:eastAsia="Gungsuh" w:hAnsi="Times New Roman"/>
          <w:color w:val="000000" w:themeColor="text1"/>
          <w:sz w:val="16"/>
          <w:szCs w:val="16"/>
        </w:rPr>
        <w:t>в) построить деревянные дома облегченной конструкции пло</w:t>
      </w:r>
      <w:r w:rsidRPr="00640820">
        <w:rPr>
          <w:rFonts w:ascii="Times New Roman" w:eastAsia="Gungsuh" w:hAnsi="Times New Roman"/>
          <w:color w:val="000000" w:themeColor="text1"/>
          <w:sz w:val="16"/>
          <w:szCs w:val="16"/>
        </w:rPr>
        <w:softHyphen/>
        <w:t>щадь» 40 тыс.кв.метров к 10 ноября с.г. и 40 тыс. кв.метров к 1 января 1942 года;*</w:t>
      </w:r>
    </w:p>
    <w:p w14:paraId="30273957" w14:textId="77777777" w:rsidR="001F6AEC" w:rsidRPr="00640820" w:rsidRDefault="001F6AEC" w:rsidP="00640820">
      <w:pPr>
        <w:tabs>
          <w:tab w:val="left" w:pos="1773"/>
        </w:tabs>
        <w:spacing w:after="0" w:line="240" w:lineRule="auto"/>
        <w:jc w:val="both"/>
        <w:rPr>
          <w:rFonts w:ascii="Times New Roman" w:eastAsia="Times New Roman" w:hAnsi="Times New Roman"/>
          <w:color w:val="000000" w:themeColor="text1"/>
          <w:sz w:val="16"/>
          <w:szCs w:val="16"/>
        </w:rPr>
      </w:pPr>
      <w:r w:rsidRPr="00640820">
        <w:rPr>
          <w:rFonts w:ascii="Times New Roman" w:eastAsia="Gungsuh" w:hAnsi="Times New Roman"/>
          <w:color w:val="000000" w:themeColor="text1"/>
          <w:sz w:val="16"/>
          <w:szCs w:val="16"/>
        </w:rPr>
        <w:t>г) передать заводам НКАП к 15 октября 1941 года не менее 30 тыс.кв.метров жилой площади за счет лагерных бараков.</w:t>
      </w:r>
    </w:p>
    <w:p w14:paraId="6BCF90B9" w14:textId="77777777" w:rsidR="001F6AEC" w:rsidRPr="00640820" w:rsidRDefault="001F6AEC" w:rsidP="00640820">
      <w:pPr>
        <w:tabs>
          <w:tab w:val="left" w:pos="1780"/>
        </w:tabs>
        <w:spacing w:after="0" w:line="240" w:lineRule="auto"/>
        <w:jc w:val="both"/>
        <w:rPr>
          <w:rFonts w:ascii="Times New Roman" w:eastAsia="Times New Roman" w:hAnsi="Times New Roman"/>
          <w:color w:val="000000" w:themeColor="text1"/>
          <w:sz w:val="16"/>
          <w:szCs w:val="16"/>
        </w:rPr>
      </w:pPr>
      <w:r w:rsidRPr="00640820">
        <w:rPr>
          <w:rFonts w:ascii="Times New Roman" w:eastAsia="Gungsuh" w:hAnsi="Times New Roman"/>
          <w:color w:val="000000" w:themeColor="text1"/>
          <w:sz w:val="16"/>
          <w:szCs w:val="16"/>
        </w:rPr>
        <w:t>11. Обязать Наркомтяжмаш тов.Казакова, в связи с эвакуа</w:t>
      </w:r>
      <w:r w:rsidRPr="00640820">
        <w:rPr>
          <w:rFonts w:ascii="Times New Roman" w:eastAsia="Gungsuh" w:hAnsi="Times New Roman"/>
          <w:color w:val="000000" w:themeColor="text1"/>
          <w:sz w:val="16"/>
          <w:szCs w:val="16"/>
        </w:rPr>
        <w:softHyphen/>
        <w:t>цией авиазаводов обеспечить кислородом потребность авиазаво</w:t>
      </w:r>
      <w:r w:rsidRPr="00640820">
        <w:rPr>
          <w:rFonts w:ascii="Times New Roman" w:eastAsia="Gungsuh" w:hAnsi="Times New Roman"/>
          <w:color w:val="000000" w:themeColor="text1"/>
          <w:sz w:val="16"/>
          <w:szCs w:val="16"/>
        </w:rPr>
        <w:softHyphen/>
        <w:t>дов в новых местах назначения за счет эвакуируемых установок с других городов, согласовав с Наркомавиапромом пункты монта</w:t>
      </w:r>
      <w:r w:rsidRPr="00640820">
        <w:rPr>
          <w:rFonts w:ascii="Times New Roman" w:eastAsia="Gungsuh" w:hAnsi="Times New Roman"/>
          <w:color w:val="000000" w:themeColor="text1"/>
          <w:sz w:val="16"/>
          <w:szCs w:val="16"/>
        </w:rPr>
        <w:softHyphen/>
        <w:t>жа кислородных установок.</w:t>
      </w:r>
    </w:p>
    <w:p w14:paraId="14F00C69" w14:textId="77777777" w:rsidR="001F6AEC" w:rsidRPr="00640820" w:rsidRDefault="001F6AEC" w:rsidP="00640820">
      <w:pPr>
        <w:tabs>
          <w:tab w:val="left" w:pos="1773"/>
        </w:tabs>
        <w:spacing w:after="0" w:line="240" w:lineRule="auto"/>
        <w:jc w:val="both"/>
        <w:rPr>
          <w:rFonts w:ascii="Times New Roman" w:eastAsia="Times New Roman" w:hAnsi="Times New Roman"/>
          <w:color w:val="000000" w:themeColor="text1"/>
          <w:sz w:val="16"/>
          <w:szCs w:val="16"/>
        </w:rPr>
      </w:pPr>
      <w:r w:rsidRPr="00640820">
        <w:rPr>
          <w:rFonts w:ascii="Times New Roman" w:eastAsia="Gungsuh" w:hAnsi="Times New Roman"/>
          <w:color w:val="000000" w:themeColor="text1"/>
          <w:sz w:val="16"/>
          <w:szCs w:val="16"/>
        </w:rPr>
        <w:t>12. Обязать Наркомторг СССР (тов.Любимова) обеспечить снабжение продуктами питания всех рабочих и членов семей эвакуируемых заводов и трестов НКАП на время следования до новых пунктов назначения, а также организовать закрытую торговлю в пунктах нового назначения эвакуируемых заводов и трестов.</w:t>
      </w:r>
    </w:p>
    <w:p w14:paraId="5818CDB8" w14:textId="77777777" w:rsidR="001F6AEC" w:rsidRPr="00640820" w:rsidRDefault="001F6AEC" w:rsidP="00640820">
      <w:pPr>
        <w:tabs>
          <w:tab w:val="left" w:pos="1765"/>
        </w:tabs>
        <w:spacing w:after="0" w:line="240" w:lineRule="auto"/>
        <w:jc w:val="both"/>
        <w:rPr>
          <w:rFonts w:ascii="Times New Roman" w:eastAsia="Gungsuh" w:hAnsi="Times New Roman"/>
          <w:color w:val="000000" w:themeColor="text1"/>
          <w:sz w:val="16"/>
          <w:szCs w:val="16"/>
        </w:rPr>
      </w:pPr>
      <w:r w:rsidRPr="00640820">
        <w:rPr>
          <w:rFonts w:ascii="Times New Roman" w:eastAsia="Gungsuh" w:hAnsi="Times New Roman"/>
          <w:color w:val="000000" w:themeColor="text1"/>
          <w:sz w:val="16"/>
          <w:szCs w:val="16"/>
        </w:rPr>
        <w:t>13. Наркомавиапрому эвакуировать на новые места работы следующие строительные организации:</w:t>
      </w:r>
    </w:p>
    <w:p w14:paraId="4A98E0D0" w14:textId="77777777" w:rsidR="001F6AEC" w:rsidRPr="00640820" w:rsidRDefault="001F6AEC"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Gungsuh" w:hAnsi="Times New Roman"/>
          <w:color w:val="000000" w:themeColor="text1"/>
          <w:sz w:val="16"/>
          <w:szCs w:val="16"/>
        </w:rPr>
        <w:t>Трест № 11 из г.Рыбинска в г.Уфу, № 15 из г.Ростов н/Дону е г.Новосибирск, № 20 из г.Воронежа в г.Казань.</w:t>
      </w:r>
    </w:p>
    <w:p w14:paraId="65F564A6" w14:textId="77777777" w:rsidR="001F6AEC" w:rsidRPr="00640820" w:rsidRDefault="001F6AEC"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Gungsuh" w:hAnsi="Times New Roman"/>
          <w:color w:val="000000" w:themeColor="text1"/>
          <w:sz w:val="16"/>
          <w:szCs w:val="16"/>
        </w:rPr>
        <w:t>Филиал треста N 30 из г.Москвы в г.Каменск Челябинской 4 области, Трест № 31 ив г.Москвы в г.Ташкент, Филиал треста № 18 из г.Раменского в г.Болотов.</w:t>
      </w:r>
    </w:p>
    <w:p w14:paraId="12233363" w14:textId="77777777" w:rsidR="001F6AEC" w:rsidRPr="00640820" w:rsidRDefault="001F6AEC" w:rsidP="00640820">
      <w:pPr>
        <w:tabs>
          <w:tab w:val="left" w:pos="1780"/>
        </w:tabs>
        <w:spacing w:after="0" w:line="240" w:lineRule="auto"/>
        <w:jc w:val="both"/>
        <w:rPr>
          <w:rFonts w:ascii="Times New Roman" w:eastAsia="Gungsuh" w:hAnsi="Times New Roman"/>
          <w:color w:val="000000" w:themeColor="text1"/>
          <w:sz w:val="16"/>
          <w:szCs w:val="16"/>
        </w:rPr>
      </w:pPr>
      <w:r w:rsidRPr="00640820">
        <w:rPr>
          <w:rFonts w:ascii="Times New Roman" w:eastAsia="Gungsuh" w:hAnsi="Times New Roman"/>
          <w:color w:val="000000" w:themeColor="text1"/>
          <w:sz w:val="16"/>
          <w:szCs w:val="16"/>
        </w:rPr>
        <w:t>14. Обязать НКО т.Щаденко и т.Хрулева сформировать не позже 15 октября 1941 года для строительных трестов и строек Наркомавиапрома 55 строительных батальонов, в</w:t>
      </w:r>
      <w:r w:rsidRPr="00640820">
        <w:rPr>
          <w:rFonts w:ascii="Times New Roman" w:eastAsia="Gungsuh" w:hAnsi="Times New Roman"/>
          <w:smallCaps/>
          <w:color w:val="000000" w:themeColor="text1"/>
          <w:sz w:val="16"/>
          <w:szCs w:val="16"/>
        </w:rPr>
        <w:t xml:space="preserve"> </w:t>
      </w:r>
      <w:r w:rsidRPr="00640820">
        <w:rPr>
          <w:rFonts w:ascii="Times New Roman" w:eastAsia="Gungsuh" w:hAnsi="Times New Roman"/>
          <w:color w:val="000000" w:themeColor="text1"/>
          <w:sz w:val="16"/>
          <w:szCs w:val="16"/>
        </w:rPr>
        <w:t>том числе:</w:t>
      </w:r>
    </w:p>
    <w:p w14:paraId="6B7712D6" w14:textId="77777777" w:rsidR="001F6AEC" w:rsidRPr="00640820" w:rsidRDefault="001F6AEC" w:rsidP="00640820">
      <w:pPr>
        <w:tabs>
          <w:tab w:val="left" w:pos="5558"/>
        </w:tabs>
        <w:spacing w:after="0" w:line="240" w:lineRule="auto"/>
        <w:jc w:val="both"/>
        <w:rPr>
          <w:rFonts w:ascii="Times New Roman" w:eastAsia="Times New Roman" w:hAnsi="Times New Roman"/>
          <w:color w:val="000000" w:themeColor="text1"/>
          <w:sz w:val="16"/>
          <w:szCs w:val="16"/>
        </w:rPr>
      </w:pPr>
      <w:r w:rsidRPr="00640820">
        <w:rPr>
          <w:rFonts w:ascii="Times New Roman" w:eastAsia="Gungsuh" w:hAnsi="Times New Roman"/>
          <w:color w:val="000000" w:themeColor="text1"/>
          <w:sz w:val="16"/>
          <w:szCs w:val="16"/>
        </w:rPr>
        <w:t>Для треста № 2 в г.Омске - 3 батальона</w:t>
      </w:r>
    </w:p>
    <w:p w14:paraId="521A8C95" w14:textId="77777777" w:rsidR="001F6AEC" w:rsidRPr="00640820" w:rsidRDefault="001F6AEC" w:rsidP="00640820">
      <w:pPr>
        <w:tabs>
          <w:tab w:val="left" w:pos="5550"/>
        </w:tabs>
        <w:spacing w:after="0" w:line="240" w:lineRule="auto"/>
        <w:jc w:val="both"/>
        <w:rPr>
          <w:rFonts w:ascii="Times New Roman" w:eastAsia="Times New Roman" w:hAnsi="Times New Roman"/>
          <w:color w:val="000000" w:themeColor="text1"/>
          <w:sz w:val="16"/>
          <w:szCs w:val="16"/>
        </w:rPr>
      </w:pPr>
      <w:r w:rsidRPr="00640820">
        <w:rPr>
          <w:rFonts w:ascii="Times New Roman" w:eastAsia="Gungsuh" w:hAnsi="Times New Roman"/>
          <w:color w:val="000000" w:themeColor="text1"/>
          <w:sz w:val="16"/>
          <w:szCs w:val="16"/>
        </w:rPr>
        <w:t>№ 3 в г.Уфе - 5</w:t>
      </w:r>
    </w:p>
    <w:p w14:paraId="5F901F3F" w14:textId="77777777" w:rsidR="001F6AEC" w:rsidRPr="00640820" w:rsidRDefault="001F6AEC"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Gungsuh" w:hAnsi="Times New Roman"/>
          <w:color w:val="000000" w:themeColor="text1"/>
          <w:sz w:val="16"/>
          <w:szCs w:val="16"/>
        </w:rPr>
        <w:t>" " № 4 в г.Нижнем Тагиле - 4 "</w:t>
      </w:r>
    </w:p>
    <w:p w14:paraId="370B9C0A" w14:textId="77777777" w:rsidR="00A973B1" w:rsidRPr="00640820" w:rsidRDefault="00A973B1" w:rsidP="00640820">
      <w:pPr>
        <w:tabs>
          <w:tab w:val="left" w:pos="2950"/>
          <w:tab w:val="left" w:pos="5350"/>
        </w:tabs>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Для треста № 12 в</w:t>
      </w:r>
      <w:r w:rsidR="001F6AEC" w:rsidRPr="00640820">
        <w:rPr>
          <w:rFonts w:ascii="Times New Roman" w:eastAsia="SimHei" w:hAnsi="Times New Roman"/>
          <w:color w:val="000000" w:themeColor="text1"/>
          <w:sz w:val="16"/>
          <w:szCs w:val="16"/>
        </w:rPr>
        <w:t xml:space="preserve"> </w:t>
      </w:r>
      <w:r w:rsidRPr="00640820">
        <w:rPr>
          <w:rFonts w:ascii="Times New Roman" w:eastAsia="SimHei" w:hAnsi="Times New Roman"/>
          <w:color w:val="000000" w:themeColor="text1"/>
          <w:sz w:val="16"/>
          <w:szCs w:val="16"/>
        </w:rPr>
        <w:t>г.Молотове</w:t>
      </w:r>
      <w:r w:rsidR="001F6AEC" w:rsidRPr="00640820">
        <w:rPr>
          <w:rFonts w:ascii="Times New Roman" w:eastAsia="SimHei" w:hAnsi="Times New Roman"/>
          <w:color w:val="000000" w:themeColor="text1"/>
          <w:sz w:val="16"/>
          <w:szCs w:val="16"/>
        </w:rPr>
        <w:t xml:space="preserve"> </w:t>
      </w:r>
      <w:r w:rsidRPr="00640820">
        <w:rPr>
          <w:rFonts w:ascii="Times New Roman" w:eastAsia="SimHei" w:hAnsi="Times New Roman"/>
          <w:color w:val="000000" w:themeColor="text1"/>
          <w:sz w:val="16"/>
          <w:szCs w:val="16"/>
        </w:rPr>
        <w:t>- 8 батальонов</w:t>
      </w:r>
    </w:p>
    <w:p w14:paraId="536DF18A" w14:textId="77777777" w:rsidR="00A973B1" w:rsidRPr="00640820" w:rsidRDefault="00A973B1" w:rsidP="00640820">
      <w:pPr>
        <w:tabs>
          <w:tab w:val="left" w:pos="2868"/>
          <w:tab w:val="right" w:pos="5598"/>
        </w:tabs>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 xml:space="preserve">" </w:t>
      </w:r>
      <w:r w:rsidR="001F6AEC" w:rsidRPr="00640820">
        <w:rPr>
          <w:rFonts w:ascii="Times New Roman" w:eastAsia="SimHei" w:hAnsi="Times New Roman"/>
          <w:color w:val="000000" w:themeColor="text1"/>
          <w:sz w:val="16"/>
          <w:szCs w:val="16"/>
        </w:rPr>
        <w:t>№</w:t>
      </w:r>
      <w:r w:rsidRPr="00640820">
        <w:rPr>
          <w:rFonts w:ascii="Times New Roman" w:eastAsia="SimHei" w:hAnsi="Times New Roman"/>
          <w:color w:val="000000" w:themeColor="text1"/>
          <w:sz w:val="16"/>
          <w:szCs w:val="16"/>
        </w:rPr>
        <w:t xml:space="preserve"> 14 в</w:t>
      </w:r>
      <w:r w:rsidR="001F6AEC" w:rsidRPr="00640820">
        <w:rPr>
          <w:rFonts w:ascii="Times New Roman" w:eastAsia="SimHei" w:hAnsi="Times New Roman"/>
          <w:color w:val="000000" w:themeColor="text1"/>
          <w:sz w:val="16"/>
          <w:szCs w:val="16"/>
        </w:rPr>
        <w:t xml:space="preserve"> </w:t>
      </w:r>
      <w:r w:rsidRPr="00640820">
        <w:rPr>
          <w:rFonts w:ascii="Times New Roman" w:eastAsia="SimHei" w:hAnsi="Times New Roman"/>
          <w:color w:val="000000" w:themeColor="text1"/>
          <w:sz w:val="16"/>
          <w:szCs w:val="16"/>
        </w:rPr>
        <w:t>г.Казани</w:t>
      </w:r>
      <w:r w:rsidR="001F6AEC" w:rsidRPr="00640820">
        <w:rPr>
          <w:rFonts w:ascii="Times New Roman" w:eastAsia="SimHei" w:hAnsi="Times New Roman"/>
          <w:color w:val="000000" w:themeColor="text1"/>
          <w:sz w:val="16"/>
          <w:szCs w:val="16"/>
        </w:rPr>
        <w:t xml:space="preserve"> </w:t>
      </w:r>
      <w:r w:rsidRPr="00640820">
        <w:rPr>
          <w:rFonts w:ascii="Times New Roman" w:eastAsia="SimHei" w:hAnsi="Times New Roman"/>
          <w:color w:val="000000" w:themeColor="text1"/>
          <w:sz w:val="16"/>
          <w:szCs w:val="16"/>
        </w:rPr>
        <w:t>- 8</w:t>
      </w:r>
    </w:p>
    <w:p w14:paraId="3BD82708" w14:textId="77777777" w:rsidR="00A973B1" w:rsidRPr="00640820" w:rsidRDefault="00A973B1" w:rsidP="00640820">
      <w:pPr>
        <w:tabs>
          <w:tab w:val="left" w:pos="2808"/>
          <w:tab w:val="left" w:pos="5215"/>
        </w:tabs>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 " № 7 в</w:t>
      </w:r>
      <w:r w:rsidR="001F6AEC" w:rsidRPr="00640820">
        <w:rPr>
          <w:rFonts w:ascii="Times New Roman" w:eastAsia="SimHei" w:hAnsi="Times New Roman"/>
          <w:color w:val="000000" w:themeColor="text1"/>
          <w:sz w:val="16"/>
          <w:szCs w:val="16"/>
        </w:rPr>
        <w:t xml:space="preserve"> </w:t>
      </w:r>
      <w:r w:rsidRPr="00640820">
        <w:rPr>
          <w:rFonts w:ascii="Times New Roman" w:eastAsia="SimHei" w:hAnsi="Times New Roman"/>
          <w:color w:val="000000" w:themeColor="text1"/>
          <w:sz w:val="16"/>
          <w:szCs w:val="16"/>
        </w:rPr>
        <w:t>г.Новосибирске</w:t>
      </w:r>
      <w:r w:rsidR="001F6AEC" w:rsidRPr="00640820">
        <w:rPr>
          <w:rFonts w:ascii="Times New Roman" w:eastAsia="SimHei" w:hAnsi="Times New Roman"/>
          <w:color w:val="000000" w:themeColor="text1"/>
          <w:sz w:val="16"/>
          <w:szCs w:val="16"/>
        </w:rPr>
        <w:t xml:space="preserve"> </w:t>
      </w:r>
      <w:r w:rsidRPr="00640820">
        <w:rPr>
          <w:rFonts w:ascii="Times New Roman" w:eastAsia="SimHei" w:hAnsi="Times New Roman"/>
          <w:color w:val="000000" w:themeColor="text1"/>
          <w:sz w:val="16"/>
          <w:szCs w:val="16"/>
        </w:rPr>
        <w:t>- 5</w:t>
      </w:r>
    </w:p>
    <w:p w14:paraId="6E5E26F5" w14:textId="77777777" w:rsidR="00A973B1" w:rsidRPr="00640820" w:rsidRDefault="00A973B1" w:rsidP="00640820">
      <w:pPr>
        <w:tabs>
          <w:tab w:val="left" w:pos="2800"/>
        </w:tabs>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 " № 30 в</w:t>
      </w:r>
      <w:r w:rsidR="001F6AEC" w:rsidRPr="00640820">
        <w:rPr>
          <w:rFonts w:ascii="Times New Roman" w:eastAsia="SimHei" w:hAnsi="Times New Roman"/>
          <w:color w:val="000000" w:themeColor="text1"/>
          <w:sz w:val="16"/>
          <w:szCs w:val="16"/>
        </w:rPr>
        <w:t xml:space="preserve"> </w:t>
      </w:r>
      <w:r w:rsidRPr="00640820">
        <w:rPr>
          <w:rFonts w:ascii="Times New Roman" w:eastAsia="SimHei" w:hAnsi="Times New Roman"/>
          <w:color w:val="000000" w:themeColor="text1"/>
          <w:sz w:val="16"/>
          <w:szCs w:val="16"/>
        </w:rPr>
        <w:t>г.Каменске,Челяб.обл.</w:t>
      </w:r>
      <w:r w:rsidR="001F6AEC" w:rsidRPr="00640820">
        <w:rPr>
          <w:rFonts w:ascii="Times New Roman" w:eastAsia="SimHei" w:hAnsi="Times New Roman"/>
          <w:color w:val="000000" w:themeColor="text1"/>
          <w:sz w:val="16"/>
          <w:szCs w:val="16"/>
        </w:rPr>
        <w:t xml:space="preserve"> -</w:t>
      </w:r>
      <w:r w:rsidRPr="00640820">
        <w:rPr>
          <w:rFonts w:ascii="Times New Roman" w:eastAsia="SimHei" w:hAnsi="Times New Roman"/>
          <w:color w:val="000000" w:themeColor="text1"/>
          <w:sz w:val="16"/>
          <w:szCs w:val="16"/>
        </w:rPr>
        <w:t xml:space="preserve"> 6</w:t>
      </w:r>
    </w:p>
    <w:p w14:paraId="2D098907" w14:textId="77777777" w:rsidR="00A973B1" w:rsidRPr="00640820" w:rsidRDefault="00A973B1" w:rsidP="00640820">
      <w:pPr>
        <w:tabs>
          <w:tab w:val="left" w:pos="2800"/>
          <w:tab w:val="left" w:pos="5208"/>
        </w:tabs>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 xml:space="preserve">" </w:t>
      </w:r>
      <w:r w:rsidRPr="00640820">
        <w:rPr>
          <w:rFonts w:ascii="Times New Roman" w:eastAsia="SimHei" w:hAnsi="Times New Roman"/>
          <w:color w:val="000000" w:themeColor="text1"/>
          <w:sz w:val="16"/>
          <w:szCs w:val="16"/>
          <w:vertAlign w:val="superscript"/>
        </w:rPr>
        <w:t>м</w:t>
      </w:r>
      <w:r w:rsidRPr="00640820">
        <w:rPr>
          <w:rFonts w:ascii="Times New Roman" w:eastAsia="SimHei" w:hAnsi="Times New Roman"/>
          <w:color w:val="000000" w:themeColor="text1"/>
          <w:sz w:val="16"/>
          <w:szCs w:val="16"/>
        </w:rPr>
        <w:t xml:space="preserve"> № 31 в</w:t>
      </w:r>
      <w:r w:rsidR="001F6AEC" w:rsidRPr="00640820">
        <w:rPr>
          <w:rFonts w:ascii="Times New Roman" w:eastAsia="SimHei" w:hAnsi="Times New Roman"/>
          <w:color w:val="000000" w:themeColor="text1"/>
          <w:sz w:val="16"/>
          <w:szCs w:val="16"/>
        </w:rPr>
        <w:t xml:space="preserve"> </w:t>
      </w:r>
      <w:r w:rsidRPr="00640820">
        <w:rPr>
          <w:rFonts w:ascii="Times New Roman" w:eastAsia="SimHei" w:hAnsi="Times New Roman"/>
          <w:color w:val="000000" w:themeColor="text1"/>
          <w:sz w:val="16"/>
          <w:szCs w:val="16"/>
        </w:rPr>
        <w:t>г.Ташкенте</w:t>
      </w:r>
      <w:r w:rsidR="001F6AEC" w:rsidRPr="00640820">
        <w:rPr>
          <w:rFonts w:ascii="Times New Roman" w:eastAsia="SimHei" w:hAnsi="Times New Roman"/>
          <w:color w:val="000000" w:themeColor="text1"/>
          <w:sz w:val="16"/>
          <w:szCs w:val="16"/>
        </w:rPr>
        <w:t xml:space="preserve"> </w:t>
      </w:r>
      <w:r w:rsidRPr="00640820">
        <w:rPr>
          <w:rFonts w:ascii="Times New Roman" w:eastAsia="SimHei" w:hAnsi="Times New Roman"/>
          <w:color w:val="000000" w:themeColor="text1"/>
          <w:sz w:val="16"/>
          <w:szCs w:val="16"/>
        </w:rPr>
        <w:t>- 2 "</w:t>
      </w:r>
    </w:p>
    <w:p w14:paraId="61DAAD7A" w14:textId="77777777" w:rsidR="001F6AEC" w:rsidRPr="00640820" w:rsidRDefault="00A973B1" w:rsidP="00640820">
      <w:pPr>
        <w:tabs>
          <w:tab w:val="left" w:pos="2200"/>
        </w:tabs>
        <w:spacing w:after="0" w:line="240" w:lineRule="auto"/>
        <w:jc w:val="both"/>
        <w:rPr>
          <w:rFonts w:ascii="Times New Roman" w:eastAsia="SimHei" w:hAnsi="Times New Roman"/>
          <w:color w:val="000000" w:themeColor="text1"/>
          <w:sz w:val="16"/>
          <w:szCs w:val="16"/>
        </w:rPr>
      </w:pPr>
      <w:r w:rsidRPr="00640820">
        <w:rPr>
          <w:rFonts w:ascii="Times New Roman" w:eastAsia="SimHei" w:hAnsi="Times New Roman"/>
          <w:color w:val="000000" w:themeColor="text1"/>
          <w:sz w:val="16"/>
          <w:szCs w:val="16"/>
        </w:rPr>
        <w:t>Для строительства эаволов в г.Кирове</w:t>
      </w:r>
    </w:p>
    <w:p w14:paraId="1D3E1CA8" w14:textId="77777777" w:rsidR="00A973B1" w:rsidRPr="00640820" w:rsidRDefault="00A973B1" w:rsidP="00640820">
      <w:pPr>
        <w:tabs>
          <w:tab w:val="left" w:pos="2200"/>
        </w:tabs>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w:t>
      </w:r>
      <w:r w:rsidR="001F6AEC" w:rsidRPr="00640820">
        <w:rPr>
          <w:rFonts w:ascii="Times New Roman" w:eastAsia="SimHei" w:hAnsi="Times New Roman"/>
          <w:color w:val="000000" w:themeColor="text1"/>
          <w:sz w:val="16"/>
          <w:szCs w:val="16"/>
        </w:rPr>
        <w:t xml:space="preserve">." </w:t>
      </w:r>
      <w:r w:rsidRPr="00640820">
        <w:rPr>
          <w:rFonts w:ascii="Times New Roman" w:eastAsia="SimHei" w:hAnsi="Times New Roman"/>
          <w:color w:val="000000" w:themeColor="text1"/>
          <w:sz w:val="16"/>
          <w:szCs w:val="16"/>
        </w:rPr>
        <w:t>в г.Ульяновске</w:t>
      </w:r>
      <w:r w:rsidR="001F6AEC" w:rsidRPr="00640820">
        <w:rPr>
          <w:rFonts w:ascii="Times New Roman" w:eastAsia="SimHei" w:hAnsi="Times New Roman"/>
          <w:color w:val="000000" w:themeColor="text1"/>
          <w:sz w:val="16"/>
          <w:szCs w:val="16"/>
        </w:rPr>
        <w:t xml:space="preserve"> - 2</w:t>
      </w:r>
    </w:p>
    <w:p w14:paraId="72DE0BC1" w14:textId="77777777" w:rsidR="00A973B1" w:rsidRPr="00640820" w:rsidRDefault="00A973B1" w:rsidP="00640820">
      <w:pPr>
        <w:tabs>
          <w:tab w:val="left" w:pos="2050"/>
        </w:tabs>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 "</w:t>
      </w:r>
      <w:r w:rsidR="001F6AEC" w:rsidRPr="00640820">
        <w:rPr>
          <w:rFonts w:ascii="Times New Roman" w:eastAsia="SimHei" w:hAnsi="Times New Roman"/>
          <w:color w:val="000000" w:themeColor="text1"/>
          <w:sz w:val="16"/>
          <w:szCs w:val="16"/>
        </w:rPr>
        <w:t xml:space="preserve"> </w:t>
      </w:r>
      <w:r w:rsidRPr="00640820">
        <w:rPr>
          <w:rFonts w:ascii="Times New Roman" w:eastAsia="SimHei" w:hAnsi="Times New Roman"/>
          <w:color w:val="000000" w:themeColor="text1"/>
          <w:sz w:val="16"/>
          <w:szCs w:val="16"/>
        </w:rPr>
        <w:t>в г.Павлово на Оке</w:t>
      </w:r>
      <w:r w:rsidR="001F6AEC" w:rsidRPr="00640820">
        <w:rPr>
          <w:rFonts w:ascii="Times New Roman" w:eastAsia="SimHei" w:hAnsi="Times New Roman"/>
          <w:color w:val="000000" w:themeColor="text1"/>
          <w:sz w:val="16"/>
          <w:szCs w:val="16"/>
        </w:rPr>
        <w:t xml:space="preserve"> - 3</w:t>
      </w:r>
    </w:p>
    <w:p w14:paraId="4B75EA31" w14:textId="77777777" w:rsidR="00A973B1" w:rsidRPr="00640820" w:rsidRDefault="00A973B1" w:rsidP="00640820">
      <w:pPr>
        <w:tabs>
          <w:tab w:val="left" w:pos="2050"/>
        </w:tabs>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 xml:space="preserve">" </w:t>
      </w:r>
      <w:r w:rsidR="001F6AEC" w:rsidRPr="00640820">
        <w:rPr>
          <w:rFonts w:ascii="Times New Roman" w:eastAsia="SimHei" w:hAnsi="Times New Roman"/>
          <w:color w:val="000000" w:themeColor="text1"/>
          <w:sz w:val="16"/>
          <w:szCs w:val="16"/>
        </w:rPr>
        <w:t xml:space="preserve"> " </w:t>
      </w:r>
      <w:r w:rsidRPr="00640820">
        <w:rPr>
          <w:rFonts w:ascii="Times New Roman" w:eastAsia="SimHei" w:hAnsi="Times New Roman"/>
          <w:color w:val="000000" w:themeColor="text1"/>
          <w:sz w:val="16"/>
          <w:szCs w:val="16"/>
        </w:rPr>
        <w:t>в г.Тбилиси</w:t>
      </w:r>
      <w:r w:rsidR="001F6AEC" w:rsidRPr="00640820">
        <w:rPr>
          <w:rFonts w:ascii="Times New Roman" w:eastAsia="SimHei" w:hAnsi="Times New Roman"/>
          <w:color w:val="000000" w:themeColor="text1"/>
          <w:sz w:val="16"/>
          <w:szCs w:val="16"/>
        </w:rPr>
        <w:t xml:space="preserve"> - 3</w:t>
      </w:r>
    </w:p>
    <w:p w14:paraId="05A6360B" w14:textId="77777777" w:rsidR="00A973B1" w:rsidRPr="00640820" w:rsidRDefault="00A973B1" w:rsidP="00640820">
      <w:pPr>
        <w:tabs>
          <w:tab w:val="left" w:pos="2050"/>
        </w:tabs>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 "</w:t>
      </w:r>
      <w:r w:rsidR="001F6AEC" w:rsidRPr="00640820">
        <w:rPr>
          <w:rFonts w:ascii="Times New Roman" w:eastAsia="SimHei" w:hAnsi="Times New Roman"/>
          <w:color w:val="000000" w:themeColor="text1"/>
          <w:sz w:val="16"/>
          <w:szCs w:val="16"/>
        </w:rPr>
        <w:t xml:space="preserve"> </w:t>
      </w:r>
      <w:r w:rsidRPr="00640820">
        <w:rPr>
          <w:rFonts w:ascii="Times New Roman" w:eastAsia="SimHei" w:hAnsi="Times New Roman"/>
          <w:color w:val="000000" w:themeColor="text1"/>
          <w:sz w:val="16"/>
          <w:szCs w:val="16"/>
        </w:rPr>
        <w:t>в г.Баку</w:t>
      </w:r>
      <w:r w:rsidR="001F6AEC" w:rsidRPr="00640820">
        <w:rPr>
          <w:rFonts w:ascii="Times New Roman" w:eastAsia="SimHei" w:hAnsi="Times New Roman"/>
          <w:color w:val="000000" w:themeColor="text1"/>
          <w:sz w:val="16"/>
          <w:szCs w:val="16"/>
        </w:rPr>
        <w:t xml:space="preserve"> - 3</w:t>
      </w:r>
    </w:p>
    <w:p w14:paraId="5473E81C" w14:textId="77777777" w:rsidR="00A973B1" w:rsidRPr="00640820" w:rsidRDefault="00A973B1"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и обеспечить их расквартирование в районе работ,</w:t>
      </w:r>
    </w:p>
    <w:p w14:paraId="7D9C6923" w14:textId="77777777" w:rsidR="00A973B1" w:rsidRPr="00640820" w:rsidRDefault="00A973B1" w:rsidP="00640820">
      <w:pPr>
        <w:tabs>
          <w:tab w:val="left" w:pos="5290"/>
        </w:tabs>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15.</w:t>
      </w:r>
      <w:r w:rsidR="001F6AEC" w:rsidRPr="00640820">
        <w:rPr>
          <w:rFonts w:ascii="Times New Roman" w:eastAsia="SimHei" w:hAnsi="Times New Roman"/>
          <w:color w:val="000000" w:themeColor="text1"/>
          <w:sz w:val="16"/>
          <w:szCs w:val="16"/>
        </w:rPr>
        <w:t xml:space="preserve"> </w:t>
      </w:r>
      <w:r w:rsidRPr="00640820">
        <w:rPr>
          <w:rFonts w:ascii="Times New Roman" w:eastAsia="SimHei" w:hAnsi="Times New Roman"/>
          <w:color w:val="000000" w:themeColor="text1"/>
          <w:sz w:val="16"/>
          <w:szCs w:val="16"/>
        </w:rPr>
        <w:t>Обязать Наркомторг СССР (т.Любимова) обеспечить в октябре месяце зимней одеждой, бельем и постельными принадлеж</w:t>
      </w:r>
      <w:r w:rsidRPr="00640820">
        <w:rPr>
          <w:rFonts w:ascii="Times New Roman" w:eastAsia="SimHei" w:hAnsi="Times New Roman"/>
          <w:color w:val="000000" w:themeColor="text1"/>
          <w:sz w:val="16"/>
          <w:szCs w:val="16"/>
        </w:rPr>
        <w:softHyphen/>
        <w:t>ностями личный состав выделенных Наркомавиапрому 55 строитель</w:t>
      </w:r>
      <w:r w:rsidRPr="00640820">
        <w:rPr>
          <w:rFonts w:ascii="Times New Roman" w:eastAsia="SimHei" w:hAnsi="Times New Roman"/>
          <w:color w:val="000000" w:themeColor="text1"/>
          <w:sz w:val="16"/>
          <w:szCs w:val="16"/>
        </w:rPr>
        <w:softHyphen/>
        <w:t>ных батальонов.</w:t>
      </w:r>
    </w:p>
    <w:p w14:paraId="747A644A" w14:textId="77777777" w:rsidR="00A973B1" w:rsidRPr="00640820" w:rsidRDefault="00A973B1"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16.</w:t>
      </w:r>
      <w:r w:rsidR="001F6AEC" w:rsidRPr="00640820">
        <w:rPr>
          <w:rFonts w:ascii="Times New Roman" w:eastAsia="SimHei" w:hAnsi="Times New Roman"/>
          <w:color w:val="000000" w:themeColor="text1"/>
          <w:sz w:val="16"/>
          <w:szCs w:val="16"/>
        </w:rPr>
        <w:t xml:space="preserve"> О</w:t>
      </w:r>
      <w:r w:rsidRPr="00640820">
        <w:rPr>
          <w:rFonts w:ascii="Times New Roman" w:eastAsia="SimHei" w:hAnsi="Times New Roman"/>
          <w:color w:val="000000" w:themeColor="text1"/>
          <w:sz w:val="16"/>
          <w:szCs w:val="16"/>
        </w:rPr>
        <w:t>бяэать Совнаркомы Грузинской, Азербайджанской ССР и Новосибирский облисполком выполнить силами местных строитель</w:t>
      </w:r>
      <w:r w:rsidRPr="00640820">
        <w:rPr>
          <w:rFonts w:ascii="Times New Roman" w:eastAsia="SimHei" w:hAnsi="Times New Roman"/>
          <w:color w:val="000000" w:themeColor="text1"/>
          <w:sz w:val="16"/>
          <w:szCs w:val="16"/>
        </w:rPr>
        <w:softHyphen/>
        <w:t>ных организаций строительно-монтажные работы по заводам №№ 31 в г.Тбилиси, 458 - в г.Баку и 8? 301 в г.Новосибирске.</w:t>
      </w:r>
    </w:p>
    <w:p w14:paraId="16665F66" w14:textId="77777777" w:rsidR="00A973B1" w:rsidRPr="00640820" w:rsidRDefault="00A973B1"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17.</w:t>
      </w:r>
      <w:r w:rsidR="001F6AEC" w:rsidRPr="00640820">
        <w:rPr>
          <w:rFonts w:ascii="Times New Roman" w:eastAsia="SimHei" w:hAnsi="Times New Roman"/>
          <w:color w:val="000000" w:themeColor="text1"/>
          <w:sz w:val="16"/>
          <w:szCs w:val="16"/>
        </w:rPr>
        <w:t xml:space="preserve"> </w:t>
      </w:r>
      <w:r w:rsidRPr="00640820">
        <w:rPr>
          <w:rFonts w:ascii="Times New Roman" w:eastAsia="SimHei" w:hAnsi="Times New Roman"/>
          <w:color w:val="000000" w:themeColor="text1"/>
          <w:sz w:val="16"/>
          <w:szCs w:val="16"/>
        </w:rPr>
        <w:t>Обязать Наркомстрой (т.Гинзбург) выполнить сантех</w:t>
      </w:r>
      <w:r w:rsidRPr="00640820">
        <w:rPr>
          <w:rFonts w:ascii="Times New Roman" w:eastAsia="SimHei" w:hAnsi="Times New Roman"/>
          <w:color w:val="000000" w:themeColor="text1"/>
          <w:sz w:val="16"/>
          <w:szCs w:val="16"/>
        </w:rPr>
        <w:softHyphen/>
        <w:t>нические и электромонтажные работы, а также монтаж промышлен</w:t>
      </w:r>
      <w:r w:rsidRPr="00640820">
        <w:rPr>
          <w:rFonts w:ascii="Times New Roman" w:eastAsia="SimHei" w:hAnsi="Times New Roman"/>
          <w:color w:val="000000" w:themeColor="text1"/>
          <w:sz w:val="16"/>
          <w:szCs w:val="16"/>
        </w:rPr>
        <w:softHyphen/>
        <w:t>ных печей на эвакуированных заводах Наркомавиапрома скоростны</w:t>
      </w:r>
      <w:r w:rsidRPr="00640820">
        <w:rPr>
          <w:rFonts w:ascii="Times New Roman" w:eastAsia="SimHei" w:hAnsi="Times New Roman"/>
          <w:color w:val="000000" w:themeColor="text1"/>
          <w:sz w:val="16"/>
          <w:szCs w:val="16"/>
        </w:rPr>
        <w:softHyphen/>
        <w:t>ми методами, для чего командировать на эти заводы в 5-ти днев</w:t>
      </w:r>
      <w:r w:rsidRPr="00640820">
        <w:rPr>
          <w:rFonts w:ascii="Times New Roman" w:eastAsia="SimHei" w:hAnsi="Times New Roman"/>
          <w:color w:val="000000" w:themeColor="text1"/>
          <w:sz w:val="16"/>
          <w:szCs w:val="16"/>
        </w:rPr>
        <w:softHyphen/>
        <w:t>ный срок необходимое количество рабочих-монтажников и инженер</w:t>
      </w:r>
      <w:r w:rsidRPr="00640820">
        <w:rPr>
          <w:rFonts w:ascii="Times New Roman" w:eastAsia="SimHei" w:hAnsi="Times New Roman"/>
          <w:color w:val="000000" w:themeColor="text1"/>
          <w:sz w:val="16"/>
          <w:szCs w:val="16"/>
        </w:rPr>
        <w:softHyphen/>
        <w:t>но-технических работников.</w:t>
      </w:r>
    </w:p>
    <w:p w14:paraId="706690E9" w14:textId="77777777" w:rsidR="00A973B1" w:rsidRPr="00640820" w:rsidRDefault="00A973B1"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18.</w:t>
      </w:r>
      <w:r w:rsidR="001F6AEC" w:rsidRPr="00640820">
        <w:rPr>
          <w:rFonts w:ascii="Times New Roman" w:eastAsia="SimHei" w:hAnsi="Times New Roman"/>
          <w:color w:val="000000" w:themeColor="text1"/>
          <w:sz w:val="16"/>
          <w:szCs w:val="16"/>
        </w:rPr>
        <w:t xml:space="preserve"> </w:t>
      </w:r>
      <w:r w:rsidRPr="00640820">
        <w:rPr>
          <w:rFonts w:ascii="Times New Roman" w:eastAsia="SimHei" w:hAnsi="Times New Roman"/>
          <w:color w:val="000000" w:themeColor="text1"/>
          <w:sz w:val="16"/>
          <w:szCs w:val="16"/>
        </w:rPr>
        <w:t>Обязать Наркомтяжмаш (т.Казакова) выполнить в 4-м квар</w:t>
      </w:r>
      <w:r w:rsidRPr="00640820">
        <w:rPr>
          <w:rFonts w:ascii="Times New Roman" w:eastAsia="SimHei" w:hAnsi="Times New Roman"/>
          <w:color w:val="000000" w:themeColor="text1"/>
          <w:sz w:val="16"/>
          <w:szCs w:val="16"/>
        </w:rPr>
        <w:softHyphen/>
        <w:t>тале 1941 года силами треста Соювпроммехани8ация изготовление нестандастного оборудования литейных цехов на эвакуированных заводах НКАП.</w:t>
      </w:r>
    </w:p>
    <w:p w14:paraId="29D23814" w14:textId="77777777" w:rsidR="00A973B1" w:rsidRPr="00640820" w:rsidRDefault="00A973B1"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19.</w:t>
      </w:r>
      <w:r w:rsidR="001F6AEC" w:rsidRPr="00640820">
        <w:rPr>
          <w:rFonts w:ascii="Times New Roman" w:eastAsia="SimHei" w:hAnsi="Times New Roman"/>
          <w:color w:val="000000" w:themeColor="text1"/>
          <w:sz w:val="16"/>
          <w:szCs w:val="16"/>
        </w:rPr>
        <w:t xml:space="preserve"> </w:t>
      </w:r>
      <w:r w:rsidRPr="00640820">
        <w:rPr>
          <w:rFonts w:ascii="Times New Roman" w:eastAsia="SimHei" w:hAnsi="Times New Roman"/>
          <w:color w:val="000000" w:themeColor="text1"/>
          <w:sz w:val="16"/>
          <w:szCs w:val="16"/>
        </w:rPr>
        <w:t>Обязать Главлесосбыт при СНК СССР (т.Лопухова) отг</w:t>
      </w:r>
      <w:r w:rsidR="001F6AEC" w:rsidRPr="00640820">
        <w:rPr>
          <w:rFonts w:ascii="Times New Roman" w:eastAsia="SimHei" w:hAnsi="Times New Roman"/>
          <w:color w:val="000000" w:themeColor="text1"/>
          <w:sz w:val="16"/>
          <w:szCs w:val="16"/>
        </w:rPr>
        <w:t>р</w:t>
      </w:r>
      <w:r w:rsidRPr="00640820">
        <w:rPr>
          <w:rFonts w:ascii="Times New Roman" w:eastAsia="SimHei" w:hAnsi="Times New Roman"/>
          <w:color w:val="000000" w:themeColor="text1"/>
          <w:sz w:val="16"/>
          <w:szCs w:val="16"/>
        </w:rPr>
        <w:t>узить Наркомавиапрому равными частями в октябре и ноябре 1941 года следующее</w:t>
      </w:r>
      <w:r w:rsidR="001F6AEC" w:rsidRPr="00640820">
        <w:rPr>
          <w:rFonts w:ascii="Times New Roman" w:eastAsia="SimHei" w:hAnsi="Times New Roman"/>
          <w:color w:val="000000" w:themeColor="text1"/>
          <w:sz w:val="16"/>
          <w:szCs w:val="16"/>
        </w:rPr>
        <w:t xml:space="preserve"> </w:t>
      </w:r>
      <w:r w:rsidRPr="00640820">
        <w:rPr>
          <w:rFonts w:ascii="Times New Roman" w:eastAsia="SimHei" w:hAnsi="Times New Roman"/>
          <w:color w:val="000000" w:themeColor="text1"/>
          <w:sz w:val="16"/>
          <w:szCs w:val="16"/>
        </w:rPr>
        <w:t>количество лесоматериалов: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380"/>
        <w:gridCol w:w="2153"/>
        <w:gridCol w:w="1628"/>
        <w:gridCol w:w="2400"/>
      </w:tblGrid>
      <w:tr w:rsidR="00643896" w:rsidRPr="00640820" w14:paraId="28E50B49" w14:textId="77777777" w:rsidTr="002A2796">
        <w:trPr>
          <w:trHeight w:val="758"/>
        </w:trPr>
        <w:tc>
          <w:tcPr>
            <w:tcW w:w="1380" w:type="dxa"/>
            <w:shd w:val="clear" w:color="auto" w:fill="FFFFFF"/>
          </w:tcPr>
          <w:p w14:paraId="00BE0D71" w14:textId="77777777" w:rsidR="00940867" w:rsidRPr="00640820" w:rsidRDefault="00940867"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трестов</w:t>
            </w:r>
          </w:p>
        </w:tc>
        <w:tc>
          <w:tcPr>
            <w:tcW w:w="2153" w:type="dxa"/>
            <w:shd w:val="clear" w:color="auto" w:fill="FFFFFF"/>
          </w:tcPr>
          <w:p w14:paraId="1616680B" w14:textId="77777777" w:rsidR="00940867" w:rsidRPr="00640820" w:rsidRDefault="00940867"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Местонахождение</w:t>
            </w:r>
          </w:p>
        </w:tc>
        <w:tc>
          <w:tcPr>
            <w:tcW w:w="1628" w:type="dxa"/>
            <w:shd w:val="clear" w:color="auto" w:fill="FFFFFF"/>
          </w:tcPr>
          <w:p w14:paraId="74A2261E" w14:textId="77777777" w:rsidR="00940867" w:rsidRPr="00640820" w:rsidRDefault="00940867"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Круглого леса куб. мтр.</w:t>
            </w:r>
          </w:p>
        </w:tc>
        <w:tc>
          <w:tcPr>
            <w:tcW w:w="2400" w:type="dxa"/>
            <w:shd w:val="clear" w:color="auto" w:fill="FFFFFF"/>
          </w:tcPr>
          <w:p w14:paraId="0B9D341E" w14:textId="77777777" w:rsidR="00940867" w:rsidRPr="00640820" w:rsidRDefault="00940867"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Пиленого леса куб.мтр.</w:t>
            </w:r>
          </w:p>
        </w:tc>
      </w:tr>
      <w:tr w:rsidR="00643896" w:rsidRPr="00640820" w14:paraId="1E47E79F" w14:textId="77777777" w:rsidTr="002A2796">
        <w:trPr>
          <w:trHeight w:val="315"/>
        </w:trPr>
        <w:tc>
          <w:tcPr>
            <w:tcW w:w="1380" w:type="dxa"/>
            <w:shd w:val="clear" w:color="auto" w:fill="FFFFFF"/>
          </w:tcPr>
          <w:p w14:paraId="75EEC5AF" w14:textId="77777777" w:rsidR="00940867" w:rsidRPr="00640820" w:rsidRDefault="00940867"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2</w:t>
            </w:r>
          </w:p>
        </w:tc>
        <w:tc>
          <w:tcPr>
            <w:tcW w:w="2153" w:type="dxa"/>
            <w:shd w:val="clear" w:color="auto" w:fill="FFFFFF"/>
          </w:tcPr>
          <w:p w14:paraId="6422C66E" w14:textId="77777777" w:rsidR="00940867" w:rsidRPr="00640820" w:rsidRDefault="00940867"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Омск</w:t>
            </w:r>
          </w:p>
        </w:tc>
        <w:tc>
          <w:tcPr>
            <w:tcW w:w="1628" w:type="dxa"/>
            <w:shd w:val="clear" w:color="auto" w:fill="FFFFFF"/>
          </w:tcPr>
          <w:p w14:paraId="25234D8B" w14:textId="77777777" w:rsidR="00940867" w:rsidRPr="00640820" w:rsidRDefault="00940867"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15000</w:t>
            </w:r>
          </w:p>
        </w:tc>
        <w:tc>
          <w:tcPr>
            <w:tcW w:w="2400" w:type="dxa"/>
            <w:shd w:val="clear" w:color="auto" w:fill="FFFFFF"/>
          </w:tcPr>
          <w:p w14:paraId="56629055" w14:textId="77777777" w:rsidR="00940867" w:rsidRPr="00640820" w:rsidRDefault="00940867"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25000</w:t>
            </w:r>
          </w:p>
        </w:tc>
      </w:tr>
      <w:tr w:rsidR="00643896" w:rsidRPr="00640820" w14:paraId="2136D03A" w14:textId="77777777" w:rsidTr="002A2796">
        <w:trPr>
          <w:trHeight w:val="180"/>
        </w:trPr>
        <w:tc>
          <w:tcPr>
            <w:tcW w:w="1380" w:type="dxa"/>
            <w:shd w:val="clear" w:color="auto" w:fill="FFFFFF"/>
          </w:tcPr>
          <w:p w14:paraId="478D70F7" w14:textId="77777777" w:rsidR="00940867" w:rsidRPr="00640820" w:rsidRDefault="00940867"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3</w:t>
            </w:r>
          </w:p>
        </w:tc>
        <w:tc>
          <w:tcPr>
            <w:tcW w:w="2153" w:type="dxa"/>
            <w:shd w:val="clear" w:color="auto" w:fill="FFFFFF"/>
          </w:tcPr>
          <w:p w14:paraId="18338209" w14:textId="77777777" w:rsidR="00940867" w:rsidRPr="00640820" w:rsidRDefault="00940867"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Уфа</w:t>
            </w:r>
          </w:p>
        </w:tc>
        <w:tc>
          <w:tcPr>
            <w:tcW w:w="1628" w:type="dxa"/>
            <w:shd w:val="clear" w:color="auto" w:fill="FFFFFF"/>
          </w:tcPr>
          <w:p w14:paraId="0B103FA1" w14:textId="77777777" w:rsidR="00940867" w:rsidRPr="00640820" w:rsidRDefault="00940867"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25000</w:t>
            </w:r>
          </w:p>
        </w:tc>
        <w:tc>
          <w:tcPr>
            <w:tcW w:w="2400" w:type="dxa"/>
            <w:shd w:val="clear" w:color="auto" w:fill="FFFFFF"/>
          </w:tcPr>
          <w:p w14:paraId="0965CB59" w14:textId="77777777" w:rsidR="00940867" w:rsidRPr="00640820" w:rsidRDefault="00940867"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40000</w:t>
            </w:r>
          </w:p>
        </w:tc>
      </w:tr>
      <w:tr w:rsidR="00643896" w:rsidRPr="00640820" w14:paraId="63C9C061" w14:textId="77777777" w:rsidTr="002A2796">
        <w:trPr>
          <w:trHeight w:val="180"/>
        </w:trPr>
        <w:tc>
          <w:tcPr>
            <w:tcW w:w="1380" w:type="dxa"/>
            <w:shd w:val="clear" w:color="auto" w:fill="FFFFFF"/>
          </w:tcPr>
          <w:p w14:paraId="4EDF1211" w14:textId="77777777" w:rsidR="00940867" w:rsidRPr="00640820" w:rsidRDefault="00940867"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4</w:t>
            </w:r>
          </w:p>
        </w:tc>
        <w:tc>
          <w:tcPr>
            <w:tcW w:w="2153" w:type="dxa"/>
            <w:shd w:val="clear" w:color="auto" w:fill="FFFFFF"/>
          </w:tcPr>
          <w:p w14:paraId="5EC4FD93" w14:textId="77777777" w:rsidR="00940867" w:rsidRPr="00640820" w:rsidRDefault="00940867"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Нижний Тагил</w:t>
            </w:r>
          </w:p>
        </w:tc>
        <w:tc>
          <w:tcPr>
            <w:tcW w:w="1628" w:type="dxa"/>
            <w:shd w:val="clear" w:color="auto" w:fill="FFFFFF"/>
          </w:tcPr>
          <w:p w14:paraId="4640E3B8" w14:textId="77777777" w:rsidR="00940867" w:rsidRPr="00640820" w:rsidRDefault="00940867"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15000</w:t>
            </w:r>
          </w:p>
        </w:tc>
        <w:tc>
          <w:tcPr>
            <w:tcW w:w="2400" w:type="dxa"/>
            <w:shd w:val="clear" w:color="auto" w:fill="FFFFFF"/>
          </w:tcPr>
          <w:p w14:paraId="426CD23A" w14:textId="77777777" w:rsidR="00940867" w:rsidRPr="00640820" w:rsidRDefault="00940867"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30000</w:t>
            </w:r>
          </w:p>
        </w:tc>
      </w:tr>
      <w:tr w:rsidR="00643896" w:rsidRPr="00640820" w14:paraId="597B9058" w14:textId="77777777" w:rsidTr="002A2796">
        <w:trPr>
          <w:trHeight w:val="188"/>
        </w:trPr>
        <w:tc>
          <w:tcPr>
            <w:tcW w:w="1380" w:type="dxa"/>
            <w:shd w:val="clear" w:color="auto" w:fill="FFFFFF"/>
          </w:tcPr>
          <w:p w14:paraId="4DE623C0" w14:textId="77777777" w:rsidR="00940867" w:rsidRPr="00640820" w:rsidRDefault="00940867"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7</w:t>
            </w:r>
          </w:p>
        </w:tc>
        <w:tc>
          <w:tcPr>
            <w:tcW w:w="2153" w:type="dxa"/>
            <w:shd w:val="clear" w:color="auto" w:fill="FFFFFF"/>
          </w:tcPr>
          <w:p w14:paraId="10F666C7" w14:textId="77777777" w:rsidR="00940867" w:rsidRPr="00640820" w:rsidRDefault="00940867"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Новосибирск</w:t>
            </w:r>
          </w:p>
        </w:tc>
        <w:tc>
          <w:tcPr>
            <w:tcW w:w="1628" w:type="dxa"/>
            <w:shd w:val="clear" w:color="auto" w:fill="FFFFFF"/>
          </w:tcPr>
          <w:p w14:paraId="57D19497" w14:textId="77777777" w:rsidR="00940867" w:rsidRPr="00640820" w:rsidRDefault="00940867"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25000</w:t>
            </w:r>
          </w:p>
        </w:tc>
        <w:tc>
          <w:tcPr>
            <w:tcW w:w="2400" w:type="dxa"/>
            <w:shd w:val="clear" w:color="auto" w:fill="FFFFFF"/>
          </w:tcPr>
          <w:p w14:paraId="1E3E5CD1" w14:textId="77777777" w:rsidR="00940867" w:rsidRPr="00640820" w:rsidRDefault="00940867"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45000</w:t>
            </w:r>
          </w:p>
        </w:tc>
      </w:tr>
      <w:tr w:rsidR="00643896" w:rsidRPr="00640820" w14:paraId="40745980" w14:textId="77777777" w:rsidTr="002A2796">
        <w:trPr>
          <w:trHeight w:val="173"/>
        </w:trPr>
        <w:tc>
          <w:tcPr>
            <w:tcW w:w="1380" w:type="dxa"/>
            <w:shd w:val="clear" w:color="auto" w:fill="FFFFFF"/>
          </w:tcPr>
          <w:p w14:paraId="745D78AD" w14:textId="77777777" w:rsidR="00940867" w:rsidRPr="00640820" w:rsidRDefault="00940867"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12</w:t>
            </w:r>
          </w:p>
        </w:tc>
        <w:tc>
          <w:tcPr>
            <w:tcW w:w="2153" w:type="dxa"/>
            <w:shd w:val="clear" w:color="auto" w:fill="FFFFFF"/>
          </w:tcPr>
          <w:p w14:paraId="40EB7697" w14:textId="77777777" w:rsidR="00940867" w:rsidRPr="00640820" w:rsidRDefault="00940867"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Болотов</w:t>
            </w:r>
          </w:p>
        </w:tc>
        <w:tc>
          <w:tcPr>
            <w:tcW w:w="1628" w:type="dxa"/>
            <w:shd w:val="clear" w:color="auto" w:fill="FFFFFF"/>
          </w:tcPr>
          <w:p w14:paraId="24314E82" w14:textId="77777777" w:rsidR="00940867" w:rsidRPr="00640820" w:rsidRDefault="00940867"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20000</w:t>
            </w:r>
          </w:p>
        </w:tc>
        <w:tc>
          <w:tcPr>
            <w:tcW w:w="2400" w:type="dxa"/>
            <w:shd w:val="clear" w:color="auto" w:fill="FFFFFF"/>
          </w:tcPr>
          <w:p w14:paraId="129D87ED" w14:textId="77777777" w:rsidR="00940867" w:rsidRPr="00640820" w:rsidRDefault="00940867"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40000</w:t>
            </w:r>
          </w:p>
        </w:tc>
      </w:tr>
      <w:tr w:rsidR="00643896" w:rsidRPr="00640820" w14:paraId="07078478" w14:textId="77777777" w:rsidTr="002A2796">
        <w:trPr>
          <w:trHeight w:val="180"/>
        </w:trPr>
        <w:tc>
          <w:tcPr>
            <w:tcW w:w="1380" w:type="dxa"/>
            <w:shd w:val="clear" w:color="auto" w:fill="FFFFFF"/>
          </w:tcPr>
          <w:p w14:paraId="4A9A6B80" w14:textId="77777777" w:rsidR="00940867" w:rsidRPr="00640820" w:rsidRDefault="00940867"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14</w:t>
            </w:r>
          </w:p>
        </w:tc>
        <w:tc>
          <w:tcPr>
            <w:tcW w:w="2153" w:type="dxa"/>
            <w:shd w:val="clear" w:color="auto" w:fill="FFFFFF"/>
          </w:tcPr>
          <w:p w14:paraId="211AEBD6" w14:textId="77777777" w:rsidR="00940867" w:rsidRPr="00640820" w:rsidRDefault="00940867"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Казань</w:t>
            </w:r>
          </w:p>
        </w:tc>
        <w:tc>
          <w:tcPr>
            <w:tcW w:w="1628" w:type="dxa"/>
            <w:shd w:val="clear" w:color="auto" w:fill="FFFFFF"/>
          </w:tcPr>
          <w:p w14:paraId="20D63E85" w14:textId="77777777" w:rsidR="00940867" w:rsidRPr="00640820" w:rsidRDefault="00940867"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50000</w:t>
            </w:r>
          </w:p>
        </w:tc>
        <w:tc>
          <w:tcPr>
            <w:tcW w:w="2400" w:type="dxa"/>
            <w:shd w:val="clear" w:color="auto" w:fill="FFFFFF"/>
          </w:tcPr>
          <w:p w14:paraId="56293C9F" w14:textId="77777777" w:rsidR="00940867" w:rsidRPr="00640820" w:rsidRDefault="00940867"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60000</w:t>
            </w:r>
          </w:p>
        </w:tc>
      </w:tr>
      <w:tr w:rsidR="00643896" w:rsidRPr="00640820" w14:paraId="1F2C8603" w14:textId="77777777" w:rsidTr="002A2796">
        <w:trPr>
          <w:trHeight w:val="173"/>
        </w:trPr>
        <w:tc>
          <w:tcPr>
            <w:tcW w:w="1380" w:type="dxa"/>
            <w:shd w:val="clear" w:color="auto" w:fill="FFFFFF"/>
          </w:tcPr>
          <w:p w14:paraId="4671A7DD" w14:textId="77777777" w:rsidR="00940867" w:rsidRPr="00640820" w:rsidRDefault="00940867"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30</w:t>
            </w:r>
          </w:p>
        </w:tc>
        <w:tc>
          <w:tcPr>
            <w:tcW w:w="2153" w:type="dxa"/>
            <w:shd w:val="clear" w:color="auto" w:fill="FFFFFF"/>
          </w:tcPr>
          <w:p w14:paraId="1141B2F0" w14:textId="77777777" w:rsidR="00940867" w:rsidRPr="00640820" w:rsidRDefault="00940867"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Каменск</w:t>
            </w:r>
          </w:p>
        </w:tc>
        <w:tc>
          <w:tcPr>
            <w:tcW w:w="1628" w:type="dxa"/>
            <w:shd w:val="clear" w:color="auto" w:fill="FFFFFF"/>
          </w:tcPr>
          <w:p w14:paraId="207A5903" w14:textId="77777777" w:rsidR="00940867" w:rsidRPr="00640820" w:rsidRDefault="00940867"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20000</w:t>
            </w:r>
          </w:p>
        </w:tc>
        <w:tc>
          <w:tcPr>
            <w:tcW w:w="2400" w:type="dxa"/>
            <w:shd w:val="clear" w:color="auto" w:fill="FFFFFF"/>
          </w:tcPr>
          <w:p w14:paraId="10B587EF" w14:textId="77777777" w:rsidR="00940867" w:rsidRPr="00640820" w:rsidRDefault="00940867"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35000</w:t>
            </w:r>
          </w:p>
        </w:tc>
      </w:tr>
      <w:tr w:rsidR="00643896" w:rsidRPr="00640820" w14:paraId="54A6C2E4" w14:textId="77777777" w:rsidTr="002A2796">
        <w:trPr>
          <w:trHeight w:val="180"/>
        </w:trPr>
        <w:tc>
          <w:tcPr>
            <w:tcW w:w="1380" w:type="dxa"/>
            <w:shd w:val="clear" w:color="auto" w:fill="FFFFFF"/>
          </w:tcPr>
          <w:p w14:paraId="0A1DDEAF" w14:textId="77777777" w:rsidR="00940867" w:rsidRPr="00640820" w:rsidRDefault="00940867"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31</w:t>
            </w:r>
          </w:p>
        </w:tc>
        <w:tc>
          <w:tcPr>
            <w:tcW w:w="2153" w:type="dxa"/>
            <w:shd w:val="clear" w:color="auto" w:fill="FFFFFF"/>
          </w:tcPr>
          <w:p w14:paraId="36F49EE4" w14:textId="77777777" w:rsidR="00940867" w:rsidRPr="00640820" w:rsidRDefault="00940867"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Ташкент</w:t>
            </w:r>
          </w:p>
        </w:tc>
        <w:tc>
          <w:tcPr>
            <w:tcW w:w="1628" w:type="dxa"/>
            <w:shd w:val="clear" w:color="auto" w:fill="FFFFFF"/>
          </w:tcPr>
          <w:p w14:paraId="618056F6" w14:textId="77777777" w:rsidR="00940867" w:rsidRPr="00640820" w:rsidRDefault="00940867"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15000</w:t>
            </w:r>
          </w:p>
        </w:tc>
        <w:tc>
          <w:tcPr>
            <w:tcW w:w="2400" w:type="dxa"/>
            <w:shd w:val="clear" w:color="auto" w:fill="FFFFFF"/>
          </w:tcPr>
          <w:p w14:paraId="1394F5CF" w14:textId="77777777" w:rsidR="00940867" w:rsidRPr="00640820" w:rsidRDefault="00940867"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30000</w:t>
            </w:r>
          </w:p>
        </w:tc>
      </w:tr>
      <w:tr w:rsidR="00643896" w:rsidRPr="00640820" w14:paraId="15C90BCF" w14:textId="77777777" w:rsidTr="002A2796">
        <w:trPr>
          <w:trHeight w:val="293"/>
        </w:trPr>
        <w:tc>
          <w:tcPr>
            <w:tcW w:w="1380" w:type="dxa"/>
            <w:shd w:val="clear" w:color="auto" w:fill="FFFFFF"/>
          </w:tcPr>
          <w:p w14:paraId="1C8F839D" w14:textId="77777777" w:rsidR="00940867" w:rsidRPr="00640820" w:rsidRDefault="00940867" w:rsidP="00640820">
            <w:pPr>
              <w:spacing w:after="0" w:line="240" w:lineRule="auto"/>
              <w:jc w:val="both"/>
              <w:rPr>
                <w:rFonts w:ascii="Times New Roman" w:eastAsia="Times New Roman" w:hAnsi="Times New Roman"/>
                <w:color w:val="000000" w:themeColor="text1"/>
                <w:sz w:val="16"/>
                <w:szCs w:val="16"/>
              </w:rPr>
            </w:pPr>
          </w:p>
        </w:tc>
        <w:tc>
          <w:tcPr>
            <w:tcW w:w="2153" w:type="dxa"/>
            <w:shd w:val="clear" w:color="auto" w:fill="FFFFFF"/>
          </w:tcPr>
          <w:p w14:paraId="48B8EF42" w14:textId="77777777" w:rsidR="00940867" w:rsidRPr="00640820" w:rsidRDefault="00940867"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Прочие стройки</w:t>
            </w:r>
          </w:p>
        </w:tc>
        <w:tc>
          <w:tcPr>
            <w:tcW w:w="1628" w:type="dxa"/>
            <w:shd w:val="clear" w:color="auto" w:fill="FFFFFF"/>
          </w:tcPr>
          <w:p w14:paraId="79BF8CEB" w14:textId="77777777" w:rsidR="00940867" w:rsidRPr="00640820" w:rsidRDefault="00940867"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65000</w:t>
            </w:r>
          </w:p>
        </w:tc>
        <w:tc>
          <w:tcPr>
            <w:tcW w:w="2400" w:type="dxa"/>
            <w:shd w:val="clear" w:color="auto" w:fill="FFFFFF"/>
          </w:tcPr>
          <w:p w14:paraId="448DFA53" w14:textId="77777777" w:rsidR="00940867" w:rsidRPr="00640820" w:rsidRDefault="00940867"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145000</w:t>
            </w:r>
          </w:p>
        </w:tc>
      </w:tr>
      <w:tr w:rsidR="00643896" w:rsidRPr="00640820" w14:paraId="2774F35D" w14:textId="77777777" w:rsidTr="002A2796">
        <w:trPr>
          <w:trHeight w:val="270"/>
        </w:trPr>
        <w:tc>
          <w:tcPr>
            <w:tcW w:w="1380" w:type="dxa"/>
            <w:shd w:val="clear" w:color="auto" w:fill="FFFFFF"/>
          </w:tcPr>
          <w:p w14:paraId="5CD6CCE1" w14:textId="77777777" w:rsidR="00940867" w:rsidRPr="00640820" w:rsidRDefault="00940867" w:rsidP="00640820">
            <w:pPr>
              <w:spacing w:after="0" w:line="240" w:lineRule="auto"/>
              <w:jc w:val="both"/>
              <w:rPr>
                <w:rFonts w:ascii="Times New Roman" w:eastAsia="Times New Roman" w:hAnsi="Times New Roman"/>
                <w:color w:val="000000" w:themeColor="text1"/>
                <w:sz w:val="16"/>
                <w:szCs w:val="16"/>
              </w:rPr>
            </w:pPr>
          </w:p>
        </w:tc>
        <w:tc>
          <w:tcPr>
            <w:tcW w:w="2153" w:type="dxa"/>
            <w:shd w:val="clear" w:color="auto" w:fill="FFFFFF"/>
          </w:tcPr>
          <w:p w14:paraId="377EB4EC" w14:textId="77777777" w:rsidR="00940867" w:rsidRPr="00640820" w:rsidRDefault="00940867"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Итого:</w:t>
            </w:r>
          </w:p>
        </w:tc>
        <w:tc>
          <w:tcPr>
            <w:tcW w:w="1628" w:type="dxa"/>
            <w:shd w:val="clear" w:color="auto" w:fill="FFFFFF"/>
          </w:tcPr>
          <w:p w14:paraId="12EF8BC4" w14:textId="77777777" w:rsidR="00940867" w:rsidRPr="00640820" w:rsidRDefault="00940867"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250000</w:t>
            </w:r>
          </w:p>
        </w:tc>
        <w:tc>
          <w:tcPr>
            <w:tcW w:w="2400" w:type="dxa"/>
            <w:shd w:val="clear" w:color="auto" w:fill="FFFFFF"/>
          </w:tcPr>
          <w:p w14:paraId="0AD1A35E" w14:textId="77777777" w:rsidR="00940867" w:rsidRPr="00640820" w:rsidRDefault="00940867"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Hei" w:hAnsi="Times New Roman"/>
                <w:color w:val="000000" w:themeColor="text1"/>
                <w:sz w:val="16"/>
                <w:szCs w:val="16"/>
              </w:rPr>
              <w:t>450000</w:t>
            </w:r>
          </w:p>
        </w:tc>
      </w:tr>
    </w:tbl>
    <w:p w14:paraId="4CA902B0" w14:textId="77777777" w:rsidR="00165A9C" w:rsidRPr="00640820" w:rsidRDefault="00940867"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eastAsia="SimHei" w:hAnsi="Times New Roman"/>
          <w:color w:val="000000" w:themeColor="text1"/>
          <w:sz w:val="16"/>
          <w:szCs w:val="16"/>
        </w:rPr>
        <w:t>Обязать НКПС выделить необходимое количество вагонов для перевозки лесоматериалов в адреса строительных трестов и строек Наркомавиапрома и обеспечить их продвижение наравне с воин</w:t>
      </w:r>
      <w:r w:rsidRPr="00640820">
        <w:rPr>
          <w:rFonts w:ascii="Times New Roman" w:eastAsia="SimHei" w:hAnsi="Times New Roman"/>
          <w:color w:val="000000" w:themeColor="text1"/>
          <w:sz w:val="16"/>
          <w:szCs w:val="16"/>
        </w:rPr>
        <w:softHyphen/>
        <w:t>скими грузами.</w:t>
      </w:r>
    </w:p>
    <w:p w14:paraId="0AD8F3DB" w14:textId="77777777" w:rsidR="002A2796" w:rsidRPr="00640820" w:rsidRDefault="002A2796" w:rsidP="00640820">
      <w:pPr>
        <w:tabs>
          <w:tab w:val="left" w:pos="1123"/>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20 Обязать наркомат промышленности Стройматериалов СССР (тов.Соснина):</w:t>
      </w:r>
    </w:p>
    <w:p w14:paraId="400FCAD6" w14:textId="77777777" w:rsidR="002A2796" w:rsidRPr="00640820" w:rsidRDefault="002A279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обеспечить отгрузку цемента строительным трестам и стройкам Наркомавиапрома в октябре и ноябре месяцах в следую</w:t>
      </w:r>
      <w:r w:rsidRPr="00640820">
        <w:rPr>
          <w:rFonts w:ascii="Times New Roman" w:hAnsi="Times New Roman"/>
          <w:color w:val="000000" w:themeColor="text1"/>
          <w:sz w:val="16"/>
          <w:szCs w:val="16"/>
        </w:rPr>
        <w:softHyphen/>
        <w:t>щем количестве:</w:t>
      </w:r>
    </w:p>
    <w:p w14:paraId="38E54903" w14:textId="77777777" w:rsidR="002A2796" w:rsidRPr="00640820" w:rsidRDefault="002A2796" w:rsidP="00640820">
      <w:pPr>
        <w:tabs>
          <w:tab w:val="left" w:leader="underscore" w:pos="4985"/>
          <w:tab w:val="left" w:leader="underscore" w:pos="6268"/>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трестов Местонахождение Количество вагонов </w:t>
      </w:r>
      <w:r w:rsidRPr="00640820">
        <w:rPr>
          <w:rFonts w:ascii="Times New Roman" w:hAnsi="Times New Roman"/>
          <w:color w:val="000000" w:themeColor="text1"/>
          <w:sz w:val="16"/>
          <w:szCs w:val="16"/>
        </w:rPr>
        <w:tab/>
        <w:t>в октябре</w:t>
      </w:r>
      <w:r w:rsidRPr="00640820">
        <w:rPr>
          <w:rFonts w:ascii="Times New Roman" w:hAnsi="Times New Roman"/>
          <w:color w:val="000000" w:themeColor="text1"/>
          <w:sz w:val="16"/>
          <w:szCs w:val="16"/>
        </w:rPr>
        <w:tab/>
        <w:t>в ноябре</w:t>
      </w:r>
    </w:p>
    <w:p w14:paraId="4F2EC6B0" w14:textId="77777777" w:rsidR="002A2796" w:rsidRPr="00640820" w:rsidRDefault="002A2796" w:rsidP="00640820">
      <w:pPr>
        <w:tabs>
          <w:tab w:val="left" w:pos="1920"/>
          <w:tab w:val="left" w:pos="5123"/>
          <w:tab w:val="left" w:pos="6428"/>
        </w:tabs>
        <w:spacing w:after="0" w:line="240" w:lineRule="auto"/>
        <w:jc w:val="both"/>
        <w:rPr>
          <w:rFonts w:ascii="Times New Roman" w:hAnsi="Times New Roman"/>
          <w:color w:val="000000" w:themeColor="text1"/>
          <w:sz w:val="16"/>
          <w:szCs w:val="16"/>
        </w:rPr>
      </w:pPr>
      <w:r w:rsidRPr="00640820">
        <w:rPr>
          <w:rStyle w:val="2pt2"/>
          <w:rFonts w:ascii="Times New Roman" w:hAnsi="Times New Roman" w:cs="Times New Roman"/>
          <w:color w:val="000000" w:themeColor="text1"/>
          <w:spacing w:val="0"/>
          <w:sz w:val="16"/>
          <w:szCs w:val="16"/>
        </w:rPr>
        <w:t>2</w:t>
      </w:r>
      <w:r w:rsidRPr="00640820">
        <w:rPr>
          <w:rStyle w:val="2pt2"/>
          <w:rFonts w:ascii="Times New Roman" w:hAnsi="Times New Roman" w:cs="Times New Roman"/>
          <w:color w:val="000000" w:themeColor="text1"/>
          <w:spacing w:val="0"/>
          <w:sz w:val="16"/>
          <w:szCs w:val="16"/>
        </w:rPr>
        <w:tab/>
        <w:t>Омск</w:t>
      </w:r>
      <w:r w:rsidRPr="00640820">
        <w:rPr>
          <w:rStyle w:val="0pt3"/>
          <w:rFonts w:ascii="Times New Roman" w:hAnsi="Times New Roman" w:cs="Times New Roman"/>
          <w:color w:val="000000" w:themeColor="text1"/>
          <w:spacing w:val="0"/>
          <w:sz w:val="16"/>
          <w:szCs w:val="16"/>
        </w:rPr>
        <w:tab/>
        <w:t>230</w:t>
      </w:r>
      <w:r w:rsidRPr="00640820">
        <w:rPr>
          <w:rStyle w:val="0pt3"/>
          <w:rFonts w:ascii="Times New Roman" w:hAnsi="Times New Roman" w:cs="Times New Roman"/>
          <w:color w:val="000000" w:themeColor="text1"/>
          <w:spacing w:val="0"/>
          <w:sz w:val="16"/>
          <w:szCs w:val="16"/>
        </w:rPr>
        <w:tab/>
        <w:t>200</w:t>
      </w:r>
    </w:p>
    <w:p w14:paraId="50893C88" w14:textId="77777777" w:rsidR="002A2796" w:rsidRPr="00640820" w:rsidRDefault="002A2796" w:rsidP="00640820">
      <w:pPr>
        <w:tabs>
          <w:tab w:val="left" w:pos="2053"/>
          <w:tab w:val="left" w:pos="5240"/>
          <w:tab w:val="left" w:pos="6500"/>
          <w:tab w:val="left" w:pos="1993"/>
          <w:tab w:val="left" w:pos="5240"/>
          <w:tab w:val="left" w:pos="6500"/>
          <w:tab w:val="left" w:pos="1993"/>
          <w:tab w:val="left" w:pos="5240"/>
          <w:tab w:val="left" w:pos="6500"/>
          <w:tab w:val="left" w:pos="1993"/>
          <w:tab w:val="left" w:pos="5240"/>
          <w:tab w:val="left" w:pos="6500"/>
        </w:tabs>
        <w:spacing w:after="0" w:line="240" w:lineRule="auto"/>
        <w:jc w:val="both"/>
        <w:rPr>
          <w:rFonts w:ascii="Times New Roman" w:hAnsi="Times New Roman"/>
          <w:color w:val="000000" w:themeColor="text1"/>
          <w:sz w:val="16"/>
          <w:szCs w:val="16"/>
        </w:rPr>
      </w:pPr>
      <w:r w:rsidRPr="00640820">
        <w:rPr>
          <w:rStyle w:val="2pt2"/>
          <w:rFonts w:ascii="Times New Roman" w:hAnsi="Times New Roman" w:cs="Times New Roman"/>
          <w:color w:val="000000" w:themeColor="text1"/>
          <w:spacing w:val="0"/>
          <w:sz w:val="16"/>
          <w:szCs w:val="16"/>
        </w:rPr>
        <w:t>3</w:t>
      </w:r>
      <w:r w:rsidRPr="00640820">
        <w:rPr>
          <w:rStyle w:val="2pt2"/>
          <w:rFonts w:ascii="Times New Roman" w:hAnsi="Times New Roman" w:cs="Times New Roman"/>
          <w:color w:val="000000" w:themeColor="text1"/>
          <w:spacing w:val="0"/>
          <w:sz w:val="16"/>
          <w:szCs w:val="16"/>
        </w:rPr>
        <w:tab/>
        <w:t>Уфа</w:t>
      </w:r>
      <w:r w:rsidRPr="00640820">
        <w:rPr>
          <w:rStyle w:val="0pt3"/>
          <w:rFonts w:ascii="Times New Roman" w:hAnsi="Times New Roman" w:cs="Times New Roman"/>
          <w:color w:val="000000" w:themeColor="text1"/>
          <w:spacing w:val="0"/>
          <w:sz w:val="16"/>
          <w:szCs w:val="16"/>
        </w:rPr>
        <w:tab/>
        <w:t>250</w:t>
      </w:r>
      <w:r w:rsidRPr="00640820">
        <w:rPr>
          <w:rStyle w:val="0pt3"/>
          <w:rFonts w:ascii="Times New Roman" w:hAnsi="Times New Roman" w:cs="Times New Roman"/>
          <w:color w:val="000000" w:themeColor="text1"/>
          <w:spacing w:val="0"/>
          <w:sz w:val="16"/>
          <w:szCs w:val="16"/>
        </w:rPr>
        <w:tab/>
        <w:t>300</w:t>
      </w:r>
    </w:p>
    <w:p w14:paraId="3BE40B24" w14:textId="77777777" w:rsidR="002A2796" w:rsidRPr="00640820" w:rsidRDefault="002A2796" w:rsidP="00640820">
      <w:pPr>
        <w:tabs>
          <w:tab w:val="left" w:pos="2053"/>
          <w:tab w:val="left" w:pos="5240"/>
          <w:tab w:val="left" w:pos="6500"/>
          <w:tab w:val="left" w:pos="1993"/>
          <w:tab w:val="left" w:pos="5240"/>
          <w:tab w:val="left" w:pos="6500"/>
          <w:tab w:val="left" w:pos="1993"/>
          <w:tab w:val="left" w:pos="5240"/>
          <w:tab w:val="left" w:pos="6500"/>
          <w:tab w:val="left" w:pos="1993"/>
          <w:tab w:val="left" w:pos="5240"/>
          <w:tab w:val="left" w:pos="6500"/>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r w:rsidRPr="00640820">
        <w:rPr>
          <w:rFonts w:ascii="Times New Roman" w:hAnsi="Times New Roman"/>
          <w:color w:val="000000" w:themeColor="text1"/>
          <w:sz w:val="16"/>
          <w:szCs w:val="16"/>
        </w:rPr>
        <w:tab/>
        <w:t>Нижний Тагил</w:t>
      </w:r>
      <w:r w:rsidRPr="00640820">
        <w:rPr>
          <w:rFonts w:ascii="Times New Roman" w:hAnsi="Times New Roman"/>
          <w:color w:val="000000" w:themeColor="text1"/>
          <w:sz w:val="16"/>
          <w:szCs w:val="16"/>
        </w:rPr>
        <w:tab/>
      </w:r>
      <w:r w:rsidRPr="00640820">
        <w:rPr>
          <w:rStyle w:val="0pt3"/>
          <w:rFonts w:ascii="Times New Roman" w:hAnsi="Times New Roman" w:cs="Times New Roman"/>
          <w:color w:val="000000" w:themeColor="text1"/>
          <w:spacing w:val="0"/>
          <w:sz w:val="16"/>
          <w:szCs w:val="16"/>
        </w:rPr>
        <w:t>190</w:t>
      </w:r>
      <w:r w:rsidRPr="00640820">
        <w:rPr>
          <w:rStyle w:val="0pt3"/>
          <w:rFonts w:ascii="Times New Roman" w:hAnsi="Times New Roman" w:cs="Times New Roman"/>
          <w:color w:val="000000" w:themeColor="text1"/>
          <w:spacing w:val="0"/>
          <w:sz w:val="16"/>
          <w:szCs w:val="16"/>
        </w:rPr>
        <w:tab/>
        <w:t>230</w:t>
      </w:r>
    </w:p>
    <w:p w14:paraId="368C46D6" w14:textId="77777777" w:rsidR="002A2796" w:rsidRPr="00640820" w:rsidRDefault="002A2796" w:rsidP="00640820">
      <w:pPr>
        <w:tabs>
          <w:tab w:val="left" w:pos="2053"/>
          <w:tab w:val="left" w:pos="5240"/>
          <w:tab w:val="left" w:pos="6500"/>
          <w:tab w:val="left" w:pos="1993"/>
          <w:tab w:val="left" w:pos="5240"/>
          <w:tab w:val="left" w:pos="6500"/>
          <w:tab w:val="left" w:pos="1993"/>
          <w:tab w:val="left" w:pos="5240"/>
          <w:tab w:val="left" w:pos="6500"/>
          <w:tab w:val="left" w:pos="1993"/>
          <w:tab w:val="left" w:pos="5240"/>
          <w:tab w:val="left" w:pos="6500"/>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r w:rsidRPr="00640820">
        <w:rPr>
          <w:rFonts w:ascii="Times New Roman" w:hAnsi="Times New Roman"/>
          <w:color w:val="000000" w:themeColor="text1"/>
          <w:sz w:val="16"/>
          <w:szCs w:val="16"/>
        </w:rPr>
        <w:tab/>
        <w:t>Саратов</w:t>
      </w:r>
      <w:r w:rsidRPr="00640820">
        <w:rPr>
          <w:rFonts w:ascii="Times New Roman" w:hAnsi="Times New Roman"/>
          <w:color w:val="000000" w:themeColor="text1"/>
          <w:sz w:val="16"/>
          <w:szCs w:val="16"/>
        </w:rPr>
        <w:tab/>
        <w:t>130</w:t>
      </w:r>
      <w:r w:rsidRPr="00640820">
        <w:rPr>
          <w:rFonts w:ascii="Times New Roman" w:hAnsi="Times New Roman"/>
          <w:color w:val="000000" w:themeColor="text1"/>
          <w:sz w:val="16"/>
          <w:szCs w:val="16"/>
        </w:rPr>
        <w:tab/>
        <w:t>140</w:t>
      </w:r>
    </w:p>
    <w:p w14:paraId="3E8642A7" w14:textId="77777777" w:rsidR="002A2796" w:rsidRPr="00640820" w:rsidRDefault="002A2796" w:rsidP="00640820">
      <w:pPr>
        <w:tabs>
          <w:tab w:val="left" w:pos="2053"/>
          <w:tab w:val="left" w:pos="5240"/>
          <w:tab w:val="left" w:pos="6500"/>
          <w:tab w:val="left" w:pos="1993"/>
          <w:tab w:val="left" w:pos="5240"/>
          <w:tab w:val="left" w:pos="6500"/>
          <w:tab w:val="left" w:pos="1993"/>
          <w:tab w:val="left" w:pos="5240"/>
          <w:tab w:val="left" w:pos="6500"/>
          <w:tab w:val="left" w:pos="1993"/>
          <w:tab w:val="left" w:pos="5240"/>
          <w:tab w:val="left" w:pos="6500"/>
        </w:tabs>
        <w:spacing w:after="0" w:line="240" w:lineRule="auto"/>
        <w:jc w:val="both"/>
        <w:rPr>
          <w:rStyle w:val="0pt"/>
          <w:rFonts w:ascii="Times New Roman" w:hAnsi="Times New Roman" w:cs="Times New Roman"/>
          <w:color w:val="000000" w:themeColor="text1"/>
          <w:spacing w:val="0"/>
          <w:sz w:val="16"/>
          <w:szCs w:val="16"/>
        </w:rPr>
      </w:pPr>
      <w:r w:rsidRPr="00640820">
        <w:rPr>
          <w:rFonts w:ascii="Times New Roman" w:hAnsi="Times New Roman"/>
          <w:color w:val="000000" w:themeColor="text1"/>
          <w:sz w:val="16"/>
          <w:szCs w:val="16"/>
        </w:rPr>
        <w:t>7</w:t>
      </w:r>
      <w:r w:rsidRPr="00640820">
        <w:rPr>
          <w:rFonts w:ascii="Times New Roman" w:hAnsi="Times New Roman"/>
          <w:color w:val="000000" w:themeColor="text1"/>
          <w:sz w:val="16"/>
          <w:szCs w:val="16"/>
        </w:rPr>
        <w:tab/>
        <w:t>Новосибирск</w:t>
      </w:r>
      <w:r w:rsidRPr="00640820">
        <w:rPr>
          <w:rFonts w:ascii="Times New Roman" w:hAnsi="Times New Roman"/>
          <w:color w:val="000000" w:themeColor="text1"/>
          <w:sz w:val="16"/>
          <w:szCs w:val="16"/>
        </w:rPr>
        <w:tab/>
      </w:r>
      <w:r w:rsidRPr="00640820">
        <w:rPr>
          <w:rStyle w:val="0pt"/>
          <w:rFonts w:ascii="Times New Roman" w:hAnsi="Times New Roman" w:cs="Times New Roman"/>
          <w:color w:val="000000" w:themeColor="text1"/>
          <w:spacing w:val="0"/>
          <w:sz w:val="16"/>
          <w:szCs w:val="16"/>
        </w:rPr>
        <w:t>200</w:t>
      </w:r>
      <w:r w:rsidRPr="00640820">
        <w:rPr>
          <w:rStyle w:val="0pt"/>
          <w:rFonts w:ascii="Times New Roman" w:hAnsi="Times New Roman" w:cs="Times New Roman"/>
          <w:color w:val="000000" w:themeColor="text1"/>
          <w:spacing w:val="0"/>
          <w:sz w:val="16"/>
          <w:szCs w:val="16"/>
        </w:rPr>
        <w:tab/>
        <w:t>200</w:t>
      </w:r>
    </w:p>
    <w:p w14:paraId="3FB7E260" w14:textId="77777777" w:rsidR="002A2796" w:rsidRPr="00640820" w:rsidRDefault="002A2796" w:rsidP="00640820">
      <w:pPr>
        <w:tabs>
          <w:tab w:val="left" w:pos="2053"/>
          <w:tab w:val="left" w:pos="5240"/>
          <w:tab w:val="left" w:pos="6500"/>
          <w:tab w:val="left" w:pos="1993"/>
          <w:tab w:val="left" w:pos="5240"/>
          <w:tab w:val="left" w:pos="6500"/>
          <w:tab w:val="left" w:pos="1993"/>
          <w:tab w:val="left" w:pos="5240"/>
          <w:tab w:val="left" w:pos="6500"/>
          <w:tab w:val="left" w:pos="1993"/>
          <w:tab w:val="left" w:pos="5240"/>
          <w:tab w:val="left" w:pos="6500"/>
        </w:tabs>
        <w:spacing w:after="0" w:line="240" w:lineRule="auto"/>
        <w:jc w:val="both"/>
        <w:rPr>
          <w:rStyle w:val="0pt"/>
          <w:rFonts w:ascii="Times New Roman" w:hAnsi="Times New Roman" w:cs="Times New Roman"/>
          <w:color w:val="000000" w:themeColor="text1"/>
          <w:spacing w:val="0"/>
          <w:sz w:val="16"/>
          <w:szCs w:val="16"/>
        </w:rPr>
      </w:pPr>
      <w:r w:rsidRPr="00640820">
        <w:rPr>
          <w:rFonts w:ascii="Times New Roman" w:hAnsi="Times New Roman"/>
          <w:color w:val="000000" w:themeColor="text1"/>
          <w:sz w:val="16"/>
          <w:szCs w:val="16"/>
        </w:rPr>
        <w:t>12</w:t>
      </w:r>
      <w:r w:rsidRPr="00640820">
        <w:rPr>
          <w:rFonts w:ascii="Times New Roman" w:hAnsi="Times New Roman"/>
          <w:color w:val="000000" w:themeColor="text1"/>
          <w:sz w:val="16"/>
          <w:szCs w:val="16"/>
        </w:rPr>
        <w:tab/>
        <w:t>Молотов</w:t>
      </w:r>
      <w:r w:rsidRPr="00640820">
        <w:rPr>
          <w:rFonts w:ascii="Times New Roman" w:hAnsi="Times New Roman"/>
          <w:color w:val="000000" w:themeColor="text1"/>
          <w:sz w:val="16"/>
          <w:szCs w:val="16"/>
        </w:rPr>
        <w:tab/>
        <w:t>180</w:t>
      </w:r>
      <w:r w:rsidRPr="00640820">
        <w:rPr>
          <w:rFonts w:ascii="Times New Roman" w:hAnsi="Times New Roman"/>
          <w:color w:val="000000" w:themeColor="text1"/>
          <w:sz w:val="16"/>
          <w:szCs w:val="16"/>
        </w:rPr>
        <w:tab/>
        <w:t>8</w:t>
      </w:r>
      <w:r w:rsidRPr="00640820">
        <w:rPr>
          <w:rStyle w:val="0pt"/>
          <w:rFonts w:ascii="Times New Roman" w:hAnsi="Times New Roman" w:cs="Times New Roman"/>
          <w:color w:val="000000" w:themeColor="text1"/>
          <w:spacing w:val="0"/>
          <w:sz w:val="16"/>
          <w:szCs w:val="16"/>
        </w:rPr>
        <w:t>00</w:t>
      </w:r>
    </w:p>
    <w:p w14:paraId="0C745153" w14:textId="77777777" w:rsidR="002A2796" w:rsidRPr="00640820" w:rsidRDefault="002A2796" w:rsidP="00640820">
      <w:pPr>
        <w:tabs>
          <w:tab w:val="left" w:pos="2053"/>
          <w:tab w:val="left" w:pos="5240"/>
          <w:tab w:val="left" w:pos="6500"/>
          <w:tab w:val="left" w:pos="1993"/>
          <w:tab w:val="left" w:pos="5240"/>
          <w:tab w:val="left" w:pos="6500"/>
          <w:tab w:val="left" w:pos="1993"/>
          <w:tab w:val="left" w:pos="5240"/>
          <w:tab w:val="left" w:pos="6500"/>
          <w:tab w:val="left" w:pos="1993"/>
          <w:tab w:val="left" w:pos="5240"/>
          <w:tab w:val="left" w:pos="6500"/>
        </w:tabs>
        <w:spacing w:after="0" w:line="240" w:lineRule="auto"/>
        <w:jc w:val="both"/>
        <w:rPr>
          <w:rStyle w:val="0pt"/>
          <w:rFonts w:ascii="Times New Roman" w:hAnsi="Times New Roman" w:cs="Times New Roman"/>
          <w:color w:val="000000" w:themeColor="text1"/>
          <w:spacing w:val="0"/>
          <w:sz w:val="16"/>
          <w:szCs w:val="16"/>
        </w:rPr>
      </w:pPr>
      <w:r w:rsidRPr="00640820">
        <w:rPr>
          <w:rFonts w:ascii="Times New Roman" w:hAnsi="Times New Roman"/>
          <w:color w:val="000000" w:themeColor="text1"/>
          <w:sz w:val="16"/>
          <w:szCs w:val="16"/>
        </w:rPr>
        <w:t>14</w:t>
      </w:r>
      <w:r w:rsidRPr="00640820">
        <w:rPr>
          <w:rFonts w:ascii="Times New Roman" w:hAnsi="Times New Roman"/>
          <w:color w:val="000000" w:themeColor="text1"/>
          <w:sz w:val="16"/>
          <w:szCs w:val="16"/>
        </w:rPr>
        <w:tab/>
        <w:t>Казань</w:t>
      </w:r>
      <w:r w:rsidRPr="00640820">
        <w:rPr>
          <w:rFonts w:ascii="Times New Roman" w:hAnsi="Times New Roman"/>
          <w:color w:val="000000" w:themeColor="text1"/>
          <w:sz w:val="16"/>
          <w:szCs w:val="16"/>
        </w:rPr>
        <w:tab/>
      </w:r>
      <w:r w:rsidRPr="00640820">
        <w:rPr>
          <w:rStyle w:val="0pt"/>
          <w:rFonts w:ascii="Times New Roman" w:hAnsi="Times New Roman" w:cs="Times New Roman"/>
          <w:color w:val="000000" w:themeColor="text1"/>
          <w:spacing w:val="0"/>
          <w:sz w:val="16"/>
          <w:szCs w:val="16"/>
        </w:rPr>
        <w:t>270</w:t>
      </w:r>
      <w:r w:rsidRPr="00640820">
        <w:rPr>
          <w:rStyle w:val="0pt"/>
          <w:rFonts w:ascii="Times New Roman" w:hAnsi="Times New Roman" w:cs="Times New Roman"/>
          <w:color w:val="000000" w:themeColor="text1"/>
          <w:spacing w:val="0"/>
          <w:sz w:val="16"/>
          <w:szCs w:val="16"/>
        </w:rPr>
        <w:tab/>
        <w:t>290</w:t>
      </w:r>
    </w:p>
    <w:p w14:paraId="65608576" w14:textId="77777777" w:rsidR="002A2796" w:rsidRPr="00640820" w:rsidRDefault="002A2796" w:rsidP="00640820">
      <w:pPr>
        <w:tabs>
          <w:tab w:val="left" w:pos="2053"/>
          <w:tab w:val="left" w:pos="5240"/>
          <w:tab w:val="left" w:pos="6500"/>
          <w:tab w:val="left" w:pos="1993"/>
          <w:tab w:val="left" w:pos="5240"/>
          <w:tab w:val="left" w:pos="6500"/>
          <w:tab w:val="left" w:pos="1993"/>
          <w:tab w:val="left" w:pos="5240"/>
          <w:tab w:val="left" w:pos="6500"/>
          <w:tab w:val="left" w:pos="1993"/>
          <w:tab w:val="left" w:pos="5240"/>
          <w:tab w:val="left" w:pos="6500"/>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r w:rsidRPr="00640820">
        <w:rPr>
          <w:rFonts w:ascii="Times New Roman" w:hAnsi="Times New Roman"/>
          <w:color w:val="000000" w:themeColor="text1"/>
          <w:sz w:val="16"/>
          <w:szCs w:val="16"/>
        </w:rPr>
        <w:tab/>
        <w:t>Каменск</w:t>
      </w:r>
      <w:r w:rsidRPr="00640820">
        <w:rPr>
          <w:rFonts w:ascii="Times New Roman" w:hAnsi="Times New Roman"/>
          <w:color w:val="000000" w:themeColor="text1"/>
          <w:sz w:val="16"/>
          <w:szCs w:val="16"/>
        </w:rPr>
        <w:tab/>
      </w:r>
      <w:r w:rsidRPr="00640820">
        <w:rPr>
          <w:rStyle w:val="0pt"/>
          <w:rFonts w:ascii="Times New Roman" w:hAnsi="Times New Roman" w:cs="Times New Roman"/>
          <w:color w:val="000000" w:themeColor="text1"/>
          <w:spacing w:val="0"/>
          <w:sz w:val="16"/>
          <w:szCs w:val="16"/>
        </w:rPr>
        <w:t>300</w:t>
      </w:r>
      <w:r w:rsidRPr="00640820">
        <w:rPr>
          <w:rStyle w:val="0pt"/>
          <w:rFonts w:ascii="Times New Roman" w:hAnsi="Times New Roman" w:cs="Times New Roman"/>
          <w:color w:val="000000" w:themeColor="text1"/>
          <w:spacing w:val="0"/>
          <w:sz w:val="16"/>
          <w:szCs w:val="16"/>
        </w:rPr>
        <w:tab/>
        <w:t>350</w:t>
      </w:r>
    </w:p>
    <w:p w14:paraId="42ECF56E" w14:textId="77777777" w:rsidR="002A2796" w:rsidRPr="00640820" w:rsidRDefault="002A2796" w:rsidP="00640820">
      <w:pPr>
        <w:tabs>
          <w:tab w:val="left" w:leader="underscore" w:pos="2000"/>
          <w:tab w:val="left" w:leader="underscore" w:pos="5105"/>
          <w:tab w:val="left" w:leader="underscore" w:pos="6410"/>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w:t>
      </w:r>
      <w:r w:rsidRPr="00640820">
        <w:rPr>
          <w:rFonts w:ascii="Times New Roman" w:hAnsi="Times New Roman"/>
          <w:color w:val="000000" w:themeColor="text1"/>
          <w:sz w:val="16"/>
          <w:szCs w:val="16"/>
        </w:rPr>
        <w:tab/>
        <w:t xml:space="preserve"> Ташкент</w:t>
      </w:r>
      <w:r w:rsidRPr="00640820">
        <w:rPr>
          <w:rFonts w:ascii="Times New Roman" w:hAnsi="Times New Roman"/>
          <w:color w:val="000000" w:themeColor="text1"/>
          <w:sz w:val="16"/>
          <w:szCs w:val="16"/>
        </w:rPr>
        <w:tab/>
        <w:t>50</w:t>
      </w:r>
      <w:r w:rsidRPr="00640820">
        <w:rPr>
          <w:rFonts w:ascii="Times New Roman" w:hAnsi="Times New Roman"/>
          <w:color w:val="000000" w:themeColor="text1"/>
          <w:sz w:val="16"/>
          <w:szCs w:val="16"/>
        </w:rPr>
        <w:tab/>
        <w:t xml:space="preserve"> 90</w:t>
      </w:r>
    </w:p>
    <w:p w14:paraId="17905694" w14:textId="77777777" w:rsidR="002A2796" w:rsidRPr="00640820" w:rsidRDefault="002A2796" w:rsidP="00640820">
      <w:pPr>
        <w:tabs>
          <w:tab w:val="left" w:leader="underscore" w:pos="2000"/>
          <w:tab w:val="left" w:leader="underscore" w:pos="5105"/>
          <w:tab w:val="left" w:leader="underscore" w:pos="6410"/>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ab/>
        <w:t>Прочие стройки</w:t>
      </w:r>
      <w:r w:rsidRPr="00640820">
        <w:rPr>
          <w:rFonts w:ascii="Times New Roman" w:hAnsi="Times New Roman"/>
          <w:color w:val="000000" w:themeColor="text1"/>
          <w:sz w:val="16"/>
          <w:szCs w:val="16"/>
        </w:rPr>
        <w:tab/>
      </w:r>
      <w:r w:rsidRPr="00640820">
        <w:rPr>
          <w:rStyle w:val="0pt"/>
          <w:rFonts w:ascii="Times New Roman" w:hAnsi="Times New Roman" w:cs="Times New Roman"/>
          <w:color w:val="000000" w:themeColor="text1"/>
          <w:spacing w:val="0"/>
          <w:sz w:val="16"/>
          <w:szCs w:val="16"/>
        </w:rPr>
        <w:t>1000</w:t>
      </w:r>
      <w:r w:rsidRPr="00640820">
        <w:rPr>
          <w:rStyle w:val="0pt"/>
          <w:rFonts w:ascii="Times New Roman" w:hAnsi="Times New Roman" w:cs="Times New Roman"/>
          <w:color w:val="000000" w:themeColor="text1"/>
          <w:spacing w:val="0"/>
          <w:sz w:val="16"/>
          <w:szCs w:val="16"/>
        </w:rPr>
        <w:tab/>
        <w:t>1000</w:t>
      </w:r>
    </w:p>
    <w:p w14:paraId="17562889" w14:textId="77777777" w:rsidR="002A2796" w:rsidRPr="00640820" w:rsidRDefault="002A2796" w:rsidP="00640820">
      <w:pPr>
        <w:tabs>
          <w:tab w:val="left" w:pos="5078"/>
          <w:tab w:val="left" w:pos="6383"/>
        </w:tabs>
        <w:spacing w:after="0" w:line="240" w:lineRule="auto"/>
        <w:jc w:val="both"/>
        <w:rPr>
          <w:rFonts w:ascii="Times New Roman" w:hAnsi="Times New Roman"/>
          <w:color w:val="000000" w:themeColor="text1"/>
          <w:sz w:val="16"/>
          <w:szCs w:val="16"/>
        </w:rPr>
      </w:pPr>
      <w:r w:rsidRPr="00640820">
        <w:rPr>
          <w:rStyle w:val="2pt0"/>
          <w:rFonts w:ascii="Times New Roman" w:hAnsi="Times New Roman" w:cs="Times New Roman"/>
          <w:color w:val="000000" w:themeColor="text1"/>
          <w:spacing w:val="0"/>
        </w:rPr>
        <w:t>Итого:</w:t>
      </w:r>
      <w:r w:rsidRPr="00640820">
        <w:rPr>
          <w:rStyle w:val="0pt"/>
          <w:rFonts w:ascii="Times New Roman" w:hAnsi="Times New Roman" w:cs="Times New Roman"/>
          <w:color w:val="000000" w:themeColor="text1"/>
          <w:spacing w:val="0"/>
          <w:sz w:val="16"/>
          <w:szCs w:val="16"/>
        </w:rPr>
        <w:tab/>
        <w:t>2800</w:t>
      </w:r>
      <w:r w:rsidRPr="00640820">
        <w:rPr>
          <w:rStyle w:val="0pt"/>
          <w:rFonts w:ascii="Times New Roman" w:hAnsi="Times New Roman" w:cs="Times New Roman"/>
          <w:color w:val="000000" w:themeColor="text1"/>
          <w:spacing w:val="0"/>
          <w:sz w:val="16"/>
          <w:szCs w:val="16"/>
        </w:rPr>
        <w:tab/>
        <w:t>3000</w:t>
      </w:r>
    </w:p>
    <w:p w14:paraId="5F5DCF28" w14:textId="77777777" w:rsidR="002A2796" w:rsidRPr="00640820" w:rsidRDefault="002A279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отгрузить в октябре и ноябре по разнарядке НКАП руберойда 30 тыс.рулонов, пергамина 40 тыс.рулонов и толя 40 тыс. рулонов.</w:t>
      </w:r>
    </w:p>
    <w:p w14:paraId="2CE124FF" w14:textId="77777777" w:rsidR="002A2796" w:rsidRPr="00640820" w:rsidRDefault="002A2796" w:rsidP="00640820">
      <w:pPr>
        <w:tabs>
          <w:tab w:val="left" w:pos="1160"/>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21. Обязать Наркомэлектропром (т.Кабанова) отгрузить эвакуированным заводам Наркомавиапрома в течение октября и ноября </w:t>
      </w:r>
      <w:r w:rsidRPr="00640820">
        <w:rPr>
          <w:rStyle w:val="0pt"/>
          <w:rFonts w:ascii="Times New Roman" w:hAnsi="Times New Roman" w:cs="Times New Roman"/>
          <w:color w:val="000000" w:themeColor="text1"/>
          <w:spacing w:val="0"/>
          <w:sz w:val="16"/>
          <w:szCs w:val="16"/>
        </w:rPr>
        <w:t>1941</w:t>
      </w:r>
      <w:r w:rsidRPr="00640820">
        <w:rPr>
          <w:rFonts w:ascii="Times New Roman" w:hAnsi="Times New Roman"/>
          <w:color w:val="000000" w:themeColor="text1"/>
          <w:sz w:val="16"/>
          <w:szCs w:val="16"/>
        </w:rPr>
        <w:t xml:space="preserve"> года по спецификациям НКАП кабеля бронированного </w:t>
      </w:r>
      <w:r w:rsidRPr="00640820">
        <w:rPr>
          <w:rStyle w:val="0pt"/>
          <w:rFonts w:ascii="Times New Roman" w:hAnsi="Times New Roman" w:cs="Times New Roman"/>
          <w:color w:val="000000" w:themeColor="text1"/>
          <w:spacing w:val="0"/>
          <w:sz w:val="16"/>
          <w:szCs w:val="16"/>
        </w:rPr>
        <w:t>400</w:t>
      </w:r>
      <w:r w:rsidRPr="00640820">
        <w:rPr>
          <w:rFonts w:ascii="Times New Roman" w:hAnsi="Times New Roman"/>
          <w:color w:val="000000" w:themeColor="text1"/>
          <w:sz w:val="16"/>
          <w:szCs w:val="16"/>
        </w:rPr>
        <w:t xml:space="preserve"> километров, проводов разных </w:t>
      </w:r>
      <w:r w:rsidRPr="00640820">
        <w:rPr>
          <w:rStyle w:val="0pt"/>
          <w:rFonts w:ascii="Times New Roman" w:hAnsi="Times New Roman" w:cs="Times New Roman"/>
          <w:color w:val="000000" w:themeColor="text1"/>
          <w:spacing w:val="0"/>
          <w:sz w:val="16"/>
          <w:szCs w:val="16"/>
        </w:rPr>
        <w:t>3000</w:t>
      </w:r>
      <w:r w:rsidRPr="00640820">
        <w:rPr>
          <w:rFonts w:ascii="Times New Roman" w:hAnsi="Times New Roman"/>
          <w:color w:val="000000" w:themeColor="text1"/>
          <w:sz w:val="16"/>
          <w:szCs w:val="16"/>
        </w:rPr>
        <w:t xml:space="preserve"> километров, шнура осве</w:t>
      </w:r>
      <w:r w:rsidRPr="00640820">
        <w:rPr>
          <w:rFonts w:ascii="Times New Roman" w:hAnsi="Times New Roman"/>
          <w:color w:val="000000" w:themeColor="text1"/>
          <w:sz w:val="16"/>
          <w:szCs w:val="16"/>
        </w:rPr>
        <w:softHyphen/>
        <w:t xml:space="preserve">тительного </w:t>
      </w:r>
      <w:r w:rsidRPr="00640820">
        <w:rPr>
          <w:rStyle w:val="0pt"/>
          <w:rFonts w:ascii="Times New Roman" w:hAnsi="Times New Roman" w:cs="Times New Roman"/>
          <w:color w:val="000000" w:themeColor="text1"/>
          <w:spacing w:val="0"/>
          <w:sz w:val="16"/>
          <w:szCs w:val="16"/>
        </w:rPr>
        <w:t>1200</w:t>
      </w:r>
      <w:r w:rsidRPr="00640820">
        <w:rPr>
          <w:rFonts w:ascii="Times New Roman" w:hAnsi="Times New Roman"/>
          <w:color w:val="000000" w:themeColor="text1"/>
          <w:sz w:val="16"/>
          <w:szCs w:val="16"/>
        </w:rPr>
        <w:t xml:space="preserve"> километров и голого провода </w:t>
      </w:r>
      <w:r w:rsidRPr="00640820">
        <w:rPr>
          <w:rStyle w:val="0pt"/>
          <w:rFonts w:ascii="Times New Roman" w:hAnsi="Times New Roman" w:cs="Times New Roman"/>
          <w:color w:val="000000" w:themeColor="text1"/>
          <w:spacing w:val="0"/>
          <w:sz w:val="16"/>
          <w:szCs w:val="16"/>
        </w:rPr>
        <w:t>175</w:t>
      </w:r>
      <w:r w:rsidRPr="00640820">
        <w:rPr>
          <w:rFonts w:ascii="Times New Roman" w:hAnsi="Times New Roman"/>
          <w:color w:val="000000" w:themeColor="text1"/>
          <w:sz w:val="16"/>
          <w:szCs w:val="16"/>
        </w:rPr>
        <w:t xml:space="preserve"> тонн.</w:t>
      </w:r>
    </w:p>
    <w:p w14:paraId="545520F4" w14:textId="77777777" w:rsidR="002A2796" w:rsidRPr="00640820" w:rsidRDefault="002A2796" w:rsidP="00640820">
      <w:pPr>
        <w:tabs>
          <w:tab w:val="left" w:pos="1160"/>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22. Наркомсредмашу отгрузить в октябре </w:t>
      </w:r>
      <w:r w:rsidRPr="00640820">
        <w:rPr>
          <w:rStyle w:val="0pt"/>
          <w:rFonts w:ascii="Times New Roman" w:hAnsi="Times New Roman" w:cs="Times New Roman"/>
          <w:color w:val="000000" w:themeColor="text1"/>
          <w:spacing w:val="0"/>
          <w:sz w:val="16"/>
          <w:szCs w:val="16"/>
        </w:rPr>
        <w:t>1941</w:t>
      </w:r>
      <w:r w:rsidRPr="00640820">
        <w:rPr>
          <w:rFonts w:ascii="Times New Roman" w:hAnsi="Times New Roman"/>
          <w:color w:val="000000" w:themeColor="text1"/>
          <w:sz w:val="16"/>
          <w:szCs w:val="16"/>
        </w:rPr>
        <w:t xml:space="preserve"> года для по</w:t>
      </w:r>
      <w:r w:rsidRPr="00640820">
        <w:rPr>
          <w:rFonts w:ascii="Times New Roman" w:hAnsi="Times New Roman"/>
          <w:color w:val="000000" w:themeColor="text1"/>
          <w:sz w:val="16"/>
          <w:szCs w:val="16"/>
        </w:rPr>
        <w:softHyphen/>
        <w:t>полнения автомобильного транспорта трестов Наркомавиапрома автомашины в следующем количестве:</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1673"/>
        <w:gridCol w:w="2393"/>
        <w:gridCol w:w="1185"/>
        <w:gridCol w:w="915"/>
        <w:gridCol w:w="1163"/>
      </w:tblGrid>
      <w:tr w:rsidR="00643896" w:rsidRPr="00640820" w14:paraId="711E0958" w14:textId="77777777" w:rsidTr="002A2796">
        <w:trPr>
          <w:trHeight w:val="383"/>
          <w:jc w:val="center"/>
        </w:trPr>
        <w:tc>
          <w:tcPr>
            <w:tcW w:w="1673" w:type="dxa"/>
            <w:shd w:val="clear" w:color="auto" w:fill="FFFFFF"/>
          </w:tcPr>
          <w:p w14:paraId="60DE1412"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трестов</w:t>
            </w:r>
          </w:p>
        </w:tc>
        <w:tc>
          <w:tcPr>
            <w:tcW w:w="2393" w:type="dxa"/>
            <w:shd w:val="clear" w:color="auto" w:fill="FFFFFF"/>
          </w:tcPr>
          <w:p w14:paraId="42B4D1CD"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Местонахождение</w:t>
            </w:r>
          </w:p>
        </w:tc>
        <w:tc>
          <w:tcPr>
            <w:tcW w:w="2100" w:type="dxa"/>
            <w:gridSpan w:val="2"/>
            <w:shd w:val="clear" w:color="auto" w:fill="FFFFFF"/>
          </w:tcPr>
          <w:p w14:paraId="2DE18874"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w:t>
            </w:r>
          </w:p>
        </w:tc>
        <w:tc>
          <w:tcPr>
            <w:tcW w:w="1163" w:type="dxa"/>
            <w:shd w:val="clear" w:color="auto" w:fill="FFFFFF"/>
          </w:tcPr>
          <w:p w14:paraId="403CA1F5"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машин</w:t>
            </w:r>
          </w:p>
        </w:tc>
      </w:tr>
      <w:tr w:rsidR="00643896" w:rsidRPr="00640820" w14:paraId="77CA57FD" w14:textId="77777777" w:rsidTr="002A2796">
        <w:trPr>
          <w:trHeight w:val="240"/>
          <w:jc w:val="center"/>
        </w:trPr>
        <w:tc>
          <w:tcPr>
            <w:tcW w:w="1673" w:type="dxa"/>
            <w:shd w:val="clear" w:color="auto" w:fill="FFFFFF"/>
          </w:tcPr>
          <w:p w14:paraId="285970E7"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p>
        </w:tc>
        <w:tc>
          <w:tcPr>
            <w:tcW w:w="2393" w:type="dxa"/>
            <w:shd w:val="clear" w:color="auto" w:fill="FFFFFF"/>
          </w:tcPr>
          <w:p w14:paraId="0A4D122E"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p>
        </w:tc>
        <w:tc>
          <w:tcPr>
            <w:tcW w:w="1185" w:type="dxa"/>
            <w:shd w:val="clear" w:color="auto" w:fill="FFFFFF"/>
          </w:tcPr>
          <w:p w14:paraId="49BF3465"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w:t>
            </w:r>
          </w:p>
        </w:tc>
        <w:tc>
          <w:tcPr>
            <w:tcW w:w="2078" w:type="dxa"/>
            <w:gridSpan w:val="2"/>
            <w:shd w:val="clear" w:color="auto" w:fill="FFFFFF"/>
          </w:tcPr>
          <w:p w14:paraId="4749DDAF"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том числе</w:t>
            </w:r>
          </w:p>
        </w:tc>
      </w:tr>
      <w:tr w:rsidR="00643896" w:rsidRPr="00640820" w14:paraId="6D96BCDA" w14:textId="77777777" w:rsidTr="002A2796">
        <w:trPr>
          <w:trHeight w:val="255"/>
          <w:jc w:val="center"/>
        </w:trPr>
        <w:tc>
          <w:tcPr>
            <w:tcW w:w="1673" w:type="dxa"/>
            <w:shd w:val="clear" w:color="auto" w:fill="FFFFFF"/>
          </w:tcPr>
          <w:p w14:paraId="289E87D0"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p>
        </w:tc>
        <w:tc>
          <w:tcPr>
            <w:tcW w:w="2393" w:type="dxa"/>
            <w:shd w:val="clear" w:color="auto" w:fill="FFFFFF"/>
          </w:tcPr>
          <w:p w14:paraId="64CCF6A0"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p>
        </w:tc>
        <w:tc>
          <w:tcPr>
            <w:tcW w:w="1185" w:type="dxa"/>
            <w:shd w:val="clear" w:color="auto" w:fill="FFFFFF"/>
          </w:tcPr>
          <w:p w14:paraId="261E3D94"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p>
        </w:tc>
        <w:tc>
          <w:tcPr>
            <w:tcW w:w="915" w:type="dxa"/>
            <w:shd w:val="clear" w:color="auto" w:fill="FFFFFF"/>
          </w:tcPr>
          <w:p w14:paraId="712D2E5B"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ЗИС-5</w:t>
            </w:r>
          </w:p>
        </w:tc>
        <w:tc>
          <w:tcPr>
            <w:tcW w:w="1163" w:type="dxa"/>
            <w:shd w:val="clear" w:color="auto" w:fill="FFFFFF"/>
          </w:tcPr>
          <w:p w14:paraId="6D583FDC"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ГАЗ-АА</w:t>
            </w:r>
          </w:p>
        </w:tc>
      </w:tr>
      <w:tr w:rsidR="00643896" w:rsidRPr="00640820" w14:paraId="5B804A3E" w14:textId="77777777" w:rsidTr="002A2796">
        <w:trPr>
          <w:trHeight w:val="240"/>
          <w:jc w:val="center"/>
        </w:trPr>
        <w:tc>
          <w:tcPr>
            <w:tcW w:w="1673" w:type="dxa"/>
            <w:shd w:val="clear" w:color="auto" w:fill="FFFFFF"/>
          </w:tcPr>
          <w:p w14:paraId="4AD7E09E"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2393" w:type="dxa"/>
            <w:shd w:val="clear" w:color="auto" w:fill="FFFFFF"/>
          </w:tcPr>
          <w:p w14:paraId="56D0FD1E"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Омск</w:t>
            </w:r>
          </w:p>
        </w:tc>
        <w:tc>
          <w:tcPr>
            <w:tcW w:w="1185" w:type="dxa"/>
            <w:shd w:val="clear" w:color="auto" w:fill="FFFFFF"/>
          </w:tcPr>
          <w:p w14:paraId="2A8B3B12"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w:t>
            </w:r>
          </w:p>
        </w:tc>
        <w:tc>
          <w:tcPr>
            <w:tcW w:w="915" w:type="dxa"/>
            <w:shd w:val="clear" w:color="auto" w:fill="FFFFFF"/>
          </w:tcPr>
          <w:p w14:paraId="3A65ECD8"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w:t>
            </w:r>
          </w:p>
        </w:tc>
        <w:tc>
          <w:tcPr>
            <w:tcW w:w="1163" w:type="dxa"/>
            <w:shd w:val="clear" w:color="auto" w:fill="FFFFFF"/>
          </w:tcPr>
          <w:p w14:paraId="733BE2FF" w14:textId="77777777" w:rsidR="002A2796" w:rsidRPr="00640820" w:rsidRDefault="002A2796" w:rsidP="00640820">
            <w:pPr>
              <w:pStyle w:val="5f0"/>
              <w:framePr w:wrap="notBeside" w:vAnchor="text" w:hAnchor="text" w:xAlign="center" w:y="1"/>
              <w:shd w:val="clear" w:color="auto" w:fill="auto"/>
              <w:spacing w:line="240" w:lineRule="auto"/>
              <w:jc w:val="both"/>
              <w:rPr>
                <w:rFonts w:ascii="Times New Roman" w:hAnsi="Times New Roman" w:cs="Times New Roman"/>
                <w:color w:val="000000" w:themeColor="text1"/>
                <w:spacing w:val="0"/>
                <w:sz w:val="16"/>
                <w:szCs w:val="16"/>
              </w:rPr>
            </w:pPr>
            <w:r w:rsidRPr="00640820">
              <w:rPr>
                <w:rFonts w:ascii="Times New Roman" w:hAnsi="Times New Roman" w:cs="Times New Roman"/>
                <w:color w:val="000000" w:themeColor="text1"/>
                <w:spacing w:val="0"/>
                <w:sz w:val="16"/>
                <w:szCs w:val="16"/>
              </w:rPr>
              <w:t>_</w:t>
            </w:r>
          </w:p>
        </w:tc>
      </w:tr>
      <w:tr w:rsidR="00643896" w:rsidRPr="00640820" w14:paraId="2A00D28F" w14:textId="77777777" w:rsidTr="002A2796">
        <w:trPr>
          <w:trHeight w:val="180"/>
          <w:jc w:val="center"/>
        </w:trPr>
        <w:tc>
          <w:tcPr>
            <w:tcW w:w="1673" w:type="dxa"/>
            <w:shd w:val="clear" w:color="auto" w:fill="FFFFFF"/>
          </w:tcPr>
          <w:p w14:paraId="63AD253B"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c>
          <w:tcPr>
            <w:tcW w:w="2393" w:type="dxa"/>
            <w:shd w:val="clear" w:color="auto" w:fill="FFFFFF"/>
          </w:tcPr>
          <w:p w14:paraId="047A3A2E"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Уфа</w:t>
            </w:r>
          </w:p>
        </w:tc>
        <w:tc>
          <w:tcPr>
            <w:tcW w:w="1185" w:type="dxa"/>
            <w:shd w:val="clear" w:color="auto" w:fill="FFFFFF"/>
          </w:tcPr>
          <w:p w14:paraId="60169FD8"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w:t>
            </w:r>
          </w:p>
        </w:tc>
        <w:tc>
          <w:tcPr>
            <w:tcW w:w="915" w:type="dxa"/>
            <w:shd w:val="clear" w:color="auto" w:fill="FFFFFF"/>
          </w:tcPr>
          <w:p w14:paraId="5EFF16F4"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c>
          <w:tcPr>
            <w:tcW w:w="1163" w:type="dxa"/>
            <w:shd w:val="clear" w:color="auto" w:fill="FFFFFF"/>
          </w:tcPr>
          <w:p w14:paraId="7B2087A6"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r>
      <w:tr w:rsidR="00643896" w:rsidRPr="00640820" w14:paraId="7534DAB9" w14:textId="77777777" w:rsidTr="002A2796">
        <w:trPr>
          <w:trHeight w:val="188"/>
          <w:jc w:val="center"/>
        </w:trPr>
        <w:tc>
          <w:tcPr>
            <w:tcW w:w="1673" w:type="dxa"/>
            <w:shd w:val="clear" w:color="auto" w:fill="FFFFFF"/>
          </w:tcPr>
          <w:p w14:paraId="7C9A771C"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w:t>
            </w:r>
          </w:p>
        </w:tc>
        <w:tc>
          <w:tcPr>
            <w:tcW w:w="2393" w:type="dxa"/>
            <w:shd w:val="clear" w:color="auto" w:fill="FFFFFF"/>
          </w:tcPr>
          <w:p w14:paraId="4CD87218"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Новосибирск</w:t>
            </w:r>
          </w:p>
        </w:tc>
        <w:tc>
          <w:tcPr>
            <w:tcW w:w="1185" w:type="dxa"/>
            <w:shd w:val="clear" w:color="auto" w:fill="FFFFFF"/>
          </w:tcPr>
          <w:p w14:paraId="269DE58D"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70</w:t>
            </w:r>
          </w:p>
        </w:tc>
        <w:tc>
          <w:tcPr>
            <w:tcW w:w="915" w:type="dxa"/>
            <w:shd w:val="clear" w:color="auto" w:fill="FFFFFF"/>
          </w:tcPr>
          <w:p w14:paraId="127C1C1B"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w:t>
            </w:r>
          </w:p>
        </w:tc>
        <w:tc>
          <w:tcPr>
            <w:tcW w:w="1163" w:type="dxa"/>
            <w:shd w:val="clear" w:color="auto" w:fill="FFFFFF"/>
          </w:tcPr>
          <w:p w14:paraId="3E4EEF08"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r>
      <w:tr w:rsidR="00643896" w:rsidRPr="00640820" w14:paraId="56387ECA" w14:textId="77777777" w:rsidTr="002A2796">
        <w:trPr>
          <w:trHeight w:val="173"/>
          <w:jc w:val="center"/>
        </w:trPr>
        <w:tc>
          <w:tcPr>
            <w:tcW w:w="1673" w:type="dxa"/>
            <w:shd w:val="clear" w:color="auto" w:fill="FFFFFF"/>
          </w:tcPr>
          <w:p w14:paraId="07B7DCBA"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w:t>
            </w:r>
          </w:p>
        </w:tc>
        <w:tc>
          <w:tcPr>
            <w:tcW w:w="2393" w:type="dxa"/>
            <w:shd w:val="clear" w:color="auto" w:fill="FFFFFF"/>
          </w:tcPr>
          <w:p w14:paraId="339B863E"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Молотов</w:t>
            </w:r>
          </w:p>
        </w:tc>
        <w:tc>
          <w:tcPr>
            <w:tcW w:w="1185" w:type="dxa"/>
            <w:shd w:val="clear" w:color="auto" w:fill="FFFFFF"/>
          </w:tcPr>
          <w:p w14:paraId="7079B49D"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65</w:t>
            </w:r>
          </w:p>
        </w:tc>
        <w:tc>
          <w:tcPr>
            <w:tcW w:w="915" w:type="dxa"/>
            <w:shd w:val="clear" w:color="auto" w:fill="FFFFFF"/>
          </w:tcPr>
          <w:p w14:paraId="0812DECE"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w:t>
            </w:r>
          </w:p>
        </w:tc>
        <w:tc>
          <w:tcPr>
            <w:tcW w:w="1163" w:type="dxa"/>
            <w:shd w:val="clear" w:color="auto" w:fill="FFFFFF"/>
          </w:tcPr>
          <w:p w14:paraId="56FA2A60"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w:t>
            </w:r>
          </w:p>
        </w:tc>
      </w:tr>
      <w:tr w:rsidR="00643896" w:rsidRPr="00640820" w14:paraId="2273D846" w14:textId="77777777" w:rsidTr="002A2796">
        <w:trPr>
          <w:trHeight w:val="173"/>
          <w:jc w:val="center"/>
        </w:trPr>
        <w:tc>
          <w:tcPr>
            <w:tcW w:w="1673" w:type="dxa"/>
            <w:shd w:val="clear" w:color="auto" w:fill="FFFFFF"/>
          </w:tcPr>
          <w:p w14:paraId="5064E406"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w:t>
            </w:r>
          </w:p>
        </w:tc>
        <w:tc>
          <w:tcPr>
            <w:tcW w:w="2393" w:type="dxa"/>
            <w:shd w:val="clear" w:color="auto" w:fill="FFFFFF"/>
          </w:tcPr>
          <w:p w14:paraId="498C8F73"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Казань</w:t>
            </w:r>
          </w:p>
        </w:tc>
        <w:tc>
          <w:tcPr>
            <w:tcW w:w="1185" w:type="dxa"/>
            <w:shd w:val="clear" w:color="auto" w:fill="FFFFFF"/>
          </w:tcPr>
          <w:p w14:paraId="3067FD61"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70</w:t>
            </w:r>
          </w:p>
        </w:tc>
        <w:tc>
          <w:tcPr>
            <w:tcW w:w="915" w:type="dxa"/>
            <w:shd w:val="clear" w:color="auto" w:fill="FFFFFF"/>
          </w:tcPr>
          <w:p w14:paraId="20703A79"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w:t>
            </w:r>
          </w:p>
        </w:tc>
        <w:tc>
          <w:tcPr>
            <w:tcW w:w="1163" w:type="dxa"/>
            <w:shd w:val="clear" w:color="auto" w:fill="FFFFFF"/>
          </w:tcPr>
          <w:p w14:paraId="0C7FEB55"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r>
      <w:tr w:rsidR="00643896" w:rsidRPr="00640820" w14:paraId="16888A84" w14:textId="77777777" w:rsidTr="002A2796">
        <w:trPr>
          <w:trHeight w:val="180"/>
          <w:jc w:val="center"/>
        </w:trPr>
        <w:tc>
          <w:tcPr>
            <w:tcW w:w="1673" w:type="dxa"/>
            <w:shd w:val="clear" w:color="auto" w:fill="FFFFFF"/>
          </w:tcPr>
          <w:p w14:paraId="513CB857"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c>
          <w:tcPr>
            <w:tcW w:w="2393" w:type="dxa"/>
            <w:shd w:val="clear" w:color="auto" w:fill="FFFFFF"/>
          </w:tcPr>
          <w:p w14:paraId="2178C350"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Каменск</w:t>
            </w:r>
          </w:p>
        </w:tc>
        <w:tc>
          <w:tcPr>
            <w:tcW w:w="1185" w:type="dxa"/>
            <w:shd w:val="clear" w:color="auto" w:fill="FFFFFF"/>
          </w:tcPr>
          <w:p w14:paraId="30E9A882"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c>
          <w:tcPr>
            <w:tcW w:w="915" w:type="dxa"/>
            <w:shd w:val="clear" w:color="auto" w:fill="FFFFFF"/>
          </w:tcPr>
          <w:p w14:paraId="0EF251E8"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c>
          <w:tcPr>
            <w:tcW w:w="1163" w:type="dxa"/>
            <w:shd w:val="clear" w:color="auto" w:fill="FFFFFF"/>
          </w:tcPr>
          <w:p w14:paraId="013CDA1F"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3F693C67" w14:textId="77777777" w:rsidTr="002A2796">
        <w:trPr>
          <w:trHeight w:val="180"/>
          <w:jc w:val="center"/>
        </w:trPr>
        <w:tc>
          <w:tcPr>
            <w:tcW w:w="1673" w:type="dxa"/>
            <w:shd w:val="clear" w:color="auto" w:fill="FFFFFF"/>
          </w:tcPr>
          <w:p w14:paraId="0F36A6B9"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w:t>
            </w:r>
          </w:p>
        </w:tc>
        <w:tc>
          <w:tcPr>
            <w:tcW w:w="2393" w:type="dxa"/>
            <w:shd w:val="clear" w:color="auto" w:fill="FFFFFF"/>
          </w:tcPr>
          <w:p w14:paraId="3EA6D219"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Павлово на Оке</w:t>
            </w:r>
          </w:p>
        </w:tc>
        <w:tc>
          <w:tcPr>
            <w:tcW w:w="1185" w:type="dxa"/>
            <w:shd w:val="clear" w:color="auto" w:fill="FFFFFF"/>
          </w:tcPr>
          <w:p w14:paraId="20D6E4D5"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915" w:type="dxa"/>
            <w:shd w:val="clear" w:color="auto" w:fill="FFFFFF"/>
          </w:tcPr>
          <w:p w14:paraId="6F159625"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w:t>
            </w:r>
          </w:p>
        </w:tc>
        <w:tc>
          <w:tcPr>
            <w:tcW w:w="1163" w:type="dxa"/>
            <w:shd w:val="clear" w:color="auto" w:fill="FFFFFF"/>
          </w:tcPr>
          <w:p w14:paraId="2A2DF052"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24935317" w14:textId="77777777" w:rsidTr="002A2796">
        <w:trPr>
          <w:trHeight w:val="143"/>
          <w:jc w:val="center"/>
        </w:trPr>
        <w:tc>
          <w:tcPr>
            <w:tcW w:w="1673" w:type="dxa"/>
            <w:vMerge w:val="restart"/>
            <w:shd w:val="clear" w:color="auto" w:fill="FFFFFF"/>
          </w:tcPr>
          <w:p w14:paraId="433F0140"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w:t>
            </w:r>
          </w:p>
        </w:tc>
        <w:tc>
          <w:tcPr>
            <w:tcW w:w="2393" w:type="dxa"/>
            <w:shd w:val="clear" w:color="auto" w:fill="FFFFFF"/>
          </w:tcPr>
          <w:p w14:paraId="631FD92D"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Ташкент</w:t>
            </w:r>
          </w:p>
        </w:tc>
        <w:tc>
          <w:tcPr>
            <w:tcW w:w="1185" w:type="dxa"/>
            <w:shd w:val="clear" w:color="auto" w:fill="FFFFFF"/>
          </w:tcPr>
          <w:p w14:paraId="57DB86E3"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w:t>
            </w:r>
          </w:p>
        </w:tc>
        <w:tc>
          <w:tcPr>
            <w:tcW w:w="915" w:type="dxa"/>
            <w:shd w:val="clear" w:color="auto" w:fill="FFFFFF"/>
          </w:tcPr>
          <w:p w14:paraId="1BD28FC1"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1163" w:type="dxa"/>
            <w:vMerge w:val="restart"/>
            <w:shd w:val="clear" w:color="auto" w:fill="FFFFFF"/>
          </w:tcPr>
          <w:p w14:paraId="77E1980E"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r>
      <w:tr w:rsidR="00643896" w:rsidRPr="00640820" w14:paraId="760C5F15" w14:textId="77777777" w:rsidTr="002A2796">
        <w:trPr>
          <w:trHeight w:val="143"/>
          <w:jc w:val="center"/>
        </w:trPr>
        <w:tc>
          <w:tcPr>
            <w:tcW w:w="1673" w:type="dxa"/>
            <w:vMerge/>
            <w:shd w:val="clear" w:color="auto" w:fill="FFFFFF"/>
          </w:tcPr>
          <w:p w14:paraId="42E75287"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p>
        </w:tc>
        <w:tc>
          <w:tcPr>
            <w:tcW w:w="2393" w:type="dxa"/>
            <w:shd w:val="clear" w:color="auto" w:fill="FFFFFF"/>
          </w:tcPr>
          <w:p w14:paraId="3F55CF39"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p>
        </w:tc>
        <w:tc>
          <w:tcPr>
            <w:tcW w:w="1185" w:type="dxa"/>
            <w:shd w:val="clear" w:color="auto" w:fill="FFFFFF"/>
          </w:tcPr>
          <w:p w14:paraId="59FB90CD"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p>
        </w:tc>
        <w:tc>
          <w:tcPr>
            <w:tcW w:w="915" w:type="dxa"/>
            <w:shd w:val="clear" w:color="auto" w:fill="FFFFFF"/>
          </w:tcPr>
          <w:p w14:paraId="22EEF32C"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p>
        </w:tc>
        <w:tc>
          <w:tcPr>
            <w:tcW w:w="1163" w:type="dxa"/>
            <w:vMerge/>
            <w:shd w:val="clear" w:color="auto" w:fill="FFFFFF"/>
          </w:tcPr>
          <w:p w14:paraId="43F3ABA3"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p>
        </w:tc>
      </w:tr>
      <w:tr w:rsidR="00643896" w:rsidRPr="00640820" w14:paraId="4351689E" w14:textId="77777777" w:rsidTr="002A2796">
        <w:trPr>
          <w:trHeight w:val="330"/>
          <w:jc w:val="center"/>
        </w:trPr>
        <w:tc>
          <w:tcPr>
            <w:tcW w:w="1673" w:type="dxa"/>
            <w:shd w:val="clear" w:color="auto" w:fill="FFFFFF"/>
          </w:tcPr>
          <w:p w14:paraId="53A8A4C9"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p>
        </w:tc>
        <w:tc>
          <w:tcPr>
            <w:tcW w:w="2393" w:type="dxa"/>
            <w:shd w:val="clear" w:color="auto" w:fill="FFFFFF"/>
          </w:tcPr>
          <w:p w14:paraId="07C68C1D"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2pt0"/>
                <w:rFonts w:ascii="Times New Roman" w:hAnsi="Times New Roman" w:cs="Times New Roman"/>
                <w:color w:val="000000" w:themeColor="text1"/>
                <w:spacing w:val="0"/>
              </w:rPr>
              <w:t>Итого:</w:t>
            </w:r>
          </w:p>
        </w:tc>
        <w:tc>
          <w:tcPr>
            <w:tcW w:w="1185" w:type="dxa"/>
            <w:shd w:val="clear" w:color="auto" w:fill="FFFFFF"/>
          </w:tcPr>
          <w:p w14:paraId="66F9E6E3"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0pt"/>
                <w:rFonts w:ascii="Times New Roman" w:hAnsi="Times New Roman" w:cs="Times New Roman"/>
                <w:color w:val="000000" w:themeColor="text1"/>
                <w:spacing w:val="0"/>
                <w:sz w:val="16"/>
                <w:szCs w:val="16"/>
              </w:rPr>
              <w:t>375</w:t>
            </w:r>
          </w:p>
        </w:tc>
        <w:tc>
          <w:tcPr>
            <w:tcW w:w="915" w:type="dxa"/>
            <w:shd w:val="clear" w:color="auto" w:fill="FFFFFF"/>
          </w:tcPr>
          <w:p w14:paraId="1C1B6EB4"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0pt"/>
                <w:rFonts w:ascii="Times New Roman" w:hAnsi="Times New Roman" w:cs="Times New Roman"/>
                <w:color w:val="000000" w:themeColor="text1"/>
                <w:spacing w:val="0"/>
                <w:sz w:val="16"/>
                <w:szCs w:val="16"/>
              </w:rPr>
              <w:t>275</w:t>
            </w:r>
          </w:p>
        </w:tc>
        <w:tc>
          <w:tcPr>
            <w:tcW w:w="1163" w:type="dxa"/>
            <w:shd w:val="clear" w:color="auto" w:fill="FFFFFF"/>
          </w:tcPr>
          <w:p w14:paraId="6372B9DE" w14:textId="77777777" w:rsidR="002A2796" w:rsidRPr="00640820" w:rsidRDefault="002A2796"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0pt"/>
                <w:rFonts w:ascii="Times New Roman" w:hAnsi="Times New Roman" w:cs="Times New Roman"/>
                <w:color w:val="000000" w:themeColor="text1"/>
                <w:spacing w:val="0"/>
                <w:sz w:val="16"/>
                <w:szCs w:val="16"/>
              </w:rPr>
              <w:t>100</w:t>
            </w:r>
          </w:p>
        </w:tc>
      </w:tr>
    </w:tbl>
    <w:p w14:paraId="25274F9D" w14:textId="77777777" w:rsidR="002A2796" w:rsidRPr="00640820" w:rsidRDefault="002A2796" w:rsidP="00640820">
      <w:pPr>
        <w:spacing w:after="0" w:line="240" w:lineRule="auto"/>
        <w:jc w:val="both"/>
        <w:rPr>
          <w:rFonts w:ascii="Times New Roman" w:hAnsi="Times New Roman"/>
          <w:color w:val="000000" w:themeColor="text1"/>
          <w:sz w:val="16"/>
          <w:szCs w:val="16"/>
        </w:rPr>
      </w:pPr>
      <w:r w:rsidRPr="00640820">
        <w:rPr>
          <w:rStyle w:val="0pt"/>
          <w:rFonts w:ascii="Times New Roman" w:hAnsi="Times New Roman" w:cs="Times New Roman"/>
          <w:color w:val="000000" w:themeColor="text1"/>
          <w:spacing w:val="0"/>
          <w:sz w:val="16"/>
          <w:szCs w:val="16"/>
        </w:rPr>
        <w:t>23.</w:t>
      </w:r>
      <w:r w:rsidRPr="00640820">
        <w:rPr>
          <w:rFonts w:ascii="Times New Roman" w:hAnsi="Times New Roman"/>
          <w:color w:val="000000" w:themeColor="text1"/>
          <w:sz w:val="16"/>
          <w:szCs w:val="16"/>
        </w:rPr>
        <w:t xml:space="preserve"> Обявать НКПС:</w:t>
      </w:r>
    </w:p>
    <w:p w14:paraId="7026082F" w14:textId="77777777" w:rsidR="002A2796" w:rsidRPr="00640820" w:rsidRDefault="002A279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полностью удовлетворять заявки Наркомавиапрома на ва</w:t>
      </w:r>
      <w:r w:rsidRPr="00640820">
        <w:rPr>
          <w:rFonts w:ascii="Times New Roman" w:hAnsi="Times New Roman"/>
          <w:color w:val="000000" w:themeColor="text1"/>
          <w:sz w:val="16"/>
          <w:szCs w:val="16"/>
        </w:rPr>
        <w:softHyphen/>
        <w:t>гоны для перевозки местных строительных материалов в адреса трестов и строек НКАП;</w:t>
      </w:r>
    </w:p>
    <w:p w14:paraId="7E14DE38" w14:textId="77777777" w:rsidR="002A2796" w:rsidRPr="00640820" w:rsidRDefault="002A2796"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б) выделить в 2-х дневный срок 150 платформ для перевоз</w:t>
      </w:r>
      <w:r w:rsidRPr="00640820">
        <w:rPr>
          <w:rFonts w:ascii="Times New Roman" w:eastAsia="Times New Roman" w:hAnsi="Times New Roman"/>
          <w:color w:val="000000" w:themeColor="text1"/>
          <w:sz w:val="16"/>
          <w:szCs w:val="16"/>
        </w:rPr>
        <w:softHyphen/>
        <w:t>ки металлоконструкций с эавода Наркомстроя в г.Сталино на завод 124 в г.Казань.</w:t>
      </w:r>
    </w:p>
    <w:p w14:paraId="019E00F6" w14:textId="77777777" w:rsidR="002A2796" w:rsidRPr="00640820" w:rsidRDefault="002A2796" w:rsidP="00640820">
      <w:pPr>
        <w:tabs>
          <w:tab w:val="left" w:pos="1105"/>
        </w:tabs>
        <w:spacing w:after="0" w:line="240" w:lineRule="auto"/>
        <w:jc w:val="both"/>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24. Промбанку СССР (</w:t>
      </w:r>
      <w:r w:rsidRPr="00640820">
        <w:rPr>
          <w:rFonts w:ascii="Times New Roman" w:eastAsia="Times New Roman" w:hAnsi="Times New Roman"/>
          <w:color w:val="000000" w:themeColor="text1"/>
          <w:sz w:val="16"/>
          <w:szCs w:val="16"/>
          <w:lang w:val="en-US"/>
        </w:rPr>
        <w:t>toe</w:t>
      </w:r>
      <w:r w:rsidRPr="00640820">
        <w:rPr>
          <w:rFonts w:ascii="Times New Roman" w:eastAsia="Times New Roman" w:hAnsi="Times New Roman"/>
          <w:color w:val="000000" w:themeColor="text1"/>
          <w:sz w:val="16"/>
          <w:szCs w:val="16"/>
        </w:rPr>
        <w:t>.Гроссману) финансировать строи</w:t>
      </w:r>
      <w:r w:rsidRPr="00640820">
        <w:rPr>
          <w:rFonts w:ascii="Times New Roman" w:eastAsia="Times New Roman" w:hAnsi="Times New Roman"/>
          <w:color w:val="000000" w:themeColor="text1"/>
          <w:sz w:val="16"/>
          <w:szCs w:val="16"/>
        </w:rPr>
        <w:softHyphen/>
        <w:t>тельство для размещения эвакуируемых заводов Нарксмавиапрома в случае необходимости сверх установленного плана капитало</w:t>
      </w:r>
      <w:r w:rsidRPr="00640820">
        <w:rPr>
          <w:rFonts w:ascii="Times New Roman" w:eastAsia="Times New Roman" w:hAnsi="Times New Roman"/>
          <w:color w:val="000000" w:themeColor="text1"/>
          <w:sz w:val="16"/>
          <w:szCs w:val="16"/>
        </w:rPr>
        <w:softHyphen/>
        <w:t>вложений 4 квартала 1941 года.</w:t>
      </w:r>
    </w:p>
    <w:p w14:paraId="25977F29" w14:textId="77777777" w:rsidR="002A2796" w:rsidRPr="00640820" w:rsidRDefault="002A2796" w:rsidP="00640820">
      <w:pPr>
        <w:spacing w:after="0" w:line="240" w:lineRule="auto"/>
        <w:jc w:val="both"/>
        <w:rPr>
          <w:rFonts w:ascii="Times New Roman" w:hAnsi="Times New Roman"/>
          <w:color w:val="000000" w:themeColor="text1"/>
          <w:sz w:val="16"/>
          <w:szCs w:val="16"/>
        </w:rPr>
      </w:pPr>
      <w:r w:rsidRPr="00640820">
        <w:rPr>
          <w:rFonts w:ascii="Times New Roman" w:eastAsia="Times New Roman" w:hAnsi="Times New Roman"/>
          <w:color w:val="000000" w:themeColor="text1"/>
          <w:sz w:val="16"/>
          <w:szCs w:val="16"/>
        </w:rPr>
        <w:t>25. В связи с эвакуацией эавода № 95 и Комбината № 150 Н</w:t>
      </w:r>
      <w:r w:rsidRPr="00640820">
        <w:rPr>
          <w:rFonts w:ascii="Times New Roman" w:eastAsia="Times New Roman" w:hAnsi="Times New Roman"/>
          <w:color w:val="000000" w:themeColor="text1"/>
          <w:sz w:val="16"/>
          <w:szCs w:val="16"/>
          <w:lang w:val="en-US"/>
        </w:rPr>
        <w:t>IKAI</w:t>
      </w:r>
      <w:r w:rsidRPr="00640820">
        <w:rPr>
          <w:rFonts w:ascii="Times New Roman" w:eastAsia="Times New Roman" w:hAnsi="Times New Roman"/>
          <w:color w:val="000000" w:themeColor="text1"/>
          <w:sz w:val="16"/>
          <w:szCs w:val="16"/>
        </w:rPr>
        <w:t>1 на площади Верхне-Салдинского завода бывш. "Стальконструк ция" обязать Ларкомстрой тов.Гинзбурга в двухдневный срок пол</w:t>
      </w:r>
      <w:r w:rsidRPr="00640820">
        <w:rPr>
          <w:rFonts w:ascii="Times New Roman" w:eastAsia="Times New Roman" w:hAnsi="Times New Roman"/>
          <w:color w:val="000000" w:themeColor="text1"/>
          <w:sz w:val="16"/>
          <w:szCs w:val="16"/>
        </w:rPr>
        <w:softHyphen/>
        <w:t>ностью освободить площади завода и заводоуправления, передав НКАП: 10 мостовых кранов, компрессорную в об"еме трех компрес</w:t>
      </w:r>
      <w:r w:rsidRPr="00640820">
        <w:rPr>
          <w:rFonts w:ascii="Times New Roman" w:eastAsia="Times New Roman" w:hAnsi="Times New Roman"/>
          <w:color w:val="000000" w:themeColor="text1"/>
          <w:sz w:val="16"/>
          <w:szCs w:val="16"/>
        </w:rPr>
        <w:softHyphen/>
        <w:t>соров по 60 куб.мтр.каждый, все энергохозяйство, 50% парово</w:t>
      </w:r>
      <w:r w:rsidRPr="00640820">
        <w:rPr>
          <w:rFonts w:ascii="Times New Roman" w:eastAsia="Times New Roman" w:hAnsi="Times New Roman"/>
          <w:color w:val="000000" w:themeColor="text1"/>
          <w:sz w:val="16"/>
          <w:szCs w:val="16"/>
        </w:rPr>
        <w:softHyphen/>
        <w:t>зов, мотовозое и наличного парка платформ и вагонов, вспомога</w:t>
      </w:r>
      <w:r w:rsidRPr="00640820">
        <w:rPr>
          <w:rFonts w:ascii="Times New Roman" w:eastAsia="Times New Roman" w:hAnsi="Times New Roman"/>
          <w:color w:val="000000" w:themeColor="text1"/>
          <w:sz w:val="16"/>
          <w:szCs w:val="16"/>
        </w:rPr>
        <w:softHyphen/>
        <w:t>тельное хозяйство и жилфонд (19279).</w:t>
      </w:r>
    </w:p>
    <w:p w14:paraId="3FF61EAA" w14:textId="77777777" w:rsidR="00940867" w:rsidRPr="00640820" w:rsidRDefault="00940867" w:rsidP="00640820">
      <w:pPr>
        <w:autoSpaceDE w:val="0"/>
        <w:autoSpaceDN w:val="0"/>
        <w:adjustRightInd w:val="0"/>
        <w:spacing w:after="0" w:line="240" w:lineRule="auto"/>
        <w:jc w:val="both"/>
        <w:rPr>
          <w:rFonts w:ascii="Times New Roman" w:hAnsi="Times New Roman"/>
          <w:color w:val="000000" w:themeColor="text1"/>
          <w:sz w:val="16"/>
          <w:szCs w:val="16"/>
        </w:rPr>
      </w:pPr>
    </w:p>
    <w:p w14:paraId="60032B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октября 1941 вышло решение об эвакуации московской авиапромышленности - раньше других отраслей (173,213).</w:t>
      </w:r>
    </w:p>
    <w:p w14:paraId="74B31C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64BDA1D" w14:textId="77777777" w:rsidR="0038220C" w:rsidRPr="00640820" w:rsidRDefault="0038220C" w:rsidP="00640820">
      <w:pPr>
        <w:pStyle w:val="a3"/>
        <w:rPr>
          <w:color w:val="000000" w:themeColor="text1"/>
          <w:lang w:val="ru-RU"/>
        </w:rPr>
      </w:pPr>
      <w:r w:rsidRPr="00640820">
        <w:rPr>
          <w:color w:val="000000" w:themeColor="text1"/>
          <w:lang w:val="ru-RU"/>
        </w:rPr>
        <w:t>8 октября 1941 Постановлением ГКО № 741 и последовавшего на следующий день приказом НКАП № 1053 дирек</w:t>
      </w:r>
      <w:r w:rsidRPr="00640820">
        <w:rPr>
          <w:color w:val="000000" w:themeColor="text1"/>
          <w:lang w:val="ru-RU"/>
        </w:rPr>
        <w:softHyphen/>
        <w:t>торам заводов № 1, № 301, № 207 и № 31 надлежало немедленно приступить к эвакуации. Завод № 1 эвакуировался, как и было предписано ранее, в город Куйбышев (ныне Самара). Эвакуацию требовалось произвести в две очереди: в первую эвакуировать производство ис</w:t>
      </w:r>
      <w:r w:rsidRPr="00640820">
        <w:rPr>
          <w:color w:val="000000" w:themeColor="text1"/>
          <w:lang w:val="ru-RU"/>
        </w:rPr>
        <w:softHyphen/>
        <w:t>требителей МиГ-3, во вторую - штурмовиков Ил-2. Для размещения завода выделялись площа</w:t>
      </w:r>
      <w:r w:rsidRPr="00640820">
        <w:rPr>
          <w:color w:val="000000" w:themeColor="text1"/>
          <w:lang w:val="ru-RU"/>
        </w:rPr>
        <w:softHyphen/>
        <w:t>ди строящегося завода № 122, который объединялся с заводом № 1 (15976).</w:t>
      </w:r>
    </w:p>
    <w:p w14:paraId="76FB4B32" w14:textId="77777777" w:rsidR="0038220C" w:rsidRPr="00640820" w:rsidRDefault="0038220C" w:rsidP="00640820">
      <w:pPr>
        <w:pStyle w:val="a3"/>
        <w:rPr>
          <w:color w:val="000000" w:themeColor="text1"/>
          <w:lang w:val="ru-RU"/>
        </w:rPr>
      </w:pPr>
    </w:p>
    <w:p w14:paraId="2180B401" w14:textId="77777777" w:rsidR="0038220C" w:rsidRPr="00640820" w:rsidRDefault="0038220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октября 1941 ГКО принял решение об эвакуации заводов Московской, Воронежской и Ростовской областей на восток, и на некоторое время конструкторам стало не до опытных работ. В частности, ОКБ Яковлева и Поликар</w:t>
      </w:r>
      <w:r w:rsidRPr="00640820">
        <w:rPr>
          <w:rFonts w:ascii="Times New Roman" w:hAnsi="Times New Roman"/>
          <w:color w:val="000000" w:themeColor="text1"/>
          <w:sz w:val="16"/>
          <w:szCs w:val="16"/>
        </w:rPr>
        <w:softHyphen/>
        <w:t>пова эвакуировались в Новосибирск, Сухого — в Пермь, Горбунова — в Тбилиси. Боль</w:t>
      </w:r>
      <w:r w:rsidRPr="00640820">
        <w:rPr>
          <w:rFonts w:ascii="Times New Roman" w:hAnsi="Times New Roman"/>
          <w:color w:val="000000" w:themeColor="text1"/>
          <w:sz w:val="16"/>
          <w:szCs w:val="16"/>
        </w:rPr>
        <w:softHyphen/>
        <w:t>ше всех не повезло Гудкову: он поехал в Горький на завод № 21, но не встретил там тёплого приема из-за того, что уже успел испортить отношения с Лавочкиным в пери</w:t>
      </w:r>
      <w:r w:rsidRPr="00640820">
        <w:rPr>
          <w:rFonts w:ascii="Times New Roman" w:hAnsi="Times New Roman"/>
          <w:color w:val="000000" w:themeColor="text1"/>
          <w:sz w:val="16"/>
          <w:szCs w:val="16"/>
        </w:rPr>
        <w:softHyphen/>
        <w:t>од их совместной работы. Гудков обратился за помощью к находящемуся в Новоси</w:t>
      </w:r>
      <w:r w:rsidRPr="00640820">
        <w:rPr>
          <w:rFonts w:ascii="Times New Roman" w:hAnsi="Times New Roman"/>
          <w:color w:val="000000" w:themeColor="text1"/>
          <w:sz w:val="16"/>
          <w:szCs w:val="16"/>
        </w:rPr>
        <w:softHyphen/>
        <w:t>бирске зам. наркома Яковлеву и получил от него рекомендательное письмо к наркому Шахурину, в котором Яковлев неожиданно высоко оценил работы Гудкова по установ</w:t>
      </w:r>
      <w:r w:rsidRPr="00640820">
        <w:rPr>
          <w:rFonts w:ascii="Times New Roman" w:hAnsi="Times New Roman"/>
          <w:color w:val="000000" w:themeColor="text1"/>
          <w:sz w:val="16"/>
          <w:szCs w:val="16"/>
        </w:rPr>
        <w:softHyphen/>
        <w:t>ке на ЛаГГ-3 мотора М-82 и 37-мм пушки и прозрачно намекал, что «...передать чер</w:t>
      </w:r>
      <w:r w:rsidRPr="00640820">
        <w:rPr>
          <w:rFonts w:ascii="Times New Roman" w:hAnsi="Times New Roman"/>
          <w:color w:val="000000" w:themeColor="text1"/>
          <w:sz w:val="16"/>
          <w:szCs w:val="16"/>
        </w:rPr>
        <w:softHyphen/>
        <w:t>тежи машин на завод № 21 и внедрять в серию без участия конструктора Гудкова было бы большой ошибкой, т.к. создало бы условия полной безответственности и обезлич</w:t>
      </w:r>
      <w:r w:rsidRPr="00640820">
        <w:rPr>
          <w:rFonts w:ascii="Times New Roman" w:hAnsi="Times New Roman"/>
          <w:color w:val="000000" w:themeColor="text1"/>
          <w:sz w:val="16"/>
          <w:szCs w:val="16"/>
        </w:rPr>
        <w:softHyphen/>
        <w:t>ки». Между тем еще в 1940 г. между Яковлевым и Гудковым также «пробежала чёрная кошка» после того, как последний пожаловался самому Сталину на зажим его проекта советской «аэрокобры» со стороны влиятельного замнаркома. Несомненно, у Яковле</w:t>
      </w:r>
      <w:r w:rsidRPr="00640820">
        <w:rPr>
          <w:rFonts w:ascii="Times New Roman" w:hAnsi="Times New Roman"/>
          <w:color w:val="000000" w:themeColor="text1"/>
          <w:sz w:val="16"/>
          <w:szCs w:val="16"/>
        </w:rPr>
        <w:softHyphen/>
        <w:t>ва «вырос большой зуб» на Гудкова, но сейчас ему нужно было перевести новосибир</w:t>
      </w:r>
      <w:r w:rsidRPr="00640820">
        <w:rPr>
          <w:rFonts w:ascii="Times New Roman" w:hAnsi="Times New Roman"/>
          <w:color w:val="000000" w:themeColor="text1"/>
          <w:sz w:val="16"/>
          <w:szCs w:val="16"/>
        </w:rPr>
        <w:softHyphen/>
        <w:t>ский завод № 153, производящий ЛаГГи, на выпуск Яков, поэтому он и пытался под благовидным предлогом «сплавить» Гудкова в Горький (15788).</w:t>
      </w:r>
    </w:p>
    <w:p w14:paraId="61864122" w14:textId="77777777" w:rsidR="0038220C" w:rsidRPr="00640820" w:rsidRDefault="0038220C" w:rsidP="00640820">
      <w:pPr>
        <w:spacing w:after="0" w:line="240" w:lineRule="auto"/>
        <w:jc w:val="both"/>
        <w:rPr>
          <w:rFonts w:ascii="Times New Roman" w:hAnsi="Times New Roman"/>
          <w:color w:val="000000" w:themeColor="text1"/>
          <w:sz w:val="16"/>
          <w:szCs w:val="16"/>
        </w:rPr>
      </w:pPr>
    </w:p>
    <w:p w14:paraId="767DAD15" w14:textId="77777777" w:rsidR="00295B9F" w:rsidRPr="00640820" w:rsidRDefault="00295B9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8 октября 1941 г. власти распорядились начать массовое перебазирование столичной авиапромышленности раньше предприятий других отраслей. По каждому заводу НКАП утверждал график перебазирования, план производства на период эвакуации и устанавливал сроки развертывания и пуска оборудования на новом месте. Выпуск продукции должен был продолжаться вплоть до отправки последнего эшелона, пока на новой площадке не запускались станки, отправленные в первоочередном порядке. По такой схеме проходила и эвакуации завода № 1, на котором решили, не прекращая выпуск штурмовика Ил-2, вывести вначале цеха сборки менее важных для фронта истребителей МиГ-3. Запуск производства последних на новой площадке в Куйбышеве должен был совпасть со свертыванием выпуска «илов» в Москве. К начал ноября все промышленные предприятия отрасли покинули столицу. Не вывезли только громоздкое кузнечно-прессовое оборудование и не представлявшие ценности сырье и материалы.</w:t>
      </w:r>
    </w:p>
    <w:p w14:paraId="4E6608DF" w14:textId="77777777" w:rsidR="00295B9F" w:rsidRPr="00640820" w:rsidRDefault="00295B9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Эшелонам, загруженным оборудованием и перевозившим многие тысячи рабочих и служащих, приходилось преодолевать большие расстояния, чтобы достичь пунктов назначения. Длина маршрутов перемещения авиазаводов доходила до 5 тысяч километров, и пребывание их в пути порой длилось 3-4 месяца. 21 ноября ГКО потребовал от НКПС ускорить движение эшелонов с имуществом и работниками авиапромышленности, а также поручил НКАП форсировать развертывание производства боевой авиатехники на новых местах (18305).</w:t>
      </w:r>
    </w:p>
    <w:p w14:paraId="3B6F31CC" w14:textId="77777777" w:rsidR="00295B9F" w:rsidRPr="00640820" w:rsidRDefault="00295B9F" w:rsidP="00640820">
      <w:pPr>
        <w:spacing w:after="0" w:line="240" w:lineRule="auto"/>
        <w:jc w:val="both"/>
        <w:rPr>
          <w:rFonts w:ascii="Times New Roman" w:hAnsi="Times New Roman"/>
          <w:color w:val="000000" w:themeColor="text1"/>
          <w:sz w:val="16"/>
          <w:szCs w:val="16"/>
        </w:rPr>
      </w:pPr>
    </w:p>
    <w:p w14:paraId="33D630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8 октября 1941 г. по решению созданного при СНК СССР Совета по эвакуации началась отправка столичных и подмосковных предприятий на Восток. Заводы № </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 xml:space="preserve"> и 24 решили эвакуировать в Куйбышев, где имелись наилучшие условия для их приема. Первый из вышеназванных заводов отправляли в две очереди, причем от Третьякова потребовали с середины ноября возобновить выпуск МиГ-3 в Куйбышеве МиГ-3, обеспечив сдачу военпредам в этом месяце не менее 50 истребителей, а в следующем - еще 225 МиГов. Производство самолетов Ил-2 планировали эвакуировать во вторую очередь. Аналогичные указания получил директор завода № 24 М.С. Жезлов, который сначала перевозил в Куйбышев на площади завода № 337 все необходимое для выпуска АМ-35А, а вслед за этим должен был перебросить на новую территорию задел и оснастку для </w:t>
      </w:r>
      <w:r w:rsidRPr="00640820">
        <w:rPr>
          <w:rFonts w:ascii="Times New Roman" w:hAnsi="Times New Roman"/>
          <w:color w:val="000000" w:themeColor="text1"/>
          <w:sz w:val="16"/>
          <w:szCs w:val="16"/>
          <w:lang w:val="en-US"/>
        </w:rPr>
        <w:t>AM</w:t>
      </w:r>
      <w:r w:rsidRPr="00640820">
        <w:rPr>
          <w:rFonts w:ascii="Times New Roman" w:hAnsi="Times New Roman"/>
          <w:color w:val="000000" w:themeColor="text1"/>
          <w:sz w:val="16"/>
          <w:szCs w:val="16"/>
        </w:rPr>
        <w:t>-38 (12045).</w:t>
      </w:r>
    </w:p>
    <w:p w14:paraId="3B0902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3BE19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октября 1941 было решено эвакуировать завод № 207 в Пермь, где объединить его с заводом № 135 в единое мошное предприятие по производству Су-2 (12028).</w:t>
      </w:r>
    </w:p>
    <w:p w14:paraId="0EDB29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8C1D2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октября 1941 г., то есть намного раньше прочих столичных предприятий началась эвакуация московских авиазаводов (Самолётостроение в СССР. 1917—1945. Кн.2. М., 1994. С. 213.). Подавляющее большинство оборудова</w:t>
      </w:r>
      <w:r w:rsidRPr="00640820">
        <w:rPr>
          <w:rFonts w:ascii="Times New Roman" w:hAnsi="Times New Roman"/>
          <w:color w:val="000000" w:themeColor="text1"/>
          <w:sz w:val="16"/>
          <w:szCs w:val="16"/>
        </w:rPr>
        <w:softHyphen/>
        <w:t xml:space="preserve">ния московских авиазаводов было вывезено к началу ноября. В Поволжье, Сибири, Средней Азии, Закавказье </w:t>
      </w:r>
      <w:r w:rsidRPr="00640820">
        <w:rPr>
          <w:rFonts w:ascii="Times New Roman" w:hAnsi="Times New Roman"/>
          <w:color w:val="000000" w:themeColor="text1"/>
          <w:sz w:val="16"/>
          <w:szCs w:val="16"/>
        </w:rPr>
        <w:lastRenderedPageBreak/>
        <w:t>и на Урале эвакуируемые заводы размещались на территориях других авиазаводов или родственных по профилю производства предприятий, на площадках новостроек, а иногда — и на со</w:t>
      </w:r>
      <w:r w:rsidRPr="00640820">
        <w:rPr>
          <w:rFonts w:ascii="Times New Roman" w:hAnsi="Times New Roman"/>
          <w:color w:val="000000" w:themeColor="text1"/>
          <w:sz w:val="16"/>
          <w:szCs w:val="16"/>
        </w:rPr>
        <w:softHyphen/>
        <w:t>вершенно новых, неприспособленных для авиапроизводства, площадях. Перебазирование аппарата собственно НКАП из Москвы в Саратов началось 14 октября 1941 г.</w:t>
      </w:r>
    </w:p>
    <w:p w14:paraId="0EBB13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данным Н.С. Симонова (Симонов Н.С. Военно-промышленный комплекс СССР в 1920—1950-е годы: темпы экономического роста, структура, организация производства и управление. М.,1996. С. 140.), на начало октября 1941 г. пла</w:t>
      </w:r>
      <w:r w:rsidRPr="00640820">
        <w:rPr>
          <w:rFonts w:ascii="Times New Roman" w:hAnsi="Times New Roman"/>
          <w:color w:val="000000" w:themeColor="text1"/>
          <w:sz w:val="16"/>
          <w:szCs w:val="16"/>
        </w:rPr>
        <w:softHyphen/>
        <w:t>ны эвакуации оборонных предприятий предусматривали пе</w:t>
      </w:r>
      <w:r w:rsidRPr="00640820">
        <w:rPr>
          <w:rFonts w:ascii="Times New Roman" w:hAnsi="Times New Roman"/>
          <w:color w:val="000000" w:themeColor="text1"/>
          <w:sz w:val="16"/>
          <w:szCs w:val="16"/>
        </w:rPr>
        <w:softHyphen/>
        <w:t>реброску в восточные регионы приблизительно двух третей всей «оборонки»:</w:t>
      </w:r>
    </w:p>
    <w:tbl>
      <w:tblPr>
        <w:tblW w:w="0" w:type="auto"/>
        <w:tblInd w:w="8" w:type="dxa"/>
        <w:tblLayout w:type="fixed"/>
        <w:tblCellMar>
          <w:left w:w="0" w:type="dxa"/>
          <w:right w:w="0" w:type="dxa"/>
        </w:tblCellMar>
        <w:tblLook w:val="0000" w:firstRow="0" w:lastRow="0" w:firstColumn="0" w:lastColumn="0" w:noHBand="0" w:noVBand="0"/>
      </w:tblPr>
      <w:tblGrid>
        <w:gridCol w:w="1037"/>
        <w:gridCol w:w="1464"/>
        <w:gridCol w:w="1632"/>
        <w:gridCol w:w="1810"/>
      </w:tblGrid>
      <w:tr w:rsidR="00643896" w:rsidRPr="00640820" w14:paraId="60C653CC" w14:textId="77777777" w:rsidTr="000D3BCB">
        <w:trPr>
          <w:trHeight w:val="422"/>
        </w:trPr>
        <w:tc>
          <w:tcPr>
            <w:tcW w:w="1037" w:type="dxa"/>
            <w:tcBorders>
              <w:top w:val="single" w:sz="6" w:space="0" w:color="auto"/>
              <w:left w:val="single" w:sz="6" w:space="0" w:color="auto"/>
              <w:bottom w:val="single" w:sz="6" w:space="0" w:color="auto"/>
              <w:right w:val="single" w:sz="6" w:space="0" w:color="auto"/>
            </w:tcBorders>
            <w:shd w:val="clear" w:color="auto" w:fill="FFFFFF"/>
          </w:tcPr>
          <w:p w14:paraId="39F0B6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Наркомат</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14:paraId="628B28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Предприятий—всего</w:t>
            </w:r>
          </w:p>
        </w:tc>
        <w:tc>
          <w:tcPr>
            <w:tcW w:w="1632" w:type="dxa"/>
            <w:tcBorders>
              <w:top w:val="single" w:sz="6" w:space="0" w:color="auto"/>
              <w:left w:val="single" w:sz="6" w:space="0" w:color="auto"/>
              <w:bottom w:val="single" w:sz="6" w:space="0" w:color="auto"/>
              <w:right w:val="single" w:sz="6" w:space="0" w:color="auto"/>
            </w:tcBorders>
            <w:shd w:val="clear" w:color="auto" w:fill="FFFFFF"/>
          </w:tcPr>
          <w:p w14:paraId="0F9162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Предпрнтий— действующа!</w:t>
            </w:r>
          </w:p>
        </w:tc>
        <w:tc>
          <w:tcPr>
            <w:tcW w:w="1810" w:type="dxa"/>
            <w:tcBorders>
              <w:top w:val="single" w:sz="6" w:space="0" w:color="auto"/>
              <w:left w:val="single" w:sz="6" w:space="0" w:color="auto"/>
              <w:bottom w:val="single" w:sz="6" w:space="0" w:color="auto"/>
              <w:right w:val="single" w:sz="6" w:space="0" w:color="auto"/>
            </w:tcBorders>
            <w:shd w:val="clear" w:color="auto" w:fill="FFFFFF"/>
          </w:tcPr>
          <w:p w14:paraId="577C90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Предприятий— эвакуируемых</w:t>
            </w:r>
          </w:p>
        </w:tc>
      </w:tr>
      <w:tr w:rsidR="00643896" w:rsidRPr="00640820" w14:paraId="2EF76E4B" w14:textId="77777777" w:rsidTr="000D3BCB">
        <w:trPr>
          <w:trHeight w:val="221"/>
        </w:trPr>
        <w:tc>
          <w:tcPr>
            <w:tcW w:w="1037" w:type="dxa"/>
            <w:tcBorders>
              <w:top w:val="single" w:sz="6" w:space="0" w:color="auto"/>
              <w:left w:val="single" w:sz="6" w:space="0" w:color="auto"/>
              <w:bottom w:val="single" w:sz="6" w:space="0" w:color="auto"/>
              <w:right w:val="single" w:sz="6" w:space="0" w:color="auto"/>
            </w:tcBorders>
            <w:shd w:val="clear" w:color="auto" w:fill="FFFFFF"/>
          </w:tcPr>
          <w:p w14:paraId="33899F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НКАП</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14:paraId="41CB6F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139</w:t>
            </w:r>
          </w:p>
        </w:tc>
        <w:tc>
          <w:tcPr>
            <w:tcW w:w="1632" w:type="dxa"/>
            <w:tcBorders>
              <w:top w:val="single" w:sz="6" w:space="0" w:color="auto"/>
              <w:left w:val="single" w:sz="6" w:space="0" w:color="auto"/>
              <w:bottom w:val="single" w:sz="6" w:space="0" w:color="auto"/>
              <w:right w:val="single" w:sz="6" w:space="0" w:color="auto"/>
            </w:tcBorders>
            <w:shd w:val="clear" w:color="auto" w:fill="FFFFFF"/>
          </w:tcPr>
          <w:p w14:paraId="347F4D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21(15)'</w:t>
            </w:r>
          </w:p>
        </w:tc>
        <w:tc>
          <w:tcPr>
            <w:tcW w:w="1810" w:type="dxa"/>
            <w:tcBorders>
              <w:top w:val="single" w:sz="6" w:space="0" w:color="auto"/>
              <w:left w:val="single" w:sz="6" w:space="0" w:color="auto"/>
              <w:bottom w:val="single" w:sz="6" w:space="0" w:color="auto"/>
              <w:right w:val="single" w:sz="6" w:space="0" w:color="auto"/>
            </w:tcBorders>
            <w:shd w:val="clear" w:color="auto" w:fill="FFFFFF"/>
          </w:tcPr>
          <w:p w14:paraId="12D275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118(85)</w:t>
            </w:r>
          </w:p>
        </w:tc>
      </w:tr>
      <w:tr w:rsidR="00643896" w:rsidRPr="00640820" w14:paraId="08A15821" w14:textId="77777777" w:rsidTr="000D3BCB">
        <w:trPr>
          <w:trHeight w:val="226"/>
        </w:trPr>
        <w:tc>
          <w:tcPr>
            <w:tcW w:w="1037" w:type="dxa"/>
            <w:tcBorders>
              <w:top w:val="single" w:sz="6" w:space="0" w:color="auto"/>
              <w:left w:val="single" w:sz="6" w:space="0" w:color="auto"/>
              <w:bottom w:val="single" w:sz="6" w:space="0" w:color="auto"/>
              <w:right w:val="single" w:sz="6" w:space="0" w:color="auto"/>
            </w:tcBorders>
            <w:shd w:val="clear" w:color="auto" w:fill="FFFFFF"/>
          </w:tcPr>
          <w:p w14:paraId="654EED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нктп</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14:paraId="20016C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27</w:t>
            </w:r>
          </w:p>
        </w:tc>
        <w:tc>
          <w:tcPr>
            <w:tcW w:w="1632" w:type="dxa"/>
            <w:tcBorders>
              <w:top w:val="single" w:sz="6" w:space="0" w:color="auto"/>
              <w:left w:val="single" w:sz="6" w:space="0" w:color="auto"/>
              <w:bottom w:val="single" w:sz="6" w:space="0" w:color="auto"/>
              <w:right w:val="single" w:sz="6" w:space="0" w:color="auto"/>
            </w:tcBorders>
            <w:shd w:val="clear" w:color="auto" w:fill="FFFFFF"/>
          </w:tcPr>
          <w:p w14:paraId="71B9C0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11(41)</w:t>
            </w:r>
          </w:p>
        </w:tc>
        <w:tc>
          <w:tcPr>
            <w:tcW w:w="1810" w:type="dxa"/>
            <w:tcBorders>
              <w:top w:val="single" w:sz="6" w:space="0" w:color="auto"/>
              <w:left w:val="single" w:sz="6" w:space="0" w:color="auto"/>
              <w:bottom w:val="single" w:sz="6" w:space="0" w:color="auto"/>
              <w:right w:val="single" w:sz="6" w:space="0" w:color="auto"/>
            </w:tcBorders>
            <w:shd w:val="clear" w:color="auto" w:fill="FFFFFF"/>
          </w:tcPr>
          <w:p w14:paraId="7E2C68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16(59)</w:t>
            </w:r>
          </w:p>
        </w:tc>
      </w:tr>
      <w:tr w:rsidR="00643896" w:rsidRPr="00640820" w14:paraId="7A36377E" w14:textId="77777777" w:rsidTr="000D3BCB">
        <w:trPr>
          <w:trHeight w:val="221"/>
        </w:trPr>
        <w:tc>
          <w:tcPr>
            <w:tcW w:w="1037" w:type="dxa"/>
            <w:tcBorders>
              <w:top w:val="single" w:sz="6" w:space="0" w:color="auto"/>
              <w:left w:val="single" w:sz="6" w:space="0" w:color="auto"/>
              <w:bottom w:val="single" w:sz="6" w:space="0" w:color="auto"/>
              <w:right w:val="single" w:sz="6" w:space="0" w:color="auto"/>
            </w:tcBorders>
            <w:shd w:val="clear" w:color="auto" w:fill="FFFFFF"/>
          </w:tcPr>
          <w:p w14:paraId="30BE98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нкв</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14:paraId="1AEDF8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58</w:t>
            </w:r>
          </w:p>
        </w:tc>
        <w:tc>
          <w:tcPr>
            <w:tcW w:w="1632" w:type="dxa"/>
            <w:tcBorders>
              <w:top w:val="single" w:sz="6" w:space="0" w:color="auto"/>
              <w:left w:val="single" w:sz="6" w:space="0" w:color="auto"/>
              <w:bottom w:val="single" w:sz="6" w:space="0" w:color="auto"/>
              <w:right w:val="single" w:sz="6" w:space="0" w:color="auto"/>
            </w:tcBorders>
            <w:shd w:val="clear" w:color="auto" w:fill="FFFFFF"/>
          </w:tcPr>
          <w:p w14:paraId="3660BD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26(45)</w:t>
            </w:r>
          </w:p>
        </w:tc>
        <w:tc>
          <w:tcPr>
            <w:tcW w:w="1810" w:type="dxa"/>
            <w:tcBorders>
              <w:top w:val="single" w:sz="6" w:space="0" w:color="auto"/>
              <w:left w:val="single" w:sz="6" w:space="0" w:color="auto"/>
              <w:bottom w:val="single" w:sz="6" w:space="0" w:color="auto"/>
              <w:right w:val="single" w:sz="6" w:space="0" w:color="auto"/>
            </w:tcBorders>
            <w:shd w:val="clear" w:color="auto" w:fill="FFFFFF"/>
          </w:tcPr>
          <w:p w14:paraId="385399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32(55)</w:t>
            </w:r>
          </w:p>
        </w:tc>
      </w:tr>
      <w:tr w:rsidR="00643896" w:rsidRPr="00640820" w14:paraId="46622867" w14:textId="77777777" w:rsidTr="000D3BCB">
        <w:trPr>
          <w:trHeight w:val="221"/>
        </w:trPr>
        <w:tc>
          <w:tcPr>
            <w:tcW w:w="1037" w:type="dxa"/>
            <w:tcBorders>
              <w:top w:val="single" w:sz="6" w:space="0" w:color="auto"/>
              <w:left w:val="single" w:sz="6" w:space="0" w:color="auto"/>
              <w:bottom w:val="single" w:sz="6" w:space="0" w:color="auto"/>
              <w:right w:val="single" w:sz="6" w:space="0" w:color="auto"/>
            </w:tcBorders>
            <w:shd w:val="clear" w:color="auto" w:fill="FFFFFF"/>
          </w:tcPr>
          <w:p w14:paraId="0CFBE0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НКБ</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14:paraId="35DA8E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65</w:t>
            </w:r>
          </w:p>
        </w:tc>
        <w:tc>
          <w:tcPr>
            <w:tcW w:w="1632" w:type="dxa"/>
            <w:tcBorders>
              <w:top w:val="single" w:sz="6" w:space="0" w:color="auto"/>
              <w:left w:val="single" w:sz="6" w:space="0" w:color="auto"/>
              <w:bottom w:val="single" w:sz="6" w:space="0" w:color="auto"/>
              <w:right w:val="single" w:sz="6" w:space="0" w:color="auto"/>
            </w:tcBorders>
            <w:shd w:val="clear" w:color="auto" w:fill="FFFFFF"/>
          </w:tcPr>
          <w:p w14:paraId="1CA03C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16(25)</w:t>
            </w:r>
          </w:p>
        </w:tc>
        <w:tc>
          <w:tcPr>
            <w:tcW w:w="1810" w:type="dxa"/>
            <w:tcBorders>
              <w:top w:val="single" w:sz="6" w:space="0" w:color="auto"/>
              <w:left w:val="single" w:sz="6" w:space="0" w:color="auto"/>
              <w:bottom w:val="single" w:sz="6" w:space="0" w:color="auto"/>
              <w:right w:val="single" w:sz="6" w:space="0" w:color="auto"/>
            </w:tcBorders>
            <w:shd w:val="clear" w:color="auto" w:fill="FFFFFF"/>
          </w:tcPr>
          <w:p w14:paraId="4A33F5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49(75)</w:t>
            </w:r>
          </w:p>
        </w:tc>
      </w:tr>
      <w:tr w:rsidR="00643896" w:rsidRPr="00640820" w14:paraId="422E9C24" w14:textId="77777777" w:rsidTr="000D3BCB">
        <w:trPr>
          <w:trHeight w:val="221"/>
        </w:trPr>
        <w:tc>
          <w:tcPr>
            <w:tcW w:w="1037" w:type="dxa"/>
            <w:tcBorders>
              <w:top w:val="single" w:sz="6" w:space="0" w:color="auto"/>
              <w:left w:val="single" w:sz="6" w:space="0" w:color="auto"/>
              <w:bottom w:val="single" w:sz="6" w:space="0" w:color="auto"/>
              <w:right w:val="single" w:sz="6" w:space="0" w:color="auto"/>
            </w:tcBorders>
            <w:shd w:val="clear" w:color="auto" w:fill="FFFFFF"/>
          </w:tcPr>
          <w:p w14:paraId="3EB4E3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нкмв</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14:paraId="3C7E83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147</w:t>
            </w:r>
          </w:p>
        </w:tc>
        <w:tc>
          <w:tcPr>
            <w:tcW w:w="1632" w:type="dxa"/>
            <w:tcBorders>
              <w:top w:val="single" w:sz="6" w:space="0" w:color="auto"/>
              <w:left w:val="single" w:sz="6" w:space="0" w:color="auto"/>
              <w:bottom w:val="single" w:sz="6" w:space="0" w:color="auto"/>
              <w:right w:val="single" w:sz="6" w:space="0" w:color="auto"/>
            </w:tcBorders>
            <w:shd w:val="clear" w:color="auto" w:fill="FFFFFF"/>
          </w:tcPr>
          <w:p w14:paraId="5C8BD9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75(51)</w:t>
            </w:r>
          </w:p>
        </w:tc>
        <w:tc>
          <w:tcPr>
            <w:tcW w:w="1810" w:type="dxa"/>
            <w:tcBorders>
              <w:top w:val="single" w:sz="6" w:space="0" w:color="auto"/>
              <w:left w:val="single" w:sz="6" w:space="0" w:color="auto"/>
              <w:bottom w:val="single" w:sz="6" w:space="0" w:color="auto"/>
              <w:right w:val="single" w:sz="6" w:space="0" w:color="auto"/>
            </w:tcBorders>
            <w:shd w:val="clear" w:color="auto" w:fill="FFFFFF"/>
          </w:tcPr>
          <w:p w14:paraId="7C2212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72(49)</w:t>
            </w:r>
          </w:p>
        </w:tc>
      </w:tr>
      <w:tr w:rsidR="00643896" w:rsidRPr="00640820" w14:paraId="6EAE3B5E" w14:textId="77777777" w:rsidTr="000D3BCB">
        <w:trPr>
          <w:trHeight w:val="226"/>
        </w:trPr>
        <w:tc>
          <w:tcPr>
            <w:tcW w:w="1037" w:type="dxa"/>
            <w:tcBorders>
              <w:top w:val="single" w:sz="6" w:space="0" w:color="auto"/>
              <w:left w:val="single" w:sz="6" w:space="0" w:color="auto"/>
              <w:bottom w:val="single" w:sz="6" w:space="0" w:color="auto"/>
              <w:right w:val="single" w:sz="6" w:space="0" w:color="auto"/>
            </w:tcBorders>
            <w:shd w:val="clear" w:color="auto" w:fill="FFFFFF"/>
          </w:tcPr>
          <w:p w14:paraId="1128E0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нкс</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14:paraId="68421C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69</w:t>
            </w:r>
          </w:p>
        </w:tc>
        <w:tc>
          <w:tcPr>
            <w:tcW w:w="1632" w:type="dxa"/>
            <w:tcBorders>
              <w:top w:val="single" w:sz="6" w:space="0" w:color="auto"/>
              <w:left w:val="single" w:sz="6" w:space="0" w:color="auto"/>
              <w:bottom w:val="single" w:sz="6" w:space="0" w:color="auto"/>
              <w:right w:val="single" w:sz="6" w:space="0" w:color="auto"/>
            </w:tcBorders>
            <w:shd w:val="clear" w:color="auto" w:fill="FFFFFF"/>
          </w:tcPr>
          <w:p w14:paraId="4B513D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28(41)</w:t>
            </w:r>
          </w:p>
        </w:tc>
        <w:tc>
          <w:tcPr>
            <w:tcW w:w="1810" w:type="dxa"/>
            <w:tcBorders>
              <w:top w:val="single" w:sz="6" w:space="0" w:color="auto"/>
              <w:left w:val="single" w:sz="6" w:space="0" w:color="auto"/>
              <w:bottom w:val="single" w:sz="6" w:space="0" w:color="auto"/>
              <w:right w:val="single" w:sz="6" w:space="0" w:color="auto"/>
            </w:tcBorders>
            <w:shd w:val="clear" w:color="auto" w:fill="FFFFFF"/>
          </w:tcPr>
          <w:p w14:paraId="06A7CE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41(59)</w:t>
            </w:r>
          </w:p>
        </w:tc>
      </w:tr>
      <w:tr w:rsidR="00643896" w:rsidRPr="00640820" w14:paraId="6FC1912B" w14:textId="77777777" w:rsidTr="000D3BCB">
        <w:trPr>
          <w:trHeight w:val="240"/>
        </w:trPr>
        <w:tc>
          <w:tcPr>
            <w:tcW w:w="1037" w:type="dxa"/>
            <w:tcBorders>
              <w:top w:val="single" w:sz="6" w:space="0" w:color="auto"/>
              <w:left w:val="single" w:sz="6" w:space="0" w:color="auto"/>
              <w:bottom w:val="single" w:sz="6" w:space="0" w:color="auto"/>
              <w:right w:val="single" w:sz="6" w:space="0" w:color="auto"/>
            </w:tcBorders>
            <w:shd w:val="clear" w:color="auto" w:fill="FFFFFF"/>
          </w:tcPr>
          <w:p w14:paraId="2D2879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Всего</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14:paraId="04C1D4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501</w:t>
            </w:r>
          </w:p>
        </w:tc>
        <w:tc>
          <w:tcPr>
            <w:tcW w:w="1632" w:type="dxa"/>
            <w:tcBorders>
              <w:top w:val="single" w:sz="6" w:space="0" w:color="auto"/>
              <w:left w:val="single" w:sz="6" w:space="0" w:color="auto"/>
              <w:bottom w:val="single" w:sz="6" w:space="0" w:color="auto"/>
              <w:right w:val="single" w:sz="6" w:space="0" w:color="auto"/>
            </w:tcBorders>
            <w:shd w:val="clear" w:color="auto" w:fill="FFFFFF"/>
          </w:tcPr>
          <w:p w14:paraId="1AFBD9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177(35)</w:t>
            </w:r>
          </w:p>
        </w:tc>
        <w:tc>
          <w:tcPr>
            <w:tcW w:w="1810" w:type="dxa"/>
            <w:tcBorders>
              <w:top w:val="single" w:sz="6" w:space="0" w:color="auto"/>
              <w:left w:val="single" w:sz="6" w:space="0" w:color="auto"/>
              <w:bottom w:val="single" w:sz="6" w:space="0" w:color="auto"/>
              <w:right w:val="single" w:sz="6" w:space="0" w:color="auto"/>
            </w:tcBorders>
            <w:shd w:val="clear" w:color="auto" w:fill="FFFFFF"/>
          </w:tcPr>
          <w:p w14:paraId="4AE289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328(65)</w:t>
            </w:r>
          </w:p>
        </w:tc>
      </w:tr>
    </w:tbl>
    <w:p w14:paraId="6FEB1C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Для наглядности в скобках приводится удельный вес (в %) действовавших и эвакуируемых заводов данной отрасли.</w:t>
      </w:r>
    </w:p>
    <w:p w14:paraId="29A2DB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силу различных причин эти планы не удалось выпол</w:t>
      </w:r>
      <w:r w:rsidRPr="00640820">
        <w:rPr>
          <w:rFonts w:ascii="Times New Roman" w:hAnsi="Times New Roman"/>
          <w:color w:val="000000" w:themeColor="text1"/>
          <w:sz w:val="16"/>
          <w:szCs w:val="16"/>
        </w:rPr>
        <w:softHyphen/>
        <w:t>нить в полном объёме (скажем, не удалось вывести ленин</w:t>
      </w:r>
      <w:r w:rsidRPr="00640820">
        <w:rPr>
          <w:rFonts w:ascii="Times New Roman" w:hAnsi="Times New Roman"/>
          <w:color w:val="000000" w:themeColor="text1"/>
          <w:sz w:val="16"/>
          <w:szCs w:val="16"/>
        </w:rPr>
        <w:softHyphen/>
        <w:t>градскую группу миномётных заводов), однако данная табли</w:t>
      </w:r>
      <w:r w:rsidRPr="00640820">
        <w:rPr>
          <w:rFonts w:ascii="Times New Roman" w:hAnsi="Times New Roman"/>
          <w:color w:val="000000" w:themeColor="text1"/>
          <w:sz w:val="16"/>
          <w:szCs w:val="16"/>
        </w:rPr>
        <w:softHyphen/>
        <w:t>ца позволяет сделать несколько важных выводов.</w:t>
      </w:r>
    </w:p>
    <w:p w14:paraId="67BA83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Во-первых, на 1941 г. авиапромышленность была наибо</w:t>
      </w:r>
      <w:r w:rsidRPr="00640820">
        <w:rPr>
          <w:rFonts w:ascii="Times New Roman" w:hAnsi="Times New Roman"/>
          <w:color w:val="000000" w:themeColor="text1"/>
          <w:sz w:val="16"/>
          <w:szCs w:val="16"/>
        </w:rPr>
        <w:softHyphen/>
        <w:t>лее «дробной» подотраслью «оборонки». Если прочие нар</w:t>
      </w:r>
      <w:r w:rsidRPr="00640820">
        <w:rPr>
          <w:rFonts w:ascii="Times New Roman" w:hAnsi="Times New Roman"/>
          <w:color w:val="000000" w:themeColor="text1"/>
          <w:sz w:val="16"/>
          <w:szCs w:val="16"/>
        </w:rPr>
        <w:softHyphen/>
        <w:t>коматы располагали сравнительно небольшим (30—60) числом предприятий (хотя сами эти предприятия вполне могли относиться к индустриальным гигантам), то НКАП строился на базе кооперации почти 140 заводов. Таким образом, даже если абстрагироваться от проблем поставок от наркоматов- смежников, только внутриотраслевая кооперация ставила авиапредприятия в положение крайней чувствительности к надёжности производственных цепочек. Разрыв таких цепо-, чек бил по авиазаводам существенно ощутимей, чем по пред</w:t>
      </w:r>
      <w:r w:rsidRPr="00640820">
        <w:rPr>
          <w:rFonts w:ascii="Times New Roman" w:hAnsi="Times New Roman"/>
          <w:color w:val="000000" w:themeColor="text1"/>
          <w:sz w:val="16"/>
          <w:szCs w:val="16"/>
        </w:rPr>
        <w:softHyphen/>
        <w:t>приятиям других отраслей «оборонки».</w:t>
      </w:r>
    </w:p>
    <w:p w14:paraId="7950B0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Во-вторых, если подавляющее большинство подотраслей оборонного комплекса должны были эвакуировать около 50— 60 % производственных единиц, то наркоматы боеприпасов и авиапромышленности получили предписание о практически поголовном переезде на новые места дислокации. Причём для НКАП удельный вес эвакуируемых предприятий был вообще наивысшим среди всех подотраслей «оборонки». Разумеется, в этой ситуации на надёжную работу производственных це</w:t>
      </w:r>
      <w:r w:rsidRPr="00640820">
        <w:rPr>
          <w:rFonts w:ascii="Times New Roman" w:hAnsi="Times New Roman"/>
          <w:color w:val="000000" w:themeColor="text1"/>
          <w:sz w:val="16"/>
          <w:szCs w:val="16"/>
        </w:rPr>
        <w:softHyphen/>
        <w:t>почек и ритмичные поставки полуфабрикатов и комплектую</w:t>
      </w:r>
      <w:r w:rsidRPr="00640820">
        <w:rPr>
          <w:rFonts w:ascii="Times New Roman" w:hAnsi="Times New Roman"/>
          <w:color w:val="000000" w:themeColor="text1"/>
          <w:sz w:val="16"/>
          <w:szCs w:val="16"/>
        </w:rPr>
        <w:softHyphen/>
        <w:t>щих рассчитывать было бессмысленно. То есть именно авиа</w:t>
      </w:r>
      <w:r w:rsidRPr="00640820">
        <w:rPr>
          <w:rFonts w:ascii="Times New Roman" w:hAnsi="Times New Roman"/>
          <w:color w:val="000000" w:themeColor="text1"/>
          <w:sz w:val="16"/>
          <w:szCs w:val="16"/>
        </w:rPr>
        <w:softHyphen/>
        <w:t>промышленность, наиболее уязвимая с точки зрения разрыва производственных связей, ставилась в ситуацию, при кото</w:t>
      </w:r>
      <w:r w:rsidRPr="00640820">
        <w:rPr>
          <w:rFonts w:ascii="Times New Roman" w:hAnsi="Times New Roman"/>
          <w:color w:val="000000" w:themeColor="text1"/>
          <w:sz w:val="16"/>
          <w:szCs w:val="16"/>
        </w:rPr>
        <w:softHyphen/>
        <w:t>рой такой разрыв был наиболее вероятен. Разумеется, это со</w:t>
      </w:r>
      <w:r w:rsidRPr="00640820">
        <w:rPr>
          <w:rFonts w:ascii="Times New Roman" w:hAnsi="Times New Roman"/>
          <w:color w:val="000000" w:themeColor="text1"/>
          <w:sz w:val="16"/>
          <w:szCs w:val="16"/>
        </w:rPr>
        <w:softHyphen/>
        <w:t>четание было обусловлено объективными причинами — уже летом 1941 г. 94% функционировавших авиапредприятий оказались или в зоне боевых действий, или в прилегающих к фронту регионах; однако объективность причин нисколько не снижала остроту положения. Всё это не могло не поставить перед руководством НКАП целый комплекс крайне сложных вопросов и задач, от разрешения которых напрямую зависе</w:t>
      </w:r>
      <w:r w:rsidRPr="00640820">
        <w:rPr>
          <w:rFonts w:ascii="Times New Roman" w:hAnsi="Times New Roman"/>
          <w:color w:val="000000" w:themeColor="text1"/>
          <w:sz w:val="16"/>
          <w:szCs w:val="16"/>
        </w:rPr>
        <w:softHyphen/>
        <w:t>ло -— сохранится ли авиаиндустрия СССР как дееспособный экономический организм, или нет.</w:t>
      </w:r>
    </w:p>
    <w:p w14:paraId="2783CE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сожалению, далеко не всегда поэтапная эвакуация про</w:t>
      </w:r>
      <w:r w:rsidRPr="00640820">
        <w:rPr>
          <w:rFonts w:ascii="Times New Roman" w:hAnsi="Times New Roman"/>
          <w:color w:val="000000" w:themeColor="text1"/>
          <w:sz w:val="16"/>
          <w:szCs w:val="16"/>
        </w:rPr>
        <w:softHyphen/>
        <w:t>ходила в соответствии с планом. Так, например, демонтаж и погрузка в вагоны оборудования основных производств за порожских заводов № 29 и 457 были осуществлены только в сентябре 1941 г. К этому моменту немецкие войска уже про</w:t>
      </w:r>
      <w:r w:rsidRPr="00640820">
        <w:rPr>
          <w:rFonts w:ascii="Times New Roman" w:hAnsi="Times New Roman"/>
          <w:color w:val="000000" w:themeColor="text1"/>
          <w:sz w:val="16"/>
          <w:szCs w:val="16"/>
        </w:rPr>
        <w:softHyphen/>
        <w:t>рвались на правобережье Днепра и заняли пригороды Запо</w:t>
      </w:r>
      <w:r w:rsidRPr="00640820">
        <w:rPr>
          <w:rFonts w:ascii="Times New Roman" w:hAnsi="Times New Roman"/>
          <w:color w:val="000000" w:themeColor="text1"/>
          <w:sz w:val="16"/>
          <w:szCs w:val="16"/>
        </w:rPr>
        <w:softHyphen/>
        <w:t>рожья. В результате погрузка и вывоз оборудования шли под артиллерийским и даже миномётным обстрелом противника. Рабочие предприятия были вынуждены вместе с красноар</w:t>
      </w:r>
      <w:r w:rsidRPr="00640820">
        <w:rPr>
          <w:rFonts w:ascii="Times New Roman" w:hAnsi="Times New Roman"/>
          <w:color w:val="000000" w:themeColor="text1"/>
          <w:sz w:val="16"/>
          <w:szCs w:val="16"/>
        </w:rPr>
        <w:softHyphen/>
        <w:t>мейцами сдерживать неприятельские авангарды в предме</w:t>
      </w:r>
      <w:r w:rsidRPr="00640820">
        <w:rPr>
          <w:rFonts w:ascii="Times New Roman" w:hAnsi="Times New Roman"/>
          <w:color w:val="000000" w:themeColor="text1"/>
          <w:sz w:val="16"/>
          <w:szCs w:val="16"/>
        </w:rPr>
        <w:softHyphen/>
        <w:t>стьях, пока на вокзале продолжалась погрузка оборудования в эшелоны (Самолётостроение в СССР. 1917—1945. Кн.2. М., 1994. С. 213.). Несмотря на это, демонтаж оборудования был завершён в 4 дня, а его вывоз — за 11 дней (Самолетостроение в СССР. 1917—1945. Кн. 2. М., 1994. С. 212.). Дополнитель</w:t>
      </w:r>
      <w:r w:rsidRPr="00640820">
        <w:rPr>
          <w:rFonts w:ascii="Times New Roman" w:hAnsi="Times New Roman"/>
          <w:color w:val="000000" w:themeColor="text1"/>
          <w:sz w:val="16"/>
          <w:szCs w:val="16"/>
        </w:rPr>
        <w:softHyphen/>
        <w:t>ную сложность этому процессу добавляло то обстоятельство, что промышленных центров, способных адекватно принять и обеспечить необходимой инфраструктурой эвакуируемые заводы, было не так уж много. В ряде случаев восточные го</w:t>
      </w:r>
      <w:r w:rsidRPr="00640820">
        <w:rPr>
          <w:rFonts w:ascii="Times New Roman" w:hAnsi="Times New Roman"/>
          <w:color w:val="000000" w:themeColor="text1"/>
          <w:sz w:val="16"/>
          <w:szCs w:val="16"/>
        </w:rPr>
        <w:softHyphen/>
        <w:t>рода оказались в известной степени перегружены эвакуируе</w:t>
      </w:r>
      <w:r w:rsidRPr="00640820">
        <w:rPr>
          <w:rFonts w:ascii="Times New Roman" w:hAnsi="Times New Roman"/>
          <w:color w:val="000000" w:themeColor="text1"/>
          <w:sz w:val="16"/>
          <w:szCs w:val="16"/>
        </w:rPr>
        <w:softHyphen/>
        <w:t>мыми предприятиями, что вело к своеобразной конкуренции за условия размещения, энергию, условия размещения персо</w:t>
      </w:r>
      <w:r w:rsidRPr="00640820">
        <w:rPr>
          <w:rFonts w:ascii="Times New Roman" w:hAnsi="Times New Roman"/>
          <w:color w:val="000000" w:themeColor="text1"/>
          <w:sz w:val="16"/>
          <w:szCs w:val="16"/>
        </w:rPr>
        <w:softHyphen/>
        <w:t>нала и прочие ресурсы. Скажем, в Киров были переброшены четыре авиационных завода (№ 32, 266, 444, 476. В результате слияний предприятий свои номера сохранили лишь авиазаводы № 32 и 266, поэтому формально в городе насчи</w:t>
      </w:r>
      <w:r w:rsidRPr="00640820">
        <w:rPr>
          <w:rFonts w:ascii="Times New Roman" w:hAnsi="Times New Roman"/>
          <w:color w:val="000000" w:themeColor="text1"/>
          <w:sz w:val="16"/>
          <w:szCs w:val="16"/>
        </w:rPr>
        <w:softHyphen/>
        <w:t>тывалось лишь 2 авиапредприятия.), завод «Красный инструменталь</w:t>
      </w:r>
      <w:r w:rsidRPr="00640820">
        <w:rPr>
          <w:rFonts w:ascii="Times New Roman" w:hAnsi="Times New Roman"/>
          <w:color w:val="000000" w:themeColor="text1"/>
          <w:sz w:val="16"/>
          <w:szCs w:val="16"/>
        </w:rPr>
        <w:softHyphen/>
        <w:t>щик», кабельный завод, Коломенский машиностроительный, Белохолунский завод тяжелого машиностроения, шинный, автокузовной и другие заводы (Очерки истории Кировской области. Киров, 1972. С. 361.). Разумеется, при размещении на новых площадках предпочтение отдавалось именно голов</w:t>
      </w:r>
      <w:r w:rsidRPr="00640820">
        <w:rPr>
          <w:rFonts w:ascii="Times New Roman" w:hAnsi="Times New Roman"/>
          <w:color w:val="000000" w:themeColor="text1"/>
          <w:sz w:val="16"/>
          <w:szCs w:val="16"/>
        </w:rPr>
        <w:softHyphen/>
        <w:t>ным предприятиям, а заводам, выпускавшим комплектующие и агрегаты, приходилось потесниться. Скажем, московские авиазаводы № 1 и 24 разместились на площадях недостроен</w:t>
      </w:r>
      <w:r w:rsidRPr="00640820">
        <w:rPr>
          <w:rFonts w:ascii="Times New Roman" w:hAnsi="Times New Roman"/>
          <w:color w:val="000000" w:themeColor="text1"/>
          <w:sz w:val="16"/>
          <w:szCs w:val="16"/>
        </w:rPr>
        <w:softHyphen/>
        <w:t>ных куйбышевских заводов № 122 и 337. В то же время завод № 230, выпускавший радиоаппаратуру, разместили в здании ветеринарного техникума, авиаагрегатный № 213 — в здании бывшего мясокомбината и т.п. (Захарченко А.В. Формирование авиапромышленного комплекса в По</w:t>
      </w:r>
      <w:r w:rsidRPr="00640820">
        <w:rPr>
          <w:rFonts w:ascii="Times New Roman" w:hAnsi="Times New Roman"/>
          <w:color w:val="000000" w:themeColor="text1"/>
          <w:sz w:val="16"/>
          <w:szCs w:val="16"/>
        </w:rPr>
        <w:softHyphen/>
        <w:t xml:space="preserve">волжье накануне и в годы Великой Отечественной войны (1940—1942 гг.). Самара, 2004. С. 12.). Ряд авиапредприятий были вынуждены разместиться на территориях клубов, ликёро- водочных и стекольных заводов, мебельных фабрик и т.д. (РГАЭ. Ф. 8044. </w:t>
      </w:r>
      <w:r w:rsidRPr="00640820">
        <w:rPr>
          <w:rFonts w:ascii="Times New Roman" w:hAnsi="Times New Roman"/>
          <w:color w:val="000000" w:themeColor="text1"/>
          <w:sz w:val="16"/>
          <w:szCs w:val="16"/>
          <w:lang w:val="en-US"/>
        </w:rPr>
        <w:t>On</w:t>
      </w:r>
      <w:r w:rsidRPr="00640820">
        <w:rPr>
          <w:rFonts w:ascii="Times New Roman" w:hAnsi="Times New Roman"/>
          <w:color w:val="000000" w:themeColor="text1"/>
          <w:sz w:val="16"/>
          <w:szCs w:val="16"/>
        </w:rPr>
        <w:t>. 1. Д. 2826. Л. 11—20.).</w:t>
      </w:r>
    </w:p>
    <w:p w14:paraId="06A031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анализе хода эвакуации следует учитывать, что, по сути, эвакуация промышленности в 1941 г. представляла со</w:t>
      </w:r>
      <w:r w:rsidRPr="00640820">
        <w:rPr>
          <w:rFonts w:ascii="Times New Roman" w:hAnsi="Times New Roman"/>
          <w:color w:val="000000" w:themeColor="text1"/>
          <w:sz w:val="16"/>
          <w:szCs w:val="16"/>
        </w:rPr>
        <w:softHyphen/>
        <w:t>бой грандиозную импровизацию, крайне слабо и, можно ска</w:t>
      </w:r>
      <w:r w:rsidRPr="00640820">
        <w:rPr>
          <w:rFonts w:ascii="Times New Roman" w:hAnsi="Times New Roman"/>
          <w:color w:val="000000" w:themeColor="text1"/>
          <w:sz w:val="16"/>
          <w:szCs w:val="16"/>
        </w:rPr>
        <w:softHyphen/>
        <w:t>зать, лишь «пунктирно» подготовленную заранее. Хотя по</w:t>
      </w:r>
      <w:r w:rsidRPr="00640820">
        <w:rPr>
          <w:rFonts w:ascii="Times New Roman" w:hAnsi="Times New Roman"/>
          <w:color w:val="000000" w:themeColor="text1"/>
          <w:sz w:val="16"/>
          <w:szCs w:val="16"/>
        </w:rPr>
        <w:softHyphen/>
        <w:t>следние эвакуационные планы относятся, видимо, к 1937 г. (Мелия А.А. Мобилизационная подготовка народного хозяйства СССР. М., 2004. С. 21.), А.А. Мелия, посвятивший изучению советских эвакуацион</w:t>
      </w:r>
      <w:r w:rsidRPr="00640820">
        <w:rPr>
          <w:rFonts w:ascii="Times New Roman" w:hAnsi="Times New Roman"/>
          <w:color w:val="000000" w:themeColor="text1"/>
          <w:sz w:val="16"/>
          <w:szCs w:val="16"/>
        </w:rPr>
        <w:softHyphen/>
        <w:t>ных планов специальное исследование, останавливает де</w:t>
      </w:r>
      <w:r w:rsidRPr="00640820">
        <w:rPr>
          <w:rFonts w:ascii="Times New Roman" w:hAnsi="Times New Roman"/>
          <w:color w:val="000000" w:themeColor="text1"/>
          <w:sz w:val="16"/>
          <w:szCs w:val="16"/>
        </w:rPr>
        <w:softHyphen/>
        <w:t>тальное изложение генезиса эвакуационного планирования на 1932 г., мотивируя это тем, что в дальнейшем очередной ежегодный план, как правило, механически воспроизводил план прошлого года. Не учитывались ни возросший объём грузоперевозок, ни увеличение числа заводов, оборудования и персонала, ни изменившиеся производственные цепочки. Г.А. Куманёв отмечает, что накануне войны некоторая рабо</w:t>
      </w:r>
      <w:r w:rsidRPr="00640820">
        <w:rPr>
          <w:rFonts w:ascii="Times New Roman" w:hAnsi="Times New Roman"/>
          <w:color w:val="000000" w:themeColor="text1"/>
          <w:sz w:val="16"/>
          <w:szCs w:val="16"/>
        </w:rPr>
        <w:softHyphen/>
        <w:t>та по подготовке эвакуационных мероприятий шла, но в то же время признаёт, что на 22.06.1941 г. никаких завершённых и утверждённых эвакуационных планов не существовало (Куманёв Г.А. Война и эвакуация в СССР. 1941—1945 гг. // Новая и Но</w:t>
      </w:r>
      <w:r w:rsidRPr="00640820">
        <w:rPr>
          <w:rFonts w:ascii="Times New Roman" w:hAnsi="Times New Roman"/>
          <w:color w:val="000000" w:themeColor="text1"/>
          <w:sz w:val="16"/>
          <w:szCs w:val="16"/>
        </w:rPr>
        <w:softHyphen/>
        <w:t>вейшая история. № 6.2006.). В январе 1939 г. Военно-промышленная комиссия при Ко</w:t>
      </w:r>
      <w:r w:rsidRPr="00640820">
        <w:rPr>
          <w:rFonts w:ascii="Times New Roman" w:hAnsi="Times New Roman"/>
          <w:color w:val="000000" w:themeColor="text1"/>
          <w:sz w:val="16"/>
          <w:szCs w:val="16"/>
        </w:rPr>
        <w:softHyphen/>
        <w:t>митете обороны приняла Положение об эвакуации промыш</w:t>
      </w:r>
      <w:r w:rsidRPr="00640820">
        <w:rPr>
          <w:rFonts w:ascii="Times New Roman" w:hAnsi="Times New Roman"/>
          <w:color w:val="000000" w:themeColor="text1"/>
          <w:sz w:val="16"/>
          <w:szCs w:val="16"/>
        </w:rPr>
        <w:softHyphen/>
        <w:t>ленных предприятий из угрожаемых зон (Быстрова И.В. Советский военно-промышленный комплекс: проблемы становления и развития (1930—1980-е годы). М., 2006. С. 161.). Однако данный документ лишь очерчивал общие правила проведения эва</w:t>
      </w:r>
      <w:r w:rsidRPr="00640820">
        <w:rPr>
          <w:rFonts w:ascii="Times New Roman" w:hAnsi="Times New Roman"/>
          <w:color w:val="000000" w:themeColor="text1"/>
          <w:sz w:val="16"/>
          <w:szCs w:val="16"/>
        </w:rPr>
        <w:softHyphen/>
        <w:t>куации, оставляя непосредственные директивы на долю эва</w:t>
      </w:r>
      <w:r w:rsidRPr="00640820">
        <w:rPr>
          <w:rFonts w:ascii="Times New Roman" w:hAnsi="Times New Roman"/>
          <w:color w:val="000000" w:themeColor="text1"/>
          <w:sz w:val="16"/>
          <w:szCs w:val="16"/>
        </w:rPr>
        <w:softHyphen/>
        <w:t>куационных планов, которые только предполагалось создать и взаимоувязать. Более того, даже в такой методологической постановке были допущены существенные просчёты. Так, Положение об эвакуации допускало начало эвакуации только в условиях непосредственной угрозы предприятию «в преде</w:t>
      </w:r>
      <w:r w:rsidRPr="00640820">
        <w:rPr>
          <w:rFonts w:ascii="Times New Roman" w:hAnsi="Times New Roman"/>
          <w:color w:val="000000" w:themeColor="text1"/>
          <w:sz w:val="16"/>
          <w:szCs w:val="16"/>
        </w:rPr>
        <w:softHyphen/>
        <w:t>лах административных единиц, на территории которых они расположены». То есть вопрос о заблаговременной эвакуации не ставился, а вывозить заводы изначально предполагалось н аварийном порядке, в ситуации, когда неприятель уже как минимум бомбит место первоначальной дислокации. Исчер</w:t>
      </w:r>
      <w:r w:rsidRPr="00640820">
        <w:rPr>
          <w:rFonts w:ascii="Times New Roman" w:hAnsi="Times New Roman"/>
          <w:color w:val="000000" w:themeColor="text1"/>
          <w:sz w:val="16"/>
          <w:szCs w:val="16"/>
        </w:rPr>
        <w:softHyphen/>
        <w:t>пывающую характеристику уровню планирования эвакуа</w:t>
      </w:r>
      <w:r w:rsidRPr="00640820">
        <w:rPr>
          <w:rFonts w:ascii="Times New Roman" w:hAnsi="Times New Roman"/>
          <w:color w:val="000000" w:themeColor="text1"/>
          <w:sz w:val="16"/>
          <w:szCs w:val="16"/>
        </w:rPr>
        <w:softHyphen/>
        <w:t>ционных мероприятий дал Н.Ф. Дубровин (Эшелоны вдут на восток: Из истории перебазирования производитель</w:t>
      </w:r>
      <w:r w:rsidRPr="00640820">
        <w:rPr>
          <w:rFonts w:ascii="Times New Roman" w:hAnsi="Times New Roman"/>
          <w:color w:val="000000" w:themeColor="text1"/>
          <w:sz w:val="16"/>
          <w:szCs w:val="16"/>
        </w:rPr>
        <w:softHyphen/>
        <w:t>ных сил СССР в 1941—1942 гг. М, 1966. С. 208—209.): «Конкретными, заблаговременно разработанными эвакуационными планами на случай неблагоприятного хода военных действий мы не располагали. Положение осложнялось тем, что многие пред</w:t>
      </w:r>
      <w:r w:rsidRPr="00640820">
        <w:rPr>
          <w:rFonts w:ascii="Times New Roman" w:hAnsi="Times New Roman"/>
          <w:color w:val="000000" w:themeColor="text1"/>
          <w:sz w:val="16"/>
          <w:szCs w:val="16"/>
        </w:rPr>
        <w:softHyphen/>
        <w:t>приятия прифронтовых районов до последней возможности должны были давать продукцию для обеспечения нужд обо</w:t>
      </w:r>
      <w:r w:rsidRPr="00640820">
        <w:rPr>
          <w:rFonts w:ascii="Times New Roman" w:hAnsi="Times New Roman"/>
          <w:color w:val="000000" w:themeColor="text1"/>
          <w:sz w:val="16"/>
          <w:szCs w:val="16"/>
        </w:rPr>
        <w:softHyphen/>
        <w:t>роны. Наряду с этим нужно было своевременно подготовить оборудование промышленных объектов к демонтажу и эваку</w:t>
      </w:r>
      <w:r w:rsidRPr="00640820">
        <w:rPr>
          <w:rFonts w:ascii="Times New Roman" w:hAnsi="Times New Roman"/>
          <w:color w:val="000000" w:themeColor="text1"/>
          <w:sz w:val="16"/>
          <w:szCs w:val="16"/>
        </w:rPr>
        <w:softHyphen/>
        <w:t>ации, которую приходилось часто осуществлять под артилле</w:t>
      </w:r>
      <w:r w:rsidRPr="00640820">
        <w:rPr>
          <w:rFonts w:ascii="Times New Roman" w:hAnsi="Times New Roman"/>
          <w:color w:val="000000" w:themeColor="text1"/>
          <w:sz w:val="16"/>
          <w:szCs w:val="16"/>
        </w:rPr>
        <w:softHyphen/>
        <w:t>рийским обстрелом и вражескими бомбардировками. Между тем необходимого опыта планирования и проведения столь экстренного перемещения производительных сил из запад</w:t>
      </w:r>
      <w:r w:rsidRPr="00640820">
        <w:rPr>
          <w:rFonts w:ascii="Times New Roman" w:hAnsi="Times New Roman"/>
          <w:color w:val="000000" w:themeColor="text1"/>
          <w:sz w:val="16"/>
          <w:szCs w:val="16"/>
        </w:rPr>
        <w:softHyphen/>
        <w:t>ных районов страны на восток у нас не было. Помню, как по заданию директивных органов мы специально разыскивали в архивах и библиотеках Москвы, в том числе в Государствен</w:t>
      </w:r>
      <w:r w:rsidRPr="00640820">
        <w:rPr>
          <w:rFonts w:ascii="Times New Roman" w:hAnsi="Times New Roman"/>
          <w:color w:val="000000" w:themeColor="text1"/>
          <w:sz w:val="16"/>
          <w:szCs w:val="16"/>
        </w:rPr>
        <w:softHyphen/>
        <w:t>ной библиотеке им. В.И. Ленина, хотя бы отрывочные сведе</w:t>
      </w:r>
      <w:r w:rsidRPr="00640820">
        <w:rPr>
          <w:rFonts w:ascii="Times New Roman" w:hAnsi="Times New Roman"/>
          <w:color w:val="000000" w:themeColor="text1"/>
          <w:sz w:val="16"/>
          <w:szCs w:val="16"/>
        </w:rPr>
        <w:softHyphen/>
        <w:t>ния об эвакуации во время Первой мировой войны, но найти почти ничего не удалось. Опыт приобретался в ходе военных действий» (На 1941 г. — заместитель наркома путей сообщения и начальник Грузо</w:t>
      </w:r>
      <w:r w:rsidRPr="00640820">
        <w:rPr>
          <w:rFonts w:ascii="Times New Roman" w:hAnsi="Times New Roman"/>
          <w:color w:val="000000" w:themeColor="text1"/>
          <w:sz w:val="16"/>
          <w:szCs w:val="16"/>
        </w:rPr>
        <w:softHyphen/>
        <w:t>вого управления НКПС). М.Н. Потёмкина отмечает, что уже в июле 1941 г. первый комплексный план эвакуации населения и материальных ценностей был в общих чертах составлен. Однако при его раз</w:t>
      </w:r>
      <w:r w:rsidRPr="00640820">
        <w:rPr>
          <w:rFonts w:ascii="Times New Roman" w:hAnsi="Times New Roman"/>
          <w:color w:val="000000" w:themeColor="text1"/>
          <w:sz w:val="16"/>
          <w:szCs w:val="16"/>
        </w:rPr>
        <w:softHyphen/>
        <w:t>работке авторы плана исходили из того, что неприятельское наступление будет в кратчайшие сроки остановлено (Это само по себе довольно странно, так как уже 27 июня было принято решение об эвакуации из Москвы Алмазного фонда и государственных запа</w:t>
      </w:r>
      <w:r w:rsidRPr="00640820">
        <w:rPr>
          <w:rFonts w:ascii="Times New Roman" w:hAnsi="Times New Roman"/>
          <w:color w:val="000000" w:themeColor="text1"/>
          <w:sz w:val="16"/>
          <w:szCs w:val="16"/>
        </w:rPr>
        <w:softHyphen/>
        <w:t>сов драгоценных металлов и камней (см.: Эшелоны идут на восток... С. 72)). Поэто</w:t>
      </w:r>
      <w:r w:rsidRPr="00640820">
        <w:rPr>
          <w:rFonts w:ascii="Times New Roman" w:hAnsi="Times New Roman"/>
          <w:color w:val="000000" w:themeColor="text1"/>
          <w:sz w:val="16"/>
          <w:szCs w:val="16"/>
        </w:rPr>
        <w:softHyphen/>
        <w:t>му эвакуационные мероприятия распространялись лишь на, прифронтовые (на тот момент) районы, а эвакуируемое иму</w:t>
      </w:r>
      <w:r w:rsidRPr="00640820">
        <w:rPr>
          <w:rFonts w:ascii="Times New Roman" w:hAnsi="Times New Roman"/>
          <w:color w:val="000000" w:themeColor="text1"/>
          <w:sz w:val="16"/>
          <w:szCs w:val="16"/>
        </w:rPr>
        <w:softHyphen/>
        <w:t>щество и население должны были вывозиться на восток на сравнительно небольшое расстояние. Основная масса эвакуа</w:t>
      </w:r>
      <w:r w:rsidRPr="00640820">
        <w:rPr>
          <w:rFonts w:ascii="Times New Roman" w:hAnsi="Times New Roman"/>
          <w:color w:val="000000" w:themeColor="text1"/>
          <w:sz w:val="16"/>
          <w:szCs w:val="16"/>
        </w:rPr>
        <w:softHyphen/>
        <w:t>ционных потоков направлялась в Поволжье, менее четвер</w:t>
      </w:r>
      <w:r w:rsidRPr="00640820">
        <w:rPr>
          <w:rFonts w:ascii="Times New Roman" w:hAnsi="Times New Roman"/>
          <w:color w:val="000000" w:themeColor="text1"/>
          <w:sz w:val="16"/>
          <w:szCs w:val="16"/>
        </w:rPr>
        <w:softHyphen/>
        <w:t>ти — на Урал, а Сибирь и Средняя Азия вообще практиче</w:t>
      </w:r>
      <w:r w:rsidRPr="00640820">
        <w:rPr>
          <w:rFonts w:ascii="Times New Roman" w:hAnsi="Times New Roman"/>
          <w:color w:val="000000" w:themeColor="text1"/>
          <w:sz w:val="16"/>
          <w:szCs w:val="16"/>
        </w:rPr>
        <w:softHyphen/>
        <w:t>ски не рассматривались (Потемкина М.Н. Эвакуация в годы Великой Отечественной войны на Урале: люди и судьбы. Магнитогорск, 2002, С. 51—52.). Разумеется, ход боевых действий достаточно быстро развеял эти оптимистические ожидания, и, соответственно, план июля 1941 г. пришлось отложить в сторону.</w:t>
      </w:r>
    </w:p>
    <w:p w14:paraId="4A926F70" w14:textId="77777777" w:rsidR="00165A9C" w:rsidRPr="00640820" w:rsidRDefault="00165A9C" w:rsidP="00640820">
      <w:pPr>
        <w:tabs>
          <w:tab w:val="left" w:pos="458"/>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результате вышеописанных обстоятельств в 1941 г. план эвакуационных мероприятий пришлось как выполнять, так и разрабатывать в условиях спешки и аврала. Разумеется, при этом не могло обойтись без многочисленных накладок и оши</w:t>
      </w:r>
      <w:r w:rsidRPr="00640820">
        <w:rPr>
          <w:rFonts w:ascii="Times New Roman" w:hAnsi="Times New Roman"/>
          <w:color w:val="000000" w:themeColor="text1"/>
          <w:sz w:val="16"/>
          <w:szCs w:val="16"/>
        </w:rPr>
        <w:softHyphen/>
        <w:t>бок. Главный технолог завода № 22 М.П. Семенов указывал впоследствии: «Если бы с первого дня дана была четкая ко</w:t>
      </w:r>
      <w:r w:rsidRPr="00640820">
        <w:rPr>
          <w:rFonts w:ascii="Times New Roman" w:hAnsi="Times New Roman"/>
          <w:color w:val="000000" w:themeColor="text1"/>
          <w:sz w:val="16"/>
          <w:szCs w:val="16"/>
        </w:rPr>
        <w:softHyphen/>
        <w:t>манда, то эвакуация прошла бы организованно» (Цит. по: Захарченко А.В. Формирование авиапромышленного комплек</w:t>
      </w:r>
      <w:r w:rsidRPr="00640820">
        <w:rPr>
          <w:rFonts w:ascii="Times New Roman" w:hAnsi="Times New Roman"/>
          <w:color w:val="000000" w:themeColor="text1"/>
          <w:sz w:val="16"/>
          <w:szCs w:val="16"/>
        </w:rPr>
        <w:softHyphen/>
        <w:t>са в Поволжье накануне и в годы Великой Отечественной войны (1940— 1942 гг.). Самара, 2004. С. 13.). Семёнову было о чём сетовать, так как, по его словам, до Казани до</w:t>
      </w:r>
      <w:r w:rsidRPr="00640820">
        <w:rPr>
          <w:rFonts w:ascii="Times New Roman" w:hAnsi="Times New Roman"/>
          <w:color w:val="000000" w:themeColor="text1"/>
          <w:sz w:val="16"/>
          <w:szCs w:val="16"/>
        </w:rPr>
        <w:softHyphen/>
        <w:t xml:space="preserve">шло не </w:t>
      </w:r>
      <w:r w:rsidRPr="00640820">
        <w:rPr>
          <w:rFonts w:ascii="Times New Roman" w:hAnsi="Times New Roman"/>
          <w:color w:val="000000" w:themeColor="text1"/>
          <w:sz w:val="16"/>
          <w:szCs w:val="16"/>
        </w:rPr>
        <w:lastRenderedPageBreak/>
        <w:t>более 20—25 % материалов цеха холодных штампов; остальная часть либо осталась в Москве, либо была потеря</w:t>
      </w:r>
      <w:r w:rsidRPr="00640820">
        <w:rPr>
          <w:rFonts w:ascii="Times New Roman" w:hAnsi="Times New Roman"/>
          <w:color w:val="000000" w:themeColor="text1"/>
          <w:sz w:val="16"/>
          <w:szCs w:val="16"/>
        </w:rPr>
        <w:softHyphen/>
        <w:t>на по дороге. К сожалению, этот эпизод был не единичным. Так, в записке секретаря Саратовского обкома ВКП(б) отме</w:t>
      </w:r>
      <w:r w:rsidRPr="00640820">
        <w:rPr>
          <w:rFonts w:ascii="Times New Roman" w:hAnsi="Times New Roman"/>
          <w:color w:val="000000" w:themeColor="text1"/>
          <w:sz w:val="16"/>
          <w:szCs w:val="16"/>
        </w:rPr>
        <w:softHyphen/>
        <w:t>чалось, что авиаприборный завод № 213 «растерял при эва</w:t>
      </w:r>
      <w:r w:rsidRPr="00640820">
        <w:rPr>
          <w:rFonts w:ascii="Times New Roman" w:hAnsi="Times New Roman"/>
          <w:color w:val="000000" w:themeColor="text1"/>
          <w:sz w:val="16"/>
          <w:szCs w:val="16"/>
        </w:rPr>
        <w:softHyphen/>
        <w:t>куации в г. Энгельс 50 % квалифицированной рабочей силы, а многие поставленные позднее на фундамент и подключен</w:t>
      </w:r>
      <w:r w:rsidRPr="00640820">
        <w:rPr>
          <w:rFonts w:ascii="Times New Roman" w:hAnsi="Times New Roman"/>
          <w:color w:val="000000" w:themeColor="text1"/>
          <w:sz w:val="16"/>
          <w:szCs w:val="16"/>
        </w:rPr>
        <w:softHyphen/>
        <w:t>ные к электричеству станки оказались без оснастки» (Цит. по: Захарченко А.В. Указ соч.). Тем не менее к январю 1942 г. в восточные регионы страны было перевезено и вскоре введено в строй 1523 завода, в том числе 1360 — оборонных (Быстрова И.В. Указ. соч. С. 193.). К концу 1941 г. на месте осталось лишь 30 % предприятий оборонных наркоматов (Быстрова И.В. Указ. соч. С. 194.). С учётом авраль</w:t>
      </w:r>
      <w:r w:rsidRPr="00640820">
        <w:rPr>
          <w:rFonts w:ascii="Times New Roman" w:hAnsi="Times New Roman"/>
          <w:color w:val="000000" w:themeColor="text1"/>
          <w:sz w:val="16"/>
          <w:szCs w:val="16"/>
        </w:rPr>
        <w:softHyphen/>
        <w:t>ного характера осуществляемой эвакуации, такой успешный результат можно считать грандиозной победой, которая в ко</w:t>
      </w:r>
      <w:r w:rsidRPr="00640820">
        <w:rPr>
          <w:rFonts w:ascii="Times New Roman" w:hAnsi="Times New Roman"/>
          <w:color w:val="000000" w:themeColor="text1"/>
          <w:sz w:val="16"/>
          <w:szCs w:val="16"/>
        </w:rPr>
        <w:softHyphen/>
        <w:t>нечном счёте во многом предопределила победу в Великой Отечественной войне в целом.</w:t>
      </w:r>
    </w:p>
    <w:p w14:paraId="6EC9ED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другой стороны, возобновление авиавыпуска отнюдь не означало восстановление прежних темпов сдачи продук</w:t>
      </w:r>
      <w:r w:rsidRPr="00640820">
        <w:rPr>
          <w:rFonts w:ascii="Times New Roman" w:hAnsi="Times New Roman"/>
          <w:color w:val="000000" w:themeColor="text1"/>
          <w:sz w:val="16"/>
          <w:szCs w:val="16"/>
        </w:rPr>
        <w:softHyphen/>
        <w:t>ции. Хотя ГКО требовало возобновления сдачи авиатехники в прежнем объёме уже через 1,5—2 месяца после эвакуации, на практике эта директива была практически нище не выполне</w:t>
      </w:r>
      <w:r w:rsidRPr="00640820">
        <w:rPr>
          <w:rFonts w:ascii="Times New Roman" w:hAnsi="Times New Roman"/>
          <w:color w:val="000000" w:themeColor="text1"/>
          <w:sz w:val="16"/>
          <w:szCs w:val="16"/>
        </w:rPr>
        <w:softHyphen/>
        <w:t>на. В ноябре на фронт было отправлено 627 машин, то есть в 3,5 раза меньше, чем в сентябре, а в декабре — 600, наимень</w:t>
      </w:r>
      <w:r w:rsidRPr="00640820">
        <w:rPr>
          <w:rFonts w:ascii="Times New Roman" w:hAnsi="Times New Roman"/>
          <w:color w:val="000000" w:themeColor="text1"/>
          <w:sz w:val="16"/>
          <w:szCs w:val="16"/>
        </w:rPr>
        <w:softHyphen/>
        <w:t>шая партия за весь период войны. Фактически в ноябре— декабре 1941 г. львиная доля авиавыпуска приходилась на не подвергнувшиеся эвакуации горьковский завод № 21 и сара</w:t>
      </w:r>
      <w:r w:rsidRPr="00640820">
        <w:rPr>
          <w:rFonts w:ascii="Times New Roman" w:hAnsi="Times New Roman"/>
          <w:color w:val="000000" w:themeColor="text1"/>
          <w:sz w:val="16"/>
          <w:szCs w:val="16"/>
        </w:rPr>
        <w:softHyphen/>
        <w:t>товский № 292.</w:t>
      </w:r>
    </w:p>
    <w:p w14:paraId="53A69B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Эвакуация — как это делалось. Судьбы людей и заво</w:t>
      </w:r>
      <w:r w:rsidRPr="00640820">
        <w:rPr>
          <w:rFonts w:ascii="Times New Roman" w:hAnsi="Times New Roman"/>
          <w:color w:val="000000" w:themeColor="text1"/>
          <w:sz w:val="16"/>
          <w:szCs w:val="16"/>
        </w:rPr>
        <w:softHyphen/>
        <w:t>дов. Эвакуация авиапредприятий представляла собой титани</w:t>
      </w:r>
      <w:r w:rsidRPr="00640820">
        <w:rPr>
          <w:rFonts w:ascii="Times New Roman" w:hAnsi="Times New Roman"/>
          <w:color w:val="000000" w:themeColor="text1"/>
          <w:sz w:val="16"/>
          <w:szCs w:val="16"/>
        </w:rPr>
        <w:softHyphen/>
        <w:t>ческое свершение, по масштабам не имевшее на тот момент аналогов. При описании этого циклопического процесса очень велик соблазн рассматривать картину исключительно «в целом», в масштабах всей отрасли. Однако, думается, что при таком уровне рассмотрения мы рискуем упустить очень важный аспект — организацию эвакуационных процессов на уровне отдельных предприятий. Между тем именно положе</w:t>
      </w:r>
      <w:r w:rsidRPr="00640820">
        <w:rPr>
          <w:rFonts w:ascii="Times New Roman" w:hAnsi="Times New Roman"/>
          <w:color w:val="000000" w:themeColor="text1"/>
          <w:sz w:val="16"/>
          <w:szCs w:val="16"/>
        </w:rPr>
        <w:softHyphen/>
        <w:t>ние дел на таком «микроуровне» авиапромышленности опре</w:t>
      </w:r>
      <w:r w:rsidRPr="00640820">
        <w:rPr>
          <w:rFonts w:ascii="Times New Roman" w:hAnsi="Times New Roman"/>
          <w:color w:val="000000" w:themeColor="text1"/>
          <w:sz w:val="16"/>
          <w:szCs w:val="16"/>
        </w:rPr>
        <w:softHyphen/>
        <w:t>деляло общее положение дел в Авиапроме в целом (12011).</w:t>
      </w:r>
    </w:p>
    <w:p w14:paraId="39AF52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60969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октября 1941 г. по Постановлению ГКО № 741с и приказами НКАП № 729сс от 22.07.1941 г. и № 1053сс от 9.10.1941 г. завод № 1 был эвакуирован в г. Куйбышев,</w:t>
      </w:r>
      <w:r w:rsidRPr="00640820">
        <w:rPr>
          <w:rFonts w:ascii="Times New Roman" w:hAnsi="Times New Roman"/>
          <w:color w:val="000000" w:themeColor="text1"/>
          <w:sz w:val="16"/>
          <w:szCs w:val="16"/>
          <w:vertAlign w:val="superscript"/>
        </w:rPr>
        <w:t>47</w:t>
      </w:r>
      <w:r w:rsidRPr="00640820">
        <w:rPr>
          <w:rFonts w:ascii="Times New Roman" w:hAnsi="Times New Roman"/>
          <w:color w:val="000000" w:themeColor="text1"/>
          <w:sz w:val="16"/>
          <w:szCs w:val="16"/>
        </w:rPr>
        <w:t xml:space="preserve"> ст. Безымянка на территорию завода № 122 1ГУ НКАП и по приказу № 1084сс от 28.10.1941 г. объединен с ним в единый завод № 1 НКАП. К тому времени в состав завода № 122 были влиты по приказу № 705с от 17.07.1941 г. эвакуированные заводы № 35 (Смоленск), № 453, № 463 (г. Таллинн), № 464 (г. Рига), № 465 и завод № 8 ОАП (приказ № 984с от 16.09.1941 г.). В состав завода № 1 были включены также завод № 89 и № 483 7ГУ НКАП. Завод № 1 имел филиал в г. Куйбышеве, образованный в 1941 г. на базе бывшей мебельной фабрики. По приказу № 306с/203пс от 24.07.1945г. филиал передан в ведение Наркомлеса (11982).</w:t>
      </w:r>
    </w:p>
    <w:p w14:paraId="02110A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2D9CD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октября 1941 г. приказом № 1050сс в соответствии с пост. СНК № 1842-830сс от 9.07.1941 г. в 10.1941 г. завод № 51 7ГУ (Завод № 51 НКАП, МОП, МАП, п/я 2325, Филиал завода № 155 МАП, ММЗ «Кулон» МАП, В-2481, Машиностроительный завод им. П.О. Сухого МАП, ФГУП «Авиационный военно-промышленный комплекс (АВПК) «Сухой», ОАО «Компания «Сухой» /г. Москва Боткинский пр.;  г. Новосибирск/ /125284  г. Москва ул. Поликарпова, 23 А тел. 945-44-22/) был эвакуирован в  г. Новосибирск на площадку Рембазы Облавтотранса, неприспособленную для проведения работ (первоначально планировалось - на площадку завода № 153 НКАП). Здесь завод действовал до конца 1943 г. ОКБ-51 вместе с заводом эвакуировалось в 1941 г. в  г. Новосибирск.</w:t>
      </w:r>
    </w:p>
    <w:p w14:paraId="58AD50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Продолжены работы по ТИС, ИТП, доводка И-185. Проектировались НБ, «Малютка», «Лимузин». В 1941-43 г. проводились также работы по десантным планерам БДП, БДП-2, МП.</w:t>
      </w:r>
    </w:p>
    <w:p w14:paraId="0BF5A3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Москве на старой площадке по приказу № 239с от 30.03.1942 г. образован Ремонтный завод при Главремуправлении НКАП для ремонта самолетов (в 05.1942 г. начат ремонт И-16), Далее он действовал как филиал завода № 51 по ремонту и опытным работам. Реэвакуация завода началась в 1942 г. В начале 1943 г. основной территорией завода стала площадка в Москве, а Новосибирская - филиалом. В соответствии с пост. ГКО № 4290с от 8.10.1943 г. и по приказу № 641с от 28.10.1943 г. Новосибирский филиал вернулся на старую площадку в Москву со всем оборудованием и кадрами, соединившись с заводом. Реэвакуация была завершена к началу 1944 г. Сооружения в Новосибирске переданы в НК автотранспорта РСФСР.</w:t>
      </w:r>
    </w:p>
    <w:p w14:paraId="69921C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работ по истребителям, Поликарпову поручили работы (с 1943 г.) по ФАУ-1, но он всячески сопротивлялся этому. После смерти Поликарпова по приказу НКАП № 717/к от 19.09.1944 г. гл. конструктором завода № 51 стал В.Н. Челомей, который до 1953 г. проектировал и строил на заводе самолеты-снаряды. На заводе были построены опытные партии КР 14Х, 16Х.</w:t>
      </w:r>
    </w:p>
    <w:p w14:paraId="256672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1944 г. на заводе № 51 образована самостоятельная группа под руководством В.Н. Челомея для проведения работ по КР (с 16.06.1944 г. Челомей возглавлял отдел ПД № 6 в ЦИАМ). Пост. ГКО № 7350 от 18.01.1945 г. ему поручено спроектировать ракету по типу ФАУ-1, получившую название «10Х». С 1944 г. в группе работал Д.Л. Томашевич, переведенный из ОТБ НКВД при заводе № 288. После окончания войны он участвовал в изучении трофейной ракетной техники. С 1947 г. - в КБ-2 МСХМ.</w:t>
      </w:r>
    </w:p>
    <w:p w14:paraId="664491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656с от 2.11.1944 г. завод № 51 передан из 7ГУ во вновь образованное 18ГУ по авиационной реактивной технике. По приказу № 122с от 19.03.1946 г., в связи с ликвидацией 18ГУ, завод передан в 8ГУ, а с 1.05.1948 г.-в 14ГУ.</w:t>
      </w:r>
    </w:p>
    <w:p w14:paraId="6F8A75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1949-50 г. спроектирован и построен ПуВРД для вертолета с реактивным приводом СБИЖ М-1.</w:t>
      </w:r>
      <w:r w:rsidRPr="00640820">
        <w:rPr>
          <w:rFonts w:ascii="Times New Roman" w:hAnsi="Times New Roman"/>
          <w:color w:val="000000" w:themeColor="text1"/>
          <w:sz w:val="16"/>
          <w:szCs w:val="16"/>
          <w:vertAlign w:val="superscript"/>
        </w:rPr>
        <w:t>51</w:t>
      </w:r>
    </w:p>
    <w:p w14:paraId="2DD731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МОП № 229сс от 21.02.1953 г. завод № 51 передан в подчинение заводу № 155 МОП гл. конструктора А.И. Микояна в качестве филиала. Работы по доводке истребителей. С 1.04.1953 г. завод № 51 передан в 7ГУ.</w:t>
      </w:r>
    </w:p>
    <w:p w14:paraId="338BA8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МАП № 135сс от 26.10.1953 г. филиал завода № 155 передан ОКБ-1 в качестве производственной базы. По приказу № 25сс от 15.01.1954 г. ОКБ-1 присвоено название ГС опытный завод № 51 МАП (с ОКБ-51 МАП при нем). С этого момента завод строит опытные самолеты П.О. Сухого. В 08.1957 г. - в ведении 1ГУ МАП.</w:t>
      </w:r>
    </w:p>
    <w:p w14:paraId="0FBC9F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1950-е  г. имел наименование «п/я 2325», затем - п/я В-2481. По приказу МАП № 175 от 30.04.1966 г. завод № 51 получил название ММЗ «Кулон». В соответствии с пост. СМ СССР от 10.11.1975 г. и приказом МАП № 135 от 19.07.1976 г. ММЗ «Кулон» переименован в Машиностроительный завод им. П.О. Сухого. По приказу Департамента АП МП № 48 от 12.03.1992 г. МЗ преобразован в Авиационный научно-промышленный комплекс (АНПК) «ОКБ Сухого». В соответствии с распоряжением Правительства № 2456-р от 30.12.1992 г. приказом по предприятию № 798 от 11.11.1994 г. АНПК преобразован в АООТ «ОКБ Сухого», с 2002 г.- ОАО «ОКБ Сухого».</w:t>
      </w:r>
    </w:p>
    <w:p w14:paraId="5239F2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19.10.1996 г. создано ГП «АВПК «Сухой» (в соответствии с Указом Президента РФ от 26.08.1996 г.). В его состав входили: АООТ «ОКБ Сухого», КнААПО, ИАПО, НАПО, ТАНТК им. Бериева (2002 г.). По Указу Президента РФ № 1009 от 4.08.2004 г. вошло в число стратегических оборонных предприятий. В 2005 г. - ОАО «Компания «Сухой».</w:t>
      </w:r>
    </w:p>
    <w:p w14:paraId="140A72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Имело представительство в Китае (директор (2006 г.)- С. Сергеев).</w:t>
      </w:r>
    </w:p>
    <w:p w14:paraId="6FD62B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территории (2008 г.)- около 25 га.</w:t>
      </w:r>
    </w:p>
    <w:p w14:paraId="0660F8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(1.04.2003 г.)- 70 чел.</w:t>
      </w:r>
    </w:p>
    <w:p w14:paraId="512EC2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(07.1940 г.)- Н.Н. Поликарпов, (1940-49 г.)- П.О. Сухой, (05-12.1954 г.)- Е.А. Иванов, (12.1954-58 г.)- М.С. Жезлов; и.о. (07.1958-10.1959 г.)- Е.А. Иванов, (1959 г.)- А. Худяков; (10.1959-08.1960 г.)- Ю.К. Лавровский, (08.1960-; 1963-71 г.)- М.П. Семенов, (10.1971-04.1983 г.)- А.С. Зажигин, (07.1983-05.1984 г.)- В.Н. Мизгер, (05.1984-01.1992 г.)- Б.В. Ракитин, (02.1992-09.1998 г.)- В.Н. Авраменко. (09.1998-10.1999 г.)- В.В. Головкин. Гендиректор (1995-99 г.)- М.П. Симонов, (1999-2006 г.-)- М.А. Погосян.</w:t>
      </w:r>
    </w:p>
    <w:p w14:paraId="09EC7B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1-й зам. гендиректора (1992-98 г.)- В.Н. Авраменко, (1998-99 г.)- Н.Ф. Никитин, (-2002-03 г.-&gt; А.И. Кнышев, (2007 г.)- С.С. Короткое. Зам. директора: по МФВ и кап. строительству (07.1940 г.-)- И.Н. Давыдов; по технической части (07.1940 г.-)- М.К. Янгель. Зам. гендиректора (11.2000-11.2003 г.)- В. Торянин, (-2002-05  г.-)- А.Н. Клементьев, (-2002-07 г.-)-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Присяжнюк, (2003 г.)- С.С. Короткое, (2005 г.)- Б. Брегман, (2006 г.)- С. Сергеев, (2007 г.)- В. Викторов, (2007 г.)- Н. Константинова, (2007 г.)- Ю. Тарасов; по контрактам и поставкам (1997-98 г.)- А. Г. Белов; по маркетингу (-2006-07 г.-)- А.Н. Клементьев; по кадровой политике (2007 г.)- С.М. Рясовский; по связям с общественностью (2005 г.)- В. Разумовский; по корпоративным финансам (2007 г.)- И .Я. Озар.</w:t>
      </w:r>
    </w:p>
    <w:p w14:paraId="5055D9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производства (-1948 г.)- А.В. Потопалов. Директор: исполнительный (1992-98; 2002 г.)- В.Н. Авраменко, 91998-99 г.)- В.В. Головкин; по маркетингу и продажам (2000 г.)- А. Усачев; коммерческий (2005 г.)- А.Н. Клементьев; финансовый (2006 г.)- И.Я. Озар; по связям с общественностью (-2006-07 г.-)- В. Г. Разумовский.</w:t>
      </w:r>
    </w:p>
    <w:p w14:paraId="0878DF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(07.1940-09.1944 г.)- Н.Н. Поликарпов {9.06.1892-30.07.1944}, (19.10.1944-1953 г.)- В.Н. Челомей, (01.1954 г.-)- П.О. Сухой.</w:t>
      </w:r>
    </w:p>
    <w:p w14:paraId="2022F0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конструктора (1941 г.)- Н.А. Жемчужин, (-04.1946-47 г.)- Д.Л. Томашевич, (04.1946 г.)- Л.П. Короткое.</w:t>
      </w:r>
    </w:p>
    <w:p w14:paraId="777788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(1951-54 г.)- А.И. Шаповалов, (1954-58 г.)- Е.А. Иванов, (1958-61 г.)- М.И. Шейгам, (1961-71 г.)- А.С. Зажигин, (1971-89 г.)-  Г.Т. Лебедев, (1989-92 г.)- В.Н. Авраменко, (1992-95; 1999 г.)- В.А. Кузнецов, (1996- 99 г.)- Ю.М. Тарасов.</w:t>
      </w:r>
    </w:p>
    <w:p w14:paraId="3FB56E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инженера- П.К. Лырщиков.</w:t>
      </w:r>
    </w:p>
    <w:p w14:paraId="2E4DE4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Начальник КБ (1953-55 г.)- С.Д. Трефилов, (1955-56 г.)- К.Н. Стрекалов, (1956 г.)- А.П. Наумов, (1956-63 г.)- П.С. Анищенков, (1963-68 г.)- В.В. Коренастое, (1968-69 г.)- В.Я. Лукьяненко, (1969-83; 1986 г.)-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Федотов, (1983-85 г.)- В.В. Барсуков, (1985-89 г.-)- А.И. Григоренко.</w:t>
      </w:r>
    </w:p>
    <w:p w14:paraId="7D37F2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бомбардировщики: НБ (1943)- 1, Т-6 (1967-)- 4 (11982).</w:t>
      </w:r>
    </w:p>
    <w:p w14:paraId="6654B7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B19ED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8 октября 1941 г. по приказу № 1050сс часть завода № 240 7ГУ НКАП (Завод № 240 ГВФ, НКАП, МАП, МОП, Завод опытных конструкций (ЗОК) НИИ ГВФ, Московский машиностроительный завод (ММЗ) «Стрела», ММЗ им. С.В. Ильюшина МАП, Авиационный Комплекс (АК) им. С.В. Ильюшина, АООТ, ОАО «АК им. С.В. Ильюшина» («Ил») /г. Москва ул. Красноармейская, 17; Ленинградское ш., 55 А (1947 г.)/ /125190  г. Москва Ленинградский пр., 45Г тел. 943-81-21/) эвакуирована (с 9.10.1941 г.) в Казань на площадку завода № 124 НКАП и влита в его состав для работ по ремонту Ер-2 и помощи серийному производству завода. После эвакуации </w:t>
      </w:r>
      <w:r w:rsidRPr="00640820">
        <w:rPr>
          <w:rFonts w:ascii="Times New Roman" w:hAnsi="Times New Roman"/>
          <w:color w:val="000000" w:themeColor="text1"/>
          <w:sz w:val="16"/>
          <w:szCs w:val="16"/>
        </w:rPr>
        <w:lastRenderedPageBreak/>
        <w:t>часть сотрудников проводила госиспытания Ер-2 с АМ-37 в Свердловске.</w:t>
      </w:r>
      <w:r w:rsidRPr="00640820">
        <w:rPr>
          <w:rFonts w:ascii="Times New Roman" w:hAnsi="Times New Roman"/>
          <w:color w:val="000000" w:themeColor="text1"/>
          <w:sz w:val="16"/>
          <w:szCs w:val="16"/>
          <w:vertAlign w:val="superscript"/>
        </w:rPr>
        <w:t>34</w:t>
      </w:r>
      <w:r w:rsidRPr="00640820">
        <w:rPr>
          <w:rFonts w:ascii="Times New Roman" w:hAnsi="Times New Roman"/>
          <w:color w:val="000000" w:themeColor="text1"/>
          <w:sz w:val="16"/>
          <w:szCs w:val="16"/>
        </w:rPr>
        <w:t xml:space="preserve"> Из-за невозможности размещения завода полностью в Казани работы по доводке Ер-2 с АМ-37 организовывались там же, в Свердловске. В 12.1941 г. часть мощностей завода передана в состав вновь образованного завода № 30.</w:t>
      </w:r>
    </w:p>
    <w:p w14:paraId="0CA733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6с от 4.01.1942 г. завод под прежним номером начал восстанавливаться на старой площадке, возвращались кадры. В 04.1942 г. все оборудование возвращено обратно. Осуществлялся ремонт Ер-2.</w:t>
      </w:r>
    </w:p>
    <w:p w14:paraId="05626A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НКАП № 304 от 21.04.1942 г. на завод № 240 7ГУ в Москву было переведено ОКБ С.В. Ильюшина, и завод стал его опытной базой. Приказом по заводу от 13.07.1942 г. были распределены обязанности руководства: гл. конструктору подчинены КБ, отделы: плановый, ОТК, секретный; техбиблиотека. В ведении начальника производства: цеха, отделы: технический, техники безопасности, инструментальный. Зам. директора подчинены отделы: ОРС, кадров, МТС, гл. механика, капстроительства, АХО; бухгалтерия, охрана.</w:t>
      </w:r>
    </w:p>
    <w:p w14:paraId="2BAC3D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04-07.1942 г. по приказу № 517с от 12.07.1942 г. территория «Б» завода № 240 преобразована в самостоятельный опытный завод № 134 НКАП.</w:t>
      </w:r>
    </w:p>
    <w:p w14:paraId="09B744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обеспечения аэродромных работ за заводом № 240 был закреплен ангар завода № 89. Завод в 1942 г. состоял из сборочного цеха (позже № 5), механического (№ 2) и группы статиспытаний.</w:t>
      </w:r>
    </w:p>
    <w:p w14:paraId="56D08F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НКАП № 424с от 5.07.1944 г. около 50% рабочих ликвидированного завода № 89 переведены на завод № 240 НКАП для укрепления производственной базы ОКБ Ильюшина.</w:t>
      </w:r>
    </w:p>
    <w:p w14:paraId="1A24F3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НКАП № 61с от 20.02.1946 г. после ликвидации ОКБ-482 В. М. Мясищева заводу № 240 был передан завод № 482 НКАП со всем оборудованием и личным составом. Таким образом, территория по ул. Красноармейской стала территорией «Б», где разместилось ОКБ, а площадка бывшего завода № 482 по Ленинградскому ш., 55А- территорией «А», на которой сосредоточилось производство. Кроме того, по приказу № 91 с от 6.03.1946 г. заводу № 240 передана часть металлорежущего оборудования завода № 456 НКАП.</w:t>
      </w:r>
    </w:p>
    <w:p w14:paraId="168E43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опытного завода цеха: № 1- модельный, № 2- механический, № 3- оснастки, № 4- медницко- заготовительный, № 5- сборочный, № 6- столярный, № 7- сначала электро- и высотного оборудования, затем- лакокрасочных покрытий и неметаллов, № 8- транспортный, № 9- плазовый, № 10- оснастки и приспособлений, № 15- литейно-кузнечный, № 18- сборки планера, № 20- изготовления и сборки шасси, агрегатов управления и вооружения; Отделы: гл. технолога, гл. металлурга, гл. энергетика (ОГЭ), гл. механика (ОГМ), экспериментальный отдел сварки (ЭОС), капитального строительства (ОКС), материально-технического снабжения (ОМТС), комплектации (ОК).</w:t>
      </w:r>
    </w:p>
    <w:p w14:paraId="6AC220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сборочного цеха: две бригады бортмехаников, группы: шасси, гидравлики и управления; каркасно- сборочная; электро-, радио- и навигационного оборудования. При цехе также действовали: лаборатории: по тарировке электронавигационных приборов, гидравлическая; подстанция для зарядки аккумуляторов. В 1946 г. после переезда цеха на территорию «А» образованы: группы: управления, клепально-медницкая; техбюро. Затем созданы группа по отделке интерьера, мастерская стекла. В 1956 г. цех № 5 имел: технологический отдел, ПДБ, 12 производственных групп (гидравлики и шасси, сборки и стыковки мотогондол, силовой установки, мотористов, высотников, управления, оборудования, электриков, обойная, медницкая), группу механика. В 2002 г. в состав цеха № 5 влит цех № 18.</w:t>
      </w:r>
    </w:p>
    <w:p w14:paraId="345E57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механического цеха № 2 было две механические группы и слесарная. Располагался на территории «Б», в 1946 г. переехал на территорию «А». В 1946 г. имел уже 4 механических группы и слесарное отделение. В 1954 г. цех № 2 переехал в новое помещение, где и располагался в 2000-е  г.</w:t>
      </w:r>
    </w:p>
    <w:p w14:paraId="224A24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1943 г. создан плазовый цех № 9, в 1953 г. в его состав влит цех № 6, и образован плазово-шаблонный цех № 9. В 1963 г. в его составе создана лаборатория программного управления и геометрических расчетов, затем- фотоконтактная лаборатория. В 1943-45 г. организованы цеха: медницко-заготовительный, сборки планера, столярный. В 1944 г. организован цех оснастки № 3. В 1945 г. организован агрегатно-механический цех № 20, его основу составило трофейное оборудование, переданное с завода № 456. В 1948 г. для цеха построено новое помещение, где он располагался до 1954 г., затем переехал в новое помещение, где и располагался в 2000-е  г. Имелись группы: две токарные, две фрезерные, вооружения, слесарная. 1.06.1947 г. образован цех № 7 электрооборудования. Сюда из цеха № 5 переданы электромастерская и группа электрооборудования. В 1949 г. создана группа высотного оборудования. 1.01.1954 г. цех № 7 влит в состав цеха № 5. В 1947 г. на территории «Б» создана модельная мастерская. В 1961 г. на ее базе создан цех № 1 по изготовлению моделей и макетов. В его составе 5 мастерских (слесарная, столярная, механическая, флаттерная, малярная). Далее в состав цеха № 1 влит цех № 9.</w:t>
      </w:r>
    </w:p>
    <w:p w14:paraId="11554F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от 22.03.1948 г. из состава ОТК выделился отдел заводских лабораторий. Далее он преобразован в отдел гл. металлурга. В него вошли лаборатории: рентгеновская, химическая, пирометрическая, механических испытаний, коррозионная, металлографическая. В 1960-е  г. создана ультразвуковая лаборатория. В 1968-72 г.- лаборатории по анализу сточных вод и воздушной среды, по цветному контролю, металлургическое бюро.</w:t>
      </w:r>
    </w:p>
    <w:p w14:paraId="10CF20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240 от 22.07.1948 г. организован цех № 15, объединивший литейную, термическую и кузнечную мастерские. В цехе создано отделение свинцово-цинковых штампов, участок точного литья, участок термообработки инструмента.</w:t>
      </w:r>
    </w:p>
    <w:p w14:paraId="752823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1949 г. из состава цеха № 20 выделен цех инструмента и оснастки № 10. В его составе группы: слесарная (со своей литейной группой), токарная, фрезерная, шлифовальная, заточная, технологическая. Затем созданы мастерские: нормалей, переработки пластмасс, термическая, гальваническая. В 1969 г. цех переехал с территории «Б» на территорию «А» в новый корпус, где размещался и в 2000-е  г.</w:t>
      </w:r>
    </w:p>
    <w:p w14:paraId="1FF7A5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1950-е  г. создана сварочная лаборатория, преобразованная затем в службу гл. сварщика- экспериментальный отдел сварки (ЭОС).</w:t>
      </w:r>
    </w:p>
    <w:p w14:paraId="7A8B53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1960-е  г. организован цех № 7 - переработки неметаллов, в него вошла лаборатория неметаллов (в 1966 г. она подчинена гл. технологу). Были созданы участки: оргстекла, стеклопластиков, вакуумирования, переработки резин, гальваники, обойная мастерская, автоклавная, мастерская герметизации, малярная группа.</w:t>
      </w:r>
    </w:p>
    <w:p w14:paraId="4E1CB6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Отдела гл. технолога: отделы: новой техники (ОНТ), центральный технологический (ЦТО), конструкторский (КОПР). В составе ОНТ лаборатории: металлов, неметаллов, механической обработки. В составе ЦТО бюро: фюзеляжа, крыла и интерьера, оборудования. В составе КОПР бюро: наземного оборудования, инструментальное, оборудования, стапельной оснастки.</w:t>
      </w:r>
    </w:p>
    <w:p w14:paraId="3E95F4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ОГЭ цеха: № 11, № 12, № 13, энергообеспечения № 14 (создан в 1944 г.).</w:t>
      </w:r>
    </w:p>
    <w:p w14:paraId="19D997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1980-х  г. в состав ОКС влился строительный цех.</w:t>
      </w:r>
    </w:p>
    <w:p w14:paraId="4B96CC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Действовал отдел смежных производств и комплектаций (ОСПК), затем он был преобразован в ОК. ОМТС имеет склады в Павловской слободе.</w:t>
      </w:r>
    </w:p>
    <w:p w14:paraId="732B00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28.03 по 09.1953 г. завод- в подчинении ГКАТ МОП, затем- снова в МАП. В 08.1957 г.- в ведении 1ГУ МАП. По приказу МАП № 175 от 30.04.1966 г. ОКБ-240 МАП получило название ММЗ «Стрела». С 1977 г.- ММЗ им. С.В. Ильюшина. В 1992 г.- Авиационный комплекс (АК) им. С.В. Ильюшина. Распоряжением правительства № 475-р от 14.04.1994 г. предприятие акционировано и преобразовано в АООТ «АК им. С.В. Ильюшина». Указом Президента РФ № 1532 от 21.07.1994 г. создана холдинговая компания «Ильюшин» в составе АООТ «АК им. С.В. Ильюшина» и ВАСО. 14.04.2000 г. создано ОАО «МАК «Ильюшин», в состав которого вошли ОАО «АК им. С.В. Ильюшина» и ОАО «ВАСО».</w:t>
      </w:r>
    </w:p>
    <w:p w14:paraId="53AEAF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 решению Правительства № 22-р от 9.01.2004 г. и Указу Президента РФ № 1009 от 4.08.2004 г. вошло в «ело стратегических оборонных предприятий. По Указу Президента РФ от 20.02.2006 г. вошло в ОАО </w:t>
      </w:r>
      <w:r w:rsidRPr="00640820">
        <w:rPr>
          <w:rFonts w:ascii="Times New Roman" w:hAnsi="Times New Roman"/>
          <w:color w:val="000000" w:themeColor="text1"/>
          <w:sz w:val="16"/>
          <w:szCs w:val="16"/>
          <w:lang w:val="en-US"/>
        </w:rPr>
        <w:t>OAK</w:t>
      </w:r>
      <w:r w:rsidRPr="00640820">
        <w:rPr>
          <w:rFonts w:ascii="Times New Roman" w:hAnsi="Times New Roman"/>
          <w:color w:val="000000" w:themeColor="text1"/>
          <w:sz w:val="16"/>
          <w:szCs w:val="16"/>
        </w:rPr>
        <w:t>. , Численность персонала (1.01.1940 г.)-784 чел.</w:t>
      </w:r>
    </w:p>
    <w:p w14:paraId="6F81FA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(1939 г.)- В. Г. Ермолаев, (03.1940 г.-)- М.П. Озимков, (07.1942-47 г.)- С.В. Ильюшин; И.О. директора &lt;09.1947 г.)- Д.Е. Кофман (до этого- директор завода № 81); (23.06.1948-74 г.)- Д.Е. Кофман, (9.09.1974-88 г.)- А.В. Шапошников, (14.03.1988 г.-)- В.В. Ливанов; и.о. директора- В.А. Тимофеев. Ответственный руководитель (17.12.1956 г.-)- С.В. Ильюшин. Гендиректор (23.12.1995-25.10.1996; -1997-2008 г.-)- В.В. Ливанов; И.О. гендиректора (14.11.1996 г.-)- В.И. Жданов; (1997-98 г.)- В.И. Жданов.</w:t>
      </w:r>
    </w:p>
    <w:p w14:paraId="68862F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Гендиректора по финансовым и экономическим вопросам (-2001-08 г.-)- Ю.М. Юдин. Зам. директора, гендиректора (-1941-42 г.-&gt; В.В. Осипович, (14.02.1948 г.-)- Ю.К. Лавровский; по коммерции (04.1993 г.-)- Ю.М. Юдин; по экономическим вопросам (2003 г.)- В.М. Ваванов; по кадрам и режиму- М.Ф. Костыгин, по управлению персоналом (2003 г.)- Е.В. Кузьмин; по МТС- Н.Б. Разыграев, Б.А. Гладков; по маркетингу и ВЭВ (2002-08 г.-)- В_А. Беляков; по безопасности (2003 г.)- В.П. Ефанов; (1998 г.)- В.И. Жданов.</w:t>
      </w:r>
    </w:p>
    <w:p w14:paraId="7ECC89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(11.07.1942 г.-)- Я.С. Хаевский, (5.04.1947 г.-)- В.Н. Бугайский, (14.02.1948 г.-)- Ю.К. Лавровский, (9.02.1956 г.-)- В.А. Юдин, (10.11.1986 г.-)- В.А. Тимофеев.</w:t>
      </w:r>
    </w:p>
    <w:p w14:paraId="07C85C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Р.Л. Бартини, (03.1940-42 г.)- В. Г. Ермолаев, (07.1942-1970 г.)- С.В. Ильюшин. Ген. Конструктор (07.1970-2005 г.-)-  Г.В. Новожилов.</w:t>
      </w:r>
    </w:p>
    <w:p w14:paraId="2C8016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конструктора (23.11.1949 г.-)- Я.А. Кутепов, (3.12.1949 г.-)- Е.С. Фельснер, (3.03.1950 г.-)- К.В. Рогов; по пассажирским и транспортным самолетам (11.04.1953 г.-)- А.А. Масленников; (4.07.1956 г.-)- Ф.С. Дмитричков; по новой технике (13.04.1959 г.-)- В.А. Борог; по электрорадиооборудованию (24.04.1959-83 г.-)- В.И. Смирнов; (30.06.1964 г.-)-  Г.К. Нохратян-Торосян (по заводу № 22), (16.04.1971-74 г.-)- А.В. Шапошников; по эксплуатации (27.11.1972 г.-)- В.М. Сухобоков; по прочности и ресурсу (26.01.1973 г.-)- И.А. Зыков, (10.04.1975 г.-)- А.А. Неронов; (23.10.1974 г.-)- М.М. Киселев; (12.02.1976 г.-)- В.И. Воронин (по серийному производству Ил-76); (14.08.1985 г.-)- В.И. Мишин, (22.10.1985 г.-)- В.И. Абрамов, (26.01.1987-96 г.-&gt; И.Б. Воробьев, (26.01.1987 г.-)- Н.Д. Таликов, (23.11.1987 г.-)- С.Ф. Буяков, (22.01.1990 г.-)- М.Ф. Макокин, (17.08.1992 г.-)- Л.А. Шмугляков (по серийному производству на ТАПОиЧ), (29.09.1993 г.-)- А.Л. Доброскоков, (28.03.1994 г.-)- М.С. Неймарк.</w:t>
      </w:r>
    </w:p>
    <w:p w14:paraId="48F378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производства (2003 г.)- В.А. Тимофеев; коммерческий (2003 г.)- С.Н. Артюхов; по модернизации авиатехники (2003 г.)- В.В. Ракитин; по информационным технологиям (2006 г.)- Б.В. Маляров; по МТС и общим вопросам (2003 г.)- А.Б. Гладков; по управлению персоналом (2003 г.)- В. Г. Гуров; ЛИиДБ (2003 г.)- В.И. Жданов.</w:t>
      </w:r>
    </w:p>
    <w:p w14:paraId="3F604F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директоров: производства (2003 г.)- М.Е. Шалимов; по подготовке производства (2003 г.)- Ю.А. Сурабов; по социальным вопросам (2003 г.)- Е.В. Кузьмин.</w:t>
      </w:r>
    </w:p>
    <w:p w14:paraId="6CD13A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производства (07.1942 г.)- В.К. Григорьев, (-1956 г.)- В.А. Юдин, (1956 г.-)- М.О. Дыдзинский, В. Г. Шкурин, (1991-2003 г.-&gt; М.Е. Шалимов.</w:t>
      </w:r>
    </w:p>
    <w:p w14:paraId="31C829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Гл. технолог (7.05.1949 г.-&gt; В.Н. Крысин, (10.02.1956 г.-)- Б.А. Николаевский, Ф.Р. Куликов, (1.07.1987 г.-)- ДА. Матюхин, (2003 г.)- А.В. Подтыльный. Гл. металлург (1948-84 г.)- В.В. Мельников. Гл. энергетик- П.И. Тевис, (1980-е)-0. г. Стекура, (1980-е)- С.А. Титов, (1990-е)- А.Е. Калинин, Быстрицкий. Гл. механик- И.А. Лямин, (1980-е-2003 г.-)- В.М. Соломатин. Гл. сварщик (1985 г.-)- В.Н. Шныриков. Гл. контролер (11.1946 г.-)- В.П. Иванов, В.В. Желтухин, П.М. Фомин, Н.А. Девицкий. Зам. гл. металлурга- Л.Б. Усенко.</w:t>
      </w:r>
    </w:p>
    <w:p w14:paraId="66EBF0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цехов: № 1 (1961 г.-)- В.К. Баранов, Л.И. Рыбаков, (2003 г.)- В.И. Крапивин; № 2 (1942 г.-)- В.И. Акимов, (1946 г.-)- Н.А. Сиренко, (1949 г.-)- В.В. Гуськов, (1980 г.-)- С.М. Сомов, (1988 г.-)- В.Ф. Власенко, (1997 г.- )- В.М. Важнов; № 3- М.А. Сиренко, ИЛ. Амасенок, (1990-2003 г.-&gt; Ю.С. Потаев; № 5 (-1942-46 г.)- С.И. Князев, (1946-60 г.)-  Г.И. Гирлин, (1960-68 г.)- В.Б. Карбасников, (1968-2002 г.)- В.М. Орлов, (2002 г.-)- С.В. Панкин; № 6- С. Г. Засорин; № 7 (1947-54 г.)- В.Б. Карбасников, (1960-е)- Б.Н. Соколов, А.Т. Астахов; № 8- Н.С. Павлов, (1978 г.- )- А.Я. Горин; № 9 (1943-53 г.-)- Н.С. Попов; и.о. нач. цеха- Н.В. Таратынкин; (1976-86 г.)- В.А. Тимофеев, (1986- 94 г.)- Ю.А. Скачков, (1994 г.-)- А.А. Глазов; № 10 (1949 г.-)-  Г.П. Кузнецов, (1977 г.-)- А.И. Красильщиков, (1988- 2001 г.)- В. Г. Иванов, (2001 г.-)- В.М. Исаев; № 11 (1990-е)- В.М. Павлюченко; № 12 (1990-е)- Н.Е. Горбачев; № 13 (1990-е)- С.В. Рожков; № 14- В.Л. Зудин, В.Н. Андриевич, В.М. Крюков, И.И. Гусак, (1980-2003 г.-)- Б.А. Косарев; № 15 (1948-6» г.)- Б. Г. Жмудь, (1968 г.-)- В.Ф. Жежер, (1991 г.-)- А Н. Серебряков; № 18 (-1959 г.)- Ф. Г. Коршунов, (1959-67 г.)-  Г.П. Телегин, (1968 г.-)- В.И. Жданов, (1974-87 г.)- Д.А. Матюхин, (1987 г.-)- И.М. Макаров; № 20 (1945-46 г.)- С.А. Бирман, (1946-80 г.)- А.А. Новокшонов, (1980 г.-)- В.М. Раковский, (1986-91 г.)- М.Е. Шалимов, (1991 г.-)- А. Г. Филиппов; строительного- С.Ф. Быстрицкий, А.Я. Кульков, В.И. Оболенский, Т.Н. Кульков, В.В. Викулов, В.В. Сысоев, Н.Ю. Алекберов.</w:t>
      </w:r>
    </w:p>
    <w:p w14:paraId="047D28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начальника цеха: № 2 (1946 г.)- В.В. Гуськов, (1949 г.)- М.И. Демидов, (1988 г.)- А.П. Воронов, (1997 г.-)-</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.Н.Горбачев; № 5 (-1949 г.)- С.И. Князев, (1949-54 г.-&gt; М. Г. Кистанов, (1954-60 г.-&gt; И.П. Иванов, (1960 г.-)- В.Ф. Ворошилов, В.Д. Владимиров; № 6- И.С. Киселев; № 7 (1947-54 г.)- И.П. Иванов, (1960-е&gt; Н.М. Шокин; № 9 (1953 г.)- Б.Н. Соколов, (1953 г.)- Н.В. Кабанова, (-1986-94 г.)- В.А. Бурыкин, (1986 г.)- А.И. Деев; № 10 (2001 г.)-</w:t>
      </w:r>
    </w:p>
    <w:p w14:paraId="508259DE" w14:textId="77777777" w:rsidR="00165A9C" w:rsidRPr="00640820" w:rsidRDefault="00165A9C" w:rsidP="00640820">
      <w:pPr>
        <w:tabs>
          <w:tab w:val="left" w:pos="452"/>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.С.Окуньков; № 18- В. Г. Шкурин, А.В. Александров, Б.Д. Иванов, В.П. Куракин, № 20 (1950-е)- А.Л. Славин, (1980-е)- А.И. Табунов, (1980-е)- М.Е. Шалимов.</w:t>
      </w:r>
    </w:p>
    <w:p w14:paraId="33BE6A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Начальники отделов: ОНТ- С.П. Асейкин, (2003 г.)- А.В. Нуждов; ЦТО- С.Е. Таращанский, В.М. Орлов, В.Н. Федоренко, (2003 г.)- В.М. Чесноков; заводских лабораторий, гл. металлурга (1948-84 г.)- В.В. Мельников; ЭОС (1985 г.-)- В.Н. Шныриков; ОТК (09.1943 г.-)- В.П. Иванов, В.В. Желтухин, П.М. Фомин, Н.А. Девицкий; планового- Л.В. Алипов, Н.Б. Разыграев; ОКС- Ю.А. Кронов, Б.В. Рыков,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Козлов, Ю.К. Киреев; ОМТС- С.П.Цветков, Гальцев,  Г.С. Шустер, Р.А. Храпко, В.А. Желонкин, И.А. Карсов, А.А. Щуплов; ОСПК-  Г.А. Цесарский,  Г.И. Дикунин, А.Б. Гладков, О.И. Васин; найма и увольнения- И.П. Корпусов, кадров- Ф.А. Фимина, С.Н. Фролов, управления персоналом (1982-2003 г.-)- В. Г. Гуров; технического обучения (2003 г.)- В.И. Каравашкин.</w:t>
      </w:r>
    </w:p>
    <w:p w14:paraId="2B0B43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бригады винтов (1938 г.)- В. Г. Ермолаев; модельной мастерской (1947 г.-)- И.С. Киселев, В.Н. Крысин, Е.К. Бесядовский, В.А. Осокин; металлургического бюро- А.И. Фролов.</w:t>
      </w:r>
    </w:p>
    <w:p w14:paraId="6A284A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Начальники лабораторий: ЦЗЛ- Л.Б. Усенко; рентгеновской (1948 г.)- В.В. Алексеев; химической (1948 г.)- </w:t>
      </w:r>
      <w:r w:rsidRPr="00640820">
        <w:rPr>
          <w:rFonts w:ascii="Times New Roman" w:hAnsi="Times New Roman"/>
          <w:color w:val="000000" w:themeColor="text1"/>
          <w:sz w:val="16"/>
          <w:szCs w:val="16"/>
          <w:lang w:val="en-US"/>
        </w:rPr>
        <w:t>JI</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 Мельникова; пирометрической (1948 г.)- Д.М. Митин; механических испытаний (1948 г.)- А.И. Волнухин; коррозионной- Т.С. Богоявленская; металлографической- Е. Г. Лубянская; сварочной-</w:t>
      </w:r>
      <w:r w:rsidRPr="00640820">
        <w:rPr>
          <w:rFonts w:ascii="Times New Roman" w:hAnsi="Times New Roman"/>
          <w:iCs/>
          <w:color w:val="000000" w:themeColor="text1"/>
          <w:sz w:val="16"/>
          <w:szCs w:val="16"/>
        </w:rPr>
        <w:t xml:space="preserve"> Е.Я.</w:t>
      </w:r>
      <w:r w:rsidRPr="00640820">
        <w:rPr>
          <w:rFonts w:ascii="Times New Roman" w:hAnsi="Times New Roman"/>
          <w:color w:val="000000" w:themeColor="text1"/>
          <w:sz w:val="16"/>
          <w:szCs w:val="16"/>
        </w:rPr>
        <w:t xml:space="preserve"> Белкин, Ф.Р. Куликов; фотоконтактной - Ю.И. Жиганов; Н.Т. Рошаль,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Мухортов.</w:t>
      </w:r>
      <w:r w:rsidRPr="00640820">
        <w:rPr>
          <w:rFonts w:ascii="Times New Roman" w:hAnsi="Times New Roman"/>
          <w:color w:val="000000" w:themeColor="text1"/>
          <w:sz w:val="16"/>
          <w:szCs w:val="16"/>
          <w:vertAlign w:val="superscript"/>
        </w:rPr>
        <w:t>100</w:t>
      </w:r>
    </w:p>
    <w:p w14:paraId="26ACDC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 самолеты:</w:t>
      </w:r>
      <w:r w:rsidRPr="00640820">
        <w:rPr>
          <w:rFonts w:ascii="Times New Roman" w:hAnsi="Times New Roman"/>
          <w:color w:val="000000" w:themeColor="text1"/>
          <w:sz w:val="16"/>
          <w:szCs w:val="16"/>
        </w:rPr>
        <w:t xml:space="preserve"> Ил-22 (1947)- 1, Ил-28 (1948)- 1, Ил-30 (1949)- 1, Ил-46 (1951)- 1, Ил-54 (1954)- 2 (11982).</w:t>
      </w:r>
    </w:p>
    <w:p w14:paraId="50A3C5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5E991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октября 1941 г. по приказу № 1050сс завод (ГС Завод № 472 НКАП, НКЭС /г. Костино ст. Болшево Московской обл. п/я 91 (1941 г.);  г. Кузнецк Пензенской обл./) был эвакуирован 15.10.1941 г. в  г. Кузнецк на территорию Канатной фабрики «Молот» (завод № 34бис НКАП). Новое место размещения было неудачным, т.к. находилось далеко от сырьевой базы и заводов-потребителей, не нашлось места для производства расчалок. Планировалось в конце 1942 г. перевести завод в Куйбышев. В годы войны- производство масло- и водорадиаторов, колес.</w:t>
      </w:r>
    </w:p>
    <w:p w14:paraId="5C8D8D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площадке эвакуированного завода № 472 НКАП был образован его филиал. По приказу № 277с от 14.04.1942 г. он преобразован в филиал завода № 145 НКАП. В соответствии с пост. ГКО № 1868сс от 4.06.1942 г. и приказом № 533с от 16.07.1942 г. на базе филиала создан новый завод № 455 НКАГ1.</w:t>
      </w:r>
    </w:p>
    <w:p w14:paraId="3D69D7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1942 г. часть оборудования и кадров завода была передана на новые заводы № 455 и № 459 НКАП. По приказу № 735с от 8.12.1943 г. с завода № 472 переведена группа специалистов для усиления ОКБ завода № 219 НКАП.</w:t>
      </w:r>
    </w:p>
    <w:p w14:paraId="20890C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424с/81с от 5.11.1945 г. территория завода (площадки бывших Канатной фабрики, артели «Молот» и ТЭЦ) передана в систему НК электростанций с частью оборудования и кадров, а часть оборудования и 500 чел. рабочих и ИТР переведены на завод № 124 НКАП.</w:t>
      </w:r>
    </w:p>
    <w:p w14:paraId="44A1E4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(1939 г.)- И.О. Кузнецов, (03.1941-09.1943 г.-&gt; Ермолов.</w:t>
      </w:r>
    </w:p>
    <w:p w14:paraId="11B9F0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завода № 472 НКАП /ст. Болшево Московской обл./</w:t>
      </w:r>
    </w:p>
    <w:p w14:paraId="25476E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по радиаторостроению было организовано при заводе по приказу № 200с от 3.03.1941 г. Для укрепления ОКБ в его состав переведен ряд конструкторов с заводов № 34 и № 84 НКАП.</w:t>
      </w:r>
    </w:p>
    <w:p w14:paraId="406D36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668сс от 12.07.1941. ОКБ-472 НКАП с опытным цехом планировалось эвакуировать на завод № 163 в Пензу. Но затем переведено на площадку филиала завода № 34 НКАП в  г. Кузнецк и подчинено ему как ОКБ филиала для работ по плану завода. Гл. конструктор С.Н. Рыбкин снят с должности, старая тематика ликвидирована.</w:t>
      </w:r>
    </w:p>
    <w:p w14:paraId="38DBC4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(03-07.1941 г.)- С.Н. Рыбкин (11982).</w:t>
      </w:r>
    </w:p>
    <w:p w14:paraId="62167872" w14:textId="77777777" w:rsidR="0038220C" w:rsidRPr="00640820" w:rsidRDefault="0038220C" w:rsidP="00640820">
      <w:pPr>
        <w:autoSpaceDE w:val="0"/>
        <w:autoSpaceDN w:val="0"/>
        <w:adjustRightInd w:val="0"/>
        <w:spacing w:after="0" w:line="240" w:lineRule="auto"/>
        <w:jc w:val="both"/>
        <w:rPr>
          <w:rFonts w:ascii="Times New Roman" w:hAnsi="Times New Roman"/>
          <w:color w:val="000000" w:themeColor="text1"/>
          <w:sz w:val="16"/>
          <w:szCs w:val="16"/>
        </w:rPr>
      </w:pPr>
    </w:p>
    <w:p w14:paraId="131790B2" w14:textId="77777777" w:rsidR="00295B9F" w:rsidRPr="00640820" w:rsidRDefault="00295B9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октября 1941 наши войска оставили Жданов, фашистские войска устремились к Таганрогу. Их сдерживали редкие, потрепанные в боях части Красной Армии, истребительные батальоны. Долго продержаться они не могли. В тот же день в 6 часов вечера все начальники цехов и отделов были вызваны к директору завода № 31. Директор говорил коротко и по-военному четко. Немцы уже у реки Миус, и долго их там не задержать не могли. Некому и нечем. А потому, немедленно прекратить все работы и начать эвакуацию. В первую очередь вывозить на эстакаду собственными силами дорогостоящее оборудование, готовую продукцию, детали из цветных металлов. Работникам было запрещено покидать завод, только по спецконтрамаркам. Для увеличения количества выходов решено было разрушать оконные проемы. Станки на трубах закатывали на листы металла и волоком с помощью автомашин или тракторов, а ближние цеха силами самих рабочих волоком тянули на эстакаду. </w:t>
      </w:r>
    </w:p>
    <w:p w14:paraId="0A16C9FE" w14:textId="77777777" w:rsidR="00295B9F" w:rsidRPr="00640820" w:rsidRDefault="00295B9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Счет времени шел уже не на дни, а на часы. Приказ был коротким и ясным: Ничего не оставить врагу. 9 октября на завод прибыли зам. наркома авиапромышленности А.И. Кузнецов, уполномоченный Государственного Комитета Обороны Федотиков. Они составили чрезвычайную тройку по эвакуации завода. Здание заводоуправления превратился в штаб по эвакуации.</w:t>
      </w:r>
    </w:p>
    <w:p w14:paraId="274FDA22" w14:textId="77777777" w:rsidR="00295B9F" w:rsidRPr="00640820" w:rsidRDefault="00295B9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Работали днем и ночью. Начальник механо¬сборочного цеха М.С. Делерзон вспоминал потом «Когда я услышал на совещании у директора завода, что завод нужно немедленно эвакуировать, первая мысль - Цех новый, недавно построенный, отлаженный, столько в него вложено труда, сил, нервов и все это нужно ломать...» Да, медлить было нельзя. Город ужа бомбили фашистские самолеты, наш завод они надеялись захватить, и потому только каждый день прилетала «рама»- самолет - разведчик.</w:t>
      </w:r>
    </w:p>
    <w:p w14:paraId="3D70216B" w14:textId="77777777" w:rsidR="00295B9F" w:rsidRPr="00640820" w:rsidRDefault="00295B9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Это была невероятно тяжелая работа. Срывать с фундаментов станки и машины, через проломы в стенах цехов прямо на руках - не хватало техники, вытаскивали, ставили на лист металла и волоком тащили на погрузку. Двор напоминал муравейник: повсюду сновали люди, каждый цех грузил свое оборудование, инструменты, упаковывали наиболее сложное и ценное в ящики, увязывали, делали надписи - ведь на новом месте нужно было быстро все это привести в рабочее состояние».</w:t>
      </w:r>
    </w:p>
    <w:p w14:paraId="11BEE243" w14:textId="77777777" w:rsidR="00295B9F" w:rsidRPr="00640820" w:rsidRDefault="00295B9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Заводчане перешли на казарменное положение. Работали днем и ночью, не уходя домой. Здесь же на эстакаде грузили на открытые платформы оборудование, материалы, часть агрегатов. В двухосные теплушки грузились работники завода и члены их семей. Каждый день с завода уходили эшелоны. Несмотря на труднейшие условия, порядок был полный. Каждый знал, что ему делать, когда прибыть с семьей и вещами на погрузку. Предупреждали - взять с собой минимум вещей и домашнего имущества. В вагонах не хватало места, наскоро сколоченные нары были жидкими и могли рухнуть под тяжестью людей, пришлось здесь же на месте укреплять их, в каждый вагон назначался старший. И во главе каждого уходящего эшелона был начальник и комиссар. Кстати эвакуация работников с семьями была добровольной. Каждый отъезжающий получал эвакуационный листок. В первые дни уезжали люди со слабым здоровьем, пожилые, женщины и по мере высвобождения от эвакуационных работ остальные (18580).</w:t>
      </w:r>
    </w:p>
    <w:p w14:paraId="62FAD664" w14:textId="77777777" w:rsidR="00295B9F" w:rsidRPr="00640820" w:rsidRDefault="00295B9F" w:rsidP="00640820">
      <w:pPr>
        <w:spacing w:after="0" w:line="240" w:lineRule="auto"/>
        <w:jc w:val="both"/>
        <w:rPr>
          <w:rFonts w:ascii="Times New Roman" w:hAnsi="Times New Roman"/>
          <w:color w:val="000000" w:themeColor="text1"/>
          <w:sz w:val="16"/>
          <w:szCs w:val="16"/>
        </w:rPr>
      </w:pPr>
    </w:p>
    <w:p w14:paraId="4BFFA1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8 октября 1941 г. по приказу № 1050сс завод опытного самолетостроения № 289 (ГС Завод № 289 НКАП /ст. Подлипки Московской обл.;  г. Молотов;  г. Тушино Московской обл./) эвакуирован в Молотов на площадку завода № 135 </w:t>
      </w:r>
      <w:r w:rsidRPr="00640820">
        <w:rPr>
          <w:rFonts w:ascii="Times New Roman" w:hAnsi="Times New Roman"/>
          <w:color w:val="000000" w:themeColor="text1"/>
          <w:sz w:val="16"/>
          <w:szCs w:val="16"/>
          <w:lang w:val="en-US"/>
        </w:rPr>
        <w:t>HKAII</w:t>
      </w:r>
      <w:r w:rsidRPr="00640820">
        <w:rPr>
          <w:rFonts w:ascii="Times New Roman" w:hAnsi="Times New Roman"/>
          <w:color w:val="000000" w:themeColor="text1"/>
          <w:sz w:val="16"/>
          <w:szCs w:val="16"/>
        </w:rPr>
        <w:t>. Фактически личный состав и имущество завода были переданы заводу № 135 без оформления. Далее продолжил действовать как самостоятельный.</w:t>
      </w:r>
    </w:p>
    <w:p w14:paraId="28D271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площадке эвакуированного завода в Подлипках по приказу № 239с от 30.03.1942 г. образован Ремонтный завод в системе Главремуправления НКАП для ремонта И-16, а уже в 06.1942 г. образован ремонтный завод № 380 при 6ГУ НКАП. Далее на территории размещена воинская часть.</w:t>
      </w:r>
    </w:p>
    <w:p w14:paraId="2C47C6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27с от 18.01.1943 г. заводу № 289 передана часть оборудования расформированного завода № 290.</w:t>
      </w:r>
    </w:p>
    <w:p w14:paraId="58A39B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416с от 14.07.1943 г. завод № 289 переведен под прежним номером из Молотова в Тушино на переданную ему со всеми зданиями и сооружениями площадку завода № 464 НКАП (площадка эвакуированного завода № 445 НКАП). Одновременно тем же приказом завод № 464 пребазирован на площадку завода № 462 НКАП на ст. Долгопрудная. Тем же приказом с 1.07.1943  г. в состав завода № 289 влит завод № 380 НКАП, личный состав и оборудование которого переведены в Тушино.</w:t>
      </w:r>
    </w:p>
    <w:p w14:paraId="178A46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1943 г. часть работников завода переведена на вновь образованный завод № 135 в Харьков.</w:t>
      </w:r>
    </w:p>
    <w:p w14:paraId="2EB6A8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С 08.1944 г. планировалось образовать на базе завода НИИ-2 НКАП для работ по самолетам-снарядам, зам. руководителя должен быть назначен П.О. Сухой, по ДУ- Стечкин, но это не было реализовано. По приказу № 656сс от 2.11.1944 г. завод передан из 7ГУ в 18ГУ НКАП.</w:t>
      </w:r>
    </w:p>
    <w:p w14:paraId="30738B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ГКО № 7309 от 13.01.1945 г. и приказом № 39с от 3.02.1945 г. П.О. Сухой назначен гл. конструктором самолета Ер-2; завод № 289 влит с 1.01.1945 г. со всеми зданиями и сооружениями в состав завода № 134 7ГУ НКАП и прекратил действовать как самостоятельный. Территория осталась за ОКБ П.О. Сухого как филиал, хотя в 1945 г. планировалось передать ее в Осоавиахим.</w:t>
      </w:r>
    </w:p>
    <w:p w14:paraId="5BA8C8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(04-11.1940 г.)- П.Н. Голубков, (11.1940 г.)- Ф.П. Коробейников, (11.1940-02.1945 г.)- П.О. Сухой.</w:t>
      </w:r>
    </w:p>
    <w:p w14:paraId="7528A0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(-11.1940-02.1945 г.)- П.О. Сухой.</w:t>
      </w:r>
    </w:p>
    <w:p w14:paraId="32A997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конструктора (12.1940-45 г.)- Д.А. Ромейко-Гурко.</w:t>
      </w:r>
    </w:p>
    <w:p w14:paraId="2F23AE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(07.1942 г.)- Н.Н. Каштанов.</w:t>
      </w:r>
    </w:p>
    <w:p w14:paraId="06F120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Конструкторская группа А.И. Привалова при заводе № 289 НКАП</w:t>
      </w:r>
    </w:p>
    <w:p w14:paraId="6B871F25" w14:textId="77777777" w:rsidR="0038220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Группа работала по десантно-транспортному оборудованию в составе КБ-29, далее- при заводе № 289. Планировалось в 08.1940 г. перевести группу А.И. Привалова на завод № 84 в КБ И.П. Мосолова. Однако, в конце 1940 г. группа была переведена на вновь образованный завод № 468 НКАП по десантно-транспортным объектам.</w:t>
      </w:r>
    </w:p>
    <w:p w14:paraId="39C2AC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Бригада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Вахмистрова на заводе № 289 НКАП</w:t>
      </w:r>
    </w:p>
    <w:p w14:paraId="7C56FCF8" w14:textId="77777777" w:rsidR="0038220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Бригада, ранее входившая в состав КБ-29, продолжила работы на заводе № 289 по теме «Звено»- подвеске И- 16 под самолет-носитель. Однако, в связи с отсутствием на 1940 г. заказа от ВВС по этой тематике, по приказу № 436с от 21.08.1940 г. группа была расформирована, а личный состав (5 чел.) передан в распоряжение ОКБ П.О. Сухого.</w:t>
      </w:r>
    </w:p>
    <w:p w14:paraId="3033C1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завода № 289 НКАП гл. конструктора А.Я. Щербакова /г. Калининград Московской обл.;  г. Молотов/</w:t>
      </w:r>
    </w:p>
    <w:p w14:paraId="4C975F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образовано в начале 1940 г. на базе бригады КБ-29 гл. конструктора А.Я. Щербакова.</w:t>
      </w:r>
    </w:p>
    <w:p w14:paraId="6646FF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по гермокабинам для ДБ-3 и И-153.</w:t>
      </w:r>
    </w:p>
    <w:p w14:paraId="4CCF4D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Планировалось в 08.1940 г. перевести ОКБ на завод № 207 НКАП. По приказу № 296с от 4.04.1941 г. ОКБ со всем оборудованием и личным составом переведено к 15.04.1941 г. на вновь образованный опытный завод № 482 НКАП по высотной авиации.</w:t>
      </w:r>
    </w:p>
    <w:p w14:paraId="47DC5FDE" w14:textId="77777777" w:rsidR="0038220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(1940-04.1941 г.)- А.Я. Щербаков.</w:t>
      </w:r>
    </w:p>
    <w:p w14:paraId="6C56AE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завода № 289 НКАП, ОКБ-289 НКАП гл. конструктора П.О. Сухого /ст. Подлипки Московской обл.;  г. Молотов/</w:t>
      </w:r>
    </w:p>
    <w:p w14:paraId="548372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КБ П.О. Сухого переведено в 1939-1940 г. с завода № 135 НКАП на площадку завода № 289 НКАП. По приказу № 96к от 15.04.1940 г. образовано ОКБ гл. конструктора П.О. Сухого при заводе. По приказу № 492к от 14.11.1940 г. П.О. Сухой назначен гл. конструктором и директором завода № 289.</w:t>
      </w:r>
    </w:p>
    <w:p w14:paraId="51D815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 приказу № 436с от 21.08.1940 г. в ОКБ П.О. Сухого передана расформированная бригада (5 чел.)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Вахмистрова, работавшая на заводе № 289. Также в состав ОКБ вошли работники БОК.</w:t>
      </w:r>
    </w:p>
    <w:p w14:paraId="69BD2F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по самолету ОБШ (Су-6), Су-4, модификациям Су-2, испытания Су-1 и ББ-2.</w:t>
      </w:r>
    </w:p>
    <w:p w14:paraId="19CBB2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10.1941 г. ОКБ вместе с заводом № 289 эвакуировано в Молотов на площадку эвакуированного сюда же из Харькова завода № 135 НКАП, который стал производственной базой ОКБ Сухого.</w:t>
      </w:r>
    </w:p>
    <w:p w14:paraId="369CED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Сопровождение серии Су-2. Работы по самолетам Су-1, Су-3, Су-6, Су-8.</w:t>
      </w:r>
    </w:p>
    <w:p w14:paraId="3D4827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1945 г. ОКБ П.О. Сухого переведено в Москву на завод № 134 и действовало далее как ОКБ-134 НКАП (11982).</w:t>
      </w:r>
    </w:p>
    <w:p w14:paraId="14331BA2" w14:textId="77777777" w:rsidR="0038220C" w:rsidRPr="00640820" w:rsidRDefault="0038220C" w:rsidP="00640820">
      <w:pPr>
        <w:autoSpaceDE w:val="0"/>
        <w:autoSpaceDN w:val="0"/>
        <w:adjustRightInd w:val="0"/>
        <w:spacing w:after="0" w:line="240" w:lineRule="auto"/>
        <w:jc w:val="both"/>
        <w:rPr>
          <w:rFonts w:ascii="Times New Roman" w:hAnsi="Times New Roman"/>
          <w:color w:val="000000" w:themeColor="text1"/>
          <w:sz w:val="16"/>
          <w:szCs w:val="16"/>
        </w:rPr>
      </w:pPr>
    </w:p>
    <w:p w14:paraId="07B7DF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октября 1941 года вышло постановление ГКО за № 741сс и 19 октября 1941 года вышел приказ НКАП № 1053сс, в соответствии с которыми на стройплощадку завода № 286 прибыл с техникой и личным составом эвакуированный из Балашихи завод № 120, на базе которого и был организован завод № 286 (9489).</w:t>
      </w:r>
    </w:p>
    <w:p w14:paraId="341786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5818E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октября 1941 года вышло постановление ГКО за № 711сс и 9 октября 1941 года вышел приказ НКАП за № 1058сс, согласно которым завод № 154 должен был эвакуироваться в Ташкент на площадку Узполиграфкомбината (9502).</w:t>
      </w:r>
    </w:p>
    <w:p w14:paraId="565067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59E89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октября 1941 г. по приказу НКАП № 1050сс на площадку завода (Завод № 124/27 НКТП, НКОП, Завод № 124 НКАП им. С. Орджоникидзе, «Казмашстрой», п/я 22 / г. Казань/) эвакуирована часть завода № 240 НКАП. В 04.1942 г. все оборудование возвращено обратно (11982).</w:t>
      </w:r>
    </w:p>
    <w:p w14:paraId="0E15F5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B78A0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октября 1941 г. по приказу № 1050сс завод № 477 (ГС Завод № 477 НКАП им.  Г. Побежимова, Завод «Красный плуг» НКВ, НКСМ /ст. Лаптево Тульской обл.;  г. Красноярск/) эвакуирован в Красноярск на площадку Красноярского Ремонтного завода им. Побежимова ГУСМП</w:t>
      </w:r>
      <w:r w:rsidRPr="00640820">
        <w:rPr>
          <w:rFonts w:ascii="Times New Roman" w:hAnsi="Times New Roman"/>
          <w:iCs/>
          <w:color w:val="000000" w:themeColor="text1"/>
          <w:sz w:val="16"/>
          <w:szCs w:val="16"/>
        </w:rPr>
        <w:t xml:space="preserve"> (Побежимов - в 1937 г. бортмеханик ГУСМП)</w:t>
      </w:r>
      <w:r w:rsidRPr="00640820">
        <w:rPr>
          <w:rFonts w:ascii="Times New Roman" w:hAnsi="Times New Roman"/>
          <w:color w:val="000000" w:themeColor="text1"/>
          <w:sz w:val="16"/>
          <w:szCs w:val="16"/>
        </w:rPr>
        <w:t xml:space="preserve"> и площади ДК. Изготовление запчастей для ПС-84.</w:t>
      </w:r>
    </w:p>
    <w:p w14:paraId="5DA29C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643с/0112с от 21.08.1942 г., в связи с организацией в Красноярске Центральной авиаремонтной базы Управления Полярной авиации ГУСМП, завод № 477 был освобожден от работ по ремонту самолетов и моторов для УПА ГУСМП. Соответствующее оборудование и кадры были переданы в УПА ГУСМП.</w:t>
      </w:r>
    </w:p>
    <w:p w14:paraId="424A59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ГКО № 2643с от 20.12.1942 г. и приказом № 904с/479с от 23.12.1942 г. завод № 477 в Лаптево передан в ведение Главуглемаша НКугля (может быть, имеется в виду площадка завода). В начале 1942 г. в Красноярске был завод № 477бис.)</w:t>
      </w:r>
    </w:p>
    <w:p w14:paraId="39527A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267с от 3.05.1943 г. на площадку завода перебазируется ОКБ Бериева (окончание в 06.1943 г.). Бериев назначен гл. конструктором завода. С 1.05.1943 г., в связи с организацией производства Бе-4, завод передан из 6ГУ в ЮГУ.</w:t>
      </w:r>
    </w:p>
    <w:p w14:paraId="2C1F6D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441с/Р258с от 13.11.1945 г. завод № 477 со всем оборудованием и кадрами передан ГУСМП. ОКБ Бериева в конце декабря возвращается в Таганрог на завод № 86.</w:t>
      </w:r>
    </w:p>
    <w:p w14:paraId="4CC8F6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1950 г. завод перепрофилирован на судостроение.</w:t>
      </w:r>
    </w:p>
    <w:p w14:paraId="54AD87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(1941 г.-)- Ф. Г. Нестеров, (01.1943 г.)- П.П. Смирнов, (-05.1943-11.1945 г.-)- ИЛ. Рехтман.</w:t>
      </w:r>
    </w:p>
    <w:p w14:paraId="202A61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(05.1943 г.-)-  Г.М. Бериев.</w:t>
      </w:r>
    </w:p>
    <w:p w14:paraId="14F09D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.летающие лодки: КОР-2 (1944-45)- 38, ЛЛ-143 (1945)- 1.</w:t>
      </w:r>
    </w:p>
    <w:p w14:paraId="6DDDF2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Заводской № 4770305.</w:t>
      </w:r>
    </w:p>
    <w:p w14:paraId="76AE08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Красноярский Ремонтный завод им. Побежимова ГУСМП / г. Красноярск/</w:t>
      </w:r>
    </w:p>
    <w:p w14:paraId="0D87E5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Авиаремонтный завод основан в 1934 г. на базе бывших мастерских по ремонту катеров Главсевморпути, строительство начато 10.08.1935 г. Введен в эксплуатацию в 1940 г.</w:t>
      </w:r>
    </w:p>
    <w:p w14:paraId="317458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01.1942 г. влит в состав эвакуированного на его площадку по приказу № 1050сс от 8.10.1941 г. завода № 477 НКАП.</w:t>
      </w:r>
    </w:p>
    <w:p w14:paraId="576B29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ОКБ-477 НКАП гл. конструктора  Г.М. Бериева</w:t>
      </w:r>
    </w:p>
    <w:p w14:paraId="452CBC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267с от 3.05.1943 г. для организации производства Бе-4 ОКБ-288 гл. конструктора  Г.М. Бериева переведено в Красноярск на завод № 477, где действовало под названием ОКБ-477.</w:t>
      </w:r>
    </w:p>
    <w:p w14:paraId="60497F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 морской самолет-разведчик ЛЛ-143 (првый полет 6.09.1945 г.).</w:t>
      </w:r>
    </w:p>
    <w:p w14:paraId="7EB9BA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463с от 24.11.1945 г. ОКБ-477 в конце 12.1945 г. возвращается со всем личным составом (150 ИТР и 250 рабочих) и оборудованием в Таганрог на завод № 86 (прибыло в 02.1946 г.). По приказу № 404с от 26.06.1946 г. там на базе ОКБ-477 организован опытный завод № 49 МАП.</w:t>
      </w:r>
    </w:p>
    <w:p w14:paraId="362F4D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Полярной авиации</w:t>
      </w:r>
    </w:p>
    <w:p w14:paraId="4FB013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1948 г.- переделка гидросамолета ГСТ под двигатели АШ-82ФН. Переделка осуществлялась на заводе</w:t>
      </w:r>
    </w:p>
    <w:p w14:paraId="30F888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М.А. Мостовой (11982).</w:t>
      </w:r>
    </w:p>
    <w:p w14:paraId="499362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631BE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октября 1941 года ГКО принял решение об эвакуации завода с оборудованием, материалами и личным составом в Куйбышев на промышленную площадку завода № 337 НКАП в районе Безымянки (приказ ГОКО за № 741сс от 8 октября 1941 года).</w:t>
      </w:r>
    </w:p>
    <w:p w14:paraId="2D6685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Строительство промышленных зданий на этой площадке начато в 1940 году.</w:t>
      </w:r>
    </w:p>
    <w:p w14:paraId="512CA2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24 в Куйбышеве основан в соответствии с приказом НКАП от 9 октября 1941 года за № 1053сс на базе новостроящегося завода № 337, в состав которого приказами НКАП за № 726сс от 18 июля 1941 года и № 782сс от 1 августа 1941 года влились эвакуированные заводы системы НКАП: завод № 452 из Днепропетровска и завод № 459 из Могилева БССР со всеми материально-техническими средствами и кадрами. Кроме того, совместным приказом НКАП и НКПС за № 904сс/285сс от 25 августа 1941 года в состав завода № 337 влился завод № 181 системы НКПС из Ленинграда. За объединенными заводами было закреплено наименование завод № 24 им. М.В. Фрунзе. 25 декабря 1941 года началось испытание первого мотора.</w:t>
      </w:r>
    </w:p>
    <w:p w14:paraId="387133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период с 1942 по 1944 гг. заводом выпускались следующие 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2268"/>
        <w:gridCol w:w="2198"/>
        <w:gridCol w:w="2196"/>
      </w:tblGrid>
      <w:tr w:rsidR="00643896" w:rsidRPr="00640820" w14:paraId="21F644D1" w14:textId="77777777" w:rsidTr="000D3BCB">
        <w:tc>
          <w:tcPr>
            <w:tcW w:w="2235" w:type="dxa"/>
          </w:tcPr>
          <w:p w14:paraId="69D87E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Объекты</w:t>
            </w:r>
          </w:p>
        </w:tc>
        <w:tc>
          <w:tcPr>
            <w:tcW w:w="2268" w:type="dxa"/>
          </w:tcPr>
          <w:p w14:paraId="3189B5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1942 год</w:t>
            </w:r>
          </w:p>
        </w:tc>
        <w:tc>
          <w:tcPr>
            <w:tcW w:w="2198" w:type="dxa"/>
          </w:tcPr>
          <w:p w14:paraId="0B0A3E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1943 год</w:t>
            </w:r>
          </w:p>
        </w:tc>
        <w:tc>
          <w:tcPr>
            <w:tcW w:w="2196" w:type="dxa"/>
          </w:tcPr>
          <w:p w14:paraId="230215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1944 год</w:t>
            </w:r>
          </w:p>
        </w:tc>
      </w:tr>
      <w:tr w:rsidR="00643896" w:rsidRPr="00640820" w14:paraId="79115BE3" w14:textId="77777777" w:rsidTr="000D3BCB">
        <w:tc>
          <w:tcPr>
            <w:tcW w:w="2235" w:type="dxa"/>
          </w:tcPr>
          <w:p w14:paraId="7FBAD6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АМ-35А</w:t>
            </w:r>
          </w:p>
        </w:tc>
        <w:tc>
          <w:tcPr>
            <w:tcW w:w="2268" w:type="dxa"/>
          </w:tcPr>
          <w:p w14:paraId="3DC2C3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173</w:t>
            </w:r>
          </w:p>
        </w:tc>
        <w:tc>
          <w:tcPr>
            <w:tcW w:w="2198" w:type="dxa"/>
          </w:tcPr>
          <w:p w14:paraId="73E2A7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202</w:t>
            </w:r>
          </w:p>
        </w:tc>
        <w:tc>
          <w:tcPr>
            <w:tcW w:w="2196" w:type="dxa"/>
          </w:tcPr>
          <w:p w14:paraId="593FA1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64B36C7E" w14:textId="77777777" w:rsidTr="000D3BCB">
        <w:tc>
          <w:tcPr>
            <w:tcW w:w="2235" w:type="dxa"/>
          </w:tcPr>
          <w:p w14:paraId="29FF05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АМ-38</w:t>
            </w:r>
          </w:p>
        </w:tc>
        <w:tc>
          <w:tcPr>
            <w:tcW w:w="2268" w:type="dxa"/>
          </w:tcPr>
          <w:p w14:paraId="377791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7832</w:t>
            </w:r>
          </w:p>
        </w:tc>
        <w:tc>
          <w:tcPr>
            <w:tcW w:w="2198" w:type="dxa"/>
          </w:tcPr>
          <w:p w14:paraId="012527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2196" w:type="dxa"/>
          </w:tcPr>
          <w:p w14:paraId="097B92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20D6642" w14:textId="77777777" w:rsidTr="000D3BCB">
        <w:tc>
          <w:tcPr>
            <w:tcW w:w="2235" w:type="dxa"/>
          </w:tcPr>
          <w:p w14:paraId="525607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АМ38Ф</w:t>
            </w:r>
          </w:p>
        </w:tc>
        <w:tc>
          <w:tcPr>
            <w:tcW w:w="2268" w:type="dxa"/>
          </w:tcPr>
          <w:p w14:paraId="496EC8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377</w:t>
            </w:r>
          </w:p>
        </w:tc>
        <w:tc>
          <w:tcPr>
            <w:tcW w:w="2198" w:type="dxa"/>
          </w:tcPr>
          <w:p w14:paraId="3A009F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10584</w:t>
            </w:r>
          </w:p>
        </w:tc>
        <w:tc>
          <w:tcPr>
            <w:tcW w:w="2196" w:type="dxa"/>
          </w:tcPr>
          <w:p w14:paraId="44FCD1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10330</w:t>
            </w:r>
          </w:p>
        </w:tc>
      </w:tr>
      <w:tr w:rsidR="00643896" w:rsidRPr="00640820" w14:paraId="6F99EEBC" w14:textId="77777777" w:rsidTr="000D3BCB">
        <w:tc>
          <w:tcPr>
            <w:tcW w:w="2235" w:type="dxa"/>
          </w:tcPr>
          <w:p w14:paraId="4718B5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ГАМ-34ВС</w:t>
            </w:r>
          </w:p>
        </w:tc>
        <w:tc>
          <w:tcPr>
            <w:tcW w:w="2268" w:type="dxa"/>
          </w:tcPr>
          <w:p w14:paraId="19FA29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w:t>
            </w:r>
          </w:p>
        </w:tc>
        <w:tc>
          <w:tcPr>
            <w:tcW w:w="2198" w:type="dxa"/>
          </w:tcPr>
          <w:p w14:paraId="2D0407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96" w:type="dxa"/>
          </w:tcPr>
          <w:p w14:paraId="0E9E72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D8B72A0" w14:textId="77777777" w:rsidTr="000D3BCB">
        <w:tc>
          <w:tcPr>
            <w:tcW w:w="2235" w:type="dxa"/>
          </w:tcPr>
          <w:p w14:paraId="7F6882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АМ-42</w:t>
            </w:r>
          </w:p>
        </w:tc>
        <w:tc>
          <w:tcPr>
            <w:tcW w:w="2268" w:type="dxa"/>
          </w:tcPr>
          <w:p w14:paraId="675AD1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2198" w:type="dxa"/>
          </w:tcPr>
          <w:p w14:paraId="2231A6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w:t>
            </w:r>
          </w:p>
        </w:tc>
        <w:tc>
          <w:tcPr>
            <w:tcW w:w="2196" w:type="dxa"/>
          </w:tcPr>
          <w:p w14:paraId="65C6FA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501</w:t>
            </w:r>
          </w:p>
        </w:tc>
      </w:tr>
    </w:tbl>
    <w:p w14:paraId="09B92B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1945 года по 1949 год заводом производился выпуск мотора АМ-42 с дальнейшим его совершенствованием, повышения ресурса и надежности в эксплуатации.</w:t>
      </w:r>
    </w:p>
    <w:p w14:paraId="1FBF3E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Куйбышев, Кировский район, п/я 32</w:t>
      </w:r>
    </w:p>
    <w:p w14:paraId="06D190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Производственный профиль – авиадвигателестроение. В мае 1949 года Правительство приняло решение об организации на заводе производства реактивных двигателей ВК-1 конструкции Климова.</w:t>
      </w:r>
    </w:p>
    <w:p w14:paraId="308F66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Госиспытание двигателя ВК-1 было сдано в январе 1950 года. В 1951 и 1952 гг. завод выпускал двигатели ВК-1 и АМ-42 (9755).</w:t>
      </w:r>
    </w:p>
    <w:p w14:paraId="086CCB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0C6A2F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октября 1941 по решению созданного при СНК СССР Совета по эвакуации началась отправка сто</w:t>
      </w:r>
      <w:r w:rsidRPr="00640820">
        <w:rPr>
          <w:rFonts w:ascii="Times New Roman" w:hAnsi="Times New Roman"/>
          <w:color w:val="000000" w:themeColor="text1"/>
          <w:sz w:val="16"/>
          <w:szCs w:val="16"/>
        </w:rPr>
        <w:softHyphen/>
        <w:t>личных и подмосковных предприятий на Восток. Ес</w:t>
      </w:r>
      <w:r w:rsidRPr="00640820">
        <w:rPr>
          <w:rFonts w:ascii="Times New Roman" w:hAnsi="Times New Roman"/>
          <w:color w:val="000000" w:themeColor="text1"/>
          <w:sz w:val="16"/>
          <w:szCs w:val="16"/>
        </w:rPr>
        <w:softHyphen/>
        <w:t>тественно, что заводы № 1 и № 24 решили эвакуиро</w:t>
      </w:r>
      <w:r w:rsidRPr="00640820">
        <w:rPr>
          <w:rFonts w:ascii="Times New Roman" w:hAnsi="Times New Roman"/>
          <w:color w:val="000000" w:themeColor="text1"/>
          <w:sz w:val="16"/>
          <w:szCs w:val="16"/>
        </w:rPr>
        <w:softHyphen/>
        <w:t>вать в Куйбышев, где имелись наилучшие условия для их приема. Первый из вышеназванных заводов отправляли в две очереди, причем от Третьякова тре</w:t>
      </w:r>
      <w:r w:rsidRPr="00640820">
        <w:rPr>
          <w:rFonts w:ascii="Times New Roman" w:hAnsi="Times New Roman"/>
          <w:color w:val="000000" w:themeColor="text1"/>
          <w:sz w:val="16"/>
          <w:szCs w:val="16"/>
        </w:rPr>
        <w:softHyphen/>
        <w:t>бовали, сократив московское производство, начать с середины ноября того же года сдавать в Куйбышеве МиГ—3, обеспечив передачу военпредам не менее 50 истребителей, а в следующем месяце — еще 225 МиГов (документы по-прежнему адресовались Тре</w:t>
      </w:r>
      <w:r w:rsidRPr="00640820">
        <w:rPr>
          <w:rFonts w:ascii="Times New Roman" w:hAnsi="Times New Roman"/>
          <w:color w:val="000000" w:themeColor="text1"/>
          <w:sz w:val="16"/>
          <w:szCs w:val="16"/>
        </w:rPr>
        <w:softHyphen/>
        <w:t>тьякову в Москву, хотя сам он, насколько известно, все это время оставался в Куйбышеве). Производство самолетов Ил—2 планировали эвакуировать во вто</w:t>
      </w:r>
      <w:r w:rsidRPr="00640820">
        <w:rPr>
          <w:rFonts w:ascii="Times New Roman" w:hAnsi="Times New Roman"/>
          <w:color w:val="000000" w:themeColor="text1"/>
          <w:sz w:val="16"/>
          <w:szCs w:val="16"/>
        </w:rPr>
        <w:softHyphen/>
        <w:t>рую очередь. Аналогичные указания получил дирек</w:t>
      </w:r>
      <w:r w:rsidRPr="00640820">
        <w:rPr>
          <w:rFonts w:ascii="Times New Roman" w:hAnsi="Times New Roman"/>
          <w:color w:val="000000" w:themeColor="text1"/>
          <w:sz w:val="16"/>
          <w:szCs w:val="16"/>
        </w:rPr>
        <w:softHyphen/>
        <w:t>тор завода № 24 М.С.Жезлов, который сначала пере</w:t>
      </w:r>
      <w:r w:rsidRPr="00640820">
        <w:rPr>
          <w:rFonts w:ascii="Times New Roman" w:hAnsi="Times New Roman"/>
          <w:color w:val="000000" w:themeColor="text1"/>
          <w:sz w:val="16"/>
          <w:szCs w:val="16"/>
        </w:rPr>
        <w:softHyphen/>
        <w:t>возил в Куйбышев на площади завода № 337 все необходимое для выпуска моторов АМ—35А, а за этим должен был перебросить на новую территорию задел и оснастку по АМ-38 (9984).</w:t>
      </w:r>
    </w:p>
    <w:p w14:paraId="6F66DEE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8249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8 октября 1941 г. по Постановлению ГКО № 741с (приказы НКАП № 729сс от 22.07.1941 г. и № 1053сс от 9.10.1941 г.) завод № 1 НКАП был эвакуирован в г. Куйбышев, ст. Безымянка на территорию завода № 122 1 ГУ НКАП и объединен с ним (по приказу № 1084сс от 28.10.1941 г.) под названием завод № 1 НКАП. К тому времени в состав завода № 122 были влиты по приказу № 705с от 17.07.1941 г. эвакуированный из Ступино завод № 35, заводы № 453, № 463 (г. Таллинн), № 464 (г. Рига), № 465 и завод № 8 ОАП (приказ № 984с от 16.09.1941 г.). В состав завода № 1 включены также завод № 89 и № 483 7ГУ НКАП. </w:t>
      </w:r>
    </w:p>
    <w:p w14:paraId="1956A1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 имел филиал в г. Куйбышеве, образованный в 1941 г. на базе бывшей мебельной фабрики. По приказу № 306с/203пс от 24.07.1945 г. филиал передан в ведение Наркомлеса.</w:t>
      </w:r>
    </w:p>
    <w:p w14:paraId="2B723B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10.1941 г. на территории завода № 1 в г. Москве образованы Самолетные ремонтные мастерские при Ремотделе НКАП. Начальник мастерских- А.Т. Карев. В 12.1941 г. на территории завода образован новый Завод № 30 НКАП.</w:t>
      </w:r>
    </w:p>
    <w:p w14:paraId="586C01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03.1943 г. на завод передана часть оборудования завода № 381 НКАП, реэвакуированного из Нижнего Тагила. </w:t>
      </w:r>
    </w:p>
    <w:p w14:paraId="4282A5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1944 г. часть оборудования передана для формирования нового завода № 473 НКАП.</w:t>
      </w:r>
    </w:p>
    <w:p w14:paraId="290A7D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1.11.1948 г. завод передан из 10ГУ в 1ГУ, а с 1.01.1953 г.- обратно в 10ГУ.</w:t>
      </w:r>
    </w:p>
    <w:p w14:paraId="128F2D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1958 г. завод № 1 перепрофилирован на производство ракетной техники, действовал в системе ГКОТ. </w:t>
      </w:r>
    </w:p>
    <w:p w14:paraId="19E16B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Для конструкторского сопровождения серийного производства ракет при заводе образован отдел № 25, подчиненный ОКБ-1 МОП. По постановлению СМ от 23.06.1960 г. на базе отдела № 25 образован филиал № 3 ОКБ-1 Королёва, с 1967 г. получивший название Куйбышевский филиал ЦКБЭМ. По приказу МОМ от 30.06.1974 г. филиал преобразован в самостоятельное ЦСКБ (центральное специальное КБ). </w:t>
      </w:r>
    </w:p>
    <w:p w14:paraId="77DCA9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1965 г. завод № 1 передан из системы СНХ в подчинение 3ГУ МОМ и по приказу от 6.03.1966 г. преобразован в завод «Прогресс» (с 1992 г.- Самарский завод «Прогресс»). В 1989 г. на базе завода создано ПО «Прогресс». 12.04.1996 г. в результате слияния ПО «Прогресс» и ЦСКБ преобразовано в Государственный научно-производственный ракетно-космический центр (ГНП РКЦ ) "ЦСКБ-Прогресс".</w:t>
      </w:r>
    </w:p>
    <w:p w14:paraId="675E99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1960-е г. создан филиал на Байконуре для работ по Н1-Л3. В 2004 г. существовал Московский филиал. </w:t>
      </w:r>
    </w:p>
    <w:p w14:paraId="333CE1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1970-е г. завод был основным исполнителем по сборке и испытаниям МКС «Энергия»-«Буран» в целом, по изготовлению центрального блока. Был создан стенд для криогенных испытаний баков.</w:t>
      </w:r>
    </w:p>
    <w:p w14:paraId="41A665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Имеет корпуса: сборочный «Ю» (высотой 80 м), узловой сборки, химфрезерования.</w:t>
      </w:r>
    </w:p>
    <w:p w14:paraId="279D03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Указу Президента РФ № 1009 от 4.08.2004 г. предприятие вошло в перечень стратегических оборонных предприятий.</w:t>
      </w:r>
    </w:p>
    <w:p w14:paraId="4D9F19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2002 г.: создание, модернизация, производство ракетно-космических комплексов, систем зондирования Земли, исследований в области астрофизики, ядерной физики, микрогравитации, космического материаловедения, биотехнологии, космической медицины; создание перспективных комплексов управления и программно-математического обеспечения.</w:t>
      </w:r>
    </w:p>
    <w:p w14:paraId="6BB0DA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2005 г.- работы по КА для МО: «Барс», «Лиана», «Персона»; разработка РН повышенной грузоподъемности «Союз 2-3».</w:t>
      </w:r>
    </w:p>
    <w:p w14:paraId="7AACF4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завода (1916 г.)- Ю.А. Меллер, (02.1940 г.-)- П.В. Дементьев, (-08.1941-03.1944 г.-)- А.Т. Третьяков, (-1951-59 г.-)- В.Я. Литвинов, А.Я. Леньков, А.Т. Абрамов. Гендиректор (-1977-середина 90-х-)- А.А. Чижов, (-2002-05 г.-)- А.Н. Кирилин.</w:t>
      </w:r>
    </w:p>
    <w:p w14:paraId="582B30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(1923-24 г.)- Д.П. Григорович, (3.12.1940 г.-)- А.И. Микоян. Ген. конструктор (-2002-06.2003 г.)- Д.И. Козлов, С. Петренко.</w:t>
      </w:r>
    </w:p>
    <w:p w14:paraId="0BDD67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конструктора (12.1939 г.)- А.И. Микоян.</w:t>
      </w:r>
    </w:p>
    <w:p w14:paraId="47E45B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Технический директор (1923-24 г.)- Д.П. Григорович. Заведующий производством (1924-25 г.)- Н.Н. Поликарпов, (1928 г.)- И.М. Косткин. </w:t>
      </w:r>
    </w:p>
    <w:p w14:paraId="1E85B5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Гендиректор «ЦСКБ-Прогресс» (-2002-06.2003 г.)- Д.И. Козлов, (09.2003-05 г.-)- А.Н. Кириллин.</w:t>
      </w:r>
    </w:p>
    <w:p w14:paraId="0AA1F5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гендиректора (2002 г.)- Г.П. Аншаков, (2002 г.)- Б.Н. Мелиоранский, (2002 г.)- А.Н. Кирилин, (2002 г.)- В.Д. Козлов, (-2003 г.)- А. Кириллин. Зам. Гендиректора (-2002-03 г.)- Г.П. Аншаков, (2005 г.)- Г.Я. Сонис.</w:t>
      </w:r>
    </w:p>
    <w:p w14:paraId="02639B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Ген. Конструктора (2002 г.)- Г.П. Аншаков, (2002 г.)- А.В. Чечин. Зам. ген. Конструктора: по экономике и координации (2002 г.)- Б.Н. Мелиоранский; по ВЭС (2002 г.)- В.Д. Козлов; (-2002-03 г.)- Г.П. Аншаков.</w:t>
      </w:r>
    </w:p>
    <w:p w14:paraId="425DBF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самолеты: “Newport-IV” (1912-16)- 55, «Меллер-1» (1913)- 1, «Меллер-3» (1913)- 1, SPAD S-VII (1917), Р-1 (1923-30), «Конек Горбунок» (1923), ИЛ-400 (1923), И-2 (1924-28)- 60, Б-1 (1925)-1, Р-2 (1926-30)- 1501, И-2бис (1927-29)- 102, И-3 (1927-31)- 389, И-4 (1927-28)- 172, Р-5 (1930-37)- 5645, И-5 (1931-32)- 142, И-7 (1931-34)- 131, Г-10 (1933)- 1, Г-14ЦЛ-2А, МР-5 (1934-35), Р-Z (1935-37)-1031, И-15 (1934-36)- 335, ССС (1935-37), ДИ-6 (1937)- 61, СР (1937), “Vultee” (1938), И-15бис (1938-39)- 2408, И-153 (1939-41)- 3437, ББ-22 (1939-40)- 81, МиГ-1, МиГ-3 (1940-42)- 3242, Ил-2 (1941-45)- 11929, Ил-10 (1945-46)- 1121, МиГ-9 (1946-49), МиГ-15 (1949-53)- 3390, МиГ-17 (1952-53), Ил-28 (1953)- 50, Ту-16 (1954-1960-е), Ту-154М, Ту-142, Ту-95МС;</w:t>
      </w:r>
    </w:p>
    <w:p w14:paraId="218D2C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 10Х (1940-е, опытная партия); МБР: Р-7 (8К71, 1958-), Р-7А (8К74, 1959), Р-9А (8К75); РН: Н-1 (1963-74)- 10, «Восток», «Восход», «Молния», «Энергия», «Союз» (1965-)- более 1500, «Союз-У», «Союз-ТМ», «Молния-М» (8К78М), «Прогресс-М1»; КА: «Бион», «Ресурс», «Фотон», «Зенит».</w:t>
      </w:r>
    </w:p>
    <w:p w14:paraId="3FDEDD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Создано: спутники: фоторазведки «Зенит», «Кобальт» («Космос-2410», запущен 24.09.2004 г.), «Октан», «Орлец», «Феникс», «Янтарь», «Дон» («Космос-2399»); «Меридиан»; оптико-электронной разведки «Неман» («Янтарь-4КС1М», запущен в 2003 г.), «Терилен»; топографической съемки «Комета», «Силуэт»; гражданского назначения «Бион», «Облик», «Ресурс-Ф», «Фотон», «Фрам», «Наука»; блок выведения «Икар» (запущен в 1999 г.).69 </w:t>
      </w:r>
    </w:p>
    <w:p w14:paraId="63DC24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 НКАП, МАП, СНХ, Завод «Дукс», ГАЗ-1 им. ОДВФ ГУВП ВСНХ, им. Авиахима, Завод № 1 им. Авиахима, им. И.В. Сталина, Куйбышевский завод «Прогресс» МОМ, Самарский завод «Прогресс», Государственный научно-производственный ракетно-космический центр (ГНП РКЦ ) "ЦСКБ-Прогресс" РАКА, ФКА</w:t>
      </w:r>
    </w:p>
    <w:p w14:paraId="0F6085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Москва; г. Куйбышев, ст. Безымянка</w:t>
      </w:r>
    </w:p>
    <w:p w14:paraId="04E4E9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443009 г. Самара ул. Псковская, 18 тел. (8462) 55-13-61, 92-65-31 www.samspace.ru (10776).</w:t>
      </w:r>
    </w:p>
    <w:p w14:paraId="5CE759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КБ завода, ОПО-1 при ГАЗ-1 </w:t>
      </w:r>
    </w:p>
    <w:p w14:paraId="3265BC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Н.Н. Поликарпов с 1918 г. был начальником техотдела завода "Дукс", в 01.1923 г. назначен начальником КБ завода. Но уже в 02.1923 г. на эту должность назначен Д.П. Григорович, а Поликарпов переведен в Главкоавиа. </w:t>
      </w:r>
    </w:p>
    <w:p w14:paraId="03EDB9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Отдел опытного сухопутного самолетостроения (ОПО-1) образовался в 05.1926 г. как часть ЦКБ на ГАЗ-1. В 01.1928 г. ОСС переведено на завод № 25, который стал его производственной базой. В 10.29 г. Поликарпов арестован.</w:t>
      </w:r>
    </w:p>
    <w:p w14:paraId="51EB0E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КБ (01.1923 г.)- Н.Н. Поликарпов, (02.1923 г.-)- Д.П. Григорович.</w:t>
      </w:r>
    </w:p>
    <w:p w14:paraId="419EC9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Гл. конструктор ОПО-1 (ОСС) ЦКБ (10.1926- 01.1928 г.)- Н.Н. Поликарпов. </w:t>
      </w:r>
    </w:p>
    <w:p w14:paraId="03B0BE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Работали: (1924 г.)- А.Н. Сидельников, (1926-28 г.)- В.С. Пышнов, В.Л. Корвин, В.В. Калинин, Сутугин, Успасский, Широков.</w:t>
      </w:r>
    </w:p>
    <w:p w14:paraId="2E7D86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завода № 1 гл. конструктора С.А. Кочеригина</w:t>
      </w:r>
    </w:p>
    <w:p w14:paraId="20A217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1934 г. на завод переведена бригада № 1 С.А. Кочеригина из расформированного ЦКБ завода № 39 (бригада разведчиков, легких бомбардировщиков и двухместных истребителей), образовав самостоятельное ОКБ.</w:t>
      </w:r>
    </w:p>
    <w:p w14:paraId="057D49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по самолетам ДИ-6, СР, Ш-1, Ш-2, ОКБ-2, ОБШ, ОПБ.</w:t>
      </w:r>
    </w:p>
    <w:p w14:paraId="3275A7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1937 г. из ОКБ выделилось ОКБ В.П. Яценко и переведено на завод № 81 в Тушино.</w:t>
      </w:r>
    </w:p>
    <w:p w14:paraId="66A86E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приказом № 106с от 5.03.1940 г. ОКБ переведено на завод № 156 НКАП, где ему предоставлена опытная база.</w:t>
      </w:r>
    </w:p>
    <w:p w14:paraId="66A45F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ОСК (отдел спецконструкций) при заводе № 1 гл. конструктора А.Я. Щербакова</w:t>
      </w:r>
    </w:p>
    <w:p w14:paraId="4AE5DA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1926-35 г. А.Я. Щербаков работал в ОКБ К.А. Калинина. Затем возглавил ОСК на заводе № 1. </w:t>
      </w:r>
    </w:p>
    <w:p w14:paraId="6EEB4E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Работы по высотной авиации. Построена и испытана первая в СССР гермокабина (стратокамера) на планере Г-14 (1936 г.), гермокабина для самолета И-15; проекты стратосферного планера (1937 г.), истребителя ИВС (1937-40 г.) с дополнительным ПВРД И.А. Меркулова.</w:t>
      </w:r>
    </w:p>
    <w:p w14:paraId="543B41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середине 1939 г. ОСК во главе со Щербаковым переведен в КБ-29, затем- на заводе № 289 НКАП.</w:t>
      </w:r>
    </w:p>
    <w:p w14:paraId="004BBC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завода № 1 гл. конструктора Н.Н. Поликарпова</w:t>
      </w:r>
    </w:p>
    <w:p w14:paraId="749B1D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02.1939 г. КБ Поликарпова переведено с завода № 156 на завод № 1. </w:t>
      </w:r>
    </w:p>
    <w:p w14:paraId="7DC580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по самолетам И-153, И-180, И-185, ДИТ, СПБ., И-195, И-200.</w:t>
      </w:r>
    </w:p>
    <w:p w14:paraId="1CD9A7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имело филиал на заводе № 22. Руководитель- Н.А. Жемчужин. Работал (1939 г.)- М.И. Гуревич.</w:t>
      </w:r>
    </w:p>
    <w:p w14:paraId="650668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12.1939 г. на заводе № 1 из части ОКБ Поликарпова и СКБ завода (Поликарпов в это время был в командировке за границей) образован ОКО (ОКБ-1) под руководством А.И. Микояна для реализации проекта "Х"- высотного истребителя (И-200). Далее это- ОКБ-155.</w:t>
      </w:r>
    </w:p>
    <w:p w14:paraId="41D8E7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Поликарпова в 10(07).1940 г. переведено на новую площадь- завод № 51, образованный на части территории завода № 1.</w:t>
      </w:r>
    </w:p>
    <w:p w14:paraId="39375F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ОКО (опытно-конструкторский отдел) завода № 1, ОКБ-1 НКАП</w:t>
      </w:r>
    </w:p>
    <w:p w14:paraId="1C5CED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11.1939 г. на совещании у И.В. Сталина принято решение о выделении из состава ОКБ Н.Н. Поликарпова группы конструкторов для организации отдельного КБ, которое должно было довести проект нового истребителя "К" до производства. По приказу НКАП № 401 от 8.12.1939 г. "для создания большей четкости в работе опытного производства..., подготовки новых машин в серию и постройки первых серий..." в помещении бывшего 8 отдела ЦАГИ организовывался опытный цех завода для выполнения программы по опытному строительству двух истребителей и модификаций по ним. Кроме того, предписывалось гл. конструктору завода № 1 усилить и укомплектовать в составе ОКБ завода № 1 КБ № 1 по маневренным истребителям с сохранением подчинения его Гл. Конструктору завода. Начальником КБ-1 назначается зам. гл. конструктора завода № 1 по маневренным истребителям А.И. Микоян. </w:t>
      </w:r>
    </w:p>
    <w:p w14:paraId="340FEF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Одновременно по приказу директора завода № 1 от 8.12.1939 г. на заводе из части ОКБ Поликарпова и СКБ завода (Поликарпов в это время был в командировке за границей) образован опытно-конструкторский отдел (ОКО, далее- ОКБ-1) для реализации проекта "Х"- высотного истребителя (И-200). Из состава ОКБ Поликарпова в ОКО переведено 60 специалистов.</w:t>
      </w:r>
    </w:p>
    <w:p w14:paraId="62672E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ОКО- А.И. Микоян, с 1940 г.- гл. конструктор ОКБ. Приказом НКАП № 530к от 3.12.1940 г. Микоян назначен гл. конструктором завода.</w:t>
      </w:r>
    </w:p>
    <w:p w14:paraId="2B624D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конструктора- М.И. Гуревич, В.А. Ромодин.</w:t>
      </w:r>
    </w:p>
    <w:p w14:paraId="754ED3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Был закончен проект И-200, и по приказу НКАП от 31.05.1940 г. запущен в серию под обозначением МиГ-1 с планом выпуска в 1940 г. 125 машин. Одновременно с этим прекращался выпуск ББ-22, и в ОКБ Поликарпова возвращена часть конструкторов в связи с окончанием проектных работ по И-200. До эвакуации были созданы и начали испытываться ДИС и МиГ-3- М-82.</w:t>
      </w:r>
    </w:p>
    <w:p w14:paraId="6C1AEA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15.08.1941 г. ОКБ-1 эвакуировано в Куйбышев на одну площадку с заводом № 1. Основной задачей стало налаживание серийного выпуска МиГ-3.</w:t>
      </w:r>
    </w:p>
    <w:p w14:paraId="5FAB2C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постановлением ГКО № 1436с от 13.03.1942 г. и приказом НКАП № 207с от 16.03.1942 г. ОКБ-1 гл. конструктора Микояна с опытным цехом переведено в Москву на территорию завода № 480. Все сооружения, оборудование и кадры этого завода были переданы для образования нового самостоятельного опытного завод № 155 НКАП и ОКБ-155.</w:t>
      </w:r>
    </w:p>
    <w:p w14:paraId="44E073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Опытно-экспериментальная группа завода № 1 </w:t>
      </w:r>
    </w:p>
    <w:p w14:paraId="71AD87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Образована выделением из отдела изобретений по приказу № 779с от 27.12.1940 г. </w:t>
      </w:r>
    </w:p>
    <w:p w14:paraId="292ED4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Руководитель- И.А. Меркулов. Работы по ВРД, оснащению ими истребителей Як-7 и др. </w:t>
      </w:r>
    </w:p>
    <w:p w14:paraId="049A10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296с от 4.04.1941 г. специальная конструкторская группа А.И. Меркулова вместе с КБ А.Я. Щербакова переведена на завод № 482 НКАП.</w:t>
      </w:r>
    </w:p>
    <w:p w14:paraId="2569AA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ОКБ-1 МАП при заводе № 1 гл. конструктора В.В. Кондратьева</w:t>
      </w:r>
    </w:p>
    <w:p w14:paraId="61C22C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См. ОКБ-1 МАП.</w:t>
      </w:r>
    </w:p>
    <w:p w14:paraId="7126E6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Филиал № 3 ОКБ-1 ГКОТ, Куйбышевский филиал ЦКБЭМ, ЦСКБ (центральное специальное КБ) МОМ</w:t>
      </w:r>
    </w:p>
    <w:p w14:paraId="7C709E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конструкторского сопровождения серийного производства Р-7 при заводе 23.06.1959 г. образован отдел № 25, подчиненный ОКБ-1 МОП. Начальник отдела- Д.И. Козлов. По постановлению СМ от 23.06.1960 г. на базе отдела № 25 образован филиал № 3 ОКБ-1 Королёва. По приказу от 6.03.1966 г. филиал № 3 переименован в Куйбышевский филиал ЦКБЭМ. По приказу МОМ от 30.06(7).1974 г. филиал преобразован в самостоятельное ЦСКБ (центральное специальное КБ), а из него часть коллектива выделена в новый филиал при заводе под руководством Б. Пензина.</w:t>
      </w:r>
    </w:p>
    <w:p w14:paraId="07848E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12.04.1996 г. ЦСКБ слилось с ПО «Прогресс» в РКЦ «ЦСКБ-Прогресс».</w:t>
      </w:r>
    </w:p>
    <w:p w14:paraId="035D44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Начиная с 1961 г., было построено 18 производственных корпусов.</w:t>
      </w:r>
    </w:p>
    <w:p w14:paraId="2C24A8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Постановлением правительства от 1964 г. филиалу поручено создание спутника наблюдения «Зенит». </w:t>
      </w:r>
    </w:p>
    <w:p w14:paraId="15532D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1960-е г. являлось также головным предприятием по созданию технических комплексов для подготовки и запусков ракет. Под руководством филиала созданы технические комплексы в Плесецке для РН «Союз», «Молния» и «Восток». Принимало участие в создании РН Н1.</w:t>
      </w:r>
    </w:p>
    <w:p w14:paraId="330EA2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решению правительства от 3.02.1977 г. начались работы по комплексу обзорного наблюдения и картографирования «Янтарь-1КФТ». В соответствии с постановлением СМ СССР от 01.1978 г. началась разработка комплекса оперативного высокодетального наблюдения «Янтарь-6КС».</w:t>
      </w:r>
    </w:p>
    <w:p w14:paraId="537CBF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начале 1989 г. при ЦСКБ создано КБ «Фотон» как открытая организация для работы с иностранными специалистами. </w:t>
      </w:r>
    </w:p>
    <w:p w14:paraId="73BCF2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(начало 1976 г.)- 3309 чел.</w:t>
      </w:r>
    </w:p>
    <w:p w14:paraId="329F15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(1960-07.1983 г.)- Д.И. Козлов. Ген. конструктор (07.1983-06.2003 г.)- Д.И. Козлов.</w:t>
      </w:r>
    </w:p>
    <w:p w14:paraId="1C0B60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Гендиректор (1960-06.2003 г.)- Д.И. Козлов.</w:t>
      </w:r>
    </w:p>
    <w:p w14:paraId="7B7191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конструктора (1960-е)- В.И. Крайнов.</w:t>
      </w:r>
    </w:p>
    <w:p w14:paraId="4EDAF7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Начальника (2002 г.)- А.В. Чечин. Зам. начальника (1960-е)- А.Г. Рахнович.</w:t>
      </w:r>
    </w:p>
    <w:p w14:paraId="41525A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Работали: (1970-е)- Г.П. Аншаков, А.М. Солдатенков, В.М. Сайгак, М.Ф. Шум, Г.Е. Фомин, Ю.В. Яременко, В.С. Савинов, М.Г. Татко, В.И. Крайнов, В.А. Жуков, В.Ф. Агарков, Ю.Г. Антонов, В.Д. Капитонов, В.С. Кандалов, И.В. Смирнов.</w:t>
      </w:r>
    </w:p>
    <w:p w14:paraId="0F63D4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РН на базе Р-7: «Восток» (8К72, 8А92), «Восток-М», «Молния» (8К78), «Восход-3КВ» (11А57), «Восход-2» (11А59), «Союз» (7К1, 11Ф615), «Союз-У, -У2, -2, -ФГ» (11А511); КА: фотонаблюдения «Зенит-2М» (пнв в 1970 г., в 1962-70 г. 82 запуска), «Зенит-4М (пнв в 1971 г., в 1963-70 г. 76 запусков), «Зенит-4МТ» (запуски в 1971-75 г., пнв в 1976 г.), «Зенит-6» (пнв в 1978 г.), «Зенит-8» (в 1978-81 г. 6 запусков), «Янтарь-1КФ», «Янтарь-2К» (1970-е), «Янтарь-4К» (пнв в 1982 г.), «Фрам» (1975); орбитальная станция «Салют» на базе «Алмаза» (запущена в 1971 г.); медико-биологических исследований «Бион-605, -670, -782» (1973-); проект боевого спутника «Звезда» (7К-ВИ) (1965-67 г.), вооруженного пулеметом (10776).</w:t>
      </w:r>
    </w:p>
    <w:p w14:paraId="03EC4C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B512A1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октября 1941 г. постановлением ГКО № 741 и последовавшим на следующий день прика</w:t>
      </w:r>
      <w:r w:rsidRPr="00640820">
        <w:rPr>
          <w:rFonts w:ascii="Times New Roman" w:hAnsi="Times New Roman"/>
          <w:color w:val="000000" w:themeColor="text1"/>
          <w:sz w:val="16"/>
          <w:szCs w:val="16"/>
        </w:rPr>
        <w:softHyphen/>
        <w:t>зом НКАП № 1053 директорам заводов приказыва</w:t>
      </w:r>
      <w:r w:rsidRPr="00640820">
        <w:rPr>
          <w:rFonts w:ascii="Times New Roman" w:hAnsi="Times New Roman"/>
          <w:color w:val="000000" w:themeColor="text1"/>
          <w:sz w:val="16"/>
          <w:szCs w:val="16"/>
        </w:rPr>
        <w:softHyphen/>
        <w:t>лось немедленно приступить к эвакуации. Но работа завода № 1 в Москве продолжалась до последней возможности: за октябрь было изготовлено 202 МиГа, а отправлено в войска (с учетом произведенных ранее) — 293. По</w:t>
      </w:r>
      <w:r w:rsidRPr="00640820">
        <w:rPr>
          <w:rFonts w:ascii="Times New Roman" w:hAnsi="Times New Roman"/>
          <w:color w:val="000000" w:themeColor="text1"/>
          <w:sz w:val="16"/>
          <w:szCs w:val="16"/>
        </w:rPr>
        <w:softHyphen/>
        <w:t>давляющее большинство из них вооружались двумя пулеметами БС, две трети имели и ракетные батареи. Последний выпущенный на «старой» территории МиГ имел зав. № 5197. С учетом эвакуации на остав</w:t>
      </w:r>
      <w:r w:rsidRPr="00640820">
        <w:rPr>
          <w:rFonts w:ascii="Times New Roman" w:hAnsi="Times New Roman"/>
          <w:color w:val="000000" w:themeColor="text1"/>
          <w:sz w:val="16"/>
          <w:szCs w:val="16"/>
        </w:rPr>
        <w:softHyphen/>
        <w:t>шиеся месяцы 1941 г. производственное задание за</w:t>
      </w:r>
      <w:r w:rsidRPr="00640820">
        <w:rPr>
          <w:rFonts w:ascii="Times New Roman" w:hAnsi="Times New Roman"/>
          <w:color w:val="000000" w:themeColor="text1"/>
          <w:sz w:val="16"/>
          <w:szCs w:val="16"/>
        </w:rPr>
        <w:softHyphen/>
        <w:t>воду было снижено: в ноябре — до 100 МиГов, а в де</w:t>
      </w:r>
      <w:r w:rsidRPr="00640820">
        <w:rPr>
          <w:rFonts w:ascii="Times New Roman" w:hAnsi="Times New Roman"/>
          <w:color w:val="000000" w:themeColor="text1"/>
          <w:sz w:val="16"/>
          <w:szCs w:val="16"/>
        </w:rPr>
        <w:softHyphen/>
        <w:t>кабре — до 250 МиГов. К этому времени в вопросах перевооружения лет</w:t>
      </w:r>
      <w:r w:rsidRPr="00640820">
        <w:rPr>
          <w:rFonts w:ascii="Times New Roman" w:hAnsi="Times New Roman"/>
          <w:color w:val="000000" w:themeColor="text1"/>
          <w:sz w:val="16"/>
          <w:szCs w:val="16"/>
        </w:rPr>
        <w:softHyphen/>
        <w:t>ного состава удалось добиться заметных успехов. Так, 4-й зиап, чей парк в начале сентября удалось попол</w:t>
      </w:r>
      <w:r w:rsidRPr="00640820">
        <w:rPr>
          <w:rFonts w:ascii="Times New Roman" w:hAnsi="Times New Roman"/>
          <w:color w:val="000000" w:themeColor="text1"/>
          <w:sz w:val="16"/>
          <w:szCs w:val="16"/>
        </w:rPr>
        <w:softHyphen/>
        <w:t>нить до 7 Як—7 и 16 МиГ—3 (преимущественно за счет ремонта поломанных самолетов убывающих в тыл полков), успешно подготовил 162, 187, 274-й иап и другие части. Статистика, правда, выглядела не слишком благоприятной: при выполнении 19949 учебных посадок случилось 82 летных происшествия (в том числе 7 катастроф и 18 аварий), большинство из которых, однако, произошло не с МиГами. Когда речь шла о летном составе, то ему пеняли на недис</w:t>
      </w:r>
      <w:r w:rsidRPr="00640820">
        <w:rPr>
          <w:rFonts w:ascii="Times New Roman" w:hAnsi="Times New Roman"/>
          <w:color w:val="000000" w:themeColor="text1"/>
          <w:sz w:val="16"/>
          <w:szCs w:val="16"/>
        </w:rPr>
        <w:softHyphen/>
        <w:t>циплинированность и неграмотную эксплуатацию материальной части, а при оценке истребителей МиГ—3 отмечалась, прежде всего, малая прочность верхних шкворней стоек шасси (9984).</w:t>
      </w:r>
    </w:p>
    <w:p w14:paraId="13C7D0E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A6EC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октября 1941 г. завод № 154 эвакуирован в  г. Андижан Узбекской ССР на новую площадку (выделены хлопковые амбары), где до 01.1942 г. выпускал М-11Д. Всего в Андижане за годы войны выпущено более 30 тыс. моторов.</w:t>
      </w:r>
    </w:p>
    <w:p w14:paraId="65CC44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время боев за освобождение Воронежа завод был полностью разрушен. 9.07.1943 г. завод № 154 НКАП передан в систему сельскохозяйственного машиностроения, 7.10.1943 г. переименован в завод «Воронежсельмаш».™</w:t>
      </w:r>
      <w:r w:rsidRPr="00640820">
        <w:rPr>
          <w:rFonts w:ascii="Times New Roman" w:hAnsi="Times New Roman"/>
          <w:color w:val="000000" w:themeColor="text1"/>
          <w:sz w:val="16"/>
          <w:szCs w:val="16"/>
          <w:vertAlign w:val="superscript"/>
        </w:rPr>
        <w:t>8</w:t>
      </w:r>
      <w:r w:rsidRPr="00640820">
        <w:rPr>
          <w:rFonts w:ascii="Times New Roman" w:hAnsi="Times New Roman"/>
          <w:color w:val="000000" w:themeColor="text1"/>
          <w:sz w:val="16"/>
          <w:szCs w:val="16"/>
        </w:rPr>
        <w:t>"™</w:t>
      </w:r>
    </w:p>
    <w:p w14:paraId="6865B2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86с/ Зс от 5.03.1946 г. территория завода в Андижане с частью оборудования и 2000 чел. личного состава переданы в подчинение МСДМ. Из-за крайне неудобного размещения в неприспособленных помещениях по приказам № 154с от 23.03.1946 г. и № 184с от 1.04.1946 г. завод с основной частью оборудования и личного состава был перебазирован в Воронеж на площадку завода № 265 МАП (старую площадку завода № 16), в результате слияния образован единый завод № 154 МАП. В Андижане на оставшихся площадях создан завод дизельных двигателей.</w:t>
      </w:r>
    </w:p>
    <w:p w14:paraId="207C4D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соответствии с пост. СМ СССР № 713-342 от 26.06.1957 г. передан в ведение СНХ РСФСР. В 1965 г. завод № 154 передан из системы СНХ в подчинение 2ГУ </w:t>
      </w:r>
      <w:r w:rsidRPr="00640820">
        <w:rPr>
          <w:rFonts w:ascii="Times New Roman" w:hAnsi="Times New Roman"/>
          <w:color w:val="000000" w:themeColor="text1"/>
          <w:sz w:val="16"/>
          <w:szCs w:val="16"/>
          <w:lang w:val="en-US"/>
        </w:rPr>
        <w:t>MOM</w:t>
      </w:r>
      <w:r w:rsidRPr="00640820">
        <w:rPr>
          <w:rFonts w:ascii="Times New Roman" w:hAnsi="Times New Roman"/>
          <w:color w:val="000000" w:themeColor="text1"/>
          <w:sz w:val="16"/>
          <w:szCs w:val="16"/>
        </w:rPr>
        <w:t xml:space="preserve"> и по приказу от 6.03.1966 г. преобразован в ВМЗ.</w:t>
      </w:r>
    </w:p>
    <w:p w14:paraId="5BAE8D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1957 г. завод перешел, в основном, на производство ЖРД. Выпускал также поршневые моторы, вертолетные редукторы.</w:t>
      </w:r>
    </w:p>
    <w:p w14:paraId="5277D5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Были освоены новые технологии: высокоточное литье в оболочковые керамические формы; горячее изостатическое прессование деталей из гранул; метод направленной кристализации металла; дифференцированная электрохимическая обработка (ДЭХО); сварка в вакууме крупногабаритных деталей из разных металлов (в камере объемом 114 м</w:t>
      </w:r>
      <w:r w:rsidRPr="00640820">
        <w:rPr>
          <w:rFonts w:ascii="Times New Roman" w:hAnsi="Times New Roman"/>
          <w:color w:val="000000" w:themeColor="text1"/>
          <w:sz w:val="16"/>
          <w:szCs w:val="16"/>
          <w:vertAlign w:val="superscript"/>
        </w:rPr>
        <w:t>3</w:t>
      </w:r>
      <w:r w:rsidRPr="00640820">
        <w:rPr>
          <w:rFonts w:ascii="Times New Roman" w:hAnsi="Times New Roman"/>
          <w:color w:val="000000" w:themeColor="text1"/>
          <w:sz w:val="16"/>
          <w:szCs w:val="16"/>
        </w:rPr>
        <w:t>); штамповка оболочковых изделий взрывом.</w:t>
      </w:r>
    </w:p>
    <w:p w14:paraId="5A39D9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Имел наименование «п/я А-1872». В 1998 г. завод преобразован в ФГУП. По Указу Президента РФ № 1009 от 4.08.2004 г. вошел в перечень стратегических оборонных предприятий. В 10.2006 г. завод вошел в состав ГК НПЦ им. Хруничева. По Указу Президента РФ в 02.2007 г. исключен из перечня стратегических предприятий.</w:t>
      </w:r>
    </w:p>
    <w:p w14:paraId="784B2F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1990-х  г. освоен выпуск нефтегазового оборудования.</w:t>
      </w:r>
    </w:p>
    <w:p w14:paraId="77689A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(2004 г.): производство ЖРД; разработка и производство авиационных ДВС для гражданских ВС; проектирование и производство: оборудования для нефтегазодобычи, агрегатов для переработки мяса, многопродуктовых топливораздаточных колонок, турбокомпрессоров для автомобильной и тракторной промышленности, бытовых кухонных плит; медоборудования.</w:t>
      </w:r>
    </w:p>
    <w:p w14:paraId="02F682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предприятия: цехи: литья по выплавляемым моделям (</w:t>
      </w:r>
      <w:r w:rsidRPr="00640820">
        <w:rPr>
          <w:rFonts w:ascii="Times New Roman" w:hAnsi="Times New Roman"/>
          <w:color w:val="000000" w:themeColor="text1"/>
          <w:sz w:val="16"/>
          <w:szCs w:val="16"/>
          <w:lang w:val="en-US"/>
        </w:rPr>
        <w:t>JIBM</w:t>
      </w:r>
      <w:r w:rsidRPr="00640820">
        <w:rPr>
          <w:rFonts w:ascii="Times New Roman" w:hAnsi="Times New Roman"/>
          <w:color w:val="000000" w:themeColor="text1"/>
          <w:sz w:val="16"/>
          <w:szCs w:val="16"/>
        </w:rPr>
        <w:t>); стального, чугунного и цветного литья; кузнечный; лаборатории: обработки металлов резанием, механических и климатических испытаний, металлографическая, химического анализа, ультразвукового, рентгеновского и магнитного контроля.</w:t>
      </w:r>
    </w:p>
    <w:p w14:paraId="4605DC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ВМЗ имел дочернее предприятие (2006 г.)- ГУДП «ВМЗ-Нефтемаш-Сервис» / г. Новый Уренгой Тюменской обл. ул. Надымская, 2 тел. 42-224/.</w:t>
      </w:r>
    </w:p>
    <w:p w14:paraId="69F854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(1941-09.1943 г.-)- Д.А. Морозов, И.И. Абрамов, Б.А. Чевела. Гендиректор (-1997-2002 г.-)- А.И. Часовских, (-2003-05 г.-)- А.В. Бондарь.</w:t>
      </w:r>
    </w:p>
    <w:p w14:paraId="76C4EC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1-й зам. гендиректора (2002 г.)- А.В. Бондарь, (2002 г.)-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Лапшин. Зам. гендиректора: по производству (2002 г.)- И.Т. Коптев; О. Малышев.</w:t>
      </w:r>
    </w:p>
    <w:p w14:paraId="7BC1F3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(1940 г.)- И.Н. Шендерович, (1941 г.)- М.А. Коссов.</w:t>
      </w:r>
    </w:p>
    <w:p w14:paraId="5A98E0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Технический директор (2002 г.)- А.В. Бондарь. Гл. инженер (2002 г.)- Н.В. Сухоруков.</w:t>
      </w:r>
    </w:p>
    <w:p w14:paraId="35F9B6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конструктора филиала по маломощным моторам (09.1940 г.-)- М.А. Коссов.</w:t>
      </w:r>
    </w:p>
    <w:p w14:paraId="47EA3E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Гендиректор московского представительства (-2003-06 г.-)- А. Г. Пыкин.</w:t>
      </w:r>
    </w:p>
    <w:p w14:paraId="0059FC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Финансовый директор московского представительства (2006 г.)-  Г.А. Проскурин.</w:t>
      </w:r>
    </w:p>
    <w:p w14:paraId="173BFE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отдела продаж представительства (2006 г.)- А.А. Валеев.</w:t>
      </w:r>
    </w:p>
    <w:p w14:paraId="7394DA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судовой дизель СД 18/32 для речного монитора пр. СБ-37 (1930-е); авиационные двигатели: поршневые: М-11 (1940-42), МВ-6 (-1941), М-11Д (1943-47), М-11Ф (1944-45), М-11К, -Л (1948-50), М-11ФРВ (1949-59), М-14П (1950-51), АШ-62ИР (1952-62-), М-14В26, АИ-14Р (1954-62-), АИ-14В (1956-60), АИ-14ВФ (</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960-), АИ-14РС (1962-), М25, М7, М9Ф, М9ФС, М-14Х (2000); ускорители С-155 (1957), РУ013 (1958); маломощные ГТД- источники питания для ЗУР: 2ПВ8 (1966-88), 9И56 (1975-), 9И57 (1975-); ЖРД: Р-01-154 для ЗУР «Даль» (опытные); РД-0109 для РН «Восток» (-1961-2002-), РД-0110 для РН «Молния-М» (1980-е-2000-е); РД-0210, РД-0212, РД-0213 и РД-0214 для 2-й и 3-й ступеней РН «Протон» (2006); РД-0120 для МКС «Энергия- Буран»; РД-58М для РН «Зенит-ЗБЬ»; узлы двигателя РД-191 (2006); гл. редуктор ВР-226 для Ка-226; авиационный компрессор АК-50Т (2000-е); турбокомпрессоры для дизельных двигателей: ТКР-5, -5Н, -7Н, -9Н (2003); нефтегазовое оборудование (арматура: запорно-регулирующая; фонтанная с колонной обвязкой; манифольд, задвижки шиберные, газлифтное оборудование, лубрикатор проволочный, спайдер-элеваторы, пакеры, краны устьевые, эжектор, превенторы), комплексы оборудования: подземного «Барьер 6-ОРЭ»; противовыбросового; установка для гидроиспытаний труб; клапаны: регулирующие, обратные, предохранительные, противовыбросовые забойные, игольчатые; ступень турбины для турбобуров; турбоголовки ТВО, ТВОП; топливозаправочные колонки, бытовые газовые и электроплиты (2002);</w:t>
      </w:r>
      <w:r w:rsidRPr="00640820">
        <w:rPr>
          <w:rFonts w:ascii="Times New Roman" w:hAnsi="Times New Roman"/>
          <w:color w:val="000000" w:themeColor="text1"/>
          <w:sz w:val="16"/>
          <w:szCs w:val="16"/>
          <w:vertAlign w:val="superscript"/>
        </w:rPr>
        <w:t>69</w:t>
      </w:r>
      <w:r w:rsidRPr="00640820">
        <w:rPr>
          <w:rFonts w:ascii="Times New Roman" w:hAnsi="Times New Roman"/>
          <w:color w:val="000000" w:themeColor="text1"/>
          <w:sz w:val="16"/>
          <w:szCs w:val="16"/>
        </w:rPr>
        <w:t xml:space="preserve"> режущий и мерительный инструмент, нестандартное оборудование; комплект оборудования для колбасного цеха; куттеры: вакуумный ВК- 1254, открытый К-40, ЛПК-ЮООК; тестоделительная машина (2003)</w:t>
      </w:r>
    </w:p>
    <w:p w14:paraId="30A089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ремонт 45-мм пушек (1937) (11982).</w:t>
      </w:r>
    </w:p>
    <w:p w14:paraId="19C235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A89BB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октября 1941 г. по Постановлению ГКО № 741с и приказам № 660сс от 9.07.1941 г. и № 1053сс от 9.10.1941 г. завод (Завод № 20 ВСНХ, НКТП, НКОП, НКАП, Омский агрегатный завод им. В.В. Куйбышева МАП, Омское НПО «Агрегат», АООТ, ОАО «Омский агрегатный завод», ОАО «Акционерная компания (АК) «Омскагрегат» / г. Москва Старопетровский пр., 41;  г. Омск/ /644007  г. Омск ул. Герцена, 48 тел. 25-05-88,25-12-97/) эвакуирован в  г. Омск на площадку своего филиала, складов Сибирского военного округа № 25 и площадку завода № 495 НКАП. Здесь приказом № 1093с от 4.11.1941 г. объединен с заводом № 495 НКАП в единый завод № 20 НКАП. Часть завода планировалось перевести на площадку завода № 283 НКАП в Ульяновск. Производство клапанов было эвакуировано на моторные заводы (в т.ч. на завод № 24).</w:t>
      </w:r>
    </w:p>
    <w:p w14:paraId="20F26E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годы ВОВ производство: бензонасосов БНК-6, БНК-10, БНК-12; маслонасосов МШ-3, МШ-5, МШ-8, МНМ- 11; регуляторов оборотов Р-2, Р-7, Р-10.</w:t>
      </w:r>
    </w:p>
    <w:p w14:paraId="0F8A33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площадке эвакуированного завода в Москве по приказу № 46с от 17.01.1942 г. образованы Агрегатные ремонтные мастерские. В 04.1942 г. на их базе организован новый агрегатный завод № 451 НКАП при 4ГУ, переведенный позже на площадку бывшего завода № 132 НКАП. По приказу № 424с от 7.06.1942 г. на площадку завода № 20 со всем оборудованием, материалами и личным составом был переведен завод № 41 НКАП. Одновременно помещения лесотарного завода (Старопетровский пр., 3) переданы обратно в НКПП для налаживания производства корпусов авиабомб.</w:t>
      </w:r>
    </w:p>
    <w:p w14:paraId="43E3FE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03.1946 г. начато освоение производства насосов непосредственного впрыска НВ-21.</w:t>
      </w:r>
    </w:p>
    <w:p w14:paraId="1C9C7C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1953 г. завод переведен из 4ГУ во 2ГУ, с 1.05.1956 г.- в ЗГУ. В соответствии с пост. СМ СССР № 713-342 от 26.06.1957 г. передан в ведение управления агрегатостроения Западно-Сибирского СНХ РСФСР (и в 1962 г.).</w:t>
      </w:r>
    </w:p>
    <w:p w14:paraId="3A5FBE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 1980-м  г. завод стал крупнейшим в стране по изготовлению топливной автоматики для авиадвигателей и гидросистем </w:t>
      </w:r>
      <w:r w:rsidRPr="00640820">
        <w:rPr>
          <w:rFonts w:ascii="Times New Roman" w:hAnsi="Times New Roman"/>
          <w:color w:val="000000" w:themeColor="text1"/>
          <w:sz w:val="16"/>
          <w:szCs w:val="16"/>
          <w:lang w:val="en-US"/>
        </w:rPr>
        <w:t>JIA</w:t>
      </w:r>
      <w:r w:rsidRPr="00640820">
        <w:rPr>
          <w:rFonts w:ascii="Times New Roman" w:hAnsi="Times New Roman"/>
          <w:color w:val="000000" w:themeColor="text1"/>
          <w:sz w:val="16"/>
          <w:szCs w:val="16"/>
        </w:rPr>
        <w:t>.</w:t>
      </w:r>
    </w:p>
    <w:p w14:paraId="060B6E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7F8943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(2004 г.): топливных многофункциональных регуляторов, насосов шестеренчатых, плунжерных, центробежных, коловратных, гидроусилителей, дозаторов, различных клапанов; компрессоров к холодильникам; насосов для гидросистем тракторов, дорожных и подъемных машин, грузовых автомобилей и автобусов, гидроаппаратуры к зерновым комбайнам, для пищевой промышленности.</w:t>
      </w:r>
    </w:p>
    <w:p w14:paraId="4FF47B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(1964 г.)- 7025 чел., (1.01.2001 г.)- 5500 чел.</w:t>
      </w:r>
    </w:p>
    <w:p w14:paraId="7121ED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Директор (1930 г.)- Бжезинский, (-06.1937-15.06.1938 г.)-  Г.З. Алмазов (снят за выпуск брака), (15.06- 12.1938 г.-)- Д.М. Соколов, (20.01.1939-41 г.)- И.Т. Борисов, (-06.1942-07.1943 г.-)-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Ивайкин, (09.1943 г.)- Ермоленко, (-12.1943-02.1944 г.-)- Н.Н. Кругленин, (1946 г.)- Сибиркин, (1979 г.)- Иванов. Гендиректор (1988-90 г.)- А.А. Кульков, (-1992-2002 г.-)- Е. Г. Руденко, (-10.2004-06 г.-&gt; С.А. Морев.</w:t>
      </w:r>
    </w:p>
    <w:p w14:paraId="3D93D0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Помощник директора: по техчасти (1930 г.)- Е.Н. Дмитревский; по найму и увольнению (-06.1937-7.12.1938 г.)- А.П. Гусев, (7.12.1938 г.-)- И.А. Уваров.</w:t>
      </w:r>
    </w:p>
    <w:p w14:paraId="6AC2F3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(10.1940-46 г.-)- П.Н. Тарасов, (1988-90 г.)- А.А. Кульков.</w:t>
      </w:r>
    </w:p>
    <w:p w14:paraId="53FDD8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конструктора (-10.1940 г.)- А.Н. Мельников (затем- нач. КО завода № 456), (11.1941 г.-)- Н. Г. Гладченко (бывший и.о. директора завода №495, с 12.1942 г.- гл. конструктор ОКБ-315).</w:t>
      </w:r>
    </w:p>
    <w:p w14:paraId="4C6956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(12.1937 г.)- Боцковский, (1941 г.)- Ф.С. Деменюк.</w:t>
      </w:r>
    </w:p>
    <w:p w14:paraId="0025EF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(1941 г.)- Ф.С. Деменюк; по МФВ (1941 г.)-  Г.С. Телегин. Зам. гендиректора по производству (1990-е)- В.Ф. Беляев, М.А. Пыхаев; (2006 г.)- С.К. Малиновский.</w:t>
      </w:r>
    </w:p>
    <w:p w14:paraId="4A70B2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производства (1941 г.)- Н.Н. Кругленин. Исполнительный директор (2002 г.)- С. А. Морев.</w:t>
      </w:r>
      <w:r w:rsidRPr="00640820">
        <w:rPr>
          <w:rFonts w:ascii="Times New Roman" w:hAnsi="Times New Roman"/>
          <w:color w:val="000000" w:themeColor="text1"/>
          <w:sz w:val="16"/>
          <w:szCs w:val="16"/>
          <w:vertAlign w:val="superscript"/>
        </w:rPr>
        <w:t>69</w:t>
      </w:r>
    </w:p>
    <w:p w14:paraId="60714D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инструментального (-07.1938 г.)- М.И. Горячев; перспективного развития (10.2004 г.)- Н.А. Раат.</w:t>
      </w:r>
    </w:p>
    <w:p w14:paraId="75B55E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Производство: детали для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 xml:space="preserve"> М-13 (1942) (11982).</w:t>
      </w:r>
    </w:p>
    <w:p w14:paraId="49EB4B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2C4F4D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октября 1941 в соот</w:t>
      </w:r>
      <w:r w:rsidRPr="00640820">
        <w:rPr>
          <w:rFonts w:ascii="Times New Roman" w:hAnsi="Times New Roman"/>
          <w:color w:val="000000" w:themeColor="text1"/>
          <w:sz w:val="16"/>
          <w:szCs w:val="16"/>
        </w:rPr>
        <w:softHyphen/>
        <w:t>ветствии с Постановлением ГКО №741 и последовав</w:t>
      </w:r>
      <w:r w:rsidRPr="00640820">
        <w:rPr>
          <w:rFonts w:ascii="Times New Roman" w:hAnsi="Times New Roman"/>
          <w:color w:val="000000" w:themeColor="text1"/>
          <w:sz w:val="16"/>
          <w:szCs w:val="16"/>
        </w:rPr>
        <w:softHyphen/>
        <w:t>шим на следующий день приказом НКАП №1053 директорам заводов №1, №301, №207, а также №31 надлежало немедленно приступить к эвакуации. Завод №1 им. Стали</w:t>
      </w:r>
      <w:r w:rsidRPr="00640820">
        <w:rPr>
          <w:rFonts w:ascii="Times New Roman" w:hAnsi="Times New Roman"/>
          <w:color w:val="000000" w:themeColor="text1"/>
          <w:sz w:val="16"/>
          <w:szCs w:val="16"/>
        </w:rPr>
        <w:softHyphen/>
        <w:t>на эвакуировался в г. Куйбышев. Эвакуацию требовалось произвес</w:t>
      </w:r>
      <w:r w:rsidRPr="00640820">
        <w:rPr>
          <w:rFonts w:ascii="Times New Roman" w:hAnsi="Times New Roman"/>
          <w:color w:val="000000" w:themeColor="text1"/>
          <w:sz w:val="16"/>
          <w:szCs w:val="16"/>
        </w:rPr>
        <w:softHyphen/>
        <w:t>ти в две очереди: в первую — эваку</w:t>
      </w:r>
      <w:r w:rsidRPr="00640820">
        <w:rPr>
          <w:rFonts w:ascii="Times New Roman" w:hAnsi="Times New Roman"/>
          <w:color w:val="000000" w:themeColor="text1"/>
          <w:sz w:val="16"/>
          <w:szCs w:val="16"/>
        </w:rPr>
        <w:softHyphen/>
        <w:t>ировать производство истребите</w:t>
      </w:r>
      <w:r w:rsidRPr="00640820">
        <w:rPr>
          <w:rFonts w:ascii="Times New Roman" w:hAnsi="Times New Roman"/>
          <w:color w:val="000000" w:themeColor="text1"/>
          <w:sz w:val="16"/>
          <w:szCs w:val="16"/>
        </w:rPr>
        <w:softHyphen/>
        <w:t>лей МиГ-3, во вторую - производ</w:t>
      </w:r>
      <w:r w:rsidRPr="00640820">
        <w:rPr>
          <w:rFonts w:ascii="Times New Roman" w:hAnsi="Times New Roman"/>
          <w:color w:val="000000" w:themeColor="text1"/>
          <w:sz w:val="16"/>
          <w:szCs w:val="16"/>
        </w:rPr>
        <w:softHyphen/>
        <w:t>ство штурмовиков Ил-2. Для разме</w:t>
      </w:r>
      <w:r w:rsidRPr="00640820">
        <w:rPr>
          <w:rFonts w:ascii="Times New Roman" w:hAnsi="Times New Roman"/>
          <w:color w:val="000000" w:themeColor="text1"/>
          <w:sz w:val="16"/>
          <w:szCs w:val="16"/>
        </w:rPr>
        <w:softHyphen/>
        <w:t>щения завода выделялись площади строящегося завода №122, при этом последний объединялся с за</w:t>
      </w:r>
      <w:r w:rsidRPr="00640820">
        <w:rPr>
          <w:rFonts w:ascii="Times New Roman" w:hAnsi="Times New Roman"/>
          <w:color w:val="000000" w:themeColor="text1"/>
          <w:sz w:val="16"/>
          <w:szCs w:val="16"/>
        </w:rPr>
        <w:softHyphen/>
        <w:t>водом № 1.</w:t>
      </w:r>
    </w:p>
    <w:p w14:paraId="38F0AC0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Эвакуация завода №1 началась вскоре после выхода приказа НКАП №1053. 14 октября военпреды в последний раз оформили по гра</w:t>
      </w:r>
      <w:r w:rsidRPr="00640820">
        <w:rPr>
          <w:rFonts w:ascii="Times New Roman" w:hAnsi="Times New Roman"/>
          <w:color w:val="000000" w:themeColor="text1"/>
          <w:sz w:val="16"/>
          <w:szCs w:val="16"/>
        </w:rPr>
        <w:softHyphen/>
        <w:t>фику сдачи 13 самолётов МиГ-3, а на следующий день началась от</w:t>
      </w:r>
      <w:r w:rsidRPr="00640820">
        <w:rPr>
          <w:rFonts w:ascii="Times New Roman" w:hAnsi="Times New Roman"/>
          <w:color w:val="000000" w:themeColor="text1"/>
          <w:sz w:val="16"/>
          <w:szCs w:val="16"/>
        </w:rPr>
        <w:softHyphen/>
        <w:t>правка эшелонов. 16 октября был эвакуирован ОКО. Однако к сере</w:t>
      </w:r>
      <w:r w:rsidRPr="00640820">
        <w:rPr>
          <w:rFonts w:ascii="Times New Roman" w:hAnsi="Times New Roman"/>
          <w:color w:val="000000" w:themeColor="text1"/>
          <w:sz w:val="16"/>
          <w:szCs w:val="16"/>
        </w:rPr>
        <w:softHyphen/>
        <w:t>дине месяца на заводе ещё оста</w:t>
      </w:r>
      <w:r w:rsidRPr="00640820">
        <w:rPr>
          <w:rFonts w:ascii="Times New Roman" w:hAnsi="Times New Roman"/>
          <w:color w:val="000000" w:themeColor="text1"/>
          <w:sz w:val="16"/>
          <w:szCs w:val="16"/>
        </w:rPr>
        <w:softHyphen/>
        <w:t>валось 57 принятых военпредами истребителей МиГ-3, из которых семь находилось в ремонте на за</w:t>
      </w:r>
      <w:r w:rsidRPr="00640820">
        <w:rPr>
          <w:rFonts w:ascii="Times New Roman" w:hAnsi="Times New Roman"/>
          <w:color w:val="000000" w:themeColor="text1"/>
          <w:sz w:val="16"/>
          <w:szCs w:val="16"/>
        </w:rPr>
        <w:softHyphen/>
        <w:t>мене моторов, а также один штур</w:t>
      </w:r>
      <w:r w:rsidRPr="00640820">
        <w:rPr>
          <w:rFonts w:ascii="Times New Roman" w:hAnsi="Times New Roman"/>
          <w:color w:val="000000" w:themeColor="text1"/>
          <w:sz w:val="16"/>
          <w:szCs w:val="16"/>
        </w:rPr>
        <w:softHyphen/>
        <w:t>мовик Ил-2. Кроме этого в сбороч</w:t>
      </w:r>
      <w:r w:rsidRPr="00640820">
        <w:rPr>
          <w:rFonts w:ascii="Times New Roman" w:hAnsi="Times New Roman"/>
          <w:color w:val="000000" w:themeColor="text1"/>
          <w:sz w:val="16"/>
          <w:szCs w:val="16"/>
        </w:rPr>
        <w:softHyphen/>
        <w:t>ном цехе в разной стадии готовно</w:t>
      </w:r>
      <w:r w:rsidRPr="00640820">
        <w:rPr>
          <w:rFonts w:ascii="Times New Roman" w:hAnsi="Times New Roman"/>
          <w:color w:val="000000" w:themeColor="text1"/>
          <w:sz w:val="16"/>
          <w:szCs w:val="16"/>
        </w:rPr>
        <w:softHyphen/>
        <w:t>сти находилось 42 МиГ-3 и один Ил-2. Возникшая в связи с эвакуацией некоторая неразбериха ставила под угрозу доводку этих самолётов.</w:t>
      </w:r>
    </w:p>
    <w:p w14:paraId="0404419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сохранения оставшейся мат-части личный состав военного пред</w:t>
      </w:r>
      <w:r w:rsidRPr="00640820">
        <w:rPr>
          <w:rFonts w:ascii="Times New Roman" w:hAnsi="Times New Roman"/>
          <w:color w:val="000000" w:themeColor="text1"/>
          <w:sz w:val="16"/>
          <w:szCs w:val="16"/>
        </w:rPr>
        <w:softHyphen/>
        <w:t>ставительства оказывал непосред</w:t>
      </w:r>
      <w:r w:rsidRPr="00640820">
        <w:rPr>
          <w:rFonts w:ascii="Times New Roman" w:hAnsi="Times New Roman"/>
          <w:color w:val="000000" w:themeColor="text1"/>
          <w:sz w:val="16"/>
          <w:szCs w:val="16"/>
        </w:rPr>
        <w:softHyphen/>
        <w:t>ственную помощь в отправке гото</w:t>
      </w:r>
      <w:r w:rsidRPr="00640820">
        <w:rPr>
          <w:rFonts w:ascii="Times New Roman" w:hAnsi="Times New Roman"/>
          <w:color w:val="000000" w:themeColor="text1"/>
          <w:sz w:val="16"/>
          <w:szCs w:val="16"/>
        </w:rPr>
        <w:softHyphen/>
        <w:t>вой продукции. Только силами военпредов 16 октября было отправ</w:t>
      </w:r>
      <w:r w:rsidRPr="00640820">
        <w:rPr>
          <w:rFonts w:ascii="Times New Roman" w:hAnsi="Times New Roman"/>
          <w:color w:val="000000" w:themeColor="text1"/>
          <w:sz w:val="16"/>
          <w:szCs w:val="16"/>
        </w:rPr>
        <w:softHyphen/>
        <w:t>лено 18 истребителей и один штур</w:t>
      </w:r>
      <w:r w:rsidRPr="00640820">
        <w:rPr>
          <w:rFonts w:ascii="Times New Roman" w:hAnsi="Times New Roman"/>
          <w:color w:val="000000" w:themeColor="text1"/>
          <w:sz w:val="16"/>
          <w:szCs w:val="16"/>
        </w:rPr>
        <w:softHyphen/>
        <w:t>мовик, а 18 октября по их требова</w:t>
      </w:r>
      <w:r w:rsidRPr="00640820">
        <w:rPr>
          <w:rFonts w:ascii="Times New Roman" w:hAnsi="Times New Roman"/>
          <w:color w:val="000000" w:themeColor="text1"/>
          <w:sz w:val="16"/>
          <w:szCs w:val="16"/>
        </w:rPr>
        <w:softHyphen/>
        <w:t>нию началась доводка находящих</w:t>
      </w:r>
      <w:r w:rsidRPr="00640820">
        <w:rPr>
          <w:rFonts w:ascii="Times New Roman" w:hAnsi="Times New Roman"/>
          <w:color w:val="000000" w:themeColor="text1"/>
          <w:sz w:val="16"/>
          <w:szCs w:val="16"/>
        </w:rPr>
        <w:softHyphen/>
        <w:t>ся в сборочном цехе самолётов. Благодаря предпринятым усилиям администрации завода удалось со</w:t>
      </w:r>
      <w:r w:rsidRPr="00640820">
        <w:rPr>
          <w:rFonts w:ascii="Times New Roman" w:hAnsi="Times New Roman"/>
          <w:color w:val="000000" w:themeColor="text1"/>
          <w:sz w:val="16"/>
          <w:szCs w:val="16"/>
        </w:rPr>
        <w:softHyphen/>
        <w:t>брать необходимую рабочую силу и к 24 октября сдать военпредам 42 МиГ-3 и один Ил-2. Причём из личного состава военной приёмки на производстве трудилось 19 че</w:t>
      </w:r>
      <w:r w:rsidRPr="00640820">
        <w:rPr>
          <w:rFonts w:ascii="Times New Roman" w:hAnsi="Times New Roman"/>
          <w:color w:val="000000" w:themeColor="text1"/>
          <w:sz w:val="16"/>
          <w:szCs w:val="16"/>
        </w:rPr>
        <w:softHyphen/>
        <w:t>ловек, а остальных отправили в Куйбышев. Производство истреби</w:t>
      </w:r>
      <w:r w:rsidRPr="00640820">
        <w:rPr>
          <w:rFonts w:ascii="Times New Roman" w:hAnsi="Times New Roman"/>
          <w:color w:val="000000" w:themeColor="text1"/>
          <w:sz w:val="16"/>
          <w:szCs w:val="16"/>
        </w:rPr>
        <w:softHyphen/>
        <w:t>телей МиГ-3 в г. Москве заверши</w:t>
      </w:r>
      <w:r w:rsidRPr="00640820">
        <w:rPr>
          <w:rFonts w:ascii="Times New Roman" w:hAnsi="Times New Roman"/>
          <w:color w:val="000000" w:themeColor="text1"/>
          <w:sz w:val="16"/>
          <w:szCs w:val="16"/>
        </w:rPr>
        <w:softHyphen/>
        <w:t>лось сдачей ГУ ВВС КА машины №5197.</w:t>
      </w:r>
    </w:p>
    <w:p w14:paraId="325413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 Куйбышеве выпуск МиГ-3 возобновился 5 декабря сдачей военпредам первых двух самолётов. В дальнейшем планировалось вы</w:t>
      </w:r>
      <w:r w:rsidRPr="00640820">
        <w:rPr>
          <w:rFonts w:ascii="Times New Roman" w:hAnsi="Times New Roman"/>
          <w:color w:val="000000" w:themeColor="text1"/>
          <w:sz w:val="16"/>
          <w:szCs w:val="16"/>
        </w:rPr>
        <w:softHyphen/>
        <w:t>пускать по две машины ежесуточно с тем, чтобы до конца года обеспе</w:t>
      </w:r>
      <w:r w:rsidRPr="00640820">
        <w:rPr>
          <w:rFonts w:ascii="Times New Roman" w:hAnsi="Times New Roman"/>
          <w:color w:val="000000" w:themeColor="text1"/>
          <w:sz w:val="16"/>
          <w:szCs w:val="16"/>
        </w:rPr>
        <w:softHyphen/>
        <w:t>чить постройку 50 истребителей. В тоже время производство штурмо</w:t>
      </w:r>
      <w:r w:rsidRPr="00640820">
        <w:rPr>
          <w:rFonts w:ascii="Times New Roman" w:hAnsi="Times New Roman"/>
          <w:color w:val="000000" w:themeColor="text1"/>
          <w:sz w:val="16"/>
          <w:szCs w:val="16"/>
        </w:rPr>
        <w:softHyphen/>
        <w:t>виков Ил-2 планировалось развер</w:t>
      </w:r>
      <w:r w:rsidRPr="00640820">
        <w:rPr>
          <w:rFonts w:ascii="Times New Roman" w:hAnsi="Times New Roman"/>
          <w:color w:val="000000" w:themeColor="text1"/>
          <w:sz w:val="16"/>
          <w:szCs w:val="16"/>
        </w:rPr>
        <w:softHyphen/>
        <w:t>нуть не ранее 15 декабря с выпус</w:t>
      </w:r>
      <w:r w:rsidRPr="00640820">
        <w:rPr>
          <w:rFonts w:ascii="Times New Roman" w:hAnsi="Times New Roman"/>
          <w:color w:val="000000" w:themeColor="text1"/>
          <w:sz w:val="16"/>
          <w:szCs w:val="16"/>
        </w:rPr>
        <w:softHyphen/>
        <w:t>ком по одному самолёту ежесуточ</w:t>
      </w:r>
      <w:r w:rsidRPr="00640820">
        <w:rPr>
          <w:rFonts w:ascii="Times New Roman" w:hAnsi="Times New Roman"/>
          <w:color w:val="000000" w:themeColor="text1"/>
          <w:sz w:val="16"/>
          <w:szCs w:val="16"/>
        </w:rPr>
        <w:softHyphen/>
        <w:t>но, то есть до конца года завод предполагал выпустить не более 10-15 машин при плане 100. Это объяс</w:t>
      </w:r>
      <w:r w:rsidRPr="00640820">
        <w:rPr>
          <w:rFonts w:ascii="Times New Roman" w:hAnsi="Times New Roman"/>
          <w:color w:val="000000" w:themeColor="text1"/>
          <w:sz w:val="16"/>
          <w:szCs w:val="16"/>
        </w:rPr>
        <w:softHyphen/>
        <w:t>нялось небольшим заделом, приве</w:t>
      </w:r>
      <w:r w:rsidRPr="00640820">
        <w:rPr>
          <w:rFonts w:ascii="Times New Roman" w:hAnsi="Times New Roman"/>
          <w:color w:val="000000" w:themeColor="text1"/>
          <w:sz w:val="16"/>
          <w:szCs w:val="16"/>
        </w:rPr>
        <w:softHyphen/>
        <w:t>зённым из Москвы, а также отсут</w:t>
      </w:r>
      <w:r w:rsidRPr="00640820">
        <w:rPr>
          <w:rFonts w:ascii="Times New Roman" w:hAnsi="Times New Roman"/>
          <w:color w:val="000000" w:themeColor="text1"/>
          <w:sz w:val="16"/>
          <w:szCs w:val="16"/>
        </w:rPr>
        <w:softHyphen/>
        <w:t xml:space="preserve">ствием ряда крупных агрегатов, таких как шасси и хвостовые части фюзеляжа. Выпуск Ил-2 на заводе </w:t>
      </w:r>
      <w:r w:rsidRPr="00640820">
        <w:rPr>
          <w:rFonts w:ascii="Times New Roman" w:hAnsi="Times New Roman"/>
          <w:color w:val="000000" w:themeColor="text1"/>
          <w:sz w:val="16"/>
          <w:szCs w:val="16"/>
        </w:rPr>
        <w:lastRenderedPageBreak/>
        <w:t>№18 тоже не отвечал требования фронта. Естественно такой расклад не мог удовлетворить руководство страны. Последовавшая 23 декаб</w:t>
      </w:r>
      <w:r w:rsidRPr="00640820">
        <w:rPr>
          <w:rFonts w:ascii="Times New Roman" w:hAnsi="Times New Roman"/>
          <w:color w:val="000000" w:themeColor="text1"/>
          <w:sz w:val="16"/>
          <w:szCs w:val="16"/>
        </w:rPr>
        <w:softHyphen/>
        <w:t>ря известная телеграмма И.В. Ста</w:t>
      </w:r>
      <w:r w:rsidRPr="00640820">
        <w:rPr>
          <w:rFonts w:ascii="Times New Roman" w:hAnsi="Times New Roman"/>
          <w:color w:val="000000" w:themeColor="text1"/>
          <w:sz w:val="16"/>
          <w:szCs w:val="16"/>
        </w:rPr>
        <w:softHyphen/>
        <w:t>лина окончательно решила судьбу штурмовика Ил-2 и истребителя МиГ-3.</w:t>
      </w:r>
    </w:p>
    <w:p w14:paraId="5E8CF9B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втором полугодии авиазавод №1 выпустил 1737 истребителей МиГ-3. Из этого количества воен</w:t>
      </w:r>
      <w:r w:rsidRPr="00640820">
        <w:rPr>
          <w:rFonts w:ascii="Times New Roman" w:hAnsi="Times New Roman"/>
          <w:color w:val="000000" w:themeColor="text1"/>
          <w:sz w:val="16"/>
          <w:szCs w:val="16"/>
        </w:rPr>
        <w:softHyphen/>
        <w:t>ное представительство приняло 1642 самолёта. В строевые части ВВС КА была отправлена 1691 машина. Для авиации ВМФ в 1941 г. из 162 принятых МиГ-3 поставлено 157 самолётов (в первом полуго</w:t>
      </w:r>
      <w:r w:rsidRPr="00640820">
        <w:rPr>
          <w:rFonts w:ascii="Times New Roman" w:hAnsi="Times New Roman"/>
          <w:color w:val="000000" w:themeColor="text1"/>
          <w:sz w:val="16"/>
          <w:szCs w:val="16"/>
        </w:rPr>
        <w:softHyphen/>
        <w:t>дии 67, во втором 90, из них 25 в июле, 10 в августе, 47 в сентябре и восемь в октябре), а пять переад</w:t>
      </w:r>
      <w:r w:rsidRPr="00640820">
        <w:rPr>
          <w:rFonts w:ascii="Times New Roman" w:hAnsi="Times New Roman"/>
          <w:color w:val="000000" w:themeColor="text1"/>
          <w:sz w:val="16"/>
          <w:szCs w:val="16"/>
        </w:rPr>
        <w:softHyphen/>
        <w:t>ресовано ГУ ВВС КА (11761).</w:t>
      </w:r>
    </w:p>
    <w:p w14:paraId="61547EB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8D93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октября 1941 г. по приказу № 1050сс завод (Завод № 161 НКАП, МАП, Уфимский агрегатный завод, ФГУП, ОАО «Уфимское агрегатное ПО (УАПО)». /г. Москва;  г. Уфа ул. Сталина, 53 (1942 г.); ул. Аксакова, 93 (1947 г.)/) эвакуирован в Уфу на площадку строительства завода № 282 НКАП. С 03.1943 г. - освоение производства свечей с керамическими изоляторами. После начала войны по приказу № 660сс от 9.07.1941 г. планировалось эвакуировать завод в Саратов на площадку завода № 306. 11.04.1943 г. вышло постановление ГКО № 3161 о передаче оборудования на строительство завода № 161 НКАП.</w:t>
      </w:r>
    </w:p>
    <w:p w14:paraId="2F5088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площадке эвакуированного завода в Москве в 11.1941 г. образован новый завод № 480 НКАП. По приказу № 13с от 6.01.1942 г. завод № 480 переведен на площадку бывшего завода № 294 НКАП, а все сооружения бывшего завода № 161 переданы в систему НКМВ в распоряжение 1-го завода САМ для производства ППП1.</w:t>
      </w:r>
    </w:p>
    <w:p w14:paraId="3F9980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1950-х  г. завод № 161 - в ведении 4ГУ. В соответствии с пост. СМ СССР № 713-342 от 26.06.1957 г. передан в ведение СНХ РСФСР.</w:t>
      </w:r>
    </w:p>
    <w:p w14:paraId="7ED6AC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Далее переименован в Уфимский агрегатный завод. Вероятно, в 1975 г. завод объединен с ОКБ в Уфимское научно-производственное предприятие (УНПП) «Молния». Далее - ФГУП, затем ОАО УАПО.</w:t>
      </w:r>
    </w:p>
    <w:p w14:paraId="0CA964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2000 г.: производство электронных систем управления двигателями </w:t>
      </w:r>
      <w:r w:rsidRPr="00640820">
        <w:rPr>
          <w:rFonts w:ascii="Times New Roman" w:hAnsi="Times New Roman"/>
          <w:color w:val="000000" w:themeColor="text1"/>
          <w:sz w:val="16"/>
          <w:szCs w:val="16"/>
          <w:lang w:val="en-US"/>
        </w:rPr>
        <w:t>JIA</w:t>
      </w:r>
      <w:r w:rsidRPr="00640820">
        <w:rPr>
          <w:rFonts w:ascii="Times New Roman" w:hAnsi="Times New Roman"/>
          <w:color w:val="000000" w:themeColor="text1"/>
          <w:sz w:val="16"/>
          <w:szCs w:val="16"/>
        </w:rPr>
        <w:t>, систем электрозажигания авиационных и ракетных двигателей.</w:t>
      </w:r>
    </w:p>
    <w:p w14:paraId="5989C4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(07.1940-41 г.)- И.С. Доценко, (1941-03.1942 г.-)- М. Г. Масальский. (-05.1944-05.1946 г.-)- Д.П. Чувилкин.</w:t>
      </w:r>
    </w:p>
    <w:p w14:paraId="154744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авиасвечи (ВОВ) ВГ-2, ВГ-12, ВГ-27, СВ-19, СВ-20; магнето ВСМ; приспособления и инструменты для магнето.</w:t>
      </w:r>
    </w:p>
    <w:p w14:paraId="6A1C8B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Уфимское НПП (УНПП) «Молния», УАПКО «Молния» МАП</w:t>
      </w:r>
    </w:p>
    <w:p w14:paraId="642401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Вероятно, в 1975 г. Уфимский агрегатный завод объединен с ОКБ в Уфимское научно-производственное предприятие (УНПП) «Молния». В 1990 г. - УАПКО «Молния» МАП (11982).</w:t>
      </w:r>
    </w:p>
    <w:p w14:paraId="545CC5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61B72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октября 1941 г. оставшаяся часть завода № 230 (ГС завод № 230 НКОП, НКАП, МАП, Завод «Тизприбор» НКТП, НКОП, А-146, А-1902, ГУАП, ОАО «Казанский завод «Электроприбор» /г. Москва Электрический пер., 1 (1940 г.);  г. Казань поле Ершова, 20 (1947 г.)/ /Татарстан 420045  г. Казань ул. Н. Ершова, 20 тел. 72-40-01/) также эвакуирована в Казань. Продолжено производство тахометров, термометров.</w:t>
      </w:r>
    </w:p>
    <w:p w14:paraId="65F711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Москве на старом месте в конце 1941 г. действовал филиал завода № 230. Затем по приказу № 63с от 25.01.1942 г. началось формирование Ремонтных мастерских по приборам при 5ГУ НКАП, а позже был образован новый приборостроительный завод № 339 НКАП.</w:t>
      </w:r>
    </w:p>
    <w:p w14:paraId="52621C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339с от 15.08.1945 г. часть личного состава, материалов и оборудования расформированного завода № 279 НКАП переданы заводу № 230.</w:t>
      </w:r>
    </w:p>
    <w:p w14:paraId="18F647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СМ СССР № 713-342 от 26.06.1957 г. передан из МАП в ведение СНХ РСФСР.</w:t>
      </w:r>
    </w:p>
    <w:p w14:paraId="3B33DA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1957 г. на заводе № 230 МАП действовал филиал ОКБ-12 МАП.</w:t>
      </w:r>
    </w:p>
    <w:p w14:paraId="4F5F83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1950-е  г. освоен выпуск автопилотов, указателей летчика. С конца 1960-х  г. - систем противопожарной сигнализации, регуляторов температуры, демпферов колебания самолета. Разрабатывал и производил первичные преобразователи (термоэлектрические и терморезистивные датчики, датчики частоты вращения), магнитоэлектрические и магнитоиндукционные индикаторы.</w:t>
      </w:r>
    </w:p>
    <w:p w14:paraId="1E553E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Предприятие имело наименование «п/я А-1902» (по другой информации это наименование Казанского завода «Радиоприбор»).</w:t>
      </w:r>
    </w:p>
    <w:p w14:paraId="473DCE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(2002 г.): САУ самолетами, системы электронной индикации параметров полета, системы и датчики регулирования, преобразования и измерения температуры и оборотов двигателя; системы и датчики пожарной сигнализации, термопары, гироскопические изделия; автокомплектующие.</w:t>
      </w:r>
    </w:p>
    <w:p w14:paraId="29282C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решению правительства № 22-р от 9.01.2004 г. и Указу Президента РФ № 1009 от 4.08.2004 г. вошел в число стратегических оборонных предприятий.</w:t>
      </w:r>
    </w:p>
    <w:p w14:paraId="053F9A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И.О. директора (12.1937 г.)- Логинов. Директор (-02-11.04.1938 г.)-  Г.И. Иванов (снят), (19.06.1938-03.1940 г.)- П.А. Пушкин, (03.1940-41 г.-)- Романов, (1943-45 г.)- А.Н. Соколовский. Гендиректор (1990-е-2005 г.-&gt;  Г.В. Дивавин.</w:t>
      </w:r>
    </w:p>
    <w:p w14:paraId="7412C6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по экономике (2002 г.)- В.И. Древке.</w:t>
      </w:r>
    </w:p>
    <w:p w14:paraId="0F484E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(17.12.1938 г.-)- Б.О. Волков, (1940 г.)- Воробьев.</w:t>
      </w:r>
    </w:p>
    <w:p w14:paraId="64034A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отдела по ВЭС (2002 г.)- В.И. Древке.</w:t>
      </w:r>
      <w:r w:rsidRPr="00640820">
        <w:rPr>
          <w:rFonts w:ascii="Times New Roman" w:hAnsi="Times New Roman"/>
          <w:color w:val="000000" w:themeColor="text1"/>
          <w:sz w:val="16"/>
          <w:szCs w:val="16"/>
          <w:vertAlign w:val="superscript"/>
        </w:rPr>
        <w:t>69</w:t>
      </w:r>
    </w:p>
    <w:p w14:paraId="6D5426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начальника отдела: снабжения (-07.1938 г.)- И.Я. Кулль.</w:t>
      </w:r>
    </w:p>
    <w:p w14:paraId="5062B9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интегратор № 170 (1938); двигатели Варрена СД-2, -60 (1946), кран-переключатель КП-3, -6 (1946); тахометры, термометры (1946); автопилоты: АП-15 (1954-), АП-39 (1960); САУ для МиГ-23 (1970-е), МиГ-27 (1980-е), вертолета «Ансат» (2000-е); агрегаты и системы прицельно-навигационного, радиосвязного оборудования, ПОС для Су-27, Су-30 (2003); вычислитель траекторного управления для Ми-172 (2000-е); гиростабилизированная платформа для РН «Союз», «Прогресс» (1960-е-90-е); гиростабилизатор системы телевизионного наведения УРВП; преобразователи ТСМ, ТСП, ТХА, ТХК для измерения температуры жидкостей, газов, твердых и сыпучих продуктов.</w:t>
      </w:r>
      <w:r w:rsidRPr="00640820">
        <w:rPr>
          <w:rFonts w:ascii="Times New Roman" w:hAnsi="Times New Roman"/>
          <w:color w:val="000000" w:themeColor="text1"/>
          <w:sz w:val="16"/>
          <w:szCs w:val="16"/>
          <w:vertAlign w:val="superscript"/>
        </w:rPr>
        <w:t>69</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vertAlign w:val="superscript"/>
        </w:rPr>
        <w:t>101</w:t>
      </w:r>
    </w:p>
    <w:p w14:paraId="767C1A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завода № 230 НКАП, (ЖБ-230 НКАП /г. Москва;  г. Казань/</w:t>
      </w:r>
    </w:p>
    <w:p w14:paraId="1215F7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образовано при заводе в 1935(7) г. для работ по авиационным приборам.</w:t>
      </w:r>
    </w:p>
    <w:p w14:paraId="6FC54D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1941-44 г. работало в Казани вместе с заводом. Создан ряд стрелочных приборов, расходомеров.</w:t>
      </w:r>
    </w:p>
    <w:p w14:paraId="7F46C3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641с от 5.11.1944 г. ОКБ-230 5ГУ НКАП переведено на площадку завода № 149 ОКБ и влито в состав ОКБ-149 НКАП.</w:t>
      </w:r>
    </w:p>
    <w:p w14:paraId="58BE8D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Руководитель- Любарский.</w:t>
      </w:r>
    </w:p>
    <w:p w14:paraId="213EBA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ФГУП «Казанское Приборостроительное КБ» (КПКБ) /Татарстан 420061  г. Казань Сибирский тракт, 1 тел. 72-62-63/</w:t>
      </w:r>
    </w:p>
    <w:p w14:paraId="7E922F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(2004 г.): разработка и производство продукции для авиакосмической промышленности (датчиков: температуры термоэлектрических и резистивных; частоты вращения магнитоиндукционных приводных и бесприводных; крутящего момента магнитоиндукционных бесприводных; регуляторов температуры остекления; вторичной аппаратуры контроля, индикации и регулирования температуры, оборотов и крутящего момента; систем безопасности и сервисных систем); медицинской аппаратуры; контрольно-проверочной аппаратуры общепромышленного применения.</w:t>
      </w:r>
    </w:p>
    <w:p w14:paraId="492CB5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 В 2005 г. входило в состав НПЦ «Технокомплекс».</w:t>
      </w:r>
    </w:p>
    <w:p w14:paraId="534CE8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(2002 г.)- И.Е. Ефимов.</w:t>
      </w:r>
      <w:r w:rsidRPr="00640820">
        <w:rPr>
          <w:rFonts w:ascii="Times New Roman" w:hAnsi="Times New Roman"/>
          <w:color w:val="000000" w:themeColor="text1"/>
          <w:sz w:val="16"/>
          <w:szCs w:val="16"/>
          <w:vertAlign w:val="superscript"/>
        </w:rPr>
        <w:t>69</w:t>
      </w:r>
      <w:r w:rsidRPr="00640820">
        <w:rPr>
          <w:rFonts w:ascii="Times New Roman" w:hAnsi="Times New Roman"/>
          <w:color w:val="000000" w:themeColor="text1"/>
          <w:sz w:val="16"/>
          <w:szCs w:val="16"/>
        </w:rPr>
        <w:t xml:space="preserve"> Директор (-2004-06 г.-)- И.Е. Ефимов.</w:t>
      </w:r>
    </w:p>
    <w:p w14:paraId="487493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директора (-2004-06 г.-)- В.Ф. Сучинский. Зам. начальника: по производству (2002 г.)- В.Ф. Сучинский; по науке (2002 г.)- Е.И. Сенин.</w:t>
      </w:r>
    </w:p>
    <w:p w14:paraId="3B4B0D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ЗАО «ЭКА» /Татарстан 420094  г. Казань ул. Чуйкова, 2Б тел. 56-06-12/</w:t>
      </w:r>
    </w:p>
    <w:p w14:paraId="4956D6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Учреждено 3.08.1995 г. Казанским заводом «Электроприбор» и французской фирмой </w:t>
      </w:r>
      <w:r w:rsidRPr="00640820">
        <w:rPr>
          <w:rFonts w:ascii="Times New Roman" w:hAnsi="Times New Roman"/>
          <w:color w:val="000000" w:themeColor="text1"/>
          <w:sz w:val="16"/>
          <w:szCs w:val="16"/>
          <w:lang w:val="en-US"/>
        </w:rPr>
        <w:t>Auxitrol</w:t>
      </w:r>
      <w:r w:rsidRPr="00640820">
        <w:rPr>
          <w:rFonts w:ascii="Times New Roman" w:hAnsi="Times New Roman"/>
          <w:color w:val="000000" w:themeColor="text1"/>
          <w:sz w:val="16"/>
          <w:szCs w:val="16"/>
        </w:rPr>
        <w:t>.</w:t>
      </w:r>
    </w:p>
    <w:p w14:paraId="237FD1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Разработка и производство (2002 г.): авиационные датчики температуры, давления, частоты вращения.</w:t>
      </w:r>
    </w:p>
    <w:p w14:paraId="799ED7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(2002 г.)-12 чел.</w:t>
      </w:r>
    </w:p>
    <w:p w14:paraId="5DCD2C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Гендиректор (2002 г.)- Е.А. Жадобов.</w:t>
      </w:r>
    </w:p>
    <w:p w14:paraId="23331E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Технический директор (2002 г.)- Л.И. Лившиц (11982).</w:t>
      </w:r>
    </w:p>
    <w:p w14:paraId="7B2AAE32" w14:textId="77777777" w:rsidR="0038220C" w:rsidRPr="00640820" w:rsidRDefault="0038220C" w:rsidP="00640820">
      <w:pPr>
        <w:autoSpaceDE w:val="0"/>
        <w:autoSpaceDN w:val="0"/>
        <w:adjustRightInd w:val="0"/>
        <w:spacing w:after="0" w:line="240" w:lineRule="auto"/>
        <w:jc w:val="both"/>
        <w:rPr>
          <w:rFonts w:ascii="Times New Roman" w:hAnsi="Times New Roman"/>
          <w:color w:val="000000" w:themeColor="text1"/>
          <w:sz w:val="16"/>
          <w:szCs w:val="16"/>
        </w:rPr>
      </w:pPr>
    </w:p>
    <w:p w14:paraId="2F69BE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октября 1941 г. по приказу № 1050сс завод № 291 8ГУ НКАП эвакуирован в Уфу на площадку Завода горного оборудования и развернут на новом месте в период с 15.11.1941 по 1.01.1942 г. Планировалось влить завод в состав завода № 384, но это не было выполнено.</w:t>
      </w:r>
    </w:p>
    <w:p w14:paraId="06C5FA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ГКО № 1404с от 7.03.1942 г. и приказом № 191с от 12.03.1942 г. завод № 291 НКАП со всем оборудованием и кадрами переведен из Уфы в Москву и влит в состав завода № 45 НКАП.</w:t>
      </w:r>
    </w:p>
    <w:p w14:paraId="741685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площадке эвакуированного завода планировалось начать разделку самолетов и моторов. Однако по приказу № 487с от 3.07.1942 г. здания и сооружения бывшего завода № 291 НКАП в Тушино были переданы заводу № 453 НКАП.</w:t>
      </w:r>
    </w:p>
    <w:p w14:paraId="1F0AD7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(-05.1940; 03.1942 г.)- Л.Б. Евангулов, (05.1940 г.- С.В. Михайлов.</w:t>
      </w:r>
    </w:p>
    <w:p w14:paraId="7DF2CA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ОКБ-291 НКАП /г. Москва/</w:t>
      </w:r>
    </w:p>
    <w:p w14:paraId="6654C0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Спецоборудование. Эвакуировано в 1941 г. в Уфу (11982).</w:t>
      </w:r>
    </w:p>
    <w:p w14:paraId="5C6447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E1F02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и 10 октября 1941 г. в Постановлении ГКО СССР и в письме заместителя Наркома внутренних дел СССР соответственно в отношении Куйбышева указывалось на «немедленное развертывание барачного строительства двух городков на 7 тыс. человек каждый, ведя строительство бараков по упрощенным проектам и деревянных домов облегченной конструкции». К 15 октября 1941 г. заводам НКАП предписывалось передать не менее 30 тыс. кв. метров жилой площади за счет лагерных бараков. Сдача новых домов была поэтапной и окончательные сроки определялись к 1 января 1942 г. вместе со сдачей заводов (ГАСО. Ф. Р-2064. Оп. 2. Д. 3. Л. 122; Д. 56. Л. 50-51.) (11714).</w:t>
      </w:r>
    </w:p>
    <w:p w14:paraId="56B3BB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835394A"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3CE3B59B"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6BAE077" w14:textId="77777777" w:rsidR="00295B9F" w:rsidRPr="00640820" w:rsidRDefault="00295B9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8 по 13 октября 1941 г. на АНИОПе проводились еще одни испытания миномета-лопаты (отчет по испытаниям №06359). Миномет показал плохие характеристики по точности стрельбы, средний разброс мин был в семь раз больше чем у 50-мм ротного миномета. Одновременно мина в полете вела себя не устойчиво.</w:t>
      </w:r>
    </w:p>
    <w:p w14:paraId="4A41F0F3" w14:textId="77777777" w:rsidR="00295B9F" w:rsidRPr="00640820" w:rsidRDefault="00295B9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состоянию на 7 ноября 5 1941 г. было изготовлено 20000 штук мин, военной приемкой не принятые по причине плохих баллистических качеств, и 170 минометов-лопат, военной приемкой принятых и вывезенных на артбазу №75. В производстве находилось 400 минометов-лопат и 10000 мин к ним. Из-за неотработанности мин и минометов, а так же отсутствия взрывателей М-50 было предложено прекратить производство. Но на фронте не хватало оружия, в том числе и в обороняющемся Ленинграде. Со складов и арсеналов извлекались все возможные для использования образцы вооружения. В декабре 1941 г. на совещании Артуправления Ленинградского фронта было принято решение провести полигонные испытания 37-мм миномета "Лопата" и мин к нему с целью возможности использования в войсках РККА ранее изготовленных промышленностью минометов и мин (18984).</w:t>
      </w:r>
    </w:p>
    <w:p w14:paraId="5EC56B33" w14:textId="77777777" w:rsidR="00295B9F" w:rsidRPr="00640820" w:rsidRDefault="00295B9F" w:rsidP="00640820">
      <w:pPr>
        <w:spacing w:after="0" w:line="240" w:lineRule="auto"/>
        <w:jc w:val="both"/>
        <w:rPr>
          <w:rFonts w:ascii="Times New Roman" w:hAnsi="Times New Roman"/>
          <w:color w:val="000000" w:themeColor="text1"/>
          <w:sz w:val="16"/>
          <w:szCs w:val="16"/>
        </w:rPr>
      </w:pPr>
    </w:p>
    <w:p w14:paraId="56AE63F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октября 1941 помощник военпреда завода № 183 Павлов докладывал в ГАБТУ КА из Нижнего Тагила:</w:t>
      </w:r>
    </w:p>
    <w:p w14:paraId="7B3DA57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октября прибыло всего два эшелона с личным составом и оборудованием. Прибывшее оборудование установлено в цехах, установлено окончательно 52 станка. С первым эшелоном прибыло конструкторское и технологическое бюро с людским составом и документацией: чертежами, техническими условиями и техпроцессом. Кроме того, с оборудованием прибыли и рабочие, что дает возможность из имеющегося на заводе металла на установленном оборудовании производить обработку деталей».</w:t>
      </w:r>
    </w:p>
    <w:p w14:paraId="0700A81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Между тем в Нижнем Тагиле, на новом месте, завод № 183 готовился к возобновлению выпуска танков Т-34. Предприятие, получившее официальное наименование Уральский танковый завод № 183, поначалу имело большое количество проблем. В первую очередь, не хватало квалифицированных кадров и рабочих вообще, так как всего из Харькова в Нижний Тагил удалось эвакуировать 10% рабочих и 20% инженерно-технических работников. Еще хуже обстояло дело с персоналом и оборудованием Мариупольского завода имени Ильича, броневое производство которого также эвакуировалось в Тагил и влилось в состав завода № 183. Из 6344 человек, занятых в танковом производстве на заводе имени Ильича, на Урал прибыло не более 300 человек, не была вывезена вся имеющаяся оснастка. Причиной этого стал быстрый захват Мариуполя наступающими немецкими частями 8 октября 1941 года - предприятие еще продолжало работать, а большое количество вагонов с оборудованием и имуществом, предназначенных для эвакуации, попала в руки противника на территории самого предприятия, в городе или на выезде из него. Поэтому одной из первоочередных задач для завода № 183 на новом месте стало решение проблемы с выпуском бронедеталей.</w:t>
      </w:r>
    </w:p>
    <w:p w14:paraId="3F3C105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Естественно. при отсутствии мощного прессового и правильного оборудования приходилось срочно пере- сматриватъ технологию, перевода изготовление многих деталей на литье. Это можно бышо сделать в сжатые сроки, используя мощное сталелитейное производство бывшего Уралвагонзавода (12217).</w:t>
      </w:r>
    </w:p>
    <w:p w14:paraId="7E4C42C7"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4EAAD6A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октября 1941 года вышел Приказ НКБ № 590</w:t>
      </w:r>
    </w:p>
    <w:p w14:paraId="0AFAE44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Принятый на основании приказа № 247/499 от 25 августа 1941 года Кисилевский механический завод включить в число действующих предприятий НКБ и присвоить № 605 (5676, 229).</w:t>
      </w:r>
    </w:p>
    <w:p w14:paraId="5615009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C4778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октября 1941 года вышел приказ № 505сс НКВ</w:t>
      </w:r>
    </w:p>
    <w:p w14:paraId="522B15C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постановлением Совета по эвакуации от 7 октября 1941 года за № 133сс:</w:t>
      </w:r>
    </w:p>
    <w:p w14:paraId="59EEED3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завода № 66 эвакуировать немедленно:</w:t>
      </w:r>
    </w:p>
    <w:p w14:paraId="3E0F889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пушек Волкова-Ярцева на завод № 54 в Златоуст.</w:t>
      </w:r>
    </w:p>
    <w:p w14:paraId="74F6C28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Пулеметов Шкас на завод № 525 в Куйбышев.</w:t>
      </w:r>
    </w:p>
    <w:p w14:paraId="399149B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противотанковых ружей на завод № 614 Саратов.</w:t>
      </w:r>
    </w:p>
    <w:p w14:paraId="15C61D2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Станкостроительное производство на завод № 172 Молотов.</w:t>
      </w:r>
    </w:p>
    <w:p w14:paraId="6C58CD3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завода № 314 эвакуировать немедленно:</w:t>
      </w:r>
    </w:p>
    <w:p w14:paraId="25C66AD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револьвера “Наган” на завод № 74 – Ижевск.</w:t>
      </w:r>
    </w:p>
    <w:p w14:paraId="47FE61B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Инструментальный цех производства пистолетов и револьверов на завод № 614 Саратов.</w:t>
      </w:r>
    </w:p>
    <w:p w14:paraId="04F6D97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завода № 38 эвакуировать немедленно:</w:t>
      </w:r>
    </w:p>
    <w:p w14:paraId="0D0137A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патронов ТТ и Нагана на Юрюзанский завод Наркомместпрома РСФСР.</w:t>
      </w:r>
    </w:p>
    <w:p w14:paraId="02C07C2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биметалла на Нытвенский завод Наркомчермета.</w:t>
      </w:r>
    </w:p>
    <w:p w14:paraId="2D66A08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гильз Шкас и легкой пули – на 541 завод НКВ в Челябинск (6288, 107).</w:t>
      </w:r>
    </w:p>
    <w:p w14:paraId="5529512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1A5A0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октября 1941 года вышел приказ № 504сс НКВ</w:t>
      </w:r>
    </w:p>
    <w:p w14:paraId="66FC556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постановлением ГКО от 8 сентября 1941 года № 641 и во исполнение постановления Совета по Эвакуации от 7 октября 1941 года № 132сс:</w:t>
      </w:r>
    </w:p>
    <w:p w14:paraId="7964ECE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Эвакуировать часть оборудования, рабочих, ИТР , служащих с завода № 60 из города Ворошиловграда на моторемонтный завод в г. Фрунзе (6288, 92).</w:t>
      </w:r>
    </w:p>
    <w:p w14:paraId="2FE0C19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6EB0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октября 1941 года вышел приказ НКВ № 504сс во исполнение Постановления Совета по эвакуации № 132сс от 7 октября 1941 года и во исполнение Постановления ГКО № 641 от 8 сентября 1941 года, согласно которым завод № 60 НКВ в декабре 1941 года был эвакуирован в г. Фрунзе.</w:t>
      </w:r>
    </w:p>
    <w:p w14:paraId="1D6EE8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Фрунзе Киргизской ССР, п/я 43</w:t>
      </w:r>
    </w:p>
    <w:p w14:paraId="42E1C3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предназначен для выпуска патронов стелкового оружия (9587).</w:t>
      </w:r>
    </w:p>
    <w:p w14:paraId="6A0CCF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891E1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октября 1941 года согласно решения ГКО № 717с от 27 сентября 1941 года и приказа НКБ № 567 от 20 сентября 1941 года, цеха завода № 20 подлежали эвакуации в пункт эвакуации Рубежанского химического комбината НКХП, а строившийся цех олеума эвакуировался в Кемерово на завод № 319.</w:t>
      </w:r>
    </w:p>
    <w:p w14:paraId="5F870D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 как согласно решения ГКО цехи Рубежанского химического комбината, связанные с заводом № 20 эвакуировались в Уфу на площадку завода № 505, то и НКБ принял решение эвакуировать и восстановить цеха завода № 20 в этом же пункте.</w:t>
      </w:r>
    </w:p>
    <w:p w14:paraId="5B259B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Протоколом совещания при заместителе наркома боеприпасов Клюеве от 15 января 1942 года было принято решение:</w:t>
      </w:r>
    </w:p>
    <w:p w14:paraId="4CD1AA77" w14:textId="77777777" w:rsidR="00165A9C" w:rsidRPr="00640820" w:rsidRDefault="00165A9C" w:rsidP="0064082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 восстановлении завода № 20 на площадке «Крекинг» завода в Уфе.</w:t>
      </w:r>
    </w:p>
    <w:p w14:paraId="22856BAD" w14:textId="77777777" w:rsidR="00165A9C" w:rsidRPr="00640820" w:rsidRDefault="00165A9C" w:rsidP="0064082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Цехи динитронафталина и ксилила восстановить на заводе № 15 в Чапаевске.</w:t>
      </w:r>
    </w:p>
    <w:p w14:paraId="73809A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Уфа, п/я 6</w:t>
      </w:r>
    </w:p>
    <w:p w14:paraId="27B4D5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 Куценко (10336).</w:t>
      </w:r>
    </w:p>
    <w:p w14:paraId="5F7DF2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DCA29B1" w14:textId="77777777" w:rsidR="000863C2" w:rsidRPr="00640820" w:rsidRDefault="000863C2" w:rsidP="00640820">
      <w:pPr>
        <w:pStyle w:val="ae"/>
        <w:shd w:val="clear" w:color="auto" w:fill="FFFFFF"/>
        <w:spacing w:before="0" w:after="0"/>
        <w:jc w:val="both"/>
        <w:rPr>
          <w:color w:val="000000" w:themeColor="text1"/>
          <w:sz w:val="16"/>
          <w:szCs w:val="16"/>
        </w:rPr>
      </w:pPr>
      <w:r w:rsidRPr="00640820">
        <w:rPr>
          <w:color w:val="000000" w:themeColor="text1"/>
          <w:sz w:val="16"/>
          <w:szCs w:val="16"/>
        </w:rPr>
        <w:t>К 8 октября 1941 отремонтированный эталонный Т-29 вместе с А-20 и рядом других полигонных танков оказался в составе отдельной танковой роты под командованием капитана Карпенко. Рота вошла в состав Можайского укрепрайона. в составе «роты Семёнова» (так это подразделение называется в документах НИБТ Полигона) находилось 2 Т-26 и по одному Т-40, Т-29, А-20, АТ-1 2 БА-10 и БА-20. Довольно интересной оказалась и вспомогательная техника роты: туда попало 5 ЗИС-22, 2 ЗИС-5, летучка типа «А» и японский грузовик Тип 94. В таком составе «рота Семёнова» принимала участие в боевых действиях до конца октября 1941 года. Затем следы Т-29 теряются.</w:t>
      </w:r>
    </w:p>
    <w:p w14:paraId="4FAE734C" w14:textId="77777777" w:rsidR="000863C2" w:rsidRPr="00640820" w:rsidRDefault="000863C2" w:rsidP="00640820">
      <w:pPr>
        <w:pStyle w:val="ae"/>
        <w:shd w:val="clear" w:color="auto" w:fill="FFFFFF"/>
        <w:spacing w:before="0" w:after="0"/>
        <w:jc w:val="both"/>
        <w:rPr>
          <w:color w:val="000000" w:themeColor="text1"/>
          <w:sz w:val="16"/>
          <w:szCs w:val="16"/>
        </w:rPr>
      </w:pPr>
      <w:r w:rsidRPr="00640820">
        <w:rPr>
          <w:color w:val="000000" w:themeColor="text1"/>
          <w:sz w:val="16"/>
          <w:szCs w:val="16"/>
        </w:rPr>
        <w:t>Информация о применении Т-29 в составе 22-й танковой бригады не соответствует действительности. В это соединение попал А-20, который воевал до 3 декабря 1941 года. В этот день в бою в районе Павловской Слободы он оказался подбит, после чего его эвакуировали на рембазу (17708).</w:t>
      </w:r>
    </w:p>
    <w:p w14:paraId="7289F828" w14:textId="77777777" w:rsidR="000863C2" w:rsidRPr="00640820" w:rsidRDefault="000863C2" w:rsidP="00640820">
      <w:pPr>
        <w:spacing w:after="0" w:line="240" w:lineRule="auto"/>
        <w:jc w:val="both"/>
        <w:rPr>
          <w:rFonts w:ascii="Times New Roman" w:hAnsi="Times New Roman"/>
          <w:color w:val="000000" w:themeColor="text1"/>
          <w:sz w:val="16"/>
          <w:szCs w:val="16"/>
        </w:rPr>
      </w:pPr>
    </w:p>
    <w:p w14:paraId="320216A9"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152C1C40"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8448855" w14:textId="77777777" w:rsidR="0038220C" w:rsidRPr="00640820" w:rsidRDefault="0038220C"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8 октября </w:t>
      </w:r>
      <w:r w:rsidRPr="00640820">
        <w:rPr>
          <w:rFonts w:ascii="Times New Roman" w:hAnsi="Times New Roman"/>
          <w:color w:val="000000" w:themeColor="text1"/>
          <w:sz w:val="16"/>
          <w:szCs w:val="16"/>
        </w:rPr>
        <w:t>в 1941 году утреннее сообщение Совинформбюро:</w:t>
      </w:r>
    </w:p>
    <w:p w14:paraId="582F10D9" w14:textId="77777777" w:rsidR="0038220C" w:rsidRPr="00640820" w:rsidRDefault="0038220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8 октября наши войска вели бои с противником на всём фронте и особенно напряжённые на Вяземском и Брянском направлениях.</w:t>
      </w:r>
    </w:p>
    <w:p w14:paraId="20A64B39" w14:textId="77777777" w:rsidR="0038220C" w:rsidRPr="00640820" w:rsidRDefault="0038220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участков Западного направления фронта нашей авиацией уничтожено 15 танков и 20 автомашин противника с боеприпасами.</w:t>
      </w:r>
    </w:p>
    <w:p w14:paraId="26A07CE3" w14:textId="77777777" w:rsidR="0038220C" w:rsidRPr="00640820" w:rsidRDefault="0038220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другом участке этого направления наша авиация уничтожила 12 вражеских танков и 24 автомашины с пехотой.</w:t>
      </w:r>
    </w:p>
    <w:p w14:paraId="75E3C643" w14:textId="77777777" w:rsidR="0038220C" w:rsidRPr="00640820" w:rsidRDefault="0038220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Часть тов. Морозова, действующая на одном из участков Северо-Западного направления фронта, в одном из боёв уничтожила около 400 немецких солдат и офицеров, 18 ДЗОТов, 17 пулемётов, 23 миномёта и одно тяжёлое орудие.</w:t>
      </w:r>
    </w:p>
    <w:p w14:paraId="3E39E237" w14:textId="77777777" w:rsidR="0038220C" w:rsidRPr="00640820" w:rsidRDefault="0038220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Группа наших самолётов, оперирующая на Юго-Западном направлении фронта, внезапным налётом на мотомеханизированную колонну противника уничтожила 35 автомашин с немецкими солдатами, 3 бронемашины, несколько орудий и до батальона фашистской пехоты. Другая группа самолётов уничтожила до роты немецкой пехоты, 4 танка и много мотоциклов.</w:t>
      </w:r>
    </w:p>
    <w:p w14:paraId="4DA824C8" w14:textId="77777777" w:rsidR="0038220C" w:rsidRPr="00640820" w:rsidRDefault="0038220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За два дня части авиации Балтийского флота уничтожили 6 немецких самолётов, 20 танков, 3 бронемашины, 136 автомашин с войсками, 9 автоцистерн, 32 орудия разных калибров, 27 пулемётных установок и 30 зенитных автоматов. Авиация Северного флота сбила 5 немецких самолётов при их попытке атаковать один из наших военных объектов.</w:t>
      </w:r>
    </w:p>
    <w:p w14:paraId="4697ED77" w14:textId="77777777" w:rsidR="0038220C" w:rsidRPr="00640820" w:rsidRDefault="0038220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Два месяца успешно действует партизанский отряд под командованием тов. Е. в одном из захваченных немцами районов на Северо-Западном направлении фронта. Партизаны совершают смелые налёты на автомашины и на небольшие группы немецких солдат, подрывают мосты, захватывают обозы и нарушают телефонно-телеграфную связь противника. На днях на лесной дороге партизаны уничтожили две автомашины и в бою убили 40 немецких солдат. Во время одного внезапного ночного налёта на фашистов, расположившихся в деревне на отдых, бойцы отряда истребили в бою 20 солдат и сожгли грузовую автомашину. На следующий день в стычке партизаны уничтожили еще 20 немецких солдат.</w:t>
      </w:r>
    </w:p>
    <w:p w14:paraId="4D7DBBC8" w14:textId="77777777" w:rsidR="0038220C" w:rsidRPr="00640820" w:rsidRDefault="0038220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Группа бойцов партизанского отряда устроила в лесу засаду и подорвала танк противника. Выскочившие на помощь из других танков 6 фашистов были перебиты снайперами-партизанами. Все бойцы отряда вооружены трофейным немецким оружием.</w:t>
      </w:r>
    </w:p>
    <w:p w14:paraId="6B99C16B" w14:textId="77777777" w:rsidR="0038220C" w:rsidRPr="00640820" w:rsidRDefault="0038220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Партизанский отряд под командованием тов. К., действующий в соседнем районе, недавно напал на вражескую батарею и перебил 25 фашистских артиллеристов, уничтожил немецкий бронеавтомобиль и легковую автомашину.</w:t>
      </w:r>
    </w:p>
    <w:p w14:paraId="049E16F1" w14:textId="77777777" w:rsidR="0038220C" w:rsidRPr="00640820" w:rsidRDefault="0038220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Неудачи под Одессой удручающе подействовали на командира разгромленной 13 румынской пехотной дивизии генерала Росин. В связи с этим он издал 12 сентября приказ, озаглавленный так: «Замечания о действиях на поле боя». Побитый героическими защитниками Одессы, румынский генерал вынужден признать, что советские моряки, пехотинцы и артиллеристы прекрасно обучены и сражаются с необыкновенной храбростью. «Противник очень хорошо использует местность, — пишет генерал Росин. — Он глубоко закапывается в землю, искусно маскирует своё расположение и огневые позиции. Невооружённым глазом его нельзя обнаружить. С большим успехом противник пользуется миномётами. Широко применяет орудия и очень хорошо из них стреляет».</w:t>
      </w:r>
    </w:p>
    <w:p w14:paraId="3FE2D2C6" w14:textId="77777777" w:rsidR="0038220C" w:rsidRPr="00640820" w:rsidRDefault="0038220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Совсем иначе пишет генерал о солдатах своей потрёпанной дивизии. Он с прискорбием констатирует, что солдаты «нечестно относятся к своему долгу» и уклоняются от боя. Судя по приказу, генерал сам наблюдал такие факты: «Один солдат; легко ранен. Он сам может добраться до пункта первой помощи. Однако два солдата по собственной инициативе бегут его сопровождать. Как правило, сопровождающие возвращаются на свои места уже после окончания боя. Бывали случаи, когда по этой причине в отдельных ротах в самый разгар боя оставалось не более 30 солдат». Далее генерал ругает своих солдат за то, что они панически боятся огня русских миномётов. Генерал предупреждает, что для борьбы с паникой в каждом взводе выделяется «замыкающий», который будет расстреливать на месте бегущих. В ротах и батальонах генерал ввёл специальные полицейские заградительные отряды, снабжённые пулемётами. Но все эти нововведения генерала не помогли: 13 дивизия после переформирования была вновь разгромлена.</w:t>
      </w:r>
    </w:p>
    <w:p w14:paraId="7BBCCABF" w14:textId="77777777" w:rsidR="0038220C" w:rsidRPr="00640820" w:rsidRDefault="0038220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Немецкие фашисты обеспокоены многочисленными диверсиями на норвежских железных Дорогах. В связи с ростом числа крушений на железнодорожной линии Осло-Эйдсволл, фашистская полиция захватывает заложников из числа жителей городов, расположенных у линии железной дороги. Гестаповцы предупредили, что заложники будут расстреляны, если на дороге произойдёт диверсия. Но немцам не удаётся запугать население Норвегии. Крушения немецких эшелонов не прекращаются.» (14793).</w:t>
      </w:r>
    </w:p>
    <w:p w14:paraId="14BAF2E8" w14:textId="77777777" w:rsidR="0038220C" w:rsidRPr="00640820" w:rsidRDefault="0038220C" w:rsidP="00640820">
      <w:pPr>
        <w:spacing w:after="0" w:line="240" w:lineRule="auto"/>
        <w:jc w:val="both"/>
        <w:rPr>
          <w:rFonts w:ascii="Times New Roman" w:hAnsi="Times New Roman"/>
          <w:color w:val="000000" w:themeColor="text1"/>
          <w:sz w:val="16"/>
          <w:szCs w:val="16"/>
        </w:rPr>
      </w:pPr>
    </w:p>
    <w:p w14:paraId="630568F3" w14:textId="77777777" w:rsidR="0038220C" w:rsidRPr="00640820" w:rsidRDefault="0038220C"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8 октября </w:t>
      </w:r>
      <w:r w:rsidRPr="00640820">
        <w:rPr>
          <w:rFonts w:ascii="Times New Roman" w:hAnsi="Times New Roman"/>
          <w:color w:val="000000" w:themeColor="text1"/>
          <w:sz w:val="16"/>
          <w:szCs w:val="16"/>
        </w:rPr>
        <w:t>в 1941 году вечернее сообщение Совинформбюро:</w:t>
      </w:r>
    </w:p>
    <w:p w14:paraId="619814BB" w14:textId="77777777" w:rsidR="0038220C" w:rsidRPr="00640820" w:rsidRDefault="0038220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8 октября наши войска вели бои с противником на всём фронте, особенно ожесточённые на Вяземском, Брянском и Мелитопольском направлениях. После ожесточённых боёв наши войска оставили г. Орёл.</w:t>
      </w:r>
    </w:p>
    <w:p w14:paraId="22603DB3" w14:textId="77777777" w:rsidR="0038220C" w:rsidRPr="00640820" w:rsidRDefault="0038220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6 октября в воздушных боях сбито 19 самолётов противника. Наши потери — 12 самолётов.</w:t>
      </w:r>
    </w:p>
    <w:p w14:paraId="612BC7DA" w14:textId="77777777" w:rsidR="0038220C" w:rsidRPr="00640820" w:rsidRDefault="0038220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7 октября под Москвой сбито 10 немецких самолётов и, по неполным данным, в течение 8 октября сбито 6 немецких самолётов.</w:t>
      </w:r>
    </w:p>
    <w:p w14:paraId="679EEF81" w14:textId="77777777" w:rsidR="0038220C" w:rsidRPr="00640820" w:rsidRDefault="0038220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подступах к Ленинграду группа нашей штурмовой и бомбардировочной авиации успешно атаковала мотоколонну противника. В итоге этой операции уничтожены 47 немецких автомашин с пехотой и боеприпасами, железнодорожный эшелон с военным снаряжением и 5 точек зенитной артиллерии. В воздушном бою, завязавшемся с вражескими самолётами, сопровождавшими мотоколонну, сбиты два «Мессершмитта-109».</w:t>
      </w:r>
    </w:p>
    <w:p w14:paraId="575704A0" w14:textId="77777777" w:rsidR="0038220C" w:rsidRPr="00640820" w:rsidRDefault="0038220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Юго-Западном направлении фронта в результате боевых действий нашей авиации, противодействовавшей наступлению фашистских войск, противник потерял за один день 81 танк, 180 автомашин с пехотой и боеприпасами, 4 орудия, 4 авто-цистерны с бензином и много мотоциклов.</w:t>
      </w:r>
    </w:p>
    <w:p w14:paraId="40594305" w14:textId="77777777" w:rsidR="0038220C" w:rsidRPr="00640820" w:rsidRDefault="0038220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Противодействуя наступлению противника на одном из участков Западного направления фронта, одна наша пехотная часть отбила атаку немцев с большими для противника потерями. В ожесточённом бою было уничтожено 38 фашистских танков.</w:t>
      </w:r>
    </w:p>
    <w:p w14:paraId="3B6CE8F0" w14:textId="77777777" w:rsidR="0038220C" w:rsidRPr="00640820" w:rsidRDefault="0038220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одном из оккупированных районов на Западном направлении фронта оперирует партизанский отряд под командованием тов. М. Ядро отряда составляют железнодорожники. Недавно разведка донесла командиру отряда, что неподалеку в посёлке находится штаб немецкой части и 80 фашистских солдат. Разбившись на три звена, партизаны ночью окружили посёлок, бесшумно сняли часовых и забросали ручными гранатами помещения штаба и радиотелефонной станции. Немецкий комендант пытался скрыться на автомобиле, но партизаны взорвали машину. Солдаты разбежались, оставив 15 трупов.</w:t>
      </w:r>
    </w:p>
    <w:p w14:paraId="5C311C06" w14:textId="77777777" w:rsidR="0038220C" w:rsidRPr="00640820" w:rsidRDefault="0038220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другой день на лесной дороге партизаны устроили завал и задержали продвижение немецкой танковой колонны. В конце сентября партизаны напали на группу немецких танкистов, остановившихся в лесу из-за неисправности мотора командирской машины. В результате перестрелки убито 10 фашистов.</w:t>
      </w:r>
    </w:p>
    <w:p w14:paraId="630CEE0A" w14:textId="77777777" w:rsidR="0038220C" w:rsidRPr="00640820" w:rsidRDefault="0038220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месяц бойцы отряда тов. М. истребили 90 немецких солдат и офицеров, уничтожили 18 грузовиков, 3 легковые автомашины и 6 мотоциклов, сожгли и разобрали 11 мостов и несколько десятков раз разрушали телефонную связь противника.</w:t>
      </w:r>
    </w:p>
    <w:p w14:paraId="0214EA00" w14:textId="77777777" w:rsidR="0038220C" w:rsidRPr="00640820" w:rsidRDefault="0038220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Немецко-фашистские мерзавцы зверски истребляют население захваченных районов, не щадя ни женщин, ни детей. В городе Луге, Ленинградской области, фашистские звери замучили 13-летнего мальчика Николая Леонтьева. Немцы допытывались у него, где находится его старший брат. Мальчику отрезали уши, отрубили кисть правой руки, но он не отвечал на вопросы палачей. Мужественное поведение советского мальчика привело фашистских извергов в исступление. После нескольких часов пыток гитлеровцы закололи штыками стойкого героя Николая Леонтьева. В Луге замучены и растерзаны десятки жителей.</w:t>
      </w:r>
    </w:p>
    <w:p w14:paraId="7761B8D8" w14:textId="77777777" w:rsidR="0038220C" w:rsidRPr="00640820" w:rsidRDefault="0038220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бывшем доме отдыха Ленсовета в Каменке немцы устроили офицерский притон. Колхозникам артели «Объединение» было предложено выделить в притон 6 девушек. Узнав о том, какая участь их ожидает, все девушки скрылись в лесу. Нагрянувшие в деревню фашисты не нашли ни одной жен-шины. Тогда немцы схватили пять колхозников и расстреляли их, а деревню сожгли.</w:t>
      </w:r>
    </w:p>
    <w:p w14:paraId="7AFD352C" w14:textId="77777777" w:rsidR="0038220C" w:rsidRPr="00640820" w:rsidRDefault="0038220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Самоотверженно трудятся рабочие, колхозники и интеллигенция Ивановской области, выполняя заказы фронта. Коллектив фабрики имени 8 марта дал в третьем квартале сверх плана около миллиона метров ткани. Фабрика № 1 Шуйской объединённой мануфактуры выработала сверх программы больше 540 тысяч метров мануфактуры. Бригада помощника мастера Вичужской фабрики «Красный Профинтерн» тов. Жалдина на месяц раньше срока завершила десятимесячную программу и дала стране дополнительно 28 тысяч метров ткани. На 150 процентов выполнили месячный план крутильщицы Вязниковской фабрики «Парижская Коммуна» т.т. Шахова и Куприянова. Стахановки фабрики Новая Ивановская мануфактура т.т. Кузнецова, Почкина и Михеева обслуживают по 10 станков вместо 6, выполняя план на 115-120 процентов. Банкаброшница фабрики имени Дзержинского тов. Курнаева обслуживает 312 веретён вместо 132, вырабатывая 220 процентов нормы.</w:t>
      </w:r>
    </w:p>
    <w:p w14:paraId="5EEDCFBF" w14:textId="77777777" w:rsidR="0038220C" w:rsidRPr="00640820" w:rsidRDefault="0038220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директорам фабрик и заводов поступают сотни изобретений и рационализаторских предложений. Изобретатели коллектива фабрики имени рабочего Ф. Зиновьева за время войны внесли 48 предложений. Осуществление 35 предложений дало фабрике 295 тысяч рублей экономии. Профессор Ивановского химико-технологического института тов. Постников и ассистент тов. Макаров предложили новый химикат, который значительно ускоряет производственные процессы и улучшает качество продукции. Слесарь одного из заводов области тов. Будряков, усовершенствовав токарный станок, увеличил производительность в 24 раза.</w:t>
      </w:r>
    </w:p>
    <w:p w14:paraId="6447A87A" w14:textId="77777777" w:rsidR="0038220C" w:rsidRPr="00640820" w:rsidRDefault="0038220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Образцы трудового героизма показывают многие тысячи колхозников Ивановской области. Колхозницы Туртынской артели, Суздальского района, т.т. Андреева и Филатова вырабатывают на уборке картофеля по две нормы. Колхозники артели «Путь к свету», Кадыйского района, т.т. Степаненко, Ставская, Дударева и Куликова ежедневно выполняют по три нормы.» (14793).</w:t>
      </w:r>
    </w:p>
    <w:p w14:paraId="2C174536" w14:textId="77777777" w:rsidR="0038220C" w:rsidRPr="00640820" w:rsidRDefault="0038220C" w:rsidP="00640820">
      <w:pPr>
        <w:spacing w:after="0" w:line="240" w:lineRule="auto"/>
        <w:jc w:val="both"/>
        <w:rPr>
          <w:rFonts w:ascii="Times New Roman" w:hAnsi="Times New Roman"/>
          <w:color w:val="000000" w:themeColor="text1"/>
          <w:sz w:val="16"/>
          <w:szCs w:val="16"/>
        </w:rPr>
      </w:pPr>
    </w:p>
    <w:p w14:paraId="4E97D42C" w14:textId="77777777" w:rsidR="000858D5" w:rsidRPr="00640820" w:rsidRDefault="000858D5" w:rsidP="00640820">
      <w:pPr>
        <w:pStyle w:val="7d"/>
        <w:shd w:val="clear" w:color="auto" w:fill="auto"/>
        <w:spacing w:before="0" w:line="240" w:lineRule="auto"/>
        <w:jc w:val="both"/>
        <w:rPr>
          <w:rFonts w:ascii="Times New Roman" w:hAnsi="Times New Roman" w:cs="Times New Roman"/>
          <w:color w:val="0070C0"/>
        </w:rPr>
      </w:pPr>
      <w:r w:rsidRPr="00640820">
        <w:rPr>
          <w:rFonts w:ascii="Times New Roman" w:hAnsi="Times New Roman" w:cs="Times New Roman"/>
          <w:color w:val="0070C0"/>
        </w:rPr>
        <w:t>Налет 8 октября</w:t>
      </w:r>
      <w:r w:rsidRPr="00640820">
        <w:rPr>
          <w:rFonts w:ascii="Times New Roman" w:hAnsi="Times New Roman" w:cs="Times New Roman"/>
          <w:color w:val="0070C0"/>
          <w:lang w:val="ru-RU"/>
        </w:rPr>
        <w:t xml:space="preserve"> 1941</w:t>
      </w:r>
      <w:r w:rsidRPr="00640820">
        <w:rPr>
          <w:rFonts w:ascii="Times New Roman" w:hAnsi="Times New Roman" w:cs="Times New Roman"/>
          <w:color w:val="0070C0"/>
        </w:rPr>
        <w:t>, в котором наряду с МТБ-2 принимали участие и ДБ-3, из</w:t>
      </w:r>
      <w:r w:rsidRPr="00640820">
        <w:rPr>
          <w:rFonts w:ascii="Times New Roman" w:hAnsi="Times New Roman" w:cs="Times New Roman"/>
          <w:color w:val="0070C0"/>
        </w:rPr>
        <w:softHyphen/>
        <w:t>вестен тем, что немцам были нанесены весьма существенные потери. На аэро</w:t>
      </w:r>
      <w:r w:rsidRPr="00640820">
        <w:rPr>
          <w:rFonts w:ascii="Times New Roman" w:hAnsi="Times New Roman" w:cs="Times New Roman"/>
          <w:color w:val="0070C0"/>
        </w:rPr>
        <w:softHyphen/>
        <w:t xml:space="preserve">дромах николаевского аэродромного узла были тяжело повреждены два «юнкерса-88» (разведчик </w:t>
      </w:r>
      <w:r w:rsidRPr="00640820">
        <w:rPr>
          <w:rFonts w:ascii="Times New Roman" w:hAnsi="Times New Roman" w:cs="Times New Roman"/>
          <w:color w:val="0070C0"/>
          <w:lang w:val="en-US"/>
        </w:rPr>
        <w:t>Ju</w:t>
      </w:r>
      <w:r w:rsidRPr="00640820">
        <w:rPr>
          <w:rFonts w:ascii="Times New Roman" w:hAnsi="Times New Roman" w:cs="Times New Roman"/>
          <w:color w:val="0070C0"/>
          <w:lang w:val="ru-RU"/>
        </w:rPr>
        <w:t>-88</w:t>
      </w:r>
      <w:r w:rsidRPr="00640820">
        <w:rPr>
          <w:rFonts w:ascii="Times New Roman" w:hAnsi="Times New Roman" w:cs="Times New Roman"/>
          <w:color w:val="0070C0"/>
          <w:lang w:val="en-US"/>
        </w:rPr>
        <w:t>D</w:t>
      </w:r>
      <w:r w:rsidRPr="00640820">
        <w:rPr>
          <w:rFonts w:ascii="Times New Roman" w:hAnsi="Times New Roman" w:cs="Times New Roman"/>
          <w:color w:val="0070C0"/>
          <w:lang w:val="ru-RU"/>
        </w:rPr>
        <w:t xml:space="preserve"> </w:t>
      </w:r>
      <w:r w:rsidRPr="00640820">
        <w:rPr>
          <w:rFonts w:ascii="Times New Roman" w:hAnsi="Times New Roman" w:cs="Times New Roman"/>
          <w:color w:val="0070C0"/>
        </w:rPr>
        <w:t xml:space="preserve">(зав. номер 1299) и бомбардировщик </w:t>
      </w:r>
      <w:r w:rsidRPr="00640820">
        <w:rPr>
          <w:rFonts w:ascii="Times New Roman" w:hAnsi="Times New Roman" w:cs="Times New Roman"/>
          <w:color w:val="0070C0"/>
          <w:lang w:val="en-US"/>
        </w:rPr>
        <w:t>Ju</w:t>
      </w:r>
      <w:r w:rsidRPr="00640820">
        <w:rPr>
          <w:rFonts w:ascii="Times New Roman" w:hAnsi="Times New Roman" w:cs="Times New Roman"/>
          <w:color w:val="0070C0"/>
          <w:lang w:val="ru-RU"/>
        </w:rPr>
        <w:t>-88</w:t>
      </w:r>
      <w:r w:rsidRPr="00640820">
        <w:rPr>
          <w:rFonts w:ascii="Times New Roman" w:hAnsi="Times New Roman" w:cs="Times New Roman"/>
          <w:color w:val="0070C0"/>
          <w:lang w:val="en-US"/>
        </w:rPr>
        <w:t>A</w:t>
      </w:r>
      <w:r w:rsidRPr="00640820">
        <w:rPr>
          <w:rFonts w:ascii="Times New Roman" w:hAnsi="Times New Roman" w:cs="Times New Roman"/>
          <w:color w:val="0070C0"/>
          <w:lang w:val="ru-RU"/>
        </w:rPr>
        <w:t xml:space="preserve">-4 </w:t>
      </w:r>
      <w:r w:rsidRPr="00640820">
        <w:rPr>
          <w:rFonts w:ascii="Times New Roman" w:hAnsi="Times New Roman" w:cs="Times New Roman"/>
          <w:color w:val="0070C0"/>
        </w:rPr>
        <w:t xml:space="preserve">(зав. номер 5508)), транспортный </w:t>
      </w:r>
      <w:r w:rsidRPr="00640820">
        <w:rPr>
          <w:rFonts w:ascii="Times New Roman" w:hAnsi="Times New Roman" w:cs="Times New Roman"/>
          <w:color w:val="0070C0"/>
          <w:lang w:val="en-US"/>
        </w:rPr>
        <w:t>Ju</w:t>
      </w:r>
      <w:r w:rsidRPr="00640820">
        <w:rPr>
          <w:rFonts w:ascii="Times New Roman" w:hAnsi="Times New Roman" w:cs="Times New Roman"/>
          <w:color w:val="0070C0"/>
          <w:lang w:val="ru-RU"/>
        </w:rPr>
        <w:t xml:space="preserve">-52» </w:t>
      </w:r>
      <w:r w:rsidRPr="00640820">
        <w:rPr>
          <w:rFonts w:ascii="Times New Roman" w:hAnsi="Times New Roman" w:cs="Times New Roman"/>
          <w:color w:val="0070C0"/>
        </w:rPr>
        <w:t>(зав. номер 6593) и полностью сгорел связной «Клемм-35» (зав. номер 2890). Еще семь самолетов разных типов были повре</w:t>
      </w:r>
      <w:r w:rsidRPr="00640820">
        <w:rPr>
          <w:rFonts w:ascii="Times New Roman" w:hAnsi="Times New Roman" w:cs="Times New Roman"/>
          <w:color w:val="0070C0"/>
        </w:rPr>
        <w:softHyphen/>
        <w:t>ждены менее серьезно</w:t>
      </w:r>
      <w:r w:rsidRPr="00640820">
        <w:rPr>
          <w:rFonts w:ascii="Times New Roman" w:hAnsi="Times New Roman" w:cs="Times New Roman"/>
          <w:color w:val="0070C0"/>
          <w:lang w:val="ru-RU"/>
        </w:rPr>
        <w:t xml:space="preserve"> (19852)</w:t>
      </w:r>
      <w:r w:rsidRPr="00640820">
        <w:rPr>
          <w:rFonts w:ascii="Times New Roman" w:hAnsi="Times New Roman" w:cs="Times New Roman"/>
          <w:color w:val="0070C0"/>
        </w:rPr>
        <w:t>.</w:t>
      </w:r>
    </w:p>
    <w:p w14:paraId="31B37959" w14:textId="77777777" w:rsidR="000858D5" w:rsidRPr="00640820" w:rsidRDefault="000858D5" w:rsidP="00640820">
      <w:pPr>
        <w:pStyle w:val="7d"/>
        <w:shd w:val="clear" w:color="auto" w:fill="auto"/>
        <w:spacing w:before="0" w:line="240" w:lineRule="auto"/>
        <w:jc w:val="both"/>
        <w:rPr>
          <w:rFonts w:ascii="Times New Roman" w:hAnsi="Times New Roman" w:cs="Times New Roman"/>
          <w:color w:val="0070C0"/>
        </w:rPr>
      </w:pPr>
    </w:p>
    <w:p w14:paraId="4D430B3F" w14:textId="77777777" w:rsidR="000858D5" w:rsidRPr="00640820" w:rsidRDefault="000858D5" w:rsidP="00640820">
      <w:pPr>
        <w:pStyle w:val="7d"/>
        <w:shd w:val="clear" w:color="auto" w:fill="auto"/>
        <w:spacing w:before="0" w:line="240" w:lineRule="auto"/>
        <w:jc w:val="both"/>
        <w:rPr>
          <w:rFonts w:ascii="Times New Roman" w:hAnsi="Times New Roman" w:cs="Times New Roman"/>
          <w:color w:val="0070C0"/>
        </w:rPr>
      </w:pPr>
      <w:r w:rsidRPr="00640820">
        <w:rPr>
          <w:rFonts w:ascii="Times New Roman" w:hAnsi="Times New Roman" w:cs="Times New Roman"/>
          <w:color w:val="0070C0"/>
          <w:lang w:val="ru-RU"/>
        </w:rPr>
        <w:t>В</w:t>
      </w:r>
      <w:r w:rsidRPr="00640820">
        <w:rPr>
          <w:rFonts w:ascii="Times New Roman" w:hAnsi="Times New Roman" w:cs="Times New Roman"/>
          <w:color w:val="0070C0"/>
        </w:rPr>
        <w:t xml:space="preserve"> ночь с 8 на 9 октября 1941 г. был боевой вылет ГСТ</w:t>
      </w:r>
      <w:r w:rsidRPr="00640820">
        <w:rPr>
          <w:rFonts w:ascii="Times New Roman" w:hAnsi="Times New Roman" w:cs="Times New Roman"/>
          <w:color w:val="0070C0"/>
          <w:lang w:val="ru-RU"/>
        </w:rPr>
        <w:t>.</w:t>
      </w:r>
      <w:r w:rsidRPr="00640820">
        <w:rPr>
          <w:rFonts w:ascii="Times New Roman" w:hAnsi="Times New Roman" w:cs="Times New Roman"/>
          <w:color w:val="0070C0"/>
        </w:rPr>
        <w:t xml:space="preserve"> Аэро</w:t>
      </w:r>
      <w:r w:rsidRPr="00640820">
        <w:rPr>
          <w:rFonts w:ascii="Times New Roman" w:hAnsi="Times New Roman" w:cs="Times New Roman"/>
          <w:color w:val="0070C0"/>
        </w:rPr>
        <w:softHyphen/>
        <w:t>дром Водопой в 23:00 восьмого октября и 00:45 уже следующих суток бомбили два ГСТ (с бортовыми номерами 5 и 8). Они «угостили» неприятеля двумя РРАБ-3, 16 ФАБ-100 и четырьмя ФАБ-50. Высота бомбометания была, правда, очень велика, порядка 3800-4000 м. Поэтому, судя по всему, по аэродрому наши летчики не по</w:t>
      </w:r>
      <w:r w:rsidRPr="00640820">
        <w:rPr>
          <w:rFonts w:ascii="Times New Roman" w:hAnsi="Times New Roman" w:cs="Times New Roman"/>
          <w:color w:val="0070C0"/>
        </w:rPr>
        <w:softHyphen/>
        <w:t>пали, но на этот раз удача все равно была на нашей стороне. В донесении службы снабжения горючим немецкой 11-й поле</w:t>
      </w:r>
      <w:r w:rsidRPr="00640820">
        <w:rPr>
          <w:rFonts w:ascii="Times New Roman" w:hAnsi="Times New Roman" w:cs="Times New Roman"/>
          <w:color w:val="0070C0"/>
        </w:rPr>
        <w:softHyphen/>
        <w:t>вой армии указывается, что восьмого ок</w:t>
      </w:r>
      <w:r w:rsidRPr="00640820">
        <w:rPr>
          <w:rFonts w:ascii="Times New Roman" w:hAnsi="Times New Roman" w:cs="Times New Roman"/>
          <w:color w:val="0070C0"/>
        </w:rPr>
        <w:softHyphen/>
        <w:t>тября в 23:45 советские самолеты бом</w:t>
      </w:r>
      <w:r w:rsidRPr="00640820">
        <w:rPr>
          <w:rFonts w:ascii="Times New Roman" w:hAnsi="Times New Roman" w:cs="Times New Roman"/>
          <w:color w:val="0070C0"/>
        </w:rPr>
        <w:softHyphen/>
        <w:t>били аэродром Водопой. Одна бомба раз</w:t>
      </w:r>
      <w:r w:rsidRPr="00640820">
        <w:rPr>
          <w:rFonts w:ascii="Times New Roman" w:hAnsi="Times New Roman" w:cs="Times New Roman"/>
          <w:color w:val="0070C0"/>
        </w:rPr>
        <w:softHyphen/>
        <w:t>рушила полотно железной дороги, по которой в это время по направлению к Херсону шел состав с горючим. Маши</w:t>
      </w:r>
      <w:r w:rsidRPr="00640820">
        <w:rPr>
          <w:rFonts w:ascii="Times New Roman" w:hAnsi="Times New Roman" w:cs="Times New Roman"/>
          <w:color w:val="0070C0"/>
        </w:rPr>
        <w:softHyphen/>
        <w:t>нист не заметил воронки. От резкого тол</w:t>
      </w:r>
      <w:r w:rsidRPr="00640820">
        <w:rPr>
          <w:rFonts w:ascii="Times New Roman" w:hAnsi="Times New Roman" w:cs="Times New Roman"/>
          <w:color w:val="0070C0"/>
        </w:rPr>
        <w:softHyphen/>
        <w:t>чка разбились несколько бочек с горю</w:t>
      </w:r>
      <w:r w:rsidRPr="00640820">
        <w:rPr>
          <w:rFonts w:ascii="Times New Roman" w:hAnsi="Times New Roman" w:cs="Times New Roman"/>
          <w:color w:val="0070C0"/>
        </w:rPr>
        <w:softHyphen/>
        <w:t>чим, возник пожар, распространившийся на следующие вагоны. Пока удалось рас</w:t>
      </w:r>
      <w:r w:rsidRPr="00640820">
        <w:rPr>
          <w:rFonts w:ascii="Times New Roman" w:hAnsi="Times New Roman" w:cs="Times New Roman"/>
          <w:color w:val="0070C0"/>
        </w:rPr>
        <w:softHyphen/>
        <w:t>цепить состав, сгорело 13 вагонов, в ко</w:t>
      </w:r>
      <w:r w:rsidRPr="00640820">
        <w:rPr>
          <w:rFonts w:ascii="Times New Roman" w:hAnsi="Times New Roman" w:cs="Times New Roman"/>
          <w:color w:val="0070C0"/>
        </w:rPr>
        <w:softHyphen/>
        <w:t>торых находилось 150 т горючего. Погиб один железнодорожник. Движение по ма</w:t>
      </w:r>
      <w:r w:rsidRPr="00640820">
        <w:rPr>
          <w:rFonts w:ascii="Times New Roman" w:hAnsi="Times New Roman" w:cs="Times New Roman"/>
          <w:color w:val="0070C0"/>
        </w:rPr>
        <w:softHyphen/>
        <w:t>гистрали было прервано на 24 часа</w:t>
      </w:r>
      <w:r w:rsidRPr="00640820">
        <w:rPr>
          <w:rFonts w:ascii="Times New Roman" w:hAnsi="Times New Roman" w:cs="Times New Roman"/>
          <w:color w:val="0070C0"/>
          <w:lang w:val="ru-RU"/>
        </w:rPr>
        <w:t xml:space="preserve"> (19852)</w:t>
      </w:r>
      <w:r w:rsidRPr="00640820">
        <w:rPr>
          <w:rFonts w:ascii="Times New Roman" w:hAnsi="Times New Roman" w:cs="Times New Roman"/>
          <w:color w:val="0070C0"/>
        </w:rPr>
        <w:t>.</w:t>
      </w:r>
    </w:p>
    <w:p w14:paraId="20134768" w14:textId="77777777" w:rsidR="000858D5" w:rsidRPr="00640820" w:rsidRDefault="000858D5" w:rsidP="00640820">
      <w:pPr>
        <w:pStyle w:val="7d"/>
        <w:shd w:val="clear" w:color="auto" w:fill="auto"/>
        <w:spacing w:before="0" w:line="240" w:lineRule="auto"/>
        <w:jc w:val="both"/>
        <w:rPr>
          <w:rFonts w:ascii="Times New Roman" w:hAnsi="Times New Roman" w:cs="Times New Roman"/>
          <w:color w:val="0070C0"/>
        </w:rPr>
      </w:pPr>
    </w:p>
    <w:p w14:paraId="1EA71A41" w14:textId="77777777" w:rsidR="000858D5" w:rsidRPr="00640820" w:rsidRDefault="000858D5"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8 октября 1941 г.</w:t>
      </w:r>
    </w:p>
    <w:p w14:paraId="0BA6EF4E" w14:textId="77777777" w:rsidR="000858D5" w:rsidRPr="00640820" w:rsidRDefault="000858D5"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ПРИКАЗ О СФОРМИРОВАНИИ ЖЕНСКИХ АВИАЦИОННЫХ ПОЛКОВ ВВС КРАСНОЙ АРМИИ</w:t>
      </w:r>
    </w:p>
    <w:p w14:paraId="1E3745F3" w14:textId="77777777" w:rsidR="000858D5" w:rsidRPr="00640820" w:rsidRDefault="000858D5"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lastRenderedPageBreak/>
        <w:t>№ 0099</w:t>
      </w:r>
      <w:r w:rsidRPr="00640820">
        <w:rPr>
          <w:rFonts w:ascii="Times New Roman" w:hAnsi="Times New Roman"/>
          <w:color w:val="0070C0"/>
          <w:sz w:val="16"/>
          <w:szCs w:val="16"/>
        </w:rPr>
        <w:tab/>
        <w:t>8 октября 1941 г.</w:t>
      </w:r>
    </w:p>
    <w:p w14:paraId="4983411C" w14:textId="77777777" w:rsidR="000858D5" w:rsidRPr="00640820" w:rsidRDefault="000858D5"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целях использования женских летно-технических кадров приказываю к 1 декабря 1941 г. сформировать и подготовить к боевой работе:</w:t>
      </w:r>
    </w:p>
    <w:p w14:paraId="4B65B41A" w14:textId="77777777" w:rsidR="000858D5" w:rsidRPr="00640820" w:rsidRDefault="000858D5"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 586-й истребительный авиационный полк на самолетах Як-1 по штату №015/174, дислокация г. Энгельс.</w:t>
      </w:r>
    </w:p>
    <w:p w14:paraId="17BB16A0" w14:textId="77777777" w:rsidR="000858D5" w:rsidRPr="00640820" w:rsidRDefault="000858D5"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 587-й авиационный полк ББ на самолетах Су-2 по штату №015/159.</w:t>
      </w:r>
    </w:p>
    <w:p w14:paraId="7F5FAF0B" w14:textId="77777777" w:rsidR="000858D5" w:rsidRPr="00640820" w:rsidRDefault="000858D5"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Формирование полка произвести при 10-м запасном авиаполку — Каменка.</w:t>
      </w:r>
    </w:p>
    <w:p w14:paraId="14CB3EAC" w14:textId="77777777" w:rsidR="000858D5" w:rsidRPr="00640820" w:rsidRDefault="000858D5"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3. 588-й ночной авиационный полк на самолетах У-2 по штату № 015/186,</w:t>
      </w:r>
    </w:p>
    <w:p w14:paraId="543001C2" w14:textId="77777777" w:rsidR="000858D5" w:rsidRPr="00640820" w:rsidRDefault="000858D5"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дислокация — г. Энгельс.</w:t>
      </w:r>
    </w:p>
    <w:p w14:paraId="50C04EEF" w14:textId="77777777" w:rsidR="000858D5" w:rsidRPr="00640820" w:rsidRDefault="000858D5"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4. Командующему ВВС Красной Армии укомплектовать формируемые авиаполки самолетами и летно-техническим составом из числа женщин кадра ВВС КА, ГВФ и Осоавиахима.</w:t>
      </w:r>
    </w:p>
    <w:p w14:paraId="7CA11065" w14:textId="77777777" w:rsidR="000858D5" w:rsidRPr="00640820" w:rsidRDefault="000858D5"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5. Переподготовку личного состава на новой материальной части организовать и проводить:</w:t>
      </w:r>
    </w:p>
    <w:p w14:paraId="49FEF045" w14:textId="77777777" w:rsidR="000858D5" w:rsidRPr="00640820" w:rsidRDefault="000858D5"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летного состава — в пунктах формирования авиаполков;</w:t>
      </w:r>
    </w:p>
    <w:p w14:paraId="54547164" w14:textId="77777777" w:rsidR="000858D5" w:rsidRPr="00640820" w:rsidRDefault="000858D5"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технического состава — при пункте сбора летно-технического состава — г. Москва;</w:t>
      </w:r>
    </w:p>
    <w:p w14:paraId="468ED980" w14:textId="77777777" w:rsidR="000858D5" w:rsidRPr="00640820" w:rsidRDefault="000858D5"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штурманского состава и штабных командиров — при 2-й Ивановской высшей школе штурманов ВВС КА.</w:t>
      </w:r>
    </w:p>
    <w:p w14:paraId="713AEAF9" w14:textId="77777777" w:rsidR="000858D5" w:rsidRPr="00640820" w:rsidRDefault="000858D5"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6. Главному интенданту Красной Армии и начальникам центральных управлений НКО СССР обеспечить формируемые авиаполки всеми видами положенного довольствия.</w:t>
      </w:r>
    </w:p>
    <w:p w14:paraId="7C554CBD" w14:textId="77777777" w:rsidR="000858D5" w:rsidRPr="00640820" w:rsidRDefault="000858D5"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Народный комиссар обороны СССР</w:t>
      </w:r>
    </w:p>
    <w:p w14:paraId="6F6DD948" w14:textId="77777777" w:rsidR="000858D5" w:rsidRPr="00640820" w:rsidRDefault="000858D5"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И. СТАЛИН</w:t>
      </w:r>
    </w:p>
    <w:p w14:paraId="64358B47" w14:textId="77777777" w:rsidR="000858D5" w:rsidRPr="00640820" w:rsidRDefault="000858D5"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ф. 4, оп. 11, д. 62, л. 356—357. Подлинник (21120).</w:t>
      </w:r>
    </w:p>
    <w:p w14:paraId="752D00D3" w14:textId="77777777" w:rsidR="000858D5" w:rsidRPr="00640820" w:rsidRDefault="000858D5" w:rsidP="00640820">
      <w:pPr>
        <w:spacing w:after="0" w:line="240" w:lineRule="auto"/>
        <w:jc w:val="both"/>
        <w:rPr>
          <w:rFonts w:ascii="Times New Roman" w:hAnsi="Times New Roman"/>
          <w:color w:val="0070C0"/>
          <w:sz w:val="16"/>
          <w:szCs w:val="16"/>
        </w:rPr>
      </w:pPr>
    </w:p>
    <w:p w14:paraId="13C6E9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октября 1941 при поддержке И.В.С. создали женскую авиагруппу. 27 мая 1942 она прибыла в армию (271,204).</w:t>
      </w:r>
    </w:p>
    <w:p w14:paraId="51073E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DF92F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октября 1941 вышел приказ НКО N 0099 “О формировании женских авиационных полков ВВС КА”. Предполагалось “в целях использования женских летно-технических кадров сформировать три полка: 586 и, 587 бб и 589 ночной ап. Для и место дислокации - Энгельс, для б. - поселок Каменка. Срок - 1 декабря. Инициировала М.Раскова. Набрали по конкурсу - 450 чел. Сначала называли часть 122 (4618,6).</w:t>
      </w:r>
    </w:p>
    <w:p w14:paraId="7BA3ED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AD6722F" w14:textId="77777777" w:rsidR="0038220C" w:rsidRPr="00640820" w:rsidRDefault="0038220C"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8 октября </w:t>
      </w:r>
      <w:r w:rsidRPr="00640820">
        <w:rPr>
          <w:rFonts w:ascii="Times New Roman" w:hAnsi="Times New Roman"/>
          <w:color w:val="000000" w:themeColor="text1"/>
          <w:sz w:val="16"/>
          <w:szCs w:val="16"/>
        </w:rPr>
        <w:t>в 1941 году подписан приказ о формировании женских авиаполков: 586-го истребительного авиационного полка (Е.В.Прохорова), 587-го бомбардировочного авиационного полка (М.М.Раскова), 588-го ночного бомбардировочного авиационного полка (Е.Д.Бершанская) (14793).</w:t>
      </w:r>
    </w:p>
    <w:p w14:paraId="6FE76E15" w14:textId="77777777" w:rsidR="0038220C" w:rsidRPr="00640820" w:rsidRDefault="0038220C" w:rsidP="00640820">
      <w:pPr>
        <w:spacing w:after="0" w:line="240" w:lineRule="auto"/>
        <w:jc w:val="both"/>
        <w:rPr>
          <w:rFonts w:ascii="Times New Roman" w:hAnsi="Times New Roman"/>
          <w:color w:val="000000" w:themeColor="text1"/>
          <w:sz w:val="16"/>
          <w:szCs w:val="16"/>
        </w:rPr>
      </w:pPr>
    </w:p>
    <w:p w14:paraId="1C7702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октября 1941 г. вышел ПРИКАЗ НКО № 0099 О СФОРМИРОВАНИИ ЖЕНСКИХ АВИАЦИОННЫХ ПОЛКОВ ВВС КРАСНОЙ АРМИИ</w:t>
      </w:r>
    </w:p>
    <w:p w14:paraId="1CB657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целях использования женских летно-технических кадров приказываю к 1 декабря 1941 г. сформировать и подготовить к боевой работе:</w:t>
      </w:r>
    </w:p>
    <w:p w14:paraId="1A3EAA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586-й истребительный авиационный полк на самолетах Як-1 по штату № 015/174, дислокация г. Энгельс.</w:t>
      </w:r>
    </w:p>
    <w:p w14:paraId="7116AF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587-й авиационный полк ББ на самолетах Су-2 по штату №015/159. Формирование полка произвести при 10-м запасном авиаполку — Каменка.</w:t>
      </w:r>
    </w:p>
    <w:p w14:paraId="0E4535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588-й ночной авиационный полк на самолетах У-2 по штату № 015/186, дислокация — г Энгельс.</w:t>
      </w:r>
    </w:p>
    <w:p w14:paraId="1013CC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Командующему ВВС Красной Армии укомплектовать формируемые авиаполки самолетами и летно-техническим составом из числа женщин кадра ВВС КА, ГВФ и Осоавиахима.</w:t>
      </w:r>
    </w:p>
    <w:p w14:paraId="628962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Переподготовку личного состава на новой материальной части организовать и проводить:</w:t>
      </w:r>
    </w:p>
    <w:p w14:paraId="4B91C1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летного состава — в пунктах формирования авиаполков;</w:t>
      </w:r>
    </w:p>
    <w:p w14:paraId="31C46C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технического состава — при пункте сбора летно-технического состава — г. Москва;</w:t>
      </w:r>
    </w:p>
    <w:p w14:paraId="578534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штурманского состава и штабных командиров — при 2-й Ивановской высшей школе штурманов ВВС КА.</w:t>
      </w:r>
    </w:p>
    <w:p w14:paraId="2C4DB6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Главному интенданту Красной Армии и начальникам центральных управлений НКО СССР обеспечить формируемые авиаполки всеми видами положенного довольствия.</w:t>
      </w:r>
    </w:p>
    <w:p w14:paraId="3C5003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 xml:space="preserve">Народный комиссар обороны СССР И. СТАЛИН </w:t>
      </w:r>
      <w:r w:rsidRPr="00640820">
        <w:rPr>
          <w:rFonts w:ascii="Times New Roman" w:hAnsi="Times New Roman"/>
          <w:color w:val="000000" w:themeColor="text1"/>
          <w:sz w:val="16"/>
          <w:szCs w:val="16"/>
        </w:rPr>
        <w:t>(9844).</w:t>
      </w:r>
    </w:p>
    <w:p w14:paraId="64A309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DA624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октября 1941 в 2 часа 30 минут Жуков доложил Сталину о нависшей над с голицей угрозе, о том, что почти все пути на Москву открыты. В эту же ночь в тревожной и опасной обстановке, не исключавшей возможности падения столицы, в ГКО был обсужден и принят предварительный план строительства Подмосковного рубежа и стратегических рубежей в глубоком тылу на Оке, Дону, Волге (10692).</w:t>
      </w:r>
    </w:p>
    <w:p w14:paraId="49D05D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99D64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октября 1941 немцы взяли Орел (2260).</w:t>
      </w:r>
    </w:p>
    <w:p w14:paraId="0624B7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9AEC326" w14:textId="77777777" w:rsidR="0038220C" w:rsidRPr="00640820" w:rsidRDefault="0038220C"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8 октября </w:t>
      </w:r>
      <w:r w:rsidRPr="00640820">
        <w:rPr>
          <w:rFonts w:ascii="Times New Roman" w:hAnsi="Times New Roman"/>
          <w:color w:val="000000" w:themeColor="text1"/>
          <w:sz w:val="16"/>
          <w:szCs w:val="16"/>
        </w:rPr>
        <w:t>в 1941 году немецко-фашистские войска захватили Мариуполь и Козельск (14793).</w:t>
      </w:r>
    </w:p>
    <w:p w14:paraId="50815A2D" w14:textId="77777777" w:rsidR="0038220C" w:rsidRPr="00640820" w:rsidRDefault="0038220C" w:rsidP="00640820">
      <w:pPr>
        <w:spacing w:after="0" w:line="240" w:lineRule="auto"/>
        <w:jc w:val="both"/>
        <w:rPr>
          <w:rFonts w:ascii="Times New Roman" w:hAnsi="Times New Roman"/>
          <w:color w:val="000000" w:themeColor="text1"/>
          <w:sz w:val="16"/>
          <w:szCs w:val="16"/>
        </w:rPr>
      </w:pPr>
    </w:p>
    <w:p w14:paraId="0D6D543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октября 1941, как писал Гудериан, я вылетел на «Шторхе» из Севска в Орел... Генерал фон Гейер доложил мне, что отмечено усиление противника, действующего против 4-й танковой дивизии, и установлено прибытие еще одной пехотной дивизии и танковой бригады. 3-я танковая дивизия продвигалась на север, имея своей задачей занять Волхов, 4-й танковой дивизии на 9 октября была поставлена задача занять Мценск.</w:t>
      </w:r>
    </w:p>
    <w:p w14:paraId="364513C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Особенно неутешительными были полученные нами донесения о действиях русских танков, а главное, об их новой тактике.</w:t>
      </w:r>
    </w:p>
    <w:p w14:paraId="1314A9E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противотанковые средства того времени могли успешно действовать против танков Т-34 только при особо благоприятных условиях. Например, наш танк Т-1У со своей короткоствольной 75-мм пушкой имел возможность уничтожить танк Т-34 только с тыльной стороны, поражая его мотор через жалюзи. Для этого требовалось большое искусство. Русская пехота наступала с фронта, а танки наносили массированные удары по нашим флангам. Они кое-чему" уже научились. Тяжесть боев постепенно оказывала свое влияние на наших офицеров и солдат... Серьезность этого сообщения заставляла задумываться. Поэтому я решил немедленно отправиться в 4-ю танковую дивизию и лично ознакомиться с положением дел. На поле боя командир дивизии показал мне результаты боев 6 и 7 октября, в которых его боевая группа выполняла ответственные задачи. Подбитые с обеих сторон танки еще оставались на своих местах. Потери русских были значительно меньше наших потерь.</w:t>
      </w:r>
    </w:p>
    <w:p w14:paraId="1AC729B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Возвратившись в Орел, я встретил там полковника Эбербаха, который также доложил мне о ходе последних боев; затем я снова встретился с генералом фон Гейером и командиром 4-й танковой дивизии бароном фон Лангерманом. Впервые со времени начала этой напряженной кампании у Эбербаха был усталый вид, причем чувствовалось, что это не физическая усталость, а душевное потрясение. Приводил в смущение тот факт, что последние бои подействовали на наших лучших офицеров».</w:t>
      </w:r>
    </w:p>
    <w:p w14:paraId="6597EB5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Командование 4-й танковой дивизии по итогам боев под Мценском высказывалось еще более категорично:</w:t>
      </w:r>
    </w:p>
    <w:p w14:paraId="102BE8E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наших сражениях 4-я танковая дивизия часто сталкивалась с тяжелыми русскими танками. Вначале они попадались редко и могли быть остановлены сконцентрированным артиллерийским огнем или обойдены. В немногих особенно удачных случаях одиночные тяжелые танки были уничтожены прямым попаданием артиллерии.</w:t>
      </w:r>
    </w:p>
    <w:p w14:paraId="7F92DBA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взятия Орла русские впервые стали применять тяжелые танки массово. В некоторых столкновениях доходило до очень тяжелых танковых боев, потому что русские танки уже больше не давали возможности останавливать себя артиллерией.</w:t>
      </w:r>
    </w:p>
    <w:p w14:paraId="4000970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Впервые в ходе компании на Востоке в этих сражениях было ощутимо абсолютное превосходство русских 26 и 52-тонных танков над нашими Рг.Крш.Ш и IV.</w:t>
      </w:r>
    </w:p>
    <w:p w14:paraId="71AF35A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Русские танки обычно выстраиваются полукругом, уже с дистанции 1000 м открывают огонь по нашим танкам из своих пушек 7,62 см, которые сочетают невероятную пробивную силу и высокую точность.</w:t>
      </w:r>
    </w:p>
    <w:p w14:paraId="69AAD58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танковые пушки 5 см К^К могут пробивать только уязвимые точки в весьма специфических благоприятных положениях на очень малых дистанциях до 50 м. Наши танки подбиваются уже на дистанциях более нескольких сотен метров. Много раз броня наших танков была пробита или Р&amp;Кр&amp;г.Ш и IV теряли свои командирские башенки уже после первого лобового попадания. Это доказывает, что броневая защита недостаточна, схема установки командирских башенок на наших танках несовершенна, а точность и пробивная сила русских танковых пушек 7,62 см высоки.</w:t>
      </w:r>
    </w:p>
    <w:p w14:paraId="59CFB34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дополнение к превосходящей эффективности оружия и более мощной броне 26-тонный танк Кристи (Т-34) быстрее и маневреннее, механизм поворота его башни обладает очевидным превосходством. Широкие гусеницы этого танка позволяют преодолевать броды, которые не могут быть преодолены нашими танками. Удельное давление на грунт несколько лучше, чем у наших танков, и не взирая на больший вес русс кого танка он может проходить те же мосты, что и наши танки.</w:t>
      </w:r>
    </w:p>
    <w:p w14:paraId="101D8CF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Также заслуживает внимания исключительный дизельный двигатель. При движении из Глебова в Минск не было ни одного русского танка, который был бы поврежден из-за механической неисправности. Для сравнения около 20 танков из одного только нашего 35-го танкового полка были оставлены стоящими на том же интервале из-за механических неисправностей. Конечно, следует сознавать, что русские танки были достаточно новыми.</w:t>
      </w:r>
    </w:p>
    <w:p w14:paraId="58B51E2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Специфическое преимущество наших танков связано с лучшей видимостью из них благодаря командирской башенке.</w:t>
      </w:r>
    </w:p>
    <w:p w14:paraId="375333E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Имеющиеся факты и, кроме того, впечатление, что русские знают о техническом превосходстве их бронетанковых сил. должны быть своевременно проработаны, чтобы избежать вреда, наносимого нашим танковым войскам.</w:t>
      </w:r>
    </w:p>
    <w:p w14:paraId="0DFC294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Ранее присущие нашим атакам энергия и высокий боевой дух начнут ослабевать и будут утрачены из-за чувства неполноценности. Экипажи знают, что они могут быть подбиты вражескими танками на большой дистанции, а сами могут оказать лишь минимальное воздействие на вражеские танки, невзирая на наличие специальных боеприпасов применяемых на близком расстоянии.</w:t>
      </w:r>
    </w:p>
    <w:p w14:paraId="1DC826E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Борьба с русскими танками при помощи 8,8-см зенитных орудий или 10-см пушек не может быть достаточна сама по себе. Оба типа орудий весьма громоздки в сравнении с быстрыми танками и в большинстве случаев уже бывают обнаружены, взяты под огонь и уничтожены еще при попытке выйти на огневую позицию. Только в одном из танковых столкновении, имевшем место между Орлом и Мценском, два 8,8-см орудия и 10-см пушка (все использованные тяжелые средства обороны) были расстреляны и подавлены. Кроме того, эти большие как амбарные ворота незащищенные орудия представляют собой слишком крупную и легкую добычу.</w:t>
      </w:r>
    </w:p>
    <w:p w14:paraId="2289B99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Исходя из этого опыта, наши танковые силы опять должны быть улучшены в самое короткое время, чтобы сегодняшние германские солдаты не оказывались перед лицом тяжелых танков с теми же примитивными методами как в 1917 или 1918 гг.</w:t>
      </w:r>
    </w:p>
    <w:p w14:paraId="18A1ED3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Основываясь на том факте, что все уничтоженные танки Кристи были новыми, можно сделать вывод, что русские, сознающие свое преимущество, уже начали массовое производство этих тяжелых танков и, как для противодействия тяжелым русским танкам на рассмотрение выносятся следующие детализированные предложения:</w:t>
      </w:r>
    </w:p>
    <w:p w14:paraId="1716072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разработать наступательные виды вооружения для борьбы с тяжелыми танками:</w:t>
      </w:r>
    </w:p>
    <w:p w14:paraId="431D81D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a. Упомянутые выше модернизации, для ускорения улучшения ситуации немедленно произвести копии русского 26-тонного танка, а также использовать захваченные неповрежденными 26- и 52-тонные танки. Для каждого танкового полка нужна одна рота.</w:t>
      </w:r>
    </w:p>
    <w:p w14:paraId="5E0BF08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b. Установить русскую 76-мм танковую пушку на Рг.Кр1^. IV, даже если потребуется отказаться от дополнительного бронирования, усиливающего защиту командира, и спаренного башенного пулемета.</w:t>
      </w:r>
    </w:p>
    <w:p w14:paraId="0B180EF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c. Создать 10-см самоходное противотанковое орудие. Не менее шести орудий нужны для каждого танкового полка.</w:t>
      </w:r>
    </w:p>
    <w:p w14:paraId="3502E6F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й. Создать новый тип боеприпасов с улучшенной во много раз пробиваемостью.</w:t>
      </w:r>
    </w:p>
    <w:p w14:paraId="4B640F7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 В качестве немедленной чрезвычайной меры до принятия других мер установить на РлКр^.Ш 5-см противотанковую пушку даже если это увеличит весовую нагрузку в лобовой части.</w:t>
      </w:r>
    </w:p>
    <w:p w14:paraId="58B116E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разработать оборонительные средства для применения против тяжелых танков:</w:t>
      </w:r>
    </w:p>
    <w:p w14:paraId="1CC76B6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a. Буксируемые или самоходные 10-см противотанковые орудия. Быстрое введение в действие на поле боя очень важно, с минимально возможной низкой высотой линии огня. Необходимо иметь не менее двух орудий в каждой противотанковой роте.</w:t>
      </w:r>
    </w:p>
    <w:p w14:paraId="296F90E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b. Разработать новый тип улучшенных боеприпасов.</w:t>
      </w:r>
    </w:p>
    <w:p w14:paraId="3816C2E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c. Избавиться от 37-мм ПТО за счет увеличения числа 50-мм ПТО или использования русских 76-мм противотанковых орудий. (37-мм ПТО доказали свою полезность в качестве малой пехотной пушки.)</w:t>
      </w:r>
    </w:p>
    <w:p w14:paraId="5C3F578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й. Создать более мощную мину, которая бы выводила из строя 52-тонный танк. Как пример, четырех германских мин недостаточно для вывода из строя 52-тонного танка.</w:t>
      </w:r>
    </w:p>
    <w:p w14:paraId="050EBB4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Войска знают, что эти предложения не могут быть реализованы немедленно, особенно создание нового типа танка. Но они убеждены, что основываясь на их опыте и предложениях в короткое время должно быть создано адекватное оружие для достижения технического превосходства при уничтожении тяжелых танков» (12217).</w:t>
      </w:r>
    </w:p>
    <w:p w14:paraId="21345536"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6FB5C318"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2B0A5EB0"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7DF603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октября 1941 вышло Постановление ГКО № 740 [О минировании и подготовке к взрыву из строя предприятий Москвы.] (7012, 181).</w:t>
      </w:r>
    </w:p>
    <w:p w14:paraId="5F7B663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0C2677" w14:textId="77777777" w:rsidR="0038220C" w:rsidRPr="00640820" w:rsidRDefault="0038220C"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8 октября </w:t>
      </w:r>
      <w:r w:rsidRPr="00640820">
        <w:rPr>
          <w:rFonts w:ascii="Times New Roman" w:hAnsi="Times New Roman"/>
          <w:color w:val="000000" w:themeColor="text1"/>
          <w:sz w:val="16"/>
          <w:szCs w:val="16"/>
        </w:rPr>
        <w:t>в 1941 году составление списка предприятий Москвы для минирования. Путь к Москве после неудач армий под Брянском и Вязьмой открыт (14793).</w:t>
      </w:r>
    </w:p>
    <w:p w14:paraId="192C73B5" w14:textId="77777777" w:rsidR="0038220C" w:rsidRPr="00640820" w:rsidRDefault="0038220C" w:rsidP="00640820">
      <w:pPr>
        <w:spacing w:after="0" w:line="240" w:lineRule="auto"/>
        <w:jc w:val="both"/>
        <w:rPr>
          <w:rFonts w:ascii="Times New Roman" w:hAnsi="Times New Roman"/>
          <w:color w:val="000000" w:themeColor="text1"/>
          <w:sz w:val="16"/>
          <w:szCs w:val="16"/>
        </w:rPr>
      </w:pPr>
    </w:p>
    <w:p w14:paraId="595F9D60" w14:textId="77777777" w:rsidR="0038220C" w:rsidRPr="00640820" w:rsidRDefault="0038220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октября 1941 был составлен перечень предприятий Москвы для минирования (3481).</w:t>
      </w:r>
    </w:p>
    <w:p w14:paraId="442555AC" w14:textId="77777777" w:rsidR="0038220C" w:rsidRPr="00640820" w:rsidRDefault="0038220C" w:rsidP="00640820">
      <w:pPr>
        <w:autoSpaceDE w:val="0"/>
        <w:autoSpaceDN w:val="0"/>
        <w:adjustRightInd w:val="0"/>
        <w:spacing w:after="0" w:line="240" w:lineRule="auto"/>
        <w:jc w:val="both"/>
        <w:rPr>
          <w:rFonts w:ascii="Times New Roman" w:hAnsi="Times New Roman"/>
          <w:color w:val="000000" w:themeColor="text1"/>
          <w:sz w:val="16"/>
          <w:szCs w:val="16"/>
        </w:rPr>
      </w:pPr>
    </w:p>
    <w:p w14:paraId="6754939B" w14:textId="77777777" w:rsidR="0038220C" w:rsidRPr="00640820" w:rsidRDefault="0038220C"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8 октября </w:t>
      </w:r>
      <w:r w:rsidRPr="00640820">
        <w:rPr>
          <w:rFonts w:ascii="Times New Roman" w:hAnsi="Times New Roman"/>
          <w:color w:val="000000" w:themeColor="text1"/>
          <w:sz w:val="16"/>
          <w:szCs w:val="16"/>
        </w:rPr>
        <w:t>в 1941 году вышло постановление ГКО о минировании и подготовке к выводу из строя предприятий Москвы. На следующий день приказом НКАП началась экстренная эвакуация авиапредприятий из Москвы (14793).</w:t>
      </w:r>
    </w:p>
    <w:p w14:paraId="32AF7F45" w14:textId="77777777" w:rsidR="0038220C" w:rsidRPr="00640820" w:rsidRDefault="0038220C" w:rsidP="00640820">
      <w:pPr>
        <w:spacing w:after="0" w:line="240" w:lineRule="auto"/>
        <w:jc w:val="both"/>
        <w:rPr>
          <w:rFonts w:ascii="Times New Roman" w:hAnsi="Times New Roman"/>
          <w:color w:val="000000" w:themeColor="text1"/>
          <w:sz w:val="16"/>
          <w:szCs w:val="16"/>
        </w:rPr>
      </w:pPr>
    </w:p>
    <w:p w14:paraId="11B24B5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октября 1941 вышло Постановление ГКО № 743 О переселении немцев из Воронежской области. (7012, 195).</w:t>
      </w:r>
    </w:p>
    <w:p w14:paraId="00020BB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878E7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октября 1941 вышло Постановление ГКО № 744 О переселении немцев из Грузинской, Азербайджанской и Армянской ССР. (7012, 196-197).</w:t>
      </w:r>
    </w:p>
    <w:p w14:paraId="1072680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0D4CE7"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694BFF86"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396AE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вышло Постановление ГКО № 751 Об эвакуации завода N18 НКАП. РГАНИР, Фонд ГКО, д. 12, лл. 26 (11012).</w:t>
      </w:r>
    </w:p>
    <w:p w14:paraId="66A09B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A8297A5" w14:textId="77777777" w:rsidR="00690814" w:rsidRPr="00640820" w:rsidRDefault="00690814" w:rsidP="00640820">
      <w:pPr>
        <w:pStyle w:val="47"/>
        <w:shd w:val="clear" w:color="auto" w:fill="auto"/>
        <w:spacing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9 октября 1941 вышло Постановление ГКО № 751 Об эвакуации завода N18 НКАП</w:t>
      </w:r>
    </w:p>
    <w:p w14:paraId="3F005874" w14:textId="77777777" w:rsidR="00690814" w:rsidRPr="00640820" w:rsidRDefault="00690814"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Государственный Комитет Обороны постановляет:</w:t>
      </w:r>
    </w:p>
    <w:p w14:paraId="0B4E26DF" w14:textId="77777777" w:rsidR="00690814" w:rsidRPr="00640820" w:rsidRDefault="00690814" w:rsidP="00640820">
      <w:pPr>
        <w:tabs>
          <w:tab w:val="left" w:pos="1350"/>
        </w:tabs>
        <w:spacing w:after="0" w:line="240" w:lineRule="auto"/>
        <w:jc w:val="both"/>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1. Эвакуировать эавод № 18 в гор.Куйбышев на площадь эавода № 295,</w:t>
      </w:r>
    </w:p>
    <w:p w14:paraId="5035EC7D" w14:textId="77777777" w:rsidR="00690814" w:rsidRPr="00640820" w:rsidRDefault="00690814" w:rsidP="00640820">
      <w:pPr>
        <w:tabs>
          <w:tab w:val="left" w:pos="1343"/>
        </w:tabs>
        <w:spacing w:after="0" w:line="240" w:lineRule="auto"/>
        <w:jc w:val="both"/>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2. Обязать НКАП и директора завода № 18 тов.Шенкмана эва куацию начать немедленно и провести ее с таким расчетом, чтобы обеспечить выпуск самолетов Ил-2 в Воронеже до 17 октября с.г по 14 самолетов в сутки и с 17 октября с.г. по 1 декабря с.г. по 7 самолетов в сутки.</w:t>
      </w:r>
    </w:p>
    <w:p w14:paraId="3FBE4915" w14:textId="77777777" w:rsidR="00690814" w:rsidRPr="00640820" w:rsidRDefault="00690814"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Выпуск самолетов Ил-2 в Куйбышеве начать с 25 ноября с«г и довести его к 1 декабря с.г. до 7 самолетов в сутки, а к 1 января 1942 года не менее 14 самолетов в сутки.</w:t>
      </w:r>
    </w:p>
    <w:p w14:paraId="02068406" w14:textId="77777777" w:rsidR="00690814" w:rsidRPr="00640820" w:rsidRDefault="00690814" w:rsidP="00640820">
      <w:pPr>
        <w:tabs>
          <w:tab w:val="left" w:pos="1345"/>
        </w:tabs>
        <w:spacing w:after="0" w:line="240" w:lineRule="auto"/>
        <w:jc w:val="both"/>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3. Обязать НКПС тов.Кагановича Л.М.:</w:t>
      </w:r>
    </w:p>
    <w:p w14:paraId="4F03820A" w14:textId="77777777" w:rsidR="00690814" w:rsidRPr="00640820" w:rsidRDefault="00690814" w:rsidP="00640820">
      <w:pPr>
        <w:tabs>
          <w:tab w:val="left" w:pos="1365"/>
        </w:tabs>
        <w:spacing w:after="0" w:line="240" w:lineRule="auto"/>
        <w:jc w:val="both"/>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а) выделить заводу № 18 для перевозки эвакуируемого обо</w:t>
      </w:r>
      <w:r w:rsidRPr="00640820">
        <w:rPr>
          <w:rFonts w:ascii="Times New Roman" w:eastAsia="Times New Roman" w:hAnsi="Times New Roman"/>
          <w:color w:val="000000" w:themeColor="text1"/>
          <w:sz w:val="16"/>
          <w:szCs w:val="16"/>
        </w:rPr>
        <w:softHyphen/>
        <w:t>рудования, имущества и людского состава - 2550 вагонов, с еже суточной подачей по 300 вагонов;</w:t>
      </w:r>
    </w:p>
    <w:p w14:paraId="54A0ABC0" w14:textId="77777777" w:rsidR="00690814" w:rsidRPr="00640820" w:rsidRDefault="00690814" w:rsidP="00640820">
      <w:pPr>
        <w:tabs>
          <w:tab w:val="left" w:pos="1365"/>
        </w:tabs>
        <w:spacing w:after="0" w:line="240" w:lineRule="auto"/>
        <w:jc w:val="both"/>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б) обеспечить немедленную отправку эшелонов с эвакуируе</w:t>
      </w:r>
      <w:r w:rsidRPr="00640820">
        <w:rPr>
          <w:rFonts w:ascii="Times New Roman" w:eastAsia="Times New Roman" w:hAnsi="Times New Roman"/>
          <w:color w:val="000000" w:themeColor="text1"/>
          <w:sz w:val="16"/>
          <w:szCs w:val="16"/>
        </w:rPr>
        <w:softHyphen/>
        <w:t>мым оборудованием эавода К? 18 и ускоренное их продвижение до места назначения, установив для этого специальное диспетчер</w:t>
      </w:r>
      <w:r w:rsidRPr="00640820">
        <w:rPr>
          <w:rFonts w:ascii="Times New Roman" w:eastAsia="Times New Roman" w:hAnsi="Times New Roman"/>
          <w:color w:val="000000" w:themeColor="text1"/>
          <w:sz w:val="16"/>
          <w:szCs w:val="16"/>
        </w:rPr>
        <w:softHyphen/>
        <w:t>ское наблюдение.</w:t>
      </w:r>
    </w:p>
    <w:p w14:paraId="32E9C7BB" w14:textId="77777777" w:rsidR="00690814" w:rsidRPr="00640820" w:rsidRDefault="00690814" w:rsidP="00640820">
      <w:pPr>
        <w:tabs>
          <w:tab w:val="left" w:pos="1373"/>
        </w:tabs>
        <w:spacing w:after="0" w:line="240" w:lineRule="auto"/>
        <w:jc w:val="both"/>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4. Утвердить в качестве ответственного за демонтаж, по</w:t>
      </w:r>
      <w:r w:rsidRPr="00640820">
        <w:rPr>
          <w:rFonts w:ascii="Times New Roman" w:eastAsia="Times New Roman" w:hAnsi="Times New Roman"/>
          <w:color w:val="000000" w:themeColor="text1"/>
          <w:sz w:val="16"/>
          <w:szCs w:val="16"/>
        </w:rPr>
        <w:softHyphen/>
        <w:t>грузку и отправку эшелонов по заводу № 18 главного инженера Десятого Главного Управления тов.Журавлева и директора эавода тов.Шенкмана, а за прием, разгрузку и монтаж главного инжене</w:t>
      </w:r>
      <w:r w:rsidRPr="00640820">
        <w:rPr>
          <w:rFonts w:ascii="Times New Roman" w:eastAsia="Times New Roman" w:hAnsi="Times New Roman"/>
          <w:color w:val="000000" w:themeColor="text1"/>
          <w:sz w:val="16"/>
          <w:szCs w:val="16"/>
        </w:rPr>
        <w:softHyphen/>
        <w:t>ра завода № 18 тов.Вострова.</w:t>
      </w:r>
    </w:p>
    <w:p w14:paraId="4DA028C0" w14:textId="77777777" w:rsidR="00690814" w:rsidRPr="00640820" w:rsidRDefault="00690814" w:rsidP="00640820">
      <w:pPr>
        <w:tabs>
          <w:tab w:val="left" w:pos="1350"/>
        </w:tabs>
        <w:spacing w:after="0" w:line="240" w:lineRule="auto"/>
        <w:jc w:val="both"/>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5. Установить, что переброска всех рабочих, ИТР и служа</w:t>
      </w:r>
      <w:r w:rsidRPr="00640820">
        <w:rPr>
          <w:rFonts w:ascii="Times New Roman" w:eastAsia="Times New Roman" w:hAnsi="Times New Roman"/>
          <w:color w:val="000000" w:themeColor="text1"/>
          <w:sz w:val="16"/>
          <w:szCs w:val="16"/>
        </w:rPr>
        <w:softHyphen/>
        <w:t>щих эвакуируемого эавода № 18 является обязательной в порядке мобилизации.</w:t>
      </w:r>
    </w:p>
    <w:p w14:paraId="14482319" w14:textId="77777777" w:rsidR="00690814" w:rsidRPr="00640820" w:rsidRDefault="00690814" w:rsidP="00640820">
      <w:pPr>
        <w:tabs>
          <w:tab w:val="left" w:pos="1358"/>
        </w:tabs>
        <w:spacing w:after="0" w:line="240" w:lineRule="auto"/>
        <w:jc w:val="both"/>
        <w:rPr>
          <w:rFonts w:ascii="Times New Roman" w:hAnsi="Times New Roman"/>
          <w:color w:val="000000" w:themeColor="text1"/>
          <w:sz w:val="16"/>
          <w:szCs w:val="16"/>
        </w:rPr>
      </w:pPr>
      <w:r w:rsidRPr="00640820">
        <w:rPr>
          <w:rFonts w:ascii="Times New Roman" w:eastAsia="Times New Roman" w:hAnsi="Times New Roman"/>
          <w:color w:val="000000" w:themeColor="text1"/>
          <w:sz w:val="16"/>
          <w:szCs w:val="16"/>
        </w:rPr>
        <w:t>6. Обязать Наркомторг СССР тов.Любимова обеспечить снаб</w:t>
      </w:r>
      <w:r w:rsidRPr="00640820">
        <w:rPr>
          <w:rFonts w:ascii="Times New Roman" w:eastAsia="Times New Roman" w:hAnsi="Times New Roman"/>
          <w:color w:val="000000" w:themeColor="text1"/>
          <w:sz w:val="16"/>
          <w:szCs w:val="16"/>
        </w:rPr>
        <w:softHyphen/>
        <w:t xml:space="preserve">жение продуктами питания, всех рабочих эавода № 18 и членов их семей на время следования до нового пункта назначения, а также организовать закрытую торговлю для завода № 18 в </w:t>
      </w:r>
      <w:r w:rsidRPr="00640820">
        <w:rPr>
          <w:rFonts w:ascii="Times New Roman" w:eastAsia="Times New Roman" w:hAnsi="Times New Roman"/>
          <w:color w:val="000000" w:themeColor="text1"/>
          <w:sz w:val="16"/>
          <w:szCs w:val="16"/>
          <w:lang w:eastAsia="ru-RU"/>
        </w:rPr>
        <w:t>г«Куйбышеве (19280).</w:t>
      </w:r>
    </w:p>
    <w:p w14:paraId="2E77254A" w14:textId="77777777" w:rsidR="0073440B" w:rsidRPr="00640820" w:rsidRDefault="0073440B" w:rsidP="00640820">
      <w:pPr>
        <w:autoSpaceDE w:val="0"/>
        <w:autoSpaceDN w:val="0"/>
        <w:adjustRightInd w:val="0"/>
        <w:spacing w:after="0" w:line="240" w:lineRule="auto"/>
        <w:jc w:val="both"/>
        <w:rPr>
          <w:rFonts w:ascii="Times New Roman" w:hAnsi="Times New Roman"/>
          <w:color w:val="000000" w:themeColor="text1"/>
          <w:sz w:val="16"/>
          <w:szCs w:val="16"/>
        </w:rPr>
      </w:pPr>
    </w:p>
    <w:p w14:paraId="2BDE4BFF" w14:textId="77777777" w:rsidR="000B5266" w:rsidRPr="00640820" w:rsidRDefault="000B5266" w:rsidP="00640820">
      <w:pPr>
        <w:shd w:val="clear" w:color="auto" w:fill="FFFFFF"/>
        <w:spacing w:after="0" w:line="240" w:lineRule="auto"/>
        <w:jc w:val="both"/>
        <w:rPr>
          <w:rFonts w:ascii="Times New Roman" w:hAnsi="Times New Roman"/>
          <w:color w:val="000000" w:themeColor="text1"/>
          <w:sz w:val="16"/>
          <w:szCs w:val="16"/>
        </w:rPr>
      </w:pPr>
      <w:r w:rsidRPr="00640820">
        <w:rPr>
          <w:rStyle w:val="a7"/>
          <w:rFonts w:ascii="Times New Roman" w:hAnsi="Times New Roman"/>
          <w:b w:val="0"/>
          <w:color w:val="000000" w:themeColor="text1"/>
          <w:sz w:val="16"/>
          <w:szCs w:val="16"/>
        </w:rPr>
        <w:t>9 октября 1941 г. Из приказа об эвакуации заводов НКАП</w:t>
      </w:r>
    </w:p>
    <w:p w14:paraId="0A162D63" w14:textId="77777777" w:rsidR="000B5266" w:rsidRPr="00640820" w:rsidRDefault="000B5266" w:rsidP="00640820">
      <w:pPr>
        <w:pStyle w:val="ae"/>
        <w:shd w:val="clear" w:color="auto" w:fill="FFFFFF"/>
        <w:spacing w:before="0" w:after="0"/>
        <w:jc w:val="both"/>
        <w:rPr>
          <w:color w:val="000000" w:themeColor="text1"/>
          <w:sz w:val="16"/>
          <w:szCs w:val="16"/>
        </w:rPr>
      </w:pPr>
      <w:r w:rsidRPr="00640820">
        <w:rPr>
          <w:color w:val="000000" w:themeColor="text1"/>
          <w:sz w:val="16"/>
          <w:szCs w:val="16"/>
        </w:rPr>
        <w:t>… Во исполнение Постановления Государственного комитета Обороны от 08.10.1941 г. приказываю: директору завода № 1 им. Сталина т. Третьякову приступить к немедленной эвакуации завода № 1 в г. Куйбышев на площади завода № 122. В первую очередь эвакуировать производство самолетов. Установить, что переброска с эвакуированными предприятиями всех рабочих и ИТР является обязательной в порядке мобилизации.</w:t>
      </w:r>
    </w:p>
    <w:p w14:paraId="0FD7E7D7" w14:textId="77777777" w:rsidR="000B5266" w:rsidRPr="00640820" w:rsidRDefault="000B5266" w:rsidP="00640820">
      <w:pPr>
        <w:pStyle w:val="ae"/>
        <w:shd w:val="clear" w:color="auto" w:fill="FFFFFF"/>
        <w:spacing w:before="0" w:after="0"/>
        <w:jc w:val="both"/>
        <w:rPr>
          <w:color w:val="000000" w:themeColor="text1"/>
          <w:sz w:val="16"/>
          <w:szCs w:val="16"/>
        </w:rPr>
      </w:pPr>
      <w:r w:rsidRPr="00640820">
        <w:rPr>
          <w:color w:val="000000" w:themeColor="text1"/>
          <w:sz w:val="16"/>
          <w:szCs w:val="16"/>
        </w:rPr>
        <w:t>Народный Комиссар авиационной промышленности</w:t>
      </w:r>
    </w:p>
    <w:p w14:paraId="68E5D169" w14:textId="77777777" w:rsidR="000B5266" w:rsidRPr="00640820" w:rsidRDefault="000B5266" w:rsidP="00640820">
      <w:pPr>
        <w:pStyle w:val="ae"/>
        <w:shd w:val="clear" w:color="auto" w:fill="FFFFFF"/>
        <w:spacing w:before="0" w:after="0"/>
        <w:jc w:val="both"/>
        <w:rPr>
          <w:color w:val="000000" w:themeColor="text1"/>
          <w:sz w:val="16"/>
          <w:szCs w:val="16"/>
        </w:rPr>
      </w:pPr>
      <w:r w:rsidRPr="00640820">
        <w:rPr>
          <w:color w:val="000000" w:themeColor="text1"/>
          <w:sz w:val="16"/>
          <w:szCs w:val="16"/>
        </w:rPr>
        <w:t>А. Шахурин (19827).</w:t>
      </w:r>
    </w:p>
    <w:p w14:paraId="539F8CB9" w14:textId="77777777" w:rsidR="000B5266" w:rsidRPr="00640820" w:rsidRDefault="000B5266" w:rsidP="00640820">
      <w:pPr>
        <w:pStyle w:val="ae"/>
        <w:shd w:val="clear" w:color="auto" w:fill="FFFFFF"/>
        <w:spacing w:before="0" w:after="0"/>
        <w:jc w:val="both"/>
        <w:rPr>
          <w:color w:val="000000" w:themeColor="text1"/>
          <w:sz w:val="16"/>
          <w:szCs w:val="16"/>
        </w:rPr>
      </w:pPr>
    </w:p>
    <w:p w14:paraId="2AE67E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Нач. ГУЗ и ТС Жаров и Военком Пекин писали НКАП А.И.Ш. письмо N 198381с о том, что все типы германских бомбардировщиков снабжены антиобледенителями, основанными на использовании выхлопных газов. На отдельных экз. жидкостных обледенителей конструкции НИИ ГВФ на ДБ-3Ф и ПС-84 выявлены недостатки. В НИИ ВВС на СБ был испытан тепловой антиобледенитель и рекомендован для ТБ-7, Ер-2 и 103. Просили поручить заводам реализовать (1635,22).</w:t>
      </w:r>
    </w:p>
    <w:p w14:paraId="678C36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49EBAD0" w14:textId="77777777" w:rsidR="000858D5" w:rsidRPr="00640820" w:rsidRDefault="000858D5" w:rsidP="00640820">
      <w:pPr>
        <w:spacing w:after="0" w:line="240" w:lineRule="auto"/>
        <w:jc w:val="both"/>
        <w:rPr>
          <w:rFonts w:ascii="Times New Roman" w:hAnsi="Times New Roman"/>
          <w:color w:val="0070C0"/>
          <w:sz w:val="16"/>
          <w:szCs w:val="16"/>
          <w:lang w:eastAsia="ru-RU" w:bidi="ru-RU"/>
        </w:rPr>
      </w:pPr>
      <w:r w:rsidRPr="00640820">
        <w:rPr>
          <w:rFonts w:ascii="Times New Roman" w:hAnsi="Times New Roman"/>
          <w:color w:val="0070C0"/>
          <w:sz w:val="16"/>
          <w:szCs w:val="16"/>
        </w:rPr>
        <w:lastRenderedPageBreak/>
        <w:t>9 октября 1941 г. была начата отправка завода № 22 и его конструкторских служб в Казань на территорию завода № 124, который выпускал еще и тяжелые бомбардировщики ТБ-7, а первый свой Пе-2 собрал к 1 мая — еще до войны (22827).</w:t>
      </w:r>
    </w:p>
    <w:p w14:paraId="5871736F" w14:textId="77777777" w:rsidR="000858D5" w:rsidRPr="00640820" w:rsidRDefault="000858D5" w:rsidP="00640820">
      <w:pPr>
        <w:spacing w:after="0" w:line="240" w:lineRule="auto"/>
        <w:jc w:val="both"/>
        <w:rPr>
          <w:rFonts w:ascii="Times New Roman" w:hAnsi="Times New Roman"/>
          <w:color w:val="0070C0"/>
          <w:sz w:val="16"/>
          <w:szCs w:val="16"/>
          <w:lang w:eastAsia="ru-RU" w:bidi="ru-RU"/>
        </w:rPr>
      </w:pPr>
    </w:p>
    <w:p w14:paraId="091464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и 9 октября 1941 Нач. ГУ ВВС КА Шишкин и п/п Военкома Галичева был утвержден Отчет по контрольным испытаниям ЛаГГ-3 М-105П 7 серии 21 завода N 3132715 с винтом ВИШ-61П со ШВАК (150) БС (200) и 2хШКАС (1300). Вл Чигарев, Ви Таракановский, ви Рабкин (2567,73).</w:t>
      </w:r>
    </w:p>
    <w:p w14:paraId="6E6F00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36F42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вышел приказ НКАП N 1054/219 о назначении экипажа для проведения летных испытаний в составе л-и М.П.Васякина, ш Н.М.Панченко и ви от завода Е.К.Стомана (1835,18).</w:t>
      </w:r>
    </w:p>
    <w:p w14:paraId="4E4926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76780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вышел приказ НКАП N 1064с в исполнение постановления ГКО N 738с от 7 октября 1941 по организации производства учебно-тренировочных планеров:</w:t>
      </w:r>
    </w:p>
    <w:p w14:paraId="08A976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Организовать производство учебно-тренировочных 2-х местных планеров типа УС-6 на заводе 482, Тюменских ремонтных мастерских и Голицынских планерных мастерских с выпуском в 4 кв.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211"/>
        <w:gridCol w:w="5245"/>
      </w:tblGrid>
      <w:tr w:rsidR="00643896" w:rsidRPr="00640820" w14:paraId="17CD8105" w14:textId="77777777" w:rsidTr="000D3BCB">
        <w:tc>
          <w:tcPr>
            <w:tcW w:w="5211" w:type="dxa"/>
            <w:tcBorders>
              <w:top w:val="single" w:sz="12" w:space="0" w:color="auto"/>
            </w:tcBorders>
          </w:tcPr>
          <w:p w14:paraId="6838BF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заводу 482</w:t>
            </w:r>
          </w:p>
        </w:tc>
        <w:tc>
          <w:tcPr>
            <w:tcW w:w="5245" w:type="dxa"/>
            <w:tcBorders>
              <w:top w:val="single" w:sz="12" w:space="0" w:color="auto"/>
            </w:tcBorders>
          </w:tcPr>
          <w:p w14:paraId="64186A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w:t>
            </w:r>
          </w:p>
        </w:tc>
      </w:tr>
      <w:tr w:rsidR="00643896" w:rsidRPr="00640820" w14:paraId="59B968BD" w14:textId="77777777" w:rsidTr="000D3BCB">
        <w:tc>
          <w:tcPr>
            <w:tcW w:w="5211" w:type="dxa"/>
          </w:tcPr>
          <w:p w14:paraId="41DB62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Тюменским мастерским</w:t>
            </w:r>
          </w:p>
        </w:tc>
        <w:tc>
          <w:tcPr>
            <w:tcW w:w="5245" w:type="dxa"/>
          </w:tcPr>
          <w:p w14:paraId="185040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w:t>
            </w:r>
          </w:p>
        </w:tc>
      </w:tr>
      <w:tr w:rsidR="00643896" w:rsidRPr="00640820" w14:paraId="5168922C" w14:textId="77777777" w:rsidTr="000D3BCB">
        <w:tc>
          <w:tcPr>
            <w:tcW w:w="5211" w:type="dxa"/>
          </w:tcPr>
          <w:p w14:paraId="38F3F5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Голицынским мастерским</w:t>
            </w:r>
          </w:p>
        </w:tc>
        <w:tc>
          <w:tcPr>
            <w:tcW w:w="5245" w:type="dxa"/>
          </w:tcPr>
          <w:p w14:paraId="021742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80</w:t>
            </w:r>
          </w:p>
        </w:tc>
      </w:tr>
      <w:tr w:rsidR="00643896" w:rsidRPr="00640820" w14:paraId="0D9AA7C7" w14:textId="77777777" w:rsidTr="000D3BCB">
        <w:tc>
          <w:tcPr>
            <w:tcW w:w="5211" w:type="dxa"/>
          </w:tcPr>
          <w:p w14:paraId="33BC74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Создать мощности по выпуску УТП УС-6 в 1942</w:t>
            </w:r>
          </w:p>
        </w:tc>
        <w:tc>
          <w:tcPr>
            <w:tcW w:w="5245" w:type="dxa"/>
          </w:tcPr>
          <w:p w14:paraId="5FC7C3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523AEFC" w14:textId="77777777" w:rsidTr="000D3BCB">
        <w:tc>
          <w:tcPr>
            <w:tcW w:w="5211" w:type="dxa"/>
          </w:tcPr>
          <w:p w14:paraId="012326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заводу 482</w:t>
            </w:r>
          </w:p>
        </w:tc>
        <w:tc>
          <w:tcPr>
            <w:tcW w:w="5245" w:type="dxa"/>
          </w:tcPr>
          <w:p w14:paraId="3C9758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w:t>
            </w:r>
          </w:p>
        </w:tc>
      </w:tr>
      <w:tr w:rsidR="00643896" w:rsidRPr="00640820" w14:paraId="01019102" w14:textId="77777777" w:rsidTr="000D3BCB">
        <w:tc>
          <w:tcPr>
            <w:tcW w:w="5211" w:type="dxa"/>
          </w:tcPr>
          <w:p w14:paraId="14FCC8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Тюменским мастерским</w:t>
            </w:r>
          </w:p>
        </w:tc>
        <w:tc>
          <w:tcPr>
            <w:tcW w:w="5245" w:type="dxa"/>
          </w:tcPr>
          <w:p w14:paraId="409722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w:t>
            </w:r>
          </w:p>
        </w:tc>
      </w:tr>
      <w:tr w:rsidR="00643896" w:rsidRPr="00640820" w14:paraId="5B073331" w14:textId="77777777" w:rsidTr="000D3BCB">
        <w:tc>
          <w:tcPr>
            <w:tcW w:w="5211" w:type="dxa"/>
            <w:tcBorders>
              <w:bottom w:val="single" w:sz="12" w:space="0" w:color="auto"/>
            </w:tcBorders>
          </w:tcPr>
          <w:p w14:paraId="3424B6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Голицынским мастерским</w:t>
            </w:r>
          </w:p>
        </w:tc>
        <w:tc>
          <w:tcPr>
            <w:tcW w:w="5245" w:type="dxa"/>
            <w:tcBorders>
              <w:bottom w:val="single" w:sz="12" w:space="0" w:color="auto"/>
            </w:tcBorders>
          </w:tcPr>
          <w:p w14:paraId="7F6B86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600 (1513,9)</w:t>
            </w:r>
          </w:p>
        </w:tc>
      </w:tr>
    </w:tbl>
    <w:p w14:paraId="3E43C1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382E43D" w14:textId="77777777" w:rsidR="008C4B70" w:rsidRPr="00640820" w:rsidRDefault="008C4B7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9 октября 1941 г.</w:t>
      </w:r>
    </w:p>
    <w:p w14:paraId="6F7AAB09" w14:textId="77777777" w:rsidR="008C4B70" w:rsidRPr="00640820" w:rsidRDefault="008C4B7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ПРИКАЗ ОБ ОРГАНИЗАЦИИ ПРИЕМА, СБОРКИ И ИЗУЧЕНИЯ ИНОСТРАННЫХ САМОЛЕТОВ27</w:t>
      </w:r>
    </w:p>
    <w:p w14:paraId="50005EEC" w14:textId="77777777" w:rsidR="008C4B70" w:rsidRPr="00640820" w:rsidRDefault="008C4B7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0398</w:t>
      </w:r>
      <w:r w:rsidRPr="00640820">
        <w:rPr>
          <w:rFonts w:ascii="Times New Roman" w:hAnsi="Times New Roman"/>
          <w:color w:val="0070C0"/>
          <w:sz w:val="16"/>
          <w:szCs w:val="16"/>
        </w:rPr>
        <w:tab/>
        <w:t>9 октября 1941 г.</w:t>
      </w:r>
    </w:p>
    <w:p w14:paraId="394657E1" w14:textId="77777777" w:rsidR="008C4B70" w:rsidRPr="00640820" w:rsidRDefault="008C4B7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целях быстрого изучения и внедрения в эксплуатацию иностранных самолетов приказываю:</w:t>
      </w:r>
    </w:p>
    <w:p w14:paraId="5AA62BE7" w14:textId="77777777" w:rsidR="008C4B70" w:rsidRPr="00640820" w:rsidRDefault="008C4B7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 Командующему ВВС Красной Армии организовать прием и сборку иностранных самолетов в 22 запасном авиационном полку г. Кинешма и Вологодском учебном центре ВВС КА с переводом его на штат №015/177 и переименованием в 27-й запасный авиационный полк. Дислокация г. Кадников.</w:t>
      </w:r>
    </w:p>
    <w:p w14:paraId="33EF1C9A" w14:textId="77777777" w:rsidR="008C4B70" w:rsidRPr="00640820" w:rsidRDefault="008C4B7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этих же запасных авиаполках проводить переучивание летно-технического состава и формирование боевых авиаполков на иностранных самолетах.</w:t>
      </w:r>
    </w:p>
    <w:p w14:paraId="7729180F" w14:textId="77777777" w:rsidR="008C4B70" w:rsidRPr="00640820" w:rsidRDefault="008C4B7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 Начальнику военных сообщений Красной Армии по заявкам УВВС КА предоставлять подвижной железнодорожный состав для транспортировки самолетов  от пунктов выгрузки транспортов в запасные авиаполки и для переброски личного состава.</w:t>
      </w:r>
    </w:p>
    <w:p w14:paraId="7E8CE8AA" w14:textId="77777777" w:rsidR="008C4B70" w:rsidRPr="00640820" w:rsidRDefault="008C4B7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3. Командующему ВВС Красной Армии укомплектовать 22-й и 27-й запасные авиационные полки полностью положенным летно-техническим составом, спецавиаимуществом и спецавтотранспортом.</w:t>
      </w:r>
    </w:p>
    <w:p w14:paraId="7EC6AD47" w14:textId="77777777" w:rsidR="008C4B70" w:rsidRPr="00640820" w:rsidRDefault="008C4B7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4. Начальнику Главного управления автобронетанковых войск КА обеспечить запасные авиационные полки положенным автотранспортом.</w:t>
      </w:r>
    </w:p>
    <w:p w14:paraId="26F26FCF" w14:textId="77777777" w:rsidR="008C4B70" w:rsidRPr="00640820" w:rsidRDefault="008C4B7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5. Главному интенданту Красной Армии и начальникам центральных управлений НКО обеспечить запасные авиационные полки всеми положенными видами довольствия.</w:t>
      </w:r>
    </w:p>
    <w:p w14:paraId="3DB82B25" w14:textId="77777777" w:rsidR="008C4B70" w:rsidRPr="00640820" w:rsidRDefault="008C4B7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6. Укомплектование запасных авиационных полков закончить к 15 октября 1941 г.</w:t>
      </w:r>
    </w:p>
    <w:p w14:paraId="5D5C0733" w14:textId="77777777" w:rsidR="008C4B70" w:rsidRPr="00640820" w:rsidRDefault="008C4B7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Народный комиссар обороны СССР</w:t>
      </w:r>
    </w:p>
    <w:p w14:paraId="2E8D2AC9" w14:textId="77777777" w:rsidR="008C4B70" w:rsidRPr="00640820" w:rsidRDefault="008C4B7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И. СТАЛИН</w:t>
      </w:r>
    </w:p>
    <w:p w14:paraId="78AF3323" w14:textId="77777777" w:rsidR="008C4B70" w:rsidRPr="00640820" w:rsidRDefault="008C4B7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ф. 4, оп. 11, д. 66, л. 164—165. Подлинник (21121).</w:t>
      </w:r>
    </w:p>
    <w:p w14:paraId="7449C8E9" w14:textId="77777777" w:rsidR="008C4B70" w:rsidRPr="00640820" w:rsidRDefault="008C4B70" w:rsidP="00640820">
      <w:pPr>
        <w:spacing w:after="0" w:line="240" w:lineRule="auto"/>
        <w:jc w:val="both"/>
        <w:rPr>
          <w:rFonts w:ascii="Times New Roman" w:hAnsi="Times New Roman"/>
          <w:color w:val="0070C0"/>
          <w:sz w:val="16"/>
          <w:szCs w:val="16"/>
        </w:rPr>
      </w:pPr>
    </w:p>
    <w:p w14:paraId="4873AD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вышел приказ НКАП N 1053 "Об эвакуации заводов НКАП" в исполнение постановления КО от 8 октября 1941. Директорам заводов приказано приступить к немедленной эвакуации - 1 - в Куйбышев на 122 и объединиться, 31 - в Тбилиси на 448, 301 - в Новосибирск на 153 и объединить и 207 на 135 в Молотов, 22 в Казань на 124 и объединить, 458 в Баку на 446, 24 в Куйбышев на 337 и объединить с ним и 29, 16 в Казань на 27, 154 в Ташкент на площади Полиграфкомбината, 28 в Павлово на Оке на 467 (891,7).</w:t>
      </w:r>
    </w:p>
    <w:p w14:paraId="18C8E4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исполнение постановления ГКО от 8 октября 1941 приказываю:</w:t>
      </w:r>
    </w:p>
    <w:p w14:paraId="6DE2CF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Ио нач. ПГУ т. Шиц и дир. З-да № 1 им. Сталина т. Третьякову, № 31 т. Агаджанову, № 301 т. Воронину, № 207 т. Климовицкому приступить к немедленной эвакуации:</w:t>
      </w:r>
    </w:p>
    <w:p w14:paraId="31505A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Завода № 1 - в г. Куйбышев на площадку з-да № 122, объединитв его с з-дом 31. Эвакуацию провести в 2 очереди</w:t>
      </w:r>
    </w:p>
    <w:p w14:paraId="72A6BD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Завода № 31 - в г. Тбилиси, разместив на площадке з-да № 448. Эвакуацию начать немедленно и закончить в 10 дней</w:t>
      </w:r>
    </w:p>
    <w:p w14:paraId="01B943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Завода № 301 - в г. Новосибирск на площадку з-да № 153 и объединить с заводом № 153. Эвакуацию начать немедленно и закончить в 10 дней</w:t>
      </w:r>
    </w:p>
    <w:p w14:paraId="3B571B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Завод № 207 в г. Молотов на площадку з-да № 135. Эвакуацию начать немедленно и закончить в 10 дней</w:t>
      </w:r>
    </w:p>
    <w:p w14:paraId="17C1A2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p w14:paraId="7A81A9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22 в Казань на 124 и объединить</w:t>
      </w:r>
    </w:p>
    <w:p w14:paraId="5B5E2A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458 в Баку на 446</w:t>
      </w:r>
    </w:p>
    <w:p w14:paraId="46903D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p w14:paraId="269F8C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24 в Куйбышев на 337 и объединить с ним</w:t>
      </w:r>
    </w:p>
    <w:p w14:paraId="51E8AE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16 в Казань на 27</w:t>
      </w:r>
    </w:p>
    <w:p w14:paraId="6669D0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154 в Ташкент на площади Полиграфкомбината</w:t>
      </w:r>
    </w:p>
    <w:p w14:paraId="0473D6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28 в Павлово на Оке на 467</w:t>
      </w:r>
    </w:p>
    <w:p w14:paraId="6AEEFA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З-д № 33 в г. Молотов на площадку з-да № 339 (891,7).</w:t>
      </w:r>
    </w:p>
    <w:p w14:paraId="6D1AD1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8D733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началась эвакуация завода 240 в Казань (2391,10).</w:t>
      </w:r>
    </w:p>
    <w:p w14:paraId="32D4A1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24AEB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завод 51 Н.Н.П. приступил к демонтажу оборудования и погрузке эшелонов для эвакуации в Новосибирск в б. гараж Облавтотранса. Эвакуация шла с начала октября 1941 до конца января 1942 (2349,23).</w:t>
      </w:r>
    </w:p>
    <w:p w14:paraId="2F2801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CD24D69" w14:textId="77777777" w:rsidR="009249DA" w:rsidRPr="00640820" w:rsidRDefault="009249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в связи с началом войны и приказом НКАП об эвакуации на заводе № 51 начался демонтаж оборудования. Установка мото</w:t>
      </w:r>
      <w:r w:rsidRPr="00640820">
        <w:rPr>
          <w:rFonts w:ascii="Times New Roman" w:hAnsi="Times New Roman"/>
          <w:color w:val="000000" w:themeColor="text1"/>
          <w:sz w:val="16"/>
          <w:szCs w:val="16"/>
        </w:rPr>
        <w:softHyphen/>
        <w:t>ра, доработка первого экземпляра ИТП (М-1) и до</w:t>
      </w:r>
      <w:r w:rsidRPr="00640820">
        <w:rPr>
          <w:rFonts w:ascii="Times New Roman" w:hAnsi="Times New Roman"/>
          <w:color w:val="000000" w:themeColor="text1"/>
          <w:sz w:val="16"/>
          <w:szCs w:val="16"/>
        </w:rPr>
        <w:softHyphen/>
        <w:t>стройка второго ИТП (М-2) велись уже в Новоси</w:t>
      </w:r>
      <w:r w:rsidRPr="00640820">
        <w:rPr>
          <w:rFonts w:ascii="Times New Roman" w:hAnsi="Times New Roman"/>
          <w:color w:val="000000" w:themeColor="text1"/>
          <w:sz w:val="16"/>
          <w:szCs w:val="16"/>
        </w:rPr>
        <w:softHyphen/>
        <w:t>бирске</w:t>
      </w:r>
    </w:p>
    <w:p w14:paraId="1AF06E2B" w14:textId="77777777" w:rsidR="009249DA" w:rsidRPr="00640820" w:rsidRDefault="009249DA" w:rsidP="00640820">
      <w:pPr>
        <w:spacing w:after="0" w:line="240" w:lineRule="auto"/>
        <w:jc w:val="both"/>
        <w:rPr>
          <w:rFonts w:ascii="Times New Roman" w:eastAsia="Times New Roman" w:hAnsi="Times New Roman"/>
          <w:color w:val="000000" w:themeColor="text1"/>
          <w:sz w:val="16"/>
          <w:szCs w:val="16"/>
          <w:lang w:eastAsia="ru-RU"/>
        </w:rPr>
      </w:pPr>
    </w:p>
    <w:p w14:paraId="14BF23DE" w14:textId="77777777" w:rsidR="009249DA" w:rsidRPr="00640820" w:rsidRDefault="009249DA"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9 октября 1941 началась погрузка первого эшелона Завода №51 и ОКБ Поликарпова, которые направлялись в Новосибирск. На место он добрался 2 ноября, когда там уже была настоящая зима. Туда же шли ОКБ и завод №115 Яковлева, ЦАГИ, ЛИИ, часть серийного производства ленинградского авиазавода №23, авиазавод №301 из Химок и несколько агрегатных предприятий, например КБ моторного оборудования №296. Город оказался не в состоянии разместить всех новоприбывших с комфортом: Поликарпову достались здание городского цирка под ОКБ, автобаза под производство и аэроклубовский аэродром в качестве летно-испытательной станции.</w:t>
      </w:r>
    </w:p>
    <w:p w14:paraId="03CFB0A0" w14:textId="77777777" w:rsidR="009249DA" w:rsidRPr="00640820" w:rsidRDefault="009249DA"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Часть самолетов ОКБ решили перегнать в Новосибирск своим ходом, заодно проведя замеры дальности, и 2 ноября такое указание пришло в отношении И-185 М-71 №6202. Но пролетев менее 200 км, летчик Попельнушенко был вынужден садиться на фюзеляж у Шатуры из-за отказа М-71. Эвакуировать И-185 возможности не было, и он пролежал в снегу до января 1942 г., пока не был вывезен в Москву. Ремонт поручили заводу №482, но тот с незнакомым изделием ничего не мог сделать и 12 мая И-185 передали московскому филиалу завода №51, который вернул его в строй лишь 18 марта 1943 г.</w:t>
      </w:r>
    </w:p>
    <w:p w14:paraId="51B7ADB6" w14:textId="77777777" w:rsidR="009249DA" w:rsidRPr="00640820" w:rsidRDefault="009249DA" w:rsidP="00640820">
      <w:pPr>
        <w:spacing w:after="0" w:line="240" w:lineRule="auto"/>
        <w:jc w:val="both"/>
        <w:rPr>
          <w:rFonts w:ascii="Times New Roman" w:eastAsia="Times New Roman" w:hAnsi="Times New Roman"/>
          <w:color w:val="000000" w:themeColor="text1"/>
          <w:sz w:val="16"/>
          <w:szCs w:val="16"/>
          <w:lang w:eastAsia="ru-RU"/>
        </w:rPr>
      </w:pPr>
    </w:p>
    <w:p w14:paraId="0E8FF2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г. по приказу НКАП № 1053сс принято решение о эвакуации завода № 32 в г. Киров на площадку строящегося завода № 315 2ГУ НКАП. Эвакуация прошла в два этапа, в результате образован объединенный завод № 32 НКАП. В 11.1941 г. завод уже развернул производство на новом месте. По приказу № 1073с от 20.10.1941 г. на площадке эвакуированного завода в Москве организованы Ремонтные мастерские по установкам вооружения при Ремотделе НКАП. Далее- это Московский филиал завода № 32 (директор- М.В. Дворкин). А уже с 12.1941 г. начало восстанавливаться производство и образован новый завод по агрегатам вооружения № 43 НКАП. Из г. Кирова для формирования нового завода переданы часть оборудования и часть коллектива (10776).</w:t>
      </w:r>
    </w:p>
    <w:p w14:paraId="4362EB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4E8FB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года вышел приказ НКАП за № 1053сс, в соответствии с которым на базе новостроящегося завода № 337, в состав которого приказом НКАП за № 726сс от 18 июля 1941 года и № 782сс от 1 августа 1941 года влились заводы системы НКАП № 452 из Днепропетровска и № 459 из Могилева со всеми материально-техническими средствами и кадрами, был основан завод № 24. Кроме того, совместным приказом НКАП и НКСП за № 904сс/285сс от 25 августа 1941 года в состав завода № 337 влился завод системы НКСП № 181 из Ленинграда.</w:t>
      </w:r>
    </w:p>
    <w:p w14:paraId="38F9CF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Технический проект завода, в период октябрь-ноябрь 1941 года прокорректирован на крупно-серийный выпуск авиационных моторов типа АМ35-А с последующими модификациями.</w:t>
      </w:r>
    </w:p>
    <w:p w14:paraId="62A425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расположен северо-восточнее Куйбышева, вблизи ст. Безымянка, в северо-восточной части района “Пятилетка”. Площадка завода граничит с северо-запада с заводом НКСП им. Куйбышева, с северо-востока с Безымянской ТЭЦ и с юго-востока с Кабельным заводом.</w:t>
      </w:r>
    </w:p>
    <w:p w14:paraId="4E3DED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Расстояние от завода до центра Куйбышева – 29 км. Ближайшая ж/д станция Безымянка на расстоянии от завода 2,5 км (9480).</w:t>
      </w:r>
    </w:p>
    <w:p w14:paraId="38CCDB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60DD0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года вышел приказ НКАП за № 1058сс во исполнение постановления ГКО за № 711сс от 8 октября 1941 года, согласно которым завод № 154 должен был эвакуироваться в Ташкент на площадку Узполиграфкомбината (9502).</w:t>
      </w:r>
    </w:p>
    <w:p w14:paraId="7B1073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11BDD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9 октября по 5 декабря 1941 года была произведена эвакуация комбината № 150. Винтовое производство было перебазировано на ст. Безымянка (близ Куйбышева), металлургическое на ст. УАЗ Южно-Уральской ж/д (Каменск). После эвакуации из Ступино, винтовое производство было организовано в самостоятельный завод № 35 НКАП на ст. Безымянка. В Каменске оборудование металлургического производства из-за отсутствия производственных площадей смонтировано не было и во время нахождения в эвакуации не работало (9504).</w:t>
      </w:r>
    </w:p>
    <w:p w14:paraId="650673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39621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года на основании приказа НКАП за № 1053сс завод № 33 был эвакуирован в Пермь и размещен на площадях строящегося завода-дублера № 339</w:t>
      </w:r>
    </w:p>
    <w:p w14:paraId="719969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 Журбенко</w:t>
      </w:r>
    </w:p>
    <w:p w14:paraId="257C36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Пермь, п/я 3</w:t>
      </w:r>
    </w:p>
    <w:p w14:paraId="293888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Производственный профиль- завод топливных авиационных агрегатов (9823).</w:t>
      </w:r>
    </w:p>
    <w:p w14:paraId="78DBD9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52382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года приказом НКАП за № 1053сс был основан завод № 24 в Куйбышеве на базе новостроящегося завода № 337, в состав которого приказами НКАП за № 726сс от 18 июля 1941 года и № 782сс от 1 августа 1941 года влились эвакуированные заводы системы НКАП: завод № 452 из Днепропетровска и завод № 459 из Могилева БССР со всеми материально-техническими средствами и кадрами. Кроме того, совместным приказом НКАП и НКПС за № 904сс/285сс от 25 августа 1941 года в состав завода № 337 влился завод № 181 системы НКПС из Ленинграда. За объединенными заводами было закреплено наименование завод № 24 им. М.В. Фрунзе. 25 декабря 1941 года началось испытание первого мотора.</w:t>
      </w:r>
    </w:p>
    <w:p w14:paraId="5E5D9E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период с 1942 по 1944 гг. заводом выпускались следующие 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2268"/>
        <w:gridCol w:w="2198"/>
        <w:gridCol w:w="2196"/>
      </w:tblGrid>
      <w:tr w:rsidR="00643896" w:rsidRPr="00640820" w14:paraId="25586284" w14:textId="77777777" w:rsidTr="000D3BCB">
        <w:tc>
          <w:tcPr>
            <w:tcW w:w="2235" w:type="dxa"/>
          </w:tcPr>
          <w:p w14:paraId="488EFA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Объекты</w:t>
            </w:r>
          </w:p>
        </w:tc>
        <w:tc>
          <w:tcPr>
            <w:tcW w:w="2268" w:type="dxa"/>
          </w:tcPr>
          <w:p w14:paraId="301F0E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1942 год</w:t>
            </w:r>
          </w:p>
        </w:tc>
        <w:tc>
          <w:tcPr>
            <w:tcW w:w="2198" w:type="dxa"/>
          </w:tcPr>
          <w:p w14:paraId="32885C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1943 год</w:t>
            </w:r>
          </w:p>
        </w:tc>
        <w:tc>
          <w:tcPr>
            <w:tcW w:w="2196" w:type="dxa"/>
          </w:tcPr>
          <w:p w14:paraId="3457BF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1944 год</w:t>
            </w:r>
          </w:p>
        </w:tc>
      </w:tr>
      <w:tr w:rsidR="00643896" w:rsidRPr="00640820" w14:paraId="14676DC0" w14:textId="77777777" w:rsidTr="000D3BCB">
        <w:tc>
          <w:tcPr>
            <w:tcW w:w="2235" w:type="dxa"/>
          </w:tcPr>
          <w:p w14:paraId="4AC81D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АМ-35А</w:t>
            </w:r>
          </w:p>
        </w:tc>
        <w:tc>
          <w:tcPr>
            <w:tcW w:w="2268" w:type="dxa"/>
          </w:tcPr>
          <w:p w14:paraId="7A15E1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173</w:t>
            </w:r>
          </w:p>
        </w:tc>
        <w:tc>
          <w:tcPr>
            <w:tcW w:w="2198" w:type="dxa"/>
          </w:tcPr>
          <w:p w14:paraId="346C9A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202</w:t>
            </w:r>
          </w:p>
        </w:tc>
        <w:tc>
          <w:tcPr>
            <w:tcW w:w="2196" w:type="dxa"/>
          </w:tcPr>
          <w:p w14:paraId="457E2B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0723ECFD" w14:textId="77777777" w:rsidTr="000D3BCB">
        <w:tc>
          <w:tcPr>
            <w:tcW w:w="2235" w:type="dxa"/>
          </w:tcPr>
          <w:p w14:paraId="5EEA2C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АМ-38</w:t>
            </w:r>
          </w:p>
        </w:tc>
        <w:tc>
          <w:tcPr>
            <w:tcW w:w="2268" w:type="dxa"/>
          </w:tcPr>
          <w:p w14:paraId="58A6E0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7832</w:t>
            </w:r>
          </w:p>
        </w:tc>
        <w:tc>
          <w:tcPr>
            <w:tcW w:w="2198" w:type="dxa"/>
          </w:tcPr>
          <w:p w14:paraId="14F5F8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2196" w:type="dxa"/>
          </w:tcPr>
          <w:p w14:paraId="3B56AC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E946E8A" w14:textId="77777777" w:rsidTr="000D3BCB">
        <w:tc>
          <w:tcPr>
            <w:tcW w:w="2235" w:type="dxa"/>
          </w:tcPr>
          <w:p w14:paraId="084754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АМ38Ф</w:t>
            </w:r>
          </w:p>
        </w:tc>
        <w:tc>
          <w:tcPr>
            <w:tcW w:w="2268" w:type="dxa"/>
          </w:tcPr>
          <w:p w14:paraId="338225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377</w:t>
            </w:r>
          </w:p>
        </w:tc>
        <w:tc>
          <w:tcPr>
            <w:tcW w:w="2198" w:type="dxa"/>
          </w:tcPr>
          <w:p w14:paraId="22D3EF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10584</w:t>
            </w:r>
          </w:p>
        </w:tc>
        <w:tc>
          <w:tcPr>
            <w:tcW w:w="2196" w:type="dxa"/>
          </w:tcPr>
          <w:p w14:paraId="379FF5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10330</w:t>
            </w:r>
          </w:p>
        </w:tc>
      </w:tr>
      <w:tr w:rsidR="00643896" w:rsidRPr="00640820" w14:paraId="67B9D71D" w14:textId="77777777" w:rsidTr="000D3BCB">
        <w:tc>
          <w:tcPr>
            <w:tcW w:w="2235" w:type="dxa"/>
          </w:tcPr>
          <w:p w14:paraId="6F616C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ГАМ-34ВС</w:t>
            </w:r>
          </w:p>
        </w:tc>
        <w:tc>
          <w:tcPr>
            <w:tcW w:w="2268" w:type="dxa"/>
          </w:tcPr>
          <w:p w14:paraId="079568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w:t>
            </w:r>
          </w:p>
        </w:tc>
        <w:tc>
          <w:tcPr>
            <w:tcW w:w="2198" w:type="dxa"/>
          </w:tcPr>
          <w:p w14:paraId="09E527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96" w:type="dxa"/>
          </w:tcPr>
          <w:p w14:paraId="372A2A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17DF9EB" w14:textId="77777777" w:rsidTr="000D3BCB">
        <w:tc>
          <w:tcPr>
            <w:tcW w:w="2235" w:type="dxa"/>
          </w:tcPr>
          <w:p w14:paraId="5F7E54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АМ-42</w:t>
            </w:r>
          </w:p>
        </w:tc>
        <w:tc>
          <w:tcPr>
            <w:tcW w:w="2268" w:type="dxa"/>
          </w:tcPr>
          <w:p w14:paraId="0C6B02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2198" w:type="dxa"/>
          </w:tcPr>
          <w:p w14:paraId="0039FD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w:t>
            </w:r>
          </w:p>
        </w:tc>
        <w:tc>
          <w:tcPr>
            <w:tcW w:w="2196" w:type="dxa"/>
          </w:tcPr>
          <w:p w14:paraId="4BBFA0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501</w:t>
            </w:r>
          </w:p>
        </w:tc>
      </w:tr>
    </w:tbl>
    <w:p w14:paraId="28E967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1945 года по 1949 год заводом производился выпуск мотора АМ-42 с дальнейшим его совершенствованием, повышения ресурса и надежности в эксплуатации.</w:t>
      </w:r>
    </w:p>
    <w:p w14:paraId="1D454B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Куйбышев, Кировский район, п/я 32</w:t>
      </w:r>
    </w:p>
    <w:p w14:paraId="066FAF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Производственный профиль – авиадвигателестроение. В мае 1949 года Правительство приняло решение об организации на заводе производства реактивных двигателей ВК-1 конструкции Климова.</w:t>
      </w:r>
    </w:p>
    <w:p w14:paraId="05AA78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Госиспытание двигателя ВК-1 было сдано в январе 1950 года. В 1951 и 1952 гг. завод выпускал двигатели ВК-1 и АМ-42 (9755).</w:t>
      </w:r>
    </w:p>
    <w:p w14:paraId="77E6B9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96F46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г. приказом НКАП № 1053сс в соответствии с Пост. ГКО № 741с от 8.10.1941 г. завод № 24 ЗГУ НКАП (Завод № 24 им. М.В. Фрунзе ВСНХ, НКТП, НКОП, НКАП, Товарищество 1-го Рижского трансмиссионного, чугунолитейного и механического заводов «Мотор», Завод № 4 ВСНХ, Государственный авиазавод № 4 (ГАЗ-4) «Мотор» им. М.В. Фрунзе ВСНХ, Завод им. М.В. Фрунзе, Куйбышевское НПО им. М.В. Фрунзе, Самарское МПО им. М.В. Фрунзе, ОАО «Моторостроитель» ФКА / г. Рига;  г. Москва Мейеровский (Мейерский) пр-д, 14, ст. Лефортово Московско-Курской ж/д «ГАЗ четвертый» (-1925-27 г.-); ул. Ткацкая (1927 г.-);  г. Куйбышев ст. Безымянка/ /443009  г. Самара ш. Заводское, 29 тел. 55-16-12/ /Московское представительство:  г. Москва ул. Госпитальный Вал, 5 к. 17/) из Москвы эвакуирован в  г. Куйбышев на площадку строящегося завода № 337 НКАП. Здесь тем же приказом образован единый завод № 24 НКАП, объединивший заводы № 24 НКАП и № 337 НКАП. Вскоре в состав завода также влиты заводы № 281 НКАП, № 452 НКАП и № 459 НКАП.</w:t>
      </w:r>
    </w:p>
    <w:p w14:paraId="6CFBC5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постановлению ГКО № 1832 от 30.05.1942 г. 200 чел. ИГР были переведены с завода на завод № 45 НКАП.</w:t>
      </w:r>
    </w:p>
    <w:p w14:paraId="11CBB4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25.09.1942 г. вышло постановление ГКО № 2347 о постройке и испытании на заводе моторов АМ-38Ф и АМ- 42. 23.07.1944 г. - постановление ГКО № 6246 о производстве моторов АМ-42 на заводе.</w:t>
      </w:r>
    </w:p>
    <w:p w14:paraId="4EDDE9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02.1943 г. завод № 24 имел филиал - завод «Стальконструкция».</w:t>
      </w:r>
    </w:p>
    <w:p w14:paraId="32669D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1073с от 20.10.1941 г. на старой площадке в Москве образованы Моторные ремонтные мастерские при Ремотделе НКАП. Далее по приказу № 1184с от 23.12.1941 г. на их базе началось формирование нового завода № 337 НКАП в системе ЗГУ. В 02.1942 г. было принято решение о ликвидации завода № 337 и образовании на этой площадке завода № 45 НКАП.</w:t>
      </w:r>
    </w:p>
    <w:p w14:paraId="25A6A5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СМ СССР № 713-342 от 26.06.1957 г. передан в ведение СНХ РСФСР.</w:t>
      </w:r>
    </w:p>
    <w:p w14:paraId="0515AD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1958 г. на заводе создан Приволжский филиал № 2 ОКБ-456 (руководитель- Ю.Д. Соловьев) для сопровождения серии РД-107 и РД-108. Действовал в 1990-е  г.</w:t>
      </w:r>
    </w:p>
    <w:p w14:paraId="2BA245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08.1961 г. введен в эксплуатацию комплекс для испытаний ЖРД.</w:t>
      </w:r>
    </w:p>
    <w:p w14:paraId="0B4122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1970 г. создан первый конвертированный авиационный ГТД для привода нагнетателя для газоперекачки.</w:t>
      </w:r>
    </w:p>
    <w:p w14:paraId="5CD09E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1977 г.- Куйбышевское МПО им. М.В. Фрунзе, с 1994 г.- АО «Моторостроитель».</w:t>
      </w:r>
      <w:r w:rsidRPr="00640820">
        <w:rPr>
          <w:rFonts w:ascii="Times New Roman" w:hAnsi="Times New Roman"/>
          <w:color w:val="000000" w:themeColor="text1"/>
          <w:sz w:val="16"/>
          <w:szCs w:val="16"/>
          <w:vertAlign w:val="superscript"/>
        </w:rPr>
        <w:t>49</w:t>
      </w:r>
      <w:r w:rsidRPr="00640820">
        <w:rPr>
          <w:rFonts w:ascii="Times New Roman" w:hAnsi="Times New Roman"/>
          <w:color w:val="000000" w:themeColor="text1"/>
          <w:sz w:val="16"/>
          <w:szCs w:val="16"/>
        </w:rPr>
        <w:t xml:space="preserve"> В 03.1997 г. вошло в финансово-промышленную группу «Двигатели НК».</w:t>
      </w:r>
      <w:r w:rsidRPr="00640820">
        <w:rPr>
          <w:rFonts w:ascii="Times New Roman" w:hAnsi="Times New Roman"/>
          <w:color w:val="000000" w:themeColor="text1"/>
          <w:sz w:val="16"/>
          <w:szCs w:val="16"/>
          <w:vertAlign w:val="superscript"/>
        </w:rPr>
        <w:t>50</w:t>
      </w:r>
      <w:r w:rsidRPr="00640820">
        <w:rPr>
          <w:rFonts w:ascii="Times New Roman" w:hAnsi="Times New Roman"/>
          <w:color w:val="000000" w:themeColor="text1"/>
          <w:sz w:val="16"/>
          <w:szCs w:val="16"/>
        </w:rPr>
        <w:t xml:space="preserve"> По решению правительства № 22-р от 9.01.2004 г. и Указу Президента РФ № 1009 от 4.08.2004 г. вошло в число стратегических оборонных предприятий. В 2007 г.- в ведении ФКА. В 2009 г. предприятие являлось банкротом, на имущество наложен арест.</w:t>
      </w:r>
    </w:p>
    <w:p w14:paraId="4A57EE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 ОАО входили (2002 г.) 6 предприятий на правах филиалов: «Моторостроитель», три механосборочных завода, металлургический и инструментальный заводы. Имелся филиал - Винтайский машиностроительный завод.</w:t>
      </w:r>
    </w:p>
    <w:p w14:paraId="2A772E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(2002 г.): участие в создании и подготовке производства НК-93; (2005 г.): подготовка к выпуску ЖРД 14Д21, 14Д22 для РН «Союз-ФГ».</w:t>
      </w:r>
    </w:p>
    <w:p w14:paraId="393C19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(1925 г.)- 307 ед., (1926 г.)- 473 ед.</w:t>
      </w:r>
    </w:p>
    <w:p w14:paraId="51B8CA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территории (1925 г.)- 33 тыс.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производственная (1925 г.)- 6,8 тыс.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вспомогательная (1925 г.)- 2,3 тыс.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394688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(10.1919 г.)- 177 чел., (1.10.1925 г.)- 618 чел., (12.1926 г.)- 610 чел., (17.03.1927 г.)- 694 чел., (2002 г.)- около 10 тыс. чел.</w:t>
      </w:r>
    </w:p>
    <w:p w14:paraId="61FDFF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(1910 г.-)- Т.Ф. Калеп, (04.1925 г.)- П. Г. Кринкин, (-06.1926-03.1927 г.)- М.С. Мансырев, (03-10.1927 г.- )-  Г.Н. Королев, (1930 г.)- И.И. Побережский, (-06-9.12.1937 г.)- Н.Э. Марьямов (репрессирован), (9.12.1937- 13.01.1939 г.)- И.Т. Борисов (снят), (-02.1940 г.)- Д.М. Соколов, (02-12.1940 г.-)- В.М. Дубов, (1941-50 г.)- М.С. Жезлов, (1950-59 г.)- П.Д. Лаврентьев. Гендиректор (1961-82 г.)- Л.С. Чеченя, (1987-2006 г.-)- И.Л. Шитарев.</w:t>
      </w:r>
    </w:p>
    <w:p w14:paraId="684DE9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1-й зам. гендиректора (2002 г.)- А.П. Анненков. Зам. директора (06.1925 г.)- </w:t>
      </w:r>
      <w:r w:rsidRPr="00640820">
        <w:rPr>
          <w:rFonts w:ascii="Times New Roman" w:hAnsi="Times New Roman"/>
          <w:color w:val="000000" w:themeColor="text1"/>
          <w:sz w:val="16"/>
          <w:szCs w:val="16"/>
          <w:lang w:val="en-US"/>
        </w:rPr>
        <w:t>P</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Викман, (-06.1926-03.1927</w:t>
      </w:r>
      <w:r w:rsidRPr="00640820">
        <w:rPr>
          <w:rFonts w:ascii="Times New Roman" w:hAnsi="Times New Roman"/>
          <w:color w:val="000000" w:themeColor="text1"/>
          <w:sz w:val="16"/>
          <w:szCs w:val="16"/>
          <w:lang w:val="en-US"/>
        </w:rPr>
        <w:t>r</w:t>
      </w:r>
      <w:r w:rsidRPr="00640820">
        <w:rPr>
          <w:rFonts w:ascii="Times New Roman" w:hAnsi="Times New Roman"/>
          <w:color w:val="000000" w:themeColor="text1"/>
          <w:sz w:val="16"/>
          <w:szCs w:val="16"/>
        </w:rPr>
        <w:t>.-&gt; С.А. Бжезинский, (01.1928 г.)- Насеконик, (-1937 г.)- Гельман (репрессирован), (-1.01.1939 г.)- П.А. Борисов (снят), (28.12.1938 г.-)- А.А. Куинджи, (-10.1940 г.)- И.А. Ермаков; по маркетингу (2002 г.)- И.Л. Куприянов; по экономике и финансам (2002 г.)- В.В. Николаев, по финансам (2006 г.)- А. Гольдштейн. Помощник директора: по техчасти (1927 г.)- Окромешко, (1927 г.)- Ермолаев; по найму и увольнению (-06.1937-10.07.1938 г.)- М.У. Губин, (10.07.1938 г.-)- П.М. Брыков.</w:t>
      </w:r>
    </w:p>
    <w:p w14:paraId="100684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Технический директор (10.1927 г.)- Ермолаев, (-16.09.1937 г.)- М.А. Колосов (репрессирован), (06.1938 г.)- М.Н. Степин.</w:t>
      </w:r>
    </w:p>
    <w:p w14:paraId="65250C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технического директора (08.1928 г.)- Макеев.</w:t>
      </w:r>
    </w:p>
    <w:p w14:paraId="595E47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(1926 г.)- А.Д. Швецов, (1920-е  г.)- М.П. Макарук, (-16.09Л937 г.)- М.А. Колосов, (12.1937 г.)- М.Н. Степин, (28Л2.1938 г.-)- А.А. Куинджи, (1960-е)- П.А. Захаров.</w:t>
      </w:r>
    </w:p>
    <w:p w14:paraId="10EAA7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(1926-34 г.)- А.Д. Швецов, (1935-39 г.)- В.А. Добрынин, (-12.1940-43 г.-)- А.А. Микулин, (1944- 53; 1962-66 г.)- М.Р. Флисский.</w:t>
      </w:r>
    </w:p>
    <w:p w14:paraId="151BB4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конструктора (1941-44 г.)- М.Р. Флиский.</w:t>
      </w:r>
    </w:p>
    <w:p w14:paraId="62EF10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Заведующий производством (1927 г.)- Макеев, (07.1927 г.)- А.Д. Швецов. Начальник производства (06.1938 г.)- Стратьев, (-1940-45 г.)- В.В. Чернышев. Гл. механик (1926 г.)- Елфимов.</w:t>
      </w:r>
    </w:p>
    <w:p w14:paraId="084901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Зам. начальника производства (06.1938 г.)- А. Г. Минасбеков.</w:t>
      </w:r>
    </w:p>
    <w:p w14:paraId="73CC29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Заведующие цехами: механическим (1926 г.)- Дунаевский; лабораторией и горячими цехами (1926 г.)- Герасимов. Начальники цехов: механического № 2 (1936 г.)- Брандт; (1936 г.-)- В.В. Чернышев.</w:t>
      </w:r>
    </w:p>
    <w:p w14:paraId="7A6F59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Заведующий механической мастерской (1927 г.)- Текин.</w:t>
      </w:r>
    </w:p>
    <w:p w14:paraId="1CB850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Заведующие отделами: планировочным (1927 г.)- Дмитриев; металлургическим (1927 г.)- Тырычев; АХО (08.1926 г.)- Переверзев, (03.1927 г.)- Балыков; снабжения (1926 г.)- Кузнецов; заказов (1926 г.)- Шутов; учетно- статистическим (1926 г.)- Беликов; материально-хозяйственным (01.1928 г.)- Рыбин. Начальники отделов: ОКС (- 02.1938 г.)-Н.В. Сучков.</w:t>
      </w:r>
    </w:p>
    <w:p w14:paraId="65F3D2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Заведующие подотделами: статистики (10.1927 г.)- Парникель.</w:t>
      </w:r>
    </w:p>
    <w:p w14:paraId="55D006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Заведующие бюро: ТНБ (1926 г.)- Стратьев; строительным (1926 г.)- Швецов.</w:t>
      </w:r>
    </w:p>
    <w:p w14:paraId="2890EC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Комендант (1926 г.)- Ершов.</w:t>
      </w:r>
      <w:r w:rsidRPr="00640820">
        <w:rPr>
          <w:rFonts w:ascii="Times New Roman" w:hAnsi="Times New Roman"/>
          <w:color w:val="000000" w:themeColor="text1"/>
          <w:sz w:val="16"/>
          <w:szCs w:val="16"/>
          <w:vertAlign w:val="superscript"/>
        </w:rPr>
        <w:t>133</w:t>
      </w:r>
    </w:p>
    <w:p w14:paraId="5AC39A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авиационные двигатели: поршневые: М-1, М-2 (1918-26), М-4, М4-НРБ (опытный, 1924-27), М-5 (1925-30), М-6, М8-РАМ (опытный, 1926), М-11 (-1927-29-), М-12 (1929), М-15 (1931-32), М-17 (1931), М-26 (1931-32), М-27 (1932), АМ-34 (1930-40), АМ-34бис (1941-42), М-25 (1938-39), АМ-35 (1939), АМ-35А (1941-44), М-62 (1939-41), М-ГФН (1940), ГАМ-34 (ВОВ) для бронекатеров, АМ-37 (1941), АМ-38 (1941-42), АМ-38Ф (1942-45), АМ-42 (1942-49; 1951-54), АМ-40 (1946-48), М-63; П-020, П-032; ГТД: РД-20, РД-500, ВК-1 (1950-52), ВК-1А (1952-54), РД-ЗМ-500, НК-4 (1957-59)- 200, НК-12 (1954-59), НК-12МВ (1960-98-), НК-8, НК-144А (1971- 78), НК-25 (1972-), НК-32 (1980-е-2000-е), НК-86; НК-37 (1990-е-2002-), НК-12СТ (2002), НК-14СТ (2002), НК- 36СТ (2002);</w:t>
      </w:r>
    </w:p>
    <w:p w14:paraId="1D093A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ПВРД: РД-900 для </w:t>
      </w:r>
      <w:r w:rsidRPr="00640820">
        <w:rPr>
          <w:rFonts w:ascii="Times New Roman" w:hAnsi="Times New Roman"/>
          <w:color w:val="000000" w:themeColor="text1"/>
          <w:sz w:val="16"/>
          <w:szCs w:val="16"/>
          <w:lang w:val="en-US"/>
        </w:rPr>
        <w:t>JIa</w:t>
      </w:r>
      <w:r w:rsidRPr="00640820">
        <w:rPr>
          <w:rFonts w:ascii="Times New Roman" w:hAnsi="Times New Roman"/>
          <w:color w:val="000000" w:themeColor="text1"/>
          <w:sz w:val="16"/>
          <w:szCs w:val="16"/>
        </w:rPr>
        <w:t>-17 (1954-58), РД-012 для изд.»350» (1957); ЖРД: РД-107(-2002-05), РД-108 (1960-е- 2005-), НК-33 (1967-), Ж-43; блочно-модульные теплоэлектростанции АТГ-10, НК-900Э (2002), ГПА «Нева- 25НК» (2005); подвесные лодочные моторы «Вихрь» (2002); газолучистый обогреватель ГОЛ-40 (11982).</w:t>
      </w:r>
    </w:p>
    <w:p w14:paraId="060772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6CFF8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года согласно приказу НКАП за № 053сс завод № 95 (бывший завод № 45) начал полную эвакуацию из Кунцево в В. Салда на производственные площади завода “Стальмост” НКТП.</w:t>
      </w:r>
    </w:p>
    <w:p w14:paraId="5372FA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освобожденных площадях завода № 95 в Кунцевском районе Московской области в январе 1942 года был создан филиал завода № 95 на базе которого в дальнейшем был организован завод № 65.</w:t>
      </w:r>
    </w:p>
    <w:p w14:paraId="7CFB1F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основании Постановления СМ от 27 марта 1953 года завод был передан МОП и в том же году по Постановлению СМ за № 2259-920сс по образованию МАП и приказа МАП от 27 августа 1953 года за № 1сс завод перешел в ведение МАП.</w:t>
      </w:r>
    </w:p>
    <w:p w14:paraId="48F031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В. Салда Свердловской области</w:t>
      </w:r>
    </w:p>
    <w:p w14:paraId="419D0E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момента организации по 1934 год – директор Заборов Н.П. В первой половине 1935 года – директор Конторщиков Со второй половины 1935 года по 1936 год – директор Музалевский Ю.Г. С 1937 по первое полугодие 1938 года – директор Лещенко С.М. Со второго полугодия 1938 года по 1942 год – директор Выштынецкий И.С. С 1943 года по 1946 год – директор Лещенко С.М. С 1946 года до сентября 1950 года – директор Журавлев Ф.В. С сентября 1950 года по апрель 1952 года – директор Черняев А.А. С апреля 1952 года до марта 1958 года – директор Агарков Г.Д. С апреля 1958 года – директор Прощицкий Х.С. (9659).</w:t>
      </w:r>
    </w:p>
    <w:p w14:paraId="414CD5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BA8E2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г. приказом № 1053сс в соответствии с Пост. ГКО № 741с от 8.10.1941 г. завод (Завод № 16 ВСНХ, НКТП, НКОП, Завод № 16 им. Сталина НКАП, МАП, п/я 735, Казанское Моторостроительное ПО (КМПО), ОАО «КМПО» / г. Воронеж ул. Кольцовская;  г. Казань с. Караваево/ /Татарстан 420036  г. Казань ул. Дементьева, 1 тел. 54-14-32, 71-94-01/ /Московское представительство: тел. 755-42-39/) эвакуирован в  г. Казань на площадку завода № 27 НКАП. Приказом № 1145сс от 20.11.1941 г. образован единый завод № 16 НКАП объединением завода № 16 НКАП и завода № 27 НКАП. Позже влит еще завод № 489 НКАП. В 1941 г. на завод № 16 в Казань эвакуировалась ГДЛ из Ленинграда.</w:t>
      </w:r>
    </w:p>
    <w:p w14:paraId="590735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площадке эвакуированного завода по приказу № 1090с от 28.12.1941 г. организованы мастерские по ремонту двигателей М-11, М-88, М-89, М-105, М-35, М-38. Действовал цех по производству 82-мм батальонных минометов. Начальник мастерских- А.И. Седов. В соответствии с пост. СНК № 913-472сс от 11.06.1942 г. и приказом № 287с от 16.04.1942 г. мастерские должны были получить наименование ГС завод № 444 НКАП. Возможно, так и было некоторое время. Но затем по приказу № 185с от 2.04.1943 г. на площадке бывшего завода № 16 организован завод по ремонту авиамоторов и производству запчастей, который получил наименование завод № 265 при ЗГУ НКАП.</w:t>
      </w:r>
    </w:p>
    <w:p w14:paraId="0492BA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30.05.1942 г. вышло постановление ГКО № 1831 об увеличении выпуска на заводе мотора М-105Р. В соответствии с пост. ГКО № 2412 от 14.10.1942 г. завод перешел с производства М-105Р на М-105ПФ, 25.12.1942 г. вышло постановление ГКО № 2654 об ускорении перевода завода только на выпуск М-105ПФ.</w:t>
      </w:r>
    </w:p>
    <w:p w14:paraId="0C145F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МАП № 241 заводу поручено производство трофейного ТРД БМВ-004 с выпуском в 1945 г. 30 двигателей. В соответствии с пост. ГКО в 1946 г. на завод передано 1232 единицы (150 вагонов) трофейного оборудования с завода БМВ в  г. Басдорф (Германия).</w:t>
      </w:r>
    </w:p>
    <w:p w14:paraId="048E57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1946 г. на старую площадку завода в Воронеже реэвакуирован завод № 154 из Андижана.</w:t>
      </w:r>
    </w:p>
    <w:p w14:paraId="63B605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закрытия в 1948 г. ОКБ-16 С.Д. Колосов продолжил работать на заводе № 16 МАП по газотурбинной установке М-1 для ВМФ. С 05.1954 г. он назначен гл. конструктором СКБ газотурбинных установок на ЮТЗ.</w:t>
      </w:r>
    </w:p>
    <w:p w14:paraId="59008B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1950 г. создан турбовинтовой двигатель для кораблей ТРДВ-1 (5200 л. е.).</w:t>
      </w:r>
    </w:p>
    <w:p w14:paraId="04EC09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 3193-1214 от 10.07.1952 г. на заводе начата подготовка к производству двигателя АМ-3 для Ту-16.</w:t>
      </w:r>
    </w:p>
    <w:p w14:paraId="6E332E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1948-67 г. завод имел наименование «п/я 735». В соответствии с пост. СМ СССР № 713-342 от 26.06.1957 г. передан в ведение СНХ РСФСР.</w:t>
      </w:r>
    </w:p>
    <w:p w14:paraId="3C883D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1976 г. - Казанское МПО, с 1993 г. - ОАО «КМПО». В 03.1997 г. вошло в ФПГ «Двигатели НК».</w:t>
      </w:r>
      <w:r w:rsidRPr="00640820">
        <w:rPr>
          <w:rFonts w:ascii="Times New Roman" w:hAnsi="Times New Roman"/>
          <w:color w:val="000000" w:themeColor="text1"/>
          <w:sz w:val="16"/>
          <w:szCs w:val="16"/>
          <w:vertAlign w:val="superscript"/>
        </w:rPr>
        <w:t>50</w:t>
      </w:r>
      <w:r w:rsidRPr="00640820">
        <w:rPr>
          <w:rFonts w:ascii="Times New Roman" w:hAnsi="Times New Roman"/>
          <w:color w:val="000000" w:themeColor="text1"/>
          <w:sz w:val="16"/>
          <w:szCs w:val="16"/>
        </w:rPr>
        <w:t xml:space="preserve"> По решению правительства № 22-р от 9.01.2004 г. вошло в перечень стратегических предприятий.</w:t>
      </w:r>
    </w:p>
    <w:p w14:paraId="51A74D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2002 г. велись работы по организации участка сборки и испытаний ТВлД </w:t>
      </w:r>
      <w:r w:rsidRPr="00640820">
        <w:rPr>
          <w:rFonts w:ascii="Times New Roman" w:hAnsi="Times New Roman"/>
          <w:color w:val="000000" w:themeColor="text1"/>
          <w:sz w:val="16"/>
          <w:szCs w:val="16"/>
          <w:lang w:val="en-US"/>
        </w:rPr>
        <w:t>PW</w:t>
      </w:r>
      <w:r w:rsidRPr="00640820">
        <w:rPr>
          <w:rFonts w:ascii="Times New Roman" w:hAnsi="Times New Roman"/>
          <w:color w:val="000000" w:themeColor="text1"/>
          <w:sz w:val="16"/>
          <w:szCs w:val="16"/>
        </w:rPr>
        <w:t>207 для вертолета «Ансат».</w:t>
      </w:r>
    </w:p>
    <w:p w14:paraId="1A5299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(2003 г.)- около 12. 000 чел.</w:t>
      </w:r>
    </w:p>
    <w:p w14:paraId="6DC67F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(-06-29.08.1937 г.)-  Г.С. Девдариани (снят), (29.08.1937 г.-)- М.М. Лукин, (-09.1941 г.-)- В.И. Сухорукое, (-08.1942-04.1945 г.-)- М.М. Лукин, (03.1946 г.)- Тарасов, (1960-е  г.)- Р.Е. Загребельный. Гендиректор (1968-82 г.)- П.А. Витер, (1982-2003 г.-)- А.Ф. Павлов,</w:t>
      </w:r>
      <w:r w:rsidRPr="00640820">
        <w:rPr>
          <w:rFonts w:ascii="Times New Roman" w:hAnsi="Times New Roman"/>
          <w:color w:val="000000" w:themeColor="text1"/>
          <w:sz w:val="16"/>
          <w:szCs w:val="16"/>
          <w:vertAlign w:val="superscript"/>
        </w:rPr>
        <w:t>49</w:t>
      </w:r>
      <w:r w:rsidRPr="00640820">
        <w:rPr>
          <w:rFonts w:ascii="Times New Roman" w:hAnsi="Times New Roman"/>
          <w:color w:val="000000" w:themeColor="text1"/>
          <w:sz w:val="16"/>
          <w:szCs w:val="16"/>
        </w:rPr>
        <w:t xml:space="preserve"> (-10.2004-05 г.-&gt; Д.З. Каримуллин.</w:t>
      </w:r>
    </w:p>
    <w:p w14:paraId="7328AE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(06.1937 г.)- М.П. Макарук; начальник филиала (1940-41 г.)- ДА. Морозов; по производству (1975 г.-)- А.Ф. Павлов; по ПВО и охране (25.12.1938 г.-)- А.С. Хорошилов. Помощник директора по найму и увольнению (27.11.1938 г.-)- И.И. Карпов.</w:t>
      </w:r>
    </w:p>
    <w:p w14:paraId="7ABA66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Коммерческий директор (10.2004 г.)- А.В. Березкин.</w:t>
      </w:r>
    </w:p>
    <w:p w14:paraId="5BFCD5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(1937 г.)- А.С. Назаров (переведен из ОКБ-29, в том же году арестован из-за катастрофы «7211»), (-1941 г.)- С.Д. Колосов, (1954-63 г.)- П.Ф. Зубец, (2002 г.)- И.Х. Фахрутдинов.</w:t>
      </w:r>
    </w:p>
    <w:p w14:paraId="0DA355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(06.1937 г.)- М.П. Макарук, (2002 г.)- М. Г. Хабибуллин.</w:t>
      </w:r>
      <w:r w:rsidRPr="00640820">
        <w:rPr>
          <w:rFonts w:ascii="Times New Roman" w:hAnsi="Times New Roman"/>
          <w:color w:val="000000" w:themeColor="text1"/>
          <w:sz w:val="16"/>
          <w:szCs w:val="16"/>
          <w:vertAlign w:val="superscript"/>
        </w:rPr>
        <w:t>69</w:t>
      </w:r>
    </w:p>
    <w:p w14:paraId="4E016D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Серийного КБ (01.1942-04.1944 г.)- С.Д. Колосов.</w:t>
      </w:r>
    </w:p>
    <w:p w14:paraId="27C308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ПД: М-11 (1935-37-), МВ-4, МВ-6, МВ-12, М-105Р (1941-42), М-105ПФ (1942-); ТРД РД-20, РД-500, АЛ-3, ВК-1, РД-ЗМ-500, НК-4, НК-8-2, НК-8-3 (1967-76)- 100, НК-8-4 (1964-79), НК-8-4К- 15, НК-8-2У (1972-2004-)- более 2500, НК-16, НК-86 (1980-2004-), НК-87 (1986-), НК-93 (2004), АИ-22 (2004), поршневой П- 800 (2004), М29П (2004); корпуса для РДТТ 5С47 (1960-е); приводы для газоперекачивающих агрегатов НК- 16СТ, НК-38СТ (2002), ГТ-009, ГПА-8,16; ремонт НК-8-2У, НК-86 (2002); автоматическая газораспределительная станция АГРС «Исток»; гидромеханическая передача для городских автобусов; газовая турбина для ТЭЦ (2004) (11982).</w:t>
      </w:r>
    </w:p>
    <w:p w14:paraId="001B0493" w14:textId="77777777" w:rsidR="0038220C" w:rsidRPr="00640820" w:rsidRDefault="0038220C" w:rsidP="00640820">
      <w:pPr>
        <w:autoSpaceDE w:val="0"/>
        <w:autoSpaceDN w:val="0"/>
        <w:adjustRightInd w:val="0"/>
        <w:spacing w:after="0" w:line="240" w:lineRule="auto"/>
        <w:jc w:val="both"/>
        <w:rPr>
          <w:rFonts w:ascii="Times New Roman" w:hAnsi="Times New Roman"/>
          <w:color w:val="000000" w:themeColor="text1"/>
          <w:sz w:val="16"/>
          <w:szCs w:val="16"/>
        </w:rPr>
      </w:pPr>
    </w:p>
    <w:p w14:paraId="278B2C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г. по приказу № 1053сс на площадку завода № 339 4ГУ НКАП (Завод № 339 НКАП, завод № 33бис /г. Молотов/) эвакуирован из Москвы завод № 33 4ГУ НКАП вместе с ОКБ. По приказу № 1082с от 28.10.1941 г. образован единый завод № 33 4ГУ НКАП. Завод № 339 с 11.1941 г. выбыл из состава действующих.</w:t>
      </w:r>
    </w:p>
    <w:p w14:paraId="212AC4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(04.1939-41 г.-)- А.Р. Горлин.</w:t>
      </w:r>
    </w:p>
    <w:p w14:paraId="00B0A2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(1939 г.)- А.А. Демин (11982).</w:t>
      </w:r>
    </w:p>
    <w:p w14:paraId="13648D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3A33D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г. приказом НКАП № 1053сс в соответствии с Пост. ГКО № 741с от 8.10.1941 г. комбинат № 150  (ГС комбинат № 150 НКТП, НКОП, НКАП, Ступинский комбинат легких сплавов, Металлургический комбинат № 150, Ступинский металургический комбинат, ОАО «Ступинский металургический комбинат» (СМК), ЗАО СМК, ОАО «Ступинская металлургическая компания» (СМК) /142800  г. Ступино-1 Московской обл. ул. Пристанционная, 19 тел. 47-001, 262-70-10/) эвакуирован в три места: винтовое производство авиакомбината- в Куйбышев, пос. Безымянка на территорию бытовок завода № 122 и получает обозначение завод № 35; часть металлургического- в  г. Каменск- Уральский Свердловской обл. на площадку строящегося завода № 268 НКАП и продолжила действовать как комбинат № 150; часть металлообрабатывающего оборудования оказалась на площадке завода № 491 НКАП в  г. В. Салда Свердловской обл. и передана там по приказу № 1069с от 14.10.1941 г. заводу № 95 НКАП.</w:t>
      </w:r>
    </w:p>
    <w:p w14:paraId="786C61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ГКО № 1292 от 16.02.1942 г. и приказом № 143с от 20.02.1942 г. часть металлургического производства (до 50% оборудования и 1600 чел.) вернулась из  г. Каменска на старое место для огранизации производства проката и штамповок из легких сплавов и стало называться Металлургический авиакомбинат № 150 НКАП.</w:t>
      </w:r>
      <w:r w:rsidRPr="00640820">
        <w:rPr>
          <w:rFonts w:ascii="Times New Roman" w:hAnsi="Times New Roman"/>
          <w:color w:val="000000" w:themeColor="text1"/>
          <w:sz w:val="16"/>
          <w:szCs w:val="16"/>
          <w:vertAlign w:val="superscript"/>
        </w:rPr>
        <w:t>36</w:t>
      </w:r>
      <w:r w:rsidRPr="00640820">
        <w:rPr>
          <w:rFonts w:ascii="Times New Roman" w:hAnsi="Times New Roman"/>
          <w:color w:val="000000" w:themeColor="text1"/>
          <w:sz w:val="16"/>
          <w:szCs w:val="16"/>
        </w:rPr>
        <w:t xml:space="preserve"> Остальные мощности комбината в Каменске переданы заводу № 268 НКАП.</w:t>
      </w:r>
    </w:p>
    <w:p w14:paraId="70D629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18.07.1942 г. вышло постановление ГКО № 1913 об увеличении выпуска алюминиевого листового проката на заводе.</w:t>
      </w:r>
    </w:p>
    <w:p w14:paraId="6308CF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С 1.01.1945 г. в состав завода № 150 НКАП по приказу № 9с от 16.01.1945 г. влит завод № 49 НКАП из Уфы. Далее по приказу № 161с от 20.04.1945 г. в состав завода № 150 влит опытный завод № 25 НКАП ( г. Ступино) с образованием винтового ОКБ с опытным цехом комбината № 150. На заводе № 150 началось производство в/винтов. Далее винтовое производство выделено в самостоятельный серийный завод № 120.</w:t>
      </w:r>
    </w:p>
    <w:p w14:paraId="64204B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1946 г. заводу поставлено 764 трофейных металлорежущих станка.</w:t>
      </w:r>
    </w:p>
    <w:p w14:paraId="460B62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СМ СССР № 713-342 от 26.06.1957 г. передан в ведение СНХ РСФСР. Возможно, имел наименование «п/я А-1977» (1971 г.).</w:t>
      </w:r>
    </w:p>
    <w:p w14:paraId="3DCEED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(1990-е-2000-е  г.): полуфабрикаты из алюминиевых, титановых, жаропрочных сплавов для авиационной и космической промышленности; кованые и прессованные заготовки; автомобильные диски, радиаторы.</w:t>
      </w:r>
      <w:r w:rsidRPr="00640820">
        <w:rPr>
          <w:rFonts w:ascii="Times New Roman" w:hAnsi="Times New Roman"/>
          <w:color w:val="000000" w:themeColor="text1"/>
          <w:sz w:val="16"/>
          <w:szCs w:val="16"/>
          <w:vertAlign w:val="superscript"/>
        </w:rPr>
        <w:t>69</w:t>
      </w:r>
    </w:p>
    <w:p w14:paraId="4676F3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Входил в состав НПО «Авиатехнология». В 1997 г. ОАО СМК преобразовано в ЗАО. В 2002 г. завод был обанкрочен, на его базе создано ЗАО «Ступинский металлургический завод». По Указу Президента РФ № 1009 от 4.08.2004 г. ОАО СМК вошло в число стратегических оборонных предприятий.</w:t>
      </w:r>
    </w:p>
    <w:p w14:paraId="5C6FB4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(1936-11.1940 г.)-  Г.В. Визирян, (-11.1940-41 г.)- И.В. Окунев, (1941 г.-)- А.И. Марочкин, (1942- 03.1946 г.-)- А.Ф. Белов, Е.В. Никонов, (1996 г.)- А.И. Батурин, (-1998-2002 г.-)- Н.М. Рябыкин.</w:t>
      </w:r>
      <w:r w:rsidRPr="00640820">
        <w:rPr>
          <w:rFonts w:ascii="Times New Roman" w:hAnsi="Times New Roman"/>
          <w:color w:val="000000" w:themeColor="text1"/>
          <w:sz w:val="16"/>
          <w:szCs w:val="16"/>
          <w:vertAlign w:val="superscript"/>
        </w:rPr>
        <w:t>49</w:t>
      </w:r>
      <w:r w:rsidRPr="00640820">
        <w:rPr>
          <w:rFonts w:ascii="Times New Roman" w:hAnsi="Times New Roman"/>
          <w:color w:val="000000" w:themeColor="text1"/>
          <w:sz w:val="16"/>
          <w:szCs w:val="16"/>
        </w:rPr>
        <w:t xml:space="preserve"> Гендиректор (2003 г.)- В. Дмитрии, А. Черников.</w:t>
      </w:r>
    </w:p>
    <w:p w14:paraId="44714A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(06.1937 г.)- В.В. Алле; по ПВО и охране (17.12.1938 г.-)- А.В. Волков.</w:t>
      </w:r>
    </w:p>
    <w:p w14:paraId="4942D0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исполнительный (2004 г.)- М. Корнеев; технический (2005 г.)- С. Кононов.</w:t>
      </w:r>
    </w:p>
    <w:p w14:paraId="234403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(1936-; 13.02.1938 г.-)- А.И. Еремеев, (-06.1937-19.01.1938 г.)- В.В. Алле (снят), (-10.1940 г.)- А.Х. Пивоварчук, (1941-45 г.)- В.К. Державцев, (1951-77 г.)- В.А. Ливанов.</w:t>
      </w:r>
    </w:p>
    <w:p w14:paraId="0352AD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К.И. Жданов.</w:t>
      </w:r>
    </w:p>
    <w:p w14:paraId="15D72C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технолог (1936 г.)- Н.П. Фирюбин, А.С. Штейнбер г. Начальник управления продаж (2005 г.)- А.А. Костин.</w:t>
      </w:r>
    </w:p>
    <w:p w14:paraId="7AD2B6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прокатного завода (11.1938 г.)- Ю. Г. Музалевский.</w:t>
      </w:r>
    </w:p>
    <w:p w14:paraId="00B2AC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комбината № 150 НКАП, ОКБ-150 НКАП гл. конструктора К.И. Жданова</w:t>
      </w:r>
    </w:p>
    <w:p w14:paraId="61914E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авиакомбината № 150 образовано 22.03.1939 г. по приказу НКАП № 80/к от 21.03.1939 г. на базе его опытного производства.</w:t>
      </w:r>
    </w:p>
    <w:p w14:paraId="1E6BF3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Его гл. конструктор в 1938-1972г,- видный конструктор воздушных винтов К.И. Жданов {1906-86}, работавший до этого нач. конструкторской бригады завода № 28. Перед войной созданы в/винты ВИШ-23, -21, - 26, -28, АВ-2П-2.</w:t>
      </w:r>
    </w:p>
    <w:p w14:paraId="2E5B3D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10.1941 г. эвакуировалось в Куйбышев вместе с авиакомбинатом № 150 на площадку завода № 122. Монтаж оборудования здесь закончен в 11.1941 г.</w:t>
      </w:r>
    </w:p>
    <w:p w14:paraId="7D4BF7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ОКБ-150 МАП гл. конструктора К.И. Жданова</w:t>
      </w:r>
    </w:p>
    <w:p w14:paraId="665D61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01.1944 г. ОКБ тогда уже завода № 35 вместе с винтовым ОКБ завода № 28 и регуляторным ОКБ-132 возвращаются в Ступино на территорию винтового производства авиакомбината № 150 и образуют опытный винтостроительный завод № 25. Директором назначается М.С. Бондалетов, гл. инженером- Д.М. Дубровский. Гл. конструктором остается Жданов.</w:t>
      </w:r>
    </w:p>
    <w:p w14:paraId="276BDC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161с от 20.04.1945 г. завод № 25 реорганизуется в ОКБ комбината № 150.</w:t>
      </w:r>
    </w:p>
    <w:p w14:paraId="6FFEFB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155с от 25.03.1946 г. ОКБ-150 снова преобразуется в самостоятельный опытный завод № 120. Директором- гл. конструктором назначен Жданов, гл. инженером- Б.А. Пережогин.</w:t>
      </w:r>
    </w:p>
    <w:p w14:paraId="241643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МАП № 417 от 17.06.1948 г. на базе опытного завода № 120 образованы два самостоятельных предприятия: серийный завод № 120 и ОКБ-120 (11982).</w:t>
      </w:r>
    </w:p>
    <w:p w14:paraId="051DB69B" w14:textId="77777777" w:rsidR="0038220C" w:rsidRPr="00640820" w:rsidRDefault="0038220C" w:rsidP="00640820">
      <w:pPr>
        <w:autoSpaceDE w:val="0"/>
        <w:autoSpaceDN w:val="0"/>
        <w:adjustRightInd w:val="0"/>
        <w:spacing w:after="0" w:line="240" w:lineRule="auto"/>
        <w:jc w:val="both"/>
        <w:rPr>
          <w:rFonts w:ascii="Times New Roman" w:hAnsi="Times New Roman"/>
          <w:color w:val="000000" w:themeColor="text1"/>
          <w:sz w:val="16"/>
          <w:szCs w:val="16"/>
        </w:rPr>
      </w:pPr>
    </w:p>
    <w:p w14:paraId="5FF304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г. завод № 51 приступил к демонтажу оборудования в г. Москве и погрузке в эшелоны для эвакуации в г. Новосибирск. Первые эшелоны с людьми, оборудованием и материалами начали поступать в Новосибирск с начала ноября 1941 г., а последний эшелон - в конце января 1942 г.</w:t>
      </w:r>
    </w:p>
    <w:p w14:paraId="08EFDD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Отведенное ОКБ Н. Н. Поликарпова помещение (бывший гараж Облтранса) было совершенно не приспособлено не только для развертывания работы ОКБ, но и для производства (отсутствовал ввод для нормального электро- и водоснабжения).</w:t>
      </w:r>
    </w:p>
    <w:p w14:paraId="74FE97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Благодаря блестящим организаторским способностям, огромной настойчивости и энергии Поликарпова в этих по существу невероятно тяжелых условиях опытное производство было все же создано к апрелю 1942 г.</w:t>
      </w:r>
    </w:p>
    <w:p w14:paraId="661839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Однако, руководством НКАП совершенно не решалась проблема обеспечения жильем рабочих и инженерно-технических работников. Все это негативно сказывалось на темпах проведения опытных работ. Тем не менее, заводские испытания первого и второго экземпляров ТИС 2АМ-37 планировалось провести в 1942 г.</w:t>
      </w:r>
    </w:p>
    <w:p w14:paraId="4A6825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целью улучшения материально-технической и жилищной базы Н.Н.Поликарпов пытался попасть на прием к А.С.Яковлеву, находившемуся в то время в Новосибирске. Но по рассказам достаточно компетентных очевидцев Поликарпов просидел несколько часов в приемной Яковлева, но тот так и не удосужился его принять (9649).</w:t>
      </w:r>
    </w:p>
    <w:p w14:paraId="18816E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87C98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640820">
        <w:rPr>
          <w:rFonts w:ascii="Times New Roman" w:hAnsi="Times New Roman"/>
          <w:color w:val="000000" w:themeColor="text1"/>
          <w:sz w:val="16"/>
          <w:szCs w:val="16"/>
        </w:rPr>
        <w:t>9 октября 1941 г. вышел ПРИКАЗ НКО № 0398 ОБОРГАНИЗАЦИИ ПРИЕМА, СБОРКИ И ИЗУЧЕНИЯ ИНОСТРАННЫХ САМОЛЕТОВ</w:t>
      </w:r>
    </w:p>
    <w:p w14:paraId="1F00E9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целях быстрого изучения и внедрения в эксплуатацию иностранных самолетов приказываю:</w:t>
      </w:r>
    </w:p>
    <w:p w14:paraId="00F828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Командующему ВВС Красной Армии организовать прием и сборку иностранных самолетов в 22 запасном авиационном полку г. Кинешма и Вологодском учебном центре ВВС КА с переводом его на штат №015/177 и переименованием в 27-й запасный авиационный полк. Дислокация г. Кадников.</w:t>
      </w:r>
    </w:p>
    <w:p w14:paraId="4B246B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этих же запасных авиаполках проводить переучивание летно-техниче-ского состава и формирование боевых авиаполков на иностранных самолетах.</w:t>
      </w:r>
    </w:p>
    <w:p w14:paraId="4F46DB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Начальнику военных сообщений Красной Армии по заявкам УВВС КА предоставлять подвижной железнодорожный состав для транспортировки самолетов от пунктов выгрузки транспортов в запасные авиаполки и для переброски личного состава.</w:t>
      </w:r>
    </w:p>
    <w:p w14:paraId="6C6B23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Командующему ВВС Красной Армии укомплектовать 22-й и 27-й запасные авиационные полки полностью положенным летно-техническим составом, спецавиаимуществом и спецавтотранспортом.</w:t>
      </w:r>
    </w:p>
    <w:p w14:paraId="652EC8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Начальнику Главного управления автобронетанковых войск КА обеспечить запасные авиационные полки положенным автотранспортом.</w:t>
      </w:r>
    </w:p>
    <w:p w14:paraId="4ED3B2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Главному интенданту Красной Армии и начальникам центральных управлений НКО обеспечить запасные авиационные полки всеми положенными видами довольствия.</w:t>
      </w:r>
    </w:p>
    <w:p w14:paraId="2A68A6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Укомплектование запасных авиационных полков закончить к 15 октября 1941 г.</w:t>
      </w:r>
    </w:p>
    <w:p w14:paraId="0BD2B5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 xml:space="preserve">Народный комиссар обороны СССР И. СТАЛИН </w:t>
      </w:r>
      <w:r w:rsidRPr="00640820">
        <w:rPr>
          <w:rFonts w:ascii="Times New Roman" w:hAnsi="Times New Roman"/>
          <w:color w:val="000000" w:themeColor="text1"/>
          <w:sz w:val="16"/>
          <w:szCs w:val="16"/>
        </w:rPr>
        <w:t>(9844).</w:t>
      </w:r>
    </w:p>
    <w:p w14:paraId="2D8F72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31DFB8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г. в связи с осложнением военной обстанов</w:t>
      </w:r>
      <w:r w:rsidRPr="00640820">
        <w:rPr>
          <w:rFonts w:ascii="Times New Roman" w:hAnsi="Times New Roman"/>
          <w:color w:val="000000" w:themeColor="text1"/>
          <w:sz w:val="16"/>
          <w:szCs w:val="16"/>
        </w:rPr>
        <w:softHyphen/>
        <w:t>ки на авиазаводе №51 начали демонтировать оборудование и готовить его к отправке в Сибирь. В это время на заводе № 51 были: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5"/>
        <w:gridCol w:w="5635"/>
      </w:tblGrid>
      <w:tr w:rsidR="00643896" w:rsidRPr="00640820" w14:paraId="67655DBC" w14:textId="77777777" w:rsidTr="000D3BCB">
        <w:tc>
          <w:tcPr>
            <w:tcW w:w="5635" w:type="dxa"/>
            <w:tcBorders>
              <w:top w:val="single" w:sz="12" w:space="0" w:color="auto"/>
            </w:tcBorders>
            <w:shd w:val="clear" w:color="auto" w:fill="FFFFFF"/>
          </w:tcPr>
          <w:p w14:paraId="604654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ТИС2АМ-37</w:t>
            </w:r>
          </w:p>
        </w:tc>
        <w:tc>
          <w:tcPr>
            <w:tcW w:w="5635" w:type="dxa"/>
            <w:tcBorders>
              <w:top w:val="single" w:sz="12" w:space="0" w:color="auto"/>
            </w:tcBorders>
            <w:shd w:val="clear" w:color="auto" w:fill="FFFFFF"/>
          </w:tcPr>
          <w:p w14:paraId="053543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 экз.</w:t>
            </w:r>
          </w:p>
        </w:tc>
      </w:tr>
      <w:tr w:rsidR="00643896" w:rsidRPr="00640820" w14:paraId="062DFF55" w14:textId="77777777" w:rsidTr="000D3BCB">
        <w:tc>
          <w:tcPr>
            <w:tcW w:w="5635" w:type="dxa"/>
            <w:shd w:val="clear" w:color="auto" w:fill="FFFFFF"/>
          </w:tcPr>
          <w:p w14:paraId="36C9DC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ИТПМ-107</w:t>
            </w:r>
          </w:p>
        </w:tc>
        <w:tc>
          <w:tcPr>
            <w:tcW w:w="5635" w:type="dxa"/>
            <w:shd w:val="clear" w:color="auto" w:fill="FFFFFF"/>
          </w:tcPr>
          <w:p w14:paraId="79106C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экз.</w:t>
            </w:r>
          </w:p>
        </w:tc>
      </w:tr>
      <w:tr w:rsidR="00643896" w:rsidRPr="00640820" w14:paraId="1AE05005" w14:textId="77777777" w:rsidTr="000D3BCB">
        <w:tc>
          <w:tcPr>
            <w:tcW w:w="5635" w:type="dxa"/>
            <w:shd w:val="clear" w:color="auto" w:fill="FFFFFF"/>
          </w:tcPr>
          <w:p w14:paraId="2DA922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И-185 М-90</w:t>
            </w:r>
          </w:p>
        </w:tc>
        <w:tc>
          <w:tcPr>
            <w:tcW w:w="5635" w:type="dxa"/>
            <w:shd w:val="clear" w:color="auto" w:fill="FFFFFF"/>
          </w:tcPr>
          <w:p w14:paraId="4CA2C1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экз.</w:t>
            </w:r>
          </w:p>
        </w:tc>
      </w:tr>
      <w:tr w:rsidR="00643896" w:rsidRPr="00640820" w14:paraId="4171052A" w14:textId="77777777" w:rsidTr="000D3BCB">
        <w:tc>
          <w:tcPr>
            <w:tcW w:w="5635" w:type="dxa"/>
            <w:shd w:val="clear" w:color="auto" w:fill="FFFFFF"/>
          </w:tcPr>
          <w:p w14:paraId="2A6A9D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И-185 М-71</w:t>
            </w:r>
          </w:p>
        </w:tc>
        <w:tc>
          <w:tcPr>
            <w:tcW w:w="5635" w:type="dxa"/>
            <w:shd w:val="clear" w:color="auto" w:fill="FFFFFF"/>
          </w:tcPr>
          <w:p w14:paraId="573258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экз.</w:t>
            </w:r>
          </w:p>
        </w:tc>
      </w:tr>
      <w:tr w:rsidR="00643896" w:rsidRPr="00640820" w14:paraId="775ED769" w14:textId="77777777" w:rsidTr="000D3BCB">
        <w:tc>
          <w:tcPr>
            <w:tcW w:w="5635" w:type="dxa"/>
            <w:shd w:val="clear" w:color="auto" w:fill="FFFFFF"/>
          </w:tcPr>
          <w:p w14:paraId="27DFFB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И-185 М-81</w:t>
            </w:r>
          </w:p>
        </w:tc>
        <w:tc>
          <w:tcPr>
            <w:tcW w:w="5635" w:type="dxa"/>
            <w:shd w:val="clear" w:color="auto" w:fill="FFFFFF"/>
          </w:tcPr>
          <w:p w14:paraId="56C5A5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экз.</w:t>
            </w:r>
          </w:p>
        </w:tc>
      </w:tr>
      <w:tr w:rsidR="00643896" w:rsidRPr="00640820" w14:paraId="4C003CF7" w14:textId="77777777" w:rsidTr="000D3BCB">
        <w:tc>
          <w:tcPr>
            <w:tcW w:w="5635" w:type="dxa"/>
            <w:shd w:val="clear" w:color="auto" w:fill="FFFFFF"/>
          </w:tcPr>
          <w:p w14:paraId="0C7AC1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И-185 М-82</w:t>
            </w:r>
          </w:p>
        </w:tc>
        <w:tc>
          <w:tcPr>
            <w:tcW w:w="5635" w:type="dxa"/>
            <w:shd w:val="clear" w:color="auto" w:fill="FFFFFF"/>
          </w:tcPr>
          <w:p w14:paraId="5C4E89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экз.</w:t>
            </w:r>
          </w:p>
        </w:tc>
      </w:tr>
      <w:tr w:rsidR="00643896" w:rsidRPr="00640820" w14:paraId="2756BDED" w14:textId="77777777" w:rsidTr="000D3BCB">
        <w:tc>
          <w:tcPr>
            <w:tcW w:w="5635" w:type="dxa"/>
            <w:shd w:val="clear" w:color="auto" w:fill="FFFFFF"/>
          </w:tcPr>
          <w:p w14:paraId="402FBF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И-190М-88</w:t>
            </w:r>
          </w:p>
        </w:tc>
        <w:tc>
          <w:tcPr>
            <w:tcW w:w="5635" w:type="dxa"/>
            <w:shd w:val="clear" w:color="auto" w:fill="FFFFFF"/>
          </w:tcPr>
          <w:p w14:paraId="02E1B1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экз.</w:t>
            </w:r>
          </w:p>
        </w:tc>
      </w:tr>
      <w:tr w:rsidR="00643896" w:rsidRPr="00640820" w14:paraId="67BB8395" w14:textId="77777777" w:rsidTr="000D3BCB">
        <w:tc>
          <w:tcPr>
            <w:tcW w:w="5635" w:type="dxa"/>
            <w:shd w:val="clear" w:color="auto" w:fill="FFFFFF"/>
          </w:tcPr>
          <w:p w14:paraId="45C0F7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Планер «С»</w:t>
            </w:r>
          </w:p>
        </w:tc>
        <w:tc>
          <w:tcPr>
            <w:tcW w:w="5635" w:type="dxa"/>
            <w:shd w:val="clear" w:color="auto" w:fill="FFFFFF"/>
          </w:tcPr>
          <w:p w14:paraId="16F247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экз.</w:t>
            </w:r>
          </w:p>
        </w:tc>
      </w:tr>
      <w:tr w:rsidR="00643896" w:rsidRPr="00640820" w14:paraId="73DF5F47" w14:textId="77777777" w:rsidTr="000D3BCB">
        <w:tc>
          <w:tcPr>
            <w:tcW w:w="5635" w:type="dxa"/>
            <w:shd w:val="clear" w:color="auto" w:fill="FFFFFF"/>
          </w:tcPr>
          <w:p w14:paraId="1FB3E1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Самолет «ОДБ»</w:t>
            </w:r>
          </w:p>
        </w:tc>
        <w:tc>
          <w:tcPr>
            <w:tcW w:w="5635" w:type="dxa"/>
            <w:shd w:val="clear" w:color="auto" w:fill="FFFFFF"/>
          </w:tcPr>
          <w:p w14:paraId="52F09D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экз.</w:t>
            </w:r>
          </w:p>
        </w:tc>
      </w:tr>
      <w:tr w:rsidR="00643896" w:rsidRPr="00640820" w14:paraId="06997344" w14:textId="77777777" w:rsidTr="000D3BCB">
        <w:tc>
          <w:tcPr>
            <w:tcW w:w="5635" w:type="dxa"/>
            <w:tcBorders>
              <w:bottom w:val="single" w:sz="12" w:space="0" w:color="auto"/>
            </w:tcBorders>
            <w:shd w:val="clear" w:color="auto" w:fill="FFFFFF"/>
          </w:tcPr>
          <w:p w14:paraId="5B5712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Инициативные работы</w:t>
            </w:r>
          </w:p>
        </w:tc>
        <w:tc>
          <w:tcPr>
            <w:tcW w:w="5635" w:type="dxa"/>
            <w:tcBorders>
              <w:bottom w:val="single" w:sz="12" w:space="0" w:color="auto"/>
            </w:tcBorders>
            <w:shd w:val="clear" w:color="auto" w:fill="FFFFFF"/>
          </w:tcPr>
          <w:p w14:paraId="367D79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bl>
    <w:p w14:paraId="47E7AA2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приведенного списка следует, что план работ ОКБ и опытного завода №51 был доста</w:t>
      </w:r>
      <w:r w:rsidRPr="00640820">
        <w:rPr>
          <w:rFonts w:ascii="Times New Roman" w:hAnsi="Times New Roman"/>
          <w:color w:val="000000" w:themeColor="text1"/>
          <w:sz w:val="16"/>
          <w:szCs w:val="16"/>
        </w:rPr>
        <w:softHyphen/>
        <w:t>точно обширным и основное место в нем зани</w:t>
      </w:r>
      <w:r w:rsidRPr="00640820">
        <w:rPr>
          <w:rFonts w:ascii="Times New Roman" w:hAnsi="Times New Roman"/>
          <w:color w:val="000000" w:themeColor="text1"/>
          <w:sz w:val="16"/>
          <w:szCs w:val="16"/>
        </w:rPr>
        <w:softHyphen/>
        <w:t>мали И-185 - четыре позиции, шесть самоле</w:t>
      </w:r>
      <w:r w:rsidRPr="00640820">
        <w:rPr>
          <w:rFonts w:ascii="Times New Roman" w:hAnsi="Times New Roman"/>
          <w:color w:val="000000" w:themeColor="text1"/>
          <w:sz w:val="16"/>
          <w:szCs w:val="16"/>
        </w:rPr>
        <w:softHyphen/>
        <w:t>тов. Впрочем, в представленном перечне есть некоторые неувязки, а именно: один самолет с М-71 не был достроен и превратился в машину с М-82, а вот другой, оснащенный М-71, «наро</w:t>
      </w:r>
      <w:r w:rsidRPr="00640820">
        <w:rPr>
          <w:rFonts w:ascii="Times New Roman" w:hAnsi="Times New Roman"/>
          <w:color w:val="000000" w:themeColor="text1"/>
          <w:sz w:val="16"/>
          <w:szCs w:val="16"/>
        </w:rPr>
        <w:softHyphen/>
        <w:t>дился» из машины с М-81. Таким образом, до эвакуации было изготовлено 5 И-185, четыре из которых летали. На этом московский, доэвакуационный пе</w:t>
      </w:r>
      <w:r w:rsidRPr="00640820">
        <w:rPr>
          <w:rFonts w:ascii="Times New Roman" w:hAnsi="Times New Roman"/>
          <w:color w:val="000000" w:themeColor="text1"/>
          <w:sz w:val="16"/>
          <w:szCs w:val="16"/>
        </w:rPr>
        <w:softHyphen/>
        <w:t>риод в истории создания И-185 закончился (9979).</w:t>
      </w:r>
    </w:p>
    <w:p w14:paraId="1D76973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931F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г. по приказу НКАП № 1053сс завод № 22 10ГУ НКАП вместе со Спецгруппой и ОКБ-22 эвакуированы (в 11.1941 г.) в  г. Казань на площадку завода № 124 НКАП. Решением ГКО № 1048сс от 23.12.1941 г. и приказом НКАП от 26.12.1941 г. оба завода объединены под названием Казанский авиационный завод № 22 НКАП им. Горбунова. По приказу № 488с от 4.07.1942 г. в состав завода № 22 влит также опытный завод № 294 НКАП 7ГУ. По приказу № 755с от 16.12.1943 г. завод № 294 вновь выделен из состава завода № 22 в самостоятельный с 1.01.1944 г.</w:t>
      </w:r>
    </w:p>
    <w:p w14:paraId="4C2D20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11.12.1941 г. вышло постановление ГКО № 1014 о переводе серийного производства самолета «103В» с завода № 166 на завод № 22. 3.01.1942 г. вышло новое постановление ГКО № 1094 о подготовке серийного производства самолета «103» на заводе № 22 (о сокращении элементов гидрооборудования и дистанционного управления на самолете), пост. ГКО № 1396 от 6.03.1942 г. оно отменено.</w:t>
      </w:r>
    </w:p>
    <w:p w14:paraId="7A4ACA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На освободившейся площадке в Москве с 10.1941 г. образовались Самолетные ремонтные мастерские при Ремонтном отделе НКАП. В соответствии с пост. ГКО № 1039 от 17.12.1941 г. на этой площадке образован новый завод № 23 НКАП для выпуска самолета «103».</w:t>
      </w:r>
    </w:p>
    <w:p w14:paraId="22378D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11.01.1942 г. вышло постановление ГКО № 1135 об оборудовании на заводе самолета ТБ-7 двигателями АМ- 35А. 3.05.1942 г. вышло постановление ГКО № 1694 о восстановлении производства на заводе ТБ-7 с АМ-35А. 20.02.1944 г. вышло постановление ГКО № 5221 о выпуске Пе-8 с моторами М-82ФН.</w:t>
      </w:r>
    </w:p>
    <w:p w14:paraId="484B9D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 ГКО № 1376сс от 3.03.1942 г. заводу утвержден суточный план на 03.1942 г. по выпуску Пе-2: с 1 по 5 марта - 15 машин, с 6 по 10 - 20 и с 11 по 31 марта - 25 машин. Пост. ГКО № 2346 от 25.09.1942 г. заводу поручено построить три Пе-2 с моторами М-107 со сроком сдачи 15.12.1942 г. 25.12.1942 г. вышло постановление ГКО № 2654 об увеличении выпуска самолета Пе-2 на заводе. В соответствии с пост. ГКО № 3449 от 28.05.1943 г. на заводе запущен в производство Пе-2 в варианте истребителя. 21.06.1943 г. вышло постановление ГКО № 3622 о выпуске на заводе Пе-2 с моторами М-82Ф; 12.11.1943 г. - постановление ГКО № 4552 о производстве на заводе истребителя Пе-3. 5.03.1944 г. вышло постановление ГКО № 5320 об увеличении выпуска Пе-2 на заводе.</w:t>
      </w:r>
    </w:p>
    <w:p w14:paraId="17E8F5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ГКО № 3601 от 18.06.1943 г. и приказом № 367сс от 22.06.1943 г. Мясищев назначен гл. конструктором завода. Тем же приказом при заводе № 482 образован филиал ОКБ завода № 22 по боевьм самолетам.</w:t>
      </w:r>
    </w:p>
    <w:p w14:paraId="5F15AB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время ВОВ на заводе № 22 базировалось ОКБ Незваля. В 1945 г. оно вошло в ОКБ-156 Туполева.</w:t>
      </w:r>
    </w:p>
    <w:p w14:paraId="5D550B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1944 г. часть оборудования завода передана для формирования нового завода № 473 НКАП.</w:t>
      </w:r>
    </w:p>
    <w:p w14:paraId="22A64C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1945-57 г. на заводе действовал филиал ОКБ-156.</w:t>
      </w:r>
    </w:p>
    <w:p w14:paraId="60D628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01.1950 г. в состав завода влилось ОКБ-387 ( г. Казань).</w:t>
      </w:r>
    </w:p>
    <w:p w14:paraId="12DEC3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 4764-2062 от 28.11.1950 г. и приказом МАП № 240 начата подготовка к серийному выпуску самолета Ту-85, но самолет не строился, оснастка законсервирована.</w:t>
      </w:r>
    </w:p>
    <w:p w14:paraId="07049F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 3193-1214 от 10.07.1952 г. на заводе прекращен выпуск Ту-4 и начата подготовка к производству с 1953 г. Ту-16. Первый Ту-16 выпущен 29.10.1953 г. До 1958 г. выпущена 41 серия (серии 1-10 по 5 машин, 11-20 по 10 машин, 21-30 по 20 машин, 31-41 по 30 машин), в 1961-63 г. выпущено еще 30 серий по 5 машин.</w:t>
      </w:r>
    </w:p>
    <w:p w14:paraId="5754D2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СМ СССР № 713-342 от 26.06.1957 г. завод передан в ведение СНХ РСФСР.</w:t>
      </w:r>
    </w:p>
    <w:p w14:paraId="6C1059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заводе работала группа А.К. Быкова по легким самолетам. В 04.1959 г. она слилась со студенческим планерным ОКБ КАИ (руководитель- М.П. Симонов), образовав ГСКБ СА.</w:t>
      </w:r>
    </w:p>
    <w:p w14:paraId="4A4DEE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1960-е  г. на заводе образовано представительство ОКБ Ильюшина (представитель (1960-е)-  Г.К. Нохратян-Торосян, (-1977 г.)- В.М. Сухобоков, В.К. Пикалов, (2003 г.)- М.И. Бещиков).</w:t>
      </w:r>
    </w:p>
    <w:p w14:paraId="2AD054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 114-38 от 1.02.1964 г. начата подготовка производства Ил-62.</w:t>
      </w:r>
    </w:p>
    <w:p w14:paraId="153CB9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1978 г. изготовлены комплекты агрегатов первых трех опытных Ту-160 (собраны на ММЗ «Опыт»), с 1986 г. начато серийное производство, остановленное по указанию Президента РФ в 1992 г. В 1997 г. производство возобновлено.</w:t>
      </w:r>
    </w:p>
    <w:p w14:paraId="55B18B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1980-е  г. построен корпус № 206 для производства Ту-22М и Ту-160 с уникальным оборудованием (ЭТА- электротермический агрегат для обработки панелей длиной до 25м; ПЭС- агрегат старения материала панелей длиной до 25м). В 1980-е  г. для сварки титанового центроплана Ту-160 созданы сварочные камеры с глубоким вакуумом.</w:t>
      </w:r>
    </w:p>
    <w:p w14:paraId="173AC7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1949-66 г. имел наименование «п/я 747». До 1977 г. - Казанский машиностроительный завод им. С.П. Горбунова, затем- КАПО. В 1996-97 г. на базе предприятия создано 12 хозрасчетных подразделений, в 02.2000 г. вступил в строй новый кузнечный корпус (1-я очередь). По Указу Президента РФ № 1009 от 4.08.2004 г. вошел в число стратегических оборонных предприятий. В соответствии с пост. Правительства от 25.04.2006 г. ФГУП «КАПО» преобразовано в ОАО и вошло в состав </w:t>
      </w:r>
      <w:r w:rsidRPr="00640820">
        <w:rPr>
          <w:rFonts w:ascii="Times New Roman" w:hAnsi="Times New Roman"/>
          <w:color w:val="000000" w:themeColor="text1"/>
          <w:sz w:val="16"/>
          <w:szCs w:val="16"/>
          <w:lang w:val="en-US"/>
        </w:rPr>
        <w:t>OAK</w:t>
      </w:r>
      <w:r w:rsidRPr="00640820">
        <w:rPr>
          <w:rFonts w:ascii="Times New Roman" w:hAnsi="Times New Roman"/>
          <w:color w:val="000000" w:themeColor="text1"/>
          <w:sz w:val="16"/>
          <w:szCs w:val="16"/>
        </w:rPr>
        <w:t>.</w:t>
      </w:r>
    </w:p>
    <w:p w14:paraId="45012C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Правительства № 217(5) от 15.04.2005 г. началось серийное производство Ту-334.</w:t>
      </w:r>
    </w:p>
    <w:p w14:paraId="591B32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2005 г. размещен заказ управделами Президента РФ на 6 самолетов: 2- Ту-214СР (срок сдачи- П-й квартал 2007 г.), 2- Ту-214ПУ (2008 г.), 2- Ту-214СУС (2009 г.). Первые два сданы в 06.2009 г.Таманская.о 15.09.2009 г.</w:t>
      </w:r>
    </w:p>
    <w:p w14:paraId="037104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(11.1940 г.)- 1495 металлорежущих станков.</w:t>
      </w:r>
    </w:p>
    <w:p w14:paraId="21BEED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(1922 г.)- 700 рабочих, (1925 г.)- около 1000 чел., (03.1939 г.)- более 11 тыс. чел., (2002 г.)- 12.000 чел.,</w:t>
      </w:r>
      <w:r w:rsidRPr="00640820">
        <w:rPr>
          <w:rFonts w:ascii="Times New Roman" w:hAnsi="Times New Roman"/>
          <w:color w:val="000000" w:themeColor="text1"/>
          <w:sz w:val="16"/>
          <w:szCs w:val="16"/>
          <w:vertAlign w:val="superscript"/>
        </w:rPr>
        <w:t>69</w:t>
      </w:r>
      <w:r w:rsidRPr="00640820">
        <w:rPr>
          <w:rFonts w:ascii="Times New Roman" w:hAnsi="Times New Roman"/>
          <w:color w:val="000000" w:themeColor="text1"/>
          <w:sz w:val="16"/>
          <w:szCs w:val="16"/>
        </w:rPr>
        <w:t xml:space="preserve"> (2004 г.)- 7298 чел.</w:t>
      </w:r>
    </w:p>
    <w:p w14:paraId="34A313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(1917-19 г.)-  Г.В. Кульчицкий, (1920-24 г.)- И.С. Олейничук, Шоль, (-11.1927-30 г.)- П.С. Малахов, (1930-33 г.)- С.П. Горбунов (погиб в авиакатастрофе), К.Д. Кузнецов, (1936 г.)- Б.Н. Тарасевич, (-01-15.02.1937 г.)- Марголин (репрессирован); и.о. (15.02-08.1937 г.-)- Б.Н. Тарасевич; (7.09.1937-22.02.1938 г.)- А.С. Сухарев; и.о. (13.02.1938 г.-)- Б.Н. Тарасевич; (5.03.1938-41; -01.1943-49 г.)- В.А. Окулов, (1941-42 г.-&gt; Карпов, (1949-53 г.)- А.В. Соколов, (1953-60 г.)- П.П. Смирнов, (1960-67 г.)- Н.И. Максимов, (1967-73 г.)- М.Н. Глебов, (1973-94 г.)- В.Е. Копылов. Гендиректор (1994-96 г.)- Ю.Д. Литвинов, (1996-2005 г.)- Н. Г. Хайруллин, (2005 г.-)- А.П. Лаврентьев, (2009 г.)- В. Каюмов.</w:t>
      </w:r>
    </w:p>
    <w:p w14:paraId="6F2145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(1937 г.)- Морасанов, (12.1938 г.)- Збарский. Помощник директора: по техчасти (1927 г.)- Ермолаев, (04.1928 г.)- Окромешко; и.о. (09.1928 г.)- Дайбог; по найму и увольнению (06.1937 г.)- Н.М. Кутиков, (22.10.1937-09.1938 г.-)- Д.Н. Рябчук; (1930 г.)- Иевлев. Зам. Гендиректора (2002 г.)- Р.А. Шпилькин; по маркетингу и ВЭД (2005 г.)- И.Р. Мингалеев.</w:t>
      </w:r>
    </w:p>
    <w:p w14:paraId="6A7FDC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Технический директор (1.08.1927 г.-&gt; Н.В. Окромешко, (12.1938 г.)- Тарасевич.</w:t>
      </w:r>
    </w:p>
    <w:p w14:paraId="4648A2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технического директора (1937 г.)- И.Л. Дегтярев. Помощник технического директора (08.1937 г.)- Холмский.</w:t>
      </w:r>
    </w:p>
    <w:p w14:paraId="6B8E62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(1942 г.)- С.М. Лещенко, (2002 г.)- А.Б. Кравцов.</w:t>
      </w:r>
    </w:p>
    <w:p w14:paraId="5068F1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(05.1937; 08.1940-02.1941 г.)- А.А. Архангельский {17.12.1892-18.12.1978}, (07.1937-38; 02.1941-01.1942 г.)- В.М. Петляков (был репрессирован), (06.1943 г.-)- В.М. Мясищев.</w:t>
      </w:r>
    </w:p>
    <w:p w14:paraId="65103E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конструктора (12.1940 г.-)-  Г.Е. Болотов, (06.1945 г.-&gt; И.Ф. Незваль.</w:t>
      </w:r>
    </w:p>
    <w:p w14:paraId="3B4155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цехов: № 3 (1930-е)- Коломенский.</w:t>
      </w:r>
    </w:p>
    <w:p w14:paraId="54781E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Заведующие отделами: плановым (09.1928 г.)- Черзих. Начальники отделов: планового (1937 г.)- В.В. Кондаков; ОКС (12.1938 г.)- Горелов.</w:t>
      </w:r>
    </w:p>
    <w:p w14:paraId="1F3618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начальника отдела: ППО (-04.1938 г.)- Пылакин.</w:t>
      </w:r>
    </w:p>
    <w:p w14:paraId="794DE2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Заведующий: снабжением (1930 г.)- Иванов; статистикой (1927 г.)- Шепелев.</w:t>
      </w:r>
    </w:p>
    <w:p w14:paraId="3C0128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Представитель в Москве (2000 г.)- В.А. Обухов.</w:t>
      </w:r>
    </w:p>
    <w:p w14:paraId="137DC8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Летчики-испытатели: (09.1935 г.-)-  Г.Ф. Байдуков.</w:t>
      </w:r>
    </w:p>
    <w:p w14:paraId="5B6E57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самолеты: Р-3 (1927-29)- 101, И-4 (1929-31)- 177, ТБ-1 (1929-32)- 216, АНТ-9 (1930-32)- 61, Р- 6 (1931-32)- 45, ТБ-3 (1932-38)- 763, КР-6 (1934-35)- 170, КР-6А (1934-35)- 100, ДБ-А (1934-36)- 2, СБ (1936-41)- 5695, АНТ-35 (ПС-35, 1937-38), Ар-2 (1940-41), Пе-2 (1940-45)-10058, Пе-3 (1944)- 19, УПе-2 (-12.1945), Пе- 8 (1942-44)- 56, ДВБ-102 (1942, 1944)- 2, Ту-4 (1947-52)- 847 (всего на 3 заводах); Ту-16 (1953-58), Ту-16А (1950-е)- 453, Ту-16КС (1955-), Ту-16К-10 (1958-59; 61-63)- 157, всего 799; Ту-22Б (1950-е)- 20, Ту-22 (1960-69)- 311, Ту- 22М0 (1969-72)- 10, Ту-22М1 (1971-72)- 9, Ту-22М2 (1972-83)- 211, Ту-22МЗ (1978-2000)- 268, Ту-104- 140 (вместе с заводом № 135), Ил-62 (1969-71)- 97, Ил-62М (1972-95)-193, Ту-160 (1986-92; 1997-2008-)- около 30, Ту- 204 (1996-), Ту-214 (2001-05-)- 8 (на 08.2005), Ту-334 (2005-); капремонт Ил-62М (-2001-03-); модернизация Ту- 160 «Валентин Близнюк» (-07.2006);</w:t>
      </w:r>
    </w:p>
    <w:p w14:paraId="331FCF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комплектующие для ОК «Буран»; агрегаты двигателей НК-93, АИ-22 (2005); моторная лодка «Казанка»; сушильновакуумная машина для производства кож (2004).</w:t>
      </w:r>
    </w:p>
    <w:p w14:paraId="667585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Заводские №№: И-4 № 1591 (1930 г.); Ту-16 № 4200401 (11982).</w:t>
      </w:r>
    </w:p>
    <w:p w14:paraId="458DBA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92E7C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9 октября 1941 г. по приказу НКАП № 1053сс завод (Завод № 31 </w:t>
      </w:r>
      <w:r w:rsidRPr="00640820">
        <w:rPr>
          <w:rFonts w:ascii="Times New Roman" w:hAnsi="Times New Roman"/>
          <w:color w:val="000000" w:themeColor="text1"/>
          <w:sz w:val="16"/>
          <w:szCs w:val="16"/>
          <w:lang w:val="en-US"/>
        </w:rPr>
        <w:t>BCHX</w:t>
      </w:r>
      <w:r w:rsidRPr="00640820">
        <w:rPr>
          <w:rFonts w:ascii="Times New Roman" w:hAnsi="Times New Roman"/>
          <w:color w:val="000000" w:themeColor="text1"/>
          <w:sz w:val="16"/>
          <w:szCs w:val="16"/>
        </w:rPr>
        <w:t>, «Аэропланный завод Лебедева», «Таганрогский авиационный завод Лебедева», Завод № 10 «Лебедь» ВСНХ, Государственный авиационный завод № 10 (ГАЗ-10) «Лебедь» ВСНХ, Завод № 31 им.  Г. Димитрова НКТП, НКОП, НКАП, Тбилисское авиационное ПО им.  Г. Димитрова, А-1186, Завод «Тбилавиамишени» (ТАМ), ООО, АО «Тбилавиастрой» / г. Таганрог ул. Карантинная «ГАЗ десятый» (1927 г.); п/я 19 «Техника» (1928 г.);  г. Тбилиси район 26 Коммунаров (1947 г.)/ /Грузия 380036  г. Тбилиси ул. Б. Хмельницкого, 181 тел. 70-84-12/) эвакуирован в  г. Тбилиси на площадку строящегося авиамоторного завода №448 НКАП. Здесь по приказу № 1173с от 20.12.1941 г. образован объединенный завод №31 НКАП (днем рождения завода считается 15.11.1941 г.) в результате слияния завода № 31 НКАП, Севастопольского авиаремонтного завода № 45 НКАП и завода № 448 НКАП. В соответствии с тем же приказом в качестве филиала заводу передан завод № 131 НКАП в  г. Кутаиси.</w:t>
      </w:r>
    </w:p>
    <w:p w14:paraId="377462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 ГКО № 1376сс от 3.03.1942 г. заводу утвержден суточный план на 03.1942 г. по выпуску ЛаГГ-3: с 16 по 20 марта - 9 машин, с 21 по 25 марта - 10 и с 26 по 31 марта - И. В соответствии с пост. ГКО № 1789 от 19.05.1942 г. на заводе начато освоение производства ЛаГТ-3 с мотором М-105ПФ. Пост. ГКО № 2467сс от 2.11.1942 г. заводу предписано выпускать ЛаГГ-3 с улучшенными летными данными. В соответствии с пост. ГКО №4553 от 12.11.1943 г. на заводе начат выпуск истребителя Як-3; 29.12.1944 г. вышло постановление ГКО № 7233 о выпуске на заводе Як-3 с мотором ВК-107А и металлическим крылом.</w:t>
      </w:r>
    </w:p>
    <w:p w14:paraId="07034E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№764с от 23.12.1943 г. на старом месте в  г. Таганроге организован новый завод № 86 НКАП.</w:t>
      </w:r>
    </w:p>
    <w:p w14:paraId="24F987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19.01.1945 г. вышло постановление ГКО № 7370 о мобилизации рабочей силы для завода.</w:t>
      </w:r>
    </w:p>
    <w:p w14:paraId="13CFA8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СМ СССР № 713-342 от 26.06.1957 г. передан в ведение СНХ Грузинской ССР.</w:t>
      </w:r>
    </w:p>
    <w:p w14:paraId="208E1A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1985 г. - Тбилисское АПО им.  Г. Димитрова. Далее назывался «Тбилавиамишени». В 2001 г. преобразовано в ООО «Тбилавиастрой».</w:t>
      </w:r>
      <w:r w:rsidRPr="00640820">
        <w:rPr>
          <w:rFonts w:ascii="Times New Roman" w:hAnsi="Times New Roman"/>
          <w:color w:val="000000" w:themeColor="text1"/>
          <w:sz w:val="16"/>
          <w:szCs w:val="16"/>
          <w:vertAlign w:val="superscript"/>
        </w:rPr>
        <w:t>69</w:t>
      </w:r>
      <w:r w:rsidRPr="00640820">
        <w:rPr>
          <w:rFonts w:ascii="Times New Roman" w:hAnsi="Times New Roman"/>
          <w:color w:val="000000" w:themeColor="text1"/>
          <w:sz w:val="16"/>
          <w:szCs w:val="16"/>
        </w:rPr>
        <w:t xml:space="preserve"> Был в 2005 г.</w:t>
      </w:r>
    </w:p>
    <w:p w14:paraId="068A30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Изготавливал комплектующие для ОК «Буран».</w:t>
      </w:r>
    </w:p>
    <w:p w14:paraId="7E7564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(1925 г.)- 230 ед., (1926 г.)- 468 ед„ (11.1940 г.)- 745 металлорежущих станков.</w:t>
      </w:r>
    </w:p>
    <w:p w14:paraId="7890A2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Площадь: территории (1925 г.)- 66 тыс.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производственная (1925 г.)- 16,819 тыс.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вспомогательная (1925 г.)- 8 тыс.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5FB25E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(12.1926 г.)- 743 чел.</w:t>
      </w:r>
    </w:p>
    <w:p w14:paraId="58E5C0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Управляющий (-19.02.1925 г.)- И.С. Бойцов, (19.02.1925 г.-)- Ф.А. Синицын. Директор (-07.1927-03.1928 г.-)- Горшков, (07.1928 г.)- Чекалов, (1934 г.-)- Ф.П. Мурашев (репрессирован), (-06.1937-22.02.1938 г.)- М.Б. Шенкман; и.о. (8.03-08.1938 г.)- М.М. Трухан; (14.08.1938-39 г.-&gt; М.М. Трухан, (-1940-05.1941 г.-)- И. Г. Загайнов</w:t>
      </w:r>
      <w:r w:rsidRPr="00640820">
        <w:rPr>
          <w:rFonts w:ascii="Times New Roman" w:hAnsi="Times New Roman"/>
          <w:color w:val="000000" w:themeColor="text1"/>
          <w:sz w:val="16"/>
          <w:szCs w:val="16"/>
          <w:vertAlign w:val="superscript"/>
        </w:rPr>
        <w:t>38</w:t>
      </w:r>
      <w:r w:rsidRPr="00640820">
        <w:rPr>
          <w:rFonts w:ascii="Times New Roman" w:hAnsi="Times New Roman"/>
          <w:color w:val="000000" w:themeColor="text1"/>
          <w:sz w:val="16"/>
          <w:szCs w:val="16"/>
        </w:rPr>
        <w:t>, (11.1941; 11.1942 г.)- В.Е. Саладзе, (1941-05.1942 г.-)- С.И. Агаджанов, (1978-91 г.)- В.Ш. Тордия. Гендиректор (1998-2005г,- )- В.Ш. Тордия.</w:t>
      </w:r>
    </w:p>
    <w:p w14:paraId="010674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(1925 г.)- Радченко, (06.1937 г.)- И.М. Косткин. Помощник директора: по техчасти (-07.1927- 03.1928 г.-)- Е.Н. Сивальнев; по коммерческой части (1925 г.)- Лейкин; по найму и увольнению (06.1937 г.)- П.И. Ермолаев.</w:t>
      </w:r>
    </w:p>
    <w:p w14:paraId="6FAED1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Технический директор (1925 г.)- Геллерштейн, (-1933-7.09.1937 г.)- И.М. Косткин.</w:t>
      </w:r>
    </w:p>
    <w:p w14:paraId="20B06D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(1920-е)- Сальков, (1934 г.)- Е.Н. Сивальнев, (06.1937 г.)- И.М. Косткин, (14.08.1938 г.-)- А.К. Беленков.</w:t>
      </w:r>
    </w:p>
    <w:p w14:paraId="2B6729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(1932-34 г.)- В.Б. Шавров, (1934-40 г.)-  Г.М. Бериев, (1940 г.-)- В.П. Горбунов.</w:t>
      </w:r>
    </w:p>
    <w:p w14:paraId="2FB073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механик (1925 г.)- Перловский, (07.1928 г.)- Сокольский.</w:t>
      </w:r>
    </w:p>
    <w:p w14:paraId="1F476C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Заведующие: техчастью (1922 г.-)- Сальков; производством (1925 г.-)- Невский; и.о. (07.1928 г.)- Белоусов; секретной частью (07.1928 г.)- Коваленко.</w:t>
      </w:r>
    </w:p>
    <w:p w14:paraId="122A1F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Помощник завпроизводством: (1925 г.)- Митрюков, (07.1928 г.)- Лисунов, Глазко.</w:t>
      </w:r>
    </w:p>
    <w:p w14:paraId="750A51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Заведующие отделами: техническим (1925 г.)- Сальков; ремонтно-строительным (1925 г.)- Дружинин; снабжения (03.1928 г.)- Путин; ОЭТ (07.1928 г.)- Абрамов; КИО (07.1928 г.)- Зотов. Начальник спецотдела (1930 г.)- Любомудров.</w:t>
      </w:r>
    </w:p>
    <w:p w14:paraId="27D422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бюро: РБ (-1925-28 г.-)- Слуцкий; ТНБ (1925 г.)- Смирнов; БТК (1925 г.)- Вестерблюм; технического (1925 г.)- Белоусов, (07.1928 г.)- Созанович; БОП (1925 г.)- Попов; мобилизационного (07.1928 г.)- Сафанюк.</w:t>
      </w:r>
    </w:p>
    <w:p w14:paraId="104A22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Помощник начальника бюро: РБ (07.1928 г.)- Емец.</w:t>
      </w:r>
    </w:p>
    <w:p w14:paraId="070DBA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Архитектор (1925 г.)- Поваляев. Комендант (1925 г.)- Машонин.</w:t>
      </w:r>
    </w:p>
    <w:p w14:paraId="34A7ED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групп: конструкторской (-1939 г.)- Б.В. Долгодров.</w:t>
      </w:r>
    </w:p>
    <w:p w14:paraId="296154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самолеты: «Лебедь-12» (1917-), «</w:t>
      </w:r>
      <w:r w:rsidRPr="00640820">
        <w:rPr>
          <w:rFonts w:ascii="Times New Roman" w:hAnsi="Times New Roman"/>
          <w:color w:val="000000" w:themeColor="text1"/>
          <w:sz w:val="16"/>
          <w:szCs w:val="16"/>
          <w:lang w:val="en-US"/>
        </w:rPr>
        <w:t>Voisin</w:t>
      </w:r>
      <w:r w:rsidRPr="00640820">
        <w:rPr>
          <w:rFonts w:ascii="Times New Roman" w:hAnsi="Times New Roman"/>
          <w:color w:val="000000" w:themeColor="text1"/>
          <w:sz w:val="16"/>
          <w:szCs w:val="16"/>
        </w:rPr>
        <w:t>» (1917-), Р-2 (</w:t>
      </w:r>
      <w:r w:rsidRPr="00640820">
        <w:rPr>
          <w:rFonts w:ascii="Times New Roman" w:hAnsi="Times New Roman"/>
          <w:color w:val="000000" w:themeColor="text1"/>
          <w:sz w:val="16"/>
          <w:szCs w:val="16"/>
          <w:lang w:val="en-US"/>
        </w:rPr>
        <w:t>DH</w:t>
      </w:r>
      <w:r w:rsidRPr="00640820">
        <w:rPr>
          <w:rFonts w:ascii="Times New Roman" w:hAnsi="Times New Roman"/>
          <w:color w:val="000000" w:themeColor="text1"/>
          <w:sz w:val="16"/>
          <w:szCs w:val="16"/>
        </w:rPr>
        <w:t>-9</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 1922-), Р-1 (1923-32)- 946, МР-1 (1927-29)- 124, Р-6 (1932-34)- 71, МР-6 (-1933-), ТБ-1П (1932-34; по [52] в 1931-33)- 50, ПС-9 (1932-34)- 5, Ш-2 (1932-34)- 270 (298), МБР-4 (</w:t>
      </w:r>
      <w:r w:rsidRPr="00640820">
        <w:rPr>
          <w:rFonts w:ascii="Times New Roman" w:hAnsi="Times New Roman"/>
          <w:color w:val="000000" w:themeColor="text1"/>
          <w:sz w:val="16"/>
          <w:szCs w:val="16"/>
          <w:lang w:val="en-US"/>
        </w:rPr>
        <w:t>SavojaS</w:t>
      </w:r>
      <w:r w:rsidRPr="00640820">
        <w:rPr>
          <w:rFonts w:ascii="Times New Roman" w:hAnsi="Times New Roman"/>
          <w:color w:val="000000" w:themeColor="text1"/>
          <w:sz w:val="16"/>
          <w:szCs w:val="16"/>
        </w:rPr>
        <w:t>-62; 1932-33)- 51 по лицензии, МБР-2 (1934-40)- 1365, МБР-5 (1935)- 1, МДР-4 (1936-37)- 15, Бе-2 (1937-40)- 12, ГСТ (</w:t>
      </w:r>
      <w:r w:rsidRPr="00640820">
        <w:rPr>
          <w:rFonts w:ascii="Times New Roman" w:hAnsi="Times New Roman"/>
          <w:color w:val="000000" w:themeColor="text1"/>
          <w:sz w:val="16"/>
          <w:szCs w:val="16"/>
          <w:lang w:val="en-US"/>
        </w:rPr>
        <w:t>ConsolidatedPBY</w:t>
      </w:r>
      <w:r w:rsidRPr="00640820">
        <w:rPr>
          <w:rFonts w:ascii="Times New Roman" w:hAnsi="Times New Roman"/>
          <w:color w:val="000000" w:themeColor="text1"/>
          <w:sz w:val="16"/>
          <w:szCs w:val="16"/>
        </w:rPr>
        <w:t>-1) (1938-40)- 27, Че-2 (1939-41)- 17, Су-2 (1940- 41), ЛаГГ-3 (1941-44)- 2550, Ла-5ФН (1942-43)- 27, Як-3 (1944-46)- 960, Як-11 (1946), Як-15 (1946-47), Як-17УШ (1947), Як-17 (1948-49)- 430, Як-23 (1948-51), МиГ-15бис (1951-52)- 225, МиГ-17 (1953-55), МиГ-17ПФ (1955-56), Е-5 (1957)- 5, МиГ-21 (1962-85), Як-58 (1993), Су-25 (1979-94); УРВП: К-10С (1959-61); мишени Ла-17 (1958-60), Ла-17М (1961-); ремонт Су-25 (2006).</w:t>
      </w:r>
    </w:p>
    <w:p w14:paraId="15F1CE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Заводской №: 263105 (Су-2); № 203107 (Бе-2) (11982).</w:t>
      </w:r>
    </w:p>
    <w:p w14:paraId="78923881" w14:textId="77777777" w:rsidR="0038220C" w:rsidRPr="00640820" w:rsidRDefault="0038220C" w:rsidP="00640820">
      <w:pPr>
        <w:autoSpaceDE w:val="0"/>
        <w:autoSpaceDN w:val="0"/>
        <w:adjustRightInd w:val="0"/>
        <w:spacing w:after="0" w:line="240" w:lineRule="auto"/>
        <w:jc w:val="both"/>
        <w:rPr>
          <w:rFonts w:ascii="Times New Roman" w:hAnsi="Times New Roman"/>
          <w:color w:val="000000" w:themeColor="text1"/>
          <w:sz w:val="16"/>
          <w:szCs w:val="16"/>
        </w:rPr>
      </w:pPr>
    </w:p>
    <w:p w14:paraId="1C8EAA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9 октября 1941 г. завод № 301 1ГУ НКАП (Завод № 301 НКОП, НКАП /г. Химки Московской обл./) эвакуирован в  г. Новосибирск и влит в состав завода № 153 </w:t>
      </w:r>
      <w:r w:rsidRPr="00640820">
        <w:rPr>
          <w:rFonts w:ascii="Times New Roman" w:hAnsi="Times New Roman"/>
          <w:color w:val="000000" w:themeColor="text1"/>
          <w:sz w:val="16"/>
          <w:szCs w:val="16"/>
          <w:lang w:val="en-US"/>
        </w:rPr>
        <w:t>HKAII</w:t>
      </w:r>
      <w:r w:rsidRPr="00640820">
        <w:rPr>
          <w:rFonts w:ascii="Times New Roman" w:hAnsi="Times New Roman"/>
          <w:color w:val="000000" w:themeColor="text1"/>
          <w:sz w:val="16"/>
          <w:szCs w:val="16"/>
        </w:rPr>
        <w:t>. Выбыл из состава действующих с 10.1941 г.</w:t>
      </w:r>
    </w:p>
    <w:p w14:paraId="28307B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площадке эвакуированного завода с 10.1941 г. были организованы ремонтные мастерские при Ремотделе НКАП. Затем мастерские преобразованы в Ремонтный завод, которому позднее вновь дано наименование ГС завод №301 НКАП.</w:t>
      </w:r>
    </w:p>
    <w:p w14:paraId="66F7CB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(11.1940 г.)- 425 металлорежущих станков.</w:t>
      </w:r>
    </w:p>
    <w:p w14:paraId="4B52A7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(10.06.1937-11.1938-; 12.1940 г.-)- Ю.Б. Эскин.</w:t>
      </w:r>
    </w:p>
    <w:p w14:paraId="3D0126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Помощник директора (1938 г.)- Григорьев (снят).</w:t>
      </w:r>
    </w:p>
    <w:p w14:paraId="70249E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Технический директор (10.06-19.07.1937 г.)- Е.Ф. Амбольт (снят), (7.09.1937 г.-)- И.М. Косткин.</w:t>
      </w:r>
    </w:p>
    <w:p w14:paraId="47D97C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(10.06.1937-30.12.1938 г.)- А.А. Дубровин.</w:t>
      </w:r>
    </w:p>
    <w:p w14:paraId="7D8C67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 самолеты:</w:t>
      </w:r>
      <w:r w:rsidRPr="00640820">
        <w:rPr>
          <w:rFonts w:ascii="Times New Roman" w:hAnsi="Times New Roman"/>
          <w:color w:val="000000" w:themeColor="text1"/>
          <w:sz w:val="16"/>
          <w:szCs w:val="16"/>
        </w:rPr>
        <w:t xml:space="preserve"> "</w:t>
      </w:r>
      <w:r w:rsidRPr="00640820">
        <w:rPr>
          <w:rFonts w:ascii="Times New Roman" w:hAnsi="Times New Roman"/>
          <w:color w:val="000000" w:themeColor="text1"/>
          <w:sz w:val="16"/>
          <w:szCs w:val="16"/>
          <w:lang w:val="en-US"/>
        </w:rPr>
        <w:t>Caudron</w:t>
      </w:r>
      <w:r w:rsidRPr="00640820">
        <w:rPr>
          <w:rFonts w:ascii="Times New Roman" w:hAnsi="Times New Roman"/>
          <w:color w:val="000000" w:themeColor="text1"/>
          <w:sz w:val="16"/>
          <w:szCs w:val="16"/>
        </w:rPr>
        <w:t>" (1938), УТ-2 (1938-39)- 386, УТ-3 (1940)- 11, Як-1 (1940-41)- 168, Як-7 (1941)- 186; фюзеляжи для ББ-22.</w:t>
      </w:r>
    </w:p>
    <w:p w14:paraId="0E6E1B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Филиал завода № 301 НКАП, КБ при заводе № 301 НКАП гл. конструктора В.К. Грибовского /пос. Павшино Московской обл./</w:t>
      </w:r>
    </w:p>
    <w:p w14:paraId="3131AB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КБ гл. конструктора В.К. Грибовского как филиал завода № 301 образовано по приказу № 414с от 20.12.1939 г., размещалось в здании недостроенного гаража Мосвоенторга.</w:t>
      </w:r>
    </w:p>
    <w:p w14:paraId="599723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Разработка опытных легких самолетов (создан проект Г-28).</w:t>
      </w:r>
    </w:p>
    <w:p w14:paraId="1645E9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72с от 10.03.1940 г. на базе филиала завода № 301, переданного из 1ГУ в 7ГУ, организовано ГС ОКБ-28 НКАП гл. конструктора В.К. Грибовского для опытных работ по планерам (11982).</w:t>
      </w:r>
    </w:p>
    <w:p w14:paraId="13277E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D352E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г. по приказу НКАП № 1053сс завод № 207 1ГУ НКАП эвакуирован в Молотов и с 10.1941 г. выбыл из числа действующих в результате объединения с эвакуированным сюда же заводом № 135 НКАП. По приказу № 1168с от 16.12.1941 г. часть личного состава с завода № 207 переведена на завод № 156 НКАП.</w:t>
      </w:r>
    </w:p>
    <w:p w14:paraId="2C453C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приказам № 1073с от 20.10.1941 г. и № 93с от 2.02.1942 г. на площадке эвакуированного завода № 207 с 10.1941 г. образовались самолетные Ремонтные мастерские при Ремотделе, далее- при Главремуправлении НКАП. Начальник с 01.1942 г.- М.П. Озимков (с завода № 487). Сюда возвращены кадры, ранее отправленные на завод № 156. Ремонт ЛаГГ-1, Ла-5, МиГ-3, Як-3, Як-9, Ил-2.</w:t>
      </w:r>
    </w:p>
    <w:p w14:paraId="772E61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04.1942 г. на площадке завода № 207 образован завод № 462 НКАП. С 1957 г. здесь же - ОКБ-424 (ДКБА).</w:t>
      </w:r>
    </w:p>
    <w:p w14:paraId="496125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(11.1940 г.)- 198 металлорежущих станков.</w:t>
      </w:r>
    </w:p>
    <w:p w14:paraId="2EE4CF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(1932 г.)- П. Пурмаль,</w:t>
      </w:r>
      <w:r w:rsidRPr="00640820">
        <w:rPr>
          <w:rFonts w:ascii="Times New Roman" w:hAnsi="Times New Roman"/>
          <w:color w:val="000000" w:themeColor="text1"/>
          <w:sz w:val="16"/>
          <w:szCs w:val="16"/>
          <w:vertAlign w:val="superscript"/>
        </w:rPr>
        <w:t>104</w:t>
      </w:r>
      <w:r w:rsidRPr="00640820">
        <w:rPr>
          <w:rFonts w:ascii="Times New Roman" w:hAnsi="Times New Roman"/>
          <w:color w:val="000000" w:themeColor="text1"/>
          <w:sz w:val="16"/>
          <w:szCs w:val="16"/>
        </w:rPr>
        <w:t xml:space="preserve"> (1932 г.)- И. Фильдман, (-06.193 7-11.04.193 8 г.)- С. Г. Хорьков (арестован), (19.06-09.1938 г.-)- С.В. Житенев, (1938-05.1941 г.-)-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II</w:t>
      </w:r>
      <w:r w:rsidRPr="00640820">
        <w:rPr>
          <w:rFonts w:ascii="Times New Roman" w:hAnsi="Times New Roman"/>
          <w:color w:val="000000" w:themeColor="text1"/>
          <w:sz w:val="16"/>
          <w:szCs w:val="16"/>
        </w:rPr>
        <w:t>. Горин.</w:t>
      </w:r>
    </w:p>
    <w:p w14:paraId="1B0622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(-06-20.12.1937 г.)- П.Б. Рудини (снят); по строительству (28.02.1937 г.-)- И.П. Афанасьев.</w:t>
      </w:r>
    </w:p>
    <w:p w14:paraId="5562A5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(01.1937-39 г.)- А.И. Путилов (репрессирован), (-06-20.12.1937 г.)- П.Б. Рудини,</w:t>
      </w:r>
      <w:r w:rsidRPr="00640820">
        <w:rPr>
          <w:rFonts w:ascii="Times New Roman" w:hAnsi="Times New Roman"/>
          <w:color w:val="000000" w:themeColor="text1"/>
          <w:sz w:val="16"/>
          <w:szCs w:val="16"/>
          <w:vertAlign w:val="superscript"/>
        </w:rPr>
        <w:t>139</w:t>
      </w:r>
      <w:r w:rsidRPr="00640820">
        <w:rPr>
          <w:rFonts w:ascii="Times New Roman" w:hAnsi="Times New Roman"/>
          <w:color w:val="000000" w:themeColor="text1"/>
          <w:sz w:val="16"/>
          <w:szCs w:val="16"/>
        </w:rPr>
        <w:t xml:space="preserve"> (10.1941 г.)- В.К. Таиров.</w:t>
      </w:r>
    </w:p>
    <w:p w14:paraId="4468A9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(1932 г.-)- Умберто Нобиле.</w:t>
      </w:r>
      <w:r w:rsidRPr="00640820">
        <w:rPr>
          <w:rFonts w:ascii="Times New Roman" w:hAnsi="Times New Roman"/>
          <w:color w:val="000000" w:themeColor="text1"/>
          <w:sz w:val="16"/>
          <w:szCs w:val="16"/>
          <w:vertAlign w:val="superscript"/>
        </w:rPr>
        <w:t>104</w:t>
      </w:r>
    </w:p>
    <w:p w14:paraId="7E3336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КБ «Дирижаблестроя» (1938-46 г.)- Умберто Нобиле.</w:t>
      </w:r>
    </w:p>
    <w:p w14:paraId="0DCC21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дирижабли: В-2, В-3 (1932), В-5, В-6, В-8 (1936)- 1, ДП-9, В-12, ДП-16 (1938), ДС-8, Д-100; самолеты: И-207 (1939-41)- 4, Су-2 (1940-41)- 92.</w:t>
      </w:r>
    </w:p>
    <w:p w14:paraId="6B2105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завода № 207 НКАП гл. конструкторов А.А. Боровкова и И.Ф. Флорова</w:t>
      </w:r>
    </w:p>
    <w:p w14:paraId="6CD61C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Образовалось на заводе № 207 после перехода сюда осенью 1938 г. с завода № 21 конструкторской группы А.А. Боровкова и И.Ф. Флорова. Работы по истребителю И-207; проект экспериментального истребителя «Д» с комбинированной двигательной установкой (М-71 и ПВРД, 2х ДМ-12). В 1941 г. работы по «Д» прекращены из-за эвакуации.</w:t>
      </w:r>
    </w:p>
    <w:p w14:paraId="6D0CF1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07.1941 г. ОКБ было расформировано. По приказу № 792сс от 3/4.08.1941 г. Боровков и Флоров с группой сотрудников откомандированы в ОКБ-293 Болховитинова.</w:t>
      </w:r>
    </w:p>
    <w:p w14:paraId="249EE0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СЖБ-207 НКАП гл. конструктора С.А. Кочеригина</w:t>
      </w:r>
    </w:p>
    <w:p w14:paraId="7E05DA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08.1941 г. конструкторская группа С.А. Кочеригина из 28 чел. переведена с завода № 156 НКАП на площадку завода № 207 для доделки ОПБ и подготовки его к испытаниям. Здесь группа получила обозначение ОКБ-207 НКАП. Однако, из-за эвакуации завода достроить самолет не удалось. В 10.1941 г. планер ОПБ направлен на завод № 135, а Кочеригин назначен гл. редактором БНТ НКАП (11982).</w:t>
      </w:r>
    </w:p>
    <w:p w14:paraId="418E70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074DA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9 октября 1941 Наркомат авиапромышленности отдал приказ № 1053 о немедленной и полной эвакуации авиакомбината. Винтовому производству авиакомбината и ОКБ предписывалось эвакуироваться в г. Куйбышев и уже 15 октября первый эшелон с оборудованием, материалами, готовыми деталями и людьми отправился в пункт своего назначения. В Куйбышеве в районе станции Безымянка винтовому заводу № 35, как он стал именоваться, на территории самолетостроительного завода выделили два корпуса, у которых были только стены и крыша. Электроэнергии, тепла еще не было, окна и фонари не были застеклены. Работы по монтажу оборудования приходилось выполнять вручную, поскольку никакой другой механизации не было. Холод был такой, что кожа рук прилипала к металлу. Люди молча, напрягая все силы, собирали свой завод, до этого разобранный на части, чтобы заставить его жить снова. С получением электроэнергии все цеха начали работать, а ИТР и часть рабочих были переведены на казарменное положение. Работали по 12 часов в сутки без выходных. Спали тут же в цехах или в коридорах бытовок, во время работы обогревались у жаровен или костров, разложенных прямо на полу цеха на листах железа. Ко всем трудностям прибавился еще и голод. Из-за низкой калорийности пищи и отсутствия витаминов началась цинга, люди слабели буквально на глазах. Таковы некоторые штрихи к условиям жизни и работы коллектива ступинских винтовиков зимой 1941 г. Директором завода № 35 был А.И. Марочкин, человек эмоциональный, энергичный и в некоторой степени настырно пробивной. Будучи человеком неординарным А.И. Марочкин выделялся среди директоров авиационных заводов, располагавшихся на станции Безымянка, и был лидером в директорской компании. С Главным конструктором ОКБ № 35 К.И. Ждановым у него сразу сложились доверительные товарищеские взаимоотношения. Подчас окружающим даже не верилось, как могут эти два абсолютно разных человека так удачно дополнять друг друга в своей производственной деятельности. Директор А.И. Марочкин ввел на заводе порядок, согласно которому начальники цехов и мастера не имели отдельных кабинетов, а их рабочие места были организованы около станков. Начальники не должны много сидеть за столами, считал директор. Они должны быть около рабочих и точно знать, кто и что в данный момент делает, какие недочеты в работе надо устранить, чем помочь. Такой же порядок был введен в конструкторских и других отделах, а также лабораториях. Начальники бригад и лабораторий находились вместе со всеми сотрудниками в общих залах и комнатах. При этом, конструктор осуществлял авторское сопровождение изготовления своей </w:t>
      </w:r>
      <w:r w:rsidRPr="00640820">
        <w:rPr>
          <w:rFonts w:ascii="Times New Roman" w:hAnsi="Times New Roman"/>
          <w:color w:val="000000" w:themeColor="text1"/>
          <w:sz w:val="16"/>
          <w:szCs w:val="16"/>
        </w:rPr>
        <w:lastRenderedPageBreak/>
        <w:t>детали в цехе, чтобы вовремя дать указания рабочему. Конструкторы не могут быть кабинетными работниками, - подчеркивал А.И. Марочкин. Они должны отлично знать производство. Все дело решают люди: те, которые у станка, и те, кто в конструкторском бюро и те, которые руководят всеми. Такого же принципа, что кадры решают все, придерживался и К.И. Жданов, он очень ценил добросовестных работников и по мере своих возможностей отмечал их плодотворный труд. Среди них были конструкторы: Л.М. Ногтев, A.M. Першин, Б.П. Казанский, И.П. Каньшин, Г.Н. Кулагин, Н.П. Кузьмичев, инженер - аэродинамик А.А. Мальян, инженеры-испытатели: Д.М. Дубровский, А.Г. Зозуля, М.И. Стойда, первый начальник опытного цеха воздушных винтов В.Д. Баранов, старший технолог опытного производства В.С. Пятилышнев. Первые винты собирались в основном из деталей, привезенных из Ступина. С началом работы механических цехов выявилась нехватка заготовок, поступающих с предприятий-смежников, в частности, штамповок лопастей. Наркоматом авиапромышленности было принято решение доставлять штамповки лопастей самолетами. По воздушному мосту Свердловск - Куйбышев в любую погоду доставлялось 100-120 заготовок в сутки, которые тут же запускались в производство. За годы войны завод №35 производил различные типы винтов для военной авиации. Это были лицензионные винты типа ВИШ и более совершенные отечественные винты АВ-5,улучшением технических характеристик которых постоянно занимались конструкторы и инженеры ОКБ. Под руководством директора А.И. Марочкина, главного инженера В.К. Державцева, главного конструктора К.И. Жданова, с непосредственным исполнением работ со стороны зам. главного инженера Я.А. Ланцмана на винтовом производстве впервые был запущен конвейер для сборки воздушных винтов, что позволило к июню 1942г. достигнуть выполнения плановых заданий (11415).</w:t>
      </w:r>
    </w:p>
    <w:p w14:paraId="6DE9BB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ABC0A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г. по приказу № 1053сс на площадку строительства завода № 446 НКАП в Баку эвакуирован завод № 458 НКАП из Ростова-на-Дону. По приказу № 1118сс от 14.11.1941 г. заводы № 458 и № 446 слиты с образованием единого завода № 458.</w:t>
      </w:r>
    </w:p>
    <w:p w14:paraId="5ADE19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Директор/начальник строительства (09.1940 г.-)- А.А. Аванесов.</w:t>
      </w:r>
    </w:p>
    <w:p w14:paraId="158D47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Гл. инженер (09.1940 г.-)- </w:t>
      </w:r>
      <w:r w:rsidRPr="00640820">
        <w:rPr>
          <w:rFonts w:ascii="Times New Roman" w:hAnsi="Times New Roman"/>
          <w:color w:val="000000" w:themeColor="text1"/>
          <w:sz w:val="16"/>
          <w:szCs w:val="16"/>
          <w:lang w:val="en-US"/>
        </w:rPr>
        <w:t>JI</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Минский (11982).</w:t>
      </w:r>
    </w:p>
    <w:p w14:paraId="67EA2D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DE0B1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г. по приказу № 1053сс завод № 458 10ГУ НКАП эвакуирован в Баку на площадку строительства завода № 446 НКАП. По приказу № 1118сс от 14.11.1941 г. заводы № 458 и № 446 слиты с образованием единого завода № 458.</w:t>
      </w:r>
    </w:p>
    <w:p w14:paraId="50152D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1942 г. выпускал бензобаки для «СБ», амортизаторы для ТБ-3, детали для ППШ, «Катюши» и др.</w:t>
      </w:r>
    </w:p>
    <w:p w14:paraId="5775DD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1942 г. на площадке эвакуированного завода в Ростове образовался завод № 87 НКАП.</w:t>
      </w:r>
    </w:p>
    <w:p w14:paraId="5FC4E4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ГКО № 1398сс от 6.03.1942 г. и приказом № 227сс от 21.03.1942 г. завод № 458 был переведен к 05.1942 г. из Баку со всем оборудованием и личным составом в Москву на завод № 23 (планировалось сначала на завод № 81) и влит в его состав. Часть оборудования передана другим заводам 1ГУ, ЮГУ и заводу № 7 ОАП НКАП. Выбыл из числа действующих.</w:t>
      </w:r>
    </w:p>
    <w:p w14:paraId="1F7629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месте завода № 458 в Баку далее создано Бакинское АПО им. 50-летия Азербайджана.</w:t>
      </w:r>
      <w:r w:rsidRPr="00640820">
        <w:rPr>
          <w:rFonts w:ascii="Times New Roman" w:hAnsi="Times New Roman"/>
          <w:color w:val="000000" w:themeColor="text1"/>
          <w:sz w:val="16"/>
          <w:szCs w:val="16"/>
          <w:vertAlign w:val="superscript"/>
        </w:rPr>
        <w:t>30</w:t>
      </w:r>
    </w:p>
    <w:p w14:paraId="131EEA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(10.1940-03.1942 г.-)- А.П. Бугров.</w:t>
      </w:r>
    </w:p>
    <w:p w14:paraId="24291F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(10.1940 г.-)- А.А. Евтеев.</w:t>
      </w:r>
    </w:p>
    <w:p w14:paraId="58B526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(10.1940 г.-)- А.А. Евтеев.</w:t>
      </w:r>
    </w:p>
    <w:p w14:paraId="38A15C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самолет УТИ-4 (1941-42)- 439.</w:t>
      </w:r>
    </w:p>
    <w:p w14:paraId="217227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Бакинское Агрегатное ПО (БАПО) им. 50-летня Азербайджана, БАПО «Иглим» /Азербайджан/</w:t>
      </w:r>
    </w:p>
    <w:p w14:paraId="33578E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Бакинское АПО создано на месте переведенного в Москву завода № 458 НКАП. Далее - БАПО «Иглим».</w:t>
      </w:r>
      <w:r w:rsidRPr="00640820">
        <w:rPr>
          <w:rFonts w:ascii="Times New Roman" w:hAnsi="Times New Roman"/>
          <w:color w:val="000000" w:themeColor="text1"/>
          <w:sz w:val="16"/>
          <w:szCs w:val="16"/>
          <w:vertAlign w:val="superscript"/>
        </w:rPr>
        <w:t>30</w:t>
      </w:r>
    </w:p>
    <w:p w14:paraId="40F421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агрегатов бытового оборудования и систем кондиционирования ЛА (2003 г.) (11982).</w:t>
      </w:r>
    </w:p>
    <w:p w14:paraId="70C8C1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0C275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г. по приказу № 1053сс Постановлением ГКО № 741с от 8.10.1941 г. на площадку завода № 337 эвакуирован из Москвы завод № 24 НКАП. Тем же приказом образован единый завод № 24 НКАП, объединивший заводы НКАП № 24, № 281, № 337. На завод № 337 НКАП эвакуирована часть завода № 181 НКСП из Ленинграда. В 06.1941 г. на площадку завода № 337 эвакуирован и по приказу № 726сс от 18.07.1941 г. влит в его состав завод № 459 НКАП. Далее по приказу № 782сс от 1.08.1941 г. в состав завода № 337 влит эвакуированный сюда со всем оборудованием и личным составом завод № 452 НКАП. 08.1941 г. регатов к мотору АМ-38.</w:t>
      </w:r>
    </w:p>
    <w:p w14:paraId="1F21D8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Также по приказу № 1053сс от 9.10.1941 г. на площадку литейного цеха завода № 337 должно было эвакуироваться оборудование и личный состав завода № 219 9ГУ НКАП. С 10.1941 г. завод № 337 выбыл из числа действующих.</w:t>
      </w:r>
    </w:p>
    <w:p w14:paraId="706A92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(-06-08.1941 г.-)- В.М. Дубов (11982).</w:t>
      </w:r>
    </w:p>
    <w:p w14:paraId="4379F3E0" w14:textId="77777777" w:rsidR="0038220C" w:rsidRPr="00640820" w:rsidRDefault="0038220C" w:rsidP="00640820">
      <w:pPr>
        <w:autoSpaceDE w:val="0"/>
        <w:autoSpaceDN w:val="0"/>
        <w:adjustRightInd w:val="0"/>
        <w:spacing w:after="0" w:line="240" w:lineRule="auto"/>
        <w:jc w:val="both"/>
        <w:rPr>
          <w:rFonts w:ascii="Times New Roman" w:hAnsi="Times New Roman"/>
          <w:color w:val="000000" w:themeColor="text1"/>
          <w:sz w:val="16"/>
          <w:szCs w:val="16"/>
        </w:rPr>
      </w:pPr>
    </w:p>
    <w:p w14:paraId="388DA2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г. на заводе № 394 (ГС Завод № 384 НКАП, Уфимский моторный завод НКСМ /г. Уфа/) на базе ОКБ и его опытного производства (эвакуированного по приказу № 1053сс на площадку протезного завода) к 11.1941 г. образовано самостоятельное ОКБ-250 НКАП под руководством В.А. Добрынина. Кроме того, в 1941 г. в Уфу на площадку завода № 384 должен был быть эвакуирован завод № 291 НКАП (эвакуирован на площадку Завода горного оборудования) и влит в его состав. Также по приказу № 1053сс от 9.10.1941 г. на площадку литейного цеха завода № 384 должно было эвакуироваться оборудование и личный состав завода № 219 9ГУ НКАП (эвакуирован частично, часть- на площадку завода № 338). На площадку завода № 384 эвакуированы также Опытный завод и производственные лаборатории ЦИАТИМ НКАП и стройтрест № 11 НКАП.</w:t>
      </w:r>
    </w:p>
    <w:p w14:paraId="2CA4D4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(10.1940-08.1941 г.)-  Г.Д. Брусникин, (08.1941 г.-&gt; В.П. Баландин (11982).</w:t>
      </w:r>
    </w:p>
    <w:p w14:paraId="4A7B0B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D8084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9 октября 1941 г. по приказу № 1053сс завод № 33 4ГУ НКАП (Завод № 33 им. М.И. Калинина НКТП, НКОП, НКАП, МАП, Пермский карбюраторный завод (ПКЗ) им. М.И. Калинина, Пермский агрегатный завод, ПО им. М.И. Калинина, АООТ «Инкар», ОАО «Пермское агрегатное объединение (ПАО) «Инкар» / г. Москва район ст. Бутырская-Товарная п/я 101 (1930 г.);  г. Молотов/ /614990  г. Пермь ГСП-621 ул. Куйбышева, 140 тел. 49-32-07, -36-26, 34-22-28/) вместе с ОКБ эвакуирован в  г. Молотов на площадку расположенного здесь завода № 339 4ГУ НКАП аналогичной специализации. По приказу </w:t>
      </w:r>
      <w:r w:rsidRPr="00640820">
        <w:rPr>
          <w:rFonts w:ascii="Times New Roman" w:hAnsi="Times New Roman"/>
          <w:color w:val="000000" w:themeColor="text1"/>
          <w:sz w:val="16"/>
          <w:szCs w:val="16"/>
          <w:lang w:val="en-US"/>
        </w:rPr>
        <w:t>JVs</w:t>
      </w:r>
      <w:r w:rsidRPr="00640820">
        <w:rPr>
          <w:rFonts w:ascii="Times New Roman" w:hAnsi="Times New Roman"/>
          <w:color w:val="000000" w:themeColor="text1"/>
          <w:sz w:val="16"/>
          <w:szCs w:val="16"/>
        </w:rPr>
        <w:t xml:space="preserve"> 1082с от 28.10.1941 г. образован единый завод </w:t>
      </w:r>
      <w:r w:rsidRPr="00640820">
        <w:rPr>
          <w:rFonts w:ascii="Times New Roman" w:hAnsi="Times New Roman"/>
          <w:color w:val="000000" w:themeColor="text1"/>
          <w:sz w:val="16"/>
          <w:szCs w:val="16"/>
          <w:lang w:val="en-US"/>
        </w:rPr>
        <w:t>N</w:t>
      </w:r>
      <w:r w:rsidRPr="00640820">
        <w:rPr>
          <w:rFonts w:ascii="Times New Roman" w:hAnsi="Times New Roman"/>
          <w:color w:val="000000" w:themeColor="text1"/>
          <w:sz w:val="16"/>
          <w:szCs w:val="16"/>
        </w:rPr>
        <w:t>° 33 4ГУ НКАП. Уже в 11.1941 г. завод полностью перебазировался на новое место и вскоре начал производство.</w:t>
      </w:r>
    </w:p>
    <w:p w14:paraId="7667F1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Москве на старом месте по приказу НКАП № 46с от 17.01.1942 г. была организована ремонтная база, а затем Агрегатные ремонтные мастерские № 33 со штатом 43 чел. Начальник- Н.В. Козлов. А в 02.1942 г. на базе мастерских основан завод </w:t>
      </w:r>
      <w:r w:rsidRPr="00640820">
        <w:rPr>
          <w:rFonts w:ascii="Times New Roman" w:hAnsi="Times New Roman"/>
          <w:color w:val="000000" w:themeColor="text1"/>
          <w:sz w:val="16"/>
          <w:szCs w:val="16"/>
          <w:lang w:val="en-US"/>
        </w:rPr>
        <w:t>JNfe</w:t>
      </w:r>
      <w:r w:rsidRPr="00640820">
        <w:rPr>
          <w:rFonts w:ascii="Times New Roman" w:hAnsi="Times New Roman"/>
          <w:color w:val="000000" w:themeColor="text1"/>
          <w:sz w:val="16"/>
          <w:szCs w:val="16"/>
        </w:rPr>
        <w:t xml:space="preserve"> 315 НКАП.</w:t>
      </w:r>
    </w:p>
    <w:p w14:paraId="0CB5F9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1944 г. часть специалистов завода была переведена на завод № 487 для освоения выпуска топливных агрегатов.</w:t>
      </w:r>
    </w:p>
    <w:p w14:paraId="3C2FDF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1947 г.- завод № 33 им. М.И. Калинина. С 1953 г. передан во 2ГУ, с 1.05.1956 г.- в ЗГУ. В соответствии с пост. СМ СССР № 713-342 от 26.06.1957 г. передан в ведение СНХ РСФСР. В 1966 г. переименован в Пермский карбюраторный завод им. М.И. Калинина.</w:t>
      </w:r>
    </w:p>
    <w:p w14:paraId="139B8E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1954 г. начато производство систем автоматического управления авиационных ГТД; с 1957 г.- пневматической, гидравлической и электропневматической автоматики для РКТ.</w:t>
      </w:r>
    </w:p>
    <w:p w14:paraId="51BD45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01.1979 г. на базе завода и его филиала, Губахинского механического завода, образовалось Агрегатное ПО им. Калинина. С 1992 г. - АООТ «Инкар», с 1997 г. - ОАО «ПАО «Инкар». По решению правительства № 22-р от 9.01.2004 г. вошло в перечень стратегических предприятий.</w:t>
      </w:r>
    </w:p>
    <w:p w14:paraId="651306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(2004 г.): агрегаты топливной аппаратуры двигателей Д-30, ПС-90, Д-25В, ТВ2-117, ТВЗ-117, ТВ-0-100; агрегаты впрыска топлива, управления реактивным соплом; гидравлические и пневматические приводы, регуляторы, электромагниты, редукторы, фильтры; карбюраторы для малогабаритных авиационных ПД; электропилы, автомобильные газотопливные системы, аварийно-спасательный гидравлический инструмент.</w:t>
      </w:r>
    </w:p>
    <w:p w14:paraId="25E261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(1.04.2003 г.)-5478 чел.</w:t>
      </w:r>
    </w:p>
    <w:p w14:paraId="78BF2B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Директор (1928-ЗО г.-)- Х.Я. Фромзон, (1931-27.03.1937 г.)- А.И. Юдин, (27.03.1937-15.11.1938 г.)- Б.В. Акимов, (15.11.1938-; -02.1940 г.)- И.В. Хапов, (1939-40 г.)- А.Р. Горлин, (02.1940 г.-)- Д.М. Соколов, (12.1940-04.1942 г.)- А. Г. Солдатов, (04.1942-02.1944 г.)-А.М. Сильнов, (1943 г.)- М. Маланьин, (1943-44 г.)-  Г.Д. Брусникин, (1944- 49 г.)-  Г.Т. Вигура, (1949-55 г.)- Б.Я. Соснин, (1956-57 г.)-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Головачев, (06.1957-08.1966 г.)-  Г.Л. Журбенко, (1966-88 г.)- А.К. Горшков. Гендиректор (1988-2005 г.-)- Ю.Я. Антонов,</w:t>
      </w:r>
      <w:r w:rsidRPr="00640820">
        <w:rPr>
          <w:rFonts w:ascii="Times New Roman" w:hAnsi="Times New Roman"/>
          <w:color w:val="000000" w:themeColor="text1"/>
          <w:sz w:val="16"/>
          <w:szCs w:val="16"/>
          <w:vertAlign w:val="superscript"/>
        </w:rPr>
        <w:t>49</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vertAlign w:val="superscript"/>
        </w:rPr>
        <w:t>101</w:t>
      </w:r>
      <w:r w:rsidRPr="00640820">
        <w:rPr>
          <w:rFonts w:ascii="Times New Roman" w:hAnsi="Times New Roman"/>
          <w:color w:val="000000" w:themeColor="text1"/>
          <w:sz w:val="16"/>
          <w:szCs w:val="16"/>
        </w:rPr>
        <w:t xml:space="preserve"> (2008 г.)- С.В. Попов.</w:t>
      </w:r>
    </w:p>
    <w:p w14:paraId="58EFA0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строительства (-23.07.1937 г.)- Э.М. Ринбер г. Помощник директора по найму и увольнению (19.07- 11.1937 г.-)- В.Ф. Андреенко. Финансовый директор (2002 г.)- А.И. Долотов. Коммерческий директор (-2002- 11.2004 г.-&gt; В.В.Швецов.</w:t>
      </w:r>
    </w:p>
    <w:p w14:paraId="7BEDF3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(12.1937 г.)- Могилевич, (7.09.1938 г.-)- Б.А. Гусев, (-06.1940 г.)- И.Ф. Алисов, (06.1940-41 г.)- А. Г. Солдатов, (1941 г.-)- И.И. Чистякова, (2002 г.)- Ю.П. Бородин.</w:t>
      </w:r>
      <w:r w:rsidRPr="00640820">
        <w:rPr>
          <w:rFonts w:ascii="Times New Roman" w:hAnsi="Times New Roman"/>
          <w:color w:val="000000" w:themeColor="text1"/>
          <w:sz w:val="16"/>
          <w:szCs w:val="16"/>
          <w:vertAlign w:val="superscript"/>
        </w:rPr>
        <w:t>69</w:t>
      </w:r>
    </w:p>
    <w:p w14:paraId="729F44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(12.1938 г.)- К.А. Стариков.</w:t>
      </w:r>
    </w:p>
    <w:p w14:paraId="631F67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конструктора - К.А. Стариков.</w:t>
      </w:r>
    </w:p>
    <w:p w14:paraId="46E102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Начальник производства (1941 г.)-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Сильнова. Начальник опытного производства (1941 г.)- С.А. Громова.</w:t>
      </w:r>
    </w:p>
    <w:p w14:paraId="413800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цехов: (-1939 г.)-  Г.Ф. Черкасов. Заведующие отделами: снабжения (1930 г.)- Новиков.</w:t>
      </w:r>
    </w:p>
    <w:p w14:paraId="1C7ADF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Производство: авиационные карбюраторы: К-11, К-17, К-22, К-34, К-34СМ для ГАМ-34 (1938), К-100, К-25 и АК-25 для М-62 (1938-), К-87, К-96, АК-62, К-105, КВ-4 для МВ-4 (1938), КВ-6 для МВ-6 (1938), К-105, К-35Б, К-38, К-11, АК-62, АК-82БП, АК-88Б, К-107 (ВОВ), ВК-4, КМ-4 (после ВОВ); регуляторы поддува РПТ-1, помпы ПМ-18 (1930-е); агрегаты топливной аппаратуры для ТРД, плунжерные насосы ПН-15/28, автоматы распределения топлива АРТ-10; топливорегулирующая </w:t>
      </w:r>
      <w:r w:rsidRPr="00640820">
        <w:rPr>
          <w:rFonts w:ascii="Times New Roman" w:hAnsi="Times New Roman"/>
          <w:color w:val="000000" w:themeColor="text1"/>
          <w:sz w:val="16"/>
          <w:szCs w:val="16"/>
        </w:rPr>
        <w:lastRenderedPageBreak/>
        <w:t>аппаратура «53» для АЛ-21ФЗ, «3048» для Д-30Ф6 (1970- е); системы автоматического управления двигателей для самолетов Су-17, Су-24, Су-25, Су-27, МиГ-31; питающий насос НП-65, топливный насос НТ-ЮООВ, насосы-регуляторы НР-ЮООВ, НР-3075, НР-65, НР-87, НР- 90 (2004); пневмо-, гидро-, электроавтоматика для РН «Протон» (1962-); толкатели клапанов автомобильных двигателей (2004); автомобильные газотопливные системы САГА-6, САГА-7 (2002); бытовые электропилы «Инкар», «Парма» (2004) (11982).</w:t>
      </w:r>
    </w:p>
    <w:p w14:paraId="30EC1B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CE8BA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г. приказом № 1053сс в соответствии с Пост. ГКО № 741с от 8.10.1941 г. завод № 95 9ГУ НКАП (Завод № 95 НКТП, НКОП, НКАП, п/я 3, Специализированный завод по обработке легких металлов НКТП, Верхнесалдинский металлообрабатывающий завод, Верхнесалдинское металлургическое ПО (ВСМПО), АО «ВСМПО» /пос. Сетунь, ст. Кунцево Московской обл./ /624760  г. Верхняя Садда Свердловской обл., ул. Парковая, 1 тел. 23-832,21-304/) эвакуирован на площадку строительства завода № 491 НКАП и объединен с ним с образованием единого завода № 95 НКАП. Металлургия (9ГУ).</w:t>
      </w:r>
    </w:p>
    <w:p w14:paraId="37486E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цветного литья (дюраль, алюминий), проката, стального литья. С 1956 г. освоено производство титановых профилей и листа.</w:t>
      </w:r>
    </w:p>
    <w:p w14:paraId="70B6FF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1069с от 14.10.1941 г. заводу передана часть оборудования завода № 150 НКАП.</w:t>
      </w:r>
    </w:p>
    <w:p w14:paraId="37810E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81с от 26.01.1942 г. на площадке эвакуированного завода в Сетуни образовался филиал завода № 95 для производства литых заготовок и штамповок.</w:t>
      </w:r>
    </w:p>
    <w:p w14:paraId="6D22B8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СМ СССР № 713-342 от 26.06.1957 г. завод № 95 МАП ( г. Верхняя Садда) передан в Свердловский СНХ РСФСР. Имел наименование «п/я 3».</w:t>
      </w:r>
    </w:p>
    <w:p w14:paraId="680B01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Изготавливал комплектующие для ОК «Буран».</w:t>
      </w:r>
    </w:p>
    <w:p w14:paraId="093316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1998 г. ВСМПО приобрело ОАО «Ависма», в результате слияния образована корпорация «ВСМПО- Ависма».</w:t>
      </w:r>
    </w:p>
    <w:p w14:paraId="07FBA5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(2002 г.): цветное литье (титан и алюминий), штамповки, полуфабрикаты; нержавеющая сталь, ферротитан.</w:t>
      </w:r>
    </w:p>
    <w:p w14:paraId="5C0347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Имело филиалы (2002 г.)- АО «Титан-Сервис» ( г. Белгород), ООО «Корпорация «Титан-Восток» ( г. Владивосток), ЗАО «Тандем-</w:t>
      </w:r>
      <w:r w:rsidRPr="00640820">
        <w:rPr>
          <w:rFonts w:ascii="Times New Roman" w:hAnsi="Times New Roman"/>
          <w:color w:val="000000" w:themeColor="text1"/>
          <w:sz w:val="16"/>
          <w:szCs w:val="16"/>
          <w:lang w:val="en-US"/>
        </w:rPr>
        <w:t>S</w:t>
      </w:r>
      <w:r w:rsidRPr="00640820">
        <w:rPr>
          <w:rFonts w:ascii="Times New Roman" w:hAnsi="Times New Roman"/>
          <w:color w:val="000000" w:themeColor="text1"/>
          <w:sz w:val="16"/>
          <w:szCs w:val="16"/>
        </w:rPr>
        <w:t>» ( г. Москва). Имелись цеха (2007 г.): № 7, 21. Численность персонала (2002 г.)-12.913 чел.</w:t>
      </w:r>
    </w:p>
    <w:p w14:paraId="04ED63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(-02-20.12.1937 г.)- С.М. Лещенко (снят); и.о. (12.1937 г.)- И.С. Выштынецкий; (12.1937-; 15.06.1938- 41 г.-)- И.С. Выштынецкий, (01.1942 г.)- Селихов, (-01.1943-02.1946 г.-)- С.М. Лещенко. Гендиректор (1992-2006 г.- )- В.В. Тетюхин.</w:t>
      </w:r>
    </w:p>
    <w:p w14:paraId="221557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(-17.05.1937 г.)- Ю. Г. Музалевский, (27.05.1937 г.-)- И.С. Выштынецкий, (10.10.1938 г.-)- М.П. Семенов. Зам. гендиректора: по маркетингу (2002 г.)- В.А. Куцанкин; по реконструкции (2002 г.)- А.И. Гришечкин; по финансам (2002 г.)- В.П. Ячменев.</w:t>
      </w:r>
      <w:r w:rsidRPr="00640820">
        <w:rPr>
          <w:rFonts w:ascii="Times New Roman" w:hAnsi="Times New Roman"/>
          <w:color w:val="000000" w:themeColor="text1"/>
          <w:sz w:val="16"/>
          <w:szCs w:val="16"/>
          <w:vertAlign w:val="superscript"/>
        </w:rPr>
        <w:t>69</w:t>
      </w:r>
    </w:p>
    <w:p w14:paraId="27D58A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Технический директор (22.10.1937 г.-)- Ю. Г. Музалевский.</w:t>
      </w:r>
    </w:p>
    <w:p w14:paraId="462EE0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(-17.05.1937 г.)- Ю. Г. Музалевский, (27.05.1937 г.-&gt; И.С. Выштынецкий, (10.10.1938 г.-)- М.П. Семенов.</w:t>
      </w:r>
      <w:r w:rsidRPr="00640820">
        <w:rPr>
          <w:rFonts w:ascii="Times New Roman" w:hAnsi="Times New Roman"/>
          <w:color w:val="000000" w:themeColor="text1"/>
          <w:sz w:val="16"/>
          <w:szCs w:val="16"/>
          <w:vertAlign w:val="superscript"/>
        </w:rPr>
        <w:t>139</w:t>
      </w:r>
    </w:p>
    <w:p w14:paraId="0F715C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управления по кадрам (2006 г.)- В.И. Горбань.</w:t>
      </w:r>
    </w:p>
    <w:p w14:paraId="0AEDD5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Филиал Завода № 95 НКАП /пос. Сетунь ст. Кунцево Московской обл./</w:t>
      </w:r>
    </w:p>
    <w:p w14:paraId="612660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81с от 26.01.1942 г. на площадке эвакуированного завода в Сетуни образовался филиал завода № 95 для производства литых заготовок и штамповок. Директор- Селихов.</w:t>
      </w:r>
    </w:p>
    <w:p w14:paraId="1844BC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распоряжению СМ СССР № 2177рс от 1.02.1943 г. и приказу НКАП № 67с от 5.02.1943 г. филиал с 1.02.1943 г. преобразован в самостоятельный завод № 65 НКАП. Директор- Селихов (11982).</w:t>
      </w:r>
    </w:p>
    <w:p w14:paraId="1FFB65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A6EC3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Наркомат авиапромышленности издал приказ № 1053 о немедленной и полной эвакуации авиакомбината № 150 и ОКБ. Винтовому производству авиакомбината и ОКБ предписывалось эвакуироваться в город Куйбышев и уже 15 октября первый эшелон с оборудованием, материалами, готовыми деталями и людьми отправился в пункт назначения. Металлургическому же производству авиакомбината было приказано эвакуироваться в город Каменск-Уральский (12103).</w:t>
      </w:r>
    </w:p>
    <w:p w14:paraId="563E2D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A534F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г. по приказу № 1053сс часть завода (в т.ч. испытательная станция с личным составом) (Завод № 120 НКТП, НКОП, НКАП, Завод № 120/309 нкоп /Балашиха Московской обл.;  г. Нижний Тагил Свердловской обл.,  г. Каменск Челябинской обл) эвакуирована в  г. Каменск Челябинской обл. на площадку строящегося завода № 286 2ГУ НКАП. По приказу № 1079с от 26.10.1941 г. часть завода № 120 и завод № 286 слиты в единый завод № 120, а часть завода в Нижнем Тагиле действовала как филиал завода № 120. Начальник филиала- Власов. По приказу № 1183с от 23.12.1941 г. филиал в Нижнем Тагиле получил статус основного и наименование завод № 120 НКАП, а завод в Каменске, наоборот, стал филиалом.</w:t>
      </w:r>
    </w:p>
    <w:p w14:paraId="59244E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целью расширения производства колес по приказу № 91с от 1.02.1942 г. филиал завода в Каменске преобразован в самостоятельный завод № 286 НКАП.</w:t>
      </w:r>
    </w:p>
    <w:p w14:paraId="60DCD1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литых колес для Пе-2, ЛаГГ-3, Ил-2, Як-1, алюминиевое литье.</w:t>
      </w:r>
    </w:p>
    <w:p w14:paraId="125D89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25с от 5.01.1942 г. площади эвакуированного завода № 120 НКАП с оставшимся оборудованием и кадрами и завода № 121 НКАП переданы вновь созданному заводу № 219 (заводы располагались на смежных территориях). По приказу № 92с от 12.02.1943 г. с завода № 120 НКАП в ОКБ завода № 219 НКАП переведена большая группа ИТР и рабочих, ранее работавших там, и оборудование. Затем еще неоднократно специалисты завода № 120 переводились в ОКБ завода № 219 НКАП для его укрепления (приказ № 735с от 8.12.1943 г.).</w:t>
      </w:r>
    </w:p>
    <w:p w14:paraId="296BB6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Действовал филиал завода № 120 в  г. Березовске, директор- А.И. Пастер. На площадку филиала эвакуирован из Москвы завод № 261 2ГУ НКАП. По приказу № 279с от 14.04.1942 г. завод № 261 влит в состав завода № 120. Затем по приказу НКАП № 150с от 15.03.1943 г. завод № 261 НКАП в  г. Березовске восстановлен как самостоятельный.</w:t>
      </w:r>
    </w:p>
    <w:p w14:paraId="244A5C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435с от 12.11.1945 г. основная часть личного состава (800 чел.) и оборудования завода № 120 переведена и влита с 1.11.1945 г. в состав завода № 286 НКАП, а оставшиеся 300 квалифицированных рабочих и ИТР переданы для укрепления завода № 219. Территория завода тем же приказом передана в распоряжение завода № 183 НКТП.</w:t>
      </w:r>
    </w:p>
    <w:p w14:paraId="53D48A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(-05.1937-8.02.1938 г.)- И.С. Михайлов, (15.06.1938-12.1941 г.-&gt; Е.М. Горницкий, (02.1942 г.)- А.И. Пастер (одновременно директор завода № 261), (-06.1944-11.1945 г.)- Миронов.</w:t>
      </w:r>
    </w:p>
    <w:p w14:paraId="1BC351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(06.1937 г.)- Н.А. Данилович.</w:t>
      </w:r>
    </w:p>
    <w:p w14:paraId="2F075E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(06.1937 г.)- Н.А. Данилович.</w:t>
      </w:r>
    </w:p>
    <w:p w14:paraId="48BC0F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(11.1940 г.-)- П.В. Флеров.</w:t>
      </w:r>
    </w:p>
    <w:p w14:paraId="719EC8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инженеры: по колесному производству (06.1937 г.)- Е.М. Горницкий; по литейному производству (06.1937 г.)- С.С. Фельдман (11982).</w:t>
      </w:r>
    </w:p>
    <w:p w14:paraId="7378F5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26DCF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г. приказом НКАП № 1053сс в соответствии с Пост. ГКО № 741с от 8.10.1941 г.</w:t>
      </w:r>
      <w:r w:rsidRPr="00640820">
        <w:rPr>
          <w:rFonts w:ascii="Times New Roman" w:hAnsi="Times New Roman"/>
          <w:color w:val="000000" w:themeColor="text1"/>
          <w:sz w:val="16"/>
          <w:szCs w:val="16"/>
          <w:vertAlign w:val="superscript"/>
        </w:rPr>
        <w:t>47</w:t>
      </w:r>
      <w:r w:rsidRPr="00640820">
        <w:rPr>
          <w:rFonts w:ascii="Times New Roman" w:hAnsi="Times New Roman"/>
          <w:color w:val="000000" w:themeColor="text1"/>
          <w:sz w:val="16"/>
          <w:szCs w:val="16"/>
        </w:rPr>
        <w:t xml:space="preserve"> часть металлообрабатывающего оборудования комбината № 150 эвакуирована на площадку завода № 491 НКАП в  г. В. Салда и передана там по приказу № 1069с от 14.10.1941 г. заводу № 95 НКАП 911982).</w:t>
      </w:r>
    </w:p>
    <w:p w14:paraId="49B43E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2CE07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г. по приказу № 1053сс оборудование и личный состав завода № 219 9ГУ НКАП должно было эвакуироваться на площадки литейных цехов заводов № 384, № 27, № 122 и № 337 НКАП (оборудование поступило на завод № 384 и площадку бывшего завода № 338).</w:t>
      </w:r>
    </w:p>
    <w:p w14:paraId="54FE91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января 1942 г. по приказу № 25с площади эвакуированного завода № 120 НКАП с оставшимся оборудованием и кадрами переданы заводу № 219 (заводы располагались на смежных территориях). Далее по приказу № 435с от 12.11.1945 г. часть специалистов (300 чел.) завода № 120 НКАП переданы ОКБ завода № 219 для его укрепления.</w:t>
      </w:r>
    </w:p>
    <w:p w14:paraId="45150D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 приказу № 69с/06 от 4.02.1943 г. производственные корпуса эвакуированного из Балашихи завода № 49 НКАП переданы во временное пользование заводу № 219 </w:t>
      </w:r>
      <w:r w:rsidRPr="00640820">
        <w:rPr>
          <w:rFonts w:ascii="Times New Roman" w:hAnsi="Times New Roman"/>
          <w:color w:val="000000" w:themeColor="text1"/>
          <w:sz w:val="16"/>
          <w:szCs w:val="16"/>
          <w:lang w:val="en-US"/>
        </w:rPr>
        <w:t>HKAII</w:t>
      </w:r>
      <w:r w:rsidRPr="00640820">
        <w:rPr>
          <w:rFonts w:ascii="Times New Roman" w:hAnsi="Times New Roman"/>
          <w:color w:val="000000" w:themeColor="text1"/>
          <w:sz w:val="16"/>
          <w:szCs w:val="16"/>
        </w:rPr>
        <w:t>.</w:t>
      </w:r>
    </w:p>
    <w:p w14:paraId="53AFBA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1946 г. на завод передано 348 единиц оборудования с завода Юнкерса в  г. Таргемюнде (Германия) и 944 единицы оборудования с завода Юнкерса в  г. Макленбурге.</w:t>
      </w:r>
    </w:p>
    <w:p w14:paraId="17948B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280с от 7.05.1946 г. завод № 219 передан из 2ГУ в 9ГУ. В соответствии с пост. СМ СССР № 713- 342 от 26.06.1957 г. передан в ведение СНХ РСФСР. Имел наименование «п/я 845».</w:t>
      </w:r>
    </w:p>
    <w:p w14:paraId="38B533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1959 г. осуществлялось литье корпусов снарядов К-5М из магниевого сплава для завода № 455.</w:t>
      </w:r>
    </w:p>
    <w:p w14:paraId="1A7F04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(2002 г.)- 2100 чел., (1.04.2003 г.)- 1785 чел.</w:t>
      </w:r>
    </w:p>
    <w:p w14:paraId="15E998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(5.04-13.11.1937 г.)- Ю.И. Вержинский, (13.11.1937-21.06.1938 г.)- А.А. Калинин (снят в связи с неудовлетворительной работой), (21.06.1938-41 г.-)- В. Г. Першин, (-05.1942-02.1945 г.-)- И.А. Жихарев, (1997 г.)- Н.П. Евстафьев. Гендиректор (-1998-2004 г.-)- В.М. Шитов, (02.2005 г.)- Р.А. Антонян.</w:t>
      </w:r>
    </w:p>
    <w:p w14:paraId="3D8A66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(21.06.1938 г.-)- А.А. Калинин. Помощник директора по найму и увольнению (10.1941 г.)- Рыгин.</w:t>
      </w:r>
    </w:p>
    <w:p w14:paraId="01908C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коммерческий (2002 г.)- Р.А. Ханукаев; по маркетингу (2002 г.)- С.В. Шитов.</w:t>
      </w:r>
    </w:p>
    <w:p w14:paraId="21794B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(12.1937 г.)- С.С. Фельдман, (01-07.1942 г.)- П.В. Флеров.</w:t>
      </w:r>
    </w:p>
    <w:p w14:paraId="454ED3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управлений: УКС (06.1938 г.)- Афанасьев.</w:t>
      </w:r>
    </w:p>
    <w:p w14:paraId="7C1147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авиационные колеса КТ-98/2, КТ-106/2, КТ-83 (1960-е); комплектующие для ОК «Буран»; 2004 г.: колеса для Ан-124, Ан-225, Ил-76, Ил-86, Ту-154 и др., тормоза и агрегаты управления ими, гидравлическая аппаратура (клапаны, дозаторы, переключатели, ускорители), аварийно-спасательное, взлетно- посадочное оборудование; фасонные отливки из титановых, магниевых и алюминиевых сплавов.</w:t>
      </w:r>
      <w:r w:rsidRPr="00640820">
        <w:rPr>
          <w:rFonts w:ascii="Times New Roman" w:hAnsi="Times New Roman"/>
          <w:color w:val="000000" w:themeColor="text1"/>
          <w:sz w:val="16"/>
          <w:szCs w:val="16"/>
          <w:vertAlign w:val="superscript"/>
        </w:rPr>
        <w:t>69</w:t>
      </w:r>
    </w:p>
    <w:p w14:paraId="3DEE5F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завода № 219 НКАП, ОКБ-219 МАП</w:t>
      </w:r>
    </w:p>
    <w:p w14:paraId="7CC79E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г. Реутов;  г. Балашиха Московской обл./</w:t>
      </w:r>
    </w:p>
    <w:p w14:paraId="111535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ОКБ при заводе № 219 с опытным цехом было образовано по приказу № 542с от 18.07.1942 г. для опытных работ по авиаколесам. Колеса для Ил-2.</w:t>
      </w:r>
    </w:p>
    <w:p w14:paraId="75BC00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скорейшего восстановления опытной базы и полноценной опытной работы по приказу № 92с от 12.02.1943 г. в ОКБ переведена большая группа ИТР и рабочих, ранее работавших здесь, и оборудование с заводов № 120 и №286 НКАП.</w:t>
      </w:r>
    </w:p>
    <w:p w14:paraId="48721B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586с от 23.09.1943 г. в состав'ОКБ влито лыжное ОКБ-164 НКАП (ст. Кунцево) для концентрации работ по взлетно-посадочным устройствам самолетов. Гл. конструктором объединенного ОКБ остался П.В. Флеров. Организована опытная база по авиалыжам. Далее по приказу № 735с от 8.12.1943 г. для усиления ОКБ сюда переведены специалисты с заводов № 84, № 286, № 120, № 34, № 145 и № 472. При заводе создан серийный КО и налажено опытное производство.</w:t>
      </w:r>
    </w:p>
    <w:p w14:paraId="5C8967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435с от 12.11.1945 г. часть специалистов (300 чел.) завода № 120 НКАП переданы ОКБ завода № 219 для его укрепления.</w:t>
      </w:r>
    </w:p>
    <w:p w14:paraId="1E5F6D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01.1945 г. ОКБ-219 - в 7ГУ. На базе ОКБ-219 МАП с 1.03.1946 г. в соответствии с приказами МАП№ 113с от 15.03.1946 г. и № 251с от 26.04.1946 г. для обеспечения работ по колесам скоростных самолетов создан самостоятельный опытный Завод № 279 МАП ( г. Реутов).</w:t>
      </w:r>
    </w:p>
    <w:p w14:paraId="4DE850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гл. конструктор (1942-46 г.)- П.В. Флеров.</w:t>
      </w:r>
    </w:p>
    <w:p w14:paraId="646C41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конструктора (09.1943 г.-)- Н.И. Жохов (11982).</w:t>
      </w:r>
    </w:p>
    <w:p w14:paraId="280C97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629D3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г. по приказу № 1053сс в  г. Каменск Челябинской обл. на площадку строящегося завода № 286 2ГУ НКАП (Завод № 286 НКАП, Каменск-Уральский литейный завод (КУЛЗ), ОАО «КУЛЗ» РАКА /623405  г. Каменск-Уральский Свердловской обл. ул. Заводская, 5/ /623428  г. Каменск-Уральский Свердловской обл. ул. Рябова, 6 тел. 33-97-22 (2004 г.)) была эвакуирована часть завода № 120 НКАП (в т.ч. испытательная станция с личным составом). По приказу № 1079с от 26.10.1941 г. часть завода № 120 и завод № 286 слиты в единый завод № 120, а часть завода в Нижнем Тагиле действовала как филиал завода № 120. По приказу № 1183с от 23.12.1941 г. филиал в Нижнем Тагиле получил статус основного и наименование завод № 120 НКАП, а завод в Каменске, наоборот, стал филиалом.</w:t>
      </w:r>
    </w:p>
    <w:p w14:paraId="0DAB1D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ГКО № 649 от 9.09.1941 г. в Каменск-Уральский был полностью эвакуирован Волховский алюминиевый завод НКЦМ, где находился до 1945 г.</w:t>
      </w:r>
    </w:p>
    <w:p w14:paraId="788ADB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целью расширения производства колес по приказу № 91с от 1.02.1942 г. филиал завода в Каменске преобразован в самостоятельный завод № 286 НКАП.</w:t>
      </w:r>
    </w:p>
    <w:p w14:paraId="021C58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приказам № 92с от 12.02.1943 г. и № 735с от 8.12.1943 г. с завода № 286 НКАП в ОКБ завода № 219 НКАП переведена большая группа ИТР и рабочих, а также оборудование.</w:t>
      </w:r>
    </w:p>
    <w:p w14:paraId="14689A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годы ВОВ- производство колес для ЛаГГ-3, Як-3, ПС-84, ДБ-ЗФ, Пе-2, У-2. В начале 1945 г. пущено прокатное производство.</w:t>
      </w:r>
    </w:p>
    <w:p w14:paraId="0C0ED5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НКАП № 435с от 12.11.1945 г. основная часть оборудования и личного состава (80 чел.) завода № 120 НКАП переведена в Каменск-Уральский и влита в состав завода № 286 НКАП. По приказу № 280с от 7.05.1946 г. завод передан из 2ГУ в 9ГУ.</w:t>
      </w:r>
    </w:p>
    <w:p w14:paraId="301F58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базе цеха завода № 286 НКАП по приказу № 715сс от 10.09.1949 г. вновь образован с 1.08.1949 г. самостоятельный завод № 379 17ГУ НКАП.</w:t>
      </w:r>
    </w:p>
    <w:p w14:paraId="3D9B70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СМ СССР № 713-342 от 26.06.1957 г. передан в ведение СНХ РСФСР.</w:t>
      </w:r>
    </w:p>
    <w:p w14:paraId="0F3E4A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1994 г. КУЛЗ преобразован в ОАО. С 1998 г. - в ведении РАКА.</w:t>
      </w:r>
    </w:p>
    <w:p w14:paraId="63BEFB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(1996 г.): полуфабрикаты из алюминиевых, магниевых, алюминиево-литиевых сплавов; агрегаты гидросистем, топливных систем (демпферы, дозаторы, дроссели, регуляторы давления, редукторы); колеса шасси; алюминиевые трубы, топливные баки, провода; гофрированные профили; вентили, клапаны, краны.</w:t>
      </w:r>
    </w:p>
    <w:p w14:paraId="30CE0B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Предприятие имеет производства (2004 г.): литейное, механическое, точной механики, сборочное, металлокерамическое, модельное, гальваническое, резино-техническое, кузнечно-прессовое.</w:t>
      </w:r>
    </w:p>
    <w:p w14:paraId="6B9A85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220480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(1942 г.)- Е.М. Гарницкий, (-07.1942-02.1943 г.-)- А.Ф. Клементьев, (-08-09.1943 г.-)- Черняев. Гендиректор (середина 1990-х  г.)- М.И. Шляпников, (1996 г.)- Б.И. Пасынков, (2001 г.)- А.В. Барабанов.</w:t>
      </w:r>
    </w:p>
    <w:p w14:paraId="21B126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агрегаты гидросистем, топливных систем и колес шасси, ПУ-7, ПУ-8 (1947-); колеса КТ-89 для Су-9 (1960), КТ-117, КТ-92, КТ-100А; автомобильные алюминиевые диски колес (2004), газовая аппаратура (регуляторы давления, защитные устройства, редукторы, краны, клапаны (11982).</w:t>
      </w:r>
    </w:p>
    <w:p w14:paraId="24134434" w14:textId="77777777" w:rsidR="0038220C" w:rsidRPr="00640820" w:rsidRDefault="0038220C" w:rsidP="00640820">
      <w:pPr>
        <w:autoSpaceDE w:val="0"/>
        <w:autoSpaceDN w:val="0"/>
        <w:adjustRightInd w:val="0"/>
        <w:spacing w:after="0" w:line="240" w:lineRule="auto"/>
        <w:jc w:val="both"/>
        <w:rPr>
          <w:rFonts w:ascii="Times New Roman" w:hAnsi="Times New Roman"/>
          <w:color w:val="000000" w:themeColor="text1"/>
          <w:sz w:val="16"/>
          <w:szCs w:val="16"/>
        </w:rPr>
      </w:pPr>
    </w:p>
    <w:p w14:paraId="122C31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ГКО решил построить трассу перегонки самолетов Москва - Красноярск - Уэлькаль (356,432).</w:t>
      </w:r>
    </w:p>
    <w:p w14:paraId="4483D2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033035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вышло Постановление ГКО № 739 Об организации и оборудовании воздушной линии Красноярск-Уэлен. (7012, 176-178,179-180).</w:t>
      </w:r>
    </w:p>
    <w:p w14:paraId="1013C63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A8333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вышло Распоряжение ГКО № 745 [О передаче ГУГВФ конторы Аэропроект.] (7013, 1).</w:t>
      </w:r>
    </w:p>
    <w:p w14:paraId="0CC20C9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69D28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началась эвакуация людей и заводского оборудования завода № 59, по</w:t>
      </w:r>
      <w:r w:rsidRPr="00640820">
        <w:rPr>
          <w:rFonts w:ascii="Times New Roman" w:hAnsi="Times New Roman"/>
          <w:color w:val="000000" w:themeColor="text1"/>
          <w:sz w:val="16"/>
          <w:szCs w:val="16"/>
        </w:rPr>
        <w:softHyphen/>
        <w:t>скольку силы прикрытия коридора постепенно таяли, и военные прелупредили о возникновении реальной угрозы окружения. В течение 17 су</w:t>
      </w:r>
      <w:r w:rsidRPr="00640820">
        <w:rPr>
          <w:rFonts w:ascii="Times New Roman" w:hAnsi="Times New Roman"/>
          <w:color w:val="000000" w:themeColor="text1"/>
          <w:sz w:val="16"/>
          <w:szCs w:val="16"/>
        </w:rPr>
        <w:softHyphen/>
        <w:t>ток людей и заводское оборудование эвакуировали семью эшелонами, а производственные корпуса и коммуникации взорвали.</w:t>
      </w:r>
    </w:p>
    <w:p w14:paraId="75BD439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Таким образом, в самый тяжелый начальный период войны оба заво</w:t>
      </w:r>
      <w:r w:rsidRPr="00640820">
        <w:rPr>
          <w:rFonts w:ascii="Times New Roman" w:hAnsi="Times New Roman"/>
          <w:color w:val="000000" w:themeColor="text1"/>
          <w:sz w:val="16"/>
          <w:szCs w:val="16"/>
        </w:rPr>
        <w:softHyphen/>
        <w:t>да (№ 6 и 59) прекратили выпуск РЗ, а на уральском заводе №98 в эти осенние дни первая очередь производства еще только строилась. Поло</w:t>
      </w:r>
      <w:r w:rsidRPr="00640820">
        <w:rPr>
          <w:rFonts w:ascii="Times New Roman" w:hAnsi="Times New Roman"/>
          <w:color w:val="000000" w:themeColor="text1"/>
          <w:sz w:val="16"/>
          <w:szCs w:val="16"/>
        </w:rPr>
        <w:softHyphen/>
        <w:t>жение усугублялось и тем, что оба завода по производству централита эвакуировались, а американский транспорт с централитом (крайне важ</w:t>
      </w:r>
      <w:r w:rsidRPr="00640820">
        <w:rPr>
          <w:rFonts w:ascii="Times New Roman" w:hAnsi="Times New Roman"/>
          <w:color w:val="000000" w:themeColor="text1"/>
          <w:sz w:val="16"/>
          <w:szCs w:val="16"/>
        </w:rPr>
        <w:softHyphen/>
        <w:t>ного компонента при производстве РЗ к РС) из США потопили немцы.</w:t>
      </w:r>
    </w:p>
    <w:p w14:paraId="78D65EC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этой крайне осложнившейся обстановке осени 1941 г. в Москов</w:t>
      </w:r>
      <w:r w:rsidRPr="00640820">
        <w:rPr>
          <w:rFonts w:ascii="Times New Roman" w:hAnsi="Times New Roman"/>
          <w:color w:val="000000" w:themeColor="text1"/>
          <w:sz w:val="16"/>
          <w:szCs w:val="16"/>
        </w:rPr>
        <w:softHyphen/>
        <w:t>ском НИИ-6 НКБ опытные установки превратились в цеха и мастер</w:t>
      </w:r>
      <w:r w:rsidRPr="00640820">
        <w:rPr>
          <w:rFonts w:ascii="Times New Roman" w:hAnsi="Times New Roman"/>
          <w:color w:val="000000" w:themeColor="text1"/>
          <w:sz w:val="16"/>
          <w:szCs w:val="16"/>
        </w:rPr>
        <w:softHyphen/>
        <w:t>ские, а производство баллиститных порохов в цехе №1 завода № 562 при НИИ-6 было единственным, работавшим в СССР. Кадры завода укомп</w:t>
      </w:r>
      <w:r w:rsidRPr="00640820">
        <w:rPr>
          <w:rFonts w:ascii="Times New Roman" w:hAnsi="Times New Roman"/>
          <w:color w:val="000000" w:themeColor="text1"/>
          <w:sz w:val="16"/>
          <w:szCs w:val="16"/>
        </w:rPr>
        <w:softHyphen/>
        <w:t>лектовали сотрудниками НИИ, не уехавшими в эвакуацию. Цех работал круглосуточно, в три смены, без выходных и отпусков в течение всей войны. Руководящий состав находился на казарменном положении. С ноября 1941 г. по сентябрь 1944 г. завод №562 изготовил 216 000 заря</w:t>
      </w:r>
      <w:r w:rsidRPr="00640820">
        <w:rPr>
          <w:rFonts w:ascii="Times New Roman" w:hAnsi="Times New Roman"/>
          <w:color w:val="000000" w:themeColor="text1"/>
          <w:sz w:val="16"/>
          <w:szCs w:val="16"/>
        </w:rPr>
        <w:softHyphen/>
        <w:t>дов к РС калибра 82 и 132 мм.</w:t>
      </w:r>
    </w:p>
    <w:p w14:paraId="52FDF1C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Основная тяжесть в обеспечении потребностей Красной Армии в РЗ для РС всех калибров легла на завод №98 имени С.М.Кирова. Несмотря на то, что площадку для строительства выбрали еще в 1930 г. при участии Бакаева, к началу войны предстояло выполнить еще большой объем строительно-монтажных работ. Первую очередь строительства завода сдали за 4 месяца, к 1 ноября 1941 г, на две недели раньше срока, в жес</w:t>
      </w:r>
      <w:r w:rsidRPr="00640820">
        <w:rPr>
          <w:rFonts w:ascii="Times New Roman" w:hAnsi="Times New Roman"/>
          <w:color w:val="000000" w:themeColor="text1"/>
          <w:sz w:val="16"/>
          <w:szCs w:val="16"/>
        </w:rPr>
        <w:softHyphen/>
        <w:t>токие морозы. В этом же месяце установили эвакуированное оборудова</w:t>
      </w:r>
      <w:r w:rsidRPr="00640820">
        <w:rPr>
          <w:rFonts w:ascii="Times New Roman" w:hAnsi="Times New Roman"/>
          <w:color w:val="000000" w:themeColor="text1"/>
          <w:sz w:val="16"/>
          <w:szCs w:val="16"/>
        </w:rPr>
        <w:softHyphen/>
        <w:t>ние и выдали первую партию РЗ. Перерыв в их изготовлении и центра</w:t>
      </w:r>
      <w:r w:rsidRPr="00640820">
        <w:rPr>
          <w:rFonts w:ascii="Times New Roman" w:hAnsi="Times New Roman"/>
          <w:color w:val="000000" w:themeColor="text1"/>
          <w:sz w:val="16"/>
          <w:szCs w:val="16"/>
        </w:rPr>
        <w:softHyphen/>
        <w:t>лизованных поставках был ликвидирован.</w:t>
      </w:r>
    </w:p>
    <w:p w14:paraId="7331F74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Более года это предприятие оставалось единственным в стране круп</w:t>
      </w:r>
      <w:r w:rsidRPr="00640820">
        <w:rPr>
          <w:rFonts w:ascii="Times New Roman" w:hAnsi="Times New Roman"/>
          <w:color w:val="000000" w:themeColor="text1"/>
          <w:sz w:val="16"/>
          <w:szCs w:val="16"/>
        </w:rPr>
        <w:softHyphen/>
        <w:t>ным заводом, выпускающим нитроглицериновые баллиститные пороха. Как и многие другие оборонные предприятия, завод перевели на воен</w:t>
      </w:r>
      <w:r w:rsidRPr="00640820">
        <w:rPr>
          <w:rFonts w:ascii="Times New Roman" w:hAnsi="Times New Roman"/>
          <w:color w:val="000000" w:themeColor="text1"/>
          <w:sz w:val="16"/>
          <w:szCs w:val="16"/>
        </w:rPr>
        <w:softHyphen/>
        <w:t>ное положение. Командирам производства присвоили воинские звания. Порядок и дисциплина на предприятии были образцовыми. Самым трудным в истории завода было лето 1942 г., когда на правительственном уровне потребовали за три месяца увеличить выпуск зарядов для реак</w:t>
      </w:r>
      <w:r w:rsidRPr="00640820">
        <w:rPr>
          <w:rFonts w:ascii="Times New Roman" w:hAnsi="Times New Roman"/>
          <w:color w:val="000000" w:themeColor="text1"/>
          <w:sz w:val="16"/>
          <w:szCs w:val="16"/>
        </w:rPr>
        <w:softHyphen/>
        <w:t xml:space="preserve">тивной и крупнокалиберной артиллерии в несколько раз относительно запланированного. Намеченные темпы работ в мирное время сочли бы фантастикой. Никто из строителей и рабочих в течение двух месяцев не </w:t>
      </w:r>
      <w:r w:rsidRPr="00640820">
        <w:rPr>
          <w:rFonts w:ascii="Times New Roman" w:hAnsi="Times New Roman"/>
          <w:smallCaps/>
          <w:color w:val="000000" w:themeColor="text1"/>
          <w:sz w:val="16"/>
          <w:szCs w:val="16"/>
        </w:rPr>
        <w:t xml:space="preserve">уходил </w:t>
      </w:r>
      <w:r w:rsidRPr="00640820">
        <w:rPr>
          <w:rFonts w:ascii="Times New Roman" w:hAnsi="Times New Roman"/>
          <w:color w:val="000000" w:themeColor="text1"/>
          <w:sz w:val="16"/>
          <w:szCs w:val="16"/>
        </w:rPr>
        <w:t>с работы.</w:t>
      </w:r>
    </w:p>
    <w:p w14:paraId="5EE916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1941-1942 гг. из баллиститных порохов вырабатывали преимущест</w:t>
      </w:r>
      <w:r w:rsidRPr="00640820">
        <w:rPr>
          <w:rFonts w:ascii="Times New Roman" w:hAnsi="Times New Roman"/>
          <w:color w:val="000000" w:themeColor="text1"/>
          <w:sz w:val="16"/>
          <w:szCs w:val="16"/>
        </w:rPr>
        <w:softHyphen/>
        <w:t>венно шашки для «катюш». Но пришла новая беда - к середине 1942 г. ис</w:t>
      </w:r>
      <w:r w:rsidRPr="00640820">
        <w:rPr>
          <w:rFonts w:ascii="Times New Roman" w:hAnsi="Times New Roman"/>
          <w:color w:val="000000" w:themeColor="text1"/>
          <w:sz w:val="16"/>
          <w:szCs w:val="16"/>
        </w:rPr>
        <w:softHyphen/>
        <w:t>сякли запасы централита. Дорогомиловский завод в Москве, который его вырабатывал, эвакуировался. На новом месте это производство соз</w:t>
      </w:r>
      <w:r w:rsidRPr="00640820">
        <w:rPr>
          <w:rFonts w:ascii="Times New Roman" w:hAnsi="Times New Roman"/>
          <w:color w:val="000000" w:themeColor="text1"/>
          <w:sz w:val="16"/>
          <w:szCs w:val="16"/>
        </w:rPr>
        <w:softHyphen/>
        <w:t>дать не успели. Возникла идея вводить в качестве стабилизатора химиче</w:t>
      </w:r>
      <w:r w:rsidRPr="00640820">
        <w:rPr>
          <w:rFonts w:ascii="Times New Roman" w:hAnsi="Times New Roman"/>
          <w:color w:val="000000" w:themeColor="text1"/>
          <w:sz w:val="16"/>
          <w:szCs w:val="16"/>
        </w:rPr>
        <w:softHyphen/>
        <w:t>ской стойкости пороха оксид магния. Согласились на аптечном препара</w:t>
      </w:r>
      <w:r w:rsidRPr="00640820">
        <w:rPr>
          <w:rFonts w:ascii="Times New Roman" w:hAnsi="Times New Roman"/>
          <w:color w:val="000000" w:themeColor="text1"/>
          <w:sz w:val="16"/>
          <w:szCs w:val="16"/>
        </w:rPr>
        <w:softHyphen/>
        <w:t>те - жженой магнезии - белоснежной чистой пудре. Попробовали - получилось хорошо и в технологическом смысле, и по показателям химиче</w:t>
      </w:r>
      <w:r w:rsidRPr="00640820">
        <w:rPr>
          <w:rFonts w:ascii="Times New Roman" w:hAnsi="Times New Roman"/>
          <w:color w:val="000000" w:themeColor="text1"/>
          <w:sz w:val="16"/>
          <w:szCs w:val="16"/>
        </w:rPr>
        <w:softHyphen/>
        <w:t>ской стойкости пороха. Однако, скоро не стало и ее.</w:t>
      </w:r>
    </w:p>
    <w:p w14:paraId="2F1C511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Проблему решили случайно, благодаря двум рабочим саткинского завода «Магнезит», где вырабатывали оксид магния для изготовления ог</w:t>
      </w:r>
      <w:r w:rsidRPr="00640820">
        <w:rPr>
          <w:rFonts w:ascii="Times New Roman" w:hAnsi="Times New Roman"/>
          <w:color w:val="000000" w:themeColor="text1"/>
          <w:sz w:val="16"/>
          <w:szCs w:val="16"/>
        </w:rPr>
        <w:softHyphen/>
        <w:t>неупорных кирпичей. Рабочие привезли из Сатки несколько мешков ок</w:t>
      </w:r>
      <w:r w:rsidRPr="00640820">
        <w:rPr>
          <w:rFonts w:ascii="Times New Roman" w:hAnsi="Times New Roman"/>
          <w:color w:val="000000" w:themeColor="text1"/>
          <w:sz w:val="16"/>
          <w:szCs w:val="16"/>
        </w:rPr>
        <w:softHyphen/>
        <w:t>сида магния. С первого взгляда на продукт инженеров-пороховиков бро</w:t>
      </w:r>
      <w:r w:rsidRPr="00640820">
        <w:rPr>
          <w:rFonts w:ascii="Times New Roman" w:hAnsi="Times New Roman"/>
          <w:color w:val="000000" w:themeColor="text1"/>
          <w:sz w:val="16"/>
          <w:szCs w:val="16"/>
        </w:rPr>
        <w:softHyphen/>
        <w:t>сило в дрожь - серый, не очень дисперсный порошок содержал до 10% видимых примесей. Теоретически, использовать его в составе пороховой массы - значит обеспечить обилие вспышек на вальцах. Между тем. ос</w:t>
      </w:r>
      <w:r w:rsidRPr="00640820">
        <w:rPr>
          <w:rFonts w:ascii="Times New Roman" w:hAnsi="Times New Roman"/>
          <w:color w:val="000000" w:themeColor="text1"/>
          <w:sz w:val="16"/>
          <w:szCs w:val="16"/>
        </w:rPr>
        <w:softHyphen/>
        <w:t>торожное вальцевание прошло гладко, а химическая стойкость пороха и технологические качества пороховой массы вполне удовлетворяли. ГАУ разрешило использовать такой магнезит. Таким образом, с лета 1942 г. порох рецептуры Н для РС заменили на магниевый порох НМ2 не только на этом заводе, но и на других, которые были заново построены на востоке страны и запушены к этому времени (11402).</w:t>
      </w:r>
    </w:p>
    <w:p w14:paraId="6C5F0BE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57CFF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9 октября 1941 г. </w:t>
      </w:r>
    </w:p>
    <w:p w14:paraId="64D2221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ГОСУДАРСТВЕННЫЙ КОМИТЕТ ОБОРОНЫ</w:t>
      </w:r>
    </w:p>
    <w:p w14:paraId="6C73247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 № ГКО-757сс</w:t>
      </w:r>
    </w:p>
    <w:p w14:paraId="184A23E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9 октября 1941 г. Москва, Кремль</w:t>
      </w:r>
    </w:p>
    <w:p w14:paraId="6F50EDF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 переводе производства снарядов М-8 и М-13 с завода № 70 НКБ и московских заводов НКОМ</w:t>
      </w:r>
    </w:p>
    <w:p w14:paraId="0EC6501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Государственный Комитет Обороны постановляет: </w:t>
      </w:r>
    </w:p>
    <w:p w14:paraId="68FC165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 Обязать Наркомобщмаш (т. Паршина) перевести на завод им. Колющенко (г. Челябинск) занятые на производстве корпусов снарядов М-13 и предназначенные для этой цели оборудование (согласно приложению № 1), инструмент и приспособления, техническую документацию, незавершенное производство, материалы и заготовку (штамповку), а также рабочих и служащих с московских заводов НКОМ: им. 1-го августа, Трикотажных машин, "Арматура", Коломенского патефонного, 1-го часового, Климовского, Люберецкого, № 3 им. Калинина, "Компрессор", Пресненского машиностроительного, ГЗИП (государственный завод измерительных приборов) и завода "Стекломашина" Наркомата танковой промышленности. </w:t>
      </w:r>
    </w:p>
    <w:p w14:paraId="29F0FA9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Перевод производства начать немедленно и закончить 20 октября 1941 года. </w:t>
      </w:r>
    </w:p>
    <w:p w14:paraId="1CCA528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 Обязать НКБ (т. Горемыкина) перевести: </w:t>
      </w:r>
    </w:p>
    <w:p w14:paraId="18CD504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а) на завод № 78 (г. Челябинск) с завода № 70 занятые на производстве снарядов М-13 оборудование (приложение № 2), инструмент и приспособления, техническую документацию, незавершенное производство, материалы и заготовку, а также рабочих и служащих. </w:t>
      </w:r>
    </w:p>
    <w:p w14:paraId="178C721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Перевод производства начать немедленно и закончить к 18 октября 1941 года; </w:t>
      </w:r>
    </w:p>
    <w:p w14:paraId="02023AE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б) на Киселевский завод Новосибирской области с завода № 70 занятые и предназначенные для производства снарядов М-8 оборудование (приложение № 3), инструмент и приспособления, техническую документацию, незавершенное производство, материалы и заготовку, а также рабочих и служащих. </w:t>
      </w:r>
    </w:p>
    <w:p w14:paraId="2A9A28C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Перевод производства начать немедленно и закончить к 25 октября 1941 года. </w:t>
      </w:r>
    </w:p>
    <w:p w14:paraId="771C107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 Обязать: </w:t>
      </w:r>
    </w:p>
    <w:p w14:paraId="0AB1C8A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а) Наркомобщмаш (т. Паршина) и директора завода им. Колющенко (т. Полянцева) организовать в октябре месяце 1941 года на заводе им. Колющенко производство снарядов М-13 и деталей к ним (наряду со сборкой корпусов из деталей, изготовляемых предприятиями Челябинского куста) на выпуск 25 тыс. штук корпусов снарядов М-13 в месяц; </w:t>
      </w:r>
    </w:p>
    <w:p w14:paraId="616C8E7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б) НКБ (т. Горемыкина) и директоров заводов № 78 (т. Тырышкина) и Киселевского завода (т. Агапова) организовать производство корпусов снарядов (из деталей своего изготовления) на переводимом оборудовании завода № 70: на заводе № 78 с выпуском в месяц 12 тыс. шт. корпусов снарядов М-13, на Киселевском заводе с выпуском в месяц 45 тыс. шт. корпусов снарядов М-8. </w:t>
      </w:r>
    </w:p>
    <w:p w14:paraId="1CA1F0C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4. Установить план производства корпусов снарядов М-8 и М-13 на ноябрь месяц: заводу им. Колющенко НКОМ в количестве 20 тыс. штук корпусов снарядов М-13 (кроме сборки корпусов из деталей, поставляемых предприятиями Челябинского куста), в том числе на 1 декаду 5 тыс. шт., 2-ю - 6.5 тыс. штук и 3-ю - 8.5 тыс. штук; </w:t>
      </w:r>
    </w:p>
    <w:p w14:paraId="0B9EC6B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заводу № 78 НКБ в количестве 10 тыс. штук корпусов снарядов М-13, в том числе: 1-ю декаду - 1.5 тыс. штук, 2-ю - 3.5 тыс. штук и 3-ю - 5 тыс. штук; </w:t>
      </w:r>
    </w:p>
    <w:p w14:paraId="6539BB0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Киселевскому заводу НКБ в количестве 20 тыс. штук корпусов снарядов, в том числе: на 1-ю декаду - 2 тыс. штук, 2-ю - 5 тыс. штук и 3-ю - 12 тыс. штук. </w:t>
      </w:r>
    </w:p>
    <w:p w14:paraId="72C830D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5. В связи с переводом производства снарядов М-8 и М-13 с московских заводов НКОМ и завода № 70 НКБ, уменьшить на октябрь месяц по Московскому кусту: </w:t>
      </w:r>
    </w:p>
    <w:p w14:paraId="05067E4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а) план производства корпусов снарядов с 252 тыс. штук до 200 тыс. штук, в том числе: по корпусам снарядов М-13 с 182 тыс. штук до 165 тыс. штук и корпусам М-8 с 70 тыс. штук до 35 тыс. штук, из них: по заводу "Компрессор" НКОМ и кооперированным с ним предприятиям корпусов снарядов М-13 с 16 тыс. штук до 6 тыс. штук и соответствующее количество деталей к ним, заводу № 70 корпусов снарядов М-13 с 11 тыс. штук до 4 тыс. штук и корпусов снарядов М-8 с 43 тыс. штук до 8 тыс. штук; </w:t>
      </w:r>
    </w:p>
    <w:p w14:paraId="6527191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б) план снаряжения по заводу № 12 НКБ с 240 тыс. штук до 190 тыс. штук, в том числе: по снарядам М-8 с 65 тыс. штук до 30 тыс. штук и снарядам М-13 с 175 тыс. штук до 160 тыс. штук. </w:t>
      </w:r>
    </w:p>
    <w:p w14:paraId="27F9B8F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6. Для расширения производственной базы по изготовлению снарядов М-13 в г. Челябинске, согласиться с предложением Челябинского обкома ВКП(б) и Наркомобщмаша о передаче заводу им. Колющенко для организации производства и сборки корпусов снарядов М-13 склада Главтракторосбыта Наркомсредмаша и гаража Челябинского треста хлебопечения. </w:t>
      </w:r>
    </w:p>
    <w:p w14:paraId="323A4F2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Передачу указанных помещений произвести в трехдневный срок. </w:t>
      </w:r>
    </w:p>
    <w:p w14:paraId="01FC2A9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7. Обязать НКПС (т. Кагановича) в трехдневный срок подать вагоны для погрузки оборудования, материалов и перевозки рабочих, служащих и их семей: </w:t>
      </w:r>
    </w:p>
    <w:p w14:paraId="41FADA5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а) московским заводам НКОМ, по указанию последнего, 125 вагонов под оборудование и материалы и 50 вагонов для перевозки людей, направляемых в город Челябинск; </w:t>
      </w:r>
    </w:p>
    <w:p w14:paraId="4F98172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б) заводу № 70 НКБ 90 вагонов под оборудование и 70 вагонов для перевозки людей, направляемых на Киселевский завод (ст. Черкасов-Камень, Томской ж.д.); 75 вагонов под оборудование и материалы и 30 вагонов для перевозки людей, направляемых в г. Челябинск. </w:t>
      </w:r>
    </w:p>
    <w:p w14:paraId="18BC025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Перевозку рабочих и служащих с семьями в г. Челябинск произвести в течение 7 суток и на ст. Черкасов-Камень, Томской ж.д. - 10 суток и грузов в 12-15-суточный срок. </w:t>
      </w:r>
    </w:p>
    <w:p w14:paraId="7FB283A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8. Обязать Челябинский обком ВКП(б) (т. Сапрыкина), председателя Челябинского областного Совета депутатов трудящихся (т. Соболева), Новосибирский обком ВКП(б) (т. Кулагина) и председателя Новосибирского областного Совета депутатов трудящихся (т. Годовицына), обеспечить жильем рабочих и служащих, переводимых с московских заводов НКОМ и завода № 70 НКБ на Киселевский завод НКБ и завод им. Колющенко. </w:t>
      </w:r>
    </w:p>
    <w:p w14:paraId="7E721C9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9.Обязать НКОбщмаш (т. Паршина) и НКБ (т. Горемыкина) все материалы, заготовку (штамповки), инструмент и оборудование, выделенные на октябрь месяц для производства корпусов снарядов М-8 и М-13 московским заводам НКОМ и заводу № 70 НКБ соотвественно переадресовать Киселевскому заводу, заводу № 78 НКБ и заводу им. Колющенко НКОМ (кроме штамповки детали № 25 снаряда М-13). </w:t>
      </w:r>
    </w:p>
    <w:p w14:paraId="7ABF0B2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10. Возложить ответственность за переброску оборудования и людей: </w:t>
      </w:r>
    </w:p>
    <w:p w14:paraId="0E1B58E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а) с московских заводов НКОМ на завод им. Колющенко - на зам. наркома общего машиностроения т. Андреева В.П. и директоров заводов, указанных в приложении № 1; </w:t>
      </w:r>
    </w:p>
    <w:p w14:paraId="4A2E038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б) с завода № 70 НКБ на Киселевский завод и завод № 78 НКБ на зам. наркома боеприпасов т. Саркисова Н.А. и директора завода № 70. </w:t>
      </w:r>
    </w:p>
    <w:p w14:paraId="624B71E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11. Категорически запретить наркоматам и директорам предприятий Москвы и Московской области, не указанным в настоящем постановлении, без ведома зам. председателя СНК СССР тов. Вознесенского переключать на другие виды изделий или перебрасывать на другие предприятия вне Москвы оборудование, занятое на изготовлении деталей к снарядам М-8 и М-13. </w:t>
      </w:r>
    </w:p>
    <w:p w14:paraId="035D3C1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ПРЕДСЕДАТЕЛЬ ГОСУДАРСТВЕННОГО КОМИТЕТА ОБОРОНЫ И. СТАЛИН</w:t>
      </w:r>
    </w:p>
    <w:p w14:paraId="2AD6959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Выписки посланы: т.т. Вознесенскому, Маленкову, Швернику, Гайдукову, Косяченко, Черноусову, Горемыкину, Аборенкову, Кузьмину, Челябинскому обкому ВКП(б) - все; наркомам – соответственно (12150).</w:t>
      </w:r>
    </w:p>
    <w:p w14:paraId="0535C941"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7B767EB4" w14:textId="77777777" w:rsidR="00F52A2A" w:rsidRPr="00640820" w:rsidRDefault="00F52A2A"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вышло Постановление ГКО № 747 О переводе производства снарядов М-13 из района Сталино (Донбасс) в Свердловск. РГАНИР, Фонд ГКО, д. 12, лл. 12-13 (11012).</w:t>
      </w:r>
    </w:p>
    <w:p w14:paraId="0BE7B329" w14:textId="77777777" w:rsidR="00F52A2A" w:rsidRPr="00640820" w:rsidRDefault="00F52A2A" w:rsidP="00640820">
      <w:pPr>
        <w:autoSpaceDE w:val="0"/>
        <w:autoSpaceDN w:val="0"/>
        <w:adjustRightInd w:val="0"/>
        <w:spacing w:after="0" w:line="240" w:lineRule="auto"/>
        <w:jc w:val="both"/>
        <w:rPr>
          <w:rFonts w:ascii="Times New Roman" w:hAnsi="Times New Roman"/>
          <w:color w:val="000000" w:themeColor="text1"/>
          <w:sz w:val="16"/>
          <w:szCs w:val="16"/>
        </w:rPr>
      </w:pPr>
    </w:p>
    <w:p w14:paraId="52D0D16F" w14:textId="77777777" w:rsidR="00F52A2A" w:rsidRPr="00640820" w:rsidRDefault="00F52A2A"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г. ГОСУДАРСТВЕННЫЙ КОМИТЕТ ОБОРОНЫ ПОСТАНОВЛЕНИЕ № ГКО-747сс</w:t>
      </w:r>
    </w:p>
    <w:p w14:paraId="2FFF693D" w14:textId="77777777" w:rsidR="00F52A2A" w:rsidRPr="00640820" w:rsidRDefault="00F52A2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Москва, Кремль </w:t>
      </w:r>
    </w:p>
    <w:p w14:paraId="747521CC" w14:textId="77777777" w:rsidR="00F52A2A" w:rsidRPr="00640820" w:rsidRDefault="00F52A2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 переводе производства снарядов М-13 из района Сталино (Донбасс) в Свердловск.</w:t>
      </w:r>
    </w:p>
    <w:p w14:paraId="4C9E8ABE" w14:textId="77777777" w:rsidR="00F52A2A" w:rsidRPr="00640820" w:rsidRDefault="00F52A2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 Обязать Наркомтяжмаш, Наркомсредмаш, Наркомуголь, Наркомобщмаш, Наркомэлектростанций, Наркомхимпром, Наркомчермет, Наркомпищепром, Наркомцветмет, НКПС, Наркомрыбпром, Наркомстрой, Наркомречфлот, Наркомместпром УССР, Управление трудовых резервов при СНК СССР немедленно вывезти из Сталино (Донбасский куст) с предприятий, на которых организовано производство снарядов М-13, оборудование, инструмент и приспособления, металл, заготовку, незавершенное производство и готовые детали, а также кадры рабочих и инженерно-технических работников, занятых на производстве снарядов М-13, в Свердловск на завод им. Воровского Наркомобщмаша. </w:t>
      </w:r>
    </w:p>
    <w:p w14:paraId="793D69C5" w14:textId="77777777" w:rsidR="00F52A2A" w:rsidRPr="00640820" w:rsidRDefault="00F52A2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 Ответственность за проведение настоящего решения возложить на т.т. Мельникова (Сталинский обком КП(б)Украины), Сороко (Управление кадров ЦК ВКП(б)), Задорожного (директора Ново-Краматорского завода им. Сталина). </w:t>
      </w:r>
    </w:p>
    <w:p w14:paraId="440FA719" w14:textId="77777777" w:rsidR="00F52A2A" w:rsidRPr="00640820" w:rsidRDefault="00F52A2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 НКПС (т. Кагановичу Л.М.) обеспечить подачу потребного количества вагонов для перевозки производства снарядов М-13 из района Сталино в Свердловск. </w:t>
      </w:r>
    </w:p>
    <w:p w14:paraId="278A3FBA" w14:textId="77777777" w:rsidR="00F52A2A" w:rsidRPr="00640820" w:rsidRDefault="00F52A2A"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Обязать Свердловский областной Совет депутатов трудящихся (т. Митракова) обеспечить жильем рабочих и ИТР, переводимых с предприйтий Донбасса на завод им. Воровского в Свердловск.</w:t>
      </w:r>
    </w:p>
    <w:p w14:paraId="7DBB8DA5" w14:textId="77777777" w:rsidR="00F52A2A" w:rsidRPr="00640820" w:rsidRDefault="00F52A2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ПРЕДСЕДАТЕЛЬ ГОСУДАРСТВЕННОГО КОМИТЕТА ОБОРОНЫ И. СТАЛИН </w:t>
      </w:r>
    </w:p>
    <w:p w14:paraId="1F35F34C" w14:textId="77777777" w:rsidR="00F52A2A" w:rsidRPr="00640820" w:rsidRDefault="00F52A2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Выписки посланы: </w:t>
      </w:r>
    </w:p>
    <w:p w14:paraId="73C363ED" w14:textId="77777777" w:rsidR="00F52A2A" w:rsidRPr="00640820" w:rsidRDefault="00F52A2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т.т. Горемыкину, Вознесенскому, Швернику, Гайдукову, Косяченко, </w:t>
      </w:r>
    </w:p>
    <w:p w14:paraId="29DD7994" w14:textId="77777777" w:rsidR="00F52A2A" w:rsidRPr="00640820" w:rsidRDefault="00F52A2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Аборенкову, Казакову, Акопову, Вахрушеву, Паршину, Леткову, </w:t>
      </w:r>
    </w:p>
    <w:p w14:paraId="308DED9F" w14:textId="77777777" w:rsidR="00F52A2A" w:rsidRPr="00640820" w:rsidRDefault="00F52A2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Денисову, Зотову, Ломако, Шапошникову, Кагановичу, Ишкову, </w:t>
      </w:r>
    </w:p>
    <w:p w14:paraId="4FE1B1D8" w14:textId="77777777" w:rsidR="00F52A2A" w:rsidRPr="00640820" w:rsidRDefault="00F52A2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Гинзбургу, Шашкову, Москатову; Сталинскому, Ворошиловградскому обкомам КП(б)У, СНК УССР - все. </w:t>
      </w:r>
    </w:p>
    <w:p w14:paraId="20709771" w14:textId="77777777" w:rsidR="00F52A2A" w:rsidRPr="00640820" w:rsidRDefault="00F52A2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Свердловскому обкому ВКП(б) - 1, 4. (12675)</w:t>
      </w:r>
    </w:p>
    <w:p w14:paraId="1A6E9A14" w14:textId="77777777" w:rsidR="00F52A2A" w:rsidRPr="00640820" w:rsidRDefault="00F52A2A" w:rsidP="00640820">
      <w:pPr>
        <w:autoSpaceDE w:val="0"/>
        <w:autoSpaceDN w:val="0"/>
        <w:adjustRightInd w:val="0"/>
        <w:spacing w:after="0" w:line="240" w:lineRule="auto"/>
        <w:jc w:val="both"/>
        <w:rPr>
          <w:rFonts w:ascii="Times New Roman" w:hAnsi="Times New Roman"/>
          <w:color w:val="000000" w:themeColor="text1"/>
          <w:sz w:val="16"/>
          <w:szCs w:val="16"/>
        </w:rPr>
      </w:pPr>
    </w:p>
    <w:p w14:paraId="2019A472"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12C65F37"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F3F84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вышло Постановление ГКО № 746 Об эвакуации заводов Наркомхимпрома из Сталинской и Ворошиловградской областей. РГАНИР, Фонд ГКО, д. 12, лл. 2, 3-11 (11012).</w:t>
      </w:r>
    </w:p>
    <w:p w14:paraId="22CAA2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2C8E257"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г.Из докладной записки Татарского обкома ВКП (б) в ЦК ВКП (б) о работе предприятий оборонной промышленности республики – о работе завода № 40</w:t>
      </w:r>
    </w:p>
    <w:p w14:paraId="7F9FF546"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 […] В целом по группе оборонной промышленности производственный план по валовой [продукции] выполнен в июне на 99,8 %, в июле на 100,0 % и в августе на 100,2 %. […]</w:t>
      </w:r>
    </w:p>
    <w:p w14:paraId="36917E2F"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Большинство предприятий оборонной промышленности – завод № 40, завод № 184 и другие систематически выполняют производственные задания и дают высококачественную продукцию.</w:t>
      </w:r>
    </w:p>
    <w:p w14:paraId="06A29F61"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последнее время на заводе № 40 проведена большая работа по освоению новых видов оборонной продукции и в короткий срок освоено производство опытно-валовой партии трубчатого пороха марки 18/1 для 152 мм гаубицы образца 1937 г.; фабрикация пороха ВТ для 20 мм пушки Швак; фабрикация пороха 4/1 ФЛПМ для 23 мм автоматической пушки и образцы пороха 4/7 для синхронного пулемета ДК 12,7 мм. Кроме того, на заводе проводится большая работа по освоению пороха для реактивных снарядов по специальному заданию. […]</w:t>
      </w:r>
    </w:p>
    <w:p w14:paraId="27C8F899"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ЦГА ИПД РТ. Ф. 15. Оп. 5. Д. 129. Л. 104-107. Подлинник (15494).</w:t>
      </w:r>
    </w:p>
    <w:p w14:paraId="63F5CD70" w14:textId="77777777" w:rsidR="000B0D4F" w:rsidRPr="00640820" w:rsidRDefault="000B0D4F" w:rsidP="00640820">
      <w:pPr>
        <w:spacing w:after="0" w:line="240" w:lineRule="auto"/>
        <w:jc w:val="both"/>
        <w:rPr>
          <w:rFonts w:ascii="Times New Roman" w:hAnsi="Times New Roman"/>
          <w:color w:val="000000" w:themeColor="text1"/>
          <w:sz w:val="16"/>
          <w:szCs w:val="16"/>
        </w:rPr>
      </w:pPr>
    </w:p>
    <w:p w14:paraId="67D722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вышло Постановление ГКО № 748 Об эвакуации оборудования, рабочих, ИТР и служащих Лисичанской и Горловской станций подземной газификации Наркомугля. РГАНИР, Фонд ГКО, д. 12, лл. 14 (11012).</w:t>
      </w:r>
    </w:p>
    <w:p w14:paraId="43646E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EFFC8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вышло Постановление ГКО № 749 Об эвакуации электростанций и сетей Донэнерго. РГАНИР, Фонд ГКО, д. 12, лл. 15, 16-19 (11012).</w:t>
      </w:r>
    </w:p>
    <w:p w14:paraId="35AA41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F9862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вышло Постановление ГКО № 750 Об эвакуации заводов Наркомбоеприпасов из Тульской и Московской областей. РГАНИР, Фонд ГКО, д. 12, лл. 20-21, 22-25 (11012).</w:t>
      </w:r>
    </w:p>
    <w:p w14:paraId="740854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EA2219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ГКО принимает постановление № 752сс (РГАСПИ. Ф. 644. Оп. 1. Д. 12. Л. 27-29). Оно предусматривало, что в ходе эвакуации три завода - КИМ, № 37 и Подольский завод имени Орджоникидзе должны были слиться в один. Для размещения этого нового завода предназначался Ташкентский завод сельскохозяйственного машиностроения. Оборудование, пригодное только для нефтяного машиностроения, вывозилось с Подольского завода в Свердловск на завод «Металлист». Оборудование и кадры Коломенского завода, занятые в танковом производстве, следовало вывезти в город Киров на завод им. 1-го мая. Эвакуацию Коломенского завода, КИМ и нефтяного производства из Подольска следовало начать немедленно. Для остальных заводов указание о начале эвакуации должно было поступить отдельно. Судя по всему, чёткой уверенности в том, что их придётся вывозить, ещё не было. Об этом свидетельствует принятое на следующий день постановление ГКО № 759сс, запрещавшее вывозить с этих заводов оборудование, занятое на производстве танка Т-60 до поступления разрешения от ГКО. Более того, ГКО требовал наращивать производство танков на московских заводах, доведя его к 25 октября до 30-35 штук в день (12290).</w:t>
      </w:r>
    </w:p>
    <w:p w14:paraId="2CF04825"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190C91A1" w14:textId="77777777" w:rsidR="00F52A2A" w:rsidRPr="00640820" w:rsidRDefault="00F52A2A" w:rsidP="00640820">
      <w:pPr>
        <w:pStyle w:val="162"/>
        <w:shd w:val="clear" w:color="auto" w:fill="auto"/>
        <w:spacing w:line="240" w:lineRule="auto"/>
        <w:jc w:val="both"/>
        <w:rPr>
          <w:color w:val="000000" w:themeColor="text1"/>
          <w:sz w:val="16"/>
          <w:szCs w:val="16"/>
        </w:rPr>
      </w:pPr>
      <w:r w:rsidRPr="00640820">
        <w:rPr>
          <w:rFonts w:eastAsia="Calibri"/>
          <w:color w:val="000000" w:themeColor="text1"/>
          <w:sz w:val="16"/>
          <w:szCs w:val="16"/>
        </w:rPr>
        <w:t>9 октября 1941 года было подписано поста</w:t>
      </w:r>
      <w:r w:rsidRPr="00640820">
        <w:rPr>
          <w:rFonts w:eastAsia="Calibri"/>
          <w:color w:val="000000" w:themeColor="text1"/>
          <w:sz w:val="16"/>
          <w:szCs w:val="16"/>
        </w:rPr>
        <w:softHyphen/>
        <w:t>новление ГКО № 752сс «Об эвакуации заводов № 37, КИМ, Подоль</w:t>
      </w:r>
      <w:r w:rsidRPr="00640820">
        <w:rPr>
          <w:rFonts w:eastAsia="Calibri"/>
          <w:color w:val="000000" w:themeColor="text1"/>
          <w:sz w:val="16"/>
          <w:szCs w:val="16"/>
        </w:rPr>
        <w:softHyphen/>
        <w:t>ского и танкового производства Коломенского завода»:</w:t>
      </w:r>
    </w:p>
    <w:p w14:paraId="123B8D55" w14:textId="77777777" w:rsidR="00F52A2A" w:rsidRPr="00640820" w:rsidRDefault="00F52A2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«Утвердить следующий порядок эвакуации заводов Москвы и Мо</w:t>
      </w:r>
      <w:r w:rsidRPr="00640820">
        <w:rPr>
          <w:rFonts w:ascii="Times New Roman" w:hAnsi="Times New Roman"/>
          <w:color w:val="000000" w:themeColor="text1"/>
          <w:sz w:val="16"/>
          <w:szCs w:val="16"/>
        </w:rPr>
        <w:softHyphen/>
        <w:t>сковской области, занятых изготовлением танков Т-60 и корпусов к ним:</w:t>
      </w:r>
    </w:p>
    <w:p w14:paraId="11A9A011" w14:textId="77777777" w:rsidR="00F52A2A" w:rsidRPr="00640820" w:rsidRDefault="00F52A2A" w:rsidP="00640820">
      <w:pPr>
        <w:tabs>
          <w:tab w:val="left" w:pos="3036"/>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оборудование и кадры заводов: №37, КИМ и Подольского завода эвакуировать в г. Ташкент на Ташкентский завод сельхозмашин НКОМ (Ташсельмаш).</w:t>
      </w:r>
    </w:p>
    <w:p w14:paraId="336E69C5" w14:textId="77777777" w:rsidR="00F52A2A" w:rsidRPr="00640820" w:rsidRDefault="00F52A2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Оборудование для нефтяного машиностроения Подольского завода эва</w:t>
      </w:r>
      <w:r w:rsidRPr="00640820">
        <w:rPr>
          <w:rFonts w:ascii="Times New Roman" w:hAnsi="Times New Roman"/>
          <w:color w:val="000000" w:themeColor="text1"/>
          <w:sz w:val="16"/>
          <w:szCs w:val="16"/>
        </w:rPr>
        <w:softHyphen/>
        <w:t>куировать на заводы Наркомнефти: «Металлист» в г. Свердловске и на Верхне-Сергинский.</w:t>
      </w:r>
    </w:p>
    <w:p w14:paraId="2DDC69E2" w14:textId="77777777" w:rsidR="00F52A2A" w:rsidRPr="00640820" w:rsidRDefault="00F52A2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эвакуации оборудования и кадров завода КИМ (кроме занятых на снарядном производстве) и оборудования для нефтяного машиностроения Подольского завода приступить немедленно и закончить к 20 октября сего года.</w:t>
      </w:r>
    </w:p>
    <w:p w14:paraId="7BD6C93B" w14:textId="77777777" w:rsidR="00F52A2A" w:rsidRPr="00640820" w:rsidRDefault="00F52A2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Срок эвакуации танкового производства заводов № 37 и Подольского и корпусов для И-Л установить особо;</w:t>
      </w:r>
    </w:p>
    <w:p w14:paraId="79F2DD3B" w14:textId="77777777" w:rsidR="00F52A2A" w:rsidRPr="00640820" w:rsidRDefault="00F52A2A" w:rsidP="00640820">
      <w:pPr>
        <w:tabs>
          <w:tab w:val="left" w:pos="3031"/>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оборудование и кадры Коломенского завода НКТМ, занятые изго</w:t>
      </w:r>
      <w:r w:rsidRPr="00640820">
        <w:rPr>
          <w:rFonts w:ascii="Times New Roman" w:hAnsi="Times New Roman"/>
          <w:color w:val="000000" w:themeColor="text1"/>
          <w:sz w:val="16"/>
          <w:szCs w:val="16"/>
        </w:rPr>
        <w:softHyphen/>
        <w:t>товлением танка Т-60 и корпусов к ним, эвакуировать в г. Киров на Ки</w:t>
      </w:r>
      <w:r w:rsidRPr="00640820">
        <w:rPr>
          <w:rFonts w:ascii="Times New Roman" w:hAnsi="Times New Roman"/>
          <w:color w:val="000000" w:themeColor="text1"/>
          <w:sz w:val="16"/>
          <w:szCs w:val="16"/>
        </w:rPr>
        <w:softHyphen/>
        <w:t>ровский машиностроительный завод им. 1 мая НКПС. Туда же эвакуи</w:t>
      </w:r>
      <w:r w:rsidRPr="00640820">
        <w:rPr>
          <w:rFonts w:ascii="Times New Roman" w:hAnsi="Times New Roman"/>
          <w:color w:val="000000" w:themeColor="text1"/>
          <w:sz w:val="16"/>
          <w:szCs w:val="16"/>
        </w:rPr>
        <w:softHyphen/>
        <w:t>ровать и кадры, которые должны быть заняты на производстве танков Т-60 по постановлению ГКО № 732сс от 4.Х. сего года.</w:t>
      </w:r>
    </w:p>
    <w:p w14:paraId="751E29ED" w14:textId="77777777" w:rsidR="00F52A2A" w:rsidRPr="00640820" w:rsidRDefault="00F52A2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эвакуации станков, занятых изготовлением деталей танков, при</w:t>
      </w:r>
      <w:r w:rsidRPr="00640820">
        <w:rPr>
          <w:rFonts w:ascii="Times New Roman" w:hAnsi="Times New Roman"/>
          <w:color w:val="000000" w:themeColor="text1"/>
          <w:sz w:val="16"/>
          <w:szCs w:val="16"/>
        </w:rPr>
        <w:softHyphen/>
        <w:t>ступить немедленно и закончить к 20 октября сего года, а эвакуацию производства корпусов начать после выпуска не менее чем 150 корпусов танка. &lt;...&gt; (17485)».</w:t>
      </w:r>
    </w:p>
    <w:p w14:paraId="213B4EED" w14:textId="77777777" w:rsidR="00F52A2A" w:rsidRPr="00640820" w:rsidRDefault="00F52A2A" w:rsidP="00640820">
      <w:pPr>
        <w:pStyle w:val="ae"/>
        <w:spacing w:before="0" w:after="0"/>
        <w:jc w:val="both"/>
        <w:rPr>
          <w:color w:val="000000" w:themeColor="text1"/>
          <w:sz w:val="16"/>
          <w:szCs w:val="16"/>
        </w:rPr>
      </w:pPr>
    </w:p>
    <w:p w14:paraId="7B4FAE3D" w14:textId="77777777" w:rsidR="007108FA" w:rsidRPr="00640820" w:rsidRDefault="007108F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9 октября 1941 ГКО принимает постановление № 752сс. Оно предусматривало, что в ходе эвакуации три завода - КИМ, № 37 и Подольский завод имени Орджоникидзе сливались в один. Для размещения этого нового завода предназначался Ташкентский завод сельскохозяйственного машиностроения. Оборудование, пригодное только для нефтяного машиностроения, вывозилось с Подольского завода в Свердловск на завод "Металлист". Оборудование и кадры Коломенского завода, занятые в танковом производстве, следовало вывезти в город Киров на завод им. 1-го мая. Эвакуацию Коломенского завода, КИМ и нефтяного производства из Подольска следовало начать немедленно. Для остальных заводов указание о начале эвакуации должно было поступить отдельно. Судя по всему, чёткой уверенности в том, что их придётся вывозить, ещё не было. Об этом свидетельствует принятое на следующий день постановление ГКО № 759сс, запрещавшее вывозить с этих заводов оборудование, занятое на производстве танка Т-60 до поступления разрешения от ГКО. Более того, ГКО требовал наращивать производство танков на московских заводах, доведя его к 25 октября до 30-35 штук в день </w:t>
      </w:r>
      <w:r w:rsidR="00401AC5" w:rsidRPr="00640820">
        <w:rPr>
          <w:rFonts w:ascii="Times New Roman" w:hAnsi="Times New Roman"/>
          <w:color w:val="000000" w:themeColor="text1"/>
          <w:sz w:val="16"/>
          <w:szCs w:val="16"/>
        </w:rPr>
        <w:t>(19807</w:t>
      </w:r>
      <w:r w:rsidRPr="00640820">
        <w:rPr>
          <w:rFonts w:ascii="Times New Roman" w:hAnsi="Times New Roman"/>
          <w:color w:val="000000" w:themeColor="text1"/>
          <w:sz w:val="16"/>
          <w:szCs w:val="16"/>
        </w:rPr>
        <w:t>).</w:t>
      </w:r>
    </w:p>
    <w:p w14:paraId="3ADC59B0" w14:textId="77777777" w:rsidR="007108FA" w:rsidRPr="00640820" w:rsidRDefault="007108FA" w:rsidP="00640820">
      <w:pPr>
        <w:spacing w:after="0" w:line="240" w:lineRule="auto"/>
        <w:jc w:val="both"/>
        <w:rPr>
          <w:rFonts w:ascii="Times New Roman" w:hAnsi="Times New Roman"/>
          <w:color w:val="000000" w:themeColor="text1"/>
          <w:sz w:val="16"/>
          <w:szCs w:val="16"/>
        </w:rPr>
      </w:pPr>
    </w:p>
    <w:p w14:paraId="326994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вышло Постановление ГКО № 753 Об эвакуации Ново-Краматорского машиностроительного завода им.Сталина и восстановлении его производства. РГАНИР, Фонд ГКО, д. 12, лл. 30-32 (11012).</w:t>
      </w:r>
    </w:p>
    <w:p w14:paraId="177D2F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898A9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вышло Постановление ГКО № 754 Об эвакуации и восстановлении производства Старо-Краматорского машиностроительного завода имени Орджоникидзе. РГАНИР, Фонд ГКО, д. 12, лл. 33-34 (11012).</w:t>
      </w:r>
    </w:p>
    <w:p w14:paraId="53A68D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7973D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вышло Постановление ГКО № 755 Об эвакуации из Сталинской области предприятий Наркомчермета. РГАНИР, Фонд ГКО, д. 12, лл. 35-36, 37-47 (11012).</w:t>
      </w:r>
    </w:p>
    <w:p w14:paraId="40262F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402B6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вышло Постановление ГКО № 756 Об эвакуации из Сталинской области угольных шахт и заводов Наркомугля. РГАНИР, Фонд ГКО, д. 12, лл. 48-49, 50-59 (11012).</w:t>
      </w:r>
    </w:p>
    <w:p w14:paraId="470E56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C1C4768" w14:textId="77777777" w:rsidR="000B0D4F"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вышло Постановление ГКО № 757 О переводе производства снарядов М-8 и М-13 с завода № 70 НКБ и московских заводов НКОМ. РГАНИР, Фонд ГКО, д. 12, лл. 60-63, 64-71 (11012).</w:t>
      </w:r>
    </w:p>
    <w:p w14:paraId="33EC19E1" w14:textId="77777777" w:rsidR="000B0D4F" w:rsidRPr="00640820" w:rsidRDefault="000B0D4F" w:rsidP="00640820">
      <w:pPr>
        <w:autoSpaceDE w:val="0"/>
        <w:autoSpaceDN w:val="0"/>
        <w:adjustRightInd w:val="0"/>
        <w:spacing w:after="0" w:line="240" w:lineRule="auto"/>
        <w:jc w:val="both"/>
        <w:rPr>
          <w:rFonts w:ascii="Times New Roman" w:hAnsi="Times New Roman"/>
          <w:color w:val="000000" w:themeColor="text1"/>
          <w:sz w:val="16"/>
          <w:szCs w:val="16"/>
        </w:rPr>
      </w:pPr>
    </w:p>
    <w:p w14:paraId="03A98F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г. ГОСУДАРСТВЕННЫЙ КОМИТЕТ ОБОРОНЫ ПОСТАНОВЛЕНИЕ № ГКО-757сс</w:t>
      </w:r>
    </w:p>
    <w:p w14:paraId="1B04347F" w14:textId="77777777" w:rsidR="000B0D4F"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Москва, Кремль </w:t>
      </w:r>
    </w:p>
    <w:p w14:paraId="0B5EB01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 переводе производства снарядов М-8 и М-13 с завода № 70 НКБ и московских заводов НКОМ</w:t>
      </w:r>
    </w:p>
    <w:p w14:paraId="4A967F4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Государственный Комитет Обороны постановляет: </w:t>
      </w:r>
    </w:p>
    <w:p w14:paraId="0A9CC81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 Обязать Наркомобщмаш (т. Паршина) перевести на завод им. Колющенко (г. Челябинск) занятые на производстве корпусов снарядов М-13 и предназначенные для этой цели оборудование (согласно приложению № 1), инструмент и приспособления, техническую документацию, незавершенное производство, материалы и заготовку (штамповку), а также рабочих и служащих с московских заводов НКОМ: им. 1-го августа, Трикотажных машин, "Арматура", Коломенского патефонного, 1-го часового, Климовского, Люберецкого, № 3 им. Калинина, "Компрессор", Пресненского машиностроительного, ГЗИП (государственный завод измерительных приборов) и завода "Стекломашина" Наркомата танковой промышленности. </w:t>
      </w:r>
    </w:p>
    <w:p w14:paraId="3BB4EE4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Перевод производства начать немедленно и закончить 20 октября 1941 года. </w:t>
      </w:r>
    </w:p>
    <w:p w14:paraId="2725DE0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 Обязать НКБ (т. Горемыкина) перевести: </w:t>
      </w:r>
    </w:p>
    <w:p w14:paraId="72C484C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а) на завод № 78 (г. Челябинск) с завода № 70 занятые на производстве снарядов М-13 оборудование (приложение № 2), инструмент и приспособления, техническую документацию, незавершенное производство, материалы и заготовку, а также рабочих и служащих. </w:t>
      </w:r>
    </w:p>
    <w:p w14:paraId="7826508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Перевод производства начать немедленно и закончить к 18 октября 1941 года; </w:t>
      </w:r>
    </w:p>
    <w:p w14:paraId="70ED537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б) на Киселевский завод Новосибирской области с завода № 70 занятые и предназначенные для производства снарядов М-8 оборудование (приложение № 3), инструмент и приспособления, техническую документацию, незавершенное производство, материалы и заготовку, а также рабочих и служащих. </w:t>
      </w:r>
    </w:p>
    <w:p w14:paraId="5BA6F9A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Перевод производства начать немедленно и закончить к 25 октября 1941 года. </w:t>
      </w:r>
    </w:p>
    <w:p w14:paraId="2FC37EC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 Обязать: </w:t>
      </w:r>
    </w:p>
    <w:p w14:paraId="79E2E08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а) Наркомобщмаш (т. Паршина) и директора завода им. Колющенко (т. Полянцева) организовать в октябре месяце 1941 года на заводе им. Колющенко производство снарядов М-13 и деталей к ним (наряду со сборкой корпусов из деталей, изготовляемых предприятиями Челябинского куста) на выпуск 25 тыс. штук корпусов снарядов М-13 в месяц; </w:t>
      </w:r>
    </w:p>
    <w:p w14:paraId="0FCD2F4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б) НКБ (т. Горемыкина) и директоров заводов № 78 (т. Тырышкина) и Киселевского завода (т. Агапова) организовать производство корпусов снарядов (из деталей своего изготовления) на переводимом оборудовании завода № 70: на заводе № 78 с выпуском в месяц 12 тыс. шт. корпусов снарядов М-13, на Киселевском заводе с выпуском в месяц 45 тыс. шт. корпусов снарядов М-8. </w:t>
      </w:r>
    </w:p>
    <w:p w14:paraId="4D9C921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4. Установить план производства корпусов снарядов М-8 и М-13 на ноябрь месяц: заводу им. Колющенко НКОМ в количестве 20 тыс. штук корпусов снарядов М-13 (кроме сборки корпусов из деталей, поставляемых предприятиями Челябинского куста), в том числе на 1 декаду 5 тыс. шт., 2-ю - 6.5 тыс. штук и 3-ю - 8.5 тыс. штук; </w:t>
      </w:r>
    </w:p>
    <w:p w14:paraId="0A9D2C2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заводу № 78 НКБ в количестве 10 тыс. штук корпусов снарядов М-13, в том числе: 1-ю декаду - 1.5 тыс. штук, 2-ю - 3.5 тыс. штук и 3-ю - 5 тыс. штук; </w:t>
      </w:r>
    </w:p>
    <w:p w14:paraId="4AB3F66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Киселевскому заводу НКБ в количестве 20 тыс. штук корпусов снарядов, в том числе: на 1-ю декаду - 2 тыс. штук, 2-ю - 5 тыс. штук и 3-ю - 12 тыс. штук. </w:t>
      </w:r>
    </w:p>
    <w:p w14:paraId="7500177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5. В связи с переводом производства снарядов М-8 и М-13 с московских заводов НКОМ и завода № 70 НКБ, уменьшить на октябрь месяц по Московскому кусту: </w:t>
      </w:r>
    </w:p>
    <w:p w14:paraId="1F9138D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а) план производства корпусов снарядов с 252 тыс. штук до 200 тыс. штук, в том числе: по корпусам снарядов М-13 с 182 тыс. штук до 165 тыс. штук и корпусам М-8 с 70 тыс. штук до 35 тыс. штук, из них: по заводу "Компрессор" НКОМ и кооперированным с ним предприятиям корпусов снарядов М-13 с 16 тыс. штук до 6 тыс. штук и соответствующее количество деталей к ним, заводу № 70 корпусов снарядов М-13 с 11 тыс. штук до 4 тыс. штук и корпусов снарядов М-8 с 43 тыс. штук до 8 тыс. штук; </w:t>
      </w:r>
    </w:p>
    <w:p w14:paraId="213DD59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б) план снаряжения по заводу № 12 НКБ с 240 тыс. штук до 190 тыс. штук, в том числе: по снарядам М-8 с 65 тыс. штук до 30 тыс. штук и снарядам М-13 с 175 тыс. штук до 160 тыс. штук. </w:t>
      </w:r>
    </w:p>
    <w:p w14:paraId="5C37BAA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6. Для расширения производственной базы по изготовлению снарядов М-13 в г. Челябинске, согласиться с предложением Челябинского обкома ВКП(б) и Наркомобщмаша о передаче заводу им. Колющенко для организации производства и сборки корпусов снарядов М-13 склада Главтракторосбыта Наркомсредмаша и гаража Челябинского треста хлебопечения. </w:t>
      </w:r>
    </w:p>
    <w:p w14:paraId="6100665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Передачу указанных помещений произвести в трехдневный срок. </w:t>
      </w:r>
    </w:p>
    <w:p w14:paraId="67640BD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7. Обязать НКПС (т. Кагановича) в трехдневный срок подать вагоны для погрузки оборудования, материалов и перевозки рабочих, служащих и их семей: </w:t>
      </w:r>
    </w:p>
    <w:p w14:paraId="04276CA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а) московским заводам НКОМ, по указанию последнего, 125 вагонов под оборудование и материалы и 50 вагонов для перевозки людей, направляемых в город Челябинск; </w:t>
      </w:r>
    </w:p>
    <w:p w14:paraId="7780474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б) заводу № 70 НКБ 90 вагонов под оборудование и 70 вагонов для перевозки людей, направляемых на Киселевский завод (ст. Черкасов-Камень, Томской ж.д.); 75 вагонов под оборудование и материалы и 30 вагонов для перевозки людей, направляемых в г. Челябинск. </w:t>
      </w:r>
    </w:p>
    <w:p w14:paraId="0F3BCF0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Перевозку рабочих и служащих с семьями в г. Челябинск произвести в течение 7 суток и на ст. Черкасов-Камень, Томской ж.д. - 10 суток и грузов в 12-15-суточный срок. </w:t>
      </w:r>
    </w:p>
    <w:p w14:paraId="0483189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8. Обязать Челябинский обком ВКП(б) (т. Сапрыкина), председателя Челябинского областного Совета депутатов трудящихся (т. Соболева), Новосибирский обком ВКП(б) (т. Кулагина) и председателя Новосибирского областного Совета депутатов трудящихся (т. Годовицына), обеспечить жильем рабочих и служащих, переводимых с московских заводов НКОМ и завода № 70 НКБ на Киселевский завод НКБ и завод им. Колющенко. </w:t>
      </w:r>
    </w:p>
    <w:p w14:paraId="34531DC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9.Обязать НКОбщмаш (т. Паршина) и НКБ (т. Горемыкина) все материалы, заготовку (штамповки), инструмент и оборудование, выделенные на октябрь месяц для производства корпусов снарядов М-8 и М-13 московским заводам НКОМ и заводу № 70 НКБ соотвественно переадресовать Киселевскому заводу, заводу № 78 НКБ и заводу им. Колющенко НКОМ (кроме штамповки детали № 25 снаряда М-13). </w:t>
      </w:r>
    </w:p>
    <w:p w14:paraId="73AAAC6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10. Возложить ответственность за переброску оборудования и людей: </w:t>
      </w:r>
    </w:p>
    <w:p w14:paraId="75A55D2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а) с московских заводов НКОМ на завод им. Колющенко - на зам. наркома общего машиностроения т. Андреева В.П. и директоров заводов, указанных в приложении № 1; </w:t>
      </w:r>
    </w:p>
    <w:p w14:paraId="63F2E0A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б) с завода № 70 НКБ на Киселевский завод и завод № 78 НКБ на зам. наркома боеприпасов т. Саркисова Н.А. и директора завода № 70. </w:t>
      </w:r>
    </w:p>
    <w:p w14:paraId="77A157E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11. Категорически запретить наркоматам и директорам предприятий Москвы и Московской области, не указанным в настоящем постановлении, без ведома зам. председателя СНК СССР тов. Вознесенского переключать на другие виды изделий или перебрасывать на другие предприятия вне Москвы оборудование, занятое на изготовлении деталей к снарядам М-8 и М-13. </w:t>
      </w:r>
    </w:p>
    <w:p w14:paraId="03B5648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Выписки посланы: </w:t>
      </w:r>
    </w:p>
    <w:p w14:paraId="60DF3AF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т.т. Вознесенскому, Маленкову, Швернику, Гайдукову, Косяченко, </w:t>
      </w:r>
    </w:p>
    <w:p w14:paraId="6EE68D2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Черноусову, Горемыкину, Аборенкову, Кузьмину, </w:t>
      </w:r>
    </w:p>
    <w:p w14:paraId="1DC195B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Челябинскому обкому ВКП(б) - все; </w:t>
      </w:r>
    </w:p>
    <w:p w14:paraId="269A50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наркомам – соответственно (12676).</w:t>
      </w:r>
    </w:p>
    <w:p w14:paraId="0914B3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A4045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9 октября 1941 г. вышло постановление ГКО № 757 о переводе их производства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 xml:space="preserve"> для М-8 и М-13 с завода (Завод № 70 им. Владимира Ильича НКТМ, НКОП, Завод Гоппера, Завод Михельсона, Завод «Русская машина», Государственный автономный машиностроительный н чугунолитейный завод им. Владимира Ильича, Ордена Ленина и Ордена Трудового Красного Знамени завод № 70 им. Владимира Ильича НКБ, МСХМ, МЭП, п/я 1362, Московский электромеханический завод им. Владимира Ильича МЭП, МЭТП, ОАО «Электромеханический завод им. Владимира Ильича» («Электро ЗВИ») / г. Москва ул. Павловская;  г. Москва 54 п/я 1362 «Рама» (1943 г.)/ /115093  г. Москва Партийный пер., 1 к. 11/) на другие заводы. Мощность завода (перед эвакуацией): М-13 - 120 тыс. шт. в год; М-8 и РБС-82 - 300 тыс. шт.; корпуса: дистанционных гранат 85-мм- 300 тыс. шт., 76-мм - 1 млн. шт.; 85-мм снарядов - 750 тыс. шт.</w:t>
      </w:r>
    </w:p>
    <w:p w14:paraId="0EC1E7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11.1941 г. завод № 70 4ГУ эвакуирован: производство М-13, 76-мм дистанционных гранат и станкостроение (400 ед. оборудования, 1000 чел.) - в Челябинск на завод № 78; производство 85-мм снарядов и дистанционных гранат (270 ед. оборудования, 700 чел.) - в Невьянск на завод № 68; производство 76-мм дистанционных гранат (120 ед. оборудования) - в Новосибирск на комбинат № 179; производство М-8 и РБС-82 (335 ед. оборудования, 1500 чел.) -в г. Киселевск на завод № 605 (11982).</w:t>
      </w:r>
    </w:p>
    <w:p w14:paraId="3FDF69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8EC6E5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года вышел приказ № 507 НКВ</w:t>
      </w:r>
    </w:p>
    <w:p w14:paraId="2150F40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постановлением Совета по эвакуации от 7 октября 1941 года № 134сс: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36"/>
        <w:gridCol w:w="1140"/>
        <w:gridCol w:w="1269"/>
        <w:gridCol w:w="4253"/>
      </w:tblGrid>
      <w:tr w:rsidR="00643896" w:rsidRPr="00640820" w14:paraId="1ECA8F8B" w14:textId="77777777" w:rsidTr="000D3BCB">
        <w:tc>
          <w:tcPr>
            <w:tcW w:w="3936" w:type="dxa"/>
          </w:tcPr>
          <w:p w14:paraId="39AE082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Наименование производства</w:t>
            </w:r>
          </w:p>
        </w:tc>
        <w:tc>
          <w:tcPr>
            <w:tcW w:w="1140" w:type="dxa"/>
          </w:tcPr>
          <w:p w14:paraId="647BC40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заводов</w:t>
            </w:r>
          </w:p>
        </w:tc>
        <w:tc>
          <w:tcPr>
            <w:tcW w:w="1269" w:type="dxa"/>
          </w:tcPr>
          <w:p w14:paraId="7B1CA7D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w:t>
            </w:r>
          </w:p>
        </w:tc>
        <w:tc>
          <w:tcPr>
            <w:tcW w:w="4253" w:type="dxa"/>
          </w:tcPr>
          <w:p w14:paraId="155FFF1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Куда эвакуируется</w:t>
            </w:r>
          </w:p>
        </w:tc>
      </w:tr>
    </w:tbl>
    <w:p w14:paraId="5BF18E1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Стрелковые заводы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36"/>
        <w:gridCol w:w="1140"/>
        <w:gridCol w:w="1269"/>
        <w:gridCol w:w="4253"/>
      </w:tblGrid>
      <w:tr w:rsidR="00643896" w:rsidRPr="00640820" w14:paraId="3E544EAB" w14:textId="77777777" w:rsidTr="000D3BCB">
        <w:tc>
          <w:tcPr>
            <w:tcW w:w="3936" w:type="dxa"/>
          </w:tcPr>
          <w:p w14:paraId="5CE4732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пистолетов пулеметов. ППШ</w:t>
            </w:r>
          </w:p>
        </w:tc>
        <w:tc>
          <w:tcPr>
            <w:tcW w:w="1140" w:type="dxa"/>
          </w:tcPr>
          <w:p w14:paraId="4322697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367</w:t>
            </w:r>
          </w:p>
        </w:tc>
        <w:tc>
          <w:tcPr>
            <w:tcW w:w="1269" w:type="dxa"/>
          </w:tcPr>
          <w:p w14:paraId="1A360E2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Емельянов</w:t>
            </w:r>
          </w:p>
        </w:tc>
        <w:tc>
          <w:tcPr>
            <w:tcW w:w="4253" w:type="dxa"/>
          </w:tcPr>
          <w:p w14:paraId="26CA6A1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завод № 622 (Вятские поляны)</w:t>
            </w:r>
          </w:p>
        </w:tc>
      </w:tr>
      <w:tr w:rsidR="00643896" w:rsidRPr="00640820" w14:paraId="5966BE88" w14:textId="77777777" w:rsidTr="000D3BCB">
        <w:tc>
          <w:tcPr>
            <w:tcW w:w="3936" w:type="dxa"/>
          </w:tcPr>
          <w:p w14:paraId="435AC1F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12,7 мм пулеметов ДШК</w:t>
            </w:r>
          </w:p>
        </w:tc>
        <w:tc>
          <w:tcPr>
            <w:tcW w:w="1140" w:type="dxa"/>
          </w:tcPr>
          <w:p w14:paraId="0BCF5A3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507</w:t>
            </w:r>
          </w:p>
        </w:tc>
        <w:tc>
          <w:tcPr>
            <w:tcW w:w="1269" w:type="dxa"/>
          </w:tcPr>
          <w:p w14:paraId="2CC5197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Никитин</w:t>
            </w:r>
          </w:p>
        </w:tc>
        <w:tc>
          <w:tcPr>
            <w:tcW w:w="4253" w:type="dxa"/>
          </w:tcPr>
          <w:p w14:paraId="206EE57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завод № 525 (Куйбышев)</w:t>
            </w:r>
          </w:p>
        </w:tc>
      </w:tr>
      <w:tr w:rsidR="00643896" w:rsidRPr="00640820" w14:paraId="797392E3" w14:textId="77777777" w:rsidTr="000D3BCB">
        <w:tc>
          <w:tcPr>
            <w:tcW w:w="3936" w:type="dxa"/>
          </w:tcPr>
          <w:p w14:paraId="55A8443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самозарядной винтовки</w:t>
            </w:r>
          </w:p>
        </w:tc>
        <w:tc>
          <w:tcPr>
            <w:tcW w:w="1140" w:type="dxa"/>
          </w:tcPr>
          <w:p w14:paraId="334EDA6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460</w:t>
            </w:r>
          </w:p>
        </w:tc>
        <w:tc>
          <w:tcPr>
            <w:tcW w:w="1269" w:type="dxa"/>
          </w:tcPr>
          <w:p w14:paraId="731CD5F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Щекин</w:t>
            </w:r>
          </w:p>
        </w:tc>
        <w:tc>
          <w:tcPr>
            <w:tcW w:w="4253" w:type="dxa"/>
          </w:tcPr>
          <w:p w14:paraId="344941F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завод № 74 Ижевск</w:t>
            </w:r>
          </w:p>
        </w:tc>
      </w:tr>
      <w:tr w:rsidR="00643896" w:rsidRPr="00640820" w14:paraId="4CE92BDC" w14:textId="77777777" w:rsidTr="000D3BCB">
        <w:tc>
          <w:tcPr>
            <w:tcW w:w="3936" w:type="dxa"/>
          </w:tcPr>
          <w:p w14:paraId="61D7149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магазинов к пулеметам ППШ</w:t>
            </w:r>
          </w:p>
        </w:tc>
        <w:tc>
          <w:tcPr>
            <w:tcW w:w="1140" w:type="dxa"/>
          </w:tcPr>
          <w:p w14:paraId="133D9DB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509</w:t>
            </w:r>
          </w:p>
        </w:tc>
        <w:tc>
          <w:tcPr>
            <w:tcW w:w="1269" w:type="dxa"/>
          </w:tcPr>
          <w:p w14:paraId="3DD8BD3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Антопольский </w:t>
            </w:r>
          </w:p>
        </w:tc>
        <w:tc>
          <w:tcPr>
            <w:tcW w:w="4253" w:type="dxa"/>
          </w:tcPr>
          <w:p w14:paraId="3EE0B0B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завод № 622 (Вятские поляны)</w:t>
            </w:r>
          </w:p>
        </w:tc>
      </w:tr>
      <w:tr w:rsidR="00643896" w:rsidRPr="00640820" w14:paraId="1AFCEB54" w14:textId="77777777" w:rsidTr="000D3BCB">
        <w:tc>
          <w:tcPr>
            <w:tcW w:w="3936" w:type="dxa"/>
          </w:tcPr>
          <w:p w14:paraId="284471A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магазинов к пулеметам ДП и ДТ</w:t>
            </w:r>
          </w:p>
        </w:tc>
        <w:tc>
          <w:tcPr>
            <w:tcW w:w="1140" w:type="dxa"/>
          </w:tcPr>
          <w:p w14:paraId="64C938F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509</w:t>
            </w:r>
          </w:p>
        </w:tc>
        <w:tc>
          <w:tcPr>
            <w:tcW w:w="1269" w:type="dxa"/>
          </w:tcPr>
          <w:p w14:paraId="169B03A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Антопольский</w:t>
            </w:r>
          </w:p>
        </w:tc>
        <w:tc>
          <w:tcPr>
            <w:tcW w:w="4253" w:type="dxa"/>
          </w:tcPr>
          <w:p w14:paraId="53E889D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Куйбышевская кондитерская фабрика</w:t>
            </w:r>
          </w:p>
        </w:tc>
      </w:tr>
    </w:tbl>
    <w:p w14:paraId="73DCB06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оптическим заводам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36"/>
        <w:gridCol w:w="1140"/>
        <w:gridCol w:w="1269"/>
        <w:gridCol w:w="4253"/>
      </w:tblGrid>
      <w:tr w:rsidR="00643896" w:rsidRPr="00640820" w14:paraId="788189FB" w14:textId="77777777" w:rsidTr="000D3BCB">
        <w:tc>
          <w:tcPr>
            <w:tcW w:w="3936" w:type="dxa"/>
          </w:tcPr>
          <w:p w14:paraId="74687D2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зенитных дальномеров</w:t>
            </w:r>
          </w:p>
        </w:tc>
        <w:tc>
          <w:tcPr>
            <w:tcW w:w="1140" w:type="dxa"/>
          </w:tcPr>
          <w:p w14:paraId="6795B58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69</w:t>
            </w:r>
          </w:p>
        </w:tc>
        <w:tc>
          <w:tcPr>
            <w:tcW w:w="1269" w:type="dxa"/>
          </w:tcPr>
          <w:p w14:paraId="7562DC9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Котляр</w:t>
            </w:r>
          </w:p>
        </w:tc>
        <w:tc>
          <w:tcPr>
            <w:tcW w:w="4253" w:type="dxa"/>
          </w:tcPr>
          <w:p w14:paraId="6CB50B5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Уральск Казахской ССР, здания мельницы, авторемонтных мастерских, гаража, дома им. Кирова, Педагогического института и Медицинского института.</w:t>
            </w:r>
          </w:p>
        </w:tc>
      </w:tr>
      <w:tr w:rsidR="00643896" w:rsidRPr="00640820" w14:paraId="55989AA8" w14:textId="77777777" w:rsidTr="000D3BCB">
        <w:tc>
          <w:tcPr>
            <w:tcW w:w="3936" w:type="dxa"/>
          </w:tcPr>
          <w:p w14:paraId="1C975FF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танковых, минометных и орудийных прицелов</w:t>
            </w:r>
          </w:p>
        </w:tc>
        <w:tc>
          <w:tcPr>
            <w:tcW w:w="1140" w:type="dxa"/>
          </w:tcPr>
          <w:p w14:paraId="764A45D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69</w:t>
            </w:r>
          </w:p>
        </w:tc>
        <w:tc>
          <w:tcPr>
            <w:tcW w:w="1269" w:type="dxa"/>
          </w:tcPr>
          <w:p w14:paraId="1A6686F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Котляр</w:t>
            </w:r>
          </w:p>
        </w:tc>
        <w:tc>
          <w:tcPr>
            <w:tcW w:w="4253" w:type="dxa"/>
          </w:tcPr>
          <w:p w14:paraId="6A54E31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Свердловск: здания Горного института с музеем и новостроящимся корпусом, Индустриального института, Лесотехнического института, часть здания “Уральского рабочего” и здания театра “Музкомедии”.</w:t>
            </w:r>
          </w:p>
        </w:tc>
      </w:tr>
      <w:tr w:rsidR="00643896" w:rsidRPr="00640820" w14:paraId="2901FDE9" w14:textId="77777777" w:rsidTr="000D3BCB">
        <w:tc>
          <w:tcPr>
            <w:tcW w:w="3936" w:type="dxa"/>
          </w:tcPr>
          <w:p w14:paraId="5A720CC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прицелов</w:t>
            </w:r>
          </w:p>
        </w:tc>
        <w:tc>
          <w:tcPr>
            <w:tcW w:w="1140" w:type="dxa"/>
          </w:tcPr>
          <w:p w14:paraId="6461F24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217</w:t>
            </w:r>
          </w:p>
        </w:tc>
        <w:tc>
          <w:tcPr>
            <w:tcW w:w="1269" w:type="dxa"/>
          </w:tcPr>
          <w:p w14:paraId="1C989DE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Ширяев</w:t>
            </w:r>
          </w:p>
        </w:tc>
        <w:tc>
          <w:tcPr>
            <w:tcW w:w="4253" w:type="dxa"/>
          </w:tcPr>
          <w:p w14:paraId="25EDA5E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Свердловск: все здания Госуниверситета и Педагогического института с общежитиями.</w:t>
            </w:r>
          </w:p>
        </w:tc>
      </w:tr>
      <w:tr w:rsidR="00643896" w:rsidRPr="00640820" w14:paraId="45C677C3" w14:textId="77777777" w:rsidTr="000D3BCB">
        <w:tc>
          <w:tcPr>
            <w:tcW w:w="3936" w:type="dxa"/>
          </w:tcPr>
          <w:p w14:paraId="4C76A49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авиационных стрелковых прицелов</w:t>
            </w:r>
          </w:p>
        </w:tc>
        <w:tc>
          <w:tcPr>
            <w:tcW w:w="1140" w:type="dxa"/>
          </w:tcPr>
          <w:p w14:paraId="7E942F1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355</w:t>
            </w:r>
          </w:p>
        </w:tc>
        <w:tc>
          <w:tcPr>
            <w:tcW w:w="1269" w:type="dxa"/>
          </w:tcPr>
          <w:p w14:paraId="15E0163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Бессонов</w:t>
            </w:r>
          </w:p>
        </w:tc>
        <w:tc>
          <w:tcPr>
            <w:tcW w:w="4253" w:type="dxa"/>
          </w:tcPr>
          <w:p w14:paraId="50C2370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Томск, здания Госуниверситета с общежитиями.</w:t>
            </w:r>
          </w:p>
        </w:tc>
      </w:tr>
    </w:tbl>
    <w:p w14:paraId="69ED5AB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Артиллерийские заводы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36"/>
        <w:gridCol w:w="1140"/>
        <w:gridCol w:w="1269"/>
        <w:gridCol w:w="4253"/>
      </w:tblGrid>
      <w:tr w:rsidR="00643896" w:rsidRPr="00640820" w14:paraId="62DE37D0" w14:textId="77777777" w:rsidTr="000D3BCB">
        <w:tc>
          <w:tcPr>
            <w:tcW w:w="3936" w:type="dxa"/>
          </w:tcPr>
          <w:p w14:paraId="51BE076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37 мм зенитные автоматы</w:t>
            </w:r>
          </w:p>
        </w:tc>
        <w:tc>
          <w:tcPr>
            <w:tcW w:w="1140" w:type="dxa"/>
          </w:tcPr>
          <w:p w14:paraId="022DF97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1269" w:type="dxa"/>
          </w:tcPr>
          <w:p w14:paraId="38C8334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Шифрин</w:t>
            </w:r>
          </w:p>
        </w:tc>
        <w:tc>
          <w:tcPr>
            <w:tcW w:w="4253" w:type="dxa"/>
          </w:tcPr>
          <w:p w14:paraId="73641DF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завод № 586 НКВ г. Красноярск</w:t>
            </w:r>
          </w:p>
        </w:tc>
      </w:tr>
      <w:tr w:rsidR="00643896" w:rsidRPr="00640820" w14:paraId="12A05C38" w14:textId="77777777" w:rsidTr="000D3BCB">
        <w:tc>
          <w:tcPr>
            <w:tcW w:w="3936" w:type="dxa"/>
          </w:tcPr>
          <w:p w14:paraId="0210117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Платформы к 37 мм зенитным автоматам, часть оборудования, занятого на изготовлении платформ</w:t>
            </w:r>
          </w:p>
        </w:tc>
        <w:tc>
          <w:tcPr>
            <w:tcW w:w="1140" w:type="dxa"/>
          </w:tcPr>
          <w:p w14:paraId="3D7BA39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Коломенский завод им. Куйбышева НКТМ</w:t>
            </w:r>
          </w:p>
        </w:tc>
        <w:tc>
          <w:tcPr>
            <w:tcW w:w="1269" w:type="dxa"/>
          </w:tcPr>
          <w:p w14:paraId="4B4037D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Шифрин</w:t>
            </w:r>
          </w:p>
        </w:tc>
        <w:tc>
          <w:tcPr>
            <w:tcW w:w="4253" w:type="dxa"/>
          </w:tcPr>
          <w:p w14:paraId="79AA3AD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завод № 586 НКВ г. Красноярск</w:t>
            </w:r>
          </w:p>
        </w:tc>
      </w:tr>
      <w:tr w:rsidR="00643896" w:rsidRPr="00640820" w14:paraId="07BEE986" w14:textId="77777777" w:rsidTr="000D3BCB">
        <w:tc>
          <w:tcPr>
            <w:tcW w:w="3936" w:type="dxa"/>
          </w:tcPr>
          <w:p w14:paraId="2CFE8B9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 мм танковые и морские зенитные системы</w:t>
            </w:r>
          </w:p>
        </w:tc>
        <w:tc>
          <w:tcPr>
            <w:tcW w:w="1140" w:type="dxa"/>
          </w:tcPr>
          <w:p w14:paraId="3C3ED38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w:t>
            </w:r>
          </w:p>
        </w:tc>
        <w:tc>
          <w:tcPr>
            <w:tcW w:w="1269" w:type="dxa"/>
          </w:tcPr>
          <w:p w14:paraId="51451B6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Фрадкин</w:t>
            </w:r>
          </w:p>
        </w:tc>
        <w:tc>
          <w:tcPr>
            <w:tcW w:w="4253" w:type="dxa"/>
          </w:tcPr>
          <w:p w14:paraId="633873C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завод № 235 Воткинск</w:t>
            </w:r>
          </w:p>
        </w:tc>
      </w:tr>
      <w:tr w:rsidR="00643896" w:rsidRPr="00640820" w14:paraId="3900BB6D" w14:textId="77777777" w:rsidTr="000D3BCB">
        <w:tc>
          <w:tcPr>
            <w:tcW w:w="3936" w:type="dxa"/>
          </w:tcPr>
          <w:p w14:paraId="421164B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25 мм зенитные автоматы. Только то оборудование, которое занято на изготовлении деталей 25 мм зенпушки</w:t>
            </w:r>
          </w:p>
        </w:tc>
        <w:tc>
          <w:tcPr>
            <w:tcW w:w="1140" w:type="dxa"/>
          </w:tcPr>
          <w:p w14:paraId="305097D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w:t>
            </w:r>
          </w:p>
          <w:p w14:paraId="1EDD0BA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Можерез КПС</w:t>
            </w:r>
          </w:p>
          <w:p w14:paraId="2114367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ЗИС НКОМ</w:t>
            </w:r>
          </w:p>
          <w:p w14:paraId="1F7A73A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ММЗ НКЭП</w:t>
            </w:r>
          </w:p>
          <w:p w14:paraId="37B3DA9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Динамо НКЭП</w:t>
            </w:r>
          </w:p>
        </w:tc>
        <w:tc>
          <w:tcPr>
            <w:tcW w:w="1269" w:type="dxa"/>
          </w:tcPr>
          <w:p w14:paraId="09D65FB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253" w:type="dxa"/>
          </w:tcPr>
          <w:p w14:paraId="0022256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завод № 172 Молотов</w:t>
            </w:r>
          </w:p>
        </w:tc>
      </w:tr>
      <w:tr w:rsidR="00643896" w:rsidRPr="00640820" w14:paraId="6647263B" w14:textId="77777777" w:rsidTr="000D3BCB">
        <w:tc>
          <w:tcPr>
            <w:tcW w:w="3936" w:type="dxa"/>
          </w:tcPr>
          <w:p w14:paraId="6C231F7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Платформы к 85 мм зенитным системам</w:t>
            </w:r>
          </w:p>
        </w:tc>
        <w:tc>
          <w:tcPr>
            <w:tcW w:w="1140" w:type="dxa"/>
          </w:tcPr>
          <w:p w14:paraId="1A7BCCF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592</w:t>
            </w:r>
          </w:p>
        </w:tc>
        <w:tc>
          <w:tcPr>
            <w:tcW w:w="1269" w:type="dxa"/>
          </w:tcPr>
          <w:p w14:paraId="1A71D47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Тарасов</w:t>
            </w:r>
          </w:p>
        </w:tc>
        <w:tc>
          <w:tcPr>
            <w:tcW w:w="4253" w:type="dxa"/>
          </w:tcPr>
          <w:p w14:paraId="1BF021A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завод № 13 Усть-Катав</w:t>
            </w:r>
          </w:p>
        </w:tc>
      </w:tr>
      <w:tr w:rsidR="00643896" w:rsidRPr="00640820" w14:paraId="23D83934" w14:textId="77777777" w:rsidTr="000D3BCB">
        <w:tc>
          <w:tcPr>
            <w:tcW w:w="3936" w:type="dxa"/>
          </w:tcPr>
          <w:p w14:paraId="5292923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ФАБ-500</w:t>
            </w:r>
          </w:p>
        </w:tc>
        <w:tc>
          <w:tcPr>
            <w:tcW w:w="1140" w:type="dxa"/>
          </w:tcPr>
          <w:p w14:paraId="5C00B16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589 Калуга</w:t>
            </w:r>
          </w:p>
        </w:tc>
        <w:tc>
          <w:tcPr>
            <w:tcW w:w="1269" w:type="dxa"/>
          </w:tcPr>
          <w:p w14:paraId="21A1CF2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Палачев</w:t>
            </w:r>
          </w:p>
        </w:tc>
        <w:tc>
          <w:tcPr>
            <w:tcW w:w="4253" w:type="dxa"/>
          </w:tcPr>
          <w:p w14:paraId="5795AB4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586 Красноярск</w:t>
            </w:r>
          </w:p>
        </w:tc>
      </w:tr>
      <w:tr w:rsidR="00643896" w:rsidRPr="00640820" w14:paraId="6DF31E22" w14:textId="77777777" w:rsidTr="000D3BCB">
        <w:tc>
          <w:tcPr>
            <w:tcW w:w="3936" w:type="dxa"/>
          </w:tcPr>
          <w:p w14:paraId="3917502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50мм ротный миномет</w:t>
            </w:r>
          </w:p>
        </w:tc>
        <w:tc>
          <w:tcPr>
            <w:tcW w:w="1140" w:type="dxa"/>
          </w:tcPr>
          <w:p w14:paraId="4E6A3D2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589 Калуга</w:t>
            </w:r>
          </w:p>
        </w:tc>
        <w:tc>
          <w:tcPr>
            <w:tcW w:w="1269" w:type="dxa"/>
          </w:tcPr>
          <w:p w14:paraId="5CB91DB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Палачев</w:t>
            </w:r>
          </w:p>
        </w:tc>
        <w:tc>
          <w:tcPr>
            <w:tcW w:w="4253" w:type="dxa"/>
          </w:tcPr>
          <w:p w14:paraId="44B4FA4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356 Москва</w:t>
            </w:r>
          </w:p>
        </w:tc>
      </w:tr>
    </w:tbl>
    <w:p w14:paraId="22D7E71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Патронные заводы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36"/>
        <w:gridCol w:w="1140"/>
        <w:gridCol w:w="1269"/>
        <w:gridCol w:w="4253"/>
      </w:tblGrid>
      <w:tr w:rsidR="00643896" w:rsidRPr="00640820" w14:paraId="5900C77D" w14:textId="77777777" w:rsidTr="000D3BCB">
        <w:tc>
          <w:tcPr>
            <w:tcW w:w="3936" w:type="dxa"/>
          </w:tcPr>
          <w:p w14:paraId="4FC9A7E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патронов калибра 7,62 мм и элементов пиротехнических патронов калибра 7,62 мм и 12,7 мм</w:t>
            </w:r>
          </w:p>
        </w:tc>
        <w:tc>
          <w:tcPr>
            <w:tcW w:w="1140" w:type="dxa"/>
          </w:tcPr>
          <w:p w14:paraId="063A885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w:t>
            </w:r>
          </w:p>
        </w:tc>
        <w:tc>
          <w:tcPr>
            <w:tcW w:w="1269" w:type="dxa"/>
          </w:tcPr>
          <w:p w14:paraId="0E8CE8B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Соломко</w:t>
            </w:r>
          </w:p>
        </w:tc>
        <w:tc>
          <w:tcPr>
            <w:tcW w:w="4253" w:type="dxa"/>
          </w:tcPr>
          <w:p w14:paraId="4EC7908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завод № 17-а Барнаул</w:t>
            </w:r>
          </w:p>
        </w:tc>
      </w:tr>
      <w:tr w:rsidR="00643896" w:rsidRPr="00640820" w14:paraId="2E1B431C" w14:textId="77777777" w:rsidTr="000D3BCB">
        <w:tc>
          <w:tcPr>
            <w:tcW w:w="3936" w:type="dxa"/>
          </w:tcPr>
          <w:p w14:paraId="0DF1D99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Производство элементов патронов калибра 12,7 мм </w:t>
            </w:r>
          </w:p>
        </w:tc>
        <w:tc>
          <w:tcPr>
            <w:tcW w:w="1140" w:type="dxa"/>
          </w:tcPr>
          <w:p w14:paraId="1234F46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44</w:t>
            </w:r>
          </w:p>
        </w:tc>
        <w:tc>
          <w:tcPr>
            <w:tcW w:w="1269" w:type="dxa"/>
          </w:tcPr>
          <w:p w14:paraId="14920ED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Березкин</w:t>
            </w:r>
          </w:p>
        </w:tc>
        <w:tc>
          <w:tcPr>
            <w:tcW w:w="4253" w:type="dxa"/>
          </w:tcPr>
          <w:p w14:paraId="4250BAC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завод № 17-а Барнаул</w:t>
            </w:r>
          </w:p>
        </w:tc>
      </w:tr>
      <w:tr w:rsidR="00643896" w:rsidRPr="00640820" w14:paraId="35B4BD9D" w14:textId="77777777" w:rsidTr="000D3BCB">
        <w:tc>
          <w:tcPr>
            <w:tcW w:w="3936" w:type="dxa"/>
          </w:tcPr>
          <w:p w14:paraId="66EA4D9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пиротехнических патронов калибра 7,62 мм и 12,7 мм</w:t>
            </w:r>
          </w:p>
        </w:tc>
        <w:tc>
          <w:tcPr>
            <w:tcW w:w="1140" w:type="dxa"/>
          </w:tcPr>
          <w:p w14:paraId="45AF20C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188</w:t>
            </w:r>
          </w:p>
        </w:tc>
        <w:tc>
          <w:tcPr>
            <w:tcW w:w="1269" w:type="dxa"/>
          </w:tcPr>
          <w:p w14:paraId="6A88347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Штанин</w:t>
            </w:r>
          </w:p>
        </w:tc>
        <w:tc>
          <w:tcPr>
            <w:tcW w:w="4253" w:type="dxa"/>
          </w:tcPr>
          <w:p w14:paraId="0652E8A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завод № 524 Новосибирск</w:t>
            </w:r>
          </w:p>
        </w:tc>
      </w:tr>
      <w:tr w:rsidR="00643896" w:rsidRPr="00640820" w14:paraId="26764EF0" w14:textId="77777777" w:rsidTr="000D3BCB">
        <w:tc>
          <w:tcPr>
            <w:tcW w:w="3936" w:type="dxa"/>
          </w:tcPr>
          <w:p w14:paraId="71DB138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пиротехнических патронов калибра 7,62 мм и 12,7 мм</w:t>
            </w:r>
          </w:p>
        </w:tc>
        <w:tc>
          <w:tcPr>
            <w:tcW w:w="1140" w:type="dxa"/>
          </w:tcPr>
          <w:p w14:paraId="7C89775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46</w:t>
            </w:r>
          </w:p>
        </w:tc>
        <w:tc>
          <w:tcPr>
            <w:tcW w:w="1269" w:type="dxa"/>
          </w:tcPr>
          <w:p w14:paraId="40B509B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Володин</w:t>
            </w:r>
          </w:p>
        </w:tc>
        <w:tc>
          <w:tcPr>
            <w:tcW w:w="4253" w:type="dxa"/>
          </w:tcPr>
          <w:p w14:paraId="7C42B71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Льнопрядильную фабрику им. Ленина Свердловск</w:t>
            </w:r>
          </w:p>
        </w:tc>
      </w:tr>
    </w:tbl>
    <w:p w14:paraId="23BF0A8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(6288, 122-116).</w:t>
      </w:r>
    </w:p>
    <w:p w14:paraId="7304BA5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6E2DEC" w14:textId="77777777" w:rsidR="009249DA" w:rsidRPr="00640820" w:rsidRDefault="009249DA"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9 октября 1941 года было подписано постановление ГКО №752сс «Об эвакуации заводов: №37, КИМ и Подольского и танкового производства Коломенского завода». Согласно тексту постановления, завод №37, КИМ и Подольский завод им. Орджоникидзе предполагалось отправить в Ташкент. В качестве площадки для развёртывания танкового производства предполагалось использовать Ташсельмаш, Ташкентский завод сельхозмашин Народного комиссариата общего машиностроения (НКОМ). Что же касается Коломенского завода </w:t>
      </w:r>
      <w:hyperlink r:id="rId33" w:history="1">
        <w:r w:rsidRPr="00640820">
          <w:rPr>
            <w:rFonts w:ascii="Times New Roman" w:eastAsia="Times New Roman" w:hAnsi="Times New Roman"/>
            <w:color w:val="000000" w:themeColor="text1"/>
            <w:sz w:val="16"/>
            <w:szCs w:val="16"/>
            <w:lang w:eastAsia="ru-RU"/>
          </w:rPr>
          <w:t>Народного комиссариата танковой промышленности</w:t>
        </w:r>
      </w:hyperlink>
      <w:r w:rsidRPr="00640820">
        <w:rPr>
          <w:rFonts w:ascii="Times New Roman" w:eastAsia="Times New Roman" w:hAnsi="Times New Roman"/>
          <w:color w:val="000000" w:themeColor="text1"/>
          <w:sz w:val="16"/>
          <w:szCs w:val="16"/>
          <w:lang w:eastAsia="ru-RU"/>
        </w:rPr>
        <w:t xml:space="preserve"> (НКТП), который был вторым смежником по выпуску Т-40 и Т-30, то его предполагалось эвакуировать в г. Киров на Кировский машиностроительный завод им. 1 мая Народного комиссариата путей сообщения (НКПС). Туда отправлялось корпусное производство, а также задействованные в нём заводские кадры.</w:t>
      </w:r>
    </w:p>
    <w:p w14:paraId="78E469C2" w14:textId="77777777" w:rsidR="009249DA" w:rsidRPr="00640820" w:rsidRDefault="009249DA"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Решение от 9 октября довольно быстро было переиграно. 19 октября вышло постановление №811сс «Об эвакуации заводов №37, КИМ и Подольского», согласно которому заводы эвакуировались в Свердловск. Тем не менее идея об организации танкового производства в Ташкенте не умерла. В начале ноября 1941 года с подобным предложением выступили секретарь ЦК ВКП(б) Узбекистана У. Ю. Юсупов и заместитель командующего войсками Среднеазиатского военного округа генерал-майор П. С. Курбаткин.</w:t>
      </w:r>
    </w:p>
    <w:p w14:paraId="6DBA2C10" w14:textId="77777777" w:rsidR="009249DA" w:rsidRPr="00640820" w:rsidRDefault="009249DA"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Стоит отметить, что в Ташкент, где планировалось организовать производство, в ходе эвакуации было переброшено несколько предприятий. К примеру, с 1942 года там было организовано производство военно-транспортных самолётов Ли-2. Кроме того, в находящийся неподалёку Чирчик было эвакуировано Харьковское танковое училище. В Ташкенте находились Ташкентский паровозоремонтный завод имени Л. М. Кагановича и литейно-механический завод НКПС, производственные мощности которых потенциально позволяли организовать выпуск танков (17672).</w:t>
      </w:r>
    </w:p>
    <w:p w14:paraId="1A3953EE" w14:textId="77777777" w:rsidR="009249DA" w:rsidRPr="00640820" w:rsidRDefault="009249DA" w:rsidP="00640820">
      <w:pPr>
        <w:spacing w:after="0" w:line="240" w:lineRule="auto"/>
        <w:jc w:val="both"/>
        <w:rPr>
          <w:rFonts w:ascii="Times New Roman" w:hAnsi="Times New Roman"/>
          <w:color w:val="000000" w:themeColor="text1"/>
          <w:sz w:val="16"/>
          <w:szCs w:val="16"/>
        </w:rPr>
      </w:pPr>
    </w:p>
    <w:p w14:paraId="24559D8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года вышел Приказ НКБ № 593</w:t>
      </w:r>
    </w:p>
    <w:p w14:paraId="0388927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распоряжением СНК № 11302 от 2 октября 1941 года в состав предприятий НКБ передан законченный строительством военный склад Артиллерийского управления № 727 в районе Новосибирска. Включить в число предприятий НКБ военный склад № 727 под наименованием завод № 635 и подчинить его 1 Гл. Управлению (5676, 247).</w:t>
      </w:r>
    </w:p>
    <w:p w14:paraId="2966C97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4B16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вышло Постановление ГКО № 752 Об эвакуации заводов: № 37, КИМ и Подольского и танкового производства Коломенского завода. РГАНИР, Фонд ГКО, д. 12, лл. 27-29 (11012).</w:t>
      </w:r>
    </w:p>
    <w:p w14:paraId="46B657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C4E00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1941-го года вышел приказ об эвакуации московского завода № 37, хотя производство было остановлено уже 26 сентября. Всего в Москве успели сделать 245 танков Т-60. Завод эвакуировали в Свердловск: на территорию заводов "Металлист", вагоноремонтного имени Воеводина и филиала "Уралмаша" - всего на три завода, куда оборудование прибывало с 28 октября по 6 ноября. Вместе с частью эвакуированного туда завода "КИМ" был образован новый танковый завод № 37 (главный конструктор Г.С. Суренян, затем Н.А. Попов) (3862).</w:t>
      </w:r>
    </w:p>
    <w:p w14:paraId="377636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D0FB3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г. в соответствии с постановлениями ГКО № 752 и № 811 от 19.10.1941 г. завод № 37 (Завод № 37 им.  Г.К. Орджоникидзе НКТП, НКОП, НКСМ, НКТП, Авторемонтный завод, 4-й Государственный авторемонтный завод ВСНХ, 2-й автобронетанковый ремонтный завод, 2-й автосборочный завод ВАТО, НКТП, Опытный завод № 37, Опытный завод НИРТИ, НИИДАР / г. Черкизов Московской обл.;  г. Свердловск;  г. Москва Преображенская застава/ /107258  г. Москва 1-я ул. Бухвостова, 12/11/) эвакуирован в Свердловск на площадку вагоноремонтного завода им. Воеводина. Эвакуация продолжалась с 28.10 по 6.11.1941 г. Сюда же эвакуирована часть завода «КИМ». 10.11.1941 г. образован единый завод № 37.</w:t>
      </w:r>
      <w:r w:rsidRPr="00640820">
        <w:rPr>
          <w:rFonts w:ascii="Times New Roman" w:hAnsi="Times New Roman"/>
          <w:color w:val="000000" w:themeColor="text1"/>
          <w:sz w:val="16"/>
          <w:szCs w:val="16"/>
          <w:vertAlign w:val="superscript"/>
        </w:rPr>
        <w:t xml:space="preserve">92,109 </w:t>
      </w:r>
      <w:r w:rsidRPr="00640820">
        <w:rPr>
          <w:rFonts w:ascii="Times New Roman" w:hAnsi="Times New Roman"/>
          <w:color w:val="000000" w:themeColor="text1"/>
          <w:sz w:val="16"/>
          <w:szCs w:val="16"/>
        </w:rPr>
        <w:t>Продолжено производство танков: 1.01.1942 г. выпущены первые 20 Т-60Ш. В соответствии с пост. ГКО № 1417 от 9.03.1942 г. начато производство танка Т-70. 12.04.1942 г. вышло постановление ГКО № 1581 о выпуске танков Т-60 на заводе № 37 НКТП.</w:t>
      </w:r>
    </w:p>
    <w:p w14:paraId="6E744D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площадке эвакуированного завода в Москве образован Авторемонтный завод № 6 (АРЗ-6). 7.01.1942 г. АРЗ-6 преобразован в филиал завода № 37.</w:t>
      </w:r>
    </w:p>
    <w:p w14:paraId="7EBCB9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находился в ведении НКТП, НКСМ. В середине 1942 г. завод № 37 в Свердловске влит в состав завода «Большевик» (завод № 50), а филиал в Москве преобразован в новый завод № 37. 28.07.1942 г. вышло постановление ГКО № 2120 об организации на заводе производства Т-34.</w:t>
      </w:r>
    </w:p>
    <w:p w14:paraId="2930AB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1949 г. завод перепрофилирован на производство радиотехнической продукции. В 1950 г. начинается освоение производства </w:t>
      </w:r>
      <w:r w:rsidRPr="00640820">
        <w:rPr>
          <w:rFonts w:ascii="Times New Roman" w:hAnsi="Times New Roman"/>
          <w:color w:val="000000" w:themeColor="text1"/>
          <w:sz w:val="16"/>
          <w:szCs w:val="16"/>
          <w:lang w:val="en-US"/>
        </w:rPr>
        <w:t>PJIC</w:t>
      </w:r>
      <w:r w:rsidRPr="00640820">
        <w:rPr>
          <w:rFonts w:ascii="Times New Roman" w:hAnsi="Times New Roman"/>
          <w:color w:val="000000" w:themeColor="text1"/>
          <w:sz w:val="16"/>
          <w:szCs w:val="16"/>
        </w:rPr>
        <w:t xml:space="preserve"> П-20 и П-50.</w:t>
      </w:r>
    </w:p>
    <w:p w14:paraId="4B2DC9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1949 г. при заводе образовано ОКБ.</w:t>
      </w:r>
    </w:p>
    <w:p w14:paraId="36A81B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30.07.1959 г. образован филиал НИИ-108, который был размещен на территории ОКБ. В 05.1960 г. филиал преобразован в НИИ-37, а завод преобразован в его Опытный завод № 37. 15.01.1970 г. вошел в состав ЦНПО «Вымпел».</w:t>
      </w:r>
      <w:r w:rsidRPr="00640820">
        <w:rPr>
          <w:rFonts w:ascii="Times New Roman" w:hAnsi="Times New Roman"/>
          <w:color w:val="000000" w:themeColor="text1"/>
          <w:sz w:val="16"/>
          <w:szCs w:val="16"/>
          <w:vertAlign w:val="superscript"/>
        </w:rPr>
        <w:t>104</w:t>
      </w:r>
    </w:p>
    <w:p w14:paraId="6A297E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1960 г. завод был головным по изготовлению </w:t>
      </w:r>
      <w:r w:rsidRPr="00640820">
        <w:rPr>
          <w:rFonts w:ascii="Times New Roman" w:hAnsi="Times New Roman"/>
          <w:color w:val="000000" w:themeColor="text1"/>
          <w:sz w:val="16"/>
          <w:szCs w:val="16"/>
          <w:lang w:val="en-US"/>
        </w:rPr>
        <w:t>PJIC</w:t>
      </w:r>
      <w:r w:rsidRPr="00640820">
        <w:rPr>
          <w:rFonts w:ascii="Times New Roman" w:hAnsi="Times New Roman"/>
          <w:color w:val="000000" w:themeColor="text1"/>
          <w:sz w:val="16"/>
          <w:szCs w:val="16"/>
        </w:rPr>
        <w:t xml:space="preserve"> «Дунай-3». В начале 1980-х  г. изготовлен экспериментальный образец ЭВМ М-13 для </w:t>
      </w:r>
      <w:r w:rsidRPr="00640820">
        <w:rPr>
          <w:rFonts w:ascii="Times New Roman" w:hAnsi="Times New Roman"/>
          <w:color w:val="000000" w:themeColor="text1"/>
          <w:sz w:val="16"/>
          <w:szCs w:val="16"/>
          <w:lang w:val="en-US"/>
        </w:rPr>
        <w:t>PJIC</w:t>
      </w:r>
      <w:r w:rsidRPr="00640820">
        <w:rPr>
          <w:rFonts w:ascii="Times New Roman" w:hAnsi="Times New Roman"/>
          <w:color w:val="000000" w:themeColor="text1"/>
          <w:sz w:val="16"/>
          <w:szCs w:val="16"/>
        </w:rPr>
        <w:t xml:space="preserve"> «Дарьял-У».</w:t>
      </w:r>
    </w:p>
    <w:p w14:paraId="54EB91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завода: цехи: монтажно-сборочный (1950-е), № 1 (1980-е-90-е).</w:t>
      </w:r>
    </w:p>
    <w:p w14:paraId="6C4AD8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(1930 г.)- С. Иванов, (1934-29.08.1937 г.)- Б.К. Гутнов, (29.08.1937-38 г.-)- М.И. Шор, (1946-52 г.)- Н.А. Богородицкий, (1955 г.)- П.И. Кузнецов, (1956-59; 1960-61 г.)- С.В. Скориков, (1961-78 г.)- В.И. Малышев, (1978 г.-)- А.А. Трухманов.</w:t>
      </w:r>
    </w:p>
    <w:p w14:paraId="0E5688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по новой технике (-1961 г.)- В.И. Малышев; (16.09.1937 г.-)- Н.Н. Козырев, (1938 г.)- М.С. Свердлов. Помощник директора по найму и увольнению (10.07.1938 г.-)- А.Ф. Сигунов.</w:t>
      </w:r>
    </w:p>
    <w:p w14:paraId="28BFAF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технический (-1.02.1937 г.)- В.О. Аранович.</w:t>
      </w:r>
    </w:p>
    <w:p w14:paraId="5CCB1D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(16.09.1937-38 г.-)- Н.Н. Козырев.</w:t>
      </w:r>
    </w:p>
    <w:p w14:paraId="773BBF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инженера (1950-51 г.)- А.А. Форштер, (1954 г.-)- В.И. Малышев.</w:t>
      </w:r>
    </w:p>
    <w:p w14:paraId="4A2D11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(1936 г.)- Н.А. Астров (Т-38, Т-40), (11.1941 г.)-  Г. Суренян.</w:t>
      </w:r>
    </w:p>
    <w:p w14:paraId="3DFB6F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И.О. зам. гл. конструктора (1948 г.)- А.И. Талейсник.</w:t>
      </w:r>
    </w:p>
    <w:p w14:paraId="71F67A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технолог (-1978 г.)- Я.И. Гаврилов.</w:t>
      </w:r>
    </w:p>
    <w:p w14:paraId="17BB33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конструкторы: (1932 г.-)- Н. Козырев, (1942 г.)- Н.А. Астров (Т-70), (1948-70 г.)- О.М. Федоров.</w:t>
      </w:r>
    </w:p>
    <w:p w14:paraId="03BC0C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цехов: (1949-52 г.)- Я.И. Гаврилов.</w:t>
      </w:r>
    </w:p>
    <w:p w14:paraId="6034E7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Помощник начальника цеха: № 14 (-11.1937 г.)- С.А. Алабин.</w:t>
      </w:r>
    </w:p>
    <w:p w14:paraId="68A494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конструкторского отделения- А.И. Талейсник, (1970-73 г.)- О.М. Федоров.</w:t>
      </w:r>
    </w:p>
    <w:p w14:paraId="0CD618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2-го (-08.1938 г.)- Е.Н. Фергман; производственного (1952 г.-)- ЯМ. Гаврилов, (1964-86 г.)- В.Д. Вдовин; технического- О.М. Федоров. Начальник технологической станции (-11.1937 г.)- Д.В. Чеботарев.</w:t>
      </w:r>
    </w:p>
    <w:p w14:paraId="0C8749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Руководитель конструкторской группы: (1965 г.)- А.И. Талейсник.</w:t>
      </w:r>
    </w:p>
    <w:p w14:paraId="3D1551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танки Т-38 (1936), Т-40 (1939), Т-60 (1941).</w:t>
      </w:r>
    </w:p>
    <w:p w14:paraId="75D6B7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бронеавтомобиль БА-27 на шасси «Форд-АА» (1930)- 1, «Комсомолец» (1938); попки: Т-23 (1930)- 5, Т-27 (1931-33),Т-41 (1932-33-), Т-37А (1933-36)- 2552,</w:t>
      </w:r>
      <w:r w:rsidRPr="00640820">
        <w:rPr>
          <w:rFonts w:ascii="Times New Roman" w:hAnsi="Times New Roman"/>
          <w:color w:val="000000" w:themeColor="text1"/>
          <w:sz w:val="16"/>
          <w:szCs w:val="16"/>
          <w:vertAlign w:val="superscript"/>
        </w:rPr>
        <w:t>124</w:t>
      </w:r>
      <w:r w:rsidRPr="00640820">
        <w:rPr>
          <w:rFonts w:ascii="Times New Roman" w:hAnsi="Times New Roman"/>
          <w:color w:val="000000" w:themeColor="text1"/>
          <w:sz w:val="16"/>
          <w:szCs w:val="16"/>
        </w:rPr>
        <w:t xml:space="preserve"> Т-43 (1934), Т-38 (1937-39), Т-38М (1939-), Т- 40 (1940-41-)- 192 (на 1.06.1941), Т-60 (-1941-42-)- 1639 (1942), Т-70 (1942-), Т-34 (1942-), Т-80 (ВОВ); РЛС: П-</w:t>
      </w:r>
      <w:r w:rsidRPr="00640820">
        <w:rPr>
          <w:rFonts w:ascii="Times New Roman" w:hAnsi="Times New Roman"/>
          <w:color w:val="000000" w:themeColor="text1"/>
          <w:sz w:val="16"/>
          <w:szCs w:val="16"/>
        </w:rPr>
        <w:lastRenderedPageBreak/>
        <w:t>20, П-50 (1950-), П-30, П-30М, П-35 (-1958)- всего около 800; «Дунай-3» (1960-е); узлы РЛС А-100 системы ПВО С- 25; аппаратура РЛС «Дунай-ЗУ», «Крона», «Волга»; приемно-анализирующая аппаратура и ВК для ЗГРЛС «Дуга» (1970-е); спецвычислители К-340А для РЛС «Волга» (1980-е);</w:t>
      </w:r>
      <w:r w:rsidRPr="00640820">
        <w:rPr>
          <w:rFonts w:ascii="Times New Roman" w:hAnsi="Times New Roman"/>
          <w:color w:val="000000" w:themeColor="text1"/>
          <w:sz w:val="16"/>
          <w:szCs w:val="16"/>
          <w:vertAlign w:val="superscript"/>
        </w:rPr>
        <w:t>104</w:t>
      </w:r>
      <w:r w:rsidRPr="00640820">
        <w:rPr>
          <w:rFonts w:ascii="Times New Roman" w:hAnsi="Times New Roman"/>
          <w:color w:val="000000" w:themeColor="text1"/>
          <w:sz w:val="16"/>
          <w:szCs w:val="16"/>
        </w:rPr>
        <w:t xml:space="preserve"> электропроигрыватели: «Эпос-001С, - 006С» (11982).</w:t>
      </w:r>
    </w:p>
    <w:p w14:paraId="49431463" w14:textId="77777777" w:rsidR="000B0D4F" w:rsidRPr="00640820" w:rsidRDefault="000B0D4F" w:rsidP="00640820">
      <w:pPr>
        <w:autoSpaceDE w:val="0"/>
        <w:autoSpaceDN w:val="0"/>
        <w:adjustRightInd w:val="0"/>
        <w:spacing w:after="0" w:line="240" w:lineRule="auto"/>
        <w:jc w:val="both"/>
        <w:rPr>
          <w:rFonts w:ascii="Times New Roman" w:hAnsi="Times New Roman"/>
          <w:color w:val="000000" w:themeColor="text1"/>
          <w:sz w:val="16"/>
          <w:szCs w:val="16"/>
        </w:rPr>
      </w:pPr>
    </w:p>
    <w:p w14:paraId="3E7EF6AB" w14:textId="77777777" w:rsidR="008C4B70" w:rsidRPr="00640820" w:rsidRDefault="008C4B70" w:rsidP="00640820">
      <w:pPr>
        <w:pStyle w:val="article-renderblock"/>
        <w:shd w:val="clear" w:color="auto" w:fill="FFFFFF"/>
        <w:spacing w:before="0" w:beforeAutospacing="0" w:after="0" w:afterAutospacing="0"/>
        <w:jc w:val="both"/>
        <w:rPr>
          <w:color w:val="0070C0"/>
          <w:sz w:val="16"/>
          <w:szCs w:val="16"/>
        </w:rPr>
      </w:pPr>
      <w:r w:rsidRPr="00640820">
        <w:rPr>
          <w:color w:val="0070C0"/>
          <w:sz w:val="16"/>
          <w:szCs w:val="16"/>
        </w:rPr>
        <w:t>9 октября 1941 года в тематических работах УВНА ГАУ КА значилась "85-мм самоходная артиллерийская установка на шасси из агрегатов танка Т-34 и КВ". Согласно имеющимся данным, боевая масса оценивалась в 25 тонн, а максимальная скорость в 45 км/ч. Первый опытный образец САУ предполагалось получить к июню 1942 года. Стоимость опытной машины оценивалась в 750 тысяч рублей. В эту сумму включались все расходы по разработке и постройке, реальная цена серийной машины была бы в разы ниже. Исполнителем работ являлся УЗТМ (20877).</w:t>
      </w:r>
    </w:p>
    <w:p w14:paraId="27C9DA36" w14:textId="77777777" w:rsidR="008C4B70" w:rsidRPr="00640820" w:rsidRDefault="008C4B70" w:rsidP="00640820">
      <w:pPr>
        <w:pStyle w:val="article-renderblock"/>
        <w:shd w:val="clear" w:color="auto" w:fill="FFFFFF"/>
        <w:spacing w:before="0" w:beforeAutospacing="0" w:after="0" w:afterAutospacing="0"/>
        <w:jc w:val="both"/>
        <w:rPr>
          <w:color w:val="0070C0"/>
          <w:sz w:val="16"/>
          <w:szCs w:val="16"/>
        </w:rPr>
      </w:pPr>
    </w:p>
    <w:p w14:paraId="05C5062A" w14:textId="77777777" w:rsidR="008C4B70" w:rsidRPr="00640820" w:rsidRDefault="008C4B7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9 октября 1941 г. с целью прекращения партизанщины в деле строительства бронепоездов, для централизации и интенсификации их производства руководством страны был предпринят ряд мер. В соответствии с приказом Народного комиссариата обороны (НКО СССР) при Начальнике Главного автобронетанкового управления Красной армии (ГАБТУ КА) был организован специальный отдел бронепоездов. Буквально несколько дней спустя, новый отдел по строительству бронепоездов был создан также и в системе НКПС. Одной из его задач стало обеспечение предприятий, на которых строились бронепоезда, едиными чертежами. Но с учетом того, что таких чертежей НКПС не имел, на места были направлены чертежи бронепоезда «Маршал Буденный», отосланные ранее в наркомат Полтавским паровозостроительным заводом. Простота конструкции данного бронепоезда давала возможность наладить его выпуск даже на предприятиях, не имевших никакого опыта броневого производства. Построенные впоследствии по этим чертежам бронепоезда получили индекс НКПС-42, хотя они довольно существенно различались между собой — способом крепления бронелистов, установкой вооружения и т. п. Это зависело от места постройки, производственных возможностей предприятия и имеющихся материалов. Всего бронепоездов типа НКПС-42 построили около 15–20 шт. (22731).</w:t>
      </w:r>
    </w:p>
    <w:p w14:paraId="728A23BD" w14:textId="77777777" w:rsidR="008C4B70" w:rsidRPr="00640820" w:rsidRDefault="008C4B70" w:rsidP="00640820">
      <w:pPr>
        <w:spacing w:after="0" w:line="240" w:lineRule="auto"/>
        <w:jc w:val="both"/>
        <w:rPr>
          <w:rFonts w:ascii="Times New Roman" w:hAnsi="Times New Roman"/>
          <w:color w:val="0070C0"/>
          <w:sz w:val="16"/>
          <w:szCs w:val="16"/>
        </w:rPr>
      </w:pPr>
    </w:p>
    <w:p w14:paraId="2D71E6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года Ташкентский завод сельскохозяйственного машиностроения был передан постановлением ГКО наркомату танковой промышленности. Предполагалось, что в ходе эвакуации три завода – КИМ, № 37 и Подольский завод имени Орджоникидзе должны были быть слиты в один и размещены на этом заводе. Однако через 10 дней ГКО приняло другое решение, и заводы были отправлены в Свердловск, где они должны были слиться сразу с двумя находящимися там заводами – “Металлистом” и заводом имени Воеводина (Россия и реформы. Вып. 5. М., 2002) (11510).</w:t>
      </w:r>
    </w:p>
    <w:p w14:paraId="05B48D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AAEEA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к моменту эвакуации НКМЗ успел отгрузить на ХТЗ только 100 комплектов брони для бронетракторов ХТЗ-16 и там выпустили 50-60. Начали в сентябре. А 18 сентября ХТЗ уже эвакуировали и там остался недодел в количестве 809 шт. (4306).</w:t>
      </w:r>
    </w:p>
    <w:p w14:paraId="23640B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02388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9 октября 1941 Новокраматорский завод, который с 29 сентября находился в стадии эвакуации, сумел отгрузить в Харьков всего 100 комплектов брони, из которых успели собрать 50-60 бронетракторов Т-16 (ХТЗ-16), поступивших на вооружение противотанковых дивизионов и Харьковского противотанкового отряда. По мнению некоторых исследователей, все они были потеряны при обороне Харькова в октябре 1941 г. Это не так. Последние ХТЗ-16 (Т-16) были подбиты немцами в мае 1942 г. входе Харьковского сражения [71]. Не был реализован на ХТЗ и план выпуска танков Т-60. В связи с быстрым продвижением немцев и началом срочной эвакуации завод выпал из обоймы танкостроителей. На нем не успели собрать даже опытный образец, не говоря о развертывании «широкого серийного производства этой боевой машины» [63, с. 318]. Максимум, что смогли сделать, — это начать отгрузку деталей трансмиссии и подвески в Москву и Горький (11438).</w:t>
      </w:r>
    </w:p>
    <w:p w14:paraId="7E34FE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2201C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г. Наркомату танковой промышленности был передан Куйбышевский завод Особстроя НКВД, предназначенный для размещения части оборудования Ижорского завода. 21 октября НКТП получил в свое распоряжение заводы "Металлист" и им. Воеводина в Свердловске. Они были предназначены для размещения эвакуируемых заводов № 37, КИМ и Подольского им. Орджоникидзе; 24 октября в состав НКТП вошел завод № 212, эвакуированное оборудование которого оказалось на территории Уральского турбинного завода, 22 ноября - металлургический завод № 200, образованный из части площадей и оборудования завода № 78 Наркомата боеприпасов. На производство танков был отчасти переключен Горьковский автозавод, не вошедший в состав НКТП. К концу 1941 г. процесс формирования НКТП был завершен. Вовлечение новых мощностей в военное производство продолжалось дольше. Окончательно их эффективное использование наладилось только к середине 1942 г. Но и после этого на новых танкостроительных заводах объемы производства были ниже, а оборудование и рабочая сила использовались менее эффективно, чем на образовавшихся в результате слияния старых эвакуированных танковых заводов с предприятиями гражданской промышленности. Танковая промышленность получала новые производственные мощности в основном за счет трех отраслей - транспортного и сельскохозяйственного машиностроения и судостроения. Свой серьезный вклад внесли также энергетическое и тяжелое машиностроение, работающее на нужды металлургии. Усиление оснащенности уже существующих центров производства и восстановление предприятий на освобожденных территориях после перелома в ходе боевых действий в пользу советских войск позволили расширить производственную базу НКТП. Надо сказать, что в довоенный период производство на танковых заводах имело значительные резервы для усовершенствования. Например, на заводе № 183, несмотря на значительные объемы продукции, работа была организована по принципу мелкосерийного производства со всеми присущими ему атрибутами: стендовой сборкой танков, использованием универсальных станков, ручной формовкой и сваркой и т.д (РГАЭ, ф. 8752, оп. 1, д. 82, л. 167-169; оп. 4, д. 2, л. 21.). Недостаточно широко использовалось литье, редко применялась штамповка. Такая организация производства обеспечивала его гибкость, быстрый переход от одного вида продукции к другому, но ограничивала объемы. В условиях войны такого рода гибкость становилась непозволительной роскошью. Отметим, что еще перед войной на заводе № 183 приступили к перестройке технологии производства, но сначала ее задерживало освоение Т-34. Вскоре же после начала войны встал вопрос об эвакуации завода, и производство по новым технологическим принципам пришлось организовывать уже на новом месте (11786).</w:t>
      </w:r>
    </w:p>
    <w:p w14:paraId="34FD90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EA1639F" w14:textId="77777777" w:rsidR="005D108D" w:rsidRPr="00640820" w:rsidRDefault="005D108D"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года была достигнута договорённость о закупке Советским Союзом 94 Light Tank M3, а также боеприпасов и запасных частей. На каждые 3 танка полагался полный комплект запасных агрегатов, на каждые 20 танков приходилось по 1 запасному орудию, пулемёту и комплекту оптических приборов. Спустя месяц начал обсуждаться вопрос об американских военных специалистах, которые должны были обеспечивать эксплуатацию поставляемых танков. Это было выгодно и для США, поскольку одним из результатов деятельности таких специалистов была информация, которую использовали при дальнейшем совершенствовании танков.</w:t>
      </w:r>
    </w:p>
    <w:p w14:paraId="1077B863" w14:textId="77777777" w:rsidR="005D108D" w:rsidRPr="00640820" w:rsidRDefault="005D108D"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Направлять танки стали северным маршрутом, по которому американские машины шли вместе с английскими. Первым таким конвоем стал PQ-6, состоявший из восьми транспортов. 8 декабря 1941 года он вышел из Исландии, а 20 числа без потерь прибыл в Архангельск. На борту транспортов этого конвоя находился 31 Light Tank M3. Именно с этими машинами и связан упоминавшийся выше исторический казус. Дело в том, что в некоторых документах указано о прибытии 31 лёгкого танка… M2A4. Это породило слух, что якобы такие танки и поставлялись в СССР.</w:t>
      </w:r>
    </w:p>
    <w:p w14:paraId="5BE9578C" w14:textId="77777777" w:rsidR="005D108D" w:rsidRPr="00640820" w:rsidRDefault="005D108D"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деле даже американцы опровергают эту теорию, да и анализ серийных номеров машин, поступивших в состав 176-го отдельного танкового батальона, говорит о том, что это описка. Лишним подтверждением, что это не М2А4, служит жалоба, датированная 12 января 1942 года. Согласно ей, 31 лёгкий танк М3 прибыл в Архангельск с летним маслом и пониженной плотностью электролита. Этим, правда, перечень претензий исчерпывался.</w:t>
      </w:r>
    </w:p>
    <w:p w14:paraId="21D08ECC" w14:textId="77777777" w:rsidR="005D108D" w:rsidRPr="00640820" w:rsidRDefault="005D108D"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Надо сказать, что поначалу поставки американских лёгких танков были более чем скромными. В марте прибыло всего 26 машин, в апреле ещё 13. Прибывающие северными конвоями танки отправлялись в Горьковский учебный центр. Ситуация стала выправляться в мае, когда конвоем PQ-15 прибыл сразу 201 танк. В июне конвоем PQ-16 прибыло ещё 147 танков. Серьёзным ударом по поставкам стал разгром конвоя PQ-17, уцелевшие суда которого смогли доставить к месту назначения лишь 39 танков. В результате была организована поставка танков по южному маршруту, через Баку.</w:t>
      </w:r>
    </w:p>
    <w:p w14:paraId="5902E207" w14:textId="77777777" w:rsidR="005D108D" w:rsidRPr="00640820" w:rsidRDefault="005D108D"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состоянию на 1 сентября 1942 года арктическими конвоями в СССР было поставлено 504 танка, ещё 104 машины пришли через Иран. Поступающие оттуда машины отправлялись в Бакинское танковое училище. В сентябре прибыло 57 танков, за октябрь — 15, за ноябрь — 130. Всего же за 1942 год в Советский Союз поступило 977 американских лёгких танков, из них 298 южным путём. В последних поставках шли уже Light Tank M3A1, но поскольку их от общей массы в документах не отделяли, точное число прибывших машин каждого типа определить невозможно.</w:t>
      </w:r>
    </w:p>
    <w:p w14:paraId="5EA6100A" w14:textId="77777777" w:rsidR="000B0D4F" w:rsidRPr="00640820" w:rsidRDefault="005D108D" w:rsidP="00640820">
      <w:pPr>
        <w:pStyle w:val="ae"/>
        <w:shd w:val="clear" w:color="auto" w:fill="FFFFFF"/>
        <w:spacing w:before="0" w:after="0"/>
        <w:jc w:val="both"/>
        <w:rPr>
          <w:color w:val="000000" w:themeColor="text1"/>
          <w:sz w:val="16"/>
          <w:szCs w:val="16"/>
        </w:rPr>
      </w:pPr>
      <w:r w:rsidRPr="00640820">
        <w:rPr>
          <w:color w:val="000000" w:themeColor="text1"/>
          <w:sz w:val="16"/>
          <w:szCs w:val="16"/>
        </w:rPr>
        <w:t>Поступавшие в Советский Союз танки относились практически ко всем производственным сериям, за исключением машин с клёпаными башнями D37182. Попали в СССР и танки, оснащённые башнями Light Tank M3A1, то есть со стабилизаторами орудия, но ещё без полика и электромотора механизма поворота. Эти машины в английской армии назвали Stuart Hybrid, но в СССР их из общего потока просто не выделяли. Поставки их начались в августе 1942 года, причём прибыло довольно большое число таких танков (как минимум 40 штук). Выяснить это удалось по одному дефекту: дело в том, что танки этой модификации прибыли без перископа командира в крыше башни, вместо которого зияла дыра. Разбираться, почему нет перископов, тогда не стали, а просто заделали дыры металлом (17465).</w:t>
      </w:r>
    </w:p>
    <w:p w14:paraId="23C2463F" w14:textId="77777777" w:rsidR="000B0D4F" w:rsidRPr="00640820" w:rsidRDefault="000B0D4F" w:rsidP="00640820">
      <w:pPr>
        <w:pStyle w:val="ae"/>
        <w:shd w:val="clear" w:color="auto" w:fill="FFFFFF"/>
        <w:spacing w:before="0" w:after="0"/>
        <w:jc w:val="both"/>
        <w:rPr>
          <w:color w:val="000000" w:themeColor="text1"/>
          <w:sz w:val="16"/>
          <w:szCs w:val="16"/>
        </w:rPr>
      </w:pPr>
    </w:p>
    <w:p w14:paraId="6F0DA6F7" w14:textId="77777777" w:rsidR="00165A9C" w:rsidRPr="00640820" w:rsidRDefault="00165A9C" w:rsidP="00640820">
      <w:pPr>
        <w:pStyle w:val="ae"/>
        <w:shd w:val="clear" w:color="auto" w:fill="FFFFFF"/>
        <w:spacing w:before="0" w:after="0"/>
        <w:jc w:val="both"/>
        <w:rPr>
          <w:color w:val="000000" w:themeColor="text1"/>
          <w:sz w:val="16"/>
          <w:szCs w:val="16"/>
        </w:rPr>
      </w:pPr>
      <w:r w:rsidRPr="00640820">
        <w:rPr>
          <w:color w:val="000000" w:themeColor="text1"/>
          <w:sz w:val="16"/>
          <w:szCs w:val="16"/>
        </w:rPr>
        <w:t>9 октября 1941 г. по пр. № 309с в соответствии с распоряжениями правительства от 8 сентября 1941 г. и от 10.09.1941 г. на базе лаборатории треста № 13 НКЭП был организован Завод пьезо-электрических элементов и приборов (в документах употреблялось также неофициальные названия Московский завод генераторов, «Пьезо») № 633 в ведении Главсвязьпрома НКЭП (ГС завод № 633 НКЭП /г. Москва ул. Б. Полянка, 1-3 и 3-9, Пыжевский пер., 7 и Старо-Монетный пер., 35 (1941 г.)/). Для размещения заводу передано в т.ч. здание Геологического института АН СССР по Пыжевскому пер., 7 (в здании оставлена только лаборатория мерзлоты).</w:t>
      </w:r>
      <w:r w:rsidRPr="00640820">
        <w:rPr>
          <w:color w:val="000000" w:themeColor="text1"/>
          <w:sz w:val="16"/>
          <w:szCs w:val="16"/>
          <w:vertAlign w:val="superscript"/>
        </w:rPr>
        <w:t>149</w:t>
      </w:r>
      <w:r w:rsidRPr="00640820">
        <w:rPr>
          <w:color w:val="000000" w:themeColor="text1"/>
          <w:sz w:val="16"/>
          <w:szCs w:val="16"/>
        </w:rPr>
        <w:t xml:space="preserve"> После начала войны эвакуирован в Уфу на площадку завода № 628.</w:t>
      </w:r>
      <w:r w:rsidRPr="00640820">
        <w:rPr>
          <w:color w:val="000000" w:themeColor="text1"/>
          <w:sz w:val="16"/>
          <w:szCs w:val="16"/>
          <w:vertAlign w:val="superscript"/>
        </w:rPr>
        <w:t>121</w:t>
      </w:r>
    </w:p>
    <w:p w14:paraId="79CB47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1942 г. завод действовал в составе Института кристаллографии.</w:t>
      </w:r>
    </w:p>
    <w:p w14:paraId="0691E0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Институт кристаллографии (ИК) им. А.В. Шубникова АН СССР, РАН / г. Москва Ленинский пр., 59 тел. 135-63-11/ Институт имел свой завод (завод № 633,1942 г.). Установка для выращивания кристаллов «Сапфир-2» (1990-е  г.). Директор (1998-2008 г.-)- М.В. Ковальчук; и.о. (2000 г.)- В.И. Симонов. Зам. директора (-05.2008 г.)- С.И. Желудева (умерла) (11982).</w:t>
      </w:r>
    </w:p>
    <w:p w14:paraId="256DC7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F7CDB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начато устранение балтийцами боевых повреждений на эсминцах "Стойкий" (закончено 31 октября) и "Опытный" - адмиралтейцами (закончено 25 ноября). Введены в строй два ТК типа Д-3 (10671).</w:t>
      </w:r>
    </w:p>
    <w:p w14:paraId="740B5A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29A7572"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2A989E1C"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BF67037"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9 октября </w:t>
      </w:r>
      <w:r w:rsidRPr="00640820">
        <w:rPr>
          <w:rFonts w:ascii="Times New Roman" w:hAnsi="Times New Roman"/>
          <w:color w:val="000000" w:themeColor="text1"/>
          <w:sz w:val="16"/>
          <w:szCs w:val="16"/>
        </w:rPr>
        <w:t>в 1941 году утреннее сообщение Совинформбюро:</w:t>
      </w:r>
    </w:p>
    <w:p w14:paraId="783BB1DD"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9 октября наши войска вели бои с противником на всём фронте и особенно напряжённые на Вяземском, Брянском и Мелитопольском направлениях.</w:t>
      </w:r>
    </w:p>
    <w:p w14:paraId="25235ADB"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ряде участков Западного направления фронта наши части ведут ожесточённые бои против наступающих немецко-фашистских войск. Германское командование бросает против наших позиций дивизию за дивизией. Оказывая упорное сопротивление фашистским войскам, наши части наносят значительные потери противнику. В одном из боёв группа наших самолётов, поддерживая свои наземные войска, уничтожила 15 немецких танков и 30 автомашин с пехотой, пытавшихся вклиниться в расположение наших войск.</w:t>
      </w:r>
    </w:p>
    <w:p w14:paraId="586148DE"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Сдерживая атаки противника, наши части на одном из участков Юго-Западного направления фронта нанесли немецко-фашистским войскам значительный урон. Одна группа наших самолётов, противодействуя наступлению противника, подвергла бомбардировке крупную немецкую моторизованную колонну. Сброшенными бомбами и пулемётным огнём уничтожено 50 автомашин с фашистской пехотой. Прямым попаданием нескольких бомб разрушен мост, через который пыталась переправиться наступающая немецкая мотоколонна.</w:t>
      </w:r>
    </w:p>
    <w:p w14:paraId="2735472A"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и 7 октября наша авиация, защищающая подступы к Ленинграду, совершала интенсивные налёты на войска противника. В результате действий отдельных групп наших самолётов уничтожено 6 немецких танков, 3 бронемашины, 72 автомашины, 18 зенитных орудий и 2 артиллерийских батареи, взорвано несколько цистерн с горючим. В другом секторе Ленинградского фронта в итоге внезапного нападения группы наших бомбардировщиков на немецкие войска уничтожено 10 танков, 30 автомашин. 3 орудия, 30 зенитных автоматов, пулемётная батарея и до роты фашистской пехоты.</w:t>
      </w:r>
    </w:p>
    <w:p w14:paraId="41F7D9EB"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окрестностях города Л. против фашистских захватчиков действует партизанский отряд под командованием тов. С. На днях партизаны подорвали мост через реку. Немцы восстановили мост, но партизаны вновь его разрушили, перебив при этом 12 солдат и захватив 4 автомата и ручной пулемёт. За небольшой срок на дорогах одного района отряд уничтожил 42 фашистские автомашины и 23 повозки с боеприпасами и продовольствием, 3 цистерны с горючим и 6 мотоциклов. В этих операциях убито 28 вражеских солдат и один офицер, захвачено 2 исправных мотоцикла, 3 пулемёта, 10 автоматов, 15 ящиков с гранатами и много патронов.</w:t>
      </w:r>
    </w:p>
    <w:p w14:paraId="5C6FE708"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Группа советских работников и колхозников, вырвавшаяся из районов Смоленской области, захваченных немцами, рассказала о новых бесчинствах и злодеяниях разнузданной гитлеровской своры. В деревнях Обручное, Дегти, Цибульки, Козловщина и Ленно немцы забрали всё продовольствие, скот, тёплую одежду, шерсть, спички, мыло, керосин, махорку, всю чугунную и металлическую посуду. У колхозника Акима Королькова фашистские мародёры забрали шестипудовую свинью и «уплатили» ему за неё... 2 марки. В Рославле немецкие военные власти запретили жителям города запирать квартиры, чтобы легче было грабить.</w:t>
      </w:r>
    </w:p>
    <w:p w14:paraId="4BFF15DE"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деревне Колковичи немцы согнали оставшихся жителей и потребовали назвать тех, кто оборвал телефонные провода. Советские патриоты молча выслушали все угрозы и не проронили ни одного слова. Тогда фашисты вывели из толпы 12 мужчин, в том числе несколько подростков, отвели их в овраг и расстреляли. В деревне Рожаново, Пречистенского района, фашисты расстреляли колхозников Евсея Жигунова и семидесятилетнего старика Ефима Спиридонова. В деревнях Макаровского и Гороватского сельсоветов фашисты увели всё население на принудительные работы и сожгли все постройки.</w:t>
      </w:r>
    </w:p>
    <w:p w14:paraId="13F6B813"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Немецкие фашисты зверски истребляют польский народ. Только за последнее время гитлеровские бандиты расстреляли в Польше тысячи человек, бросили в тюрьмы и концентрационные лагери 60 тыс. человек. Больше 540 тыс. рабочих насильно послано в Германию на принудительные работы на немецких предприятиях, — и это не считая 640 тыс. пленных поляков. Немцы всячески издеваются над поляками. Все поляки ходят со специальной повязкой на рукаве с буквой «П». Вся польская собственность конфискована немецкими властями. Поляки лишены всех прав. Польскую интеллигенцию и священников фашисты угнали на дорожное строительство и в рудники.» (14794).</w:t>
      </w:r>
    </w:p>
    <w:p w14:paraId="7B005CE2" w14:textId="77777777" w:rsidR="000B0D4F" w:rsidRPr="00640820" w:rsidRDefault="000B0D4F" w:rsidP="00640820">
      <w:pPr>
        <w:spacing w:after="0" w:line="240" w:lineRule="auto"/>
        <w:jc w:val="both"/>
        <w:rPr>
          <w:rFonts w:ascii="Times New Roman" w:hAnsi="Times New Roman"/>
          <w:color w:val="000000" w:themeColor="text1"/>
          <w:sz w:val="16"/>
          <w:szCs w:val="16"/>
        </w:rPr>
      </w:pPr>
    </w:p>
    <w:p w14:paraId="57F83BD7"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9 октября </w:t>
      </w:r>
      <w:r w:rsidRPr="00640820">
        <w:rPr>
          <w:rFonts w:ascii="Times New Roman" w:hAnsi="Times New Roman"/>
          <w:color w:val="000000" w:themeColor="text1"/>
          <w:sz w:val="16"/>
          <w:szCs w:val="16"/>
        </w:rPr>
        <w:t>в 1941 году вечернее сообщение Совинформбюро:</w:t>
      </w:r>
    </w:p>
    <w:p w14:paraId="691C9D1E"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9 октября наши войска вели бои с противником на всём фронте, особенно ожесточённые на Вяземском, Брянском к Мелитопольском направлениях.</w:t>
      </w:r>
    </w:p>
    <w:p w14:paraId="09C464F7"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7 октября уничтожено 34 немецких самолёта. Наши потери — 17 самолётов.</w:t>
      </w:r>
    </w:p>
    <w:p w14:paraId="4E61FBC5"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немецких самолётов пытались совершить налёт на г. Мурманск, но были отогнаны лётчиками авиачастей т.т. Кузнецова и Головни. В воздушных боях сбиты 8 самолётов противника. Девять фашистских лётчиков, выбросившихся на парашютах, взяты в плен.</w:t>
      </w:r>
    </w:p>
    <w:p w14:paraId="20049C92"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Вклинившись в нашу линию обороны на одном из участков Западного направления фронта, немцы бросили в бой крупную мотомеханизированную группу войск. Отражая натиск противника, часть полковника Катукова нанесла фашистам значительный урон. Во время танкового сражения немцы потеряли свыше 30 танков, 19 противотанковых орудий с расчётами, 9 грузовиков с пехотой, одну зенитную батарею, одно тяжёлое орудие и свыше 400 солдат убитыми.</w:t>
      </w:r>
    </w:p>
    <w:p w14:paraId="6BF74502"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Отбивая ожесточённые атаки противника на Юго-Западном направлении фронта, одна наша часть в трёхдневных боях уничтожила свыше 500 солдат и офицеров, 7 танков, много орудий, миномётов и автомашин с пехотой. Наши войска захватили 16 исправных орудий разного калибра, одну зенитную установку, много автомашин и мотоциклов, 5 тракторов, большое количество мин, снарядов, патронов и разного военного имущества.</w:t>
      </w:r>
    </w:p>
    <w:p w14:paraId="081F51DF"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Шестёрка наших штурмовых самолётов под командованием капитана Иванова на одном из участков Юго-Западного направления фронта во время разведывательного полёта бомбила немецкую мотомехколонну. В результате удачной бомбардировки уничтожены 13 фашистских танков, 21 автомашина, 9 мотоциклов и до 200 солдат и офицеров.</w:t>
      </w:r>
    </w:p>
    <w:p w14:paraId="34947A1B"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Днём и ночью партизанский отряд под командованием тов. Ивана тревожит фашистские части в одном из оккупированных немцами районов на Западном направлении фронта. На днях разведчики отряда донесли командиру о том, что штаб крупной немецкой части переезжает из одной деревни в другую. Командир решил перехватить штабную машину. Вооружившись двумя пулемётами и гранатами, партизаны залегли у дороги. Подпустив штабную машину на 100 метров, пулемётчики открыли по ней огонь. Немецкий офицер, шофёр, солдаты и мотоциклист бросили машину и убежали в лес. Партизаны захватили штабные документы, а машину сожгли.</w:t>
      </w:r>
    </w:p>
    <w:p w14:paraId="3F1D2A16"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Недавно отряд выследил немецкую автоколонну. С дистанции в 150 метров партизаны открыли сильный пулемётный огонь по фашистам. Было подбито несколько грузовиков с обмундированием и разным военным имуществом противника. Во время рукопашной схватки с немецким отрядом партизаны убили 8 вражеских солдат.</w:t>
      </w:r>
    </w:p>
    <w:p w14:paraId="5CE46462"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Особенно удачным был ночной налёт на небольшой вражеский аэродром. Партизаны тихо сняли немецких часовых и уничтожили бутылками с горючим два неприятельских самолёта, находившихся на аэродроме.</w:t>
      </w:r>
    </w:p>
    <w:p w14:paraId="40EBEE00"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Немецкие власти в оккупированных германской армией странах продолжают насильно отбирать у населения шерстяную и меховую одежду, одеяла и лыжи. В Норвегии гестаповцы уже целый месяц производят массовые обыски. Немецкая полиция по ночам врывается в квартиры норвежцев и захватывает последнюю тёплую одежду и одеяла. Гитлеровцы не оставляют одеял даже для тяжело больных. Отмечаются многочисленные случаи зверских избиений норвежских женщин, пытавшихся сопротивляться воровским действиям гитлеровских разбойников.</w:t>
      </w:r>
    </w:p>
    <w:p w14:paraId="36164D24"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Самоотверженно трудятся работники текстильной промышленности, увеличивая выпуск тканей, необходимых фронту и тылу. 254 ткачихи московской фабрики имени Фрунзе обслуживают по четыре станка вместо трёх. Ткачиха тов. Порунова за две недели выработала сверх плана 400 метров высококачественной ткани. Ватерщица тов. Кузнецова обслуживает 624 веретена вместо 500; за две недели она выработала сверх нормы 289 килограммов пряжи. Ткачиха Ликинской фабрики Московской области тов. Жукова обслуживает в два с половиной раза больше станков, чем по норме, и выполняет задание почти на 300 процентов. Помощники мастера ткацкой фабрики Барнаульского меланжевого комбината т.т. Голосов и Дягилев раньше обслуживали 48 станков, теперь обслуживают 60. Бригада монтажников тов. Жукова на фабрике «Красноволжская мануфактура» смонтировала шесть ватеров за 18 дней вместо 36.» (14794).</w:t>
      </w:r>
    </w:p>
    <w:p w14:paraId="109A4170" w14:textId="77777777" w:rsidR="000B0D4F" w:rsidRPr="00640820" w:rsidRDefault="000B0D4F" w:rsidP="00640820">
      <w:pPr>
        <w:spacing w:after="0" w:line="240" w:lineRule="auto"/>
        <w:jc w:val="both"/>
        <w:rPr>
          <w:rFonts w:ascii="Times New Roman" w:hAnsi="Times New Roman"/>
          <w:color w:val="000000" w:themeColor="text1"/>
          <w:sz w:val="16"/>
          <w:szCs w:val="16"/>
        </w:rPr>
      </w:pPr>
    </w:p>
    <w:p w14:paraId="6A49A1A5" w14:textId="77777777" w:rsidR="008C4B70" w:rsidRPr="00640820" w:rsidRDefault="008C4B7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9 октября 1941 - С 1 октября немецкие самолеты, поддерживающие операцию «Тайфун», совершили более 4000 самолето-вылетов только против советского Западного фронта  (20794).</w:t>
      </w:r>
    </w:p>
    <w:p w14:paraId="25CB265D" w14:textId="77777777" w:rsidR="008C4B70" w:rsidRPr="00640820" w:rsidRDefault="008C4B70" w:rsidP="00640820">
      <w:pPr>
        <w:spacing w:after="0" w:line="240" w:lineRule="auto"/>
        <w:jc w:val="both"/>
        <w:rPr>
          <w:rFonts w:ascii="Times New Roman" w:hAnsi="Times New Roman"/>
          <w:color w:val="0070C0"/>
          <w:sz w:val="16"/>
          <w:szCs w:val="16"/>
        </w:rPr>
      </w:pPr>
    </w:p>
    <w:p w14:paraId="08CD139F"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9 октября </w:t>
      </w:r>
      <w:r w:rsidRPr="00640820">
        <w:rPr>
          <w:rFonts w:ascii="Times New Roman" w:hAnsi="Times New Roman"/>
          <w:color w:val="000000" w:themeColor="text1"/>
          <w:sz w:val="16"/>
          <w:szCs w:val="16"/>
        </w:rPr>
        <w:t>в 1941 году советские истребители отразили попытку 25 самолетов Люфтваффе нанести бомбовый удар по Мурманску (8 вражеских самолетов сбито). Авиация Черноморского флота нанесла бомбовый удар по нефтепромыслам г. Плоешти (Румыния) (14794).</w:t>
      </w:r>
    </w:p>
    <w:p w14:paraId="3E767B80" w14:textId="77777777" w:rsidR="000B0D4F" w:rsidRPr="00640820" w:rsidRDefault="000B0D4F" w:rsidP="00640820">
      <w:pPr>
        <w:spacing w:after="0" w:line="240" w:lineRule="auto"/>
        <w:jc w:val="both"/>
        <w:rPr>
          <w:rFonts w:ascii="Times New Roman" w:hAnsi="Times New Roman"/>
          <w:color w:val="000000" w:themeColor="text1"/>
          <w:sz w:val="16"/>
          <w:szCs w:val="16"/>
        </w:rPr>
      </w:pPr>
    </w:p>
    <w:p w14:paraId="626CB4F1"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9 октября </w:t>
      </w:r>
      <w:r w:rsidRPr="00640820">
        <w:rPr>
          <w:rFonts w:ascii="Times New Roman" w:hAnsi="Times New Roman"/>
          <w:color w:val="000000" w:themeColor="text1"/>
          <w:sz w:val="16"/>
          <w:szCs w:val="16"/>
        </w:rPr>
        <w:t>в 1941 году авиация Черноморского флота нанесла бомбовый удар по нефтепромыслам Плоешти (Румыния) (14794).</w:t>
      </w:r>
    </w:p>
    <w:p w14:paraId="7F665A6A" w14:textId="77777777" w:rsidR="000B0D4F" w:rsidRPr="00640820" w:rsidRDefault="000B0D4F" w:rsidP="00640820">
      <w:pPr>
        <w:spacing w:after="0" w:line="240" w:lineRule="auto"/>
        <w:jc w:val="both"/>
        <w:rPr>
          <w:rFonts w:ascii="Times New Roman" w:hAnsi="Times New Roman"/>
          <w:color w:val="000000" w:themeColor="text1"/>
          <w:sz w:val="16"/>
          <w:szCs w:val="16"/>
        </w:rPr>
      </w:pPr>
    </w:p>
    <w:p w14:paraId="14A77EAF"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9 октября </w:t>
      </w:r>
      <w:r w:rsidRPr="00640820">
        <w:rPr>
          <w:rFonts w:ascii="Times New Roman" w:hAnsi="Times New Roman"/>
          <w:color w:val="000000" w:themeColor="text1"/>
          <w:sz w:val="16"/>
          <w:szCs w:val="16"/>
        </w:rPr>
        <w:t>в 1941 году немецкие войска захватили Трубчевск, Гжатск и Дятьково (14794).</w:t>
      </w:r>
    </w:p>
    <w:p w14:paraId="78B3C1E2" w14:textId="77777777" w:rsidR="000B0D4F" w:rsidRPr="00640820" w:rsidRDefault="000B0D4F" w:rsidP="00640820">
      <w:pPr>
        <w:spacing w:after="0" w:line="240" w:lineRule="auto"/>
        <w:jc w:val="both"/>
        <w:rPr>
          <w:rFonts w:ascii="Times New Roman" w:hAnsi="Times New Roman"/>
          <w:color w:val="000000" w:themeColor="text1"/>
          <w:sz w:val="16"/>
          <w:szCs w:val="16"/>
        </w:rPr>
      </w:pPr>
    </w:p>
    <w:p w14:paraId="2321F1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9 октября 1941 звено Ил-2 (ведущий л-т Г.М.Мошинец) 74-го </w:t>
      </w:r>
      <w:r w:rsidRPr="00640820">
        <w:rPr>
          <w:rFonts w:ascii="Times New Roman" w:hAnsi="Times New Roman"/>
          <w:iCs/>
          <w:color w:val="000000" w:themeColor="text1"/>
          <w:sz w:val="16"/>
          <w:szCs w:val="16"/>
        </w:rPr>
        <w:t>шап</w:t>
      </w:r>
      <w:r w:rsidRPr="00640820">
        <w:rPr>
          <w:rFonts w:ascii="Times New Roman" w:hAnsi="Times New Roman"/>
          <w:color w:val="000000" w:themeColor="text1"/>
          <w:sz w:val="16"/>
          <w:szCs w:val="16"/>
        </w:rPr>
        <w:t xml:space="preserve"> 6-й РАГ нанес</w:t>
      </w:r>
      <w:r w:rsidRPr="00640820">
        <w:rPr>
          <w:rFonts w:ascii="Times New Roman" w:hAnsi="Times New Roman"/>
          <w:color w:val="000000" w:themeColor="text1"/>
          <w:sz w:val="16"/>
          <w:szCs w:val="16"/>
        </w:rPr>
        <w:softHyphen/>
        <w:t>ло чувствительные потери немецкой моторизованной колонне на дороге Орел-Мценск, выведя из строя около 15 бронемашин и 3 бензоцистерны (6467).</w:t>
      </w:r>
    </w:p>
    <w:p w14:paraId="6845A1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24EEB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звено Ил-2 (ведущий лейтенант Г. М. Мошинец) 74-го шап 6-й РАГ нанесло чувствительные потери немецкой моторизованной колонне на дороге Орел-Мценск, выведя из строя около 15 бронемашин и три бензоцистерны (12020).</w:t>
      </w:r>
    </w:p>
    <w:p w14:paraId="389A4A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22403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в бою т 8 иап И.Любимову снаряд перебил правую, а затем оторвал левую ногу. Вернулся и летал с протезом, стал ГСС и закончил войну командиром 11 гиап (3417,24).</w:t>
      </w:r>
    </w:p>
    <w:p w14:paraId="0AA7B3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E8E9F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October 9, 1941: Hitler announces that the war in the East, for all intents and purposes, has already been decided in favor of the Reich. - President Roosevelt in a message to Congress urges the repeal of Section 6 of the Neutrality Act which would allow the arming of U.S. merchant ships against "the modern pirates of the sea", the U-boats (3819).</w:t>
      </w:r>
    </w:p>
    <w:p w14:paraId="208013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6C7BA0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А.Г. объявил, что война на востоке достигла своих целей и уже выиграна (3819).</w:t>
      </w:r>
    </w:p>
    <w:p w14:paraId="5DBBE9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CF54021"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37A9D834"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9D80E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г. согласно Командованию 18-й армии</w:t>
      </w:r>
    </w:p>
    <w:p w14:paraId="40BC5B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Отдел 1с</w:t>
      </w:r>
    </w:p>
    <w:p w14:paraId="15153B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Адресат: ОКВ, начальник Генштаба</w:t>
      </w:r>
    </w:p>
    <w:p w14:paraId="6A869D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Сообщение о Петербурге № 4</w:t>
      </w:r>
    </w:p>
    <w:p w14:paraId="495685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Мероприятия по обороне города.</w:t>
      </w:r>
    </w:p>
    <w:p w14:paraId="175545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Отдельные точные данные относительно строительства противотанковых укреплений, бункеров и рвов внутри города, которые будут выявлены в ближайшие дни, наносятся на карту укреплений масштаба 1:25 000.</w:t>
      </w:r>
    </w:p>
    <w:p w14:paraId="3D5929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Снова и снова из отдельных сообщений можно заключить, что коммунисты проведут масштабное уничтожение объектов в случае, если они не смогут больше продолжать сопротивление. Такой же вывод можно сделать из часто встречающихся сообщений об уже проведенном минировании зданий и мостов.</w:t>
      </w:r>
    </w:p>
    <w:p w14:paraId="20A49A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Личный состав милиции большей частью привлечен к действительной службе на фронте и в отдельных случаях заменен женщинами.</w:t>
      </w:r>
    </w:p>
    <w:p w14:paraId="65B6A7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Положение со снабжением.</w:t>
      </w:r>
    </w:p>
    <w:p w14:paraId="2B49D3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Поступающие в последнее время сообщения о положении со снабжением носят противоречивый характер. Нормы выдачи хлеба, например, колеблются от 100 до 200 г. По-видимому, рабочие, которые трудятся на рытье окопов, пользуются известными льготами. В отличие от низких норм выдачи продовольствия гражданскому населению, довольствие войск на фронте все еще остается вполне достаточным, поскольку не возникало задержек вследствие транспортных трудностей: 500—600 г хлеба, рыба, каша, суп, а также время от времени сахар, мясо и сигареты.</w:t>
      </w:r>
    </w:p>
    <w:p w14:paraId="4A45E9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Из-за того, что в течение дня имеет место перекрытие улиц на несколько часов, население часто пытается отоварить причитающиеся ему карточки в магазинах. Бесконечные очереди выстраиваются не только перед магазинами, но и перед столовыми.</w:t>
      </w:r>
    </w:p>
    <w:p w14:paraId="771796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августа на мясокомбинат им. Кирова, расположенный на Московском шоссе у Средней Рогатки, пригнали большое количество скота, с которым предприятие (в мирное время в день на нем перерабатывалось 4000 голов скота) было не в состоянии своевременно справиться. Мясо засаливалось в бочках и отправлялось в холодильники.</w:t>
      </w:r>
    </w:p>
    <w:p w14:paraId="5EF063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Немцы в Петербурге.</w:t>
      </w:r>
    </w:p>
    <w:p w14:paraId="472027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Число немцев в Петербурге, по данным одной немецкой учительницы из Пушкина, к началу войны составляло более 20 тыс. человек. Немцы не были организованы.</w:t>
      </w:r>
    </w:p>
    <w:p w14:paraId="3785D4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Настроение и пропаганда.</w:t>
      </w:r>
    </w:p>
    <w:p w14:paraId="2445F6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Сбрасываемые немецкие листовки, в которых содержится призыв расправляться с комиссарами, до сих пор не приводили к активизации населения, но воспринимались им в качестве провозглашения немецких мероприятий в будущем, и приветствовались.</w:t>
      </w:r>
    </w:p>
    <w:p w14:paraId="2B13BF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Раздражение по отношению к евреям и НКВД уже многократно приводило к оскорблениям в их адрес.</w:t>
      </w:r>
    </w:p>
    <w:p w14:paraId="2F954E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Меры, предпринимаемые милицией, характеризуются отсутствием прежней бесцеремонности, что позволяют сделать вывод о ее неуверенности по отношению к народу.</w:t>
      </w:r>
    </w:p>
    <w:p w14:paraId="0E0002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Рабочие, которых принудили вступить в ополчение и без достаточной подготовки направили на фронт, часто стараются уклониться от него. Сообщают, что Колонны рабочих, которые направляют на рытье окопов, в большом количестве целенаправленно укрепляют надежными членами партии, с тем, чтобы террором подорвать всякие проявления разложения. Из этих колонн бесследно исчезает большое число людей.</w:t>
      </w:r>
    </w:p>
    <w:p w14:paraId="317D1B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Передовая «Правды» от 2 сентября, в которой содержится призыв ко всему населению встать на защиту города, воспринимается большинством как знак отчаяния.</w:t>
      </w:r>
    </w:p>
    <w:p w14:paraId="278A9E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Советская пропаганда пытается поднять настроение населения сообщениями, которые должны пробудить у читателя надежду на изменение положения. К сообщениям подобного рода относятся: 1. Сильные холода, к которым немецкие войска не привычны. Поэтому их ожидает та же участь, что и Наполеона. 2. Хорошая лыжная подготовка русских войск и навыки ведения войны в зимних условиях. 3. Помощь сибирских дивизий. 4. Нейтралитет Японии и большая помощь англичан через Кавказ и, соответственно, американцев через Владивосток. 5. Улучшение продовольственного положения путем ее доставки авиацией.</w:t>
      </w:r>
    </w:p>
    <w:p w14:paraId="0BE2BB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бомбежек и артиллерийских обстрелов перенаселенный город очень сильно страдает. Из-за нехватки жилья многие спят на улице или же в скверах. Во время воздушных налетов все спешат в бомбоубежища, которых, однако, очень не хватает.</w:t>
      </w:r>
    </w:p>
    <w:p w14:paraId="143FFC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Сообщают, что в конце сентября бездомные семьи переселяли из центральной части города в сторону финской границы. Соответствующие приказы войскам и другие мероприятия еще более затрудняют оставление города. В целом, концы с концами сводят только те, кому доверено работать в качестве агентов. При этом наиболее широко используется молодежь (подростки 12—17 лет). Им выданы школьные документы и они отпущены к своим родителям. Перед ними поставлена задача собирать разведывательные сведения и вернуться через линию фронта назад к родителям, живущим в Петербурге.</w:t>
      </w:r>
    </w:p>
    <w:p w14:paraId="75BB6D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Перемещение гражданских лиц.</w:t>
      </w:r>
    </w:p>
    <w:p w14:paraId="3272DE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Железные дороги Петербурга замерли. Подвижной состав находится в настоящее время на вокзалах, прежде всего на Финляндском вокзале. Движение трамваев осуществляется всего на 1 километр к югу от Обводного канала.</w:t>
      </w:r>
    </w:p>
    <w:p w14:paraId="7BBE65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Хозяйственное положение.</w:t>
      </w:r>
    </w:p>
    <w:p w14:paraId="524DAC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Радиоперехват переговоров Москвы с Петербургом позволяет сделать вывод о том, что Кировский завод, а также другие предприятия испытывают недостаток сырья.</w:t>
      </w:r>
    </w:p>
    <w:p w14:paraId="08DDA5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одном из разговоров 22 сентября говорилось о том, что рабочие, вставшие к станкам вместо ушедших на фронт, работать не хотят и работают плохо. Однако 6 октября отмечалось, что ситуация изменилась и люди привыкли к новым условиям.</w:t>
      </w:r>
    </w:p>
    <w:p w14:paraId="3A1F09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Оборонная промышленность.</w:t>
      </w:r>
    </w:p>
    <w:p w14:paraId="53CCBB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Отмечен переход ряда предприятий на выпуск военной продукции. Каков объем работы этих предприятий, пока неизвестно.</w:t>
      </w:r>
    </w:p>
    <w:p w14:paraId="703139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Балтийский завод производит авиабомбы. На пивоваренном заводе (К 3 № 841) находится цех по производству авиабомб.</w:t>
      </w:r>
    </w:p>
    <w:p w14:paraId="2B6CDC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 Сталина (К 10 № 466) очень сильно охраняется. Работающие там прошли специальную политическую проверку. Можно сделать вывод о том, что речь идет о предприятии военного назначения.</w:t>
      </w:r>
    </w:p>
    <w:p w14:paraId="0A44CB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73 (вероятно, завод им. Карла Маркса) (Н 7 № 468) также охраняется очень строго. На нем производят артиллерийские снаряды, а также внезапно появившиеся на фронте ракетные установки («Катюши» — Н.Л.)</w:t>
      </w:r>
    </w:p>
    <w:p w14:paraId="0C45A9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заводе № 218 (К № 569) воспроизводят (копируют) бортовые приборы с подбитых немецких самолетов. Кроме того, на этом предприятии изготавливают орудия калибра 82 мм.</w:t>
      </w:r>
    </w:p>
    <w:p w14:paraId="677D9E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«Судомехе» (N 7 № 524) делают детали для самолетов.</w:t>
      </w:r>
    </w:p>
    <w:p w14:paraId="5947F3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верфи № 527 (N 11) помимо тральщиков выпускают авиационные бомбы. Работы над одним достаточно большим тральщиком почти завершены.</w:t>
      </w:r>
    </w:p>
    <w:p w14:paraId="3859F3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«Светлана» (Е 7 № 558) на 70 токарных станках и 180 автоматах выпускает ежедневно 40-50 тяжелых противотанковых ружей. Большая часть завода, включая оборудование и специалистов, эвакуирована.</w:t>
      </w:r>
    </w:p>
    <w:p w14:paraId="6DE70B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берегу р. Невки, ограниченный с юга р. Смоленкой и на севере Уральской улицей (L 4), находится завод по производству патронов, на котором работают 3 000 — 3 500 человек.</w:t>
      </w:r>
    </w:p>
    <w:p w14:paraId="53A455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Авиационные бомбы также изготовляются на заводе «Красный металлист» (М 3 № 476), а также на заводе № 651 (L 4) и заводе им. Марти ( N 4 № 521).</w:t>
      </w:r>
    </w:p>
    <w:p w14:paraId="626190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Между Балтийским и Варшавским вокзалами в квадрате Q 5 находится завод, на котором производится понтонное и иное инженерное оборудование...</w:t>
      </w:r>
    </w:p>
    <w:p w14:paraId="53E7BD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мастерских Оптического института на Биржевой линии (М 5) производятся стекла для фар.</w:t>
      </w:r>
    </w:p>
    <w:p w14:paraId="7C6BC6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верфи в Усть-Ижоре, расположенной в 1,5 км северо-западнее станции Усть-Ижора, находится предприятие, приспособленное для производства металлических корпусов для бомб.</w:t>
      </w:r>
    </w:p>
    <w:p w14:paraId="4DAE59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8. Склады.</w:t>
      </w:r>
    </w:p>
    <w:p w14:paraId="34B180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мельницах им. Ленина (Р 10 № 823) находятся большие запасы зерна.</w:t>
      </w:r>
    </w:p>
    <w:p w14:paraId="189AC6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Петровском проспекте, к западу Петровского моста, находится хорошо замаскированный склад ГСМ (I-K 3).</w:t>
      </w:r>
    </w:p>
    <w:p w14:paraId="04B832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Цистерны главного склада ГСМ № 314 (Q 9 и 10) досками и камуфляжной краской замаскированы под обычные жилые здания.</w:t>
      </w:r>
    </w:p>
    <w:p w14:paraId="2966ED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Далее к югу, в районе квадрата R-S 9 находится бутафория — точная копия склада.</w:t>
      </w:r>
    </w:p>
    <w:p w14:paraId="6CA8C0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Разрушения.</w:t>
      </w:r>
    </w:p>
    <w:p w14:paraId="20E788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По-видимому, в результате обстрелов серьезно пострадали Кировский и в результате бомбовых ударов пострадал аэродром в Новой Деревне (F 5). На нем удалось разглядеть уничтоженные самолеты, однако аэродром по-прежнему используется.</w:t>
      </w:r>
    </w:p>
    <w:p w14:paraId="6D686C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Финляндском вокзале в результате налета уничтожен железнодорожный состав.</w:t>
      </w:r>
    </w:p>
    <w:p w14:paraId="5A2778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Сгорел архив на Конногвардейской.</w:t>
      </w:r>
    </w:p>
    <w:p w14:paraId="374A37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результате бомбежки уничтожен Мариинский театр.</w:t>
      </w:r>
    </w:p>
    <w:p w14:paraId="354248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Национальный Архив США. Командование 18-й армии. Отдел 1с. Микрофильм.Т-312/1579 — 866-70 (11814).</w:t>
      </w:r>
    </w:p>
    <w:p w14:paraId="4AEC26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09ACCD6"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2DB11991"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E2E91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Ф.Рузвельт попросил у Конгресса разрешения вооружить гражданские суда (2100).</w:t>
      </w:r>
    </w:p>
    <w:p w14:paraId="5B9AC7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BE8FA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1941 Vannevar Bush доставил Ф.Д.Р. копию отчета MAUD и заявил, что для изготовления бомбы требуется 25 фунтов урана и сообщил, что британские ученые уведомили правительство возможности создания атомной бомбы. Ф.Д.Р. учредил специальную группу по политическим аспектам проблемы (2220).</w:t>
      </w:r>
    </w:p>
    <w:p w14:paraId="13D53A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63C8961"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0B6F4B13"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79FBC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вышел приказ НКАП N 1059 (1514,81).</w:t>
      </w:r>
    </w:p>
    <w:p w14:paraId="5616B3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"Ввиду временного сокращения выпуска самолетов Ил-2 на заводе 18 и необходимости быстрейшего роста выпуска самолетов Ил-2 на заводе 381:</w:t>
      </w:r>
    </w:p>
    <w:p w14:paraId="3FE7C6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Установить заводу 381 (директор Т.Х.Филимончук) на 4 кв. 1941 программу по выпуску самолетов Ил-2 в количестве 185 шт по следующему графику:</w:t>
      </w:r>
    </w:p>
    <w:p w14:paraId="39B594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- 22</w:t>
      </w:r>
    </w:p>
    <w:p w14:paraId="06187B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 с 1 по 20 по 2 - 38, с 21 по 30 по 3 - 27</w:t>
      </w:r>
    </w:p>
    <w:p w14:paraId="744940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 с 1 по 15 по 3 - 42, с 16 по 31 по 4 - 56</w:t>
      </w:r>
    </w:p>
    <w:p w14:paraId="392E96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Разрешить директору завода иметь в ноябре и декабре по 2 выходных дня для профилактики завода (1514,81).</w:t>
      </w:r>
    </w:p>
    <w:p w14:paraId="4B4E66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9BF73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вышел приказ НКАП N 1056 об эвакуации 18 завода на площади 295 в Куйбышеве (891,50).</w:t>
      </w:r>
    </w:p>
    <w:p w14:paraId="60CF17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3CEF3A0" w14:textId="77777777" w:rsidR="004D7F78" w:rsidRPr="00640820" w:rsidRDefault="004D7F78" w:rsidP="00640820">
      <w:pPr>
        <w:pStyle w:val="afffff5"/>
        <w:shd w:val="clear" w:color="auto" w:fill="FFFFFF"/>
        <w:spacing w:before="0" w:beforeAutospacing="0" w:after="0" w:afterAutospacing="0"/>
        <w:jc w:val="both"/>
        <w:rPr>
          <w:color w:val="000000" w:themeColor="text1"/>
          <w:sz w:val="16"/>
          <w:szCs w:val="16"/>
        </w:rPr>
      </w:pPr>
      <w:r w:rsidRPr="00640820">
        <w:rPr>
          <w:color w:val="000000" w:themeColor="text1"/>
          <w:sz w:val="16"/>
          <w:szCs w:val="16"/>
        </w:rPr>
        <w:t>10 октября 1941 года со станции Придача в Куйбышев отправился первый эшелон завода № 18 с людьми и заводским оборудованием (19822).</w:t>
      </w:r>
    </w:p>
    <w:p w14:paraId="3564F08E" w14:textId="77777777" w:rsidR="004D7F78" w:rsidRPr="00640820" w:rsidRDefault="004D7F78" w:rsidP="00640820">
      <w:pPr>
        <w:pStyle w:val="afffff5"/>
        <w:shd w:val="clear" w:color="auto" w:fill="FFFFFF"/>
        <w:spacing w:before="0" w:beforeAutospacing="0" w:after="0" w:afterAutospacing="0"/>
        <w:jc w:val="both"/>
        <w:rPr>
          <w:color w:val="000000" w:themeColor="text1"/>
          <w:sz w:val="16"/>
          <w:szCs w:val="16"/>
        </w:rPr>
      </w:pPr>
    </w:p>
    <w:p w14:paraId="7C6D50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г. приказом НКАП № 1056сс в соответствии с пост. ГКО № 751 от 9.10.1941 г. в течение октября-ноября 1941 г. завод № 18 (Завод № 18 ВСНХ, НКТП, ГС ордена Ленина завод № 18 НКОП, Завоц № 18 им. К.Е. Ворошилова НКАП, Куйбышевский авиационный завод (КуАЗ), Куйбышевское авиационное ПО, Самарское авиационное ПО «Авиакор», АООТ, ОАО «Авиакор-Авиационный завод» / г. Воронеж;  г. Куйбышев ст. Безымянка/ /443052  г. Самара ул. Псковская, 32 к. 106 тел. 267-35-35/) эвакуирован в  г. Куйбышев, ст. Безьмянка на площадку строящегося завода № 295 НКАП. В результате слияния образован единый завод № 18 НКАП.</w:t>
      </w:r>
    </w:p>
    <w:p w14:paraId="08B9F5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эвакуации здесь с 10.1941 по 04.1942 г. ОКБ-39 С.В. Ильюшина. После перебазирования ОКБ в Москву его представителем на заводе остался В.А. Борог, затем- А .Я. Левин.</w:t>
      </w:r>
    </w:p>
    <w:p w14:paraId="611367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12.1941 г. на площадке эвакуированного завода организованы самолетные Ремонтные мастерские. Начальник мастерских-  Г.Л. Волощенко. Осуществлялся ремонт самолетов Юго-Западного фронта. По приказу № 239с от 30.03.1942 г. на базе мастерских образован Ремонтный завод при Главремуправлении НКАП. Далее он преобразован в филиал завода № 18 НКАП, начальник филиала- Сердюк. В 04.1942 г. филиал реорганизован в ГСЗ№ 450 НКАП.</w:t>
      </w:r>
    </w:p>
    <w:p w14:paraId="407F68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Также на старой площадке по приказу № 174с от 27.03.1943 г. создан ремонтный завод № 18 при 6ГУ НКАП. Для формирования нового завода часть кадров завода № 18 возвращена из Куйбышева. Затем по приказам № 185с от 2.04.1943 г. и № 209с от 12.04.1943 г. сформирован ремонтно-сборочный завод № 64 НКАП.</w:t>
      </w:r>
    </w:p>
    <w:p w14:paraId="72D3CC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03.1943 г. на завод № 18 передана часть оборудования завода № 381 НКАП, реэвакуированного из Нижнего Тагила.</w:t>
      </w:r>
    </w:p>
    <w:p w14:paraId="4259D3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23.07.1944 г. вышло постановление ГКО № 6246 о производстве Ил-10 на заводе.</w:t>
      </w:r>
    </w:p>
    <w:p w14:paraId="0B0621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 4764-2062 от 28.11.1950 г. и приказом МАП № 240 начата подготовка к серийному выпуску самолета Ту-85, но самолет не строился, оснастка законсервирована.</w:t>
      </w:r>
    </w:p>
    <w:p w14:paraId="054253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1956 г. на заводе образован филиал ОКБ-156, начальник- А.И. Путилов. Впоследствии филиал преобразован в ОКБ.</w:t>
      </w:r>
    </w:p>
    <w:p w14:paraId="5C7AD2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СМ СССР № 713-342 от 26.06.1957 г. передан в ведение СНХ РСФСР.</w:t>
      </w:r>
    </w:p>
    <w:p w14:paraId="6EE4B2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1970-е  г. построен малярный ангар с пролетом 100 м.</w:t>
      </w:r>
    </w:p>
    <w:p w14:paraId="56A43A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1983 г. с Таганрогского авиазавода передано производство Ту-95МС. Мощности по его производству свернуты в 1995 г. В 1980-е  г. велась подготовка к выпуску Ту-204, но производство передали в УАПК. В 1997 г. началось освоение производства Ан-140 (1-я машина построена 25.12.2003 г.).</w:t>
      </w:r>
    </w:p>
    <w:p w14:paraId="755C6D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1989 г. на базе Куйбышевского авиационного завода создано Куйбышевское авиационное ПО. В 2000 г.- ЗАО, в 2002 г.- ОАО «Авиакор-Авиационный завод». С 04.1999 г. завод контролировался компанией «Сибирский алюминий» (затем- «Базовый элемент», и в 2009 г.). В 09.2005 г. вошел в ОАО «Русские машины». В состав ЗАО «Авиакор-Авиационный завод» входили (2000 г.) дочерние предприятия: «Авиакор-мебель», «Микрон», «Авиакор-сервис», «Авиакор-ремонт».</w:t>
      </w:r>
    </w:p>
    <w:p w14:paraId="75D4C7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 решению правительства № 22-р от 9.01.2004 г. вошло в перечень стратегических предприятий. В 2009 г. планировалось вхождение предприятия в </w:t>
      </w:r>
      <w:r w:rsidRPr="00640820">
        <w:rPr>
          <w:rFonts w:ascii="Times New Roman" w:hAnsi="Times New Roman"/>
          <w:color w:val="000000" w:themeColor="text1"/>
          <w:sz w:val="16"/>
          <w:szCs w:val="16"/>
          <w:lang w:val="en-US"/>
        </w:rPr>
        <w:t>OAK</w:t>
      </w:r>
      <w:r w:rsidRPr="00640820">
        <w:rPr>
          <w:rFonts w:ascii="Times New Roman" w:hAnsi="Times New Roman"/>
          <w:color w:val="000000" w:themeColor="text1"/>
          <w:sz w:val="16"/>
          <w:szCs w:val="16"/>
        </w:rPr>
        <w:t>, в связи с этим для оптимизации издержек планировалось сокращение 1500 чел. из 2600 работающих.</w:t>
      </w:r>
    </w:p>
    <w:p w14:paraId="7EE3A7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Планировалось освоение капремонта и модернизации Ту-95МС (2002 г.). На 2004 г. в производстве находились два Ан-140. Велась подготовка к производству Ту-334, Ан-70. Освоение производства штампов и пресс-форм всех видов сложности для автомобилестроения. С 1997 по 2004 г. завод не выпустил ни одного самолета;</w:t>
      </w:r>
      <w:r w:rsidRPr="00640820">
        <w:rPr>
          <w:rFonts w:ascii="Times New Roman" w:hAnsi="Times New Roman"/>
          <w:color w:val="000000" w:themeColor="text1"/>
          <w:sz w:val="16"/>
          <w:szCs w:val="16"/>
          <w:vertAlign w:val="superscript"/>
        </w:rPr>
        <w:t>1</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vertAlign w:val="superscript"/>
        </w:rPr>
        <w:t>22 09 04</w:t>
      </w:r>
      <w:r w:rsidRPr="00640820">
        <w:rPr>
          <w:rFonts w:ascii="Times New Roman" w:hAnsi="Times New Roman"/>
          <w:color w:val="000000" w:themeColor="text1"/>
          <w:sz w:val="16"/>
          <w:szCs w:val="16"/>
        </w:rPr>
        <w:t xml:space="preserve"> в 2006 г. - 3 (2 Ту-154М, 1 Ан-140) и 6 отремонтировано, в 2007 г. - 1 Ан-140. На 2008 г. в заделе оставалось 4 планера Ту-154М, в 2008 г. планировалась достройка последнего, третьего Ан-140.</w:t>
      </w:r>
    </w:p>
    <w:p w14:paraId="7E9E3C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(11.1940 г.)- 1247 металлорежущих станков.</w:t>
      </w:r>
    </w:p>
    <w:p w14:paraId="177C75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(12.1936 г.)- 1400 рабочих, (1940 г.)- 24.510 чел., (1980-е)~ 30.000 чел., (1.01.2003 г.)- 5072 чел., (2009 г.)- 2600 чел.</w:t>
      </w:r>
    </w:p>
    <w:p w14:paraId="1CC597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Директор (-06-28.10.1937 г.)- С.М. Шабашвшш (снят), (22.10.1937-22.02.1938 г.)- Н.И. Горьковенко, (22.02.1938-42 г.)- М.Б. Шенкман (погиб); и.о. (03.1941 г.)- А.А. Белянский; (06.1942-05.1946 г.-)- А.А. Белянский, Белеловский. Гендиректор (1980-е)- В. Земец, (2000 г.)- А. Карклин, (-2002-04 г.)- В.П. Белогуб, (04.2004 г.)-  Г.Н. Плотников, (-09.2005-0 / г.-)- С.К. Лихарев, (2010 г.)- А. Гусев. Арбитражный управляющий (1994 г.-)- </w:t>
      </w:r>
      <w:r w:rsidRPr="00640820">
        <w:rPr>
          <w:rFonts w:ascii="Times New Roman" w:hAnsi="Times New Roman"/>
          <w:color w:val="000000" w:themeColor="text1"/>
          <w:sz w:val="16"/>
          <w:szCs w:val="16"/>
          <w:lang w:val="en-US"/>
        </w:rPr>
        <w:t>JI</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 Хасис.</w:t>
      </w:r>
    </w:p>
    <w:p w14:paraId="6348B0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гендиректора (-2006-07 г.-)- Е.В. Цыбанов. Зам. директора (22.10.1937 г.-)- М.Н. Корнеев, (15.12.1937 г.- )- И.Н. Мартынов; по ПВО и охране (29.11.1938 г.-)- Н.Д. Гусев. Помощник директора по найму и увольнению (14.05.1938 г.-)- И.Т. Измалков. Зам. гендиректора: начальник авиационного производства (2000 г.)- А. Кириллов; (2000 г.)- В. Петрищев.</w:t>
      </w:r>
    </w:p>
    <w:p w14:paraId="76B052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Исполнительный директор (2005 г.)- С.К. Лихарев.</w:t>
      </w:r>
    </w:p>
    <w:p w14:paraId="6553C9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(22.10.1937-01.1938 г.-)- М.Н. Корнеев, (03.1941 г.)- Н.Д. Востров.</w:t>
      </w:r>
    </w:p>
    <w:p w14:paraId="5A5670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(07.1934-07.1936 г.)- К.А. Калинин, (08.1936-08.1938 г.)- А.А. Сеньков.</w:t>
      </w:r>
    </w:p>
    <w:p w14:paraId="412187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технолог (2000 г.)- В. Антонюк.</w:t>
      </w:r>
    </w:p>
    <w:p w14:paraId="3E4649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Серийного КБ (05.1941 г.)- В.К. Золотухин, (04.1942 г.-)- В.Н. Бугайский. Гл. конструктор СКВ (1938 г.)- М.Н. Корнеев. Начальник ЛИС (1938 г.)- А.А. Сеньков,</w:t>
      </w:r>
      <w:r w:rsidRPr="00640820">
        <w:rPr>
          <w:rFonts w:ascii="Times New Roman" w:hAnsi="Times New Roman"/>
          <w:color w:val="000000" w:themeColor="text1"/>
          <w:sz w:val="16"/>
          <w:szCs w:val="16"/>
          <w:vertAlign w:val="superscript"/>
        </w:rPr>
        <w:t>84</w:t>
      </w:r>
      <w:r w:rsidRPr="00640820">
        <w:rPr>
          <w:rFonts w:ascii="Times New Roman" w:hAnsi="Times New Roman"/>
          <w:color w:val="000000" w:themeColor="text1"/>
          <w:sz w:val="16"/>
          <w:szCs w:val="16"/>
        </w:rPr>
        <w:t xml:space="preserve"> (1941 г.)- м К.К. Рыков. Руководитель проекта Ан-140 (2004 г.)- С. Кузнецов.</w:t>
      </w:r>
    </w:p>
    <w:p w14:paraId="298435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Летчики-испытатели: (1942 г.)- Е.Н. Ломакин, (1941 г.)- К.К. Рыков.</w:t>
      </w:r>
    </w:p>
    <w:p w14:paraId="5015B0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самолеты: САМ-5, АНТ-25, К-12, К-13, ТБ-3 (1934; 1937)- 6, ДБ-1 (1936-37)- 13, ДБ-3 (1937- 39), ДБ-ЗФ (1939-41)- всего 1907, Ер-2 (1940-41)- 71, Ил-2 (03.1941-45)- 15.099, Ил-10 (1944-45)- 1435, Ил-10УТ (1945-47), Ту-4 (1947-52)- 847 (всего на 3 заводах), Ил-28 (1953)- 50, Ту-16, Ту-95 (1955-58)- 31, Ту-95К (1958-65), Ту-95МС (1983-92)- 88 (вместе с заводом № 86),</w:t>
      </w:r>
      <w:r w:rsidRPr="00640820">
        <w:rPr>
          <w:rFonts w:ascii="Times New Roman" w:hAnsi="Times New Roman"/>
          <w:color w:val="000000" w:themeColor="text1"/>
          <w:sz w:val="16"/>
          <w:szCs w:val="16"/>
          <w:vertAlign w:val="superscript"/>
        </w:rPr>
        <w:t>30</w:t>
      </w:r>
      <w:r w:rsidRPr="00640820">
        <w:rPr>
          <w:rFonts w:ascii="Times New Roman" w:hAnsi="Times New Roman"/>
          <w:color w:val="000000" w:themeColor="text1"/>
          <w:sz w:val="16"/>
          <w:szCs w:val="16"/>
        </w:rPr>
        <w:t xml:space="preserve"> Ту-114 (1958-), Ту-116 (1957)- 2, Ту-126 (1962-), Ту-142 (1972), Ту-154, Ту-154М (-2004-07-), Ту-160, Ан-140 (2003-08-)- 2, «Аист-2» (2004), «Аист-4» (2004), «Молния-012» (2004); капремонт Ту-154, -М (-2003-10-); МКР «Буря» (1957 г.)- 19 (вместе с заводом № 301), ЗУР «Даль (1961)- 5; агрегаты РКТ, наземных станций космической связи, ВКС «Буран»;</w:t>
      </w:r>
      <w:r w:rsidRPr="00640820">
        <w:rPr>
          <w:rFonts w:ascii="Times New Roman" w:hAnsi="Times New Roman"/>
          <w:color w:val="000000" w:themeColor="text1"/>
          <w:sz w:val="16"/>
          <w:szCs w:val="16"/>
          <w:vertAlign w:val="superscript"/>
        </w:rPr>
        <w:t>69</w:t>
      </w:r>
      <w:r w:rsidRPr="00640820">
        <w:rPr>
          <w:rFonts w:ascii="Times New Roman" w:hAnsi="Times New Roman"/>
          <w:color w:val="000000" w:themeColor="text1"/>
          <w:sz w:val="16"/>
          <w:szCs w:val="16"/>
        </w:rPr>
        <w:t xml:space="preserve"> кузовые детали автомобилей и с/х оборудование.</w:t>
      </w:r>
    </w:p>
    <w:p w14:paraId="6B0E91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Заводские номера: Ер-2 № 1851906 - (18 -№ завода, 5 - тип машины, 19 -№ самолета в серии, Об - № серии). ДБ-3 № 3018002; Ил-2 1872932 (11982).</w:t>
      </w:r>
    </w:p>
    <w:p w14:paraId="28EBD6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A8C44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Зам. Наркома П.Воронин писал письмо N Н-39/7261 Зам. Наркома Госконтроля Попову на N 4018с о мерах, принятых НКАП в целях устранения недостатков в производстве кассет для мелкокалиберных бомб к Пе-2 и Ил-2. 2 ГУ было предложено формировать производство КМБ Ил-2 на 487 заводе и поставлять заводу 18 до 15 сентября. Поставки перевыполнялись. С 15 сентября Ил-2 поставлялся 18 заводом с КМБ...(2634,191).</w:t>
      </w:r>
    </w:p>
    <w:p w14:paraId="723050A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целях устранения недостатков в производстве кассет для мелкокалиберных бомб к самолетам Пе-2 и Ил-2 Наркомавиапромом приняты следующие меры:</w:t>
      </w:r>
    </w:p>
    <w:p w14:paraId="429259C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Оказана срочная помощь заводу по требованиям директора главного инженера. Несмотря на оказанную помощь положение с производством КМБ Пе-2 не улучшилось.</w:t>
      </w:r>
    </w:p>
    <w:p w14:paraId="038A012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вторичной проверки приказом по Главку от 2.УП с.г. директору завода тов. Крупнову объявлен строгий выговор. Этим же приказом был установлен срок освоения КМБ Пе-2. За выпол</w:t>
      </w:r>
      <w:r w:rsidRPr="00640820">
        <w:rPr>
          <w:rFonts w:ascii="Times New Roman" w:hAnsi="Times New Roman"/>
          <w:color w:val="000000" w:themeColor="text1"/>
          <w:sz w:val="16"/>
          <w:szCs w:val="16"/>
        </w:rPr>
        <w:softHyphen/>
        <w:t>нением этого приказа был установлен ежедневный контроль и последний месяц план по этому изделию перевыполняется.</w:t>
      </w:r>
    </w:p>
    <w:p w14:paraId="605C00C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2-му Главному Управлению было предложено форсировать производство КМБ Ил-2 на 487 заводе и поставлять 18 заводу до 15-го сентября с.г. Поставка КМБ 487 заводом перевыпол</w:t>
      </w:r>
      <w:r w:rsidRPr="00640820">
        <w:rPr>
          <w:rFonts w:ascii="Times New Roman" w:hAnsi="Times New Roman"/>
          <w:color w:val="000000" w:themeColor="text1"/>
          <w:sz w:val="16"/>
          <w:szCs w:val="16"/>
        </w:rPr>
        <w:softHyphen/>
        <w:t>няется. '</w:t>
      </w:r>
    </w:p>
    <w:p w14:paraId="4497901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15-го сентября 18-й завод обязана выпускать самолеты Ил-2 с КМБ-2,что им и выполняется.</w:t>
      </w:r>
    </w:p>
    <w:p w14:paraId="057E9C9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Одновременно сообщаю о мерах,принятых по заводу Ч 266 (приказ Госконтроля СССР № 658с от 17.1Х-1941 года).</w:t>
      </w:r>
    </w:p>
    <w:p w14:paraId="654B14F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указанию 4-го Главного Управления заводом № 266 н на</w:t>
      </w:r>
      <w:r w:rsidRPr="00640820">
        <w:rPr>
          <w:rFonts w:ascii="Times New Roman" w:hAnsi="Times New Roman"/>
          <w:color w:val="000000" w:themeColor="text1"/>
          <w:sz w:val="16"/>
          <w:szCs w:val="16"/>
        </w:rPr>
        <w:softHyphen/>
        <w:t>стоящее время упорядочивается технология за счет сокращения. Снижается декоративные покрытия,ненужные и не влияющие на эксплоатационные качества изделий шлифовки,вводятся заме</w:t>
      </w:r>
      <w:r w:rsidRPr="00640820">
        <w:rPr>
          <w:rFonts w:ascii="Times New Roman" w:hAnsi="Times New Roman"/>
          <w:color w:val="000000" w:themeColor="text1"/>
          <w:sz w:val="16"/>
          <w:szCs w:val="16"/>
        </w:rPr>
        <w:softHyphen/>
        <w:t>нители цветных металлов.</w:t>
      </w:r>
    </w:p>
    <w:p w14:paraId="0C70311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обеспечения завода № 266 необходимой оснасткой пересмотрена программа инструментального цеха завода в сторону быстрейшего изготовления дублеров приспособлений и инструмента. Заводу № 25 поручено изготовить для завода № 266 разрезные кольца (приспособления) и необходимое специальное оборудование.</w:t>
      </w:r>
    </w:p>
    <w:p w14:paraId="4717B4F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настоящее время 4-е Главное Управление принимает меры по укреплению технического и технологического руководства завода № 266 (2634).</w:t>
      </w:r>
    </w:p>
    <w:p w14:paraId="738551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CA2CD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10 октября 1941 согласно отчета завода N 18 за 1941 общий объем работ по состоянию на 10 октября 1941 соответствовал 340 условным машинам, т.е. узлы и агрегаты были изготовлены на 269 Ер-2. Весь задел - списали (3322,15).</w:t>
      </w:r>
    </w:p>
    <w:p w14:paraId="6CAF9A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7C13A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директор завода № 207 Н. Климовицкий, главный инженер В. Таиров (через несколько дней он погибнет в авиакатастрофе), которых поддержали парторг ЦК ВКП(б) В. Егоров и старший военпред А. Медведков обратились к Сталину и Маленкову с просьбой сохранить завод как самостоятельную единицу. Они предложили эвакуировать завод в Ташкент, на базу местного ремонтного завода, обещая уже в январе 1942 г. вдвое увеличить производственную программу. Но никакой реакции на это обращение не последовало, а Ташкентский авиазавод вскоре переключили на выпуск не менее важных для страны самолетов ПС-84 (Ли-2) (12028).</w:t>
      </w:r>
    </w:p>
    <w:p w14:paraId="3AF4B9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97DDF68" w14:textId="77777777" w:rsidR="005D691F" w:rsidRPr="00640820" w:rsidRDefault="005D691F"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10 ок</w:t>
      </w:r>
      <w:r w:rsidRPr="00640820">
        <w:rPr>
          <w:color w:val="000000" w:themeColor="text1"/>
          <w:sz w:val="16"/>
          <w:szCs w:val="16"/>
        </w:rPr>
        <w:softHyphen/>
        <w:t>тября 1941 бригада ОКБ-15 выехала с фронта, имея на руках материалы войсковые испытаний противотанковых ЛаГГ-3 с Ш-37 в 33-м иап (17500).</w:t>
      </w:r>
    </w:p>
    <w:p w14:paraId="4CF08C8C" w14:textId="77777777" w:rsidR="005D691F" w:rsidRPr="00640820" w:rsidRDefault="005D691F" w:rsidP="00640820">
      <w:pPr>
        <w:spacing w:after="0" w:line="240" w:lineRule="auto"/>
        <w:jc w:val="both"/>
        <w:rPr>
          <w:rFonts w:ascii="Times New Roman" w:eastAsia="Times New Roman" w:hAnsi="Times New Roman"/>
          <w:color w:val="000000" w:themeColor="text1"/>
          <w:sz w:val="16"/>
          <w:szCs w:val="16"/>
          <w:lang w:eastAsia="ru-RU"/>
        </w:rPr>
      </w:pPr>
    </w:p>
    <w:p w14:paraId="434CA2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в заводском тире завода 21 испытали ЛаГГ-3 с пушкой 11-П ОКБ-16 и подготовили к отправке в Москву, однако, эвакуация все поломала. Решили не проводить наземных государственных испытаний , а испытывать прямо в полете. ЛаГГ-3 своевременно на полигон не прибыл, так как сел на вынужденную в Чебоксарах и застрял из-за снега, пока не привезли лыжи до начала февраля 1942 (263,44).</w:t>
      </w:r>
    </w:p>
    <w:p w14:paraId="6E0A0C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этого А.И.Никашин уже закончил первый этап летных испытаний, которые показали неплохие результаты и отстрел и определение расхода горючего хотели закончить 18-20 октября, но не вышло из-за срочной эвакуации (1204,212).</w:t>
      </w:r>
    </w:p>
    <w:p w14:paraId="129D16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F82F155" w14:textId="77777777" w:rsidR="003277BA" w:rsidRPr="00640820" w:rsidRDefault="003277BA"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10 октября 1941 г. Установка пушки 11П № 1 в развале блока цилиндров мотора М-105П на серийном ис</w:t>
      </w:r>
      <w:r w:rsidRPr="00640820">
        <w:rPr>
          <w:color w:val="000000" w:themeColor="text1"/>
          <w:sz w:val="16"/>
          <w:szCs w:val="16"/>
        </w:rPr>
        <w:softHyphen/>
        <w:t>требителе ЛаГГ-3 зав. № 312197 была закончена. Боекомплект к пушке составлял 36 патронов. Все вооружение самолета было испы</w:t>
      </w:r>
      <w:r w:rsidRPr="00640820">
        <w:rPr>
          <w:color w:val="000000" w:themeColor="text1"/>
          <w:sz w:val="16"/>
          <w:szCs w:val="16"/>
        </w:rPr>
        <w:softHyphen/>
        <w:t>тано стрельбой в заводском тире, как при нерабо</w:t>
      </w:r>
      <w:r w:rsidRPr="00640820">
        <w:rPr>
          <w:color w:val="000000" w:themeColor="text1"/>
          <w:sz w:val="16"/>
          <w:szCs w:val="16"/>
        </w:rPr>
        <w:softHyphen/>
        <w:t>тающем, так и при работающем моторе. К 12 октя</w:t>
      </w:r>
      <w:r w:rsidRPr="00640820">
        <w:rPr>
          <w:color w:val="000000" w:themeColor="text1"/>
          <w:sz w:val="16"/>
          <w:szCs w:val="16"/>
        </w:rPr>
        <w:softHyphen/>
        <w:t>бря самолет был полностью подготовлен к отправ</w:t>
      </w:r>
      <w:r w:rsidRPr="00640820">
        <w:rPr>
          <w:color w:val="000000" w:themeColor="text1"/>
          <w:sz w:val="16"/>
          <w:szCs w:val="16"/>
        </w:rPr>
        <w:softHyphen/>
        <w:t>ке на НИП АВ для прохождения государственных полигонных испытаний.</w:t>
      </w:r>
    </w:p>
    <w:p w14:paraId="4D710393" w14:textId="77777777" w:rsidR="003277BA" w:rsidRPr="00640820" w:rsidRDefault="003277BA"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К сожалению, своевременно доставить само</w:t>
      </w:r>
      <w:r w:rsidRPr="00640820">
        <w:rPr>
          <w:color w:val="000000" w:themeColor="text1"/>
          <w:sz w:val="16"/>
          <w:szCs w:val="16"/>
        </w:rPr>
        <w:softHyphen/>
        <w:t>лет на полигон не удалось. Из-за погодных условий ЛаГГ-3 с пушкой 11П был вынужден сесть на аэро</w:t>
      </w:r>
      <w:r w:rsidRPr="00640820">
        <w:rPr>
          <w:color w:val="000000" w:themeColor="text1"/>
          <w:sz w:val="16"/>
          <w:szCs w:val="16"/>
        </w:rPr>
        <w:softHyphen/>
        <w:t>дром в Чебоксарах, где его застало раннее насту</w:t>
      </w:r>
      <w:r w:rsidRPr="00640820">
        <w:rPr>
          <w:color w:val="000000" w:themeColor="text1"/>
          <w:sz w:val="16"/>
          <w:szCs w:val="16"/>
        </w:rPr>
        <w:softHyphen/>
        <w:t>пление зимы. «Переобувание» самолета на лыжи затянулось до февраля 1942 г. (17500).</w:t>
      </w:r>
    </w:p>
    <w:p w14:paraId="03A2F300" w14:textId="77777777" w:rsidR="003277BA" w:rsidRPr="00640820" w:rsidRDefault="003277BA" w:rsidP="00640820">
      <w:pPr>
        <w:spacing w:after="0" w:line="240" w:lineRule="auto"/>
        <w:jc w:val="both"/>
        <w:rPr>
          <w:rFonts w:ascii="Times New Roman" w:hAnsi="Times New Roman"/>
          <w:color w:val="000000" w:themeColor="text1"/>
          <w:sz w:val="16"/>
          <w:szCs w:val="16"/>
        </w:rPr>
      </w:pPr>
    </w:p>
    <w:p w14:paraId="1D50FD40" w14:textId="77777777" w:rsidR="003277BA" w:rsidRPr="00640820" w:rsidRDefault="003277BA"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10 ок</w:t>
      </w:r>
      <w:r w:rsidRPr="00640820">
        <w:rPr>
          <w:color w:val="000000" w:themeColor="text1"/>
          <w:sz w:val="16"/>
          <w:szCs w:val="16"/>
        </w:rPr>
        <w:softHyphen/>
        <w:t>тября 1941 в ходе испытаний один ЛаГГ-3 (Баринов) не вернулся с боевого задания, другой (Пере</w:t>
      </w:r>
      <w:r w:rsidRPr="00640820">
        <w:rPr>
          <w:color w:val="000000" w:themeColor="text1"/>
          <w:sz w:val="16"/>
          <w:szCs w:val="16"/>
        </w:rPr>
        <w:softHyphen/>
        <w:t>скоков) — был разбит при посадке по вине летчи</w:t>
      </w:r>
      <w:r w:rsidRPr="00640820">
        <w:rPr>
          <w:color w:val="000000" w:themeColor="text1"/>
          <w:sz w:val="16"/>
          <w:szCs w:val="16"/>
        </w:rPr>
        <w:softHyphen/>
        <w:t>ка, и третий самолет (Яхнов) — разбит при вынуж</w:t>
      </w:r>
      <w:r w:rsidRPr="00640820">
        <w:rPr>
          <w:color w:val="000000" w:themeColor="text1"/>
          <w:sz w:val="16"/>
          <w:szCs w:val="16"/>
        </w:rPr>
        <w:softHyphen/>
        <w:t>денной посадке вне аэродрома (в обоих случаях произошел излом фюзеляжа и носовой части). К 12 октября в полку остался только один исправный самолет. Передав его в соседний полк, 33-й иап убыл в г. Арзамас для переформирования и получения новой материальной части.</w:t>
      </w:r>
    </w:p>
    <w:p w14:paraId="47104735" w14:textId="77777777" w:rsidR="003277BA" w:rsidRPr="00640820" w:rsidRDefault="003277BA"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По воспоминаниям наркома вооружения Д. Ф. Устинова, группа специалистов ОКБ-15, уча</w:t>
      </w:r>
      <w:r w:rsidRPr="00640820">
        <w:rPr>
          <w:color w:val="000000" w:themeColor="text1"/>
          <w:sz w:val="16"/>
          <w:szCs w:val="16"/>
        </w:rPr>
        <w:softHyphen/>
        <w:t>ствовавшая в войсковых испытаниях, сообщила, что за 5 дней боев летчики, летавшие на ЛаГГ-3 с пушкой Ш-37, сбили 7 самолетов и вывели из строя 5 средних танков неприятеля. Шпитальный немедленно довел эти результаты до сведения Сталина. При этом делался вывод, что пушка Ш-37 калибра 37 мм является именно тем оружием, ко</w:t>
      </w:r>
      <w:r w:rsidRPr="00640820">
        <w:rPr>
          <w:color w:val="000000" w:themeColor="text1"/>
          <w:sz w:val="16"/>
          <w:szCs w:val="16"/>
        </w:rPr>
        <w:softHyphen/>
        <w:t>торое обеспечит превосходство советских самоле</w:t>
      </w:r>
      <w:r w:rsidRPr="00640820">
        <w:rPr>
          <w:color w:val="000000" w:themeColor="text1"/>
          <w:sz w:val="16"/>
          <w:szCs w:val="16"/>
        </w:rPr>
        <w:softHyphen/>
        <w:t>тов в борьбе с воздушным и наземным противни</w:t>
      </w:r>
      <w:r w:rsidRPr="00640820">
        <w:rPr>
          <w:color w:val="000000" w:themeColor="text1"/>
          <w:sz w:val="16"/>
          <w:szCs w:val="16"/>
        </w:rPr>
        <w:softHyphen/>
        <w:t>ком. Дело только за количеством пушек. Выслушав Шпитального, Сталин наложил на его докладной резолюцию: «т. Устинову. Нужно срочно поставить производство авиационных 37-мм пушек. Прошу сегодня ночью сообщить мне о принимаемых ме</w:t>
      </w:r>
      <w:r w:rsidRPr="00640820">
        <w:rPr>
          <w:color w:val="000000" w:themeColor="text1"/>
          <w:sz w:val="16"/>
          <w:szCs w:val="16"/>
        </w:rPr>
        <w:softHyphen/>
        <w:t>рах. И. Сталин» 17500).</w:t>
      </w:r>
    </w:p>
    <w:p w14:paraId="5688969E" w14:textId="77777777" w:rsidR="003277BA" w:rsidRPr="00640820" w:rsidRDefault="003277BA" w:rsidP="00640820">
      <w:pPr>
        <w:pStyle w:val="129"/>
        <w:shd w:val="clear" w:color="auto" w:fill="auto"/>
        <w:spacing w:after="0" w:line="240" w:lineRule="auto"/>
        <w:jc w:val="both"/>
        <w:rPr>
          <w:color w:val="000000" w:themeColor="text1"/>
          <w:sz w:val="16"/>
          <w:szCs w:val="16"/>
        </w:rPr>
      </w:pPr>
    </w:p>
    <w:p w14:paraId="5107077C" w14:textId="77777777" w:rsidR="007108FA" w:rsidRPr="00640820" w:rsidRDefault="007108FA"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10 октября 1941 войсковые испытания Ш-37 на ЛаГГ-3 были прерваны, когда два «ЛаГГа» были разбиты в ходе вынужденных посадок, а один - под управлением Баринова - не вернулся с задания, причем, его судьба не извест</w:t>
      </w:r>
      <w:r w:rsidRPr="00640820">
        <w:rPr>
          <w:rFonts w:ascii="Times New Roman" w:hAnsi="Times New Roman" w:cs="Times New Roman"/>
          <w:color w:val="000000" w:themeColor="text1"/>
          <w:sz w:val="16"/>
          <w:szCs w:val="16"/>
        </w:rPr>
        <w:softHyphen/>
        <w:t>на до сих пор.</w:t>
      </w:r>
    </w:p>
    <w:p w14:paraId="15B702F5" w14:textId="77777777" w:rsidR="007108FA" w:rsidRPr="00640820" w:rsidRDefault="007108FA"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Командование 43-й САД вполне благоприятно отзывалось о Ш-37. В частности, было отмечено, что</w:t>
      </w:r>
      <w:r w:rsidRPr="00640820">
        <w:rPr>
          <w:rStyle w:val="aff5"/>
          <w:rFonts w:ascii="Times New Roman" w:eastAsia="Arial" w:hAnsi="Times New Roman" w:cs="Times New Roman"/>
          <w:i w:val="0"/>
          <w:color w:val="000000" w:themeColor="text1"/>
        </w:rPr>
        <w:t xml:space="preserve"> «боевой комплект в 20 патронов вполне достаточен, серьезных отказов в работе пушки не было, в эксплуатации она не сложна, жалоб и особых заме</w:t>
      </w:r>
      <w:r w:rsidRPr="00640820">
        <w:rPr>
          <w:rStyle w:val="aff5"/>
          <w:rFonts w:ascii="Times New Roman" w:eastAsia="Arial" w:hAnsi="Times New Roman" w:cs="Times New Roman"/>
          <w:i w:val="0"/>
          <w:color w:val="000000" w:themeColor="text1"/>
        </w:rPr>
        <w:softHyphen/>
        <w:t>чаний от летного состава нет».</w:t>
      </w:r>
      <w:r w:rsidRPr="00640820">
        <w:rPr>
          <w:rFonts w:ascii="Times New Roman" w:hAnsi="Times New Roman" w:cs="Times New Roman"/>
          <w:color w:val="000000" w:themeColor="text1"/>
          <w:sz w:val="16"/>
          <w:szCs w:val="16"/>
        </w:rPr>
        <w:t xml:space="preserve"> В принципе, ничего удивитель</w:t>
      </w:r>
      <w:r w:rsidRPr="00640820">
        <w:rPr>
          <w:rFonts w:ascii="Times New Roman" w:hAnsi="Times New Roman" w:cs="Times New Roman"/>
          <w:color w:val="000000" w:themeColor="text1"/>
          <w:sz w:val="16"/>
          <w:szCs w:val="16"/>
        </w:rPr>
        <w:softHyphen/>
        <w:t>ного в подобном отзыве нет, поскольку представители ОКБ-15 досконально знали свое детище и делали все, чтобы оно себя проявило наилучшим образом.</w:t>
      </w:r>
    </w:p>
    <w:p w14:paraId="28F91B7D" w14:textId="77777777" w:rsidR="007108FA" w:rsidRPr="00640820" w:rsidRDefault="007108FA"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Шпитальный с докладом об испытаниях поспешил к Сталину и постарался красочно расписать успехи Ш-37. Вождь тут же дал указание Устинову немедленно приступить к производству новой пушки. На следующий день нарком доложил, что к концу года возможно выпустить 100 Ш-37, а с января 1942 г. — по 250 в месяц. Но в то же время было предложено приостановить про</w:t>
      </w:r>
      <w:r w:rsidRPr="00640820">
        <w:rPr>
          <w:rFonts w:ascii="Times New Roman" w:hAnsi="Times New Roman" w:cs="Times New Roman"/>
          <w:color w:val="000000" w:themeColor="text1"/>
          <w:sz w:val="16"/>
          <w:szCs w:val="16"/>
        </w:rPr>
        <w:softHyphen/>
        <w:t>изводство пушки ВЯ-23, против чего возражали ВВС (19106).</w:t>
      </w:r>
    </w:p>
    <w:p w14:paraId="77A063DF" w14:textId="77777777" w:rsidR="007108FA" w:rsidRPr="00640820" w:rsidRDefault="007108FA"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p>
    <w:p w14:paraId="5F245D91" w14:textId="77777777" w:rsidR="007108FA" w:rsidRPr="00640820" w:rsidRDefault="007108F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г. Шпитальный сумел доложить о результатах применения своей пушки Ш-37 лично И.В. Сталину, то есть испытания реально продолжались всего три-четыре дня. Со слов Шпитального известно, что в ходе пяти воздушных боев ЛаГГи с 37-мм пушками достоверно сбили четыре и «вероятно» - три самолета противника, а также сожгли пять немецких танков. Однако момент для запуска в серию «удивительно эффективного варианта» ЛаГГ-3 был крайне неблагоприятным: Красная Армия потерпела сокрушительное поражение под Вязьмой, создалась реальная угроза Москве. Началось перебазирование советской авиапромышленности на восток, суммарный выпуск самолетов резко уменьшился, да и оценки ЛаГГа как истребителя накапливались не слишком благоприятные (18999).</w:t>
      </w:r>
    </w:p>
    <w:p w14:paraId="112671C0" w14:textId="77777777" w:rsidR="007108FA" w:rsidRPr="00640820" w:rsidRDefault="007108FA" w:rsidP="00640820">
      <w:pPr>
        <w:spacing w:after="0" w:line="240" w:lineRule="auto"/>
        <w:jc w:val="both"/>
        <w:rPr>
          <w:rFonts w:ascii="Times New Roman" w:hAnsi="Times New Roman"/>
          <w:color w:val="000000" w:themeColor="text1"/>
          <w:sz w:val="16"/>
          <w:szCs w:val="16"/>
        </w:rPr>
      </w:pPr>
    </w:p>
    <w:p w14:paraId="0AE67FB6" w14:textId="77777777" w:rsidR="005D691F" w:rsidRPr="00640820" w:rsidRDefault="005D691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г. по воспоминаниям А.Э. Нудельмана на заводе № 21 он вместе со своими помощниками закончил монтаж орудия с патронным ящиком, звенье- и гильзосборниками 11П (впоследствии НС-37) разработки ОКБ-16., после чего испытал самолет в тире. Однако провести государственные испытания ЛаГГ-3 зав. № 312197 с пушкой 11П в НИП АВ удалось только в феврале-марте 1942 г. При положительных выводах имелся и «подводный камень»: рекомендовалось переделать пушку под патрон от Ш-37, отличавшийся отсутствием буртика на гильзе. Повторно пушка 11П с патроном без буртика успешно прошла испытания на том же ЛаГГ-3 в июле-августе 1942 г. (18999).</w:t>
      </w:r>
    </w:p>
    <w:p w14:paraId="47BE1BFE" w14:textId="77777777" w:rsidR="005D691F" w:rsidRPr="00640820" w:rsidRDefault="005D691F" w:rsidP="00640820">
      <w:pPr>
        <w:spacing w:after="0" w:line="240" w:lineRule="auto"/>
        <w:jc w:val="both"/>
        <w:rPr>
          <w:rFonts w:ascii="Times New Roman" w:hAnsi="Times New Roman"/>
          <w:color w:val="000000" w:themeColor="text1"/>
          <w:sz w:val="16"/>
          <w:szCs w:val="16"/>
        </w:rPr>
      </w:pPr>
    </w:p>
    <w:p w14:paraId="6344C5EC" w14:textId="77777777" w:rsidR="005D691F" w:rsidRPr="00640820" w:rsidRDefault="009E4004" w:rsidP="00640820">
      <w:pPr>
        <w:pStyle w:val="ae"/>
        <w:spacing w:before="0" w:after="0"/>
        <w:jc w:val="both"/>
        <w:rPr>
          <w:color w:val="000000" w:themeColor="text1"/>
          <w:sz w:val="16"/>
          <w:szCs w:val="16"/>
        </w:rPr>
      </w:pPr>
      <w:hyperlink r:id="rId34" w:tooltip="10 октября" w:history="1">
        <w:r w:rsidR="005D691F" w:rsidRPr="00640820">
          <w:rPr>
            <w:rStyle w:val="a5"/>
            <w:color w:val="000000" w:themeColor="text1"/>
            <w:sz w:val="16"/>
            <w:szCs w:val="16"/>
            <w:u w:val="none"/>
          </w:rPr>
          <w:t>10 октября</w:t>
        </w:r>
      </w:hyperlink>
      <w:r w:rsidR="005D691F" w:rsidRPr="00640820">
        <w:rPr>
          <w:color w:val="000000" w:themeColor="text1"/>
          <w:sz w:val="16"/>
          <w:szCs w:val="16"/>
        </w:rPr>
        <w:t> </w:t>
      </w:r>
      <w:hyperlink r:id="rId35" w:tooltip="1944 год" w:history="1">
        <w:r w:rsidR="005D691F" w:rsidRPr="00640820">
          <w:rPr>
            <w:rStyle w:val="a5"/>
            <w:color w:val="000000" w:themeColor="text1"/>
            <w:sz w:val="16"/>
            <w:szCs w:val="16"/>
            <w:u w:val="none"/>
          </w:rPr>
          <w:t>1944 года</w:t>
        </w:r>
      </w:hyperlink>
      <w:r w:rsidR="005D691F" w:rsidRPr="00640820">
        <w:rPr>
          <w:color w:val="000000" w:themeColor="text1"/>
          <w:sz w:val="16"/>
          <w:szCs w:val="16"/>
        </w:rPr>
        <w:t xml:space="preserve"> пушка Б-20 была принята на вооружение постановлением </w:t>
      </w:r>
      <w:hyperlink r:id="rId36" w:tooltip="Государственный комитет обороны (СССР)" w:history="1">
        <w:r w:rsidR="005D691F" w:rsidRPr="00640820">
          <w:rPr>
            <w:rStyle w:val="a5"/>
            <w:color w:val="000000" w:themeColor="text1"/>
            <w:sz w:val="16"/>
            <w:szCs w:val="16"/>
            <w:u w:val="none"/>
          </w:rPr>
          <w:t>ГКО</w:t>
        </w:r>
      </w:hyperlink>
      <w:r w:rsidR="005D691F" w:rsidRPr="00640820">
        <w:rPr>
          <w:color w:val="000000" w:themeColor="text1"/>
          <w:sz w:val="16"/>
          <w:szCs w:val="16"/>
        </w:rPr>
        <w:t> № 6681 «О принятии на вооружение </w:t>
      </w:r>
      <w:hyperlink r:id="rId37" w:tooltip="ВВС Красной Армии" w:history="1">
        <w:r w:rsidR="005D691F" w:rsidRPr="00640820">
          <w:rPr>
            <w:rStyle w:val="a5"/>
            <w:color w:val="000000" w:themeColor="text1"/>
            <w:sz w:val="16"/>
            <w:szCs w:val="16"/>
            <w:u w:val="none"/>
          </w:rPr>
          <w:t>ВВС Красной Армии</w:t>
        </w:r>
      </w:hyperlink>
      <w:r w:rsidR="005D691F" w:rsidRPr="00640820">
        <w:rPr>
          <w:color w:val="000000" w:themeColor="text1"/>
          <w:sz w:val="16"/>
          <w:szCs w:val="16"/>
        </w:rPr>
        <w:t> облегчённой авиационной автоматической пушки Б-20 калибра 20 мм конструкции т. Березина». Известно, что с марта 1945 до конца войны было выпущено 368 «трёхпушечных» Ла-7, все на </w:t>
      </w:r>
      <w:hyperlink r:id="rId38" w:tooltip="Дукс (завод)" w:history="1">
        <w:r w:rsidR="005D691F" w:rsidRPr="00640820">
          <w:rPr>
            <w:rStyle w:val="a5"/>
            <w:color w:val="000000" w:themeColor="text1"/>
            <w:sz w:val="16"/>
            <w:szCs w:val="16"/>
            <w:u w:val="none"/>
          </w:rPr>
          <w:t>заводе № 381</w:t>
        </w:r>
      </w:hyperlink>
      <w:r w:rsidR="005D691F" w:rsidRPr="00640820">
        <w:rPr>
          <w:color w:val="000000" w:themeColor="text1"/>
          <w:sz w:val="16"/>
          <w:szCs w:val="16"/>
        </w:rPr>
        <w:t xml:space="preserve"> (19533).</w:t>
      </w:r>
    </w:p>
    <w:p w14:paraId="6069E917" w14:textId="77777777" w:rsidR="005D691F" w:rsidRPr="00640820" w:rsidRDefault="005D691F" w:rsidP="00640820">
      <w:pPr>
        <w:pStyle w:val="ae"/>
        <w:spacing w:before="0" w:after="0"/>
        <w:jc w:val="both"/>
        <w:rPr>
          <w:color w:val="000000" w:themeColor="text1"/>
          <w:sz w:val="16"/>
          <w:szCs w:val="16"/>
        </w:rPr>
      </w:pPr>
    </w:p>
    <w:p w14:paraId="5A2008F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года закончились госиспытания самолета Су-6 («81») в НИИ ВВС КА, которые шли с 25 сентября. Из-за выработки ресурса мотором М-71 и эвакуации завода №289 испытания остались незавершенны</w:t>
      </w:r>
      <w:r w:rsidRPr="00640820">
        <w:rPr>
          <w:rFonts w:ascii="Times New Roman" w:hAnsi="Times New Roman"/>
          <w:color w:val="000000" w:themeColor="text1"/>
          <w:sz w:val="16"/>
          <w:szCs w:val="16"/>
        </w:rPr>
        <w:softHyphen/>
        <w:t>ми (11845).</w:t>
      </w:r>
    </w:p>
    <w:p w14:paraId="1A0413D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79F679" w14:textId="77777777" w:rsidR="003277BA" w:rsidRPr="00640820" w:rsidRDefault="003277B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в связи с началом эвакуации завода № 289 в г. Молотов (ныне г. Пермь), работы по са</w:t>
      </w:r>
      <w:r w:rsidRPr="00640820">
        <w:rPr>
          <w:rFonts w:ascii="Times New Roman" w:hAnsi="Times New Roman"/>
          <w:color w:val="000000" w:themeColor="text1"/>
          <w:sz w:val="16"/>
          <w:szCs w:val="16"/>
        </w:rPr>
        <w:softHyphen/>
        <w:t>молету ДДБШ были приостановлены.</w:t>
      </w:r>
    </w:p>
    <w:p w14:paraId="46F151DB" w14:textId="77777777" w:rsidR="003277BA" w:rsidRPr="00640820" w:rsidRDefault="003277BA" w:rsidP="00640820">
      <w:pPr>
        <w:spacing w:after="0" w:line="240" w:lineRule="auto"/>
        <w:jc w:val="both"/>
        <w:rPr>
          <w:rFonts w:ascii="Times New Roman" w:eastAsia="Times New Roman" w:hAnsi="Times New Roman"/>
          <w:color w:val="000000" w:themeColor="text1"/>
          <w:sz w:val="16"/>
          <w:szCs w:val="16"/>
          <w:lang w:eastAsia="ru-RU"/>
        </w:rPr>
      </w:pPr>
    </w:p>
    <w:p w14:paraId="32DE067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года, в связи с началом эвакуации завода № 289 в г. Молотов (Пермь), работы по проекту ДДБШ были временно приоста</w:t>
      </w:r>
      <w:r w:rsidRPr="00640820">
        <w:rPr>
          <w:rFonts w:ascii="Times New Roman" w:hAnsi="Times New Roman"/>
          <w:color w:val="000000" w:themeColor="text1"/>
          <w:sz w:val="16"/>
          <w:szCs w:val="16"/>
        </w:rPr>
        <w:softHyphen/>
        <w:t>новлены. К началу января 1942 года, несмотря на сложные усло</w:t>
      </w:r>
      <w:r w:rsidRPr="00640820">
        <w:rPr>
          <w:rFonts w:ascii="Times New Roman" w:hAnsi="Times New Roman"/>
          <w:color w:val="000000" w:themeColor="text1"/>
          <w:sz w:val="16"/>
          <w:szCs w:val="16"/>
        </w:rPr>
        <w:softHyphen/>
        <w:t>вия эвакуации и организационную неразбериху, проект ДДБШ был до</w:t>
      </w:r>
      <w:r w:rsidRPr="00640820">
        <w:rPr>
          <w:rFonts w:ascii="Times New Roman" w:hAnsi="Times New Roman"/>
          <w:color w:val="000000" w:themeColor="text1"/>
          <w:sz w:val="16"/>
          <w:szCs w:val="16"/>
        </w:rPr>
        <w:softHyphen/>
        <w:t>работан. В конструкцию самолета внесли некоторые изменения, зна</w:t>
      </w:r>
      <w:r w:rsidRPr="00640820">
        <w:rPr>
          <w:rFonts w:ascii="Times New Roman" w:hAnsi="Times New Roman"/>
          <w:color w:val="000000" w:themeColor="text1"/>
          <w:sz w:val="16"/>
          <w:szCs w:val="16"/>
        </w:rPr>
        <w:softHyphen/>
        <w:t>чительно усилили вооружение са</w:t>
      </w:r>
      <w:r w:rsidRPr="00640820">
        <w:rPr>
          <w:rFonts w:ascii="Times New Roman" w:hAnsi="Times New Roman"/>
          <w:color w:val="000000" w:themeColor="text1"/>
          <w:sz w:val="16"/>
          <w:szCs w:val="16"/>
        </w:rPr>
        <w:softHyphen/>
        <w:t>молета и его бронирование (11853).</w:t>
      </w:r>
    </w:p>
    <w:p w14:paraId="0AABD1A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96271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10 октября 1941 л-и С.Б.Рейдель закончил испытания второго серийного Бе-4 (№28802), которые проходили с 14 сентября 1941. Всего за время испытаний, продолжавшихся до 10 октября, было выполнено 49 полетов с общим налетом 10 ч 3 мин. В летно-пило-тажной оценке отмечалось, что «Бе-4 явля</w:t>
      </w:r>
      <w:r w:rsidRPr="00640820">
        <w:rPr>
          <w:rFonts w:ascii="Times New Roman" w:hAnsi="Times New Roman"/>
          <w:color w:val="000000" w:themeColor="text1"/>
          <w:sz w:val="16"/>
          <w:szCs w:val="16"/>
        </w:rPr>
        <w:softHyphen/>
        <w:t>ется простой в пилотировании машиной, вполне рассчитанной на летчика средней квалификации, и на рулежке самолет пре</w:t>
      </w:r>
      <w:r w:rsidRPr="00640820">
        <w:rPr>
          <w:rFonts w:ascii="Times New Roman" w:hAnsi="Times New Roman"/>
          <w:color w:val="000000" w:themeColor="text1"/>
          <w:sz w:val="16"/>
          <w:szCs w:val="16"/>
        </w:rPr>
        <w:softHyphen/>
        <w:t>красно управляем за счет эффективного водяного руля». Из выявленных недостат</w:t>
      </w:r>
      <w:r w:rsidRPr="00640820">
        <w:rPr>
          <w:rFonts w:ascii="Times New Roman" w:hAnsi="Times New Roman"/>
          <w:color w:val="000000" w:themeColor="text1"/>
          <w:sz w:val="16"/>
          <w:szCs w:val="16"/>
        </w:rPr>
        <w:softHyphen/>
        <w:t>ков упоминались следующие:</w:t>
      </w:r>
    </w:p>
    <w:p w14:paraId="2766852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Необходимость обязательного ис</w:t>
      </w:r>
      <w:r w:rsidRPr="00640820">
        <w:rPr>
          <w:rFonts w:ascii="Times New Roman" w:hAnsi="Times New Roman"/>
          <w:color w:val="000000" w:themeColor="text1"/>
          <w:sz w:val="16"/>
          <w:szCs w:val="16"/>
        </w:rPr>
        <w:softHyphen/>
        <w:t>пользования щитков при посадке.</w:t>
      </w:r>
    </w:p>
    <w:p w14:paraId="230E32D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Крутой угол планирования.</w:t>
      </w:r>
    </w:p>
    <w:p w14:paraId="72C1DCA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Не вполне устойчивая работа винта (имеется в виду механизм изменения шага), иногда проявляю</w:t>
      </w:r>
      <w:r w:rsidRPr="00640820">
        <w:rPr>
          <w:rFonts w:ascii="Times New Roman" w:hAnsi="Times New Roman"/>
          <w:color w:val="000000" w:themeColor="text1"/>
          <w:sz w:val="16"/>
          <w:szCs w:val="16"/>
        </w:rPr>
        <w:softHyphen/>
        <w:t>щаяся в увеличении оборотов на 80-100 против номинальных, что требует посто</w:t>
      </w:r>
      <w:r w:rsidRPr="00640820">
        <w:rPr>
          <w:rFonts w:ascii="Times New Roman" w:hAnsi="Times New Roman"/>
          <w:color w:val="000000" w:themeColor="text1"/>
          <w:sz w:val="16"/>
          <w:szCs w:val="16"/>
        </w:rPr>
        <w:softHyphen/>
        <w:t>янного контроля летчика.</w:t>
      </w:r>
    </w:p>
    <w:p w14:paraId="123B4F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Наличие триммера руля поворота, который приходится регулировать в зави</w:t>
      </w:r>
      <w:r w:rsidRPr="00640820">
        <w:rPr>
          <w:rFonts w:ascii="Times New Roman" w:hAnsi="Times New Roman"/>
          <w:color w:val="000000" w:themeColor="text1"/>
          <w:sz w:val="16"/>
          <w:szCs w:val="16"/>
        </w:rPr>
        <w:softHyphen/>
        <w:t>симости от режима работы двигателя».(10685).</w:t>
      </w:r>
    </w:p>
    <w:p w14:paraId="085987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DAD5A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w:t>
      </w:r>
      <w:r w:rsidRPr="00640820">
        <w:rPr>
          <w:rFonts w:ascii="Times New Roman" w:hAnsi="Times New Roman"/>
          <w:color w:val="000000" w:themeColor="text1"/>
          <w:sz w:val="16"/>
          <w:szCs w:val="16"/>
        </w:rPr>
        <w:softHyphen/>
        <w:t>бря 1941 г. ГКО принял постановление об осуществлении крупномасштабной эвакуации АП. После этого перебазирова</w:t>
      </w:r>
      <w:r w:rsidRPr="00640820">
        <w:rPr>
          <w:rFonts w:ascii="Times New Roman" w:hAnsi="Times New Roman"/>
          <w:color w:val="000000" w:themeColor="text1"/>
          <w:sz w:val="16"/>
          <w:szCs w:val="16"/>
        </w:rPr>
        <w:softHyphen/>
        <w:t>ние авиапромышленности и смежных предприятий приняло массовый характер. Требовалось переместить в восточные регионы страны комплекс производств, дававших 75 % дово</w:t>
      </w:r>
      <w:r w:rsidRPr="00640820">
        <w:rPr>
          <w:rFonts w:ascii="Times New Roman" w:hAnsi="Times New Roman"/>
          <w:color w:val="000000" w:themeColor="text1"/>
          <w:sz w:val="16"/>
          <w:szCs w:val="16"/>
        </w:rPr>
        <w:softHyphen/>
        <w:t>енного авиавыпуска (Самолётостроение в СССР. 1917—1945. Кн. 2. М., 1994. С. 211.). В сентябре—начале октября 1941 г. на</w:t>
      </w:r>
      <w:r w:rsidRPr="00640820">
        <w:rPr>
          <w:rFonts w:ascii="Times New Roman" w:hAnsi="Times New Roman"/>
          <w:color w:val="000000" w:themeColor="text1"/>
          <w:sz w:val="16"/>
          <w:szCs w:val="16"/>
        </w:rPr>
        <w:softHyphen/>
        <w:t>чалось крупномасштабное перебазирование авиапроизводств Ленинграда, Харькова, Таганрога, Калуги, Москвы, Запоро</w:t>
      </w:r>
      <w:r w:rsidRPr="00640820">
        <w:rPr>
          <w:rFonts w:ascii="Times New Roman" w:hAnsi="Times New Roman"/>
          <w:color w:val="000000" w:themeColor="text1"/>
          <w:sz w:val="16"/>
          <w:szCs w:val="16"/>
        </w:rPr>
        <w:softHyphen/>
        <w:t>жья и других городов Украины и Центральной России. Важно отметить, что авиазаводы Москвы начали эвакуировать уже с 8 октября 1941 г., то есть намного раньше прочих столичных предприятий (Самолётостроение в СССР. 1917—1945. Кн.2. М., 1994. С. 213.). Подавляющее большинство оборудова</w:t>
      </w:r>
      <w:r w:rsidRPr="00640820">
        <w:rPr>
          <w:rFonts w:ascii="Times New Roman" w:hAnsi="Times New Roman"/>
          <w:color w:val="000000" w:themeColor="text1"/>
          <w:sz w:val="16"/>
          <w:szCs w:val="16"/>
        </w:rPr>
        <w:softHyphen/>
        <w:t>ния московских авиазаводов было вывезено к началу ноября. В Поволжье, Сибири, Средней Азии, Закавказье и на Урале эвакуируемые заводы размещались на территориях других авиазаводов или родственных по профилю производства предприятий, на площадках новостроек, а иногда — и на со</w:t>
      </w:r>
      <w:r w:rsidRPr="00640820">
        <w:rPr>
          <w:rFonts w:ascii="Times New Roman" w:hAnsi="Times New Roman"/>
          <w:color w:val="000000" w:themeColor="text1"/>
          <w:sz w:val="16"/>
          <w:szCs w:val="16"/>
        </w:rPr>
        <w:softHyphen/>
        <w:t>вершенно новых, неприспособленных для авиапроизводства, площадях. Перебазирование аппарата собственно НКАП из Москвы в Саратов началось 14 октября 1941 г.</w:t>
      </w:r>
    </w:p>
    <w:p w14:paraId="2E6795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данным Н.С. Симонова (Симонов Н.С. Воешю-промышленный комплекс СССР в 1920—1950-е годы: темпы экономического роста, структура, организация производства и управление. М.,1996. С. 140.), на начало октября 1941 г. пла</w:t>
      </w:r>
      <w:r w:rsidRPr="00640820">
        <w:rPr>
          <w:rFonts w:ascii="Times New Roman" w:hAnsi="Times New Roman"/>
          <w:color w:val="000000" w:themeColor="text1"/>
          <w:sz w:val="16"/>
          <w:szCs w:val="16"/>
        </w:rPr>
        <w:softHyphen/>
        <w:t>ны эвакуации оборонных предприятий предусматривали пе</w:t>
      </w:r>
      <w:r w:rsidRPr="00640820">
        <w:rPr>
          <w:rFonts w:ascii="Times New Roman" w:hAnsi="Times New Roman"/>
          <w:color w:val="000000" w:themeColor="text1"/>
          <w:sz w:val="16"/>
          <w:szCs w:val="16"/>
        </w:rPr>
        <w:softHyphen/>
        <w:t>реброску в восточные регионы приблизительно двух третей всей «оборонки»:</w:t>
      </w:r>
    </w:p>
    <w:tbl>
      <w:tblPr>
        <w:tblW w:w="0" w:type="auto"/>
        <w:tblInd w:w="8" w:type="dxa"/>
        <w:tblLayout w:type="fixed"/>
        <w:tblCellMar>
          <w:left w:w="0" w:type="dxa"/>
          <w:right w:w="0" w:type="dxa"/>
        </w:tblCellMar>
        <w:tblLook w:val="0000" w:firstRow="0" w:lastRow="0" w:firstColumn="0" w:lastColumn="0" w:noHBand="0" w:noVBand="0"/>
      </w:tblPr>
      <w:tblGrid>
        <w:gridCol w:w="1037"/>
        <w:gridCol w:w="1464"/>
        <w:gridCol w:w="1632"/>
        <w:gridCol w:w="1810"/>
      </w:tblGrid>
      <w:tr w:rsidR="00643896" w:rsidRPr="00640820" w14:paraId="235315E4" w14:textId="77777777" w:rsidTr="000D3BCB">
        <w:trPr>
          <w:trHeight w:val="422"/>
        </w:trPr>
        <w:tc>
          <w:tcPr>
            <w:tcW w:w="1037" w:type="dxa"/>
            <w:tcBorders>
              <w:top w:val="single" w:sz="6" w:space="0" w:color="auto"/>
              <w:left w:val="single" w:sz="6" w:space="0" w:color="auto"/>
              <w:bottom w:val="single" w:sz="6" w:space="0" w:color="auto"/>
              <w:right w:val="single" w:sz="6" w:space="0" w:color="auto"/>
            </w:tcBorders>
            <w:shd w:val="clear" w:color="auto" w:fill="FFFFFF"/>
          </w:tcPr>
          <w:p w14:paraId="56E516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Наркомат</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14:paraId="2DA245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Предприятий—всего</w:t>
            </w:r>
          </w:p>
        </w:tc>
        <w:tc>
          <w:tcPr>
            <w:tcW w:w="1632" w:type="dxa"/>
            <w:tcBorders>
              <w:top w:val="single" w:sz="6" w:space="0" w:color="auto"/>
              <w:left w:val="single" w:sz="6" w:space="0" w:color="auto"/>
              <w:bottom w:val="single" w:sz="6" w:space="0" w:color="auto"/>
              <w:right w:val="single" w:sz="6" w:space="0" w:color="auto"/>
            </w:tcBorders>
            <w:shd w:val="clear" w:color="auto" w:fill="FFFFFF"/>
          </w:tcPr>
          <w:p w14:paraId="454E5B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Предпрнтий— действующа!</w:t>
            </w:r>
          </w:p>
        </w:tc>
        <w:tc>
          <w:tcPr>
            <w:tcW w:w="1810" w:type="dxa"/>
            <w:tcBorders>
              <w:top w:val="single" w:sz="6" w:space="0" w:color="auto"/>
              <w:left w:val="single" w:sz="6" w:space="0" w:color="auto"/>
              <w:bottom w:val="single" w:sz="6" w:space="0" w:color="auto"/>
              <w:right w:val="single" w:sz="6" w:space="0" w:color="auto"/>
            </w:tcBorders>
            <w:shd w:val="clear" w:color="auto" w:fill="FFFFFF"/>
          </w:tcPr>
          <w:p w14:paraId="6A0A2C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Предприятий— эвакуируемых</w:t>
            </w:r>
          </w:p>
        </w:tc>
      </w:tr>
      <w:tr w:rsidR="00643896" w:rsidRPr="00640820" w14:paraId="390A7F38" w14:textId="77777777" w:rsidTr="000D3BCB">
        <w:trPr>
          <w:trHeight w:val="221"/>
        </w:trPr>
        <w:tc>
          <w:tcPr>
            <w:tcW w:w="1037" w:type="dxa"/>
            <w:tcBorders>
              <w:top w:val="single" w:sz="6" w:space="0" w:color="auto"/>
              <w:left w:val="single" w:sz="6" w:space="0" w:color="auto"/>
              <w:bottom w:val="single" w:sz="6" w:space="0" w:color="auto"/>
              <w:right w:val="single" w:sz="6" w:space="0" w:color="auto"/>
            </w:tcBorders>
            <w:shd w:val="clear" w:color="auto" w:fill="FFFFFF"/>
          </w:tcPr>
          <w:p w14:paraId="457B85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НКАП</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14:paraId="2ECF79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139</w:t>
            </w:r>
          </w:p>
        </w:tc>
        <w:tc>
          <w:tcPr>
            <w:tcW w:w="1632" w:type="dxa"/>
            <w:tcBorders>
              <w:top w:val="single" w:sz="6" w:space="0" w:color="auto"/>
              <w:left w:val="single" w:sz="6" w:space="0" w:color="auto"/>
              <w:bottom w:val="single" w:sz="6" w:space="0" w:color="auto"/>
              <w:right w:val="single" w:sz="6" w:space="0" w:color="auto"/>
            </w:tcBorders>
            <w:shd w:val="clear" w:color="auto" w:fill="FFFFFF"/>
          </w:tcPr>
          <w:p w14:paraId="6874E7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21(15)'</w:t>
            </w:r>
          </w:p>
        </w:tc>
        <w:tc>
          <w:tcPr>
            <w:tcW w:w="1810" w:type="dxa"/>
            <w:tcBorders>
              <w:top w:val="single" w:sz="6" w:space="0" w:color="auto"/>
              <w:left w:val="single" w:sz="6" w:space="0" w:color="auto"/>
              <w:bottom w:val="single" w:sz="6" w:space="0" w:color="auto"/>
              <w:right w:val="single" w:sz="6" w:space="0" w:color="auto"/>
            </w:tcBorders>
            <w:shd w:val="clear" w:color="auto" w:fill="FFFFFF"/>
          </w:tcPr>
          <w:p w14:paraId="67DD8A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118(85)</w:t>
            </w:r>
          </w:p>
        </w:tc>
      </w:tr>
      <w:tr w:rsidR="00643896" w:rsidRPr="00640820" w14:paraId="3745E413" w14:textId="77777777" w:rsidTr="000D3BCB">
        <w:trPr>
          <w:trHeight w:val="226"/>
        </w:trPr>
        <w:tc>
          <w:tcPr>
            <w:tcW w:w="1037" w:type="dxa"/>
            <w:tcBorders>
              <w:top w:val="single" w:sz="6" w:space="0" w:color="auto"/>
              <w:left w:val="single" w:sz="6" w:space="0" w:color="auto"/>
              <w:bottom w:val="single" w:sz="6" w:space="0" w:color="auto"/>
              <w:right w:val="single" w:sz="6" w:space="0" w:color="auto"/>
            </w:tcBorders>
            <w:shd w:val="clear" w:color="auto" w:fill="FFFFFF"/>
          </w:tcPr>
          <w:p w14:paraId="62BF5A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нктп</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14:paraId="620EA4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27</w:t>
            </w:r>
          </w:p>
        </w:tc>
        <w:tc>
          <w:tcPr>
            <w:tcW w:w="1632" w:type="dxa"/>
            <w:tcBorders>
              <w:top w:val="single" w:sz="6" w:space="0" w:color="auto"/>
              <w:left w:val="single" w:sz="6" w:space="0" w:color="auto"/>
              <w:bottom w:val="single" w:sz="6" w:space="0" w:color="auto"/>
              <w:right w:val="single" w:sz="6" w:space="0" w:color="auto"/>
            </w:tcBorders>
            <w:shd w:val="clear" w:color="auto" w:fill="FFFFFF"/>
          </w:tcPr>
          <w:p w14:paraId="66CDCE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11(41)</w:t>
            </w:r>
          </w:p>
        </w:tc>
        <w:tc>
          <w:tcPr>
            <w:tcW w:w="1810" w:type="dxa"/>
            <w:tcBorders>
              <w:top w:val="single" w:sz="6" w:space="0" w:color="auto"/>
              <w:left w:val="single" w:sz="6" w:space="0" w:color="auto"/>
              <w:bottom w:val="single" w:sz="6" w:space="0" w:color="auto"/>
              <w:right w:val="single" w:sz="6" w:space="0" w:color="auto"/>
            </w:tcBorders>
            <w:shd w:val="clear" w:color="auto" w:fill="FFFFFF"/>
          </w:tcPr>
          <w:p w14:paraId="008988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16(59)</w:t>
            </w:r>
          </w:p>
        </w:tc>
      </w:tr>
      <w:tr w:rsidR="00643896" w:rsidRPr="00640820" w14:paraId="430687B7" w14:textId="77777777" w:rsidTr="000D3BCB">
        <w:trPr>
          <w:trHeight w:val="221"/>
        </w:trPr>
        <w:tc>
          <w:tcPr>
            <w:tcW w:w="1037" w:type="dxa"/>
            <w:tcBorders>
              <w:top w:val="single" w:sz="6" w:space="0" w:color="auto"/>
              <w:left w:val="single" w:sz="6" w:space="0" w:color="auto"/>
              <w:bottom w:val="single" w:sz="6" w:space="0" w:color="auto"/>
              <w:right w:val="single" w:sz="6" w:space="0" w:color="auto"/>
            </w:tcBorders>
            <w:shd w:val="clear" w:color="auto" w:fill="FFFFFF"/>
          </w:tcPr>
          <w:p w14:paraId="0F4B7D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нкв</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14:paraId="5E15B4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58</w:t>
            </w:r>
          </w:p>
        </w:tc>
        <w:tc>
          <w:tcPr>
            <w:tcW w:w="1632" w:type="dxa"/>
            <w:tcBorders>
              <w:top w:val="single" w:sz="6" w:space="0" w:color="auto"/>
              <w:left w:val="single" w:sz="6" w:space="0" w:color="auto"/>
              <w:bottom w:val="single" w:sz="6" w:space="0" w:color="auto"/>
              <w:right w:val="single" w:sz="6" w:space="0" w:color="auto"/>
            </w:tcBorders>
            <w:shd w:val="clear" w:color="auto" w:fill="FFFFFF"/>
          </w:tcPr>
          <w:p w14:paraId="01B3B5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26(45)</w:t>
            </w:r>
          </w:p>
        </w:tc>
        <w:tc>
          <w:tcPr>
            <w:tcW w:w="1810" w:type="dxa"/>
            <w:tcBorders>
              <w:top w:val="single" w:sz="6" w:space="0" w:color="auto"/>
              <w:left w:val="single" w:sz="6" w:space="0" w:color="auto"/>
              <w:bottom w:val="single" w:sz="6" w:space="0" w:color="auto"/>
              <w:right w:val="single" w:sz="6" w:space="0" w:color="auto"/>
            </w:tcBorders>
            <w:shd w:val="clear" w:color="auto" w:fill="FFFFFF"/>
          </w:tcPr>
          <w:p w14:paraId="66576D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32(55)</w:t>
            </w:r>
          </w:p>
        </w:tc>
      </w:tr>
      <w:tr w:rsidR="00643896" w:rsidRPr="00640820" w14:paraId="24BEB560" w14:textId="77777777" w:rsidTr="000D3BCB">
        <w:trPr>
          <w:trHeight w:val="221"/>
        </w:trPr>
        <w:tc>
          <w:tcPr>
            <w:tcW w:w="1037" w:type="dxa"/>
            <w:tcBorders>
              <w:top w:val="single" w:sz="6" w:space="0" w:color="auto"/>
              <w:left w:val="single" w:sz="6" w:space="0" w:color="auto"/>
              <w:bottom w:val="single" w:sz="6" w:space="0" w:color="auto"/>
              <w:right w:val="single" w:sz="6" w:space="0" w:color="auto"/>
            </w:tcBorders>
            <w:shd w:val="clear" w:color="auto" w:fill="FFFFFF"/>
          </w:tcPr>
          <w:p w14:paraId="6C915E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НКБ</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14:paraId="1FD232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65</w:t>
            </w:r>
          </w:p>
        </w:tc>
        <w:tc>
          <w:tcPr>
            <w:tcW w:w="1632" w:type="dxa"/>
            <w:tcBorders>
              <w:top w:val="single" w:sz="6" w:space="0" w:color="auto"/>
              <w:left w:val="single" w:sz="6" w:space="0" w:color="auto"/>
              <w:bottom w:val="single" w:sz="6" w:space="0" w:color="auto"/>
              <w:right w:val="single" w:sz="6" w:space="0" w:color="auto"/>
            </w:tcBorders>
            <w:shd w:val="clear" w:color="auto" w:fill="FFFFFF"/>
          </w:tcPr>
          <w:p w14:paraId="5DE741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16(25)</w:t>
            </w:r>
          </w:p>
        </w:tc>
        <w:tc>
          <w:tcPr>
            <w:tcW w:w="1810" w:type="dxa"/>
            <w:tcBorders>
              <w:top w:val="single" w:sz="6" w:space="0" w:color="auto"/>
              <w:left w:val="single" w:sz="6" w:space="0" w:color="auto"/>
              <w:bottom w:val="single" w:sz="6" w:space="0" w:color="auto"/>
              <w:right w:val="single" w:sz="6" w:space="0" w:color="auto"/>
            </w:tcBorders>
            <w:shd w:val="clear" w:color="auto" w:fill="FFFFFF"/>
          </w:tcPr>
          <w:p w14:paraId="0BCF24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49(75)</w:t>
            </w:r>
          </w:p>
        </w:tc>
      </w:tr>
      <w:tr w:rsidR="00643896" w:rsidRPr="00640820" w14:paraId="0757828A" w14:textId="77777777" w:rsidTr="000D3BCB">
        <w:trPr>
          <w:trHeight w:val="221"/>
        </w:trPr>
        <w:tc>
          <w:tcPr>
            <w:tcW w:w="1037" w:type="dxa"/>
            <w:tcBorders>
              <w:top w:val="single" w:sz="6" w:space="0" w:color="auto"/>
              <w:left w:val="single" w:sz="6" w:space="0" w:color="auto"/>
              <w:bottom w:val="single" w:sz="6" w:space="0" w:color="auto"/>
              <w:right w:val="single" w:sz="6" w:space="0" w:color="auto"/>
            </w:tcBorders>
            <w:shd w:val="clear" w:color="auto" w:fill="FFFFFF"/>
          </w:tcPr>
          <w:p w14:paraId="4340E4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нкмв</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14:paraId="2B7833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147</w:t>
            </w:r>
          </w:p>
        </w:tc>
        <w:tc>
          <w:tcPr>
            <w:tcW w:w="1632" w:type="dxa"/>
            <w:tcBorders>
              <w:top w:val="single" w:sz="6" w:space="0" w:color="auto"/>
              <w:left w:val="single" w:sz="6" w:space="0" w:color="auto"/>
              <w:bottom w:val="single" w:sz="6" w:space="0" w:color="auto"/>
              <w:right w:val="single" w:sz="6" w:space="0" w:color="auto"/>
            </w:tcBorders>
            <w:shd w:val="clear" w:color="auto" w:fill="FFFFFF"/>
          </w:tcPr>
          <w:p w14:paraId="3D5CFC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75(51)</w:t>
            </w:r>
          </w:p>
        </w:tc>
        <w:tc>
          <w:tcPr>
            <w:tcW w:w="1810" w:type="dxa"/>
            <w:tcBorders>
              <w:top w:val="single" w:sz="6" w:space="0" w:color="auto"/>
              <w:left w:val="single" w:sz="6" w:space="0" w:color="auto"/>
              <w:bottom w:val="single" w:sz="6" w:space="0" w:color="auto"/>
              <w:right w:val="single" w:sz="6" w:space="0" w:color="auto"/>
            </w:tcBorders>
            <w:shd w:val="clear" w:color="auto" w:fill="FFFFFF"/>
          </w:tcPr>
          <w:p w14:paraId="333EB2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72(49)</w:t>
            </w:r>
          </w:p>
        </w:tc>
      </w:tr>
      <w:tr w:rsidR="00643896" w:rsidRPr="00640820" w14:paraId="7F1CE7F6" w14:textId="77777777" w:rsidTr="000D3BCB">
        <w:trPr>
          <w:trHeight w:val="226"/>
        </w:trPr>
        <w:tc>
          <w:tcPr>
            <w:tcW w:w="1037" w:type="dxa"/>
            <w:tcBorders>
              <w:top w:val="single" w:sz="6" w:space="0" w:color="auto"/>
              <w:left w:val="single" w:sz="6" w:space="0" w:color="auto"/>
              <w:bottom w:val="single" w:sz="6" w:space="0" w:color="auto"/>
              <w:right w:val="single" w:sz="6" w:space="0" w:color="auto"/>
            </w:tcBorders>
            <w:shd w:val="clear" w:color="auto" w:fill="FFFFFF"/>
          </w:tcPr>
          <w:p w14:paraId="433796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нкс</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14:paraId="46960A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69</w:t>
            </w:r>
          </w:p>
        </w:tc>
        <w:tc>
          <w:tcPr>
            <w:tcW w:w="1632" w:type="dxa"/>
            <w:tcBorders>
              <w:top w:val="single" w:sz="6" w:space="0" w:color="auto"/>
              <w:left w:val="single" w:sz="6" w:space="0" w:color="auto"/>
              <w:bottom w:val="single" w:sz="6" w:space="0" w:color="auto"/>
              <w:right w:val="single" w:sz="6" w:space="0" w:color="auto"/>
            </w:tcBorders>
            <w:shd w:val="clear" w:color="auto" w:fill="FFFFFF"/>
          </w:tcPr>
          <w:p w14:paraId="050FC5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28(41)</w:t>
            </w:r>
          </w:p>
        </w:tc>
        <w:tc>
          <w:tcPr>
            <w:tcW w:w="1810" w:type="dxa"/>
            <w:tcBorders>
              <w:top w:val="single" w:sz="6" w:space="0" w:color="auto"/>
              <w:left w:val="single" w:sz="6" w:space="0" w:color="auto"/>
              <w:bottom w:val="single" w:sz="6" w:space="0" w:color="auto"/>
              <w:right w:val="single" w:sz="6" w:space="0" w:color="auto"/>
            </w:tcBorders>
            <w:shd w:val="clear" w:color="auto" w:fill="FFFFFF"/>
          </w:tcPr>
          <w:p w14:paraId="4923D7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41(59)</w:t>
            </w:r>
          </w:p>
        </w:tc>
      </w:tr>
      <w:tr w:rsidR="00643896" w:rsidRPr="00640820" w14:paraId="25943FED" w14:textId="77777777" w:rsidTr="000D3BCB">
        <w:trPr>
          <w:trHeight w:val="240"/>
        </w:trPr>
        <w:tc>
          <w:tcPr>
            <w:tcW w:w="1037" w:type="dxa"/>
            <w:tcBorders>
              <w:top w:val="single" w:sz="6" w:space="0" w:color="auto"/>
              <w:left w:val="single" w:sz="6" w:space="0" w:color="auto"/>
              <w:bottom w:val="single" w:sz="6" w:space="0" w:color="auto"/>
              <w:right w:val="single" w:sz="6" w:space="0" w:color="auto"/>
            </w:tcBorders>
            <w:shd w:val="clear" w:color="auto" w:fill="FFFFFF"/>
          </w:tcPr>
          <w:p w14:paraId="12FBCE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Всего</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14:paraId="6138F0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501</w:t>
            </w:r>
          </w:p>
        </w:tc>
        <w:tc>
          <w:tcPr>
            <w:tcW w:w="1632" w:type="dxa"/>
            <w:tcBorders>
              <w:top w:val="single" w:sz="6" w:space="0" w:color="auto"/>
              <w:left w:val="single" w:sz="6" w:space="0" w:color="auto"/>
              <w:bottom w:val="single" w:sz="6" w:space="0" w:color="auto"/>
              <w:right w:val="single" w:sz="6" w:space="0" w:color="auto"/>
            </w:tcBorders>
            <w:shd w:val="clear" w:color="auto" w:fill="FFFFFF"/>
          </w:tcPr>
          <w:p w14:paraId="6060E6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177(35)</w:t>
            </w:r>
          </w:p>
        </w:tc>
        <w:tc>
          <w:tcPr>
            <w:tcW w:w="1810" w:type="dxa"/>
            <w:tcBorders>
              <w:top w:val="single" w:sz="6" w:space="0" w:color="auto"/>
              <w:left w:val="single" w:sz="6" w:space="0" w:color="auto"/>
              <w:bottom w:val="single" w:sz="6" w:space="0" w:color="auto"/>
              <w:right w:val="single" w:sz="6" w:space="0" w:color="auto"/>
            </w:tcBorders>
            <w:shd w:val="clear" w:color="auto" w:fill="FFFFFF"/>
          </w:tcPr>
          <w:p w14:paraId="006B0B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328(65)</w:t>
            </w:r>
          </w:p>
        </w:tc>
      </w:tr>
    </w:tbl>
    <w:p w14:paraId="43653C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Для наглядности в скобках приводится удельный вес (в %) действовавших и эвакуируемых заводов данной отрасли.</w:t>
      </w:r>
    </w:p>
    <w:p w14:paraId="1DC11C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силу различных причин эти планы не удалось выпол</w:t>
      </w:r>
      <w:r w:rsidRPr="00640820">
        <w:rPr>
          <w:rFonts w:ascii="Times New Roman" w:hAnsi="Times New Roman"/>
          <w:color w:val="000000" w:themeColor="text1"/>
          <w:sz w:val="16"/>
          <w:szCs w:val="16"/>
        </w:rPr>
        <w:softHyphen/>
        <w:t>нить в полном объёме (скажем, не удалось вывести ленин</w:t>
      </w:r>
      <w:r w:rsidRPr="00640820">
        <w:rPr>
          <w:rFonts w:ascii="Times New Roman" w:hAnsi="Times New Roman"/>
          <w:color w:val="000000" w:themeColor="text1"/>
          <w:sz w:val="16"/>
          <w:szCs w:val="16"/>
        </w:rPr>
        <w:softHyphen/>
        <w:t>градскую группу миномётных заводов), однако данная табли</w:t>
      </w:r>
      <w:r w:rsidRPr="00640820">
        <w:rPr>
          <w:rFonts w:ascii="Times New Roman" w:hAnsi="Times New Roman"/>
          <w:color w:val="000000" w:themeColor="text1"/>
          <w:sz w:val="16"/>
          <w:szCs w:val="16"/>
        </w:rPr>
        <w:softHyphen/>
        <w:t>ца позволяет сделать несколько важных выводов.</w:t>
      </w:r>
    </w:p>
    <w:p w14:paraId="14747C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Во-первых, на 1941 г. авиапромышленность была наибо</w:t>
      </w:r>
      <w:r w:rsidRPr="00640820">
        <w:rPr>
          <w:rFonts w:ascii="Times New Roman" w:hAnsi="Times New Roman"/>
          <w:color w:val="000000" w:themeColor="text1"/>
          <w:sz w:val="16"/>
          <w:szCs w:val="16"/>
        </w:rPr>
        <w:softHyphen/>
        <w:t>лее «дробной» подотраслью «оборонки». Если прочие нар</w:t>
      </w:r>
      <w:r w:rsidRPr="00640820">
        <w:rPr>
          <w:rFonts w:ascii="Times New Roman" w:hAnsi="Times New Roman"/>
          <w:color w:val="000000" w:themeColor="text1"/>
          <w:sz w:val="16"/>
          <w:szCs w:val="16"/>
        </w:rPr>
        <w:softHyphen/>
        <w:t>коматы располагали сравнительно небольшим (30—60) числом предприятий (хотя сами эти предприятия вполне могли относиться к индустриальным гигантам), то НКАП строился на базе кооперации почти 140 заводов. Таким образом, даже если абстрагироваться от проблем поставок от наркоматов- смежников, только внутриотраслевая кооперация ставила авиапредприятия в положение крайней чувствительности к надёжности производственных цепочек. Разрыв таких цепо-, чек бил по авиазаводам существенно ощутимей, чем по пред</w:t>
      </w:r>
      <w:r w:rsidRPr="00640820">
        <w:rPr>
          <w:rFonts w:ascii="Times New Roman" w:hAnsi="Times New Roman"/>
          <w:color w:val="000000" w:themeColor="text1"/>
          <w:sz w:val="16"/>
          <w:szCs w:val="16"/>
        </w:rPr>
        <w:softHyphen/>
        <w:t>приятиям других отраслей «оборонки».</w:t>
      </w:r>
    </w:p>
    <w:p w14:paraId="53D601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Во-вторых, если подавляющее большинство подотраслей оборонного комплекса должны были эвакуировать около 50— 60 % производственных единиц, то наркоматы боеприпасов и авиапромышленности получили предписание о практически поголовном переезде на новые места дислокации. Причём для НКАП удельный вес эвакуируемых предприятий был вообще наивысшим среди всех подотраслей «оборонки». Разумеется, в этой ситуации на надёжную работу производственных це</w:t>
      </w:r>
      <w:r w:rsidRPr="00640820">
        <w:rPr>
          <w:rFonts w:ascii="Times New Roman" w:hAnsi="Times New Roman"/>
          <w:color w:val="000000" w:themeColor="text1"/>
          <w:sz w:val="16"/>
          <w:szCs w:val="16"/>
        </w:rPr>
        <w:softHyphen/>
        <w:t>почек и ритмичные поставки полуфабрикатов и комплектую</w:t>
      </w:r>
      <w:r w:rsidRPr="00640820">
        <w:rPr>
          <w:rFonts w:ascii="Times New Roman" w:hAnsi="Times New Roman"/>
          <w:color w:val="000000" w:themeColor="text1"/>
          <w:sz w:val="16"/>
          <w:szCs w:val="16"/>
        </w:rPr>
        <w:softHyphen/>
        <w:t>щих рассчитывать было бессмысленно. То есть именно авиа</w:t>
      </w:r>
      <w:r w:rsidRPr="00640820">
        <w:rPr>
          <w:rFonts w:ascii="Times New Roman" w:hAnsi="Times New Roman"/>
          <w:color w:val="000000" w:themeColor="text1"/>
          <w:sz w:val="16"/>
          <w:szCs w:val="16"/>
        </w:rPr>
        <w:softHyphen/>
        <w:t>промышленность, наиболее уязвимая с точки зрения разрыва производственных связей, ставилась в ситуацию, при кото</w:t>
      </w:r>
      <w:r w:rsidRPr="00640820">
        <w:rPr>
          <w:rFonts w:ascii="Times New Roman" w:hAnsi="Times New Roman"/>
          <w:color w:val="000000" w:themeColor="text1"/>
          <w:sz w:val="16"/>
          <w:szCs w:val="16"/>
        </w:rPr>
        <w:softHyphen/>
        <w:t>рой такой разрыв был наиболее вероятен. Разумеется, это со</w:t>
      </w:r>
      <w:r w:rsidRPr="00640820">
        <w:rPr>
          <w:rFonts w:ascii="Times New Roman" w:hAnsi="Times New Roman"/>
          <w:color w:val="000000" w:themeColor="text1"/>
          <w:sz w:val="16"/>
          <w:szCs w:val="16"/>
        </w:rPr>
        <w:softHyphen/>
        <w:t>четание было обусловлено объективными причинами — уже летом 1941 г. 94% функционировавших авиапредприятий оказались или в зоне боевых действий, или в прилегающих к фронту регионах; однако объективность причин нисколько не снижала остроту положения. Всё это не могло не поставить перед руководством НКАП целый комплекс крайне сложных вопросов и задач, от разрешения которых напрямую зависе</w:t>
      </w:r>
      <w:r w:rsidRPr="00640820">
        <w:rPr>
          <w:rFonts w:ascii="Times New Roman" w:hAnsi="Times New Roman"/>
          <w:color w:val="000000" w:themeColor="text1"/>
          <w:sz w:val="16"/>
          <w:szCs w:val="16"/>
        </w:rPr>
        <w:softHyphen/>
        <w:t>ло -— сохранится ли авиаиндустрия СССР как дееспособный экономический организм, или нет.</w:t>
      </w:r>
    </w:p>
    <w:p w14:paraId="5407ED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сожалению, далеко не всегда поэтапная эвакуация про</w:t>
      </w:r>
      <w:r w:rsidRPr="00640820">
        <w:rPr>
          <w:rFonts w:ascii="Times New Roman" w:hAnsi="Times New Roman"/>
          <w:color w:val="000000" w:themeColor="text1"/>
          <w:sz w:val="16"/>
          <w:szCs w:val="16"/>
        </w:rPr>
        <w:softHyphen/>
        <w:t>ходила в соответствии с планом. Так, например, демонтаж и погрузка в вагоны оборудования основных производств за порожских заводов № 29 и 457 были осуществлены только в сентябре 1941 г. К этому моменту немецкие войска уже про</w:t>
      </w:r>
      <w:r w:rsidRPr="00640820">
        <w:rPr>
          <w:rFonts w:ascii="Times New Roman" w:hAnsi="Times New Roman"/>
          <w:color w:val="000000" w:themeColor="text1"/>
          <w:sz w:val="16"/>
          <w:szCs w:val="16"/>
        </w:rPr>
        <w:softHyphen/>
        <w:t>рвались на правобережье Днепра и заняли пригороды Запо</w:t>
      </w:r>
      <w:r w:rsidRPr="00640820">
        <w:rPr>
          <w:rFonts w:ascii="Times New Roman" w:hAnsi="Times New Roman"/>
          <w:color w:val="000000" w:themeColor="text1"/>
          <w:sz w:val="16"/>
          <w:szCs w:val="16"/>
        </w:rPr>
        <w:softHyphen/>
        <w:t>рожья. В результате погрузка и вывоз оборудования шли под артиллерийским и даже миномётным обстрелом противника. Рабочие предприятия были вынуждены вместе с красноар</w:t>
      </w:r>
      <w:r w:rsidRPr="00640820">
        <w:rPr>
          <w:rFonts w:ascii="Times New Roman" w:hAnsi="Times New Roman"/>
          <w:color w:val="000000" w:themeColor="text1"/>
          <w:sz w:val="16"/>
          <w:szCs w:val="16"/>
        </w:rPr>
        <w:softHyphen/>
        <w:t>мейцами сдерживать неприятельские авангарды в предме</w:t>
      </w:r>
      <w:r w:rsidRPr="00640820">
        <w:rPr>
          <w:rFonts w:ascii="Times New Roman" w:hAnsi="Times New Roman"/>
          <w:color w:val="000000" w:themeColor="text1"/>
          <w:sz w:val="16"/>
          <w:szCs w:val="16"/>
        </w:rPr>
        <w:softHyphen/>
        <w:t>стьях, пока на вокзале продолжалась погрузка оборудования в эшелоны (Самолётостроение в СССР. 1917—1945. Кн.2. М., 1994. С. 213.). Несмотря на это, демонтаж оборудования был завершён в 4 дня, а его вывоз — за 11 дней (Самолетостроение в СССР. 1917—1945. Кн. 2. М., 1994. С. 212.). Дополнитель</w:t>
      </w:r>
      <w:r w:rsidRPr="00640820">
        <w:rPr>
          <w:rFonts w:ascii="Times New Roman" w:hAnsi="Times New Roman"/>
          <w:color w:val="000000" w:themeColor="text1"/>
          <w:sz w:val="16"/>
          <w:szCs w:val="16"/>
        </w:rPr>
        <w:softHyphen/>
        <w:t>ную сложность этому процессу добавляло то обстоятельство, что промышленных центров, способных адекватно принять и обеспечить необходимой инфраструктурой эвакуируемые заводы, было не так уж много. В ряде случаев восточные го</w:t>
      </w:r>
      <w:r w:rsidRPr="00640820">
        <w:rPr>
          <w:rFonts w:ascii="Times New Roman" w:hAnsi="Times New Roman"/>
          <w:color w:val="000000" w:themeColor="text1"/>
          <w:sz w:val="16"/>
          <w:szCs w:val="16"/>
        </w:rPr>
        <w:softHyphen/>
        <w:t>рода оказались в известной степени перегружены эвакуируе</w:t>
      </w:r>
      <w:r w:rsidRPr="00640820">
        <w:rPr>
          <w:rFonts w:ascii="Times New Roman" w:hAnsi="Times New Roman"/>
          <w:color w:val="000000" w:themeColor="text1"/>
          <w:sz w:val="16"/>
          <w:szCs w:val="16"/>
        </w:rPr>
        <w:softHyphen/>
        <w:t>мыми предприятиями, что вело к своеобразной конкуренции за условия размещения, энергию, условия размещения персо</w:t>
      </w:r>
      <w:r w:rsidRPr="00640820">
        <w:rPr>
          <w:rFonts w:ascii="Times New Roman" w:hAnsi="Times New Roman"/>
          <w:color w:val="000000" w:themeColor="text1"/>
          <w:sz w:val="16"/>
          <w:szCs w:val="16"/>
        </w:rPr>
        <w:softHyphen/>
        <w:t>нала и прочие ресурсы. Скажем, в Киров были переброшены четыре авиационных завода (№ 32, 266, 444, 476. В результате слияний предприятий свои номера сохранили лишь авиазаводы № 32 и 266, поэтому формально в городе насчи</w:t>
      </w:r>
      <w:r w:rsidRPr="00640820">
        <w:rPr>
          <w:rFonts w:ascii="Times New Roman" w:hAnsi="Times New Roman"/>
          <w:color w:val="000000" w:themeColor="text1"/>
          <w:sz w:val="16"/>
          <w:szCs w:val="16"/>
        </w:rPr>
        <w:softHyphen/>
        <w:t>тывалось лишь 2 авиапредприятия.), завод «Красный инструменталь</w:t>
      </w:r>
      <w:r w:rsidRPr="00640820">
        <w:rPr>
          <w:rFonts w:ascii="Times New Roman" w:hAnsi="Times New Roman"/>
          <w:color w:val="000000" w:themeColor="text1"/>
          <w:sz w:val="16"/>
          <w:szCs w:val="16"/>
        </w:rPr>
        <w:softHyphen/>
        <w:t>щик», кабельный завод, Коломенский машиностроительный, Белохолунский завод тяжелого машиностроения, шинный, автокузовной и другие заводы (Очерки истории Кировской области. Киров, 1972. С. 361.). Разумеется, при размещении на новых площадках предпочтение отдавалось именно голов</w:t>
      </w:r>
      <w:r w:rsidRPr="00640820">
        <w:rPr>
          <w:rFonts w:ascii="Times New Roman" w:hAnsi="Times New Roman"/>
          <w:color w:val="000000" w:themeColor="text1"/>
          <w:sz w:val="16"/>
          <w:szCs w:val="16"/>
        </w:rPr>
        <w:softHyphen/>
        <w:t>ным предприятиям, а заводам, выпускавшим комплектующие и агрегаты, приходилось потесниться. Скажем, московские авиазаводы № 1 и 24 разместились на площадях недостроен</w:t>
      </w:r>
      <w:r w:rsidRPr="00640820">
        <w:rPr>
          <w:rFonts w:ascii="Times New Roman" w:hAnsi="Times New Roman"/>
          <w:color w:val="000000" w:themeColor="text1"/>
          <w:sz w:val="16"/>
          <w:szCs w:val="16"/>
        </w:rPr>
        <w:softHyphen/>
        <w:t>ных куйбышевских заводов № 122 и 337. В то же время завод № 230, выпускавший радиоаппаратуру, разместили в здании ветеринарного техникума, авиаагрегатный № 213 — в здании бывшего мясокомбината и т.п. (Захарченко А.В. Формирование авиапромышленного комплекса в По</w:t>
      </w:r>
      <w:r w:rsidRPr="00640820">
        <w:rPr>
          <w:rFonts w:ascii="Times New Roman" w:hAnsi="Times New Roman"/>
          <w:color w:val="000000" w:themeColor="text1"/>
          <w:sz w:val="16"/>
          <w:szCs w:val="16"/>
        </w:rPr>
        <w:softHyphen/>
        <w:t xml:space="preserve">волжье накануне и в годы Великой Отечественной войны (1940—1942 гг.). Самара, 2004. С. 12.). Ряд авиапредприятий были вынуждены разместиться на территориях клубов, ликёро- водочных и стекольных заводов, мебельных фабрик и т.д. (РГАЭ. Ф. 8044. </w:t>
      </w:r>
      <w:r w:rsidRPr="00640820">
        <w:rPr>
          <w:rFonts w:ascii="Times New Roman" w:hAnsi="Times New Roman"/>
          <w:color w:val="000000" w:themeColor="text1"/>
          <w:sz w:val="16"/>
          <w:szCs w:val="16"/>
          <w:lang w:val="en-US"/>
        </w:rPr>
        <w:t>On</w:t>
      </w:r>
      <w:r w:rsidRPr="00640820">
        <w:rPr>
          <w:rFonts w:ascii="Times New Roman" w:hAnsi="Times New Roman"/>
          <w:color w:val="000000" w:themeColor="text1"/>
          <w:sz w:val="16"/>
          <w:szCs w:val="16"/>
        </w:rPr>
        <w:t>. 1. Д. 2826. Л. 11—20.).</w:t>
      </w:r>
    </w:p>
    <w:p w14:paraId="4F2394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анализе хода эвакуации следует учитывать, что, по сути, эвакуация промышленности в 1941 г. представляла со</w:t>
      </w:r>
      <w:r w:rsidRPr="00640820">
        <w:rPr>
          <w:rFonts w:ascii="Times New Roman" w:hAnsi="Times New Roman"/>
          <w:color w:val="000000" w:themeColor="text1"/>
          <w:sz w:val="16"/>
          <w:szCs w:val="16"/>
        </w:rPr>
        <w:softHyphen/>
        <w:t>бой грандиозную импровизацию, крайне слабо и, можно ска</w:t>
      </w:r>
      <w:r w:rsidRPr="00640820">
        <w:rPr>
          <w:rFonts w:ascii="Times New Roman" w:hAnsi="Times New Roman"/>
          <w:color w:val="000000" w:themeColor="text1"/>
          <w:sz w:val="16"/>
          <w:szCs w:val="16"/>
        </w:rPr>
        <w:softHyphen/>
        <w:t>зать, лишь «пунктирно» подготовленную заранее. Хотя по</w:t>
      </w:r>
      <w:r w:rsidRPr="00640820">
        <w:rPr>
          <w:rFonts w:ascii="Times New Roman" w:hAnsi="Times New Roman"/>
          <w:color w:val="000000" w:themeColor="text1"/>
          <w:sz w:val="16"/>
          <w:szCs w:val="16"/>
        </w:rPr>
        <w:softHyphen/>
        <w:t>следние эвакуационные планы относятся, видимо, к 1937 г. (Мелия А.А. Мобилизационная подготовка народного хозяйства СССР. М., 2004. С. 21.), А.А. Мелия, посвятивший изучению советских эвакуацион</w:t>
      </w:r>
      <w:r w:rsidRPr="00640820">
        <w:rPr>
          <w:rFonts w:ascii="Times New Roman" w:hAnsi="Times New Roman"/>
          <w:color w:val="000000" w:themeColor="text1"/>
          <w:sz w:val="16"/>
          <w:szCs w:val="16"/>
        </w:rPr>
        <w:softHyphen/>
        <w:t>ных планов специальное исследование, останавливает де</w:t>
      </w:r>
      <w:r w:rsidRPr="00640820">
        <w:rPr>
          <w:rFonts w:ascii="Times New Roman" w:hAnsi="Times New Roman"/>
          <w:color w:val="000000" w:themeColor="text1"/>
          <w:sz w:val="16"/>
          <w:szCs w:val="16"/>
        </w:rPr>
        <w:softHyphen/>
        <w:t>тальное изложение генезиса эвакуационного планирования на 1932 г., мотивируя это тем, что в дальнейшем очередной ежегодный план, как правило, механически воспроизводил план прошлого года. Не учитывались ни возросший объём грузоперевозок, ни увеличение числа заводов, оборудования и персонала, ни изменившиеся производственные цепочки. Г.А. Куманёв отмечает, что накануне войны некоторая рабо</w:t>
      </w:r>
      <w:r w:rsidRPr="00640820">
        <w:rPr>
          <w:rFonts w:ascii="Times New Roman" w:hAnsi="Times New Roman"/>
          <w:color w:val="000000" w:themeColor="text1"/>
          <w:sz w:val="16"/>
          <w:szCs w:val="16"/>
        </w:rPr>
        <w:softHyphen/>
        <w:t>та по подготовке эвакуационных мероприятий шла, но в то же время признаёт, что на 22.06.1941 г. никаких завершённых и утверждённых эвакуационных планов не существовало (Куманёв Г.А. Война и эвакуация в СССР. 1941—1945 гг. // Новая и Но</w:t>
      </w:r>
      <w:r w:rsidRPr="00640820">
        <w:rPr>
          <w:rFonts w:ascii="Times New Roman" w:hAnsi="Times New Roman"/>
          <w:color w:val="000000" w:themeColor="text1"/>
          <w:sz w:val="16"/>
          <w:szCs w:val="16"/>
        </w:rPr>
        <w:softHyphen/>
        <w:t>вейшая история. № 6.2006.). В январе 1939 г. Военно-промышленная комиссия при Ко</w:t>
      </w:r>
      <w:r w:rsidRPr="00640820">
        <w:rPr>
          <w:rFonts w:ascii="Times New Roman" w:hAnsi="Times New Roman"/>
          <w:color w:val="000000" w:themeColor="text1"/>
          <w:sz w:val="16"/>
          <w:szCs w:val="16"/>
        </w:rPr>
        <w:softHyphen/>
        <w:t>митете обороны приняла Положение об эвакуации промыш</w:t>
      </w:r>
      <w:r w:rsidRPr="00640820">
        <w:rPr>
          <w:rFonts w:ascii="Times New Roman" w:hAnsi="Times New Roman"/>
          <w:color w:val="000000" w:themeColor="text1"/>
          <w:sz w:val="16"/>
          <w:szCs w:val="16"/>
        </w:rPr>
        <w:softHyphen/>
        <w:t>ленных предприятий из угрожаемых зон (Быстрова И.В. Советский военно-промышленный комплекс: проблемы становления и развития (1930—1980-е годы). М., 2006. С. 161.). Однако данный документ лишь очерчивал общие правила проведения эва</w:t>
      </w:r>
      <w:r w:rsidRPr="00640820">
        <w:rPr>
          <w:rFonts w:ascii="Times New Roman" w:hAnsi="Times New Roman"/>
          <w:color w:val="000000" w:themeColor="text1"/>
          <w:sz w:val="16"/>
          <w:szCs w:val="16"/>
        </w:rPr>
        <w:softHyphen/>
        <w:t>куации, оставляя непосредственные директивы на долю эва</w:t>
      </w:r>
      <w:r w:rsidRPr="00640820">
        <w:rPr>
          <w:rFonts w:ascii="Times New Roman" w:hAnsi="Times New Roman"/>
          <w:color w:val="000000" w:themeColor="text1"/>
          <w:sz w:val="16"/>
          <w:szCs w:val="16"/>
        </w:rPr>
        <w:softHyphen/>
        <w:t>куационных планов, которые только предполагалось создать и взаимоувязать. Более того, даже в такой методологической постановке были допущены существенные просчёты. Так, Положение об эвакуации допускало начало эвакуации только в условиях непосредственной угрозы предприятию «в преде</w:t>
      </w:r>
      <w:r w:rsidRPr="00640820">
        <w:rPr>
          <w:rFonts w:ascii="Times New Roman" w:hAnsi="Times New Roman"/>
          <w:color w:val="000000" w:themeColor="text1"/>
          <w:sz w:val="16"/>
          <w:szCs w:val="16"/>
        </w:rPr>
        <w:softHyphen/>
        <w:t>лах административных единиц, на территории которых они расположены». То есть вопрос о заблаговременной эвакуации не ставился, а вывозить заводы изначально предполагалось н аварийном порядке, в ситуации, когда неприятель уже как минимум бомбит место первоначальной дислокации. Исчер</w:t>
      </w:r>
      <w:r w:rsidRPr="00640820">
        <w:rPr>
          <w:rFonts w:ascii="Times New Roman" w:hAnsi="Times New Roman"/>
          <w:color w:val="000000" w:themeColor="text1"/>
          <w:sz w:val="16"/>
          <w:szCs w:val="16"/>
        </w:rPr>
        <w:softHyphen/>
        <w:t>пывающую характеристику уровню планирования эвакуа</w:t>
      </w:r>
      <w:r w:rsidRPr="00640820">
        <w:rPr>
          <w:rFonts w:ascii="Times New Roman" w:hAnsi="Times New Roman"/>
          <w:color w:val="000000" w:themeColor="text1"/>
          <w:sz w:val="16"/>
          <w:szCs w:val="16"/>
        </w:rPr>
        <w:softHyphen/>
        <w:t>ционных мероприятий дал Н.Ф. Дубровин (Эшелоны вдут на восток: Из истории перебазирования производитель</w:t>
      </w:r>
      <w:r w:rsidRPr="00640820">
        <w:rPr>
          <w:rFonts w:ascii="Times New Roman" w:hAnsi="Times New Roman"/>
          <w:color w:val="000000" w:themeColor="text1"/>
          <w:sz w:val="16"/>
          <w:szCs w:val="16"/>
        </w:rPr>
        <w:softHyphen/>
        <w:t>ных сил СССР в 1941—1942 гг. М, 1966. С. 208—209.): «Конкретными, заблаговременно разработанными эвакуационными планами на случай неблагоприятного хода военных действий мы не располагали. Положение осложнялось тем, что многие пред</w:t>
      </w:r>
      <w:r w:rsidRPr="00640820">
        <w:rPr>
          <w:rFonts w:ascii="Times New Roman" w:hAnsi="Times New Roman"/>
          <w:color w:val="000000" w:themeColor="text1"/>
          <w:sz w:val="16"/>
          <w:szCs w:val="16"/>
        </w:rPr>
        <w:softHyphen/>
        <w:t>приятия прифронтовых районов до последней возможности должны были давать продукцию для обеспечения нужд обо</w:t>
      </w:r>
      <w:r w:rsidRPr="00640820">
        <w:rPr>
          <w:rFonts w:ascii="Times New Roman" w:hAnsi="Times New Roman"/>
          <w:color w:val="000000" w:themeColor="text1"/>
          <w:sz w:val="16"/>
          <w:szCs w:val="16"/>
        </w:rPr>
        <w:softHyphen/>
        <w:t>роны. Наряду с этим нужно было своевременно подготовить оборудование промышленных объектов к демонтажу и эваку</w:t>
      </w:r>
      <w:r w:rsidRPr="00640820">
        <w:rPr>
          <w:rFonts w:ascii="Times New Roman" w:hAnsi="Times New Roman"/>
          <w:color w:val="000000" w:themeColor="text1"/>
          <w:sz w:val="16"/>
          <w:szCs w:val="16"/>
        </w:rPr>
        <w:softHyphen/>
        <w:t xml:space="preserve">ации, которую приходилось часто </w:t>
      </w:r>
      <w:r w:rsidRPr="00640820">
        <w:rPr>
          <w:rFonts w:ascii="Times New Roman" w:hAnsi="Times New Roman"/>
          <w:color w:val="000000" w:themeColor="text1"/>
          <w:sz w:val="16"/>
          <w:szCs w:val="16"/>
        </w:rPr>
        <w:lastRenderedPageBreak/>
        <w:t>осуществлять под артилле</w:t>
      </w:r>
      <w:r w:rsidRPr="00640820">
        <w:rPr>
          <w:rFonts w:ascii="Times New Roman" w:hAnsi="Times New Roman"/>
          <w:color w:val="000000" w:themeColor="text1"/>
          <w:sz w:val="16"/>
          <w:szCs w:val="16"/>
        </w:rPr>
        <w:softHyphen/>
        <w:t>рийским обстрелом и вражескими бомбардировками. Между тем необходимого опыта планирования и проведения столь экстренного перемещения производительных сил из запад</w:t>
      </w:r>
      <w:r w:rsidRPr="00640820">
        <w:rPr>
          <w:rFonts w:ascii="Times New Roman" w:hAnsi="Times New Roman"/>
          <w:color w:val="000000" w:themeColor="text1"/>
          <w:sz w:val="16"/>
          <w:szCs w:val="16"/>
        </w:rPr>
        <w:softHyphen/>
        <w:t>ных районов страны на восток у нас не было. Помню, как по заданию директивных органов мы специально разыскивали в архивах и библиотеках Москвы, в том числе в Государствен</w:t>
      </w:r>
      <w:r w:rsidRPr="00640820">
        <w:rPr>
          <w:rFonts w:ascii="Times New Roman" w:hAnsi="Times New Roman"/>
          <w:color w:val="000000" w:themeColor="text1"/>
          <w:sz w:val="16"/>
          <w:szCs w:val="16"/>
        </w:rPr>
        <w:softHyphen/>
        <w:t>ной библиотеке им. В.И. Ленина, хотя бы отрывочные сведе</w:t>
      </w:r>
      <w:r w:rsidRPr="00640820">
        <w:rPr>
          <w:rFonts w:ascii="Times New Roman" w:hAnsi="Times New Roman"/>
          <w:color w:val="000000" w:themeColor="text1"/>
          <w:sz w:val="16"/>
          <w:szCs w:val="16"/>
        </w:rPr>
        <w:softHyphen/>
        <w:t>ния об эвакуации во время Первой мировой войны, но найти почти ничего не удалось. Опыт приобретался в ходе военных действий» (На 1941 г. — заместитель наркома путей сообщения и начальник Грузо</w:t>
      </w:r>
      <w:r w:rsidRPr="00640820">
        <w:rPr>
          <w:rFonts w:ascii="Times New Roman" w:hAnsi="Times New Roman"/>
          <w:color w:val="000000" w:themeColor="text1"/>
          <w:sz w:val="16"/>
          <w:szCs w:val="16"/>
        </w:rPr>
        <w:softHyphen/>
        <w:t>вого управления НКПС). М.Н. Потёмкина отмечает, что уже в июле 1941 г. первый комплексный план эвакуации населения и материальных ценностей был в общих чертах составлен. Однако при его раз</w:t>
      </w:r>
      <w:r w:rsidRPr="00640820">
        <w:rPr>
          <w:rFonts w:ascii="Times New Roman" w:hAnsi="Times New Roman"/>
          <w:color w:val="000000" w:themeColor="text1"/>
          <w:sz w:val="16"/>
          <w:szCs w:val="16"/>
        </w:rPr>
        <w:softHyphen/>
        <w:t>работке авторы плана исходили из того, что неприятельское наступление будет в кратчайшие сроки остановлено (Это само по себе довольно странно, так как уже 27 июня было принято решение об эвакуации из Москвы Алмазного фонда и государственных запа</w:t>
      </w:r>
      <w:r w:rsidRPr="00640820">
        <w:rPr>
          <w:rFonts w:ascii="Times New Roman" w:hAnsi="Times New Roman"/>
          <w:color w:val="000000" w:themeColor="text1"/>
          <w:sz w:val="16"/>
          <w:szCs w:val="16"/>
        </w:rPr>
        <w:softHyphen/>
        <w:t>сов драгоценных металлов и камней (см.: Эшелоны идут на восток... С. 72)). Поэто</w:t>
      </w:r>
      <w:r w:rsidRPr="00640820">
        <w:rPr>
          <w:rFonts w:ascii="Times New Roman" w:hAnsi="Times New Roman"/>
          <w:color w:val="000000" w:themeColor="text1"/>
          <w:sz w:val="16"/>
          <w:szCs w:val="16"/>
        </w:rPr>
        <w:softHyphen/>
        <w:t>му эвакуационные мероприятия распространялись лишь на, прифронтовые (на тот момент) районы, а эвакуируемое иму</w:t>
      </w:r>
      <w:r w:rsidRPr="00640820">
        <w:rPr>
          <w:rFonts w:ascii="Times New Roman" w:hAnsi="Times New Roman"/>
          <w:color w:val="000000" w:themeColor="text1"/>
          <w:sz w:val="16"/>
          <w:szCs w:val="16"/>
        </w:rPr>
        <w:softHyphen/>
        <w:t>щество и население должны были вывозиться на восток на сравнительно небольшое расстояние. Основная масса эвакуа</w:t>
      </w:r>
      <w:r w:rsidRPr="00640820">
        <w:rPr>
          <w:rFonts w:ascii="Times New Roman" w:hAnsi="Times New Roman"/>
          <w:color w:val="000000" w:themeColor="text1"/>
          <w:sz w:val="16"/>
          <w:szCs w:val="16"/>
        </w:rPr>
        <w:softHyphen/>
        <w:t>ционных потоков направлялась в Поволжье, менее четвер</w:t>
      </w:r>
      <w:r w:rsidRPr="00640820">
        <w:rPr>
          <w:rFonts w:ascii="Times New Roman" w:hAnsi="Times New Roman"/>
          <w:color w:val="000000" w:themeColor="text1"/>
          <w:sz w:val="16"/>
          <w:szCs w:val="16"/>
        </w:rPr>
        <w:softHyphen/>
        <w:t>ти — на Урал, а Сибирь и Средняя Азия вообще практиче</w:t>
      </w:r>
      <w:r w:rsidRPr="00640820">
        <w:rPr>
          <w:rFonts w:ascii="Times New Roman" w:hAnsi="Times New Roman"/>
          <w:color w:val="000000" w:themeColor="text1"/>
          <w:sz w:val="16"/>
          <w:szCs w:val="16"/>
        </w:rPr>
        <w:softHyphen/>
        <w:t>ски не рассматривались (Потемкина М.Н. Эвакуация в годы Великой Отечественной войны на Урале: люди и судьбы. Магнитогорск, 2002, С. 51—52.). Разумеется, ход боевых действий достаточно быстро развеял эти оптимистические ожидания, и, соответственно, план июля 1941 г. пришлось отложить в сторону.</w:t>
      </w:r>
    </w:p>
    <w:p w14:paraId="22FA0841" w14:textId="77777777" w:rsidR="00165A9C" w:rsidRPr="00640820" w:rsidRDefault="00165A9C" w:rsidP="00640820">
      <w:pPr>
        <w:tabs>
          <w:tab w:val="left" w:pos="458"/>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результате вышеописанных обстоятельств в 1941 г. план эвакуационных мероприятий пришлось как выполнять, так и разрабатывать в условиях спешки и аврала. Разумеется, при этом не могло обойтись без многочисленных накладок и оши</w:t>
      </w:r>
      <w:r w:rsidRPr="00640820">
        <w:rPr>
          <w:rFonts w:ascii="Times New Roman" w:hAnsi="Times New Roman"/>
          <w:color w:val="000000" w:themeColor="text1"/>
          <w:sz w:val="16"/>
          <w:szCs w:val="16"/>
        </w:rPr>
        <w:softHyphen/>
        <w:t>бок. Главный технолог завода № 22 М.П. Семенов указывал впоследствии: «Если бы с первого дня дана была четкая ко</w:t>
      </w:r>
      <w:r w:rsidRPr="00640820">
        <w:rPr>
          <w:rFonts w:ascii="Times New Roman" w:hAnsi="Times New Roman"/>
          <w:color w:val="000000" w:themeColor="text1"/>
          <w:sz w:val="16"/>
          <w:szCs w:val="16"/>
        </w:rPr>
        <w:softHyphen/>
        <w:t>манда, то эвакуация прошла бы организованно» (Цит. по: Захарченко А.В. Формирование авиапромышленного комплек</w:t>
      </w:r>
      <w:r w:rsidRPr="00640820">
        <w:rPr>
          <w:rFonts w:ascii="Times New Roman" w:hAnsi="Times New Roman"/>
          <w:color w:val="000000" w:themeColor="text1"/>
          <w:sz w:val="16"/>
          <w:szCs w:val="16"/>
        </w:rPr>
        <w:softHyphen/>
        <w:t>са в Поволжье накануне и в годы Великой Отечественной войны (1940— 1942 гг.). Самара, 2004. С. 13.). Семёнову было о чём сетовать, так как, по его словам, до Казани до</w:t>
      </w:r>
      <w:r w:rsidRPr="00640820">
        <w:rPr>
          <w:rFonts w:ascii="Times New Roman" w:hAnsi="Times New Roman"/>
          <w:color w:val="000000" w:themeColor="text1"/>
          <w:sz w:val="16"/>
          <w:szCs w:val="16"/>
        </w:rPr>
        <w:softHyphen/>
        <w:t>шло не более 20—25 % материалов цеха холодных штампов; остальная часть либо осталась в Москве, либо была потеря</w:t>
      </w:r>
      <w:r w:rsidRPr="00640820">
        <w:rPr>
          <w:rFonts w:ascii="Times New Roman" w:hAnsi="Times New Roman"/>
          <w:color w:val="000000" w:themeColor="text1"/>
          <w:sz w:val="16"/>
          <w:szCs w:val="16"/>
        </w:rPr>
        <w:softHyphen/>
        <w:t>на по дороге. К сожалению, этот эпизод был не единичным. Так, в записке секретаря Саратовского обкома ВКП(б) отме</w:t>
      </w:r>
      <w:r w:rsidRPr="00640820">
        <w:rPr>
          <w:rFonts w:ascii="Times New Roman" w:hAnsi="Times New Roman"/>
          <w:color w:val="000000" w:themeColor="text1"/>
          <w:sz w:val="16"/>
          <w:szCs w:val="16"/>
        </w:rPr>
        <w:softHyphen/>
        <w:t>чалось, что авиаприборный завод № 213 «растерял при эва</w:t>
      </w:r>
      <w:r w:rsidRPr="00640820">
        <w:rPr>
          <w:rFonts w:ascii="Times New Roman" w:hAnsi="Times New Roman"/>
          <w:color w:val="000000" w:themeColor="text1"/>
          <w:sz w:val="16"/>
          <w:szCs w:val="16"/>
        </w:rPr>
        <w:softHyphen/>
        <w:t>куации в г. Энгельс 50 % квалифицированной рабочей силы, а многие поставленные позднее на фундамент и подключен</w:t>
      </w:r>
      <w:r w:rsidRPr="00640820">
        <w:rPr>
          <w:rFonts w:ascii="Times New Roman" w:hAnsi="Times New Roman"/>
          <w:color w:val="000000" w:themeColor="text1"/>
          <w:sz w:val="16"/>
          <w:szCs w:val="16"/>
        </w:rPr>
        <w:softHyphen/>
        <w:t>ные к электричеству станки оказались без оснастки» (Цит. по: Захарченко А.В. Указ соч.). Тем не менее к январю 1942 г. в восточные регионы страны было перевезено и вскоре введено в строй 1523 завода, в том числе 1360 — оборонных (Быстрова И.В. Указ. соч. С. 193.). К концу 1941 г. на месте осталось лишь 30 % предприятий оборонных наркоматов (Быстрова И.В. Указ. соч. С. 194.). С учётом авраль</w:t>
      </w:r>
      <w:r w:rsidRPr="00640820">
        <w:rPr>
          <w:rFonts w:ascii="Times New Roman" w:hAnsi="Times New Roman"/>
          <w:color w:val="000000" w:themeColor="text1"/>
          <w:sz w:val="16"/>
          <w:szCs w:val="16"/>
        </w:rPr>
        <w:softHyphen/>
        <w:t>ного характера осуществляемой эвакуации, такой успешный результат можно считать грандиозной победой, которая в ко</w:t>
      </w:r>
      <w:r w:rsidRPr="00640820">
        <w:rPr>
          <w:rFonts w:ascii="Times New Roman" w:hAnsi="Times New Roman"/>
          <w:color w:val="000000" w:themeColor="text1"/>
          <w:sz w:val="16"/>
          <w:szCs w:val="16"/>
        </w:rPr>
        <w:softHyphen/>
        <w:t>нечном счёте во многом предопределила победу в Великой Отечественной войне в целом.</w:t>
      </w:r>
    </w:p>
    <w:p w14:paraId="6D1B6C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другой стороны, возобновление авиавыпуска отнюдь не означало восстановление прежних темпов сдачи продук</w:t>
      </w:r>
      <w:r w:rsidRPr="00640820">
        <w:rPr>
          <w:rFonts w:ascii="Times New Roman" w:hAnsi="Times New Roman"/>
          <w:color w:val="000000" w:themeColor="text1"/>
          <w:sz w:val="16"/>
          <w:szCs w:val="16"/>
        </w:rPr>
        <w:softHyphen/>
        <w:t>ции. Хотя ГКО требовало возобновления сдачи авиатехники в прежнем объёме уже через 1,5—2 месяца после эвакуации, на практике эта директива была практически нище не выполне</w:t>
      </w:r>
      <w:r w:rsidRPr="00640820">
        <w:rPr>
          <w:rFonts w:ascii="Times New Roman" w:hAnsi="Times New Roman"/>
          <w:color w:val="000000" w:themeColor="text1"/>
          <w:sz w:val="16"/>
          <w:szCs w:val="16"/>
        </w:rPr>
        <w:softHyphen/>
        <w:t>на. В ноябре на фронт было отправлено 627 машин, то есть в 3,5 раза меньше, чем в сентябре, а в декабре — 600, наимень</w:t>
      </w:r>
      <w:r w:rsidRPr="00640820">
        <w:rPr>
          <w:rFonts w:ascii="Times New Roman" w:hAnsi="Times New Roman"/>
          <w:color w:val="000000" w:themeColor="text1"/>
          <w:sz w:val="16"/>
          <w:szCs w:val="16"/>
        </w:rPr>
        <w:softHyphen/>
        <w:t>шая партия за весь период войны. Фактически в ноябре— декабре 1941 г. львиная доля авиавыпуска приходилась на не подвергнувшиеся эвакуации горьковский завод № 21 и сара</w:t>
      </w:r>
      <w:r w:rsidRPr="00640820">
        <w:rPr>
          <w:rFonts w:ascii="Times New Roman" w:hAnsi="Times New Roman"/>
          <w:color w:val="000000" w:themeColor="text1"/>
          <w:sz w:val="16"/>
          <w:szCs w:val="16"/>
        </w:rPr>
        <w:softHyphen/>
        <w:t>товский № 292.</w:t>
      </w:r>
    </w:p>
    <w:p w14:paraId="501577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Эвакуация — как это делалось. Судьбы людей и заво</w:t>
      </w:r>
      <w:r w:rsidRPr="00640820">
        <w:rPr>
          <w:rFonts w:ascii="Times New Roman" w:hAnsi="Times New Roman"/>
          <w:color w:val="000000" w:themeColor="text1"/>
          <w:sz w:val="16"/>
          <w:szCs w:val="16"/>
        </w:rPr>
        <w:softHyphen/>
        <w:t>дов. Эвакуация авиапредприятий представляла собой титани</w:t>
      </w:r>
      <w:r w:rsidRPr="00640820">
        <w:rPr>
          <w:rFonts w:ascii="Times New Roman" w:hAnsi="Times New Roman"/>
          <w:color w:val="000000" w:themeColor="text1"/>
          <w:sz w:val="16"/>
          <w:szCs w:val="16"/>
        </w:rPr>
        <w:softHyphen/>
        <w:t>ческое свершение, по масштабам не имевшее на тот момент аналогов. При описании этого циклопического процесса очень велик соблазн рассматривать картину исключительно «в целом», в масштабах всей отрасли. Однако, думается, что при таком уровне рассмотрения мы рискуем упустить очень важный аспект — организацию эвакуационных процессов на уровне отдельных предприятий. Между тем именно положе</w:t>
      </w:r>
      <w:r w:rsidRPr="00640820">
        <w:rPr>
          <w:rFonts w:ascii="Times New Roman" w:hAnsi="Times New Roman"/>
          <w:color w:val="000000" w:themeColor="text1"/>
          <w:sz w:val="16"/>
          <w:szCs w:val="16"/>
        </w:rPr>
        <w:softHyphen/>
        <w:t>ние дел на таком «микроуровне» авиапромышленности опре</w:t>
      </w:r>
      <w:r w:rsidRPr="00640820">
        <w:rPr>
          <w:rFonts w:ascii="Times New Roman" w:hAnsi="Times New Roman"/>
          <w:color w:val="000000" w:themeColor="text1"/>
          <w:sz w:val="16"/>
          <w:szCs w:val="16"/>
        </w:rPr>
        <w:softHyphen/>
        <w:t>деляло общее положение дел в Авиапроме в целом (12011).</w:t>
      </w:r>
    </w:p>
    <w:p w14:paraId="62A65F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39AE4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года по приказу НКАП за № 1057сс завод № 30 был эвакуирован. До мая 1942 года оставшаяся часть завода не работала, находилась под охраной в законсервированном состоянии.</w:t>
      </w:r>
    </w:p>
    <w:p w14:paraId="08447D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мае 1942 года приказом НКАП за № 372с от 11 мая 1942 года на базе завода № 30 был создан опытный завод № 458. Этим же приказом гл. конструктором и директором завода был назначен Четвериков.</w:t>
      </w:r>
    </w:p>
    <w:p w14:paraId="4697DB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Перед заводом были поставлены задачи по опытному проектированию гидросамолетов и их ремонту.</w:t>
      </w:r>
    </w:p>
    <w:p w14:paraId="4AD641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МАП № 288сс от 19 апреля 1946 года завод № 458 реорганизуется в опытный завод № 1 и подчиняется непосредственно министру авиапромышленности.</w:t>
      </w:r>
    </w:p>
    <w:p w14:paraId="18A607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Решением СМ от 1 сентября 1951 года за № 3251-1545 на базе Опытного завода № 1 создается завод № 256 МАП.</w:t>
      </w:r>
    </w:p>
    <w:p w14:paraId="347780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Директора: </w:t>
      </w:r>
    </w:p>
    <w:p w14:paraId="678750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1940 года – Загайнов, в том же году его сменил Руденко Я.К.</w:t>
      </w:r>
    </w:p>
    <w:p w14:paraId="4D2677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НКАП за № 372с от 11 мая 1942 года директором и гл. конструктором завода назначается Четвериков.</w:t>
      </w:r>
    </w:p>
    <w:p w14:paraId="57C0E2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апреле 1946 года директором назначается Абрамов В.И.</w:t>
      </w:r>
    </w:p>
    <w:p w14:paraId="1DCB6C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январе 1950 года директором назначается Смирнов П.П.</w:t>
      </w:r>
    </w:p>
    <w:p w14:paraId="200F85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августа 1959 года директором назначается Лисицын В.Н.</w:t>
      </w:r>
    </w:p>
    <w:p w14:paraId="0E7245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августе 1951 года директором назначается Белиловский С.И.</w:t>
      </w:r>
    </w:p>
    <w:p w14:paraId="50E636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Иваньково Московской обл., п/я 6</w:t>
      </w:r>
    </w:p>
    <w:p w14:paraId="2AB6BD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конструкторы завода</w:t>
      </w:r>
    </w:p>
    <w:p w14:paraId="3F8AA5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Четвериков, с 13 ноября 1944 года – Горбунов</w:t>
      </w:r>
    </w:p>
    <w:p w14:paraId="44F7F8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декабря 1949 года приказом МАП № 724-К должность была упразднена.</w:t>
      </w:r>
    </w:p>
    <w:p w14:paraId="77F2B9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256 расположен на левом берегу Волги, северной Иваньковской плотины канала им. Москвы, на расстоянии 2-х км от Москвы (9595).</w:t>
      </w:r>
    </w:p>
    <w:p w14:paraId="35D55D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56AFB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директор завода № 207 Н.Климовицкий, главный инженер В.Таиров, которых поддержали парторг ЦК ВКП(б) В.Егоров и старший военпред А-Медведков, обратились к Сталину и Маленкову с просьбой сохранить завод в качестве самостоятельной производственной единицы. Они предложили эвакуировать завод в Ташкент, на базу местного ремонтного завода, обещая в этом случае уже в январе 1942 г. вдвое увеличить программу выпуска боевых самолетов. Но, насколько известно, никакой реакции на это обращение не последовало (5360).</w:t>
      </w:r>
    </w:p>
    <w:p w14:paraId="04479A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9F5BC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года согласно приказа НКАП за № 106700 завод № 132 был эвакуирован из Москвы и также размещен на площадях Симского арматурного завода, где уже находился завод № 444, эвакуированный со ст. Плющево, Московской области.</w:t>
      </w:r>
    </w:p>
    <w:p w14:paraId="735520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объединении трех заводов, новому объединенному заводу присвоен № 132 НКАП. С момента объединения заводов директором завода № 132 НКАП приказом от 28 января 1941 года назначен Ивайкин А.М. В 1942 году 22 апреля директором завода № 132 назначен Лурье В.С. 15 декабря 1944 года директором завода № 132 назначен Антонов В.П. 15 ноября 1947 года директором завода № 132 вторично назначен Лурье В.С. 29 мая 1950 года директором завода № 132 назначен Глинкин С.А. 10 января 1957 года директором завода № 132 назначен Фокеев Е.И.</w:t>
      </w:r>
    </w:p>
    <w:p w14:paraId="23C70A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эвакуации завода № 132 вместе с заводом было эвакуировано ОКБ, которое в 1944 году было ликвидировано. Гл. конструктором ОКБ был Петелин. В 1947 году приказом МАП № 307 от 15 мая на заводе № 132 вновь организовано ОКБ, гл. конструктором был назначен Добротворский. В 1948 году ОКБ на заводе № 132 было ликвидировано приказом МАП № 616 от 19 августа.</w:t>
      </w:r>
    </w:p>
    <w:p w14:paraId="25DDD5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период ВОВ завод производил выпуск агрегатов для механического и воздушного запуска поршневых авиадвигвтелей, оснащения пневматических систем самолетов и т.д. В 1946-1947 гг. в связи с разработкой конструкций флюгерных воздушных винтов, было поставлено производство трех типов регуляторов винта со специальными флюгерными свойствами. В 1948-1949 гг. завод принимает активное участие в освоении агрегатов для реактивной авиатехники</w:t>
      </w:r>
    </w:p>
    <w:p w14:paraId="4A5982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 Фокеев</w:t>
      </w:r>
    </w:p>
    <w:p w14:paraId="66F693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Сим Челябинской области</w:t>
      </w:r>
    </w:p>
    <w:p w14:paraId="1C7D6E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Производственный профиль – агрегатный завод (9877).</w:t>
      </w:r>
    </w:p>
    <w:p w14:paraId="13021E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36056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10 октября 1941 г. было письмо заместителя Наркома внутренних дел СССР Завенягина начальнику Управления особого строительства куйбышевских заводов НКВД СССР Лепилову о строительстве жилья для работников эвакуированных заводов </w:t>
      </w:r>
    </w:p>
    <w:p w14:paraId="31F667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u w:val="single"/>
        </w:rPr>
        <w:t xml:space="preserve">Сов. секретно </w:t>
      </w:r>
    </w:p>
    <w:p w14:paraId="54F344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Государственный Комитет Обороны постановлением от 8.Х-№ ГКО-741сс об эвакуации заводов Наркомавиапрома Московской, Воронежской и Ростовской областей обязал НКВД и начальника строительства Куйбышевских заводов НКВД тов. ЛЕПИЛОВА: </w:t>
      </w:r>
    </w:p>
    <w:p w14:paraId="139937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A) немедленно развернуть барачное строительство двух городков на 7 тыс. человек каждый, ведя строительство бараков по упрощенным проектам; </w:t>
      </w:r>
    </w:p>
    <w:p w14:paraId="780358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Б) закончить строительство жилых домов в кварталах №№ 707, 709, 710 и 711 и сдать в эксплуатацию 40 тыс. кв. метров жилплощади к 25 октября и 10 тыс. кв. метров - к 1 декабря 1941 года; </w:t>
      </w:r>
    </w:p>
    <w:p w14:paraId="335822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B) построить деревянные дома облегченной конструкции площадью 40 тыс. кв. метров к 10 ноября с.г. и 40 тыс. кв. метров к 1 января 1942 года; </w:t>
      </w:r>
    </w:p>
    <w:p w14:paraId="572804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передать заводам НКАП к 15 октября 1941 года не менее 30 тыс. кв. метров жилой площади за счет лагерных бараков. </w:t>
      </w:r>
    </w:p>
    <w:p w14:paraId="3544E5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Вам надлежит развернуть работы по жилстроительству для обеспечения сдачи в эксплуатацию жилплощади заводам НКАП в сроки, установленные указанным постановлением. </w:t>
      </w:r>
    </w:p>
    <w:p w14:paraId="2F35A3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О ходе выполнения прошу сообщать мне телеграфно каждую пятидневку. </w:t>
      </w:r>
    </w:p>
    <w:p w14:paraId="37CCFB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Заместитель Народного комиссара внутренних дел Союза ССР Завенягин </w:t>
      </w:r>
    </w:p>
    <w:p w14:paraId="4DD64D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(ГАСО. Ф. Р-2064. On. 2. Д. 56. Л. 50-51. Подлинник.) (11878).</w:t>
      </w:r>
    </w:p>
    <w:p w14:paraId="31625D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5B713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г. по приказу № 1057сс завод № 305 1ГУ НКАП (Завод № 305 НКАП, МАП, Куйбышевский арматурный завод, Куйбышевский завод гидроавтоматики, Самарский завод «Гидроавтоматика», АООТ, ОАО «Гидроавтоматика» /г. Москва Ленинградское ш., 228А;  г. Куйбышев ст. Безымянка/ /443052  г. Самара Заводское ш., 53 тел. 92-60-86/) был эвакуирован в Куйбышев на площадку бытовок и складов завода № 122 НКАП. По приказу № 416с от 29.10.1945 г. завод № 305 с 1.10.1945 г. переведен и влит в состав завода № 207 НКАП в Куйбышеве.</w:t>
      </w:r>
    </w:p>
    <w:p w14:paraId="7B7D25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распоряжению СНК № 3814-рс от 6.03.1942 г. и приказу № М3-70с/180с от 8.03.1942 г. площадка эвакуированного завода № 305 со всеми сооружениями передана в НКЭП.</w:t>
      </w:r>
    </w:p>
    <w:p w14:paraId="0B16A8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распоряжению СМ СССР № 1090 от 3.02.1948 г. и приказу № 97с от 1.03.1948 г. завод № 305 МАП с 1.03.1948 г. вновь выделился в самостоятельный из завода № 207 МАП с базированием в  г. Куйбышев. Производство нормалей завода № 305 переведено в Горький и влито в состав завода № 167 МАП (бывшего завода «Славянин», затем это- Горьковский завод нормалей).</w:t>
      </w:r>
    </w:p>
    <w:p w14:paraId="7F380C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СМ СССР № 713-342 от 26.06.1957 г. передан в ведение СНХ РСФСР.</w:t>
      </w:r>
    </w:p>
    <w:p w14:paraId="2434FD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электрогидравлических усилителей, систем дозаправки топливом в полете.</w:t>
      </w:r>
    </w:p>
    <w:p w14:paraId="1FFAE4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(1997-2002 г.): агрегаты управления и регулирования (в т.ч. уникальные) для пневмо-, гидро-, и топливных систем ЛА, дорожно-строительных машин, автотранспорта и медицинских аппаратов; системы газонаполнения аврийных трапов; кислородная барокамера «Иртыш»; машины для напыления ППУ; автозапчасти для ВАЗ.</w:t>
      </w:r>
    </w:p>
    <w:p w14:paraId="77100E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Имеет производства (2002 г.): литейно-штамповочное, окрасочно-гальваническое, механическое, сборочно- испытательное.</w:t>
      </w:r>
    </w:p>
    <w:p w14:paraId="3E1880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08.1969 г. получил наименование Куйбышевский завод «Гидроавтоматика». В 11.1997 г. предприятие преобразовано в АООТ, затем- ОАО «Гидроавтоматика». По Указу Президента РФ № 1009 от 4.08.2004 г. вошло в число стратегических оборонных предприятий.</w:t>
      </w:r>
    </w:p>
    <w:p w14:paraId="4CF7F4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(-12.1940 г.)- А.И. Марочкин, (12.1940-41 г.-)- С.И. Павлов, (-07.1942-05.1945 г.-&gt; Гавриленко, (1966 г.)- Шишков. Гендиректор (1997 г.)- В. Г. Маценко, (2002 г.)- Н.М. Срывный, (2005 г.)- А.Н. Воронков.</w:t>
      </w:r>
    </w:p>
    <w:p w14:paraId="5F75AB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(2002 г.)- В.И. Сохнышев.</w:t>
      </w:r>
    </w:p>
    <w:p w14:paraId="4052F560" w14:textId="77777777" w:rsidR="000B0D4F"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640820">
        <w:rPr>
          <w:rFonts w:ascii="Times New Roman" w:hAnsi="Times New Roman"/>
          <w:color w:val="000000" w:themeColor="text1"/>
          <w:sz w:val="16"/>
          <w:szCs w:val="16"/>
        </w:rPr>
        <w:t>Финансовый директор (2002 г.)- А.В. Казбаев. Директор УМиК (2002 г.)- Б.Р. Балабанов.</w:t>
      </w:r>
      <w:r w:rsidRPr="00640820">
        <w:rPr>
          <w:rFonts w:ascii="Times New Roman" w:hAnsi="Times New Roman"/>
          <w:color w:val="000000" w:themeColor="text1"/>
          <w:sz w:val="16"/>
          <w:szCs w:val="16"/>
          <w:vertAlign w:val="superscript"/>
        </w:rPr>
        <w:t>69</w:t>
      </w:r>
    </w:p>
    <w:p w14:paraId="499C4B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ОКБ-305 МАП /г. Куйбышев/</w:t>
      </w:r>
    </w:p>
    <w:p w14:paraId="0BFAF0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Организовано в составе завода № 305 МАП с 1.03.1948 г. по распоряжению СМ СССР № 1090 от 3.02.1948 г. и приказу МАП № 97с от 1.03.1948 г. В 08.1957 г.- в ведении 1ГУ МАП.</w:t>
      </w:r>
    </w:p>
    <w:p w14:paraId="34D626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Разработка гидро- и топливной арматуры (краны и фильтры) (-1953-57 г.-). Затем было преобразовано в серийное заводское КБ.</w:t>
      </w:r>
    </w:p>
    <w:p w14:paraId="16A27C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(1948 г.-)- В.Л. Моисеенко (11982).</w:t>
      </w:r>
    </w:p>
    <w:p w14:paraId="728DE9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93643AD" w14:textId="77777777" w:rsidR="00165A9C" w:rsidRPr="00640820" w:rsidRDefault="00165A9C" w:rsidP="00640820">
      <w:pPr>
        <w:tabs>
          <w:tab w:val="left" w:pos="10700"/>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г. по приказу НКАП № 1057сс ОКБ завода № 16 гл. конструктора В.А. Добрынина и опытное производство (приказ № 1053сс от 9.10.1941 г.) эвакуированы в  г. Уфу на площадку завода № 384 НКАП. Здесь по приказу № 1167с от 15.11.1941 г. образовано самостоятельное ОКБ-250 НКАП под руководством В.А. Добрынина (ОКБ получило номер вне принятой системы обозначений предприятий- по марке разрабатываемого двигателя). Работы по двигателю М-250. ОКБ базировалось на части территории Протезного завода, который являлся одной из площадок объединенного завода № 26 НКАП.</w:t>
      </w:r>
    </w:p>
    <w:p w14:paraId="41CF1A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НКАП № 538с от 6.09.1943 г. ОКБ-250 в полном составе с 1.09.1943 г. переведено в Рыбинск на завод № 36 НКАП для обеспечения доводки двигателя М-250. Размещение шло в 10.1943 г. на площадях бывшего ОКБ завода № 26. По приказу № 13с от 5.01.1944 г. ОКБ введено в состав завода № 36.</w:t>
      </w:r>
    </w:p>
    <w:p w14:paraId="41457F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25.06.1946 г. получило название ОКБ-36-1 при заводе № 36. С 1947 г. получило название Щербаковское предприятие п/я 106 - ОКБ-36 МАП, с 1957 г.- Рыбинское предприятие п/я 106 - ОКБ-36 МАП. В 08.1957 г.- в ведении ЗГУ МАП.</w:t>
      </w:r>
    </w:p>
    <w:p w14:paraId="223A14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 правительства от 1.04.1952 г. ОКБ выдано задание на разработку ВД-5. Пост, от 6.07.1952 г. выдано задание на разработку ВД-7. Пост. СМ СССР от 30.07.1954 г. задавалось создание на базе ВД-5 двигателей ВД-5М и ВД-5Ф, пост, от 07.1955 г. их разработка прекращена в пользу ВД-7.</w:t>
      </w:r>
    </w:p>
    <w:p w14:paraId="292668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1.10.1966 г.- РКБМ (по приказу от 30.04.1966 г.), А-7970 (А-7470) (1967-69 г.), в 1984-89г,- Андроповское КБМ (АКБМ). С 1.12.1992 г.- АООТ «РКБМ», с 1996 г.- ОАО. 28.02.1997 г. влилось в ОАО «Рыбинские моторы». Численность работников (весна 1952 г.)- 1500 чел.</w:t>
      </w:r>
    </w:p>
    <w:p w14:paraId="417D63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(11.1941-56 г.)- В.А. Добрынин {28.05.1895-78 г.}, (1960-84 г.)- П.А. Колесов {1915-}, (1984- 88 г.)- В.И. Галигузов, (1988-97 г.)- А.С. Новиков, М.Л. Кузменко. Ген. конструктор (12.1956-60 г.)- В.А. Добрынин {28.05.1895-78 г.}, (1966 г.-)- С.А. Гаврилов {1914-83 г.}.</w:t>
      </w:r>
    </w:p>
    <w:p w14:paraId="0259C2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Ответственный руководитель (1943-60 г.)- В.А. Добрынин, (1960-84 г.)- П.А. Колесов, (1984-88 г.)- В.И. Галигузов. Гендиректор (1994-98 г.)- А.С. Новиков.</w:t>
      </w:r>
    </w:p>
    <w:p w14:paraId="488768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гл. конструктора (1986 г.-)- А.С. Новиков. Зам. гл. конструктора (1944-46 г.)-  Г.С. Скубачевский, (1950- е)- Е.М. Бермант; по расчетно-исследовательским работам (1984 г.-)- А.С. Новиков. Гл. конструкторы: (1962-66 г.)- С.А. Гаврилов, (1979 г.)- А.Л. Дынкин (РД-38). Начальник КО (1950-е  г.)- В.Н. Кувыркин.</w:t>
      </w:r>
    </w:p>
    <w:p w14:paraId="0DC341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Создано: авиационные двигатели ВД-ЗТК (М-251ТК, 1948), ВД-4К (М-253К, 1952), ВД-5 (1954), ВД-7 (1957), ВД-7М (1960), ВД-19 (1963), РД-7М2 (1963), РД36-35 (1964), РД36-41 (1968), РД36-51 (1969), РД-38 для Як-38 (1980), РД-41 (1982), РД-43, РД-51, РД-600В (1988), ТВД-1500 (1991), </w:t>
      </w:r>
      <w:r w:rsidRPr="00640820">
        <w:rPr>
          <w:rFonts w:ascii="Times New Roman" w:hAnsi="Times New Roman"/>
          <w:color w:val="000000" w:themeColor="text1"/>
          <w:sz w:val="16"/>
          <w:szCs w:val="16"/>
          <w:lang w:val="en-US"/>
        </w:rPr>
        <w:t>PM</w:t>
      </w:r>
      <w:r w:rsidRPr="00640820">
        <w:rPr>
          <w:rFonts w:ascii="Times New Roman" w:hAnsi="Times New Roman"/>
          <w:color w:val="000000" w:themeColor="text1"/>
          <w:sz w:val="16"/>
          <w:szCs w:val="16"/>
        </w:rPr>
        <w:t>3-320; ТРДЦ для БПЛА 36, 36МТ (2001); судовой дизель Д65А-С, дизели для экскаваторов Д65П, Д75П; маломощный авиационный дизель ДН-200 (1991) (11982).</w:t>
      </w:r>
    </w:p>
    <w:p w14:paraId="16BEEA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54271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г. на площадку завода № 384 НКАП (ГС Завод № 384 НКАП, Уфимский моторный завод НКСМ /г. Уфа/) эвакуировано ОКБ завода № 16 НКАП (приказ № 1057сс). Здесь на базе ОКБ и его опытного производства (эвакуированного по приказу № 1053сс от 9.10.1941 г. на площадку протезного завода) к 11.1941 г. образовано самостоятельное ОКБ-250 НКАП под руководством В.А. Добрынина. Кроме того, в 1941 г. в Уфу на площадку завода № 384 должен был быть эвакуирован завод № 291 НКАП (эвакуирован на площадку Завода горного оборудования) и влит в его состав. Также по приказу № 1053сс от 9.10.1941 г. на площадку литейного цеха завода № 384 должно было эвакуироваться оборудование и личный состав завода № 219 9ГУ НКАП (эвакуирован частично, часть- на площадку завода № 338). На площадку завода № 384 эвакуированы также Опытный завод и производственные лаборатории ЦИАТИМ НКАП и стройтрест № 11 НКАП.</w:t>
      </w:r>
    </w:p>
    <w:p w14:paraId="51164E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(10.1940-08.1941 г.)-  Г.Д. Брусникин, (08.1941 г.-&gt; В.П. Баландин (11982).</w:t>
      </w:r>
    </w:p>
    <w:p w14:paraId="5FC3C9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52883E3" w14:textId="77777777" w:rsidR="00EE5662" w:rsidRPr="00640820" w:rsidRDefault="00EE566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в день выдачи зарплаты в заводскую кассу завода № 31 пришли лишь начальники цехов и служб. Они получали деньги на весь цех или отдел, а потом выдавали их прямо в цехе. Были случаи  паники и бегства. В ночь на 11 октября 1941 года кто-то поджег склад летного имущества. В огне погибли сотни комплектов зимнего обмундирования, меховых и кожаных пальто и курток, унтов и другого ценного имущества. Арестовали братьев Боровиков из цеха № 17. Им был скорый суд, который дал по 10 лет. Но были ли они мародерами, и какова их судьба неясна и сегодня. Кто-то отпрашивался домой на два часа и не возвращался. Немцы сбрасывали самолетов листовки, в которых призывали не выходить на работу, угрожали, что будут бомбить завод. Но люди работали. Фабрика-кухня работала круглосуточно. Питание было бесплатным. </w:t>
      </w:r>
    </w:p>
    <w:p w14:paraId="2E589646" w14:textId="77777777" w:rsidR="00EE5662" w:rsidRPr="00640820" w:rsidRDefault="00EE566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Темпы эвакуации с каждым часом нарастали. Параллельно с железной дорогой, часть имущества и людей вывозили морем через порт на Ейск. Так эвакуировали цех шасси из авиатехникума, часть семей, живших в центральной части города. В порту стояли под парами пять пароходов, на которые было погружено 380 единиц оборудования, оснастки, правда, из 1000 работавших в цехе, уехали только 400. 12 октября днем немцы совершили авианалет на город, сбросили насколько бомб на центр, порт, вокзал и завод «Красный гидропресс». На наш завод попали всего две бомбы. Одна упала на аэродром на опустевшую уже самолетную стоянку, другая грохнула возле морского ангара, несколько человека было ранено. Но паники не было. Ежедневно с завода уходили эшелоны. В ночь на 12 октября неизвестный звонил начальникам цехов и требовал срочно вывести людей с завода, ввиду того, что скоро начнут взрывать цеха. Группа начальников цехов А.Н. Веретенников, И.И. Ходак, М.С. Делерзон и другие получившие такой телефонный приказ, объявили по цехах о выходе с заводской территории. Вскоре в предутренней темноте у проходных собралось много народу. Но выяснилось быстро, что никакой команды покинуть завод руководство не отдавало и взрывать пока никто ничего не будет. Налицо была провокация. </w:t>
      </w:r>
    </w:p>
    <w:p w14:paraId="1789CA2F" w14:textId="77777777" w:rsidR="00EE5662" w:rsidRPr="00640820" w:rsidRDefault="00EE566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прилегающем к заводу сквере состоялся митинг, на котором выступили начальник цеха Ходак, заместитель секретаря парткома Афанасьев, директор завода Агаджанов. Во время митинга послышался гул самолетов, люди стали разбегаться, но потом выяснилось, что это наши. Митинг продолжился. Все вернулись на свои места, но было потеряно 6-8 часов драгоценного времени. Теперь к каждому начальнику был прикреплен офицер, с которым нужно было согласовывать все действия. Это было естественно и необходимо после ночной провокации. Приходящие на завод вагоны нужно было приготовить к дальней поездке. Вагоны нужно было почистить от мусора, навоза, грязи, установить металлические или деревянные стойки, сделать нары, поставить печи-буржуйки, запастись дровами и углем, водой. На дворе октябрь, и было холодно. Эшелоны отправляли один за другим, по мере готовности. Кто-то отставал от поезда, разъединялись в суматохе семьи. Немцы несколько раз бомбили пути на подходе к станции Марцево, но каждый раз их быстро восстанавливали, и удавалось буквально протолкнуть еще один эшелон, потом другой, третий… </w:t>
      </w:r>
    </w:p>
    <w:p w14:paraId="1C1E1CE2" w14:textId="77777777" w:rsidR="00EE5662" w:rsidRPr="00640820" w:rsidRDefault="00EE566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14 октября с завода отправляли объединенный эшелон из 63 вагонов. В этом поезде кроме оборудования на открытых платформах, в 20 вагонах было около 600 человек. Эшелон с трудом потащили два маневровых заводских паровозика типа ОВ («овечки» в просторечье). Они долго не могли стронуть состав с места, но потом </w:t>
      </w:r>
      <w:r w:rsidRPr="00640820">
        <w:rPr>
          <w:rFonts w:ascii="Times New Roman" w:hAnsi="Times New Roman"/>
          <w:color w:val="000000" w:themeColor="text1"/>
          <w:sz w:val="16"/>
          <w:szCs w:val="16"/>
        </w:rPr>
        <w:lastRenderedPageBreak/>
        <w:t>тихо потянули его в сторону Марцево. Этот эшелон с приключениями шел до Тбилиси почти 2 недели. Руководил этим поездом начальник железнодорожного отдела завода Симаков. Только 17 октября, когда немцы уже взяли Таганрог, этот эшелон прибыл на станцию Тихорецкую. Потом медленно двигался по перегруженным магистралях на Баку, а там их повернули на Тбилиси (18580).</w:t>
      </w:r>
    </w:p>
    <w:p w14:paraId="4A46B93B" w14:textId="77777777" w:rsidR="00EE5662" w:rsidRPr="00640820" w:rsidRDefault="00EE5662" w:rsidP="00640820">
      <w:pPr>
        <w:spacing w:after="0" w:line="240" w:lineRule="auto"/>
        <w:jc w:val="both"/>
        <w:rPr>
          <w:rFonts w:ascii="Times New Roman" w:hAnsi="Times New Roman"/>
          <w:color w:val="000000" w:themeColor="text1"/>
          <w:sz w:val="16"/>
          <w:szCs w:val="16"/>
        </w:rPr>
      </w:pPr>
    </w:p>
    <w:p w14:paraId="163CEF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г. по приказу № 1057сс завод (Завод № 445 НКСП, НКАП /г. Тушино Московской обл.;  г. Алапаевск Свердловской обл./) должен был эвакуироваться в Свердловск на планерный завод № 493 НКАП. Однако, этот завод был передан в ЗГУ для размещения завода № 28 НКАП. Тем не менее из-за неразберихи руководство и часть оборудования завода № 445 все же прибыли на завод № 493. Основная часть личного состава, оборудования и документации завода № 445 оказались в  г. Шумерля на заводе № 471 НКАП. Здесь началось возобновление выпуска планера А-7. По приказу № 1088сс от 1.11.1941 г. планировалось влить завод № 445 в состав завода № 471. Но затем по приказу № 1179с от 31.12.1941 г. завод эвакуирован в Алапаевск на площадку деревообрабатывающего комбината НКЧМ. Здесь в его состав влит завод № 493 НКАП. С начала 1942 г. освоен выпуск десантного планера А-7. Завод № 445 действовал в системе 11 ГУ. Налажено также производство крыльев самолета Ил-2 для завода № 381 НКАП.</w:t>
      </w:r>
    </w:p>
    <w:p w14:paraId="3ACDAC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площадке эвакуированного завода в Тушино образовался филиал завода № 445. Сюда реэвакуирован из Тюмени завод № 464 НКАП и в результате слияния образован единый завод № 464.</w:t>
      </w:r>
    </w:p>
    <w:p w14:paraId="7F5C63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ГКО № 3028сс от 12.03.1943 г. и приказом № 174с от 27.03.1943 г. завод № 445 был реэвакуирован в Москву и выбыл из состава действующих. Заводу № 81 НКАП были переданы кадры и оборудование по деревообработке, остальной личный состав, оборудование и материалы переданы заводу № 464 НКАП.</w:t>
      </w:r>
    </w:p>
    <w:p w14:paraId="166AD5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(1941-05.1942 г.-)- П.П. Перовский.</w:t>
      </w:r>
    </w:p>
    <w:p w14:paraId="1B7EFE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Гл. конструктор (09.1941 г.-)- </w:t>
      </w:r>
      <w:r w:rsidRPr="00640820">
        <w:rPr>
          <w:rFonts w:ascii="Times New Roman" w:hAnsi="Times New Roman"/>
          <w:color w:val="000000" w:themeColor="text1"/>
          <w:sz w:val="16"/>
          <w:szCs w:val="16"/>
          <w:lang w:val="en-US"/>
        </w:rPr>
        <w:t>O</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K</w:t>
      </w:r>
      <w:r w:rsidRPr="00640820">
        <w:rPr>
          <w:rFonts w:ascii="Times New Roman" w:hAnsi="Times New Roman"/>
          <w:color w:val="000000" w:themeColor="text1"/>
          <w:sz w:val="16"/>
          <w:szCs w:val="16"/>
        </w:rPr>
        <w:t>. Антонов.</w:t>
      </w:r>
    </w:p>
    <w:p w14:paraId="71F722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(1942 г.)- В.И. Левков.</w:t>
      </w:r>
    </w:p>
    <w:p w14:paraId="30F7A2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ЦКБ-1 гл. конструктора В.И. Левкова НКСП, НКАП</w:t>
      </w:r>
    </w:p>
    <w:p w14:paraId="27311E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Профессор В.И. Левков начал работы по судам на воздушной подушке (СВП) в 1927 г. в Новочеркасском политехническом институте, затем руководил ОТБ при МАИ. ОТБ имело производственную базу на заводе № 84. В 1938 г. ОКБ базировалось на заводе № 84. Созданы катера: Л-1 (1934 г.); Л-5 (1937 г.), пнв как ТКЛ-1 (торпедный катер Левкова) в 1939 г. и стал первым в мире боевым СВП.</w:t>
      </w:r>
    </w:p>
    <w:p w14:paraId="226C29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НКСП от 11.03.1939 г. Левков назначен начальником/ гл. конструктором самостоятельного ЦКБ-1 с производственной базой - заводом № 445 НКСП. Продолжены работы по созданию аппаратов на воздушной подушке и воздушных торпед. Созданы катера: Л-9 (1939 г.), Л-11, Л-13 (1941 г.).</w:t>
      </w:r>
    </w:p>
    <w:p w14:paraId="2A850A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1179с от 31.12.1941 г. ЦКБ-1 вместе с заводом эвакуировано в Алапаевск на площадку деревообрабатывающего комбината. Левков назначен гл. инженером завода. В 1942-43 г. Левков разработал проект торпедного катера на воздушной подушке, пр. 171. В 01.1944 г. проект был утвержден в НКСП, но дальше работы не пошли.</w:t>
      </w:r>
    </w:p>
    <w:p w14:paraId="4D0319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(11.03.1939-44 г.-)- В.И. Левков {-2.01.1954} (11982).</w:t>
      </w:r>
    </w:p>
    <w:p w14:paraId="0AFDAB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0B059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г. по приказу № 1057сс часть завода (ГС Завод № 49 НКАП / г. Балашиха Московской обл. ш. Энтузиастов, 19-й км;  г.Уфа Сталинский район/) эвакуирована в Уфу на площадку строящегося гаража НКВД, где завод продолжил действовать под своим номером. Металлургия, производство металлорежущего инструмента.</w:t>
      </w:r>
    </w:p>
    <w:p w14:paraId="486A3A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69с/06 от 4.02.1943 г. производственные корпуса на старом месте переданы во временное пользование заводу № 219 НКАП.</w:t>
      </w:r>
    </w:p>
    <w:p w14:paraId="2E54B8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1.01.1945 г. завод № 49 влит в состав завода № 150 НКАП (приказ НКАП № 9с от 16.01.1945 г.). Помещения и площади завода в Уфе переданы Уфимскому авторемонтному заводу НК автомобильного транспорта РСФСР (приказ № 1 Юс от 21.03.1945 г.) и Наркомзему Башкирской АССР (приказ № 118с от 26.03.1945 г.).</w:t>
      </w:r>
    </w:p>
    <w:p w14:paraId="0346E1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(1941 г.)- Волошенко, (-08.1942-09.1943 г.-)- Антипов (11982).</w:t>
      </w:r>
    </w:p>
    <w:p w14:paraId="514E1B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C772935" w14:textId="77777777" w:rsidR="005D691F" w:rsidRPr="00640820" w:rsidRDefault="005D691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г. был издан приказ Наркомата авиационной промышленности об эвакуации в Уфу опытно-конструкторского бюро Воронежского авиамоторного завода № 16, которое было образовано в 1939 г. в Московском авиационном институте для создания высотного авиадвигателя мощностью 2300 л. с. Для постройки разработанного мотора М-250 ОКБ в 1940 г. переведено в Воронеж на завод № 16, а в октябре 1941 г. эвакуировано в Башкирию. В Уфе на площадке № 3 завода № 384 (территория бывшего Уфимского протезного завода) был организован механический цех авиамоторного завода № 16, в котором разместилось конструкторское бюро, получившее наименование ОКБ-250. Его коллектив, возглавляемый главным конструктором В. А. Добрыниным, занимался постройкой испытательных стендов, изготовлением деталей и узлов двигателя М-250. В сентябре 1943 г. ОКБ было переведено в г. Рыбинск (19705).</w:t>
      </w:r>
    </w:p>
    <w:p w14:paraId="4274BC62" w14:textId="77777777" w:rsidR="005D691F" w:rsidRPr="00640820" w:rsidRDefault="005D691F" w:rsidP="00640820">
      <w:pPr>
        <w:spacing w:after="0" w:line="240" w:lineRule="auto"/>
        <w:jc w:val="both"/>
        <w:rPr>
          <w:rFonts w:ascii="Times New Roman" w:hAnsi="Times New Roman"/>
          <w:color w:val="000000" w:themeColor="text1"/>
          <w:sz w:val="16"/>
          <w:szCs w:val="16"/>
        </w:rPr>
      </w:pPr>
    </w:p>
    <w:p w14:paraId="136BC5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г. по приказу № 1057сс на площадку завода (Завод № 124/27 НКТП, НКОП, Завод № 124 НКАП им. С. Орджоникидзе, «Казмашстрой», п/я 22 / г. Казань/) и в КАИ эвакуирована часть подазделений ЦАГИ. Затем они преобразованы в Казанский филиал ЦАГИ. По приказу № 640с от 26.10.1943 г. Казанский филиал ЦАГИ был ликвидирован, а корпуса переданы КАИ (11982).</w:t>
      </w:r>
    </w:p>
    <w:p w14:paraId="28785D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CB2CD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г. в соответствии с приказом № 1057сс от на часть производственной площадки завода № 280 эвакуирован Институт авиационного приборостроения (НИИ-12). В соответствии с пост. ГКО № 4367с от 2.03.1942 г. и приказом № 177с от 8.03.1942 г. институт был возвращен из Ульяновска на старую площадку с оборудованием и личным составом (11982).</w:t>
      </w:r>
    </w:p>
    <w:p w14:paraId="627BB2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E8777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г. приказом № 1057сс в соответствии с пост. Совета по эвакуации № СЭ-147сс от 10.10.1941 г. завод № 132 4ГУ НКАП (Завод № 132 НКТП, НКОП, НКАП, Завод № 1 УВВС, нктп, Симский механический завод («Симза»), Симское агрегатное ПО, АООТ, ОАО «Агрегат» /г. Москва ул. Бутырская, 58/ /456020  г. Сим Инжерского р-на Челябинской обл. ул. Пушкина, 1 тел. 35-89-90/) эвакуируется в  г. Сим Челябинской обл. на площадку арматурного завода, где к тому времени уже расположился эвакуированный из Москвы завод № 444 НКАП. По приказу № 1097с от 5.11.1941 г. заводы объединены в единый завод № 132 НКАП (Симский механический завод).</w:t>
      </w:r>
    </w:p>
    <w:p w14:paraId="6E0ED3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площадке эвакуированного завода в Москве по приказу № 46с от 17.01.1942 г. образованы Агрегатные ремонтно-механические мастерские № 132. По приказу № 281с от 14.04.1942 г. они получили статус филиала завода № 132 НКАП. Ремонт изделий, выпускаемых заводом № 132. В середине 1942 г. сюда переведен агрегатный завод №451.</w:t>
      </w:r>
    </w:p>
    <w:p w14:paraId="49E4CE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206сс от 21.03.1944 г. с завода № 132 переведено большое количество станков, рабочих и ИТР для укрепления производства на завод № 451 НКАП. В начале 1944 г. часть специалистов завода была переведена на завод № 487 для освоения выпуска топливных агрегатов.</w:t>
      </w:r>
    </w:p>
    <w:p w14:paraId="69DCFA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СМ СССР № 713-342 от 26.06.1957 г. передан в ведение СНХ РСФСР.</w:t>
      </w:r>
    </w:p>
    <w:p w14:paraId="5D7D8E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02.1981 г. на базе Симского механического завода создано Симское агрегатное ПО (САПО).</w:t>
      </w:r>
    </w:p>
    <w:p w14:paraId="34CB51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01.1993 г. САПО преобразовано в АООТ «Агрегат», в 1996 г.- в ОАО. По решению правительства № 22-р от 9.01.2004 г. вошло в перечень стратегических предприятий. В 2005 г. ОАО «Агрегат» входило в состав ММПП «Салют».</w:t>
      </w:r>
    </w:p>
    <w:p w14:paraId="7709A6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(2002 г.): авиационные агрегаты: антиюзовые автоматы торможения, гидроагрегаты (клапаны, реле давления, фильтры, выключатели и редукторы), агрегаты запуска двигателей, регуляторы в/винтов, регуляторы сопла и форсажа, регуляторы расхода топлива, пневморегуляторы, насосы: плунжерные, шестеренные; аврийно-спасательный инструмент для МЧС; автозапчасти; шаровые краны.</w:t>
      </w:r>
    </w:p>
    <w:p w14:paraId="4852D1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(2002 г.)- 3500 чел.</w:t>
      </w:r>
    </w:p>
    <w:p w14:paraId="2C48D4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Директор (-05.1937-15.06.1938 г.)- Д.М. Соколов, (4.08-22.10.1938 г.)- М.И. Белгородский, (22.10.1938- 04.1942 г.)-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xml:space="preserve">. Ивайкин, (1942-44 г.)-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Лурье, (03.1946 г.)- Антонов. Гендиректор (1982-87 г.)- И.А. Пудовкин, (1987-94 г.)- В.Ф. Давыдов, (-2002-05 г.-)- В.Д. Изюмов.</w:t>
      </w:r>
    </w:p>
    <w:p w14:paraId="00FD25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Зам. директора: (06.1937 г.)- Д.Л. Авербах; по МФВ (-1942 г.)-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Лурье.</w:t>
      </w:r>
    </w:p>
    <w:p w14:paraId="0A96C9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технический (2002 г.)- В.П. Станинов; коммерческий (2002 г.)- А.И. Мотошков.</w:t>
      </w:r>
    </w:p>
    <w:p w14:paraId="55BA12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(06.1937 г.)- Д.Л. Авербах, (1941 г.)- А.А. Мышленков.</w:t>
      </w:r>
    </w:p>
    <w:p w14:paraId="5E5EA4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Гл. конструктор (-04.1940 г.)-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Груничев, (24.12.1940 г.-)- А.Н. Петелин.</w:t>
      </w:r>
    </w:p>
    <w:p w14:paraId="6FE170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производства (1941 г.)- М.Н. Вишневский.</w:t>
      </w:r>
    </w:p>
    <w:p w14:paraId="36AF23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ОТК (05.1938 г.)- Авраменко; маркетинго-сбытового (2002 г.)- С.А. Арсеньев.</w:t>
      </w:r>
    </w:p>
    <w:p w14:paraId="77F8B1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Производство: регуляторы оборотов в/винта: Р-2 к мотору АМ-35А (1940), Р-7 (ВОВ), Р7Ф, Р9СМ2 (1946-), Р68А (1957-), Р68ДК-24 для АИ-24 (1975), Р90 (1975); самопуск (инерционный стартер) РИМ-У-24 для М-71 (1940); электролебедки; компрессоры; подогреватель мотора ПБП-2 (1940); переносная лампа АПЛ; автомат давления АД-50 (ВОВ); насос ПН-1 (ВОВ); магнето (ВОВ); агрегаты управления створками сопла и форсажной камеры: для Ту-16 (1950), РСФ55Б (1975), РСФ59А, РСФ31Б, РСФ85 для МиГ-29 и Су-27; агрегаты автоматического торможения колес, инерционные датчики для Ту-16 (1950-); агрегаты АКП-5, АКП-7 для Ил-Кб (1953); автомат регулирования подачи топлива РПТ1А для ПРД (1962-); регулятор расхода РР3048М (1980-е); плунжерный насос НП92А для Ми-8 (1975); гидромашина ГП16 для Ту-144 (1975); рулевые машинки ТА-41Б, ТА-42Б для ракеты А-350 (1975), газовая рулевая машинка ФАП-4В (1975); блок автоматики </w:t>
      </w:r>
      <w:r w:rsidRPr="00640820">
        <w:rPr>
          <w:rFonts w:ascii="Times New Roman" w:hAnsi="Times New Roman"/>
          <w:color w:val="000000" w:themeColor="text1"/>
          <w:sz w:val="16"/>
          <w:szCs w:val="16"/>
        </w:rPr>
        <w:lastRenderedPageBreak/>
        <w:t>БУМ235С, маслоагрегат МА222, гидроаккумулятор ГА222 (2000-е); гидрораспределители и редукционные клапаны для Ил- 96, Як-130, МиГ-АТ, Ту-204, Ту-334, Бе-200 (2000-е); насосы шестеренные для наземной техники НШ-4, НШ-10, НШ-32, НШ-50, НШ-100 (2002); бытовая швейная машина «Бежа» (2002) (11982).</w:t>
      </w:r>
    </w:p>
    <w:p w14:paraId="1ABA01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CD394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г. по приказу № 1057сс завод № 482 11ГУ НКАП (ГС Завод № 482 НКСП /г. Москва Ново-Владыкино; Ленинградское ш., 55 (1944 г.-)/) был эвакуирован в  г. Козловка на площадку завода № 494 НКАП. Директор завода в эвакуации- А .Я. Щербаков. Затем 31 декабря 1941 г. по приказу № 1178с  завод № 482 (ГС Завод № 482 НКСП /г. Москва Ново-Владыкино; Ленинградское ш., 55 (1944 г.-)/) влит в состав завода № 494. Выбыл из списка действующих.</w:t>
      </w:r>
    </w:p>
    <w:p w14:paraId="0BF95B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площадке эвакуированного завода с 10.1941 г. был образован ремонтный завод № 482 в системе Ремотдела (далее- 6ГУ) НКАП. Директор- А.Я. Щербаков (затем одновременно- начальник 6ГУ). По приказу № 1092с от 4.11.1941 г. один корпус завода был передан в НКБ для производства запалов.</w:t>
      </w:r>
    </w:p>
    <w:p w14:paraId="784938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СНК № 913-472сс от 11.06.1942 г. завод № 482 был возвращен в Москву, действовал в системе Главремуправления. В 1942 г.- работы по гермокабинам для Як-7 и ЛаГГ-3, подвесным кабинам к У-2 и Р-5.</w:t>
      </w:r>
    </w:p>
    <w:p w14:paraId="2BFBA6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633с от 18.08.1942 г. в состав завода был передан из ЮГУ филиал завода № 23 НКАП (бывшая Нотнопечатная фабрика) для организации производства запчастей ремонтируемых самолетов. В 1942 г. заводу № 482 планировалось передать механические цеха завода № 169 НКАП (бывший завод № 45). По приказу № 798с от 23.10.1942 г. филиал завода № 482 (механические мастерские) передан заводу № 301 НКАП для ремонта и изготовления плоскостей самолета Як-7.</w:t>
      </w:r>
    </w:p>
    <w:p w14:paraId="70210C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655с от 11.11.1943 г. завод № 482 передан из 6ГУ в 7ГУ (в опытные). Работы по ремонту и выпуску запчастей переданы на другие заводы 6ГУ.</w:t>
      </w:r>
    </w:p>
    <w:p w14:paraId="3EFA41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завода с 06.1943 г.- В.М. Мясищев (одновременно он- гл. конструктор и руководитель ОКБ-22 завода № 22 НКАП в Казани).</w:t>
      </w:r>
    </w:p>
    <w:p w14:paraId="21C033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1943 г. на заводе № 482 образован филиал ОКБ-22.</w:t>
      </w:r>
    </w:p>
    <w:p w14:paraId="657C39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имел свой аэродром на Ходынке (1943  г.).</w:t>
      </w:r>
    </w:p>
    <w:p w14:paraId="69BAD1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Существовал филиал завода № 482 в Москве. Приказом № 277с от 7.05.1943 г. помещения филиала переданы под размещение НИСО.</w:t>
      </w:r>
    </w:p>
    <w:p w14:paraId="3EF43A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424с от 5.07.1944 г. завод № 482 перебазирован на площадку ликвидируемого завода № 89 НКАП (Ленинградское ш., 55) и слит с его частью под прежним названием- завод № 482. Мясищеву передана часть оборудования и личного состава завода № 89.</w:t>
      </w:r>
    </w:p>
    <w:p w14:paraId="3A7F62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старой территории (Ново-Владыкино) оставлена небольшая часть личного состава (в основном, охрана и обслуживающий персонал). По приказу № 655с от 11.11.1944 г. эта территория передана НИИ-1 НКАП для организации работ по реактивной авиации (образован филиал № 2 НИИ-1).</w:t>
      </w:r>
    </w:p>
    <w:p w14:paraId="43E40E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Далее, с 09.1944 г. (завершено в начале 1945 г.) сюда переведена из Казани основная часть ОКБ-22 В.М. Мясищева и влита в состав завода № 482.</w:t>
      </w:r>
    </w:p>
    <w:p w14:paraId="1F19FD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1946 г. ОКБ завода № 482 гл. конструктора В.М. Мясищева ликвидировано. В соответствии с пост. СМ от 1.02.1946 г. и приказом № 61с от 20.02.1946 г. после ликвидации ОКБ-482 завод № 482 был передан со всем оборудованием и личным составом заводу № 240 НКАП гл. конструктора С.В. Ильюшина.</w:t>
      </w:r>
    </w:p>
    <w:p w14:paraId="432BC9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(04.1941-42 г.)- А .Я. Щербаков; и.о. директора (01-05.1943 г.)- Б.А. Новосельский; (06.1943-11.1944 г.- )- Я.М. Каневский.</w:t>
      </w:r>
    </w:p>
    <w:p w14:paraId="01D51D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(04.1941 г.-)- А.И. Меркулов.</w:t>
      </w:r>
    </w:p>
    <w:p w14:paraId="67D301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(1941-06.1943 г.)- А.Я. Щербаков, (06.1943-46 г.)- В.М. Мясищев.</w:t>
      </w:r>
    </w:p>
    <w:p w14:paraId="24E87B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(1946 г.-)- Е.П. Шекунов.</w:t>
      </w:r>
    </w:p>
    <w:p w14:paraId="05E5DD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конструктора (04.1941 г.-)- А.И. Меркулов.</w:t>
      </w:r>
    </w:p>
    <w:p w14:paraId="5E7430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гл. конструктора А.Я. Щербакова при заводе № 482 НКАП</w:t>
      </w:r>
    </w:p>
    <w:p w14:paraId="2A707F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296с от 4.04.1941 г. с завода № 289 НКАП на вновь образованный завод № 482 к 15.04.1941 г. переведено со всем оборудованием и личным составом ОКБ гл. конструктора А.Я. Щербакова и специальная конструкторская группа А.И. Меркулова.</w:t>
      </w:r>
    </w:p>
    <w:p w14:paraId="38E7C7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по гермокабинам и реактивным двигателям для опытных высотных самолетов. Испытывались И-15бис и И-153 с дополнительными ПВРД. Был проект самолета с дополнительным ЖРД. Оборудование Як-7 ВРД ДМ- 4. Кроме того, работы по оборудованию самолета У-2 поплавками и подвесными кассетами (1942 г.).</w:t>
      </w:r>
    </w:p>
    <w:p w14:paraId="2EDCE8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1037с от 2.10.1941 г. практически все работы по высотно-скоростным самолетам были свернуты (оставлена только доводка опытного планера СП-1 и работы по высотным кабинам). Одновременно по приказу № 1044с от 6.10.1941 г. для развития работ по авиационным ВРД группа А.И. Меркулова с тех. документацией, оборудованием и опытными изделиями (ВРД ДМ-1, ДМ-2, ДМ-4, ДМ-4бис, ДМ-11) переведена с завода № 482 в лабораторию № 1 ЦАГИ.</w:t>
      </w:r>
    </w:p>
    <w:p w14:paraId="6BE139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концу 1942 г. создан Ще-2 (ведущий конструктор- И.В. Ляпин, ведупЦш по производству- В.В. Вентцель).</w:t>
      </w:r>
    </w:p>
    <w:p w14:paraId="3A77DA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 приказу № 367сс от 22.06.1943 г. Щербаков освобожден от должности гл. конструктора завода № 482. В конце 1943 г. еще велись совместные работы Щербакова с ОКБ Мясищева по доводке гермокабин Як-7Б, </w:t>
      </w:r>
      <w:r w:rsidRPr="00640820">
        <w:rPr>
          <w:rFonts w:ascii="Times New Roman" w:hAnsi="Times New Roman"/>
          <w:color w:val="000000" w:themeColor="text1"/>
          <w:sz w:val="16"/>
          <w:szCs w:val="16"/>
          <w:lang w:val="en-US"/>
        </w:rPr>
        <w:t>JIa</w:t>
      </w:r>
      <w:r w:rsidRPr="00640820">
        <w:rPr>
          <w:rFonts w:ascii="Times New Roman" w:hAnsi="Times New Roman"/>
          <w:color w:val="000000" w:themeColor="text1"/>
          <w:sz w:val="16"/>
          <w:szCs w:val="16"/>
        </w:rPr>
        <w:t>-5 и Пе-2ВИ.</w:t>
      </w:r>
    </w:p>
    <w:p w14:paraId="2303F4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Затем в соответствии с пост. ГКО № 4194с от 24.09.1943 г. и приказом № 573с от 25.09.1943 г. Щербаков назначен гл. конструктором завода № 47. Тем же приказом личный состав (48 чел.), оборудование, документация и опытный образец Ще-2 № 01 к 10.1943 г. переведены на завод № 47.</w:t>
      </w:r>
    </w:p>
    <w:p w14:paraId="69C599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Филиал ОКБ завода № 22 гл. конструктора В.М. Мясищева, ОКБ-482 НКАП, МАП /г. Москва/</w:t>
      </w:r>
    </w:p>
    <w:p w14:paraId="5CA34B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ГКО № 3601 от 18.06.1943 г. и приказом № 367сс от 22.06.1943 г. при заводе № 482 образован филиал ОКБ завода № 22 по боевым высотным самолетам, и сюда из Омска с завода № 288 переведена часть коллектива и оборудования отдела «102» гл. конструктора В.М. Мясищева. Завод передан в распоряжение Мясищева. Тем же приказом основной конструкторский состав Мясищева переведен с завода № 288 в ОКБ и опытный цех завода № 22.</w:t>
      </w:r>
    </w:p>
    <w:p w14:paraId="7F8C50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гибели В.М. Петлякова в 06.1943 г. В.М.Мясищев возглавил его ОКБ-22 НКАП, занимавшееся созданием модификаций Пе-2. Одновременно оставался гл. конструктором ОКБ-482 НКАП.</w:t>
      </w:r>
    </w:p>
    <w:p w14:paraId="44FD85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Далее, с 09.1944 г. (завершено в начале 1945 г.) на завод № 482 переведена из Казани основная часть ОКБ-22 В.М. Мясищева (часть ОКБ, видимо, осталась на заводе № 22 для участия в работах по Б-4) и влита в состав завода № 482.</w:t>
      </w:r>
    </w:p>
    <w:p w14:paraId="4CE830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 № 358 от 27.05.1944 г. на базе Пе-2 начата разработка скоростного бомбардировщика ДБ-108. Построено несколько опытных машин: ВМ-16 (ДБ-1-108, 5.03.1945 г.); ВМ-17 (ДБ-П-108, 06.1945 г.), на его базе по пр. № 270 от 29.06.1945 г. разработан двухместный истребитель сопровождения ДИС; ВМ-18 (ДБ-</w:t>
      </w:r>
      <w:r w:rsidRPr="00640820">
        <w:rPr>
          <w:rFonts w:ascii="Times New Roman" w:hAnsi="Times New Roman"/>
          <w:color w:val="000000" w:themeColor="text1"/>
          <w:sz w:val="16"/>
          <w:szCs w:val="16"/>
          <w:lang w:val="en-US"/>
        </w:rPr>
        <w:t>IV</w:t>
      </w:r>
      <w:r w:rsidRPr="00640820">
        <w:rPr>
          <w:rFonts w:ascii="Times New Roman" w:hAnsi="Times New Roman"/>
          <w:color w:val="000000" w:themeColor="text1"/>
          <w:sz w:val="16"/>
          <w:szCs w:val="16"/>
        </w:rPr>
        <w:t>-108, 1945 г.); высотный ВБ-109 (ВМ-19), построен в 08.1945 г.</w:t>
      </w:r>
    </w:p>
    <w:p w14:paraId="028E1B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1945 г. под руководством Мясищева проводилось изучение трофейных Ме-262; разрабатывались проекты тяжелых бомбардировщиков ДВБ-202 (ВМ-22, 1945 г.) и ДВБ-302 (ВМ-23, 1945 г.) (закрыты распоряжением Сталина, в связи с разработкой Ту-4). Разработан проект первого реактивного бомбардировщика РБ-17 (ВМ-24), в 1946 г. пост. № 2548-1065 работы прекращены.</w:t>
      </w:r>
    </w:p>
    <w:p w14:paraId="20B270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01.1946 г. ОКБ-482 НКАП закрыто, его сотрудники (в т.ч. конструкторы Д.А. Аверьянова, В.И. Горюнов, Б .Я. Каплиенко, М.И. Карасева, Н.И. Кубышкин, Н.М. Либерхейн, В.А. Лихачев, Д.С. Лозинский, Т.М. Никишова, В.А. Орлов, В.Н. Петрова, П.И. Прокофьев, В.В. Рогов, В.Д. Смирнов, В.М. Шокин) переведены в ОКБ-240. Мясищев назначен деканом самолетостроительного факультета МАИ.</w:t>
      </w:r>
    </w:p>
    <w:p w14:paraId="78970B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(1944-46 г.)- В.М. Мясищев.</w:t>
      </w:r>
    </w:p>
    <w:p w14:paraId="559D73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Ведущие конструкторы: (1944-01.1946 г.)- Л.Л. Селяков (ДВБ-202, -302, РБ-17), (1945 г.)- М.К. Янгель (ВБ- 109) (11982).</w:t>
      </w:r>
    </w:p>
    <w:p w14:paraId="146473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C9DAD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г. приказом № 1057сс в соответствии с пост. ГКО № 213сс от 20.07.1941 г. завод № 487 им. КПГ (ГС Завод № 487 НКАП им. Коммунистической партии Германии (КПГ), Завод им. КПГ НКОМ /г. Москва/) планировалось эвакуировать на площадку завода № 455 НКАП. Затем по приказу № 1109сс от 11.11.1941 г. часть завода № 487 (около 30 %) эвакуирована в Куйбышев и (70 %) в Сызрань. В Сызрани завод был влит в состав эвакуированного туда же завода № 481 НКАП, а в Куйбышеве- в состав завода № 454 НКАП. Завод № 487 выбыл из числа действующих.</w:t>
      </w:r>
    </w:p>
    <w:p w14:paraId="7819F9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площадке эвакуированного завода № 487 в начале 1942 г. образован Московский филиал завода № 481 НКАП, далее вновь преобразованный в самостоятельный завод № 487 НКАП.</w:t>
      </w:r>
    </w:p>
    <w:p w14:paraId="179446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(04.1941 г.-&gt; Самсонов, (06.1941 г.-)- Степанов, (08.1941 г.)- М.П. Озимков (с 01.1942 г.- начальник Реммастерских на месте завода № 207).</w:t>
      </w:r>
    </w:p>
    <w:p w14:paraId="2E63FF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(1941 г.)- И.П. Шебанов.</w:t>
      </w:r>
    </w:p>
    <w:p w14:paraId="4D3D1993" w14:textId="77777777" w:rsidR="000B0D4F"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(1940-41 г.) стрелковые башни М-42, установки ШВАК для ТБ-7, бомбовые кассеты КМБ-2, лафеты пушек для Су-2 и Ил-2, балки РО-132 (2РУ-322), РО-82 (2РУ-223), электроспуски М-10, аварийные бомбосбрасыватели для Су-2.</w:t>
      </w:r>
    </w:p>
    <w:p w14:paraId="3C0AF3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завода № 487 НКАП, ОКБ-487 НКАП гл. конструктора И.П. Шебанова</w:t>
      </w:r>
    </w:p>
    <w:p w14:paraId="0B2DFE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280сс от 10.06.1940 г. на заводе им. КПГ был образован Опытный отдел по проектированию и изготовлению опытных образцов установок стрелкового вооружения. Сюда в. полном составе переведена с завода № 32 бригада КБ-3 гл. конструктора И.П. Шебанова, а также часть оборудования с завода № 32, и образовано КБ при заводе под его руководством (ОКБ-487). Начальник опытного цеха- А.А. Ляпин, его зам.- К.А. Бацын.</w:t>
      </w:r>
    </w:p>
    <w:p w14:paraId="7E96C5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по установкам вооружения: установка ШКАС для Пе-2 и «103».</w:t>
      </w:r>
    </w:p>
    <w:p w14:paraId="792333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32/35 от 13.10.1941 г. ОКБ-487 7ГУ гл. конструктора И.П. Шебанова вместе с частью завода эвакуировано на территорию завода № 454 НКАП в Куйбышев и продолжило работу под названием ОКБ-454 (11982).</w:t>
      </w:r>
    </w:p>
    <w:p w14:paraId="567C0008" w14:textId="77777777" w:rsidR="000B0D4F" w:rsidRPr="00640820" w:rsidRDefault="000B0D4F" w:rsidP="00640820">
      <w:pPr>
        <w:autoSpaceDE w:val="0"/>
        <w:autoSpaceDN w:val="0"/>
        <w:adjustRightInd w:val="0"/>
        <w:spacing w:after="0" w:line="240" w:lineRule="auto"/>
        <w:jc w:val="both"/>
        <w:rPr>
          <w:rFonts w:ascii="Times New Roman" w:hAnsi="Times New Roman"/>
          <w:color w:val="000000" w:themeColor="text1"/>
          <w:sz w:val="16"/>
          <w:szCs w:val="16"/>
        </w:rPr>
      </w:pPr>
    </w:p>
    <w:p w14:paraId="6E1A0B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1941г по приказу № 1057сс на площадку завода № 494 был эвакуирован завод № 482 НКАП и по приказу № 1178с от 31.12.1941 г. влит в его состав. В конце 1941 г. на площадку завода № 494 (ГС Завод № 494 НКАП, Козловский завод строительных деталей, Козловский деревообделочный комбинат НК стройматериалов, Козловский комбинат автомобильных фургонов, ООО «Комбинат автофургонов», ООО «Автофургон» /Чувашия  г. Козловка/ /Чувашия 429430  г. Козловка ул. К. Маркса, 1/) была эвакуирована основная часть завода № 168 НКАП.</w:t>
      </w:r>
    </w:p>
    <w:p w14:paraId="78454E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1945 г. завод передан Глававиастрою, а в 1947 г.- в другое министерство.</w:t>
      </w:r>
    </w:p>
    <w:p w14:paraId="15E59B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1961 г. начат выпуск кузовов и прицепов для автомобилей ПРМ (передвижных ремонтных мастерских). С 1968 г. специализировался на производстве кузовов-кунгов для военных автомашин на шасси «Урал».</w:t>
      </w:r>
    </w:p>
    <w:p w14:paraId="2483B0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21.05.1968 г. завод переименован в Козловский комбинат автофургонов.</w:t>
      </w:r>
    </w:p>
    <w:p w14:paraId="6B1F2A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(2003 г.): универсальных, изотермических и специальных автофугронов, единственный в России изготовитель щеповозов.</w:t>
      </w:r>
    </w:p>
    <w:p w14:paraId="25BBED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(06.1941 г.)- Ф. Артемьев, (08.1941 г.-)- Н.И. Чеблуков, (-04.1942-09.1943 г.-)- М.И. Шелухин, (-01- 11.1944 г.-)- Ю.Б. Эскин, (начало 1960-х)- А.Н. Ленкин, (1999 г.)- В.Е. Палагин, (2007 г.)- Е.В. Максимов.</w:t>
      </w:r>
    </w:p>
    <w:p w14:paraId="358974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КБ- Б.К. Ландышев.</w:t>
      </w:r>
    </w:p>
    <w:p w14:paraId="75364C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планеры: Г-11 (1941-43)- 170, учебно-тренировочный УС-6 (А-2) (-1943); самолет С-2 (1942- 45); щеповоз ТМ-59, лесовозное оборудование ТМ-39 (2003) (11982).</w:t>
      </w:r>
    </w:p>
    <w:p w14:paraId="3F1058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10FCA82" w14:textId="77777777" w:rsidR="003277BA" w:rsidRPr="00640820" w:rsidRDefault="003277BA"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 состоянию на 10 октября 1941 года на заводе № 37 в работе находилось 15 М-8 на шасси Т-30. В результате задержки отдельных узлов к 1 ноября было сдано всего три М-8. Позже десять М-8 на шасси Т-40 появляются в сводках выпуска завода фрезерных станков (город Горький), но эта информация не должна вводить в заблуждение. Дело в том, что туда поступали шасси Т-60, которые выпускал ГАЗ им. Молотова.</w:t>
      </w:r>
    </w:p>
    <w:p w14:paraId="05D8D5DD" w14:textId="77777777" w:rsidR="003277BA" w:rsidRPr="00640820" w:rsidRDefault="003277BA"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Что же касается завода «Компрессор», то он полностью перешёл на выпуск М-13 на базе СТЗ-5. В сводках за январь проскакивают ещё две М-8 на шасси Т-60, и вполне возможно, что на самом деле это были две машины на шасси Т-40. Таким образом, можно говорить о постройке трёх опытных и трёх-пяти серийных машин. Кроме схематичного рисунка и переписки, о них больше никакой информации не сохранилось.</w:t>
      </w:r>
    </w:p>
    <w:p w14:paraId="6A9143D8" w14:textId="77777777" w:rsidR="003277BA" w:rsidRPr="00640820" w:rsidRDefault="003277BA"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Стоит отметить, что серийная установка М-8 на шасси Т-30 несколько отличалась от опытных машин. Слева от пусковой установки появилась рубка, в которой находился командир, он же оператор М-8. По планам, изготавливать рубки должен был Подольский завод им. Орджоникидзе, но ввиду загруженности поставки затянулись. В связи с этим выпуск рубок был возложен на «Компрессор» (17665).</w:t>
      </w:r>
    </w:p>
    <w:p w14:paraId="61E49706" w14:textId="77777777" w:rsidR="003277BA" w:rsidRPr="00640820" w:rsidRDefault="003277BA" w:rsidP="00640820">
      <w:pPr>
        <w:spacing w:after="0" w:line="240" w:lineRule="auto"/>
        <w:jc w:val="both"/>
        <w:rPr>
          <w:rFonts w:ascii="Times New Roman" w:eastAsia="Times New Roman" w:hAnsi="Times New Roman"/>
          <w:color w:val="000000" w:themeColor="text1"/>
          <w:sz w:val="16"/>
          <w:szCs w:val="16"/>
          <w:lang w:eastAsia="ru-RU"/>
        </w:rPr>
      </w:pPr>
    </w:p>
    <w:p w14:paraId="1982AE0E"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455BFFA4"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56B05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10 октября 1941 г. комбинат № 100 ЗГУ НКБ (Комбинат № 100 НКТП, НКОП, НКБ /г. Алексин Московской обл. п/я 1 «Комбинат» (1943 г.)/) эвакуирован на восток: производство пироксилинового пороха - на завод № 40 и на комбинат № 392 (116 чел.); часть оборудования (218 чел.) - на завод № 580; турбина ТЭЦ комбината (112 чел.) - на завод № 98; 136 чел. эвакуировано на завод № 576; всего вывезено 387 вагонов оборудования. После эвакуации часть оставшегося оборудования (цеха № 7) и зданий (эфирные колонны, телефонная станция) были взорваны.</w:t>
      </w:r>
    </w:p>
    <w:p w14:paraId="25ACBE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17.12.1941 г., после освобождения Алексина от фашистов, в соответствии с пост. ГКО № 1091с от 3.01.1942 г. начато возвращение оборудования на комбинат, а в 02-05.1942 г. начат монтаж оборудования на старом месте, частично возвращены работники, и комбинат восстановлен. В 1943 г. шло восстановление порохового, эфирного и кислотного производства. В составе завода (1943 г.): основные производства: № 2, 3, 5; вспомогательные: ремонтно-механический завод (цехи: № 1, котельный, кузница, ДОЦ, ремонтный, токарный, литейный, парокотельный); ЦЗЛ. Строились в 1943 г.: производство № 4.</w:t>
      </w:r>
    </w:p>
    <w:p w14:paraId="6F0990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12.1942-04.1943 г. - в ведении ЗГУ НКБ, в 08.1943-09.1944 г. - в ведении 9ГУ.</w:t>
      </w:r>
    </w:p>
    <w:p w14:paraId="5CFF46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(1943 г.): производственная- 16542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вспомогательная- 14430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прочая- 15114м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4844B6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(1940 г.)- 99 чел. (рабочих), (10.1941 г.)- 1536 чел., (12.1942 г.)- 2479 чел.</w:t>
      </w:r>
    </w:p>
    <w:p w14:paraId="0F2962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(1930-е)- А.П. Севостьянов, (1941 г.)- Н.Е. Стрельцов, (-04-11.1943 г.-)- Готовкин. Начальник (01.1944 г.)- пп Готовкин.</w:t>
      </w:r>
    </w:p>
    <w:p w14:paraId="41B1FD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строительства (-12.1936-5.04.1937 г.)- А.Т. Севастьянов; и.о. (5.04.1937 г.-)- В.И. Киселев; (8.05- 15.12.1937 г.)- И. Г. Гранкин, (15.12.1937 г.-)- П.С. Калягин.</w:t>
      </w:r>
    </w:p>
    <w:p w14:paraId="646005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(1941 г.)- А. Г. Каллистов.</w:t>
      </w:r>
      <w:r w:rsidRPr="00640820">
        <w:rPr>
          <w:rFonts w:ascii="Times New Roman" w:hAnsi="Times New Roman"/>
          <w:color w:val="000000" w:themeColor="text1"/>
          <w:sz w:val="16"/>
          <w:szCs w:val="16"/>
          <w:vertAlign w:val="superscript"/>
        </w:rPr>
        <w:t>55</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vertAlign w:val="superscript"/>
        </w:rPr>
        <w:t>56</w:t>
      </w:r>
    </w:p>
    <w:p w14:paraId="52B01D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энергетик (1938 г.)- Кучеров.</w:t>
      </w:r>
    </w:p>
    <w:p w14:paraId="496858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производственно-технического (04.1943-01,1944 г.-)- к Калабухов; 1-го (07.1943 г.)- Мельникова.</w:t>
      </w:r>
    </w:p>
    <w:p w14:paraId="43110A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коллоксилин (1943).</w:t>
      </w:r>
    </w:p>
    <w:p w14:paraId="7FD41E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Петровский механический завод НКОП Приказом НКОП № 107 от 21.03.1937 г. утвержден Устав ГС Петровского механического завода.</w:t>
      </w:r>
    </w:p>
    <w:p w14:paraId="079E9F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 11ГУ НКОП № 193 от 7.07.1938 г. завод был передан комбинату № 100, директор завода снят. Приказом НКОП № 293 от 29.07.1938 г. этот приказ был отменен как незаконный.</w:t>
      </w:r>
    </w:p>
    <w:p w14:paraId="6B6CBF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(07.1938 г.)- Бреев (11982).</w:t>
      </w:r>
    </w:p>
    <w:p w14:paraId="460E629E" w14:textId="77777777" w:rsidR="000B0D4F" w:rsidRPr="00640820" w:rsidRDefault="000B0D4F" w:rsidP="00640820">
      <w:pPr>
        <w:autoSpaceDE w:val="0"/>
        <w:autoSpaceDN w:val="0"/>
        <w:adjustRightInd w:val="0"/>
        <w:spacing w:after="0" w:line="240" w:lineRule="auto"/>
        <w:jc w:val="both"/>
        <w:rPr>
          <w:rFonts w:ascii="Times New Roman" w:hAnsi="Times New Roman"/>
          <w:color w:val="000000" w:themeColor="text1"/>
          <w:sz w:val="16"/>
          <w:szCs w:val="16"/>
        </w:rPr>
      </w:pPr>
    </w:p>
    <w:p w14:paraId="30EA1E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г. на площадку строительства завода № 254 (Завод № 254 НКОП, НКБ, п/я 65, Завод «Сельмаш» МСХМ, Челябинский завод производства сигнальных средств (ЧЗПСС), ПО «Сигнал», ГП «ПО «Сигнал» Росбоеприпаса /г. Копейск Челябинской обл./ / г. Челябинск п/я 65 «Марс» (1943 г.)/ /454010 (454139)  г. Челябинск ул. Новороссийская, 2 тел. 53-37-60/) и на территорию колхоза «Новый путь» эвакуированы гильзовый, капсюльный, пиротехнический и дерево-тарный цеха</w:t>
      </w:r>
      <w:r w:rsidRPr="00640820">
        <w:rPr>
          <w:rFonts w:ascii="Times New Roman" w:hAnsi="Times New Roman"/>
          <w:iCs/>
          <w:color w:val="000000" w:themeColor="text1"/>
          <w:sz w:val="16"/>
          <w:szCs w:val="16"/>
        </w:rPr>
        <w:t xml:space="preserve"> (производство: капсюлей- </w:t>
      </w:r>
      <w:r w:rsidRPr="00640820">
        <w:rPr>
          <w:rFonts w:ascii="Times New Roman" w:hAnsi="Times New Roman"/>
          <w:color w:val="000000" w:themeColor="text1"/>
          <w:sz w:val="16"/>
          <w:szCs w:val="16"/>
        </w:rPr>
        <w:t>воспламенителей для патронов, трубок и взрывателей; трассеров для 37-, 45-, 57- и 76-мм снарядов; дымовых средств ДМ-11; зажигательных шашек для 20- и 23-мм снарядов; всего 570 ед. оборудования, 685 чел.) завода № и НКБ, к 30.12.1941 г. прибыло 413 ед., небольшая часть его смонтирована и введена в строй; к 30.01.1942 г. восстановлено производство мощностью: снаряжение 37-, 45- и 57-мм трассеров - 10 млн. шт. в год; зажигательные шашки к 20 и 23-мм снарядам - 15 млн. шт. Сюда же отправлено с завода № 309 27 ед. оборудования, эвакуированного с завода № 53. Началом деятельности завода № 254 считается 5.12.1941 г., когда приказом НКБ было назначено руководство завода. В 1941 г. утверждено первое проектное задание на строительство завода. В 12.1942-04.1943 г. - в ведении 6ГУ НКБ. Имел обозначение «п/я 65» (1943 г.).</w:t>
      </w:r>
    </w:p>
    <w:p w14:paraId="2096F8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12.1941 г. выпущена первая продукция- трассеры, зажигательные и дымовые шашки. В 01.1942 г. первую продукцию выпустил инструментальный цех. По приказу НКБ от 22.02.1942 г. завод был обязан к 20.03.1942 г. построить два здания капсюльного производства; три здания, погребки и склад для производства гранат и запалов. Выпуск гранат начат 10.02.1942 г. в еще недостроенных корпусах; в 05.1942 г. пущено капсюльное производство. По приказу НКБ от 16.09.1942 г. на заводе создано производство азидных капсюлей. В 1942 г. построено 16 производственных корпусов общей площадью 4311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освоен выпуск 33 военных изделий. В 1943 г. построено 22 промышленных объекта общей площадью 12,8 тыс.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 т.ч. 4 корпуса азидного производства, пущеного в 06.1943 г., здание сушки составов, котельная, центральная распределительная подстанция. В составе завода цехи (1943 г.): основные: № 1 (капсюли), № 2 (гильзовый), № 3 (дымовые шашки), № 4 (производство гранат), № 5 (пиротехнический); вспомогательные: № 6, 7, 8, 9, 10, 11. В годы войны освоен выпуск более 50 изделий.</w:t>
      </w:r>
    </w:p>
    <w:p w14:paraId="5AB523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06.1945 г. завод переведен на программу мирного времени. Объем выпуска продукции сокращен почти вдвое, прекращен выпуск трассеров и зажигательных шашек, номенклатура сокращена до 14 изделий. Начат выпуск пиротехники для железных дорог, охотничьих патронов, ТНП из целлулоида, деталей и узлов для сельхозмашин; всего 28 наименований гражданской продукции. Разработано проектное задание по реконструкции завода. В 1946 г. проведена перестройка производства: разборка деревянных зданий и перекрытий, строительство кирпичных корпусов, их обваловка. Были реконструированы цеха: капсюльный, гильзовый, производства дымовых средств, гранат, пиротехнический, дерево-тарный, кузнечно-сварочный, азидный. Инструментальный, картонажный и металлотарный цеха переведены в другие помещения. Построены здания ЦЗЛ, ремонтно-механического цеха. В 1946 г. завод получил название «Сельмаш» и передан в МСХМ. В 1947 г. номенклатура гражданской продукции расширена до 38 наименований (выпускались машины и продукция для борьбы с сельскохозяйственными вредителями: опрыскиватели, протравливатели, корне-клубнемойки, дымовые шашки; позже выпускались детали к шахтным подъемникам, ТНП: игрушки, канцелярские принадлежности, мебель). Затем, в 1948-56 г. увеличено производство оборонной продукции; освоен выпуск трассеров, шашек, запалов, терок, гранат, сигнальных патронов. Построена мастерская снаряжения реактивных двигателей и гранат. В 1957 г. в соответствии с ПСМ от 14.09.1954 г. разработано новое комплексное задание на реконструкцию и строительство завода. Определен состав завода: 5 цехов основного производства; цех, включающий ЦЗЛ, испытательные станцию и площадку, тир; цеха: корпусов дымовых и посадочных шашек, металлической тары и арматуры, картонажный, штамповки капсюлей, инструментальный, деревотарный; блок ремонтных цехов; склады ВВ и готовой продукции; транспортное и энергетическое хозяйство. Предусматривалось введение новых техпроцессов, конвейерных и роторных линий производства. В 1962 г. создан цех механизации и автоматизации для изготовления нестандартного оборудования.</w:t>
      </w:r>
    </w:p>
    <w:p w14:paraId="721201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11.1955 г. при заводе создано СКТБ.</w:t>
      </w:r>
    </w:p>
    <w:p w14:paraId="37D755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1960-е  г. освоено новое направление - выпуск различных сигналов бедствия: ракет, патронов, шашек (световых, звуковых и дымовых, для подачи сигналов днем и ночью). В 1960-е  г. изготовлялось большое количество оснастки высокого класса точности для других предприятий. Был выделен отдельный корпус под производство электрораспределительных пунктов.</w:t>
      </w:r>
    </w:p>
    <w:p w14:paraId="5B0112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от 14.02.1970 г. был организован филиал Завода производства сигнальных средств в  г. Еманжелинске (Челябинской обл.) на базе наземных сооружений бывшей шахты. На основной площадке были построены: здание сборки сигнальных и осветительных патронов, блок механических цехов вспомогательного производства, компрессорная.</w:t>
      </w:r>
    </w:p>
    <w:p w14:paraId="5327B0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1979-91 г. освоен выпуск новых типов вопламенителей, трассеров, дымовых гранат, помеховых патронов, пиронагревателей. В конце 1970-х  г. создано производство гальваноэлементов, оно было оснащено японским и немецким (ГДР) оборудованием. В 1990-91 г. завод выпускал до 60 млн. шт. в год.</w:t>
      </w:r>
    </w:p>
    <w:p w14:paraId="34BA1F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С 1967 г. завод № 254 переименован в ЧЗПСС. В соответствии с ПСМ от 2.03.1973 г. и приказом от 12.02.1979 г. на базе завода и Еманжелинского филиала создано ПО «Сигнал».</w:t>
      </w:r>
    </w:p>
    <w:p w14:paraId="63528C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1980-е  г. организован участок по разливу лакокрасочных материалов; создано производство машин для обеспыливания хлопка, стеллажей для торговли и общепита.</w:t>
      </w:r>
    </w:p>
    <w:p w14:paraId="70D4AB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1998 г. предприятие не получило оборонного заказа, была начата процедура банкротства, и введено внешнее управление.</w:t>
      </w:r>
    </w:p>
    <w:p w14:paraId="29D02E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329563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(1943 г.): производственная- 29568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вспомогательная- 1461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прочая- 100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2821C3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(1.01.1939 г.)- 47 чел., (12.1942 г.)- 2510 чел.</w:t>
      </w:r>
      <w:r w:rsidRPr="00640820">
        <w:rPr>
          <w:rFonts w:ascii="Times New Roman" w:hAnsi="Times New Roman"/>
          <w:color w:val="000000" w:themeColor="text1"/>
          <w:sz w:val="16"/>
          <w:szCs w:val="16"/>
          <w:vertAlign w:val="superscript"/>
        </w:rPr>
        <w:t>132</w:t>
      </w:r>
    </w:p>
    <w:p w14:paraId="325E88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Директор строительства (1938-39 г.)- М.А. Рза-аде, (1939-40 г.)- И.А. Реутов, (1940 г.-)- А.З. Селиверстов. Директор (5.12.1941-лето 1942 г.)- В.И. Куликов. Начальник (лето 1942-51 г.)- С.М. Беленький. Директор (1951- 53 г.)- Н.Н. Береговой, (1953 г.-)-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xml:space="preserve">. Курдюмов, (-1978 г.)-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Ушков, (1978-79 г.)- Н.Ф. Вихорев. Гендиректор (1979-98 г.)- Н.Ф. Вихорев, (1998-2006 г.-)- Н.А. Шумилов.</w:t>
      </w:r>
    </w:p>
    <w:p w14:paraId="6FB1AB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Гл. инженер (5.12.1941-04.1943 г.-)-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Курдюмов, (1977 г.-)- Н.Ф. Вихорев.</w:t>
      </w:r>
    </w:p>
    <w:p w14:paraId="0DFA43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инженера (1971 г.-)- Н.Ф. Вихорев.</w:t>
      </w:r>
    </w:p>
    <w:p w14:paraId="54FB21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(ВОВ)- К.А. Митин.</w:t>
      </w:r>
    </w:p>
    <w:p w14:paraId="412F83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Гл. технолог (5.12.1941 г.-)- Каплунник. Гл. механик (5.12.1941 г.-)-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Ройтман. Гл. энергетик (5.12.1941 г.-)- Сизов.</w:t>
      </w:r>
    </w:p>
    <w:p w14:paraId="56DA83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производства (5.12.1941 г.-)- Каплунник.</w:t>
      </w:r>
    </w:p>
    <w:p w14:paraId="17F932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цехов: механизации и автоматизации (1962 г.-)- П.В. Будовский; электрораспределительных пунктов (1960-е)- Б.И. Каганов, Я.И. Усиков, А.И. Телегин; (1941 г.-)- А. Кузнецов, (ВОВ)- Н. Г. Грубов, (ВОВ)- А.Ф. Спиридонов, (ВОВ)- А.А. Кашенков. Руководитель экспериментальной мастерской- М.А. Кемаев.</w:t>
      </w:r>
    </w:p>
    <w:p w14:paraId="4E245E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w:t>
      </w:r>
      <w:r w:rsidRPr="00640820">
        <w:rPr>
          <w:rFonts w:ascii="Times New Roman" w:hAnsi="Times New Roman"/>
          <w:iCs/>
          <w:color w:val="000000" w:themeColor="text1"/>
          <w:sz w:val="16"/>
          <w:szCs w:val="16"/>
        </w:rPr>
        <w:t xml:space="preserve"> гранаты:</w:t>
      </w:r>
      <w:r w:rsidRPr="00640820">
        <w:rPr>
          <w:rFonts w:ascii="Times New Roman" w:hAnsi="Times New Roman"/>
          <w:color w:val="000000" w:themeColor="text1"/>
          <w:sz w:val="16"/>
          <w:szCs w:val="16"/>
        </w:rPr>
        <w:t xml:space="preserve"> ручные Ф-1 (1943), РГД-33 (02.1942-), РГ-42 (1942-43-), дымовые (1943); реактивные противотанковые РПГ-26 (7П27), РПГ-27 (7П30) (2004); гильзы для РГ-33, колпачки;</w:t>
      </w:r>
      <w:r w:rsidRPr="00640820">
        <w:rPr>
          <w:rFonts w:ascii="Times New Roman" w:hAnsi="Times New Roman"/>
          <w:iCs/>
          <w:color w:val="000000" w:themeColor="text1"/>
          <w:sz w:val="16"/>
          <w:szCs w:val="16"/>
        </w:rPr>
        <w:t xml:space="preserve"> капсюли: - </w:t>
      </w:r>
      <w:r w:rsidRPr="00640820">
        <w:rPr>
          <w:rFonts w:ascii="Times New Roman" w:hAnsi="Times New Roman"/>
          <w:color w:val="000000" w:themeColor="text1"/>
          <w:sz w:val="16"/>
          <w:szCs w:val="16"/>
        </w:rPr>
        <w:t>воспламенители: для патронов 7,62- мм, 12,7-мм, для «Маузер», для РГ-33, для КВМ-3 (1943), охотничьих (1950- е-60-е); -детонаторы ТАТ-1, ТАТ-2 (1943-); зажигательные авиабомбы ЗАБ-2,5 (1943-); шашки: дымовые МДШ, ДШ-100, ДМ-11 (1943), для борьбы с насекомыми Д-20, Г-17 (1970-е), нейтральные НДШ (1970-е); зажигательные, имитации разрывов артиллерийских снарядов (ШИРАС) (-1945; 1950-е); трассеры ЗИК, МД-5; шашки 20-мм, 23-мм;</w:t>
      </w:r>
      <w:r w:rsidRPr="00640820">
        <w:rPr>
          <w:rFonts w:ascii="Times New Roman" w:hAnsi="Times New Roman"/>
          <w:iCs/>
          <w:color w:val="000000" w:themeColor="text1"/>
          <w:sz w:val="16"/>
          <w:szCs w:val="16"/>
        </w:rPr>
        <w:t xml:space="preserve"> патроны:</w:t>
      </w:r>
      <w:r w:rsidRPr="00640820">
        <w:rPr>
          <w:rFonts w:ascii="Times New Roman" w:hAnsi="Times New Roman"/>
          <w:color w:val="000000" w:themeColor="text1"/>
          <w:sz w:val="16"/>
          <w:szCs w:val="16"/>
        </w:rPr>
        <w:t xml:space="preserve"> сигнальные и осветительные 26-мм, реактивные РОКС (1943), охотничьи (1950- е-60-е); бомба САБ-100-55 (1943);</w:t>
      </w:r>
      <w:r w:rsidRPr="00640820">
        <w:rPr>
          <w:rFonts w:ascii="Times New Roman" w:hAnsi="Times New Roman"/>
          <w:color w:val="000000" w:themeColor="text1"/>
          <w:sz w:val="16"/>
          <w:szCs w:val="16"/>
          <w:vertAlign w:val="superscript"/>
        </w:rPr>
        <w:t>Ь2</w:t>
      </w:r>
      <w:r w:rsidRPr="00640820">
        <w:rPr>
          <w:rFonts w:ascii="Times New Roman" w:hAnsi="Times New Roman"/>
          <w:color w:val="000000" w:themeColor="text1"/>
          <w:sz w:val="16"/>
          <w:szCs w:val="16"/>
        </w:rPr>
        <w:t xml:space="preserve"> сигналы бедствия: сигнальные ракеты (световые, звуковые, парашютные) (1960-е-), светодымящиеся буйки, сигнальный буй для ПЛ (для глубин до 450 м) (2000-е), сигнал охотника (1980- е); изд. «Пламя»; пиротехнические изделия промышленно-технического назначения; профессиональные высотные фейерверки; пиротехнические игрушки: фейерверки, бенгальские огни, римские свечи, хлопушки (1980-е-); электрораспределительные пункты ПР-9000 (1960-70); гальваноэлементы А-316, А-343 (1979-); алюминиевая посуда (1970-е).</w:t>
      </w:r>
    </w:p>
    <w:p w14:paraId="643FE1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СКТБ завода № 254</w:t>
      </w:r>
    </w:p>
    <w:p w14:paraId="01CD77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в 11.1954 г. В 1957 г. при СКТБ создана экспериментальная мастерская для изготовления первых вариантов узлов и станков.</w:t>
      </w:r>
    </w:p>
    <w:p w14:paraId="427267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1955 г. разработано 108 проектов нестандартного оборудования.</w:t>
      </w:r>
    </w:p>
    <w:p w14:paraId="39EDEC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И.О. начальника (11.1954 г.-)- Б.А. Кудрявый. Начальник-</w:t>
      </w:r>
      <w:r w:rsidRPr="00640820">
        <w:rPr>
          <w:rFonts w:ascii="Times New Roman" w:hAnsi="Times New Roman"/>
          <w:iCs/>
          <w:color w:val="000000" w:themeColor="text1"/>
          <w:sz w:val="16"/>
          <w:szCs w:val="16"/>
        </w:rPr>
        <w:t xml:space="preserve"> Я.И.</w:t>
      </w:r>
      <w:r w:rsidRPr="00640820">
        <w:rPr>
          <w:rFonts w:ascii="Times New Roman" w:hAnsi="Times New Roman"/>
          <w:color w:val="000000" w:themeColor="text1"/>
          <w:sz w:val="16"/>
          <w:szCs w:val="16"/>
        </w:rPr>
        <w:t xml:space="preserve"> Рон, (1970-81 г.)- И.М. Хазанов.</w:t>
      </w:r>
    </w:p>
    <w:p w14:paraId="77A89D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Создано:</w:t>
      </w:r>
      <w:r w:rsidRPr="00640820">
        <w:rPr>
          <w:rFonts w:ascii="Times New Roman" w:hAnsi="Times New Roman"/>
          <w:color w:val="000000" w:themeColor="text1"/>
          <w:sz w:val="16"/>
          <w:szCs w:val="16"/>
        </w:rPr>
        <w:t xml:space="preserve"> линия прессования таблеток «Ферракут», линия подготовки компонентов.</w:t>
      </w:r>
    </w:p>
    <w:p w14:paraId="1AB380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Еманжелинский филиал ЧЗПСС</w:t>
      </w:r>
    </w:p>
    <w:p w14:paraId="735E40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от 14.02.1970 г. был организован филиал Завода производства сигнальных средств в  г. Еманжелинске (Челябинской обл.) на базе наземных сооружений бывшей шахты. Ему было передано 19 сооружений постройки 1939 г. общей площадью 10,5 тыс.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 т.ч. котельная, механическая мастерская, телефонная станция, компрессорная, инструментальный цех, гараж, подстанция, здание аглофабрики, кузница, шлифовальное отделение, склад ГСМ. На их базе требовалось организовать цех по производству деталей из пластмасс, полиэтиленовой укупорки, нейтральных дымовых средств и выпустить первую продукцию в 111-м квартале 1970 г.</w:t>
      </w:r>
    </w:p>
    <w:p w14:paraId="01E136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от 2.03.1973 г. и приказом от 12.02.1979 г. было создано ПО «Сигнал», в состав которого вошел филиал.</w:t>
      </w:r>
    </w:p>
    <w:p w14:paraId="37F0DA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(1970 г.-)- А.П. Шитяков (11982).</w:t>
      </w:r>
    </w:p>
    <w:p w14:paraId="2E0D35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BD81A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вышло Постановление ГКО № 760 Об эвакуации оборудования и кадров завода № 352 из г.Новочеркасска Ростовской области. РГАНИР, Фонд ГКО, д. 12, лл. 74 (11012).</w:t>
      </w:r>
    </w:p>
    <w:p w14:paraId="3C8266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1B3AD7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года вышел приказ № 511 НКВ</w:t>
      </w:r>
    </w:p>
    <w:p w14:paraId="1513D6B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исполнение постановления ГКО от 8 сентября 1941 года № 641сс:</w:t>
      </w:r>
    </w:p>
    <w:p w14:paraId="35206AB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базе моторемонтного завода в г. Фрунзе КССР организовать завод по изготовлению патронов калибра 7,62 мм, присвоив ему номер 536.</w:t>
      </w:r>
    </w:p>
    <w:p w14:paraId="37AAD89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включить в систему 3 Гл. управления НКВ (6288, 136).</w:t>
      </w:r>
    </w:p>
    <w:p w14:paraId="3043876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AE21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10 октября 1941 г. по приказу НКБ гильзовый, капсюльный, пиротехнический и дерево-тарный цеха (производство: капсюлей-воспламенителей для патронов, трубок и взрывателей; трассеров для 37-, 45-, 57- и 76- мм снарядов; дымовых средств ДМ-11; зажигательных шашек для 20- и 23-мм снарядов; всего 570 ед. оборудования, 685 чел.) завода № 11 6ГУ НКБ (Сергиевский завод № 11 ВСНХ, Троицкий снаряжательный завод ВСНХ, Троицкий завод сигнальных средств, Снаряжательный завод «Красная ракета» ВСНХ, ГС завод № 11 НКОП, НКБ, </w:t>
      </w:r>
      <w:r w:rsidRPr="00640820">
        <w:rPr>
          <w:rFonts w:ascii="Times New Roman" w:hAnsi="Times New Roman"/>
          <w:color w:val="000000" w:themeColor="text1"/>
          <w:sz w:val="16"/>
          <w:szCs w:val="16"/>
          <w:lang w:val="en-US"/>
        </w:rPr>
        <w:t>MOM</w:t>
      </w:r>
      <w:r w:rsidRPr="00640820">
        <w:rPr>
          <w:rFonts w:ascii="Times New Roman" w:hAnsi="Times New Roman"/>
          <w:color w:val="000000" w:themeColor="text1"/>
          <w:sz w:val="16"/>
          <w:szCs w:val="16"/>
        </w:rPr>
        <w:t>, п/я 3, Краснозаводский химический завод (КХЗ), ФГУП «КХЗ» Росбоеприпаса /г. Троицк Московской обл.; г. Краснозаводск п/я 3 «Азот» (1943г.)/ /141321 г. Краснозаводск Сергиево-Посадского р-на Московской обл. пл. Рдултовского, 1 тел. 52-345/) эвакуированы в Челябинск на площадку строительства завода № 254 и на территорию колхоза «Новый путь»; часть завода (снаряжение 26-мм патронов, ЗАБ-100, -500, ФОТАБ; всего 53 ед. оборудования, 239 чел.) эвакуирована в Чебоксары на завод № 320 НКБ; часть оборудования (средства обтюрации, 42 ед.) эвакуирована в г. Новая Ляля на площадку Бумкомбината. Часть завода продолжила производство на старом месте под прежним номером. Выпускались реактивные снаряды для «Катюши».</w:t>
      </w:r>
    </w:p>
    <w:p w14:paraId="184931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12.1942-04.1943г. - в ведении 6ГУ НКБ. Имел обозначение «п/я 3» (1943г.).</w:t>
      </w:r>
    </w:p>
    <w:p w14:paraId="4AF166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1942г. с завода № 562 передано оборудование для изготовления запалов и снаряжания РГД-33. В годы ВОВ завод произвел 245,715 млн. ручных гранат, 20,555 млн. противотанковых гранат, 1.087.433 авиабомбы, 273,313 млн. зенитных снарядов, 31.888,513 млн. капсюлей. В составе завода основные цехи (1943г.): № 1, 2, 3, 4, 5, 6, 7, 9,16.</w:t>
      </w:r>
    </w:p>
    <w:p w14:paraId="29FE57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оборонный заказ был резко снижен, освоено производство гражданской продукции (гончарные изделия, садовый инвентарь, кухонные плиты); прошло техническое перевооружение завода.</w:t>
      </w:r>
    </w:p>
    <w:p w14:paraId="1D7419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1947г. был освоен выпуск бумажных охотничьих гильз объемом 2 млн. шт. в год, с 1948г. - снаряжение охотничьих патронов мощностью 200 тыс. шт. в год. Затем освоен безбашенный метод отливки свинцовой дроби; начато производство противотанковых гранат (сначала в кооперации с Тульским заводом). Производство было оснащено трофейными прессами. В 1970-е г. налажен выпуск автоматических роторных линий, разработанных СКТБ завода совместно с КБАЛ. Был освоен выпуск термомуфельных патронов и шашек для сварки электропроводов, пластин для теплообменников паровозов, тракторных фильтров, железнодорожных петард, многоконтактных разъемов, импульсных трансформаторов, пиронагревателей для РКТ, карманных фонарей (объемом до 3,3 млн. шт. в год).</w:t>
      </w:r>
    </w:p>
    <w:p w14:paraId="0A0D7E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1955г. завод - в ведении </w:t>
      </w:r>
      <w:r w:rsidRPr="00640820">
        <w:rPr>
          <w:rFonts w:ascii="Times New Roman" w:hAnsi="Times New Roman"/>
          <w:color w:val="000000" w:themeColor="text1"/>
          <w:sz w:val="16"/>
          <w:szCs w:val="16"/>
          <w:lang w:val="en-US"/>
        </w:rPr>
        <w:t>MOM</w:t>
      </w:r>
      <w:r w:rsidRPr="00640820">
        <w:rPr>
          <w:rFonts w:ascii="Times New Roman" w:hAnsi="Times New Roman"/>
          <w:color w:val="000000" w:themeColor="text1"/>
          <w:sz w:val="16"/>
          <w:szCs w:val="16"/>
        </w:rPr>
        <w:t>. В 1972г. назывался Краснозаводский химический завод.</w:t>
      </w:r>
    </w:p>
    <w:p w14:paraId="42B8BA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При заводе было организовано КБ. По приказу </w:t>
      </w:r>
      <w:r w:rsidRPr="00640820">
        <w:rPr>
          <w:rFonts w:ascii="Times New Roman" w:hAnsi="Times New Roman"/>
          <w:color w:val="000000" w:themeColor="text1"/>
          <w:sz w:val="16"/>
          <w:szCs w:val="16"/>
          <w:lang w:val="en-US"/>
        </w:rPr>
        <w:t>MOM</w:t>
      </w:r>
      <w:r w:rsidRPr="00640820">
        <w:rPr>
          <w:rFonts w:ascii="Times New Roman" w:hAnsi="Times New Roman"/>
          <w:color w:val="000000" w:themeColor="text1"/>
          <w:sz w:val="16"/>
          <w:szCs w:val="16"/>
        </w:rPr>
        <w:t xml:space="preserve"> от 9.08.1955г. на заводе создано СКТБ. В 1957г. организован станкоинструментальный цех. В 1957-59г. реконструирован цех по производству аммонита. Организованы три участка по переработке пластмасс: термореактивных; термопластичных и полиэтиленовых труб. В 1971 г. освоена опытная механизированная линия ЛП-1 по производству асбестовых шайб пиронагревателей, в 1975г. организован комплексно-механизированный участок с 5 линиями.</w:t>
      </w:r>
    </w:p>
    <w:p w14:paraId="43C927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Затем было принято решение о реконструкции завода. К 1975г. созданы два комплексно-механизированных производства: охотничьих гильз мощностью 200 млн. шт. в год и охотничьих и спортивных патронов мощностью 100 млн. шт. в год. В 1979г. построен прессовый корпус, в 1982г. создан участок по производству осветительных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 в 1984г. - корпус для сушки пиротехнических составов, в 1987г. - корпус подготовки компонентов и мешки составов.</w:t>
      </w:r>
    </w:p>
    <w:p w14:paraId="170BBC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середины 1990-х освоено пиротехническое производство: фейерверков, хлопушек, бенгальских огней. В 2000-е г. освоен выпуск новых видов патронов для гладкоствольных ружей. Завод являлся единственным изготовителем (2005г.) сигнальных патронов для ружей 12-го, 16-го и 20-го калибров.</w:t>
      </w:r>
    </w:p>
    <w:p w14:paraId="3856EB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Указу Президента РФ № 1009 от 4.08.2004г. вошел в число стратегических оборонных предприятий.</w:t>
      </w:r>
    </w:p>
    <w:p w14:paraId="79841E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Имелись производства (2005г.): капсюльное, пиротехническое, сборочно-снаряжательное, механическое, изделий из пластмасс.</w:t>
      </w:r>
    </w:p>
    <w:p w14:paraId="5C9C7B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(1943г.): производственная- 32175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вспомогательная- 19694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прочая- 3002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7A2B55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(1.12.1917г.)- 2214 чел., (1924г.)- 440 чел., (09.1941 г.)- 9400 чел., (12.1942г.)- 5677 чел.</w:t>
      </w:r>
    </w:p>
    <w:p w14:paraId="6B83E2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(07.1915-03.1917г.)- В.И. Рдултовский, (1935-03.1936г.)- К.А. Озол (репрессирован), (-05.1937- 02.1938г.-)- Б.А. Ефремов, (</w:t>
      </w:r>
      <w:r w:rsidRPr="00640820">
        <w:rPr>
          <w:rFonts w:ascii="Times New Roman" w:hAnsi="Times New Roman"/>
          <w:color w:val="000000" w:themeColor="text1"/>
          <w:sz w:val="16"/>
          <w:szCs w:val="16"/>
          <w:lang w:val="en-US"/>
        </w:rPr>
        <w:t>BOB</w:t>
      </w:r>
      <w:r w:rsidRPr="00640820">
        <w:rPr>
          <w:rFonts w:ascii="Times New Roman" w:hAnsi="Times New Roman"/>
          <w:color w:val="000000" w:themeColor="text1"/>
          <w:sz w:val="16"/>
          <w:szCs w:val="16"/>
        </w:rPr>
        <w:t>)- Н.А. Борисов, (04.1943г.)- Т.И. Агафин. Начальник (-11.1943-48г.)- Т.Н. Агафин. Директор (1951-65г.)- А.В. Поляков, (1965-76г.)- З.М. Хамадеев. И.О. директора (1.03.2004г.-)- О.В. Вавилов.</w:t>
      </w:r>
    </w:p>
    <w:p w14:paraId="3D995D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(06.1937г.)- Г.И. Савин. Помощник директора: по найму и увольнению (06.1937г.)- Д.А. Соколов; по финансово-хозяйственной части (02.1938г.)- А.Ф. Брагин.</w:t>
      </w:r>
    </w:p>
    <w:p w14:paraId="3F9968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Гл. инженер (06.1937г.)- Г.И. Савин, (23.11.1937-4.10.1938г.)- А.Ф. Черняев, (4.10.1938г.-)- В.Я. Шибанов, (04.1943г.)- Локонцев.</w:t>
      </w:r>
    </w:p>
    <w:p w14:paraId="7B4479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цехов: 1-го (02.1938г.)- В.Я. Шибанов; 5-го (02.1938г.)- Иванов; станкоинструментального (1957г.)- А.Н. Бунчин; (ВОВ)- А.Е. Ямсков.</w:t>
      </w:r>
    </w:p>
    <w:p w14:paraId="0D05FB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конструкторско-технологического- К.А. Митин; технологического НИО (1980-е)- В.В. Малюшин; ППО (04.1943г.)- Калошин; ОТК (02.1938г.)- Д.Д. Кондратов.</w:t>
      </w:r>
    </w:p>
    <w:p w14:paraId="3990E9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Руководители групп: конструкторской по инструментам- И.Ф. Грунин; конструкторской (1950-е)- А.В. Волков, (1950-е)- В.И. Калинин, (1950-е)- Б.С. Малашенко.</w:t>
      </w:r>
    </w:p>
    <w:p w14:paraId="07636E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 гранаты:</w:t>
      </w:r>
      <w:r w:rsidRPr="00640820">
        <w:rPr>
          <w:rFonts w:ascii="Times New Roman" w:hAnsi="Times New Roman"/>
          <w:color w:val="000000" w:themeColor="text1"/>
          <w:sz w:val="16"/>
          <w:szCs w:val="16"/>
        </w:rPr>
        <w:t xml:space="preserve"> РГ-14 (1916-), РПГ-6, РГД-33 (ВОВ), Ф-1, РПГ-40, РГ-42 (1943), противотанковая ПГ-2;</w:t>
      </w:r>
      <w:r w:rsidRPr="00640820">
        <w:rPr>
          <w:rFonts w:ascii="Times New Roman" w:hAnsi="Times New Roman"/>
          <w:iCs/>
          <w:color w:val="000000" w:themeColor="text1"/>
          <w:sz w:val="16"/>
          <w:szCs w:val="16"/>
        </w:rPr>
        <w:t xml:space="preserve"> дымовые шашки:</w:t>
      </w:r>
      <w:r w:rsidRPr="00640820">
        <w:rPr>
          <w:rFonts w:ascii="Times New Roman" w:hAnsi="Times New Roman"/>
          <w:color w:val="000000" w:themeColor="text1"/>
          <w:sz w:val="16"/>
          <w:szCs w:val="16"/>
        </w:rPr>
        <w:t xml:space="preserve"> посадочные: черного дыма (1940)- 100 тыс., белого дыма (1940)- 100 тыс., оранжевого дыма (1940)- 75 тыс.; сигнальные (1943);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 xml:space="preserve"> М-13 (1941-42); МД-2, запал УЗРГ; АГ-2, ПП-4, ПР-8, ПР-4; бомбы: ЗАБ-100-65, ЗАБ-ТГ-50, ЗАБ-2,5, САБ-50-15 (1943);</w:t>
      </w:r>
      <w:r w:rsidRPr="00640820">
        <w:rPr>
          <w:rFonts w:ascii="Times New Roman" w:hAnsi="Times New Roman"/>
          <w:iCs/>
          <w:color w:val="000000" w:themeColor="text1"/>
          <w:sz w:val="16"/>
          <w:szCs w:val="16"/>
        </w:rPr>
        <w:t xml:space="preserve"> патроны:</w:t>
      </w:r>
      <w:r w:rsidRPr="00640820">
        <w:rPr>
          <w:rFonts w:ascii="Times New Roman" w:hAnsi="Times New Roman"/>
          <w:color w:val="000000" w:themeColor="text1"/>
          <w:sz w:val="16"/>
          <w:szCs w:val="16"/>
        </w:rPr>
        <w:t xml:space="preserve"> П-7, П-25, ТШ-300 (1943);</w:t>
      </w:r>
      <w:r w:rsidRPr="00640820">
        <w:rPr>
          <w:rFonts w:ascii="Times New Roman" w:hAnsi="Times New Roman"/>
          <w:color w:val="000000" w:themeColor="text1"/>
          <w:sz w:val="16"/>
          <w:szCs w:val="16"/>
          <w:vertAlign w:val="superscript"/>
        </w:rPr>
        <w:t>ш</w:t>
      </w:r>
      <w:r w:rsidRPr="00640820">
        <w:rPr>
          <w:rFonts w:ascii="Times New Roman" w:hAnsi="Times New Roman"/>
          <w:color w:val="000000" w:themeColor="text1"/>
          <w:sz w:val="16"/>
          <w:szCs w:val="16"/>
        </w:rPr>
        <w:t xml:space="preserve"> спортивные; сигнальные (2005); для гладкоствольных ружей «Супер рекорд», «Лидер», Магнум» (2005);</w:t>
      </w:r>
      <w:r w:rsidRPr="00640820">
        <w:rPr>
          <w:rFonts w:ascii="Times New Roman" w:hAnsi="Times New Roman"/>
          <w:color w:val="000000" w:themeColor="text1"/>
          <w:sz w:val="16"/>
          <w:szCs w:val="16"/>
          <w:vertAlign w:val="superscript"/>
        </w:rPr>
        <w:t>101</w:t>
      </w:r>
      <w:r w:rsidRPr="00640820">
        <w:rPr>
          <w:rFonts w:ascii="Times New Roman" w:hAnsi="Times New Roman"/>
          <w:color w:val="000000" w:themeColor="text1"/>
          <w:sz w:val="16"/>
          <w:szCs w:val="16"/>
        </w:rPr>
        <w:t xml:space="preserve"> мины: 82-мм и 120- мм осветительные и зажигательные (1970-е); противоградовые изделия: «Облако-М», ПИГМ, «Алазань-М, -2М»; автоматические роторные линии: ЛКГ-116 (1972-78)- 10, ЛУП-И-6 (1984)- 3; изделия: «Слет», «Гроздь» (1988-); реактивные огнеметы РПО-А, РПО-3, РПО-Д (2004); трассирующие стаканчики (1938); установка УВЧ-300; карманные фонари ФКБ-6 (1972-), ФКБ-7 (1973-); ложки, школьные пеналы, детские игрушки, люстры, подсвечники, сантехническая арматура (1980-е-90-е) (11982).</w:t>
      </w:r>
    </w:p>
    <w:p w14:paraId="0C9977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693F4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г. по приказу НКБ от и постановлению ГКО № 777 от 13.10.1941 г. в период с 16.10.1941 г. по 11.1941 г. завод № 14 ЗГУ НКБ (ГС завод № 14 им. А.А. Косякова НКОП, НКБ, п/я 3, Рошальский пороховой завод ВСНХ, Завод им. Рошаля ВСНХ, Завод им. тов. А.А. Косякова ВСНХ, Рошальский химический завод «Нордикс», ГУП «ПО «Рошальский химический комбинат имени А.А. Косякова» Росбоеприпаса /г. Рошаль Московской обл. п/я 3 «Московский Сталинец» (1943г.)/) (производство пироксилинового пороха, олеума и азотной кислоты, всего 416 вагонов) эвакуирован на площадку завода № 576 (г. Реж). 27.12.1941 г. вышло постановление ГКО № 1071 о восстановлении производства пироксилиновых порохов на заводе № 14. Для руководства монтажом и восстановлением оборудования было организовано восстановительно-техническое бюро; к 30.01.1942г. вернулось 99 вагонов оборудования. В 1943г. завод реконструирован. В составе завода (1943г.): основные производства: 1-е сернокислотное, 2-е азотнокислотное, 3-е пироксилиновое, 4-е эфирное, 5-е пороховое, 6-е укупорочное, 7-е мастичное, 8-е зарядное; вспомогательные: ремонтно-механический завод; ДОК; ЦЗЛ; отделы: водоснабжения, электро, транспортный.</w:t>
      </w:r>
    </w:p>
    <w:p w14:paraId="251B17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12.1942-04.1943г. - в ведении ЗГУ НКБ, в 08.1943-09.1944г. - в ведении 9ГУ. Имел обозначение «п/я 3» (1943г.).</w:t>
      </w:r>
    </w:p>
    <w:p w14:paraId="1B6730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05.1945г. после реэвакуации завод вступил в строй действующих, практически возобновил работу во второй половине 1942г. Проведена реконструкция теплосилового хозяйства. К концу 1942г. освоен выпуск фигурных зерненых порохов Уолша 7/14 для зарядов к 37-мм зенитной пушке и трубчатого пороха 180/57. На 1.01.1943г. проектная мощность завода- 15 тыс. т в год.</w:t>
      </w:r>
      <w:r w:rsidRPr="00640820">
        <w:rPr>
          <w:rFonts w:ascii="Times New Roman" w:hAnsi="Times New Roman"/>
          <w:color w:val="000000" w:themeColor="text1"/>
          <w:sz w:val="16"/>
          <w:szCs w:val="16"/>
          <w:vertAlign w:val="superscript"/>
        </w:rPr>
        <w:t>55</w:t>
      </w:r>
    </w:p>
    <w:p w14:paraId="60BF0E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2004г.- ГУП «ПО «Рошальский химический комбинат имени А.А. Косякова»; вероятно, в его составе- завод «Нордикс». Далее завод обанкрочен, территория сдана коммерческим фирмам.</w:t>
      </w:r>
    </w:p>
    <w:p w14:paraId="1CA6DB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(1943г.): производственная- 49629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вспомогательная- 15392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прочая- 22486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484F37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(12.1942г.)- 4450 чел.</w:t>
      </w:r>
    </w:p>
    <w:p w14:paraId="22125D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(-14.07.1937г.)- П.М. Дубнер, (14.07.1937-13.02.1938г.)- П(В).Т. Варюхов, (13.02.1938г.-)- Д.И. Корнеев, (-1941-04.1943г.-)- Н.И. Гречищев, (11.1943г.)- Стариченко.</w:t>
      </w:r>
    </w:p>
    <w:p w14:paraId="35AB5C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Помощник директора по найму и увольнению рабочей силы (-21.01.1937г.)- Д.Л. Анапольский, (21.01.1937г.-&gt; А.Г. Куршковский.</w:t>
      </w:r>
    </w:p>
    <w:p w14:paraId="09F5E1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(-1941-04.1943г.-)- А.П. Певчев.</w:t>
      </w:r>
    </w:p>
    <w:p w14:paraId="38D48E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производства (03.1938г.)- Н.С. Навольнев.</w:t>
      </w:r>
    </w:p>
    <w:p w14:paraId="4D63D2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планового (04.1943г.)- Базюкин; ТБ (03.1938г.)- М.М. Михайлов. Начальник мастерской (03.1938г.)- Н.Г. Кулик.</w:t>
      </w:r>
    </w:p>
    <w:p w14:paraId="0996F5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Помощник начальника мастерской (03.1938г.)- Н.С. Рябуха.</w:t>
      </w:r>
    </w:p>
    <w:p w14:paraId="7F5E56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порох пироксилиновый; олеум, азотная кислота, отбельный хлопок, пироксилин, коллоксилин, эфир технический и медицинский, мастика; медицинский коллодий (1943) (11982).</w:t>
      </w:r>
    </w:p>
    <w:p w14:paraId="612012D1" w14:textId="77777777" w:rsidR="000B0D4F" w:rsidRPr="00640820" w:rsidRDefault="000B0D4F" w:rsidP="00640820">
      <w:pPr>
        <w:spacing w:after="0" w:line="240" w:lineRule="auto"/>
        <w:jc w:val="both"/>
        <w:rPr>
          <w:rFonts w:ascii="Times New Roman" w:hAnsi="Times New Roman"/>
          <w:color w:val="000000" w:themeColor="text1"/>
          <w:sz w:val="16"/>
          <w:szCs w:val="16"/>
        </w:rPr>
      </w:pPr>
    </w:p>
    <w:p w14:paraId="267ECB0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г. постановлением ГКО из «прифронтовых» в «тыловые» районы страны промышленных предприятий, материальных ценностей и людских ресурсов. По официальным данным, к январю 1942 г. были перевезены и вскоре введены в строй 1523 промышленных предприятия, в том числе 1360 оборонных. Для общего руководства эвакуацией был создан Совет по эвакуации, его Председателем назначен Н. Шверник, заместителями А.Косыгин и М. Первухин. Решения по вопросам эвакуации тех или иных предприятий принимались постановлениями либо ГКО, либо Совета по эвакуации (12291).</w:t>
      </w:r>
    </w:p>
    <w:p w14:paraId="69404D25"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62DC70B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года на площадку Уральского вагоностроительного завода в Нижнем Тагиле прибыл первый эшелон эвакуированного из Харькова завода №183. В составе этого первого эшелона в Нижний Тагил прибыл коллектив бывшего танкового КБ ХПЗ (12627).</w:t>
      </w:r>
    </w:p>
    <w:p w14:paraId="3DDCE204"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5DD77C8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года на совещании в наркомате обороны с присутствием представителей ГАБТУ КА и Наркомсредмаша, приняли решение, разрешающее заводам СТЗ и № 112 следующие действия:</w:t>
      </w:r>
    </w:p>
    <w:p w14:paraId="2ED064E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Самостоятельно решать все вопросы производства по Т-34 и допустимость тех или иных отступлений от чертежей и технических условий.</w:t>
      </w:r>
    </w:p>
    <w:p w14:paraId="0BBB344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Производить замену марок материалов, сообразуясь с наличием и принятой номенклатурой на данном заводе, сохраняя при этом равно- прочность.</w:t>
      </w:r>
    </w:p>
    <w:p w14:paraId="27D068A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Производить мелкие изменения в конструкции неосновных узлов машины, без нарушения при этом узловой взаимозаменяемости.</w:t>
      </w:r>
    </w:p>
    <w:p w14:paraId="014B634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 эти вопросы должны решаться на заводах под ответственность главных конструкторов этих заводов с последующим согласованием с представителем заказчика на данном заводе.</w:t>
      </w:r>
    </w:p>
    <w:p w14:paraId="442C4C6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Основные механизмы и узлы танка Т-34 не должны изменяться и сохранение их взаимозаменяемости должно быть особо учтено» (12217).</w:t>
      </w:r>
    </w:p>
    <w:p w14:paraId="727BA1F8"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0C01A64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в ходе начавшейся Московской битвы замнаркома НКТП с горечью конста</w:t>
      </w:r>
      <w:r w:rsidRPr="00640820">
        <w:rPr>
          <w:rFonts w:ascii="Times New Roman" w:hAnsi="Times New Roman"/>
          <w:color w:val="000000" w:themeColor="text1"/>
          <w:sz w:val="16"/>
          <w:szCs w:val="16"/>
        </w:rPr>
        <w:softHyphen/>
        <w:t>тировал факт, что СТЗ может даже перевыполнить установ</w:t>
      </w:r>
      <w:r w:rsidRPr="00640820">
        <w:rPr>
          <w:rFonts w:ascii="Times New Roman" w:hAnsi="Times New Roman"/>
          <w:color w:val="000000" w:themeColor="text1"/>
          <w:sz w:val="16"/>
          <w:szCs w:val="16"/>
        </w:rPr>
        <w:softHyphen/>
        <w:t>ленную суточную программу выпуска танков, но фактичес</w:t>
      </w:r>
      <w:r w:rsidRPr="00640820">
        <w:rPr>
          <w:rFonts w:ascii="Times New Roman" w:hAnsi="Times New Roman"/>
          <w:color w:val="000000" w:themeColor="text1"/>
          <w:sz w:val="16"/>
          <w:szCs w:val="16"/>
        </w:rPr>
        <w:softHyphen/>
        <w:t>ки отгружает их чуть более половины нормы, так как для остальных не хватает башен. Уже упоминалось, что осенью 1941 г. на заводах № 264 и СТЗ вела работу совместная комиссия представителей НИИ-48 и конструкторов обоих заводов под руководством нач. ОГК НКТП С. Гинзбурга. Хоть главным вопросом комиссии было увеличение выпуска корпусов Т-34, памятуя, что положение с башнями ужасно, комиссия вырабо</w:t>
      </w:r>
      <w:r w:rsidRPr="00640820">
        <w:rPr>
          <w:rFonts w:ascii="Times New Roman" w:hAnsi="Times New Roman"/>
          <w:color w:val="000000" w:themeColor="text1"/>
          <w:sz w:val="16"/>
          <w:szCs w:val="16"/>
        </w:rPr>
        <w:softHyphen/>
        <w:t>тала также ряд рекомендаций и для выпуска этой столь нужной продукции на собственных площадях. Особенностью завода № 264 было то, что емкость печей завода не могла обеспечить отливку такой большой детали, как башня. Поэтому башни на заводе № 264 по-прежнему продолжали сваривать из катаной брони. Группа под руководством старшего инженера НИИ-48 А. Кофмана выработала рекомендации по реорганизации башенного производства. 12—15 сентября 1941 г., когда но</w:t>
      </w:r>
      <w:r w:rsidRPr="00640820">
        <w:rPr>
          <w:rFonts w:ascii="Times New Roman" w:hAnsi="Times New Roman"/>
          <w:color w:val="000000" w:themeColor="text1"/>
          <w:sz w:val="16"/>
          <w:szCs w:val="16"/>
        </w:rPr>
        <w:softHyphen/>
        <w:t>вый метод изготовления корпуса уже вырисовывался, по предложению группы Кофмана была изготовлена пробная башня, содержавшая ряд нововведений, принятых при изготовлении корпуса (10782).</w:t>
      </w:r>
    </w:p>
    <w:p w14:paraId="3653A22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8118F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на заводе № 183 в Нижнем Тагиле из привезенных деталей заложили в сборку первый бронекорпус Т-34, но закончили его только 27 ноября (эшелон с корпусными деталями, шаб</w:t>
      </w:r>
      <w:r w:rsidRPr="00640820">
        <w:rPr>
          <w:rFonts w:ascii="Times New Roman" w:hAnsi="Times New Roman"/>
          <w:color w:val="000000" w:themeColor="text1"/>
          <w:sz w:val="16"/>
          <w:szCs w:val="16"/>
        </w:rPr>
        <w:softHyphen/>
        <w:t>лонами и кондукторами прибыл 19 ноября), и 20 декабря, в ходе контрнаступления под Москвой, сдали заказчику пер</w:t>
      </w:r>
      <w:r w:rsidRPr="00640820">
        <w:rPr>
          <w:rFonts w:ascii="Times New Roman" w:hAnsi="Times New Roman"/>
          <w:color w:val="000000" w:themeColor="text1"/>
          <w:sz w:val="16"/>
          <w:szCs w:val="16"/>
        </w:rPr>
        <w:softHyphen/>
        <w:t>вые 25 танков. Главной проблемой для этих танков стали ди</w:t>
      </w:r>
      <w:r w:rsidRPr="00640820">
        <w:rPr>
          <w:rFonts w:ascii="Times New Roman" w:hAnsi="Times New Roman"/>
          <w:color w:val="000000" w:themeColor="text1"/>
          <w:sz w:val="16"/>
          <w:szCs w:val="16"/>
        </w:rPr>
        <w:softHyphen/>
        <w:t>зель-моторы, и потому на них установили 5 дизелей В-2 (480 л.с.), полученных из Челябинска, 12 дизелей В-2-34 (500 л.с.), привезенных из Харькова, а также 8 дизелей В-2В (300 л.с. от тягача «Ворошиловец») (10782).</w:t>
      </w:r>
    </w:p>
    <w:p w14:paraId="10A6E72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FE00C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г. в Наркомате обороны состоялось важное (особенно для завода № 112) совместное совещание руководителей БТУ ГАБТУ и НКСМ по вопросу предоставления самостоятельности заводам № 112 , СТЗ при решении вопросов, связанных с производством танка Т-34. На заводе № 112 в целях уменьшения трудоемкости изготовления была подвергнута пересмотру конструкция танка Т-34 в сторону ее максимально возможного упрощения. В период с 11 по 13 октября 1941 г. Старшим военным представителем подполковником А.А. Афанасьевым была рассмотрена и утверждена конструкторская документация упро</w:t>
      </w:r>
      <w:r w:rsidRPr="00640820">
        <w:rPr>
          <w:rFonts w:ascii="Times New Roman" w:hAnsi="Times New Roman"/>
          <w:color w:val="000000" w:themeColor="text1"/>
          <w:sz w:val="16"/>
          <w:szCs w:val="16"/>
        </w:rPr>
        <w:softHyphen/>
        <w:t>щенного корпуса, а уже 25 октября 1941 г. на заводе № 112 приступили к изготовлению опытных образцов упрощенных корпусов танка (без механической обработки кромок листов после газоплазменной резки, с упрощением соединений деталей "в четверть" и введением шипового со</w:t>
      </w:r>
      <w:r w:rsidRPr="00640820">
        <w:rPr>
          <w:rFonts w:ascii="Times New Roman" w:hAnsi="Times New Roman"/>
          <w:color w:val="000000" w:themeColor="text1"/>
          <w:sz w:val="16"/>
          <w:szCs w:val="16"/>
        </w:rPr>
        <w:softHyphen/>
        <w:t>единения лобового листа с бортами и подкрылками) (10703).</w:t>
      </w:r>
    </w:p>
    <w:p w14:paraId="4470D50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57CFF1" w14:textId="77777777" w:rsidR="008C4B70" w:rsidRPr="00640820" w:rsidRDefault="008C4B70" w:rsidP="00640820">
      <w:pPr>
        <w:pStyle w:val="article-renderblock"/>
        <w:shd w:val="clear" w:color="auto" w:fill="FFFFFF"/>
        <w:spacing w:before="0" w:beforeAutospacing="0" w:after="0" w:afterAutospacing="0"/>
        <w:jc w:val="both"/>
        <w:rPr>
          <w:color w:val="0070C0"/>
          <w:sz w:val="16"/>
          <w:szCs w:val="16"/>
        </w:rPr>
      </w:pPr>
      <w:r w:rsidRPr="00640820">
        <w:rPr>
          <w:color w:val="0070C0"/>
          <w:sz w:val="16"/>
          <w:szCs w:val="16"/>
        </w:rPr>
        <w:t xml:space="preserve">10 октября 1941 руководство ГАЗ им. Молотова приостановило выпуск ГАЗ-61-73. Только это решение позволило хоть как-то наладить выпуск тягачей ГАЗ-61-416. И даже это решение позволило лишь 13 октября сдать первые ГАЗ-61-416. С момента планового запуска машины в серию прошло больше двух месяцев. Как раз к моменту поступления первых ГАЗ-61-416 на заводе № 92 прекращался выпуск ЗИС-30 (21375). </w:t>
      </w:r>
    </w:p>
    <w:p w14:paraId="5ED13BC6" w14:textId="77777777" w:rsidR="008C4B70" w:rsidRPr="00640820" w:rsidRDefault="008C4B70" w:rsidP="00640820">
      <w:pPr>
        <w:pStyle w:val="article-renderblock"/>
        <w:shd w:val="clear" w:color="auto" w:fill="FFFFFF"/>
        <w:spacing w:before="0" w:beforeAutospacing="0" w:after="0" w:afterAutospacing="0"/>
        <w:jc w:val="both"/>
        <w:rPr>
          <w:color w:val="0070C0"/>
          <w:sz w:val="16"/>
          <w:szCs w:val="16"/>
        </w:rPr>
      </w:pPr>
    </w:p>
    <w:p w14:paraId="1BEEF200" w14:textId="77777777" w:rsidR="008C4B70" w:rsidRPr="00640820" w:rsidRDefault="008C4B7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10 октября 1941 в соответствии с приказом Нарко</w:t>
      </w:r>
      <w:r w:rsidRPr="00640820">
        <w:rPr>
          <w:rFonts w:ascii="Times New Roman" w:hAnsi="Times New Roman"/>
          <w:color w:val="0070C0"/>
          <w:sz w:val="16"/>
          <w:szCs w:val="16"/>
        </w:rPr>
        <w:softHyphen/>
        <w:t>ма танковой промышленности и зам. Наркома сред</w:t>
      </w:r>
      <w:r w:rsidRPr="00640820">
        <w:rPr>
          <w:rFonts w:ascii="Times New Roman" w:hAnsi="Times New Roman"/>
          <w:color w:val="0070C0"/>
          <w:sz w:val="16"/>
          <w:szCs w:val="16"/>
        </w:rPr>
        <w:softHyphen/>
        <w:t>него машиностроения об облегчении запуска в про</w:t>
      </w:r>
      <w:r w:rsidRPr="00640820">
        <w:rPr>
          <w:rFonts w:ascii="Times New Roman" w:hAnsi="Times New Roman"/>
          <w:color w:val="0070C0"/>
          <w:sz w:val="16"/>
          <w:szCs w:val="16"/>
        </w:rPr>
        <w:softHyphen/>
        <w:t>изводство шестицилиндрового двигателя «202» Горьковского автозавода, применяющегося на воен</w:t>
      </w:r>
      <w:r w:rsidRPr="00640820">
        <w:rPr>
          <w:rFonts w:ascii="Times New Roman" w:hAnsi="Times New Roman"/>
          <w:color w:val="0070C0"/>
          <w:sz w:val="16"/>
          <w:szCs w:val="16"/>
        </w:rPr>
        <w:softHyphen/>
        <w:t>ной технике, начальнику отдела двигателей т. Брызгову Н.Н. приказывалось организовать круглосуточ</w:t>
      </w:r>
      <w:r w:rsidRPr="00640820">
        <w:rPr>
          <w:rFonts w:ascii="Times New Roman" w:hAnsi="Times New Roman"/>
          <w:color w:val="0070C0"/>
          <w:sz w:val="16"/>
          <w:szCs w:val="16"/>
        </w:rPr>
        <w:softHyphen/>
        <w:t>ную работу, выполнить приказ до 25-го числа. В соз</w:t>
      </w:r>
      <w:r w:rsidRPr="00640820">
        <w:rPr>
          <w:rFonts w:ascii="Times New Roman" w:hAnsi="Times New Roman"/>
          <w:color w:val="0070C0"/>
          <w:sz w:val="16"/>
          <w:szCs w:val="16"/>
        </w:rPr>
        <w:softHyphen/>
        <w:t>данную бригаду вошли:</w:t>
      </w:r>
    </w:p>
    <w:p w14:paraId="38C6A006" w14:textId="77777777" w:rsidR="008C4B70" w:rsidRPr="00640820" w:rsidRDefault="008C4B7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lastRenderedPageBreak/>
        <w:t>Гинцбург Б.Я. - бригадир;</w:t>
      </w:r>
    </w:p>
    <w:p w14:paraId="36F5DE99" w14:textId="77777777" w:rsidR="008C4B70" w:rsidRPr="00640820" w:rsidRDefault="008C4B7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Рамайя К.С.-отдел топлив и масел;</w:t>
      </w:r>
    </w:p>
    <w:p w14:paraId="116953F3" w14:textId="77777777" w:rsidR="008C4B70" w:rsidRPr="00640820" w:rsidRDefault="008C4B7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Компанеец М. Б. - отдел двигателей;</w:t>
      </w:r>
    </w:p>
    <w:p w14:paraId="10C645E1" w14:textId="77777777" w:rsidR="008C4B70" w:rsidRPr="00640820" w:rsidRDefault="008C4B7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Штейнбок И.И.-отдел двигателей;</w:t>
      </w:r>
    </w:p>
    <w:p w14:paraId="21738FD9" w14:textId="77777777" w:rsidR="008C4B70" w:rsidRPr="00640820" w:rsidRDefault="008C4B7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Попов Д. -1 -й отдел;</w:t>
      </w:r>
    </w:p>
    <w:p w14:paraId="696239C4" w14:textId="77777777" w:rsidR="008C4B70" w:rsidRPr="00640820" w:rsidRDefault="008C4B7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Сербинов А. И.-отдел топлив и масел; Альперович И.Г.-отдел двигателей;</w:t>
      </w:r>
    </w:p>
    <w:p w14:paraId="784F0E68" w14:textId="77777777" w:rsidR="008C4B70" w:rsidRPr="00640820" w:rsidRDefault="008C4B7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Акопян С.И.-отдел двигателей.</w:t>
      </w:r>
    </w:p>
    <w:p w14:paraId="0BE8B5CD" w14:textId="77777777" w:rsidR="008C4B70" w:rsidRPr="00640820" w:rsidRDefault="008C4B7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Механической мастерской технологического от</w:t>
      </w:r>
      <w:r w:rsidRPr="00640820">
        <w:rPr>
          <w:rFonts w:ascii="Times New Roman" w:hAnsi="Times New Roman"/>
          <w:color w:val="0070C0"/>
          <w:sz w:val="16"/>
          <w:szCs w:val="16"/>
        </w:rPr>
        <w:softHyphen/>
        <w:t>дела также поручалось круглосуточное выполнение работ.</w:t>
      </w:r>
    </w:p>
    <w:p w14:paraId="7993436C" w14:textId="77777777" w:rsidR="008C4B70" w:rsidRPr="00640820" w:rsidRDefault="008C4B7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Пусковые качества двигателя «202» испытыва</w:t>
      </w:r>
      <w:r w:rsidRPr="00640820">
        <w:rPr>
          <w:rFonts w:ascii="Times New Roman" w:hAnsi="Times New Roman"/>
          <w:color w:val="0070C0"/>
          <w:sz w:val="16"/>
          <w:szCs w:val="16"/>
        </w:rPr>
        <w:softHyphen/>
        <w:t>лись в холодильной камере института (22518).</w:t>
      </w:r>
    </w:p>
    <w:p w14:paraId="218E9127" w14:textId="77777777" w:rsidR="008C4B70" w:rsidRPr="00640820" w:rsidRDefault="008C4B70" w:rsidP="00640820">
      <w:pPr>
        <w:spacing w:after="0" w:line="240" w:lineRule="auto"/>
        <w:jc w:val="both"/>
        <w:rPr>
          <w:rFonts w:ascii="Times New Roman" w:hAnsi="Times New Roman"/>
          <w:color w:val="0070C0"/>
          <w:sz w:val="16"/>
          <w:szCs w:val="16"/>
        </w:rPr>
      </w:pPr>
    </w:p>
    <w:p w14:paraId="37A9DF7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года вышел приказ № 57 НКТП</w:t>
      </w:r>
    </w:p>
    <w:p w14:paraId="0AEF85B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 эвакуации заводов № 37, “КИМ” и Подольского им. Орджоникидзе НКТП</w:t>
      </w:r>
    </w:p>
    <w:p w14:paraId="21EAA0D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исполнение постановления ГКО от 9 октября 1941 года № ГКО-752сс:</w:t>
      </w:r>
    </w:p>
    <w:p w14:paraId="412A2C2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Оборудование и кадры заводов № 37, “КИМ” и Подольского эвакуировать в Ташкент на Ташкентский завод сельхозмашин Наркомобщемаша (6033, 78).</w:t>
      </w:r>
    </w:p>
    <w:p w14:paraId="09EBD2C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018EC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вышло Постановление ГКО № 759 Об изготовлении на заводах Москвы и области 30-35 танков Т-60 в день. (7013, 73).</w:t>
      </w:r>
    </w:p>
    <w:p w14:paraId="51D05A5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27805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г. Приказом НКСМ № 352к вновь организо</w:t>
      </w:r>
      <w:r w:rsidRPr="00640820">
        <w:rPr>
          <w:rFonts w:ascii="Times New Roman" w:hAnsi="Times New Roman"/>
          <w:color w:val="000000" w:themeColor="text1"/>
          <w:sz w:val="16"/>
          <w:szCs w:val="16"/>
        </w:rPr>
        <w:softHyphen/>
        <w:t>ванное предприятие назвали Горьковским государственным мото</w:t>
      </w:r>
      <w:r w:rsidRPr="00640820">
        <w:rPr>
          <w:rFonts w:ascii="Times New Roman" w:hAnsi="Times New Roman"/>
          <w:color w:val="000000" w:themeColor="text1"/>
          <w:sz w:val="16"/>
          <w:szCs w:val="16"/>
        </w:rPr>
        <w:softHyphen/>
        <w:t>циклетным заводом (ГМЗ), возглавлять который назначили быв</w:t>
      </w:r>
      <w:r w:rsidRPr="00640820">
        <w:rPr>
          <w:rFonts w:ascii="Times New Roman" w:hAnsi="Times New Roman"/>
          <w:color w:val="000000" w:themeColor="text1"/>
          <w:sz w:val="16"/>
          <w:szCs w:val="16"/>
        </w:rPr>
        <w:softHyphen/>
        <w:t>шего директора ЛМЗ М.Г. Соловьёва [5.8]. В соответствии с при</w:t>
      </w:r>
      <w:r w:rsidRPr="00640820">
        <w:rPr>
          <w:rFonts w:ascii="Times New Roman" w:hAnsi="Times New Roman"/>
          <w:color w:val="000000" w:themeColor="text1"/>
          <w:sz w:val="16"/>
          <w:szCs w:val="16"/>
        </w:rPr>
        <w:softHyphen/>
        <w:t>казом НКСМ № 621 ее от 8 ноября 1941 г. туда же эвакуировали ХМЗ «Серп и Молот», имя которого присвоили ГМЗ и установили следующий план выпуска М-72 на конец 1941 г.: ноябрь - 150, де</w:t>
      </w:r>
      <w:r w:rsidRPr="00640820">
        <w:rPr>
          <w:rFonts w:ascii="Times New Roman" w:hAnsi="Times New Roman"/>
          <w:color w:val="000000" w:themeColor="text1"/>
          <w:sz w:val="16"/>
          <w:szCs w:val="16"/>
        </w:rPr>
        <w:softHyphen/>
        <w:t>кабрь - 300, с условием подготовки мощностей завода для изгото</w:t>
      </w:r>
      <w:r w:rsidRPr="00640820">
        <w:rPr>
          <w:rFonts w:ascii="Times New Roman" w:hAnsi="Times New Roman"/>
          <w:color w:val="000000" w:themeColor="text1"/>
          <w:sz w:val="16"/>
          <w:szCs w:val="16"/>
        </w:rPr>
        <w:softHyphen/>
        <w:t>вления 600 мотоциклов в месяц, то есть 7200 в год [5.9]. В соответ</w:t>
      </w:r>
      <w:r w:rsidRPr="00640820">
        <w:rPr>
          <w:rFonts w:ascii="Times New Roman" w:hAnsi="Times New Roman"/>
          <w:color w:val="000000" w:themeColor="text1"/>
          <w:sz w:val="16"/>
          <w:szCs w:val="16"/>
        </w:rPr>
        <w:softHyphen/>
        <w:t>ствии с приказом № 556с от 20 октября 1941 г. оборудование, дос</w:t>
      </w:r>
      <w:r w:rsidRPr="00640820">
        <w:rPr>
          <w:rFonts w:ascii="Times New Roman" w:hAnsi="Times New Roman"/>
          <w:color w:val="000000" w:themeColor="text1"/>
          <w:sz w:val="16"/>
          <w:szCs w:val="16"/>
        </w:rPr>
        <w:softHyphen/>
        <w:t>тавленное с ЛМЗ и ХМЗ, разместили в инструментально-ремонт</w:t>
      </w:r>
      <w:r w:rsidRPr="00640820">
        <w:rPr>
          <w:rFonts w:ascii="Times New Roman" w:hAnsi="Times New Roman"/>
          <w:color w:val="000000" w:themeColor="text1"/>
          <w:sz w:val="16"/>
          <w:szCs w:val="16"/>
        </w:rPr>
        <w:softHyphen/>
        <w:t>ном цехе завода «Красная Этна», директора которого, Романова, обязали оказывать ГМЗ необходимую помощь [5.10] (11429).</w:t>
      </w:r>
    </w:p>
    <w:p w14:paraId="237392A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CDCC9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г. в соответствии с решением Совета по эвакуации всё мотоцик</w:t>
      </w:r>
      <w:r w:rsidRPr="00640820">
        <w:rPr>
          <w:rFonts w:ascii="Times New Roman" w:hAnsi="Times New Roman"/>
          <w:color w:val="000000" w:themeColor="text1"/>
          <w:sz w:val="16"/>
          <w:szCs w:val="16"/>
        </w:rPr>
        <w:softHyphen/>
        <w:t>летное технологическое оборудование ТИЗ, «незавершенку» и многих сотрудников эвакуировали в Тюмень. Туда же отправили оборудование по производству мотоциклетных двигателей с МЗММ, а также технологиче</w:t>
      </w:r>
      <w:r w:rsidRPr="00640820">
        <w:rPr>
          <w:rFonts w:ascii="Times New Roman" w:hAnsi="Times New Roman"/>
          <w:color w:val="000000" w:themeColor="text1"/>
          <w:sz w:val="16"/>
          <w:szCs w:val="16"/>
        </w:rPr>
        <w:softHyphen/>
        <w:t>ское оборудование по изготов</w:t>
      </w:r>
      <w:r w:rsidRPr="00640820">
        <w:rPr>
          <w:rFonts w:ascii="Times New Roman" w:hAnsi="Times New Roman"/>
          <w:color w:val="000000" w:themeColor="text1"/>
          <w:sz w:val="16"/>
          <w:szCs w:val="16"/>
        </w:rPr>
        <w:softHyphen/>
        <w:t>лению мотоциклов с СМЗ. Ма</w:t>
      </w:r>
      <w:r w:rsidRPr="00640820">
        <w:rPr>
          <w:rFonts w:ascii="Times New Roman" w:hAnsi="Times New Roman"/>
          <w:color w:val="000000" w:themeColor="text1"/>
          <w:sz w:val="16"/>
          <w:szCs w:val="16"/>
        </w:rPr>
        <w:softHyphen/>
        <w:t>териальные ценности, погру</w:t>
      </w:r>
      <w:r w:rsidRPr="00640820">
        <w:rPr>
          <w:rFonts w:ascii="Times New Roman" w:hAnsi="Times New Roman"/>
          <w:color w:val="000000" w:themeColor="text1"/>
          <w:sz w:val="16"/>
          <w:szCs w:val="16"/>
        </w:rPr>
        <w:softHyphen/>
        <w:t>женные в 170 вагонов, везли в Тюмень почти два месяца. Спе</w:t>
      </w:r>
      <w:r w:rsidRPr="00640820">
        <w:rPr>
          <w:rFonts w:ascii="Times New Roman" w:hAnsi="Times New Roman"/>
          <w:color w:val="000000" w:themeColor="text1"/>
          <w:sz w:val="16"/>
          <w:szCs w:val="16"/>
        </w:rPr>
        <w:softHyphen/>
        <w:t>циалисты из Таганрога прибы</w:t>
      </w:r>
      <w:r w:rsidRPr="00640820">
        <w:rPr>
          <w:rFonts w:ascii="Times New Roman" w:hAnsi="Times New Roman"/>
          <w:color w:val="000000" w:themeColor="text1"/>
          <w:sz w:val="16"/>
          <w:szCs w:val="16"/>
        </w:rPr>
        <w:softHyphen/>
        <w:t>ли на место назначения 25 ноя</w:t>
      </w:r>
      <w:r w:rsidRPr="00640820">
        <w:rPr>
          <w:rFonts w:ascii="Times New Roman" w:hAnsi="Times New Roman"/>
          <w:color w:val="000000" w:themeColor="text1"/>
          <w:sz w:val="16"/>
          <w:szCs w:val="16"/>
        </w:rPr>
        <w:softHyphen/>
        <w:t>бря 1941 г. и сразу же присту</w:t>
      </w:r>
      <w:r w:rsidRPr="00640820">
        <w:rPr>
          <w:rFonts w:ascii="Times New Roman" w:hAnsi="Times New Roman"/>
          <w:color w:val="000000" w:themeColor="text1"/>
          <w:sz w:val="16"/>
          <w:szCs w:val="16"/>
        </w:rPr>
        <w:softHyphen/>
        <w:t>пили к подготовке территории бывшего пивоваренного заво</w:t>
      </w:r>
      <w:r w:rsidRPr="00640820">
        <w:rPr>
          <w:rFonts w:ascii="Times New Roman" w:hAnsi="Times New Roman"/>
          <w:color w:val="000000" w:themeColor="text1"/>
          <w:sz w:val="16"/>
          <w:szCs w:val="16"/>
        </w:rPr>
        <w:softHyphen/>
        <w:t>да. Новое предприятие назвали Тюменский мотоциклетный за</w:t>
      </w:r>
      <w:r w:rsidRPr="00640820">
        <w:rPr>
          <w:rFonts w:ascii="Times New Roman" w:hAnsi="Times New Roman"/>
          <w:color w:val="000000" w:themeColor="text1"/>
          <w:sz w:val="16"/>
          <w:szCs w:val="16"/>
        </w:rPr>
        <w:softHyphen/>
        <w:t>вод (ТМЗ). Ему присвоили номер 65, которым обозначали ТИЗ до войны, назначили директором И.Г. Мизрухина, и подчинили Глав-мотовелопрому НКСМ. В 1941 году ТМЗ ускоренными темпами подготавливали к выпуску мотоциклов ТИЗ-АМ-600. Предстояло использовать доставленную с ТИЗ «незавершенку», а недостаю</w:t>
      </w:r>
      <w:r w:rsidRPr="00640820">
        <w:rPr>
          <w:rFonts w:ascii="Times New Roman" w:hAnsi="Times New Roman"/>
          <w:color w:val="000000" w:themeColor="text1"/>
          <w:sz w:val="16"/>
          <w:szCs w:val="16"/>
        </w:rPr>
        <w:softHyphen/>
        <w:t>щие детали изготавливать на ТМЗ и других предприятиях. Главная трудность на заводе состояла в подборе кадров, которыми ТМЗ был укомплектован лишь на 15% [5.19] (11429).</w:t>
      </w:r>
    </w:p>
    <w:p w14:paraId="292F628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E29C9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г. Постано</w:t>
      </w:r>
      <w:r w:rsidRPr="00640820">
        <w:rPr>
          <w:rFonts w:ascii="Times New Roman" w:hAnsi="Times New Roman"/>
          <w:color w:val="000000" w:themeColor="text1"/>
          <w:sz w:val="16"/>
          <w:szCs w:val="16"/>
        </w:rPr>
        <w:softHyphen/>
        <w:t>влением Совета по эвакуации при СНК СССР мотопроизводство с ТИЗ эвакуировали в Тюмень и разме</w:t>
      </w:r>
      <w:r w:rsidRPr="00640820">
        <w:rPr>
          <w:rFonts w:ascii="Times New Roman" w:hAnsi="Times New Roman"/>
          <w:color w:val="000000" w:themeColor="text1"/>
          <w:sz w:val="16"/>
          <w:szCs w:val="16"/>
        </w:rPr>
        <w:softHyphen/>
        <w:t>стили на бывшем пивзаводе, новое предприятие назвали ТМЗ и присвоили номер 65, ранее принадлежавший ТИЗу, а в соответст</w:t>
      </w:r>
      <w:r w:rsidRPr="00640820">
        <w:rPr>
          <w:rFonts w:ascii="Times New Roman" w:hAnsi="Times New Roman"/>
          <w:color w:val="000000" w:themeColor="text1"/>
          <w:sz w:val="16"/>
          <w:szCs w:val="16"/>
        </w:rPr>
        <w:softHyphen/>
        <w:t>вии с Постановлением СНК от 17 ноября 1941 г. потребовали на</w:t>
      </w:r>
      <w:r w:rsidRPr="00640820">
        <w:rPr>
          <w:rFonts w:ascii="Times New Roman" w:hAnsi="Times New Roman"/>
          <w:color w:val="000000" w:themeColor="text1"/>
          <w:sz w:val="16"/>
          <w:szCs w:val="16"/>
        </w:rPr>
        <w:softHyphen/>
        <w:t>чать на ТМЗ выпуск мотоциклов с 1 мая 1942 г. В соответствии с приказом № М-172с НКСМ от 8 марта 1942 г. на ТМЗ потребова</w:t>
      </w:r>
      <w:r w:rsidRPr="00640820">
        <w:rPr>
          <w:rFonts w:ascii="Times New Roman" w:hAnsi="Times New Roman"/>
          <w:color w:val="000000" w:themeColor="text1"/>
          <w:sz w:val="16"/>
          <w:szCs w:val="16"/>
        </w:rPr>
        <w:softHyphen/>
        <w:t>ли в 1942 г. освоить изготовление запчастей к ТИЗ-АМ-600 и вы</w:t>
      </w:r>
      <w:r w:rsidRPr="00640820">
        <w:rPr>
          <w:rFonts w:ascii="Times New Roman" w:hAnsi="Times New Roman"/>
          <w:color w:val="000000" w:themeColor="text1"/>
          <w:sz w:val="16"/>
          <w:szCs w:val="16"/>
        </w:rPr>
        <w:softHyphen/>
        <w:t>пустить 1 тыс. экземпляров М-72, а также довести мощность заво</w:t>
      </w:r>
      <w:r w:rsidRPr="00640820">
        <w:rPr>
          <w:rFonts w:ascii="Times New Roman" w:hAnsi="Times New Roman"/>
          <w:color w:val="000000" w:themeColor="text1"/>
          <w:sz w:val="16"/>
          <w:szCs w:val="16"/>
        </w:rPr>
        <w:softHyphen/>
        <w:t>да до 6 тыс. мотоциклов к июлю!943 года [5.23]. Руководство Главмотовелопрома форсировало работы по восстановлению эва</w:t>
      </w:r>
      <w:r w:rsidRPr="00640820">
        <w:rPr>
          <w:rFonts w:ascii="Times New Roman" w:hAnsi="Times New Roman"/>
          <w:color w:val="000000" w:themeColor="text1"/>
          <w:sz w:val="16"/>
          <w:szCs w:val="16"/>
        </w:rPr>
        <w:softHyphen/>
        <w:t>куированного в Тюмень мотопроизводства. Приказом № 5 от 21 января 1942 г. директору ТМЗ И.Г. Мизрухину предписали лич</w:t>
      </w:r>
      <w:r w:rsidRPr="00640820">
        <w:rPr>
          <w:rFonts w:ascii="Times New Roman" w:hAnsi="Times New Roman"/>
          <w:color w:val="000000" w:themeColor="text1"/>
          <w:sz w:val="16"/>
          <w:szCs w:val="16"/>
        </w:rPr>
        <w:softHyphen/>
        <w:t>но получить в Новосибирске дизель-генератор мощностью 600 кВт [5.37]. Позже на ТМЗ передали дублеры оснастки для М-72, эвакуированные с ЛМЗ и ХМЗ, с ГМЗ - техническую докумен</w:t>
      </w:r>
      <w:r w:rsidRPr="00640820">
        <w:rPr>
          <w:rFonts w:ascii="Times New Roman" w:hAnsi="Times New Roman"/>
          <w:color w:val="000000" w:themeColor="text1"/>
          <w:sz w:val="16"/>
          <w:szCs w:val="16"/>
        </w:rPr>
        <w:softHyphen/>
        <w:t>тацию по М-72, с ИМЗ - спецификацию на М-72 и прочие матери</w:t>
      </w:r>
      <w:r w:rsidRPr="00640820">
        <w:rPr>
          <w:rFonts w:ascii="Times New Roman" w:hAnsi="Times New Roman"/>
          <w:color w:val="000000" w:themeColor="text1"/>
          <w:sz w:val="16"/>
          <w:szCs w:val="16"/>
        </w:rPr>
        <w:softHyphen/>
        <w:t>алы [5.38].</w:t>
      </w:r>
    </w:p>
    <w:p w14:paraId="259D5F3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приказом НКСМ № 172с от 18 марта 1942 г. на ТМЗ развернули выпуск запчастей к мотоциклам АМ-600 и подготавливали выпуск М-72 с 4-го квартала 1942 г. в кооперации с ИМЗ по изготовлению двигателей и КП. Анализ производст</w:t>
      </w:r>
      <w:r w:rsidRPr="00640820">
        <w:rPr>
          <w:rFonts w:ascii="Times New Roman" w:hAnsi="Times New Roman"/>
          <w:color w:val="000000" w:themeColor="text1"/>
          <w:sz w:val="16"/>
          <w:szCs w:val="16"/>
        </w:rPr>
        <w:softHyphen/>
        <w:t>венных возможностей показал, что на ТМЗ выпуск М-72 невоз</w:t>
      </w:r>
      <w:r w:rsidRPr="00640820">
        <w:rPr>
          <w:rFonts w:ascii="Times New Roman" w:hAnsi="Times New Roman"/>
          <w:color w:val="000000" w:themeColor="text1"/>
          <w:sz w:val="16"/>
          <w:szCs w:val="16"/>
        </w:rPr>
        <w:softHyphen/>
        <w:t>можен, поэтому с ТМЗ на ГМЗ передали специальное оборудова</w:t>
      </w:r>
      <w:r w:rsidRPr="00640820">
        <w:rPr>
          <w:rFonts w:ascii="Times New Roman" w:hAnsi="Times New Roman"/>
          <w:color w:val="000000" w:themeColor="text1"/>
          <w:sz w:val="16"/>
          <w:szCs w:val="16"/>
        </w:rPr>
        <w:softHyphen/>
        <w:t>ния для выпуска КП и двигателей к М-72 [5.39]. Однако освоить выпуск М-72 на ТМЗ не смогли. В связи с этим руководство НКСМ разрешило заменить на ТМЗ выпуск М-72 на ТИЗ-АМ-600, под маркой АМ-600 [5.40]. Первые 30 мотоциклов со</w:t>
      </w:r>
      <w:r w:rsidRPr="00640820">
        <w:rPr>
          <w:rFonts w:ascii="Times New Roman" w:hAnsi="Times New Roman"/>
          <w:color w:val="000000" w:themeColor="text1"/>
          <w:sz w:val="16"/>
          <w:szCs w:val="16"/>
        </w:rPr>
        <w:softHyphen/>
        <w:t>брали в сентябре [5.41]. Однако до конца 1942 г. на ТМЗ поступа</w:t>
      </w:r>
      <w:r w:rsidRPr="00640820">
        <w:rPr>
          <w:rFonts w:ascii="Times New Roman" w:hAnsi="Times New Roman"/>
          <w:color w:val="000000" w:themeColor="text1"/>
          <w:sz w:val="16"/>
          <w:szCs w:val="16"/>
        </w:rPr>
        <w:softHyphen/>
        <w:t>ли заготовки деталей к М-72 [5.39].</w:t>
      </w:r>
    </w:p>
    <w:p w14:paraId="215B649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Тем не менее на ТМЗ для М-72 кое-что сделали. По собствен</w:t>
      </w:r>
      <w:r w:rsidRPr="00640820">
        <w:rPr>
          <w:rFonts w:ascii="Times New Roman" w:hAnsi="Times New Roman"/>
          <w:color w:val="000000" w:themeColor="text1"/>
          <w:sz w:val="16"/>
          <w:szCs w:val="16"/>
        </w:rPr>
        <w:softHyphen/>
        <w:t>ной инициативе специалисты ТМЗ спроектировали новое двух</w:t>
      </w:r>
      <w:r w:rsidRPr="00640820">
        <w:rPr>
          <w:rFonts w:ascii="Times New Roman" w:hAnsi="Times New Roman"/>
          <w:color w:val="000000" w:themeColor="text1"/>
          <w:sz w:val="16"/>
          <w:szCs w:val="16"/>
        </w:rPr>
        <w:softHyphen/>
        <w:t>дисковое сухое сцепление. От директора завода Г.Р. Ударова, на</w:t>
      </w:r>
      <w:r w:rsidRPr="00640820">
        <w:rPr>
          <w:rFonts w:ascii="Times New Roman" w:hAnsi="Times New Roman"/>
          <w:color w:val="000000" w:themeColor="text1"/>
          <w:sz w:val="16"/>
          <w:szCs w:val="16"/>
        </w:rPr>
        <w:softHyphen/>
        <w:t>значенного приказом № 13 Главмотовелопрома от 11 февраля 1942 г. [5.42], требовали к 15 мая 1942 г. изготовить опытный об</w:t>
      </w:r>
      <w:r w:rsidRPr="00640820">
        <w:rPr>
          <w:rFonts w:ascii="Times New Roman" w:hAnsi="Times New Roman"/>
          <w:color w:val="000000" w:themeColor="text1"/>
          <w:sz w:val="16"/>
          <w:szCs w:val="16"/>
        </w:rPr>
        <w:softHyphen/>
        <w:t>разец сцепления и провести сравнительные испытания вместе с аналогичным узлом, разработанным на ИМЗ [5.43].</w:t>
      </w:r>
    </w:p>
    <w:p w14:paraId="4A2F3FB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Изготовление мотоциклов АМ-600 протекало трудно из-за утраты значительной части «незавершенки» и технологических приспособлений во время эвакуации мотопроизводства из Таган</w:t>
      </w:r>
      <w:r w:rsidRPr="00640820">
        <w:rPr>
          <w:rFonts w:ascii="Times New Roman" w:hAnsi="Times New Roman"/>
          <w:color w:val="000000" w:themeColor="text1"/>
          <w:sz w:val="16"/>
          <w:szCs w:val="16"/>
        </w:rPr>
        <w:softHyphen/>
        <w:t>рога, а наладить их выпуск на ТМЗ в требуемых количествах не удалось [5.40]. И всё же, коллективу ТМЗ в течение 1942 г. при плане выпуска 300 машин удалось поставить в Красную Армию 187 мотоциклов АМ-600 и капитально отремонтировать четыре М-72 [5.44].</w:t>
      </w:r>
    </w:p>
    <w:p w14:paraId="11AB115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годы Великой Отечественной войны изготовленные мото</w:t>
      </w:r>
      <w:r w:rsidRPr="00640820">
        <w:rPr>
          <w:rFonts w:ascii="Times New Roman" w:hAnsi="Times New Roman"/>
          <w:color w:val="000000" w:themeColor="text1"/>
          <w:sz w:val="16"/>
          <w:szCs w:val="16"/>
        </w:rPr>
        <w:softHyphen/>
        <w:t>циклы поступали на ММЗ, где к ним крепили мотоколяски, воо</w:t>
      </w:r>
      <w:r w:rsidRPr="00640820">
        <w:rPr>
          <w:rFonts w:ascii="Times New Roman" w:hAnsi="Times New Roman"/>
          <w:color w:val="000000" w:themeColor="text1"/>
          <w:sz w:val="16"/>
          <w:szCs w:val="16"/>
        </w:rPr>
        <w:softHyphen/>
        <w:t>ружали и передавали представителям ГБТУ Красной Армии, ко</w:t>
      </w:r>
      <w:r w:rsidRPr="00640820">
        <w:rPr>
          <w:rFonts w:ascii="Times New Roman" w:hAnsi="Times New Roman"/>
          <w:color w:val="000000" w:themeColor="text1"/>
          <w:sz w:val="16"/>
          <w:szCs w:val="16"/>
        </w:rPr>
        <w:softHyphen/>
        <w:t>торые вели учет передаваемой в Красную Армию мототехники. Объемы мотопродукции, помесячно поступавшей в ГБТУ и изго</w:t>
      </w:r>
      <w:r w:rsidRPr="00640820">
        <w:rPr>
          <w:rFonts w:ascii="Times New Roman" w:hAnsi="Times New Roman"/>
          <w:color w:val="000000" w:themeColor="text1"/>
          <w:sz w:val="16"/>
          <w:szCs w:val="16"/>
        </w:rPr>
        <w:softHyphen/>
        <w:t>товленной на заводах, не совпадали. Сведения ГБТУ, отража</w:t>
      </w:r>
      <w:r w:rsidRPr="00640820">
        <w:rPr>
          <w:rFonts w:ascii="Times New Roman" w:hAnsi="Times New Roman"/>
          <w:color w:val="000000" w:themeColor="text1"/>
          <w:sz w:val="16"/>
          <w:szCs w:val="16"/>
        </w:rPr>
        <w:softHyphen/>
        <w:t>вшие оснащение вооруженных сил мотоциклами в 1942 г., приве</w:t>
      </w:r>
      <w:r w:rsidRPr="00640820">
        <w:rPr>
          <w:rFonts w:ascii="Times New Roman" w:hAnsi="Times New Roman"/>
          <w:color w:val="000000" w:themeColor="text1"/>
          <w:sz w:val="16"/>
          <w:szCs w:val="16"/>
        </w:rPr>
        <w:softHyphen/>
        <w:t>дены в табл. 18 [5.45] (11429).</w:t>
      </w:r>
    </w:p>
    <w:p w14:paraId="6AC403C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D0C6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ГКО принял постановление об эвакуации (173,211).</w:t>
      </w:r>
    </w:p>
    <w:p w14:paraId="706954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3DA26C9" w14:textId="77777777" w:rsidR="00515354" w:rsidRPr="00640820" w:rsidRDefault="00515354"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10 октября 1941, когда под столицей СССР сложилась очень грозная обстановка и когда Государственный Комитет Обороны постановил перебазировать из Москвы и Московской области все основные предприятия, производящие военную технику, вооружение и боеприпасы, Совет по эвакуации принял постановление № СЭ-149 сс (т.е. совершенно секретно) «Об эвакуации части предприятий Наркомэлектропрома из Москвы и Московской области». В постановлении говорилось:</w:t>
      </w:r>
    </w:p>
    <w:p w14:paraId="330EA07F" w14:textId="77777777" w:rsidR="00515354" w:rsidRPr="00640820" w:rsidRDefault="00515354"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«1.Принять предложение Наркомэлектропрома т. Кабанова об эвакуации оборудования, рабочих, ИТР и членов их семей со следующих предприятий г.Москвы и Московской области:</w:t>
      </w:r>
    </w:p>
    <w:p w14:paraId="532FF9CF" w14:textId="77777777" w:rsidR="00515354" w:rsidRPr="00640820" w:rsidRDefault="00515354"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а/ с завода № 203 им. Орджоникидзе; б/прожекторного завода им. Кагановича; в/ завода № 191; г/Всесоюзного электротехнического института ВЭИ; д/Научно-исследовательского института НИИ-20.</w:t>
      </w:r>
    </w:p>
    <w:p w14:paraId="728F5396" w14:textId="77777777" w:rsidR="00515354" w:rsidRPr="00640820" w:rsidRDefault="00515354"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Размещение вышеуказанных предприятий произвести в пунктах назначения согласно приложения»./ Государственный архив Россий-</w:t>
      </w:r>
    </w:p>
    <w:p w14:paraId="7F869614" w14:textId="77777777" w:rsidR="00515354" w:rsidRPr="00640820" w:rsidRDefault="00515354"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ской Федерации (далее: ГА РФ), Р-6822, опись (оп.) 1, дело 150, лист 73/.</w:t>
      </w:r>
    </w:p>
    <w:p w14:paraId="69386F61" w14:textId="77777777" w:rsidR="00515354" w:rsidRPr="00640820" w:rsidRDefault="00515354"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Завод № 191 должен был разместиться в 4 местах: в г. Уфе Башкирской АССР (производство стеклянных радиоламп), в гг. Чкалове и Новосибирске (производство металлических ламп), в г. Петропавловске ( производство мощных радиоламп)./ГАРФ, там же, л.76/ (17424).</w:t>
      </w:r>
    </w:p>
    <w:p w14:paraId="3515CEA8" w14:textId="77777777" w:rsidR="00515354" w:rsidRPr="00640820" w:rsidRDefault="00515354"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p>
    <w:p w14:paraId="7E96BA2E" w14:textId="77777777" w:rsidR="001063EE" w:rsidRPr="00640820" w:rsidRDefault="001063E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период с 10 октября по 28 ноября 1941 г., ввиду стремительного приближения фронта, из Красногорска в Новосибирск было отправлено около 2,5 тыс. единиц оборудования завода №  69, где они были размещены в помещениях Института военных инженеров железнодорожного транспорта и Военной школы пограничников, туда же частично был эвакуирован ЛОМЗ (№  350). На новом месте продолжается мелкосерийное производство биноклей БТ 7 х 50 для нужд НКВМФ и зенитных частей. Производство Б-6 и Б-3 постепенно сворачивается в конце 1941  — начале 1942 гг. За 1942–1945 гг. в Новосибирске было изготовлено около 14 тыс. биноклей БТ 7 х 50 и несколько сотен Б-3. После окончания войны завод №  69 не реэвакуировался назад в Красногорск и позже был переименован в Новосибирский приборостроительный завод (22791).</w:t>
      </w:r>
    </w:p>
    <w:p w14:paraId="77718599" w14:textId="77777777" w:rsidR="001063EE" w:rsidRPr="00640820" w:rsidRDefault="001063EE" w:rsidP="00640820">
      <w:pPr>
        <w:spacing w:after="0" w:line="240" w:lineRule="auto"/>
        <w:jc w:val="both"/>
        <w:rPr>
          <w:rFonts w:ascii="Times New Roman" w:hAnsi="Times New Roman"/>
          <w:color w:val="0070C0"/>
          <w:sz w:val="16"/>
          <w:szCs w:val="16"/>
        </w:rPr>
      </w:pPr>
    </w:p>
    <w:p w14:paraId="20A5C4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10 октября 1941 в эвакуацию в Томск прибыли Конотопский электромеханический завод «Красный металлист» и Харьковский завод маркшейдерских инструментов. Разместились в корпусах ТЭМЗа (11858).</w:t>
      </w:r>
    </w:p>
    <w:p w14:paraId="1270F2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21C2C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г. воронежский завод радио</w:t>
      </w:r>
      <w:r w:rsidRPr="00640820">
        <w:rPr>
          <w:rFonts w:ascii="Times New Roman" w:hAnsi="Times New Roman"/>
          <w:color w:val="000000" w:themeColor="text1"/>
          <w:sz w:val="16"/>
          <w:szCs w:val="16"/>
        </w:rPr>
        <w:softHyphen/>
        <w:t>приемной аппаратуры «Электросигнал был эвакуирован в Новосибирск и послужил основой для нового завода «Электросигнал» (завод № 590). Есть упоминания, что в 1942 г. завод «Электросигнал» эвакуировался в Красноярск.</w:t>
      </w:r>
      <w:r w:rsidRPr="00640820">
        <w:rPr>
          <w:rFonts w:ascii="Times New Roman" w:hAnsi="Times New Roman"/>
          <w:color w:val="000000" w:themeColor="text1"/>
          <w:sz w:val="16"/>
          <w:szCs w:val="16"/>
          <w:vertAlign w:val="superscript"/>
        </w:rPr>
        <w:t>130</w:t>
      </w:r>
      <w:r w:rsidRPr="00640820">
        <w:rPr>
          <w:rFonts w:ascii="Times New Roman" w:hAnsi="Times New Roman"/>
          <w:color w:val="000000" w:themeColor="text1"/>
          <w:sz w:val="16"/>
          <w:szCs w:val="16"/>
        </w:rPr>
        <w:t xml:space="preserve"> После освобождения Воронежа от оккупации зимой 1943 г. завод был восстановлен на прежней площадке и в 05.1944 г. начал выпуск радиоприемников.</w:t>
      </w:r>
    </w:p>
    <w:p w14:paraId="5DE3F2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728 НКС, МПСС , Завод «Красный сигналист», ГС Воронежский завод радио</w:t>
      </w:r>
      <w:r w:rsidRPr="00640820">
        <w:rPr>
          <w:rFonts w:ascii="Times New Roman" w:hAnsi="Times New Roman"/>
          <w:color w:val="000000" w:themeColor="text1"/>
          <w:sz w:val="16"/>
          <w:szCs w:val="16"/>
        </w:rPr>
        <w:softHyphen/>
        <w:t>приемной аппаратуры «Электросигнал» НКТП, НКОП, НКАП, НКЭП, В-8865, ПО «Электросигнал» МПСС, АООТ, ОАО «Электросигнал» /г. Воронеж Задонское ш. а/я 5/ /394026  г. Воронеж ул. Электросигнальная, 1 тел. 16-04-94, -24-87/</w:t>
      </w:r>
    </w:p>
    <w:p w14:paraId="0CC9EE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1953 г. начато производство телевизоров, далее завод стал ведущим по этому направлению.</w:t>
      </w:r>
    </w:p>
    <w:p w14:paraId="39DC42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Имел наименование «п/я В-8865». В 1977 г. на базе завода создано ПО «Электросигнал», в состав которого входил также завод «Сигнал» ( г. Коммунарск). На базе завода были созданы предприятия: Воронежский завод радиодеталей (1948 г.), Воронежский радиозавод «Полюс» (1954 г.), Воронежский НИИ «Вега» (1956 г.), ВНИИС (1958 г.), «Рекорд-сервис» (1990 г.). ПО имело филиал, в 03.1982 г. из него выделился самостоятельный завод «Орион» ( г. Тернополь).</w:t>
      </w:r>
    </w:p>
    <w:p w14:paraId="51FDD7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02.1993 г. предприятие преобразовано в АООТ, с 1996 г.- ОАО «Электросигнал». По решению правительства № 22-р от 9.01.2004 г. ОАО вошло в перечень стратегических предприятий.</w:t>
      </w:r>
    </w:p>
    <w:p w14:paraId="124D94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Разработка и производство (2002 г.): средства связи специального и общего назначения для МО и силовых структур; мобильные узлы связи на шасси бронетехники; телевизоры.</w:t>
      </w:r>
    </w:p>
    <w:p w14:paraId="454E18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Имелось 5 дочерних предприятий (2005 г.): ООО «Завод «ЭЛТА», ООО «Завод «ЭЛМА», ООО «Агрофирма «Поляны», ООО «Телекомпания «ВЭЛС-ТВ», ООО «База отдыха «Сигнал».</w:t>
      </w:r>
    </w:p>
    <w:p w14:paraId="6009FF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(1932 г.-)-  Г.М. Гройсер-Де-Маре, (-11.02.1937 г.)- А.А. Нудэ, (11.02.1937-5.03.1938 г.)- А(Н).И. Щеголь (снят); и.о. (29.04-05.1938 г.)- В.М. Карпов; (14.05-11.1938 г.-)- В.М. Карпов, (1949-68 г.)-  Г.П. Фурсов, (1968-87 г.)- Н.А. Потапов. Гендиректор (1996 г.-&gt; Б.В. Харченко, (2004 г.-)-  Г.Н. Потапов.</w:t>
      </w:r>
    </w:p>
    <w:p w14:paraId="7A8A90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(-27.05.1937 г.)- И.К. Вирзин, (27.05.1937 г.-&gt; В.И. Нефедов, (14.10.1937 г.-)- И.Т. Козенко.</w:t>
      </w:r>
    </w:p>
    <w:p w14:paraId="30CEE0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Технический директор (03.1937 г.)- Л.А. Раков.</w:t>
      </w:r>
    </w:p>
    <w:p w14:paraId="0B8637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(16.02.1937 г.-)- Л.А. Раков, (14.10.1937-19.07.1938 г.)- И.Т. Козенко, (9.05-11.1938 г.-)-  Г.К. Марисов.</w:t>
      </w:r>
    </w:p>
    <w:p w14:paraId="3701B1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инженера (16.02.1937 г.-)- В.Н. Котельников.</w:t>
      </w:r>
    </w:p>
    <w:p w14:paraId="571261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производства (16.02.1937 г.-)- В.Н. Котельников.</w:t>
      </w:r>
    </w:p>
    <w:p w14:paraId="772F83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цехов: конденсаторного (03.1937 г.-)- И. Г. Козенок.</w:t>
      </w:r>
      <w:r w:rsidRPr="00640820">
        <w:rPr>
          <w:rFonts w:ascii="Times New Roman" w:hAnsi="Times New Roman"/>
          <w:color w:val="000000" w:themeColor="text1"/>
          <w:sz w:val="16"/>
          <w:szCs w:val="16"/>
          <w:vertAlign w:val="superscript"/>
        </w:rPr>
        <w:t>Ь9</w:t>
      </w:r>
    </w:p>
    <w:p w14:paraId="74D9C8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 радиоприемники:</w:t>
      </w:r>
      <w:r w:rsidRPr="00640820">
        <w:rPr>
          <w:rFonts w:ascii="Times New Roman" w:hAnsi="Times New Roman"/>
          <w:color w:val="000000" w:themeColor="text1"/>
          <w:sz w:val="16"/>
          <w:szCs w:val="16"/>
        </w:rPr>
        <w:t xml:space="preserve"> П-8 (1934-), батарейный БИ-234 (1934-), сетевой СИ-234 (1934-), СИ-235 (- 1939), 9Н-4 (1937-), 4НБС-6 (1938-), 6НГ-1 (1938), 6Н-1 (американский, 1939-40-), СР-1 (1940)- 100 тыс., 4ДН-6 (1940)- 20 тыс., СПБ (1940)- 4 тыс., ФДН-6 (1940), 9Н-19 (1941-), комбайн Т-19 (1941)- 10, «Родина» (1945-), «Родина-45, -46, -47 (ЭЛС-3), -52, -53, -58, -59, -60М1», «Электросигнал» ЭЛС-2, ЭЛС-3 (1944-45), «Воронеж» (1952-); радиола Д-11 (1939-); репродукторы «Говорящая бумага» (1940-), «Говорящий целлофан» (1941-); </w:t>
      </w:r>
      <w:r w:rsidRPr="00640820">
        <w:rPr>
          <w:rFonts w:ascii="Times New Roman" w:hAnsi="Times New Roman"/>
          <w:iCs/>
          <w:color w:val="000000" w:themeColor="text1"/>
          <w:sz w:val="16"/>
          <w:szCs w:val="16"/>
        </w:rPr>
        <w:t>радиостанции:</w:t>
      </w:r>
      <w:r w:rsidRPr="00640820">
        <w:rPr>
          <w:rFonts w:ascii="Times New Roman" w:hAnsi="Times New Roman"/>
          <w:color w:val="000000" w:themeColor="text1"/>
          <w:sz w:val="16"/>
          <w:szCs w:val="16"/>
        </w:rPr>
        <w:t xml:space="preserve"> АРС (1949-), ЦРС (1949-), «Марс» (1949-), «Плахпет» (1949-), «Парус», «Алтай» (1979-), «Лен» (1979-), «Маяк» (1979-), «Маяк-Дуэт» (2000-е), «Эстакада» (1979-), «Гранит», «Фазан» (2000-е), центровая «Алтай-ЦС», локомотивная «Транспорт-РВ-1» (1995-2000-е), промышленные УКВ: «Сигнал-Н», портативная ВЭЛС (2000-е); Р-107М, Р-111, Р-159, Р-163, Р-168-100 (2000-е), Р-407; система радиосвязи ВЭЛС-Л (2000-е); 1РТМ-А2-ЧМ; радиоузел "5-</w:t>
      </w:r>
      <w:r w:rsidRPr="00640820">
        <w:rPr>
          <w:rFonts w:ascii="Times New Roman" w:hAnsi="Times New Roman"/>
          <w:color w:val="000000" w:themeColor="text1"/>
          <w:sz w:val="16"/>
          <w:szCs w:val="16"/>
          <w:lang w:val="en-US"/>
        </w:rPr>
        <w:t>W</w:t>
      </w:r>
      <w:r w:rsidRPr="00640820">
        <w:rPr>
          <w:rFonts w:ascii="Times New Roman" w:hAnsi="Times New Roman"/>
          <w:color w:val="000000" w:themeColor="text1"/>
          <w:sz w:val="16"/>
          <w:szCs w:val="16"/>
        </w:rPr>
        <w:t>";</w:t>
      </w:r>
      <w:r w:rsidRPr="00640820">
        <w:rPr>
          <w:rFonts w:ascii="Times New Roman" w:hAnsi="Times New Roman"/>
          <w:iCs/>
          <w:color w:val="000000" w:themeColor="text1"/>
          <w:sz w:val="16"/>
          <w:szCs w:val="16"/>
        </w:rPr>
        <w:t xml:space="preserve"> телевизоры:</w:t>
      </w:r>
      <w:r w:rsidRPr="00640820">
        <w:rPr>
          <w:rFonts w:ascii="Times New Roman" w:hAnsi="Times New Roman"/>
          <w:color w:val="000000" w:themeColor="text1"/>
          <w:sz w:val="16"/>
          <w:szCs w:val="16"/>
        </w:rPr>
        <w:t xml:space="preserve"> КВН-49 (1953-), «Воронеж» (1956-), «Воронеж-2, -3, -6», «Рекорд» (1956-), «Рекорд-12, -64, -В300, -В305, -В306 (1972-), -В307, -В308, -В310, -В311, -В312 (1975-), -В350, ВЦ310, ВЦ-311, ВЦ-381 (1984-)», «ВЭЛС» 34ТБ-413 (1991-), 23ТБ-433, 51ТЦ-49; устройства зарядные УЗ-10, ПЗУ-6-1 (2000-е).</w:t>
      </w:r>
      <w:r w:rsidRPr="00640820">
        <w:rPr>
          <w:rFonts w:ascii="Times New Roman" w:hAnsi="Times New Roman"/>
          <w:color w:val="000000" w:themeColor="text1"/>
          <w:sz w:val="16"/>
          <w:szCs w:val="16"/>
          <w:vertAlign w:val="superscript"/>
        </w:rPr>
        <w:t>101</w:t>
      </w:r>
      <w:r w:rsidRPr="00640820">
        <w:rPr>
          <w:rFonts w:ascii="Times New Roman" w:hAnsi="Times New Roman"/>
          <w:color w:val="000000" w:themeColor="text1"/>
          <w:sz w:val="16"/>
          <w:szCs w:val="16"/>
        </w:rPr>
        <w:t>'</w:t>
      </w:r>
    </w:p>
    <w:p w14:paraId="61E136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«Сигнал», В-8955 /Украина  г. Коммунарск Луганской обл./</w:t>
      </w:r>
    </w:p>
    <w:p w14:paraId="17F853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являлся филиалом завода «Электросигнал», затем входил в состав ПО «Электросигнал». Имел наименование «п/я В-8955».</w:t>
      </w:r>
    </w:p>
    <w:p w14:paraId="2CB150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радиостанция «Гранит-М».</w:t>
      </w:r>
    </w:p>
    <w:p w14:paraId="29674C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ПО «Орион», ОАО «Тернопольский радиозавод (ТРЗ) «Орион» /Украина  г. Тернополь ул. 15-го Квитня, 6/</w:t>
      </w:r>
    </w:p>
    <w:p w14:paraId="7AEDA6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«Орион» в 03.1982 г. выделился из состава филиала ПО «Электросигнал» в самостоятельный завод. В 08.1989 г. на базе завода создано ПО «Орион». В 10.1998 г. преобразовано в ОАО «ТРЗ «Орион».</w:t>
      </w:r>
    </w:p>
    <w:p w14:paraId="0A2704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электропроигрыватели: «Орбита-001С, ЭП-001С»; магнитолы: «Селена», «Топильче РМ- 201С»; радиоприемники: «Орион РП-201, РП-206».</w:t>
      </w:r>
    </w:p>
    <w:p w14:paraId="15EF7C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Воронежский завод радиодеталей, А-7058, ОАО «Воронежский завод радиодеталей» /г. Воронеж/</w:t>
      </w:r>
    </w:p>
    <w:p w14:paraId="1F7A6B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 в 1948 г. на базе завода «Электросигнал». Имел наименование «п/я А-7058».</w:t>
      </w:r>
    </w:p>
    <w:p w14:paraId="366FD3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7B0A25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транзистор П-216.</w:t>
      </w:r>
    </w:p>
    <w:p w14:paraId="4F4451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Воронежский радиозавод, ПО «Полюс», Р-6797, ОАО «Воронежский радиозавод «Полюс» /г. Воронеж а/я 10/ /394640  г. Воронеж ул. 9 Января, 180/</w:t>
      </w:r>
    </w:p>
    <w:p w14:paraId="0AFA9D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 в начале 1954 г. на базе завода «Электросигнал». Имел наименование «п/я Р-6797».</w:t>
      </w:r>
    </w:p>
    <w:p w14:paraId="4B7F69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Специализировался на производстве шифровального оборудования для служб безопасности и оборудовании для телекоммуникационных систем. С 1959 г. начата разработка и производство портативных транзисторных приемников, широкополосных усилителей. Выпускалось также оборудование для измерения и регулирования температуры и влажности в зернохранилищах, устройства звуковой сигнализации.</w:t>
      </w:r>
    </w:p>
    <w:p w14:paraId="71F035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Р-389, Р-391; блоки для Р-359;</w:t>
      </w:r>
      <w:r w:rsidRPr="00640820">
        <w:rPr>
          <w:rFonts w:ascii="Times New Roman" w:hAnsi="Times New Roman"/>
          <w:iCs/>
          <w:color w:val="000000" w:themeColor="text1"/>
          <w:sz w:val="16"/>
          <w:szCs w:val="16"/>
        </w:rPr>
        <w:t xml:space="preserve"> радиоприемники:</w:t>
      </w:r>
      <w:r w:rsidRPr="00640820">
        <w:rPr>
          <w:rFonts w:ascii="Times New Roman" w:hAnsi="Times New Roman"/>
          <w:color w:val="000000" w:themeColor="text1"/>
          <w:sz w:val="16"/>
          <w:szCs w:val="16"/>
        </w:rPr>
        <w:t xml:space="preserve"> «Воронеж» (1954-), «Дорожный» (1954-), «Новь» (1956-), «Спутник» (1957-), «Сюрприз» (1957-), «Стрела» (1959-), «Сувенир», «Атмосфера» (1959-), «Атмосфера-2 (</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960-)», «Альпинист» (1964-), «Альпинист-2, -3 (1964-), -405 (1972-), -406, -407 (1975-), -415, -417, -418 (1979-), -419, -420, -320 (1984-), -321 (1986-), -221 (1990-), -224 (1991-), РП-224, РП-226С, РП-229»; радиола «Стрела»; магнитола «Альпинист-411».</w:t>
      </w:r>
      <w:r w:rsidRPr="00640820">
        <w:rPr>
          <w:rFonts w:ascii="Times New Roman" w:hAnsi="Times New Roman"/>
          <w:color w:val="000000" w:themeColor="text1"/>
          <w:sz w:val="16"/>
          <w:szCs w:val="16"/>
          <w:vertAlign w:val="superscript"/>
        </w:rPr>
        <w:t>108</w:t>
      </w:r>
    </w:p>
    <w:p w14:paraId="274749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ФГУП «Воронежский НИИ «Вега» /г. Воронеж/</w:t>
      </w:r>
    </w:p>
    <w:p w14:paraId="74E4E4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 в 1956 г. на базе завода «Электросигнал».</w:t>
      </w:r>
    </w:p>
    <w:p w14:paraId="0C1CF5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Указу Президента РФ № 1009 от 4.08.2004 г. вошло в перечень стратегических оборонных предприятий.</w:t>
      </w:r>
    </w:p>
    <w:p w14:paraId="4DF8B0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Воронежский НИИ связи (ВНИИС) МПСС, Р-6208, Минсвязи, ФГУП «Воронежский НИИС», ОАО «Концерн «Созвездие» /394018  г. Воронеж ул. Плехановская, 14 тел. 52-10-06, -12-59/</w:t>
      </w:r>
    </w:p>
    <w:p w14:paraId="588B7C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Образован 1.05.1958 г. на базе завода «Электросигнал» для исследований и разработок в области систем и средств сухопутной подвижной связи. Головной институт по данному направлению. Имел наименование «п/я Р- 6208».</w:t>
      </w:r>
    </w:p>
    <w:p w14:paraId="7A3C9E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Работы (1958-75 г.): разработка средств радиосвязи и управления; (1975-95 г.): разработка АСУ и связи с адаптацией к внешним воздействиям; (1995 г.-): разработка АСУ и гибко программируемых многофункциональных средств радиосвязи, в т.ч. СУ войсками, оружием, средствами радиосвязи и радиоподавления; (2005 г.): технологические средства для </w:t>
      </w:r>
      <w:r w:rsidRPr="00640820">
        <w:rPr>
          <w:rFonts w:ascii="Times New Roman" w:hAnsi="Times New Roman"/>
          <w:color w:val="000000" w:themeColor="text1"/>
          <w:sz w:val="16"/>
          <w:szCs w:val="16"/>
          <w:lang w:val="en-US"/>
        </w:rPr>
        <w:t>CDMA</w:t>
      </w:r>
      <w:r w:rsidRPr="00640820">
        <w:rPr>
          <w:rFonts w:ascii="Times New Roman" w:hAnsi="Times New Roman"/>
          <w:color w:val="000000" w:themeColor="text1"/>
          <w:sz w:val="16"/>
          <w:szCs w:val="16"/>
        </w:rPr>
        <w:t>-технологий; устройства кодирования, перемежения и технического закрытия информации; фильтры, линии задержки и устройства обработки данных; автоматизированные антенно-мачтовые устройства высотой до 70 м; высокостабильные кварцевые генераторы.</w:t>
      </w:r>
    </w:p>
    <w:p w14:paraId="02A8A1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1977 г., после образования Запорожского НИИРС, туда переданы работы по разработке </w:t>
      </w:r>
      <w:r w:rsidRPr="00640820">
        <w:rPr>
          <w:rFonts w:ascii="Times New Roman" w:hAnsi="Times New Roman"/>
          <w:color w:val="000000" w:themeColor="text1"/>
          <w:sz w:val="16"/>
          <w:szCs w:val="16"/>
          <w:lang w:val="en-US"/>
        </w:rPr>
        <w:t>KB</w:t>
      </w:r>
      <w:r w:rsidRPr="00640820">
        <w:rPr>
          <w:rFonts w:ascii="Times New Roman" w:hAnsi="Times New Roman"/>
          <w:color w:val="000000" w:themeColor="text1"/>
          <w:sz w:val="16"/>
          <w:szCs w:val="16"/>
        </w:rPr>
        <w:t xml:space="preserve"> радиостанций.</w:t>
      </w:r>
    </w:p>
    <w:p w14:paraId="1A4075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Принимал участие в разработке абонентской станции спутниковой связи для ВС Р-439-МДЗКР (совместно с НПП «Радиосвязь»).</w:t>
      </w:r>
    </w:p>
    <w:p w14:paraId="35E916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Указу Президента № 993 от 29.07.2004 г. Воронежский НИИ связи преобразован в ОАО «Концерн «Созвездие». По Указу Президента РФ № 1009 от 4.08.2004 г. вошло в перечень стратегических оборонных предприятий.</w:t>
      </w:r>
    </w:p>
    <w:p w14:paraId="4A0E63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 Концерна входили (2006 г.): 16 предприятий, в т.ч. ВНИИС, КБОР, Сарапульский радиозавод.</w:t>
      </w:r>
    </w:p>
    <w:p w14:paraId="2515F5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(2006 г.): разработка и производство: АСУ и связи тактического звена, систем телекодовой и речевой связи комплексов ПВО, АСУ и средств РЭБ, АСУ и связи спецназначения, систем и средств радиосвязи для народного хозяйства.</w:t>
      </w:r>
    </w:p>
    <w:p w14:paraId="567BCC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(2005 г.)- около 5000 чел.</w:t>
      </w:r>
      <w:r w:rsidRPr="00640820">
        <w:rPr>
          <w:rFonts w:ascii="Times New Roman" w:hAnsi="Times New Roman"/>
          <w:color w:val="000000" w:themeColor="text1"/>
          <w:sz w:val="16"/>
          <w:szCs w:val="16"/>
          <w:vertAlign w:val="superscript"/>
        </w:rPr>
        <w:t>101</w:t>
      </w:r>
    </w:p>
    <w:p w14:paraId="6662C1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(1958-86 г.)- К.Я. Петров, Б.Я. Осипов,</w:t>
      </w:r>
      <w:r w:rsidRPr="00640820">
        <w:rPr>
          <w:rFonts w:ascii="Times New Roman" w:hAnsi="Times New Roman"/>
          <w:color w:val="000000" w:themeColor="text1"/>
          <w:sz w:val="16"/>
          <w:szCs w:val="16"/>
          <w:vertAlign w:val="superscript"/>
        </w:rPr>
        <w:t>122</w:t>
      </w:r>
      <w:r w:rsidRPr="00640820">
        <w:rPr>
          <w:rFonts w:ascii="Times New Roman" w:hAnsi="Times New Roman"/>
          <w:color w:val="000000" w:themeColor="text1"/>
          <w:sz w:val="16"/>
          <w:szCs w:val="16"/>
        </w:rPr>
        <w:t xml:space="preserve"> А.П. Биленко,</w:t>
      </w:r>
      <w:r w:rsidRPr="00640820">
        <w:rPr>
          <w:rFonts w:ascii="Times New Roman" w:hAnsi="Times New Roman"/>
          <w:color w:val="000000" w:themeColor="text1"/>
          <w:sz w:val="16"/>
          <w:szCs w:val="16"/>
          <w:vertAlign w:val="superscript"/>
        </w:rPr>
        <w:t>122</w:t>
      </w:r>
      <w:r w:rsidRPr="00640820">
        <w:rPr>
          <w:rFonts w:ascii="Times New Roman" w:hAnsi="Times New Roman"/>
          <w:color w:val="000000" w:themeColor="text1"/>
          <w:sz w:val="16"/>
          <w:szCs w:val="16"/>
        </w:rPr>
        <w:t xml:space="preserve"> (1986-2003 г.-)- В.И. Борисов. Гендиректор (-2005-06 Г.-)- В.И. Борисов.</w:t>
      </w:r>
    </w:p>
    <w:p w14:paraId="75B165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по науке (2001 г.)- И.И. Малышев.</w:t>
      </w:r>
    </w:p>
    <w:p w14:paraId="3195C0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 конструктор (-2003-06 г.-)- В. Борисов.</w:t>
      </w:r>
    </w:p>
    <w:p w14:paraId="5914A8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конструктора- И.И. Малышев.</w:t>
      </w:r>
    </w:p>
    <w:p w14:paraId="088710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А.П. Биленко, Н.А. Рудиков, В.И. Николаев, Э.А. Янутан.</w:t>
      </w:r>
    </w:p>
    <w:p w14:paraId="40990D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технолог- В.З. Курцев.</w:t>
      </w:r>
    </w:p>
    <w:p w14:paraId="4A9B69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Гл. конструкторы: Б.Я. Осипов, А.П. Биленко (аппаратура 15Э), </w:t>
      </w:r>
      <w:r w:rsidRPr="00640820">
        <w:rPr>
          <w:rFonts w:ascii="Times New Roman" w:hAnsi="Times New Roman"/>
          <w:color w:val="000000" w:themeColor="text1"/>
          <w:sz w:val="16"/>
          <w:szCs w:val="16"/>
          <w:lang w:val="en-US"/>
        </w:rPr>
        <w:t>JI</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T</w:t>
      </w:r>
      <w:r w:rsidRPr="00640820">
        <w:rPr>
          <w:rFonts w:ascii="Times New Roman" w:hAnsi="Times New Roman"/>
          <w:color w:val="000000" w:themeColor="text1"/>
          <w:sz w:val="16"/>
          <w:szCs w:val="16"/>
        </w:rPr>
        <w:t>. Болотин («Выстрел», «Выстрел-М»),</w:t>
      </w:r>
    </w:p>
    <w:p w14:paraId="472126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Начальники отделов: микроэлектроники-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Цымбалюк.</w:t>
      </w:r>
    </w:p>
    <w:p w14:paraId="5DD282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Создано: радиостанции:</w:t>
      </w:r>
      <w:r w:rsidRPr="00640820">
        <w:rPr>
          <w:rFonts w:ascii="Times New Roman" w:hAnsi="Times New Roman"/>
          <w:color w:val="000000" w:themeColor="text1"/>
          <w:sz w:val="16"/>
          <w:szCs w:val="16"/>
        </w:rPr>
        <w:t xml:space="preserve"> тактического звена: Р-111, Р-123, Р-124, Р-129 «Выстрел» (1960-е), Р-130 «Выстрел- М» (1960-е), Р-134, Р-143, Р-163, Р-173 (1970-е); КВ-УКВ диапазона Р-168 «Акведук» (1975); для оперативной связи сухопутных и пограничных войск: «Визиви», «Виконт», «Гондола», «Малыш», «Уран», «Сокол»; для МВД «Вызов», «Сигнал», «Марс», «Сирена», «Пальма», «Виола»; для КГБ «Сова», «Зяблик», «Чайка», «Кайра»; линии управления «Круг», «Краб», «Эвольвента» (1970-е), линии управления и связи с псевдослучайной </w:t>
      </w:r>
      <w:r w:rsidRPr="00640820">
        <w:rPr>
          <w:rFonts w:ascii="Times New Roman" w:hAnsi="Times New Roman"/>
          <w:color w:val="000000" w:themeColor="text1"/>
          <w:sz w:val="16"/>
          <w:szCs w:val="16"/>
          <w:lang w:val="en-US"/>
        </w:rPr>
        <w:t>nqHopriMB</w:t>
      </w:r>
      <w:r w:rsidRPr="00640820">
        <w:rPr>
          <w:rFonts w:ascii="Times New Roman" w:hAnsi="Times New Roman"/>
          <w:color w:val="000000" w:themeColor="text1"/>
          <w:sz w:val="16"/>
          <w:szCs w:val="16"/>
        </w:rPr>
        <w:t xml:space="preserve"> рабочих частот (ППРЧ) «Акведук» (1990-е); аппаратура закрытой системы связи 15Э; изделия «Карабах «Порт», «Кама-С, -П», «Беркут», «Глет-Н, -3», «Лес», «Волемот», «Лен», «Акватория»; навигацпан аппаратура «Азимут» (2000-е); релейная станция «Луч МТ» (2000-е); система связи для МПС «Транспорт»; транкинговая система общего пользования «Алтай» (1970-е).</w:t>
      </w:r>
    </w:p>
    <w:p w14:paraId="6FE3E2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КБ опытных работ (КБОР) МПСС, ФГУП «КБОР» ФАП /115093  г. Москва 1-й Щипковский пер., 3 тел. 235-83-27/</w:t>
      </w:r>
    </w:p>
    <w:p w14:paraId="1479F4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Образовано по приказу МПСС в 12.1974 г. для создания подвижных систем связи специального назначения. С помощью региональных подразделений вело строительство объектов связи, монтаж и наладку систем связи, завершенных в 1982 г. В 1980-е  г. При помощи КБОР были введены в строй Киевский институт радиотехнических материалов, Минский институт радиоматериалов, Боровский завод спецматериалов и Кольский завод спецматериалов.</w:t>
      </w:r>
    </w:p>
    <w:p w14:paraId="259F43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1980-е  г. на базе КБОР и СКБ материалов ЦНИТИ «Техномаш» создан Отраслевой центр специального материаловедения. Им разработано более 200 новых материалов. Велись работы в области радиационных методов модификации материалов, биозащиты, тропикоустойчивости, утилизации многокомпонентного металлолома.</w:t>
      </w:r>
    </w:p>
    <w:p w14:paraId="69E9E7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Имело Боровский филиал (1975-79 г.).</w:t>
      </w:r>
    </w:p>
    <w:p w14:paraId="4D637A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1998 г. главным направлением КБОР стало создание и выпуск многофункциональных систем регистрации и приема-передачи информации серии МСР.</w:t>
      </w:r>
    </w:p>
    <w:p w14:paraId="7C6578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5BD4DD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Входил в состав Концерна «Созвездие» (2006 г.).</w:t>
      </w:r>
    </w:p>
    <w:p w14:paraId="104AC2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(2006 г.): создание и эксплуатация многофункциональных систем регистрации, мониторинга и управления силами и средствами.</w:t>
      </w:r>
    </w:p>
    <w:p w14:paraId="1F1736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А.И. Студеницын, В.А. Латышев, (1980-е-2000 г.-)- З.П. Баскаев. Гендиректор (-2005-06 г.-)- В.В. Симаков (11982).</w:t>
      </w:r>
    </w:p>
    <w:p w14:paraId="587F8B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01662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вышло Постановление Военного совета фронта о постройке еще 100 плашкоутов для Ладоги (10671).</w:t>
      </w:r>
    </w:p>
    <w:p w14:paraId="65DCBF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0999FEC"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009910E8"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B2A448A"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10 октября </w:t>
      </w:r>
      <w:r w:rsidRPr="00640820">
        <w:rPr>
          <w:rFonts w:ascii="Times New Roman" w:hAnsi="Times New Roman"/>
          <w:color w:val="000000" w:themeColor="text1"/>
          <w:sz w:val="16"/>
          <w:szCs w:val="16"/>
        </w:rPr>
        <w:t>в 1941 году утреннее сообщение Совинформбюро:</w:t>
      </w:r>
    </w:p>
    <w:p w14:paraId="6F9414B5"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10 октября наши войска вели бои с противником на всём фронте и особенно напряжённые на Вяземском и Брянском направлениях.</w:t>
      </w:r>
    </w:p>
    <w:p w14:paraId="1EEB6066"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Отражая ожесточённые атаки противника на одном из участков Западного направления фронта, одна наша часть за три дня уничтожила 65 немецких танков и свыше 1000 немецких солдат. На этом же направлении фронта два батальона пьяных фашистских солдат остервенело бросились в атаку на наши части. Интенсивным огнём наших войск немецкая колонна была разгромлена. Большая часть наступающих уничтожена.</w:t>
      </w:r>
    </w:p>
    <w:p w14:paraId="46DDF5DB"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участков Западного направления фронта группа наших самолётов бомбила наступающие войска противника. Прямыми попаданиями бомб и пулемётным огнём уничтожено 54 немецких автомашины с людьми и вооружением, 6 миномётных батарей, 3 артиллерийские батареи. На другом участке Западного направления фронта сброшенными с наших самолётов бомбами разбито 18 автомашин, 4 орудия и одна миномётная батарея, взорван склад горючего и уничтожено свыше двух рот пехоты противника.</w:t>
      </w:r>
    </w:p>
    <w:p w14:paraId="4C2DB35E"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Противодействуя наступлению войск противника, группа наших самолётов уничтожила на одном из участков Южного фронта 56 автомашин с пехотой противника и боеприпасами.</w:t>
      </w:r>
    </w:p>
    <w:p w14:paraId="1046EAB4"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Чувствительные удары по фашистам наносят бойцы партизанского отряда тов. П. в одном из оккупированных немцами районов на Северо-Западном направлении фронта. Недавно партизаны минировали дорогу в поселок Т., а затем подожгли в посёлке склад с боеприпасами. Немцы поспешно стали выводить машины и наскочили на минированный участок. Взрывами мин подорвано 4 танка, 3 легковые и 2 грузовые автомашины. В районе совхоза имени Володарского партизаны сожгли мельницу и дом, в котором поселился вернувшийся помещик — немецкий барон фон Биндерлинг.</w:t>
      </w:r>
    </w:p>
    <w:p w14:paraId="0BA6AECC"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Действующий в том же районе партизанский отряд под командованием тов. Н. разрушил железнодорожные пути на большом участке, уничтожил дрезину с тремя немецкими офицерами, 5 грузовых автомашин с боеприпасами и горючим, 2 машины с миномётными установками, 7 легковых автомашин со штабными офицерами и чиновниками. В 19 местах партизаны разрушили линии связи.</w:t>
      </w:r>
    </w:p>
    <w:p w14:paraId="148C6C74"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Антифашистское движение в городах и сёлах оккупированной немцами Югославии ширится с каждым днём. Крупные партизанские отряды югославских патриотов осаждают города, занятые немцами, и нападают на военные объекты германских войск. На линии Валево, Шабац и Обреновац происходят упорные бои между войсками оккупантов и партизанскими отрядами. Город Валево окружён партизанами. В боях под городом захвачено в плен несколько сот немецких солдат и офицеров. В отбитом у немцев городе Ужице партизаны захватили много военных материалов.</w:t>
      </w:r>
    </w:p>
    <w:p w14:paraId="6A295549"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многих городах Голландии происходят демонстрации и стычки голландских патриотов с национал-социалистами и немецкой полицией. Голландские трудящиеся организуют диверсии и многочисленные акты саботажа. В Роттердаме и Амстердаме пожарами и взрывами причинены крупные повреждения судостроительным и металлургическим заводам. В районе Бреда, Девентер и Алмело пожарами уничтожены запасы зерна на военных складах. Крестьяне всячески препятствуют отправке продовольствия в Германию. На предприятиях, захваченных немцами, с каждым днём снижается темп работы.</w:t>
      </w:r>
    </w:p>
    <w:p w14:paraId="4EB9C5BC"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Трудящиеся Советской страны соблюдают строжайшую экономию сырья, материальных ценностей и государственных средств, необходимых для скорейшего разгрома врага. На Горьковском автомобильном заводе имени Молотова мазут для нагревательных печей заменён смолой из отходов производства. Более 50 бездействовавших ранее станков восстановлено и усовершенствовано за время войны на заводе имени Жданова в гор. Павлове. Большой экономии топлива добились паровозные бригады депо Краснодар и Белореченская, сжигая тощие угли и шлакоотсев. Машинист депо Краснодар тов. Момот за 2 месяца сэкономил вагон топлива. Машинисты депо Горький-Пассажирская за месяц сэкономили 424 тонны угля. Коллектив шахты имени Калинина подготовил к пуску две новые лавы, оборудовав их восстановленными рештаками, приводами и врубовыми машинами. Старший инженер нефтепромыслов в Сталинабадской области тов. Болотов изыскал новый способ борьбы с потерями газа бензина при добыче нефти. Предложение тов. Болотова даёт государству полтора миллиона рублей экономии.» (14795).</w:t>
      </w:r>
    </w:p>
    <w:p w14:paraId="47E38C92" w14:textId="77777777" w:rsidR="000B0D4F" w:rsidRPr="00640820" w:rsidRDefault="000B0D4F" w:rsidP="00640820">
      <w:pPr>
        <w:spacing w:after="0" w:line="240" w:lineRule="auto"/>
        <w:jc w:val="both"/>
        <w:rPr>
          <w:rFonts w:ascii="Times New Roman" w:hAnsi="Times New Roman"/>
          <w:color w:val="000000" w:themeColor="text1"/>
          <w:sz w:val="16"/>
          <w:szCs w:val="16"/>
        </w:rPr>
      </w:pPr>
    </w:p>
    <w:p w14:paraId="7F949D9E"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10 октября </w:t>
      </w:r>
      <w:r w:rsidRPr="00640820">
        <w:rPr>
          <w:rFonts w:ascii="Times New Roman" w:hAnsi="Times New Roman"/>
          <w:color w:val="000000" w:themeColor="text1"/>
          <w:sz w:val="16"/>
          <w:szCs w:val="16"/>
        </w:rPr>
        <w:t>в 1941 году вечернее сообщение Совинформбюро:</w:t>
      </w:r>
    </w:p>
    <w:p w14:paraId="036FBBC6"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10 октября наши войска вели бои с противником на всём фронте, особенно ожесточённые на Вяземском, Брянском и Мелитопольском направлениях.</w:t>
      </w:r>
    </w:p>
    <w:p w14:paraId="70835AB1"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8 октября уничтожено 39 немецких самолётов. Наши потери — 27 самолётов.</w:t>
      </w:r>
    </w:p>
    <w:p w14:paraId="7A3B283E"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Ожесточённые атаки противника на Юго-Западном направлении фронта наталкиваются на упорное сопротивление наших частей. В течение 8 октября комбинированными действиями нескольких групп наших бомбардировщиков, штурмовиков и истребителей на одном из участков фронта уничтожено 33 немецких танка, 13 орудий, 150 автомашин с пехотой и боеприпасами, 150 повозок, несколько цистерн с горючим, взвод конницы и до пяти рот пехоты.</w:t>
      </w:r>
    </w:p>
    <w:p w14:paraId="4A83BAC0"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Группы наших самолётов, действующих на Западном направлении фронта, несмотря на неблагоприятную погоду, прикрывая войска, произвели ряд удачных атак по немецким автоколоннам, коммуникациям и огневым точкам врага. На одном из участков фронта советские лётчики разбомбили 141 автомашину с немецкой пехотой и боеприпасами, несколько сот подвод с военными грузами, ряд железнодорожных эшелонов и много автоцистерн с горючим. На другом участке фронта группа штурмовиков уничтожила 13 дальнобойных орудий, 6 полевых батарей и большое число мелкокалиберных орудий. В воздушных боях сбито 9 немецких самолётов.</w:t>
      </w:r>
    </w:p>
    <w:p w14:paraId="3AA024B4"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подступах к Ленинграду наша авиация продолжает наносить удары по скоплениям войск противника. За один день уничтожено 26 немецких танков, 3 бронемашины, 109 автомашин с вражеской пехотой, 48 зенитных орудий, 21 пулемёт, 7 орудий разного калибра и много автоцистерн с горючим.</w:t>
      </w:r>
    </w:p>
    <w:p w14:paraId="2CACD5C6"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Партизанский отряд под командованием тов. В. неутомимо истребляет фашистских мародёров в одном из районов на Северо-Западном направлении фронта. За два месяца боевых действий отряд уничтожил 19 автомашин с горючим, 8 автомашин с боеприпасами, 15 автомашин с продовольствием и другими грузами, 4 легковых машины и 14 мотоциклов. Партизаны взорвали за это время 12 мостов и 26 раз обстреляли колонны противника, проходившие по лесным дорогам. За время этих операций бойцы отряда уничтожили более 600 фашистских солдат и офицеров.</w:t>
      </w:r>
    </w:p>
    <w:p w14:paraId="7D91D23C"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Недавно группа бойцов этого отряда во главе с испытанным партизаном тов. Ч. устроила засаду у дороги. Когда к месту засады подошла автоколонна противника, партизаны взорвали головную автомашину. Создалась пробка. Движение колонны было задержано. Партизаны воспользовались замешательством немцев и, обстреляв колонну, уничтожили ещё не менее 10 автомашин, а затем скрылись в лесу. Другая группа партизан совершила налёт на вражескую колонну мотоциклистов, усиленную бронемашиной и танкеткой. В завязавшемся бою партизаны уничтожили несколько десятков мотоциклистов и разбили бронемашину. Танкетка отошла, не приняв боя. Разгромленный враг оставил один пулемёт, несколько автоматов, много солдатского обмундирования, продовольствия и разного военного снаряжения. На днях партизаны отбили у немцев стадо в 120 коров, воровски захваченных у местного населения.</w:t>
      </w:r>
    </w:p>
    <w:p w14:paraId="5E3B48AC"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районе Мелитополя наши истребители сбили немецкий бомбардировщик «Хе-111». Экипаж самолёта взят в плен. На допросе пленный старший ефрейтор лётчик Герхард Пфайль сообщил следующее: «Экипаж входит в состав 27 бомбардировочной эскадры 4 корпуса военно-воздушных сил. К началу войны в 27 эскадре было свыше 50 самолётов. За время войны получено не менее 15 новых машин. Эскадра уже потеряла больше половины самолётов».</w:t>
      </w:r>
    </w:p>
    <w:p w14:paraId="235FD883"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Пленный унтер-офицер лётчик-наблюдатель Ингфрид Финке заявил: «Все бомбардировщики третьей группы 27 эскадры вышли из строя. В первой и второй группах осталось не более 20 боеспособных машин». Пленный радист ефрейтор Иозеф Крик рассказал, что большинство самолётов его части либо сбито советскими лётчиками, либо пришло в негодность из-за многочисленных повреждений, полученных в воздушных боях.</w:t>
      </w:r>
    </w:p>
    <w:p w14:paraId="2F01CDE4"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всех городах и сёлах Ленинградской области, захваченных фашистами, идёт безудержный грабёж населения. Немецкие солдаты устраивают повальные обыски, отнимают всю тёплую одежду: шубы, валенки, а также все резиновые предметы, вплоть до рваных, галош. Весь хлеб отбирается. Грабежи сопровождаются массовыми убийствами и насилием. Несмотря на свирепый террор гитлеровских бандитов, население оказывает всемерную помощь партизанам и укрывает их от фашистов. Почти в каждом районе значительная часть населения скрывается в лесах. Немцы издали несколько приказов, в которых под угрозой расстрела предлагают всем жителям немедленно вернуться в деревню. Но крестьяне остаются в лесах. В отряды партизан каждый день вступают всё новые и новые группы советских патриотов.» (14795).</w:t>
      </w:r>
    </w:p>
    <w:p w14:paraId="7344756C" w14:textId="77777777" w:rsidR="000B0D4F" w:rsidRPr="00640820" w:rsidRDefault="000B0D4F" w:rsidP="00640820">
      <w:pPr>
        <w:spacing w:after="0" w:line="240" w:lineRule="auto"/>
        <w:jc w:val="both"/>
        <w:rPr>
          <w:rFonts w:ascii="Times New Roman" w:hAnsi="Times New Roman"/>
          <w:color w:val="000000" w:themeColor="text1"/>
          <w:sz w:val="16"/>
          <w:szCs w:val="16"/>
        </w:rPr>
      </w:pPr>
    </w:p>
    <w:p w14:paraId="66325661" w14:textId="77777777" w:rsidR="00216F30" w:rsidRPr="00640820" w:rsidRDefault="00216F3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10 октября 1941 215</w:t>
      </w:r>
      <w:r w:rsidRPr="00640820">
        <w:rPr>
          <w:rFonts w:ascii="Times New Roman" w:hAnsi="Times New Roman"/>
          <w:color w:val="0070C0"/>
          <w:sz w:val="16"/>
          <w:szCs w:val="16"/>
        </w:rPr>
        <w:noBreakHyphen/>
        <w:t>й шап майора Рейно лишившись почти всех самолетов и полностью утратив боеспособность, был отведен в тыл для пополнения. Правда, имеются сведения, что еще неделю спустя – 17 октября – одно звено полка вместе со звеном 61</w:t>
      </w:r>
      <w:r w:rsidRPr="00640820">
        <w:rPr>
          <w:rFonts w:ascii="Times New Roman" w:hAnsi="Times New Roman"/>
          <w:color w:val="0070C0"/>
          <w:sz w:val="16"/>
          <w:szCs w:val="16"/>
        </w:rPr>
        <w:noBreakHyphen/>
        <w:t>го шап атаковало немецкую колонну, уничтожив и выведя из строя восемь единиц бронетехники, семь автомашин и две автоцистерны с топливом (23199).</w:t>
      </w:r>
    </w:p>
    <w:p w14:paraId="3428AA12" w14:textId="77777777" w:rsidR="00216F30" w:rsidRPr="00640820" w:rsidRDefault="00216F30" w:rsidP="00640820">
      <w:pPr>
        <w:spacing w:after="0" w:line="240" w:lineRule="auto"/>
        <w:jc w:val="both"/>
        <w:rPr>
          <w:rFonts w:ascii="Times New Roman" w:hAnsi="Times New Roman"/>
          <w:color w:val="0070C0"/>
          <w:sz w:val="16"/>
          <w:szCs w:val="16"/>
        </w:rPr>
      </w:pPr>
    </w:p>
    <w:p w14:paraId="2459A905"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10 октября </w:t>
      </w:r>
      <w:r w:rsidRPr="00640820">
        <w:rPr>
          <w:rFonts w:ascii="Times New Roman" w:hAnsi="Times New Roman"/>
          <w:color w:val="000000" w:themeColor="text1"/>
          <w:sz w:val="16"/>
          <w:szCs w:val="16"/>
        </w:rPr>
        <w:t>в 1941 году проводимый фашистами референдум о присоединении Люксембурга к Германии провалился из-за низкой явки избирателей (14795).</w:t>
      </w:r>
    </w:p>
    <w:p w14:paraId="1EB5F72A" w14:textId="77777777" w:rsidR="000B0D4F" w:rsidRPr="00640820" w:rsidRDefault="000B0D4F" w:rsidP="00640820">
      <w:pPr>
        <w:spacing w:after="0" w:line="240" w:lineRule="auto"/>
        <w:jc w:val="both"/>
        <w:rPr>
          <w:rFonts w:ascii="Times New Roman" w:hAnsi="Times New Roman"/>
          <w:color w:val="000000" w:themeColor="text1"/>
          <w:sz w:val="16"/>
          <w:szCs w:val="16"/>
        </w:rPr>
      </w:pPr>
    </w:p>
    <w:p w14:paraId="45D7D1A3"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10 октября </w:t>
      </w:r>
      <w:r w:rsidRPr="00640820">
        <w:rPr>
          <w:rFonts w:ascii="Times New Roman" w:hAnsi="Times New Roman"/>
          <w:color w:val="000000" w:themeColor="text1"/>
          <w:sz w:val="16"/>
          <w:szCs w:val="16"/>
        </w:rPr>
        <w:t>в 1941 году генерал Г.Жуков назначен командующим обороны Москвы (14795).</w:t>
      </w:r>
    </w:p>
    <w:p w14:paraId="039229B8" w14:textId="77777777" w:rsidR="000B0D4F" w:rsidRPr="00640820" w:rsidRDefault="000B0D4F" w:rsidP="00640820">
      <w:pPr>
        <w:spacing w:after="0" w:line="240" w:lineRule="auto"/>
        <w:jc w:val="both"/>
        <w:rPr>
          <w:rFonts w:ascii="Times New Roman" w:hAnsi="Times New Roman"/>
          <w:color w:val="000000" w:themeColor="text1"/>
          <w:sz w:val="16"/>
          <w:szCs w:val="16"/>
        </w:rPr>
      </w:pPr>
    </w:p>
    <w:p w14:paraId="1957209C"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10 октября </w:t>
      </w:r>
      <w:r w:rsidRPr="00640820">
        <w:rPr>
          <w:rFonts w:ascii="Times New Roman" w:hAnsi="Times New Roman"/>
          <w:color w:val="000000" w:themeColor="text1"/>
          <w:sz w:val="16"/>
          <w:szCs w:val="16"/>
        </w:rPr>
        <w:t>в 1941 году Ставка ВГК передала войска расформированного Резервного фронта в состав Западного фронта (14795).</w:t>
      </w:r>
    </w:p>
    <w:p w14:paraId="3E8AACF4" w14:textId="77777777" w:rsidR="000B0D4F" w:rsidRPr="00640820" w:rsidRDefault="000B0D4F" w:rsidP="00640820">
      <w:pPr>
        <w:spacing w:after="0" w:line="240" w:lineRule="auto"/>
        <w:jc w:val="both"/>
        <w:rPr>
          <w:rFonts w:ascii="Times New Roman" w:hAnsi="Times New Roman"/>
          <w:color w:val="000000" w:themeColor="text1"/>
          <w:sz w:val="16"/>
          <w:szCs w:val="16"/>
        </w:rPr>
      </w:pPr>
    </w:p>
    <w:p w14:paraId="6919F3E4"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10 октября </w:t>
      </w:r>
      <w:r w:rsidRPr="00640820">
        <w:rPr>
          <w:rFonts w:ascii="Times New Roman" w:hAnsi="Times New Roman"/>
          <w:color w:val="000000" w:themeColor="text1"/>
          <w:sz w:val="16"/>
          <w:szCs w:val="16"/>
        </w:rPr>
        <w:t>в 1941 году началась Калининская оборонительная операция войск правого крыла Западного фронта (с 17 октября - Калининского фронта) продолжавшаяся до 4 декабря 1941 г. Завязались бои войск Западного фронта (16, 5, 43, 49 и 33-я армии) с противником под городами Калуга и Малоярославец. Началась Можайско-Малоярославецкая оборонительная операция войск Западного фронта, продолжавшаяся до 30 октября. Войска противника: основные силы группы армий "Центр" (командующий — генерал-фельдмаршал Ф.Бок) (14795).</w:t>
      </w:r>
    </w:p>
    <w:p w14:paraId="23AE5735" w14:textId="77777777" w:rsidR="000B0D4F" w:rsidRPr="00640820" w:rsidRDefault="000B0D4F" w:rsidP="00640820">
      <w:pPr>
        <w:spacing w:after="0" w:line="240" w:lineRule="auto"/>
        <w:jc w:val="both"/>
        <w:rPr>
          <w:rFonts w:ascii="Times New Roman" w:hAnsi="Times New Roman"/>
          <w:color w:val="000000" w:themeColor="text1"/>
          <w:sz w:val="16"/>
          <w:szCs w:val="16"/>
        </w:rPr>
      </w:pPr>
    </w:p>
    <w:p w14:paraId="72545CE0"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10 октября </w:t>
      </w:r>
      <w:r w:rsidRPr="00640820">
        <w:rPr>
          <w:rFonts w:ascii="Times New Roman" w:hAnsi="Times New Roman"/>
          <w:color w:val="000000" w:themeColor="text1"/>
          <w:sz w:val="16"/>
          <w:szCs w:val="16"/>
        </w:rPr>
        <w:t>в 1941 году фашисты захватили Сумы (14795).</w:t>
      </w:r>
    </w:p>
    <w:p w14:paraId="297BE84D" w14:textId="77777777" w:rsidR="000B0D4F" w:rsidRPr="00640820" w:rsidRDefault="000B0D4F" w:rsidP="00640820">
      <w:pPr>
        <w:spacing w:after="0" w:line="240" w:lineRule="auto"/>
        <w:jc w:val="both"/>
        <w:rPr>
          <w:rFonts w:ascii="Times New Roman" w:hAnsi="Times New Roman"/>
          <w:color w:val="000000" w:themeColor="text1"/>
          <w:sz w:val="16"/>
          <w:szCs w:val="16"/>
        </w:rPr>
      </w:pPr>
    </w:p>
    <w:p w14:paraId="118B8D3E"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10 октября </w:t>
      </w:r>
      <w:r w:rsidRPr="00640820">
        <w:rPr>
          <w:rFonts w:ascii="Times New Roman" w:hAnsi="Times New Roman"/>
          <w:color w:val="000000" w:themeColor="text1"/>
          <w:sz w:val="16"/>
          <w:szCs w:val="16"/>
        </w:rPr>
        <w:t>в 1941 году немецкие войска захватили Сычевку (14795).</w:t>
      </w:r>
    </w:p>
    <w:p w14:paraId="31B65100" w14:textId="77777777" w:rsidR="000B0D4F" w:rsidRPr="00640820" w:rsidRDefault="000B0D4F" w:rsidP="00640820">
      <w:pPr>
        <w:spacing w:after="0" w:line="240" w:lineRule="auto"/>
        <w:jc w:val="both"/>
        <w:rPr>
          <w:rFonts w:ascii="Times New Roman" w:hAnsi="Times New Roman"/>
          <w:color w:val="000000" w:themeColor="text1"/>
          <w:sz w:val="16"/>
          <w:szCs w:val="16"/>
        </w:rPr>
      </w:pPr>
    </w:p>
    <w:p w14:paraId="3A4E3FCC"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10 октября </w:t>
      </w:r>
      <w:r w:rsidRPr="00640820">
        <w:rPr>
          <w:rFonts w:ascii="Times New Roman" w:hAnsi="Times New Roman"/>
          <w:color w:val="000000" w:themeColor="text1"/>
          <w:sz w:val="16"/>
          <w:szCs w:val="16"/>
        </w:rPr>
        <w:t>в 1941 году пачались оборонительные бои в Донбассе (14795).</w:t>
      </w:r>
    </w:p>
    <w:p w14:paraId="66F243EF" w14:textId="77777777" w:rsidR="000B0D4F" w:rsidRPr="00640820" w:rsidRDefault="000B0D4F" w:rsidP="00640820">
      <w:pPr>
        <w:autoSpaceDE w:val="0"/>
        <w:autoSpaceDN w:val="0"/>
        <w:adjustRightInd w:val="0"/>
        <w:spacing w:after="0" w:line="240" w:lineRule="auto"/>
        <w:jc w:val="both"/>
        <w:rPr>
          <w:rFonts w:ascii="Times New Roman" w:hAnsi="Times New Roman"/>
          <w:color w:val="000000" w:themeColor="text1"/>
          <w:sz w:val="16"/>
          <w:szCs w:val="16"/>
        </w:rPr>
      </w:pPr>
    </w:p>
    <w:p w14:paraId="772504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ГВФ на Ли-2 стал летать в окруженный Ленинград (442,130).</w:t>
      </w:r>
    </w:p>
    <w:p w14:paraId="623C22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80D90B1" w14:textId="77777777" w:rsidR="00EE5662" w:rsidRPr="00640820" w:rsidRDefault="00EE5662" w:rsidP="00640820">
      <w:pPr>
        <w:pStyle w:val="11b"/>
        <w:shd w:val="clear" w:color="auto" w:fill="auto"/>
        <w:spacing w:after="0" w:line="240" w:lineRule="auto"/>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В ночь с 10 на 11 октября 1941 г. полк совершил два вылета.</w:t>
      </w:r>
    </w:p>
    <w:p w14:paraId="7B749C95" w14:textId="77777777" w:rsidR="00EE5662" w:rsidRPr="00640820" w:rsidRDefault="00EE5662" w:rsidP="00640820">
      <w:pPr>
        <w:pStyle w:val="11b"/>
        <w:shd w:val="clear" w:color="auto" w:fill="auto"/>
        <w:spacing w:after="0" w:line="240" w:lineRule="auto"/>
        <w:jc w:val="both"/>
        <w:rPr>
          <w:rFonts w:ascii="Times New Roman" w:hAnsi="Times New Roman" w:cs="Times New Roman"/>
          <w:color w:val="000000" w:themeColor="text1"/>
          <w:sz w:val="16"/>
          <w:szCs w:val="16"/>
        </w:rPr>
      </w:pPr>
      <w:r w:rsidRPr="00640820">
        <w:rPr>
          <w:rStyle w:val="aff7"/>
          <w:rFonts w:ascii="Times New Roman" w:hAnsi="Times New Roman" w:cs="Times New Roman"/>
          <w:b w:val="0"/>
          <w:color w:val="000000" w:themeColor="text1"/>
          <w:spacing w:val="0"/>
          <w:sz w:val="16"/>
          <w:szCs w:val="16"/>
        </w:rPr>
        <w:t>ТБ-7 № 42015,</w:t>
      </w:r>
      <w:r w:rsidRPr="00640820">
        <w:rPr>
          <w:rFonts w:ascii="Times New Roman" w:hAnsi="Times New Roman" w:cs="Times New Roman"/>
          <w:color w:val="000000" w:themeColor="text1"/>
          <w:sz w:val="16"/>
          <w:szCs w:val="16"/>
        </w:rPr>
        <w:t xml:space="preserve"> командир корабля полковник Алексеев, в 4 час 15 мин с высоты 6500 метров бомбил жел. дор. узел Смоленск. На цель сброшено: ФАБ-250 - 8 шт., ФАБ-100 - 8 шт, ЗАБ- 50 - 8 шт. Наблюдали разрывы бомб на путях. В результате бомбометания возникли три очага пожара. В 2 часа 55 минут на высоте 900 метров, в рай</w:t>
      </w:r>
      <w:r w:rsidRPr="00640820">
        <w:rPr>
          <w:rFonts w:ascii="Times New Roman" w:hAnsi="Times New Roman" w:cs="Times New Roman"/>
          <w:color w:val="000000" w:themeColor="text1"/>
          <w:sz w:val="16"/>
          <w:szCs w:val="16"/>
        </w:rPr>
        <w:softHyphen/>
        <w:t>оне города Калинин самолет подвергся интенсивному огню своей ЗА, работали прожектора, сигнал «я свой» экипаж да</w:t>
      </w:r>
      <w:r w:rsidRPr="00640820">
        <w:rPr>
          <w:rFonts w:ascii="Times New Roman" w:hAnsi="Times New Roman" w:cs="Times New Roman"/>
          <w:color w:val="000000" w:themeColor="text1"/>
          <w:sz w:val="16"/>
          <w:szCs w:val="16"/>
        </w:rPr>
        <w:softHyphen/>
        <w:t>вал только бортовыми огнями, ракеты не срабатывали. Посадка в Коврове была произведена в 6 часов 47 минут. Матчасть оказалась исправна.</w:t>
      </w:r>
    </w:p>
    <w:p w14:paraId="43A7E881" w14:textId="77777777" w:rsidR="00EE5662" w:rsidRPr="00640820" w:rsidRDefault="00EE5662" w:rsidP="00640820">
      <w:pPr>
        <w:spacing w:after="0" w:line="240" w:lineRule="auto"/>
        <w:jc w:val="both"/>
        <w:rPr>
          <w:rFonts w:ascii="Times New Roman" w:hAnsi="Times New Roman"/>
          <w:color w:val="000000" w:themeColor="text1"/>
          <w:sz w:val="16"/>
          <w:szCs w:val="16"/>
        </w:rPr>
      </w:pPr>
      <w:r w:rsidRPr="00640820">
        <w:rPr>
          <w:rStyle w:val="aff7"/>
          <w:rFonts w:ascii="Times New Roman" w:hAnsi="Times New Roman" w:cs="Times New Roman"/>
          <w:b w:val="0"/>
          <w:color w:val="000000" w:themeColor="text1"/>
          <w:spacing w:val="0"/>
          <w:sz w:val="16"/>
          <w:szCs w:val="16"/>
        </w:rPr>
        <w:t>ТБ-7 № 4224,</w:t>
      </w:r>
      <w:r w:rsidRPr="00640820">
        <w:rPr>
          <w:rFonts w:ascii="Times New Roman" w:hAnsi="Times New Roman"/>
          <w:color w:val="000000" w:themeColor="text1"/>
          <w:sz w:val="16"/>
          <w:szCs w:val="16"/>
        </w:rPr>
        <w:t xml:space="preserve"> командир корабля майор Тягунин, бомбил жел. дор. узел Смоленск. На цель сброшено: ФАБ- 250 - 8 шт., ФАБ-100 - 8 шт, ЗАБ- 50 - 8 шт. После выполнения задания, при заходе на свой на свой аэродром, в районе 15 км северо-западнее Ива</w:t>
      </w:r>
      <w:r w:rsidRPr="00640820">
        <w:rPr>
          <w:rFonts w:ascii="Times New Roman" w:hAnsi="Times New Roman"/>
          <w:color w:val="000000" w:themeColor="text1"/>
          <w:sz w:val="16"/>
          <w:szCs w:val="16"/>
        </w:rPr>
        <w:softHyphen/>
        <w:t>нова, дер. Баньково произвел посадку на лес. Штурман майор Торгман и ра</w:t>
      </w:r>
      <w:r w:rsidRPr="00640820">
        <w:rPr>
          <w:rFonts w:ascii="Times New Roman" w:hAnsi="Times New Roman"/>
          <w:color w:val="000000" w:themeColor="text1"/>
          <w:sz w:val="16"/>
          <w:szCs w:val="16"/>
        </w:rPr>
        <w:softHyphen/>
        <w:t>дист поломали ноги.</w:t>
      </w:r>
    </w:p>
    <w:p w14:paraId="1B8F77C1" w14:textId="77777777" w:rsidR="00EE5662" w:rsidRPr="00640820" w:rsidRDefault="00EE5662" w:rsidP="00640820">
      <w:pPr>
        <w:pStyle w:val="11b"/>
        <w:shd w:val="clear" w:color="auto" w:fill="auto"/>
        <w:spacing w:after="0" w:line="240" w:lineRule="auto"/>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Авария произошла по вине борто</w:t>
      </w:r>
      <w:r w:rsidRPr="00640820">
        <w:rPr>
          <w:rFonts w:ascii="Times New Roman" w:hAnsi="Times New Roman" w:cs="Times New Roman"/>
          <w:color w:val="000000" w:themeColor="text1"/>
          <w:sz w:val="16"/>
          <w:szCs w:val="16"/>
        </w:rPr>
        <w:softHyphen/>
        <w:t>вого техника, который не уследил за расходом топлива, в результате два из четырех моторов заглохли. Летчики не справились с управлением и посадили корабль на лес. Машину списали (19088).</w:t>
      </w:r>
    </w:p>
    <w:p w14:paraId="69F1E740" w14:textId="77777777" w:rsidR="00EE5662" w:rsidRPr="00640820" w:rsidRDefault="00EE5662" w:rsidP="00640820">
      <w:pPr>
        <w:pStyle w:val="11b"/>
        <w:shd w:val="clear" w:color="auto" w:fill="auto"/>
        <w:spacing w:after="0" w:line="240" w:lineRule="auto"/>
        <w:jc w:val="both"/>
        <w:rPr>
          <w:rFonts w:ascii="Times New Roman" w:hAnsi="Times New Roman" w:cs="Times New Roman"/>
          <w:color w:val="000000" w:themeColor="text1"/>
          <w:sz w:val="16"/>
          <w:szCs w:val="16"/>
        </w:rPr>
      </w:pPr>
    </w:p>
    <w:p w14:paraId="00416EAD" w14:textId="77777777" w:rsidR="00EE5662" w:rsidRPr="00640820" w:rsidRDefault="00EE5662"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10 октября 1941 в 01 час 34 мин с аэродрома подскока Иваново самолет ТБ-7 № 42015, командир корабля - полковник Алексеев стартовал на бомбардирование мел. дор. узла Рославль.</w:t>
      </w:r>
    </w:p>
    <w:p w14:paraId="693F8FF4" w14:textId="77777777" w:rsidR="00EE5662" w:rsidRPr="00640820" w:rsidRDefault="00EE5662"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В 4 час 13 мин с высоты 3800 метров на цель сброшены: ФАБ-100 32 шт. Бомбы сброшены прицельно сериями, в два захода. Экипаж наблюдал разрывы бомб на путях шел. дор. узла.</w:t>
      </w:r>
    </w:p>
    <w:p w14:paraId="46826AD1" w14:textId="77777777" w:rsidR="00EE5662" w:rsidRPr="00640820" w:rsidRDefault="00EE5662"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Противодействия ПВО не было. Экипаж наблюдал восточнее г. Вязьма арт. стрельбу малокалиберной ЗА, а также пожары на линии фронта.</w:t>
      </w:r>
    </w:p>
    <w:p w14:paraId="1448C0BA" w14:textId="77777777" w:rsidR="00EE5662" w:rsidRPr="00640820" w:rsidRDefault="00EE5662"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Метеоусловия: В районе цели многослойная снеговая облачность, высота нижнего яруса - 3500 м, при отсутствии горизонтальной видимости.</w:t>
      </w:r>
    </w:p>
    <w:p w14:paraId="46164928" w14:textId="77777777" w:rsidR="00EE5662" w:rsidRPr="00640820" w:rsidRDefault="00EE5662"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После выполнения задания, экипаж в 6 час 32 мин произвел посадку на аэродроме Ковров (19105).</w:t>
      </w:r>
    </w:p>
    <w:p w14:paraId="6001561A" w14:textId="77777777" w:rsidR="00EE5662" w:rsidRPr="00640820" w:rsidRDefault="00EE5662" w:rsidP="00640820">
      <w:pPr>
        <w:pStyle w:val="108"/>
        <w:shd w:val="clear" w:color="auto" w:fill="auto"/>
        <w:spacing w:line="240" w:lineRule="auto"/>
        <w:rPr>
          <w:rFonts w:ascii="Times New Roman" w:hAnsi="Times New Roman" w:cs="Times New Roman"/>
          <w:color w:val="000000" w:themeColor="text1"/>
        </w:rPr>
      </w:pPr>
    </w:p>
    <w:p w14:paraId="2E5103BB" w14:textId="77777777" w:rsidR="00EE5662" w:rsidRPr="00640820" w:rsidRDefault="00EE5662" w:rsidP="00640820">
      <w:pPr>
        <w:pStyle w:val="319"/>
        <w:shd w:val="clear" w:color="auto" w:fill="auto"/>
        <w:spacing w:after="0" w:line="240" w:lineRule="auto"/>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В ночь с 10 на 11 октября:</w:t>
      </w:r>
    </w:p>
    <w:p w14:paraId="7508E011" w14:textId="77777777" w:rsidR="00EE5662" w:rsidRPr="00640820" w:rsidRDefault="00EE5662"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Самолет нр 42015, командир корабля Алексеев в 4-15 мин 11.10.41 с высоты 6500 метров бомбил жел. дор. узел Смоленск. На цель сброшено: ФАБ-250 - 8 шт., ФАБ-100 - 8 шт, ЗАБ-50 - 8 шт. Наблюдали разрывы бомб на путях жел. дор. узла. В результате бомбометания возникли три очага пожара.</w:t>
      </w:r>
    </w:p>
    <w:p w14:paraId="7088E2C9" w14:textId="77777777" w:rsidR="00EE5662" w:rsidRPr="00640820" w:rsidRDefault="00EE5662"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Противодействие ПВО: ЗА до пятнадцати орудий вела интенсивный огонь, разрывы снарядов наблюдали ниже примерно на 5000 метров.</w:t>
      </w:r>
    </w:p>
    <w:p w14:paraId="4E71278A" w14:textId="77777777" w:rsidR="00EE5662" w:rsidRPr="00640820" w:rsidRDefault="00EE5662"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В 2-55, высота 900 метров, Калинин, самолет обстрелян интенсивным огнем своей ЗА, работали прожектора, сигнал "я свой" экипаж давал только бортовыми огнями, ракеты не срабатывали.</w:t>
      </w:r>
    </w:p>
    <w:p w14:paraId="6606AFF9" w14:textId="77777777" w:rsidR="00EE5662" w:rsidRPr="00640820" w:rsidRDefault="00EE5662"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В районе цели облачность 6-7 баллов высотой 1500 - 2000 метров. Цель была открыта.</w:t>
      </w:r>
    </w:p>
    <w:p w14:paraId="2999D14E" w14:textId="77777777" w:rsidR="00EE5662" w:rsidRPr="00640820" w:rsidRDefault="00EE5662"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Посадка в Коврове в 6-47. Матчасть исправна (19105).</w:t>
      </w:r>
    </w:p>
    <w:p w14:paraId="0CFF5BC1" w14:textId="77777777" w:rsidR="00EE5662" w:rsidRPr="00640820" w:rsidRDefault="00EE5662" w:rsidP="00640820">
      <w:pPr>
        <w:pStyle w:val="108"/>
        <w:shd w:val="clear" w:color="auto" w:fill="auto"/>
        <w:spacing w:line="240" w:lineRule="auto"/>
        <w:rPr>
          <w:rFonts w:ascii="Times New Roman" w:hAnsi="Times New Roman" w:cs="Times New Roman"/>
          <w:color w:val="000000" w:themeColor="text1"/>
        </w:rPr>
      </w:pPr>
    </w:p>
    <w:p w14:paraId="3B6FBA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10 октября до 21 декабря 1941 группа из 30 воздушных кораблей МАГОН, а также самолеты, собранные в Особой северной группе гражданской авиации (ОСАГ), выполняли рейсы , а когда было налажено движение автомобилей по льду замерзшего Ладожского озера, самолеты МАГОН перебросили на другие направления. За этот период авиаторы доставили 6000 т продовольствия, медикаментов, боеприпасов, оружия и вывезли на "Большую землю" 53 000 человек. Пожалуй, ни до, ни после этой операции транспортные самолеты не использовались в таком количестве и с такой интенсивностью для полетов на фронте днем. Чтобы уменьшить опасность атак немецких истребителей, летчикам требовалось вести свои корабли на предельно малой высоте (на бреющем, как говорили в те времена), буквально в нескольких метрах от верхушек деревьев или волн Ладоги. В первые месяцы войны пилотам ГВФ пришлось осваивать новую методику практически без тренировок, сразу в боевых условиях - ведь они хоть и обладали большим опытом, но подобной практики не имели, т. к. в Аэрофлоте существовал строжайший запрет на полеты у земли. Не меньшую трудность представляли и полеты строем, также никогда не выполнявшиеся в ГВФ и ставшие жизненно важными на фронте. Оборонительное вооружение ПС-84 давало не много шансов одиночному самолету уцелеть днем в противоборстве с ВТ 109, однако в плотном строю, как правило, удавалось отбиться от господствовавшего в воздухе противника (3772).</w:t>
      </w:r>
    </w:p>
    <w:p w14:paraId="484CF4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B420D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511 ббап начал боевую работу в составе ВВС Западного фронта. В ходе отражения немецкого наступления на Москву, а впоследствии и в контрнаступлении полк применялся в основном для нанесения бомбо-штурмовых ударов. Базируясь на аэродроме в Ногинске, 511-й ббап за три месяца совершил более 320 боевых вылетов и по докладам экипажей уничтожил свыше 30 танков, 8 самолетов на аэродромах, 4 железнодорожных эшелона и до 30 орудий. Немцы недосчитались более 200 автомашин с имуществом, боеприпасами и личным составом.</w:t>
      </w:r>
    </w:p>
    <w:p w14:paraId="4003CC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 и потери оказались значительными: к маю 1942 г. в строю осталось всего 7 машин, из них только 4 исправных. Впоследствии 511-й ббап был перевооружен на самолеты Пе-2 “разведчик” и преобразован в отдельный разведывательный авиаполк (орап) (4476).</w:t>
      </w:r>
    </w:p>
    <w:p w14:paraId="6CC4AD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05083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г. В этот день шестерка Пе-2  40-го бап под прикрытием 12 И-16 и 2 Як-1 с пикирования нанесла удар по танкам, артиллерии и войскам противника в районе Армянска. Несмотря на сильное противодействие, наша группа потерь не имела. При сомкнутом строе бомбардировщиков вражеские истребители, опасаясь поражения сосредоточенным огнем стрелков, прекращали атаки на удалениях 500-800 м от наших самолетов, при этом вероятность уничтожения "пешки" оказывалась очень невысокой. В это период боев стала заметной закономерность: группы Пе-2 в составе девятки несли потери только в тех случаях, когда отдельные самолеты по тем или иным причинам отрывались от строя. Чаще всего такие машины попадали под удар немецких истребителей и сбивались ими (12042).</w:t>
      </w:r>
    </w:p>
    <w:p w14:paraId="3BC29D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41A05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10 октября 1941 511-й бап, укомплектованный двумя десятками новеньких Пе-3, начал боевую работу в составе ВВС Западного фронта. В ходе отражения немецкого наступления на Москву, а впоследствии и в контрнаступлении часть применялась в основном для нанесения бомбоштурмовых ударов. Базируясь на аэродроме в Ногинске, полк за три месяца совершил более 320 боевых вылетов и уничтожил свыше 30 танков, 8 самолетов на аэродромах, 4 железнодорожных эшелона и до 30 орудий. По советским данным, немцы недосчитались более 200 автомашин с имуществом, боеприпасами и личным составом. Но и потери полка оказались значительными: к маю 1942 г. в строю осталось всего семь машин, из них только четыре исправные. 16 и 18 марта экипажи лейтенанта Г. Потапочкина и Л. Древятникова были сбиты после выполнения боевого задания в районе своего аэродрома немецким "охотником"- истребителем </w:t>
      </w:r>
      <w:r w:rsidRPr="00640820">
        <w:rPr>
          <w:rFonts w:ascii="Times New Roman" w:hAnsi="Times New Roman"/>
          <w:color w:val="000000" w:themeColor="text1"/>
          <w:sz w:val="16"/>
          <w:szCs w:val="16"/>
          <w:lang w:val="en-US"/>
        </w:rPr>
        <w:t>Bf</w:t>
      </w:r>
      <w:r w:rsidRPr="00640820">
        <w:rPr>
          <w:rFonts w:ascii="Times New Roman" w:hAnsi="Times New Roman"/>
          <w:color w:val="000000" w:themeColor="text1"/>
          <w:sz w:val="16"/>
          <w:szCs w:val="16"/>
        </w:rPr>
        <w:t xml:space="preserve"> 110С. Впоследствии 511-й бап перевооружили самолетами Пе-2 в варианте "разведчик" и преобразовали в отдельный разведывательный авиаполк (12042).</w:t>
      </w:r>
    </w:p>
    <w:p w14:paraId="655551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525F3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г. шестерка Пе-2 40-го бап под прикрытием 12 И-16 и 2 Як-1 с пикирования нанесла удар по танкам, артиллерии и войскам противника в районе Армянска. Несмотря на сильное противодействие (немецкая часть, возглавляемая асом из I1I/JG77 обер-лейтенантом К.Уббеном считала уничтожеными пять советских самолетов), наша группа потерь не имела. При сомкнутом строе бомбардировщиков вражеские истребители, опасаясь поражения сосредоточенным огнем стрелков, прекращали атаки на дальностях 500-800 м, при этом вероятность уничтожения “пешки” оказывалась очень невысокой (4476).</w:t>
      </w:r>
    </w:p>
    <w:p w14:paraId="6BF1A9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0F135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10 октября 1941 г. командир 95-го авиаполка полковник С.А. Пестов на Пе-3 получил боевую задачу: нанести бомбоштурмовой удар по огромной колонне бензозаправщиков, которая на Варшавском шоссе западнее Юхнова производила заправку танков. Вести пятерку "пешек" на цель поручили капитану А.В. Жатькову. Впоследствии он вспоминал:</w:t>
      </w:r>
    </w:p>
    <w:p w14:paraId="30AD57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"Мы стремились к внезапному появлению над целью, но и цель для нас самих появилась внезапно. Уже совсем стемнело, когда перед нами возник "забор" из трассирующих снарядов и пуль. Этот "забор" напоминал бамбуковую рощу, только вместо стволов были светящиеся трассы "эрликонов" и зенитных пулеметов.</w:t>
      </w:r>
    </w:p>
    <w:p w14:paraId="0513E3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Мы решительно пошли в атаку: были пущены "эрэсы", сброшены бомбы, взрыватели которых устанавливались с замедлением, открыт огонь из пушек и пулеметов. Справа от меня шел летчик Ермолаев. Над целью он оказался подо мной, его самолет взорвался. Есть предположение, что один из снарядов попал ему в левый мотор, его бросило под меня, и очередное попадание в бензобак решило судьбу наших товарищей. После атаки все оставшиеся экипажи оказались в облачности. Радиопомехи были настолько велики, что ни слушать, ни передавать какие-либо радиокоманды оказалось невозможно, поэтому пришлось отключить шлемофоны. В то же время было интересно узнать - удалась ли наша атака?! "Деликатно" отдал штурвал и внимательно стал смотреть за появлением в темноте земли. Но... к моему удивлению земля оказалась освещенной, и какой была радость, когда, развернувшись в сторону цели, я обнаружил такой силы пожар, которого ни до, ни после нашего удара не приходилось видеть" (12042).</w:t>
      </w:r>
    </w:p>
    <w:p w14:paraId="67016C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CAAA1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и 11 октября 1941 экипажи 420-го полка на Ер-2 бомбили железнодорожный узел Рославль, добившись прямых попаданий в эшелоны и станционные сооружения (3322,21).</w:t>
      </w:r>
    </w:p>
    <w:p w14:paraId="78FF42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3A0CD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Ставка ВГК опять отдала директиву командующему ВВС, в которой говорилось, что по агентурным данным 12-13 октября по всему Западному фронту планируется массированный удар 1000-1500 самолетов. Поэтому было приказано в ночь с 11 на 12 и днем 12 ударить по аэродромам. Затянулось до 18. 11-13 уничтожили 166, а всего до 18 - 500 (340,58).</w:t>
      </w:r>
    </w:p>
    <w:p w14:paraId="7AF7EB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Потом командующий ВВС доносил в Ставку ВГК: "ВВС КА в период с 11 по 18 октября 1941 произвели ряд бомбардировочных ударов по аэродромам противника на С-З, З и Ю направлениях. Только за 2 дня (11 и 12 октября) и в ночь на 13 на аэродромах Витебска, Смоленска, Орла, Орши, Сиверской, Н. Другина и других было уничтожено 166 самолетов, а всего с 11 по 18 на аэродромах по неполным данным уничтожено не менее 500 машин... Ударами по аэродромам нанесено крупное поражение вражеской авиации, в результате чего сорван намечавшийся ею массированный удар." (340,59).</w:t>
      </w:r>
    </w:p>
    <w:p w14:paraId="141D3A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059975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начались оборонительные бои в Донбассе (4962).</w:t>
      </w:r>
    </w:p>
    <w:p w14:paraId="4810AF5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236D4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фашисты захватили Сумы (4962).</w:t>
      </w:r>
    </w:p>
    <w:p w14:paraId="412514D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9E3F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немцы подошли к Можайской оборонительной линии и прорвали (1074,178).</w:t>
      </w:r>
    </w:p>
    <w:p w14:paraId="3FFF63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3893C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30 сентября по 10 октября 1941 войска ЗФ, РФ и БФ вышли на Можайскую линию. Авиация за этот период выполнила 8500 вылетов, из них 68% для поддержки войск фронтов и 32% для прикрытия Москвы (341,69).</w:t>
      </w:r>
    </w:p>
    <w:p w14:paraId="02EC71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3DCA6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C 10 по 30 октября 1941 была Можайско-Малоярославецкая оборонительная операция на Можайской линии обороны (2438,412). На Можайском направлении стала действовать 5А и ее авиация - 80 самолетов. С закавказского фронта срочно перебросили 2 дбад + перебросили новые части (341,69).</w:t>
      </w:r>
    </w:p>
    <w:p w14:paraId="02EDAA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2A505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10-14 октября 1941 войска БФ, сдерживая наступление в районе Мценска, отходили и к концу октября отошли на рубеж Тула, Ефремов, Ливны, Тим. За 20 суток в интересах войск было выполнено 3750 вылетов, из которых 50% на непосредственную поддержку (341,71).</w:t>
      </w:r>
    </w:p>
    <w:p w14:paraId="3FDBE0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145BE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немцы продолжали наступать на Калужском направлении. Непрерывные удары группы Н.А.Сбытова задержали выдвижение Юхновской группировки на Медынь и Калугу. Пе-2 в районе Глагольня, Жуковка взорвали бензозаправочную базу, а ударами по аэродромам Глагольня и Медынь вывели из строя 42 машины. За 8 дней сделали 508 вылетов (340,58).</w:t>
      </w:r>
    </w:p>
    <w:p w14:paraId="1BA1AD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этот период для прикрытия войск ЗФ привлекались и силы С-ЗФ и часть сил 6 иак ПВО, который на 10 октября имел один бомбардировочный и 17 иап - 344 исправных машин и 416 л, из которых 118 могли летать ночью (340,58).</w:t>
      </w:r>
    </w:p>
    <w:p w14:paraId="249046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DFF8D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10 октября 1941 в составе трех фронтов - Западного, Резервного и Брянского - мы имели 990 танков (среди них много легких Т-40 и Т-60). Немцы бросили в наступление около 1200 танков. (3862).</w:t>
      </w:r>
    </w:p>
    <w:p w14:paraId="5FED1F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6DEE9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10 октября по 4 декабря 1941 была Калининская оборонительная операция в ходе битвы за Москву. Немцы захватили Калинин, но при этом были связаны большие силы (2438,262).</w:t>
      </w:r>
    </w:p>
    <w:p w14:paraId="50C268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D2F99B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генерал Г. Жуков назначен командующим обороны Москвы (4962).</w:t>
      </w:r>
    </w:p>
    <w:p w14:paraId="3628E98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94D1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командование Западным фронтом под Москвой принял Г.К.Ж. (2438,421).</w:t>
      </w:r>
    </w:p>
    <w:p w14:paraId="1A44E1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F8B1A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расформировали РФ и войска передали ЗФ (341,65).</w:t>
      </w:r>
    </w:p>
    <w:p w14:paraId="768D32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1E0E0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войска Западного и Резервного фронта объединили в Западный под командованием Г.К.Ж. (575,12). Наступление немцев было остановлено (2100).</w:t>
      </w:r>
    </w:p>
    <w:p w14:paraId="4B03B0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базе ВВС МВО была создана авиагруппа под командованием Н.А.Сбытова, которая усиливалась 46 скор.бап на Пе-2, 65 и 243 шап на Ил-2 и эскадрильей на У-2. Оказала существенную помощь войскам 5 армии, прикрывавшей Можайскую линию обороны (340,58).</w:t>
      </w:r>
    </w:p>
    <w:p w14:paraId="679AD0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93E70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г. Штаб группы армий "Юг" в телеграмме командованию сухопутных войск сообщил, что зенитная артиллерия не справляется с сильной авиацией противника и настоятельно просит дополнительно перебросить в район боевых действий зенитные батареи из Румынии и Болгарии (3573).</w:t>
      </w:r>
    </w:p>
    <w:p w14:paraId="2B71DE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A6024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October 10, 1941: Heeresgruppe Sud (von Reichenau) ends the battle of encirclement along the Sea of Azov and takes 100,000 prisoners (3819).</w:t>
      </w:r>
    </w:p>
    <w:p w14:paraId="656A56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3B84A1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Группа Юг (фон Эйхенау) закончила уничтожение войск, окруженных у Азовского моря и взяла в плен 100 тыс. чел. (3819).</w:t>
      </w:r>
    </w:p>
    <w:p w14:paraId="6A3A25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3BED6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вышло Постановление ГКО № 758 О формировании 289-й стрелковой дивизии Карельского фронта. РГАНИР, Фонд ГКО, д. 12, лл. 72 (11012).</w:t>
      </w:r>
    </w:p>
    <w:p w14:paraId="5B37F5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CD697AD" w14:textId="77777777" w:rsidR="001C482B" w:rsidRPr="00640820" w:rsidRDefault="001C482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 10-12 октября 1941 года, к моменту первых боевых столкновений с фашистами, подмосковная линия обороны и полоса электризованных заграждений так и не была полностью достроена (построено менее 50 %). И всё же, при всей нехватке ресурсов, в условиях военного времени, за месяц-полтора было осуществлено невиданное строительство, были построены десятки километров заграждений. Как писал генерал-лейтенант К.Ф. Телегин: </w:t>
      </w:r>
      <w:r w:rsidRPr="00640820">
        <w:rPr>
          <w:rFonts w:ascii="Times New Roman" w:hAnsi="Times New Roman"/>
          <w:iCs/>
          <w:color w:val="000000" w:themeColor="text1"/>
          <w:sz w:val="16"/>
          <w:szCs w:val="16"/>
        </w:rPr>
        <w:t>«Работа за короткий срок была проделана поистине огромная, но все же оставалась далекой от завершения. Строителей рубежей обвинять было не в чем – они трудились на пределе человеческих сил, до кровавых мозолей, недосыпая и недоедая. Никто не роптал, не пытался отлынивать от дела… труд на оборонительных объектах столицы равнялся выполнению боевой задачи»</w:t>
      </w:r>
      <w:r w:rsidRPr="00640820">
        <w:rPr>
          <w:rFonts w:ascii="Times New Roman" w:hAnsi="Times New Roman"/>
          <w:color w:val="000000" w:themeColor="text1"/>
          <w:sz w:val="16"/>
          <w:szCs w:val="16"/>
        </w:rPr>
        <w:t>. На рубеже в 140 км были построены 35 подземных трансформаторных подстанций, созданы электроминные управляемые и неуправляемые поля. Электрозаграждения представляли собой четырехрядный противопехотный забор из колючей проволоки, один из рядов был под напряжением. Подземные подстанции получали напряжение от высоковольтной сети Мосэнерго и, в свою очередь, питали подвешенные на изоляторах оголенные провода. Работы завершились в конце октября 1941 года (15477).</w:t>
      </w:r>
    </w:p>
    <w:p w14:paraId="1F858331" w14:textId="77777777" w:rsidR="001C482B" w:rsidRPr="00640820" w:rsidRDefault="001C482B" w:rsidP="00640820">
      <w:pPr>
        <w:spacing w:after="0" w:line="240" w:lineRule="auto"/>
        <w:jc w:val="both"/>
        <w:rPr>
          <w:rFonts w:ascii="Times New Roman" w:hAnsi="Times New Roman"/>
          <w:color w:val="000000" w:themeColor="text1"/>
          <w:sz w:val="16"/>
          <w:szCs w:val="16"/>
        </w:rPr>
      </w:pPr>
    </w:p>
    <w:p w14:paraId="6006C33E"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7E7D168F"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FD76184"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ГКО принял постановление об эвакуации из Москвы промышленности (15804).</w:t>
      </w:r>
    </w:p>
    <w:p w14:paraId="24C4B848" w14:textId="77777777" w:rsidR="000B0D4F" w:rsidRPr="00640820" w:rsidRDefault="000B0D4F" w:rsidP="00640820">
      <w:pPr>
        <w:spacing w:after="0" w:line="240" w:lineRule="auto"/>
        <w:jc w:val="both"/>
        <w:rPr>
          <w:rFonts w:ascii="Times New Roman" w:hAnsi="Times New Roman"/>
          <w:color w:val="000000" w:themeColor="text1"/>
          <w:sz w:val="16"/>
          <w:szCs w:val="16"/>
        </w:rPr>
      </w:pPr>
    </w:p>
    <w:p w14:paraId="29DE65E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10 октября 1941 Ленинградский горисполком принял решение «в целях пресечения злоупотреблений продовольственными карточками и недопущения получения продовольственных товаров по возможным фальшивым карточкам» провести с 12 по 18 октября массовую перерегистрацию выданных продкарточек на октябрь. [413 — Блокада Ленинграда в документах рассекреченных архивов, с. 662.] Впрочем, людей и так не хватало, посему грандиозное мероприятие поручили все тем же домоуправлениям и предприятиям, которые ранее эти карточки и выдали. В итоге на них просто ставили штамп «Перерегистрировано». Формально эти нововведения принесли определенный результат. В октябре было выдано на 97 тысяч карточек меньше, чем в предыдущем месяце. [414 — Павлов Д. В. Указ. соч., 1985, с. 108.] Однако в эту цифру также входят погибшие в результате бомбардировок и артобстрелов, а также эвакуированные через Ладожское озеро. При общем числе выданных карточек по городу в 2,4 млн. штук, разница была не такая уж большая. Таким образом, ситуация в целом не изменилась. К тому же участились случаи простой подделки карточек. Как вспоминал Павлов: «Злоумышленники подбирали бумагу, краски и каллиграфически, от руки изготовляли фальшивые карточки. В магазинах при тусклом освещении лампы или мерцающем свете коптилок фальшивки иногда сходили за подлинники». Карточки воровали работницы типографии, на которой они печатались. Так, в ноябре милиция задержала одну из работниц сразу со 100 комплектами карточек! [415 — Там же, с. 109.] (11741).</w:t>
      </w:r>
    </w:p>
    <w:p w14:paraId="53F7BD7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2C2557"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52A173C4"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6E2F5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Англия начала ленд-лизовские поставки для СССР (2260).</w:t>
      </w:r>
    </w:p>
    <w:p w14:paraId="1BDEEA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1DDE695"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48E3C602"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530196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октября 1941 проводимый фашистами референдум о присоединении Люксембурга к Германии провалился из-за низкой явки избирателей (4962).</w:t>
      </w:r>
    </w:p>
    <w:p w14:paraId="014CA7F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D3A29D"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10 октября </w:t>
      </w:r>
      <w:r w:rsidRPr="00640820">
        <w:rPr>
          <w:rFonts w:ascii="Times New Roman" w:hAnsi="Times New Roman"/>
          <w:color w:val="000000" w:themeColor="text1"/>
          <w:sz w:val="16"/>
          <w:szCs w:val="16"/>
        </w:rPr>
        <w:t>в 1941 году США предоставили гоминьдановскому правительству Китая заем на сумму 50 млн. долларов (14795).</w:t>
      </w:r>
    </w:p>
    <w:p w14:paraId="7612479C" w14:textId="77777777" w:rsidR="000B0D4F" w:rsidRPr="00640820" w:rsidRDefault="000B0D4F" w:rsidP="00640820">
      <w:pPr>
        <w:spacing w:after="0" w:line="240" w:lineRule="auto"/>
        <w:jc w:val="both"/>
        <w:rPr>
          <w:rFonts w:ascii="Times New Roman" w:hAnsi="Times New Roman"/>
          <w:color w:val="000000" w:themeColor="text1"/>
          <w:sz w:val="16"/>
          <w:szCs w:val="16"/>
        </w:rPr>
      </w:pPr>
    </w:p>
    <w:p w14:paraId="36522AAD" w14:textId="77777777" w:rsidR="000B0D4F" w:rsidRPr="00640820" w:rsidRDefault="000B0D4F"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10 октября </w:t>
      </w:r>
      <w:r w:rsidRPr="00640820">
        <w:rPr>
          <w:rFonts w:ascii="Times New Roman" w:hAnsi="Times New Roman"/>
          <w:color w:val="000000" w:themeColor="text1"/>
          <w:sz w:val="16"/>
          <w:szCs w:val="16"/>
        </w:rPr>
        <w:t>в 1941 году (10-12 октября) все японские дивизии, принимавшие участие в Чаншаской операции, отошли на исходные перед наступлением позиции (14795).</w:t>
      </w:r>
    </w:p>
    <w:p w14:paraId="093C0432" w14:textId="77777777" w:rsidR="000B0D4F" w:rsidRPr="00640820" w:rsidRDefault="000B0D4F" w:rsidP="00640820">
      <w:pPr>
        <w:spacing w:after="0" w:line="240" w:lineRule="auto"/>
        <w:jc w:val="both"/>
        <w:rPr>
          <w:rFonts w:ascii="Times New Roman" w:hAnsi="Times New Roman"/>
          <w:color w:val="000000" w:themeColor="text1"/>
          <w:sz w:val="16"/>
          <w:szCs w:val="16"/>
        </w:rPr>
      </w:pPr>
    </w:p>
    <w:p w14:paraId="5E79A15E"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7B307D9E"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E501AE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первой декаде октября 1941 на основании решения ГКО от 6 октября 1941 г. была развернута массовая эвакуация рабочих, ИТР, служащих.: танкового производства ЛКЗ и членов их семей на Урал, где с началом; войны, продолжая выпуск тракторов и проведя перестройку цехов, кол-; лектив ЧТЗ осваивал серийный выпуск тяжелых танков. Главным инженером завода был назначен прибывший из Харькова с завода № 1831 С.Н. Махонин, в конце июня на ЧТЗ из Ленинграда прибыл Н.Л. Духов, который вступил в должность главного конструктора танкового производства завода. Вскоре на завод начали прибывать специалисты-танкостроители из Ленинграда. Слияние двух заводов - ленинградского и уральского - позволило создать мощный центр по производству тяже</w:t>
      </w:r>
      <w:r w:rsidRPr="00640820">
        <w:rPr>
          <w:rFonts w:ascii="Times New Roman" w:hAnsi="Times New Roman"/>
          <w:color w:val="000000" w:themeColor="text1"/>
          <w:sz w:val="16"/>
          <w:szCs w:val="16"/>
        </w:rPr>
        <w:softHyphen/>
        <w:t>лых танков - Челябинский Кировский завод, именовавшийся в печати "Танкоградом". В него вошли также коллективы Харьковского дизель</w:t>
      </w:r>
      <w:r w:rsidRPr="00640820">
        <w:rPr>
          <w:rFonts w:ascii="Times New Roman" w:hAnsi="Times New Roman"/>
          <w:color w:val="000000" w:themeColor="text1"/>
          <w:sz w:val="16"/>
          <w:szCs w:val="16"/>
        </w:rPr>
        <w:softHyphen/>
        <w:t>ного завода № 75 и специалисты ряда других заводов (СТЗ, московско</w:t>
      </w:r>
      <w:r w:rsidRPr="00640820">
        <w:rPr>
          <w:rFonts w:ascii="Times New Roman" w:hAnsi="Times New Roman"/>
          <w:color w:val="000000" w:themeColor="text1"/>
          <w:sz w:val="16"/>
          <w:szCs w:val="16"/>
        </w:rPr>
        <w:softHyphen/>
        <w:t>го станкостроительного завода "Красный пролетарий"), эвакуирован</w:t>
      </w:r>
      <w:r w:rsidRPr="00640820">
        <w:rPr>
          <w:rFonts w:ascii="Times New Roman" w:hAnsi="Times New Roman"/>
          <w:color w:val="000000" w:themeColor="text1"/>
          <w:sz w:val="16"/>
          <w:szCs w:val="16"/>
        </w:rPr>
        <w:softHyphen/>
        <w:t>ных из центральных областей страны. Директором завода был назначен И.М. Зальцман. Основными поставщиками бронекорпусов и башен для производства тяжелых танков КВ являлись Уралмаш (УЗТМ) и Челя</w:t>
      </w:r>
      <w:r w:rsidRPr="00640820">
        <w:rPr>
          <w:rFonts w:ascii="Times New Roman" w:hAnsi="Times New Roman"/>
          <w:color w:val="000000" w:themeColor="text1"/>
          <w:sz w:val="16"/>
          <w:szCs w:val="16"/>
        </w:rPr>
        <w:softHyphen/>
        <w:t>бинский бронекорпусной завод № 200. Вооружение и прицелы постав</w:t>
      </w:r>
      <w:r w:rsidRPr="00640820">
        <w:rPr>
          <w:rFonts w:ascii="Times New Roman" w:hAnsi="Times New Roman"/>
          <w:color w:val="000000" w:themeColor="text1"/>
          <w:sz w:val="16"/>
          <w:szCs w:val="16"/>
        </w:rPr>
        <w:softHyphen/>
        <w:t>лялись заводами № 9,75, 221, входившими в состав наркомата вооруже</w:t>
      </w:r>
      <w:r w:rsidRPr="00640820">
        <w:rPr>
          <w:rFonts w:ascii="Times New Roman" w:hAnsi="Times New Roman"/>
          <w:color w:val="000000" w:themeColor="text1"/>
          <w:sz w:val="16"/>
          <w:szCs w:val="16"/>
        </w:rPr>
        <w:softHyphen/>
        <w:t>ния (НКВ). Ядром коллектива конструкторов явилось СКБ-2, эвакуированное из Ленинграда, в которое входили Н.Л. Духов, Е.П. Дедов, А.С. Ермола</w:t>
      </w:r>
      <w:r w:rsidRPr="00640820">
        <w:rPr>
          <w:rFonts w:ascii="Times New Roman" w:hAnsi="Times New Roman"/>
          <w:color w:val="000000" w:themeColor="text1"/>
          <w:sz w:val="16"/>
          <w:szCs w:val="16"/>
        </w:rPr>
        <w:softHyphen/>
        <w:t>ев, Д.Д. Кекелидзе, К.И. Кузьмин, Ф.А. Маришкин, Г.А. Михайлов, С.В. Мицкевич, Г.Н. Москвин, Г.А. Серегин, Н.М. Синев, Л.Е. Сычев, В.И. Торотько, И.Я. Трашутин, С.Ф. Федоренко, Н.Ф. Шашмурин, Н.Д. Швелидзе и Н.В. Цейц (10703).</w:t>
      </w:r>
    </w:p>
    <w:p w14:paraId="3223BC3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F9918F"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4451D82A"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2DEAC76" w14:textId="77777777" w:rsidR="004D7F78" w:rsidRPr="00640820" w:rsidRDefault="004D7F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октября 1941 года первый заводской эшелон, с которым на новое место отправили конструкторский, технологический и другие отделы, а также часть службы подготовки производства завода № 18, отошел от заводской платформы. Эшелоны грузились круглосуточно, так же работали и люди. Работали, не считаясь со временем, со своей специальностью, должностью. Делали то, что было необходимо (19823).</w:t>
      </w:r>
    </w:p>
    <w:p w14:paraId="038ADF3F" w14:textId="77777777" w:rsidR="004D7F78" w:rsidRPr="00640820" w:rsidRDefault="004D7F78" w:rsidP="00640820">
      <w:pPr>
        <w:spacing w:after="0" w:line="240" w:lineRule="auto"/>
        <w:jc w:val="both"/>
        <w:rPr>
          <w:rFonts w:ascii="Times New Roman" w:hAnsi="Times New Roman"/>
          <w:color w:val="000000" w:themeColor="text1"/>
          <w:sz w:val="16"/>
          <w:szCs w:val="16"/>
        </w:rPr>
      </w:pPr>
    </w:p>
    <w:p w14:paraId="01A32618" w14:textId="77777777" w:rsidR="002028EF" w:rsidRPr="00640820" w:rsidRDefault="002028E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shd w:val="clear" w:color="auto" w:fill="FFFFFF"/>
        </w:rPr>
        <w:t>11 октября 1941г. в замечаниях первого гл. управления НКАП к проекту постановления начальник первого гл. управления НКАП А.Д. Шиц просил перенести сроки внедрения деревянных консолей на заводе №381 на декабрь 1941г, а на заводе №18 на январь 1942 г. (19206).</w:t>
      </w:r>
    </w:p>
    <w:p w14:paraId="6AF90EA7" w14:textId="77777777" w:rsidR="002028EF" w:rsidRPr="00640820" w:rsidRDefault="002028EF" w:rsidP="00640820">
      <w:pPr>
        <w:spacing w:after="0" w:line="240" w:lineRule="auto"/>
        <w:jc w:val="both"/>
        <w:rPr>
          <w:rFonts w:ascii="Times New Roman" w:hAnsi="Times New Roman"/>
          <w:color w:val="000000" w:themeColor="text1"/>
          <w:sz w:val="16"/>
          <w:szCs w:val="16"/>
        </w:rPr>
      </w:pPr>
    </w:p>
    <w:p w14:paraId="6FB415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октября 1941 года Воронин писал письмо N Н-36/7281 начальнику 10 управления ГУ ВВС бригинженеру Бибикову.</w:t>
      </w:r>
    </w:p>
    <w:p w14:paraId="6AB360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вопросу - установки лыж на "ДБ-3Ф".</w:t>
      </w:r>
    </w:p>
    <w:p w14:paraId="7E8A3B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Разработанная ранее конструкция убирающихся лыж самолета "ДБ-3Ф" фактически в эксплуатации не применялась из-за непригодности.</w:t>
      </w:r>
    </w:p>
    <w:p w14:paraId="1819D3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Поскольку Вами поставлен вопрос об установке лыж на самолет "ДБ-3Ф", мною дается указание ставить лыжи неубирающиеся.</w:t>
      </w:r>
    </w:p>
    <w:p w14:paraId="31DC56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Установка неубирающихся лыж начнется после их получения заводом N 126.</w:t>
      </w:r>
    </w:p>
    <w:p w14:paraId="6CFB7E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Отгрузка лыж будет произведена немедленно с заводов N 39 и N 387 (Казань).</w:t>
      </w:r>
    </w:p>
    <w:p w14:paraId="072BD2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Указание о немедленном запуске в производство всех деталей, связанных с установкой неубирающихся лыж, заводу N 126 дано.</w:t>
      </w:r>
    </w:p>
    <w:p w14:paraId="37300B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Одновременно главному конструктору самолета "ДБ-3Ф" С.В.И. дается указание о разработке нового варианта амортизатора убирающихся лыж и проверки их испытаниями (2708,8).</w:t>
      </w:r>
    </w:p>
    <w:p w14:paraId="494074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86AA180" w14:textId="77777777" w:rsidR="00630A1B" w:rsidRPr="00640820" w:rsidRDefault="00630A1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11 октября 1941 г.</w:t>
      </w:r>
    </w:p>
    <w:p w14:paraId="7DC24EB6" w14:textId="77777777" w:rsidR="00630A1B" w:rsidRPr="00640820" w:rsidRDefault="00630A1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ИЗ СТЕНОГРАММЫ ВЫСТУПЛЕНИЯ ЗАМ. НАРКОМА АВИАЦИОННОЙ ПРОМЫШЛЕННОСТИ СССР М.В. ХРУНИЧЕВА НА ПАРТСОБРАНИИ НАРКОМАТА АВИАЦИОННОЙ ПРОМЫШЛЕННОСТИ СССР - О ЗАДАЧАХ ЭВАКУАЦИИ АВИАЗАВОДОВ И НАЛАЖИВАНИЯ ВЫПУСКА САМОЛЕТОВ НА НОВЫХ МЕСТАХ</w:t>
      </w:r>
    </w:p>
    <w:p w14:paraId="2252AA8F" w14:textId="77777777" w:rsidR="00630A1B" w:rsidRPr="00640820" w:rsidRDefault="00630A1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11 октября 1941 г.</w:t>
      </w:r>
    </w:p>
    <w:p w14:paraId="5865EEF6" w14:textId="77777777" w:rsidR="00630A1B" w:rsidRPr="00640820" w:rsidRDefault="00630A1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Несколько слов об обстановке, в которой мы находимся. Из тех сообщений, которые ежедневно передаются Советским информбюро, вы знаете, что, замыслив новое наступление, немцы бросили против нас все силы, все резервы с единственной, четкой целью: любыми средствами и любыми жертвами достигнуть и овладеть нашими важнейшими жизненными центрами. В связи с этим резко изменилась обстановка. Так прямо и нужно сказать, и так ориентировать партийный комитет. Фронтовая обстановка приблизилась к Москве и требует подлинного партийного чутья и организованности.</w:t>
      </w:r>
    </w:p>
    <w:p w14:paraId="598D4A5A" w14:textId="77777777" w:rsidR="00630A1B" w:rsidRPr="00640820" w:rsidRDefault="00630A1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момент приближения фронта к Москве и в условиях, когда на ставку ставится все ва-банк, было бы легкомысленно, если бы страна рисковала такой мощной базой, как авиация, от которой прежде всего зависит разгром фашистских банд. В связи с этим намечена эвакуация большинства наших заводов из Москвы и Московской области.</w:t>
      </w:r>
    </w:p>
    <w:p w14:paraId="1C6A499F" w14:textId="77777777" w:rsidR="00630A1B" w:rsidRPr="00640820" w:rsidRDefault="00630A1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И практически со вчерашнего дня мы приступили к осуществлению этой директивы.</w:t>
      </w:r>
    </w:p>
    <w:p w14:paraId="349713F5" w14:textId="77777777" w:rsidR="00630A1B" w:rsidRPr="00640820" w:rsidRDefault="00630A1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Как следует рассматривать эвакуацию и что от нас требуется, чтобы возглавить это дело и не оказаться в хвосте всех этих обывательских суждений? Почему это происходит? Мне кажется, что каждый здравомыслящий человек может дать один ответ: было бы глупо рисковать такой мощной базой авиационной промышленности в условиях приближения фронта. Если мы раньше эвакуировали наши предприятия, чтобы создавать дублеры, чтобы избежать бомбардировок, то сейчас, при создавшейся тяжелой обстановке, мы должны подумать о сохранении всей авиационной базы, создать более нормальные условия работы, при которых можно было бы удовлетворять нужды фронта в боевых современных самолетах. Такой ответ, по-моему, должен давать каждый агитатор, если только он вникнет в смысл эвакуации заводов. Рисковать заводами, чтобы потом парализовать выпуск самолетов, было бы преступно.</w:t>
      </w:r>
    </w:p>
    <w:p w14:paraId="22E56483" w14:textId="77777777" w:rsidR="00630A1B" w:rsidRPr="00640820" w:rsidRDefault="00630A1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У многих были сомнения, в том числе и у некоторых руководящих работников, можно ли сейчас, в настоящих условиях, в условиях озверелого натиска со стороны фашистов, рисковать подъемом всей промышленности. На этот вопрос можно дать только один ответ: мы сейчас не настолько слабы, чтобы бояться тронуть промышленность и тем самым предрешать какое-то банкротство. Силы у нас есть, резервов достаточно. Это не значит, что мы должны бросить все, чтобы обладать промышленными центрами. Война принимает сейчас затяжной характер, война соизмеряется не днями, не месяцами, не исключается возможность, что она продлится весь зимний период, поэтому у нас возникает явная необходимость сохранения мощного резерва и людских, и технических средств борьбы. Людские резервы проходят соответствующую сноровку, чтобы быть бойцами, достаточно овладевшими тактикой боя, а технические средства для обороноспособности нашей страны тоже имеются в глубинных пунктах.</w:t>
      </w:r>
    </w:p>
    <w:p w14:paraId="554DCC81" w14:textId="77777777" w:rsidR="00630A1B" w:rsidRPr="00640820" w:rsidRDefault="00630A1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Поэтому сейчас, когда враг пошел ва-банк, мы особенно не рискуем, перебазируя промышленность. Мы должны создать концентрацию своих сил, которую противопоставим ослаблению его промышленной базе.</w:t>
      </w:r>
    </w:p>
    <w:p w14:paraId="24AB65AE" w14:textId="77777777" w:rsidR="00630A1B" w:rsidRPr="00640820" w:rsidRDefault="00630A1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lastRenderedPageBreak/>
        <w:t>Такая перебазировка и начинается.</w:t>
      </w:r>
    </w:p>
    <w:p w14:paraId="5E687E81" w14:textId="77777777" w:rsidR="00630A1B" w:rsidRPr="00640820" w:rsidRDefault="00630A1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Что требуется от нас, от партийцев? Мне кажется, что от нас требуется проявить, как никогда, особую организованность - ни малейшей растерянности, потому что всякая растерянность может пагубно отразиться на решении задач, которые мы должны осуществить в самый кратчайший период времени. Краткость времени измеряется общей обстановкой, поэтому каждый час, каждая минута для нас очень дороги. Организованность, как никогда, должна сейчас быть наиболее яркой и разительной.</w:t>
      </w:r>
    </w:p>
    <w:p w14:paraId="69CA00D7" w14:textId="77777777" w:rsidR="00630A1B" w:rsidRPr="00640820" w:rsidRDefault="00630A1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xml:space="preserve">Какие практические задачи мы могли бы решить нашей организованностью? Спокойно и дисциплинированно провести эвакуацию предприятий. Первый день эвакуации показал отвратительные результаты - заводы оказались неподготовленными, превалирует «местническое» настроение: «Да зачем? Еще успеем». Кое-кто из директоров говорит: «Немцев отогнали, а ты мне суешь вагоны». </w:t>
      </w:r>
    </w:p>
    <w:p w14:paraId="058F1A1E" w14:textId="77777777" w:rsidR="00630A1B" w:rsidRPr="00640820" w:rsidRDefault="00630A1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Люди не понимают ответственности обстановки, а каждый час простоя вагонов является преступлением перед страной. Поэтому наиболее интенсивно должна быть произведена погрузка всего ценного оборудования, причем нужно соблюсти при этом особую организованность: не грузить всякий хлам, который попадется под руку, а вести погрузку последовательно в той очередности, которая установлена приказом наркома. В первую очередь вывозится вся техническая документация, особо ценные станки, агрегаты и кузнечно-прессовое оборудование. Во вторую очередь - металлорежущие станки, электрооборудование, специнвентарь. В третью очередь-сборочные цехи.</w:t>
      </w:r>
    </w:p>
    <w:p w14:paraId="5DE9947D" w14:textId="77777777" w:rsidR="00630A1B" w:rsidRPr="00640820" w:rsidRDefault="00630A1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Мы должны будем давать самолеты до последнего дня непрерывно, на основе тех заделов, которые имеются на заводах. Такую последовательность мы должны соблюсти при всех условиях, даже если бы обстановка изменилась. А чувствуется растерянность, отсутствие соответствующего плана, [люди] попадают в плен событий, в стихию. Так мы задачи не решим. Надо немедленно это дело исправить, с тем чтобы перебазировка предприятий шла нормально.</w:t>
      </w:r>
    </w:p>
    <w:p w14:paraId="64F263F6" w14:textId="77777777" w:rsidR="00630A1B" w:rsidRPr="00640820" w:rsidRDefault="00630A1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Второе, нужно помнить: нам дают для перебазировки предприятий такой минимальный срок, что немедленно по прибытии на новые места мы должны будем начать выпуск боевых самолетов и приступить к нормальному выпуску по технологическому процессу. Это задача сложная, просто желанием ее не возьмешь и только директивами тоже не возьмешь, если не будет продумана и технически, и организационно база этой непрерывности. Продумывание должно заключаться в том, чтобы, когда начнется погрузка, предвидеть все трудности, которые могут быть в новой обстановке, чтобы не оказаться в плену этих трудностей. Трудностей будет огромнейшая масса.</w:t>
      </w:r>
    </w:p>
    <w:p w14:paraId="41F1CB6E" w14:textId="77777777" w:rsidR="00630A1B" w:rsidRPr="00640820" w:rsidRDefault="00630A1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Конечно, сытость, теплота и прочее могут быть нашими требованиями и желаниями, иногда мы это можем обеспечить, а иногда нет. Это будет зависеть от обстановки, в которой мы окажемся, но создать такие условия работы, при которых мы могли бы избежать потерь, необходимо.</w:t>
      </w:r>
    </w:p>
    <w:p w14:paraId="7416067C" w14:textId="77777777" w:rsidR="00630A1B" w:rsidRPr="00640820" w:rsidRDefault="00630A1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xml:space="preserve">И сейчас надо поработать над вопросом, как максимально дойти до упрощения конструкции самолетов, агрегатов, моторов, чтобы в условиях переброски можно было бы не переживать неприятностей в области материального снабжения, в области сегодняшних приспособлений, оборудования, конструктивно продумать в технологическом процессе каждый винтик и болтик. Этим должны заняться технический отдел, главки, причем надо отойти от старого варварского метода, который еще существует, т.е. от боязни ответственности. У нас есть некоторые предприятия, которые были перебазированы в качестве филиалов, и что же там происходит? Непрерывный поток бумаг. Все еще словно настроенные по-дачному, как правильно сказал т. Вознесенский, начинают писать: просим утвердить ориентировочную наметку технологического процесса и планировку и т.д., начинается целая переписка. Что может быть более преступным, когда люди, выехав с инженерами и техниками, в условиях военного времени не хотят рискнуть на месте определить распланировку цехов и ее утвердить. Это показывает, что личный страх для них выше интересов государства. Зачем ему рисковать своей подписью на генеральном плане, а вдруг что-нибудь случится и будут спрашивать, кто утвердил. И вот посылает в Москву на утверждение зам. наркома, комиссии и т.д. По таким настроениям надо ударить со всей силой. Решение принято, трусость в сторону, энергично, решительным натиском взяться за дело с одной стороны, с другой стороны - умением и знанием. Приезжаешь на место - немедленно планируй и немедленно пускай предприятие. Это вторая задача - задача выбить страх за личную ответственность. </w:t>
      </w:r>
    </w:p>
    <w:p w14:paraId="0C03C6D9" w14:textId="77777777" w:rsidR="00630A1B" w:rsidRPr="00640820" w:rsidRDefault="00630A1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xml:space="preserve">А надо сказать, что он очень во многом мешает и во многих случаях превалирует у работников: лишь бы отписаться, только не решать. Нужно задержать этот поток бумаг, надо просто взять человека за руку и сказать: зачем ты столько пишешь, загружаешь машинисток, стенографисток; боишься - приди, посоветуйся, но не создавай такого потока бумаг, не замедляй темпа роста промышленности. </w:t>
      </w:r>
    </w:p>
    <w:p w14:paraId="07F039CB" w14:textId="77777777" w:rsidR="00630A1B" w:rsidRPr="00640820" w:rsidRDefault="00630A1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Вот когда мы это сделаем, тогда мы более успешно разрешим наши задачи.</w:t>
      </w:r>
    </w:p>
    <w:p w14:paraId="25E5D4C0" w14:textId="77777777" w:rsidR="00630A1B" w:rsidRPr="00640820" w:rsidRDefault="00630A1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Третья задача - немедленное восстановление. Сроки минимальные. Поэтому все мысли и все стремления направлены к тому, чтобы на новом месте как можно быстрее обеспечить пуск производства. Для этого надо из каждого главка послать по хорошему толковому технологу, а вместе с ним послать бригаду монтажников, технологов, которые быстро разработали бы планировку цехов, оборудования и монтаж, на ходу стали бы монтировать, а не ждать, пока подтянут эшелоны, пока их разгрузят, а для этого нужны краны, а там потребуются тягачи, автомашины и т.д. В таких условиях мы не обеспечим выпуска продукции.</w:t>
      </w:r>
    </w:p>
    <w:p w14:paraId="7D1F7F78" w14:textId="77777777" w:rsidR="00630A1B" w:rsidRPr="00640820" w:rsidRDefault="00630A1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xml:space="preserve">Нужно на месте заранее наметить, где должен быть какой станок, как в соответствии с последовательностью будет отгружаться [оборудование] с эвакуируемых заводов. </w:t>
      </w:r>
    </w:p>
    <w:p w14:paraId="3C6A27DD" w14:textId="77777777" w:rsidR="00630A1B" w:rsidRPr="00640820" w:rsidRDefault="00630A1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Тогда будет последовательность и наиболее быстрое решение производственных заданий. Партийная организация наркомата и главков несет ответственность перед страной зато, чтобы не допустить ни малейшей неорганизованности в перебазировании заводов, она отвечает и морально в большей степени, чем установлено законодательным актом, за то, чтобы это дело - отдача боевых самолетов для нужд фронта - было решено, и как можно быстрее. Возникает и необходимость наиболее решительного и организованного удара со стороны партийной организации по нерешенным нашим задачам, которые мешают немедленной перебазировке наших авиационных заводов, а следовательно, обеспечению нужд фронта. Надо до конца осознать, что партия - каждый коммунист, каждый кандидат, каждый комсомолец - отвечает сейчас за судьбу великих народов Советского Союза. Борьба идет не на жизнь, а на смерть и решается нашей поворотливостью, нашим умением это дело обеспечить.</w:t>
      </w:r>
    </w:p>
    <w:p w14:paraId="4F881A22" w14:textId="77777777" w:rsidR="00630A1B" w:rsidRPr="00640820" w:rsidRDefault="00630A1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Тов. Залевский здесь говорил, что нет квалифицированных докладчиков. Создавшаяся обстановка очень напряжена, ведь решается судьба советского народа. Разве вы не понимаете, что весь народ поднят на защиту своей родины, а вы требуете какого-то квалифицированного докладчика, который бы сказал, что происходит в Европе, в Америке, в Азии? Это нужно, но не это сейчас главное.</w:t>
      </w:r>
    </w:p>
    <w:p w14:paraId="335F63D1" w14:textId="77777777" w:rsidR="00630A1B" w:rsidRPr="00640820" w:rsidRDefault="00630A1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Главное заключается в том, чтобы вздыбить всю партийную организацию и весь коллектив НКАП, чтобы можно было видеть, как в секундомере, непрерывную работу в области решения основных задач, не попадать под обывательские настроения людей, которые начинают теряться и создают обстановку уныния. Основной задачей партийной организации должно быть приведение в боевую готовность всей организации и всего коллектива наркомата; каждый коммунист, каждый комсомолец должен сейчас быть проникнут боевым духом, умением защищать до последней капли крови подступы к нашей столице. Надо от агитации в виде вечеров вопросов и ответов перейти к агитации наступательной, только в несколько иных условиях - не ждать, а поднимать на разговор местное население, причем самому ставить острые вопросы и давать на них соответствующее разъяснение, уметь распознавать, где истинное настроение, а где лживое, излавливать вражеские и обывательские настроения и тут же их разбивать словом, убеждением и принуждением, доставлять в соответствующие органы, чтобы там разобрались.</w:t>
      </w:r>
    </w:p>
    <w:p w14:paraId="6D851E1E" w14:textId="77777777" w:rsidR="00630A1B" w:rsidRPr="00640820" w:rsidRDefault="00630A1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xml:space="preserve">Потому что, имейте в виду, сейчас, в обстановке такого напряжения сил, в обстановке военного, фронтового положения, начинают сеяться какие угодно настроения. </w:t>
      </w:r>
    </w:p>
    <w:p w14:paraId="26E152E5" w14:textId="77777777" w:rsidR="00630A1B" w:rsidRPr="00640820" w:rsidRDefault="00630A1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xml:space="preserve">Неужели вы не понимаете, что немцы прибегают к различным способам агитации, даже к способам поощрения местных жителей и деньгами, и продуктами, чтобы овладеть наиболее характерными оборонительными подступами или центрами страны. Они готовы вам </w:t>
      </w:r>
    </w:p>
    <w:p w14:paraId="2D35E78B" w14:textId="77777777" w:rsidR="00630A1B" w:rsidRPr="00640820" w:rsidRDefault="00630A1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дать любые блага - и хлеб, и водку, и т.д., чтобы овладеть городом, а потом придет гестапо для расправы и будет сделано все для инквизиции человека.</w:t>
      </w:r>
    </w:p>
    <w:p w14:paraId="08009CDC" w14:textId="77777777" w:rsidR="00630A1B" w:rsidRPr="00640820" w:rsidRDefault="00630A1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Два слова относительно непримиримости. Непримиримость должна быть развита у каждого коммуниста, комсомольца в утроенном размере по сравнению с довоенным временем вокруг вопроса ослабления нуход обороны, вражеской тактики и агитации, - непримиримость к врагу на том участке, на котором он находится. Партия учит Красную Армию не отступать ни при каких условиях, и мы обязаны поставить такие же требования каждому работающему в наркомате. И сейчас, может быть, настал такой момент, когда надо подумать, а нет ли у нас лишних людей в наркомате, может быть, лишний народ послать с заводами, чтобы они там оказали помощь, а тут оставить самый минимум, который мог бы решать задачи в штабе авиационной промышленности.</w:t>
      </w:r>
    </w:p>
    <w:p w14:paraId="1A8E63D7" w14:textId="77777777" w:rsidR="00630A1B" w:rsidRPr="00640820" w:rsidRDefault="00630A1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Вывод такой: там, где наиболее опасная и сокрушительная обстановка, там должны быть самые активные действия каждого члена партии нашей партийной организации, будь это в области нашей работы, в области агитации среди населения или, если потребуется, в области обороны отечества и столицы.</w:t>
      </w:r>
    </w:p>
    <w:p w14:paraId="6398E042" w14:textId="77777777" w:rsidR="00630A1B" w:rsidRPr="00640820" w:rsidRDefault="00630A1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Заканчивая, я должен повторить еще раз, что практическое решение задачи сводится к тому, чтобы организованно перебазировать заводы - раз. Во-вторых, связаться со всей системой народного хозяйства, которая в кооперации обеспечила бы выпуск авиационных изделий, чтобы перебазировка наших заводов не проходила оторвано от наших баз, чтобы непрерывность производства была обеспечена, смелость в решении вопросов и в техническом риске, бояться нечего – время военное, больше личного примера, меньше бюрократизма, чтобы организованно решить задачу, преодолеть трудности, а их преодолеть можно. Мы имеем много имущества и оборудования, и иногда при эвакуации мы его даже оставляем. Если будет организованность, мы избежим всех трудностей, а для этого надо иметь план, помочь заводам при всех условиях обеспечить непрерывность работы и в кратчайшее время овладеть производством в новой обстановке, на новом месте.</w:t>
      </w:r>
    </w:p>
    <w:p w14:paraId="7AE023CE" w14:textId="77777777" w:rsidR="00630A1B" w:rsidRPr="00640820" w:rsidRDefault="00630A1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xml:space="preserve">Наконец, задача всех сотрудников, начиная от рядового работника и кончая зам. наркома, - удвоить выпуск продукции заводов, находящихся в глубинных пунктах страны, заводов №292,124,126,125, 381, Куйбышевского и других заводов, поставить их на ноги и потребовать от них в течение 12-15 дней удвоить продукцию, чтобы не сказалась перебазировка московских заводов. </w:t>
      </w:r>
    </w:p>
    <w:p w14:paraId="03CAA241" w14:textId="77777777" w:rsidR="00630A1B" w:rsidRPr="00640820" w:rsidRDefault="00630A1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xml:space="preserve">И должно быть всеобщее желание как можно скорей покончить с разгромом вражеских сил, а чтобы преодолеть это, мы должны быть проникнуты единой волей и единым желанием даже в условиях эвакуации добиться повышения выпуска продукции нашими предприятиями. </w:t>
      </w:r>
    </w:p>
    <w:p w14:paraId="0FBF5A61" w14:textId="77777777" w:rsidR="00630A1B" w:rsidRPr="00640820" w:rsidRDefault="00630A1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Если будут всеобщая организованность и желание, эти практические задачи будут решены очень легко. Важны организованность и желание.</w:t>
      </w:r>
    </w:p>
    <w:p w14:paraId="3AFAE8A5" w14:textId="77777777" w:rsidR="00630A1B" w:rsidRPr="00640820" w:rsidRDefault="00630A1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ЦАОДМ, ф. 1590, оп. 1, д. 3, л. 18-30 (20790).</w:t>
      </w:r>
    </w:p>
    <w:p w14:paraId="46BBDEA1" w14:textId="77777777" w:rsidR="00630A1B" w:rsidRPr="00640820" w:rsidRDefault="00630A1B" w:rsidP="00640820">
      <w:pPr>
        <w:spacing w:after="0" w:line="240" w:lineRule="auto"/>
        <w:jc w:val="both"/>
        <w:rPr>
          <w:rFonts w:ascii="Times New Roman" w:hAnsi="Times New Roman"/>
          <w:color w:val="0070C0"/>
          <w:sz w:val="16"/>
          <w:szCs w:val="16"/>
        </w:rPr>
      </w:pPr>
    </w:p>
    <w:p w14:paraId="48B148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октября 1941 года начальник первого гл. управления НКАП Шиц писал Справку "Замечания первого гл. управления НКАП по проекту постановления СНК об экономии алюминия и внедрении его заменителей в авиапромышленности.</w:t>
      </w:r>
    </w:p>
    <w:p w14:paraId="5426FE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связи с эвакуацией некоторых самолетных заводов, прошу изменить сроки внедрения заменителей алюминия по следующим агрегатам:</w:t>
      </w:r>
    </w:p>
    <w:p w14:paraId="770EDE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Крылу и стабилизатору самолета Су-2 с 1 ноября на 15 декабря 1941 г.</w:t>
      </w:r>
    </w:p>
    <w:p w14:paraId="10705B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Бензобакам самолета Су-2 с 10 октября на 15 ноября 1941 г.</w:t>
      </w:r>
    </w:p>
    <w:p w14:paraId="416943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Бензобакам самолета Лагг-3 по заводу N 153 с 15 октября на 10 ноября (по заводу N 21 оставить старый срок - 15 октября).</w:t>
      </w:r>
    </w:p>
    <w:p w14:paraId="7E45AD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Бензобакам самолета Як-7 с 15 ноября на 10 декабря (1520,178).</w:t>
      </w:r>
    </w:p>
    <w:p w14:paraId="520C3AB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СЕКРЕТНО</w:t>
      </w:r>
    </w:p>
    <w:p w14:paraId="3A354F7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ПРИЛОЖЕНИЕ К ПРОЕКТУ ПОСТАНОЖЕНИЯ СОВЕТА НАРОДНЫХ КОМИССАРОВ СОЮЗА ССР ОБ ЭКОНОМИИ АЛЮМИНИЯ И ВНЕДРЕНИЯ ЕГО ЗАМЕНИТЕЛЕЙ В АВИАЦИОШОЙ ПРОМЫШЛЕННОСТИ.</w:t>
      </w:r>
    </w:p>
    <w:p w14:paraId="2A36E2B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Замечания 10 Главного Управления НКАП к проекту поста</w:t>
      </w:r>
      <w:r w:rsidRPr="00640820">
        <w:rPr>
          <w:rFonts w:ascii="Times New Roman" w:hAnsi="Times New Roman"/>
          <w:color w:val="000000" w:themeColor="text1"/>
          <w:sz w:val="16"/>
          <w:szCs w:val="16"/>
        </w:rPr>
        <w:softHyphen/>
        <w:t>новления об экономии алюминия и внедрения его заменителей в авиационной промышленности.</w:t>
      </w:r>
    </w:p>
    <w:p w14:paraId="16A4A02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связи с эвакуацией ведущих заводов и перебазировки се</w:t>
      </w:r>
      <w:r w:rsidRPr="00640820">
        <w:rPr>
          <w:rFonts w:ascii="Times New Roman" w:hAnsi="Times New Roman"/>
          <w:color w:val="000000" w:themeColor="text1"/>
          <w:sz w:val="16"/>
          <w:szCs w:val="16"/>
        </w:rPr>
        <w:softHyphen/>
        <w:t>рийного производства агрегатов из заменителей - намеченные сро</w:t>
      </w:r>
      <w:r w:rsidRPr="00640820">
        <w:rPr>
          <w:rFonts w:ascii="Times New Roman" w:hAnsi="Times New Roman"/>
          <w:color w:val="000000" w:themeColor="text1"/>
          <w:sz w:val="16"/>
          <w:szCs w:val="16"/>
        </w:rPr>
        <w:softHyphen/>
        <w:t>ки перехода на заменители должны быть изменены.</w:t>
      </w:r>
    </w:p>
    <w:p w14:paraId="44A10D4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Хвостовая часть фюзеляжа самолета Пе-2 ( производство организуется в Казани)</w:t>
      </w:r>
    </w:p>
    <w:p w14:paraId="7187221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статиспытания деревянного хвоста закончить к 15.11.41 г.</w:t>
      </w:r>
    </w:p>
    <w:p w14:paraId="683419F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изготовить головную серию в 5 машин - к 15.ХП.41 г.</w:t>
      </w:r>
    </w:p>
    <w:p w14:paraId="31D4B60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серийное производство на заводах 124 и 22 - с 1 января 42 г.</w:t>
      </w:r>
    </w:p>
    <w:p w14:paraId="4858053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Стбилизатор деревянный самолета Пе-2 (производство организуется в Казани)</w:t>
      </w:r>
    </w:p>
    <w:p w14:paraId="73CC93D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статиспытания закончить к 10. XI. 41 г.</w:t>
      </w:r>
    </w:p>
    <w:p w14:paraId="0A50E49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изготовить головную серию в 5 машин к 1.ХП.41 г.</w:t>
      </w:r>
    </w:p>
    <w:p w14:paraId="5C5F53B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серийное производство на заводах 124 и 22 - с 15.ХП.41 г.</w:t>
      </w:r>
    </w:p>
    <w:p w14:paraId="501C91C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Деревянные консоли крыла самолета Ил-2.</w:t>
      </w:r>
    </w:p>
    <w:p w14:paraId="7310DBB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на заводе № 381 - серийное производство с 1.УП.41 г.</w:t>
      </w:r>
    </w:p>
    <w:p w14:paraId="68C9578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на заводе № 18 (на новом месте)- с 1 января 1941 г.</w:t>
      </w:r>
    </w:p>
    <w:p w14:paraId="0F2F359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Бензобаки фибровые.</w:t>
      </w:r>
    </w:p>
    <w:p w14:paraId="212815D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для самолета Пе-2 - 4 крыльевых бака по программам заводов № 22, 39 и 124 - переход с 15.71.41 г. Параллельно с производ</w:t>
      </w:r>
      <w:r w:rsidRPr="00640820">
        <w:rPr>
          <w:rFonts w:ascii="Times New Roman" w:hAnsi="Times New Roman"/>
          <w:color w:val="000000" w:themeColor="text1"/>
          <w:sz w:val="16"/>
          <w:szCs w:val="16"/>
        </w:rPr>
        <w:softHyphen/>
        <w:t>ством фибровых баков на заводе № 156 организуется производство в Казани.</w:t>
      </w:r>
    </w:p>
    <w:p w14:paraId="19DA71C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для самолета Ил-2 - 3 бака. Серийное- производство на заводе № 381 - с 1.ХП.41 г. и на заводе № 18 (на новом месте) - с 15.ХП41 г. Завод № 156 для отладки технологии производства ба</w:t>
      </w:r>
      <w:r w:rsidRPr="00640820">
        <w:rPr>
          <w:rFonts w:ascii="Times New Roman" w:hAnsi="Times New Roman"/>
          <w:color w:val="000000" w:themeColor="text1"/>
          <w:sz w:val="16"/>
          <w:szCs w:val="16"/>
          <w:vertAlign w:val="superscript"/>
        </w:rPr>
        <w:t>;</w:t>
      </w:r>
      <w:r w:rsidRPr="00640820">
        <w:rPr>
          <w:rFonts w:ascii="Times New Roman" w:hAnsi="Times New Roman"/>
          <w:color w:val="000000" w:themeColor="text1"/>
          <w:sz w:val="16"/>
          <w:szCs w:val="16"/>
        </w:rPr>
        <w:t>ков для этой машины изготовит 50 комплектов.</w:t>
      </w:r>
    </w:p>
    <w:p w14:paraId="6C4AF01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для самолета Пе-2 - меньший центроплашшй бак в серийное производство на заводах № 22, 124, 39 с 15.ХП.41 г.</w:t>
      </w:r>
    </w:p>
    <w:p w14:paraId="11E9DA0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10 ГУ НКАП (Тарасевич) (1520,180).</w:t>
      </w:r>
    </w:p>
    <w:p w14:paraId="535D39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A86B9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октября 1941 Нач. НИИ ВВС Федоров, Военком НИИ ВВС Чернышев, Нач. 3 отд. НИИ ВВС ви1р Сафронов и военком 3 отд. ст. политрук Кудрявцев подписали отчет по контрольным испытаниям самолета ЛаГГ-3 М-105П 7 серии 21 завода N 3132715 с винтом ВИШ-61П со ШВАК (150) БС (200) и 2хШКАС (1300), которые проходили с 18 августа по 23 сентября 1941. Вл Чигарев, Ви Таракановский, ви Рабкин. Выполнили 92 полета и налетали 39:23, в т.ч. на машине N 3121422 - 10 с налетом 7:15. На машине была уменьшена емкость крыльевых баков с 410 кг до 340 кг, сняты БК и один БС, увеличены колеса с 600х180 до 650х200, зафиксировано неубирающееся костыльное колесо, на РН установлены верхний и нижний балансиры, на задней части фюзеляжа сделан люк. По сравнению с опытным п/вес вырос до 3280 кг, но это меньше 1-х серийных 1-й серии в 3346. Макс. скорость - 549 км/час (2567,73).</w:t>
      </w:r>
    </w:p>
    <w:p w14:paraId="5D7860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E146B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октября 1941 М.И.Гудков писал И.В.С.: “...По предварительно снятым данным, Гу-82 имеет максимальную скорость 580 км/час на 6400 м и поднимается на высоту 5000 м за 7-7.5 мин. Таким образом, взятая мной серийная машина с завода № 21 после установки мотора М-82 имеет преимущество по скорости на 235 км/час и по времени набора высоты 5000 м - 1-1.5 мин.</w:t>
      </w:r>
    </w:p>
    <w:p w14:paraId="2074B5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октября 1941 года Гудков сообщал Сталину: "... По предварительно снятым данным, Гу-82 имеет максимальную скорость 580 км/ч на высоте 6400 м и поднимается на высоту 5000 м за 7-7,5 мин. Таким образом, взятая мною серийная машина с завода №21 после установки мотора М-82 имеет преимущество по скорости на 25 км/ч и по времени набора высоты 5000 м -1 -1,5 мин.</w:t>
      </w:r>
    </w:p>
    <w:p w14:paraId="3864CD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Причем, машина имеет в наличии грубые погрешности и дефекты серийного производства Горьковского завода, из-за которых серийный "ЛаГР против опытной машины потерял 45-55 км/ч. Следовательно, если исправить и устранить дефекты серийной машины, то мы будем иметь максимальную скорость с мотором М-82 615-620 км/ч.</w:t>
      </w:r>
    </w:p>
    <w:p w14:paraId="0E2C1F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настоящее время мною проводится целый комплекс разработок, которые дают основание предполагать, что мне удастся увеличить скорость моей машины с М-82 до 600 км/ч, это без учета устранения дефектов серийного производства...</w:t>
      </w:r>
    </w:p>
    <w:p w14:paraId="4DB801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пребывания на фронте я совершенно отчетливо себе представляю, что нам необходимо иметь на вооружении самолет с мотором воздушного охлаждения, так как использование истребителей с мотором жидкостного охлаждения как в воздушных боях и в особенности при штурмовке наземных частей противника приносит большой процент потерь в летном составе и материальной части, из-за большой уязвимости водяной системы мотора...</w:t>
      </w:r>
    </w:p>
    <w:p w14:paraId="2720E2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Имея же истребитель с мотором воздушного охлаждения мы таких потерь иметь не будем, так как живучесть мотора воздушного охлаждения в 9 раз больше.</w:t>
      </w:r>
    </w:p>
    <w:p w14:paraId="3396A0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Исходя из этих соображений, прошу Вас в целях выигрыша во времени, не дожидаясь окончания испытания машины, разрешить мне внедрить мой самолет с М-82 на одном из серийных заводов, выпускающих самолеты "ЛаГГ..." (7682,3).</w:t>
      </w:r>
    </w:p>
    <w:p w14:paraId="34A6A9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8C97A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ок</w:t>
      </w:r>
      <w:r w:rsidRPr="00640820">
        <w:rPr>
          <w:rFonts w:ascii="Times New Roman" w:hAnsi="Times New Roman"/>
          <w:color w:val="000000" w:themeColor="text1"/>
          <w:sz w:val="16"/>
          <w:szCs w:val="16"/>
        </w:rPr>
        <w:softHyphen/>
        <w:t>тября 1941 согласно доклада Гудкова И.В.С. на Гу-82 была получена максимальная скорость 580 км/ч на высоте 6400 м и время подъема на высоту 5000 м -7-7,5 минут. По расчету же макси</w:t>
      </w:r>
      <w:r w:rsidRPr="00640820">
        <w:rPr>
          <w:rFonts w:ascii="Times New Roman" w:hAnsi="Times New Roman"/>
          <w:color w:val="000000" w:themeColor="text1"/>
          <w:sz w:val="16"/>
          <w:szCs w:val="16"/>
        </w:rPr>
        <w:softHyphen/>
        <w:t>мальная скорость должна была со</w:t>
      </w:r>
      <w:r w:rsidRPr="00640820">
        <w:rPr>
          <w:rFonts w:ascii="Times New Roman" w:hAnsi="Times New Roman"/>
          <w:color w:val="000000" w:themeColor="text1"/>
          <w:sz w:val="16"/>
          <w:szCs w:val="16"/>
        </w:rPr>
        <w:softHyphen/>
        <w:t>ставить 615-620 км/ч. Недополучение скоростей Гудков объяснял плохим качеством изготовления планера ис</w:t>
      </w:r>
      <w:r w:rsidRPr="00640820">
        <w:rPr>
          <w:rFonts w:ascii="Times New Roman" w:hAnsi="Times New Roman"/>
          <w:color w:val="000000" w:themeColor="text1"/>
          <w:sz w:val="16"/>
          <w:szCs w:val="16"/>
        </w:rPr>
        <w:softHyphen/>
        <w:t>ходного ЛаГГ-3 на заводе №21 в Горь</w:t>
      </w:r>
      <w:r w:rsidRPr="00640820">
        <w:rPr>
          <w:rFonts w:ascii="Times New Roman" w:hAnsi="Times New Roman"/>
          <w:color w:val="000000" w:themeColor="text1"/>
          <w:sz w:val="16"/>
          <w:szCs w:val="16"/>
        </w:rPr>
        <w:softHyphen/>
        <w:t>ком. Однако, несмотря на это, Гудков просил разрешить ему организовать серийное производство Гу-82 на од</w:t>
      </w:r>
      <w:r w:rsidRPr="00640820">
        <w:rPr>
          <w:rFonts w:ascii="Times New Roman" w:hAnsi="Times New Roman"/>
          <w:color w:val="000000" w:themeColor="text1"/>
          <w:sz w:val="16"/>
          <w:szCs w:val="16"/>
        </w:rPr>
        <w:softHyphen/>
        <w:t>ном из серийных заводов, выпускаю</w:t>
      </w:r>
      <w:r w:rsidRPr="00640820">
        <w:rPr>
          <w:rFonts w:ascii="Times New Roman" w:hAnsi="Times New Roman"/>
          <w:color w:val="000000" w:themeColor="text1"/>
          <w:sz w:val="16"/>
          <w:szCs w:val="16"/>
        </w:rPr>
        <w:softHyphen/>
        <w:t>щих ЛаГГи, обязуясь устранить выяв</w:t>
      </w:r>
      <w:r w:rsidRPr="00640820">
        <w:rPr>
          <w:rFonts w:ascii="Times New Roman" w:hAnsi="Times New Roman"/>
          <w:color w:val="000000" w:themeColor="text1"/>
          <w:sz w:val="16"/>
          <w:szCs w:val="16"/>
        </w:rPr>
        <w:softHyphen/>
        <w:t>ленные дефекты и довести скорость до 600 км/ч (10686).</w:t>
      </w:r>
    </w:p>
    <w:p w14:paraId="645ACF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AD96E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октября 1941 года Гудков сообщал Сталину:</w:t>
      </w:r>
    </w:p>
    <w:p w14:paraId="52657E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предварительно снятым данным, Гу-82 имеет максимальную скорость 580 км/ч на высоте 6400 м и поднимается на высоту 5000 м за 7-7,5 минут. Таким образом, взятая мною серийная машина с завода № 21 после установки мотора М-82 имеет преимущество по скорости на 25 км/ч и по времени набора высоты 5000 м - 1 - 1,5 минуты.</w:t>
      </w:r>
    </w:p>
    <w:p w14:paraId="1ABD99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Причем машина имеет в наличии грубые погрешности и дефекты серийного производства Горьковского завода, из-за которых серийный "ЛаГГ" против опытной машины потерял 45-55 км/ч. Следовательно, если исправить и устранить дефекты серийной машины, то мы будем иметь максимальную скорость с мотором М-82 615-620 км/ч.</w:t>
      </w:r>
    </w:p>
    <w:p w14:paraId="76C3CF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настоящее время мною проводится целый комплекс разработок, которые дают основание предполагать, что мне удастся увеличить скорость моей машины с М-82 до 600 км/ч, это без учета устранения дефектов серийного производства...</w:t>
      </w:r>
    </w:p>
    <w:p w14:paraId="50FB7D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пребывания на фронте я совершенно отчетливо себе представляю, что нам необходимо иметь на вооружении самолет с мотором воздушного охлаждения, так как использование истребителей с мотором жидкостного охлаждения как в воздушных боях и в особенности при штурмовке наземных частей противника приносит большой процент потерь в летном составе и материальной части, из-за большой уязвимости водяной системы мотора...</w:t>
      </w:r>
    </w:p>
    <w:p w14:paraId="5B0F11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Имея же истребитель с мотором воздушного охлаждения, мы таких потерь иметь не будем, так как живучесть мотора воздушного охлаждения в девять раз больше.</w:t>
      </w:r>
    </w:p>
    <w:p w14:paraId="6C2AEB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Исходя из этих соображений, прошу Вас в целях выигрыша во времени, не дожидаясь окончания испытаний машины, разрешить мне внедрить мой самолет с М-82 на одном из серийных заводов, выпускающих самолеты "ЛаГГ"...".</w:t>
      </w:r>
    </w:p>
    <w:p w14:paraId="45A884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Ответ на эти предложения затянулся почти на два месяца. Тем временем Михаил Иванович попал в "жернова", оказавшись между Яковлевым и Лавочкиным. Здесь следует подчеркнуть, что у Лавочкина нашлось немало доброжелателей в НКАП, начиная с наркома. В итоге получилось, что Гудкову не давали хода, а люди Лавочкина постепенно осваивали замыслы Михаила Ивановича (12032).</w:t>
      </w:r>
    </w:p>
    <w:p w14:paraId="6CFAEF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1CAC0AD"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октября 1941 года Гудков сообщал Сталину:</w:t>
      </w:r>
    </w:p>
    <w:p w14:paraId="0A4EA975"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По предварительно снятым данным, Гу-82 имеет максимальную скорость 580 км/ч на высоте 6400 м и поднимается на высоту 5000 м за 7-7,5 мин. Таким образом, взятая мною серийная машина с завода №21 после установки мотора М-82 имеет преимущество по скорости на 25 км/ч и по времени набора высоты 5000м - 1-1,5 мин.</w:t>
      </w:r>
    </w:p>
    <w:p w14:paraId="06C7A3AE"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Причем, машина имеет в наличии грубые погрешности и дефекты серийного производства Горьковского завода, из-за которых серийный "ЛаГГ" против опытной машины потерял 45-55 км/ч. Следовательно, если исправить и устранить дефекты серийной машины, то мы будем иметь максимальную скорость с мотором М-82 615-620 км/ч.</w:t>
      </w:r>
    </w:p>
    <w:p w14:paraId="33DF0A33"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настоящее время мною проводится целый комплекс разработок, которые дают основание предполагать, что мне удастся увеличить скорость моей машины с М-82 до 600 км/ч, это без учета устранения дефектов серийного производства...</w:t>
      </w:r>
    </w:p>
    <w:p w14:paraId="0E972504"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пребывания на фронте я совершенно отчетливо себе представляю, что нам необходимо иметь на вооружении самолете мотором воздушного охлаждения, так как использование истребителей с мотором жидкостного охлаждения как в воздушных боях и в особенности при штурмовке наземных частей противника приносит большой процент потерь в летном составе и материальной части, из-за большой уязвимости водяной системы мотора...</w:t>
      </w:r>
    </w:p>
    <w:p w14:paraId="5773BFCD"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Имея же истребитель с мотором воздушного охлаждения мы таких потерь иметь не будем, так как живучесть мотора воздушного охлаждения в 9 раз больше.</w:t>
      </w:r>
    </w:p>
    <w:p w14:paraId="0E9201E7"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Исходя из этих соображений, прошу Вас в целях выигрыша во времени, не дожидаясь окончания испытания машины, разрешить мне внедрить мой самолет с М-82 на одном из серийных заводов, выпускающих самолеты "ЛаГГ"...".</w:t>
      </w:r>
    </w:p>
    <w:p w14:paraId="125FBA03"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Ответ на это предложение затянулся почти на два месяца. Тем временем Михаил Иванович попал в "жернова", оказавшись между Яковлевым и Лавочкиным.</w:t>
      </w:r>
    </w:p>
    <w:p w14:paraId="7D6FB650"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Здесь следует подчеркнуть, что у Лавочкина нашлось немало доброжелателей в НКАП, начиная с наркома. В итоге получилось, что Гудкову не давали хода, а люди Лавочкина постепенно осваивали замыслы Михаила Ивановича. В частности, в декабре 1942-го на заводе № 21 развернулась разработка будущего Ла-5. Спрашивается, зачем? Ведь был же уже готовый аналогичный самолет Гу-82, его нужно было лишь довести до требуемой кондиции и сотни этих машин уже в начале 1942-го громили бы немецких оккупантов, завоевывая господство в небе. Но, видимо, кто-то этого не хотел и тормозил доводку столь необходимого фронту Гу-82 (15558).</w:t>
      </w:r>
    </w:p>
    <w:p w14:paraId="41B2283A" w14:textId="77777777" w:rsidR="00E80D3A" w:rsidRPr="00640820" w:rsidRDefault="00E80D3A" w:rsidP="00640820">
      <w:pPr>
        <w:spacing w:after="0" w:line="240" w:lineRule="auto"/>
        <w:jc w:val="both"/>
        <w:rPr>
          <w:rFonts w:ascii="Times New Roman" w:hAnsi="Times New Roman"/>
          <w:color w:val="000000" w:themeColor="text1"/>
          <w:sz w:val="16"/>
          <w:szCs w:val="16"/>
        </w:rPr>
      </w:pPr>
    </w:p>
    <w:p w14:paraId="6ABE1B00" w14:textId="77777777" w:rsidR="002028EF" w:rsidRPr="00640820" w:rsidRDefault="002028EF" w:rsidP="00640820">
      <w:pPr>
        <w:pStyle w:val="rtejustify"/>
        <w:shd w:val="clear" w:color="auto" w:fill="FFFFFF"/>
        <w:spacing w:before="0" w:after="0"/>
        <w:rPr>
          <w:color w:val="000000" w:themeColor="text1"/>
          <w:sz w:val="16"/>
          <w:szCs w:val="16"/>
        </w:rPr>
      </w:pPr>
      <w:r w:rsidRPr="00640820">
        <w:rPr>
          <w:color w:val="000000" w:themeColor="text1"/>
          <w:sz w:val="16"/>
          <w:szCs w:val="16"/>
        </w:rPr>
        <w:t>11 октября 1941 г. при эвакуации института в Свердловск, пытаясь спасти Ме-109Е, погиб прекрасный летчик-испытатель Т. Чигарев…(19179).</w:t>
      </w:r>
    </w:p>
    <w:p w14:paraId="1A1EB85A" w14:textId="77777777" w:rsidR="002028EF" w:rsidRPr="00640820" w:rsidRDefault="002028EF" w:rsidP="00640820">
      <w:pPr>
        <w:pStyle w:val="rtejustify"/>
        <w:shd w:val="clear" w:color="auto" w:fill="FFFFFF"/>
        <w:spacing w:before="0" w:after="0"/>
        <w:rPr>
          <w:color w:val="000000" w:themeColor="text1"/>
          <w:sz w:val="16"/>
          <w:szCs w:val="16"/>
        </w:rPr>
      </w:pPr>
    </w:p>
    <w:p w14:paraId="2793170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октября 1941 Зам. НКАП Хруничев писал письмо № Н-39/7296 НК торговли тов. ЛЮБИМОВУ А.В.</w:t>
      </w:r>
    </w:p>
    <w:p w14:paraId="50E6780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Копия: Зам. НКАП РСФСР тов. СТОКОЛОВУ</w:t>
      </w:r>
    </w:p>
    <w:p w14:paraId="349859C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связи с перемещением рабочих из одних предприятий НКАП на другие, а также переводом некоторых предприятий на новые места, прошу Ваших распоряжений об организации закрытой торговли, общественного питания и выделении фондов продовольственных и промышленных товаров.</w:t>
      </w:r>
    </w:p>
    <w:p w14:paraId="53B8CC9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Предприятия, для которых контингент работающих увеличился за счет перевода на них работающих с других предприятий:</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498"/>
        <w:gridCol w:w="2455"/>
        <w:gridCol w:w="1570"/>
        <w:gridCol w:w="3557"/>
        <w:gridCol w:w="2023"/>
      </w:tblGrid>
      <w:tr w:rsidR="00643896" w:rsidRPr="00640820" w14:paraId="4A437C36" w14:textId="77777777" w:rsidTr="000D3BCB">
        <w:trPr>
          <w:trHeight w:val="20"/>
        </w:trPr>
        <w:tc>
          <w:tcPr>
            <w:tcW w:w="1498" w:type="dxa"/>
            <w:tcBorders>
              <w:top w:val="single" w:sz="12" w:space="0" w:color="auto"/>
            </w:tcBorders>
          </w:tcPr>
          <w:p w14:paraId="738E41A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предприятий</w:t>
            </w:r>
          </w:p>
        </w:tc>
        <w:tc>
          <w:tcPr>
            <w:tcW w:w="2455" w:type="dxa"/>
            <w:tcBorders>
              <w:top w:val="single" w:sz="12" w:space="0" w:color="auto"/>
            </w:tcBorders>
          </w:tcPr>
          <w:p w14:paraId="337A953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Местонахождение</w:t>
            </w:r>
          </w:p>
          <w:p w14:paraId="00BB332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0" w:type="dxa"/>
            <w:tcBorders>
              <w:top w:val="single" w:sz="12" w:space="0" w:color="auto"/>
            </w:tcBorders>
          </w:tcPr>
          <w:p w14:paraId="28A52BC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Дополнительное увеличение контингента работающих</w:t>
            </w:r>
          </w:p>
        </w:tc>
        <w:tc>
          <w:tcPr>
            <w:tcW w:w="3557" w:type="dxa"/>
            <w:tcBorders>
              <w:top w:val="single" w:sz="12" w:space="0" w:color="auto"/>
            </w:tcBorders>
          </w:tcPr>
          <w:p w14:paraId="638DC41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предприятий и откуда переводятся</w:t>
            </w:r>
          </w:p>
        </w:tc>
        <w:tc>
          <w:tcPr>
            <w:tcW w:w="2023" w:type="dxa"/>
            <w:tcBorders>
              <w:top w:val="single" w:sz="12" w:space="0" w:color="auto"/>
            </w:tcBorders>
          </w:tcPr>
          <w:p w14:paraId="50A7A3C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какого срока</w:t>
            </w:r>
          </w:p>
        </w:tc>
      </w:tr>
      <w:tr w:rsidR="00643896" w:rsidRPr="00640820" w14:paraId="1C2A5220" w14:textId="77777777" w:rsidTr="000D3BCB">
        <w:trPr>
          <w:trHeight w:val="20"/>
        </w:trPr>
        <w:tc>
          <w:tcPr>
            <w:tcW w:w="1498" w:type="dxa"/>
          </w:tcPr>
          <w:p w14:paraId="1A00F8D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306</w:t>
            </w:r>
          </w:p>
        </w:tc>
        <w:tc>
          <w:tcPr>
            <w:tcW w:w="2455" w:type="dxa"/>
          </w:tcPr>
          <w:p w14:paraId="32560B3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Саратов</w:t>
            </w:r>
          </w:p>
        </w:tc>
        <w:tc>
          <w:tcPr>
            <w:tcW w:w="1570" w:type="dxa"/>
          </w:tcPr>
          <w:p w14:paraId="29F8498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500</w:t>
            </w:r>
          </w:p>
        </w:tc>
        <w:tc>
          <w:tcPr>
            <w:tcW w:w="3557" w:type="dxa"/>
          </w:tcPr>
          <w:p w14:paraId="35292A5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161 из Москвы</w:t>
            </w:r>
          </w:p>
        </w:tc>
        <w:tc>
          <w:tcPr>
            <w:tcW w:w="2023" w:type="dxa"/>
          </w:tcPr>
          <w:p w14:paraId="0749255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15.10.41</w:t>
            </w:r>
          </w:p>
        </w:tc>
      </w:tr>
      <w:tr w:rsidR="00643896" w:rsidRPr="00640820" w14:paraId="2048AE0E" w14:textId="77777777" w:rsidTr="000D3BCB">
        <w:trPr>
          <w:trHeight w:val="20"/>
        </w:trPr>
        <w:tc>
          <w:tcPr>
            <w:tcW w:w="1498" w:type="dxa"/>
          </w:tcPr>
          <w:p w14:paraId="1E9D4F1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153</w:t>
            </w:r>
          </w:p>
        </w:tc>
        <w:tc>
          <w:tcPr>
            <w:tcW w:w="2455" w:type="dxa"/>
          </w:tcPr>
          <w:p w14:paraId="13F031C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Новосибирск</w:t>
            </w:r>
          </w:p>
        </w:tc>
        <w:tc>
          <w:tcPr>
            <w:tcW w:w="1570" w:type="dxa"/>
          </w:tcPr>
          <w:p w14:paraId="00B23B8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1700</w:t>
            </w:r>
          </w:p>
        </w:tc>
        <w:tc>
          <w:tcPr>
            <w:tcW w:w="3557" w:type="dxa"/>
          </w:tcPr>
          <w:p w14:paraId="50A3095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51 из Москвы</w:t>
            </w:r>
          </w:p>
        </w:tc>
        <w:tc>
          <w:tcPr>
            <w:tcW w:w="2023" w:type="dxa"/>
          </w:tcPr>
          <w:p w14:paraId="19A9C07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15.10.41</w:t>
            </w:r>
          </w:p>
        </w:tc>
      </w:tr>
      <w:tr w:rsidR="00643896" w:rsidRPr="00640820" w14:paraId="08C9F347" w14:textId="77777777" w:rsidTr="000D3BCB">
        <w:trPr>
          <w:trHeight w:val="20"/>
        </w:trPr>
        <w:tc>
          <w:tcPr>
            <w:tcW w:w="1498" w:type="dxa"/>
          </w:tcPr>
          <w:p w14:paraId="1F4A245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124</w:t>
            </w:r>
          </w:p>
        </w:tc>
        <w:tc>
          <w:tcPr>
            <w:tcW w:w="2455" w:type="dxa"/>
          </w:tcPr>
          <w:p w14:paraId="7A6185A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Казань</w:t>
            </w:r>
          </w:p>
        </w:tc>
        <w:tc>
          <w:tcPr>
            <w:tcW w:w="1570" w:type="dxa"/>
          </w:tcPr>
          <w:p w14:paraId="0A516CA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1200</w:t>
            </w:r>
          </w:p>
        </w:tc>
        <w:tc>
          <w:tcPr>
            <w:tcW w:w="3557" w:type="dxa"/>
          </w:tcPr>
          <w:p w14:paraId="70C113D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240 из Москвы</w:t>
            </w:r>
          </w:p>
        </w:tc>
        <w:tc>
          <w:tcPr>
            <w:tcW w:w="2023" w:type="dxa"/>
          </w:tcPr>
          <w:p w14:paraId="3A23C1A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15.10.41</w:t>
            </w:r>
          </w:p>
        </w:tc>
      </w:tr>
      <w:tr w:rsidR="00643896" w:rsidRPr="00640820" w14:paraId="1BD56490" w14:textId="77777777" w:rsidTr="000D3BCB">
        <w:trPr>
          <w:trHeight w:val="20"/>
        </w:trPr>
        <w:tc>
          <w:tcPr>
            <w:tcW w:w="1498" w:type="dxa"/>
          </w:tcPr>
          <w:p w14:paraId="46868DB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w:t>
            </w:r>
          </w:p>
        </w:tc>
        <w:tc>
          <w:tcPr>
            <w:tcW w:w="2455" w:type="dxa"/>
          </w:tcPr>
          <w:p w14:paraId="32F74B5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Молотов</w:t>
            </w:r>
          </w:p>
        </w:tc>
        <w:tc>
          <w:tcPr>
            <w:tcW w:w="1570" w:type="dxa"/>
          </w:tcPr>
          <w:p w14:paraId="5411583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2700</w:t>
            </w:r>
          </w:p>
        </w:tc>
        <w:tc>
          <w:tcPr>
            <w:tcW w:w="3557" w:type="dxa"/>
          </w:tcPr>
          <w:p w14:paraId="3871FE2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289 из Подлипки Моск. обл.</w:t>
            </w:r>
          </w:p>
        </w:tc>
        <w:tc>
          <w:tcPr>
            <w:tcW w:w="2023" w:type="dxa"/>
          </w:tcPr>
          <w:p w14:paraId="082F5B7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15.10.41</w:t>
            </w:r>
          </w:p>
        </w:tc>
      </w:tr>
      <w:tr w:rsidR="00643896" w:rsidRPr="00640820" w14:paraId="237E0F36" w14:textId="77777777" w:rsidTr="000D3BCB">
        <w:trPr>
          <w:trHeight w:val="20"/>
        </w:trPr>
        <w:tc>
          <w:tcPr>
            <w:tcW w:w="1498" w:type="dxa"/>
          </w:tcPr>
          <w:p w14:paraId="647FAAD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384</w:t>
            </w:r>
          </w:p>
        </w:tc>
        <w:tc>
          <w:tcPr>
            <w:tcW w:w="2455" w:type="dxa"/>
          </w:tcPr>
          <w:p w14:paraId="10CA2C1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Уфа</w:t>
            </w:r>
          </w:p>
        </w:tc>
        <w:tc>
          <w:tcPr>
            <w:tcW w:w="1570" w:type="dxa"/>
          </w:tcPr>
          <w:p w14:paraId="3709248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960</w:t>
            </w:r>
          </w:p>
        </w:tc>
        <w:tc>
          <w:tcPr>
            <w:tcW w:w="3557" w:type="dxa"/>
          </w:tcPr>
          <w:p w14:paraId="74CA0F4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291 из Москвы</w:t>
            </w:r>
          </w:p>
        </w:tc>
        <w:tc>
          <w:tcPr>
            <w:tcW w:w="2023" w:type="dxa"/>
          </w:tcPr>
          <w:p w14:paraId="06B9DDC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15.10.41</w:t>
            </w:r>
          </w:p>
        </w:tc>
      </w:tr>
      <w:tr w:rsidR="00643896" w:rsidRPr="00640820" w14:paraId="3D2ACE51" w14:textId="77777777" w:rsidTr="000D3BCB">
        <w:trPr>
          <w:trHeight w:val="20"/>
        </w:trPr>
        <w:tc>
          <w:tcPr>
            <w:tcW w:w="1498" w:type="dxa"/>
          </w:tcPr>
          <w:p w14:paraId="361A3E0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449</w:t>
            </w:r>
          </w:p>
        </w:tc>
        <w:tc>
          <w:tcPr>
            <w:tcW w:w="2455" w:type="dxa"/>
          </w:tcPr>
          <w:p w14:paraId="27CA108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Саратов</w:t>
            </w:r>
          </w:p>
        </w:tc>
        <w:tc>
          <w:tcPr>
            <w:tcW w:w="1570" w:type="dxa"/>
          </w:tcPr>
          <w:p w14:paraId="0DE89BD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1200</w:t>
            </w:r>
          </w:p>
        </w:tc>
        <w:tc>
          <w:tcPr>
            <w:tcW w:w="3557" w:type="dxa"/>
          </w:tcPr>
          <w:p w14:paraId="2FAEE1D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478 из Кадуги</w:t>
            </w:r>
          </w:p>
        </w:tc>
        <w:tc>
          <w:tcPr>
            <w:tcW w:w="2023" w:type="dxa"/>
          </w:tcPr>
          <w:p w14:paraId="631BD0E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15.10.41</w:t>
            </w:r>
          </w:p>
        </w:tc>
      </w:tr>
      <w:tr w:rsidR="00643896" w:rsidRPr="00640820" w14:paraId="5C623727" w14:textId="77777777" w:rsidTr="000D3BCB">
        <w:trPr>
          <w:trHeight w:val="20"/>
        </w:trPr>
        <w:tc>
          <w:tcPr>
            <w:tcW w:w="1498" w:type="dxa"/>
          </w:tcPr>
          <w:p w14:paraId="2E39D87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471</w:t>
            </w:r>
          </w:p>
        </w:tc>
        <w:tc>
          <w:tcPr>
            <w:tcW w:w="2455" w:type="dxa"/>
          </w:tcPr>
          <w:p w14:paraId="7C31007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Шумерля Татарской АССР</w:t>
            </w:r>
          </w:p>
        </w:tc>
        <w:tc>
          <w:tcPr>
            <w:tcW w:w="1570" w:type="dxa"/>
          </w:tcPr>
          <w:p w14:paraId="7EEB2BB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225</w:t>
            </w:r>
          </w:p>
        </w:tc>
        <w:tc>
          <w:tcPr>
            <w:tcW w:w="3557" w:type="dxa"/>
          </w:tcPr>
          <w:p w14:paraId="1EF91A1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ОКБ-28 из Москвы</w:t>
            </w:r>
          </w:p>
        </w:tc>
        <w:tc>
          <w:tcPr>
            <w:tcW w:w="2023" w:type="dxa"/>
          </w:tcPr>
          <w:p w14:paraId="5569F17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15.10.41</w:t>
            </w:r>
          </w:p>
        </w:tc>
      </w:tr>
      <w:tr w:rsidR="00643896" w:rsidRPr="00640820" w14:paraId="5C19CB96" w14:textId="77777777" w:rsidTr="000D3BCB">
        <w:trPr>
          <w:trHeight w:val="20"/>
        </w:trPr>
        <w:tc>
          <w:tcPr>
            <w:tcW w:w="1498" w:type="dxa"/>
          </w:tcPr>
          <w:p w14:paraId="3EEABED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122</w:t>
            </w:r>
          </w:p>
        </w:tc>
        <w:tc>
          <w:tcPr>
            <w:tcW w:w="2455" w:type="dxa"/>
          </w:tcPr>
          <w:p w14:paraId="4EA8189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Куйбышев</w:t>
            </w:r>
          </w:p>
        </w:tc>
        <w:tc>
          <w:tcPr>
            <w:tcW w:w="1570" w:type="dxa"/>
          </w:tcPr>
          <w:p w14:paraId="21C54F6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16000</w:t>
            </w:r>
          </w:p>
        </w:tc>
        <w:tc>
          <w:tcPr>
            <w:tcW w:w="3557" w:type="dxa"/>
          </w:tcPr>
          <w:p w14:paraId="2984BCE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из Москвы</w:t>
            </w:r>
          </w:p>
        </w:tc>
        <w:tc>
          <w:tcPr>
            <w:tcW w:w="2023" w:type="dxa"/>
          </w:tcPr>
          <w:p w14:paraId="644F952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15.10.41</w:t>
            </w:r>
          </w:p>
        </w:tc>
      </w:tr>
      <w:tr w:rsidR="00643896" w:rsidRPr="00640820" w14:paraId="44CDF426" w14:textId="77777777" w:rsidTr="000D3BCB">
        <w:trPr>
          <w:trHeight w:val="20"/>
        </w:trPr>
        <w:tc>
          <w:tcPr>
            <w:tcW w:w="1498" w:type="dxa"/>
          </w:tcPr>
          <w:p w14:paraId="64A4323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122</w:t>
            </w:r>
          </w:p>
        </w:tc>
        <w:tc>
          <w:tcPr>
            <w:tcW w:w="2455" w:type="dxa"/>
          </w:tcPr>
          <w:p w14:paraId="0A26C04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Куйбышев</w:t>
            </w:r>
          </w:p>
        </w:tc>
        <w:tc>
          <w:tcPr>
            <w:tcW w:w="1570" w:type="dxa"/>
          </w:tcPr>
          <w:p w14:paraId="0BAAE69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15200</w:t>
            </w:r>
          </w:p>
        </w:tc>
        <w:tc>
          <w:tcPr>
            <w:tcW w:w="3557" w:type="dxa"/>
          </w:tcPr>
          <w:p w14:paraId="365C17C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 из Москвы </w:t>
            </w:r>
          </w:p>
        </w:tc>
        <w:tc>
          <w:tcPr>
            <w:tcW w:w="2023" w:type="dxa"/>
          </w:tcPr>
          <w:p w14:paraId="0609E61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15.11.41</w:t>
            </w:r>
          </w:p>
        </w:tc>
      </w:tr>
      <w:tr w:rsidR="00643896" w:rsidRPr="00640820" w14:paraId="3B1B7C5A" w14:textId="77777777" w:rsidTr="000D3BCB">
        <w:trPr>
          <w:trHeight w:val="20"/>
        </w:trPr>
        <w:tc>
          <w:tcPr>
            <w:tcW w:w="1498" w:type="dxa"/>
          </w:tcPr>
          <w:p w14:paraId="2C1C3B2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124</w:t>
            </w:r>
          </w:p>
        </w:tc>
        <w:tc>
          <w:tcPr>
            <w:tcW w:w="2455" w:type="dxa"/>
          </w:tcPr>
          <w:p w14:paraId="52174AB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Казань</w:t>
            </w:r>
          </w:p>
        </w:tc>
        <w:tc>
          <w:tcPr>
            <w:tcW w:w="1570" w:type="dxa"/>
          </w:tcPr>
          <w:p w14:paraId="6299799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20000</w:t>
            </w:r>
          </w:p>
        </w:tc>
        <w:tc>
          <w:tcPr>
            <w:tcW w:w="3557" w:type="dxa"/>
          </w:tcPr>
          <w:p w14:paraId="34DA510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из Москвы</w:t>
            </w:r>
          </w:p>
        </w:tc>
        <w:tc>
          <w:tcPr>
            <w:tcW w:w="2023" w:type="dxa"/>
          </w:tcPr>
          <w:p w14:paraId="3664263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15.10.41</w:t>
            </w:r>
          </w:p>
        </w:tc>
      </w:tr>
      <w:tr w:rsidR="00643896" w:rsidRPr="00640820" w14:paraId="7020100E" w14:textId="77777777" w:rsidTr="000D3BCB">
        <w:trPr>
          <w:trHeight w:val="20"/>
        </w:trPr>
        <w:tc>
          <w:tcPr>
            <w:tcW w:w="1498" w:type="dxa"/>
          </w:tcPr>
          <w:p w14:paraId="287E572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124</w:t>
            </w:r>
          </w:p>
        </w:tc>
        <w:tc>
          <w:tcPr>
            <w:tcW w:w="2455" w:type="dxa"/>
          </w:tcPr>
          <w:p w14:paraId="11E2071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Казань</w:t>
            </w:r>
          </w:p>
        </w:tc>
        <w:tc>
          <w:tcPr>
            <w:tcW w:w="1570" w:type="dxa"/>
          </w:tcPr>
          <w:p w14:paraId="2737301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20000</w:t>
            </w:r>
          </w:p>
        </w:tc>
        <w:tc>
          <w:tcPr>
            <w:tcW w:w="3557" w:type="dxa"/>
          </w:tcPr>
          <w:p w14:paraId="0B3B917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из Москвы</w:t>
            </w:r>
          </w:p>
        </w:tc>
        <w:tc>
          <w:tcPr>
            <w:tcW w:w="2023" w:type="dxa"/>
          </w:tcPr>
          <w:p w14:paraId="0747FF7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15.11.41</w:t>
            </w:r>
          </w:p>
        </w:tc>
      </w:tr>
      <w:tr w:rsidR="00643896" w:rsidRPr="00640820" w14:paraId="513B3B4C" w14:textId="77777777" w:rsidTr="000D3BCB">
        <w:trPr>
          <w:trHeight w:val="20"/>
        </w:trPr>
        <w:tc>
          <w:tcPr>
            <w:tcW w:w="1498" w:type="dxa"/>
          </w:tcPr>
          <w:p w14:paraId="1914E02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337</w:t>
            </w:r>
          </w:p>
        </w:tc>
        <w:tc>
          <w:tcPr>
            <w:tcW w:w="2455" w:type="dxa"/>
          </w:tcPr>
          <w:p w14:paraId="50E7DD6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Куйбышев</w:t>
            </w:r>
          </w:p>
        </w:tc>
        <w:tc>
          <w:tcPr>
            <w:tcW w:w="1570" w:type="dxa"/>
          </w:tcPr>
          <w:p w14:paraId="6A25C32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16500</w:t>
            </w:r>
          </w:p>
        </w:tc>
        <w:tc>
          <w:tcPr>
            <w:tcW w:w="3557" w:type="dxa"/>
          </w:tcPr>
          <w:p w14:paraId="45BDCB3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из Москвы</w:t>
            </w:r>
          </w:p>
        </w:tc>
        <w:tc>
          <w:tcPr>
            <w:tcW w:w="2023" w:type="dxa"/>
          </w:tcPr>
          <w:p w14:paraId="1D29374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15.10.41</w:t>
            </w:r>
          </w:p>
        </w:tc>
      </w:tr>
      <w:tr w:rsidR="00643896" w:rsidRPr="00640820" w14:paraId="754C8158" w14:textId="77777777" w:rsidTr="000D3BCB">
        <w:trPr>
          <w:trHeight w:val="20"/>
        </w:trPr>
        <w:tc>
          <w:tcPr>
            <w:tcW w:w="1498" w:type="dxa"/>
          </w:tcPr>
          <w:p w14:paraId="685EA08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337</w:t>
            </w:r>
          </w:p>
        </w:tc>
        <w:tc>
          <w:tcPr>
            <w:tcW w:w="2455" w:type="dxa"/>
          </w:tcPr>
          <w:p w14:paraId="11417E0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Куйбышев</w:t>
            </w:r>
          </w:p>
        </w:tc>
        <w:tc>
          <w:tcPr>
            <w:tcW w:w="1570" w:type="dxa"/>
          </w:tcPr>
          <w:p w14:paraId="188C158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16960</w:t>
            </w:r>
          </w:p>
        </w:tc>
        <w:tc>
          <w:tcPr>
            <w:tcW w:w="3557" w:type="dxa"/>
          </w:tcPr>
          <w:p w14:paraId="5123A19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из Москвы</w:t>
            </w:r>
          </w:p>
        </w:tc>
        <w:tc>
          <w:tcPr>
            <w:tcW w:w="2023" w:type="dxa"/>
          </w:tcPr>
          <w:p w14:paraId="5EFB99E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15.11.41</w:t>
            </w:r>
          </w:p>
        </w:tc>
      </w:tr>
      <w:tr w:rsidR="00643896" w:rsidRPr="00640820" w14:paraId="4AC98644" w14:textId="77777777" w:rsidTr="000D3BCB">
        <w:trPr>
          <w:trHeight w:val="20"/>
        </w:trPr>
        <w:tc>
          <w:tcPr>
            <w:tcW w:w="1498" w:type="dxa"/>
          </w:tcPr>
          <w:p w14:paraId="130AF6E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214</w:t>
            </w:r>
          </w:p>
        </w:tc>
        <w:tc>
          <w:tcPr>
            <w:tcW w:w="2455" w:type="dxa"/>
          </w:tcPr>
          <w:p w14:paraId="26AF693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Свердловск</w:t>
            </w:r>
          </w:p>
        </w:tc>
        <w:tc>
          <w:tcPr>
            <w:tcW w:w="1570" w:type="dxa"/>
          </w:tcPr>
          <w:p w14:paraId="326446A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1500</w:t>
            </w:r>
          </w:p>
        </w:tc>
        <w:tc>
          <w:tcPr>
            <w:tcW w:w="3557" w:type="dxa"/>
          </w:tcPr>
          <w:p w14:paraId="4BF6A50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214 из Москвы</w:t>
            </w:r>
          </w:p>
        </w:tc>
        <w:tc>
          <w:tcPr>
            <w:tcW w:w="2023" w:type="dxa"/>
          </w:tcPr>
          <w:p w14:paraId="5025876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15.10.41</w:t>
            </w:r>
          </w:p>
        </w:tc>
      </w:tr>
      <w:tr w:rsidR="00643896" w:rsidRPr="00640820" w14:paraId="232F395E" w14:textId="77777777" w:rsidTr="000D3BCB">
        <w:trPr>
          <w:trHeight w:val="20"/>
        </w:trPr>
        <w:tc>
          <w:tcPr>
            <w:tcW w:w="1498" w:type="dxa"/>
          </w:tcPr>
          <w:p w14:paraId="3030A97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213</w:t>
            </w:r>
          </w:p>
        </w:tc>
        <w:tc>
          <w:tcPr>
            <w:tcW w:w="2455" w:type="dxa"/>
          </w:tcPr>
          <w:p w14:paraId="55E2B82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Энгельс</w:t>
            </w:r>
          </w:p>
        </w:tc>
        <w:tc>
          <w:tcPr>
            <w:tcW w:w="1570" w:type="dxa"/>
          </w:tcPr>
          <w:p w14:paraId="75BFECF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3650</w:t>
            </w:r>
          </w:p>
        </w:tc>
        <w:tc>
          <w:tcPr>
            <w:tcW w:w="3557" w:type="dxa"/>
          </w:tcPr>
          <w:p w14:paraId="5EF3758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213 из Москвы</w:t>
            </w:r>
          </w:p>
        </w:tc>
        <w:tc>
          <w:tcPr>
            <w:tcW w:w="2023" w:type="dxa"/>
          </w:tcPr>
          <w:p w14:paraId="3CF1CC1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15.10.41</w:t>
            </w:r>
          </w:p>
        </w:tc>
      </w:tr>
      <w:tr w:rsidR="00643896" w:rsidRPr="00640820" w14:paraId="0AB41E7D" w14:textId="77777777" w:rsidTr="000D3BCB">
        <w:trPr>
          <w:trHeight w:val="20"/>
        </w:trPr>
        <w:tc>
          <w:tcPr>
            <w:tcW w:w="1498" w:type="dxa"/>
          </w:tcPr>
          <w:p w14:paraId="65B888A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Стройтрест № 30</w:t>
            </w:r>
          </w:p>
        </w:tc>
        <w:tc>
          <w:tcPr>
            <w:tcW w:w="2455" w:type="dxa"/>
          </w:tcPr>
          <w:p w14:paraId="735FC07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Каменск-Уральский</w:t>
            </w:r>
          </w:p>
        </w:tc>
        <w:tc>
          <w:tcPr>
            <w:tcW w:w="1570" w:type="dxa"/>
          </w:tcPr>
          <w:p w14:paraId="3B6785D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7000</w:t>
            </w:r>
          </w:p>
        </w:tc>
        <w:tc>
          <w:tcPr>
            <w:tcW w:w="3557" w:type="dxa"/>
          </w:tcPr>
          <w:p w14:paraId="0D86AFF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Стройтрест № 30 из Москвы</w:t>
            </w:r>
          </w:p>
        </w:tc>
        <w:tc>
          <w:tcPr>
            <w:tcW w:w="2023" w:type="dxa"/>
          </w:tcPr>
          <w:p w14:paraId="0319AAA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15.10.41</w:t>
            </w:r>
          </w:p>
        </w:tc>
      </w:tr>
      <w:tr w:rsidR="00643896" w:rsidRPr="00640820" w14:paraId="7D098412" w14:textId="77777777" w:rsidTr="000D3BCB">
        <w:trPr>
          <w:trHeight w:val="20"/>
        </w:trPr>
        <w:tc>
          <w:tcPr>
            <w:tcW w:w="1498" w:type="dxa"/>
          </w:tcPr>
          <w:p w14:paraId="3B024AC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448</w:t>
            </w:r>
          </w:p>
        </w:tc>
        <w:tc>
          <w:tcPr>
            <w:tcW w:w="2455" w:type="dxa"/>
          </w:tcPr>
          <w:p w14:paraId="61FB629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Тбилиси</w:t>
            </w:r>
          </w:p>
        </w:tc>
        <w:tc>
          <w:tcPr>
            <w:tcW w:w="1570" w:type="dxa"/>
          </w:tcPr>
          <w:p w14:paraId="04020F2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23000</w:t>
            </w:r>
          </w:p>
        </w:tc>
        <w:tc>
          <w:tcPr>
            <w:tcW w:w="3557" w:type="dxa"/>
          </w:tcPr>
          <w:p w14:paraId="5E0C0BE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 из Таганрога</w:t>
            </w:r>
          </w:p>
        </w:tc>
        <w:tc>
          <w:tcPr>
            <w:tcW w:w="2023" w:type="dxa"/>
          </w:tcPr>
          <w:p w14:paraId="0F319AB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15.10.41</w:t>
            </w:r>
          </w:p>
        </w:tc>
      </w:tr>
      <w:tr w:rsidR="00643896" w:rsidRPr="00640820" w14:paraId="053C95E0" w14:textId="77777777" w:rsidTr="000D3BCB">
        <w:trPr>
          <w:trHeight w:val="20"/>
        </w:trPr>
        <w:tc>
          <w:tcPr>
            <w:tcW w:w="1498" w:type="dxa"/>
          </w:tcPr>
          <w:p w14:paraId="711C90B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w:t>
            </w:r>
          </w:p>
        </w:tc>
        <w:tc>
          <w:tcPr>
            <w:tcW w:w="2455" w:type="dxa"/>
          </w:tcPr>
          <w:p w14:paraId="6FE87EC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Казань</w:t>
            </w:r>
          </w:p>
        </w:tc>
        <w:tc>
          <w:tcPr>
            <w:tcW w:w="1570" w:type="dxa"/>
          </w:tcPr>
          <w:p w14:paraId="4555022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12400</w:t>
            </w:r>
          </w:p>
        </w:tc>
        <w:tc>
          <w:tcPr>
            <w:tcW w:w="3557" w:type="dxa"/>
          </w:tcPr>
          <w:p w14:paraId="69401B8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из Воронежа</w:t>
            </w:r>
          </w:p>
        </w:tc>
        <w:tc>
          <w:tcPr>
            <w:tcW w:w="2023" w:type="dxa"/>
          </w:tcPr>
          <w:p w14:paraId="5B6D254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15.10.41</w:t>
            </w:r>
          </w:p>
        </w:tc>
      </w:tr>
      <w:tr w:rsidR="00643896" w:rsidRPr="00640820" w14:paraId="4475B9D2" w14:textId="77777777" w:rsidTr="000D3BCB">
        <w:trPr>
          <w:trHeight w:val="20"/>
        </w:trPr>
        <w:tc>
          <w:tcPr>
            <w:tcW w:w="1498" w:type="dxa"/>
          </w:tcPr>
          <w:p w14:paraId="004E6DD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384</w:t>
            </w:r>
          </w:p>
        </w:tc>
        <w:tc>
          <w:tcPr>
            <w:tcW w:w="2455" w:type="dxa"/>
          </w:tcPr>
          <w:p w14:paraId="5BD9C00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Уфа</w:t>
            </w:r>
          </w:p>
        </w:tc>
        <w:tc>
          <w:tcPr>
            <w:tcW w:w="1570" w:type="dxa"/>
          </w:tcPr>
          <w:p w14:paraId="4BA8B95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600</w:t>
            </w:r>
          </w:p>
        </w:tc>
        <w:tc>
          <w:tcPr>
            <w:tcW w:w="3557" w:type="dxa"/>
          </w:tcPr>
          <w:p w14:paraId="22DB1CF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из Воронежа</w:t>
            </w:r>
          </w:p>
        </w:tc>
        <w:tc>
          <w:tcPr>
            <w:tcW w:w="2023" w:type="dxa"/>
          </w:tcPr>
          <w:p w14:paraId="4AF2175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15.10.41</w:t>
            </w:r>
          </w:p>
        </w:tc>
      </w:tr>
      <w:tr w:rsidR="00643896" w:rsidRPr="00640820" w14:paraId="3D298044" w14:textId="77777777" w:rsidTr="000D3BCB">
        <w:trPr>
          <w:trHeight w:val="20"/>
        </w:trPr>
        <w:tc>
          <w:tcPr>
            <w:tcW w:w="1498" w:type="dxa"/>
          </w:tcPr>
          <w:p w14:paraId="736691F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446</w:t>
            </w:r>
          </w:p>
        </w:tc>
        <w:tc>
          <w:tcPr>
            <w:tcW w:w="2455" w:type="dxa"/>
          </w:tcPr>
          <w:p w14:paraId="40FB9BE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Баку</w:t>
            </w:r>
          </w:p>
        </w:tc>
        <w:tc>
          <w:tcPr>
            <w:tcW w:w="1570" w:type="dxa"/>
          </w:tcPr>
          <w:p w14:paraId="0F98FD0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4000</w:t>
            </w:r>
          </w:p>
        </w:tc>
        <w:tc>
          <w:tcPr>
            <w:tcW w:w="3557" w:type="dxa"/>
          </w:tcPr>
          <w:p w14:paraId="7B2EF48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458 из Ростова на Дону</w:t>
            </w:r>
          </w:p>
        </w:tc>
        <w:tc>
          <w:tcPr>
            <w:tcW w:w="2023" w:type="dxa"/>
          </w:tcPr>
          <w:p w14:paraId="53674E0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15.10.41</w:t>
            </w:r>
          </w:p>
        </w:tc>
      </w:tr>
      <w:tr w:rsidR="00643896" w:rsidRPr="00640820" w14:paraId="378FE9F5" w14:textId="77777777" w:rsidTr="000D3BCB">
        <w:trPr>
          <w:trHeight w:val="20"/>
        </w:trPr>
        <w:tc>
          <w:tcPr>
            <w:tcW w:w="1498" w:type="dxa"/>
          </w:tcPr>
          <w:p w14:paraId="7C2A981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153</w:t>
            </w:r>
          </w:p>
        </w:tc>
        <w:tc>
          <w:tcPr>
            <w:tcW w:w="2455" w:type="dxa"/>
          </w:tcPr>
          <w:p w14:paraId="091A10C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Новосибирск</w:t>
            </w:r>
          </w:p>
        </w:tc>
        <w:tc>
          <w:tcPr>
            <w:tcW w:w="1570" w:type="dxa"/>
          </w:tcPr>
          <w:p w14:paraId="4801D14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9000</w:t>
            </w:r>
          </w:p>
        </w:tc>
        <w:tc>
          <w:tcPr>
            <w:tcW w:w="3557" w:type="dxa"/>
          </w:tcPr>
          <w:p w14:paraId="08C71CE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301 из Химки, Московской обл.</w:t>
            </w:r>
          </w:p>
        </w:tc>
        <w:tc>
          <w:tcPr>
            <w:tcW w:w="2023" w:type="dxa"/>
          </w:tcPr>
          <w:p w14:paraId="59AC06D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15.10.41</w:t>
            </w:r>
          </w:p>
        </w:tc>
      </w:tr>
      <w:tr w:rsidR="00643896" w:rsidRPr="00640820" w14:paraId="746A0557" w14:textId="77777777" w:rsidTr="000D3BCB">
        <w:trPr>
          <w:trHeight w:val="20"/>
        </w:trPr>
        <w:tc>
          <w:tcPr>
            <w:tcW w:w="1498" w:type="dxa"/>
          </w:tcPr>
          <w:p w14:paraId="270F332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w:t>
            </w:r>
          </w:p>
        </w:tc>
        <w:tc>
          <w:tcPr>
            <w:tcW w:w="2455" w:type="dxa"/>
          </w:tcPr>
          <w:p w14:paraId="0D29F5C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Молотов</w:t>
            </w:r>
          </w:p>
        </w:tc>
        <w:tc>
          <w:tcPr>
            <w:tcW w:w="1570" w:type="dxa"/>
          </w:tcPr>
          <w:p w14:paraId="1DC7676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6500</w:t>
            </w:r>
          </w:p>
        </w:tc>
        <w:tc>
          <w:tcPr>
            <w:tcW w:w="3557" w:type="dxa"/>
          </w:tcPr>
          <w:p w14:paraId="05D6C18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207 из Долгопрудного Московской обл.</w:t>
            </w:r>
          </w:p>
        </w:tc>
        <w:tc>
          <w:tcPr>
            <w:tcW w:w="2023" w:type="dxa"/>
          </w:tcPr>
          <w:p w14:paraId="1ACAE2C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15.10.41</w:t>
            </w:r>
          </w:p>
        </w:tc>
      </w:tr>
      <w:tr w:rsidR="00643896" w:rsidRPr="00640820" w14:paraId="49F78BAB" w14:textId="77777777" w:rsidTr="000D3BCB">
        <w:trPr>
          <w:trHeight w:val="20"/>
        </w:trPr>
        <w:tc>
          <w:tcPr>
            <w:tcW w:w="1498" w:type="dxa"/>
          </w:tcPr>
          <w:p w14:paraId="225BC4C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283</w:t>
            </w:r>
          </w:p>
        </w:tc>
        <w:tc>
          <w:tcPr>
            <w:tcW w:w="2455" w:type="dxa"/>
          </w:tcPr>
          <w:p w14:paraId="3598EEF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Ульяновск</w:t>
            </w:r>
          </w:p>
        </w:tc>
        <w:tc>
          <w:tcPr>
            <w:tcW w:w="1570" w:type="dxa"/>
          </w:tcPr>
          <w:p w14:paraId="4714706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3000</w:t>
            </w:r>
          </w:p>
        </w:tc>
        <w:tc>
          <w:tcPr>
            <w:tcW w:w="3557" w:type="dxa"/>
          </w:tcPr>
          <w:p w14:paraId="762987E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из Москвы</w:t>
            </w:r>
          </w:p>
        </w:tc>
        <w:tc>
          <w:tcPr>
            <w:tcW w:w="2023" w:type="dxa"/>
          </w:tcPr>
          <w:p w14:paraId="3250346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15.10.41</w:t>
            </w:r>
          </w:p>
        </w:tc>
      </w:tr>
      <w:tr w:rsidR="00643896" w:rsidRPr="00640820" w14:paraId="1F27D64F" w14:textId="77777777" w:rsidTr="000D3BCB">
        <w:trPr>
          <w:trHeight w:val="20"/>
        </w:trPr>
        <w:tc>
          <w:tcPr>
            <w:tcW w:w="1498" w:type="dxa"/>
          </w:tcPr>
          <w:p w14:paraId="38B5EBB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491</w:t>
            </w:r>
          </w:p>
        </w:tc>
        <w:tc>
          <w:tcPr>
            <w:tcW w:w="2455" w:type="dxa"/>
          </w:tcPr>
          <w:p w14:paraId="361FFDE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Верхняя Салда</w:t>
            </w:r>
          </w:p>
        </w:tc>
        <w:tc>
          <w:tcPr>
            <w:tcW w:w="1570" w:type="dxa"/>
          </w:tcPr>
          <w:p w14:paraId="045D6D6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7000</w:t>
            </w:r>
          </w:p>
        </w:tc>
        <w:tc>
          <w:tcPr>
            <w:tcW w:w="3557" w:type="dxa"/>
          </w:tcPr>
          <w:p w14:paraId="0F39D48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95 из Екнцево Московской обл.</w:t>
            </w:r>
          </w:p>
        </w:tc>
        <w:tc>
          <w:tcPr>
            <w:tcW w:w="2023" w:type="dxa"/>
          </w:tcPr>
          <w:p w14:paraId="389AA13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15.10.41</w:t>
            </w:r>
          </w:p>
        </w:tc>
      </w:tr>
      <w:tr w:rsidR="00643896" w:rsidRPr="00640820" w14:paraId="3D8D37C0" w14:textId="77777777" w:rsidTr="000D3BCB">
        <w:trPr>
          <w:trHeight w:val="20"/>
        </w:trPr>
        <w:tc>
          <w:tcPr>
            <w:tcW w:w="1498" w:type="dxa"/>
          </w:tcPr>
          <w:p w14:paraId="56555CE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263</w:t>
            </w:r>
          </w:p>
        </w:tc>
        <w:tc>
          <w:tcPr>
            <w:tcW w:w="2455" w:type="dxa"/>
          </w:tcPr>
          <w:p w14:paraId="23DAF43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Каменск-Уральский</w:t>
            </w:r>
          </w:p>
        </w:tc>
        <w:tc>
          <w:tcPr>
            <w:tcW w:w="1570" w:type="dxa"/>
          </w:tcPr>
          <w:p w14:paraId="21D704E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9500</w:t>
            </w:r>
          </w:p>
        </w:tc>
        <w:tc>
          <w:tcPr>
            <w:tcW w:w="3557" w:type="dxa"/>
          </w:tcPr>
          <w:p w14:paraId="50E494A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150 из Ступино Московской обл.</w:t>
            </w:r>
          </w:p>
        </w:tc>
        <w:tc>
          <w:tcPr>
            <w:tcW w:w="2023" w:type="dxa"/>
          </w:tcPr>
          <w:p w14:paraId="6C275FA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1.11.41</w:t>
            </w:r>
          </w:p>
        </w:tc>
      </w:tr>
      <w:tr w:rsidR="00643896" w:rsidRPr="00640820" w14:paraId="61ADE90C" w14:textId="77777777" w:rsidTr="000D3BCB">
        <w:trPr>
          <w:trHeight w:val="20"/>
        </w:trPr>
        <w:tc>
          <w:tcPr>
            <w:tcW w:w="1498" w:type="dxa"/>
          </w:tcPr>
          <w:p w14:paraId="6DA08F7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491</w:t>
            </w:r>
          </w:p>
        </w:tc>
        <w:tc>
          <w:tcPr>
            <w:tcW w:w="2455" w:type="dxa"/>
          </w:tcPr>
          <w:p w14:paraId="43ADF7A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Верхняя Салда</w:t>
            </w:r>
          </w:p>
        </w:tc>
        <w:tc>
          <w:tcPr>
            <w:tcW w:w="1570" w:type="dxa"/>
          </w:tcPr>
          <w:p w14:paraId="040330C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1500</w:t>
            </w:r>
          </w:p>
        </w:tc>
        <w:tc>
          <w:tcPr>
            <w:tcW w:w="3557" w:type="dxa"/>
          </w:tcPr>
          <w:p w14:paraId="09729A4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150 из Ступино Московской обл.</w:t>
            </w:r>
          </w:p>
        </w:tc>
        <w:tc>
          <w:tcPr>
            <w:tcW w:w="2023" w:type="dxa"/>
          </w:tcPr>
          <w:p w14:paraId="0C95962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15.11.41</w:t>
            </w:r>
          </w:p>
        </w:tc>
      </w:tr>
      <w:tr w:rsidR="00643896" w:rsidRPr="00640820" w14:paraId="781E862B" w14:textId="77777777" w:rsidTr="000D3BCB">
        <w:trPr>
          <w:trHeight w:val="20"/>
        </w:trPr>
        <w:tc>
          <w:tcPr>
            <w:tcW w:w="1498" w:type="dxa"/>
          </w:tcPr>
          <w:p w14:paraId="67D268D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122</w:t>
            </w:r>
          </w:p>
        </w:tc>
        <w:tc>
          <w:tcPr>
            <w:tcW w:w="2455" w:type="dxa"/>
          </w:tcPr>
          <w:p w14:paraId="0E0E01F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Куйбышев</w:t>
            </w:r>
          </w:p>
        </w:tc>
        <w:tc>
          <w:tcPr>
            <w:tcW w:w="1570" w:type="dxa"/>
          </w:tcPr>
          <w:p w14:paraId="4A6F0B9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2000</w:t>
            </w:r>
          </w:p>
        </w:tc>
        <w:tc>
          <w:tcPr>
            <w:tcW w:w="3557" w:type="dxa"/>
          </w:tcPr>
          <w:p w14:paraId="211D9BE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150 из Ступино Московской обл.</w:t>
            </w:r>
          </w:p>
        </w:tc>
        <w:tc>
          <w:tcPr>
            <w:tcW w:w="2023" w:type="dxa"/>
          </w:tcPr>
          <w:p w14:paraId="07F25E7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1.11.41</w:t>
            </w:r>
          </w:p>
        </w:tc>
      </w:tr>
      <w:tr w:rsidR="00643896" w:rsidRPr="00640820" w14:paraId="4094EBBB" w14:textId="77777777" w:rsidTr="000D3BCB">
        <w:trPr>
          <w:trHeight w:val="20"/>
        </w:trPr>
        <w:tc>
          <w:tcPr>
            <w:tcW w:w="1498" w:type="dxa"/>
          </w:tcPr>
          <w:p w14:paraId="460E0D6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295</w:t>
            </w:r>
          </w:p>
        </w:tc>
        <w:tc>
          <w:tcPr>
            <w:tcW w:w="2455" w:type="dxa"/>
          </w:tcPr>
          <w:p w14:paraId="2424933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Куйбышев</w:t>
            </w:r>
          </w:p>
        </w:tc>
        <w:tc>
          <w:tcPr>
            <w:tcW w:w="1570" w:type="dxa"/>
          </w:tcPr>
          <w:p w14:paraId="2A306F5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2000</w:t>
            </w:r>
          </w:p>
        </w:tc>
        <w:tc>
          <w:tcPr>
            <w:tcW w:w="3557" w:type="dxa"/>
          </w:tcPr>
          <w:p w14:paraId="1F2B0AB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150 из Ступино Московской обл.</w:t>
            </w:r>
          </w:p>
        </w:tc>
        <w:tc>
          <w:tcPr>
            <w:tcW w:w="2023" w:type="dxa"/>
          </w:tcPr>
          <w:p w14:paraId="51478A6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1.11.41</w:t>
            </w:r>
          </w:p>
        </w:tc>
      </w:tr>
      <w:tr w:rsidR="00643896" w:rsidRPr="00640820" w14:paraId="66E49ACE" w14:textId="77777777" w:rsidTr="000D3BCB">
        <w:trPr>
          <w:trHeight w:val="20"/>
        </w:trPr>
        <w:tc>
          <w:tcPr>
            <w:tcW w:w="1498" w:type="dxa"/>
          </w:tcPr>
          <w:p w14:paraId="2C2430C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339</w:t>
            </w:r>
          </w:p>
        </w:tc>
        <w:tc>
          <w:tcPr>
            <w:tcW w:w="2455" w:type="dxa"/>
          </w:tcPr>
          <w:p w14:paraId="036F7BC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Молотов</w:t>
            </w:r>
          </w:p>
        </w:tc>
        <w:tc>
          <w:tcPr>
            <w:tcW w:w="1570" w:type="dxa"/>
          </w:tcPr>
          <w:p w14:paraId="66ECAAC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6500</w:t>
            </w:r>
          </w:p>
        </w:tc>
        <w:tc>
          <w:tcPr>
            <w:tcW w:w="3557" w:type="dxa"/>
          </w:tcPr>
          <w:p w14:paraId="20608F8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33 из Москвы</w:t>
            </w:r>
          </w:p>
        </w:tc>
        <w:tc>
          <w:tcPr>
            <w:tcW w:w="2023" w:type="dxa"/>
          </w:tcPr>
          <w:p w14:paraId="336FE65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1.11.41</w:t>
            </w:r>
          </w:p>
        </w:tc>
      </w:tr>
      <w:tr w:rsidR="00643896" w:rsidRPr="00640820" w14:paraId="72D9CBBB" w14:textId="77777777" w:rsidTr="000D3BCB">
        <w:trPr>
          <w:trHeight w:val="20"/>
        </w:trPr>
        <w:tc>
          <w:tcPr>
            <w:tcW w:w="1498" w:type="dxa"/>
          </w:tcPr>
          <w:p w14:paraId="6B13ACB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315</w:t>
            </w:r>
          </w:p>
        </w:tc>
        <w:tc>
          <w:tcPr>
            <w:tcW w:w="2455" w:type="dxa"/>
          </w:tcPr>
          <w:p w14:paraId="6CD51D0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Киров</w:t>
            </w:r>
          </w:p>
        </w:tc>
        <w:tc>
          <w:tcPr>
            <w:tcW w:w="1570" w:type="dxa"/>
          </w:tcPr>
          <w:p w14:paraId="46C772D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12600</w:t>
            </w:r>
          </w:p>
        </w:tc>
        <w:tc>
          <w:tcPr>
            <w:tcW w:w="3557" w:type="dxa"/>
          </w:tcPr>
          <w:p w14:paraId="6C8D0E6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 из Москвы</w:t>
            </w:r>
          </w:p>
        </w:tc>
        <w:tc>
          <w:tcPr>
            <w:tcW w:w="2023" w:type="dxa"/>
          </w:tcPr>
          <w:p w14:paraId="7A6E41A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1.11.41</w:t>
            </w:r>
          </w:p>
        </w:tc>
      </w:tr>
      <w:tr w:rsidR="00643896" w:rsidRPr="00640820" w14:paraId="01C77942" w14:textId="77777777" w:rsidTr="000D3BCB">
        <w:trPr>
          <w:trHeight w:val="20"/>
        </w:trPr>
        <w:tc>
          <w:tcPr>
            <w:tcW w:w="1498" w:type="dxa"/>
          </w:tcPr>
          <w:p w14:paraId="2869AEF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286</w:t>
            </w:r>
          </w:p>
        </w:tc>
        <w:tc>
          <w:tcPr>
            <w:tcW w:w="2455" w:type="dxa"/>
          </w:tcPr>
          <w:p w14:paraId="7969C7B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Каменск-Уральский</w:t>
            </w:r>
          </w:p>
        </w:tc>
        <w:tc>
          <w:tcPr>
            <w:tcW w:w="1570" w:type="dxa"/>
          </w:tcPr>
          <w:p w14:paraId="6A209C9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3000</w:t>
            </w:r>
          </w:p>
        </w:tc>
        <w:tc>
          <w:tcPr>
            <w:tcW w:w="3557" w:type="dxa"/>
          </w:tcPr>
          <w:p w14:paraId="00241B4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120 из Реутово Московской обл.</w:t>
            </w:r>
          </w:p>
        </w:tc>
        <w:tc>
          <w:tcPr>
            <w:tcW w:w="2023" w:type="dxa"/>
          </w:tcPr>
          <w:p w14:paraId="04385FF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15.10.41</w:t>
            </w:r>
          </w:p>
        </w:tc>
      </w:tr>
      <w:tr w:rsidR="00643896" w:rsidRPr="00640820" w14:paraId="4AC22FC7" w14:textId="77777777" w:rsidTr="000D3BCB">
        <w:trPr>
          <w:trHeight w:val="20"/>
        </w:trPr>
        <w:tc>
          <w:tcPr>
            <w:tcW w:w="1498" w:type="dxa"/>
          </w:tcPr>
          <w:p w14:paraId="5C837CA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286</w:t>
            </w:r>
          </w:p>
        </w:tc>
        <w:tc>
          <w:tcPr>
            <w:tcW w:w="2455" w:type="dxa"/>
          </w:tcPr>
          <w:p w14:paraId="3B51012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Каменск-Уральский</w:t>
            </w:r>
          </w:p>
        </w:tc>
        <w:tc>
          <w:tcPr>
            <w:tcW w:w="1570" w:type="dxa"/>
          </w:tcPr>
          <w:p w14:paraId="2DA5142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2950</w:t>
            </w:r>
          </w:p>
        </w:tc>
        <w:tc>
          <w:tcPr>
            <w:tcW w:w="3557" w:type="dxa"/>
          </w:tcPr>
          <w:p w14:paraId="3102C26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120 из Реутово Московской обл.</w:t>
            </w:r>
          </w:p>
        </w:tc>
        <w:tc>
          <w:tcPr>
            <w:tcW w:w="2023" w:type="dxa"/>
          </w:tcPr>
          <w:p w14:paraId="51E7F58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15.11.41</w:t>
            </w:r>
          </w:p>
        </w:tc>
      </w:tr>
      <w:tr w:rsidR="00643896" w:rsidRPr="00640820" w14:paraId="616B1ADE" w14:textId="77777777" w:rsidTr="000D3BCB">
        <w:trPr>
          <w:trHeight w:val="20"/>
        </w:trPr>
        <w:tc>
          <w:tcPr>
            <w:tcW w:w="1498" w:type="dxa"/>
          </w:tcPr>
          <w:p w14:paraId="16AFBDF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384</w:t>
            </w:r>
          </w:p>
        </w:tc>
        <w:tc>
          <w:tcPr>
            <w:tcW w:w="2455" w:type="dxa"/>
          </w:tcPr>
          <w:p w14:paraId="6F164F1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Уфа</w:t>
            </w:r>
          </w:p>
        </w:tc>
        <w:tc>
          <w:tcPr>
            <w:tcW w:w="1570" w:type="dxa"/>
          </w:tcPr>
          <w:p w14:paraId="45E51A5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3000</w:t>
            </w:r>
          </w:p>
        </w:tc>
        <w:tc>
          <w:tcPr>
            <w:tcW w:w="3557" w:type="dxa"/>
          </w:tcPr>
          <w:p w14:paraId="012F841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219 из Балашихи Московской обл.</w:t>
            </w:r>
          </w:p>
        </w:tc>
        <w:tc>
          <w:tcPr>
            <w:tcW w:w="2023" w:type="dxa"/>
          </w:tcPr>
          <w:p w14:paraId="16EB716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15.10.41</w:t>
            </w:r>
          </w:p>
        </w:tc>
      </w:tr>
      <w:tr w:rsidR="00643896" w:rsidRPr="00640820" w14:paraId="784D1C41" w14:textId="77777777" w:rsidTr="000D3BCB">
        <w:trPr>
          <w:trHeight w:val="20"/>
        </w:trPr>
        <w:tc>
          <w:tcPr>
            <w:tcW w:w="1498" w:type="dxa"/>
          </w:tcPr>
          <w:p w14:paraId="64F2ABC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w:t>
            </w:r>
          </w:p>
        </w:tc>
        <w:tc>
          <w:tcPr>
            <w:tcW w:w="2455" w:type="dxa"/>
          </w:tcPr>
          <w:p w14:paraId="4CB59DE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Казань</w:t>
            </w:r>
          </w:p>
        </w:tc>
        <w:tc>
          <w:tcPr>
            <w:tcW w:w="1570" w:type="dxa"/>
          </w:tcPr>
          <w:p w14:paraId="6E779D3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2500</w:t>
            </w:r>
          </w:p>
        </w:tc>
        <w:tc>
          <w:tcPr>
            <w:tcW w:w="3557" w:type="dxa"/>
          </w:tcPr>
          <w:p w14:paraId="7DD7B30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219 из Балашихи Московской обл.</w:t>
            </w:r>
          </w:p>
        </w:tc>
        <w:tc>
          <w:tcPr>
            <w:tcW w:w="2023" w:type="dxa"/>
          </w:tcPr>
          <w:p w14:paraId="56FB0DC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15.10.41</w:t>
            </w:r>
          </w:p>
        </w:tc>
      </w:tr>
      <w:tr w:rsidR="00643896" w:rsidRPr="00640820" w14:paraId="377AB0CC" w14:textId="77777777" w:rsidTr="000D3BCB">
        <w:trPr>
          <w:trHeight w:val="20"/>
        </w:trPr>
        <w:tc>
          <w:tcPr>
            <w:tcW w:w="1498" w:type="dxa"/>
          </w:tcPr>
          <w:p w14:paraId="4141DEF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122</w:t>
            </w:r>
          </w:p>
        </w:tc>
        <w:tc>
          <w:tcPr>
            <w:tcW w:w="2455" w:type="dxa"/>
          </w:tcPr>
          <w:p w14:paraId="1712FB8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Куйбышев</w:t>
            </w:r>
          </w:p>
        </w:tc>
        <w:tc>
          <w:tcPr>
            <w:tcW w:w="1570" w:type="dxa"/>
          </w:tcPr>
          <w:p w14:paraId="4E47349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2500</w:t>
            </w:r>
          </w:p>
        </w:tc>
        <w:tc>
          <w:tcPr>
            <w:tcW w:w="3557" w:type="dxa"/>
          </w:tcPr>
          <w:p w14:paraId="1CB87B1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219 из Балашихи Московской обл.</w:t>
            </w:r>
          </w:p>
        </w:tc>
        <w:tc>
          <w:tcPr>
            <w:tcW w:w="2023" w:type="dxa"/>
          </w:tcPr>
          <w:p w14:paraId="6C55ED3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15.10.41</w:t>
            </w:r>
          </w:p>
        </w:tc>
      </w:tr>
      <w:tr w:rsidR="00643896" w:rsidRPr="00640820" w14:paraId="10F757E2" w14:textId="77777777" w:rsidTr="000D3BCB">
        <w:trPr>
          <w:trHeight w:val="20"/>
        </w:trPr>
        <w:tc>
          <w:tcPr>
            <w:tcW w:w="1498" w:type="dxa"/>
          </w:tcPr>
          <w:p w14:paraId="78DD5D2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337</w:t>
            </w:r>
          </w:p>
        </w:tc>
        <w:tc>
          <w:tcPr>
            <w:tcW w:w="2455" w:type="dxa"/>
          </w:tcPr>
          <w:p w14:paraId="5F4B48E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Куйбышев</w:t>
            </w:r>
          </w:p>
        </w:tc>
        <w:tc>
          <w:tcPr>
            <w:tcW w:w="1570" w:type="dxa"/>
          </w:tcPr>
          <w:p w14:paraId="6637C41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2500</w:t>
            </w:r>
          </w:p>
        </w:tc>
        <w:tc>
          <w:tcPr>
            <w:tcW w:w="3557" w:type="dxa"/>
          </w:tcPr>
          <w:p w14:paraId="0469A25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219 из Балашихи Московской обл.</w:t>
            </w:r>
          </w:p>
        </w:tc>
        <w:tc>
          <w:tcPr>
            <w:tcW w:w="2023" w:type="dxa"/>
          </w:tcPr>
          <w:p w14:paraId="63856EC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15.10.41</w:t>
            </w:r>
          </w:p>
        </w:tc>
      </w:tr>
      <w:tr w:rsidR="00643896" w:rsidRPr="00640820" w14:paraId="6CAC44FA" w14:textId="77777777" w:rsidTr="000D3BCB">
        <w:trPr>
          <w:trHeight w:val="20"/>
        </w:trPr>
        <w:tc>
          <w:tcPr>
            <w:tcW w:w="1498" w:type="dxa"/>
            <w:tcBorders>
              <w:bottom w:val="single" w:sz="12" w:space="0" w:color="auto"/>
            </w:tcBorders>
          </w:tcPr>
          <w:p w14:paraId="7BF3242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467</w:t>
            </w:r>
          </w:p>
        </w:tc>
        <w:tc>
          <w:tcPr>
            <w:tcW w:w="2455" w:type="dxa"/>
            <w:tcBorders>
              <w:bottom w:val="single" w:sz="12" w:space="0" w:color="auto"/>
            </w:tcBorders>
          </w:tcPr>
          <w:p w14:paraId="39C009E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Павлово на Оке</w:t>
            </w:r>
          </w:p>
        </w:tc>
        <w:tc>
          <w:tcPr>
            <w:tcW w:w="1570" w:type="dxa"/>
            <w:tcBorders>
              <w:bottom w:val="single" w:sz="12" w:space="0" w:color="auto"/>
            </w:tcBorders>
          </w:tcPr>
          <w:p w14:paraId="17497D7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5000</w:t>
            </w:r>
          </w:p>
        </w:tc>
        <w:tc>
          <w:tcPr>
            <w:tcW w:w="3557" w:type="dxa"/>
            <w:tcBorders>
              <w:bottom w:val="single" w:sz="12" w:space="0" w:color="auto"/>
            </w:tcBorders>
          </w:tcPr>
          <w:p w14:paraId="795F638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из Москвы</w:t>
            </w:r>
          </w:p>
        </w:tc>
        <w:tc>
          <w:tcPr>
            <w:tcW w:w="2023" w:type="dxa"/>
            <w:tcBorders>
              <w:bottom w:val="single" w:sz="12" w:space="0" w:color="auto"/>
            </w:tcBorders>
          </w:tcPr>
          <w:p w14:paraId="5B79D9F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15.10.41</w:t>
            </w:r>
          </w:p>
        </w:tc>
      </w:tr>
    </w:tbl>
    <w:p w14:paraId="27DF200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Предприятия, перевозимые на новые площадки, для которых необходимо организовать закрытую торговлю и общественное питание</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498"/>
        <w:gridCol w:w="2455"/>
        <w:gridCol w:w="1570"/>
        <w:gridCol w:w="3557"/>
        <w:gridCol w:w="2023"/>
      </w:tblGrid>
      <w:tr w:rsidR="00643896" w:rsidRPr="00640820" w14:paraId="5C854333" w14:textId="77777777" w:rsidTr="000D3BCB">
        <w:trPr>
          <w:trHeight w:val="20"/>
        </w:trPr>
        <w:tc>
          <w:tcPr>
            <w:tcW w:w="1498" w:type="dxa"/>
            <w:tcBorders>
              <w:top w:val="single" w:sz="12" w:space="0" w:color="auto"/>
            </w:tcBorders>
          </w:tcPr>
          <w:p w14:paraId="35DBC9D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предприятий</w:t>
            </w:r>
          </w:p>
        </w:tc>
        <w:tc>
          <w:tcPr>
            <w:tcW w:w="2455" w:type="dxa"/>
            <w:tcBorders>
              <w:top w:val="single" w:sz="12" w:space="0" w:color="auto"/>
            </w:tcBorders>
          </w:tcPr>
          <w:p w14:paraId="4BDBF4A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Местонахождение</w:t>
            </w:r>
          </w:p>
          <w:p w14:paraId="5045B4E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0" w:type="dxa"/>
            <w:tcBorders>
              <w:top w:val="single" w:sz="12" w:space="0" w:color="auto"/>
            </w:tcBorders>
          </w:tcPr>
          <w:p w14:paraId="1D3A2D5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Дополнительное увеличение контингента работающих</w:t>
            </w:r>
          </w:p>
        </w:tc>
        <w:tc>
          <w:tcPr>
            <w:tcW w:w="3557" w:type="dxa"/>
            <w:tcBorders>
              <w:top w:val="single" w:sz="12" w:space="0" w:color="auto"/>
            </w:tcBorders>
          </w:tcPr>
          <w:p w14:paraId="5BEAC65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предприятий и откуда переводятся</w:t>
            </w:r>
          </w:p>
        </w:tc>
        <w:tc>
          <w:tcPr>
            <w:tcW w:w="2023" w:type="dxa"/>
            <w:tcBorders>
              <w:top w:val="single" w:sz="12" w:space="0" w:color="auto"/>
            </w:tcBorders>
          </w:tcPr>
          <w:p w14:paraId="58C6C52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какого срока</w:t>
            </w:r>
          </w:p>
        </w:tc>
      </w:tr>
      <w:tr w:rsidR="00643896" w:rsidRPr="00640820" w14:paraId="4FFCF454" w14:textId="77777777" w:rsidTr="000D3BCB">
        <w:trPr>
          <w:trHeight w:val="20"/>
        </w:trPr>
        <w:tc>
          <w:tcPr>
            <w:tcW w:w="1498" w:type="dxa"/>
          </w:tcPr>
          <w:p w14:paraId="7F6FEEE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472</w:t>
            </w:r>
          </w:p>
        </w:tc>
        <w:tc>
          <w:tcPr>
            <w:tcW w:w="2455" w:type="dxa"/>
          </w:tcPr>
          <w:p w14:paraId="042D7CB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Кузнецк Пензенской обл.</w:t>
            </w:r>
          </w:p>
        </w:tc>
        <w:tc>
          <w:tcPr>
            <w:tcW w:w="1570" w:type="dxa"/>
          </w:tcPr>
          <w:p w14:paraId="6016867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5300</w:t>
            </w:r>
          </w:p>
        </w:tc>
        <w:tc>
          <w:tcPr>
            <w:tcW w:w="3557" w:type="dxa"/>
          </w:tcPr>
          <w:p w14:paraId="5B318B7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472 из Болшево, Московской обл</w:t>
            </w:r>
          </w:p>
        </w:tc>
        <w:tc>
          <w:tcPr>
            <w:tcW w:w="2023" w:type="dxa"/>
          </w:tcPr>
          <w:p w14:paraId="16BF9D2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15.10.41</w:t>
            </w:r>
          </w:p>
        </w:tc>
      </w:tr>
      <w:tr w:rsidR="00643896" w:rsidRPr="00640820" w14:paraId="607F21AD" w14:textId="77777777" w:rsidTr="000D3BCB">
        <w:trPr>
          <w:trHeight w:val="20"/>
        </w:trPr>
        <w:tc>
          <w:tcPr>
            <w:tcW w:w="1498" w:type="dxa"/>
          </w:tcPr>
          <w:p w14:paraId="36360A7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145</w:t>
            </w:r>
          </w:p>
        </w:tc>
        <w:tc>
          <w:tcPr>
            <w:tcW w:w="2455" w:type="dxa"/>
          </w:tcPr>
          <w:p w14:paraId="523C49C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Уфа</w:t>
            </w:r>
          </w:p>
        </w:tc>
        <w:tc>
          <w:tcPr>
            <w:tcW w:w="1570" w:type="dxa"/>
          </w:tcPr>
          <w:p w14:paraId="6DE81DC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4000</w:t>
            </w:r>
          </w:p>
        </w:tc>
        <w:tc>
          <w:tcPr>
            <w:tcW w:w="3557" w:type="dxa"/>
          </w:tcPr>
          <w:p w14:paraId="7CCA5E9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445 из Москвы</w:t>
            </w:r>
          </w:p>
        </w:tc>
        <w:tc>
          <w:tcPr>
            <w:tcW w:w="2023" w:type="dxa"/>
          </w:tcPr>
          <w:p w14:paraId="7A9C7D4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15.10.41</w:t>
            </w:r>
          </w:p>
        </w:tc>
      </w:tr>
      <w:tr w:rsidR="00643896" w:rsidRPr="00640820" w14:paraId="30515494" w14:textId="77777777" w:rsidTr="000D3BCB">
        <w:trPr>
          <w:trHeight w:val="20"/>
        </w:trPr>
        <w:tc>
          <w:tcPr>
            <w:tcW w:w="1498" w:type="dxa"/>
          </w:tcPr>
          <w:p w14:paraId="083BC0B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495</w:t>
            </w:r>
          </w:p>
        </w:tc>
        <w:tc>
          <w:tcPr>
            <w:tcW w:w="2455" w:type="dxa"/>
          </w:tcPr>
          <w:p w14:paraId="775C0DC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Омск</w:t>
            </w:r>
          </w:p>
        </w:tc>
        <w:tc>
          <w:tcPr>
            <w:tcW w:w="1570" w:type="dxa"/>
          </w:tcPr>
          <w:p w14:paraId="2189967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6000</w:t>
            </w:r>
          </w:p>
        </w:tc>
        <w:tc>
          <w:tcPr>
            <w:tcW w:w="3557" w:type="dxa"/>
          </w:tcPr>
          <w:p w14:paraId="365D060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из Москвы</w:t>
            </w:r>
          </w:p>
        </w:tc>
        <w:tc>
          <w:tcPr>
            <w:tcW w:w="2023" w:type="dxa"/>
          </w:tcPr>
          <w:p w14:paraId="29BC1A7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15.10.41</w:t>
            </w:r>
          </w:p>
        </w:tc>
      </w:tr>
      <w:tr w:rsidR="00643896" w:rsidRPr="00640820" w14:paraId="29875D0C" w14:textId="77777777" w:rsidTr="000D3BCB">
        <w:trPr>
          <w:trHeight w:val="20"/>
        </w:trPr>
        <w:tc>
          <w:tcPr>
            <w:tcW w:w="1498" w:type="dxa"/>
          </w:tcPr>
          <w:p w14:paraId="3B266E7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230</w:t>
            </w:r>
          </w:p>
        </w:tc>
        <w:tc>
          <w:tcPr>
            <w:tcW w:w="2455" w:type="dxa"/>
          </w:tcPr>
          <w:p w14:paraId="4C685D4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Казань</w:t>
            </w:r>
          </w:p>
        </w:tc>
        <w:tc>
          <w:tcPr>
            <w:tcW w:w="1570" w:type="dxa"/>
          </w:tcPr>
          <w:p w14:paraId="5ACFB11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2000</w:t>
            </w:r>
          </w:p>
        </w:tc>
        <w:tc>
          <w:tcPr>
            <w:tcW w:w="3557" w:type="dxa"/>
          </w:tcPr>
          <w:p w14:paraId="6CCA2EC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230 из Москвы</w:t>
            </w:r>
          </w:p>
        </w:tc>
        <w:tc>
          <w:tcPr>
            <w:tcW w:w="2023" w:type="dxa"/>
          </w:tcPr>
          <w:p w14:paraId="237062B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15.10.41</w:t>
            </w:r>
          </w:p>
        </w:tc>
      </w:tr>
      <w:tr w:rsidR="00643896" w:rsidRPr="00640820" w14:paraId="2CF46184" w14:textId="77777777" w:rsidTr="000D3BCB">
        <w:trPr>
          <w:trHeight w:val="20"/>
        </w:trPr>
        <w:tc>
          <w:tcPr>
            <w:tcW w:w="1498" w:type="dxa"/>
          </w:tcPr>
          <w:p w14:paraId="49095E0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279</w:t>
            </w:r>
          </w:p>
        </w:tc>
        <w:tc>
          <w:tcPr>
            <w:tcW w:w="2455" w:type="dxa"/>
          </w:tcPr>
          <w:p w14:paraId="076986D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Ижевск</w:t>
            </w:r>
          </w:p>
        </w:tc>
        <w:tc>
          <w:tcPr>
            <w:tcW w:w="1570" w:type="dxa"/>
          </w:tcPr>
          <w:p w14:paraId="7665C9F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1700</w:t>
            </w:r>
          </w:p>
        </w:tc>
        <w:tc>
          <w:tcPr>
            <w:tcW w:w="3557" w:type="dxa"/>
          </w:tcPr>
          <w:p w14:paraId="3A01812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279 из Раменское Московской обл.</w:t>
            </w:r>
          </w:p>
        </w:tc>
        <w:tc>
          <w:tcPr>
            <w:tcW w:w="2023" w:type="dxa"/>
          </w:tcPr>
          <w:p w14:paraId="66C4F4E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15.10.41</w:t>
            </w:r>
          </w:p>
        </w:tc>
      </w:tr>
      <w:tr w:rsidR="00643896" w:rsidRPr="00640820" w14:paraId="06782DFF" w14:textId="77777777" w:rsidTr="000D3BCB">
        <w:trPr>
          <w:trHeight w:val="20"/>
        </w:trPr>
        <w:tc>
          <w:tcPr>
            <w:tcW w:w="1498" w:type="dxa"/>
          </w:tcPr>
          <w:p w14:paraId="364DDAB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479</w:t>
            </w:r>
          </w:p>
        </w:tc>
        <w:tc>
          <w:tcPr>
            <w:tcW w:w="2455" w:type="dxa"/>
          </w:tcPr>
          <w:p w14:paraId="63CDAA6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Славгород, Алтайский край</w:t>
            </w:r>
          </w:p>
        </w:tc>
        <w:tc>
          <w:tcPr>
            <w:tcW w:w="1570" w:type="dxa"/>
          </w:tcPr>
          <w:p w14:paraId="640F032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1250</w:t>
            </w:r>
          </w:p>
        </w:tc>
        <w:tc>
          <w:tcPr>
            <w:tcW w:w="3557" w:type="dxa"/>
          </w:tcPr>
          <w:p w14:paraId="2EF9429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479 из Серпухова Московской обл.</w:t>
            </w:r>
          </w:p>
        </w:tc>
        <w:tc>
          <w:tcPr>
            <w:tcW w:w="2023" w:type="dxa"/>
          </w:tcPr>
          <w:p w14:paraId="2B7D718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15.10.41</w:t>
            </w:r>
          </w:p>
        </w:tc>
      </w:tr>
      <w:tr w:rsidR="00643896" w:rsidRPr="00640820" w14:paraId="76C1C08E" w14:textId="77777777" w:rsidTr="000D3BCB">
        <w:trPr>
          <w:trHeight w:val="20"/>
        </w:trPr>
        <w:tc>
          <w:tcPr>
            <w:tcW w:w="1498" w:type="dxa"/>
          </w:tcPr>
          <w:p w14:paraId="4B8931B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Оргавиапрома</w:t>
            </w:r>
          </w:p>
        </w:tc>
        <w:tc>
          <w:tcPr>
            <w:tcW w:w="2455" w:type="dxa"/>
          </w:tcPr>
          <w:p w14:paraId="69459F3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 Опытная, Чебаркульский р-н</w:t>
            </w:r>
          </w:p>
        </w:tc>
        <w:tc>
          <w:tcPr>
            <w:tcW w:w="1570" w:type="dxa"/>
          </w:tcPr>
          <w:p w14:paraId="2EF9B10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900</w:t>
            </w:r>
          </w:p>
        </w:tc>
        <w:tc>
          <w:tcPr>
            <w:tcW w:w="3557" w:type="dxa"/>
          </w:tcPr>
          <w:p w14:paraId="3C08842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Оргавиапром из Москвы</w:t>
            </w:r>
          </w:p>
        </w:tc>
        <w:tc>
          <w:tcPr>
            <w:tcW w:w="2023" w:type="dxa"/>
          </w:tcPr>
          <w:p w14:paraId="2DC196C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15.10.41</w:t>
            </w:r>
          </w:p>
        </w:tc>
      </w:tr>
      <w:tr w:rsidR="00643896" w:rsidRPr="00640820" w14:paraId="5A8AFFBD" w14:textId="77777777" w:rsidTr="000D3BCB">
        <w:trPr>
          <w:trHeight w:val="20"/>
        </w:trPr>
        <w:tc>
          <w:tcPr>
            <w:tcW w:w="1498" w:type="dxa"/>
          </w:tcPr>
          <w:p w14:paraId="0205023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3 Оргавиапрома</w:t>
            </w:r>
          </w:p>
        </w:tc>
        <w:tc>
          <w:tcPr>
            <w:tcW w:w="2455" w:type="dxa"/>
          </w:tcPr>
          <w:p w14:paraId="1533EBB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Тавда</w:t>
            </w:r>
          </w:p>
        </w:tc>
        <w:tc>
          <w:tcPr>
            <w:tcW w:w="1570" w:type="dxa"/>
          </w:tcPr>
          <w:p w14:paraId="03E6107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500</w:t>
            </w:r>
          </w:p>
        </w:tc>
        <w:tc>
          <w:tcPr>
            <w:tcW w:w="3557" w:type="dxa"/>
          </w:tcPr>
          <w:p w14:paraId="2C11847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Оргавиапрома из Москвы</w:t>
            </w:r>
          </w:p>
        </w:tc>
        <w:tc>
          <w:tcPr>
            <w:tcW w:w="2023" w:type="dxa"/>
          </w:tcPr>
          <w:p w14:paraId="371277C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15.10.41</w:t>
            </w:r>
          </w:p>
        </w:tc>
      </w:tr>
      <w:tr w:rsidR="00643896" w:rsidRPr="00640820" w14:paraId="464F3D02" w14:textId="77777777" w:rsidTr="000D3BCB">
        <w:trPr>
          <w:trHeight w:val="20"/>
        </w:trPr>
        <w:tc>
          <w:tcPr>
            <w:tcW w:w="1498" w:type="dxa"/>
          </w:tcPr>
          <w:p w14:paraId="2181D0B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Оргавиапрома</w:t>
            </w:r>
          </w:p>
        </w:tc>
        <w:tc>
          <w:tcPr>
            <w:tcW w:w="2455" w:type="dxa"/>
          </w:tcPr>
          <w:p w14:paraId="0C30311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Тавда</w:t>
            </w:r>
          </w:p>
        </w:tc>
        <w:tc>
          <w:tcPr>
            <w:tcW w:w="1570" w:type="dxa"/>
          </w:tcPr>
          <w:p w14:paraId="2FD896A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w:t>
            </w:r>
          </w:p>
        </w:tc>
        <w:tc>
          <w:tcPr>
            <w:tcW w:w="3557" w:type="dxa"/>
          </w:tcPr>
          <w:p w14:paraId="23174C5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Оргавиапрома из Москвы</w:t>
            </w:r>
          </w:p>
        </w:tc>
        <w:tc>
          <w:tcPr>
            <w:tcW w:w="2023" w:type="dxa"/>
          </w:tcPr>
          <w:p w14:paraId="4FD8AC1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15.10.41</w:t>
            </w:r>
          </w:p>
        </w:tc>
      </w:tr>
      <w:tr w:rsidR="00643896" w:rsidRPr="00640820" w14:paraId="718565ED" w14:textId="77777777" w:rsidTr="000D3BCB">
        <w:trPr>
          <w:trHeight w:val="20"/>
        </w:trPr>
        <w:tc>
          <w:tcPr>
            <w:tcW w:w="1498" w:type="dxa"/>
          </w:tcPr>
          <w:p w14:paraId="68E44E3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Оргавиапрома</w:t>
            </w:r>
          </w:p>
        </w:tc>
        <w:tc>
          <w:tcPr>
            <w:tcW w:w="2455" w:type="dxa"/>
          </w:tcPr>
          <w:p w14:paraId="199981A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Киселевск Новосибирской обл.</w:t>
            </w:r>
          </w:p>
        </w:tc>
        <w:tc>
          <w:tcPr>
            <w:tcW w:w="1570" w:type="dxa"/>
          </w:tcPr>
          <w:p w14:paraId="3110A0B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w:t>
            </w:r>
          </w:p>
        </w:tc>
        <w:tc>
          <w:tcPr>
            <w:tcW w:w="3557" w:type="dxa"/>
          </w:tcPr>
          <w:p w14:paraId="65F16DC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Оргавиапрома из Москвы</w:t>
            </w:r>
          </w:p>
        </w:tc>
        <w:tc>
          <w:tcPr>
            <w:tcW w:w="2023" w:type="dxa"/>
          </w:tcPr>
          <w:p w14:paraId="7A0D766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15.10.41</w:t>
            </w:r>
          </w:p>
        </w:tc>
      </w:tr>
      <w:tr w:rsidR="00643896" w:rsidRPr="00640820" w14:paraId="6D47A5F7" w14:textId="77777777" w:rsidTr="000D3BCB">
        <w:trPr>
          <w:trHeight w:val="20"/>
        </w:trPr>
        <w:tc>
          <w:tcPr>
            <w:tcW w:w="1498" w:type="dxa"/>
          </w:tcPr>
          <w:p w14:paraId="25A41AA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154</w:t>
            </w:r>
          </w:p>
        </w:tc>
        <w:tc>
          <w:tcPr>
            <w:tcW w:w="2455" w:type="dxa"/>
          </w:tcPr>
          <w:p w14:paraId="239E4AC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Ташкент</w:t>
            </w:r>
          </w:p>
        </w:tc>
        <w:tc>
          <w:tcPr>
            <w:tcW w:w="1570" w:type="dxa"/>
          </w:tcPr>
          <w:p w14:paraId="0AA6DE2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4645</w:t>
            </w:r>
          </w:p>
        </w:tc>
        <w:tc>
          <w:tcPr>
            <w:tcW w:w="3557" w:type="dxa"/>
          </w:tcPr>
          <w:p w14:paraId="3EA44FC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154 из Воронежа</w:t>
            </w:r>
          </w:p>
        </w:tc>
        <w:tc>
          <w:tcPr>
            <w:tcW w:w="2023" w:type="dxa"/>
          </w:tcPr>
          <w:p w14:paraId="40969E6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15.10.41</w:t>
            </w:r>
          </w:p>
        </w:tc>
      </w:tr>
      <w:tr w:rsidR="00643896" w:rsidRPr="00640820" w14:paraId="2E097139" w14:textId="77777777" w:rsidTr="000D3BCB">
        <w:trPr>
          <w:trHeight w:val="20"/>
        </w:trPr>
        <w:tc>
          <w:tcPr>
            <w:tcW w:w="1498" w:type="dxa"/>
          </w:tcPr>
          <w:p w14:paraId="70B6D8A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477</w:t>
            </w:r>
          </w:p>
        </w:tc>
        <w:tc>
          <w:tcPr>
            <w:tcW w:w="2455" w:type="dxa"/>
          </w:tcPr>
          <w:p w14:paraId="31A3976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Красноярск</w:t>
            </w:r>
          </w:p>
        </w:tc>
        <w:tc>
          <w:tcPr>
            <w:tcW w:w="1570" w:type="dxa"/>
          </w:tcPr>
          <w:p w14:paraId="6BF41E8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2450</w:t>
            </w:r>
          </w:p>
        </w:tc>
        <w:tc>
          <w:tcPr>
            <w:tcW w:w="3557" w:type="dxa"/>
          </w:tcPr>
          <w:p w14:paraId="0F45537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477 из Лаптево Тульской обл.</w:t>
            </w:r>
          </w:p>
        </w:tc>
        <w:tc>
          <w:tcPr>
            <w:tcW w:w="2023" w:type="dxa"/>
          </w:tcPr>
          <w:p w14:paraId="71A04F2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15.10.41</w:t>
            </w:r>
          </w:p>
        </w:tc>
      </w:tr>
      <w:tr w:rsidR="00643896" w:rsidRPr="00640820" w14:paraId="4DDC646E" w14:textId="77777777" w:rsidTr="000D3BCB">
        <w:trPr>
          <w:trHeight w:val="20"/>
        </w:trPr>
        <w:tc>
          <w:tcPr>
            <w:tcW w:w="1498" w:type="dxa"/>
          </w:tcPr>
          <w:p w14:paraId="3B495A7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Стройтрест № 11</w:t>
            </w:r>
          </w:p>
        </w:tc>
        <w:tc>
          <w:tcPr>
            <w:tcW w:w="2455" w:type="dxa"/>
          </w:tcPr>
          <w:p w14:paraId="0820815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Уфа</w:t>
            </w:r>
          </w:p>
        </w:tc>
        <w:tc>
          <w:tcPr>
            <w:tcW w:w="1570" w:type="dxa"/>
          </w:tcPr>
          <w:p w14:paraId="620FA97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4000</w:t>
            </w:r>
          </w:p>
        </w:tc>
        <w:tc>
          <w:tcPr>
            <w:tcW w:w="3557" w:type="dxa"/>
          </w:tcPr>
          <w:p w14:paraId="0DE554E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Стройтрест № 11 из Рыбинска</w:t>
            </w:r>
          </w:p>
        </w:tc>
        <w:tc>
          <w:tcPr>
            <w:tcW w:w="2023" w:type="dxa"/>
          </w:tcPr>
          <w:p w14:paraId="31F6385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15.10.41</w:t>
            </w:r>
          </w:p>
        </w:tc>
      </w:tr>
      <w:tr w:rsidR="00643896" w:rsidRPr="00640820" w14:paraId="6E320ADD" w14:textId="77777777" w:rsidTr="000D3BCB">
        <w:trPr>
          <w:trHeight w:val="20"/>
        </w:trPr>
        <w:tc>
          <w:tcPr>
            <w:tcW w:w="1498" w:type="dxa"/>
          </w:tcPr>
          <w:p w14:paraId="1B05AF5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Стройтрест № 15</w:t>
            </w:r>
          </w:p>
        </w:tc>
        <w:tc>
          <w:tcPr>
            <w:tcW w:w="2455" w:type="dxa"/>
          </w:tcPr>
          <w:p w14:paraId="4424A59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Новосибирск</w:t>
            </w:r>
          </w:p>
        </w:tc>
        <w:tc>
          <w:tcPr>
            <w:tcW w:w="1570" w:type="dxa"/>
          </w:tcPr>
          <w:p w14:paraId="4CF0D3B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4500</w:t>
            </w:r>
          </w:p>
        </w:tc>
        <w:tc>
          <w:tcPr>
            <w:tcW w:w="3557" w:type="dxa"/>
          </w:tcPr>
          <w:p w14:paraId="4DF7E39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Стройтрест № 15 из Ростова на Дону</w:t>
            </w:r>
          </w:p>
        </w:tc>
        <w:tc>
          <w:tcPr>
            <w:tcW w:w="2023" w:type="dxa"/>
          </w:tcPr>
          <w:p w14:paraId="39E3AB5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15.10.41</w:t>
            </w:r>
          </w:p>
        </w:tc>
      </w:tr>
      <w:tr w:rsidR="00643896" w:rsidRPr="00640820" w14:paraId="15809DD4" w14:textId="77777777" w:rsidTr="000D3BCB">
        <w:trPr>
          <w:trHeight w:val="20"/>
        </w:trPr>
        <w:tc>
          <w:tcPr>
            <w:tcW w:w="1498" w:type="dxa"/>
          </w:tcPr>
          <w:p w14:paraId="10D7B8B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Стройтрест № 20</w:t>
            </w:r>
          </w:p>
        </w:tc>
        <w:tc>
          <w:tcPr>
            <w:tcW w:w="2455" w:type="dxa"/>
          </w:tcPr>
          <w:p w14:paraId="3ED55A9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Казань</w:t>
            </w:r>
          </w:p>
        </w:tc>
        <w:tc>
          <w:tcPr>
            <w:tcW w:w="1570" w:type="dxa"/>
          </w:tcPr>
          <w:p w14:paraId="1A01D34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9000</w:t>
            </w:r>
          </w:p>
        </w:tc>
        <w:tc>
          <w:tcPr>
            <w:tcW w:w="3557" w:type="dxa"/>
          </w:tcPr>
          <w:p w14:paraId="53127AD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Стройтрест № 20 из Воронежа</w:t>
            </w:r>
          </w:p>
        </w:tc>
        <w:tc>
          <w:tcPr>
            <w:tcW w:w="2023" w:type="dxa"/>
          </w:tcPr>
          <w:p w14:paraId="06FF919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15.10.41</w:t>
            </w:r>
          </w:p>
        </w:tc>
      </w:tr>
      <w:tr w:rsidR="00643896" w:rsidRPr="00640820" w14:paraId="467668DD" w14:textId="77777777" w:rsidTr="000D3BCB">
        <w:trPr>
          <w:trHeight w:val="20"/>
        </w:trPr>
        <w:tc>
          <w:tcPr>
            <w:tcW w:w="1498" w:type="dxa"/>
          </w:tcPr>
          <w:p w14:paraId="0233974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Стройтрест № 31</w:t>
            </w:r>
          </w:p>
        </w:tc>
        <w:tc>
          <w:tcPr>
            <w:tcW w:w="2455" w:type="dxa"/>
          </w:tcPr>
          <w:p w14:paraId="10400AD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Ташкент</w:t>
            </w:r>
          </w:p>
        </w:tc>
        <w:tc>
          <w:tcPr>
            <w:tcW w:w="1570" w:type="dxa"/>
          </w:tcPr>
          <w:p w14:paraId="03EB9CF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6000</w:t>
            </w:r>
          </w:p>
        </w:tc>
        <w:tc>
          <w:tcPr>
            <w:tcW w:w="3557" w:type="dxa"/>
          </w:tcPr>
          <w:p w14:paraId="00F2751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Стройтрест № 31 из Москвы</w:t>
            </w:r>
          </w:p>
        </w:tc>
        <w:tc>
          <w:tcPr>
            <w:tcW w:w="2023" w:type="dxa"/>
          </w:tcPr>
          <w:p w14:paraId="7082013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15.10.41</w:t>
            </w:r>
          </w:p>
        </w:tc>
      </w:tr>
      <w:tr w:rsidR="00643896" w:rsidRPr="00640820" w14:paraId="7DD5077C" w14:textId="77777777" w:rsidTr="000D3BCB">
        <w:trPr>
          <w:trHeight w:val="20"/>
        </w:trPr>
        <w:tc>
          <w:tcPr>
            <w:tcW w:w="1498" w:type="dxa"/>
            <w:tcBorders>
              <w:bottom w:val="single" w:sz="12" w:space="0" w:color="auto"/>
            </w:tcBorders>
          </w:tcPr>
          <w:p w14:paraId="47A1B44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Стройтрест № 18</w:t>
            </w:r>
          </w:p>
        </w:tc>
        <w:tc>
          <w:tcPr>
            <w:tcW w:w="2455" w:type="dxa"/>
            <w:tcBorders>
              <w:bottom w:val="single" w:sz="12" w:space="0" w:color="auto"/>
            </w:tcBorders>
          </w:tcPr>
          <w:p w14:paraId="218E31B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Молотов</w:t>
            </w:r>
          </w:p>
        </w:tc>
        <w:tc>
          <w:tcPr>
            <w:tcW w:w="1570" w:type="dxa"/>
            <w:tcBorders>
              <w:bottom w:val="single" w:sz="12" w:space="0" w:color="auto"/>
            </w:tcBorders>
          </w:tcPr>
          <w:p w14:paraId="6716AB4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1000</w:t>
            </w:r>
          </w:p>
        </w:tc>
        <w:tc>
          <w:tcPr>
            <w:tcW w:w="3557" w:type="dxa"/>
            <w:tcBorders>
              <w:bottom w:val="single" w:sz="12" w:space="0" w:color="auto"/>
            </w:tcBorders>
          </w:tcPr>
          <w:p w14:paraId="6BB57C3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Стройтрест № 15 из Стаханово Московской обл.</w:t>
            </w:r>
          </w:p>
        </w:tc>
        <w:tc>
          <w:tcPr>
            <w:tcW w:w="2023" w:type="dxa"/>
            <w:tcBorders>
              <w:bottom w:val="single" w:sz="12" w:space="0" w:color="auto"/>
            </w:tcBorders>
          </w:tcPr>
          <w:p w14:paraId="2C6A1C8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15.10.41</w:t>
            </w:r>
          </w:p>
        </w:tc>
      </w:tr>
    </w:tbl>
    <w:p w14:paraId="708D12D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прошу Вас дать распоряжение по торговой сети об обеспечении продуктами питания проезжающих работников перемещаемых предприятий и членов их семей (2634,231).</w:t>
      </w:r>
    </w:p>
    <w:p w14:paraId="6F18801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F614C6"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1087A881"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F5815A9" w14:textId="77777777" w:rsidR="00165A9C" w:rsidRPr="00640820" w:rsidRDefault="00165A9C" w:rsidP="00640820">
      <w:pPr>
        <w:tabs>
          <w:tab w:val="left" w:pos="1408"/>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октября 1941 г. на площадке недостроенного ликеро-водочного завода недалеко от станции Красноярск, куда был эвакуирован Запорожский комбайновый завод «Коммунар» и несколько цехов с оборудованием Люберецкого завода им. Ухтомскогово и организован новый завод «Сельмага» во временных цехах начат выпуск мин и снарядов для фронта, в 03.1942 г. первая партия боеприпасов отправлена на фронт. По приказу НКМВ № 203сс от 7.06.1942 г. на завод направлено 100 заключенных. В 06.1942 г. завод № 703 (Завод № 703 НКМВ , Красноярский завод «Сельмаш» НКМВ, Красноярский завод комбайнов НКМВ, ОАО «ПО «Красноярский завод комбайнов» /660049  г. Красноярск ул. Профсоюзов, 3/) - в ведении Главсельмаша НКМВ, приказом НКМВ № 250с от 7.07.1942 г. завод № 703 передан в ведение 1ГУ.</w:t>
      </w:r>
    </w:p>
    <w:p w14:paraId="3143C2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12.1943 г. начато освоение производства зерноуборочных комбайнов, которое после войны стало основным для завода. 11.08.1944 г. вышло постановление ГКО № 6370 об ускорении строительства и ввода в действие в 1944 г. 1-й очереди Красноярского завода комбайнов НКМВ.</w:t>
      </w:r>
    </w:p>
    <w:p w14:paraId="0F79FA6C" w14:textId="77777777" w:rsidR="00165A9C" w:rsidRPr="00640820" w:rsidRDefault="00165A9C" w:rsidP="00640820">
      <w:pPr>
        <w:tabs>
          <w:tab w:val="left" w:pos="1115"/>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конца 1950-х  г. начат выпуск ТНП: мясорубок, зонтов, стиральных машин. В 1969 г. разработана собственная модель комбайна «Сибиряк». В 1950-е  г. завод выпускал до 4 тыс. комбайнов в год, в конце 1960-х - до 18 тыс. в год. В начале 1990-х  г. производство резко сократилось (в 1992 г. выпущено 400, а в 1998 г. - 294</w:t>
      </w:r>
    </w:p>
    <w:p w14:paraId="5588C3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комбайна). Но уже к 2000 г. производство увеличено до 3000 машин в год. К началу 2000-х  г. всего построено около 700 тыс. комбайнов.</w:t>
      </w:r>
    </w:p>
    <w:p w14:paraId="7AC861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2000 г. на базе Красноярского завода комбайнов создан «Сибирский машиностроительный холдинг» («Сибмашхолдинг»), В 01.2003 г. на базе завода создано ПО «Красноярский завод комбайнов», в состав которого вошли также Назаровский машиностроительный завод и Красноярский ССЗ. В 03.2003 г. Красноярский завод комбайнов вошел в состав машиностроительной корпорации «Агромашхолдинг». Входил в Концерн «Тракторные заводы» (2006 г.).</w:t>
      </w:r>
    </w:p>
    <w:p w14:paraId="746187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(03.1946 г.)- 4345 чел., (1980 г.)- около 12 тыс. чел.</w:t>
      </w:r>
    </w:p>
    <w:p w14:paraId="5CA79B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(06.1942 г.)- Сосин. Гендиректор (-2003-08.2004 г.)- О. Кириллов (с 02.2004 г. одновременно- президент «Агромашхолдинга»), (08.2004 г.-)- А. Климашин.</w:t>
      </w:r>
    </w:p>
    <w:p w14:paraId="25103308" w14:textId="77777777" w:rsidR="00165A9C" w:rsidRPr="00640820" w:rsidRDefault="00165A9C" w:rsidP="00640820">
      <w:pPr>
        <w:tabs>
          <w:tab w:val="left" w:pos="1427"/>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начальника цеха: литейного (ВОВ)- И.И. Высочин. -</w:t>
      </w:r>
      <w:r w:rsidRPr="00640820">
        <w:rPr>
          <w:rFonts w:ascii="Times New Roman" w:hAnsi="Times New Roman"/>
          <w:color w:val="000000" w:themeColor="text1"/>
          <w:sz w:val="16"/>
          <w:szCs w:val="16"/>
          <w:lang w:val="en-US"/>
        </w:rPr>
        <w:t>J</w:t>
      </w:r>
      <w:r w:rsidRPr="00640820">
        <w:rPr>
          <w:rFonts w:ascii="Times New Roman" w:hAnsi="Times New Roman"/>
          <w:iCs/>
          <w:color w:val="000000" w:themeColor="text1"/>
          <w:sz w:val="16"/>
          <w:szCs w:val="16"/>
        </w:rPr>
        <w:tab/>
        <w:t>Производство:</w:t>
      </w:r>
      <w:r w:rsidRPr="00640820">
        <w:rPr>
          <w:rFonts w:ascii="Times New Roman" w:hAnsi="Times New Roman"/>
          <w:color w:val="000000" w:themeColor="text1"/>
          <w:sz w:val="16"/>
          <w:szCs w:val="16"/>
        </w:rPr>
        <w:t xml:space="preserve"> корпуса 82-мм мин, снаряды 45-мм, 76-мм (1942);</w:t>
      </w:r>
      <w:r w:rsidRPr="00640820">
        <w:rPr>
          <w:rFonts w:ascii="Times New Roman" w:hAnsi="Times New Roman"/>
          <w:iCs/>
          <w:color w:val="000000" w:themeColor="text1"/>
          <w:sz w:val="16"/>
          <w:szCs w:val="16"/>
        </w:rPr>
        <w:t xml:space="preserve"> комбайны:</w:t>
      </w:r>
      <w:r w:rsidRPr="00640820">
        <w:rPr>
          <w:rFonts w:ascii="Times New Roman" w:hAnsi="Times New Roman"/>
          <w:color w:val="000000" w:themeColor="text1"/>
          <w:sz w:val="16"/>
          <w:szCs w:val="16"/>
        </w:rPr>
        <w:t xml:space="preserve"> прицепной зерноуборочный</w:t>
      </w:r>
    </w:p>
    <w:p w14:paraId="798278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«Коммунар» (1944-), самоходные: С-4 (1947-), С-4М (1950-е), СК-3 (1959-), СКГ-3 (1959-), СК-4 (1965-), СКД-5 (1969-), «Сибиряк» (1969-), СКД-6 (1981-), «Енисей-1200 (1984-), -1200НМ (1994-), 1200У («Руслан», 2000-)».</w:t>
      </w:r>
    </w:p>
    <w:p w14:paraId="1D5767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Назаровский машиностроительный завод /г. Назарово Красноярского кр./</w:t>
      </w:r>
    </w:p>
    <w:p w14:paraId="3D176A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01.2003 г. завод вошел в состав ПО «Красноярский завод комбайнов». Входил в «Агромашхолдинг» (2004 г.) (11982).</w:t>
      </w:r>
    </w:p>
    <w:p w14:paraId="46617C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4F5CD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октября 1941 был образован Наркомат танковой промышленности (512,104).</w:t>
      </w:r>
    </w:p>
    <w:p w14:paraId="04DC71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80E0534"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11 октября </w:t>
      </w:r>
      <w:r w:rsidRPr="00640820">
        <w:rPr>
          <w:rFonts w:ascii="Times New Roman" w:hAnsi="Times New Roman"/>
          <w:color w:val="000000" w:themeColor="text1"/>
          <w:sz w:val="16"/>
          <w:szCs w:val="16"/>
        </w:rPr>
        <w:t>в 1941 году издан приказ о создании на базе Челябинского тракторного завода имени И.В.Сталина и эвакуированных производств Кировского завода Наркомтанкопрома по серийному производству тяжелых танков КВ. Ныне - Завод мощных тракторов ЧТЗ, производит одни из лучших в мире тяжелые дизель-электрические тракторы ДЭТ-250 и ДЭТ-320</w:t>
      </w:r>
    </w:p>
    <w:p w14:paraId="6CEA4CE4" w14:textId="77777777" w:rsidR="00E80D3A" w:rsidRPr="00640820" w:rsidRDefault="00E80D3A" w:rsidP="00640820">
      <w:pPr>
        <w:spacing w:after="0" w:line="240" w:lineRule="auto"/>
        <w:jc w:val="both"/>
        <w:rPr>
          <w:rFonts w:ascii="Times New Roman" w:hAnsi="Times New Roman"/>
          <w:color w:val="000000" w:themeColor="text1"/>
          <w:sz w:val="16"/>
          <w:szCs w:val="16"/>
        </w:rPr>
      </w:pPr>
    </w:p>
    <w:p w14:paraId="7394BF16" w14:textId="77777777" w:rsidR="00E80D3A" w:rsidRPr="00640820" w:rsidRDefault="00E80D3A" w:rsidP="00640820">
      <w:pPr>
        <w:pStyle w:val="ae"/>
        <w:shd w:val="clear" w:color="auto" w:fill="FFFFFF"/>
        <w:spacing w:before="0" w:after="0"/>
        <w:jc w:val="both"/>
        <w:rPr>
          <w:color w:val="000000" w:themeColor="text1"/>
          <w:sz w:val="16"/>
          <w:szCs w:val="16"/>
        </w:rPr>
      </w:pPr>
      <w:r w:rsidRPr="00640820">
        <w:rPr>
          <w:color w:val="000000" w:themeColor="text1"/>
          <w:sz w:val="16"/>
          <w:szCs w:val="16"/>
        </w:rPr>
        <w:t xml:space="preserve">11 октября 1941 года танк Т-150 был передан в 123 танковую бригаду. Символично, что Т-150 идёт самым последним в списке отправленных с Кировского завода танков, хотя в реальности последний танк завод отгрузил 19 октября. Поскольку этот танк практически ничем не отличался от обычных КВ-1 (в 123 танковую бригаду шли КВ-1 крайних выпусков с бронёй, утолщённой до 90 мм), в документах бригады он отдельно не выделяется. Надо сказать, что в этой бригаде были и другие экзотичные машины. В начале января 1942 года по причине потери в районе Усть-Тосно был списан У-9, один из танков КВ установочной партии. Ещё более ранняя машина, У-5, 12 января 1942 года была зачислена в строй. Этот танк повоевал во многих частях, оказавшись в 1944 году в составе 260 </w:t>
      </w:r>
      <w:hyperlink r:id="rId39" w:history="1">
        <w:r w:rsidRPr="00640820">
          <w:rPr>
            <w:rStyle w:val="a5"/>
            <w:rFonts w:eastAsia="Times New Roman"/>
            <w:color w:val="000000" w:themeColor="text1"/>
            <w:sz w:val="16"/>
            <w:szCs w:val="16"/>
          </w:rPr>
          <w:t>гвардейского тяжёлого танкового полка (ГвТТП)</w:t>
        </w:r>
      </w:hyperlink>
      <w:r w:rsidRPr="00640820">
        <w:rPr>
          <w:color w:val="000000" w:themeColor="text1"/>
          <w:sz w:val="16"/>
          <w:szCs w:val="16"/>
        </w:rPr>
        <w:t>. Что же касается Т-150, то в документах бригады его найти не удалось. Зато в документах 31 ГвТТП (командир – гвардии подполковник С. Ф. Семёркин) этот танк совершенно внезапно появляется в качестве безвозвратной потери. Случилось это 18 мая 1943 года. На этом карьера Т-150 отнюдь не закончилась. Танк отправили на завод №371, где он прошёл капитальный ремонт. В июле 1943 года Т-150 снова появляется в составе 31 ГвТТП. Командиром танка назначили гвардии младшего лейтенанта И. А. Куксина. Танк получил башенный номер 220. Согласно схеме связи полка на июль 1943 года, танк с башенным номером 220 имел позывной «Сом» (15616). К 12 июля 1943 года полк сосредоточился в районе деревни Марьино Ленинградской области. 22 июля полк совместно с 63-й гвардейской стрелковой дивизией выдвинулся в атаку по заранее подготовленным маршрутам. 4-я рота полка сражалась за посёлок Арбузово. В ходе боёв, проходивших с 22 июля по 6 августа 1943 года, танкисты 31 ГвТТП записали на свой счёт 10 танков (5 «Тигров», 3 Pz.Kpfw.IV и 2 Pz.Kpfw.III), 12 ДОТов, 34 ДЗОТа, а также около 750 немецких солдат и офицеров. О накале боёв говорит тот факт, что 19 из 21 танка роты были повреждены и эвакуировались с поля боя, из них 6 — дважды. На поле боя было восстановлено 7 танков, ещё 13 – силами полевой базы (15616).</w:t>
      </w:r>
    </w:p>
    <w:p w14:paraId="2C739D5D" w14:textId="77777777" w:rsidR="00E80D3A" w:rsidRPr="00640820" w:rsidRDefault="00E80D3A" w:rsidP="00640820">
      <w:pPr>
        <w:pStyle w:val="ae"/>
        <w:shd w:val="clear" w:color="auto" w:fill="FFFFFF"/>
        <w:spacing w:before="0" w:after="0"/>
        <w:jc w:val="both"/>
        <w:rPr>
          <w:color w:val="000000" w:themeColor="text1"/>
          <w:sz w:val="16"/>
          <w:szCs w:val="16"/>
        </w:rPr>
      </w:pPr>
    </w:p>
    <w:p w14:paraId="6A68C1B0"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октября 1941 года Т-150 передали в 123-ю танковую бригаду, а два Т-220 — в 124-ю бригаду (5 и 16 октября соответственно). Обе бригады действовали на Ленинградском фронте. В документе указано, что все эти три танка вооружены пушками Ф-32. Таким образом, на первом Т-220 установили серийную башню КВ-1 с 76-мм орудием. Башня с 85-мм пушкой, снятая с танка, также пошла в дело — ее установили в качестве огневой точки в Карельском укрепрайоне. В документах она именовалась как БОТ (бронированная огневая точка) «Победа».</w:t>
      </w:r>
    </w:p>
    <w:p w14:paraId="4FDB7306"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Один из поступивших в 124-ю бригаду Т-220 (вторая машина, «объект 221»), был потерян в бою в ноябре 1941 года. В отчете 55-й армии Ленфронта о списании безвозвратно потерянных танков за ноябрь месяц есть такая запись:</w:t>
      </w:r>
    </w:p>
    <w:p w14:paraId="30D89136"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«Танк 220-2 от 124 тбр. Танк сгорел, не эвакуирован.</w:t>
      </w:r>
    </w:p>
    <w:p w14:paraId="7F478AE5"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Командир танка мл. лейтенант Яхнин — сгорел.</w:t>
      </w:r>
    </w:p>
    <w:p w14:paraId="76A881ED"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Мехводитель Кыпуладзе — сгорел.</w:t>
      </w:r>
    </w:p>
    <w:p w14:paraId="398D625A"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Командир орудия Ефремов — сгорел.</w:t>
      </w:r>
    </w:p>
    <w:p w14:paraId="0002D6EA"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Радист Матинов — сгорел.</w:t>
      </w:r>
    </w:p>
    <w:p w14:paraId="07FB75AD"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Заряжающий Антипов — сгорел.</w:t>
      </w:r>
    </w:p>
    <w:p w14:paraId="54DE16D5"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Радист Афанасьев — сгорел» (17434).</w:t>
      </w:r>
    </w:p>
    <w:p w14:paraId="671EDEC3"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Точной даты, когда именно сгорела эта машина, в документе нет. Следует сказать, 124-я бригада была полностью укомплектована танками КВ: к моменту окончания формирования (23 сентября) в ней числилось 46 машин данного типа. В октябре она понесла большие потери, действуя в направлении на Урицк, и в качестве пополнения получила несколько новых КВ с Кировского завода, в том числе и два Т-220.</w:t>
      </w:r>
    </w:p>
    <w:p w14:paraId="2654C977"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журнале боевых действий 124-й танковой бригады за ноябрь 1941 года зафиксировано всего два боя с безвозвратной потерей КВ:</w:t>
      </w:r>
    </w:p>
    <w:p w14:paraId="1DC19FEB"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ноября 1941 г. В 12.00 атака совместно с 147 сп 43 сд в направлении Усть-Тосно, ж/д мост. Батальон танков подошел к р. Тосна в районе моста. Пехота залегла. В результате боя убито до 130 человек, уничтожено 8 ПТОр, 11 пулеметов.</w:t>
      </w:r>
    </w:p>
    <w:p w14:paraId="2820AB00"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Убито — 26 человек, ранено 16, пропало без вести — 17. Сгорело — 5 КВ, подбито артогнем — 5, застряло в болоте — 7, пропало без вести — 2. Крупные потери танков — из-за танконедоступной местности в районе отм. 19,8, 14,0 юго-западнее Усть-Тосно…</w:t>
      </w:r>
    </w:p>
    <w:p w14:paraId="084CF46C"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ноября 1941 г. в 3.00 взвод КВ (3 шт.) младшего лейтенанта Фомина поступил в распоряжение 86 отб. В 11.00 атаковал вдоль шоссе в направлении железобетонного моста. Уничтожено 3 ПТО, 2 ДЗОТа, до 60 человек.</w:t>
      </w:r>
    </w:p>
    <w:p w14:paraId="0B498969"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Подбито — 2 танка, сгорел — 1 (вместе с экипажем). Экипажи подбитых танков 6 суток вели наблюдение, не оставляя танков….</w:t>
      </w:r>
    </w:p>
    <w:p w14:paraId="1F294123"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12 по 22 ноября 1941 г. эвакуировали с поля боя 17 КВ, из них 4 боеспособных находятся в Рыбацкое» (17434).</w:t>
      </w:r>
    </w:p>
    <w:p w14:paraId="0CB493D7" w14:textId="77777777" w:rsidR="00E80D3A" w:rsidRPr="00640820" w:rsidRDefault="00E80D3A" w:rsidP="00640820">
      <w:pPr>
        <w:spacing w:after="0" w:line="240" w:lineRule="auto"/>
        <w:jc w:val="both"/>
        <w:rPr>
          <w:rFonts w:ascii="Times New Roman" w:hAnsi="Times New Roman"/>
          <w:color w:val="000000" w:themeColor="text1"/>
          <w:sz w:val="16"/>
          <w:szCs w:val="16"/>
        </w:rPr>
      </w:pPr>
    </w:p>
    <w:p w14:paraId="0698547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период с 11 по 13 октября 1941 г. Старшим военным представителем на заводе № 112 подполковником А.А. Афанасьевым была рассмотрена и утверждена конструкторская документация упро</w:t>
      </w:r>
      <w:r w:rsidRPr="00640820">
        <w:rPr>
          <w:rFonts w:ascii="Times New Roman" w:hAnsi="Times New Roman"/>
          <w:color w:val="000000" w:themeColor="text1"/>
          <w:sz w:val="16"/>
          <w:szCs w:val="16"/>
        </w:rPr>
        <w:softHyphen/>
        <w:t>щенного корпуса, а уже 25 октября 1941 г. на заводе № 112 приступили к изготовлению опытных образцов упрощенных корпусов танка (без механической обработки кромок листов после газоплазменной резки, с упрощением соединений деталей "в четверть" и введением шипового со</w:t>
      </w:r>
      <w:r w:rsidRPr="00640820">
        <w:rPr>
          <w:rFonts w:ascii="Times New Roman" w:hAnsi="Times New Roman"/>
          <w:color w:val="000000" w:themeColor="text1"/>
          <w:sz w:val="16"/>
          <w:szCs w:val="16"/>
        </w:rPr>
        <w:softHyphen/>
        <w:t>единения лобового листа с бортами и подкрылками) (10703).</w:t>
      </w:r>
    </w:p>
    <w:p w14:paraId="1CECCC9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70BC21" w14:textId="77777777" w:rsidR="002028EF" w:rsidRPr="00640820" w:rsidRDefault="002028E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октября 1941 года, согласно сохранившегося формуляра мотоброневагона № 02, ремонт был закончен и после испытаний пробегом в 38 км его передали представителю начальника автобронетанковых войск Ленинградского фронта. С 21 октября командиром машины назначили младшего лейтенанта Г. Коновалова, до этого служившего в 24-й танковой дивизии. Сначала мотоброневагон действовал самостоятельно на участке Северной железной дороги у станции Саперная. </w:t>
      </w:r>
    </w:p>
    <w:p w14:paraId="56EE1594" w14:textId="77777777" w:rsidR="002028EF" w:rsidRPr="00640820" w:rsidRDefault="002028E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ноября 1941 года МБВ № 02 вошел в состав бронепоезда «Народный мститель», вместе с которым на участках Рыбацкое - Саперная - Усть-Ижора поддерживал огнем части 55 армии Ленинградского фронта. В мае 1942 года мотоброневагон вошел в состав ново-сформированного 71-го отдельный дивизион бронепоездов, куда помимо него вошли бепо «Народный мститель» и «Сталинец-28» В это время командиром МБВ №02 был назначен старший лейтенант А. Богданов. Дивизион по-прежнему действовал на участке 55-й армии в районе станции Саперная. В декабре 1942 года мотоброневагон направили на ремонт в Ленинград, на завод имени Сталина (18626).</w:t>
      </w:r>
    </w:p>
    <w:p w14:paraId="06BEB592" w14:textId="77777777" w:rsidR="002028EF" w:rsidRPr="00640820" w:rsidRDefault="002028EF" w:rsidP="00640820">
      <w:pPr>
        <w:spacing w:after="0" w:line="240" w:lineRule="auto"/>
        <w:jc w:val="both"/>
        <w:rPr>
          <w:rFonts w:ascii="Times New Roman" w:hAnsi="Times New Roman"/>
          <w:color w:val="000000" w:themeColor="text1"/>
          <w:sz w:val="16"/>
          <w:szCs w:val="16"/>
        </w:rPr>
      </w:pPr>
    </w:p>
    <w:p w14:paraId="5D485D9B" w14:textId="77777777" w:rsidR="001B0AE4" w:rsidRPr="00640820" w:rsidRDefault="001B0AE4"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iCs/>
          <w:color w:val="000000" w:themeColor="text1"/>
          <w:sz w:val="16"/>
          <w:szCs w:val="16"/>
          <w:lang w:eastAsia="ru-RU"/>
        </w:rPr>
        <w:t>11 октября 1941 года в Архангельск прибыл PQ-1 — первый британский конвой, который доставил в СССР вооружение и военную технику. Он стал материальным воплощением соглашения «О совместных действиях правительств СССР и Великобритании в войне против Германии», подписанного в Москве 12 июля того же года. Среди грузов, которые прибыли с PQ-1, оказались и пехотные танки MatildaIII. Всего в СССР было поставлено 1084 танка семейства Matilda, из которых 933 (по советским данным 918) дошли до адресата (17662).</w:t>
      </w:r>
    </w:p>
    <w:p w14:paraId="3C3BECA9" w14:textId="77777777" w:rsidR="001B0AE4" w:rsidRPr="00640820" w:rsidRDefault="001B0AE4" w:rsidP="00640820">
      <w:pPr>
        <w:spacing w:after="0" w:line="240" w:lineRule="auto"/>
        <w:jc w:val="both"/>
        <w:rPr>
          <w:rFonts w:ascii="Times New Roman" w:eastAsia="Times New Roman" w:hAnsi="Times New Roman"/>
          <w:color w:val="000000" w:themeColor="text1"/>
          <w:sz w:val="16"/>
          <w:szCs w:val="16"/>
          <w:lang w:eastAsia="ru-RU"/>
        </w:rPr>
      </w:pPr>
    </w:p>
    <w:p w14:paraId="61F2D1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октября 1941 вышло Постановление ГКО № 761 О частичной эвакуации Московского автомобильного завода им.Сталина. РГАНИР, Фонд ГКО, д. 12, лл. 75-76 (11012).</w:t>
      </w:r>
    </w:p>
    <w:p w14:paraId="3B63DD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1251752"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11 октября </w:t>
      </w:r>
      <w:r w:rsidRPr="00640820">
        <w:rPr>
          <w:rFonts w:ascii="Times New Roman" w:hAnsi="Times New Roman"/>
          <w:color w:val="000000" w:themeColor="text1"/>
          <w:sz w:val="16"/>
          <w:szCs w:val="16"/>
        </w:rPr>
        <w:t>в 1941 году образовано ОАО "Производственно-конструкторское объединение "Теплообменник". Постановлением Совнаркома СССР Солнечногорскому заводу имени Героя Советского Союза М.Н.Громова было предписано также эвакуироваться в г.Горький (ныне ОАО "Производственно-конструкторское объединение "Теплообменник"). И уже 28 ноября (досрочно!) «завод» начал давать свою первую продукцию - коробки для патронов. Строительство завода на нижегородской земле возглавил Василий Николаевич Смирнов - первый директор предприятия. ОАО ПКО ”Теплообменник” принимал участие во многих общенациональных авиакосмических программах, в частности: в создании системы терморегулирования космического аппарата многоразового использования ”Буран”; в разработке агрегатов для самолета Ту- 155 с двигателями на криогенном топливе и др. За большой вклад в разработку и производство авиационной техники объединение награждено Почетной грамотой Правительства Российской Федерации (14796).</w:t>
      </w:r>
    </w:p>
    <w:p w14:paraId="06FC4A1B" w14:textId="77777777" w:rsidR="00E80D3A" w:rsidRPr="00640820" w:rsidRDefault="00E80D3A" w:rsidP="00640820">
      <w:pPr>
        <w:spacing w:after="0" w:line="240" w:lineRule="auto"/>
        <w:jc w:val="both"/>
        <w:rPr>
          <w:rFonts w:ascii="Times New Roman" w:hAnsi="Times New Roman"/>
          <w:color w:val="000000" w:themeColor="text1"/>
          <w:sz w:val="16"/>
          <w:szCs w:val="16"/>
        </w:rPr>
      </w:pPr>
    </w:p>
    <w:p w14:paraId="17B3B2D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октября 1941 вышло Распоряжение ГКО № 764 [О передаче НКФ СССР для НКВТ 150 кг платины на экспорт.] (7013, 79).</w:t>
      </w:r>
    </w:p>
    <w:p w14:paraId="63DFEC6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7E1AC2" w14:textId="77777777" w:rsidR="00E80D3A" w:rsidRPr="00640820" w:rsidRDefault="00E80D3A"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bCs/>
          <w:iCs/>
          <w:color w:val="000000" w:themeColor="text1"/>
          <w:sz w:val="16"/>
          <w:szCs w:val="16"/>
        </w:rPr>
        <w:t>11 октября 1941 г</w:t>
      </w:r>
      <w:r w:rsidRPr="00640820">
        <w:rPr>
          <w:rFonts w:ascii="Times New Roman" w:hAnsi="Times New Roman"/>
          <w:color w:val="000000" w:themeColor="text1"/>
          <w:sz w:val="16"/>
          <w:szCs w:val="16"/>
        </w:rPr>
        <w:t>. Приказ наркома НКХП СССР М.Ф.Денисова по итогам проверки наркоматом Госконтроля СССР хода выполнения химическим заводом № 102 (г.Чапаевск) заданий Постановления ГОКО от 12 августа 1941 года по производству иприта и люизита. Заводу указано на срыв в сентябре задания по их выпуску. Констатирована запущенность оборудования основных цехов, в том числе № 4 (производство иприта; в сентябре этот цех был остановлен) и № 7 (производство люизита) «</w:t>
      </w:r>
      <w:r w:rsidRPr="00640820">
        <w:rPr>
          <w:rFonts w:ascii="Times New Roman" w:hAnsi="Times New Roman"/>
          <w:iCs/>
          <w:color w:val="000000" w:themeColor="text1"/>
          <w:sz w:val="16"/>
          <w:szCs w:val="16"/>
        </w:rPr>
        <w:t xml:space="preserve">из-за систематического нарушения технологического режима и несвоевременного и некачественного ремонта». </w:t>
      </w:r>
    </w:p>
    <w:p w14:paraId="20D537BB" w14:textId="77777777" w:rsidR="00E80D3A" w:rsidRPr="00640820" w:rsidRDefault="00E80D3A" w:rsidP="00640820">
      <w:pPr>
        <w:shd w:val="clear" w:color="auto" w:fill="FFFFFF"/>
        <w:spacing w:after="0" w:line="240" w:lineRule="auto"/>
        <w:jc w:val="both"/>
        <w:rPr>
          <w:rFonts w:ascii="Times New Roman" w:hAnsi="Times New Roman"/>
          <w:color w:val="000000" w:themeColor="text1"/>
          <w:sz w:val="16"/>
          <w:szCs w:val="16"/>
        </w:rPr>
      </w:pPr>
    </w:p>
    <w:p w14:paraId="2EC7BDB4"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3FC561C8"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24502C3"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11 октября </w:t>
      </w:r>
      <w:r w:rsidRPr="00640820">
        <w:rPr>
          <w:rFonts w:ascii="Times New Roman" w:hAnsi="Times New Roman"/>
          <w:color w:val="000000" w:themeColor="text1"/>
          <w:sz w:val="16"/>
          <w:szCs w:val="16"/>
        </w:rPr>
        <w:t>в 1941 году утреннее сообщение Совинформбюро:</w:t>
      </w:r>
    </w:p>
    <w:p w14:paraId="7C87A2CA"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11 октября наши войска вели бои с противником на всём фронте и особенно напряжённые на Вяземском и Брянском направлениях.</w:t>
      </w:r>
    </w:p>
    <w:p w14:paraId="7A7D292C"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Брянском направлении продолжаются ожесточённые бои наших войск с танками и мотопехотой наступающего противника. В одном из сражений противник потерял 43 танка, много орудий, пулемётов и более батальона пехоты. На другом участке этого направления противник потерял 23 танка, до 80 автомашин с пехотой и боеприпасами, 13 противотанковых пушек и большое количество пулемётов.</w:t>
      </w:r>
    </w:p>
    <w:p w14:paraId="2EA17EB0"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Вяземском направлении фронта наши части, отбивая сильные атаки немецко-фашистских войск, вклинившихся в нашу оборону, причиняют противнику большой ущерб. Только на одном из участков этого направления после боя на поле сражения осталось свыше 800 убитых вражеских солдат и офицеров.</w:t>
      </w:r>
    </w:p>
    <w:p w14:paraId="0485E99A"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Партизанский отряд под командованием тов. К., оперирующий в одном из захваченных немцами районов на Западном направлении фронта, совершил дневной налёт на 60 немецких солдат, занятых погрузкой колхозного сена. Тихо подкравшись, партизаны окружили фашистов и открыли по ним огонь со всех сторон. 15 немцев было убито, остальные разбежались, оставив на поле оружие, палатки и снаряжение. Через несколько дней бойцы этого отряда минировали участок лесной дороги и неподалеку от минированного участка устроили засаду. Немецкий грузовик с оружием и снаряжением наскочил на мину и взорвался. Шофёр и немецкие солдаты, сопровождавшие груз, были уничтожены при взрыве. На следующий день на этом же участке партизаны напали на немецкий отряд. В завязавшейся перестрелке было убито 16 фашистов. В нескольких местах партизаны порвали телефонную связь между германскими штабами.</w:t>
      </w:r>
    </w:p>
    <w:p w14:paraId="205F6D3F"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Фашисты насаждают в оккупированных районах старорежимные порядки, восстанавливают власть помещиков и кулаков. В селе Кут, Апостоловского района, Днепропетровской области, немецкий офицер согнал всех оставшихся жителей на собрание. Женщин офицер тотчас же удалил, заявив, что они не должны вмешиваться в общественные дела. Затем офицер предложил избрать старостой бывшего кулака немца Таубера. Крестьяне сидели молча. Никто не поднял руки. Тогда офицер сказал: «Я за Таубера. Этого достаточно. Он избран». Перед уходом фашист предложил Тауберу доносить ему о тех, кто откажется выполнять его распоряжения.</w:t>
      </w:r>
    </w:p>
    <w:p w14:paraId="07EEDB7D"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Каменском районе, Кировоградской области, немецкие военные власти обязали сельских старост вернуть нескольким возвратившимся помещикам принадлежавшие-им ранее земли, а также изъять у крестьян для помещиков скот и сельскохозяйственный инвентарь.</w:t>
      </w:r>
    </w:p>
    <w:p w14:paraId="7166F677"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селе Чернавка, Черкасского района, Киевской области, немецкие солдаты заявили крестьянам: «После окончания войны мы поселимся в России, а вы будете в качестве батраков работать на земле, которая должна принадлежать нам».</w:t>
      </w:r>
    </w:p>
    <w:p w14:paraId="160A2BF1"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Самоотверженно трудится молодёжь предприятий Ленинграда. Вместе с отцами и матерями молодые ленинградцы куют грозное оружие для защиты родного города. Молодой фрезеровщик Кировского завода тов. А. Хозяйчиков работает за шестерых. Он освоил работу на двух станках и на каждом выполняет ежедневно по три нормы. Токари 47-го цеха Энского завода т.т. Архипов, Николаев, Астафьев и Щербаков систематически дают 200 процентов нормы. Выпускники ремесленного училища т.т. Афанасьев и Фруктов выполняют задание на 285 процентов, стахановец-доводчик тов. Чирков — на 400 процентов. Учащиеся ремесленного училища № 1 т.т. Долговец, Таиров, Нечаев, Фомченков, Власов и Харлуков с первых дней войны вырабатывают по 220 процентов задания.» (14796).</w:t>
      </w:r>
    </w:p>
    <w:p w14:paraId="1F448802" w14:textId="77777777" w:rsidR="00E80D3A" w:rsidRPr="00640820" w:rsidRDefault="00E80D3A" w:rsidP="00640820">
      <w:pPr>
        <w:spacing w:after="0" w:line="240" w:lineRule="auto"/>
        <w:jc w:val="both"/>
        <w:rPr>
          <w:rFonts w:ascii="Times New Roman" w:hAnsi="Times New Roman"/>
          <w:color w:val="000000" w:themeColor="text1"/>
          <w:sz w:val="16"/>
          <w:szCs w:val="16"/>
        </w:rPr>
      </w:pPr>
    </w:p>
    <w:p w14:paraId="232264D5"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11 октября </w:t>
      </w:r>
      <w:r w:rsidRPr="00640820">
        <w:rPr>
          <w:rFonts w:ascii="Times New Roman" w:hAnsi="Times New Roman"/>
          <w:color w:val="000000" w:themeColor="text1"/>
          <w:sz w:val="16"/>
          <w:szCs w:val="16"/>
        </w:rPr>
        <w:t>в 1941 году вечернее сообщение Совинформбюро:</w:t>
      </w:r>
    </w:p>
    <w:p w14:paraId="79830A61"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11 октября наши войска вели бои с противником на всём фронте, особенно ожесточённые на Вяземском и Брянском направлениях.</w:t>
      </w:r>
    </w:p>
    <w:p w14:paraId="333224A0"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9 октября уничтожено 64 немецких самолёта. Наши потери — 25 самолётов. В течение 9 и 10 октября под Москвой сбито 12 немецких самолётов.</w:t>
      </w:r>
    </w:p>
    <w:p w14:paraId="25B3CB7E"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Вяземском и Брянском направлениях противнику ценой больших потерь удалось потеснить наши части. Отходя на новые рубежи, наши войска продолжают оказывать упорное сопротивление врагу, истребляя живую силу и вооружение противника. В течение дня по неполным данным уничтожено 72 немецких танка, 220 автомашин с войсками и боеприпасами, 41 орудие разного калибра и много пулемётов. В боях немцы потеряли не менее 9 тысяч человек убитыми и ранеными. Наши авиационные части уничтожили на одам из прифронтовых аэродромов не менее 65 немецких самолётов разных типов.</w:t>
      </w:r>
    </w:p>
    <w:p w14:paraId="7D92718B"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Юго-Западном направлении фронта весь день продолжались упорные бои. В результате непрерывных атак противник на одном из участков вклинился в глубину нашей обороны. Бои продолжаются с большой силой, враг несёт тяжёлые потери. Наши лётчики разбомбили более 100 автомобилей с немецкими солдатами, 150 повозок с боеприпасами, уничтожили 15 орудий и колонну автоцистерн с бензином.</w:t>
      </w:r>
    </w:p>
    <w:p w14:paraId="761ADA5A"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Партизанский отряд, под командованием тов. Т., действующий в Ленинградской области, взорвал немецкую узловую заправочную базу горючего и сжёг железнодорожную станцию. В огне сгорело несколько вагонов с военным имуществом. Группа партизан этого отряда уничтожила двухмоторный фашистский бомбардировщик, сделавший вынужденную посадку. Другая группа партизан задержала и взорвала вражескую штабную автомашину.</w:t>
      </w:r>
    </w:p>
    <w:p w14:paraId="7F37AE72"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Партизанский отряд под командованием тов. Д. за последнее время уничтожил 5 немецких бронемашин, 10 грузовиков и 200 немецких солдат, следовавших на фронт. На днях колхозники сообщили командиру отряда, что немецкие офицеры часто наведываются в их деревню и забирают у крестьян хлеб и другие продукты. Партизаны устроили засаду на дороге в деревню. Как только показался автобус, в котором было 20 солдат и офицеров, снайпер выстрелил и сразил шофёра. Автобус потерял управление и свалился в канаву. Только два офицера успели выскочить из машины и скрыться, остальные фашисты были уничтожены.</w:t>
      </w:r>
    </w:p>
    <w:p w14:paraId="162C4015"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Иностранная печать продолжает сообщать об ожесточённых боях между югославскими патриотами и немецко-итальянскими войсками. Против фашистов действуют регулярные части бывшей югославской армии, которые в начале оккупации Югославии ушли в леса и горы, сохранив оружие. Войска систематически нарушают коммуникации противника, совершают налёты на германские воинские части, обстреливают немецких солдат, несущих гарнизонную службу. Югославские войска снабжаются продовольствием и боеприпасами из разгромленных германских продовольственных обозов и военных складов.</w:t>
      </w:r>
    </w:p>
    <w:p w14:paraId="3AA31210"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Советские машиностроители, всемерно увеличивая производительность труда, крепят обороноспособность СССР. Бригада формовщиков тов. Михалёва литейного цеха Люберецкого завода им. Ухтомского систематически выполняет план на 160 процентов. Резьбошлифовальщик тов. Н. И. Абрамов даёт за смену до трёх норм. За последние два месяца тов. Абрамов обучил своей профессии четырёх новых рабочих. На московском заводе им. Калинина образцы отличной работы показывает многостаночник механосборочного цеха тов. Челышков. Обслуживая одновременно зуборезный и фрезерный станки, он выполняет задание на 200-250 процентов. Тов. Челышков в своём цехе подготовил шесть новых фрезеровщиков и теперь обучает ещё шесть человек зуборезному делу. Бригада тов. Дудиной из цеха крупного литья московского завода «Станколит» выполняет нормы больше чем на 150 процентов. Вся эта бригада состоит из молодых работниц — жён и сестёр бойцов Красной Армии. Ритмично, по графику работает бригада тов. Дубова в автоматном цехе 1-го часового завода. План выпуска оборонных изделий она ежедневно выполняет на 125 процентов.» (14796).</w:t>
      </w:r>
    </w:p>
    <w:p w14:paraId="1CF8BEA4" w14:textId="77777777" w:rsidR="00E80D3A" w:rsidRPr="00640820" w:rsidRDefault="00E80D3A" w:rsidP="00640820">
      <w:pPr>
        <w:spacing w:after="0" w:line="240" w:lineRule="auto"/>
        <w:jc w:val="both"/>
        <w:rPr>
          <w:rFonts w:ascii="Times New Roman" w:hAnsi="Times New Roman"/>
          <w:color w:val="000000" w:themeColor="text1"/>
          <w:sz w:val="16"/>
          <w:szCs w:val="16"/>
        </w:rPr>
      </w:pPr>
    </w:p>
    <w:p w14:paraId="6DBC252A" w14:textId="77777777" w:rsidR="001071C3" w:rsidRPr="00640820" w:rsidRDefault="001071C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11–18 октября 1941 авиация советских ВВС наносит удар по аэродромам люфтваффе на северо-западном, западном и юго-западном подступах к Москве (20794).</w:t>
      </w:r>
    </w:p>
    <w:p w14:paraId="65EAA4A2" w14:textId="77777777" w:rsidR="001071C3" w:rsidRPr="00640820" w:rsidRDefault="001071C3" w:rsidP="00640820">
      <w:pPr>
        <w:spacing w:after="0" w:line="240" w:lineRule="auto"/>
        <w:jc w:val="both"/>
        <w:rPr>
          <w:rFonts w:ascii="Times New Roman" w:hAnsi="Times New Roman"/>
          <w:color w:val="0070C0"/>
          <w:sz w:val="16"/>
          <w:szCs w:val="16"/>
        </w:rPr>
      </w:pPr>
    </w:p>
    <w:p w14:paraId="75BAB5BD" w14:textId="77777777" w:rsidR="001071C3" w:rsidRPr="00640820" w:rsidRDefault="001071C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11–12 октября 1941, после того, как советская разведка обнаружила планы Люфтваффе по нанесению 12 октября крупной воздушной атаки по промышленным комплексам, аэродромам, железнодорожным вокзалам и объектам тылового обеспечения в районе советского Западного фронта , самолеты советских ВВС наносят серьезный упреждающий удар по немецким аэродромам. ночью 11–12 октября в Витебске , Смоленске , Орле , Орше , Сиверске и других местах последовал еще один крупный налет утром 12 октября. Советы заявляют, что уничтожено 500 немецких самолетов, хотя немецкие источники не подтверждают это число (20794).</w:t>
      </w:r>
    </w:p>
    <w:p w14:paraId="16DAFA2A" w14:textId="77777777" w:rsidR="001071C3" w:rsidRPr="00640820" w:rsidRDefault="001071C3" w:rsidP="00640820">
      <w:pPr>
        <w:spacing w:after="0" w:line="240" w:lineRule="auto"/>
        <w:jc w:val="both"/>
        <w:rPr>
          <w:rFonts w:ascii="Times New Roman" w:hAnsi="Times New Roman"/>
          <w:color w:val="0070C0"/>
          <w:sz w:val="16"/>
          <w:szCs w:val="16"/>
        </w:rPr>
      </w:pPr>
    </w:p>
    <w:p w14:paraId="0DB650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и 11 октября 1941 экипажи 420-го полка на Ер-2 бомбили железнодорожный узел Рославль, добившись прямых попаданий в эшелоны и станционные сооружения (3322,21).</w:t>
      </w:r>
    </w:p>
    <w:p w14:paraId="26355E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Где-то к этому времени относится байка летчика А.И.Молодчего, единственного из пилотов Ер-2 удостоенного звания Героя Советского Союза в 1941 г.:</w:t>
      </w:r>
    </w:p>
    <w:p w14:paraId="686696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мы летим плотным строем. Наш бомбардировщик зажат в тиски двумя фашистскими истребителями с крестами на крыльях и фюзеляже. Me-109 подошли так близко, что, казалось, даже зазоров между крыльями нашего самолета и их почти не было.</w:t>
      </w:r>
    </w:p>
    <w:p w14:paraId="429775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Летящий справа что-то показывает, - докладывает воздушный стрелок Васильев.</w:t>
      </w:r>
    </w:p>
    <w:p w14:paraId="478EDD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Покажи и ты ему, - вмешивается Панфилов.</w:t>
      </w:r>
    </w:p>
    <w:p w14:paraId="4ECF12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 вначале сделал вид, что, мол, не понимаю. Он повторил свои жесты. Стрелять, мол, не будет, потому что нам и так капут. Саша Панфилов не удержался и показал ему в ответ внушительную фигу.</w:t>
      </w:r>
    </w:p>
    <w:p w14:paraId="7912F5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 тут доклад штурмана:</w:t>
      </w:r>
    </w:p>
    <w:p w14:paraId="675D8A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Впереди цель, что будем делать?</w:t>
      </w:r>
    </w:p>
    <w:p w14:paraId="0A8A89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Бомбить, - отвечаю утвердительно. - Бомбить будем, Сережа.</w:t>
      </w:r>
    </w:p>
    <w:p w14:paraId="7FC369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Тогда доверни вправо на три градуса.</w:t>
      </w:r>
    </w:p>
    <w:p w14:paraId="06B07B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 довернул. К нашему удивлению, истребители сделали то же самое.</w:t>
      </w:r>
    </w:p>
    <w:p w14:paraId="3B8C1A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Еще несколько неописуемо длинных секунд, и наши бомбы полетели в цель.</w:t>
      </w:r>
    </w:p>
    <w:p w14:paraId="08DDFB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 тут вражеские истребители поняли свой промах. Но для открытия огня им нужно занять исходное положение. А тут еще и зенитная артиллерия заработала. Им-то что - свои или чужие в воздухе. Ведь бомбы-то сыплются.</w:t>
      </w:r>
    </w:p>
    <w:p w14:paraId="46F996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Воспользовавшись этим, я резко убрал газ, заложил крутое, недопустимое для бомбардировщика скольжение и камнем полетел к земле. Это произошло неожиданно не только для фашистских летчиков, но и для экипажа. И главная цель была достигнута. Истребители потеряли нас. А мы перешли на бреющий полет. И вот теперь-то, "облизывая" каждый овражек, каждый кустик, мы летели, едва не цепляя воздушными винтами землю. Благополучно прошли линию фронта, экипаж ликовал. Еще одна наша победа! Ни одна из сброшенных нами четырнадцати бомб не вышла за пределы железнодорожного узла" (3322,21).</w:t>
      </w:r>
    </w:p>
    <w:p w14:paraId="700922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97AB0DA" w14:textId="77777777" w:rsidR="002028EF" w:rsidRPr="00640820" w:rsidRDefault="002028EF" w:rsidP="00640820">
      <w:pPr>
        <w:pStyle w:val="11b"/>
        <w:shd w:val="clear" w:color="auto" w:fill="auto"/>
        <w:spacing w:after="0" w:line="240" w:lineRule="auto"/>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В ночь с 11 на 12 октября 1941-го полк с аэродрома подскока г. Иваново совершил три вылета.</w:t>
      </w:r>
    </w:p>
    <w:p w14:paraId="62DF5B68" w14:textId="77777777" w:rsidR="002028EF" w:rsidRPr="00640820" w:rsidRDefault="002028EF" w:rsidP="00640820">
      <w:pPr>
        <w:pStyle w:val="11b"/>
        <w:shd w:val="clear" w:color="auto" w:fill="auto"/>
        <w:spacing w:after="0" w:line="240" w:lineRule="auto"/>
        <w:jc w:val="both"/>
        <w:rPr>
          <w:rFonts w:ascii="Times New Roman" w:hAnsi="Times New Roman" w:cs="Times New Roman"/>
          <w:color w:val="000000" w:themeColor="text1"/>
          <w:sz w:val="16"/>
          <w:szCs w:val="16"/>
        </w:rPr>
      </w:pPr>
      <w:r w:rsidRPr="00640820">
        <w:rPr>
          <w:rStyle w:val="aff7"/>
          <w:rFonts w:ascii="Times New Roman" w:hAnsi="Times New Roman" w:cs="Times New Roman"/>
          <w:b w:val="0"/>
          <w:color w:val="000000" w:themeColor="text1"/>
          <w:spacing w:val="0"/>
          <w:sz w:val="16"/>
          <w:szCs w:val="16"/>
        </w:rPr>
        <w:t>ТБ-7 № 42055,</w:t>
      </w:r>
      <w:r w:rsidRPr="00640820">
        <w:rPr>
          <w:rFonts w:ascii="Times New Roman" w:hAnsi="Times New Roman" w:cs="Times New Roman"/>
          <w:color w:val="000000" w:themeColor="text1"/>
          <w:sz w:val="16"/>
          <w:szCs w:val="16"/>
        </w:rPr>
        <w:t xml:space="preserve"> командир кора</w:t>
      </w:r>
      <w:r w:rsidRPr="00640820">
        <w:rPr>
          <w:rFonts w:ascii="Times New Roman" w:hAnsi="Times New Roman" w:cs="Times New Roman"/>
          <w:color w:val="000000" w:themeColor="text1"/>
          <w:sz w:val="16"/>
          <w:szCs w:val="16"/>
        </w:rPr>
        <w:softHyphen/>
        <w:t>бля майор Угрюмов, в 01.10 стар</w:t>
      </w:r>
      <w:r w:rsidRPr="00640820">
        <w:rPr>
          <w:rFonts w:ascii="Times New Roman" w:hAnsi="Times New Roman" w:cs="Times New Roman"/>
          <w:color w:val="000000" w:themeColor="text1"/>
          <w:sz w:val="16"/>
          <w:szCs w:val="16"/>
        </w:rPr>
        <w:softHyphen/>
        <w:t>товал для бомбардирования аэро</w:t>
      </w:r>
      <w:r w:rsidRPr="00640820">
        <w:rPr>
          <w:rFonts w:ascii="Times New Roman" w:hAnsi="Times New Roman" w:cs="Times New Roman"/>
          <w:color w:val="000000" w:themeColor="text1"/>
          <w:sz w:val="16"/>
          <w:szCs w:val="16"/>
        </w:rPr>
        <w:softHyphen/>
        <w:t>дрома г. Смоленск. В 04.10 с высоты 3700 м на цель сброшены: ФАБ-250 - 2 шт., ФАБ-100 - 12 шт., четыре ФАБ-100 за</w:t>
      </w:r>
      <w:r w:rsidRPr="00640820">
        <w:rPr>
          <w:rFonts w:ascii="Times New Roman" w:hAnsi="Times New Roman" w:cs="Times New Roman"/>
          <w:color w:val="000000" w:themeColor="text1"/>
          <w:sz w:val="16"/>
          <w:szCs w:val="16"/>
        </w:rPr>
        <w:softHyphen/>
        <w:t>висли и не сброшены. Бомбы сброшены прицельно серией залпов в один заход. Экипаж наблюдал разрывы двух бомб на бетонированной взлетной полосе и разрывы остальных бомб на поле аэро</w:t>
      </w:r>
      <w:r w:rsidRPr="00640820">
        <w:rPr>
          <w:rFonts w:ascii="Times New Roman" w:hAnsi="Times New Roman" w:cs="Times New Roman"/>
          <w:color w:val="000000" w:themeColor="text1"/>
          <w:sz w:val="16"/>
          <w:szCs w:val="16"/>
        </w:rPr>
        <w:softHyphen/>
        <w:t>дрома. Перед бомбометанием основной цели штурман Хуртак в 3 час 46 мин с высоты 3700 м сбросил шесть бомб ФАБ- 250 на железную дорогу 25 км западнее г. Смоленск, но затем, определив, что бомбы сбросил не туда, куда нужно, на</w:t>
      </w:r>
      <w:r w:rsidRPr="00640820">
        <w:rPr>
          <w:rFonts w:ascii="Times New Roman" w:hAnsi="Times New Roman" w:cs="Times New Roman"/>
          <w:color w:val="000000" w:themeColor="text1"/>
          <w:sz w:val="16"/>
          <w:szCs w:val="16"/>
        </w:rPr>
        <w:softHyphen/>
        <w:t>чал искать заданную цель. На поиски ос</w:t>
      </w:r>
      <w:r w:rsidRPr="00640820">
        <w:rPr>
          <w:rFonts w:ascii="Times New Roman" w:hAnsi="Times New Roman" w:cs="Times New Roman"/>
          <w:color w:val="000000" w:themeColor="text1"/>
          <w:sz w:val="16"/>
          <w:szCs w:val="16"/>
        </w:rPr>
        <w:softHyphen/>
        <w:t>новной цели затратил около 40 мин. Раз</w:t>
      </w:r>
      <w:r w:rsidRPr="00640820">
        <w:rPr>
          <w:rFonts w:ascii="Times New Roman" w:hAnsi="Times New Roman" w:cs="Times New Roman"/>
          <w:color w:val="000000" w:themeColor="text1"/>
          <w:sz w:val="16"/>
          <w:szCs w:val="16"/>
        </w:rPr>
        <w:softHyphen/>
        <w:t>рывов бомб, сброшенных на железную дорогу, экипаж не наблюдал. После вы</w:t>
      </w:r>
      <w:r w:rsidRPr="00640820">
        <w:rPr>
          <w:rFonts w:ascii="Times New Roman" w:hAnsi="Times New Roman" w:cs="Times New Roman"/>
          <w:color w:val="000000" w:themeColor="text1"/>
          <w:sz w:val="16"/>
          <w:szCs w:val="16"/>
        </w:rPr>
        <w:softHyphen/>
        <w:t>полнения задания экипаж в 6 час 35 мин произвел посадку на аэродроме Ковров.</w:t>
      </w:r>
    </w:p>
    <w:p w14:paraId="2DC2982C" w14:textId="77777777" w:rsidR="002028EF" w:rsidRPr="00640820" w:rsidRDefault="002028EF" w:rsidP="00640820">
      <w:pPr>
        <w:pStyle w:val="11b"/>
        <w:shd w:val="clear" w:color="auto" w:fill="auto"/>
        <w:spacing w:after="0" w:line="240" w:lineRule="auto"/>
        <w:jc w:val="both"/>
        <w:rPr>
          <w:rFonts w:ascii="Times New Roman" w:hAnsi="Times New Roman" w:cs="Times New Roman"/>
          <w:color w:val="000000" w:themeColor="text1"/>
          <w:sz w:val="16"/>
          <w:szCs w:val="16"/>
        </w:rPr>
      </w:pPr>
      <w:r w:rsidRPr="00640820">
        <w:rPr>
          <w:rStyle w:val="aff7"/>
          <w:rFonts w:ascii="Times New Roman" w:hAnsi="Times New Roman" w:cs="Times New Roman"/>
          <w:b w:val="0"/>
          <w:color w:val="000000" w:themeColor="text1"/>
          <w:spacing w:val="0"/>
          <w:sz w:val="16"/>
          <w:szCs w:val="16"/>
        </w:rPr>
        <w:t>ТБ-7 № 4218,</w:t>
      </w:r>
      <w:r w:rsidRPr="00640820">
        <w:rPr>
          <w:rFonts w:ascii="Times New Roman" w:hAnsi="Times New Roman" w:cs="Times New Roman"/>
          <w:color w:val="000000" w:themeColor="text1"/>
          <w:sz w:val="16"/>
          <w:szCs w:val="16"/>
        </w:rPr>
        <w:t xml:space="preserve"> командир корабля майор Дмитриев, в 23.50 стартовал для бомбардирования аэродрома г. Бобруйск. В 3.17 - 3. 35 с высоты 4400 м на цель сброшены: ФАБ-250 - 4 шт., ФАБ-100 - 16 шт., САБ-50 - 1 шт. Бомбы сброшены сериями залпов в два захода по расчету времени, так как цель была закрыта об</w:t>
      </w:r>
      <w:r w:rsidRPr="00640820">
        <w:rPr>
          <w:rFonts w:ascii="Times New Roman" w:hAnsi="Times New Roman" w:cs="Times New Roman"/>
          <w:color w:val="000000" w:themeColor="text1"/>
          <w:sz w:val="16"/>
          <w:szCs w:val="16"/>
        </w:rPr>
        <w:softHyphen/>
        <w:t>лаками. Результаты бомбометания неиз</w:t>
      </w:r>
      <w:r w:rsidRPr="00640820">
        <w:rPr>
          <w:rFonts w:ascii="Times New Roman" w:hAnsi="Times New Roman" w:cs="Times New Roman"/>
          <w:color w:val="000000" w:themeColor="text1"/>
          <w:sz w:val="16"/>
          <w:szCs w:val="16"/>
        </w:rPr>
        <w:softHyphen/>
        <w:t>вестны. После выполнения задания эки</w:t>
      </w:r>
      <w:r w:rsidRPr="00640820">
        <w:rPr>
          <w:rFonts w:ascii="Times New Roman" w:hAnsi="Times New Roman" w:cs="Times New Roman"/>
          <w:color w:val="000000" w:themeColor="text1"/>
          <w:sz w:val="16"/>
          <w:szCs w:val="16"/>
        </w:rPr>
        <w:softHyphen/>
        <w:t>паж в 7 час 00 мин произвел посадку на аэродроме Ковров.</w:t>
      </w:r>
    </w:p>
    <w:p w14:paraId="1D549F56" w14:textId="77777777" w:rsidR="002028EF" w:rsidRPr="00640820" w:rsidRDefault="002028EF" w:rsidP="00640820">
      <w:pPr>
        <w:pStyle w:val="11b"/>
        <w:shd w:val="clear" w:color="auto" w:fill="auto"/>
        <w:spacing w:after="0" w:line="240" w:lineRule="auto"/>
        <w:jc w:val="both"/>
        <w:rPr>
          <w:rFonts w:ascii="Times New Roman" w:hAnsi="Times New Roman" w:cs="Times New Roman"/>
          <w:color w:val="000000" w:themeColor="text1"/>
          <w:sz w:val="16"/>
          <w:szCs w:val="16"/>
        </w:rPr>
      </w:pPr>
      <w:r w:rsidRPr="00640820">
        <w:rPr>
          <w:rStyle w:val="aff7"/>
          <w:rFonts w:ascii="Times New Roman" w:hAnsi="Times New Roman" w:cs="Times New Roman"/>
          <w:b w:val="0"/>
          <w:color w:val="000000" w:themeColor="text1"/>
          <w:spacing w:val="0"/>
          <w:sz w:val="16"/>
          <w:szCs w:val="16"/>
        </w:rPr>
        <w:t>ТБ-7 № 4215,</w:t>
      </w:r>
      <w:r w:rsidRPr="00640820">
        <w:rPr>
          <w:rFonts w:ascii="Times New Roman" w:hAnsi="Times New Roman" w:cs="Times New Roman"/>
          <w:color w:val="000000" w:themeColor="text1"/>
          <w:sz w:val="16"/>
          <w:szCs w:val="16"/>
        </w:rPr>
        <w:t xml:space="preserve"> командир корабля ка</w:t>
      </w:r>
      <w:r w:rsidRPr="00640820">
        <w:rPr>
          <w:rFonts w:ascii="Times New Roman" w:hAnsi="Times New Roman" w:cs="Times New Roman"/>
          <w:color w:val="000000" w:themeColor="text1"/>
          <w:sz w:val="16"/>
          <w:szCs w:val="16"/>
        </w:rPr>
        <w:softHyphen/>
        <w:t>питан Асямов, в 00.03 стартовал на бом</w:t>
      </w:r>
      <w:r w:rsidRPr="00640820">
        <w:rPr>
          <w:rFonts w:ascii="Times New Roman" w:hAnsi="Times New Roman" w:cs="Times New Roman"/>
          <w:color w:val="000000" w:themeColor="text1"/>
          <w:sz w:val="16"/>
          <w:szCs w:val="16"/>
        </w:rPr>
        <w:softHyphen/>
        <w:t>бардирование аэродрома г. Бобруйск. В 3 час 55 мин с высоты 4300 м на цель</w:t>
      </w:r>
    </w:p>
    <w:p w14:paraId="5271676E" w14:textId="77777777" w:rsidR="002028EF" w:rsidRPr="00640820" w:rsidRDefault="002028EF" w:rsidP="00640820">
      <w:pPr>
        <w:pStyle w:val="11b"/>
        <w:shd w:val="clear" w:color="auto" w:fill="auto"/>
        <w:spacing w:after="0" w:line="240" w:lineRule="auto"/>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сброшены: ФАБ-250 - 4 шт., ФАБ-100 - 10 шт, ЗАБ-50 - 6 шт. Бомбы сброшены прицельно сериями залпов в два захода. Экипаж наблюдал разрывы бомб на поле аэродрома, возник один небольшой по</w:t>
      </w:r>
      <w:r w:rsidRPr="00640820">
        <w:rPr>
          <w:rFonts w:ascii="Times New Roman" w:hAnsi="Times New Roman" w:cs="Times New Roman"/>
          <w:color w:val="000000" w:themeColor="text1"/>
          <w:sz w:val="16"/>
          <w:szCs w:val="16"/>
        </w:rPr>
        <w:softHyphen/>
        <w:t>жар. После выполнения задания экипаж в 7 час 55 мин произвел посадку на аэро</w:t>
      </w:r>
      <w:r w:rsidRPr="00640820">
        <w:rPr>
          <w:rFonts w:ascii="Times New Roman" w:hAnsi="Times New Roman" w:cs="Times New Roman"/>
          <w:color w:val="000000" w:themeColor="text1"/>
          <w:sz w:val="16"/>
          <w:szCs w:val="16"/>
        </w:rPr>
        <w:softHyphen/>
        <w:t>дром г. Ковров.</w:t>
      </w:r>
    </w:p>
    <w:p w14:paraId="6399C1D9" w14:textId="77777777" w:rsidR="002028EF" w:rsidRPr="00640820" w:rsidRDefault="002028EF" w:rsidP="00640820">
      <w:pPr>
        <w:pStyle w:val="11b"/>
        <w:shd w:val="clear" w:color="auto" w:fill="auto"/>
        <w:spacing w:after="0" w:line="240" w:lineRule="auto"/>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Материальная часть самолетов: на самолете Угрюмова спустила амортиза</w:t>
      </w:r>
      <w:r w:rsidRPr="00640820">
        <w:rPr>
          <w:rFonts w:ascii="Times New Roman" w:hAnsi="Times New Roman" w:cs="Times New Roman"/>
          <w:color w:val="000000" w:themeColor="text1"/>
          <w:sz w:val="16"/>
          <w:szCs w:val="16"/>
        </w:rPr>
        <w:softHyphen/>
        <w:t>ционная стойка шасси, на самолете Дмит</w:t>
      </w:r>
      <w:r w:rsidRPr="00640820">
        <w:rPr>
          <w:rFonts w:ascii="Times New Roman" w:hAnsi="Times New Roman" w:cs="Times New Roman"/>
          <w:color w:val="000000" w:themeColor="text1"/>
          <w:sz w:val="16"/>
          <w:szCs w:val="16"/>
        </w:rPr>
        <w:softHyphen/>
        <w:t>риева в полете два мотора давали пере</w:t>
      </w:r>
      <w:r w:rsidRPr="00640820">
        <w:rPr>
          <w:rFonts w:ascii="Times New Roman" w:hAnsi="Times New Roman" w:cs="Times New Roman"/>
          <w:color w:val="000000" w:themeColor="text1"/>
          <w:sz w:val="16"/>
          <w:szCs w:val="16"/>
        </w:rPr>
        <w:softHyphen/>
        <w:t>бои, на самолете Асямова после взлета отказала гидросистема шасси, весь полет выполнялся с выпущенными шасси. Все самолеты потребовали поверку компасов и снятие радиодевиации (19088).</w:t>
      </w:r>
    </w:p>
    <w:p w14:paraId="1CAE8856" w14:textId="77777777" w:rsidR="002028EF" w:rsidRPr="00640820" w:rsidRDefault="002028EF" w:rsidP="00640820">
      <w:pPr>
        <w:pStyle w:val="11b"/>
        <w:shd w:val="clear" w:color="auto" w:fill="auto"/>
        <w:spacing w:after="0" w:line="240" w:lineRule="auto"/>
        <w:jc w:val="both"/>
        <w:rPr>
          <w:rFonts w:ascii="Times New Roman" w:hAnsi="Times New Roman" w:cs="Times New Roman"/>
          <w:color w:val="000000" w:themeColor="text1"/>
          <w:sz w:val="16"/>
          <w:szCs w:val="16"/>
        </w:rPr>
      </w:pPr>
    </w:p>
    <w:p w14:paraId="6EB1114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11 по 18 октября 1941 г. соединения ДВА и ВВС Севе</w:t>
      </w:r>
      <w:r w:rsidRPr="00640820">
        <w:rPr>
          <w:rFonts w:ascii="Times New Roman" w:hAnsi="Times New Roman"/>
          <w:color w:val="000000" w:themeColor="text1"/>
          <w:sz w:val="16"/>
          <w:szCs w:val="16"/>
        </w:rPr>
        <w:softHyphen/>
        <w:t>ро-Западного, Западного, Брянского, Юю-Западного и Южного фронтов выполнили 943 са</w:t>
      </w:r>
      <w:r w:rsidRPr="00640820">
        <w:rPr>
          <w:rFonts w:ascii="Times New Roman" w:hAnsi="Times New Roman"/>
          <w:color w:val="000000" w:themeColor="text1"/>
          <w:sz w:val="16"/>
          <w:szCs w:val="16"/>
        </w:rPr>
        <w:softHyphen/>
        <w:t>молето-вылета. В период с 5 по 8 ноября авиасилы Кали</w:t>
      </w:r>
      <w:r w:rsidRPr="00640820">
        <w:rPr>
          <w:rFonts w:ascii="Times New Roman" w:hAnsi="Times New Roman"/>
          <w:color w:val="000000" w:themeColor="text1"/>
          <w:sz w:val="16"/>
          <w:szCs w:val="16"/>
        </w:rPr>
        <w:softHyphen/>
        <w:t>нинского, Западного и Брян</w:t>
      </w:r>
      <w:r w:rsidRPr="00640820">
        <w:rPr>
          <w:rFonts w:ascii="Times New Roman" w:hAnsi="Times New Roman"/>
          <w:color w:val="000000" w:themeColor="text1"/>
          <w:sz w:val="16"/>
          <w:szCs w:val="16"/>
        </w:rPr>
        <w:softHyphen/>
        <w:t>ского фронтов, а также ВВС МВО и 81 -я авиадивизия ДБА нанесли удары по 28 аэро</w:t>
      </w:r>
      <w:r w:rsidRPr="00640820">
        <w:rPr>
          <w:rFonts w:ascii="Times New Roman" w:hAnsi="Times New Roman"/>
          <w:color w:val="000000" w:themeColor="text1"/>
          <w:sz w:val="16"/>
          <w:szCs w:val="16"/>
        </w:rPr>
        <w:softHyphen/>
        <w:t>дромам. Повторные удары по 19 немецким аэродромам на</w:t>
      </w:r>
      <w:r w:rsidRPr="00640820">
        <w:rPr>
          <w:rFonts w:ascii="Times New Roman" w:hAnsi="Times New Roman"/>
          <w:color w:val="000000" w:themeColor="text1"/>
          <w:sz w:val="16"/>
          <w:szCs w:val="16"/>
        </w:rPr>
        <w:softHyphen/>
        <w:t>носились 12 и 15 ноября. Все</w:t>
      </w:r>
      <w:r w:rsidRPr="00640820">
        <w:rPr>
          <w:rFonts w:ascii="Times New Roman" w:hAnsi="Times New Roman"/>
          <w:color w:val="000000" w:themeColor="text1"/>
          <w:sz w:val="16"/>
          <w:szCs w:val="16"/>
        </w:rPr>
        <w:softHyphen/>
        <w:t>го было выполнено около 600 с амолпто-вылетов (10783).</w:t>
      </w:r>
    </w:p>
    <w:p w14:paraId="19F18A7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58F8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11 по 18 октября 1941 ВВС северно-Западного, Западного, Брянского, Юго-западного, Южного фронтов и ДБА выполнили 937 вылетов по 13 аэродромам. Уничтожили до 500 чтобы предотвратить массированный налет на Москву (340,65).</w:t>
      </w:r>
    </w:p>
    <w:p w14:paraId="0A3D67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0ADC2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октября 1941 г. решение о расформировании подразделения из полярных летчиков было признано неверным, поэтому последовал новый приказ генерал-майора Кузнецова №0212 и группа продолжила свое существование. 2-й АГ в полном составе предписывалось выполнять поставленные ей ранее задачи по разведке и охране северного побережья. Между тем, полковник Мазурук отзывался в распоряжение начальника ГУСМП. 7 октября 1941 г. коман</w:t>
      </w:r>
      <w:r w:rsidRPr="00640820">
        <w:rPr>
          <w:rFonts w:ascii="Times New Roman" w:hAnsi="Times New Roman"/>
          <w:color w:val="000000" w:themeColor="text1"/>
          <w:sz w:val="16"/>
          <w:szCs w:val="16"/>
        </w:rPr>
        <w:softHyphen/>
        <w:t>довать 2-й авиагруппой согласно приказа НКВМФ за №0216 назначался ка</w:t>
      </w:r>
      <w:r w:rsidRPr="00640820">
        <w:rPr>
          <w:rFonts w:ascii="Times New Roman" w:hAnsi="Times New Roman"/>
          <w:color w:val="000000" w:themeColor="text1"/>
          <w:sz w:val="16"/>
          <w:szCs w:val="16"/>
        </w:rPr>
        <w:softHyphen/>
        <w:t>питан Крестьянов. (11977).</w:t>
      </w:r>
    </w:p>
    <w:p w14:paraId="550056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9053D4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11 октября 1941 года на счету у воевавшего на Т-34 старшего лейтенанта Лавриненко было 16 танков противника, а к 5 декабря, началу советского контрнаступления под Москвой — уже 47. Свой последний 52-й танк Лавриненко подбил на подступах к Волоколамску 18 декабря 1941 года. В этот же день он погиб от осколка мины, попавшего ему в висок.</w:t>
      </w:r>
    </w:p>
    <w:p w14:paraId="290BE53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столь короткий боевой путь Дмитрий Лавриненко участвовал в 28 танковых боях и трижды горел в танке. По иронии судьбы, звание Героя Советского Союза Дмитрию Лавриненко присвоили (посмертно) только в 1990 году (12217).</w:t>
      </w:r>
    </w:p>
    <w:p w14:paraId="48665450"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18BD644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октября 1941 была подготовлена [Справка о выдаче Буденному С.М. мандата уполномоченного ГКО по обучению и "сколачиванию" вновь формируемых частей на территории СКВО.] № 762 (7013, 77).</w:t>
      </w:r>
    </w:p>
    <w:p w14:paraId="34BC716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582B9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октября 1941 вышло Постановление ГКО № 763 [О призыве военнообязанных запаса до 40-летнего возраста и призывников 1922 и 1923 годов рождения в ряде областей РСФСР и УССР.] (7013, 78).</w:t>
      </w:r>
    </w:p>
    <w:p w14:paraId="1D8CA37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679F6A"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lastRenderedPageBreak/>
        <w:t xml:space="preserve">11 октября </w:t>
      </w:r>
      <w:r w:rsidRPr="00640820">
        <w:rPr>
          <w:rFonts w:ascii="Times New Roman" w:hAnsi="Times New Roman"/>
          <w:color w:val="000000" w:themeColor="text1"/>
          <w:sz w:val="16"/>
          <w:szCs w:val="16"/>
        </w:rPr>
        <w:t>в 1941 году закончила боевые действия под Мценском (с 4 по 11 октября) 4-я танковая бригада полковника М.Е.Катукова и отошла во 2-й эшелон. Войска противника оккупировали город Мценск. За умелые боевые действия против танковой группы Гудериана бригада была 11 ноября переименована в 1-ю гвардейскую танковую бригаду (14796).</w:t>
      </w:r>
    </w:p>
    <w:p w14:paraId="1D5B6C2B" w14:textId="77777777" w:rsidR="00E80D3A" w:rsidRPr="00640820" w:rsidRDefault="00E80D3A" w:rsidP="00640820">
      <w:pPr>
        <w:spacing w:after="0" w:line="240" w:lineRule="auto"/>
        <w:jc w:val="both"/>
        <w:rPr>
          <w:rFonts w:ascii="Times New Roman" w:hAnsi="Times New Roman"/>
          <w:color w:val="000000" w:themeColor="text1"/>
          <w:sz w:val="16"/>
          <w:szCs w:val="16"/>
        </w:rPr>
      </w:pPr>
    </w:p>
    <w:p w14:paraId="57516C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октября 1941 немцы вошли на территорию Московской области (1094,17).</w:t>
      </w:r>
    </w:p>
    <w:p w14:paraId="69AD5A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A7F0C6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октября 1941 генерал Г. Жуков назначен командующим обороны Москвы (4962).</w:t>
      </w:r>
    </w:p>
    <w:p w14:paraId="370CB6E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D14E5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октября 1941 начались оборонительные бои в Донбассе (4962).</w:t>
      </w:r>
    </w:p>
    <w:p w14:paraId="61B7A06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912A7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октября 1941 фашисты захватили Сумы (4962).</w:t>
      </w:r>
    </w:p>
    <w:p w14:paraId="4817070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754B52"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4CD74FF8"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B23CC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октября 1941 вышло заявление СССР и Великобритании, содержавшее предложение Афганистану воспрепятствовать подрывной деятельности германо-итальянских агентов на его территории (3186).</w:t>
      </w:r>
    </w:p>
    <w:p w14:paraId="2763DB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CE8EE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октября 1941 в Архангельск прибыл первый конвой PQ-1 и доставил самолеты и 20 танков Матильда и Валентайн. До конца года получили 466 танков. В т.ч. 187 Матильд (4367).</w:t>
      </w:r>
    </w:p>
    <w:p w14:paraId="4F0920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C276C5A"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11 октября </w:t>
      </w:r>
      <w:r w:rsidRPr="00640820">
        <w:rPr>
          <w:rFonts w:ascii="Times New Roman" w:hAnsi="Times New Roman"/>
          <w:color w:val="000000" w:themeColor="text1"/>
          <w:sz w:val="16"/>
          <w:szCs w:val="16"/>
        </w:rPr>
        <w:t>в 1941 году в Архангельск из Англии прибыл караван PQ-1, а с ним - первые 20 английских танков. Всего в 1941-1945 годах в СССР из Великобритании было поставлено 6531 танков и БТР (в том числе, заметное количество техники канадского производства) (14796).</w:t>
      </w:r>
    </w:p>
    <w:p w14:paraId="7F749381" w14:textId="77777777" w:rsidR="00E80D3A" w:rsidRPr="00640820" w:rsidRDefault="00E80D3A" w:rsidP="00640820">
      <w:pPr>
        <w:spacing w:after="0" w:line="240" w:lineRule="auto"/>
        <w:jc w:val="both"/>
        <w:rPr>
          <w:rFonts w:ascii="Times New Roman" w:hAnsi="Times New Roman"/>
          <w:color w:val="000000" w:themeColor="text1"/>
          <w:sz w:val="16"/>
          <w:szCs w:val="16"/>
        </w:rPr>
      </w:pPr>
    </w:p>
    <w:p w14:paraId="364BC1C3"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13552019"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3BD12C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октября 1941 проводимый фашистами референдум о присоединении Люксембурга к Германии провалился из-за низкой явки избирателей (4962).</w:t>
      </w:r>
    </w:p>
    <w:p w14:paraId="4786693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7FEF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октября 1941 в Македонии началось народное восстание против немецких захватчиков 93186).</w:t>
      </w:r>
    </w:p>
    <w:p w14:paraId="692041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56A848E"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11 октября </w:t>
      </w:r>
      <w:r w:rsidRPr="00640820">
        <w:rPr>
          <w:rFonts w:ascii="Times New Roman" w:hAnsi="Times New Roman"/>
          <w:color w:val="000000" w:themeColor="text1"/>
          <w:sz w:val="16"/>
          <w:szCs w:val="16"/>
        </w:rPr>
        <w:t>в 1941 году Й.Геббельс призвал немцев не слушать английские радиостанции (14796).</w:t>
      </w:r>
    </w:p>
    <w:p w14:paraId="326BF01D" w14:textId="77777777" w:rsidR="00E80D3A" w:rsidRPr="00640820" w:rsidRDefault="00E80D3A" w:rsidP="00640820">
      <w:pPr>
        <w:spacing w:after="0" w:line="240" w:lineRule="auto"/>
        <w:jc w:val="both"/>
        <w:rPr>
          <w:rFonts w:ascii="Times New Roman" w:hAnsi="Times New Roman"/>
          <w:color w:val="000000" w:themeColor="text1"/>
          <w:sz w:val="16"/>
          <w:szCs w:val="16"/>
        </w:rPr>
      </w:pPr>
    </w:p>
    <w:p w14:paraId="71E748AC"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50DBDAE8"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D69C9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ок</w:t>
      </w:r>
      <w:r w:rsidRPr="00640820">
        <w:rPr>
          <w:rFonts w:ascii="Times New Roman" w:hAnsi="Times New Roman"/>
          <w:color w:val="000000" w:themeColor="text1"/>
          <w:sz w:val="16"/>
          <w:szCs w:val="16"/>
        </w:rPr>
        <w:softHyphen/>
        <w:t>тября 1941 г. в НИИ ВВС закончились государственные испытания Ил-2 (зав. №181404) с ШФК-37 с целью вы</w:t>
      </w:r>
      <w:r w:rsidRPr="00640820">
        <w:rPr>
          <w:rFonts w:ascii="Times New Roman" w:hAnsi="Times New Roman"/>
          <w:color w:val="000000" w:themeColor="text1"/>
          <w:sz w:val="16"/>
          <w:szCs w:val="16"/>
        </w:rPr>
        <w:softHyphen/>
        <w:t>явления его летных данных, которые проходили с 23 сентября. Всего по программе ис</w:t>
      </w:r>
      <w:r w:rsidRPr="00640820">
        <w:rPr>
          <w:rFonts w:ascii="Times New Roman" w:hAnsi="Times New Roman"/>
          <w:color w:val="000000" w:themeColor="text1"/>
          <w:sz w:val="16"/>
          <w:szCs w:val="16"/>
        </w:rPr>
        <w:softHyphen/>
        <w:t>пытаний (ведущий инженер - военинженер 3-го ранга Холопов, ведущий лет</w:t>
      </w:r>
      <w:r w:rsidRPr="00640820">
        <w:rPr>
          <w:rFonts w:ascii="Times New Roman" w:hAnsi="Times New Roman"/>
          <w:color w:val="000000" w:themeColor="text1"/>
          <w:sz w:val="16"/>
          <w:szCs w:val="16"/>
        </w:rPr>
        <w:softHyphen/>
        <w:t>чик - м-р Стадник) было выполнено 24 полета с общим налетом 10 часов 6 мин.</w:t>
      </w:r>
    </w:p>
    <w:p w14:paraId="7E7091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Большие габаритные размеры пушек ШФК-37 и магазинное питание (емкость магазина 40 снарядов) определили их размещение в обтекателях под крылом самолета Ил-2. Из-за установки на пуш</w:t>
      </w:r>
      <w:r w:rsidRPr="00640820">
        <w:rPr>
          <w:rFonts w:ascii="Times New Roman" w:hAnsi="Times New Roman"/>
          <w:color w:val="000000" w:themeColor="text1"/>
          <w:sz w:val="16"/>
          <w:szCs w:val="16"/>
        </w:rPr>
        <w:softHyphen/>
        <w:t>ке большого магазина ее пришлось силь</w:t>
      </w:r>
      <w:r w:rsidRPr="00640820">
        <w:rPr>
          <w:rFonts w:ascii="Times New Roman" w:hAnsi="Times New Roman"/>
          <w:color w:val="000000" w:themeColor="text1"/>
          <w:sz w:val="16"/>
          <w:szCs w:val="16"/>
        </w:rPr>
        <w:softHyphen/>
        <w:t>но опустить вниз относительно строи</w:t>
      </w:r>
      <w:r w:rsidRPr="00640820">
        <w:rPr>
          <w:rFonts w:ascii="Times New Roman" w:hAnsi="Times New Roman"/>
          <w:color w:val="000000" w:themeColor="text1"/>
          <w:sz w:val="16"/>
          <w:szCs w:val="16"/>
        </w:rPr>
        <w:softHyphen/>
        <w:t>тельной плоскости крыла (оси самоле</w:t>
      </w:r>
      <w:r w:rsidRPr="00640820">
        <w:rPr>
          <w:rFonts w:ascii="Times New Roman" w:hAnsi="Times New Roman"/>
          <w:color w:val="000000" w:themeColor="text1"/>
          <w:sz w:val="16"/>
          <w:szCs w:val="16"/>
        </w:rPr>
        <w:softHyphen/>
        <w:t>та), что не только усложнило конструк</w:t>
      </w:r>
      <w:r w:rsidRPr="00640820">
        <w:rPr>
          <w:rFonts w:ascii="Times New Roman" w:hAnsi="Times New Roman"/>
          <w:color w:val="000000" w:themeColor="text1"/>
          <w:sz w:val="16"/>
          <w:szCs w:val="16"/>
        </w:rPr>
        <w:softHyphen/>
        <w:t>цию крепления пушки к крылу (пушка крепилась на амортизаторе и при стрельбе перемещалась вместе с ма</w:t>
      </w:r>
      <w:r w:rsidRPr="00640820">
        <w:rPr>
          <w:rFonts w:ascii="Times New Roman" w:hAnsi="Times New Roman"/>
          <w:color w:val="000000" w:themeColor="text1"/>
          <w:sz w:val="16"/>
          <w:szCs w:val="16"/>
        </w:rPr>
        <w:softHyphen/>
        <w:t>газином), но и потребовало сделать для нее громоздкие с большим поперечным сечением обтекатели.</w:t>
      </w:r>
    </w:p>
    <w:p w14:paraId="3F9619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Пушка ШФК-37, включая магазин для патронов как ее составную часть, в крыльевом варианте имела 387 деталей. Вес пушки с установкой на самолете Ил-2 составлял 302,5 кг.</w:t>
      </w:r>
    </w:p>
    <w:p w14:paraId="7C5933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Помимо пушек и пулеметов, в состав вооружения штурмовика входили 8 ра</w:t>
      </w:r>
      <w:r w:rsidRPr="00640820">
        <w:rPr>
          <w:rFonts w:ascii="Times New Roman" w:hAnsi="Times New Roman"/>
          <w:color w:val="000000" w:themeColor="text1"/>
          <w:sz w:val="16"/>
          <w:szCs w:val="16"/>
        </w:rPr>
        <w:softHyphen/>
        <w:t>кетных орудий РО-82. Бомбы только в перегрузку - до 200 кг.</w:t>
      </w:r>
    </w:p>
    <w:p w14:paraId="050FE5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Гос. испытания показали, что летные данные Ил-2 с крупнокалиберными авиапушками ШФК-37, по сравнению с обычным серийным одноместным Ил-2 с пушками ШВАК или ВЯ, заметно сни</w:t>
      </w:r>
      <w:r w:rsidRPr="00640820">
        <w:rPr>
          <w:rFonts w:ascii="Times New Roman" w:hAnsi="Times New Roman"/>
          <w:color w:val="000000" w:themeColor="text1"/>
          <w:sz w:val="16"/>
          <w:szCs w:val="16"/>
        </w:rPr>
        <w:softHyphen/>
        <w:t>зились. Самолет стал более инертным и сложным в технике пилотирования, особенно на виражах и разворотах на малой высоте. На больших скоростях ухудшилась маневренность. Летчики жаловались на значительные нагрузки на рули при выполнении маневров. Тем не менее, результаты летных испытаний нового штурмовика были признаны в целом удовлетворительными.</w:t>
      </w:r>
    </w:p>
    <w:p w14:paraId="4DF2DB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нормальном полетном весе 5864 кг максимальная скорость у земли не превышала 373 км/ч, на высоте 2400 м -409 км/ч. Время подъема на высоту 1000 м - 2,12 мин, на высоту 2500 м - 5,36 мин. Посадочная скорость - 146 км/ч. Разбег -515м, пробег на посадке - 535 м. Максимальная скоростная дальность полета (0,9V^) составляла 582 км, на наивыгоднейшей скорости полета - 728 км.</w:t>
      </w:r>
    </w:p>
    <w:p w14:paraId="78D9CE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Темп стрельбы ШФК-37 по данным полигонных испытаний в среднем равнялся 169 выстрелам в минуту при начальной скорости снаряда около 894 м/с.</w:t>
      </w:r>
    </w:p>
    <w:p w14:paraId="56D3EA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боекомплект пушки входили бронебойно-зажигательно-трассирующие (БЗТ-37) и осколочно-зажигательно-трассирующие (ОЗТ-37) снаряды.</w:t>
      </w:r>
    </w:p>
    <w:p w14:paraId="1AE2AB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Снаряд БЗТ-37 обеспечивал пробитие немецкой танковой брони толщиной 30 мм (твердость по Бринелю 3,15) по/ углом 45° к нормали с дистанции не более 500 м. Броню толщиной 15-16 мм ^ меньше (твердость по Бринелю 2,62) снаряд пробивал (или проламывал) при углах встречи не более 60</w:t>
      </w:r>
      <w:r w:rsidRPr="00640820">
        <w:rPr>
          <w:rFonts w:ascii="Times New Roman" w:hAnsi="Times New Roman"/>
          <w:color w:val="000000" w:themeColor="text1"/>
          <w:sz w:val="16"/>
          <w:szCs w:val="16"/>
          <w:vertAlign w:val="superscript"/>
        </w:rPr>
        <w:t>е</w:t>
      </w:r>
      <w:r w:rsidRPr="00640820">
        <w:rPr>
          <w:rFonts w:ascii="Times New Roman" w:hAnsi="Times New Roman"/>
          <w:color w:val="000000" w:themeColor="text1"/>
          <w:sz w:val="16"/>
          <w:szCs w:val="16"/>
        </w:rPr>
        <w:t xml:space="preserve"> на тех же дистанциях. При этом при пробитии 30</w:t>
      </w:r>
      <w:r w:rsidRPr="00640820">
        <w:rPr>
          <w:rFonts w:ascii="Times New Roman" w:hAnsi="Times New Roman"/>
          <w:color w:val="000000" w:themeColor="text1"/>
          <w:sz w:val="16"/>
          <w:szCs w:val="16"/>
        </w:rPr>
        <w:softHyphen/>
        <w:t>мм брони снаряд выдавливал ее по сво</w:t>
      </w:r>
      <w:r w:rsidRPr="00640820">
        <w:rPr>
          <w:rFonts w:ascii="Times New Roman" w:hAnsi="Times New Roman"/>
          <w:color w:val="000000" w:themeColor="text1"/>
          <w:sz w:val="16"/>
          <w:szCs w:val="16"/>
        </w:rPr>
        <w:softHyphen/>
        <w:t>ему калибру и делал глубокую вмятину на противоположной внутренней стенке корпуса танка. Выдавленная же броня и оставшиеся части снаряда производи</w:t>
      </w:r>
      <w:r w:rsidRPr="00640820">
        <w:rPr>
          <w:rFonts w:ascii="Times New Roman" w:hAnsi="Times New Roman"/>
          <w:color w:val="000000" w:themeColor="text1"/>
          <w:sz w:val="16"/>
          <w:szCs w:val="16"/>
        </w:rPr>
        <w:softHyphen/>
        <w:t>ли сильные разрушения внутри танка.</w:t>
      </w:r>
    </w:p>
    <w:p w14:paraId="04E8E3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Броня толщиной 50 мм (лобовая часть корпуса и башни средних немецких тан</w:t>
      </w:r>
      <w:r w:rsidRPr="00640820">
        <w:rPr>
          <w:rFonts w:ascii="Times New Roman" w:hAnsi="Times New Roman"/>
          <w:color w:val="000000" w:themeColor="text1"/>
          <w:sz w:val="16"/>
          <w:szCs w:val="16"/>
        </w:rPr>
        <w:softHyphen/>
        <w:t>ков StuG III Ausf Е и Pz.111 Ausf G, твер</w:t>
      </w:r>
      <w:r w:rsidRPr="00640820">
        <w:rPr>
          <w:rFonts w:ascii="Times New Roman" w:hAnsi="Times New Roman"/>
          <w:color w:val="000000" w:themeColor="text1"/>
          <w:sz w:val="16"/>
          <w:szCs w:val="16"/>
        </w:rPr>
        <w:softHyphen/>
        <w:t>дость по Бринелю 3,3) пробивалась сна</w:t>
      </w:r>
      <w:r w:rsidRPr="00640820">
        <w:rPr>
          <w:rFonts w:ascii="Times New Roman" w:hAnsi="Times New Roman"/>
          <w:color w:val="000000" w:themeColor="text1"/>
          <w:sz w:val="16"/>
          <w:szCs w:val="16"/>
        </w:rPr>
        <w:softHyphen/>
        <w:t>рядом БЗТ-37 с дистанций не более 200 м при углах встречи не превышающих 5</w:t>
      </w:r>
      <w:r w:rsidRPr="00640820">
        <w:rPr>
          <w:rFonts w:ascii="Times New Roman" w:hAnsi="Times New Roman"/>
          <w:color w:val="000000" w:themeColor="text1"/>
          <w:sz w:val="16"/>
          <w:szCs w:val="16"/>
          <w:vertAlign w:val="superscript"/>
        </w:rPr>
        <w:t>е</w:t>
      </w:r>
      <w:r w:rsidRPr="00640820">
        <w:rPr>
          <w:rFonts w:ascii="Times New Roman" w:hAnsi="Times New Roman"/>
          <w:color w:val="000000" w:themeColor="text1"/>
          <w:sz w:val="16"/>
          <w:szCs w:val="16"/>
        </w:rPr>
        <w:t>.</w:t>
      </w:r>
    </w:p>
    <w:p w14:paraId="757BF6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Осколочный же снаряд к пушке ШФК-37 - ОЗТ-37 пробивал немецкую танко</w:t>
      </w:r>
      <w:r w:rsidRPr="00640820">
        <w:rPr>
          <w:rFonts w:ascii="Times New Roman" w:hAnsi="Times New Roman"/>
          <w:color w:val="000000" w:themeColor="text1"/>
          <w:sz w:val="16"/>
          <w:szCs w:val="16"/>
        </w:rPr>
        <w:softHyphen/>
        <w:t>вую броню толщиной не более 15 мм (твердость по Бринелю 2,62) с дистан</w:t>
      </w:r>
      <w:r w:rsidRPr="00640820">
        <w:rPr>
          <w:rFonts w:ascii="Times New Roman" w:hAnsi="Times New Roman"/>
          <w:color w:val="000000" w:themeColor="text1"/>
          <w:sz w:val="16"/>
          <w:szCs w:val="16"/>
        </w:rPr>
        <w:softHyphen/>
        <w:t>ций не превышающих 200 м при углах встречи близких к нормали (6467).</w:t>
      </w:r>
    </w:p>
    <w:p w14:paraId="2FB9CC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5DAE98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октября 1941 г. в НИИ ВВС КА закончились Государственные испытания Ил-2 (зав. №181404) с ШФК-37 с целью выявления его летных данных (ведущий инженер — военинже-нер 3 ранга Холопов, ведущий летчик — майор Стадник), которые проходили с 23 сентября. Всего по программе испытаний было выполнено 24 полета с общим налетом 10 ч. 6 мин. Большие габаритные размеры пушек ШФК-37 и магазинное питание (емкость магазина 40 снарядов) определили их размеще</w:t>
      </w:r>
      <w:r w:rsidRPr="00640820">
        <w:rPr>
          <w:rFonts w:ascii="Times New Roman" w:hAnsi="Times New Roman"/>
          <w:color w:val="000000" w:themeColor="text1"/>
          <w:sz w:val="16"/>
          <w:szCs w:val="16"/>
        </w:rPr>
        <w:softHyphen/>
        <w:t>ние в обтекателях под крылом самолета Ил-2. Из-за установки на пушке большого магазина ее пришлось сильно опустить вниз отно</w:t>
      </w:r>
      <w:r w:rsidRPr="00640820">
        <w:rPr>
          <w:rFonts w:ascii="Times New Roman" w:hAnsi="Times New Roman"/>
          <w:color w:val="000000" w:themeColor="text1"/>
          <w:sz w:val="16"/>
          <w:szCs w:val="16"/>
        </w:rPr>
        <w:softHyphen/>
        <w:t>сительно строительной плоскости крыла (оси самолета), что не только усложнило конструкцию крепления пушки к крьшу (пушка крепилась на амортизаторе и при стрельбе перемещалась вместе с магазином), но и потребовало сделать для нее громоздкие с боль</w:t>
      </w:r>
      <w:r w:rsidRPr="00640820">
        <w:rPr>
          <w:rFonts w:ascii="Times New Roman" w:hAnsi="Times New Roman"/>
          <w:color w:val="000000" w:themeColor="text1"/>
          <w:sz w:val="16"/>
          <w:szCs w:val="16"/>
        </w:rPr>
        <w:softHyphen/>
        <w:t>шим поперечным сечением обтекатели. Государственные испытания показали, что летные данные Ил-2 с крупнокалиберными авиапушками ШФК-37, по сравнению с обычным серийным одноместным Ил-2 с пушками ШВАК или ВЯ, заметно снизились. Самолет стал более инертным и сложным в технике пилотирования, особенно на виражах и разворотах на ма</w:t>
      </w:r>
      <w:r w:rsidRPr="00640820">
        <w:rPr>
          <w:rFonts w:ascii="Times New Roman" w:hAnsi="Times New Roman"/>
          <w:color w:val="000000" w:themeColor="text1"/>
          <w:sz w:val="16"/>
          <w:szCs w:val="16"/>
        </w:rPr>
        <w:softHyphen/>
        <w:t>лой высоте. На больших скоростях ухудшилась маневренность. Летчики жаловались на значительные нагрузки на рули при выпол</w:t>
      </w:r>
      <w:r w:rsidRPr="00640820">
        <w:rPr>
          <w:rFonts w:ascii="Times New Roman" w:hAnsi="Times New Roman"/>
          <w:color w:val="000000" w:themeColor="text1"/>
          <w:sz w:val="16"/>
          <w:szCs w:val="16"/>
        </w:rPr>
        <w:softHyphen/>
        <w:t>нении маневров. Тем не менее, результаты летных испытаний но</w:t>
      </w:r>
      <w:r w:rsidRPr="00640820">
        <w:rPr>
          <w:rFonts w:ascii="Times New Roman" w:hAnsi="Times New Roman"/>
          <w:color w:val="000000" w:themeColor="text1"/>
          <w:sz w:val="16"/>
          <w:szCs w:val="16"/>
        </w:rPr>
        <w:softHyphen/>
        <w:t>вого штурмовика были признаны в целом удовлетворительными. При нормальном полетном весе самолета 5864 кг максимальная скорость у земли не превышала 373 км/ч, а на высоте 2400 м — 409 км/ч. Время подъема на высоту 1000 м — 2,12 мин., на высоту 2500 м — 5,36 мин. Посадочная скорость — 146 км/ч. Разбег — 515м, пробег на посадке — 535 м. Максимальная скоростная даль</w:t>
      </w:r>
      <w:r w:rsidRPr="00640820">
        <w:rPr>
          <w:rFonts w:ascii="Times New Roman" w:hAnsi="Times New Roman"/>
          <w:color w:val="000000" w:themeColor="text1"/>
          <w:sz w:val="16"/>
          <w:szCs w:val="16"/>
        </w:rPr>
        <w:softHyphen/>
        <w:t>ность полета составляла 582 км, на наивыгоднейшей скорости по</w:t>
      </w:r>
      <w:r w:rsidRPr="00640820">
        <w:rPr>
          <w:rFonts w:ascii="Times New Roman" w:hAnsi="Times New Roman"/>
          <w:color w:val="000000" w:themeColor="text1"/>
          <w:sz w:val="16"/>
          <w:szCs w:val="16"/>
        </w:rPr>
        <w:softHyphen/>
        <w:t>лета — 728 км. Темп стрельбы ШФК-37 по данным полигонных испытаний в среднем равнялся 169 выстрелам в минуту при начальной скорости снаряда около 894 м/с. В боекомплект пушки входили бронебойно-зажигательно-трас-сирующие (БЗТ-37) и осколочно-зажигательно-трассирующие (ОЗТ-37) снаряды.</w:t>
      </w:r>
    </w:p>
    <w:p w14:paraId="3A3E0B0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Снаряд БЗТ-37 обеспечивал пробитие немецкой танковой бро</w:t>
      </w:r>
      <w:r w:rsidRPr="00640820">
        <w:rPr>
          <w:rFonts w:ascii="Times New Roman" w:hAnsi="Times New Roman"/>
          <w:color w:val="000000" w:themeColor="text1"/>
          <w:sz w:val="16"/>
          <w:szCs w:val="16"/>
        </w:rPr>
        <w:softHyphen/>
        <w:t>ни толщиной 30 мм (твердость по Бринелю 3,15) под углом 45° к нормали с дистанции не более 500 м. Броню толщиной 15—16 мм и меньше (твердость по Бринелю 2,62) снаряд пробивал (или прола</w:t>
      </w:r>
      <w:r w:rsidRPr="00640820">
        <w:rPr>
          <w:rFonts w:ascii="Times New Roman" w:hAnsi="Times New Roman"/>
          <w:color w:val="000000" w:themeColor="text1"/>
          <w:sz w:val="16"/>
          <w:szCs w:val="16"/>
        </w:rPr>
        <w:softHyphen/>
        <w:t>мывал) при углах встречи не более 60° на тех же дистанциях. При этом при пробитии 30-мм брони снаряд выдавливал ее по сво</w:t>
      </w:r>
      <w:r w:rsidRPr="00640820">
        <w:rPr>
          <w:rFonts w:ascii="Times New Roman" w:hAnsi="Times New Roman"/>
          <w:color w:val="000000" w:themeColor="text1"/>
          <w:sz w:val="16"/>
          <w:szCs w:val="16"/>
        </w:rPr>
        <w:softHyphen/>
        <w:t>ему калибру и делал глубокую вмятину на противоположной внут</w:t>
      </w:r>
      <w:r w:rsidRPr="00640820">
        <w:rPr>
          <w:rFonts w:ascii="Times New Roman" w:hAnsi="Times New Roman"/>
          <w:color w:val="000000" w:themeColor="text1"/>
          <w:sz w:val="16"/>
          <w:szCs w:val="16"/>
        </w:rPr>
        <w:softHyphen/>
        <w:t>ренней стенке корпуса танка. Выдавленная же броня и оставшиеся части снаряда производили сильные разрушения внутри танка. Броня толщиной 50 мм (лобовая часть корпуса и башни средних немецких танков 8плС III Аи$Г Е и Р2.1П АшГС (твердость по Бри</w:t>
      </w:r>
      <w:r w:rsidRPr="00640820">
        <w:rPr>
          <w:rFonts w:ascii="Times New Roman" w:hAnsi="Times New Roman"/>
          <w:color w:val="000000" w:themeColor="text1"/>
          <w:sz w:val="16"/>
          <w:szCs w:val="16"/>
        </w:rPr>
        <w:softHyphen/>
        <w:t>нелю 3,3) пробивалась снарядом БЗТ-37 с дистанций не более 200 м при углах встречи не превышающих 5°. Осколочный же снаряд к пушке ШФК-37 — ОЗТ-37 — пробивал немецкую танковую броню толщиной не более 15 мм (твердость по Бринелю 2,62) с дистанций не превышающих 200 м при углах встречи близких к нормали.</w:t>
      </w:r>
    </w:p>
    <w:p w14:paraId="7939F8B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Проведенные на НИП АВ ВВС КА стрельбы с воздуха из пушки ШФК-37 по трофейной немецкой бронетехнике показали, что сна</w:t>
      </w:r>
      <w:r w:rsidRPr="00640820">
        <w:rPr>
          <w:rFonts w:ascii="Times New Roman" w:hAnsi="Times New Roman"/>
          <w:color w:val="000000" w:themeColor="text1"/>
          <w:sz w:val="16"/>
          <w:szCs w:val="16"/>
        </w:rPr>
        <w:softHyphen/>
        <w:t>ряд БЗТ-37 обеспечивал поражение немецких легких танков типа рг.38(1) АшГС и Рг.Н АизГР с дистанций до 500 м с любого направ</w:t>
      </w:r>
      <w:r w:rsidRPr="00640820">
        <w:rPr>
          <w:rFonts w:ascii="Times New Roman" w:hAnsi="Times New Roman"/>
          <w:color w:val="000000" w:themeColor="text1"/>
          <w:sz w:val="16"/>
          <w:szCs w:val="16"/>
        </w:rPr>
        <w:softHyphen/>
        <w:t>ления и при любых углах планирования. Причем попадание снаря</w:t>
      </w:r>
      <w:r w:rsidRPr="00640820">
        <w:rPr>
          <w:rFonts w:ascii="Times New Roman" w:hAnsi="Times New Roman"/>
          <w:color w:val="000000" w:themeColor="text1"/>
          <w:sz w:val="16"/>
          <w:szCs w:val="16"/>
        </w:rPr>
        <w:softHyphen/>
        <w:t xml:space="preserve">дов в эти танки давало проломы брони и сквозные пробития через оба борта корпуса танков. Поражение же средних немецких танков типа 8ШО III АизГ Е и рг.Ш АизГО, </w:t>
      </w:r>
      <w:r w:rsidRPr="00640820">
        <w:rPr>
          <w:rFonts w:ascii="Times New Roman" w:hAnsi="Times New Roman"/>
          <w:color w:val="000000" w:themeColor="text1"/>
          <w:sz w:val="16"/>
          <w:szCs w:val="16"/>
        </w:rPr>
        <w:lastRenderedPageBreak/>
        <w:t>а также танка Рг.38(1) АизГЕ с усиленным бронирова</w:t>
      </w:r>
      <w:r w:rsidRPr="00640820">
        <w:rPr>
          <w:rFonts w:ascii="Times New Roman" w:hAnsi="Times New Roman"/>
          <w:color w:val="000000" w:themeColor="text1"/>
          <w:sz w:val="16"/>
          <w:szCs w:val="16"/>
        </w:rPr>
        <w:softHyphen/>
        <w:t>нием с толщиной брони на бортах до 30 мм обеспечивалось снаря</w:t>
      </w:r>
      <w:r w:rsidRPr="00640820">
        <w:rPr>
          <w:rFonts w:ascii="Times New Roman" w:hAnsi="Times New Roman"/>
          <w:color w:val="000000" w:themeColor="text1"/>
          <w:sz w:val="16"/>
          <w:szCs w:val="16"/>
        </w:rPr>
        <w:softHyphen/>
        <w:t>дом БЗТ-37 с дистанций не более 500 м, но при углах планирования не более 30°. При этом атаку танков этих типов необходимо было производить в бок колонны или вдоль нее с хвоста, ведя стрельбу по борту или по задней части корпуса и башни танков. На испытаниях из 33 прямых попаданий в средний танк Рг.Ш АикГ С и легкие танки Рг.П АизГ Р и Рг.38(1) АизГ С имели место только 24 пробоины, из которых 17 пробоин оказались в броне тол</w:t>
      </w:r>
      <w:r w:rsidRPr="00640820">
        <w:rPr>
          <w:rFonts w:ascii="Times New Roman" w:hAnsi="Times New Roman"/>
          <w:color w:val="000000" w:themeColor="text1"/>
          <w:sz w:val="16"/>
          <w:szCs w:val="16"/>
        </w:rPr>
        <w:softHyphen/>
        <w:t>щиной 30 мм, один рикошет от 16-мм брони, когда угол встречи снаряда с броней составил 75-80°, и остальные пробоины — в 15—16-мм броне. При этом 51,5% попаданий снарядов пушки ШФК-37 по среднему танку и 70% попаданий по легкому танку вы</w:t>
      </w:r>
      <w:r w:rsidRPr="00640820">
        <w:rPr>
          <w:rFonts w:ascii="Times New Roman" w:hAnsi="Times New Roman"/>
          <w:color w:val="000000" w:themeColor="text1"/>
          <w:sz w:val="16"/>
          <w:szCs w:val="16"/>
        </w:rPr>
        <w:softHyphen/>
        <w:t>водили их из строя. Попадания 37-мм снарядов в катки, колеса и другие детали хо</w:t>
      </w:r>
      <w:r w:rsidRPr="00640820">
        <w:rPr>
          <w:rFonts w:ascii="Times New Roman" w:hAnsi="Times New Roman"/>
          <w:color w:val="000000" w:themeColor="text1"/>
          <w:sz w:val="16"/>
          <w:szCs w:val="16"/>
        </w:rPr>
        <w:softHyphen/>
        <w:t>довой части танков наносили им существенные разрушения, как правило, выводящие танк из строя.</w:t>
      </w:r>
    </w:p>
    <w:p w14:paraId="400750E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отчете по полигонным испытаниям пушек ШФК-37 на само</w:t>
      </w:r>
      <w:r w:rsidRPr="00640820">
        <w:rPr>
          <w:rFonts w:ascii="Times New Roman" w:hAnsi="Times New Roman"/>
          <w:color w:val="000000" w:themeColor="text1"/>
          <w:sz w:val="16"/>
          <w:szCs w:val="16"/>
        </w:rPr>
        <w:softHyphen/>
        <w:t>лете Ил-2 особо отмечалось, что летный состав должен быть хоро</w:t>
      </w:r>
      <w:r w:rsidRPr="00640820">
        <w:rPr>
          <w:rFonts w:ascii="Times New Roman" w:hAnsi="Times New Roman"/>
          <w:color w:val="000000" w:themeColor="text1"/>
          <w:sz w:val="16"/>
          <w:szCs w:val="16"/>
        </w:rPr>
        <w:softHyphen/>
        <w:t>шо натренирован в ведении прицельного огня короткими очередя</w:t>
      </w:r>
      <w:r w:rsidRPr="00640820">
        <w:rPr>
          <w:rFonts w:ascii="Times New Roman" w:hAnsi="Times New Roman"/>
          <w:color w:val="000000" w:themeColor="text1"/>
          <w:sz w:val="16"/>
          <w:szCs w:val="16"/>
        </w:rPr>
        <w:softHyphen/>
        <w:t>ми (2—3 снаряда в очереди) по малоразмерным целям типа отдель</w:t>
      </w:r>
      <w:r w:rsidRPr="00640820">
        <w:rPr>
          <w:rFonts w:ascii="Times New Roman" w:hAnsi="Times New Roman"/>
          <w:color w:val="000000" w:themeColor="text1"/>
          <w:sz w:val="16"/>
          <w:szCs w:val="16"/>
        </w:rPr>
        <w:softHyphen/>
        <w:t>ный танк, автомашина и т.д. То есть для успешного применения Ил-2 с пушками ШФК-37 летчик-штурмовик должен был иметь отличную стрелковую и летную подготовку. Дело в том, что прицельная стрельба из пушек ШФК-37 на са</w:t>
      </w:r>
      <w:r w:rsidRPr="00640820">
        <w:rPr>
          <w:rFonts w:ascii="Times New Roman" w:hAnsi="Times New Roman"/>
          <w:color w:val="000000" w:themeColor="text1"/>
          <w:sz w:val="16"/>
          <w:szCs w:val="16"/>
        </w:rPr>
        <w:softHyphen/>
        <w:t>молете Ил-2 была в значительной степени затруднена вследствие сильной отдачи пушек при стрельбе и несинхронности в их работе. Последнее, из-за большого разноса пушек относительно центра масс самолета, а также вследствие недостаточной жесткости креп</w:t>
      </w:r>
      <w:r w:rsidRPr="00640820">
        <w:rPr>
          <w:rFonts w:ascii="Times New Roman" w:hAnsi="Times New Roman"/>
          <w:color w:val="000000" w:themeColor="text1"/>
          <w:sz w:val="16"/>
          <w:szCs w:val="16"/>
        </w:rPr>
        <w:softHyphen/>
        <w:t>ления пушечной установки, приводило к тому, что штурмовик при стрельбе испытывал сильные толчки, «клевки» и сбивался с линии прицеливания. А это, с учетом недостаточной продольной устой</w:t>
      </w:r>
      <w:r w:rsidRPr="00640820">
        <w:rPr>
          <w:rFonts w:ascii="Times New Roman" w:hAnsi="Times New Roman"/>
          <w:color w:val="000000" w:themeColor="text1"/>
          <w:sz w:val="16"/>
          <w:szCs w:val="16"/>
        </w:rPr>
        <w:softHyphen/>
        <w:t>чивости Ил-2, приводило к значительному рассеиванию снарядов и резкому снижению (примерно в 4 раза) точности стрельбы. Стрельба же из одной пушки была совершенно невозможной. Штурмовик сразу же разворачивался в сторону стреляющей пушки так, что ввести поправку в прицеливание не представлялось воз</w:t>
      </w:r>
      <w:r w:rsidRPr="00640820">
        <w:rPr>
          <w:rFonts w:ascii="Times New Roman" w:hAnsi="Times New Roman"/>
          <w:color w:val="000000" w:themeColor="text1"/>
          <w:sz w:val="16"/>
          <w:szCs w:val="16"/>
        </w:rPr>
        <w:softHyphen/>
        <w:t xml:space="preserve">можным. Попадание в цель в этом случае могло быть только </w:t>
      </w:r>
      <w:r w:rsidR="00E80D3A" w:rsidRPr="00640820">
        <w:rPr>
          <w:rFonts w:ascii="Times New Roman" w:hAnsi="Times New Roman"/>
          <w:color w:val="000000" w:themeColor="text1"/>
          <w:sz w:val="16"/>
          <w:szCs w:val="16"/>
        </w:rPr>
        <w:t>пер</w:t>
      </w:r>
      <w:r w:rsidR="00E80D3A" w:rsidRPr="00640820">
        <w:rPr>
          <w:rFonts w:ascii="Times New Roman" w:hAnsi="Times New Roman"/>
          <w:color w:val="000000" w:themeColor="text1"/>
          <w:sz w:val="16"/>
          <w:szCs w:val="16"/>
        </w:rPr>
        <w:softHyphen/>
        <w:t xml:space="preserve">вым снарядом. Тем не менее, </w:t>
      </w:r>
      <w:r w:rsidRPr="00640820">
        <w:rPr>
          <w:rFonts w:ascii="Times New Roman" w:hAnsi="Times New Roman"/>
          <w:color w:val="000000" w:themeColor="text1"/>
          <w:sz w:val="16"/>
          <w:szCs w:val="16"/>
        </w:rPr>
        <w:t>общий вывод по испытаниям состоял в том, что штурмовик Ил-2 с пушками ШФК-37 является эффективным средством борьбы с немецкими легкими и средними танками. Ре</w:t>
      </w:r>
      <w:r w:rsidRPr="00640820">
        <w:rPr>
          <w:rFonts w:ascii="Times New Roman" w:hAnsi="Times New Roman"/>
          <w:color w:val="000000" w:themeColor="text1"/>
          <w:sz w:val="16"/>
          <w:szCs w:val="16"/>
        </w:rPr>
        <w:softHyphen/>
        <w:t>комендовалось построить небольшую серию таких самолетов для проведения войсковых испытаний и сформировать в полках спе</w:t>
      </w:r>
      <w:r w:rsidRPr="00640820">
        <w:rPr>
          <w:rFonts w:ascii="Times New Roman" w:hAnsi="Times New Roman"/>
          <w:color w:val="000000" w:themeColor="text1"/>
          <w:sz w:val="16"/>
          <w:szCs w:val="16"/>
        </w:rPr>
        <w:softHyphen/>
        <w:t>циальные группы летчиков-штурмовиков, обученных прицельной стрельбе из крупнокалиберных пушек с Ил-2 по наземным целям и натренированных для борьбы с немецкими танками (10695).</w:t>
      </w:r>
    </w:p>
    <w:p w14:paraId="73B7B89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321AD3" w14:textId="77777777" w:rsidR="001B0AE4" w:rsidRPr="00640820" w:rsidRDefault="001B0AE4"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12 октября 1941 г. противо</w:t>
      </w:r>
      <w:r w:rsidRPr="00640820">
        <w:rPr>
          <w:color w:val="000000" w:themeColor="text1"/>
          <w:sz w:val="16"/>
          <w:szCs w:val="16"/>
        </w:rPr>
        <w:softHyphen/>
        <w:t>танковый Ил-2 зав. № 1871704 прошел Государственные летные испытания в НИИ ВВС, которые шли с 23 сентября.</w:t>
      </w:r>
    </w:p>
    <w:p w14:paraId="1F3C0F0F" w14:textId="77777777" w:rsidR="001B0AE4" w:rsidRPr="00640820" w:rsidRDefault="001B0AE4"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Ведущим инженером был назначен военинже</w:t>
      </w:r>
      <w:r w:rsidRPr="00640820">
        <w:rPr>
          <w:color w:val="000000" w:themeColor="text1"/>
          <w:sz w:val="16"/>
          <w:szCs w:val="16"/>
        </w:rPr>
        <w:softHyphen/>
        <w:t>нер 3-го ранга В. С. Холопов. Летал — летчик-ис</w:t>
      </w:r>
      <w:r w:rsidRPr="00640820">
        <w:rPr>
          <w:color w:val="000000" w:themeColor="text1"/>
          <w:sz w:val="16"/>
          <w:szCs w:val="16"/>
        </w:rPr>
        <w:softHyphen/>
        <w:t>пытатель майор И. С. Стадник. Всего было выполне</w:t>
      </w:r>
      <w:r w:rsidRPr="00640820">
        <w:rPr>
          <w:color w:val="000000" w:themeColor="text1"/>
          <w:sz w:val="16"/>
          <w:szCs w:val="16"/>
        </w:rPr>
        <w:softHyphen/>
        <w:t>но 24 полета с общим налетом 10 ч 06 мин. Отчет утвержден генералом И. Ф. Петровым 14 октября 1941 г.</w:t>
      </w:r>
    </w:p>
    <w:p w14:paraId="5E1A7655" w14:textId="77777777" w:rsidR="001B0AE4" w:rsidRPr="00640820" w:rsidRDefault="001B0AE4"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Летные данные Ил-2 с пушками Ш-37 заметно снизились. Самолет стал более инертным и слож</w:t>
      </w:r>
      <w:r w:rsidRPr="00640820">
        <w:rPr>
          <w:color w:val="000000" w:themeColor="text1"/>
          <w:sz w:val="16"/>
          <w:szCs w:val="16"/>
        </w:rPr>
        <w:softHyphen/>
        <w:t>ным в технике пилотирования, особенно на вира</w:t>
      </w:r>
      <w:r w:rsidRPr="00640820">
        <w:rPr>
          <w:color w:val="000000" w:themeColor="text1"/>
          <w:sz w:val="16"/>
          <w:szCs w:val="16"/>
        </w:rPr>
        <w:softHyphen/>
        <w:t>жах и разворотах на малой высоте. На больших скоростях ухудшилась маневренность. Отмечались значительные нагрузки на рули при выполнении маневров. Тем не менее результаты летных испы</w:t>
      </w:r>
      <w:r w:rsidRPr="00640820">
        <w:rPr>
          <w:color w:val="000000" w:themeColor="text1"/>
          <w:sz w:val="16"/>
          <w:szCs w:val="16"/>
        </w:rPr>
        <w:softHyphen/>
        <w:t>таний нового штурмовика были признаны в целом удовлетворительными.</w:t>
      </w:r>
    </w:p>
    <w:p w14:paraId="383A8A73" w14:textId="77777777" w:rsidR="001B0AE4" w:rsidRPr="00640820" w:rsidRDefault="001B0AE4"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При полетном весе 5864 кг максимальная ско</w:t>
      </w:r>
      <w:r w:rsidRPr="00640820">
        <w:rPr>
          <w:color w:val="000000" w:themeColor="text1"/>
          <w:sz w:val="16"/>
          <w:szCs w:val="16"/>
        </w:rPr>
        <w:softHyphen/>
        <w:t>рость у земли не превышала 373 км/ч, на высо</w:t>
      </w:r>
      <w:r w:rsidRPr="00640820">
        <w:rPr>
          <w:color w:val="000000" w:themeColor="text1"/>
          <w:sz w:val="16"/>
          <w:szCs w:val="16"/>
        </w:rPr>
        <w:softHyphen/>
        <w:t>те 2400 м — 409 км/ч. Время подъема на высоту 1000 м — 2,12 мин. Посадочная скорость увели</w:t>
      </w:r>
      <w:r w:rsidRPr="00640820">
        <w:rPr>
          <w:color w:val="000000" w:themeColor="text1"/>
          <w:sz w:val="16"/>
          <w:szCs w:val="16"/>
        </w:rPr>
        <w:softHyphen/>
        <w:t>чилась до 146 км/ч. Разбег составил 515 м. Макси</w:t>
      </w:r>
      <w:r w:rsidRPr="00640820">
        <w:rPr>
          <w:color w:val="000000" w:themeColor="text1"/>
          <w:sz w:val="16"/>
          <w:szCs w:val="16"/>
        </w:rPr>
        <w:softHyphen/>
        <w:t>мальная скоростная дальность полета (0,9</w:t>
      </w:r>
      <w:r w:rsidRPr="00640820">
        <w:rPr>
          <w:color w:val="000000" w:themeColor="text1"/>
          <w:sz w:val="16"/>
          <w:szCs w:val="16"/>
          <w:lang w:val="en-US"/>
        </w:rPr>
        <w:t>V</w:t>
      </w:r>
      <w:r w:rsidRPr="00640820">
        <w:rPr>
          <w:color w:val="000000" w:themeColor="text1"/>
          <w:sz w:val="16"/>
          <w:szCs w:val="16"/>
          <w:vertAlign w:val="subscript"/>
          <w:lang w:val="en-US"/>
        </w:rPr>
        <w:t>max</w:t>
      </w:r>
      <w:r w:rsidRPr="00640820">
        <w:rPr>
          <w:color w:val="000000" w:themeColor="text1"/>
          <w:sz w:val="16"/>
          <w:szCs w:val="16"/>
        </w:rPr>
        <w:t>) по</w:t>
      </w:r>
      <w:r w:rsidRPr="00640820">
        <w:rPr>
          <w:color w:val="000000" w:themeColor="text1"/>
          <w:sz w:val="16"/>
          <w:szCs w:val="16"/>
        </w:rPr>
        <w:softHyphen/>
        <w:t>низилась до 582 км.</w:t>
      </w:r>
    </w:p>
    <w:p w14:paraId="38DE2303" w14:textId="77777777" w:rsidR="001B0AE4" w:rsidRPr="00640820" w:rsidRDefault="001B0AE4"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Общий вывод состоял в том, что штурмовик Ил-2 с пушками Ш-37 является эффективным сред</w:t>
      </w:r>
      <w:r w:rsidRPr="00640820">
        <w:rPr>
          <w:color w:val="000000" w:themeColor="text1"/>
          <w:sz w:val="16"/>
          <w:szCs w:val="16"/>
        </w:rPr>
        <w:softHyphen/>
        <w:t>ством борьбы с немецкими легкими и средними танками. Рекомендовалось построить небольшую серию таких самолетов для проведения войско</w:t>
      </w:r>
      <w:r w:rsidRPr="00640820">
        <w:rPr>
          <w:color w:val="000000" w:themeColor="text1"/>
          <w:sz w:val="16"/>
          <w:szCs w:val="16"/>
        </w:rPr>
        <w:softHyphen/>
        <w:t>вых испытаний и сформировать в полках специ</w:t>
      </w:r>
      <w:r w:rsidRPr="00640820">
        <w:rPr>
          <w:color w:val="000000" w:themeColor="text1"/>
          <w:sz w:val="16"/>
          <w:szCs w:val="16"/>
        </w:rPr>
        <w:softHyphen/>
        <w:t>альные группы летчиков-штурмовиков, обученных прицельной стрельбе из крупнокалиберных пушек с Ил-2 по наземным целям и натренированных для борьбы с немецкими танками. Самолет Ил-2 зав. № 1861704 после замены стволов пушек предла</w:t>
      </w:r>
      <w:r w:rsidRPr="00640820">
        <w:rPr>
          <w:color w:val="000000" w:themeColor="text1"/>
          <w:sz w:val="16"/>
          <w:szCs w:val="16"/>
        </w:rPr>
        <w:softHyphen/>
        <w:t>галось отправить на фронт для отработки боевого применения (17500).</w:t>
      </w:r>
    </w:p>
    <w:p w14:paraId="3CF1FDA3" w14:textId="77777777" w:rsidR="001B0AE4" w:rsidRPr="00640820" w:rsidRDefault="001B0AE4"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A9C1DFF" w14:textId="77777777" w:rsidR="00E80D3A" w:rsidRPr="00640820" w:rsidRDefault="00E80D3A"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К 12 октября 1941 ТИС достиг летной готовности, но к этому времени ГКО уже принял решение об эвакуации заводов г. Москвы и Московской области на вос</w:t>
      </w:r>
      <w:r w:rsidRPr="00640820">
        <w:rPr>
          <w:rFonts w:ascii="Times New Roman" w:cs="Times New Roman"/>
          <w:color w:val="000000" w:themeColor="text1"/>
          <w:spacing w:val="0"/>
        </w:rPr>
        <w:softHyphen/>
        <w:t>ток и опытные работы отложили до луч</w:t>
      </w:r>
      <w:r w:rsidRPr="00640820">
        <w:rPr>
          <w:rFonts w:ascii="Times New Roman" w:cs="Times New Roman"/>
          <w:color w:val="000000" w:themeColor="text1"/>
          <w:spacing w:val="0"/>
        </w:rPr>
        <w:softHyphen/>
        <w:t>ших времен. На следующий день ТИС (А) перелетел в Арзамас, а 18 октября - в Казань, куда перебрался ЛИИ НКАП. Начальник ЛИИ профес</w:t>
      </w:r>
      <w:r w:rsidRPr="00640820">
        <w:rPr>
          <w:rFonts w:ascii="Times New Roman" w:cs="Times New Roman"/>
          <w:color w:val="000000" w:themeColor="text1"/>
          <w:spacing w:val="0"/>
        </w:rPr>
        <w:softHyphen/>
        <w:t>сор А.В. Чесалов решил продол</w:t>
      </w:r>
      <w:r w:rsidRPr="00640820">
        <w:rPr>
          <w:rFonts w:ascii="Times New Roman" w:cs="Times New Roman"/>
          <w:color w:val="000000" w:themeColor="text1"/>
          <w:spacing w:val="0"/>
        </w:rPr>
        <w:softHyphen/>
        <w:t>жить совместные заводские ис</w:t>
      </w:r>
      <w:r w:rsidRPr="00640820">
        <w:rPr>
          <w:rFonts w:ascii="Times New Roman" w:cs="Times New Roman"/>
          <w:color w:val="000000" w:themeColor="text1"/>
          <w:spacing w:val="0"/>
        </w:rPr>
        <w:softHyphen/>
        <w:t>пытания в Новосибирске, где на аэродроме Толмачево организо</w:t>
      </w:r>
      <w:r w:rsidRPr="00640820">
        <w:rPr>
          <w:rFonts w:ascii="Times New Roman" w:cs="Times New Roman"/>
          <w:color w:val="000000" w:themeColor="text1"/>
          <w:spacing w:val="0"/>
        </w:rPr>
        <w:softHyphen/>
        <w:t>вывался филиал института, и куда отправили завод №51 и ОКБ По</w:t>
      </w:r>
      <w:r w:rsidRPr="00640820">
        <w:rPr>
          <w:rFonts w:ascii="Times New Roman" w:cs="Times New Roman"/>
          <w:color w:val="000000" w:themeColor="text1"/>
          <w:spacing w:val="0"/>
        </w:rPr>
        <w:softHyphen/>
        <w:t>ликарпова. Самолет разобрали и отправили к месту назначения по железной дороге.</w:t>
      </w:r>
    </w:p>
    <w:p w14:paraId="423799ED" w14:textId="77777777" w:rsidR="00E80D3A" w:rsidRPr="00640820" w:rsidRDefault="00E80D3A"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В связи с эвакуацией были свернуты все работы по второ</w:t>
      </w:r>
      <w:r w:rsidRPr="00640820">
        <w:rPr>
          <w:rFonts w:ascii="Times New Roman" w:cs="Times New Roman"/>
          <w:color w:val="000000" w:themeColor="text1"/>
          <w:spacing w:val="0"/>
        </w:rPr>
        <w:softHyphen/>
        <w:t>му и третьему экземплярам само</w:t>
      </w:r>
      <w:r w:rsidRPr="00640820">
        <w:rPr>
          <w:rFonts w:ascii="Times New Roman" w:cs="Times New Roman"/>
          <w:color w:val="000000" w:themeColor="text1"/>
          <w:spacing w:val="0"/>
        </w:rPr>
        <w:softHyphen/>
        <w:t>лета ТИС, хотя для них уже было изготовлено 50-60% деталей, закончены чертежи на новые варианты носовой и центропланной уста</w:t>
      </w:r>
      <w:r w:rsidRPr="00640820">
        <w:rPr>
          <w:rFonts w:ascii="Times New Roman" w:cs="Times New Roman"/>
          <w:color w:val="000000" w:themeColor="text1"/>
          <w:spacing w:val="0"/>
        </w:rPr>
        <w:softHyphen/>
        <w:t>новок пушек ШВАК (15755).</w:t>
      </w:r>
    </w:p>
    <w:p w14:paraId="6A18EE37" w14:textId="77777777" w:rsidR="00E80D3A" w:rsidRPr="00640820" w:rsidRDefault="00E80D3A" w:rsidP="00640820">
      <w:pPr>
        <w:pStyle w:val="27"/>
        <w:shd w:val="clear" w:color="auto" w:fill="auto"/>
        <w:spacing w:after="0" w:line="240" w:lineRule="auto"/>
        <w:ind w:firstLine="0"/>
        <w:rPr>
          <w:rFonts w:ascii="Times New Roman" w:cs="Times New Roman"/>
          <w:color w:val="000000" w:themeColor="text1"/>
          <w:spacing w:val="0"/>
        </w:rPr>
      </w:pPr>
    </w:p>
    <w:p w14:paraId="59779B01" w14:textId="77777777" w:rsidR="002028EF" w:rsidRPr="00640820" w:rsidRDefault="002028EF"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К 12 октября 1941 г. пушка 11П установили на ЛаГГ-3, изготовлен</w:t>
      </w:r>
      <w:r w:rsidRPr="00640820">
        <w:rPr>
          <w:rFonts w:ascii="Times New Roman" w:hAnsi="Times New Roman" w:cs="Times New Roman"/>
          <w:color w:val="000000" w:themeColor="text1"/>
          <w:sz w:val="16"/>
          <w:szCs w:val="16"/>
        </w:rPr>
        <w:softHyphen/>
        <w:t>ный на заводе № 21, однако начало испытаний затянулось до февраля 1942 г. (19106)</w:t>
      </w:r>
    </w:p>
    <w:p w14:paraId="5C826C33" w14:textId="77777777" w:rsidR="002028EF" w:rsidRPr="00640820" w:rsidRDefault="002028EF"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p>
    <w:p w14:paraId="127DBD84" w14:textId="77777777" w:rsidR="004F4F88" w:rsidRPr="00640820" w:rsidRDefault="004F4F88"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К 12 октября 1941 ТИС был вновь готов к полетам, но к этому времени ГКО уже принял решение об эвакуации заводов г. Москвы и Московской обла</w:t>
      </w:r>
      <w:r w:rsidRPr="00640820">
        <w:rPr>
          <w:color w:val="000000" w:themeColor="text1"/>
          <w:sz w:val="16"/>
          <w:szCs w:val="16"/>
        </w:rPr>
        <w:softHyphen/>
        <w:t>сти на восток, и опытные работы отложили до луч</w:t>
      </w:r>
      <w:r w:rsidRPr="00640820">
        <w:rPr>
          <w:color w:val="000000" w:themeColor="text1"/>
          <w:sz w:val="16"/>
          <w:szCs w:val="16"/>
        </w:rPr>
        <w:softHyphen/>
        <w:t>ших времен. На следующий день ТИС (А) перелетел в Арзамас, а 18 октября — в Казань, куда перебрал</w:t>
      </w:r>
      <w:r w:rsidRPr="00640820">
        <w:rPr>
          <w:color w:val="000000" w:themeColor="text1"/>
          <w:sz w:val="16"/>
          <w:szCs w:val="16"/>
        </w:rPr>
        <w:softHyphen/>
        <w:t>ся ЛИИ НКАП. Начальник ЛИИ профессор А. В. Че- салов решил продолжить совместные заводские испытания в Новосибирске, где на аэродроме Тол- мачево организовывался филиал института и куда отправили завод № 51 и ОКБ Поликарпова. Само</w:t>
      </w:r>
      <w:r w:rsidRPr="00640820">
        <w:rPr>
          <w:color w:val="000000" w:themeColor="text1"/>
          <w:sz w:val="16"/>
          <w:szCs w:val="16"/>
        </w:rPr>
        <w:softHyphen/>
        <w:t>лет разобрали и отправили к месту назначения по железной дороге (17500).</w:t>
      </w:r>
    </w:p>
    <w:p w14:paraId="7CDC3463" w14:textId="77777777" w:rsidR="004F4F88" w:rsidRPr="00640820" w:rsidRDefault="004F4F88" w:rsidP="00640820">
      <w:pPr>
        <w:spacing w:after="0" w:line="240" w:lineRule="auto"/>
        <w:jc w:val="both"/>
        <w:rPr>
          <w:rFonts w:ascii="Times New Roman" w:eastAsia="Times New Roman" w:hAnsi="Times New Roman"/>
          <w:color w:val="000000" w:themeColor="text1"/>
          <w:sz w:val="16"/>
          <w:szCs w:val="16"/>
          <w:lang w:eastAsia="ru-RU"/>
        </w:rPr>
      </w:pPr>
    </w:p>
    <w:p w14:paraId="26D2A6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октября 1941 года началась эвакуация завода № 154 из Воронежа и первый эшелон выбыл с территории завода (9502).</w:t>
      </w:r>
    </w:p>
    <w:p w14:paraId="7A3A78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01B7C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октября 1941 было получено правительственное решение об эвакуации оставшейся части оборудования и его кадров завода № 22 (5764,38).</w:t>
      </w:r>
    </w:p>
    <w:p w14:paraId="298FEA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11631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октября 1941 была утверждена инструкция по использованию белой меловой краски. Ею полностью покрывались все верхние и боковые поверхности, за исключением опознавательных знаков. В таком виде, согласно инструкции, самолет должен был летать до первых проталин. Загрязненные и осыпавшиеся места следовало периодически подновлять. При появлении на аэродроме проталин краску нужно было частично смыть, а когда снега оставалась совсем мало, белое покрытие полностью удалялось теплой водой или раствором соды. В строевых частях нанесение и удаление белой краски осуществлялось силами технического состава, как и переход на зимнюю и летнюю форму одежды, по приказу вышестоящего командования (3092).</w:t>
      </w:r>
    </w:p>
    <w:p w14:paraId="1B8383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4F5FFB2" w14:textId="77777777" w:rsidR="001071C3" w:rsidRPr="00640820" w:rsidRDefault="001071C3" w:rsidP="00640820">
      <w:pPr>
        <w:shd w:val="clear" w:color="auto" w:fill="FFFFFF"/>
        <w:spacing w:after="0" w:line="240" w:lineRule="auto"/>
        <w:jc w:val="both"/>
        <w:rPr>
          <w:rStyle w:val="600"/>
          <w:rFonts w:ascii="Times New Roman" w:hAnsi="Times New Roman" w:cs="Times New Roman"/>
          <w:color w:val="0070C0"/>
          <w:sz w:val="16"/>
          <w:szCs w:val="16"/>
        </w:rPr>
      </w:pPr>
      <w:r w:rsidRPr="00640820">
        <w:rPr>
          <w:rStyle w:val="600"/>
          <w:rFonts w:ascii="Times New Roman" w:hAnsi="Times New Roman" w:cs="Times New Roman"/>
          <w:color w:val="0070C0"/>
          <w:sz w:val="16"/>
          <w:szCs w:val="16"/>
        </w:rPr>
        <w:t>12 октября 1941 г. была утверждена инструкция по зимней окраска самолетов, согласно которой краской надлежало полностью покрыть все верхние и боковые поверхности, за исключением опознавательных знаков. Загрязненные и осыпавшиеся места следо</w:t>
      </w:r>
      <w:r w:rsidRPr="00640820">
        <w:rPr>
          <w:rStyle w:val="600"/>
          <w:rFonts w:ascii="Times New Roman" w:hAnsi="Times New Roman" w:cs="Times New Roman"/>
          <w:color w:val="0070C0"/>
          <w:sz w:val="16"/>
          <w:szCs w:val="16"/>
        </w:rPr>
        <w:softHyphen/>
        <w:t>вало периодически подновлять. Наносилась краска в 2 слоя пульверизатором или в 1-2 слоя кистью прямо на летний камуфляж верхних и боковых поверхностей. Нанесен</w:t>
      </w:r>
      <w:r w:rsidRPr="00640820">
        <w:rPr>
          <w:rStyle w:val="600"/>
          <w:rFonts w:ascii="Times New Roman" w:hAnsi="Times New Roman" w:cs="Times New Roman"/>
          <w:color w:val="0070C0"/>
          <w:sz w:val="16"/>
          <w:szCs w:val="16"/>
        </w:rPr>
        <w:softHyphen/>
        <w:t>ный слой краски должен был быть ровным, без шероховатостей и через него должно было «слегка просвечиваться основное лакокрасочное покрытие». Для окраски одного истребителя требовалось около 6 кг пасты МК-7, Ил-2 - 9 кг, Ил-4 или СБ - 15 кг, Ли-2 - 23 кг, У-2 - 8 кг, Пе-8 - 35 кг). Кроме меловой краски МК-7 имелись ее модифика</w:t>
      </w:r>
      <w:r w:rsidRPr="00640820">
        <w:rPr>
          <w:rStyle w:val="600"/>
          <w:rFonts w:ascii="Times New Roman" w:hAnsi="Times New Roman" w:cs="Times New Roman"/>
          <w:color w:val="0070C0"/>
          <w:sz w:val="16"/>
          <w:szCs w:val="16"/>
        </w:rPr>
        <w:softHyphen/>
        <w:t>ции МК-7Ш на основе гипса и МК-7Ф (мел, разбавленный водой со спиртом и формали</w:t>
      </w:r>
      <w:r w:rsidRPr="00640820">
        <w:rPr>
          <w:rStyle w:val="600"/>
          <w:rFonts w:ascii="Times New Roman" w:hAnsi="Times New Roman" w:cs="Times New Roman"/>
          <w:color w:val="0070C0"/>
          <w:sz w:val="16"/>
          <w:szCs w:val="16"/>
        </w:rPr>
        <w:softHyphen/>
        <w:t>ном). Из-за дефицитности мела они были разработаны и в январе 1942 г. Проходили испытания и другие белые смываемые крас</w:t>
      </w:r>
      <w:r w:rsidRPr="00640820">
        <w:rPr>
          <w:rStyle w:val="600"/>
          <w:rFonts w:ascii="Times New Roman" w:hAnsi="Times New Roman" w:cs="Times New Roman"/>
          <w:color w:val="0070C0"/>
          <w:sz w:val="16"/>
          <w:szCs w:val="16"/>
        </w:rPr>
        <w:softHyphen/>
        <w:t>ки: С-1, С-4а, Б, АБ-1, использовавшие в качестве белого пигмента алебастр, известь или гипс. Тем не менее, основной осталась МК-7» (19888).</w:t>
      </w:r>
    </w:p>
    <w:p w14:paraId="6C5F13D9" w14:textId="77777777" w:rsidR="001071C3" w:rsidRPr="00640820" w:rsidRDefault="001071C3" w:rsidP="00640820">
      <w:pPr>
        <w:shd w:val="clear" w:color="auto" w:fill="FFFFFF"/>
        <w:spacing w:after="0" w:line="240" w:lineRule="auto"/>
        <w:jc w:val="both"/>
        <w:rPr>
          <w:rFonts w:ascii="Times New Roman" w:hAnsi="Times New Roman"/>
          <w:color w:val="0070C0"/>
          <w:sz w:val="16"/>
          <w:szCs w:val="16"/>
        </w:rPr>
      </w:pPr>
    </w:p>
    <w:p w14:paraId="1F46E05D"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7D1A1F6E"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E34C2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октября 1941 г. вышло решение правительства, согласно которомут в Новосибирск отправили оставшуюся часть оборудования завода №188, оборудование завода №524 было влито в завод №188, и он стал функционировать в Новосибирске как новое предприятие, производившее патроны и монтировавшее к ним пули.</w:t>
      </w:r>
    </w:p>
    <w:p w14:paraId="79121A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развития основного производства, завод №188 в январе 1942 г. был привлечен к изготовлению деталей для снаряда М-8 для «катюш». Вместе с другими предприятиями области завод участвовал в обеспечении производства фанат. На нем было начато и производство гремучей ртути для снаряжения капсюлей-детонаторов. Объем валовой продукции достиг 176.064 тыс. руб., увеличившись за год в 3,8 раза.</w:t>
      </w:r>
    </w:p>
    <w:p w14:paraId="46902F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Однако потребности фронта непрерывно росли, а задания ГКО по производству патронов заводом не выполнялись. В связи с этим была предпринята такая мера, как замена директора. Вместо Штапина был назначен Львов. Бюро обкома ВКП(б) 24 марта 1943 г. в помощь новому директору наметило меры по преодолению отставания. Коллектив трудящихся завода к началу 1944 г. увеличился до 9741 человека, объем валовой продукции ориентировались увеличить в 1944 г. до 200 млн руб. Крупный завод производил миллионы так необходимых для фронта патронов (11511).</w:t>
      </w:r>
    </w:p>
    <w:p w14:paraId="248CF3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E745D0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октября 1941 года в последнем извещении об отправке Т-34 с завода военинженер 2-го ранга Д. Козырев сообщал в ГАББТУ КА:</w:t>
      </w:r>
    </w:p>
    <w:p w14:paraId="61216CB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«Извещение на отправленные танки Т-34:</w:t>
      </w:r>
    </w:p>
    <w:p w14:paraId="5A53C75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5/Х-41 г. Владимир 22танка: 9/Х-41 г. Кубинка 22 танка:</w:t>
      </w:r>
    </w:p>
    <w:p w14:paraId="5B14782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12/Х-г. Харьков 19 танков.</w:t>
      </w:r>
    </w:p>
    <w:p w14:paraId="3B51640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Последние 19 танков отданы Начальнику АБТВ ЮЗФ по приказанию Заместителя Командующего ЮЗФ генерал-майора тов. Темручи.</w:t>
      </w:r>
    </w:p>
    <w:p w14:paraId="3C782D4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Танков на заводе больше нет. Производство приостановлено, завод эвакуировался».</w:t>
      </w:r>
    </w:p>
    <w:p w14:paraId="696EAFF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Таким образом, за 1941 год завод № 183 в Харькове изготовил и передал Красной Армии 1556 танков Т-34.</w:t>
      </w:r>
    </w:p>
    <w:p w14:paraId="5662BF5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заключение главы о производстве тридцатьчетверок в Харькове в 1941 году, небезынтересно немного рассказать о проектировании на базе Т-34 других боевых машин-тягачей и самоходных установок, тем более что об этом мало что известно (12217).</w:t>
      </w:r>
    </w:p>
    <w:p w14:paraId="2553A0E3"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144FD8FE" w14:textId="77777777" w:rsidR="004F4F88" w:rsidRPr="00640820" w:rsidRDefault="004F4F8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12 октября 1941 г. районный инженер ГАБТУ КА на заводе № 183 военинженер 2 ранга Д.М. Козырев в отправленном своему начальству в БТУ ГАБТУ КА письме сообщил, что: </w:t>
      </w:r>
    </w:p>
    <w:p w14:paraId="56444869" w14:textId="77777777" w:rsidR="004F4F88" w:rsidRPr="00640820" w:rsidRDefault="004F4F88"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«Последние 19 танков отданы Начальнику АБТВ ЮЗФ по приказанию Заместителя Командующего ЮЗФ Генерал-Майора тов. Тамручи. </w:t>
      </w:r>
    </w:p>
    <w:p w14:paraId="149AD092" w14:textId="77777777" w:rsidR="004F4F88" w:rsidRPr="00640820" w:rsidRDefault="004F4F88"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Танков на заводе больше нет. </w:t>
      </w:r>
    </w:p>
    <w:p w14:paraId="12401E26" w14:textId="77777777" w:rsidR="004F4F88" w:rsidRPr="00640820" w:rsidRDefault="004F4F88" w:rsidP="00640820">
      <w:pPr>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 приостановлено. Завод эвакуировался».</w:t>
      </w:r>
      <w:r w:rsidRPr="00640820">
        <w:rPr>
          <w:rFonts w:ascii="Times New Roman" w:hAnsi="Times New Roman"/>
          <w:color w:val="000000" w:themeColor="text1"/>
          <w:sz w:val="16"/>
          <w:szCs w:val="16"/>
        </w:rPr>
        <w:t xml:space="preserve"> </w:t>
      </w:r>
    </w:p>
    <w:p w14:paraId="40D1589E" w14:textId="77777777" w:rsidR="004F4F88" w:rsidRPr="00640820" w:rsidRDefault="004F4F88" w:rsidP="00640820">
      <w:pPr>
        <w:pStyle w:val="ae"/>
        <w:spacing w:before="0" w:after="0"/>
        <w:jc w:val="both"/>
        <w:rPr>
          <w:bCs/>
          <w:color w:val="000000" w:themeColor="text1"/>
          <w:sz w:val="16"/>
          <w:szCs w:val="16"/>
        </w:rPr>
      </w:pPr>
      <w:r w:rsidRPr="00640820">
        <w:rPr>
          <w:bCs/>
          <w:color w:val="000000" w:themeColor="text1"/>
          <w:sz w:val="16"/>
          <w:szCs w:val="16"/>
        </w:rPr>
        <w:t>[ЦАМО. Ф. 38. Оп. 11355. Д. 323. Л. 251].</w:t>
      </w:r>
    </w:p>
    <w:p w14:paraId="3A4183CF" w14:textId="77777777" w:rsidR="004F4F88" w:rsidRPr="00640820" w:rsidRDefault="004F4F8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извещениях, среди отправленных с завода № 183 в сентябре – октябре 1941 г. танков Т-34, танка под номером 311-18-3 не значится. На данный момент достоверно неизвестно, но скорее всего, эту, более чем на 200 % выполнившую возлагавшуюся не неё миссию, опытную машину при эвакуации завода оставили в Харькове. Принимал ли участие этот танк в защите родного для него города авторам неизвестно </w:t>
      </w:r>
      <w:r w:rsidRPr="00640820">
        <w:rPr>
          <w:rFonts w:ascii="Times New Roman" w:hAnsi="Times New Roman"/>
          <w:bCs/>
          <w:color w:val="000000" w:themeColor="text1"/>
          <w:sz w:val="16"/>
          <w:szCs w:val="16"/>
        </w:rPr>
        <w:t>(17625).</w:t>
      </w:r>
    </w:p>
    <w:p w14:paraId="7E6A70F1" w14:textId="77777777" w:rsidR="004F4F88" w:rsidRPr="00640820" w:rsidRDefault="004F4F88" w:rsidP="00640820">
      <w:pPr>
        <w:spacing w:after="0" w:line="240" w:lineRule="auto"/>
        <w:jc w:val="both"/>
        <w:rPr>
          <w:rFonts w:ascii="Times New Roman" w:hAnsi="Times New Roman"/>
          <w:color w:val="000000" w:themeColor="text1"/>
          <w:sz w:val="16"/>
          <w:szCs w:val="16"/>
        </w:rPr>
      </w:pPr>
    </w:p>
    <w:p w14:paraId="547BB8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октября и 1 ноября 1941 г. К-52 и К-51, строившиеся на заводе 194, после окончания монтажных и наладочных работ соответственно были переданы во временную эксплуатацию без выполнения ходовых испытаний. К-51 в декабре 1941 г. даже вышла в боевой поход с расчетом на воз</w:t>
      </w:r>
      <w:r w:rsidRPr="00640820">
        <w:rPr>
          <w:rFonts w:ascii="Times New Roman" w:hAnsi="Times New Roman"/>
          <w:color w:val="000000" w:themeColor="text1"/>
          <w:sz w:val="16"/>
          <w:szCs w:val="16"/>
        </w:rPr>
        <w:softHyphen/>
        <w:t>вращение весной 1942 г., но при движении во льдах получила по</w:t>
      </w:r>
      <w:r w:rsidRPr="00640820">
        <w:rPr>
          <w:rFonts w:ascii="Times New Roman" w:hAnsi="Times New Roman"/>
          <w:color w:val="000000" w:themeColor="text1"/>
          <w:sz w:val="16"/>
          <w:szCs w:val="16"/>
        </w:rPr>
        <w:softHyphen/>
        <w:t>вреждение легкого корпуса, артвооружения и некоторых устройств, и ее пришлось возвратить от о. Лавенсари 24 апреля 1942 г. К-51 на Неве получила попадание снаряда среднего калибра, разрывом которого был пробит прочный корпус. Окончательный ввод ее в строй затянулся до ноября 1943 г. В октябре 1942 г. и июле 1943 г. были сданы К-52 и К-53, работы на которых также задерживались из-за артобстрелов и рассредоточения лодок на Неве (3898).</w:t>
      </w:r>
    </w:p>
    <w:p w14:paraId="29527C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C77CBBF" w14:textId="77777777" w:rsidR="004F4F88" w:rsidRPr="00640820" w:rsidRDefault="004F4F8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12 октября 1941 г. начальник Можайского боевого участка выдвинул отдельную танковую роту НИП ГАБТУ из района Можайска в направлении Вереи, от которой противник находился уже в 12 км. Рота вошла в состав сводного отряда под командованием начальника штаба 36-го укрепрайона полковника И.В. Кляро. 13 октября 1941 г. на рубеже Пафнутовка – Волченки (4 км юго-восточнее Вереи) экипаж танка А-20 в составе отряда участвовал в бою. </w:t>
      </w:r>
    </w:p>
    <w:p w14:paraId="7AD0518C" w14:textId="77777777" w:rsidR="004F4F88" w:rsidRPr="00640820" w:rsidRDefault="004F4F8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Во второй половине октября экипаж танка А-20 в составе отдельной танковой роты участвует в боевых действиях в районе восточнее Можайска, где к 26 – 27 октября 1941 г. было остановлено наступление противника на рубеже западнее и юго-западнее Кубинки. </w:t>
      </w:r>
    </w:p>
    <w:p w14:paraId="24D56F08" w14:textId="77777777" w:rsidR="004F4F88" w:rsidRPr="00640820" w:rsidRDefault="004F4F8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После двухнедельной передышки, 15 ноября 1941 г., пополнив свои силы, немецко-фашистские войска начали новое наступление на Москву. И снова танк А-20 участвует в боевых действиях на ближних подступах к Москве. Но уже не в составе отдельной танковой роты, а в составе 22-го танкового полка (ТП) 22-й танковой бригады (ТБр), в которую он из роты Семенова был передан во второй половине дня 28 ноября 1941 г., после того как бригада была выведена в резерв командующего 5-й армии на пополнение и доукомплектование. </w:t>
      </w:r>
    </w:p>
    <w:p w14:paraId="2B115375" w14:textId="77777777" w:rsidR="004F4F88" w:rsidRPr="00640820" w:rsidRDefault="004F4F8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 21 часу 28 ноября 1941 г. танк А-20 вместе с еще четырьмя танками Т-34, двумя танками Т-30 и танком Т-50 находился в лесу в 1 км южнее Павловской Слободы (30 км на западе от Москвы). </w:t>
      </w:r>
    </w:p>
    <w:p w14:paraId="52BB8944" w14:textId="77777777" w:rsidR="004F4F88" w:rsidRPr="00640820" w:rsidRDefault="004F4F8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Весь день 29 ноября 1941 г. экипаж танка А-20, как и основная часть личного состава подразделений 22-й ТБр, занимался техническим обслуживанием машины и чисткой личного оружия. </w:t>
      </w:r>
    </w:p>
    <w:p w14:paraId="7F8DE6C4" w14:textId="77777777" w:rsidR="004F4F88" w:rsidRPr="00640820" w:rsidRDefault="004F4F8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Чтобы не допустить противника в район Павловской Слободы, 29 ноября 1941 г. на базе 22-й ТБр была создана подвижная группа под командованием подполковника И.П. Ермакова – командира 22-й ТБр. В состав группы также вошли остатки 36-го мотоциклетного полка (МЦП), 18-й ТБр и 2-го стрелкового батальона 601-го мотострелкового полка (МСП). </w:t>
      </w:r>
    </w:p>
    <w:p w14:paraId="01DAF115" w14:textId="77777777" w:rsidR="004F4F88" w:rsidRPr="00640820" w:rsidRDefault="004F4F8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9 часов 30 ноября 1941 г. начальник штаба 22-й ТБр майор Н.П. Константинов в боевом донесении № 13, отправленном начальнику автобронетанкового отдела 5-й армии полковнику Д.И. Заеву, в частности, сообщил: </w:t>
      </w:r>
    </w:p>
    <w:p w14:paraId="475F5A1E" w14:textId="77777777" w:rsidR="004F4F88" w:rsidRPr="00640820" w:rsidRDefault="004F4F88"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«1. Части подвижной группы в составе: 22 ТП с приданными танками 18 ТП, 18 МСПБ, 36 МЦП, 2/601 МСП, 22 разведрота, 18 разведрота, 22 зен. див. – сформированы и сосредоточены в р-не Покровское, Юрьево, Павловская Слобода. </w:t>
      </w:r>
    </w:p>
    <w:p w14:paraId="3011002D" w14:textId="77777777" w:rsidR="004F4F88" w:rsidRPr="00640820" w:rsidRDefault="004F4F88"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&lt;...&gt;</w:t>
      </w:r>
    </w:p>
    <w:p w14:paraId="17408F93" w14:textId="77777777" w:rsidR="004F4F88" w:rsidRPr="00640820" w:rsidRDefault="004F4F88"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 Части держатся в готовности действовать в направлениях: </w:t>
      </w:r>
    </w:p>
    <w:p w14:paraId="22D0A9FC" w14:textId="77777777" w:rsidR="004F4F88" w:rsidRPr="00640820" w:rsidRDefault="004F4F88"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1) Рождествено – Снегири, </w:t>
      </w:r>
    </w:p>
    <w:p w14:paraId="3A15E923" w14:textId="77777777" w:rsidR="004F4F88" w:rsidRPr="00640820" w:rsidRDefault="004F4F88"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2) Рождествено – Крюково, </w:t>
      </w:r>
    </w:p>
    <w:p w14:paraId="759DAD37" w14:textId="77777777" w:rsidR="004F4F88" w:rsidRPr="00640820" w:rsidRDefault="004F4F88"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3) Покровское – Борки. </w:t>
      </w:r>
    </w:p>
    <w:p w14:paraId="3D0B1E74" w14:textId="77777777" w:rsidR="004F4F88" w:rsidRPr="00640820" w:rsidRDefault="004F4F88"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4) Покровское – Козьмино </w:t>
      </w:r>
    </w:p>
    <w:p w14:paraId="6E9C0B33" w14:textId="77777777" w:rsidR="004F4F88" w:rsidRPr="00640820" w:rsidRDefault="004F4F88" w:rsidP="00640820">
      <w:pPr>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10. Ведется разведка в вероятных направлениях действия бригады».</w:t>
      </w:r>
      <w:r w:rsidRPr="00640820">
        <w:rPr>
          <w:rFonts w:ascii="Times New Roman" w:hAnsi="Times New Roman"/>
          <w:color w:val="000000" w:themeColor="text1"/>
          <w:sz w:val="16"/>
          <w:szCs w:val="16"/>
        </w:rPr>
        <w:t xml:space="preserve"> </w:t>
      </w:r>
    </w:p>
    <w:p w14:paraId="7366932B" w14:textId="77777777" w:rsidR="004F4F88" w:rsidRPr="00640820" w:rsidRDefault="004F4F88" w:rsidP="00640820">
      <w:pPr>
        <w:pStyle w:val="ae"/>
        <w:spacing w:before="0" w:after="0"/>
        <w:jc w:val="both"/>
        <w:rPr>
          <w:color w:val="000000" w:themeColor="text1"/>
          <w:sz w:val="16"/>
          <w:szCs w:val="16"/>
        </w:rPr>
      </w:pPr>
      <w:r w:rsidRPr="00640820">
        <w:rPr>
          <w:bCs/>
          <w:color w:val="000000" w:themeColor="text1"/>
          <w:sz w:val="16"/>
          <w:szCs w:val="16"/>
        </w:rPr>
        <w:t xml:space="preserve">[ЦАМО. Ф. 326. Оп. 5068. Д. 4. Л. 262] </w:t>
      </w:r>
    </w:p>
    <w:p w14:paraId="4128CB56" w14:textId="77777777" w:rsidR="004F4F88" w:rsidRPr="00640820" w:rsidRDefault="009E4004" w:rsidP="00640820">
      <w:pPr>
        <w:spacing w:after="0" w:line="240" w:lineRule="auto"/>
        <w:jc w:val="both"/>
        <w:rPr>
          <w:rFonts w:ascii="Times New Roman" w:hAnsi="Times New Roman"/>
          <w:color w:val="000000" w:themeColor="text1"/>
          <w:sz w:val="16"/>
          <w:szCs w:val="16"/>
        </w:rPr>
      </w:pPr>
      <w:hyperlink r:id="rId40" w:tgtFrame="_blank" w:history="1"/>
      <w:r w:rsidR="004F4F88" w:rsidRPr="00640820">
        <w:rPr>
          <w:rFonts w:ascii="Times New Roman" w:hAnsi="Times New Roman"/>
          <w:color w:val="000000" w:themeColor="text1"/>
          <w:sz w:val="16"/>
          <w:szCs w:val="16"/>
        </w:rPr>
        <w:t xml:space="preserve">К 16 часам 30 ноября 1941 г. 22-й ТП был пополнен двумя танками Т-34, четырьмя танками Т-60, двумя танками Т-26 и бронеавтомобилем. Все танки полка, включая и танк А-20, к исходу дня были дозаправлены ГСМ и пополнены до норм боеприпасами. </w:t>
      </w:r>
    </w:p>
    <w:p w14:paraId="550D7FAD" w14:textId="77777777" w:rsidR="004F4F88" w:rsidRPr="00640820" w:rsidRDefault="004F4F8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утра 1 декабря 1941 г. немцы на флангах обороны 108-й стрелковой дивизии 5-й армии начали наступление и, прорвав оборону Красной Армии, к вечеру заняли: Борисково, Борки, Славково, Писково, Воронино, Абушково. Подвижной группе, в составе которой находился и танк А-20, было приказано восстановить положение. Ночная атака, проведенная частями подвижной группы, увенчалась успехом. Были заняты: Покровское, Воронино, Абушково. </w:t>
      </w:r>
    </w:p>
    <w:p w14:paraId="01E7FD19" w14:textId="77777777" w:rsidR="004F4F88" w:rsidRPr="00640820" w:rsidRDefault="004F4F8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12 часов 2 декабря 1941 г. гитлеровцы силою до двух полков пехоты с танками атаковали: Покровское, Абушково, Юрьево и Козенки. В течении всей ночи шел упорный бой. Благодаря превосходству сил, ценой больших потерь немцам удалось занять эти населенные пункты. За сутки боевых действий в 22-й танковой бригаде безвозвратно были потеряны два танка Т-60 и танк Т-50 (все сгорели). Кроме этого, были подбиты танки Т-26 и Т-34. </w:t>
      </w:r>
    </w:p>
    <w:p w14:paraId="3BE5551D" w14:textId="77777777" w:rsidR="004F4F88" w:rsidRPr="00640820" w:rsidRDefault="004F4F8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 декабря 1941 г. танк А-20 в составе 22-й ТБр, приданной 108-й стрелковой дивизии, участвовал в наступлении в районе западнее Павловской Слободы. В течение дня боевых действий противнику удалось подбить три танка, одним из которых был танк А-20. </w:t>
      </w:r>
    </w:p>
    <w:p w14:paraId="67FF19BE" w14:textId="77777777" w:rsidR="004F4F88" w:rsidRPr="00640820" w:rsidRDefault="004F4F8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докладной записке от 3 декабря 1941 г. своему непосредственному начальнику капитану М. Криволапову старший помощник начальника 1-го отделения автобронетанкового отдела 5-й армии капитан В.Е. Гальчин сообщил, что в подвижной группе подполковника И.П. Ермакова имелись </w:t>
      </w:r>
      <w:r w:rsidRPr="00640820">
        <w:rPr>
          <w:rFonts w:ascii="Times New Roman" w:hAnsi="Times New Roman"/>
          <w:iCs/>
          <w:color w:val="000000" w:themeColor="text1"/>
          <w:sz w:val="16"/>
          <w:szCs w:val="16"/>
        </w:rPr>
        <w:t>«на ходу: Т-34 – 7, КВ – 1, Т-26 – 2, Т-30 – 2, Т-60 – 5, БТ – 4, БА-10 – 1, ФАИ – 1, Т-50 – ремонт ?, А-20 – ремонт»</w:t>
      </w:r>
      <w:r w:rsidRPr="00640820">
        <w:rPr>
          <w:rFonts w:ascii="Times New Roman" w:hAnsi="Times New Roman"/>
          <w:color w:val="000000" w:themeColor="text1"/>
          <w:sz w:val="16"/>
          <w:szCs w:val="16"/>
        </w:rPr>
        <w:t xml:space="preserve">. </w:t>
      </w:r>
    </w:p>
    <w:p w14:paraId="408B878F" w14:textId="77777777" w:rsidR="004F4F88" w:rsidRPr="00640820" w:rsidRDefault="004F4F8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связи с тем, что полученные танком А-20 в бою повреждения устранить силами и средствами ремонтно-восстановительной роты 22-й танковой бригады не представлялось возможным, машина была эвакуирована и передана в 25-ю подвижную ремонтную базу (ПРБ) Западного фронта. В декабре 1941 г. 25-я ПРБ дислоцировалась на территории завода «Красная труба» в подмосковном посёлке Фили. Из-за отсутствия дизеля В-2 ремонт танка А-20 был завершен только весной 1942 г. </w:t>
      </w:r>
    </w:p>
    <w:p w14:paraId="43DC4441" w14:textId="77777777" w:rsidR="004F4F88" w:rsidRPr="00640820" w:rsidRDefault="004F4F8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Вот что по этому поводу рассказал бывший в то время командиром отделения монтажных работ 25-й ПРБ сержант А.В. Лунев: </w:t>
      </w:r>
    </w:p>
    <w:p w14:paraId="74333A24" w14:textId="77777777" w:rsidR="004F4F88" w:rsidRPr="00640820" w:rsidRDefault="004F4F88"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«В первые же дни войны на заводе № 183, где я работал, из числа добровольцев – рабочих и инженерно-технических работников – было укомплектовано несколько подвижных танкоремонтных баз (ПРБ). На них была возложена задача восстанавливать поврежденные машины в полевых условиях и оказывать помощь фронтовикам в освоении нового танка Т-34. </w:t>
      </w:r>
    </w:p>
    <w:p w14:paraId="6C4A70AF" w14:textId="77777777" w:rsidR="004F4F88" w:rsidRPr="00640820" w:rsidRDefault="004F4F88"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&lt;...&gt;</w:t>
      </w:r>
    </w:p>
    <w:p w14:paraId="7ED1E248" w14:textId="77777777" w:rsidR="004F4F88" w:rsidRPr="00640820" w:rsidRDefault="004F4F88"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На изрядно разбитом, покрытом выгоревшим брезентом грузовике мы, семеро рабочих, носились по фронтовым дорогам, спешили туда, где так нужна была наша помощь. Вместе с войсками проделали тяжелый путь отступления от Смоленска к Москве. Когда наши солдаты насмерть стали на подступах к столице, мы обосновались в подмосковном посёлке Фили. Десятки отремонтированных машин были возвращены в строй, чтобы участвовать в исторической битве за Москву. </w:t>
      </w:r>
    </w:p>
    <w:p w14:paraId="54E2D5F9" w14:textId="77777777" w:rsidR="004F4F88" w:rsidRPr="00640820" w:rsidRDefault="004F4F88"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Как-то в числе повреждённых танков попал в наши руки опытный образец А-20. Встреча с ним была подобна встрече со старым другом. Вспомнились горячие дни работы над созданием этой машины, совместные с конструкторами бдения над её сборкой и доводкой. </w:t>
      </w:r>
    </w:p>
    <w:p w14:paraId="1D378800" w14:textId="77777777" w:rsidR="004F4F88" w:rsidRPr="00640820" w:rsidRDefault="004F4F88" w:rsidP="00640820">
      <w:pPr>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А-20 был восстановлен. С болью в душе проводил я танк за пределы посёлка, мысленно пожелав удачи в боях с фашистами. Больше мы его не встречали».</w:t>
      </w:r>
      <w:r w:rsidRPr="00640820">
        <w:rPr>
          <w:rFonts w:ascii="Times New Roman" w:hAnsi="Times New Roman"/>
          <w:color w:val="000000" w:themeColor="text1"/>
          <w:sz w:val="16"/>
          <w:szCs w:val="16"/>
        </w:rPr>
        <w:t xml:space="preserve"> </w:t>
      </w:r>
    </w:p>
    <w:p w14:paraId="766939F8" w14:textId="77777777" w:rsidR="004F4F88" w:rsidRPr="00640820" w:rsidRDefault="004F4F88" w:rsidP="00640820">
      <w:pPr>
        <w:pStyle w:val="ae"/>
        <w:spacing w:before="0" w:after="0"/>
        <w:jc w:val="both"/>
        <w:rPr>
          <w:bCs/>
          <w:color w:val="000000" w:themeColor="text1"/>
          <w:sz w:val="16"/>
          <w:szCs w:val="16"/>
        </w:rPr>
      </w:pPr>
      <w:r w:rsidRPr="00640820">
        <w:rPr>
          <w:bCs/>
          <w:color w:val="000000" w:themeColor="text1"/>
          <w:sz w:val="16"/>
          <w:szCs w:val="16"/>
        </w:rPr>
        <w:t>[Т-34: путь к Победе: Воспоминания танкостроителей и танкистов. Сост.: К.М. Слободин, В.Д. Листровой,</w:t>
      </w:r>
    </w:p>
    <w:p w14:paraId="3DE1D45B" w14:textId="77777777" w:rsidR="004F4F88" w:rsidRPr="00640820" w:rsidRDefault="004F4F88" w:rsidP="00640820">
      <w:pPr>
        <w:pStyle w:val="ae"/>
        <w:spacing w:before="0" w:after="0"/>
        <w:jc w:val="both"/>
        <w:rPr>
          <w:color w:val="000000" w:themeColor="text1"/>
          <w:sz w:val="16"/>
          <w:szCs w:val="16"/>
        </w:rPr>
      </w:pPr>
      <w:r w:rsidRPr="00640820">
        <w:rPr>
          <w:bCs/>
          <w:color w:val="000000" w:themeColor="text1"/>
          <w:sz w:val="16"/>
          <w:szCs w:val="16"/>
        </w:rPr>
        <w:t>Издательство политической литературы Украины, 1989, С 194 – 195]</w:t>
      </w:r>
    </w:p>
    <w:p w14:paraId="1B9C8B3E" w14:textId="77777777" w:rsidR="004F4F88" w:rsidRPr="00640820" w:rsidRDefault="004F4F8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сожалению, и мы в архивных документах не нашли никаких сведений о дальнейшей судьбе этого танка (17625).</w:t>
      </w:r>
    </w:p>
    <w:p w14:paraId="5F967761" w14:textId="77777777" w:rsidR="004F4F88" w:rsidRPr="00640820" w:rsidRDefault="004F4F88" w:rsidP="00640820">
      <w:pPr>
        <w:spacing w:after="0" w:line="240" w:lineRule="auto"/>
        <w:jc w:val="both"/>
        <w:rPr>
          <w:rFonts w:ascii="Times New Roman" w:eastAsia="Times New Roman" w:hAnsi="Times New Roman"/>
          <w:color w:val="000000" w:themeColor="text1"/>
          <w:sz w:val="16"/>
          <w:szCs w:val="16"/>
          <w:lang w:eastAsia="ru-RU"/>
        </w:rPr>
      </w:pPr>
    </w:p>
    <w:p w14:paraId="2A6EA45F" w14:textId="77777777" w:rsidR="002028EF" w:rsidRPr="00640820" w:rsidRDefault="002028EF" w:rsidP="00640820">
      <w:pPr>
        <w:pStyle w:val="319"/>
        <w:shd w:val="clear" w:color="auto" w:fill="auto"/>
        <w:spacing w:after="0" w:line="240" w:lineRule="auto"/>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В ночь с 12 на 13 октября 1941 задание не было выполнено по причине отказа мотора:</w:t>
      </w:r>
    </w:p>
    <w:p w14:paraId="71A4AC12" w14:textId="77777777" w:rsidR="002028EF" w:rsidRPr="00640820" w:rsidRDefault="002028EF"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Самолет Пе-8 № 42015, командир корабля - полковник Алексеев вылетел на бомбардирование аэродрома г. Могилев. Из-за неисправности матчасти самолета экипаж, не выполнив задание, вернулся на аэродром подскока Иваново.</w:t>
      </w:r>
    </w:p>
    <w:p w14:paraId="556A2D64" w14:textId="77777777" w:rsidR="002028EF" w:rsidRPr="00640820" w:rsidRDefault="002028EF"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На самолете № 42015 Алексеева перебои третьего мотора, есть подозрение на прогар поршня.</w:t>
      </w:r>
    </w:p>
    <w:p w14:paraId="655C4319" w14:textId="77777777" w:rsidR="002028EF" w:rsidRPr="00640820" w:rsidRDefault="002028EF"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Экипаж полковника Алексеева перед посадкой сбросил два РРАБ-500 с высоты 400 метров в озеро около 15 км северо- западнее Иваново, на карте 1000000 это озеро не обозначено (19105).</w:t>
      </w:r>
    </w:p>
    <w:p w14:paraId="1F86F3E5" w14:textId="77777777" w:rsidR="002028EF" w:rsidRPr="00640820" w:rsidRDefault="002028EF" w:rsidP="00640820">
      <w:pPr>
        <w:pStyle w:val="108"/>
        <w:shd w:val="clear" w:color="auto" w:fill="auto"/>
        <w:spacing w:line="240" w:lineRule="auto"/>
        <w:rPr>
          <w:rFonts w:ascii="Times New Roman" w:hAnsi="Times New Roman" w:cs="Times New Roman"/>
          <w:color w:val="000000" w:themeColor="text1"/>
        </w:rPr>
      </w:pPr>
    </w:p>
    <w:p w14:paraId="17475B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октября 1941 во временную эксплуатацию флоту передана ПЛ К-52 (10671).</w:t>
      </w:r>
    </w:p>
    <w:p w14:paraId="279015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D90E5F4"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1AD2B8EE"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10D3C88"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12 октября </w:t>
      </w:r>
      <w:r w:rsidRPr="00640820">
        <w:rPr>
          <w:rFonts w:ascii="Times New Roman" w:hAnsi="Times New Roman"/>
          <w:color w:val="000000" w:themeColor="text1"/>
          <w:sz w:val="16"/>
          <w:szCs w:val="16"/>
        </w:rPr>
        <w:t>в 1941 году утреннее сообщение Совинформбюро:</w:t>
      </w:r>
    </w:p>
    <w:p w14:paraId="13D7FE7B"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12 октября наши войска вели бои с противником на всём фронте и особенно напряжённые на Вяземском и Брянском направлениях.</w:t>
      </w:r>
    </w:p>
    <w:p w14:paraId="604A7CB0"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участков Западного направления фронта наши войска, противодействуя наступлению крупных частей противника, наносят ему значительные потери. За четыре дня боёв на этом участке немецко-фашистские войска потеряли убитыми и ранеными больше 4.000 солдат и офицеров. Уничтожено свыше 80 вражеских танков.</w:t>
      </w:r>
    </w:p>
    <w:p w14:paraId="249E5B22"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участков Северо-Западного направления фронта противник сделал попытку прорвать тремя полками линию обороны и ударить во фланг наших войск. Завязалось упорное сражение, в результате которого противник потерял убитыми и ранеными 2.200 человек. По предварительным данным захвачено 6 орудий, 30 пулемётов, 5 противотанковых пушек, много мин, гранат, патронов и другого военного имущества.</w:t>
      </w:r>
    </w:p>
    <w:p w14:paraId="6A1AF01B"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Артиллерийским огнём кораблей Балтийского флота за три дня уничтожено 20 немецких дальнобойных орудий, 17 артиллерийских орудий среднего калибра, 3 миномётные батареи и до 300 солдат противника.</w:t>
      </w:r>
    </w:p>
    <w:p w14:paraId="267A23F6"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Партизанский отряд под командованием тов. А. совершает внезапные налёты на фашистов в одном из оккупированных германской армией районов на Северо-Западном направлении фронта. За последний месяц партизаны уничтожили 4 немецких легковых автомашины с офицерами, 3 штабных и 7 грузовых автомашин с боеприпасами и горючим. Недалеко от станции Н. отряд взорвал мост, вывел из строя паровоз, уничтожил автодрезину и в трёх местах разрушил железнодорожное полотно.</w:t>
      </w:r>
    </w:p>
    <w:p w14:paraId="36C25A47"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Недавно группа бойцов отряда во главе с тов. Д. разгромила немецкий командный пункт. Только за последнее время партизаны убили 39 немецких солдат, 11 офицеров и двух фашистских судейских чиновников.</w:t>
      </w:r>
    </w:p>
    <w:p w14:paraId="590E1B53"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Гитлеровские людоеды продолжают зверски издеваться над мирными жителями временно оккупированных ими советских районов. Дочиста ограбленное фашистами население деревни Низовка, Оредежского района, Ленинградской области, буквально голодает. На почве голода среди крестьян начались тяжёлые заболевания. В деревнях Ивановское, Рождественское и Никольское немцы реквизировали весь скот и под угрозой расстрела запретили крестьянам собирать овощи со своих огородов. В деревне Рождественское оккупанты силой оружия заставили жителей убрать на своих огородах овощи, которые тут же до последнего килограмма были отобраны. Обессилевших от недоедания людей немцы силой принуждают ремонтировать дороги и восстанавливать разрушенные мосты.</w:t>
      </w:r>
    </w:p>
    <w:p w14:paraId="0D3B2E93"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городах и сельских районах Дании с каждым днём увеличивается число выступлений датских патриотов против немцев. Только за первую пятидневку октября в стране произошло много пожаров, главным образом на складах с продовольствием для германской армии. В печать проникли сведения о большом пожаре на складе фабрики близ Копенгагена, вырабатывающей консервы для Германии. В городе Грено произошло столкновение жителей города с немецкой полицией, производившей реквизицию зимней одежды. Фашистские солдаты потребовали у двух женщин отдать тёплые фуфайки. После отказа женщин солдаты пытались применить силу. В защиту датчанок вступились соседи. Во время столкновения два солдата и один полицейский тяжело ранены.» (14797).</w:t>
      </w:r>
    </w:p>
    <w:p w14:paraId="327674B3" w14:textId="77777777" w:rsidR="00E80D3A" w:rsidRPr="00640820" w:rsidRDefault="00E80D3A" w:rsidP="00640820">
      <w:pPr>
        <w:spacing w:after="0" w:line="240" w:lineRule="auto"/>
        <w:jc w:val="both"/>
        <w:rPr>
          <w:rFonts w:ascii="Times New Roman" w:hAnsi="Times New Roman"/>
          <w:color w:val="000000" w:themeColor="text1"/>
          <w:sz w:val="16"/>
          <w:szCs w:val="16"/>
        </w:rPr>
      </w:pPr>
    </w:p>
    <w:p w14:paraId="0567D2D2"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12 октября </w:t>
      </w:r>
      <w:r w:rsidRPr="00640820">
        <w:rPr>
          <w:rFonts w:ascii="Times New Roman" w:hAnsi="Times New Roman"/>
          <w:color w:val="000000" w:themeColor="text1"/>
          <w:sz w:val="16"/>
          <w:szCs w:val="16"/>
        </w:rPr>
        <w:t>в 1941 году вечернее сообщение Совинформбюро:</w:t>
      </w:r>
    </w:p>
    <w:p w14:paraId="7B0F62F4"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12 октября наши войска вели бои с противником на всём фронте, особенно ожесточённые на Вяземском и Брянском направлениях. После упорных многодневных боёв наши войска оставили город Брянск.</w:t>
      </w:r>
    </w:p>
    <w:p w14:paraId="18543257"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10 октября уничтожено 27 немецких самолётов. Наши потери — 14 самолётов.</w:t>
      </w:r>
    </w:p>
    <w:p w14:paraId="711BE548"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11 октября под Москвой сбито 4 немецких самолёта и 12 октября сбито 12 немецких самолётов.</w:t>
      </w:r>
    </w:p>
    <w:p w14:paraId="5637E567"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Западном направлении фронта бои продолжаются с всё нарастающей силой. Германское командование бросает в бой всё новые свои части. Противнику, создав на некоторых участках фронта численное превосходство, удалось, ценой огромных потерь в живой силе и вооружении, на этих участках потеснить наши войска и вклиниться в расположение нашей обороны. Отчаянный натиск немцев встречает упорное противодействие наших войск. В течение 12 октября, по неполным данным, в напряжённых боях уничтожено около 90 немецких танков, 270 автомашин с живой силой противника и боеприпасами, 62 орудия разного калибра и большое количество станковых и ручных пулемётов. За день немцы потеряли убитыми и ранеными более 12.000 солдат и офицеров.</w:t>
      </w:r>
    </w:p>
    <w:p w14:paraId="39689023"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Энская танковая часть, прикрывая пехоту, вела бой с танковой частью противника и нанесла ей урон. Советские танки в этом бою уничтожили 14 немецких танков, 6 противотанковых орудий, 15 пулемётов, 8 миномётов и до 4 рот пехоты противника.</w:t>
      </w:r>
    </w:p>
    <w:p w14:paraId="7B6E61E2"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Действия наземных частей активно поддерживают советские лётчики. На одном из участков Вяземского направления наша авиация уничтожила 33 танка, 80 автомашин и разгромила большое скопление пехоты противника.</w:t>
      </w:r>
    </w:p>
    <w:p w14:paraId="54AE0CC4"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Исключительное мужество и героизм в борьбе с фашистскими захватчиками проявляют партизаны, действующие в оккупированных районах Ленинградской области. Отряд под командованием тов. К. за месяц сжёг 7 немецких самолётов на аэродромах, уничтожил 14 танков, 47 автомашин с боеприпасами и продовольствием, 4 орудия, уничтожил в боях 200 германских солдат и 14 офицеров. Захвачено много трофеев. Недавно отряд напал на вражескую автоколонну в составе 11 машин с горючим. Когда на повороте машины замедлили ход, партизаны-снайперы открыли стрельбу по водителям. Грузовики остановились. Завязалась перестрелка, из которой победителями вышли партизаны. Только 4 солдатам, сопровождавшим последнюю машину, удалось скрыться. Грузовики были сожжены.</w:t>
      </w:r>
    </w:p>
    <w:p w14:paraId="342CAA2C"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днях разведчики-партизаны узнали о местонахождении немецкого склада с боеприпасами. В заброшенном сарае немцы сложили ящики со снарядами. Склад охраняло несколько фашистских солдат. Внезапным налётом партизаны уничтожили охрану и взорвали снаряды.</w:t>
      </w:r>
    </w:p>
    <w:p w14:paraId="30893433"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письмах из германского тыла на Восточный фронт всё чаще содержатся протесты матерей и жён немецких солдат против войны. Солдат Вилли Роте получил от жены письмо, полное отчаяния. Она пишет: «Меня охватило уныние. Что такое мы, люди? Ничто. Мы, видно, только для того и родились, чтобы переносить войны. Хотя бы уже настал конец». Безрадостные письма шлёт ефрейтору Эрнсту Раннунгу его жена. Вот некоторые выписки из них: «Получила письмо от матери. Она пишет, что в газетах каждый день объявляют списки убитых; одна семья потеряла двух сыновей 26 и 22 лет. Это ужасно... Беспокойство не оставляет нас ни днём, ни ночью. Мучусь от страха за тебя». В другом письме она пишет мужу: «На войну с русскими я смотрю, как на совершенно ужасную. Меня не радуют успехи, когда я думаю, сколько жертв должны приносить наши «серенькие» фронтовики, и как много молодых людей должно положить свою жизнь. Чего только не наделает эта война в любом отношении — ужасно!.. Что ещё будет? Питер Ленц убит. Мы читаем каждый день длинные ряды объявлений о погибших на Востоке. Ты представляешь себе, что при этом живёшь в постоянном страхе». Старая мать сообщает сыну Альберту: "Мы здесь чувствуем войну с русскими, как не чувствовали никакой другой. У нас только одно желание: кончилась бы она поскорее».</w:t>
      </w:r>
    </w:p>
    <w:p w14:paraId="1AA456AE"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году Государственный Комитет Обороны принимает постановление о создании Московской зоны обороны. В соответствии с ним началось строительство третьей линии обороны, состоявшей из полосы обеспечения и двух оборонительных рубежей — главного и городского. Главный рубеж должен был быть построен в форме полукруга в 15—20 км от Москвы, а городской состоял из трех оборонительных полос: первая проходила по окружной железной дороге, вторая — по Садовому кольцу, третья — по бульварному кольцу. В связи с угрозой прорыва немецких войск к Москве зенитно-артиллерийские средства и воздушные силы ПВО привлекались к борьбе с наземными целями. В приказе Ставки войскам 1-го корпуса ПВО говорилось: «Всем зенитным батареям корпуса Московской противовоздушной обороны, расположенным к западу, юго-западу и югу от Москвы, кроме основной задачи отражения воздушного противника, быть готовым к отражению и истреблению прорывающихся танковых частей и живой силы противника» (14797).</w:t>
      </w:r>
    </w:p>
    <w:p w14:paraId="2D9E15FF" w14:textId="77777777" w:rsidR="00E80D3A" w:rsidRPr="00640820" w:rsidRDefault="00E80D3A" w:rsidP="00640820">
      <w:pPr>
        <w:spacing w:after="0" w:line="240" w:lineRule="auto"/>
        <w:jc w:val="both"/>
        <w:rPr>
          <w:rFonts w:ascii="Times New Roman" w:hAnsi="Times New Roman"/>
          <w:color w:val="000000" w:themeColor="text1"/>
          <w:sz w:val="16"/>
          <w:szCs w:val="16"/>
        </w:rPr>
      </w:pPr>
    </w:p>
    <w:p w14:paraId="24BEA7BD"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12 октября </w:t>
      </w:r>
      <w:r w:rsidRPr="00640820">
        <w:rPr>
          <w:rFonts w:ascii="Times New Roman" w:hAnsi="Times New Roman"/>
          <w:color w:val="000000" w:themeColor="text1"/>
          <w:sz w:val="16"/>
          <w:szCs w:val="16"/>
        </w:rPr>
        <w:t>в 1941 году немецкие войска заняли Старицу (14797).</w:t>
      </w:r>
    </w:p>
    <w:p w14:paraId="4135B7CE" w14:textId="77777777" w:rsidR="00E80D3A" w:rsidRPr="00640820" w:rsidRDefault="00E80D3A" w:rsidP="00640820">
      <w:pPr>
        <w:spacing w:after="0" w:line="240" w:lineRule="auto"/>
        <w:jc w:val="both"/>
        <w:rPr>
          <w:rFonts w:ascii="Times New Roman" w:hAnsi="Times New Roman"/>
          <w:color w:val="000000" w:themeColor="text1"/>
          <w:sz w:val="16"/>
          <w:szCs w:val="16"/>
        </w:rPr>
      </w:pPr>
    </w:p>
    <w:p w14:paraId="44D931E0" w14:textId="77777777" w:rsidR="00E80D3A" w:rsidRPr="00640820" w:rsidRDefault="00E80D3A"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12 октября </w:t>
      </w:r>
      <w:r w:rsidRPr="00640820">
        <w:rPr>
          <w:rFonts w:ascii="Times New Roman" w:hAnsi="Times New Roman"/>
          <w:color w:val="000000" w:themeColor="text1"/>
          <w:sz w:val="16"/>
          <w:szCs w:val="16"/>
        </w:rPr>
        <w:t>в 1941 году командованию группы армий «Центр» передана директива: «Фюрер вновь решил, что капитуляция Москвы не должна быть принята, даже если она будет предложена противником. Моральное обоснование этого мероприятия совершенно ясно в глазах всего мира... Необходимо иметь в виду серьезную опасность эпидемий... Всякий, кто попытается оставить город и пройти через наши позиции, должен быть обстрелян и отогнан обратно» (14797).</w:t>
      </w:r>
    </w:p>
    <w:p w14:paraId="5B5B489F" w14:textId="77777777" w:rsidR="00E80D3A" w:rsidRPr="00640820" w:rsidRDefault="00E80D3A" w:rsidP="00640820">
      <w:pPr>
        <w:spacing w:after="0" w:line="240" w:lineRule="auto"/>
        <w:jc w:val="both"/>
        <w:rPr>
          <w:rFonts w:ascii="Times New Roman" w:hAnsi="Times New Roman"/>
          <w:color w:val="000000" w:themeColor="text1"/>
          <w:sz w:val="16"/>
          <w:szCs w:val="16"/>
        </w:rPr>
      </w:pPr>
    </w:p>
    <w:p w14:paraId="57FDEB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12 октября 1941 экипажи 243-го </w:t>
      </w:r>
      <w:r w:rsidRPr="00640820">
        <w:rPr>
          <w:rFonts w:ascii="Times New Roman" w:hAnsi="Times New Roman"/>
          <w:iCs/>
          <w:color w:val="000000" w:themeColor="text1"/>
          <w:sz w:val="16"/>
          <w:szCs w:val="16"/>
        </w:rPr>
        <w:t>шап</w:t>
      </w:r>
      <w:r w:rsidRPr="00640820">
        <w:rPr>
          <w:rFonts w:ascii="Times New Roman" w:hAnsi="Times New Roman"/>
          <w:color w:val="000000" w:themeColor="text1"/>
          <w:sz w:val="16"/>
          <w:szCs w:val="16"/>
        </w:rPr>
        <w:t xml:space="preserve"> 77-й </w:t>
      </w:r>
      <w:r w:rsidRPr="00640820">
        <w:rPr>
          <w:rFonts w:ascii="Times New Roman" w:hAnsi="Times New Roman"/>
          <w:iCs/>
          <w:color w:val="000000" w:themeColor="text1"/>
          <w:sz w:val="16"/>
          <w:szCs w:val="16"/>
        </w:rPr>
        <w:t>сад</w:t>
      </w:r>
      <w:r w:rsidRPr="00640820">
        <w:rPr>
          <w:rFonts w:ascii="Times New Roman" w:hAnsi="Times New Roman"/>
          <w:color w:val="000000" w:themeColor="text1"/>
          <w:sz w:val="16"/>
          <w:szCs w:val="16"/>
        </w:rPr>
        <w:t xml:space="preserve"> в сложных метеоусловиях (облач</w:t>
      </w:r>
      <w:r w:rsidRPr="00640820">
        <w:rPr>
          <w:rFonts w:ascii="Times New Roman" w:hAnsi="Times New Roman"/>
          <w:color w:val="000000" w:themeColor="text1"/>
          <w:sz w:val="16"/>
          <w:szCs w:val="16"/>
        </w:rPr>
        <w:softHyphen/>
        <w:t>ность 10 баллов, дымка, туман, видимость 100-400 м) выполнили 18 самолето-вы</w:t>
      </w:r>
      <w:r w:rsidRPr="00640820">
        <w:rPr>
          <w:rFonts w:ascii="Times New Roman" w:hAnsi="Times New Roman"/>
          <w:color w:val="000000" w:themeColor="text1"/>
          <w:sz w:val="16"/>
          <w:szCs w:val="16"/>
        </w:rPr>
        <w:softHyphen/>
        <w:t>летов на уничтожение мотомехвойск и переправы противника через р. Угра в районе Товарково и Плетневе и на до</w:t>
      </w:r>
      <w:r w:rsidRPr="00640820">
        <w:rPr>
          <w:rFonts w:ascii="Times New Roman" w:hAnsi="Times New Roman"/>
          <w:color w:val="000000" w:themeColor="text1"/>
          <w:sz w:val="16"/>
          <w:szCs w:val="16"/>
        </w:rPr>
        <w:softHyphen/>
        <w:t>рогах на Синявино, Боровск. В резуль</w:t>
      </w:r>
      <w:r w:rsidRPr="00640820">
        <w:rPr>
          <w:rFonts w:ascii="Times New Roman" w:hAnsi="Times New Roman"/>
          <w:color w:val="000000" w:themeColor="text1"/>
          <w:sz w:val="16"/>
          <w:szCs w:val="16"/>
        </w:rPr>
        <w:softHyphen/>
        <w:t>тате атак сожжено 10 автомашин с гру</w:t>
      </w:r>
      <w:r w:rsidRPr="00640820">
        <w:rPr>
          <w:rFonts w:ascii="Times New Roman" w:hAnsi="Times New Roman"/>
          <w:color w:val="000000" w:themeColor="text1"/>
          <w:sz w:val="16"/>
          <w:szCs w:val="16"/>
        </w:rPr>
        <w:softHyphen/>
        <w:t>зами и выведено из строя до 25 броне</w:t>
      </w:r>
      <w:r w:rsidRPr="00640820">
        <w:rPr>
          <w:rFonts w:ascii="Times New Roman" w:hAnsi="Times New Roman"/>
          <w:color w:val="000000" w:themeColor="text1"/>
          <w:sz w:val="16"/>
          <w:szCs w:val="16"/>
        </w:rPr>
        <w:softHyphen/>
        <w:t>машин. В воздушном бою ст. политрук Дяченко сбил один Bf109. Из боевого задания не вернулось 3 Ил-2. Сержант Лукъянченко сел на вынужденную у дёр. Ноздрево (6467).</w:t>
      </w:r>
    </w:p>
    <w:p w14:paraId="4339E1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E7DE9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12 октября 1941 экипажи 243-го шап 77-й сад в сложных метеоусловиях выполнили 18 самолето-вылетов на уничтожение мотомехвойск и переправы противника через р.Угра в районе Товарково и Плетнево, и на дорогах на Синявино, Боровск. В результате атак сожжено 10 автомашин с грузами и выведено из строя до 25 бронемашин. В воздушном бою ст. политрук Дяченко сбил один </w:t>
      </w:r>
      <w:r w:rsidRPr="00640820">
        <w:rPr>
          <w:rFonts w:ascii="Times New Roman" w:hAnsi="Times New Roman"/>
          <w:color w:val="000000" w:themeColor="text1"/>
          <w:sz w:val="16"/>
          <w:szCs w:val="16"/>
          <w:lang w:val="en-US"/>
        </w:rPr>
        <w:t>Bf</w:t>
      </w:r>
      <w:r w:rsidRPr="00640820">
        <w:rPr>
          <w:rFonts w:ascii="Times New Roman" w:hAnsi="Times New Roman"/>
          <w:color w:val="000000" w:themeColor="text1"/>
          <w:sz w:val="16"/>
          <w:szCs w:val="16"/>
        </w:rPr>
        <w:t xml:space="preserve"> 109. Из боевого задания не вернулось 3 Ил-2 и три летчика (ст. лейтенант Камышной, сержанты Пучков и Педенко). Сержант Лукъянченко сел на вынужденную у д. Ноз- древо (вернулся в полк на следующий день).</w:t>
      </w:r>
    </w:p>
    <w:p w14:paraId="5F6392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Отмечаемые в документах большие потери штурмовиков обуславливались не только сильным зенитным огнем противника, но и отсутствием достаточного количества истребителей прикрытия и плохой организацией их боевых действий (12020).</w:t>
      </w:r>
    </w:p>
    <w:p w14:paraId="09F4A0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8BB97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12 октября 1941 26-я дивизия (258 самолетов), которую на две - 26-ю и 133-ю - начали совершать боевые вылеты из-под Ярославля и Рыбинска. Еше в августе на фронт бросили фуппу из 2-й школы штурманов, действовавшую до начала ноября. Кроме того, из школ, с курсов усовершенствования, из НИИ ВВС, НИПАВ и резервной авиабригады изъяли 156 ДБ-3 для пополнения частей. Для повышения боевой живучести машины решили прикрыть броней стрелка-радиста. Над этим работали параллельно ОКБ-39 и конструкторы завода № 18. В итоге первые спроектировали оригинальную бронеспинку, а вторые - приспособили спинки пилотских кресел от СБ и ДБ-ЗФ. С октября их начали ставить на самолеты на заводах № 126 (вариант ОКБ-39) и № 18 (свои). Но, к сожалению, в связи с эвакуацией заводов и отсутствием запаса спинок эту работу довольно быстро свернули (12021).</w:t>
      </w:r>
    </w:p>
    <w:p w14:paraId="1FADB1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56F1C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октября 1941 приступил к боевым операциям 126-и истребительный авиаполк ПВО, который первым освоил Р-40 Томагаук. Действуя на Западном и Калининском фронтах, полк участвовал в обороне Москвы. За месяц (до 15 ноября) его летчики совершили на "Томагауках" 685 боевых вылетов и сбили 17 самолетов врага. Старший лейтенант С.Г.Ридный, летая на этой машине, получил звание Героя Советского Союза (3457,61). Летали с Чкаловской. Помогали осваивать машины и переходить с Миг-3 Ю.А.Антипов и А.Г.Кочетков на аэродроме Кадниково под Вологдой. Согласно П.Н.Беляснику под свежей краской была окраска для пустыни (3805).</w:t>
      </w:r>
    </w:p>
    <w:p w14:paraId="72AE5B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5FEB2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октября 1941 вышло Постановление ГКО № 767 О разрушении основных сооружений системы водоснабжения Донбасса на случай занятия его противником. РГАНИР, Фонд ГКО, д. 12, лл. 82 (11012).</w:t>
      </w:r>
    </w:p>
    <w:p w14:paraId="371BE8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4BE1E9E" w14:textId="77777777" w:rsidR="00C45D12"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октября 1941 вышло Постановление ГКО № 768 О строительстве 3-й линии обороны гор.Москвы. РГАНИР, Фонд ГКО, д. 12, лл. 83 (11012).</w:t>
      </w:r>
    </w:p>
    <w:p w14:paraId="4CA964B2" w14:textId="77777777" w:rsidR="00C45D12" w:rsidRPr="00640820" w:rsidRDefault="00C45D12" w:rsidP="00640820">
      <w:pPr>
        <w:autoSpaceDE w:val="0"/>
        <w:autoSpaceDN w:val="0"/>
        <w:adjustRightInd w:val="0"/>
        <w:spacing w:after="0" w:line="240" w:lineRule="auto"/>
        <w:jc w:val="both"/>
        <w:rPr>
          <w:rFonts w:ascii="Times New Roman" w:hAnsi="Times New Roman"/>
          <w:color w:val="000000" w:themeColor="text1"/>
          <w:sz w:val="16"/>
          <w:szCs w:val="16"/>
        </w:rPr>
      </w:pPr>
    </w:p>
    <w:p w14:paraId="1988DD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октября 1941 года Постановление Государственного Комитета Обороны о строительстве 3-й линии обороны г. Москвы</w:t>
      </w:r>
    </w:p>
    <w:p w14:paraId="32A933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 секретно</w:t>
      </w:r>
    </w:p>
    <w:p w14:paraId="201F4E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целях форсирования строительства 3-й линии обороны г. Москвы Государственный Комитет Обороны постановляет:</w:t>
      </w:r>
    </w:p>
    <w:p w14:paraId="6C1A20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Обязать Мособлисполком — т. Тарасова мобилизовать в порядке трудовой повинности сроком на 20 дней 250 тыс. человек колхозников, рабочих и служащих учреждений и предприятий, расположенных в Московской области, на строительство 3-й линии обороны г. Москвы.</w:t>
      </w:r>
    </w:p>
    <w:p w14:paraId="415B17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Обязать председателя Мособлисполкома — т. Тарасова обеспечить питанием и инструментами (лопаты, носилки, тачки) мобилизованных на строительство укреплений.</w:t>
      </w:r>
    </w:p>
    <w:p w14:paraId="5E93B1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Обязать Московский Совет — т. Пронина мобилизовать в порядке трудовой повинности 200 тыс. человек служащих учреждений и предприятий и рабочих предприятий г. Москвы, не занятых на производстве танков, боеприпасов и вооружения, на строительство оборонительных сооружений.</w:t>
      </w:r>
    </w:p>
    <w:p w14:paraId="6310F5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Сохранить среднюю заработную плату за рабочими и служащими, мобилизованными на строительство укреплений.</w:t>
      </w:r>
    </w:p>
    <w:p w14:paraId="1C9A9A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Предоставить право Московскому Совету изымать у учреждений и предприятий (кроме оборонных заводов) материалы (арматурное железо, цемент, лес), автотранспорт и строительные механизмы на строительство оборонительных укреплений.</w:t>
      </w:r>
    </w:p>
    <w:p w14:paraId="7232D5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Обязать Московский Совет — т. Пронина обеспечить мобилизованных на строительство оборонительных укреплений питанием и инструментами (лопаты, носилки, тачки).</w:t>
      </w:r>
    </w:p>
    <w:p w14:paraId="232C5D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Обязать наркомчермет — т. Тевосяна в 3-дневный срок выделить Московскому Совету 400 тонн лопатного железа.</w:t>
      </w:r>
    </w:p>
    <w:p w14:paraId="77FE9E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Председатель Государственного Комитета Обороны</w:t>
      </w:r>
    </w:p>
    <w:p w14:paraId="7E0310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 Сталин</w:t>
      </w:r>
    </w:p>
    <w:p w14:paraId="56AB30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Известия ЦК КПСС. 1990. № 12. С. 215 (11659).</w:t>
      </w:r>
    </w:p>
    <w:p w14:paraId="006D915B" w14:textId="77777777" w:rsidR="00C45D12" w:rsidRPr="00640820" w:rsidRDefault="00C45D12" w:rsidP="00640820">
      <w:pPr>
        <w:autoSpaceDE w:val="0"/>
        <w:autoSpaceDN w:val="0"/>
        <w:adjustRightInd w:val="0"/>
        <w:spacing w:after="0" w:line="240" w:lineRule="auto"/>
        <w:jc w:val="both"/>
        <w:rPr>
          <w:rFonts w:ascii="Times New Roman" w:hAnsi="Times New Roman"/>
          <w:color w:val="000000" w:themeColor="text1"/>
          <w:sz w:val="16"/>
          <w:szCs w:val="16"/>
        </w:rPr>
      </w:pPr>
    </w:p>
    <w:p w14:paraId="066DF5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октября 1941 вышло Постановление ГКО № 769 О тов. Иванове П.Ф. РГАНИР, Фонд ГКО, д. 12, лл. 84 (11012).</w:t>
      </w:r>
    </w:p>
    <w:p w14:paraId="4376A8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A25FE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октября 1941 вышло Постановление ГКО № 770 О тов.Писклюкове В.Т. РГАНИР, Фонд ГКО, д. 12, лл. 85 (11012).</w:t>
      </w:r>
    </w:p>
    <w:p w14:paraId="5E946D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F4AAA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октября 1941 вышло Постановление ГКО № 771 О т.т. Рябчем К.Г. и Ковалевском А.И. РГАНИР, Фонд ГКО, д. 12, лл. 86 (11012).</w:t>
      </w:r>
    </w:p>
    <w:p w14:paraId="6E88D0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1ADC2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октября 1941 вышло Постановление ГКО № 772 О тов.Сорокине К.Л. РГАНИР, Фонд ГКО, д. 12, лл. 87 (11012).</w:t>
      </w:r>
    </w:p>
    <w:p w14:paraId="5219A5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CDEAF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October 12, 1941: Units of Heeresgruppe Mitte (von Bock) capture Kaluga (3819).</w:t>
      </w:r>
    </w:p>
    <w:p w14:paraId="45FA0D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24EA80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октября 1941 немцы захватили Калугу (2070,40).</w:t>
      </w:r>
    </w:p>
    <w:p w14:paraId="53416D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01BD50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октября была подготовлена [Справка о выдаче Ворошилову К.Е. мандата уполномоченного ГКО по формированию новых дивизий в ПриВО.] № 766 (7013, 81).</w:t>
      </w:r>
    </w:p>
    <w:p w14:paraId="16C7966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E1BDB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октября 1941 фашистами взят Брянск (4962).</w:t>
      </w:r>
    </w:p>
    <w:p w14:paraId="4C38F11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853195"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73CBFD23"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3BB2A0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октября 1941 вышло Постановление ГКО № 765 Об охране Московской зоны. (7013, 80).</w:t>
      </w:r>
    </w:p>
    <w:p w14:paraId="6E47B07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4AD8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октября 1941 по решению ГКО начала создаваться еще одна линия обороны на непосредственных подступах к Москве. К строительству привлекли 450 тыс. чел., гл. образом женщин (340,59).</w:t>
      </w:r>
    </w:p>
    <w:p w14:paraId="0557AA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F3C9ADA"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230D6068"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3384C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октября 1941 года</w:t>
      </w:r>
    </w:p>
    <w:p w14:paraId="31EEBC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ЛИЧНОЕ ПОСЛАНИЕ ОТ г-на УИНСТОНА ЧЕРЧИЛЛЯ г-ну СТАЛИНУ</w:t>
      </w:r>
    </w:p>
    <w:p w14:paraId="2ED3F9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Благодарю Вас за Ваше письмо от 3 октября.</w:t>
      </w:r>
    </w:p>
    <w:p w14:paraId="15190A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 непрерывно следил за ускорением поставок в Архангельск, о которых я сообщил Вам в моей телеграмме от 6 октября. Ваша просьба о 3000 грузовиков будет немедленно удовлетворена из наших армейских запасов, но поставки не должны мешать потоку танков и самолетов. Мы просим г-на Гарримана позаботиться о более крупной программе поставок из Соединенных Штатов, рассчитанной на длительный период.</w:t>
      </w:r>
    </w:p>
    <w:p w14:paraId="7CB8D6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вопросу о Персии. Наши интересы там заключаются лишь в следующем: во-первых, создание барьера против германского проникновения на Восток; и, во-вторых, устройство сквозного пути для поставок к Каспийскому бассейну. Если Вам желательно отозвать имеющиеся там пять или шесть русских дивизий с тем, чтобы использовать их на боевом фронте, мы примем на себя полную ответственность по поддержанию порядка и содержанию в исправности и улучшению путей снабжения. Я обещаю именем Британии, что мы не будем стремиться к каким-либо выгодам для себя за счет каких-либо справедливых русских интересов как во время войны, так и по ее окончании. Во всяком случае, подписание трехстороннего договора</w:t>
      </w:r>
      <w:r w:rsidRPr="00640820">
        <w:rPr>
          <w:rFonts w:ascii="Times New Roman" w:hAnsi="Times New Roman"/>
          <w:color w:val="000000" w:themeColor="text1"/>
          <w:sz w:val="16"/>
          <w:szCs w:val="16"/>
          <w:vertAlign w:val="superscript"/>
        </w:rPr>
        <w:t xml:space="preserve">12 </w:t>
      </w:r>
      <w:r w:rsidRPr="00640820">
        <w:rPr>
          <w:rFonts w:ascii="Times New Roman" w:hAnsi="Times New Roman"/>
          <w:color w:val="000000" w:themeColor="text1"/>
          <w:sz w:val="16"/>
          <w:szCs w:val="16"/>
        </w:rPr>
        <w:t>срочно необходимо во избежание нарастания внутренних беспорядков, что повлекло бы опасность прекращения движения грузов по путям снабжения. Генерал Уэйвелл будет в Тифлисе 16 октября и обсудит с Вашими генералами любые вопросы, которые Вы, может быть, уполномочите их решить с ним.</w:t>
      </w:r>
    </w:p>
    <w:p w14:paraId="5A0D49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Словами не выразить наших чувств по поводу Вашей колоссальной героической борьбы — мы надеемся скоро засвидетельствовать это делами (7430).</w:t>
      </w:r>
    </w:p>
    <w:p w14:paraId="4AC8B9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17F0204" w14:textId="77777777" w:rsidR="00C45D12"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507CFE63" w14:textId="77777777" w:rsidR="00C45D12" w:rsidRPr="00640820" w:rsidRDefault="00C45D12"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637F8E0" w14:textId="77777777" w:rsidR="00C45D12" w:rsidRPr="00640820" w:rsidRDefault="00C45D12"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12 октября </w:t>
      </w:r>
      <w:r w:rsidRPr="00640820">
        <w:rPr>
          <w:rFonts w:ascii="Times New Roman" w:hAnsi="Times New Roman"/>
          <w:color w:val="000000" w:themeColor="text1"/>
          <w:sz w:val="16"/>
          <w:szCs w:val="16"/>
        </w:rPr>
        <w:t>в 1941 году по приказу Адольфа Гитлера прекращены ночные налеты на Британию (14797).</w:t>
      </w:r>
    </w:p>
    <w:p w14:paraId="0C538C35" w14:textId="77777777" w:rsidR="00C45D12" w:rsidRPr="00640820" w:rsidRDefault="00C45D12" w:rsidP="00640820">
      <w:pPr>
        <w:spacing w:after="0" w:line="240" w:lineRule="auto"/>
        <w:jc w:val="both"/>
        <w:rPr>
          <w:rFonts w:ascii="Times New Roman" w:hAnsi="Times New Roman"/>
          <w:color w:val="000000" w:themeColor="text1"/>
          <w:sz w:val="16"/>
          <w:szCs w:val="16"/>
        </w:rPr>
      </w:pPr>
    </w:p>
    <w:p w14:paraId="7C369721"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5550D0F0"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86C5C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г. вышел Приказ по ГУ ГВФ №94 «Об организа</w:t>
      </w:r>
      <w:r w:rsidRPr="00640820">
        <w:rPr>
          <w:rFonts w:ascii="Times New Roman" w:hAnsi="Times New Roman"/>
          <w:color w:val="000000" w:themeColor="text1"/>
          <w:sz w:val="16"/>
          <w:szCs w:val="16"/>
        </w:rPr>
        <w:softHyphen/>
        <w:t>ции и оборудовании воздушной линии Красноярск-Уэллен».</w:t>
      </w:r>
    </w:p>
    <w:p w14:paraId="101563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решением ГКО СССР №739сот 9 октября 1941 г. о строительстве скоростным методом воздушной магистрали Красноярск-Уэллен и подготовке этой ма</w:t>
      </w:r>
      <w:r w:rsidRPr="00640820">
        <w:rPr>
          <w:rFonts w:ascii="Times New Roman" w:hAnsi="Times New Roman"/>
          <w:color w:val="000000" w:themeColor="text1"/>
          <w:sz w:val="16"/>
          <w:szCs w:val="16"/>
        </w:rPr>
        <w:softHyphen/>
        <w:t>гистрали кэксплоатации - ПРИКАЗЫВАЮ:</w:t>
      </w:r>
    </w:p>
    <w:p w14:paraId="1FA099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Начальнику Эксплоатационного управления ГУ ГВФ - тов. ЗАХАРОВУ:</w:t>
      </w:r>
    </w:p>
    <w:p w14:paraId="6F30EB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выделить в распоряжение начальника строительства один самолет «Локхид-14», один ПС-84 в грузовом варианте и один Г-2; все самолеты с экипажами на весь период строительства».</w:t>
      </w:r>
    </w:p>
    <w:p w14:paraId="42C1D0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Возможно в приведенных докумен-ах го</w:t>
      </w:r>
      <w:r w:rsidRPr="00640820">
        <w:rPr>
          <w:rFonts w:ascii="Times New Roman" w:hAnsi="Times New Roman"/>
          <w:color w:val="000000" w:themeColor="text1"/>
          <w:sz w:val="16"/>
          <w:szCs w:val="16"/>
        </w:rPr>
        <w:softHyphen/>
        <w:t xml:space="preserve">ворилось об одном и том же самолете </w:t>
      </w:r>
      <w:r w:rsidRPr="00640820">
        <w:rPr>
          <w:rFonts w:ascii="Times New Roman" w:hAnsi="Times New Roman"/>
          <w:color w:val="000000" w:themeColor="text1"/>
          <w:sz w:val="16"/>
          <w:szCs w:val="16"/>
          <w:lang w:val="en-US"/>
        </w:rPr>
        <w:t>L</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K</w:t>
      </w:r>
      <w:r w:rsidRPr="00640820">
        <w:rPr>
          <w:rFonts w:ascii="Times New Roman" w:hAnsi="Times New Roman"/>
          <w:color w:val="000000" w:themeColor="text1"/>
          <w:sz w:val="16"/>
          <w:szCs w:val="16"/>
        </w:rPr>
        <w:t xml:space="preserve"> (11976).</w:t>
      </w:r>
    </w:p>
    <w:p w14:paraId="2057AC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E8A87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закончились испытания ЖРД РДА-1-1100 на стенде ОЛИД завода 293 совместно с НИИ-3, которые проходили с 18 августа 1941. С 10 сентября по 3 октября были проведены 177 коротких запусков по 3-5 секунд, а с 4 по 13 - 13 запусков по 10-60 сек. до тяги 420-960 кг (2928,8).</w:t>
      </w:r>
    </w:p>
    <w:p w14:paraId="038120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BD9C3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вышел приказ N 32/25 по 2 и 7 ГУ НКАП по распределению ОКБ по авиавооружению по заводам...</w:t>
      </w:r>
    </w:p>
    <w:p w14:paraId="3C28FD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N 315 (Киров) совместно с 32 заводом</w:t>
      </w:r>
    </w:p>
    <w:p w14:paraId="0B820C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ОКБ по бомбардировочным установкам (ГК Шульгин).</w:t>
      </w:r>
    </w:p>
    <w:p w14:paraId="171B37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ОКБ по стрелковым установкам (ГК Можаровский и Веневидов).</w:t>
      </w:r>
    </w:p>
    <w:p w14:paraId="0A2FF8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N 481 (Сызрань) совместно с частью завода 487, эвакуируемой на завод 481, ОКБ по стрелковым установкам (ГК Торопов).</w:t>
      </w:r>
    </w:p>
    <w:p w14:paraId="6D6DF6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N 454 (Куйбышев), совместно с частью завода 487, эвакуируемой на завод 454, ОКБ по стрелковым установкам (ГК И.П.Шебанов).</w:t>
      </w:r>
    </w:p>
    <w:p w14:paraId="2E9CAB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N 455 (Куйбышев), совместно с заводом 145, ОКБ по химвооружению (ГК И.И.Картуков)...(2520).</w:t>
      </w:r>
    </w:p>
    <w:p w14:paraId="4B72F6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46645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г. по приказу 7ГУ НКАП № 32/35 КБ-2 эвакуировано вместе с заводом в Киров. По приказу № 146с от 21.02.1942 г. конструкторская бригада из ОКБ-2 (6 чел.) была переведена в Москву в состав ОКБ завода № 43 НКАП. В ~1942 г. КБ-2 завода № 32 было влито в состав ОКБ завода № 266 для ускорения работ по электрифицированию установок вооружения. Объединенное ОКБ вскоре перевели с завода № 266 в отдельное помещение в Кирове (10376).</w:t>
      </w:r>
    </w:p>
    <w:p w14:paraId="328A7B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5B365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г. по приказу 7ГУ НКАП № 32/35 КБ-1 завода № 32 было эвакуировано вместе с заводом в Киров. Шульгин стал гл. конструктором ОКБ-32, действовавшим до 08.1944 г. По приказу № 146с от 21.02.1942 г. часть ОКБ-1 (33 чел.) была переведена в Москву в состав ОКБ завода № 43 НКАП.</w:t>
      </w:r>
    </w:p>
    <w:p w14:paraId="4E4816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(1938-41 г.-)- А.И. Шульгин.</w:t>
      </w:r>
    </w:p>
    <w:p w14:paraId="3E8263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конструктора (03.1941 г.-)- Б.К. Соколов (11982).</w:t>
      </w:r>
    </w:p>
    <w:p w14:paraId="2B4299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4F5A3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г. КБ-2 по приказу 7ГУ НКАП № 32/35 эвакуировано вместе с заводом в Киров. По приказу № 146с от 21.02.1942 г. конструкторская бригада из ОКБ-2 (6 чел.) была переведена в Москву в состав ОКБ завода № 43 НКАП. В ~1942 г. КБ-2 завода № 32 было влито в состав ОКБ завода № 266 для ускорения работ по электрифицированию установок вооружения. Объединенное ОКБ вскоре перевели с завода № 266 в отдельное помещение в Кирове.</w:t>
      </w:r>
    </w:p>
    <w:p w14:paraId="4E92CA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ОКБ-266 в соответствии с приказом НКАП № 272с от 6.05.1943 г. переведено из Кирова в Москву на территорию вновь образованного завода № 140 НКАП (ранее филиал завода № 266 НКАП) и где на базе ОКБ- 266 и КБ-2 завода № 32 образовано единое ОКБ-МО по электроавтоматике управления самолетом, моторами и вооружением.</w:t>
      </w:r>
    </w:p>
    <w:p w14:paraId="707BE6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Оставшаяся часть оборудования и личного состава опытного цеха передана КБ-3 гл. конструктора И.И. Торопова ( г. Киров) и ОКБ завода № 43 ( г. Москва).  Г.М. Можаровский с 1943 г.- преподаватель ВВИА им. Жуковского, в 1945 г. возглавил НИБС ВВС при ВВИА.</w:t>
      </w:r>
      <w:r w:rsidRPr="00640820">
        <w:rPr>
          <w:rFonts w:ascii="Times New Roman" w:hAnsi="Times New Roman"/>
          <w:color w:val="000000" w:themeColor="text1"/>
          <w:sz w:val="16"/>
          <w:szCs w:val="16"/>
          <w:vertAlign w:val="superscript"/>
        </w:rPr>
        <w:t>104</w:t>
      </w:r>
    </w:p>
    <w:p w14:paraId="5C3771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(1938-43 г.)-  Г.М. Можаровский.</w:t>
      </w:r>
    </w:p>
    <w:p w14:paraId="56063C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(1938-43 г.)- И.В. Веневидов (11982).</w:t>
      </w:r>
    </w:p>
    <w:p w14:paraId="485C5F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AC331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года Г. М. Бериева и директора завода Семена ? Литвиненко вызвали в Наркомат и ознакомили с решением Государственного Комитета Обороны, о передислокации ОКБ и завода на Восток (451).</w:t>
      </w:r>
    </w:p>
    <w:p w14:paraId="4D5496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118ED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на базе агрегатного КБ Московского карбюраторного з-да № 33 создалит ОКБ под руководством С.Косберга. Вскоре было эвакуировано в Бердск, где слилось в ОКБ-296 (5380).</w:t>
      </w:r>
    </w:p>
    <w:p w14:paraId="7469F1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F6B60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г., как сообщал член парткома ЦАГИ В.И. Душин первому секретарю Новосибирского обкома М.В. Кулагину, И.В.Сталин позвонил в ЦАГИ и предложил вне очереди группе сотрудников выехать в Новосибирск (9932).</w:t>
      </w:r>
    </w:p>
    <w:p w14:paraId="75614E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11C2C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из-за эвакуации ЛИИ испытания ТИС (А) Н.Н.П. вновь прервались и машина перелетела в Арзамас, а 18 октября - в Казань. Поступило распоряжение провести заводские испытания и машину по железной дороге отправили в Новосибирск (10545,33).</w:t>
      </w:r>
    </w:p>
    <w:p w14:paraId="20D614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FD3DDC6" w14:textId="77777777" w:rsidR="00C45D12" w:rsidRPr="00640820" w:rsidRDefault="00C45D12"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13 октября 1941 ТИС (А) перелетел в Арзамас, а 18 октября - в Казань, куда перебрался ЛИИ НКАП. Начальник ЛИИ профес</w:t>
      </w:r>
      <w:r w:rsidRPr="00640820">
        <w:rPr>
          <w:rFonts w:ascii="Times New Roman" w:cs="Times New Roman"/>
          <w:color w:val="000000" w:themeColor="text1"/>
          <w:spacing w:val="0"/>
        </w:rPr>
        <w:softHyphen/>
        <w:t>сор А.В. Чесалов решил продол</w:t>
      </w:r>
      <w:r w:rsidRPr="00640820">
        <w:rPr>
          <w:rFonts w:ascii="Times New Roman" w:cs="Times New Roman"/>
          <w:color w:val="000000" w:themeColor="text1"/>
          <w:spacing w:val="0"/>
        </w:rPr>
        <w:softHyphen/>
        <w:t>жить совместные заводские ис</w:t>
      </w:r>
      <w:r w:rsidRPr="00640820">
        <w:rPr>
          <w:rFonts w:ascii="Times New Roman" w:cs="Times New Roman"/>
          <w:color w:val="000000" w:themeColor="text1"/>
          <w:spacing w:val="0"/>
        </w:rPr>
        <w:softHyphen/>
        <w:t>пытания в Новосибирске, где на аэродроме Толмачево организо</w:t>
      </w:r>
      <w:r w:rsidRPr="00640820">
        <w:rPr>
          <w:rFonts w:ascii="Times New Roman" w:cs="Times New Roman"/>
          <w:color w:val="000000" w:themeColor="text1"/>
          <w:spacing w:val="0"/>
        </w:rPr>
        <w:softHyphen/>
        <w:t>вывался филиал института, и куда отправили завод №51 и ОКБ По</w:t>
      </w:r>
      <w:r w:rsidRPr="00640820">
        <w:rPr>
          <w:rFonts w:ascii="Times New Roman" w:cs="Times New Roman"/>
          <w:color w:val="000000" w:themeColor="text1"/>
          <w:spacing w:val="0"/>
        </w:rPr>
        <w:softHyphen/>
        <w:t>ликарпова. Самолет разобрали и отправили к месту назначения по железной дороге.</w:t>
      </w:r>
    </w:p>
    <w:p w14:paraId="0DEFDECF" w14:textId="77777777" w:rsidR="00C45D12" w:rsidRPr="00640820" w:rsidRDefault="00C45D12"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В связи с эвакуацией были свернуты все работы по второ</w:t>
      </w:r>
      <w:r w:rsidRPr="00640820">
        <w:rPr>
          <w:rFonts w:ascii="Times New Roman" w:cs="Times New Roman"/>
          <w:color w:val="000000" w:themeColor="text1"/>
          <w:spacing w:val="0"/>
        </w:rPr>
        <w:softHyphen/>
        <w:t>му и третьему экземплярам само</w:t>
      </w:r>
      <w:r w:rsidRPr="00640820">
        <w:rPr>
          <w:rFonts w:ascii="Times New Roman" w:cs="Times New Roman"/>
          <w:color w:val="000000" w:themeColor="text1"/>
          <w:spacing w:val="0"/>
        </w:rPr>
        <w:softHyphen/>
        <w:t>лета ТИС, хотя для них уже было изготовлено 50-60% деталей, закончены чертежи на новые варианты носовой и центропланной уста</w:t>
      </w:r>
      <w:r w:rsidRPr="00640820">
        <w:rPr>
          <w:rFonts w:ascii="Times New Roman" w:cs="Times New Roman"/>
          <w:color w:val="000000" w:themeColor="text1"/>
          <w:spacing w:val="0"/>
        </w:rPr>
        <w:softHyphen/>
        <w:t>новок пушек ШВАК (15755).</w:t>
      </w:r>
    </w:p>
    <w:p w14:paraId="46435190" w14:textId="77777777" w:rsidR="00C45D12" w:rsidRPr="00640820" w:rsidRDefault="00C45D12" w:rsidP="00640820">
      <w:pPr>
        <w:pStyle w:val="27"/>
        <w:shd w:val="clear" w:color="auto" w:fill="auto"/>
        <w:spacing w:after="0" w:line="240" w:lineRule="auto"/>
        <w:ind w:firstLine="0"/>
        <w:rPr>
          <w:rFonts w:ascii="Times New Roman" w:cs="Times New Roman"/>
          <w:color w:val="000000" w:themeColor="text1"/>
          <w:spacing w:val="0"/>
        </w:rPr>
      </w:pPr>
    </w:p>
    <w:p w14:paraId="1F9CDB27" w14:textId="77777777" w:rsidR="00C45D12" w:rsidRPr="00640820" w:rsidRDefault="00C45D12"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после приня</w:t>
      </w:r>
      <w:r w:rsidRPr="00640820">
        <w:rPr>
          <w:rFonts w:ascii="Times New Roman" w:hAnsi="Times New Roman"/>
          <w:color w:val="000000" w:themeColor="text1"/>
          <w:sz w:val="16"/>
          <w:szCs w:val="16"/>
        </w:rPr>
        <w:softHyphen/>
        <w:t>тия решения об эвакуации ЛИИ НКАП, ТИС (А) пере</w:t>
      </w:r>
      <w:r w:rsidRPr="00640820">
        <w:rPr>
          <w:rFonts w:ascii="Times New Roman" w:hAnsi="Times New Roman"/>
          <w:color w:val="000000" w:themeColor="text1"/>
          <w:sz w:val="16"/>
          <w:szCs w:val="16"/>
        </w:rPr>
        <w:softHyphen/>
        <w:t>летел в Арзамас, затем, 18 октября - в Казань, где уже находилось ЛИИ. Но там дали указание провести снача</w:t>
      </w:r>
      <w:r w:rsidRPr="00640820">
        <w:rPr>
          <w:rFonts w:ascii="Times New Roman" w:hAnsi="Times New Roman"/>
          <w:color w:val="000000" w:themeColor="text1"/>
          <w:sz w:val="16"/>
          <w:szCs w:val="16"/>
        </w:rPr>
        <w:softHyphen/>
        <w:t>ла заводские испытания, а потом уже доводочные в ЛИИ НКАП. ТИС (А) разобрали и по железной дороге отправили в Новосибирск. Второй и третий экземпляры ТИС строились, но ввиду небольшой производственной мощности завода и загруженности другими заданиями к началу эвакуа</w:t>
      </w:r>
      <w:r w:rsidRPr="00640820">
        <w:rPr>
          <w:rFonts w:ascii="Times New Roman" w:hAnsi="Times New Roman"/>
          <w:color w:val="000000" w:themeColor="text1"/>
          <w:sz w:val="16"/>
          <w:szCs w:val="16"/>
        </w:rPr>
        <w:softHyphen/>
        <w:t>ции они оказались готовы только на 50-60% и по этой причине до конца 1941 г. работа над ними была приос</w:t>
      </w:r>
      <w:r w:rsidRPr="00640820">
        <w:rPr>
          <w:rFonts w:ascii="Times New Roman" w:hAnsi="Times New Roman"/>
          <w:color w:val="000000" w:themeColor="text1"/>
          <w:sz w:val="16"/>
          <w:szCs w:val="16"/>
        </w:rPr>
        <w:softHyphen/>
        <w:t>тановлена (10667).</w:t>
      </w:r>
    </w:p>
    <w:p w14:paraId="5F9038D7" w14:textId="77777777" w:rsidR="00C45D12" w:rsidRPr="00640820" w:rsidRDefault="00C45D12"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E1697F" w14:textId="77777777" w:rsidR="00F075BB" w:rsidRPr="00640820" w:rsidRDefault="00F075BB"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К 13 октября 1941 ТИС (А) перелетел в Арзамас, а 18 октября — в Казань, куда перебрал</w:t>
      </w:r>
      <w:r w:rsidRPr="00640820">
        <w:rPr>
          <w:color w:val="000000" w:themeColor="text1"/>
          <w:sz w:val="16"/>
          <w:szCs w:val="16"/>
        </w:rPr>
        <w:softHyphen/>
        <w:t>ся ЛИИ НКАП. Начальник ЛИИ профессор А. В. Че- салов решил продолжить совместные заводские испытания в Новосибирске, где на аэродроме Тол- мачево организовывался филиал института и куда отправили завод № 51 и ОКБ Поликарпова. Само</w:t>
      </w:r>
      <w:r w:rsidRPr="00640820">
        <w:rPr>
          <w:color w:val="000000" w:themeColor="text1"/>
          <w:sz w:val="16"/>
          <w:szCs w:val="16"/>
        </w:rPr>
        <w:softHyphen/>
        <w:t>лет разобрали и отправили к месту назначения по железной дороге (17500).</w:t>
      </w:r>
    </w:p>
    <w:p w14:paraId="7498FB5C" w14:textId="77777777" w:rsidR="00F075BB" w:rsidRPr="00640820" w:rsidRDefault="00F075BB" w:rsidP="00640820">
      <w:pPr>
        <w:spacing w:after="0" w:line="240" w:lineRule="auto"/>
        <w:jc w:val="both"/>
        <w:rPr>
          <w:rFonts w:ascii="Times New Roman" w:eastAsia="Times New Roman" w:hAnsi="Times New Roman"/>
          <w:color w:val="000000" w:themeColor="text1"/>
          <w:sz w:val="16"/>
          <w:szCs w:val="16"/>
          <w:lang w:eastAsia="ru-RU"/>
        </w:rPr>
      </w:pPr>
    </w:p>
    <w:p w14:paraId="2BEFEA8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Бериева и директора завода № 288 вызвали в наркомат, ознакомили с решением Государственного комитета обо</w:t>
      </w:r>
      <w:r w:rsidRPr="00640820">
        <w:rPr>
          <w:rFonts w:ascii="Times New Roman" w:hAnsi="Times New Roman"/>
          <w:color w:val="000000" w:themeColor="text1"/>
          <w:sz w:val="16"/>
          <w:szCs w:val="16"/>
        </w:rPr>
        <w:softHyphen/>
        <w:t>роны и предложили в течение трех суток эва</w:t>
      </w:r>
      <w:r w:rsidRPr="00640820">
        <w:rPr>
          <w:rFonts w:ascii="Times New Roman" w:hAnsi="Times New Roman"/>
          <w:color w:val="000000" w:themeColor="text1"/>
          <w:sz w:val="16"/>
          <w:szCs w:val="16"/>
        </w:rPr>
        <w:softHyphen/>
        <w:t>куировать завод. На следующий день немцы заняли г. Калинин, находившийся всего в 90км от Савелово. Эшелоны грузили 15 и 16 октября уже под бомбежками. Вначале планировалось перебазировать завод №288 вместе с ОКБ в г. Чкаловск, но обстановка менялась столь стремительно, что место на</w:t>
      </w:r>
      <w:r w:rsidRPr="00640820">
        <w:rPr>
          <w:rFonts w:ascii="Times New Roman" w:hAnsi="Times New Roman"/>
          <w:color w:val="000000" w:themeColor="text1"/>
          <w:sz w:val="16"/>
          <w:szCs w:val="16"/>
        </w:rPr>
        <w:softHyphen/>
        <w:t>значения было изменено, и эшелоны отпра</w:t>
      </w:r>
      <w:r w:rsidRPr="00640820">
        <w:rPr>
          <w:rFonts w:ascii="Times New Roman" w:hAnsi="Times New Roman"/>
          <w:color w:val="000000" w:themeColor="text1"/>
          <w:sz w:val="16"/>
          <w:szCs w:val="16"/>
        </w:rPr>
        <w:softHyphen/>
        <w:t>вились дальше на восток. В первых числах декабря поезд с людьми прибыл в Омск. 25 декабря туда доставили оборудование и задел самолетных деталей и агрегатов (10685).</w:t>
      </w:r>
    </w:p>
    <w:p w14:paraId="2E057C3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79FEE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года Приказом НКАП при заводе №296 было организовано ОКБ (главный конструк</w:t>
      </w:r>
      <w:r w:rsidRPr="00640820">
        <w:rPr>
          <w:rFonts w:ascii="Times New Roman" w:hAnsi="Times New Roman"/>
          <w:color w:val="000000" w:themeColor="text1"/>
          <w:sz w:val="16"/>
          <w:szCs w:val="16"/>
        </w:rPr>
        <w:softHyphen/>
        <w:t>тор С.А. Косберг), куда были переве</w:t>
      </w:r>
      <w:r w:rsidRPr="00640820">
        <w:rPr>
          <w:rFonts w:ascii="Times New Roman" w:hAnsi="Times New Roman"/>
          <w:color w:val="000000" w:themeColor="text1"/>
          <w:sz w:val="16"/>
          <w:szCs w:val="16"/>
        </w:rPr>
        <w:softHyphen/>
        <w:t>дены работники КБ завода №33, за</w:t>
      </w:r>
      <w:r w:rsidRPr="00640820">
        <w:rPr>
          <w:rFonts w:ascii="Times New Roman" w:hAnsi="Times New Roman"/>
          <w:color w:val="000000" w:themeColor="text1"/>
          <w:sz w:val="16"/>
          <w:szCs w:val="16"/>
        </w:rPr>
        <w:softHyphen/>
        <w:t>нимавшиеся НВ (10705).</w:t>
      </w:r>
    </w:p>
    <w:p w14:paraId="1A359A8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74D028" w14:textId="77777777" w:rsidR="00C45D12" w:rsidRPr="00640820" w:rsidRDefault="00C45D12"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г. было создано Конструкторское бюро химавтоматики (КБХА) с наименованием ОКБ-296 в составе Народного комиссариата авиационной промышленности. В 1946 году переименовано в ОКБ-154 Министерства авиационной промышленности. С 1965 года стало называться КБХА Министерства общего машиностроения. Конструкторское бюро химавтоматики (КБХА)- предприятие Российского космического агентства- является одним из мировых лидеров по созданию жидкостных ракетных двигателей (ЖРД) и энергетических установок (ЭУ) для различных видов ракетной техники оборонного, научного и народнохозяйственного назначения. Здесь разработано около 60 образцов ЖРД, 30 из которых доведены до серийного производства. Часть из них не имеет мировых аналогов. (6395).</w:t>
      </w:r>
    </w:p>
    <w:p w14:paraId="3D625617" w14:textId="77777777" w:rsidR="00C45D12" w:rsidRPr="00640820" w:rsidRDefault="00C45D12"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8D75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13 октября 1941 г. по приказу № 1066с для организации опытной базы по агегатам непосредственного впрыска авиамоторов вновь сформирован ОКО (далее- ОКБ) на базе эвакуированного завода № 296 НКАП и КБ-2 ОКО завода № 33 (Д.Н. Рудин, Ф.П. Пашков, Н.П. Голин и др.) под руководством С.А. Косберга. Переведены </w:t>
      </w:r>
      <w:r w:rsidRPr="00640820">
        <w:rPr>
          <w:rFonts w:ascii="Times New Roman" w:hAnsi="Times New Roman"/>
          <w:color w:val="000000" w:themeColor="text1"/>
          <w:sz w:val="16"/>
          <w:szCs w:val="16"/>
        </w:rPr>
        <w:lastRenderedPageBreak/>
        <w:t>также работники ЦИАМ (В.А. Бородин и др.). Работы по агрегатам топливопитания и регулирования авиационных поршневых моторов (НБ-3У для АШ-82ФН). В начале 1946 г. ОКБ-296 (г. Бердск) объединено с заводом № 296. Далее, в 04.1946 г. ОКБ-296 переведено в Воронеж и получило название ОКБ-154 МАП. В 1947 г. при заводе № 154 действовало единое ОКБ-154-296. Гл. конструктор (10.1941-04.1946 г.)- С.А. Косберг (до этого- на заводе № 33). Зам. гл. конструктора (1941 г.-)- Д.Н. Рудин (10776).</w:t>
      </w:r>
    </w:p>
    <w:p w14:paraId="4DEAB5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0340B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г. по приказу № 1066с для организации опытной базы по агрегатам непосредственного впрыска авиамоторов был вновь сформирован ОКО (далее- ОКБ) на базе эвакуированного завода № 296 НКАП и КБ-2 ОКО завода № 33 (Д.Н. Рудин, Ф.П. Пашков, Н.П. Голин и др.) под руководством С.А. Косберга. Переведены также работники ЦИАМ (В.А. Бородин и др.).</w:t>
      </w:r>
    </w:p>
    <w:p w14:paraId="27BC82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по агрегатам топливопитания и регулирования авиационных поршневых моторов (НБ-ЗУ для АШ- 82ФН).</w:t>
      </w:r>
    </w:p>
    <w:p w14:paraId="05EE60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1946 г. ОКБ-296 ( г. Бердск) объединено с заводом</w:t>
      </w:r>
      <w:r w:rsidRPr="00640820">
        <w:rPr>
          <w:rFonts w:ascii="Times New Roman" w:hAnsi="Times New Roman"/>
          <w:iCs/>
          <w:color w:val="000000" w:themeColor="text1"/>
          <w:sz w:val="16"/>
          <w:szCs w:val="16"/>
        </w:rPr>
        <w:t xml:space="preserve"> № 296.</w:t>
      </w:r>
      <w:r w:rsidRPr="00640820">
        <w:rPr>
          <w:rFonts w:ascii="Times New Roman" w:hAnsi="Times New Roman"/>
          <w:color w:val="000000" w:themeColor="text1"/>
          <w:sz w:val="16"/>
          <w:szCs w:val="16"/>
        </w:rPr>
        <w:t xml:space="preserve"> Далее, в 04.1946 г. ОКБ-296 переведено в Воронеж и получило название ОКБ-154 МАП. В 1947 г. при заводе № 154 действовало единое ОКБ-154-296.</w:t>
      </w:r>
    </w:p>
    <w:p w14:paraId="24E58D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(10.1941 -04.1946 г.)- С.А. Косбер г.</w:t>
      </w:r>
    </w:p>
    <w:p w14:paraId="15632B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конструктора (1941 г.-)- Д.Н. Рудин (11982).</w:t>
      </w:r>
    </w:p>
    <w:p w14:paraId="189B40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717CBC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г. немецкий эксперт составил отчёт, из которого видно, что к тому времени немецкие специалисты имели достаточно полное представ</w:t>
      </w:r>
      <w:r w:rsidRPr="00640820">
        <w:rPr>
          <w:rFonts w:ascii="Times New Roman" w:hAnsi="Times New Roman"/>
          <w:color w:val="000000" w:themeColor="text1"/>
          <w:sz w:val="16"/>
          <w:szCs w:val="16"/>
        </w:rPr>
        <w:softHyphen/>
        <w:t>ление о типах советских ракет, использованных в боевых действиях.</w:t>
      </w:r>
    </w:p>
    <w:p w14:paraId="06F048F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Отчёт состоял из трех частей и заключения. В первой излагались общие сведения. Из них следовало, что советская сторона применяла в боях: 1) ракеты трех калибров, вы</w:t>
      </w:r>
      <w:r w:rsidRPr="00640820">
        <w:rPr>
          <w:rFonts w:ascii="Times New Roman" w:hAnsi="Times New Roman"/>
          <w:color w:val="000000" w:themeColor="text1"/>
          <w:sz w:val="16"/>
          <w:szCs w:val="16"/>
        </w:rPr>
        <w:softHyphen/>
        <w:t>пускавшиеся с наземных передвижных или стационарных установок, действие которых напоминало ураганный огонь и распространялось на большие площади; 2) ракетные снаряды, выпускавшиеся по наземным целям и низко летящим самолётам с круговых, поворачивавшихся на 360° платформ; 3) ракетные снаряды, выпускавшиеся с самолё</w:t>
      </w:r>
      <w:r w:rsidRPr="00640820">
        <w:rPr>
          <w:rFonts w:ascii="Times New Roman" w:hAnsi="Times New Roman"/>
          <w:color w:val="000000" w:themeColor="text1"/>
          <w:sz w:val="16"/>
          <w:szCs w:val="16"/>
        </w:rPr>
        <w:softHyphen/>
        <w:t>тов также по наземным целям и самолётам противника. При этом отмечалось более частое использование оружия первого типа и подчеркивалась его эффективность с це</w:t>
      </w:r>
      <w:r w:rsidRPr="00640820">
        <w:rPr>
          <w:rFonts w:ascii="Times New Roman" w:hAnsi="Times New Roman"/>
          <w:color w:val="000000" w:themeColor="text1"/>
          <w:sz w:val="16"/>
          <w:szCs w:val="16"/>
        </w:rPr>
        <w:softHyphen/>
        <w:t>лью ударов на значительные расстояния (Сводный отчет о трофейных русских ракетах). Берлин. 13.10.1941 // Архив Музея Германа Оберта (Фойхт, Германия). Собрание Отто Вимера. Копия в архиве Т.Н. Желниной. Л. 1-10.).</w:t>
      </w:r>
    </w:p>
    <w:p w14:paraId="4B2ADDE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Переходя к анализу сделанных наблюдений, автор отчёта писал: «Характерной чер</w:t>
      </w:r>
      <w:r w:rsidRPr="00640820">
        <w:rPr>
          <w:rFonts w:ascii="Times New Roman" w:hAnsi="Times New Roman"/>
          <w:color w:val="000000" w:themeColor="text1"/>
          <w:sz w:val="16"/>
          <w:szCs w:val="16"/>
        </w:rPr>
        <w:softHyphen/>
        <w:t>той всех русских ракет в отличие от немецких, стабилизируемых вращением, является наличие стабилизаторов». И далее: «Не будучи стесненными недостатком сырья и про</w:t>
      </w:r>
      <w:r w:rsidRPr="00640820">
        <w:rPr>
          <w:rFonts w:ascii="Times New Roman" w:hAnsi="Times New Roman"/>
          <w:color w:val="000000" w:themeColor="text1"/>
          <w:sz w:val="16"/>
          <w:szCs w:val="16"/>
        </w:rPr>
        <w:softHyphen/>
        <w:t>изводственными трудностями, имея возможность применять при изготовлении оболо</w:t>
      </w:r>
      <w:r w:rsidRPr="00640820">
        <w:rPr>
          <w:rFonts w:ascii="Times New Roman" w:hAnsi="Times New Roman"/>
          <w:color w:val="000000" w:themeColor="text1"/>
          <w:sz w:val="16"/>
          <w:szCs w:val="16"/>
        </w:rPr>
        <w:softHyphen/>
        <w:t>чки и сопла лучшие легированные сорта стали, а также использовать в качестве топлива порох на основе нитроглицерина, привлекая лучших специалистов и оборудование, рус</w:t>
      </w:r>
      <w:r w:rsidRPr="00640820">
        <w:rPr>
          <w:rFonts w:ascii="Times New Roman" w:hAnsi="Times New Roman"/>
          <w:color w:val="000000" w:themeColor="text1"/>
          <w:sz w:val="16"/>
          <w:szCs w:val="16"/>
        </w:rPr>
        <w:softHyphen/>
        <w:t>ские сумели создать вполне приемлемое оружие для поражения больших площадей».</w:t>
      </w:r>
    </w:p>
    <w:p w14:paraId="468FC20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Среди преимуществ советских ракет отмечались:</w:t>
      </w:r>
    </w:p>
    <w:p w14:paraId="141381F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Сопло, расположенное по центру.</w:t>
      </w:r>
    </w:p>
    <w:p w14:paraId="4B6D275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Использование пороха на основе нитроглицерина, следствием чего явились безу</w:t>
      </w:r>
      <w:r w:rsidRPr="00640820">
        <w:rPr>
          <w:rFonts w:ascii="Times New Roman" w:hAnsi="Times New Roman"/>
          <w:color w:val="000000" w:themeColor="text1"/>
          <w:sz w:val="16"/>
          <w:szCs w:val="16"/>
        </w:rPr>
        <w:softHyphen/>
        <w:t>коризненное воспламенение топлива при температуре от -40° до +33°, относительно низкое давление в камере сгорания и, следовательно, возможность избежать толстых стенок оболочки. «Тяжелое положение с сырьем в Германии», — говорилось далее, -«вынудило нас перейти на порох на основе дигликоля, воспламенение которого при минусовых температурах сопровождается немалыми трудностями, и горение которого протекает в условиях повышенного давления».</w:t>
      </w:r>
    </w:p>
    <w:p w14:paraId="358AE2D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Достигаемая при наличии стабилизаторов возможность установки на снаряды про</w:t>
      </w:r>
      <w:r w:rsidRPr="00640820">
        <w:rPr>
          <w:rFonts w:ascii="Times New Roman" w:hAnsi="Times New Roman"/>
          <w:color w:val="000000" w:themeColor="text1"/>
          <w:sz w:val="16"/>
          <w:szCs w:val="16"/>
        </w:rPr>
        <w:softHyphen/>
        <w:t>стейших направляющих и использования для пуска ракет разных калибров одних и тех же пусковых установок.</w:t>
      </w:r>
    </w:p>
    <w:p w14:paraId="2C2D085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Автор отчёта высказал даже предположение, что данное преимущество побудило со</w:t>
      </w:r>
      <w:r w:rsidRPr="00640820">
        <w:rPr>
          <w:rFonts w:ascii="Times New Roman" w:hAnsi="Times New Roman"/>
          <w:color w:val="000000" w:themeColor="text1"/>
          <w:sz w:val="16"/>
          <w:szCs w:val="16"/>
        </w:rPr>
        <w:softHyphen/>
        <w:t>ветских конструкторов закрыть глаза на тот недостаток, который, по его мнению, влечет за собой стабилизация посредством оперения, а именно — большую рассеиваемость снарядов при стрельбе.</w:t>
      </w:r>
    </w:p>
    <w:p w14:paraId="56A6520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принципиальным недостаткам русских ракет автор отчёта отнес:</w:t>
      </w:r>
    </w:p>
    <w:p w14:paraId="45A53DD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Стабилизацию посредством оперения, которая при боковом ветре дает большую рассеивае</w:t>
      </w:r>
      <w:r w:rsidRPr="00640820">
        <w:rPr>
          <w:rFonts w:ascii="Times New Roman" w:hAnsi="Times New Roman"/>
          <w:color w:val="000000" w:themeColor="text1"/>
          <w:sz w:val="16"/>
          <w:szCs w:val="16"/>
        </w:rPr>
        <w:softHyphen/>
        <w:t>мость.</w:t>
      </w:r>
    </w:p>
    <w:p w14:paraId="6F41570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Сложную систему зажигания, использованную на пусковых ус</w:t>
      </w:r>
      <w:r w:rsidRPr="00640820">
        <w:rPr>
          <w:rFonts w:ascii="Times New Roman" w:hAnsi="Times New Roman"/>
          <w:color w:val="000000" w:themeColor="text1"/>
          <w:sz w:val="16"/>
          <w:szCs w:val="16"/>
        </w:rPr>
        <w:softHyphen/>
        <w:t>тановках, приведение которой в готовность при их большом числе требует слишком много времени.</w:t>
      </w:r>
    </w:p>
    <w:p w14:paraId="38B3F0F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Относительно медленное передвижение снаряженной многими снарядами автомо</w:t>
      </w:r>
      <w:r w:rsidRPr="00640820">
        <w:rPr>
          <w:rFonts w:ascii="Times New Roman" w:hAnsi="Times New Roman"/>
          <w:color w:val="000000" w:themeColor="text1"/>
          <w:sz w:val="16"/>
          <w:szCs w:val="16"/>
        </w:rPr>
        <w:softHyphen/>
        <w:t>бильной пусковой установки.</w:t>
      </w:r>
    </w:p>
    <w:p w14:paraId="6A31377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Необходимость слишком точной работы при изготовлении отдельных снарядов из-за применения высококачественных материалов, которая, в свою очередь, в качестве обязательной предпосылки массового производства влечет наличие развитой промыш</w:t>
      </w:r>
      <w:r w:rsidRPr="00640820">
        <w:rPr>
          <w:rFonts w:ascii="Times New Roman" w:hAnsi="Times New Roman"/>
          <w:color w:val="000000" w:themeColor="text1"/>
          <w:sz w:val="16"/>
          <w:szCs w:val="16"/>
        </w:rPr>
        <w:softHyphen/>
        <w:t>ленности, высококвалифицированных рабочих кадров и соответствующего сырья.</w:t>
      </w:r>
    </w:p>
    <w:p w14:paraId="7D2A698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Размещение полезного груза в головной части: «Головная часть русских ракет от</w:t>
      </w:r>
      <w:r w:rsidRPr="00640820">
        <w:rPr>
          <w:rFonts w:ascii="Times New Roman" w:hAnsi="Times New Roman"/>
          <w:color w:val="000000" w:themeColor="text1"/>
          <w:sz w:val="16"/>
          <w:szCs w:val="16"/>
        </w:rPr>
        <w:softHyphen/>
        <w:t>носительно мала по сравнению с их общим весом», — пояснялось далее, — «Поэтому большая часть осколков поглощается землей. В наших ракетах полезный груз находит</w:t>
      </w:r>
      <w:r w:rsidRPr="00640820">
        <w:rPr>
          <w:rFonts w:ascii="Times New Roman" w:hAnsi="Times New Roman"/>
          <w:color w:val="000000" w:themeColor="text1"/>
          <w:sz w:val="16"/>
          <w:szCs w:val="16"/>
        </w:rPr>
        <w:softHyphen/>
        <w:t>ся в хвостовой части и разрыв на осколки происходит над земной поверхностью».</w:t>
      </w:r>
    </w:p>
    <w:p w14:paraId="5F1E9BC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второй части отчета приводились основные технические характеристики советских ракетных снарядов калибра 130 мм, 132 мм и 82 мм, и описывалась их конструкция. Далее следовали данные о составе использованного твердого топлива.</w:t>
      </w:r>
    </w:p>
    <w:p w14:paraId="344B35B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Особый интерес представляла третья часть с заключением, которое приводим полно</w:t>
      </w:r>
      <w:r w:rsidRPr="00640820">
        <w:rPr>
          <w:rFonts w:ascii="Times New Roman" w:hAnsi="Times New Roman"/>
          <w:color w:val="000000" w:themeColor="text1"/>
          <w:sz w:val="16"/>
          <w:szCs w:val="16"/>
        </w:rPr>
        <w:softHyphen/>
        <w:t>стью: «Несмотря на строгую секретность проведения в Германии работ в области ракет</w:t>
      </w:r>
      <w:r w:rsidRPr="00640820">
        <w:rPr>
          <w:rFonts w:ascii="Times New Roman" w:hAnsi="Times New Roman"/>
          <w:color w:val="000000" w:themeColor="text1"/>
          <w:sz w:val="16"/>
          <w:szCs w:val="16"/>
        </w:rPr>
        <w:softHyphen/>
        <w:t>ного оружия, русская боевая техника, либо получив толчок в результате шпионажа, либо под действием собственных движущих сил, прошла в своем развитии тот же путь, что и немецкая. Цели использования ракетного оружия в Германии и СССР одни и те же.</w:t>
      </w:r>
    </w:p>
    <w:p w14:paraId="4458F3E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Русские ясно осознали значение ракетного оружия для проведения газовых атак и нанесения ураганных ударов на большие расстояния.</w:t>
      </w:r>
    </w:p>
    <w:p w14:paraId="23914B1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Современное состояние русской ракетной техники, за исключением обусловленных более благоприятным положением с сырьем разработок в области порохов, соответст</w:t>
      </w:r>
      <w:r w:rsidRPr="00640820">
        <w:rPr>
          <w:rFonts w:ascii="Times New Roman" w:hAnsi="Times New Roman"/>
          <w:color w:val="000000" w:themeColor="text1"/>
          <w:sz w:val="16"/>
          <w:szCs w:val="16"/>
        </w:rPr>
        <w:softHyphen/>
        <w:t>вует уровню развития немецкого ракетостроения 1934-1936 гг.</w:t>
      </w:r>
    </w:p>
    <w:p w14:paraId="17F9B1D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По-видимому, русские приблизились к завершению работ только в самое последнее время, так что в войне против Германии пока использовали лишь немногочисленные, сохраняемые в глубокой тайне опытные образцы.</w:t>
      </w:r>
    </w:p>
    <w:p w14:paraId="6127E60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Хотя некоторые преимущества русских ракет очевидны, все же их недостатки, осо</w:t>
      </w:r>
      <w:r w:rsidRPr="00640820">
        <w:rPr>
          <w:rFonts w:ascii="Times New Roman" w:hAnsi="Times New Roman"/>
          <w:color w:val="000000" w:themeColor="text1"/>
          <w:sz w:val="16"/>
          <w:szCs w:val="16"/>
        </w:rPr>
        <w:softHyphen/>
        <w:t>бенно связанные с производственными возможностями, настолько преобладают, что об их воспроизведении в Германии не может быть и речи.</w:t>
      </w:r>
    </w:p>
    <w:p w14:paraId="52AFCC5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Трофейные пусковые установки могут быть, без всякого сомнения, использованы при условии наличия достаточного количества снарядов и после короткого инструкта</w:t>
      </w:r>
      <w:r w:rsidRPr="00640820">
        <w:rPr>
          <w:rFonts w:ascii="Times New Roman" w:hAnsi="Times New Roman"/>
          <w:color w:val="000000" w:themeColor="text1"/>
          <w:sz w:val="16"/>
          <w:szCs w:val="16"/>
        </w:rPr>
        <w:softHyphen/>
        <w:t>жа относительно их обслуживания. Целесообразно, однако, будет переделать русскую систему зажигания на ту, которая используется на наших тяжёлых метательных уста</w:t>
      </w:r>
      <w:r w:rsidRPr="00640820">
        <w:rPr>
          <w:rFonts w:ascii="Times New Roman" w:hAnsi="Times New Roman"/>
          <w:color w:val="000000" w:themeColor="text1"/>
          <w:sz w:val="16"/>
          <w:szCs w:val="16"/>
        </w:rPr>
        <w:softHyphen/>
        <w:t>новках. Тем самым можно значительно увеличить скорость огня.</w:t>
      </w:r>
    </w:p>
    <w:p w14:paraId="3D3E275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Если удастся вывезти на родину, предположительно, находящийся в Ростове-на-Дону завод по производству ракет и достаточное количество сырья, то можно будет исполь</w:t>
      </w:r>
      <w:r w:rsidRPr="00640820">
        <w:rPr>
          <w:rFonts w:ascii="Times New Roman" w:hAnsi="Times New Roman"/>
          <w:color w:val="000000" w:themeColor="text1"/>
          <w:sz w:val="16"/>
          <w:szCs w:val="16"/>
        </w:rPr>
        <w:softHyphen/>
        <w:t>зовать трофеи с учетом немецких возможностей и дополнить ими, —даже имея в виду их недостатки, — немецкие ракетные части» (11696).</w:t>
      </w:r>
    </w:p>
    <w:p w14:paraId="14787F1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AF5AB5" w14:textId="77777777" w:rsidR="00C45D12"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вышло Постановление ГКО № 773 О переводе производства снарядов М-8 и М-13 из района Ростова-на-Дону в Новосибирск и Ташкент. РГАНИР, Фонд ГКО, д. 12, лл. 88 (11012).</w:t>
      </w:r>
    </w:p>
    <w:p w14:paraId="7B37C00C" w14:textId="77777777" w:rsidR="00C45D12" w:rsidRPr="00640820" w:rsidRDefault="00C45D12" w:rsidP="00640820">
      <w:pPr>
        <w:autoSpaceDE w:val="0"/>
        <w:autoSpaceDN w:val="0"/>
        <w:adjustRightInd w:val="0"/>
        <w:spacing w:after="0" w:line="240" w:lineRule="auto"/>
        <w:jc w:val="both"/>
        <w:rPr>
          <w:rFonts w:ascii="Times New Roman" w:hAnsi="Times New Roman"/>
          <w:color w:val="000000" w:themeColor="text1"/>
          <w:sz w:val="16"/>
          <w:szCs w:val="16"/>
        </w:rPr>
      </w:pPr>
    </w:p>
    <w:p w14:paraId="24CF74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г. ГОСУДАРСТВЕННЫЙ КОМИТЕТ ОБОРОНЫ ПОСТАНОВЛЕНИЕ № ГКО-773сс</w:t>
      </w:r>
    </w:p>
    <w:p w14:paraId="45B86B72" w14:textId="77777777" w:rsidR="00C45D12"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Москва, Кремль </w:t>
      </w:r>
    </w:p>
    <w:p w14:paraId="4EFEBCC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 переводе производства снарядов М-8 и М-13 из района Ростова-на-Дону в Новосибирск и Ташкент.</w:t>
      </w:r>
    </w:p>
    <w:p w14:paraId="1D9DA36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 Обязать Наркомобщмаш, Наркомсредмаш, НКПС, Наркомместпром РСФСР, Наркомтяжмаш, Наркомстрой, Наркомрыбпром, Наркомчермет, Наркомпищепром СССР, Наркомхимпром, Наркомречфлот, Наркомцветмет, Наркомуголь, Наркомэлектростанций и Управление трудовых резервов при СНК СССР немедленно вывезти из Ростова на Дону (Ростовский куст) с предприятий, на которых организовано производство снарядов М-13 и М-8, оборудование, инструмент и приспособления, металл, заготовку, незавершенное производство и готовые детали, а также кадры рабочих и инженерно-технических работников, занятых на производстве снарядов М-13 и М-8, в Ташкент на завод Ташсельмаш - производство снарядов М-13 и в Новосибирск на завод № 179 - производство снарядов М-8. </w:t>
      </w:r>
    </w:p>
    <w:p w14:paraId="43931A6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 Ответственность за проведение настоящего решения возложить на т.т. Двинского (Ростовский обком ВКП(б)), Ликомидова (Управление кадров ЦК ВКП(б)), Титаренко (директора завода Ростсельмаш им. Сталина). </w:t>
      </w:r>
    </w:p>
    <w:p w14:paraId="7D680B9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 НКПС (т. Кагановичу Л.М.) обеспечить подачу потребного количества вагонов для перевозки производства снарядов М-13 и М-8 из района Ростов на Дону в Новосибирск и Ташкент. </w:t>
      </w:r>
    </w:p>
    <w:p w14:paraId="1B92D3C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4. Обязать Новосибирский областной Совет депутатов трудящихся (т. Гришина) и СНК Узбекской ССР (т. Абдурахманова) обеспечить жильем рабочих и ИТР, переводимых с предприятий Ростова на Дону на завод № 179 в г. Новосибирске и завод Ташсельмаш в г. Ташкенте. </w:t>
      </w:r>
    </w:p>
    <w:p w14:paraId="6AD3BE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5. Обязать Наркомобщмаш (т. Паршина) организовать на Ташсельмаше производство снарядов М-13. ПРЕДСЕДАТЕЛЬ ГОСУДАРСТВЕННОГО КОМИТЕТА ОБОРОНЫ И. СТАЛИН </w:t>
      </w:r>
    </w:p>
    <w:p w14:paraId="5831D85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Выписки посланы: </w:t>
      </w:r>
    </w:p>
    <w:p w14:paraId="0B45989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т.т. Маленкову, Швернику, Вознесенскому, Горемыкину, Гайдукову, Косяченко, Кузьмину - все; </w:t>
      </w:r>
    </w:p>
    <w:p w14:paraId="07FB8C8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Двинскому - 1, 2, ЦК и СНК Узбекистана 1, 4 соотв., </w:t>
      </w:r>
    </w:p>
    <w:p w14:paraId="584C0A2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5, Новосибирскому обкому и облисп. 1, 4 соотв., </w:t>
      </w:r>
    </w:p>
    <w:p w14:paraId="782EBA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Паршину - 1,5, Кагановичу - 1, 3; наркомам – соответ (12677).</w:t>
      </w:r>
    </w:p>
    <w:p w14:paraId="33AD51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B2A99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года была закончена разработка нового варианта установки М-8-24 для пуска 24 неуправляемых реактивных снарядов М-8 калибра 82 мм с метательной установкой, смонтированной на месте башни танка Т-40 и Т-60. По результатам работ было решено использовать направляющую типа “балка”. Максимальная табличная дальность полета снаряда составляла 5515 м. Установки были приняты на вооружение Красной армии и переданы для серийного производства на ряд заводов [36]. Планом на 4-й квартал 1941 года было запланировано изготовление 360 установок на шасси Т-60 – по 120 штук в месяц [37]. Вариант на модифицированном шасси танка Т-60 был захвачен военнослужащими германской армии [38],[39]. Данные о захвате варианта на модифицированном шасси танка Т-40 не подтверждены. Также проводились работы по созданию мотоциклетной установки, установки на аэросанях, автоприцепе, вездеходе, бронепоездах, а с 1942 года морских вариантов (11772).</w:t>
      </w:r>
    </w:p>
    <w:p w14:paraId="4C46F4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91676E6" w14:textId="77777777" w:rsidR="00C45D12" w:rsidRPr="00640820" w:rsidRDefault="00C45D1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года была закончена разработка нового варианта установки М-8-24 для пуска 24 неуправляемых реактивных снарядов М-8 калибра 82 мм с метательной установкой, смонтированной на месте башни танка Т-40 и Т-60. По результатам работ было решено использовать направляющую типа “балка”. Установки были приняты на вооружение Красной армии и переданы для серийного производства на ряд заводов. Боевая машина М-8 на танке Т-60 была принята на вооружение Армии на основании Постановления ГКО № ГКО-726сс от 30 сентября 1941 года "О ФОРМИРОВАНИИ И ВООРУЖЕНИИ МИНОМЕТНЫХ ЧАСТЕЙ М-8 и М-13" (15981).</w:t>
      </w:r>
    </w:p>
    <w:p w14:paraId="4DDC425A" w14:textId="77777777" w:rsidR="00C45D12" w:rsidRPr="00640820" w:rsidRDefault="00C45D12" w:rsidP="00640820">
      <w:pPr>
        <w:spacing w:after="0" w:line="240" w:lineRule="auto"/>
        <w:jc w:val="both"/>
        <w:rPr>
          <w:rFonts w:ascii="Times New Roman" w:hAnsi="Times New Roman"/>
          <w:color w:val="000000" w:themeColor="text1"/>
          <w:sz w:val="16"/>
          <w:szCs w:val="16"/>
        </w:rPr>
      </w:pPr>
    </w:p>
    <w:p w14:paraId="15EA46A6"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57A4FA83"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F2B53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г. в соответствии с пост. ГКО № 779 Сталиногорский азотно-туковый комбинат (завод № 100) эвакуирован в  г. Березники, но затем вскоре реэвакуирован и воссоединен со Сталиногорским азотно-туковым комбинатом. В 1942-43 г. была попытка восстановить выпуск иприта в цехе № 25 и снаряжение в цехе № 21, но производства не было (11982).</w:t>
      </w:r>
    </w:p>
    <w:p w14:paraId="6C3D7B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DB820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вышло Постановление ГКО № 774 Об эвакуации производства Ворошиловградского завода им.Октябрьской революции и его восстановлении. РГАНИР, Фонд ГКО, д. 12, лл. 89-90 (11012).</w:t>
      </w:r>
    </w:p>
    <w:p w14:paraId="6BD0A0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DA101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г. по Постановлению ГКО № 777 завод № 59 ЗГУ (ГС завод № 59 им.  Г.И. Петровского НКОП, НКБ, Штеровский завод химических продуктов и взрывчатых веществ, ГП «Химическое объединение им.  Г.И. Петровского» /ст. Петровеньки Северо-Донецкой ж/д (1941 г.);  г. Петровеньки Луганской обл./ /Украина 94540  г. Петровское Луганской обл. ул. Ленина, 1/) 14-28.10.1941 г. эвакуирован (полностью цеха: нитроглицериновых порохов, бикфордова шнура; мастерские: зарядные, механические, баллистические, электротехнические; строяийся объект 707 (цех коллоксилина); частично: цеха динамитов и аммонитов, олеума и азотной кислоты; всего 453 ед. оборудования): производство нитроглицеринового пороха (136 ед. оборудования)</w:t>
      </w:r>
    </w:p>
    <w:p w14:paraId="64B44FD5" w14:textId="77777777" w:rsidR="00165A9C" w:rsidRPr="00640820" w:rsidRDefault="00165A9C" w:rsidP="00640820">
      <w:pPr>
        <w:tabs>
          <w:tab w:val="left" w:pos="188"/>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-_</w:t>
      </w:r>
      <w:r w:rsidRPr="00640820">
        <w:rPr>
          <w:rFonts w:ascii="Times New Roman" w:hAnsi="Times New Roman"/>
          <w:color w:val="000000" w:themeColor="text1"/>
          <w:sz w:val="16"/>
          <w:szCs w:val="16"/>
        </w:rPr>
        <w:tab/>
        <w:t>в Соликамск на завод № 577; вальцмашины (30 ед.) и оборудование мин. пласт. (37 ед.) - в  г. Молотов на завод № 98; производство динамитов и аммонитов (71 ед.) - на завод № 594; производство бикфордова шнура (42 ед.) - на завод 676; производство олеума, азотной кислоты и коллоксилина (137 ед., 254 чел.) - на завод № 850. Производство ксилила и линафталитов не эвакуировалось.</w:t>
      </w:r>
    </w:p>
    <w:p w14:paraId="746795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освобождения  г. Петровское 3.01.1944 г. завод № 59 был восстановлен на прежнем месте (завод № 59 НКБ на ст. Петровеньки действовал в 11.1943 г.</w:t>
      </w:r>
      <w:r w:rsidRPr="00640820">
        <w:rPr>
          <w:rFonts w:ascii="Times New Roman" w:hAnsi="Times New Roman"/>
          <w:color w:val="000000" w:themeColor="text1"/>
          <w:sz w:val="16"/>
          <w:szCs w:val="16"/>
          <w:vertAlign w:val="superscript"/>
        </w:rPr>
        <w:t>132</w:t>
      </w:r>
      <w:r w:rsidRPr="00640820">
        <w:rPr>
          <w:rFonts w:ascii="Times New Roman" w:hAnsi="Times New Roman"/>
          <w:color w:val="000000" w:themeColor="text1"/>
          <w:sz w:val="16"/>
          <w:szCs w:val="16"/>
        </w:rPr>
        <w:t>). 6.11.1943 г. вышло постановление ГКО № 4505 о мобилизации на завод 1500 рабочих. В 08.1943-09.1944 г. - в ведении ЗГУ.</w:t>
      </w:r>
    </w:p>
    <w:p w14:paraId="44D43B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Далее назывался ГП «Химическое объединение им.  Г.И. Петровского». Производство ВВ для горнорудной промышленности.</w:t>
      </w:r>
    </w:p>
    <w:p w14:paraId="1D0D5C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(2000-е): ВВ: аммонит, аммонал, детониты; пороха; патроны сигнальные и осветительные; ТНП (нитроэмали, нитроэфиры, игрушки, бытовая химия, линолеум, тосол, изделия из полиэтилена и пенорезины).</w:t>
      </w:r>
    </w:p>
    <w:p w14:paraId="24A673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(1917 г.)- около 3000 чел., (1938 г.)- 2682 чел. (рабочих), (1939 г.)- 3439 чел. (рабочих), (1940 г.)- 3527 чел. (рабочих), (10.1941 г.)- 5145 чел., (11.1943 г.)- 300 чел.</w:t>
      </w:r>
    </w:p>
    <w:p w14:paraId="2097FA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(-01-17.05.1937 г.)- З.М. Галицкий. И.О. директора (17.05-19.06.1937 г.)- Д. Г. Бидинский. Директор (19.06-10.1937-; 1941 г.-)- Д. Г. Бидинский.</w:t>
      </w:r>
      <w:r w:rsidRPr="00640820">
        <w:rPr>
          <w:rFonts w:ascii="Times New Roman" w:hAnsi="Times New Roman"/>
          <w:color w:val="000000" w:themeColor="text1"/>
          <w:sz w:val="16"/>
          <w:szCs w:val="16"/>
          <w:vertAlign w:val="superscript"/>
        </w:rPr>
        <w:t>55</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vertAlign w:val="superscript"/>
        </w:rPr>
        <w:t>56</w:t>
      </w:r>
      <w:r w:rsidRPr="00640820">
        <w:rPr>
          <w:rFonts w:ascii="Times New Roman" w:hAnsi="Times New Roman"/>
          <w:color w:val="000000" w:themeColor="text1"/>
          <w:sz w:val="16"/>
          <w:szCs w:val="16"/>
        </w:rPr>
        <w:t xml:space="preserve"> Гендиректор (-1999-2005 г.-)- В.А. Шевцов.</w:t>
      </w:r>
    </w:p>
    <w:p w14:paraId="0162D5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(10.1937 г.)- Б.И. Пашков.</w:t>
      </w:r>
    </w:p>
    <w:p w14:paraId="47B298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Технический директор (-2.10.1937 г.)- Артющенко (снят).</w:t>
      </w:r>
      <w:r w:rsidRPr="00640820">
        <w:rPr>
          <w:rFonts w:ascii="Times New Roman" w:hAnsi="Times New Roman"/>
          <w:color w:val="000000" w:themeColor="text1"/>
          <w:sz w:val="16"/>
          <w:szCs w:val="16"/>
          <w:vertAlign w:val="superscript"/>
        </w:rPr>
        <w:t>139</w:t>
      </w:r>
    </w:p>
    <w:p w14:paraId="299EFE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цехов: (-2.10.1937 г.)- Вережников (репрессирован), И.В. Крыжановский (11982).</w:t>
      </w:r>
    </w:p>
    <w:p w14:paraId="5388CF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27ADD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г. в соответствии с пост. ГКО № 777 основная часть комбината № 101 ЗГУ (Комбинат № 101 НКТП, НКОП, НКБ, Каменский химкомбинат «Россия», ФГУП «Каменский химический комбинат» Росбоеприпаса, ФКП «Комбинат «Каменский» /347801  г. Каменск-Шахтинский Ростовской обл. ул. Сапрыкина, 8 тел. 20-148/) (11 эшелонов, 610 вагонов, 1717 ед. оборудования) 10-14.10.1941 г. была эвакуирована: производство пироксилинового пороха и эфира (377 ед. оборудования, 101 чел.) - в Кемерово на комбинат № 392; часть производства пироксилина - в Соликамск на завод № 577; вторая часть производства пироксилина и РМЗ (382 ед. оборудования, 47 чел.) - в Молотов на завод № 98; производство олеума (138 ед. оборудования, 41 чел.) - в Реж на завод № 576; 802 ед. различного оборудования (в т.ч. кислородный завод) - в Красноярск на завод № 580. На оставшемся оборудовании в 12.1941 г. организовано производство суррогатных ВВ и противотанковых мин в деревянных корпусах, действовавшее до середины июля 1942 г. В 04-07.1942 г. прошла вторая эвакуация в Казань, Пермь, Стерлитамак, Краснокамск.</w:t>
      </w:r>
    </w:p>
    <w:p w14:paraId="7E827E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02.1943 г. после освобождения Каменска от противника началось восстановление комбината. В 08.1943- 09.1944 г. комбинат № 101 - в ведении 9ГУ НКБ. Сначала были введены в строй цеха водо-, электро- и теплоснабжения, железнодорожное хозяйство. В 1944 г. химкомбинат выпустил первую продукцию- мины и заряды из импортного пороха ОД, пороха для авиаснарядов. В 03.1946 г. начат выпуск сельскохозяйственного оборудования, ТНП. В этом же году восстановлены цеха серной кислоты, тары, телефонная станция, ЦЗЛ. В 1948-49г, вступило в строй 10 цехов, начато строительство комплекса по производству нитроглицериновых порохов. В 1954 г. вступило встрой спиртоэфирное производство. В 1957 г. освоено производство карбоксиметилцеллюлозы (КМЦ), нитролаков и эмалей, люминесцентных светильников, бризольного полотна, эфира канифоли, спирта высшей очистки, молочных цистерн. Изготовлены первые круговые аппараты для непрерывной нитрации целлюлозы. В 1960 г. освоен выпуск мипоры; начато строительство цеха по переработке золы для извлечения германия, введен в строй цех глинозема. В 1965 г. вступило в строй производство полимеров. В 1974 г. создана служба АСУ, организован ИВЦ, участок производства масляной клеенки. Организован строительный цех. В 1975 г. организован участок по выпуску клея «Бустилат». В 1982 г. освоен выпуск клеенки ПВХ, в 1990-93г,- шпатлевки «Шпакрил», вспененного линолеума, цветных эмалей, зарядов для горнодобывающей промышленности, мастики, электроплит, шлангов высокого давления, тормозной жидкости, фенолспирта, одеколонов, шампуней, моющих средств.</w:t>
      </w:r>
    </w:p>
    <w:p w14:paraId="6F3244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второй половине 1970-х  г. начато освоение производства крубногабаритных зарядов для МБР «Тополь», для этого созданы специализированные комплексы.</w:t>
      </w:r>
    </w:p>
    <w:p w14:paraId="768367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2004 г. химкомбинат входил в состав Росбоеприпаса, по Указу Президента РФ № 1009 от 4.08.2004 г. вошел в число стратегических оборонных предприятий. По Указу Президента РФ в 02.2006 г. на базе ФГУП «Каменский химкомбинат» создано два предприятия: ФКП «Комбинат «Каменский» и ФГУП «Химкомбинат «Каменский».</w:t>
      </w:r>
    </w:p>
    <w:p w14:paraId="2A28F0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(1939 г.)- 1294 чел. (рабочих), (1940 г.)- 2916 чел. (рабочих), (09.1941 г.)- 3663 чел., (11.1943 г.)-522 чел.</w:t>
      </w:r>
    </w:p>
    <w:p w14:paraId="7FB195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(7.06.1937 г.-)- И.А. Баварский, (07.1939-ВОВ)- В.Л. Ивченков, (1945-55 г.)- А.А. Кириллович, (1955 г.-)- Б.Д. Сапрыгин.</w:t>
      </w:r>
      <w:r w:rsidRPr="00640820">
        <w:rPr>
          <w:rFonts w:ascii="Times New Roman" w:hAnsi="Times New Roman"/>
          <w:color w:val="000000" w:themeColor="text1"/>
          <w:sz w:val="16"/>
          <w:szCs w:val="16"/>
          <w:vertAlign w:val="superscript"/>
        </w:rPr>
        <w:t>101</w:t>
      </w:r>
      <w:r w:rsidRPr="00640820">
        <w:rPr>
          <w:rFonts w:ascii="Times New Roman" w:hAnsi="Times New Roman"/>
          <w:color w:val="000000" w:themeColor="text1"/>
          <w:sz w:val="16"/>
          <w:szCs w:val="16"/>
        </w:rPr>
        <w:t xml:space="preserve"> Гендиректор (-2007 г.)- С.А. Поваров.</w:t>
      </w:r>
    </w:p>
    <w:p w14:paraId="5ACC40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строительства (01.1934 г.-)- С.П. Ананьев, начальник строительства (11.03.1937 г.-)- Л.О. Мицмахер. Зам. директора (8.05-11.07.1937 г.)- М.М. Чернулич. Помощник директора по найму и увольнению (14.08.1938 г.-)- А.П. Новожилов.</w:t>
      </w:r>
    </w:p>
    <w:p w14:paraId="68D6FB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начальника строительства (-10.06.1937 г.)- Ф.А. Сулим-Грандовский (снят).</w:t>
      </w:r>
    </w:p>
    <w:p w14:paraId="1A8420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(9.08.1938 г.-)- Н.С. Навальнев, (2006 г.)-  Г. Мельник.</w:t>
      </w:r>
    </w:p>
    <w:p w14:paraId="59CF95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строительства (-10.06.1937 г.)-  Г.Д. Саломонович (снят) (11982).</w:t>
      </w:r>
    </w:p>
    <w:p w14:paraId="0BAFE1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55A94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г. в соответствии с пост. ГКО № 777 завод № 67 4ГУ НКБ (Завод № 67 ИМ. С.К. Тимошенко НКТП, Мастерские тяжелой и осадной артиллерии («Мастяжарт») ГАУ, Московский ремонтно-артиллерийский завод ВСНХ, Завод «Мастяжарт» ВСНХ, ГС завод № 67 НКОП, НКБ, МСХМ. /г. Москва ул. Вельяминовская, 34/) эвакуирован: (производство ФАБ, ХАБ, всего 278 ед. оборудования, 278 чел.) - в Миасс на площадку завода № 316 НКБ, производство ПЛАБ - в Челябинск на завод № 78; но уже в 12.1941 г. завод возобновил деятельность на старом месте, оборудование в соответствии с пост. ГКО № 1219 от 28.01.1942 г. было возвращено из Миасса. В 1939-45 г. завод находился в ведении НКБ (в 10.1941-09.1944 г. - 4ГУ), в 1946-52 г. - в МСХМ.</w:t>
      </w:r>
    </w:p>
    <w:p w14:paraId="2EF85E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В 1945 г. планировалось на базе завода (на основании письма Ванникова в НКАП от 3.08.1945 г.) сформировать ГЦКБ-2 НКБ для работ по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 xml:space="preserve"> дальнего действия (в т.ч. с ЖРД) и по ЗУР. Вместо этого в 1946 г. на базе филиала № 2 НИИ-1 МАП было образовано КБ-2 МСХМ. КБ-2 было перебазировано на площадку завода № 67, который стал его производственной базой. В соответствии с ПСМ № 5119-2226 от 15.12.1951 г. завод № 67 объединен с КБ-2 МСХМ и преобразован в ГС НИИ № 642. Завод № 67 преобразован в Опытный завод при ГС НИИ-642.</w:t>
      </w:r>
    </w:p>
    <w:p w14:paraId="095169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(10.1941 г.)- 3620 чел., (12.1942 г.)- 2664 чел.</w:t>
      </w:r>
    </w:p>
    <w:p w14:paraId="13567D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(03.1917-25 г.)- Н.Ф. Розанов, (1925-26 г.)- И. Г. Королев, (1926-27 г.)- А. Кошелев, (1928-30 г.)-  Г.Т. Кузьмичев, (1931-35 г.)- П. Г. Крынкин, (-19.07.1937 г.)- С.В. Фумм, (19.07.1937-39 г.)- М. Г. Масальский, (1939- 41 г.)- В.И. Базаров, (1941-45 г.)- А.Ф. Шибаев, (1946-47 г.)- С.А. Невструев, (1948-52 г.)- А.В. Фролов.</w:t>
      </w:r>
    </w:p>
    <w:p w14:paraId="78065A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(06.1938 г.)- В.И. Базаров. Помощник директора по найму и увольнению (8.03-21.11.1938 г.)- М.П(Б). Авдохин (снят).</w:t>
      </w:r>
    </w:p>
    <w:p w14:paraId="26D11A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(06.1938 г.)- В.И. Базаров, (-1947 г.)- А.Л. Лившиц.</w:t>
      </w:r>
    </w:p>
    <w:p w14:paraId="3EF84B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НИО (1936 г.)- Н.Т. Кулаков.</w:t>
      </w:r>
    </w:p>
    <w:p w14:paraId="568522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корпуса авиабомб: ФАБ-50, -100, -250, -2000, ХАБ-100, -200, ПЛАБ-100 (1941); МЯДШ (1941);</w:t>
      </w:r>
      <w:r w:rsidRPr="00640820">
        <w:rPr>
          <w:rFonts w:ascii="Times New Roman" w:hAnsi="Times New Roman"/>
          <w:color w:val="000000" w:themeColor="text1"/>
          <w:sz w:val="16"/>
          <w:szCs w:val="16"/>
          <w:vertAlign w:val="superscript"/>
        </w:rPr>
        <w:t>132</w:t>
      </w:r>
      <w:r w:rsidRPr="00640820">
        <w:rPr>
          <w:rFonts w:ascii="Times New Roman" w:hAnsi="Times New Roman"/>
          <w:color w:val="000000" w:themeColor="text1"/>
          <w:sz w:val="16"/>
          <w:szCs w:val="16"/>
        </w:rPr>
        <w:t xml:space="preserve"> котлы, душевые установки (-1938), противогазовая защита «ТЧ» (1938) (11982).</w:t>
      </w:r>
    </w:p>
    <w:p w14:paraId="4C80E8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866D6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13 октября 1941 года коллективу Ростсельмаша был дан приказ начать демонтаж оборудования и отправку его в Ташкент. Эвакуация завода стала титанической работой. Вся заводская территория превратилась в сплошной поток движущихся грузов, которых доставляли с помощью лебедок, катков, авиации. Более 3500 вагонов потребовалось для эвакуации завода. 19 октября 1941 г. с завода выехала последняя группа работников во главе с директором Титаренко М.М. </w:t>
      </w:r>
    </w:p>
    <w:p w14:paraId="6C37F0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Ташкенте тоже вершился подвиг. Для размещения завода в Ташкенте были предоставлены площадки в разных частях города. Этого было не достаточно и часть оборудования пришлось отправлять в Узбекистан г. Чирчик в 60 км от Ташкента. Таким образом, в Узбекистане образовалось 4 филиала Ростсельмаша – 3 в Ташкенте и один в Чирчике. </w:t>
      </w:r>
    </w:p>
    <w:p w14:paraId="390CCF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33–й день после прибытия оборудования в Ташкент завод снова начал выпускать продукцию для фронта. Монтаж станков и конвейеров шел под открытым небом или в наскоро приспособленных сараях и других помещениях. На 35–й день непрерывной работы был выплавлен первый чугун. За 3 месяца на пустом пространстве площадью 12 тыс. кв. м выросли цеха перебазированного в тыл завода. Ростсельмаш давал фронту мины калибра 82 мм и 120 мм, боеголовки к снарядам РС (катюша), фугасные авиабомбы (ФАБы) 50 кг, 100 кг и 250 кг. </w:t>
      </w:r>
    </w:p>
    <w:p w14:paraId="3B84A9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14 февраля 1943 года войска Южного фронта освободили Ростов. Город лежал в развалинах. Разрушены были почти все предприятия, в том числе Ростсельмаш и его поселок. Восемь суток перед сдачей немцы планомерно взрывали и жгли завод. В груды развалин превратились все цеха, жилые дома, дворец культуры на ул. Клубная, здание института Сельхозмашиностроения и т.д. Материальный ущерб, нанесенный заводу, составил свыше 180 млн. рублей. </w:t>
      </w:r>
    </w:p>
    <w:p w14:paraId="6B675E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23 февраля, на 10–й день освобождения стали работать первые 33 станка Ростсельмаша. Одновременно развернулась подготовка и по выпуску военной продукции, организован ремонт танков, тракторов, автомашин. Для восстановления завода пришлось расчистить 150 тысяч кубометров завалов, уложить 21 млн. кирпичей, 37 тысяч кубометров бетона, смонтировать 8 тысяч тонн металлоконструкций, уложить 185 тысяч кубометров кровли. За короткое время было введено в действие 145 тысяч кв. м. производственных площадей. </w:t>
      </w:r>
    </w:p>
    <w:p w14:paraId="77A42D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Пока шло интенсивное восстановление завода, сельмашевские специалисты Красниченко А.А., В.В. Прошунин и И.И. Попов создали конструкцию комбайна «Сталинец–6». А 30 апреля 1947 года в цехе уборочных машин были собраны новые комбайны «Сталинец–6». Разработчики новой конструкции получили звание Лауреатов Сталинской премии. </w:t>
      </w:r>
    </w:p>
    <w:p w14:paraId="707C24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середине 50-х годов в народном хозяйстве страны наметилась специализация промышленных предприятий. С августа 1955 г. согласно решению июльского Пленума ЦК КПСС «Ростсельмаш» стал специализироваться на выпуске зерноуборочных комбайнов. Были сняты с производства плуги и кукурузоуборочные комбайны, завод постепенно переходит на выпуск только зерноуборочных комбайнов. </w:t>
      </w:r>
    </w:p>
    <w:p w14:paraId="659C7E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конце 1955 г. заводу было предложено начать подготовку выпуска новой уборочной машины – комбайна «РСМ-8». Также как и «Сталенец-1» и «Сталенец-6», этот комбайн был разработан конструкторами завода Ростсельмаш. Он имел большой захват жатки, большую пропускную способность молотилки. Штифтовой барабан был заменен бильным. Эти усовершенствования делали его более производительным. Комбайн «РСМ-8» производился чуть более года (конец 1956 г. – начало 1958 г.) и был выпушен в количестве 50 тысяч. </w:t>
      </w:r>
    </w:p>
    <w:p w14:paraId="3FA621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марте 1958 г. завод получил новое ответственное задание – в пятимесячный срок перестроиться на выпуск самоходных комбайнов «СК-3». 15 марта в 17.30 с главного конвейера сошел последний комбайн «РСМ-8», а 12 июля, ровно через 100 рабочих дней, приемщик Министерства сельского хозяйства принял первые 27 самоходных комбайнов, изготовленные «Ростсельмашем» по разработкам конструкторов Таганрогского ГСКБ под руководством Изаксона. 24 января 1961 г. выпущен уже 100-тысячный самоходный комбайн СК-3. </w:t>
      </w:r>
    </w:p>
    <w:p w14:paraId="636E2F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феврале 1962 г. «Ростсельмаш» начал выпуск следующей серийной модели – СК-4, которая превосходила предыдущую по производительности на 25%. На международной выставке в Лейпциге в 1963 г. машине был присужден диплом I-ой степени, в Чехословакии (1964 г.) модель завоевала медаль и в том же году в Венгрии получила высшую награду - «Серебряный Кубок». Комбайн СК-4 был признан самой награждаемой моделью среди зерноуборочных машин всего мира. В августе 1969 г. завод «Ростсельмаш» выпустил свой миллионный комбайн. </w:t>
      </w:r>
    </w:p>
    <w:p w14:paraId="153218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1973 г. завод осуществил переход на выпуск еще более новой модели комбайнов серии СК «Нива», представленной в нескольких модификациях: крутосклонная, рисоуборочная и др., предназначенные для работы в различных природных зонах, а также для уборки незерновых сельскохозяйственных культур. Кроме того, в этот период изготавливались томатоуборочные комбайны, молотилки для обработки льна, приспособления для уборки крупяных культур. В 70-е годы завод «Ростсельмаш» был полностью обновлен. Вследствие реконструкции завод превратился в специализированное предприятие, готовое обеспечить сельское хозяйство страны современной для того времени техникой. </w:t>
      </w:r>
    </w:p>
    <w:p w14:paraId="3DED57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своему 50-летнему юбилею в 1979 г. завод занимал стабильное лидирующее положение в своей отрасли. В начале 80-х «Ростсельмаш» преступил к разработке и внедрению в производство высокоэффективных зерноуборочных комбайнов семейства «Дон». Это был уже седьмой по счету переход завода на производство новых машин. В феврале 1984 г. с главного конвейера «Ростсельмаша» сошел 2-миллионный комбайн, а уже в октябре 1986 г. в серийное производство была запущены первые «Доны» (11220).</w:t>
      </w:r>
    </w:p>
    <w:p w14:paraId="5535F4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1EDB67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года в состав НКТП был передан Ташкентский завод сельскохозяйственного машиностроения, относившийся до этого к народному комиссариату общего машиностроения. Передача произошла на основании постановления ГКО от 9 октября 1941 года (РГАСПИ. Ф. 644. Оп. 1. Д. 12. Л. 27-29). Завод должен был стать площадкой для размещения эвакуируемых заводов НКТП № 37, КИМ и Подольского имени Орджоникидзе (РГАЭ. Ф. 8752. Оп. 4. Д. 3. Л. 165). После изменения направления эвакуации этих предприятий завод вышел из состава НКТП. В этот же день наркомат получил Куйбышевский завод Особстроя НКВД для эвакуации части оборудования с Ижорского завода и организации производства корпусов танка Т-50. Этот завод отошел НКТП согласно постановлению ГКО № 734-сс от 4 октября 1941 года (РГАЭ. Ф. 8752. Оп. 4. Д. 3. Л. 165). Наркомат не нашел применения этому заводу, и в декабре 1941 года он перешел к Наркомату авиапромышленности (12290).</w:t>
      </w:r>
    </w:p>
    <w:p w14:paraId="677E8D2F"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7CFB319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вышло Постановление ГКО № 776 Об эвакуации оборудования канала Москва-Волга. (7013, 92).</w:t>
      </w:r>
    </w:p>
    <w:p w14:paraId="4BAB69A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0194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вышло Постановление ГКО № 777 Об эвакуации заводов Наркомбоеприпасов № 14,67,59,61 и комбината № 101. РГАНИР, Фонд ГКО, д. 12, лл. 93, 94-95 (11012).</w:t>
      </w:r>
    </w:p>
    <w:p w14:paraId="79BAE6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2248C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вышло Постановление ГКО № 778 Об эвакуации металлургических заводов Наркомчермета "Серп и молот" и "Электросталь". РГАНИР, Фонд ГКО, д. 12, лл. 96, 97-99 (11012).</w:t>
      </w:r>
    </w:p>
    <w:p w14:paraId="1F358B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42E33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вышло Постановление ГКО № 779 Об эвакуации Сталиногорского анилино-красочного завода, Сталиногорского азотно-тукового комбината и завода № 101 Наркомхимпрома. РГАНИР, Фонд ГКО, д. 12, лл. 100, 101-105 (11012).</w:t>
      </w:r>
    </w:p>
    <w:p w14:paraId="5B8C2B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B6129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вышло Постановление ГКО № 780 О частичной эвакуации оборудования, а также рабочих, ИТР и членов их семей с предприятий текстильной промышленности г.Москвы, Московской и Ивановской областей. РГАНИР, Фонд ГКО, д. 12, лл. 106, 107-111 (11012).</w:t>
      </w:r>
    </w:p>
    <w:p w14:paraId="498C75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C7B4722" w14:textId="77777777" w:rsidR="00C45D12"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вышло Постановление ГКО № 781 Об эвакуации оборудования, кадров завода № 8 из г.Калининграда Московской области, занятых на производстве 85 мм зенитной пушки. РГАНИР, Фонд ГКО, д. 12, лл. 112 (11012).</w:t>
      </w:r>
    </w:p>
    <w:p w14:paraId="1064BB3F" w14:textId="77777777" w:rsidR="00C45D12" w:rsidRPr="00640820" w:rsidRDefault="00C45D12" w:rsidP="00640820">
      <w:pPr>
        <w:autoSpaceDE w:val="0"/>
        <w:autoSpaceDN w:val="0"/>
        <w:adjustRightInd w:val="0"/>
        <w:spacing w:after="0" w:line="240" w:lineRule="auto"/>
        <w:jc w:val="both"/>
        <w:rPr>
          <w:rFonts w:ascii="Times New Roman" w:hAnsi="Times New Roman"/>
          <w:color w:val="000000" w:themeColor="text1"/>
          <w:sz w:val="16"/>
          <w:szCs w:val="16"/>
        </w:rPr>
      </w:pPr>
    </w:p>
    <w:p w14:paraId="037015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13 октября 1941 г. в соответствии с пост. ГКО № 781 завод № 8 (Завод № 8 им. М.И. Калинина ВСНХ, НКТП, НКОП, НКВ, </w:t>
      </w:r>
      <w:r w:rsidRPr="00640820">
        <w:rPr>
          <w:rFonts w:ascii="Times New Roman" w:hAnsi="Times New Roman"/>
          <w:color w:val="000000" w:themeColor="text1"/>
          <w:sz w:val="16"/>
          <w:szCs w:val="16"/>
          <w:lang w:val="en-US"/>
        </w:rPr>
        <w:t>MB</w:t>
      </w:r>
      <w:r w:rsidRPr="00640820">
        <w:rPr>
          <w:rFonts w:ascii="Times New Roman" w:hAnsi="Times New Roman"/>
          <w:color w:val="000000" w:themeColor="text1"/>
          <w:sz w:val="16"/>
          <w:szCs w:val="16"/>
        </w:rPr>
        <w:t xml:space="preserve">, Свердловского СНХ, МАП, Государственный завод по полевой артиллерии, Московский орудийный завод им. М.И. Калинина ВСНХ, Свердловский машиностроительный завод им. М.И. </w:t>
      </w:r>
      <w:r w:rsidRPr="00640820">
        <w:rPr>
          <w:rFonts w:ascii="Times New Roman" w:hAnsi="Times New Roman"/>
          <w:color w:val="000000" w:themeColor="text1"/>
          <w:sz w:val="16"/>
          <w:szCs w:val="16"/>
        </w:rPr>
        <w:lastRenderedPageBreak/>
        <w:t xml:space="preserve">Калинина, ОАО «ЗиК», ОАО «Машиностроительный завод им. М.И. Калинина» (МЗИК) /г. Санкт-Петербург; г. Москва-Мытищи; ст. Подлипки Северной ж/д (1927г.); г. Москва п/я 924 «Московский ЗИК» (1937-38г.); г. Свердловск/ /620017 г. Екатеринбург пр. Космонавтов, 18 тел. (3432) 39-55-75, 35-74-01/) был эвакуирован: часть - на площадку завода № 235; основная часть- в г. Свердловск, где завод продолжил действовать под своим номером и уже в 12.1941 г. выпустил первую продукцию- 85-мм зенитные пушки. 19.11.1941 г. вышло постановление ГКО № 913 о размещении завода № 8 НКВ; 27.12.1941 г. - постановление № 1070 о строительстве завода № 8; 16.02.1942г. - постановление ГКО № 1303 о выделении в </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 xml:space="preserve"> квартале 1942г. 13, 5 млн. руб. на строительство завода. Затем завод № 8 назначен головным по производству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 xml:space="preserve"> М-13 и М-8. 3.04.1942г. вышло постановление ГКО № 1534 о мерах по обеспечению производства пушек ЗИС-5 и гаубиц М-30 на заводе. 7.08.1942г. вышло постановление ГКО № 2158 о постройке на заводе деревянного корпуса механического цеха. 8.12.1942г. вышло постановление ГКО № 2599 о создании на заводе металлургической базы.</w:t>
      </w:r>
    </w:p>
    <w:p w14:paraId="7E0284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Во время ВОВ действовал филиал завода (завод им. Калинина) в г. Ленинграде по производству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 xml:space="preserve"> М-13 и М-8. В Москве также был филиал.</w:t>
      </w:r>
    </w:p>
    <w:p w14:paraId="419610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старом месте в Подлипках образован завод № 88.</w:t>
      </w:r>
    </w:p>
    <w:p w14:paraId="34FB9B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по опытной 25-мм корабельной зенитной установке 84-К (1940 г.). Распоряжением ГКО № 381 от 3.08.1941 г. она пнв. В 1950 г. производство передано на завод № 92.</w:t>
      </w:r>
    </w:p>
    <w:p w14:paraId="33800B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 ГКО № 542 от 22.08.1941 г. на вооружение приняты 76-мм артсистемы 34-К, 39-К и 81-К.</w:t>
      </w:r>
    </w:p>
    <w:p w14:paraId="5247A1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3.07.1944г. вышло постановление ГКО № 6131 об организации на заводе производства пушек Д-10с.</w:t>
      </w:r>
    </w:p>
    <w:p w14:paraId="2116E1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1957г. завод прекратил производство ствольной артиллерии и перепрофилирован с 1958г. на выпуск ЗУР.</w:t>
      </w:r>
    </w:p>
    <w:p w14:paraId="05E270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1947г.- в </w:t>
      </w:r>
      <w:r w:rsidRPr="00640820">
        <w:rPr>
          <w:rFonts w:ascii="Times New Roman" w:hAnsi="Times New Roman"/>
          <w:color w:val="000000" w:themeColor="text1"/>
          <w:sz w:val="16"/>
          <w:szCs w:val="16"/>
          <w:lang w:val="en-US"/>
        </w:rPr>
        <w:t>MB</w:t>
      </w:r>
      <w:r w:rsidRPr="00640820">
        <w:rPr>
          <w:rFonts w:ascii="Times New Roman" w:hAnsi="Times New Roman"/>
          <w:color w:val="000000" w:themeColor="text1"/>
          <w:sz w:val="16"/>
          <w:szCs w:val="16"/>
        </w:rPr>
        <w:t>. С 1958г. завод действовал в авиапроме и Свердловском СНХ, далее- в МАП. В 1994г. завод акционирован и преобразован в ОАО ЗИК. В 2000 г. назывался- ОАО «МЗиК». В 2002г. МЗИК входил в Концерн «Антей». По Указу Президента РФ № 1009 от 4.08.2004г. вошел в число стратегических оборонных предприятий.</w:t>
      </w:r>
    </w:p>
    <w:p w14:paraId="5AF88F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СССР ЗиК был монополистом по производству малогабаритных электропогрузчиков.</w:t>
      </w:r>
    </w:p>
    <w:p w14:paraId="0C94DD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имеет производства: литейное (чёрного и цветного литья), литьё под давлением, штамповочное, сварочное, термообработки, гальваническое, все виды механической обработки, лабораторную и инструментальную база.</w:t>
      </w:r>
    </w:p>
    <w:p w14:paraId="45F256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(1936г.)- 9787 чел., (1937г.)- 9514 чел.</w:t>
      </w:r>
    </w:p>
    <w:p w14:paraId="7CDB3D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(31.12.1936-26.01.1938г.)- И.А. Мирзаханов; и.о. (2.02.1938г.-)- Б.А. Фрадкин; (8.02-08.1938г.-)- Н.Э. Носовский, (ВОВ)- Н.Г. Миронов, (1957-69г.)- М.В. Лавров, (1970 г.-)- А.А. Мехренцев. Гендиректор (1997- 2001 г.-)- Н.В. Клейн, (2002г.)- В. Казимирский, (06.2004г.)- Н.В. Клейн.</w:t>
      </w:r>
    </w:p>
    <w:p w14:paraId="01E0E9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(01.1938г.)- Б.И. Каневский. Зам. Гендиректора: по финансовым вопросам и ВЭС (-2003-04г.-)- А.С. Портнов; по маркетингу (2004г.)- А.И. Бадеха. Помощник директора: по найму и увольнению (-07.1937- 15.12.1938г.)- М.С. Ливертовский, (15.12.1938г.-)- Г.М. Игнатьев; по финхозчасти (1938г.)- А.А. Страбыкин.</w:t>
      </w:r>
    </w:p>
    <w:p w14:paraId="2C631A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Технический директор (-28.02.1937г.)- Ф.Г. Сухомлинов.</w:t>
      </w:r>
    </w:p>
    <w:p w14:paraId="7107C6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коммерческого директора (-10.1938г.)- Н.Н. Кузнецов.</w:t>
      </w:r>
    </w:p>
    <w:p w14:paraId="524B64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(-05-06.1937г.-)- Фраткин, (15.07.1937-01.1938г.-)- Б.И. Каневский.</w:t>
      </w:r>
    </w:p>
    <w:p w14:paraId="316C90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(1941 г.)- М.Н. Логинов, (-05.1945г.)- Т.А. Сандлер, (25.05.1945г.-)- Л.В. Люльев.</w:t>
      </w:r>
    </w:p>
    <w:p w14:paraId="2CF515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гл. конструктора (-1991 г.)- П.И. Камнев. Зам. Гл. конструктора (1941 г.-)- Л.В. Люльев, П.И. Камнев, (2002г.)- В.Ф. Шарипов.</w:t>
      </w:r>
    </w:p>
    <w:p w14:paraId="5146C5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И.О. гл. технолога (03.1938г.)- Е.М. Ливертовский. Гл. технолог (31.03.1938г.-)- Е.М. Ливертовский.</w:t>
      </w:r>
    </w:p>
    <w:p w14:paraId="230E4F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цехов: № 1 (-01.1938г.)- П.М. Лапчинский; и.о. (7.01-03.1938г.)- И.Е. Гольдберг; (31.03.1938г.-)- И.Е. Гольдберг; № 2 (-8.07.1937г.)- В.А. Недошивин, (8.07.1937г.-)- П.И. Горемыкин; и.о. (7.01.1938г.-)- Е.М. Ливертовский; (-10.1937г.)- П.М. Лапчинский; № 6 (-07.1938г.)- В.Т. Зубов.</w:t>
      </w:r>
    </w:p>
    <w:p w14:paraId="771C70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начальника цеха: № 28 (-02.1938г.)- В.Г. Савостин.</w:t>
      </w:r>
    </w:p>
    <w:p w14:paraId="190CAE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опытного (07.1937г.-)- Шелков; технического (1933г.-)- П.И. Горемыкин, (04.1937г.)- Логинов, (1938г.)- Попов; ППО (8.07.1937-38г.-)- В.А. Недошивин; ОКС (-1937г.)- Кисляков; реконструкции (15.07.1937г.-)- П.Ф. Давыдов; снабжения (1938г.)- З.Д. Каминский; мобилизационного (1938г.)- Михалевский. Начальник ПВО (-07.1938; 7.08.1938г.-)- Соколов, (07-08.1938г.)- Моисеев.</w:t>
      </w:r>
    </w:p>
    <w:p w14:paraId="168133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начальника отдела: КО- П.И. Камнев; технического (05.1937г.)- Попов.</w:t>
      </w:r>
    </w:p>
    <w:p w14:paraId="75B01D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лабораторий: резания (10.1937-12.1938г.)- Веремейчук.</w:t>
      </w:r>
    </w:p>
    <w:p w14:paraId="0060CF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КБ (-07.1937г.)- Шелков, (3.08.1937г.-)- М.Н. Логинов, П.И. Камнев.</w:t>
      </w:r>
    </w:p>
    <w:p w14:paraId="1CFD2C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групп: статистического учета (02.1937г.)- Киселева.</w:t>
      </w:r>
    </w:p>
    <w:p w14:paraId="3797F3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 пушки:</w:t>
      </w:r>
      <w:r w:rsidRPr="00640820">
        <w:rPr>
          <w:rFonts w:ascii="Times New Roman" w:hAnsi="Times New Roman"/>
          <w:color w:val="000000" w:themeColor="text1"/>
          <w:sz w:val="16"/>
          <w:szCs w:val="16"/>
        </w:rPr>
        <w:t xml:space="preserve"> 20-мм 2К («Гочкис-ПС», 1929-), 37-мм 4К («Рейнметалл», 1930-); танковые 37-мм: 1К («Рейнметалл», 1929-), 5К (Б-3, 1931-32-)- 190, 45-мм системы ОАТ (1932), 45-мм 20К (1937), 76-мм ЗИС-5 (1942); 39К (конец 1930-х), 80К и 81К (начало 1940-х), 90К и 92К (1942-49); 100-мм Д-10с, Д-10ТК (1944); противотанковые 45-мм 19К (-1933-37-), 53К (1938-); зенитные: 37-мм 61К («Бофорс», 1938), 45-мм 49К («Бофорс», 1938), спаренная 45-мм 62К (1938), 76-мм обр. 1931 г. (1937), 85-мм (ВОВ)- 20 тыс., КС-1 (1945-), КС-18 (1947-), 100-мм КС-19, КС-30, КСМ-65, КМ-52; авиационная 76-мм ДРП АПК-4 (1935)- 13; гаубица 122-мм дивизионная М-30 (1942); корабельные артустановки: 4-х орудийные 37-мм, 45-мм 21-К (середина 1930-х), 76-мм зенитные 3-К и 34-К (1937);</w:t>
      </w:r>
      <w:r w:rsidRPr="00640820">
        <w:rPr>
          <w:rFonts w:ascii="Times New Roman" w:hAnsi="Times New Roman"/>
          <w:iCs/>
          <w:color w:val="000000" w:themeColor="text1"/>
          <w:sz w:val="16"/>
          <w:szCs w:val="16"/>
          <w:lang w:val="en-US"/>
        </w:rPr>
        <w:t>PC</w:t>
      </w:r>
      <w:r w:rsidRPr="00640820">
        <w:rPr>
          <w:rFonts w:ascii="Times New Roman" w:hAnsi="Times New Roman"/>
          <w:color w:val="000000" w:themeColor="text1"/>
          <w:sz w:val="16"/>
          <w:szCs w:val="16"/>
        </w:rPr>
        <w:t xml:space="preserve"> М-13, М-8 (1940-е);</w:t>
      </w:r>
      <w:r w:rsidRPr="00640820">
        <w:rPr>
          <w:rFonts w:ascii="Times New Roman" w:hAnsi="Times New Roman"/>
          <w:iCs/>
          <w:color w:val="000000" w:themeColor="text1"/>
          <w:sz w:val="16"/>
          <w:szCs w:val="16"/>
        </w:rPr>
        <w:t xml:space="preserve"> ЗУР:</w:t>
      </w:r>
      <w:r w:rsidRPr="00640820">
        <w:rPr>
          <w:rFonts w:ascii="Times New Roman" w:hAnsi="Times New Roman"/>
          <w:color w:val="000000" w:themeColor="text1"/>
          <w:sz w:val="16"/>
          <w:szCs w:val="16"/>
        </w:rPr>
        <w:t xml:space="preserve"> 13Д для С-75 (1958-), ЗМ8 (1964-), ЗМ8М1, ЗМ8М2 для ЗРК «Круг»; В-750ВН (1958-), В-755 (1961-); ЗМ9 дом ЗРК «Куб»; 9М38; 9М82, 9М83 для С-300В (1980-е); ЗРК: «Тор» (1980-е), С-300Ф «Форт»,</w:t>
      </w:r>
      <w:r w:rsidRPr="00640820">
        <w:rPr>
          <w:rFonts w:ascii="Times New Roman" w:hAnsi="Times New Roman"/>
          <w:color w:val="000000" w:themeColor="text1"/>
          <w:sz w:val="16"/>
          <w:szCs w:val="16"/>
          <w:vertAlign w:val="superscript"/>
        </w:rPr>
        <w:t>58</w:t>
      </w:r>
      <w:r w:rsidRPr="00640820">
        <w:rPr>
          <w:rFonts w:ascii="Times New Roman" w:hAnsi="Times New Roman"/>
          <w:color w:val="000000" w:themeColor="text1"/>
          <w:sz w:val="16"/>
          <w:szCs w:val="16"/>
        </w:rPr>
        <w:t xml:space="preserve"> ЗРС «Антей-2500» (1990-е);</w:t>
      </w:r>
      <w:r w:rsidRPr="00640820">
        <w:rPr>
          <w:rFonts w:ascii="Times New Roman" w:hAnsi="Times New Roman"/>
          <w:iCs/>
          <w:color w:val="000000" w:themeColor="text1"/>
          <w:sz w:val="16"/>
          <w:szCs w:val="16"/>
        </w:rPr>
        <w:t xml:space="preserve"> противоракеты</w:t>
      </w:r>
      <w:r w:rsidRPr="00640820">
        <w:rPr>
          <w:rFonts w:ascii="Times New Roman" w:hAnsi="Times New Roman"/>
          <w:color w:val="000000" w:themeColor="text1"/>
          <w:sz w:val="16"/>
          <w:szCs w:val="16"/>
        </w:rPr>
        <w:t xml:space="preserve"> 51Т6, 53Т6 для А-135 (1990-92); </w:t>
      </w:r>
      <w:r w:rsidRPr="00640820">
        <w:rPr>
          <w:rFonts w:ascii="Times New Roman" w:hAnsi="Times New Roman"/>
          <w:iCs/>
          <w:color w:val="000000" w:themeColor="text1"/>
          <w:sz w:val="16"/>
          <w:szCs w:val="16"/>
        </w:rPr>
        <w:t>ПУ:</w:t>
      </w:r>
      <w:r w:rsidRPr="00640820">
        <w:rPr>
          <w:rFonts w:ascii="Times New Roman" w:hAnsi="Times New Roman"/>
          <w:color w:val="000000" w:themeColor="text1"/>
          <w:sz w:val="16"/>
          <w:szCs w:val="16"/>
        </w:rPr>
        <w:t xml:space="preserve"> для ЗРК «Куб» и «Квадрат» (1967-), для ЗРК «Оса» (1970-е), 9А82, 9А83-1 для С-300В, 9П317М1 для «Бук- </w:t>
      </w:r>
      <w:r w:rsidRPr="00640820">
        <w:rPr>
          <w:rFonts w:ascii="Times New Roman" w:hAnsi="Times New Roman"/>
          <w:color w:val="000000" w:themeColor="text1"/>
          <w:sz w:val="16"/>
          <w:szCs w:val="16"/>
          <w:lang w:val="en-US"/>
        </w:rPr>
        <w:t>Mi</w:t>
      </w:r>
      <w:r w:rsidRPr="00640820">
        <w:rPr>
          <w:rFonts w:ascii="Times New Roman" w:hAnsi="Times New Roman"/>
          <w:color w:val="000000" w:themeColor="text1"/>
          <w:sz w:val="16"/>
          <w:szCs w:val="16"/>
        </w:rPr>
        <w:t>»; пускозаряжающие установки: 9А84, 9А85 для С-300В (1980-е), для ЗРК «Бук», 9А39М1 для «Бук-М1» (1980-е), для РК-55 «Рельеф» (1980-е); противолодочный комплекс «Вьюга» (1970-е); многопозиционные катапультирующие установки для запуска ЮР для Ту-95МС, Ту-22МЗ, Ту-160;</w:t>
      </w:r>
      <w:r w:rsidRPr="00640820">
        <w:rPr>
          <w:rFonts w:ascii="Times New Roman" w:hAnsi="Times New Roman"/>
          <w:color w:val="000000" w:themeColor="text1"/>
          <w:sz w:val="16"/>
          <w:szCs w:val="16"/>
          <w:vertAlign w:val="superscript"/>
        </w:rPr>
        <w:t>104</w:t>
      </w:r>
      <w:r w:rsidRPr="00640820">
        <w:rPr>
          <w:rFonts w:ascii="Times New Roman" w:hAnsi="Times New Roman"/>
          <w:color w:val="000000" w:themeColor="text1"/>
          <w:sz w:val="16"/>
          <w:szCs w:val="16"/>
        </w:rPr>
        <w:t xml:space="preserve"> (2002г.): топливные системы ракет; твердосплавные газогенераторы; средства наземного обслуживания </w:t>
      </w:r>
      <w:r w:rsidRPr="00640820">
        <w:rPr>
          <w:rFonts w:ascii="Times New Roman" w:hAnsi="Times New Roman"/>
          <w:color w:val="000000" w:themeColor="text1"/>
          <w:sz w:val="16"/>
          <w:szCs w:val="16"/>
          <w:lang w:val="en-US"/>
        </w:rPr>
        <w:t>AT</w:t>
      </w:r>
      <w:r w:rsidRPr="00640820">
        <w:rPr>
          <w:rFonts w:ascii="Times New Roman" w:hAnsi="Times New Roman"/>
          <w:color w:val="000000" w:themeColor="text1"/>
          <w:sz w:val="16"/>
          <w:szCs w:val="16"/>
        </w:rPr>
        <w:t>; электро- и дизельные погрузчики, электрокары,</w:t>
      </w:r>
      <w:r w:rsidRPr="00640820">
        <w:rPr>
          <w:rFonts w:ascii="Times New Roman" w:hAnsi="Times New Roman"/>
          <w:color w:val="000000" w:themeColor="text1"/>
          <w:sz w:val="16"/>
          <w:szCs w:val="16"/>
          <w:vertAlign w:val="superscript"/>
        </w:rPr>
        <w:t>69</w:t>
      </w:r>
      <w:r w:rsidRPr="00640820">
        <w:rPr>
          <w:rFonts w:ascii="Times New Roman" w:hAnsi="Times New Roman"/>
          <w:color w:val="000000" w:themeColor="text1"/>
          <w:sz w:val="16"/>
          <w:szCs w:val="16"/>
        </w:rPr>
        <w:t xml:space="preserve"> этикетировочные автоматы, баровая камнерезная машина (1995-) (11982).</w:t>
      </w:r>
    </w:p>
    <w:p w14:paraId="5B57640C" w14:textId="77777777" w:rsidR="00165A9C" w:rsidRPr="00640820" w:rsidRDefault="00165A9C" w:rsidP="00640820">
      <w:pPr>
        <w:tabs>
          <w:tab w:val="left" w:pos="296"/>
        </w:tabs>
        <w:autoSpaceDE w:val="0"/>
        <w:autoSpaceDN w:val="0"/>
        <w:adjustRightInd w:val="0"/>
        <w:spacing w:after="0" w:line="240" w:lineRule="auto"/>
        <w:jc w:val="both"/>
        <w:rPr>
          <w:rFonts w:ascii="Times New Roman" w:hAnsi="Times New Roman"/>
          <w:color w:val="000000" w:themeColor="text1"/>
          <w:sz w:val="16"/>
          <w:szCs w:val="16"/>
        </w:rPr>
      </w:pPr>
    </w:p>
    <w:p w14:paraId="42A6148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вышло Постановление ГКО № 782 Об оборонительном строительстве. (7013, 113).</w:t>
      </w:r>
    </w:p>
    <w:p w14:paraId="786D3AC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75D5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вышло Постановление ГКО № 783 О производстве противотанковой винтовочной шомпольной гранаты СК-Б Наркомугля. РГАНИР, Фонд ГКО, д. 12, лл. 114 (11012).</w:t>
      </w:r>
    </w:p>
    <w:p w14:paraId="708DED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FE761D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вышло Постановление ГКО № 784 [Об освобождении Сабурова М.З. и Кузнецова В.В. от обязанностей зам. уполномоченного ГКО по вопросам производства боеприпасов и вооружения.] (7013, 115).</w:t>
      </w:r>
    </w:p>
    <w:p w14:paraId="3AA1C68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4A1D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вышло Постановление ГКО № 794 О строительстве заводов легких танков и завода танковых дизелей. РГАНИР, Фонд ГКО, д. 12 Лл . 140-142 (11012).</w:t>
      </w:r>
    </w:p>
    <w:p w14:paraId="154E5C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A3ADA03" w14:textId="77777777" w:rsidR="00F075BB" w:rsidRPr="00640820" w:rsidRDefault="00F075B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13 октября 1941 г. на рубеже Пафнутовка – Волченки (4 км юго-восточнее Вереи) экипаж танка А-20 в составе отряда участвовал в бою. </w:t>
      </w:r>
    </w:p>
    <w:p w14:paraId="3ECAB10E" w14:textId="77777777" w:rsidR="00F075BB" w:rsidRPr="00640820" w:rsidRDefault="00F075B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Во второй половине октября экипаж танка А-20 в составе отдельной танковой роты участвует в боевых действиях в районе восточнее Можайска, где к 26 – 27 октября 1941 г. было остановлено наступление противника на рубеже западнее и юго-западнее Кубинки. </w:t>
      </w:r>
    </w:p>
    <w:p w14:paraId="00F74B9E" w14:textId="77777777" w:rsidR="00F075BB" w:rsidRPr="00640820" w:rsidRDefault="00F075B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После двухнедельной передышки, 15 ноября 1941 г., пополнив свои силы, немецко-фашистские войска начали новое наступление на Москву. И снова танк А-20 участвует в боевых действиях на ближних подступах к Москве. Но уже не в составе отдельной танковой роты, а в составе 22-го танкового полка (ТП) 22-й танковой бригады (ТБр), в которую он из роты Семенова был передан во второй половине дня 28 ноября 1941 г., после того как бригада была выведена в резерв командующего 5-й армии на пополнение и доукомплектование. </w:t>
      </w:r>
    </w:p>
    <w:p w14:paraId="2A1CA499" w14:textId="77777777" w:rsidR="00F075BB" w:rsidRPr="00640820" w:rsidRDefault="00F075B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 21 часу 28 ноября 1941 г. танк А-20 вместе с еще четырьмя танками Т-34, двумя танками Т-30 и танком Т-50 находился в лесу в 1 км южнее Павловской Слободы (30 км на западе от Москвы). </w:t>
      </w:r>
    </w:p>
    <w:p w14:paraId="27E33DE7" w14:textId="77777777" w:rsidR="00F075BB" w:rsidRPr="00640820" w:rsidRDefault="00F075B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Весь день 29 ноября 1941 г. экипаж танка А-20, как и основная часть личного состава подразделений 22-й ТБр, занимался техническим обслуживанием машины и чисткой личного оружия. </w:t>
      </w:r>
    </w:p>
    <w:p w14:paraId="53CA8E5C" w14:textId="77777777" w:rsidR="00F075BB" w:rsidRPr="00640820" w:rsidRDefault="00F075B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Чтобы не допустить противника в район Павловской Слободы, 29 ноября 1941 г. на базе 22-й ТБр была создана подвижная группа под командованием подполковника И.П. Ермакова – командира 22-й ТБр. В состав группы также вошли остатки 36-го мотоциклетного полка (МЦП), 18-й ТБр и 2-го стрелкового батальона 601-го мотострелкового полка (МСП). </w:t>
      </w:r>
    </w:p>
    <w:p w14:paraId="1CC453E6" w14:textId="77777777" w:rsidR="00F075BB" w:rsidRPr="00640820" w:rsidRDefault="00F075B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9 часов 30 ноября 1941 г. начальник штаба 22-й ТБр майор Н.П. Константинов в боевом донесении № 13, отправленном начальнику автобронетанкового отдела 5-й армии полковнику Д.И. Заеву, в частности, сообщил: </w:t>
      </w:r>
    </w:p>
    <w:p w14:paraId="32D37313" w14:textId="77777777" w:rsidR="00F075BB" w:rsidRPr="00640820" w:rsidRDefault="00F075BB"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«1. Части подвижной группы в составе: 22 ТП с приданными танками 18 ТП, 18 МСПБ, 36 МЦП, 2/601 МСП, 22 разведрота, 18 разведрота, 22 зен. див. – сформированы и сосредоточены в р-не Покровское, Юрьево, Павловская Слобода. </w:t>
      </w:r>
    </w:p>
    <w:p w14:paraId="74F2758B" w14:textId="77777777" w:rsidR="00F075BB" w:rsidRPr="00640820" w:rsidRDefault="00F075BB"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&lt;...&gt;</w:t>
      </w:r>
    </w:p>
    <w:p w14:paraId="149446F1" w14:textId="77777777" w:rsidR="00F075BB" w:rsidRPr="00640820" w:rsidRDefault="00F075BB"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 Части держатся в готовности действовать в направлениях: </w:t>
      </w:r>
    </w:p>
    <w:p w14:paraId="17723F54" w14:textId="77777777" w:rsidR="00F075BB" w:rsidRPr="00640820" w:rsidRDefault="00F075BB"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1) Рождествено – Снегири, </w:t>
      </w:r>
    </w:p>
    <w:p w14:paraId="14F440B3" w14:textId="77777777" w:rsidR="00F075BB" w:rsidRPr="00640820" w:rsidRDefault="00F075BB"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lastRenderedPageBreak/>
        <w:t xml:space="preserve">2) Рождествено – Крюково, </w:t>
      </w:r>
    </w:p>
    <w:p w14:paraId="7962DBEE" w14:textId="77777777" w:rsidR="00F075BB" w:rsidRPr="00640820" w:rsidRDefault="00F075BB"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3) Покровское – Борки. </w:t>
      </w:r>
    </w:p>
    <w:p w14:paraId="609C2F8C" w14:textId="77777777" w:rsidR="00F075BB" w:rsidRPr="00640820" w:rsidRDefault="00F075BB"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4) Покровское – Козьмино </w:t>
      </w:r>
    </w:p>
    <w:p w14:paraId="62D8F1E3" w14:textId="77777777" w:rsidR="00F075BB" w:rsidRPr="00640820" w:rsidRDefault="00F075BB" w:rsidP="00640820">
      <w:pPr>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10. Ведется разведка в вероятных направлениях действия бригады».</w:t>
      </w:r>
      <w:r w:rsidRPr="00640820">
        <w:rPr>
          <w:rFonts w:ascii="Times New Roman" w:hAnsi="Times New Roman"/>
          <w:color w:val="000000" w:themeColor="text1"/>
          <w:sz w:val="16"/>
          <w:szCs w:val="16"/>
        </w:rPr>
        <w:t xml:space="preserve"> </w:t>
      </w:r>
    </w:p>
    <w:p w14:paraId="37C47E1D" w14:textId="77777777" w:rsidR="00F075BB" w:rsidRPr="00640820" w:rsidRDefault="00F075BB" w:rsidP="00640820">
      <w:pPr>
        <w:pStyle w:val="ae"/>
        <w:spacing w:before="0" w:after="0"/>
        <w:jc w:val="both"/>
        <w:rPr>
          <w:color w:val="000000" w:themeColor="text1"/>
          <w:sz w:val="16"/>
          <w:szCs w:val="16"/>
        </w:rPr>
      </w:pPr>
      <w:r w:rsidRPr="00640820">
        <w:rPr>
          <w:bCs/>
          <w:color w:val="000000" w:themeColor="text1"/>
          <w:sz w:val="16"/>
          <w:szCs w:val="16"/>
        </w:rPr>
        <w:t xml:space="preserve">[ЦАМО. Ф. 326. Оп. 5068. Д. 4. Л. 262] </w:t>
      </w:r>
    </w:p>
    <w:p w14:paraId="0826E08D" w14:textId="77777777" w:rsidR="00F075BB" w:rsidRPr="00640820" w:rsidRDefault="009E4004" w:rsidP="00640820">
      <w:pPr>
        <w:spacing w:after="0" w:line="240" w:lineRule="auto"/>
        <w:jc w:val="both"/>
        <w:rPr>
          <w:rFonts w:ascii="Times New Roman" w:hAnsi="Times New Roman"/>
          <w:color w:val="000000" w:themeColor="text1"/>
          <w:sz w:val="16"/>
          <w:szCs w:val="16"/>
        </w:rPr>
      </w:pPr>
      <w:hyperlink r:id="rId41" w:tgtFrame="_blank" w:history="1"/>
      <w:r w:rsidR="00F075BB" w:rsidRPr="00640820">
        <w:rPr>
          <w:rFonts w:ascii="Times New Roman" w:hAnsi="Times New Roman"/>
          <w:color w:val="000000" w:themeColor="text1"/>
          <w:sz w:val="16"/>
          <w:szCs w:val="16"/>
        </w:rPr>
        <w:t xml:space="preserve">К 16 часам 30 ноября 1941 г. 22-й ТП был пополнен двумя танками Т-34, четырьмя танками Т-60, двумя танками Т-26 и бронеавтомобилем. Все танки полка, включая и танк А-20, к исходу дня были дозаправлены ГСМ и пополнены до норм боеприпасами. </w:t>
      </w:r>
    </w:p>
    <w:p w14:paraId="568135AC" w14:textId="77777777" w:rsidR="00F075BB" w:rsidRPr="00640820" w:rsidRDefault="00F075B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утра 1 декабря 1941 г. немцы на флангах обороны 108-й стрелковой дивизии 5-й армии начали наступление и, прорвав оборону Красной Армии, к вечеру заняли: Борисково, Борки, Славково, Писково, Воронино, Абушково. Подвижной группе, в составе которой находился и танк А-20, было приказано восстановить положение. Ночная атака, проведенная частями подвижной группы, увенчалась успехом. Были заняты: Покровское, Воронино, Абушково. </w:t>
      </w:r>
    </w:p>
    <w:p w14:paraId="35F4E705" w14:textId="77777777" w:rsidR="00F075BB" w:rsidRPr="00640820" w:rsidRDefault="00F075B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12 часов 2 декабря 1941 г. гитлеровцы силою до двух полков пехоты с танками атаковали: Покровское, Абушково, Юрьево и Козенки. В течении всей ночи шел упорный бой. Благодаря превосходству сил, ценой больших потерь немцам удалось занять эти населенные пункты. За сутки боевых действий в 22-й танковой бригаде безвозвратно были потеряны два танка Т-60 и танк Т-50 (все сгорели). Кроме этого, были подбиты танки Т-26 и Т-34. </w:t>
      </w:r>
    </w:p>
    <w:p w14:paraId="0F4F7500" w14:textId="77777777" w:rsidR="00F075BB" w:rsidRPr="00640820" w:rsidRDefault="00F075B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 декабря 1941 г. танк А-20 в составе 22-й ТБр, приданной 108-й стрелковой дивизии, участвовал в наступлении в районе западнее Павловской Слободы. В течение дня боевых действий противнику удалось подбить три танка, одним из которых был танк А-20. </w:t>
      </w:r>
    </w:p>
    <w:p w14:paraId="76482DBB" w14:textId="77777777" w:rsidR="00F075BB" w:rsidRPr="00640820" w:rsidRDefault="00F075B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докладной записке от 3 декабря 1941 г. своему непосредственному начальнику капитану М. Криволапову старший помощник начальника 1-го отделения автобронетанкового отдела 5-й армии капитан В.Е. Гальчин сообщил, что в подвижной группе подполковника И.П. Ермакова имелись </w:t>
      </w:r>
      <w:r w:rsidRPr="00640820">
        <w:rPr>
          <w:rFonts w:ascii="Times New Roman" w:hAnsi="Times New Roman"/>
          <w:iCs/>
          <w:color w:val="000000" w:themeColor="text1"/>
          <w:sz w:val="16"/>
          <w:szCs w:val="16"/>
        </w:rPr>
        <w:t>«на ходу: Т-34 – 7, КВ – 1, Т-26 – 2, Т-30 – 2, Т-60 – 5, БТ – 4, БА-10 – 1, ФАИ – 1, Т-50 – ремонт ?, А-20 – ремонт»</w:t>
      </w:r>
      <w:r w:rsidRPr="00640820">
        <w:rPr>
          <w:rFonts w:ascii="Times New Roman" w:hAnsi="Times New Roman"/>
          <w:color w:val="000000" w:themeColor="text1"/>
          <w:sz w:val="16"/>
          <w:szCs w:val="16"/>
        </w:rPr>
        <w:t xml:space="preserve">. </w:t>
      </w:r>
    </w:p>
    <w:p w14:paraId="4A0F49A2" w14:textId="77777777" w:rsidR="00F075BB" w:rsidRPr="00640820" w:rsidRDefault="00F075B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связи с тем, что полученные танком А-20 в бою повреждения устранить силами и средствами ремонтно-восстановительной роты 22-й танковой бригады не представлялось возможным, машина была эвакуирована и передана в 25-ю подвижную ремонтную базу (ПРБ) Западного фронта. В декабре 1941 г. 25-я ПРБ дислоцировалась на территории завода «Красная труба» в подмосковном посёлке Фили. Из-за отсутствия дизеля В-2 ремонт танка А-20 был завершен только весной 1942 г. </w:t>
      </w:r>
    </w:p>
    <w:p w14:paraId="47889881" w14:textId="77777777" w:rsidR="00F075BB" w:rsidRPr="00640820" w:rsidRDefault="00F075B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Вот что по этому поводу рассказал бывший в то время командиром отделения монтажных работ 25-й ПРБ сержант А.В. Лунев: </w:t>
      </w:r>
    </w:p>
    <w:p w14:paraId="5E4F5FBC" w14:textId="77777777" w:rsidR="00F075BB" w:rsidRPr="00640820" w:rsidRDefault="00F075BB"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«В первые же дни войны на заводе № 183, где я работал, из числа добровольцев – рабочих и инженерно-технических работников – было укомплектовано несколько подвижных танкоремонтных баз (ПРБ). На них была возложена задача восстанавливать поврежденные машины в полевых условиях и оказывать помощь фронтовикам в освоении нового танка Т-34. </w:t>
      </w:r>
    </w:p>
    <w:p w14:paraId="26188517" w14:textId="77777777" w:rsidR="00F075BB" w:rsidRPr="00640820" w:rsidRDefault="00F075BB"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&lt;...&gt;</w:t>
      </w:r>
    </w:p>
    <w:p w14:paraId="15B69C60" w14:textId="77777777" w:rsidR="00F075BB" w:rsidRPr="00640820" w:rsidRDefault="00F075BB"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На изрядно разбитом, покрытом выгоревшим брезентом грузовике мы, семеро рабочих, носились по фронтовым дорогам, спешили туда, где так нужна была наша помощь. Вместе с войсками проделали тяжелый путь отступления от Смоленска к Москве. Когда наши солдаты насмерть стали на подступах к столице, мы обосновались в подмосковном посёлке Фили. Десятки отремонтированных машин были возвращены в строй, чтобы участвовать в исторической битве за Москву. </w:t>
      </w:r>
    </w:p>
    <w:p w14:paraId="1999BA43" w14:textId="77777777" w:rsidR="00F075BB" w:rsidRPr="00640820" w:rsidRDefault="00F075BB"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Как-то в числе повреждённых танков попал в наши руки опытный образец А-20. Встреча с ним была подобна встрече со старым другом. Вспомнились горячие дни работы над созданием этой машины, совместные с конструкторами бдения над её сборкой и доводкой. </w:t>
      </w:r>
    </w:p>
    <w:p w14:paraId="398B5656" w14:textId="77777777" w:rsidR="00F075BB" w:rsidRPr="00640820" w:rsidRDefault="00F075BB" w:rsidP="00640820">
      <w:pPr>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А-20 был восстановлен. С болью в душе проводил я танк за пределы посёлка, мысленно пожелав удачи в боях с фашистами. Больше мы его не встречали».</w:t>
      </w:r>
      <w:r w:rsidRPr="00640820">
        <w:rPr>
          <w:rFonts w:ascii="Times New Roman" w:hAnsi="Times New Roman"/>
          <w:color w:val="000000" w:themeColor="text1"/>
          <w:sz w:val="16"/>
          <w:szCs w:val="16"/>
        </w:rPr>
        <w:t xml:space="preserve"> </w:t>
      </w:r>
    </w:p>
    <w:p w14:paraId="317BEB59" w14:textId="77777777" w:rsidR="00F075BB" w:rsidRPr="00640820" w:rsidRDefault="00F075BB" w:rsidP="00640820">
      <w:pPr>
        <w:pStyle w:val="ae"/>
        <w:spacing w:before="0" w:after="0"/>
        <w:jc w:val="both"/>
        <w:rPr>
          <w:bCs/>
          <w:color w:val="000000" w:themeColor="text1"/>
          <w:sz w:val="16"/>
          <w:szCs w:val="16"/>
        </w:rPr>
      </w:pPr>
      <w:r w:rsidRPr="00640820">
        <w:rPr>
          <w:bCs/>
          <w:color w:val="000000" w:themeColor="text1"/>
          <w:sz w:val="16"/>
          <w:szCs w:val="16"/>
        </w:rPr>
        <w:t>[Т-34: путь к Победе: Воспоминания танкостроителей и танкистов. Сост.: К.М. Слободин, В.Д. Листровой,</w:t>
      </w:r>
    </w:p>
    <w:p w14:paraId="7A008175" w14:textId="77777777" w:rsidR="00F075BB" w:rsidRPr="00640820" w:rsidRDefault="00F075BB" w:rsidP="00640820">
      <w:pPr>
        <w:pStyle w:val="ae"/>
        <w:spacing w:before="0" w:after="0"/>
        <w:jc w:val="both"/>
        <w:rPr>
          <w:color w:val="000000" w:themeColor="text1"/>
          <w:sz w:val="16"/>
          <w:szCs w:val="16"/>
        </w:rPr>
      </w:pPr>
      <w:r w:rsidRPr="00640820">
        <w:rPr>
          <w:bCs/>
          <w:color w:val="000000" w:themeColor="text1"/>
          <w:sz w:val="16"/>
          <w:szCs w:val="16"/>
        </w:rPr>
        <w:t>Издательство политической литературы Украины, 1989, С 194 – 195]</w:t>
      </w:r>
    </w:p>
    <w:p w14:paraId="00735454" w14:textId="77777777" w:rsidR="00F075BB" w:rsidRPr="00640820" w:rsidRDefault="00F075B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сожалению, и мы в архивных документах не нашли никаких сведений о дальнейшей судьбе этого танка (17625).</w:t>
      </w:r>
    </w:p>
    <w:p w14:paraId="6376C081" w14:textId="77777777" w:rsidR="00F075BB" w:rsidRPr="00640820" w:rsidRDefault="00F075BB" w:rsidP="00640820">
      <w:pPr>
        <w:spacing w:after="0" w:line="240" w:lineRule="auto"/>
        <w:jc w:val="both"/>
        <w:rPr>
          <w:rFonts w:ascii="Times New Roman" w:eastAsia="Times New Roman" w:hAnsi="Times New Roman"/>
          <w:color w:val="000000" w:themeColor="text1"/>
          <w:sz w:val="16"/>
          <w:szCs w:val="16"/>
          <w:lang w:eastAsia="ru-RU"/>
        </w:rPr>
      </w:pPr>
    </w:p>
    <w:p w14:paraId="5DC3F239" w14:textId="77777777" w:rsidR="00515354" w:rsidRPr="00640820" w:rsidRDefault="0051535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года, согласно документам, первые четыре артиллерийских тягача ГАЗ-61–416 были направлены на завод №92. Там к ним цепляли противотанковые пушки ЗИС-2, после чего отправляли в войска. Следующие четыре пикапа прибыли на завод №92 14 октября, всего же за этот месяц было выпущено 33 машины. На этом производство ГАЗ-61–416 прекратилось, Горьковский автозавод им. Молотова окончательно перешёл на выпуск куда больше нужных фронту танков Т-60.</w:t>
      </w:r>
    </w:p>
    <w:p w14:paraId="41306673" w14:textId="77777777" w:rsidR="00515354" w:rsidRPr="00640820" w:rsidRDefault="00515354" w:rsidP="00640820">
      <w:pPr>
        <w:spacing w:after="0" w:line="240" w:lineRule="auto"/>
        <w:jc w:val="both"/>
        <w:rPr>
          <w:rFonts w:ascii="Times New Roman" w:hAnsi="Times New Roman"/>
          <w:color w:val="000000" w:themeColor="text1"/>
          <w:sz w:val="16"/>
          <w:szCs w:val="16"/>
          <w:highlight w:val="yellow"/>
        </w:rPr>
      </w:pPr>
    </w:p>
    <w:p w14:paraId="78D71946" w14:textId="77777777" w:rsidR="00F075BB" w:rsidRPr="00640820" w:rsidRDefault="00F075BB"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13 октября 1941 года первые четыре артиллерийских тягача ГАЗ-61 были направлены на завод №92 только. Там к ним цепляли противотанковые пушки ЗИС-2, после чего отправляли в войска. Следующие четыре пикапа прибыли на завод №92 14 октября, всего же за этот месяц было выпущено 33 машины. На этом производство ГАЗ-61–416 прекратилось, Горьковский автозавод им. Молотова окончательно перешёл на выпуск куда больше нужных фронту танков Т-60.</w:t>
      </w:r>
    </w:p>
    <w:p w14:paraId="6EF187EA" w14:textId="77777777" w:rsidR="00F075BB" w:rsidRPr="00640820" w:rsidRDefault="00F075BB"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Данных о том, куда именно отправлялись ГАЗ-61–416, нет. Тем не менее, некоторые зацепки по поводу их судьбы всё же удалось найти. В документах 43-й Армии за ноябрь-декабрь 1941 года обнаружился список колёсной техники. В нём, среди прочих машин, были пять «ГАЗ-61 Пикап», принадлежавших 26-й танковой бригаде. Судя по всему, именно эта бригада и стала первой воинской частью, получившей новые артиллерийские тягачи. С учётом того, что её сформировали в Горьковском автобронетанковом центре, ничего удивительного в этом нет. Можно предположить, что и остальные ГАЗ-61–416 также были направлены на комплектование танковых бригад, поскольку именно туда, прежде всего, шли осенью 1941 года пушки ЗИС-2. В определённой степени машины ГАЗ-61–416 стали «сменщиками» самоходных установок ЗИС-30, которые также шли на комплектование танковых бригад.</w:t>
      </w:r>
    </w:p>
    <w:p w14:paraId="42F81504" w14:textId="77777777" w:rsidR="00F075BB" w:rsidRPr="00640820" w:rsidRDefault="00F075BB"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Отчётов о применении артиллерийских тягачей найти не удалось. Скорее всего, и не велись они, в то время было совсем не до того. Тем не менее, один из ГАЗ-61–416 умудрился засветиться в хронике, посвящённой контрнаступлению под Москвой. Некоторые считают, что это постановка, но скорее всего здесь заснят вполне реальный боевой эпизод. Поставки ГАЗ-61–416 в войска пришлись на вторую половину октября-начало ноября 1941 года, и большинство частей, их получивших, принимало участие как в обороне Москвы, так и в контрнаступлении, начавшемся в начале декабря.</w:t>
      </w:r>
    </w:p>
    <w:p w14:paraId="424B21C8" w14:textId="77777777" w:rsidR="00F075BB" w:rsidRPr="00640820" w:rsidRDefault="00F075BB"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На тот момент это были лучшие советские колёсные арттягачи, поскольку они не только имели полный привод, но и проектировались специально для этой роли. В 1943 году аналогичные машины снова появились в Красной армии, назывались они Dodge WC-51. По своим характеристикам и выполняемым задачам американская машина была очень близка к ГАЗ-61–416, да и артсистемы часто таскала те же (17657).</w:t>
      </w:r>
    </w:p>
    <w:p w14:paraId="575BBBA3" w14:textId="77777777" w:rsidR="00F075BB" w:rsidRPr="00640820" w:rsidRDefault="00F075BB" w:rsidP="00640820">
      <w:pPr>
        <w:spacing w:after="0" w:line="240" w:lineRule="auto"/>
        <w:jc w:val="both"/>
        <w:rPr>
          <w:rFonts w:ascii="Times New Roman" w:eastAsia="Times New Roman" w:hAnsi="Times New Roman"/>
          <w:color w:val="000000" w:themeColor="text1"/>
          <w:sz w:val="16"/>
          <w:szCs w:val="16"/>
          <w:lang w:eastAsia="ru-RU"/>
        </w:rPr>
      </w:pPr>
    </w:p>
    <w:p w14:paraId="753A4F1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13 октября 1941 на заводе № 189 кончились используемые для бронировки шасси ГАЗ-ААА, хотя небольшой задел по корпусам еще имелся. Выход был найден в использовании двухосных грузовиков ГАЗ-АА и ЗИС-5. В кратчайшие сро</w:t>
      </w:r>
      <w:r w:rsidRPr="00640820">
        <w:rPr>
          <w:rFonts w:ascii="Times New Roman" w:hAnsi="Times New Roman"/>
          <w:color w:val="000000" w:themeColor="text1"/>
          <w:sz w:val="16"/>
          <w:szCs w:val="16"/>
        </w:rPr>
        <w:softHyphen/>
        <w:t>ки на них смонтировали бронекорпуса БА-10М, и 23 октя</w:t>
      </w:r>
      <w:r w:rsidRPr="00640820">
        <w:rPr>
          <w:rFonts w:ascii="Times New Roman" w:hAnsi="Times New Roman"/>
          <w:color w:val="000000" w:themeColor="text1"/>
          <w:sz w:val="16"/>
          <w:szCs w:val="16"/>
        </w:rPr>
        <w:softHyphen/>
        <w:t>бря 1941 года первые три машины на двухосных шасси пе</w:t>
      </w:r>
      <w:r w:rsidRPr="00640820">
        <w:rPr>
          <w:rFonts w:ascii="Times New Roman" w:hAnsi="Times New Roman"/>
          <w:color w:val="000000" w:themeColor="text1"/>
          <w:sz w:val="16"/>
          <w:szCs w:val="16"/>
        </w:rPr>
        <w:softHyphen/>
        <w:t>редали в войска (11284).</w:t>
      </w:r>
    </w:p>
    <w:p w14:paraId="58F89D9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C17B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ГКО принял решение о строительстве в Барнауле двух заводов: по изготовлению Т-50 Л.С.Троянова и дизелей В-4 для них (3547).</w:t>
      </w:r>
    </w:p>
    <w:p w14:paraId="1DA5DD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F330F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ГКО принял решение о строительстве в Барнауле двух заводов: одного по производству танков T-50 и второго - по изготовлению дизелей В-4 (3862).</w:t>
      </w:r>
    </w:p>
    <w:p w14:paraId="64E192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CC663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г. в соответствии с пост. ГКО № 794сс был основан Барнаульский моторостроительный завод № 77 НКТП. После начала ВОВ в Барнаул эвакуировано оборудование танкового завода из Харькова и двигательное производство завода № 174 НКТП. В 08.1942 г. на завод эвакуировано двигательное производство СТЗ. С 20.08 по 1.09.1942 г. на завод прибыло 3170 эвакуированных работников. 6.11.1942 г. Барнаульский завод транспортного машиностроения (Завод № 77 НКТП, Минтрансмаша, Барнаульский завод транспортного машиностроения, А-7494, ОАО «Холдинговая компания (ХК) «Барнаултрансмаш» (БТМ) /г. Барнаул а/я 13/ /656037  г. Барнаул пр. Калинина, 28 тел. 77-08-11/) выдал первую продукцию- танковые дизели В-2, этот день стал официальным днем рождения завода. 12.11.1942 г. вышло постановление ГКО № 2509 о пуске Барнаульского завода танковых дизелей. Имел наименование- «п/я А-7494».</w:t>
      </w:r>
    </w:p>
    <w:p w14:paraId="21D88A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1946 г. по заданию МСП проведена конвертация танкового дизеля В-4 в вариант для катеров «Алтай-6», на его базе создан ЗД6.</w:t>
      </w:r>
    </w:p>
    <w:p w14:paraId="0B5463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1992 г. - ОАО ХК «Барнаултрансмаш». С 2002 г. входило в СОК (2003 г.), затем было продано. По решению правительства № 22-р от 9.01.2004 г. вошло в перечень стратегических предприятий. В 2007 г. входило в группу ГАЗ.</w:t>
      </w:r>
    </w:p>
    <w:p w14:paraId="3F81D0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Компания имела дочерние предприятия (2002 г.): Барнаульский завод топливной аппаратуры (БЗТА), Барнаульский кузнечный завод (БКЗ), АО «СТО», АО «АЛТИС» (производство ТИП), АО «Торговое предприятие «Барнаултрансмаш».</w:t>
      </w:r>
    </w:p>
    <w:p w14:paraId="7220E0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Гендиректор (2002 г.)- П. Г. Рожков.</w:t>
      </w:r>
    </w:p>
    <w:p w14:paraId="725665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гендиректора по техническому развитию (2002 г.)- Н.И. Валуйский.</w:t>
      </w:r>
    </w:p>
    <w:p w14:paraId="777AA7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(1941 г.-)- М.П. Поддубный.</w:t>
      </w:r>
    </w:p>
    <w:p w14:paraId="37720A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(1941 г.-)- Е. Лев, (2002 г.)- А.С. Калюнов.</w:t>
      </w:r>
    </w:p>
    <w:p w14:paraId="2D0C60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Коммерческий директор (2002 г.)- А.С. Понимаскин. Финансовый директор (2002 г.)- Т.А. Степанова.</w:t>
      </w:r>
    </w:p>
    <w:p w14:paraId="4EE96EAF" w14:textId="77777777" w:rsidR="00C45D12"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(2004): дизельные двигатели: танковые В-2, В-16 (ВОВ)- всего более 10.000; Д20 для БМП (1960-е), транспортный Д25 (1970-е); судовые главные и вспомогательные: «Алтай-6», ЗД6, ЗД12А, ЗД6С2, ЗД6Н, ЗД20 (1970-е), ЗДОЗ, ЗД25; дизель-генераторные установки УЗОА, У39, У34Н, У36Н, У45Н; транспортные 1Д12- 400С2, Д12А-525А; многоцелевые БМД-30, БМД-40, БМД-80; автокомпоненты.</w:t>
      </w:r>
    </w:p>
    <w:p w14:paraId="6C4818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ОКБ по дизелям завода № 77, КБ завода «Барнаултрансмаш»</w:t>
      </w:r>
    </w:p>
    <w:p w14:paraId="24EE1E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(11.1958 г.-)- Б. Г. Егоров.</w:t>
      </w:r>
    </w:p>
    <w:p w14:paraId="5E1668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дизельные двигатели: В-6М, УТД-20, УТД-29 для БТР; судовые для катеров ЗД20 (1965), ЗД20Б (1970-е) (11982).</w:t>
      </w:r>
    </w:p>
    <w:p w14:paraId="1CB6C4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A9AF2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года НКВ в соответствии с Постановлением ГКО от 13 октября 1941 года № 781сс приказал немедленно приступить к эвакуации завода № 8 в Свердловск (ЦАЭ, оп. 1, д. 13, л. 13).</w:t>
      </w:r>
    </w:p>
    <w:p w14:paraId="154C5A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Постановлением СМ РСФСР № 1107-119сс от 12 сентября 1963 года заводу № 8 им. Калинина присвоено новое наименование – Свердловский машиностроительный завод им. М.И. Калинина. В 1911-1913 гг. заводскими большевиками руководил М.И. Калинин, работавший на заводе шлифовальщиком.</w:t>
      </w:r>
    </w:p>
    <w:p w14:paraId="2D46B3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период первой пятилетки завод является единственным в стране заводом полуавтоматической зенитной сухопутной и морской артиллерии среднего калибра (76 мм и 85 мм) и полуавтоматической танковой, противотанковой и морской артиллерии малого калибра (45 мм). В 1939-1941 гг. завод проектирует впервые в стране автоматическую зенитную артиллерию калибром 20 мм, 37 мм, 45 мм, из которых 20 мм ставит на производство. За 1941-1945 гг. было выпущено 16245 зенитных орудий. С конца 1958 года завод переходит на выпуск зенитных ракет и меняет свой профиль (9919).</w:t>
      </w:r>
    </w:p>
    <w:p w14:paraId="0C5DCF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5E50A7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года вышел приказ № 514 НКВ</w:t>
      </w:r>
    </w:p>
    <w:p w14:paraId="3ECE675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исполнение постановления ГКО от 13 октября 1941 года № 781сс:</w:t>
      </w:r>
    </w:p>
    <w:p w14:paraId="0F60649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Немедленно приступить к эвакуации оборудования и кадров завода № 8 из Калининграда Московской обл., занятых на производстве 85 мм зенитных пушек в Свердловск на Уралмашзавод Наркомтанкопрома (6288, 148).</w:t>
      </w:r>
    </w:p>
    <w:p w14:paraId="7FFF5D0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A0B88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года вышел приказ № 685с/73с Наркомата общего машиностроения и НКТП</w:t>
      </w:r>
    </w:p>
    <w:p w14:paraId="6AD3C49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основании постановления ГКО от 9 октября 1941 года передать Ташкентский завод с/х машиностроения “Ташсельмаш” в систему НКТП (6033, 114).</w:t>
      </w:r>
    </w:p>
    <w:p w14:paraId="5928F15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BFF23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года вышел приказ № 341с/71с Наркомата судостроительной промышленности и НКТП</w:t>
      </w:r>
    </w:p>
    <w:p w14:paraId="68BC371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связи с передачей завода № 264 Наркомсудпрома в НКТП в соответствии с постановлением СНК от 11 сентября 1941 года за № 2059:</w:t>
      </w:r>
    </w:p>
    <w:p w14:paraId="179A6B0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дополнение к приказу НКСП № 359 от 15 августа 1041 года эвакуированное по Постановлению ГКО № 99сс от 11 июля 1941 года на завод № 264 в Сталинград КБ завода № 190 им. Жданова временно для обеспечения потребностей завода № 264 в проектно-конструкторских работах оставить на заводе № 264 на правах отдела завода с подчинением руководству завода № 264 (6033, 110).</w:t>
      </w:r>
    </w:p>
    <w:p w14:paraId="1A081D0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4E14D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года вышел приказ № 70/001502сс НКТП и НКВД</w:t>
      </w:r>
    </w:p>
    <w:p w14:paraId="0283708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постановлением ГКО от 4 октября 1941 года № 734сс “Об эвакуации с Ижорского завода НКТП на Куйбышевский завод Особстроя НКВД оборудования, рабочих, ИТР, занятых на производстве бронекорпусов и башен танка Т-50:</w:t>
      </w:r>
    </w:p>
    <w:p w14:paraId="077FAEE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Передать Куйбышевский завод из ведения НКВД в НКТП ………… (6033, 108).</w:t>
      </w:r>
    </w:p>
    <w:p w14:paraId="4865839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757CF3" w14:textId="77777777" w:rsidR="00515354" w:rsidRPr="00640820" w:rsidRDefault="00515354"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13 октября 1941 нарком электропромышленности И.Кабанов и заместитель наркома обороны И.Пересыпкин обратились к Председателю Совета по эвакуации Н.М.Швернику с письмом. В нем говорилось:</w:t>
      </w:r>
    </w:p>
    <w:p w14:paraId="2B47700A" w14:textId="77777777" w:rsidR="00515354" w:rsidRPr="00640820" w:rsidRDefault="00515354"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«Совет по эвакуации постановлением № 149 СС от 10.10. с.г. обязал НКПС (наркомат путейсообщения) выделить во второй и третьей декадах октября вагоны для эвакуации из Москвы и Московской области заводов Наркомэлектропрома: № 203, № 191, НИИ-20, ВЭИ и Прожекторного.</w:t>
      </w:r>
    </w:p>
    <w:p w14:paraId="6EA1E98D" w14:textId="77777777" w:rsidR="00515354" w:rsidRPr="00640820" w:rsidRDefault="00515354"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Несмотря на наши неоднократные требования, НКПС до сего времени не дал указания железным дорогам и категорически отказал до 18 октября принять к исполнению решение Совета по эвакуации.</w:t>
      </w:r>
    </w:p>
    <w:p w14:paraId="5489AFB9" w14:textId="77777777" w:rsidR="00515354" w:rsidRPr="00640820" w:rsidRDefault="00515354"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Учитывая, что задержка эвакуации вышеперечисленных заводов может исключительно тяжело отразиться на выпуске самолетов и танков, наркомэлектропром и народный комиссариат обороны просят Вашего распоряжения НКПС немедленно приступить к исполнению постановления Совета по эвакуации, обеспечив сгущение</w:t>
      </w:r>
    </w:p>
    <w:p w14:paraId="41271C75" w14:textId="77777777" w:rsidR="00515354" w:rsidRPr="00640820" w:rsidRDefault="00515354"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подачи порожняка для возмещения недогруза.</w:t>
      </w:r>
    </w:p>
    <w:p w14:paraId="147B7C97" w14:textId="77777777" w:rsidR="00515354" w:rsidRPr="00640820" w:rsidRDefault="00515354"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Одновременно просим ускорить решение вопроса об эвакуации завода № 220, производство которого также связано с выпуском самолетов, танков и обеспечения средств связи Красной Армии» (17424).</w:t>
      </w:r>
    </w:p>
    <w:p w14:paraId="6067564A" w14:textId="77777777" w:rsidR="00515354" w:rsidRPr="00640820" w:rsidRDefault="00515354"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p>
    <w:p w14:paraId="77663FE1"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28AD8344"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3918A2B" w14:textId="77777777" w:rsidR="00C45D12" w:rsidRPr="00640820" w:rsidRDefault="00C45D12"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13 октября </w:t>
      </w:r>
      <w:r w:rsidRPr="00640820">
        <w:rPr>
          <w:rFonts w:ascii="Times New Roman" w:hAnsi="Times New Roman"/>
          <w:color w:val="000000" w:themeColor="text1"/>
          <w:sz w:val="16"/>
          <w:szCs w:val="16"/>
        </w:rPr>
        <w:t>в 1941 году утреннее сообщение Совинформбюро:</w:t>
      </w:r>
    </w:p>
    <w:p w14:paraId="216E4B85" w14:textId="77777777" w:rsidR="00C45D12" w:rsidRPr="00640820" w:rsidRDefault="00C45D1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13 октября наши войска вели бои с противником на всём фронте и особенно напряжённые на ВЯЗЕМСКОМ направлении.</w:t>
      </w:r>
    </w:p>
    <w:p w14:paraId="1F53F420" w14:textId="77777777" w:rsidR="00C45D12" w:rsidRPr="00640820" w:rsidRDefault="00C45D1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Юго-Западном направления фронта наши войска ведут упорные бои с наступающими частями противника. На отдельных участках фронта наши части переходят в контратаки. Группа полковника Хасина, действуя совместно с конницей, внезапно атаковала противника и захватила 120 грузовых и легковых автомашин, 80 мотоциклов и много боеприпасов. На другом участке фронта часть полковника Рогачевского в результате атаки во фланг немецких войск уничтожила 500 вражеских солдат и офицеров.</w:t>
      </w:r>
    </w:p>
    <w:p w14:paraId="72C93C0D" w14:textId="77777777" w:rsidR="00C45D12" w:rsidRPr="00640820" w:rsidRDefault="00C45D1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Действия наземных частей активно поддерживаются авиацией. Наши самолёты непрерывно атакуют резервы неприятеля и громят его аэродромы. Авиационное подразделение капитана Федянина во время бомбардировки вражеского аэродрома уничтожило 10 «Юикерсов» и повредило много машин.</w:t>
      </w:r>
    </w:p>
    <w:p w14:paraId="2D11A30E" w14:textId="77777777" w:rsidR="00C45D12" w:rsidRPr="00640820" w:rsidRDefault="00C45D1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другом участке Юго-Западного направления фронта наша авиация, поддерживая наземные части, ведущие борьбу с наступающим противником, уничтожила несколько немецких танков и свыше 100 автомашин с боеприпасами и пехотой.</w:t>
      </w:r>
    </w:p>
    <w:p w14:paraId="18A90BF5" w14:textId="77777777" w:rsidR="00C45D12" w:rsidRPr="00640820" w:rsidRDefault="00C45D1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участков фронта под Ленинградом танковая часть тов. Родина уничтожила 13 немецких противотанковых орудий, 14 станковых пулемётов, 4 наблюдательных артиллерийских пункта, более 400 солдат и офицеров.</w:t>
      </w:r>
    </w:p>
    <w:p w14:paraId="283C6E80" w14:textId="77777777" w:rsidR="00C45D12" w:rsidRPr="00640820" w:rsidRDefault="00C45D1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Партизанский отряд под командованием тов. Г. успешно ведёт борьбу в одном из оккупированных немцами районов Западного направления фронта. Партизаны совершили много налётов на немецкие войска, коммуникации и транспорты. За последние дни отряд имел несколько стычек с небольшими группами немецких солдат. В одной из таких стычек партизаны убили трёх солдат, ранили двух солдат и одного офицера, захватили оперативные документы. Через несколько дней произошла новая стычка, во время которой партизаны уничтожили 5 фашистов, захватили мотоцикл и три ручных пулемёта.</w:t>
      </w:r>
    </w:p>
    <w:p w14:paraId="3167FCB1" w14:textId="77777777" w:rsidR="00C45D12" w:rsidRPr="00640820" w:rsidRDefault="00C45D1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октября группа бойцов отряда во главе с тов. Л. взорвала оклад с боеприпасами, который немцы устроили в лесу. Партизанская группа тов. Р., действующая в соседнем районе, уничтожила автомашину, мотоцикл и захватила пулемёт. В другой деревне эта группа партизан в бою с фашистским подразделением перебила 9 немецких солдат. За первую неделю октября отряд взорвал 7 немецких автомашин с боеприпасами и уничтожил две штабные автомашины.</w:t>
      </w:r>
    </w:p>
    <w:p w14:paraId="7D55E41E" w14:textId="77777777" w:rsidR="00C45D12" w:rsidRPr="00640820" w:rsidRDefault="00C45D1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Чехословакии продолжается безудержный фашистский террор. Число чехов, заключённых в германские тюрьмы и концентрационные лагери, достигает 150 тысяч человек. Только за последние дни в Чехословакии агенты германского гестапо во главе с палачом Гейдрихом расстреляли, повесили и посадили в тюрьмы несколько тысяч чехословацких патриотов.</w:t>
      </w:r>
    </w:p>
    <w:p w14:paraId="631D6096" w14:textId="77777777" w:rsidR="00C45D12" w:rsidRPr="00640820" w:rsidRDefault="00C45D1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Чешские крестьяне, проживающие в центральной части Чехии, Пльзене, Брно и Моравской Остраве, согнаны немцами со своих земель. Их земли переданы германским кулакам. В стране запрещено исполнение чешских песен, закрыты все театры. Во всех школах чешские учебники изъяты и заменены фашистскими.» (14798).</w:t>
      </w:r>
    </w:p>
    <w:p w14:paraId="790F46E9" w14:textId="77777777" w:rsidR="00C45D12" w:rsidRPr="00640820" w:rsidRDefault="00C45D12" w:rsidP="00640820">
      <w:pPr>
        <w:spacing w:after="0" w:line="240" w:lineRule="auto"/>
        <w:jc w:val="both"/>
        <w:rPr>
          <w:rFonts w:ascii="Times New Roman" w:hAnsi="Times New Roman"/>
          <w:color w:val="000000" w:themeColor="text1"/>
          <w:sz w:val="16"/>
          <w:szCs w:val="16"/>
        </w:rPr>
      </w:pPr>
    </w:p>
    <w:p w14:paraId="5A20527A" w14:textId="77777777" w:rsidR="00C45D12" w:rsidRPr="00640820" w:rsidRDefault="00C45D12"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13 октября </w:t>
      </w:r>
      <w:r w:rsidRPr="00640820">
        <w:rPr>
          <w:rFonts w:ascii="Times New Roman" w:hAnsi="Times New Roman"/>
          <w:color w:val="000000" w:themeColor="text1"/>
          <w:sz w:val="16"/>
          <w:szCs w:val="16"/>
        </w:rPr>
        <w:t>в 1941 году вечернее сообщение Совинформбюро:</w:t>
      </w:r>
    </w:p>
    <w:p w14:paraId="2508F9A6" w14:textId="77777777" w:rsidR="00C45D12" w:rsidRPr="00640820" w:rsidRDefault="00C45D1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13 октября наши войска вели бои с противником на всём фронте, особенно упорные на Вяземском и Брянском направлениях. После многодневных ожесточённых боёв, в ходе которых противник понёс огромный урон людьми и вооружением, наши войска оставили г. Вязьму.</w:t>
      </w:r>
    </w:p>
    <w:p w14:paraId="645E1B49" w14:textId="77777777" w:rsidR="00C45D12" w:rsidRPr="00640820" w:rsidRDefault="00C45D1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11 октября уничтожено 122 немецких самолёта, из них 16 в воздушных боях и 106 на аэродромах противника. Наши потери — 27 самолётов.</w:t>
      </w:r>
    </w:p>
    <w:p w14:paraId="0949B263" w14:textId="77777777" w:rsidR="00C45D12" w:rsidRPr="00640820" w:rsidRDefault="00C45D1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13 октября под Москвой сбито 7 немецких самолётов.</w:t>
      </w:r>
    </w:p>
    <w:p w14:paraId="6B4D44E6" w14:textId="77777777" w:rsidR="00C45D12" w:rsidRPr="00640820" w:rsidRDefault="00C45D1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всего дня на ряде участков Западного направления фронта противник, используя большое количество мотомеханизированных частей и авиации и не считаясь с огромными потерями, пытался развить наступление против наших войск. Атаки немцев на наши позиции наталкивались на упорное сопротивление частей Красной Армии.</w:t>
      </w:r>
    </w:p>
    <w:p w14:paraId="0E590998" w14:textId="77777777" w:rsidR="00C45D12" w:rsidRPr="00640820" w:rsidRDefault="00C45D1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Весь день сильные удары по врагу наносила наша авиация. Непрерывными атаками с воздуха самолёты активно содействовали операциям наших наземных частей и успешно бомбили продвигающиеся к фронту резервы противника и его мотоколонны с боеприпасами.</w:t>
      </w:r>
    </w:p>
    <w:p w14:paraId="08D1BE33" w14:textId="77777777" w:rsidR="00C45D12" w:rsidRPr="00640820" w:rsidRDefault="00C45D1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каждую пядь земли фашисты расплачиваются горами трупов солдат и большим количеством вооружения. За 13 октября только на одном из участков фронта немцы потеряли больше 6.000 солдат и офицеров убитыми и ранеными, 64 танка, 190 автомашин с пехотой и боеприпасами, 23 орудия и несколько десятков пулемётов.</w:t>
      </w:r>
    </w:p>
    <w:p w14:paraId="717A63EB" w14:textId="77777777" w:rsidR="00C45D12" w:rsidRPr="00640820" w:rsidRDefault="00C45D1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На Юго-Западном направлении фронта немцы продолжают вводить в бой новые силы, используя итальянские, румынские и венгерские войска и бросая их главным образом туда, где неизбежны тяжёлые потери. Противодействуя атакам врага, наши части сдерживают наступление противника и наносят ему значительный урон. На одном из участков этого направления авиационная часть капитана Мелихова за три дня уничтожила 2.500 солдат и офицеров, 6 танков, 7 бронемашин, 9 орудий, 122 пулемётных точки, 120 автомашин с войсками и 20 повозок с боеприпасами. В воздушных боях на этом секторе фронта сбито 7 немецких самолётов и 21 самолёт уничтожен на земле.</w:t>
      </w:r>
    </w:p>
    <w:p w14:paraId="7F5833D1" w14:textId="77777777" w:rsidR="00C45D12" w:rsidRPr="00640820" w:rsidRDefault="00C45D1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окрестностях города Днепропетровска идёт неутихающая партизанская война против фашистских захватчиков. Здесь оперируют сильные подвижные партизанские отряды. Отряд под командованием тов. М. неутомимо преследует и истребляет мелкие подразделения противника. Вот краткий обзор действий бойцов отряда только за три дня. Бдительные разведчики донесли, что в районе села Л. должна пройти группа немецких солдат численностью в два взвода. Начальник разведки повёл партизан кратчайшим путём навстречу фашистам. Партизаны замаскировались и приготовились к бою. Подпустив немцев на дистанцию в 15-20 метров, партизаны забросали фашистов гранатами. Только очень немногим немцам удалось бежать. На другой день разведчики перерезали в 30 местах провода телеграфной линии, которую немцы лишь накануне восстановили. На обратном пути в свой лагерь партизаны задержали и уничтожили одного связиста, мотоциклиста и немецкого чиновника.</w:t>
      </w:r>
    </w:p>
    <w:p w14:paraId="75C8C618" w14:textId="77777777" w:rsidR="00C45D12" w:rsidRPr="00640820" w:rsidRDefault="00C45D1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Небольшая группа партизан во главе с тов. Ч. проникла в Днепропетровск. Под покровом темноты они подошли к зданию общежития металлургического института, в котором разместилась немецкая воинская часть, и бросили в окна несколько связок гранат. Убиты и ранены десятки фашистских солдат.» (14798).</w:t>
      </w:r>
    </w:p>
    <w:p w14:paraId="32647996" w14:textId="77777777" w:rsidR="00C45D12" w:rsidRPr="00640820" w:rsidRDefault="00C45D12" w:rsidP="00640820">
      <w:pPr>
        <w:spacing w:after="0" w:line="240" w:lineRule="auto"/>
        <w:jc w:val="both"/>
        <w:rPr>
          <w:rFonts w:ascii="Times New Roman" w:hAnsi="Times New Roman"/>
          <w:color w:val="000000" w:themeColor="text1"/>
          <w:sz w:val="16"/>
          <w:szCs w:val="16"/>
        </w:rPr>
      </w:pPr>
    </w:p>
    <w:p w14:paraId="539934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3-я эскадрилья МАГОН, которую вел замкомэска ст. л-нт А. Семенков, огнем турельных пулеметов быстро отогнала пару "Мессершмиттов" (3772).</w:t>
      </w:r>
    </w:p>
    <w:p w14:paraId="377FF7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346E4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года был одним из самых трагичных дней черноморской авиации. Эскадрилья капитана Демченко проводила ночью в условиях плохой погоды перелет из Одессы в Крым. В неразберихе никто не удосужился предупредить аэродромную обслугу зажечь костры на ВПП. В результате посадки вслепую разбились четыре И-16 и два Як-1, а их пилоты погибли. Выскочив за границы посадочной полосы, разбился еще один Як-1 и И-16. Причем Як врезался в крыло стоящего ТБ-3. Однако оба пилота остались в живых (2691).</w:t>
      </w:r>
    </w:p>
    <w:p w14:paraId="11A5F9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7707F83" w14:textId="77777777" w:rsidR="002028EF" w:rsidRPr="00640820" w:rsidRDefault="002028EF" w:rsidP="00640820">
      <w:pPr>
        <w:pStyle w:val="11b"/>
        <w:shd w:val="clear" w:color="auto" w:fill="auto"/>
        <w:spacing w:after="0" w:line="240" w:lineRule="auto"/>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13-го октября 1941-го полк совер</w:t>
      </w:r>
      <w:r w:rsidRPr="00640820">
        <w:rPr>
          <w:rFonts w:ascii="Times New Roman" w:hAnsi="Times New Roman" w:cs="Times New Roman"/>
          <w:color w:val="000000" w:themeColor="text1"/>
          <w:sz w:val="16"/>
          <w:szCs w:val="16"/>
        </w:rPr>
        <w:softHyphen/>
        <w:t>шил четыре боевых вылетов.</w:t>
      </w:r>
    </w:p>
    <w:p w14:paraId="21D89CB5" w14:textId="77777777" w:rsidR="002028EF" w:rsidRPr="00640820" w:rsidRDefault="002028EF" w:rsidP="00640820">
      <w:pPr>
        <w:pStyle w:val="11b"/>
        <w:shd w:val="clear" w:color="auto" w:fill="auto"/>
        <w:spacing w:after="0" w:line="240" w:lineRule="auto"/>
        <w:jc w:val="both"/>
        <w:rPr>
          <w:rFonts w:ascii="Times New Roman" w:hAnsi="Times New Roman" w:cs="Times New Roman"/>
          <w:color w:val="000000" w:themeColor="text1"/>
          <w:sz w:val="16"/>
          <w:szCs w:val="16"/>
        </w:rPr>
      </w:pPr>
      <w:r w:rsidRPr="00640820">
        <w:rPr>
          <w:rStyle w:val="aff7"/>
          <w:rFonts w:ascii="Times New Roman" w:hAnsi="Times New Roman" w:cs="Times New Roman"/>
          <w:b w:val="0"/>
          <w:color w:val="000000" w:themeColor="text1"/>
          <w:spacing w:val="0"/>
          <w:sz w:val="16"/>
          <w:szCs w:val="16"/>
        </w:rPr>
        <w:t>ТБ-7 № 4226,</w:t>
      </w:r>
      <w:r w:rsidRPr="00640820">
        <w:rPr>
          <w:rFonts w:ascii="Times New Roman" w:hAnsi="Times New Roman" w:cs="Times New Roman"/>
          <w:color w:val="000000" w:themeColor="text1"/>
          <w:sz w:val="16"/>
          <w:szCs w:val="16"/>
        </w:rPr>
        <w:t xml:space="preserve"> командир корабля комбриг Водопьянов, в 01 час 45 мин стартовал на бомбардирование аэро</w:t>
      </w:r>
      <w:r w:rsidRPr="00640820">
        <w:rPr>
          <w:rFonts w:ascii="Times New Roman" w:hAnsi="Times New Roman" w:cs="Times New Roman"/>
          <w:color w:val="000000" w:themeColor="text1"/>
          <w:sz w:val="16"/>
          <w:szCs w:val="16"/>
        </w:rPr>
        <w:softHyphen/>
        <w:t>дрома г. Смоленск.</w:t>
      </w:r>
    </w:p>
    <w:p w14:paraId="0E00969C" w14:textId="77777777" w:rsidR="002028EF" w:rsidRPr="00640820" w:rsidRDefault="002028EF" w:rsidP="00640820">
      <w:pPr>
        <w:pStyle w:val="11b"/>
        <w:shd w:val="clear" w:color="auto" w:fill="auto"/>
        <w:spacing w:after="0" w:line="240" w:lineRule="auto"/>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В 4 час 43 мин с высоты 7000 м на цель сброшены: РРАБ-500 - 2 шт., ФАБ-250 - 6 шт., САБ-25 - 2 шт. Бомбы сброшены прицельно в пять заходов. РРАБ-500, сброшенными в два захода, перекрыта площадь, на которой распо</w:t>
      </w:r>
      <w:r w:rsidRPr="00640820">
        <w:rPr>
          <w:rFonts w:ascii="Times New Roman" w:hAnsi="Times New Roman" w:cs="Times New Roman"/>
          <w:color w:val="000000" w:themeColor="text1"/>
          <w:sz w:val="16"/>
          <w:szCs w:val="16"/>
        </w:rPr>
        <w:softHyphen/>
        <w:t>ложены ангары и авиазавод, в результате возникло четыре очага пожара, из них два больших. ФАБ-250 сброшены сериями по две бомбы в три захода. Экипаж на</w:t>
      </w:r>
      <w:r w:rsidRPr="00640820">
        <w:rPr>
          <w:rFonts w:ascii="Times New Roman" w:hAnsi="Times New Roman" w:cs="Times New Roman"/>
          <w:color w:val="000000" w:themeColor="text1"/>
          <w:sz w:val="16"/>
          <w:szCs w:val="16"/>
        </w:rPr>
        <w:softHyphen/>
        <w:t>блюдал два разрыва по ангарам и четыре разрыва на летном поле. После выполне</w:t>
      </w:r>
      <w:r w:rsidRPr="00640820">
        <w:rPr>
          <w:rFonts w:ascii="Times New Roman" w:hAnsi="Times New Roman" w:cs="Times New Roman"/>
          <w:color w:val="000000" w:themeColor="text1"/>
          <w:sz w:val="16"/>
          <w:szCs w:val="16"/>
        </w:rPr>
        <w:softHyphen/>
        <w:t>ния задания экипаж в 7 час 05 мин произ</w:t>
      </w:r>
      <w:r w:rsidRPr="00640820">
        <w:rPr>
          <w:rFonts w:ascii="Times New Roman" w:hAnsi="Times New Roman" w:cs="Times New Roman"/>
          <w:color w:val="000000" w:themeColor="text1"/>
          <w:sz w:val="16"/>
          <w:szCs w:val="16"/>
        </w:rPr>
        <w:softHyphen/>
        <w:t>вел посадку на аэродроме г. Ковров.</w:t>
      </w:r>
    </w:p>
    <w:p w14:paraId="479EA3C1" w14:textId="77777777" w:rsidR="002028EF" w:rsidRPr="00640820" w:rsidRDefault="002028EF" w:rsidP="00640820">
      <w:pPr>
        <w:pStyle w:val="11b"/>
        <w:shd w:val="clear" w:color="auto" w:fill="auto"/>
        <w:spacing w:after="0" w:line="240" w:lineRule="auto"/>
        <w:jc w:val="both"/>
        <w:rPr>
          <w:rFonts w:ascii="Times New Roman" w:hAnsi="Times New Roman" w:cs="Times New Roman"/>
          <w:color w:val="000000" w:themeColor="text1"/>
          <w:sz w:val="16"/>
          <w:szCs w:val="16"/>
        </w:rPr>
      </w:pPr>
      <w:r w:rsidRPr="00640820">
        <w:rPr>
          <w:rStyle w:val="aff7"/>
          <w:rFonts w:ascii="Times New Roman" w:hAnsi="Times New Roman" w:cs="Times New Roman"/>
          <w:b w:val="0"/>
          <w:color w:val="000000" w:themeColor="text1"/>
          <w:spacing w:val="0"/>
          <w:sz w:val="16"/>
          <w:szCs w:val="16"/>
        </w:rPr>
        <w:t>ТБ-7 № 4222,</w:t>
      </w:r>
      <w:r w:rsidRPr="00640820">
        <w:rPr>
          <w:rFonts w:ascii="Times New Roman" w:hAnsi="Times New Roman" w:cs="Times New Roman"/>
          <w:color w:val="000000" w:themeColor="text1"/>
          <w:sz w:val="16"/>
          <w:szCs w:val="16"/>
        </w:rPr>
        <w:t xml:space="preserve"> командир корабля майор Федоренко, в 01 час 20 мин стар</w:t>
      </w:r>
      <w:r w:rsidRPr="00640820">
        <w:rPr>
          <w:rFonts w:ascii="Times New Roman" w:hAnsi="Times New Roman" w:cs="Times New Roman"/>
          <w:color w:val="000000" w:themeColor="text1"/>
          <w:sz w:val="16"/>
          <w:szCs w:val="16"/>
        </w:rPr>
        <w:softHyphen/>
        <w:t>товал для бомбардирования аэродрома г. Смоленск. В 4 час 05 мин м с высоты 4000 м на цель сброшены: РРАБ-500 - 2 шт., ФАБ-100 - 16 шт. Бомбы сбро</w:t>
      </w:r>
      <w:r w:rsidRPr="00640820">
        <w:rPr>
          <w:rFonts w:ascii="Times New Roman" w:hAnsi="Times New Roman" w:cs="Times New Roman"/>
          <w:color w:val="000000" w:themeColor="text1"/>
          <w:sz w:val="16"/>
          <w:szCs w:val="16"/>
        </w:rPr>
        <w:softHyphen/>
        <w:t>шены прицельно в два захода. В 1-й заход сброшены 2 РРАБ, которыми пе</w:t>
      </w:r>
      <w:r w:rsidRPr="00640820">
        <w:rPr>
          <w:rFonts w:ascii="Times New Roman" w:hAnsi="Times New Roman" w:cs="Times New Roman"/>
          <w:color w:val="000000" w:themeColor="text1"/>
          <w:sz w:val="16"/>
          <w:szCs w:val="16"/>
        </w:rPr>
        <w:softHyphen/>
        <w:t>рекрыта северо-восточная часть аэро</w:t>
      </w:r>
      <w:r w:rsidRPr="00640820">
        <w:rPr>
          <w:rFonts w:ascii="Times New Roman" w:hAnsi="Times New Roman" w:cs="Times New Roman"/>
          <w:color w:val="000000" w:themeColor="text1"/>
          <w:sz w:val="16"/>
          <w:szCs w:val="16"/>
        </w:rPr>
        <w:softHyphen/>
        <w:t>дрома. В результате возник 1 пожар, со</w:t>
      </w:r>
      <w:r w:rsidRPr="00640820">
        <w:rPr>
          <w:rFonts w:ascii="Times New Roman" w:hAnsi="Times New Roman" w:cs="Times New Roman"/>
          <w:color w:val="000000" w:themeColor="text1"/>
          <w:sz w:val="16"/>
          <w:szCs w:val="16"/>
        </w:rPr>
        <w:softHyphen/>
        <w:t>провождавшийся сильным взрывом. Во второй заход серией сброшены ФАБ-100. Экипаж наблюдал разрывы бомб по ан</w:t>
      </w:r>
      <w:r w:rsidRPr="00640820">
        <w:rPr>
          <w:rFonts w:ascii="Times New Roman" w:hAnsi="Times New Roman" w:cs="Times New Roman"/>
          <w:color w:val="000000" w:themeColor="text1"/>
          <w:sz w:val="16"/>
          <w:szCs w:val="16"/>
        </w:rPr>
        <w:softHyphen/>
        <w:t>гарам и на летном поле аэродрома. В 4 час 40 мин на высоте 5700 м в районе г. Белый к самолету привязались два ис</w:t>
      </w:r>
      <w:r w:rsidRPr="00640820">
        <w:rPr>
          <w:rFonts w:ascii="Times New Roman" w:hAnsi="Times New Roman" w:cs="Times New Roman"/>
          <w:color w:val="000000" w:themeColor="text1"/>
          <w:sz w:val="16"/>
          <w:szCs w:val="16"/>
        </w:rPr>
        <w:softHyphen/>
        <w:t>требителя, тип не определен. Истреби</w:t>
      </w:r>
      <w:r w:rsidRPr="00640820">
        <w:rPr>
          <w:rFonts w:ascii="Times New Roman" w:hAnsi="Times New Roman" w:cs="Times New Roman"/>
          <w:color w:val="000000" w:themeColor="text1"/>
          <w:sz w:val="16"/>
          <w:szCs w:val="16"/>
        </w:rPr>
        <w:softHyphen/>
        <w:t>тели шли за самолетом в течение 20 мин на дистанции 1000 м, атаки не произво</w:t>
      </w:r>
      <w:r w:rsidRPr="00640820">
        <w:rPr>
          <w:rFonts w:ascii="Times New Roman" w:hAnsi="Times New Roman" w:cs="Times New Roman"/>
          <w:color w:val="000000" w:themeColor="text1"/>
          <w:sz w:val="16"/>
          <w:szCs w:val="16"/>
        </w:rPr>
        <w:softHyphen/>
        <w:t>дили. В 5 час 50 мин на высоте 1000 м на участке Лихославль - Углич за самолетом шли два самолета на дистанции 1000 - 1500 м, на сигнал «я свой» не отвечали. После выполнения задания экипаж в 7 час 45 мин произвел посадку на аэро</w:t>
      </w:r>
      <w:r w:rsidRPr="00640820">
        <w:rPr>
          <w:rFonts w:ascii="Times New Roman" w:hAnsi="Times New Roman" w:cs="Times New Roman"/>
          <w:color w:val="000000" w:themeColor="text1"/>
          <w:sz w:val="16"/>
          <w:szCs w:val="16"/>
        </w:rPr>
        <w:softHyphen/>
        <w:t>дроме Ковров.</w:t>
      </w:r>
    </w:p>
    <w:p w14:paraId="2BFD0F16" w14:textId="77777777" w:rsidR="002028EF" w:rsidRPr="00640820" w:rsidRDefault="002028EF" w:rsidP="00640820">
      <w:pPr>
        <w:pStyle w:val="11b"/>
        <w:shd w:val="clear" w:color="auto" w:fill="auto"/>
        <w:spacing w:after="0" w:line="240" w:lineRule="auto"/>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Два</w:t>
      </w:r>
      <w:r w:rsidRPr="00640820">
        <w:rPr>
          <w:rStyle w:val="aff7"/>
          <w:rFonts w:ascii="Times New Roman" w:hAnsi="Times New Roman" w:cs="Times New Roman"/>
          <w:b w:val="0"/>
          <w:color w:val="000000" w:themeColor="text1"/>
          <w:spacing w:val="0"/>
          <w:sz w:val="16"/>
          <w:szCs w:val="16"/>
        </w:rPr>
        <w:t xml:space="preserve"> ТБ-7 № 42015,</w:t>
      </w:r>
      <w:r w:rsidRPr="00640820">
        <w:rPr>
          <w:rFonts w:ascii="Times New Roman" w:hAnsi="Times New Roman" w:cs="Times New Roman"/>
          <w:color w:val="000000" w:themeColor="text1"/>
          <w:sz w:val="16"/>
          <w:szCs w:val="16"/>
        </w:rPr>
        <w:t xml:space="preserve"> командир корабля полковник Алексеев, и №</w:t>
      </w:r>
      <w:r w:rsidRPr="00640820">
        <w:rPr>
          <w:rStyle w:val="aff7"/>
          <w:rFonts w:ascii="Times New Roman" w:hAnsi="Times New Roman" w:cs="Times New Roman"/>
          <w:b w:val="0"/>
          <w:color w:val="000000" w:themeColor="text1"/>
          <w:spacing w:val="0"/>
          <w:sz w:val="16"/>
          <w:szCs w:val="16"/>
        </w:rPr>
        <w:t xml:space="preserve"> 42055,</w:t>
      </w:r>
      <w:r w:rsidRPr="00640820">
        <w:rPr>
          <w:rFonts w:ascii="Times New Roman" w:hAnsi="Times New Roman" w:cs="Times New Roman"/>
          <w:color w:val="000000" w:themeColor="text1"/>
          <w:sz w:val="16"/>
          <w:szCs w:val="16"/>
        </w:rPr>
        <w:t xml:space="preserve"> командир корабля майор Угрюмов, вылетели на бом</w:t>
      </w:r>
      <w:r w:rsidRPr="00640820">
        <w:rPr>
          <w:rFonts w:ascii="Times New Roman" w:hAnsi="Times New Roman" w:cs="Times New Roman"/>
          <w:color w:val="000000" w:themeColor="text1"/>
          <w:sz w:val="16"/>
          <w:szCs w:val="16"/>
        </w:rPr>
        <w:softHyphen/>
        <w:t>бардирование аэродрома г. Могилев. Из-за неисправности матчасти обоих самолетов экипажи, не выполнив задание, вернулись на аэродром подскока Иваново. На само</w:t>
      </w:r>
      <w:r w:rsidRPr="00640820">
        <w:rPr>
          <w:rFonts w:ascii="Times New Roman" w:hAnsi="Times New Roman" w:cs="Times New Roman"/>
          <w:color w:val="000000" w:themeColor="text1"/>
          <w:sz w:val="16"/>
          <w:szCs w:val="16"/>
        </w:rPr>
        <w:softHyphen/>
        <w:t>лете Угрюмова заклинил мотор. На само</w:t>
      </w:r>
      <w:r w:rsidRPr="00640820">
        <w:rPr>
          <w:rFonts w:ascii="Times New Roman" w:hAnsi="Times New Roman" w:cs="Times New Roman"/>
          <w:color w:val="000000" w:themeColor="text1"/>
          <w:sz w:val="16"/>
          <w:szCs w:val="16"/>
        </w:rPr>
        <w:softHyphen/>
        <w:t>лете Алексеева наблюдались перебои тре</w:t>
      </w:r>
      <w:r w:rsidRPr="00640820">
        <w:rPr>
          <w:rFonts w:ascii="Times New Roman" w:hAnsi="Times New Roman" w:cs="Times New Roman"/>
          <w:color w:val="000000" w:themeColor="text1"/>
          <w:sz w:val="16"/>
          <w:szCs w:val="16"/>
        </w:rPr>
        <w:softHyphen/>
        <w:t>тьего мотора, были подозрения на прогар поршня. Экипаж майора Угрюмова произ</w:t>
      </w:r>
      <w:r w:rsidRPr="00640820">
        <w:rPr>
          <w:rFonts w:ascii="Times New Roman" w:hAnsi="Times New Roman" w:cs="Times New Roman"/>
          <w:color w:val="000000" w:themeColor="text1"/>
          <w:sz w:val="16"/>
          <w:szCs w:val="16"/>
        </w:rPr>
        <w:softHyphen/>
        <w:t>вел посадку с бомбами, экипаж полков</w:t>
      </w:r>
      <w:r w:rsidRPr="00640820">
        <w:rPr>
          <w:rFonts w:ascii="Times New Roman" w:hAnsi="Times New Roman" w:cs="Times New Roman"/>
          <w:color w:val="000000" w:themeColor="text1"/>
          <w:sz w:val="16"/>
          <w:szCs w:val="16"/>
        </w:rPr>
        <w:softHyphen/>
        <w:t>ника Алексеева перед посадкой сбросил два РРАБ-500 с высоты 400 метров в озеро в 15 км северо-западнее Иваново.</w:t>
      </w:r>
    </w:p>
    <w:p w14:paraId="26388F04" w14:textId="77777777" w:rsidR="002028EF" w:rsidRPr="00640820" w:rsidRDefault="002028EF" w:rsidP="00640820">
      <w:pPr>
        <w:pStyle w:val="11b"/>
        <w:shd w:val="clear" w:color="auto" w:fill="auto"/>
        <w:spacing w:after="0" w:line="240" w:lineRule="auto"/>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Также на</w:t>
      </w:r>
      <w:r w:rsidRPr="00640820">
        <w:rPr>
          <w:rStyle w:val="aff7"/>
          <w:rFonts w:ascii="Times New Roman" w:hAnsi="Times New Roman" w:cs="Times New Roman"/>
          <w:b w:val="0"/>
          <w:color w:val="000000" w:themeColor="text1"/>
          <w:spacing w:val="0"/>
          <w:sz w:val="16"/>
          <w:szCs w:val="16"/>
        </w:rPr>
        <w:t xml:space="preserve"> ТБ-7 № 4222</w:t>
      </w:r>
      <w:r w:rsidRPr="00640820">
        <w:rPr>
          <w:rFonts w:ascii="Times New Roman" w:hAnsi="Times New Roman" w:cs="Times New Roman"/>
          <w:color w:val="000000" w:themeColor="text1"/>
          <w:sz w:val="16"/>
          <w:szCs w:val="16"/>
        </w:rPr>
        <w:t xml:space="preserve"> Федоренко в полете отказали все пилотажные приборы (19088).</w:t>
      </w:r>
    </w:p>
    <w:p w14:paraId="62D365FE" w14:textId="77777777" w:rsidR="002028EF" w:rsidRPr="00640820" w:rsidRDefault="002028EF" w:rsidP="00640820">
      <w:pPr>
        <w:pStyle w:val="11b"/>
        <w:shd w:val="clear" w:color="auto" w:fill="auto"/>
        <w:spacing w:after="0" w:line="240" w:lineRule="auto"/>
        <w:jc w:val="both"/>
        <w:rPr>
          <w:rFonts w:ascii="Times New Roman" w:hAnsi="Times New Roman" w:cs="Times New Roman"/>
          <w:color w:val="000000" w:themeColor="text1"/>
          <w:sz w:val="16"/>
          <w:szCs w:val="16"/>
        </w:rPr>
      </w:pPr>
    </w:p>
    <w:p w14:paraId="62FC9D6F" w14:textId="77777777" w:rsidR="002028EF" w:rsidRPr="00640820" w:rsidRDefault="002028EF" w:rsidP="00640820">
      <w:pPr>
        <w:pStyle w:val="11b"/>
        <w:shd w:val="clear" w:color="auto" w:fill="auto"/>
        <w:spacing w:after="0" w:line="240" w:lineRule="auto"/>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В ночь с 13 на 14 октября 1941-го полк совершил три вылета.</w:t>
      </w:r>
    </w:p>
    <w:p w14:paraId="10309533" w14:textId="77777777" w:rsidR="002028EF" w:rsidRPr="00640820" w:rsidRDefault="002028EF" w:rsidP="00640820">
      <w:pPr>
        <w:spacing w:after="0" w:line="240" w:lineRule="auto"/>
        <w:jc w:val="both"/>
        <w:rPr>
          <w:rFonts w:ascii="Times New Roman" w:hAnsi="Times New Roman"/>
          <w:color w:val="000000" w:themeColor="text1"/>
          <w:sz w:val="16"/>
          <w:szCs w:val="16"/>
        </w:rPr>
      </w:pPr>
      <w:r w:rsidRPr="00640820">
        <w:rPr>
          <w:rStyle w:val="aff7"/>
          <w:rFonts w:ascii="Times New Roman" w:hAnsi="Times New Roman" w:cs="Times New Roman"/>
          <w:b w:val="0"/>
          <w:color w:val="000000" w:themeColor="text1"/>
          <w:spacing w:val="0"/>
          <w:sz w:val="16"/>
          <w:szCs w:val="16"/>
        </w:rPr>
        <w:t>ТБ-7 № 4218,</w:t>
      </w:r>
      <w:r w:rsidRPr="00640820">
        <w:rPr>
          <w:rFonts w:ascii="Times New Roman" w:hAnsi="Times New Roman"/>
          <w:color w:val="000000" w:themeColor="text1"/>
          <w:sz w:val="16"/>
          <w:szCs w:val="16"/>
        </w:rPr>
        <w:t xml:space="preserve"> командир корабля майор Дмитриев, в 23.12 стартовал на бомбометание мотомехвойск против</w:t>
      </w:r>
      <w:r w:rsidRPr="00640820">
        <w:rPr>
          <w:rFonts w:ascii="Times New Roman" w:hAnsi="Times New Roman"/>
          <w:color w:val="000000" w:themeColor="text1"/>
          <w:sz w:val="16"/>
          <w:szCs w:val="16"/>
        </w:rPr>
        <w:softHyphen/>
        <w:t>ника на шоссейной дороге юго-запад</w:t>
      </w:r>
      <w:r w:rsidRPr="00640820">
        <w:rPr>
          <w:rFonts w:ascii="Times New Roman" w:hAnsi="Times New Roman"/>
          <w:color w:val="000000" w:themeColor="text1"/>
          <w:sz w:val="16"/>
          <w:szCs w:val="16"/>
        </w:rPr>
        <w:softHyphen/>
        <w:t>нее Калинина в направлении Старицы. В 4.20 - 4.30 с высоты 1900 м на цель сброшены РРАБ-500 - 2 шт., ФАБ- 100 - 24 шт. Бомбы сброшены в три захода серией залпов. При подходе к цели экипаж наблюдал на дороге огни от фар автомашин, которые с появлением нашего самолета были потушены. Экипаж наблю</w:t>
      </w:r>
      <w:r w:rsidRPr="00640820">
        <w:rPr>
          <w:rFonts w:ascii="Times New Roman" w:hAnsi="Times New Roman"/>
          <w:color w:val="000000" w:themeColor="text1"/>
          <w:sz w:val="16"/>
          <w:szCs w:val="16"/>
        </w:rPr>
        <w:softHyphen/>
        <w:t>дал прямые попадания бомб по дороге, в результате бомбометания возник большой пожар северо-восточнее деревни Даниловское. Во время бомбометания стрелки кормовой и подшассийных точек вели огонь по колонне войск. После бомбометания два самолета, тип не опоз</w:t>
      </w:r>
      <w:r w:rsidRPr="00640820">
        <w:rPr>
          <w:rFonts w:ascii="Times New Roman" w:hAnsi="Times New Roman"/>
          <w:color w:val="000000" w:themeColor="text1"/>
          <w:sz w:val="16"/>
          <w:szCs w:val="16"/>
        </w:rPr>
        <w:softHyphen/>
        <w:t>нан, шли за самолетом с превышением 500 м, один само</w:t>
      </w:r>
      <w:r w:rsidRPr="00640820">
        <w:rPr>
          <w:rFonts w:ascii="Times New Roman" w:hAnsi="Times New Roman"/>
          <w:color w:val="000000" w:themeColor="text1"/>
          <w:sz w:val="16"/>
          <w:szCs w:val="16"/>
        </w:rPr>
        <w:softHyphen/>
        <w:t>лет шел под углом со снижением, стрелок открыл огонь, самолет отошел в сторону и скрылся. После выполнения задания, экипаж в 6 час 10 мин произвел посадку на аэ- эодром Ковров.</w:t>
      </w:r>
    </w:p>
    <w:p w14:paraId="32D89241" w14:textId="77777777" w:rsidR="002028EF" w:rsidRPr="00640820" w:rsidRDefault="002028EF" w:rsidP="00640820">
      <w:pPr>
        <w:pStyle w:val="11b"/>
        <w:shd w:val="clear" w:color="auto" w:fill="auto"/>
        <w:spacing w:after="0" w:line="240" w:lineRule="auto"/>
        <w:jc w:val="both"/>
        <w:rPr>
          <w:rFonts w:ascii="Times New Roman" w:hAnsi="Times New Roman" w:cs="Times New Roman"/>
          <w:color w:val="000000" w:themeColor="text1"/>
          <w:sz w:val="16"/>
          <w:szCs w:val="16"/>
        </w:rPr>
      </w:pPr>
      <w:r w:rsidRPr="00640820">
        <w:rPr>
          <w:rStyle w:val="aff7"/>
          <w:rFonts w:ascii="Times New Roman" w:hAnsi="Times New Roman" w:cs="Times New Roman"/>
          <w:b w:val="0"/>
          <w:color w:val="000000" w:themeColor="text1"/>
          <w:spacing w:val="0"/>
          <w:sz w:val="16"/>
          <w:szCs w:val="16"/>
        </w:rPr>
        <w:t>ТБ-7 № 4221,</w:t>
      </w:r>
      <w:r w:rsidRPr="00640820">
        <w:rPr>
          <w:rFonts w:ascii="Times New Roman" w:hAnsi="Times New Roman" w:cs="Times New Roman"/>
          <w:color w:val="000000" w:themeColor="text1"/>
          <w:sz w:val="16"/>
          <w:szCs w:val="16"/>
        </w:rPr>
        <w:t xml:space="preserve"> командир корабля ст. лейтенант Лисачев в 2.50 стартовал на бомбардирование мотомехвойск противника на участке шоссейной дороги дер. Даниловское до деревни Борисково. В 4 час 22 мин с высоты 900 м на цель :::эшены: ФАБ-250 - 4 шт., ФАБ-100 - 24 шт., САБ-50 - 2 шт. = сброшены сериями вдоль дороги по колоннам войск. Произвел посадку на аэродроме г. Иваново.</w:t>
      </w:r>
    </w:p>
    <w:p w14:paraId="396FA174" w14:textId="77777777" w:rsidR="002028EF" w:rsidRPr="00640820" w:rsidRDefault="002028EF" w:rsidP="00640820">
      <w:pPr>
        <w:pStyle w:val="11b"/>
        <w:shd w:val="clear" w:color="auto" w:fill="auto"/>
        <w:spacing w:after="0" w:line="240" w:lineRule="auto"/>
        <w:jc w:val="both"/>
        <w:rPr>
          <w:rFonts w:ascii="Times New Roman" w:hAnsi="Times New Roman" w:cs="Times New Roman"/>
          <w:color w:val="000000" w:themeColor="text1"/>
          <w:sz w:val="16"/>
          <w:szCs w:val="16"/>
        </w:rPr>
      </w:pPr>
      <w:r w:rsidRPr="00640820">
        <w:rPr>
          <w:rStyle w:val="aff7"/>
          <w:rFonts w:ascii="Times New Roman" w:hAnsi="Times New Roman" w:cs="Times New Roman"/>
          <w:b w:val="0"/>
          <w:color w:val="000000" w:themeColor="text1"/>
          <w:spacing w:val="0"/>
          <w:sz w:val="16"/>
          <w:szCs w:val="16"/>
        </w:rPr>
        <w:t>ТБ</w:t>
      </w:r>
      <w:r w:rsidRPr="00640820">
        <w:rPr>
          <w:rFonts w:ascii="Times New Roman" w:hAnsi="Times New Roman" w:cs="Times New Roman"/>
          <w:color w:val="000000" w:themeColor="text1"/>
          <w:sz w:val="16"/>
          <w:szCs w:val="16"/>
        </w:rPr>
        <w:t>-7 №</w:t>
      </w:r>
      <w:r w:rsidRPr="00640820">
        <w:rPr>
          <w:rStyle w:val="aff7"/>
          <w:rFonts w:ascii="Times New Roman" w:hAnsi="Times New Roman" w:cs="Times New Roman"/>
          <w:b w:val="0"/>
          <w:color w:val="000000" w:themeColor="text1"/>
          <w:spacing w:val="0"/>
          <w:sz w:val="16"/>
          <w:szCs w:val="16"/>
        </w:rPr>
        <w:t xml:space="preserve"> 4215,</w:t>
      </w:r>
      <w:r w:rsidRPr="00640820">
        <w:rPr>
          <w:rFonts w:ascii="Times New Roman" w:hAnsi="Times New Roman" w:cs="Times New Roman"/>
          <w:color w:val="000000" w:themeColor="text1"/>
          <w:sz w:val="16"/>
          <w:szCs w:val="16"/>
        </w:rPr>
        <w:t xml:space="preserve"> командир корабля капитан Асямов, в 18  стартовал на бомбардирование ж. д. моста через Волгу у г. Калинин. Экипаж задания не выполнил, над целью сплошная облачность высотой 800 м, экипаж снизился, а вернулся обратно в 20 час 52 мин и совершил посадку с бомбами на аэродроме Иваново.</w:t>
      </w:r>
    </w:p>
    <w:p w14:paraId="0A91B0D1" w14:textId="77777777" w:rsidR="002028EF" w:rsidRPr="00640820" w:rsidRDefault="002028EF" w:rsidP="00640820">
      <w:pPr>
        <w:pStyle w:val="11b"/>
        <w:shd w:val="clear" w:color="auto" w:fill="auto"/>
        <w:spacing w:after="0" w:line="240" w:lineRule="auto"/>
        <w:jc w:val="both"/>
        <w:rPr>
          <w:rStyle w:val="aff7"/>
          <w:rFonts w:ascii="Times New Roman" w:hAnsi="Times New Roman" w:cs="Times New Roman"/>
          <w:b w:val="0"/>
          <w:color w:val="000000" w:themeColor="text1"/>
          <w:spacing w:val="0"/>
          <w:sz w:val="16"/>
          <w:szCs w:val="16"/>
        </w:rPr>
      </w:pPr>
    </w:p>
    <w:p w14:paraId="1238F4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группа десантников во главе с П.П.Балашевым на аэродроме вблизи Минска захватила три ТБ-3 (АНТ-6), один из которых оказался готовым к полету, и на нем прилетели на бреющем в Тушино (438,823).</w:t>
      </w:r>
    </w:p>
    <w:p w14:paraId="2E1A02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6ECCA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вышло Постановление ГКО № 787 О сформировании саперных армий общей численностью в 300.000 человек. РГАНИР, Фонд ГКО, д. 12, лл. 118-119, 120-12 1 (11012).</w:t>
      </w:r>
    </w:p>
    <w:p w14:paraId="351D9D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C2C0C9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был выдан [Мандат Тюленева И.В. - уполномоченного ГКО по формированию и обучению 20 новых дивизий в УрВО.] № 785 (7013, 116).</w:t>
      </w:r>
    </w:p>
    <w:p w14:paraId="50EB37E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CD2E6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был выдан [Мандат Калинина С.А. - уполномоченного ГКО по формированию и обучению 16 дивизий в СибВО.] № 786 (7013, 117).</w:t>
      </w:r>
    </w:p>
    <w:p w14:paraId="5C790A5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8D9F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Г.К.Ж. вступил в должность командующего ЗФ (1094,16).</w:t>
      </w:r>
    </w:p>
    <w:p w14:paraId="162F44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E7174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October 13, 1941: German forces of Heeresgruppe Mitte capture Kalinin, 100 miles W of Moscow (3819).</w:t>
      </w:r>
    </w:p>
    <w:p w14:paraId="519BB8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5E0B0E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Группа Центр захватила Калинин (3819).</w:t>
      </w:r>
    </w:p>
    <w:p w14:paraId="693F62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FB5D6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немцы подошли к Калинину (Твери). Этот день жители города запомнили навсегда. Чтобы посеять панику, германские войска подвергли город артобстрелу из дальнобойных орудий. Одновременно с этим по жилым кварталам и предприятиям нанесли удар бомбардировщики. Бомбы и снаряды рвались по всему Станционному шоссе, по которому шла спешная эвакуация людей и заводского оборудования. Сильнейший пожар возник на Калининском хлебозаводе. Большинство корпусов были деревянными, и огонь быстро охватил практически все объекты. Пламя никто не тушил, посему к концу дня от предприятия остались лишь полуразрушенные, обгоревшие стены да чернеющие остовы станков и машин. На следующий день немецкие танки ворвались в город с юго-запада. Одновременно толпы беженцев, нескончаемые колонны конных подвод и грузовиков двигались на северо-восток в сторону Ярославской области (11774).</w:t>
      </w:r>
    </w:p>
    <w:p w14:paraId="3DF2ED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B94E5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немцы взяли Калугу (1103,227).</w:t>
      </w:r>
    </w:p>
    <w:p w14:paraId="0A30AA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8148DC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фашистами взята Калуга (4962).</w:t>
      </w:r>
    </w:p>
    <w:p w14:paraId="178EE97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9EAD6D" w14:textId="77777777" w:rsidR="00C45D12" w:rsidRPr="00640820" w:rsidRDefault="00C45D12"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13 октября </w:t>
      </w:r>
      <w:r w:rsidRPr="00640820">
        <w:rPr>
          <w:rFonts w:ascii="Times New Roman" w:hAnsi="Times New Roman"/>
          <w:color w:val="000000" w:themeColor="text1"/>
          <w:sz w:val="16"/>
          <w:szCs w:val="16"/>
        </w:rPr>
        <w:t>в 1941 году завершилась Вяземская операция: часть окружённых под Вязьмой соединений советских войск пробилась на Можайскую линию обороны, другие - перешли к партизанским действиям, значительная часть войск оказалась в плену. Советские войска оставили Калугу (14798).</w:t>
      </w:r>
    </w:p>
    <w:p w14:paraId="427027D5" w14:textId="77777777" w:rsidR="00C45D12" w:rsidRPr="00640820" w:rsidRDefault="00C45D12" w:rsidP="00640820">
      <w:pPr>
        <w:spacing w:after="0" w:line="240" w:lineRule="auto"/>
        <w:jc w:val="both"/>
        <w:rPr>
          <w:rFonts w:ascii="Times New Roman" w:hAnsi="Times New Roman"/>
          <w:color w:val="000000" w:themeColor="text1"/>
          <w:sz w:val="16"/>
          <w:szCs w:val="16"/>
        </w:rPr>
      </w:pPr>
    </w:p>
    <w:p w14:paraId="63B4EC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семь катеров охраняли транспорты “Армения”, “Абхазия” и “Котовский” на переходе Севастополь - Одесса, а еще три ТКА (совместно с двумя МБР-2) осуществляли поиск подводных лодок. При эвакуации Одессы для обеспечения отхода привлекалось 13 “Гэ-пятых” (6002).</w:t>
      </w:r>
    </w:p>
    <w:p w14:paraId="2ED52D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32C2ABF"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1070C1BF"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0C586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вышло Постановление ГКО № 775 Об эвакуации скота, тракторов, комбайнов и прочего ценного имущества колхозов, совхозов, МТС, МТМ и других организаций из районов Тульской и Московской областей. РГАНИР, Фонд ГКО, д. 12, лл. 91 (11012).</w:t>
      </w:r>
    </w:p>
    <w:p w14:paraId="44C55B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263755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вышло Постановление ГКО № 788 Об эвакуации Большого Государственного академического ордена Ленина театра, Московского Художественного академического ордена Ленина театра им. Горького, Малого академического театра и театра им. Вахтангова. (7013, 122).</w:t>
      </w:r>
    </w:p>
    <w:p w14:paraId="1C9AB02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649E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вышло Постановление ГКО № 789 О плане эвакуации электростанций из Тульской и Московской областей. РГАНИР, Фонд ГКО, д. 12, лл. 123, 124-127 (11012).</w:t>
      </w:r>
    </w:p>
    <w:p w14:paraId="3023BE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64A3379"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47A58C50"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504AD5C" w14:textId="77777777" w:rsidR="00C45D12" w:rsidRPr="00640820" w:rsidRDefault="00C45D12"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13 октября </w:t>
      </w:r>
      <w:r w:rsidRPr="00640820">
        <w:rPr>
          <w:rFonts w:ascii="Times New Roman" w:hAnsi="Times New Roman"/>
          <w:color w:val="000000" w:themeColor="text1"/>
          <w:sz w:val="16"/>
          <w:szCs w:val="16"/>
        </w:rPr>
        <w:t>в 1941 году ГКО было принято решение об эвакуации части центральных учреждений и весь дипломатический корпус из Москвы в Куйбышев (14798).</w:t>
      </w:r>
    </w:p>
    <w:p w14:paraId="0F7B632A" w14:textId="77777777" w:rsidR="00C45D12" w:rsidRPr="00640820" w:rsidRDefault="00C45D12" w:rsidP="00640820">
      <w:pPr>
        <w:spacing w:after="0" w:line="240" w:lineRule="auto"/>
        <w:jc w:val="both"/>
        <w:rPr>
          <w:rFonts w:ascii="Times New Roman" w:hAnsi="Times New Roman"/>
          <w:color w:val="000000" w:themeColor="text1"/>
          <w:sz w:val="16"/>
          <w:szCs w:val="16"/>
        </w:rPr>
      </w:pPr>
    </w:p>
    <w:p w14:paraId="0B97F35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вышло Постановление ГКО № 790 [Об утверждении "проекта директив по транспортным вопросам Ирана", через территорию которого доставлялись грузы из Великобритании.] (7013, 128,129-131).</w:t>
      </w:r>
    </w:p>
    <w:p w14:paraId="5F5F031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070CF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вышло Постановление ГКО № 791 О советской делегации в смешанной комиссии по транспортным вопросам Ирана. (7013, 132).</w:t>
      </w:r>
    </w:p>
    <w:p w14:paraId="3889E1C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A7A560"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6680270B"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D66C2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1941 британская авиация бомбила Нюрнберг (3481).</w:t>
      </w:r>
    </w:p>
    <w:p w14:paraId="4A46BC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6B23622" w14:textId="77777777" w:rsidR="00C45D12" w:rsidRPr="00640820" w:rsidRDefault="00C45D12"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13 октября </w:t>
      </w:r>
      <w:r w:rsidRPr="00640820">
        <w:rPr>
          <w:rFonts w:ascii="Times New Roman" w:hAnsi="Times New Roman"/>
          <w:color w:val="000000" w:themeColor="text1"/>
          <w:sz w:val="16"/>
          <w:szCs w:val="16"/>
        </w:rPr>
        <w:t>в 1941 году британская авиация наносит бомбовый удар по немецкому городу Нюрнбергу (14798).</w:t>
      </w:r>
    </w:p>
    <w:p w14:paraId="4DD36242" w14:textId="77777777" w:rsidR="00C45D12" w:rsidRPr="00640820" w:rsidRDefault="00C45D12" w:rsidP="00640820">
      <w:pPr>
        <w:spacing w:after="0" w:line="240" w:lineRule="auto"/>
        <w:jc w:val="both"/>
        <w:rPr>
          <w:rFonts w:ascii="Times New Roman" w:hAnsi="Times New Roman"/>
          <w:color w:val="000000" w:themeColor="text1"/>
          <w:sz w:val="16"/>
          <w:szCs w:val="16"/>
        </w:rPr>
      </w:pPr>
    </w:p>
    <w:p w14:paraId="416D68C0"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1D58615F"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29C484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октября 1941 военпреды в последний раз оформили по гра</w:t>
      </w:r>
      <w:r w:rsidRPr="00640820">
        <w:rPr>
          <w:rFonts w:ascii="Times New Roman" w:hAnsi="Times New Roman"/>
          <w:color w:val="000000" w:themeColor="text1"/>
          <w:sz w:val="16"/>
          <w:szCs w:val="16"/>
        </w:rPr>
        <w:softHyphen/>
        <w:t>фику сдачи 13 самолётов МиГ-3, а на следующий день началась от</w:t>
      </w:r>
      <w:r w:rsidRPr="00640820">
        <w:rPr>
          <w:rFonts w:ascii="Times New Roman" w:hAnsi="Times New Roman"/>
          <w:color w:val="000000" w:themeColor="text1"/>
          <w:sz w:val="16"/>
          <w:szCs w:val="16"/>
        </w:rPr>
        <w:softHyphen/>
        <w:t>правка эшелонов. 16 октября был эвакуирован ОКО. Однако к сере</w:t>
      </w:r>
      <w:r w:rsidRPr="00640820">
        <w:rPr>
          <w:rFonts w:ascii="Times New Roman" w:hAnsi="Times New Roman"/>
          <w:color w:val="000000" w:themeColor="text1"/>
          <w:sz w:val="16"/>
          <w:szCs w:val="16"/>
        </w:rPr>
        <w:softHyphen/>
        <w:t>дине месяца на заводе ещё оста</w:t>
      </w:r>
      <w:r w:rsidRPr="00640820">
        <w:rPr>
          <w:rFonts w:ascii="Times New Roman" w:hAnsi="Times New Roman"/>
          <w:color w:val="000000" w:themeColor="text1"/>
          <w:sz w:val="16"/>
          <w:szCs w:val="16"/>
        </w:rPr>
        <w:softHyphen/>
        <w:t>валось 57 принятых военпредами истребителей МиГ-3, из которых семь находилось в ремонте на за</w:t>
      </w:r>
      <w:r w:rsidRPr="00640820">
        <w:rPr>
          <w:rFonts w:ascii="Times New Roman" w:hAnsi="Times New Roman"/>
          <w:color w:val="000000" w:themeColor="text1"/>
          <w:sz w:val="16"/>
          <w:szCs w:val="16"/>
        </w:rPr>
        <w:softHyphen/>
        <w:t>мене моторов, а также один штур</w:t>
      </w:r>
      <w:r w:rsidRPr="00640820">
        <w:rPr>
          <w:rFonts w:ascii="Times New Roman" w:hAnsi="Times New Roman"/>
          <w:color w:val="000000" w:themeColor="text1"/>
          <w:sz w:val="16"/>
          <w:szCs w:val="16"/>
        </w:rPr>
        <w:softHyphen/>
        <w:t>мовик Ил-2. Кроме этого в сбороч</w:t>
      </w:r>
      <w:r w:rsidRPr="00640820">
        <w:rPr>
          <w:rFonts w:ascii="Times New Roman" w:hAnsi="Times New Roman"/>
          <w:color w:val="000000" w:themeColor="text1"/>
          <w:sz w:val="16"/>
          <w:szCs w:val="16"/>
        </w:rPr>
        <w:softHyphen/>
        <w:t>ном цехе в разной стадии готовно</w:t>
      </w:r>
      <w:r w:rsidRPr="00640820">
        <w:rPr>
          <w:rFonts w:ascii="Times New Roman" w:hAnsi="Times New Roman"/>
          <w:color w:val="000000" w:themeColor="text1"/>
          <w:sz w:val="16"/>
          <w:szCs w:val="16"/>
        </w:rPr>
        <w:softHyphen/>
        <w:t>сти находилось 42 МиГ-3 и один Ил-2. Возникшая в связи с эвакуацией некоторая неразбериха ставила под угрозу доводку этих самолётов.</w:t>
      </w:r>
    </w:p>
    <w:p w14:paraId="208D088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сохранения оставшейся мат-части личный состав военного пред</w:t>
      </w:r>
      <w:r w:rsidRPr="00640820">
        <w:rPr>
          <w:rFonts w:ascii="Times New Roman" w:hAnsi="Times New Roman"/>
          <w:color w:val="000000" w:themeColor="text1"/>
          <w:sz w:val="16"/>
          <w:szCs w:val="16"/>
        </w:rPr>
        <w:softHyphen/>
        <w:t>ставительства оказывал непосред</w:t>
      </w:r>
      <w:r w:rsidRPr="00640820">
        <w:rPr>
          <w:rFonts w:ascii="Times New Roman" w:hAnsi="Times New Roman"/>
          <w:color w:val="000000" w:themeColor="text1"/>
          <w:sz w:val="16"/>
          <w:szCs w:val="16"/>
        </w:rPr>
        <w:softHyphen/>
        <w:t>ственную помощь в отправке гото</w:t>
      </w:r>
      <w:r w:rsidRPr="00640820">
        <w:rPr>
          <w:rFonts w:ascii="Times New Roman" w:hAnsi="Times New Roman"/>
          <w:color w:val="000000" w:themeColor="text1"/>
          <w:sz w:val="16"/>
          <w:szCs w:val="16"/>
        </w:rPr>
        <w:softHyphen/>
        <w:t>вой продукции. Только силами военпредов 16 октября было отправ</w:t>
      </w:r>
      <w:r w:rsidRPr="00640820">
        <w:rPr>
          <w:rFonts w:ascii="Times New Roman" w:hAnsi="Times New Roman"/>
          <w:color w:val="000000" w:themeColor="text1"/>
          <w:sz w:val="16"/>
          <w:szCs w:val="16"/>
        </w:rPr>
        <w:softHyphen/>
        <w:t>лено 18 истребителей и один штур</w:t>
      </w:r>
      <w:r w:rsidRPr="00640820">
        <w:rPr>
          <w:rFonts w:ascii="Times New Roman" w:hAnsi="Times New Roman"/>
          <w:color w:val="000000" w:themeColor="text1"/>
          <w:sz w:val="16"/>
          <w:szCs w:val="16"/>
        </w:rPr>
        <w:softHyphen/>
        <w:t>мовик, а 18 октября по их требова</w:t>
      </w:r>
      <w:r w:rsidRPr="00640820">
        <w:rPr>
          <w:rFonts w:ascii="Times New Roman" w:hAnsi="Times New Roman"/>
          <w:color w:val="000000" w:themeColor="text1"/>
          <w:sz w:val="16"/>
          <w:szCs w:val="16"/>
        </w:rPr>
        <w:softHyphen/>
        <w:t>нию началась доводка находящих</w:t>
      </w:r>
      <w:r w:rsidRPr="00640820">
        <w:rPr>
          <w:rFonts w:ascii="Times New Roman" w:hAnsi="Times New Roman"/>
          <w:color w:val="000000" w:themeColor="text1"/>
          <w:sz w:val="16"/>
          <w:szCs w:val="16"/>
        </w:rPr>
        <w:softHyphen/>
        <w:t>ся в сборочном цехе самолётов. Благодаря предпринятым усилиям администрации завода удалось со</w:t>
      </w:r>
      <w:r w:rsidRPr="00640820">
        <w:rPr>
          <w:rFonts w:ascii="Times New Roman" w:hAnsi="Times New Roman"/>
          <w:color w:val="000000" w:themeColor="text1"/>
          <w:sz w:val="16"/>
          <w:szCs w:val="16"/>
        </w:rPr>
        <w:softHyphen/>
        <w:t>брать необходимую рабочую силу и к 24 октября сдать военпредам 42 МиГ-3 и один Ил-2. Причём из личного состава военной приёмки на производстве трудилось 19 че</w:t>
      </w:r>
      <w:r w:rsidRPr="00640820">
        <w:rPr>
          <w:rFonts w:ascii="Times New Roman" w:hAnsi="Times New Roman"/>
          <w:color w:val="000000" w:themeColor="text1"/>
          <w:sz w:val="16"/>
          <w:szCs w:val="16"/>
        </w:rPr>
        <w:softHyphen/>
        <w:t>ловек, а остальных отправили в Куйбышев. Производство истреби</w:t>
      </w:r>
      <w:r w:rsidRPr="00640820">
        <w:rPr>
          <w:rFonts w:ascii="Times New Roman" w:hAnsi="Times New Roman"/>
          <w:color w:val="000000" w:themeColor="text1"/>
          <w:sz w:val="16"/>
          <w:szCs w:val="16"/>
        </w:rPr>
        <w:softHyphen/>
        <w:t>телей МиГ-3 в г. Москве заверши</w:t>
      </w:r>
      <w:r w:rsidRPr="00640820">
        <w:rPr>
          <w:rFonts w:ascii="Times New Roman" w:hAnsi="Times New Roman"/>
          <w:color w:val="000000" w:themeColor="text1"/>
          <w:sz w:val="16"/>
          <w:szCs w:val="16"/>
        </w:rPr>
        <w:softHyphen/>
        <w:t>лось сдачей ГУ ВВС КА машины №5197.</w:t>
      </w:r>
    </w:p>
    <w:p w14:paraId="5D8C38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 Куйбышеве выпуск МиГ-3 возобновился 5 декабря сдачей военпредам первых двух самолётов. В дальнейшем планировалось вы</w:t>
      </w:r>
      <w:r w:rsidRPr="00640820">
        <w:rPr>
          <w:rFonts w:ascii="Times New Roman" w:hAnsi="Times New Roman"/>
          <w:color w:val="000000" w:themeColor="text1"/>
          <w:sz w:val="16"/>
          <w:szCs w:val="16"/>
        </w:rPr>
        <w:softHyphen/>
        <w:t>пускать по две машины ежесуточно с тем, чтобы до конца года обеспе</w:t>
      </w:r>
      <w:r w:rsidRPr="00640820">
        <w:rPr>
          <w:rFonts w:ascii="Times New Roman" w:hAnsi="Times New Roman"/>
          <w:color w:val="000000" w:themeColor="text1"/>
          <w:sz w:val="16"/>
          <w:szCs w:val="16"/>
        </w:rPr>
        <w:softHyphen/>
        <w:t>чить постройку 50 истребителей. В тоже время производство штурмо</w:t>
      </w:r>
      <w:r w:rsidRPr="00640820">
        <w:rPr>
          <w:rFonts w:ascii="Times New Roman" w:hAnsi="Times New Roman"/>
          <w:color w:val="000000" w:themeColor="text1"/>
          <w:sz w:val="16"/>
          <w:szCs w:val="16"/>
        </w:rPr>
        <w:softHyphen/>
        <w:t>виков Ил-2 планировалось развер</w:t>
      </w:r>
      <w:r w:rsidRPr="00640820">
        <w:rPr>
          <w:rFonts w:ascii="Times New Roman" w:hAnsi="Times New Roman"/>
          <w:color w:val="000000" w:themeColor="text1"/>
          <w:sz w:val="16"/>
          <w:szCs w:val="16"/>
        </w:rPr>
        <w:softHyphen/>
        <w:t>нуть не ранее 15 декабря с выпус</w:t>
      </w:r>
      <w:r w:rsidRPr="00640820">
        <w:rPr>
          <w:rFonts w:ascii="Times New Roman" w:hAnsi="Times New Roman"/>
          <w:color w:val="000000" w:themeColor="text1"/>
          <w:sz w:val="16"/>
          <w:szCs w:val="16"/>
        </w:rPr>
        <w:softHyphen/>
        <w:t>ком по одному самолёту ежесуточ</w:t>
      </w:r>
      <w:r w:rsidRPr="00640820">
        <w:rPr>
          <w:rFonts w:ascii="Times New Roman" w:hAnsi="Times New Roman"/>
          <w:color w:val="000000" w:themeColor="text1"/>
          <w:sz w:val="16"/>
          <w:szCs w:val="16"/>
        </w:rPr>
        <w:softHyphen/>
        <w:t>но, то есть до конца года завод предполагал выпустить не более 10-15 машин при плане 100. Это объяс</w:t>
      </w:r>
      <w:r w:rsidRPr="00640820">
        <w:rPr>
          <w:rFonts w:ascii="Times New Roman" w:hAnsi="Times New Roman"/>
          <w:color w:val="000000" w:themeColor="text1"/>
          <w:sz w:val="16"/>
          <w:szCs w:val="16"/>
        </w:rPr>
        <w:softHyphen/>
        <w:t>нялось небольшим заделом, приве</w:t>
      </w:r>
      <w:r w:rsidRPr="00640820">
        <w:rPr>
          <w:rFonts w:ascii="Times New Roman" w:hAnsi="Times New Roman"/>
          <w:color w:val="000000" w:themeColor="text1"/>
          <w:sz w:val="16"/>
          <w:szCs w:val="16"/>
        </w:rPr>
        <w:softHyphen/>
        <w:t>зённым из Москвы, а также отсут</w:t>
      </w:r>
      <w:r w:rsidRPr="00640820">
        <w:rPr>
          <w:rFonts w:ascii="Times New Roman" w:hAnsi="Times New Roman"/>
          <w:color w:val="000000" w:themeColor="text1"/>
          <w:sz w:val="16"/>
          <w:szCs w:val="16"/>
        </w:rPr>
        <w:softHyphen/>
        <w:t>ствием ряда крупных агрегатов, таких как шасси и хвостовые части фюзеляжа. Выпуск Ил-2 на заводе №18 тоже не отвечал требования фронта. Естественно такой расклад не мог удовлетворить руководство страны. Последовавшая 23 декаб</w:t>
      </w:r>
      <w:r w:rsidRPr="00640820">
        <w:rPr>
          <w:rFonts w:ascii="Times New Roman" w:hAnsi="Times New Roman"/>
          <w:color w:val="000000" w:themeColor="text1"/>
          <w:sz w:val="16"/>
          <w:szCs w:val="16"/>
        </w:rPr>
        <w:softHyphen/>
        <w:t>ря известная телеграмма И.В. Ста</w:t>
      </w:r>
      <w:r w:rsidRPr="00640820">
        <w:rPr>
          <w:rFonts w:ascii="Times New Roman" w:hAnsi="Times New Roman"/>
          <w:color w:val="000000" w:themeColor="text1"/>
          <w:sz w:val="16"/>
          <w:szCs w:val="16"/>
        </w:rPr>
        <w:softHyphen/>
        <w:t>лина окончательно решила судьбу штурмовика Ил-2 и истребителя МиГ-3.</w:t>
      </w:r>
    </w:p>
    <w:p w14:paraId="6768CE5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втором полугодии авиазавод №1 выпустил 1737 истребителей МиГ-3. Из этого количества воен</w:t>
      </w:r>
      <w:r w:rsidRPr="00640820">
        <w:rPr>
          <w:rFonts w:ascii="Times New Roman" w:hAnsi="Times New Roman"/>
          <w:color w:val="000000" w:themeColor="text1"/>
          <w:sz w:val="16"/>
          <w:szCs w:val="16"/>
        </w:rPr>
        <w:softHyphen/>
        <w:t>ное представительство приняло 1642 самолёта. В строевые части ВВС КА была отправлена 1691 машина. Для авиации ВМФ в 1941 г. из 162 принятых МиГ-3 поставлено 157 самолётов (в первом полуго</w:t>
      </w:r>
      <w:r w:rsidRPr="00640820">
        <w:rPr>
          <w:rFonts w:ascii="Times New Roman" w:hAnsi="Times New Roman"/>
          <w:color w:val="000000" w:themeColor="text1"/>
          <w:sz w:val="16"/>
          <w:szCs w:val="16"/>
        </w:rPr>
        <w:softHyphen/>
        <w:t>дии 67, во втором 90, из них 25 в июле, 10 в августе, 47 в сентябре и восемь в октябре), а пять переад</w:t>
      </w:r>
      <w:r w:rsidRPr="00640820">
        <w:rPr>
          <w:rFonts w:ascii="Times New Roman" w:hAnsi="Times New Roman"/>
          <w:color w:val="000000" w:themeColor="text1"/>
          <w:sz w:val="16"/>
          <w:szCs w:val="16"/>
        </w:rPr>
        <w:softHyphen/>
        <w:t>ресовано ГУ ВВС КА (11761).</w:t>
      </w:r>
    </w:p>
    <w:p w14:paraId="3AC10E9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58892D" w14:textId="77777777" w:rsidR="00C45D12" w:rsidRPr="00640820" w:rsidRDefault="00C45D12" w:rsidP="00640820">
      <w:pPr>
        <w:pStyle w:val="a3"/>
        <w:rPr>
          <w:color w:val="000000" w:themeColor="text1"/>
          <w:lang w:val="ru-RU"/>
        </w:rPr>
      </w:pPr>
      <w:r w:rsidRPr="00640820">
        <w:rPr>
          <w:color w:val="000000" w:themeColor="text1"/>
          <w:lang w:val="ru-RU"/>
        </w:rPr>
        <w:t>14 октября 1941 военпреды на заводе № 1 в последний раз оформили по графику сдачи 13 МиГ-3, а на следу</w:t>
      </w:r>
      <w:r w:rsidRPr="00640820">
        <w:rPr>
          <w:color w:val="000000" w:themeColor="text1"/>
          <w:lang w:val="ru-RU"/>
        </w:rPr>
        <w:softHyphen/>
        <w:t>ющий день началась отправка эшелонов (15976).</w:t>
      </w:r>
    </w:p>
    <w:p w14:paraId="2E93352D" w14:textId="77777777" w:rsidR="00C45D12" w:rsidRPr="00640820" w:rsidRDefault="00C45D12" w:rsidP="00640820">
      <w:pPr>
        <w:pStyle w:val="a3"/>
        <w:rPr>
          <w:color w:val="000000" w:themeColor="text1"/>
          <w:lang w:val="ru-RU"/>
        </w:rPr>
      </w:pPr>
    </w:p>
    <w:p w14:paraId="606BD12B" w14:textId="77777777" w:rsidR="002028EF" w:rsidRPr="00640820" w:rsidRDefault="002028EF" w:rsidP="00640820">
      <w:pPr>
        <w:spacing w:after="0" w:line="240" w:lineRule="auto"/>
        <w:jc w:val="both"/>
        <w:rPr>
          <w:rFonts w:ascii="Times New Roman" w:hAnsi="Times New Roman"/>
          <w:color w:val="000000" w:themeColor="text1"/>
          <w:sz w:val="16"/>
          <w:szCs w:val="16"/>
          <w:shd w:val="clear" w:color="auto" w:fill="FFFFFF"/>
        </w:rPr>
      </w:pPr>
      <w:r w:rsidRPr="00640820">
        <w:rPr>
          <w:rFonts w:ascii="Times New Roman" w:hAnsi="Times New Roman"/>
          <w:color w:val="000000" w:themeColor="text1"/>
          <w:sz w:val="16"/>
          <w:szCs w:val="16"/>
          <w:shd w:val="clear" w:color="auto" w:fill="FFFFFF"/>
        </w:rPr>
        <w:t>До 14 октября 1941 в Москве проводились полёты БДП, пока не были прерваны из-за эвакуации. В отчете указывалось, что БДП доступен для лётчиков с невысокой квалификацией, не имеет особенностей в полёте и прост в технике пилотирования. При перелёте в Новосибирск планер был принужден к посадке истребителями ПВО, после чего машина была разграблена местными жителями. БДП пришлось транспортировать в тыл уже для восстановления. Второй вариант планера – БДП-2, обладал некоторыми внешними отличиями, но в целом его ТТД не изменились. На нем предусмотрели возможность использования оборонительного вооружения, для чего аппарат оборудовали приспособлениями под установку семи пехотных пулеметов калибра 7,62-мм. В качестве пассивной защиты монтировались 16 броневых листов толщиной 55 мм и размерами 480*550 мм. После посадки они могли использовать десантниками как бронещиты. Планер проходил испытания с 6 февраля по 14 марта 1942 года, по окончании которых была выдана рекомендация строить такие планеры серийно. Выданный заказ на 100 БДП-2 выполнен не был. Производство посчитали слишком дорогим и в июле 1942 года планер передали для эксплуатации в рядах Аэрофлота. БДП-2 летал на буксире за самолётом ПС-40 по маршруту Новосибирск-Омск-Свердловск и обратно. Предполагалось построить серию таких аппаратов для гражданской авиации, но до конца 1942 года в ремонтных мастерских Сибирского ВО собрали только четыре БДП-2 и ещё несколько экземпляров передал фронту мебельный комбинат г.Шумерля. Об их боевом применении точной информации пока найти не удалось. В то же время ОКБ Поликарпова переделало один из БДП-2 под установку двух двигателей М-11Ф, превратив его в мотопланер. Этот аппарат, обозначенный как МП, мог перевозить 12 десантников с вооружением или аналогичную весовую нагрузку. При увеличении нагрузки взлет совершался с помощью самолёта-буксировщика. Летом 1943 года МП успешно прошел заводские испытания, но в серии не строился по причине сокращения числа партизанских районов и наличии в строю ВВС самолётов типа Ще-2, Як-6 и Ли-2 (19619).</w:t>
      </w:r>
    </w:p>
    <w:p w14:paraId="234445F3" w14:textId="77777777" w:rsidR="002028EF" w:rsidRPr="00640820" w:rsidRDefault="002028EF" w:rsidP="00640820">
      <w:pPr>
        <w:spacing w:after="0" w:line="240" w:lineRule="auto"/>
        <w:jc w:val="both"/>
        <w:rPr>
          <w:rFonts w:ascii="Times New Roman" w:hAnsi="Times New Roman"/>
          <w:color w:val="000000" w:themeColor="text1"/>
          <w:sz w:val="16"/>
          <w:szCs w:val="16"/>
          <w:shd w:val="clear" w:color="auto" w:fill="FFFFFF"/>
        </w:rPr>
      </w:pPr>
    </w:p>
    <w:p w14:paraId="0D3C41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октября 1941 началось перебазирование НКАП по указанию ГКО (173,213).</w:t>
      </w:r>
    </w:p>
    <w:p w14:paraId="5BA073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588EA6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октября 1941 вышло Постановление ГКО № 798 [О перебазировании НИИ ВВС КА под Свердловск, а НИПАВ ВВС под Чкаловск.] (7013, 151).</w:t>
      </w:r>
    </w:p>
    <w:p w14:paraId="60954F7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15ED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октября 1941 года началась эвакуация завода № 84, последний эшелон со ст. Химки 12 ноября 1941 года (9461).</w:t>
      </w:r>
    </w:p>
    <w:p w14:paraId="734187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3FACF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14 октября 1941 года, когда начался демонтаж оборудования, Комбинатом № 150 был прекращен выпуск продукции (9504)</w:t>
      </w:r>
    </w:p>
    <w:p w14:paraId="37ED6A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октября 1941 испытания БДП были прекращены в связи с резко обострившейся обстановкой на подступах к Москве и начавшейся эвакуацией. По результатам испытаний, признанных незавершенными, отмечалось, что БДП устойчив в полете по всем осям, допускает полет с брошенной ручкой, эффективность рулей достаточная как в полете, так и на посадке: “... в технике пилотирования очень прост и приятен, не требует от летчика высокой квалификации. Доступен летчику, прошедшему тренировку на учебных планерах.”</w:t>
      </w:r>
    </w:p>
    <w:p w14:paraId="2A11BB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Одновременно отмечалась недостаточная прочность конструкции некоторых узлов крыла и фюзеляжа. Поэтому во время испытаний полетный вес БДП был ограничен до 2200 кг, скорость - до 220 км/ч (рассчитывался на 3200 кг и 320 км/ч соответственно). Пилот отмечал, что криволинейное переднее остекление дает сильное искажение, и рекомендовал установить обычный фонарь с граненым козырьком. При открытии посадочных щитков наблюдалось появление тряски (бафтинга) хвостового оперения.</w:t>
      </w:r>
    </w:p>
    <w:p w14:paraId="05610A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внесении изменений и усилений конструкции БДП предлагалось запустить в массовое производство. Сложностей при этом не предвиделось и считалось, что выпуск планёра доступен для небольших деревообделочных заводов. Хотя специалистами ЦАГИ было замечено, что стоимость его как массового планёра несколько высока (4540).</w:t>
      </w:r>
    </w:p>
    <w:p w14:paraId="76D68B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FB30D9D" w14:textId="77777777" w:rsidR="00F075BB" w:rsidRPr="00640820" w:rsidRDefault="00F075BB"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lastRenderedPageBreak/>
        <w:t>14 октября 1941 наркомат вооружения (Устинов) доложил «Секретарю Комиссии по Военным и Во</w:t>
      </w:r>
      <w:r w:rsidRPr="00640820">
        <w:rPr>
          <w:color w:val="000000" w:themeColor="text1"/>
          <w:sz w:val="16"/>
          <w:szCs w:val="16"/>
        </w:rPr>
        <w:softHyphen/>
        <w:t>енно-Морским Делам при СНК СССР /.../ о том, что он к концу 1941 года обеспечит выпуск 37-мм пу</w:t>
      </w:r>
      <w:r w:rsidRPr="00640820">
        <w:rPr>
          <w:color w:val="000000" w:themeColor="text1"/>
          <w:sz w:val="16"/>
          <w:szCs w:val="16"/>
        </w:rPr>
        <w:softHyphen/>
        <w:t>шек конструкции тов. Шпитального в количестве 100 штук, а начиная с января 1942 года может вы</w:t>
      </w:r>
      <w:r w:rsidRPr="00640820">
        <w:rPr>
          <w:color w:val="000000" w:themeColor="text1"/>
          <w:sz w:val="16"/>
          <w:szCs w:val="16"/>
        </w:rPr>
        <w:softHyphen/>
        <w:t>пускать по 250 штук в месяц» (17500).</w:t>
      </w:r>
    </w:p>
    <w:p w14:paraId="331DFE9A" w14:textId="77777777" w:rsidR="00F075BB" w:rsidRPr="00640820" w:rsidRDefault="00F075BB"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0BD2720"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1392AD8D"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D18B3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октября 1941 вышло Постановление ГКО № 792 Об обеспечении гильзами снарядов в октябре 1941 г. в связи с эвакуацией 176 и 178 гильзовых заводов НКБ. РГАНИР, Фонд ГКО, д. 12, лл. 133-134 (11012).</w:t>
      </w:r>
    </w:p>
    <w:p w14:paraId="379E54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01347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октября 1941 вышло Постановление ГКО № 793 О производстве штамповки и литья для деталей снаряда М-13. РГАНИР, Фонд ГКО, д. 12, лл. 135-136, 137-139 (11012).</w:t>
      </w:r>
    </w:p>
    <w:p w14:paraId="0EAB36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960F6A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октября 1941 вышло Постановление ГКО № 797 Об эвакуации железнодорожного оборудования. (7013, 145,146-150).</w:t>
      </w:r>
    </w:p>
    <w:p w14:paraId="77E39C1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E811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октября 1941 вышло Постановление ГКО № 799 О снаряжении боеприпасов жидким взрывчатым веществом нитролом. РГАНИР, Фонд ГКО, д. 12, лл. 152-153 (11012).</w:t>
      </w:r>
    </w:p>
    <w:p w14:paraId="6EEF3C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AEF315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октября 1941 г. в записке началь</w:t>
      </w:r>
      <w:r w:rsidRPr="00640820">
        <w:rPr>
          <w:rFonts w:ascii="Times New Roman" w:hAnsi="Times New Roman"/>
          <w:color w:val="000000" w:themeColor="text1"/>
          <w:sz w:val="16"/>
          <w:szCs w:val="16"/>
        </w:rPr>
        <w:softHyphen/>
        <w:t>ника Главвоенстроя С.Г.Шапиро Заместителю председателя СНК СССР Н.А.Вознесенскому указывается, что в вопросах строительства новых заводов Наркомата боепри</w:t>
      </w:r>
      <w:r w:rsidRPr="00640820">
        <w:rPr>
          <w:rFonts w:ascii="Times New Roman" w:hAnsi="Times New Roman"/>
          <w:color w:val="000000" w:themeColor="text1"/>
          <w:sz w:val="16"/>
          <w:szCs w:val="16"/>
        </w:rPr>
        <w:softHyphen/>
        <w:t>пасов, «несмотря на большой объем строительно-монтажных ра</w:t>
      </w:r>
      <w:r w:rsidRPr="00640820">
        <w:rPr>
          <w:rFonts w:ascii="Times New Roman" w:hAnsi="Times New Roman"/>
          <w:color w:val="000000" w:themeColor="text1"/>
          <w:sz w:val="16"/>
          <w:szCs w:val="16"/>
        </w:rPr>
        <w:softHyphen/>
        <w:t>бот и чрезвычайно сжатые сроки сдачи объектов в эксплуатацию, до сего времени нет ясности в дислокации новых предпри</w:t>
      </w:r>
      <w:r w:rsidRPr="00640820">
        <w:rPr>
          <w:rFonts w:ascii="Times New Roman" w:hAnsi="Times New Roman"/>
          <w:color w:val="000000" w:themeColor="text1"/>
          <w:sz w:val="16"/>
          <w:szCs w:val="16"/>
        </w:rPr>
        <w:softHyphen/>
        <w:t>ятий. В результате этого Главвоенстрой потерял два месяца, в те</w:t>
      </w:r>
      <w:r w:rsidRPr="00640820">
        <w:rPr>
          <w:rFonts w:ascii="Times New Roman" w:hAnsi="Times New Roman"/>
          <w:color w:val="000000" w:themeColor="text1"/>
          <w:sz w:val="16"/>
          <w:szCs w:val="16"/>
        </w:rPr>
        <w:softHyphen/>
        <w:t>чение которых могли бы быть проведены подготовительные рабо</w:t>
      </w:r>
      <w:r w:rsidRPr="00640820">
        <w:rPr>
          <w:rFonts w:ascii="Times New Roman" w:hAnsi="Times New Roman"/>
          <w:color w:val="000000" w:themeColor="text1"/>
          <w:sz w:val="16"/>
          <w:szCs w:val="16"/>
        </w:rPr>
        <w:softHyphen/>
        <w:t>ты. Намеченные пункты строительства заводов неоднократно ме</w:t>
      </w:r>
      <w:r w:rsidRPr="00640820">
        <w:rPr>
          <w:rFonts w:ascii="Times New Roman" w:hAnsi="Times New Roman"/>
          <w:color w:val="000000" w:themeColor="text1"/>
          <w:sz w:val="16"/>
          <w:szCs w:val="16"/>
        </w:rPr>
        <w:softHyphen/>
        <w:t>нялись и до сих пор от НКБ не получены титульные списки» /7/. Не сразу удалось упорядочить процесс разработки и утверж</w:t>
      </w:r>
      <w:r w:rsidRPr="00640820">
        <w:rPr>
          <w:rFonts w:ascii="Times New Roman" w:hAnsi="Times New Roman"/>
          <w:color w:val="000000" w:themeColor="text1"/>
          <w:sz w:val="16"/>
          <w:szCs w:val="16"/>
        </w:rPr>
        <w:softHyphen/>
        <w:t>дения планов производства военно-промышленной продукции, наладить проверку и контроль за их неукоснительным соблюде</w:t>
      </w:r>
      <w:r w:rsidRPr="00640820">
        <w:rPr>
          <w:rFonts w:ascii="Times New Roman" w:hAnsi="Times New Roman"/>
          <w:color w:val="000000" w:themeColor="text1"/>
          <w:sz w:val="16"/>
          <w:szCs w:val="16"/>
        </w:rPr>
        <w:softHyphen/>
        <w:t>нием (1566).</w:t>
      </w:r>
    </w:p>
    <w:p w14:paraId="7544B28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82538A" w14:textId="77777777" w:rsidR="002028EF" w:rsidRPr="00640820" w:rsidRDefault="002028E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октября 1941 г. в записке начальника Главвоенстроя С.Г.Шапиро Заместителю председателя СНК СССР Н.А.Вознесенскому указывается, что в вопросах строительства новых заводов Наркомата боеприпасов, «несмотря на большой объем строительно-монтажных работ и чрезвычайно сжатые сроки сдачи объектов в эксплуатацию, до сего времени нет ясности в дислокации новых предприятий. В результате этого Главвоенстрой потерял два месяца, в течение которых могли бы быть проведены подготовительные работы. Намеченные пункты строительства заводов неоднократно менялись и до сих пор от НКБ не получены титульные списки» (18677).</w:t>
      </w:r>
    </w:p>
    <w:p w14:paraId="0DCBB545" w14:textId="77777777" w:rsidR="002028EF" w:rsidRPr="00640820" w:rsidRDefault="002028EF" w:rsidP="00640820">
      <w:pPr>
        <w:spacing w:after="0" w:line="240" w:lineRule="auto"/>
        <w:jc w:val="both"/>
        <w:rPr>
          <w:rFonts w:ascii="Times New Roman" w:hAnsi="Times New Roman"/>
          <w:color w:val="000000" w:themeColor="text1"/>
          <w:sz w:val="16"/>
          <w:szCs w:val="16"/>
        </w:rPr>
      </w:pPr>
    </w:p>
    <w:p w14:paraId="5AF5CD44" w14:textId="77777777" w:rsidR="002028EF" w:rsidRPr="00640820" w:rsidRDefault="002028E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октября 1941 г. в записке начальника Главвоенстроя С.Г.Шапиро Заместителю председателя СНК СССР Н.А.Вознесенскому указывалось, что в вопросах строительства новых заводов Наркомата боеприпасов, несмотря на большой объем строительно-монтажных работ и чрезвычайно сжатые сроки сдачи объектов в эксплуатацию, нет ясности в дислокации новых предприятий. В результате этого Главвоенстрой потерял два месяца, в течение которых могли бы быть проведены подготовительные работы (18406).</w:t>
      </w:r>
    </w:p>
    <w:p w14:paraId="22D08232" w14:textId="77777777" w:rsidR="002028EF" w:rsidRPr="00640820" w:rsidRDefault="002028EF" w:rsidP="00640820">
      <w:pPr>
        <w:spacing w:after="0" w:line="240" w:lineRule="auto"/>
        <w:jc w:val="both"/>
        <w:rPr>
          <w:rFonts w:ascii="Times New Roman" w:hAnsi="Times New Roman"/>
          <w:color w:val="000000" w:themeColor="text1"/>
          <w:sz w:val="16"/>
          <w:szCs w:val="16"/>
        </w:rPr>
      </w:pPr>
    </w:p>
    <w:p w14:paraId="341F7F7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октября 1941 года вышел Приказ НКБ № 605</w:t>
      </w:r>
    </w:p>
    <w:p w14:paraId="376B01F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основании распоряжения СНК № 6066 от 10 августа 1941 года о передаче в ведение НКБ Кемеровского механического завода комбината Кузбассуголь НКУП:</w:t>
      </w:r>
    </w:p>
    <w:p w14:paraId="1F37C1A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Присвоить Кемеровскому механическому заводу № 606 и подчинить 5 Гл. Управлению (5676, 324).</w:t>
      </w:r>
    </w:p>
    <w:p w14:paraId="390D7B8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491C5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октября 1941 года вышел Приказ НКБ № 608</w:t>
      </w:r>
    </w:p>
    <w:p w14:paraId="70D24E0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дополнение к приказу № 375 сс от 8 августа 1941 года:</w:t>
      </w:r>
    </w:p>
    <w:p w14:paraId="4F08B43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Организованному в Хабаровске производству снаряжения боеприпасов присвоить № 637 (5676, 334).</w:t>
      </w:r>
    </w:p>
    <w:p w14:paraId="1BF59EA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D376B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октября 1941 года вышел приказ № 527/45-1-1971с Наркомата пищевой промышленности и НКВ</w:t>
      </w:r>
    </w:p>
    <w:p w14:paraId="237EC18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постановлением вышестоящих организаций:</w:t>
      </w:r>
    </w:p>
    <w:p w14:paraId="50D2E02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Куйбышевскую кондитерскую фабрику передать в систему НКВ (6288, 191).</w:t>
      </w:r>
    </w:p>
    <w:p w14:paraId="44ED69D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034A9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октября 1941 года вышел приказ № 522сс НКВ</w:t>
      </w:r>
    </w:p>
    <w:p w14:paraId="1051F7C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исполнение постановления ГКО от 10 октября 1941 года за № ГКО-760сс:</w:t>
      </w:r>
    </w:p>
    <w:p w14:paraId="339C1EA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Эвакуировать завод № 352:</w:t>
      </w:r>
    </w:p>
    <w:p w14:paraId="074FF84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Оборудование, материалы, рабочих, ИТР, занятых на производстве артсистем А-19 в Молотов на завод № 172 НКВ.</w:t>
      </w:r>
    </w:p>
    <w:p w14:paraId="21F59EC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Оборудование, материалы, рабочих, ИТР, занятых на производстве артсистем М-60 в Воткинск на завод № 235 (6288, 176).</w:t>
      </w:r>
    </w:p>
    <w:p w14:paraId="66DA0FD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9E7E2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октября 1941 года вышел приказ № 520сс НКВ</w:t>
      </w:r>
    </w:p>
    <w:p w14:paraId="1959755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постановлением Совета по эвакуации от 14 октября 1941 года № СЭ-157сс:</w:t>
      </w:r>
    </w:p>
    <w:p w14:paraId="17F7F4D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Государственный союзный проектно-конструкторский институт № 40 – Директор Завьялов Г.М. в Молотов с размещением на площадях бывшего С/х института, переданного НИИ-13 за счет уплотнения последнего.</w:t>
      </w:r>
    </w:p>
    <w:p w14:paraId="1E7861E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Государственный союзный проектный институт № 7 – директор Дунаев Г.А. в Свердловск с размещением в помещениях Института журналистики, выделенных для этой цели решением СНК от 16 августа 1941 года № 1976-891сс.</w:t>
      </w:r>
    </w:p>
    <w:p w14:paraId="0B4FA7B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Особое КБ № 15 - начальник Шпитальный Б.Г. – Ижевск Удмуртской АССР с размещением в помещениях принадлежащих заводу № 74 НКВ за счет уплотнения последнего.</w:t>
      </w:r>
    </w:p>
    <w:p w14:paraId="09E0F89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Особое КБ № 16 – начальник Глухарев К.К. – г. Нытва Молотовской обл. с размещением в помещении артели “Гвоздарь” Молотовского Облпромсовета (6288, 169-167).</w:t>
      </w:r>
    </w:p>
    <w:p w14:paraId="16AC55D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654B4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октября 1941 года вышел приказ № 519 НКВ</w:t>
      </w:r>
    </w:p>
    <w:p w14:paraId="0504E10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расширения и более оперативного решения вопросов, связанных с изготовлением опытных систем по минометам, организовать при НИИ-13 КБ по минометам с опытным цехом с подчинением его непосредственно директору института (6288, 165).</w:t>
      </w:r>
    </w:p>
    <w:p w14:paraId="27393F9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48E4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октября 1941 года МБВ-2 № 02 был зачислен в состав 3-й роты 1 -го батальона 12-го танкового полка. Командиром машины назначили младшего лейтенанта Г.Коновалова (9634).</w:t>
      </w:r>
    </w:p>
    <w:p w14:paraId="397438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AA6AE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октября 1941 года было принято постановление Эвакуационного совета о размещении завода № 93 на стройплощадке завода № 752 (будущего Кирово-Чепецкого химкомбината). Тогда же, в октябре, вопрос об этом был рассмотрен на заседаниях бюро обкома ВКП(б), а затем и Просницкого райкома ВКП(б).</w:t>
      </w:r>
      <w:r w:rsidRPr="00640820">
        <w:rPr>
          <w:rFonts w:ascii="Times New Roman" w:hAnsi="Times New Roman"/>
          <w:color w:val="000000" w:themeColor="text1"/>
          <w:sz w:val="16"/>
          <w:szCs w:val="16"/>
          <w:vertAlign w:val="superscript"/>
        </w:rPr>
        <w:t>1</w:t>
      </w:r>
      <w:r w:rsidRPr="00640820">
        <w:rPr>
          <w:rFonts w:ascii="Times New Roman" w:hAnsi="Times New Roman"/>
          <w:color w:val="000000" w:themeColor="text1"/>
          <w:sz w:val="16"/>
          <w:szCs w:val="16"/>
        </w:rPr>
        <w:t xml:space="preserve"> В принятых постановлениях были конкретизированы задачи размещения оборудования и людей, проблемы пуска в строй эвакуированного завода.</w:t>
      </w:r>
    </w:p>
    <w:p w14:paraId="277E88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Оборудование начало поступать с 6 ноября 1941 года, однако к 13 февраля 1942 года прибыло всего 49 вагонов из 120 отгруженных.</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xml:space="preserve"> Если учесть обстановку на фронте, когда все силы были брошены на защиту Москвы, то понятно, что железная дорога от Москвы до Кирова была перегружена. Попытки заводских специалистов, выезжавших специально для «проталкивания» вагонов, не увенчались успехом.</w:t>
      </w:r>
    </w:p>
    <w:p w14:paraId="3C3C0F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самого начала прибытия на чепецкую землю возникли большие трудности с размещением. Дело в том, что завод эвакуировался на строительную площадку, где еще не было готовых зданий для цехов, причем химическое производство требовало и особых коммуникаций. Прибывшие электромоторы, измерительные приборы, часть электроприборов и цветных металлов были размещены на складе. Все остальное было выгружено под открытое небо, и поэтому первой задачей было строительство навеса (не забываем, что была зима). Приехавшие люди были поселены в общежитиях и бараках, которые интенсивно строились: люди прибывали на стройку чуть ли не ежедневно.</w:t>
      </w:r>
    </w:p>
    <w:p w14:paraId="6725CF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Заводские специалисты занялись ревизией и ремонтом прибывшего электро- и технологического оборудования. Вскоре поступило распоряжение заместителя Наркома химической промышленности от 11 декабря 1941 года за № 86 сс, которым указывалось, что должны быть восстановлены 5 цехов завода № 93: электролиз системы </w:t>
      </w:r>
      <w:r w:rsidRPr="00640820">
        <w:rPr>
          <w:rFonts w:ascii="Times New Roman" w:hAnsi="Times New Roman"/>
          <w:color w:val="000000" w:themeColor="text1"/>
          <w:sz w:val="16"/>
          <w:szCs w:val="16"/>
        </w:rPr>
        <w:lastRenderedPageBreak/>
        <w:t>Кребса, электролиз №2, жидкого хлора, хлорной извести, хлороформа. Срок пуска цехов был указан – 3 квартал 1942 года. Об остальных цехах было сказано, что указание по ним будет направлено дополнительно после отгрузки оставшегося оборудования.</w:t>
      </w:r>
      <w:r w:rsidRPr="00640820">
        <w:rPr>
          <w:rFonts w:ascii="Times New Roman" w:hAnsi="Times New Roman"/>
          <w:color w:val="000000" w:themeColor="text1"/>
          <w:sz w:val="16"/>
          <w:szCs w:val="16"/>
          <w:vertAlign w:val="superscript"/>
        </w:rPr>
        <w:t>3</w:t>
      </w:r>
    </w:p>
    <w:p w14:paraId="308614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Железная дорога сорвала поставки вагонов заводу, и значительная часть оборудования оставалась в цехах. В феврале 1942 года обстановка на фронте стабилизировалась, стало ясно, что Москву врагам не сдадут. В связи с этим Наркомат химической промышленности принял решение: оставшиеся цеха не эвакуировать. Таким образом обстановка на восстанавливаемом в Чепецке заводе менялась коренным образом: уменьшался объем оставшихся цехов, дополнительно было приказано развернуть цех производства гипохлорида кальция. Срок пуска завода был намечен на 1 января 1943 года. Как писал директор завода № 752 М.В. Крычков: «Вся проведенная нами подготовительная работа с начала декабря месяца по линии проектирования и подготовки площадки пошла на нет».</w:t>
      </w:r>
      <w:r w:rsidRPr="00640820">
        <w:rPr>
          <w:rFonts w:ascii="Times New Roman" w:hAnsi="Times New Roman"/>
          <w:color w:val="000000" w:themeColor="text1"/>
          <w:sz w:val="16"/>
          <w:szCs w:val="16"/>
          <w:vertAlign w:val="superscript"/>
        </w:rPr>
        <w:t>4</w:t>
      </w:r>
      <w:r w:rsidRPr="00640820">
        <w:rPr>
          <w:rFonts w:ascii="Times New Roman" w:hAnsi="Times New Roman"/>
          <w:color w:val="000000" w:themeColor="text1"/>
          <w:sz w:val="16"/>
          <w:szCs w:val="16"/>
        </w:rPr>
        <w:t xml:space="preserve"> Изначально предполагалось, что завод № 93 будет самостоятельным предприятием, построенным на отдельном месте. Однако после нового решения Наркомата оборудование завода № 93 стали размещать на площадке строящегося завода № 752.</w:t>
      </w:r>
    </w:p>
    <w:p w14:paraId="22DB8A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установившемуся порядку в эвакуацию сначала отправилось оборудование с сопровождающими людьми, а только потом – рабочие и инженерно-технический состав. Поэтому получилось так, что в Чепецк приехало всего 50 человек с завода № 93, основные кадры не успели эвакуироваться и остались в Москве. Так возникла проблема кадров и специалистов.</w:t>
      </w:r>
    </w:p>
    <w:p w14:paraId="5B5762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Началась активная работа по возведению цехов. В январе 1942 года Н.В.Крычков, начальник строительства завода, обратился в обком партии с просьбой: «Прошу вашего содействия в получении разрешения на разборку Волче-Троицкой церкви для использования строительного кирпича и бутового камня для нужд нашего строительства».</w:t>
      </w:r>
      <w:r w:rsidRPr="00640820">
        <w:rPr>
          <w:rFonts w:ascii="Times New Roman" w:hAnsi="Times New Roman"/>
          <w:color w:val="000000" w:themeColor="text1"/>
          <w:sz w:val="16"/>
          <w:szCs w:val="16"/>
          <w:vertAlign w:val="superscript"/>
        </w:rPr>
        <w:t>5</w:t>
      </w:r>
      <w:r w:rsidRPr="00640820">
        <w:rPr>
          <w:rFonts w:ascii="Times New Roman" w:hAnsi="Times New Roman"/>
          <w:color w:val="000000" w:themeColor="text1"/>
          <w:sz w:val="16"/>
          <w:szCs w:val="16"/>
        </w:rPr>
        <w:t xml:space="preserve"> Ответ был такой: «На Ваше отношение о разрешении разборки Волче-Троицкой церкви для получения кирпича сообщаем, что у завода № 752 в настоящее время имеются церкви с разобранным кирпичом, который не вывозится, поэтому, не освоив полностью ранее полученные церкви, вновь получать не следует».</w:t>
      </w:r>
      <w:r w:rsidRPr="00640820">
        <w:rPr>
          <w:rFonts w:ascii="Times New Roman" w:hAnsi="Times New Roman"/>
          <w:color w:val="000000" w:themeColor="text1"/>
          <w:sz w:val="16"/>
          <w:szCs w:val="16"/>
          <w:vertAlign w:val="superscript"/>
        </w:rPr>
        <w:t>6</w:t>
      </w:r>
    </w:p>
    <w:p w14:paraId="426237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Стройматериалов постоянно не хватало, хотя в подчинении начальника строительства были кирпичный и лесопильный заводы. Другой проблемой был транспорт. Своего не хватало. А колхозы выделяли его неаккуратно. В 1 квартале 1942 года потребность в гужтранспорте составляла 725 лошадей в день, а работало в среднем 100-120 лошадей. Количество рабочих на стройке колебалось, на 1 января 1942 года их было 637, на 1 апреля – 1034, на 1 июня – 823 человека, и их тоже постоянно не хватало.</w:t>
      </w:r>
      <w:r w:rsidRPr="00640820">
        <w:rPr>
          <w:rFonts w:ascii="Times New Roman" w:hAnsi="Times New Roman"/>
          <w:color w:val="000000" w:themeColor="text1"/>
          <w:sz w:val="16"/>
          <w:szCs w:val="16"/>
          <w:vertAlign w:val="superscript"/>
        </w:rPr>
        <w:t>7</w:t>
      </w:r>
    </w:p>
    <w:p w14:paraId="4D057B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Наркомат химической промышленности установил график пуска цехов: первым к 1-му декабря 1942 года надо было пустить в эксплуатацию цех карбида кальция. В срочном порядке стали решать и вопросы с сырьем для будущего производства. Привлеченные геологи определили объемы предполагаемого сырья – известняка в разведанных месторождениях – Кстининском и Чирковском. Разработку решили начать с последнего.</w:t>
      </w:r>
    </w:p>
    <w:p w14:paraId="666F92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Большое значение для пуска в эксплуатацию цеха имело и наличие электроэнергии и пара Кирово-Чепецкой ТЭЦ, которая строилась параллельно с химкомбинатом. К первому декабря 1942 года первая очередь ТЭЦ была сдана. Ток пошел на предприятия. Однако оборудовать цех карбида в намеченные сроки не получилось и дату пуска пришлось перенести на 23 февраля 1943 года. Так строился и начинал работать Кирово-Чепецкий химкомбинат, используя оборудование, эвакуированное с московского завода № 93.</w:t>
      </w:r>
    </w:p>
    <w:p w14:paraId="6142F8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Примечание:</w:t>
      </w:r>
    </w:p>
    <w:p w14:paraId="615588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vertAlign w:val="superscript"/>
        </w:rPr>
        <w:t>1</w:t>
      </w:r>
      <w:r w:rsidRPr="00640820">
        <w:rPr>
          <w:rFonts w:ascii="Times New Roman" w:hAnsi="Times New Roman"/>
          <w:color w:val="000000" w:themeColor="text1"/>
          <w:sz w:val="16"/>
          <w:szCs w:val="16"/>
        </w:rPr>
        <w:t xml:space="preserve"> Государственный архив социально-политической истории Кировской области (ГАСПИ КО). Ф. П-1391. Оп. 3. Д. 2. Л. 182-182об.</w:t>
      </w:r>
    </w:p>
    <w:p w14:paraId="29672F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xml:space="preserve"> Там же. Ф. П-1291. Оп.1. Д. 27. Л. 132.</w:t>
      </w:r>
    </w:p>
    <w:p w14:paraId="769FB9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vertAlign w:val="superscript"/>
        </w:rPr>
        <w:t>3</w:t>
      </w:r>
      <w:r w:rsidRPr="00640820">
        <w:rPr>
          <w:rFonts w:ascii="Times New Roman" w:hAnsi="Times New Roman"/>
          <w:color w:val="000000" w:themeColor="text1"/>
          <w:sz w:val="16"/>
          <w:szCs w:val="16"/>
        </w:rPr>
        <w:t xml:space="preserve"> Там же. Л. 133.</w:t>
      </w:r>
    </w:p>
    <w:p w14:paraId="689B90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vertAlign w:val="superscript"/>
        </w:rPr>
        <w:t>4</w:t>
      </w:r>
      <w:r w:rsidRPr="00640820">
        <w:rPr>
          <w:rFonts w:ascii="Times New Roman" w:hAnsi="Times New Roman"/>
          <w:color w:val="000000" w:themeColor="text1"/>
          <w:sz w:val="16"/>
          <w:szCs w:val="16"/>
        </w:rPr>
        <w:t xml:space="preserve"> Там же.</w:t>
      </w:r>
    </w:p>
    <w:p w14:paraId="33084E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vertAlign w:val="superscript"/>
        </w:rPr>
        <w:t>5</w:t>
      </w:r>
      <w:r w:rsidRPr="00640820">
        <w:rPr>
          <w:rFonts w:ascii="Times New Roman" w:hAnsi="Times New Roman"/>
          <w:color w:val="000000" w:themeColor="text1"/>
          <w:sz w:val="16"/>
          <w:szCs w:val="16"/>
        </w:rPr>
        <w:t xml:space="preserve"> Там же. Ф. П-1290. Оп. 8. Д. 282. Л. 21.</w:t>
      </w:r>
    </w:p>
    <w:p w14:paraId="60B942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vertAlign w:val="superscript"/>
        </w:rPr>
        <w:t>6</w:t>
      </w:r>
      <w:r w:rsidRPr="00640820">
        <w:rPr>
          <w:rFonts w:ascii="Times New Roman" w:hAnsi="Times New Roman"/>
          <w:color w:val="000000" w:themeColor="text1"/>
          <w:sz w:val="16"/>
          <w:szCs w:val="16"/>
        </w:rPr>
        <w:t xml:space="preserve"> Там же. Л. 22.</w:t>
      </w:r>
    </w:p>
    <w:p w14:paraId="3E4A16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vertAlign w:val="superscript"/>
        </w:rPr>
        <w:t>7</w:t>
      </w:r>
      <w:r w:rsidRPr="00640820">
        <w:rPr>
          <w:rFonts w:ascii="Times New Roman" w:hAnsi="Times New Roman"/>
          <w:color w:val="000000" w:themeColor="text1"/>
          <w:sz w:val="16"/>
          <w:szCs w:val="16"/>
        </w:rPr>
        <w:t xml:space="preserve"> Там же. Лл. 96-97. (11838).</w:t>
      </w:r>
    </w:p>
    <w:p w14:paraId="3B55DA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7AFE5F0" w14:textId="77777777" w:rsidR="002028EF" w:rsidRPr="00640820" w:rsidRDefault="002028E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октября 1941 г.</w:t>
      </w:r>
    </w:p>
    <w:p w14:paraId="62151787" w14:textId="77777777" w:rsidR="002028EF" w:rsidRPr="00640820" w:rsidRDefault="002028E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ВОПРОСЫ, РЕШЕННЫЕ ОПРОСОМ ЧЛЕНОВ БЮРО ГК ВКП(б)</w:t>
      </w:r>
    </w:p>
    <w:p w14:paraId="5E349319" w14:textId="77777777" w:rsidR="002028EF" w:rsidRPr="00640820" w:rsidRDefault="002028E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14 октября 1941 г.</w:t>
      </w:r>
    </w:p>
    <w:p w14:paraId="21FC05FE" w14:textId="77777777" w:rsidR="002028EF" w:rsidRPr="00640820" w:rsidRDefault="002028E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67гс. — Об использовании ВВ из неразорвавшихся авиабомб (особая папка).</w:t>
      </w:r>
    </w:p>
    <w:p w14:paraId="5C7EA7EE" w14:textId="77777777" w:rsidR="002028EF" w:rsidRPr="00640820" w:rsidRDefault="002028E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Обязать директора «Взрывпром» т. Орлова передать имеющееся и вновь поступающее количество ВВ из разряженных неразорвавшихся авиабомб Государственному институту прикладной химии.</w:t>
      </w:r>
    </w:p>
    <w:p w14:paraId="01FD3A52" w14:textId="77777777" w:rsidR="002028EF" w:rsidRPr="00640820" w:rsidRDefault="002028E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Обязать директора Института прикладной химии т. Трофимова организовать в институте переработку ВВ, полученного от «Взрывпрома» (сортировку, очистку) и изготовление смесей, соответствующих штатным ВВ, принятым на снаряжение боеприпасов.</w:t>
      </w:r>
    </w:p>
    <w:p w14:paraId="6AB2FBA2" w14:textId="77777777" w:rsidR="002028EF" w:rsidRPr="00640820" w:rsidRDefault="002028E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Разрешить ГИПХу занять часть помещений на территории завода Лит. «С» для переработки ВВ и хранения его с соблюдением установленного режима.</w:t>
      </w:r>
    </w:p>
    <w:p w14:paraId="6F6C5742" w14:textId="77777777" w:rsidR="002028EF" w:rsidRPr="00640820" w:rsidRDefault="002028E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Передачу ВВ из ГИПХа для снаряжения боеприпасов производить по особому указанию горкома ВКП(б).</w:t>
      </w:r>
    </w:p>
    <w:p w14:paraId="2A5C74EA" w14:textId="77777777" w:rsidR="002028EF" w:rsidRPr="00640820" w:rsidRDefault="002028E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Подписи — Кузнецов, Капустин, Никитин.</w:t>
      </w:r>
    </w:p>
    <w:p w14:paraId="37FE0B40" w14:textId="77777777" w:rsidR="002028EF" w:rsidRPr="00640820" w:rsidRDefault="002028E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ЦГАИПД СПб. Ф. 25. Оп. 2а. Д. 158. Л. 163. Бланк опросного голосования. Оригинал, машинопись. Подписи — автографы (19720).</w:t>
      </w:r>
    </w:p>
    <w:p w14:paraId="280272B7" w14:textId="77777777" w:rsidR="002028EF" w:rsidRPr="00640820" w:rsidRDefault="002028EF" w:rsidP="00640820">
      <w:pPr>
        <w:pStyle w:val="ae"/>
        <w:shd w:val="clear" w:color="auto" w:fill="FFFFFF"/>
        <w:spacing w:before="0" w:after="0"/>
        <w:jc w:val="both"/>
        <w:textAlignment w:val="baseline"/>
        <w:rPr>
          <w:color w:val="000000" w:themeColor="text1"/>
          <w:sz w:val="16"/>
          <w:szCs w:val="16"/>
        </w:rPr>
      </w:pPr>
    </w:p>
    <w:p w14:paraId="00F78F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октября 1941 лидер "Ленинград" поставлен на ремонт у стенки "Судомеха" вследствие повреждений от попадания снаряда калибра 203 мм, пробившего оба борта. Ремонт закончен 2 ноября (10671).</w:t>
      </w:r>
    </w:p>
    <w:p w14:paraId="344904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02F5B25"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63C88FE4"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0450036" w14:textId="77777777" w:rsidR="00C45D12" w:rsidRPr="00640820" w:rsidRDefault="00C45D12"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14 октября </w:t>
      </w:r>
      <w:r w:rsidRPr="00640820">
        <w:rPr>
          <w:rFonts w:ascii="Times New Roman" w:hAnsi="Times New Roman"/>
          <w:color w:val="000000" w:themeColor="text1"/>
          <w:sz w:val="16"/>
          <w:szCs w:val="16"/>
        </w:rPr>
        <w:t>в 1941 году утреннее сообщение Совинформбюро:</w:t>
      </w:r>
    </w:p>
    <w:p w14:paraId="1225DE0E" w14:textId="77777777" w:rsidR="00C45D12" w:rsidRPr="00640820" w:rsidRDefault="00C45D1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14 октября наши войска вели бои с противником на всём фронте и особенно напряжённые на Западном направлении.</w:t>
      </w:r>
    </w:p>
    <w:p w14:paraId="51C468AC" w14:textId="77777777" w:rsidR="00C45D12" w:rsidRPr="00640820" w:rsidRDefault="00C45D1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участков Северо-Западного направления фронта противник, предпринявший атаку против наших частей, в результате действий нашей артиллерии оставил на поле боя много убитых и раненых. За несколько дней боевых действий одна наша часть уничтожила 18 противотанковых орудий, несколько полевых орудий, 3 миномётных батареи, 22 пулемётных гнезда. Немцы потеряли убитыми не менее 1.500 и ранеными не менее 3.500 солдат и офицеров.</w:t>
      </w:r>
    </w:p>
    <w:p w14:paraId="76F0610D" w14:textId="77777777" w:rsidR="00C45D12" w:rsidRPr="00640820" w:rsidRDefault="00C45D1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Наша часть, действующая на подступах к Ленинграду, захватила 20 пулемётов, до ста автоматов и большое количество винтовок. Танковая рота младшего лейтенанта Яковых на одном из секторов Ленинградского участка фронта уничтожила 170 немецких солдат и офицеров и 14 противотанковых и полевых пушек.</w:t>
      </w:r>
    </w:p>
    <w:p w14:paraId="7EC8365E" w14:textId="77777777" w:rsidR="00C45D12" w:rsidRPr="00640820" w:rsidRDefault="00C45D1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Активно действовали на фронте наши самолёты и артиллерия. Группа лётчиков под командованием лейтенанта Родионова разбомбила вражеский аэродром, на котором сожжено 9 немецких самолётов. В результате успешных атак группы самолётов штурмовой авиации уничтожено несколько танков, свыше 120 немецких грузовых автомашин с пехотой и 10 цистерн с горючим.</w:t>
      </w:r>
    </w:p>
    <w:p w14:paraId="61DA9DB8" w14:textId="77777777" w:rsidR="00C45D12" w:rsidRPr="00640820" w:rsidRDefault="00C45D1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Юго-Западном направлении фронта наша авиация продолжает наносить удары по скоплениям вражеской пехоты, танковым колоннам, артиллерийским и миномётным батареям. Лётчики подразделения тов. Мироненко с бреющего полёта обстреляли пулемётным и пушечным огнем немецкие танки и кавалерию противника. В итоге налёта было уничтожено 15 танков, много автомашин и до эскадрона фашистских кавалеристов. Лётчики частей т.т. Белецкого и Ермаченко во время налётов на вражеские аэродромы разбомбили 12 «Мессершмиттов». В воздушном бою на одном из участков фронта сбито 4 немецких истребителя.</w:t>
      </w:r>
    </w:p>
    <w:p w14:paraId="1AE19980" w14:textId="77777777" w:rsidR="00C45D12" w:rsidRPr="00640820" w:rsidRDefault="00C45D1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Фашистские мерзавцы продолжают издеваться над мирным населением в захваченных германской армией районах. Заняв село Рубча, Орловской области, немцы потребовали от крестьянина Григория Ковалёва, чтобы он выдал сельский актив. Ковалёв отказался отвечать на вопросы. Тогда палачи подвергли его мучениям. Советский патриот умер, не выдав своих товарищей.</w:t>
      </w:r>
    </w:p>
    <w:p w14:paraId="5BCA8E6D" w14:textId="77777777" w:rsidR="00C45D12" w:rsidRPr="00640820" w:rsidRDefault="00C45D1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селе Мурачёвка колхозница Иванькова родила двух детей. На другой день после родов немецкие солдаты погнали тов. Иванькову на тяжёлую работу. Больная и неокрепшая колхозница еле передвигалась. К концу рабочего дня тов. Иванькова упала и отказалась работать. За отказ от работы фашистские звери расстреляли её. Оставшиеся без матери новорождённые умерли с голода.</w:t>
      </w:r>
    </w:p>
    <w:p w14:paraId="04C6DE04" w14:textId="77777777" w:rsidR="00C45D12" w:rsidRPr="00640820" w:rsidRDefault="00C45D1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Работники пищевой промышленности обеспечивают снабжение Красной Армии и всей страны важнейшими продуктами питания. По предварительным данным, предприятия мясной промышленности выполнили план третьего квартала на 105,3 процента. Мясных консервов произведено в шесть раз больше, чем в третьем квартале прошлого года. Петропавловский комбинат выполнил квартальный план на 127 процентов. Выработка брынзы в стране по сравнению с 1940 годом увеличилась почти вдвое.</w:t>
      </w:r>
    </w:p>
    <w:p w14:paraId="5C4000F0" w14:textId="77777777" w:rsidR="00C45D12" w:rsidRPr="00640820" w:rsidRDefault="00C45D1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1 октября добыто рыбы на 2.300.000 пудов больше, чем на это же число в прошлом году. План третьего квартала перевыполнили Волго-Каспийский, Урало-Каспийский, Азово-Черноморский и Крымский рыбопромышленные тресты. Рыбопромышленные предприятия Камчатки, Дагестанского и Охото-Аянского треста уже выполнили годовой план лова рыбы. Значительно перевыполняют планы лова рыбаки Севера, работающие в непосредственной близости к фронтовой полосе.» (14799).</w:t>
      </w:r>
    </w:p>
    <w:p w14:paraId="1E70EDF4" w14:textId="77777777" w:rsidR="00C45D12" w:rsidRPr="00640820" w:rsidRDefault="00C45D12" w:rsidP="00640820">
      <w:pPr>
        <w:spacing w:after="0" w:line="240" w:lineRule="auto"/>
        <w:jc w:val="both"/>
        <w:rPr>
          <w:rFonts w:ascii="Times New Roman" w:hAnsi="Times New Roman"/>
          <w:color w:val="000000" w:themeColor="text1"/>
          <w:sz w:val="16"/>
          <w:szCs w:val="16"/>
        </w:rPr>
      </w:pPr>
    </w:p>
    <w:p w14:paraId="6D65594B" w14:textId="77777777" w:rsidR="00C45D12" w:rsidRPr="00640820" w:rsidRDefault="00C45D12"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14 октября </w:t>
      </w:r>
      <w:r w:rsidRPr="00640820">
        <w:rPr>
          <w:rFonts w:ascii="Times New Roman" w:hAnsi="Times New Roman"/>
          <w:color w:val="000000" w:themeColor="text1"/>
          <w:sz w:val="16"/>
          <w:szCs w:val="16"/>
        </w:rPr>
        <w:t>в 1941 году вечернее сообщение Совинформбюро:</w:t>
      </w:r>
    </w:p>
    <w:p w14:paraId="641F802A" w14:textId="77777777" w:rsidR="00C45D12" w:rsidRPr="00640820" w:rsidRDefault="00C45D1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течение 14 октября наши войска вели бои с противником на всём фронте и особенно ожесточённые на Вяземском, Брянском и Калининском направлениях. После ожесточённых боёв наши войска оставили город Мариуполь.</w:t>
      </w:r>
    </w:p>
    <w:p w14:paraId="2784B715" w14:textId="77777777" w:rsidR="00C45D12" w:rsidRPr="00640820" w:rsidRDefault="00C45D1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12 октября уничтожено 89 немецких самолётов, из них 27 в воздушных боях и 62 на аэродромах противника. Наши потери — 23 самолёта.</w:t>
      </w:r>
    </w:p>
    <w:p w14:paraId="297062B8" w14:textId="77777777" w:rsidR="00C45D12" w:rsidRPr="00640820" w:rsidRDefault="00C45D1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14 октября под Москвой сбито 8 немецких самолётов.</w:t>
      </w:r>
    </w:p>
    <w:p w14:paraId="5787E843" w14:textId="77777777" w:rsidR="00C45D12" w:rsidRPr="00640820" w:rsidRDefault="00C45D1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Западном направлении фронта наши войска продолжают оказывать упорное сопротивление наступающему противнику. В течение дня на ряде участков немцы предпринимали многократные попытки вклиниться в глубину нашей обороны, не считаясь с потерями. В противотанковых рвах и на подступах к линии нашей обороны валяются тысячи трупов немецких солдат, разбитые танки, автомашины и мотоциклы. Наши части, противодействуя натиску фашистских войск, проявляют исключительное мужество и храбрость.</w:t>
      </w:r>
    </w:p>
    <w:p w14:paraId="13E62DC1" w14:textId="77777777" w:rsidR="00C45D12" w:rsidRPr="00640820" w:rsidRDefault="00C45D1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прорыва одного из секторов нашей обороны противник бросил 28 танков, 200 мотоциклистов и полк пехоты. Наша часть встретила танки огнём из противотанковых пушек и крупнокалиберных пулемётов. 9 танков были подбиты ещё до подхода к нашим окопам, остальные частью были уничтожены бутылками с горючей жидкостью и противотанковыми гранатами, частью повернули обратно. Пехота противника, пытавшаяся наступать за танками, попала под миномётный и пулемётный огонь и понесла большие потери. На поле боя осталось больше 700 трупов немецких солдат и офицеров. В течение всего боя действия наших наземных войск активно поддерживала авиация. Штурмовые и бомбардировочные подразделения непрерывно совершали налёты на резервы врага и его склады с боеприпасами. Наши штурмовики нанесли ряд ударов по механизированным силам противника и его артиллерии.</w:t>
      </w:r>
    </w:p>
    <w:p w14:paraId="00760FAC" w14:textId="77777777" w:rsidR="00C45D12" w:rsidRPr="00640820" w:rsidRDefault="00C45D1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14 октября немцы на Западном направлении фронта потеряли убитыми и ранеными не менее 13.000 солдат и офицеров.</w:t>
      </w:r>
    </w:p>
    <w:p w14:paraId="4C43E2B2" w14:textId="77777777" w:rsidR="00C45D12" w:rsidRPr="00640820" w:rsidRDefault="00C45D1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месяце несколько партизанских отрядов, действующих в одном из захваченных немцами районов Ленинградской области, уничтожили 6 фашистских танков, 95 автомашин и автоцистерн, 32 повозки с боеприпасами и продовольствием. Партизаны взорвали 3 склада с боеприпасами, 9 железнодорожных и 10 шоссейных мостов. В этих операциях убито больше 500 немецких солдат и офицеров.</w:t>
      </w:r>
    </w:p>
    <w:p w14:paraId="635C9CC2" w14:textId="77777777" w:rsidR="00C45D12" w:rsidRPr="00640820" w:rsidRDefault="00C45D1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Отряд под командованием тов. Ф. совершил за эти дни четыре налёта на небольшие колонны вражеской мотопехоты и истребил 58 фашистов. Группа бойцов во главе с тов. Ш. обнаружила в лесу телефонные провода. Тщательно маскируясь, партизаны пошли вдоль проводов в глубь леса и в 5 километрах от дороги обнаружили в домике лесника штаб немецкой части. Ночью отряд напал на штаб. Застигнутые врасплох 7 офицеров и 18 солдат были уничтожены. Партизаны уничтожили две грузовые и 2 легковые автомашины, радиотелефонную станцию, захватили ручной пулемёт, 6 автоматов, винтовки, пистолеты и много патронов.</w:t>
      </w:r>
    </w:p>
    <w:p w14:paraId="72F69876" w14:textId="77777777" w:rsidR="00C45D12" w:rsidRPr="00640820" w:rsidRDefault="00C45D1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участков Юго-Западного направления фронта наши зенитчики сбили румынский разведывательный самолёт. Лётчик младший лейтенант Александр Косма взят в плен. До призыва в румынскую армию Косна был чиновником ведомства воздушного флота. На допросе пленный лётчик сообщил следующее: «За время войны против СССР румынская авиация потеряла не менее половины своих самолётов. Особенно много самолётов потеряно под Одессой. Недавно там был убит командир 1-й флотилии истребительной авиации полковник Папиштяну».</w:t>
      </w:r>
    </w:p>
    <w:p w14:paraId="7943ECD6" w14:textId="77777777" w:rsidR="00C45D12" w:rsidRPr="00640820" w:rsidRDefault="00C45D1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Румынии продолжаются диверсионные акты, в результате которых выбывают из строя заводские цеха, склады и отдельные участки дорог. В городах Базиаш и Оршова недавно сгорели крупные склады с продовольствием для Германии. В начале октября недалеко от города Корабия на Дунае румынские антифашисты потопили баржу с мукой и кукурузой для германской армии. В печать проникли сведения о большом пожаре на электростанции в Яссах. Огнём сильно повреждено машинное отделение. В этом же городе сгорел военный продовольственный склад. Частые крушения на линиях железных дорог срывают перевозку воинских грузов для румынской армии. Охранка установила специальных наблюдателей за состоянием полотна железной дороги, но это ни к чему не привело. Количество аварий не сократилось.» (14799).</w:t>
      </w:r>
    </w:p>
    <w:p w14:paraId="3DE1C541" w14:textId="77777777" w:rsidR="00C45D12" w:rsidRPr="00640820" w:rsidRDefault="00C45D12" w:rsidP="00640820">
      <w:pPr>
        <w:spacing w:after="0" w:line="240" w:lineRule="auto"/>
        <w:jc w:val="both"/>
        <w:rPr>
          <w:rFonts w:ascii="Times New Roman" w:hAnsi="Times New Roman"/>
          <w:color w:val="000000" w:themeColor="text1"/>
          <w:sz w:val="16"/>
          <w:szCs w:val="16"/>
        </w:rPr>
      </w:pPr>
    </w:p>
    <w:p w14:paraId="19591D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14 октября 1941 6 Ил-2 из 243-го </w:t>
      </w:r>
      <w:r w:rsidRPr="00640820">
        <w:rPr>
          <w:rFonts w:ascii="Times New Roman" w:hAnsi="Times New Roman"/>
          <w:iCs/>
          <w:color w:val="000000" w:themeColor="text1"/>
          <w:sz w:val="16"/>
          <w:szCs w:val="16"/>
        </w:rPr>
        <w:t>шап</w:t>
      </w:r>
      <w:r w:rsidRPr="00640820">
        <w:rPr>
          <w:rFonts w:ascii="Times New Roman" w:hAnsi="Times New Roman"/>
          <w:color w:val="000000" w:themeColor="text1"/>
          <w:sz w:val="16"/>
          <w:szCs w:val="16"/>
        </w:rPr>
        <w:t xml:space="preserve"> в период 9.47-11.20 атаковали немецкие мотомехчасти на участке Юхнов-Малоярославец и обозы в районе дёр. Карманово. В результате ударов было унич</w:t>
      </w:r>
      <w:r w:rsidRPr="00640820">
        <w:rPr>
          <w:rFonts w:ascii="Times New Roman" w:hAnsi="Times New Roman"/>
          <w:color w:val="000000" w:themeColor="text1"/>
          <w:sz w:val="16"/>
          <w:szCs w:val="16"/>
        </w:rPr>
        <w:softHyphen/>
        <w:t>тожено до 15 автомашин. Из боевого вылета не вернулись мл. л-т Пуртов, л-т Галкин и с-т Лахурин (6467).</w:t>
      </w:r>
    </w:p>
    <w:p w14:paraId="0AD3CE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AA363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октября 1941 звено Ил-2 из вновь при</w:t>
      </w:r>
      <w:r w:rsidRPr="00640820">
        <w:rPr>
          <w:rFonts w:ascii="Times New Roman" w:hAnsi="Times New Roman"/>
          <w:color w:val="000000" w:themeColor="text1"/>
          <w:sz w:val="16"/>
          <w:szCs w:val="16"/>
        </w:rPr>
        <w:softHyphen/>
        <w:t xml:space="preserve">бывшего в состав 77-й авиадивизии 237-го </w:t>
      </w:r>
      <w:r w:rsidRPr="00640820">
        <w:rPr>
          <w:rFonts w:ascii="Times New Roman" w:hAnsi="Times New Roman"/>
          <w:iCs/>
          <w:color w:val="000000" w:themeColor="text1"/>
          <w:sz w:val="16"/>
          <w:szCs w:val="16"/>
        </w:rPr>
        <w:t>шап</w:t>
      </w:r>
      <w:r w:rsidRPr="00640820">
        <w:rPr>
          <w:rFonts w:ascii="Times New Roman" w:hAnsi="Times New Roman"/>
          <w:color w:val="000000" w:themeColor="text1"/>
          <w:sz w:val="16"/>
          <w:szCs w:val="16"/>
        </w:rPr>
        <w:t xml:space="preserve"> (ведущий л-т А.Н.Петров) штурмовала колонну пехоты и техники на дороге Устье-Карамышево. Несмот</w:t>
      </w:r>
      <w:r w:rsidRPr="00640820">
        <w:rPr>
          <w:rFonts w:ascii="Times New Roman" w:hAnsi="Times New Roman"/>
          <w:color w:val="000000" w:themeColor="text1"/>
          <w:sz w:val="16"/>
          <w:szCs w:val="16"/>
        </w:rPr>
        <w:softHyphen/>
        <w:t>ря на сильный снегопад (видимость 50 м), летчикам удалось в двух заходах унич</w:t>
      </w:r>
      <w:r w:rsidRPr="00640820">
        <w:rPr>
          <w:rFonts w:ascii="Times New Roman" w:hAnsi="Times New Roman"/>
          <w:color w:val="000000" w:themeColor="text1"/>
          <w:sz w:val="16"/>
          <w:szCs w:val="16"/>
        </w:rPr>
        <w:softHyphen/>
        <w:t>тожить до 10 немецких автомашин. В этот же день звено ст.л-та Азаренкова вы</w:t>
      </w:r>
      <w:r w:rsidRPr="00640820">
        <w:rPr>
          <w:rFonts w:ascii="Times New Roman" w:hAnsi="Times New Roman"/>
          <w:color w:val="000000" w:themeColor="text1"/>
          <w:sz w:val="16"/>
          <w:szCs w:val="16"/>
        </w:rPr>
        <w:softHyphen/>
        <w:t>полнило боевой вылет для нанесения бомбоштурмового удара по войскам противника в районе Юхнов-Калуга. Над целью огнем МЗА был подбит Ил-2 мл.л-та Г.Я.Цыганкова. Сам Цыганков был ранен, однако сумел посадить штурмо</w:t>
      </w:r>
      <w:r w:rsidRPr="00640820">
        <w:rPr>
          <w:rFonts w:ascii="Times New Roman" w:hAnsi="Times New Roman"/>
          <w:color w:val="000000" w:themeColor="text1"/>
          <w:sz w:val="16"/>
          <w:szCs w:val="16"/>
        </w:rPr>
        <w:softHyphen/>
        <w:t>вик на лес и через 5 суток выйти к своим (6467).</w:t>
      </w:r>
    </w:p>
    <w:p w14:paraId="693488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A063F4D" w14:textId="77777777" w:rsidR="00216F30" w:rsidRPr="00640820" w:rsidRDefault="00216F3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До 14 октября 1941 г. 237</w:t>
      </w:r>
      <w:r w:rsidRPr="00640820">
        <w:rPr>
          <w:rFonts w:ascii="Times New Roman" w:hAnsi="Times New Roman"/>
          <w:color w:val="0070C0"/>
          <w:sz w:val="16"/>
          <w:szCs w:val="16"/>
        </w:rPr>
        <w:noBreakHyphen/>
        <w:t>й шап продолжал действовать в составе 60</w:t>
      </w:r>
      <w:r w:rsidRPr="00640820">
        <w:rPr>
          <w:rFonts w:ascii="Times New Roman" w:hAnsi="Times New Roman"/>
          <w:color w:val="0070C0"/>
          <w:sz w:val="16"/>
          <w:szCs w:val="16"/>
        </w:rPr>
        <w:noBreakHyphen/>
        <w:t>й сад Брянского фронта, а затем его передали в ВВС Западного фронта – в 77</w:t>
      </w:r>
      <w:r w:rsidRPr="00640820">
        <w:rPr>
          <w:rFonts w:ascii="Times New Roman" w:hAnsi="Times New Roman"/>
          <w:color w:val="0070C0"/>
          <w:sz w:val="16"/>
          <w:szCs w:val="16"/>
        </w:rPr>
        <w:noBreakHyphen/>
        <w:t>ю сад полковника И.Д. Антошкина. Полк выполнял боевые вылеты против наступавших на Москву частей вермахта, в течение шести дней – с 15 по 20 октября – потерял тринадцать Ил</w:t>
      </w:r>
      <w:r w:rsidRPr="00640820">
        <w:rPr>
          <w:rFonts w:ascii="Times New Roman" w:hAnsi="Times New Roman"/>
          <w:color w:val="0070C0"/>
          <w:sz w:val="16"/>
          <w:szCs w:val="16"/>
        </w:rPr>
        <w:noBreakHyphen/>
        <w:t>2 вместе с пилотами.</w:t>
      </w:r>
    </w:p>
    <w:p w14:paraId="6CB74EFA" w14:textId="77777777" w:rsidR="00216F30" w:rsidRPr="00640820" w:rsidRDefault="00216F3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Ложечников продолжал командовать полком, а затем 24 мая 1942 г. в звании подполковника был назначен командиром вновь сформированной 227</w:t>
      </w:r>
      <w:r w:rsidRPr="00640820">
        <w:rPr>
          <w:rFonts w:ascii="Times New Roman" w:hAnsi="Times New Roman"/>
          <w:color w:val="0070C0"/>
          <w:sz w:val="16"/>
          <w:szCs w:val="16"/>
        </w:rPr>
        <w:noBreakHyphen/>
        <w:t>й шад. В нее первоначально вошли четыре полка – 61, 241, 525 и 567</w:t>
      </w:r>
      <w:r w:rsidRPr="00640820">
        <w:rPr>
          <w:rFonts w:ascii="Times New Roman" w:hAnsi="Times New Roman"/>
          <w:color w:val="0070C0"/>
          <w:sz w:val="16"/>
          <w:szCs w:val="16"/>
        </w:rPr>
        <w:noBreakHyphen/>
        <w:t>й шап. Прибыв на фронт, дивизия вошла в состав 2</w:t>
      </w:r>
      <w:r w:rsidRPr="00640820">
        <w:rPr>
          <w:rFonts w:ascii="Times New Roman" w:hAnsi="Times New Roman"/>
          <w:color w:val="0070C0"/>
          <w:sz w:val="16"/>
          <w:szCs w:val="16"/>
        </w:rPr>
        <w:noBreakHyphen/>
        <w:t>й воздушной армии. В конце декабря 1943 г. – начале января 1944 г. пилоты 227</w:t>
      </w:r>
      <w:r w:rsidRPr="00640820">
        <w:rPr>
          <w:rFonts w:ascii="Times New Roman" w:hAnsi="Times New Roman"/>
          <w:color w:val="0070C0"/>
          <w:sz w:val="16"/>
          <w:szCs w:val="16"/>
        </w:rPr>
        <w:noBreakHyphen/>
        <w:t>й шад особо отличились при освобождении украинского города Бердичев, за что дивизии было присвоено почетное наименование «Бердичевская».</w:t>
      </w:r>
    </w:p>
    <w:p w14:paraId="4F5DBD23" w14:textId="77777777" w:rsidR="00216F30" w:rsidRPr="00640820" w:rsidRDefault="00216F3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 3 июня по 25 сентября 1944 г. полковник Ложечников командовал 189</w:t>
      </w:r>
      <w:r w:rsidRPr="00640820">
        <w:rPr>
          <w:rFonts w:ascii="Times New Roman" w:hAnsi="Times New Roman"/>
          <w:color w:val="0070C0"/>
          <w:sz w:val="16"/>
          <w:szCs w:val="16"/>
        </w:rPr>
        <w:noBreakHyphen/>
        <w:t>й шад, которая действовала в составе 17</w:t>
      </w:r>
      <w:r w:rsidRPr="00640820">
        <w:rPr>
          <w:rFonts w:ascii="Times New Roman" w:hAnsi="Times New Roman"/>
          <w:color w:val="0070C0"/>
          <w:sz w:val="16"/>
          <w:szCs w:val="16"/>
        </w:rPr>
        <w:noBreakHyphen/>
        <w:t>й воздушной армии на 3</w:t>
      </w:r>
      <w:r w:rsidRPr="00640820">
        <w:rPr>
          <w:rFonts w:ascii="Times New Roman" w:hAnsi="Times New Roman"/>
          <w:color w:val="0070C0"/>
          <w:sz w:val="16"/>
          <w:szCs w:val="16"/>
        </w:rPr>
        <w:noBreakHyphen/>
        <w:t>м Украинском фронте. После окончания войны он недолго оставался на военной службе и в августе 1945 г. в возрасте 37 лет был уволен в запас (23199).</w:t>
      </w:r>
    </w:p>
    <w:p w14:paraId="5A2DCC58" w14:textId="77777777" w:rsidR="00216F30" w:rsidRPr="00640820" w:rsidRDefault="00216F30" w:rsidP="00640820">
      <w:pPr>
        <w:spacing w:after="0" w:line="240" w:lineRule="auto"/>
        <w:jc w:val="both"/>
        <w:rPr>
          <w:rFonts w:ascii="Times New Roman" w:hAnsi="Times New Roman"/>
          <w:color w:val="0070C0"/>
          <w:sz w:val="16"/>
          <w:szCs w:val="16"/>
        </w:rPr>
      </w:pPr>
    </w:p>
    <w:p w14:paraId="1F6BDC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октября 1941 тройка Ер-2 420 дбап (один из самолетов пилотировал Молодчий) атаковала большую немецкую колонну на дороге Микулино-Калинин. Освободившись от бомб, самолеты снизились и обстреляли врага из пулеметов. На обочинах осталась догорать дюжина грузовиков (3322,21).</w:t>
      </w:r>
    </w:p>
    <w:p w14:paraId="07EDF5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EFE25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октября 1941 21-я танковая бригада, имевшая на вооружение Т-34-57, выгрузилась в районе ст. Демидове и на следующий день получила приказ наступать по маршруту Турчиново-Пушкино-Трояново с целью нанесения удара во фланг Калининской группировки немецких войск. Особенно в данных боях отличился старший политрук Гмыря, танк которого вышел из района Турчиново на Волоколамское шоссе в момент, когда по нему двигалась большая колонна немецких автомобилей с войсками. Уничтожив колонну, длиной около 2-3 км, танк ворвался на немецкий аэродром, где расстрелял из орудия тяжелый бомбардировщик. Затем огнем орудий противника и самолетов танк был подбит, но политрук Гмыря и сержант Ищенко с боем вышли к своим войскам. За 4 дня боев бригада уничтожила 3 штаба, до 1000 солдат, 34 танка, 210 автомашин, 25 противотанковых орудия, 6 "термитных орудий" и др. В боях погиб командир танкового полка бригады Герой Советского Союза майор Лукин и командир 1-го батальона, Герой Советского Союза, капитан Агибалов. К 25 ноября все "танки-истребители" в бригаде были потеряны (3862).</w:t>
      </w:r>
    </w:p>
    <w:p w14:paraId="06EB06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151D2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октября 1941 немецкие войска ликвидировали Вяземский котел и взяли в плен 663 тыс. чел. (3481).</w:t>
      </w:r>
    </w:p>
    <w:p w14:paraId="3B04F0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798ED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октября 1941 немцы захватили Калинин (575,12). Немцы пытались наступать на Торжок, но были остановлены контрударом при активной поддержке авиации З, СЗФ и ДБА, которые выполнили 1500 вылетов. Особенно активна была авиация на дорогах южнее Калинина. И блокировав аэродром уничтожили на нем 40 самолетов. К концу октября немецкое наступление на этом направлении выдохлось (341,69).</w:t>
      </w:r>
    </w:p>
    <w:p w14:paraId="50DD55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63503B6" w14:textId="77777777" w:rsidR="00C45D12" w:rsidRPr="00640820" w:rsidRDefault="00C45D12"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14 октября </w:t>
      </w:r>
      <w:r w:rsidRPr="00640820">
        <w:rPr>
          <w:rFonts w:ascii="Times New Roman" w:hAnsi="Times New Roman"/>
          <w:color w:val="000000" w:themeColor="text1"/>
          <w:sz w:val="16"/>
          <w:szCs w:val="16"/>
        </w:rPr>
        <w:t>в 1941 году немецкими войсками захвачены Калинин и Ржев. В районе Калинина передовые немецкие части сумели захватить неповрежденными несколько стратегически важных мостов через Волгу. Несмотря на то, что все авиаполки, имевшиеся под рукой у командования ВВС Западного фронта, получили задачу разрушить с воздуха мосты и сорвать дальнейшее продвижение противника, задача не была выполнена и мосты остались целы (14799).</w:t>
      </w:r>
    </w:p>
    <w:p w14:paraId="4ADC4EEF" w14:textId="77777777" w:rsidR="00C45D12" w:rsidRPr="00640820" w:rsidRDefault="00C45D12" w:rsidP="00640820">
      <w:pPr>
        <w:spacing w:after="0" w:line="240" w:lineRule="auto"/>
        <w:jc w:val="both"/>
        <w:rPr>
          <w:rFonts w:ascii="Times New Roman" w:hAnsi="Times New Roman"/>
          <w:color w:val="000000" w:themeColor="text1"/>
          <w:sz w:val="16"/>
          <w:szCs w:val="16"/>
        </w:rPr>
      </w:pPr>
    </w:p>
    <w:p w14:paraId="00CCFD4C" w14:textId="77777777" w:rsidR="00C45D12" w:rsidRPr="00640820" w:rsidRDefault="00C45D12"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14 октября </w:t>
      </w:r>
      <w:r w:rsidRPr="00640820">
        <w:rPr>
          <w:rFonts w:ascii="Times New Roman" w:hAnsi="Times New Roman"/>
          <w:color w:val="000000" w:themeColor="text1"/>
          <w:sz w:val="16"/>
          <w:szCs w:val="16"/>
        </w:rPr>
        <w:t>в 1941 году советские войска, окружённые западнее Вязьмы капитулировали (663 тысячи пленных по немецким данным) (14799).</w:t>
      </w:r>
    </w:p>
    <w:p w14:paraId="531DF140" w14:textId="77777777" w:rsidR="00C45D12" w:rsidRPr="00640820" w:rsidRDefault="00C45D12" w:rsidP="00640820">
      <w:pPr>
        <w:spacing w:after="0" w:line="240" w:lineRule="auto"/>
        <w:jc w:val="both"/>
        <w:rPr>
          <w:rFonts w:ascii="Times New Roman" w:hAnsi="Times New Roman"/>
          <w:color w:val="000000" w:themeColor="text1"/>
          <w:sz w:val="16"/>
          <w:szCs w:val="16"/>
        </w:rPr>
      </w:pPr>
    </w:p>
    <w:p w14:paraId="3EBCF746" w14:textId="77777777" w:rsidR="00C45D12" w:rsidRPr="00640820" w:rsidRDefault="00C45D12"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14 октября </w:t>
      </w:r>
      <w:r w:rsidRPr="00640820">
        <w:rPr>
          <w:rFonts w:ascii="Times New Roman" w:hAnsi="Times New Roman"/>
          <w:color w:val="000000" w:themeColor="text1"/>
          <w:sz w:val="16"/>
          <w:szCs w:val="16"/>
        </w:rPr>
        <w:t>в 1941 году на можайском направлении немецко-фашистские войска перешли в наступление (14799).</w:t>
      </w:r>
    </w:p>
    <w:p w14:paraId="72670142" w14:textId="77777777" w:rsidR="00C45D12" w:rsidRPr="00640820" w:rsidRDefault="00C45D12" w:rsidP="00640820">
      <w:pPr>
        <w:spacing w:after="0" w:line="240" w:lineRule="auto"/>
        <w:jc w:val="both"/>
        <w:rPr>
          <w:rFonts w:ascii="Times New Roman" w:hAnsi="Times New Roman"/>
          <w:color w:val="000000" w:themeColor="text1"/>
          <w:sz w:val="16"/>
          <w:szCs w:val="16"/>
        </w:rPr>
      </w:pPr>
    </w:p>
    <w:p w14:paraId="74A830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октября 1941 начались оборонительные бои непосредственно на Можайском направлении. К концу октября 5А при поддержке авиации остановили наступление к концу октября. Авиация выполнила 3100 вылетов, из них 40% на уничтожение войск в районах Гжатска, Михайловское, Верея. особенно эффективной была штурмовая авиация (341,71).</w:t>
      </w:r>
    </w:p>
    <w:p w14:paraId="7349F0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6AD40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октября 1941 вышел приказ командующего МВО "Вокруг Москвы создать оборонительный рубеж по линии: Ростокино, Лихоборы, Коптево, Химки, Иваньково, Щукино, Петтех, Кунцево, Матвеевское... Срок окончания работ - 24 октября (1836,126).</w:t>
      </w:r>
    </w:p>
    <w:p w14:paraId="6F9E4D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700D1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октября 1941 немцы были в 60 км от Москвы (2238,8).</w:t>
      </w:r>
    </w:p>
    <w:p w14:paraId="6564EF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C3E56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lastRenderedPageBreak/>
        <w:t>October 14, 1941: German troops capture Rshev, 100 miles W of Moscow (3819).</w:t>
      </w:r>
    </w:p>
    <w:p w14:paraId="2E934A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6393C0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октября 1941 немецкие части захватили Ржев (3819).</w:t>
      </w:r>
    </w:p>
    <w:p w14:paraId="363CA8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02337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октября 1941 вышло Постановление ГКО № 795 О формировании стрелковых дивизий. РГАНИР, Фонд ГКО, д. 12, лл. 143 (11012).</w:t>
      </w:r>
    </w:p>
    <w:p w14:paraId="721325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387CB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октября 1941 вышло Постановление ГКО № 796 О формировании стрелковых бригаРГАНИР, Фонд ГКО, д. РГАНИР, Фонд ГКО, д. 12, лл. 144 (11012).</w:t>
      </w:r>
    </w:p>
    <w:p w14:paraId="6B96FE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ABF06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октября 1941 НКВМФ Н.Г.Кузнецов выпустил директиву N ЗН/568 о запрещении действий торпедоносной авиации в Болгарских терводах (2120).</w:t>
      </w:r>
    </w:p>
    <w:p w14:paraId="2D6236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BC08EC1"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15314986"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EDE51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октября 1941 “Красная Звезда” впервые опубликовала лозунг “Не забудем Не простим” (4962).</w:t>
      </w:r>
    </w:p>
    <w:p w14:paraId="51DB22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EC195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октября 1941 решили эвакуировать из Москвы все, что не было жизненно необходимым для войны: дипломатический корпус, большую часть аппаратов наркоматов, Коминтерн, наиболее ценные заводы (2070,41).</w:t>
      </w:r>
    </w:p>
    <w:p w14:paraId="439098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D28FAEA" w14:textId="77777777" w:rsidR="00C45D12" w:rsidRPr="00640820" w:rsidRDefault="00C45D12"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14 октября </w:t>
      </w:r>
      <w:r w:rsidRPr="00640820">
        <w:rPr>
          <w:rFonts w:ascii="Times New Roman" w:hAnsi="Times New Roman"/>
          <w:color w:val="000000" w:themeColor="text1"/>
          <w:sz w:val="16"/>
          <w:szCs w:val="16"/>
        </w:rPr>
        <w:t>в 1941 году из Москвы в Ульяновск эвакуируют руководство Русской Православной Церкви (14799).</w:t>
      </w:r>
    </w:p>
    <w:p w14:paraId="482E9D14" w14:textId="77777777" w:rsidR="00C45D12" w:rsidRPr="00640820" w:rsidRDefault="00C45D12" w:rsidP="00640820">
      <w:pPr>
        <w:spacing w:after="0" w:line="240" w:lineRule="auto"/>
        <w:jc w:val="both"/>
        <w:rPr>
          <w:rFonts w:ascii="Times New Roman" w:hAnsi="Times New Roman"/>
          <w:color w:val="000000" w:themeColor="text1"/>
          <w:sz w:val="16"/>
          <w:szCs w:val="16"/>
        </w:rPr>
      </w:pPr>
    </w:p>
    <w:p w14:paraId="3F4CD957" w14:textId="77777777" w:rsidR="00C45D12"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023AA69E" w14:textId="77777777" w:rsidR="00C45D12" w:rsidRPr="00640820" w:rsidRDefault="00C45D12"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F169DDE" w14:textId="77777777" w:rsidR="00C45D12" w:rsidRPr="00640820" w:rsidRDefault="00C45D12"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14 октября </w:t>
      </w:r>
      <w:r w:rsidRPr="00640820">
        <w:rPr>
          <w:rFonts w:ascii="Times New Roman" w:hAnsi="Times New Roman"/>
          <w:color w:val="000000" w:themeColor="text1"/>
          <w:sz w:val="16"/>
          <w:szCs w:val="16"/>
        </w:rPr>
        <w:t>в 1941 году принято решение об эвакуации из Москвы дипломатического корпуса, аппаратов наркоматов, Коминтерна (14799).</w:t>
      </w:r>
    </w:p>
    <w:p w14:paraId="41B31668" w14:textId="77777777" w:rsidR="00C45D12" w:rsidRPr="00640820" w:rsidRDefault="00C45D12" w:rsidP="00640820">
      <w:pPr>
        <w:spacing w:after="0" w:line="240" w:lineRule="auto"/>
        <w:jc w:val="both"/>
        <w:rPr>
          <w:rFonts w:ascii="Times New Roman" w:hAnsi="Times New Roman"/>
          <w:color w:val="000000" w:themeColor="text1"/>
          <w:sz w:val="16"/>
          <w:szCs w:val="16"/>
        </w:rPr>
      </w:pPr>
    </w:p>
    <w:p w14:paraId="0E6F6C93"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63A5003E"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C07373E" w14:textId="77777777" w:rsidR="008A6EEB" w:rsidRPr="00640820" w:rsidRDefault="008A6EEB" w:rsidP="00640820">
      <w:pPr>
        <w:shd w:val="clear" w:color="auto" w:fill="FFFFFF"/>
        <w:spacing w:after="0" w:line="240" w:lineRule="auto"/>
        <w:jc w:val="both"/>
        <w:rPr>
          <w:rFonts w:ascii="Times New Roman" w:eastAsia="Times New Roman" w:hAnsi="Times New Roman"/>
          <w:bCs/>
          <w:color w:val="000000" w:themeColor="text1"/>
          <w:sz w:val="16"/>
          <w:szCs w:val="16"/>
          <w:lang w:eastAsia="ru-RU"/>
        </w:rPr>
      </w:pPr>
      <w:r w:rsidRPr="00640820">
        <w:rPr>
          <w:rFonts w:ascii="Times New Roman" w:eastAsia="Times New Roman" w:hAnsi="Times New Roman"/>
          <w:bCs/>
          <w:color w:val="000000" w:themeColor="text1"/>
          <w:sz w:val="16"/>
          <w:szCs w:val="16"/>
          <w:lang w:eastAsia="ru-RU"/>
        </w:rPr>
        <w:t>До 15 октября 1941 года, т.е. до начала эвакуации, Подольский завод № 125 выпускал в сутки четырнадцать бронекорпусов для танков Т-40 и пятнадцать бронекорпусов фюзеляжей для штурмовиков ИЛ-2. В ночь с 15 на 16 октября 1941 года началась эвакуация завода в Свердловск (ныне Екатеринбург). К 1 ноября 1941 года завод был почти полностью вывезен из Подольска. В 1942 году возвратившийся из эвакуации Подольский завод не мог использовать всю свою прежнюю территорию. На них Наркомат тяжелого машиностроения разместил эвакуированный в июле 1942 году из Таганрога завод «Красный котельщик». Таким образом, на площадях Подольского машиностроительного завода имени Орджоникидзе действовали в годы войны два совершенно независимых друг от друга предприятия, выполнявших принципиально разные задачи. В феврале 1944 года на производственных площадях Подольского завода разместилось еще одно предприятие, эвакуированное из Бердянска. Здесь, в Подмосковном городе, оно выпускало раскройно-заготовительное оборудование — гильотинные ножницы для механической резки металла, стружкодробильные устройства (19584).</w:t>
      </w:r>
    </w:p>
    <w:p w14:paraId="4BDF34DE" w14:textId="77777777" w:rsidR="008A6EEB" w:rsidRPr="00640820" w:rsidRDefault="008A6EEB" w:rsidP="00640820">
      <w:pPr>
        <w:spacing w:after="0" w:line="240" w:lineRule="auto"/>
        <w:jc w:val="both"/>
        <w:rPr>
          <w:rFonts w:ascii="Times New Roman" w:hAnsi="Times New Roman"/>
          <w:color w:val="000000" w:themeColor="text1"/>
          <w:sz w:val="16"/>
          <w:szCs w:val="16"/>
        </w:rPr>
      </w:pPr>
    </w:p>
    <w:p w14:paraId="4CFBFF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октября 1941 В.Н.Савкин выполнил первый полет на ДИС-200Т с М-82 (563,24).</w:t>
      </w:r>
    </w:p>
    <w:p w14:paraId="7A7F8C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A3E6A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кратком отчете Кутепова о состоянии проектирования и постройки опытных самолетов в ЦКБ-29 на заводе 166 на 15 октября 1941 сообщалось, что после эвакуации, прервавшей работу, сборка 102 могла быть завершена через месяц, а 110 - к середине января 1942</w:t>
      </w:r>
    </w:p>
    <w:p w14:paraId="178CC7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октября 1941 года приказом НКАП № 1072, завод № 293, не законченный строительством второй очереди, был эвакуировался в пос. Билимбай Свердловской области (9360).</w:t>
      </w:r>
    </w:p>
    <w:p w14:paraId="0ED22C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FF37E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октября 1941 И.Л.Карташов пытался перегнать первый экз. КЦ-2, но разбил его из-за отсутствия балансировочного груза в носу и погиб (94,76).</w:t>
      </w:r>
    </w:p>
    <w:p w14:paraId="2B4AA0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8EF6D42" w14:textId="77777777" w:rsidR="008A6EEB" w:rsidRPr="00640820" w:rsidRDefault="008A6EEB"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15 октября 1941 планер КЦ, пилотируемый И. Л. Карташёвым, разбился, а пилот погиб. При разбеге КЦ резко пошёл вверх, и самолёт-буксировщик, чтобы не разбиться из-за поднимающегося хвоста, отцепил планер, и тот потерял скорость, свалился на хвост и разбился. Катастрофа произошла из-за того, что забыли установить балансировочный груз в нос планера (19191).</w:t>
      </w:r>
    </w:p>
    <w:p w14:paraId="443F5C6F" w14:textId="77777777" w:rsidR="008A6EEB" w:rsidRPr="00640820" w:rsidRDefault="008A6EEB" w:rsidP="00640820">
      <w:pPr>
        <w:pStyle w:val="ae"/>
        <w:shd w:val="clear" w:color="auto" w:fill="FFFFFF"/>
        <w:spacing w:before="0" w:after="0"/>
        <w:jc w:val="both"/>
        <w:textAlignment w:val="baseline"/>
        <w:rPr>
          <w:color w:val="000000" w:themeColor="text1"/>
          <w:sz w:val="16"/>
          <w:szCs w:val="16"/>
        </w:rPr>
      </w:pPr>
    </w:p>
    <w:p w14:paraId="4DC9F7E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октября 1941 планер КЦ, пилотируемый И.Л. Карташе вым, разбился, а пилот погиб. При разбеге КЦ резко пошел вверх, и самолет-буксировщик, чтобы не раз</w:t>
      </w:r>
      <w:r w:rsidRPr="00640820">
        <w:rPr>
          <w:rFonts w:ascii="Times New Roman" w:hAnsi="Times New Roman"/>
          <w:color w:val="000000" w:themeColor="text1"/>
          <w:sz w:val="16"/>
          <w:szCs w:val="16"/>
        </w:rPr>
        <w:softHyphen/>
        <w:t>биться из-за поднимающегося хвоста, отцепил пла</w:t>
      </w:r>
      <w:r w:rsidRPr="00640820">
        <w:rPr>
          <w:rFonts w:ascii="Times New Roman" w:hAnsi="Times New Roman"/>
          <w:color w:val="000000" w:themeColor="text1"/>
          <w:sz w:val="16"/>
          <w:szCs w:val="16"/>
        </w:rPr>
        <w:softHyphen/>
        <w:t>нер, и тот потерял скорость, свалился на хвост и раз</w:t>
      </w:r>
      <w:r w:rsidRPr="00640820">
        <w:rPr>
          <w:rFonts w:ascii="Times New Roman" w:hAnsi="Times New Roman"/>
          <w:color w:val="000000" w:themeColor="text1"/>
          <w:sz w:val="16"/>
          <w:szCs w:val="16"/>
        </w:rPr>
        <w:softHyphen/>
        <w:t>бился. Катастрофа произошла из-за того, что забыли установить балансировочный груз в нос планера (12300).</w:t>
      </w:r>
    </w:p>
    <w:p w14:paraId="583809C5"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78DBB4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октября 1941 нарком А.И.Шахурин вместе с другими наркомами был вызван в ГКО и получил приказ немедленно начать эвакуацию НКАП в Саратов, где уже несколько месяцев функционировал его филиал, готовивший базу для размещения служебных подразделений центрального аппарата и жилье для сотрудников с семьями. Ответственным за эвакуацию был назначен зам. наркома А.И.Кузнецов (635).</w:t>
      </w:r>
    </w:p>
    <w:p w14:paraId="1FB75F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8C46A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октября 1941 вышел приказ НКАП № 1072а:</w:t>
      </w:r>
    </w:p>
    <w:p w14:paraId="023B5D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решением Совета по эвакуации при СНК № 162сс от 15 октября:</w:t>
      </w:r>
    </w:p>
    <w:p w14:paraId="3A9148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Включить з-д 285 в состав з-да 469.</w:t>
      </w:r>
    </w:p>
    <w:p w14:paraId="7299A9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Воронин (1328, 36).</w:t>
      </w:r>
    </w:p>
    <w:p w14:paraId="0BF97E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D685B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15-16 октября 1941 была паника в Москве. А.С.Я. звонил С.В.И., Н.Н.П., А.А.А. - требовал эвакуироваться немедленно. К 12 час. - все уехали. А.И.Микоян потребовал уехать и А.С.Я. сделал это 16 октября в 6 утра (74,228).</w:t>
      </w:r>
    </w:p>
    <w:p w14:paraId="2782A1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Ввиду того, что подготовка к перебазированию наркомата была проведена заблаговременно, к вечеру того же дня из Москвы удалось отправить 1200 сотрудников центрального аппарата, почти всю служебную документацию и необходимое имущество. Здания наркомата и невывезенное имущество были сданы под охрану коменданта М.И.Козыревского, имевшего в своем распоряжении отряд из 20 стрелков (636).</w:t>
      </w:r>
    </w:p>
    <w:p w14:paraId="598770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BE360D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октября 1941 А.С.Яковлев вспоминал, как вечером он позвонил Поликарпову и дал указание немедленно вы</w:t>
      </w:r>
      <w:r w:rsidRPr="00640820">
        <w:rPr>
          <w:rFonts w:ascii="Times New Roman" w:hAnsi="Times New Roman"/>
          <w:color w:val="000000" w:themeColor="text1"/>
          <w:sz w:val="16"/>
          <w:szCs w:val="16"/>
        </w:rPr>
        <w:softHyphen/>
        <w:t>езжать.</w:t>
      </w:r>
    </w:p>
    <w:p w14:paraId="1D0807E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Каким способом?</w:t>
      </w:r>
    </w:p>
    <w:p w14:paraId="582502C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Любым, каким желаете, говорю. Хотите самолетом - свяжу Вас сейчас с аэродромом, Вам сообщат, когда нужно туда приехать. Хотите поездом - обеспечу воз</w:t>
      </w:r>
      <w:r w:rsidRPr="00640820">
        <w:rPr>
          <w:rFonts w:ascii="Times New Roman" w:hAnsi="Times New Roman"/>
          <w:color w:val="000000" w:themeColor="text1"/>
          <w:sz w:val="16"/>
          <w:szCs w:val="16"/>
        </w:rPr>
        <w:softHyphen/>
        <w:t>можность выехать по железной дороге. Хотите - маши</w:t>
      </w:r>
      <w:r w:rsidRPr="00640820">
        <w:rPr>
          <w:rFonts w:ascii="Times New Roman" w:hAnsi="Times New Roman"/>
          <w:color w:val="000000" w:themeColor="text1"/>
          <w:sz w:val="16"/>
          <w:szCs w:val="16"/>
        </w:rPr>
        <w:softHyphen/>
        <w:t>ной...</w:t>
      </w:r>
    </w:p>
    <w:p w14:paraId="1EE8C43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 оказывается, Поликарпов никак не может вы</w:t>
      </w:r>
      <w:r w:rsidRPr="00640820">
        <w:rPr>
          <w:rFonts w:ascii="Times New Roman" w:hAnsi="Times New Roman"/>
          <w:color w:val="000000" w:themeColor="text1"/>
          <w:sz w:val="16"/>
          <w:szCs w:val="16"/>
        </w:rPr>
        <w:softHyphen/>
        <w:t>ехать немедленно: за сорок километров от Москвы, на даче, у него семья... Чуть не полчаса уговариваю Поли</w:t>
      </w:r>
      <w:r w:rsidRPr="00640820">
        <w:rPr>
          <w:rFonts w:ascii="Times New Roman" w:hAnsi="Times New Roman"/>
          <w:color w:val="000000" w:themeColor="text1"/>
          <w:sz w:val="16"/>
          <w:szCs w:val="16"/>
        </w:rPr>
        <w:softHyphen/>
        <w:t>карпова понять необходимость немедленного отъезда, сегодня же. Наконец уславливаемся, что Николай Нико</w:t>
      </w:r>
      <w:r w:rsidRPr="00640820">
        <w:rPr>
          <w:rFonts w:ascii="Times New Roman" w:hAnsi="Times New Roman"/>
          <w:color w:val="000000" w:themeColor="text1"/>
          <w:sz w:val="16"/>
          <w:szCs w:val="16"/>
        </w:rPr>
        <w:softHyphen/>
        <w:t>лаевич выезжает сегодня ночью на машине.</w:t>
      </w:r>
    </w:p>
    <w:p w14:paraId="62BD559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Проверяю в одиннадцать часов вечера, выехал ли Поликарпов. Оказывается, нет. Вызываю к телефону.</w:t>
      </w:r>
    </w:p>
    <w:p w14:paraId="14895E3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Николай Николаевич, что же Вы?</w:t>
      </w:r>
    </w:p>
    <w:p w14:paraId="74F148F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Видите, какая погода? Ни зги не видно, снег идет. Я уж лучше подожду до утра.</w:t>
      </w:r>
    </w:p>
    <w:p w14:paraId="678805E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Никаких отговорок, поезжайте немедленно!.</w:t>
      </w:r>
    </w:p>
    <w:p w14:paraId="6857BD0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По-видимому, второй звонок и тон, с которым гово</w:t>
      </w:r>
      <w:r w:rsidRPr="00640820">
        <w:rPr>
          <w:rFonts w:ascii="Times New Roman" w:hAnsi="Times New Roman"/>
          <w:color w:val="000000" w:themeColor="text1"/>
          <w:sz w:val="16"/>
          <w:szCs w:val="16"/>
        </w:rPr>
        <w:softHyphen/>
        <w:t>рил с ним Яковлев, убедили Поликарпова, что положе</w:t>
      </w:r>
      <w:r w:rsidRPr="00640820">
        <w:rPr>
          <w:rFonts w:ascii="Times New Roman" w:hAnsi="Times New Roman"/>
          <w:color w:val="000000" w:themeColor="text1"/>
          <w:sz w:val="16"/>
          <w:szCs w:val="16"/>
        </w:rPr>
        <w:softHyphen/>
        <w:t>ние на фронте серьезное, что решение об эвакуации конструкторов принято в Ставке, возможно Сталиным, и поэтому нужно немедленно выезжать.</w:t>
      </w:r>
    </w:p>
    <w:p w14:paraId="08FC437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Ночью Николай Николаевич прибыл на 42-й кило</w:t>
      </w:r>
      <w:r w:rsidRPr="00640820">
        <w:rPr>
          <w:rFonts w:ascii="Times New Roman" w:hAnsi="Times New Roman"/>
          <w:color w:val="000000" w:themeColor="text1"/>
          <w:sz w:val="16"/>
          <w:szCs w:val="16"/>
        </w:rPr>
        <w:softHyphen/>
        <w:t>метр, забрал жену, дочь. В дальний путь отправились на трех машинах. Поликарпов - за рулем своего ЗИСа. На следующей машине - Н.А.Жемчужин с семьей. Шофер Кузнецов с женой - на небольшом грузовичке. В дороге произошла авария. Марианна Николаевна так рассказывала об этом: «Помню, проехали Владимир под Золотыми воротами, а затем утомленный папа за</w:t>
      </w:r>
      <w:r w:rsidRPr="00640820">
        <w:rPr>
          <w:rFonts w:ascii="Times New Roman" w:hAnsi="Times New Roman"/>
          <w:color w:val="000000" w:themeColor="text1"/>
          <w:sz w:val="16"/>
          <w:szCs w:val="16"/>
        </w:rPr>
        <w:softHyphen/>
        <w:t>дремал и машина упала в кювет, дорога к тому же была обледенелая. Тотчас подбежали люди - машины из Москвы шли впритык - и стали спрашивать: «Это ма</w:t>
      </w:r>
      <w:r w:rsidRPr="00640820">
        <w:rPr>
          <w:rFonts w:ascii="Times New Roman" w:hAnsi="Times New Roman"/>
          <w:color w:val="000000" w:themeColor="text1"/>
          <w:sz w:val="16"/>
          <w:szCs w:val="16"/>
        </w:rPr>
        <w:softHyphen/>
        <w:t>шина Молотова?» Нас вытащили, машину поставили на колеса, и мы приехали в Горький».</w:t>
      </w:r>
    </w:p>
    <w:p w14:paraId="50B3DD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Пока шел небольшой ремонт, Николай Николаевич повидался в Горьком с С.В.Ильюшиным и Б.Г.Шпиталь-ным. О вынужденной задержке он сообщил в наркомат (10667).</w:t>
      </w:r>
    </w:p>
    <w:p w14:paraId="1F4572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6366FC3" w14:textId="77777777" w:rsidR="001C4D24" w:rsidRPr="00640820" w:rsidRDefault="001C4D2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октября 1941 выехали все эшелоны завода № 51. Всего эвакуировались 2406 человек — 991 сотрудник завода и 1415 членов семей. Не поехали в эвакуацию 116 со</w:t>
      </w:r>
      <w:r w:rsidRPr="00640820">
        <w:rPr>
          <w:rFonts w:ascii="Times New Roman" w:hAnsi="Times New Roman"/>
          <w:color w:val="000000" w:themeColor="text1"/>
          <w:sz w:val="16"/>
          <w:szCs w:val="16"/>
        </w:rPr>
        <w:softHyphen/>
        <w:t>трудников. Завод № 51 эвакуировали в Новосибирск. Эшелон с самолётами во главе с М.К. Янгелем должен был ехать в Казань, куда эвакуировали ЛИИ. Этот эшелон, но уже без М.К. Янгеля, дошёл до Казани, и оттуда его перенаправили в Новосибирск.</w:t>
      </w:r>
    </w:p>
    <w:p w14:paraId="316A6767" w14:textId="77777777" w:rsidR="001C4D24" w:rsidRPr="00640820" w:rsidRDefault="001C4D2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Фактически, с середины октября до начала 1942 г. (на 2.5 месяца) работа прервалась.</w:t>
      </w:r>
    </w:p>
    <w:p w14:paraId="5A0DB2E8" w14:textId="77777777" w:rsidR="001C4D24" w:rsidRPr="00640820" w:rsidRDefault="001C4D2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Москве на территории завода осталось некоторое количество людей и уполномочен</w:t>
      </w:r>
      <w:r w:rsidRPr="00640820">
        <w:rPr>
          <w:rFonts w:ascii="Times New Roman" w:hAnsi="Times New Roman"/>
          <w:color w:val="000000" w:themeColor="text1"/>
          <w:sz w:val="16"/>
          <w:szCs w:val="16"/>
        </w:rPr>
        <w:softHyphen/>
        <w:t>ная завода в Москве А. Глотова. В январе 1942 г. она докладывала Н.Н. Поликарпову: «Роль нашего Главка в лице т. Алексеева по отношению к нашему заводу сводилась к тому, чтобы поскорее раздать с нашего завода оставшиеся материалы и имущество, были случаи, что он предписывал передать даже организациям дру</w:t>
      </w:r>
      <w:r w:rsidRPr="00640820">
        <w:rPr>
          <w:rFonts w:ascii="Times New Roman" w:hAnsi="Times New Roman"/>
          <w:color w:val="000000" w:themeColor="text1"/>
          <w:sz w:val="16"/>
          <w:szCs w:val="16"/>
        </w:rPr>
        <w:softHyphen/>
        <w:t>гого ведомства, но т.к. я реши</w:t>
      </w:r>
      <w:r w:rsidRPr="00640820">
        <w:rPr>
          <w:rFonts w:ascii="Times New Roman" w:hAnsi="Times New Roman"/>
          <w:color w:val="000000" w:themeColor="text1"/>
          <w:sz w:val="16"/>
          <w:szCs w:val="16"/>
        </w:rPr>
        <w:softHyphen/>
        <w:t>тельно отказалась выполнить это, то теперь он вообще оставил нас в покое, зато предписания я стала получать уже от т. Воронина...</w:t>
      </w:r>
    </w:p>
    <w:p w14:paraId="5A955BFA" w14:textId="77777777" w:rsidR="001C4D24" w:rsidRPr="00640820" w:rsidRDefault="001C4D2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...Многие наши рабочие, работа</w:t>
      </w:r>
      <w:r w:rsidRPr="00640820">
        <w:rPr>
          <w:rFonts w:ascii="Times New Roman" w:hAnsi="Times New Roman"/>
          <w:color w:val="000000" w:themeColor="text1"/>
          <w:sz w:val="16"/>
          <w:szCs w:val="16"/>
        </w:rPr>
        <w:softHyphen/>
        <w:t>ющие сейчас на заводах 30, 115, 45, 482, забегают ко мне, чтобы узнать, скоро ли Вы приедете?» (15804).</w:t>
      </w:r>
    </w:p>
    <w:p w14:paraId="2EF65CAA" w14:textId="77777777" w:rsidR="001C4D24" w:rsidRPr="00640820" w:rsidRDefault="001C4D24" w:rsidP="00640820">
      <w:pPr>
        <w:spacing w:after="0" w:line="240" w:lineRule="auto"/>
        <w:jc w:val="both"/>
        <w:rPr>
          <w:rFonts w:ascii="Times New Roman" w:hAnsi="Times New Roman"/>
          <w:color w:val="000000" w:themeColor="text1"/>
          <w:sz w:val="16"/>
          <w:szCs w:val="16"/>
        </w:rPr>
      </w:pPr>
    </w:p>
    <w:p w14:paraId="3C4DAD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октября 1941 г. по приказу № 1072сс часть завода № 115, остававшаяся в Москве, также эвакуирована в Новосибирск на завод № 153 и влита в состав ОКБ завода № 153. В 03.1942 г. завод и ОКБ реэвакуированы обратно на старую площадь.</w:t>
      </w:r>
    </w:p>
    <w:p w14:paraId="0AFBE1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октября 1941 г. в соответствии с приказами НКАП от 18 октября 1941 г № 12сф и 19 сентября 1941 г. № 999с ОКБ завода № 292 переведено со всем личным составом и оборудованием в Новосибирск на завод № 153 НКАП, где образовано ОКБ завода № 153 НКАП.</w:t>
      </w:r>
    </w:p>
    <w:p w14:paraId="7C1799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13.09.1942 г. вышло постановление ГКО № 2302 об организации производства двухмоторных легких самолетов с моторами М-11 конструкции Яковлева. 2.11.1942 г. вышло постановление ГКО № 2467сс об улучшении летных данных самолетов Як-1 и Як-7. 9.12.1942 г. - постановления ГКО № 2603 «О дальнейшем уменьшении веса истребителя Як-1 до 2690 кг и увеличении его скорости у земли до 560 км в час и на высоте 5000 м до 670 км в час» и № 2604 об улучшении истребителей Як-1 и Як-7. 28.05.1943 г. вышло постановление ГКО № 3448 об организации производства Як-9 с мотором М-107А; 12.06.1943 г. - постановление ГКО № 3560 о выпуске дальних истребителей Як-9 для целей воздушной разведки. 26.10.1943 г. - постановление ГКО № 4430 о производстве Як-3 с мотором М-105ПФ; в соответствии с пост. ГКО № 4553 от 12.11.1943 г. Як-3 запущен в серию на заводе № 31. 20.02.1944 г. вышли постановления ГКО: № 5219 о переоборудовании Як-9 в вариант истребителя-бомбардировщика и № 5220 о выпуске самолетов Як-9 в варианте истребителей сопровождения. 15.03.1944 г. - постановление ГКО № 5403 о бомбардировочном варианте Як-9. 29.12.1944 г. вышли постановления ГКО о постройке опытных машин: № 7229 - о постройке Як-3 с пушкой НС-37 и УБ 20-мм; № 7230 - о постройке Як-9 с пушкой НС-37 и двумя УБ 20-мм; № 7232 - о постройке реактивного самолета. 10.04.1945 г. вышло постановление ГКО № 8061 об увеличении выпуска Як-9 с пушкой 37 мм и о выпуске самолетов Як-9 с пушкой 45 мм.</w:t>
      </w:r>
    </w:p>
    <w:p w14:paraId="3073BF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1946 г. на завод передано 78 станков и 162 единицы прочего оборудования завода «Дорнье» в  г. Висмар (Германия).</w:t>
      </w:r>
    </w:p>
    <w:p w14:paraId="63962C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1946 г. в ОКБ переведена часть специалистов из закрытого ОКБ-482 В.М. Мясищева.</w:t>
      </w:r>
    </w:p>
    <w:p w14:paraId="132D89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 приказу МАП № 162сс от 27.03.1946 г. был открыт заказ № 357 на постройку экспериментального вертолета Як-Э Г. Ранее приказом по заводу № 49 от 18.03.1946 г. организована бригада геликоптеров во главе с начальником- С.А. Бемовым. В нее вошли 11 чел.: </w:t>
      </w:r>
      <w:r w:rsidRPr="00640820">
        <w:rPr>
          <w:rFonts w:ascii="Times New Roman" w:hAnsi="Times New Roman"/>
          <w:color w:val="000000" w:themeColor="text1"/>
          <w:sz w:val="16"/>
          <w:szCs w:val="16"/>
          <w:lang w:val="en-US"/>
        </w:rPr>
        <w:t>JI</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Вильдгрубе,  Г.И. Огарков, П.Д. Самсонов,  Г.М. Семенов, А.Б. Леканов, А.А. Жиров, Н. Г. Богданов, М.С. Максимов, Н.В. Федюшкин, Б.С. Чиненков. Приказом МАП № 226сс от 16.04.1947 г. был открыт заказ № 389 на постройку второго экземпляра вертолета.</w:t>
      </w:r>
    </w:p>
    <w:p w14:paraId="54FE92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ЮОсс от 21.02.1955 г. при заводе № 272 МАП организован филиал ОКБ-115 для производства вертолетов и легких самолетов. Руководитель- И.А. Эрлих. Был филиал на заводе № 292.</w:t>
      </w:r>
    </w:p>
    <w:p w14:paraId="453CEE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После войны в ОКБ создан ряд самолетов, строившихся серийно: боевые- Як-15, Як-17, Як-23, Як-25, Як-27, Як-28; </w:t>
      </w:r>
      <w:r w:rsidRPr="00640820">
        <w:rPr>
          <w:rFonts w:ascii="Times New Roman" w:hAnsi="Times New Roman"/>
          <w:color w:val="000000" w:themeColor="text1"/>
          <w:sz w:val="16"/>
          <w:szCs w:val="16"/>
          <w:lang w:val="en-US"/>
        </w:rPr>
        <w:t>CBBII</w:t>
      </w:r>
      <w:r w:rsidRPr="00640820">
        <w:rPr>
          <w:rFonts w:ascii="Times New Roman" w:hAnsi="Times New Roman"/>
          <w:color w:val="000000" w:themeColor="text1"/>
          <w:sz w:val="16"/>
          <w:szCs w:val="16"/>
        </w:rPr>
        <w:t xml:space="preserve"> Як-38; легкие и спортивные- Як-11, Як-12, Як-18, Як-50, Як-52, Як-55; пассажирские- Як-40, Як-42; планер Як-14; вертолет Як-24. Всего создано более 200 типов и модификаций ЛА, более 100 из них строились серийно.</w:t>
      </w:r>
    </w:p>
    <w:p w14:paraId="4D8346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8.01.1947 г. взлетел Як-19 - первый советский истребитель, имевший ТРД с форсажной камерой.</w:t>
      </w:r>
    </w:p>
    <w:p w14:paraId="40364C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 760-288 от 22.02.1949 г. проводились работы по буксировке за Ту-2 истребителя Як- 23 с возможностью отцепки и повторной сцепки в воздухе.</w:t>
      </w:r>
    </w:p>
    <w:p w14:paraId="7E2DAD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1950 г. в ОКБ-115 под руководством С.М. Алексеева разработана система дозаправки в воздухе типа «шланг-конус» для Ту-4, система буксировки «Бурлаки» для Ту-4.</w:t>
      </w:r>
    </w:p>
    <w:p w14:paraId="395BE9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2.08.1947 г. построен первый советский соосный вертолет - экспериментальный «Ш». 3.07.1952 г. взлетел первый советский вертолет продольной схемы Як-24. В соответствии с ПСМ № 1268-711сс от 13.07.1955 г. вертолет Як-24 пнв.</w:t>
      </w:r>
    </w:p>
    <w:p w14:paraId="161FAC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 1144-504сс от 10.06.1954 г. и пр. № 240 от 5.04.1954 г. начаты работы по фронтовому бомбардировщику Як-123 с передачей на испытания в 1-м квартале 1956 г. 30.03.1955 г. вышло постановление СМ СССР № 616-381сс «О создании легкого фронтового бомбардировщика и модификации истребителя- перехватчика конструкции Яковлева». В соответствии с ПСМ № 16-10 от 5.01.1956 г. на заводе № 30 выпущена войсковая серия Як-26.</w:t>
      </w:r>
    </w:p>
    <w:p w14:paraId="58285A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10.03.1955 г. вышло ПСМ № 448-271сс «Об организации серийного производства двухместных самолётов- разведчиков конструкции Яковлева с двумя двигателями АМ-5».</w:t>
      </w:r>
    </w:p>
    <w:p w14:paraId="1F2A71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 544-336с от 22.03.1955 г. Як-12 был принят на снабжение ВВС и ГВФ.</w:t>
      </w:r>
    </w:p>
    <w:p w14:paraId="3A4150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от 31.07.1958 г. велась разработка фронтового разведчика Як-32, в начале 1960 г. работы прекращены.</w:t>
      </w:r>
    </w:p>
    <w:p w14:paraId="76BD13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 424-261сс от 28.03.1956 г. начата разработка сверхзвукового фронтового бомбардировщика Як-129. Пост. № 1115-578 от 15.08.1956 г. ОКБ поручено разработать вариант самолета с двигателями ВК-11. 5.01.1959 г. вышло ПСМ № 19-7 «О фронтовом бомбардировщике Як-28», 11.03.1960 г. - постановление № 274-108 о модификации Як-28. В соответствии с ПСМ № 1056-457 от 27.11.1961 г. Як-28 пнв и начата разработка разведчика Як-28Р, пост. № 1077-369 от 22.11.1967 г. Як-28Р пнв. В соответствии с ПСМ от 5.02.1962 г. начата разработка носителя химического оружия Як-28СР.</w:t>
      </w:r>
    </w:p>
    <w:p w14:paraId="4EA9ED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 617-251 от 17.06.1960 г. начат серийный выпуск самолетов-мишеней Як-25РВ.</w:t>
      </w:r>
    </w:p>
    <w:p w14:paraId="681102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2.07.1960 г. взлетел Як-30 - первый отечественный реактивный учебный самолет.</w:t>
      </w:r>
    </w:p>
    <w:p w14:paraId="6F963E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 правительства от 12.1967 г. было задано создание на базе СВВП Як-36 корабельного штурмовика Як-ЗбМ и аванпроекта сверхзвукового СВВП Як-ЗбМФ. Пост, от 11.11.1977 г. предусматривалось предъявление Як-41 на госиспытания в 1982 г. В 03.1979 г. выполнены эскизные проекты однодвигательного Як-41 и Як-41М с комбинированной СУ (подъемно-маршевым и подъемньми двигателями). В 1986 г. пост, правительства задано создание сверхзвукового Як-41М (Як-141). В 1991 г. после аварии самолета и прекращения финансирования работы по нему прекращены. Разрабатывался проект дальнейшего развития СВВП - Як-43, в 1991 г. работы также прекращены.</w:t>
      </w:r>
    </w:p>
    <w:p w14:paraId="71F505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1979 г. велась разработка палубного самолета РЛДН Як-44, в 1990 г. утвержден техпроект самолета. В 1992 г. работы прекращены.</w:t>
      </w:r>
    </w:p>
    <w:p w14:paraId="5FEDAC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Велись также работы по ракетной технике и БПЛА: проект УРВВ К-35 («МВ») для перехватчика Як-35МВ (1959 г.); проект противокорабельного самолета-снаряда К-12 (конец 1950-х); семейство БПЛА (разработка начата в 1960-х) «Пчела» («Шмель», изд. «60»), «Пчела-1» («Шмель-1», изд. «61»).</w:t>
      </w:r>
    </w:p>
    <w:p w14:paraId="3C0CCD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Принимало участие в программе создания ОК «Буран».</w:t>
      </w:r>
    </w:p>
    <w:p w14:paraId="5222A1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08.1957 г. - в ведении 1ГУ МАП. С 1959 г. имело открытое наименование- «п/я 1303». С 1966 г.- ММЗ «Скорость». В 1966-89 г. имело наименование «п/я М-5050». С 1990 г. - ММЗ им. А.С. Яковлева. В соответствии с решением Правительства № 2354-р от 16.12.1992 г. преобразовано в АООТ «ОКБ им. А.С. Яковлева», с 1997 г.- ОАО. По решению правительства № 22-р от 9.01.2004 г. вошло в перечень стратегических предприятий.</w:t>
      </w:r>
    </w:p>
    <w:p w14:paraId="15A1F1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04.2004 г. ОАО «ОКБ им. Яковлева» вошло в корпорацию «Иркут».</w:t>
      </w:r>
    </w:p>
    <w:p w14:paraId="00C6DC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имело ЛИДБ на территории ЛИИ в Жуковском (2006 г.). На Ленинградском пр., 68 имелись два цеха, построенные в 1940-50-х  г. В них размещалось термическое и гальваническое производство. В 1999 г. цеха закрыты санэпидемстанцией, производство перенесено на производственные площадки ОКБ в Химках и Жуковском. В 2006 г. ОКБ переведено из Москвы в Жуковский на территорию ЛИДБ. Комплекс зданий на Ленинградском пр. площадью 25 тыс.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xml:space="preserve"> (в т.ч. два цеха) в 09.2006 г. продан, ОКБ оставило себе около 20% площадей.</w:t>
      </w:r>
      <w:r w:rsidRPr="00640820">
        <w:rPr>
          <w:rFonts w:ascii="Times New Roman" w:hAnsi="Times New Roman"/>
          <w:color w:val="000000" w:themeColor="text1"/>
          <w:sz w:val="16"/>
          <w:szCs w:val="16"/>
          <w:vertAlign w:val="superscript"/>
        </w:rPr>
        <w:t>1</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vertAlign w:val="superscript"/>
        </w:rPr>
        <w:t>230806</w:t>
      </w:r>
    </w:p>
    <w:p w14:paraId="67F4EB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1990-е-2000-е  г. разработаны проекты: аэротакси Як-112, спортивный Як-54, административные Як-48, Як- 58, Як-77; сверхзвуковой У ТС (совместно с Китаем); пассажирские Як-46, Як-90, Як-142, Як-242, ближнемагистральный МС-21 (совместно с ОКБ Ильюшина); БПЛА «Пчела». Як-130 16.03.2002 г. победил в конкурсе на УТС для ВВС России.</w:t>
      </w:r>
    </w:p>
    <w:p w14:paraId="3A0D25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(1935-56 г.)- А.С. Яковлев. Ген. конструктор (12.1956-84 г.)- г-п академик (1976 г.) А.С. Яковлев {1.04.1906-22.08.1989}, (1984-90 г.)- А.А. Левинских {5.12.1919-}, (02.1991-2000 г.)- А.Н. Дондуков {29.03.1954-}, (-2004-05 Г.)- О.Ф. Демченко {13.10.1944-}, (2005 г.)- А. Гуртовой.</w:t>
      </w:r>
    </w:p>
    <w:p w14:paraId="255B92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1-й зам. ген. конструктора (1992-94 г.)- О.Ф. Демченко, (-1998 г.)- В. Г. Дмитриев (затем- директор ЦАГИ), (2006 г.)- Н.Н. Долженков. Зам. гл. конструктора ОКБ (01.1943- 07.1945 г.)- </w:t>
      </w:r>
      <w:r w:rsidRPr="00640820">
        <w:rPr>
          <w:rFonts w:ascii="Times New Roman" w:hAnsi="Times New Roman"/>
          <w:color w:val="000000" w:themeColor="text1"/>
          <w:sz w:val="16"/>
          <w:szCs w:val="16"/>
          <w:lang w:val="en-US"/>
        </w:rPr>
        <w:t>O</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K</w:t>
      </w:r>
      <w:r w:rsidRPr="00640820">
        <w:rPr>
          <w:rFonts w:ascii="Times New Roman" w:hAnsi="Times New Roman"/>
          <w:color w:val="000000" w:themeColor="text1"/>
          <w:sz w:val="16"/>
          <w:szCs w:val="16"/>
        </w:rPr>
        <w:t>. Антонов, (-1950-60-е  г.-)- Н.К. Скржинский, А.Н. Дондуков. Зам. Ген. конструктора (1959 г.)- Хрупкий, (-1972-75 г.-)- К.Б. Бекирбаев.</w:t>
      </w:r>
    </w:p>
    <w:p w14:paraId="450C0D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(1935-1952 г.)- А.С. Яковлев, (1952 г.-)- А.А. Воропанов, (1969-86 г.)- С.Д. Савин. Ответственный руководитель (22.08.1984-31.12.1990 г.)- А.А. Левинских, (31.12.1990 г.-)- А.Н. Дондуков. Гендиректор (1994-2001; 2003-09 г.-)- О.Ф. Демченко, (2001-03 г.)- А. Г. Ефанов.</w:t>
      </w:r>
    </w:p>
    <w:p w14:paraId="7A7754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строительства (06.1937 г.)- А.С. Яковлев, (16.05.1938 г.-)- Н.Л. Кашелевский. 1-й зам. гендиректора (-2005-06 г.-)- Н.Н. Долженков. Зам. директора (06.1937 г.)- А.Н. Седельников. Зам. Гендиректора: (2006 г.)- Н.Н. Долженков; по ВЭД и маркетингу (-2002-05 г.-)- А.И. Гуртовой; по летным испытаниям (1990-е)- А.А. Синицын, (2007 г.)- Р.П. Таскаев.</w:t>
      </w:r>
    </w:p>
    <w:p w14:paraId="4EF7CB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Технический директор (2005 г.)- Н.Н. Долженков.</w:t>
      </w:r>
    </w:p>
    <w:p w14:paraId="1339AF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(-06.1937-16.05.1938 г.)- А.Н. Седельников, (16.05.1938 г.-)- А.И. Ястребов.</w:t>
      </w:r>
    </w:p>
    <w:p w14:paraId="2719FF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Научный руководитель (2003 г.)- А.Н. Дондуков.</w:t>
      </w:r>
    </w:p>
    <w:p w14:paraId="2B5961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конструкторы: (1972 г.)- С. Г. Мордовии (Як-ЗбМ), (6.09.1975 г.-)- А.А. Левинских, (1977 г.)- В.Н. Павлов (Як-38), А. Звягинцев (Як-38), (1991 г.-)- В.А. Митькин (Як-44), (1990-е)- В. Г. Дмитриев, (2002 г.)- К.Ф. Попович (военные самолеты), (2002 г.)- Ю.И. Янкевич (БПЛА), (2002 г.)- А. Г. Рахимбаев (пассажирские самолеты), (2002 г.)- Д.К. Драч (легкие самолеты).</w:t>
      </w:r>
    </w:p>
    <w:p w14:paraId="1F0A8A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конструкторов: (-1972-75 г.-)- В.П. Власов (по корабельному базированию Як-ЗбМ), (1986 г.-)- В. Г. Дмитриев, (1.10.1966 г.-)- А.А. Левинских, (-1967-75 г.-)- С. Г. Мордовии.</w:t>
      </w:r>
    </w:p>
    <w:p w14:paraId="72725E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И.О. директора завода (02.1952 г.)- Аншценков. Директор (04.1952 г.)- А. Храмов. Гендиректор завода (1992- 94 г.)- О.Ф. Демченко.</w:t>
      </w:r>
    </w:p>
    <w:p w14:paraId="28A20F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Технический директор (-2005-06 г.-)- Н.Н. Долженков.</w:t>
      </w:r>
    </w:p>
    <w:p w14:paraId="6C37B2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производства (1947 г.)- А.С. Безбородое. Начальник ЛИК (1975 г.)- О.С. Долгих, г-м В. Г. Мухин, летной службы (2007 г.)- Р.П. Таскаев. Гл. контролер (1947 г.)- Н.А. Козлов.</w:t>
      </w:r>
    </w:p>
    <w:p w14:paraId="2FD61E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Ведущие конструкторы: (1945-70 г.)- С.А. Бемов, (-1947-51 г.)- Л.Л. Селяков (Як-25, Як-1000), (1970-е)-  Г.А. Матвеев (Як-41).</w:t>
      </w:r>
    </w:p>
    <w:p w14:paraId="444EC1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Ведущие инженеры: (ВОВ-)- Е. Г. Адлер (Як-3 с РД-1, Як-14), (-1958-60 г.-)- М.И. Леонов (Як-129, -28Л), (1972 г.)-  Г.А. Матвеев (Як-ЗбМ), (1947 г.)-  Г.И. Огарков, (-1958-67 г.-)- В.Н. Павлов (Як-ЗбМ, -129), (-1960-64 г.-)- Р.С. Петров (Як-28Л, -28И, -28Н), (1952 г.)- Эрлих, (1965 г.)- С.И. Яськов (Як-28БИ).</w:t>
      </w:r>
    </w:p>
    <w:p w14:paraId="1C5EC8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Летчики-испытатели: шеф-пилот (1990 г.)- А.А. Синицын; (-1972-79 г.-)- М.С. Дексбах, (2006 г.)- О.О. Кононенко, (1982 г.)- Ю.И. Митиков, (-1963-67 г.-)- В. Г. Мухин, (1991 г.)- В.А. Якимов.</w:t>
      </w:r>
    </w:p>
    <w:p w14:paraId="7B49B9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самолеты: АИР-7 (19.11.1932 г.); учебно-тренировочные: АИР-9 (2.10.1934 г.), УТ-2 (АИР-10, 11.07.1935 г.), УТ-1 (АИР-14, 05.1936 г.), УТ-3 (АИР-17, 17.05.1938 г.), Як-18 (6.05.1946 г.), Як-18Т (7.08.1967 г.), Як-30 (2.07.1960 г.), Як-52 (8.08.1974 г.), Як-130Д (25.04.1996 г.), Як-130УБС (30.04.2004 г.); легкий АИР-12 (27.07.1936 г.); истребители: Як-1 (И-26, 13.01.1940 г.), Як-1М (Як-3, 28.02.1943 г.), высотный И-28 (1.12.1940 г.), Як-7УТИ (УТИ-26, 23.07.1940 г.), Як-9 (Як-7ДИ, 6.07.1942 г.), Як-9К (23.01.1944 г.), Як-9Б (3.03.1944 г.), Як-ЗРД (22.01.1945 г.), учебный Як-11 (10.07.1945 г.), Як-15 (24.04.1946 г.), Як-17УТИ (6.05.1947 г.), Як-17 (6.06.1947 г.), Як-19 (8.01.1947 г.), Як-23 (8.07.1947 г.), Як-30 (4.09.1948 г.), Як-50 (9.08.1949 г.), перехватчик Як-25 (19.06.1952 г.); высотные Як-27В (15.05.1957 г.), Як-25РВ (1.03.1959 г.); бомбардировщики: ближний Як-2 («22», 23.02.1939 г.); фронтовые: Як-125Б (1955), Як-26 (Як-123, 1955), Як-129 (Як-28, 5.03.1958 г.), Як-28Б («129», изд. «42», пнв в 1959 г.), Як-28Л («28Л», 8.07.1959 г.), Як-28И («28И», 1960), Як-28СР (16.09.1963 г.), Як-28Н (1964), Як-28ИМ (1969); разведчики Як-27Р (28.04.1956 г.), Як-28БИ (1965), Як-28Р (пнв 22.11.1967 г.); СВВП: Як-36 (27.07.1964 г.), Як-38 (Як-ЗбМ, «ВМ», 22.09.1970 г.), Як-38М (30.11.1982 г.), Як-41М (Як-141, 9.03.1987 г., по другой информации 13.06.1990 г.</w:t>
      </w:r>
      <w:r w:rsidRPr="00640820">
        <w:rPr>
          <w:rFonts w:ascii="Times New Roman" w:hAnsi="Times New Roman"/>
          <w:color w:val="000000" w:themeColor="text1"/>
          <w:sz w:val="16"/>
          <w:szCs w:val="16"/>
          <w:vertAlign w:val="superscript"/>
        </w:rPr>
        <w:t>142</w:t>
      </w:r>
      <w:r w:rsidRPr="00640820">
        <w:rPr>
          <w:rFonts w:ascii="Times New Roman" w:hAnsi="Times New Roman"/>
          <w:color w:val="000000" w:themeColor="text1"/>
          <w:sz w:val="16"/>
          <w:szCs w:val="16"/>
        </w:rPr>
        <w:t>); транспортный Як-6 (28.06.1942 г.); многоцелевые: Як-12 (20.10.1947 г.), Як-112 (20.10.1992 г.), Як- 58 (17.04.1994 г.); спортивные: Як-18П (12.12.1957 г.), Як-32 (17.01.1961 г.), Як-50 (22.06.1972 г.), Як-52М (16.04.2004 г.), Як-54 (23.12.1993 г.), Як-55 (28.05.1981 г.); пассажирские: Як-40 (21.10.1966 г.), Як-42 (6.03.1975 г.); проекты самолетов: бомбардировщиков: фронтового Як-35МВ (1950-е); фронтового разведчика Як-32 (1960); СВВП: Як-28ВВ (1960-е), Як-33 (1962), Як-43 (-1991); вертолеты: экспериментальный «Ш» (2.08.1947 г.), Як-24 (3.07.1952 г., пнв 13.07.1955 г.); БПЛА: малоразмерный «60С» (17.06.1983 г.), БЛА-61 «Пчела» (26.04.1986 г., пнв 16.06.1997 г.).</w:t>
      </w:r>
    </w:p>
    <w:p w14:paraId="56617E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СВВП: Як-41М (1990)- 4 (11982).</w:t>
      </w:r>
    </w:p>
    <w:p w14:paraId="754EC586" w14:textId="77777777" w:rsidR="001C4D24" w:rsidRPr="00640820" w:rsidRDefault="001C4D24" w:rsidP="00640820">
      <w:pPr>
        <w:autoSpaceDE w:val="0"/>
        <w:autoSpaceDN w:val="0"/>
        <w:adjustRightInd w:val="0"/>
        <w:spacing w:after="0" w:line="240" w:lineRule="auto"/>
        <w:jc w:val="both"/>
        <w:rPr>
          <w:rFonts w:ascii="Times New Roman" w:hAnsi="Times New Roman"/>
          <w:color w:val="000000" w:themeColor="text1"/>
          <w:sz w:val="16"/>
          <w:szCs w:val="16"/>
        </w:rPr>
      </w:pPr>
    </w:p>
    <w:p w14:paraId="69FCA2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октября 1941 г. по приказу № 1072сс планировалось эвакуировать ОКБ на завод № 21, затем- на завод № 31, но это не было выполнено. В -12.1941 г. ОКБ-301 Гудкова было эвакуировано в Новосибирск на завод № 153. Продолжены работы по модификации ЛаГТ-3 с пушками Шпитального и Таубина, самолету Гу-37.</w:t>
      </w:r>
    </w:p>
    <w:p w14:paraId="1BFEC6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12.1941 г. Гудков с группой сотрудников откомандирован в Горький на завод № 21 для внедрения в серию самолетов Гу-37 и Гу-82. Но на заводе № 21 он так и не работал, т.к. ему препятствовал Лавочкин. В итоге через несколько месяцев Гудков вернулся в Химки на старое место. Оставшаяся в Новосибирске часть коллектива, работавшая при СКБ-1 завода № 153, по приказу № 145с от 21.02.1942 г. была реэвакуирована на площадку бывшего завода № 301 в Химки. Были построены самолеты Гу-37, Гу-82, проект ЛаГГ-3 с дополнительным РТД- 1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Люльки. После аварии Гу-37 по приказу № 405с от 1.07.1943 г. ОКБ-301 было ликвидировано, личный состав передан в ОКБ Лавочкина. Этим же приказом М.И. Гудков назначен зам. начальника ОТК завода № 84 НКАП. Затем (на 01.1946 г.) Гудков снова занимался конструкторской деятельностью, в 1956-59г,- гл. конструктор ОКБ-424 МАГ1 по автоматическим аэростатам.</w:t>
      </w:r>
    </w:p>
    <w:p w14:paraId="18076F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(1937-30.12.1938 г.)- А.А. Дубровин, (05.1939 г.-&gt; М.И. Гудков.</w:t>
      </w:r>
    </w:p>
    <w:p w14:paraId="704F04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конструктора (1937-38 г.)- А. Г. Брунов.</w:t>
      </w:r>
    </w:p>
    <w:p w14:paraId="226BCC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Ответственный руководитель (05.1939 г.-)- М.И. Гудков (11982).</w:t>
      </w:r>
    </w:p>
    <w:p w14:paraId="1C9076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D2A9A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октября 1941 г. по приказу № 1072сс от завод № 25 (Завод № 25 НКТП, НКОП, НКАП /г. Москва Семеновская пл., 7;  г. Ульяновск/) был эвакуирован в  г. Ульяновск на площадку строящегося завода № 283 НКАП. В результате их объединения по приказу № 69с от 26.01.1942 г. образован единый завод № 25 НКАП. Позже в него влились эвакуированные заводы № 30 НКАП, № 123 НКАП и местный строящийся завод № 127 НКАП. В конце 1941 г. заводу № 25 НКАП переданы часть оборудования и личного состава завода № 30 НКАП.</w:t>
      </w:r>
    </w:p>
    <w:p w14:paraId="168155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спецстанков, инструмента, оснастки, приспособлений для авиазаводов. Кроме основного производства, изготавливал мины ПОМЗ.</w:t>
      </w:r>
    </w:p>
    <w:p w14:paraId="7AB653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площадке эвакуированного завода в Москве действовал филиал завода № 25 при 4ГУ. По приказу № 424с от 7.06.1942 г. филиал был размещен на площадке опытного завода ЦИАМ. Директор филиала (1942-43 г.-)- Шенкман. Производство резцов. По приказу НКАП № 122с от 27.02.1943 г. оборудование и личный состав филиала завода № 25 переданы заводу № 315 НКАП. На старой площадке (Семеновская пл.) после войны действовал электротехнический завод, в н. вр. это- Московский завод электроприборов.</w:t>
      </w:r>
    </w:p>
    <w:p w14:paraId="3FB870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1942 г. в состав завода влито ОКБ  Г.М. Можаровского и И.В. Веневидова (переведено из  г. Кирова с завода № 32 НКАП, где КБ-2  Г.М. Можаровского и И.В. Веневидова работало в эвакуации).</w:t>
      </w:r>
    </w:p>
    <w:p w14:paraId="21AD9C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 154с от 17.03.1943 г. неиспользуемые площади завода, а также площадка бывшего завода № 127 НКАП переданы в распоряжение Автомобильного завода им. Сталина НКСМ.</w:t>
      </w:r>
    </w:p>
    <w:p w14:paraId="1C4B2F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ГКО № 4006с от 29.08.1943 г. и по приказу № 528с от 2.09.1943 г. завод № 25 НКАП со всем оборудованием и кадрами переведен в Москву и влит в состав завода № 500 НКАП. Тем же приказом производство электродрелей с оборудованием и кадрами переведено на завод № 140 НКАП.</w:t>
      </w:r>
    </w:p>
    <w:p w14:paraId="0B5F6F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 Потапенко, (-15.02.1937 г.)-  Г.И. Старченко (снят), (15.02.1937-09.1943 г.)- И.А. Исаков.</w:t>
      </w:r>
    </w:p>
    <w:p w14:paraId="673256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(26.03.1938 г.-)- Л.Б. Евангулов.</w:t>
      </w:r>
    </w:p>
    <w:p w14:paraId="11249E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(1942 г.)- И.В. Крылов.</w:t>
      </w:r>
    </w:p>
    <w:p w14:paraId="44D83A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(26.03.1938 г.-)- Л.Б. Евангулов (11982).</w:t>
      </w:r>
    </w:p>
    <w:p w14:paraId="363E53EE" w14:textId="77777777" w:rsidR="001C4D24" w:rsidRPr="00640820" w:rsidRDefault="001C4D24" w:rsidP="00640820">
      <w:pPr>
        <w:autoSpaceDE w:val="0"/>
        <w:autoSpaceDN w:val="0"/>
        <w:adjustRightInd w:val="0"/>
        <w:spacing w:after="0" w:line="240" w:lineRule="auto"/>
        <w:jc w:val="both"/>
        <w:rPr>
          <w:rFonts w:ascii="Times New Roman" w:hAnsi="Times New Roman"/>
          <w:color w:val="000000" w:themeColor="text1"/>
          <w:sz w:val="16"/>
          <w:szCs w:val="16"/>
        </w:rPr>
      </w:pPr>
    </w:p>
    <w:p w14:paraId="1026A6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октября 1941 г. завод № 464 (Завод № 464 НКАП, МОП, МАП, Долгопрудненский машиностроительный завод (ДМЗ), ДМПО, Долгопрудненское научно-производственное предприятие (ДНПП), ОАО «ДНПП» /г. Тушино Московской обл.;  г. Тюмень;  г. Долгопрудный Московской обл./ /141700  г. Долгопрудный Московской обл. пл. Собина, 1 тел. 408-34-22/) эвакуирован в Тюмень на площади бывшего пивоваренного завода и крытого рынка.</w:t>
      </w:r>
    </w:p>
    <w:p w14:paraId="35C5E3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мая 1942 г. по приказу № 340с завод № 464 реэвакуирован в Тушино на площадку бывшего завода № 445 НКАП для увеличения производства планера А-7.</w:t>
      </w:r>
    </w:p>
    <w:p w14:paraId="03AE2E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618с от 12.08.1942 г. завод № 464 был определен ведущим по производству А-7 и А-2 и по их модификации. Для этого ОКБ Антонова переведено с завода № 241 в Тушино для продолжения работ по планерам.</w:t>
      </w:r>
    </w:p>
    <w:p w14:paraId="4C40BE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707с от 16.09.1942 г. в состав завода № 464 влиты заводы № 388 и № 457 НКАП. Профиль завода изменен: вместо А-7 началось производство самолета Як-6.</w:t>
      </w:r>
    </w:p>
    <w:p w14:paraId="6AD9C5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789с от 19.10.1942 г. при заводе № 464 образована группа ПМ (пластмасс), в ее состав переведен коллектив ОКБ завода № 294 НКАП гл. конструктора Д.А. Михайлова.</w:t>
      </w:r>
    </w:p>
    <w:p w14:paraId="3F8794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174с от 27.03.1943 г. заводу № 464 переданы часть личного состава, оборудования и материалы завода № 445 НКАП.</w:t>
      </w:r>
    </w:p>
    <w:p w14:paraId="4F5B08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416с от 14.07.1943 г. завод № 464 для улучшения условий для ремонта самолета Ли-2 перебазирован на ст. Долгопрудная Московской обл. на площадку завода № 462 НКАП и объединен с ним под названием Завод № 464 НКАП в системе Г1ГУ. Одновременно тем же приказом в Тушино на освободившуюся площадку завода № 464 переведен Завод № 289 НКАП из Молотова и завод № 380 из Калининграда. С 07.1943 г. заводу задан ремонт Як-6.</w:t>
      </w:r>
    </w:p>
    <w:p w14:paraId="72619B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имел два филиала. Московский филиал завода- Красносельская мебельная фабрика Горместпрома. По приказу № 487с от 10.08.1943 г. она передана в качестве филиала № 1 заводу № 381 НКАП. Другой филиал (возможно, это Мебельная фабрика Управления делами СНК СССР) по приказу № 743с от 11.12.1943 г. также передан заводу № 3 81 НКАП в качестве филиала № 2.</w:t>
      </w:r>
    </w:p>
    <w:p w14:paraId="25A0BD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1944 г. выпущена экспериментальная партия высокоточных планирующих бомб.</w:t>
      </w:r>
      <w:r w:rsidRPr="00640820">
        <w:rPr>
          <w:rFonts w:ascii="Times New Roman" w:hAnsi="Times New Roman"/>
          <w:color w:val="000000" w:themeColor="text1"/>
          <w:sz w:val="16"/>
          <w:szCs w:val="16"/>
          <w:vertAlign w:val="superscript"/>
        </w:rPr>
        <w:t>104</w:t>
      </w:r>
    </w:p>
    <w:p w14:paraId="228A7D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 приказу № 404с от20.10.1945гзаводс 1.10.1945 г. передан из 11ГУв 17ГУ для работ по радиоаппаратуре и электротехническим изделиям. Передан из 17ГУ в 11ГУ с 1.01.1946 г. Передан как опытный завод из 11ГУ в 7ГУ с 1.06.1946 г. Передан из 7ГУ в ИГУ с 1.07.1948 г. как серийный завод. Передан из 11ГУ в 1ГУ с 1.03.1951 г. </w:t>
      </w:r>
      <w:r w:rsidRPr="00640820">
        <w:rPr>
          <w:rFonts w:ascii="Times New Roman" w:hAnsi="Times New Roman"/>
          <w:color w:val="000000" w:themeColor="text1"/>
          <w:sz w:val="16"/>
          <w:szCs w:val="16"/>
        </w:rPr>
        <w:lastRenderedPageBreak/>
        <w:t>Передан из 1ГУ в 6ГУ с 1.10.1951 г. С 07.1953 г. переведен в 9ГУ МОП. С 08.1953 г. - в 6ГУ МАП. По приказу № 268с от 19.04.1955 г. передан из 6ГУ МАП в МОП с 1.04.1955 г. В соответствии с пост. СМ СССР № 713-342 от 26.06.1957 г. передан в ведение СНХ РСФСР.</w:t>
      </w:r>
    </w:p>
    <w:p w14:paraId="360510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419с от 2.07.1946 г. завод определен в качестве производственной базы А.С. Яковлева. Началось освоение производства планера Як-14.</w:t>
      </w:r>
    </w:p>
    <w:p w14:paraId="7B4D21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06.1951 г. началось освоение ЗУР В-300 для системы С-25 ПВО Москвы, с 1957 г.- освоение В-750. С 1958 г.- подготовка к производству противоракеты В-1000. По решению ВПК от 4.04.1963 г. заводу поручен выпуск противоракет А-350 системы А-35 (но изготовлено лишь несколько опытных).</w:t>
      </w:r>
    </w:p>
    <w:p w14:paraId="58F898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03.1958 г. при заводе создано ОКБ.</w:t>
      </w:r>
    </w:p>
    <w:p w14:paraId="53FA99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01.1964 г. началось освоение производства Ан-2М.</w:t>
      </w:r>
    </w:p>
    <w:p w14:paraId="4FEE22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1953  г. назывался Долгопруденский машиностроительный завод. В 1991 г. переименован в ДНПП. В 2002 г.- ОАО «ДНПП». В его состав входят (2002 г.): Долгопруденский машиностроительный завод, Воскресенский агрегатный завод, Кимовский завод металлоизделий. По решению правительства № 22-р от 9.01.2004 г. вошло в перечень стратегических предприятий.</w:t>
      </w:r>
    </w:p>
    <w:p w14:paraId="7D9B75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(-02-07.1943 г.-)- П.П. Перовский, (12.1943 г.)- М.И. Шелухин, (-02-11.1944 г.-)- А.В. Агурьев, (-02- 05.1945 г.-)- И.М. Шпаков, (-03.1946-49 г.-)- Борисов, (1959 г.)- И.В. Дорошенко. Гендиректор (1990-е)-  Г.М. Мордвинов, (1999 г.)- В.П. Эктов,</w:t>
      </w:r>
      <w:r w:rsidRPr="00640820">
        <w:rPr>
          <w:rFonts w:ascii="Times New Roman" w:hAnsi="Times New Roman"/>
          <w:color w:val="000000" w:themeColor="text1"/>
          <w:sz w:val="16"/>
          <w:szCs w:val="16"/>
          <w:vertAlign w:val="superscript"/>
        </w:rPr>
        <w:t>58</w:t>
      </w:r>
      <w:r w:rsidRPr="00640820">
        <w:rPr>
          <w:rFonts w:ascii="Times New Roman" w:hAnsi="Times New Roman"/>
          <w:color w:val="000000" w:themeColor="text1"/>
          <w:sz w:val="16"/>
          <w:szCs w:val="16"/>
        </w:rPr>
        <w:t xml:space="preserve"> (1999-2006 г.-)-  Г.П. Ежов.</w:t>
      </w:r>
    </w:p>
    <w:p w14:paraId="4FF0DF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гендиректора: (2004 г.)- В.Г1. Эктов, (2009 г.)- В. Аверчук; по финансово-экономическим вопросам (- 1999 г.)-  Г.П. Ежов; по режиму и охране-  Г.П. Ежов.</w:t>
      </w:r>
    </w:p>
    <w:p w14:paraId="66C480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Гл. конструктор (07.1941 г.-)- </w:t>
      </w:r>
      <w:r w:rsidRPr="00640820">
        <w:rPr>
          <w:rFonts w:ascii="Times New Roman" w:hAnsi="Times New Roman"/>
          <w:color w:val="000000" w:themeColor="text1"/>
          <w:sz w:val="16"/>
          <w:szCs w:val="16"/>
          <w:lang w:val="en-US"/>
        </w:rPr>
        <w:t>O</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K</w:t>
      </w:r>
      <w:r w:rsidRPr="00640820">
        <w:rPr>
          <w:rFonts w:ascii="Times New Roman" w:hAnsi="Times New Roman"/>
          <w:color w:val="000000" w:themeColor="text1"/>
          <w:sz w:val="16"/>
          <w:szCs w:val="16"/>
        </w:rPr>
        <w:t>. Антонов, (07.1946-47 г.)- А.С. Яковлев. Ген. конструктор (-1999-2004 г.-)- В.П. Эктов.</w:t>
      </w:r>
      <w:r w:rsidRPr="00640820">
        <w:rPr>
          <w:rFonts w:ascii="Times New Roman" w:hAnsi="Times New Roman"/>
          <w:color w:val="000000" w:themeColor="text1"/>
          <w:sz w:val="16"/>
          <w:szCs w:val="16"/>
          <w:vertAlign w:val="superscript"/>
        </w:rPr>
        <w:t>69</w:t>
      </w:r>
    </w:p>
    <w:p w14:paraId="1B7408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(2004 г.)- А.П. Коробов.</w:t>
      </w:r>
    </w:p>
    <w:p w14:paraId="4D646A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цехов: (2004 г.)- В.В. Кононов.</w:t>
      </w:r>
    </w:p>
    <w:p w14:paraId="205F43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Ведущие конструкторы: (2004 г.)- А.П. Булашевич, (2004 г.)- В.В. Соков.</w:t>
      </w:r>
    </w:p>
    <w:p w14:paraId="01A4CF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планер А-7 (1941-42);</w:t>
      </w:r>
      <w:r w:rsidRPr="00640820">
        <w:rPr>
          <w:rFonts w:ascii="Times New Roman" w:hAnsi="Times New Roman"/>
          <w:iCs/>
          <w:color w:val="000000" w:themeColor="text1"/>
          <w:sz w:val="16"/>
          <w:szCs w:val="16"/>
        </w:rPr>
        <w:t xml:space="preserve"> самолеты:</w:t>
      </w:r>
      <w:r w:rsidRPr="00640820">
        <w:rPr>
          <w:rFonts w:ascii="Times New Roman" w:hAnsi="Times New Roman"/>
          <w:color w:val="000000" w:themeColor="text1"/>
          <w:sz w:val="16"/>
          <w:szCs w:val="16"/>
        </w:rPr>
        <w:t xml:space="preserve"> Як-6 (1942-43)- 50, У-2 (1943-45)- 1364, Як-14, Як-10 (1946)- 2, Як-12 (1948-51), Як-15УТ, Як-16, Ан-2М (1966-71)- 506;</w:t>
      </w:r>
      <w:r w:rsidRPr="00640820">
        <w:rPr>
          <w:rFonts w:ascii="Times New Roman" w:hAnsi="Times New Roman"/>
          <w:iCs/>
          <w:color w:val="000000" w:themeColor="text1"/>
          <w:sz w:val="16"/>
          <w:szCs w:val="16"/>
        </w:rPr>
        <w:t xml:space="preserve"> ЗУР:</w:t>
      </w:r>
      <w:r w:rsidRPr="00640820">
        <w:rPr>
          <w:rFonts w:ascii="Times New Roman" w:hAnsi="Times New Roman"/>
          <w:color w:val="000000" w:themeColor="text1"/>
          <w:sz w:val="16"/>
          <w:szCs w:val="16"/>
        </w:rPr>
        <w:t xml:space="preserve"> В-300 («205», 1952-54), «207А» (1954-57), В-750 (1957-58), В-750В (1959-60), В-755 (1961-), 13Д (1960), ЗМ9 для ЗРК «Куб» (1967-), ЗМ9М1 для «Куб-М1» (1972- ), ЗМ9МЗ для «Куб-МЗ» (1975-), 9М38 для ЗРК «Бук» (1977-), 9М38М1 для «Бук-М1» и «Штиль» (1982-2003-), 9М317 для ЗРК «Бук-М1-2» (1994-2003-);</w:t>
      </w:r>
      <w:r w:rsidRPr="00640820">
        <w:rPr>
          <w:rFonts w:ascii="Times New Roman" w:hAnsi="Times New Roman"/>
          <w:iCs/>
          <w:color w:val="000000" w:themeColor="text1"/>
          <w:sz w:val="16"/>
          <w:szCs w:val="16"/>
        </w:rPr>
        <w:t xml:space="preserve"> УР:</w:t>
      </w:r>
      <w:r w:rsidRPr="00640820">
        <w:rPr>
          <w:rFonts w:ascii="Times New Roman" w:hAnsi="Times New Roman"/>
          <w:color w:val="000000" w:themeColor="text1"/>
          <w:sz w:val="16"/>
          <w:szCs w:val="16"/>
        </w:rPr>
        <w:t xml:space="preserve"> Р-33 (1981-);</w:t>
      </w:r>
      <w:r w:rsidRPr="00640820">
        <w:rPr>
          <w:rFonts w:ascii="Times New Roman" w:hAnsi="Times New Roman"/>
          <w:iCs/>
          <w:color w:val="000000" w:themeColor="text1"/>
          <w:sz w:val="16"/>
          <w:szCs w:val="16"/>
        </w:rPr>
        <w:t xml:space="preserve"> противоракеты:</w:t>
      </w:r>
      <w:r w:rsidRPr="00640820">
        <w:rPr>
          <w:rFonts w:ascii="Times New Roman" w:hAnsi="Times New Roman"/>
          <w:color w:val="000000" w:themeColor="text1"/>
          <w:sz w:val="16"/>
          <w:szCs w:val="16"/>
        </w:rPr>
        <w:t xml:space="preserve"> В-1000 (1959-62) -100, А-350Ж (1963), В-825 (5Я27, 1969-73)- 20; стрелковые установки ГП-9, СППУ-22, УПК-23 (1980-е); пусковая установка АПУ-60-</w:t>
      </w:r>
      <w:r w:rsidRPr="00640820">
        <w:rPr>
          <w:rFonts w:ascii="Times New Roman" w:hAnsi="Times New Roman"/>
          <w:color w:val="000000" w:themeColor="text1"/>
          <w:sz w:val="16"/>
          <w:szCs w:val="16"/>
          <w:lang w:val="en-US"/>
        </w:rPr>
        <w:t>II</w:t>
      </w:r>
      <w:r w:rsidRPr="00640820">
        <w:rPr>
          <w:rFonts w:ascii="Times New Roman" w:hAnsi="Times New Roman"/>
          <w:color w:val="000000" w:themeColor="text1"/>
          <w:sz w:val="16"/>
          <w:szCs w:val="16"/>
        </w:rPr>
        <w:t xml:space="preserve"> для Р-60; пороховые двигатели: ПРД-18М и ПРД-58 для В-750, ПРД-290 для В-755, ПРД-45 для В-625; корпуса РДТТ 5С47 для А-350 (1960-е); корректируемая авиабомба КАБ-500 (2003); программные блоки ракет- мишеней ЗМ20МЗ, запчасти для ракет ЗМ9МЗ и торпед (2003); передвижная контрольно-испытательная станция (КИПС) 5К45; система стартовой автоматики и обмена информацией стартовых комплексов; радиоприемники «Маршалл» (1945-);</w:t>
      </w:r>
      <w:r w:rsidRPr="00640820">
        <w:rPr>
          <w:rFonts w:ascii="Times New Roman" w:hAnsi="Times New Roman"/>
          <w:color w:val="000000" w:themeColor="text1"/>
          <w:sz w:val="16"/>
          <w:szCs w:val="16"/>
          <w:vertAlign w:val="superscript"/>
        </w:rPr>
        <w:t>101</w:t>
      </w:r>
      <w:r w:rsidRPr="00640820">
        <w:rPr>
          <w:rFonts w:ascii="Times New Roman" w:hAnsi="Times New Roman"/>
          <w:color w:val="000000" w:themeColor="text1"/>
          <w:sz w:val="16"/>
          <w:szCs w:val="16"/>
        </w:rPr>
        <w:t xml:space="preserve"> пассажирские кресла для ж/д вагонов (2009).</w:t>
      </w:r>
    </w:p>
    <w:p w14:paraId="2AAF25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Ремонт:</w:t>
      </w:r>
      <w:r w:rsidRPr="00640820">
        <w:rPr>
          <w:rFonts w:ascii="Times New Roman" w:hAnsi="Times New Roman"/>
          <w:color w:val="000000" w:themeColor="text1"/>
          <w:sz w:val="16"/>
          <w:szCs w:val="16"/>
        </w:rPr>
        <w:t xml:space="preserve"> Як-6 (1943-).</w:t>
      </w:r>
    </w:p>
    <w:p w14:paraId="1C4B51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Заводской №:</w:t>
      </w:r>
      <w:r w:rsidRPr="00640820">
        <w:rPr>
          <w:rFonts w:ascii="Times New Roman" w:hAnsi="Times New Roman"/>
          <w:color w:val="000000" w:themeColor="text1"/>
          <w:sz w:val="16"/>
          <w:szCs w:val="16"/>
        </w:rPr>
        <w:t xml:space="preserve"> Ан-2М</w:t>
      </w:r>
      <w:r w:rsidRPr="00640820">
        <w:rPr>
          <w:rFonts w:ascii="Times New Roman" w:hAnsi="Times New Roman"/>
          <w:iCs/>
          <w:color w:val="000000" w:themeColor="text1"/>
          <w:sz w:val="16"/>
          <w:szCs w:val="16"/>
        </w:rPr>
        <w:t xml:space="preserve"> № 600810:</w:t>
      </w:r>
      <w:r w:rsidRPr="00640820">
        <w:rPr>
          <w:rFonts w:ascii="Times New Roman" w:hAnsi="Times New Roman"/>
          <w:color w:val="000000" w:themeColor="text1"/>
          <w:sz w:val="16"/>
          <w:szCs w:val="16"/>
        </w:rPr>
        <w:t xml:space="preserve"> 6- год выпуска, 008- серия, 10- № самолета в серии.</w:t>
      </w:r>
    </w:p>
    <w:p w14:paraId="10936F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ОКБ завода № 464 гл. конструктора </w:t>
      </w:r>
      <w:r w:rsidRPr="00640820">
        <w:rPr>
          <w:rFonts w:ascii="Times New Roman" w:hAnsi="Times New Roman"/>
          <w:color w:val="000000" w:themeColor="text1"/>
          <w:sz w:val="16"/>
          <w:szCs w:val="16"/>
          <w:lang w:val="en-US"/>
        </w:rPr>
        <w:t>O</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K</w:t>
      </w:r>
      <w:r w:rsidRPr="00640820">
        <w:rPr>
          <w:rFonts w:ascii="Times New Roman" w:hAnsi="Times New Roman"/>
          <w:color w:val="000000" w:themeColor="text1"/>
          <w:sz w:val="16"/>
          <w:szCs w:val="16"/>
        </w:rPr>
        <w:t>. Антонова</w:t>
      </w:r>
    </w:p>
    <w:p w14:paraId="032FBE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618с от 12.08.1942 г. ОКБ Антонова переведено с завода № 241 в Тушино на завод № 464 для продолжения работ по планерам А-7 (РФ-8) и А-2 (УС-6). Велись также работы по планерам А-Т, А-ИП (ВП) и А- БП (ВПБ). ОКБ привлекалось к работам по тематике группы Д.А. Михайлова.</w:t>
      </w:r>
    </w:p>
    <w:p w14:paraId="59AD73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09.1942 г. работы по планерам приостановлены. Антонов в 1943-46 г. работал в ОКБ Яковлева.</w:t>
      </w:r>
    </w:p>
    <w:p w14:paraId="6E4578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Группа «ПМ» при заводе № 464 НКАП</w:t>
      </w:r>
    </w:p>
    <w:p w14:paraId="7A1C34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Образована по приказу № 789с от 19.10.1942 г. для проектирования самолетных и планерных агрегатов и деталей из пластмасс. Тем же приказом в состав группы переведен коллектив ОКБ ПМ гл. конструктора Д.А. Михайлова со всем оборудованием и заделами с завода № 294 НКАП (филиал завода № 22 НКАП).</w:t>
      </w:r>
    </w:p>
    <w:p w14:paraId="2710B3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1943 г. группа Д.А. Михайлова размещалась уже на территории завода № 156, хотя формально принадлежала заводу № 464. Отсюда по приказу № 107с от 22.02.1943 г. она была передана в состав ВИАМ.</w:t>
      </w:r>
    </w:p>
    <w:p w14:paraId="46BDD4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завода № 464</w:t>
      </w:r>
    </w:p>
    <w:p w14:paraId="7B9A54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10.03.1958 г. для разработки и внедрения в серию ЗУР для систем ПВО и ПРО.</w:t>
      </w:r>
    </w:p>
    <w:p w14:paraId="6AAAA4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Спроектирован и испытан ряд экспериментальных ракет для проведения НИР по заказу ЦАГИ, ЛИИ, ЦИАМ. С 09.1959 г.- разработка 2Я2ТА, по решению ВПК от 21.12.1959 г. создавалась С1А, по решению ВПК от 23.05.1961 г.-Я2ТА, в 1963 г. создана 1Я2ТА.</w:t>
      </w:r>
    </w:p>
    <w:p w14:paraId="2F70DA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1958-60 г.- разработка ракеты для системы ПРО «Сатурн». В 1960 г. по инициативе П.Д. Грушина и директора завода И.В. Дорошенко работы были прекращены.</w:t>
      </w:r>
    </w:p>
    <w:p w14:paraId="176DFD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1970 г. принимало участие в разработке ЗУР и стартовой автоматики для ЗРК «Бук». В 1994-97 г. совместно с НИИП им. Тихомирова и Ульяновским механическим заводом разработан ЗРК «Бук-М1-2» и ракета 9МЗ17.</w:t>
      </w:r>
    </w:p>
    <w:p w14:paraId="71B0A5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(2005 г.): разработка ракет 9МЗ17М, 9МЗ17А, 9МЗ17МА.</w:t>
      </w:r>
    </w:p>
    <w:p w14:paraId="20D4C0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(1958-61 г.)- Л. Г. Головин (снят).</w:t>
      </w:r>
    </w:p>
    <w:p w14:paraId="1CF255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(-1961 г.)- Л. Г. Головин, (1961 г.-)- М.А. Любомудров.</w:t>
      </w:r>
    </w:p>
    <w:p w14:paraId="17D040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конструкторы: В.П. Эктов (9М317).</w:t>
      </w:r>
    </w:p>
    <w:p w14:paraId="2B4281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Создано: ЗУР:</w:t>
      </w:r>
      <w:r w:rsidRPr="00640820">
        <w:rPr>
          <w:rFonts w:ascii="Times New Roman" w:hAnsi="Times New Roman"/>
          <w:color w:val="000000" w:themeColor="text1"/>
          <w:sz w:val="16"/>
          <w:szCs w:val="16"/>
        </w:rPr>
        <w:t xml:space="preserve"> 9М38М1, 9М317; исследовательские ракеты Я2ТА, 1Я2ТА, 2Я2ТА, С1А на базе В-1000; передвижная контрольно-испытательная станция (КИПС) 5К45 для войск ПВО; система стартовой автоматики и обмена информацией стартовых комплексов сухопутных и морских ракет.</w:t>
      </w:r>
    </w:p>
    <w:p w14:paraId="316982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ФГУП «Воскресенский государственный казенный агрегатный завод» /ст. Фаустово Московской обл. тел. 556-07-47/</w:t>
      </w:r>
    </w:p>
    <w:p w14:paraId="37B238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Входил в ОАО «ДНПП» (2002 г.). По Указу Президента РФ № 1009 от 4.08.2004 г. вошло в перечень стратегических оборонных предприятий.</w:t>
      </w:r>
    </w:p>
    <w:p w14:paraId="4B390F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Кнмовский завод металлоизделий /г. Кимовск Тульской обл./</w:t>
      </w:r>
    </w:p>
    <w:p w14:paraId="671DE9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Входил в ОАО «ДНПП» (2002 г.) (11982).</w:t>
      </w:r>
    </w:p>
    <w:p w14:paraId="01A602A0" w14:textId="77777777" w:rsidR="001C4D24" w:rsidRPr="00640820" w:rsidRDefault="001C4D24" w:rsidP="00640820">
      <w:pPr>
        <w:autoSpaceDE w:val="0"/>
        <w:autoSpaceDN w:val="0"/>
        <w:adjustRightInd w:val="0"/>
        <w:spacing w:after="0" w:line="240" w:lineRule="auto"/>
        <w:jc w:val="both"/>
        <w:rPr>
          <w:rFonts w:ascii="Times New Roman" w:hAnsi="Times New Roman"/>
          <w:color w:val="000000" w:themeColor="text1"/>
          <w:sz w:val="16"/>
          <w:szCs w:val="16"/>
        </w:rPr>
      </w:pPr>
    </w:p>
    <w:p w14:paraId="58BF6F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октября 1941 г. по приказу № 1072сс опытный завод № 294 7ГУ НКАП (Завод № 294 НКАП, МАП, Завод сельскохозяйственного машиностроения, Завод Пластмасс, Приборный завод, Завод технических изделий, п/я 423, Казанский завод «Радиоприбор», ГУП, ОАО «Радиоприбор» /ст. Подмосковная г. Москва;  г. Казань/ /Татарстан 420022 (420021,420029)  г. Казань ул. Фаткуллина, 2 тел. 64-55-61/) был эвакуирован в Казань на территорию пивоваренного завода НКПП. По приказу № 488с от 4.07.1942 г. завод передан из 7ГУ в ЮГУ и подчинен вновь образованному заводу № 22 НКАП вместе с ОКБ Д.А. Михайлова в качестве филиала для серийного изготовления самолетных деталей из пластмасс.</w:t>
      </w:r>
    </w:p>
    <w:p w14:paraId="432CC2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13с от 6.01.1942 г. на площадку бывшего завода № 294</w:t>
      </w:r>
      <w:r w:rsidRPr="00640820">
        <w:rPr>
          <w:rFonts w:ascii="Times New Roman" w:hAnsi="Times New Roman"/>
          <w:iCs/>
          <w:color w:val="000000" w:themeColor="text1"/>
          <w:sz w:val="16"/>
          <w:szCs w:val="16"/>
        </w:rPr>
        <w:t xml:space="preserve"> в</w:t>
      </w:r>
      <w:r w:rsidRPr="00640820">
        <w:rPr>
          <w:rFonts w:ascii="Times New Roman" w:hAnsi="Times New Roman"/>
          <w:color w:val="000000" w:themeColor="text1"/>
          <w:sz w:val="16"/>
          <w:szCs w:val="16"/>
        </w:rPr>
        <w:t xml:space="preserve"> Москве переведен завод № 480 НКАП.</w:t>
      </w:r>
    </w:p>
    <w:p w14:paraId="27344E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755с от 16.12.1943 г. завод вновь выделен из состава завода № 22 в самостоятельный с 1.01.1944 г. Введен в эксплуатацию с 1944 г. в ЮГУ. Тем же приказом при заводе образовано КБ по проектированию прессформ и деталей из пластмасс.</w:t>
      </w:r>
    </w:p>
    <w:p w14:paraId="1CB233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24с от 29.01.1946 г. завод с 1.01.1946 г. передан из ЮГУ в 17ГУ с целью организации производства высокочастотных пластмассовых изделий для радиопромышленности (прежде всего для Б-4).</w:t>
      </w:r>
    </w:p>
    <w:p w14:paraId="7B76FE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1942 г. назывался Завод Пластмасс, с 1949 г.- Приборный завод.</w:t>
      </w:r>
    </w:p>
    <w:p w14:paraId="1F101F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174с от 9.03.1950 г. на базе завода № 7 (треста № 41) с 1.03.1950 г. образован филиал завода № 294. Далее в соответствии с пост. СМ № 3145-1304сс от 14.07.1950 г. и приказом № 578с от 26.07.1950 г. на базе филиала образован самостоятельный завод № 371 МАП с 1.07.1950 г.</w:t>
      </w:r>
    </w:p>
    <w:p w14:paraId="48950E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СМ СССР № 713-342 от 26.06.1957 г. передан в ведение Татарского СНХ (по 1965 г.). С 1962 г. имел название Завод технических изделий, «предприятие- п/я 423»; с 1967 г.- Казанский завод «Радиоприбор». В 1977 г. на базе завода создано Татарское ПО «Радиоприбор». В 2000 г. ГУП «Радиоприбор» акционировано и преобразовано в ОАО. В 11.2002(0) г. вошло в Корпорацию «Аэрокосмическое оборудование». По решению правительства № 22-р от 9.01.2004 г. вошло в перечень стратегических предприятий.</w:t>
      </w:r>
    </w:p>
    <w:p w14:paraId="195A03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 408-193 от 16.04.1958 г. начата организация производства системы «Свод». 18.06.1960 г. вышло ПСМ № 639-260 «Об изготовлении и внедрении на самолеты и вертолеты аппаратуры радиотехнической системы ближней навигации РСБН-2 «Свод».</w:t>
      </w:r>
    </w:p>
    <w:p w14:paraId="2D3D0F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1967 г. образован филиал- Альметьевский завод «Радиоприбор».</w:t>
      </w:r>
    </w:p>
    <w:p w14:paraId="1A9A47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Имел дочерние предприятия (2002 г.)- КГП «Аэросервис», ГУЛ «Радиоприбор-СМ».</w:t>
      </w:r>
    </w:p>
    <w:p w14:paraId="2BBBB2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1983 г. освоено производство БЦВМ.</w:t>
      </w:r>
    </w:p>
    <w:p w14:paraId="5AAC60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Разработка и производство (2003-05 г.): системы госопознавания, бортовые системы радионавигации и посадки </w:t>
      </w:r>
      <w:r w:rsidRPr="00640820">
        <w:rPr>
          <w:rFonts w:ascii="Times New Roman" w:hAnsi="Times New Roman"/>
          <w:color w:val="000000" w:themeColor="text1"/>
          <w:sz w:val="16"/>
          <w:szCs w:val="16"/>
          <w:lang w:val="en-US"/>
        </w:rPr>
        <w:t>JIA</w:t>
      </w:r>
      <w:r w:rsidRPr="00640820">
        <w:rPr>
          <w:rFonts w:ascii="Times New Roman" w:hAnsi="Times New Roman"/>
          <w:color w:val="000000" w:themeColor="text1"/>
          <w:sz w:val="16"/>
          <w:szCs w:val="16"/>
        </w:rPr>
        <w:t>, бортовые ЦВМ; стендовое оборудование для регламетных работ.</w:t>
      </w:r>
    </w:p>
    <w:p w14:paraId="21FF96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(2002 г.)- 2000 чел.</w:t>
      </w:r>
    </w:p>
    <w:p w14:paraId="6536B6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(начало 1941 г.)- Ф.С. Малахов, (10.1941 г.)- Младенцев. Гендиректор (-2003-05 г.-)- Р.У. Апаков.</w:t>
      </w:r>
    </w:p>
    <w:p w14:paraId="7F16AA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по материально-финансовым вопросам (-1953 г.)- К.А. Машевский.</w:t>
      </w:r>
    </w:p>
    <w:p w14:paraId="239034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производства по филиалам- В.А. Иванцов.</w:t>
      </w:r>
    </w:p>
    <w:p w14:paraId="6E2C75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СЛМП- В.А. Иванцов.</w:t>
      </w:r>
    </w:p>
    <w:p w14:paraId="3AAB8E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цехов: К.А. Машевский, (1950-е)- Н.С. Смоляр.</w:t>
      </w:r>
    </w:p>
    <w:p w14:paraId="627523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испытаний- В.А. Иванцов.</w:t>
      </w:r>
    </w:p>
    <w:p w14:paraId="42D8ED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lastRenderedPageBreak/>
        <w:t>Производство:</w:t>
      </w:r>
      <w:r w:rsidRPr="00640820">
        <w:rPr>
          <w:rFonts w:ascii="Times New Roman" w:hAnsi="Times New Roman"/>
          <w:color w:val="000000" w:themeColor="text1"/>
          <w:sz w:val="16"/>
          <w:szCs w:val="16"/>
        </w:rPr>
        <w:t xml:space="preserve"> система госопознавания «Барий-М» (1948-), запросчик-ответчик «Хром-Никель»; бортовая аппаратура: системы опознавания «Кремний-2»; РСБН, КПА для нее (1958-); станция «Протон» (1950-е); комплексная подвижная РТ система ближней навигации РСБН-2 «Свод» (</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960-), радиотехническое оборудование «Узел» (1960-е); СРЗО-2М; навигационная аппаратура РБСН</w:t>
      </w:r>
      <w:r w:rsidRPr="00640820">
        <w:rPr>
          <w:rFonts w:ascii="Times New Roman" w:hAnsi="Times New Roman"/>
          <w:iCs/>
          <w:color w:val="000000" w:themeColor="text1"/>
          <w:sz w:val="16"/>
          <w:szCs w:val="16"/>
        </w:rPr>
        <w:t xml:space="preserve"> (2002);</w:t>
      </w:r>
      <w:r w:rsidRPr="00640820">
        <w:rPr>
          <w:rFonts w:ascii="Times New Roman" w:hAnsi="Times New Roman"/>
          <w:color w:val="000000" w:themeColor="text1"/>
          <w:sz w:val="16"/>
          <w:szCs w:val="16"/>
        </w:rPr>
        <w:t xml:space="preserve"> микропроцессорные контроллеры «Ломиконт», МП КСУ, «Ремиконт» (2002); исполнительные электромеханизмы МЭО, МЭП (2002);</w:t>
      </w:r>
      <w:r w:rsidRPr="00640820">
        <w:rPr>
          <w:rFonts w:ascii="Times New Roman" w:hAnsi="Times New Roman"/>
          <w:color w:val="000000" w:themeColor="text1"/>
          <w:sz w:val="16"/>
          <w:szCs w:val="16"/>
          <w:vertAlign w:val="superscript"/>
        </w:rPr>
        <w:t>69</w:t>
      </w:r>
      <w:r w:rsidRPr="00640820">
        <w:rPr>
          <w:rFonts w:ascii="Times New Roman" w:hAnsi="Times New Roman"/>
          <w:color w:val="000000" w:themeColor="text1"/>
          <w:sz w:val="16"/>
          <w:szCs w:val="16"/>
        </w:rPr>
        <w:t xml:space="preserve"> телевизор «Звезда»; антенны: ПСКД-5-1 «Казань», АТНА-7.1 (11982).</w:t>
      </w:r>
    </w:p>
    <w:p w14:paraId="170E2438" w14:textId="77777777" w:rsidR="001C4D24" w:rsidRPr="00640820" w:rsidRDefault="001C4D24" w:rsidP="00640820">
      <w:pPr>
        <w:autoSpaceDE w:val="0"/>
        <w:autoSpaceDN w:val="0"/>
        <w:adjustRightInd w:val="0"/>
        <w:spacing w:after="0" w:line="240" w:lineRule="auto"/>
        <w:jc w:val="both"/>
        <w:rPr>
          <w:rFonts w:ascii="Times New Roman" w:hAnsi="Times New Roman"/>
          <w:color w:val="000000" w:themeColor="text1"/>
          <w:sz w:val="16"/>
          <w:szCs w:val="16"/>
        </w:rPr>
      </w:pPr>
    </w:p>
    <w:p w14:paraId="14903D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октября 1941 г. по приказу № 1072сс в Горький эвакуирован завод № 119 НКАП. Он базировался на территории филиала № 1 и на площадке Авиатехникума с конца 1941 г. По приказу № 1121с от 15.11.1941 г. завод № 119 подчинен заводу № 21 на правах филиала. Директор филиала- А.Ф. Попов. По приказу № 26с от 11.01.1942 г. филиал вновь получил статус самостоятельного завода № 119 НКАП в системе 2ГУ. В его распоряжение передана площадка филиала № 1 завода № 21 НКАП. По приказу № 19с от 25.01.1946 г. площадка бывшего завод им. Воробьева (филиала № 1 завода № 21) освобождена заводом № 119 и передана НКМВ. При заводе действовали филиалы по производству корпусов снарядов и РГД-33. Корпус завода «Гудок Октября» передан в 1940 г. из НКОМ заводу № 21 НКАП как один из филиалов. В 04.1941 г. для расширения площадей по выпуску ЛаГТ-3 заводу переданы площади Завода им. Воробьева НКОМ (завода «Гудок Октября») в качестве филиала № 1 завода № 21. Начальник филиала № 1 (07.1942 г.)- Сухарев (11982).</w:t>
      </w:r>
    </w:p>
    <w:p w14:paraId="7C8BAA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5255F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октября 1941г. по приказу № 1072сс завод № 119 2ГУ НКАП (Завод № 119 НКОП, Завод № 119 им. Г.М. Маленкова НКАП, АО «П. Ильин», Московский военно-автомобильный завод ВСНХ, Завод автомобильных запчастей «Спартак», Горьковское ПО «Гидромаш», Р-6328, Нижегородское ОАО «Гидромаш» /г. Москва ул. Пименовская, 2 (1920г.); ул. Краснопролетарская; 1-й Щемиловский пер., 16; г. Горький Сталинский р-н, ул. Интернациональная, 85/ /603022 г. Нижний Новгород пр. Гагарина, 22 тел. 78-84-44/) эвакуирован и с конца 1941г. базировался на территории филиала № 1 завода № 21 НКАП (бывшего завода им. Воробьева- «Гудок Октября») и на площадке Авиатехникума. По приказу № 1121с от 15.11.1941 г. завод № 119 подчинен заводу № 21 на правах филиала. Директор филиала- А.Ф. Попов. По приказу № 277с от 14.04.1942 г. часть несмонтированного оборудования завода № 119 передана филиалу завода № 145 в Болшево.</w:t>
      </w:r>
    </w:p>
    <w:p w14:paraId="55C526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территории «а» в Москве был образован завод № 282 НКАП по термоизмерительным приборам.</w:t>
      </w:r>
    </w:p>
    <w:p w14:paraId="075357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территория «б» сначала оставался филиал завода № 119, затем она была передана в распоряжение МАТИ для организации лабораторий и мастерских. В соответствии с пост. ГКО № 3919с от 13.08.1943 г. и приказом НКАП № 532с от 3.09.1943 г. на площадке по 1-му Щемиловскому пер., 16 в 10.1943 г. организован филиал завода № 149 НКАП. В соответствии с распоряжением правительства № 17703рс от 1.09.1944 г. и приказом НКАП № 570с от 20.09.1944 г. филиал преобразован в самостоятельный завод № 295 НКАП. С 1952 г. на площадке образован завод № 914 МАП.</w:t>
      </w:r>
    </w:p>
    <w:p w14:paraId="235E77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26с от 11.01.1942 г. филиал завода № 21 получил статус самостоятельного завода № 119 НКАП в системе 2ГУ. В распоряжение завода передана площадка филиала № 1 завода № 21 НКАП.</w:t>
      </w:r>
    </w:p>
    <w:p w14:paraId="7A1774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Продолжено производство шасси.</w:t>
      </w:r>
    </w:p>
    <w:p w14:paraId="70CFA5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19с от 25.01.1946 г. площадка бывшего завод им. Воробьева (филиала № 1 завода № 21) освобождена заводом № 119 и передана НКМВ.</w:t>
      </w:r>
    </w:p>
    <w:p w14:paraId="690B30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280с от 7.05.1946 г. завод передан из 2ГУ в 1ГУ, с 1951 г.- в 14ГУ, с 1953 г.- из 14ГУ во 2ГУ, с 1.05.1956 г.- из 2ГУ в 1ГУ. В соответствии с пост. СМ СССР № 713-342 от 26.06.1957 г. передан в ведение СНХ РСФСР.</w:t>
      </w:r>
    </w:p>
    <w:p w14:paraId="6D47E5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были построены производственные корпуса, начался серийный выпуск агрегатов шасси.</w:t>
      </w:r>
    </w:p>
    <w:p w14:paraId="7A3240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1972 г. в состав завода вошло КБ «Автоприбор», проектирующее шасси.</w:t>
      </w:r>
    </w:p>
    <w:p w14:paraId="74CE67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1993 г. предприятие совместно с немецкой МВВ выиграло конкурс на создание шасси для европейского многоразового космического корабля «Гермес». В 2000-е  г. изготавливало титановые блоки для системы управления спойлерами А-380. Была проведена подготовка производства передней опоры шасси для А-350. Для этого был куплен станок глубокого сверления ТВТ (ФРГ). Для концерна «Либхерр» изготовлялись компоненты самолетов </w:t>
      </w:r>
      <w:r w:rsidRPr="00640820">
        <w:rPr>
          <w:rFonts w:ascii="Times New Roman" w:hAnsi="Times New Roman"/>
          <w:color w:val="000000" w:themeColor="text1"/>
          <w:sz w:val="16"/>
          <w:szCs w:val="16"/>
          <w:lang w:val="en-US"/>
        </w:rPr>
        <w:t>Embraer</w:t>
      </w:r>
      <w:r w:rsidRPr="00640820">
        <w:rPr>
          <w:rFonts w:ascii="Times New Roman" w:hAnsi="Times New Roman"/>
          <w:color w:val="000000" w:themeColor="text1"/>
          <w:sz w:val="16"/>
          <w:szCs w:val="16"/>
        </w:rPr>
        <w:t>-135/145, -170/175, -190; для компаний Глобал Экспресс и Агуста - АВ-139; для французской «Месье Даути» - А-340 и АТР-42.</w:t>
      </w:r>
    </w:p>
    <w:p w14:paraId="2D6418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2000-05 г. были приобретены: обрабатывающие центры фирм </w:t>
      </w:r>
      <w:r w:rsidRPr="00640820">
        <w:rPr>
          <w:rFonts w:ascii="Times New Roman" w:hAnsi="Times New Roman"/>
          <w:color w:val="000000" w:themeColor="text1"/>
          <w:sz w:val="16"/>
          <w:szCs w:val="16"/>
          <w:lang w:val="en-US"/>
        </w:rPr>
        <w:t>Hermle</w:t>
      </w:r>
      <w:r w:rsidRPr="00640820">
        <w:rPr>
          <w:rFonts w:ascii="Times New Roman" w:hAnsi="Times New Roman"/>
          <w:color w:val="000000" w:themeColor="text1"/>
          <w:sz w:val="16"/>
          <w:szCs w:val="16"/>
        </w:rPr>
        <w:t xml:space="preserve"> и </w:t>
      </w:r>
      <w:r w:rsidRPr="00640820">
        <w:rPr>
          <w:rFonts w:ascii="Times New Roman" w:hAnsi="Times New Roman"/>
          <w:color w:val="000000" w:themeColor="text1"/>
          <w:sz w:val="16"/>
          <w:szCs w:val="16"/>
          <w:lang w:val="en-US"/>
        </w:rPr>
        <w:t>Index</w:t>
      </w:r>
      <w:r w:rsidRPr="00640820">
        <w:rPr>
          <w:rFonts w:ascii="Times New Roman" w:hAnsi="Times New Roman"/>
          <w:color w:val="000000" w:themeColor="text1"/>
          <w:sz w:val="16"/>
          <w:szCs w:val="16"/>
        </w:rPr>
        <w:t xml:space="preserve"> (Германия), </w:t>
      </w:r>
      <w:r w:rsidRPr="00640820">
        <w:rPr>
          <w:rFonts w:ascii="Times New Roman" w:hAnsi="Times New Roman"/>
          <w:color w:val="000000" w:themeColor="text1"/>
          <w:sz w:val="16"/>
          <w:szCs w:val="16"/>
          <w:lang w:val="en-US"/>
        </w:rPr>
        <w:t>Mandelly</w:t>
      </w:r>
      <w:r w:rsidRPr="00640820">
        <w:rPr>
          <w:rFonts w:ascii="Times New Roman" w:hAnsi="Times New Roman"/>
          <w:color w:val="000000" w:themeColor="text1"/>
          <w:sz w:val="16"/>
          <w:szCs w:val="16"/>
        </w:rPr>
        <w:t xml:space="preserve"> (Италия); шлифовальный программный станок </w:t>
      </w:r>
      <w:r w:rsidRPr="00640820">
        <w:rPr>
          <w:rFonts w:ascii="Times New Roman" w:hAnsi="Times New Roman"/>
          <w:color w:val="000000" w:themeColor="text1"/>
          <w:sz w:val="16"/>
          <w:szCs w:val="16"/>
          <w:lang w:val="en-US"/>
        </w:rPr>
        <w:t>ShaudPF</w:t>
      </w:r>
      <w:r w:rsidRPr="00640820">
        <w:rPr>
          <w:rFonts w:ascii="Times New Roman" w:hAnsi="Times New Roman"/>
          <w:color w:val="000000" w:themeColor="text1"/>
          <w:sz w:val="16"/>
          <w:szCs w:val="16"/>
        </w:rPr>
        <w:t xml:space="preserve">-61 (Германия), заточной станок </w:t>
      </w:r>
      <w:r w:rsidRPr="00640820">
        <w:rPr>
          <w:rFonts w:ascii="Times New Roman" w:hAnsi="Times New Roman"/>
          <w:color w:val="000000" w:themeColor="text1"/>
          <w:sz w:val="16"/>
          <w:szCs w:val="16"/>
          <w:lang w:val="en-US"/>
        </w:rPr>
        <w:t>Walter</w:t>
      </w:r>
      <w:r w:rsidRPr="00640820">
        <w:rPr>
          <w:rFonts w:ascii="Times New Roman" w:hAnsi="Times New Roman"/>
          <w:color w:val="000000" w:themeColor="text1"/>
          <w:sz w:val="16"/>
          <w:szCs w:val="16"/>
        </w:rPr>
        <w:t xml:space="preserve"> (Германия). Термический комплекс завода оснащен шахтными печами </w:t>
      </w:r>
      <w:r w:rsidRPr="00640820">
        <w:rPr>
          <w:rFonts w:ascii="Times New Roman" w:hAnsi="Times New Roman"/>
          <w:color w:val="000000" w:themeColor="text1"/>
          <w:sz w:val="16"/>
          <w:szCs w:val="16"/>
          <w:lang w:val="en-US"/>
        </w:rPr>
        <w:t>Pegat</w:t>
      </w:r>
      <w:r w:rsidRPr="00640820">
        <w:rPr>
          <w:rFonts w:ascii="Times New Roman" w:hAnsi="Times New Roman"/>
          <w:color w:val="000000" w:themeColor="text1"/>
          <w:sz w:val="16"/>
          <w:szCs w:val="16"/>
        </w:rPr>
        <w:t xml:space="preserve"> (Польша), вакуумной печью </w:t>
      </w:r>
      <w:r w:rsidRPr="00640820">
        <w:rPr>
          <w:rFonts w:ascii="Times New Roman" w:hAnsi="Times New Roman"/>
          <w:color w:val="000000" w:themeColor="text1"/>
          <w:sz w:val="16"/>
          <w:szCs w:val="16"/>
          <w:lang w:val="en-US"/>
        </w:rPr>
        <w:t>Elterma</w:t>
      </w:r>
      <w:r w:rsidRPr="00640820">
        <w:rPr>
          <w:rFonts w:ascii="Times New Roman" w:hAnsi="Times New Roman"/>
          <w:color w:val="000000" w:themeColor="text1"/>
          <w:sz w:val="16"/>
          <w:szCs w:val="16"/>
        </w:rPr>
        <w:t xml:space="preserve"> (Польша), холодильной камерой </w:t>
      </w:r>
      <w:r w:rsidRPr="00640820">
        <w:rPr>
          <w:rFonts w:ascii="Times New Roman" w:hAnsi="Times New Roman"/>
          <w:color w:val="000000" w:themeColor="text1"/>
          <w:sz w:val="16"/>
          <w:szCs w:val="16"/>
          <w:lang w:val="en-US"/>
        </w:rPr>
        <w:t>Messer</w:t>
      </w:r>
      <w:r w:rsidRPr="00640820">
        <w:rPr>
          <w:rFonts w:ascii="Times New Roman" w:hAnsi="Times New Roman"/>
          <w:color w:val="000000" w:themeColor="text1"/>
          <w:sz w:val="16"/>
          <w:szCs w:val="16"/>
        </w:rPr>
        <w:t xml:space="preserve"> (ФРГ)</w:t>
      </w:r>
    </w:p>
    <w:p w14:paraId="741AF8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1989 г. имело наименование- предприятие п/я Р-6328. В 1992 г. ПО «Гидромаш» акционировано. По решению правительства № 22-р от 9.01.2004 г. вошло в перечень стратегических предприятий.</w:t>
      </w:r>
    </w:p>
    <w:p w14:paraId="49B690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Работы (2004 г.): проектирование и изготовление взлетно-посадочных устройств </w:t>
      </w:r>
      <w:r w:rsidRPr="00640820">
        <w:rPr>
          <w:rFonts w:ascii="Times New Roman" w:hAnsi="Times New Roman"/>
          <w:color w:val="000000" w:themeColor="text1"/>
          <w:sz w:val="16"/>
          <w:szCs w:val="16"/>
          <w:lang w:val="en-US"/>
        </w:rPr>
        <w:t>JIA</w:t>
      </w:r>
      <w:r w:rsidRPr="00640820">
        <w:rPr>
          <w:rFonts w:ascii="Times New Roman" w:hAnsi="Times New Roman"/>
          <w:color w:val="000000" w:themeColor="text1"/>
          <w:sz w:val="16"/>
          <w:szCs w:val="16"/>
        </w:rPr>
        <w:t xml:space="preserve"> (шасси и гидроагрегаты); стиральные машины.</w:t>
      </w:r>
    </w:p>
    <w:p w14:paraId="7BD734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(1.01.2001 г.)- 3175 чел., (2002 г.)- 4000 чел.</w:t>
      </w:r>
    </w:p>
    <w:p w14:paraId="0A0F6F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(-06-10.12.1937 г.)- А.А. Еленин, (10.12.1937-09.1938 г.-)- П.А. Антонов, (1939 г.)- А. Качеров, (12.1940-41 г.)- А.Ф. Попов, (-01.1943-06.1944 г.-)- Григорьев, (01.1946 г.)- В.А. Солонин, (50-е  г.)- А.А. Волков, (1969 г.-)- В.И. Лузянин. Гендиректор (1999 г.)- В.И. Лузянин, (-2002-10.2004 г.-)- Е.А. Живулин.</w:t>
      </w:r>
    </w:p>
    <w:p w14:paraId="0D32CC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гендиректора (2006 г.)- А.В. Лузянин. Зам. директора (06.1937 г.)- А.С. Покрас. Зам. гендиректора по маркетингу (2006 г.)- С.В. Касаткин.</w:t>
      </w:r>
    </w:p>
    <w:p w14:paraId="70DAD4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(-06.1937-19.07.1938 г.)- С.А. Покрас, (19.07.1938 г.-)- А.Я. Качеров.</w:t>
      </w:r>
      <w:r w:rsidRPr="00640820">
        <w:rPr>
          <w:rFonts w:ascii="Times New Roman" w:hAnsi="Times New Roman"/>
          <w:color w:val="000000" w:themeColor="text1"/>
          <w:sz w:val="16"/>
          <w:szCs w:val="16"/>
          <w:vertAlign w:val="superscript"/>
        </w:rPr>
        <w:t>139</w:t>
      </w:r>
    </w:p>
    <w:p w14:paraId="161A52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автомобили НАМИ-1, «Форд-АА-НАМИ»; шасси для самолетов И-16, УТИ-4, И-29, ДБ-3, Пе- 2, И-180, УТ-3, ПС-84, Ер-2, Ил-2, ЛаГГ-3, И-240, ОКО-6, «302» (1942), ОК «Буран» (1988) (11982).</w:t>
      </w:r>
    </w:p>
    <w:p w14:paraId="0AE6D0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3CDEC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октября 1941 г. завод № 30 10ГУ НКАП был эвакуирован и по реке направлен в Куйбышев. Оставшееся оборудование законсервировано и сдано под охрану. На р. Чкаловка завод был перегружен в железнодорожный эшелон и по приказу № 11 Юсс от 11.11.1941  г. направлен  г. Омск на площадку складов УГМР, переданных заводу № 29 НКАП (планировалась эвакуация в  г. Чкаловск Горьковской обл. на Судоремонтный завод им. Ульянова- Ленина НКречфлота). Часть оборудования и личного состава в конце 1941 г. переданы заводу № 25 НКАП. В 11.1941 г. эшелоны направлены в Москву. В результате коллектив и мощности завода постоянно были на колесах, и завод так и не вступил в строй. По приказу № 1170сс от 18.12.1941 г. мощности и личный состав завода переданы для формирования нового завода № 23 НКАП и № 30 НКАП, По приказу № 277с от 14.04.1942 г. часть несмонтированного оборудования завода № 30 передана филиалу завода № 145 в Болшево.</w:t>
      </w:r>
    </w:p>
    <w:p w14:paraId="1DF998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старой площадке в Иваньково по приказу НКАП № 372с от 11.05.1942 г. образован новый опытный завод морского самолетостроения № 458 в системе 7ГУ НКАП.</w:t>
      </w:r>
    </w:p>
    <w:p w14:paraId="0B4EAD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(1938 г.)- А.П. Свердлов, (1939-08.1940 г.)- И. Г. Загайнов, (08.1940-10.1941 г.)- Я.К. Руденко, (10.1941 г.-)- И.Н. Смирнов.</w:t>
      </w:r>
    </w:p>
    <w:p w14:paraId="6475A7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строительства (8.10.1937-46 г.)- Е.Т. Ястребилов.</w:t>
      </w:r>
    </w:p>
    <w:p w14:paraId="10BA70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(1939-40 г.)- А.П. Голубков, (01-10.1941 г.)- И.В. Четвериков.</w:t>
      </w:r>
    </w:p>
    <w:p w14:paraId="5B686B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технолог (1939-42 г.)- Б.Д. Иванов. Начальник производства (-12.1940 г.)- С.П. Литвиненко (затем- директор завода № 465).</w:t>
      </w:r>
    </w:p>
    <w:p w14:paraId="4FE649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гидросамолеты: МТБ-2 (1939)- 1, Че-2, МДР-5, Бе-4, МДР-7 (11982).</w:t>
      </w:r>
    </w:p>
    <w:p w14:paraId="50A8B8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3C646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15-16 октября 1941 г. завод № 288 7ГУ НКАП и ОКБ Бериева эвакуировались сначала в Чкаловск на площадку Судоремонтного завода, но здесь производственных мощностей не оказалось, и по приказу № 1110сс от 11.11.1941 г. эшелоны переориентировали дальше- в Куломзино,  г. Омск, на площадку складов УГМР, переданных заводу № 29 НКАП. Часть оборудования и личного состава размещена на площадке завода № 166 НКАП и была влита в его состав. Вскоре по приказу № 7 от 20.12.1941 г. завод и ОКБ-288 были размещены на площадке Куломзинского филиала завода № 166 (бывшие авиаремонтные мастерские ГВФ). Этим же приказом филиал со всем оборудованием и личным составом передан в распоряжение завода № 288. Здесь же разместились конструкторские группы В.М. Мясищева и Томашевича.</w:t>
      </w:r>
    </w:p>
    <w:p w14:paraId="1893EE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площадке эвакуированного завода в Кимрах по приказу № 149с от 21.02.1942 г. образованы Ремонтные мастерские для переоборудования иностранных самолетов (начальник- З.Б. Ценципер). Далее они преобразованы в Савеловские фронтовые мастерские (директор- Поленов). С 06.1943 г. здесь разместился завод № 491.</w:t>
      </w:r>
    </w:p>
    <w:p w14:paraId="7E249B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новом месте в Омске достраивалась онытная серия КОР-2, оказывалась помощь заводу № 166 в производстве Ту-2. Проектировался и строился самолет «110» «Пегас» конструкции Томашевича.</w:t>
      </w:r>
    </w:p>
    <w:p w14:paraId="5D75DE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НКАП от 03.05.1943 г. ОКБ-288 переведено в Красноярск на завод № 477.</w:t>
      </w:r>
    </w:p>
    <w:p w14:paraId="0DEE17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приказом № 367сс от 22.06.1943 г. конструкторская группа В.М. Мясищева переведена в Казань и влита в состав ОКБ-22, которое возглавил Мясщцев.</w:t>
      </w:r>
    </w:p>
    <w:p w14:paraId="02130C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 469с от 3.08.1943 г. все сооружения завода № 288 НКАП (кроме ЛИС и территории, временно закрепленной за ОКБ А.Н. Туполева по приказу № 430сс от 20.07.1943 г.) переданы заводу № 29 НКАП.</w:t>
      </w:r>
    </w:p>
    <w:p w14:paraId="2FD18B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(05.1940-04.1941 г.-)- Н.И. Чеблуков. И.О. директора (12.1941-03.1942 г.)- А.В. Ляпидевский. Директор (03.1942-08.1943 г.-)- Г .Я. Кутепов.</w:t>
      </w:r>
    </w:p>
    <w:p w14:paraId="14EE9E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завода (-01.1941 г.)- П.Д. Самсонов, (01.1941 г.-)-  Г.М. Бериев.</w:t>
      </w:r>
    </w:p>
    <w:p w14:paraId="214F44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 самолетКОР-2</w:t>
      </w:r>
      <w:r w:rsidRPr="00640820">
        <w:rPr>
          <w:rFonts w:ascii="Times New Roman" w:hAnsi="Times New Roman"/>
          <w:color w:val="000000" w:themeColor="text1"/>
          <w:sz w:val="16"/>
          <w:szCs w:val="16"/>
        </w:rPr>
        <w:t xml:space="preserve"> (1941-42)-6.</w:t>
      </w:r>
    </w:p>
    <w:p w14:paraId="790A02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Заводской №:</w:t>
      </w:r>
      <w:r w:rsidRPr="00640820">
        <w:rPr>
          <w:rFonts w:ascii="Times New Roman" w:hAnsi="Times New Roman"/>
          <w:color w:val="000000" w:themeColor="text1"/>
          <w:sz w:val="16"/>
          <w:szCs w:val="16"/>
        </w:rPr>
        <w:t xml:space="preserve"> 28801 (11982).</w:t>
      </w:r>
    </w:p>
    <w:p w14:paraId="102012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969D3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октября 1941 г. по приказу № 1072сс на площадку строящегося завода № 285 был эвакуирован завод № 469 НКАП, в результате объединениея двух заводов образован единый радиаторный завод № 469 НКАП.</w:t>
      </w:r>
    </w:p>
    <w:p w14:paraId="2BEE7D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Директор (-10.1941 г.)- Ф.П. Коробейников.</w:t>
      </w:r>
    </w:p>
    <w:p w14:paraId="773EE8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(-10.1941 г.)- А.П. Плетников (11982).</w:t>
      </w:r>
    </w:p>
    <w:p w14:paraId="437325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3708C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октября 1941 г. по приказу № 1072сс завод № 290 (Завод № 290 НКАП, Ухтомский авиазавод /ст. Ухтомская Московской обл.;  г. Билимбай Свердловской обл./) и ОКБ (7ГУ) был эвакуирован в  г. Билимбай и разместился на площадке филиала завода № 468 НКАП в здании клуба (бывшей церкви).</w:t>
      </w:r>
    </w:p>
    <w:p w14:paraId="7FCF22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Планировалось расформировать завод и ОКБ по приказу № 224с от 19.03.1942 г., но это было сделано в 1943 г. (приказ № 14с от 13.01.1943 г.). Завод и ОКБ Камова расформированы. Завод со всем оборудованием и личным составом влит в состав завода № 82 НКАП. По приказу № 27С от 18.01.1943 г. часть оборудования передана на завод № 289 НКАП, а автожир АК передан на хранение в ОКБ-3 И.П. Братухина при МАИ.</w:t>
      </w:r>
    </w:p>
    <w:p w14:paraId="4873FC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площадке эвакуированного завода недолго существовали авторемонтные мастерские, затем по приказу № 239с от 30.03.1942 г. образован Ремонтный завод при Главремуправлении НКАП для ремонта Р-5. Далее здесь действовал завод наземного оборудования, а после ВОВ на этом месте образовался завод № 938 МАП.</w:t>
      </w:r>
    </w:p>
    <w:p w14:paraId="249E5C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И.О. директора (05.1940 г.)- Н.И. Камов. Директор (1.06.1940-01.1943 г.)- Н.И. Камов.</w:t>
      </w:r>
    </w:p>
    <w:p w14:paraId="6A61F5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(1.06.1940-01.1943 г.)- Н.И. Камов.</w:t>
      </w:r>
    </w:p>
    <w:p w14:paraId="4B03EFAF" w14:textId="77777777" w:rsidR="001C4D24"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конструктора (12.1940-01.1943 г.)- М.Л.'Миль.</w:t>
      </w:r>
    </w:p>
    <w:p w14:paraId="710EEA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ОКБ-290 НКАП</w:t>
      </w:r>
    </w:p>
    <w:p w14:paraId="643CDB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ОКБ-290 НКАП гл. конструктора Н.И. Камова действовало при опытном заводе № 290 НКАП в 1940-43 г.</w:t>
      </w:r>
    </w:p>
    <w:p w14:paraId="0DC0D0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по доводке автожира А-7. Проектировались А-7-ЗА, АК, истребитель с</w:t>
      </w:r>
      <w:r w:rsidRPr="00640820">
        <w:rPr>
          <w:rFonts w:ascii="Times New Roman" w:hAnsi="Times New Roman"/>
          <w:iCs/>
          <w:color w:val="000000" w:themeColor="text1"/>
          <w:sz w:val="16"/>
          <w:szCs w:val="16"/>
        </w:rPr>
        <w:t xml:space="preserve"> убирающимся</w:t>
      </w:r>
      <w:r w:rsidRPr="00640820">
        <w:rPr>
          <w:rFonts w:ascii="Times New Roman" w:hAnsi="Times New Roman"/>
          <w:color w:val="000000" w:themeColor="text1"/>
          <w:sz w:val="16"/>
          <w:szCs w:val="16"/>
        </w:rPr>
        <w:t xml:space="preserve"> ротором (1941 г.).</w:t>
      </w:r>
    </w:p>
    <w:p w14:paraId="390F65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1072сс от 15.10.1941 г. ОКБ-290 7ГУ НКАП вместе с заводом № 290 было эвакуировано в  г. Билимбай Свердловской обл. Здесь с 12.1941 г. продолжены работы по автожиру АК.</w:t>
      </w:r>
    </w:p>
    <w:p w14:paraId="1EC462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14с от 13.01.1943 г. ОКБ и завод расформированы. Н.И. Камов в 1943-45 г. занимался перевооружением бомбардировщика А-20 «Бостон», в 1945-47 г. работал в ЦАГИ (11982).</w:t>
      </w:r>
    </w:p>
    <w:p w14:paraId="6F14C191" w14:textId="77777777" w:rsidR="001C4D24" w:rsidRPr="00640820" w:rsidRDefault="001C4D24" w:rsidP="00640820">
      <w:pPr>
        <w:autoSpaceDE w:val="0"/>
        <w:autoSpaceDN w:val="0"/>
        <w:adjustRightInd w:val="0"/>
        <w:spacing w:after="0" w:line="240" w:lineRule="auto"/>
        <w:jc w:val="both"/>
        <w:rPr>
          <w:rFonts w:ascii="Times New Roman" w:hAnsi="Times New Roman"/>
          <w:color w:val="000000" w:themeColor="text1"/>
          <w:sz w:val="16"/>
          <w:szCs w:val="16"/>
        </w:rPr>
      </w:pPr>
    </w:p>
    <w:p w14:paraId="0A52C7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октября 1941 г. по приказу № 1072сс завод № 468 (ГС Завод № 468 НКАП, МАП, Агрегатный завод «Универсал», ГП, ФГУП «Московский конструкторско-ироизводственный комплекс (МКПК) «Универсал», АО «Универсал» /г. Москва ст. Бескудниково;  г. Билимбай Свердловской обл.;  г. Москва д. Горьковенко ст. Бескудниково (1944 г.)/ /127410  г. Москва Алтуфьевское ш., 79А тел. 901-14-11/) эвакуирован в  г. Билимбай на площадку своего филиала. Тем же приказом сюда же эвакуированы заводы № 290 и № 293 НКАП.</w:t>
      </w:r>
    </w:p>
    <w:p w14:paraId="24C980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Территория в Бескудниково преобразована в филиал завода № 468. С 04.1942 г. здесь налажен ремонт десантно-транспортного имущества ВДВ КА. Производство приспособлений для транспортировки планера А-7. В 1946 г. здесь организован завод № 499 МАП.</w:t>
      </w:r>
    </w:p>
    <w:p w14:paraId="614684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03.1942 г. завод был передан из 7ГУ в 11ГУ. В соответствии с пост. ГКО № 3218с от 21.04.1943 г. и приказом № 273с от 6.05.1943 г. завод № 468 в  г. Билимбай был передан Глававиастрою. Тем же приказом филиал завода в Бескудниково преобразован в самостоятельный завод № 468 при 11 ГУ НКАП для продолжения производства десантно-транспортного имущества.</w:t>
      </w:r>
    </w:p>
    <w:p w14:paraId="696199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подвесок для парашютного десантирования мотоциклов, велосипедов, пушек. Завод являлся производственной базой двух КБ: гл. конструкторов А.И. Привалова и П.В. Цыбина. С конца 1945 г. завод передан из 11ГУ в 7ГУ. В 08.1957 г. - в ведении 1ГУ МАП. В 1966 г. переименован в Агрегатный завод «Универсал».</w:t>
      </w:r>
    </w:p>
    <w:p w14:paraId="604A5B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64сс от 3.02.1955 г. заводу были переданы работы по проектированию и изготовлению опытных образцов наземной аэродромной техники (АПА-12, АПА-35, УПГ-150, УПГ-250) с завода № 938 МАП и переведена часть специалистов.</w:t>
      </w:r>
    </w:p>
    <w:p w14:paraId="1FA9F5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Десантно-транспортная техника, ПД и АО, СНО </w:t>
      </w:r>
      <w:r w:rsidRPr="00640820">
        <w:rPr>
          <w:rFonts w:ascii="Times New Roman" w:hAnsi="Times New Roman"/>
          <w:color w:val="000000" w:themeColor="text1"/>
          <w:sz w:val="16"/>
          <w:szCs w:val="16"/>
          <w:lang w:val="en-US"/>
        </w:rPr>
        <w:t>AT</w:t>
      </w:r>
      <w:r w:rsidRPr="00640820">
        <w:rPr>
          <w:rFonts w:ascii="Times New Roman" w:hAnsi="Times New Roman"/>
          <w:color w:val="000000" w:themeColor="text1"/>
          <w:sz w:val="16"/>
          <w:szCs w:val="16"/>
        </w:rPr>
        <w:t xml:space="preserve"> (1953-57 г.). Разработка парашютных систем. С 1965 г. завод стал головным по разработке парашютно-десантной техники и СНО.</w:t>
      </w:r>
    </w:p>
    <w:p w14:paraId="56438F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1958-59 г. начались работы по источникам питания ракет и запуска двигателей ракет. Принимал участие в программе создания ОК «Буран». В 1990-е  г. создан ряд наземных агрегатов: пассажирские авиационные трапы, передвижные электростанции, насосные агрегаты, пускоагрегаты, транспортировочные и монтажные тележки, аэрофинишеры.</w:t>
      </w:r>
    </w:p>
    <w:p w14:paraId="78D484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Предприятие имело филиалы (1990-е  г.) в  г. Жуковский (зам. гл. конструктора - Д.Ф. Патрушев) и в Самаре (директор- В. Г. Соков).</w:t>
      </w:r>
    </w:p>
    <w:p w14:paraId="0BEAF5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Разработка и производство (2002 г.): средства обслуживания военных и гражданских ЛА (гидро-, электроустановки, установки воздушного запуска двигателей, заправщики спецжидкостями и газами, тележки и приспособления, гидроподъемники, лестницы, стремянки, мобильные контрольно-ремонтные мастерские, аэродромные аварийно-тормозные установки); парашютно-десантная техника (самолетное десантное оборудование, парашютные платформы).</w:t>
      </w:r>
    </w:p>
    <w:p w14:paraId="4FCA4D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1992 г. завод преобразован в ГП «МКПК «Универсал», с 2004 г.- ФГУП. По решению правительства № 22-р от 9.01.2004 г. и Указу Президента РФ № 1009 от 4.08.2004 г. вошел в число стратегических оборонных предприятий.</w:t>
      </w:r>
    </w:p>
    <w:p w14:paraId="1F158E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(1940 г.-; 05.1943 г.-)- А.И. Привалов, (12.1943 г.)- Байдуков; и.о. директора (11.1944 г.)- Воздвиженский; (03.1946 г.)- А.И. Привалов, (2005 г.)- С.Ю. Родионов. Управляющий (-2000-02 г.-)- А.Н. Логвинов.</w:t>
      </w:r>
    </w:p>
    <w:p w14:paraId="18F65C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гендиректора (1990-е)- В.А. Баранов. Зам. директора по науке (2005 г.)- В.А. Егорычев. Коммерческий директор (2002 г.)- А.П. Спесивцев.</w:t>
      </w:r>
      <w:r w:rsidRPr="00640820">
        <w:rPr>
          <w:rFonts w:ascii="Times New Roman" w:hAnsi="Times New Roman"/>
          <w:color w:val="000000" w:themeColor="text1"/>
          <w:sz w:val="16"/>
          <w:szCs w:val="16"/>
          <w:vertAlign w:val="superscript"/>
        </w:rPr>
        <w:t>69</w:t>
      </w:r>
    </w:p>
    <w:p w14:paraId="3E5183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(1940-41 г.-;05-12.1943 г.;-1956 г.-)- А.И. Привалов, (12.1943-46 г.)- П.В. Цыбин, (1993 г.)- В.А. Баранов. Ген. Конструктор (1995 г.)- Н.Ф. Широков, (-2002-05 г.-)- Ю.С. Ермашук. Зам. гл. конструктора (1955 г.-)- В.В. Ильичев. Зам. гл. технолога (1950-е)- В.В. Ильичев. Начальники групп: крыла и оперения (1944-45 г.)- С.А. Бемов.</w:t>
      </w:r>
    </w:p>
    <w:p w14:paraId="583C01F5" w14:textId="77777777" w:rsidR="001C4D24"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Создано:</w:t>
      </w:r>
      <w:r w:rsidRPr="00640820">
        <w:rPr>
          <w:rFonts w:ascii="Times New Roman" w:hAnsi="Times New Roman"/>
          <w:color w:val="000000" w:themeColor="text1"/>
          <w:sz w:val="16"/>
          <w:szCs w:val="16"/>
        </w:rPr>
        <w:t xml:space="preserve"> парашютные системы для боевой техники: «Кентавр» с платформой П-7 дня десантирования БМД-1 с экипажем (1973), ПРСМ-915 «Реактавр» для БМД-2 (1978), ПБС-950 для БМД-3 (1998), «Спрут-ПДС» для пушки «Спрут-МД» (единственная в мире система для десантирования техники массой 20т); комплексы СНО для МиГ-25, Су-17М, Ту-22М, Ту-154, Ту-144, Ил-76, Ил-86, Як-40, Ан-124 (1967-76), Ил-114, Ил-96, Ту-204, Як-42, МиГ-29, Су-25, Су-27, ОК «Буран» (1980-90), самолетов и вертолетов для ТАВКР «Адмирал Кузнецов».</w:t>
      </w:r>
      <w:r w:rsidRPr="00640820">
        <w:rPr>
          <w:rFonts w:ascii="Times New Roman" w:hAnsi="Times New Roman"/>
          <w:color w:val="000000" w:themeColor="text1"/>
          <w:sz w:val="16"/>
          <w:szCs w:val="16"/>
          <w:vertAlign w:val="superscript"/>
        </w:rPr>
        <w:t xml:space="preserve">101 </w:t>
      </w: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десантная кабина Д-20 для ДБ-3 (ВОВ).</w:t>
      </w:r>
    </w:p>
    <w:p w14:paraId="112403F3" w14:textId="77777777" w:rsidR="001C4D24"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завода № 468, ОКБ-468 НКАП, МАП гл. конструктора А.И. Привалова / г. Москва ст. Бескудниково/</w:t>
      </w:r>
    </w:p>
    <w:p w14:paraId="2DB842FE" w14:textId="77777777" w:rsidR="001C4D24"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273 с от 6.05.1943 г. на вновь созданный завод № 468 переведено из  г. Билимбай ОКБ гл. конструктора А.И. Привалова, который назначен директором и гл. конструктором завода.</w:t>
      </w:r>
    </w:p>
    <w:p w14:paraId="10EEC9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по парашютной технике. Созданы парашюты для десантирования бензобаков, мотоциклов, пушек, парашюты Г-8, ПДК-4. Разработан КСД (комплекс совместного десантирования) «Кентавр» для БМД-1 (1973). 5.01.1973 г. состоялось первое в мире десантирование БМД-1 с экипажем. Затем создана ПРС (паранпотно- реактивная система) «Реактавр». Впервые испытана с экипажем 23.01.1976 г.</w:t>
      </w:r>
      <w:r w:rsidRPr="00640820">
        <w:rPr>
          <w:rFonts w:ascii="Times New Roman" w:hAnsi="Times New Roman"/>
          <w:color w:val="000000" w:themeColor="text1"/>
          <w:sz w:val="16"/>
          <w:szCs w:val="16"/>
          <w:vertAlign w:val="superscript"/>
        </w:rPr>
        <w:t xml:space="preserve">МХ2/03 </w:t>
      </w:r>
      <w:r w:rsidRPr="00640820">
        <w:rPr>
          <w:rFonts w:ascii="Times New Roman" w:hAnsi="Times New Roman"/>
          <w:color w:val="000000" w:themeColor="text1"/>
          <w:sz w:val="16"/>
          <w:szCs w:val="16"/>
        </w:rPr>
        <w:t>Гл. конструктор (05.1943-66 г.-)- А.И. Привалов.</w:t>
      </w:r>
    </w:p>
    <w:p w14:paraId="33AA0C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завода № 468 НКАП гл. конструктора П.В. Цыбина По приказу № 729с от 4.12.1943 г. на завод № 468 возложено проектирование и постройка тяжелого грузового десантного планера, в связи с чем гл. конструктором завода назначен П.В. Цыбин (одновременно остался начальником опытно-испытательного отдела ВДВ КА). Для обеспечения работ по планеру Ц-25 по приказу № 731с от 4.12.1943 г. при заводе организовано ОКБ. Штат его формировался, в основном, из специалистов с заводов № 168 и №468 НКАП.</w:t>
      </w:r>
    </w:p>
    <w:p w14:paraId="1DB391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05.1945 г. построен опытный экземпляр планера Ц-25 (затем строился серийно в Оренбурге), затем- опытный Ц-25М. С 1945 г. начались работы по моделям скоростных исследовательских планеров.</w:t>
      </w:r>
    </w:p>
    <w:p w14:paraId="0CF0DF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1946 г. ОКБ гл. конструктора П.В. Цыбина преобразовано в самостоятельный опытный завод № 499 МАП (11982).</w:t>
      </w:r>
    </w:p>
    <w:p w14:paraId="0FB62FE8" w14:textId="77777777" w:rsidR="001C4D24" w:rsidRPr="00640820" w:rsidRDefault="001C4D24" w:rsidP="00640820">
      <w:pPr>
        <w:autoSpaceDE w:val="0"/>
        <w:autoSpaceDN w:val="0"/>
        <w:adjustRightInd w:val="0"/>
        <w:spacing w:after="0" w:line="240" w:lineRule="auto"/>
        <w:jc w:val="both"/>
        <w:rPr>
          <w:rFonts w:ascii="Times New Roman" w:hAnsi="Times New Roman"/>
          <w:color w:val="000000" w:themeColor="text1"/>
          <w:sz w:val="16"/>
          <w:szCs w:val="16"/>
        </w:rPr>
      </w:pPr>
    </w:p>
    <w:p w14:paraId="5B589C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октября 1941 г. по приказу № 1072сс завод № 293 (Завод № 293 НКАП, МАП, Опытный завод «Фотолет» /г. Химки Московской обл.; пос. Билимбай Свердловской обл.;  г. Химки/) был эвакуирован в пос. Билимбай (60 км от Свердловска) на площадку филиала завода № 468 НКАП (литейный завод).</w:t>
      </w:r>
    </w:p>
    <w:p w14:paraId="717667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площадке эвакуированного завода в Химках в 1942 г. началось восстановление производства. По приказу № 239с от 30.03.1942 г. здесь образован Ремонтный завод в системе Главремуправления НКАП для ремонта трофейных самолетов. И.О. Директора А.И. Мамучашвили. Планировалось с 01.1942 г. наладить производство фюзеляжей «БИ».</w:t>
      </w:r>
    </w:p>
    <w:p w14:paraId="667257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 постановлению ГКО от 9.06.1942 г. и приказу № 433сс/ов от 11.06.1942 г. с Кировского завода на завод № 293 переведена группа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Люльки (23 чел.) для продолжения работ по ТРД (на заводе- с 1.07.1942 г.). В 1943 г. Люлька переведен в ЦИАМ. Этим же приказом планировалось перевести на завод конструкторскую группу Л.С. Душкина (В.А. Штоколов, А.В. Палло и др.) из НИИ-3 НКБ, однако, это не было осуществлено.</w:t>
      </w:r>
    </w:p>
    <w:p w14:paraId="4B8F71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Действовал деревообделочный филиал завода в дер. Новая Лужа Химкинского р-на. По приказу № 58с от 30.01.1943 г. филиал со всеми сооружениями передан заводу № 301.</w:t>
      </w:r>
    </w:p>
    <w:p w14:paraId="58FB10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21.06.1943 г. на заводе образован опытный отдел (ОКО)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Исаева по ЖРД.</w:t>
      </w:r>
    </w:p>
    <w:p w14:paraId="32A2FA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149сс от 28.02.1944 г. завод № 293 вошел в состав НИИ-1 НКАП, а по приказу № 370сс от 30.05.1944 г. стал его филиалом № 1 (начальник (01.1946 г.)- Нейман, начальник КБ- А.Я. Березняк). Продолжены работы по «БИ».</w:t>
      </w:r>
    </w:p>
    <w:p w14:paraId="316DA9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соответствии с пост. СМ № 1145-471сс от 31.05.1946 г. (о развитии работ по реактивной технике) и приказами № 361сс от 7.06.1946 г. и № 373с от 14.06.1946 г. в 7ГУ на базе филиала № 1 вновь образован самостоятельный завод № 293 НКАП (в связи с прекращением работ по самолетостроению в НИИ-1 и непригодности для </w:t>
      </w:r>
      <w:r w:rsidRPr="00640820">
        <w:rPr>
          <w:rFonts w:ascii="Times New Roman" w:hAnsi="Times New Roman"/>
          <w:color w:val="000000" w:themeColor="text1"/>
          <w:sz w:val="16"/>
          <w:szCs w:val="16"/>
        </w:rPr>
        <w:lastRenderedPageBreak/>
        <w:t xml:space="preserve">работ по ЖРД) и передан как опытная база гл. конструктору М.Р. Бисновату. В 10.1946 г. отдел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Исаева переведен на основную территорию НИИ-1. Березняк в 12.1946 г. назначен зам. гл. конструктора ОКБ-2 завода № 1 МАП.</w:t>
      </w:r>
    </w:p>
    <w:p w14:paraId="5719AE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1.05.1948 г. завод передан из 7ГУ в 14ГУ. 1.04.1953 г. завод № 293 передан в подчинение КБ-1 ТГУ СМ (по приказу МАП № 229сс от 21.02.1953 г.) как опытная база.</w:t>
      </w:r>
    </w:p>
    <w:p w14:paraId="0F49D3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начала 1954 г. преобразован в опытную базу ОКБ-2 МАП П.Д. Грушина (с этого времени перестало существовать название «завод № 293»).</w:t>
      </w:r>
    </w:p>
    <w:p w14:paraId="1E4885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(1940-44 г.)- В.Ф. Болховитинов, (1946-53 г.)- М.Р. Бисноват, (03.1952 г.)- Ф.П. Герасимов.</w:t>
      </w:r>
    </w:p>
    <w:p w14:paraId="5F4014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(1940-44 г.)- В.Ф. Болховитинов, (1946-53 г.)- М.Р. Бисноват.</w:t>
      </w:r>
    </w:p>
    <w:p w14:paraId="386A04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по производству (09.1940 г.-)- А.И. Мамучашвили; по «БИ» (09.1942 г.)- И.Ф. Флоров; (06.1946 г.-)- В.Н. Елагин.</w:t>
      </w:r>
    </w:p>
    <w:p w14:paraId="562AB7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конструктора по «БИ» (09.1942 г.)- И.Ф. Флоров.</w:t>
      </w:r>
    </w:p>
    <w:p w14:paraId="3FD338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(03.1941 г.-&gt; Л.А. Кац.</w:t>
      </w:r>
    </w:p>
    <w:p w14:paraId="252AD2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цехов: сборочного (-10.1940 г.)- И.А. Иванов (11982).</w:t>
      </w:r>
    </w:p>
    <w:p w14:paraId="76CED09B" w14:textId="77777777" w:rsidR="001C4D24" w:rsidRPr="00640820" w:rsidRDefault="001C4D24" w:rsidP="00640820">
      <w:pPr>
        <w:autoSpaceDE w:val="0"/>
        <w:autoSpaceDN w:val="0"/>
        <w:adjustRightInd w:val="0"/>
        <w:spacing w:after="0" w:line="240" w:lineRule="auto"/>
        <w:jc w:val="both"/>
        <w:rPr>
          <w:rFonts w:ascii="Times New Roman" w:hAnsi="Times New Roman"/>
          <w:color w:val="000000" w:themeColor="text1"/>
          <w:sz w:val="16"/>
          <w:szCs w:val="16"/>
        </w:rPr>
      </w:pPr>
    </w:p>
    <w:p w14:paraId="7725C1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октября 1941 г. по приказу № 1072сс завод № 469 2ГУ НКАП (ГС Завод № 469 ИМ. М.М. Громова НКАП, Фабрика «Волокно», Парашютная фабрика № 2 им. М.М. Громова НКЛП, Солнечногорский механический завод, Горьковский агрегатный завод, НПО «Теплообменник», ОАО «Производственно-конструкторское объединение (ПКО) «Теплообменник» ФАП /г. Солнечногорск Московской обл. ст. Подсолнечная;  г. Горький Сталинский р-н, 24-я линия/ /603950  г. Нижний Новгород ГСП-1376, пр. Ленина, 93 тел. (8312) 55-01-62, 58-99-68/) эвакуирован в  г. Горький на площадку строящегося завода № 285 НКАП. В результате объединения двух заводов образован новый радиаторный завод № 469 НКАП.</w:t>
      </w:r>
    </w:p>
    <w:p w14:paraId="7E80C4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годы войны- производство авиационных масло- и водорадиаторов, в соответствии с пост. ГКО № 2177 от 16.08.1942 г. начато производство водяных радиаторов для танков Т-70.</w:t>
      </w:r>
    </w:p>
    <w:p w14:paraId="2D050B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112с от 11.02.1942 г. на площадке эвакуированного завода в Солнечногорске образован филиал завода № 469 по ремонту радиаторов. Начальник филиала- С.И. Михайлов. По приказу № 464с от 24.06.1942 г. филиал преобразован в самостоятельный радиаторный завод № 459 при 2ГУ НКАП (в н. вр,- ОАО СМЗ).</w:t>
      </w:r>
    </w:p>
    <w:p w14:paraId="35A31F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1196с от 30.12.1941 г. при технической помощи заводов № 34 и № 21 при СКО завода № 469 организовано ОКБ для создания новых образцов радиаторов. И.О. гл. конструктора назначен начальник СКО  Г.А. Мосолов. Из-за затянувшейся реализации приказа и ввиду достаточности опытных работ по данной тематике в ОКБ завода № 124 и на заводе № 459, по приказу № 600с от 7.08.1942 г. организация ОКБ была отменена. СКО оставлен.</w:t>
      </w:r>
    </w:p>
    <w:p w14:paraId="4E0E85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1942 г. часть оборудования и кадров возвращена на вновь образованный завод № 459 НКАП.</w:t>
      </w:r>
    </w:p>
    <w:p w14:paraId="1E2444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СМ СССР № 713-342 от 26.06.1957 г. передан в ведение СНХ РСФСР.</w:t>
      </w:r>
    </w:p>
    <w:p w14:paraId="706514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работ по внедрению в серию теплообменной техники в 12.1960 г. при заводе образован филиал завода № 124. Филиал подчинялся заводу № 124 до 1973 г., далее был передан другому предприятию.</w:t>
      </w:r>
    </w:p>
    <w:p w14:paraId="70C5EF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Позже при заводе № 469 образован филиал завода № 918 для освоения производства гермошлемов. Начальник филиала- Ю.И. Менделенко.</w:t>
      </w:r>
    </w:p>
    <w:p w14:paraId="7484DA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27AC3F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1965 г. выпускался топливо-воздушный радиатор для КР П-6.</w:t>
      </w:r>
    </w:p>
    <w:p w14:paraId="15FD30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Производство (1996 г.): регуляторы расхода, давления, газовой среды; запорно-регулирующие устройства; турбохолодильные агрегаты; клапаны выпускные, редукционные, обратные, предохранительные; воздухо- воздушные и масляные радиаторы; глушители шума; арматура азотно-кислородная; азотно-топливные теплообменники; аппаратура управления агрегатами; защитные авиационные шлемы (ЗШ-7А), гермошлемы. Поставщик агрегатов системы кондиционирования, ПОС для создаваемого регионального самолета </w:t>
      </w:r>
      <w:r w:rsidRPr="00640820">
        <w:rPr>
          <w:rFonts w:ascii="Times New Roman" w:hAnsi="Times New Roman"/>
          <w:color w:val="000000" w:themeColor="text1"/>
          <w:sz w:val="16"/>
          <w:szCs w:val="16"/>
          <w:lang w:val="en-US"/>
        </w:rPr>
        <w:t>RRJ</w:t>
      </w:r>
      <w:r w:rsidRPr="00640820">
        <w:rPr>
          <w:rFonts w:ascii="Times New Roman" w:hAnsi="Times New Roman"/>
          <w:color w:val="000000" w:themeColor="text1"/>
          <w:sz w:val="16"/>
          <w:szCs w:val="16"/>
        </w:rPr>
        <w:t xml:space="preserve"> (2003 г.).</w:t>
      </w:r>
    </w:p>
    <w:p w14:paraId="2D3660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Разработка и производство (2005 г.): системы: кондиционирования, регулирования давления в кабине, наддува топливных баков НГ, жидкостного охлаждения бортовой аппаратуры, охлаждения масла двигателей, ПОС; теплообменники, турбохолодильники.</w:t>
      </w:r>
    </w:p>
    <w:p w14:paraId="1A2B23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(1.01.2001 г.)- 2620 чел.</w:t>
      </w:r>
    </w:p>
    <w:p w14:paraId="03F93A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(12.1940-11.1944 г.-)- В.Н. Смирнов, (1960-е  г.)- Васильев. Гендиректор (1986-2006 г.-)- В.В. Тятинькин.</w:t>
      </w:r>
    </w:p>
    <w:p w14:paraId="0B526A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гендиректора: по экономике (2005 г.)-  Г.М. Воронина; по маркетингу (2005 г.)- И.Ю. Батраков.</w:t>
      </w:r>
    </w:p>
    <w:p w14:paraId="73C98C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(10.1941 г.)- В.В. Сычев.</w:t>
      </w:r>
    </w:p>
    <w:p w14:paraId="162B46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(12.1941-05.1942 г.)-  Г.А. Мосолов, (2003 г.-)- В.В. Тятинькин. Ген. конструктор (-2005-06 г.-)- В.В. Тятинькин {14.12.1945-} (11982).</w:t>
      </w:r>
    </w:p>
    <w:p w14:paraId="154049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E4ADF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октября 1941 г. по приказу № 1072сс ОКБ-31 НКАП гл. конструктора А.С. Москалева было эвакуировано с завода №18 НКАП в Тюменскую обл. на площадку Тюменских ремонтных мастерских НКАП. Сюда же эвакуированы из  г. Голицыно Московской обл. Голицынские планерные мастерские ЦС Осоавиахима (перед эвакуацией начавшие освоение выпуска планеров УС-6). По приказу № 1089с от 1.11.1941  г. ОКБ и мастерские объединены в единый завод № 499 в системе 11ГУ НКАП (Завод № 499 НКАП /пос. Заводоуковск Тюменской обл./). Далее в соответствии с решением правительства и приказом № 1177с от 31.12.1941 г. местом эвакуации завода определен пос. Заводоуковск, где и расположился завод на площадке бывшего зернохранилища и мельницы.</w:t>
      </w:r>
    </w:p>
    <w:p w14:paraId="796D41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Заводу поручено продолжить выпуск десантных кабин для Ил-4.</w:t>
      </w:r>
    </w:p>
    <w:p w14:paraId="6F79FC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76сс от 26.02.1945 г. завод № 499 в 04.1945 г. был переведен в Ленинград и влит в состав завода № 273 НКАП. С 1946 г. Москалёв перешёл работать в ОКБ Четверикова, а с 1948 г.- на преподавательской работе. Площади в Заводоуковке, часть кадров и оборудования переданы в ведение НК совхозов для организации мотороремонтного предприятия.</w:t>
      </w:r>
    </w:p>
    <w:p w14:paraId="35DE28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(-05.1942-05.1945 г.-)- А.С. Москалев.</w:t>
      </w:r>
    </w:p>
    <w:p w14:paraId="26B7FE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(-05.1942-05.1945 г.-)- А.С. Москалев.</w:t>
      </w:r>
    </w:p>
    <w:p w14:paraId="7BBB5C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десантные кабины для Ил-4; планеры: тренировочный УС-6 (А-2) (1942-), десантный РФ-8 (А- 7) (-1944), десантный </w:t>
      </w:r>
      <w:r w:rsidRPr="00640820">
        <w:rPr>
          <w:rFonts w:ascii="Times New Roman" w:hAnsi="Times New Roman"/>
          <w:color w:val="000000" w:themeColor="text1"/>
          <w:sz w:val="16"/>
          <w:szCs w:val="16"/>
          <w:lang w:val="en-US"/>
        </w:rPr>
        <w:t>AM</w:t>
      </w:r>
      <w:r w:rsidRPr="00640820">
        <w:rPr>
          <w:rFonts w:ascii="Times New Roman" w:hAnsi="Times New Roman"/>
          <w:color w:val="000000" w:themeColor="text1"/>
          <w:sz w:val="16"/>
          <w:szCs w:val="16"/>
        </w:rPr>
        <w:t>-14 (1944).</w:t>
      </w:r>
    </w:p>
    <w:p w14:paraId="5DD99B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завода № 499 НКАП</w:t>
      </w:r>
    </w:p>
    <w:p w14:paraId="002042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Образовано по приказу № 484с от 12.08.1943 г. для проектирования и постройки опытных десантных планеров легкого и среднего классов. Первым заданием было постройка планера на 15 мест и модификация планера А-7. В 1943-45 г. Москалевым разработаны опытные планеры АМ-14 на базе А-7, САМ-23. Работы по десантным планерам САМ-22 (М14-М), САМ-24, САМ-28; проект самолета РМ-1 с ЖРД Душкина (1944-45 г.).</w:t>
      </w:r>
    </w:p>
    <w:p w14:paraId="70A73D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Новозаимовский механический завод, Тюменский завод сельскохозяйственных машин («Тюменьсельмаш»), Заводоуковский машиностроительный завод (ЗМЗ) Минхиммаша, ОАО «ЗМЗ» /627144  г. Заводоуковск Тюменской обл. ул. Заводская, 1А/</w:t>
      </w:r>
    </w:p>
    <w:p w14:paraId="5AFF60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1945 г. площади в Заводоуковке, часть кадров и оборудования реэвакуированного завода № 499 НКАП переданы в ведение НК совхозов, и организован мотороремонтный Новозаимовский механический завод. По распоряжению Тюменского СНХ от 3.06.1958 г. он переименован в Тюменский завод сельскохозяйственных машин («Тюменьсельмаш»).</w:t>
      </w:r>
    </w:p>
    <w:p w14:paraId="123447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1958-73 г. завод выпуска» передвижные ремонтные мастерские, трактора для буртования торфа, тракторные самосвальные прицепы, сельхозмашины и запчасти для них. До 1992 г. для МО выпускалось до 15 модификаций кузовов-фургонов на атомобильном и прицепном шасси.</w:t>
      </w:r>
    </w:p>
    <w:p w14:paraId="7A9555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Минхиммаша № 320 от 1.12.1989 г. предприятие переименовано в ЗМЗ.</w:t>
      </w:r>
    </w:p>
    <w:p w14:paraId="4E0D0C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09.1992 г. на базе военного изделия 2603Б налажен выпуск жилых мобильных зданий типа «Кедр». К 2000 г. их выпускалось более 280 модификаций.</w:t>
      </w:r>
    </w:p>
    <w:p w14:paraId="659920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территории (1973 г.)- 29,3 га.</w:t>
      </w:r>
    </w:p>
    <w:p w14:paraId="3E7C9A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(1973 г.)- 1840 чел.</w:t>
      </w:r>
    </w:p>
    <w:p w14:paraId="4D4BC2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кузова-фургоны: на шасси КамАЗ-4310 (1980-е); навесная жатка ЖН-4, зерноочистительная машина ОВВ-20, разбрасыватель удобрений КСА-3, машина для внесения удобрений МХА-7 (1980-е) (11982).</w:t>
      </w:r>
    </w:p>
    <w:p w14:paraId="6E6058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1235599" w14:textId="77777777" w:rsidR="001C4D24" w:rsidRPr="00640820" w:rsidRDefault="001C4D24"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октября 1941 г. было объявлено решение Наркомата об эвакуации ОКБ-16 с частью оборудования и персонала на Урал в г. Нытву Пермской области. В Москве оставался филиал ОКБ-16 (ФОКБ-16). Эшелон с основной частью коллектива ОКБ-16 прибыл в г. Нытву 3 ноября 1941 г. Для ОКБ-16 было предоставлено здание ремесленного училища, расформированного с началом войны, а сотрудников с их семьями разместили в домах местных жителей (15979).</w:t>
      </w:r>
    </w:p>
    <w:p w14:paraId="43977851" w14:textId="77777777" w:rsidR="001C4D24" w:rsidRPr="00640820" w:rsidRDefault="001C4D24" w:rsidP="00640820">
      <w:pPr>
        <w:widowControl w:val="0"/>
        <w:tabs>
          <w:tab w:val="left" w:pos="11199"/>
        </w:tabs>
        <w:spacing w:after="0" w:line="240" w:lineRule="auto"/>
        <w:jc w:val="both"/>
        <w:rPr>
          <w:rFonts w:ascii="Times New Roman" w:hAnsi="Times New Roman"/>
          <w:color w:val="000000" w:themeColor="text1"/>
          <w:sz w:val="16"/>
          <w:szCs w:val="16"/>
        </w:rPr>
      </w:pPr>
    </w:p>
    <w:p w14:paraId="24EF9BF0"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173E0355"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1128F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октября 1941 г. заводом № 320 НКБ (Завод № 320 ИМ. В.И. Чапаева НКБ, п/я 12, Чебоксарское ПО им. В.И. Чапаева ММ, ФГУП «Чебоксарское ПО им. В.И. Чапаева» Росбоеприпаса /пос. Чапаевский,  г. Чебоксары п/я 12 «Стрела» (1943 г.)/ /Чувашия 428006  г. Чебоксары ул. Социалистическая, 1 тел. 69-62-10/) была выпущена первая продукция, а 1.11.1941 г. завод принят Госкомиссией в эксплуатацию. Осенью 1941 г. на площадку завода эвакуирована часть завода № 11 НКБ (снаряжение 26-мм патронов, ЗАБ-100, -500, ФОТАБ; всего 53 ед. оборудования, 239 чел.), к 30.12.1941 г. все оборудование прибыло, часть его смонтирована и введена в строй, к 30.01.1942 г. восстановлено производство по снаряжению 26-мм сигнальных патронов мощностью 15 мл. шт. в год. В конце 1941 г. введена в строй ремонтно-механическая мастерская. В 1942 г. введена в строй 2-я очередь завода.</w:t>
      </w:r>
    </w:p>
    <w:p w14:paraId="002171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Сюда в начале ВОВ при эвакуации перебазировалась часть ОГБ-6 из НИИ-6. Позже ОТБ было переведено с завода № 320 в Сергиев Посад, где преобразовано в НИИ-862. Здесь также в 11.1941 г. по приказу НКБ № 660 от 1.12.1941 г. образован пиротехнический филиал № 1 НИИ-6 (переведена пиротехническая лаборатория института). Филиал действовал по 05.1943 г. Далее- это опять пиротехническая лаборатория НИИ-6.</w:t>
      </w:r>
      <w:r w:rsidRPr="00640820">
        <w:rPr>
          <w:rFonts w:ascii="Times New Roman" w:hAnsi="Times New Roman"/>
          <w:color w:val="000000" w:themeColor="text1"/>
          <w:sz w:val="16"/>
          <w:szCs w:val="16"/>
          <w:vertAlign w:val="superscript"/>
        </w:rPr>
        <w:t>56</w:t>
      </w:r>
    </w:p>
    <w:p w14:paraId="1E0256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12.1942-04.1943 г. - в ведении 6ГУ НКБ. Имел обозначение «п/я 12» (1943 г.).</w:t>
      </w:r>
    </w:p>
    <w:p w14:paraId="5AAD0F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продолжал строиться в 1943 г. В составе завода основные цехи (1943 г.): № 1, 2, 3. Строились в 1943 г.: ЦЗЛ, ремонтно-механический, инструментальный цехи, электроподстанция. 26.07.1944 г. вышло распоряжение ГКО № 6256 о строительстве складов пиротехнического сырья и ВВ на заводе.</w:t>
      </w:r>
    </w:p>
    <w:p w14:paraId="3C28B4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производственные мощности завода состояли из 15 производственных зданий, котельной, подстанции, складов материалов, комплектующих и готовых изделий. С 1946 г. освоен выпуск специального инструмента для массового выпуска ширпотреба из пластмассы; обувного крема, стеариновых свечей, лаков. Производство (1950-е): пиротехнические изделия (дымовые гранаты, дымовые шашки, осветительные, фотоосветительные, зажигательные и сигнальные изделия); заряды для авиационных боеприпасов.</w:t>
      </w:r>
    </w:p>
    <w:p w14:paraId="00A944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1958 г. создано СКТБ завода, в 1963 г. - опытная база СКТБ.</w:t>
      </w:r>
    </w:p>
    <w:p w14:paraId="78C6AC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1953 г. налажено производство стиральных машин, с 1958 г. - пластмассовых деталей. В 1958 г. в ремонтно- механическом цехе создан участок по изготовлению нестандартного оборудования, далее он преобразован в цех. В 1959 г. производство боеприпасов сократилось, расширено производство гражданской продукции- стиральных машин, фейерверков. Построены также тарный цех и новая мастерская площадью 3500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С 1965 г. освоен выпуск шифера. На базе резервных площадей спецпроизводства, тарного цеха и цеха бумажных гильз создано производство резинотехнических изделий (РТИ), освоен выпуск резиновых игрушек и мячей, бездорновых рукавов. ДалеЬ построен корпус по производству РТИ площадью 6000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xml:space="preserve"> с участками резиновой обуви, цветного литья, ремонта крупногабаритных электродвигателей и цехом нестандартного оборудования. На его базе к 1970 г. создан завод РТИ. К 2000-м  г. завод стал крупнейшим в России по выпуску резиновых мячей.</w:t>
      </w:r>
    </w:p>
    <w:p w14:paraId="78D22B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1969 г. освоен выпуск противоградовых изделий, затем ПО стало головным в России по разработке и производству средств активного воздействия на метеорологические процессы (самолетных пиропатронов, наземных пиротехнических генераторов, аэрозолей, противоградовых ракет). В 11.1970 г. на базе участка по производству пластмассы организовано самостоятельное подразделение, где выпускались полусферы для салютов, детали для противоградовых изделий «Алазань», детали из цветных металлов. В 1970-е  г. в КБ завода разработана первая в стране автоматическая стиральная машина «Волга-10». Организовано КБ по стиральным машинам. В 1970-е  г. ПО являлось одним из градообразующих предприятий Чувашии.</w:t>
      </w:r>
    </w:p>
    <w:p w14:paraId="31CFC8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1970-80 г. освоен выпуск более 200 наименований пиротехнических изделий: осветительные парашютные снаряды трех калибров, поколение термостойких изделий, новое поколение ФОТАБ, реактивные осветительные снаряды, зажигательные изделия на основе твердых составов и вязких огнесмесей.</w:t>
      </w:r>
    </w:p>
    <w:p w14:paraId="0B47C3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заводе созданы проектно-конструкторские бюро, отделы: промышленной электроники, техдокументации, подготовки производства.</w:t>
      </w:r>
    </w:p>
    <w:p w14:paraId="5B25D1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1990-х  г. имелось три производственных направления: основное- пиротехнические изделия военного и гражданского направления; резинотехническое производство- приготовление резиновых смесей, изготовление формовых и неформовых изделий; машиностроение.</w:t>
      </w:r>
    </w:p>
    <w:p w14:paraId="54E462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1969 г.- Чебоксарское ПО, в 1976 г. - в ведении ММ. По Указу Президента РФ № 1009 от 4.08.2004 г. вошло в число стратегических оборонных предприятий. Затем на предприятии введено внешнее управление.</w:t>
      </w:r>
    </w:p>
    <w:p w14:paraId="589F66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(1943 г.): производственная-29172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вспомогательная- 1576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7620A4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(12.1942 г.)- 2741 чел.</w:t>
      </w:r>
    </w:p>
    <w:p w14:paraId="5D535A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(1939-42 г.)- Н.С. Шишов, (1942-04.1943 г.-)- И.П. Канатов. Начальник (09.1943 г.)- И.П. Канатов. Директор (-1947 г.)- И.П. Канатов, (1947-70 г.)- И.А. Захарцев, (1970-74 г.)- Н.А. Белоконь, (1974-9В г.)-  Г.И. Хорошев, (1998-2003 г.)- В.И. Пейве. Гендиректор (2003-05 г.-&gt; М.С. Резников.</w:t>
      </w:r>
    </w:p>
    <w:p w14:paraId="61B759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Начальник строительства (09.1938 г.)- Сергеев, (15.10.1938 г.-)- И.П. Кукин. Зам. директора (1941 г.)-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Фурсов; по коммерческим вопросам (1959 г.)- Р. Г. Садриев.</w:t>
      </w:r>
    </w:p>
    <w:p w14:paraId="51F04A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Гл. инженер (1939 г.-)- А.Е. Пивоваров, (-1941-04.1943 г.-)- И.А. Челноков, И.М. Токарев, (-1959-73 г.)-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Куприянов, (1973-83 г.)- В.И. Данилов, (1983-98 г.)- В.В. Шалыгин, (199&amp;-2005 г.-)- И.П. Шакиров.</w:t>
      </w:r>
    </w:p>
    <w:p w14:paraId="0A6F9E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инженера (1959 г.)- В.П. Совенко.</w:t>
      </w:r>
    </w:p>
    <w:p w14:paraId="771717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технолог (1939-41 г.-&gt; И.М. Токарев, (ВОВ)- Н.А. Бильдюкевич. Гл. энергетик (1939 г.)- П.Н. Тараканов. Гл. механик (ВОВ)- М.Н. Жандаров, (1960-е)-  Г.А. Ильенко.</w:t>
      </w:r>
    </w:p>
    <w:p w14:paraId="4BFCCF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цехов: нестандартного оборудования- К.Д. Данилов; (ВОВ)-  Г.М. Гольдман, (ВОВ)- А.А. Давыдова, (ВОВ)- А.А. Плешаков.</w:t>
      </w:r>
    </w:p>
    <w:p w14:paraId="3CA434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оборудования (1959 г.)-  Г.М. Правосудов; ПЭО (1939 г.)- Кунаков; мобилизационно- планового (04.1943 г.)- Бахтин. Начальник ЦЗЛ (</w:t>
      </w:r>
      <w:r w:rsidRPr="00640820">
        <w:rPr>
          <w:rFonts w:ascii="Times New Roman" w:hAnsi="Times New Roman"/>
          <w:color w:val="000000" w:themeColor="text1"/>
          <w:sz w:val="16"/>
          <w:szCs w:val="16"/>
          <w:lang w:val="en-US"/>
        </w:rPr>
        <w:t>BOB</w:t>
      </w:r>
      <w:r w:rsidRPr="00640820">
        <w:rPr>
          <w:rFonts w:ascii="Times New Roman" w:hAnsi="Times New Roman"/>
          <w:color w:val="000000" w:themeColor="text1"/>
          <w:sz w:val="16"/>
          <w:szCs w:val="16"/>
        </w:rPr>
        <w:t xml:space="preserve">)-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Дубровская. Начальник ремонтно-механической мастерской (1941 г.-)- А.А. Макаров.</w:t>
      </w:r>
    </w:p>
    <w:p w14:paraId="027C4651" w14:textId="77777777" w:rsidR="001C4D24"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авиабомбы: ЗАБ-ТГ-50, -100-ЦК (-1941-43-), -2,5, -500 (1943); ФОТАБ-35 (1941-43-); САБ- 100-55, САБ-50-15 (1943); ТЗП, ПР-4, ПР-8, сигнальные патроны 26-мм (1943);</w:t>
      </w:r>
      <w:r w:rsidRPr="00640820">
        <w:rPr>
          <w:rFonts w:ascii="Times New Roman" w:hAnsi="Times New Roman"/>
          <w:color w:val="000000" w:themeColor="text1"/>
          <w:sz w:val="16"/>
          <w:szCs w:val="16"/>
          <w:vertAlign w:val="superscript"/>
        </w:rPr>
        <w:t>ш</w:t>
      </w:r>
      <w:r w:rsidRPr="00640820">
        <w:rPr>
          <w:rFonts w:ascii="Times New Roman" w:hAnsi="Times New Roman"/>
          <w:color w:val="000000" w:themeColor="text1"/>
          <w:sz w:val="16"/>
          <w:szCs w:val="16"/>
        </w:rPr>
        <w:t xml:space="preserve"> 45-мм осколочно- трассирующий снаряд (1941-); пороховые заряды (</w:t>
      </w:r>
      <w:r w:rsidRPr="00640820">
        <w:rPr>
          <w:rFonts w:ascii="Times New Roman" w:hAnsi="Times New Roman"/>
          <w:color w:val="000000" w:themeColor="text1"/>
          <w:sz w:val="16"/>
          <w:szCs w:val="16"/>
          <w:lang w:val="en-US"/>
        </w:rPr>
        <w:t>BOB</w:t>
      </w:r>
      <w:r w:rsidRPr="00640820">
        <w:rPr>
          <w:rFonts w:ascii="Times New Roman" w:hAnsi="Times New Roman"/>
          <w:color w:val="000000" w:themeColor="text1"/>
          <w:sz w:val="16"/>
          <w:szCs w:val="16"/>
        </w:rPr>
        <w:t xml:space="preserve">);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 осветительный «Вал», противоградовые ракеты «Алазань», «Кристалл»; авиабомбы, инженерные боеприпасы, фейерверки (2002 г.); стиральные машины «Волга-6 (1955-), -7, -8, -11» (1987-), СМА-10 «Волга-10» (1975-77)- всего 300 тыс.; варочные котлы для пищевой промышленности (1987-).</w:t>
      </w:r>
      <w:r w:rsidRPr="00640820">
        <w:rPr>
          <w:rFonts w:ascii="Times New Roman" w:hAnsi="Times New Roman"/>
          <w:color w:val="000000" w:themeColor="text1"/>
          <w:sz w:val="16"/>
          <w:szCs w:val="16"/>
          <w:vertAlign w:val="superscript"/>
        </w:rPr>
        <w:t>101</w:t>
      </w:r>
    </w:p>
    <w:p w14:paraId="74A249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ОТБ-320 НКВД</w:t>
      </w:r>
    </w:p>
    <w:p w14:paraId="10EC5B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Существовало в 1939 г.</w:t>
      </w:r>
      <w:r w:rsidRPr="00640820">
        <w:rPr>
          <w:rFonts w:ascii="Times New Roman" w:hAnsi="Times New Roman"/>
          <w:color w:val="000000" w:themeColor="text1"/>
          <w:sz w:val="16"/>
          <w:szCs w:val="16"/>
          <w:vertAlign w:val="superscript"/>
        </w:rPr>
        <w:t>3</w:t>
      </w:r>
    </w:p>
    <w:p w14:paraId="5681ED8B" w14:textId="77777777" w:rsidR="001C4D24"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(1941 г.-)- А.И. Флегонтов.</w:t>
      </w:r>
    </w:p>
    <w:p w14:paraId="5182D0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СКТБ завода № 320</w:t>
      </w:r>
    </w:p>
    <w:p w14:paraId="22930F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в 1958 г., в 1963 г. построена опытная база. Основной задачей стала разработка технолога изготовления осваиваемых в серии изделий.</w:t>
      </w:r>
      <w:r w:rsidRPr="00640820">
        <w:rPr>
          <w:rFonts w:ascii="Times New Roman" w:hAnsi="Times New Roman"/>
          <w:color w:val="000000" w:themeColor="text1"/>
          <w:sz w:val="16"/>
          <w:szCs w:val="16"/>
          <w:vertAlign w:val="superscript"/>
        </w:rPr>
        <w:t>101</w:t>
      </w:r>
      <w:r w:rsidRPr="00640820">
        <w:rPr>
          <w:rFonts w:ascii="Times New Roman" w:hAnsi="Times New Roman"/>
          <w:color w:val="000000" w:themeColor="text1"/>
          <w:sz w:val="16"/>
          <w:szCs w:val="16"/>
        </w:rPr>
        <w:t xml:space="preserve"> В составе СКТБ имелись несколько лабораторий и конструкторско-технологических бюро по направлениям, опытно-производственный и испытательный отделы (11982).</w:t>
      </w:r>
    </w:p>
    <w:p w14:paraId="7EC615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0341A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 октября до 1 ноября 1941 года в связи со сложной обстановкой в начале войны специалисты и техническое оборудование полигона были эвакуированы в Нижний Тагил на Уральский полигон. Несмотря на практически полную эвакуацию личного состава полигона. Испытания в этот период не прекращались. В трудных условиях при острой нехватке квалифицированных кадров, на полигоне была организована сборка боеприпасов для фронта. Эвакуированных и ушедших на фронт заменили подростки, так в некоторых мастерских полигона 70 – 75 % рабочих составляли подростки от 14 до 16 лет. В конце октября 1941 года все сборочные мастерские были вывезены в Москву для выпуска боеприпасов защитникам столицы, которой угрожало окружение. А уже 7 ноября первые снаряды, собранные на новом месте, были отправлены защитникам Тулы. В феврале 1942 года мастерские были возвращены на полигон и до конца войны продолжали выпуск боеприпасов для фронта. В общей сложности за годы войны на полигоне было собраны и направлены на фронт около 25 миллионов выстрелов разного калибра (12071).</w:t>
      </w:r>
    </w:p>
    <w:p w14:paraId="39D77D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B03B89D"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15 октября 1941 года согласно постановлению Государственного Комитета Обороны СССР (ГКО) № 752 от 9 октября 1941 года Коломенский ордена Ленина машиностроительный завод Народного комиссариата танковой промышленности СССР (НКТП) имени В. В. Куйбышева начал эвакуацию. Его было решено разместить в городе Кирове на территории машиностроительного завода имени 1 Мая Наркомата путей сообщения СССР (НКПС), производство которого было перенесено в помещения ремонтно-монтажного завода в поселок Лянгасово Кировской области и на территорию Кировской гармонной фабрики. С 1 по 15 ноября 1941 года часть оборудования, инструментов, инвентаря и прочего имущества, а также всех рабочих завода, не занятых на спецпроизводстве завода имени 1 Мая и не обслуживающих его, передали в ведение Коломзавода. Первоначально наименование прибывшего из Коломны завода на основании приказа начальника завода Яковлева от 10 ноября 1941 года оставалось прежним – ордена Ленина машиностроительный завод имени В. В. Куйбышева.</w:t>
      </w:r>
    </w:p>
    <w:p w14:paraId="78CE1D26"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Эвакуацию Коломзавода планировалось завершить к 30 ноября 1941 года и немедленно развернуть работы по выпуску легких танков Т-60 и реактивных установок М-13 («Катюша»). По заводу был установлен следующий график выпуска танков: с 11 по 20 ноября — по 3 штуки в день, с 21 по 31 ноября — по 7 штук в день. На январь 1942 года был установлен план 200 танков. По выпуску установок М-13 Колмзаводу (г. Киров) постановлением ГКО № 951 сс от 23 ноября 1941 года был установлен следующий график: первые 5 установок – с 1 по 10 декабря 1941 года, всего за декабрь 1941 года – 30 установок, за январь 1942 года – 55 установок. Прибывший в Киров Коломзавод был назван заводом № 38 Наркомата танковой промышленности СССР (1941-1944).</w:t>
      </w:r>
    </w:p>
    <w:p w14:paraId="16412AE6"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Перемещение людей и оборудования завода в Киров проходило тремя путями: железнодорожным и речным транспортом (по водным путям было доставлено тремя большегрузными волжскими пароходами) и тремя автоколоннами(3). Первые вагоны с оборудованием Коломенского завода в город Киров прибыли 27 октября 1941 года. На 1 ноября 1941 года их было 92, 30 ноября — 551, 10 января 1942 года — 1455(4). Всего на 18 февраля 1942 года из Коломны было отправлено 2319 вагонов металлорежущих станков, кузнечно-прессового оборудования, готовой продукции, материала и др.</w:t>
      </w:r>
    </w:p>
    <w:p w14:paraId="5D178934"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Вместе с Коломенским заводом в Киров приехало 10032 человека, в т. ч. 4376 рабочих, 1071 инженерно-технических работников, 393 служащих и 4192 членов их семей. Многие из специалистов были высококвалифицированными работниками, отработавшими на предприятии более 20 лет.</w:t>
      </w:r>
    </w:p>
    <w:p w14:paraId="6AF76CF3"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 xml:space="preserve">Переместить внушительных размеров производство и переселить людей с семьями было непростой задачей. В начале октября 1941 года в Киров прибыло руководство Коломзавода для ознакомления с площадями, на которых планировалось разместить завод. Затем оно было командировано Кировским областным комитетом ВКП(б) в город Горький (ныне Нижний Новгород) для встречи и контроля за продвижением эшелонов с оборудованием завода до места назначения(6), так как основное оборудование, отгруженное из Коломны первым, ошибочно было направлено в другие города: Свердловск (ныне Екатеринбург), Молотов (ныне Пермь) и Казань. На площадку Кировского машзавода оборудование прибывало частями и в разное время, поэтому для монтажа станков не хватало необходимых деталей. В справке о </w:t>
      </w:r>
      <w:r w:rsidRPr="00640820">
        <w:rPr>
          <w:color w:val="000000" w:themeColor="text1"/>
          <w:sz w:val="16"/>
          <w:szCs w:val="16"/>
        </w:rPr>
        <w:lastRenderedPageBreak/>
        <w:t>ходе установки и монтажа оборудования на Коломенском заводе от 17 декабря 1941 года сообщалось: «Устанавливаемые станки на 25 % некомплектны, т. е. к ним своевременно не дается пусковая аппаратура, моторы, электропривод, метизы (железо, трубы и т. п.), деревянные желоба и т. д. ...16/XII можно было закончить монтаж 40 станков … однако желоба своевременно не поданы...». Кроме того, подавляющее большинство оборудования Коломзавода было универсальным и специальным для дизелестроения и паровозостроения, и требовалось его переоборудование под производство танков и «Катюш».</w:t>
      </w:r>
    </w:p>
    <w:p w14:paraId="311B970C"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Машзавод имени 1 Мая располагал территорией в 25000 кв. метров, что составляло только 1/7 часть производственной площади завода в городе Коломне. К расширению имеющихся цехов машзавода приступили еще до приезда Коломзавода, в августе 1941 года, так как сюда в июле началась эвакуация оборудования Одесского завода тяжелого краностроения имени Январского восстания. 23 августа 1941 года в Киров приехали инженерно-технические работники завода, 25 августа прибыло 2 эшелона с 1081 станком/ Машзаводу требовались площади и под установку переданных станков с других заводов города Кирова для усиления производства (с заводов «Кировский металлист» и «Физприбор № 2»).</w:t>
      </w:r>
    </w:p>
    <w:p w14:paraId="0A7E6913"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Расширение уже существующих цехов машзавода и строительство новых цехов, монтаж прибывших станков и переоборудование существующего оборудования вела особая строительно-монтажная часть № 48. Работы велись недобросовестно, намеченные сроки не соблюдались. Например, в декабре 1941 года писали: «...Недопустимо задерживается установка оборудования в кузнечно-прессовом цехе, в котором надлежит установить и смонтировать молотов 9, прессов 7 шт. Задержка происходит из-за того, что установленные сроки для закладки фундаментов на 5/XII, а затем на 18/XII 48-й строительной конторой сорваны. Руководство кузнечно-прессового цеха в целях оказания помощи 48 строительной конторе, используя своих квалифицированных рабочих, подготовило котлованы для фундаментов, и все же фундаменты еще не заложены...» или «...в течение с 8 по 14/XII для монтажных работ не были поданы трубы, электропровода, желоба и др. материалы, поэтому электромонтажники производили работы не в той последовательности, как это предусмотрено планом...».</w:t>
      </w:r>
    </w:p>
    <w:p w14:paraId="2E91BCD8"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Задержки строительных работ на заводе были связаны и со сложившимся в целом тяжелым положением с поставками основных материалов: круглого леса, пиломатериалов, металла, цемента, гвоздей, стекла и т. д.</w:t>
      </w:r>
    </w:p>
    <w:p w14:paraId="28067420"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Несмотря на все сложности, к концу 1942 года на заводе № 38 было проведено переоборудование около 10 цехов машзавода, в термическом цехе установлено вновь 25 термических печей; в механических цехах – 45 металлорежущих станков, 600-тонный гидропресс и нагревательные печи для его обслуживания, установлено 7 мостовых кранов, смонтировано 327 единиц оборудования; в кузнечно-прессовом цехе установлено 13 единиц оборудования (два 2,5-тонных ковочных молота, два молота однотонных, один на 0,75 тонны, три на 0,4 тонны, горизонтально-ковочная машина на 500 тонн, два фрекционных пресса на 65 и 80 тонн, два парогидравлических пресса на 500 и 600 тонн, вновь построено 6 печей общей площадью 17 кв. метров) и др. Наряду с расширением имеющегося производства было вновь построено 6 цехов: холодной штамповки площадью более 3000 кв. метров, механосборочный для производства тяжелых фугасных реактивных снарядов М-30 площадью более 400 кв. метров, ремонтный цех и три цеха для сборки реактивных установок М-13 и М-8 площадью более 5000 кв. метров (до этого сборка танков и установок велась на одной площадке). За 1942 год общая производственная площадь завода увеличилась на 11201 кв. метр, что составило 42 %.</w:t>
      </w:r>
    </w:p>
    <w:p w14:paraId="1AA1B84F"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В связи с изменением номенклатуры выпускаемых изделий, а также организацией производства материалов и изделий, которые поставлялись ранее в Киров из других городов перепланировка и строительство цехов завода № 38 продолжались в течение 1943-1944 годов. Так в 1943 году было построено три цеха (сталелитейный площадью 6000 кв. метров, модельный, кузнечно-прессовой) и кислородная станция, а в 1944 году — газогенераторная станция. На момент отъезда завода № 38 из Кирова, к лету 1944 года, его производственные площади увеличились в 2 раза.</w:t>
      </w:r>
    </w:p>
    <w:p w14:paraId="49286985"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Пуск цехов завода поставил вопрос о расширении энергитической базы (электроэнергии, пара, воздуха, воды), с которой на заводе было чрезвычайно плохо. К 1-му мая 1942 года была пущена электростанция завода на 1700-2000 квт. (смонтировано и пущено 4 дизеля), построены дизелькомпрессорная станция, полностью обеспечивающая нужды завода воздухом, и котельная, обеспечивающая завод паром. Однако работе завода на протяжении всего 1942 года мешали перебои в снабжении городом завода электроэнергией и топливом. Так в январе 1942 года один из основных цехов – термический – простаивал по 5-6 часов в день, так как вынужденное отключение электроэнергии на 1-2 часа вело за собой охлаждение печи и последующее ее нагревание. Отключение электроэнергии доходило до 11 раз в смену, хотя в отпущенные лимиты завод укладывался. Недостаточно была организована диспетчерская работа, которая должна была предупреждать о возможных отключениях заранее. Поэтому были случаи, когда нагретые детали зависали в воздухе, создавая опасность возникновения пожара. Например, лифт с раскаленными деталями, весом около 600 килограммов, мог оказаться в середине ванны с маслом объемом до 3-х тонн, и погасить загоревшееся масло было бы чрезвычайно трудно. Отключение электроэнергии также выводило из строя целые участки цехов, так как моторы оборудования сгорали (рассчитанные на 220 вольт, они вынуждены были крутиться на 150 вольт). И это, конечно, дезорганизовало работу всего производства.</w:t>
      </w:r>
    </w:p>
    <w:p w14:paraId="2E64DD59"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Имея в городе Коломне колоссальных размеров мазутохранилище, здесь, в городе Кирове, в январе 1942 года приходилось в ручную сливать мазут из цистерн и перекачивать для питания 12 печей по 6-7 тонн за смену.</w:t>
      </w:r>
    </w:p>
    <w:p w14:paraId="6E8C647D"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Быстрому налаживанию производства боевых машин в Кирове мешали регулярные недопоставки их деталей. Так, на 25 февраля 1942 года для производства танков Т-60 более 30-ти деталей в Киров присылали из разных городов с 16-ти заводов: с Горьковского автозавода – двигатели ГАЗ-202, фильтры, бензобаки в сборке, радиаторы воды; Горьковского завода № 469 НКАП СССР – радиаторы воды и масла, главные передачи; Ярославского шинного завода – катки и ленивцы, Сталинградского тракторного завода – траки, поворотные механизмы; Ижевского завода ковкого чугуна – домкраты двухтонные; Энгельсского завода № 213 НКАП СССР – манометры масла, аэротермометры; Владимирского завода автоприборов – спидометры; Куйбышевского завода автотракторного электрооборудования (АТЭ-1) – генераторы, стартеры, реле к стартерам и др.</w:t>
      </w:r>
    </w:p>
    <w:p w14:paraId="1AF8025A"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В связи со сложившимся положением М.Н. Щукиным, заместитель главного конструктора завода № 38, был поставлен вопрос о размещении изготовления ряда деталей на предприятиях Кирова и Кировской области, то есть о кооперации предприятий, чтобы не отвлекать завод от основного производства и наладить процесс массового производства машин. К февралю 1942 года был разработан план по размещению заказов и на предприятия города были направлены специалисты для освоения выпуска изделий.</w:t>
      </w:r>
    </w:p>
    <w:p w14:paraId="377F02C0"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Существовала следующая кооперация по предприятиям города: Омутнинский и Кирсинский металлургические заводы поставляли на завод № 38 до периода расширения его литейного цеха стальное литье; завод «Физприбор № 2» – рубильники, масленки, кабельные наконечники; завод № 19 – шайбы, шпильки контакта, гайки к шпилькам, пружины и ползуны к контакту; Кировский машиностроительный завод имени 1 Мая НКПС – камеры к снарядам М-8, сопло снарядов М-13; Облметаллопромсоюз – бачки для масла, блоки приборов и арматуры к ящикам для запасных частей; артель «Большевик» – пряжки, хомутики; завод № 266 НКАП – колодки контакта, электрофильтры; многопромысловая артель – щетки банника для прочистки орудийного ствола; школа ФЗО Трудрезервов – ящики переносные, аптечки, рукоятки; завод № 2 – смотровые коробки, инструментальные ящики; бумажные фабрики Косинская и «Красный курсант» – разную бумагу; Кировская швейная фабрика – брезентовые изделия для боевых машин (чехлы, подушки, сумки и т. д.); Кировский механический завод – домкраты; Кировский завод «Красный инструментальщик» – детали к паропистолетам, сборка паропистолетов установок М-8, замки направляющих установок М-13, мерительные инструменты; Кировский комбинат «Искож» – катки и ленивцы, мелкие резиновые изделия для танков, клей мездровой, картон и др.</w:t>
      </w:r>
    </w:p>
    <w:p w14:paraId="1E99413D"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Кроме организации кооперации предприятий, чтобы не зависеть от поставщиков, завод № 38 в течение 1942 года начал производство некоторых деталей и материалов самостоятельно:</w:t>
      </w:r>
    </w:p>
    <w:p w14:paraId="7868918E"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освоено бронелитье, приготовление бессемеровской стали;</w:t>
      </w:r>
    </w:p>
    <w:p w14:paraId="5EA4F0F7"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организована холодная и горячая штамповка;</w:t>
      </w:r>
    </w:p>
    <w:p w14:paraId="78BD21A6"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налажено производство траков (с августа 1942 года, с сентября 1942 года завод полностью обеспечивал выпуск траков для танкового производства), бензобаков, сборка радиаторов, изготовление сальников и др.;</w:t>
      </w:r>
    </w:p>
    <w:p w14:paraId="0AC0C90E"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для производства цветного литья (спецлатуни) была установлена отжигательная печь типа Георгадзе, с внесенными в нее заводом изменениями;</w:t>
      </w:r>
    </w:p>
    <w:p w14:paraId="20EDD95B"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начато производство калиброванной углеродистой стали.</w:t>
      </w:r>
    </w:p>
    <w:p w14:paraId="5FB84588"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30 декабря 1941 года завод был объявлен вступившим в строй действующих заводов страны. В январе 1942 года основной задачей было освоить выпуск новых машин. Для этого в областном театре 3 января был организован слет стахановцев, на котором объявили начало соцсоревнования на заводе. В январе также прошли рейды по проверке состояния трудовой дисциплины с последующим высмеиванием в юмористических номерах заводской газеты «Зацепа»(28).</w:t>
      </w:r>
    </w:p>
    <w:p w14:paraId="3B506B91"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Вместе с заводом из Коломны в Киров прибыло конструкторское бюро. Возглавлял его Лев Сергеевич Лебедянский, главный конструктор завода, внесший огромный вклад в российское локомотивостроение. В феврале 1942 года Л. С. Лебедянский вернулся в Коломну. Должность главного конструктора завода и руководителя конструкторского бюро занял Михаил Николаевич Щукин, его заместитель(30). Ещё до эвакуации под руководством Щукина была разработана новая (более технологичная с точки зрения производства) литая башня, которая могла устанавливаться как на Т-30, так и на Т-60.</w:t>
      </w:r>
    </w:p>
    <w:p w14:paraId="173B6881"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По данным сводок о выполнении предприятиями Кировской области программы по боеприпасам и вооружению за период с января 1942 года по август 1944 года заводом № 38 НКТП в городе Кирове были освоены и выпущены следующие изделия: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1755"/>
        <w:gridCol w:w="2796"/>
        <w:gridCol w:w="1080"/>
        <w:gridCol w:w="1059"/>
        <w:gridCol w:w="1059"/>
      </w:tblGrid>
      <w:tr w:rsidR="00643896" w:rsidRPr="00640820" w14:paraId="313C4E88" w14:textId="77777777" w:rsidTr="00FA2FD1">
        <w:tc>
          <w:tcPr>
            <w:tcW w:w="0" w:type="auto"/>
            <w:shd w:val="clear" w:color="auto" w:fill="FFFFFF"/>
            <w:tcMar>
              <w:top w:w="35" w:type="dxa"/>
              <w:left w:w="35" w:type="dxa"/>
              <w:bottom w:w="35" w:type="dxa"/>
              <w:right w:w="35" w:type="dxa"/>
            </w:tcMar>
            <w:hideMark/>
          </w:tcPr>
          <w:p w14:paraId="5D24D3A2"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Наименование</w:t>
            </w:r>
          </w:p>
          <w:p w14:paraId="68D7E596"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продукции</w:t>
            </w:r>
          </w:p>
        </w:tc>
        <w:tc>
          <w:tcPr>
            <w:tcW w:w="0" w:type="auto"/>
            <w:shd w:val="clear" w:color="auto" w:fill="FFFFFF"/>
            <w:tcMar>
              <w:top w:w="35" w:type="dxa"/>
              <w:left w:w="35" w:type="dxa"/>
              <w:bottom w:w="35" w:type="dxa"/>
              <w:right w:w="35" w:type="dxa"/>
            </w:tcMar>
            <w:hideMark/>
          </w:tcPr>
          <w:p w14:paraId="3D8F8F5F"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Период выпуска</w:t>
            </w:r>
          </w:p>
        </w:tc>
        <w:tc>
          <w:tcPr>
            <w:tcW w:w="0" w:type="auto"/>
            <w:shd w:val="clear" w:color="auto" w:fill="FFFFFF"/>
            <w:tcMar>
              <w:top w:w="35" w:type="dxa"/>
              <w:left w:w="35" w:type="dxa"/>
              <w:bottom w:w="35" w:type="dxa"/>
              <w:right w:w="35" w:type="dxa"/>
            </w:tcMar>
            <w:hideMark/>
          </w:tcPr>
          <w:p w14:paraId="477C0E39"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План в штуках</w:t>
            </w:r>
          </w:p>
          <w:p w14:paraId="7D3A6AF5"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за весь период</w:t>
            </w:r>
          </w:p>
        </w:tc>
        <w:tc>
          <w:tcPr>
            <w:tcW w:w="0" w:type="auto"/>
            <w:shd w:val="clear" w:color="auto" w:fill="FFFFFF"/>
            <w:tcMar>
              <w:top w:w="35" w:type="dxa"/>
              <w:left w:w="35" w:type="dxa"/>
              <w:bottom w:w="35" w:type="dxa"/>
              <w:right w:w="35" w:type="dxa"/>
            </w:tcMar>
            <w:hideMark/>
          </w:tcPr>
          <w:p w14:paraId="4526396E"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Выпущено</w:t>
            </w:r>
          </w:p>
          <w:p w14:paraId="667617B0"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за весь период</w:t>
            </w:r>
          </w:p>
        </w:tc>
        <w:tc>
          <w:tcPr>
            <w:tcW w:w="0" w:type="auto"/>
            <w:shd w:val="clear" w:color="auto" w:fill="FFFFFF"/>
            <w:tcMar>
              <w:top w:w="35" w:type="dxa"/>
              <w:left w:w="35" w:type="dxa"/>
              <w:bottom w:w="35" w:type="dxa"/>
              <w:right w:w="35" w:type="dxa"/>
            </w:tcMar>
            <w:hideMark/>
          </w:tcPr>
          <w:p w14:paraId="5B7795E6"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Сдано</w:t>
            </w:r>
          </w:p>
          <w:p w14:paraId="15BE8607"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военпреду</w:t>
            </w:r>
          </w:p>
          <w:p w14:paraId="49287C7B"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за весь период</w:t>
            </w:r>
          </w:p>
        </w:tc>
      </w:tr>
      <w:tr w:rsidR="00643896" w:rsidRPr="00640820" w14:paraId="3DD26D2E" w14:textId="77777777" w:rsidTr="00FA2FD1">
        <w:tc>
          <w:tcPr>
            <w:tcW w:w="0" w:type="auto"/>
            <w:shd w:val="clear" w:color="auto" w:fill="FFFFFF"/>
            <w:tcMar>
              <w:top w:w="35" w:type="dxa"/>
              <w:left w:w="35" w:type="dxa"/>
              <w:bottom w:w="35" w:type="dxa"/>
              <w:right w:w="35" w:type="dxa"/>
            </w:tcMar>
            <w:hideMark/>
          </w:tcPr>
          <w:p w14:paraId="719D74B2"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Танк Т-60</w:t>
            </w:r>
          </w:p>
        </w:tc>
        <w:tc>
          <w:tcPr>
            <w:tcW w:w="0" w:type="auto"/>
            <w:shd w:val="clear" w:color="auto" w:fill="FFFFFF"/>
            <w:tcMar>
              <w:top w:w="35" w:type="dxa"/>
              <w:left w:w="35" w:type="dxa"/>
              <w:bottom w:w="35" w:type="dxa"/>
              <w:right w:w="35" w:type="dxa"/>
            </w:tcMar>
            <w:hideMark/>
          </w:tcPr>
          <w:p w14:paraId="4092C0D5"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С января по июль 1942 года</w:t>
            </w:r>
          </w:p>
        </w:tc>
        <w:tc>
          <w:tcPr>
            <w:tcW w:w="0" w:type="auto"/>
            <w:shd w:val="clear" w:color="auto" w:fill="FFFFFF"/>
            <w:tcMar>
              <w:top w:w="35" w:type="dxa"/>
              <w:left w:w="35" w:type="dxa"/>
              <w:bottom w:w="35" w:type="dxa"/>
              <w:right w:w="35" w:type="dxa"/>
            </w:tcMar>
            <w:hideMark/>
          </w:tcPr>
          <w:p w14:paraId="58FC8212"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900</w:t>
            </w:r>
          </w:p>
        </w:tc>
        <w:tc>
          <w:tcPr>
            <w:tcW w:w="0" w:type="auto"/>
            <w:shd w:val="clear" w:color="auto" w:fill="FFFFFF"/>
            <w:tcMar>
              <w:top w:w="35" w:type="dxa"/>
              <w:left w:w="35" w:type="dxa"/>
              <w:bottom w:w="35" w:type="dxa"/>
              <w:right w:w="35" w:type="dxa"/>
            </w:tcMar>
            <w:hideMark/>
          </w:tcPr>
          <w:p w14:paraId="6A16CC72"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550</w:t>
            </w:r>
          </w:p>
        </w:tc>
        <w:tc>
          <w:tcPr>
            <w:tcW w:w="0" w:type="auto"/>
            <w:shd w:val="clear" w:color="auto" w:fill="FFFFFF"/>
            <w:tcMar>
              <w:top w:w="35" w:type="dxa"/>
              <w:left w:w="35" w:type="dxa"/>
              <w:bottom w:w="35" w:type="dxa"/>
              <w:right w:w="35" w:type="dxa"/>
            </w:tcMar>
            <w:hideMark/>
          </w:tcPr>
          <w:p w14:paraId="07AE1E70"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543</w:t>
            </w:r>
          </w:p>
        </w:tc>
      </w:tr>
      <w:tr w:rsidR="00643896" w:rsidRPr="00640820" w14:paraId="49DD150D" w14:textId="77777777" w:rsidTr="00FA2FD1">
        <w:tc>
          <w:tcPr>
            <w:tcW w:w="0" w:type="auto"/>
            <w:shd w:val="clear" w:color="auto" w:fill="FFFFFF"/>
            <w:tcMar>
              <w:top w:w="35" w:type="dxa"/>
              <w:left w:w="35" w:type="dxa"/>
              <w:bottom w:w="35" w:type="dxa"/>
              <w:right w:w="35" w:type="dxa"/>
            </w:tcMar>
            <w:hideMark/>
          </w:tcPr>
          <w:p w14:paraId="4CB343EB"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Танк Т-70</w:t>
            </w:r>
          </w:p>
        </w:tc>
        <w:tc>
          <w:tcPr>
            <w:tcW w:w="0" w:type="auto"/>
            <w:shd w:val="clear" w:color="auto" w:fill="FFFFFF"/>
            <w:tcMar>
              <w:top w:w="35" w:type="dxa"/>
              <w:left w:w="35" w:type="dxa"/>
              <w:bottom w:w="35" w:type="dxa"/>
              <w:right w:w="35" w:type="dxa"/>
            </w:tcMar>
            <w:hideMark/>
          </w:tcPr>
          <w:p w14:paraId="14416FC8"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С мая по декабрь 1942 года</w:t>
            </w:r>
          </w:p>
        </w:tc>
        <w:tc>
          <w:tcPr>
            <w:tcW w:w="0" w:type="auto"/>
            <w:shd w:val="clear" w:color="auto" w:fill="FFFFFF"/>
            <w:tcMar>
              <w:top w:w="35" w:type="dxa"/>
              <w:left w:w="35" w:type="dxa"/>
              <w:bottom w:w="35" w:type="dxa"/>
              <w:right w:w="35" w:type="dxa"/>
            </w:tcMar>
            <w:hideMark/>
          </w:tcPr>
          <w:p w14:paraId="2D6A043B"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1590</w:t>
            </w:r>
          </w:p>
        </w:tc>
        <w:tc>
          <w:tcPr>
            <w:tcW w:w="0" w:type="auto"/>
            <w:shd w:val="clear" w:color="auto" w:fill="FFFFFF"/>
            <w:tcMar>
              <w:top w:w="35" w:type="dxa"/>
              <w:left w:w="35" w:type="dxa"/>
              <w:bottom w:w="35" w:type="dxa"/>
              <w:right w:w="35" w:type="dxa"/>
            </w:tcMar>
            <w:hideMark/>
          </w:tcPr>
          <w:p w14:paraId="5731043A"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1408</w:t>
            </w:r>
          </w:p>
        </w:tc>
        <w:tc>
          <w:tcPr>
            <w:tcW w:w="0" w:type="auto"/>
            <w:shd w:val="clear" w:color="auto" w:fill="FFFFFF"/>
            <w:tcMar>
              <w:top w:w="35" w:type="dxa"/>
              <w:left w:w="35" w:type="dxa"/>
              <w:bottom w:w="35" w:type="dxa"/>
              <w:right w:w="35" w:type="dxa"/>
            </w:tcMar>
            <w:hideMark/>
          </w:tcPr>
          <w:p w14:paraId="0E7C1923"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1386</w:t>
            </w:r>
          </w:p>
        </w:tc>
      </w:tr>
      <w:tr w:rsidR="00643896" w:rsidRPr="00640820" w14:paraId="4E1DDA33" w14:textId="77777777" w:rsidTr="00FA2FD1">
        <w:tc>
          <w:tcPr>
            <w:tcW w:w="0" w:type="auto"/>
            <w:shd w:val="clear" w:color="auto" w:fill="FFFFFF"/>
            <w:tcMar>
              <w:top w:w="35" w:type="dxa"/>
              <w:left w:w="35" w:type="dxa"/>
              <w:bottom w:w="35" w:type="dxa"/>
              <w:right w:w="35" w:type="dxa"/>
            </w:tcMar>
            <w:hideMark/>
          </w:tcPr>
          <w:p w14:paraId="417D7C8C"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lastRenderedPageBreak/>
              <w:t>Установка</w:t>
            </w:r>
          </w:p>
          <w:p w14:paraId="061FE51F"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М-13 «Катюша»</w:t>
            </w:r>
          </w:p>
        </w:tc>
        <w:tc>
          <w:tcPr>
            <w:tcW w:w="0" w:type="auto"/>
            <w:shd w:val="clear" w:color="auto" w:fill="FFFFFF"/>
            <w:tcMar>
              <w:top w:w="35" w:type="dxa"/>
              <w:left w:w="35" w:type="dxa"/>
              <w:bottom w:w="35" w:type="dxa"/>
              <w:right w:w="35" w:type="dxa"/>
            </w:tcMar>
            <w:hideMark/>
          </w:tcPr>
          <w:p w14:paraId="10A59D12"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С января 1942 года по август 1944 года</w:t>
            </w:r>
          </w:p>
        </w:tc>
        <w:tc>
          <w:tcPr>
            <w:tcW w:w="0" w:type="auto"/>
            <w:shd w:val="clear" w:color="auto" w:fill="FFFFFF"/>
            <w:tcMar>
              <w:top w:w="35" w:type="dxa"/>
              <w:left w:w="35" w:type="dxa"/>
              <w:bottom w:w="35" w:type="dxa"/>
              <w:right w:w="35" w:type="dxa"/>
            </w:tcMar>
            <w:hideMark/>
          </w:tcPr>
          <w:p w14:paraId="3C8787F7"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1524</w:t>
            </w:r>
          </w:p>
        </w:tc>
        <w:tc>
          <w:tcPr>
            <w:tcW w:w="0" w:type="auto"/>
            <w:shd w:val="clear" w:color="auto" w:fill="FFFFFF"/>
            <w:tcMar>
              <w:top w:w="35" w:type="dxa"/>
              <w:left w:w="35" w:type="dxa"/>
              <w:bottom w:w="35" w:type="dxa"/>
              <w:right w:w="35" w:type="dxa"/>
            </w:tcMar>
            <w:hideMark/>
          </w:tcPr>
          <w:p w14:paraId="3677F30F"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1519</w:t>
            </w:r>
          </w:p>
        </w:tc>
        <w:tc>
          <w:tcPr>
            <w:tcW w:w="0" w:type="auto"/>
            <w:shd w:val="clear" w:color="auto" w:fill="FFFFFF"/>
            <w:tcMar>
              <w:top w:w="35" w:type="dxa"/>
              <w:left w:w="35" w:type="dxa"/>
              <w:bottom w:w="35" w:type="dxa"/>
              <w:right w:w="35" w:type="dxa"/>
            </w:tcMar>
            <w:hideMark/>
          </w:tcPr>
          <w:p w14:paraId="32B4689B"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1487</w:t>
            </w:r>
          </w:p>
        </w:tc>
      </w:tr>
      <w:tr w:rsidR="00643896" w:rsidRPr="00640820" w14:paraId="3AB15C3D" w14:textId="77777777" w:rsidTr="00FA2FD1">
        <w:tc>
          <w:tcPr>
            <w:tcW w:w="0" w:type="auto"/>
            <w:shd w:val="clear" w:color="auto" w:fill="FFFFFF"/>
            <w:tcMar>
              <w:top w:w="35" w:type="dxa"/>
              <w:left w:w="35" w:type="dxa"/>
              <w:bottom w:w="35" w:type="dxa"/>
              <w:right w:w="35" w:type="dxa"/>
            </w:tcMar>
            <w:hideMark/>
          </w:tcPr>
          <w:p w14:paraId="6A48B2D6"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Установка М-8 (на Т-60)</w:t>
            </w:r>
          </w:p>
        </w:tc>
        <w:tc>
          <w:tcPr>
            <w:tcW w:w="0" w:type="auto"/>
            <w:shd w:val="clear" w:color="auto" w:fill="FFFFFF"/>
            <w:tcMar>
              <w:top w:w="35" w:type="dxa"/>
              <w:left w:w="35" w:type="dxa"/>
              <w:bottom w:w="35" w:type="dxa"/>
              <w:right w:w="35" w:type="dxa"/>
            </w:tcMar>
            <w:hideMark/>
          </w:tcPr>
          <w:p w14:paraId="0201B38E"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С июня по ноябрь 1942 года</w:t>
            </w:r>
          </w:p>
        </w:tc>
        <w:tc>
          <w:tcPr>
            <w:tcW w:w="0" w:type="auto"/>
            <w:shd w:val="clear" w:color="auto" w:fill="FFFFFF"/>
            <w:tcMar>
              <w:top w:w="35" w:type="dxa"/>
              <w:left w:w="35" w:type="dxa"/>
              <w:bottom w:w="35" w:type="dxa"/>
              <w:right w:w="35" w:type="dxa"/>
            </w:tcMar>
            <w:hideMark/>
          </w:tcPr>
          <w:p w14:paraId="16521313"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243</w:t>
            </w:r>
          </w:p>
        </w:tc>
        <w:tc>
          <w:tcPr>
            <w:tcW w:w="0" w:type="auto"/>
            <w:shd w:val="clear" w:color="auto" w:fill="FFFFFF"/>
            <w:tcMar>
              <w:top w:w="35" w:type="dxa"/>
              <w:left w:w="35" w:type="dxa"/>
              <w:bottom w:w="35" w:type="dxa"/>
              <w:right w:w="35" w:type="dxa"/>
            </w:tcMar>
            <w:hideMark/>
          </w:tcPr>
          <w:p w14:paraId="65B27421"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160</w:t>
            </w:r>
          </w:p>
        </w:tc>
        <w:tc>
          <w:tcPr>
            <w:tcW w:w="0" w:type="auto"/>
            <w:shd w:val="clear" w:color="auto" w:fill="FFFFFF"/>
            <w:tcMar>
              <w:top w:w="35" w:type="dxa"/>
              <w:left w:w="35" w:type="dxa"/>
              <w:bottom w:w="35" w:type="dxa"/>
              <w:right w:w="35" w:type="dxa"/>
            </w:tcMar>
            <w:hideMark/>
          </w:tcPr>
          <w:p w14:paraId="0A1DF7A0"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160</w:t>
            </w:r>
          </w:p>
        </w:tc>
      </w:tr>
      <w:tr w:rsidR="00643896" w:rsidRPr="00640820" w14:paraId="47C585E0" w14:textId="77777777" w:rsidTr="00FA2FD1">
        <w:tc>
          <w:tcPr>
            <w:tcW w:w="0" w:type="auto"/>
            <w:shd w:val="clear" w:color="auto" w:fill="FFFFFF"/>
            <w:tcMar>
              <w:top w:w="35" w:type="dxa"/>
              <w:left w:w="35" w:type="dxa"/>
              <w:bottom w:w="35" w:type="dxa"/>
              <w:right w:w="35" w:type="dxa"/>
            </w:tcMar>
            <w:hideMark/>
          </w:tcPr>
          <w:p w14:paraId="412C62F5"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СУ-12</w:t>
            </w:r>
          </w:p>
        </w:tc>
        <w:tc>
          <w:tcPr>
            <w:tcW w:w="0" w:type="auto"/>
            <w:shd w:val="clear" w:color="auto" w:fill="FFFFFF"/>
            <w:tcMar>
              <w:top w:w="35" w:type="dxa"/>
              <w:left w:w="35" w:type="dxa"/>
              <w:bottom w:w="35" w:type="dxa"/>
              <w:right w:w="35" w:type="dxa"/>
            </w:tcMar>
            <w:hideMark/>
          </w:tcPr>
          <w:p w14:paraId="5EDD1FD4"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С декабря 1942 года по март 1943 года</w:t>
            </w:r>
          </w:p>
        </w:tc>
        <w:tc>
          <w:tcPr>
            <w:tcW w:w="0" w:type="auto"/>
            <w:shd w:val="clear" w:color="auto" w:fill="FFFFFF"/>
            <w:tcMar>
              <w:top w:w="35" w:type="dxa"/>
              <w:left w:w="35" w:type="dxa"/>
              <w:bottom w:w="35" w:type="dxa"/>
              <w:right w:w="35" w:type="dxa"/>
            </w:tcMar>
            <w:hideMark/>
          </w:tcPr>
          <w:p w14:paraId="641AE526"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525</w:t>
            </w:r>
          </w:p>
        </w:tc>
        <w:tc>
          <w:tcPr>
            <w:tcW w:w="0" w:type="auto"/>
            <w:shd w:val="clear" w:color="auto" w:fill="FFFFFF"/>
            <w:tcMar>
              <w:top w:w="35" w:type="dxa"/>
              <w:left w:w="35" w:type="dxa"/>
              <w:bottom w:w="35" w:type="dxa"/>
              <w:right w:w="35" w:type="dxa"/>
            </w:tcMar>
            <w:hideMark/>
          </w:tcPr>
          <w:p w14:paraId="76D5DA89"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419</w:t>
            </w:r>
          </w:p>
        </w:tc>
        <w:tc>
          <w:tcPr>
            <w:tcW w:w="0" w:type="auto"/>
            <w:shd w:val="clear" w:color="auto" w:fill="FFFFFF"/>
            <w:tcMar>
              <w:top w:w="35" w:type="dxa"/>
              <w:left w:w="35" w:type="dxa"/>
              <w:bottom w:w="35" w:type="dxa"/>
              <w:right w:w="35" w:type="dxa"/>
            </w:tcMar>
            <w:hideMark/>
          </w:tcPr>
          <w:p w14:paraId="052DC404"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366</w:t>
            </w:r>
          </w:p>
        </w:tc>
      </w:tr>
      <w:tr w:rsidR="00643896" w:rsidRPr="00640820" w14:paraId="0929D9E3" w14:textId="77777777" w:rsidTr="00FA2FD1">
        <w:tc>
          <w:tcPr>
            <w:tcW w:w="0" w:type="auto"/>
            <w:shd w:val="clear" w:color="auto" w:fill="FFFFFF"/>
            <w:tcMar>
              <w:top w:w="35" w:type="dxa"/>
              <w:left w:w="35" w:type="dxa"/>
              <w:bottom w:w="35" w:type="dxa"/>
              <w:right w:w="35" w:type="dxa"/>
            </w:tcMar>
            <w:hideMark/>
          </w:tcPr>
          <w:p w14:paraId="7FADB398"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СУ-76</w:t>
            </w:r>
          </w:p>
        </w:tc>
        <w:tc>
          <w:tcPr>
            <w:tcW w:w="0" w:type="auto"/>
            <w:shd w:val="clear" w:color="auto" w:fill="FFFFFF"/>
            <w:tcMar>
              <w:top w:w="35" w:type="dxa"/>
              <w:left w:w="35" w:type="dxa"/>
              <w:bottom w:w="35" w:type="dxa"/>
              <w:right w:w="35" w:type="dxa"/>
            </w:tcMar>
            <w:hideMark/>
          </w:tcPr>
          <w:p w14:paraId="45CFCA86"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С апреля 1943 года по август 1944 года</w:t>
            </w:r>
          </w:p>
        </w:tc>
        <w:tc>
          <w:tcPr>
            <w:tcW w:w="0" w:type="auto"/>
            <w:shd w:val="clear" w:color="auto" w:fill="FFFFFF"/>
            <w:tcMar>
              <w:top w:w="35" w:type="dxa"/>
              <w:left w:w="35" w:type="dxa"/>
              <w:bottom w:w="35" w:type="dxa"/>
              <w:right w:w="35" w:type="dxa"/>
            </w:tcMar>
            <w:hideMark/>
          </w:tcPr>
          <w:p w14:paraId="4F995DB5"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765</w:t>
            </w:r>
          </w:p>
        </w:tc>
        <w:tc>
          <w:tcPr>
            <w:tcW w:w="0" w:type="auto"/>
            <w:shd w:val="clear" w:color="auto" w:fill="FFFFFF"/>
            <w:tcMar>
              <w:top w:w="35" w:type="dxa"/>
              <w:left w:w="35" w:type="dxa"/>
              <w:bottom w:w="35" w:type="dxa"/>
              <w:right w:w="35" w:type="dxa"/>
            </w:tcMar>
            <w:hideMark/>
          </w:tcPr>
          <w:p w14:paraId="49ACB93A"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823</w:t>
            </w:r>
          </w:p>
        </w:tc>
        <w:tc>
          <w:tcPr>
            <w:tcW w:w="0" w:type="auto"/>
            <w:shd w:val="clear" w:color="auto" w:fill="FFFFFF"/>
            <w:tcMar>
              <w:top w:w="35" w:type="dxa"/>
              <w:left w:w="35" w:type="dxa"/>
              <w:bottom w:w="35" w:type="dxa"/>
              <w:right w:w="35" w:type="dxa"/>
            </w:tcMar>
            <w:hideMark/>
          </w:tcPr>
          <w:p w14:paraId="024AC30F"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784</w:t>
            </w:r>
          </w:p>
        </w:tc>
      </w:tr>
      <w:tr w:rsidR="00643896" w:rsidRPr="00640820" w14:paraId="1CDB3280" w14:textId="77777777" w:rsidTr="00FA2FD1">
        <w:tc>
          <w:tcPr>
            <w:tcW w:w="0" w:type="auto"/>
            <w:shd w:val="clear" w:color="auto" w:fill="FFFFFF"/>
            <w:tcMar>
              <w:top w:w="35" w:type="dxa"/>
              <w:left w:w="35" w:type="dxa"/>
              <w:bottom w:w="35" w:type="dxa"/>
              <w:right w:w="35" w:type="dxa"/>
            </w:tcMar>
            <w:hideMark/>
          </w:tcPr>
          <w:p w14:paraId="25989F3A"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Головка</w:t>
            </w:r>
          </w:p>
          <w:p w14:paraId="6B2142A9"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снаряда М-30</w:t>
            </w:r>
            <w:bookmarkStart w:id="4" w:name="sdfootnote2anc"/>
            <w:r w:rsidR="00AC5806" w:rsidRPr="00640820">
              <w:rPr>
                <w:color w:val="000000" w:themeColor="text1"/>
                <w:sz w:val="16"/>
                <w:szCs w:val="16"/>
              </w:rPr>
              <w:fldChar w:fldCharType="begin"/>
            </w:r>
            <w:r w:rsidRPr="00640820">
              <w:rPr>
                <w:color w:val="000000" w:themeColor="text1"/>
                <w:sz w:val="16"/>
                <w:szCs w:val="16"/>
              </w:rPr>
              <w:instrText xml:space="preserve"> HYPERLINK "http://gaspiko.ru/4630" \l "sdfootnote2sym" </w:instrText>
            </w:r>
            <w:r w:rsidR="00AC5806" w:rsidRPr="00640820">
              <w:rPr>
                <w:color w:val="000000" w:themeColor="text1"/>
                <w:sz w:val="16"/>
                <w:szCs w:val="16"/>
              </w:rPr>
              <w:fldChar w:fldCharType="separate"/>
            </w:r>
            <w:r w:rsidRPr="00640820">
              <w:rPr>
                <w:rStyle w:val="a5"/>
                <w:color w:val="000000" w:themeColor="text1"/>
                <w:sz w:val="16"/>
                <w:szCs w:val="16"/>
                <w:bdr w:val="none" w:sz="0" w:space="0" w:color="auto" w:frame="1"/>
              </w:rPr>
              <w:t>*</w:t>
            </w:r>
            <w:r w:rsidR="00AC5806" w:rsidRPr="00640820">
              <w:rPr>
                <w:color w:val="000000" w:themeColor="text1"/>
                <w:sz w:val="16"/>
                <w:szCs w:val="16"/>
              </w:rPr>
              <w:fldChar w:fldCharType="end"/>
            </w:r>
            <w:bookmarkEnd w:id="4"/>
          </w:p>
        </w:tc>
        <w:tc>
          <w:tcPr>
            <w:tcW w:w="0" w:type="auto"/>
            <w:shd w:val="clear" w:color="auto" w:fill="FFFFFF"/>
            <w:tcMar>
              <w:top w:w="35" w:type="dxa"/>
              <w:left w:w="35" w:type="dxa"/>
              <w:bottom w:w="35" w:type="dxa"/>
              <w:right w:w="35" w:type="dxa"/>
            </w:tcMar>
            <w:hideMark/>
          </w:tcPr>
          <w:p w14:paraId="76072CBD"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С июля по октябрь 1942 года</w:t>
            </w:r>
          </w:p>
        </w:tc>
        <w:tc>
          <w:tcPr>
            <w:tcW w:w="0" w:type="auto"/>
            <w:shd w:val="clear" w:color="auto" w:fill="FFFFFF"/>
            <w:tcMar>
              <w:top w:w="35" w:type="dxa"/>
              <w:left w:w="35" w:type="dxa"/>
              <w:bottom w:w="35" w:type="dxa"/>
              <w:right w:w="35" w:type="dxa"/>
            </w:tcMar>
            <w:hideMark/>
          </w:tcPr>
          <w:p w14:paraId="0C4C4114"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19000</w:t>
            </w:r>
          </w:p>
        </w:tc>
        <w:tc>
          <w:tcPr>
            <w:tcW w:w="0" w:type="auto"/>
            <w:shd w:val="clear" w:color="auto" w:fill="FFFFFF"/>
            <w:tcMar>
              <w:top w:w="35" w:type="dxa"/>
              <w:left w:w="35" w:type="dxa"/>
              <w:bottom w:w="35" w:type="dxa"/>
              <w:right w:w="35" w:type="dxa"/>
            </w:tcMar>
            <w:hideMark/>
          </w:tcPr>
          <w:p w14:paraId="64695DD3"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22120</w:t>
            </w:r>
          </w:p>
        </w:tc>
        <w:tc>
          <w:tcPr>
            <w:tcW w:w="0" w:type="auto"/>
            <w:shd w:val="clear" w:color="auto" w:fill="FFFFFF"/>
            <w:tcMar>
              <w:top w:w="35" w:type="dxa"/>
              <w:left w:w="35" w:type="dxa"/>
              <w:bottom w:w="35" w:type="dxa"/>
              <w:right w:w="35" w:type="dxa"/>
            </w:tcMar>
            <w:hideMark/>
          </w:tcPr>
          <w:p w14:paraId="39416562"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22120</w:t>
            </w:r>
          </w:p>
        </w:tc>
      </w:tr>
      <w:tr w:rsidR="00643896" w:rsidRPr="00640820" w14:paraId="228FDE3D" w14:textId="77777777" w:rsidTr="00FA2FD1">
        <w:tc>
          <w:tcPr>
            <w:tcW w:w="0" w:type="auto"/>
            <w:shd w:val="clear" w:color="auto" w:fill="FFFFFF"/>
            <w:tcMar>
              <w:top w:w="35" w:type="dxa"/>
              <w:left w:w="35" w:type="dxa"/>
              <w:bottom w:w="35" w:type="dxa"/>
              <w:right w:w="35" w:type="dxa"/>
            </w:tcMar>
            <w:hideMark/>
          </w:tcPr>
          <w:p w14:paraId="202D206F"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Головка</w:t>
            </w:r>
          </w:p>
          <w:p w14:paraId="7E42042F"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снаряда М-20</w:t>
            </w:r>
          </w:p>
        </w:tc>
        <w:tc>
          <w:tcPr>
            <w:tcW w:w="0" w:type="auto"/>
            <w:shd w:val="clear" w:color="auto" w:fill="FFFFFF"/>
            <w:tcMar>
              <w:top w:w="35" w:type="dxa"/>
              <w:left w:w="35" w:type="dxa"/>
              <w:bottom w:w="35" w:type="dxa"/>
              <w:right w:w="35" w:type="dxa"/>
            </w:tcMar>
            <w:hideMark/>
          </w:tcPr>
          <w:p w14:paraId="45A77250"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С октября 1942 года по июль 1943 года</w:t>
            </w:r>
          </w:p>
        </w:tc>
        <w:tc>
          <w:tcPr>
            <w:tcW w:w="0" w:type="auto"/>
            <w:shd w:val="clear" w:color="auto" w:fill="FFFFFF"/>
            <w:tcMar>
              <w:top w:w="35" w:type="dxa"/>
              <w:left w:w="35" w:type="dxa"/>
              <w:bottom w:w="35" w:type="dxa"/>
              <w:right w:w="35" w:type="dxa"/>
            </w:tcMar>
            <w:hideMark/>
          </w:tcPr>
          <w:p w14:paraId="43D94EFD"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60000</w:t>
            </w:r>
          </w:p>
        </w:tc>
        <w:tc>
          <w:tcPr>
            <w:tcW w:w="0" w:type="auto"/>
            <w:shd w:val="clear" w:color="auto" w:fill="FFFFFF"/>
            <w:tcMar>
              <w:top w:w="35" w:type="dxa"/>
              <w:left w:w="35" w:type="dxa"/>
              <w:bottom w:w="35" w:type="dxa"/>
              <w:right w:w="35" w:type="dxa"/>
            </w:tcMar>
            <w:hideMark/>
          </w:tcPr>
          <w:p w14:paraId="02B81748"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54720</w:t>
            </w:r>
          </w:p>
        </w:tc>
        <w:tc>
          <w:tcPr>
            <w:tcW w:w="0" w:type="auto"/>
            <w:shd w:val="clear" w:color="auto" w:fill="FFFFFF"/>
            <w:tcMar>
              <w:top w:w="35" w:type="dxa"/>
              <w:left w:w="35" w:type="dxa"/>
              <w:bottom w:w="35" w:type="dxa"/>
              <w:right w:w="35" w:type="dxa"/>
            </w:tcMar>
            <w:hideMark/>
          </w:tcPr>
          <w:p w14:paraId="6B61D0B0"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54720</w:t>
            </w:r>
          </w:p>
        </w:tc>
      </w:tr>
      <w:tr w:rsidR="00643896" w:rsidRPr="00640820" w14:paraId="72319B2E" w14:textId="77777777" w:rsidTr="00FA2FD1">
        <w:tc>
          <w:tcPr>
            <w:tcW w:w="0" w:type="auto"/>
            <w:shd w:val="clear" w:color="auto" w:fill="FFFFFF"/>
            <w:tcMar>
              <w:top w:w="35" w:type="dxa"/>
              <w:left w:w="35" w:type="dxa"/>
              <w:bottom w:w="35" w:type="dxa"/>
              <w:right w:w="35" w:type="dxa"/>
            </w:tcMar>
            <w:hideMark/>
          </w:tcPr>
          <w:p w14:paraId="044D7CBE"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Головка</w:t>
            </w:r>
          </w:p>
          <w:p w14:paraId="2BB72971"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снаряда М-31</w:t>
            </w:r>
          </w:p>
        </w:tc>
        <w:tc>
          <w:tcPr>
            <w:tcW w:w="0" w:type="auto"/>
            <w:shd w:val="clear" w:color="auto" w:fill="FFFFFF"/>
            <w:tcMar>
              <w:top w:w="35" w:type="dxa"/>
              <w:left w:w="35" w:type="dxa"/>
              <w:bottom w:w="35" w:type="dxa"/>
              <w:right w:w="35" w:type="dxa"/>
            </w:tcMar>
            <w:hideMark/>
          </w:tcPr>
          <w:p w14:paraId="2CBD922B"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С августа 1943 года по август 1944 года</w:t>
            </w:r>
          </w:p>
        </w:tc>
        <w:tc>
          <w:tcPr>
            <w:tcW w:w="0" w:type="auto"/>
            <w:shd w:val="clear" w:color="auto" w:fill="FFFFFF"/>
            <w:tcMar>
              <w:top w:w="35" w:type="dxa"/>
              <w:left w:w="35" w:type="dxa"/>
              <w:bottom w:w="35" w:type="dxa"/>
              <w:right w:w="35" w:type="dxa"/>
            </w:tcMar>
            <w:hideMark/>
          </w:tcPr>
          <w:p w14:paraId="7F9D4559"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72000</w:t>
            </w:r>
          </w:p>
        </w:tc>
        <w:tc>
          <w:tcPr>
            <w:tcW w:w="0" w:type="auto"/>
            <w:shd w:val="clear" w:color="auto" w:fill="FFFFFF"/>
            <w:tcMar>
              <w:top w:w="35" w:type="dxa"/>
              <w:left w:w="35" w:type="dxa"/>
              <w:bottom w:w="35" w:type="dxa"/>
              <w:right w:w="35" w:type="dxa"/>
            </w:tcMar>
            <w:hideMark/>
          </w:tcPr>
          <w:p w14:paraId="4F7A5D58"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54807</w:t>
            </w:r>
          </w:p>
        </w:tc>
        <w:tc>
          <w:tcPr>
            <w:tcW w:w="0" w:type="auto"/>
            <w:shd w:val="clear" w:color="auto" w:fill="FFFFFF"/>
            <w:tcMar>
              <w:top w:w="35" w:type="dxa"/>
              <w:left w:w="35" w:type="dxa"/>
              <w:bottom w:w="35" w:type="dxa"/>
              <w:right w:w="35" w:type="dxa"/>
            </w:tcMar>
            <w:hideMark/>
          </w:tcPr>
          <w:p w14:paraId="245BD61B" w14:textId="77777777" w:rsidR="00B51393" w:rsidRPr="00640820" w:rsidRDefault="00B51393" w:rsidP="00640820">
            <w:pPr>
              <w:pStyle w:val="ae"/>
              <w:spacing w:before="0" w:after="0"/>
              <w:jc w:val="both"/>
              <w:textAlignment w:val="baseline"/>
              <w:rPr>
                <w:color w:val="000000" w:themeColor="text1"/>
                <w:sz w:val="16"/>
                <w:szCs w:val="16"/>
              </w:rPr>
            </w:pPr>
            <w:r w:rsidRPr="00640820">
              <w:rPr>
                <w:color w:val="000000" w:themeColor="text1"/>
                <w:sz w:val="16"/>
                <w:szCs w:val="16"/>
              </w:rPr>
              <w:t>54200</w:t>
            </w:r>
          </w:p>
        </w:tc>
      </w:tr>
    </w:tbl>
    <w:p w14:paraId="741B1796"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5 ноября 1941 года с Горьковского автозавода были запрошены в Киров необходимая техническая документация и 50 комплектов готовых изделий танка Т-60(34). Требовались изготовление технологической оснастки производства на месте (в особенности штампов) и организация серийного производства боевых машин. И здесь пригодился огромный опыт в машиностроении инженеров и конструкторов завода № 38 НКТП.</w:t>
      </w:r>
    </w:p>
    <w:p w14:paraId="4E64DAA4"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На одном из производственных совещаний по выпуску танков Т-60 в январе 1942 года М. Н. Щукин, заместитель главного конструктора завода, говорил: «Само по себе изделие № 60 не представляет чего-либо сложного, чего на заводе не смогли бы сделать. Главное здесь массовость, что новое для нашего завода. Нам надо организовать производство так, чтобы это изделие выпускалось в массовом количестве. Главное здесь – составить и организовать производство, составить технологию, чтобы все это внедрилось в жизнь, начали работать по этой технологии в цехах, в бригадах. Это новое и важное в запуске и налаживании производства. Здесь мы имеем целый ряд трудностей потому, что, с одной стороны, я бы сказал, что внутри завода изделие еще не дошло до низов, до исполнителей. Сам технологический процесс не доведен, приспособления еще не запущены, не знают многие изделия. Надо здесь учиться и мастерам, и руководящим работникам. Эти изделия, хотя и состоят из элементов знакомых, но они новые, и на пути встречается целый ряд трудностей. Та технология, которая спущена, она может меняться в процессе разработки...»</w:t>
      </w:r>
    </w:p>
    <w:p w14:paraId="0E2496E1"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В январе 1942 года завод находился в стадии строительства, производственных площадей для проведения работ было недостаточно. Беспокоясь о плохой производительности труда с началом сборки танков, начальник сборочного цеха № 5 Вайсберг говорил: «...положение со сборкой такое, что если в цехе стоят четыре готовых танка, две сборных установки, которые надо собрать, да еще 8-10 корпусов, то в цехе буквально повернуться негде. Если поставить полностью коллектив рабочих на сборку танков, а они сейчас заняты на других работах, то в цехе негде будет повернуться»(35).</w:t>
      </w:r>
    </w:p>
    <w:p w14:paraId="2CBCEC4A"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К 10 января 1942 года завод № 38 НКТП выпустил и сдал военпреду первые два танка, 13 января — 3, 1 февраля — 5, к 3 февраля в цехе сборки машин (№ 5) было организовано две нитки сборки башен, более четко разграничили по бригадам фазы сборки машин, улучшили технологию сборки, темп выпуска увеличился до 4 машин в сутки. Только в марте завод смог осилить поставленную программу в 75 танков, сдав 76 штук. Завод эвакуировался в Киров вместе с готовой продукцией, поэтому неслучайно, что среди первых выпущенных боевых машин было несколько танков с бронекорпусами и от Т-30.</w:t>
      </w:r>
    </w:p>
    <w:p w14:paraId="66C18F59"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Изготовление на заводе № 38 НКТП легких танков Т-60 прекратилось в июле 1942 года. Всего с января по июль 1942 года было собрано 550 легких танка Т-60, из них 543 штуки были собраны и сданы военпреду.</w:t>
      </w:r>
    </w:p>
    <w:p w14:paraId="2AA53994"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В течение 1942 года завод несколько раз перестраивал свое производство с одного вида продукции на другой. С марта 1942 года началась работа над новой машиной, до конца не освоенной еще в массовом производстве даже на Горьковском автозаводе.</w:t>
      </w:r>
    </w:p>
    <w:p w14:paraId="1F9E99FD"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Т-60 имел слабую броню и вооружение. В конце октября 1941 года конструкторским бюро Горьковского автозавода под руководством Н. А. Астрова был разработан легкий танк Т-70. На вооружении его стояла 45-мм танковая пушка образца 1938 года и слева от нее спаренный пулемет ДТ. Бронекомплект состоял из 90 выстрелов с бронебойными и осколочными снарядами для пушки и 945 патронов для пулемета ДТ. Лобовая броня была увеличена с 35 мм до 45 мм. На танке был установлен мотор ГАЗ-203, состоящий из двух спаренных двигателей ГАЗ-202, образующих единый силовой агрегат мощностью 140 л.с. По результатам испытаний 6 марта 1942 года танк Т-70 был принят на вооружение, а через два дня было принято постановление ГКО о производстве Т-70 с апреля на заводах №№ 37, 38 и Горьковском автозаводе. Через 19 дней после выхода приказа Наркомтанкопрома на заводе № 38 НКТП были сделаны первые корпуса танков Т-70.</w:t>
      </w:r>
    </w:p>
    <w:p w14:paraId="228653BB"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Первый танк (по разным отчетам – два танка) Т-70 был сдан заводом № 38 к 20 апреля 1942 года. Существуют сведения, что первые Т-70 вначале выпускались с ходовой частью Т-60, затем на новой усиленной ходовой части.</w:t>
      </w:r>
    </w:p>
    <w:p w14:paraId="1646F817"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Согласно установленному плану в апреле 1942 года планировалось произвести 20 машин Т-70, мае – 75, июне – 100, июле —150, а выпуск Т-60 на заводе № 38 планировалось прекратить с мая 1942 года. На самом заводе № 38 изготовление приспособлений, шаблонов и штампов горячей и холодной штамповки, специнструмента было завершено. Однако дальнейшая работа по выпуску машин была полностью парализована из-за отсутствия ряда ее деталей: бронелиста 35-45 мм (Наркомчермет), спаренных моторов, коробок скоростей, подшипников (Наркомсредмаш), 45-мм пушек (Наркомат вооружения), радиаторов (завод № 469 НКАП), траков (Наркомтанкопром) и др. В справке о положении дел с программой по танкам Т-60 и Т-70 на апрель и май месяц 1942 года читаем: «...ГАЗ делает попытки отправить нам моторы без коробок передач, т. е. создать видимость, что якобы снабжает нас моторами, хотя отлично знает, что в дело они не пойдут... Завод № 469 имени Громова радиаторов не дает... Наркомтанкопром и Наркомсредмаш не дали нам даже на выпуск двух машин шарикоподшипников... Наркомат вооружения и Народный Комиссариат Обороны – Главное Артиллерийское Управление... не поставили заводу пушки 45 мм... Колмзавод № 38, который из месяца в месяц набирает темпы, выполняет и перевыполняет план, имея к тому все условия и в дальнейшем, фактически с мая месяца должен будет полностью остановить работу...» (39) Выходом из сложившейся ситуации было продолжение выпуска танка Т-60, обеспечив завод деталями, а программу по выпуску Т-70 пересмотреть в меньшую сторону.</w:t>
      </w:r>
    </w:p>
    <w:p w14:paraId="3BA844F3"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Параллельно с выпуском танка Т-70 конструкторским бюро завода велась работа по его модернизации. Сведения о серийном выпуске модернизированной машины Т-70М имеются в архивных документах за октябрь 1942 года.</w:t>
      </w:r>
    </w:p>
    <w:p w14:paraId="4169F9C4"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За период с мая по декабрь 1942 года на заводе № 38 НКТП в городе Кирове было выпущено 1408 танков Т-70 и Т-70М, из них сдано военпреду 1386 машин. С января 1943 года танк Т-70 на заводе № 38 был снят с производства постановлением ГКО от 2 декабря 1942 года № 2559сс.</w:t>
      </w:r>
    </w:p>
    <w:p w14:paraId="199FA5BA"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Сняв с производства в Кирове легкие танки, ГКО утвердил заводу № 38 программу по выпуску самоходных установок СУ-12 на базе танков Т-70 с 76 мм пушкой ЗИС-3: на декабрь 1942 года – 25 штук, январь 1943 года – 150 штук, февраль – 200 штук, март – 300 штук. Завод № 38 был одним из трех заводов, выпускавших самоходные установки на базе легких танков. Он вместе с Горьковским автозаводом должен был работать над штурмовым установками, а завод № 37 – над зенитным. Самоходная установка Горьковского автозавода имела индекс СУ-71, а машина завода № 38 — СУ-12.</w:t>
      </w:r>
    </w:p>
    <w:p w14:paraId="1CA59C07"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Опытный образец самоходной установки СУ-12, разработанный в октябре-ноябре 1942 года в конструкторском бюро завода № 38 под руководством главного конструктора М.Н. Щукина по проекту С.А. Гинзбурга, был изготовлен заводом в ноябре 1942 года. С этого момента в цехах началась подготовка производства к массовому выпуску новых машин. 10 декабря 1942 года по заводу вышло распоряжение о проверке всех задействованных цехов и отделов на готовность к производству изделия «СУ»(43). 15 декабря 1942 года в цехах были проведены занятия и беседы на тему «СУ-12 в бою и их технологические и конструктивные особенности». Работы над СУ-71 на Горьковском автозаводе были прекращены в связи с принятием на вооружение СУ-12, производимой на заводе № 38.</w:t>
      </w:r>
    </w:p>
    <w:p w14:paraId="185F68A6"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С января 1943 года завод № 38 должен был перейти на серийный выпуск СУ-12. 6 января 1943 года был издан приказ директора № 14 о выделении на заводе самостоятельного объединенного конструкторского бюро «в связи с возросшим объемом работ по проектированию самоходных установок, где сосредоточить все вопросы конструирования и совершенствования всех видов машин выпускаемых заводом». Начальником конструкторского бюро и главным конструктором завода был назначен М. Н. Щукин. Все вопросы, связанные с организацией производства и технологией, были объединены в отделе главного технолога завода. Заместителем главного конструктора по СУ-12 был назначен Шехтман, заместитель главного конструктора по машинам М-8, М-13 и снарядам М-20 — Савостин.</w:t>
      </w:r>
    </w:p>
    <w:p w14:paraId="1F3E734F"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В сводках завода № 38 о выпуске боевых машин СУ-12 указан период с декабря 1942 года (сдано военпреду первые 26 машин) по март 1943 года. Всего за это время было выпущено 419 СУ-12, сдано военпреду 366 машин.</w:t>
      </w:r>
    </w:p>
    <w:p w14:paraId="39DA70B8"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Конструкторским бюро завод № 38 был разработан новый улучшенный образец самоходной установки. В мероприятиях по повышению качества выпускаемой продукции по заводу значилось:</w:t>
      </w:r>
    </w:p>
    <w:p w14:paraId="0C232694"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«Общее по заводу:</w:t>
      </w:r>
    </w:p>
    <w:p w14:paraId="3B8BA62D"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Разработать проект, построить и испытать новый артиллерийский самоход (с мотором 203 и трансмиссией по типу танка Т-70) — ответственный Щукин — срок 25 апреля 1943 г.</w:t>
      </w:r>
    </w:p>
    <w:p w14:paraId="7772DED7"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В области технологии:</w:t>
      </w:r>
    </w:p>
    <w:p w14:paraId="0CDBDDC9"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Главному технологу завода представить, а главному инженеру утвердить технологию на изготовление следующих узлов:</w:t>
      </w:r>
    </w:p>
    <w:p w14:paraId="69D82F46"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сборка башмака (СУ-76) — 15 апреля 1943 г.;</w:t>
      </w:r>
    </w:p>
    <w:p w14:paraId="259A86AB"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сборка самоходной установки — 20 апреля 1943 г.</w:t>
      </w:r>
    </w:p>
    <w:p w14:paraId="342D19BA"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lastRenderedPageBreak/>
        <w:t>Утвердить главным инженером завода технологические инструкции и карты, обуславливающие качество деталей и узлов, идущих на машину СУ-76 — до 10 апреля.</w:t>
      </w:r>
    </w:p>
    <w:p w14:paraId="4140B29C"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Ввести обязательный контроль всех чертежей гл. технологом (Поройков) и гл. металлургом завода — ответственный Щукин — 1 мая 1943 г.»</w:t>
      </w:r>
    </w:p>
    <w:p w14:paraId="6A10F3CB"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Главным конструктором М. Н. Щукиным и главным технологом Поройковым был разработан карманный справочник на все детали и узлы новой боевой машины с указанием основных обязательных проверочных размеров, характеристики деталей и узлов, место маркировки и обозначения маркировки. Цех № 200 отвечал за проверку заводским пробегом ОТК машин. Кроме того, на заводе велся подробный журнал аварий и дефектов при испытании машин.</w:t>
      </w:r>
    </w:p>
    <w:p w14:paraId="2765ACE2"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В течение мая-августа 1943 года работа над модернизацией самоходных установок продолжалась: была пересмотрена и заново составлена вся технология обработки деталей и сборки машины (по объему это составляло 2300 деталей, кроме сборочных узлов); освоен процесс производства бронировок артсистемы; организован цех производства оснастки и спроектирована оснастка (приспособления и штампы) в количестве около 400 единиц, в том числе стенды для испытания главных и бортовых передач под нагрузкой, прибор типа «Паркинсон», перепланировано 89 единиц оборудования инструментального цеха. Вся постройка машин осуществлялась в основном на старом оборудовании с изготовлением новых приспособлений и штампов. В связи с тем, что специального цеха по производству оснастки машин завод не имел, изготовление шло на производственном оборудовании. Была организована конвейерная сборка машин.</w:t>
      </w:r>
    </w:p>
    <w:p w14:paraId="02A6106E"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Технологической документации, разработанной на заводе № 38, была придана законность приказом директора завода № 515 от 7 сентября 1943 года. С этого момента всякое изменение процесса оформлялось специальным уведомлением главного инженера.</w:t>
      </w:r>
    </w:p>
    <w:p w14:paraId="37D0F386"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В отчете завода № 38 по выпуску боевых машинах за август 1943 года значится самоходная установка СУ-15. Все сданные машины выдержали ежемесячные 1000 километровые испытания и длительные марши. В архивных документах есть интересный документ – приказ о запрещении передвижения самоходных установок по улицам города Кирова, кроме улицы Свободы через Красноармейскую и улицу Ленина на Молотовское шоссе.</w:t>
      </w:r>
    </w:p>
    <w:p w14:paraId="661B31EC"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Самоходная установка СУ-15 (модернизированный образец СУ-76) была самой многочисленной САУ, находившейся на вооружении нашей страны в годы войны.</w:t>
      </w:r>
    </w:p>
    <w:p w14:paraId="3C571E33"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В отчете завода № 38 от 21 июля 1944 года даны сведения о выпуске других видов самоходных установок: «ОСА-76, КС-130, НКС-135, последняя принята на вооружение и в настоящее время выпускается заводом». КС-135 – это штурмовые минометные установки. Они были освоены заводом в марте 1944 года в течение 10 дней, а с апреля пошли в серийное производство.</w:t>
      </w:r>
    </w:p>
    <w:p w14:paraId="752E60D8"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В сводках завода № 38 по выпуску боевых машин с апреля 1943 года по август 1944 года значится машина СУ-76. Их за этот период было сделано 823 штуки, из них сдано военпреду 784 машины.</w:t>
      </w:r>
    </w:p>
    <w:p w14:paraId="0F4621E7"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С приездом на новое место завод освоил выпуск минометных установок М-13. Первые 14 реактивных установок заводом были выпущены в январе 1942 года. В феврале поставки машин из Москвы под реактивные установки были нарушены и, чтобы выполнить план по выпуску М-13, на их сборку по призыву директора и партийного комитета завода вышли почти все цеха завода, включая литейный. Программа была выполнена в срок.</w:t>
      </w:r>
    </w:p>
    <w:p w14:paraId="108F4FE5"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Не прекращая выпуск «Катюш», в мае 1942 года завод начал производство нового типа установок на базе ходовой части танка Т-60 (а позднее на автомашинах) – реактивных установок М-8(54). С июня по ноябрь 1942 года их было выпущено и сдано военпреду 160 штук.</w:t>
      </w:r>
    </w:p>
    <w:p w14:paraId="64F8C7C6"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Еще одним видом боевых машин завода № 38 был особый бронепоезд «Киров», построенный в июле 1943 года. И здесь не обошлось без трудностей: из 12 конструкторов, прикомандированных с предприятий города горкомом партии на строительство бронепоезда, 10 были вскоре отозваны обратно в свои организации, и вся тяжесть постройки легла на завод № 38.</w:t>
      </w:r>
    </w:p>
    <w:p w14:paraId="3714F0FD"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За годы войны заводом № 38 выпускались не только боевые машины, боеприпасы, танковые запчасти, но и продукция для мирного населения: протезы для ног, запчасти электростанций и тракторов, изделия ширпотреба и др.</w:t>
      </w:r>
    </w:p>
    <w:p w14:paraId="396DEFA1"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Завод № 38 НКТП работал в городе Кирове по август 1944 года, затем был направлен решением ГКО на производственную площадку в город Харьков. И с этим его переездом было немало трудностей. Наркомат путей сообщения обязан был обеспечить переезд завода № 38 на новое место к 15 августа. Однако на 17 августа завод получил лишь 30% требуемых вагонов под людей, материалы и оборудование. Последняя дата в архивных документах, связанная с работой завода № 38 НКТП в Кирове, – это 18 августа 1944 года, дата обращения секретаря Кировского обкома ВКП(б) В. В. Лукьянова к Л. П. Берии, Наркому Внутренних Дел с просьбой о направлении в Киров 120-150 вагонов ежесуточно для организации переезда завода № 38 на новое место. 18-м же июля 1944 года датировано письмо из Харькова директора завода № 38 К. К. Яковлева первому секретарю Кировского обкома ВКП(б) В. В. Лукьянову с просьбой оказать помощь в получении 5000 кв. метров лесоматериалов и направить их в город Харьков на восстановление жилого фонда прибывшим рабочим. Конструкторское бюро с экспериментальным цехом завода также были переведены в Харьков на восстановленный завод № 75, его начальником назначили М.Н. Щукина.</w:t>
      </w:r>
    </w:p>
    <w:p w14:paraId="498EC589" w14:textId="77777777" w:rsidR="00B51393" w:rsidRPr="00640820" w:rsidRDefault="00B51393"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Когда завод № 38 выехал, производство Кировского машиностроительного завода имени 1 Мая НКПС переместили на прежнюю территорию. Датой завершения всех подготовительных работ по перемещению оборудования завода было названо 1 сентября 1944 года. Завод № 38 передал машзаводу часть оборудования и рабочих для производства специзделий, вместе с которыми был передан и план по выпуску реактивных установок М-13. С сентября 1944 года по июнь 1945 года было выпущено 318 «Катюш», из них 303 было сдано военпреду (19736).</w:t>
      </w:r>
    </w:p>
    <w:p w14:paraId="053CEEA4" w14:textId="77777777" w:rsidR="00B51393" w:rsidRPr="00640820" w:rsidRDefault="00B51393" w:rsidP="00640820">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p>
    <w:p w14:paraId="0D9BC3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15 октября 1941 г. заводом СТЗ было изготовлено 101 машина ЗИС-30 с 57-мм пушкой ЗИС-2 (с учетом первой опытной машины) и одна ЗИС-30 с 45-мм противотанковой пушкой большой мощности (к сожалению, не вполне понятно, какая именно 45-мм пушка бьша на нем установле</w:t>
      </w:r>
      <w:r w:rsidRPr="00640820">
        <w:rPr>
          <w:rFonts w:ascii="Times New Roman" w:hAnsi="Times New Roman"/>
          <w:color w:val="000000" w:themeColor="text1"/>
          <w:sz w:val="16"/>
          <w:szCs w:val="16"/>
        </w:rPr>
        <w:softHyphen/>
        <w:t>на). Дальнейшее производство машин сдерживалось отсут</w:t>
      </w:r>
      <w:r w:rsidRPr="00640820">
        <w:rPr>
          <w:rFonts w:ascii="Times New Roman" w:hAnsi="Times New Roman"/>
          <w:color w:val="000000" w:themeColor="text1"/>
          <w:sz w:val="16"/>
          <w:szCs w:val="16"/>
        </w:rPr>
        <w:softHyphen/>
        <w:t>ствием тягачей «Комсомолец» (11417).</w:t>
      </w:r>
    </w:p>
    <w:p w14:paraId="2B9C49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B1C67FF" w14:textId="77777777" w:rsidR="001071C3" w:rsidRPr="00640820" w:rsidRDefault="001071C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ночь с 15 на 16 октября 1941 в котельной НАТИ были сожжены материалы 1-го отдела, вклю</w:t>
      </w:r>
      <w:r w:rsidRPr="00640820">
        <w:rPr>
          <w:rFonts w:ascii="Times New Roman" w:hAnsi="Times New Roman"/>
          <w:color w:val="0070C0"/>
          <w:sz w:val="16"/>
          <w:szCs w:val="16"/>
        </w:rPr>
        <w:softHyphen/>
        <w:t>чающие комплекты чертежей разных проектов, а так</w:t>
      </w:r>
      <w:r w:rsidRPr="00640820">
        <w:rPr>
          <w:rFonts w:ascii="Times New Roman" w:hAnsi="Times New Roman"/>
          <w:color w:val="0070C0"/>
          <w:sz w:val="16"/>
          <w:szCs w:val="16"/>
        </w:rPr>
        <w:softHyphen/>
        <w:t>же чертежи заводов - изготовителей танков и инже</w:t>
      </w:r>
      <w:r w:rsidRPr="00640820">
        <w:rPr>
          <w:rFonts w:ascii="Times New Roman" w:hAnsi="Times New Roman"/>
          <w:color w:val="0070C0"/>
          <w:sz w:val="16"/>
          <w:szCs w:val="16"/>
        </w:rPr>
        <w:softHyphen/>
        <w:t>нерных машин (22518).</w:t>
      </w:r>
    </w:p>
    <w:p w14:paraId="0BCE8957" w14:textId="77777777" w:rsidR="001071C3" w:rsidRPr="00640820" w:rsidRDefault="001071C3" w:rsidP="00640820">
      <w:pPr>
        <w:spacing w:after="0" w:line="240" w:lineRule="auto"/>
        <w:jc w:val="both"/>
        <w:rPr>
          <w:rFonts w:ascii="Times New Roman" w:hAnsi="Times New Roman"/>
          <w:color w:val="0070C0"/>
          <w:sz w:val="16"/>
          <w:szCs w:val="16"/>
        </w:rPr>
      </w:pPr>
    </w:p>
    <w:p w14:paraId="25AF3DE7" w14:textId="77777777" w:rsidR="00F41DBA" w:rsidRPr="00640820" w:rsidRDefault="00F41DBA"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15-16 октября 1941 немцы совершили прорыв и фактически отрезали Таганрог от остальной части СССР. Город охватила паника, и лишь часть производственных сооружений металлургического завода успели взорвать (в том числе и мартен). Из-за этого здание трубопрокатного цеха так и не было выведено из строя (из него потом саперы вермахта извлекли 500 килограмм взрвычатки). Сохранился отчет об осмотре завода немцами: "труболитейное производство металлургического завода им. Андреева кажется не разрушенным. Налицо большое количество современных машин, которые при подаче энергии будут работать". На складах предприятия осталось много труб, материалов, топлива. Немцы намечали переориентировать завод на ремонт бронетехники и даже есть смутные свидетельства, что на территории предприятия они ремонтировали свои самоходки. Однако восстановить полностью предприятие немцам не удалось, и они использовали его для подсобного производства - жестяной тары и т.п. вещей - в основном для населения. Зарплата на заводе при немцах была в таких рамках: ученик - 150 р., квалифицированный рабочий - 350-500 р., инженер, бухгалтер - 500-600 р., директор - 1000 р. (килограмм мяса стоил порядка 3.50 р., стрижка - 1 р.). Правда, работало на заводе лишь несколько сотен человек (при советской власти штат, разумеется, был раз в 8-10 больше). </w:t>
      </w:r>
    </w:p>
    <w:p w14:paraId="4EE68D80" w14:textId="77777777" w:rsidR="00F41DBA" w:rsidRPr="00640820" w:rsidRDefault="00F41DBA" w:rsidP="00640820">
      <w:pPr>
        <w:autoSpaceDE w:val="0"/>
        <w:autoSpaceDN w:val="0"/>
        <w:adjustRightInd w:val="0"/>
        <w:spacing w:after="0" w:line="240" w:lineRule="auto"/>
        <w:jc w:val="both"/>
        <w:rPr>
          <w:rFonts w:ascii="Times New Roman" w:hAnsi="Times New Roman"/>
          <w:color w:val="000000" w:themeColor="text1"/>
          <w:sz w:val="16"/>
          <w:szCs w:val="16"/>
        </w:rPr>
      </w:pPr>
    </w:p>
    <w:p w14:paraId="7DCF456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октября 1941 года вышел приказ № 524 НКВ</w:t>
      </w:r>
    </w:p>
    <w:p w14:paraId="13A5B14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связи с эвакуацией завода № 353 в части стекловарения на завод “Красный гигант” в поселок Никол-Пестровки, Пензенский район в место нахождения завода № 354 НКВ м в части оптико-механического производства в Новосибирск в помещение Силикатного техникума:</w:t>
      </w:r>
    </w:p>
    <w:p w14:paraId="568F6B4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3 353 в части стекловарения и завод № 354 объединить в один завод и присвоить ему № 354.</w:t>
      </w:r>
    </w:p>
    <w:p w14:paraId="5713653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Оптико-механическую часть производства завода № 353, эвакуированную в Новосибирск выделить в самостоятельный завод, присвоив ему № 353 (6288, 182).</w:t>
      </w:r>
    </w:p>
    <w:p w14:paraId="1E2015A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EB737F" w14:textId="77777777" w:rsidR="00165A9C" w:rsidRPr="00640820" w:rsidRDefault="00165A9C" w:rsidP="00640820">
      <w:pPr>
        <w:pStyle w:val="ae"/>
        <w:shd w:val="clear" w:color="auto" w:fill="FFFFFF"/>
        <w:spacing w:before="0" w:after="0"/>
        <w:jc w:val="both"/>
        <w:rPr>
          <w:color w:val="000000" w:themeColor="text1"/>
          <w:sz w:val="16"/>
          <w:szCs w:val="16"/>
        </w:rPr>
      </w:pPr>
      <w:r w:rsidRPr="00640820">
        <w:rPr>
          <w:color w:val="000000" w:themeColor="text1"/>
          <w:sz w:val="16"/>
          <w:szCs w:val="16"/>
        </w:rPr>
        <w:t>15 октября 1941 г.вышло постановление Совета эвакуации № 180.</w:t>
      </w:r>
    </w:p>
    <w:p w14:paraId="16BAA216" w14:textId="77777777" w:rsidR="00165A9C" w:rsidRPr="00640820" w:rsidRDefault="00165A9C" w:rsidP="00640820">
      <w:pPr>
        <w:pStyle w:val="ae"/>
        <w:shd w:val="clear" w:color="auto" w:fill="FFFFFF"/>
        <w:spacing w:before="0" w:after="0"/>
        <w:jc w:val="both"/>
        <w:rPr>
          <w:color w:val="000000" w:themeColor="text1"/>
          <w:sz w:val="16"/>
          <w:szCs w:val="16"/>
        </w:rPr>
      </w:pPr>
      <w:r w:rsidRPr="00640820">
        <w:rPr>
          <w:color w:val="000000" w:themeColor="text1"/>
          <w:sz w:val="16"/>
          <w:szCs w:val="16"/>
        </w:rPr>
        <w:t>20 октября 1941 года начинается эвакуация Второго Московского часового завода в г. Чистополь, а 13 ноября в Казань отправляются последние группы рабочих и администрации завода.</w:t>
      </w:r>
    </w:p>
    <w:p w14:paraId="10E8DC65" w14:textId="77777777" w:rsidR="00165A9C" w:rsidRPr="00640820" w:rsidRDefault="00165A9C" w:rsidP="00640820">
      <w:pPr>
        <w:pStyle w:val="ae"/>
        <w:shd w:val="clear" w:color="auto" w:fill="FFFFFF"/>
        <w:spacing w:before="0" w:after="0"/>
        <w:jc w:val="both"/>
        <w:rPr>
          <w:color w:val="000000" w:themeColor="text1"/>
          <w:sz w:val="16"/>
          <w:szCs w:val="16"/>
        </w:rPr>
      </w:pPr>
      <w:r w:rsidRPr="00640820">
        <w:rPr>
          <w:color w:val="000000" w:themeColor="text1"/>
          <w:sz w:val="16"/>
          <w:szCs w:val="16"/>
        </w:rPr>
        <w:t>Было эвакуировано 170 вагонов оборудования и имущества, 488 человек, из которых 128 ИТР.</w:t>
      </w:r>
    </w:p>
    <w:p w14:paraId="505BBD39" w14:textId="77777777" w:rsidR="00165A9C" w:rsidRPr="00640820" w:rsidRDefault="00165A9C" w:rsidP="00640820">
      <w:pPr>
        <w:pStyle w:val="ae"/>
        <w:shd w:val="clear" w:color="auto" w:fill="FFFFFF"/>
        <w:spacing w:before="0" w:after="0"/>
        <w:jc w:val="both"/>
        <w:rPr>
          <w:color w:val="000000" w:themeColor="text1"/>
          <w:sz w:val="16"/>
          <w:szCs w:val="16"/>
        </w:rPr>
      </w:pPr>
      <w:r w:rsidRPr="00640820">
        <w:rPr>
          <w:color w:val="000000" w:themeColor="text1"/>
          <w:sz w:val="16"/>
          <w:szCs w:val="16"/>
        </w:rPr>
        <w:t>Нелегким был путь из Москвы. Хотя первые вагоны прибыли в Казань 1 ноября (с гл. инженером Паршиновым К.Н.) далее в Чистополь удалось отправить лишь 28 вагонов.</w:t>
      </w:r>
    </w:p>
    <w:p w14:paraId="6A7705D4" w14:textId="77777777" w:rsidR="00165A9C" w:rsidRPr="00640820" w:rsidRDefault="00165A9C" w:rsidP="00640820">
      <w:pPr>
        <w:pStyle w:val="ae"/>
        <w:shd w:val="clear" w:color="auto" w:fill="FFFFFF"/>
        <w:spacing w:before="0" w:after="0"/>
        <w:jc w:val="both"/>
        <w:rPr>
          <w:color w:val="000000" w:themeColor="text1"/>
          <w:sz w:val="16"/>
          <w:szCs w:val="16"/>
        </w:rPr>
      </w:pPr>
      <w:r w:rsidRPr="00640820">
        <w:rPr>
          <w:color w:val="000000" w:themeColor="text1"/>
          <w:sz w:val="16"/>
          <w:szCs w:val="16"/>
        </w:rPr>
        <w:t>Навигация на Каме закрылась, и на пристани в Казани под открытым небом остались зимовать станки, материалы и другое оборудование.</w:t>
      </w:r>
    </w:p>
    <w:p w14:paraId="732772D9" w14:textId="77777777" w:rsidR="00165A9C" w:rsidRPr="00640820" w:rsidRDefault="00165A9C" w:rsidP="00640820">
      <w:pPr>
        <w:pStyle w:val="ae"/>
        <w:shd w:val="clear" w:color="auto" w:fill="FFFFFF"/>
        <w:spacing w:before="0" w:after="0"/>
        <w:jc w:val="both"/>
        <w:rPr>
          <w:color w:val="000000" w:themeColor="text1"/>
          <w:sz w:val="16"/>
          <w:szCs w:val="16"/>
        </w:rPr>
      </w:pPr>
      <w:r w:rsidRPr="00640820">
        <w:rPr>
          <w:color w:val="000000" w:themeColor="text1"/>
          <w:sz w:val="16"/>
          <w:szCs w:val="16"/>
        </w:rPr>
        <w:t>Впоследствии было выделено два лабаза, куда и было перемещено оставшееся в Казани имущество завода. Тут же выяснилось, что лабазы весной подтапливаются и надо было уже сейчас искать новое место.</w:t>
      </w:r>
    </w:p>
    <w:p w14:paraId="4B6DF10F" w14:textId="77777777" w:rsidR="00165A9C" w:rsidRPr="00640820" w:rsidRDefault="00165A9C" w:rsidP="00640820">
      <w:pPr>
        <w:pStyle w:val="ae"/>
        <w:shd w:val="clear" w:color="auto" w:fill="FFFFFF"/>
        <w:spacing w:before="0" w:after="0"/>
        <w:jc w:val="both"/>
        <w:rPr>
          <w:color w:val="000000" w:themeColor="text1"/>
          <w:sz w:val="16"/>
          <w:szCs w:val="16"/>
        </w:rPr>
      </w:pPr>
      <w:r w:rsidRPr="00640820">
        <w:rPr>
          <w:color w:val="000000" w:themeColor="text1"/>
          <w:sz w:val="16"/>
          <w:szCs w:val="16"/>
        </w:rPr>
        <w:t>Особенно тяжело было рабочим, которые первыми прибыли в Казань. После холодных товарных вагонов, в которых они неделями ехали с семьями из Москвы„ в Казани их разместили в помещении школы недалеко от пристани, которое также оказалось не отапливаемым.</w:t>
      </w:r>
    </w:p>
    <w:p w14:paraId="53C59A99" w14:textId="77777777" w:rsidR="00165A9C" w:rsidRPr="00640820" w:rsidRDefault="00165A9C" w:rsidP="00640820">
      <w:pPr>
        <w:pStyle w:val="ae"/>
        <w:shd w:val="clear" w:color="auto" w:fill="FFFFFF"/>
        <w:spacing w:before="0" w:after="0"/>
        <w:jc w:val="both"/>
        <w:rPr>
          <w:color w:val="000000" w:themeColor="text1"/>
          <w:sz w:val="16"/>
          <w:szCs w:val="16"/>
        </w:rPr>
      </w:pPr>
      <w:r w:rsidRPr="00640820">
        <w:rPr>
          <w:color w:val="000000" w:themeColor="text1"/>
          <w:sz w:val="16"/>
          <w:szCs w:val="16"/>
        </w:rPr>
        <w:t>Те немногие рабочие, кому на свой страх и риск удалось добраться до Чистополя, также искали работу самостоятельно. Кто-то подрядился на заготовке дров, кто-то на работу в колхозе. Кто-то вообще оказался не у дел.</w:t>
      </w:r>
    </w:p>
    <w:p w14:paraId="5EC8CABA" w14:textId="77777777" w:rsidR="00165A9C" w:rsidRPr="00640820" w:rsidRDefault="00165A9C" w:rsidP="00640820">
      <w:pPr>
        <w:pStyle w:val="ae"/>
        <w:shd w:val="clear" w:color="auto" w:fill="FFFFFF"/>
        <w:spacing w:before="0" w:after="0"/>
        <w:jc w:val="both"/>
        <w:rPr>
          <w:color w:val="000000" w:themeColor="text1"/>
          <w:sz w:val="16"/>
          <w:szCs w:val="16"/>
        </w:rPr>
      </w:pPr>
      <w:r w:rsidRPr="00640820">
        <w:rPr>
          <w:color w:val="000000" w:themeColor="text1"/>
          <w:sz w:val="16"/>
          <w:szCs w:val="16"/>
        </w:rPr>
        <w:t>Никаких указаний о развертывании часового завода Чистопольский горсовет не имел.</w:t>
      </w:r>
    </w:p>
    <w:p w14:paraId="58163808" w14:textId="77777777" w:rsidR="00165A9C" w:rsidRPr="00640820" w:rsidRDefault="00165A9C" w:rsidP="00640820">
      <w:pPr>
        <w:pStyle w:val="ae"/>
        <w:shd w:val="clear" w:color="auto" w:fill="FFFFFF"/>
        <w:spacing w:before="0" w:after="0"/>
        <w:jc w:val="both"/>
        <w:rPr>
          <w:color w:val="000000" w:themeColor="text1"/>
          <w:sz w:val="16"/>
          <w:szCs w:val="16"/>
        </w:rPr>
      </w:pPr>
      <w:r w:rsidRPr="00640820">
        <w:rPr>
          <w:color w:val="000000" w:themeColor="text1"/>
          <w:sz w:val="16"/>
          <w:szCs w:val="16"/>
        </w:rPr>
        <w:t>Лишь после обращений в Татарский Обком КПСС и Совнархоз, а также в комиссариат миномётного вооружения СССР начались некоторые подвижки.</w:t>
      </w:r>
    </w:p>
    <w:p w14:paraId="67706B69" w14:textId="77777777" w:rsidR="00165A9C" w:rsidRPr="00640820" w:rsidRDefault="00165A9C" w:rsidP="00640820">
      <w:pPr>
        <w:pStyle w:val="ae"/>
        <w:shd w:val="clear" w:color="auto" w:fill="FFFFFF"/>
        <w:spacing w:before="0" w:after="0"/>
        <w:jc w:val="both"/>
        <w:rPr>
          <w:color w:val="000000" w:themeColor="text1"/>
          <w:sz w:val="16"/>
          <w:szCs w:val="16"/>
        </w:rPr>
      </w:pPr>
      <w:r w:rsidRPr="00640820">
        <w:rPr>
          <w:color w:val="000000" w:themeColor="text1"/>
          <w:sz w:val="16"/>
          <w:szCs w:val="16"/>
        </w:rPr>
        <w:t xml:space="preserve">Для размещения часового производства был выделен Чистопольский ликёро-водочный завод и кроме этого 2 тысячи квадратных метров площади, которые, впрочем составляли лишь 25% от необходимой. И все же выделенные площади позволили начать монтаж оборудования автоматного цеха, которое переправлялось в основном </w:t>
      </w:r>
      <w:r w:rsidRPr="00640820">
        <w:rPr>
          <w:color w:val="000000" w:themeColor="text1"/>
          <w:sz w:val="16"/>
          <w:szCs w:val="16"/>
        </w:rPr>
        <w:lastRenderedPageBreak/>
        <w:t>гужевым транспортом. В декабре 1941 года было выделено около 2000 подвод. Оперативно решили вопрос с обеспечением электроэнергией, использовав старый двигатель от трактора.</w:t>
      </w:r>
    </w:p>
    <w:p w14:paraId="5ED5998C" w14:textId="77777777" w:rsidR="00165A9C" w:rsidRPr="00640820" w:rsidRDefault="00165A9C" w:rsidP="00640820">
      <w:pPr>
        <w:pStyle w:val="ae"/>
        <w:shd w:val="clear" w:color="auto" w:fill="FFFFFF"/>
        <w:spacing w:before="0" w:after="0"/>
        <w:jc w:val="both"/>
        <w:rPr>
          <w:color w:val="000000" w:themeColor="text1"/>
          <w:sz w:val="16"/>
          <w:szCs w:val="16"/>
        </w:rPr>
      </w:pPr>
      <w:r w:rsidRPr="00640820">
        <w:rPr>
          <w:color w:val="000000" w:themeColor="text1"/>
          <w:sz w:val="16"/>
          <w:szCs w:val="16"/>
        </w:rPr>
        <w:t>И всё же главным двигателем были люди. По две смены работали уже упоминавшиеся в нашей книге главный механик Сурин Иван Васильевич, специалисты по автоматам Синицин Дмитрий Петрович, водопроводчик Сарычев Фёдор Константинович .</w:t>
      </w:r>
    </w:p>
    <w:p w14:paraId="43707A1C" w14:textId="77777777" w:rsidR="00165A9C" w:rsidRPr="00640820" w:rsidRDefault="00165A9C" w:rsidP="00640820">
      <w:pPr>
        <w:pStyle w:val="ae"/>
        <w:shd w:val="clear" w:color="auto" w:fill="FFFFFF"/>
        <w:spacing w:before="0" w:after="0"/>
        <w:jc w:val="both"/>
        <w:rPr>
          <w:color w:val="000000" w:themeColor="text1"/>
          <w:sz w:val="16"/>
          <w:szCs w:val="16"/>
        </w:rPr>
      </w:pPr>
      <w:r w:rsidRPr="00640820">
        <w:rPr>
          <w:color w:val="000000" w:themeColor="text1"/>
          <w:sz w:val="16"/>
          <w:szCs w:val="16"/>
        </w:rPr>
        <w:t>Душой коллектива был начальник химической лаборатории В.В.Радзиминский, который даже в тех условиях сумел организовать выступления художественной самодеятельности. Медленно, но всё же налаживалось питание и быт рабочих.</w:t>
      </w:r>
    </w:p>
    <w:p w14:paraId="4D094D60" w14:textId="77777777" w:rsidR="00165A9C" w:rsidRPr="00640820" w:rsidRDefault="00165A9C" w:rsidP="00640820">
      <w:pPr>
        <w:pStyle w:val="ae"/>
        <w:shd w:val="clear" w:color="auto" w:fill="FFFFFF"/>
        <w:spacing w:before="0" w:after="0"/>
        <w:jc w:val="both"/>
        <w:rPr>
          <w:color w:val="000000" w:themeColor="text1"/>
          <w:sz w:val="16"/>
          <w:szCs w:val="16"/>
        </w:rPr>
      </w:pPr>
      <w:r w:rsidRPr="00640820">
        <w:rPr>
          <w:color w:val="000000" w:themeColor="text1"/>
          <w:sz w:val="16"/>
          <w:szCs w:val="16"/>
        </w:rPr>
        <w:t>В начале 1942 года началось производство магнитных взрывателей, рубашек для гранат, а чуть позже автоустройств для раскрытия парашютов (12237).</w:t>
      </w:r>
    </w:p>
    <w:p w14:paraId="78EA4778" w14:textId="77777777" w:rsidR="00165A9C" w:rsidRPr="00640820" w:rsidRDefault="00165A9C" w:rsidP="00640820">
      <w:pPr>
        <w:pStyle w:val="ae"/>
        <w:shd w:val="clear" w:color="auto" w:fill="FFFFFF"/>
        <w:spacing w:before="0" w:after="0"/>
        <w:jc w:val="both"/>
        <w:rPr>
          <w:color w:val="000000" w:themeColor="text1"/>
          <w:sz w:val="16"/>
          <w:szCs w:val="16"/>
        </w:rPr>
      </w:pPr>
    </w:p>
    <w:p w14:paraId="4EC4C08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октября 1941 вышло Постановление ГКО № 802 О комиссии текущих дел в Куйбышеве [в составе: Молотов В.М.(пред.), Микоян А.И., Вознесенский Н.А., Первухин М.Г., Малышев В.А.] (7013, 156).</w:t>
      </w:r>
    </w:p>
    <w:p w14:paraId="6D19DCB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35601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октября 1941 вышло Постановление ГКО № 803 [О назначении Попова Г.М. уполномоченным ГКО по производству боеприпасов в Москве.] (7013, 157).</w:t>
      </w:r>
    </w:p>
    <w:p w14:paraId="5EB4969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0214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октября 1941 на основании постановления ГКО приказом № 001504 ГУОБР передавался из НКВД в ведение Наркомата обороны, где на его базе было организовано Главное управление оборонительного строительства (ГУОС) НКО. Сотрудники бывшего ГУОБРа либо временно откомандировывались из НКВД в НКО, либо получили новые назначения в системе НКВД (7560).</w:t>
      </w:r>
    </w:p>
    <w:p w14:paraId="57CD86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2BC08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октября 1941 года выходит приказ Совета по эвакуации: «Обязать Наркомбумпром предоставить Наркомэлектропрому площади на Краснокамском целлюлозно-бумажном комбинате (г. Краснокамск Молотовской обл.) для размещения цеха сеток завода «Электрокабель». Таким образом, металлоткацкое и часть волочильного оборудования Севкабеля были эвакуированы в город Краснокамск Пермской области. Кабельное и основная часть волочильного производства - в Ташкент. Прокатный стан - в город Каменск-Уральский (10763).</w:t>
      </w:r>
    </w:p>
    <w:p w14:paraId="029F21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DD4B671"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5467EB74"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1C0B49B" w14:textId="77777777" w:rsidR="001C4D24" w:rsidRPr="00640820" w:rsidRDefault="001C4D24"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15 октября </w:t>
      </w:r>
      <w:r w:rsidRPr="00640820">
        <w:rPr>
          <w:rFonts w:ascii="Times New Roman" w:hAnsi="Times New Roman"/>
          <w:color w:val="000000" w:themeColor="text1"/>
          <w:sz w:val="16"/>
          <w:szCs w:val="16"/>
        </w:rPr>
        <w:t>в 1941 году утреннее сообщение Совинформбюро:</w:t>
      </w:r>
    </w:p>
    <w:p w14:paraId="48DD74A0" w14:textId="77777777" w:rsidR="001C4D24" w:rsidRPr="00640820" w:rsidRDefault="001C4D2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15 октября наши войска вели бои с противником на всём фронте и особенно ожесточённые на Вяземском, Брянском и Калининском направлениях.</w:t>
      </w:r>
    </w:p>
    <w:p w14:paraId="72D0018D" w14:textId="77777777" w:rsidR="001C4D24" w:rsidRPr="00640820" w:rsidRDefault="001C4D2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участков Ленинградского фронта части командиров Родина и Петрова вклинились в оборонительную полосу немцев и овладели высотой «А». За три дня боёв в этом районе немцы потеряли 1.5 00 человек убитыми и ранеными. Огнём нашей артиллерии подавлено 7 вражеских батарей, уничтожено 26 орудий, 28 пулемётных гнёзд, 8 ДЗОТов и 15 автомашин с пехотой и вооружением.</w:t>
      </w:r>
    </w:p>
    <w:p w14:paraId="30D87FDA" w14:textId="77777777" w:rsidR="001C4D24" w:rsidRPr="00640820" w:rsidRDefault="001C4D2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участков Юго-Западного направления фронта авиационное соединение Черноморского флота совершило несколько налётов на танковые и мотомеханизированные силы противника. В результате прямых попаданий бомб разбито 7 танков, 3 бронемашины, 10 автомашин с боеприпасами, уничтожено свыше роты немецких солдат и подожжён склад с боеприпасами. В воздушных боях сбито 7 самолётов и 8 самолётов уничтожено на аэродромах. Действующие на одном из секторов Юго-Западного направления артиллеристы Черноморского флота в течение последних дней уничтожили 3 немецких склада с боеприпасами, подавили 7 артиллерийских батарей, несколько танков и уничтожили много живой силы противника.</w:t>
      </w:r>
    </w:p>
    <w:p w14:paraId="7CAD8AF5" w14:textId="77777777" w:rsidR="001C4D24" w:rsidRPr="00640820" w:rsidRDefault="001C4D2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Группа бойцов из партизанского отряда тов. Ж., оперирующая в захваченных немцами районах Калининской области, после очередной разведки возвращалась в штаб.</w:t>
      </w:r>
    </w:p>
    <w:p w14:paraId="28B8E51F" w14:textId="77777777" w:rsidR="001C4D24" w:rsidRPr="00640820" w:rsidRDefault="001C4D2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деревне М. крестьяне сообщили разведчикам о том, что 20 фашистских солдат разграбили соседнюю деревню и сейчас двигаются по шоссейной дороге в свою часть. Выбрав удобную позицию неподалёку от дороги, партизаны устроили засаду. Вскоре показался конный обоз с награбленным крестьянским имуществом и продовольствием. Как только фашисты достигли расположения засады, в грабителей полетели гранаты. 10 немцев было убито на месте, остальные разбежались, оставив на дороге награбленное добро.</w:t>
      </w:r>
    </w:p>
    <w:p w14:paraId="583AA383" w14:textId="77777777" w:rsidR="001C4D24" w:rsidRPr="00640820" w:rsidRDefault="001C4D2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Несколько дней спустя партизаны выследили группу немцев, приехавшую на мельницу. Пока несколько солдат грузили на автомашину колхозную муку, остальные нем цы пошли на плотину глушить рыбу. Партизаны подкрались к плотине и в упор расстреляли фашистов. Уничтожив автомашину и немцев, оставшихся в мельнице, партизаны скрылись. Ни один из 15 фашистов не ушёл от метких партизанских пуль.</w:t>
      </w:r>
    </w:p>
    <w:p w14:paraId="5C9FBCD8" w14:textId="77777777" w:rsidR="001C4D24" w:rsidRPr="00640820" w:rsidRDefault="001C4D2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Население прибалтийских республик, оккупированных немцами, подвергается грабежам и насилиям, которые чинят фашистские мерзавцы. В городах и на хуторах происходят повальные обыски, во время которых у населения силой отбирается всё шерстяное бельё и тёплая одежда. За сокрытие тёплой одежды и шерстяных одеял в Риге, Митаве и Виндаве немцы расстреляли 29 человек. В городах Латвии объявлен приказ немецких властей, обязывающий население немедленно сдать германской армии лыжи, зимние спортивные костюмы и лыжную обувь. В Риге закрыты все универмаги и магазины, торгующие товарами широкого потребления. В дачной местности Волдерая немецкие солдаты расстреляли семью из четырёх человек за сокрытие нескольких пар лыж, шерстяных одеял и меховых курток.</w:t>
      </w:r>
    </w:p>
    <w:p w14:paraId="771C85A7" w14:textId="77777777" w:rsidR="001C4D24" w:rsidRPr="00640820" w:rsidRDefault="001C4D2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Несмотря на террор, жители прибалтийских республик оказывают сопротивление гитлеровским бандам. На одном из немецких складов было обнаружено, что почти все 300 пар отобранных лыж искусно надрезаны и непригодны к употреблению.» (14800).</w:t>
      </w:r>
    </w:p>
    <w:p w14:paraId="1C405A0C" w14:textId="77777777" w:rsidR="001C4D24" w:rsidRPr="00640820" w:rsidRDefault="001C4D24" w:rsidP="00640820">
      <w:pPr>
        <w:spacing w:after="0" w:line="240" w:lineRule="auto"/>
        <w:jc w:val="both"/>
        <w:rPr>
          <w:rFonts w:ascii="Times New Roman" w:hAnsi="Times New Roman"/>
          <w:color w:val="000000" w:themeColor="text1"/>
          <w:sz w:val="16"/>
          <w:szCs w:val="16"/>
        </w:rPr>
      </w:pPr>
    </w:p>
    <w:p w14:paraId="6BCB33EE" w14:textId="77777777" w:rsidR="001C4D24" w:rsidRPr="00640820" w:rsidRDefault="001C4D24"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15 октября </w:t>
      </w:r>
      <w:r w:rsidRPr="00640820">
        <w:rPr>
          <w:rFonts w:ascii="Times New Roman" w:hAnsi="Times New Roman"/>
          <w:color w:val="000000" w:themeColor="text1"/>
          <w:sz w:val="16"/>
          <w:szCs w:val="16"/>
        </w:rPr>
        <w:t>в 1941 году вечернее сообщение Совинформбюро:</w:t>
      </w:r>
    </w:p>
    <w:p w14:paraId="6D942CCA" w14:textId="77777777" w:rsidR="001C4D24" w:rsidRPr="00640820" w:rsidRDefault="001C4D2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с 14 на 15 октября положение на Западном направлении фронта ухудшилось. Немецко-фашистские войска бросили против наших частей большое количество танков, мотопехоты и на одном участке прорвали нашу оборону.</w:t>
      </w:r>
    </w:p>
    <w:p w14:paraId="688740FC" w14:textId="77777777" w:rsidR="001C4D24" w:rsidRPr="00640820" w:rsidRDefault="001C4D2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войска оказывают врагу героическое сопротивление, нанося ему тяжёлые потери, но вынуждены были на этом участке отступить. За 13 октября уничтожено 36 немецких самолётов. Наши потери — 11 самолетов. По неполным данным, за 15 октября под Москвой сбито 9 самолётов противника.</w:t>
      </w:r>
    </w:p>
    <w:p w14:paraId="27D4EA46" w14:textId="77777777" w:rsidR="001C4D24" w:rsidRPr="00640820" w:rsidRDefault="001C4D2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Две недели в городах и сёлах Советской страны идут занятия по всеобщему военному обучению граждан, способных носить оружие. Весь народ поднимается на защиту своей родины. Миллионы советских людей овладевают винтовкой, пулемётом, постигают военное искусство. В городе Горьком созданы десятки хорошо оборудованных военно-учебных пунктов. Допризывники закончили изучение материальной части винтовки. Проведены боевые стрельбы. Успешно проходят занятия на военно-учебных пунктах городов Ярославля и Иванова. После занятий бойцы несут у себя на предприятии караульную службу.</w:t>
      </w:r>
    </w:p>
    <w:p w14:paraId="2E2C5A65" w14:textId="77777777" w:rsidR="001C4D24" w:rsidRPr="00640820" w:rsidRDefault="001C4D2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Ленинграде всевобуч проходит в боевых условиях. Созданы отряды пулемётчиков, снайперов и истребителей танков. Широко развёрнуто военное обучение трудящихся в гор. Воронеже. Отряды выходят на тактические учения, совершают длительные походы, закаляются, приучаются преодолевать трудности.</w:t>
      </w:r>
    </w:p>
    <w:p w14:paraId="76949BCC" w14:textId="77777777" w:rsidR="001C4D24" w:rsidRPr="00640820" w:rsidRDefault="001C4D2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большой настойчивостью овладевают военным делом трудящиеся Донбасса. Горняки и металлурги, рабочие и инженеры, охваченные могучим патриотическим порывом, делают всё для того, чтобы возможно быстрее и лучше усвоить учебную программу. Организованно проходят занятия в Кли-мовском и Артёмовском районах гор. Ворошиловграда. Призывая товарищей в кратчайшие сроки и отлично овладеть оружием, кузнец-трёхсотник машиностроительного завода тов. Носиков заявил: «Сегодня я даю по три нормы в смену, работаю за троих, ибо я знаю, что своим молотом я кую победу над врагом. Завтра я готов встать под ружьё, пойти в бой и уничтожать фашистских извергов» (14800).</w:t>
      </w:r>
    </w:p>
    <w:p w14:paraId="3E29C969" w14:textId="77777777" w:rsidR="001C4D24" w:rsidRPr="00640820" w:rsidRDefault="001C4D24" w:rsidP="00640820">
      <w:pPr>
        <w:spacing w:after="0" w:line="240" w:lineRule="auto"/>
        <w:jc w:val="both"/>
        <w:rPr>
          <w:rFonts w:ascii="Times New Roman" w:hAnsi="Times New Roman"/>
          <w:color w:val="000000" w:themeColor="text1"/>
          <w:sz w:val="16"/>
          <w:szCs w:val="16"/>
        </w:rPr>
      </w:pPr>
    </w:p>
    <w:p w14:paraId="642094FD" w14:textId="77777777" w:rsidR="001C4D24" w:rsidRPr="00640820" w:rsidRDefault="001C4D24"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15 октября </w:t>
      </w:r>
      <w:r w:rsidRPr="00640820">
        <w:rPr>
          <w:rFonts w:ascii="Times New Roman" w:hAnsi="Times New Roman"/>
          <w:color w:val="000000" w:themeColor="text1"/>
          <w:sz w:val="16"/>
          <w:szCs w:val="16"/>
        </w:rPr>
        <w:t>в 1941 году немецкие войска заняли Боровск (14800).</w:t>
      </w:r>
    </w:p>
    <w:p w14:paraId="51009190" w14:textId="77777777" w:rsidR="001C4D24" w:rsidRPr="00640820" w:rsidRDefault="001C4D24" w:rsidP="00640820">
      <w:pPr>
        <w:spacing w:after="0" w:line="240" w:lineRule="auto"/>
        <w:jc w:val="both"/>
        <w:rPr>
          <w:rFonts w:ascii="Times New Roman" w:hAnsi="Times New Roman"/>
          <w:color w:val="000000" w:themeColor="text1"/>
          <w:sz w:val="16"/>
          <w:szCs w:val="16"/>
        </w:rPr>
      </w:pPr>
    </w:p>
    <w:p w14:paraId="1DDD317C" w14:textId="77777777" w:rsidR="001C4D24" w:rsidRPr="00640820" w:rsidRDefault="001C4D24"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15 октября </w:t>
      </w:r>
      <w:r w:rsidRPr="00640820">
        <w:rPr>
          <w:rFonts w:ascii="Times New Roman" w:hAnsi="Times New Roman"/>
          <w:color w:val="000000" w:themeColor="text1"/>
          <w:sz w:val="16"/>
          <w:szCs w:val="16"/>
        </w:rPr>
        <w:t>в 1941 году (15-22 октября) выселение немцев из Воронежской области в Сибирь (всего 5 тысяч человек) (14800).</w:t>
      </w:r>
    </w:p>
    <w:p w14:paraId="49C0124D" w14:textId="77777777" w:rsidR="001C4D24" w:rsidRPr="00640820" w:rsidRDefault="001C4D24" w:rsidP="00640820">
      <w:pPr>
        <w:spacing w:after="0" w:line="240" w:lineRule="auto"/>
        <w:jc w:val="both"/>
        <w:rPr>
          <w:rFonts w:ascii="Times New Roman" w:hAnsi="Times New Roman"/>
          <w:color w:val="000000" w:themeColor="text1"/>
          <w:sz w:val="16"/>
          <w:szCs w:val="16"/>
        </w:rPr>
      </w:pPr>
    </w:p>
    <w:p w14:paraId="688AEC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 октября 1941 208-й сбап на Пе-3 под командованием майора Коломейцева приступил к ведению боевых действий в составе б-го иак. Задачей полка было, главным образом, прикрытиежелезнодорожных станций и мест погрузки-выгрузки войск в районе Москвы. Кроме того, он привлекался и к нанесению бомбо-штурмовых ударов. Всего за три месяца боев самолеты 208-го сбап (его наименование не менялось, в отличие от 95-го полка) совершили 683 боевых вылета, уничтожив (по докладам экипажей) 34 танка, 212 автомашин, 6 железнодорожных эшелонов и 33 самолета противника. Собственные безвозвратные потери составили 10 Пе-3, в сражениях погибли 12 летчиков и 9 штурманов. За участие в обороне Москвы полк получил благодарность от командующего Западным фронтом генерала армии Г.К. Жукова (4476).</w:t>
      </w:r>
    </w:p>
    <w:p w14:paraId="34AF97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F5EDE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 октября 1941 208-й бап приступил к ведению боевых действий в составе 6-го истребительного авиакорпуса. Его задачей являлось, главным образом, прикрытие железнодорожных станций и мест погрузки - выгрузки войск в районе Москвы. Кроме того, он привлекался и к нанесению бомбо-штурмо- вых ударов. Всего за три месяца боев самолеты 208-го бап (его наименование не менялось, в отличие от 95-го полка) совершили 683 боевых вылета, уничтожив (по докладам экипажей) 34 танка, 212 автомашин, 6 железнодорожных эшелонов и 33 самолета противника. Собственные безвозвратные потери составили 10 Пе-3, 12 летчиков и 9 штурманов. За участие в обороне Москвы часть получила благодарность от командующего Западным фронтом генерала армии Г.К. Жукова.</w:t>
      </w:r>
    </w:p>
    <w:p w14:paraId="058A9E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связи с острой нехваткой самолетов Пе-3 (московский авиазавод № 39 эвакуировался в Иркутск и временно прекратил выпуск двухмоторных истребителей) командир 6-го авиакорпуса ПВО полковник Митель- ков приказал передать оставшиеся в 208-м полку 12 самолетов в 95-й иап. В дальнейшем 208-й бап преобразовали в штурмовой авиаполк на самолетах Ил-2 (12042).</w:t>
      </w:r>
    </w:p>
    <w:p w14:paraId="31E50D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B33BBB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октября 1941 года, согласно воспоминаниям А. Фёдорова состоялось боевое применение ТБ-3 ТМС. “10 часов утра. Командиру зенитного дивизиона Вермахта, прикрывавшего переправу через Волгу в районе Калинина, первый же залп показался на редкость метким: тяжё</w:t>
      </w:r>
      <w:r w:rsidRPr="00640820">
        <w:rPr>
          <w:rFonts w:ascii="Times New Roman" w:hAnsi="Times New Roman"/>
          <w:color w:val="000000" w:themeColor="text1"/>
          <w:sz w:val="16"/>
          <w:szCs w:val="16"/>
        </w:rPr>
        <w:softHyphen/>
        <w:t>лый советский бомбардировщик после пристрелочного выстрела стал па</w:t>
      </w:r>
      <w:r w:rsidRPr="00640820">
        <w:rPr>
          <w:rFonts w:ascii="Times New Roman" w:hAnsi="Times New Roman"/>
          <w:color w:val="000000" w:themeColor="text1"/>
          <w:sz w:val="16"/>
          <w:szCs w:val="16"/>
        </w:rPr>
        <w:softHyphen/>
        <w:t>дать. Командир от души восхищался своими подчинёнными. Но радость была преждевременной. Ещё мгновение - и воздух потряс взрыв невиданной силы. Краснозвёздный са</w:t>
      </w:r>
      <w:r w:rsidRPr="00640820">
        <w:rPr>
          <w:rFonts w:ascii="Times New Roman" w:hAnsi="Times New Roman"/>
          <w:color w:val="000000" w:themeColor="text1"/>
          <w:sz w:val="16"/>
          <w:szCs w:val="16"/>
        </w:rPr>
        <w:softHyphen/>
        <w:t>молёт, начинённый тротилом, переме</w:t>
      </w:r>
      <w:r w:rsidRPr="00640820">
        <w:rPr>
          <w:rFonts w:ascii="Times New Roman" w:hAnsi="Times New Roman"/>
          <w:color w:val="000000" w:themeColor="text1"/>
          <w:sz w:val="16"/>
          <w:szCs w:val="16"/>
        </w:rPr>
        <w:softHyphen/>
        <w:t>шал переправу и орудия, людей и маши</w:t>
      </w:r>
      <w:r w:rsidRPr="00640820">
        <w:rPr>
          <w:rFonts w:ascii="Times New Roman" w:hAnsi="Times New Roman"/>
          <w:color w:val="000000" w:themeColor="text1"/>
          <w:sz w:val="16"/>
          <w:szCs w:val="16"/>
        </w:rPr>
        <w:softHyphen/>
        <w:t>ны. Погибло много солдат и офицеров, ждавших очереди на переправу и мчав</w:t>
      </w:r>
      <w:r w:rsidRPr="00640820">
        <w:rPr>
          <w:rFonts w:ascii="Times New Roman" w:hAnsi="Times New Roman"/>
          <w:color w:val="000000" w:themeColor="text1"/>
          <w:sz w:val="16"/>
          <w:szCs w:val="16"/>
        </w:rPr>
        <w:softHyphen/>
        <w:t>шихся в танках и автомашинах по ней. Да и дорогу на берегу потом долго при</w:t>
      </w:r>
      <w:r w:rsidRPr="00640820">
        <w:rPr>
          <w:rFonts w:ascii="Times New Roman" w:hAnsi="Times New Roman"/>
          <w:color w:val="000000" w:themeColor="text1"/>
          <w:sz w:val="16"/>
          <w:szCs w:val="16"/>
        </w:rPr>
        <w:softHyphen/>
        <w:t>шлось расчищать (10734).</w:t>
      </w:r>
    </w:p>
    <w:p w14:paraId="4AB43FB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FCC4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октября 1941 основной состав штаба ВВС во главе с бригинженером Я.Л.Бибиковым был эвакуирован в Куйбышев, но полевой штаб во главе с г Г.А.Ворожейкиным остался в Москве (340,60).</w:t>
      </w:r>
    </w:p>
    <w:p w14:paraId="1F070E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CCA5D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октября 1941 экипаж л А.Д.Гаранина сел на аэродром в Калинине при возвращении после бомбежки железнодорожного узла в Смоленске. В это время на аэродром вышли немецкие танки, но экипаж пересел в отремонтированный СБ и смог взлететь (556,219).</w:t>
      </w:r>
    </w:p>
    <w:p w14:paraId="2A75F8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ADC3C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15-16 октября 1941 начался второй этап немецкого наступления на Москву (575,13).</w:t>
      </w:r>
    </w:p>
    <w:p w14:paraId="3E0F72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1B74C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октября 1941 командующий 11-й армией Манштейн обратился к командующему группой армий "Юг" с просьбой усилить авиацию на его участке фронта четырьмя группами бомбардировщиков, двумя - пикировщиков двумя - истребителей. По его словам, "потрясающие" удары советской авиации задержали наступление 11-й армии в Крым (3573).</w:t>
      </w:r>
    </w:p>
    <w:p w14:paraId="1FF8E3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A2A3E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октября 1941 после 73 дней сопротивления были более-менее удачно вывезены морем части из Одессы (2070,54).</w:t>
      </w:r>
    </w:p>
    <w:p w14:paraId="31A180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BBB26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октября 1941 вышло Постановление ГКО № 804 О формировании в Ярославле стрелковой дивизии из коммунистов, комсомольцев и народных ополченцев. РГАНИР, Фонд ГКО, д. 12, лл. 158 (11012).</w:t>
      </w:r>
    </w:p>
    <w:p w14:paraId="75B94A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05F00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октября 1941 вышло Постановление ГКО № 806 Об установлении численности войск Красной Армии и об отпуске продовольственных пайков для НКО в октябре 1941 г. РГАНИР, Фонд ГКО, д. 12, лл. 160 (11012).</w:t>
      </w:r>
    </w:p>
    <w:p w14:paraId="3797A7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00A666F"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3A087E53"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2E313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октября 1941 Сталин подписал знаменитое постановление № 801сс «Об эвакуации столицы СССР г. Москвы», в котором, в частности, говорилось:</w:t>
      </w:r>
    </w:p>
    <w:p w14:paraId="0C6AAF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«Ввиду неблагополучного положения в районе Можайской оборонительной линии, Государственный кмитет обороны постановляет: </w:t>
      </w:r>
    </w:p>
    <w:p w14:paraId="73CD3E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 Поручить тов. Молотову заявить иностранным миссиям, чтобы они сегодня же эвакуировались в г. Куйбышев… </w:t>
      </w:r>
    </w:p>
    <w:p w14:paraId="23E1F4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Сегодня же эвакуировать Президиум Верховного Совета, а также правительство во главе с заместителем председателя СНКтов. Молотовым» (11774).</w:t>
      </w:r>
    </w:p>
    <w:p w14:paraId="2E6FD4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3401DE4" w14:textId="77777777" w:rsidR="008A6EEB" w:rsidRPr="00640820" w:rsidRDefault="008A6EE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октября 1941 вышло Постановление ГКО № 801 Об эвакуации столицы СССР г.Москвы. РГАНИР, Фонд ГКО, д. 12, лл. 155 (11012).</w:t>
      </w:r>
    </w:p>
    <w:p w14:paraId="1DC76A27" w14:textId="77777777" w:rsidR="008A6EEB" w:rsidRPr="00640820" w:rsidRDefault="008A6EE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 ЭВАКУАЦИИ СТОЛИЦЫ СССР МОСКВЫ</w:t>
      </w:r>
    </w:p>
    <w:p w14:paraId="06402819" w14:textId="77777777" w:rsidR="008A6EEB" w:rsidRPr="00640820" w:rsidRDefault="008A6EE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Ввиду неблагополучного положения в районе Можайской оборонительной линии Государственный Комитет Обороны постановил:</w:t>
      </w:r>
    </w:p>
    <w:p w14:paraId="664EF6F6" w14:textId="77777777" w:rsidR="008A6EEB" w:rsidRPr="00640820" w:rsidRDefault="008A6EE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Поручить т. Молотову заявить иностранным миссиям, чтобы они сегодня же эвакуировались в г. Куйбышев (НКПС — т. Каганович обеспечивает своевременную подачу составов для миссий, а НКВД — т. Берия организует их охрану.)</w:t>
      </w:r>
    </w:p>
    <w:p w14:paraId="7E6517D3" w14:textId="77777777" w:rsidR="008A6EEB" w:rsidRPr="00640820" w:rsidRDefault="008A6EE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Сегодня же эвакуировать Президиум Верховного Совета, а также Правительство во главе с заместителем председателя СНК т. Молотовым (т. Сталин эвакуируется завтра или позднее, смотря по обстановке).</w:t>
      </w:r>
    </w:p>
    <w:p w14:paraId="074FFF67" w14:textId="77777777" w:rsidR="008A6EEB" w:rsidRPr="00640820" w:rsidRDefault="008A6EE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Немедля эвакуироваться органам Наркомата Обороны в г. Куйбышев, а основной группе Генштаба — в Арзамас.</w:t>
      </w:r>
    </w:p>
    <w:p w14:paraId="2305CEBD" w14:textId="77777777" w:rsidR="008A6EEB" w:rsidRPr="00640820" w:rsidRDefault="008A6EE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В случае появления войск противника у ворот Москвы поручить НКВД — т. Берия и т. Щербакову произвести взрыв предприятий, складов и учреждений, которые нельзя будет эвакуировать, а также все электрооборудование метро (исключая водопровод и канализацию).</w:t>
      </w:r>
    </w:p>
    <w:p w14:paraId="30D8E49B" w14:textId="77777777" w:rsidR="008A6EEB" w:rsidRPr="00640820" w:rsidRDefault="008A6EE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Председатель Государственного Комитета Обороны СССР</w:t>
      </w:r>
    </w:p>
    <w:p w14:paraId="0BC6CDC7" w14:textId="77777777" w:rsidR="008A6EEB" w:rsidRPr="00640820" w:rsidRDefault="008A6EE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 СТАЛИН</w:t>
      </w:r>
    </w:p>
    <w:p w14:paraId="64D0F8FF" w14:textId="77777777" w:rsidR="008A6EEB" w:rsidRPr="00640820" w:rsidRDefault="008A6EEB"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РЦХИДНИ. Ф. 644. Оп. 2. Ед. хр. 23 Л. 20 (12013).</w:t>
      </w:r>
    </w:p>
    <w:p w14:paraId="3FED4732" w14:textId="77777777" w:rsidR="008A6EEB" w:rsidRPr="00640820" w:rsidRDefault="008A6EEB"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CD12CF9" w14:textId="77777777" w:rsidR="008A6EEB" w:rsidRPr="00640820" w:rsidRDefault="008A6EE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15 октября 1941 года Постановление Государственного Комитета Обороны об эвакуации столицы СССР г. Москвы </w:t>
      </w:r>
    </w:p>
    <w:p w14:paraId="4FB6FDD6" w14:textId="77777777" w:rsidR="008A6EEB" w:rsidRPr="00640820" w:rsidRDefault="008A6EE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 секретно</w:t>
      </w:r>
    </w:p>
    <w:p w14:paraId="3A34C91E" w14:textId="77777777" w:rsidR="008A6EEB" w:rsidRPr="00640820" w:rsidRDefault="008A6EE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Особой важности</w:t>
      </w:r>
    </w:p>
    <w:p w14:paraId="16145D97" w14:textId="77777777" w:rsidR="008A6EEB" w:rsidRPr="00640820" w:rsidRDefault="008A6EE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Ввиду неблагополучного положения в районе Можайской оборонительной линии, Государственный Комитет Обороны постановил:</w:t>
      </w:r>
    </w:p>
    <w:p w14:paraId="26572D98" w14:textId="77777777" w:rsidR="008A6EEB" w:rsidRPr="00640820" w:rsidRDefault="008A6EE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Поручить т. Молотову заявить иностранным миссиям, чтобы они сегодня же эвакуировались в г. Куйбышев. (НКПС — т. Каганович обеспечивает своевременную подачу составов для миссий, а НКВД — т. Берия организует их охрану.)</w:t>
      </w:r>
    </w:p>
    <w:p w14:paraId="797CDB7C" w14:textId="77777777" w:rsidR="008A6EEB" w:rsidRPr="00640820" w:rsidRDefault="008A6EE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Сегодня же эвакуировать Президиум Верховного Совета, а также правительство во главе с заместителем председателя СНК т. Молотовым (т. Сталин эвакуируется завтра или позднее, смотря по обстановке).</w:t>
      </w:r>
    </w:p>
    <w:p w14:paraId="45FD17E3" w14:textId="77777777" w:rsidR="008A6EEB" w:rsidRPr="00640820" w:rsidRDefault="008A6EE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Немедля эвакуироваться органам наркомата обороны и наркомвоенмора в г. Куйбышев, а основной группе Генштаба — в Арзамас.</w:t>
      </w:r>
    </w:p>
    <w:p w14:paraId="198A326A" w14:textId="77777777" w:rsidR="008A6EEB" w:rsidRPr="00640820" w:rsidRDefault="008A6EE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В случае появления войск противника у ворот Москвы поручить НКВД — т. Берия и т. Щербакову произвести взрыв предприятий, складов и учреждений, которые нельзя будет эвакуировать, а также все электрооборудование метро (исключая водопровод и канализацию).</w:t>
      </w:r>
    </w:p>
    <w:p w14:paraId="65BCC2E7" w14:textId="77777777" w:rsidR="008A6EEB" w:rsidRPr="00640820" w:rsidRDefault="008A6EE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Председатель Государственного Комитета Обороны</w:t>
      </w:r>
    </w:p>
    <w:p w14:paraId="158E132E" w14:textId="77777777" w:rsidR="008A6EEB" w:rsidRPr="00640820" w:rsidRDefault="008A6EE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 Сталин</w:t>
      </w:r>
    </w:p>
    <w:p w14:paraId="06827779" w14:textId="77777777" w:rsidR="008A6EEB" w:rsidRPr="00640820" w:rsidRDefault="008A6EE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Известия ЦК КПСС. 1990. № 12. С. 217 (11652).</w:t>
      </w:r>
    </w:p>
    <w:p w14:paraId="562E136E" w14:textId="77777777" w:rsidR="008A6EEB" w:rsidRPr="00640820" w:rsidRDefault="008A6EEB" w:rsidP="00640820">
      <w:pPr>
        <w:autoSpaceDE w:val="0"/>
        <w:autoSpaceDN w:val="0"/>
        <w:adjustRightInd w:val="0"/>
        <w:spacing w:after="0" w:line="240" w:lineRule="auto"/>
        <w:jc w:val="both"/>
        <w:rPr>
          <w:rFonts w:ascii="Times New Roman" w:hAnsi="Times New Roman"/>
          <w:color w:val="000000" w:themeColor="text1"/>
          <w:sz w:val="16"/>
          <w:szCs w:val="16"/>
        </w:rPr>
      </w:pPr>
    </w:p>
    <w:p w14:paraId="40AC3ED3" w14:textId="77777777" w:rsidR="008A6EEB" w:rsidRPr="00640820" w:rsidRDefault="008A6EE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15 октября 1941 года Государственный комитет обороны в Москве принял трудное историческое решение. Вот оно дословно: </w:t>
      </w:r>
    </w:p>
    <w:p w14:paraId="2AF2F2A8" w14:textId="77777777" w:rsidR="008A6EEB" w:rsidRPr="00640820" w:rsidRDefault="008A6EE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«Ввиду неблагоприятного положения в районе Можайской оборонительной линии ГКО постановил: </w:t>
      </w:r>
    </w:p>
    <w:p w14:paraId="4553CDE1" w14:textId="77777777" w:rsidR="008A6EEB" w:rsidRPr="00640820" w:rsidRDefault="008A6EE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Поручить т. Молотову заявить иностранным миссиям, чтобы они сегодня же эвакуировались в Куйбышев. </w:t>
      </w:r>
    </w:p>
    <w:p w14:paraId="3B0E0914" w14:textId="77777777" w:rsidR="008A6EEB" w:rsidRPr="00640820" w:rsidRDefault="008A6EE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Сегодня же эвакуировать Президиум Верховного Совета, также Правительство во главе с Молотовым (Сталин эвакуируется завтра или позднее, смотря по обстановке). </w:t>
      </w:r>
    </w:p>
    <w:p w14:paraId="247F2407" w14:textId="77777777" w:rsidR="008A6EEB" w:rsidRPr="00640820" w:rsidRDefault="008A6EE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Немедленно эвакуироваться органам Наркомата обороны и Наркомвоенмора в г. Куйбышев, а основной группе Генштаба в г. Арзамас».</w:t>
      </w:r>
    </w:p>
    <w:p w14:paraId="3C95D944" w14:textId="77777777" w:rsidR="008A6EEB" w:rsidRPr="00640820" w:rsidRDefault="008A6EE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Несмотря на всю сложность положения в Москве, никто из высоких руководителей не хотел покидать столицу, свою уютную московскую квартиру. Все знали, что в Куйбышеве их не ждут с распростертыми объятиями. Даже директор Телеграфного агентства Советского Союза Яков Хавинсон, у которого еще с августа 1941 года в Куйбышеве работало целое подразделение – около 30 человек, на которое можно было опереться, не собирался уезжать из Москвы. Вот как об этом вспоминает сам Яков Семенович. </w:t>
      </w:r>
    </w:p>
    <w:p w14:paraId="5BBCCC6F" w14:textId="77777777" w:rsidR="008A6EEB" w:rsidRPr="00640820" w:rsidRDefault="008A6EE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Утром 15 октября в ТАСС позвонил один из руководителей Моссовета и сказал, что по решению ГКО глава агентства должен сегодня вечером выехать в Куйбышев и назвал номер поезда, вагона и купе. Возмущенный Хавинсон тут же позвонил руководителю Информбюро Щербакову и сказал ему, что с его отъездом может случиться срыв передачи сводок, а сейчас этого ни в коем случае допустить нельзя. Однако Щербаков не решился взять на себя ответственность за нарушение постановления ГКО. Тогда Хавинсон позвонил заместителю председателя Совета народных комиссаров Николаю Вознесенскому, который курировал работу ТАСС в правительстве. Тот выслушал его и спросил: «У тебя какой вагон?» «Четвертый», растерянно ответил Хавинсон. «А у меня шестой. Поедем в Куйбышев вместе», сказал Вознесенский. </w:t>
      </w:r>
    </w:p>
    <w:p w14:paraId="74FBAA25" w14:textId="77777777" w:rsidR="008A6EEB" w:rsidRPr="00640820" w:rsidRDefault="008A6EE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Понимая, что страна в самое трудное время может надолго остаться в информационном вакууме, Хавинсон решился на отчаянный шаг и позвонил Молотову. В приемной ему сказали, что он у Сталина. Яков Семенович набрал номер помощника Сталина Поскребышева и попросил его по экстренному вопросу, на две минуточки, не больше, позвать к телефону Вячеслава Михайловича. Молотов выслушал его и сказал: «Оставайтесь до завтрашнего утра, а утром позвоните мне». </w:t>
      </w:r>
    </w:p>
    <w:p w14:paraId="75BB35E3" w14:textId="77777777" w:rsidR="008A6EEB" w:rsidRPr="00640820" w:rsidRDefault="008A6EE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Утром в кабинете Хавинсона зазвенела «кремлевка». «Это Сталин говорит. Меня интересует, как вы будете обслуживать сейчас нас своей информацией. Ее значение неизмеримо возрастает». Волнуясь, Хавинсон заверил Верховного Главнокомандующего, что Ставка будет получать сводки гораздо раньше и чаще, чем прежде. Что 24 часа в сутки в ТАСС будет дежурить фельдегерь и доставлять, куда нужно всю самую свежую информацию. «Хорошо», сказал Сталин и положил трубку. Так Хавинсон снял проблему своей эвакуации в Куйбышев, а передача сводок не была прервана ни на один день. </w:t>
      </w:r>
    </w:p>
    <w:p w14:paraId="2A0F4DC3" w14:textId="77777777" w:rsidR="008A6EEB" w:rsidRPr="00640820" w:rsidRDefault="008A6EE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второй-третий день после выхода постановления ГКО в Куйбышев стали прибывать литерные поезда. Первыми приехали председатель Президиума Верховного Совета СССР М.И.Калинин, член ГКО Клим Ворошилов, секретарь ЦК ВКП(б) Андрей Андреев, многие другие ответственные партийные работники. 20 октября пришел поезд с эвакуированными из Москвы дипломатическими миссиями и иностранными корреспондентами. </w:t>
      </w:r>
    </w:p>
    <w:p w14:paraId="2826F4E7" w14:textId="77777777" w:rsidR="008A6EEB" w:rsidRPr="00640820" w:rsidRDefault="008A6EE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Но всем эвакуированным наркоматам в городе места не хватало, поэтому Наркомлегпром и Наркомэлектростанций направили в Сызрань, Наркомречфлот – в Ульяновск. Госплан настоял на своем размещении в Куйбышеве. </w:t>
      </w:r>
    </w:p>
    <w:p w14:paraId="798E0B32" w14:textId="77777777" w:rsidR="008A6EEB" w:rsidRPr="00640820" w:rsidRDefault="008A6EE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Для иностранцев срочно освобождали 20 лучших особняков в центре города, но дипломаты все равно были недовольны. В своей книге «В тени Сталина» шведский посланник Ассарссон вспоминает, как английский посол Криппс «жаловался на то, что его квартира темная и к тому же полна клопов и тараканов, что он плохо чувствует себя в Куйбышеве». Сотрудник миссии США по военному снабжению полковник Файновилл был очень разочарован, когда ему отказали в просьбе дать квартиру из 16-18 комнат и гараж на 3 машины. О каких машинах могла идти речь, если весь автотранспорт был отправлен на фронт, и даже раненых доставляли с вокзала в госпитали Куйбышева на специально оборудованных трамваях. Для этого в большинство из 19 лазаретов были проложены специальные ветки. </w:t>
      </w:r>
    </w:p>
    <w:p w14:paraId="59506FBA" w14:textId="77777777" w:rsidR="008A6EEB" w:rsidRPr="00640820" w:rsidRDefault="008A6EE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Высокое московское начальство и дипломатов опекали обком ВКП(б), облисполком и даже сами руководители народных комиссариатов. В отличие от работников соцобеспечения делали они это не очень профессионально. Известен случай, когда посол Японии в СССР господин Татекава пожаловался заместителю наркома иностранных дел А.Вышинскому, что в его доме на улице Чапаевской, 80 холодно и ему приходится ночевать на кухне возле плиты. Вышинский немедленно отдал распоряжение своим службам найти японскому посольству нового истопника. Нашли, но он оказался горьким пьяницей. Через три дня Татекава полушутя сказал про него Вышинскому: «Я впервые увидел такого плохого русского». Только после этого через горсобес японцам нашли добросовестную прислугу (11878).</w:t>
      </w:r>
    </w:p>
    <w:p w14:paraId="7DDB286E" w14:textId="77777777" w:rsidR="008A6EEB" w:rsidRPr="00640820" w:rsidRDefault="008A6EEB" w:rsidP="00640820">
      <w:pPr>
        <w:autoSpaceDE w:val="0"/>
        <w:autoSpaceDN w:val="0"/>
        <w:adjustRightInd w:val="0"/>
        <w:spacing w:after="0" w:line="240" w:lineRule="auto"/>
        <w:jc w:val="both"/>
        <w:rPr>
          <w:rFonts w:ascii="Times New Roman" w:hAnsi="Times New Roman"/>
          <w:color w:val="000000" w:themeColor="text1"/>
          <w:sz w:val="16"/>
          <w:szCs w:val="16"/>
        </w:rPr>
      </w:pPr>
    </w:p>
    <w:p w14:paraId="5BAAF972" w14:textId="77777777" w:rsidR="004D7F78" w:rsidRPr="00640820" w:rsidRDefault="004D7F78" w:rsidP="00640820">
      <w:pPr>
        <w:pStyle w:val="ae"/>
        <w:shd w:val="clear" w:color="auto" w:fill="FFFFFF"/>
        <w:spacing w:before="0" w:after="0"/>
        <w:jc w:val="both"/>
        <w:rPr>
          <w:color w:val="000000" w:themeColor="text1"/>
          <w:sz w:val="16"/>
          <w:szCs w:val="16"/>
        </w:rPr>
      </w:pPr>
      <w:r w:rsidRPr="00640820">
        <w:rPr>
          <w:color w:val="000000" w:themeColor="text1"/>
          <w:sz w:val="16"/>
          <w:szCs w:val="16"/>
        </w:rPr>
        <w:t>15 октября 1941 года Государственный комитет обороны в Москве принял трудное историческое решение:</w:t>
      </w:r>
    </w:p>
    <w:p w14:paraId="4930836C" w14:textId="77777777" w:rsidR="004D7F78" w:rsidRPr="00640820" w:rsidRDefault="004D7F78" w:rsidP="00640820">
      <w:pPr>
        <w:pStyle w:val="ae"/>
        <w:shd w:val="clear" w:color="auto" w:fill="FFFFFF"/>
        <w:spacing w:before="0" w:after="0"/>
        <w:jc w:val="both"/>
        <w:rPr>
          <w:color w:val="000000" w:themeColor="text1"/>
          <w:sz w:val="16"/>
          <w:szCs w:val="16"/>
        </w:rPr>
      </w:pPr>
      <w:r w:rsidRPr="00640820">
        <w:rPr>
          <w:rStyle w:val="a7"/>
          <w:rFonts w:eastAsiaTheme="majorEastAsia"/>
          <w:b w:val="0"/>
          <w:color w:val="000000" w:themeColor="text1"/>
          <w:sz w:val="16"/>
          <w:szCs w:val="16"/>
        </w:rPr>
        <w:t>«Ввиду неблагоприятного положения в районе Можайской оборонительной линии ГКО постановил:</w:t>
      </w:r>
    </w:p>
    <w:p w14:paraId="652EAD7C" w14:textId="77777777" w:rsidR="004D7F78" w:rsidRPr="00640820" w:rsidRDefault="004D7F78" w:rsidP="00640820">
      <w:pPr>
        <w:pStyle w:val="ae"/>
        <w:shd w:val="clear" w:color="auto" w:fill="FFFFFF"/>
        <w:spacing w:before="0" w:after="0"/>
        <w:jc w:val="both"/>
        <w:rPr>
          <w:color w:val="000000" w:themeColor="text1"/>
          <w:sz w:val="16"/>
          <w:szCs w:val="16"/>
        </w:rPr>
      </w:pPr>
      <w:r w:rsidRPr="00640820">
        <w:rPr>
          <w:color w:val="000000" w:themeColor="text1"/>
          <w:sz w:val="16"/>
          <w:szCs w:val="16"/>
        </w:rPr>
        <w:t>1. Поручить т. Молотову заявить иностранным миссиям, чтобы они сегодня же эвакуировались в Куйбышев.</w:t>
      </w:r>
    </w:p>
    <w:p w14:paraId="4AC2536D" w14:textId="77777777" w:rsidR="004D7F78" w:rsidRPr="00640820" w:rsidRDefault="004D7F78" w:rsidP="00640820">
      <w:pPr>
        <w:pStyle w:val="ae"/>
        <w:shd w:val="clear" w:color="auto" w:fill="FFFFFF"/>
        <w:spacing w:before="0" w:after="0"/>
        <w:jc w:val="both"/>
        <w:rPr>
          <w:color w:val="000000" w:themeColor="text1"/>
          <w:sz w:val="16"/>
          <w:szCs w:val="16"/>
        </w:rPr>
      </w:pPr>
      <w:r w:rsidRPr="00640820">
        <w:rPr>
          <w:color w:val="000000" w:themeColor="text1"/>
          <w:sz w:val="16"/>
          <w:szCs w:val="16"/>
        </w:rPr>
        <w:t>2. Сегодня же эвакуировать Президиум Верховного Совета, также Правительство во главе с Молотовым (Сталин эвакуируется завтра или позднее, смотря по обстановке).</w:t>
      </w:r>
    </w:p>
    <w:p w14:paraId="1C074D39" w14:textId="77777777" w:rsidR="004D7F78" w:rsidRPr="00640820" w:rsidRDefault="004D7F78" w:rsidP="00640820">
      <w:pPr>
        <w:pStyle w:val="ae"/>
        <w:shd w:val="clear" w:color="auto" w:fill="FFFFFF"/>
        <w:spacing w:before="0" w:after="0"/>
        <w:jc w:val="both"/>
        <w:rPr>
          <w:color w:val="000000" w:themeColor="text1"/>
          <w:sz w:val="16"/>
          <w:szCs w:val="16"/>
        </w:rPr>
      </w:pPr>
      <w:r w:rsidRPr="00640820">
        <w:rPr>
          <w:rStyle w:val="a7"/>
          <w:rFonts w:eastAsiaTheme="majorEastAsia"/>
          <w:b w:val="0"/>
          <w:color w:val="000000" w:themeColor="text1"/>
          <w:sz w:val="16"/>
          <w:szCs w:val="16"/>
        </w:rPr>
        <w:t>3. Немедленно эвакуироваться органам Наркомата обороны и Наркомвоенмора в г. Куйбышев, а основной группе Генштаба в г. Арзамас».</w:t>
      </w:r>
    </w:p>
    <w:p w14:paraId="5F2A4844" w14:textId="77777777" w:rsidR="004D7F78" w:rsidRPr="00640820" w:rsidRDefault="004D7F78" w:rsidP="00640820">
      <w:pPr>
        <w:pStyle w:val="ae"/>
        <w:shd w:val="clear" w:color="auto" w:fill="FFFFFF"/>
        <w:spacing w:before="0" w:after="0"/>
        <w:jc w:val="both"/>
        <w:rPr>
          <w:color w:val="000000" w:themeColor="text1"/>
          <w:sz w:val="16"/>
          <w:szCs w:val="16"/>
        </w:rPr>
      </w:pPr>
      <w:r w:rsidRPr="00640820">
        <w:rPr>
          <w:color w:val="000000" w:themeColor="text1"/>
          <w:sz w:val="16"/>
          <w:szCs w:val="16"/>
        </w:rPr>
        <w:t>На второй-третий день после выхода постановления ГКО в Куйбышев стали прибывать литерные поезда. Первыми приехали председатель Президиума Верховного Совета СССР М.Калинин, член ГКО К. Ворошилов, секретарь ЦК ВКП(б) А. Андреев, многие другие ответственные партийные работники. 20 октября пришел поезд с эвакуированными из Москвы дипломатическими миссиями и иностранными корреспондентами.</w:t>
      </w:r>
    </w:p>
    <w:p w14:paraId="74233A42" w14:textId="77777777" w:rsidR="004D7F78" w:rsidRPr="00640820" w:rsidRDefault="004D7F78" w:rsidP="00640820">
      <w:pPr>
        <w:pStyle w:val="ae"/>
        <w:shd w:val="clear" w:color="auto" w:fill="FFFFFF"/>
        <w:spacing w:before="0" w:after="0"/>
        <w:jc w:val="both"/>
        <w:rPr>
          <w:color w:val="000000" w:themeColor="text1"/>
          <w:sz w:val="16"/>
          <w:szCs w:val="16"/>
        </w:rPr>
      </w:pPr>
      <w:r w:rsidRPr="00640820">
        <w:rPr>
          <w:color w:val="000000" w:themeColor="text1"/>
          <w:sz w:val="16"/>
          <w:szCs w:val="16"/>
        </w:rPr>
        <w:t>Всем эвакуированным в городе места не хватало, поэтому Наркомлегпром и Наркомэлектростанций направили в Сызрань, Наркомречфлот – в Ульяновск. Госплан настоял на своем размещении в Куйбышеве.</w:t>
      </w:r>
    </w:p>
    <w:p w14:paraId="067EE2DA" w14:textId="77777777" w:rsidR="004D7F78" w:rsidRPr="00640820" w:rsidRDefault="004D7F78" w:rsidP="00640820">
      <w:pPr>
        <w:pStyle w:val="ae"/>
        <w:shd w:val="clear" w:color="auto" w:fill="FFFFFF"/>
        <w:spacing w:before="0" w:after="0"/>
        <w:jc w:val="both"/>
        <w:rPr>
          <w:color w:val="000000" w:themeColor="text1"/>
          <w:sz w:val="16"/>
          <w:szCs w:val="16"/>
        </w:rPr>
      </w:pPr>
      <w:r w:rsidRPr="00640820">
        <w:rPr>
          <w:color w:val="000000" w:themeColor="text1"/>
          <w:sz w:val="16"/>
          <w:szCs w:val="16"/>
        </w:rPr>
        <w:t>Для иностранцев срочно освобождали 20 лучших особняков в центре города, но дипломаты все равно были недовольны. В своей книге «В тени Сталина» шведский посланник Ассарссон вспоминает, как английский посол Криппс «</w:t>
      </w:r>
      <w:r w:rsidRPr="00640820">
        <w:rPr>
          <w:rStyle w:val="af0"/>
          <w:rFonts w:eastAsiaTheme="majorEastAsia"/>
          <w:color w:val="000000" w:themeColor="text1"/>
          <w:sz w:val="16"/>
          <w:szCs w:val="16"/>
        </w:rPr>
        <w:t>жаловался на то, что его квартира темная и к тому же полна клопов и тараканов, что он плохо чувствует себя в Куйбышеве</w:t>
      </w:r>
      <w:r w:rsidRPr="00640820">
        <w:rPr>
          <w:color w:val="000000" w:themeColor="text1"/>
          <w:sz w:val="16"/>
          <w:szCs w:val="16"/>
        </w:rPr>
        <w:t>». Сотрудник миссии США по военному снабжению полковник Файновилл был очень разочарован, когда ему отказали в просьбе дать квартиру из 16-18 комнат и гараж на 3 машины. О каких машинах могла идти речь, если весь автотранспорт был отправлен на фронт, и даже раненых доставляли с вокзала в госпитали Куйбышева на специально оборудованных трамваях. Для этого в большинство из 19 лазаретов были проложены специальные ветки.</w:t>
      </w:r>
    </w:p>
    <w:p w14:paraId="4CD175D3" w14:textId="77777777" w:rsidR="004D7F78" w:rsidRPr="00640820" w:rsidRDefault="004D7F78" w:rsidP="00640820">
      <w:pPr>
        <w:pStyle w:val="ae"/>
        <w:shd w:val="clear" w:color="auto" w:fill="FFFFFF"/>
        <w:spacing w:before="0" w:after="0"/>
        <w:jc w:val="both"/>
        <w:rPr>
          <w:color w:val="000000" w:themeColor="text1"/>
          <w:sz w:val="16"/>
          <w:szCs w:val="16"/>
        </w:rPr>
      </w:pPr>
      <w:r w:rsidRPr="00640820">
        <w:rPr>
          <w:color w:val="000000" w:themeColor="text1"/>
          <w:sz w:val="16"/>
          <w:szCs w:val="16"/>
        </w:rPr>
        <w:t>Высокопоставленных эвакуированных опекали обком ВКП(б), облисполком и даже сами руководители народных коммисариатов. В отличие от работников соцобеспечения делали они это не очень профессионально. Известен случай, когда посол Японии в СССР господин Татекава пожаловался заместителю наркома иностранных дел А.Вышинскому, что в его доме на улице Чапаевской, 80 холодно и ему приходится ночевать на кухне возле плиты. Вышинский немедленно отдал распоряжение своим службам найти японскому посольству нового истопника. Нашли, но он оказался горьким пьяницей. Через три дня Татекава полушутя сказал про него Вышинскому: «</w:t>
      </w:r>
      <w:r w:rsidRPr="00640820">
        <w:rPr>
          <w:rStyle w:val="af0"/>
          <w:rFonts w:eastAsiaTheme="majorEastAsia"/>
          <w:color w:val="000000" w:themeColor="text1"/>
          <w:sz w:val="16"/>
          <w:szCs w:val="16"/>
        </w:rPr>
        <w:t>Я впервые увидел такого плохого русского</w:t>
      </w:r>
      <w:r w:rsidRPr="00640820">
        <w:rPr>
          <w:color w:val="000000" w:themeColor="text1"/>
          <w:sz w:val="16"/>
          <w:szCs w:val="16"/>
        </w:rPr>
        <w:t>». Только после этого через горсобес японцам нашли добросовестную прислугу.</w:t>
      </w:r>
    </w:p>
    <w:p w14:paraId="1AA1F513" w14:textId="77777777" w:rsidR="004D7F78" w:rsidRPr="00640820" w:rsidRDefault="004D7F78" w:rsidP="00640820">
      <w:pPr>
        <w:pStyle w:val="ae"/>
        <w:shd w:val="clear" w:color="auto" w:fill="FFFFFF"/>
        <w:spacing w:before="0" w:after="0"/>
        <w:jc w:val="both"/>
        <w:rPr>
          <w:iCs/>
          <w:color w:val="000000" w:themeColor="text1"/>
          <w:sz w:val="16"/>
          <w:szCs w:val="16"/>
        </w:rPr>
      </w:pPr>
      <w:r w:rsidRPr="00640820">
        <w:rPr>
          <w:color w:val="000000" w:themeColor="text1"/>
          <w:sz w:val="16"/>
          <w:szCs w:val="16"/>
        </w:rPr>
        <w:t>В те октябрьские дни власти Куйбышева с замиранием сердца ждали приезда самого Верховного главнокомандующего. В своей книге «Двадцать писем другу» дочь Сталина Светлана Аллилуева пишет: «</w:t>
      </w:r>
      <w:r w:rsidRPr="00640820">
        <w:rPr>
          <w:rStyle w:val="af0"/>
          <w:rFonts w:eastAsiaTheme="majorEastAsia"/>
          <w:i w:val="0"/>
          <w:color w:val="000000" w:themeColor="text1"/>
          <w:sz w:val="16"/>
          <w:szCs w:val="16"/>
        </w:rPr>
        <w:t>Неожиданно нас собрали и отправили в Куйбышев: долго грузили вещи в специальный вагон. Поедет ли отец из Москвы – было неизвестно, на всякий случай грузили и его библиотеку. В Куйбышеве нам отвели особнячок на Пионерской улице, с двориком. Дом был наспех отремонтирован, пахло краской, а в коридоре – мышами. С нами приехала вся домашняя «свита»:</w:t>
      </w:r>
    </w:p>
    <w:p w14:paraId="52439013" w14:textId="77777777" w:rsidR="004D7F78" w:rsidRPr="00640820" w:rsidRDefault="004D7F78" w:rsidP="00640820">
      <w:pPr>
        <w:pStyle w:val="ae"/>
        <w:shd w:val="clear" w:color="auto" w:fill="FFFFFF"/>
        <w:spacing w:before="0" w:after="0"/>
        <w:jc w:val="both"/>
        <w:rPr>
          <w:color w:val="000000" w:themeColor="text1"/>
          <w:sz w:val="16"/>
          <w:szCs w:val="16"/>
        </w:rPr>
      </w:pPr>
      <w:r w:rsidRPr="00640820">
        <w:rPr>
          <w:rStyle w:val="af0"/>
          <w:rFonts w:eastAsiaTheme="majorEastAsia"/>
          <w:i w:val="0"/>
          <w:color w:val="000000" w:themeColor="text1"/>
          <w:sz w:val="16"/>
          <w:szCs w:val="16"/>
        </w:rPr>
        <w:t>повара, подавальщики, охрана. Я ходила в школу в десятый класс. Осенью 1941 года в Куйбышеве было приготовлено жилье и для отца. Ждали, что он приедет</w:t>
      </w:r>
      <w:r w:rsidRPr="00640820">
        <w:rPr>
          <w:color w:val="000000" w:themeColor="text1"/>
          <w:sz w:val="16"/>
          <w:szCs w:val="16"/>
        </w:rPr>
        <w:t>».</w:t>
      </w:r>
    </w:p>
    <w:p w14:paraId="04FB0F42" w14:textId="77777777" w:rsidR="004D7F78" w:rsidRPr="00640820" w:rsidRDefault="004D7F78" w:rsidP="00640820">
      <w:pPr>
        <w:pStyle w:val="ae"/>
        <w:shd w:val="clear" w:color="auto" w:fill="FFFFFF"/>
        <w:spacing w:before="0" w:after="0"/>
        <w:jc w:val="both"/>
        <w:rPr>
          <w:color w:val="000000" w:themeColor="text1"/>
          <w:sz w:val="16"/>
          <w:szCs w:val="16"/>
        </w:rPr>
      </w:pPr>
      <w:r w:rsidRPr="00640820">
        <w:rPr>
          <w:color w:val="000000" w:themeColor="text1"/>
          <w:sz w:val="16"/>
          <w:szCs w:val="16"/>
        </w:rPr>
        <w:t>Сталин в Куйбышеве так и не появился (19827).</w:t>
      </w:r>
    </w:p>
    <w:p w14:paraId="2E850F19" w14:textId="77777777" w:rsidR="004D7F78" w:rsidRPr="00640820" w:rsidRDefault="004D7F78" w:rsidP="00640820">
      <w:pPr>
        <w:pStyle w:val="ae"/>
        <w:shd w:val="clear" w:color="auto" w:fill="FFFFFF"/>
        <w:spacing w:before="0" w:after="0"/>
        <w:jc w:val="both"/>
        <w:rPr>
          <w:color w:val="000000" w:themeColor="text1"/>
          <w:sz w:val="16"/>
          <w:szCs w:val="16"/>
        </w:rPr>
      </w:pPr>
    </w:p>
    <w:p w14:paraId="41A10DCB" w14:textId="77777777" w:rsidR="001C4D24" w:rsidRPr="00640820" w:rsidRDefault="001C4D24"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15 октября </w:t>
      </w:r>
      <w:r w:rsidRPr="00640820">
        <w:rPr>
          <w:rFonts w:ascii="Times New Roman" w:hAnsi="Times New Roman"/>
          <w:color w:val="000000" w:themeColor="text1"/>
          <w:sz w:val="16"/>
          <w:szCs w:val="16"/>
        </w:rPr>
        <w:t>в 1941 году после того как немецкие войска подошли к Москве на расстояние 100 км, издается распоряжение о переезде советского правительства в Куйбышев, но сам Сталин остается в Москве. Одним из первых эвакуируется аппарат НКВД. А в ночь на 16-е тысячи москвичей бросятся по шоссе Энтузиастов на Восток, спасаясь от якобы прорвавшихся в столицу захватчиков (14800).</w:t>
      </w:r>
    </w:p>
    <w:p w14:paraId="5A9B0B2C" w14:textId="77777777" w:rsidR="001C4D24" w:rsidRPr="00640820" w:rsidRDefault="001C4D24" w:rsidP="00640820">
      <w:pPr>
        <w:spacing w:after="0" w:line="240" w:lineRule="auto"/>
        <w:jc w:val="both"/>
        <w:rPr>
          <w:rFonts w:ascii="Times New Roman" w:hAnsi="Times New Roman"/>
          <w:color w:val="000000" w:themeColor="text1"/>
          <w:sz w:val="16"/>
          <w:szCs w:val="16"/>
        </w:rPr>
      </w:pPr>
    </w:p>
    <w:p w14:paraId="09087C71" w14:textId="77777777" w:rsidR="001C4D24" w:rsidRPr="00640820" w:rsidRDefault="001C4D24"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15-го октября 1941 «ввиду неблагополучного положения в районе Можайской оборонительной линии», Государственный Комитет Обороны вынес Постановление «Об эвакуации столицы СССР г. Москвы». Вывозу из Москвы подлежали наркоматы, посольства, управления Генерального штаба, центральные ведомства, предприятия оборонной промышленности, научно-исследовательские институты и ОКБ, заводы, фабрики и многие другие учреждения (15223).</w:t>
      </w:r>
    </w:p>
    <w:p w14:paraId="259AAC48" w14:textId="77777777" w:rsidR="001C4D24" w:rsidRPr="00640820" w:rsidRDefault="001C4D24" w:rsidP="00640820">
      <w:pPr>
        <w:shd w:val="clear" w:color="auto" w:fill="FFFFFF"/>
        <w:spacing w:after="0" w:line="240" w:lineRule="auto"/>
        <w:jc w:val="both"/>
        <w:rPr>
          <w:rFonts w:ascii="Times New Roman" w:hAnsi="Times New Roman"/>
          <w:color w:val="000000" w:themeColor="text1"/>
          <w:sz w:val="16"/>
          <w:szCs w:val="16"/>
        </w:rPr>
      </w:pPr>
    </w:p>
    <w:p w14:paraId="39D00698" w14:textId="77777777" w:rsidR="008A6EEB" w:rsidRPr="00640820" w:rsidRDefault="008A6E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октября 1941 г. Распоряжение № 14314-сэ Совета по эвакуации о разрешении Комитету радиофикации и радиовещания при Совете народных комиссаров СССР эвакуировать из Москвы в г. Куйбышев 120 человек исполнителей Большого симфонического оркестра и хора Радиокомитета и 167 человек членов их семей.</w:t>
      </w:r>
    </w:p>
    <w:p w14:paraId="7C99D726" w14:textId="77777777" w:rsidR="008A6EEB" w:rsidRPr="00640820" w:rsidRDefault="008A6E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 копия (рассекречено).</w:t>
      </w:r>
    </w:p>
    <w:p w14:paraId="34DFB628" w14:textId="77777777" w:rsidR="008A6EEB" w:rsidRPr="00640820" w:rsidRDefault="008A6E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РГАЭ ф. 1884, оп. 49, д. 4173, л. 222. (18959).</w:t>
      </w:r>
    </w:p>
    <w:p w14:paraId="055BDEFF" w14:textId="77777777" w:rsidR="008A6EEB" w:rsidRPr="00640820" w:rsidRDefault="008A6EEB" w:rsidP="00640820">
      <w:pPr>
        <w:spacing w:after="0" w:line="240" w:lineRule="auto"/>
        <w:jc w:val="both"/>
        <w:rPr>
          <w:rFonts w:ascii="Times New Roman" w:hAnsi="Times New Roman"/>
          <w:color w:val="000000" w:themeColor="text1"/>
          <w:sz w:val="16"/>
          <w:szCs w:val="16"/>
        </w:rPr>
      </w:pPr>
    </w:p>
    <w:p w14:paraId="308694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октября 1941 после того как пошли слухи об эвакуации из Москвы начались беспорядки в Иваново, которые шли до 20 октября (3481).</w:t>
      </w:r>
    </w:p>
    <w:p w14:paraId="35FD12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8BE843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октября 1941 принято решение об эвакуации Москвы (4962).</w:t>
      </w:r>
    </w:p>
    <w:p w14:paraId="4FE2302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5D442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15-го октября 1941 года был составлен АКТ:</w:t>
      </w:r>
    </w:p>
    <w:p w14:paraId="1C0C175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Мы, ниже подписавшиеся: начальник Спецстроительства № 62 ЛЕБЕДЕВ К.А., главный инженер – РЫСИН П.Ф., ст. производитель работ – МИРОНЕНКО Н.М., гл. механик КАЛИНИН И.Ф., комендант и пом. по лагерю – ФЛОРЕНЦ Н.Е., начальник снабжения ДУК Х.Т., командир взвода ВОХР тов. КАСЬЯН и гл. бухгалтер УСТЮЖАНИНОВ, составили настоящий акт о нижеследующем:</w:t>
      </w:r>
    </w:p>
    <w:p w14:paraId="16E7F43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основании телеграммы ГУАС НКВД от 1-го сентября 1941 г. одновременно с ходом работы на стр-ве №374 был вторично организован ход работы на строительстве №62, куда было переброшено часть рабочей силы з/к з/к в количестве 176 чел., руководящий аппарат, нужные и необходимые инструменты, оборудование и автопарк в количестве 15-ти ходовых а/машин.</w:t>
      </w:r>
    </w:p>
    <w:p w14:paraId="5B8FCD3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Работа на стр-ве №62 происходила в частности по монтажу смесителей, заготовка и вывозка гравия и постройка зимнего типа землянок, бомбоубежищ для рабочих з/к з/к и ВОХР, работа продолжалась до 5-го октября с.г. включительно.</w:t>
      </w:r>
    </w:p>
    <w:p w14:paraId="36C1D4B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6-го октября утром в силу внезапного приближения фронта устным распоряжением командира авиационной части, действующего на объекте №62 генерал-майора тов. ЗАХАРОВА было предложено немедленно эвакуировать людей и материальные ценности.</w:t>
      </w:r>
    </w:p>
    <w:p w14:paraId="450B0AE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моменту эвакуации на стр-ве № 62 имелись следующие ресурсы:</w:t>
      </w:r>
    </w:p>
    <w:p w14:paraId="53AD711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Код:</w:t>
      </w:r>
    </w:p>
    <w:p w14:paraId="3FD87C43" w14:textId="77777777" w:rsidR="00165A9C" w:rsidRPr="00640820" w:rsidRDefault="00165A9C" w:rsidP="0064082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Людей з/к з/к                         - 176 чел.</w:t>
      </w:r>
    </w:p>
    <w:p w14:paraId="6F23E84F" w14:textId="77777777" w:rsidR="00165A9C" w:rsidRPr="00640820" w:rsidRDefault="00165A9C" w:rsidP="0064082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Автомашин                             -  15 шт.</w:t>
      </w:r>
    </w:p>
    <w:p w14:paraId="4F9413F6" w14:textId="77777777" w:rsidR="00165A9C" w:rsidRPr="00640820" w:rsidRDefault="00165A9C" w:rsidP="0064082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Лошадей                               -   3 шт.</w:t>
      </w:r>
    </w:p>
    <w:p w14:paraId="7ECEA88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чем на этот же день, т.е. на 6-е октября с.г. автомашины в количестве 9-ти, в том числе 8 машин ЗИС и одна полуторка были взяты авиационной частью генерал-майора ЗАХАРОВА для перевозки боеприпасов со складов на жел.дор.станцию, позднее эти машины этой же частью были угнаны в неизвестном для нас направлении вместе с шоферами, следовательно наличие а/машин для эвакуации людей и имущества в наличии – 6 штук, в том числе 3 ЗИС и три полуторки.</w:t>
      </w:r>
    </w:p>
    <w:p w14:paraId="5924D71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Для эвакуации имущества и оборудования 6-го октября с.г. через военного коменданта ст. Вязьма-Киевская были получены вагоны в колич. 6 штук и 6/Х с.г. весь день производилась погрузка, где было погружено: экскаватор, к/дробилки, ЖЭС, трактор ЧТЗ с грейдером, моторные катки, проч. имущество и оборудование.</w:t>
      </w:r>
    </w:p>
    <w:p w14:paraId="755BFA6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момент погрузки механизмов в 18 час. 6-го октября с.г. внезапно появилась танковая колонна противника на площадке объекта №62 и стала обстреливать ст. Вязьма-Киевская и территорию завода объекта №62 и и только в этот момент была прекращена погрузка и все рабочие и руководящий состав покинули площадку завода и выехали по направлению в Шаликовский АБР.</w:t>
      </w:r>
    </w:p>
    <w:p w14:paraId="64A1F69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Люди з/к з/к за исключением бесконвойных грузчиков и мотористов были направлены пешком 6/Х с.г. в 12 час. дня. </w:t>
      </w:r>
    </w:p>
    <w:p w14:paraId="347EE40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Кроме этого 5 челов. з/к з/к были направлены с лошадями в колич. 3-х и указанное количество лошадей и людей з/к з/к на место не прибыли и в данное время неизвестно где находятся, также не прибыли 12 челов. з/к з/к бесконвойных из числа грузчиков, мотористов и шоферов уехавших с авиачастью. </w:t>
      </w:r>
    </w:p>
    <w:p w14:paraId="02FF28E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получению распоряжения от генерал-майора тов. ЗАХАРОВА об эвакуации, имеющееся в наличии горючее и смазочное в количестве 12-ти тонн было передано военному коменданту ст. Вязьма-Киевская, который в течение дня 6-го октября с.г. отпускал указанное горючее воинским частям.</w:t>
      </w:r>
    </w:p>
    <w:p w14:paraId="11D0F48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Из-за недостатка времени и отсутствия транспорта все материальные ценности и погруженное оборудование в вагоны, поименованные в прилагаемой при этом расшифровке оставлены на месте, на площадке объекта № 62.</w:t>
      </w:r>
    </w:p>
    <w:p w14:paraId="18415A8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Остаток неизрасходованных средств в сумме 458311 рублей 38 коп. находящиеся в вяземском отделении Промбанка в гор. Вязьма остался неперечисленным на счет Управления стр-ва Вяземлага НКВД в силу прекращения работы Промбанка и который также 6/Х с.г. из Вязьмы эвакуировался.</w:t>
      </w:r>
    </w:p>
    <w:p w14:paraId="1E3BA19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Выставленный аккредитив от 11/9-41 года в сумме 240000 рублей на имя Васильевского МПС № 24 в Гжатское отделение Госбанка за щебень остался совершенно неиспользованным.</w:t>
      </w:r>
    </w:p>
    <w:p w14:paraId="70B3444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Техническая и бухгалтерская документация полностью вывезена, о чем и составлен настоящий акт.</w:t>
      </w:r>
    </w:p>
    <w:p w14:paraId="284EF52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спецстр-ва № 62 (ЛЕБЕДЕВ)</w:t>
      </w:r>
    </w:p>
    <w:p w14:paraId="78202DE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Главный инженер (РЫСИН)</w:t>
      </w:r>
    </w:p>
    <w:p w14:paraId="058D514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 производитель работ (МИРОНЕНКО)</w:t>
      </w:r>
    </w:p>
    <w:p w14:paraId="1974F04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механик (КАЛИНИН)</w:t>
      </w:r>
    </w:p>
    <w:p w14:paraId="3632D6E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Комендант и пом. по лагерю (ФЛОРЕНЦ)</w:t>
      </w:r>
    </w:p>
    <w:p w14:paraId="576BCA4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снабжения (ДУК)</w:t>
      </w:r>
    </w:p>
    <w:p w14:paraId="5D3B64D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Командир взвода ВОХР (КАСЬЯН)</w:t>
      </w:r>
    </w:p>
    <w:p w14:paraId="4A97CF7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Главный бухгалтер (УСТЮЖАНИНОВ)</w:t>
      </w:r>
    </w:p>
    <w:p w14:paraId="3CFFCA4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подлинным верно:</w:t>
      </w:r>
    </w:p>
    <w:p w14:paraId="3BFFAD6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[вписано]Зам. Глав. Бухгалтера … [неразборч] (12123).</w:t>
      </w:r>
    </w:p>
    <w:p w14:paraId="5AAD322C"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416A9A5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октября 1941 вышло Постановление ГКО № 805 [Об отпуске месячной зарплаты, нормы хлеба и других продуктов на предприятиях, где будут проведены "специальные мероприятия" - минирование.] (7013, 159).</w:t>
      </w:r>
    </w:p>
    <w:p w14:paraId="31AF41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B8066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октября 1941 вышло ПОСТАНОВЛЕНИЕ ГКО "О РАБОТЕ МЕТРО, ФАБРИК И ЗАВОДОВ Г. МОСКВЫ" № 808 с 16 октября 1941 г. 1. Не прекращать движения на метро, а уменьшить его, скажем, наполовину. 2. В цехах особо важных эвакуированных заводов, прежде всего в сборочных цехах, восстановить частично, по возможности, работу параллельно с демонтажем и погрузкой оборудования. 3. Восстановить частично работу на неэвакуированных фабриках и предприятиях по возможности. Председатель Государственного Комитета Обороны И. Сталин (10069).</w:t>
      </w:r>
    </w:p>
    <w:p w14:paraId="77F1DA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45E9795" w14:textId="77777777" w:rsidR="00F41DBA" w:rsidRPr="00640820" w:rsidRDefault="00F41DBA"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15 октября </w:t>
      </w:r>
      <w:r w:rsidRPr="00640820">
        <w:rPr>
          <w:rFonts w:ascii="Times New Roman" w:hAnsi="Times New Roman"/>
          <w:color w:val="000000" w:themeColor="text1"/>
          <w:sz w:val="16"/>
          <w:szCs w:val="16"/>
        </w:rPr>
        <w:t>в 1941 году (15-22 октября) выселение немцев из Воронежской области в Сибирь (всего 5 тысяч человек) (14800).</w:t>
      </w:r>
    </w:p>
    <w:p w14:paraId="0BE9F14B" w14:textId="77777777" w:rsidR="00F41DBA" w:rsidRPr="00640820" w:rsidRDefault="00F41DBA" w:rsidP="00640820">
      <w:pPr>
        <w:spacing w:after="0" w:line="240" w:lineRule="auto"/>
        <w:jc w:val="both"/>
        <w:rPr>
          <w:rFonts w:ascii="Times New Roman" w:hAnsi="Times New Roman"/>
          <w:color w:val="000000" w:themeColor="text1"/>
          <w:sz w:val="16"/>
          <w:szCs w:val="16"/>
        </w:rPr>
      </w:pPr>
    </w:p>
    <w:p w14:paraId="28DA8CA2" w14:textId="77777777" w:rsidR="00F41DBA" w:rsidRPr="00640820" w:rsidRDefault="00F41DBA"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15 октября </w:t>
      </w:r>
      <w:r w:rsidRPr="00640820">
        <w:rPr>
          <w:rFonts w:ascii="Times New Roman" w:hAnsi="Times New Roman"/>
          <w:color w:val="000000" w:themeColor="text1"/>
          <w:sz w:val="16"/>
          <w:szCs w:val="16"/>
        </w:rPr>
        <w:t>в 1941 году (15-30 октября) выселение немцев из Грузии (24 тысячи), Азербайджана (23 тысячи) и Армении (212 человек) в Сибирь и Казахстан (14800).</w:t>
      </w:r>
    </w:p>
    <w:p w14:paraId="6351FA24" w14:textId="77777777" w:rsidR="00F41DBA" w:rsidRPr="00640820" w:rsidRDefault="00F41DBA" w:rsidP="00640820">
      <w:pPr>
        <w:spacing w:after="0" w:line="240" w:lineRule="auto"/>
        <w:jc w:val="both"/>
        <w:rPr>
          <w:rFonts w:ascii="Times New Roman" w:hAnsi="Times New Roman"/>
          <w:color w:val="000000" w:themeColor="text1"/>
          <w:sz w:val="16"/>
          <w:szCs w:val="16"/>
        </w:rPr>
      </w:pPr>
    </w:p>
    <w:p w14:paraId="5AF6285E"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30779091"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5F1CC2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октября 1941 нацисты запретили варшавским евреям покидать пределы гетто (4962).</w:t>
      </w:r>
    </w:p>
    <w:p w14:paraId="583237A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481CA5" w14:textId="77777777" w:rsidR="001071C3" w:rsidRPr="00640820" w:rsidRDefault="001071C3"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037FDE48" w14:textId="77777777" w:rsidR="001071C3" w:rsidRPr="00640820" w:rsidRDefault="001071C3"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7B113BB" w14:textId="77777777" w:rsidR="001071C3" w:rsidRPr="00640820" w:rsidRDefault="001071C3" w:rsidP="00640820">
      <w:pPr>
        <w:spacing w:after="0" w:line="240" w:lineRule="auto"/>
        <w:jc w:val="both"/>
        <w:rPr>
          <w:rFonts w:ascii="Times New Roman" w:hAnsi="Times New Roman"/>
          <w:color w:val="0070C0"/>
          <w:sz w:val="16"/>
          <w:szCs w:val="16"/>
          <w:shd w:val="clear" w:color="auto" w:fill="FFFFFF"/>
        </w:rPr>
      </w:pPr>
      <w:r w:rsidRPr="00640820">
        <w:rPr>
          <w:rFonts w:ascii="Times New Roman" w:hAnsi="Times New Roman"/>
          <w:color w:val="0070C0"/>
          <w:sz w:val="16"/>
          <w:szCs w:val="16"/>
          <w:shd w:val="clear" w:color="auto" w:fill="FFFFFF"/>
        </w:rPr>
        <w:t>В первой половине октября 1941 года была готова установочная партия ЗИС-30 на базе Комсомольца из 100 штук, более ЗИС-30 не производилось. Далее предполагалось цеплять ЗИС-2 за ГАЗ-61-416, но тех выпустили в 3 раза меньше, чем ЗИС-30. Поэтому далее противотанковые пушки цепляли за ГАЗ-ААА, а в ноябре выпуск ЗИС-2 заморозили.</w:t>
      </w:r>
    </w:p>
    <w:p w14:paraId="0F4EEB31" w14:textId="77777777" w:rsidR="001071C3" w:rsidRPr="00640820" w:rsidRDefault="001071C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shd w:val="clear" w:color="auto" w:fill="FFFFFF"/>
        </w:rPr>
        <w:t>Подход комплектования самоходными артиллерийскими установками в Красной Армии очень напоминал ситуацию в вермахте. Вполне логичным было то, что более подвижные, нежели буксируемые орудия, машины шли на вооружение механизированных частей. А именно танковых бригад. Там они попадали в состав роты (батареи) истребителей танков, организационно являвшейся частью мотострелкового батальона. По штату №010/83 роте истребителей танков полагалось 8 противотанковых орудий, примерно столько шло ЗИС-30 в состав бригад. Некоторым, правда, досталось по 4 самоходных орудия, но это связано со скоростью формирования. Первой ЗИС-30 получила 10-я танковая бригада, последней оказалась 27-я танковая бригада. При этом 26-я танковая бригада, например, получила ГАЗ-61-416. Эти тягачи также шли в бригады. Лишь последняя отправка ЗИС-30 стала не "танковой" - в 38-й ОМЦП (22213).</w:t>
      </w:r>
    </w:p>
    <w:p w14:paraId="61A16CBF" w14:textId="77777777" w:rsidR="001071C3" w:rsidRPr="00640820" w:rsidRDefault="001071C3" w:rsidP="00640820">
      <w:pPr>
        <w:spacing w:after="0" w:line="240" w:lineRule="auto"/>
        <w:jc w:val="both"/>
        <w:rPr>
          <w:rFonts w:ascii="Times New Roman" w:hAnsi="Times New Roman"/>
          <w:color w:val="0070C0"/>
          <w:sz w:val="16"/>
          <w:szCs w:val="16"/>
        </w:rPr>
      </w:pPr>
    </w:p>
    <w:p w14:paraId="198DFE20"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775AE026"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455F96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сере</w:t>
      </w:r>
      <w:r w:rsidRPr="00640820">
        <w:rPr>
          <w:rFonts w:ascii="Times New Roman" w:hAnsi="Times New Roman"/>
          <w:color w:val="000000" w:themeColor="text1"/>
          <w:sz w:val="16"/>
          <w:szCs w:val="16"/>
        </w:rPr>
        <w:softHyphen/>
        <w:t>дине октября месяца 1941 на заводе № 1 ещё оста</w:t>
      </w:r>
      <w:r w:rsidRPr="00640820">
        <w:rPr>
          <w:rFonts w:ascii="Times New Roman" w:hAnsi="Times New Roman"/>
          <w:color w:val="000000" w:themeColor="text1"/>
          <w:sz w:val="16"/>
          <w:szCs w:val="16"/>
        </w:rPr>
        <w:softHyphen/>
        <w:t>валось 57 принятых военпредами истребителей МиГ-3, из которых семь находилось в ремонте на за</w:t>
      </w:r>
      <w:r w:rsidRPr="00640820">
        <w:rPr>
          <w:rFonts w:ascii="Times New Roman" w:hAnsi="Times New Roman"/>
          <w:color w:val="000000" w:themeColor="text1"/>
          <w:sz w:val="16"/>
          <w:szCs w:val="16"/>
        </w:rPr>
        <w:softHyphen/>
        <w:t>мене моторов, а также один штур</w:t>
      </w:r>
      <w:r w:rsidRPr="00640820">
        <w:rPr>
          <w:rFonts w:ascii="Times New Roman" w:hAnsi="Times New Roman"/>
          <w:color w:val="000000" w:themeColor="text1"/>
          <w:sz w:val="16"/>
          <w:szCs w:val="16"/>
        </w:rPr>
        <w:softHyphen/>
        <w:t>мовик Ил-2. Кроме этого в сбороч</w:t>
      </w:r>
      <w:r w:rsidRPr="00640820">
        <w:rPr>
          <w:rFonts w:ascii="Times New Roman" w:hAnsi="Times New Roman"/>
          <w:color w:val="000000" w:themeColor="text1"/>
          <w:sz w:val="16"/>
          <w:szCs w:val="16"/>
        </w:rPr>
        <w:softHyphen/>
        <w:t>ном цехе в разной стадии готовно</w:t>
      </w:r>
      <w:r w:rsidRPr="00640820">
        <w:rPr>
          <w:rFonts w:ascii="Times New Roman" w:hAnsi="Times New Roman"/>
          <w:color w:val="000000" w:themeColor="text1"/>
          <w:sz w:val="16"/>
          <w:szCs w:val="16"/>
        </w:rPr>
        <w:softHyphen/>
        <w:t>сти находилось 42 МиГ-3 и один Ил-2. Возникшая в связи с эвакуацией некоторая неразбериха ставила под угрозу доводку этих самолётов.</w:t>
      </w:r>
    </w:p>
    <w:p w14:paraId="214ED2E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сохранения оставшейся мат-части личный состав военного пред</w:t>
      </w:r>
      <w:r w:rsidRPr="00640820">
        <w:rPr>
          <w:rFonts w:ascii="Times New Roman" w:hAnsi="Times New Roman"/>
          <w:color w:val="000000" w:themeColor="text1"/>
          <w:sz w:val="16"/>
          <w:szCs w:val="16"/>
        </w:rPr>
        <w:softHyphen/>
        <w:t>ставительства оказывал непосред</w:t>
      </w:r>
      <w:r w:rsidRPr="00640820">
        <w:rPr>
          <w:rFonts w:ascii="Times New Roman" w:hAnsi="Times New Roman"/>
          <w:color w:val="000000" w:themeColor="text1"/>
          <w:sz w:val="16"/>
          <w:szCs w:val="16"/>
        </w:rPr>
        <w:softHyphen/>
        <w:t>ственную помощь в отправке гото</w:t>
      </w:r>
      <w:r w:rsidRPr="00640820">
        <w:rPr>
          <w:rFonts w:ascii="Times New Roman" w:hAnsi="Times New Roman"/>
          <w:color w:val="000000" w:themeColor="text1"/>
          <w:sz w:val="16"/>
          <w:szCs w:val="16"/>
        </w:rPr>
        <w:softHyphen/>
        <w:t>вой продукции. Только силами военпредов 16 октября было отправ</w:t>
      </w:r>
      <w:r w:rsidRPr="00640820">
        <w:rPr>
          <w:rFonts w:ascii="Times New Roman" w:hAnsi="Times New Roman"/>
          <w:color w:val="000000" w:themeColor="text1"/>
          <w:sz w:val="16"/>
          <w:szCs w:val="16"/>
        </w:rPr>
        <w:softHyphen/>
        <w:t>лено 18 истребителей и один штур</w:t>
      </w:r>
      <w:r w:rsidRPr="00640820">
        <w:rPr>
          <w:rFonts w:ascii="Times New Roman" w:hAnsi="Times New Roman"/>
          <w:color w:val="000000" w:themeColor="text1"/>
          <w:sz w:val="16"/>
          <w:szCs w:val="16"/>
        </w:rPr>
        <w:softHyphen/>
        <w:t>мовик, а 18 октября по их требова</w:t>
      </w:r>
      <w:r w:rsidRPr="00640820">
        <w:rPr>
          <w:rFonts w:ascii="Times New Roman" w:hAnsi="Times New Roman"/>
          <w:color w:val="000000" w:themeColor="text1"/>
          <w:sz w:val="16"/>
          <w:szCs w:val="16"/>
        </w:rPr>
        <w:softHyphen/>
        <w:t>нию началась доводка находящих</w:t>
      </w:r>
      <w:r w:rsidRPr="00640820">
        <w:rPr>
          <w:rFonts w:ascii="Times New Roman" w:hAnsi="Times New Roman"/>
          <w:color w:val="000000" w:themeColor="text1"/>
          <w:sz w:val="16"/>
          <w:szCs w:val="16"/>
        </w:rPr>
        <w:softHyphen/>
        <w:t>ся в сборочном цехе самолётов. Благодаря предпринятым усилиям администрации завода удалось со</w:t>
      </w:r>
      <w:r w:rsidRPr="00640820">
        <w:rPr>
          <w:rFonts w:ascii="Times New Roman" w:hAnsi="Times New Roman"/>
          <w:color w:val="000000" w:themeColor="text1"/>
          <w:sz w:val="16"/>
          <w:szCs w:val="16"/>
        </w:rPr>
        <w:softHyphen/>
        <w:t>брать необходимую рабочую силу и к 24 октября сдать военпредам 42 МиГ-3 и один Ил-2. Причём из личного состава военной приёмки на производстве трудилось 19 че</w:t>
      </w:r>
      <w:r w:rsidRPr="00640820">
        <w:rPr>
          <w:rFonts w:ascii="Times New Roman" w:hAnsi="Times New Roman"/>
          <w:color w:val="000000" w:themeColor="text1"/>
          <w:sz w:val="16"/>
          <w:szCs w:val="16"/>
        </w:rPr>
        <w:softHyphen/>
        <w:t>ловек, а остальных отправили в Куйбышев. Производство истреби</w:t>
      </w:r>
      <w:r w:rsidRPr="00640820">
        <w:rPr>
          <w:rFonts w:ascii="Times New Roman" w:hAnsi="Times New Roman"/>
          <w:color w:val="000000" w:themeColor="text1"/>
          <w:sz w:val="16"/>
          <w:szCs w:val="16"/>
        </w:rPr>
        <w:softHyphen/>
        <w:t>телей МиГ-3 в г. Москве заверши</w:t>
      </w:r>
      <w:r w:rsidRPr="00640820">
        <w:rPr>
          <w:rFonts w:ascii="Times New Roman" w:hAnsi="Times New Roman"/>
          <w:color w:val="000000" w:themeColor="text1"/>
          <w:sz w:val="16"/>
          <w:szCs w:val="16"/>
        </w:rPr>
        <w:softHyphen/>
        <w:t>лось сдачей ГУ ВВС КА машины №5197.</w:t>
      </w:r>
    </w:p>
    <w:p w14:paraId="67FD5E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 Куйбышеве выпуск МиГ-3 возобновился 5 декабря сдачей военпредам первых двух самолётов. В дальнейшем планировалось вы</w:t>
      </w:r>
      <w:r w:rsidRPr="00640820">
        <w:rPr>
          <w:rFonts w:ascii="Times New Roman" w:hAnsi="Times New Roman"/>
          <w:color w:val="000000" w:themeColor="text1"/>
          <w:sz w:val="16"/>
          <w:szCs w:val="16"/>
        </w:rPr>
        <w:softHyphen/>
        <w:t>пускать по две машины ежесуточно с тем, чтобы до конца года обеспе</w:t>
      </w:r>
      <w:r w:rsidRPr="00640820">
        <w:rPr>
          <w:rFonts w:ascii="Times New Roman" w:hAnsi="Times New Roman"/>
          <w:color w:val="000000" w:themeColor="text1"/>
          <w:sz w:val="16"/>
          <w:szCs w:val="16"/>
        </w:rPr>
        <w:softHyphen/>
        <w:t>чить постройку 50 истребителей. В тоже время производство штурмо</w:t>
      </w:r>
      <w:r w:rsidRPr="00640820">
        <w:rPr>
          <w:rFonts w:ascii="Times New Roman" w:hAnsi="Times New Roman"/>
          <w:color w:val="000000" w:themeColor="text1"/>
          <w:sz w:val="16"/>
          <w:szCs w:val="16"/>
        </w:rPr>
        <w:softHyphen/>
        <w:t>виков Ил-2 планировалось развер</w:t>
      </w:r>
      <w:r w:rsidRPr="00640820">
        <w:rPr>
          <w:rFonts w:ascii="Times New Roman" w:hAnsi="Times New Roman"/>
          <w:color w:val="000000" w:themeColor="text1"/>
          <w:sz w:val="16"/>
          <w:szCs w:val="16"/>
        </w:rPr>
        <w:softHyphen/>
        <w:t>нуть не ранее 15 декабря с выпус</w:t>
      </w:r>
      <w:r w:rsidRPr="00640820">
        <w:rPr>
          <w:rFonts w:ascii="Times New Roman" w:hAnsi="Times New Roman"/>
          <w:color w:val="000000" w:themeColor="text1"/>
          <w:sz w:val="16"/>
          <w:szCs w:val="16"/>
        </w:rPr>
        <w:softHyphen/>
        <w:t>ком по одному самолёту ежесуточ</w:t>
      </w:r>
      <w:r w:rsidRPr="00640820">
        <w:rPr>
          <w:rFonts w:ascii="Times New Roman" w:hAnsi="Times New Roman"/>
          <w:color w:val="000000" w:themeColor="text1"/>
          <w:sz w:val="16"/>
          <w:szCs w:val="16"/>
        </w:rPr>
        <w:softHyphen/>
        <w:t>но, то есть до конца года завод предполагал выпустить не более 10-15 машин при плане 100. Это объяс</w:t>
      </w:r>
      <w:r w:rsidRPr="00640820">
        <w:rPr>
          <w:rFonts w:ascii="Times New Roman" w:hAnsi="Times New Roman"/>
          <w:color w:val="000000" w:themeColor="text1"/>
          <w:sz w:val="16"/>
          <w:szCs w:val="16"/>
        </w:rPr>
        <w:softHyphen/>
        <w:t>нялось небольшим заделом, приве</w:t>
      </w:r>
      <w:r w:rsidRPr="00640820">
        <w:rPr>
          <w:rFonts w:ascii="Times New Roman" w:hAnsi="Times New Roman"/>
          <w:color w:val="000000" w:themeColor="text1"/>
          <w:sz w:val="16"/>
          <w:szCs w:val="16"/>
        </w:rPr>
        <w:softHyphen/>
        <w:t>зённым из Москвы, а также отсут</w:t>
      </w:r>
      <w:r w:rsidRPr="00640820">
        <w:rPr>
          <w:rFonts w:ascii="Times New Roman" w:hAnsi="Times New Roman"/>
          <w:color w:val="000000" w:themeColor="text1"/>
          <w:sz w:val="16"/>
          <w:szCs w:val="16"/>
        </w:rPr>
        <w:softHyphen/>
        <w:t>ствием ряда крупных агрегатов, таких как шасси и хвостовые части фюзеляжа. Выпуск Ил-2 на заводе №18 тоже не отвечал требования фронта. Естественно такой расклад не мог удовлетворить руководство страны. Последовавшая 23 декаб</w:t>
      </w:r>
      <w:r w:rsidRPr="00640820">
        <w:rPr>
          <w:rFonts w:ascii="Times New Roman" w:hAnsi="Times New Roman"/>
          <w:color w:val="000000" w:themeColor="text1"/>
          <w:sz w:val="16"/>
          <w:szCs w:val="16"/>
        </w:rPr>
        <w:softHyphen/>
        <w:t>ря известная телеграмма И.В. Ста</w:t>
      </w:r>
      <w:r w:rsidRPr="00640820">
        <w:rPr>
          <w:rFonts w:ascii="Times New Roman" w:hAnsi="Times New Roman"/>
          <w:color w:val="000000" w:themeColor="text1"/>
          <w:sz w:val="16"/>
          <w:szCs w:val="16"/>
        </w:rPr>
        <w:softHyphen/>
        <w:t>лина окончательно решила судьбу штурмовика Ил-2 и истребителя МиГ-3.</w:t>
      </w:r>
    </w:p>
    <w:p w14:paraId="7E15ACE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втором полугодии авиазавод №1 выпустил 1737 истребителей МиГ-3. Из этого количества воен</w:t>
      </w:r>
      <w:r w:rsidRPr="00640820">
        <w:rPr>
          <w:rFonts w:ascii="Times New Roman" w:hAnsi="Times New Roman"/>
          <w:color w:val="000000" w:themeColor="text1"/>
          <w:sz w:val="16"/>
          <w:szCs w:val="16"/>
        </w:rPr>
        <w:softHyphen/>
        <w:t>ное представительство приняло 1642 самолёта. В строевые части ВВС КА была отправлена 1691 машина. Для авиации ВМФ в 1941 г. из 162 принятых МиГ-3 поставлено 157 самолётов (в первом полуго</w:t>
      </w:r>
      <w:r w:rsidRPr="00640820">
        <w:rPr>
          <w:rFonts w:ascii="Times New Roman" w:hAnsi="Times New Roman"/>
          <w:color w:val="000000" w:themeColor="text1"/>
          <w:sz w:val="16"/>
          <w:szCs w:val="16"/>
        </w:rPr>
        <w:softHyphen/>
        <w:t>дии 67, во втором 90, из них 25 в июле, 10 в августе, 47 в сентябре и восемь в октябре), а пять переад</w:t>
      </w:r>
      <w:r w:rsidRPr="00640820">
        <w:rPr>
          <w:rFonts w:ascii="Times New Roman" w:hAnsi="Times New Roman"/>
          <w:color w:val="000000" w:themeColor="text1"/>
          <w:sz w:val="16"/>
          <w:szCs w:val="16"/>
        </w:rPr>
        <w:softHyphen/>
        <w:t>ресовано ГУ ВВС КА (11761).</w:t>
      </w:r>
    </w:p>
    <w:p w14:paraId="2096996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878731" w14:textId="77777777" w:rsidR="00F41DBA" w:rsidRPr="00640820" w:rsidRDefault="00F41DBA" w:rsidP="00640820">
      <w:pPr>
        <w:pStyle w:val="a3"/>
        <w:rPr>
          <w:color w:val="000000" w:themeColor="text1"/>
          <w:lang w:val="ru-RU"/>
        </w:rPr>
      </w:pPr>
      <w:r w:rsidRPr="00640820">
        <w:rPr>
          <w:color w:val="000000" w:themeColor="text1"/>
          <w:lang w:val="ru-RU"/>
        </w:rPr>
        <w:t>К середине октября месяца 1941 на заводе № 1 ещё оставалось 57 принятых военпредами истребителей МиГ-3, из которых семь находилось в ремонте (замена моторов), а также один штурмовик. Кроме этого, в сборочном цехе в разной степени готовности находились 42 МиГ-3 и один Ил-2. Возникшая в связи с эвакуацией некоторая неразбериха ставила под угрозу доводку этих самолётов.</w:t>
      </w:r>
    </w:p>
    <w:p w14:paraId="065A31EE" w14:textId="77777777" w:rsidR="00F41DBA" w:rsidRPr="00640820" w:rsidRDefault="00F41DBA" w:rsidP="00640820">
      <w:pPr>
        <w:pStyle w:val="a3"/>
        <w:rPr>
          <w:color w:val="000000" w:themeColor="text1"/>
          <w:lang w:val="ru-RU"/>
        </w:rPr>
      </w:pPr>
      <w:r w:rsidRPr="00640820">
        <w:rPr>
          <w:color w:val="000000" w:themeColor="text1"/>
          <w:lang w:val="ru-RU"/>
        </w:rPr>
        <w:t>Для сохранения оставшейся матчасти личный состав военного представительства оказывал помощь заводу в отправке готовой продукции. Только силами военпредов 16 октября было от</w:t>
      </w:r>
      <w:r w:rsidRPr="00640820">
        <w:rPr>
          <w:color w:val="000000" w:themeColor="text1"/>
          <w:lang w:val="ru-RU"/>
        </w:rPr>
        <w:softHyphen/>
        <w:t>правлено 18 истребителей и один штурмовик, а 18 октября по их требованию началась до</w:t>
      </w:r>
      <w:r w:rsidRPr="00640820">
        <w:rPr>
          <w:color w:val="000000" w:themeColor="text1"/>
          <w:lang w:val="ru-RU"/>
        </w:rPr>
        <w:softHyphen/>
        <w:t>водка находящихся в сборочном цехе самолётов. Администрации завода удалось собрать не</w:t>
      </w:r>
      <w:r w:rsidRPr="00640820">
        <w:rPr>
          <w:color w:val="000000" w:themeColor="text1"/>
          <w:lang w:val="ru-RU"/>
        </w:rPr>
        <w:softHyphen/>
        <w:t>обходимую рабочую силу и к 24 октября сдать военпредам 42 МиГ-3 и один Ил-2. Причём из личного состава военной приёмки на производстве было занято 19 человек, а остальных отправили в Куйбышев. Выпуск истребителей МиГ-3 в г. Москве закончился сдачей ГУ ВВС КА машины № 5197 (15976).</w:t>
      </w:r>
    </w:p>
    <w:p w14:paraId="4D3A23BE" w14:textId="77777777" w:rsidR="00F41DBA" w:rsidRPr="00640820" w:rsidRDefault="00F41DBA" w:rsidP="00640820">
      <w:pPr>
        <w:pStyle w:val="a3"/>
        <w:rPr>
          <w:color w:val="000000" w:themeColor="text1"/>
          <w:lang w:val="ru-RU"/>
        </w:rPr>
      </w:pPr>
    </w:p>
    <w:p w14:paraId="380461D7" w14:textId="77777777" w:rsidR="001071C3" w:rsidRPr="00640820" w:rsidRDefault="001071C3" w:rsidP="00640820">
      <w:pPr>
        <w:pStyle w:val="850"/>
        <w:shd w:val="clear" w:color="auto" w:fill="auto"/>
        <w:spacing w:line="240" w:lineRule="auto"/>
        <w:jc w:val="both"/>
        <w:rPr>
          <w:rFonts w:ascii="Times New Roman" w:hAnsi="Times New Roman" w:cs="Times New Roman"/>
          <w:color w:val="0070C0"/>
          <w:sz w:val="16"/>
          <w:szCs w:val="16"/>
        </w:rPr>
      </w:pPr>
      <w:r w:rsidRPr="00640820">
        <w:rPr>
          <w:rStyle w:val="770"/>
          <w:rFonts w:ascii="Times New Roman" w:hAnsi="Times New Roman" w:cs="Times New Roman"/>
          <w:color w:val="0070C0"/>
          <w:sz w:val="16"/>
          <w:szCs w:val="16"/>
        </w:rPr>
        <w:lastRenderedPageBreak/>
        <w:t xml:space="preserve">К середине октября </w:t>
      </w:r>
      <w:r w:rsidRPr="00640820">
        <w:rPr>
          <w:rStyle w:val="770"/>
          <w:rFonts w:ascii="Times New Roman" w:hAnsi="Times New Roman" w:cs="Times New Roman"/>
          <w:color w:val="0070C0"/>
          <w:sz w:val="16"/>
          <w:szCs w:val="16"/>
          <w:lang w:val="ru-RU"/>
        </w:rPr>
        <w:t xml:space="preserve">1941 </w:t>
      </w:r>
      <w:r w:rsidRPr="00640820">
        <w:rPr>
          <w:rStyle w:val="770"/>
          <w:rFonts w:ascii="Times New Roman" w:hAnsi="Times New Roman" w:cs="Times New Roman"/>
          <w:color w:val="0070C0"/>
          <w:sz w:val="16"/>
          <w:szCs w:val="16"/>
        </w:rPr>
        <w:t>ЦКБ-29 кое-как раз</w:t>
      </w:r>
      <w:r w:rsidRPr="00640820">
        <w:rPr>
          <w:rStyle w:val="770"/>
          <w:rFonts w:ascii="Times New Roman" w:hAnsi="Times New Roman" w:cs="Times New Roman"/>
          <w:color w:val="0070C0"/>
          <w:sz w:val="16"/>
          <w:szCs w:val="16"/>
        </w:rPr>
        <w:softHyphen/>
        <w:t>местилось на заводе № 166, где разворачива</w:t>
      </w:r>
      <w:r w:rsidRPr="00640820">
        <w:rPr>
          <w:rStyle w:val="770"/>
          <w:rFonts w:ascii="Times New Roman" w:hAnsi="Times New Roman" w:cs="Times New Roman"/>
          <w:color w:val="0070C0"/>
          <w:sz w:val="16"/>
          <w:szCs w:val="16"/>
        </w:rPr>
        <w:softHyphen/>
        <w:t>лось производство 103-й машины. Опытная производственная база оставляла желать лучшего. Основным помещением был ангар и прилегающие к нему мастерские бывшего аэропорта, которые в целом подходили для размещения опытного производства, хотя оборудование мастерских было устаревшее и некомплектное. Очень остро стоял вопрос с электроэнергией. Отсутствие сжатого возду</w:t>
      </w:r>
      <w:r w:rsidRPr="00640820">
        <w:rPr>
          <w:rStyle w:val="770"/>
          <w:rFonts w:ascii="Times New Roman" w:hAnsi="Times New Roman" w:cs="Times New Roman"/>
          <w:color w:val="0070C0"/>
          <w:sz w:val="16"/>
          <w:szCs w:val="16"/>
        </w:rPr>
        <w:softHyphen/>
        <w:t>ха не позволяло вести работу по клепке. При мастерских не было термички для цветного и черного металла, а также мастерской для нанесения покрытий.</w:t>
      </w:r>
    </w:p>
    <w:p w14:paraId="1B2A564A" w14:textId="77777777" w:rsidR="001071C3" w:rsidRPr="00640820" w:rsidRDefault="001071C3" w:rsidP="00640820">
      <w:pPr>
        <w:shd w:val="clear" w:color="auto" w:fill="FFFFFF"/>
        <w:spacing w:after="0" w:line="240" w:lineRule="auto"/>
        <w:jc w:val="both"/>
        <w:rPr>
          <w:rFonts w:ascii="Times New Roman" w:hAnsi="Times New Roman"/>
          <w:color w:val="0070C0"/>
          <w:sz w:val="16"/>
          <w:szCs w:val="16"/>
        </w:rPr>
      </w:pPr>
      <w:r w:rsidRPr="00640820">
        <w:rPr>
          <w:rStyle w:val="770"/>
          <w:rFonts w:ascii="Times New Roman" w:hAnsi="Times New Roman" w:cs="Times New Roman"/>
          <w:color w:val="0070C0"/>
          <w:sz w:val="16"/>
          <w:szCs w:val="16"/>
        </w:rPr>
        <w:t>Наличный состав рабочих всех категорий опытного цеха - 309 человек, большинство из них перешли из мастерских аэропорта, сред</w:t>
      </w:r>
      <w:r w:rsidRPr="00640820">
        <w:rPr>
          <w:rStyle w:val="770"/>
          <w:rFonts w:ascii="Times New Roman" w:hAnsi="Times New Roman" w:cs="Times New Roman"/>
          <w:color w:val="0070C0"/>
          <w:sz w:val="16"/>
          <w:szCs w:val="16"/>
        </w:rPr>
        <w:softHyphen/>
        <w:t>ний разряд был не выше второго. На само</w:t>
      </w:r>
      <w:r w:rsidRPr="00640820">
        <w:rPr>
          <w:rStyle w:val="770"/>
          <w:rFonts w:ascii="Times New Roman" w:hAnsi="Times New Roman" w:cs="Times New Roman"/>
          <w:color w:val="0070C0"/>
          <w:sz w:val="16"/>
          <w:szCs w:val="16"/>
        </w:rPr>
        <w:softHyphen/>
        <w:t>стоятельной работе использовать этот персо</w:t>
      </w:r>
      <w:r w:rsidRPr="00640820">
        <w:rPr>
          <w:rStyle w:val="780"/>
          <w:rFonts w:ascii="Times New Roman" w:hAnsi="Times New Roman" w:cs="Times New Roman"/>
          <w:color w:val="0070C0"/>
          <w:sz w:val="16"/>
          <w:szCs w:val="16"/>
        </w:rPr>
        <w:t>нал не представлялось возможным ввиду отсутствия навыков работы по металлическим самолетам (а именно навыков клепки и обра</w:t>
      </w:r>
      <w:r w:rsidRPr="00640820">
        <w:rPr>
          <w:rStyle w:val="780"/>
          <w:rFonts w:ascii="Times New Roman" w:hAnsi="Times New Roman" w:cs="Times New Roman"/>
          <w:color w:val="0070C0"/>
          <w:sz w:val="16"/>
          <w:szCs w:val="16"/>
        </w:rPr>
        <w:softHyphen/>
        <w:t>ботки дюраля). Работавшие ранее на маши</w:t>
      </w:r>
      <w:r w:rsidRPr="00640820">
        <w:rPr>
          <w:rStyle w:val="780"/>
          <w:rFonts w:ascii="Times New Roman" w:hAnsi="Times New Roman" w:cs="Times New Roman"/>
          <w:color w:val="0070C0"/>
          <w:sz w:val="16"/>
          <w:szCs w:val="16"/>
        </w:rPr>
        <w:softHyphen/>
        <w:t>нах «102» и «110» мастера и рабочие были переведены на серийное производство, таким образом, многие участки работы остались без надлежащего руководства.</w:t>
      </w:r>
    </w:p>
    <w:p w14:paraId="423D1EEA" w14:textId="77777777" w:rsidR="001071C3" w:rsidRPr="00640820" w:rsidRDefault="001071C3" w:rsidP="00640820">
      <w:pPr>
        <w:pStyle w:val="850"/>
        <w:shd w:val="clear" w:color="auto" w:fill="auto"/>
        <w:spacing w:line="240" w:lineRule="auto"/>
        <w:jc w:val="both"/>
        <w:rPr>
          <w:rFonts w:ascii="Times New Roman" w:hAnsi="Times New Roman" w:cs="Times New Roman"/>
          <w:color w:val="0070C0"/>
          <w:sz w:val="16"/>
          <w:szCs w:val="16"/>
        </w:rPr>
      </w:pPr>
      <w:r w:rsidRPr="00640820">
        <w:rPr>
          <w:rStyle w:val="780"/>
          <w:rFonts w:ascii="Times New Roman" w:hAnsi="Times New Roman" w:cs="Times New Roman"/>
          <w:color w:val="0070C0"/>
          <w:sz w:val="16"/>
          <w:szCs w:val="16"/>
        </w:rPr>
        <w:t>Эвакуация не прошла бесследно для само</w:t>
      </w:r>
      <w:r w:rsidRPr="00640820">
        <w:rPr>
          <w:rStyle w:val="780"/>
          <w:rFonts w:ascii="Times New Roman" w:hAnsi="Times New Roman" w:cs="Times New Roman"/>
          <w:color w:val="0070C0"/>
          <w:sz w:val="16"/>
          <w:szCs w:val="16"/>
        </w:rPr>
        <w:softHyphen/>
        <w:t>лета «110». При перевозке сильно пострадал макет. Оснастка для сборки самолета была полностью спроектирована на заводе № 156 и заготовлена на 90%. Значительное количе</w:t>
      </w:r>
      <w:r w:rsidRPr="00640820">
        <w:rPr>
          <w:rStyle w:val="780"/>
          <w:rFonts w:ascii="Times New Roman" w:hAnsi="Times New Roman" w:cs="Times New Roman"/>
          <w:color w:val="0070C0"/>
          <w:sz w:val="16"/>
          <w:szCs w:val="16"/>
        </w:rPr>
        <w:softHyphen/>
        <w:t>ство оснастки, стапелей и болванок пропало в пути. Кроме того, болванки и другие деревян</w:t>
      </w:r>
      <w:r w:rsidRPr="00640820">
        <w:rPr>
          <w:rStyle w:val="780"/>
          <w:rFonts w:ascii="Times New Roman" w:hAnsi="Times New Roman" w:cs="Times New Roman"/>
          <w:color w:val="0070C0"/>
          <w:sz w:val="16"/>
          <w:szCs w:val="16"/>
        </w:rPr>
        <w:softHyphen/>
        <w:t>ные детали находились в неблагоприятных условиях и были частично повреждены, из-за чего подлежали тщательной проверке по шаблонам и ремонту. Часть стапелей для сборки передней и задней ферм фюзеляжа, передней фермы центроплана, моторамы, передней и задней балочек крыла были уте</w:t>
      </w:r>
      <w:r w:rsidRPr="00640820">
        <w:rPr>
          <w:rStyle w:val="780"/>
          <w:rFonts w:ascii="Times New Roman" w:hAnsi="Times New Roman" w:cs="Times New Roman"/>
          <w:color w:val="0070C0"/>
          <w:sz w:val="16"/>
          <w:szCs w:val="16"/>
        </w:rPr>
        <w:softHyphen/>
        <w:t>ряны. Изготовление новых стапелей задер</w:t>
      </w:r>
      <w:r w:rsidRPr="00640820">
        <w:rPr>
          <w:rStyle w:val="780"/>
          <w:rFonts w:ascii="Times New Roman" w:hAnsi="Times New Roman" w:cs="Times New Roman"/>
          <w:color w:val="0070C0"/>
          <w:sz w:val="16"/>
          <w:szCs w:val="16"/>
        </w:rPr>
        <w:softHyphen/>
        <w:t>живалось из-за отсутствия квалифицирован</w:t>
      </w:r>
      <w:r w:rsidRPr="00640820">
        <w:rPr>
          <w:rStyle w:val="780"/>
          <w:rFonts w:ascii="Times New Roman" w:hAnsi="Times New Roman" w:cs="Times New Roman"/>
          <w:color w:val="0070C0"/>
          <w:sz w:val="16"/>
          <w:szCs w:val="16"/>
        </w:rPr>
        <w:softHyphen/>
        <w:t>ных работников, работа по розыску оснастки, болванок и шаблонов проводилась силами конструкторов.</w:t>
      </w:r>
    </w:p>
    <w:p w14:paraId="3DD7BC2B" w14:textId="77777777" w:rsidR="001071C3" w:rsidRPr="00640820" w:rsidRDefault="001071C3" w:rsidP="00640820">
      <w:pPr>
        <w:pStyle w:val="850"/>
        <w:shd w:val="clear" w:color="auto" w:fill="auto"/>
        <w:spacing w:line="240" w:lineRule="auto"/>
        <w:jc w:val="both"/>
        <w:rPr>
          <w:rStyle w:val="780"/>
          <w:rFonts w:ascii="Times New Roman" w:hAnsi="Times New Roman" w:cs="Times New Roman"/>
          <w:color w:val="0070C0"/>
          <w:sz w:val="16"/>
          <w:szCs w:val="16"/>
        </w:rPr>
      </w:pPr>
      <w:r w:rsidRPr="00640820">
        <w:rPr>
          <w:rStyle w:val="780"/>
          <w:rFonts w:ascii="Times New Roman" w:hAnsi="Times New Roman" w:cs="Times New Roman"/>
          <w:color w:val="0070C0"/>
          <w:sz w:val="16"/>
          <w:szCs w:val="16"/>
        </w:rPr>
        <w:t>Свои трудности были в проведении ряда опытных работ. Во время перевозки был уте</w:t>
      </w:r>
      <w:r w:rsidRPr="00640820">
        <w:rPr>
          <w:rStyle w:val="780"/>
          <w:rFonts w:ascii="Times New Roman" w:hAnsi="Times New Roman" w:cs="Times New Roman"/>
          <w:color w:val="0070C0"/>
          <w:sz w:val="16"/>
          <w:szCs w:val="16"/>
        </w:rPr>
        <w:softHyphen/>
        <w:t>рян стенд шасси. Работа по монтажу мотор</w:t>
      </w:r>
      <w:r w:rsidRPr="00640820">
        <w:rPr>
          <w:rStyle w:val="780"/>
          <w:rFonts w:ascii="Times New Roman" w:hAnsi="Times New Roman" w:cs="Times New Roman"/>
          <w:color w:val="0070C0"/>
          <w:sz w:val="16"/>
          <w:szCs w:val="16"/>
        </w:rPr>
        <w:softHyphen/>
        <w:t>ного стенда тормозилась из-за недостатка квалифицированных рабочих по капоту. На месте удалось закончить стенд вооружения - синхронной установки с двумя пулеметами БС и двумя пулеметами ШКАС - и начать огне</w:t>
      </w:r>
      <w:r w:rsidRPr="00640820">
        <w:rPr>
          <w:rStyle w:val="780"/>
          <w:rFonts w:ascii="Times New Roman" w:hAnsi="Times New Roman" w:cs="Times New Roman"/>
          <w:color w:val="0070C0"/>
          <w:sz w:val="16"/>
          <w:szCs w:val="16"/>
        </w:rPr>
        <w:softHyphen/>
        <w:t>вые испытания</w:t>
      </w:r>
      <w:r w:rsidRPr="00640820">
        <w:rPr>
          <w:rStyle w:val="780"/>
          <w:rFonts w:ascii="Times New Roman" w:hAnsi="Times New Roman" w:cs="Times New Roman"/>
          <w:color w:val="0070C0"/>
          <w:sz w:val="16"/>
          <w:szCs w:val="16"/>
          <w:lang w:val="ru-RU"/>
        </w:rPr>
        <w:t xml:space="preserve"> (19869)</w:t>
      </w:r>
      <w:r w:rsidRPr="00640820">
        <w:rPr>
          <w:rStyle w:val="780"/>
          <w:rFonts w:ascii="Times New Roman" w:hAnsi="Times New Roman" w:cs="Times New Roman"/>
          <w:color w:val="0070C0"/>
          <w:sz w:val="16"/>
          <w:szCs w:val="16"/>
        </w:rPr>
        <w:t>.</w:t>
      </w:r>
    </w:p>
    <w:p w14:paraId="185A8A33" w14:textId="77777777" w:rsidR="001071C3" w:rsidRPr="00640820" w:rsidRDefault="001071C3" w:rsidP="00640820">
      <w:pPr>
        <w:pStyle w:val="850"/>
        <w:shd w:val="clear" w:color="auto" w:fill="auto"/>
        <w:spacing w:line="240" w:lineRule="auto"/>
        <w:jc w:val="both"/>
        <w:rPr>
          <w:rFonts w:ascii="Times New Roman" w:hAnsi="Times New Roman" w:cs="Times New Roman"/>
          <w:color w:val="0070C0"/>
          <w:sz w:val="16"/>
          <w:szCs w:val="16"/>
        </w:rPr>
      </w:pPr>
    </w:p>
    <w:p w14:paraId="344B8587" w14:textId="77777777" w:rsidR="001071C3" w:rsidRPr="00640820" w:rsidRDefault="001071C3" w:rsidP="00640820">
      <w:pPr>
        <w:pStyle w:val="850"/>
        <w:shd w:val="clear" w:color="auto" w:fill="auto"/>
        <w:spacing w:line="240" w:lineRule="auto"/>
        <w:jc w:val="both"/>
        <w:rPr>
          <w:rFonts w:ascii="Times New Roman" w:hAnsi="Times New Roman" w:cs="Times New Roman"/>
          <w:color w:val="0070C0"/>
          <w:sz w:val="16"/>
          <w:szCs w:val="16"/>
        </w:rPr>
      </w:pPr>
      <w:r w:rsidRPr="00640820">
        <w:rPr>
          <w:rStyle w:val="780"/>
          <w:rFonts w:ascii="Times New Roman" w:hAnsi="Times New Roman" w:cs="Times New Roman"/>
          <w:color w:val="0070C0"/>
          <w:sz w:val="16"/>
          <w:szCs w:val="16"/>
        </w:rPr>
        <w:t xml:space="preserve">В середине октября </w:t>
      </w:r>
      <w:r w:rsidRPr="00640820">
        <w:rPr>
          <w:rStyle w:val="780"/>
          <w:rFonts w:ascii="Times New Roman" w:hAnsi="Times New Roman" w:cs="Times New Roman"/>
          <w:color w:val="0070C0"/>
          <w:sz w:val="16"/>
          <w:szCs w:val="16"/>
          <w:lang w:val="ru-RU"/>
        </w:rPr>
        <w:t xml:space="preserve">1941 </w:t>
      </w:r>
      <w:r w:rsidRPr="00640820">
        <w:rPr>
          <w:rStyle w:val="780"/>
          <w:rFonts w:ascii="Times New Roman" w:hAnsi="Times New Roman" w:cs="Times New Roman"/>
          <w:color w:val="0070C0"/>
          <w:sz w:val="16"/>
          <w:szCs w:val="16"/>
        </w:rPr>
        <w:t>возобновилась рабо</w:t>
      </w:r>
      <w:r w:rsidRPr="00640820">
        <w:rPr>
          <w:rStyle w:val="780"/>
          <w:rFonts w:ascii="Times New Roman" w:hAnsi="Times New Roman" w:cs="Times New Roman"/>
          <w:color w:val="0070C0"/>
          <w:sz w:val="16"/>
          <w:szCs w:val="16"/>
        </w:rPr>
        <w:softHyphen/>
        <w:t>та конструкторского бюро</w:t>
      </w:r>
      <w:r w:rsidRPr="00640820">
        <w:rPr>
          <w:rStyle w:val="780"/>
          <w:rFonts w:ascii="Times New Roman" w:hAnsi="Times New Roman" w:cs="Times New Roman"/>
          <w:color w:val="0070C0"/>
          <w:sz w:val="16"/>
          <w:szCs w:val="16"/>
          <w:lang w:val="ru-RU"/>
        </w:rPr>
        <w:t xml:space="preserve"> Томашевича в Омске</w:t>
      </w:r>
      <w:r w:rsidRPr="00640820">
        <w:rPr>
          <w:rStyle w:val="780"/>
          <w:rFonts w:ascii="Times New Roman" w:hAnsi="Times New Roman" w:cs="Times New Roman"/>
          <w:color w:val="0070C0"/>
          <w:sz w:val="16"/>
          <w:szCs w:val="16"/>
        </w:rPr>
        <w:t>. Велись работы по разработке лыжного шасси, по передел</w:t>
      </w:r>
      <w:r w:rsidRPr="00640820">
        <w:rPr>
          <w:rStyle w:val="780"/>
          <w:rFonts w:ascii="Times New Roman" w:hAnsi="Times New Roman" w:cs="Times New Roman"/>
          <w:color w:val="0070C0"/>
          <w:sz w:val="16"/>
          <w:szCs w:val="16"/>
        </w:rPr>
        <w:softHyphen/>
        <w:t>кам агрегатов винто-моторного хозяйства и электрооборудования в связи с изменением габаритов мотора, по проектированию пнев</w:t>
      </w:r>
      <w:r w:rsidRPr="00640820">
        <w:rPr>
          <w:rStyle w:val="780"/>
          <w:rFonts w:ascii="Times New Roman" w:hAnsi="Times New Roman" w:cs="Times New Roman"/>
          <w:color w:val="0070C0"/>
          <w:sz w:val="16"/>
          <w:szCs w:val="16"/>
        </w:rPr>
        <w:softHyphen/>
        <w:t>матического выпуска шасси, установке радиополукомпаса, составлению техниче</w:t>
      </w:r>
      <w:r w:rsidRPr="00640820">
        <w:rPr>
          <w:rStyle w:val="780"/>
          <w:rFonts w:ascii="Times New Roman" w:hAnsi="Times New Roman" w:cs="Times New Roman"/>
          <w:color w:val="0070C0"/>
          <w:sz w:val="16"/>
          <w:szCs w:val="16"/>
        </w:rPr>
        <w:softHyphen/>
        <w:t>ского описания и разработке аэродромного оборудования.</w:t>
      </w:r>
    </w:p>
    <w:p w14:paraId="504E4942" w14:textId="77777777" w:rsidR="001071C3" w:rsidRPr="00640820" w:rsidRDefault="001071C3" w:rsidP="00640820">
      <w:pPr>
        <w:pStyle w:val="850"/>
        <w:shd w:val="clear" w:color="auto" w:fill="auto"/>
        <w:spacing w:line="240" w:lineRule="auto"/>
        <w:jc w:val="both"/>
        <w:rPr>
          <w:rFonts w:ascii="Times New Roman" w:hAnsi="Times New Roman" w:cs="Times New Roman"/>
          <w:color w:val="0070C0"/>
          <w:sz w:val="16"/>
          <w:szCs w:val="16"/>
        </w:rPr>
      </w:pPr>
      <w:r w:rsidRPr="00640820">
        <w:rPr>
          <w:rStyle w:val="780"/>
          <w:rFonts w:ascii="Times New Roman" w:hAnsi="Times New Roman" w:cs="Times New Roman"/>
          <w:color w:val="0070C0"/>
          <w:sz w:val="16"/>
          <w:szCs w:val="16"/>
        </w:rPr>
        <w:t>Самым узким местом оставались статиспытания. «Сломали» лишь отдельные узлы центроплана и фюзеляжа, комплектные агре</w:t>
      </w:r>
      <w:r w:rsidRPr="00640820">
        <w:rPr>
          <w:rStyle w:val="780"/>
          <w:rFonts w:ascii="Times New Roman" w:hAnsi="Times New Roman" w:cs="Times New Roman"/>
          <w:color w:val="0070C0"/>
          <w:sz w:val="16"/>
          <w:szCs w:val="16"/>
        </w:rPr>
        <w:softHyphen/>
        <w:t>гаты статически еще не испытывались. Фюзе</w:t>
      </w:r>
      <w:r w:rsidRPr="00640820">
        <w:rPr>
          <w:rStyle w:val="780"/>
          <w:rFonts w:ascii="Times New Roman" w:hAnsi="Times New Roman" w:cs="Times New Roman"/>
          <w:color w:val="0070C0"/>
          <w:sz w:val="16"/>
          <w:szCs w:val="16"/>
        </w:rPr>
        <w:softHyphen/>
        <w:t>ляж для статиспытаний находился в сборке, производилась стыковка передней и хвосто</w:t>
      </w:r>
      <w:r w:rsidRPr="00640820">
        <w:rPr>
          <w:rStyle w:val="780"/>
          <w:rFonts w:ascii="Times New Roman" w:hAnsi="Times New Roman" w:cs="Times New Roman"/>
          <w:color w:val="0070C0"/>
          <w:sz w:val="16"/>
          <w:szCs w:val="16"/>
        </w:rPr>
        <w:softHyphen/>
        <w:t>вой ферм со средней частью фюзеляжа. Тех</w:t>
      </w:r>
      <w:r w:rsidRPr="00640820">
        <w:rPr>
          <w:rStyle w:val="780"/>
          <w:rFonts w:ascii="Times New Roman" w:hAnsi="Times New Roman" w:cs="Times New Roman"/>
          <w:color w:val="0070C0"/>
          <w:sz w:val="16"/>
          <w:szCs w:val="16"/>
        </w:rPr>
        <w:softHyphen/>
        <w:t>ническая готовность каркаса центроплана, шасси, стабилизатора и киля для статиспыта</w:t>
      </w:r>
      <w:r w:rsidRPr="00640820">
        <w:rPr>
          <w:rStyle w:val="780"/>
          <w:rFonts w:ascii="Times New Roman" w:hAnsi="Times New Roman" w:cs="Times New Roman"/>
          <w:color w:val="0070C0"/>
          <w:sz w:val="16"/>
          <w:szCs w:val="16"/>
        </w:rPr>
        <w:softHyphen/>
        <w:t>ний оценивалась в 75%.</w:t>
      </w:r>
    </w:p>
    <w:p w14:paraId="665D522D" w14:textId="77777777" w:rsidR="001071C3" w:rsidRPr="00640820" w:rsidRDefault="001071C3" w:rsidP="00640820">
      <w:pPr>
        <w:pStyle w:val="850"/>
        <w:shd w:val="clear" w:color="auto" w:fill="auto"/>
        <w:spacing w:line="240" w:lineRule="auto"/>
        <w:jc w:val="both"/>
        <w:rPr>
          <w:rFonts w:ascii="Times New Roman" w:hAnsi="Times New Roman" w:cs="Times New Roman"/>
          <w:color w:val="0070C0"/>
          <w:sz w:val="16"/>
          <w:szCs w:val="16"/>
        </w:rPr>
      </w:pPr>
      <w:r w:rsidRPr="00640820">
        <w:rPr>
          <w:rStyle w:val="780"/>
          <w:rFonts w:ascii="Times New Roman" w:hAnsi="Times New Roman" w:cs="Times New Roman"/>
          <w:color w:val="0070C0"/>
          <w:sz w:val="16"/>
          <w:szCs w:val="16"/>
        </w:rPr>
        <w:t>На летную машину было заготовлено 50% деталей. Не хватало многих комплектующих. В целом состояние задела по «самолету 110» позволяло развернуть работы по сборке более интенсивно, но из-за недостатка ква</w:t>
      </w:r>
      <w:r w:rsidRPr="00640820">
        <w:rPr>
          <w:rStyle w:val="780"/>
          <w:rFonts w:ascii="Times New Roman" w:hAnsi="Times New Roman" w:cs="Times New Roman"/>
          <w:color w:val="0070C0"/>
          <w:sz w:val="16"/>
          <w:szCs w:val="16"/>
        </w:rPr>
        <w:softHyphen/>
        <w:t>лифицированных рабочих в опытном цехе сделать это было сложно. Считалось, что сборка «самолета 110» могла быть закончена в середине января при условии пополнения квалифицированными работниками и частичного изготовления деталей в цехах серийного завода.</w:t>
      </w:r>
    </w:p>
    <w:p w14:paraId="25266316" w14:textId="77777777" w:rsidR="001071C3" w:rsidRPr="00640820" w:rsidRDefault="001071C3" w:rsidP="00640820">
      <w:pPr>
        <w:pStyle w:val="850"/>
        <w:shd w:val="clear" w:color="auto" w:fill="auto"/>
        <w:spacing w:line="240" w:lineRule="auto"/>
        <w:jc w:val="both"/>
        <w:rPr>
          <w:rFonts w:ascii="Times New Roman" w:hAnsi="Times New Roman" w:cs="Times New Roman"/>
          <w:color w:val="0070C0"/>
          <w:sz w:val="16"/>
          <w:szCs w:val="16"/>
        </w:rPr>
      </w:pPr>
      <w:r w:rsidRPr="00640820">
        <w:rPr>
          <w:rStyle w:val="780"/>
          <w:rFonts w:ascii="Times New Roman" w:hAnsi="Times New Roman" w:cs="Times New Roman"/>
          <w:color w:val="0070C0"/>
          <w:sz w:val="16"/>
          <w:szCs w:val="16"/>
        </w:rPr>
        <w:t>№ 166, куда организационно вошло и КБ Томашевича. К сожалению, отчет по летным испытаниям самолета обнаружить пока не удалось. Работы по доводке продолжались, по крайней мере, до ноября 1942 года. В частности, комплект вооружения для серий</w:t>
      </w:r>
      <w:r w:rsidRPr="00640820">
        <w:rPr>
          <w:rStyle w:val="780"/>
          <w:rFonts w:ascii="Times New Roman" w:hAnsi="Times New Roman" w:cs="Times New Roman"/>
          <w:color w:val="0070C0"/>
          <w:sz w:val="16"/>
          <w:szCs w:val="16"/>
        </w:rPr>
        <w:softHyphen/>
        <w:t>ной постройки уменьшили до двух пулеме</w:t>
      </w:r>
      <w:r w:rsidRPr="00640820">
        <w:rPr>
          <w:rStyle w:val="780"/>
          <w:rFonts w:ascii="Times New Roman" w:hAnsi="Times New Roman" w:cs="Times New Roman"/>
          <w:color w:val="0070C0"/>
          <w:sz w:val="16"/>
          <w:szCs w:val="16"/>
        </w:rPr>
        <w:softHyphen/>
        <w:t>тов БС и пушки ШВАК. В конце 1942 года П.М. Стефановский начал испытания «само</w:t>
      </w:r>
      <w:r w:rsidRPr="00640820">
        <w:rPr>
          <w:rStyle w:val="780"/>
          <w:rFonts w:ascii="Times New Roman" w:hAnsi="Times New Roman" w:cs="Times New Roman"/>
          <w:color w:val="0070C0"/>
          <w:sz w:val="16"/>
          <w:szCs w:val="16"/>
        </w:rPr>
        <w:softHyphen/>
        <w:t>лета 110», однако время мотора М-107 тогда еще не пришло.</w:t>
      </w:r>
    </w:p>
    <w:p w14:paraId="4CB41B8F" w14:textId="77777777" w:rsidR="001071C3" w:rsidRPr="00640820" w:rsidRDefault="001071C3" w:rsidP="00640820">
      <w:pPr>
        <w:shd w:val="clear" w:color="auto" w:fill="FFFFFF"/>
        <w:spacing w:after="0" w:line="240" w:lineRule="auto"/>
        <w:jc w:val="both"/>
        <w:rPr>
          <w:rFonts w:ascii="Times New Roman" w:hAnsi="Times New Roman"/>
          <w:color w:val="0070C0"/>
          <w:sz w:val="16"/>
          <w:szCs w:val="16"/>
          <w:lang w:val="ru"/>
        </w:rPr>
      </w:pPr>
    </w:p>
    <w:p w14:paraId="4A7A174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середине октября 1941 в Шумерлю прибыл основной состав эваку</w:t>
      </w:r>
      <w:r w:rsidRPr="00640820">
        <w:rPr>
          <w:rFonts w:ascii="Times New Roman" w:hAnsi="Times New Roman"/>
          <w:color w:val="000000" w:themeColor="text1"/>
          <w:sz w:val="16"/>
          <w:szCs w:val="16"/>
        </w:rPr>
        <w:softHyphen/>
        <w:t>ированного ОКБ-28, а уже 7 ноября здесь собрали первый серийный десантный планер. До конца года завод №471 изготовил 10 серийных аппаратов.</w:t>
      </w:r>
    </w:p>
    <w:p w14:paraId="48DBBDC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Г-11 нарастало вплоть до июня 1942 г., когда выяснилось, что военным попросту не нужно такое большое количество десантных плане</w:t>
      </w:r>
      <w:r w:rsidRPr="00640820">
        <w:rPr>
          <w:rFonts w:ascii="Times New Roman" w:hAnsi="Times New Roman"/>
          <w:color w:val="000000" w:themeColor="text1"/>
          <w:sz w:val="16"/>
          <w:szCs w:val="16"/>
        </w:rPr>
        <w:softHyphen/>
        <w:t>ров. Война протекала не так, как это виделось больше</w:t>
      </w:r>
      <w:r w:rsidRPr="00640820">
        <w:rPr>
          <w:rFonts w:ascii="Times New Roman" w:hAnsi="Times New Roman"/>
          <w:color w:val="000000" w:themeColor="text1"/>
          <w:sz w:val="16"/>
          <w:szCs w:val="16"/>
        </w:rPr>
        <w:softHyphen/>
        <w:t>вистским стратегам в предвоенные годы, — Красная Армия терпела поражения на всех фронтах. В общем, было не до планерных десантных операций. А отме</w:t>
      </w:r>
      <w:r w:rsidRPr="00640820">
        <w:rPr>
          <w:rFonts w:ascii="Times New Roman" w:hAnsi="Times New Roman"/>
          <w:color w:val="000000" w:themeColor="text1"/>
          <w:sz w:val="16"/>
          <w:szCs w:val="16"/>
        </w:rPr>
        <w:softHyphen/>
        <w:t>нить ранее принятое решение забыли. В результате деревянные планеры, рассчитанные, по сути, на один боевой вылет, часто зимовали под открытым небом, что приводило их в негод</w:t>
      </w:r>
      <w:r w:rsidRPr="00640820">
        <w:rPr>
          <w:rFonts w:ascii="Times New Roman" w:hAnsi="Times New Roman"/>
          <w:color w:val="000000" w:themeColor="text1"/>
          <w:sz w:val="16"/>
          <w:szCs w:val="16"/>
        </w:rPr>
        <w:softHyphen/>
        <w:t>ность. Не хватало также само</w:t>
      </w:r>
      <w:r w:rsidRPr="00640820">
        <w:rPr>
          <w:rFonts w:ascii="Times New Roman" w:hAnsi="Times New Roman"/>
          <w:color w:val="000000" w:themeColor="text1"/>
          <w:sz w:val="16"/>
          <w:szCs w:val="16"/>
        </w:rPr>
        <w:softHyphen/>
        <w:t>летов-буксировщиков и пило- тов-планеристов (12300).</w:t>
      </w:r>
    </w:p>
    <w:p w14:paraId="310D7ED3"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6DC729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середине октября 1941 закончились серийные летные испытания второго серийного КОР-2 (Бе-4) N 28802 Г.М.Б. на 288 заводе - как раз перед эвакуацией, которая началась 16 октября 1941. Летал откомандированный из ЛИИ на завод С.Б.Рейдель. 13 августа 1941 Зам. нач. ВВС ВМФ г-м А.Коробков утвердил программу серийных испытаний головного Бе-4 (КОР-2 Г.М.Б.) на базе завода 288 в Кимрах (2555,175). испытывали головную машину N 28802. В полетах участвовали ш Г.А.Юдин и Н.И.Забавин, а ви был А.С.Корятин. испытания шли до середины октября 1941 (2870,34).</w:t>
      </w:r>
    </w:p>
    <w:p w14:paraId="0C84DE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Заключении отчета написано:</w:t>
      </w:r>
    </w:p>
    <w:p w14:paraId="604C2B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"Комиссия по испытаниям серийного самолета, рассмотрев результаты его земных и летных испытаний, подтверждает, что серийный Бе-4 N 28802 с М-62 соответствует ТУ на поставку таких самолетов, согласно прямому договору, заключенному между заводом 288 и УВВС ВМФ на 1941.</w:t>
      </w:r>
    </w:p>
    <w:p w14:paraId="651AAA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Полученные результаты земных и летных испытаний Бе-4 с мотором М-62 внести в ТУ договора. Комиссия считает необходимым устранить все дефекты, перечень которых дается в отчете." Потом на 288 в Омске и 477 в Красноярске построили около 50 (2870,34).</w:t>
      </w:r>
    </w:p>
    <w:p w14:paraId="4B00EC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D7FBEA0"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28C1056D"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FF9DF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середине октября 1941 г. завод № 510 (Завод № 510 НКБ /г. Ногинск Московской обл.;  г. Омск а/я 14 «Круг» (1943 г.)/), созданный на месте Ногинского завода грампластинок, был эвакуирован: основная часть (производство 23-мм снарядов, 483 ед. оборудования, 650 чел.) - в Кемерово на площадку Кемеровского механического завода, получившего № 606 НКБ; часть завода (производство МП, 271 ед. оборудования) - в Омск, где завод № 510 продолжил действовать под своим номером; к 1.01.1941 г. восстановлено производство МП мощностью 2 млн. шт. в год. На площадку в Омске также был эвакуирован Харьковский завод пластмасс «Химпласт» (производство МП, 85 ед. оборудования) и влит в состав завода № 5Ю. К 30.12.1941 г. в Омск прибыло около половины всего оборудования. Всего в Омск эвакуировано 372 чел. с двух заводов.</w:t>
      </w:r>
    </w:p>
    <w:p w14:paraId="7FFED3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артиллерийских снарядов и мин. Перед эвакуацией мощность производства взрывателей МП - 7 млн. шт. в год. В 1941 г. производство снарядов завода подчинялось 5ГУ, производство взрывателей - 2ГУ НКБ. Мощность завода (перед эвакуацией): патронирование 23-мм снарядов - 3 млн. шт. в год; гильзы 23-мм - 3 млн. шт.; корпуса 23-мм снарядов - 3 млн. шт.</w:t>
      </w:r>
    </w:p>
    <w:p w14:paraId="6DFB94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1942 г. на месте эвакуированного завода в Ногинске образован новый завод № 548.</w:t>
      </w:r>
    </w:p>
    <w:p w14:paraId="678CE4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12.1942-09.1944 г. завод № 510 - в ведении 2ГУ НКБ.</w:t>
      </w:r>
    </w:p>
    <w:p w14:paraId="232C6F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завода цехи (1943 г.): основные: прессовый № 1, № 2, сборочный № 3, гальванический № 4; вспомогательные: ремонтно-механический № 6, инструментальный № 7.</w:t>
      </w:r>
    </w:p>
    <w:p w14:paraId="7AC6E7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(04.1943 г.): производственная- 2365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вспомогательная- 945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3BB089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(10.1941 г.)- 3840 чел., (12.1942 г.)- 1473 чел.</w:t>
      </w:r>
    </w:p>
    <w:p w14:paraId="7E90B8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(1942-43 г.)- К.М. Михайлов, (04.1943 г.)- Гаврилов, (1943-45 г.)- А.В. Домрачев, (1945 г.)- Пестов, (- 1947 г.)-Я.Ф. Терещенко.</w:t>
      </w:r>
    </w:p>
    <w:p w14:paraId="10F28D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взрыватель МП (-1941-43-); снаряды 23-мм (-1941).</w:t>
      </w:r>
      <w:r w:rsidRPr="00640820">
        <w:rPr>
          <w:rFonts w:ascii="Times New Roman" w:hAnsi="Times New Roman"/>
          <w:color w:val="000000" w:themeColor="text1"/>
          <w:sz w:val="16"/>
          <w:szCs w:val="16"/>
          <w:vertAlign w:val="superscript"/>
        </w:rPr>
        <w:t>132</w:t>
      </w:r>
    </w:p>
    <w:p w14:paraId="443D07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Завод № 510 НКХП, Азотно-туковый завод им. </w:t>
      </w:r>
      <w:r w:rsidRPr="00640820">
        <w:rPr>
          <w:rFonts w:ascii="Times New Roman" w:hAnsi="Times New Roman"/>
          <w:color w:val="000000" w:themeColor="text1"/>
          <w:sz w:val="16"/>
          <w:szCs w:val="16"/>
          <w:lang w:val="en-US"/>
        </w:rPr>
        <w:t>XVIII</w:t>
      </w:r>
      <w:r w:rsidRPr="00640820">
        <w:rPr>
          <w:rFonts w:ascii="Times New Roman" w:hAnsi="Times New Roman"/>
          <w:color w:val="000000" w:themeColor="text1"/>
          <w:sz w:val="16"/>
          <w:szCs w:val="16"/>
        </w:rPr>
        <w:t xml:space="preserve"> Съезда ВКП (б), Кемеровский завод «Химпром», ПО, АООТ, ОАО «Химпром», ООО «ПО «Химпром» /650006  г. Кемерово ул. 1-я Стахановская, 35/</w:t>
      </w:r>
    </w:p>
    <w:p w14:paraId="744D4B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Решение о строительстве азотно-тукового завода было принято в 01.1932 г. Пущен в эксплуатацию 21.07.1938 г., когда были получены первые тонны аммиака и аммиачной селитры. В 06.1939 г. заводу присвоено имя </w:t>
      </w:r>
      <w:r w:rsidRPr="00640820">
        <w:rPr>
          <w:rFonts w:ascii="Times New Roman" w:hAnsi="Times New Roman"/>
          <w:color w:val="000000" w:themeColor="text1"/>
          <w:sz w:val="16"/>
          <w:szCs w:val="16"/>
          <w:lang w:val="en-US"/>
        </w:rPr>
        <w:t>XVIII</w:t>
      </w:r>
      <w:r w:rsidRPr="00640820">
        <w:rPr>
          <w:rFonts w:ascii="Times New Roman" w:hAnsi="Times New Roman"/>
          <w:color w:val="000000" w:themeColor="text1"/>
          <w:sz w:val="16"/>
          <w:szCs w:val="16"/>
        </w:rPr>
        <w:t xml:space="preserve"> Съезда ВКП (б).</w:t>
      </w:r>
    </w:p>
    <w:p w14:paraId="5446AD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17.11.1942 г. вышло постановление ГКО № 2516 о производстве синтетического толуола на заводе. В годы войны выпускал аммиак, азотные кислоты, селитру, каустическую соду, хлор, синтетический толуол.</w:t>
      </w:r>
    </w:p>
    <w:p w14:paraId="3686D3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1975 г. на базе завода создано ПО «Химпром». В 1993 г. предприятие преобразовано в АООТ, а в 1996 г.- в ОАО «Химпром». В 2000 г. предприятие было признано банкротом. Входило в группу «Сибконкорд» (2004 г.). В 2005 г. было создано ООО «ПО «Химпром» (11982).</w:t>
      </w:r>
    </w:p>
    <w:p w14:paraId="6D5FBA7C" w14:textId="77777777" w:rsidR="00F41DBA" w:rsidRPr="00640820" w:rsidRDefault="00F41DBA" w:rsidP="00640820">
      <w:pPr>
        <w:spacing w:after="0" w:line="240" w:lineRule="auto"/>
        <w:jc w:val="both"/>
        <w:rPr>
          <w:rFonts w:ascii="Times New Roman" w:hAnsi="Times New Roman"/>
          <w:color w:val="000000" w:themeColor="text1"/>
          <w:sz w:val="16"/>
          <w:szCs w:val="16"/>
        </w:rPr>
      </w:pPr>
    </w:p>
    <w:p w14:paraId="0C822B2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середине октября 1941 года закончилась эвакуация завода № 183 из Харькова в Нижний Тагил, на площадку Уралвагонзавода, которая началась во второй половине сентября. За это время из Харькова было отправлено 43 эшелона с оборудованием, людьми, материалами и заготовками.</w:t>
      </w:r>
    </w:p>
    <w:p w14:paraId="78BE0D4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новой площадке в завод № 183 влились другие эвакуированные предприятия: Мариупольским металлургический завод имени Ильича и Московский станкостроительный завод имени Оржоникидзе.</w:t>
      </w:r>
    </w:p>
    <w:p w14:paraId="2E10004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Установка оборудования в Нижнем Тагиле велась исходя из расчета выпуска 20 Т-34 в сутки, для чего было необходимо иметь до 1250 станков, работавших только на производство танков (без вспомогательного оборудования) и не менее 20000 рабочих. Из Харькова было привезено 1254 станка (вместе с вспомогательными), а рабочих к началу ноября 1941 года было всего 11000, включая и бывший персонал Уралвагонзавода. Поэтому в Нижний Тагил переводились дополнительные контингенты рабочих из других городов, а также большое количество людей, не смевших производственной квалификации. Новое предприятие получило наименование Уральский танковый завод № 183 (12217).</w:t>
      </w:r>
    </w:p>
    <w:p w14:paraId="36E8B46F"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185EE91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середине октября 1941 г., т.е. к моменту завершения эвакуации завода из Харькова, коллектив завода передал военным представителям 41 танк Т-34 октябрьской сборки. Осенью 1941 г. эвакуированному в Нижний Тагил заводу № 183 были предо</w:t>
      </w:r>
      <w:r w:rsidRPr="00640820">
        <w:rPr>
          <w:rFonts w:ascii="Times New Roman" w:hAnsi="Times New Roman"/>
          <w:color w:val="000000" w:themeColor="text1"/>
          <w:sz w:val="16"/>
          <w:szCs w:val="16"/>
        </w:rPr>
        <w:softHyphen/>
        <w:t>ставлены просторные цехи Уралвагонзавода, а также мощное сталели</w:t>
      </w:r>
      <w:r w:rsidRPr="00640820">
        <w:rPr>
          <w:rFonts w:ascii="Times New Roman" w:hAnsi="Times New Roman"/>
          <w:color w:val="000000" w:themeColor="text1"/>
          <w:sz w:val="16"/>
          <w:szCs w:val="16"/>
        </w:rPr>
        <w:softHyphen/>
        <w:t>тейное и кузнечно-прессовое оборудование, теплоэлектроцентраль и га</w:t>
      </w:r>
      <w:r w:rsidRPr="00640820">
        <w:rPr>
          <w:rFonts w:ascii="Times New Roman" w:hAnsi="Times New Roman"/>
          <w:color w:val="000000" w:themeColor="text1"/>
          <w:sz w:val="16"/>
          <w:szCs w:val="16"/>
        </w:rPr>
        <w:softHyphen/>
        <w:t>зогенераторная станция. На новой площадке в завод № 183 влились Мариупольский метал</w:t>
      </w:r>
      <w:r w:rsidRPr="00640820">
        <w:rPr>
          <w:rFonts w:ascii="Times New Roman" w:hAnsi="Times New Roman"/>
          <w:color w:val="000000" w:themeColor="text1"/>
          <w:sz w:val="16"/>
          <w:szCs w:val="16"/>
        </w:rPr>
        <w:softHyphen/>
        <w:t>лургический завод и Московский станкостроительный завод им. Орд</w:t>
      </w:r>
      <w:r w:rsidRPr="00640820">
        <w:rPr>
          <w:rFonts w:ascii="Times New Roman" w:hAnsi="Times New Roman"/>
          <w:color w:val="000000" w:themeColor="text1"/>
          <w:sz w:val="16"/>
          <w:szCs w:val="16"/>
        </w:rPr>
        <w:softHyphen/>
        <w:t>жоникидзе. Расстановка оборудования на новой площадке завода осу</w:t>
      </w:r>
      <w:r w:rsidRPr="00640820">
        <w:rPr>
          <w:rFonts w:ascii="Times New Roman" w:hAnsi="Times New Roman"/>
          <w:color w:val="000000" w:themeColor="text1"/>
          <w:sz w:val="16"/>
          <w:szCs w:val="16"/>
        </w:rPr>
        <w:softHyphen/>
        <w:t>ществлялась из расчета выпуска 20 танков в сутки (10703).</w:t>
      </w:r>
    </w:p>
    <w:p w14:paraId="0C208D8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E2C8D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середине октября 1941 г. ЛКЗ в условиях блокады вынужден был прекратить производство танков. Всего, начиная с июля 1941 г на ЛКЗ было изготовлено 444 танка КВ-1. Кировский завод превращается в за</w:t>
      </w:r>
      <w:r w:rsidRPr="00640820">
        <w:rPr>
          <w:rFonts w:ascii="Times New Roman" w:hAnsi="Times New Roman"/>
          <w:color w:val="000000" w:themeColor="text1"/>
          <w:sz w:val="16"/>
          <w:szCs w:val="16"/>
        </w:rPr>
        <w:softHyphen/>
        <w:t>вод-фронт, только несколько километров отделяли его от передовой ли</w:t>
      </w:r>
      <w:r w:rsidRPr="00640820">
        <w:rPr>
          <w:rFonts w:ascii="Times New Roman" w:hAnsi="Times New Roman"/>
          <w:color w:val="000000" w:themeColor="text1"/>
          <w:sz w:val="16"/>
          <w:szCs w:val="16"/>
        </w:rPr>
        <w:softHyphen/>
        <w:t>нии немецко-фашистских войск. По стратегическим соображениям тан</w:t>
      </w:r>
      <w:r w:rsidRPr="00640820">
        <w:rPr>
          <w:rFonts w:ascii="Times New Roman" w:hAnsi="Times New Roman"/>
          <w:color w:val="000000" w:themeColor="text1"/>
          <w:sz w:val="16"/>
          <w:szCs w:val="16"/>
        </w:rPr>
        <w:softHyphen/>
        <w:t>ковое производство было переведено с Кировского завода в более безо</w:t>
      </w:r>
      <w:r w:rsidRPr="00640820">
        <w:rPr>
          <w:rFonts w:ascii="Times New Roman" w:hAnsi="Times New Roman"/>
          <w:color w:val="000000" w:themeColor="text1"/>
          <w:sz w:val="16"/>
          <w:szCs w:val="16"/>
        </w:rPr>
        <w:softHyphen/>
        <w:t>пасное место на Выборгскую сторону на завод № 371 им. Сталина, где осуществлялся ремонт и восстановление поврежденных танков. На этом заводе во время ремонта часть танков КВ-1 была оснащена допол</w:t>
      </w:r>
      <w:r w:rsidRPr="00640820">
        <w:rPr>
          <w:rFonts w:ascii="Times New Roman" w:hAnsi="Times New Roman"/>
          <w:color w:val="000000" w:themeColor="text1"/>
          <w:sz w:val="16"/>
          <w:szCs w:val="16"/>
        </w:rPr>
        <w:softHyphen/>
        <w:t>нительными броневыми листами (так называемыми в то время экрана</w:t>
      </w:r>
      <w:r w:rsidRPr="00640820">
        <w:rPr>
          <w:rFonts w:ascii="Times New Roman" w:hAnsi="Times New Roman"/>
          <w:color w:val="000000" w:themeColor="text1"/>
          <w:sz w:val="16"/>
          <w:szCs w:val="16"/>
        </w:rPr>
        <w:softHyphen/>
        <w:t>ми). Броневые листы толщиной 25 — 35 мм крепились к бонкам, прива</w:t>
      </w:r>
      <w:r w:rsidRPr="00640820">
        <w:rPr>
          <w:rFonts w:ascii="Times New Roman" w:hAnsi="Times New Roman"/>
          <w:color w:val="000000" w:themeColor="text1"/>
          <w:sz w:val="16"/>
          <w:szCs w:val="16"/>
        </w:rPr>
        <w:softHyphen/>
        <w:t>ренным на бортах корпуса и башни с помощью болтов (10703).</w:t>
      </w:r>
    </w:p>
    <w:p w14:paraId="323FB48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FE53E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середины октября 1941 г. началась подготовка к выпуску танка Т-60 на Горьковском автозаводе, на который с комплектом конструк</w:t>
      </w:r>
      <w:r w:rsidRPr="00640820">
        <w:rPr>
          <w:rFonts w:ascii="Times New Roman" w:hAnsi="Times New Roman"/>
          <w:color w:val="000000" w:themeColor="text1"/>
          <w:sz w:val="16"/>
          <w:szCs w:val="16"/>
        </w:rPr>
        <w:softHyphen/>
        <w:t>торской и технологической документации бьи направлен главный кон</w:t>
      </w:r>
      <w:r w:rsidRPr="00640820">
        <w:rPr>
          <w:rFonts w:ascii="Times New Roman" w:hAnsi="Times New Roman"/>
          <w:color w:val="000000" w:themeColor="text1"/>
          <w:sz w:val="16"/>
          <w:szCs w:val="16"/>
        </w:rPr>
        <w:softHyphen/>
        <w:t>структор завода № 37 Н.А. Астров. Конструкция и технология изготов</w:t>
      </w:r>
      <w:r w:rsidRPr="00640820">
        <w:rPr>
          <w:rFonts w:ascii="Times New Roman" w:hAnsi="Times New Roman"/>
          <w:color w:val="000000" w:themeColor="text1"/>
          <w:sz w:val="16"/>
          <w:szCs w:val="16"/>
        </w:rPr>
        <w:softHyphen/>
        <w:t>ления машины были максимально упрощены применительно к услови</w:t>
      </w:r>
      <w:r w:rsidRPr="00640820">
        <w:rPr>
          <w:rFonts w:ascii="Times New Roman" w:hAnsi="Times New Roman"/>
          <w:color w:val="000000" w:themeColor="text1"/>
          <w:sz w:val="16"/>
          <w:szCs w:val="16"/>
        </w:rPr>
        <w:softHyphen/>
        <w:t>ям военного времени. В целях упрощения производства был осуществ</w:t>
      </w:r>
      <w:r w:rsidRPr="00640820">
        <w:rPr>
          <w:rFonts w:ascii="Times New Roman" w:hAnsi="Times New Roman"/>
          <w:color w:val="000000" w:themeColor="text1"/>
          <w:sz w:val="16"/>
          <w:szCs w:val="16"/>
        </w:rPr>
        <w:softHyphen/>
        <w:t>лен переход с цементированной брони на гомогенную. Руководителем этих работ был назначен А.М. Кригер, его ближайшими помощниками стали технологи А.Я. Фрейдлин, С.А. Батанов, К.М. Чивкунов. Уже в ноябре того же года танки Т-60 стали поступать в войска. Несмотря на Относительно слабую броневую защиту, эти танки обладали удовлетво</w:t>
      </w:r>
      <w:r w:rsidRPr="00640820">
        <w:rPr>
          <w:rFonts w:ascii="Times New Roman" w:hAnsi="Times New Roman"/>
          <w:color w:val="000000" w:themeColor="text1"/>
          <w:sz w:val="16"/>
          <w:szCs w:val="16"/>
        </w:rPr>
        <w:softHyphen/>
        <w:t>рительными маневренными качествами и хорошей проходимостью. Ав</w:t>
      </w:r>
      <w:r w:rsidRPr="00640820">
        <w:rPr>
          <w:rFonts w:ascii="Times New Roman" w:hAnsi="Times New Roman"/>
          <w:color w:val="000000" w:themeColor="text1"/>
          <w:sz w:val="16"/>
          <w:szCs w:val="16"/>
        </w:rPr>
        <w:softHyphen/>
        <w:t>томатическая пушка, благодаря высокой скорострельности и большой «анальной скорости бронебойных снарядов с карбидвольфрамовым Сердечником, в тот период позволяла поражать бронетанковое вооруже-шге и технику вермахта. На дальности 500 м этот снаряд пробивал вер</w:t>
      </w:r>
      <w:r w:rsidRPr="00640820">
        <w:rPr>
          <w:rFonts w:ascii="Times New Roman" w:hAnsi="Times New Roman"/>
          <w:color w:val="000000" w:themeColor="text1"/>
          <w:sz w:val="16"/>
          <w:szCs w:val="16"/>
        </w:rPr>
        <w:softHyphen/>
        <w:t>тикально расположенную броневую плиту толщиной 35 мм (10703).</w:t>
      </w:r>
    </w:p>
    <w:p w14:paraId="47E56DC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B05EB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середине октября 1941 г., когда враг подошёл близко к сто</w:t>
      </w:r>
      <w:r w:rsidRPr="00640820">
        <w:rPr>
          <w:rFonts w:ascii="Times New Roman" w:hAnsi="Times New Roman"/>
          <w:color w:val="000000" w:themeColor="text1"/>
          <w:sz w:val="16"/>
          <w:szCs w:val="16"/>
        </w:rPr>
        <w:softHyphen/>
        <w:t>лице, возникла опасность боёв за Москву. К тому времени на ММЗ сделали 1090 мотоциклов М-72 [4.191]. Чтобы уберечь ММЗ от бомбёжек, технологические линии М-72 решили эвакуировать на Восток. Оборудование и «незавершенку», всё изготовленное для М-72 на ММЗ грузили под бомбёжкой на платформы, в полуваго</w:t>
      </w:r>
      <w:r w:rsidRPr="00640820">
        <w:rPr>
          <w:rFonts w:ascii="Times New Roman" w:hAnsi="Times New Roman"/>
          <w:color w:val="000000" w:themeColor="text1"/>
          <w:sz w:val="16"/>
          <w:szCs w:val="16"/>
        </w:rPr>
        <w:softHyphen/>
        <w:t>ны и даже в кауперы на Ярославском вокзале. Благодаря безоста</w:t>
      </w:r>
      <w:r w:rsidRPr="00640820">
        <w:rPr>
          <w:rFonts w:ascii="Times New Roman" w:hAnsi="Times New Roman"/>
          <w:color w:val="000000" w:themeColor="text1"/>
          <w:sz w:val="16"/>
          <w:szCs w:val="16"/>
        </w:rPr>
        <w:softHyphen/>
        <w:t>новочной работе под непрерывной бомбардировкой состав подго</w:t>
      </w:r>
      <w:r w:rsidRPr="00640820">
        <w:rPr>
          <w:rFonts w:ascii="Times New Roman" w:hAnsi="Times New Roman"/>
          <w:color w:val="000000" w:themeColor="text1"/>
          <w:sz w:val="16"/>
          <w:szCs w:val="16"/>
        </w:rPr>
        <w:softHyphen/>
        <w:t>товили к отправке за 24 часа. Часть оборудования и материалов разбомбили. Гружёный товарный поезд, отправленный в город Ирбит Свердловской области, прибыл к месту назначения лишь через месяц [5.14]. Опережая грузы, первым в Ирбит добрался главный инженер ММЗ Ф.М. Ломанов. Вслед за ним приехали 30 ИТР завода, а вскоре ещё 120 человек различных специальностей и среди них была небольшая группа сотрудников Московского ар</w:t>
      </w:r>
      <w:r w:rsidRPr="00640820">
        <w:rPr>
          <w:rFonts w:ascii="Times New Roman" w:hAnsi="Times New Roman"/>
          <w:color w:val="000000" w:themeColor="text1"/>
          <w:sz w:val="16"/>
          <w:szCs w:val="16"/>
        </w:rPr>
        <w:softHyphen/>
        <w:t>матурного завода АТЭ-1. В октябре 1941 г. первым директором ор</w:t>
      </w:r>
      <w:r w:rsidRPr="00640820">
        <w:rPr>
          <w:rFonts w:ascii="Times New Roman" w:hAnsi="Times New Roman"/>
          <w:color w:val="000000" w:themeColor="text1"/>
          <w:sz w:val="16"/>
          <w:szCs w:val="16"/>
        </w:rPr>
        <w:softHyphen/>
        <w:t>ганизованного на новом месте предприятия, названного Ирбит-ским государственным мотоциклетным заводом (ИМЗ), назначили Ф.М. Ломанова. На этой должности он трудился до середины янва</w:t>
      </w:r>
      <w:r w:rsidRPr="00640820">
        <w:rPr>
          <w:rFonts w:ascii="Times New Roman" w:hAnsi="Times New Roman"/>
          <w:color w:val="000000" w:themeColor="text1"/>
          <w:sz w:val="16"/>
          <w:szCs w:val="16"/>
        </w:rPr>
        <w:softHyphen/>
        <w:t>ря 1942 г. [5.15]. Прибывших размещали в пустовавших помещени</w:t>
      </w:r>
      <w:r w:rsidRPr="00640820">
        <w:rPr>
          <w:rFonts w:ascii="Times New Roman" w:hAnsi="Times New Roman"/>
          <w:color w:val="000000" w:themeColor="text1"/>
          <w:sz w:val="16"/>
          <w:szCs w:val="16"/>
        </w:rPr>
        <w:softHyphen/>
        <w:t>ях второго этажа бывших торговых рядов, а приезжавших позже -в зрительном зале и подсобных комнатах кинотеатра «Луч» [5.16]. Постепенно всех расселили в частном жилищном секторе города. Производственное оборудование и материалы везли по же</w:t>
      </w:r>
      <w:r w:rsidRPr="00640820">
        <w:rPr>
          <w:rFonts w:ascii="Times New Roman" w:hAnsi="Times New Roman"/>
          <w:color w:val="000000" w:themeColor="text1"/>
          <w:sz w:val="16"/>
          <w:szCs w:val="16"/>
        </w:rPr>
        <w:softHyphen/>
        <w:t>лезной дороге больше месяца, и доставили в Ирбит лишь в дека</w:t>
      </w:r>
      <w:r w:rsidRPr="00640820">
        <w:rPr>
          <w:rFonts w:ascii="Times New Roman" w:hAnsi="Times New Roman"/>
          <w:color w:val="000000" w:themeColor="text1"/>
          <w:sz w:val="16"/>
          <w:szCs w:val="16"/>
        </w:rPr>
        <w:softHyphen/>
        <w:t>бре 1941 г. Уже стояли лютые морозы. Предстояло развернуть производство мотоциклов на площадях бывшего пивзавода. И ес</w:t>
      </w:r>
      <w:r w:rsidRPr="00640820">
        <w:rPr>
          <w:rFonts w:ascii="Times New Roman" w:hAnsi="Times New Roman"/>
          <w:color w:val="000000" w:themeColor="text1"/>
          <w:sz w:val="16"/>
          <w:szCs w:val="16"/>
        </w:rPr>
        <w:softHyphen/>
        <w:t>ли в Москве оборудование грузили с помощью подъёмных кра</w:t>
      </w:r>
      <w:r w:rsidRPr="00640820">
        <w:rPr>
          <w:rFonts w:ascii="Times New Roman" w:hAnsi="Times New Roman"/>
          <w:color w:val="000000" w:themeColor="text1"/>
          <w:sz w:val="16"/>
          <w:szCs w:val="16"/>
        </w:rPr>
        <w:softHyphen/>
        <w:t>нов и транспортёров, то в Ирбите станки, механизмы, энергети</w:t>
      </w:r>
      <w:r w:rsidRPr="00640820">
        <w:rPr>
          <w:rFonts w:ascii="Times New Roman" w:hAnsi="Times New Roman"/>
          <w:color w:val="000000" w:themeColor="text1"/>
          <w:sz w:val="16"/>
          <w:szCs w:val="16"/>
        </w:rPr>
        <w:softHyphen/>
        <w:t>ческое оборудование и «незавершенку» сгружали вручную по</w:t>
      </w:r>
      <w:r w:rsidRPr="00640820">
        <w:rPr>
          <w:rFonts w:ascii="Times New Roman" w:hAnsi="Times New Roman"/>
          <w:color w:val="000000" w:themeColor="text1"/>
          <w:sz w:val="16"/>
          <w:szCs w:val="16"/>
        </w:rPr>
        <w:softHyphen/>
        <w:t>скольку не было даже лебёдок [5.17]. Несмотря на все старания и упорство прибывших и местных жителей, привлечённых к работе на новом заводе, выпуск мото</w:t>
      </w:r>
      <w:r w:rsidRPr="00640820">
        <w:rPr>
          <w:rFonts w:ascii="Times New Roman" w:hAnsi="Times New Roman"/>
          <w:color w:val="000000" w:themeColor="text1"/>
          <w:sz w:val="16"/>
          <w:szCs w:val="16"/>
        </w:rPr>
        <w:softHyphen/>
        <w:t>циклов в 1941 г. освоить не удалось. Тем не менее, об организации ИМЗ уже знали далеко за пределами Свердловской области, и, как могли, помогали. Когда, согласно Постановлению государст</w:t>
      </w:r>
      <w:r w:rsidRPr="00640820">
        <w:rPr>
          <w:rFonts w:ascii="Times New Roman" w:hAnsi="Times New Roman"/>
          <w:color w:val="000000" w:themeColor="text1"/>
          <w:sz w:val="16"/>
          <w:szCs w:val="16"/>
        </w:rPr>
        <w:softHyphen/>
        <w:t>венного комитета обороны (ГКО) от 23 ноября 1941 г., ИжМЗ перевели в Народный комиссариат вооружения (НКВ), ему при</w:t>
      </w:r>
      <w:r w:rsidRPr="00640820">
        <w:rPr>
          <w:rFonts w:ascii="Times New Roman" w:hAnsi="Times New Roman"/>
          <w:color w:val="000000" w:themeColor="text1"/>
          <w:sz w:val="16"/>
          <w:szCs w:val="16"/>
        </w:rPr>
        <w:softHyphen/>
        <w:t>своили номер 524, и поручили организовать выпуск станковых пулемётов типа «Максим», руководство завода, узнав об ИМЗ, оказало ему техническую помощь. Всё имевшееся мотоциклет</w:t>
      </w:r>
      <w:r w:rsidRPr="00640820">
        <w:rPr>
          <w:rFonts w:ascii="Times New Roman" w:hAnsi="Times New Roman"/>
          <w:color w:val="000000" w:themeColor="text1"/>
          <w:sz w:val="16"/>
          <w:szCs w:val="16"/>
        </w:rPr>
        <w:softHyphen/>
        <w:t>ное технологическое оборудование, вместе с доставленной из Ки</w:t>
      </w:r>
      <w:r w:rsidRPr="00640820">
        <w:rPr>
          <w:rFonts w:ascii="Times New Roman" w:hAnsi="Times New Roman"/>
          <w:color w:val="000000" w:themeColor="text1"/>
          <w:sz w:val="16"/>
          <w:szCs w:val="16"/>
        </w:rPr>
        <w:softHyphen/>
        <w:t>ева в Ижевск с КМЗ аналогичной техникой, отправили на ИМЗ. При этом мотоциклостроение в Ижевске не исчезло. На основе технологического оборудования по выпуску мотоцепей, приве</w:t>
      </w:r>
      <w:r w:rsidRPr="00640820">
        <w:rPr>
          <w:rFonts w:ascii="Times New Roman" w:hAnsi="Times New Roman"/>
          <w:color w:val="000000" w:themeColor="text1"/>
          <w:sz w:val="16"/>
          <w:szCs w:val="16"/>
        </w:rPr>
        <w:softHyphen/>
        <w:t>зённого 4-6 октября 1941 г. с ХМЗ создали Ижевский завод мото</w:t>
      </w:r>
      <w:r w:rsidRPr="00640820">
        <w:rPr>
          <w:rFonts w:ascii="Times New Roman" w:hAnsi="Times New Roman"/>
          <w:color w:val="000000" w:themeColor="text1"/>
          <w:sz w:val="16"/>
          <w:szCs w:val="16"/>
        </w:rPr>
        <w:softHyphen/>
        <w:t>циклетных цепей (ИжЗМЦ), который развернули в недостроен</w:t>
      </w:r>
      <w:r w:rsidRPr="00640820">
        <w:rPr>
          <w:rFonts w:ascii="Times New Roman" w:hAnsi="Times New Roman"/>
          <w:color w:val="000000" w:themeColor="text1"/>
          <w:sz w:val="16"/>
          <w:szCs w:val="16"/>
        </w:rPr>
        <w:softHyphen/>
        <w:t>ном здании универмага на углу улиц К. Марка и Труда [5.18]. Это небольшое предприятие вступило в строй в начале 1942 года (11429).</w:t>
      </w:r>
    </w:p>
    <w:p w14:paraId="542EE8B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A200C8" w14:textId="77777777" w:rsidR="00F41DBA" w:rsidRPr="00640820" w:rsidRDefault="00F41DBA" w:rsidP="00640820">
      <w:pPr>
        <w:pStyle w:val="rtejustify"/>
        <w:shd w:val="clear" w:color="auto" w:fill="FFFFFF"/>
        <w:spacing w:before="0" w:after="0"/>
        <w:rPr>
          <w:color w:val="000000" w:themeColor="text1"/>
          <w:sz w:val="16"/>
          <w:szCs w:val="16"/>
        </w:rPr>
      </w:pPr>
      <w:r w:rsidRPr="00640820">
        <w:rPr>
          <w:color w:val="000000" w:themeColor="text1"/>
          <w:sz w:val="16"/>
          <w:szCs w:val="16"/>
        </w:rPr>
        <w:t>К середине октября 1941 г. большая часть ОИТК краев и областей отрапортовали о переводе своих предприятий на производство военной продукции. И везде наблюдалась похожая картина: в первую очередь колонии стремились найти местные источники сырья либо получить его непосредственно от заказчика. В зависимости от прежнего профиля предприятия находился и ассортимент продукции. Так, ИТК Грузинской ССР практически не пришлось перепрофилировать. Колонии, ранее выпускавшие кровати, полностью переключились на выпуск кроватей для госпиталей, упростив конструкцию изделия и убрав удорожающие его детали (никелировка, металлические украшения и др.). Швейные и шубные производства просто сменили «модельный ряд» и начали даже расширение производственных площадей (ГАРФ.</w:t>
      </w:r>
      <w:r w:rsidRPr="00640820">
        <w:rPr>
          <w:rStyle w:val="a7"/>
          <w:b w:val="0"/>
          <w:color w:val="000000" w:themeColor="text1"/>
          <w:sz w:val="16"/>
          <w:szCs w:val="16"/>
        </w:rPr>
        <w:t xml:space="preserve"> Ф.</w:t>
      </w:r>
      <w:r w:rsidRPr="00640820">
        <w:rPr>
          <w:color w:val="000000" w:themeColor="text1"/>
          <w:sz w:val="16"/>
          <w:szCs w:val="16"/>
        </w:rPr>
        <w:t xml:space="preserve"> 9414.</w:t>
      </w:r>
      <w:r w:rsidRPr="00640820">
        <w:rPr>
          <w:rStyle w:val="a7"/>
          <w:b w:val="0"/>
          <w:color w:val="000000" w:themeColor="text1"/>
          <w:sz w:val="16"/>
          <w:szCs w:val="16"/>
        </w:rPr>
        <w:t xml:space="preserve"> Оп.</w:t>
      </w:r>
      <w:r w:rsidRPr="00640820">
        <w:rPr>
          <w:color w:val="000000" w:themeColor="text1"/>
          <w:sz w:val="16"/>
          <w:szCs w:val="16"/>
        </w:rPr>
        <w:t xml:space="preserve"> 1. д. 1980. Л. 6.). Единственная сложность возникла у колоний, переводящихся на выпуск спецукупорки: в их распоряжении не оказалось подходящего сырья, попросту говоря, сосны. Для выполнения заказов «своего» Закавказского военного округа был найден весьма нетривиальный выход из положения: ящики для снарядов и мин стали изготовлять из бука, благо что этот сорт дерева имелся в достаточном количестве. Но поскольку поставки дерева из-за пределов республики организовать было сложно, в дальнейшем промпредприятиям ИТК республики заданий на спецукупорку не назначалось (ГАРФ.</w:t>
      </w:r>
      <w:r w:rsidRPr="00640820">
        <w:rPr>
          <w:rStyle w:val="a7"/>
          <w:b w:val="0"/>
          <w:color w:val="000000" w:themeColor="text1"/>
          <w:sz w:val="16"/>
          <w:szCs w:val="16"/>
        </w:rPr>
        <w:t xml:space="preserve"> Ф.</w:t>
      </w:r>
      <w:r w:rsidRPr="00640820">
        <w:rPr>
          <w:color w:val="000000" w:themeColor="text1"/>
          <w:sz w:val="16"/>
          <w:szCs w:val="16"/>
        </w:rPr>
        <w:t xml:space="preserve"> 9414.</w:t>
      </w:r>
      <w:r w:rsidRPr="00640820">
        <w:rPr>
          <w:rStyle w:val="a7"/>
          <w:b w:val="0"/>
          <w:color w:val="000000" w:themeColor="text1"/>
          <w:sz w:val="16"/>
          <w:szCs w:val="16"/>
        </w:rPr>
        <w:t xml:space="preserve"> Оп.</w:t>
      </w:r>
      <w:r w:rsidRPr="00640820">
        <w:rPr>
          <w:color w:val="000000" w:themeColor="text1"/>
          <w:sz w:val="16"/>
          <w:szCs w:val="16"/>
        </w:rPr>
        <w:t xml:space="preserve"> 1. д. 1980. Л. 6.). Большая часть продукции производилась по заказу командования ЗакВО. Представляется, что в связи с переключением основных усилий довольствующих управлений Наркомата обороны на снабжение действующей армии, во внутренних военных округах возник недостаток военного имущества, который и должно было восполнить производство ИТК НКВД. Имеющаяся в нашем распоряжении информация подтверждает данное предположение. Так, управление ИТЛ-ИТК по Хабаровскому краю с июня по октябрь 1941 г. исполняло следующие военные заказы:</w:t>
      </w:r>
    </w:p>
    <w:p w14:paraId="3004C5C2" w14:textId="77777777" w:rsidR="00F41DBA" w:rsidRPr="00640820" w:rsidRDefault="00F41DBA" w:rsidP="00640820">
      <w:pPr>
        <w:pStyle w:val="rtejustify"/>
        <w:shd w:val="clear" w:color="auto" w:fill="FFFFFF"/>
        <w:spacing w:before="0" w:after="0"/>
        <w:rPr>
          <w:color w:val="000000" w:themeColor="text1"/>
          <w:sz w:val="16"/>
          <w:szCs w:val="16"/>
        </w:rPr>
      </w:pPr>
      <w:r w:rsidRPr="00640820">
        <w:rPr>
          <w:color w:val="000000" w:themeColor="text1"/>
          <w:sz w:val="16"/>
          <w:szCs w:val="16"/>
        </w:rPr>
        <w:t>1) изготовление 30 тыс. пар лыж по договору с Вещевым отделом штаба Дальневосточного фронта;</w:t>
      </w:r>
    </w:p>
    <w:p w14:paraId="422379CB" w14:textId="77777777" w:rsidR="00F41DBA" w:rsidRPr="00640820" w:rsidRDefault="00F41DBA" w:rsidP="00640820">
      <w:pPr>
        <w:pStyle w:val="rtejustify"/>
        <w:shd w:val="clear" w:color="auto" w:fill="FFFFFF"/>
        <w:spacing w:before="0" w:after="0"/>
        <w:rPr>
          <w:color w:val="000000" w:themeColor="text1"/>
          <w:sz w:val="16"/>
          <w:szCs w:val="16"/>
        </w:rPr>
      </w:pPr>
      <w:r w:rsidRPr="00640820">
        <w:rPr>
          <w:color w:val="000000" w:themeColor="text1"/>
          <w:sz w:val="16"/>
          <w:szCs w:val="16"/>
        </w:rPr>
        <w:t xml:space="preserve">2) оборудование всего казарменного фонда фронта </w:t>
      </w:r>
      <w:r w:rsidRPr="00640820">
        <w:rPr>
          <w:rStyle w:val="a7"/>
          <w:b w:val="0"/>
          <w:color w:val="000000" w:themeColor="text1"/>
          <w:sz w:val="16"/>
          <w:szCs w:val="16"/>
        </w:rPr>
        <w:t>и</w:t>
      </w:r>
      <w:r w:rsidRPr="00640820">
        <w:rPr>
          <w:color w:val="000000" w:themeColor="text1"/>
          <w:sz w:val="16"/>
          <w:szCs w:val="16"/>
        </w:rPr>
        <w:t xml:space="preserve"> Амурской военной флотилии мебелью (столы, кровати, ружейные пирамиды и т.д.); кроме того, ремонт зимнего обмундирования, изготовление 8000 пожарных лестниц, заготовка газогенераторного топлива и т.д. Общая сумма заказов, выполняемых для Дальневосточного фронта, превышала 4 млн. руб. (ГАРФ.</w:t>
      </w:r>
      <w:r w:rsidRPr="00640820">
        <w:rPr>
          <w:rStyle w:val="a7"/>
          <w:b w:val="0"/>
          <w:color w:val="000000" w:themeColor="text1"/>
          <w:sz w:val="16"/>
          <w:szCs w:val="16"/>
        </w:rPr>
        <w:t xml:space="preserve"> Ф.</w:t>
      </w:r>
      <w:r w:rsidRPr="00640820">
        <w:rPr>
          <w:color w:val="000000" w:themeColor="text1"/>
          <w:sz w:val="16"/>
          <w:szCs w:val="16"/>
        </w:rPr>
        <w:t xml:space="preserve"> 9414.</w:t>
      </w:r>
      <w:r w:rsidRPr="00640820">
        <w:rPr>
          <w:rStyle w:val="a7"/>
          <w:b w:val="0"/>
          <w:color w:val="000000" w:themeColor="text1"/>
          <w:sz w:val="16"/>
          <w:szCs w:val="16"/>
        </w:rPr>
        <w:t xml:space="preserve"> Оп.</w:t>
      </w:r>
      <w:r w:rsidRPr="00640820">
        <w:rPr>
          <w:color w:val="000000" w:themeColor="text1"/>
          <w:sz w:val="16"/>
          <w:szCs w:val="16"/>
        </w:rPr>
        <w:t xml:space="preserve"> 1. д. 1980. Л. 6.). В октябре 1941 г. к ранее полученным заказам прибавились задания на изготовление кузовов и обортовки для автомобилей, палаточных кольев </w:t>
      </w:r>
      <w:r w:rsidRPr="00640820">
        <w:rPr>
          <w:rStyle w:val="a7"/>
          <w:b w:val="0"/>
          <w:color w:val="000000" w:themeColor="text1"/>
          <w:sz w:val="16"/>
          <w:szCs w:val="16"/>
        </w:rPr>
        <w:t>и</w:t>
      </w:r>
      <w:r w:rsidRPr="00640820">
        <w:rPr>
          <w:color w:val="000000" w:themeColor="text1"/>
          <w:sz w:val="16"/>
          <w:szCs w:val="16"/>
        </w:rPr>
        <w:t xml:space="preserve"> лагерного снаряжения. При приеме заказов особое внимание обращалось на наличие местного сырья и на возможности станочного парка ИТК. Часть комплектующих должна была поставляться заказчиком, что оговаривалось в каждом конкретном случае. С поставкой иногда возникали сложности, но в целом промышленные предприятия НКВД оказали существенную помощь в снабжении Дальневосточного фронта, Амурской военной флотилии и местных команд МПВО военным имуществом. В частности, производство противопожарного инвентаря было налажено </w:t>
      </w:r>
      <w:r w:rsidRPr="00640820">
        <w:rPr>
          <w:rStyle w:val="a7"/>
          <w:b w:val="0"/>
          <w:color w:val="000000" w:themeColor="text1"/>
          <w:sz w:val="16"/>
          <w:szCs w:val="16"/>
        </w:rPr>
        <w:t>в</w:t>
      </w:r>
      <w:r w:rsidRPr="00640820">
        <w:rPr>
          <w:color w:val="000000" w:themeColor="text1"/>
          <w:sz w:val="16"/>
          <w:szCs w:val="16"/>
        </w:rPr>
        <w:t xml:space="preserve"> Хабаровском крае заново. До войны весь инвентарь поставлялся из Краснодара. Наряду с ОИТК по Хабаровскому краю, помощь Дальневосточному фронту оказывал и Даль- лаг НКВД. Он принял заказ на изготовление мебели для казарм на сумму почти 2 млн. руб., а также на ремонт обмундирования для погранвойск НКВД еще на 900 тыс. руб. (ГАРФ.</w:t>
      </w:r>
      <w:r w:rsidRPr="00640820">
        <w:rPr>
          <w:rStyle w:val="a7"/>
          <w:b w:val="0"/>
          <w:color w:val="000000" w:themeColor="text1"/>
          <w:sz w:val="16"/>
          <w:szCs w:val="16"/>
        </w:rPr>
        <w:t xml:space="preserve"> Ф.</w:t>
      </w:r>
      <w:r w:rsidRPr="00640820">
        <w:rPr>
          <w:color w:val="000000" w:themeColor="text1"/>
          <w:sz w:val="16"/>
          <w:szCs w:val="16"/>
        </w:rPr>
        <w:t xml:space="preserve"> 9414.</w:t>
      </w:r>
      <w:r w:rsidRPr="00640820">
        <w:rPr>
          <w:rStyle w:val="a7"/>
          <w:b w:val="0"/>
          <w:color w:val="000000" w:themeColor="text1"/>
          <w:sz w:val="16"/>
          <w:szCs w:val="16"/>
        </w:rPr>
        <w:t xml:space="preserve"> Оп.</w:t>
      </w:r>
      <w:r w:rsidRPr="00640820">
        <w:rPr>
          <w:color w:val="000000" w:themeColor="text1"/>
          <w:sz w:val="16"/>
          <w:szCs w:val="16"/>
        </w:rPr>
        <w:t xml:space="preserve"> 1. д. 1980. Л. 6.).</w:t>
      </w:r>
    </w:p>
    <w:p w14:paraId="6604442D" w14:textId="77777777" w:rsidR="00F41DBA" w:rsidRPr="00640820" w:rsidRDefault="00F41DBA" w:rsidP="00640820">
      <w:pPr>
        <w:pStyle w:val="rtejustify"/>
        <w:shd w:val="clear" w:color="auto" w:fill="FFFFFF"/>
        <w:spacing w:before="0" w:after="0"/>
        <w:rPr>
          <w:color w:val="000000" w:themeColor="text1"/>
          <w:sz w:val="16"/>
          <w:szCs w:val="16"/>
        </w:rPr>
      </w:pPr>
      <w:r w:rsidRPr="00640820">
        <w:rPr>
          <w:color w:val="000000" w:themeColor="text1"/>
          <w:sz w:val="16"/>
          <w:szCs w:val="16"/>
        </w:rPr>
        <w:t>Схожее положение существовало и в других регионах. ИТК и ИТЛ Красноярского края к октябрю 1941 г. полностью переключились на выпуск спецукупорки и лыж. Красноярская колония №1 к октябрю вышла на проектную мощность 200 пар лыж в день</w:t>
      </w:r>
      <w:r w:rsidRPr="00640820">
        <w:rPr>
          <w:color w:val="000000" w:themeColor="text1"/>
          <w:sz w:val="16"/>
          <w:szCs w:val="16"/>
          <w:vertAlign w:val="superscript"/>
        </w:rPr>
        <w:t>[291]</w:t>
      </w:r>
      <w:r w:rsidRPr="00640820">
        <w:rPr>
          <w:color w:val="000000" w:themeColor="text1"/>
          <w:sz w:val="16"/>
          <w:szCs w:val="16"/>
        </w:rPr>
        <w:t>. Сталинградская ИТК №2, крупнейшая в области, с июня по октябрь 1941 г. выпустила 133690 комплектов, 89 тыс. из которых предназначались для упаковки изделий Сталинградского тракторного завода (ГАРФ. Ф. 9414. Оп. 1. Д 1980. Л. 34.). ОИТК НКВД Казахской ССР развернул в двух ИТК выпуск обозного имущества и принял заказ на пошив обмундирования и производство валенок. ИТК Северо- Осетинской АССР, прекратив производство мебели и паркета, переключились на выпуск автомобильных кузовов, госпитального оборудования и мебели для местных гарнизонов и военных училищ</w:t>
      </w:r>
      <w:r w:rsidRPr="00640820">
        <w:rPr>
          <w:color w:val="000000" w:themeColor="text1"/>
          <w:sz w:val="16"/>
          <w:szCs w:val="16"/>
          <w:vertAlign w:val="superscript"/>
        </w:rPr>
        <w:t>[293]</w:t>
      </w:r>
      <w:r w:rsidRPr="00640820">
        <w:rPr>
          <w:color w:val="000000" w:themeColor="text1"/>
          <w:sz w:val="16"/>
          <w:szCs w:val="16"/>
        </w:rPr>
        <w:t xml:space="preserve">. Исправительно-трудовые учреждения Азербайджанской ССР, располагающие довольно хорошим станочным парком, приняли заказ на изготовление большой номенклатуры предметов вещевого снабжения. Только ИТПК №1 приняла от командования ЗакВО заказ на производство 24 тыс. котелков, 156 полевых кухонь, тысячи армейских термосов, тысячи пищевых котлов, трех тысяч хлебных форм. Для квартирмейстерской части штаба округа ИТПК №2 выполняла заказ на изготовление 1000 разборно-щитовых домиков. В мощный цех оборонной продукции превратились ИТК Татарской АССР. С июня по конец сентября 1941 г. они произвели оборонной продукции на сумму свыше 4,8 млн. руб. В октябре было выпущено оборонной продукции на сумму в 2,4 млн. руб., что составило 36% от суммы товарной продукции всей промышленности НКВД республики (ГАРФ. Ф. 9419. Оп. 1. Д. 1980. Л. 25.). ИТК №1 по договору </w:t>
      </w:r>
      <w:r w:rsidRPr="00640820">
        <w:rPr>
          <w:rStyle w:val="a7"/>
          <w:b w:val="0"/>
          <w:color w:val="000000" w:themeColor="text1"/>
          <w:sz w:val="16"/>
          <w:szCs w:val="16"/>
        </w:rPr>
        <w:t>с</w:t>
      </w:r>
      <w:r w:rsidRPr="00640820">
        <w:rPr>
          <w:color w:val="000000" w:themeColor="text1"/>
          <w:sz w:val="16"/>
          <w:szCs w:val="16"/>
        </w:rPr>
        <w:t xml:space="preserve"> заводом № 27 НКАП, приступила в октябре к выпуску насосов и помп для авиационных моторов. На производство других колоний ставились укороченные лодки-волокуши (УЛВ) для войск связи РККА</w:t>
      </w:r>
      <w:r w:rsidRPr="00640820">
        <w:rPr>
          <w:color w:val="000000" w:themeColor="text1"/>
          <w:sz w:val="16"/>
          <w:szCs w:val="16"/>
          <w:vertAlign w:val="superscript"/>
        </w:rPr>
        <w:t>[296]</w:t>
      </w:r>
      <w:r w:rsidRPr="00640820">
        <w:rPr>
          <w:color w:val="000000" w:themeColor="text1"/>
          <w:sz w:val="16"/>
          <w:szCs w:val="16"/>
        </w:rPr>
        <w:t>. Кроме этого, 5 ИТК республики изготавливали по разовым заказам либо на основе постоянных договоров госпитальную и казарменную мебель, шинельные и ружейные ремни, лыжи, лыжные палки, белье, зимнюю одежду. ОИТК Рязанской области изготавливал преимущественно спецукупорку и имущество для госпиталей: кровати, перевязочные столы, табуреты, носилки, медицинские халаты. Саратовские трудколонии, имевшие металлообрабатывающее оборудование, принимали заказы на обозное имущество, металлическую фурнитуру для шорного производства, саперные и обычные лопаты. В Узбекской ССР колонии стали основным поставщиком нового обмундирования и подрядчиком по ремонту старого для войск Среднеазиатского военного округа (15473).</w:t>
      </w:r>
    </w:p>
    <w:p w14:paraId="4CB84D9C" w14:textId="77777777" w:rsidR="00F41DBA" w:rsidRPr="00640820" w:rsidRDefault="00F41DBA" w:rsidP="00640820">
      <w:pPr>
        <w:pStyle w:val="rtejustify"/>
        <w:shd w:val="clear" w:color="auto" w:fill="FFFFFF"/>
        <w:spacing w:before="0" w:after="0"/>
        <w:rPr>
          <w:color w:val="000000" w:themeColor="text1"/>
          <w:sz w:val="16"/>
          <w:szCs w:val="16"/>
        </w:rPr>
      </w:pPr>
    </w:p>
    <w:p w14:paraId="55863CA7"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lastRenderedPageBreak/>
        <w:t>Армия:</w:t>
      </w:r>
    </w:p>
    <w:p w14:paraId="19D1AA7D"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B862C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середине октября 1941 Ил-4 сбрасывали боеприпасы, продовольствие и медикаменты частям Красной армии, окруженным под Вязьмой. ДБ-3 могли нести грузовые мешки ПДММ и баки ПДББ на наружных бомбодержателях. Все это могло быть сброшено с парашютами. При возможности сесть в месте назначения груз также укладывали на временном деревянном помосте в бомбоотсе- ке. Бомбардировщик мог также взять до семи пассажиров (12021).</w:t>
      </w:r>
    </w:p>
    <w:p w14:paraId="0561CD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61A3FC1" w14:textId="77777777" w:rsidR="001071C3" w:rsidRPr="00640820" w:rsidRDefault="001071C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середине октября 1941 ДБ-3 применялись для снабжения окруженной в районе Вязьмы группировки РККА. Как правило, самолеты доставляли на наружных подве</w:t>
      </w:r>
      <w:r w:rsidRPr="00640820">
        <w:rPr>
          <w:rFonts w:ascii="Times New Roman" w:hAnsi="Times New Roman"/>
          <w:color w:val="0070C0"/>
          <w:sz w:val="16"/>
          <w:szCs w:val="16"/>
        </w:rPr>
        <w:softHyphen/>
        <w:t>сках сбрасываемые парашютные мешки ПДММ или топливные баки ПДББ. Если существовала возможность посадки, то груз размещали и в бомбоотсеке. При не</w:t>
      </w:r>
      <w:r w:rsidRPr="00640820">
        <w:rPr>
          <w:rFonts w:ascii="Times New Roman" w:hAnsi="Times New Roman"/>
          <w:color w:val="0070C0"/>
          <w:sz w:val="16"/>
          <w:szCs w:val="16"/>
        </w:rPr>
        <w:softHyphen/>
        <w:t>обходимости вместо него в фюзеляж можно было взять до семи пассажиров (19944).</w:t>
      </w:r>
    </w:p>
    <w:p w14:paraId="780CB730" w14:textId="77777777" w:rsidR="001071C3" w:rsidRPr="00640820" w:rsidRDefault="001071C3" w:rsidP="00640820">
      <w:pPr>
        <w:spacing w:after="0" w:line="240" w:lineRule="auto"/>
        <w:jc w:val="both"/>
        <w:rPr>
          <w:rFonts w:ascii="Times New Roman" w:hAnsi="Times New Roman"/>
          <w:color w:val="0070C0"/>
          <w:sz w:val="16"/>
          <w:szCs w:val="16"/>
        </w:rPr>
      </w:pPr>
    </w:p>
    <w:p w14:paraId="1424B4A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середине октября 1941 года количество Т-34 в танковых частях Западного фронта значительно возросло, и к 16 октября из 582 имевшихся боевых машин тридцатьчетверки составляли 42% (244 машины, включая находившиеся в ремонте). Связано это было с тем, что большую часть новых танков с заводов направляли в части, действовавшие под Москвой. Тяжелые бои и недостатки в использовании танков вели к тому, что удельный вес Т-34 постоянно сокращался. Так, на 28 октября их число сократилось, составляя около 36,5% (152 машины, включая находившиеся в ремонте) из 416 танков Западного фронта, на 7 ноября - уже 25% (149 из 592), на 15 ноября - 18,3% (181 машина из 988), на 22 ноября 24,8% (212 из 852) (12217).</w:t>
      </w:r>
    </w:p>
    <w:p w14:paraId="5F33BBDE"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5EBB12E1" w14:textId="77777777" w:rsidR="00F41DBA" w:rsidRPr="00640820" w:rsidRDefault="00F41DB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середине октября 1941, у Таганрога, танками и авиацией немцев были разбиты три бронепоезда 8-го отдельного дивизиона – №14, 45 и 59 (15218).</w:t>
      </w:r>
    </w:p>
    <w:p w14:paraId="49D03CC5" w14:textId="77777777" w:rsidR="00F41DBA" w:rsidRPr="00640820" w:rsidRDefault="00F41DBA" w:rsidP="00640820">
      <w:pPr>
        <w:spacing w:after="0" w:line="240" w:lineRule="auto"/>
        <w:jc w:val="both"/>
        <w:rPr>
          <w:rFonts w:ascii="Times New Roman" w:hAnsi="Times New Roman"/>
          <w:color w:val="000000" w:themeColor="text1"/>
          <w:sz w:val="16"/>
          <w:szCs w:val="16"/>
        </w:rPr>
      </w:pPr>
    </w:p>
    <w:p w14:paraId="52E5371E" w14:textId="77777777" w:rsidR="001071C3" w:rsidRPr="00640820" w:rsidRDefault="001071C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shd w:val="clear" w:color="auto" w:fill="FFFFFF"/>
        </w:rPr>
        <w:t>В середине октября 1941 года, когда передовые части 6-й гитлеровской армии уже вели бои на подступах к Харькову, в подвале большого административного здания на улице Дзержинского саперы старшего сержанта Н. Сергеева из оперативно-инженерной группы И.Г. Старинова на глубине пяти метров установили мощный фугас с прибором Ф-10. А для того, чтобы ввести гитлеровцев в заблуждение, сверху на глубине двух метров поставили обычную мину замедленного действия. Вот как впоследствии рассказывал об этом: «Уже 3 октября я получил новый приказ: поставить радиомину в доме № 17 по улице Дзержинского. Этот дом – особняк, выстроенный в начале тридцатых годов для секретаря ЦК КП(б)У Станислава Викентьевича Косиора, был впоследствии передан детскому дому, и теперь, после эвакуации детского сада, его снимали некоторые руководители партии и правительства УССР. Поскольку в доме жили и работали, я ограничился осмотром особняка с улицы и прикинул, сколько взрывчатки потребуется для полного его разрушения. После седьмого числа мы поставили радиомины в здании штаба военного округа, на Холодногорском и Усовском путепроводах, кое-где еще. В разное время саперы делали вид, что оборудуют дзоты и убежища, а по ночам в мешках, бутылях, патронных ящиках завозили на объекты взрывчатку, укладывали глубоко в землю и устанавливали сложные радиоаппараты, снабжая их взрывателями и замыкателями, обеспечивающими немедленный взрыв зарядов при обнаружении мины противником (22290).</w:t>
      </w:r>
    </w:p>
    <w:p w14:paraId="3E80656C" w14:textId="77777777" w:rsidR="001071C3" w:rsidRPr="00640820" w:rsidRDefault="001071C3" w:rsidP="00640820">
      <w:pPr>
        <w:spacing w:after="0" w:line="240" w:lineRule="auto"/>
        <w:jc w:val="both"/>
        <w:rPr>
          <w:rFonts w:ascii="Times New Roman" w:hAnsi="Times New Roman"/>
          <w:color w:val="0070C0"/>
          <w:sz w:val="16"/>
          <w:szCs w:val="16"/>
        </w:rPr>
      </w:pPr>
    </w:p>
    <w:p w14:paraId="54B83525"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39DBB5A4"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CD42F51" w14:textId="77777777" w:rsidR="00F41DBA" w:rsidRPr="00640820" w:rsidRDefault="00F41DBA"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16-19 октября 1941 ОКБ С.В.И. было эвакуировано из Москвы на 18 завод в Куйбышев (3846,15).</w:t>
      </w:r>
    </w:p>
    <w:p w14:paraId="33280EFE" w14:textId="77777777" w:rsidR="00F41DBA" w:rsidRPr="00640820" w:rsidRDefault="00F41DBA" w:rsidP="00640820">
      <w:pPr>
        <w:autoSpaceDE w:val="0"/>
        <w:autoSpaceDN w:val="0"/>
        <w:adjustRightInd w:val="0"/>
        <w:spacing w:after="0" w:line="240" w:lineRule="auto"/>
        <w:jc w:val="both"/>
        <w:rPr>
          <w:rFonts w:ascii="Times New Roman" w:hAnsi="Times New Roman"/>
          <w:color w:val="000000" w:themeColor="text1"/>
          <w:sz w:val="16"/>
          <w:szCs w:val="16"/>
        </w:rPr>
      </w:pPr>
    </w:p>
    <w:p w14:paraId="22D3F493" w14:textId="77777777" w:rsidR="00595859" w:rsidRPr="00640820" w:rsidRDefault="00595859" w:rsidP="00640820">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16 октября 1941 года летчик-испытатель И.И. Шелест выполнил первый полет ДБ-3УПС, имея на борту 11 сотрудниц ЛИИ и грудного ребенка, которые эвакуировались из Москвы в Казань.</w:t>
      </w:r>
    </w:p>
    <w:p w14:paraId="385A7E20" w14:textId="77777777" w:rsidR="00595859" w:rsidRPr="00640820" w:rsidRDefault="00595859" w:rsidP="00640820">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Для исследования вопроса улучшении взлета и сокращении пробега самолетов ЦАГИ было поручено изготовить и передать в ЛИИ на летные испытания самолет ДБ-3 с отсосом и сдувом пограничного слоя. К концу лета эти работы были выполнены под руководством А.А. Сенькова. Самолет ДБ-3УПС стал первой летающей лабораторией ЛИИ. Вместо имевшихся на серийном самолете простых посадочных щитков были установлены закрылки, с верхней поверхности которых через специальные щели мог отсасываться пограничный слой. Обычные элероны ДБ-3 переделали в элероны-закрылки, с их верхней поверхности также отсасывался пограничный слой. Положение щелей для отсасывания воздуха по хорде закрылков и элеронов-закрылков могло варьироваться. Обычный носок крыла был заменен на носок с щелью для сдувания пограничного слоя. Отсос пограничного слоя с закрылков и его сдув с носка крыла обеспечивались автомобильным двигателем ЗиС-101A мощностью 116 л.с., установленным в бомбоотсеке самолета. Этот двигатель вращал двухступенчатый вентилятор, который трубопроводами соединялся со щелями сдува и отсоса пограничного слоя. При отсасывании воздух поступал в фюзеляж и выбрасывался наружу через жалюзи с регулируемыми щелями по бортам фюзеляжа. Для получения полной картины распределения давления на левом крыле были сделаны небольшие отверстия (дренаж), через которые величины давления с помощью трубок передавались на измерительный прибор. Экспериментальное оборудование размещалось в кабине штурмана. Экипаж самолета состоял из четырех человек: пилота и трех экспериментаторов — двух в кабине штурмана и одного — в кабине стрелка.</w:t>
      </w:r>
    </w:p>
    <w:p w14:paraId="02A5597C" w14:textId="77777777" w:rsidR="00595859" w:rsidRPr="00640820" w:rsidRDefault="00595859" w:rsidP="00640820">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Полеты по испытательной программе проводились в Казани уже в 1942 году. Их выполнял летчик-испытатель В.А. Олиферко, ведущим инженером от ЦАГИ был Я.Г. Виленский, а ведущим инженером от ЛИИ — С.Б. Брен. Испытания позволили сделать вывод, что отсасывание пограничного слоя снижает минимальную скорость планирования на 16 км/ч при обслуживании системой отсоса 33% общей площади крыла. Кроме того, система управления пограничным слоем позволила самолету сохранять управляемость до скорости 133 км/ч, в то время как без нее ДБ-3 имел минимальную эволютивную скорость 147 км/ч. Отмечалось также, что применение данной системы в полете не вызывает каких-либо нежелательных или опасных явлений. Это были первые в СССР натурные исследования системы управления пограничным слоем (19569).</w:t>
      </w:r>
    </w:p>
    <w:p w14:paraId="1C66A4F1" w14:textId="77777777" w:rsidR="00595859" w:rsidRPr="00640820" w:rsidRDefault="00595859" w:rsidP="00640820">
      <w:pPr>
        <w:spacing w:after="0" w:line="240" w:lineRule="auto"/>
        <w:jc w:val="both"/>
        <w:rPr>
          <w:rFonts w:ascii="Times New Roman" w:hAnsi="Times New Roman"/>
          <w:color w:val="000000" w:themeColor="text1"/>
          <w:sz w:val="16"/>
          <w:szCs w:val="16"/>
        </w:rPr>
      </w:pPr>
    </w:p>
    <w:p w14:paraId="6A478880" w14:textId="77777777" w:rsidR="001071C3" w:rsidRPr="00640820" w:rsidRDefault="001071C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16 октября 1941 г. состоялся первый полет ДБ-ЗУПС (встречается и обозначение УПС-ДБ). К тому времени немцы близко по</w:t>
      </w:r>
      <w:r w:rsidRPr="00640820">
        <w:rPr>
          <w:rFonts w:ascii="Times New Roman" w:hAnsi="Times New Roman"/>
          <w:color w:val="0070C0"/>
          <w:sz w:val="16"/>
          <w:szCs w:val="16"/>
        </w:rPr>
        <w:softHyphen/>
        <w:t>дошли к Москве, и в городе было объявле</w:t>
      </w:r>
      <w:r w:rsidRPr="00640820">
        <w:rPr>
          <w:rFonts w:ascii="Times New Roman" w:hAnsi="Times New Roman"/>
          <w:color w:val="0070C0"/>
          <w:sz w:val="16"/>
          <w:szCs w:val="16"/>
        </w:rPr>
        <w:softHyphen/>
        <w:t>но осадное положение. Из ЛИИ продолжа</w:t>
      </w:r>
      <w:r w:rsidRPr="00640820">
        <w:rPr>
          <w:rFonts w:ascii="Times New Roman" w:hAnsi="Times New Roman"/>
          <w:color w:val="0070C0"/>
          <w:sz w:val="16"/>
          <w:szCs w:val="16"/>
        </w:rPr>
        <w:softHyphen/>
        <w:t>лась эвакуация сотрудников и экспери</w:t>
      </w:r>
      <w:r w:rsidRPr="00640820">
        <w:rPr>
          <w:rFonts w:ascii="Times New Roman" w:hAnsi="Times New Roman"/>
          <w:color w:val="0070C0"/>
          <w:sz w:val="16"/>
          <w:szCs w:val="16"/>
        </w:rPr>
        <w:softHyphen/>
        <w:t>ментальной техники. Дошла очередь и до еще не летавшего УПС. 16 октября летчик- испытатель И.И. Шелест получил задание перегнать самолет в Казань. И не просто перегнать, а попутно эвакуировать 11 со</w:t>
      </w:r>
      <w:r w:rsidRPr="00640820">
        <w:rPr>
          <w:rFonts w:ascii="Times New Roman" w:hAnsi="Times New Roman"/>
          <w:color w:val="0070C0"/>
          <w:sz w:val="16"/>
          <w:szCs w:val="16"/>
        </w:rPr>
        <w:softHyphen/>
        <w:t>трудниц института с грудным ребенком. Он вспоминал:</w:t>
      </w:r>
      <w:r w:rsidRPr="00640820">
        <w:rPr>
          <w:rStyle w:val="2a"/>
          <w:rFonts w:ascii="Times New Roman" w:eastAsiaTheme="minorHAnsi" w:hAnsi="Times New Roman" w:cs="Times New Roman"/>
          <w:color w:val="0070C0"/>
          <w:sz w:val="16"/>
          <w:szCs w:val="16"/>
        </w:rPr>
        <w:t xml:space="preserve"> «Рассадить пассажирок удалось с большим трудом — у каждой в руках оказался какой-нибудь узелок. У одной даже был патефон... Первая попыт</w:t>
      </w:r>
      <w:r w:rsidRPr="00640820">
        <w:rPr>
          <w:rStyle w:val="2a"/>
          <w:rFonts w:ascii="Times New Roman" w:eastAsiaTheme="minorHAnsi" w:hAnsi="Times New Roman" w:cs="Times New Roman"/>
          <w:color w:val="0070C0"/>
          <w:sz w:val="16"/>
          <w:szCs w:val="16"/>
        </w:rPr>
        <w:softHyphen/>
        <w:t>ка взлететь не удалась. Начав разбег, я почувствовал нежелание самолета при</w:t>
      </w:r>
      <w:r w:rsidRPr="00640820">
        <w:rPr>
          <w:rStyle w:val="2a"/>
          <w:rFonts w:ascii="Times New Roman" w:eastAsiaTheme="minorHAnsi" w:hAnsi="Times New Roman" w:cs="Times New Roman"/>
          <w:color w:val="0070C0"/>
          <w:sz w:val="16"/>
          <w:szCs w:val="16"/>
        </w:rPr>
        <w:softHyphen/>
        <w:t>поднять хвост и сильное стремление раз</w:t>
      </w:r>
      <w:r w:rsidRPr="00640820">
        <w:rPr>
          <w:rStyle w:val="2a"/>
          <w:rFonts w:ascii="Times New Roman" w:eastAsiaTheme="minorHAnsi" w:hAnsi="Times New Roman" w:cs="Times New Roman"/>
          <w:color w:val="0070C0"/>
          <w:sz w:val="16"/>
          <w:szCs w:val="16"/>
        </w:rPr>
        <w:softHyphen/>
        <w:t>вернуться вправо. ... Пришлось зарулить на старт снова. Снова пойдя на взлет, пер</w:t>
      </w:r>
      <w:r w:rsidRPr="00640820">
        <w:rPr>
          <w:rStyle w:val="2a"/>
          <w:rFonts w:ascii="Times New Roman" w:eastAsiaTheme="minorHAnsi" w:hAnsi="Times New Roman" w:cs="Times New Roman"/>
          <w:color w:val="0070C0"/>
          <w:sz w:val="16"/>
          <w:szCs w:val="16"/>
        </w:rPr>
        <w:softHyphen/>
        <w:t>вую половину разбега почти с убранным левым мотором, при полном газе правого. Так мне удалось удержать самолет от раз</w:t>
      </w:r>
      <w:r w:rsidRPr="00640820">
        <w:rPr>
          <w:rStyle w:val="2a"/>
          <w:rFonts w:ascii="Times New Roman" w:eastAsiaTheme="minorHAnsi" w:hAnsi="Times New Roman" w:cs="Times New Roman"/>
          <w:color w:val="0070C0"/>
          <w:sz w:val="16"/>
          <w:szCs w:val="16"/>
        </w:rPr>
        <w:softHyphen/>
        <w:t>ворота. Он приподнял хвост и, пробежав еще немного, оторвался. Я сделал круг, не поднимаясь выше двухсот метров».</w:t>
      </w:r>
    </w:p>
    <w:p w14:paraId="554C925B" w14:textId="77777777" w:rsidR="001071C3" w:rsidRPr="00640820" w:rsidRDefault="001071C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Поскольку приказ ПВО ограничивал высоту полета полусотней метров, Ше</w:t>
      </w:r>
      <w:r w:rsidRPr="00640820">
        <w:rPr>
          <w:rFonts w:ascii="Times New Roman" w:hAnsi="Times New Roman"/>
          <w:color w:val="0070C0"/>
          <w:sz w:val="16"/>
          <w:szCs w:val="16"/>
        </w:rPr>
        <w:softHyphen/>
        <w:t>лесту пришлось идти едва ли не по вер</w:t>
      </w:r>
      <w:r w:rsidRPr="00640820">
        <w:rPr>
          <w:rFonts w:ascii="Times New Roman" w:hAnsi="Times New Roman"/>
          <w:color w:val="0070C0"/>
          <w:sz w:val="16"/>
          <w:szCs w:val="16"/>
        </w:rPr>
        <w:softHyphen/>
        <w:t>хушкам деревьев на скорости порядка 300 км/ч.</w:t>
      </w:r>
      <w:r w:rsidRPr="00640820">
        <w:rPr>
          <w:rStyle w:val="aff5"/>
          <w:rFonts w:ascii="Times New Roman" w:hAnsi="Times New Roman" w:cs="Times New Roman"/>
          <w:color w:val="0070C0"/>
        </w:rPr>
        <w:t xml:space="preserve"> «Внезапно у моей головы мель</w:t>
      </w:r>
      <w:r w:rsidRPr="00640820">
        <w:rPr>
          <w:rStyle w:val="aff5"/>
          <w:rFonts w:ascii="Times New Roman" w:hAnsi="Times New Roman" w:cs="Times New Roman"/>
          <w:color w:val="0070C0"/>
        </w:rPr>
        <w:softHyphen/>
        <w:t>кнул какой-то предмет. Почти одновре</w:t>
      </w:r>
      <w:r w:rsidRPr="00640820">
        <w:rPr>
          <w:rStyle w:val="aff5"/>
          <w:rFonts w:ascii="Times New Roman" w:hAnsi="Times New Roman" w:cs="Times New Roman"/>
          <w:color w:val="0070C0"/>
        </w:rPr>
        <w:softHyphen/>
        <w:t>менно по хвосту самолета что-то ударило. Секундой позже до меня дошло, что со</w:t>
      </w:r>
      <w:r w:rsidRPr="00640820">
        <w:rPr>
          <w:rStyle w:val="aff5"/>
          <w:rFonts w:ascii="Times New Roman" w:hAnsi="Times New Roman" w:cs="Times New Roman"/>
          <w:color w:val="0070C0"/>
        </w:rPr>
        <w:softHyphen/>
        <w:t>рвало фонарь с кабины. В кабину будто влетел смерч — задуло, раскрутило пото</w:t>
      </w:r>
      <w:r w:rsidRPr="00640820">
        <w:rPr>
          <w:rStyle w:val="aff5"/>
          <w:rFonts w:ascii="Times New Roman" w:hAnsi="Times New Roman" w:cs="Times New Roman"/>
          <w:color w:val="0070C0"/>
        </w:rPr>
        <w:softHyphen/>
        <w:t>ком. Даже поднялась песчаная пыль. Уши заложило от шума».</w:t>
      </w:r>
      <w:r w:rsidRPr="00640820">
        <w:rPr>
          <w:rFonts w:ascii="Times New Roman" w:hAnsi="Times New Roman"/>
          <w:color w:val="0070C0"/>
          <w:sz w:val="16"/>
          <w:szCs w:val="16"/>
        </w:rPr>
        <w:t xml:space="preserve"> Тем не менее Шелесту удалось успешно долететь до Казани, од</w:t>
      </w:r>
      <w:r w:rsidRPr="00640820">
        <w:rPr>
          <w:rFonts w:ascii="Times New Roman" w:hAnsi="Times New Roman"/>
          <w:color w:val="0070C0"/>
          <w:sz w:val="16"/>
          <w:szCs w:val="16"/>
        </w:rPr>
        <w:softHyphen/>
        <w:t>нако во время захода на посадку самолет едва не разбился из-за отказа в системе управления. Но и в этот раз мастерство летчика-испытателя позволило избежать катастрофы и благополучно завершить полет.</w:t>
      </w:r>
    </w:p>
    <w:p w14:paraId="7597908F" w14:textId="77777777" w:rsidR="001071C3" w:rsidRPr="00640820" w:rsidRDefault="001071C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Дефект устранили, и в 1942 г. на маши</w:t>
      </w:r>
      <w:r w:rsidRPr="00640820">
        <w:rPr>
          <w:rFonts w:ascii="Times New Roman" w:hAnsi="Times New Roman"/>
          <w:color w:val="0070C0"/>
          <w:sz w:val="16"/>
          <w:szCs w:val="16"/>
        </w:rPr>
        <w:softHyphen/>
        <w:t>не были выполнены исследовательские полеты. В частности, они показали, что при включенной системе УПС скорость планирования уменьшилась на 16 км/ч. Каких-либо опасных явлений при работе системы не возникало (19944).</w:t>
      </w:r>
    </w:p>
    <w:p w14:paraId="5291C68B" w14:textId="77777777" w:rsidR="001071C3" w:rsidRPr="00640820" w:rsidRDefault="001071C3" w:rsidP="00640820">
      <w:pPr>
        <w:spacing w:after="0" w:line="240" w:lineRule="auto"/>
        <w:jc w:val="both"/>
        <w:rPr>
          <w:rFonts w:ascii="Times New Roman" w:hAnsi="Times New Roman"/>
          <w:color w:val="0070C0"/>
          <w:sz w:val="16"/>
          <w:szCs w:val="16"/>
        </w:rPr>
      </w:pPr>
    </w:p>
    <w:p w14:paraId="28D282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октября 1941 С.Шестаков с ви А.Розенфельдом перегоняли из Москвы в Казань Пе-2Ф с М-105ТК-2Ф и этот полет стал первым (2205,35).</w:t>
      </w:r>
    </w:p>
    <w:p w14:paraId="2EE733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6A67B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октября 1941 ни разу не поднимавшуюся в воздух "сырую" машину Пе-2Ф пришлось перегнать в Казань "своим ходом". Перелет пилота С. Шестакова (того самого, который летал в Америку на "Крыльях Советов") и ведущего инженера А. Розен- фельда, к счастью, прошел успешно.</w:t>
      </w:r>
    </w:p>
    <w:p w14:paraId="6BE019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Приступая к модернизации бомбардировщика Пе-2, главный конструктор сделал ставку на винтомоторную группу, состоящую из двух двигателей М-105Ф с турбокомпрессорами ТК-2Ф. По расчетам мощность каждого из моторов (1300 л.с.) могла поддерживаться примерно постоянной до высоты 7000 м, что обеспечивало новой машине на этой высоте максимальную скорость порядка 600 км/ч, далеко превосходившую данный показатель у </w:t>
      </w:r>
      <w:r w:rsidRPr="00640820">
        <w:rPr>
          <w:rFonts w:ascii="Times New Roman" w:hAnsi="Times New Roman"/>
          <w:color w:val="000000" w:themeColor="text1"/>
          <w:sz w:val="16"/>
          <w:szCs w:val="16"/>
          <w:lang w:val="en-US"/>
        </w:rPr>
        <w:t>Bf</w:t>
      </w:r>
      <w:r w:rsidRPr="00640820">
        <w:rPr>
          <w:rFonts w:ascii="Times New Roman" w:hAnsi="Times New Roman"/>
          <w:color w:val="000000" w:themeColor="text1"/>
          <w:sz w:val="16"/>
          <w:szCs w:val="16"/>
        </w:rPr>
        <w:t xml:space="preserve"> 109Е и даже у </w:t>
      </w:r>
      <w:r w:rsidRPr="00640820">
        <w:rPr>
          <w:rFonts w:ascii="Times New Roman" w:hAnsi="Times New Roman"/>
          <w:color w:val="000000" w:themeColor="text1"/>
          <w:sz w:val="16"/>
          <w:szCs w:val="16"/>
          <w:lang w:val="en-US"/>
        </w:rPr>
        <w:t>Bf</w:t>
      </w:r>
      <w:r w:rsidRPr="00640820">
        <w:rPr>
          <w:rFonts w:ascii="Times New Roman" w:hAnsi="Times New Roman"/>
          <w:color w:val="000000" w:themeColor="text1"/>
          <w:sz w:val="16"/>
          <w:szCs w:val="16"/>
        </w:rPr>
        <w:t xml:space="preserve"> 109</w:t>
      </w:r>
      <w:r w:rsidRPr="00640820">
        <w:rPr>
          <w:rFonts w:ascii="Times New Roman" w:hAnsi="Times New Roman"/>
          <w:color w:val="000000" w:themeColor="text1"/>
          <w:sz w:val="16"/>
          <w:szCs w:val="16"/>
          <w:lang w:val="en-US"/>
        </w:rPr>
        <w:t>F</w:t>
      </w:r>
      <w:r w:rsidRPr="00640820">
        <w:rPr>
          <w:rFonts w:ascii="Times New Roman" w:hAnsi="Times New Roman"/>
          <w:color w:val="000000" w:themeColor="text1"/>
          <w:sz w:val="16"/>
          <w:szCs w:val="16"/>
        </w:rPr>
        <w:t>-2.</w:t>
      </w:r>
    </w:p>
    <w:p w14:paraId="0F2E40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Еще одной особенностью проекта, получившего заводское обозначение Пе-2Ф. было изменение схемы самолета - из низко- плана он превращался в среднеплан за счет того, что фюзеляж опустили на 300 мм относительно крыла. Длина самолета в связи с переделкой средней части фюзеляжа и центроплана увеличилась до 13,725 м, при этом носовая (Ф-1) и хвостовая (Ф-3) части фюзеляжа остались практически без изменений. Сохранились также консоли серийного Пе-2 (только в каждой из них дополнительно монтировалось по одному небольшому бензобаку). В большем по размерам бомбоотсеке, не стесненном лонжеронами крыла, подвешивали одну бомбу ФАБ-500, две ФАБ-250 или шесть "соток". Увеличение колес основных стоек шасси из-за увеличения полетной массы заставило отказаться от мотогондольных бомбоотсеков, поэтому бомбовая нагрузка на внутренней подвеске осталась прежней - не свыше 600 кг, зато перегрузочная увеличилась до 1500 кг: на двух наружных держателях МДЗ-40 можно было подвесить еще две ФАБ 500.</w:t>
      </w:r>
    </w:p>
    <w:p w14:paraId="7C5EBF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Заседание макетной комиссии по самолету Пе-2Ф состоялось в мае 1941 г. Проект одобрили, и петляковцы получили заказ на постройку двух опытных экземпляров самолета. В мае-июне были отработаны комплекты чертежей новой машины, а в цехах московского завода № 22 приступили к изготовлению деталей и узлов. Тогда же в качестве альтернативного варианта силовой установки стали рассматривать новейшие моторы М-107 максимальной мощностью 1600 л.с.</w:t>
      </w:r>
    </w:p>
    <w:p w14:paraId="59F2D8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Начало войны многое изменило. В центре внимания завода оказались серийные пикировщики, поэтому изготовление опытного Пе-2Ф было приостановлено. Только в сентябре удалось собрать планер первой машины и изготовить агрегаты второй. Осенью 1941 г. перебазирование завода из Москвы в Казань прибавило трудностей. Угрожающее положение, сложившееся под Москвой, заставило пойти на отчаянный шаг (12042).</w:t>
      </w:r>
    </w:p>
    <w:p w14:paraId="5474ED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4BC6923" w14:textId="77777777" w:rsidR="00F41DBA" w:rsidRPr="00640820" w:rsidRDefault="00F41DBA" w:rsidP="00640820">
      <w:pPr>
        <w:spacing w:after="0" w:line="240" w:lineRule="auto"/>
        <w:jc w:val="both"/>
        <w:rPr>
          <w:rStyle w:val="ucoz-forum-post"/>
          <w:rFonts w:ascii="Times New Roman" w:eastAsia="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16 октября 1941 года</w:t>
      </w:r>
      <w:r w:rsidRPr="00640820">
        <w:rPr>
          <w:rStyle w:val="ucoz-forum-post"/>
          <w:rFonts w:ascii="Times New Roman" w:eastAsia="Times New Roman" w:hAnsi="Times New Roman"/>
          <w:color w:val="000000" w:themeColor="text1"/>
          <w:sz w:val="16"/>
          <w:szCs w:val="16"/>
        </w:rPr>
        <w:t xml:space="preserve"> Первый полёт Пе-2М. Отличался от Пе-2 двумя М-105 и ТК (предполагались ВК-107), с расширенным внизу фюзеляжем для внутренней подвески ФАБ-500 (14801).</w:t>
      </w:r>
    </w:p>
    <w:p w14:paraId="6B1A329D" w14:textId="77777777" w:rsidR="00F41DBA" w:rsidRPr="00640820" w:rsidRDefault="00F41DBA" w:rsidP="00640820">
      <w:pPr>
        <w:spacing w:after="0" w:line="240" w:lineRule="auto"/>
        <w:jc w:val="both"/>
        <w:rPr>
          <w:rStyle w:val="ucoz-forum-post"/>
          <w:rFonts w:ascii="Times New Roman" w:eastAsia="Times New Roman" w:hAnsi="Times New Roman"/>
          <w:color w:val="000000" w:themeColor="text1"/>
          <w:sz w:val="16"/>
          <w:szCs w:val="16"/>
        </w:rPr>
      </w:pPr>
    </w:p>
    <w:p w14:paraId="67149523" w14:textId="77777777" w:rsidR="00C862E9" w:rsidRPr="00640820" w:rsidRDefault="00C862E9"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color w:val="000000" w:themeColor="text1"/>
          <w:sz w:val="16"/>
          <w:szCs w:val="16"/>
        </w:rPr>
        <w:t xml:space="preserve">16 октября </w:t>
      </w:r>
      <w:r w:rsidRPr="00640820">
        <w:rPr>
          <w:rFonts w:ascii="Times New Roman" w:hAnsi="Times New Roman"/>
          <w:color w:val="000000" w:themeColor="text1"/>
          <w:sz w:val="16"/>
          <w:szCs w:val="16"/>
        </w:rPr>
        <w:t>в 1941 году первый полёт «Пе-2М» (14801).</w:t>
      </w:r>
    </w:p>
    <w:p w14:paraId="1BAA5355" w14:textId="77777777" w:rsidR="00C862E9" w:rsidRPr="00640820" w:rsidRDefault="00C862E9" w:rsidP="00640820">
      <w:pPr>
        <w:spacing w:after="0" w:line="240" w:lineRule="auto"/>
        <w:jc w:val="both"/>
        <w:rPr>
          <w:rFonts w:ascii="Times New Roman" w:hAnsi="Times New Roman"/>
          <w:color w:val="000000" w:themeColor="text1"/>
          <w:sz w:val="16"/>
          <w:szCs w:val="16"/>
        </w:rPr>
      </w:pPr>
    </w:p>
    <w:p w14:paraId="6ED64B1E" w14:textId="77777777" w:rsidR="005C14EE" w:rsidRPr="00640820" w:rsidRDefault="005C14EE" w:rsidP="00640820">
      <w:pPr>
        <w:spacing w:after="0" w:line="240" w:lineRule="auto"/>
        <w:jc w:val="both"/>
        <w:rPr>
          <w:rFonts w:ascii="Times New Roman" w:hAnsi="Times New Roman"/>
          <w:color w:val="0070C0"/>
          <w:sz w:val="16"/>
          <w:szCs w:val="16"/>
        </w:rPr>
      </w:pPr>
      <w:bookmarkStart w:id="5" w:name="bookmark11"/>
      <w:r w:rsidRPr="00640820">
        <w:rPr>
          <w:rFonts w:ascii="Times New Roman" w:hAnsi="Times New Roman"/>
          <w:color w:val="0070C0"/>
          <w:sz w:val="16"/>
          <w:szCs w:val="16"/>
        </w:rPr>
        <w:t>16 октября 1941 г. совершил первый полет Пе-2Ф или Пе-2М (1-й с таким обозначением) проект и макет которого были утверждены еще в мае 1941. Расчет был сделан на опытный мотор М-105Ф с двухскоростным ПЦН и турбокомпрессором ТК-2Ф. Новая силовая установка позволила усилить бомбовую нагрузку и оборонительное вооружение, но для их размещения пришлось переделать фюзеляж.</w:t>
      </w:r>
    </w:p>
    <w:p w14:paraId="2E0CA7D9" w14:textId="77777777" w:rsidR="005C14EE" w:rsidRPr="00640820" w:rsidRDefault="005C14E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марте-апреле 1942 г. Пе2Ф прошел Госиспытания в НИИ ВВС, которые показали ненадежную работу винтомоторной группы, особенно турбокомпрессоров и регуляторов наддува, а также сложность управления ею. Но судьба Пе-2Ф была решена еще в конце первого года войны. В серию он не шел, так как уже изначально доработкам и изменениям подверглось 40 % деталей, узлов и агрегатов самолета, а в окончательном проекте — ровно половина. По сути, это был новый самолет, освоить производство которого, не «провалив» снабжение фронта бомбардировщиками, теперь было невозможно (22827).</w:t>
      </w:r>
    </w:p>
    <w:p w14:paraId="369003AD" w14:textId="77777777" w:rsidR="005C14EE" w:rsidRPr="00640820" w:rsidRDefault="005C14EE" w:rsidP="00640820">
      <w:pPr>
        <w:spacing w:after="0" w:line="240" w:lineRule="auto"/>
        <w:jc w:val="both"/>
        <w:rPr>
          <w:rFonts w:ascii="Times New Roman" w:hAnsi="Times New Roman"/>
          <w:color w:val="0070C0"/>
          <w:sz w:val="16"/>
          <w:szCs w:val="16"/>
        </w:rPr>
      </w:pPr>
    </w:p>
    <w:bookmarkEnd w:id="5"/>
    <w:p w14:paraId="704BA1C4" w14:textId="77777777" w:rsidR="00F41DBA" w:rsidRPr="00640820" w:rsidRDefault="00F41DBA" w:rsidP="00640820">
      <w:pPr>
        <w:spacing w:after="0" w:line="240" w:lineRule="auto"/>
        <w:jc w:val="both"/>
        <w:rPr>
          <w:rStyle w:val="ucoz-forum-post"/>
          <w:rFonts w:ascii="Times New Roman" w:eastAsia="Times New Roman" w:hAnsi="Times New Roman"/>
          <w:color w:val="000000" w:themeColor="text1"/>
          <w:sz w:val="16"/>
          <w:szCs w:val="16"/>
        </w:rPr>
      </w:pPr>
      <w:r w:rsidRPr="00640820">
        <w:rPr>
          <w:rStyle w:val="ucoz-forum-post"/>
          <w:rFonts w:ascii="Times New Roman" w:eastAsia="Times New Roman" w:hAnsi="Times New Roman"/>
          <w:color w:val="000000" w:themeColor="text1"/>
          <w:sz w:val="16"/>
          <w:szCs w:val="16"/>
        </w:rPr>
        <w:t>16 октября 1941 г. Пе-2М был готов в первому вылету, и летчик С.А. Шестаков с ведущим инженером А.А. Розенфельдом перегнали самолет в другой город, где он доводился (были поставлены автоматические предкрылки и увеличены воздухозаборники), но дальнейшего развития он не получил (14801).</w:t>
      </w:r>
    </w:p>
    <w:p w14:paraId="2089DDC2" w14:textId="77777777" w:rsidR="00F41DBA" w:rsidRPr="00640820" w:rsidRDefault="00F41DBA" w:rsidP="00640820">
      <w:pPr>
        <w:spacing w:after="0" w:line="240" w:lineRule="auto"/>
        <w:jc w:val="both"/>
        <w:rPr>
          <w:rStyle w:val="ucoz-forum-post"/>
          <w:rFonts w:ascii="Times New Roman" w:eastAsia="Times New Roman" w:hAnsi="Times New Roman"/>
          <w:color w:val="000000" w:themeColor="text1"/>
          <w:sz w:val="16"/>
          <w:szCs w:val="16"/>
        </w:rPr>
      </w:pPr>
    </w:p>
    <w:p w14:paraId="640D113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октября 1941 был эвакуирован ОКО завода № 1. Однако к сере</w:t>
      </w:r>
      <w:r w:rsidRPr="00640820">
        <w:rPr>
          <w:rFonts w:ascii="Times New Roman" w:hAnsi="Times New Roman"/>
          <w:color w:val="000000" w:themeColor="text1"/>
          <w:sz w:val="16"/>
          <w:szCs w:val="16"/>
        </w:rPr>
        <w:softHyphen/>
        <w:t>дине месяца на заводе ещё оста</w:t>
      </w:r>
      <w:r w:rsidRPr="00640820">
        <w:rPr>
          <w:rFonts w:ascii="Times New Roman" w:hAnsi="Times New Roman"/>
          <w:color w:val="000000" w:themeColor="text1"/>
          <w:sz w:val="16"/>
          <w:szCs w:val="16"/>
        </w:rPr>
        <w:softHyphen/>
        <w:t>валось 57 принятых военпредами истребителей МиГ-3, из которых семь находилось в ремонте на за</w:t>
      </w:r>
      <w:r w:rsidRPr="00640820">
        <w:rPr>
          <w:rFonts w:ascii="Times New Roman" w:hAnsi="Times New Roman"/>
          <w:color w:val="000000" w:themeColor="text1"/>
          <w:sz w:val="16"/>
          <w:szCs w:val="16"/>
        </w:rPr>
        <w:softHyphen/>
        <w:t>мене моторов, а также один штур</w:t>
      </w:r>
      <w:r w:rsidRPr="00640820">
        <w:rPr>
          <w:rFonts w:ascii="Times New Roman" w:hAnsi="Times New Roman"/>
          <w:color w:val="000000" w:themeColor="text1"/>
          <w:sz w:val="16"/>
          <w:szCs w:val="16"/>
        </w:rPr>
        <w:softHyphen/>
        <w:t>мовик Ил-2. Кроме этого в сбороч</w:t>
      </w:r>
      <w:r w:rsidRPr="00640820">
        <w:rPr>
          <w:rFonts w:ascii="Times New Roman" w:hAnsi="Times New Roman"/>
          <w:color w:val="000000" w:themeColor="text1"/>
          <w:sz w:val="16"/>
          <w:szCs w:val="16"/>
        </w:rPr>
        <w:softHyphen/>
        <w:t>ном цехе в разной стадии готовно</w:t>
      </w:r>
      <w:r w:rsidRPr="00640820">
        <w:rPr>
          <w:rFonts w:ascii="Times New Roman" w:hAnsi="Times New Roman"/>
          <w:color w:val="000000" w:themeColor="text1"/>
          <w:sz w:val="16"/>
          <w:szCs w:val="16"/>
        </w:rPr>
        <w:softHyphen/>
        <w:t>сти находилось 42 МиГ-3 и один Ил-2. Возникшая в связи с эвакуацией некоторая неразбериха ставила под угрозу доводку этих самолётов.</w:t>
      </w:r>
    </w:p>
    <w:p w14:paraId="6459B46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сохранения оставшейся мат-части личный состав военного пред</w:t>
      </w:r>
      <w:r w:rsidRPr="00640820">
        <w:rPr>
          <w:rFonts w:ascii="Times New Roman" w:hAnsi="Times New Roman"/>
          <w:color w:val="000000" w:themeColor="text1"/>
          <w:sz w:val="16"/>
          <w:szCs w:val="16"/>
        </w:rPr>
        <w:softHyphen/>
        <w:t>ставительства оказывал непосред</w:t>
      </w:r>
      <w:r w:rsidRPr="00640820">
        <w:rPr>
          <w:rFonts w:ascii="Times New Roman" w:hAnsi="Times New Roman"/>
          <w:color w:val="000000" w:themeColor="text1"/>
          <w:sz w:val="16"/>
          <w:szCs w:val="16"/>
        </w:rPr>
        <w:softHyphen/>
        <w:t>ственную помощь в отправке гото</w:t>
      </w:r>
      <w:r w:rsidRPr="00640820">
        <w:rPr>
          <w:rFonts w:ascii="Times New Roman" w:hAnsi="Times New Roman"/>
          <w:color w:val="000000" w:themeColor="text1"/>
          <w:sz w:val="16"/>
          <w:szCs w:val="16"/>
        </w:rPr>
        <w:softHyphen/>
        <w:t>вой продукции. Только силами военпредов 16 октября было отправ</w:t>
      </w:r>
      <w:r w:rsidRPr="00640820">
        <w:rPr>
          <w:rFonts w:ascii="Times New Roman" w:hAnsi="Times New Roman"/>
          <w:color w:val="000000" w:themeColor="text1"/>
          <w:sz w:val="16"/>
          <w:szCs w:val="16"/>
        </w:rPr>
        <w:softHyphen/>
        <w:t>лено 18 истребителей и один штур</w:t>
      </w:r>
      <w:r w:rsidRPr="00640820">
        <w:rPr>
          <w:rFonts w:ascii="Times New Roman" w:hAnsi="Times New Roman"/>
          <w:color w:val="000000" w:themeColor="text1"/>
          <w:sz w:val="16"/>
          <w:szCs w:val="16"/>
        </w:rPr>
        <w:softHyphen/>
        <w:t>мовик, а 18 октября по их требова</w:t>
      </w:r>
      <w:r w:rsidRPr="00640820">
        <w:rPr>
          <w:rFonts w:ascii="Times New Roman" w:hAnsi="Times New Roman"/>
          <w:color w:val="000000" w:themeColor="text1"/>
          <w:sz w:val="16"/>
          <w:szCs w:val="16"/>
        </w:rPr>
        <w:softHyphen/>
        <w:t>нию началась доводка находящих</w:t>
      </w:r>
      <w:r w:rsidRPr="00640820">
        <w:rPr>
          <w:rFonts w:ascii="Times New Roman" w:hAnsi="Times New Roman"/>
          <w:color w:val="000000" w:themeColor="text1"/>
          <w:sz w:val="16"/>
          <w:szCs w:val="16"/>
        </w:rPr>
        <w:softHyphen/>
        <w:t>ся в сборочном цехе самолётов. Благодаря предпринятым усилиям администрации завода удалось со</w:t>
      </w:r>
      <w:r w:rsidRPr="00640820">
        <w:rPr>
          <w:rFonts w:ascii="Times New Roman" w:hAnsi="Times New Roman"/>
          <w:color w:val="000000" w:themeColor="text1"/>
          <w:sz w:val="16"/>
          <w:szCs w:val="16"/>
        </w:rPr>
        <w:softHyphen/>
        <w:t>брать необходимую рабочую силу и к 24 октября сдать военпредам 42 МиГ-3 и один Ил-2. Причём из личного состава военной приёмки на производстве трудилось 19 че</w:t>
      </w:r>
      <w:r w:rsidRPr="00640820">
        <w:rPr>
          <w:rFonts w:ascii="Times New Roman" w:hAnsi="Times New Roman"/>
          <w:color w:val="000000" w:themeColor="text1"/>
          <w:sz w:val="16"/>
          <w:szCs w:val="16"/>
        </w:rPr>
        <w:softHyphen/>
        <w:t>ловек, а остальных отправили в Куйбышев. Производство истреби</w:t>
      </w:r>
      <w:r w:rsidRPr="00640820">
        <w:rPr>
          <w:rFonts w:ascii="Times New Roman" w:hAnsi="Times New Roman"/>
          <w:color w:val="000000" w:themeColor="text1"/>
          <w:sz w:val="16"/>
          <w:szCs w:val="16"/>
        </w:rPr>
        <w:softHyphen/>
        <w:t>телей МиГ-3 в г. Москве заверши</w:t>
      </w:r>
      <w:r w:rsidRPr="00640820">
        <w:rPr>
          <w:rFonts w:ascii="Times New Roman" w:hAnsi="Times New Roman"/>
          <w:color w:val="000000" w:themeColor="text1"/>
          <w:sz w:val="16"/>
          <w:szCs w:val="16"/>
        </w:rPr>
        <w:softHyphen/>
        <w:t>лось сдачей ГУ ВВС КА машины №5197.</w:t>
      </w:r>
    </w:p>
    <w:p w14:paraId="606BD7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 Куйбышеве выпуск МиГ-3 возобновился 5 декабря сдачей военпредам первых двух самолётов. В дальнейшем планировалось вы</w:t>
      </w:r>
      <w:r w:rsidRPr="00640820">
        <w:rPr>
          <w:rFonts w:ascii="Times New Roman" w:hAnsi="Times New Roman"/>
          <w:color w:val="000000" w:themeColor="text1"/>
          <w:sz w:val="16"/>
          <w:szCs w:val="16"/>
        </w:rPr>
        <w:softHyphen/>
        <w:t>пускать по две машины ежесуточно с тем, чтобы до конца года обеспе</w:t>
      </w:r>
      <w:r w:rsidRPr="00640820">
        <w:rPr>
          <w:rFonts w:ascii="Times New Roman" w:hAnsi="Times New Roman"/>
          <w:color w:val="000000" w:themeColor="text1"/>
          <w:sz w:val="16"/>
          <w:szCs w:val="16"/>
        </w:rPr>
        <w:softHyphen/>
        <w:t>чить постройку 50 истребителей. В тоже время производство штурмо</w:t>
      </w:r>
      <w:r w:rsidRPr="00640820">
        <w:rPr>
          <w:rFonts w:ascii="Times New Roman" w:hAnsi="Times New Roman"/>
          <w:color w:val="000000" w:themeColor="text1"/>
          <w:sz w:val="16"/>
          <w:szCs w:val="16"/>
        </w:rPr>
        <w:softHyphen/>
        <w:t>виков Ил-2 планировалось развер</w:t>
      </w:r>
      <w:r w:rsidRPr="00640820">
        <w:rPr>
          <w:rFonts w:ascii="Times New Roman" w:hAnsi="Times New Roman"/>
          <w:color w:val="000000" w:themeColor="text1"/>
          <w:sz w:val="16"/>
          <w:szCs w:val="16"/>
        </w:rPr>
        <w:softHyphen/>
        <w:t>нуть не ранее 15 декабря с выпус</w:t>
      </w:r>
      <w:r w:rsidRPr="00640820">
        <w:rPr>
          <w:rFonts w:ascii="Times New Roman" w:hAnsi="Times New Roman"/>
          <w:color w:val="000000" w:themeColor="text1"/>
          <w:sz w:val="16"/>
          <w:szCs w:val="16"/>
        </w:rPr>
        <w:softHyphen/>
        <w:t>ком по одному самолёту ежесуточ</w:t>
      </w:r>
      <w:r w:rsidRPr="00640820">
        <w:rPr>
          <w:rFonts w:ascii="Times New Roman" w:hAnsi="Times New Roman"/>
          <w:color w:val="000000" w:themeColor="text1"/>
          <w:sz w:val="16"/>
          <w:szCs w:val="16"/>
        </w:rPr>
        <w:softHyphen/>
        <w:t>но, то есть до конца года завод предполагал выпустить не более 10-15 машин при плане 100. Это объяс</w:t>
      </w:r>
      <w:r w:rsidRPr="00640820">
        <w:rPr>
          <w:rFonts w:ascii="Times New Roman" w:hAnsi="Times New Roman"/>
          <w:color w:val="000000" w:themeColor="text1"/>
          <w:sz w:val="16"/>
          <w:szCs w:val="16"/>
        </w:rPr>
        <w:softHyphen/>
        <w:t>нялось небольшим заделом, приве</w:t>
      </w:r>
      <w:r w:rsidRPr="00640820">
        <w:rPr>
          <w:rFonts w:ascii="Times New Roman" w:hAnsi="Times New Roman"/>
          <w:color w:val="000000" w:themeColor="text1"/>
          <w:sz w:val="16"/>
          <w:szCs w:val="16"/>
        </w:rPr>
        <w:softHyphen/>
        <w:t>зённым из Москвы, а также отсут</w:t>
      </w:r>
      <w:r w:rsidRPr="00640820">
        <w:rPr>
          <w:rFonts w:ascii="Times New Roman" w:hAnsi="Times New Roman"/>
          <w:color w:val="000000" w:themeColor="text1"/>
          <w:sz w:val="16"/>
          <w:szCs w:val="16"/>
        </w:rPr>
        <w:softHyphen/>
        <w:t>ствием ряда крупных агрегатов, таких как шасси и хвостовые части фюзеляжа. Выпуск Ил-2 на заводе №18 тоже не отвечал требования фронта. Естественно такой расклад не мог удовлетворить руководство страны. Последовавшая 23 декаб</w:t>
      </w:r>
      <w:r w:rsidRPr="00640820">
        <w:rPr>
          <w:rFonts w:ascii="Times New Roman" w:hAnsi="Times New Roman"/>
          <w:color w:val="000000" w:themeColor="text1"/>
          <w:sz w:val="16"/>
          <w:szCs w:val="16"/>
        </w:rPr>
        <w:softHyphen/>
        <w:t>ря известная телеграмма И.В. Ста</w:t>
      </w:r>
      <w:r w:rsidRPr="00640820">
        <w:rPr>
          <w:rFonts w:ascii="Times New Roman" w:hAnsi="Times New Roman"/>
          <w:color w:val="000000" w:themeColor="text1"/>
          <w:sz w:val="16"/>
          <w:szCs w:val="16"/>
        </w:rPr>
        <w:softHyphen/>
        <w:t>лина окончательно решила судьбу штурмовика Ил-2 и истребителя МиГ-3.</w:t>
      </w:r>
    </w:p>
    <w:p w14:paraId="242A8C7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втором полугодии авиазавод №1 выпустил 1737 истребителей МиГ-3. Из этого количества воен</w:t>
      </w:r>
      <w:r w:rsidRPr="00640820">
        <w:rPr>
          <w:rFonts w:ascii="Times New Roman" w:hAnsi="Times New Roman"/>
          <w:color w:val="000000" w:themeColor="text1"/>
          <w:sz w:val="16"/>
          <w:szCs w:val="16"/>
        </w:rPr>
        <w:softHyphen/>
        <w:t>ное представительство приняло 1642 самолёта. В строевые части ВВС КА была отправлена 1691 машина. Для авиации ВМФ в 1941 г. из 162 принятых МиГ-3 поставлено 157 самолётов (в первом полуго</w:t>
      </w:r>
      <w:r w:rsidRPr="00640820">
        <w:rPr>
          <w:rFonts w:ascii="Times New Roman" w:hAnsi="Times New Roman"/>
          <w:color w:val="000000" w:themeColor="text1"/>
          <w:sz w:val="16"/>
          <w:szCs w:val="16"/>
        </w:rPr>
        <w:softHyphen/>
        <w:t>дии 67, во втором 90, из них 25 в июле, 10 в августе, 47 в сентябре и восемь в октябре), а пять переад</w:t>
      </w:r>
      <w:r w:rsidRPr="00640820">
        <w:rPr>
          <w:rFonts w:ascii="Times New Roman" w:hAnsi="Times New Roman"/>
          <w:color w:val="000000" w:themeColor="text1"/>
          <w:sz w:val="16"/>
          <w:szCs w:val="16"/>
        </w:rPr>
        <w:softHyphen/>
        <w:t>ресовано ГУ ВВС КА (11761).</w:t>
      </w:r>
    </w:p>
    <w:p w14:paraId="0F5AECF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41D417" w14:textId="77777777" w:rsidR="00B03639" w:rsidRPr="00640820" w:rsidRDefault="00B03639" w:rsidP="00640820">
      <w:pPr>
        <w:pStyle w:val="a3"/>
        <w:rPr>
          <w:color w:val="000000" w:themeColor="text1"/>
          <w:lang w:val="ru-RU"/>
        </w:rPr>
      </w:pPr>
      <w:r w:rsidRPr="00640820">
        <w:rPr>
          <w:color w:val="000000" w:themeColor="text1"/>
          <w:lang w:val="ru-RU"/>
        </w:rPr>
        <w:t>16 октября 1941 был эвакуирован особый конструкторский отдел завода № 1 (15976).</w:t>
      </w:r>
    </w:p>
    <w:p w14:paraId="2E7242B5" w14:textId="77777777" w:rsidR="00B03639" w:rsidRPr="00640820" w:rsidRDefault="00B03639" w:rsidP="00640820">
      <w:pPr>
        <w:pStyle w:val="a3"/>
        <w:rPr>
          <w:color w:val="000000" w:themeColor="text1"/>
          <w:lang w:val="ru-RU"/>
        </w:rPr>
      </w:pPr>
    </w:p>
    <w:p w14:paraId="7075F7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октября 1941 А.Г.Прошаковым выполнил на Як-7М М-105ПА перелет Москва - Свердловск и при посадке в Казани была авария, что привело к задержке продолжения испытаний до 31 октября 1941 (65,77). Машина N 0512 (796,4).</w:t>
      </w:r>
    </w:p>
    <w:p w14:paraId="7895F9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C9D7828" w14:textId="77777777" w:rsidR="00B03639" w:rsidRPr="00640820" w:rsidRDefault="00B0363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октября 1941 завершились гос. испытания Як-7М в Чкаловской, которые начались 5 октября, а с 31 октября по 27 декабря 1941 они проходили на Урале, куда был эвакуирован НИИ ВВС (65,77).</w:t>
      </w:r>
    </w:p>
    <w:p w14:paraId="3017570C" w14:textId="77777777" w:rsidR="00B03639" w:rsidRPr="00640820" w:rsidRDefault="00B03639" w:rsidP="00640820">
      <w:pPr>
        <w:autoSpaceDE w:val="0"/>
        <w:autoSpaceDN w:val="0"/>
        <w:adjustRightInd w:val="0"/>
        <w:spacing w:after="0" w:line="240" w:lineRule="auto"/>
        <w:jc w:val="both"/>
        <w:rPr>
          <w:rFonts w:ascii="Times New Roman" w:hAnsi="Times New Roman"/>
          <w:color w:val="000000" w:themeColor="text1"/>
          <w:sz w:val="16"/>
          <w:szCs w:val="16"/>
        </w:rPr>
      </w:pPr>
    </w:p>
    <w:p w14:paraId="0A7329E6" w14:textId="77777777" w:rsidR="00C862E9" w:rsidRPr="00640820" w:rsidRDefault="00C862E9"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16-го октября 1941 года Постановлением Совета по эвакуации за № 14324-СЭ в Иркутск, на площади авиационного завода № 125 имени И.В. Сталина эвакуируется один из старейших в Советской России, увенчанный орденами Ленина и Трудового Красного Знамени, московский авиационный завод № 39 имени В.Р. Менжинского (Куманев Г.А. Война и эвакуация в СССР. 1941-42 гг. Новая и новейшая история 2006, № 6.) (15223).</w:t>
      </w:r>
    </w:p>
    <w:p w14:paraId="7F1B1B6A" w14:textId="77777777" w:rsidR="00C862E9" w:rsidRPr="00640820" w:rsidRDefault="00C862E9" w:rsidP="00640820">
      <w:pPr>
        <w:shd w:val="clear" w:color="auto" w:fill="FFFFFF"/>
        <w:spacing w:after="0" w:line="240" w:lineRule="auto"/>
        <w:jc w:val="both"/>
        <w:rPr>
          <w:rFonts w:ascii="Times New Roman" w:hAnsi="Times New Roman"/>
          <w:color w:val="000000" w:themeColor="text1"/>
          <w:sz w:val="16"/>
          <w:szCs w:val="16"/>
        </w:rPr>
      </w:pPr>
    </w:p>
    <w:p w14:paraId="4DF7C0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октября 1941 после заводских испытаний самолеты А и Б1 И.В.Четверикова полетели к месту проведения гос. испытаний и А разбился около Углича, а испытания Б1 закончились неудовлетворительно из-за близости моторов к воде и их недоведенности (4,294).</w:t>
      </w:r>
    </w:p>
    <w:p w14:paraId="34B0EA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2282A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октября 1941 при эвакуации из Москвы был уничтожен вместе с чертежами ЭИИ (экспериментальный одноместный истребитель С.Г.Козлова, созданный в ВВА (4,77).</w:t>
      </w:r>
    </w:p>
    <w:p w14:paraId="59EC51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9F006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октября 1941 г. на основании постановления правительства КБ А.А.Архангельского в полном составе “с целью сохранения кадров” эвакуировалось в г. Омск, на территорию завода №166. Вывезли все архивы, чертежи и расчеты самолетов СБ, Ар-2, “Б” (6206, 21).</w:t>
      </w:r>
    </w:p>
    <w:p w14:paraId="6839F6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2A8A0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16 октября по 6 ноября 1941 года завод № 260 (имю Лепсе) эвакуируется в г. Киров, где размещается на заводе “Кутшо” (Комбинат учебно-технического школьного оборудования), а филиал завода № 266 был передан а НК электропромышленности (НКЭП) и перебазирован в Томск (9506).</w:t>
      </w:r>
    </w:p>
    <w:p w14:paraId="6A2187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356D8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октября 1941 завод № 22 подготавливают к взрыву и эвакуируют последних оставшихся (5764,38).</w:t>
      </w:r>
    </w:p>
    <w:p w14:paraId="55CD60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30C59F6" w14:textId="77777777" w:rsidR="00B56C07" w:rsidRPr="00640820" w:rsidRDefault="00B56C0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октября 1941 последний эшелон ушел с завода № 31. За ним должны были пройти еще два, но не успели, на железнодорожные станции Марцево и Синявскую налетели «юнкерсы», началась бомбежка, пришлось вернуться назад (18580).</w:t>
      </w:r>
    </w:p>
    <w:p w14:paraId="4BE4017E" w14:textId="77777777" w:rsidR="00B56C07" w:rsidRPr="00640820" w:rsidRDefault="00B56C07" w:rsidP="00640820">
      <w:pPr>
        <w:spacing w:after="0" w:line="240" w:lineRule="auto"/>
        <w:jc w:val="both"/>
        <w:rPr>
          <w:rFonts w:ascii="Times New Roman" w:hAnsi="Times New Roman"/>
          <w:color w:val="000000" w:themeColor="text1"/>
          <w:sz w:val="16"/>
          <w:szCs w:val="16"/>
        </w:rPr>
      </w:pPr>
    </w:p>
    <w:p w14:paraId="051A11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октября 1941 года завод НКАП № 168 был эвакуирован из Рязани в Волжс Марийской АССР.</w:t>
      </w:r>
    </w:p>
    <w:p w14:paraId="541B1D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Согласно постановления ГКО от 1 октября 1944 года завод № 168 перебазировался из Волжска в Ростов-на-Дону и расположился на площадях бывш. завода № 87 НКАП, объединившись в один завод с сохранением своего номера № 168, который и до настоящего момента находится в Ростове-на-Дону.</w:t>
      </w:r>
    </w:p>
    <w:p w14:paraId="2F3913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начала организации завода № 168 до 1941 года он изготавливал деревянные авиационные винты, автофотоимущество и деревянную мебель. По мере роста завода профиль его постоянно изменялся. Так, в 1941 году завод освоил планер КЦ-20, консоли и другие агрегаты и детали для самолетов. В 1942 году, выпуская планер и лыжи к нему, завод освоил выпуск лонжеронов к самолету МИГ-3, а также выпуск учебно-тренировочного двухместного самолета УТ-2М, авиалыжи и запасные части.</w:t>
      </w:r>
    </w:p>
    <w:p w14:paraId="3BB34B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решению СМ № 57-27сс от 14 января 1947 года и приказа МАП Хруничева М.В. за № 25сс от 28 января 1947 года завод переходит на освоение и выпуск с мая нового вида продукции – самолета ПО-2 и его разновидность: ПО-2А, ПО-2с, ПО-2л, а также и запасных частей к ним.</w:t>
      </w:r>
    </w:p>
    <w:p w14:paraId="6858CE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Данную продукцию завод выпускал до декабря 1949 года, кроме того завод с 1948 года по 1949 год занимался изготовлением гражданской продукции.</w:t>
      </w:r>
    </w:p>
    <w:p w14:paraId="31F4F3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МАП Хруничева М.В. за № 326с от 28 мая 1948 года завод переходит на освоение в производстве планера ЯК-14, который окончательно освоил в 1949 году и производил серийный выпуск его до июля 1951 года, одновременно продолжая выпускать запасные части к самолетам ПО-2 и гражданской продукции.</w:t>
      </w:r>
    </w:p>
    <w:p w14:paraId="1D27F0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исполнение решения СМ № 161-76сс от 19 января 1951 года, а также приказа МАП Хруничева М.В. за № 160сс от 24 января 1951 года, завод снял с производства планер ЯК-14 и начал вести подготовку производства к серийному выпуску самолета ИЛ-10м, который освоил в 1951 году и производил серийный выпуск его до 1 апреля 1954 года. Одновременно с этим завод выпускал запчасти в россыпи к самолету УТБ-2, ИЛ-12 и гражданскую продукцию. В первом квартале 1954 года завод закончил производство самолетов ИЛ-10М.</w:t>
      </w:r>
    </w:p>
    <w:p w14:paraId="204BCC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решению СМ от 16 октября 1954 года за № 2141-1011сс и приказом МАП Дементьева от 30 октября 1954 года за № 671сс завод приступил к подготовке производства самолета ИЛ-40.</w:t>
      </w:r>
    </w:p>
    <w:p w14:paraId="16F78A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Адрес: Ростов-на-Дону, Врубовая ул., 6, п/я 13</w:t>
      </w:r>
    </w:p>
    <w:p w14:paraId="318BE3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Производственный профиль – самолетостроение (9852).</w:t>
      </w:r>
    </w:p>
    <w:p w14:paraId="5EAB09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29DBA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октября 1941 г. летчик И.И.Шелест, имея на борту 11 сотрудниц ЛИИ и грудного ребенка, которые эвакуировались из Москвы в Казань, выполнил первый полет на ДБ-3УАС. Полеты по испытательной программе проводились в Казани в 1942 г. Их выполнял летчик-испытатель ЛИИ В.А.Олиферко, ведущим инженером от ЦАГИ был Я.Г.Виленский, а ведущим инженером от ЛИИ - С.Б.Брен. Испытания позволили сделать вывод, что отсасывание пограничного слоя снижает минимальную скорость планирования на 16 км/ч при обслуживании системой отсоса 33% общей площади крыла. Кроме того, система управления пограничным слоем позволила самолету сохранять управляемость до скорости 133 км/ч, в то время как без нее ДБ-3 имел минимальную эволютивную скорость 147 км/ч. Отмечалось также, что применение данной системы в полете не вызывает каких-либо нежелательных или опасных явлений. Это были первые в СССР натурные исследования системы управления пограничным слоем.</w:t>
      </w:r>
    </w:p>
    <w:p w14:paraId="580BD6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ДБ-3 УПС сделали на основе серийного бомбардировщика ДБ-3 2М-87Б, в конструкцию которого внесли необходимые изменения. Вместо имевшихся на самолете простых посадочных щитков были установлены закрылки, с верхней поверхности которых через специальные щели мог отсасываться пограничный слой. Обычные элероны ДБ-3 переделали в элероны-закрылки, с их верхней поверхности также отсасывался пограничный слой. Положение щелей для отсасывания воздуха по хорде закрылков и элеронов-закрылков могло варьироваться. Обычный носок крыла был заменен на носок с щелью для сдувания пограничного слоя. Отсос пограничного слоя с закрылков и его сдув с носка крыла обеспечивались автомобильным двигателем ЗиС-101A мощностью 116 л.с., установленным в бомбоотсеке самолета. Этот двигатель вращал двухступенчатый вентилятор, который трубопроводами соединялся со щелями сдува и отсоса пограничного слоя. При отсасывании воздух поступал в фюзеляж и выбрасывался наружу через жалюзи с регулируемыми щелями по бортам фюзеляжа. Для получения полной картины распределения давления на левом крыле были сделаны небольшие отверстия (дренаж), через которые величины давления с помощью трубок передавались на измерительный прибор. Экспериментальное оборудование размещалось в кабине штурмана. Экипаж самолета состоял из четырех человек: пилота и трех экспериментаторов - двух в кабине штурмана и одного - в кабине стрелка (9528).</w:t>
      </w:r>
    </w:p>
    <w:p w14:paraId="592EB7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05475CA" w14:textId="77777777" w:rsidR="00CE2A94" w:rsidRPr="00640820" w:rsidRDefault="00CE2A94" w:rsidP="00640820">
      <w:pPr>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 xml:space="preserve">17 октября  1941  г. </w:t>
      </w:r>
      <w:r w:rsidRPr="00640820">
        <w:rPr>
          <w:rFonts w:ascii="Times New Roman" w:hAnsi="Times New Roman"/>
          <w:bCs/>
          <w:color w:val="000000" w:themeColor="text1"/>
          <w:sz w:val="16"/>
          <w:szCs w:val="16"/>
        </w:rPr>
        <w:t xml:space="preserve">ИЗ АКТА СОТРУДНИКОВ   ЗАВОДА  № 468 В МК ВКП(б) О НЕДОСТОЙНОМ ПОВЕДЕНИИ НАЧАЛЬНИКА ФИЛИАЛА  ЗАВОДА  ПРИ ЭВАКУАЦИИ ИМУЩЕСТВА И СПЕЦИАЛИСТОВ  ЗАВОДА  </w:t>
      </w:r>
    </w:p>
    <w:p w14:paraId="7337B845" w14:textId="77777777" w:rsidR="00CE2A94" w:rsidRPr="00640820" w:rsidRDefault="00CE2A9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Мы, нижеподписавшиеся, составили настоящий акт в том, что при эвакуации  завода  № 468 (ст. Бескудниково Московской области) на филиал  завода  в город  Билимбай  Свердловской области со стороны начальника филиала  завода  № 468 Г. был допущен явно антисоветский поступок. Г. вместо проявления заботы о погрузке имущества завода занимался исключительно переброской своего личного имущества к эшелону транспортом завода, как-то: пианино, рояль, зеркала, комоды, буфеты, кровати, матрацы, козу, собак, велосипеды и лиц из его знакомых, не имеющих отношения к заводу. Г. был занят лично целый вагон, куда погрузил свое имущество и продукты, и кроме этого своих знакомых поместил в нескольких вагонах эшелона. Беспокоясь о своем немногом оставшемся имуществе, которое Г. не смог погрузить на нескольких машинах, он отстал от эшелона и пытался вылететь самолетом, но ему этого не удалось, тогда Г. взял заводскую машину 1,5 тонны, погрузил одну бочку с бензином и уехал догонять эшелон, не возвратив машину за № 34–75 заводу. После отъезда эшелона Г дал распоряжение механику автобазы догнать эшелон в пути и доставить несколько семей его знакомых, не имеющих никакого отношения к заводу, а о сотрудниках, которые не были доставлены к эшелону, заботу не проявил. Из-за личных интересов Г. в эшелон не было погружено очень много ценных материалов и оборудования, а именно [...] [1] </w:t>
      </w:r>
    </w:p>
    <w:p w14:paraId="3BA532DE" w14:textId="77777777" w:rsidR="00CE2A94" w:rsidRPr="00640820" w:rsidRDefault="00CE2A9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Не были доставлены к эшелону много сотрудников, имеющих очень большое производственное значение; эти сотрудники были обмануты и транспортом не обеспечены: </w:t>
      </w:r>
    </w:p>
    <w:p w14:paraId="4B9D359B" w14:textId="77777777" w:rsidR="00CE2A94" w:rsidRPr="00640820" w:rsidRDefault="00CE2A9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 Ковардаев М.А. – ведущий инженер конструкторского бюро </w:t>
      </w:r>
    </w:p>
    <w:p w14:paraId="691E55AC" w14:textId="77777777" w:rsidR="00CE2A94" w:rsidRPr="00640820" w:rsidRDefault="00CE2A9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 Рогов Н.И. –"– </w:t>
      </w:r>
    </w:p>
    <w:p w14:paraId="4BC98392" w14:textId="77777777" w:rsidR="00CE2A94" w:rsidRPr="00640820" w:rsidRDefault="00CE2A9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 Ермолаев В.А. –"– </w:t>
      </w:r>
    </w:p>
    <w:p w14:paraId="0CC95AF3" w14:textId="77777777" w:rsidR="00CE2A94" w:rsidRPr="00640820" w:rsidRDefault="00CE2A9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4. Ходынюк П.С. – главный диспетчер завода </w:t>
      </w:r>
    </w:p>
    <w:p w14:paraId="23B2C6C4" w14:textId="77777777" w:rsidR="00CE2A94" w:rsidRPr="00640820" w:rsidRDefault="00CE2A9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5. Поздняков И.В. – главный бухгалтер </w:t>
      </w:r>
    </w:p>
    <w:p w14:paraId="1C80004F" w14:textId="77777777" w:rsidR="00CE2A94" w:rsidRPr="00640820" w:rsidRDefault="00CE2A9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6. Гришина К.В. – конструктор </w:t>
      </w:r>
    </w:p>
    <w:p w14:paraId="75988587" w14:textId="77777777" w:rsidR="00CE2A94" w:rsidRPr="00640820" w:rsidRDefault="00CE2A9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7. Бормантов – старший инженер </w:t>
      </w:r>
    </w:p>
    <w:p w14:paraId="77477A09" w14:textId="77777777" w:rsidR="00CE2A94" w:rsidRPr="00640820" w:rsidRDefault="00CE2A9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8. Щавров А.С. – ответственный исполнитель </w:t>
      </w:r>
    </w:p>
    <w:p w14:paraId="0C219DFD" w14:textId="77777777" w:rsidR="00CE2A94" w:rsidRPr="00640820" w:rsidRDefault="00CE2A9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9. Кузнецов Н.Т. – механик </w:t>
      </w:r>
    </w:p>
    <w:p w14:paraId="00B6A9FD" w14:textId="77777777" w:rsidR="00CE2A94" w:rsidRPr="00640820" w:rsidRDefault="00CE2A9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10. Рябцев – шофер </w:t>
      </w:r>
    </w:p>
    <w:p w14:paraId="7AA3EF6D" w14:textId="77777777" w:rsidR="00CE2A94" w:rsidRPr="00640820" w:rsidRDefault="00CE2A9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11. Федин – шофер и много других работников завода. </w:t>
      </w:r>
    </w:p>
    <w:p w14:paraId="7E25225B" w14:textId="77777777" w:rsidR="00CE2A94" w:rsidRPr="00640820" w:rsidRDefault="00CE2A9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Направленная к эшелону для погрузки документация главной бухгалтерии завода и ОКСа не была погружена и возвращена обратно на завод. </w:t>
      </w:r>
    </w:p>
    <w:p w14:paraId="71A3E8E1" w14:textId="77777777" w:rsidR="00CE2A94" w:rsidRPr="00640820" w:rsidRDefault="00CE2A9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Со стороны начальника отдела кадров т. Ч. было проявлено преступно халатное отношение к делам личного состава завода. Все трудовые книжки и личные дела были брошены и в эшелон не погружены. </w:t>
      </w:r>
    </w:p>
    <w:p w14:paraId="3829E844" w14:textId="77777777" w:rsidR="00CE2A94" w:rsidRPr="00640820" w:rsidRDefault="00CE2A9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Все это безобразие происходило на глазах парторга завода т. У. и членов бюро, которые никаких мер не приняли для устранения беспорядков и безобразий, а занимались своими личными делами. За все безобразия и антисоветские поступки лица, указанные в акте, должны понести суровую кару по законам военного времени. </w:t>
      </w:r>
    </w:p>
    <w:p w14:paraId="3AC03B2A" w14:textId="77777777" w:rsidR="00CE2A94" w:rsidRPr="00640820" w:rsidRDefault="00CE2A94"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Подписи: </w:t>
      </w:r>
    </w:p>
    <w:p w14:paraId="7BAA9884" w14:textId="77777777" w:rsidR="00CE2A94" w:rsidRPr="00640820" w:rsidRDefault="00CE2A94" w:rsidP="00640820">
      <w:pPr>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 xml:space="preserve">Агафонов М.Ф., Зимин А.Г. Синицин И.В., Ковардаев М.А., Рогов Н.И., Ермолаев В.А., Ходынюк П.С., Поздняков И.В., Бормантов Н.В., Щавров А.С., Кузнецов Н.Т., Рябцев И.И., Федин П.И. </w:t>
      </w:r>
    </w:p>
    <w:p w14:paraId="5AA9ED1F" w14:textId="77777777" w:rsidR="00CE2A94" w:rsidRPr="00640820" w:rsidRDefault="00CE2A94" w:rsidP="00640820">
      <w:pPr>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 xml:space="preserve">Опубл.: Москва прифронтовая. 1941–1942. Архивные документы и материалы. М.: Издательское объединение «Мосгорархив», 2001. С. 263 (17467). </w:t>
      </w:r>
    </w:p>
    <w:p w14:paraId="43FAB120" w14:textId="77777777" w:rsidR="00CE2A94" w:rsidRPr="00640820" w:rsidRDefault="00CE2A94" w:rsidP="00640820">
      <w:pPr>
        <w:spacing w:after="0" w:line="240" w:lineRule="auto"/>
        <w:jc w:val="both"/>
        <w:rPr>
          <w:rFonts w:ascii="Times New Roman" w:hAnsi="Times New Roman"/>
          <w:color w:val="000000" w:themeColor="text1"/>
          <w:sz w:val="16"/>
          <w:szCs w:val="16"/>
        </w:rPr>
      </w:pPr>
    </w:p>
    <w:p w14:paraId="036A03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16 октября по 11 ноября 1941 года по решению Государственного Комитета Обороны пропроизошла эвакуация Воронежского завода №16 в Казань, на территорию завода №27. Объединение позволило сконцентрировать в одном месте научно - конструкторскую мысль, материальные и трудовые ресурсы, позволило на новой технической основе решать сложнейшие производственные задачи, выдвинутые необходимостью военного времени (9688).</w:t>
      </w:r>
    </w:p>
    <w:p w14:paraId="152552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3E527D5" w14:textId="77777777" w:rsidR="00B56C07" w:rsidRPr="00640820" w:rsidRDefault="00B56C0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октября 1941 г. было принято решение об эвакуации Государственно го союзного завода № 26 из Рыбинска. С 24 октября по 4 ноября в Уфу было отправлено более 3-х тысяч вагонов и 25 барж по реке Волге. В условиях морозной зимы были возведены 10 производственных корпусов, введены в строй литейный, термический, кузнечный цехи, проложены 42 км железнодорожных путей, построены депо и помещения для транспорта. Для проживания работников завода построили 127 домов и бараков, соорудили два палаточных лагеря, в которых разместились 6600 человек. Вместе с заводом эвакуировались ОКБ во главе с главным конструктором В. Я. Климовым и серийноконструкторское бюро завода № 26, которым руководил Ю. М. Кузьмин. В Уфе ОКБ-26 разместилось в Доме культуры «Ударник» Уфимского моторного завода. В отдельном корпусе оборудовали сначала лабораторию, а затем опытный завод. Серийноконструкторское бюро эвакуировалось с входящей в его структуру летноиспытательной станцией, являвшейся по документам цехом № 27, имевшей в своем составе бомбардировщики Пе-2, Ер-2 и СБ-2, истребители Як-1. 3 января 1942 г. в состав СКБ был включен отдел главного конструктора завода № 384 (19705).</w:t>
      </w:r>
    </w:p>
    <w:p w14:paraId="1935EF2C" w14:textId="77777777" w:rsidR="00B56C07" w:rsidRPr="00640820" w:rsidRDefault="00B56C07" w:rsidP="00640820">
      <w:pPr>
        <w:spacing w:after="0" w:line="240" w:lineRule="auto"/>
        <w:jc w:val="both"/>
        <w:rPr>
          <w:rFonts w:ascii="Times New Roman" w:hAnsi="Times New Roman"/>
          <w:color w:val="000000" w:themeColor="text1"/>
          <w:sz w:val="16"/>
          <w:szCs w:val="16"/>
        </w:rPr>
      </w:pPr>
    </w:p>
    <w:p w14:paraId="452527D3" w14:textId="77777777" w:rsidR="00C862E9" w:rsidRPr="00640820" w:rsidRDefault="00C862E9"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color w:val="000000" w:themeColor="text1"/>
          <w:sz w:val="16"/>
          <w:szCs w:val="16"/>
        </w:rPr>
        <w:t xml:space="preserve">16 октября </w:t>
      </w:r>
      <w:r w:rsidRPr="00640820">
        <w:rPr>
          <w:rFonts w:ascii="Times New Roman" w:hAnsi="Times New Roman"/>
          <w:color w:val="000000" w:themeColor="text1"/>
          <w:sz w:val="16"/>
          <w:szCs w:val="16"/>
        </w:rPr>
        <w:t>в 1941 году завод №2 имени рабочего Андреева, ныне ОАО «Объединение Вымпел» (город Москва), приступил к выпуску 7 видов парашютных систем (14801).</w:t>
      </w:r>
    </w:p>
    <w:p w14:paraId="3D75B660" w14:textId="77777777" w:rsidR="00C862E9" w:rsidRPr="00640820" w:rsidRDefault="00C862E9" w:rsidP="00640820">
      <w:pPr>
        <w:spacing w:after="0" w:line="240" w:lineRule="auto"/>
        <w:jc w:val="both"/>
        <w:rPr>
          <w:rFonts w:ascii="Times New Roman" w:hAnsi="Times New Roman"/>
          <w:color w:val="000000" w:themeColor="text1"/>
          <w:sz w:val="16"/>
          <w:szCs w:val="16"/>
        </w:rPr>
      </w:pPr>
    </w:p>
    <w:p w14:paraId="67E249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октября 1941 г. было принято решение об эвакуации завода (Завод № 26 им. В.Н. Павлова ВСНХ, НКТП, НКОП, НКАП, МАП, Башкирского СНХ, Завод «Русский Рено», Государственный автомобильный завод № 3 (ГАЗ-З), Завод № 6 ВСНХ, Государственный авиационный завод № 6 (ГАЗ-6) ГУВП ВСНХ, ГАЗ-6 им. В.Н. Павлова ВСНХ, Уфимский моторостроительный завод (УМЗ), п/я 100, Уфимское моторостроительное ПО (УМПО), В-2988, ОАО «УМПО» / г. Рыбинск Ярославской обл. Мологское ш. «ГАЗ шестой» (1925-27 г.)/ /ст. Черниковка,  г. Черниковск Сталинского р-на Башкирской АССР (1947 г.)/ /Башкортостан 450039  г. Уфа ул. Сельская Богородская, 4 тел. 38-33-66, 38-75-44; ул. М. Ферина, 2 (2005 г.)/ /Представительство в Москве: ул. 1-я Тверская-Ямская, 13/1 тел. 250-22-16, 911-13-11/). В 11.1941 г. завод вместе с опытным производством эвакуирован в Уфу на площадку завода № 384 НКАП (эвакуировано более 3000 вагонов и 25 барж с оборудованием, материалами и личным составом). Последние эшелоны прибыли на ст. Черниковка в 12.1941 г. Приказом НКАП № 1164сс от 17.12.1941 г. для обеспечения выпуска моторов М-105Р образован объединенный завод, получивший название «Уфимский моторостроительный завод № 26 НКАП» в ЗГУ. Новому заводу переданы все помещения, оборудование и кадры завода № 384 НКАП, объединившего к тому времени заводы № 234 (эвакуирован по приказам № 652сс от 9.07.1941 г. и № 729сс от 22.07.1941 г.), № 338, № 451 и № 282 НКАП. Сюда также были эвакуированы часть завода № 219 и проектное бюро ЦИАМ. Завод размещался на нескольких площадках, одной из которых была территория Протезного завода. Здесь в 1941-43 г. базировалось эвакуированное ОКБ-250 гл. конструктора В.А. Добрынина. Пост. ГКО № 1832 от 30.05.1942 г. 100 чел. ИТР были переведены с завода № 26 на завод № 45.</w:t>
      </w:r>
    </w:p>
    <w:p w14:paraId="6F382D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Приказом директора завода от 14.11.1941 г. уполномоченным управляющим в Рыбинске остался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Кустов. На площадке эвакуированного завода в Рыбинске по приказу НКАП от 1.03.1942 г. образован завод № 36 НКАП. В 04.1942 г. из Уфы на новый завод переведено 130 чел.</w:t>
      </w:r>
    </w:p>
    <w:p w14:paraId="592CD0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28.04.1942 г. вышло постановление ГКО № 1673 о выпуске на заводе моторов М-105ПФ, 25.09.1942 г. - постановление ГКО № 2346 о форсировании работ по постройке и испытанию на заводе моторов М-107А и М- 106. Пост. ГКО № 4849 от 27.12.1943 г. мотор ВК-107А запущен в серию.</w:t>
      </w:r>
    </w:p>
    <w:p w14:paraId="273A7B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ГКО № 2760 от 18.01.1943 г. на заводе организовано производство танковых дизелей.</w:t>
      </w:r>
    </w:p>
    <w:p w14:paraId="09A2B5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годы войны заводом выпущена 91 тыс. моторов.</w:t>
      </w:r>
    </w:p>
    <w:p w14:paraId="420986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МАП № 180 заводу поручено производство трофейного ТРД ЮМО-004 с выпуском в 1945 г., начиная с августа, 110 двигателей.</w:t>
      </w:r>
    </w:p>
    <w:p w14:paraId="0278B1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1946 г. на завод передано полностью оборудование завода «Юнкере» в Мульденштейне (Германия)- 235 станков (в т.ч. 6 гидропрессов мощностью 1000-2500 тонн) и 112 единиц прочего оборудования.</w:t>
      </w:r>
    </w:p>
    <w:p w14:paraId="6B391B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1954 г. начат выпуск узлов для вертолетов; короткоресурсных двигателей для КР, мишеней, БПЛА, с 1958 г.- производство ЖРД. По 1990 г. выпущено более 25 моделей ЖРД.</w:t>
      </w:r>
    </w:p>
    <w:p w14:paraId="08E941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СМ СССР № 713-342 от 26.06.1957 г. завод № 26 передан в ведение СНХ РСФСР. Имел наименование «п/я 100».</w:t>
      </w:r>
    </w:p>
    <w:p w14:paraId="776FA8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1950-е  г. освоен выпуск малолитражных двигателей, к 2007 г. их выпущено более 3 млн. В 09.1965 г. организовано производство двигателей для автомобилей «Москвич-412», преобразованное затем в Уфимский завод автомобильных моторов (УЗАМ). К 2007 г. их выпущено более 8 млн.</w:t>
      </w:r>
    </w:p>
    <w:p w14:paraId="119252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МАП от 17.11.1977 г. на заводе началось освоение производства АЛ-31Ф, по пр. от 10.04.1978 г. в производство запущен двигатель в новой компоновке (с верхним расположением агрегатов).</w:t>
      </w:r>
    </w:p>
    <w:p w14:paraId="357AC2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Освоен выпуск узлов двигателей НК-25 и НК-32. Для этого построено 4 новых производственных корпуса, организовано 52 спецучастка в 19 цехах, освоено более 100 новых техпроцессов (в т.ч. детонационное напыление полок лопаток компрессора, штамповка взрывом, виброупрочнение титановых лопаток, алмазное выглаживание). В 1980 г. на заводе построен корпус титанового литья; в 1981 г.- корпус вакуумных установок направленной кристализации и участок сварки в обитаемой камере в среде аргона.</w:t>
      </w:r>
    </w:p>
    <w:p w14:paraId="418DAB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Имел филиал в Узбекистане, директор (1986 г.-)- Н.Б. Пучнин.</w:t>
      </w:r>
    </w:p>
    <w:p w14:paraId="72EE66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1978 г. на базе завода создано УМПО. В 1993 г. предприятие преобразовано в АО. В 06.2003 г. ММПП «Салют» и УМПО образовали корпорацию «Газотурбинные двигатели». По решению правительства № 22-р от 9.01.2004 г. УМПО вошло в перечень стратегических предприятий. В 2005 г. учреждено ОАО «Управляющая компания (УК) «Уфимские моторы». В 08.2007 г. создано ЗАО «Управляющая компания «Сатурн-УМПО». В 12.2008 г. УМПО продано компании «Оборонпром».</w:t>
      </w:r>
    </w:p>
    <w:p w14:paraId="3ECCD6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Предприятием освоен выпуск более 60 типов авиационных двигателей. Самое крупное в России (2005 г.) авиадвигателестроительное предприятие.</w:t>
      </w:r>
    </w:p>
    <w:p w14:paraId="534D38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2006 г. велась подготовка производства двигателя </w:t>
      </w:r>
      <w:r w:rsidRPr="00640820">
        <w:rPr>
          <w:rFonts w:ascii="Times New Roman" w:hAnsi="Times New Roman"/>
          <w:color w:val="000000" w:themeColor="text1"/>
          <w:sz w:val="16"/>
          <w:szCs w:val="16"/>
          <w:lang w:val="en-US"/>
        </w:rPr>
        <w:t>V</w:t>
      </w:r>
      <w:r w:rsidRPr="00640820">
        <w:rPr>
          <w:rFonts w:ascii="Times New Roman" w:hAnsi="Times New Roman"/>
          <w:color w:val="000000" w:themeColor="text1"/>
          <w:sz w:val="16"/>
          <w:szCs w:val="16"/>
        </w:rPr>
        <w:t xml:space="preserve"> поколения, построено 5 экспериментальных образцов (тема 117С, совместно с НПО «Сатурн»).</w:t>
      </w:r>
    </w:p>
    <w:p w14:paraId="548BBD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(1925 г.)- 297 ед., (1926 г.)- 261 ед.</w:t>
      </w:r>
    </w:p>
    <w:p w14:paraId="0FEF90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территории (1925 г.)- 573 тыс.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производственная (1925 г.)- 24,75 тыс.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748B94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(12.1926 г.)- 141 чел., (1.10.2001 г.)- 17.250 чел.</w:t>
      </w:r>
    </w:p>
    <w:p w14:paraId="29CBE4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Управляющий (1916-18 г.)-  Г. Шевалье, (1919-22 г.)- А.С. Новиков, (05.1922 г.-)- А.А. Сабанеев, (1922-23 г.)- С.Н. Юшкевич, (1924-25 г.)- И.К. Иванов. Директор (1925-ЗО г.)- И.С. Михайлов, (1930-34 г.; 1936-28.10.1937 г.)-  Г.Н. Королев (снят), (1934 г.)- А.И. Карлик, (1934-35 г.)- И.И. Побережский, (13.02.1938-39; 12.1941-46 г.)- В.П. Баландин, (1939-40 г.)- А.А. Завитаев, (1940-1941; 08.1946-47 г.-)- П.Д. Лаврентьев, (1949 г.-)- М.И. Субботин</w:t>
      </w:r>
      <w:r w:rsidRPr="00640820">
        <w:rPr>
          <w:rFonts w:ascii="Times New Roman" w:hAnsi="Times New Roman"/>
          <w:color w:val="000000" w:themeColor="text1"/>
          <w:sz w:val="16"/>
          <w:szCs w:val="16"/>
          <w:vertAlign w:val="superscript"/>
        </w:rPr>
        <w:t>49</w:t>
      </w:r>
      <w:r w:rsidRPr="00640820">
        <w:rPr>
          <w:rFonts w:ascii="Times New Roman" w:hAnsi="Times New Roman"/>
          <w:color w:val="000000" w:themeColor="text1"/>
          <w:sz w:val="16"/>
          <w:szCs w:val="16"/>
        </w:rPr>
        <w:t>, (1947-77 г.)- М.А. Ферин. Гендиректор (-11.1977-86 г.)- В.Д. Дьяконов, (1986-98 г.)- В.М. Паращенко, (1998- 18.12.2004 г.)- В.П. Лесунов; и.о. (20.12.2004-01.2005 г.)- Ю.Л. Пустовгаров; (01.2005-22.03.2006 г.)- Ю.Л. Пустовгаров, (03.2006-09 г.-)- А.В. Артюхов.</w:t>
      </w:r>
    </w:p>
    <w:p w14:paraId="0DF908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Зам. директора: (5.09.1927 г.-)- Я.Д. Будаков, (25.03.1938 г.-)- А.А. Завитаев, (12.1941 г.-)- П.Д. Лаврентьев; по основному производству (1989 г.-)- Н.Б. Пучнин. Помощник директора: по техчасти (07.1927 г.)- Титов; по найму и увольнению (-06.1937-09.1938 г.-)-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Рысин. Зам. гендиректора (1996 г.)- В.М. Толоконников, (2003-06 г.)- А. Артюхов, (2005 г.)- Р.З. Агзамов.</w:t>
      </w:r>
    </w:p>
    <w:p w14:paraId="25BED3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технический (20.08.1937 г.-)- В.П. Баландин, (12.1938 г.)- А.А. Завитаев, (2002 г.)- В.А. Грабовский, (- 2004-01.2005 г.)- Ю.Л. Пустовгаров, (01.2005-07 г.-)- С.П. Павлинич; коммерческий (2002 г.)- Ю.Л. Пустовгаров; по маркетингу (2005 г.)- Р.З. Агзамов; по стратегическому развитию (2006 г.)- П. Кривной; основного производства (2002 г.)- В.М. Кислицын; УЗАМ (2002 г.)- Н.Н. Федоров; БМЗ (2002 г.)- С.Н. Реутцкий; УИЗ (2002 г.)- Р.С. Шехтман.</w:t>
      </w:r>
      <w:r w:rsidRPr="00640820">
        <w:rPr>
          <w:rFonts w:ascii="Times New Roman" w:hAnsi="Times New Roman"/>
          <w:color w:val="000000" w:themeColor="text1"/>
          <w:sz w:val="16"/>
          <w:szCs w:val="16"/>
          <w:vertAlign w:val="superscript"/>
        </w:rPr>
        <w:t>69</w:t>
      </w:r>
    </w:p>
    <w:p w14:paraId="24B166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(1920 г.-)-  Г. Филиппов, (-1936-05.1937 г.-)- М.В. Ходушин, (25.03.1938 г.-)- А.А. Завитаев, (-1939- 41 г.-)- П.Д. Лаврентьев, (1970-е)- В.Н. Дрозденко, (1978 г.)- А.Н. Мочалов.</w:t>
      </w:r>
    </w:p>
    <w:p w14:paraId="44BA77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(1930 г.)- А.П. Ро, (1935-46 г.)- В.Я. Климов.</w:t>
      </w:r>
    </w:p>
    <w:p w14:paraId="4075AA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конструктора (1949 г.-)- С.А. Гаврилов.</w:t>
      </w:r>
    </w:p>
    <w:p w14:paraId="7D2C10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Гл. технолог (20.08.1937 г.-)- А.А. Завитаев, (1939 г.)-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Мыздриков, А.Т. Кладовщиков. Гл. металлург (1941 г.)- М.А. Ферин.</w:t>
      </w:r>
    </w:p>
    <w:p w14:paraId="1E8E8C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Глава корпорации «Газотурбинные двигатели» (06.2003 г.-)- В. Брылев.</w:t>
      </w:r>
    </w:p>
    <w:p w14:paraId="5DA0A6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подготовки производства (-1939 г.)- А.А. Завитаев. Начальник отделения (1941-46 г.)- В. Г. Хорошайлов.</w:t>
      </w:r>
    </w:p>
    <w:p w14:paraId="772E77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цехов: цветной штамповки (1939 г.)- Тарханов.</w:t>
      </w:r>
    </w:p>
    <w:p w14:paraId="4C9A16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Заведующие отделами: техническим (1928 г.)- В.Е. Фохт.</w:t>
      </w:r>
    </w:p>
    <w:p w14:paraId="4E6B56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начальника отдела: КО (1943-46 г.)- С.П. Изотов.</w:t>
      </w:r>
    </w:p>
    <w:p w14:paraId="06E90E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лабораторий: центральной (1930-е)- М.А. Ферин.</w:t>
      </w:r>
    </w:p>
    <w:p w14:paraId="35DE34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бюро: (1940 г.)- В.Н. Масленников.</w:t>
      </w:r>
    </w:p>
    <w:p w14:paraId="28975A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авиационные двигатели: поршневые: М-17 (1930-38)- 8000, танковый М-17Т (-1934-37-), «Испано-Сюиза 12» (1930-е), М-34 (1931)- 23, М-100 (1934-38)- 498, М-103 (1936-41)- 1280, М-104 (1939-40), М- 105 (1939-41), М-17Ф (1940-41), М-105ПФ (1942-46), ВК-106П (1943-46), ВК-107 (1943-48), ВК-108 (1945-46); ГТД: РД-10А (1946-49), РД-45 (1948-50), РД-45Ф (1951-55), ВК-1 (1949-55), РД-9Б (1954-74), РД-9Ф (1956-74), РД-9БК (1959-85), РЗ-26 (1958-59), М-9ФК (1959), КРД-26 (для П-5, 1959), Р11К (1960-80), КР-7-300 (1961-), Р11Ф-300 (1962-75; -2004-), Р13-300 (1969-86), Р13Ф-300 (1971-78; -2004-), Р25-300 (1972-86; -2004-), Р27Ф2-300, Р29Б-300 (1974-86; -2004-), Р-35, Р-95Ш (1980-2005-), Р-195 (1988-2005-), КР-17 (1980-е), КР21-300 (1980-е), Р- 295, АЛ-31Ф (1981-2005-), АЛ-31ФП, Д-27 (2002), Д-436 (2000-05-);</w:t>
      </w:r>
      <w:r w:rsidRPr="00640820">
        <w:rPr>
          <w:rFonts w:ascii="Times New Roman" w:hAnsi="Times New Roman"/>
          <w:color w:val="000000" w:themeColor="text1"/>
          <w:sz w:val="16"/>
          <w:szCs w:val="16"/>
          <w:vertAlign w:val="superscript"/>
        </w:rPr>
        <w:t>49</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vertAlign w:val="superscript"/>
        </w:rPr>
        <w:t>68</w:t>
      </w:r>
      <w:r w:rsidRPr="00640820">
        <w:rPr>
          <w:rFonts w:ascii="Times New Roman" w:hAnsi="Times New Roman"/>
          <w:color w:val="000000" w:themeColor="text1"/>
          <w:sz w:val="16"/>
          <w:szCs w:val="16"/>
        </w:rPr>
        <w:t xml:space="preserve"> АЛ-55 (2005); бортовой компрессор АКР- 30 (-1938); узлы для НК-25, НК-32, Д-436ТП (2000-); газотурбинный привод АЛ-31СТ (1996-2005-), АЛ-31СТЭ; самопуск типа «Вьет» (-1938); узлы для Ми-6, Ми-10, Ка-26 (1954-), колонки для вертолетов Ка-27, Ка-28, Ка-29, Ка-32 (-2004-05-), автомат перекоса для Ми-26 (2005); </w:t>
      </w:r>
    </w:p>
    <w:p w14:paraId="5180DD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карбюраторные двигатели для автомобилей «Москвич-412» (1967-), бензиновый мотор УМЗ- 341; снегоходы «Рысь» (1990-е)- более 14 тыс.; мотоблоки «Универсал», МБ-1, «Урал», «Урал-3», «Агрос», «Агро» (1980-е-2000- е)- всего около 150 тыс.; водные мотоциклы, токарно-винторезные станки: ТВ-320 (1956-70), «1961» (1994-2004-)- всего около 40 тыс.; капремонт двигателей Р13-300, Р25-300, Р29Б-300 (2005) (11982).</w:t>
      </w:r>
    </w:p>
    <w:p w14:paraId="57C227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E7AC8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октября 1941 года завод № 214 был эвакуирован в Свердловск, где был размещен в помещении бывш. клуба “Профинтерн”, ул. Володарского, д. 7, где к тому времени был уже создан филиал завода на базе двух заводов №№ 382 и 89. В 1942 году завод получил недостроенное здание по ул. Максима Горького, предназначавшееся для городской библиотеки. В 1945 году на основании Постановления ГКО к заводу № 214 был присоединен завод № 474 с сильфонным производством, расположенный в здании бывш. ж/д техникума (Красный пер., д. 7).</w:t>
      </w:r>
    </w:p>
    <w:p w14:paraId="5771D1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4855C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Таким образом, завод оказался размещенным в трех зданиях.</w:t>
      </w:r>
    </w:p>
    <w:p w14:paraId="4B44CE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Директора завода: 1936-1942 гг. – Гоцеридзе М.С. 1942-1943 гг. – Лебедев И.А. 1943-1945 гг. – Алешин И.С. 1945-1946 гг. – Воробьев В.И. 1946-1949 гг. – Суков Д.В. 1949-1952 гг. – Белов А.В. 1952-1953 гг. – Лобанов В.В. с 1953 года – Пермяков Н.Н.</w:t>
      </w:r>
    </w:p>
    <w:p w14:paraId="29B7C0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 Н. Пермяков</w:t>
      </w:r>
    </w:p>
    <w:p w14:paraId="096FD2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Свердловск, Красный переулок, д. 7</w:t>
      </w:r>
    </w:p>
    <w:p w14:paraId="21F7ED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Производственный профиль – авиационные приборы (9838)</w:t>
      </w:r>
    </w:p>
    <w:p w14:paraId="3F5963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349E143"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2453AC0C"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8FC00A2" w14:textId="77777777" w:rsidR="00B03639" w:rsidRPr="00640820" w:rsidRDefault="00B03639" w:rsidP="00640820">
      <w:pPr>
        <w:pStyle w:val="ae"/>
        <w:shd w:val="clear" w:color="auto" w:fill="FFFFFF"/>
        <w:spacing w:before="0" w:after="0"/>
        <w:jc w:val="both"/>
        <w:rPr>
          <w:color w:val="000000" w:themeColor="text1"/>
          <w:sz w:val="16"/>
          <w:szCs w:val="16"/>
        </w:rPr>
      </w:pPr>
      <w:r w:rsidRPr="00640820">
        <w:rPr>
          <w:color w:val="000000" w:themeColor="text1"/>
          <w:sz w:val="16"/>
          <w:szCs w:val="16"/>
        </w:rPr>
        <w:t>16 октября 1941 на Уральском артиллерийском полигоне (ныне Нижнетагильский институт испытания металлов (НТИИМ)), после 105 выстрелов, по предложению завода №172 испытания приостановили. Связано это было с необходимостью изготовления нового клина и ряда других деталей. Испытания возобновились 3 ноября. После 402 выстрелов из-за большого разгара нарезной части канала ствола трубу №5 заменили на трубу №4. Испытания стрельбой закончили 11 декабря, но из-за занятости испытаниями других систем отчёт о них был составлен только ко 2 января 1942 года.</w:t>
      </w:r>
    </w:p>
    <w:p w14:paraId="36B10A23" w14:textId="77777777" w:rsidR="00B03639" w:rsidRPr="00640820" w:rsidRDefault="00B03639" w:rsidP="00640820">
      <w:pPr>
        <w:pStyle w:val="ae"/>
        <w:shd w:val="clear" w:color="auto" w:fill="FFFFFF"/>
        <w:spacing w:before="0" w:after="0"/>
        <w:jc w:val="both"/>
        <w:rPr>
          <w:color w:val="000000" w:themeColor="text1"/>
          <w:sz w:val="16"/>
          <w:szCs w:val="16"/>
        </w:rPr>
      </w:pPr>
      <w:r w:rsidRPr="00640820">
        <w:rPr>
          <w:color w:val="000000" w:themeColor="text1"/>
          <w:sz w:val="16"/>
          <w:szCs w:val="16"/>
        </w:rPr>
        <w:t>Общие выводы по испытаниям оказались крайне неоднозначными. Во-первых, живучесть трубы была определена всего в 250–300 выстрелов, что было явно недостаточным. Во-вторых, возникли серьёзные проблемы с бронепробиваемостью. Пушка пробила лист толщиной 152 мм, но случилось это на дистанции всего 100 метров. На дистанции в километр обстрел даже не проводился, поскольку корпуса снарядов оказались непрочными.</w:t>
      </w:r>
    </w:p>
    <w:p w14:paraId="40DEBEE6" w14:textId="77777777" w:rsidR="00B03639" w:rsidRPr="00640820" w:rsidRDefault="00B03639" w:rsidP="00640820">
      <w:pPr>
        <w:pStyle w:val="ae"/>
        <w:shd w:val="clear" w:color="auto" w:fill="FFFFFF"/>
        <w:spacing w:before="0" w:after="0"/>
        <w:jc w:val="both"/>
        <w:rPr>
          <w:color w:val="000000" w:themeColor="text1"/>
          <w:sz w:val="16"/>
          <w:szCs w:val="16"/>
        </w:rPr>
      </w:pPr>
      <w:r w:rsidRPr="00640820">
        <w:rPr>
          <w:color w:val="000000" w:themeColor="text1"/>
          <w:sz w:val="16"/>
          <w:szCs w:val="16"/>
        </w:rPr>
        <w:t xml:space="preserve">Впрочем, это было хронической проблемой советских бронебойных снарядов большинства систем, стоявших на вооружении, и решить её удалось далеко не сразу. Реальная скорострельность пушки оказалась всего 5–6 выстрелов в минуту. Наблюдались большие проблемы и с экстракцией гильз. В итоге М75 признали не </w:t>
      </w:r>
      <w:r w:rsidRPr="00640820">
        <w:rPr>
          <w:color w:val="000000" w:themeColor="text1"/>
          <w:sz w:val="16"/>
          <w:szCs w:val="16"/>
        </w:rPr>
        <w:lastRenderedPageBreak/>
        <w:t>выдержавшей испытания.</w:t>
      </w:r>
    </w:p>
    <w:p w14:paraId="3C4E63C2" w14:textId="77777777" w:rsidR="00B03639" w:rsidRPr="00640820" w:rsidRDefault="00B03639" w:rsidP="00640820">
      <w:pPr>
        <w:pStyle w:val="ae"/>
        <w:shd w:val="clear" w:color="auto" w:fill="FFFFFF"/>
        <w:spacing w:before="0" w:after="0"/>
        <w:jc w:val="both"/>
        <w:rPr>
          <w:color w:val="000000" w:themeColor="text1"/>
          <w:sz w:val="16"/>
          <w:szCs w:val="16"/>
        </w:rPr>
      </w:pPr>
      <w:r w:rsidRPr="00640820">
        <w:rPr>
          <w:color w:val="000000" w:themeColor="text1"/>
          <w:sz w:val="16"/>
          <w:szCs w:val="16"/>
        </w:rPr>
        <w:t>Потенциально довести М75 до ума завод №172, конечно, мог. Схожие проблемы имели многие пушки, в том числе противотанковые. Ход испытаний показал, каким образом можно устранить выявленные недостатки. Кроме того, как уже говорилось выше, Уральский артиллерийский полигон не был приспособлен к полноценным испытаниям, и в условиях завода можно было решить многие возникшие на полигоне проблемы (17108).</w:t>
      </w:r>
    </w:p>
    <w:p w14:paraId="2655DA07" w14:textId="77777777" w:rsidR="00B03639" w:rsidRPr="00640820" w:rsidRDefault="00B03639" w:rsidP="00640820">
      <w:pPr>
        <w:pStyle w:val="ae"/>
        <w:shd w:val="clear" w:color="auto" w:fill="FFFFFF"/>
        <w:spacing w:before="0" w:after="0"/>
        <w:jc w:val="both"/>
        <w:rPr>
          <w:color w:val="000000" w:themeColor="text1"/>
          <w:sz w:val="16"/>
          <w:szCs w:val="16"/>
        </w:rPr>
      </w:pPr>
    </w:p>
    <w:p w14:paraId="4699FC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октября 1941 года на постоянную работу на ГАЗ прибыл Н.А. Астров с небольшой группой московских коллег, (основной коллектив выехал в Свердловск) для конструкторского обеспечения производства. Вскоре его назначили заместителем главного конструктора завода по танкостроению, а в начале 1942 года он получил Сталинскую премию за создание легких танков Т-40 и Т-60. ГАЗ стал головным и самым крупным заводом по выпуску Т-60 (3862).</w:t>
      </w:r>
    </w:p>
    <w:p w14:paraId="1C6A8A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E3E1B0A" w14:textId="77777777" w:rsidR="00F52A2A" w:rsidRPr="00640820" w:rsidRDefault="00F52A2A" w:rsidP="00640820">
      <w:pPr>
        <w:pStyle w:val="ae"/>
        <w:spacing w:before="0" w:after="0"/>
        <w:jc w:val="both"/>
        <w:rPr>
          <w:color w:val="000000" w:themeColor="text1"/>
          <w:sz w:val="16"/>
          <w:szCs w:val="16"/>
        </w:rPr>
      </w:pPr>
      <w:r w:rsidRPr="00640820">
        <w:rPr>
          <w:color w:val="000000" w:themeColor="text1"/>
          <w:sz w:val="16"/>
          <w:szCs w:val="16"/>
        </w:rPr>
        <w:t>16 октября 1941 прекратились поставки Т-30 с завода № 37, с этого мо</w:t>
      </w:r>
      <w:r w:rsidRPr="00640820">
        <w:rPr>
          <w:color w:val="000000" w:themeColor="text1"/>
          <w:sz w:val="16"/>
          <w:szCs w:val="16"/>
        </w:rPr>
        <w:softHyphen/>
        <w:t>мента ГАЗ им. Молотова стал единственным в стране производителем малых танков. Ситуация, когда завод планомерно срывал поставки столь необходимых войскам танков, была признана неприемлемой. Еще в десятых числах октября с завода № 37 на ГАЗ отправляются Астров и Окунев. На новом месте Астров стал заместителем главного конструктора, а Окунев — старшим военпредом. 20 октября на завод пришла телеграмма лично от Сталина, в которой он потребовал увели</w:t>
      </w:r>
      <w:r w:rsidRPr="00640820">
        <w:rPr>
          <w:color w:val="000000" w:themeColor="text1"/>
          <w:sz w:val="16"/>
          <w:szCs w:val="16"/>
        </w:rPr>
        <w:softHyphen/>
        <w:t>чить производство Т-60 до 10 машин в сутки. Для изучения ситуации в Горький прибыл Малышев, его энергичные действия в немалой сте</w:t>
      </w:r>
      <w:r w:rsidRPr="00640820">
        <w:rPr>
          <w:color w:val="000000" w:themeColor="text1"/>
          <w:sz w:val="16"/>
          <w:szCs w:val="16"/>
        </w:rPr>
        <w:softHyphen/>
        <w:t>пени способствовали выправлению ситуации. Несмотря на имевшиеся проблемы, уже в октябре ГАЗ смог не только выполнить месячный план по выпуску танков, но и даже слегка его перевыполнить. За увеличение производства Т-60 пришлось заплатить высокую цену: в конце октября производство автомобилей на ГАЗ оказалось практически парализова</w:t>
      </w:r>
      <w:r w:rsidRPr="00640820">
        <w:rPr>
          <w:color w:val="000000" w:themeColor="text1"/>
          <w:sz w:val="16"/>
          <w:szCs w:val="16"/>
        </w:rPr>
        <w:softHyphen/>
        <w:t xml:space="preserve">но. С производства были сняты модели ГАЗ-61—73 и ГАЗ-61—416 как использующие дефицитный двигатель, приостановлен выпуск ГАЗ-64, объемы поставок ГАЗ АА и ГАЗ </w:t>
      </w:r>
      <w:r w:rsidRPr="00640820">
        <w:rPr>
          <w:color w:val="000000" w:themeColor="text1"/>
          <w:sz w:val="16"/>
          <w:szCs w:val="16"/>
          <w:lang w:val="en-US"/>
        </w:rPr>
        <w:t>AAA</w:t>
      </w:r>
      <w:r w:rsidRPr="00640820">
        <w:rPr>
          <w:color w:val="000000" w:themeColor="text1"/>
          <w:sz w:val="16"/>
          <w:szCs w:val="16"/>
        </w:rPr>
        <w:t xml:space="preserve"> снизились до минимума. Оконча</w:t>
      </w:r>
      <w:r w:rsidRPr="00640820">
        <w:rPr>
          <w:color w:val="000000" w:themeColor="text1"/>
          <w:sz w:val="16"/>
          <w:szCs w:val="16"/>
        </w:rPr>
        <w:softHyphen/>
        <w:t>тельно добило производство ряда машин то, что осенью ГАЗ им. Мо</w:t>
      </w:r>
      <w:r w:rsidRPr="00640820">
        <w:rPr>
          <w:color w:val="000000" w:themeColor="text1"/>
          <w:sz w:val="16"/>
          <w:szCs w:val="16"/>
        </w:rPr>
        <w:softHyphen/>
        <w:t>лотова освоил производство минометов, пистолетов-пулеметов ППШ, а также боеприпасов, включая реактивные мины для систем залпового огня.</w:t>
      </w:r>
    </w:p>
    <w:p w14:paraId="6FA02912" w14:textId="77777777" w:rsidR="00F52A2A" w:rsidRPr="00640820" w:rsidRDefault="00F52A2A" w:rsidP="00640820">
      <w:pPr>
        <w:pStyle w:val="162"/>
        <w:shd w:val="clear" w:color="auto" w:fill="auto"/>
        <w:spacing w:line="240" w:lineRule="auto"/>
        <w:jc w:val="both"/>
        <w:rPr>
          <w:color w:val="000000" w:themeColor="text1"/>
          <w:sz w:val="16"/>
          <w:szCs w:val="16"/>
        </w:rPr>
      </w:pPr>
      <w:r w:rsidRPr="00640820">
        <w:rPr>
          <w:color w:val="000000" w:themeColor="text1"/>
          <w:sz w:val="16"/>
          <w:szCs w:val="16"/>
        </w:rPr>
        <w:t>Определенную путаницу в историю создания Т-60 внесла эвакуация завода № 37 в Свердловск. Видя бедственное положение с корпусами и башнями, руководство завода предложило поставить ГАЗ некоторое количество башен для танков Т-30, кроме того, в Горький отправилось 9 Т-30, требовавших ремонта. Точное число отправленных на ГАЗ кор</w:t>
      </w:r>
      <w:r w:rsidRPr="00640820">
        <w:rPr>
          <w:color w:val="000000" w:themeColor="text1"/>
          <w:sz w:val="16"/>
          <w:szCs w:val="16"/>
        </w:rPr>
        <w:softHyphen/>
        <w:t>пусов и башен неизвестно, однако по состоянию на лето 1942 года на заводе все еще находилось 47 комплектов. Корпуса в дело не пошли, зато можно говорить о нескольких десятках выпущенных Т-60 с уста</w:t>
      </w:r>
      <w:r w:rsidRPr="00640820">
        <w:rPr>
          <w:color w:val="000000" w:themeColor="text1"/>
          <w:sz w:val="16"/>
          <w:szCs w:val="16"/>
        </w:rPr>
        <w:softHyphen/>
        <w:t>новленными на них коническими башнями. Подобные танки име</w:t>
      </w:r>
      <w:r w:rsidRPr="00640820">
        <w:rPr>
          <w:color w:val="000000" w:themeColor="text1"/>
          <w:sz w:val="16"/>
          <w:szCs w:val="16"/>
        </w:rPr>
        <w:softHyphen/>
        <w:t>лись, к примеру, в составе 33-й отдельной танковой бригады, а также 108-й танковой дивизии. Кроме того, как уже говорилось выше, с заво</w:t>
      </w:r>
      <w:r w:rsidRPr="00640820">
        <w:rPr>
          <w:color w:val="000000" w:themeColor="text1"/>
          <w:sz w:val="16"/>
          <w:szCs w:val="16"/>
        </w:rPr>
        <w:softHyphen/>
        <w:t>да № 37 было поставлено некоторое количество литых опорных катков (17485).</w:t>
      </w:r>
    </w:p>
    <w:p w14:paraId="6E547A97" w14:textId="77777777" w:rsidR="00F52A2A" w:rsidRPr="00640820" w:rsidRDefault="00F52A2A" w:rsidP="00640820">
      <w:pPr>
        <w:pStyle w:val="ae"/>
        <w:spacing w:before="0" w:after="0"/>
        <w:jc w:val="both"/>
        <w:rPr>
          <w:color w:val="000000" w:themeColor="text1"/>
          <w:sz w:val="16"/>
          <w:szCs w:val="16"/>
        </w:rPr>
      </w:pPr>
    </w:p>
    <w:p w14:paraId="39EFF827" w14:textId="77777777" w:rsidR="00D35C3E" w:rsidRPr="00640820" w:rsidRDefault="00D35C3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октября 1941 и без того скромный выпуск ЗИС-32 был прекращен. Началась эвакуация...  Всего успели изготовить 197 серийных ЗИС-32, все с цельной балкой переднего моста типа «банджо» (главное отличие ЗИС-32 от НАТИ-К2), но с разными шарнирами и поворотными цапфами.</w:t>
      </w:r>
    </w:p>
    <w:p w14:paraId="460FCF67" w14:textId="77777777" w:rsidR="00D35C3E" w:rsidRPr="00640820" w:rsidRDefault="00D35C3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Каждый экземпляр при сборке требовал тогда индивидуального подхода, и всегда что-то было не так. В основном подтекал сальник нижнего вала раздаточной коробки, случались другие «казусы». Конструкторы «не вылезали» из сборочного цеха и, по воспоминаниям Б.М. Фиттермана, за каждую собранную машину получали по приказу Лихачева по 1000 руб. </w:t>
      </w:r>
    </w:p>
    <w:p w14:paraId="67947716" w14:textId="77777777" w:rsidR="00D35C3E" w:rsidRPr="00640820" w:rsidRDefault="00D35C3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Эти две сотни моментально и почти бесследно были «распылены» между фронтовыми и тыловыми подразделениями и организациями.  Интересную информацию содержит Постановление ГКО № 98сс от 11 июля 1941 г. о формировании особой танковой бригады из добровольцев-специалистов заводов Наркомата среднего машиностроения (куда входили и все автозаводы). Среди списка автомобилей, которыми комплектовалась бригада, фигурируют 15 экземпляров ЗИС-32 (17499). </w:t>
      </w:r>
    </w:p>
    <w:p w14:paraId="45A96A92" w14:textId="77777777" w:rsidR="00D35C3E" w:rsidRPr="00640820" w:rsidRDefault="00D35C3E" w:rsidP="00640820">
      <w:pPr>
        <w:spacing w:after="0" w:line="240" w:lineRule="auto"/>
        <w:jc w:val="both"/>
        <w:rPr>
          <w:rFonts w:ascii="Times New Roman" w:eastAsia="Times New Roman" w:hAnsi="Times New Roman"/>
          <w:color w:val="000000" w:themeColor="text1"/>
          <w:sz w:val="16"/>
          <w:szCs w:val="16"/>
          <w:lang w:eastAsia="ru-RU"/>
        </w:rPr>
      </w:pPr>
    </w:p>
    <w:p w14:paraId="0F6A4C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16 октября 1941 года завод № 11 (в будущем Министерства общего машиностроения) прекратил работу и эвакуировал все оборудование на Восток. С 18 ноября 1941 года началось восстановление завода и частично возобновилось производство.</w:t>
      </w:r>
    </w:p>
    <w:p w14:paraId="7BFB9A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Нормально завод начал работать с 1942 года.</w:t>
      </w:r>
    </w:p>
    <w:p w14:paraId="7E7242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1917 по 1920 гг. завод носил название “Троицкий снаряжательный завод”. В 1920 году был переименован и до 1927 года имел название “Завод Красная ракета”. В 1927 году завод был вновь переименован и получил название “Сергиевский завод № 11”, позднее, в 1932 году слово “Сергиевский” из наименования завода было изъято.</w:t>
      </w:r>
    </w:p>
    <w:p w14:paraId="005F6D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Поселок завода с 1940 года стал именоваться городом Краснозаводск (10023).</w:t>
      </w:r>
    </w:p>
    <w:p w14:paraId="6800BF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FCCD4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октября 1941 г. последний эшелон завода № 252 (Завод № 252 НКОП , НКСП, Московский завод Остехуправления НКОП, Серпуховской радиотехнический завод (СРТЗ), М-5145, ОАО «Радиотехническое предприятие» (РАТЕП) /г. Москва Перово Поле, пос. Владимирский, 1; г. Сталинск-Кузнецкий/ /г. Серпухов Московской обл. ул. Дзержинского, 11/) был эвакуирован в  г. Сталинск-Кузнецкий (Новокузнецк). В 1941 г. в состав завода № 252 влит завод № 253 НКСП из Перопавловска. В соответствии с распоряжением ГКО № 2149 от 6.08.1942 г. на заводе № 252 в Сталинске организовано дублированное производство гирокомпасов. В Сталинске-Кузнецком завод № 252 действовал по 1943 г., затем реэвакуирован в Серпухов на площадку ткацкой фабрики. Вероятно, на его базе здесь создан новый завод № 271.</w:t>
      </w:r>
    </w:p>
    <w:p w14:paraId="700BC2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площадке эвакуированного завода в Москве в 02.1942 г. организован филиал завода № 252. В соответствии с распоряжением СНК СССР от 23.05.1942 г. и приказом НКСП от 26.04.1942 г. из филиалов заводов № 192 и № 252 организован самостоятельный завод № 703 НКСП.</w:t>
      </w:r>
    </w:p>
    <w:p w14:paraId="0E33FA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Создана лабораторная установка бездымного парогенератора для экспериментальной энергоустановки ПЛ (ВОВ).</w:t>
      </w:r>
      <w:r w:rsidRPr="00640820">
        <w:rPr>
          <w:rFonts w:ascii="Times New Roman" w:hAnsi="Times New Roman"/>
          <w:color w:val="000000" w:themeColor="text1"/>
          <w:sz w:val="16"/>
          <w:szCs w:val="16"/>
          <w:vertAlign w:val="superscript"/>
        </w:rPr>
        <w:t>61</w:t>
      </w:r>
    </w:p>
    <w:p w14:paraId="7B1592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производство РЛ средств для ВМФ.</w:t>
      </w:r>
    </w:p>
    <w:p w14:paraId="05A697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1950-х  г. завод определен головным по выпуску корабельной РЛС «Редан-3», начато строительство новых корпусов и оснащение оборудованием. В 1980-е  г. - головной завод по производству ЗРК «Клинок».</w:t>
      </w:r>
    </w:p>
    <w:p w14:paraId="631E77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имел наименование «п/я М-5145». В 1993 г. предприятие акционировано и преобразовано в АО. В 04.2002 г. вошло в концерн «Алмаз-Антей». По решению правительства № 22-р от 9.01.2004 г. вошло в перечень стратегических предприятий.</w:t>
      </w:r>
    </w:p>
    <w:p w14:paraId="22D46F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(2003 г.): системы управления для ЗРК и артиллерийских комплексов морского и берегового базирования; бытовая техника и электрооборудование.</w:t>
      </w:r>
    </w:p>
    <w:p w14:paraId="4AB49B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(2008 г.)- около 2 тыс. чел.</w:t>
      </w:r>
    </w:p>
    <w:p w14:paraId="0DCB4C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(05.1938 г.)- Петренко,</w:t>
      </w:r>
      <w:r w:rsidRPr="00640820">
        <w:rPr>
          <w:rFonts w:ascii="Times New Roman" w:hAnsi="Times New Roman"/>
          <w:color w:val="000000" w:themeColor="text1"/>
          <w:sz w:val="16"/>
          <w:szCs w:val="16"/>
          <w:vertAlign w:val="superscript"/>
        </w:rPr>
        <w:t>139</w:t>
      </w:r>
      <w:r w:rsidRPr="00640820">
        <w:rPr>
          <w:rFonts w:ascii="Times New Roman" w:hAnsi="Times New Roman"/>
          <w:color w:val="000000" w:themeColor="text1"/>
          <w:sz w:val="16"/>
          <w:szCs w:val="16"/>
        </w:rPr>
        <w:t xml:space="preserve"> (1939 г.-)- Р. Г. Сомхиян, (1944-48 г.)- Н.А. Федоров,, .(1980-е)- Ю.Д. Гончаров. Гендиректор (-2003-06 Г.-)- В.Н. Байбаков.</w:t>
      </w:r>
    </w:p>
    <w:p w14:paraId="4B3C79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гендиректора (2003-09 г.-)- Д.Р. Барановский. Зам. директора (17.12.1938 г.-)- С.М. Владимирский. Зам. гендиректора: по экономике (1990-е)- А. Голубчук (осужден); по перспективному развитию (2006 г.)- И.Х. Левин; по безопасности (2009 г.)- И. Цапов; (2003 г.)- Д.Р. Барановский.</w:t>
      </w:r>
    </w:p>
    <w:p w14:paraId="6A0094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Коммерческий директор (03-6.06.2003 г.)- С. Щитко (убит).</w:t>
      </w:r>
    </w:p>
    <w:p w14:paraId="335F08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(17.12.1938-39 г.-)- С.М. Владимирский.</w:t>
      </w:r>
    </w:p>
    <w:p w14:paraId="5FD877CB" w14:textId="77777777" w:rsidR="00165A9C" w:rsidRPr="00640820" w:rsidRDefault="00165A9C" w:rsidP="00640820">
      <w:pPr>
        <w:tabs>
          <w:tab w:val="left" w:pos="763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лабораторий: (-1946 г.)- В.Е. Краснов.</w:t>
      </w:r>
    </w:p>
    <w:p w14:paraId="0E788D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СУ корабельного артвооружения «Союз», «Союз-ЗОбис»;</w:t>
      </w:r>
      <w:r w:rsidRPr="00640820">
        <w:rPr>
          <w:rFonts w:ascii="Times New Roman" w:hAnsi="Times New Roman"/>
          <w:iCs/>
          <w:color w:val="000000" w:themeColor="text1"/>
          <w:sz w:val="16"/>
          <w:szCs w:val="16"/>
        </w:rPr>
        <w:t xml:space="preserve"> РИС:</w:t>
      </w:r>
      <w:r w:rsidRPr="00640820">
        <w:rPr>
          <w:rFonts w:ascii="Times New Roman" w:hAnsi="Times New Roman"/>
          <w:color w:val="000000" w:themeColor="text1"/>
          <w:sz w:val="16"/>
          <w:szCs w:val="16"/>
        </w:rPr>
        <w:t xml:space="preserve"> РУС-</w:t>
      </w:r>
      <w:r w:rsidRPr="00640820">
        <w:rPr>
          <w:rFonts w:ascii="Times New Roman" w:hAnsi="Times New Roman"/>
          <w:color w:val="000000" w:themeColor="text1"/>
          <w:sz w:val="16"/>
          <w:szCs w:val="16"/>
          <w:lang w:val="en-US"/>
        </w:rPr>
        <w:t>iq</w:t>
      </w:r>
      <w:r w:rsidRPr="00640820">
        <w:rPr>
          <w:rFonts w:ascii="Times New Roman" w:hAnsi="Times New Roman"/>
          <w:color w:val="000000" w:themeColor="text1"/>
          <w:sz w:val="16"/>
          <w:szCs w:val="16"/>
        </w:rPr>
        <w:t xml:space="preserve"> (ВОВ), обнаружения надводных целей «Зарница», управления береговой артиллерией «Редан-3», освещения обстановки «Линь», «Лот»; РЛ СУ: стрельбой «Фут-Б», МР-105, самонаведения ПКР «Сопка» С-3, ЗРК «Волна», ракетоторпед «Муссон»; радиотелеметрическая система РТС-8-ВП (1959); корабельный ЗРК С-300Ф; РЭО для морских комплексов ПВО «Каштан», «Риф», «Штиль», артиллерийской системы «Пума», А-190Э;</w:t>
      </w:r>
      <w:r w:rsidRPr="00640820">
        <w:rPr>
          <w:rFonts w:ascii="Times New Roman" w:hAnsi="Times New Roman"/>
          <w:color w:val="000000" w:themeColor="text1"/>
          <w:sz w:val="16"/>
          <w:szCs w:val="16"/>
          <w:vertAlign w:val="superscript"/>
        </w:rPr>
        <w:t>Ъ</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vertAlign w:val="superscript"/>
        </w:rPr>
        <w:t>906&lt;Ь</w:t>
      </w:r>
      <w:r w:rsidRPr="00640820">
        <w:rPr>
          <w:rFonts w:ascii="Times New Roman" w:hAnsi="Times New Roman"/>
          <w:color w:val="000000" w:themeColor="text1"/>
          <w:sz w:val="16"/>
          <w:szCs w:val="16"/>
        </w:rPr>
        <w:t xml:space="preserve"> СУ комплексов: «Берег», «Клинок», артиллерийского 5П-10Э (2003).</w:t>
      </w:r>
    </w:p>
    <w:p w14:paraId="41E3B5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КБ завода № 252 НКСП, КБ СРТЗ, Особое КБ (ОКБ) «Ратеп» /г. Серпухов Московской обл./</w:t>
      </w:r>
    </w:p>
    <w:p w14:paraId="57B30D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Разработка (до середины 1960-х  г.) РЛ средств для ВМФ. В 1980-е  г. — отработка производства ЗРК «Клинок».</w:t>
      </w:r>
    </w:p>
    <w:p w14:paraId="0B1612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(2003 г.): сопровождение опытного и серийного производства завода; разработка новых изделий РЛ техники; модернизация существующих систем.</w:t>
      </w:r>
    </w:p>
    <w:p w14:paraId="68C5B4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(1956 г.)- О.Б. Федоров, (1980-е)- В.А. Макашов.</w:t>
      </w:r>
      <w:r w:rsidRPr="00640820">
        <w:rPr>
          <w:rFonts w:ascii="Times New Roman" w:hAnsi="Times New Roman"/>
          <w:color w:val="000000" w:themeColor="text1"/>
          <w:sz w:val="16"/>
          <w:szCs w:val="16"/>
          <w:vertAlign w:val="superscript"/>
        </w:rPr>
        <w:t>103</w:t>
      </w:r>
    </w:p>
    <w:p w14:paraId="039B27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конструкторы: (1956 г.)- О.Б. Федоров («Турель»).</w:t>
      </w:r>
    </w:p>
    <w:p w14:paraId="724392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Создано:</w:t>
      </w:r>
      <w:r w:rsidRPr="00640820">
        <w:rPr>
          <w:rFonts w:ascii="Times New Roman" w:hAnsi="Times New Roman"/>
          <w:color w:val="000000" w:themeColor="text1"/>
          <w:sz w:val="16"/>
          <w:szCs w:val="16"/>
        </w:rPr>
        <w:t xml:space="preserve"> корабельные СУ стрельбой: МР-105 «Турель» для АК-726 (пнв 14.04.1965 г.); прибор попериодной обработки принятых сигналов «Качка» для РЛС МР-105 (пнв в 1977 г.) (11982).</w:t>
      </w:r>
    </w:p>
    <w:p w14:paraId="2547E6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2562F2D" w14:textId="77777777" w:rsidR="00595859" w:rsidRPr="00640820" w:rsidRDefault="0059585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октября 1941 г.</w:t>
      </w:r>
    </w:p>
    <w:p w14:paraId="4F5CC197" w14:textId="77777777" w:rsidR="00595859" w:rsidRPr="00640820" w:rsidRDefault="0059585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ВОПРОСЫ, РЕШЕННЫЕ ОПРОСОМ ЧЛЕНОВ БЮРО ГК ВКП(б)</w:t>
      </w:r>
    </w:p>
    <w:p w14:paraId="347B9B71" w14:textId="77777777" w:rsidR="00595859" w:rsidRPr="00640820" w:rsidRDefault="0059585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16 октября 1941 г.</w:t>
      </w:r>
    </w:p>
    <w:p w14:paraId="050712E0" w14:textId="77777777" w:rsidR="00595859" w:rsidRPr="00640820" w:rsidRDefault="0059585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74гс. — О программе производства 76-мм полковой пушки образца 1927 г. на ленинградских предприятиях на октябрь и ноябрь (особая папка).</w:t>
      </w:r>
    </w:p>
    <w:p w14:paraId="7B6BC029" w14:textId="77777777" w:rsidR="00595859" w:rsidRPr="00640820" w:rsidRDefault="0059585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Установить, что ведущим заводом по производству полковой пушки по-прежнему остается Кировский завод в Ленинграде, для чего обязать директора Кировского завода (т. Длугач) провести следующие мероприятия:</w:t>
      </w:r>
    </w:p>
    <w:p w14:paraId="6FB7EC36" w14:textId="77777777" w:rsidR="00595859" w:rsidRPr="00640820" w:rsidRDefault="0059585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создать на заводе № 7 запасной участок по обработке 15-ти салазок в сутки;</w:t>
      </w:r>
    </w:p>
    <w:p w14:paraId="7DEDD59D" w14:textId="77777777" w:rsidR="00595859" w:rsidRPr="00640820" w:rsidRDefault="0059585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оставить из эвакуируемых цехов часть оборудования для производства деталей полковой пушки, изготовлявшихся ранее самим заводом;</w:t>
      </w:r>
    </w:p>
    <w:p w14:paraId="2828EDEF" w14:textId="77777777" w:rsidR="00595859" w:rsidRPr="00640820" w:rsidRDefault="0059585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выделить из состава заводоуправления специальную группу для дальнейшего ведения и обеспечения заказа;</w:t>
      </w:r>
    </w:p>
    <w:p w14:paraId="453CB414" w14:textId="77777777" w:rsidR="00595859" w:rsidRPr="00640820" w:rsidRDefault="0059585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г) создать участок по механической обработке различных деталей полковой пушки на заводе № 4, для чего выделить специальную группу металлорежущих станков;</w:t>
      </w:r>
    </w:p>
    <w:p w14:paraId="44D53D54" w14:textId="77777777" w:rsidR="00595859" w:rsidRPr="00640820" w:rsidRDefault="0059585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 создать участок по производству инструмента к деталям полковой пушки на заводе им. Макса Гельца.</w:t>
      </w:r>
    </w:p>
    <w:p w14:paraId="439EA618" w14:textId="77777777" w:rsidR="00595859" w:rsidRPr="00640820" w:rsidRDefault="0059585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Обязать директоров предприятий принять к исполнению изготовление узлов, деталей и заготовок, согласно приложению.</w:t>
      </w:r>
    </w:p>
    <w:p w14:paraId="3856B3BF" w14:textId="77777777" w:rsidR="00595859" w:rsidRPr="00640820" w:rsidRDefault="0059585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Обязать руководителей всех предприятий обеспечить своевременную отгрузку изготовленных деталей и узлов, полковой пушки, равномерными партиями.</w:t>
      </w:r>
    </w:p>
    <w:p w14:paraId="713A75BC" w14:textId="77777777" w:rsidR="00595859" w:rsidRPr="00640820" w:rsidRDefault="0059585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Обязать секретарей партбюро предприятий, участвующих в изготовлении полковой пушки, организовать повседневный контроль за ходом производства и оказывать помощь хозяйственным руководителям в обеспечении нормального выпуска деталей и узлов.</w:t>
      </w:r>
    </w:p>
    <w:p w14:paraId="6AC394D8" w14:textId="77777777" w:rsidR="00595859" w:rsidRPr="00640820" w:rsidRDefault="0059585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Подписи — Кузнецов, Капустин, Никитин.</w:t>
      </w:r>
    </w:p>
    <w:p w14:paraId="6C3223DE" w14:textId="77777777" w:rsidR="00595859" w:rsidRPr="00640820" w:rsidRDefault="0059585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ЦГАИПД СПб. Ф. 25. Оп. 2а. Д. 158. Л. 177. Бланк опросного голосования. Оригинал, машинопись. Подписи — автографы (19720).</w:t>
      </w:r>
    </w:p>
    <w:p w14:paraId="5A96F016" w14:textId="77777777" w:rsidR="00595859" w:rsidRPr="00640820" w:rsidRDefault="00595859" w:rsidP="00640820">
      <w:pPr>
        <w:autoSpaceDE w:val="0"/>
        <w:autoSpaceDN w:val="0"/>
        <w:adjustRightInd w:val="0"/>
        <w:spacing w:after="0" w:line="240" w:lineRule="auto"/>
        <w:jc w:val="both"/>
        <w:rPr>
          <w:rFonts w:ascii="Times New Roman" w:hAnsi="Times New Roman"/>
          <w:color w:val="000000" w:themeColor="text1"/>
          <w:sz w:val="16"/>
          <w:szCs w:val="16"/>
        </w:rPr>
      </w:pPr>
    </w:p>
    <w:p w14:paraId="6B8560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октября 1941 передан флоту еще один ТК типа Д-3 (10671).</w:t>
      </w:r>
    </w:p>
    <w:p w14:paraId="76CD0B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3501AF5"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2326ECF7"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75D8FE8" w14:textId="77777777" w:rsidR="00B03639" w:rsidRPr="00640820" w:rsidRDefault="00B03639"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color w:val="000000" w:themeColor="text1"/>
          <w:sz w:val="16"/>
          <w:szCs w:val="16"/>
        </w:rPr>
        <w:t xml:space="preserve">16 октября </w:t>
      </w:r>
      <w:r w:rsidRPr="00640820">
        <w:rPr>
          <w:rFonts w:ascii="Times New Roman" w:hAnsi="Times New Roman"/>
          <w:color w:val="000000" w:themeColor="text1"/>
          <w:sz w:val="16"/>
          <w:szCs w:val="16"/>
        </w:rPr>
        <w:t>в 1941 году утреннее сообщение Совинформбюро:</w:t>
      </w:r>
    </w:p>
    <w:p w14:paraId="4B667865" w14:textId="77777777" w:rsidR="00B03639" w:rsidRPr="00640820" w:rsidRDefault="00B0363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16 октября наши войска продолжали вести бои на всём фронте. Особенно напряжённые бои шли на Западном направлении.</w:t>
      </w:r>
    </w:p>
    <w:p w14:paraId="35258E9D" w14:textId="77777777" w:rsidR="00B03639" w:rsidRPr="00640820" w:rsidRDefault="00B0363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Немецко-фашистские войска продолжали вводить в бой новые части.</w:t>
      </w:r>
    </w:p>
    <w:p w14:paraId="7CDCE14B" w14:textId="77777777" w:rsidR="00B03639" w:rsidRPr="00640820" w:rsidRDefault="00B0363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части, защищающие подступы к Ленинграду, захватили в плен большую группу немецких солдат 58 германской дивизии. Пленные говорят об упадке боевого духа у солдат в связи с наступившими холодами и усилившимися контратаками советских войск. Пленный Айзель рассказывает: «Уже несколько недель на фронте беспрерывно стреляют дальнобойные орудия. Такого грохота ещё никто из нас никогда не слыхал, в полку есть старые солдаты, видавшие виды. Мы словно в пекле. Нельзя голову высунуть из окопа. Снаряды рвутся справа и слева, спереди и сзади. Снаряды рвутся всё чаще и в самих окопах. Спрячешь голову, прижмёшься к сырой земле и ждёшь, считаешь минуты — сколько еще осталось жить. За целый месяц мы ни разу не помылись. Нас съедают вши. Моё тело покрылось язвами».</w:t>
      </w:r>
    </w:p>
    <w:p w14:paraId="40BBE64B" w14:textId="77777777" w:rsidR="00B03639" w:rsidRPr="00640820" w:rsidRDefault="00B0363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Пленные солдаты сообщили, что в 220 полку 58 германской дивизии произошли волнения. Полк отказался пойти в наступление. Чтобы заставить солдат выполнить приказ, командование дивизии пустило в ход оружие. Пленный пулемётчик Ганс Харвст говорит: «В последней атаке наш батальон был целиком уничтожен. Под Ленинградом убито очень много офицеров. Потери в офицерском составе достигают 70 процентов».</w:t>
      </w:r>
    </w:p>
    <w:p w14:paraId="037EA264" w14:textId="77777777" w:rsidR="00B03639" w:rsidRPr="00640820" w:rsidRDefault="00B0363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Ефрейтор 209 полка Эрих Мойхе говорит: «После одного ожесточённого боя в нашем полку осталось всего 150-170 солдат. Вскоре прислали пополнение, но уже 8 октября полк опять насчитывал не больше 200 солдат. Наш полк потерял всё своё вооружение». Старший ефрейтор того же полка Отто Латц сообщил подробные сведения о потерях своего батальона: «В первой и второй ротах осталось по 35 солдат, а в третьей роте всего 23. Из всех старых офицеров остался один лейтенант. Среди убитых офицеров — командир батальона Гартте. Батальон растерял под Ленинградом почти все пулемёты, противотанковые пушки, винтовки и автоматы» (14801).</w:t>
      </w:r>
    </w:p>
    <w:p w14:paraId="2C289352" w14:textId="77777777" w:rsidR="00B03639" w:rsidRPr="00640820" w:rsidRDefault="00B03639" w:rsidP="00640820">
      <w:pPr>
        <w:spacing w:after="0" w:line="240" w:lineRule="auto"/>
        <w:jc w:val="both"/>
        <w:rPr>
          <w:rFonts w:ascii="Times New Roman" w:hAnsi="Times New Roman"/>
          <w:color w:val="000000" w:themeColor="text1"/>
          <w:sz w:val="16"/>
          <w:szCs w:val="16"/>
        </w:rPr>
      </w:pPr>
    </w:p>
    <w:p w14:paraId="2BA88516" w14:textId="77777777" w:rsidR="00B03639" w:rsidRPr="00640820" w:rsidRDefault="00B03639"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color w:val="000000" w:themeColor="text1"/>
          <w:sz w:val="16"/>
          <w:szCs w:val="16"/>
        </w:rPr>
        <w:t xml:space="preserve">16 октября </w:t>
      </w:r>
      <w:r w:rsidRPr="00640820">
        <w:rPr>
          <w:rFonts w:ascii="Times New Roman" w:hAnsi="Times New Roman"/>
          <w:color w:val="000000" w:themeColor="text1"/>
          <w:sz w:val="16"/>
          <w:szCs w:val="16"/>
        </w:rPr>
        <w:t>в 1941 году вечернее сообщение Совинформбюро:</w:t>
      </w:r>
    </w:p>
    <w:p w14:paraId="7B065DBA" w14:textId="77777777" w:rsidR="00B03639" w:rsidRPr="00640820" w:rsidRDefault="00B0363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16 октября шли бои на всём фронте, особенно ожесточённые на Западном направлении фронта. В ходе боёв на Западном направлении обе стороны несут тяжёлые потери.</w:t>
      </w:r>
    </w:p>
    <w:p w14:paraId="3E46A660" w14:textId="77777777" w:rsidR="00B03639" w:rsidRPr="00640820" w:rsidRDefault="00B0363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15 октября уничтожено 43 немецких самолёта. Наши потери — 28 самолётов.</w:t>
      </w:r>
    </w:p>
    <w:p w14:paraId="376989D1" w14:textId="77777777" w:rsidR="00B03639" w:rsidRPr="00640820" w:rsidRDefault="00B0363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всех районах и областях нашей страны, захваченных немецко-фашистскими бандами, всё шире разгорается народная партизанская борьба с гитлеровскими войсками. Партизаны уничтожают подразделения фашистских войск, совершают налёты на немецкие штабы, взрывают мосты и переправы, сжигают немецкие склады с боеприпасами, продовольствием и горючим, рвут телеграфную и телефонную связь. Только за последнее время в районах Смоленской, Калининской и Орловской областей, занятых немцами, партизаны убили более 1.000 фашистских солдат, уничтожили около 300 мотоциклистов, сожгли свыше 200 автомашин с боеприпасами, взорвали десятки мостов и переправ, уничтожили много вражеских складов.</w:t>
      </w:r>
    </w:p>
    <w:p w14:paraId="66D8E1B4" w14:textId="77777777" w:rsidR="00B03639" w:rsidRPr="00640820" w:rsidRDefault="00B0363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Партизанский отряд под командованием тов. Алексея, действующий в районах Калининской области, в октябре месяце уничтожил 55 гитлеровских солдат и офицеров, разгромил штаб немецкого полка, захватив при этом важные документы, и взорвал два склада с боеприпасами. Самоотверженно дерётся с фашистами в Орловской области партизанский отряд под руководством председателя колхоза т. П. В начале октября партизаны неожиданным смелым налётом разгромили колонну фашистских автомашин, подвозивших к фронту горючее. Вся немецкая колонна была уничтожена вместе с сопровождавшими её солдатами.</w:t>
      </w:r>
    </w:p>
    <w:p w14:paraId="29579ADF" w14:textId="77777777" w:rsidR="00B03639" w:rsidRPr="00640820" w:rsidRDefault="00B0363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Гитлеровские оккупанты в Польше вконец подорвали народное хозяйство страны, разорили и пустили по миру миллионы польских рабочих, крестьян, служащих. Предстоящей зимой в Польше ожидается сильный голод, так как фашисты изъяли у крестьян почти весь урожай нынешнего года. Хозяйничанье фашистов в Польше привело к резкому увеличению смертности населения. Так, в сентябре месяце 1941 года смертность населения Польши возросла на 137 процентов по сравнению с маем 1941 года.» (14801).</w:t>
      </w:r>
    </w:p>
    <w:p w14:paraId="20DD26BE" w14:textId="77777777" w:rsidR="00B03639" w:rsidRPr="00640820" w:rsidRDefault="00B03639" w:rsidP="00640820">
      <w:pPr>
        <w:spacing w:after="0" w:line="240" w:lineRule="auto"/>
        <w:jc w:val="both"/>
        <w:rPr>
          <w:rFonts w:ascii="Times New Roman" w:hAnsi="Times New Roman"/>
          <w:color w:val="000000" w:themeColor="text1"/>
          <w:sz w:val="16"/>
          <w:szCs w:val="16"/>
        </w:rPr>
      </w:pPr>
    </w:p>
    <w:p w14:paraId="5F2416AC" w14:textId="77777777" w:rsidR="00C862E9" w:rsidRPr="00640820" w:rsidRDefault="00C862E9"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color w:val="000000" w:themeColor="text1"/>
          <w:sz w:val="16"/>
          <w:szCs w:val="16"/>
        </w:rPr>
        <w:t xml:space="preserve">16 октября </w:t>
      </w:r>
      <w:r w:rsidRPr="00640820">
        <w:rPr>
          <w:rFonts w:ascii="Times New Roman" w:hAnsi="Times New Roman"/>
          <w:color w:val="000000" w:themeColor="text1"/>
          <w:sz w:val="16"/>
          <w:szCs w:val="16"/>
        </w:rPr>
        <w:t>в 1941 году во время Великой Отечественной войны советские войска силами 4-й (генерал-лейтенант В.Ф.Яковлев), 52-й (генерал-лейтенант Н.К.Клыков) и 54-й (генерал-майор И.И.Федюнинский) армий начали Тихвинскую оборонительную операцию против немецко-фашистских соединений из состава группы армий «Север». В ходе упорных боев советские войска обескровили врага, не допустили его выхода на реку Свирь и к Ладожскому озеру и создали предпосылки для перехода в контрнаступление (14801).</w:t>
      </w:r>
    </w:p>
    <w:p w14:paraId="0686A18D" w14:textId="77777777" w:rsidR="00C862E9" w:rsidRPr="00640820" w:rsidRDefault="00C862E9" w:rsidP="00640820">
      <w:pPr>
        <w:spacing w:after="0" w:line="240" w:lineRule="auto"/>
        <w:jc w:val="both"/>
        <w:rPr>
          <w:rFonts w:ascii="Times New Roman" w:hAnsi="Times New Roman"/>
          <w:color w:val="000000" w:themeColor="text1"/>
          <w:sz w:val="16"/>
          <w:szCs w:val="16"/>
        </w:rPr>
      </w:pPr>
    </w:p>
    <w:p w14:paraId="75F04243" w14:textId="77777777" w:rsidR="00C862E9" w:rsidRPr="00640820" w:rsidRDefault="00C862E9"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color w:val="000000" w:themeColor="text1"/>
          <w:sz w:val="16"/>
          <w:szCs w:val="16"/>
        </w:rPr>
        <w:t xml:space="preserve">16 октября </w:t>
      </w:r>
      <w:r w:rsidRPr="00640820">
        <w:rPr>
          <w:rFonts w:ascii="Times New Roman" w:hAnsi="Times New Roman"/>
          <w:color w:val="000000" w:themeColor="text1"/>
          <w:sz w:val="16"/>
          <w:szCs w:val="16"/>
        </w:rPr>
        <w:t>в 1941 году войска правого крыла Западного фронта отошли за Волгу и закрепились на рубеже Селижарово, Старица (14801).</w:t>
      </w:r>
    </w:p>
    <w:p w14:paraId="1D2AEC58" w14:textId="77777777" w:rsidR="00C862E9" w:rsidRPr="00640820" w:rsidRDefault="00C862E9" w:rsidP="00640820">
      <w:pPr>
        <w:spacing w:after="0" w:line="240" w:lineRule="auto"/>
        <w:jc w:val="both"/>
        <w:rPr>
          <w:rFonts w:ascii="Times New Roman" w:hAnsi="Times New Roman"/>
          <w:color w:val="000000" w:themeColor="text1"/>
          <w:sz w:val="16"/>
          <w:szCs w:val="16"/>
        </w:rPr>
      </w:pPr>
    </w:p>
    <w:p w14:paraId="12B9A3F1" w14:textId="77777777" w:rsidR="00C862E9" w:rsidRPr="00640820" w:rsidRDefault="00C862E9"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color w:val="000000" w:themeColor="text1"/>
          <w:sz w:val="16"/>
          <w:szCs w:val="16"/>
        </w:rPr>
        <w:t xml:space="preserve">16 октября </w:t>
      </w:r>
      <w:r w:rsidRPr="00640820">
        <w:rPr>
          <w:rFonts w:ascii="Times New Roman" w:hAnsi="Times New Roman"/>
          <w:color w:val="000000" w:themeColor="text1"/>
          <w:sz w:val="16"/>
          <w:szCs w:val="16"/>
        </w:rPr>
        <w:t>в 1941 году в 5 часов 30 минут из Одесского порта вышел последний транспорт с эвакуируемыми. Завершилась 73-дневная оборона Одессы. К вечеру румынские передовые части ворвались в Одессу (14801).</w:t>
      </w:r>
    </w:p>
    <w:p w14:paraId="76D32253" w14:textId="77777777" w:rsidR="00C862E9" w:rsidRPr="00640820" w:rsidRDefault="00C862E9" w:rsidP="00640820">
      <w:pPr>
        <w:spacing w:after="0" w:line="240" w:lineRule="auto"/>
        <w:jc w:val="both"/>
        <w:rPr>
          <w:rFonts w:ascii="Times New Roman" w:hAnsi="Times New Roman"/>
          <w:color w:val="000000" w:themeColor="text1"/>
          <w:sz w:val="16"/>
          <w:szCs w:val="16"/>
        </w:rPr>
      </w:pPr>
    </w:p>
    <w:p w14:paraId="1CD8B8D3" w14:textId="77777777" w:rsidR="00C862E9" w:rsidRPr="00640820" w:rsidRDefault="00C862E9"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color w:val="000000" w:themeColor="text1"/>
          <w:sz w:val="16"/>
          <w:szCs w:val="16"/>
        </w:rPr>
        <w:t xml:space="preserve">16 октября </w:t>
      </w:r>
      <w:r w:rsidRPr="00640820">
        <w:rPr>
          <w:rFonts w:ascii="Times New Roman" w:hAnsi="Times New Roman"/>
          <w:color w:val="000000" w:themeColor="text1"/>
          <w:sz w:val="16"/>
          <w:szCs w:val="16"/>
        </w:rPr>
        <w:t>в 1941 году началась эвакуация из Москвы (в Куйбышев, Саратов и другие города) управлений Генштаба, военных академий, наркоматов и других учреждений, посольств. Осуществлялось минирование заводов, электростанций, мостов и др. В 25 районах города сформированы коммунистические батальоны (около 12 тысяч человек) (14801).</w:t>
      </w:r>
    </w:p>
    <w:p w14:paraId="41373511" w14:textId="77777777" w:rsidR="00C862E9" w:rsidRPr="00640820" w:rsidRDefault="00C862E9" w:rsidP="00640820">
      <w:pPr>
        <w:spacing w:after="0" w:line="240" w:lineRule="auto"/>
        <w:jc w:val="both"/>
        <w:rPr>
          <w:rFonts w:ascii="Times New Roman" w:hAnsi="Times New Roman"/>
          <w:color w:val="000000" w:themeColor="text1"/>
          <w:sz w:val="16"/>
          <w:szCs w:val="16"/>
        </w:rPr>
      </w:pPr>
    </w:p>
    <w:p w14:paraId="7DFBB2C6" w14:textId="77777777" w:rsidR="00C862E9" w:rsidRPr="00640820" w:rsidRDefault="00C862E9"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color w:val="000000" w:themeColor="text1"/>
          <w:sz w:val="16"/>
          <w:szCs w:val="16"/>
        </w:rPr>
        <w:t xml:space="preserve">16 октября </w:t>
      </w:r>
      <w:r w:rsidRPr="00640820">
        <w:rPr>
          <w:rFonts w:ascii="Times New Roman" w:hAnsi="Times New Roman"/>
          <w:color w:val="000000" w:themeColor="text1"/>
          <w:sz w:val="16"/>
          <w:szCs w:val="16"/>
        </w:rPr>
        <w:t>в 1941 году во время Великой Отечественной войны проведена успешная операция по эвакуации гарнизона блокированной фашистскими войсками Одессы. В 5 ч 10 мин из Одесского порта вышел последний транспорт с войсками. Вслед за ним город покинули боевые корабли, принявшие на борт бойцов и командиров, прикрывавших отход войск. Над караваном произошло 23 воздушных боя, в которых враг потерял 17 самолетов. 17 октября суда прибыли в Севастополь. Из осажденной Одессы было вывезено более 80 тысяч бойцов и командиров, 15 тысяч человек гражданского населения, 462 орудия, 14 танков, 16 бронемашин, 1158 автомобилей (14801).</w:t>
      </w:r>
    </w:p>
    <w:p w14:paraId="3C0661D2" w14:textId="77777777" w:rsidR="00C862E9" w:rsidRPr="00640820" w:rsidRDefault="00C862E9" w:rsidP="00640820">
      <w:pPr>
        <w:spacing w:after="0" w:line="240" w:lineRule="auto"/>
        <w:jc w:val="both"/>
        <w:rPr>
          <w:rFonts w:ascii="Times New Roman" w:hAnsi="Times New Roman"/>
          <w:color w:val="000000" w:themeColor="text1"/>
          <w:sz w:val="16"/>
          <w:szCs w:val="16"/>
        </w:rPr>
      </w:pPr>
    </w:p>
    <w:p w14:paraId="5BE393EC" w14:textId="77777777" w:rsidR="00C862E9" w:rsidRPr="00640820" w:rsidRDefault="00C862E9"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color w:val="000000" w:themeColor="text1"/>
          <w:sz w:val="16"/>
          <w:szCs w:val="16"/>
        </w:rPr>
        <w:t xml:space="preserve">16 октября </w:t>
      </w:r>
      <w:r w:rsidRPr="00640820">
        <w:rPr>
          <w:rFonts w:ascii="Times New Roman" w:hAnsi="Times New Roman"/>
          <w:color w:val="000000" w:themeColor="text1"/>
          <w:sz w:val="16"/>
          <w:szCs w:val="16"/>
        </w:rPr>
        <w:t>в 1941 году вышло Постановление ГКО № 807сc о мобилизации военнообязанных запаса до 45-летнего возраста и призывников 1922 и 1923 годов рождения по Москве и Московской области (14801).</w:t>
      </w:r>
    </w:p>
    <w:p w14:paraId="44AEAE62" w14:textId="77777777" w:rsidR="00C862E9" w:rsidRPr="00640820" w:rsidRDefault="00C862E9" w:rsidP="00640820">
      <w:pPr>
        <w:spacing w:after="0" w:line="240" w:lineRule="auto"/>
        <w:jc w:val="both"/>
        <w:rPr>
          <w:rFonts w:ascii="Times New Roman" w:hAnsi="Times New Roman"/>
          <w:color w:val="000000" w:themeColor="text1"/>
          <w:sz w:val="16"/>
          <w:szCs w:val="16"/>
        </w:rPr>
      </w:pPr>
    </w:p>
    <w:p w14:paraId="7C64C3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16 октября 1941 61-й шап (прибыл в состав 47-й сад 10 октября) уже потерял 15 Ил-2, из которых более половины - от атак истребителей противника. После привлечения к сопровождению 129-го иап, в котором было много опытных воздушных бойцов, положение дел с прикрытием улучшилось. В течение последующих двух недель потерь от истребителей Люфтваффе уже не было.</w:t>
      </w:r>
    </w:p>
    <w:p w14:paraId="40B7DC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Подобное положение дел было и в других полках. Например, потери 243-го шап в период с 11 по 16 октября составили 16 Ил-2 и 12 пилотов, 237-го шап (с 15 по 20 октября) - 13 Ил-2 и 13 летчиков, 62-го шап (с 16 по 28 октября) - 12 Ил-2 и пять летчиков, 74-го шап (с 3 по 29 октября) - 11 Ил-2 и 11 летчиков.</w:t>
      </w:r>
    </w:p>
    <w:p w14:paraId="688847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качестве одной из причин таких больших потерь Ил-2 комдив 77-й сад Герой Советского Союза И. Д. Антошкин указывал на недостаточно эффективное прикрытие Ил-2 своими истребителями: "Дивизия несет большие потери в штурмовиках потому, что не имеет достаточного прикрытия истребителями. На сегодня в 188 иап 5 исправных самолетов. Зачастую звено Ил-2 прикрывается одним истребителем. ...Ошибкой в вопросе взаимодействия является увлечение истребителей борьбой с воздушным противником в ущерб обеспечения работы ...штурмовиков" (12020). </w:t>
      </w:r>
    </w:p>
    <w:p w14:paraId="4F226C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6ABDC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октября 1941 румынские "Харрикейны" сбили два разведывательных ДБ-3Ф: один в 40 км восточнее мыса Мангалия, а второй в 50 км северо-восточнее Констанцы. "Илы" были направлены для предупреждения развертывания "мощного" румынского флота на пути советского конвоя, эвакуировавшего защитников Одессы. Однако враг ограничился лишь посылкой торпедных катеров (2694).</w:t>
      </w:r>
    </w:p>
    <w:p w14:paraId="3A3155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19E13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16 октября 1941 МТБ-2 Чайка (АНТ-44) под управлением И.М.Сухомлина летал бомбить Бухарест из Севастополя. Отлично все вышло, но еле-еле вернулись заблудившись. Пытались сесть в Геленджике, но были обстреляны. Сели просто на воду. Попали в Севастополь через 2 дня (99,233).</w:t>
      </w:r>
    </w:p>
    <w:p w14:paraId="7854EE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D4392C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октября 1941 вышло Постановление ГКО № 807 [О мобилизации военнообязанных запаса до 45-летнего возраста и призывников 1922 и 1923 годов рождения по г. Москве и Московской обл.] (7013, 161).</w:t>
      </w:r>
    </w:p>
    <w:p w14:paraId="54623A8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6B1D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October 1941 Germans capture Odessa (270).</w:t>
      </w:r>
    </w:p>
    <w:p w14:paraId="435707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CD4D5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октября 1941 немцы захватили Одессу (270).</w:t>
      </w:r>
    </w:p>
    <w:p w14:paraId="0C12DF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B2126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16 октября по 18 ноября 1941 была Тихвинская оборонительная операция - часть сражения за Ленинград. С 10 СА перешла в контрнаступление и 19 продвижение немцев было остановлено (2443,189).</w:t>
      </w:r>
    </w:p>
    <w:p w14:paraId="51C9F5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BD6A5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октября 1941 вышел приказ командующего МВО занять коммунистическими, комсомольскими и истребительными батальонами к 10:30 10 октября с задачей, не допустить прорыва на Москву (1836,126).</w:t>
      </w:r>
    </w:p>
    <w:p w14:paraId="04852E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45E1F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October 16, 1941: Rumanian forces capture the Black Sea port of Odessa. Following the evacuation of the Soviet government and diplomatic corps from Moscow to Kuibyshev, panic begins to spread among the civilian population, and thousands flee the city to places further east (3819).</w:t>
      </w:r>
    </w:p>
    <w:p w14:paraId="29E6EA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1ACFC8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октября 1941 румынские части захватили Одессу (3819).</w:t>
      </w:r>
    </w:p>
    <w:p w14:paraId="303BD8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2DE045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октября 1941 фашистами взята Одесса (4962).</w:t>
      </w:r>
    </w:p>
    <w:p w14:paraId="1A59152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8C948A"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3A2B6526"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DD435AD" w14:textId="77777777" w:rsidR="00B03639" w:rsidRPr="00640820" w:rsidRDefault="00B03639"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16-го октября 1941 называют «черным днем» столицы. Впервые с начала войны в тот день не работало метро, в котором начали демонтировать оборудование для вывоза. Бездействующее метро вызвало у москвичей опасение – лишиться ежедневного вечернего и ночного убежища. О «черном дне» столицы вспоминает работник завода № 39 Д. Дмитриев, живший на Беговой улице (Дмитриев Д. «Черный день» В кн. «Ради жизни на земле». - М.; Общество авиастроителей и НПП Индустрия-софт, 2000.-232с.):</w:t>
      </w:r>
    </w:p>
    <w:p w14:paraId="411C03A4" w14:textId="77777777" w:rsidR="00B03639" w:rsidRPr="00640820" w:rsidRDefault="00B03639"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16 октября 1941-го… Утром вышел во двор – там коровы жалобно мычат. Пастух, пригнавший их из Подмосковья, с мольбой обращается к женщинам подоить их… Вышел на улицу. Вижу: на крыше «пятерки» - трамвая, следовавшего до завода, едут рабочие – метро в этот день не работало. На Ленинградском проспекте много мужчин и женщин тащат коробки, ящики с конфетами, печеньем. Оказывается, вскрыли и разграбили фабрику «Большевичка». Мы туда... Над зданиями летит бумажный пепел, целые тучи – в учреждениях сжигают документы. Это был поистине черный день столицы, когда началась массовая паника.</w:t>
      </w:r>
    </w:p>
    <w:p w14:paraId="6AC48397" w14:textId="77777777" w:rsidR="00B03639" w:rsidRPr="00640820" w:rsidRDefault="00B03639"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 этой панике автору рассказывала и К.И.Синчурина, проживавшая до эвакуации с семьей в Иркутск в одном из заводских домов по Ленинградскому шоссе. «16-го октября кто-то пустил слух, что в Москву уже входят немцы. На Ленинградское шоссе и другие улицы вышло очень много народу: все были в сильном смятении и собирались немедленно идти пешком на восток в сторону Владимира. Люди рассказывали ужасные истории о воровстве, грабежах, пробравшихся в город немецких диверсантах...» (15223).</w:t>
      </w:r>
    </w:p>
    <w:p w14:paraId="0FF92FF8" w14:textId="77777777" w:rsidR="00B03639" w:rsidRPr="00640820" w:rsidRDefault="00B03639" w:rsidP="00640820">
      <w:pPr>
        <w:shd w:val="clear" w:color="auto" w:fill="FFFFFF"/>
        <w:spacing w:after="0" w:line="240" w:lineRule="auto"/>
        <w:jc w:val="both"/>
        <w:rPr>
          <w:rFonts w:ascii="Times New Roman" w:hAnsi="Times New Roman"/>
          <w:color w:val="000000" w:themeColor="text1"/>
          <w:sz w:val="16"/>
          <w:szCs w:val="16"/>
        </w:rPr>
      </w:pPr>
    </w:p>
    <w:p w14:paraId="65B1F729" w14:textId="77777777" w:rsidR="00862072" w:rsidRPr="00640820" w:rsidRDefault="00862072" w:rsidP="00640820">
      <w:pPr>
        <w:pStyle w:val="ae"/>
        <w:shd w:val="clear" w:color="auto" w:fill="FFFFFF"/>
        <w:spacing w:before="0" w:after="0"/>
        <w:jc w:val="both"/>
        <w:rPr>
          <w:color w:val="000000" w:themeColor="text1"/>
          <w:sz w:val="16"/>
          <w:szCs w:val="16"/>
        </w:rPr>
      </w:pPr>
      <w:r w:rsidRPr="00640820">
        <w:rPr>
          <w:color w:val="000000" w:themeColor="text1"/>
          <w:sz w:val="16"/>
          <w:szCs w:val="16"/>
        </w:rPr>
        <w:t>16 октября 1941 года – первый после выхода постановления Государственного Комитета Обороны - и для него был очень тяжелым. Вот как вспоминает об этом нарком Авиапрома Шахурин.</w:t>
      </w:r>
    </w:p>
    <w:p w14:paraId="7763D754" w14:textId="77777777" w:rsidR="00862072" w:rsidRPr="00640820" w:rsidRDefault="00862072" w:rsidP="00640820">
      <w:pPr>
        <w:pStyle w:val="ae"/>
        <w:shd w:val="clear" w:color="auto" w:fill="FFFFFF"/>
        <w:spacing w:before="0" w:after="0"/>
        <w:jc w:val="both"/>
        <w:rPr>
          <w:color w:val="000000" w:themeColor="text1"/>
          <w:sz w:val="16"/>
          <w:szCs w:val="16"/>
        </w:rPr>
      </w:pPr>
      <w:r w:rsidRPr="00640820">
        <w:rPr>
          <w:color w:val="000000" w:themeColor="text1"/>
          <w:sz w:val="16"/>
          <w:szCs w:val="16"/>
        </w:rPr>
        <w:t>«Утром позвонила известная летчица Валентина Степановна Гризодубова и сказала, что в Москве не ходят трамваи, не работает метро, закрыты булочные и столовые, и что ни до кого невозможно дозвониться – ни до председателя Моссовета Пронина, ни до секретаря МГК Щербакова, ни до Микояна. Пообещав Валентине Степановне переговорить с кем нужно, я решил все проверить сам и сразу отправился на авиационный завод.</w:t>
      </w:r>
    </w:p>
    <w:p w14:paraId="4C489FE2" w14:textId="77777777" w:rsidR="00862072" w:rsidRPr="00640820" w:rsidRDefault="00862072" w:rsidP="00640820">
      <w:pPr>
        <w:pStyle w:val="ae"/>
        <w:shd w:val="clear" w:color="auto" w:fill="FFFFFF"/>
        <w:spacing w:before="0" w:after="0"/>
        <w:jc w:val="both"/>
        <w:rPr>
          <w:color w:val="000000" w:themeColor="text1"/>
          <w:sz w:val="16"/>
          <w:szCs w:val="16"/>
        </w:rPr>
      </w:pPr>
      <w:r w:rsidRPr="00640820">
        <w:rPr>
          <w:color w:val="000000" w:themeColor="text1"/>
          <w:sz w:val="16"/>
          <w:szCs w:val="16"/>
        </w:rPr>
        <w:t>Сжалось сердце, когда увидел представшую картину. Вместо слаженного пульсирующего организма, каким всегда был завод – распахнутые ворота цехов, голые стены с вынутыми рамами и разобранными проемами, оставшиеся неубранными помосты, вскрытые полы на местах, где стояли станки. Щемящая сердце пустота. Лишь в механическом цехе несколько станков, а в цехе сборки – последние самолеты на стапелях.</w:t>
      </w:r>
    </w:p>
    <w:p w14:paraId="192A905F" w14:textId="77777777" w:rsidR="00862072" w:rsidRPr="00640820" w:rsidRDefault="00862072" w:rsidP="00640820">
      <w:pPr>
        <w:pStyle w:val="ae"/>
        <w:shd w:val="clear" w:color="auto" w:fill="FFFFFF"/>
        <w:spacing w:before="0" w:after="0"/>
        <w:jc w:val="both"/>
        <w:rPr>
          <w:color w:val="000000" w:themeColor="text1"/>
          <w:sz w:val="16"/>
          <w:szCs w:val="16"/>
        </w:rPr>
      </w:pPr>
      <w:r w:rsidRPr="00640820">
        <w:rPr>
          <w:color w:val="000000" w:themeColor="text1"/>
          <w:sz w:val="16"/>
          <w:szCs w:val="16"/>
        </w:rPr>
        <w:t>Рабочие подошли ко мне. У одной из работниц слезы на глазах:</w:t>
      </w:r>
    </w:p>
    <w:p w14:paraId="10F15C3D" w14:textId="77777777" w:rsidR="00862072" w:rsidRPr="00640820" w:rsidRDefault="00862072" w:rsidP="00640820">
      <w:pPr>
        <w:pStyle w:val="ae"/>
        <w:shd w:val="clear" w:color="auto" w:fill="FFFFFF"/>
        <w:spacing w:before="0" w:after="0"/>
        <w:jc w:val="both"/>
        <w:rPr>
          <w:color w:val="000000" w:themeColor="text1"/>
          <w:sz w:val="16"/>
          <w:szCs w:val="16"/>
        </w:rPr>
      </w:pPr>
      <w:r w:rsidRPr="00640820">
        <w:rPr>
          <w:color w:val="000000" w:themeColor="text1"/>
          <w:sz w:val="16"/>
          <w:szCs w:val="16"/>
        </w:rPr>
        <w:t>- Мы думали, все уехали, а нас оставили. А вы, оказывается, здесь!</w:t>
      </w:r>
    </w:p>
    <w:p w14:paraId="166C4DD4" w14:textId="77777777" w:rsidR="00862072" w:rsidRPr="00640820" w:rsidRDefault="00862072" w:rsidP="00640820">
      <w:pPr>
        <w:pStyle w:val="ae"/>
        <w:shd w:val="clear" w:color="auto" w:fill="FFFFFF"/>
        <w:spacing w:before="0" w:after="0"/>
        <w:jc w:val="both"/>
        <w:rPr>
          <w:color w:val="000000" w:themeColor="text1"/>
          <w:sz w:val="16"/>
          <w:szCs w:val="16"/>
        </w:rPr>
      </w:pPr>
      <w:r w:rsidRPr="00640820">
        <w:rPr>
          <w:color w:val="000000" w:themeColor="text1"/>
          <w:sz w:val="16"/>
          <w:szCs w:val="16"/>
        </w:rPr>
        <w:t>Говорю ей громко, чтобы слышали все:</w:t>
      </w:r>
    </w:p>
    <w:p w14:paraId="53F2844C" w14:textId="77777777" w:rsidR="00862072" w:rsidRPr="00640820" w:rsidRDefault="00862072" w:rsidP="00640820">
      <w:pPr>
        <w:pStyle w:val="ae"/>
        <w:shd w:val="clear" w:color="auto" w:fill="FFFFFF"/>
        <w:spacing w:before="0" w:after="0"/>
        <w:jc w:val="both"/>
        <w:rPr>
          <w:color w:val="000000" w:themeColor="text1"/>
          <w:sz w:val="16"/>
          <w:szCs w:val="16"/>
        </w:rPr>
      </w:pPr>
      <w:r w:rsidRPr="00640820">
        <w:rPr>
          <w:color w:val="000000" w:themeColor="text1"/>
          <w:sz w:val="16"/>
          <w:szCs w:val="16"/>
        </w:rPr>
        <w:t>- Если вы имеете в виду правительство и наркомат, то никто не уехал. Все на месте, на своем посту каждый. А отправляем мы заводы туда, где они смогут выпускать для нашей армии современные боевые самолеты, чтобы мы могли дать сокрушительный отпор врагу. А у вас пока организуем ремонт боевых машин, а дальше будет видно. Когда отгоним врага, снова будем выпускать на вашем заводе самолеты».</w:t>
      </w:r>
    </w:p>
    <w:p w14:paraId="19CA3FFD" w14:textId="77777777" w:rsidR="00862072" w:rsidRPr="00640820" w:rsidRDefault="00862072" w:rsidP="00640820">
      <w:pPr>
        <w:pStyle w:val="ae"/>
        <w:shd w:val="clear" w:color="auto" w:fill="FFFFFF"/>
        <w:spacing w:before="0" w:after="0"/>
        <w:jc w:val="both"/>
        <w:rPr>
          <w:color w:val="000000" w:themeColor="text1"/>
          <w:sz w:val="16"/>
          <w:szCs w:val="16"/>
        </w:rPr>
      </w:pPr>
      <w:r w:rsidRPr="00640820">
        <w:rPr>
          <w:color w:val="000000" w:themeColor="text1"/>
          <w:sz w:val="16"/>
          <w:szCs w:val="16"/>
        </w:rPr>
        <w:t>На другом заводе рабочие пожаловались, что директор уехал и забрал с собой деньги. Люди не получили зарплату. Пришлось выяснять, в чем дело. Оказалось, что в госбанке кончилась наличность. И Гризодубова оказалась права – транспорт не работал, закрыты магазины. На восток шли машины, до отказа забитые людьми, узлами, чемоданами».</w:t>
      </w:r>
    </w:p>
    <w:p w14:paraId="7F05815B" w14:textId="77777777" w:rsidR="00862072" w:rsidRPr="00640820" w:rsidRDefault="00862072" w:rsidP="00640820">
      <w:pPr>
        <w:pStyle w:val="ae"/>
        <w:shd w:val="clear" w:color="auto" w:fill="FFFFFF"/>
        <w:spacing w:before="0" w:after="0"/>
        <w:jc w:val="both"/>
        <w:rPr>
          <w:color w:val="000000" w:themeColor="text1"/>
          <w:sz w:val="16"/>
          <w:szCs w:val="16"/>
        </w:rPr>
      </w:pPr>
      <w:r w:rsidRPr="00640820">
        <w:rPr>
          <w:color w:val="000000" w:themeColor="text1"/>
          <w:sz w:val="16"/>
          <w:szCs w:val="16"/>
        </w:rPr>
        <w:t>Вечером Шахурина вызвали к Сталину. Там уже были Молотов, Щербаков, Косыгин и другие. Все стояли. Сталин никому сесть не предложил и вдруг внезапно спросил:</w:t>
      </w:r>
    </w:p>
    <w:p w14:paraId="114085F5" w14:textId="77777777" w:rsidR="00862072" w:rsidRPr="00640820" w:rsidRDefault="00862072" w:rsidP="00640820">
      <w:pPr>
        <w:pStyle w:val="ae"/>
        <w:shd w:val="clear" w:color="auto" w:fill="FFFFFF"/>
        <w:spacing w:before="0" w:after="0"/>
        <w:jc w:val="both"/>
        <w:rPr>
          <w:color w:val="000000" w:themeColor="text1"/>
          <w:sz w:val="16"/>
          <w:szCs w:val="16"/>
        </w:rPr>
      </w:pPr>
      <w:r w:rsidRPr="00640820">
        <w:rPr>
          <w:color w:val="000000" w:themeColor="text1"/>
          <w:sz w:val="16"/>
          <w:szCs w:val="16"/>
        </w:rPr>
        <w:t>- Как дела в Москве?</w:t>
      </w:r>
    </w:p>
    <w:p w14:paraId="735FD241" w14:textId="77777777" w:rsidR="00862072" w:rsidRPr="00640820" w:rsidRDefault="00862072" w:rsidP="00640820">
      <w:pPr>
        <w:pStyle w:val="ae"/>
        <w:shd w:val="clear" w:color="auto" w:fill="FFFFFF"/>
        <w:spacing w:before="0" w:after="0"/>
        <w:jc w:val="both"/>
        <w:rPr>
          <w:color w:val="000000" w:themeColor="text1"/>
          <w:sz w:val="16"/>
          <w:szCs w:val="16"/>
        </w:rPr>
      </w:pPr>
      <w:r w:rsidRPr="00640820">
        <w:rPr>
          <w:color w:val="000000" w:themeColor="text1"/>
          <w:sz w:val="16"/>
          <w:szCs w:val="16"/>
        </w:rPr>
        <w:t>Все промолчали. И Шахурину, чтобы нарушить молчание, пришлось рассказать о посещении завода, о метро, магазинах, о том, что в банках нет денег.</w:t>
      </w:r>
    </w:p>
    <w:p w14:paraId="3E12080A" w14:textId="77777777" w:rsidR="00862072" w:rsidRPr="00640820" w:rsidRDefault="00862072" w:rsidP="00640820">
      <w:pPr>
        <w:pStyle w:val="ae"/>
        <w:shd w:val="clear" w:color="auto" w:fill="FFFFFF"/>
        <w:spacing w:before="0" w:after="0"/>
        <w:jc w:val="both"/>
        <w:rPr>
          <w:color w:val="000000" w:themeColor="text1"/>
          <w:sz w:val="16"/>
          <w:szCs w:val="16"/>
        </w:rPr>
      </w:pPr>
      <w:r w:rsidRPr="00640820">
        <w:rPr>
          <w:color w:val="000000" w:themeColor="text1"/>
          <w:sz w:val="16"/>
          <w:szCs w:val="16"/>
        </w:rPr>
        <w:t>Сталин выслушал его и распорядился самолетом из Горького перебросить дензнаки, а Щербакову сказал:</w:t>
      </w:r>
    </w:p>
    <w:p w14:paraId="54CB4E5C" w14:textId="77777777" w:rsidR="00862072" w:rsidRPr="00640820" w:rsidRDefault="00862072" w:rsidP="00640820">
      <w:pPr>
        <w:pStyle w:val="ae"/>
        <w:shd w:val="clear" w:color="auto" w:fill="FFFFFF"/>
        <w:spacing w:before="0" w:after="0"/>
        <w:jc w:val="both"/>
        <w:rPr>
          <w:color w:val="000000" w:themeColor="text1"/>
          <w:sz w:val="16"/>
          <w:szCs w:val="16"/>
        </w:rPr>
      </w:pPr>
      <w:r w:rsidRPr="00640820">
        <w:rPr>
          <w:color w:val="000000" w:themeColor="text1"/>
          <w:sz w:val="16"/>
          <w:szCs w:val="16"/>
        </w:rPr>
        <w:t>- Нужно немедленно наладить работу трамвая и метро. Открыть булочные, магазины, столовые, а также лечебные учреждения и по радио призвать население к спокойствию.</w:t>
      </w:r>
    </w:p>
    <w:p w14:paraId="1689FA63" w14:textId="77777777" w:rsidR="00862072" w:rsidRPr="00640820" w:rsidRDefault="00862072" w:rsidP="00640820">
      <w:pPr>
        <w:pStyle w:val="ae"/>
        <w:shd w:val="clear" w:color="auto" w:fill="FFFFFF"/>
        <w:spacing w:before="0" w:after="0"/>
        <w:jc w:val="both"/>
        <w:rPr>
          <w:color w:val="000000" w:themeColor="text1"/>
          <w:sz w:val="16"/>
          <w:szCs w:val="16"/>
        </w:rPr>
      </w:pPr>
      <w:r w:rsidRPr="00640820">
        <w:rPr>
          <w:color w:val="000000" w:themeColor="text1"/>
          <w:sz w:val="16"/>
          <w:szCs w:val="16"/>
        </w:rPr>
        <w:t>Так была восстановлена нормальная жизнь столицы, что впоследствии помогло разгромить фашистов под Москвой (19827).</w:t>
      </w:r>
    </w:p>
    <w:p w14:paraId="46576F12" w14:textId="77777777" w:rsidR="00862072" w:rsidRPr="00640820" w:rsidRDefault="00862072" w:rsidP="00640820">
      <w:pPr>
        <w:pStyle w:val="ae"/>
        <w:shd w:val="clear" w:color="auto" w:fill="FFFFFF"/>
        <w:spacing w:before="0" w:after="0"/>
        <w:jc w:val="both"/>
        <w:rPr>
          <w:color w:val="000000" w:themeColor="text1"/>
          <w:sz w:val="16"/>
          <w:szCs w:val="16"/>
        </w:rPr>
      </w:pPr>
    </w:p>
    <w:p w14:paraId="234CEDD7" w14:textId="77777777" w:rsidR="00C862E9" w:rsidRPr="00640820" w:rsidRDefault="00C862E9"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color w:val="000000" w:themeColor="text1"/>
          <w:sz w:val="16"/>
          <w:szCs w:val="16"/>
        </w:rPr>
        <w:t xml:space="preserve">16 октября </w:t>
      </w:r>
      <w:r w:rsidRPr="00640820">
        <w:rPr>
          <w:rFonts w:ascii="Times New Roman" w:hAnsi="Times New Roman"/>
          <w:color w:val="000000" w:themeColor="text1"/>
          <w:sz w:val="16"/>
          <w:szCs w:val="16"/>
        </w:rPr>
        <w:t>в 1941 году прорыв фронта под Москвой. Начинается перемещение на восток сотен заводов и фабрик, трамваи в Москве не ходят, метро не работает, булочные закрыты, во дворах жгут документы (14801).</w:t>
      </w:r>
    </w:p>
    <w:p w14:paraId="594D24F3" w14:textId="77777777" w:rsidR="00C862E9" w:rsidRPr="00640820" w:rsidRDefault="00C862E9" w:rsidP="00640820">
      <w:pPr>
        <w:spacing w:after="0" w:line="240" w:lineRule="auto"/>
        <w:jc w:val="both"/>
        <w:rPr>
          <w:rFonts w:ascii="Times New Roman" w:hAnsi="Times New Roman"/>
          <w:color w:val="000000" w:themeColor="text1"/>
          <w:sz w:val="16"/>
          <w:szCs w:val="16"/>
        </w:rPr>
      </w:pPr>
    </w:p>
    <w:p w14:paraId="7F8F61EE" w14:textId="77777777" w:rsidR="00C862E9" w:rsidRPr="00640820" w:rsidRDefault="00C862E9"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color w:val="000000" w:themeColor="text1"/>
          <w:sz w:val="16"/>
          <w:szCs w:val="16"/>
        </w:rPr>
        <w:t xml:space="preserve">16 октября </w:t>
      </w:r>
      <w:r w:rsidRPr="00640820">
        <w:rPr>
          <w:rFonts w:ascii="Times New Roman" w:hAnsi="Times New Roman"/>
          <w:color w:val="000000" w:themeColor="text1"/>
          <w:sz w:val="16"/>
          <w:szCs w:val="16"/>
        </w:rPr>
        <w:t>в 1941 году (16-18 октября) по сводкам военной комендатуры Москвы, «бежавшими руководящими работниками было похищено наличными деньгами 1484000 рублей, разбазарено ценностей и имущества на сумму 1051000 рублей и угнано 100 легковых и грузовых машин» (14801).</w:t>
      </w:r>
    </w:p>
    <w:p w14:paraId="3AACD7A1" w14:textId="77777777" w:rsidR="00C862E9" w:rsidRPr="00640820" w:rsidRDefault="00C862E9" w:rsidP="00640820">
      <w:pPr>
        <w:spacing w:after="0" w:line="240" w:lineRule="auto"/>
        <w:jc w:val="both"/>
        <w:rPr>
          <w:rFonts w:ascii="Times New Roman" w:hAnsi="Times New Roman"/>
          <w:color w:val="000000" w:themeColor="text1"/>
          <w:sz w:val="16"/>
          <w:szCs w:val="16"/>
        </w:rPr>
      </w:pPr>
    </w:p>
    <w:p w14:paraId="13D9122F" w14:textId="77777777" w:rsidR="00B03639"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октября 1941 вышло Постановление ГКО № 808 [О мерах по частичному восстановлению работ на эвакуируемых и неэвакуируемых предприятиях и о сокращенном графике движения метро в Москве.] (7013, 162).</w:t>
      </w:r>
    </w:p>
    <w:p w14:paraId="099B4E9F" w14:textId="77777777" w:rsidR="00B03639" w:rsidRPr="00640820" w:rsidRDefault="00B03639"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23F06C" w14:textId="77777777" w:rsidR="00B03639"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kern w:val="36"/>
          <w:sz w:val="16"/>
          <w:szCs w:val="16"/>
        </w:rPr>
      </w:pPr>
      <w:r w:rsidRPr="00640820">
        <w:rPr>
          <w:rFonts w:ascii="Times New Roman" w:hAnsi="Times New Roman"/>
          <w:color w:val="000000" w:themeColor="text1"/>
          <w:kern w:val="36"/>
          <w:sz w:val="16"/>
          <w:szCs w:val="16"/>
        </w:rPr>
        <w:t>16 октября 1941 вышло:</w:t>
      </w:r>
    </w:p>
    <w:p w14:paraId="4BCB1DB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kern w:val="36"/>
          <w:sz w:val="16"/>
          <w:szCs w:val="16"/>
        </w:rPr>
      </w:pPr>
      <w:r w:rsidRPr="00640820">
        <w:rPr>
          <w:rFonts w:ascii="Times New Roman" w:hAnsi="Times New Roman"/>
          <w:color w:val="000000" w:themeColor="text1"/>
          <w:kern w:val="36"/>
          <w:sz w:val="16"/>
          <w:szCs w:val="16"/>
        </w:rPr>
        <w:t>ГОСУДАРСТВЕННЫЙ КОМИТЕТ ОБОРОНЫ ПОСТАНОВЛЕНИЕ № ГКО-808с от 16 октября 1941 г. Москва, Кремль</w:t>
      </w:r>
    </w:p>
    <w:p w14:paraId="4A402E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Не прекращать движения на Метро, а уменьшить его, скажем, на половину.</w:t>
      </w:r>
    </w:p>
    <w:p w14:paraId="1B4F69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2.В цехах особо важных эвакуируемых заводов, прежде всего в сборочных цехах - восстановить частично по возможности работу, параллельно с демонтажем и погрузкой оборудования.</w:t>
      </w:r>
    </w:p>
    <w:p w14:paraId="5096D6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 Восстановить частично работу на неэвакуируемых фабриках и предприятиях по возможности. </w:t>
      </w:r>
    </w:p>
    <w:p w14:paraId="45C17A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ПРЕДСЕДАТЕЛЬ ГОСУДАРСТВЕННОГО КОМИТЕТА ОБОРОНЫ </w:t>
      </w:r>
    </w:p>
    <w:p w14:paraId="2A865A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И. СТАЛИН </w:t>
      </w:r>
    </w:p>
    <w:p w14:paraId="7F5412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Выписки посланы: т.т.Микояну, Щербакову, Кагановичу, Меркулову (11813).</w:t>
      </w:r>
    </w:p>
    <w:p w14:paraId="575F2C08" w14:textId="77777777" w:rsidR="00C862E9" w:rsidRPr="00640820" w:rsidRDefault="00C862E9" w:rsidP="00640820">
      <w:pPr>
        <w:autoSpaceDE w:val="0"/>
        <w:autoSpaceDN w:val="0"/>
        <w:adjustRightInd w:val="0"/>
        <w:spacing w:after="0" w:line="240" w:lineRule="auto"/>
        <w:jc w:val="both"/>
        <w:rPr>
          <w:rFonts w:ascii="Times New Roman" w:hAnsi="Times New Roman"/>
          <w:color w:val="000000" w:themeColor="text1"/>
          <w:sz w:val="16"/>
          <w:szCs w:val="16"/>
        </w:rPr>
      </w:pPr>
    </w:p>
    <w:p w14:paraId="79290D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октября 1941 на ЦА И.В.Сталина ждал Дуглас + три самолета</w:t>
      </w:r>
    </w:p>
    <w:p w14:paraId="36EDD1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C833F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16 октября 1941 начала работать вторая столица в Куйбышеве (2238,8).</w:t>
      </w:r>
    </w:p>
    <w:p w14:paraId="32252B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6F8998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октября 1941 в Москве началось попросту повальное бегство. На одном из авиазаводов директор Перовский взял гербовую печать, после чего сел в машину и угнал на ней в неизвестном направлении. Его примеру тут же последовали начальники цехов и отделов, бросив рабочих на произвол судьбы. Аналогичным образом в опытном конструкторском бюро наркомата боеприпасов его руководители по собственной инициативе уничтожили 30 токарных и фрезерных станков, после чего сели в машину и уехали. Впрочем, не всегда начальству удавалось незаметно удрать. Во дворе завода «Точизмеритель» в ожидании зарплаты собралось большое количество рабочих. Увидев автомашины, доверху груженные личными вещами работников наркомата авиационной промышленности, толпа окружили их и стали сбрасывать вещи. Раздались крики с требованием выдачи денег. Когда же директор завода Гольдберг вышел из машины и попытался открыть рот, в ответ послышалась матерная ругань с угрозами, а все его имущество растащили «в счет зарплаты». Не отставали от своих классовых братьев и рабочие цехов Московского мясокомбината им. Микояна. Уходя в массовый «отпуск», они по пути к проходной зашли на склад и утащили оттуда пять тонн колбасы. На обувной фабрике «Буревестник» в Сокольническом районе в 17.00 собралась толпа рабочих, требовавших выдачи зарплаты. Однако денег в кассе на всех не хватило, и тогда рабочие снесли с петель ворота и расхитили всю готовую обувь вместе с полуфабрикатами. [348 — Там же, с. 119.]. Ночью на московских улицах начались массовые погромы, люди разбивали витрины, выламывали двери и выносили все из промтоварных и продовольственных магазинов. Мгновенно возникли банды мародеров, по-стахановски обчищавшие хаты «эвакуировавшихся» начальников и барыг. Паника началась и на транспорте. Вагоновожатые трамваев и троллейбусов, наслушавшись от пассажиров «последних новостей» о том, что вот-вот из-за перекрестка появятся немецкие танки, решили, что дальше работать не стоит. Одни отправились в депо, другие и вовсе бросали транспорт посреди улицы и убегали домой. Перестало ходить и легендарное московское метро. Журналист Н. К. Вербицкий записал в своем дневнике: «Да, 16 октября войдет позорнейшей датой, датой трусости, растерянности и предательства в историю Москвы. Люди, которые первые трубили о героизме, несгибаемости, долге, чести. Опозорено шоссе Энтузиастов, по которому в этот день неслись на восток автомобили вчерашних „энтузиастов“, груженные полированными кроватями, кожаными чемоданами, коврами, шкатулками и жирным мясом хозяев всего этого барахла». [349 — Комаров Н. Я., Куманёв Г. А. Указ. соч., с. 119.]. В последующие дни беспорядки в столице и бегство из нее продолжались. С завода № 67 им. Тимошенко сбежали ряд ответственных работников, в том числе председатель завкома Затрусин, начальник финотдела Кристалл, заместитель секретаря парткома Храмов и другие. Рабочие же разнесли стоявшую у заводского склада «полуторку» с продуктами и растащили все по домам. Бросили на произвол судьбы свои учреждения председатель Мосгорпромсовета Г. Пасечников и начальник управления по делам искусств Т. Фрумкина. Директор 1-го Московского медицинского института В. В. Парин, его заместители по учебной части и АХЧ, директор клиники Вольпян, его заместитель Мазо, главный бухгалтер Ионов и секретарь парторганизации Пащинцев на автомобилях спешно покинули Москву, оставив без руководства госпиталь с ранеными, клинику с больными, профессорско-преподавательский состав и студентов. На заводе № 69 наркомата вооружений во время погрузки технического спирта для отправки в Екатеринбург группа рабочих буквально вырвали бочку со спиртом и организовали пьянку. У ворот автозавода им. Сталина собрались полторы тысячи рабочих, которые стали митинговать, требуя пустить их на территорию завода и выдать зарплату. При этом вахтера, охранявшего проходную, ударили лопатой по голове. Когда же туда подоспели два милиционера, что было большой редкостью в те дни, разгоряченные рабочие избили их. [350 — Там же, с. 120.] 911741).</w:t>
      </w:r>
    </w:p>
    <w:p w14:paraId="1A27A0A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49CAE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октября 1941 немецкие Панцерваффе достигли Малоярославца, а это всего 100 км от столицы. Чтобы преодолеть такое расстояние, немцам зачастую хватало двух-трех дней. До сих пор неизвестно, правда или миф, что в эти дни мобильная разведгруппа противника на мотоциклах достигла окраины Москвы и, проведя короткую перестрелку с блокпостом, повернула обратно. Понятно, что историки, занимающиеся операцией «Тайфун», не хотят признавать этот факт. Не хочется верить, что немцы могли просто так взять и доехать до столицы. Хотя в той обстановке полного развала фронта это было вполне возможно. Так или иначе, по Москве пронесся слух, что враг уже возле города. Именно это и стало сигналом к массовым беспорядкам. Тысячи людей решили, что советской власти все-таки пришел конец. Одни ринулись грабить магазины, другие — бежать из города. «Эвакуация» руководящих работников происходила в такой спешке и сутолоке, что невольно подавала пример всем остальным. Быстрее всех сбежали те, кто больше всего призывал народ сражаться до последнего, а именно аппарат ЦК ВКП(б). Здание ЦК на Старой площади превратилось в бедлам. В комнатах было разбросаны противопожарное оборудование и противогазы, в кабинетах царил полнейший хаос. Повсюду валялись секретные бланки и всевозможная переписка, в том числе директивы и телеграммы. В опустевшем здании были обнаружены брошенные в панике больше сотни печатных машинок, 128 пар валенок, тулупы, 22 мешка с обувью, несколько тонн мяса, картофеля, несколько бочек сельди и т. д. Вот, оказывается, куда девались дефицитные продукты! [347 — Комаров Н. Я., Куманёв Г. А. Указ. соч., с. 123.] (11741).</w:t>
      </w:r>
    </w:p>
    <w:p w14:paraId="12F9E34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90C8E0"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2877080D"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97CA9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октября 1941 успехом закончились переговоры о границе между Монголией и Манчжоуго в Харбине (1223).</w:t>
      </w:r>
    </w:p>
    <w:p w14:paraId="3E8F9C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66DE5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October 16 1941 Successful conclusion of Manchukuo-Outer Mongolia border talks at Harbin (1223).</w:t>
      </w:r>
    </w:p>
    <w:p w14:paraId="6108C5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289231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октября 1941 была отставка японского правительства Коноэ и образование кабинета Тодзио (3186).</w:t>
      </w:r>
    </w:p>
    <w:p w14:paraId="0B8FC1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5031461" w14:textId="77777777" w:rsidR="00C862E9" w:rsidRPr="00640820" w:rsidRDefault="00C862E9"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color w:val="000000" w:themeColor="text1"/>
          <w:sz w:val="16"/>
          <w:szCs w:val="16"/>
        </w:rPr>
        <w:t xml:space="preserve">16 октября </w:t>
      </w:r>
      <w:r w:rsidRPr="00640820">
        <w:rPr>
          <w:rFonts w:ascii="Times New Roman" w:hAnsi="Times New Roman"/>
          <w:color w:val="000000" w:themeColor="text1"/>
          <w:sz w:val="16"/>
          <w:szCs w:val="16"/>
        </w:rPr>
        <w:t>в 1941 году в Японии принц Фумимаро Коное уходит в отставку с поста премьер-министра. Новым председателем правительства становится Хидеки Тойо (14801).</w:t>
      </w:r>
    </w:p>
    <w:p w14:paraId="02318224" w14:textId="77777777" w:rsidR="00C862E9" w:rsidRPr="00640820" w:rsidRDefault="00C862E9" w:rsidP="00640820">
      <w:pPr>
        <w:spacing w:after="0" w:line="240" w:lineRule="auto"/>
        <w:jc w:val="both"/>
        <w:rPr>
          <w:rFonts w:ascii="Times New Roman" w:hAnsi="Times New Roman"/>
          <w:color w:val="000000" w:themeColor="text1"/>
          <w:sz w:val="16"/>
          <w:szCs w:val="16"/>
        </w:rPr>
      </w:pPr>
    </w:p>
    <w:p w14:paraId="405A5BB2"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657C937B"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732C20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октября 1941 был подготовлен:</w:t>
      </w:r>
    </w:p>
    <w:p w14:paraId="714A796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КРАТКИЙ ОТЧЕТ О СОСТОЯНИИ ПРОЕКТИРОВАНИЯ И ПОСТРОЙКИ ОПЫТНЫХ.САМОЛЕТОВ В ЦКБ-29 ЗАВОДА № 166 НКАП на 15.10-41 г.</w:t>
      </w:r>
    </w:p>
    <w:p w14:paraId="5120762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Основными работами КБ-2 и КБ-3 ЦКБ-29 по опытным об"ектам являются:</w:t>
      </w:r>
    </w:p>
    <w:p w14:paraId="65619B3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Окончание сборки высотного бомбардирслзаика дальнего дей</w:t>
      </w:r>
      <w:r w:rsidRPr="00640820">
        <w:rPr>
          <w:rFonts w:ascii="Times New Roman" w:hAnsi="Times New Roman"/>
          <w:color w:val="000000" w:themeColor="text1"/>
          <w:sz w:val="16"/>
          <w:szCs w:val="16"/>
        </w:rPr>
        <w:softHyphen/>
        <w:t>ствия о 2-мя моторама М120 с ТК, самолет 102 ( гл. Конструктор В.МЯСИЩЕВ) .</w:t>
      </w:r>
    </w:p>
    <w:p w14:paraId="6C8D9AF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Постройка одноместного высотного истребителя с мотором М110 (Гл. Конструктор Д. ТОМАШЕВИЧ).</w:t>
      </w:r>
    </w:p>
    <w:p w14:paraId="0F80240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Производственная база.</w:t>
      </w:r>
    </w:p>
    <w:p w14:paraId="41F39A2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Основным помещением является ангар и прилегающие к нему мастерские б.аэропорта; производственные площади мастерских удов</w:t>
      </w:r>
      <w:r w:rsidRPr="00640820">
        <w:rPr>
          <w:rFonts w:ascii="Times New Roman" w:hAnsi="Times New Roman"/>
          <w:color w:val="000000" w:themeColor="text1"/>
          <w:sz w:val="16"/>
          <w:szCs w:val="16"/>
        </w:rPr>
        <w:softHyphen/>
        <w:t>летворительные и подходят для размещения опытного производства.</w:t>
      </w:r>
    </w:p>
    <w:p w14:paraId="396CBF8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Оборудование мастерских устарелое в составе 3? единиц, не</w:t>
      </w:r>
      <w:r w:rsidRPr="00640820">
        <w:rPr>
          <w:rFonts w:ascii="Times New Roman" w:hAnsi="Times New Roman"/>
          <w:color w:val="000000" w:themeColor="text1"/>
          <w:sz w:val="16"/>
          <w:szCs w:val="16"/>
        </w:rPr>
        <w:softHyphen/>
        <w:t>комплектное для производства опытных работ. Очень остро стоит вопрос о электроэнергией; мощность всей установки 25 квт, в силу чего нельзя загружать асе оборудование одновременно.</w:t>
      </w:r>
    </w:p>
    <w:p w14:paraId="1BFD5CB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Отсутствие сжатого воздуха не позволяло нести работу по клепке, в данное время у становая воздушный компрессор и увеличено снабжение электроэнергией</w:t>
      </w:r>
    </w:p>
    <w:p w14:paraId="61DA9FC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мастерских не было термической для цветного и черного металла, а также мастерской покрытия; эти работы сильно затянулись со стороны УКСа завода,</w:t>
      </w:r>
    </w:p>
    <w:p w14:paraId="1B31C56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Рабочая сила.</w:t>
      </w:r>
    </w:p>
    <w:p w14:paraId="5F6EEE4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Наличный состав рабочих всех категорий опытного цеха № 11 309 человек, большинство из них перешли из мастерских аэропорта; средний разряд не выше 2.</w:t>
      </w:r>
    </w:p>
    <w:p w14:paraId="3DB7651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самостоятельной работе использовать их не- представляется возможности ввиду незнакомства их с работой по ыэталл аческим самоле</w:t>
      </w:r>
      <w:r w:rsidRPr="00640820">
        <w:rPr>
          <w:rFonts w:ascii="Times New Roman" w:hAnsi="Times New Roman"/>
          <w:color w:val="000000" w:themeColor="text1"/>
          <w:sz w:val="16"/>
          <w:szCs w:val="16"/>
        </w:rPr>
        <w:softHyphen/>
        <w:t>там (отсутствие навыков по клепке и по обработке дюраля).</w:t>
      </w:r>
    </w:p>
    <w:p w14:paraId="3FAF158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работавшие же ранее на машине 102 мастера и рабочие были переведены в серийное производство и, таким образом, многие участки работы остались без надлежащего руководства со стороны мастеров.</w:t>
      </w:r>
    </w:p>
    <w:p w14:paraId="3AD8B50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СОСТОЯНИЕ РАВОТ ПО САМШИТУ 1О2 (КБ-2)</w:t>
      </w:r>
    </w:p>
    <w:p w14:paraId="26A5AC1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 а к е т</w:t>
      </w:r>
    </w:p>
    <w:p w14:paraId="3CC8442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связи с эвакуацией были повреждены яшики с агрегатами макета и многие детали разрушены; в данный момент заканчивается восстановлением.</w:t>
      </w:r>
    </w:p>
    <w:p w14:paraId="69EA61E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Техническая готовность макета 90%.</w:t>
      </w:r>
    </w:p>
    <w:p w14:paraId="5FBBCD4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Стенды</w:t>
      </w:r>
    </w:p>
    <w:p w14:paraId="42BF63F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 стенды: моторный, вооружение, гидравлики, шасси и опытная герметическая кабина закончены и проведены испытания их с положи</w:t>
      </w:r>
      <w:r w:rsidRPr="00640820">
        <w:rPr>
          <w:rFonts w:ascii="Times New Roman" w:hAnsi="Times New Roman"/>
          <w:color w:val="000000" w:themeColor="text1"/>
          <w:sz w:val="16"/>
          <w:szCs w:val="16"/>
        </w:rPr>
        <w:softHyphen/>
        <w:t>тельными результатами, остаются небольшие изменения и доделки,свя</w:t>
      </w:r>
      <w:r w:rsidRPr="00640820">
        <w:rPr>
          <w:rFonts w:ascii="Times New Roman" w:hAnsi="Times New Roman"/>
          <w:color w:val="000000" w:themeColor="text1"/>
          <w:sz w:val="16"/>
          <w:szCs w:val="16"/>
        </w:rPr>
        <w:softHyphen/>
        <w:t>занные с испытаниями.</w:t>
      </w:r>
    </w:p>
    <w:p w14:paraId="436A59D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Статиспытание</w:t>
      </w:r>
    </w:p>
    <w:p w14:paraId="62054A8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 агрегаты для статиспытания изготовлены и в данный момент заканчиваются в ЦАГИ испытания.</w:t>
      </w:r>
    </w:p>
    <w:p w14:paraId="0009B49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Весь самолет в целом испытан на случаи "Б" со 100% результатом; в настоящее время заканчиваются испытания на случай "А" и на осталь</w:t>
      </w:r>
      <w:r w:rsidRPr="00640820">
        <w:rPr>
          <w:rFonts w:ascii="Times New Roman" w:hAnsi="Times New Roman"/>
          <w:color w:val="000000" w:themeColor="text1"/>
          <w:sz w:val="16"/>
          <w:szCs w:val="16"/>
        </w:rPr>
        <w:softHyphen/>
        <w:t>ные случаи по программе.</w:t>
      </w:r>
    </w:p>
    <w:p w14:paraId="0F62465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 статиспытвния предполагается закончить в конце октября.</w:t>
      </w:r>
    </w:p>
    <w:p w14:paraId="4830917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smallCaps/>
          <w:color w:val="000000" w:themeColor="text1"/>
          <w:sz w:val="16"/>
          <w:szCs w:val="16"/>
        </w:rPr>
        <w:t xml:space="preserve">работа </w:t>
      </w:r>
      <w:r w:rsidRPr="00640820">
        <w:rPr>
          <w:rFonts w:ascii="Times New Roman" w:hAnsi="Times New Roman"/>
          <w:color w:val="000000" w:themeColor="text1"/>
          <w:sz w:val="16"/>
          <w:szCs w:val="16"/>
        </w:rPr>
        <w:t xml:space="preserve">по </w:t>
      </w:r>
      <w:r w:rsidRPr="00640820">
        <w:rPr>
          <w:rFonts w:ascii="Times New Roman" w:hAnsi="Times New Roman"/>
          <w:smallCaps/>
          <w:color w:val="000000" w:themeColor="text1"/>
          <w:sz w:val="16"/>
          <w:szCs w:val="16"/>
        </w:rPr>
        <w:t>проектированию</w:t>
      </w:r>
    </w:p>
    <w:p w14:paraId="0A49ED1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данное время производятся отдельные изменения и доделки, вызванные результатами испытании агрегатов на стендах и стаиспыта-ниями, а также в связи с неполадками в производстве при установке агрегатов на машину.</w:t>
      </w:r>
    </w:p>
    <w:p w14:paraId="5118CDE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Параллельно ведется работа по замене остродефицитных мате</w:t>
      </w:r>
      <w:r w:rsidRPr="00640820">
        <w:rPr>
          <w:rFonts w:ascii="Times New Roman" w:hAnsi="Times New Roman"/>
          <w:color w:val="000000" w:themeColor="text1"/>
          <w:sz w:val="16"/>
          <w:szCs w:val="16"/>
        </w:rPr>
        <w:softHyphen/>
        <w:t>риалов менее дефицитными; прорабатывается вопрос о постановке с-та на лыжи, ведется разработка деталей аэродромного оборудования к программы заводвких испытаний самолета; составляется техническое описание с, моле та.</w:t>
      </w:r>
    </w:p>
    <w:p w14:paraId="3FA065F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 А С Ч Е ТЫ.</w:t>
      </w:r>
    </w:p>
    <w:p w14:paraId="0773C9E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 основные расчеты на прочность закончены и находятся в состоянии окончательного оформления.</w:t>
      </w:r>
    </w:p>
    <w:p w14:paraId="0014BC3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II Р О И 3 В О Д С Т В О.</w:t>
      </w:r>
    </w:p>
    <w:p w14:paraId="36847C8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Задел самолета прибыл в Омск в середине августа; детали были перемешены и задел находился в неудовлетворительном состоянии.</w:t>
      </w:r>
    </w:p>
    <w:p w14:paraId="13A9B03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Разборка деталей была проведена силами конструкторов ив имущества цехов; на разборку затрачено много времени;</w:t>
      </w:r>
    </w:p>
    <w:p w14:paraId="6FD91FE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Следует отметить, что этому делу со стороны цехов не было уделено долшчого внимания и этот участок работы оставлен был без надзора, в результате чего часть оснастки и деталей были утеряны.</w:t>
      </w:r>
    </w:p>
    <w:p w14:paraId="77AA453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 Ю 3 Е Л Я Ж.</w:t>
      </w:r>
    </w:p>
    <w:p w14:paraId="5A2E873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 каркасные работы закончены, остается провести испытание на герметичность кабин; недостающее детали изготовляются на серий</w:t>
      </w:r>
      <w:r w:rsidRPr="00640820">
        <w:rPr>
          <w:rFonts w:ascii="Times New Roman" w:hAnsi="Times New Roman"/>
          <w:color w:val="000000" w:themeColor="text1"/>
          <w:sz w:val="16"/>
          <w:szCs w:val="16"/>
        </w:rPr>
        <w:softHyphen/>
        <w:t>ном заводе, т-к цех и 11 в салу отсутствия нужного оборудования выполнить их своими силами несмолот.</w:t>
      </w:r>
    </w:p>
    <w:p w14:paraId="4606AF1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Техническая готовность по фюзеляжу 90%.</w:t>
      </w:r>
    </w:p>
    <w:p w14:paraId="0977B1D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 Е Н Т Р О П Л А Н.</w:t>
      </w:r>
    </w:p>
    <w:p w14:paraId="4FEF411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Готов на 95%; недостает небольшого количества деталей и чертежных нормалей.</w:t>
      </w:r>
    </w:p>
    <w:p w14:paraId="28A0754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РЫЛО</w:t>
      </w:r>
    </w:p>
    <w:p w14:paraId="2EC01CE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 детали имеются кроме нормалей; сборка кессона крыла, клепка элеронов и посадочных щитков задерживается из-за отсутствия воздуха для клепки; работы предполагается закончить по кессону к 1/11-41 г. и произвести стыковку.</w:t>
      </w:r>
    </w:p>
    <w:p w14:paraId="1B21AA4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Техническая готовность крыла 82%</w:t>
      </w:r>
    </w:p>
    <w:p w14:paraId="758E2FE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ОПЕРЕНИЕ</w:t>
      </w:r>
    </w:p>
    <w:p w14:paraId="6AD056A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 агрегаты оперения закончены полностью и обшиты; остается окраска и балансировка. Техническая готовность - 96%</w:t>
      </w:r>
    </w:p>
    <w:p w14:paraId="559A400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 П Р А В Л Е Н И Е</w:t>
      </w:r>
    </w:p>
    <w:p w14:paraId="19973F4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Детали управления изготовлены и смонтированы; производится регулировка управления. Техническая готовность - 95%.</w:t>
      </w:r>
    </w:p>
    <w:p w14:paraId="5A62A45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ВИНТО-МОТСРНООЕ ХОЗЯЙСТВО.</w:t>
      </w:r>
    </w:p>
    <w:p w14:paraId="15475D8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Детали и готовые изделия для винто-моторнок группы имеются; производится монтай оензо- и маслослслем. Из-за отсутствия квалифицированных медников, расботы на этом участие сильно тормозятся.</w:t>
      </w:r>
    </w:p>
    <w:p w14:paraId="6DDB8ED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Техническая готовность по деталям - 90%, а в целом по монтажу 70-75%.</w:t>
      </w:r>
    </w:p>
    <w:p w14:paraId="1B03613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Испытание реакторов в ЦАГИ не закончено, в связи с чем предстоят дополнительные работы.</w:t>
      </w:r>
    </w:p>
    <w:p w14:paraId="6BB53AB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СПЕЦОБОРУДОВАНИЕ</w:t>
      </w:r>
    </w:p>
    <w:p w14:paraId="229B7AF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Производится доводка и окраска агрегатов спецустановок: стрелковой, бомбовои и прицельной. Особенно не достает квалифицированных рабочих, в связи с чем конструктора работают в качестве слесарей и токарей в цехе.</w:t>
      </w:r>
    </w:p>
    <w:p w14:paraId="41C93DF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верхней дистанционной установке не имеется нужного оружия, крыльевого пулемета Березина; Приспосабливается- имеющийся синхронный пулемет; от завода № 487 не получен ряд механизмов.</w:t>
      </w:r>
    </w:p>
    <w:p w14:paraId="605AACE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ВНУТРЕННЕЕ ОБОРУДОВАНИЕ САМОЛЕТА</w:t>
      </w:r>
    </w:p>
    <w:p w14:paraId="11A71B8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Отсутствуют некоторые издилия заводов смежников: термометр смеси карбюратора, сигнализатор температуры масла и воды, броня, прозрачная броня, лагометр, спецбак, гидравлическая тележка. Техническая готовность - 85%.</w:t>
      </w:r>
    </w:p>
    <w:p w14:paraId="52D7606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ГИДРАВЛИЧЕСКОЕ ОБОРУДОВАНИЕ</w:t>
      </w:r>
    </w:p>
    <w:p w14:paraId="2B9969B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Необходимо провести лабораторные испытания гидравлических помп и клапанов. Монтаж гидравлических устаповок выполнен на 75%. Техническая готовность агрегатов - 90%.</w:t>
      </w:r>
    </w:p>
    <w:p w14:paraId="377A653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 А С С И</w:t>
      </w:r>
    </w:p>
    <w:p w14:paraId="6D896B2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связи со стендовыми испытаниями ироизводится разработка следующих агрегатов: переборка ноги с заменою возвратного механизма, замок шасси передней ноги и доделка механизмов створок.</w:t>
      </w:r>
    </w:p>
    <w:p w14:paraId="4BE0D39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Из-за отсутствия подходящего оборудования и опытных рабочих эти работы могут задержать выпуск самолета.</w:t>
      </w:r>
    </w:p>
    <w:p w14:paraId="0B23386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Технике смая готовность агрегатов - 80%</w:t>
      </w:r>
    </w:p>
    <w:p w14:paraId="61389A3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ЭЛЕКТРО-ОБОРУДОВАНИЕ.</w:t>
      </w:r>
    </w:p>
    <w:p w14:paraId="538224E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 закончен монтаж задней кабины, остальные монтажи по передней кабине, по центроплану, по хвостовой части фюзеляжа и по второму от”ему закончены.</w:t>
      </w:r>
    </w:p>
    <w:p w14:paraId="42CE665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Техническая готовность - 80%</w:t>
      </w:r>
    </w:p>
    <w:p w14:paraId="033A03B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ВЫСОТНОЕ ОБОРУДОВАНИЕ</w:t>
      </w:r>
    </w:p>
    <w:p w14:paraId="63AC1AC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 агрегаты установлены, остается испытать дефлектор заднего фонаря. Техническая г о т о в н о о т ь - 95%.</w:t>
      </w:r>
    </w:p>
    <w:p w14:paraId="5C8B313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РАБОТА ПО САМОЛЕТУ 110 (КБ-3).</w:t>
      </w:r>
    </w:p>
    <w:p w14:paraId="62EBBFF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 а к е т</w:t>
      </w:r>
    </w:p>
    <w:p w14:paraId="092FDD9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перевозке макет сильно пострадал. Ведется восстановление его.</w:t>
      </w:r>
    </w:p>
    <w:p w14:paraId="0C54BD8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е н д ы</w:t>
      </w:r>
    </w:p>
    <w:p w14:paraId="29F89FF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Моторный - заканчивается монтаж; намечена первая гонка мотора (без капотов ) на 22/10-41 г. Работа тормозится из-за недостатка квалифицированных рабочих по капоту.</w:t>
      </w:r>
    </w:p>
    <w:p w14:paraId="421CB29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Вооружение - закончен в производстве стенд синхронной установки с 2-мя пулеметами БС и</w:t>
      </w:r>
      <w:r w:rsidRPr="00640820">
        <w:rPr>
          <w:rFonts w:ascii="Times New Roman" w:hAnsi="Times New Roman"/>
          <w:smallCaps/>
          <w:color w:val="000000" w:themeColor="text1"/>
          <w:sz w:val="16"/>
          <w:szCs w:val="16"/>
        </w:rPr>
        <w:t xml:space="preserve"> 2</w:t>
      </w:r>
      <w:r w:rsidRPr="00640820">
        <w:rPr>
          <w:rFonts w:ascii="Times New Roman" w:hAnsi="Times New Roman"/>
          <w:color w:val="000000" w:themeColor="text1"/>
          <w:sz w:val="16"/>
          <w:szCs w:val="16"/>
        </w:rPr>
        <w:t>-мя пулеметами ШКАС; приступлено к испытанию.</w:t>
      </w:r>
    </w:p>
    <w:p w14:paraId="61FC6D7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Шасси - незакончен. Во время перевозки утерян.</w:t>
      </w:r>
    </w:p>
    <w:p w14:paraId="2BFFB4C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СТАТИСПЫТАНИЯ</w:t>
      </w:r>
    </w:p>
    <w:p w14:paraId="0BC66A7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Испытывались лишь отдельные узлы центроплана и фюзеляжа; комплектные агрегаты статически ещз не испытывались.</w:t>
      </w:r>
    </w:p>
    <w:p w14:paraId="55EF37F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ПРОЕКТИРОВАНИЕ.</w:t>
      </w:r>
    </w:p>
    <w:p w14:paraId="5542C55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данное время работы по проектированию ведутся; по разработке лыж, по переделкам агрегатов винто-моторного хозяйства и электро -оборудовакня, в связи с изменением габаритов мотора, по проектиро</w:t>
      </w:r>
      <w:r w:rsidRPr="00640820">
        <w:rPr>
          <w:rFonts w:ascii="Times New Roman" w:hAnsi="Times New Roman"/>
          <w:color w:val="000000" w:themeColor="text1"/>
          <w:sz w:val="16"/>
          <w:szCs w:val="16"/>
        </w:rPr>
        <w:softHyphen/>
        <w:t>ванию пневматического выпуска шасси, по составлению тихнического описания и разработке аэродромного оборудоаания.</w:t>
      </w:r>
    </w:p>
    <w:p w14:paraId="7D986BF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Подетальные расчеты заканчиваются</w:t>
      </w:r>
    </w:p>
    <w:p w14:paraId="5B72139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w:t>
      </w:r>
    </w:p>
    <w:p w14:paraId="4267025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Оснастка для сборки самолета была полностью спроектирована и на заводе 156 заготовлена на 90%; в связи с эвакуацией из Москвы значительное количество оснастки, стапелей и болванок пропало; кроме того, болванки и другие деревянные детали, находились в не</w:t>
      </w:r>
      <w:r w:rsidRPr="00640820">
        <w:rPr>
          <w:rFonts w:ascii="Times New Roman" w:hAnsi="Times New Roman"/>
          <w:color w:val="000000" w:themeColor="text1"/>
          <w:sz w:val="16"/>
          <w:szCs w:val="16"/>
        </w:rPr>
        <w:softHyphen/>
        <w:t>благоприятных условиях и частично повреждены и подлежат тщательной проверке по шаблонам и ремонту.</w:t>
      </w:r>
    </w:p>
    <w:p w14:paraId="04D1A61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Часть стапелей для сборки передней и задней ферм фюзеляжа, передней фермы центроплана, моторамы, переднее и задней балочек крыла были утерены. Изготовление новых стапелей задерживается из-за отсутствия квалифицированных работников, работа по розыску оснастки, болванок и шаблонов проведена силами конструкторов.</w:t>
      </w:r>
    </w:p>
    <w:p w14:paraId="79DC813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 Ю 3 Е Л Я Ж</w:t>
      </w:r>
    </w:p>
    <w:p w14:paraId="1B55E6C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статиспытании находится в сборке; производится стыковка передней и хвостовой ферм со средней частью фюзеляжа. Техническая готовность - 60%.</w:t>
      </w:r>
    </w:p>
    <w:p w14:paraId="4984662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летную машину заготовлено деталей на 50%.</w:t>
      </w:r>
    </w:p>
    <w:p w14:paraId="774F763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ЦЕНТРОПЛАН</w:t>
      </w:r>
    </w:p>
    <w:p w14:paraId="3E767DC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Каркас центроплана для статиспытаний подготовлен к сборке; заготовлено деталей 75%.</w:t>
      </w:r>
    </w:p>
    <w:p w14:paraId="62C45A3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летную машину собраны нервюры, подготовлены к сборке лонжероны и балочки</w:t>
      </w:r>
    </w:p>
    <w:p w14:paraId="21C5D3C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Техническая ГОТОВНОСТЬ 75%.</w:t>
      </w:r>
    </w:p>
    <w:p w14:paraId="3D5A9DC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ШАССИ</w:t>
      </w:r>
    </w:p>
    <w:p w14:paraId="5863103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статиспытаний заготовлено 75% деталей. На летную машину имеется 60%; к сборке шасси не приступали</w:t>
      </w:r>
    </w:p>
    <w:p w14:paraId="6B71E7A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 ПЕРЕНИЕ.</w:t>
      </w:r>
    </w:p>
    <w:p w14:paraId="0BD1753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статиспытаний собран стабилизатор и киль; на летную машину заготовлено деталей на 85%.</w:t>
      </w:r>
    </w:p>
    <w:p w14:paraId="7D8AC6F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МОТОРНОЕ ОБОРУДОВАНИЕ</w:t>
      </w:r>
    </w:p>
    <w:p w14:paraId="5000324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Заготовлено деталей на летную мапину ня 70%.</w:t>
      </w:r>
    </w:p>
    <w:p w14:paraId="3296608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ВООРУЖЕНИЕ</w:t>
      </w:r>
    </w:p>
    <w:p w14:paraId="4E03045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Детали на летную машину заготовлены в количестве 25%</w:t>
      </w:r>
    </w:p>
    <w:p w14:paraId="64CA9F3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ОБОРУДОВАНИЕ</w:t>
      </w:r>
    </w:p>
    <w:p w14:paraId="4C4B463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Имеется деталей на летную машину на 20%</w:t>
      </w:r>
    </w:p>
    <w:p w14:paraId="7ED0A2A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УПРАВЛЕНИЕ</w:t>
      </w:r>
    </w:p>
    <w:p w14:paraId="24FC231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Готово деталей - 72%.</w:t>
      </w:r>
    </w:p>
    <w:p w14:paraId="77DA846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НЕДОСТАЮЩИЕ ГОТОВЫЕ ИЗДЕЛИЯ</w:t>
      </w:r>
    </w:p>
    <w:p w14:paraId="1516C1A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Мотор М107 (в пути ).</w:t>
      </w:r>
    </w:p>
    <w:p w14:paraId="25101A4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Колеса для шасси 700 х 220</w:t>
      </w:r>
    </w:p>
    <w:p w14:paraId="75CD043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Радиатор масляный ОП- 383</w:t>
      </w:r>
    </w:p>
    <w:p w14:paraId="552867F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РПК-10</w:t>
      </w:r>
    </w:p>
    <w:p w14:paraId="0A290D1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Регулятор ВИШ Р-8</w:t>
      </w:r>
    </w:p>
    <w:p w14:paraId="63E7816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Аккумуляторо 12А-5</w:t>
      </w:r>
    </w:p>
    <w:p w14:paraId="435BE45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Фара типа Граймс ФСВ-200</w:t>
      </w:r>
    </w:p>
    <w:p w14:paraId="3752F57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л ин ке р па рал л ельный</w:t>
      </w:r>
    </w:p>
    <w:p w14:paraId="049F50E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Состояние задела по самолету 110 позволяет развернуть работы ио сборке более интенсивно, но из-за недостатка квалифицироеанных рабочих в опытном цехе этого сделать нельзя.</w:t>
      </w:r>
    </w:p>
    <w:p w14:paraId="6EEFD87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Ы В О Д Ы:</w:t>
      </w:r>
    </w:p>
    <w:p w14:paraId="024FC3D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Сборка, самолета 102 может быть закончена в течение одного месяца.</w:t>
      </w:r>
    </w:p>
    <w:p w14:paraId="4919DA8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Сборка самолета 110 может быть закончена в середине января, при условии пополнения квалифицированными работниками и частичному изготовлении деталей в цехах серийного завода (10750).</w:t>
      </w:r>
    </w:p>
    <w:p w14:paraId="7FE0BCA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D3D3B5" w14:textId="77777777" w:rsidR="005C14EE" w:rsidRPr="00640820" w:rsidRDefault="005C14E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17 октября 1941 г.</w:t>
      </w:r>
    </w:p>
    <w:p w14:paraId="336D8A1E" w14:textId="77777777" w:rsidR="005C14EE" w:rsidRPr="00640820" w:rsidRDefault="005C14E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ИЗ АКТА СОТРУДНИКОВ ЗАВОДА № 468 В МК ВКП(б) О НЕДОСТОЙНОМ ПОВЕДЕНИИ НАЧАЛЬНИКА ФИЛИАЛА ЗАВОДА ПРИ ЭВАКУАЦИИ ИМУЩЕСТВА И СПЕЦИАЛИСТОВ ЗАВОДА</w:t>
      </w:r>
    </w:p>
    <w:p w14:paraId="0C585FB1" w14:textId="77777777" w:rsidR="005C14EE" w:rsidRPr="00640820" w:rsidRDefault="005C14E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17 октября 1941 г.</w:t>
      </w:r>
    </w:p>
    <w:p w14:paraId="355BC505" w14:textId="77777777" w:rsidR="005C14EE" w:rsidRPr="00640820" w:rsidRDefault="005C14E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Мы, нижеподписавшиеся, составили настоящий акт в том, что при эвакуации завода № 468 (ст. Бескудниково Московской области) на филиал завода в город Билимбай Свердловской области со стороны начальника филиала завода № 468 Г. был допущен явно антисоветский поступок. Г. вместо проявления заботы о погрузке имущества завода занимался исключительно переброской своего личного имущества к эшелону транспортом завода, как-то: пианино, рояль, зеркала, комоды, буфеты, кровати, матрацы, козу, собак, велосипеды и лиц из его знакомых, не имеющих отношения к заводу. Г. был занят лично целый вагон, куда погрузил свое имущество и продукты, и кроме этого своих знакомых поместил в нескольких вагонах эшелона. Беспокоясь о своем не многом оставшемся имуществе, которое Г. не смог погрузить на нескольких машинах, он отстал от эшелона и пытался вылететь самолетом, но ему этого не удалось, тогда Г. взял заводскую машину 1,5 тонны, погрузил одну бочку с бензином и уехал догонять эшелон, не возвратив машину за № 34-75 заводу. После отъезда эшелона Г. дал распоряжение механику автобазы догнать эшелон в пути и доставить несколько семей его знакомых, не имеющих никакого отношения к заводу, а о сотрудниках, которые не были доставлены к эшелону, заботу не проявил. Из-за личных интересов Г. в эшелон не было погружено очень много ценных материалов и оборудования, а именно [...]</w:t>
      </w:r>
    </w:p>
    <w:p w14:paraId="1CA221BE" w14:textId="77777777" w:rsidR="005C14EE" w:rsidRPr="00640820" w:rsidRDefault="005C14E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Не были доставлены к эшелону много сотрудников, имеющих очень большое производственное значение; эти сотрудники были обмануты и транспортом не обеспечены:</w:t>
      </w:r>
    </w:p>
    <w:p w14:paraId="12F53019" w14:textId="77777777" w:rsidR="005C14EE" w:rsidRPr="00640820" w:rsidRDefault="005C14E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 Ковардаев М.А.</w:t>
      </w:r>
      <w:r w:rsidRPr="00640820">
        <w:rPr>
          <w:rFonts w:ascii="Times New Roman" w:hAnsi="Times New Roman"/>
          <w:color w:val="0070C0"/>
          <w:sz w:val="16"/>
          <w:szCs w:val="16"/>
        </w:rPr>
        <w:tab/>
        <w:t>- ведущий инженер</w:t>
      </w:r>
    </w:p>
    <w:p w14:paraId="6342D9CA" w14:textId="77777777" w:rsidR="005C14EE" w:rsidRPr="00640820" w:rsidRDefault="005C14E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 Рогов Н.И.</w:t>
      </w:r>
      <w:r w:rsidRPr="00640820">
        <w:rPr>
          <w:rFonts w:ascii="Times New Roman" w:hAnsi="Times New Roman"/>
          <w:color w:val="0070C0"/>
          <w:sz w:val="16"/>
          <w:szCs w:val="16"/>
        </w:rPr>
        <w:tab/>
        <w:t>конструкторского бюро  и</w:t>
      </w:r>
    </w:p>
    <w:p w14:paraId="16AA08C1" w14:textId="77777777" w:rsidR="005C14EE" w:rsidRPr="00640820" w:rsidRDefault="005C14E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3. Ермолаев В.А.</w:t>
      </w:r>
      <w:r w:rsidRPr="00640820">
        <w:rPr>
          <w:rFonts w:ascii="Times New Roman" w:hAnsi="Times New Roman"/>
          <w:color w:val="0070C0"/>
          <w:sz w:val="16"/>
          <w:szCs w:val="16"/>
        </w:rPr>
        <w:tab/>
        <w:t>и</w:t>
      </w:r>
    </w:p>
    <w:p w14:paraId="141E9CF2" w14:textId="77777777" w:rsidR="005C14EE" w:rsidRPr="00640820" w:rsidRDefault="005C14E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4. Ходынюк П.С.</w:t>
      </w:r>
      <w:r w:rsidRPr="00640820">
        <w:rPr>
          <w:rFonts w:ascii="Times New Roman" w:hAnsi="Times New Roman"/>
          <w:color w:val="0070C0"/>
          <w:sz w:val="16"/>
          <w:szCs w:val="16"/>
        </w:rPr>
        <w:tab/>
        <w:t>- главный диспетчер завода</w:t>
      </w:r>
    </w:p>
    <w:p w14:paraId="7577B8AB" w14:textId="77777777" w:rsidR="005C14EE" w:rsidRPr="00640820" w:rsidRDefault="005C14E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5. Поздняков И.В.</w:t>
      </w:r>
      <w:r w:rsidRPr="00640820">
        <w:rPr>
          <w:rFonts w:ascii="Times New Roman" w:hAnsi="Times New Roman"/>
          <w:color w:val="0070C0"/>
          <w:sz w:val="16"/>
          <w:szCs w:val="16"/>
        </w:rPr>
        <w:tab/>
        <w:t>- главный бухгалтер</w:t>
      </w:r>
    </w:p>
    <w:p w14:paraId="0CF46046" w14:textId="77777777" w:rsidR="005C14EE" w:rsidRPr="00640820" w:rsidRDefault="005C14E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6. Гришина К.В.</w:t>
      </w:r>
      <w:r w:rsidRPr="00640820">
        <w:rPr>
          <w:rFonts w:ascii="Times New Roman" w:hAnsi="Times New Roman"/>
          <w:color w:val="0070C0"/>
          <w:sz w:val="16"/>
          <w:szCs w:val="16"/>
        </w:rPr>
        <w:tab/>
        <w:t>- конструктор</w:t>
      </w:r>
    </w:p>
    <w:p w14:paraId="161E237E" w14:textId="77777777" w:rsidR="005C14EE" w:rsidRPr="00640820" w:rsidRDefault="005C14E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7. Бормантов</w:t>
      </w:r>
      <w:r w:rsidRPr="00640820">
        <w:rPr>
          <w:rFonts w:ascii="Times New Roman" w:hAnsi="Times New Roman"/>
          <w:color w:val="0070C0"/>
          <w:sz w:val="16"/>
          <w:szCs w:val="16"/>
        </w:rPr>
        <w:tab/>
        <w:t>- старший инженер</w:t>
      </w:r>
    </w:p>
    <w:p w14:paraId="1D4445E2" w14:textId="77777777" w:rsidR="005C14EE" w:rsidRPr="00640820" w:rsidRDefault="005C14E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8. Щавров А.С.</w:t>
      </w:r>
      <w:r w:rsidRPr="00640820">
        <w:rPr>
          <w:rFonts w:ascii="Times New Roman" w:hAnsi="Times New Roman"/>
          <w:color w:val="0070C0"/>
          <w:sz w:val="16"/>
          <w:szCs w:val="16"/>
        </w:rPr>
        <w:tab/>
        <w:t>-ответственный исполнитель</w:t>
      </w:r>
    </w:p>
    <w:p w14:paraId="5F39AFEA" w14:textId="77777777" w:rsidR="005C14EE" w:rsidRPr="00640820" w:rsidRDefault="005C14E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9. Кузнецов Н.Т.</w:t>
      </w:r>
      <w:r w:rsidRPr="00640820">
        <w:rPr>
          <w:rFonts w:ascii="Times New Roman" w:hAnsi="Times New Roman"/>
          <w:color w:val="0070C0"/>
          <w:sz w:val="16"/>
          <w:szCs w:val="16"/>
        </w:rPr>
        <w:tab/>
        <w:t>- механик</w:t>
      </w:r>
    </w:p>
    <w:p w14:paraId="431E826B" w14:textId="77777777" w:rsidR="005C14EE" w:rsidRPr="00640820" w:rsidRDefault="005C14E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10. Рябцев</w:t>
      </w:r>
      <w:r w:rsidRPr="00640820">
        <w:rPr>
          <w:rFonts w:ascii="Times New Roman" w:hAnsi="Times New Roman"/>
          <w:color w:val="0070C0"/>
          <w:sz w:val="16"/>
          <w:szCs w:val="16"/>
        </w:rPr>
        <w:tab/>
        <w:t>- шофер</w:t>
      </w:r>
    </w:p>
    <w:p w14:paraId="047E179E" w14:textId="77777777" w:rsidR="005C14EE" w:rsidRPr="00640820" w:rsidRDefault="005C14E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11. Федин</w:t>
      </w:r>
      <w:r w:rsidRPr="00640820">
        <w:rPr>
          <w:rFonts w:ascii="Times New Roman" w:hAnsi="Times New Roman"/>
          <w:color w:val="0070C0"/>
          <w:sz w:val="16"/>
          <w:szCs w:val="16"/>
        </w:rPr>
        <w:tab/>
        <w:t>- шофер</w:t>
      </w:r>
    </w:p>
    <w:p w14:paraId="745CCC95" w14:textId="77777777" w:rsidR="005C14EE" w:rsidRPr="00640820" w:rsidRDefault="005C14E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и много других работников завода.</w:t>
      </w:r>
    </w:p>
    <w:p w14:paraId="27215536" w14:textId="77777777" w:rsidR="005C14EE" w:rsidRPr="00640820" w:rsidRDefault="005C14E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Направленная к эшелону для погрузки документация главной бухгалтерии завода и ОКСа не была погружена и возвращена обратно на завод.</w:t>
      </w:r>
    </w:p>
    <w:p w14:paraId="44CEAD71" w14:textId="77777777" w:rsidR="005C14EE" w:rsidRPr="00640820" w:rsidRDefault="005C14E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Со стороны начальника отдела кадров т. Ч. Было проявлено преступно халатное отношение к делам личного состава завода. Все трудовые книжки и личные дела были брошены и в эшелон не погружены.</w:t>
      </w:r>
    </w:p>
    <w:p w14:paraId="47E0A410" w14:textId="77777777" w:rsidR="005C14EE" w:rsidRPr="00640820" w:rsidRDefault="005C14E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Все это безобразие происходило на глазах парторга завода т. У. и членов бюро, которые никаких мер не приняли для устранения беспорядков и безобразий, а занимались своими личными делами. За все безобразия и антисоветские поступки лица, указанные в акте, должны понести суровую кару по законам военного времени.</w:t>
      </w:r>
    </w:p>
    <w:p w14:paraId="1002D5C1" w14:textId="77777777" w:rsidR="005C14EE" w:rsidRPr="00640820" w:rsidRDefault="005C14E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Подписи:</w:t>
      </w:r>
    </w:p>
    <w:p w14:paraId="57CEFBB8" w14:textId="77777777" w:rsidR="005C14EE" w:rsidRPr="00640820" w:rsidRDefault="005C14E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Агафонов М.Ф.</w:t>
      </w:r>
    </w:p>
    <w:p w14:paraId="3A9B9AEF" w14:textId="77777777" w:rsidR="005C14EE" w:rsidRPr="00640820" w:rsidRDefault="005C14E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Зимин А.Г.</w:t>
      </w:r>
    </w:p>
    <w:p w14:paraId="7E939B89" w14:textId="77777777" w:rsidR="005C14EE" w:rsidRPr="00640820" w:rsidRDefault="005C14E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Синицин И.В.</w:t>
      </w:r>
    </w:p>
    <w:p w14:paraId="7FC2D95E" w14:textId="77777777" w:rsidR="005C14EE" w:rsidRPr="00640820" w:rsidRDefault="005C14E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Ковардаев М.А.</w:t>
      </w:r>
    </w:p>
    <w:p w14:paraId="7119DC10" w14:textId="77777777" w:rsidR="005C14EE" w:rsidRPr="00640820" w:rsidRDefault="005C14E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Рогов Н.И.</w:t>
      </w:r>
    </w:p>
    <w:p w14:paraId="081C47D4" w14:textId="77777777" w:rsidR="005C14EE" w:rsidRPr="00640820" w:rsidRDefault="005C14E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Ермолаев В.А.</w:t>
      </w:r>
    </w:p>
    <w:p w14:paraId="3FFC46CA" w14:textId="77777777" w:rsidR="005C14EE" w:rsidRPr="00640820" w:rsidRDefault="005C14E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Ходынюк П.С.</w:t>
      </w:r>
    </w:p>
    <w:p w14:paraId="4C3484C1" w14:textId="77777777" w:rsidR="005C14EE" w:rsidRPr="00640820" w:rsidRDefault="005C14E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Поздняков И.В.</w:t>
      </w:r>
    </w:p>
    <w:p w14:paraId="15D5C3FF" w14:textId="77777777" w:rsidR="005C14EE" w:rsidRPr="00640820" w:rsidRDefault="005C14E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Бормантов Н.В.</w:t>
      </w:r>
    </w:p>
    <w:p w14:paraId="44CCC5FC" w14:textId="77777777" w:rsidR="005C14EE" w:rsidRPr="00640820" w:rsidRDefault="005C14E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Щавров А.С.</w:t>
      </w:r>
    </w:p>
    <w:p w14:paraId="7ED41ECC" w14:textId="77777777" w:rsidR="005C14EE" w:rsidRPr="00640820" w:rsidRDefault="005C14E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Кузнецов Н.Т.</w:t>
      </w:r>
    </w:p>
    <w:p w14:paraId="2AAE788A" w14:textId="77777777" w:rsidR="005C14EE" w:rsidRPr="00640820" w:rsidRDefault="005C14E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Рябцев И.И.</w:t>
      </w:r>
    </w:p>
    <w:p w14:paraId="02530680" w14:textId="77777777" w:rsidR="005C14EE" w:rsidRPr="00640820" w:rsidRDefault="005C14E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Федин П.И.</w:t>
      </w:r>
    </w:p>
    <w:p w14:paraId="462D111A" w14:textId="77777777" w:rsidR="005C14EE" w:rsidRPr="00640820" w:rsidRDefault="005C14E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ЦАОДМ, ф. 3, оп. 52, д. 175, л. 244-245.</w:t>
      </w:r>
    </w:p>
    <w:p w14:paraId="49F5D98E" w14:textId="77777777" w:rsidR="005C14EE" w:rsidRPr="00640820" w:rsidRDefault="005C14E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Подлинник (21058).</w:t>
      </w:r>
    </w:p>
    <w:p w14:paraId="77A7F586" w14:textId="77777777" w:rsidR="005C14EE" w:rsidRPr="00640820" w:rsidRDefault="005C14EE" w:rsidP="00640820">
      <w:pPr>
        <w:spacing w:after="0" w:line="240" w:lineRule="auto"/>
        <w:jc w:val="both"/>
        <w:rPr>
          <w:rFonts w:ascii="Times New Roman" w:hAnsi="Times New Roman"/>
          <w:color w:val="0070C0"/>
          <w:sz w:val="16"/>
          <w:szCs w:val="16"/>
        </w:rPr>
      </w:pPr>
    </w:p>
    <w:p w14:paraId="6BB1C361" w14:textId="77777777" w:rsidR="00595859" w:rsidRPr="00640820" w:rsidRDefault="00595859" w:rsidP="00640820">
      <w:pPr>
        <w:pStyle w:val="ae"/>
        <w:spacing w:before="0" w:after="0"/>
        <w:jc w:val="both"/>
        <w:textAlignment w:val="baseline"/>
        <w:rPr>
          <w:color w:val="000000" w:themeColor="text1"/>
          <w:sz w:val="16"/>
          <w:szCs w:val="16"/>
        </w:rPr>
      </w:pPr>
      <w:r w:rsidRPr="00640820">
        <w:rPr>
          <w:color w:val="000000" w:themeColor="text1"/>
          <w:sz w:val="16"/>
          <w:szCs w:val="16"/>
        </w:rPr>
        <w:t>17 октября 1941 г. было вынесено обвинительное заключение по делу Таубина. Таубин обвинялся в том, что «на протяжении ряда лет являлся активным участником антисоветской военно-заговорщической организации, ставившей своей целью свержение Советской власти; проводил активную вражескую работу в направлении срыва вооружения Красной Армии современными видами оружия, т.е. в совершении преступлений, предусмотренных ст. ст. 58 п.1 «а», 58-7 и 58-11 УК РСФСР». 28 октября 1941 г. Я. Г. Таубин вместе с 19-ю другими видными военными специалистами был расстрелян в посёлке Барбыше Куйбышевской области (сейчас Самарская область) (18985).</w:t>
      </w:r>
    </w:p>
    <w:p w14:paraId="1DA15E58" w14:textId="77777777" w:rsidR="00595859" w:rsidRPr="00640820" w:rsidRDefault="00595859" w:rsidP="00640820">
      <w:pPr>
        <w:spacing w:after="0" w:line="240" w:lineRule="auto"/>
        <w:jc w:val="both"/>
        <w:rPr>
          <w:rFonts w:ascii="Times New Roman" w:hAnsi="Times New Roman"/>
          <w:color w:val="000000" w:themeColor="text1"/>
          <w:sz w:val="16"/>
          <w:szCs w:val="16"/>
        </w:rPr>
      </w:pPr>
    </w:p>
    <w:p w14:paraId="52AD246B"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575AFD87"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8BD0A0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октября 1941 г. и.о. начальника ОГК НКТП С. Гинзбург на за</w:t>
      </w:r>
      <w:r w:rsidRPr="00640820">
        <w:rPr>
          <w:rFonts w:ascii="Times New Roman" w:hAnsi="Times New Roman"/>
          <w:color w:val="000000" w:themeColor="text1"/>
          <w:sz w:val="16"/>
          <w:szCs w:val="16"/>
        </w:rPr>
        <w:softHyphen/>
        <w:t>седании по совершенствованию танков за</w:t>
      </w:r>
      <w:r w:rsidRPr="00640820">
        <w:rPr>
          <w:rFonts w:ascii="Times New Roman" w:hAnsi="Times New Roman"/>
          <w:color w:val="000000" w:themeColor="text1"/>
          <w:sz w:val="16"/>
          <w:szCs w:val="16"/>
        </w:rPr>
        <w:softHyphen/>
        <w:t>писал:</w:t>
      </w:r>
    </w:p>
    <w:p w14:paraId="673643D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По танку Т-60.</w:t>
      </w:r>
    </w:p>
    <w:p w14:paraId="27D4BF9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Недостаточн. бронирование не защи</w:t>
      </w:r>
      <w:r w:rsidRPr="00640820">
        <w:rPr>
          <w:rFonts w:ascii="Times New Roman" w:hAnsi="Times New Roman"/>
          <w:color w:val="000000" w:themeColor="text1"/>
          <w:sz w:val="16"/>
          <w:szCs w:val="16"/>
        </w:rPr>
        <w:softHyphen/>
        <w:t>щает от огня нем. 37-мм ПТП на дальн. до 600 м включительно. Нем. 7,92-мм ПТР обр. 39 пробивает борт, броню Т-60 с диет. 150-м.</w:t>
      </w:r>
    </w:p>
    <w:p w14:paraId="27C781D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Слабо пушечн. вооружение. Не позво</w:t>
      </w:r>
      <w:r w:rsidRPr="00640820">
        <w:rPr>
          <w:rFonts w:ascii="Times New Roman" w:hAnsi="Times New Roman"/>
          <w:color w:val="000000" w:themeColor="text1"/>
          <w:sz w:val="16"/>
          <w:szCs w:val="16"/>
        </w:rPr>
        <w:softHyphen/>
        <w:t>ляет вести борьбу с танками противника и его укрепленными от. точками» (11084).</w:t>
      </w:r>
    </w:p>
    <w:p w14:paraId="2BCDCBF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174E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17 октября 1941 вышло Постановление ГКО № 809 О назначении тов.Хмельнова К.И. РГАНИР, Фонд ГКО, д. 12, лл. 163 (11012).</w:t>
      </w:r>
    </w:p>
    <w:p w14:paraId="461B0C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6B52C7E"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3F788ACE"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E71E10C" w14:textId="77777777" w:rsidR="00C862E9" w:rsidRPr="00640820" w:rsidRDefault="00C862E9"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17 октября </w:t>
      </w:r>
      <w:r w:rsidRPr="00640820">
        <w:rPr>
          <w:rFonts w:ascii="Times New Roman" w:hAnsi="Times New Roman"/>
          <w:color w:val="000000" w:themeColor="text1"/>
          <w:sz w:val="16"/>
          <w:szCs w:val="16"/>
        </w:rPr>
        <w:t>в 1941 году утреннее сообщение Совинформбюро:</w:t>
      </w:r>
    </w:p>
    <w:p w14:paraId="41D34587" w14:textId="77777777" w:rsidR="00C862E9" w:rsidRPr="00640820" w:rsidRDefault="00C862E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17 октября наши войска вели бои с противником на всём фронте. Особо упорные бои происходили на ряде участков Западного направления фронта.</w:t>
      </w:r>
    </w:p>
    <w:p w14:paraId="611F2069" w14:textId="77777777" w:rsidR="00C862E9" w:rsidRPr="00640820" w:rsidRDefault="00C862E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Немецкое командование сильно обеспокоено быстрым увеличением самоубийств и дезертирства в германской армии. Немецкий солдат Пауль Шмидт, взятый в плен под Вязьмой, рассказывает: «В моей роте почти все солдаты — новички. В душе каждого из нас борются два чувства: боязнь вылезть из окопов, страх быть убитым в первую же минуту боя и страх быть расстрелянным собственным офицером, если не полезешь из окопа вперёд. Многие солдаты, служившие со мной в одной роте, покончили жизнь самоубийством. Только за последние дни застрелились 7 человек. В нашей роте есть не менее 50-60 солдат, которые ищут случая удрать с фронта.</w:t>
      </w:r>
    </w:p>
    <w:p w14:paraId="022B4A38" w14:textId="77777777" w:rsidR="00C862E9" w:rsidRPr="00640820" w:rsidRDefault="00C862E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Солдатам был зачитан перед строем приказ командира полка о казни 5 солдат, пытавшихся покончить собой, и о расстреле-3 солдат, подготавливавших побег с фронта». Немецкий солдат Бехер в письме к жене пишет: «Я не хотел тебе писать об этом, но больше нет сил переносить те ужасные страдания, которые переживаю я и каждый из нас на фронте. Страх, что тебя каждую минуту может расстрелять собственный офицер, скотская жизнь, безумная смелость русских — всё это страшно угнетает меня. Я вижу, как быстро тает наша армия, и предчувствую, что вряд ли кому из нас удастся вернуться домой».</w:t>
      </w:r>
    </w:p>
    <w:p w14:paraId="51CAF34D" w14:textId="77777777" w:rsidR="00C862E9" w:rsidRPr="00640820" w:rsidRDefault="00C862E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Трудящиеся Советской страны с огромным подъёмом работают на фабриках и заводах, на транспорте и в сельском хозяйстве, единодушно и самоотверженно отдавая силы для отпора врагу. На многих предприятиях, особенно работающих на оборону, непрерывно возрастает производительность труда. Ряд фабрик и заводов удвоил выпуск продукции. Рабочие, инженеры и техники вносят много ценных предложений об увеличении выпуска продукции, экономии сырья и т. п. Мастер Свердловского завода тов. Поливанов применил в своём цехе приспособление к станкам, повысившее их производительность на 70%. Рабочий одного из челябинских заводов тов. Ивашкин предложил изобретение, которое дало заводу большую экономию цветного металла.</w:t>
      </w:r>
    </w:p>
    <w:p w14:paraId="71E4AA36" w14:textId="77777777" w:rsidR="00C862E9" w:rsidRPr="00640820" w:rsidRDefault="00C862E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Самоотверженно работают рабочие и служащие Энского саратовского завода. Особенно отличилась бригада тов. Чебуракова, выполнившая к 15 октября весь октябрьский производственный план.» (14802).</w:t>
      </w:r>
    </w:p>
    <w:p w14:paraId="6C62D745" w14:textId="77777777" w:rsidR="00C862E9" w:rsidRPr="00640820" w:rsidRDefault="00C862E9" w:rsidP="00640820">
      <w:pPr>
        <w:spacing w:after="0" w:line="240" w:lineRule="auto"/>
        <w:jc w:val="both"/>
        <w:rPr>
          <w:rFonts w:ascii="Times New Roman" w:hAnsi="Times New Roman"/>
          <w:color w:val="000000" w:themeColor="text1"/>
          <w:sz w:val="16"/>
          <w:szCs w:val="16"/>
        </w:rPr>
      </w:pPr>
    </w:p>
    <w:p w14:paraId="26E9636F" w14:textId="77777777" w:rsidR="00C862E9" w:rsidRPr="00640820" w:rsidRDefault="00C862E9"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17 октября </w:t>
      </w:r>
      <w:r w:rsidRPr="00640820">
        <w:rPr>
          <w:rFonts w:ascii="Times New Roman" w:hAnsi="Times New Roman"/>
          <w:color w:val="000000" w:themeColor="text1"/>
          <w:sz w:val="16"/>
          <w:szCs w:val="16"/>
        </w:rPr>
        <w:t>в 1941 году вечернее сообщение Совинформбюро:</w:t>
      </w:r>
    </w:p>
    <w:p w14:paraId="62986C6B" w14:textId="77777777" w:rsidR="00C862E9" w:rsidRPr="00640820" w:rsidRDefault="00C862E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17 октября продолжались упорные бои с противником на всём фронте. Особо упорные бои шли на Западном направлении, на котором части Красной Армии отбили несколько ожесточённых атак вражеских войск.</w:t>
      </w:r>
    </w:p>
    <w:p w14:paraId="0C842F93" w14:textId="77777777" w:rsidR="00C862E9" w:rsidRPr="00640820" w:rsidRDefault="00C862E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16 октября уничтожено 28 самолётов противника. Наши потери — 17 самолётов.</w:t>
      </w:r>
    </w:p>
    <w:p w14:paraId="4621C0B1" w14:textId="77777777" w:rsidR="00C862E9" w:rsidRPr="00640820" w:rsidRDefault="00C862E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17 октября под Москвой сбито 14 немецких самолётов.</w:t>
      </w:r>
    </w:p>
    <w:p w14:paraId="17EA192D" w14:textId="77777777" w:rsidR="00C862E9" w:rsidRPr="00640820" w:rsidRDefault="00C862E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Организованная Командованием Красной Армии, в течение последних 8 дней эвакуация советских войск из Одессы закончилась в срок и в полном порядке. Войска, выполнив свою задачу в районе Одессы, были переброшены нашим морским флотом на другие участки фронта в образцовом порядке и без каких-либо потерь. Распространяемые немецким радио слухи, что советские войска были вынуждены эвакуироваться из Одессы под напором немецко-румынских войск, лишены всякого основания. На самом деле, эвакуация советских войск из района Одессы была проведена по решению Верховного Командования Красной Армии по стратегическим соображениям и без давления со стороны немецко-румынских войск. Ввиду этого заявления немецкого командования о трофеях, будто бы взятых немецко-румынскими войсками в районе Одессы, являются пустым хвастовством.</w:t>
      </w:r>
    </w:p>
    <w:p w14:paraId="0AD482C8" w14:textId="77777777" w:rsidR="00C862E9" w:rsidRPr="00640820" w:rsidRDefault="00C862E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Украинские партизаны наносят фашистским захватчикам чувствительные удары.</w:t>
      </w:r>
    </w:p>
    <w:p w14:paraId="15A9E550" w14:textId="77777777" w:rsidR="00C862E9" w:rsidRPr="00640820" w:rsidRDefault="00C862E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Партизанский отряд под командованием тов. П. разгромил недавно роту немцев. В рукопашном бою убито свыше 30 фашистских солдат. Особенно отличился в этом бою тов. А., бывший тракторист. Он один уничтожил десять фашистов. Успешно действует партизанский отряд под командованием тов. Р. Недавно отряд совершил внезапный налёт на немецкий гарнизон в селе Д. Партизаны истребили больше 40 фашистских солдат и офицеров, захватили 6 пулемётов, 9 автоматов и весьма важные документы. Через несколько дней отряд блестяще провёл встречный бой с подразделением немцев. Фашисты, пытавшиеся окружить партизанский отряд, понесли значительные потери и отступили. Около села Л. партизаны уничтожили фашистскую разведку. За полтора месяца боевых действий партизаны уничтожили свыше 400 немецких солдат и офицеров, около 50 автомашин с боеприпасами и горючим, взорвали 3 железнодорожных моста и 8 переправ, захватили 13 станковых и 22 ручных пулемёта и большое количество винтовок и патронов. С каждым днём количество бойцов в отряде увеличивается. Отряд хорошо вооружён и имеет большой запас патронов и ручных гранат. Смелость, решительность действий, большая подвижность и хорошо поставленная разведка определяют успех боевых действий отряда тов. Р.» (14802).</w:t>
      </w:r>
    </w:p>
    <w:p w14:paraId="31CED972" w14:textId="77777777" w:rsidR="00C862E9" w:rsidRPr="00640820" w:rsidRDefault="00C862E9" w:rsidP="00640820">
      <w:pPr>
        <w:spacing w:after="0" w:line="240" w:lineRule="auto"/>
        <w:jc w:val="both"/>
        <w:rPr>
          <w:rFonts w:ascii="Times New Roman" w:hAnsi="Times New Roman"/>
          <w:color w:val="000000" w:themeColor="text1"/>
          <w:sz w:val="16"/>
          <w:szCs w:val="16"/>
        </w:rPr>
      </w:pPr>
    </w:p>
    <w:p w14:paraId="6778CAC5" w14:textId="77777777" w:rsidR="00C862E9" w:rsidRPr="00640820" w:rsidRDefault="00C862E9"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17 октября </w:t>
      </w:r>
      <w:r w:rsidRPr="00640820">
        <w:rPr>
          <w:rFonts w:ascii="Times New Roman" w:hAnsi="Times New Roman"/>
          <w:color w:val="000000" w:themeColor="text1"/>
          <w:sz w:val="16"/>
          <w:szCs w:val="16"/>
        </w:rPr>
        <w:t>в 1941 году Ставка ВГК образовала Калининский фронт (20 октября 1943 переименован в 1-й Прибалтийский фронт). Командующий — генерал-полковник И.С.Конев (октябрь 1941—август 1942), генерал-лейтенант (с ноября 1942 генерал-полковник) М.А.Пуркаев (август 1942 — апрель 1943), генерал-полковник, (с августа 1943 генерал армии) А.И.Еременко (апрель —октябрь 1943), член Военного совета — корпусный комиссар (с декабря 1942 генерал -лейтенант Д.С.Леонов (октябрь 1941 — октябрь 1943), начальник штаба — генерал-майор И И.Иванов (октябрь—ноябрь 1941), генерал-майор Е.П.Журавлев (ноябрь 1941), полковник А.А.Кацнельсон (ноябрь—декабрь 1941), генерал-майор (с мая 1942 генерал-лейтенант) М В.Захаров (январь 1942 — апрель 1943), генерал-лейтенант В.В.Курасов (апрель—октябрь 1943) (14802).</w:t>
      </w:r>
    </w:p>
    <w:p w14:paraId="2007D809" w14:textId="77777777" w:rsidR="00C862E9" w:rsidRPr="00640820" w:rsidRDefault="00C862E9" w:rsidP="00640820">
      <w:pPr>
        <w:spacing w:after="0" w:line="240" w:lineRule="auto"/>
        <w:jc w:val="both"/>
        <w:rPr>
          <w:rFonts w:ascii="Times New Roman" w:hAnsi="Times New Roman"/>
          <w:color w:val="000000" w:themeColor="text1"/>
          <w:sz w:val="16"/>
          <w:szCs w:val="16"/>
        </w:rPr>
      </w:pPr>
    </w:p>
    <w:p w14:paraId="67F79D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17 октября 1941 два звена Ил-2 (ведущие м-р В.М.Романов и к-н В.Г.Болотов) из 215-го и 61-го </w:t>
      </w:r>
      <w:r w:rsidRPr="00640820">
        <w:rPr>
          <w:rFonts w:ascii="Times New Roman" w:hAnsi="Times New Roman"/>
          <w:iCs/>
          <w:color w:val="000000" w:themeColor="text1"/>
          <w:sz w:val="16"/>
          <w:szCs w:val="16"/>
        </w:rPr>
        <w:t>шап</w:t>
      </w:r>
      <w:r w:rsidRPr="00640820">
        <w:rPr>
          <w:rFonts w:ascii="Times New Roman" w:hAnsi="Times New Roman"/>
          <w:color w:val="000000" w:themeColor="text1"/>
          <w:sz w:val="16"/>
          <w:szCs w:val="16"/>
        </w:rPr>
        <w:t xml:space="preserve"> в двух заходах со</w:t>
      </w:r>
      <w:r w:rsidRPr="00640820">
        <w:rPr>
          <w:rFonts w:ascii="Times New Roman" w:hAnsi="Times New Roman"/>
          <w:color w:val="000000" w:themeColor="text1"/>
          <w:sz w:val="16"/>
          <w:szCs w:val="16"/>
        </w:rPr>
        <w:softHyphen/>
        <w:t>жгли и вывели из строя 8 единиц бронетехники (танки, бронемашины), 7 ав</w:t>
      </w:r>
      <w:r w:rsidRPr="00640820">
        <w:rPr>
          <w:rFonts w:ascii="Times New Roman" w:hAnsi="Times New Roman"/>
          <w:color w:val="000000" w:themeColor="text1"/>
          <w:sz w:val="16"/>
          <w:szCs w:val="16"/>
        </w:rPr>
        <w:softHyphen/>
        <w:t>томашин и 2 автобензоцистерны (6467).</w:t>
      </w:r>
    </w:p>
    <w:p w14:paraId="215E1A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22BDF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октября 1941 в бою "сто девятым" удалось прорваться сквозь истребители, сопровождавшие ПС-84, и повредить один двигатель на замыкавшем строй самолете С. Фроловского. В этой ситуации ведущий группы отдал приказ всем экипажам уменьшить скорость, не дав, таким образом, отстать подбитой машине. Когда пилоты Люфтваффе попытались добить дымящий транспортник, их снова встретил плотный огонь всей группы, и для одного Bf 109 эта атака стала последней (3772).</w:t>
      </w:r>
    </w:p>
    <w:p w14:paraId="58381E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BE550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октября 1941 г. десятку Пе-3 из 95-го иап во главе с А. Жатьковым перебросили на Центральный аэродром для выполнения особого задания Комитета Обороны. Угроза городу считалась настолько серьезной, что руководство НКВД спланировало операцию по быстрой эвакуации членов Политбюро в случае внезапного прорыва немцев. На Центральном аэродроме в готовности к немедленному взлету находились несколько Ли-2, их-то и должны были прикрывать жатьков- ские Пе-3. Рассматривался также вариант, в соответствии с которым в каждый из истребителей вместо штурмана усаживался высокопоставленный пассажир. По воспоминаниям А. Жатькова, к середине ноября обстановка разрядилась, и "особую группу" расформировали (12042).</w:t>
      </w:r>
    </w:p>
    <w:p w14:paraId="273C1A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7C021CA" w14:textId="77777777" w:rsidR="00595859" w:rsidRPr="00640820" w:rsidRDefault="00595859" w:rsidP="00640820">
      <w:pPr>
        <w:pStyle w:val="11b"/>
        <w:shd w:val="clear" w:color="auto" w:fill="auto"/>
        <w:spacing w:after="0" w:line="240" w:lineRule="auto"/>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17-го октября 1941-го полк совершил один боевой вылет.</w:t>
      </w:r>
    </w:p>
    <w:p w14:paraId="30DD1DA6" w14:textId="77777777" w:rsidR="00595859" w:rsidRPr="00640820" w:rsidRDefault="00595859" w:rsidP="00640820">
      <w:pPr>
        <w:pStyle w:val="11b"/>
        <w:shd w:val="clear" w:color="auto" w:fill="auto"/>
        <w:spacing w:after="0" w:line="240" w:lineRule="auto"/>
        <w:jc w:val="both"/>
        <w:rPr>
          <w:rFonts w:ascii="Times New Roman" w:hAnsi="Times New Roman" w:cs="Times New Roman"/>
          <w:color w:val="000000" w:themeColor="text1"/>
          <w:sz w:val="16"/>
          <w:szCs w:val="16"/>
        </w:rPr>
      </w:pPr>
      <w:r w:rsidRPr="00640820">
        <w:rPr>
          <w:rStyle w:val="aff7"/>
          <w:rFonts w:ascii="Times New Roman" w:hAnsi="Times New Roman" w:cs="Times New Roman"/>
          <w:b w:val="0"/>
          <w:color w:val="000000" w:themeColor="text1"/>
          <w:spacing w:val="0"/>
          <w:sz w:val="16"/>
          <w:szCs w:val="16"/>
        </w:rPr>
        <w:t>ТБ-7 № 4215,</w:t>
      </w:r>
      <w:r w:rsidRPr="00640820">
        <w:rPr>
          <w:rFonts w:ascii="Times New Roman" w:hAnsi="Times New Roman" w:cs="Times New Roman"/>
          <w:color w:val="000000" w:themeColor="text1"/>
          <w:sz w:val="16"/>
          <w:szCs w:val="16"/>
        </w:rPr>
        <w:t xml:space="preserve"> командир корабля капитан Асямов, в 17.45 стар</w:t>
      </w:r>
      <w:r w:rsidRPr="00640820">
        <w:rPr>
          <w:rFonts w:ascii="Times New Roman" w:hAnsi="Times New Roman" w:cs="Times New Roman"/>
          <w:color w:val="000000" w:themeColor="text1"/>
          <w:sz w:val="16"/>
          <w:szCs w:val="16"/>
        </w:rPr>
        <w:softHyphen/>
        <w:t>товал с аэродрома Иваново на бомбардирование скопления тан</w:t>
      </w:r>
      <w:r w:rsidRPr="00640820">
        <w:rPr>
          <w:rFonts w:ascii="Times New Roman" w:hAnsi="Times New Roman" w:cs="Times New Roman"/>
          <w:color w:val="000000" w:themeColor="text1"/>
          <w:sz w:val="16"/>
          <w:szCs w:val="16"/>
        </w:rPr>
        <w:softHyphen/>
        <w:t>ков противника на дороге Старица-Калинин в районе деревни Улитино. В 19 час 20 мин с высоты 1150 м на цель сброшено: ФАБ- 250 - 4 шт., ФАБ-100 - 24 шт., САБ-25 - 2 шт. Сбросив САБ-25, экипаж наблюдал в роще, северо-восточнее деревни Улитино по южной стороне дороги, движение людей и силуэты рассредото</w:t>
      </w:r>
      <w:r w:rsidRPr="00640820">
        <w:rPr>
          <w:rFonts w:ascii="Times New Roman" w:hAnsi="Times New Roman" w:cs="Times New Roman"/>
          <w:color w:val="000000" w:themeColor="text1"/>
          <w:sz w:val="16"/>
          <w:szCs w:val="16"/>
        </w:rPr>
        <w:softHyphen/>
        <w:t>ченных машин. Установить, что это за машины, экипаж не смог.</w:t>
      </w:r>
    </w:p>
    <w:p w14:paraId="2DC725EC" w14:textId="77777777" w:rsidR="00595859" w:rsidRPr="00640820" w:rsidRDefault="0059585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борттехник, наблюдая в бомболюки, отметил южнее дороги у дер. Улитино, рассредоточенно стоявшие 4-5 са</w:t>
      </w:r>
      <w:r w:rsidRPr="00640820">
        <w:rPr>
          <w:rFonts w:ascii="Times New Roman" w:hAnsi="Times New Roman"/>
          <w:color w:val="000000" w:themeColor="text1"/>
          <w:sz w:val="16"/>
          <w:szCs w:val="16"/>
        </w:rPr>
        <w:softHyphen/>
        <w:t>молетов (тип не опознан). Бомбы были сброшены в 3 захода се</w:t>
      </w:r>
      <w:r w:rsidRPr="00640820">
        <w:rPr>
          <w:rFonts w:ascii="Times New Roman" w:hAnsi="Times New Roman"/>
          <w:color w:val="000000" w:themeColor="text1"/>
          <w:sz w:val="16"/>
          <w:szCs w:val="16"/>
        </w:rPr>
        <w:softHyphen/>
        <w:t>риями, разрыв бомб экипажи наблюдал в роще, с южной стороны дороги, у деревни Улитино в результате бомбометания возникло 2 очага пожара с взрывами. После выполнения задания экипаж в 21 час 05 мин произвел посадку на аэродроме Иваново.</w:t>
      </w:r>
    </w:p>
    <w:p w14:paraId="4C06A68D" w14:textId="77777777" w:rsidR="00595859" w:rsidRPr="00640820" w:rsidRDefault="00595859" w:rsidP="00640820">
      <w:pPr>
        <w:pStyle w:val="11b"/>
        <w:shd w:val="clear" w:color="auto" w:fill="auto"/>
        <w:spacing w:after="0" w:line="240" w:lineRule="auto"/>
        <w:jc w:val="both"/>
        <w:rPr>
          <w:rFonts w:ascii="Times New Roman" w:hAnsi="Times New Roman" w:cs="Times New Roman"/>
          <w:color w:val="000000" w:themeColor="text1"/>
          <w:sz w:val="16"/>
          <w:szCs w:val="16"/>
        </w:rPr>
      </w:pPr>
      <w:r w:rsidRPr="00640820">
        <w:rPr>
          <w:rStyle w:val="aff7"/>
          <w:rFonts w:ascii="Times New Roman" w:hAnsi="Times New Roman" w:cs="Times New Roman"/>
          <w:b w:val="0"/>
          <w:color w:val="000000" w:themeColor="text1"/>
          <w:spacing w:val="0"/>
          <w:sz w:val="16"/>
          <w:szCs w:val="16"/>
        </w:rPr>
        <w:t>ТБ-7 № 4218,</w:t>
      </w:r>
      <w:r w:rsidRPr="00640820">
        <w:rPr>
          <w:rFonts w:ascii="Times New Roman" w:hAnsi="Times New Roman" w:cs="Times New Roman"/>
          <w:color w:val="000000" w:themeColor="text1"/>
          <w:sz w:val="16"/>
          <w:szCs w:val="16"/>
        </w:rPr>
        <w:t xml:space="preserve"> командир корабля майор Дмитриев, из-за не</w:t>
      </w:r>
      <w:r w:rsidRPr="00640820">
        <w:rPr>
          <w:rFonts w:ascii="Times New Roman" w:hAnsi="Times New Roman" w:cs="Times New Roman"/>
          <w:color w:val="000000" w:themeColor="text1"/>
          <w:sz w:val="16"/>
          <w:szCs w:val="16"/>
        </w:rPr>
        <w:softHyphen/>
        <w:t>исправности матчасти в назначенное время не вылетел, и поэ</w:t>
      </w:r>
      <w:r w:rsidRPr="00640820">
        <w:rPr>
          <w:rFonts w:ascii="Times New Roman" w:hAnsi="Times New Roman" w:cs="Times New Roman"/>
          <w:color w:val="000000" w:themeColor="text1"/>
          <w:sz w:val="16"/>
          <w:szCs w:val="16"/>
        </w:rPr>
        <w:softHyphen/>
        <w:t>тому зам. командира дивизии полковник Шевелев вылет этого самолета отставил (19088).</w:t>
      </w:r>
    </w:p>
    <w:p w14:paraId="36304491" w14:textId="77777777" w:rsidR="00595859" w:rsidRPr="00640820" w:rsidRDefault="00595859" w:rsidP="00640820">
      <w:pPr>
        <w:pStyle w:val="7"/>
        <w:shd w:val="clear" w:color="auto" w:fill="auto"/>
        <w:spacing w:line="240" w:lineRule="auto"/>
        <w:rPr>
          <w:rFonts w:ascii="Times New Roman" w:cs="Times New Roman"/>
          <w:color w:val="000000" w:themeColor="text1"/>
          <w:spacing w:val="0"/>
          <w:sz w:val="16"/>
          <w:szCs w:val="16"/>
        </w:rPr>
      </w:pPr>
    </w:p>
    <w:p w14:paraId="74C344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ночь на 17 октября МТБ-2Д успешно атаковал Бухарест (бомбовая нагрузка 8 ФАБ-250). Возвращение ожидалось под утро, но в назначенное время самолет из боевого полета на базу не вернулся. С утра на его поиски вылетел ГСТ, за ним второй, однако обнаружить морской бомбардировщик не удалось. Причиной исчезновения стал сильный боковой ветер, который снес самолет, идущий в сплошной облачности, далеко за береговую черту. Когда экипаж попытался восстановить обстановку, оказалось, что летят они над сушей, в районе Краснодара. Сориентировались, пошли в сторону моря, неоднократно были обстреляны зенитным огнем с земли. Наконец совершили приводнение в районе Геленджика и скоро, с рассветом, были зажаты двумя советскими катерами - морскими охотниками, которые потребовали от летчиков сдаваться в плен. Доказать морякам, что "мы свои" долго не получалось. Тогда пришлось прибегнуть к старому проверенному методу - Сухомлин высунулся из лодки и в рупор на "могучем" русском языке высказал все, что он думает об экипажах катеров и их родственниках. Лишь после этого они поверили, что самолет не является вражеским, и разрешили ему перелететь в Севастополь.</w:t>
      </w:r>
    </w:p>
    <w:p w14:paraId="021DE9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Известно о некоторых боевых вылетах МТБ-2Д (а всего их было около 80):</w:t>
      </w:r>
    </w:p>
    <w:p w14:paraId="50805C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в ночь на 13 сентября 1941 г. МТБ-2 бомбил вражеские войска в районе Одессы;</w:t>
      </w:r>
    </w:p>
    <w:p w14:paraId="6775CA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в ночь на 9 октября атаковал немецкие аэродромы в пунктах Кульбакино и Сливны.</w:t>
      </w:r>
    </w:p>
    <w:p w14:paraId="2CE62B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Командиром "Черноморской чайки" с момента ее испытаний оставался летчик-испытатель Иван Моисеевич Сухомлин. Для столь крупного и ценного летательного аппарата, каким являлся МТБ-2, опытный и умелый командир оказался настоящим ангелом-хранителем. Сухомлин еще до войны попадал на своей летающей лодке в отчаянные ситуации и с честью выходил из них. Однажды во время полета загорелся один из двигателей, погасить пожар в воздухе не удалось. Тогда Сухомлин снизился до поверхности воды и на повышенной скорости зарулил в бухту, где возгорание удалось погасить пожарному катеру. В другой раз закончилось топливо, и самолет в штормовую погоду совершил вынужденную посадку в Керченском проливе. Несмотря на брошенный якорь, летающую лодку с заглохшими двигателями медленно сносило к Таманскому берегу. Несколько часов экипаж боролся за свой воздушный корабль. Спасло летчиков подошедшее рыбацкое судно, которое взяло самолет на буксир и отвело в безопасное место.</w:t>
      </w:r>
    </w:p>
    <w:p w14:paraId="1518EA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Начало войны Сухомлин встретил на МТБ-2. Кроме него в экипаж морского бомбардировщика входили опытные специалисты черноморской авиации: флагманский штурман ВВС ЧФ подполковник Н.П. Васильев, штурман капитан И.Ф. Грязных. Вторым пилотом был известный полярный летчик майор М.И. Козлов, который вспоминал: "На "Чайке" мы совершали полеты стратегического назначения на неприятельские объекты. В основном летали на Плоешти. Как правило, наша задача состояла в том, чтобы держать противника ночью в постоянном нервном напряжении. Поскольку радиус действия нашей машины был большим и "висеть" она могла в воздухе долго, то действовали мы так: сбрасываем бомбу на один из городских объектов и уходим в сторону от прожекторов. Потом, когда средства ПВО немного успокоятся, снова возвращаемся и сбрасываем очередную бомбу. Подобную процедуру приходилось повторять до десяти раз. Излишне говорить, что и экипаж "Чайки" при этом здорово выматывал нервы, десять раз проходя через плотный зенитный огонь противника" (11962).</w:t>
      </w:r>
    </w:p>
    <w:p w14:paraId="77D768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DC2CCC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октября 1941 года части Калининского фронта предприняли попытку разгрома противостоящей немецкой группировки и освобождения Калинина. В составе ударных группировок имелись 8, 21-я танковые бригады, получившие задачи на самостоятельные действия по захвату города Калинин с юга и севера.</w:t>
      </w:r>
    </w:p>
    <w:p w14:paraId="55369B7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Танковый полк 21-й танковой бригады (командир Герой Советского Союза майор Лукин), имея в строю 60 танков (из них 29 Т-34, десять из которых были вооружены 75-мм пушками ЗИС-4), 17 октября атаковал вдоль дороги Тургиново, Ильин- ское, Неготино на Калинин. Полк неоднократно подвергался бомбардировкам авиации противника, а на подступах к Калинину был атакован танками противника и встречен огнем противотанковой артиллерии. Несмотря на это к городу прорвалось 8 танков Т-34, а один из них, под командованием сержанта Горо- бец ворвался в город. Но из-за того, что танковый полк не взаимодействовал с пехотой, артиллерией и не прикрывался авиацией он не смог прорваться к нашим частям, оборонявшим восточную окраину Калинина. Весь день 18 октября танковый полк отбивал многочисленные контратаки противника и к вечеру перешел к обороне, перехватив пути на Волоколамск и Клин. К этому времени в район обороны танкового полка подошли и другие части 21-й бригады, включенной в 30-ю армию Калининского фронта.</w:t>
      </w:r>
    </w:p>
    <w:p w14:paraId="2AF75F1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Оборона бригады строилась по принципу удержания отдельных населенных пунктов на дорогах, ведущих на Клин и Волоколамск. Несмотря на незначительность сил 21-й танковой бригады, противник не имел продвижения на этих направлениях в октябре и первой половине ноября, хотя неоднократно пытался сбить бригаду с занимаемого ею рубежа.</w:t>
      </w:r>
    </w:p>
    <w:p w14:paraId="6F0842B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документах штаба 21-й танковой бригады о боях на этом направлении говорилось:</w:t>
      </w:r>
    </w:p>
    <w:p w14:paraId="2AF4FB6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«21-я танковая бригада сформирована 10 октября 1941 года в г. Владимире, имея в своем составе танковый полк - 29 Т-34, 32 БТ, Т-60 и др. (согласно «Ведомости артиллерийского вооружения 21-й танковой бригады», в ее составе имелось 19 Т-34 с 76-мм мушками, 10 Т-34 с 57-мм пушками ЗИС-4, 5 БТ-2, 15 БТ-5 и БТ-7, 10 Т-60 и 4 САУ ЗИС-30 (тягач «Комсомолец» с 57-мм пушкой ЗИС-2). - Прим. автора).</w:t>
      </w:r>
    </w:p>
    <w:p w14:paraId="135DF88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октября бригада выгрузилась в районе Демидове в готовности действовать на Калининском и Московском шоссе.</w:t>
      </w:r>
    </w:p>
    <w:p w14:paraId="1714703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15-17 октября бригада вошла в подчинение Западного фронта, в 16-ю, а затем в 30-ю армии.</w:t>
      </w:r>
    </w:p>
    <w:p w14:paraId="0622D78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исходу 15 октября бригада получила приказ штарм 16 наступать на Калинин по маршруту Тургиново, Пушкино, Трояново с целью - ударом во фланг способствовать 16-й армии в уничтожении калининской группировке противника. Особенно большой урон нанес немцам танковый полк, который глубоким рейдом достиг г. Калинин. В этих боях прославился экипаж сержанта Горо- бец, который своим танком ворвался в центр города и, расстреливая в упор колонны немецких войск, прошел через весь город, дважды перерезав кольцо противника и пройдя по Ленинградскому шоссе, вышел в районе Решетниково в расположение наших войск.</w:t>
      </w:r>
    </w:p>
    <w:p w14:paraId="01B2800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Танк под командованием старшего политрука Гныря из района Турги- ново вышел на Волоколамское шоссе в момент, когда там двигалась большая колонна автомашин противника. На протяжении 2-3 км танк Гны- ри утюжил колонну, а затем ворвался на аэродром под г. Калинин, где находилось до 50 самолетов. Один бомбардировщик был протаранен, второй уничтожен огнем из пушки.</w:t>
      </w:r>
    </w:p>
    <w:p w14:paraId="37E6524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Затем, огнем поднявшихся самолетов, танк Гныри был подбит, но сам он и сержант Ищенко сумели с боем выйти своим. За 4 дня бригада уничтожила 3 штаба, до 1000 солдат, 34 танка, 210 автомашин, 25 противотанковых, 6 термитных орудий...</w:t>
      </w:r>
    </w:p>
    <w:p w14:paraId="19F031F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ходе боев разведка работала плохо, взаимодействия с другими частями не было. Все это привело к большим потерям - 90 убитых, 154 раненых -в три дня. В бою погиб командир танкового полка Герой Советского Союза майор Лукин и командир 1 -го батальона Герой Советского Союза капитан Агибалов.</w:t>
      </w:r>
    </w:p>
    <w:p w14:paraId="2EB8862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матчасти потеряно: Т-34 - 21, БТ - 7, Т-60 - 1, 57-мм ПТО на тягаче «Комсомолец» - 1. С тех пор, имея в своем составе 8-10 танков, бригада все время находится в боях, имея периодически 1-2 дня на приведение себя в порядок».</w:t>
      </w:r>
    </w:p>
    <w:p w14:paraId="77FE4D7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8-я танковая бригада в течение 16-17 октября вела ожесточенные бои на северной окраине Калинина. Однако, действуя самостоятельно и не организовав взаимодействия с 21-й танковой бригадой, 253 и 113-й стрелковыми дивизиями 8-я танковая бригада задачи выполнить не смогла</w:t>
      </w:r>
    </w:p>
    <w:p w14:paraId="71EED83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Таким образом, стабилизировать фронт на главном рубеже Можайской линии обороны не удалось. Успешные действия немецких частей вынудили командование Западного фронта отвести войска на промежуточные рубежи обороны, где в конце октября - начале ноября развернулись ожесточенные бои (12217).</w:t>
      </w:r>
    </w:p>
    <w:p w14:paraId="72EAD934"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369B84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октября 1941 был сформирован Калининский фронт и ВВС фронта в составе 5 ап (ком. г Н.К.Трифонов) (340,58).</w:t>
      </w:r>
    </w:p>
    <w:p w14:paraId="0737BA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FE99F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октября 1941 началось наступление войск на Волоколамском направлении, но через 9 дней оно было остановлено, в т.ч. благодаря активности авиации и в особенности ш, которые уничтожали войска в районах Волоколамск, Шаховская, Осташево (341,71).</w:t>
      </w:r>
    </w:p>
    <w:p w14:paraId="40A53B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DE262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октября 1941 начальник Ярославского УНКВД потребовал от районных отделов принять личное участие в мобилизации трудоспособного населения на работы по постройке оборонительных сооружений:  «Сделать все от нас зависящее, для того чтобы эту работупровести в строго установленный областным комитетом партии срок. По всем ненормальностям, связанным с мобилизацией населения, вражеским проявлениям немедленно принимать меры и докладывать мне». На участки возведения укреплений с целью выявления причин и условий, затягивающих ход строительства, отправились 30 оперативных работников. Между тем в Ярославской области не проходило ни дня, ни ночи без гудков воздушной тревоги. Вездесущие немецкие самолеты на больших, средних и малых высотах появлялись то тут, то там, наводя ужас на сельское население. «Юнкерсы» на бреющем полете носились над протяженными колоннами беженцев и обстреливали их из пулеметов. Бомбовым ударам в основном подвергались железнодорожные станции и эшелоны. Всего до конца октября Люфтваффе совершили около 100 групповых и одиночных налетов на объекты Ярославской области, в ходе которых были разрушены четыре вокзала, 15 жилых домов, уничтожено 175 железнодорожных вагонов. Погибли 327 человек и 552 получили ранения. Но сам областной центр пока не трогали, хотя ПВО здесь еще была крайне слабой.  В связи с угрозой оккупации Ярославский горкомитет обороны в срочном порядке определил подлежащие уничтожению объекты. Но одно дело наметить, другое дело действительно подготовить к уничтожению огромные сооружения. Требовались многие тонны взрывчатки, не хватало специалистов-подрывников. Пришлось даже организовать краткосрочные курсы по обучению взрывному делу. Только в Ярославле в случае подхода немцев намечалось уничтожить 27 крупных объектов, 122 средних и мелких предприятия и 73 продовольственно-материальные базы. Северо-западнее готовилась к взрыву плотина Рыбинской ГЭС.  По всем объектам в спешном порядке разработали подробные планы их уничтожения, в которых учитывали уязвимые участки, произвели расчеты потребного количества взрывчатых веществ, подобрали места для их закладки и хранения на объектах. Для непосредственного руководства акцией назначили 27 оперативных работников НКВД. Однако вскоре стало ясно, что наступление Вермахта остановилось возле Калинина, и непосредственная угроза пока миновала. Это позволило ярославскому начальству перевести дух и отказаться от глобальных планов взрыва города. Вместо этого началась авральная подготовка к эвакуации промышленных предприятий на восток. Первым поспешный приказ о переезде в далекую Уфу получил Рыбинский авиамоторный завод. В результате производство было полностью дезорганизовано, начались демонтаж и погрузка оборудования на баржи и железнодорожные вагоны. Хотя от жителей Рыбинска поначалу пытались скрыть этот процесс, информация как ветер разнеслась по провинциальному городку. Это усилило и без того назревавшую панику, поползли слухи, что город не сегодня-завтра сдадут немцам. Погрузка велась стахановскими методами, и к концу октября огромные корпуса практически опустели. Вскоре для моторостроителей начался долгий путь в Башкирию (11774).</w:t>
      </w:r>
    </w:p>
    <w:p w14:paraId="10F454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8699E8D"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56F43407"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17CE2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октября 1941 Щербаков объявил по радио, что И.В.С. остался в Москве (2070,41).</w:t>
      </w:r>
    </w:p>
    <w:p w14:paraId="5EFEFA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6CF570C" w14:textId="77777777" w:rsidR="00C862E9" w:rsidRPr="00640820" w:rsidRDefault="00C862E9"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17 октября </w:t>
      </w:r>
      <w:r w:rsidRPr="00640820">
        <w:rPr>
          <w:rFonts w:ascii="Times New Roman" w:hAnsi="Times New Roman"/>
          <w:color w:val="000000" w:themeColor="text1"/>
          <w:sz w:val="16"/>
          <w:szCs w:val="16"/>
        </w:rPr>
        <w:t>в 1941 году первый секретарь МГК ВКП(б) А.Щербаков по радио призывает москвичей защищать столицу "до последней капли крови" (14802).</w:t>
      </w:r>
    </w:p>
    <w:p w14:paraId="0B4B5FFF" w14:textId="77777777" w:rsidR="00C862E9" w:rsidRPr="00640820" w:rsidRDefault="00C862E9" w:rsidP="00640820">
      <w:pPr>
        <w:spacing w:after="0" w:line="240" w:lineRule="auto"/>
        <w:jc w:val="both"/>
        <w:rPr>
          <w:rFonts w:ascii="Times New Roman" w:hAnsi="Times New Roman"/>
          <w:color w:val="000000" w:themeColor="text1"/>
          <w:sz w:val="16"/>
          <w:szCs w:val="16"/>
        </w:rPr>
      </w:pPr>
    </w:p>
    <w:p w14:paraId="65AE7E32" w14:textId="77777777" w:rsidR="00C862E9" w:rsidRPr="00640820" w:rsidRDefault="00C862E9"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17 октября </w:t>
      </w:r>
      <w:r w:rsidRPr="00640820">
        <w:rPr>
          <w:rFonts w:ascii="Times New Roman" w:hAnsi="Times New Roman"/>
          <w:color w:val="000000" w:themeColor="text1"/>
          <w:sz w:val="16"/>
          <w:szCs w:val="16"/>
        </w:rPr>
        <w:t>в 1941 году в Куйбышев приехали М.И.Калинин (председатель Президиума Верховного Совета СССР), К.Е.Ворошилов (член ГКО), А.А.Андреев (секретарь ЦК ВКП(б)), А.Ф.Горкин (секретарь Президиума Верховного Совета СССР), М.Ф.Шкирятов (заместитель Председателя ЦКК ВКП(б)), Н.А.Вознесенский (зам. Председателя Совета Народных Комиссаров (СНК) СССР) и другие руководители СССР. В Куйбышев были эвакуированы часть аппарата ЦК ВКП(б), некоторые отделы наркомата обороны, ЦК ВЛКСМ и СНК. На Андреева и Вознесенского были возложены функции чрезвычайного значения: Андреев руководил политической деятельностью в районе между Волгой и Уралом, включая республики Средней Азии, а контроль за промышленностью и сельским хозяйством этого региона был возложен на Вознесенского. Несколько позже в Куйбышев приехал исполком Коминтерна во главе с Г.Димитровым (14802).</w:t>
      </w:r>
    </w:p>
    <w:p w14:paraId="722C25B8" w14:textId="77777777" w:rsidR="00C862E9" w:rsidRPr="00640820" w:rsidRDefault="00C862E9" w:rsidP="00640820">
      <w:pPr>
        <w:spacing w:after="0" w:line="240" w:lineRule="auto"/>
        <w:jc w:val="both"/>
        <w:rPr>
          <w:rFonts w:ascii="Times New Roman" w:hAnsi="Times New Roman"/>
          <w:color w:val="000000" w:themeColor="text1"/>
          <w:sz w:val="16"/>
          <w:szCs w:val="16"/>
        </w:rPr>
      </w:pPr>
    </w:p>
    <w:p w14:paraId="22AFF0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октября 1941 г. Государственным Комитетом Обороны (ГКО) издано постановление, во втором пункте которого говорилось: “Предоставить Особому совещанию НКВД СССР право с участием прокурора Союза ССР по возникающим в органах НКВД делам “О контрреволюционных преступлениях против порядка управления СССР”, предусмотренных статьями 58 и 59 Уголовного кодекса РСФСР выносить соответствующие меры наказания вплоть до расстрела. Решение Особого совещания считать окончательным” (10303).</w:t>
      </w:r>
    </w:p>
    <w:p w14:paraId="52B273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304BE61" w14:textId="77777777" w:rsidR="00ED2BEA" w:rsidRPr="00640820" w:rsidRDefault="00ED2BEA"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17 октября </w:t>
      </w:r>
      <w:r w:rsidRPr="00640820">
        <w:rPr>
          <w:rFonts w:ascii="Times New Roman" w:hAnsi="Times New Roman"/>
          <w:color w:val="000000" w:themeColor="text1"/>
          <w:sz w:val="16"/>
          <w:szCs w:val="16"/>
        </w:rPr>
        <w:t>в 1941 году состоялась премьера художественного фильма «С добрым утром» (оригинальное название: ). Производство: Тбилисская киностудия, 1941. Режиссер: Константин (Котэ) Грдзелишвили. Сценаристы: Яков Зискинд, Григорий Колтунов. Оператор: Феликс Высоцкий. Художник: Кристесиа Лебанидзе. Актеры: Николоз Анджапаридзе, Николай Горлов, Леонид Романов, Анатолий Смиранин. Фашисты готовят диверсии в СССР. С этой целью они засылают в Тегеран диверсантов под видом туристов но на границе с Ираном диверсантов арестовывают (14802).</w:t>
      </w:r>
    </w:p>
    <w:p w14:paraId="0808456A" w14:textId="77777777" w:rsidR="00ED2BEA" w:rsidRPr="00640820" w:rsidRDefault="00ED2BEA" w:rsidP="00640820">
      <w:pPr>
        <w:spacing w:after="0" w:line="240" w:lineRule="auto"/>
        <w:jc w:val="both"/>
        <w:rPr>
          <w:rFonts w:ascii="Times New Roman" w:hAnsi="Times New Roman"/>
          <w:color w:val="000000" w:themeColor="text1"/>
          <w:sz w:val="16"/>
          <w:szCs w:val="16"/>
        </w:rPr>
      </w:pPr>
    </w:p>
    <w:p w14:paraId="405BB37F"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1901EDA0"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A05C8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октября 1941 немецкая подводная лодка торпедировала американский эсминец Kearney (2100).</w:t>
      </w:r>
    </w:p>
    <w:p w14:paraId="4AE8B0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BC38521" w14:textId="77777777" w:rsidR="00ED2BEA" w:rsidRPr="00640820" w:rsidRDefault="00ED2BEA"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17 октября </w:t>
      </w:r>
      <w:r w:rsidRPr="00640820">
        <w:rPr>
          <w:rFonts w:ascii="Times New Roman" w:hAnsi="Times New Roman"/>
          <w:color w:val="000000" w:themeColor="text1"/>
          <w:sz w:val="16"/>
          <w:szCs w:val="16"/>
        </w:rPr>
        <w:t>в 1941 году немецкая подводная лодка повредила американский эсминец «Керни» (14802).</w:t>
      </w:r>
    </w:p>
    <w:p w14:paraId="76D7218B" w14:textId="77777777" w:rsidR="00ED2BEA" w:rsidRPr="00640820" w:rsidRDefault="00ED2BEA" w:rsidP="00640820">
      <w:pPr>
        <w:spacing w:after="0" w:line="240" w:lineRule="auto"/>
        <w:jc w:val="both"/>
        <w:rPr>
          <w:rFonts w:ascii="Times New Roman" w:hAnsi="Times New Roman"/>
          <w:color w:val="000000" w:themeColor="text1"/>
          <w:sz w:val="16"/>
          <w:szCs w:val="16"/>
        </w:rPr>
      </w:pPr>
    </w:p>
    <w:p w14:paraId="362EDA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октября 1941 началась забастовка в Праге (3960, 406).</w:t>
      </w:r>
    </w:p>
    <w:p w14:paraId="3E82C2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96D0863" w14:textId="77777777" w:rsidR="00ED2BEA" w:rsidRPr="00640820" w:rsidRDefault="00ED2BEA"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17 октября </w:t>
      </w:r>
      <w:r w:rsidRPr="00640820">
        <w:rPr>
          <w:rFonts w:ascii="Times New Roman" w:hAnsi="Times New Roman"/>
          <w:color w:val="000000" w:themeColor="text1"/>
          <w:sz w:val="16"/>
          <w:szCs w:val="16"/>
        </w:rPr>
        <w:t>в 1941 году У.Черчилль рекомендовал Адмиралтейству рассмотреть предложение правительства о посылке на Дальний Восток линейного корабля и авианосца в дополнение к уже отправленному в Сингапур линейному крейсеру “Рипалз”. Черчилль полагал, что такая демонстрация произведет впечатление на японские правящие круги. Однако лорды Адмиралтейства считали необходимым держать линкоры в английских водах. Разногласия усугублялись тем, что Адмиралтейство опасалось японского нападения на Сингапур и Малайю, тогда как Черчилль полагал, что важнее охранять водные пути. Был достигнут компромисс: линкор “Принц Уэльский” направлялся в Кейптаун, а дальнейший его маршрут должен был быть определен в зависимости от обстановки (14802).</w:t>
      </w:r>
    </w:p>
    <w:p w14:paraId="26E78DEA" w14:textId="77777777" w:rsidR="00ED2BEA" w:rsidRPr="00640820" w:rsidRDefault="00ED2BEA" w:rsidP="00640820">
      <w:pPr>
        <w:spacing w:after="0" w:line="240" w:lineRule="auto"/>
        <w:jc w:val="both"/>
        <w:rPr>
          <w:rFonts w:ascii="Times New Roman" w:hAnsi="Times New Roman"/>
          <w:color w:val="000000" w:themeColor="text1"/>
          <w:sz w:val="16"/>
          <w:szCs w:val="16"/>
        </w:rPr>
      </w:pPr>
    </w:p>
    <w:p w14:paraId="1C3C1C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 October 1941 General Tojo becomes Commander-in-Chief of the Japanese armies (270).</w:t>
      </w:r>
    </w:p>
    <w:p w14:paraId="49213A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1ABCC7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октября 1941 г Того стал главнокомандующим японскими армиями (270).</w:t>
      </w:r>
    </w:p>
    <w:p w14:paraId="574C13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C884711" w14:textId="77777777" w:rsidR="00ED2BEA" w:rsidRPr="00640820" w:rsidRDefault="00ED2BEA"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17 октября </w:t>
      </w:r>
      <w:r w:rsidRPr="00640820">
        <w:rPr>
          <w:rFonts w:ascii="Times New Roman" w:hAnsi="Times New Roman"/>
          <w:color w:val="000000" w:themeColor="text1"/>
          <w:sz w:val="16"/>
          <w:szCs w:val="16"/>
        </w:rPr>
        <w:t>в 1941 году австралийское правительство приняло решение о минировании северо-восточного побережья страны (14802).</w:t>
      </w:r>
    </w:p>
    <w:p w14:paraId="331B26FA" w14:textId="77777777" w:rsidR="00ED2BEA" w:rsidRPr="00640820" w:rsidRDefault="00ED2BEA" w:rsidP="00640820">
      <w:pPr>
        <w:spacing w:after="0" w:line="240" w:lineRule="auto"/>
        <w:jc w:val="both"/>
        <w:rPr>
          <w:rFonts w:ascii="Times New Roman" w:hAnsi="Times New Roman"/>
          <w:color w:val="000000" w:themeColor="text1"/>
          <w:sz w:val="16"/>
          <w:szCs w:val="16"/>
        </w:rPr>
      </w:pPr>
    </w:p>
    <w:p w14:paraId="33B30975"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767E8FAA"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05A55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18 октября по 1 ноября 1941 г. в 288-м шап поломались 4 затвора на пушках, имевших настрел от 500 до 700 выстрелов каждая при газовом отверстии 4,5 мм. До тех пор пока производственники не устранили этот дефект, инженерный и технический состав частей и соединений был вынужден искать выход из создавшегося положения. В частности, была предложена комбинированная схема настройки параметров пушек, которая заключалась в последовательном уменьшении размера газового отверстия при увеличении настрела пушки: 4,5 мм - при настреле 150-200 выстрелов, 4 мм - до 500-600 выстрелов, 3,5 мм - до 1000-1100 выстрелов, а свыше этого — переходили на газовое отверстие 3 мм. Это мероприятие дало положительные результаты.</w:t>
      </w:r>
    </w:p>
    <w:p w14:paraId="548F33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Монтаж стрелково-пушечного вооружения на Ил-2 оценивался техническим составом вполне положительно: «обеспечивается свободный доступ ко всем агрегатам». Это позволяло «легко производить монтаж и демонтаж вооружения, предполетный и послеполетный осмотр, устранять задержки и производить мелкий ремонт, не снимая вооружения».</w:t>
      </w:r>
    </w:p>
    <w:p w14:paraId="14BE00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Вместе с тем отмечались и серьезные конструктивные недостатки. В частности, в ствольную коробку пушки ВЯ через окна для выхода стреляных гильз (гильзоотводы) при рулении, взлете и посадке самолета попадало много пыли и грязи, что отрицательно сказывалось на работе автоматики пушки и вызывало задержки при стрельбе.</w:t>
      </w:r>
    </w:p>
    <w:p w14:paraId="581530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Переднее крепление пушки ВЯ-23 оказалось недостаточно прочным. Вследствие этого после производства 500-1000 выстрелов наблюдался «значительный люфт в пробках для передних цапф пушки и шкворня, чем увеличивается рассеивание». Несинхронность спуска с боевого взвода пушек ВЯ также «снижало меткость огня».</w:t>
      </w:r>
    </w:p>
    <w:p w14:paraId="3FF5F5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ряде случаев после производства 400-500 выстрелов «у пушек ВЯ происходит осадка движков переднего шептала, в результате чего повышается трение подвижных частей, что приводит к недоходу частей или неотдаче».</w:t>
      </w:r>
    </w:p>
    <w:p w14:paraId="59D1AD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Отмечалось ненадежное крепление рукава питания к приемнику пушки — «морские болты от вибрации выпадают из своих гнезд, чем и вызываются задержки в стрельбе».</w:t>
      </w:r>
    </w:p>
    <w:p w14:paraId="5C0BF9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Регулярно ломались лапки и фиксаторы затворов, а также выходил из строя ударник по причине преждевременного износа. Когда же «срочно нужно было заменить поломанные детали, то при осмотре запчастей в количестве 2-х комплектов, полученных с завода № 18, последние оказались измененной конструкцией (не выдержаны размеры), а особенно затворы и клинья запирания и поэтому к пушкам не подходят».</w:t>
      </w:r>
    </w:p>
    <w:p w14:paraId="52605D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Имели место частые случаи поломки трубки пневмоперезарядки пушки ВЯ в месте соединения к цилиндру пневмоперезарядки. Поломка происходила на участке головки ниппеля вследствие чрезмерной нагрузки.</w:t>
      </w:r>
    </w:p>
    <w:p w14:paraId="55FDFE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Конструкция рукава питания пушки ВЯ не обеспечивала возможности разъединения патронной ленты без предварительного снятия самого рукава.</w:t>
      </w:r>
    </w:p>
    <w:p w14:paraId="0C1610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Довольно часто происходил обрыв тросов перезарядки пушки. Оказалось, что на заводах при монтаже пушки на самолет шлицы тросов перезарядки и спуска в местах их соединения с карабином спаивались без оплетки. Поэтому через несколько перезарядок оплетка срывалась и концы тросов выскакивали. Для устранения этого дефекта было необходимо «концы сначала заплетать и только после этого спаивать».</w:t>
      </w:r>
    </w:p>
    <w:p w14:paraId="458429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Конструкция патронных ящиков пушек ВЯ завода № 30 была неудобна в эксплуатации, так как укладка патронной ленты производилась через два маленьких лючка. Кроме того, в случае повреждения ящика огнем зенитной артиллерии и истребительной авиации его ремонт занимал значительное время. Вооруженцы полков требовали «оставить конструкцию ящика съемного варианта».</w:t>
      </w:r>
    </w:p>
    <w:p w14:paraId="7A3B47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Бортовой предохранитель пулемета ШКАС на самолете оказался совершенно излишним, так как он дублировал предохранитель, установленный на ручке управления самолетом, а летчики перед атакой часто забывали снять пулеметы с бортового предохранителя, «тем самым вооружение используется не полностью».</w:t>
      </w:r>
    </w:p>
    <w:p w14:paraId="4F2305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Металлические патронные ящики пулеметов ШКАС «не имеют достаточной жесткости стенок, что приводит к перекручиванию ленты и обрыву ее при резких эволюциях самолета».</w:t>
      </w:r>
    </w:p>
    <w:p w14:paraId="0D9D09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самолетах Ил-2 производства завода № 1 часто ломались кронштейны переднего крепления пулемета ШКАС в местах сварки. Устранить этот дефект в полевых условиях подчас оказывалось невозможным.</w:t>
      </w:r>
    </w:p>
    <w:p w14:paraId="5C75C2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Пушки ШВАК поначалу при стрельбе в воздухе давали сплошные задержки по причине недоведенности пневматической системы перезарядки пушек, обрывов закраин и поперечных разрывов гильз в патроннике. И пока оружейники полков не докопались до причин отказов, ШВАКи «возились мертвым грузом». Когда же подпилили ползуны в механизме перезаряжания, добавили смазку в подвижную систему и дали обильную смазку гильз, работа пушек вошла в норму. Причем эту процедуру необходимо было выполнять перед каждым вылетом. Скоро выяснилось, что пушки ШВАК действуют безотказно без чистки лишь до настрела 600 выстрелов. Из-за повышенной смазки подвижных частей пушки они «подвергаются сильному загрязнению пороховыми газами, вследствие чего увеличивается трение между деталями», что вызывает задержки при стрельбе и поломки деталей.</w:t>
      </w:r>
    </w:p>
    <w:p w14:paraId="2CB6DA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особенно тяжелых условиях работы находились возвратные пружины пушки, испытывающие большие напряжения при резкой перемене температуры и нагрузки. Практически все пружины свой гарантийный срок службы не выдерживали.</w:t>
      </w:r>
    </w:p>
    <w:p w14:paraId="7DD6D0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Вследствие плохой подгонки на заводах гильзоотводов в частях их приходилось снимать. Взамен получили массовую задержку при стрельбе в воздухе - «утыкание гильзы в газовый цилиндр». Пришлось на всех самолетах со снятыми гильзоотводами срочно увеличивать размеры окон для выхода стреляных гильз в плоскостях. </w:t>
      </w:r>
      <w:r w:rsidRPr="00640820">
        <w:rPr>
          <w:rFonts w:ascii="Times New Roman" w:hAnsi="Times New Roman"/>
          <w:color w:val="000000" w:themeColor="text1"/>
          <w:sz w:val="16"/>
          <w:szCs w:val="16"/>
        </w:rPr>
        <w:lastRenderedPageBreak/>
        <w:t>Эта доработка дала положительный результат. Однако в увеличенные гильзоотводные окна стало попадать много пыли при рулении, взлете и посадке. В результате автоматика пушки быстро загрязнялась, что вызывало задержки при стрельбе.</w:t>
      </w:r>
    </w:p>
    <w:p w14:paraId="3504D5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в отчетах инженеров полков отмечалась ненадежная регулировка спуска пушек ШВАК, а также неудобные в эксплуатации и нестандартные разъемы спуска и перезарядки пушек и пулеметов.</w:t>
      </w:r>
    </w:p>
    <w:p w14:paraId="15818A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Живучесть крыльевых пушек ШВАК определялась надежностью вкладыша останова штока, который выдерживал в среднем около 1000 выстрелов вместо гарантийных 1700 выстрелов. Боевая пружина стабильно отрабатывала гарантийный ресурс в 5000 выстрелов. Ствол выдерживал 8000-9000, ствольная коробка -7000-8000, затвор - 2500-3000, шептало - 3000-4000 (вместо 5000 по гарантии завода), а возвратная пружина — 3000 выстрелов.</w:t>
      </w:r>
    </w:p>
    <w:p w14:paraId="25BD12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 есть, многие детали пушки ШВАК не выдерживали гарантийного настрела - 5000 выстрелов, установленного заводом для пушки.</w:t>
      </w:r>
    </w:p>
    <w:p w14:paraId="617C94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безотказного действия пушки в боевых условиях требовался постоянный технический контроль и своевременный профилактический ремонт. Этот ремонт обычно заключался в своевременной замене износившихся деталей, а также в удалении наплыва и забоин металла, образовавшихся в процессе эксплуатации оружия.</w:t>
      </w:r>
    </w:p>
    <w:p w14:paraId="036CA6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Средняя живучесть пушек ВЯ ограничивалась главным образом надежностью в работе ползуна (2392 выстрела), лапок затвора (2500 выстрелов) и клина запирания (2898 выстрелов). Буферная пружина пушки выдерживала до поломки в среднем 3621 выстрелов, движки переднего шептало - 4960, а затвор -6119 выстрелов.</w:t>
      </w:r>
    </w:p>
    <w:p w14:paraId="7A498C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опыту штурмовых авиаполков 3-й воздушной армии около 16-20% пушек из общего числа находящихся в эксплуатации вырабатывало свой гарантийный ресурс - 4000 выстрелов. Из этого числа лишь 2% оказывалось непригодными для дальнейшего использования в бою.</w:t>
      </w:r>
    </w:p>
    <w:p w14:paraId="72A98B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Пушки ВЯ в среднем обеспечивали 1,4% отказов к общему настрелу, пушки ШВАК - 1,5%, а пулеметы ШКАС - 2,8% (11921).</w:t>
      </w:r>
    </w:p>
    <w:p w14:paraId="6D4FE6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D4A84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октября 1941 Заместителем начальника ЛИИ А.В.Чесаловым был утвержден Акт по испытаниям 2-го экземпляра Су-6 М-71, который прошел сокращенные заводские испытания в ЛИИ НКАП с 16 июня по сентябрь 1941 (9649).</w:t>
      </w:r>
    </w:p>
    <w:p w14:paraId="1ECFF7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акте отмечалось, что “самолет обладает хорошими летными и пилотажными свойствами... по своим пилотажным свойствам и простоте управления принадлежит к числу лучших современных самолетов”.</w:t>
      </w:r>
    </w:p>
    <w:p w14:paraId="2B6513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Су-6 М-71 представлял собой сво-боднонесущий моноплан с низкорасположенным крылом, фюзеляж - мо-нокок, шасси убирающееся. Крыло, центроплан и оперение - металлические. Обшивка рулей - полотно. Фюзеляж - набор деревянный, обшивка -фанера. Профиль крыла - ЦАГИ-6.</w:t>
      </w:r>
    </w:p>
    <w:p w14:paraId="5FB79D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Крыло имело поперечное V - 1°30'. площадь крыла - 26 м2.</w:t>
      </w:r>
    </w:p>
    <w:p w14:paraId="221BD1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Фюзеляжный бензобак емкостью 645 л протектированный. На самолете устанавливалась система заполнения бензобака инертными газами.</w:t>
      </w:r>
    </w:p>
    <w:p w14:paraId="204E31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Маслобак 62 л. Вес пустого самолета составлял 3187 кг. Винт трехлопастный типа АВ-5-4А.</w:t>
      </w:r>
    </w:p>
    <w:p w14:paraId="72BA85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Вооружение штурмовика включало 4 крыльевых пулемета ШКАС (3160 патронов), два синхронных ШКАС (1520 патронов) в центроплане и 120 кг бомб. Бомбы размещались в фюзеляжном бомбоотсеке.</w:t>
      </w:r>
    </w:p>
    <w:p w14:paraId="7894B1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внешние узлы допускалась подвеска двух бомб типа ФАБ-100 или двух ВАП-200. Кроме того, предусматривалась подвеска сбрасывамых подвесных бензобаков.</w:t>
      </w:r>
    </w:p>
    <w:p w14:paraId="7B778D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нормальном полетном весе 4217 кг (120 кг бомб и боекомплект к пулеметам) максимальная скорость штурмовика у земли составила 474 км/ ч, а на высоте 5700 м - до 566 км/ч. Высоту 1000 м самолет набирал за 1,16 мин, а высоту 5000 м - 6,25 мин. Максимальная дальность полета на высоте 500-600 м на скорости 462 км/ч - 700 км.</w:t>
      </w:r>
    </w:p>
    <w:p w14:paraId="3489AA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Несмотря на прекрасные летные данные Су-б М-71, специалисты ЛИИ НКАП указали на слабое вооружение штурмовика, которое совершенно не соответствует современным требованиям.</w:t>
      </w:r>
    </w:p>
    <w:p w14:paraId="206692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Рекомендовалось установить пушки ВЯ-23, предусмотреть подвеску реактивных снарядов и увеличить бомбовую нагрузку.</w:t>
      </w:r>
    </w:p>
    <w:p w14:paraId="1A0A8F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заключении отчета указывалось, что: “Для полного суждения о боевых и летных свойствах самолета Су-б необходимо уст а но вить и отработать пушечное вооружение и наружные подвески PC”,</w:t>
      </w:r>
    </w:p>
    <w:p w14:paraId="221D8F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дальнейшем в процессе доводки самолета ОКБ П.О.Сухого все же удалось создать выдающийся штурмовик Су-б М-71ф с прекрасными летными, пилотажными и боевыми свойствами (9649).</w:t>
      </w:r>
    </w:p>
    <w:p w14:paraId="631156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B1EE8D8" w14:textId="77777777" w:rsidR="00595859" w:rsidRPr="00640820" w:rsidRDefault="00595859"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18 октября 1951 Заместителем начальника ЛИИ А. В. Чесаловым утвержден Акт по испытаниям боевого Су-6 М-71 (2-й экземпляр).</w:t>
      </w:r>
    </w:p>
    <w:p w14:paraId="5BD7822E" w14:textId="77777777" w:rsidR="00595859" w:rsidRPr="00640820" w:rsidRDefault="00595859"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В акте отмечалось, что:</w:t>
      </w:r>
    </w:p>
    <w:p w14:paraId="75AA0523" w14:textId="77777777" w:rsidR="00595859" w:rsidRPr="00640820" w:rsidRDefault="00595859" w:rsidP="00640820">
      <w:pPr>
        <w:pStyle w:val="ae"/>
        <w:shd w:val="clear" w:color="auto" w:fill="FFFFFF"/>
        <w:spacing w:before="0" w:after="0"/>
        <w:jc w:val="both"/>
        <w:textAlignment w:val="baseline"/>
        <w:rPr>
          <w:color w:val="000000" w:themeColor="text1"/>
          <w:sz w:val="16"/>
          <w:szCs w:val="16"/>
        </w:rPr>
      </w:pPr>
      <w:r w:rsidRPr="00640820">
        <w:rPr>
          <w:rStyle w:val="af0"/>
          <w:i w:val="0"/>
          <w:color w:val="000000" w:themeColor="text1"/>
          <w:sz w:val="16"/>
          <w:szCs w:val="16"/>
          <w:bdr w:val="none" w:sz="0" w:space="0" w:color="auto" w:frame="1"/>
        </w:rPr>
        <w:t>«самолет обладает хорошими летными и пилотажными свойствами… по своим пилотажным свойствам и простоте управления принадлежит к числу лучших современных самолетов».</w:t>
      </w:r>
    </w:p>
    <w:p w14:paraId="1693F52C" w14:textId="77777777" w:rsidR="00595859" w:rsidRPr="00640820" w:rsidRDefault="00595859"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Су-6 М-71 представлял собой свободнонесущий моноплан с низкорасположенным крылом, фюзеляж — монокок, шасси убирающееся. Крыло, центроплан и оперение — металлические. Обшивка рулей — полотно. Фюзеляж — набор деревянный, обшивка — фанера. Профиль крыла — ЦАГИ-6.</w:t>
      </w:r>
    </w:p>
    <w:p w14:paraId="45314A5D" w14:textId="77777777" w:rsidR="00595859" w:rsidRPr="00640820" w:rsidRDefault="00595859"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Крыло имело поперечное V — 1°30′. площадь крыла — 26 кв. м.</w:t>
      </w:r>
    </w:p>
    <w:p w14:paraId="0EFEA02A" w14:textId="77777777" w:rsidR="00595859" w:rsidRPr="00640820" w:rsidRDefault="00595859"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Фюзеляжный бензобак емкостью 645 л протектированный. На самолете устанавливалась система заполнения бензобака инертными газами.</w:t>
      </w:r>
    </w:p>
    <w:p w14:paraId="59531E95" w14:textId="77777777" w:rsidR="00595859" w:rsidRPr="00640820" w:rsidRDefault="00595859"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Маслобак 62 л. Вес пустого самолета составлял 3187 кг. Винт трехлопастный типа АВ-5–4А.</w:t>
      </w:r>
    </w:p>
    <w:p w14:paraId="64C9243A" w14:textId="77777777" w:rsidR="00595859" w:rsidRPr="00640820" w:rsidRDefault="00595859"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Вооружение штурмовика включало 4 крыльевых пулемета ШКАС (3160 патронов), два синхронных ШКАС (1520 патронов) в центроплане и 120 кг бомб. Бомбы размещались в фюзеляжном бомбоотсеке.</w:t>
      </w:r>
    </w:p>
    <w:p w14:paraId="137FA6B4" w14:textId="77777777" w:rsidR="00595859" w:rsidRPr="00640820" w:rsidRDefault="00595859"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На внешние узлы допускалась подвеска двух бомб типа ФАБ-100 или двух ВАП-200. Кроме того, предусматривалась подвеска сбрасываемых подвесных бензобаков.</w:t>
      </w:r>
    </w:p>
    <w:p w14:paraId="232B14DE" w14:textId="77777777" w:rsidR="00595859" w:rsidRPr="00640820" w:rsidRDefault="00595859"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При нормальном полетном весе 4217 кг (120 кг бомб и боекомплект к пулеметам) максимальная скорость штурмовика у земли составила 474 км/ ч, а на высоте 5700 м — до 566 км/ч. Высоту 1000 м самолет набирал за 1,16 мин, а высоту 5000 м — 6,25 мин. Максимальная дальность полета на высоте 500–600 м на скорости 462 км/ч — 700 км.</w:t>
      </w:r>
    </w:p>
    <w:p w14:paraId="46CC5B72" w14:textId="77777777" w:rsidR="00595859" w:rsidRPr="00640820" w:rsidRDefault="00595859"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Несмотря на прекрасные летные данные Су-6 М-71, специалисты ЛИИ НКАП указали на слабое вооружение штурмовика, которое совершенно не соответствует современным требованиям.</w:t>
      </w:r>
    </w:p>
    <w:p w14:paraId="28DCF33E" w14:textId="77777777" w:rsidR="00595859" w:rsidRPr="00640820" w:rsidRDefault="00595859"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Рекомендовалось установить пушки ВЯ-23, предусмотреть подвеску реактивных снарядов и увеличить бомбовую нагрузку.</w:t>
      </w:r>
    </w:p>
    <w:p w14:paraId="3F6C484C" w14:textId="77777777" w:rsidR="00595859" w:rsidRPr="00640820" w:rsidRDefault="00595859"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В заключении отчета указывалось, что:</w:t>
      </w:r>
    </w:p>
    <w:p w14:paraId="381E5CFB" w14:textId="77777777" w:rsidR="00595859" w:rsidRPr="00640820" w:rsidRDefault="00595859" w:rsidP="00640820">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640820">
        <w:rPr>
          <w:rStyle w:val="af0"/>
          <w:i w:val="0"/>
          <w:color w:val="000000" w:themeColor="text1"/>
          <w:sz w:val="16"/>
          <w:szCs w:val="16"/>
          <w:bdr w:val="none" w:sz="0" w:space="0" w:color="auto" w:frame="1"/>
        </w:rPr>
        <w:t>«Для полного суждения о боевых и летных свойствах самолета Су-6 необходимо установить и отработать пушечное вооружение и наружные подвески PC» (19188).</w:t>
      </w:r>
    </w:p>
    <w:p w14:paraId="7FE1ED0F" w14:textId="77777777" w:rsidR="00595859" w:rsidRPr="00640820" w:rsidRDefault="00595859" w:rsidP="00640820">
      <w:pPr>
        <w:pStyle w:val="ae"/>
        <w:shd w:val="clear" w:color="auto" w:fill="FFFFFF"/>
        <w:spacing w:before="0" w:after="0"/>
        <w:jc w:val="both"/>
        <w:textAlignment w:val="baseline"/>
        <w:rPr>
          <w:color w:val="000000" w:themeColor="text1"/>
          <w:sz w:val="16"/>
          <w:szCs w:val="16"/>
        </w:rPr>
      </w:pPr>
    </w:p>
    <w:p w14:paraId="19505D8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октября 1941 Нач. ЦКБ-29 з</w:t>
      </w:r>
      <w:r w:rsidR="007B0085"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rPr>
        <w:t>да № 166 НКАП Кутепов писал письмо № 2374сс ДИРЕКТОРУ ЗАВОДА № 166</w:t>
      </w:r>
    </w:p>
    <w:p w14:paraId="3B20A7E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тов. СОКОЛОВУ</w:t>
      </w:r>
    </w:p>
    <w:p w14:paraId="6ED755E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сем препровождается краткий отчет "О состоянии проектирования и постройки опытных самолетов з-да № 166 на 15/Х-41 г.</w:t>
      </w:r>
    </w:p>
    <w:p w14:paraId="5606CC0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Приложение: упомянутое на 8 листах.</w:t>
      </w:r>
    </w:p>
    <w:p w14:paraId="5DCE8F1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октября 1941 был подготовлен:</w:t>
      </w:r>
    </w:p>
    <w:p w14:paraId="5854886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КРАТКИЙ ОТЧЕТ О СОСТОЯНИИ ПРОЕКТИРОВАНИЯ И ПОСТРОЙКИ ОПЫТНЫХ.САМОЛЕТОВ В ЦКБ-29 ЗАВОДА № 166 НКАП на 15.10-41 г.</w:t>
      </w:r>
    </w:p>
    <w:p w14:paraId="3E01947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Основными работами КБ-2 и КБ-3 ЦКБ-29 по опытным об"ектам являются:</w:t>
      </w:r>
    </w:p>
    <w:p w14:paraId="5DAA344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Окончание сборки высотного бомбардирслзаика дальнего дей</w:t>
      </w:r>
      <w:r w:rsidRPr="00640820">
        <w:rPr>
          <w:rFonts w:ascii="Times New Roman" w:hAnsi="Times New Roman"/>
          <w:color w:val="000000" w:themeColor="text1"/>
          <w:sz w:val="16"/>
          <w:szCs w:val="16"/>
        </w:rPr>
        <w:softHyphen/>
        <w:t>ствия о 2-мя моторама М120 с ТК, самолет 102 ( гл. Конструктор В.МЯСИЩЕВ) .</w:t>
      </w:r>
    </w:p>
    <w:p w14:paraId="65A59DA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Постройка одноместного высотного истребителя с мотором М110 (Гл. Конструктор Д. ТОМАШЕВИЧ).</w:t>
      </w:r>
    </w:p>
    <w:p w14:paraId="1D9EF40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Производственная база.</w:t>
      </w:r>
    </w:p>
    <w:p w14:paraId="760485E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Основным помещением является ангар и прилегающие к нему мастерские б.аэропорта; производственные площади мастерских удов</w:t>
      </w:r>
      <w:r w:rsidRPr="00640820">
        <w:rPr>
          <w:rFonts w:ascii="Times New Roman" w:hAnsi="Times New Roman"/>
          <w:color w:val="000000" w:themeColor="text1"/>
          <w:sz w:val="16"/>
          <w:szCs w:val="16"/>
        </w:rPr>
        <w:softHyphen/>
        <w:t>летворительные и подходят для размещения опытного производства.</w:t>
      </w:r>
    </w:p>
    <w:p w14:paraId="26912B0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Оборудование мастерских устарелое в составе 3? единиц, не</w:t>
      </w:r>
      <w:r w:rsidRPr="00640820">
        <w:rPr>
          <w:rFonts w:ascii="Times New Roman" w:hAnsi="Times New Roman"/>
          <w:color w:val="000000" w:themeColor="text1"/>
          <w:sz w:val="16"/>
          <w:szCs w:val="16"/>
        </w:rPr>
        <w:softHyphen/>
        <w:t>комплектное для производства опытных работ. Очень остро стоит вопрос о электроэнергией; мощность всей установки 25 квт, в силу чего нельзя загружать асе оборудование одновременно.</w:t>
      </w:r>
    </w:p>
    <w:p w14:paraId="2A2CBC8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Отсутствие сжатого воздуха не позволяло нести работу по клепке, в данное время у становая воздушный компрессор и увеличено снабжение электроэнергией</w:t>
      </w:r>
    </w:p>
    <w:p w14:paraId="1149731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мастерских не было термической для цветного и черного металла, а также мастерской покрытия; эти работы сильно затянулись со стороны УКСа завода,</w:t>
      </w:r>
    </w:p>
    <w:p w14:paraId="49D1105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Рабочая сила.</w:t>
      </w:r>
    </w:p>
    <w:p w14:paraId="746CFBB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Наличный состав рабочих всех категорий опытного цеха № 11 309 человек, большинство из них перешли из мастерских аэропорта; средний разряд не выше 2.</w:t>
      </w:r>
    </w:p>
    <w:p w14:paraId="1402D14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самостоятельной работе использовать их не- представляется возможности ввиду незнакомства их с работой по ыэталл аческим самоле</w:t>
      </w:r>
      <w:r w:rsidRPr="00640820">
        <w:rPr>
          <w:rFonts w:ascii="Times New Roman" w:hAnsi="Times New Roman"/>
          <w:color w:val="000000" w:themeColor="text1"/>
          <w:sz w:val="16"/>
          <w:szCs w:val="16"/>
        </w:rPr>
        <w:softHyphen/>
        <w:t>там (отсутствие навыков по клепке и по обработке дюраля).</w:t>
      </w:r>
    </w:p>
    <w:p w14:paraId="4B23C3F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работавшие же ранее на машине 102 мастера и рабочие были переведены в серийное производство и, таким образом, многие участки работы остались без надлежащего руководства со стороны мастеров.</w:t>
      </w:r>
    </w:p>
    <w:p w14:paraId="3621005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СОСТОЯНИЕ РАВОТ ПО САМ</w:t>
      </w:r>
      <w:r w:rsidR="007B0085" w:rsidRPr="00640820">
        <w:rPr>
          <w:rFonts w:ascii="Times New Roman" w:hAnsi="Times New Roman"/>
          <w:color w:val="000000" w:themeColor="text1"/>
          <w:sz w:val="16"/>
          <w:szCs w:val="16"/>
        </w:rPr>
        <w:t>ОЛЕ</w:t>
      </w:r>
      <w:r w:rsidRPr="00640820">
        <w:rPr>
          <w:rFonts w:ascii="Times New Roman" w:hAnsi="Times New Roman"/>
          <w:color w:val="000000" w:themeColor="text1"/>
          <w:sz w:val="16"/>
          <w:szCs w:val="16"/>
        </w:rPr>
        <w:t>ТУ 1</w:t>
      </w:r>
      <w:r w:rsidR="007B0085" w:rsidRPr="00640820">
        <w:rPr>
          <w:rFonts w:ascii="Times New Roman" w:hAnsi="Times New Roman"/>
          <w:color w:val="000000" w:themeColor="text1"/>
          <w:sz w:val="16"/>
          <w:szCs w:val="16"/>
        </w:rPr>
        <w:t>0</w:t>
      </w:r>
      <w:r w:rsidRPr="00640820">
        <w:rPr>
          <w:rFonts w:ascii="Times New Roman" w:hAnsi="Times New Roman"/>
          <w:color w:val="000000" w:themeColor="text1"/>
          <w:sz w:val="16"/>
          <w:szCs w:val="16"/>
        </w:rPr>
        <w:t>2 (КБ-2)</w:t>
      </w:r>
    </w:p>
    <w:p w14:paraId="2B17EDB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 а к е т</w:t>
      </w:r>
    </w:p>
    <w:p w14:paraId="5008527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связи с эвакуацией были повреждены яшики с агрегатами макета и многие детали разрушены; в данный момент заканчивается восстановлением.</w:t>
      </w:r>
    </w:p>
    <w:p w14:paraId="6A505AC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Техническая готовность макета 90%.</w:t>
      </w:r>
    </w:p>
    <w:p w14:paraId="27B82D7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Стенды</w:t>
      </w:r>
    </w:p>
    <w:p w14:paraId="5FB4CA2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 стенды: моторный, вооружение, гидравлики, шасси и опытная герметическая кабина закончены и проведены испытания их с положи</w:t>
      </w:r>
      <w:r w:rsidRPr="00640820">
        <w:rPr>
          <w:rFonts w:ascii="Times New Roman" w:hAnsi="Times New Roman"/>
          <w:color w:val="000000" w:themeColor="text1"/>
          <w:sz w:val="16"/>
          <w:szCs w:val="16"/>
        </w:rPr>
        <w:softHyphen/>
        <w:t>тельными результатами, остаются небольшие изменения и доделки,свя</w:t>
      </w:r>
      <w:r w:rsidRPr="00640820">
        <w:rPr>
          <w:rFonts w:ascii="Times New Roman" w:hAnsi="Times New Roman"/>
          <w:color w:val="000000" w:themeColor="text1"/>
          <w:sz w:val="16"/>
          <w:szCs w:val="16"/>
        </w:rPr>
        <w:softHyphen/>
        <w:t>занные с испытаниями.</w:t>
      </w:r>
    </w:p>
    <w:p w14:paraId="35BD170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Статиспытание</w:t>
      </w:r>
    </w:p>
    <w:p w14:paraId="3229835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 агрегаты для статиспытания изготовлены и в данный момент заканчиваются в ЦАГИ испытания.</w:t>
      </w:r>
    </w:p>
    <w:p w14:paraId="7D9FAC7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Весь самолет в целом испытан на случаи "Б" со 100% результатом; в настоящее время заканчиваются испытания на случай "А" и на осталь</w:t>
      </w:r>
      <w:r w:rsidRPr="00640820">
        <w:rPr>
          <w:rFonts w:ascii="Times New Roman" w:hAnsi="Times New Roman"/>
          <w:color w:val="000000" w:themeColor="text1"/>
          <w:sz w:val="16"/>
          <w:szCs w:val="16"/>
        </w:rPr>
        <w:softHyphen/>
        <w:t>ные случаи по программе.</w:t>
      </w:r>
    </w:p>
    <w:p w14:paraId="71A83C9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 статиспытвния предполагается закончить в конце октября.</w:t>
      </w:r>
    </w:p>
    <w:p w14:paraId="5E29C50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smallCaps/>
          <w:color w:val="000000" w:themeColor="text1"/>
          <w:sz w:val="16"/>
          <w:szCs w:val="16"/>
        </w:rPr>
        <w:t xml:space="preserve">работа </w:t>
      </w:r>
      <w:r w:rsidRPr="00640820">
        <w:rPr>
          <w:rFonts w:ascii="Times New Roman" w:hAnsi="Times New Roman"/>
          <w:color w:val="000000" w:themeColor="text1"/>
          <w:sz w:val="16"/>
          <w:szCs w:val="16"/>
        </w:rPr>
        <w:t xml:space="preserve">по </w:t>
      </w:r>
      <w:r w:rsidRPr="00640820">
        <w:rPr>
          <w:rFonts w:ascii="Times New Roman" w:hAnsi="Times New Roman"/>
          <w:smallCaps/>
          <w:color w:val="000000" w:themeColor="text1"/>
          <w:sz w:val="16"/>
          <w:szCs w:val="16"/>
        </w:rPr>
        <w:t>проектированию</w:t>
      </w:r>
    </w:p>
    <w:p w14:paraId="0378525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данное время производятся отдельные изменения и доделки, вызванные результатами испытании агрегатов на стендах и стаиспыта-ниями, а также в связи с неполадками в производстве при установке агрегатов на машину.</w:t>
      </w:r>
    </w:p>
    <w:p w14:paraId="39FCBC2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Параллельно ведется работа по замене остродефицитных мате</w:t>
      </w:r>
      <w:r w:rsidRPr="00640820">
        <w:rPr>
          <w:rFonts w:ascii="Times New Roman" w:hAnsi="Times New Roman"/>
          <w:color w:val="000000" w:themeColor="text1"/>
          <w:sz w:val="16"/>
          <w:szCs w:val="16"/>
        </w:rPr>
        <w:softHyphen/>
        <w:t>риалов менее дефицитными; прорабатывается вопрос о постановке с-та на лыжи, ведется разработка деталей аэродромного оборудования к программы заводвких испытаний самолета; составляется техническое описание с, моле та.</w:t>
      </w:r>
    </w:p>
    <w:p w14:paraId="2FCB4CD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 А С Ч Е ТЫ.</w:t>
      </w:r>
    </w:p>
    <w:p w14:paraId="254F5C5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 основные расчеты на прочность закончены и находятся в состоянии окончательного оформления.</w:t>
      </w:r>
    </w:p>
    <w:p w14:paraId="70969B6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II Р О И 3 В О Д С Т В О.</w:t>
      </w:r>
    </w:p>
    <w:p w14:paraId="5CD556F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Задел самолета прибыл в Омск в середине августа; детали были перемешены и задел находился в неудовлетворительном состоянии.</w:t>
      </w:r>
    </w:p>
    <w:p w14:paraId="7F75848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Разборка деталей была проведена силами конструкторов ив имущества цехов; на разборку затрачено много времени;</w:t>
      </w:r>
    </w:p>
    <w:p w14:paraId="5A69866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Следует отметить, что этому делу со стороны цехов не было уделено долшчого внимания и этот участок работы оставлен был без надзора, в результате чего часть оснастки и деталей были утеряны.</w:t>
      </w:r>
    </w:p>
    <w:p w14:paraId="1D57191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 Ю 3 Е Л Я Ж.</w:t>
      </w:r>
    </w:p>
    <w:p w14:paraId="3169FC6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 каркасные работы закончены, остается провести испытание на герметичность кабин; недостающее детали изготовляются на серий</w:t>
      </w:r>
      <w:r w:rsidRPr="00640820">
        <w:rPr>
          <w:rFonts w:ascii="Times New Roman" w:hAnsi="Times New Roman"/>
          <w:color w:val="000000" w:themeColor="text1"/>
          <w:sz w:val="16"/>
          <w:szCs w:val="16"/>
        </w:rPr>
        <w:softHyphen/>
        <w:t>ном заводе, т-к цех и 11 в салу отсутствия нужного оборудования выполнить их своими силами несмолот.</w:t>
      </w:r>
    </w:p>
    <w:p w14:paraId="4A055AC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Техническая готовность по фюзеляжу 90%.</w:t>
      </w:r>
    </w:p>
    <w:p w14:paraId="4A78703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 Е Н Т _Р О П Л А Н.</w:t>
      </w:r>
    </w:p>
    <w:p w14:paraId="0974D0D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Готов на 95%; недостает небольшого количества деталей и чертежных нормалей.</w:t>
      </w:r>
    </w:p>
    <w:p w14:paraId="617D3F3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РЫЛО</w:t>
      </w:r>
    </w:p>
    <w:p w14:paraId="1CEF232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 детали имеются кроме нормалей; сборка кессона крыла, клепка элеронов и посадочных щитков задерживается из-за отсутствия воздуха для клепки; работы предполагается закончить по кессону к 1/11-41 г. и произвести стыковку.</w:t>
      </w:r>
    </w:p>
    <w:p w14:paraId="1D23966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Техническая готовность крыла 82%</w:t>
      </w:r>
    </w:p>
    <w:p w14:paraId="794D0EE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ОПЕРЕНИЕ</w:t>
      </w:r>
    </w:p>
    <w:p w14:paraId="1C42BEC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 агрегаты оперения закончены полностью и обшиты; остается окраска и балансировка. Техническая готовность - 96%</w:t>
      </w:r>
    </w:p>
    <w:p w14:paraId="479E2ED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 П Р А В Л Е Н И Е</w:t>
      </w:r>
    </w:p>
    <w:p w14:paraId="1A76BCD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Детали управления изготовлены и смонтированы; производится регулировка управления. Техническая готовность - 95%.</w:t>
      </w:r>
    </w:p>
    <w:p w14:paraId="5836CDA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ВИНТО-МОТСРНООЕ ХОЗЯЙСТВО.</w:t>
      </w:r>
    </w:p>
    <w:p w14:paraId="497B97A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Детали и готовые изделия для винто-моторнок группы имеются; производится монтай оензо- и маслослслем. Из-за отсутствия квалифицированных медников, расботы на этом участие сильно тормозятся.</w:t>
      </w:r>
    </w:p>
    <w:p w14:paraId="2576507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Техническая готовность по деталям - 90%, а в целом по монтажу 70-75%.</w:t>
      </w:r>
    </w:p>
    <w:p w14:paraId="46F9BAC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Испытание реакторов в ЦАГИ не закончено, в связи с чем предстоят дополнительные работы.</w:t>
      </w:r>
    </w:p>
    <w:p w14:paraId="75800E9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СПЕЦОБОРУДОВАНИЕ</w:t>
      </w:r>
    </w:p>
    <w:p w14:paraId="4CBC483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Производится доводка и окраска агрегатов спецустановок: стрелковой, бомбовои и прицельной. Особенно не достает квалифицированных рабочих, в связи с чем конструктора работают в качестве слесарей и токарей в цехе.</w:t>
      </w:r>
    </w:p>
    <w:p w14:paraId="6E2C2B6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верхней дистанционной установке не имеется нужного оружия, крыльевого пулемета Березина; Приспосабливается- имеющийся синхронный пулемет; от завода № 487 не получен ряд механизмов.</w:t>
      </w:r>
    </w:p>
    <w:p w14:paraId="2F89965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ВНУТРЕННЕЕ ОБОРУДОВАНИЕ САМОЛЕТА</w:t>
      </w:r>
    </w:p>
    <w:p w14:paraId="4C5A2B2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Отсутствуют некоторые издилия заводов смежников: термометр смеси карбюратора, сигнализатор температуры масла и воды, броня, прозрачная броня, лагометр, спецбак, гидравлическая тележка. Техническая готовность - 85%.</w:t>
      </w:r>
    </w:p>
    <w:p w14:paraId="3A3647F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ГИДРАВЛИЧЕСКОЕ ОБОРУДОВАНИЕ</w:t>
      </w:r>
    </w:p>
    <w:p w14:paraId="4F72BB0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Необходимо провести лабораторные испытания гидравлических помп и клапанов. Монтаж гидравлических устаповок выполнен на 75%. Техническая готовность агрегатов - 90%.</w:t>
      </w:r>
    </w:p>
    <w:p w14:paraId="7F7E94A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 А С С И</w:t>
      </w:r>
    </w:p>
    <w:p w14:paraId="361A781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связи со стендовыми испытаниями ироизводится разработка следующих агрегатов: переборка ноги с заменою возвратного механизма, замок шасси передней ноги и доделка механизмов створок.</w:t>
      </w:r>
    </w:p>
    <w:p w14:paraId="307E73C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Из-за отсутствия подходящего оборудования и опытных рабочих эти работы могут задержать выпуск самолета.</w:t>
      </w:r>
    </w:p>
    <w:p w14:paraId="7E2BAC0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Технике смая готовность агрегатов - 80%</w:t>
      </w:r>
    </w:p>
    <w:p w14:paraId="6C7428A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ЭЛЕКТРО-ОБОРУДОВАНИЕ.</w:t>
      </w:r>
    </w:p>
    <w:p w14:paraId="3F48052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 закончен монтаж задней кабины, остальные монтажи по передней кабине, по центроплану, по хвостовой части фюзеляжа и по второму от”ему закончены.</w:t>
      </w:r>
    </w:p>
    <w:p w14:paraId="48FA807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Техническая готовность - 80%</w:t>
      </w:r>
    </w:p>
    <w:p w14:paraId="4D1EF9C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ВЫСОТНОЕ ОБОРУДОВАНИЕ</w:t>
      </w:r>
    </w:p>
    <w:p w14:paraId="3861D32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 агрегаты установлены, остается испытать дефлектор заднего фонаря. Техническая г о т о в н о о т ь - 95%.</w:t>
      </w:r>
    </w:p>
    <w:p w14:paraId="1BEEB3B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РАБОТА ПО САМОЛЕТУ 110 (КБ-3).</w:t>
      </w:r>
    </w:p>
    <w:p w14:paraId="2F7276C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 а к е т</w:t>
      </w:r>
    </w:p>
    <w:p w14:paraId="5543D30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перевозке макет сильно пострадал. Ведется восстановление его.</w:t>
      </w:r>
    </w:p>
    <w:p w14:paraId="2603EE3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е н д ы</w:t>
      </w:r>
    </w:p>
    <w:p w14:paraId="7FD5932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Моторный - заканчивается монтаж; намечена первая гонка мотора (без капотов ) на 22/10-41 г. Работа тормозится из-за недостатка квалифицированных рабочих по капоту.</w:t>
      </w:r>
    </w:p>
    <w:p w14:paraId="3F7C538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Вооружение - закончен в производстве стенд синхронной установки с 2-мя пулеметами БС и</w:t>
      </w:r>
      <w:r w:rsidRPr="00640820">
        <w:rPr>
          <w:rFonts w:ascii="Times New Roman" w:hAnsi="Times New Roman"/>
          <w:smallCaps/>
          <w:color w:val="000000" w:themeColor="text1"/>
          <w:sz w:val="16"/>
          <w:szCs w:val="16"/>
        </w:rPr>
        <w:t xml:space="preserve"> 2</w:t>
      </w:r>
      <w:r w:rsidRPr="00640820">
        <w:rPr>
          <w:rFonts w:ascii="Times New Roman" w:hAnsi="Times New Roman"/>
          <w:color w:val="000000" w:themeColor="text1"/>
          <w:sz w:val="16"/>
          <w:szCs w:val="16"/>
        </w:rPr>
        <w:t>-мя пулеметами ШКАС; приступлено к испытанию.</w:t>
      </w:r>
    </w:p>
    <w:p w14:paraId="1F9E549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Шасси - незакончен. Во время перевозки утерян.</w:t>
      </w:r>
    </w:p>
    <w:p w14:paraId="181EFA5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СТАТИСПЫТАНИЯ</w:t>
      </w:r>
    </w:p>
    <w:p w14:paraId="7775E5B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Испытывались лишь отдельные узлы центроплана и фюзеляжа; комплектные агрегаты статически ещз не испытывались.</w:t>
      </w:r>
    </w:p>
    <w:p w14:paraId="00FB8E9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ПРОЕКТИРОВАНИЕ.</w:t>
      </w:r>
    </w:p>
    <w:p w14:paraId="4D99949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данное время работы по проектированию ведутся; по разработке лыж, по переделкам агрегатов винто-моторного хозяйства и электро -оборудовакня, в связи с изменением габаритов мотора, по проектиро</w:t>
      </w:r>
      <w:r w:rsidRPr="00640820">
        <w:rPr>
          <w:rFonts w:ascii="Times New Roman" w:hAnsi="Times New Roman"/>
          <w:color w:val="000000" w:themeColor="text1"/>
          <w:sz w:val="16"/>
          <w:szCs w:val="16"/>
        </w:rPr>
        <w:softHyphen/>
        <w:t>ванию пневматического выпуска шасси, по составлению тихнического описания и разработке аэродромного оборудоаания.</w:t>
      </w:r>
    </w:p>
    <w:p w14:paraId="17E7248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Подетальные расчеты заканчиваются</w:t>
      </w:r>
    </w:p>
    <w:p w14:paraId="1970232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w:t>
      </w:r>
    </w:p>
    <w:p w14:paraId="7E019B8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Оснастка для сборки самолета была полностью спроектирована и на заводе 156 заготовлена на 90%; в связи с эвакуацией из Москвы значительное количество оснастки, стапелей и болванок пропало; кроме того, болванки и другие деревянные детали, находились в не</w:t>
      </w:r>
      <w:r w:rsidRPr="00640820">
        <w:rPr>
          <w:rFonts w:ascii="Times New Roman" w:hAnsi="Times New Roman"/>
          <w:color w:val="000000" w:themeColor="text1"/>
          <w:sz w:val="16"/>
          <w:szCs w:val="16"/>
        </w:rPr>
        <w:softHyphen/>
        <w:t>благоприятных условиях и частично повреждены и подлежат тщательной проверке по шаблонам и ремонту.</w:t>
      </w:r>
    </w:p>
    <w:p w14:paraId="1EB7AC3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Часть стапелей для сборки передней и задней ферм фюзеляжа, передней фермы центроплана, моторамы, переднее и задней балочек крыла были утерены. Изготовление новых стапелей задерживается из-за отсутствия квалифицированных работников, работа по розыску оснастки, болванок и шаблонов проведена силами конструкторов.</w:t>
      </w:r>
    </w:p>
    <w:p w14:paraId="075743C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 Ю 3 Е Л Я Ж</w:t>
      </w:r>
    </w:p>
    <w:p w14:paraId="39CF014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статиспытании находится в сборке; производится стыковка передней и хвостовой ферм со средней частью фюзеляжа. Техническая готовность - 60%.</w:t>
      </w:r>
    </w:p>
    <w:p w14:paraId="5571DE0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летную машину заготовлено деталей на 50%.</w:t>
      </w:r>
    </w:p>
    <w:p w14:paraId="0C5FCAC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ЦЕНТРОПЛАН</w:t>
      </w:r>
    </w:p>
    <w:p w14:paraId="51F3D18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Каркас центроплана для статиспытаний подготовлен к сборке; заготовлено деталей 75%.</w:t>
      </w:r>
    </w:p>
    <w:p w14:paraId="11BAAEB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летную машину собраны нервюры, подготовлены к сборке лонжероны и балочки</w:t>
      </w:r>
    </w:p>
    <w:p w14:paraId="41CE826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Техническая ГОТОВНОСТЬ 75%.</w:t>
      </w:r>
    </w:p>
    <w:p w14:paraId="2A6E231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ШАССИ</w:t>
      </w:r>
    </w:p>
    <w:p w14:paraId="5E4498C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статиспытаний заготовлено 75% деталей. На летную машину имеется 60%; к сборке шасси не приступали</w:t>
      </w:r>
    </w:p>
    <w:p w14:paraId="08A69E7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 ПЕРЕНИЕ.</w:t>
      </w:r>
    </w:p>
    <w:p w14:paraId="7B1A9C6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статиспытаний собран стабилизатор и киль; на летную машину заготовлено деталей на 85%.</w:t>
      </w:r>
    </w:p>
    <w:p w14:paraId="46EE7BA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МОТОРНОЕ ОБОРУДОВАНИЕ</w:t>
      </w:r>
    </w:p>
    <w:p w14:paraId="460A688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Заготовлено деталей на летную мапину ня 70%.</w:t>
      </w:r>
    </w:p>
    <w:p w14:paraId="1859832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ВООРУЖЕНИЕ</w:t>
      </w:r>
    </w:p>
    <w:p w14:paraId="3D091CC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Детали на летную машину заготовлены в количестве 25%</w:t>
      </w:r>
    </w:p>
    <w:p w14:paraId="21A2AFB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ОБОРУДОВАНИЕ</w:t>
      </w:r>
    </w:p>
    <w:p w14:paraId="793B4DF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Имеется деталей на летную машину на 20%</w:t>
      </w:r>
    </w:p>
    <w:p w14:paraId="732A610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УПРАВЛЕНИЕ</w:t>
      </w:r>
    </w:p>
    <w:p w14:paraId="3BD85BC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Готово деталей - 72%.</w:t>
      </w:r>
    </w:p>
    <w:p w14:paraId="764590D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НЕДОСТАЮЩИЕ ГОТОВЫЕ ИЗДЕЛИЯ</w:t>
      </w:r>
    </w:p>
    <w:p w14:paraId="65D3A1F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Мотор М107 (в пути ).</w:t>
      </w:r>
    </w:p>
    <w:p w14:paraId="02F94A6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Колеса для шасси 700 х 220</w:t>
      </w:r>
    </w:p>
    <w:p w14:paraId="30A780A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Радиатор масляный ОП- 383</w:t>
      </w:r>
    </w:p>
    <w:p w14:paraId="24FF1B2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РПК-10</w:t>
      </w:r>
    </w:p>
    <w:p w14:paraId="69C07BA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Регулятор ВИШ Р-8</w:t>
      </w:r>
    </w:p>
    <w:p w14:paraId="1854BE7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Аккумуляторо 12А-5</w:t>
      </w:r>
    </w:p>
    <w:p w14:paraId="061C8ED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Фара типа Граймс ФСВ-200</w:t>
      </w:r>
    </w:p>
    <w:p w14:paraId="109F8D6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л ин ке р па рал л ельный</w:t>
      </w:r>
    </w:p>
    <w:p w14:paraId="5400084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Состояние задела по самолету 110 позволяет развернуть работы ио сборке более интенсивно, но из-за недостатка квалифицироеанных рабочих в опытном цехе этого сделать нельзя.</w:t>
      </w:r>
    </w:p>
    <w:p w14:paraId="204A423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Ы В О Д Ы:</w:t>
      </w:r>
    </w:p>
    <w:p w14:paraId="5BDA26B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Сборке, самолета 102 может быть закончена в течение одного месяца.</w:t>
      </w:r>
    </w:p>
    <w:p w14:paraId="5B0B4CC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Сборка самолета 110 может быть закончена в середине января, при условии пополнения квалифицированными работниками и частичному изготовлении деталей в цехах серийного завода (10750).</w:t>
      </w:r>
    </w:p>
    <w:p w14:paraId="5B8D97D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07886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октября 1941 ТИС (А) перелетел из Арзамаса в Казань, где уже находилось ЛИИ. Но там дали указание провести снача</w:t>
      </w:r>
      <w:r w:rsidRPr="00640820">
        <w:rPr>
          <w:rFonts w:ascii="Times New Roman" w:hAnsi="Times New Roman"/>
          <w:color w:val="000000" w:themeColor="text1"/>
          <w:sz w:val="16"/>
          <w:szCs w:val="16"/>
        </w:rPr>
        <w:softHyphen/>
        <w:t>ла заводские испытания, а потом уже доводочные в ЛИИ НКАП. ТИС (А) разобрали и по железной дороге отправили в Новосибирск. Второй и третий экземпляры ТИС строились, но ввиду небольшой производственной мощности завода и загруженности другими заданиями к началу эвакуа</w:t>
      </w:r>
      <w:r w:rsidRPr="00640820">
        <w:rPr>
          <w:rFonts w:ascii="Times New Roman" w:hAnsi="Times New Roman"/>
          <w:color w:val="000000" w:themeColor="text1"/>
          <w:sz w:val="16"/>
          <w:szCs w:val="16"/>
        </w:rPr>
        <w:softHyphen/>
        <w:t>ции они оказались готовы только на 50-60% и по этой причине до конца 1941 г. работа над ними была приос</w:t>
      </w:r>
      <w:r w:rsidRPr="00640820">
        <w:rPr>
          <w:rFonts w:ascii="Times New Roman" w:hAnsi="Times New Roman"/>
          <w:color w:val="000000" w:themeColor="text1"/>
          <w:sz w:val="16"/>
          <w:szCs w:val="16"/>
        </w:rPr>
        <w:softHyphen/>
        <w:t>тановлена (10667).</w:t>
      </w:r>
    </w:p>
    <w:p w14:paraId="5609653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7D8C02" w14:textId="77777777" w:rsidR="007B0085" w:rsidRPr="00640820" w:rsidRDefault="007B0085"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18 октября 1941 ТИС прилетел в Казань, куда перебрался ЛИИ НКАП. Начальник ЛИИ профес</w:t>
      </w:r>
      <w:r w:rsidRPr="00640820">
        <w:rPr>
          <w:rFonts w:ascii="Times New Roman" w:cs="Times New Roman"/>
          <w:color w:val="000000" w:themeColor="text1"/>
          <w:spacing w:val="0"/>
        </w:rPr>
        <w:softHyphen/>
        <w:t>сор А.В. Чесалов решил продол</w:t>
      </w:r>
      <w:r w:rsidRPr="00640820">
        <w:rPr>
          <w:rFonts w:ascii="Times New Roman" w:cs="Times New Roman"/>
          <w:color w:val="000000" w:themeColor="text1"/>
          <w:spacing w:val="0"/>
        </w:rPr>
        <w:softHyphen/>
        <w:t>жить совместные заводские ис</w:t>
      </w:r>
      <w:r w:rsidRPr="00640820">
        <w:rPr>
          <w:rFonts w:ascii="Times New Roman" w:cs="Times New Roman"/>
          <w:color w:val="000000" w:themeColor="text1"/>
          <w:spacing w:val="0"/>
        </w:rPr>
        <w:softHyphen/>
        <w:t>пытания в Новосибирске, где на аэродроме Толмачево организо</w:t>
      </w:r>
      <w:r w:rsidRPr="00640820">
        <w:rPr>
          <w:rFonts w:ascii="Times New Roman" w:cs="Times New Roman"/>
          <w:color w:val="000000" w:themeColor="text1"/>
          <w:spacing w:val="0"/>
        </w:rPr>
        <w:softHyphen/>
        <w:t>вывался филиал института, и куда отправили завод №51 и ОКБ По</w:t>
      </w:r>
      <w:r w:rsidRPr="00640820">
        <w:rPr>
          <w:rFonts w:ascii="Times New Roman" w:cs="Times New Roman"/>
          <w:color w:val="000000" w:themeColor="text1"/>
          <w:spacing w:val="0"/>
        </w:rPr>
        <w:softHyphen/>
        <w:t>ликарпова. Самолет разобрали и отправили к месту назначения по железной дороге.</w:t>
      </w:r>
    </w:p>
    <w:p w14:paraId="08710112" w14:textId="77777777" w:rsidR="007B0085" w:rsidRPr="00640820" w:rsidRDefault="007B0085"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В связи с эвакуацией были свернуты все работы по второ</w:t>
      </w:r>
      <w:r w:rsidRPr="00640820">
        <w:rPr>
          <w:rFonts w:ascii="Times New Roman" w:cs="Times New Roman"/>
          <w:color w:val="000000" w:themeColor="text1"/>
          <w:spacing w:val="0"/>
        </w:rPr>
        <w:softHyphen/>
        <w:t>му и третьему экземплярам само</w:t>
      </w:r>
      <w:r w:rsidRPr="00640820">
        <w:rPr>
          <w:rFonts w:ascii="Times New Roman" w:cs="Times New Roman"/>
          <w:color w:val="000000" w:themeColor="text1"/>
          <w:spacing w:val="0"/>
        </w:rPr>
        <w:softHyphen/>
        <w:t>лета ТИС, хотя для них уже было изготовлено 50-60% деталей, закончены чертежи на новые варианты носовой и центропланной уста</w:t>
      </w:r>
      <w:r w:rsidRPr="00640820">
        <w:rPr>
          <w:rFonts w:ascii="Times New Roman" w:cs="Times New Roman"/>
          <w:color w:val="000000" w:themeColor="text1"/>
          <w:spacing w:val="0"/>
        </w:rPr>
        <w:softHyphen/>
        <w:t>новок пушек ШВАК (15755).</w:t>
      </w:r>
    </w:p>
    <w:p w14:paraId="7242C8EE" w14:textId="77777777" w:rsidR="007B0085" w:rsidRPr="00640820" w:rsidRDefault="007B0085" w:rsidP="00640820">
      <w:pPr>
        <w:pStyle w:val="27"/>
        <w:shd w:val="clear" w:color="auto" w:fill="auto"/>
        <w:spacing w:after="0" w:line="240" w:lineRule="auto"/>
        <w:ind w:firstLine="0"/>
        <w:rPr>
          <w:rFonts w:ascii="Times New Roman" w:cs="Times New Roman"/>
          <w:color w:val="000000" w:themeColor="text1"/>
          <w:spacing w:val="0"/>
        </w:rPr>
      </w:pPr>
    </w:p>
    <w:p w14:paraId="072357E9" w14:textId="77777777" w:rsidR="00D35C3E" w:rsidRPr="00640820" w:rsidRDefault="00D35C3E"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18 октября 1941 ТИС (А) перелетел в Казань, куда перебрал</w:t>
      </w:r>
      <w:r w:rsidRPr="00640820">
        <w:rPr>
          <w:color w:val="000000" w:themeColor="text1"/>
          <w:sz w:val="16"/>
          <w:szCs w:val="16"/>
        </w:rPr>
        <w:softHyphen/>
        <w:t>ся ЛИИ НКАП. Начальник ЛИИ профессор А. В. Чесалов решил продолжить совместные заводские испытания в Новосибирске, где на аэродроме Толмачево организовывался филиал института и куда отправили завод № 51 и ОКБ Поликарпова. Само</w:t>
      </w:r>
      <w:r w:rsidRPr="00640820">
        <w:rPr>
          <w:color w:val="000000" w:themeColor="text1"/>
          <w:sz w:val="16"/>
          <w:szCs w:val="16"/>
        </w:rPr>
        <w:softHyphen/>
        <w:t>лет разобрали и отправили к месту назначения по железной дороге.</w:t>
      </w:r>
    </w:p>
    <w:p w14:paraId="71F04C73" w14:textId="77777777" w:rsidR="00D35C3E" w:rsidRPr="00640820" w:rsidRDefault="00D35C3E"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В связи с эвакуацией были свернуты все рабо</w:t>
      </w:r>
      <w:r w:rsidRPr="00640820">
        <w:rPr>
          <w:color w:val="000000" w:themeColor="text1"/>
          <w:sz w:val="16"/>
          <w:szCs w:val="16"/>
        </w:rPr>
        <w:softHyphen/>
        <w:t>ты по второму и третьему экземплярам самолета ТИС, хотя для них уже было изготовлено 50—60% деталей, закончены чертежи на новые вариан</w:t>
      </w:r>
      <w:r w:rsidRPr="00640820">
        <w:rPr>
          <w:color w:val="000000" w:themeColor="text1"/>
          <w:sz w:val="16"/>
          <w:szCs w:val="16"/>
        </w:rPr>
        <w:softHyphen/>
        <w:t>ты носовой и центропланной установок пушек ШВАК.</w:t>
      </w:r>
    </w:p>
    <w:p w14:paraId="2AB1CA92" w14:textId="77777777" w:rsidR="00D35C3E" w:rsidRPr="00640820" w:rsidRDefault="00D35C3E"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Полеты по программе совместных с ЛИИ НКАП заводских испытаний в Новосибирске продолжил летчик-испытатель ЛИИ Н. В. Гаврилов. В связи с от</w:t>
      </w:r>
      <w:r w:rsidRPr="00640820">
        <w:rPr>
          <w:color w:val="000000" w:themeColor="text1"/>
          <w:sz w:val="16"/>
          <w:szCs w:val="16"/>
        </w:rPr>
        <w:softHyphen/>
        <w:t>сутствием на заводе М. К. Янгеля (будучи начальни</w:t>
      </w:r>
      <w:r w:rsidRPr="00640820">
        <w:rPr>
          <w:color w:val="000000" w:themeColor="text1"/>
          <w:sz w:val="16"/>
          <w:szCs w:val="16"/>
        </w:rPr>
        <w:softHyphen/>
        <w:t>ком эшелона, бросил эшелон и остался в Москве) ведущим инженером по машине был назначен А. В. Потопалов (17500).</w:t>
      </w:r>
    </w:p>
    <w:p w14:paraId="01B50102" w14:textId="77777777" w:rsidR="00D35C3E" w:rsidRPr="00640820" w:rsidRDefault="00D35C3E" w:rsidP="00640820">
      <w:pPr>
        <w:spacing w:after="0" w:line="240" w:lineRule="auto"/>
        <w:jc w:val="both"/>
        <w:rPr>
          <w:rFonts w:ascii="Times New Roman" w:eastAsia="Times New Roman" w:hAnsi="Times New Roman"/>
          <w:color w:val="000000" w:themeColor="text1"/>
          <w:sz w:val="16"/>
          <w:szCs w:val="16"/>
          <w:lang w:eastAsia="ru-RU"/>
        </w:rPr>
      </w:pPr>
    </w:p>
    <w:p w14:paraId="17F465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октября 1941 вышел приказ Саратовского филиала НКАП N 12сф в исполнение приказан НКАП N 999с от 18 сентября 1941 об эвакуации ОКБ при заводе 292 (завод 115) со всем личным составом из г. Саратов в г. Новосибирск на завод 153 (1326,57).</w:t>
      </w:r>
    </w:p>
    <w:p w14:paraId="15E777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BD51F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октября 1941 г приказом № 12сф и 19 сентября 1941 г. приказом № 999с ОКБ завода № 292 29.10.1941 г. переведено со всем личным составом и оборудованием в Новосибирск на завод № 153 НКАП, где образовано ОКБ завода № 153 НКАП, а часть продолжала действовать в Москве. По приказу № 1072сс от 15.10.1941 г. часть завода № 115, остававшаяся в Москве, также эвакуирована в Новосибирск на завод № 153 и влита в состав ОКБ завода № 153. В 03.1942 г. завод и ОКБ реэвакуированы обратно на старую площадь.</w:t>
      </w:r>
    </w:p>
    <w:p w14:paraId="6A28EC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13.09.1942 г. вышло постановление ГКО № 2302 об организации производства двухмоторных легких самолетов с моторами М-11 конструкции Яковлева. 2.11.1942 г. вышло постановление ГКО № 2467сс об улучшении летных данных самолетов Як-1 и Як-7. 9.12.1942 г. - постановления ГКО № 2603 «О дальнейшем уменьшении веса истребителя Як-1 до 2690 кг и увеличении его скорости у земли до 560 км в час и на высоте 5000 м до 670 км в час» и № 2604 об улучшении истребителей Як-1 и Як-7. 28.05.1943 г. вышло постановление ГКО № 3448 об организации производства Як-9 с мотором М-107А; 12.06.1943 г. - постановление ГКО № 3560 о выпуске дальних истребителей Як-9 для целей воздушной разведки. 26.10.1943 г. - постановление ГКО № 4430 о производстве Як-3 с мотором М-105ПФ; в соответствии с пост. ГКО № 4553 от 12.11.1943 г. Як-3 запущен в серию на заводе № 31. 20.02.1944 г. вышли постановления ГКО: № 5219 о переоборудовании Як-9 в вариант истребителя-бомбардировщика и № 5220 о выпуске самолетов Як-9 в варианте истребителей сопровождения. 15.03.1944 г. - постановление ГКО № 5403 о бомбардировочном варианте Як-9. 29.12.1944 г. вышли постановления ГКО о постройке опытных машин: № 7229 - о постройке Як-3 с пушкой НС-37 и УБ 20-мм; № 7230 - о постройке Як-9 с пушкой НС-37 и двумя УБ 20-мм; № 7232 - о постройке реактивного самолета. 10.04.1945 г. вышло постановление ГКО № 8061 об увеличении выпуска Як-9 с пушкой 37 мм и о выпуске самолетов Як-9 с пушкой 45 мм.</w:t>
      </w:r>
    </w:p>
    <w:p w14:paraId="3F02B0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1946 г. на завод передано 78 станков и 162 единицы прочего оборудования завода «Дорнье» в  г. Висмар (Германия).</w:t>
      </w:r>
    </w:p>
    <w:p w14:paraId="65415E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1946 г. в ОКБ переведена часть специалистов из закрытого ОКБ-482 В.М. Мясищева.</w:t>
      </w:r>
    </w:p>
    <w:p w14:paraId="17DCCD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 приказу МАП № 162сс от 27.03.1946 г. был открыт заказ № 357 на постройку экспериментального вертолета Як-Э Г. Ранее приказом по заводу № 49 от 18.03.1946 г. организована бригада геликоптеров во главе с начальником- С.А. Бемовым. В нее вошли 11 чел.: </w:t>
      </w:r>
      <w:r w:rsidRPr="00640820">
        <w:rPr>
          <w:rFonts w:ascii="Times New Roman" w:hAnsi="Times New Roman"/>
          <w:color w:val="000000" w:themeColor="text1"/>
          <w:sz w:val="16"/>
          <w:szCs w:val="16"/>
          <w:lang w:val="en-US"/>
        </w:rPr>
        <w:t>JI</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Вильдгрубе,  Г.И. Огарков, П.Д. Самсонов,  Г.М. Семенов, А.Б. Леканов, А.А. Жиров, Н. Г. Богданов, М.С. Максимов, Н.В. Федюшкин, Б.С. Чиненков. Приказом МАП № 226сс от 16.04.1947 г. был открыт заказ № 389 на постройку второго экземпляра вертолета.</w:t>
      </w:r>
    </w:p>
    <w:p w14:paraId="0CC5B5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ЮОсс от 21.02.1955 г. при заводе № 272 МАП организован филиал ОКБ-115 для производства вертолетов и легких самолетов. Руководитель- И.А. Эрлих. Был филиал на заводе № 292.</w:t>
      </w:r>
    </w:p>
    <w:p w14:paraId="17DD03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После войны в ОКБ создан ряд самолетов, строившихся серийно: боевые- Як-15, Як-17, Як-23, Як-25, Як-27, Як-28; </w:t>
      </w:r>
      <w:r w:rsidRPr="00640820">
        <w:rPr>
          <w:rFonts w:ascii="Times New Roman" w:hAnsi="Times New Roman"/>
          <w:color w:val="000000" w:themeColor="text1"/>
          <w:sz w:val="16"/>
          <w:szCs w:val="16"/>
          <w:lang w:val="en-US"/>
        </w:rPr>
        <w:t>CBBII</w:t>
      </w:r>
      <w:r w:rsidRPr="00640820">
        <w:rPr>
          <w:rFonts w:ascii="Times New Roman" w:hAnsi="Times New Roman"/>
          <w:color w:val="000000" w:themeColor="text1"/>
          <w:sz w:val="16"/>
          <w:szCs w:val="16"/>
        </w:rPr>
        <w:t xml:space="preserve"> Як-38; легкие и спортивные- Як-11, Як-12, Як-18, Як-50, Як-52, Як-55; пассажирские- Як-40, Як-42; планер Як-14; вертолет Як-24. Всего создано более 200 типов и модификаций ЛА, более 100 из них строились серийно.</w:t>
      </w:r>
    </w:p>
    <w:p w14:paraId="14E945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8.01.1947 г. взлетел Як-19 - первый советский истребитель, имевший ТРД с форсажной камерой.</w:t>
      </w:r>
    </w:p>
    <w:p w14:paraId="540A8D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 760-288 от 22.02.1949 г. проводились работы по буксировке за Ту-2 истребителя Як- 23 с возможностью отцепки и повторной сцепки в воздухе.</w:t>
      </w:r>
    </w:p>
    <w:p w14:paraId="33D379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1950 г. в ОКБ-115 под руководством С.М. Алексеева разработана система дозаправки в воздухе типа «шланг-конус» для Ту-4, система буксировки «Бурлаки» для Ту-4.</w:t>
      </w:r>
    </w:p>
    <w:p w14:paraId="52F794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2.08.1947 г. построен первый советский соосный вертолет - экспериментальный «Ш». 3.07.1952 г. взлетел первый советский вертолет продольной схемы Як-24. В соответствии с ПСМ № 1268-711сс от 13.07.1955 г. вертолет Як-24 пнв.</w:t>
      </w:r>
    </w:p>
    <w:p w14:paraId="7F0395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соответствии с ПСМ № 1144-504сс от 10.06.1954 г. и пр. № 240 от 5.04.1954 г. начаты работы по фронтовому бомбардировщику Як-123 с передачей на испытания в 1-м квартале 1956 г. 30.03.1955 г. вышло постановление СМ СССР № 616-381сс «О создании легкого фронтового бомбардировщика и модификации истребителя- перехватчика конструкции Яковлева». В соответствии с ПСМ № 16-10 от 5.01.1956 г. на заводе № 30 выпущена войсковая серия Як-26.</w:t>
      </w:r>
    </w:p>
    <w:p w14:paraId="479096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10.03.1955 г. вышло ПСМ № 448-271сс «Об организации серийного производства двухместных самолётов- разведчиков конструкции Яковлева с двумя двигателями АМ-5».</w:t>
      </w:r>
    </w:p>
    <w:p w14:paraId="10FC21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 544-336с от 22.03.1955 г. Як-12 был принят на снабжение ВВС и ГВФ.</w:t>
      </w:r>
    </w:p>
    <w:p w14:paraId="33AC65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от 31.07.1958 г. велась разработка фронтового разведчика Як-32, в начале 1960 г. работы прекращены.</w:t>
      </w:r>
    </w:p>
    <w:p w14:paraId="77B6BC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 424-261сс от 28.03.1956 г. начата разработка сверхзвукового фронтового бомбардировщика Як-129. Пост. № 1115-578 от 15.08.1956 г. ОКБ поручено разработать вариант самолета с двигателями ВК-11. 5.01.1959 г. вышло ПСМ № 19-7 «О фронтовом бомбардировщике Як-28», 11.03.1960 г. - постановление № 274-108 о модификации Як-28. В соответствии с ПСМ № 1056-457 от 27.11.1961 г. Як-28 пнв и начата разработка разведчика Як-28Р, пост. № 1077-369 от 22.11.1967 г. Як-28Р пнв. В соответствии с ПСМ от 5.02.1962 г. начата разработка носителя химического оружия Як-28СР.</w:t>
      </w:r>
    </w:p>
    <w:p w14:paraId="3871D9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 617-251 от 17.06.1960 г. начат серийный выпуск самолетов-мишеней Як-25РВ.</w:t>
      </w:r>
    </w:p>
    <w:p w14:paraId="02AB04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2.07.1960 г. взлетел Як-30 - первый отечественный реактивный учебный самолет.</w:t>
      </w:r>
    </w:p>
    <w:p w14:paraId="75E874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 правительства от 12.1967 г. было задано создание на базе СВВП Як-36 корабельного штурмовика Як-ЗбМ и аванпроекта сверхзвукового СВВП Як-ЗбМФ. Пост, от 11.11.1977 г. предусматривалось предъявление Як-41 на госиспытания в 1982 г. В 03.1979 г. выполнены эскизные проекты однодвигательного Як-41 и Як-41М с комбинированной СУ (подъемно-маршевым и подъемньми двигателями). В 1986 г. пост, правительства задано создание сверхзвукового Як-41М (Як-141). В 1991 г. после аварии самолета и прекращения финансирования работы по нему прекращены. Разрабатывался проект дальнейшего развития СВВП - Як-43, в 1991 г. работы также прекращены.</w:t>
      </w:r>
    </w:p>
    <w:p w14:paraId="71DB76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1979 г. велась разработка палубного самолета РЛДН Як-44, в 1990 г. утвержден техпроект самолета. В 1992 г. работы прекращены.</w:t>
      </w:r>
    </w:p>
    <w:p w14:paraId="0B5857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Велись также работы по ракетной технике и БПЛА: проект УРВВ К-35 («МВ») для перехватчика Як-35МВ (1959 г.); проект противокорабельного самолета-снаряда К-12 (конец 1950-х); семейство БПЛА (разработка начата в 1960-х) «Пчела» («Шмель», изд. «60»), «Пчела-1» («Шмель-1», изд. «61»).</w:t>
      </w:r>
    </w:p>
    <w:p w14:paraId="570E82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Принимало участие в программе создания ОК «Буран».</w:t>
      </w:r>
    </w:p>
    <w:p w14:paraId="629F17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08.1957 г. - в ведении 1ГУ МАП. С 1959 г. имело открытое наименование- «п/я 1303». С 1966 г.- ММЗ «Скорость». В 1966-89 г. имело наименование «п/я М-5050». С 1990 г. - ММЗ им. А.С. Яковлева. В соответствии с решением Правительства № 2354-р от 16.12.1992 г. преобразовано в АООТ «ОКБ им. А.С. Яковлева», с 1997 г.- ОАО. По решению правительства № 22-р от 9.01.2004 г. вошло в перечень стратегических предприятий.</w:t>
      </w:r>
    </w:p>
    <w:p w14:paraId="0C42D1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04.2004 г. ОАО «ОКБ им. Яковлева» вошло в корпорацию «Иркут».</w:t>
      </w:r>
    </w:p>
    <w:p w14:paraId="7A699F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имело ЛИДБ на территории ЛИИ в Жуковском (2006 г.). На Ленинградском пр., 68 имелись два цеха, построенные в 1940-50-х  г. В них размещалось термическое и гальваническое производство. В 1999 г. цеха закрыты санэпидемстанцией, производство перенесено на производственные площадки ОКБ в Химках и Жуковском. В 2006 г. ОКБ переведено из Москвы в Жуковский на территорию ЛИДБ. Комплекс зданий на Ленинградском пр. площадью 25 тыс.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xml:space="preserve"> (в т.ч. два цеха) в 09.2006 г. продан, ОКБ оставило себе около 20% площадей.</w:t>
      </w:r>
      <w:r w:rsidRPr="00640820">
        <w:rPr>
          <w:rFonts w:ascii="Times New Roman" w:hAnsi="Times New Roman"/>
          <w:color w:val="000000" w:themeColor="text1"/>
          <w:sz w:val="16"/>
          <w:szCs w:val="16"/>
          <w:vertAlign w:val="superscript"/>
        </w:rPr>
        <w:t>1</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vertAlign w:val="superscript"/>
        </w:rPr>
        <w:t>230806</w:t>
      </w:r>
    </w:p>
    <w:p w14:paraId="411844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1990-е-2000-е  г. разработаны проекты: аэротакси Як-112, спортивный Як-54, административные Як-48, Як- 58, Як-77; сверхзвуковой У ТС (совместно с Китаем); пассажирские Як-46, Як-90, Як-142, Як-242, ближнемагистральный МС-21 (совместно с ОКБ Ильюшина); БПЛА «Пчела». Як-130 16.03.2002 г. победил в конкурсе на УТС для ВВС России.</w:t>
      </w:r>
    </w:p>
    <w:p w14:paraId="5AFC03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(1935-56 г.)- А.С. Яковлев. Ген. конструктор (12.1956-84 г.)- г-п академик (1976 г.) А.С. Яковлев {1.04.1906-22.08.1989}, (1984-90 г.)- А.А. Левинских {5.12.1919-}, (02.1991-2000 г.)- А.Н. Дондуков {29.03.1954-}, (-2004-05 Г.)- О.Ф. Демченко {13.10.1944-}, (2005 г.)- А. Гуртовой.</w:t>
      </w:r>
    </w:p>
    <w:p w14:paraId="11251C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1-й зам. ген. конструктора (1992-94 г.)- О.Ф. Демченко, (-1998 г.)- В. Г. Дмитриев (затем- директор ЦАГИ), (2006 г.)- Н.Н. Долженков. Зам. гл. конструктора ОКБ (01.1943- 07.1945 г.)- </w:t>
      </w:r>
      <w:r w:rsidRPr="00640820">
        <w:rPr>
          <w:rFonts w:ascii="Times New Roman" w:hAnsi="Times New Roman"/>
          <w:color w:val="000000" w:themeColor="text1"/>
          <w:sz w:val="16"/>
          <w:szCs w:val="16"/>
          <w:lang w:val="en-US"/>
        </w:rPr>
        <w:t>O</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K</w:t>
      </w:r>
      <w:r w:rsidRPr="00640820">
        <w:rPr>
          <w:rFonts w:ascii="Times New Roman" w:hAnsi="Times New Roman"/>
          <w:color w:val="000000" w:themeColor="text1"/>
          <w:sz w:val="16"/>
          <w:szCs w:val="16"/>
        </w:rPr>
        <w:t>. Антонов, (-1950-60-е  г.-)- Н.К. Скржинский, А.Н. Дондуков. Зам. Ген. конструктора (1959 г.)- Хрупкий, (-1972-75 г.-)- К.Б. Бекирбаев.</w:t>
      </w:r>
    </w:p>
    <w:p w14:paraId="57BB68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(1935-1952 г.)- А.С. Яковлев, (1952 г.-)- А.А. Воропанов, (1969-86 г.)- С.Д. Савин. Ответственный руководитель (22.08.1984-31.12.1990 г.)- А.А. Левинских, (31.12.1990 г.-)- А.Н. Дондуков. Гендиректор (1994-2001; 2003-09 г.-)- О.Ф. Демченко, (2001-03 г.)- А. Г. Ефанов.</w:t>
      </w:r>
    </w:p>
    <w:p w14:paraId="4BA0F4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строительства (06.1937 г.)- А.С. Яковлев, (16.05.1938 г.-)- Н.Л. Кашелевский. 1-й зам. гендиректора (-2005-06 г.-)- Н.Н. Долженков. Зам. директора (06.1937 г.)- А.Н. Седельников. Зам. Гендиректора: (2006 г.)- Н.Н. Долженков; по ВЭД и маркетингу (-2002-05 г.-)- А.И. Гуртовой; по летным испытаниям (1990-е)- А.А. Синицын, (2007 г.)- Р.П. Таскаев.</w:t>
      </w:r>
    </w:p>
    <w:p w14:paraId="78C774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Технический директор (2005 г.)- Н.Н. Долженков.</w:t>
      </w:r>
    </w:p>
    <w:p w14:paraId="16D4C0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(-06.1937-16.05.1938 г.)- А.Н. Седельников, (16.05.1938 г.-)- А.И. Ястребов.</w:t>
      </w:r>
    </w:p>
    <w:p w14:paraId="7AD6E3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Научный руководитель (2003 г.)- А.Н. Дондуков.</w:t>
      </w:r>
    </w:p>
    <w:p w14:paraId="20E51F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конструкторы: (1972 г.)- С. Г. Мордовии (Як-ЗбМ), (6.09.1975 г.-)- А.А. Левинских, (1977 г.)- В.Н. Павлов (Як-38), А. Звягинцев (Як-38), (1991 г.-)- В.А. Митькин (Як-44), (1990-е)- В. Г. Дмитриев, (2002 г.)- К.Ф. Попович (военные самолеты), (2002 г.)- Ю.И. Янкевич (БПЛА), (2002 г.)- А. Г. Рахимбаев (пассажирские самолеты), (2002 г.)- Д.К. Драч (легкие самолеты).</w:t>
      </w:r>
    </w:p>
    <w:p w14:paraId="10F716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конструкторов: (-1972-75 г.-)- В.П. Власов (по корабельному базированию Як-ЗбМ), (1986 г.-)- В. Г. Дмитриев, (1.10.1966 г.-)- А.А. Левинских, (-1967-75 г.-)- С. Г. Мордовии.</w:t>
      </w:r>
    </w:p>
    <w:p w14:paraId="721D3C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И.О. директора завода (02.1952 г.)- Аншценков. Директор (04.1952 г.)- А. Храмов. Гендиректор завода (1992- 94 г.)- О.Ф. Демченко.</w:t>
      </w:r>
    </w:p>
    <w:p w14:paraId="66960F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Технический директор (-2005-06 г.-)- Н.Н. Долженков.</w:t>
      </w:r>
    </w:p>
    <w:p w14:paraId="25CE11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производства (1947 г.)- А.С. Безбородое. Начальник ЛИК (1975 г.)- О.С. Долгих, г-м В. Г. Мухин, летной службы (2007 г.)- Р.П. Таскаев. Гл. контролер (1947 г.)- Н.А. Козлов.</w:t>
      </w:r>
    </w:p>
    <w:p w14:paraId="6D80E4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Ведущие конструкторы: (1945-70 г.)- С.А. Бемов, (-1947-51 г.)- Л.Л. Селяков (Як-25, Як-1000), (1970-е)-  Г.А. Матвеев (Як-41).</w:t>
      </w:r>
    </w:p>
    <w:p w14:paraId="04D7C1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Ведущие инженеры: (ВОВ-)- Е. Г. Адлер (Як-3 с РД-1, Як-14), (-1958-60 г.-)- М.И. Леонов (Як-129, -28Л), (1972 г.)-  Г.А. Матвеев (Як-ЗбМ), (1947 г.)-  Г.И. Огарков, (-1958-67 г.-)- В.Н. Павлов (Як-ЗбМ, -129), (-1960-64 г.-)- Р.С. Петров (Як-28Л, -28И, -28Н), (1952 г.)- Эрлих, (1965 г.)- С.И. Яськов (Як-28БИ).</w:t>
      </w:r>
    </w:p>
    <w:p w14:paraId="641706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Летчики-испытатели: шеф-пилот (1990 г.)- А.А. Синицын; (-1972-79 г.-)- М.С. Дексбах, (2006 г.)- О.О. Кононенко, (1982 г.)- Ю.И. Митиков, (-1963-67 г.-)- В. Г. Мухин, (1991 г.)- В.А. Якимов.</w:t>
      </w:r>
    </w:p>
    <w:p w14:paraId="62591F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самолеты: АИР-7 (19.11.1932 г.); учебно-тренировочные: АИР-9 (2.10.1934 г.), УТ-2 (АИР-10, 11.07.1935 г.), УТ-1 (АИР-14, 05.1936 г.), УТ-3 (АИР-17, 17.05.1938 г.), Як-18 (6.05.1946 г.), Як-18Т (7.08.1967 г.), Як-30 (2.07.1960 г.), Як-52 (8.08.1974 г.), Як-130Д (25.04.1996 г.), Як-130УБС (30.04.2004 г.); легкий АИР-12 (27.07.1936 г.); истребители: Як-1 (И-26, 13.01.1940 г.), Як-1М (Як-3, 28.02.1943 г.), высотный И-28 (1.12.1940 г.), Як-7УТИ (УТИ-26, 23.07.1940 г.), Як-9 (Як-7ДИ, 6.07.1942 г.), Як-9К (23.01.1944 г.), Як-9Б (3.03.1944 г.), Як-ЗРД (22.01.1945 г.), учебный Як-11 (10.07.1945 г.), Як-15 (24.04.1946 г.), Як-17УТИ (6.05.1947 г.), Як-17 (6.06.1947 г.), Як-19 (8.01.1947 г.), Як-23 (8.07.1947 г.), Як-30 (4.09.1948 г.), Як-50 (9.08.1949 г.), перехватчик Як-25 (19.06.1952 г.); высотные Як-27В (15.05.1957 г.), Як-25РВ (1.03.1959 г.); бомбардировщики: ближний Як-2 («22», 23.02.1939 г.); фронтовые: Як-125Б (1955), Як-26 (Як-123, 1955), Як-129 (Як-28, 5.03.1958 г.), Як-28Б («129», изд. «42», пнв в 1959 г.), Як-28Л («28Л», 8.07.1959 г.), Як-28И («28И», 1960), Як-28СР (16.09.1963 г.), Як-28Н (1964), Як-28ИМ (1969); разведчики Як-27Р (28.04.1956 г.), Як-28БИ (1965), Як-28Р (пнв 22.11.1967 г.); СВВП: Як-36 (27.07.1964 г.), Як-38 (Як-ЗбМ, «ВМ», 22.09.1970 г.), Як-38М (30.11.1982 г.), Як-41М (Як-141, 9.03.1987 г., по другой информации 13.06.1990 г.</w:t>
      </w:r>
      <w:r w:rsidRPr="00640820">
        <w:rPr>
          <w:rFonts w:ascii="Times New Roman" w:hAnsi="Times New Roman"/>
          <w:color w:val="000000" w:themeColor="text1"/>
          <w:sz w:val="16"/>
          <w:szCs w:val="16"/>
          <w:vertAlign w:val="superscript"/>
        </w:rPr>
        <w:t>142</w:t>
      </w:r>
      <w:r w:rsidRPr="00640820">
        <w:rPr>
          <w:rFonts w:ascii="Times New Roman" w:hAnsi="Times New Roman"/>
          <w:color w:val="000000" w:themeColor="text1"/>
          <w:sz w:val="16"/>
          <w:szCs w:val="16"/>
        </w:rPr>
        <w:t>); транспортный Як-6 (28.06.1942 г.); многоцелевые: Як-12 (20.10.1947 г.), Як-112 (20.10.1992 г.), Як- 58 (17.04.1994 г.); спортивные: Як-18П (12.12.1957 г.), Як-32 (17.01.1961 г.), Як-50 (22.06.1972 г.), Як-52М (16.04.2004 г.), Як-54 (23.12.1993 г.), Як-55 (28.05.1981 г.); пассажирские: Як-40 (21.10.1966 г.), Як-42 (6.03.1975 г.); проекты самолетов: бомбардировщиков: фронтового Як-35МВ (1950-е); фронтового разведчика Як-32 (1960); СВВП: Як-28ВВ (1960-е), Як-33 (1962), Як-43 (-1991); вертолеты: экспериментальный «Ш» (2.08.1947 г.), Як-24 (3.07.1952 г., пнв 13.07.1955 г.); БПЛА: малоразмерный «60С» (17.06.1983 г.), БЛА-61 «Пчела» (26.04.1986 г., пнв 16.06.1997 г.).</w:t>
      </w:r>
    </w:p>
    <w:p w14:paraId="101C0F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СВВП: Як-41М (1990)- 4 (11982).</w:t>
      </w:r>
    </w:p>
    <w:p w14:paraId="1F89CDED" w14:textId="77777777" w:rsidR="007B19F7" w:rsidRPr="00640820" w:rsidRDefault="007B19F7" w:rsidP="00640820">
      <w:pPr>
        <w:autoSpaceDE w:val="0"/>
        <w:autoSpaceDN w:val="0"/>
        <w:adjustRightInd w:val="0"/>
        <w:spacing w:after="0" w:line="240" w:lineRule="auto"/>
        <w:jc w:val="both"/>
        <w:rPr>
          <w:rFonts w:ascii="Times New Roman" w:hAnsi="Times New Roman"/>
          <w:color w:val="000000" w:themeColor="text1"/>
          <w:sz w:val="16"/>
          <w:szCs w:val="16"/>
        </w:rPr>
      </w:pPr>
    </w:p>
    <w:p w14:paraId="04ADCF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октября 1941 в Шумерлю прибыло ОКБ-28 и 7 ноября выпустили первый планер, а до конца года - 10 (9080).</w:t>
      </w:r>
    </w:p>
    <w:p w14:paraId="1AFC13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39022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18 октября 1941 в Шумерлю прибыл первый эшелон с «хозяйством» ОКБ-28, а уже 7 ноября здесь собрали первый головной десантный планер. До конца года завод №471 изготовил 10 серийных аппаратов, которые по количеству перевозимых десантников получили обозначение Г-11. Десантный планер Г-11 (использовались также обозначения Гр-11 и Гр-29) представлял собой свободно-несущий высокоплан деревянной конструкции с объемным коробчатым фюзеляжем. Металл использовался в малых количествах только в наиболее нагруженных местах. Планер имел неубираемое шасси с колесами размерм 600x250 мм для взлета и посадочную лыжу для посадки. В случае посадки на лыжу колесное шасси, оборудованное «ломающимся подкосом», сдвигалось назад-вверх. Носовая часть фюзеляжа представляла собой одноместную кабину летчика с органами управления, минимальным комплектом приборов и сбрасываемым фонарем. За ней располагался десантно-грузовой отсек длиной 3,24 м и шириной 1,36–1,25 м. Десантники сидели на дощатых скамейках, расположенных вдоль бортов фюзеляжа лицом друг к другу. Для погрузки планера и его покидания в бортах фюзеляжа имелись сбрасываемые дверцы размером 1,2x0,7м., а в потолке и в полу — также сбрасываемые люки размером 0,51x0,46м. Кроме того, в каждом борту было по дпо два застекленных прямоугольных окна-иллюминатора, которые могли открываться для ведения </w:t>
      </w:r>
      <w:r w:rsidRPr="00640820">
        <w:rPr>
          <w:rFonts w:ascii="Times New Roman" w:hAnsi="Times New Roman"/>
          <w:color w:val="000000" w:themeColor="text1"/>
          <w:sz w:val="16"/>
          <w:szCs w:val="16"/>
        </w:rPr>
        <w:lastRenderedPageBreak/>
        <w:t xml:space="preserve">стрельбы из личного оружия. Производство Г-11 нарастало вплоть до июня 1942 г., когда выяснилось, что военные попросту не готовы к приему большого числа десантных планеров. Не хватало самолетов-буксировщиков и пилотов-планеристов. Так как хранение планеров в течение длительного времени не предусматривалось, их нахождение под открытым небом могло привести к снижению прочности и надежности. В результате производство Г-11 в 1942 г. прекратили, личный состав ОКБ-28 присоединили к техперсоналу завода №471, переориентированного на производство самолетов Як-6, а Грибовский убыл в распоряжение Наркомата авиапромышленности. Всего до прекращения выпуска в 1942 г. завод №471 выпустил 127 Г-11(плюс 11 в 1941 г.), а завод №494 -170 планеров. Таким образом, суммарный выпуск к осени 1942 г. составил 308 экземпляров Г-11.  (11810). </w:t>
      </w:r>
    </w:p>
    <w:p w14:paraId="5B7E9A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2E737B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октября 1941 на заво</w:t>
      </w:r>
      <w:r w:rsidRPr="00640820">
        <w:rPr>
          <w:rFonts w:ascii="Times New Roman" w:hAnsi="Times New Roman"/>
          <w:color w:val="000000" w:themeColor="text1"/>
          <w:sz w:val="16"/>
          <w:szCs w:val="16"/>
        </w:rPr>
        <w:softHyphen/>
        <w:t>дыы № 471 в городе Шумерля и № 494 в поселке Козловка (оба в Чувашии) эвакуировали ос</w:t>
      </w:r>
      <w:r w:rsidRPr="00640820">
        <w:rPr>
          <w:rFonts w:ascii="Times New Roman" w:hAnsi="Times New Roman"/>
          <w:color w:val="000000" w:themeColor="text1"/>
          <w:sz w:val="16"/>
          <w:szCs w:val="16"/>
        </w:rPr>
        <w:softHyphen/>
        <w:t>тальных работников конструкторского бюро. Вместе с ними прибыл неболь</w:t>
      </w:r>
      <w:r w:rsidRPr="00640820">
        <w:rPr>
          <w:rFonts w:ascii="Times New Roman" w:hAnsi="Times New Roman"/>
          <w:color w:val="000000" w:themeColor="text1"/>
          <w:sz w:val="16"/>
          <w:szCs w:val="16"/>
        </w:rPr>
        <w:softHyphen/>
        <w:t>шой задел деталей и узлов.</w:t>
      </w:r>
    </w:p>
    <w:p w14:paraId="1B520E8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ноября изготовили первый серий</w:t>
      </w:r>
      <w:r w:rsidRPr="00640820">
        <w:rPr>
          <w:rFonts w:ascii="Times New Roman" w:hAnsi="Times New Roman"/>
          <w:color w:val="000000" w:themeColor="text1"/>
          <w:sz w:val="16"/>
          <w:szCs w:val="16"/>
        </w:rPr>
        <w:softHyphen/>
        <w:t>ный экземпляр Г-11. Он немного отли</w:t>
      </w:r>
      <w:r w:rsidRPr="00640820">
        <w:rPr>
          <w:rFonts w:ascii="Times New Roman" w:hAnsi="Times New Roman"/>
          <w:color w:val="000000" w:themeColor="text1"/>
          <w:sz w:val="16"/>
          <w:szCs w:val="16"/>
        </w:rPr>
        <w:softHyphen/>
        <w:t>чался от Гр-29. Крыло для изменения центровки сдвинули немного назад, площадь элеронов увеличили. Шасси получило предусмотренные проектом «ломающиеся» подкосы. Металличес</w:t>
      </w:r>
      <w:r w:rsidRPr="00640820">
        <w:rPr>
          <w:rFonts w:ascii="Times New Roman" w:hAnsi="Times New Roman"/>
          <w:color w:val="000000" w:themeColor="text1"/>
          <w:sz w:val="16"/>
          <w:szCs w:val="16"/>
        </w:rPr>
        <w:softHyphen/>
        <w:t>кий каркас фонаря пилотской кабины заменили деревянным. Теперь при не</w:t>
      </w:r>
      <w:r w:rsidRPr="00640820">
        <w:rPr>
          <w:rFonts w:ascii="Times New Roman" w:hAnsi="Times New Roman"/>
          <w:color w:val="000000" w:themeColor="text1"/>
          <w:sz w:val="16"/>
          <w:szCs w:val="16"/>
        </w:rPr>
        <w:softHyphen/>
        <w:t>обходимости он целиком откидывался назад и сбрасывался. У пилота уста</w:t>
      </w:r>
      <w:r w:rsidRPr="00640820">
        <w:rPr>
          <w:rFonts w:ascii="Times New Roman" w:hAnsi="Times New Roman"/>
          <w:color w:val="000000" w:themeColor="text1"/>
          <w:sz w:val="16"/>
          <w:szCs w:val="16"/>
        </w:rPr>
        <w:softHyphen/>
        <w:t>новили компас. По требованию воен</w:t>
      </w:r>
      <w:r w:rsidRPr="00640820">
        <w:rPr>
          <w:rFonts w:ascii="Times New Roman" w:hAnsi="Times New Roman"/>
          <w:color w:val="000000" w:themeColor="text1"/>
          <w:sz w:val="16"/>
          <w:szCs w:val="16"/>
        </w:rPr>
        <w:softHyphen/>
        <w:t>ных планёр получил комплект элект- роооборудования для полётов ночью: посадочную фару, плафон освещения в грузовой кабине, сигнальную лампу у пилота и аккумулятор 12А-30.</w:t>
      </w:r>
    </w:p>
    <w:p w14:paraId="3604F63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31 декабря через военную приёмку прошла первая серия из десяти Г-11. Облёт первых серийных аппаратов по</w:t>
      </w:r>
      <w:r w:rsidRPr="00640820">
        <w:rPr>
          <w:rFonts w:ascii="Times New Roman" w:hAnsi="Times New Roman"/>
          <w:color w:val="000000" w:themeColor="text1"/>
          <w:sz w:val="16"/>
          <w:szCs w:val="16"/>
        </w:rPr>
        <w:softHyphen/>
        <w:t>казал, что сдвиг крыла назад привёл к появлению тряски хвостового оперения при выпуске щитков. На Гр-29 такого явления не наблюдалось. Тряску быстро устранили введением перфорации на центропланных секциях щитков.</w:t>
      </w:r>
    </w:p>
    <w:p w14:paraId="776752C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Уже после поступления Г-11 в стро</w:t>
      </w:r>
      <w:r w:rsidRPr="00640820">
        <w:rPr>
          <w:rFonts w:ascii="Times New Roman" w:hAnsi="Times New Roman"/>
          <w:color w:val="000000" w:themeColor="text1"/>
          <w:sz w:val="16"/>
          <w:szCs w:val="16"/>
        </w:rPr>
        <w:softHyphen/>
        <w:t>евые части обнаружился реверс консолей при отклонении элеронов. В частности, при проведении войсковых испытаний по этой причине погиб пилот В. Романов. Он на буксире перегонял планёр с одного аэродрома на другой. При сильной болтанке Г-11 отцепился от буксировщика, потерял управление и упал. Вместе с Романовым погиб на</w:t>
      </w:r>
      <w:r w:rsidRPr="00640820">
        <w:rPr>
          <w:rFonts w:ascii="Times New Roman" w:hAnsi="Times New Roman"/>
          <w:color w:val="000000" w:themeColor="text1"/>
          <w:sz w:val="16"/>
          <w:szCs w:val="16"/>
        </w:rPr>
        <w:softHyphen/>
        <w:t>ходившийся на борту механик.</w:t>
      </w:r>
    </w:p>
    <w:p w14:paraId="51DFAD9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Это было связано как с увеличением площади элеронов (и, соответствен</w:t>
      </w:r>
      <w:r w:rsidRPr="00640820">
        <w:rPr>
          <w:rFonts w:ascii="Times New Roman" w:hAnsi="Times New Roman"/>
          <w:color w:val="000000" w:themeColor="text1"/>
          <w:sz w:val="16"/>
          <w:szCs w:val="16"/>
        </w:rPr>
        <w:softHyphen/>
        <w:t>но, с ростом усилий, передававшихся на конструкцию крыла), так и с низким качеством фанеры. В качестве меры противодействия часть полотна на кон</w:t>
      </w:r>
      <w:r w:rsidRPr="00640820">
        <w:rPr>
          <w:rFonts w:ascii="Times New Roman" w:hAnsi="Times New Roman"/>
          <w:color w:val="000000" w:themeColor="text1"/>
          <w:sz w:val="16"/>
          <w:szCs w:val="16"/>
        </w:rPr>
        <w:softHyphen/>
        <w:t>солях заменили фанерой, которая шла теперь до задней косой балки (вспомо</w:t>
      </w:r>
      <w:r w:rsidRPr="00640820">
        <w:rPr>
          <w:rFonts w:ascii="Times New Roman" w:hAnsi="Times New Roman"/>
          <w:color w:val="000000" w:themeColor="text1"/>
          <w:sz w:val="16"/>
          <w:szCs w:val="16"/>
        </w:rPr>
        <w:softHyphen/>
        <w:t>гательного лонжерона). Это увеличило жёсткость консолей (12266).</w:t>
      </w:r>
    </w:p>
    <w:p w14:paraId="0D12E867"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296A5E88"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октября 1941 в Шумерлю прибыл первый эшелон с «хозяйством» ОКБ-28, а уже 7 ноября здесь собрали первый головной десантный планер. До конца года завод №471 изготовил 10 серийных аппаратов, которые по количеству перевозимых десантников получили обозначение Г-11.</w:t>
      </w:r>
    </w:p>
    <w:p w14:paraId="70B95A33"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Десантный планер Г-11 (использовались также обозначения Гр-11 и Гр-29) представлял собой свободнонесущий высокоплан деревянной конструкции с объемным коробчатым фюзеляжем. Металл использовался в малых количествах только в наиболее нагруженных местах.</w:t>
      </w:r>
    </w:p>
    <w:p w14:paraId="11C64BB8"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Планер имел неубираемое шасси с колесами размером 600×250 мм для взлета и посадочную лыжу для посадки. В случае посадки на лыжу колесное шасси, оборудованное «ломающимся подкосом», сдвигалось назад-вверх.</w:t>
      </w:r>
    </w:p>
    <w:p w14:paraId="7F53889D"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Носовая часть фюзеляжа представляла собой одноместную кабину летчика с органами управления, минимальным комплектом приборов и сбрасываемым фонарем. За ней располагался десантно-грузовой отсек длиной 3,24 м и шириной 1,36-1,25 м. Десантники сидели на дощатых скамейках, расположенных вдоль бортов фюзеляжа лицом друг к другу.</w:t>
      </w:r>
    </w:p>
    <w:p w14:paraId="42ACE6C5"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погрузки планера и его покидания в бортах фюзеляжа имелись сбрасываемые дверцы размером 1,2×0,7м, а в потолке и в полу - также сбрасываемые люки размером 0,51×0,46 м. Кроме того, в каждом борту было по два застекленных прямоугольных окна-иллюминатора, которые могли открываться для ведения стрельбы из личного оружия.</w:t>
      </w:r>
    </w:p>
    <w:p w14:paraId="7E1DF798"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Г-11 нарастало вплоть до июня 1942 г., когда выяснилось, что военные попросту не готовы к приему большого числа десантных планеров. Не хватало самолетов-буксировщиков и пилотов-планеристов. Так как хранение планеров в течение длительного времени не предусматривалось, их нахождение под открытым небом могло привести к снижению прочности и надежности.</w:t>
      </w:r>
    </w:p>
    <w:p w14:paraId="5EB06EDD"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результате производство Г-11 в 1942 г. прекратили, личный состав ОКБ-28 присоединили к техперсоналу завода №471, переориентированного на производство самолетов Як-6, а Грибовский убыл в распоряжение Наркомага авиапромышленности.</w:t>
      </w:r>
    </w:p>
    <w:p w14:paraId="3199FCD0"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 до прекращения выпуска в 1942 г. завод №471 выпустил 127 Г-11 (плюс 11 в 1941 г.), а завод №494 -170 планеров. Таким образом, суммарный выпуск к осени 1942 г. составил 308 экземпляров Г-11.</w:t>
      </w:r>
    </w:p>
    <w:p w14:paraId="7B8479F2"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1943 г. производство планеров восстановили на заводе в Рязани, где Грибовского назначили Главным конструктором. Первый «рязанский» Г-11 испытали в марте 1944 г. Планерист-испытатель старший лейтенант Чубуков написал в своем отзыве:</w:t>
      </w:r>
    </w:p>
    <w:p w14:paraId="24473692" w14:textId="77777777" w:rsidR="00165A9C" w:rsidRPr="00640820" w:rsidRDefault="00165A9C" w:rsidP="00640820">
      <w:pPr>
        <w:shd w:val="clear" w:color="auto" w:fill="FFFFFF"/>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«Управляемость планера достаточная. Запас рулей вполне обеспечивает вывод планера из самого тяжелого положения. Управление Г-11 подобрано чрезвычайно удачно, будучи не таким строгим, как у планера А-7, вместе с тем обеспечивает полную управляемость в трудных условиях при любых вариантах загрузки. При выполнении фигур пилотажа - штопора, переворота и бочки планер быстро выходит без запаздывания в нормальное положение. Посадка во всех вариантах загрузки проста и выполняется на малых скоростях».</w:t>
      </w:r>
    </w:p>
    <w:p w14:paraId="5B054A0A"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ходе серийного производства в конструкцию Г-11 вносились изменения. Начиная с экземпляра №21 на левом борту фюзеляжа оборудовали увеличенный грузовой люк шириной 1400 мм, а дверь на правом борту упразднили. С октября 1944 г. выпускались планеры с двойным управлением, амортизацией посадочной лыжи и дополнительными усилениями конструкции. В серии эти аппараты, дополнительным внешним отличием которых стал небольшой форкиль, получили обозначение Г-11У.</w:t>
      </w:r>
    </w:p>
    <w:p w14:paraId="74F65B04"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Г-11У прекратилось в середине 1945 г., однако, спустя год возобновилось и продолжалось вплоть до 1948 г. (точных данных о количестве Г-11, произведенных в этот период, не обнаружено).</w:t>
      </w:r>
    </w:p>
    <w:p w14:paraId="2A0E8C2F"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Использование Г-11 в период Великой Отечественной войны показало их высокую надежность и достаточную эффективность. Особенно активно планеры использовались для снабжения партизан в 1943-44 гг. В августе 1944-го конструктор Грибовский за доставку грузов планерами Г-11 партизанам Белоруссии был награжден медалью «Партизан Отечественной войны».</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677"/>
        <w:gridCol w:w="6645"/>
      </w:tblGrid>
      <w:tr w:rsidR="00643896" w:rsidRPr="00640820" w14:paraId="07B123B9" w14:textId="77777777" w:rsidTr="000D3BCB">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B24B7E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Модификация</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AB0B23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Г-11</w:t>
            </w:r>
          </w:p>
        </w:tc>
      </w:tr>
      <w:tr w:rsidR="00643896" w:rsidRPr="00640820" w14:paraId="452B08DD" w14:textId="77777777" w:rsidTr="000D3BCB">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1B437D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Размах крыла, м</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9CEFF7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18.00</w:t>
            </w:r>
          </w:p>
        </w:tc>
      </w:tr>
      <w:tr w:rsidR="00643896" w:rsidRPr="00640820" w14:paraId="6EBBCFD9" w14:textId="77777777" w:rsidTr="000D3BCB">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EFFEC9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Длина, м</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B2327D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10.84</w:t>
            </w:r>
          </w:p>
        </w:tc>
      </w:tr>
      <w:tr w:rsidR="00643896" w:rsidRPr="00640820" w14:paraId="60EB14D7" w14:textId="77777777" w:rsidTr="000D3BCB">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6219DE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Высота, м</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2B2D03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r>
      <w:tr w:rsidR="00643896" w:rsidRPr="00640820" w14:paraId="76B069B9" w14:textId="77777777" w:rsidTr="000D3BCB">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58B58C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крыла, м²</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DDA31A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30.00</w:t>
            </w:r>
          </w:p>
        </w:tc>
      </w:tr>
      <w:tr w:rsidR="00643896" w:rsidRPr="00640820" w14:paraId="5E27EC3A" w14:textId="77777777" w:rsidTr="000D3BCB">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8D4E10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Масса, кг</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9C9CF7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r>
      <w:tr w:rsidR="00643896" w:rsidRPr="00640820" w14:paraId="055DCCAE" w14:textId="77777777" w:rsidTr="000D3BCB">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C9E668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пустого снаряженного</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3D033B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960</w:t>
            </w:r>
          </w:p>
        </w:tc>
      </w:tr>
      <w:tr w:rsidR="00643896" w:rsidRPr="00640820" w14:paraId="6BE7014D" w14:textId="77777777" w:rsidTr="000D3BCB">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A81DBB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максимальная взлетная</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2D6F7A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1660</w:t>
            </w:r>
          </w:p>
        </w:tc>
      </w:tr>
      <w:tr w:rsidR="00643896" w:rsidRPr="00640820" w14:paraId="23DA13D9" w14:textId="77777777" w:rsidTr="000D3BCB">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829E60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Максимальная скорость, км/ч</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A6B5CF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220</w:t>
            </w:r>
          </w:p>
        </w:tc>
      </w:tr>
      <w:tr w:rsidR="00643896" w:rsidRPr="00640820" w14:paraId="51841A12" w14:textId="77777777" w:rsidTr="000D3BCB">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038347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Полезная нагрузка:</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74086E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11 десантников</w:t>
            </w:r>
          </w:p>
        </w:tc>
      </w:tr>
    </w:tbl>
    <w:p w14:paraId="53E8F7B3" w14:textId="77777777" w:rsidR="00165A9C" w:rsidRPr="00640820" w:rsidRDefault="00165A9C" w:rsidP="00640820">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(12682).</w:t>
      </w:r>
    </w:p>
    <w:p w14:paraId="2B737069" w14:textId="77777777" w:rsidR="00165A9C" w:rsidRPr="00640820" w:rsidRDefault="00165A9C" w:rsidP="00640820">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p>
    <w:p w14:paraId="06AC32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октября 1941 заводом № 84 была сдана последняя машина изготовленная в г. Химки. За 1941 год, с января до октября включительно, было изготовлено и сдано 237 самолетов, а всего а г. Химки завод изготовил 295 самолетов ПС-84 (9461).</w:t>
      </w:r>
    </w:p>
    <w:p w14:paraId="171D27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4896A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октября 1941 г. инструментальный завод № 6 (Завод № 6 Оргавиапрома НКАП /г. Москва; г. Кемерово/), созданный 4 ноября 1940 г. на базе экспериментальных сварочных мастерских, в совю очередь, созданных 19 августа 1939 г. на территории одного из цехов (№ 5) комбината «Дирижаблестрой», который размещался на ул. Большой Никитской с 1933г., был эвакуирован в г. Киселевск Новосибирской обл. на территорию мастерских «Шахтстроя», однако уже на месте выяснилось, что площади не приспособлены для размещения, и принято решение об отправке завода в г. Кемерово. Эшелон с оборудованием завода прибыл в г. Кемерово на площадку недостроенного коксохимического завода в 11.1941 г. Предприятие размещено в части здания ВОХР: на первом этаже - производственные цеха, на втором и третьем - лаборатории и управление. Сюда же эвакуирован завод №307 НКАП. В годы войны - производство газовых горелок для сварки, сварочных трансформаторов, машин стыковой сварки. С 05.1941 г. завод получил статус Государственного Союзного завода. 2 июня 1944г. по приказу № 377с завод № 6 ОАП НКАП был переименован в ГС завод № 493 НКАП.</w:t>
      </w:r>
    </w:p>
    <w:p w14:paraId="36B655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(1941 г.)- 213 чел., (1942г.)- 250-270 чел. Директор (1939-40 г.)- М.М. Сакаллы, (1940-42г.)- А.Г. Иванов, (1942-46г.)- В.В. Дьяченко (11982).</w:t>
      </w:r>
    </w:p>
    <w:p w14:paraId="0BE7F0DE" w14:textId="77777777" w:rsidR="007B19F7" w:rsidRPr="00640820" w:rsidRDefault="007B19F7"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C101E88"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717035D9"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8CEBBF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октября 1941 г. в Ленинграде был собран последний танк КВ. Все</w:t>
      </w:r>
      <w:r w:rsidRPr="00640820">
        <w:rPr>
          <w:rFonts w:ascii="Times New Roman" w:hAnsi="Times New Roman"/>
          <w:color w:val="000000" w:themeColor="text1"/>
          <w:sz w:val="16"/>
          <w:szCs w:val="16"/>
        </w:rPr>
        <w:softHyphen/>
        <w:t>го за 1941 г. Кировский завод изготовил и передал Крас</w:t>
      </w:r>
      <w:r w:rsidRPr="00640820">
        <w:rPr>
          <w:rFonts w:ascii="Times New Roman" w:hAnsi="Times New Roman"/>
          <w:color w:val="000000" w:themeColor="text1"/>
          <w:sz w:val="16"/>
          <w:szCs w:val="16"/>
        </w:rPr>
        <w:softHyphen/>
        <w:t>ной Армии 885 тяжелых танков (10782).</w:t>
      </w:r>
    </w:p>
    <w:p w14:paraId="2E0EEA5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41218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сентября 1941 г. приказом по НКТП № 15сс завод № 183 должен был в пятидневный срок отрабо</w:t>
      </w:r>
      <w:r w:rsidRPr="00640820">
        <w:rPr>
          <w:rFonts w:ascii="Times New Roman" w:hAnsi="Times New Roman"/>
          <w:color w:val="000000" w:themeColor="text1"/>
          <w:sz w:val="16"/>
          <w:szCs w:val="16"/>
        </w:rPr>
        <w:softHyphen/>
        <w:t>тать установку авиамотора М-17 на танк Т-34 и обеспечить заводы СТЗ и № 112 необходимыми чертежами и техдоку</w:t>
      </w:r>
      <w:r w:rsidRPr="00640820">
        <w:rPr>
          <w:rFonts w:ascii="Times New Roman" w:hAnsi="Times New Roman"/>
          <w:color w:val="000000" w:themeColor="text1"/>
          <w:sz w:val="16"/>
          <w:szCs w:val="16"/>
        </w:rPr>
        <w:softHyphen/>
        <w:t>ментацией. Однако завод № 183 в то время находился «на ко</w:t>
      </w:r>
      <w:r w:rsidRPr="00640820">
        <w:rPr>
          <w:rFonts w:ascii="Times New Roman" w:hAnsi="Times New Roman"/>
          <w:color w:val="000000" w:themeColor="text1"/>
          <w:sz w:val="16"/>
          <w:szCs w:val="16"/>
        </w:rPr>
        <w:softHyphen/>
        <w:t>лесах» и закончить работу во время не смог. 4 октября 1941 г. на заседании ГКО слушался вопрос об установке танковых и авиамоторов М-17Т и М-17Ф на танки Т-34 и КВ взамен ди</w:t>
      </w:r>
      <w:r w:rsidRPr="00640820">
        <w:rPr>
          <w:rFonts w:ascii="Times New Roman" w:hAnsi="Times New Roman"/>
          <w:color w:val="000000" w:themeColor="text1"/>
          <w:sz w:val="16"/>
          <w:szCs w:val="16"/>
        </w:rPr>
        <w:softHyphen/>
        <w:t>зель-мотора В-2. Тогда же эта замена была одобрена (10782).</w:t>
      </w:r>
    </w:p>
    <w:p w14:paraId="16B0705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D399B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октября 1941 г. ночью со станции Харьков-Балашовский ушел последний 43-й эшелон с оборудованием и людьми завода № 183. Всего с завода было эвакуировано 5234 квалифицированных работника, 2721 металлорежу</w:t>
      </w:r>
      <w:r w:rsidRPr="00640820">
        <w:rPr>
          <w:rFonts w:ascii="Times New Roman" w:hAnsi="Times New Roman"/>
          <w:color w:val="000000" w:themeColor="text1"/>
          <w:sz w:val="16"/>
          <w:szCs w:val="16"/>
        </w:rPr>
        <w:softHyphen/>
        <w:t>щий станок, 435 сварочных аппаратов, 3282 приспособления, 754 штам</w:t>
      </w:r>
      <w:r w:rsidRPr="00640820">
        <w:rPr>
          <w:rFonts w:ascii="Times New Roman" w:hAnsi="Times New Roman"/>
          <w:color w:val="000000" w:themeColor="text1"/>
          <w:sz w:val="16"/>
          <w:szCs w:val="16"/>
        </w:rPr>
        <w:softHyphen/>
        <w:t>па, 820 000 наименований инструмента, 110 вагонов деталей и заготовок и 348 вагонов различных материалов и комплектующих изделий. В сен</w:t>
      </w:r>
      <w:r w:rsidRPr="00640820">
        <w:rPr>
          <w:rFonts w:ascii="Times New Roman" w:hAnsi="Times New Roman"/>
          <w:color w:val="000000" w:themeColor="text1"/>
          <w:sz w:val="16"/>
          <w:szCs w:val="16"/>
        </w:rPr>
        <w:softHyphen/>
        <w:t>тябре 1941 г. в связи с началом эвакуации завод сдал военным предста</w:t>
      </w:r>
      <w:r w:rsidRPr="00640820">
        <w:rPr>
          <w:rFonts w:ascii="Times New Roman" w:hAnsi="Times New Roman"/>
          <w:color w:val="000000" w:themeColor="text1"/>
          <w:sz w:val="16"/>
          <w:szCs w:val="16"/>
        </w:rPr>
        <w:softHyphen/>
        <w:t>вителям только 228 танков. В середине октября 1941 г., т.е. к моменту завершения эвакуации завода из Харькова, коллектив завода передал военным представителям 41 танк Т-34 октябрьской сборки. Осенью 1941 г. эвакуированному в Нижний Тагил заводу № 183 были предо</w:t>
      </w:r>
      <w:r w:rsidRPr="00640820">
        <w:rPr>
          <w:rFonts w:ascii="Times New Roman" w:hAnsi="Times New Roman"/>
          <w:color w:val="000000" w:themeColor="text1"/>
          <w:sz w:val="16"/>
          <w:szCs w:val="16"/>
        </w:rPr>
        <w:softHyphen/>
        <w:t>ставлены просторные цехи Уралвагонзавода, а также мощное сталели</w:t>
      </w:r>
      <w:r w:rsidRPr="00640820">
        <w:rPr>
          <w:rFonts w:ascii="Times New Roman" w:hAnsi="Times New Roman"/>
          <w:color w:val="000000" w:themeColor="text1"/>
          <w:sz w:val="16"/>
          <w:szCs w:val="16"/>
        </w:rPr>
        <w:softHyphen/>
        <w:t>тейное и кузнечно-прессовое оборудование, теплоэлектроцентраль и га</w:t>
      </w:r>
      <w:r w:rsidRPr="00640820">
        <w:rPr>
          <w:rFonts w:ascii="Times New Roman" w:hAnsi="Times New Roman"/>
          <w:color w:val="000000" w:themeColor="text1"/>
          <w:sz w:val="16"/>
          <w:szCs w:val="16"/>
        </w:rPr>
        <w:softHyphen/>
        <w:t>зогенераторная станция. На новой площадке в завод № 183 влились Мариупольский метал</w:t>
      </w:r>
      <w:r w:rsidRPr="00640820">
        <w:rPr>
          <w:rFonts w:ascii="Times New Roman" w:hAnsi="Times New Roman"/>
          <w:color w:val="000000" w:themeColor="text1"/>
          <w:sz w:val="16"/>
          <w:szCs w:val="16"/>
        </w:rPr>
        <w:softHyphen/>
        <w:t>лургический завод и Московский станкостроительный завод им. Орд</w:t>
      </w:r>
      <w:r w:rsidRPr="00640820">
        <w:rPr>
          <w:rFonts w:ascii="Times New Roman" w:hAnsi="Times New Roman"/>
          <w:color w:val="000000" w:themeColor="text1"/>
          <w:sz w:val="16"/>
          <w:szCs w:val="16"/>
        </w:rPr>
        <w:softHyphen/>
        <w:t>жоникидзе. Расстановка оборудования на новой площадке завода осу</w:t>
      </w:r>
      <w:r w:rsidRPr="00640820">
        <w:rPr>
          <w:rFonts w:ascii="Times New Roman" w:hAnsi="Times New Roman"/>
          <w:color w:val="000000" w:themeColor="text1"/>
          <w:sz w:val="16"/>
          <w:szCs w:val="16"/>
        </w:rPr>
        <w:softHyphen/>
        <w:t>ществлялась из расчета выпуска 20 танков в сутки (10703).</w:t>
      </w:r>
    </w:p>
    <w:p w14:paraId="15BC097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C334B3"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00C9B283"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4D20C41" w14:textId="77777777" w:rsidR="007B19F7" w:rsidRPr="00640820" w:rsidRDefault="007B19F7"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18 октября </w:t>
      </w:r>
      <w:r w:rsidRPr="00640820">
        <w:rPr>
          <w:rFonts w:ascii="Times New Roman" w:hAnsi="Times New Roman"/>
          <w:color w:val="000000" w:themeColor="text1"/>
          <w:sz w:val="16"/>
          <w:szCs w:val="16"/>
        </w:rPr>
        <w:t>в 1941 году утреннее сообщение Совинформбюро:</w:t>
      </w:r>
    </w:p>
    <w:p w14:paraId="192CEA17" w14:textId="77777777" w:rsidR="007B19F7" w:rsidRPr="00640820" w:rsidRDefault="007B19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18 октября наши войска продолжали вести бои на всём фронте. Особенно напряжённые бои шли на Западном направлении фронта.</w:t>
      </w:r>
    </w:p>
    <w:p w14:paraId="6B1D3671" w14:textId="77777777" w:rsidR="007B19F7" w:rsidRPr="00640820" w:rsidRDefault="007B19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Успешно действуют партизанские отряды в оккупированных немцами районах Белоруссии. Командир одного из отрядов тов. К. прислал письмо, в котором рассказывает о боевых операциях за последнее время. Ниже приводятся отдельные выдержки из этого письма:</w:t>
      </w:r>
    </w:p>
    <w:p w14:paraId="5ABE6ED5" w14:textId="77777777" w:rsidR="007B19F7" w:rsidRPr="00640820" w:rsidRDefault="007B19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«Мы большей частью действуем по ночам. Это позволяет совершать внезапные нападения и наносить врагу большие потери малыми силами. Недавно в четырёх километрах от деревни М. появился немецкий обоз. Нас было немного, но мы решили уничтожить обоз. Когда обоз к нам приблизился, мы по команде бросили шесть связок гранат. Среди охраны началась паника. Воспользовавшись этим, мы перебили до 20 фашистских солдат. Бойцы отряда захватили 4 пулемёта, 2 миномёта, до 100 винтовок, 8 автоматов и несколько тысяч патронов.</w:t>
      </w:r>
    </w:p>
    <w:p w14:paraId="56AEBCDE" w14:textId="77777777" w:rsidR="007B19F7" w:rsidRPr="00640820" w:rsidRDefault="007B19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Однажды мы срезали два километра провода, а потом засели в укрытие и стали поджидать немцев. Вскоре на мотоциклах примчалось пять фашистских связистов исправлять линию. В завязавшейся перестрелке фашисты были перебиты.</w:t>
      </w:r>
    </w:p>
    <w:p w14:paraId="0890622D" w14:textId="77777777" w:rsidR="007B19F7" w:rsidRPr="00640820" w:rsidRDefault="007B19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Недавно отряд атаковал 8 немецких автомашин. Правильно расположив стрелков, мы перебили до 45 фашистских солдат. На днях нам попалась на дороге легковая машина. Выпустили по ней одну очередь, другую. Из машины выскочил перепуганный немецкий офицер. Много разных знаков отличия на нём было. Бросился он бежать в лес, но недалеко ушел. Так и остался лежать на земле со всеми орденами и крестами. За последние 30 дней наш отряд уничтожил свыше 200 немецких солдат и офицеров».</w:t>
      </w:r>
    </w:p>
    <w:p w14:paraId="2612FD70" w14:textId="77777777" w:rsidR="007B19F7" w:rsidRPr="00640820" w:rsidRDefault="007B19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каждым днём патриоты Франции, жители Парижа, усиливают свою борьбу против немецко-фашистских войск и ставленников Гитлера.</w:t>
      </w:r>
    </w:p>
    <w:p w14:paraId="41918828" w14:textId="77777777" w:rsidR="007B19F7" w:rsidRPr="00640820" w:rsidRDefault="007B19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Париже антифашисты систематически истребляют гитлеровских солдат и офицеров. 13 октября в Сен-Дени были убиты два немецких солдата. В этот же день в Булонском лесу французскими патриотами были убиты немецкий офицер и три солдата. В Дранси в группу гитлеровцев было брошено несколько гранат, а в Шуази застрелен видный фашистский чиновник.</w:t>
      </w:r>
    </w:p>
    <w:p w14:paraId="0721318A" w14:textId="77777777" w:rsidR="007B19F7" w:rsidRPr="00640820" w:rsidRDefault="007B19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всех парижских предприятиях, производящих вооружение для немцев, учащаются случаи поломки оборудования, порчи готовых изделий.</w:t>
      </w:r>
    </w:p>
    <w:p w14:paraId="1F7627CB" w14:textId="77777777" w:rsidR="007B19F7" w:rsidRPr="00640820" w:rsidRDefault="007B19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некоторых военных предприятиях, расположенных в районе Мелена, брак достигает пятидесяти-шестидесяти процентов (14803).</w:t>
      </w:r>
    </w:p>
    <w:p w14:paraId="12E1541E" w14:textId="77777777" w:rsidR="007B19F7" w:rsidRPr="00640820" w:rsidRDefault="007B19F7" w:rsidP="00640820">
      <w:pPr>
        <w:spacing w:after="0" w:line="240" w:lineRule="auto"/>
        <w:jc w:val="both"/>
        <w:rPr>
          <w:rFonts w:ascii="Times New Roman" w:hAnsi="Times New Roman"/>
          <w:color w:val="000000" w:themeColor="text1"/>
          <w:sz w:val="16"/>
          <w:szCs w:val="16"/>
        </w:rPr>
      </w:pPr>
    </w:p>
    <w:p w14:paraId="6964AD4E" w14:textId="77777777" w:rsidR="007B19F7" w:rsidRPr="00640820" w:rsidRDefault="007B19F7"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18 октября </w:t>
      </w:r>
      <w:r w:rsidRPr="00640820">
        <w:rPr>
          <w:rFonts w:ascii="Times New Roman" w:hAnsi="Times New Roman"/>
          <w:color w:val="000000" w:themeColor="text1"/>
          <w:sz w:val="16"/>
          <w:szCs w:val="16"/>
        </w:rPr>
        <w:t>в 1941 году вечернее сообщение Совинформбюро:</w:t>
      </w:r>
    </w:p>
    <w:p w14:paraId="56598232" w14:textId="77777777" w:rsidR="007B19F7" w:rsidRPr="00640820" w:rsidRDefault="007B19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18 октября продолжались упорные бои с противником на всём фронте. Особенно ожесточённые бои шли на ЗАПАДНОМ направлении фронта, где наши части отбили несколько атак немецко-фашистских войск.</w:t>
      </w:r>
    </w:p>
    <w:p w14:paraId="42E4917B" w14:textId="77777777" w:rsidR="007B19F7" w:rsidRPr="00640820" w:rsidRDefault="007B19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17 октября уничтожено 52 немецких самолёта. Наши потери — 27 самолётов. За 18 октября под Москвой сбито 16 ненецких самолётов.</w:t>
      </w:r>
    </w:p>
    <w:p w14:paraId="55ADE2F0" w14:textId="77777777" w:rsidR="007B19F7" w:rsidRPr="00640820" w:rsidRDefault="007B19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участков Брянского направления фронта немцы ударили с флангов, пытаясь сломить сопротивление наших частей и окружить их. Командиры наших частей правильно расставили силы, мужественно встретили врага и нанесли фашистам большой урон. В этом сражении немцы потеряли до 3000 убитыми и ранеными, свыше 50 танков, несколько десятков пулемётов, много орудий и разного военного снаряжения.</w:t>
      </w:r>
    </w:p>
    <w:p w14:paraId="0AE8076E" w14:textId="77777777" w:rsidR="007B19F7" w:rsidRPr="00640820" w:rsidRDefault="007B19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Действия партизанских отрядов в тылу немецко-фашистских войск серьёзно беспокоят немецкое командование. В районах Смоленской области наряду с десятками мелких отрядов имеются также крупные отряды. Сегодня получены сведения об успешном нападении одного из таких отрядов под командованием тов. П. на аэродром, находящийся в 10-15 клм. от Смоленска. Отряд тов. П., ночью незаметно подкравшись ж аэродрому, на котором стояло 15 фашистских самолётов, уничтожил охрану аэродрома и забросал самолёты ручными гранатами и бутылками с горючей жидкостью. 5 фашистских самолётов было сожжено, а остальные серьёзно повреждены.</w:t>
      </w:r>
    </w:p>
    <w:p w14:paraId="0271AC34" w14:textId="77777777" w:rsidR="007B19F7" w:rsidRPr="00640820" w:rsidRDefault="007B19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всей стране в нынешнем году колхозники собрали и продолжают собирать богатый урожай, обеспечивающий Красную Армию и население Советского Союза продовольствием. С большим подъёмом колхозники заканчивают уборку богатого урожая. Колхозник Николай Иванович Кондаков из колхоза «Знамя Советов», Сталинградской области, отправил четырёх своих сыновей в Красную Армию, а сам всё лето и осень с утра до ночи работал на колхозных полях. Тов. Кондаков заработал много хлеба и получил за свой труд от колхоза свыше 3000 рублей деньгами. На собрании колхозников своего колхоза тов. Кондаков заявил: «Я послал всех своих сыновей в родную Красную Армию, сам я все силы отдаю своему колхозу, своему государству. Наш народ един и крепок духом. А такой народ победить нельзя».</w:t>
      </w:r>
    </w:p>
    <w:p w14:paraId="5DE804EE" w14:textId="77777777" w:rsidR="007B19F7" w:rsidRPr="00640820" w:rsidRDefault="007B19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Самоотверженно работают на колхозных полях, ухаживают за скотом, птицей, работают на тракторах, руководят колхозами колхозные женщины и девушки. Колхозница Мария Фёдоровна Наумова, уже три года руководящая колхозом «Родина», Молотовской области, несмотря на то что большинство мужчин колхоза ушло в армию, образцово поставила всё хозяйство колхоза, вовремя организовала и провела уборку урожая, выполнение обязательств перед государством, обеспечение семей красноармейцев дровами и продовольствием.</w:t>
      </w:r>
    </w:p>
    <w:p w14:paraId="29120797" w14:textId="77777777" w:rsidR="007B19F7" w:rsidRPr="00640820" w:rsidRDefault="007B19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письме к мужу лейтенанту Красной Армии Павлу Ивановичу Наумову Мария Фёдоровна пишет: «Будь спокоен за нас. Мы дадим нашей армии столько хлеба и другого продовольствия, сколько ей нужно. Смело сражайся с проклятым гитлеровским зверьём, не давай ему пощады» (14803).</w:t>
      </w:r>
    </w:p>
    <w:p w14:paraId="33B9F044" w14:textId="77777777" w:rsidR="007B19F7" w:rsidRPr="00640820" w:rsidRDefault="007B19F7" w:rsidP="00640820">
      <w:pPr>
        <w:spacing w:after="0" w:line="240" w:lineRule="auto"/>
        <w:jc w:val="both"/>
        <w:rPr>
          <w:rFonts w:ascii="Times New Roman" w:hAnsi="Times New Roman"/>
          <w:color w:val="000000" w:themeColor="text1"/>
          <w:sz w:val="16"/>
          <w:szCs w:val="16"/>
        </w:rPr>
      </w:pPr>
    </w:p>
    <w:p w14:paraId="49E60FFE" w14:textId="77777777" w:rsidR="00216F30" w:rsidRPr="00640820" w:rsidRDefault="00216F3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xml:space="preserve">18 и 19 октября 1941 ВВС Западного фронта атаковали немецкую авиабазу в районе Калинина, где, по донесениям экипажей, было «пожжено» до 60 вражеских самолетов. В налетах участвовали все исправные машины, в том числе истребители. При этом 19 октября в ходе штурмовки были сбиты три ЛаГГа – младшего </w:t>
      </w:r>
      <w:r w:rsidRPr="00640820">
        <w:rPr>
          <w:rFonts w:ascii="Times New Roman" w:hAnsi="Times New Roman"/>
          <w:color w:val="0070C0"/>
          <w:sz w:val="16"/>
          <w:szCs w:val="16"/>
        </w:rPr>
        <w:lastRenderedPageBreak/>
        <w:t>лейтенанта С.А. Рогозянского, лейтенанта И.Е. Логинова и сержанта A.A. Потапова из 27</w:t>
      </w:r>
      <w:r w:rsidRPr="00640820">
        <w:rPr>
          <w:rFonts w:ascii="Times New Roman" w:hAnsi="Times New Roman"/>
          <w:color w:val="0070C0"/>
          <w:sz w:val="16"/>
          <w:szCs w:val="16"/>
        </w:rPr>
        <w:noBreakHyphen/>
        <w:t>го иап. Однако и в данном случае никаких потерь на аэродромах у немцев не числится (23199).</w:t>
      </w:r>
    </w:p>
    <w:p w14:paraId="1A00655B" w14:textId="77777777" w:rsidR="00216F30" w:rsidRPr="00640820" w:rsidRDefault="00216F30" w:rsidP="00640820">
      <w:pPr>
        <w:spacing w:after="0" w:line="240" w:lineRule="auto"/>
        <w:jc w:val="both"/>
        <w:rPr>
          <w:rFonts w:ascii="Times New Roman" w:hAnsi="Times New Roman"/>
          <w:color w:val="0070C0"/>
          <w:sz w:val="16"/>
          <w:szCs w:val="16"/>
        </w:rPr>
      </w:pPr>
    </w:p>
    <w:p w14:paraId="75B41E0D" w14:textId="77777777" w:rsidR="001E65A1" w:rsidRPr="00640820" w:rsidRDefault="001E65A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18 октября 1941 немецкое наступление на Москву застопорилось из-за грязи и будет медленно продвигаться, пока земля не замерзнет в середине ноября. За это время советские ВВС совершили 26 000 самолето-вылетов в поддержку сил, защищающих Москву (20794).</w:t>
      </w:r>
    </w:p>
    <w:p w14:paraId="19F1D542" w14:textId="77777777" w:rsidR="001E65A1" w:rsidRPr="00640820" w:rsidRDefault="001E65A1" w:rsidP="00640820">
      <w:pPr>
        <w:spacing w:after="0" w:line="240" w:lineRule="auto"/>
        <w:jc w:val="both"/>
        <w:rPr>
          <w:rFonts w:ascii="Times New Roman" w:hAnsi="Times New Roman"/>
          <w:color w:val="0070C0"/>
          <w:sz w:val="16"/>
          <w:szCs w:val="16"/>
        </w:rPr>
      </w:pPr>
    </w:p>
    <w:p w14:paraId="7F433452" w14:textId="77777777" w:rsidR="007B19F7" w:rsidRPr="00640820" w:rsidRDefault="007B19F7"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18 октября </w:t>
      </w:r>
      <w:r w:rsidRPr="00640820">
        <w:rPr>
          <w:rFonts w:ascii="Times New Roman" w:hAnsi="Times New Roman"/>
          <w:color w:val="000000" w:themeColor="text1"/>
          <w:sz w:val="16"/>
          <w:szCs w:val="16"/>
        </w:rPr>
        <w:t>в 1941 году советские войска оставили города Малоярославец, Можайск (14803).</w:t>
      </w:r>
    </w:p>
    <w:p w14:paraId="503B22E7" w14:textId="77777777" w:rsidR="007B19F7" w:rsidRPr="00640820" w:rsidRDefault="007B19F7" w:rsidP="00640820">
      <w:pPr>
        <w:spacing w:after="0" w:line="240" w:lineRule="auto"/>
        <w:jc w:val="both"/>
        <w:rPr>
          <w:rFonts w:ascii="Times New Roman" w:hAnsi="Times New Roman"/>
          <w:color w:val="000000" w:themeColor="text1"/>
          <w:sz w:val="16"/>
          <w:szCs w:val="16"/>
        </w:rPr>
      </w:pPr>
    </w:p>
    <w:p w14:paraId="07B6CE2A" w14:textId="77777777" w:rsidR="007B19F7" w:rsidRPr="00640820" w:rsidRDefault="007B19F7"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18 октября </w:t>
      </w:r>
      <w:r w:rsidRPr="00640820">
        <w:rPr>
          <w:rFonts w:ascii="Times New Roman" w:hAnsi="Times New Roman"/>
          <w:color w:val="000000" w:themeColor="text1"/>
          <w:sz w:val="16"/>
          <w:szCs w:val="16"/>
        </w:rPr>
        <w:t>в 1941 году в Крыму противник прорвал оборону советских войск на Ишуньских высотах (14803).</w:t>
      </w:r>
    </w:p>
    <w:p w14:paraId="0B0FD75C" w14:textId="77777777" w:rsidR="007B19F7" w:rsidRPr="00640820" w:rsidRDefault="007B19F7" w:rsidP="00640820">
      <w:pPr>
        <w:spacing w:after="0" w:line="240" w:lineRule="auto"/>
        <w:jc w:val="both"/>
        <w:rPr>
          <w:rFonts w:ascii="Times New Roman" w:hAnsi="Times New Roman"/>
          <w:color w:val="000000" w:themeColor="text1"/>
          <w:sz w:val="16"/>
          <w:szCs w:val="16"/>
        </w:rPr>
      </w:pPr>
    </w:p>
    <w:p w14:paraId="79C59D70" w14:textId="77777777" w:rsidR="00595859" w:rsidRPr="00640820" w:rsidRDefault="00595859" w:rsidP="00640820">
      <w:pPr>
        <w:pStyle w:val="ae"/>
        <w:spacing w:before="0" w:after="0"/>
        <w:jc w:val="both"/>
        <w:textAlignment w:val="baseline"/>
        <w:rPr>
          <w:color w:val="000000" w:themeColor="text1"/>
          <w:sz w:val="16"/>
          <w:szCs w:val="16"/>
        </w:rPr>
      </w:pPr>
      <w:r w:rsidRPr="00640820">
        <w:rPr>
          <w:color w:val="000000" w:themeColor="text1"/>
          <w:sz w:val="16"/>
          <w:szCs w:val="16"/>
        </w:rPr>
        <w:t>18 и 19 октября 1941 ВВС Западного фронта атаковали немецкую авиабазу в районе Калинина, где, по донесениям экипажей, было «пожжено» до 60 вражеских самолетов. В налетах участвовали все исправные машины, в том числе истребители. При этом 19 октября в ходе штурмовки были сбиты три ЛаГГа — младшего лейтенанта С. А. Рогозянского, лейтенанта И. Е. Логинова и сержанта A. A. Потапова из 27-го иап. Однако и в данном случае никаких потерь на аэродромах у немцев не числится (19522).</w:t>
      </w:r>
    </w:p>
    <w:p w14:paraId="2D35DAA8" w14:textId="77777777" w:rsidR="00595859" w:rsidRPr="00640820" w:rsidRDefault="00595859" w:rsidP="00640820">
      <w:pPr>
        <w:pStyle w:val="ae"/>
        <w:spacing w:before="0" w:after="0"/>
        <w:jc w:val="both"/>
        <w:textAlignment w:val="baseline"/>
        <w:rPr>
          <w:color w:val="000000" w:themeColor="text1"/>
          <w:sz w:val="16"/>
          <w:szCs w:val="16"/>
        </w:rPr>
      </w:pPr>
    </w:p>
    <w:p w14:paraId="06123A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октября 1941 стал самым трудным денем для 421-го полка. В середине октября, быстро продвинувшись, передовые немецкие части сумели захватить неповрежденными несколько стратегически важных мостов через Волгу в районе Калинина. Сорвать дальнейшее продвижение врага, разрушить с воздуха мосты - такую задачу получили все авиационные полки, имевшиеся под рукой у командования ВВС Западного фронта. В дело пошли даже четырехмоторные бомбардировщики ТБ-7, вылетавшие на задания днем, без истребительного прикрытия. Аналогичную задачу получил и гусевский полк. В малооблачную погоду, в 12:45 в воздух поднялась пара Морозов (голубая "2") и Гайворонский (хвостовой - "звезда"). Приблизившись к цели незамеченными, экипажи сбросили бомбы - по четыре ФАБ-250 и две ФАБ-100, но оба промахнулись. На боевом курсе самолеты были обстреляны зенитной артиллерией, а затем атакованы "Мессершмиттами", в результате чего оба загорелись и упали в лес. Погиб стрелок одной из машин, остальные члены экипажей впоследствии вернулись в полк. По их докладам, немцы также потеряли один истребитель. Но боевую задачу требовалось выполнить любой ценой. В 15:07 на цель ушла уже тройка самолетов: Баленко (белая "4"), Бузовир (желтая "б") и Тыклин (белая "8"). Звено в точности повторило судьбу пары Морозова - Гайворонского: промах мимо моста, обстрел зениток, все самолеты на обратном пути сбиты истребителями противника, уцелевшие члены экипажей доложили об уничтожении одного Bf109. Самолет Баленко горящим сел на поверхность Московского моря и, говорят, даже некоторое время держался на воде, дав возможность экипажу выбраться из машины. Третью, и последнюю попытку разбомбить мост в тот день предприняла пара Тихонова (желтая "З") - Тряпицына (желтая "8"), вылетевшая в 16:24. Погода заметно испортилась, небо затянуло облаками, что, с одной стороны, обеспечило скрытность, а с другой - затруднило прицеливание. Оба экипажа не сумели поразить цель, ближайшие разрывы легли с перелетом в 15-20 м от моста. Спрятавшись в облаках, самолет Тихонова избежал атак неприятельских истребителей, а Тряпицыну пришлось отбиваться от одиночного Bf109. Противниками полка в октябрьских боях выступали, по-видимому, летчики III/JG51. Во всяком случае, командир именно этой группы гауптман Р.Леппла докладывал о проведенном 10 октября 1941 бое с "огромными русскими двухмоторными бомбардировщиками, формой крыла напоминавшими Ju-87". Правда, в тот день о сбитых немцы не сообщали (3322,22).</w:t>
      </w:r>
    </w:p>
    <w:p w14:paraId="045612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5011C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октября 1941 “в неустановленном районе”, без вести пропал со всем экипажем Do 215 (w/n 0063, борт P5+LL) из 3.(F)/ObdL. В тот день летчик 32-го ИАП ВВС Чф л-т Савва Николай Иванович на МиГ-3 таранил над Балаклавой вражеский разведчик, идентифицированный им как “Дорнье-215” (10205).</w:t>
      </w:r>
    </w:p>
    <w:p w14:paraId="46B9D4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20749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октября 1941 в Московское море упал Ер-2 421 ДБАП л Баленко и он лежит на дне и его точное местонахождение известно. Л и ш спаслись, т.ч. машина повреждена не сильно (2391,9).</w:t>
      </w:r>
    </w:p>
    <w:p w14:paraId="4C8D99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F49C91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октября 1941 фашистские войска заняли Можайск (4962).</w:t>
      </w:r>
    </w:p>
    <w:p w14:paraId="7CB52B2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45A4A0" w14:textId="77777777" w:rsidR="00D3684C" w:rsidRPr="00640820" w:rsidRDefault="00D3684C"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18 октября </w:t>
      </w:r>
      <w:r w:rsidRPr="00640820">
        <w:rPr>
          <w:rFonts w:ascii="Times New Roman" w:hAnsi="Times New Roman"/>
          <w:color w:val="000000" w:themeColor="text1"/>
          <w:sz w:val="16"/>
          <w:szCs w:val="16"/>
        </w:rPr>
        <w:t>в 1941 году немецкие войска захватили Судогу (14803).</w:t>
      </w:r>
    </w:p>
    <w:p w14:paraId="03C97B26" w14:textId="77777777" w:rsidR="00D3684C" w:rsidRPr="00640820" w:rsidRDefault="00D3684C" w:rsidP="00640820">
      <w:pPr>
        <w:spacing w:after="0" w:line="240" w:lineRule="auto"/>
        <w:jc w:val="both"/>
        <w:rPr>
          <w:rFonts w:ascii="Times New Roman" w:hAnsi="Times New Roman"/>
          <w:color w:val="000000" w:themeColor="text1"/>
          <w:sz w:val="16"/>
          <w:szCs w:val="16"/>
        </w:rPr>
      </w:pPr>
    </w:p>
    <w:p w14:paraId="63861F4B" w14:textId="77777777" w:rsidR="00D3684C" w:rsidRPr="00640820" w:rsidRDefault="00D3684C"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18 октября </w:t>
      </w:r>
      <w:r w:rsidRPr="00640820">
        <w:rPr>
          <w:rFonts w:ascii="Times New Roman" w:hAnsi="Times New Roman"/>
          <w:color w:val="000000" w:themeColor="text1"/>
          <w:sz w:val="16"/>
          <w:szCs w:val="16"/>
        </w:rPr>
        <w:t>в 1941 году в Спадщанском лесу (Путивльский район Сумской область) объединились 2 партизанского отряда: под командованием С.В.Руднева и под командованием С.А.Ковпака. Командиром объединенного отряда стал С.А.Ковпак, комиссаром — С.В.Руднев (14803).</w:t>
      </w:r>
    </w:p>
    <w:p w14:paraId="2B6B6CD2" w14:textId="77777777" w:rsidR="00D3684C" w:rsidRPr="00640820" w:rsidRDefault="00D3684C" w:rsidP="00640820">
      <w:pPr>
        <w:spacing w:after="0" w:line="240" w:lineRule="auto"/>
        <w:jc w:val="both"/>
        <w:rPr>
          <w:rFonts w:ascii="Times New Roman" w:hAnsi="Times New Roman"/>
          <w:color w:val="000000" w:themeColor="text1"/>
          <w:sz w:val="16"/>
          <w:szCs w:val="16"/>
        </w:rPr>
      </w:pPr>
    </w:p>
    <w:p w14:paraId="533A6F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C 18 октября по 16 ноября 1941 была Крымская оборонительная операция. 11А немцев нанесла основной удар через Перекопский перешеек и при поддержке румынского горного корпуса прошла через Чонгарский мост. Приморская армия отступила в Севастополь, а 51 отдельная - в Керчь (2438,343).</w:t>
      </w:r>
    </w:p>
    <w:p w14:paraId="03CDEE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E4F80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октября 1941 вышло Постановление ГКО № 810 О формировании 25 отдельных стрелковых бригаРГАНИР, Фонд ГКО, д. РГАНИР, Фонд ГКО, д. 12, лл. 164 (11012).</w:t>
      </w:r>
    </w:p>
    <w:p w14:paraId="1B0A06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AB7D9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октября 1941 пара ТКА №103 и Д-3 снова работала минзагами, причем ставились английские мины (6002).</w:t>
      </w:r>
    </w:p>
    <w:p w14:paraId="2A325B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8DA39FC"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16EF65B8"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91E104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октября 1941 японской полицией арестован русский разведчик Рихард Зорге (4962).</w:t>
      </w:r>
    </w:p>
    <w:p w14:paraId="11630B6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B903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октября 1941 в Токио арестовали Р.Зорге (3481).</w:t>
      </w:r>
    </w:p>
    <w:p w14:paraId="17D853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10BC668" w14:textId="77777777" w:rsidR="007B19F7" w:rsidRPr="00640820" w:rsidRDefault="007B19F7"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18 октября </w:t>
      </w:r>
      <w:r w:rsidRPr="00640820">
        <w:rPr>
          <w:rFonts w:ascii="Times New Roman" w:hAnsi="Times New Roman"/>
          <w:color w:val="000000" w:themeColor="text1"/>
          <w:sz w:val="16"/>
          <w:szCs w:val="16"/>
        </w:rPr>
        <w:t>в 1941 году в Японии арестован советский разведчик Рихард Зорге. Рихард Зорге - уникальная личность XX века, блестящий публицист, историк, аналитик, геополитик. Но главное - советский разведчик. Зорге работал в Токио с 1935 года. Он сообщил в Москву о решении Токио не начинать войну против СССР до весны 1942-го, что позволило советскому командованию перебросить на Запад с Дальнего Востока 26 свежих дивизий, из которых 16 - под Москву, и выиграть сражение за столицу. О Зорге написаны тома как отечественными, так и зарубежными литераторами, журналистами, историками, профессиональными разведчиками. В архивах собраны сотни его открытых газетно-журнальных выступлений и не меньшее количество оперативных шифровальных донесений, сыгравших большую роль в международных отношениях в 1930-1940-х годах. Он был арестован японской контрразведкой 18 октября 1941 года и осужден на смерть. Был казнен 7 ноября 1944 года. В июле 2000 года в возрасте 89-ти лет умерла Исии Ханако, с которой более десяти лет была связана судьба легендарного советского разведчика. Она оставила несколько книг о «встречах с человеком по имени Зорге». Это она после 1945-го года первой стала разыскивать Зорге, и 16 ноября 1949 года в общей могиле, разрытой на краю тюремного кладбища, обнаружила останки Рихарда. Она опознала его по пряжке на поясе, очкам, которые он стал носить незадолго до ареста в октябре 1941-го, по следам от ран и переломов на костях, по золотым коронкам, кольцо из которых она носила до конца своих дней. Это был ее Рихард. Останки разведчика кремировали. Прах положили в урну, которую Исии хранила дома до тех пор, пока 8 ноября 1950 года урна не была установлена в самом красивом токийском парке-кладбище Тама. В 1960-х годах Рихарду Зорге было присвоено звание Героя Советского Союза (14803).</w:t>
      </w:r>
    </w:p>
    <w:p w14:paraId="1BC77BF8" w14:textId="77777777" w:rsidR="007B19F7" w:rsidRPr="00640820" w:rsidRDefault="007B19F7" w:rsidP="00640820">
      <w:pPr>
        <w:spacing w:after="0" w:line="240" w:lineRule="auto"/>
        <w:jc w:val="both"/>
        <w:rPr>
          <w:rFonts w:ascii="Times New Roman" w:hAnsi="Times New Roman"/>
          <w:color w:val="000000" w:themeColor="text1"/>
          <w:sz w:val="16"/>
          <w:szCs w:val="16"/>
        </w:rPr>
      </w:pPr>
    </w:p>
    <w:p w14:paraId="0A300572" w14:textId="77777777" w:rsidR="001E65A1" w:rsidRPr="00640820" w:rsidRDefault="001E65A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18 октября 1941 года в Токио в результате предательства был арестован советский разведчик Рихард Зорге</w:t>
      </w:r>
    </w:p>
    <w:p w14:paraId="6F4DAD72" w14:textId="77777777" w:rsidR="001E65A1" w:rsidRPr="00640820" w:rsidRDefault="001E65A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Японские радиопеленгаторы регулярно засекали выходившую в эфир радиостанцию группы Зорге. Засечь точно работающий передатчик, или даже приблизиться к нему достаточно близко, японцам так и не удалось. Мнение о провале группы как следствие успешно работавших пеленгаторов — это не более чем художественный вымысел. Первая радиограмма была перехвачена в 1937 году. С тех пор донесения перехватывались регулярно. Однако, расшифровать ни одну из перехваченных радиограмм японцы так и не смогли.И только после того, как на первом же допросе радист Макс Клаузен выдал всё, что он знал о кодах шифрования, японцы смогли расшифровать и прочитать всю подборку перехваченных донесений за несколько лет. Эти донесения фигурировали в материалах следствия, и по ним обвиняемые давали свои пояснения.</w:t>
      </w:r>
    </w:p>
    <w:p w14:paraId="1203CFC0" w14:textId="77777777" w:rsidR="001E65A1" w:rsidRPr="00640820" w:rsidRDefault="001E65A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Всего по делу группы Зорге было арестовано 35 человек, привлечено к суду 17. Дознание длилось до мая 1942 года. 16 мая 1942 года официальные обвинения были предъявлены первым 7 обвиняемым: Зорге, Одзаки, Максу Клаузену, Вукеличу, Мияги, Сайондзи и Инукаи. Остальным обвинения были предъявлены позднее. Приговоры основным обвиняемым были вынесены 29 сентября 1943 года (21191).</w:t>
      </w:r>
    </w:p>
    <w:p w14:paraId="3745AA6E" w14:textId="77777777" w:rsidR="001E65A1" w:rsidRPr="00640820" w:rsidRDefault="001E65A1" w:rsidP="00640820">
      <w:pPr>
        <w:spacing w:after="0" w:line="240" w:lineRule="auto"/>
        <w:jc w:val="both"/>
        <w:rPr>
          <w:rFonts w:ascii="Times New Roman" w:hAnsi="Times New Roman"/>
          <w:color w:val="0070C0"/>
          <w:sz w:val="16"/>
          <w:szCs w:val="16"/>
        </w:rPr>
      </w:pPr>
    </w:p>
    <w:p w14:paraId="4EEB9A0E"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3F81F76F"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7FE29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октября 1941 ТИС (А) Н.Н.П. перелетел из Арзамаса в Казань. Поступило распоряжение провести заводские испытания и машину по железной дороге отправили в Новосибирск (10545,33).</w:t>
      </w:r>
    </w:p>
    <w:p w14:paraId="6C976E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8883E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октября А.И.Путилов наконец-то получил эшелон для эвакуации на 22 завод в Казань, хотя приказ был получен еще 15 и 16 все собрались в ДК им. Горбунова. Грузились на Белорусском вокзале, но потом до 21 крутились по окружной дороге и лишь вечером 21 выехали в Казань. В Казани никто не ждал и поселили на лыжной базе (1847,57).</w:t>
      </w:r>
    </w:p>
    <w:p w14:paraId="6DCB5B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D7E5E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октября 1941 года вышел приказ НКАП № 1053сс во исполнение постановления ГКО за № 741сс от 8 октября 1941 года, в соответствии с которым на стройплощадку завода № 286 прибыл с техникой и личным составом эвакуированный из Балашихи завод № 120, на базе которого и был организован завод № 286 (9489).</w:t>
      </w:r>
    </w:p>
    <w:p w14:paraId="63EFC3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02EFF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 октября по 8 ноября 1941 года была проведена эвакуация завода № 469 из Солнечногорска в Сочи. В Горьком заводу № 469 предстояло занять вновь строющуюся площадку завода № 285, который впоследствии и был влит в завод № 469. На базе строительной площадки завода № 285 построен завод № 469 (9607).</w:t>
      </w:r>
    </w:p>
    <w:p w14:paraId="261818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5780124"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67D084D6"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584FF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октября 1941 производство танков в Харькове прекратилось. В этот день город покинул последний, 41-й по счету эшелон. И последние 120 заводчан уже на автомобилях покинули город. Саперы взрывали мартены, портальные краны, электростанцию. (3862).</w:t>
      </w:r>
    </w:p>
    <w:p w14:paraId="1A5911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5F060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19 октября 1941 было свернуто производство Т-34 на ХПЗ в Харькове (3547).</w:t>
      </w:r>
    </w:p>
    <w:p w14:paraId="51BC08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5AE626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 октября 1941 г. основным производителем танков Т-34 в стране оставался лишь Сталинградский тракторный завод (10703).</w:t>
      </w:r>
    </w:p>
    <w:p w14:paraId="7E01029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CE705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октября 1941 считается днем окончания окончания эвакуации завода № 183. Но основная масса грузов и оборудования при</w:t>
      </w:r>
      <w:r w:rsidRPr="00640820">
        <w:rPr>
          <w:rFonts w:ascii="Times New Roman" w:hAnsi="Times New Roman"/>
          <w:color w:val="000000" w:themeColor="text1"/>
          <w:sz w:val="16"/>
          <w:szCs w:val="16"/>
        </w:rPr>
        <w:softHyphen/>
        <w:t>были на место назначения только 27 ноября - 1 декабря (10782).</w:t>
      </w:r>
    </w:p>
    <w:p w14:paraId="15B9A1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D74FC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октября 1941 Последний же эшелон с оборудованием завода № 183 покинул Харьков и 25 октября Харьков пал.</w:t>
      </w:r>
    </w:p>
    <w:p w14:paraId="5BF439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Видимо, к началу октября опасность, нависшая над Харьковом, стала восприниматься советским руководством более реально. 4 октября выходит постановление ГКО, вносившее изменение в порядок эвакуации заводов № 75, № 183, ХТЗ и Мариупольского завода имени Ильича. 7 октября в соответствии с этим постановлением появился приказ наркома танковой промышленности Малышева В. А. № 53сс. Новые решения фактически отменяли двухэшелонный порядок эвакуации. Теперь эвакуировать следовало всё и при этом как можно быстрее. Срок был назван фантастически короткий, и поэтому невыполнимый – 15 октября, то есть, считая с днём появления приказа – 9 суток. Приказом был назначен срок начала производства танков на новом месте – 1 ноября. Эвакуации заводов НКТП из Харькова уделялось особое внимание, о чём свидетельствует то, что личный контроль за её осуществлением должен был осуществлять председатель комитета по эвакуации Шверник Н. М.. От НКТП в Харьков контролировать ход эвакуации был послан заместитель наркома Зернов. Нарком путей сообщения Л. М. Каганович должен был обеспечить подачу необходимого количества вагонов ( при этом точное число вагонов не указывалось, возможно, следовало исходить из того, сколько НКПС вообще сможет предоставить за такой короткий срок ). Начальник Главснаба НКТП Розин должен был обеспечить своевременное получение вагонов от НКПС. То, что на этот раз данная важная задача была доверена начальнику Главснаба, а не начальнику транспортного отдела, который должен был бы этим заниматься по своим служебным обязанностям, показывает, что перед этим с получением вагонов у НКТП возникали большие проблемы (11510).</w:t>
      </w:r>
    </w:p>
    <w:p w14:paraId="434847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6EF8A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октября 1941 вышло Постановление ГКО № 811 Об эвакуации заводов № 37, КИМ и Подольского. РГАНИР, Фонд ГКО, д. 12, лл. 165-165об. (11012).</w:t>
      </w:r>
    </w:p>
    <w:p w14:paraId="6EA618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5013B0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октября 1941 года вышел приказ № 7 НКТП</w:t>
      </w:r>
    </w:p>
    <w:p w14:paraId="4B42E2B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 эвакуации заводов № 37, “КИМ” и Подольского</w:t>
      </w:r>
    </w:p>
    <w:p w14:paraId="5FFFAE7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исполнение постановления ГКО от 19 октября 1941 года № ГКО-811сс:</w:t>
      </w:r>
    </w:p>
    <w:p w14:paraId="6ED3EE7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Эвакуировать заводы № 37 и “КИМ” в Свердловск на Свердловский вагоноремонтный завод НКПС и Подольский завод им. Орджоникидзе в Свердловск на завод “Металлист” Наркомнефти (6034, 15).</w:t>
      </w:r>
    </w:p>
    <w:p w14:paraId="5370BED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556BE9" w14:textId="77777777" w:rsidR="00595859" w:rsidRPr="00640820" w:rsidRDefault="0059585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октября 1941 ГКО пересмотрел обстановку и изменил ранее принятые решения в постановлении №811. Во-первых, было принято решение начать эвакуацию танкового производства немедленно. Во-вторых, вместо Ташкента заводы были отправлены в Свердловск, где им предстояло слиться с двумя находящимися там другими предприятиями - "Металлистом" (КИМ и №37) и Свердловским вагоноремонтным заводом имени Воеводина (Подольский завод). Объединившиеся заводы должны были образовать новое предприятие - завод № 37. Для эвакуации выделялось 2000 вагонов: по 400 для КИМ и № 37 и 1200 для Подольского завода. Свердловский обком должен был выделить жильё для размещения 20 тысяч работников завода и членов их семей.</w:t>
      </w:r>
    </w:p>
    <w:p w14:paraId="13199985" w14:textId="77777777" w:rsidR="00595859" w:rsidRPr="00640820" w:rsidRDefault="0059585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Эвакуация этих заводов прошла сравнительно успешно. Заводы получили почти в два раза большее количество вагонов, чем первоначально планировал ГКО. Оборудование было вывезено практически полностью. К 1 января 1942 г. на новой территории завода уже действовало 1286 единиц металлообрабатывающего оборудования из 1842 доставленных на завод (из них 400 передали другим предприятиям). Не обошлось и без потерь при перевозках. Так и не прибыло на 1 января 1942 г. 470 вагонов из 3513 отправленных</w:t>
      </w:r>
      <w:r w:rsidRPr="00640820">
        <w:rPr>
          <w:rFonts w:ascii="Times New Roman" w:hAnsi="Times New Roman"/>
          <w:color w:val="000000" w:themeColor="text1"/>
          <w:sz w:val="16"/>
          <w:szCs w:val="16"/>
          <w:vertAlign w:val="superscript"/>
          <w:lang w:val="en-US"/>
        </w:rPr>
        <w:t>xx</w:t>
      </w:r>
      <w:r w:rsidRPr="00640820">
        <w:rPr>
          <w:rFonts w:ascii="Times New Roman" w:hAnsi="Times New Roman"/>
          <w:color w:val="000000" w:themeColor="text1"/>
          <w:sz w:val="16"/>
          <w:szCs w:val="16"/>
          <w:vertAlign w:val="superscript"/>
        </w:rPr>
        <w:t>1</w:t>
      </w:r>
      <w:r w:rsidRPr="00640820">
        <w:rPr>
          <w:rFonts w:ascii="Times New Roman" w:hAnsi="Times New Roman"/>
          <w:color w:val="000000" w:themeColor="text1"/>
          <w:sz w:val="16"/>
          <w:szCs w:val="16"/>
          <w:vertAlign w:val="superscript"/>
          <w:lang w:val="en-US"/>
        </w:rPr>
        <w:t>x</w:t>
      </w:r>
      <w:r w:rsidRPr="00640820">
        <w:rPr>
          <w:rFonts w:ascii="Times New Roman" w:hAnsi="Times New Roman"/>
          <w:color w:val="000000" w:themeColor="text1"/>
          <w:sz w:val="16"/>
          <w:szCs w:val="16"/>
        </w:rPr>
        <w:t>. Проблема вывоза людей также не была решена полностью. В город Свердловск из всех трёх эвакуируемых заводов прибыло 3513 рабочих и служащих, притом, что ранее на них работало 11527 человек. Наряду с тремя с половиной тысячами сотрудников в Свердловск было эвакуировано восемь с половиной тысяч членов их семей. Вместо планировавшихся ГКО 20 тысяч человек на место назначения прибыло только 12 тысяч. Правда, не всё оборудование и кадры этих заводов эвакуировались в город Свердловск. Некоторые побочные производства, такие, как: изготовление боеприпасов, мотоциклетных моторов, некоторых видов нефтяного и горнодобывающего оборудования, были переданы заводам других наркоматов. Производство танков налаживалось на заводе № 50 с большим трудом. Завод не выполнил обязательство начать выпуск танков 25 ноября. Первый танк был изготовлен только 15 декабря.</w:t>
      </w:r>
    </w:p>
    <w:p w14:paraId="58234EEB" w14:textId="77777777" w:rsidR="00595859" w:rsidRPr="00640820" w:rsidRDefault="0059585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Одновременно с этим происходила эвакуация Коломенского паровозостроительного завода. Она прошла наиболее успешно, как с точки зрения вывоза оборудования, так и с точки зрения эвакуации людей. Всего было вывезено 3260 вагонов, содержащих 2590 единиц оборудования, 4840 работников завода и 5192 члена их семей. Завод вывозился в город Киров, на территорию сливавшегося с ним завода "Имени 1 Мая". Эвакуация была хорошо организована. На каждой железнодорожной станции маршрута были расставлены представители завода, в результате у директора постоянно имелись свежие сведения о ходе местоположения эшелонов. Потери завода были минимальными, что позволило быстро наладить производство танков на новом месте. Хорошая организация эвакуации была заслугой директора завода И. Э. Рубинчика </w:t>
      </w:r>
      <w:r w:rsidR="00401AC5" w:rsidRPr="00640820">
        <w:rPr>
          <w:rFonts w:ascii="Times New Roman" w:hAnsi="Times New Roman"/>
          <w:color w:val="000000" w:themeColor="text1"/>
          <w:sz w:val="16"/>
          <w:szCs w:val="16"/>
        </w:rPr>
        <w:t>(19807</w:t>
      </w:r>
      <w:r w:rsidRPr="00640820">
        <w:rPr>
          <w:rFonts w:ascii="Times New Roman" w:hAnsi="Times New Roman"/>
          <w:color w:val="000000" w:themeColor="text1"/>
          <w:sz w:val="16"/>
          <w:szCs w:val="16"/>
        </w:rPr>
        <w:t>).</w:t>
      </w:r>
    </w:p>
    <w:p w14:paraId="5D9771C6" w14:textId="77777777" w:rsidR="00595859" w:rsidRPr="00640820" w:rsidRDefault="00595859" w:rsidP="00640820">
      <w:pPr>
        <w:spacing w:after="0" w:line="240" w:lineRule="auto"/>
        <w:jc w:val="both"/>
        <w:rPr>
          <w:rFonts w:ascii="Times New Roman" w:hAnsi="Times New Roman"/>
          <w:color w:val="000000" w:themeColor="text1"/>
          <w:sz w:val="16"/>
          <w:szCs w:val="16"/>
        </w:rPr>
      </w:pPr>
    </w:p>
    <w:p w14:paraId="15F4A20F" w14:textId="77777777" w:rsidR="00CE2A94" w:rsidRPr="00640820" w:rsidRDefault="00CE2A9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октября 1941 года вышло постановление № 811сс «Об эваку</w:t>
      </w:r>
      <w:r w:rsidRPr="00640820">
        <w:rPr>
          <w:rFonts w:ascii="Times New Roman" w:hAnsi="Times New Roman"/>
          <w:color w:val="000000" w:themeColor="text1"/>
          <w:sz w:val="16"/>
          <w:szCs w:val="16"/>
        </w:rPr>
        <w:softHyphen/>
        <w:t>ации заводов № 37, КИМ и Подольского», согласно которому за</w:t>
      </w:r>
      <w:r w:rsidRPr="00640820">
        <w:rPr>
          <w:rFonts w:ascii="Times New Roman" w:hAnsi="Times New Roman"/>
          <w:color w:val="000000" w:themeColor="text1"/>
          <w:sz w:val="16"/>
          <w:szCs w:val="16"/>
        </w:rPr>
        <w:softHyphen/>
        <w:t>воды эвакуировались в Свердловск. Тем не менее идея об органи</w:t>
      </w:r>
      <w:r w:rsidRPr="00640820">
        <w:rPr>
          <w:rFonts w:ascii="Times New Roman" w:hAnsi="Times New Roman"/>
          <w:color w:val="000000" w:themeColor="text1"/>
          <w:sz w:val="16"/>
          <w:szCs w:val="16"/>
        </w:rPr>
        <w:softHyphen/>
        <w:t>зации танкового производства в Ташкенте не умерла (17485).</w:t>
      </w:r>
    </w:p>
    <w:p w14:paraId="64F9C6DB" w14:textId="77777777" w:rsidR="00CE2A94" w:rsidRPr="00640820" w:rsidRDefault="00CE2A94" w:rsidP="00640820">
      <w:pPr>
        <w:spacing w:after="0" w:line="240" w:lineRule="auto"/>
        <w:jc w:val="both"/>
        <w:rPr>
          <w:rFonts w:ascii="Times New Roman" w:hAnsi="Times New Roman"/>
          <w:color w:val="000000" w:themeColor="text1"/>
          <w:sz w:val="16"/>
          <w:szCs w:val="16"/>
        </w:rPr>
      </w:pPr>
    </w:p>
    <w:p w14:paraId="5D4E9C3E" w14:textId="77777777" w:rsidR="00D41221" w:rsidRPr="00640820" w:rsidRDefault="00D41221"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19 октября 1941 года вышло постановление ГКО №811сс «Об эвакуации заводов №37, КИМ и Подольского». Согласно этому документу, завод №37 и КИМ эвакуировались в Свердловск с размещением на площадях Свердловского вагоноремонтного завода. Что же касается Подольского завода им. Орджоникидзе, то он размещался на заводе «Металлист», также располагавшемся в Свердловске.</w:t>
      </w:r>
    </w:p>
    <w:p w14:paraId="2BCCEAD0" w14:textId="77777777" w:rsidR="00D41221" w:rsidRPr="00640820" w:rsidRDefault="00D41221"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Стоит отметить, что буквально за 10 дней до того было подписано постановление ГКО №752сс «Об эвакуации заводов: №37, КИМ пи И Подольского и танкового производства Коломенского завода». Оно предполагало совсем иную дислокацию эвакуируемых предприятий. Предполагалось, что завод №37, КИМ и Подольский завод им. Орджоникидзе будут эвакуированы в Ташкент, на Ташкентский завод сельхозмашин Народного комиссариата общего машиностроения (Ташсельмаш). Танковое производство в Узбекистане так и не не было создано, хотя имела место попытка организовать там сборку Т-60. С таким предложением выступили секретарь ЦК ВКП(б) Узбекистана У.Ю. Юсупов и заместитель командующего войсками Среднеазиатского военного округа генерал-майор П.С. Курбаткин.</w:t>
      </w:r>
    </w:p>
    <w:p w14:paraId="6F5903CD" w14:textId="77777777" w:rsidR="00D41221" w:rsidRPr="00640820" w:rsidRDefault="00D41221"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Логика в их предложении была. В Чирчик было эвакуировано Харьковское танковое училище, в Ташкенте находились Ташкентский паровозоремонтный завод имени Л.М. Кагановича (ныне унитарное предприятие «O'ztemiryo'lmashta'mir») и Литейно-механический завод Народного комиссариата путей сообщения (ныне дочернее предприятие «Литейно-механический завод»), производственные мощности которых в принципе позволяли организовать выпуск танков. Вместе с тем, тщательное изучение вопроса Государственным комитетом обороны показало неутешительные результаты. Большая удаленность, а также возможные проблемы с поставкой агрегатов и брони необходимых толщин стали причиной отмены планов по выпуску Т-60 в Ташкенте.</w:t>
      </w:r>
    </w:p>
    <w:p w14:paraId="44F3D24C" w14:textId="77777777" w:rsidR="00D41221" w:rsidRPr="00640820" w:rsidRDefault="00D41221"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lastRenderedPageBreak/>
        <w:t xml:space="preserve">Организация танкового производства в Свердловске была крайне непростой задачей. </w:t>
      </w:r>
      <w:hyperlink r:id="rId42" w:history="1">
        <w:r w:rsidRPr="00640820">
          <w:rPr>
            <w:rFonts w:ascii="Times New Roman" w:eastAsia="Times New Roman" w:hAnsi="Times New Roman"/>
            <w:color w:val="000000" w:themeColor="text1"/>
            <w:sz w:val="16"/>
            <w:szCs w:val="16"/>
            <w:lang w:eastAsia="ru-RU"/>
          </w:rPr>
          <w:t>Наркому танковой промышленности Малышеву</w:t>
        </w:r>
      </w:hyperlink>
      <w:r w:rsidRPr="00640820">
        <w:rPr>
          <w:rFonts w:ascii="Times New Roman" w:eastAsia="Times New Roman" w:hAnsi="Times New Roman"/>
          <w:color w:val="000000" w:themeColor="text1"/>
          <w:sz w:val="16"/>
          <w:szCs w:val="16"/>
          <w:lang w:eastAsia="ru-RU"/>
        </w:rPr>
        <w:t xml:space="preserve"> и председателю Свердловского обкома ВКП(б) В.М. Андрианову поручалось в пятидневный срок выделить для размещения эвакуируемых предприятий дополнительные 10 000 м² производственных площадей. В ноябре предписывалось выпустить первые 5 танков, в декабре 150, к 20 января 1942 года планировалось закончить установку оборудования, а с 1 февраля довести суточный выпуск Т-60 до 10–12 штук.</w:t>
      </w:r>
    </w:p>
    <w:p w14:paraId="58D78D24" w14:textId="77777777" w:rsidR="00D41221" w:rsidRPr="00640820" w:rsidRDefault="00D41221"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На практике ситуация с организацией производства была несколько иной. На указанных постановлением ГКО №811 предприятиях пришлось организовывать новые производственные площади, в частности, потребовалось строить новые цеха. В виду спешки цеха строились из дерева. Весь ноябрь и часть декабря ушли на наладку производства на новом месте. 19 декабря вышло постановление ГКО №1043с «О плане производства танков в I квартале 1942 года», согласно которому завод №37 за первые три месяца следующего года должен был выпустить 700 танков, из них 140 радийных. Согласно заключенному с заводом договору, стоимость линейного Т-60 составляла 72 500 рублей, стоимость радийного танка оценивалась в 75 000 рублей.</w:t>
      </w:r>
    </w:p>
    <w:p w14:paraId="604E8E9E" w14:textId="77777777" w:rsidR="00D41221" w:rsidRPr="00640820" w:rsidRDefault="00D41221"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Все это красиво выглядело на бумаге, но в реальности первые месяцы работы завода №37 оказались крайне сложными. Не то, что о радийном Т-60, который вообще никогда не выпускался, но даже об «обычном» Т-60 на практике не шло и речи. Вплоть до середины февраля 1942 года в Свердловске выпускали Т-30. Всего их было построено 200 штук, из них 101 экранированный. Во многом это было связано с тем, что эвакуированные заводы имели задел по корпусам таких танков.</w:t>
      </w:r>
    </w:p>
    <w:p w14:paraId="40C23CDC" w14:textId="77777777" w:rsidR="00D41221" w:rsidRPr="00640820" w:rsidRDefault="00D41221"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 учетом того, что по боевым характеристикам Т-30 и Т-60 оказались примерно одинаковыми, «криминалом» изготовление Т-30 не считалось. Более того, в переписке эти танки называли Т-60, что внесло свою лепту в путаницу со свердловскими машинами. Лишь во второй половине февраля 1942 года было выпущено 67 Т-60, а также принято 125 корпусов для этих танков. Таким образом, завод №37 стал последним из числа предприятий, освоивших выпуск данного танка (17686).</w:t>
      </w:r>
    </w:p>
    <w:p w14:paraId="76A58841" w14:textId="77777777" w:rsidR="00D41221" w:rsidRPr="00640820" w:rsidRDefault="00D41221" w:rsidP="00640820">
      <w:pPr>
        <w:spacing w:after="0" w:line="240" w:lineRule="auto"/>
        <w:jc w:val="both"/>
        <w:rPr>
          <w:rFonts w:ascii="Times New Roman" w:eastAsia="Times New Roman" w:hAnsi="Times New Roman"/>
          <w:color w:val="000000" w:themeColor="text1"/>
          <w:sz w:val="16"/>
          <w:szCs w:val="16"/>
          <w:lang w:eastAsia="ru-RU"/>
        </w:rPr>
      </w:pPr>
    </w:p>
    <w:p w14:paraId="476918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октября 1941 вышло Постановление ГКО № 812 О т. Пронине. РГАНИР, Фонд ГКО, д. 12, лл. 166 (11012).</w:t>
      </w:r>
    </w:p>
    <w:p w14:paraId="25E2AB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3D79E17"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01D886E4"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ABB8495" w14:textId="77777777" w:rsidR="007A0956" w:rsidRPr="00640820" w:rsidRDefault="007A0956"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19 октября </w:t>
      </w:r>
      <w:r w:rsidRPr="00640820">
        <w:rPr>
          <w:rFonts w:ascii="Times New Roman" w:hAnsi="Times New Roman"/>
          <w:color w:val="000000" w:themeColor="text1"/>
          <w:sz w:val="16"/>
          <w:szCs w:val="16"/>
        </w:rPr>
        <w:t>в 1941 году утреннее сообщение Совинформбюро:</w:t>
      </w:r>
    </w:p>
    <w:p w14:paraId="36DA4B55" w14:textId="77777777" w:rsidR="007A0956" w:rsidRPr="00640820" w:rsidRDefault="007A09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19 октября наши войска продолжали вести бои на всём фронте. Особенно напряжённые бои шли на Западном направлении фронта.</w:t>
      </w:r>
    </w:p>
    <w:p w14:paraId="6F88C861" w14:textId="77777777" w:rsidR="007A0956" w:rsidRPr="00640820" w:rsidRDefault="007A09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Храбро и мужественно дерутся советские лётчики с озверелым фашизмом. Даже в самых неблагоприятных метеорологических условиях наша авиация наносит серьёзные удары по вражеским войскам. В дождь и непогоду лётчики выполняют сложные боевые задания командования. Части тов. Немцовича, действующие на Юго-Западном направлении фронта, за последние 20 дней уничтожили 56 фашистских самолётов, 104 танка, 700 автомашин, 54 танкетки, 15 бронемашин, несколько десятков повозок и мотоциклов, 10 переправ, свыше 40 орудий, 18 зенитно-пулемётных точек, более 8 батальонов пехоты и 6 взводов конницы. Части тов. Комарова за последние несколько дней уничтожили 117 танков, 519 автомашин, 23 зенитных орудия, более 5 батальонов немецкой пехоты, 27 фашистских самолётов, из которых 20 самолётов было уничтожено на аэродромах противника и 7 сбито в воздушных боях. Лётчики командира Егорова только за последние 3 дня своей боевой работы уничтожили 113 вражеских автомашин, свыше 2 рот пехоты, 2 переправы и сбили 2 самолёта противника.</w:t>
      </w:r>
    </w:p>
    <w:p w14:paraId="6D7C1C88" w14:textId="77777777" w:rsidR="007A0956" w:rsidRPr="00640820" w:rsidRDefault="007A09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каждым днём всё больше обостряются отношения между белофинскими солдатами и немецкими фашистами. Пленный финский солдат Вускала на допросе заявил:-«Между финскими солдатами и немецкими и раньше были напряжённые отношения. Теперь они резко ухудшились. Мы, финские солдаты, недовольны тем, что с нами немецкие офицеры обращаются, как со скотом, гонят нас в наступление туда, где неизбежна смерть от огня русских». Пленный финский солдат Эйно Линтикен рассказывает: «Финны ненавидят немцев. Недавно финские солдаты 14 бригады избили группу немцев». С нескрываемой враждой говорит о немцах пленный финский прапорщик Хейно: «Мы, у них на побегушках. Везде командуют и хозяйничают немцы. Они нам не доверяют. Немцы поработили Финляндию так же, как они поработили другие, европейские страны. У Финляндии в этой войне нет цели, которая бы вдохновляла народ. Наш народ против войны. Он невыносимо страдает от неё. И это из-за проклятых немцев» (14804).</w:t>
      </w:r>
    </w:p>
    <w:p w14:paraId="4D5F91CE" w14:textId="77777777" w:rsidR="007A0956" w:rsidRPr="00640820" w:rsidRDefault="007A0956" w:rsidP="00640820">
      <w:pPr>
        <w:spacing w:after="0" w:line="240" w:lineRule="auto"/>
        <w:jc w:val="both"/>
        <w:rPr>
          <w:rFonts w:ascii="Times New Roman" w:hAnsi="Times New Roman"/>
          <w:color w:val="000000" w:themeColor="text1"/>
          <w:sz w:val="16"/>
          <w:szCs w:val="16"/>
        </w:rPr>
      </w:pPr>
    </w:p>
    <w:p w14:paraId="6669642D" w14:textId="77777777" w:rsidR="007A0956" w:rsidRPr="00640820" w:rsidRDefault="007A0956"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19 октября </w:t>
      </w:r>
      <w:r w:rsidRPr="00640820">
        <w:rPr>
          <w:rFonts w:ascii="Times New Roman" w:hAnsi="Times New Roman"/>
          <w:color w:val="000000" w:themeColor="text1"/>
          <w:sz w:val="16"/>
          <w:szCs w:val="16"/>
        </w:rPr>
        <w:t>в 1941 году вечернее сообщение Совинформбюро:</w:t>
      </w:r>
    </w:p>
    <w:p w14:paraId="7434F21A" w14:textId="77777777" w:rsidR="007A0956" w:rsidRPr="00640820" w:rsidRDefault="007A09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19 октября на всех направлениях фронта продолжались бои. Особенно упорные бои шли на Можайском и Малоярославецком направлениях. Отбито несколько ожесточённых атак немецко-фашистских войск.</w:t>
      </w:r>
    </w:p>
    <w:p w14:paraId="2E38D4E5" w14:textId="77777777" w:rsidR="007A0956" w:rsidRPr="00640820" w:rsidRDefault="007A09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18 октября уничтожено 38 немецких самолётов. Наши потери — 17 самолётов.</w:t>
      </w:r>
    </w:p>
    <w:p w14:paraId="554C1BFF" w14:textId="77777777" w:rsidR="007A0956" w:rsidRPr="00640820" w:rsidRDefault="007A09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 наша часть, действующая на Западном направлении фронта, за день боёв 18 октября уничтожила 42 немецких танка, более 60 автомашин с боеприпасами и горючим, 10 орудий разных калибров и до батальона вражеской пехоты.</w:t>
      </w:r>
    </w:p>
    <w:p w14:paraId="63DAF86D" w14:textId="77777777" w:rsidR="007A0956" w:rsidRPr="00640820" w:rsidRDefault="007A09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всех районах Калининской области, захваченных немцами, активно действуют партизанские отряды. Их число растёт с каждым днём. Десятки и сотни рабочих и служащих предприятий и учреждений, сотни колхозников идут в партизанские отряды и. не щадя своей жизни, дерутся с фашистскими захватчиками. 12, октября партизанский отряд под командованием тов. Щ. напал на немецкую автоколонну, подвозившую к фронту горючее и боеприпасы, и уничтожил 10 автомашин из 25. В завязавшейся перестрелке было убито и ранено до 30 фашистских солдат, сопровождавших автоколонну.</w:t>
      </w:r>
    </w:p>
    <w:p w14:paraId="627951ED" w14:textId="77777777" w:rsidR="007A0956" w:rsidRPr="00640820" w:rsidRDefault="007A09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Только за первую половину октября партизаны отряда тов. Щ. уничтожили более 20 немецких автомашин с горючим и боеприпасами. Пленные немецкие солдаты говорят, что партизаны серьёзно затрудняют связь фронта с базами снабжения. «На каждой дороге,— говорит пленный немецкий солдат Пауль Вебер, — нас ждёт засада, из-за каждого куста и бугорка жди партизанской пули. Недавно из-за столкновения с партизанским отрядом мы на 20 часов опоздали подвезти к фронту горючее, в результате чего 11 танков, оставшихся без горючего, были уничтожены русскими войсками».</w:t>
      </w:r>
    </w:p>
    <w:p w14:paraId="6348D340" w14:textId="77777777" w:rsidR="007A0956" w:rsidRPr="00640820" w:rsidRDefault="007A09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Голландский народ в условиях жестокого террора продолжает борьбу против немецких фашистов. Голландские патриоты десятками истребляют гитлеровских солдат, офицеров и чиновников. Так, например, в окрестностях Леювардена за последние две недели убито и утоплено в море более 40 фашистов.</w:t>
      </w:r>
    </w:p>
    <w:p w14:paraId="7BDD3C80" w14:textId="77777777" w:rsidR="007A0956" w:rsidRPr="00640820" w:rsidRDefault="007A09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месяце сего года немцы арестовали в Голландии 4000 человек за саботаж мероприятий германских властей, срыв производства и перевозки оружия для германской армии и за нападения на фашистских солдат и офицеров.» (14804).</w:t>
      </w:r>
    </w:p>
    <w:p w14:paraId="7166FD2C" w14:textId="77777777" w:rsidR="007A0956" w:rsidRPr="00640820" w:rsidRDefault="007A0956" w:rsidP="00640820">
      <w:pPr>
        <w:spacing w:after="0" w:line="240" w:lineRule="auto"/>
        <w:jc w:val="both"/>
        <w:rPr>
          <w:rFonts w:ascii="Times New Roman" w:hAnsi="Times New Roman"/>
          <w:color w:val="000000" w:themeColor="text1"/>
          <w:sz w:val="16"/>
          <w:szCs w:val="16"/>
        </w:rPr>
      </w:pPr>
    </w:p>
    <w:p w14:paraId="170B78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19 октября 1941 в период обороны Перекопа шестерка пикировщиков Пе-2 капитана Чеботарева под прикрытием 12 истребителей бомбардировала артиллерийскую батарею противника. На отходе группа была атакована пятеркой "мессершмиттов", в бой с которыми постепенно ввязались все советские истребители. Очевидно, что отвлечение входило в план немцев: еще одно подразделение </w:t>
      </w:r>
      <w:r w:rsidRPr="00640820">
        <w:rPr>
          <w:rFonts w:ascii="Times New Roman" w:hAnsi="Times New Roman"/>
          <w:color w:val="000000" w:themeColor="text1"/>
          <w:sz w:val="16"/>
          <w:szCs w:val="16"/>
          <w:lang w:val="en-US"/>
        </w:rPr>
        <w:t>Bf</w:t>
      </w:r>
      <w:r w:rsidRPr="00640820">
        <w:rPr>
          <w:rFonts w:ascii="Times New Roman" w:hAnsi="Times New Roman"/>
          <w:color w:val="000000" w:themeColor="text1"/>
          <w:sz w:val="16"/>
          <w:szCs w:val="16"/>
        </w:rPr>
        <w:t xml:space="preserve"> 109</w:t>
      </w:r>
      <w:r w:rsidRPr="00640820">
        <w:rPr>
          <w:rFonts w:ascii="Times New Roman" w:hAnsi="Times New Roman"/>
          <w:color w:val="000000" w:themeColor="text1"/>
          <w:sz w:val="16"/>
          <w:szCs w:val="16"/>
          <w:lang w:val="en-US"/>
        </w:rPr>
        <w:t>F</w:t>
      </w:r>
      <w:r w:rsidRPr="00640820">
        <w:rPr>
          <w:rFonts w:ascii="Times New Roman" w:hAnsi="Times New Roman"/>
          <w:color w:val="000000" w:themeColor="text1"/>
          <w:sz w:val="16"/>
          <w:szCs w:val="16"/>
        </w:rPr>
        <w:t xml:space="preserve"> из </w:t>
      </w:r>
      <w:r w:rsidRPr="00640820">
        <w:rPr>
          <w:rFonts w:ascii="Times New Roman" w:hAnsi="Times New Roman"/>
          <w:color w:val="000000" w:themeColor="text1"/>
          <w:sz w:val="16"/>
          <w:szCs w:val="16"/>
          <w:lang w:val="en-US"/>
        </w:rPr>
        <w:t>II</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JG</w:t>
      </w:r>
      <w:r w:rsidRPr="00640820">
        <w:rPr>
          <w:rFonts w:ascii="Times New Roman" w:hAnsi="Times New Roman"/>
          <w:color w:val="000000" w:themeColor="text1"/>
          <w:sz w:val="16"/>
          <w:szCs w:val="16"/>
        </w:rPr>
        <w:t>3, ведомое капитаном Г. Голлобом, внезапно атаковало оставшиеся без прикрытия бомбардировщики; в течение 5-7 мин немцы сбили или подбили все шесть машин (12042).</w:t>
      </w:r>
    </w:p>
    <w:p w14:paraId="2E25EE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041F7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октября 1941 года 8 танков Т-34-57, но без боеприпасов поступили в состав 8-й танковой бригады Калининского фронта. Подробностей о боевом применении этих танков в составе 8-й танковой бригады пока не обнаружено (3862).</w:t>
      </w:r>
    </w:p>
    <w:p w14:paraId="7DC794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CA12DC2"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октября 1941 года Директива командующего Западным фронтом генерала армии Г. К. Жукова предписывала «</w:t>
      </w:r>
      <w:r w:rsidRPr="00640820">
        <w:rPr>
          <w:rStyle w:val="af0"/>
          <w:rFonts w:ascii="Times New Roman" w:hAnsi="Times New Roman"/>
          <w:i w:val="0"/>
          <w:color w:val="000000" w:themeColor="text1"/>
          <w:sz w:val="16"/>
          <w:szCs w:val="16"/>
        </w:rPr>
        <w:t>поставить на тыловых рубежах и тыловых дорогах противотанковые отряды, состоящие из 1–2 орудий ПТО, взвода истребителей с гранатами и бутылками КС, взвода саперов с минами, роты стрелков</w:t>
      </w:r>
      <w:r w:rsidRPr="00640820">
        <w:rPr>
          <w:rFonts w:ascii="Times New Roman" w:hAnsi="Times New Roman"/>
          <w:color w:val="000000" w:themeColor="text1"/>
          <w:sz w:val="16"/>
          <w:szCs w:val="16"/>
        </w:rPr>
        <w:t>».</w:t>
      </w:r>
    </w:p>
    <w:p w14:paraId="7E656EA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октября 1941 ГКО пересмотрел обстановку и изменил ранее принятые решения в постановлении №811сс (РГАСПИ. Ф. 644. Оп. 1. Д. 12. Л. 165-165об). Во-первых, было принято решение начать эвакуацию танкового производства немедленно. Во-вторых, вместо Ташкента заводы были отправлены в Свердловск, где им предстояло слиться с двумя находящимися там другими предприятиями - «Металлистом» (КИМ и №37) и Свердловским вагоноремонтным заводом имени Воеводина (Подольский завод). Объединившиеся заводы должны были образовать новое предприятие - завод № 37. Для эвакуации выделялось 2000 вагонов: по 400 для КИМ и № 37 и 1200 для Подольского завода. Свердловский обком должен был выделить жильё для размещения 20 тысяч работников завода и членов их семей. Предполагалось срочно начать на обоих заводах строительство двух механических цехов упрощённой конструкции.</w:t>
      </w:r>
    </w:p>
    <w:p w14:paraId="1453BEC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Эвакуация этих заводов прошла сравнительно успешно. Заводы получили почти в два раза большее количество вагонов, чем первоначально планировал ГКО. Оборудование было вывезено практически полностью. К 1 января 1942 на новой территории завода уже действовало 1286 единиц металлообрабатывающего оборудования из 1842 доставленных на завод (из них 400 передали другим предприятиям). Не обошлось и без потерь при перевозках. Так и не прибыло на 1 января 1942 года 470 вагонов из 3513 отправленных (РГАЭ. Ф. 8798. Оп. 4. Д. 14. Л. 18). Проблема вывоза людей также не была решена полностью. В город Свердловск из всех трёх эвакуируемых заводов прибыло 3513 рабочих и служащих, притом, что ранее на них работало 11527 человек (РГАЭ. Ф. 8798. Оп. 4. Д. 14. Л. 18). Наряду с тремя с половиной тысячами сотрудников в Свердловск было эвакуировано восемь с половиной тысяч членов их семей. Вместо планировавшихся ГКО 20 тысяч человек до места назначения прибыло только 12 тысяч. Правда, не всё оборудование и кадры этих заводов эвакуировались в город Свердловск. Некоторые побочные производства, такие, как: изготовление боеприпасов, мотоциклетных моторов, некоторых видов нефтяного и горнодобывающего оборудования, были переданы заводам других наркоматов. Производство танков налаживалось на заводе № 50 с большим трудом. Завод не выполнил обязательство начать выпуск танков 25 ноября. Первый танк был изготовлен только 15 декабря. В дальнейшем невыполнение планов стало хроническим явлением на заводе. Первый и единственный раз завод выполнил план производства танков в июне 1942 года, произведя 321 лёгкий танк Т -60 (РГАЭ. Ф. 8798. Оп. 4. Д. 14. Л. 18). В следующем месяце завод был переориентирован с производства танков на производство деталей (12290).</w:t>
      </w:r>
    </w:p>
    <w:p w14:paraId="6BCAFA10"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64E817DE" w14:textId="77777777" w:rsidR="00595859" w:rsidRPr="00640820" w:rsidRDefault="00595859" w:rsidP="00640820">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lastRenderedPageBreak/>
        <w:t>19 октября 1941 пары И-16 СПБ трижды вылетали для ударов по наземным целям. Пять самолетов бомбили огневые позиции артиллерии, одна машина нанесла удар по скоплению автомобильной техники.</w:t>
      </w:r>
    </w:p>
    <w:p w14:paraId="36E89AC2" w14:textId="77777777" w:rsidR="00595859" w:rsidRPr="00640820" w:rsidRDefault="00595859" w:rsidP="00640820">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Наличные документы противной стороны не позволяют точно устано</w:t>
      </w:r>
      <w:r w:rsidRPr="00640820">
        <w:rPr>
          <w:rFonts w:ascii="Times New Roman" w:hAnsi="Times New Roman" w:cs="Times New Roman"/>
          <w:color w:val="000000" w:themeColor="text1"/>
          <w:sz w:val="16"/>
          <w:szCs w:val="16"/>
        </w:rPr>
        <w:softHyphen/>
        <w:t>вить результаты этих налетов. Однако постоянные жалобы немцев на русскую авиацию, препятствующую боевой дея</w:t>
      </w:r>
      <w:r w:rsidRPr="00640820">
        <w:rPr>
          <w:rFonts w:ascii="Times New Roman" w:hAnsi="Times New Roman" w:cs="Times New Roman"/>
          <w:color w:val="000000" w:themeColor="text1"/>
          <w:sz w:val="16"/>
          <w:szCs w:val="16"/>
        </w:rPr>
        <w:softHyphen/>
        <w:t>тельности артиллерии, подразумевают, что возможно удары истребителей-бом</w:t>
      </w:r>
      <w:r w:rsidRPr="00640820">
        <w:rPr>
          <w:rFonts w:ascii="Times New Roman" w:hAnsi="Times New Roman" w:cs="Times New Roman"/>
          <w:color w:val="000000" w:themeColor="text1"/>
          <w:sz w:val="16"/>
          <w:szCs w:val="16"/>
        </w:rPr>
        <w:softHyphen/>
        <w:t>бардировщиков были результативными (19112).</w:t>
      </w:r>
    </w:p>
    <w:p w14:paraId="1485C8AA" w14:textId="77777777" w:rsidR="00595859" w:rsidRPr="00640820" w:rsidRDefault="00595859" w:rsidP="00640820">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2A2310BA" w14:textId="77777777" w:rsidR="00836202" w:rsidRPr="00640820" w:rsidRDefault="00836202"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 19 октября 1941 г. Харьков оказался под пря</w:t>
      </w:r>
      <w:r w:rsidRPr="00640820">
        <w:rPr>
          <w:rFonts w:ascii="Times New Roman" w:hAnsi="Times New Roman"/>
          <w:color w:val="0070C0"/>
          <w:sz w:val="16"/>
          <w:szCs w:val="16"/>
        </w:rPr>
        <w:softHyphen/>
        <w:t>мой угрозой захвата и по приказу командующе</w:t>
      </w:r>
      <w:r w:rsidRPr="00640820">
        <w:rPr>
          <w:rFonts w:ascii="Times New Roman" w:hAnsi="Times New Roman"/>
          <w:color w:val="0070C0"/>
          <w:sz w:val="16"/>
          <w:szCs w:val="16"/>
        </w:rPr>
        <w:softHyphen/>
        <w:t>го Юго-Западным фронтом был эвакуирован. 4-я дивизия ПВО, куда входил 6-й ОДАЗ, полу</w:t>
      </w:r>
      <w:r w:rsidRPr="00640820">
        <w:rPr>
          <w:rFonts w:ascii="Times New Roman" w:hAnsi="Times New Roman"/>
          <w:color w:val="0070C0"/>
          <w:sz w:val="16"/>
          <w:szCs w:val="16"/>
        </w:rPr>
        <w:softHyphen/>
        <w:t>чила приказ совершить марш в район г. Новохопёрска. Для прикрытия отхода остались стрелко</w:t>
      </w:r>
      <w:r w:rsidRPr="00640820">
        <w:rPr>
          <w:rFonts w:ascii="Times New Roman" w:hAnsi="Times New Roman"/>
          <w:color w:val="0070C0"/>
          <w:sz w:val="16"/>
          <w:szCs w:val="16"/>
        </w:rPr>
        <w:softHyphen/>
        <w:t>вые части и команды от частей ПВО. Оставшиеся там военнослужащие 6-го ОДАЗ в дивизион уже не вернулись. Отступление проходило по размы</w:t>
      </w:r>
      <w:r w:rsidRPr="00640820">
        <w:rPr>
          <w:rFonts w:ascii="Times New Roman" w:hAnsi="Times New Roman"/>
          <w:color w:val="0070C0"/>
          <w:sz w:val="16"/>
          <w:szCs w:val="16"/>
        </w:rPr>
        <w:softHyphen/>
        <w:t>тым дождями дорогам, так что машины и лебёд</w:t>
      </w:r>
      <w:r w:rsidRPr="00640820">
        <w:rPr>
          <w:rFonts w:ascii="Times New Roman" w:hAnsi="Times New Roman"/>
          <w:color w:val="0070C0"/>
          <w:sz w:val="16"/>
          <w:szCs w:val="16"/>
        </w:rPr>
        <w:softHyphen/>
        <w:t>ки ЛЗ-3 вытягивали канатами. 3 ноября дивизион остановился в с. Елань-Колено для пополнения технических средств, а 5 января 1942 г. получил приказ маршем идти к Сталинграду и войти в со</w:t>
      </w:r>
      <w:r w:rsidRPr="00640820">
        <w:rPr>
          <w:rFonts w:ascii="Times New Roman" w:hAnsi="Times New Roman"/>
          <w:color w:val="0070C0"/>
          <w:sz w:val="16"/>
          <w:szCs w:val="16"/>
        </w:rPr>
        <w:softHyphen/>
        <w:t>став ПВО города (20120).</w:t>
      </w:r>
    </w:p>
    <w:p w14:paraId="1E4567D8" w14:textId="77777777" w:rsidR="00836202" w:rsidRPr="00640820" w:rsidRDefault="00836202" w:rsidP="00640820">
      <w:pPr>
        <w:spacing w:after="0" w:line="240" w:lineRule="auto"/>
        <w:jc w:val="both"/>
        <w:rPr>
          <w:rFonts w:ascii="Times New Roman" w:hAnsi="Times New Roman"/>
          <w:color w:val="0070C0"/>
          <w:sz w:val="16"/>
          <w:szCs w:val="16"/>
        </w:rPr>
      </w:pPr>
    </w:p>
    <w:p w14:paraId="6B6FE07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октября 1941 немецкие войска взяли Таганрог (4962).</w:t>
      </w:r>
    </w:p>
    <w:p w14:paraId="3E035D1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165096" w14:textId="77777777" w:rsidR="001C482B" w:rsidRPr="00640820" w:rsidRDefault="001C482B"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19 октября </w:t>
      </w:r>
      <w:r w:rsidRPr="00640820">
        <w:rPr>
          <w:rFonts w:ascii="Times New Roman" w:hAnsi="Times New Roman"/>
          <w:color w:val="000000" w:themeColor="text1"/>
          <w:sz w:val="16"/>
          <w:szCs w:val="16"/>
        </w:rPr>
        <w:t>в 1941 году немецкими войсками захвачен Таганрог (14804).</w:t>
      </w:r>
    </w:p>
    <w:p w14:paraId="4D1E4430" w14:textId="77777777" w:rsidR="001C482B" w:rsidRPr="00640820" w:rsidRDefault="001C482B" w:rsidP="00640820">
      <w:pPr>
        <w:spacing w:after="0" w:line="240" w:lineRule="auto"/>
        <w:jc w:val="both"/>
        <w:rPr>
          <w:rFonts w:ascii="Times New Roman" w:hAnsi="Times New Roman"/>
          <w:color w:val="000000" w:themeColor="text1"/>
          <w:sz w:val="16"/>
          <w:szCs w:val="16"/>
        </w:rPr>
      </w:pPr>
    </w:p>
    <w:p w14:paraId="1D2ABA09" w14:textId="77777777" w:rsidR="001C482B" w:rsidRPr="00640820" w:rsidRDefault="001C482B"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19 октября </w:t>
      </w:r>
      <w:r w:rsidRPr="00640820">
        <w:rPr>
          <w:rFonts w:ascii="Times New Roman" w:hAnsi="Times New Roman"/>
          <w:color w:val="000000" w:themeColor="text1"/>
          <w:sz w:val="16"/>
          <w:szCs w:val="16"/>
        </w:rPr>
        <w:t>в 1941 году перешли в наступление в Крыму войска 11-й немецкой армии и румынского горного корпуса. Началась Крымская оборонительная операция войск 51-й и Приморской армий во взаимодействии с Черноморским флотом (продолжалась до 16 ноября) (14804).</w:t>
      </w:r>
    </w:p>
    <w:p w14:paraId="0B2FA185" w14:textId="77777777" w:rsidR="001C482B" w:rsidRPr="00640820" w:rsidRDefault="001C482B" w:rsidP="00640820">
      <w:pPr>
        <w:spacing w:after="0" w:line="240" w:lineRule="auto"/>
        <w:jc w:val="both"/>
        <w:rPr>
          <w:rFonts w:ascii="Times New Roman" w:hAnsi="Times New Roman"/>
          <w:color w:val="000000" w:themeColor="text1"/>
          <w:sz w:val="16"/>
          <w:szCs w:val="16"/>
        </w:rPr>
      </w:pPr>
    </w:p>
    <w:p w14:paraId="3D54324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октября 1941 для обороны Москвы прибыли первые советские части из Сибири и Дальнего Востока (4962).</w:t>
      </w:r>
    </w:p>
    <w:p w14:paraId="621981C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9524D6"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7FB2E248"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C9FDB5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октября 1941 вышло Постановление ГКО № 813 [О введении в Москве осадного положения.] (7013, 167-168).</w:t>
      </w:r>
    </w:p>
    <w:p w14:paraId="6BAF7E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 ВВЕДЕНИИ В МОСКВЕ ОСАДНОГО ПОЛОЖЕНИЯ</w:t>
      </w:r>
    </w:p>
    <w:p w14:paraId="469C02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 Кремль</w:t>
      </w:r>
    </w:p>
    <w:p w14:paraId="6A0963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Сим объявляется, что оборона столицы на рубежах, отстоящих на 100—120 километров западнее Москвы, поручена Командующему Западным фронтом генералу армии т. Жукову, а на начальника гарнизона г. Москвы генерал-лейтенанта т. Артемьева возложена оборона Москвы на ее подступах. В целях тылового обеспечения обороны Москвы и укрепления тыла войск, защищающих Москву, а также в целях пресечения подрывной деятельности шпионов, диверсантов и других агентов немецкого фашизма Государственный Комитет Обороны постановил:</w:t>
      </w:r>
    </w:p>
    <w:p w14:paraId="052BDD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Ввести с 20 октября 1941 г. в городе Москве и прилегающих к городу районах осадное положение.</w:t>
      </w:r>
    </w:p>
    <w:p w14:paraId="7EDC3C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Воспретить всякое уличное движение как отдельных лиц, так и транспортов, с 12 часов ночи до 5 часов утра, за исключением транспортов и лиц, имеющих специальные пропуска от коменданта г. Москвы, причем в случае объявления воздушной тревоги передвижение населения и транспортов должно происходить согласно правилам, утвержденным московской противовоздушной обороной и опубликованных в печати.</w:t>
      </w:r>
    </w:p>
    <w:p w14:paraId="620BE6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Охрану строжайшего порядка в городе и в пригородных районах возложить на коменданта города Москвы генерала-майора т. Синилова, для чего в распоряжение коменданта предоставить войска внутренней охраны НКВД, милицию и добровольческие рабочие отряды.</w:t>
      </w:r>
    </w:p>
    <w:p w14:paraId="7D83AD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Нарушителей порядка немедля привлекать к ответственности с передачей суду военного трибунала, а провокаторов, шпионов и прочих агентов врага, призывающих к нарушению порядка, расстреливать на месте.</w:t>
      </w:r>
    </w:p>
    <w:p w14:paraId="3F937D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Государственный Комитет Обороны призывает всех трудящихся столицы соблюдать порядок и спокойствие и оказывать Красной Армии, обороняющей Москву, всяческое содействие.</w:t>
      </w:r>
    </w:p>
    <w:p w14:paraId="183A02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Председатель Государственного Комитета Обороны</w:t>
      </w:r>
    </w:p>
    <w:p w14:paraId="048A75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 СТАЛИН</w:t>
      </w:r>
    </w:p>
    <w:p w14:paraId="4ED9C2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РЦХИДНИ. Ф. 644. Оп. 2. Ед. хр. 23. Л. 49-50</w:t>
      </w:r>
    </w:p>
    <w:p w14:paraId="13191902"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РГАСПИ Ф. 644, оп. 1 Д. 12, л. 167-168 (12013)</w:t>
      </w:r>
    </w:p>
    <w:p w14:paraId="44E119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AA3B5C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октября 1941 Москва объявлена на осадном положении (4962).</w:t>
      </w:r>
    </w:p>
    <w:p w14:paraId="4582682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E211C8" w14:textId="77777777" w:rsidR="007A0956" w:rsidRPr="00640820" w:rsidRDefault="007A0956"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19 октября </w:t>
      </w:r>
      <w:r w:rsidRPr="00640820">
        <w:rPr>
          <w:rFonts w:ascii="Times New Roman" w:hAnsi="Times New Roman"/>
          <w:color w:val="000000" w:themeColor="text1"/>
          <w:sz w:val="16"/>
          <w:szCs w:val="16"/>
        </w:rPr>
        <w:t>в 1941 году по Московской радиотрансляционной сети передано, что Государственный Комитет Обороны принял постановление, которым объявлялось с 20 октября 1941 г. осадное положение в Москве и прилегающих к городу районах. Постановление, в частности, предписывало «Воспретить всякое уличное движение как отдельных лиц, так и транспортов с 12 часов ночи до 5 часов утра, за исключением транспортов и лиц, имеющих специальные пропуска от коменданта г. Москвы. Нарушителей порядка немедля привлекать к ответственности с передачей суду военного трибунала, а провокаторов, шпионов и прочих агентов врага, призывающих к нарушению порядка, расстреливать на месте». Правительство и дипкорпус были эвакуированы в Куйбышев. Москвичи круглые сутки не выключали радио. Несколько раз в день повторялись сводки «От Советского информбюро». В шесть часов утра звучала песня «Священная война» (14804).</w:t>
      </w:r>
    </w:p>
    <w:p w14:paraId="19D1044B" w14:textId="77777777" w:rsidR="007A0956" w:rsidRPr="00640820" w:rsidRDefault="007A0956" w:rsidP="00640820">
      <w:pPr>
        <w:spacing w:after="0" w:line="240" w:lineRule="auto"/>
        <w:jc w:val="both"/>
        <w:rPr>
          <w:rFonts w:ascii="Times New Roman" w:hAnsi="Times New Roman"/>
          <w:color w:val="000000" w:themeColor="text1"/>
          <w:sz w:val="16"/>
          <w:szCs w:val="16"/>
        </w:rPr>
      </w:pPr>
    </w:p>
    <w:p w14:paraId="029E7489" w14:textId="77777777" w:rsidR="007A0956" w:rsidRPr="00640820" w:rsidRDefault="007A0956"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19-го октября 1941 Государственный Комитет Обороны принимает Постановление «О введении в Москве и прилегающих к ней районов осадного положения» (15223).</w:t>
      </w:r>
    </w:p>
    <w:p w14:paraId="13E96398" w14:textId="77777777" w:rsidR="007A0956" w:rsidRPr="00640820" w:rsidRDefault="007A0956" w:rsidP="00640820">
      <w:pPr>
        <w:shd w:val="clear" w:color="auto" w:fill="FFFFFF"/>
        <w:spacing w:after="0" w:line="240" w:lineRule="auto"/>
        <w:jc w:val="both"/>
        <w:rPr>
          <w:rFonts w:ascii="Times New Roman" w:hAnsi="Times New Roman"/>
          <w:color w:val="000000" w:themeColor="text1"/>
          <w:sz w:val="16"/>
          <w:szCs w:val="16"/>
        </w:rPr>
      </w:pPr>
    </w:p>
    <w:p w14:paraId="7B9E7E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октября 1941 постановлением ГКО N 813 (575,125) с 20 в Москве ввели осадное положение (340,60).</w:t>
      </w:r>
    </w:p>
    <w:p w14:paraId="0A56ED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3CEF4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октября 1941 и.о. прокурора Воротынского района Н. Н. Соболева в присутствии ряда гражданок говорила, что «народ никогда не простит советской власти за хлеб, отправленный в Финляндию накануне войны с Германией, что наши неудачи на фронте объясняются рядом измен, что тов. Сталин ходит в лаптях по Чебоксарам, гитлеровцы на Москву вместо бомб бросают колбасу и целые головы сахара, что летчик Леваневский бомбил Москву». В самом провинциальном городишке Воротынец дважды находили антисоветские листовки, в которых провозглашались лозунги «Долой колхозы!», «Долой коммунистов!» и т.д. Причем листовки были разбросаны прямо в помещении райкома партии (11774).</w:t>
      </w:r>
    </w:p>
    <w:p w14:paraId="7574F1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26990EF" w14:textId="77777777" w:rsidR="007A0956" w:rsidRPr="00640820" w:rsidRDefault="007A0956"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19 октября </w:t>
      </w:r>
      <w:r w:rsidRPr="00640820">
        <w:rPr>
          <w:rFonts w:ascii="Times New Roman" w:hAnsi="Times New Roman"/>
          <w:color w:val="000000" w:themeColor="text1"/>
          <w:sz w:val="16"/>
          <w:szCs w:val="16"/>
        </w:rPr>
        <w:t>в 1941 году (19-20 октября) иностранные посольства в СССР прибыли в Куйбышев (14804).</w:t>
      </w:r>
    </w:p>
    <w:p w14:paraId="46E9F51E" w14:textId="77777777" w:rsidR="007A0956" w:rsidRPr="00640820" w:rsidRDefault="007A0956" w:rsidP="00640820">
      <w:pPr>
        <w:spacing w:after="0" w:line="240" w:lineRule="auto"/>
        <w:jc w:val="both"/>
        <w:rPr>
          <w:rFonts w:ascii="Times New Roman" w:hAnsi="Times New Roman"/>
          <w:color w:val="000000" w:themeColor="text1"/>
          <w:sz w:val="16"/>
          <w:szCs w:val="16"/>
        </w:rPr>
      </w:pPr>
    </w:p>
    <w:p w14:paraId="186D67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октября 1941 г. согласно Командованию 18-й армии</w:t>
      </w:r>
    </w:p>
    <w:p w14:paraId="381542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Отдел 1с</w:t>
      </w:r>
    </w:p>
    <w:p w14:paraId="22A2C1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Адресат: ОКВ, начальник Генштаба</w:t>
      </w:r>
    </w:p>
    <w:p w14:paraId="58F618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Сообщение о Петербурге № 5</w:t>
      </w:r>
    </w:p>
    <w:p w14:paraId="740A85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Мероприятия по снабжению.</w:t>
      </w:r>
    </w:p>
    <w:p w14:paraId="52A917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 показания военнопленных указывают на то, что руководство красных по-прежнему прилагает все усилия, чтобы усилить защиту города всеми возможными средствами. Продолжается формирование рабочих батальонов. До поголовного вооружения народа, по-видимому, дело еще не дошло. Имело место одно сообщение о том, что в качестве оружия выдают охотничьи ружья, а к ним патроны с картечью 15 калибра. В последнее время военнослужащие этих рабочих батальонов наряду с не полностью выздоровевшими снова пополняли ряды действующей армии.</w:t>
      </w:r>
    </w:p>
    <w:p w14:paraId="3BF437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южной части города вдоль Обводного канала и железнодорожной линии гавань — мосты через Неву проходят две линии укреплений. Кроме того, передают о наличии во многих внутренних частях города бетонных и каменных бункеров. На Кировском проспекте (угол улицы Мира (Н 6) и угол площади Льва Толстого (J 6) установлены заграждения.</w:t>
      </w:r>
    </w:p>
    <w:p w14:paraId="22F34C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Сообщают, что во многих домах по Международному проспекту (О Р 6) заложены взрывные устройства. В случае вступления в город немецких войск они должны быть взорваны с тем чтобы перегородить улицу.</w:t>
      </w:r>
    </w:p>
    <w:p w14:paraId="6ABDF8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Некоторые предприятия переоборудованы для ведения обороны (стрелковые гнезда и пески с мешком по периметру здания).</w:t>
      </w:r>
    </w:p>
    <w:p w14:paraId="14EF0E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Обеспечение действующей армии оружием и боеприпасами все еще осуществляется петербургскими оборонными предприятиями. Не хватает боеприпасов для артиллерии малого и среднего калибров, а также легкого стрелкового оружия.</w:t>
      </w:r>
    </w:p>
    <w:p w14:paraId="3204E1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последнее время артиллерия ограничена в количестве производимых выстрелов и получает боеприпасы непосредственно с заводов. У частей, которые направляются на переформирование, отбирают стрелковое оружие и направляют его на фронт. По-видимому, продолжается производство бронированной техники. В последнее время наблюдалось еще большее количество танков.</w:t>
      </w:r>
    </w:p>
    <w:p w14:paraId="0057BE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На заводе им. Карла Маркса, по показаниям одного русского инженера, производят ракетное оружие для стрельбы 16 ракетами калибра 132 мм. Ожидается использование этого оружия на фронте в больших размерах.</w:t>
      </w:r>
    </w:p>
    <w:p w14:paraId="413CE1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сентября из Москвы через Ладожское озеро проследовало 50 новых самолетов. Из них 9 истребителей ЛАГ сели на аэродроме в Манушкино, 18 истребителей Лаг — в Углово и 10 истребителей типа И-16 — в Новой деревне.</w:t>
      </w:r>
    </w:p>
    <w:p w14:paraId="57A0F6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заводе Марти (О. 4) находятся два больших военных судна. Одно из них достраивается. В то время как с другого снимают броневые листы с тем, чтобы использовать их для танков. В середине июля верфь покинули в направлении Кронштадта 15 почти готовых подводных лодок. Кроме того, с того времени со стапелей было спущено еще 10 подлодок, строительство которых было завершено не полностью.</w:t>
      </w:r>
    </w:p>
    <w:p w14:paraId="550E34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Контроль за перемещение людей и транспорта внутри города очень строгий. Без соответствующего документа по улице едва ли можно пройти несколько сот метров. Гражданское население не впускают и не выпускают за пределы города.</w:t>
      </w:r>
    </w:p>
    <w:p w14:paraId="1CF023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Мероприятия по затемнению осуществляются очень строго. По незатем-ненным окнам ночью стреляют без предупреждения.</w:t>
      </w:r>
    </w:p>
    <w:p w14:paraId="439D2E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Положение со снабжением.</w:t>
      </w:r>
    </w:p>
    <w:p w14:paraId="001F13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Обеспечение продовольствием частей действующей армии все еще остается, по-видимому, достаточным. Рабочие, которые находятся на заводах на казарменном положении, получают тарелку супа и 400 г хлеба, а служащие — всего 200 г! Сообщают, что гражданское население по выдаваемым карточкам может получить в месяц:</w:t>
      </w:r>
    </w:p>
    <w:p w14:paraId="434256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800 г сахара</w:t>
      </w:r>
    </w:p>
    <w:p w14:paraId="62FC21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600 г мяса</w:t>
      </w:r>
    </w:p>
    <w:p w14:paraId="7D9071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600 г крупы</w:t>
      </w:r>
    </w:p>
    <w:p w14:paraId="29675B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 г маргарина,</w:t>
      </w:r>
    </w:p>
    <w:p w14:paraId="7D2214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также 3 коробки спичек, 1 кусок мыла и 200 г хлеба в день.</w:t>
      </w:r>
    </w:p>
    <w:p w14:paraId="1F87F0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Однако в связи с тем, что полагающихся продуктов питания часто нельзя получить, а неотоваренные карточки пропадают, реальное положение со снабжением значительно хуже. Сообщают, что картофеля больше совсем нет.</w:t>
      </w:r>
    </w:p>
    <w:p w14:paraId="3D2CD1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По-видимому, наступила нехватка топлива, особенно в результате уничтожения складов горючего. На каждую легковую машину выдается сейчас 200 литров бензина. Сверх этих лимитов топливо не выдается.</w:t>
      </w:r>
    </w:p>
    <w:p w14:paraId="7B7368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Согласно показаниям военнопленных, снабжение города продовольствием все еще осуществляется из Поволжья. Транспорты идут до Новой Ладоги и оттуда на судах продовольствие доставляется на западный берег Ладожского озера в Осиновец. Из Осиновца грузы по железной дороге доставляются в Петербург. По другим данным, доставка товаров баржами более невозможна.</w:t>
      </w:r>
    </w:p>
    <w:p w14:paraId="156E94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По-видимому, есть нехватка военного обмундирования, поскольку направляемое на фронт пополнение большей частью одето в гражданское.</w:t>
      </w:r>
    </w:p>
    <w:p w14:paraId="4E523B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многих сообщений явствует, что население во все большей степени начинает страдать из-за нехватки денег.</w:t>
      </w:r>
    </w:p>
    <w:p w14:paraId="43D2CC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Настроение и пропаганда.</w:t>
      </w:r>
    </w:p>
    <w:p w14:paraId="09028B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Согласно многочисленным высказываниям военнопленных, настроение населения и войск является очень подавленным. Оборону города считают безумием и надеются, что после сдачи города положение с обеспечением улучшится и эвакуированные смогут вернуться домой.</w:t>
      </w:r>
    </w:p>
    <w:p w14:paraId="41AD62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Другая часть военнопленных говорит, что многие красноармейцы хотят перейти (на нашу сторону), так как они слышали о хорошем обращении с военнопленными. Но в действительности условия намного хуже, чем они думают (выделено мной — Н.Л..).</w:t>
      </w:r>
    </w:p>
    <w:p w14:paraId="339B00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Сообщают, что растет число открытых оскорблений в адрес евреев. Некоторые уже обсуждают условия мира и размышляют над тем, будут ли немцы требовать создание нового правительства или же будут настаивать на больших территориальных уступках (выделено мной — Н.Л.). Однако красные правители с помощью террора и мощной пропаганды крепко держат население в своих руках и в настоящее время нельзя рассчитывать на организованное выступление против власти. Однако очевидно, что дальнейшие военные поражения Красной Армии окажут большое влияние на настроения.</w:t>
      </w:r>
    </w:p>
    <w:p w14:paraId="5C687D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Пропаганда по-прежнему ведется с очень большим размахом. В самом городе все еще без проблем можно купить московские и петербургские газеты, в то время как войска почти полностью предоставлены политическим комиссарам.</w:t>
      </w:r>
    </w:p>
    <w:p w14:paraId="2F90EE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Высказывания военнопленных свидетельствуют о том, что немецкие листовки достаточно эффективны. Листовки, которые предназначены гражданскому населению Петербурга, могли бы быть более конкретными.</w:t>
      </w:r>
    </w:p>
    <w:p w14:paraId="6628DA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листовки было бы целесообразно сбрасывать в центре города с тем, чтобы патрули были не в состоянии сразу же собрать все листовки.</w:t>
      </w:r>
    </w:p>
    <w:p w14:paraId="486077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Данные, отличающиеся от ранее составленного военного плана города.</w:t>
      </w:r>
    </w:p>
    <w:p w14:paraId="37DAD3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Собранные сведения будут учтены при составлении нового плана Петербурга.</w:t>
      </w:r>
    </w:p>
    <w:p w14:paraId="60EAF8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Данные, отличающиеся от ранее составленной карты укреплений масштаба 1: 50 000.</w:t>
      </w:r>
    </w:p>
    <w:p w14:paraId="3149CB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Новые данные будут учтены при подготовке новой карты масштаба 1:25 000.</w:t>
      </w:r>
    </w:p>
    <w:p w14:paraId="7706A1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Согласно показаниям военнопленных, рядом с береговыми батареями на южном побережье Финского залива построены соответствующие макеты (?) (так в тексте — Н.Л.)</w:t>
      </w:r>
    </w:p>
    <w:p w14:paraId="547CE9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Общая информация.</w:t>
      </w:r>
    </w:p>
    <w:p w14:paraId="571635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Согласно приказу из Москвы, различные лица, особенно мастера, подлежат вывозу авиацией из Петербурга в Москву. Из Москвы их дальше повезут вглубь страны. Аналогично, подлежат вывозу авиацией в Москву определенные приборы и оборудование.</w:t>
      </w:r>
    </w:p>
    <w:p w14:paraId="0A0D83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показаниям военнопленных, погрузка транспортов из Петербурга в Ораниенбаум осуществляется на Васильевском острове у моста лейтенанта Шмидта20.</w:t>
      </w:r>
    </w:p>
    <w:p w14:paraId="436F10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Национальный Архив США. Командование 18-й армии. Отдел 1с. Микрофильм. Т-312/1579 -761-64 (11814).</w:t>
      </w:r>
    </w:p>
    <w:p w14:paraId="16CA51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AB3C554"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0DA6283F"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A62AE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October 19 1941 Afghanistan consented to British-Soviet request for ejection of Axis nationals (1223).</w:t>
      </w:r>
    </w:p>
    <w:p w14:paraId="76D179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5D31F3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октября 1941 Афганистан согласился на советско-британское требование о высылке националистов из стран оси (1223).</w:t>
      </w:r>
    </w:p>
    <w:p w14:paraId="605BA7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7388E91"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0FC21430"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38D42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октября 1941 г. на площадке эвакуированного завода № 156 в Москве (Завод № 156 НКОП, НКАП, МАП, ГКАТ, Завод опытных конструкций (ЗОК) ЦАГИ, ЗОК НКТП, НКОП, п/я-116, В-2877, ММЗ «Опыт» МАП, ММЗ им. А.Н. Туполева, АНТК им. А.Н. Туполева, АООТ «АНТК им. А.Н. Туполева» /г. Москва ул. Салтыковская, 3 (1942 г.); ул. Салтыковская, 5 (1947 г.)/ /111250  г. Москва наб. Академика Туполева, 15; 105005 наб. Академика Туполева, 17 тел. 267-25-33/) по приказу № 1073с образованы ремонтные мастерские по приборам и изготовлению металлических деталей винтов при Ремотделе НКАП. Далее в системе 6ГУ НКАП начал действовать завод № 156. По приказу № 1168с от 16.12.1941 г. на завод № 156 переведена часть личного состава с завода № 207 НКАП, в 1942 г. они возвращены обратно. Пост. ГКО № 1293 от 16.02.1942 г. и приказом № 150с от 24.02.1942 г. было принято решение о переброске оборудования завода № 156 из  г. Нейвинска в Москву и организации производства подвесных бензобаков для бомбардировщиков. Завод № 156 в 1942 г. действовал на старом месте (ул. Салтыковская). Производство амортизаторов для лыж, подвесных бензо- и маслобаков из целлюлозы конструкции ОКБ гл. конструктора П.В. Гулянского. Освоено производство ВАП-250 го целлюлозы.</w:t>
      </w:r>
    </w:p>
    <w:p w14:paraId="7D301F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Весной 1943 г. на территории завода № 156 размещалось КБ М.И. Гудкова (переведено с завода № 21). Работы поГу-1.</w:t>
      </w:r>
    </w:p>
    <w:p w14:paraId="3A25D3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04.1943 г. завод № 156 передан из 6ГУ в 7ГУ НКАП, и началось возобновление работ по опытному самолетостроению. По приказу № 233с от 14/19.04.1943 г. гл. конструктором/ ответственным руководителем завода назначен А.Н. Туполев. Осенью 1943 г. КБ вернулось на площадку завода № 156 и продолжило работу как ОКБ-156 НКАП. В начале 1944 г. при заводе образован филиал ОКБ-166 НКАП для доводки Ту-2.</w:t>
      </w:r>
    </w:p>
    <w:p w14:paraId="58396C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08.1943 г. заводу дано задание освоить производство бензофильтров, бензопистолетов, арматуры к бензо- и маслозаправщикам.</w:t>
      </w:r>
    </w:p>
    <w:p w14:paraId="2E0A1E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1946 г. на завод передано 150 станков с завода Эрля в  г. Гройтш (Германия), а всего - 208 трофейных металлорежущих станков.</w:t>
      </w:r>
    </w:p>
    <w:p w14:paraId="554D94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1960 г. завод № 156 - в ведении ГКАТ.</w:t>
      </w:r>
    </w:p>
    <w:p w14:paraId="1C55BB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Ответственный руководитель (04.1943 г.-)- А.Н. Туполев.</w:t>
      </w:r>
    </w:p>
    <w:p w14:paraId="200910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(-05-13.11.1937 г.)- А.А. Осипов, (13.11.1937-13.04.1938 г.)- А.Т. Туманов, (13.04-11.1938 г.-)- М.А. Усачев, (1939 г.)- Ленкин, (09.1940-07.1941 г.; -11.1943-02.1945 г.-)- А.В. Ляпидевский, (12.1941 г.)- П.В. Гулянский, (-07.1943 г.)- С.С. Ржыщев; И.О. директора (08.1943 г.)- Новосельский; (1955 г.)- И.Б. Иосилович.</w:t>
      </w:r>
    </w:p>
    <w:p w14:paraId="16C7F7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(06.1937 г.)- Б.А. Новосельский. Помощник директора по найму и увольнению рабочей силы (1.02.1937 г.-)- Н.Б. Суровцев.</w:t>
      </w:r>
    </w:p>
    <w:p w14:paraId="1065EB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Технический директор (07.1936 г.-)- В.М. Петляков, (28.05-08.1938 г.-)- Н.Н. Поликарпов. Директор по общим вопросам (-2005-06 г.-)-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Затучный.</w:t>
      </w:r>
    </w:p>
    <w:p w14:paraId="3106B5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(06.1937 г.)- Б.А. Новосельский.</w:t>
      </w:r>
    </w:p>
    <w:p w14:paraId="697692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(1940 г.)- С.А. Кочеригин, (04.1943 г.-)- А.Н. Туполев.</w:t>
      </w:r>
    </w:p>
    <w:p w14:paraId="04E635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Зам. гл. конструктора (07.1936 г.-)- П.О. Сухой.</w:t>
      </w:r>
    </w:p>
    <w:p w14:paraId="0EAF32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КО (07.1936 г.-)- В.М. Петляков.</w:t>
      </w:r>
    </w:p>
    <w:p w14:paraId="724029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начальника отдела: КО (07.1936 г.-)- П.О. Сухой; ОТК (07.1938 г.)- А.С. Комаленков.</w:t>
      </w:r>
    </w:p>
    <w:p w14:paraId="227F10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КО (1937 г.-)- П.О. Сухой.</w:t>
      </w:r>
    </w:p>
    <w:p w14:paraId="7FBB11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департамента по связям с общественностью (2005 г.)- Т.В. Скворцова.</w:t>
      </w:r>
    </w:p>
    <w:p w14:paraId="46AD5E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самолеты: «Иванов» (1938)- 1, И-180 (1938)- 2, «100». (1939)- 1, ДБ-Ж (1940)- 1, «103» (1940)- 1, «ЮЗУ» (04.1941)- 1, «103В» (1941)- 1, «370» (1941)- 1, Ту-2Д («62», 1944-45)- 2, Ту-14 («73», 1947)- 3, «82» (1949)- 1, Ту-16 («88», 1952-53)- 2, Ту-91 (1954)- 1, Ту-98 («98», 1955-)- 2, «105» (1958)- 1, Ту-160 (1981)- 3 (из деталей КАПО); торпедные катера: Г-6 (1935)- 1, Г-8 (1937)- 1 (11982).</w:t>
      </w:r>
    </w:p>
    <w:p w14:paraId="040BE426" w14:textId="77777777" w:rsidR="004E7169" w:rsidRPr="00640820" w:rsidRDefault="004E7169" w:rsidP="00640820">
      <w:pPr>
        <w:autoSpaceDE w:val="0"/>
        <w:autoSpaceDN w:val="0"/>
        <w:adjustRightInd w:val="0"/>
        <w:spacing w:after="0" w:line="240" w:lineRule="auto"/>
        <w:jc w:val="both"/>
        <w:rPr>
          <w:rFonts w:ascii="Times New Roman" w:hAnsi="Times New Roman"/>
          <w:color w:val="000000" w:themeColor="text1"/>
          <w:sz w:val="16"/>
          <w:szCs w:val="16"/>
        </w:rPr>
      </w:pPr>
    </w:p>
    <w:p w14:paraId="573C3E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октября 1941 вышел приказ НКАП № 1073 об организации на площадях эвакуированного завода № 32 Ремонтных мастерских по установкам вооружения при Ремонтном отделе НКАП (9651,92).</w:t>
      </w:r>
    </w:p>
    <w:p w14:paraId="3D45E7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DC0B4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октября 1941 г. по приказу НКАП № 1073с на площадке эвакуированного завода в Москве организованы Ремонтные мастерские по установкам вооружения при Ремотделе НКАП. Далее- это Московский филиал завода № 32 (директор- М.В. Дворкин). А уже с 12.1941 г. начало восстанавливаться производство и пост. ГКО № 1053 от 23.12.1941 г. образован новый завод по агрегатам вооружения № 43 НКАП. Из  г. Кирова для формирования нового завода переданы часть оборудования и часть коллектива (11982).</w:t>
      </w:r>
    </w:p>
    <w:p w14:paraId="24CE19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1AA23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октября 1941 г. по приказам № 1073с и № 93с от 2.02.1942 г. на площадке эвакуированного завода № 207 с 10.1941 г. образовались самолетные Ремонтные мастерские при Ремотделе, далее- при Главремуправлении НКАП. Начальник с 01.1942 г.- М.П. Озимков (с завода № 487). Сюда возвращены кадры, ранее отправленные на завод № 156. Ремонт ЛаГГ-1, Ла-5, МиГ-3, Як-3, Як-9, Ил-2.</w:t>
      </w:r>
    </w:p>
    <w:p w14:paraId="471376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04.1942 г. на площадке завода № 207 образован завод № 462 НКАП. С 1957 г. здесь же - ОКБ-424 (ДКБА).</w:t>
      </w:r>
    </w:p>
    <w:p w14:paraId="50BB6B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(11.1940 г.)- 198 металлорежущих станков.</w:t>
      </w:r>
    </w:p>
    <w:p w14:paraId="4125C1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(1932 г.)- П. Пурмаль,</w:t>
      </w:r>
      <w:r w:rsidRPr="00640820">
        <w:rPr>
          <w:rFonts w:ascii="Times New Roman" w:hAnsi="Times New Roman"/>
          <w:color w:val="000000" w:themeColor="text1"/>
          <w:sz w:val="16"/>
          <w:szCs w:val="16"/>
          <w:vertAlign w:val="superscript"/>
        </w:rPr>
        <w:t>104</w:t>
      </w:r>
      <w:r w:rsidRPr="00640820">
        <w:rPr>
          <w:rFonts w:ascii="Times New Roman" w:hAnsi="Times New Roman"/>
          <w:color w:val="000000" w:themeColor="text1"/>
          <w:sz w:val="16"/>
          <w:szCs w:val="16"/>
        </w:rPr>
        <w:t xml:space="preserve"> (1932 г.)- И. Фильдман, (-06.193 7-11.04.193 8 г.)- С. Г. Хорьков (арестован), (19.06-09.1938 г.-)- С.В. Житенев, (1938-05.1941 г.-)-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II</w:t>
      </w:r>
      <w:r w:rsidRPr="00640820">
        <w:rPr>
          <w:rFonts w:ascii="Times New Roman" w:hAnsi="Times New Roman"/>
          <w:color w:val="000000" w:themeColor="text1"/>
          <w:sz w:val="16"/>
          <w:szCs w:val="16"/>
        </w:rPr>
        <w:t>. Горин.</w:t>
      </w:r>
    </w:p>
    <w:p w14:paraId="607EDD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(-06-20.12.1937 г.)- П.Б. Рудини (снят); по строительству (28.02.1937 г.-)- И.П. Афанасьев.</w:t>
      </w:r>
    </w:p>
    <w:p w14:paraId="7E05F4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(01.1937-39 г.)- А.И. Путилов (репрессирован), (-06-20.12.1937 г.)- П.Б. Рудини,</w:t>
      </w:r>
      <w:r w:rsidRPr="00640820">
        <w:rPr>
          <w:rFonts w:ascii="Times New Roman" w:hAnsi="Times New Roman"/>
          <w:color w:val="000000" w:themeColor="text1"/>
          <w:sz w:val="16"/>
          <w:szCs w:val="16"/>
          <w:vertAlign w:val="superscript"/>
        </w:rPr>
        <w:t>139</w:t>
      </w:r>
      <w:r w:rsidRPr="00640820">
        <w:rPr>
          <w:rFonts w:ascii="Times New Roman" w:hAnsi="Times New Roman"/>
          <w:color w:val="000000" w:themeColor="text1"/>
          <w:sz w:val="16"/>
          <w:szCs w:val="16"/>
        </w:rPr>
        <w:t xml:space="preserve"> (10.1941 г.)- В.К. Таиров.</w:t>
      </w:r>
    </w:p>
    <w:p w14:paraId="458134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(1932 г.-)- Умберто Нобиле.</w:t>
      </w:r>
      <w:r w:rsidRPr="00640820">
        <w:rPr>
          <w:rFonts w:ascii="Times New Roman" w:hAnsi="Times New Roman"/>
          <w:color w:val="000000" w:themeColor="text1"/>
          <w:sz w:val="16"/>
          <w:szCs w:val="16"/>
          <w:vertAlign w:val="superscript"/>
        </w:rPr>
        <w:t>104</w:t>
      </w:r>
    </w:p>
    <w:p w14:paraId="08D485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КБ «Дирижаблестроя» (1938-46 г.)- Умберто Нобиле.</w:t>
      </w:r>
    </w:p>
    <w:p w14:paraId="5C1458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дирижабли: В-2, В-3 (1932), В-5, В-6, В-8 (1936)- 1, ДП-9, В-12, ДП-16 (1938), ДС-8, Д-100; самолеты: И-207 (1939-41)- 4, Су-2 (1940-41)- 92.</w:t>
      </w:r>
    </w:p>
    <w:p w14:paraId="1396DD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завода № 207 НКАП гл. конструкторов А.А. Боровкова и И.Ф. Флорова</w:t>
      </w:r>
    </w:p>
    <w:p w14:paraId="1DCB29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Образовалось на заводе № 207 после перехода сюда осенью 1938 г. с завода № 21 конструкторской группы А.А. Боровкова и И.Ф. Флорова. Работы по истребителю И-207; проект экспериментального истребителя «Д» с комбинированной двигательной установкой (М-71 и ПВРД, 2х ДМ-12). В 1941 г. работы по «Д» прекращены из-за эвакуации.</w:t>
      </w:r>
    </w:p>
    <w:p w14:paraId="15F789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07.1941 г. ОКБ было расформировано. По приказу № 792сс от 3/4.08.1941 г. Боровков и Флоров с группой сотрудников откомандированы в ОКБ-293 Болховитинова.</w:t>
      </w:r>
    </w:p>
    <w:p w14:paraId="546D56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СЖБ-207 НКАП гл. конструктора С.А. Кочеригина</w:t>
      </w:r>
    </w:p>
    <w:p w14:paraId="0197C5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08.1941 г. конструкторская группа С.А. Кочеригина из 28 чел. переведена с завода № 156 НКАП на площадку завода № 207 для доделки ОПБ и подготовки его к испытаниям. Здесь группа получила обозначение ОКБ-207 НКАП. Однако, из-за эвакуации завода достроить самолет не удалось. В 10.1941 г. планер ОПБ направлен на завод № 135, а Кочеригин назначен гл. редактором БНТ НКАП (11982).</w:t>
      </w:r>
    </w:p>
    <w:p w14:paraId="3674CF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A4D28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20 октября 1941 г. только в Москве функционировало 15 ремонтных мастерских с 4867 рабочими. В течение месяца (до 19 ноября 1941 г.) они восстановили 70 самолётов, 62 мотора и значи</w:t>
      </w:r>
      <w:r w:rsidRPr="00640820">
        <w:rPr>
          <w:rFonts w:ascii="Times New Roman" w:hAnsi="Times New Roman"/>
          <w:color w:val="000000" w:themeColor="text1"/>
          <w:sz w:val="16"/>
          <w:szCs w:val="16"/>
        </w:rPr>
        <w:softHyphen/>
        <w:t>тельное число других авиаагрегатов (Самолётостроение в СССР. 1917—1945. Кн. 2. М., 1994. С. 215) (12011).</w:t>
      </w:r>
    </w:p>
    <w:p w14:paraId="3D260E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7FB28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октября 1941 г. по приказу № 1073с на старой площадке завода № 24 ЗГУ НКАП (Завод № 24 им. М.В. Фрунзе ВСНХ, НКТП, НКОП, НКАП, Товарищество 1-го Рижского трансмиссионного, чугунолитейного и механического заводов «Мотор», Завод № 4 ВСНХ, Государственный авиазавод № 4 (ГАЗ-4) «Мотор» им. М.В. Фрунзе ВСНХ, Завод им. М.В. Фрунзе, Куйбышевское НПО им. М.В. Фрунзе, Самарское МПО им. М.В. Фрунзе, ОАО «Моторостроитель» ФКА / г. Рига;  г. Москва Мейеровский (Мейерский) пр-д, 14, ст. Лефортово Московско-Курской ж/д «ГАЗ четвертый» (-1925-27 г.-); ул. Ткацкая (1927 г.-);  г. Куйбышев ст. Безымянка/ /443009  г. Самара ш. Заводское, 29 тел. 55-16-12/ /Московское представительство:  г. Москва ул. Госпитальный Вал, 5 к. 17/) в Москве образованы Моторные ремонтные мастерские при Ремотделе НКАП. Далее по приказу № 1184с от 23.12.1941 г. на их базе началось формирование нового завода № 337 НКАП в системе ЗГУ. В 02.1942 г. было принято решение о ликвидации завода № 337 и образовании на этой площадке завода № 45 НКАП (11982).</w:t>
      </w:r>
    </w:p>
    <w:p w14:paraId="793E06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B93BC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октября 1941 г. по приказу НКАП № 1073с на площадке эвакуированного завода № 32 в Москве организованы Ремонтные мастерские по установкам вооружения при Ремотделе НКАП. Далее- это Московский филиал завода № 32 (директор- М.В. Дворкин). А уже с 12.1941 г. начало восстанавливаться производство и образован новый завод по агрегатам вооружения № 43 НКАП. Из г. Кирова для формирования нового завода переданы часть оборудования и часть коллектива (10776).</w:t>
      </w:r>
    </w:p>
    <w:p w14:paraId="4DBCBC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C93E3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октября 1941 г. по приказу НКАП № 1073с от на площадке эвакуированного завода № 32 были организованы Ремонтные мастерские по установкам вооружения при Ремотделе НКАП, на них налажено массовое изготовление автомата ППШ. Далее это- Московский филиал завода № 32 НКАП. Директор филиала- М.В. Дворкин.</w:t>
      </w:r>
    </w:p>
    <w:p w14:paraId="30786A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1190сс от 27.12.1941 г. образован новый Машиностроительный завод № 43 НКАП (с ОКБ-43) при 2ГУ по производству агрегатов вооружения. Для скорейшего ввода в строй на завод переведено большое количество оборудования, оснастки, тех. документации с завода № 32 и других.</w:t>
      </w:r>
    </w:p>
    <w:p w14:paraId="16936D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1963 г. предприятие получило наименование завод (далее ММЗ, ММПП) "Коммунар", с 1992(4)г. - ОАО "Дукс". По решению правительства № 22-р от 9.01.2004 г. вошло в перечень стратегических предприятий.</w:t>
      </w:r>
    </w:p>
    <w:p w14:paraId="30E863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на 2002 г.: производство УРВВ, ПУ; агрегаты различных авиационных систем, приборы; асинхронные электродвигатели; пескоструйные машины.</w:t>
      </w:r>
    </w:p>
    <w:p w14:paraId="5E3E4C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Работали (начало 1950-х г.): Максименко, Сысоев.</w:t>
      </w:r>
    </w:p>
    <w:p w14:paraId="1712D8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(1941-44 г.-)- М.В. Дворкин, (1946 г.)- М.П. Аржаков (затем- руководитель строительства завода</w:t>
      </w:r>
    </w:p>
    <w:p w14:paraId="490F8C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455), (1946-51 г.)- Ф.Г. Нестеров, (1951 г.-)- Н.И. Сысоев, (-1954 г.)- В.С. Бриль, (1954- 63 г.)- Г.Д. Брусникин (до этого- директор завода № 315), (1963-83 г.)- В.А. Сперанский, (1983 г.-)- Л.И. Козловский. Гендиректор (2002 г.)- В.А. Рац.</w:t>
      </w:r>
    </w:p>
    <w:p w14:paraId="7483D1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Президент АО «Дукс» (1992 г.-)- Л.И. Козловский.</w:t>
      </w:r>
    </w:p>
    <w:p w14:paraId="0012D1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(1942 г.-)- А.И. Шульгин.</w:t>
      </w:r>
    </w:p>
    <w:p w14:paraId="6D0B36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Директор по маркетингу (2002 г.)- В.Н. Сова.69 </w:t>
      </w:r>
    </w:p>
    <w:p w14:paraId="624607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Созданы: бомбодержатель для Ту-14, спаренная пушка «Ангара» для ЗСУ-37-2 «Енисей».</w:t>
      </w:r>
    </w:p>
    <w:p w14:paraId="3392CB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(ВОВ): ракетное оружие РО-82 и балки РУ-82 под снаряды РС-82; держатели Дер-21, турель УБТ-12,7, электросбрасыватель ЭСБР-3п, замки МД-3-40; выливные химические авиаприборы ВАП-6м; автоматы ППШ, ПП-43, винтовочные противотанковые гранаты ВПГС-41, кассеты для гранат ЛАГ-20; СППУ: СПСВ-24, ДК-12, ДК-20, ДК-20С, ДК-7-18; УРВВ: "ИС" (К-51, РС-2-УС) (1959- 64), Р-3С ("310", "Стрела", 1960-), Р-3Р ("320"), Р-13М ("380"),"62", "72", К-23, Р-60 («62»), Р-73 («72»), К-77.</w:t>
      </w:r>
    </w:p>
    <w:p w14:paraId="21A4EF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43 НКАП, МАП, ММЗ "Коммунар", ММПП "Коммунар", ОАО "Дукс"</w:t>
      </w:r>
    </w:p>
    <w:p w14:paraId="4F84DD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Москва 3-я ул. Ямского Поля, 26 (1942 г.)</w:t>
      </w:r>
    </w:p>
    <w:p w14:paraId="372467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125124 г. Москва ул. Правды, 8 тел. 257-77-42</w:t>
      </w:r>
    </w:p>
    <w:p w14:paraId="0A96EC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ОКБ завода № 43 НКАП, ОКБ-43 НКАП, МАП </w:t>
      </w:r>
    </w:p>
    <w:p w14:paraId="5AFE01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Москва</w:t>
      </w:r>
    </w:p>
    <w:p w14:paraId="5D7F92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146с от 21.02.1942 г. часть ОКБ-1 (33 чел.) и конструкторская бригада ОКБ-2 (6 чел.) и часть коллектива опытного цеха (11 чел.) завода № 32 НКАП были переведены в Москву в состав вновь созданного ОКБ завода № 43 НКАП для разработки бомбардировочных, минно-торпедных и стрелковых авиационных установок. При заводе организован также опытный цех.</w:t>
      </w:r>
    </w:p>
    <w:p w14:paraId="02272E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Сюда же по приказу № 272с от 6.05.1943 г. передана часть опытного цеха завода № 32 после перевода ОКБ-2 Можаровского и Веневидова в Москву в состав ОКБ-140 НКАП.</w:t>
      </w:r>
    </w:p>
    <w:p w14:paraId="342827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С конца 1944 г. на завод № 43 из Кирова было полностью переведено ОКБ-32 гл. конструктора И.И. Торопова ( возможно, часть ОКБ отдана заводу № 140 НКАП) с опытным цехом и влито в состав единого ОКБ-43 (по приказу № 484с от 3.8.1944 г.). Гл. конструктором ОКБ стал И.И. Торопов (видимо, в связи со смертью А.И. Шульгина).</w:t>
      </w:r>
    </w:p>
    <w:p w14:paraId="037E3A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447сс от 14.11.1945 г. в целях укрупнения конструкторских организаций сформировано объединенное ОКБ-43 путем перевода в состав ОКБ-43 основной части личного состава (142 чел.), оборудования и материальных ценностей ОКБ-487 гл. конструктора И.П. Шебанова, который назначен зам. гл. конструктора.</w:t>
      </w:r>
    </w:p>
    <w:p w14:paraId="1C9EC0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148с от 22.03.1946 г. группа конструкторов и производственников (25 чел.) во главе с И.П. Шебановым выделяется из состава ОКБ-43 МАП и переводится на завод № 81 МАП.</w:t>
      </w:r>
    </w:p>
    <w:p w14:paraId="1143B9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11.1949 г. ОКБ-43 И.И. Торопова была предоставлена новая опытная база- завод № 134 МАП (Тушино), оно получило новое название ОКБ-134 МАП. ОКБ-43 ликвидировано, площади переданы заводу № 43 МАП с 1.01.1950 г.</w:t>
      </w:r>
    </w:p>
    <w:p w14:paraId="6E3E2B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(1942-43(44)г.)- А.И. Шульгин, (1944-49 г.)- И.И. Торопов.</w:t>
      </w:r>
    </w:p>
    <w:p w14:paraId="620859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конструктора (1945-46 г.)- И.П. Шебанов, (1946 г.)- В.И. Ермилов.</w:t>
      </w:r>
    </w:p>
    <w:p w14:paraId="756970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конструкторы: (1945-46 г.)- И.П. Шебанов.</w:t>
      </w:r>
    </w:p>
    <w:p w14:paraId="68FB87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держатели ПКД-2М, Дер-3-44, Дер-4-44 для Ту-2 (10776).</w:t>
      </w:r>
    </w:p>
    <w:p w14:paraId="148EB8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43 НКАП, МАП, ММЗ "Коммунар", ММПП "Коммунар", ОАО "Дукс"</w:t>
      </w:r>
    </w:p>
    <w:p w14:paraId="42583D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Москва 3-я ул. Ямского Поля, 26 (1942 г.)</w:t>
      </w:r>
    </w:p>
    <w:p w14:paraId="4E2CD7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125124 г. Москва ул. Правды, 8 тел. 257-77-42 (10776).</w:t>
      </w:r>
    </w:p>
    <w:p w14:paraId="294E67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FE257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октября 1941 г. по приказу № 1073с на площадке эвакуированного завода № 32 были организованы Ремонтные мастерские по установкам вооружения при Ремотделе НКАП, на них налажено массовое изготовление автомата ППШ. Далее это- Московский филиал завода № 32 НКАП. Директор филиала- М.В. Дворкин. В соответствии с пост. ГКО № 1053 от 23.12.1941 г. и приказом № 1190сс от 27.12.1941 г. образован новый Машиностроительный завод № 43 НКАП (с ОКБ-43) при 2ГУ по производству агрегатов вооружения. Для скорейшего ввода в строй на завод переведено большое количество оборудования, оснастки, тех. документации с завода № 32 и других.</w:t>
      </w:r>
    </w:p>
    <w:p w14:paraId="6952FF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начала 1950-х  г. налажен выпуск дистанционно управляемых систем артиллерийского вооружения для Ил- 28, Ту-16, Ту-22, Ту-95. С 1963 г. - производство УРВВ и ПУ.</w:t>
      </w:r>
    </w:p>
    <w:p w14:paraId="30152F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СМ СССР № 713-342 от 26.06.1957 г. передан в ведение СНХ РСФСР.</w:t>
      </w:r>
    </w:p>
    <w:p w14:paraId="37DB8B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«Коммунар» имел наименование «п/я 2407». С 1963 г. предприятие получило наименование завод (далее ММЗ, ММПП) «Коммунар», с 1993 г. - ОАО «Дукс». По решению правительства № 22-р от 9.01.2004 г. вошло в перечень стратегических предприятий.</w:t>
      </w:r>
    </w:p>
    <w:p w14:paraId="7C8C64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(2002 г.): производство УРВВ, ПУ; агрегаты различных авиационных систем, приборы; асинхронные электродвигатели; пескоструйные машины.</w:t>
      </w:r>
    </w:p>
    <w:p w14:paraId="30F719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Директор (1941-44 г.-)- М.В. Дворкин, (1946 г.)- М.П. Аржаков, (1946-51 г.)- Ф. Г. Нестеров, (1951 г.-)- Н.И. Сысоев, (-1954 г.)-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Бриль, (1954- 63 г.)-  Г.Д. Брусникин (до этого- директор завода № 315), (1963-83 г.)- В.А. Сперанс^й, (1983 г.-)- Л.И. Козловский. Гендиректор (-2002-05 г.-)- В.А. Рац.</w:t>
      </w:r>
    </w:p>
    <w:p w14:paraId="12A494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(1942 г.-)- А.И. Шульгин.</w:t>
      </w:r>
    </w:p>
    <w:p w14:paraId="4ED554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по маркетингу (2002 г.)- В.Н. Сова.</w:t>
      </w:r>
      <w:r w:rsidRPr="00640820">
        <w:rPr>
          <w:rFonts w:ascii="Times New Roman" w:hAnsi="Times New Roman"/>
          <w:color w:val="000000" w:themeColor="text1"/>
          <w:sz w:val="16"/>
          <w:szCs w:val="16"/>
          <w:vertAlign w:val="superscript"/>
        </w:rPr>
        <w:t>69</w:t>
      </w:r>
    </w:p>
    <w:p w14:paraId="691C1C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бомбодержатель для Ту-14, спаренная пушка «Ангара» дня ЭСУ-37-2 «Енисей».</w:t>
      </w:r>
    </w:p>
    <w:p w14:paraId="767197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Производство: ракетное оружие РО-82 и балки РУ-82 под снаряды РС-82 (ВОВ); держатели Дер-21. туре» УБТ-12,7, электросбрасыватель ЭСБР-Зп, замки МД-3-40 (ВОВ); выливные химические авиаприборы ВАП-бм (ВОВ); автоматы ППШ, ПП-43, винтовочные противотанковые гранаты ВПГС-41, кассеты для гранат ЛАГ-20 (ВОВ); системы пушечного вооружения: ПВ-23 для Ту-16 (1950-е), кормовая установка ДМ-20 для Ту-22 (1950- е); СППУ: СПСВ-24, ДК-12, ДК-20, ДК-20С, ДК-7-18; УРВБ: «ИС» (К-51, РС-2-УС) (1959- 64), Р-ЗС («310». «Стрела», </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960-), Р-ЗР («320»), Р-13М («380»), «62», «72», К-23, Р-60 («62»), Р-73 («72»), К-77 (11982).</w:t>
      </w:r>
    </w:p>
    <w:p w14:paraId="7ED1E40E" w14:textId="77777777" w:rsidR="004E7169" w:rsidRPr="00640820" w:rsidRDefault="004E7169" w:rsidP="00640820">
      <w:pPr>
        <w:autoSpaceDE w:val="0"/>
        <w:autoSpaceDN w:val="0"/>
        <w:adjustRightInd w:val="0"/>
        <w:spacing w:after="0" w:line="240" w:lineRule="auto"/>
        <w:jc w:val="both"/>
        <w:rPr>
          <w:rFonts w:ascii="Times New Roman" w:hAnsi="Times New Roman"/>
          <w:color w:val="000000" w:themeColor="text1"/>
          <w:sz w:val="16"/>
          <w:szCs w:val="16"/>
        </w:rPr>
      </w:pPr>
    </w:p>
    <w:p w14:paraId="5526E9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октября 1941 приказами №1073(а) и №93 от 2.2.42 г. на площадях в Долгопрудном с 10.41 г. образованы самолетные Ремонтные мастерские при Ремотделе НКАП. Производство мин МЗ-2 и металлических деталей к винтам. Сюда возвращены кадры, ранее откомандированные на завод №156 НКАП. Далее ремонтный завод получил литерный номер и наименование Государственный Союзный завод №462 НКАП при 6ГУ (приказ №287 от 16.4.42 г.). В 1943 г. передан из 6ГУ в 7ГУ НКАП. В .3.43 г. на завод возложена постройка центропланов, крыльев, оперения для оп. самолетов "302" конструкции А.Г.Костикова для завода №55 НКАП (10777).</w:t>
      </w:r>
    </w:p>
    <w:p w14:paraId="50E007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D998318"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45470E34"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1F8BC9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октября 1941 эвакуирован Харьковский тракторный завод (4962).</w:t>
      </w:r>
    </w:p>
    <w:p w14:paraId="4E68465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608FF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октября 1941 г. в соответ</w:t>
      </w:r>
      <w:r w:rsidRPr="00640820">
        <w:rPr>
          <w:rFonts w:ascii="Times New Roman" w:hAnsi="Times New Roman"/>
          <w:color w:val="000000" w:themeColor="text1"/>
          <w:sz w:val="16"/>
          <w:szCs w:val="16"/>
        </w:rPr>
        <w:softHyphen/>
        <w:t>ствии с приказом № 556с оборудование, дос</w:t>
      </w:r>
      <w:r w:rsidRPr="00640820">
        <w:rPr>
          <w:rFonts w:ascii="Times New Roman" w:hAnsi="Times New Roman"/>
          <w:color w:val="000000" w:themeColor="text1"/>
          <w:sz w:val="16"/>
          <w:szCs w:val="16"/>
        </w:rPr>
        <w:softHyphen/>
        <w:t>тавленное с ЛМЗ и ХМЗ в Горький, разместили в инструментально-ремонт</w:t>
      </w:r>
      <w:r w:rsidRPr="00640820">
        <w:rPr>
          <w:rFonts w:ascii="Times New Roman" w:hAnsi="Times New Roman"/>
          <w:color w:val="000000" w:themeColor="text1"/>
          <w:sz w:val="16"/>
          <w:szCs w:val="16"/>
        </w:rPr>
        <w:softHyphen/>
        <w:t>ном цехе завода «Красная Этна», директора которого, Романова, обязали оказывать ГМЗ необходимую помощь [5.10] (11429).</w:t>
      </w:r>
    </w:p>
    <w:p w14:paraId="407FCE5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1B0698" w14:textId="77777777" w:rsidR="00126005" w:rsidRPr="00640820" w:rsidRDefault="0012600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20 октября 1841 на ГАЗ пришла телеграмма лично от Сталина, в которой тот потребовал увеличить объёмы производства Т-60 до 10 машин в сутки. Для изучения ситуации в Горький прибыл Малышев, его энергичные действия в немалой степени способствовали выправлению ситуации. Несмотря на имевшиеся проблемы, уже в октябре ГАЗ смог не только выполнить месячный план по выпуску танков, но и даже слегка его перевыполнить.</w:t>
      </w:r>
    </w:p>
    <w:p w14:paraId="61D8B0C9" w14:textId="77777777" w:rsidR="00126005" w:rsidRPr="00640820" w:rsidRDefault="0012600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За увеличение производства Т-60 пришлось заплатить высокую цену: в конце октября производство автомобилей на ГАЗ оказалось практически парализовано. С производства были сняты модели ГАЗ-61–73 и ГАЗ-61–416 как использующие дефицитный двигатель. Был приостановлен выпуск ГАЗ-64, а объёмы поставок </w:t>
      </w:r>
      <w:hyperlink r:id="rId43" w:history="1">
        <w:r w:rsidRPr="00640820">
          <w:rPr>
            <w:rFonts w:ascii="Times New Roman" w:eastAsia="Times New Roman" w:hAnsi="Times New Roman"/>
            <w:color w:val="000000" w:themeColor="text1"/>
            <w:sz w:val="16"/>
            <w:szCs w:val="16"/>
            <w:lang w:eastAsia="ru-RU"/>
          </w:rPr>
          <w:t>грузовиков</w:t>
        </w:r>
      </w:hyperlink>
      <w:r w:rsidRPr="00640820">
        <w:rPr>
          <w:rFonts w:ascii="Times New Roman" w:eastAsia="Times New Roman" w:hAnsi="Times New Roman"/>
          <w:color w:val="000000" w:themeColor="text1"/>
          <w:sz w:val="16"/>
          <w:szCs w:val="16"/>
          <w:lang w:eastAsia="ru-RU"/>
        </w:rPr>
        <w:t xml:space="preserve"> ГАЗ АА и ГАЗ ААА снизились до минимума.</w:t>
      </w:r>
    </w:p>
    <w:p w14:paraId="5102F85F" w14:textId="77777777" w:rsidR="00126005" w:rsidRPr="00640820" w:rsidRDefault="0012600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Определённую путаницу в историю создания Т-60 внесла эвакуация завода №37 в Свердловск. Видя бедственное положение с корпусами и башнями, руководство завода предложило поставить в Горький некоторое количество башен для танков Т-30, кроме того, на ГАЗ отправилось и 9 готовых Т-30, требовавших ремонта. Точное число отправленных на ГАЗ корпусов и башен неизвестно, однако по состоянию на лето 1942 года на заводе всё ещё находилось 47 комплектов. Корпуса в дело не пошли, зато можно утверждать, что было выпущено несколько десятков Т-60 с установленными на них коническими башнями. Подобные танки имелись, к примеру, в составе 33-й отдельной танковой бригады, машины которой «засветились» на параде 7 ноября на Красной Площади. Кроме того, с завода №37 было поставлено некоторое количество литых опорных катков (17659).</w:t>
      </w:r>
    </w:p>
    <w:p w14:paraId="79FF2DD3" w14:textId="77777777" w:rsidR="00126005" w:rsidRPr="00640820" w:rsidRDefault="00126005" w:rsidP="00640820">
      <w:pPr>
        <w:spacing w:after="0" w:line="240" w:lineRule="auto"/>
        <w:jc w:val="both"/>
        <w:rPr>
          <w:rFonts w:ascii="Times New Roman" w:eastAsia="Times New Roman" w:hAnsi="Times New Roman"/>
          <w:color w:val="000000" w:themeColor="text1"/>
          <w:sz w:val="16"/>
          <w:szCs w:val="16"/>
          <w:lang w:eastAsia="ru-RU"/>
        </w:rPr>
      </w:pPr>
    </w:p>
    <w:p w14:paraId="500E3120" w14:textId="77777777" w:rsidR="00836202" w:rsidRPr="00640820" w:rsidRDefault="00836202"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20 октября 1941 года И.В.Сталин шлёт директору Горьковского автозавода И.К.Лоскутову телеграмму, прямо скажем, угрожающего содержания: «Немецкая армия имеет большое превосходство в танках над нами. [...] ... для защиты Москвы нужно давать каждый день нашей армии больше танков. Ваш завод не использует всех возможностей... плохо помогает делу обороны страны...» (22727).</w:t>
      </w:r>
    </w:p>
    <w:p w14:paraId="4B7F7E74" w14:textId="77777777" w:rsidR="00836202" w:rsidRPr="00640820" w:rsidRDefault="00836202" w:rsidP="00640820">
      <w:pPr>
        <w:spacing w:after="0" w:line="240" w:lineRule="auto"/>
        <w:jc w:val="both"/>
        <w:rPr>
          <w:rFonts w:ascii="Times New Roman" w:hAnsi="Times New Roman"/>
          <w:color w:val="0070C0"/>
          <w:sz w:val="16"/>
          <w:szCs w:val="16"/>
        </w:rPr>
      </w:pPr>
    </w:p>
    <w:p w14:paraId="4D8DE54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октября 1941 вышло Постановление ГКО № 800 [О назначении Папанина И.Д. уполномоченным ГКО по морским перевозкам в Белом море и Архангельскому порту.] (7013, 154).</w:t>
      </w:r>
    </w:p>
    <w:p w14:paraId="57A17E6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7A21C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октября 1941 вышло Постановление ГКО № 814-818 [О назначении Первухина М.Г., Попова В.Ф., Петросьянца А.М., Лопухова Е.И., Зотова В.П. уполномоченными ГКО на железных дорогах по делам эвакуации.] (7013, 169).</w:t>
      </w:r>
    </w:p>
    <w:p w14:paraId="0D6FE27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50722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октября 1941 вышло Постановление ГКО № 823-825 [О назначении Зернова П.М., Сологубова В.Н., Ширшова П.П. уполномоченными ГКО на железных дорогах по делам эвакуации.] (7013, 174).</w:t>
      </w:r>
    </w:p>
    <w:p w14:paraId="6139455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25493B" w14:textId="77777777" w:rsidR="00595859" w:rsidRPr="00640820" w:rsidRDefault="0059585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октября 1941 г.</w:t>
      </w:r>
    </w:p>
    <w:p w14:paraId="4A775298" w14:textId="77777777" w:rsidR="00595859" w:rsidRPr="00640820" w:rsidRDefault="0059585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ВОПРОСЫ, РЕШЕННЫЕ ОПРОСОМ ЧЛЕНОВ БЮРО ГК ВКП(б)</w:t>
      </w:r>
    </w:p>
    <w:p w14:paraId="5EA87C4A" w14:textId="77777777" w:rsidR="00595859" w:rsidRPr="00640820" w:rsidRDefault="0059585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20 октября 1941 г.</w:t>
      </w:r>
    </w:p>
    <w:p w14:paraId="00B51261" w14:textId="77777777" w:rsidR="00595859" w:rsidRPr="00640820" w:rsidRDefault="0059585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87гс. — О расширении базы снаряжения и комплектации боеприпасов на АНИОПе и НИМАПе (особая папка).</w:t>
      </w:r>
    </w:p>
    <w:p w14:paraId="3D8ED181" w14:textId="77777777" w:rsidR="00595859" w:rsidRPr="00640820" w:rsidRDefault="0059585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обеспечения снаряжения и комплектации боеприпасов по увеличенной программе, установленной решением Военного Совета Ленинградского фронта, бюро горкома ВКП(б) постановляет:</w:t>
      </w:r>
    </w:p>
    <w:p w14:paraId="2B081988" w14:textId="77777777" w:rsidR="00595859" w:rsidRPr="00640820" w:rsidRDefault="0059585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Обязать начальника АНИОПа т. Оглоблина:</w:t>
      </w:r>
    </w:p>
    <w:p w14:paraId="70C84946" w14:textId="77777777" w:rsidR="00595859" w:rsidRPr="00640820" w:rsidRDefault="0059585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к 25.Х–1941 г. организовать в высоковольтном корпусе Ленинградского Политехнического института снаряжение и комплектацию 45-мм о. ф. снарядов и 50-мм мин в объеме, установленном решением бюро Ленинградского горкома ВКП(б) от 25. IХ–1941 г.;</w:t>
      </w:r>
    </w:p>
    <w:p w14:paraId="4EAFFE96" w14:textId="77777777" w:rsidR="00595859" w:rsidRPr="00640820" w:rsidRDefault="0059585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б) передать во временное пользование НИМАПу старый гараж, 2 недостроенных деревянных дома и помещение клуба для организации в нем столовой.</w:t>
      </w:r>
    </w:p>
    <w:p w14:paraId="50C69995" w14:textId="77777777" w:rsidR="00595859" w:rsidRPr="00640820" w:rsidRDefault="0059585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Обязать начальника НИМАПа т. Мушнова:</w:t>
      </w:r>
    </w:p>
    <w:p w14:paraId="6DFEC1D7" w14:textId="77777777" w:rsidR="00595859" w:rsidRPr="00640820" w:rsidRDefault="0059585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к 25.Х–1941 г. оборудовать в помещении гаража мастерскую по снаряжению 122-мм снарядов в объеме, установленном решением бюро Ленинградского горкома ВКП(б) от 25.IХ–1941 г.;</w:t>
      </w:r>
    </w:p>
    <w:p w14:paraId="615F57B4" w14:textId="77777777" w:rsidR="00595859" w:rsidRPr="00640820" w:rsidRDefault="0059585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разрешить построить 1 барак на 400 человек и достроить 2 деревянных дома, передаваемых АНИОПом.</w:t>
      </w:r>
    </w:p>
    <w:p w14:paraId="21B4854F" w14:textId="77777777" w:rsidR="00595859" w:rsidRPr="00640820" w:rsidRDefault="0059585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Строительство барака, 2 жилых домов, оборудование столовой, а также все строительные работы по оборудованию гаража под снаряжательную мастерскую возложить на инженерный отдел КБФ.</w:t>
      </w:r>
    </w:p>
    <w:p w14:paraId="256AF746" w14:textId="77777777" w:rsidR="00595859" w:rsidRPr="00640820" w:rsidRDefault="0059585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Обязать т. Изуцкивер («Главлесосбыт») выделить инженерному отделу КБФ для строительства барака на НИМАПе по заявке т. Мушнова 300 куб. метр. досок и 100 куб. метр. леса.</w:t>
      </w:r>
    </w:p>
    <w:p w14:paraId="139D0E86" w14:textId="77777777" w:rsidR="00595859" w:rsidRPr="00640820" w:rsidRDefault="0059585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Обязать директора Ленинградского Политехнического института т. Вайнер:</w:t>
      </w:r>
    </w:p>
    <w:p w14:paraId="0B42F935" w14:textId="77777777" w:rsidR="00595859" w:rsidRPr="00640820" w:rsidRDefault="0059585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отремонтировать к 25. X–1941 г. силами спецстроймонтажконторы института отопление, водопровод и канализацию высоковольтного корпуса института и передать его во временное пользование АНИОПу с прилегающими к нему котельной, складом и железнодорожным тупиком;</w:t>
      </w:r>
    </w:p>
    <w:p w14:paraId="235F2785" w14:textId="77777777" w:rsidR="00595859" w:rsidRPr="00640820" w:rsidRDefault="0059585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в одном из корпусов института выделить и передать АНИОПу площадь, пригодную для организации общежития и столовой руководящих работников филиала.</w:t>
      </w:r>
    </w:p>
    <w:p w14:paraId="147BD4D0" w14:textId="77777777" w:rsidR="00595859" w:rsidRPr="00640820" w:rsidRDefault="0059585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Обязать начальника Главленхлоппрома т. Колонтырскую передать с фабрики «Возрождение» АНИОПу оборудование и материалы, перечисленные в приложении.</w:t>
      </w:r>
    </w:p>
    <w:p w14:paraId="6D9FEB94" w14:textId="77777777" w:rsidR="00595859" w:rsidRPr="00640820" w:rsidRDefault="0059585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Управляющему Ленэнерго т. Карась обеспечить по заявкам АНИОПа и НИМАПа дополнительное снабжение электроэнергией, выделив им лимиты электроэнергии для круглосуточной работы.</w:t>
      </w:r>
    </w:p>
    <w:p w14:paraId="2B1D7990" w14:textId="77777777" w:rsidR="00595859" w:rsidRPr="00640820" w:rsidRDefault="0059585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Разрешить секретарю Красногвардейского РКВКП(б) т. Турко передать НИМАПу с предприятий района 6 токарных станков.</w:t>
      </w:r>
    </w:p>
    <w:p w14:paraId="24CD5943" w14:textId="77777777" w:rsidR="00595859" w:rsidRPr="00640820" w:rsidRDefault="0059585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Обязать т. Горчакова (Управление Госрезервов), т. Князькова («Металлосбыт»), т. Дегтяренко (Ленконтора «Главхимсбыт»), т. Рабиняно (Выходная база «Главтекстильсбыт»), т. Храпунович («Главбумсбыт») обеспечить потребными материалами НИМАП и АНИОП по представленным ими заявкам.</w:t>
      </w:r>
    </w:p>
    <w:p w14:paraId="74E631E8" w14:textId="77777777" w:rsidR="00595859" w:rsidRPr="00640820" w:rsidRDefault="0059585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Подписи — Кузнецов, Попков, Капустин, Никитин.</w:t>
      </w:r>
    </w:p>
    <w:p w14:paraId="3E1597EE" w14:textId="77777777" w:rsidR="00595859" w:rsidRPr="00640820" w:rsidRDefault="0059585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ЦГАИПД СПб. Ф. 25. Оп. 2а. Д. 158. Л. 202–203. Бланк опросного голосования. Оригинал, машинопись. Подписи — автографы (19720).</w:t>
      </w:r>
    </w:p>
    <w:p w14:paraId="5D7248AC" w14:textId="77777777" w:rsidR="00595859" w:rsidRPr="00640820" w:rsidRDefault="00595859" w:rsidP="00640820">
      <w:pPr>
        <w:autoSpaceDE w:val="0"/>
        <w:autoSpaceDN w:val="0"/>
        <w:adjustRightInd w:val="0"/>
        <w:spacing w:after="0" w:line="240" w:lineRule="auto"/>
        <w:jc w:val="both"/>
        <w:rPr>
          <w:rFonts w:ascii="Times New Roman" w:hAnsi="Times New Roman"/>
          <w:color w:val="000000" w:themeColor="text1"/>
          <w:sz w:val="16"/>
          <w:szCs w:val="16"/>
        </w:rPr>
      </w:pPr>
    </w:p>
    <w:p w14:paraId="045AC5B4"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295F4E5A"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84DA2DE" w14:textId="77777777" w:rsidR="004E7169" w:rsidRPr="00640820" w:rsidRDefault="004E7169"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20 октября </w:t>
      </w:r>
      <w:r w:rsidRPr="00640820">
        <w:rPr>
          <w:rFonts w:ascii="Times New Roman" w:hAnsi="Times New Roman"/>
          <w:color w:val="000000" w:themeColor="text1"/>
          <w:sz w:val="16"/>
          <w:szCs w:val="16"/>
        </w:rPr>
        <w:t>в 1941 году утреннее сообщение Совинформбюро:</w:t>
      </w:r>
    </w:p>
    <w:p w14:paraId="656E061F" w14:textId="77777777" w:rsidR="004E7169" w:rsidRPr="00640820" w:rsidRDefault="004E71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20 октября наши войска продолжали вести бои на всём фронте. Особенно напряжённые бои шли на Можайском и Малоярославецком направлениях.</w:t>
      </w:r>
    </w:p>
    <w:p w14:paraId="48EDCD8B" w14:textId="77777777" w:rsidR="004E7169" w:rsidRPr="00640820" w:rsidRDefault="004E71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Наша часть, действующая на одном из участков Калининского направления, за один день 18 октября уничтожила 17 немецких танков, 30 автомашин с боеприпасами и 15 автомашин с фашистской пехотой. На другом участке Калининского направления за 18 октября уничтожено около 300 немецких автомашин; из них более-200 автомашин с пехотой и около 100 машин с горючим и боеприпасами.</w:t>
      </w:r>
    </w:p>
    <w:p w14:paraId="65F3381E" w14:textId="77777777" w:rsidR="004E7169" w:rsidRPr="00640820" w:rsidRDefault="004E71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участков Брянского направления фронта за 18 октября уничтожено более 100 немецких автомашин с вражеской пехотой, 8 танков, разгромлен штаб кавполка и захвачено большое количество боеприпасов. Одна наша часть в ожесточённом сражении с фашистами уничтожила и захватила более 70 орудий разных калибров.</w:t>
      </w:r>
    </w:p>
    <w:p w14:paraId="3EBCC2F2" w14:textId="77777777" w:rsidR="004E7169" w:rsidRPr="00640820" w:rsidRDefault="004E71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каждым днём становится всё более напряжённым положение в оккупированной и разграбленной немцами Чехословакии. Чехословацкий народ самыми различными путями выражает свой протест против хозяйничанья гитлеровского зверья в Чехословакии. На заводах всё чаще наблюдаются акты саботажа рабочих и служащих. Население игнорирует книги фашистских журналистов и писателей. В городах и сёлах появляются листовки и брошюры, содержащие резкую критику фашизма, призывающие чехословацкий народ объединиться для борьбы с гитлеризмом. На антифашистское движение в стране гитлеровцы отвечают жесточайшим террором. За две недели, по официальным данным, палач Гейдрих казнил 255 чехословацких патриотов. В действительности же немцы казнили за это-время около 1.000 чехов и словаков. Казни патриотов продолжаются. 16 и 17 октября казнено ещё 12 человек и 40 арестовано.</w:t>
      </w:r>
    </w:p>
    <w:p w14:paraId="6A8F94E7" w14:textId="77777777" w:rsidR="004E7169" w:rsidRPr="00640820" w:rsidRDefault="004E71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Документы, найденные у убитых и пленных румынских солдат и офицеров, свидетельствуют о росте недовольства и упадочных настроений в румынских войсках. Приводим некоторые выдержки из письма убитого румынского солдата Дака Николая: «Сегодня я не утерпел и съел неприкосновенный запас. Я был строго наказан за это: 44 удара по спине. Ежечасно и ежеминутно мы ощущаем ужасы войны. Мы терпим целыми днями голод и влачим тяжёлую жизнь. Многих моих друзей уже нет в живых. Не могу забыть, как Ион Танасеску, командир второго взвода, упал в пяти метрах от меня. Я провёл этот день в ужасном страхе. Питание моё за весь сегодняшний день — пол-литра воды. Все солдаты надеются, что война скоро кончится. Если этого не будет, то солдаты не выдержат». В дневнике румынского солдата обозной роты содержатся такие записи: «Вечером подвозили снаряды на передовую линию. Когда я доехал до командира взвода, начался ожесточённый артиллерийский обстрел. Снаряды сеяли смерть среди наших солдат. Волнами проносились русские самолёты над нашими мотомехчастями. Наши потери от русской авиации и артиллерии очень большие. В обозе ты или на передовой линии — везде каждую минуту ожидает смерть. А за что мы воюем - никак не пойму. Я завидую, всем раненым солдатам, которые отправлены в тыл. Я был бы рад, если бы меня ранили или изувечили: лишь бы домой» (14805).</w:t>
      </w:r>
    </w:p>
    <w:p w14:paraId="21505DB4" w14:textId="77777777" w:rsidR="004E7169" w:rsidRPr="00640820" w:rsidRDefault="004E7169" w:rsidP="00640820">
      <w:pPr>
        <w:spacing w:after="0" w:line="240" w:lineRule="auto"/>
        <w:jc w:val="both"/>
        <w:rPr>
          <w:rFonts w:ascii="Times New Roman" w:hAnsi="Times New Roman"/>
          <w:color w:val="000000" w:themeColor="text1"/>
          <w:sz w:val="16"/>
          <w:szCs w:val="16"/>
        </w:rPr>
      </w:pPr>
    </w:p>
    <w:p w14:paraId="23277891" w14:textId="77777777" w:rsidR="004E7169" w:rsidRPr="00640820" w:rsidRDefault="004E7169"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20 октября </w:t>
      </w:r>
      <w:r w:rsidRPr="00640820">
        <w:rPr>
          <w:rFonts w:ascii="Times New Roman" w:hAnsi="Times New Roman"/>
          <w:color w:val="000000" w:themeColor="text1"/>
          <w:sz w:val="16"/>
          <w:szCs w:val="16"/>
        </w:rPr>
        <w:t>в 1941 году вечернее сообщение Совинформбюро:</w:t>
      </w:r>
    </w:p>
    <w:p w14:paraId="3C4912AA" w14:textId="77777777" w:rsidR="004E7169" w:rsidRPr="00640820" w:rsidRDefault="004E71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20 октября шли бои на всём фронте и особенно напряжённые на Можайском, Малоярославецком и Таганрогском направлениях. На Западном фронте немецко-фашистские войска, поддержанные крупными соединениями танков, предприняли несколько ожесточённых атак на наши позиции. Наши войска атаки немцев отбили.</w:t>
      </w:r>
    </w:p>
    <w:p w14:paraId="5A5DE23E" w14:textId="77777777" w:rsidR="004E7169" w:rsidRPr="00640820" w:rsidRDefault="004E71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19 октября уничтожено 23 немецких самолёта. Наши потери — 7 самолётов.</w:t>
      </w:r>
    </w:p>
    <w:p w14:paraId="5EBD403C" w14:textId="77777777" w:rsidR="004E7169" w:rsidRPr="00640820" w:rsidRDefault="004E71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одном из боёв был серьёзно ранен миномётчик тов. Кандыба. Несмотря на ранение, тов. Кандыба не бросил свой миномёт, а доставил его в часть.</w:t>
      </w:r>
    </w:p>
    <w:p w14:paraId="1D56243A" w14:textId="77777777" w:rsidR="004E7169" w:rsidRPr="00640820" w:rsidRDefault="004E71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Наша авиачасть, действующая на одном из участков Орловского направления фронта, за один день — 19 октября — уничтожила 23 вражеских танка, 6 броневиков и 31 автомашину. В тот же день лётчики этой авиачасти успешно бомбардировали аэродром противника, уничтожив на нём 20 немецких самолётов.</w:t>
      </w:r>
    </w:p>
    <w:p w14:paraId="0CB8842A" w14:textId="77777777" w:rsidR="004E7169" w:rsidRPr="00640820" w:rsidRDefault="004E71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Храбро сражаются против фашистских войск на Орловском направлении наши танкисты, нанося врагу чувствительные удары.</w:t>
      </w:r>
    </w:p>
    <w:p w14:paraId="1DB2F07D" w14:textId="77777777" w:rsidR="004E7169" w:rsidRPr="00640820" w:rsidRDefault="004E71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Танкист Зеньковский в течение 19 октября уничтожил огнём орудий, пулемётов и гусеницами своего танка до роты пехоты противника. Танкист Шестопалов в этот же день уничтожил 4 немецких танка. Героически дерётся с врагом танковый экипаж лейтенанта Воробьёва. 18 октября танкисты обнаружили в деревне Ильково 14 немецких танков, заправляющихся горючим, и вступили с ними в бой, в результате которого было уничтожено 9 немецких танков.</w:t>
      </w:r>
    </w:p>
    <w:p w14:paraId="74C0ABD8" w14:textId="77777777" w:rsidR="004E7169" w:rsidRPr="00640820" w:rsidRDefault="004E71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Германские фашисты продолжают грабить Бельгию и терроризовать бельгийский народ.</w:t>
      </w:r>
    </w:p>
    <w:p w14:paraId="1E8D85C4" w14:textId="77777777" w:rsidR="004E7169" w:rsidRPr="00640820" w:rsidRDefault="004E71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поступившим сведениям, немцы вывозят из Бельгии в Германию всё, даже незначительные запасы продовольствия, обрекая бельгийское население на голод, конфискуют у населения ценные и тёплые вещи, производят аресты среди бельгийской интеллигенции, которая в огромном своём большинстве настроена враждебно по отношению к гитлеровцам. Только в октябре месяце немцы арестовали около 400 бельгийских журналистов, учителей, служащих, священников. Более 50 человек из этого числа казнено, судьба остальных неизвестна. В Куртре немецкий чиновник заявил местному населению: «Вы должны понять, что с Бельгией всё кончено как с самостоятельной страной. Поэтому пора за быть вам старые порядки и понять, что ваша обязанность производить продукты для немцев, обслуживать немцев, выполнять наши приказы и не думать больше о политике» (14805).</w:t>
      </w:r>
    </w:p>
    <w:p w14:paraId="36517344" w14:textId="77777777" w:rsidR="004E7169" w:rsidRPr="00640820" w:rsidRDefault="004E7169" w:rsidP="00640820">
      <w:pPr>
        <w:spacing w:after="0" w:line="240" w:lineRule="auto"/>
        <w:jc w:val="both"/>
        <w:rPr>
          <w:rFonts w:ascii="Times New Roman" w:hAnsi="Times New Roman"/>
          <w:color w:val="000000" w:themeColor="text1"/>
          <w:sz w:val="16"/>
          <w:szCs w:val="16"/>
        </w:rPr>
      </w:pPr>
    </w:p>
    <w:p w14:paraId="6DBFC0FB" w14:textId="77777777" w:rsidR="004E7169" w:rsidRPr="00640820" w:rsidRDefault="004E7169"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20 октября </w:t>
      </w:r>
      <w:r w:rsidRPr="00640820">
        <w:rPr>
          <w:rFonts w:ascii="Times New Roman" w:hAnsi="Times New Roman"/>
          <w:color w:val="000000" w:themeColor="text1"/>
          <w:sz w:val="16"/>
          <w:szCs w:val="16"/>
        </w:rPr>
        <w:t>в 1941 году фашистские войска захватывают Сталино (Донецк) (14805).</w:t>
      </w:r>
    </w:p>
    <w:p w14:paraId="705B4FBF" w14:textId="77777777" w:rsidR="004E7169" w:rsidRPr="00640820" w:rsidRDefault="004E7169" w:rsidP="00640820">
      <w:pPr>
        <w:spacing w:after="0" w:line="240" w:lineRule="auto"/>
        <w:jc w:val="both"/>
        <w:rPr>
          <w:rFonts w:ascii="Times New Roman" w:hAnsi="Times New Roman"/>
          <w:color w:val="000000" w:themeColor="text1"/>
          <w:sz w:val="16"/>
          <w:szCs w:val="16"/>
        </w:rPr>
      </w:pPr>
    </w:p>
    <w:p w14:paraId="7A0F483F" w14:textId="77777777" w:rsidR="004E7169" w:rsidRPr="00640820" w:rsidRDefault="004E7169"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20 октября </w:t>
      </w:r>
      <w:r w:rsidRPr="00640820">
        <w:rPr>
          <w:rFonts w:ascii="Times New Roman" w:hAnsi="Times New Roman"/>
          <w:color w:val="000000" w:themeColor="text1"/>
          <w:sz w:val="16"/>
          <w:szCs w:val="16"/>
        </w:rPr>
        <w:t>в 1941 году немецкие войска вошли в Харьков (14805).</w:t>
      </w:r>
    </w:p>
    <w:p w14:paraId="37538E73" w14:textId="77777777" w:rsidR="004E7169" w:rsidRPr="00640820" w:rsidRDefault="004E7169" w:rsidP="00640820">
      <w:pPr>
        <w:spacing w:after="0" w:line="240" w:lineRule="auto"/>
        <w:jc w:val="both"/>
        <w:rPr>
          <w:rFonts w:ascii="Times New Roman" w:hAnsi="Times New Roman"/>
          <w:color w:val="000000" w:themeColor="text1"/>
          <w:sz w:val="16"/>
          <w:szCs w:val="16"/>
        </w:rPr>
      </w:pPr>
    </w:p>
    <w:p w14:paraId="1B8CAB78" w14:textId="77777777" w:rsidR="004E7169" w:rsidRPr="00640820" w:rsidRDefault="004E7169"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20 октября </w:t>
      </w:r>
      <w:r w:rsidRPr="00640820">
        <w:rPr>
          <w:rFonts w:ascii="Times New Roman" w:hAnsi="Times New Roman"/>
          <w:color w:val="000000" w:themeColor="text1"/>
          <w:sz w:val="16"/>
          <w:szCs w:val="16"/>
        </w:rPr>
        <w:t>в 1941 году войска 54-й и 55-й армий и Невской оперативной группы Ленинградского фронта предприняли наступление с востока и запада по сходящимся направлениям на Синявино с целью уничтожить шлиссельбургско-синявинскую группировку противника и деблокировать Ленинград с суши (операция прекращена в связи с обострившейся обстановкой под Тихвином) (14805).</w:t>
      </w:r>
    </w:p>
    <w:p w14:paraId="7E9ADE53" w14:textId="77777777" w:rsidR="004E7169" w:rsidRPr="00640820" w:rsidRDefault="004E7169" w:rsidP="00640820">
      <w:pPr>
        <w:spacing w:after="0" w:line="240" w:lineRule="auto"/>
        <w:jc w:val="both"/>
        <w:rPr>
          <w:rFonts w:ascii="Times New Roman" w:hAnsi="Times New Roman"/>
          <w:color w:val="000000" w:themeColor="text1"/>
          <w:sz w:val="16"/>
          <w:szCs w:val="16"/>
        </w:rPr>
      </w:pPr>
    </w:p>
    <w:p w14:paraId="16501E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октября 1941 5 Ил-2 47 сак в сопровождении 6 и под командованием к Романова атаковала западнее Можайска колонну войск и уничтожили несколько танков и 17 автомашин (341,71).</w:t>
      </w:r>
    </w:p>
    <w:p w14:paraId="1AA165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CBA2D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20 октября 1941 англичане на СФ совершили 365 самолето-вылетов и сбили от 12 до 16. 4 наградили ОЛ. Сдали 28 машин нам и их использовали для формирования 78 иап Б.Ф.Сафонова (1119,17).</w:t>
      </w:r>
    </w:p>
    <w:p w14:paraId="4D7CC2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638FA9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октября была подготовлена [Справка о выдаче Телегину К.Ф. мандата уполномоченного ГКО по минометным частям М-8 и М-13 в войсках подмосковной линии обороны.] № 819 (7013, 170).</w:t>
      </w:r>
    </w:p>
    <w:p w14:paraId="12F180E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EA7A1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октября была подготовлена [Справка о выдаче Булганину Н.А. мандата уполномоченного ГКО по минометным частям М-8 и М-13 на ЗФ.] № 820 Д.12, 171).</w:t>
      </w:r>
    </w:p>
    <w:p w14:paraId="1F5B180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B5A38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октября 1941 фашистские войска захватили Сталино (Донецк) (4962).</w:t>
      </w:r>
    </w:p>
    <w:p w14:paraId="47503E5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74CC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октября 1941 немцы взяли Харьков (1770,30) и Сталино (2260).</w:t>
      </w:r>
    </w:p>
    <w:p w14:paraId="57CD81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1EE17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October 20, 1941: On the Eastern Front, Heeresgruppe Mitte (von Bock) concludes the dual battles of encirclement at Vjasma and Brjansk and takes 673,000 Soviet prisoners (3819).</w:t>
      </w:r>
    </w:p>
    <w:p w14:paraId="25FE76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2E0754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октября 1941 сопротивление войск, окруженных под Вязьмой, прекратилось (2260) и в плен взяли 637 тыс. чел. (3819).</w:t>
      </w:r>
    </w:p>
    <w:p w14:paraId="6A3C6C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B154F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октября 1941 мы оставили Моонзундские острова (512,58).</w:t>
      </w:r>
    </w:p>
    <w:p w14:paraId="6BA236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91832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октября 1941 вышло Постановление ГКО № 821 О тт. Бойцове И.П., Двинском Б.А. РГАНИР, Фонд ГКО, д. 12, лл. 172 (11012).</w:t>
      </w:r>
    </w:p>
    <w:p w14:paraId="4063FB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6BE39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октября 1941 вышло Постановление ГКО № 822 О тт. Леонове. РГАНИР, Фонд ГКО, д. С. и Каткове А.М. РГАНИР, Фонд ГКО, д. 12, лл. 173 (11012).</w:t>
      </w:r>
    </w:p>
    <w:p w14:paraId="5AB12F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A8A7E68"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0E204DE7"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8593C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октября 1941 в Москве было введено осадное положение (1074,178).</w:t>
      </w:r>
    </w:p>
    <w:p w14:paraId="62740E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9550168" w14:textId="77777777" w:rsidR="00595859" w:rsidRPr="00640820" w:rsidRDefault="0059585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октября 1941 г. Распоряжение № 14367-сэ Совета по эвакуации «Обязать НКПС СССР подать 21 октября 1941 г. 12 вагонов в распоряжение редакции газеты «Известия» для эвакуации в г. Куйбышев полиграфического оборудования».</w:t>
      </w:r>
    </w:p>
    <w:p w14:paraId="6D23A20F" w14:textId="77777777" w:rsidR="00595859" w:rsidRPr="00640820" w:rsidRDefault="0059585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 копия (рассекречено).</w:t>
      </w:r>
    </w:p>
    <w:p w14:paraId="0B0D0AE5" w14:textId="77777777" w:rsidR="00595859" w:rsidRPr="00640820" w:rsidRDefault="0059585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РГАЭ ф. 1884, оп. 49, д. 4173, л. 262 (18959).</w:t>
      </w:r>
    </w:p>
    <w:p w14:paraId="0E67A6F8" w14:textId="77777777" w:rsidR="00595859" w:rsidRPr="00640820" w:rsidRDefault="00595859" w:rsidP="00640820">
      <w:pPr>
        <w:spacing w:after="0" w:line="240" w:lineRule="auto"/>
        <w:jc w:val="both"/>
        <w:rPr>
          <w:rFonts w:ascii="Times New Roman" w:hAnsi="Times New Roman"/>
          <w:color w:val="000000" w:themeColor="text1"/>
          <w:sz w:val="16"/>
          <w:szCs w:val="16"/>
        </w:rPr>
      </w:pPr>
    </w:p>
    <w:p w14:paraId="397D3F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октября 1941 года вышел Приказ НКВД СССР №001519 о создании 4-х отделов при УНКВД Хабаровского и Приморского краев и Читинской области (8983).</w:t>
      </w:r>
    </w:p>
    <w:p w14:paraId="14F14F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88B55C1"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lang w:val="en-US"/>
        </w:rPr>
      </w:pPr>
      <w:r w:rsidRPr="00640820">
        <w:rPr>
          <w:rFonts w:ascii="Times New Roman" w:hAnsi="Times New Roman"/>
          <w:i/>
          <w:iCs/>
          <w:color w:val="000000" w:themeColor="text1"/>
          <w:sz w:val="16"/>
          <w:szCs w:val="16"/>
        </w:rPr>
        <w:t>За</w:t>
      </w:r>
      <w:r w:rsidRPr="00640820">
        <w:rPr>
          <w:rFonts w:ascii="Times New Roman" w:hAnsi="Times New Roman"/>
          <w:i/>
          <w:iCs/>
          <w:color w:val="000000" w:themeColor="text1"/>
          <w:sz w:val="16"/>
          <w:szCs w:val="16"/>
          <w:lang w:val="en-US"/>
        </w:rPr>
        <w:t xml:space="preserve"> </w:t>
      </w:r>
      <w:r w:rsidRPr="00640820">
        <w:rPr>
          <w:rFonts w:ascii="Times New Roman" w:hAnsi="Times New Roman"/>
          <w:i/>
          <w:iCs/>
          <w:color w:val="000000" w:themeColor="text1"/>
          <w:sz w:val="16"/>
          <w:szCs w:val="16"/>
        </w:rPr>
        <w:t>рубежом</w:t>
      </w:r>
      <w:r w:rsidRPr="00640820">
        <w:rPr>
          <w:rFonts w:ascii="Times New Roman" w:hAnsi="Times New Roman"/>
          <w:i/>
          <w:iCs/>
          <w:color w:val="000000" w:themeColor="text1"/>
          <w:sz w:val="16"/>
          <w:szCs w:val="16"/>
          <w:lang w:val="en-US"/>
        </w:rPr>
        <w:t>:</w:t>
      </w:r>
    </w:p>
    <w:p w14:paraId="64658AC7"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2689E0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October 20 1941 Hornet was commissioned at Norfolk, Captain Marc A. Mitscher commanding (1090).</w:t>
      </w:r>
    </w:p>
    <w:p w14:paraId="12873F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699E52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октября 1941 авианосец Хорнет вступил в строй в Норфолке (1090).</w:t>
      </w:r>
    </w:p>
    <w:p w14:paraId="79C175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DB870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октября 1941 японский флот начал подготовку нападения на Перл Харбор (2260).</w:t>
      </w:r>
    </w:p>
    <w:p w14:paraId="77B05C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3CBF013"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01C5F3D4"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227C73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октября 1941 вышел прикан НКАП № 570сс:</w:t>
      </w:r>
    </w:p>
    <w:p w14:paraId="6B12292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исполнение постановления Правительства от 17 октября 1940 года, ПРИКАЗЫВАЮ:</w:t>
      </w:r>
    </w:p>
    <w:p w14:paraId="32C09E8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Заместителю Наркома и Начальнику Первого Главного Управле</w:t>
      </w:r>
      <w:r w:rsidRPr="00640820">
        <w:rPr>
          <w:rFonts w:ascii="Times New Roman" w:hAnsi="Times New Roman"/>
          <w:color w:val="000000" w:themeColor="text1"/>
          <w:sz w:val="16"/>
          <w:szCs w:val="16"/>
        </w:rPr>
        <w:softHyphen/>
        <w:t>ния тов. Воронину П.А.:</w:t>
      </w:r>
    </w:p>
    <w:p w14:paraId="228F265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организовать производство самолетов ДВ-240 в городе Ростове иа мощность 600 штук в год со сроком ввода в действие указан</w:t>
      </w:r>
      <w:r w:rsidRPr="00640820">
        <w:rPr>
          <w:rFonts w:ascii="Times New Roman" w:hAnsi="Times New Roman"/>
          <w:color w:val="000000" w:themeColor="text1"/>
          <w:sz w:val="16"/>
          <w:szCs w:val="16"/>
        </w:rPr>
        <w:softHyphen/>
        <w:t>ной мощности во втором квартале 1942 года.</w:t>
      </w:r>
    </w:p>
    <w:p w14:paraId="68BDD9E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Расчет мощности завода вести исходя из 2-х сменной работы, 8-ми часового рабочего дня и семидневной недели.</w:t>
      </w:r>
    </w:p>
    <w:p w14:paraId="565C482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Для организации производства боевых самолетов в гор. Ростове принять Ростовский автосборочный завод Наркомсредмаша в систему Первого Главного Управления.</w:t>
      </w:r>
    </w:p>
    <w:p w14:paraId="2D4901F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Начальнику Первого Главного Управления и директору Ростов</w:t>
      </w:r>
      <w:r w:rsidRPr="00640820">
        <w:rPr>
          <w:rFonts w:ascii="Times New Roman" w:hAnsi="Times New Roman"/>
          <w:color w:val="000000" w:themeColor="text1"/>
          <w:sz w:val="16"/>
          <w:szCs w:val="16"/>
        </w:rPr>
        <w:softHyphen/>
        <w:t>ского самолетостроительного завода развернуть немедленно подготов</w:t>
      </w:r>
      <w:r w:rsidRPr="00640820">
        <w:rPr>
          <w:rFonts w:ascii="Times New Roman" w:hAnsi="Times New Roman"/>
          <w:color w:val="000000" w:themeColor="text1"/>
          <w:sz w:val="16"/>
          <w:szCs w:val="16"/>
        </w:rPr>
        <w:softHyphen/>
        <w:t>ку производства самолетов ДБ-240 и обеспечить в 1941 году и в пер</w:t>
      </w:r>
      <w:r w:rsidRPr="00640820">
        <w:rPr>
          <w:rFonts w:ascii="Times New Roman" w:hAnsi="Times New Roman"/>
          <w:color w:val="000000" w:themeColor="text1"/>
          <w:sz w:val="16"/>
          <w:szCs w:val="16"/>
        </w:rPr>
        <w:softHyphen/>
        <w:t>вом квартале 1942 года выполнение программу по выпуску самолетов в количестве 65 штук со следующей разбивкой по кварталам:</w:t>
      </w:r>
    </w:p>
    <w:p w14:paraId="64DC6B7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 квартал 1941 года - 5 шт., в т.ч. в сентябре - 3 штуки</w:t>
      </w:r>
    </w:p>
    <w:p w14:paraId="7713AA2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1У квартал 1941 25 шт, в т.ч. в декабре - 10</w:t>
      </w:r>
    </w:p>
    <w:p w14:paraId="487409B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квартал 1942 35 шт., в т.ч. в марте -15</w:t>
      </w:r>
    </w:p>
    <w:p w14:paraId="26A5801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Начальнику ГУКС"а тов. Кац:</w:t>
      </w:r>
    </w:p>
    <w:p w14:paraId="362F6DD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принять от Наркомстроя в 10-ти дневный срок стройконтору № 1 Севкавтяжстроя с рабочими кадрами, материалами, оборудовалнием, транспортами средствами, а также подсобными предприятиями, складскимн и жилыми помещениями по балансу на 1 октября 1940 год»;</w:t>
      </w:r>
    </w:p>
    <w:p w14:paraId="54966EA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б) на базе 1-й стройконторы Севкавтяжстроя организовать строительно-монтажный трест, возложив на него достройку и реконструкцтю авиационного завода в гор. Ростове на основании типового проекта, исходя из установленной программа и мощности завода </w:t>
      </w:r>
    </w:p>
    <w:p w14:paraId="2A2005C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Вновь организованному тресту.присвоить № 15, подчинив его в административном отношении ГУКСу. (8049,27).</w:t>
      </w:r>
    </w:p>
    <w:p w14:paraId="298AD94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BEF3F4"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0EA1AC17"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B5396AA" w14:textId="77777777" w:rsidR="004E7169" w:rsidRPr="00640820" w:rsidRDefault="004E7169" w:rsidP="00640820">
      <w:pPr>
        <w:pStyle w:val="27"/>
        <w:shd w:val="clear" w:color="auto" w:fill="auto"/>
        <w:spacing w:after="0" w:line="240" w:lineRule="auto"/>
        <w:ind w:firstLine="0"/>
        <w:rPr>
          <w:rFonts w:ascii="Times New Roman" w:cs="Times New Roman"/>
          <w:color w:val="000000" w:themeColor="text1"/>
          <w:spacing w:val="0"/>
        </w:rPr>
      </w:pPr>
      <w:r w:rsidRPr="00640820">
        <w:rPr>
          <w:rStyle w:val="aff7"/>
          <w:rFonts w:ascii="Times New Roman" w:cs="Times New Roman"/>
          <w:b w:val="0"/>
          <w:color w:val="000000" w:themeColor="text1"/>
          <w:spacing w:val="0"/>
          <w:sz w:val="16"/>
          <w:szCs w:val="16"/>
        </w:rPr>
        <w:t xml:space="preserve">21 октября </w:t>
      </w:r>
      <w:r w:rsidRPr="00640820">
        <w:rPr>
          <w:rFonts w:ascii="Times New Roman" w:cs="Times New Roman"/>
          <w:color w:val="000000" w:themeColor="text1"/>
          <w:spacing w:val="0"/>
        </w:rPr>
        <w:t>1941 г. Постановление Совета по эвакуации при</w:t>
      </w:r>
      <w:r w:rsidRPr="00640820">
        <w:rPr>
          <w:rStyle w:val="aff7"/>
          <w:rFonts w:ascii="Times New Roman" w:cs="Times New Roman"/>
          <w:b w:val="0"/>
          <w:color w:val="000000" w:themeColor="text1"/>
          <w:spacing w:val="0"/>
          <w:sz w:val="16"/>
          <w:szCs w:val="16"/>
        </w:rPr>
        <w:t xml:space="preserve"> СНК СССР </w:t>
      </w:r>
      <w:r w:rsidRPr="00640820">
        <w:rPr>
          <w:rFonts w:ascii="Times New Roman" w:cs="Times New Roman"/>
          <w:color w:val="000000" w:themeColor="text1"/>
          <w:spacing w:val="0"/>
        </w:rPr>
        <w:t>предписывало Московскому мотозаводу,</w:t>
      </w:r>
      <w:r w:rsidRPr="00640820">
        <w:rPr>
          <w:rStyle w:val="aff7"/>
          <w:rFonts w:ascii="Times New Roman" w:cs="Times New Roman"/>
          <w:b w:val="0"/>
          <w:color w:val="000000" w:themeColor="text1"/>
          <w:spacing w:val="0"/>
          <w:sz w:val="16"/>
          <w:szCs w:val="16"/>
        </w:rPr>
        <w:t xml:space="preserve"> головному по выпуску </w:t>
      </w:r>
      <w:r w:rsidRPr="00640820">
        <w:rPr>
          <w:rFonts w:ascii="Times New Roman" w:cs="Times New Roman"/>
          <w:color w:val="000000" w:themeColor="text1"/>
          <w:spacing w:val="0"/>
        </w:rPr>
        <w:t>М-72, эвакуироваться в Ирбит, на площади</w:t>
      </w:r>
      <w:r w:rsidRPr="00640820">
        <w:rPr>
          <w:rStyle w:val="aff7"/>
          <w:rFonts w:ascii="Times New Roman" w:cs="Times New Roman"/>
          <w:b w:val="0"/>
          <w:color w:val="000000" w:themeColor="text1"/>
          <w:spacing w:val="0"/>
          <w:sz w:val="16"/>
          <w:szCs w:val="16"/>
        </w:rPr>
        <w:t xml:space="preserve"> бывшего пивоваренного за</w:t>
      </w:r>
      <w:r w:rsidRPr="00640820">
        <w:rPr>
          <w:rStyle w:val="aff7"/>
          <w:rFonts w:ascii="Times New Roman" w:cs="Times New Roman"/>
          <w:b w:val="0"/>
          <w:color w:val="000000" w:themeColor="text1"/>
          <w:spacing w:val="0"/>
          <w:sz w:val="16"/>
          <w:szCs w:val="16"/>
        </w:rPr>
        <w:softHyphen/>
      </w:r>
      <w:r w:rsidRPr="00640820">
        <w:rPr>
          <w:rFonts w:ascii="Times New Roman" w:cs="Times New Roman"/>
          <w:color w:val="000000" w:themeColor="text1"/>
          <w:spacing w:val="0"/>
        </w:rPr>
        <w:t>вода. Эвакуацию проводили в спешке - за</w:t>
      </w:r>
      <w:r w:rsidRPr="00640820">
        <w:rPr>
          <w:rStyle w:val="aff7"/>
          <w:rFonts w:ascii="Times New Roman" w:cs="Times New Roman"/>
          <w:b w:val="0"/>
          <w:color w:val="000000" w:themeColor="text1"/>
          <w:spacing w:val="0"/>
          <w:sz w:val="16"/>
          <w:szCs w:val="16"/>
        </w:rPr>
        <w:t xml:space="preserve"> несколько суток, на морозе и </w:t>
      </w:r>
      <w:r w:rsidRPr="00640820">
        <w:rPr>
          <w:rFonts w:ascii="Times New Roman" w:cs="Times New Roman"/>
          <w:color w:val="000000" w:themeColor="text1"/>
          <w:spacing w:val="0"/>
        </w:rPr>
        <w:t>при бомбежках. В вагоны и даже на</w:t>
      </w:r>
      <w:r w:rsidRPr="00640820">
        <w:rPr>
          <w:rStyle w:val="aff7"/>
          <w:rFonts w:ascii="Times New Roman" w:cs="Times New Roman"/>
          <w:b w:val="0"/>
          <w:color w:val="000000" w:themeColor="text1"/>
          <w:spacing w:val="0"/>
          <w:sz w:val="16"/>
          <w:szCs w:val="16"/>
        </w:rPr>
        <w:t xml:space="preserve"> открытые платформы грузили обо</w:t>
      </w:r>
      <w:r w:rsidRPr="00640820">
        <w:rPr>
          <w:rStyle w:val="aff7"/>
          <w:rFonts w:ascii="Times New Roman" w:cs="Times New Roman"/>
          <w:b w:val="0"/>
          <w:color w:val="000000" w:themeColor="text1"/>
          <w:spacing w:val="0"/>
          <w:sz w:val="16"/>
          <w:szCs w:val="16"/>
        </w:rPr>
        <w:softHyphen/>
      </w:r>
      <w:r w:rsidRPr="00640820">
        <w:rPr>
          <w:rFonts w:ascii="Times New Roman" w:cs="Times New Roman"/>
          <w:color w:val="000000" w:themeColor="text1"/>
          <w:spacing w:val="0"/>
        </w:rPr>
        <w:t>рудование и уже готовые узлы (так</w:t>
      </w:r>
      <w:r w:rsidRPr="00640820">
        <w:rPr>
          <w:rStyle w:val="aff7"/>
          <w:rFonts w:ascii="Times New Roman" w:cs="Times New Roman"/>
          <w:b w:val="0"/>
          <w:color w:val="000000" w:themeColor="text1"/>
          <w:spacing w:val="0"/>
          <w:sz w:val="16"/>
          <w:szCs w:val="16"/>
        </w:rPr>
        <w:t xml:space="preserve"> называемую «незавершонку»). За</w:t>
      </w:r>
      <w:r w:rsidRPr="00640820">
        <w:rPr>
          <w:rStyle w:val="aff7"/>
          <w:rFonts w:ascii="Times New Roman" w:cs="Times New Roman"/>
          <w:b w:val="0"/>
          <w:color w:val="000000" w:themeColor="text1"/>
          <w:spacing w:val="0"/>
          <w:sz w:val="16"/>
          <w:szCs w:val="16"/>
        </w:rPr>
        <w:softHyphen/>
      </w:r>
      <w:r w:rsidRPr="00640820">
        <w:rPr>
          <w:rFonts w:ascii="Times New Roman" w:cs="Times New Roman"/>
          <w:color w:val="000000" w:themeColor="text1"/>
          <w:spacing w:val="0"/>
        </w:rPr>
        <w:t>тем эти эшелоны месяц, а то и два добирались</w:t>
      </w:r>
      <w:r w:rsidRPr="00640820">
        <w:rPr>
          <w:rStyle w:val="aff7"/>
          <w:rFonts w:ascii="Times New Roman" w:cs="Times New Roman"/>
          <w:b w:val="0"/>
          <w:color w:val="000000" w:themeColor="text1"/>
          <w:spacing w:val="0"/>
          <w:sz w:val="16"/>
          <w:szCs w:val="16"/>
        </w:rPr>
        <w:t xml:space="preserve"> до пунктов назначения </w:t>
      </w:r>
      <w:r w:rsidRPr="00640820">
        <w:rPr>
          <w:rFonts w:ascii="Times New Roman" w:cs="Times New Roman"/>
          <w:color w:val="000000" w:themeColor="text1"/>
          <w:spacing w:val="0"/>
        </w:rPr>
        <w:t>на Востоке страны. Следом отправили и</w:t>
      </w:r>
      <w:r w:rsidRPr="00640820">
        <w:rPr>
          <w:rStyle w:val="aff7"/>
          <w:rFonts w:ascii="Times New Roman" w:cs="Times New Roman"/>
          <w:b w:val="0"/>
          <w:color w:val="000000" w:themeColor="text1"/>
          <w:spacing w:val="0"/>
          <w:sz w:val="16"/>
          <w:szCs w:val="16"/>
        </w:rPr>
        <w:t xml:space="preserve"> специалистов, но лишь малую </w:t>
      </w:r>
      <w:r w:rsidRPr="00640820">
        <w:rPr>
          <w:rFonts w:ascii="Times New Roman" w:cs="Times New Roman"/>
          <w:color w:val="000000" w:themeColor="text1"/>
          <w:spacing w:val="0"/>
        </w:rPr>
        <w:t>часть от требовавшихся - остальных призвали</w:t>
      </w:r>
      <w:r w:rsidRPr="00640820">
        <w:rPr>
          <w:rStyle w:val="aff7"/>
          <w:rFonts w:ascii="Times New Roman" w:cs="Times New Roman"/>
          <w:b w:val="0"/>
          <w:color w:val="000000" w:themeColor="text1"/>
          <w:spacing w:val="0"/>
          <w:sz w:val="16"/>
          <w:szCs w:val="16"/>
        </w:rPr>
        <w:t xml:space="preserve"> на фронт (15757).</w:t>
      </w:r>
    </w:p>
    <w:p w14:paraId="00C7ED53" w14:textId="77777777" w:rsidR="004E7169" w:rsidRPr="00640820" w:rsidRDefault="004E7169" w:rsidP="00640820">
      <w:pPr>
        <w:pStyle w:val="27"/>
        <w:shd w:val="clear" w:color="auto" w:fill="auto"/>
        <w:spacing w:after="0" w:line="240" w:lineRule="auto"/>
        <w:ind w:firstLine="0"/>
        <w:rPr>
          <w:rFonts w:ascii="Times New Roman" w:cs="Times New Roman"/>
          <w:color w:val="000000" w:themeColor="text1"/>
          <w:spacing w:val="0"/>
        </w:rPr>
      </w:pPr>
    </w:p>
    <w:p w14:paraId="10E83C7B"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октября 1941 года в соответствии с постановлением Комиссии по эвакуации при Государственном Комитете Обороны СССР в Кировскую область из Москвы эвакуировался завод № 58 имени Ворошилова Наркомата боеприпасов. Первоначально предполагалось разместить завод в г. Кирове, на базе завода «Физприбор» № 2</w:t>
      </w:r>
      <w:r w:rsidRPr="00640820">
        <w:rPr>
          <w:rFonts w:ascii="Times New Roman" w:hAnsi="Times New Roman"/>
          <w:color w:val="000000" w:themeColor="text1"/>
          <w:sz w:val="16"/>
          <w:szCs w:val="16"/>
          <w:vertAlign w:val="superscript"/>
        </w:rPr>
        <w:t>1</w:t>
      </w:r>
      <w:r w:rsidRPr="00640820">
        <w:rPr>
          <w:rFonts w:ascii="Times New Roman" w:hAnsi="Times New Roman"/>
          <w:color w:val="000000" w:themeColor="text1"/>
          <w:sz w:val="16"/>
          <w:szCs w:val="16"/>
        </w:rPr>
        <w:t>.</w:t>
      </w:r>
    </w:p>
    <w:p w14:paraId="3864FE6C"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Однако к тому времени город был уже переполнен эвакуированными предприятиями, и создались очень серьезные проблемы с обеспечением электроэнергией, с размещением людей. Бюро Кировского обкома ВКП(б) по согласованию с Наркоматом боеприпасов СССР приняло решение разместить завод № 58 в д. Сапожнята Медянского района на базе завода «Фитинг». При принятии решения учитывалось и то, что в Кировскую область направлялась только часть завода.</w:t>
      </w:r>
    </w:p>
    <w:p w14:paraId="15813C02"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Эвакуация была проведена, в основном, двумя эшелонами: первый пришел 5 ноября 1941 года, второй - в январе 1942 года. Всего прибыло 65 вагонов, в том числе 33 с оборудованием, 21 с монтажом, 11 с людьми</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Разгрузка была проведена на станции Долгушино, в 14 километрах от места расположения завода.</w:t>
      </w:r>
    </w:p>
    <w:p w14:paraId="19E7CE87"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Уже на второй день после прибытия, 6 ноября 1941 года, начальник эшелона завода № 58 A.M. Кондаков написал письмо первому секретарю Кировского обкома ВКП(б) В.В. Лукьянову и копию - Наркому боеприпасов Горемыкину: «...получив возможность ознакомиться на месте с т.н. заводом «Фитинг», считаю необходимым Вас предупредить и категорически протестовать против Вашего решения о размещении нашего производства на т.н. заводе «Фитинг» по нижеследующим соображениям:</w:t>
      </w:r>
    </w:p>
    <w:p w14:paraId="6CEAD48D"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Т.н. завод «Фитинг» - это старая изодранная коробка, совершенно не приспособленная к механическому производству, ей нужно полное капитальное переоборудование и перепланировка. </w:t>
      </w:r>
    </w:p>
    <w:p w14:paraId="07E91851"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Нет центрального отопления, необходимого для производства пара. </w:t>
      </w:r>
    </w:p>
    <w:p w14:paraId="14568EE8"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Электроэнергии имеется 35 квт, имеется частичная проводка световой линии и полное отсутствие силовой проволоки. </w:t>
      </w:r>
    </w:p>
    <w:p w14:paraId="57B50597"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Полное отсутствие вспомогательных производств: инструментального, гальванического, окраски, ремонтно-механического цеха и т.д., без чего наше производство жить не может. </w:t>
      </w:r>
    </w:p>
    <w:p w14:paraId="56A44B3E"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Полное отсутствие подъездных путей, железнодорожных или шоссейных, до завода 20 км проселка, мало проезжего. </w:t>
      </w:r>
    </w:p>
    <w:p w14:paraId="77E77E1C"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Отсутствие бытовых условий, жилища, магазинов, столовой не даст возможности закрепить и подобрать техперсонал и квалифицированных рабочих.</w:t>
      </w:r>
    </w:p>
    <w:p w14:paraId="06DDEA4B"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Исходя из вышеизложенного, видно, что развернуть производство на этом заводе без серьезных капитальных вложений невозможно, а всякая капитальная работа - это оттяжка на года, а наше производство и продукция нужны сегодня.</w:t>
      </w:r>
    </w:p>
    <w:p w14:paraId="0A71E4F0"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Докладывая о вышеизложенном, прошу Ваше решение отменить и разместить наш завод вместе с родственным производством на заводе «Физприбор» </w:t>
      </w:r>
      <w:r w:rsidRPr="00640820">
        <w:rPr>
          <w:rFonts w:ascii="Times New Roman" w:hAnsi="Times New Roman"/>
          <w:color w:val="000000" w:themeColor="text1"/>
          <w:sz w:val="16"/>
          <w:szCs w:val="16"/>
          <w:vertAlign w:val="superscript"/>
        </w:rPr>
        <w:t>3</w:t>
      </w:r>
      <w:r w:rsidRPr="00640820">
        <w:rPr>
          <w:rFonts w:ascii="Times New Roman" w:hAnsi="Times New Roman"/>
          <w:color w:val="000000" w:themeColor="text1"/>
          <w:sz w:val="16"/>
          <w:szCs w:val="16"/>
        </w:rPr>
        <w:t>.</w:t>
      </w:r>
    </w:p>
    <w:p w14:paraId="4E688CAD"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Возражения Кондакова никто не принял. Начались работы по созданию нового завода. Всеми строительными работами было поручено заниматься стройорганизации завода № 324 Наркомата боеприпасов (современный «Сельмаш»). В качестве рабочей силы был выделен строительный батальон в количестве 100 человек.</w:t>
      </w:r>
      <w:r w:rsidRPr="00640820">
        <w:rPr>
          <w:rFonts w:ascii="Times New Roman" w:hAnsi="Times New Roman"/>
          <w:color w:val="000000" w:themeColor="text1"/>
          <w:sz w:val="16"/>
          <w:szCs w:val="16"/>
          <w:vertAlign w:val="superscript"/>
        </w:rPr>
        <w:t>4</w:t>
      </w:r>
      <w:r w:rsidRPr="00640820">
        <w:rPr>
          <w:rFonts w:ascii="Times New Roman" w:hAnsi="Times New Roman"/>
          <w:color w:val="000000" w:themeColor="text1"/>
          <w:sz w:val="16"/>
          <w:szCs w:val="16"/>
        </w:rPr>
        <w:t xml:space="preserve"> Вместе с оборудованием приехали из Москвы и работники завода в количестве 323 человек. Их разместили в ближайших к Сапожнятам деревнях, в радиусе 4 км от завода. Квалифицированных рабочих для строящегося завода было решено готовить в ремесленном училище № 5.</w:t>
      </w:r>
      <w:r w:rsidRPr="00640820">
        <w:rPr>
          <w:rFonts w:ascii="Times New Roman" w:hAnsi="Times New Roman"/>
          <w:color w:val="000000" w:themeColor="text1"/>
          <w:sz w:val="16"/>
          <w:szCs w:val="16"/>
          <w:vertAlign w:val="superscript"/>
        </w:rPr>
        <w:t>5</w:t>
      </w:r>
    </w:p>
    <w:p w14:paraId="1BE99940"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Новому заводу присвоили номер 609. Приказом по Наркомату боеприпасов № 40с от 4 января 1942 года были определены сроки восстановления завода: 10 февраля 1942 года, назначен директор - Е.Ф. Кулютин, определены планы по выпуску продукции. Завод № 609 должен был выпускать ручные противотанковые гранаты (РПГ - 40), пиропатроны (ПП-3), модернизированные упрощенные взрыватели (МУВ), гильзы к запалам и детонаторам, детали к гранате РГД-33 - всего 8 видов.</w:t>
      </w:r>
      <w:r w:rsidRPr="00640820">
        <w:rPr>
          <w:rFonts w:ascii="Times New Roman" w:hAnsi="Times New Roman"/>
          <w:color w:val="000000" w:themeColor="text1"/>
          <w:sz w:val="16"/>
          <w:szCs w:val="16"/>
          <w:vertAlign w:val="superscript"/>
        </w:rPr>
        <w:t>6</w:t>
      </w:r>
    </w:p>
    <w:p w14:paraId="6BA8DBE7"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Строительство завода и восстановление производства с самого начала пошло не по графику. Проверка обкома ВКП(б), проведенная 12 января 1942 года, показала, что за 2 месяца со станции Долгушино из 268 единиц оборудования вывезено только 200, из которых установлено 104.</w:t>
      </w:r>
      <w:r w:rsidRPr="00640820">
        <w:rPr>
          <w:rFonts w:ascii="Times New Roman" w:hAnsi="Times New Roman"/>
          <w:color w:val="000000" w:themeColor="text1"/>
          <w:sz w:val="16"/>
          <w:szCs w:val="16"/>
          <w:vertAlign w:val="superscript"/>
        </w:rPr>
        <w:t xml:space="preserve">7 </w:t>
      </w:r>
      <w:r w:rsidRPr="00640820">
        <w:rPr>
          <w:rFonts w:ascii="Times New Roman" w:hAnsi="Times New Roman"/>
          <w:color w:val="000000" w:themeColor="text1"/>
          <w:sz w:val="16"/>
          <w:szCs w:val="16"/>
        </w:rPr>
        <w:t>Через месяц, 17 февраля, новая проверка снова показала, что «монтаж задерживается из-за отсутствия транспорта для вывозки оборудования со станции Долгушино».</w:t>
      </w:r>
      <w:r w:rsidRPr="00640820">
        <w:rPr>
          <w:rFonts w:ascii="Times New Roman" w:hAnsi="Times New Roman"/>
          <w:color w:val="000000" w:themeColor="text1"/>
          <w:sz w:val="16"/>
          <w:szCs w:val="16"/>
          <w:vertAlign w:val="superscript"/>
        </w:rPr>
        <w:t>8</w:t>
      </w:r>
      <w:r w:rsidRPr="00640820">
        <w:rPr>
          <w:rFonts w:ascii="Times New Roman" w:hAnsi="Times New Roman"/>
          <w:color w:val="000000" w:themeColor="text1"/>
          <w:sz w:val="16"/>
          <w:szCs w:val="16"/>
        </w:rPr>
        <w:t xml:space="preserve"> Медленно шли и строительные работы.</w:t>
      </w:r>
    </w:p>
    <w:p w14:paraId="48091AD6"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марта 1942 года секретарь партбюро завода № 609 т. Вицени написал письмо в ЦК ВКП(б), где указал, что главной причиной медленного развертывания производства являлся неправильный выбор площадки для завода, и предлагал перевезти завод в г. Киров.</w:t>
      </w:r>
      <w:r w:rsidRPr="00640820">
        <w:rPr>
          <w:rFonts w:ascii="Times New Roman" w:hAnsi="Times New Roman"/>
          <w:color w:val="000000" w:themeColor="text1"/>
          <w:sz w:val="16"/>
          <w:szCs w:val="16"/>
          <w:vertAlign w:val="superscript"/>
        </w:rPr>
        <w:t>9</w:t>
      </w:r>
      <w:r w:rsidRPr="00640820">
        <w:rPr>
          <w:rFonts w:ascii="Times New Roman" w:hAnsi="Times New Roman"/>
          <w:color w:val="000000" w:themeColor="text1"/>
          <w:sz w:val="16"/>
          <w:szCs w:val="16"/>
        </w:rPr>
        <w:t xml:space="preserve"> Секретарь Кировского обкома ВКП(б) по промышленности П.П. Кокурин на это письмо ответил: «...чтобы завод работал, надо ...главное - заставить дирекцию и парторганизацию завода выполнять свои функции и считать себя обязанным пускать завод и давать фронту продукцию, а не сидеть сложа руки или ходатайствовать о переводе в г. Киров или Москву. До тех пор не пойдет дело, пока руководители завода не поймут, что завод № 609 из Сапожнят никуда переводить не будут. Вопрос о том, почему мы не в Москве, а в Сапожнятах, надо снять прежде всего у Вицени, Кулютина [директора], Кондакова [главного инженера], Кулакова [заместителя директора] и других, тогда легче будет решать вопросы производства, культуры, быта и др.»</w:t>
      </w:r>
      <w:r w:rsidRPr="00640820">
        <w:rPr>
          <w:rFonts w:ascii="Times New Roman" w:hAnsi="Times New Roman"/>
          <w:color w:val="000000" w:themeColor="text1"/>
          <w:sz w:val="16"/>
          <w:szCs w:val="16"/>
          <w:vertAlign w:val="superscript"/>
        </w:rPr>
        <w:t>10</w:t>
      </w:r>
    </w:p>
    <w:p w14:paraId="20576F91"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объективным и субъективным причинам завод за весь первый квартал 1942 года так по-настоящему и не работал и не выпустил вообще оборонной продукции. Вопрос с положением на заводе № 609 в апреле рассматривался на бюро Медянского райкома партии, а 7 мая 1942 года - на совещании у первого секретаря обкома ВКП(б) В.В. Лукьянова. Начальника строительства завода № 324 т. Боварского и директора завода № 609 т. Кулютина обязали к 1 июня 1942 года закончить все строительные и монтажные работы по производственным зданиям, а к 1 июля завершить строительство жилого дома барачного типа на 100 человек. Обсуждались вопросы по стройматериалам и транспорту. Областному дорожному отделу было приказано привести в порядок дорогу от комбината «Коминтерн» до деревни Сапожнята.</w:t>
      </w:r>
      <w:r w:rsidRPr="00640820">
        <w:rPr>
          <w:rFonts w:ascii="Times New Roman" w:hAnsi="Times New Roman"/>
          <w:color w:val="000000" w:themeColor="text1"/>
          <w:sz w:val="16"/>
          <w:szCs w:val="16"/>
          <w:vertAlign w:val="superscript"/>
        </w:rPr>
        <w:t>11</w:t>
      </w:r>
      <w:r w:rsidRPr="00640820">
        <w:rPr>
          <w:rFonts w:ascii="Times New Roman" w:hAnsi="Times New Roman"/>
          <w:color w:val="000000" w:themeColor="text1"/>
          <w:sz w:val="16"/>
          <w:szCs w:val="16"/>
        </w:rPr>
        <w:t xml:space="preserve"> На дорожные работы были мобилизованы люди из Медянского, Поломского, Кировского районов и г. Кирова. Директор завода № 609 т. Кулютин информировал о ходе строительства дороги обком ВКП(б).</w:t>
      </w:r>
      <w:r w:rsidRPr="00640820">
        <w:rPr>
          <w:rFonts w:ascii="Times New Roman" w:hAnsi="Times New Roman"/>
          <w:color w:val="000000" w:themeColor="text1"/>
          <w:sz w:val="16"/>
          <w:szCs w:val="16"/>
          <w:vertAlign w:val="superscript"/>
        </w:rPr>
        <w:t>12</w:t>
      </w:r>
    </w:p>
    <w:p w14:paraId="555FCFC3"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мае 1942 года завод заработал на полную мощность, военная продукция пошла на фронт. Планы за первый месяц работы были выполнены по оборонной продукции на 103,6%, по товарной продукции - на 106,7%.</w:t>
      </w:r>
      <w:r w:rsidRPr="00640820">
        <w:rPr>
          <w:rFonts w:ascii="Times New Roman" w:hAnsi="Times New Roman"/>
          <w:color w:val="000000" w:themeColor="text1"/>
          <w:sz w:val="16"/>
          <w:szCs w:val="16"/>
          <w:vertAlign w:val="superscript"/>
        </w:rPr>
        <w:t>13</w:t>
      </w:r>
      <w:r w:rsidRPr="00640820">
        <w:rPr>
          <w:rFonts w:ascii="Times New Roman" w:hAnsi="Times New Roman"/>
          <w:color w:val="000000" w:themeColor="text1"/>
          <w:sz w:val="16"/>
          <w:szCs w:val="16"/>
        </w:rPr>
        <w:t xml:space="preserve"> Все лето завод стабильно работал. У него появилось свое подсобное хозяйство, в котором засеяли 14,5 га: овса и клевера - 10 га, картофеля - 2,5 га, ячменя - 1,5 га, различных огородных культур - 0,5 га. Для хранения будущего урожая приступили к строительству овощехранилища вместимостью 160 тонн. Закупили 5 коров, стали организовывать свинарник.</w:t>
      </w:r>
      <w:r w:rsidRPr="00640820">
        <w:rPr>
          <w:rFonts w:ascii="Times New Roman" w:hAnsi="Times New Roman"/>
          <w:color w:val="000000" w:themeColor="text1"/>
          <w:sz w:val="16"/>
          <w:szCs w:val="16"/>
          <w:vertAlign w:val="superscript"/>
        </w:rPr>
        <w:t>14</w:t>
      </w:r>
    </w:p>
    <w:p w14:paraId="57B24D9F"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на заводе работало 715 человек. 27 сентября 1942 года положение дел на заводе № 609 снова рассматривалась на совещании у первого секретаря обкома ВКП(б) В.В. Лукьянова. Было решено оказать помощь заводу: выделить дополнительные стройматериалы, направить на работу 60 выпускников ремесленного училища, усилить контроль за отовариванием фондов по продовольствию, организовать пошивочную мастерскую теплой одежды для рабочих завода.</w:t>
      </w:r>
      <w:r w:rsidRPr="00640820">
        <w:rPr>
          <w:rFonts w:ascii="Times New Roman" w:hAnsi="Times New Roman"/>
          <w:color w:val="000000" w:themeColor="text1"/>
          <w:sz w:val="16"/>
          <w:szCs w:val="16"/>
          <w:vertAlign w:val="superscript"/>
        </w:rPr>
        <w:t>15</w:t>
      </w:r>
      <w:r w:rsidRPr="00640820">
        <w:rPr>
          <w:rFonts w:ascii="Times New Roman" w:hAnsi="Times New Roman"/>
          <w:color w:val="000000" w:themeColor="text1"/>
          <w:sz w:val="16"/>
          <w:szCs w:val="16"/>
        </w:rPr>
        <w:t xml:space="preserve"> Организовали и мастерскую по ремонту обуви в деревне Сапожнята. Для того, чтобы зимой была постоянная работа, заранее заказали изготовление деревянных щитов для снегоборьбы.</w:t>
      </w:r>
    </w:p>
    <w:p w14:paraId="6E58A82C"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Однако обстановка на заводе была явно ненормальной. Все строительно-монтажные работы, подготовка к зиме, ремонт техники, состояние трудовой дисциплины были, как отмечали проверки, на неудовлетворительном уровне. По требованию обкома партии директор завода Кулютин, явно не справлявшийся с работой, Наркоматом боеприпасов был снят с работы. Был поставлен новый директор - т. Бобайлов.</w:t>
      </w:r>
    </w:p>
    <w:p w14:paraId="5A3890E6"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Одной из причин тяжелой ситуации на заводе было настроение инженерно-технических работников, москвичей, оказавшихся в силу обстоятельств в далекой вятской деревне. Надо иметь в виду, что в 1942 году уже началась реэвакуация отдельных промышленных предприятий в Москву. Небольшая часть оборудования и с завода № 609 была возвращена на московский завод № 58 имени Куйбышева.</w:t>
      </w:r>
    </w:p>
    <w:p w14:paraId="471BBD91"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Отражением этого настроения явилось коллективное письмо всех главных специалистов и начальников цехов на имя члена Государственного Комитета Обороны Л.П. Берия. Процитируем его: «Мы ставим вопрос о дальнейшей судьбе завода боеприпасов, числящегося в системе Наркомата боеприпасов за номером 609, который, имея высококвалифицированное оборудование и опытные кадры, простаивает вот уже около года и не в состоянии оказать фронту никакой эффективной помощи... За 10 месяцев завод не додал фронту 8 575 тысяч пиропатронов, 613 тысяч противотанковых гранат и т.д. Смонтированное на площадке бывшего завода «Фитинг» и полностью подготовленное оборудование вместе с тысячным коллективом обученных рабочих систематически простаивает целыми неделями и нет никакой перспективы, чтобы запустить все производство на полную мощность. Непроходимое бездорожье, отсутствие подъездных путей, необходимого транспорта, надежной энергетической базы, водоснабжения, топлива и жилищ - совершенно парализуют работу завода.</w:t>
      </w:r>
    </w:p>
    <w:p w14:paraId="0E4440BD"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Учитывая все вышеизложенное и руководимые единым стремлением работать не покладая рук в полную меру наших сил и возможностей с пользой для дела защиты нашей Родины, мы просим Вас, товарищ Берия, о нижеследующем:</w:t>
      </w:r>
    </w:p>
    <w:p w14:paraId="6B745D10"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Побудить Наркомат боеприпасов пересмотреть вопрос о целесообразности дальнейшего существования завода № 609 как самостоятельной единицы в условиях полного отсутствия каких бы то ни было перспектив для его развития. Мы, со своей стороны, считаем дальнейшее пребывание завода здесь, на площадке «Фитинг», не только не целесообразным, но прямо не допустимым.</w:t>
      </w:r>
    </w:p>
    <w:p w14:paraId="6A2316D0"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Расследовать вопрос о том, по чьей злой воле или недомыслию завод был заброшен сюда и заведомо обречен на длительное бездействие, и привлечь виновников к законной ответственности».</w:t>
      </w:r>
      <w:r w:rsidRPr="00640820">
        <w:rPr>
          <w:rFonts w:ascii="Times New Roman" w:hAnsi="Times New Roman"/>
          <w:color w:val="000000" w:themeColor="text1"/>
          <w:sz w:val="16"/>
          <w:szCs w:val="16"/>
          <w:vertAlign w:val="superscript"/>
        </w:rPr>
        <w:t>16</w:t>
      </w:r>
    </w:p>
    <w:p w14:paraId="5F2F07E5"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Письмо подписали главный инженер завода Синюхин и еще 12 человек. Оно было датировано 23 октября 1942 года, т.е. написано в самый разгар Сталинградского сражения, и, видимо, произвело определенное впечатление. Кировский обком ВКП(б) вынужден был оправдываться. На обороте присланной из Москвы копии письма от руки записано: «Заводу оказана помощь:</w:t>
      </w:r>
    </w:p>
    <w:p w14:paraId="2A4ED055"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Имелось рабочих 140 человек, стало около 1900. </w:t>
      </w:r>
    </w:p>
    <w:p w14:paraId="2C9B1530"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Организовано силовое хозяйство (3 локомобиля, 2 электропередвижки). </w:t>
      </w:r>
    </w:p>
    <w:p w14:paraId="548890C7"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Размещены рабочие. </w:t>
      </w:r>
    </w:p>
    <w:p w14:paraId="162700EE"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Проведена работа по устройству дороги. </w:t>
      </w:r>
    </w:p>
    <w:p w14:paraId="715B6DBE"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Подведена вода. </w:t>
      </w:r>
    </w:p>
    <w:p w14:paraId="5B8E1692"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Приспособлено производственное здание. </w:t>
      </w:r>
    </w:p>
    <w:p w14:paraId="7504C550"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Выделено 50 подвод для постоянной работы».</w:t>
      </w:r>
      <w:r w:rsidRPr="00640820">
        <w:rPr>
          <w:rFonts w:ascii="Times New Roman" w:hAnsi="Times New Roman"/>
          <w:color w:val="000000" w:themeColor="text1"/>
          <w:sz w:val="16"/>
          <w:szCs w:val="16"/>
          <w:vertAlign w:val="superscript"/>
        </w:rPr>
        <w:t>17</w:t>
      </w:r>
    </w:p>
    <w:p w14:paraId="53128BF1"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ноября 1942 года, рассматривая вопрос о выполнении заводом № 609 планов 3-го квартала, бюро Медянского райкома партии записало в своем решении: «Главный инженер Синюхин примирился с фактами безответственности на производстве, распущенностью с трудовой дисциплиной и, подписывая заявление на имя т. Берия совместно с начальниками цехов с утверждением, что завод не выполняет производственные программы и не может ее выполнить, тем самым допустил грубейшую политическую ошибку».</w:t>
      </w:r>
      <w:r w:rsidRPr="00640820">
        <w:rPr>
          <w:rFonts w:ascii="Times New Roman" w:hAnsi="Times New Roman"/>
          <w:color w:val="000000" w:themeColor="text1"/>
          <w:sz w:val="16"/>
          <w:szCs w:val="16"/>
          <w:vertAlign w:val="superscript"/>
        </w:rPr>
        <w:t>18</w:t>
      </w:r>
    </w:p>
    <w:p w14:paraId="098F7C63"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на заводе постоянно лихорадило: планы то перевыполнялись, то не выполнялись. Объяснения были одинаковые: из-за плохой дороги не завезли материалы, не отгрузили готовую продукцию, перебои с электроэнергией. Оценивая работу завода № 609 за 1942 год, Медянская районная партконференция признала ее неудовлетворительной.</w:t>
      </w:r>
      <w:r w:rsidRPr="00640820">
        <w:rPr>
          <w:rFonts w:ascii="Times New Roman" w:hAnsi="Times New Roman"/>
          <w:color w:val="000000" w:themeColor="text1"/>
          <w:sz w:val="16"/>
          <w:szCs w:val="16"/>
          <w:vertAlign w:val="superscript"/>
        </w:rPr>
        <w:t>19</w:t>
      </w:r>
    </w:p>
    <w:p w14:paraId="60A3A1A7"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 улучшалось и положение людей на заводе. Проверка завода, проведенная обкомом ВКП(б) в феврале 1943 года, показала: «Рабочие живут у крестьян на уплотнении..., некоторая часть руководителей живет в домах на территории завода. Большая часть рабочих плохо одета. Рабочие, работающие по заготовке и разделке древесины, работники транспортного отдела не имеют валенок, полушубков. Питание, в рабочей столовой особенно, неудовлетворительное, и к тому же эта столовая холодная, не утеплена. Вообще осенью не проводили работу по утеплению здания, не готовились к зиме. Люди болеют, каждый день выдается по 10-20 бюллетеней. Главным образом, болеют гриппом с признаками истощения. Нужные медикаменты отсутствуют».</w:t>
      </w:r>
      <w:r w:rsidRPr="00640820">
        <w:rPr>
          <w:rFonts w:ascii="Times New Roman" w:hAnsi="Times New Roman"/>
          <w:color w:val="000000" w:themeColor="text1"/>
          <w:sz w:val="16"/>
          <w:szCs w:val="16"/>
          <w:vertAlign w:val="superscript"/>
        </w:rPr>
        <w:t>20</w:t>
      </w:r>
    </w:p>
    <w:p w14:paraId="007D6CA6"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находился в деревне Сапожнята до весны 1943 года. Постановлением Совнаркома СССР от 19 марта 1943 года за № 6016 сс завод № 609 объединялся со снаряжательной мастерской № 608 и переезжал на ее базу. По согласованию с обкомом ВКП(б) срок переезда был установлен: май-июль. Военстрою было поручено к 1 июня 1943 года построить и сдать в эксплуатацию 3 корпуса для размещения валовых цехов, инструментального цеха и бараков на 300 человек.</w:t>
      </w:r>
      <w:r w:rsidRPr="00640820">
        <w:rPr>
          <w:rFonts w:ascii="Times New Roman" w:hAnsi="Times New Roman"/>
          <w:color w:val="000000" w:themeColor="text1"/>
          <w:sz w:val="16"/>
          <w:szCs w:val="16"/>
          <w:vertAlign w:val="superscript"/>
        </w:rPr>
        <w:t>21</w:t>
      </w:r>
    </w:p>
    <w:p w14:paraId="66BDBBC6"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Мастерская № 608 была создана осенью 1941 года на базе мастерской Кирлеса в Кировском районе. Она была небольшая: на 1 января 1943 года в ней работало всего 153 человека. Функции ее были определены названием - снаряжательная. На нее привозили изготовлявшиеся в г. Кирове корпуса ручных гранат Ф-1, а из нее уходила </w:t>
      </w:r>
      <w:r w:rsidRPr="00640820">
        <w:rPr>
          <w:rFonts w:ascii="Times New Roman" w:hAnsi="Times New Roman"/>
          <w:color w:val="000000" w:themeColor="text1"/>
          <w:sz w:val="16"/>
          <w:szCs w:val="16"/>
        </w:rPr>
        <w:lastRenderedPageBreak/>
        <w:t>на фронт уже готовая продукция. Переехавший на ее базу бывший завод № 609 совершенно изменил профиль предприятия и положил основу действующего и на сегодняшний день Нововятского механического завода.</w:t>
      </w:r>
    </w:p>
    <w:p w14:paraId="17D97FDD" w14:textId="77777777" w:rsidR="009B002F" w:rsidRPr="00640820" w:rsidRDefault="009B002F" w:rsidP="00640820">
      <w:pPr>
        <w:autoSpaceDE w:val="0"/>
        <w:autoSpaceDN w:val="0"/>
        <w:adjustRightInd w:val="0"/>
        <w:spacing w:after="0" w:line="240" w:lineRule="auto"/>
        <w:jc w:val="both"/>
        <w:rPr>
          <w:rFonts w:ascii="Times New Roman" w:hAnsi="Times New Roman"/>
          <w:b/>
          <w:bCs/>
          <w:color w:val="000000" w:themeColor="text1"/>
          <w:sz w:val="16"/>
          <w:szCs w:val="16"/>
        </w:rPr>
      </w:pPr>
      <w:r w:rsidRPr="00640820">
        <w:rPr>
          <w:rFonts w:ascii="Times New Roman" w:hAnsi="Times New Roman"/>
          <w:color w:val="000000" w:themeColor="text1"/>
          <w:sz w:val="16"/>
          <w:szCs w:val="16"/>
        </w:rPr>
        <w:t>Примечания</w:t>
      </w:r>
    </w:p>
    <w:p w14:paraId="0E0AF391"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vertAlign w:val="superscript"/>
        </w:rPr>
        <w:t>1</w:t>
      </w:r>
      <w:r w:rsidRPr="00640820">
        <w:rPr>
          <w:rFonts w:ascii="Times New Roman" w:hAnsi="Times New Roman"/>
          <w:color w:val="000000" w:themeColor="text1"/>
          <w:sz w:val="16"/>
          <w:szCs w:val="16"/>
        </w:rPr>
        <w:t xml:space="preserve"> ГАСПИ КО. Ф. П-1291. Оп. 1. Д. 27. Л. 125.</w:t>
      </w:r>
    </w:p>
    <w:p w14:paraId="552EB094"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xml:space="preserve"> Там же.</w:t>
      </w:r>
    </w:p>
    <w:p w14:paraId="7B3912BA"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vertAlign w:val="superscript"/>
        </w:rPr>
        <w:t>3</w:t>
      </w:r>
      <w:r w:rsidRPr="00640820">
        <w:rPr>
          <w:rFonts w:ascii="Times New Roman" w:hAnsi="Times New Roman"/>
          <w:color w:val="000000" w:themeColor="text1"/>
          <w:sz w:val="16"/>
          <w:szCs w:val="16"/>
        </w:rPr>
        <w:t xml:space="preserve"> Там же. Ф.П-1290. Оп. 7. Д. 25. Лл. 200-202 об.</w:t>
      </w:r>
    </w:p>
    <w:p w14:paraId="5790582A"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vertAlign w:val="superscript"/>
        </w:rPr>
        <w:t>4</w:t>
      </w:r>
      <w:r w:rsidRPr="00640820">
        <w:rPr>
          <w:rFonts w:ascii="Times New Roman" w:hAnsi="Times New Roman"/>
          <w:color w:val="000000" w:themeColor="text1"/>
          <w:sz w:val="16"/>
          <w:szCs w:val="16"/>
        </w:rPr>
        <w:t xml:space="preserve"> Там же. Оп. 8. Д. 40. Л. 13.</w:t>
      </w:r>
    </w:p>
    <w:p w14:paraId="579320FE"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vertAlign w:val="superscript"/>
        </w:rPr>
        <w:t>5</w:t>
      </w:r>
      <w:r w:rsidRPr="00640820">
        <w:rPr>
          <w:rFonts w:ascii="Times New Roman" w:hAnsi="Times New Roman"/>
          <w:color w:val="000000" w:themeColor="text1"/>
          <w:sz w:val="16"/>
          <w:szCs w:val="16"/>
        </w:rPr>
        <w:t xml:space="preserve"> Там же. Ф. П-1291. Оп. 1. Д. 27. Л. 128.</w:t>
      </w:r>
    </w:p>
    <w:p w14:paraId="42659307"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vertAlign w:val="superscript"/>
        </w:rPr>
        <w:t>6</w:t>
      </w:r>
      <w:r w:rsidRPr="00640820">
        <w:rPr>
          <w:rFonts w:ascii="Times New Roman" w:hAnsi="Times New Roman"/>
          <w:color w:val="000000" w:themeColor="text1"/>
          <w:sz w:val="16"/>
          <w:szCs w:val="16"/>
        </w:rPr>
        <w:t xml:space="preserve"> Там же.</w:t>
      </w:r>
    </w:p>
    <w:p w14:paraId="4DC65CD1"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vertAlign w:val="superscript"/>
        </w:rPr>
        <w:t>7</w:t>
      </w:r>
      <w:r w:rsidRPr="00640820">
        <w:rPr>
          <w:rFonts w:ascii="Times New Roman" w:hAnsi="Times New Roman"/>
          <w:color w:val="000000" w:themeColor="text1"/>
          <w:sz w:val="16"/>
          <w:szCs w:val="16"/>
        </w:rPr>
        <w:t xml:space="preserve"> Там же. Ф. П-1290. Оп. 8. Д. 40. Л. 13.</w:t>
      </w:r>
    </w:p>
    <w:p w14:paraId="4DE39FA2"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vertAlign w:val="superscript"/>
        </w:rPr>
        <w:t>8</w:t>
      </w:r>
      <w:r w:rsidRPr="00640820">
        <w:rPr>
          <w:rFonts w:ascii="Times New Roman" w:hAnsi="Times New Roman"/>
          <w:color w:val="000000" w:themeColor="text1"/>
          <w:sz w:val="16"/>
          <w:szCs w:val="16"/>
        </w:rPr>
        <w:t xml:space="preserve"> Там же. Л. 19.</w:t>
      </w:r>
    </w:p>
    <w:p w14:paraId="306FDE4C"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vertAlign w:val="superscript"/>
        </w:rPr>
        <w:t>9</w:t>
      </w:r>
      <w:r w:rsidRPr="00640820">
        <w:rPr>
          <w:rFonts w:ascii="Times New Roman" w:hAnsi="Times New Roman"/>
          <w:color w:val="000000" w:themeColor="text1"/>
          <w:sz w:val="16"/>
          <w:szCs w:val="16"/>
        </w:rPr>
        <w:t xml:space="preserve"> Там же. Лл. 40, 42.</w:t>
      </w:r>
    </w:p>
    <w:p w14:paraId="4EAFD849"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vertAlign w:val="superscript"/>
        </w:rPr>
        <w:t>10</w:t>
      </w:r>
      <w:r w:rsidRPr="00640820">
        <w:rPr>
          <w:rFonts w:ascii="Times New Roman" w:hAnsi="Times New Roman"/>
          <w:color w:val="000000" w:themeColor="text1"/>
          <w:sz w:val="16"/>
          <w:szCs w:val="16"/>
        </w:rPr>
        <w:t xml:space="preserve"> Там же. Д. 225. Л. 24.</w:t>
      </w:r>
    </w:p>
    <w:p w14:paraId="4B0937B8"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vertAlign w:val="superscript"/>
        </w:rPr>
        <w:t>11</w:t>
      </w:r>
      <w:r w:rsidRPr="00640820">
        <w:rPr>
          <w:rFonts w:ascii="Times New Roman" w:hAnsi="Times New Roman"/>
          <w:color w:val="000000" w:themeColor="text1"/>
          <w:sz w:val="16"/>
          <w:szCs w:val="16"/>
        </w:rPr>
        <w:t xml:space="preserve"> Там же. Д. 40. Лл. 68, 69.</w:t>
      </w:r>
    </w:p>
    <w:p w14:paraId="3BAB6775"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vertAlign w:val="superscript"/>
        </w:rPr>
        <w:t>12</w:t>
      </w:r>
      <w:r w:rsidRPr="00640820">
        <w:rPr>
          <w:rFonts w:ascii="Times New Roman" w:hAnsi="Times New Roman"/>
          <w:color w:val="000000" w:themeColor="text1"/>
          <w:sz w:val="16"/>
          <w:szCs w:val="16"/>
        </w:rPr>
        <w:t xml:space="preserve"> Там же. Д. 225. Лл. 31, 31 об.</w:t>
      </w:r>
    </w:p>
    <w:p w14:paraId="39ACD6A2"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vertAlign w:val="superscript"/>
        </w:rPr>
        <w:t>13</w:t>
      </w:r>
      <w:r w:rsidRPr="00640820">
        <w:rPr>
          <w:rFonts w:ascii="Times New Roman" w:hAnsi="Times New Roman"/>
          <w:color w:val="000000" w:themeColor="text1"/>
          <w:sz w:val="16"/>
          <w:szCs w:val="16"/>
        </w:rPr>
        <w:t xml:space="preserve"> Там же. Д. 40. Л. 74.</w:t>
      </w:r>
    </w:p>
    <w:p w14:paraId="36B2EA9B"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vertAlign w:val="superscript"/>
        </w:rPr>
        <w:t>14</w:t>
      </w:r>
      <w:r w:rsidRPr="00640820">
        <w:rPr>
          <w:rFonts w:ascii="Times New Roman" w:hAnsi="Times New Roman"/>
          <w:color w:val="000000" w:themeColor="text1"/>
          <w:sz w:val="16"/>
          <w:szCs w:val="16"/>
        </w:rPr>
        <w:t xml:space="preserve"> Там же. Д. 225. Л. 36.</w:t>
      </w:r>
    </w:p>
    <w:p w14:paraId="08DF096A"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vertAlign w:val="superscript"/>
        </w:rPr>
        <w:t>15</w:t>
      </w:r>
      <w:r w:rsidRPr="00640820">
        <w:rPr>
          <w:rFonts w:ascii="Times New Roman" w:hAnsi="Times New Roman"/>
          <w:color w:val="000000" w:themeColor="text1"/>
          <w:sz w:val="16"/>
          <w:szCs w:val="16"/>
        </w:rPr>
        <w:t xml:space="preserve"> Там же. Д. 40. Л. 96.</w:t>
      </w:r>
    </w:p>
    <w:p w14:paraId="6F78D776"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vertAlign w:val="superscript"/>
        </w:rPr>
        <w:t>16</w:t>
      </w:r>
      <w:r w:rsidRPr="00640820">
        <w:rPr>
          <w:rFonts w:ascii="Times New Roman" w:hAnsi="Times New Roman"/>
          <w:color w:val="000000" w:themeColor="text1"/>
          <w:sz w:val="16"/>
          <w:szCs w:val="16"/>
        </w:rPr>
        <w:t xml:space="preserve"> Там же. Лл. 100-101.</w:t>
      </w:r>
    </w:p>
    <w:p w14:paraId="09EEAD4D"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vertAlign w:val="superscript"/>
        </w:rPr>
        <w:t>17</w:t>
      </w:r>
      <w:r w:rsidRPr="00640820">
        <w:rPr>
          <w:rFonts w:ascii="Times New Roman" w:hAnsi="Times New Roman"/>
          <w:color w:val="000000" w:themeColor="text1"/>
          <w:sz w:val="16"/>
          <w:szCs w:val="16"/>
        </w:rPr>
        <w:t xml:space="preserve"> Там же. Л. 101 об.</w:t>
      </w:r>
    </w:p>
    <w:p w14:paraId="247B17F3"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vertAlign w:val="superscript"/>
        </w:rPr>
        <w:t>18</w:t>
      </w:r>
      <w:r w:rsidRPr="00640820">
        <w:rPr>
          <w:rFonts w:ascii="Times New Roman" w:hAnsi="Times New Roman"/>
          <w:color w:val="000000" w:themeColor="text1"/>
          <w:sz w:val="16"/>
          <w:szCs w:val="16"/>
        </w:rPr>
        <w:t xml:space="preserve"> Там же. Ф. П- 2105. Оп. 2. Д. 6. Л. 78.</w:t>
      </w:r>
    </w:p>
    <w:p w14:paraId="215288DD"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vertAlign w:val="superscript"/>
        </w:rPr>
        <w:t>19</w:t>
      </w:r>
      <w:r w:rsidRPr="00640820">
        <w:rPr>
          <w:rFonts w:ascii="Times New Roman" w:hAnsi="Times New Roman"/>
          <w:color w:val="000000" w:themeColor="text1"/>
          <w:sz w:val="16"/>
          <w:szCs w:val="16"/>
        </w:rPr>
        <w:t xml:space="preserve"> Там же. Оп. 3. Д. 3. Л. 17.</w:t>
      </w:r>
    </w:p>
    <w:p w14:paraId="765959FA"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vertAlign w:val="superscript"/>
        </w:rPr>
        <w:t>20</w:t>
      </w:r>
      <w:r w:rsidRPr="00640820">
        <w:rPr>
          <w:rFonts w:ascii="Times New Roman" w:hAnsi="Times New Roman"/>
          <w:color w:val="000000" w:themeColor="text1"/>
          <w:sz w:val="16"/>
          <w:szCs w:val="16"/>
        </w:rPr>
        <w:t xml:space="preserve"> Там же. Ф. П- 1290. Оп. 9. Д. 62. Л. 54.</w:t>
      </w:r>
    </w:p>
    <w:p w14:paraId="5CDDC7E6"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vertAlign w:val="superscript"/>
        </w:rPr>
        <w:t>21</w:t>
      </w:r>
      <w:r w:rsidRPr="00640820">
        <w:rPr>
          <w:rFonts w:ascii="Times New Roman" w:hAnsi="Times New Roman"/>
          <w:color w:val="000000" w:themeColor="text1"/>
          <w:sz w:val="16"/>
          <w:szCs w:val="16"/>
        </w:rPr>
        <w:t xml:space="preserve"> Там же. Л. 75 (11838).</w:t>
      </w:r>
    </w:p>
    <w:p w14:paraId="434ABAF7" w14:textId="77777777" w:rsidR="009B002F" w:rsidRPr="00640820" w:rsidRDefault="009B002F" w:rsidP="00640820">
      <w:pPr>
        <w:autoSpaceDE w:val="0"/>
        <w:autoSpaceDN w:val="0"/>
        <w:adjustRightInd w:val="0"/>
        <w:spacing w:after="0" w:line="240" w:lineRule="auto"/>
        <w:jc w:val="both"/>
        <w:rPr>
          <w:rFonts w:ascii="Times New Roman" w:hAnsi="Times New Roman"/>
          <w:color w:val="000000" w:themeColor="text1"/>
          <w:sz w:val="16"/>
          <w:szCs w:val="16"/>
        </w:rPr>
      </w:pPr>
    </w:p>
    <w:p w14:paraId="24F36B9A" w14:textId="77777777" w:rsidR="006A29EC" w:rsidRPr="00640820" w:rsidRDefault="006A29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октября 1941 г. Постановление Совета по эвакуации при СНК СССР предписывало Московскому мотозаводу, головному по выпуску М-72, эвакуироваться в Ирбит на площади бывшего пивоваренного завода. Эвакуацию проводили в спешке — за несколько суток, на морозе и при бомбежках. В вагоны и даже на открытые платформы грузили оборудование и уже готовые узлы (так называемую «незавершонку»). Затем эти эшелоны месяц, а то и два добирались до пунктов назначения на Востоке страны. Следом отправили и специалистов, но лишь малую часть от требовавшихся — остальных призвали на фронт. Эвакуировали и московский завод КИМ. В марте он начал освоение коробок скоростей М-72 и к июню вышел на заданную мощность (19776).</w:t>
      </w:r>
    </w:p>
    <w:p w14:paraId="2973AC91" w14:textId="77777777" w:rsidR="006A29EC" w:rsidRPr="00640820" w:rsidRDefault="006A29EC" w:rsidP="00640820">
      <w:pPr>
        <w:spacing w:after="0" w:line="240" w:lineRule="auto"/>
        <w:jc w:val="both"/>
        <w:rPr>
          <w:rFonts w:ascii="Times New Roman" w:hAnsi="Times New Roman"/>
          <w:color w:val="000000" w:themeColor="text1"/>
          <w:sz w:val="16"/>
          <w:szCs w:val="16"/>
        </w:rPr>
      </w:pPr>
    </w:p>
    <w:p w14:paraId="55B0044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октября 1941 года вышел приказ № 80а НКТП</w:t>
      </w:r>
    </w:p>
    <w:p w14:paraId="5CA1DEB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постановлением ГКО от 19 октября 1941 года за № 811сс:</w:t>
      </w:r>
    </w:p>
    <w:p w14:paraId="48E98C5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Принять в систему НКТП с 22 октября 1941 года:</w:t>
      </w:r>
    </w:p>
    <w:p w14:paraId="42B99D2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Наркомата нефтяной промышленности – завод “Металлист”, находящийся в Свердловске.</w:t>
      </w:r>
    </w:p>
    <w:p w14:paraId="65CDC55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Наркомата путей сообщения – завод им. Воеводина, находящийся в Свердловске (6034, 1).</w:t>
      </w:r>
    </w:p>
    <w:p w14:paraId="2217957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CD8B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октября НКТП получил в свое распоряжение заводы "Металлист" и им. Воеводина в Свердловске. Они были предназначены для размещения эвакуируемых заводов № 37, КИМ и Подольского им. Орджоникидзе; 24 октября в состав НКТП вошел завод № 212, эвакуированное оборудование которого оказалось на территории Уральского турбинного завода, 22 ноября - металлургический завод № 200, образованный из части площадей и оборудования завода № 78 Наркомата боеприпасов. На производство танков был отчасти переключен Горьковский автозавод, не вошедший в состав НКТП. К концу 1941 г. процесс формирования НКТП был завершен. Вовлечение новых мощностей в военное производство продолжалось дольше. Окончательно их эффективное использование наладилось только к середине 1942 г. Но и после этого на новых танкостроительных заводах объемы производства были ниже, а оборудование и рабочая сила использовались менее эффективно, чем на образовавшихся в результате слияния старых эвакуированных танковых заводов с предприятиями гражданской промышленности. Танковая промышленность получала новые производственные мощности в основном за счет трех отраслей - транспортного и сельскохозяйственного машиностроения и судостроения. Свой серьезный вклад внесли также энергетическое и тяжелое машиностроение, работающее на нужды металлургии. Усиление оснащенности уже существующих центров производства и восстановление предприятий на освобожденных территориях после перелома в ходе боевых действий в пользу советских войск позволили расширить производственную базу НКТП. Надо сказать, что в довоенный период производство на танковых заводах имело значительные резервы для усовершенствования. Например, на заводе № 183, несмотря на значительные объемы продукции, работа была организована по принципу мелкосерийного производства со всеми присущими ему атрибутами: стендовой сборкой танков, использованием универсальных станков, ручной формовкой и сваркой и т.д (РГАЭ, ф. 8752, оп. 1, д. 82, л. 167-169; оп. 4, д. 2, л. 21.). Недостаточно широко использовалось литье, редко применялась штамповка. Такая организация производства обеспечивала его гибкость, быстрый переход от одного вида продукции к другому, но ограничивала объемы. В условиях войны такого рода гибкость становилась непозволительной роскошью. Отметим, что еще перед войной на заводе № 183 приступили к перестройке технологии производства, но сначала ее задерживало освоение Т-34. Вскоре же после начала войны встал вопрос об эвакуации завода, и производство по новым технологическим принципам пришлось организовывать уже на новом месте (11786).</w:t>
      </w:r>
    </w:p>
    <w:p w14:paraId="517F29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672367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октября 1941 в распоряжение НКТП поступили еще два завода, находящиеся в городе Свердловске (РГАЭ. Ф. 8752. Оп. 4. Д. 4. Л. 1). Основанием этого было постановление ГКО СССР от 19 октября 1941 года № 811сс (РГАСПИ. Ф. 644. Оп. 1. Д. 12. Л. 165-165об). Это были заводы «Металлист» Наркомата нефтяной промышленности и Свердловский вагоноремонтный завод имени Воеводина Наркомата путей сообщения. Их предполагалось использовать для размещения заводов КИМ и № 37 (на Свердловском вагоноремонтном заводе им. Воеводина), а также Подольского завода имени Орджоникидзе (на заводе «Металлист»). Примечательно то, что и Подольский завод, и « Металлист», относились перед войной к Наркомнефти (12290).</w:t>
      </w:r>
    </w:p>
    <w:p w14:paraId="36A07382"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447C1A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октября 1941 из деталей, привезенных из Москвы, собрали пробную партию подшипников. Ровно через месяц, 21 ноября 1941 года на оборонные заводы страны была отправлена первая промышленная партия – 70 тысяч штук шариковых подшипников. Это был важный совместный вклад москвичей и куйбышевцев в оборону страны. Но уже 28 декабря 1941 года Куйбышевскому подшипниковому заводу была установлена напряженнейшая программа производства на 1 квартал 1942 года - 1,65 млн. штук подшипников. (ГАСО. Ф. Р-4300. On. 5. Д. 1. Л. 2. Копия.) Однако свой январский план 1942 года - 250 тысяч подшипников - 1ГПЗ не вытянул, дал только 220 тысяч штук. Заводы в Саратове, Свердловске и Томске тоже не выполнили заданий. По этому поводу было принято специальное постановление СНК СССР. В нем говорилось, что особенно неудовлетворительно обстоит дело с выпуском подшипников для авиации и танков: месячный план по подшипникам для авиации за 25 дней января выполнен на 31,3% , а по подшипникам для танков на 53,8%. Восстановление подшипниковых заводов проводится неудовлетворительно: из 3000 единиц оборудования, эвакуированного на Куйбышевский подшипниковый завод, на 25 января 1942 г. установлено 1126 ед., а введено в действие только 850 ед. Для обеспечения растущей потребности заводов танковой и авиационной промышленности в подшипниках директора Куйбышевского подшипникового завода т. Юсим обязали в 2-х декадный срок закончить монтаж цеха точных подшипников, организовав в нем производство точных авиационных и танковых подшипников с выпуском с 25 марта 1942 г. по 2000 шт. в сутки. Чтобы выполнить напряженные задания, директор КПЗ отдал приказ об объявлении рабочими и выходные дни с предоставлением выходных в более поздние сроки. (ГАРФ.Ф.5651.Оп.25.Д.176.Л.133) (11878).</w:t>
      </w:r>
    </w:p>
    <w:p w14:paraId="681F8B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D4784F9"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5BC50CB0"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18499AD" w14:textId="77777777" w:rsidR="004E7169" w:rsidRPr="00640820" w:rsidRDefault="004E7169"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21 октября </w:t>
      </w:r>
      <w:r w:rsidRPr="00640820">
        <w:rPr>
          <w:rFonts w:ascii="Times New Roman" w:hAnsi="Times New Roman"/>
          <w:color w:val="000000" w:themeColor="text1"/>
          <w:sz w:val="16"/>
          <w:szCs w:val="16"/>
        </w:rPr>
        <w:t>в 1941 году утреннее сообщение Совинформбюро:</w:t>
      </w:r>
    </w:p>
    <w:p w14:paraId="47083E3D" w14:textId="77777777" w:rsidR="004E7169" w:rsidRPr="00640820" w:rsidRDefault="004E71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21 октября на всём фронте продолжались бои. Особенно напряжённые бои шли на Калининском, Можайском и Малоярославецком направлениях.</w:t>
      </w:r>
    </w:p>
    <w:p w14:paraId="22489370" w14:textId="77777777" w:rsidR="004E7169" w:rsidRPr="00640820" w:rsidRDefault="004E71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части, действующие на Орловском направлении, сдерживая натиск немецко-фашистских войск, наносят врагу большой урон. Танковая часть командира Ерёмина в шестидневных боях уничтожила 97 вражеских танков, 43 орудия, 15 тягачей, 13 автомашин с горючим и пехотой противника. Танковый экипаж лейтенанта Лугового огнём своих орудий уничтожил 12 немецких танков, 4 миномёта и 2 зенитных батареи противника. Танковый экипаж старшего сержанта Берестнева уничтожил 4 немецких танка, 4 тягача и 6 тяжёлых орудий.</w:t>
      </w:r>
    </w:p>
    <w:p w14:paraId="554CEB08" w14:textId="77777777" w:rsidR="004E7169" w:rsidRPr="00640820" w:rsidRDefault="004E71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Отважно действуют против зарвавшегося врага советские артиллеристы. Командир орудия тов. Кожерев 18 октября расстрелял 5 немецких танков. Расчёт орудия младшего сержанта Пищука отразил налет 8 немецких пикирующих бомбардировщиков и сбил 2 вражеских самолёта.</w:t>
      </w:r>
    </w:p>
    <w:p w14:paraId="02E1665B" w14:textId="77777777" w:rsidR="004E7169" w:rsidRPr="00640820" w:rsidRDefault="004E71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Большие потери итальянских войск, посланных на Восточный фронт по приказу Гитлера, и продовольственные затруднения, вызванные отправкой продуктов в Германию, привели к серьёзному недовольству широких слоев населения Италии политикой Муссолини. Это подтверждается показаниями пленных итальянских солдат, захваченных нашими войсками на Южном фронте. Пленный итальянский солдат Джентилле показал: «Мы не хотели и не хотим воевать с русскими. Солдаты ничего от этой войны не получают, кроме неисчислимых страданий. Наши части в боях с русскими понесли тяжёлые потери.</w:t>
      </w:r>
    </w:p>
    <w:p w14:paraId="1C20595F" w14:textId="77777777" w:rsidR="004E7169" w:rsidRPr="00640820" w:rsidRDefault="004E71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моей роте осталось всего 34 бойца, остальные убиты или ранены. Мы проклинаем Гитлера и Муссолини, пославших нас умирать в Россию за чуждые нам интересы. Уже сейчас население Италии голодает. В этом году у меня умер от недоедания единственный мой ребёнок».</w:t>
      </w:r>
    </w:p>
    <w:p w14:paraId="201160B7" w14:textId="77777777" w:rsidR="004E7169" w:rsidRPr="00640820" w:rsidRDefault="004E71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Трудящиеся Советского Союза своим героическим трудом на фабриках и заводах, в колхозах и совхозах крепят тыл Красной Армии, куют победу над гитлеровской Германией. Молодые рабочие машиностроительного завода в Комсомольске-на-Амуре т.т. Сальников, Литвиненко, Бобров, Дундин и многие другие дают ежедневно две-две с половиной нормы. Стахановцы Лидия Рыжакова и Александр Веселов, в сентябре выполнившие задание на 200 процентов, доведи выработку до 400-450 процентов. На машиностроительном заводе имени лейтенанта Шмидта с начала года производительность труда возросла на 46,6 процента, 15 октября завод выполнил свою годовую программу. Бурильщики Северо-Уральских бокситовых рудников т.т. Багаутдинов и Коноваленко дают по 2 нормы в смену, 10 октября они уже выполнили годовое задание. В механическом цехе этих рудников все рабочие перевыполняют норму. Рабочие Южного рудника 15 октября выполнили 11-месячный производственный план. Значительного повышения производительности труда добились рабочие Лысьвенского металлургического завода. Токарь-лекальщик Лаврентьев досрочно выполнил ответственное задание, дав 400 процентов нормы. Токарь Колесников, работая на 2 станках, даёт систематически от 4 до 6 норм в смену. Одно из последних заданий он выполнил на 2.500 процентов. От 4 до 7 норм в смену дают слесари-лекальщики Дубовцев, Чупурин, Бузунов и др. Сотни тонн угля сверх плана добывают рабочие Черемховского угольного бассейна. Шахта № 8 выполнила 10-месячную программу к 10 октября.» (14806).</w:t>
      </w:r>
    </w:p>
    <w:p w14:paraId="55B816BC" w14:textId="77777777" w:rsidR="004E7169" w:rsidRPr="00640820" w:rsidRDefault="004E7169" w:rsidP="00640820">
      <w:pPr>
        <w:spacing w:after="0" w:line="240" w:lineRule="auto"/>
        <w:jc w:val="both"/>
        <w:rPr>
          <w:rFonts w:ascii="Times New Roman" w:hAnsi="Times New Roman"/>
          <w:color w:val="000000" w:themeColor="text1"/>
          <w:sz w:val="16"/>
          <w:szCs w:val="16"/>
        </w:rPr>
      </w:pPr>
    </w:p>
    <w:p w14:paraId="124D045D" w14:textId="77777777" w:rsidR="004E7169" w:rsidRPr="00640820" w:rsidRDefault="004E7169"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21 октября </w:t>
      </w:r>
      <w:r w:rsidRPr="00640820">
        <w:rPr>
          <w:rFonts w:ascii="Times New Roman" w:hAnsi="Times New Roman"/>
          <w:color w:val="000000" w:themeColor="text1"/>
          <w:sz w:val="16"/>
          <w:szCs w:val="16"/>
        </w:rPr>
        <w:t>в 1941 году вечернее сообщение Совинформбюро</w:t>
      </w:r>
    </w:p>
    <w:p w14:paraId="2FAD2400" w14:textId="77777777" w:rsidR="004E7169" w:rsidRPr="00640820" w:rsidRDefault="004E71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21 октября наши войска вели бои на всём фронте. Особенно напряжённые бои продолжались на Можайском, Малоярославецком и Калининском направлениях. Немцы несколько раз предпринимали атаки наших позиций, бросая в бой новые части. Наши войска атаки врага отбили.</w:t>
      </w:r>
    </w:p>
    <w:p w14:paraId="204AE107" w14:textId="77777777" w:rsidR="004E7169" w:rsidRPr="00640820" w:rsidRDefault="004E71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20 октября уничтожено 19 немецких самолётов. Наши потери — 7 самолётов.</w:t>
      </w:r>
    </w:p>
    <w:p w14:paraId="73A798E4" w14:textId="77777777" w:rsidR="004E7169" w:rsidRPr="00640820" w:rsidRDefault="004E71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части, действующие на Ленинградском направлении фронта, наносят врагу большой урон, уничтожая его живую силу и материальную часть. Только за последние 3 дня на участке командира Николаева советские артиллеристы уничтожили 92 автомашины с пехотой противника, 10 артиллерийских и миномётных батарей, 9 пулемётных гнезд и склад боеприпасов. Танкисты Н-ской части за это же время уничтожили 9 немецких орудий, 3 танка, минометную батарею, до 500 фашистских солдат и офицеров и захватили много станковых пулемётов противника. Танкисты командира Родина, прорвавшись к одному населённому пункту, занятому немцами, уничтожили 13 вражеских противотанковых орудий, несколько тяжёлых миномётов и 14 станковых пулемётов. Фашисты потеряли в этом бою около 400 человек убитыми.</w:t>
      </w:r>
    </w:p>
    <w:p w14:paraId="7FA14A60" w14:textId="77777777" w:rsidR="004E7169" w:rsidRPr="00640820" w:rsidRDefault="004E71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Показания пленных и донесения, захваченные нашими войсками, свидетельствуют о том, что большие потери, которые несут немцы на подступах к Ленинграду, всё сильнее деморализуют немецких солдат. Командир 93 немецкой пехотной дивизии генерал-лейтенант Гимман в связи с упадком духа своих частей издал специальный приказ, в котором отмечает, что «в дивизии утвердился слух, что дивизия будет в ближайшее время сменена и отправлена на родину или во Францию», и обязывает всех офицеров «выступать против такого рода слухов, которые только будят ошибочные надежды и разочарования».</w:t>
      </w:r>
    </w:p>
    <w:p w14:paraId="69AF4646" w14:textId="77777777" w:rsidR="004E7169" w:rsidRPr="00640820" w:rsidRDefault="004E71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нескольких дней в ряде северных провинций Греции происходят крупные выступления партизан. Многочисленные партизанские отряды, вооружённые винтовками и пулемётами, захватили дороги на значительной территории и стали здесь фактически хозяевами положения. Итальянские оккупационные части, несущие полицейскую службу в Северной Греции, оказались бессильными против непрекращающейся партизанской войны и диверсионных актов, совершаемых греческими патриотами. Немецкие оккупационные власти, серьёзно обеспокоенные положением в Северной Греции, перебросили на подавление волнений пять полков. Один из поездов с немецкими войсками греческие патриоты пустили под откос. Среди немецких солдат и офицеров много убитых и раненых.</w:t>
      </w:r>
    </w:p>
    <w:p w14:paraId="0427DFF2" w14:textId="77777777" w:rsidR="004E7169" w:rsidRPr="00640820" w:rsidRDefault="004E71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Машинисты-тяжеловесники депо Оренбург за первую декаду октября провели 90 тяжёлых поездов, сэкономив 48 выдач паровозов. Машинист тов. Бабнищев обязался в октябре провести 4 тяжеловесных поезда. Это обязательство он выполнил в одну декаду.</w:t>
      </w:r>
    </w:p>
    <w:p w14:paraId="08C70BB4" w14:textId="77777777" w:rsidR="004E7169" w:rsidRPr="00640820" w:rsidRDefault="004E71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Машинист тов. Озеров на участке Оренбург-Ак-Балаг провёл поезд с превышением на 2.440 тонн, нагнав в пути 57 минут. Из всего коллектива рабочих Оренбургского депо 44 процентов рабочих выполняет 200 и более процентов нормы выработки.» (14806).</w:t>
      </w:r>
    </w:p>
    <w:p w14:paraId="5718A220" w14:textId="77777777" w:rsidR="004E7169" w:rsidRPr="00640820" w:rsidRDefault="004E7169" w:rsidP="00640820">
      <w:pPr>
        <w:spacing w:after="0" w:line="240" w:lineRule="auto"/>
        <w:jc w:val="both"/>
        <w:rPr>
          <w:rFonts w:ascii="Times New Roman" w:hAnsi="Times New Roman"/>
          <w:color w:val="000000" w:themeColor="text1"/>
          <w:sz w:val="16"/>
          <w:szCs w:val="16"/>
        </w:rPr>
      </w:pPr>
    </w:p>
    <w:p w14:paraId="67108621" w14:textId="77777777" w:rsidR="004E7169" w:rsidRPr="00640820" w:rsidRDefault="004E7169"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21 октября </w:t>
      </w:r>
      <w:r w:rsidRPr="00640820">
        <w:rPr>
          <w:rFonts w:ascii="Times New Roman" w:hAnsi="Times New Roman"/>
          <w:color w:val="000000" w:themeColor="text1"/>
          <w:sz w:val="16"/>
          <w:szCs w:val="16"/>
        </w:rPr>
        <w:t xml:space="preserve">в 1941 году командующим обороной Москвы был назначен генерал армии Жуков </w:t>
      </w:r>
    </w:p>
    <w:p w14:paraId="7FF69E64" w14:textId="77777777" w:rsidR="004E7169" w:rsidRPr="00640820" w:rsidRDefault="004E7169" w:rsidP="00640820">
      <w:pPr>
        <w:spacing w:after="0" w:line="240" w:lineRule="auto"/>
        <w:jc w:val="both"/>
        <w:rPr>
          <w:rFonts w:ascii="Times New Roman" w:hAnsi="Times New Roman"/>
          <w:color w:val="000000" w:themeColor="text1"/>
          <w:sz w:val="16"/>
          <w:szCs w:val="16"/>
        </w:rPr>
      </w:pPr>
    </w:p>
    <w:p w14:paraId="33274C94" w14:textId="77777777" w:rsidR="004E7169" w:rsidRPr="00640820" w:rsidRDefault="004E7169"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21 октября </w:t>
      </w:r>
      <w:r w:rsidRPr="00640820">
        <w:rPr>
          <w:rFonts w:ascii="Times New Roman" w:hAnsi="Times New Roman"/>
          <w:color w:val="000000" w:themeColor="text1"/>
          <w:sz w:val="16"/>
          <w:szCs w:val="16"/>
        </w:rPr>
        <w:t>в 1941 году немецкие войска ворвались в Сталино (14806).</w:t>
      </w:r>
    </w:p>
    <w:p w14:paraId="05B19320" w14:textId="77777777" w:rsidR="004E7169" w:rsidRPr="00640820" w:rsidRDefault="004E7169" w:rsidP="00640820">
      <w:pPr>
        <w:spacing w:after="0" w:line="240" w:lineRule="auto"/>
        <w:jc w:val="both"/>
        <w:rPr>
          <w:rFonts w:ascii="Times New Roman" w:hAnsi="Times New Roman"/>
          <w:color w:val="000000" w:themeColor="text1"/>
          <w:sz w:val="16"/>
          <w:szCs w:val="16"/>
        </w:rPr>
      </w:pPr>
    </w:p>
    <w:p w14:paraId="0865DF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октября 1941 вышел приказ по ВВС N 0189 "О формировании ночных авиаполков Р-5 и У-2:</w:t>
      </w:r>
    </w:p>
    <w:p w14:paraId="473970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"Боевой опыт показал полную возможность и целесообразность использования Р-5 и У-2 для ночных действий в качестве ББ..." (2708,22).</w:t>
      </w:r>
    </w:p>
    <w:p w14:paraId="01A2990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 Р И К А 3</w:t>
      </w:r>
    </w:p>
    <w:p w14:paraId="55D5281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ВОЕННЫМ ВОЗДУШНЫМ СИЛАМ КРАСНОЙ АРМИИ № 0189.</w:t>
      </w:r>
    </w:p>
    <w:p w14:paraId="6D6EC01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Октября 1941 г.</w:t>
      </w:r>
    </w:p>
    <w:p w14:paraId="4CCBDBD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гор. Москва.</w:t>
      </w:r>
    </w:p>
    <w:p w14:paraId="43BE9F6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СОДЕРЖАНBT: О формировании ночных авиационных полков на самолетах Р-5 и У-2.</w:t>
      </w:r>
    </w:p>
    <w:p w14:paraId="02F5FE6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Боевой опыт показал полную возможность и целесообразность использования самолетов Р-5 и У-2 для ночных действий в качестве ближних бомбардировщиков.</w:t>
      </w:r>
    </w:p>
    <w:p w14:paraId="322D499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целях использования имеющихся рессурсов</w:t>
      </w:r>
    </w:p>
    <w:p w14:paraId="0E6C60E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 Р И К А 3 Ы В А Ю:</w:t>
      </w:r>
    </w:p>
    <w:p w14:paraId="6ECF2A6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До 1.11.41 сформировать и обучить ночным бомбардировочным действиям ПЯТЬ полков на самолетах Р-5 и ПЯТЬ полков на самолетах У-2 двадцатисамолетного состава.</w:t>
      </w:r>
    </w:p>
    <w:p w14:paraId="1C99B39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Формирование и обучение авиационных полков на са</w:t>
      </w:r>
      <w:r w:rsidRPr="00640820">
        <w:rPr>
          <w:rFonts w:ascii="Times New Roman" w:hAnsi="Times New Roman"/>
          <w:color w:val="000000" w:themeColor="text1"/>
          <w:sz w:val="16"/>
          <w:szCs w:val="16"/>
        </w:rPr>
        <w:softHyphen/>
        <w:t>молетах Р-5 организовать на аэродромах: Лебедянь</w:t>
      </w:r>
      <w:r w:rsidRPr="00640820">
        <w:rPr>
          <w:rFonts w:ascii="Times New Roman" w:hAnsi="Times New Roman"/>
          <w:color w:val="000000" w:themeColor="text1"/>
          <w:sz w:val="16"/>
          <w:szCs w:val="16"/>
        </w:rPr>
        <w:tab/>
        <w:t>- одного полка,</w:t>
      </w:r>
    </w:p>
    <w:p w14:paraId="4F8C68E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Сасоново</w:t>
      </w:r>
      <w:r w:rsidRPr="00640820">
        <w:rPr>
          <w:rFonts w:ascii="Times New Roman" w:hAnsi="Times New Roman"/>
          <w:color w:val="000000" w:themeColor="text1"/>
          <w:sz w:val="16"/>
          <w:szCs w:val="16"/>
        </w:rPr>
        <w:tab/>
        <w:t>- одного полка,</w:t>
      </w:r>
    </w:p>
    <w:p w14:paraId="58A20C3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Тамбов</w:t>
      </w:r>
      <w:r w:rsidRPr="00640820">
        <w:rPr>
          <w:rFonts w:ascii="Times New Roman" w:hAnsi="Times New Roman"/>
          <w:color w:val="000000" w:themeColor="text1"/>
          <w:sz w:val="16"/>
          <w:szCs w:val="16"/>
        </w:rPr>
        <w:tab/>
        <w:t>- одного полка,</w:t>
      </w:r>
    </w:p>
    <w:p w14:paraId="5BBC463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Каменка</w:t>
      </w:r>
      <w:r w:rsidRPr="00640820">
        <w:rPr>
          <w:rFonts w:ascii="Times New Roman" w:hAnsi="Times New Roman"/>
          <w:color w:val="000000" w:themeColor="text1"/>
          <w:sz w:val="16"/>
          <w:szCs w:val="16"/>
        </w:rPr>
        <w:tab/>
        <w:t>- двух полков;</w:t>
      </w:r>
    </w:p>
    <w:p w14:paraId="60DEA5D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У-2 на аэродромах:</w:t>
      </w:r>
    </w:p>
    <w:p w14:paraId="588C03B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МИЧУРИНСК</w:t>
      </w:r>
      <w:r w:rsidRPr="00640820">
        <w:rPr>
          <w:rFonts w:ascii="Times New Roman" w:hAnsi="Times New Roman"/>
          <w:color w:val="000000" w:themeColor="text1"/>
          <w:sz w:val="16"/>
          <w:szCs w:val="16"/>
        </w:rPr>
        <w:tab/>
        <w:t>- одного полка</w:t>
      </w:r>
    </w:p>
    <w:p w14:paraId="0E78481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Петровск</w:t>
      </w:r>
      <w:r w:rsidRPr="00640820">
        <w:rPr>
          <w:rFonts w:ascii="Times New Roman" w:hAnsi="Times New Roman"/>
          <w:color w:val="000000" w:themeColor="text1"/>
          <w:sz w:val="16"/>
          <w:szCs w:val="16"/>
        </w:rPr>
        <w:tab/>
        <w:t>- двух полков</w:t>
      </w:r>
    </w:p>
    <w:p w14:paraId="3771AF4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Кузнецк</w:t>
      </w:r>
      <w:r w:rsidRPr="00640820">
        <w:rPr>
          <w:rFonts w:ascii="Times New Roman" w:hAnsi="Times New Roman"/>
          <w:color w:val="000000" w:themeColor="text1"/>
          <w:sz w:val="16"/>
          <w:szCs w:val="16"/>
        </w:rPr>
        <w:tab/>
        <w:t>- одного полка,</w:t>
      </w:r>
    </w:p>
    <w:p w14:paraId="1F5E47B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Богай-Барановская</w:t>
      </w:r>
      <w:r w:rsidRPr="00640820">
        <w:rPr>
          <w:rFonts w:ascii="Times New Roman" w:hAnsi="Times New Roman"/>
          <w:color w:val="000000" w:themeColor="text1"/>
          <w:sz w:val="16"/>
          <w:szCs w:val="16"/>
        </w:rPr>
        <w:tab/>
        <w:t>- одного полка.</w:t>
      </w:r>
    </w:p>
    <w:p w14:paraId="7EF1A9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Руководство подготовкой ночных авиационных полков возлагаю на Командующих ВВС СВО и ПриВО.</w:t>
      </w:r>
    </w:p>
    <w:p w14:paraId="17FF3BB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Начальнику Управления Кадров ГУ ВВС КА и Начальнику Управления Формирований и Комплектований ВВС КА к 8.10.41 г. укомплектовать указанные авиаполки личным составом по утвержденным мною штатам.</w:t>
      </w:r>
    </w:p>
    <w:p w14:paraId="35A263C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Начальнику Управления Технического Снабжения ГУ ВВС КА нарядить в указанные полки 100 самолетов Р-5 и 100 самолетов У-2.</w:t>
      </w:r>
    </w:p>
    <w:p w14:paraId="31DB692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Комплектование самолетами Р-5 произвести за счет авиационных школ и училищ ВВС Красной Армии, самолетами У-2 за счет завода № 387 и авиашкол.</w:t>
      </w:r>
    </w:p>
    <w:p w14:paraId="495E6B3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Начальнику Ремонтно - Эксплоатационного Управ</w:t>
      </w:r>
      <w:r w:rsidRPr="00640820">
        <w:rPr>
          <w:rFonts w:ascii="Times New Roman" w:hAnsi="Times New Roman"/>
          <w:color w:val="000000" w:themeColor="text1"/>
          <w:sz w:val="16"/>
          <w:szCs w:val="16"/>
        </w:rPr>
        <w:softHyphen/>
        <w:t>ления ГУ ВВС.КА организовать ремонт выделенных самоле</w:t>
      </w:r>
      <w:r w:rsidRPr="00640820">
        <w:rPr>
          <w:rFonts w:ascii="Times New Roman" w:hAnsi="Times New Roman"/>
          <w:color w:val="000000" w:themeColor="text1"/>
          <w:sz w:val="16"/>
          <w:szCs w:val="16"/>
        </w:rPr>
        <w:softHyphen/>
        <w:t>тов и подготовку бомбардировочного и электрооборудования на них.</w:t>
      </w:r>
    </w:p>
    <w:p w14:paraId="4643F99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Выполнение работ закончить к 10.10.41 г.</w:t>
      </w:r>
    </w:p>
    <w:p w14:paraId="38CB032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Начальнику Управления Технического Снабжения и Аэродромного Управления ГУ ВВС КА обеспечить указан</w:t>
      </w:r>
      <w:r w:rsidRPr="00640820">
        <w:rPr>
          <w:rFonts w:ascii="Times New Roman" w:hAnsi="Times New Roman"/>
          <w:color w:val="000000" w:themeColor="text1"/>
          <w:sz w:val="16"/>
          <w:szCs w:val="16"/>
        </w:rPr>
        <w:softHyphen/>
        <w:t>ные в настоящем приказе аэродромы ночным стартовым иму ществом и аэродромными прожекторами из расчета по одному на каждый аэродром.</w:t>
      </w:r>
    </w:p>
    <w:p w14:paraId="5F45AFB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Начальнику ВУЗ ГУ ВВС КА к 12.10.41 г. закон</w:t>
      </w:r>
      <w:r w:rsidRPr="00640820">
        <w:rPr>
          <w:rFonts w:ascii="Times New Roman" w:hAnsi="Times New Roman"/>
          <w:color w:val="000000" w:themeColor="text1"/>
          <w:sz w:val="16"/>
          <w:szCs w:val="16"/>
        </w:rPr>
        <w:softHyphen/>
        <w:t>чить перегонку самолетов из авиашкол и училищ на аэродромы согласно разнарядки Начальника Управления Комплектования и формирования ВВС.</w:t>
      </w:r>
    </w:p>
    <w:p w14:paraId="0F72B5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Контроль за ходом подготовки ночных авиационных полков возлагаю на Начальника Управления Формирований и Комплектований ВВС КА.</w:t>
      </w:r>
    </w:p>
    <w:p w14:paraId="3E9E6E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Приказ ввести в действие по телеграфу (2708,22).</w:t>
      </w:r>
    </w:p>
    <w:p w14:paraId="5F0D58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E1A8878"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октября 1941 военный совет фронта приказал сформировать «</w:t>
      </w:r>
      <w:r w:rsidRPr="00640820">
        <w:rPr>
          <w:rStyle w:val="af0"/>
          <w:rFonts w:ascii="Times New Roman" w:hAnsi="Times New Roman"/>
          <w:i w:val="0"/>
          <w:color w:val="000000" w:themeColor="text1"/>
          <w:sz w:val="16"/>
          <w:szCs w:val="16"/>
        </w:rPr>
        <w:t>в каждом стрелковом полку по одному истребительному противотанковому отряду в составе одного среднего командира и 15 бойцов, в том числе отделение саперов… 150 противотанковых гранат, 75 бутылок КС, ППШ – 3, противотанковые мины, полуавтоматические винтовки… В каждой стрелковой дивизии – по два истребительных отряда… три армейских подвижных отряда</w:t>
      </w:r>
      <w:r w:rsidRPr="00640820">
        <w:rPr>
          <w:rFonts w:ascii="Times New Roman" w:hAnsi="Times New Roman"/>
          <w:color w:val="000000" w:themeColor="text1"/>
          <w:sz w:val="16"/>
          <w:szCs w:val="16"/>
        </w:rPr>
        <w:t>».</w:t>
      </w:r>
    </w:p>
    <w:p w14:paraId="7AF238C9"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Тогда же начали появляться противотанковые опорные пункты на передовой и противотанковые районы в глубине обороны. В приказе всем командующим армиями, командирам дивизий и полков Западного фронта указывалось: «</w:t>
      </w:r>
      <w:r w:rsidRPr="00640820">
        <w:rPr>
          <w:rStyle w:val="af0"/>
          <w:rFonts w:ascii="Times New Roman" w:hAnsi="Times New Roman"/>
          <w:i w:val="0"/>
          <w:color w:val="000000" w:themeColor="text1"/>
          <w:sz w:val="16"/>
          <w:szCs w:val="16"/>
        </w:rPr>
        <w:t>Истребители танков с противотанковыми гранатами, связками обычных гранат и бутылками с горючей жидкостью являются действенным средством ближнего боя против танков. Группы истребителей танков должны быть подготовлены в каждом опорном пункте</w:t>
      </w:r>
      <w:r w:rsidRPr="00640820">
        <w:rPr>
          <w:rFonts w:ascii="Times New Roman" w:hAnsi="Times New Roman"/>
          <w:color w:val="000000" w:themeColor="text1"/>
          <w:sz w:val="16"/>
          <w:szCs w:val="16"/>
        </w:rPr>
        <w:t>» (12233).</w:t>
      </w:r>
    </w:p>
    <w:p w14:paraId="39796504"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p>
    <w:p w14:paraId="012516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lang w:val="en-US"/>
        </w:rPr>
        <w:t xml:space="preserve">October 21 1941 Zhukov moved from the successful defense of Leningrad to take command of Moscow's defenses. </w:t>
      </w:r>
      <w:r w:rsidRPr="00640820">
        <w:rPr>
          <w:rFonts w:ascii="Times New Roman" w:hAnsi="Times New Roman"/>
          <w:color w:val="000000" w:themeColor="text1"/>
          <w:sz w:val="16"/>
          <w:szCs w:val="16"/>
        </w:rPr>
        <w:t>(1052).</w:t>
      </w:r>
    </w:p>
    <w:p w14:paraId="06E8BA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93BF6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октября 1941 Г.К.Ж. вернулся из Ленинграда и принял командование обороной Москвы (1052).</w:t>
      </w:r>
    </w:p>
    <w:p w14:paraId="7C6A30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0C2EA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October 21, 1941: In the Ukraine, units of 6.Armee (von Reichenau) capture Stalino in the industrial Donets Basin (3819).</w:t>
      </w:r>
    </w:p>
    <w:p w14:paraId="20B115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4496CE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октября 1941 части 6А (фон Рейхенау) захватили Сталино в Донбасе (3819).</w:t>
      </w:r>
    </w:p>
    <w:p w14:paraId="688478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D0AE26D" w14:textId="77777777" w:rsidR="004E7169" w:rsidRPr="00640820" w:rsidRDefault="004E7169" w:rsidP="00640820">
      <w:pPr>
        <w:pStyle w:val="35"/>
        <w:shd w:val="clear" w:color="auto" w:fill="auto"/>
        <w:spacing w:after="0" w:line="240" w:lineRule="auto"/>
        <w:jc w:val="both"/>
        <w:rPr>
          <w:rStyle w:val="aff5"/>
          <w:rFonts w:ascii="Times New Roman" w:eastAsia="Arial Narrow" w:hAnsi="Times New Roman" w:cs="Times New Roman"/>
          <w:i w:val="0"/>
          <w:color w:val="000000" w:themeColor="text1"/>
          <w:spacing w:val="0"/>
        </w:rPr>
      </w:pPr>
      <w:r w:rsidRPr="00640820">
        <w:rPr>
          <w:rFonts w:ascii="Times New Roman" w:cs="Times New Roman"/>
          <w:color w:val="000000" w:themeColor="text1"/>
          <w:spacing w:val="0"/>
          <w:sz w:val="16"/>
          <w:szCs w:val="16"/>
        </w:rPr>
        <w:t>21 октября 1941 г. начальник Главного автобронетанкового управления генерал-лейтенант Я.Н. Федоренко писал И.В. Сталину как наркому обороны:</w:t>
      </w:r>
      <w:r w:rsidRPr="00640820">
        <w:rPr>
          <w:rStyle w:val="aff5"/>
          <w:rFonts w:ascii="Times New Roman" w:eastAsia="Arial Narrow" w:hAnsi="Times New Roman" w:cs="Times New Roman"/>
          <w:i w:val="0"/>
          <w:color w:val="000000" w:themeColor="text1"/>
          <w:spacing w:val="0"/>
        </w:rPr>
        <w:t xml:space="preserve"> «До</w:t>
      </w:r>
      <w:r w:rsidRPr="00640820">
        <w:rPr>
          <w:rStyle w:val="aff5"/>
          <w:rFonts w:ascii="Times New Roman" w:eastAsia="Arial Narrow" w:hAnsi="Times New Roman" w:cs="Times New Roman"/>
          <w:i w:val="0"/>
          <w:color w:val="000000" w:themeColor="text1"/>
          <w:spacing w:val="0"/>
        </w:rPr>
        <w:softHyphen/>
        <w:t>кладываю, что автоматическое оружие ППД и ППШ, предназначенное для войск, на практике в большинстве случаев находится не в войсках, ведущих непосредственный бой, а в тылах ди</w:t>
      </w:r>
      <w:r w:rsidRPr="00640820">
        <w:rPr>
          <w:rStyle w:val="aff5"/>
          <w:rFonts w:ascii="Times New Roman" w:eastAsia="Arial Narrow" w:hAnsi="Times New Roman" w:cs="Times New Roman"/>
          <w:i w:val="0"/>
          <w:color w:val="000000" w:themeColor="text1"/>
          <w:spacing w:val="0"/>
        </w:rPr>
        <w:softHyphen/>
        <w:t>визий, армий и фронтов. Причем в таких учреж</w:t>
      </w:r>
      <w:r w:rsidRPr="00640820">
        <w:rPr>
          <w:rStyle w:val="aff5"/>
          <w:rFonts w:ascii="Times New Roman" w:eastAsia="Arial Narrow" w:hAnsi="Times New Roman" w:cs="Times New Roman"/>
          <w:i w:val="0"/>
          <w:color w:val="000000" w:themeColor="text1"/>
          <w:spacing w:val="0"/>
        </w:rPr>
        <w:softHyphen/>
        <w:t>дениях, как: трибунал, прокуратура, особые отделы и политические отделы, большинство начсостава вооружено этим автоматическим оружием» (15770).</w:t>
      </w:r>
    </w:p>
    <w:p w14:paraId="659D4A7C" w14:textId="77777777" w:rsidR="004E7169" w:rsidRPr="00640820" w:rsidRDefault="004E7169" w:rsidP="00640820">
      <w:pPr>
        <w:pStyle w:val="35"/>
        <w:shd w:val="clear" w:color="auto" w:fill="auto"/>
        <w:spacing w:after="0" w:line="240" w:lineRule="auto"/>
        <w:jc w:val="both"/>
        <w:rPr>
          <w:rStyle w:val="aff5"/>
          <w:rFonts w:ascii="Times New Roman" w:eastAsia="Arial Narrow" w:hAnsi="Times New Roman" w:cs="Times New Roman"/>
          <w:i w:val="0"/>
          <w:color w:val="000000" w:themeColor="text1"/>
          <w:spacing w:val="0"/>
        </w:rPr>
      </w:pPr>
    </w:p>
    <w:p w14:paraId="5E3F5D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21 октября 1941 г. </w:t>
      </w:r>
    </w:p>
    <w:p w14:paraId="3FF4B0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Передать телеграфом </w:t>
      </w:r>
    </w:p>
    <w:p w14:paraId="291B8D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Москва </w:t>
      </w:r>
    </w:p>
    <w:p w14:paraId="21151A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Товарищу СТАЛИНУ И. В. </w:t>
      </w:r>
    </w:p>
    <w:p w14:paraId="419EDA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Военный Совет Западного фронта вносит на Ваше рассмотрение и просит утвердить следующие предложения. </w:t>
      </w:r>
    </w:p>
    <w:p w14:paraId="062CB6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Для более широкого развертывания борьбы с танками противника установить: </w:t>
      </w:r>
    </w:p>
    <w:p w14:paraId="7C5C38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ПЕРВОЕ — Боец или командир за уничтоженный танк противника бутылкой «КС» или гранатой награждается 1000 рублями. </w:t>
      </w:r>
    </w:p>
    <w:p w14:paraId="78F105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 уничтожение 3-х танков противника, кроме того, представляется к награждению орденом Красной Звезды. </w:t>
      </w:r>
    </w:p>
    <w:p w14:paraId="515ADF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ВТОРОЕ — За уничтожение 5-ти танков противника — награждается орденом Красного Знамени. </w:t>
      </w:r>
    </w:p>
    <w:p w14:paraId="262D77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ТРЕТЬЕ — За уничтожение свыше пяти танков противника — награждается орденом Ленина. </w:t>
      </w:r>
    </w:p>
    <w:p w14:paraId="3959FC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ЧЕТВЕРТОЕ — За уничтожение 10-ти и более танков противника — представляется к званию Героя Советского Союза. </w:t>
      </w:r>
    </w:p>
    <w:p w14:paraId="4C41D5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ПЯТОЕ — Орудийный расчет, экипаж танка, расчет ПТР, уничтоживший три танка противника, представляется к награждению медалью «За отвагу» и получает вознаграждение по тысяче рублей каждый. </w:t>
      </w:r>
    </w:p>
    <w:p w14:paraId="14B6A5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 уничтожение 5-ти и более танков противника весь зкипаж-расчет представляется к награждению орденом Красного Знамени. </w:t>
      </w:r>
    </w:p>
    <w:p w14:paraId="3DF70E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 уничтожение 10-ти танков противника весь экипаж-расчет представляется к награждению орденом Ленина. </w:t>
      </w:r>
    </w:p>
    <w:p w14:paraId="49F4A5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 уничтожение свыше 10-ти танков противника — каждый из состава экипажа и расчета представляется к званию Героя Советского Союза. </w:t>
      </w:r>
    </w:p>
    <w:p w14:paraId="498137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ЖУКОВ БУЛГАНИН ХОХЛОВ (11151).</w:t>
      </w:r>
    </w:p>
    <w:p w14:paraId="7D4836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66C49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октября 1941 бомбардировочная авиация Люфтваффе возобновила налеты на советскую столицу. Днем над городом на большой высоте появились несколько самолетов, причем москвичи приняли их за своих, т.к. никакой воздушной тревоги не было. Но неожиданно в разных районах города послышались мощнейшие взрывы, после чего наконец открыли огонь зенитки. Всего «Хейнкели» безнаказанно сбросили 66 тяжелых фугасных бомб, которые попали в авиазавод № 1, заводы № 51 и № 58, а также в жилой сектор. Были убиты и ранены около 100 человек. На следующий день немцы совершили еще несколько налетов одиночными самолетами. И всякий раз гудки начинали выть с опозданием, вследствие чего москвичи просто не успевали добежать до укрытий. На сей раз бомбы взрывались в восьми районах города. Наибольшие разрушения были причинены станции Москва-Товарная, где были повреждены железнодорожные пути, сброшены с рельс платформы. Пострадал также Киевский вокзал. В Дзержинском районе и на ул. Бутырской фугаски разрушили 11 жилых домов. На сей раз потери гражданского населения составили 60 человек. Пвошники же продолжали пудрить мозги начальству, указывая, что в налетах якобы участвовали «десятки и сотни» фашистских самолетов (11774).</w:t>
      </w:r>
    </w:p>
    <w:p w14:paraId="134499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9CE8D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октября вышел приказ командующего МВО "приступить к постройке огневых точек и баррикад в окрестностях, непосредственно прилегающих к Москве, на площадях и улицах внутри Москвы... В системе обороны... создать три оборонительных рубежа: - первый - непосредственно по границам города вдоль окружной ж/д, второй - по Садовому кольцу, 3 - по кольцу А и р. Москва с юга... Оборона на подступах и в самом городе д.б. в первую очередь противотанковой... Огневые средства разрешаю устанавливать в приспособленных подвальных, квартирных и чердачных помещениях..." (1836,126).</w:t>
      </w:r>
    </w:p>
    <w:p w14:paraId="1418EF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BA611F3"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4D0B5997"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778C62E" w14:textId="77777777" w:rsidR="006A29EC" w:rsidRPr="00640820" w:rsidRDefault="006A29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shd w:val="clear" w:color="auto" w:fill="FFFFFF"/>
        </w:rPr>
        <w:t>21 октября 1941 года заместитель начальника первого отдела НКВД СССР старший майор госбезопасности Шадрин направил своему начальнику заместителю наркома внутренних дел СССР, комиссару госбезопасности 3-го ранга В. Н. Меркулову рапорт.</w:t>
      </w:r>
    </w:p>
    <w:p w14:paraId="7F57A1C2" w14:textId="77777777" w:rsidR="006A29EC" w:rsidRPr="00640820" w:rsidRDefault="006A29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shd w:val="clear" w:color="auto" w:fill="FFFFFF"/>
        </w:rPr>
        <w:t>Прочитав этот документ, будущий начальник «Смерш» написал резолюцию: «Послать т. Маленкову». В тот же день рапорт Шадрина был передан Г. М. Маленкову, который ознакомил с ним руководство ВКП(б) и, конечно же, Сталина.</w:t>
      </w:r>
    </w:p>
    <w:p w14:paraId="5FE58184" w14:textId="77777777" w:rsidR="006A29EC" w:rsidRPr="00640820" w:rsidRDefault="006A29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shd w:val="clear" w:color="auto" w:fill="FFFFFF"/>
        </w:rPr>
        <w:t>«После эвакуации аппарата ЦК ВКП(б), — говорилось в рапорте старшего майора госбезопасности, — охрана 1-го отдела НКВД произвела осмотр всего здания ЦК. В результате осмотра помещений обнаружено:</w:t>
      </w:r>
    </w:p>
    <w:p w14:paraId="02A6907B" w14:textId="77777777" w:rsidR="006A29EC" w:rsidRPr="00640820" w:rsidRDefault="006A29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shd w:val="clear" w:color="auto" w:fill="FFFFFF"/>
        </w:rPr>
        <w:t>1.  Ни одного работника ЦК ВКП(б), который мог бы привести все помещение в порядок и сжечь имеющуюся секретную переписку, оставлено не было.</w:t>
      </w:r>
    </w:p>
    <w:p w14:paraId="4B0164E6" w14:textId="77777777" w:rsidR="006A29EC" w:rsidRPr="00640820" w:rsidRDefault="006A29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shd w:val="clear" w:color="auto" w:fill="FFFFFF"/>
        </w:rPr>
        <w:t>2.  Все хозяйство: отопительная система, телефонная станция, холодильные установки, электрооборудование было разбросано.</w:t>
      </w:r>
    </w:p>
    <w:p w14:paraId="0F889776" w14:textId="77777777" w:rsidR="006A29EC" w:rsidRPr="00640820" w:rsidRDefault="006A29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shd w:val="clear" w:color="auto" w:fill="FFFFFF"/>
        </w:rPr>
        <w:t>3.  Пожарная команда также полностью вывезена. Все противопожарное оборудование было разбросано.</w:t>
      </w:r>
    </w:p>
    <w:p w14:paraId="0627546D" w14:textId="77777777" w:rsidR="006A29EC" w:rsidRPr="00640820" w:rsidRDefault="006A29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shd w:val="clear" w:color="auto" w:fill="FFFFFF"/>
        </w:rPr>
        <w:t>4.  Все противохимическое имущество, в том числе больше сотни противогазов «БС», валялись на полу в комнатах.</w:t>
      </w:r>
    </w:p>
    <w:p w14:paraId="2DDE82CF" w14:textId="77777777" w:rsidR="006A29EC" w:rsidRPr="00640820" w:rsidRDefault="006A29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shd w:val="clear" w:color="auto" w:fill="FFFFFF"/>
        </w:rPr>
        <w:t>5.  В кабинетах аппарата ЦК царил полный хаос. Многие замки столов и сами столы взломаны, разбросаны бланки и всевозможная переписка, в том числе и секретная, директивы ЦК ВКП(б) и другие документы.</w:t>
      </w:r>
    </w:p>
    <w:p w14:paraId="4C4D154B" w14:textId="77777777" w:rsidR="006A29EC" w:rsidRPr="00640820" w:rsidRDefault="006A29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shd w:val="clear" w:color="auto" w:fill="FFFFFF"/>
        </w:rPr>
        <w:t>6.  Вынесенный совершенно секретный материал в котельную для сжигания оставлен кучами, не сожжен.</w:t>
      </w:r>
    </w:p>
    <w:p w14:paraId="4436ACC5" w14:textId="77777777" w:rsidR="006A29EC" w:rsidRPr="00640820" w:rsidRDefault="006A29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shd w:val="clear" w:color="auto" w:fill="FFFFFF"/>
        </w:rPr>
        <w:t>7.  Оставлено больше сотни пишущих машинок разных систем, 128 пар валенок, тулупы, 22 мешка с обувью и носильными вещами, несколько тонн мяса, картофеля, несколько бочек сельдей, мяса и других продуктов.</w:t>
      </w:r>
    </w:p>
    <w:p w14:paraId="008EE932" w14:textId="77777777" w:rsidR="006A29EC" w:rsidRPr="00640820" w:rsidRDefault="006A29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shd w:val="clear" w:color="auto" w:fill="FFFFFF"/>
        </w:rPr>
        <w:t>8.  В кабинете товарища Жданова обнаружены пять совершенно секретных пакетов.</w:t>
      </w:r>
    </w:p>
    <w:p w14:paraId="0594DEA9" w14:textId="77777777" w:rsidR="006A29EC" w:rsidRPr="00640820" w:rsidRDefault="006A29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shd w:val="clear" w:color="auto" w:fill="FFFFFF"/>
        </w:rPr>
        <w:t>В настоящее время помещение приводится в порядок. Докладываю на Ваше распоряжение».</w:t>
      </w:r>
    </w:p>
    <w:p w14:paraId="3B2EB56A" w14:textId="77777777" w:rsidR="006A29EC" w:rsidRPr="00640820" w:rsidRDefault="006A29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shd w:val="clear" w:color="auto" w:fill="FFFFFF"/>
        </w:rPr>
        <w:t>АПРФ. Ф. 55. On. 1. Д. 5. Л. 13 (19798).</w:t>
      </w:r>
    </w:p>
    <w:p w14:paraId="09F27571" w14:textId="77777777" w:rsidR="006A29EC" w:rsidRPr="00640820" w:rsidRDefault="006A29EC" w:rsidP="00640820">
      <w:pPr>
        <w:spacing w:after="0" w:line="240" w:lineRule="auto"/>
        <w:jc w:val="both"/>
        <w:rPr>
          <w:rFonts w:ascii="Times New Roman" w:hAnsi="Times New Roman"/>
          <w:color w:val="000000" w:themeColor="text1"/>
          <w:sz w:val="16"/>
          <w:szCs w:val="16"/>
          <w:shd w:val="clear" w:color="auto" w:fill="FFFFFF"/>
        </w:rPr>
      </w:pPr>
    </w:p>
    <w:p w14:paraId="359020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октября 1941 вышло Постановление ГКО № 826 О строительстве убежища в г.Куйбышеве. РГАНИР, Фонд ГКО, д. 12, лл. 175 (11012).</w:t>
      </w:r>
    </w:p>
    <w:p w14:paraId="754288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4806507" w14:textId="77777777" w:rsidR="004E7169" w:rsidRPr="00640820" w:rsidRDefault="004E7169" w:rsidP="00640820">
      <w:pPr>
        <w:spacing w:after="0" w:line="240" w:lineRule="auto"/>
        <w:jc w:val="both"/>
        <w:rPr>
          <w:rFonts w:ascii="Times New Roman" w:hAnsi="Times New Roman"/>
          <w:color w:val="000000" w:themeColor="text1"/>
          <w:sz w:val="16"/>
          <w:szCs w:val="16"/>
          <w:lang w:val="en-US"/>
        </w:rPr>
      </w:pPr>
      <w:r w:rsidRPr="00640820">
        <w:rPr>
          <w:rStyle w:val="ucoz-forum-post"/>
          <w:rFonts w:ascii="Times New Roman" w:eastAsia="Times New Roman" w:hAnsi="Times New Roman"/>
          <w:bCs/>
          <w:color w:val="000000" w:themeColor="text1"/>
          <w:sz w:val="16"/>
          <w:szCs w:val="16"/>
        </w:rPr>
        <w:t xml:space="preserve">21 октября </w:t>
      </w:r>
      <w:r w:rsidRPr="00640820">
        <w:rPr>
          <w:rFonts w:ascii="Times New Roman" w:hAnsi="Times New Roman"/>
          <w:color w:val="000000" w:themeColor="text1"/>
          <w:sz w:val="16"/>
          <w:szCs w:val="16"/>
        </w:rPr>
        <w:t xml:space="preserve">в 1941 году приказ Ставки "приступить к постройке огневых точек и баррикад в окрестностях, непосредственно прилегающих к Москве, на площадях и улицах внутри Москвы... В системе обороны... создать три оборонительных рубежа: - первый - непосредственно по границам города вдоль окружной железной дороги, второй - по Садовому кольцу, третий - по кольцу А и реке Москве с юга... Оборона на подступах и в самом городе должны быть в первую очередь противотанковой... Огневые средства разрешаю устанавливать в приспособленных подвальных, квартирных и чердачных помещениях..." </w:t>
      </w:r>
      <w:r w:rsidRPr="00640820">
        <w:rPr>
          <w:rFonts w:ascii="Times New Roman" w:hAnsi="Times New Roman"/>
          <w:color w:val="000000" w:themeColor="text1"/>
          <w:sz w:val="16"/>
          <w:szCs w:val="16"/>
          <w:lang w:val="en-US"/>
        </w:rPr>
        <w:t>(14806).</w:t>
      </w:r>
    </w:p>
    <w:p w14:paraId="1CB07D9C" w14:textId="77777777" w:rsidR="004E7169" w:rsidRPr="00640820" w:rsidRDefault="004E7169" w:rsidP="00640820">
      <w:pPr>
        <w:spacing w:after="0" w:line="240" w:lineRule="auto"/>
        <w:jc w:val="both"/>
        <w:rPr>
          <w:rFonts w:ascii="Times New Roman" w:hAnsi="Times New Roman"/>
          <w:color w:val="000000" w:themeColor="text1"/>
          <w:sz w:val="16"/>
          <w:szCs w:val="16"/>
          <w:lang w:val="en-US"/>
        </w:rPr>
      </w:pPr>
    </w:p>
    <w:p w14:paraId="39CF88C3"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lang w:val="en-US"/>
        </w:rPr>
      </w:pPr>
      <w:r w:rsidRPr="00640820">
        <w:rPr>
          <w:rFonts w:ascii="Times New Roman" w:hAnsi="Times New Roman"/>
          <w:i/>
          <w:iCs/>
          <w:color w:val="000000" w:themeColor="text1"/>
          <w:sz w:val="16"/>
          <w:szCs w:val="16"/>
        </w:rPr>
        <w:t>За</w:t>
      </w:r>
      <w:r w:rsidRPr="00640820">
        <w:rPr>
          <w:rFonts w:ascii="Times New Roman" w:hAnsi="Times New Roman"/>
          <w:i/>
          <w:iCs/>
          <w:color w:val="000000" w:themeColor="text1"/>
          <w:sz w:val="16"/>
          <w:szCs w:val="16"/>
          <w:lang w:val="en-US"/>
        </w:rPr>
        <w:t xml:space="preserve"> </w:t>
      </w:r>
      <w:r w:rsidRPr="00640820">
        <w:rPr>
          <w:rFonts w:ascii="Times New Roman" w:hAnsi="Times New Roman"/>
          <w:i/>
          <w:iCs/>
          <w:color w:val="000000" w:themeColor="text1"/>
          <w:sz w:val="16"/>
          <w:szCs w:val="16"/>
        </w:rPr>
        <w:t>рубежом</w:t>
      </w:r>
      <w:r w:rsidRPr="00640820">
        <w:rPr>
          <w:rFonts w:ascii="Times New Roman" w:hAnsi="Times New Roman"/>
          <w:i/>
          <w:iCs/>
          <w:color w:val="000000" w:themeColor="text1"/>
          <w:sz w:val="16"/>
          <w:szCs w:val="16"/>
          <w:lang w:val="en-US"/>
        </w:rPr>
        <w:t>:</w:t>
      </w:r>
    </w:p>
    <w:p w14:paraId="69BE786E"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4B1EFA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October 21 1941 In tests with MAD gear (Magnetic Airborne Detector), a PBY from NAS Quonset Point, located the submarine S-48. The tests were carried out in cooperation with the National Defense Research Committee (1090).</w:t>
      </w:r>
    </w:p>
    <w:p w14:paraId="7E86EC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19362A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октября 1941 лл PBY с использованием магнитного детектора впервые обнаружила подводную лодку S-48 (1090).</w:t>
      </w:r>
    </w:p>
    <w:p w14:paraId="4E193B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91938A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21 октября 1941 в Нанте фашистами казнены первые 50 французских заложников в ответ на убийство немецкого солдата (4962).</w:t>
      </w:r>
    </w:p>
    <w:p w14:paraId="179EB26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2E4C6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октября 1941 за атаки югославских партизан фашистами казнены 2300 жителей Крагуевица (Югославия) (4962).</w:t>
      </w:r>
    </w:p>
    <w:p w14:paraId="11357CA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FC1B30"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21ABD855"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896EA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октября 1941 для организации оперативной группы в Куйбышев вылетел А.И.Шахурин, а уже 28 октября 1941 ее формирование было завершено (303). В состав группы вошли 40 работников наркомата в основном в ранге заместителей начальников ведущих главков и отделов (303). В дальнейшем она постоянно пополнялась специалистами НКАП, прибывавшими из Саратова. Значительный приток кадров дало также происшедшее слияние группы с аппаратом Уполномоченного по узлу куйбышевских заводов. По мере роста численности нового органа расширился и круг выполняемых им задач. Учитывая это, группе выделили более просторное здание Военно-медицинской академии и придали специально построенный аэродром.</w:t>
      </w:r>
    </w:p>
    <w:p w14:paraId="30BB98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Таким образом, куйбышевская оперативная группа, получив необходимое материально-техническое и кадровое обеспечение, вскоре могла решать серьезные управленческие задачи. К середине декабря 1941 она настолько окрепла, что было принято решение полностью перевести из Саратова в Куйбышев все основные подразделения НКАП и развернуть их работу на базе оперативной группы. В Саратове оставались лишь вспомогательные управления и отделы, руководство которыми возлагалось на уполномоченного наркома в этом городе (637).</w:t>
      </w:r>
    </w:p>
    <w:p w14:paraId="27D4D1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A7E3412" w14:textId="77777777" w:rsidR="0056575D" w:rsidRPr="00640820" w:rsidRDefault="0056575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октября 1941 года А. И. Шахурин, прилетевший на стройку, вспоминает:</w:t>
      </w:r>
    </w:p>
    <w:p w14:paraId="46A0612B" w14:textId="77777777" w:rsidR="0056575D" w:rsidRPr="00640820" w:rsidRDefault="0056575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«Новая площадка, куда я приехал с аэродрома, представляла зрелище не совсем обычное. Группа новых, недостроенных корпусов заводов. Огромная масса людей снует, на первый взгляд, беспорядочно, грязь и неустроенность самой территории. Некоторые корпуса еще не начали строить (кузнечный для самолетостроительного и литейный для моторного заводов). Железнодорожные пути были проложены внутри ряда цехов, что облегчало разгрузку оборудования. Состоялась беседа с рабочими Воронежского завода. «Не сумели, — говорю я им, — закончить строительство завода до вашего приезда. Очень трудно вам будет и с жильем и с питанием, особенно в первое время». Они меня успокаивают: «Это ничего, главное — завод хороший, скорее бы выпускать самолеты...»</w:t>
      </w:r>
    </w:p>
    <w:p w14:paraId="11BC852B" w14:textId="77777777" w:rsidR="0056575D" w:rsidRPr="00640820" w:rsidRDefault="0056575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Эшелоны из Воронежа прибывали регулярно. С каждым составом, привозившим оборудование цехов, материалы и детали самолетов, приезжали и работники завода с семьями. Они тут же включались в разгрузку транспортов и размещение оборудования в новых корпусах.</w:t>
      </w:r>
    </w:p>
    <w:p w14:paraId="084D6E3C" w14:textId="77777777" w:rsidR="0056575D" w:rsidRPr="00640820" w:rsidRDefault="0056575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Огромный корпус агрегатных цехов и такой же корпус главной сборки самолетов еще не имели крыш. Правда, расположенные в два этажа вдоль этих корпусов бытовки почти готовы, и в них разместились технические отделы, администрация и цеховые службы. В корпусах для заготовительных цехов не закончено возведение стен. Для кузницы, компрессорной еще только закладываются фундаменты, то же и для ряда других корпусов. Отсутствуют складские помещения. На аэродроме не закончено строительство летного поля, нет хранилищ бензина и масла. В корпусах нет воды, отсутствует канализация, не закончена электропроводка. Нет жилья для работников завода.</w:t>
      </w:r>
    </w:p>
    <w:p w14:paraId="1D8A9C56" w14:textId="77777777" w:rsidR="0056575D" w:rsidRPr="00640820" w:rsidRDefault="0056575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разгрузке заводского оборудования работали не только мужчины, но и женщины. Например, отлично трудилась бригада женщин под командованием технолога ОГТ Татьяны Сергеевны Кривченко.</w:t>
      </w:r>
    </w:p>
    <w:p w14:paraId="699C4CFB" w14:textId="77777777" w:rsidR="0056575D" w:rsidRPr="00640820" w:rsidRDefault="0056575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Приезжавший в те дни на завод № 18 С. В. Ильюшин вспоминает: «...Останавливались составы, и тяжелейшее, сложнейшее оборудование словно ветром сдувало с платформ...»</w:t>
      </w:r>
    </w:p>
    <w:p w14:paraId="2C422CCD" w14:textId="77777777" w:rsidR="0056575D" w:rsidRPr="00640820" w:rsidRDefault="0056575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 не случайно произошло так, что при эвакуации из Москвы ОКБ Ильюшина было направлено именно в Куйбышев, в районе которого разместилась новая площадка завода № 18.</w:t>
      </w:r>
    </w:p>
    <w:p w14:paraId="01BD725E" w14:textId="77777777" w:rsidR="0056575D" w:rsidRPr="00640820" w:rsidRDefault="0056575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Вывозка оборудования с территории завода № 18 в Воронеже подходила к концу. Здесь шел демонтаж пресса-гиганта «Бердсборо» и погрузка его на железнодорожные платформы.</w:t>
      </w:r>
    </w:p>
    <w:p w14:paraId="5BD934F9" w14:textId="77777777" w:rsidR="0056575D" w:rsidRPr="00640820" w:rsidRDefault="0056575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Вес отдельных узлов этого пресса достигал восьмидесяти тонн при соответствующих габаритах. Поэтому в операции разборки и погрузки «Бердсборо» принимал участие специальный железнодорожный кран с бригадой специалистов-путейцев.</w:t>
      </w:r>
    </w:p>
    <w:p w14:paraId="36D21079" w14:textId="77777777" w:rsidR="0056575D" w:rsidRPr="00640820" w:rsidRDefault="0056575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Командовавший операцией демонтажа пресса Б. М. Данилов дал указание подорвать цеховую стену. Затем автогеном подрезали и обрушили вниз перекрытия и крышу над прессом, и гигант оголился. Бригада мастера А. И. Талтынова — та, что три года назад вела монтаж этого уникального пресса, — начала быстро и аккуратно его разбирать.</w:t>
      </w:r>
    </w:p>
    <w:p w14:paraId="33CEBE89" w14:textId="77777777" w:rsidR="0056575D" w:rsidRPr="00640820" w:rsidRDefault="0056575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Такелажники во главе с К. К. Ломовских тут же готовили блоки пресса для погрузки, а путейцы своим краном бережно укладывали их на платформы. Ночью платформы с блоками пресса были выведены за границы завода.</w:t>
      </w:r>
    </w:p>
    <w:p w14:paraId="1D7059AD" w14:textId="77777777" w:rsidR="0056575D" w:rsidRPr="00640820" w:rsidRDefault="0056575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Фронт работ на новой площадке завода № 18 непрерывно расширялся. Прибывшие из Воронежа и развезенные по цехам станки и другое оборудование нужно было скорее пустить в дело. Для этого необходимо было выполнить как минимум два условия: закрепить станки на фундаменте и подать к ним электроэнергию. Едва станок втаскивали в тот или иной цех и ставили на место по планировке, как к нему направлялись электрики. И пока несколько работниц цеха снимали со станка упаковочную бумагу и обтирали консервационную смазку, монтеры подключали к нему временную электропроводку.</w:t>
      </w:r>
    </w:p>
    <w:p w14:paraId="7A2CF565" w14:textId="77777777" w:rsidR="0056575D" w:rsidRPr="00640820" w:rsidRDefault="0056575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Закрепление станка. Фундамент обязательно нужен, ведь без него станок потеряет точность. Но земляной пол в цехе так промерз, что его нужно долбить пневмомолотками, которых было еще слишком мало. Да и бетон фундамента, чтобы не замерз, необходимо подогревать (19823).</w:t>
      </w:r>
    </w:p>
    <w:p w14:paraId="29CF22B2" w14:textId="77777777" w:rsidR="0056575D" w:rsidRPr="00640820" w:rsidRDefault="0056575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монтаже пресса работали те же специалисты бригады А. Талтынова и такелажники К. Ломовских, которые однажды его уже устанавливали, а затем демонтировали. Но здесь кроме уличных морозных условий дополнительные трудности создавало и отсутствие подъемного крана большой грузоподъемности.</w:t>
      </w:r>
    </w:p>
    <w:p w14:paraId="0A72DC03" w14:textId="77777777" w:rsidR="0056575D" w:rsidRPr="00640820" w:rsidRDefault="0056575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Выход нашел инженер М. И. Агальцев. Он со своими помощниками сконструировал мощную треногу из железных балок. Она, как гигантский паук, стала над всей монтажной площадкой. И вот с помощью такого устройства и двух подвешенных к нему талей блоки пресса постепенно стали занимать свои места. Образцово проведенные демонтаж и упаковка агрегатов и деталей пресса в Воронеже обеспечили полную сохранность всех его частей.</w:t>
      </w:r>
    </w:p>
    <w:p w14:paraId="736F0E4B" w14:textId="77777777" w:rsidR="0056575D" w:rsidRPr="00640820" w:rsidRDefault="0056575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Круглосуточная вахта на монтаже «Бердсборо» успешно продолжалась. И люди сделали чудо: смонтировали и пустили пресс за двадцать пять суток!</w:t>
      </w:r>
    </w:p>
    <w:p w14:paraId="06843DB9" w14:textId="77777777" w:rsidR="0056575D" w:rsidRPr="00640820" w:rsidRDefault="0056575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Прибыли стапели сборочных цехов. Вот их-то уже нельзя было собирать на «живую нитку», временно. В цехах жгли костры, отогревая мерзлую землю полов. Правда, отбойные молотки часто останавливались, так как в них замерзала вода-конденсат. И здесь снова приходили на помощь костры — возле них отогревались и молотки и люди.</w:t>
      </w:r>
    </w:p>
    <w:p w14:paraId="1A409A08" w14:textId="77777777" w:rsidR="0056575D" w:rsidRPr="00640820" w:rsidRDefault="0056575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Прибыл бетон. Чтобы он не замерз в фундаментных ямах, электрики предложили устроить прогрев бетона через арматуру с помощью сварочных трансформаторов. Попробовали — получается. Далее научились укладывать бетонные полы в цехах, прогревая их через металлическую сетку.</w:t>
      </w:r>
    </w:p>
    <w:p w14:paraId="3B61E4BF" w14:textId="77777777" w:rsidR="0056575D" w:rsidRPr="00640820" w:rsidRDefault="0056575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новом месте приступило к работе только немногим больше половины прежнего состава работников завода. Правда, это были лучшие кадры. Главные подразделения — технические отделы, основные цехи и службы — почти не имели отсева в людях. Недосчитались главным образом рабочих заготовительных цехов, клепальщиков, рабочих складов и других подсобных подразделений, где большинство составляли женщины, семьи которых жили в пригородах Воронежа или окрестных селах. Для компенсации этих потерь были организованы набор и обучение кадров по недостающим специальностям (19823).</w:t>
      </w:r>
    </w:p>
    <w:p w14:paraId="359143F0" w14:textId="77777777" w:rsidR="0056575D" w:rsidRPr="00640820" w:rsidRDefault="0056575D" w:rsidP="00640820">
      <w:pPr>
        <w:spacing w:after="0" w:line="240" w:lineRule="auto"/>
        <w:jc w:val="both"/>
        <w:rPr>
          <w:rFonts w:ascii="Times New Roman" w:hAnsi="Times New Roman"/>
          <w:color w:val="000000" w:themeColor="text1"/>
          <w:sz w:val="16"/>
          <w:szCs w:val="16"/>
        </w:rPr>
      </w:pPr>
    </w:p>
    <w:p w14:paraId="20E80B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октября 1941 на стройку 18 завода приезжал А.И.Шахурин (180,72).</w:t>
      </w:r>
    </w:p>
    <w:p w14:paraId="0118B6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C3034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октября 1941 эвакуированный НКАП прибыл в Саратов. В этот же день вечером состоялось совещание руководящего состава наркомата и филиала, на котором было решено до 25 октября 1941 сформировать единую организационную структуру. Зам.наркома А.И.Кузнецов, который руководил в Саратове всей работой НКАП, поставил на совещании задачу в кратчайшие сроки установить действенный контроль за выполнением заводами графиков сдачи продукции и оказать им в связи с этим необходимую техническую помощь (303).</w:t>
      </w:r>
    </w:p>
    <w:p w14:paraId="505E5F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F7AAE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октября 1941 г. бывший летчик-истребитель 120-го иап Н.Н. Штучкин вспоминал, что они перелетели на своих И-153 на Центральный аэродром Москвы. Здесь тогда стояли сотни различных самолетов, в том числе опытные и экспериментальные машины. Обходя аэродром, любознательные пилоты на окраине заметили знаменитую "Родину", осмотрели ее, заглянули в кабину. Запомнилось, что ручка управления и педали были обшиты мехом, на левом борту пилотской кабины находился бензокран, под ним кусок ватмана, на котором указывалась очередность переключения бензиновых баков (11946).</w:t>
      </w:r>
    </w:p>
    <w:p w14:paraId="3090DB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04FB4FB" w14:textId="77777777" w:rsidR="006A29EC" w:rsidRPr="00640820" w:rsidRDefault="006A29EC" w:rsidP="00640820">
      <w:pPr>
        <w:pStyle w:val="7"/>
        <w:shd w:val="clear" w:color="auto" w:fill="auto"/>
        <w:spacing w:line="240" w:lineRule="auto"/>
        <w:rPr>
          <w:rFonts w:ascii="Times New Roman" w:cs="Times New Roman"/>
          <w:color w:val="000000" w:themeColor="text1"/>
          <w:spacing w:val="0"/>
          <w:sz w:val="16"/>
          <w:szCs w:val="16"/>
        </w:rPr>
      </w:pPr>
      <w:r w:rsidRPr="00640820">
        <w:rPr>
          <w:rFonts w:ascii="Times New Roman" w:cs="Times New Roman"/>
          <w:color w:val="000000" w:themeColor="text1"/>
          <w:spacing w:val="0"/>
          <w:sz w:val="16"/>
          <w:szCs w:val="16"/>
        </w:rPr>
        <w:t>22 октября 1941 года</w:t>
      </w:r>
    </w:p>
    <w:p w14:paraId="4CDED926" w14:textId="77777777" w:rsidR="006A29EC" w:rsidRPr="00640820" w:rsidRDefault="006A29EC" w:rsidP="00640820">
      <w:pPr>
        <w:pStyle w:val="11b"/>
        <w:shd w:val="clear" w:color="auto" w:fill="auto"/>
        <w:spacing w:after="0" w:line="240" w:lineRule="auto"/>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рапорт начальника производства И.Н. Мешкова директору завода № 124 В. А. Окулову от 22 октября 1941 года</w:t>
      </w:r>
    </w:p>
    <w:p w14:paraId="1C3D6A16" w14:textId="77777777" w:rsidR="006A29EC" w:rsidRPr="00640820" w:rsidRDefault="006A29EC" w:rsidP="00640820">
      <w:pPr>
        <w:pStyle w:val="11b"/>
        <w:shd w:val="clear" w:color="auto" w:fill="auto"/>
        <w:spacing w:after="0" w:line="240" w:lineRule="auto"/>
        <w:jc w:val="both"/>
        <w:rPr>
          <w:rFonts w:ascii="Times New Roman" w:hAnsi="Times New Roman" w:cs="Times New Roman"/>
          <w:color w:val="000000" w:themeColor="text1"/>
          <w:sz w:val="16"/>
          <w:szCs w:val="16"/>
        </w:rPr>
      </w:pPr>
      <w:r w:rsidRPr="00640820">
        <w:rPr>
          <w:rStyle w:val="11pt"/>
          <w:rFonts w:ascii="Times New Roman" w:hAnsi="Times New Roman" w:cs="Times New Roman"/>
          <w:i w:val="0"/>
          <w:color w:val="000000" w:themeColor="text1"/>
          <w:sz w:val="16"/>
          <w:szCs w:val="16"/>
        </w:rPr>
        <w:t>«На аэродроме, подготовляемых к отлету в часть находятся 10 самолетов, из них:</w:t>
      </w:r>
    </w:p>
    <w:p w14:paraId="7B1B9B51" w14:textId="77777777" w:rsidR="006A29EC" w:rsidRPr="00640820" w:rsidRDefault="006A29EC" w:rsidP="00640820">
      <w:pPr>
        <w:pStyle w:val="243"/>
        <w:shd w:val="clear" w:color="auto" w:fill="auto"/>
        <w:tabs>
          <w:tab w:val="left" w:pos="446"/>
        </w:tabs>
        <w:spacing w:line="240" w:lineRule="auto"/>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а)</w:t>
      </w:r>
      <w:r w:rsidRPr="00640820">
        <w:rPr>
          <w:rFonts w:ascii="Times New Roman" w:hAnsi="Times New Roman" w:cs="Times New Roman"/>
          <w:color w:val="000000" w:themeColor="text1"/>
          <w:sz w:val="16"/>
          <w:szCs w:val="16"/>
        </w:rPr>
        <w:tab/>
        <w:t>4 с моторами М-30 за №№ 42055, 27, 025, 96 об</w:t>
      </w:r>
      <w:r w:rsidRPr="00640820">
        <w:rPr>
          <w:rFonts w:ascii="Times New Roman" w:hAnsi="Times New Roman" w:cs="Times New Roman"/>
          <w:color w:val="000000" w:themeColor="text1"/>
          <w:sz w:val="16"/>
          <w:szCs w:val="16"/>
        </w:rPr>
        <w:softHyphen/>
        <w:t>летаны экипажами полка и задерживаются только из-за отсутствия погоды.</w:t>
      </w:r>
    </w:p>
    <w:p w14:paraId="6D225DA5" w14:textId="77777777" w:rsidR="006A29EC" w:rsidRPr="00640820" w:rsidRDefault="006A29EC" w:rsidP="00640820">
      <w:pPr>
        <w:pStyle w:val="243"/>
        <w:shd w:val="clear" w:color="auto" w:fill="auto"/>
        <w:tabs>
          <w:tab w:val="left" w:pos="492"/>
        </w:tabs>
        <w:spacing w:line="240" w:lineRule="auto"/>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б)</w:t>
      </w:r>
      <w:r w:rsidRPr="00640820">
        <w:rPr>
          <w:rFonts w:ascii="Times New Roman" w:hAnsi="Times New Roman" w:cs="Times New Roman"/>
          <w:color w:val="000000" w:themeColor="text1"/>
          <w:sz w:val="16"/>
          <w:szCs w:val="16"/>
        </w:rPr>
        <w:tab/>
        <w:t>Одна машина за № 42076 с моторами М-40 сдана экипажу полка и подлежит облету ими (один полет), после чего самолет этот также может быть отправлен в часть.</w:t>
      </w:r>
    </w:p>
    <w:p w14:paraId="5A6F8072" w14:textId="77777777" w:rsidR="006A29EC" w:rsidRPr="00640820" w:rsidRDefault="006A29EC" w:rsidP="00640820">
      <w:pPr>
        <w:pStyle w:val="243"/>
        <w:shd w:val="clear" w:color="auto" w:fill="auto"/>
        <w:tabs>
          <w:tab w:val="left" w:pos="442"/>
        </w:tabs>
        <w:spacing w:line="240" w:lineRule="auto"/>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lastRenderedPageBreak/>
        <w:t>в)</w:t>
      </w:r>
      <w:r w:rsidRPr="00640820">
        <w:rPr>
          <w:rFonts w:ascii="Times New Roman" w:hAnsi="Times New Roman" w:cs="Times New Roman"/>
          <w:color w:val="000000" w:themeColor="text1"/>
          <w:sz w:val="16"/>
          <w:szCs w:val="16"/>
        </w:rPr>
        <w:tab/>
        <w:t>Пять машин за №№ 42086, 42066 с моторами М-40; 4217, 4212 с моторами АМ-35А; 42106 с мо</w:t>
      </w:r>
      <w:r w:rsidRPr="00640820">
        <w:rPr>
          <w:rFonts w:ascii="Times New Roman" w:hAnsi="Times New Roman" w:cs="Times New Roman"/>
          <w:color w:val="000000" w:themeColor="text1"/>
          <w:sz w:val="16"/>
          <w:szCs w:val="16"/>
        </w:rPr>
        <w:softHyphen/>
        <w:t>торами М-50 находятся в испытании (на) ЛИСе и могут быть сданы при наличии летной погоды в 4-5 дней.</w:t>
      </w:r>
    </w:p>
    <w:p w14:paraId="029F78D9" w14:textId="77777777" w:rsidR="006A29EC" w:rsidRPr="00640820" w:rsidRDefault="006A29EC" w:rsidP="00640820">
      <w:pPr>
        <w:pStyle w:val="243"/>
        <w:shd w:val="clear" w:color="auto" w:fill="auto"/>
        <w:spacing w:line="240" w:lineRule="auto"/>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На одном из этих самолетов (№ 42066) уста</w:t>
      </w:r>
      <w:r w:rsidRPr="00640820">
        <w:rPr>
          <w:rFonts w:ascii="Times New Roman" w:hAnsi="Times New Roman" w:cs="Times New Roman"/>
          <w:color w:val="000000" w:themeColor="text1"/>
          <w:sz w:val="16"/>
          <w:szCs w:val="16"/>
        </w:rPr>
        <w:softHyphen/>
        <w:t>новлено новое опытное управление запуска ТК (турбокомпрессор. - Прим. авт.) на высоте, с ко</w:t>
      </w:r>
      <w:r w:rsidRPr="00640820">
        <w:rPr>
          <w:rFonts w:ascii="Times New Roman" w:hAnsi="Times New Roman" w:cs="Times New Roman"/>
          <w:color w:val="000000" w:themeColor="text1"/>
          <w:sz w:val="16"/>
          <w:szCs w:val="16"/>
        </w:rPr>
        <w:softHyphen/>
        <w:t>торым самолет намечен к испытанию в течение 50 часов. Инженер части настаивает на передаче полку самолета без проведения этого длитель</w:t>
      </w:r>
      <w:r w:rsidRPr="00640820">
        <w:rPr>
          <w:rFonts w:ascii="Times New Roman" w:hAnsi="Times New Roman" w:cs="Times New Roman"/>
          <w:color w:val="000000" w:themeColor="text1"/>
          <w:sz w:val="16"/>
          <w:szCs w:val="16"/>
        </w:rPr>
        <w:softHyphen/>
        <w:t>ного испытания, с проверкой управления запуска ТК в 1-2 полетах.</w:t>
      </w:r>
    </w:p>
    <w:p w14:paraId="3AEBD1BB" w14:textId="77777777" w:rsidR="006A29EC" w:rsidRPr="00640820" w:rsidRDefault="006A29EC" w:rsidP="00640820">
      <w:pPr>
        <w:pStyle w:val="243"/>
        <w:shd w:val="clear" w:color="auto" w:fill="auto"/>
        <w:spacing w:line="240" w:lineRule="auto"/>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Дополнительно к указанным 10 самолетам на аэро</w:t>
      </w:r>
      <w:r w:rsidRPr="00640820">
        <w:rPr>
          <w:rFonts w:ascii="Times New Roman" w:hAnsi="Times New Roman" w:cs="Times New Roman"/>
          <w:color w:val="000000" w:themeColor="text1"/>
          <w:sz w:val="16"/>
          <w:szCs w:val="16"/>
        </w:rPr>
        <w:softHyphen/>
        <w:t>дроме находятся еще 2 самолета, принадлежавшие полку, за № 4225 и № 42055 с моторами М-40.</w:t>
      </w:r>
    </w:p>
    <w:p w14:paraId="03D9D5EC" w14:textId="77777777" w:rsidR="006A29EC" w:rsidRPr="00640820" w:rsidRDefault="006A29EC" w:rsidP="00640820">
      <w:pPr>
        <w:pStyle w:val="243"/>
        <w:shd w:val="clear" w:color="auto" w:fill="auto"/>
        <w:spacing w:line="240" w:lineRule="auto"/>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Самолеты эти после небольшой эксплуатации были пригнаны на завод для замены или доработки моторов.</w:t>
      </w:r>
    </w:p>
    <w:p w14:paraId="56F060D3" w14:textId="77777777" w:rsidR="006A29EC" w:rsidRPr="00640820" w:rsidRDefault="006A29EC" w:rsidP="00640820">
      <w:pPr>
        <w:pStyle w:val="243"/>
        <w:shd w:val="clear" w:color="auto" w:fill="auto"/>
        <w:spacing w:line="240" w:lineRule="auto"/>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Так как до последнего времени вопрос с моторами М-40 был не ясен, самолеты эти стояли на аэродроме.</w:t>
      </w:r>
    </w:p>
    <w:p w14:paraId="5EBF714B" w14:textId="77777777" w:rsidR="006A29EC" w:rsidRPr="00640820" w:rsidRDefault="006A29EC" w:rsidP="00640820">
      <w:pPr>
        <w:pStyle w:val="243"/>
        <w:shd w:val="clear" w:color="auto" w:fill="auto"/>
        <w:spacing w:line="240" w:lineRule="auto"/>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Сейчас принято решение на этих самолетах ме</w:t>
      </w:r>
      <w:r w:rsidRPr="00640820">
        <w:rPr>
          <w:rFonts w:ascii="Times New Roman" w:hAnsi="Times New Roman" w:cs="Times New Roman"/>
          <w:color w:val="000000" w:themeColor="text1"/>
          <w:sz w:val="16"/>
          <w:szCs w:val="16"/>
        </w:rPr>
        <w:softHyphen/>
        <w:t>нять моторы на новые, доработанные, после чего самолеты могут быть отправлены в часть. За</w:t>
      </w:r>
      <w:r w:rsidRPr="00640820">
        <w:rPr>
          <w:rFonts w:ascii="Times New Roman" w:hAnsi="Times New Roman" w:cs="Times New Roman"/>
          <w:color w:val="000000" w:themeColor="text1"/>
          <w:sz w:val="16"/>
          <w:szCs w:val="16"/>
        </w:rPr>
        <w:softHyphen/>
        <w:t>мену моторов производят сами экипажи с помо</w:t>
      </w:r>
      <w:r w:rsidRPr="00640820">
        <w:rPr>
          <w:rFonts w:ascii="Times New Roman" w:hAnsi="Times New Roman" w:cs="Times New Roman"/>
          <w:color w:val="000000" w:themeColor="text1"/>
          <w:sz w:val="16"/>
          <w:szCs w:val="16"/>
        </w:rPr>
        <w:softHyphen/>
        <w:t>щью цеха № 9.</w:t>
      </w:r>
    </w:p>
    <w:p w14:paraId="716A20A3" w14:textId="77777777" w:rsidR="006A29EC" w:rsidRPr="00640820" w:rsidRDefault="006A29EC" w:rsidP="00640820">
      <w:pPr>
        <w:pStyle w:val="243"/>
        <w:shd w:val="clear" w:color="auto" w:fill="auto"/>
        <w:spacing w:line="240" w:lineRule="auto"/>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В цехе № 9 в разных стадиях производства нахо</w:t>
      </w:r>
      <w:r w:rsidRPr="00640820">
        <w:rPr>
          <w:rFonts w:ascii="Times New Roman" w:hAnsi="Times New Roman" w:cs="Times New Roman"/>
          <w:color w:val="000000" w:themeColor="text1"/>
          <w:sz w:val="16"/>
          <w:szCs w:val="16"/>
        </w:rPr>
        <w:softHyphen/>
        <w:t>дятся 15 самолетов, из них:</w:t>
      </w:r>
    </w:p>
    <w:p w14:paraId="0F72F79E" w14:textId="77777777" w:rsidR="006A29EC" w:rsidRPr="00640820" w:rsidRDefault="006A29EC" w:rsidP="00640820">
      <w:pPr>
        <w:pStyle w:val="243"/>
        <w:shd w:val="clear" w:color="auto" w:fill="auto"/>
        <w:spacing w:line="240" w:lineRule="auto"/>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а) 2 самолета за № 4216 и № 4221 переоборуду</w:t>
      </w:r>
      <w:r w:rsidRPr="00640820">
        <w:rPr>
          <w:rFonts w:ascii="Times New Roman" w:hAnsi="Times New Roman" w:cs="Times New Roman"/>
          <w:color w:val="000000" w:themeColor="text1"/>
          <w:sz w:val="16"/>
          <w:szCs w:val="16"/>
        </w:rPr>
        <w:softHyphen/>
        <w:t>ются под моторы АМ-35А.</w:t>
      </w:r>
    </w:p>
    <w:p w14:paraId="4892192D" w14:textId="77777777" w:rsidR="006A29EC" w:rsidRPr="00640820" w:rsidRDefault="006A29EC" w:rsidP="00640820">
      <w:pPr>
        <w:pStyle w:val="243"/>
        <w:shd w:val="clear" w:color="auto" w:fill="auto"/>
        <w:spacing w:line="240" w:lineRule="auto"/>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б) На один самолет за № 42017 (1-й самолет 7-й серии) 21 октября установлены моторы М-30, и он готовится к сдаче на аэродром к 1 ноября. Остальные 9 самолетов 7-й серии находятся в цехе № 9 в разных стадиях сборки, имея задержки из-за отсутствия моторов и деталей цехов по</w:t>
      </w:r>
      <w:r w:rsidRPr="00640820">
        <w:rPr>
          <w:rFonts w:ascii="Times New Roman" w:hAnsi="Times New Roman" w:cs="Times New Roman"/>
          <w:color w:val="000000" w:themeColor="text1"/>
          <w:sz w:val="16"/>
          <w:szCs w:val="16"/>
        </w:rPr>
        <w:softHyphen/>
        <w:t>ставщиков.</w:t>
      </w:r>
    </w:p>
    <w:p w14:paraId="27DCB6B4" w14:textId="77777777" w:rsidR="006A29EC" w:rsidRPr="00640820" w:rsidRDefault="006A29EC" w:rsidP="00640820">
      <w:pPr>
        <w:pStyle w:val="243"/>
        <w:shd w:val="clear" w:color="auto" w:fill="auto"/>
        <w:spacing w:line="240" w:lineRule="auto"/>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По агрегатным цехам в сборке в стапелях нахо</w:t>
      </w:r>
      <w:r w:rsidRPr="00640820">
        <w:rPr>
          <w:rFonts w:ascii="Times New Roman" w:hAnsi="Times New Roman" w:cs="Times New Roman"/>
          <w:color w:val="000000" w:themeColor="text1"/>
          <w:sz w:val="16"/>
          <w:szCs w:val="16"/>
        </w:rPr>
        <w:softHyphen/>
        <w:t>дятся первые 2 машины 8-й серии.</w:t>
      </w:r>
    </w:p>
    <w:p w14:paraId="5959EBAF" w14:textId="77777777" w:rsidR="006A29EC" w:rsidRPr="00640820" w:rsidRDefault="006A29EC" w:rsidP="00640820">
      <w:pPr>
        <w:pStyle w:val="243"/>
        <w:shd w:val="clear" w:color="auto" w:fill="auto"/>
        <w:spacing w:line="240" w:lineRule="auto"/>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По заготовительным цехам в производстве нахо</w:t>
      </w:r>
      <w:r w:rsidRPr="00640820">
        <w:rPr>
          <w:rFonts w:ascii="Times New Roman" w:hAnsi="Times New Roman" w:cs="Times New Roman"/>
          <w:color w:val="000000" w:themeColor="text1"/>
          <w:sz w:val="16"/>
          <w:szCs w:val="16"/>
        </w:rPr>
        <w:softHyphen/>
        <w:t>дятся 8-я и 9-я серии (по 10 машин в серии)» (19088)</w:t>
      </w:r>
    </w:p>
    <w:p w14:paraId="69B37FAC" w14:textId="77777777" w:rsidR="006A29EC" w:rsidRPr="00640820" w:rsidRDefault="006A29EC" w:rsidP="00640820">
      <w:pPr>
        <w:spacing w:after="0" w:line="240" w:lineRule="auto"/>
        <w:jc w:val="both"/>
        <w:rPr>
          <w:rFonts w:ascii="Times New Roman" w:hAnsi="Times New Roman"/>
          <w:color w:val="000000" w:themeColor="text1"/>
          <w:sz w:val="16"/>
          <w:szCs w:val="16"/>
        </w:rPr>
      </w:pPr>
    </w:p>
    <w:p w14:paraId="2635E74A"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7CF6DABF"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532BB9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октября 1941 года вышел Приказ НКБ № 14/620</w:t>
      </w:r>
    </w:p>
    <w:p w14:paraId="265245A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НИИ-6 эвакуировать в Кемерово на комбинаты №№ 319 и 392.</w:t>
      </w:r>
    </w:p>
    <w:p w14:paraId="3D45DB7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целях приближения НИР к производству создать филиалы Института:</w:t>
      </w:r>
    </w:p>
    <w:p w14:paraId="3C0099D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 в Красноярске при заводе № 580</w:t>
      </w:r>
    </w:p>
    <w:p w14:paraId="7E1A25B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2 в Молотове при комбинате № 98</w:t>
      </w:r>
    </w:p>
    <w:p w14:paraId="4C24E2A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3 в Новосибирске при заводе № 635</w:t>
      </w:r>
    </w:p>
    <w:p w14:paraId="3E18C59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4 в Чебоксарах при заводе № 320 (5675, 55).</w:t>
      </w:r>
    </w:p>
    <w:p w14:paraId="5760006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FD2A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22 октября 1941 г. вышел приказ НКБ № 14/620, в соответствии с которым НИИ-6 (НИИ-6 НКОП, НКБ, МСХМ, ММ, МОП, </w:t>
      </w:r>
      <w:r w:rsidRPr="00640820">
        <w:rPr>
          <w:rFonts w:ascii="Times New Roman" w:hAnsi="Times New Roman"/>
          <w:color w:val="000000" w:themeColor="text1"/>
          <w:sz w:val="16"/>
          <w:szCs w:val="16"/>
          <w:lang w:val="en-US"/>
        </w:rPr>
        <w:t>MOM</w:t>
      </w:r>
      <w:r w:rsidRPr="00640820">
        <w:rPr>
          <w:rFonts w:ascii="Times New Roman" w:hAnsi="Times New Roman"/>
          <w:color w:val="000000" w:themeColor="text1"/>
          <w:sz w:val="16"/>
          <w:szCs w:val="16"/>
        </w:rPr>
        <w:t>, ГКОТ, Военно -химический НИИ (ВХНИИ) НКТП, НИИ химических материалов (НИИХМ), ФГУП ГНЦ «ЦНИИ химии и механики» (ЦНИИХМ) Росбоеприпаса /115487 г. Москва ул. Нагатинская, 16Ател. 111-87-13/) эвакуирован в г. Кемерово на комбинаты № 319 и 392 НКБ (институт работал в Москве по 15.10.1941 г.) и в Чебоксары на завод № 320. Все оставшееся на 1.11.1941 г. после эвакуации оборудование и имущество было передано заводу № 575 НКБ, расположенному рядом. На заводе работала оперативная группа НИИ-6, организованная 28.10.1941 г., под руководством М.З. Полеванова. В 1942г. группа преобразована в Московский филиал. Группой велись работы: отработка бронепрожигающих снарядов и мин; разработка гранаты, выстреливаемой из ракетницы, ручной кумулятивной противотанковой гранаты РПГ-6; снаряжение запалов.</w:t>
      </w:r>
    </w:p>
    <w:p w14:paraId="4359B5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П.1941 г. на базе опытных мастерских НИИ-6 организовали боеприпасное производство, являвшееся филиалом завода № 575. Приказом НКБ № 35 от 26.11.1941 г. оно выделено в самостоятельное предприятие- ГСЗ НИИ № 6. В 04.1942г. ему присвоили название ГСЗ № 562 НКБ. По распоряжению СНК СССР от 21.06.1945г. завод № 562 был ликвидирован, его правопреемником стал НИИ-6, куда были переведены основные кадры.</w:t>
      </w:r>
    </w:p>
    <w:p w14:paraId="639A02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после эвакуации был издан приказ об организации филиалов института: филиал № 1 при заводе № 580 (г. Красноярск); филиал № 2 при заводе № 98 (г. Молотов); филиал № 3 при заводе № 635 (г. Новосибирск); филиал № 4 при заводе № 320 (г. Чебоксары). Затем вышел приказ НКБ № 660 от 1.12.1941 г., отменявший предыдущее решение. В соответствии с ним был организован лишь филиал № 1 на заводе № 320. В Кемерово и Чебоксарах НИИ-6 размещался по 05,1943г., затем реэвакуирован на старое место в Москву.</w:t>
      </w:r>
    </w:p>
    <w:p w14:paraId="266A9B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 руководством М.Я. Васильева в НИИ-6 начаты исследования по противотанковым кумулятивным боеприпасам. В годы войны созданы первые кумулятивные снаряды и гранаты, мощные кумулятивные инженерные боеприпасы, вязкие зажигательные огнесмеси.</w:t>
      </w:r>
    </w:p>
    <w:p w14:paraId="62E841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годы войны была решена проблема применения импортных пироксилиновых порохов для отечественных боеприпасов. До конца войны институт был единственным в стране комплексным научно-исследовательским учреждением по порохам, ВВ, пиротехническим и зажигательным средствам, по снаряжению боеприпасов и средств инициирования.</w:t>
      </w:r>
    </w:p>
    <w:p w14:paraId="032665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войны создана лаборатория вязких опнесмесей. В начале 1942г. в НИИ-6 организовано СТБ (специальное техническое бюро) для работ по механизации производства зарядов. В СТБ НИИ-6 разработана конструкция гранатомета ПГ-6 (1944г.) под РПГ-6. В соответствии с пост. ГКО № 4388 от 21.10.1943г. граната РПГ-6 запущена в производство.</w:t>
      </w:r>
    </w:p>
    <w:p w14:paraId="7317A0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годы войны были созданы: заряд для 82-мм миномета из пористого пороха П45 (совместно с заводом № 40); заряды для 107-мм и 120-мм минометов из пороха ВТМ; жидкая взрывчатая смесь КД; способ бездымной стрельбы из торпедных аппаратов ПЛ.</w:t>
      </w:r>
    </w:p>
    <w:p w14:paraId="6C6D66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ВОВ при НИИ-6 создано СКБ по созданию БЧ для УР. Исследования по воздействию осколков на планер самолета.</w:t>
      </w:r>
    </w:p>
    <w:p w14:paraId="3C02BD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03.1948г. институту поручена отработка РДТТ для снаряда М-24. Для него созданы пороха НС, ФСГ.</w:t>
      </w:r>
    </w:p>
    <w:p w14:paraId="503B38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ВОВ: снаряжение ВВ для первой атомной бомбы. Работы по снарядам дня зенитной артиллерии.</w:t>
      </w:r>
    </w:p>
    <w:p w14:paraId="0AE715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1955г. начаты работы по БЧ для противоракет систем ПРО. В 1960 г. этим занимался отдел А.В. Воронова в составе 3-х лабораторий. В начале 1960-х г. создано два типа БЧ для космического истребителя спутников ИС (К.Н. Шамшев).</w:t>
      </w:r>
    </w:p>
    <w:p w14:paraId="5E3392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1950-х г. впервые в отрасли начаты исследования и ОКР в области смесевых твердых ракетных топлив, отработка технологий их переработки в заряды. Создано большое количество пороховых и твердотопливных зарядов для ствольной артиллерии и ракет, в т.ч. С-300. Были созданы и внедрены в отрасли программно-целевые методы прогнозирования развития боеприпасов и средств новой техники.</w:t>
      </w:r>
    </w:p>
    <w:p w14:paraId="7B8AFA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1949г. НИИ-6 - в ведении МСХМ, в 1956г. - ММ, в 1959г. - ГКОТ, с 1964г. - НИИХМ (химматериалов) ММ, с осени 1969г. - ЦНИИХМ (химии и механики).</w:t>
      </w:r>
    </w:p>
    <w:p w14:paraId="1DA5C1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ГКОТ № 38 от 4.03.1959г. образована отраслевая лаборатория технической безопасности. Затем вошла в состав ЦИК Б.</w:t>
      </w:r>
    </w:p>
    <w:p w14:paraId="7B0583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СМ № 578-236 от 30.05.1960 г. институту поручена разработка твердотопливного заряда для РСЗО «Град». В соответствии с пост. СМ от 7.07.1967г. велась разработка пороха РСИ-12МП для РСЗО «Град». Пост. СМ от 12.02.1971 г. задана разработка пороха РСИ-МБП для РСЗО «Град».</w:t>
      </w:r>
    </w:p>
    <w:p w14:paraId="1D82DB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 316-137 от 4.04.1961 г. институт привлечен к разработке высокоэнергетических смесевых твердых топлив для малогабаритной ракеты с РДТТ.</w:t>
      </w:r>
    </w:p>
    <w:p w14:paraId="403074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МОП № 24 от 15.04.1965г. институту поручена разработка заряда для 3-й ступени МБР «Темп- 2С». Принимал участие в программе создания ОК «Буран».</w:t>
      </w:r>
    </w:p>
    <w:p w14:paraId="1DE0D1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Институт имел филиал - бывшее СКТБ-80, который в 1965г. преобразован в самостоятельный НИИ-5. По приказу МОП от 23.11.1966г. в составе института образовано ЦНКБ путем слияния конструкторских подразделений НИИ-6 и ВНИИНСМ.</w:t>
      </w:r>
    </w:p>
    <w:p w14:paraId="54E1EA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Указом Президента РФ № 939 от 22.06.1993г. и пост. Правительства № 816 от 11.07.1994г. институту присвоен статус ГНЦ РФ. В 2004г.- ФГУП ЦНИИХМ. По Указу Президента РФ № 1009 от 4.08.2004г. вошел в число стратегических оборонных предприятий. Площадь: территории (06.1939г.)- 51,56 га. Численность персонала (06.1939г.)- 1541 чел.</w:t>
      </w:r>
    </w:p>
    <w:p w14:paraId="79FC90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(1931-33г.)- М.А. Никитин, (1933-36г.)- Зайденберг, (1936-5.01.1938г.)- Я.Л. Березницкий, (5.01.1938-41 г.)- Н.И. Иконников, (14.07.1941-04.1948г.)- А.П. Закощиков, (1948-53г.-)- Т.И. Агафин, (1956г.)-</w:t>
      </w:r>
    </w:p>
    <w:p w14:paraId="69464B7B" w14:textId="77777777" w:rsidR="00165A9C" w:rsidRPr="00640820" w:rsidRDefault="00165A9C" w:rsidP="00640820">
      <w:pPr>
        <w:tabs>
          <w:tab w:val="left" w:pos="452"/>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 А. Сухих, (1962-70 г.)- И.И. Вернидуб, (1970 г.-)- Н.Н. Афонский, (-1984-90-е)- Ю.И. Краснощеков, (-2000-02г.-&gt;</w:t>
      </w:r>
    </w:p>
    <w:p w14:paraId="48CA8E6A" w14:textId="77777777" w:rsidR="00165A9C" w:rsidRPr="00640820" w:rsidRDefault="00165A9C" w:rsidP="00640820">
      <w:pPr>
        <w:tabs>
          <w:tab w:val="left" w:pos="438"/>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С. Фокин.</w:t>
      </w:r>
      <w:r w:rsidRPr="00640820">
        <w:rPr>
          <w:rFonts w:ascii="Times New Roman" w:hAnsi="Times New Roman"/>
          <w:color w:val="000000" w:themeColor="text1"/>
          <w:sz w:val="16"/>
          <w:szCs w:val="16"/>
          <w:vertAlign w:val="superscript"/>
        </w:rPr>
        <w:t>69</w:t>
      </w:r>
    </w:p>
    <w:p w14:paraId="1DC665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директора (1970-84г.)- И.И. Вернидуб.</w:t>
      </w:r>
      <w:r w:rsidRPr="00640820">
        <w:rPr>
          <w:rFonts w:ascii="Times New Roman" w:hAnsi="Times New Roman"/>
          <w:color w:val="000000" w:themeColor="text1"/>
          <w:sz w:val="16"/>
          <w:szCs w:val="16"/>
          <w:vertAlign w:val="superscript"/>
        </w:rPr>
        <w:t>56</w:t>
      </w:r>
      <w:r w:rsidRPr="00640820">
        <w:rPr>
          <w:rFonts w:ascii="Times New Roman" w:hAnsi="Times New Roman"/>
          <w:color w:val="000000" w:themeColor="text1"/>
          <w:sz w:val="16"/>
          <w:szCs w:val="16"/>
        </w:rPr>
        <w:t xml:space="preserve"> Зам. директора: по научной части (1941 г.)- Т.И. Яковлев; по МПВО (1941 г.)- В.А. Салтыков. Помощник директора: по найму и увольнению (1.09.1938г.-)- А.И. Чернов; (1937г.)- Николин.</w:t>
      </w:r>
    </w:p>
    <w:p w14:paraId="5F2EF1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по порохам (1941 г.)- Т.И. Яковлев, Г.К. Клименко, А.К. Вострухин; по ВВ, снаряжению и пиротехнике- Е.М. Адаскин, В.З. Смоляницкий.</w:t>
      </w:r>
    </w:p>
    <w:p w14:paraId="26E163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филиалов: № 1 (1941 г.-)- А.А. Иванов, (12.1941 г.-)- Н.Ф. Ус; № 2 (1941 г.-)- И.Г. Лопук; № 3 (1941 г.-)- В.З. Смоляницкий; № 4 (1941 г.-)- А.П. Ионов.</w:t>
      </w:r>
    </w:p>
    <w:p w14:paraId="2FC143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4-го (1937г.)- Широков; баллистического (20.11.1925г.-)- В.В. Хожев; порохового- В.В. Хожев; ОТК (1941 г.)- В.Г. Раздрогин; (02.1937г.)- Вигский, (1960 г.)- А.В. Воронов. Зам. начальников отделов: порохового- В.В. Хожев; (1960 г.)- В.И. Комков.</w:t>
      </w:r>
    </w:p>
    <w:p w14:paraId="2435DF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лабораторий: № 15 (1941 г.)- Н.Ф. Жиров; № 16 (1940 г.)- С.И. Беленький; целлюлозного сырья для порохов (193 8-41 г.)- А.П. Закощиков; кумулятивных боеприпасов (</w:t>
      </w:r>
      <w:r w:rsidRPr="00640820">
        <w:rPr>
          <w:rFonts w:ascii="Times New Roman" w:hAnsi="Times New Roman"/>
          <w:color w:val="000000" w:themeColor="text1"/>
          <w:sz w:val="16"/>
          <w:szCs w:val="16"/>
          <w:lang w:val="en-US"/>
        </w:rPr>
        <w:t>BOB</w:t>
      </w:r>
      <w:r w:rsidRPr="00640820">
        <w:rPr>
          <w:rFonts w:ascii="Times New Roman" w:hAnsi="Times New Roman"/>
          <w:color w:val="000000" w:themeColor="text1"/>
          <w:sz w:val="16"/>
          <w:szCs w:val="16"/>
        </w:rPr>
        <w:t xml:space="preserve">)-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Ломова; вязких огнесмесей (ВОВ)- А.П. Ионов; пороховой- В.В. Хожев; БЧ противоракет (-1960-67г.)- В.И. Комков, (1967г.-)- Ю.Н. Лазинцев; баллиститных порохов (-1934-37г.-)- Б.П. Фомин (порох «Н»); (1941 г.)- Б.П. Жуков, Е.З. Плюшкин, (09.1945г.-)- К.И. Козорезов, (1948г.)- М.П. Дынкин (РДТТ), С.Т. Мудрак (РДТТ), (1960 г.)- Б.М. Богданов, (1960 г.)- Н.И. Попов, (1980 г.)- М.М. Растопшин (противотанковое вооружение).</w:t>
      </w:r>
    </w:p>
    <w:p w14:paraId="41CA32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Научный руководитель лаборатории баллиститных порохов (1934-13.12.1937г.)- А.С. Бакаев (репрессирован). Зам. начальника лаборатории: № 16 (06.1940-41 г.-)- И.И. Вернидуб. Гл. конструкторы: (1955г.-)- А.В. Воронов (БЧ противоракет).</w:t>
      </w:r>
    </w:p>
    <w:p w14:paraId="0501CA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мастерских: противотанковых мин (1941 г.-)- К. Хильмончик; зажигательного состава (1941 г.-)- А.Н. Рабинович; лаборатории № 5 (1941 г.)- Г.К. Клименко; тэна (1941 г.)- Т.А. Вагжанова; корпусов: УФ (1941 г.)- Я.Т. Данишевский. Начальник испытательной станции- В.В. Хожев. Зам. начальника корпуса № 18 (1941 г.)- Е.З. Плюшкин.</w:t>
      </w:r>
    </w:p>
    <w:p w14:paraId="30BBA5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бюро: СТБ (1942г.-)- И.М. Найман; зарядного- В.В. Хожев, (ВОВ)- И.Г. Лопук; СКБ (1940-е)- М.И. Воротвов.</w:t>
      </w:r>
    </w:p>
    <w:p w14:paraId="29B98C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пороха: «Н» (1930-е), НЦ-10, НФ (1938), ПС (пироксилино-селитренный, 1941), ПК (пироксилино- канифолышй, ВОВ); пороховое снаряжение БЧ и шашки двигателей для РС-132, пороховые заряды 9</w:t>
      </w:r>
      <w:r w:rsidRPr="00640820">
        <w:rPr>
          <w:rFonts w:ascii="Times New Roman" w:hAnsi="Times New Roman"/>
          <w:color w:val="000000" w:themeColor="text1"/>
          <w:sz w:val="16"/>
          <w:szCs w:val="16"/>
          <w:lang w:val="en-US"/>
        </w:rPr>
        <w:t>X</w:t>
      </w:r>
      <w:r w:rsidRPr="00640820">
        <w:rPr>
          <w:rFonts w:ascii="Times New Roman" w:hAnsi="Times New Roman"/>
          <w:color w:val="000000" w:themeColor="text1"/>
          <w:sz w:val="16"/>
          <w:szCs w:val="16"/>
        </w:rPr>
        <w:t>111, 9Х111М2 (1972) для НУР М-21-ОФ, заряды для системы динамической защиты танков; зажигательно- трассирующая пуля «ЗТ» для 7,62-мм патрона (1938); разрывные заряды для авиационных снарядов; жидкий зажигательный состав «нефос» (1940), загуститель нафтенат алюминия ОП-2 (1939); БЧ: для Р-112 (1949), для ЗУР «Даль» (1955), 4Г15 для П-15 (1955-60), 4Г48 для П-6 (1959), 4Г70 для П-25 (1961-62), для П-70 «Аметист» (1960), УРВВ, ПТУР; противотанковая кумулятивная граната РПГ-6 (1943).</w:t>
      </w:r>
    </w:p>
    <w:p w14:paraId="4E5D0F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32334E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октября 1941 года вышел приказ № 70/1с НКВ</w:t>
      </w:r>
    </w:p>
    <w:p w14:paraId="58B1851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Оставить в Москве филиал ОКБ-16 с целью организации изготовления и ремонта оружия для нужд Москвы.</w:t>
      </w:r>
    </w:p>
    <w:p w14:paraId="2D4CABC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Назначить вр. исполняющим обязанности начальника филиала ОКБ-16 Шелкова В.И (6286, 20).</w:t>
      </w:r>
    </w:p>
    <w:p w14:paraId="716625D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C68650"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391BA9C4"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54CA409" w14:textId="77777777" w:rsidR="009B002F" w:rsidRPr="00640820" w:rsidRDefault="009B002F"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22 октября </w:t>
      </w:r>
      <w:r w:rsidRPr="00640820">
        <w:rPr>
          <w:rFonts w:ascii="Times New Roman" w:hAnsi="Times New Roman"/>
          <w:color w:val="000000" w:themeColor="text1"/>
          <w:sz w:val="16"/>
          <w:szCs w:val="16"/>
        </w:rPr>
        <w:t>в 1941 году утреннее сообщение Совинформбюро:</w:t>
      </w:r>
    </w:p>
    <w:p w14:paraId="183DD353" w14:textId="77777777" w:rsidR="009B002F" w:rsidRPr="00640820" w:rsidRDefault="009B002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22 октября продолжались бои на всём фронте. Особенно напряжённые бои шли на Можайском, Малоярославецком и Калининском направлениях.</w:t>
      </w:r>
    </w:p>
    <w:p w14:paraId="16E0D9EB" w14:textId="77777777" w:rsidR="009B002F" w:rsidRPr="00640820" w:rsidRDefault="009B002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боях на Юго-Западном направлении фронта враг несёт большие потери. Только на одном участке этого фронта за пять дней боёв от ударов нашей пехоты и танковых частей враг потерял свыше 5.000 человек убитыми и ранеными. У деревни Сомовки противник оставил на поле боя 300 человек убитых, 10 разбитых танков, 13 орудий ПТО, 6 бронемашин. На другом участке фронта наша авиация, поддерживая наземные войска, за пять дней уничтожила 327 транспортных автомашин, 45 орудий, 10 мотоциклов, 340 повозок с продовольствием и боеприпасами и до 2.500 солдат.</w:t>
      </w:r>
    </w:p>
    <w:p w14:paraId="4B14B9C7" w14:textId="77777777" w:rsidR="009B002F" w:rsidRPr="00640820" w:rsidRDefault="009B002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Исключительную находчивость и отвагу проявил в борьбе против немецких танков красноармеец Трегубов. Гранатами и бутылками с горючей жидкостью в одном бою он уничтожил два фашистских танка.</w:t>
      </w:r>
    </w:p>
    <w:p w14:paraId="7527E3FA" w14:textId="77777777" w:rsidR="009B002F" w:rsidRPr="00640820" w:rsidRDefault="009B002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Антигерманские выступления и акты саботажа в Бельгии приняли массовый характер. За три месяца в Бельгии зарегистрировано 125 случаев крушений поездов с германскими военными материалами. Отмечено 405 случаев порчи телеграфных и телефонных проводов. Особенно широко распространён саботаж на предприятиях, выполняющих заказы германской армии. Близ Антверпена на днях были выведены из строя три завода, обслуживающих нужды оккупационных войск. В Боринаже горняки затопили одну крупную шахту и повредили электростанцию. Антигерманские действия бельгийских патриотов сильно встревожили оккупантов. Гестапо производит массовые обыски и облавы по всей стране, особенно в угольных районах. За последнюю неделю в Антверпене и Боринаже арестовано свыше 600 человек. Бельгийские патриоты отвечают на репрессии гестапо новыми антигерманскими выступлениями, убийствами германских солдат и офицеров. 26 октября в Антверпене состоится суд над 12 бельгийскими рабочими, обвиняемыми в убийстве двух германских офицеров.» (14807).</w:t>
      </w:r>
    </w:p>
    <w:p w14:paraId="1661E21D" w14:textId="77777777" w:rsidR="009B002F" w:rsidRPr="00640820" w:rsidRDefault="009B002F" w:rsidP="00640820">
      <w:pPr>
        <w:spacing w:after="0" w:line="240" w:lineRule="auto"/>
        <w:jc w:val="both"/>
        <w:rPr>
          <w:rFonts w:ascii="Times New Roman" w:hAnsi="Times New Roman"/>
          <w:color w:val="000000" w:themeColor="text1"/>
          <w:sz w:val="16"/>
          <w:szCs w:val="16"/>
        </w:rPr>
      </w:pPr>
    </w:p>
    <w:p w14:paraId="442C226A" w14:textId="77777777" w:rsidR="009B002F" w:rsidRPr="00640820" w:rsidRDefault="009B002F"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22 октября </w:t>
      </w:r>
      <w:r w:rsidRPr="00640820">
        <w:rPr>
          <w:rFonts w:ascii="Times New Roman" w:hAnsi="Times New Roman"/>
          <w:color w:val="000000" w:themeColor="text1"/>
          <w:sz w:val="16"/>
          <w:szCs w:val="16"/>
        </w:rPr>
        <w:t>в 1941 году вечернее сообщение Совинформбюро:</w:t>
      </w:r>
    </w:p>
    <w:p w14:paraId="6C3118F8" w14:textId="77777777" w:rsidR="009B002F" w:rsidRPr="00640820" w:rsidRDefault="009B002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22 октября наши войска вели бои на всем фронте.</w:t>
      </w:r>
    </w:p>
    <w:p w14:paraId="3297C17B" w14:textId="77777777" w:rsidR="009B002F" w:rsidRPr="00640820" w:rsidRDefault="009B002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упорных многодневных боёв, в ходе которых противник потерял около 35 тысяч солдат и офицеров убитыми и ранеными, наши войска оставили город Таганрог.</w:t>
      </w:r>
    </w:p>
    <w:p w14:paraId="02E64801" w14:textId="77777777" w:rsidR="009B002F" w:rsidRPr="00640820" w:rsidRDefault="009B002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21 октября уничтожено 34 немецких самолёта. Наши потери — 8 самолётов. 21 октября под Москвой сбито 17 самолётов и 22 октября — 14 самолётов противника.</w:t>
      </w:r>
    </w:p>
    <w:p w14:paraId="57650A4E" w14:textId="77777777" w:rsidR="009B002F" w:rsidRPr="00640820" w:rsidRDefault="009B002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авиачасти, действующие на Западном фронте, за последние дни нанесли ряд серьёзных ударов по аэродромам противника. Только с 11 по 18 октября, по неполным данным, на аэродромах противника уничтожено около 500 немецких самолётов.</w:t>
      </w:r>
    </w:p>
    <w:p w14:paraId="5A49382A" w14:textId="77777777" w:rsidR="009B002F" w:rsidRPr="00640820" w:rsidRDefault="009B002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Западном фронте одна наша авиачасть в течение 21 октября уничтожила 80 немецких танков, 180 автомашин с пехотой и грузом и два батальона вражеской пехоты.</w:t>
      </w:r>
    </w:p>
    <w:p w14:paraId="45FC8E55" w14:textId="77777777" w:rsidR="009B002F" w:rsidRPr="00640820" w:rsidRDefault="009B002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Письма, дневники и показания пленных немецких солдат и офицеров свидетельствуют о росте среди солдат упадочнических настроений. Ниже мы приводим выдержки из дневника пленного ефрейтора 75 немецкого артполка Гирхарда Цитрона: «От воздушной бомбардировки русских самолётов нельзя опомниться: беспрестанно надо укрываться. Мы все устали, как собаки: даже ночью никак нельзя уснуть. Русские оказывают чудовищное сопротивление. Настоящего фронта почти нет. Со всех сторон стреляют. Мы должны адски следить за врагом». Проходит ещё несколько недель. Немецко-фашистские войска несут огромные потери, и гитлеровцы, как свидетельствует Цитрон, пускаются на всевозможные ухищрения, чтобы поднять боевой дух солдат. «Вчера вечером для нас состоялось полевое богослужение», — записывает Цитрон 7 августа и излагает содержание проповеди полкового пастора, пытавшегося убедить солдат, что они «избраны богом на этот тяжёлый путь и должны, если это будет нужно, дойти до горького конца». Наступает дождливая, холодная осень. 29 сентября Цитрон записывает в cвой дневник: «Погода очень неприятная; мы мёрзнем, как паршивые щенята. Что же будет, когда придёт зима?»</w:t>
      </w:r>
    </w:p>
    <w:p w14:paraId="04ED1C03" w14:textId="77777777" w:rsidR="009B002F" w:rsidRPr="00640820" w:rsidRDefault="009B002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большим подъёмом работают машинно-тракторные станции Читинской области. 13 из них уже выполнили годовой план тракторных работ. Агинская, Могойтуйская МТС выполнили по полтора годовых задания. Средняя выработка на трактор в Агинской МТС превышает 500 гектаров, а в передовой бригаде Сандона Жалсанова средняя выработка на трактор достигает 700 гектаров. Потихинская МТС на площади в 500 гектаров произвела рубку таёжного леса, раскорчевала пни, осушила топкие места, подняла 600 гектаров целины. Небольшой коллектив МТС превратил полторы тысячи гектаров глухой непроходимой тайги в культурное поле. Во всех машинно-тракторных станциях самоотверженно работают женские тракторные бригады. Бригада Степаниды Полоховой в Петровской МТС заняла первое место на уборке и вспашке зяби. Трактористки этой бригады Васса Трофимова, Вера Федурина, Ефросинья Семёнова выполняют по две нормы в день. Передовые МТС сэкономили много горючего; одна только Кабухаевская МТС сэкономила 20 тонн, Агинская — 17 и т. д.» (14807).</w:t>
      </w:r>
    </w:p>
    <w:p w14:paraId="17585D5C" w14:textId="77777777" w:rsidR="009B002F" w:rsidRPr="00640820" w:rsidRDefault="009B002F" w:rsidP="00640820">
      <w:pPr>
        <w:spacing w:after="0" w:line="240" w:lineRule="auto"/>
        <w:jc w:val="both"/>
        <w:rPr>
          <w:rFonts w:ascii="Times New Roman" w:hAnsi="Times New Roman"/>
          <w:color w:val="000000" w:themeColor="text1"/>
          <w:sz w:val="16"/>
          <w:szCs w:val="16"/>
        </w:rPr>
      </w:pPr>
    </w:p>
    <w:p w14:paraId="340243BA" w14:textId="77777777" w:rsidR="009B002F" w:rsidRPr="00640820" w:rsidRDefault="009B002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октября 1941 г. в Одессе был взорван радиофугасом дом № 40 на Марзлиевской улице (позже ул. Энгельса), где разместилась германская комендатура (15117).</w:t>
      </w:r>
    </w:p>
    <w:p w14:paraId="55ECFDFA" w14:textId="77777777" w:rsidR="009B002F" w:rsidRPr="00640820" w:rsidRDefault="009B002F" w:rsidP="00640820">
      <w:pPr>
        <w:spacing w:after="0" w:line="240" w:lineRule="auto"/>
        <w:jc w:val="both"/>
        <w:rPr>
          <w:rFonts w:ascii="Times New Roman" w:hAnsi="Times New Roman"/>
          <w:color w:val="000000" w:themeColor="text1"/>
          <w:sz w:val="16"/>
          <w:szCs w:val="16"/>
        </w:rPr>
      </w:pPr>
    </w:p>
    <w:p w14:paraId="7FD83DA1" w14:textId="77777777" w:rsidR="009B002F" w:rsidRPr="00640820" w:rsidRDefault="009B002F"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22 октября </w:t>
      </w:r>
      <w:r w:rsidRPr="00640820">
        <w:rPr>
          <w:rFonts w:ascii="Times New Roman" w:hAnsi="Times New Roman"/>
          <w:color w:val="000000" w:themeColor="text1"/>
          <w:sz w:val="16"/>
          <w:szCs w:val="16"/>
        </w:rPr>
        <w:t>в 1941 году немецкие войска заняли Фатеж и Чекалин (14807).</w:t>
      </w:r>
    </w:p>
    <w:p w14:paraId="25C13337" w14:textId="77777777" w:rsidR="009B002F" w:rsidRPr="00640820" w:rsidRDefault="009B002F" w:rsidP="00640820">
      <w:pPr>
        <w:spacing w:after="0" w:line="240" w:lineRule="auto"/>
        <w:jc w:val="both"/>
        <w:rPr>
          <w:rFonts w:ascii="Times New Roman" w:hAnsi="Times New Roman"/>
          <w:color w:val="000000" w:themeColor="text1"/>
          <w:sz w:val="16"/>
          <w:szCs w:val="16"/>
        </w:rPr>
      </w:pPr>
    </w:p>
    <w:p w14:paraId="7FD683D7" w14:textId="77777777" w:rsidR="009B002F" w:rsidRPr="00640820" w:rsidRDefault="009B002F"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22 октября </w:t>
      </w:r>
      <w:r w:rsidRPr="00640820">
        <w:rPr>
          <w:rFonts w:ascii="Times New Roman" w:hAnsi="Times New Roman"/>
          <w:color w:val="000000" w:themeColor="text1"/>
          <w:sz w:val="16"/>
          <w:szCs w:val="16"/>
        </w:rPr>
        <w:t>в 1941 году советские войска оставили города Большая Вишера, Макеевка. Завершилась оборона Моонзундских островов (14807).</w:t>
      </w:r>
    </w:p>
    <w:p w14:paraId="638CDE84" w14:textId="77777777" w:rsidR="009B002F" w:rsidRPr="00640820" w:rsidRDefault="009B002F" w:rsidP="00640820">
      <w:pPr>
        <w:spacing w:after="0" w:line="240" w:lineRule="auto"/>
        <w:jc w:val="both"/>
        <w:rPr>
          <w:rFonts w:ascii="Times New Roman" w:hAnsi="Times New Roman"/>
          <w:color w:val="000000" w:themeColor="text1"/>
          <w:sz w:val="16"/>
          <w:szCs w:val="16"/>
        </w:rPr>
      </w:pPr>
    </w:p>
    <w:p w14:paraId="2E416145" w14:textId="77777777" w:rsidR="006A29EC" w:rsidRPr="00640820" w:rsidRDefault="006A29EC" w:rsidP="00640820">
      <w:pPr>
        <w:pStyle w:val="ae"/>
        <w:spacing w:before="0" w:after="0"/>
        <w:jc w:val="both"/>
        <w:textAlignment w:val="baseline"/>
        <w:rPr>
          <w:color w:val="000000" w:themeColor="text1"/>
          <w:sz w:val="16"/>
          <w:szCs w:val="16"/>
        </w:rPr>
      </w:pPr>
      <w:r w:rsidRPr="00640820">
        <w:rPr>
          <w:color w:val="000000" w:themeColor="text1"/>
          <w:sz w:val="16"/>
          <w:szCs w:val="16"/>
        </w:rPr>
        <w:t>По состоянию на 22 октября 1941 в составе 11, 60 и 61-й авиадивизий на Брянском фронте насчитывался всего 61 самолет, в том числе 17 Пе-2, 12 Як-1, 11 МиГ-3, 11 И-16 и 6 СБ. В составе 11 ад имелось всего четыре штурмовика Ил-2. Еще 14 машин насчитывалось в 66-й разведывательной авиаэскадрилье (6 Р-5 и 8 У-2)[25]. Понятно, что такими скромными силами выполнить поставленные масштабные задачи было невозможно.</w:t>
      </w:r>
    </w:p>
    <w:p w14:paraId="1D3D5C73" w14:textId="77777777" w:rsidR="006A29EC" w:rsidRPr="00640820" w:rsidRDefault="006A29EC" w:rsidP="00640820">
      <w:pPr>
        <w:pStyle w:val="ae"/>
        <w:spacing w:before="0" w:after="0"/>
        <w:jc w:val="both"/>
        <w:textAlignment w:val="baseline"/>
        <w:rPr>
          <w:iCs/>
          <w:color w:val="000000" w:themeColor="text1"/>
          <w:sz w:val="16"/>
          <w:szCs w:val="16"/>
          <w:bdr w:val="none" w:sz="0" w:space="0" w:color="auto" w:frame="1"/>
        </w:rPr>
      </w:pPr>
      <w:r w:rsidRPr="00640820">
        <w:rPr>
          <w:iCs/>
          <w:color w:val="000000" w:themeColor="text1"/>
          <w:sz w:val="16"/>
          <w:szCs w:val="16"/>
          <w:bdr w:val="none" w:sz="0" w:space="0" w:color="auto" w:frame="1"/>
        </w:rPr>
        <w:t>«Максимально используя всю исправную материальную часть и малейшее улучшение погоды, ВВС фронта наносили врагу чувствительные удары, препятствуя его продвижению и наступлению на Тулу, — сообщалось в отчете о боевой деятельности ВВС Брянского фронта за период с 22.10 по 21.11.41 г.  — С начала наступления фашистов на Тулу на ВВС фронта была возложена задача не допустить их продвижения в течение 2–3 дней к южной окраине Тулы. Части ВВС фронта в течение 12 дней успешно выполняли поставленную задачу, нанося мощные удары по мотопехоте противника на участке Тула, Плавск, Орел. Летно-технический персонал состава ВВС фронта, несмотря на трудные, порой тяжелые условия — дожди, а в дальнейшем холода, не снизили качества боевой работы. Все вылеты были успешными (за исключением небольшого количества возвращавшихся по метеоусловиям)»[26].</w:t>
      </w:r>
    </w:p>
    <w:p w14:paraId="56106D16" w14:textId="77777777" w:rsidR="006A29EC" w:rsidRPr="00640820" w:rsidRDefault="006A29EC" w:rsidP="00640820">
      <w:pPr>
        <w:pStyle w:val="ae"/>
        <w:spacing w:before="0" w:after="0"/>
        <w:jc w:val="both"/>
        <w:textAlignment w:val="baseline"/>
        <w:rPr>
          <w:color w:val="000000" w:themeColor="text1"/>
          <w:sz w:val="16"/>
          <w:szCs w:val="16"/>
        </w:rPr>
      </w:pPr>
      <w:r w:rsidRPr="00640820">
        <w:rPr>
          <w:color w:val="000000" w:themeColor="text1"/>
          <w:sz w:val="16"/>
          <w:szCs w:val="16"/>
        </w:rPr>
        <w:t>В середине ноября немецкие 112-я и 167-я пехотные дивизии начали наступление на станции Узловая и Волово. Штурмовики и истребители получили приказ, используя все имевшиеся в наличии машины, наносить беспрерывные удары по наступающим войскам и их тыловым коммуникациям. Кроме того, периодически наносились штурмовые удары по немецким аэродромам.</w:t>
      </w:r>
    </w:p>
    <w:p w14:paraId="4F35BF81" w14:textId="77777777" w:rsidR="006A29EC" w:rsidRPr="00640820" w:rsidRDefault="006A29EC" w:rsidP="00640820">
      <w:pPr>
        <w:pStyle w:val="ae"/>
        <w:spacing w:before="0" w:after="0"/>
        <w:jc w:val="both"/>
        <w:textAlignment w:val="baseline"/>
        <w:rPr>
          <w:color w:val="000000" w:themeColor="text1"/>
          <w:sz w:val="16"/>
          <w:szCs w:val="16"/>
        </w:rPr>
      </w:pPr>
      <w:r w:rsidRPr="00640820">
        <w:rPr>
          <w:color w:val="000000" w:themeColor="text1"/>
          <w:sz w:val="16"/>
          <w:szCs w:val="16"/>
        </w:rPr>
        <w:t>Далее в отчете говорилось:</w:t>
      </w:r>
    </w:p>
    <w:p w14:paraId="5C00A1E3" w14:textId="77777777" w:rsidR="006A29EC" w:rsidRPr="00640820" w:rsidRDefault="006A29EC" w:rsidP="00640820">
      <w:pPr>
        <w:pStyle w:val="ae"/>
        <w:spacing w:before="0" w:after="0"/>
        <w:jc w:val="both"/>
        <w:textAlignment w:val="baseline"/>
        <w:rPr>
          <w:iCs/>
          <w:color w:val="000000" w:themeColor="text1"/>
          <w:sz w:val="16"/>
          <w:szCs w:val="16"/>
          <w:bdr w:val="none" w:sz="0" w:space="0" w:color="auto" w:frame="1"/>
        </w:rPr>
      </w:pPr>
      <w:r w:rsidRPr="00640820">
        <w:rPr>
          <w:iCs/>
          <w:color w:val="000000" w:themeColor="text1"/>
          <w:sz w:val="16"/>
          <w:szCs w:val="16"/>
          <w:bdr w:val="none" w:sz="0" w:space="0" w:color="auto" w:frame="1"/>
        </w:rPr>
        <w:t>«За отчетный период ВВС фронта произвели 1249 самолето-вылетов, из них ночью 60 самолето-вылетов.</w:t>
      </w:r>
    </w:p>
    <w:p w14:paraId="1F4F5C21" w14:textId="77777777" w:rsidR="006A29EC" w:rsidRPr="00640820" w:rsidRDefault="006A29EC" w:rsidP="00640820">
      <w:pPr>
        <w:pStyle w:val="ae"/>
        <w:spacing w:before="0" w:after="0"/>
        <w:jc w:val="both"/>
        <w:textAlignment w:val="baseline"/>
        <w:rPr>
          <w:iCs/>
          <w:color w:val="000000" w:themeColor="text1"/>
          <w:sz w:val="16"/>
          <w:szCs w:val="16"/>
          <w:bdr w:val="none" w:sz="0" w:space="0" w:color="auto" w:frame="1"/>
        </w:rPr>
      </w:pPr>
      <w:r w:rsidRPr="00640820">
        <w:rPr>
          <w:iCs/>
          <w:color w:val="000000" w:themeColor="text1"/>
          <w:sz w:val="16"/>
          <w:szCs w:val="16"/>
          <w:bdr w:val="none" w:sz="0" w:space="0" w:color="auto" w:frame="1"/>
        </w:rPr>
        <w:t>Бомбометание войск — 156</w:t>
      </w:r>
    </w:p>
    <w:p w14:paraId="428E2F96" w14:textId="77777777" w:rsidR="006A29EC" w:rsidRPr="00640820" w:rsidRDefault="006A29EC" w:rsidP="00640820">
      <w:pPr>
        <w:pStyle w:val="ae"/>
        <w:spacing w:before="0" w:after="0"/>
        <w:jc w:val="both"/>
        <w:textAlignment w:val="baseline"/>
        <w:rPr>
          <w:iCs/>
          <w:color w:val="000000" w:themeColor="text1"/>
          <w:sz w:val="16"/>
          <w:szCs w:val="16"/>
          <w:bdr w:val="none" w:sz="0" w:space="0" w:color="auto" w:frame="1"/>
        </w:rPr>
      </w:pPr>
      <w:r w:rsidRPr="00640820">
        <w:rPr>
          <w:iCs/>
          <w:color w:val="000000" w:themeColor="text1"/>
          <w:sz w:val="16"/>
          <w:szCs w:val="16"/>
          <w:bdr w:val="none" w:sz="0" w:space="0" w:color="auto" w:frame="1"/>
        </w:rPr>
        <w:t>Бомбометание ж. д. — 3</w:t>
      </w:r>
    </w:p>
    <w:p w14:paraId="63C45FE9" w14:textId="77777777" w:rsidR="006A29EC" w:rsidRPr="00640820" w:rsidRDefault="006A29EC" w:rsidP="00640820">
      <w:pPr>
        <w:pStyle w:val="ae"/>
        <w:spacing w:before="0" w:after="0"/>
        <w:jc w:val="both"/>
        <w:textAlignment w:val="baseline"/>
        <w:rPr>
          <w:iCs/>
          <w:color w:val="000000" w:themeColor="text1"/>
          <w:sz w:val="16"/>
          <w:szCs w:val="16"/>
          <w:bdr w:val="none" w:sz="0" w:space="0" w:color="auto" w:frame="1"/>
        </w:rPr>
      </w:pPr>
      <w:r w:rsidRPr="00640820">
        <w:rPr>
          <w:iCs/>
          <w:color w:val="000000" w:themeColor="text1"/>
          <w:sz w:val="16"/>
          <w:szCs w:val="16"/>
          <w:bdr w:val="none" w:sz="0" w:space="0" w:color="auto" w:frame="1"/>
        </w:rPr>
        <w:t>Бомбометание пунктов — 68</w:t>
      </w:r>
    </w:p>
    <w:p w14:paraId="7FA0665A" w14:textId="77777777" w:rsidR="006A29EC" w:rsidRPr="00640820" w:rsidRDefault="006A29EC" w:rsidP="00640820">
      <w:pPr>
        <w:pStyle w:val="ae"/>
        <w:spacing w:before="0" w:after="0"/>
        <w:jc w:val="both"/>
        <w:textAlignment w:val="baseline"/>
        <w:rPr>
          <w:iCs/>
          <w:color w:val="000000" w:themeColor="text1"/>
          <w:sz w:val="16"/>
          <w:szCs w:val="16"/>
          <w:bdr w:val="none" w:sz="0" w:space="0" w:color="auto" w:frame="1"/>
        </w:rPr>
      </w:pPr>
      <w:r w:rsidRPr="00640820">
        <w:rPr>
          <w:iCs/>
          <w:color w:val="000000" w:themeColor="text1"/>
          <w:sz w:val="16"/>
          <w:szCs w:val="16"/>
          <w:bdr w:val="none" w:sz="0" w:space="0" w:color="auto" w:frame="1"/>
        </w:rPr>
        <w:t>Бомбометание аэродромов — 22</w:t>
      </w:r>
    </w:p>
    <w:p w14:paraId="47837C70" w14:textId="77777777" w:rsidR="006A29EC" w:rsidRPr="00640820" w:rsidRDefault="006A29EC" w:rsidP="00640820">
      <w:pPr>
        <w:pStyle w:val="ae"/>
        <w:spacing w:before="0" w:after="0"/>
        <w:jc w:val="both"/>
        <w:textAlignment w:val="baseline"/>
        <w:rPr>
          <w:iCs/>
          <w:color w:val="000000" w:themeColor="text1"/>
          <w:sz w:val="16"/>
          <w:szCs w:val="16"/>
          <w:bdr w:val="none" w:sz="0" w:space="0" w:color="auto" w:frame="1"/>
        </w:rPr>
      </w:pPr>
      <w:r w:rsidRPr="00640820">
        <w:rPr>
          <w:iCs/>
          <w:color w:val="000000" w:themeColor="text1"/>
          <w:sz w:val="16"/>
          <w:szCs w:val="16"/>
          <w:bdr w:val="none" w:sz="0" w:space="0" w:color="auto" w:frame="1"/>
        </w:rPr>
        <w:t>Бомбометание ОП артиллерии — 13</w:t>
      </w:r>
    </w:p>
    <w:p w14:paraId="1A49A457" w14:textId="77777777" w:rsidR="006A29EC" w:rsidRPr="00640820" w:rsidRDefault="006A29EC" w:rsidP="00640820">
      <w:pPr>
        <w:pStyle w:val="ae"/>
        <w:spacing w:before="0" w:after="0"/>
        <w:jc w:val="both"/>
        <w:textAlignment w:val="baseline"/>
        <w:rPr>
          <w:iCs/>
          <w:color w:val="000000" w:themeColor="text1"/>
          <w:sz w:val="16"/>
          <w:szCs w:val="16"/>
          <w:bdr w:val="none" w:sz="0" w:space="0" w:color="auto" w:frame="1"/>
        </w:rPr>
      </w:pPr>
      <w:r w:rsidRPr="00640820">
        <w:rPr>
          <w:iCs/>
          <w:color w:val="000000" w:themeColor="text1"/>
          <w:sz w:val="16"/>
          <w:szCs w:val="16"/>
          <w:bdr w:val="none" w:sz="0" w:space="0" w:color="auto" w:frame="1"/>
        </w:rPr>
        <w:t>Штурмовые действия — 509</w:t>
      </w:r>
    </w:p>
    <w:p w14:paraId="1632544E" w14:textId="77777777" w:rsidR="006A29EC" w:rsidRPr="00640820" w:rsidRDefault="006A29EC" w:rsidP="00640820">
      <w:pPr>
        <w:pStyle w:val="ae"/>
        <w:spacing w:before="0" w:after="0"/>
        <w:jc w:val="both"/>
        <w:textAlignment w:val="baseline"/>
        <w:rPr>
          <w:iCs/>
          <w:color w:val="000000" w:themeColor="text1"/>
          <w:sz w:val="16"/>
          <w:szCs w:val="16"/>
          <w:bdr w:val="none" w:sz="0" w:space="0" w:color="auto" w:frame="1"/>
        </w:rPr>
      </w:pPr>
      <w:r w:rsidRPr="00640820">
        <w:rPr>
          <w:iCs/>
          <w:color w:val="000000" w:themeColor="text1"/>
          <w:sz w:val="16"/>
          <w:szCs w:val="16"/>
          <w:bdr w:val="none" w:sz="0" w:space="0" w:color="auto" w:frame="1"/>
        </w:rPr>
        <w:t>Разведка — 180</w:t>
      </w:r>
    </w:p>
    <w:p w14:paraId="23D8FEBE" w14:textId="77777777" w:rsidR="006A29EC" w:rsidRPr="00640820" w:rsidRDefault="006A29EC" w:rsidP="00640820">
      <w:pPr>
        <w:pStyle w:val="ae"/>
        <w:spacing w:before="0" w:after="0"/>
        <w:jc w:val="both"/>
        <w:textAlignment w:val="baseline"/>
        <w:rPr>
          <w:iCs/>
          <w:color w:val="000000" w:themeColor="text1"/>
          <w:sz w:val="16"/>
          <w:szCs w:val="16"/>
          <w:bdr w:val="none" w:sz="0" w:space="0" w:color="auto" w:frame="1"/>
        </w:rPr>
      </w:pPr>
      <w:r w:rsidRPr="00640820">
        <w:rPr>
          <w:iCs/>
          <w:color w:val="000000" w:themeColor="text1"/>
          <w:sz w:val="16"/>
          <w:szCs w:val="16"/>
          <w:bdr w:val="none" w:sz="0" w:space="0" w:color="auto" w:frame="1"/>
        </w:rPr>
        <w:t>Прикрытие — 66</w:t>
      </w:r>
    </w:p>
    <w:p w14:paraId="56B180A9" w14:textId="77777777" w:rsidR="006A29EC" w:rsidRPr="00640820" w:rsidRDefault="006A29EC" w:rsidP="00640820">
      <w:pPr>
        <w:pStyle w:val="ae"/>
        <w:spacing w:before="0" w:after="0"/>
        <w:jc w:val="both"/>
        <w:textAlignment w:val="baseline"/>
        <w:rPr>
          <w:iCs/>
          <w:color w:val="000000" w:themeColor="text1"/>
          <w:sz w:val="16"/>
          <w:szCs w:val="16"/>
          <w:bdr w:val="none" w:sz="0" w:space="0" w:color="auto" w:frame="1"/>
        </w:rPr>
      </w:pPr>
      <w:r w:rsidRPr="00640820">
        <w:rPr>
          <w:iCs/>
          <w:color w:val="000000" w:themeColor="text1"/>
          <w:sz w:val="16"/>
          <w:szCs w:val="16"/>
          <w:bdr w:val="none" w:sz="0" w:space="0" w:color="auto" w:frame="1"/>
        </w:rPr>
        <w:lastRenderedPageBreak/>
        <w:t>Сопровождение — 57</w:t>
      </w:r>
    </w:p>
    <w:p w14:paraId="72A1B1BA" w14:textId="77777777" w:rsidR="006A29EC" w:rsidRPr="00640820" w:rsidRDefault="006A29EC" w:rsidP="00640820">
      <w:pPr>
        <w:pStyle w:val="ae"/>
        <w:spacing w:before="0" w:after="0"/>
        <w:jc w:val="both"/>
        <w:textAlignment w:val="baseline"/>
        <w:rPr>
          <w:iCs/>
          <w:color w:val="000000" w:themeColor="text1"/>
          <w:sz w:val="16"/>
          <w:szCs w:val="16"/>
          <w:bdr w:val="none" w:sz="0" w:space="0" w:color="auto" w:frame="1"/>
        </w:rPr>
      </w:pPr>
      <w:r w:rsidRPr="00640820">
        <w:rPr>
          <w:iCs/>
          <w:color w:val="000000" w:themeColor="text1"/>
          <w:sz w:val="16"/>
          <w:szCs w:val="16"/>
          <w:bdr w:val="none" w:sz="0" w:space="0" w:color="auto" w:frame="1"/>
        </w:rPr>
        <w:t>За этот период ВВС фронта уничтожено самолетов противника на его аэродромах 13</w:t>
      </w:r>
    </w:p>
    <w:p w14:paraId="402C20B6" w14:textId="77777777" w:rsidR="006A29EC" w:rsidRPr="00640820" w:rsidRDefault="006A29EC" w:rsidP="00640820">
      <w:pPr>
        <w:pStyle w:val="ae"/>
        <w:spacing w:before="0" w:after="0"/>
        <w:jc w:val="both"/>
        <w:textAlignment w:val="baseline"/>
        <w:rPr>
          <w:iCs/>
          <w:color w:val="000000" w:themeColor="text1"/>
          <w:sz w:val="16"/>
          <w:szCs w:val="16"/>
          <w:bdr w:val="none" w:sz="0" w:space="0" w:color="auto" w:frame="1"/>
        </w:rPr>
      </w:pPr>
      <w:r w:rsidRPr="00640820">
        <w:rPr>
          <w:iCs/>
          <w:color w:val="000000" w:themeColor="text1"/>
          <w:sz w:val="16"/>
          <w:szCs w:val="16"/>
          <w:bdr w:val="none" w:sz="0" w:space="0" w:color="auto" w:frame="1"/>
        </w:rPr>
        <w:t>Уничтожено танков –102</w:t>
      </w:r>
    </w:p>
    <w:p w14:paraId="77EFAE92" w14:textId="77777777" w:rsidR="006A29EC" w:rsidRPr="00640820" w:rsidRDefault="006A29EC" w:rsidP="00640820">
      <w:pPr>
        <w:pStyle w:val="ae"/>
        <w:spacing w:before="0" w:after="0"/>
        <w:jc w:val="both"/>
        <w:textAlignment w:val="baseline"/>
        <w:rPr>
          <w:iCs/>
          <w:color w:val="000000" w:themeColor="text1"/>
          <w:sz w:val="16"/>
          <w:szCs w:val="16"/>
          <w:bdr w:val="none" w:sz="0" w:space="0" w:color="auto" w:frame="1"/>
        </w:rPr>
      </w:pPr>
      <w:r w:rsidRPr="00640820">
        <w:rPr>
          <w:iCs/>
          <w:color w:val="000000" w:themeColor="text1"/>
          <w:sz w:val="16"/>
          <w:szCs w:val="16"/>
          <w:bdr w:val="none" w:sz="0" w:space="0" w:color="auto" w:frame="1"/>
        </w:rPr>
        <w:t>Танкеток — 1</w:t>
      </w:r>
    </w:p>
    <w:p w14:paraId="410909AE" w14:textId="77777777" w:rsidR="006A29EC" w:rsidRPr="00640820" w:rsidRDefault="006A29EC" w:rsidP="00640820">
      <w:pPr>
        <w:pStyle w:val="ae"/>
        <w:spacing w:before="0" w:after="0"/>
        <w:jc w:val="both"/>
        <w:textAlignment w:val="baseline"/>
        <w:rPr>
          <w:iCs/>
          <w:color w:val="000000" w:themeColor="text1"/>
          <w:sz w:val="16"/>
          <w:szCs w:val="16"/>
          <w:bdr w:val="none" w:sz="0" w:space="0" w:color="auto" w:frame="1"/>
        </w:rPr>
      </w:pPr>
      <w:r w:rsidRPr="00640820">
        <w:rPr>
          <w:iCs/>
          <w:color w:val="000000" w:themeColor="text1"/>
          <w:sz w:val="16"/>
          <w:szCs w:val="16"/>
          <w:bdr w:val="none" w:sz="0" w:space="0" w:color="auto" w:frame="1"/>
        </w:rPr>
        <w:t>Автомашин разных типов грузоподъемности — 860</w:t>
      </w:r>
    </w:p>
    <w:p w14:paraId="12C52EC2" w14:textId="77777777" w:rsidR="006A29EC" w:rsidRPr="00640820" w:rsidRDefault="006A29EC" w:rsidP="00640820">
      <w:pPr>
        <w:pStyle w:val="ae"/>
        <w:spacing w:before="0" w:after="0"/>
        <w:jc w:val="both"/>
        <w:textAlignment w:val="baseline"/>
        <w:rPr>
          <w:iCs/>
          <w:color w:val="000000" w:themeColor="text1"/>
          <w:sz w:val="16"/>
          <w:szCs w:val="16"/>
          <w:bdr w:val="none" w:sz="0" w:space="0" w:color="auto" w:frame="1"/>
        </w:rPr>
      </w:pPr>
      <w:r w:rsidRPr="00640820">
        <w:rPr>
          <w:iCs/>
          <w:color w:val="000000" w:themeColor="text1"/>
          <w:sz w:val="16"/>
          <w:szCs w:val="16"/>
          <w:bdr w:val="none" w:sz="0" w:space="0" w:color="auto" w:frame="1"/>
        </w:rPr>
        <w:t>Бронемашин — 5</w:t>
      </w:r>
    </w:p>
    <w:p w14:paraId="319F7416" w14:textId="77777777" w:rsidR="006A29EC" w:rsidRPr="00640820" w:rsidRDefault="006A29EC" w:rsidP="00640820">
      <w:pPr>
        <w:pStyle w:val="ae"/>
        <w:spacing w:before="0" w:after="0"/>
        <w:jc w:val="both"/>
        <w:textAlignment w:val="baseline"/>
        <w:rPr>
          <w:iCs/>
          <w:color w:val="000000" w:themeColor="text1"/>
          <w:sz w:val="16"/>
          <w:szCs w:val="16"/>
          <w:bdr w:val="none" w:sz="0" w:space="0" w:color="auto" w:frame="1"/>
        </w:rPr>
      </w:pPr>
      <w:r w:rsidRPr="00640820">
        <w:rPr>
          <w:iCs/>
          <w:color w:val="000000" w:themeColor="text1"/>
          <w:sz w:val="16"/>
          <w:szCs w:val="16"/>
          <w:bdr w:val="none" w:sz="0" w:space="0" w:color="auto" w:frame="1"/>
        </w:rPr>
        <w:t>Автоцистерн с горючим — 14</w:t>
      </w:r>
    </w:p>
    <w:p w14:paraId="4D353EE4" w14:textId="77777777" w:rsidR="006A29EC" w:rsidRPr="00640820" w:rsidRDefault="006A29EC" w:rsidP="00640820">
      <w:pPr>
        <w:pStyle w:val="ae"/>
        <w:spacing w:before="0" w:after="0"/>
        <w:jc w:val="both"/>
        <w:textAlignment w:val="baseline"/>
        <w:rPr>
          <w:iCs/>
          <w:color w:val="000000" w:themeColor="text1"/>
          <w:sz w:val="16"/>
          <w:szCs w:val="16"/>
          <w:bdr w:val="none" w:sz="0" w:space="0" w:color="auto" w:frame="1"/>
        </w:rPr>
      </w:pPr>
      <w:r w:rsidRPr="00640820">
        <w:rPr>
          <w:iCs/>
          <w:color w:val="000000" w:themeColor="text1"/>
          <w:sz w:val="16"/>
          <w:szCs w:val="16"/>
          <w:bdr w:val="none" w:sz="0" w:space="0" w:color="auto" w:frame="1"/>
        </w:rPr>
        <w:t>Артиллерийских орудий — 9</w:t>
      </w:r>
    </w:p>
    <w:p w14:paraId="0EBA94F0" w14:textId="77777777" w:rsidR="006A29EC" w:rsidRPr="00640820" w:rsidRDefault="006A29EC" w:rsidP="00640820">
      <w:pPr>
        <w:pStyle w:val="ae"/>
        <w:spacing w:before="0" w:after="0"/>
        <w:jc w:val="both"/>
        <w:textAlignment w:val="baseline"/>
        <w:rPr>
          <w:iCs/>
          <w:color w:val="000000" w:themeColor="text1"/>
          <w:sz w:val="16"/>
          <w:szCs w:val="16"/>
          <w:bdr w:val="none" w:sz="0" w:space="0" w:color="auto" w:frame="1"/>
        </w:rPr>
      </w:pPr>
      <w:r w:rsidRPr="00640820">
        <w:rPr>
          <w:iCs/>
          <w:color w:val="000000" w:themeColor="text1"/>
          <w:sz w:val="16"/>
          <w:szCs w:val="16"/>
          <w:bdr w:val="none" w:sz="0" w:space="0" w:color="auto" w:frame="1"/>
        </w:rPr>
        <w:t>Точек ЗА и ЗП –10</w:t>
      </w:r>
    </w:p>
    <w:p w14:paraId="26F06214" w14:textId="77777777" w:rsidR="006A29EC" w:rsidRPr="00640820" w:rsidRDefault="006A29EC" w:rsidP="00640820">
      <w:pPr>
        <w:pStyle w:val="ae"/>
        <w:spacing w:before="0" w:after="0"/>
        <w:jc w:val="both"/>
        <w:textAlignment w:val="baseline"/>
        <w:rPr>
          <w:iCs/>
          <w:color w:val="000000" w:themeColor="text1"/>
          <w:sz w:val="16"/>
          <w:szCs w:val="16"/>
          <w:bdr w:val="none" w:sz="0" w:space="0" w:color="auto" w:frame="1"/>
        </w:rPr>
      </w:pPr>
      <w:r w:rsidRPr="00640820">
        <w:rPr>
          <w:iCs/>
          <w:color w:val="000000" w:themeColor="text1"/>
          <w:sz w:val="16"/>
          <w:szCs w:val="16"/>
          <w:bdr w:val="none" w:sz="0" w:space="0" w:color="auto" w:frame="1"/>
        </w:rPr>
        <w:t>Повозок с грузом и живой силой — 486</w:t>
      </w:r>
    </w:p>
    <w:p w14:paraId="6EEF5727" w14:textId="77777777" w:rsidR="006A29EC" w:rsidRPr="00640820" w:rsidRDefault="006A29EC" w:rsidP="00640820">
      <w:pPr>
        <w:pStyle w:val="ae"/>
        <w:spacing w:before="0" w:after="0"/>
        <w:jc w:val="both"/>
        <w:textAlignment w:val="baseline"/>
        <w:rPr>
          <w:iCs/>
          <w:color w:val="000000" w:themeColor="text1"/>
          <w:sz w:val="16"/>
          <w:szCs w:val="16"/>
          <w:bdr w:val="none" w:sz="0" w:space="0" w:color="auto" w:frame="1"/>
        </w:rPr>
      </w:pPr>
      <w:r w:rsidRPr="00640820">
        <w:rPr>
          <w:iCs/>
          <w:color w:val="000000" w:themeColor="text1"/>
          <w:sz w:val="16"/>
          <w:szCs w:val="16"/>
          <w:bdr w:val="none" w:sz="0" w:space="0" w:color="auto" w:frame="1"/>
        </w:rPr>
        <w:t>Специальных автомашин — 1</w:t>
      </w:r>
    </w:p>
    <w:p w14:paraId="6EEF74B7" w14:textId="77777777" w:rsidR="006A29EC" w:rsidRPr="00640820" w:rsidRDefault="006A29EC" w:rsidP="00640820">
      <w:pPr>
        <w:pStyle w:val="ae"/>
        <w:spacing w:before="0" w:after="0"/>
        <w:jc w:val="both"/>
        <w:textAlignment w:val="baseline"/>
        <w:rPr>
          <w:iCs/>
          <w:color w:val="000000" w:themeColor="text1"/>
          <w:sz w:val="16"/>
          <w:szCs w:val="16"/>
          <w:bdr w:val="none" w:sz="0" w:space="0" w:color="auto" w:frame="1"/>
        </w:rPr>
      </w:pPr>
      <w:r w:rsidRPr="00640820">
        <w:rPr>
          <w:iCs/>
          <w:color w:val="000000" w:themeColor="text1"/>
          <w:sz w:val="16"/>
          <w:szCs w:val="16"/>
          <w:bdr w:val="none" w:sz="0" w:space="0" w:color="auto" w:frame="1"/>
        </w:rPr>
        <w:t>Мотоциклистов — 15</w:t>
      </w:r>
    </w:p>
    <w:p w14:paraId="735D92EE" w14:textId="77777777" w:rsidR="006A29EC" w:rsidRPr="00640820" w:rsidRDefault="006A29EC" w:rsidP="00640820">
      <w:pPr>
        <w:pStyle w:val="ae"/>
        <w:spacing w:before="0" w:after="0"/>
        <w:jc w:val="both"/>
        <w:textAlignment w:val="baseline"/>
        <w:rPr>
          <w:iCs/>
          <w:color w:val="000000" w:themeColor="text1"/>
          <w:sz w:val="16"/>
          <w:szCs w:val="16"/>
          <w:bdr w:val="none" w:sz="0" w:space="0" w:color="auto" w:frame="1"/>
        </w:rPr>
      </w:pPr>
      <w:r w:rsidRPr="00640820">
        <w:rPr>
          <w:iCs/>
          <w:color w:val="000000" w:themeColor="text1"/>
          <w:sz w:val="16"/>
          <w:szCs w:val="16"/>
          <w:bdr w:val="none" w:sz="0" w:space="0" w:color="auto" w:frame="1"/>
        </w:rPr>
        <w:t>Живой силы — 3180</w:t>
      </w:r>
    </w:p>
    <w:p w14:paraId="67DA9770" w14:textId="77777777" w:rsidR="006A29EC" w:rsidRPr="00640820" w:rsidRDefault="006A29EC" w:rsidP="00640820">
      <w:pPr>
        <w:pStyle w:val="ae"/>
        <w:spacing w:before="0" w:after="0"/>
        <w:jc w:val="both"/>
        <w:textAlignment w:val="baseline"/>
        <w:rPr>
          <w:iCs/>
          <w:color w:val="000000" w:themeColor="text1"/>
          <w:sz w:val="16"/>
          <w:szCs w:val="16"/>
          <w:bdr w:val="none" w:sz="0" w:space="0" w:color="auto" w:frame="1"/>
        </w:rPr>
      </w:pPr>
      <w:r w:rsidRPr="00640820">
        <w:rPr>
          <w:iCs/>
          <w:color w:val="000000" w:themeColor="text1"/>
          <w:sz w:val="16"/>
          <w:szCs w:val="16"/>
          <w:bdr w:val="none" w:sz="0" w:space="0" w:color="auto" w:frame="1"/>
        </w:rPr>
        <w:t>На ст. Оптуха удачным бомбометанием уничтожен эшелон с боеприпасами в составе 31 вагона»[27].</w:t>
      </w:r>
    </w:p>
    <w:p w14:paraId="47F0A1F1" w14:textId="77777777" w:rsidR="006A29EC" w:rsidRPr="00640820" w:rsidRDefault="006A29EC" w:rsidP="00640820">
      <w:pPr>
        <w:pStyle w:val="ae"/>
        <w:spacing w:before="0" w:after="0"/>
        <w:jc w:val="both"/>
        <w:textAlignment w:val="baseline"/>
        <w:rPr>
          <w:color w:val="000000" w:themeColor="text1"/>
          <w:sz w:val="16"/>
          <w:szCs w:val="16"/>
        </w:rPr>
      </w:pPr>
      <w:r w:rsidRPr="00640820">
        <w:rPr>
          <w:color w:val="000000" w:themeColor="text1"/>
          <w:sz w:val="16"/>
          <w:szCs w:val="16"/>
        </w:rPr>
        <w:t>Обращают на себя внимание опять же невероятно большое количество уничтоженных (именно уничтоженных, а не поврежденных) автомашин и повозок и точные подсчеты «перебитой» живой силы.</w:t>
      </w:r>
    </w:p>
    <w:p w14:paraId="758176DC" w14:textId="77777777" w:rsidR="006A29EC" w:rsidRPr="00640820" w:rsidRDefault="006A29EC" w:rsidP="00640820">
      <w:pPr>
        <w:pStyle w:val="ae"/>
        <w:spacing w:before="0" w:after="0"/>
        <w:jc w:val="both"/>
        <w:textAlignment w:val="baseline"/>
        <w:rPr>
          <w:color w:val="000000" w:themeColor="text1"/>
          <w:sz w:val="16"/>
          <w:szCs w:val="16"/>
        </w:rPr>
      </w:pPr>
      <w:r w:rsidRPr="00640820">
        <w:rPr>
          <w:color w:val="000000" w:themeColor="text1"/>
          <w:sz w:val="16"/>
          <w:szCs w:val="16"/>
        </w:rPr>
        <w:t>Что касается непосредственно штурмовиков, то их вклад в боевую работу, несмотря на явную малочисленность, был весьма значительным. Напомним, по состоянию на 22 октября в составе 11-й авиадивизии насчитывалось всего четыре Ил-2. Затем 6 ноября прибыло еще 10 машин. Через четыре дня поступило пять Илов и 19 ноября еще 15. В течение месяца штурмовики выполнили 334 самолето-вылета, в том числе 51 на «бомбометание наземных войск», восемь на бомбардировку населенных пунктов, семь на атаку аэродромов люфтваффе, семь на атаку позиций артиллерии, 50 на разведку и 211 непосредственно на штурмовку. При этом из 34 имевшихся в распоряжении 11-й ад Ил-2 было потеряно девять. Два были сбиты зенитной артиллерией, пять не вернулось с задания, еще два разбились в результате аварий и катастроф. Кроме того, за этот период ВВС Брянского фронта потеряли еще 20 самолетов, в том числе шесть МиГ-3, четыре Пе-2, два СБ, два Як-1, три И-16 и один У-2 (19522).</w:t>
      </w:r>
    </w:p>
    <w:p w14:paraId="02B9CDBC" w14:textId="77777777" w:rsidR="006A29EC" w:rsidRPr="00640820" w:rsidRDefault="006A29EC" w:rsidP="00640820">
      <w:pPr>
        <w:pStyle w:val="ae"/>
        <w:spacing w:before="0" w:after="0"/>
        <w:jc w:val="both"/>
        <w:textAlignment w:val="baseline"/>
        <w:rPr>
          <w:color w:val="000000" w:themeColor="text1"/>
          <w:sz w:val="16"/>
          <w:szCs w:val="16"/>
        </w:rPr>
      </w:pPr>
    </w:p>
    <w:p w14:paraId="2D1669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октября 1941 группа из 7 ш Ил-2 под командованием м Чубченкова разгромила колонну из 300 танков и автомашин, двигавшуюся по ш из Гжатска на Можайск. Построил машины в колонну из 3-х звеньев, а сзади шел 7-й, действующий по своему усмотрению. Зашли с запада и шли прямо вдоль шоссе (430,136).</w:t>
      </w:r>
    </w:p>
    <w:p w14:paraId="4FE7D8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C5AD4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октября 1941 звено Ил-2 к-на В.Г.Бо</w:t>
      </w:r>
      <w:r w:rsidRPr="00640820">
        <w:rPr>
          <w:rFonts w:ascii="Times New Roman" w:hAnsi="Times New Roman"/>
          <w:color w:val="000000" w:themeColor="text1"/>
          <w:sz w:val="16"/>
          <w:szCs w:val="16"/>
        </w:rPr>
        <w:softHyphen/>
        <w:t>лотова, основательно "поутюжив" немец</w:t>
      </w:r>
      <w:r w:rsidRPr="00640820">
        <w:rPr>
          <w:rFonts w:ascii="Times New Roman" w:hAnsi="Times New Roman"/>
          <w:color w:val="000000" w:themeColor="text1"/>
          <w:sz w:val="16"/>
          <w:szCs w:val="16"/>
        </w:rPr>
        <w:softHyphen/>
        <w:t>кую колонну в районе дер. Соколове, уничтожило и повредило до 6 единиц бронетехники и 35 автомашин (6467).</w:t>
      </w:r>
    </w:p>
    <w:p w14:paraId="13938E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EBB3E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октября 1941 г. наиболее отличившиеся экипажи ВВС КА, в том числе пилоты и штурманы 420-го и 421-го авиаполков получили боевые ордена. В числе лучших, удостоенных орденов Ленина, были названы капитан И.Ф.Галинский, лейтенанты А.А.Баленко, Н.А.Мирошников и Н.П.Тыклин. Одновременно свою первую звезду Героя Советского Союза получил заместитель командира эскадрильи младший лейтенант А.И.Молодчий, а комполка Н.И.Новодранов был награжден орденом Красного Знамени (3322,23).</w:t>
      </w:r>
    </w:p>
    <w:p w14:paraId="106951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35DFD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октября 1941 года два "Звена" атаковали позиции немецкой дальнобойной артиллерии. В это время 11 И-5 и И-153 в сопровождении 9 И-16 из 101-й ИАЭ и шести И-16 из 8-го ИАП ударили по скоплению немецких войск в районе Казак-Сарай. В этом налете погиб А.В. Шубиков, командир эскадрильи И-16 СПБ, первый пилот черноморской авиации, получивший во время войны орден Ленина (вероятно Шубикова сбил Вf109). В тот день черноморская авиация потеряла 8 машин, часть из которых в ходе указанного налета (2691).</w:t>
      </w:r>
    </w:p>
    <w:p w14:paraId="37C2CE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89B0BD3" w14:textId="77777777" w:rsidR="00836202" w:rsidRPr="00640820" w:rsidRDefault="00836202" w:rsidP="00640820">
      <w:pPr>
        <w:spacing w:after="0" w:line="240" w:lineRule="auto"/>
        <w:jc w:val="both"/>
        <w:rPr>
          <w:rFonts w:ascii="Times New Roman" w:hAnsi="Times New Roman"/>
          <w:color w:val="0070C0"/>
          <w:sz w:val="16"/>
          <w:szCs w:val="16"/>
          <w:shd w:val="clear" w:color="auto" w:fill="FFFFFF"/>
        </w:rPr>
      </w:pPr>
      <w:r w:rsidRPr="00640820">
        <w:rPr>
          <w:rFonts w:ascii="Times New Roman" w:hAnsi="Times New Roman"/>
          <w:color w:val="0070C0"/>
          <w:sz w:val="16"/>
          <w:szCs w:val="16"/>
          <w:shd w:val="clear" w:color="auto" w:fill="FFFFFF"/>
        </w:rPr>
        <w:t>22 октября 1941 года в оккупированной румынскими и немецкими войсками Одессе взорвалась комендатура, располагавшаяся в доме НКВД по Одесской области на улице Энгельса. Мощный взрыв произошёл в тот момент, когда в здании проходило большое совместное совещание гестапо и сигуранцы - румынской службы безопасности. Под обломками комендатуры нашли свою смерть до 50 генералов и офицеров оккупационных войск.</w:t>
      </w:r>
    </w:p>
    <w:p w14:paraId="5F216D00" w14:textId="77777777" w:rsidR="00836202" w:rsidRPr="00640820" w:rsidRDefault="00836202" w:rsidP="00640820">
      <w:pPr>
        <w:spacing w:after="0" w:line="240" w:lineRule="auto"/>
        <w:jc w:val="both"/>
        <w:rPr>
          <w:rFonts w:ascii="Times New Roman" w:hAnsi="Times New Roman"/>
          <w:color w:val="0070C0"/>
          <w:sz w:val="16"/>
          <w:szCs w:val="16"/>
          <w:shd w:val="clear" w:color="auto" w:fill="FFFFFF"/>
        </w:rPr>
      </w:pPr>
      <w:r w:rsidRPr="00640820">
        <w:rPr>
          <w:rFonts w:ascii="Times New Roman" w:hAnsi="Times New Roman"/>
          <w:color w:val="0070C0"/>
          <w:sz w:val="16"/>
          <w:szCs w:val="16"/>
          <w:shd w:val="clear" w:color="auto" w:fill="FFFFFF"/>
        </w:rPr>
        <w:t>В обстановке строгой секретности под каменным полом подвальных помещений здания была размещена мина «Беми» с зарядом большой мощности. План инженерного обеспечения эвакуации советских войск из Одессы, минирование путей отхода и подготовку подрыва военных объектов разработал Герой Советского Союза, генерал-полковник инженерных войск Аркадий Хренов. Особое внимание дому госбезопасности УНКВД на улице Энгельса (сейчас Маразлиевская) Аркадий Федорович уделил на основании того, что нашей разведке удалось добыть план размещения в Одессе оккупационных войск, который педантичные немцы составили заранее. В «доме чекистов» фашисты предполагали разместить штаб командования вермахта и румынскую тайную полицию — сигуранцу.</w:t>
      </w:r>
    </w:p>
    <w:p w14:paraId="205F808E" w14:textId="77777777" w:rsidR="00836202" w:rsidRPr="00640820" w:rsidRDefault="00836202" w:rsidP="00640820">
      <w:pPr>
        <w:spacing w:after="0" w:line="240" w:lineRule="auto"/>
        <w:jc w:val="both"/>
        <w:rPr>
          <w:rFonts w:ascii="Times New Roman" w:hAnsi="Times New Roman"/>
          <w:color w:val="0070C0"/>
          <w:sz w:val="16"/>
          <w:szCs w:val="16"/>
          <w:shd w:val="clear" w:color="auto" w:fill="FFFFFF"/>
        </w:rPr>
      </w:pPr>
      <w:r w:rsidRPr="00640820">
        <w:rPr>
          <w:rFonts w:ascii="Times New Roman" w:hAnsi="Times New Roman"/>
          <w:color w:val="0070C0"/>
          <w:sz w:val="16"/>
          <w:szCs w:val="16"/>
          <w:shd w:val="clear" w:color="auto" w:fill="FFFFFF"/>
        </w:rPr>
        <w:t>В течение шести суток, в обстановке строжайшей секретности работали в здании на улице Энгельса капитан Пирус, младший лейтенант Павлов, а с ними группа минеров. Было уложено около трех тонн тротила. Запальную шашку с детонатором тщательно залили стеарином, чтобы сохранить капсюль от сырости, а детонатор прикрепили к клемме радиоприемника. Для пущей надежности в подпол были заложены две 100-килограммовые авиабомбы и две дополнительные мины, установленные на неизвлекаемость. На тот случай, если бы вражеские саперы попытались вскрыть каменные плиты и обезвредить основную радиомину.</w:t>
      </w:r>
    </w:p>
    <w:p w14:paraId="0AD37C1D" w14:textId="77777777" w:rsidR="00836202" w:rsidRPr="00640820" w:rsidRDefault="00836202"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shd w:val="clear" w:color="auto" w:fill="FFFFFF"/>
        </w:rPr>
        <w:t>На рассвете 16 октября защитники покинули Одессу. На последнем корабле отплыл генерал Хренов. Но в городе осталась подпольная группа капитана госбезопасности Владимира Молодцова-Бадаева, ее члены должны были сообщить, когда в доме УНКВД соберется максимальное число фашистов. Через четыре дня разведчики радировали на Большую землю о предстоящем важном совещании оккупационных властей — как раз в доме на улице Энгельса. Информация пришла вовремя, и Хренов отдал приказ задействовать радиофугас. (22290).</w:t>
      </w:r>
    </w:p>
    <w:p w14:paraId="6E4D24AC" w14:textId="77777777" w:rsidR="00836202" w:rsidRPr="00640820" w:rsidRDefault="00836202" w:rsidP="00640820">
      <w:pPr>
        <w:spacing w:after="0" w:line="240" w:lineRule="auto"/>
        <w:jc w:val="both"/>
        <w:rPr>
          <w:rFonts w:ascii="Times New Roman" w:hAnsi="Times New Roman"/>
          <w:color w:val="0070C0"/>
          <w:sz w:val="16"/>
          <w:szCs w:val="16"/>
        </w:rPr>
      </w:pPr>
    </w:p>
    <w:p w14:paraId="4774C2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октября 1941 в воздушном бою под Перекопом погиб отважный командир СПБ майор А.В. Шубиков. На том и закончилась эпопея черноморского "Спецназа" (8636).</w:t>
      </w:r>
    </w:p>
    <w:p w14:paraId="654DB9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1C47F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22 октября по 11 ноября 1941 в 188-м </w:t>
      </w:r>
      <w:r w:rsidRPr="00640820">
        <w:rPr>
          <w:rFonts w:ascii="Times New Roman" w:hAnsi="Times New Roman"/>
          <w:iCs/>
          <w:color w:val="000000" w:themeColor="text1"/>
          <w:sz w:val="16"/>
          <w:szCs w:val="16"/>
        </w:rPr>
        <w:t>иап</w:t>
      </w:r>
      <w:r w:rsidRPr="00640820">
        <w:rPr>
          <w:rFonts w:ascii="Times New Roman" w:hAnsi="Times New Roman"/>
          <w:color w:val="000000" w:themeColor="text1"/>
          <w:sz w:val="16"/>
          <w:szCs w:val="16"/>
        </w:rPr>
        <w:t xml:space="preserve"> боевые безвозв</w:t>
      </w:r>
      <w:r w:rsidRPr="00640820">
        <w:rPr>
          <w:rFonts w:ascii="Times New Roman" w:hAnsi="Times New Roman"/>
          <w:color w:val="000000" w:themeColor="text1"/>
          <w:sz w:val="16"/>
          <w:szCs w:val="16"/>
        </w:rPr>
        <w:softHyphen/>
        <w:t xml:space="preserve">ратные потери в период составили 5 самолетов, а небоевые -4, в 237-м </w:t>
      </w:r>
      <w:r w:rsidRPr="00640820">
        <w:rPr>
          <w:rFonts w:ascii="Times New Roman" w:hAnsi="Times New Roman"/>
          <w:iCs/>
          <w:color w:val="000000" w:themeColor="text1"/>
          <w:sz w:val="16"/>
          <w:szCs w:val="16"/>
        </w:rPr>
        <w:t>шап,</w:t>
      </w:r>
      <w:r w:rsidRPr="00640820">
        <w:rPr>
          <w:rFonts w:ascii="Times New Roman" w:hAnsi="Times New Roman"/>
          <w:color w:val="000000" w:themeColor="text1"/>
          <w:sz w:val="16"/>
          <w:szCs w:val="16"/>
        </w:rPr>
        <w:t xml:space="preserve"> соответственно, 6 и 3, в 606-м </w:t>
      </w:r>
      <w:r w:rsidRPr="00640820">
        <w:rPr>
          <w:rFonts w:ascii="Times New Roman" w:hAnsi="Times New Roman"/>
          <w:iCs/>
          <w:color w:val="000000" w:themeColor="text1"/>
          <w:sz w:val="16"/>
          <w:szCs w:val="16"/>
        </w:rPr>
        <w:t>лбап</w:t>
      </w:r>
      <w:r w:rsidRPr="00640820">
        <w:rPr>
          <w:rFonts w:ascii="Times New Roman" w:hAnsi="Times New Roman"/>
          <w:color w:val="000000" w:themeColor="text1"/>
          <w:sz w:val="16"/>
          <w:szCs w:val="16"/>
        </w:rPr>
        <w:t xml:space="preserve"> - 6 и 4, в 62-м </w:t>
      </w:r>
      <w:r w:rsidRPr="00640820">
        <w:rPr>
          <w:rFonts w:ascii="Times New Roman" w:hAnsi="Times New Roman"/>
          <w:iCs/>
          <w:color w:val="000000" w:themeColor="text1"/>
          <w:sz w:val="16"/>
          <w:szCs w:val="16"/>
        </w:rPr>
        <w:t>шап</w:t>
      </w:r>
      <w:r w:rsidRPr="00640820">
        <w:rPr>
          <w:rFonts w:ascii="Times New Roman" w:hAnsi="Times New Roman"/>
          <w:color w:val="000000" w:themeColor="text1"/>
          <w:sz w:val="16"/>
          <w:szCs w:val="16"/>
        </w:rPr>
        <w:t xml:space="preserve"> - 13 и 1 (6467).</w:t>
      </w:r>
    </w:p>
    <w:p w14:paraId="1A579C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E1258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октября 1941 на ЦА перебазировался 120 иап и л жили на стадионе Динамо. На поле стояли сотни машин, в т.ч. Родина (1836,127).</w:t>
      </w:r>
    </w:p>
    <w:p w14:paraId="10E2E6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BA19FE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октября 1941 в Одессе на мине подорвался командир румынским корпусом генерал Глугосчану (4962) + еще 50 г и офицеров. Дом УНКВД по ул. Энгельса (б. Маразлиевская) (5484,572)</w:t>
      </w:r>
    </w:p>
    <w:p w14:paraId="328026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94FF9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октября 1941 г. в Одессе был взорван радиофугасом дом № 40 на Марзлиевской улице (позже ул. Энгельса), где разме</w:t>
      </w:r>
      <w:r w:rsidRPr="00640820">
        <w:rPr>
          <w:rFonts w:ascii="Times New Roman" w:hAnsi="Times New Roman"/>
          <w:color w:val="000000" w:themeColor="text1"/>
          <w:sz w:val="16"/>
          <w:szCs w:val="16"/>
        </w:rPr>
        <w:softHyphen/>
        <w:t>стилась германская комендатура (10675).</w:t>
      </w:r>
    </w:p>
    <w:p w14:paraId="0C17D0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8B30A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октября 1941 вышло Постановление ГКО № 828 О штате отдельной стрелковой бригады. РГАНИР, Фонд ГКО, д. 12, лл. 177-178 (11012).</w:t>
      </w:r>
    </w:p>
    <w:p w14:paraId="57AA17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360D2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октября 1941 вышло Постановление ГКО № 829 О т.т. Николаеве Т.Л. и Воронине Ф.Н. РГАНИР, Фонд ГКО, д. 12, лл. 179 (11012).</w:t>
      </w:r>
    </w:p>
    <w:p w14:paraId="24819B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B407D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октября 1941 г. с целью более оперативного управления службой приказом НКО № 0370 были изданы Положения о начальниках военных сообщений фронтов и армий, разграничены функции полевых и линейных органов военных сообщений (9090).</w:t>
      </w:r>
    </w:p>
    <w:p w14:paraId="142AAB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3F040E0"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72F5AB96"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5C48E01" w14:textId="77777777" w:rsidR="006A29EC" w:rsidRPr="00640820" w:rsidRDefault="006A29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октября 1941 г. Приказ № СС-565/ц Наркома путей сообщения СССР Л.Кагановича о строительстве в г. Куйбышеве (во исполнение постановления ГКО № 826сс от 21 октября 1941 г.) бомбо- и газоубежища глубокого заложения, не менее 25 метров глубины, защищенного от воздействия бомб ФАБ-2000 при прямом попадании, общей площадью 1000 кв. метров, именуемом в дальнейшем как «Строительство № 1» («бункер Сталина»), со сроком начала строительства 25 октября 1941 г. и сроком окончания строительства – 25 января 1942 г.</w:t>
      </w:r>
    </w:p>
    <w:p w14:paraId="7088A795" w14:textId="77777777" w:rsidR="006A29EC" w:rsidRPr="00640820" w:rsidRDefault="006A29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Подлинник (рассекречено).</w:t>
      </w:r>
    </w:p>
    <w:p w14:paraId="4591FC8F" w14:textId="77777777" w:rsidR="006A29EC" w:rsidRPr="00640820" w:rsidRDefault="006A29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РГАЭ ф. 1884, оп. 49, д. 1087, лл. 252 – 254. (18959).</w:t>
      </w:r>
    </w:p>
    <w:p w14:paraId="0C92D67D" w14:textId="77777777" w:rsidR="006A29EC" w:rsidRPr="00640820" w:rsidRDefault="006A29EC" w:rsidP="00640820">
      <w:pPr>
        <w:spacing w:after="0" w:line="240" w:lineRule="auto"/>
        <w:jc w:val="both"/>
        <w:rPr>
          <w:rFonts w:ascii="Times New Roman" w:hAnsi="Times New Roman"/>
          <w:color w:val="000000" w:themeColor="text1"/>
          <w:sz w:val="16"/>
          <w:szCs w:val="16"/>
        </w:rPr>
      </w:pPr>
    </w:p>
    <w:p w14:paraId="783B396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октября 1941 вышло Постановление ГКО № 827 О переселении немцев из Дагестанской и Чечено-Ингушской АССР. (7013, 176).</w:t>
      </w:r>
    </w:p>
    <w:p w14:paraId="1315DC8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BA75E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октября 1941 вышло Постановление ГКО № 830 О городских комитетах обороны [в 46 городах]. (7013, 180-181).</w:t>
      </w:r>
    </w:p>
    <w:p w14:paraId="344AA5C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C631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октября 1941 г. Государственный Комитет Обороны (ГКО) СССР издает постановление об образовании в наиболее крупных городах прифронтовой полосы и ближайшего тыла городских комитетов обороны. В их состав входили начальники управлений (отделов) НКВД (10303).</w:t>
      </w:r>
    </w:p>
    <w:p w14:paraId="04672C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52C0B95" w14:textId="77777777" w:rsidR="009B002F" w:rsidRPr="00640820" w:rsidRDefault="009B002F"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22 октября </w:t>
      </w:r>
      <w:r w:rsidRPr="00640820">
        <w:rPr>
          <w:rFonts w:ascii="Times New Roman" w:hAnsi="Times New Roman"/>
          <w:color w:val="000000" w:themeColor="text1"/>
          <w:sz w:val="16"/>
          <w:szCs w:val="16"/>
        </w:rPr>
        <w:t>в 1941 году государственный комитет обороны (ГКО) СССР принял постановление о создании городских комитетов обороны в Севастополе, Сталинграде, Туле, Ростове, Курске — всего в 46 городах. В последующем это постановление было распространено еще на ряд городов (14807).</w:t>
      </w:r>
    </w:p>
    <w:p w14:paraId="05C4FA18" w14:textId="77777777" w:rsidR="009B002F" w:rsidRPr="00640820" w:rsidRDefault="009B002F" w:rsidP="00640820">
      <w:pPr>
        <w:spacing w:after="0" w:line="240" w:lineRule="auto"/>
        <w:jc w:val="both"/>
        <w:rPr>
          <w:rFonts w:ascii="Times New Roman" w:hAnsi="Times New Roman"/>
          <w:color w:val="000000" w:themeColor="text1"/>
          <w:sz w:val="16"/>
          <w:szCs w:val="16"/>
        </w:rPr>
      </w:pPr>
    </w:p>
    <w:p w14:paraId="70BB2F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октября 1941 ГКО СССР принял постановление о создании в ряде регионов, в т.ч. во всех областных центрах Поволжья, городских комитетов обороны. В нем, в частности, отмечалось:  «Местные комитеты обороны создаются в интересах сосредоточения всей гражданской и военной власти и установления строжайшего порядка в городах и прилегающих районах, представляющих ближайший тыловой район фронта». Выполнение решений горкомитетов было обязательным для всех организаций. Постановление определяло, что председателем комитета автоматически становился первый секретарь обкома (горкома) ВКП(б), а в его состав обязательно входили председатель областного (городского) Совета народных депутатов и начальник управления НКВД. Последние фактически становились вторыми должностными лицами в регионах. В соответствии с этим постановлением 23 октября в Поволжье были сформированы городские комитеты обороны. В Горьком этот новый орган возглавил М. И. Родионов. Кроме него в состав комитета вошли председатель облисполкома М. Т. Третьяков, начальник УНКВД области В. С. Рясной и военный комендант города полковник Т. И. Прищепо. Председателем Саратовского горкомитета обороны стал И. А. Власов, а Народный комиссариат внутренних дел в нем первоначально представлял В. Г. Викторов. В Сталинграде комитет возглавил первый секретарь обкома А. С. Чуянов, а вторым лицом стал глава местного НКВД А. И. Воронин, в Ярославле – первый секретарь Н. С. Патоличев.  Городские комитеты не имели постоянных штатов сотрудников, поэтому в своей работе использовали аппарат обкомов и горкомов, сотрудников советских органов, управлений НКВД, а также городских штабов МПВО. Информирование об обстановке в городах и в области, об основных социальных проблемах, чрезвычайных происшествиях, недостатках в работе промышленности и других проблемах лежало в основном на органах НКВД. Кроме того, именно на горкомитетах обороны в последующие годы лежала основная нагрузка по обеспечению МПВО, включая строительство укрытий, маскировку важных объектов, ликвидацию последствий бомбардировок. Как показала дальнейшая практика, нередко им приходилось заниматься и чисто военными вопросами, в т.ч. и противовоздушной обороной (11774).</w:t>
      </w:r>
    </w:p>
    <w:p w14:paraId="581D17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F2822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Во второй половине дня 22 октября 1941 над поселком Володары [50] , находящимся в 18 км западнее Дзержинска, неожиданно появился одиночный Ju-88. Самолет подошел к цели на большой высоте, затем перешел в отвесное пикирование и с высоты 500—600 м сбросил три фугасные бомбы на мельзавод № 4 и базу № 154, принадлежащую территориальному управлению государственных материальных резервов [51] . Эхо мощного взрыва прокатилось по улицам. Во многих домах погас свет, вылетели стекла и осыпалась штукатурка. Началась страшная паника. Из школы с криками выбегали учителя и дети, бросаясь врассыпную. Жители начали в спешке покидать свои дома, хватая первые попавшиеся вещи, чемоданы. Некоторые вытаскивали даже сундуки и с криками бежали в сторону реки. Мгновенно распространились слухи о том, что ожидается вражеский десант, немцы уже подходят к поселку и т.п. Один из местных жителей вспоминал:  «На мгновение дети остановились от неожиданности и неведомого прежде ужаса: горело восточное крыло ближайшего элеватора, неделю назад покрытое серо-желтыми разводами немыслимого камуфляжа. Гигантский гриб черного дыма набухал в вышине, закрывая полнеба над поселком. Основание гриба лизали крупные ярко-красные языки пламени, жар которого, казалось, чувствовался на расстоянии… Отблески огня пугающе играли в стеклах окон, на скатах светлых крыш и темных бревенчатых стенах домов». На следующий день бомбардировка элеватора на станции Сейма обсуждалась на заседании бюро Горьковского обкома ВКП(б). При этом местное начальство сделало совершенно ошибочный вывод, что целью налета якобы являлся расположенный неподалеку аэродром 2-го запасного авиаполка. Так, первый секретарь Родионов заявил по этому поводу:  «Что значит запасный полк, не имеющийпорядка? Это замечательный объект для бомбежки врага. Видимо, была просто счастливая случайность, что они не разбили этот самый аэродром и не разбили самолетов. Видимо, им хорошо известно место расположения запасного полка, поэтому они и шли на него… </w:t>
      </w:r>
    </w:p>
    <w:p w14:paraId="71D051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Что значит эти пьянки и прочие явления ? Это означает отсутствие всякой работы с людьми. За такое разгильдяйство, за такое состояние дисциплины, по-моему, можно только в тюрьму посадить командиров, командирам место только в тюрьме. </w:t>
      </w:r>
    </w:p>
    <w:p w14:paraId="5FCE15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И в отношении порядка в воздухе. Мы об этом говорим очень давно, а все-таки порядка в воздухе у нас нет, все-таки летают, кто и где захочет, кто в каком направлении хочет. Видимо, сейчас, с созданием городского комитета обороны, надо будет на первом же заседании комитета обороны установить такой порядок и предупредить наших зенитчиков – пусть сшибут одного хулигана и всем остальным это будет известно. Видимо, пока какую-нибудь сволочь не сшибем, так и будет беспорядок. Надо будет разработать правила прилета, отлета и вылета по г. Горькому, предупреждения и установить такой порядок в воздухе, чтобы не летали, кто когда вздумает и кто где вздумает!» </w:t>
      </w:r>
    </w:p>
    <w:p w14:paraId="000AA3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Сведения о бомбежке Сеймы быстро распространились по округе и дошли до областного центра. Многих людей тут же охватило чувство паники. Так, в поселке Ляхово, расположенном на южной окраине Горького, заведующая яслями Коденева заявила:  «Не о чемнам теперь беспокоиться, так как не сегодня-завтра нас разбомбят немцы. Сейму уже бомбят». При отправке на строительство укреплений многие отъезжающие прощались с близкими родственниками плача, говорили, что  «может, больше не увидимся». Такое настроение было вызвано слухом о том, что  «кто работаетна строительстве укреплений, их первых будут бомбить». Немецкие самолеты-разведчики действительно неоднократно появлялись над строительными участками, пролетали над ними на бреющем полете, пугая женщин и сбрасывая листовки. В одной из них, почти что в стихах, говорилось:  «Дамочки, перестаньте копать ямочки, приедутнаши таночки, зароют ваши ямочки». </w:t>
      </w:r>
    </w:p>
    <w:p w14:paraId="333B21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Между тем на самой базе, подвергшейся внезапному удару Люфтваффе, долгое время пребывали в оцепенении. Среди людей, в т.ч. ответственных работников, царила паника, и ликвидацией последствий налета несколько дней никто не занимался. 31 октября этот вопрос даже обсуждался на заседании Дзержинского горкома ВКП(б), и было принято следующее решение:  «Довести до сведенияобкома ВКП(б), что территориальное управление госрезервов не оказывает базе 154 необходимой помощи в ускорении выбора зерна, сушки его и ликвидации других последствий налета фашистского самолета на базу. Особое внимание на ликвидацию последствий паники, повышению бдительности и организованности. Ускорить восстановительные работы» (11774).</w:t>
      </w:r>
    </w:p>
    <w:p w14:paraId="7E7B5B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D7CBFDA"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15D8F107"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EA363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октября 1941 Великобритания восстановила дипотношения с Мексикой (3907,231).</w:t>
      </w:r>
    </w:p>
    <w:p w14:paraId="1D2A03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FE1641B"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34CA5153"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09EBE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октяб</w:t>
      </w:r>
      <w:r w:rsidRPr="00640820">
        <w:rPr>
          <w:rFonts w:ascii="Times New Roman" w:hAnsi="Times New Roman"/>
          <w:color w:val="000000" w:themeColor="text1"/>
          <w:sz w:val="16"/>
          <w:szCs w:val="16"/>
        </w:rPr>
        <w:softHyphen/>
        <w:t>ря &lt;февраля&gt;1941 г. в письме на имя А. И. Шахурина и Б. Л. Ванникова № 107 Ильюшин писал: “При про</w:t>
      </w:r>
      <w:r w:rsidRPr="00640820">
        <w:rPr>
          <w:rFonts w:ascii="Times New Roman" w:hAnsi="Times New Roman"/>
          <w:color w:val="000000" w:themeColor="text1"/>
          <w:sz w:val="16"/>
          <w:szCs w:val="16"/>
        </w:rPr>
        <w:softHyphen/>
        <w:t>ектировании установок пушки на само</w:t>
      </w:r>
      <w:r w:rsidRPr="00640820">
        <w:rPr>
          <w:rFonts w:ascii="Times New Roman" w:hAnsi="Times New Roman"/>
          <w:color w:val="000000" w:themeColor="text1"/>
          <w:sz w:val="16"/>
          <w:szCs w:val="16"/>
        </w:rPr>
        <w:softHyphen/>
        <w:t>лет Ил-2 мы запросили тов. Таубина о си</w:t>
      </w:r>
      <w:r w:rsidRPr="00640820">
        <w:rPr>
          <w:rFonts w:ascii="Times New Roman" w:hAnsi="Times New Roman"/>
          <w:color w:val="000000" w:themeColor="text1"/>
          <w:sz w:val="16"/>
          <w:szCs w:val="16"/>
        </w:rPr>
        <w:softHyphen/>
        <w:t>ле отдачи пушки МП-6. Тов. Таубин пись</w:t>
      </w:r>
      <w:r w:rsidRPr="00640820">
        <w:rPr>
          <w:rFonts w:ascii="Times New Roman" w:hAnsi="Times New Roman"/>
          <w:color w:val="000000" w:themeColor="text1"/>
          <w:sz w:val="16"/>
          <w:szCs w:val="16"/>
        </w:rPr>
        <w:softHyphen/>
        <w:t>мом от 16.10.40 г. №6-462 при сем при</w:t>
      </w:r>
      <w:r w:rsidRPr="00640820">
        <w:rPr>
          <w:rFonts w:ascii="Times New Roman" w:hAnsi="Times New Roman"/>
          <w:color w:val="000000" w:themeColor="text1"/>
          <w:sz w:val="16"/>
          <w:szCs w:val="16"/>
        </w:rPr>
        <w:softHyphen/>
        <w:t>лагаемым сообщил нам, что усилие отда</w:t>
      </w:r>
      <w:r w:rsidRPr="00640820">
        <w:rPr>
          <w:rFonts w:ascii="Times New Roman" w:hAnsi="Times New Roman"/>
          <w:color w:val="000000" w:themeColor="text1"/>
          <w:sz w:val="16"/>
          <w:szCs w:val="16"/>
        </w:rPr>
        <w:softHyphen/>
        <w:t>чи пушки МП-6 равно 2200 кг. (4140).</w:t>
      </w:r>
    </w:p>
    <w:p w14:paraId="74F2F3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эту силу отдачи мы и рассчиты</w:t>
      </w:r>
      <w:r w:rsidRPr="00640820">
        <w:rPr>
          <w:rFonts w:ascii="Times New Roman" w:hAnsi="Times New Roman"/>
          <w:color w:val="000000" w:themeColor="text1"/>
          <w:sz w:val="16"/>
          <w:szCs w:val="16"/>
        </w:rPr>
        <w:softHyphen/>
        <w:t>вали крыло, когда проектировали уста</w:t>
      </w:r>
      <w:r w:rsidRPr="00640820">
        <w:rPr>
          <w:rFonts w:ascii="Times New Roman" w:hAnsi="Times New Roman"/>
          <w:color w:val="000000" w:themeColor="text1"/>
          <w:sz w:val="16"/>
          <w:szCs w:val="16"/>
        </w:rPr>
        <w:softHyphen/>
        <w:t>новку пушки на Ил-2.. (4140).</w:t>
      </w:r>
    </w:p>
    <w:p w14:paraId="277575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января 1941 г. нами получен от</w:t>
      </w:r>
      <w:r w:rsidRPr="00640820">
        <w:rPr>
          <w:rFonts w:ascii="Times New Roman" w:hAnsi="Times New Roman"/>
          <w:color w:val="000000" w:themeColor="text1"/>
          <w:sz w:val="16"/>
          <w:szCs w:val="16"/>
        </w:rPr>
        <w:softHyphen/>
        <w:t>чет ЦАГИ по определению силы отдачи пушки МП-6 (ПТБ-23). Согласно этого отчета сила отдачи равна 5000 кг.,, а максимальная, замеренная при испы</w:t>
      </w:r>
      <w:r w:rsidRPr="00640820">
        <w:rPr>
          <w:rFonts w:ascii="Times New Roman" w:hAnsi="Times New Roman"/>
          <w:color w:val="000000" w:themeColor="text1"/>
          <w:sz w:val="16"/>
          <w:szCs w:val="16"/>
        </w:rPr>
        <w:softHyphen/>
        <w:t>таниях два раза, достигает 5200 кг., т. е. в 2,36 раза больше, чем данная тов. Таубиным сила отдачи (4140).</w:t>
      </w:r>
    </w:p>
    <w:p w14:paraId="603552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Доношу, что пушку с силой отдачи 5000-5200 кг. на самолет Ил-2 мы, по условиям прочности крыла, установить не можем. Прошу Ваших указаний” (4140).</w:t>
      </w:r>
    </w:p>
    <w:p w14:paraId="789B89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Ссылки С. В. Илью</w:t>
      </w:r>
      <w:r w:rsidRPr="00640820">
        <w:rPr>
          <w:rFonts w:ascii="Times New Roman" w:hAnsi="Times New Roman"/>
          <w:color w:val="000000" w:themeColor="text1"/>
          <w:sz w:val="16"/>
          <w:szCs w:val="16"/>
        </w:rPr>
        <w:softHyphen/>
        <w:t>шина на излишне большую силу отда</w:t>
      </w:r>
      <w:r w:rsidRPr="00640820">
        <w:rPr>
          <w:rFonts w:ascii="Times New Roman" w:hAnsi="Times New Roman"/>
          <w:color w:val="000000" w:themeColor="text1"/>
          <w:sz w:val="16"/>
          <w:szCs w:val="16"/>
        </w:rPr>
        <w:softHyphen/>
        <w:t>чи пушки МП-6 были в начале 1941 г. необоснованными — в то время еще не существовало достаточно точной методики определения силы отдачи даже на станке, а на самолете изме</w:t>
      </w:r>
      <w:r w:rsidRPr="00640820">
        <w:rPr>
          <w:rFonts w:ascii="Times New Roman" w:hAnsi="Times New Roman"/>
          <w:color w:val="000000" w:themeColor="text1"/>
          <w:sz w:val="16"/>
          <w:szCs w:val="16"/>
        </w:rPr>
        <w:softHyphen/>
        <w:t>рить ее и вовсе не представлялось возможным. Дело, вероятно, заклю</w:t>
      </w:r>
      <w:r w:rsidRPr="00640820">
        <w:rPr>
          <w:rFonts w:ascii="Times New Roman" w:hAnsi="Times New Roman"/>
          <w:color w:val="000000" w:themeColor="text1"/>
          <w:sz w:val="16"/>
          <w:szCs w:val="16"/>
        </w:rPr>
        <w:softHyphen/>
        <w:t>чалось в другом. ОКБ было очень сложно решить вопрос о размеще</w:t>
      </w:r>
      <w:r w:rsidRPr="00640820">
        <w:rPr>
          <w:rFonts w:ascii="Times New Roman" w:hAnsi="Times New Roman"/>
          <w:color w:val="000000" w:themeColor="text1"/>
          <w:sz w:val="16"/>
          <w:szCs w:val="16"/>
        </w:rPr>
        <w:softHyphen/>
        <w:t>нии и обеспечении надежной работы магазинной пушки МП-6 под крылом штурмовика (наличие магазина вы</w:t>
      </w:r>
      <w:r w:rsidRPr="00640820">
        <w:rPr>
          <w:rFonts w:ascii="Times New Roman" w:hAnsi="Times New Roman"/>
          <w:color w:val="000000" w:themeColor="text1"/>
          <w:sz w:val="16"/>
          <w:szCs w:val="16"/>
        </w:rPr>
        <w:softHyphen/>
        <w:t>нуждали ставить пушки не в консо</w:t>
      </w:r>
      <w:r w:rsidRPr="00640820">
        <w:rPr>
          <w:rFonts w:ascii="Times New Roman" w:hAnsi="Times New Roman"/>
          <w:color w:val="000000" w:themeColor="text1"/>
          <w:sz w:val="16"/>
          <w:szCs w:val="16"/>
        </w:rPr>
        <w:softHyphen/>
        <w:t>лях, а под ними). Кроме того, Илью</w:t>
      </w:r>
      <w:r w:rsidRPr="00640820">
        <w:rPr>
          <w:rFonts w:ascii="Times New Roman" w:hAnsi="Times New Roman"/>
          <w:color w:val="000000" w:themeColor="text1"/>
          <w:sz w:val="16"/>
          <w:szCs w:val="16"/>
        </w:rPr>
        <w:softHyphen/>
        <w:t>шин, зная, как сложно идет процесс доводки МП-6 в серийном производ</w:t>
      </w:r>
      <w:r w:rsidRPr="00640820">
        <w:rPr>
          <w:rFonts w:ascii="Times New Roman" w:hAnsi="Times New Roman"/>
          <w:color w:val="000000" w:themeColor="text1"/>
          <w:sz w:val="16"/>
          <w:szCs w:val="16"/>
        </w:rPr>
        <w:softHyphen/>
        <w:t>стве, видимо, уже понимал, что при</w:t>
      </w:r>
      <w:r w:rsidRPr="00640820">
        <w:rPr>
          <w:rFonts w:ascii="Times New Roman" w:hAnsi="Times New Roman"/>
          <w:color w:val="000000" w:themeColor="text1"/>
          <w:sz w:val="16"/>
          <w:szCs w:val="16"/>
        </w:rPr>
        <w:softHyphen/>
        <w:t>нятые Наркоматом вооружения нео</w:t>
      </w:r>
      <w:r w:rsidRPr="00640820">
        <w:rPr>
          <w:rFonts w:ascii="Times New Roman" w:hAnsi="Times New Roman"/>
          <w:color w:val="000000" w:themeColor="text1"/>
          <w:sz w:val="16"/>
          <w:szCs w:val="16"/>
        </w:rPr>
        <w:softHyphen/>
        <w:t>боснованно сжатые сроки внедрения в производство еще сырой пушки в конечном итоге “похоронят” МП-6, и ее все же снимут с производ</w:t>
      </w:r>
      <w:r w:rsidRPr="00640820">
        <w:rPr>
          <w:rFonts w:ascii="Times New Roman" w:hAnsi="Times New Roman"/>
          <w:color w:val="000000" w:themeColor="text1"/>
          <w:sz w:val="16"/>
          <w:szCs w:val="16"/>
        </w:rPr>
        <w:softHyphen/>
        <w:t>ства. Как следствие — Ил-2 придется вновь дорабатывать, а это опять по</w:t>
      </w:r>
      <w:r w:rsidRPr="00640820">
        <w:rPr>
          <w:rFonts w:ascii="Times New Roman" w:hAnsi="Times New Roman"/>
          <w:color w:val="000000" w:themeColor="text1"/>
          <w:sz w:val="16"/>
          <w:szCs w:val="16"/>
        </w:rPr>
        <w:softHyphen/>
        <w:t>теря драгоценного времени. Однако говорить об этом вслух Ильюшин не решался, поскольку инициатором постановки МП-6 в крупносерийное производство был сам нарком воору</w:t>
      </w:r>
      <w:r w:rsidRPr="00640820">
        <w:rPr>
          <w:rFonts w:ascii="Times New Roman" w:hAnsi="Times New Roman"/>
          <w:color w:val="000000" w:themeColor="text1"/>
          <w:sz w:val="16"/>
          <w:szCs w:val="16"/>
        </w:rPr>
        <w:softHyphen/>
        <w:t>жения Б.Л.Ванников. Ссориться с ним в планы Ильюшина не входи</w:t>
      </w:r>
      <w:r w:rsidRPr="00640820">
        <w:rPr>
          <w:rFonts w:ascii="Times New Roman" w:hAnsi="Times New Roman"/>
          <w:color w:val="000000" w:themeColor="text1"/>
          <w:sz w:val="16"/>
          <w:szCs w:val="16"/>
        </w:rPr>
        <w:softHyphen/>
        <w:t>ло. Отсюда — стойкое его желание дискутировать “усиленную силу отда</w:t>
      </w:r>
      <w:r w:rsidRPr="00640820">
        <w:rPr>
          <w:rFonts w:ascii="Times New Roman" w:hAnsi="Times New Roman"/>
          <w:color w:val="000000" w:themeColor="text1"/>
          <w:sz w:val="16"/>
          <w:szCs w:val="16"/>
        </w:rPr>
        <w:softHyphen/>
        <w:t>чи” пушки ОКБ-16 как аргумент, что</w:t>
      </w:r>
      <w:r w:rsidRPr="00640820">
        <w:rPr>
          <w:rFonts w:ascii="Times New Roman" w:hAnsi="Times New Roman"/>
          <w:color w:val="000000" w:themeColor="text1"/>
          <w:sz w:val="16"/>
          <w:szCs w:val="16"/>
        </w:rPr>
        <w:softHyphen/>
        <w:t>бы отбиться от нее вовсе и не ста</w:t>
      </w:r>
      <w:r w:rsidRPr="00640820">
        <w:rPr>
          <w:rFonts w:ascii="Times New Roman" w:hAnsi="Times New Roman"/>
          <w:color w:val="000000" w:themeColor="text1"/>
          <w:sz w:val="16"/>
          <w:szCs w:val="16"/>
        </w:rPr>
        <w:softHyphen/>
        <w:t>вить судьбу своего штурмовика в за</w:t>
      </w:r>
      <w:r w:rsidRPr="00640820">
        <w:rPr>
          <w:rFonts w:ascii="Times New Roman" w:hAnsi="Times New Roman"/>
          <w:color w:val="000000" w:themeColor="text1"/>
          <w:sz w:val="16"/>
          <w:szCs w:val="16"/>
        </w:rPr>
        <w:softHyphen/>
        <w:t>висимость от судьбы пушки (4140).</w:t>
      </w:r>
    </w:p>
    <w:p w14:paraId="01F167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Косвенным подтверждением это</w:t>
      </w:r>
      <w:r w:rsidRPr="00640820">
        <w:rPr>
          <w:rFonts w:ascii="Times New Roman" w:hAnsi="Times New Roman"/>
          <w:color w:val="000000" w:themeColor="text1"/>
          <w:sz w:val="16"/>
          <w:szCs w:val="16"/>
        </w:rPr>
        <w:softHyphen/>
        <w:t>му предположению является то, что в марте 1941 г. ОКБ без особых возра</w:t>
      </w:r>
      <w:r w:rsidRPr="00640820">
        <w:rPr>
          <w:rFonts w:ascii="Times New Roman" w:hAnsi="Times New Roman"/>
          <w:color w:val="000000" w:themeColor="text1"/>
          <w:sz w:val="16"/>
          <w:szCs w:val="16"/>
        </w:rPr>
        <w:softHyphen/>
        <w:t>жений установило на Ил-2 23-мм пуш</w:t>
      </w:r>
      <w:r w:rsidRPr="00640820">
        <w:rPr>
          <w:rFonts w:ascii="Times New Roman" w:hAnsi="Times New Roman"/>
          <w:color w:val="000000" w:themeColor="text1"/>
          <w:sz w:val="16"/>
          <w:szCs w:val="16"/>
        </w:rPr>
        <w:softHyphen/>
        <w:t>ку ВЯ-23 конструкции А.А. Волкова и С. Я. Ярцева (ЦКБ-14 НКВ), кото</w:t>
      </w:r>
      <w:r w:rsidRPr="00640820">
        <w:rPr>
          <w:rFonts w:ascii="Times New Roman" w:hAnsi="Times New Roman"/>
          <w:color w:val="000000" w:themeColor="text1"/>
          <w:sz w:val="16"/>
          <w:szCs w:val="16"/>
        </w:rPr>
        <w:softHyphen/>
        <w:t>рая, как показали эксперименталь</w:t>
      </w:r>
      <w:r w:rsidRPr="00640820">
        <w:rPr>
          <w:rFonts w:ascii="Times New Roman" w:hAnsi="Times New Roman"/>
          <w:color w:val="000000" w:themeColor="text1"/>
          <w:sz w:val="16"/>
          <w:szCs w:val="16"/>
        </w:rPr>
        <w:softHyphen/>
        <w:t xml:space="preserve">ные работы, проведенные в НИИ АВ ВВС РККА в октябре-ноябре 1944-го, имела </w:t>
      </w:r>
      <w:r w:rsidRPr="00640820">
        <w:rPr>
          <w:rFonts w:ascii="Times New Roman" w:hAnsi="Times New Roman"/>
          <w:color w:val="000000" w:themeColor="text1"/>
          <w:sz w:val="16"/>
          <w:szCs w:val="16"/>
        </w:rPr>
        <w:lastRenderedPageBreak/>
        <w:t>максимальное значение силы отдачи на наземном станке ни много ни мало — 5,5 тонн, а при установке на самолете, где она имела возмож</w:t>
      </w:r>
      <w:r w:rsidRPr="00640820">
        <w:rPr>
          <w:rFonts w:ascii="Times New Roman" w:hAnsi="Times New Roman"/>
          <w:color w:val="000000" w:themeColor="text1"/>
          <w:sz w:val="16"/>
          <w:szCs w:val="16"/>
        </w:rPr>
        <w:softHyphen/>
        <w:t>ность отката — от 3 до 4 тонн. Между тем, “Илы” с пушками ВЯ-23 честно отслужили всю Отечественную войну без каких-либо серьезных нареканий (4140).</w:t>
      </w:r>
    </w:p>
    <w:p w14:paraId="250BA6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Как бы то ни было, но после соот</w:t>
      </w:r>
      <w:r w:rsidRPr="00640820">
        <w:rPr>
          <w:rFonts w:ascii="Times New Roman" w:hAnsi="Times New Roman"/>
          <w:color w:val="000000" w:themeColor="text1"/>
          <w:sz w:val="16"/>
          <w:szCs w:val="16"/>
        </w:rPr>
        <w:softHyphen/>
        <w:t>ветствующих “разъяснений сверху” пушки МП-6 (с магазином на 81 сна</w:t>
      </w:r>
      <w:r w:rsidRPr="00640820">
        <w:rPr>
          <w:rFonts w:ascii="Times New Roman" w:hAnsi="Times New Roman"/>
          <w:color w:val="000000" w:themeColor="text1"/>
          <w:sz w:val="16"/>
          <w:szCs w:val="16"/>
        </w:rPr>
        <w:softHyphen/>
        <w:t>ряд) были все же установлены на опытный Ил-2. Остальное вооруже</w:t>
      </w:r>
      <w:r w:rsidRPr="00640820">
        <w:rPr>
          <w:rFonts w:ascii="Times New Roman" w:hAnsi="Times New Roman"/>
          <w:color w:val="000000" w:themeColor="text1"/>
          <w:sz w:val="16"/>
          <w:szCs w:val="16"/>
        </w:rPr>
        <w:softHyphen/>
        <w:t>ние самолета осталось прежним (4140).</w:t>
      </w:r>
    </w:p>
    <w:p w14:paraId="4AF222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Первые же стрельбы в воздухе из МП-6 показали полную непригод</w:t>
      </w:r>
      <w:r w:rsidRPr="00640820">
        <w:rPr>
          <w:rFonts w:ascii="Times New Roman" w:hAnsi="Times New Roman"/>
          <w:color w:val="000000" w:themeColor="text1"/>
          <w:sz w:val="16"/>
          <w:szCs w:val="16"/>
        </w:rPr>
        <w:softHyphen/>
        <w:t>ность разработанной в ОКБ Илью</w:t>
      </w:r>
      <w:r w:rsidRPr="00640820">
        <w:rPr>
          <w:rFonts w:ascii="Times New Roman" w:hAnsi="Times New Roman"/>
          <w:color w:val="000000" w:themeColor="text1"/>
          <w:sz w:val="16"/>
          <w:szCs w:val="16"/>
        </w:rPr>
        <w:softHyphen/>
        <w:t>шина пушечной установки для Ил-2 — выходящая из пушки обойма, попа</w:t>
      </w:r>
      <w:r w:rsidRPr="00640820">
        <w:rPr>
          <w:rFonts w:ascii="Times New Roman" w:hAnsi="Times New Roman"/>
          <w:color w:val="000000" w:themeColor="text1"/>
          <w:sz w:val="16"/>
          <w:szCs w:val="16"/>
        </w:rPr>
        <w:softHyphen/>
        <w:t>дая при стрельбе в воздушный поток, заклинивалась и стрельба прекраща</w:t>
      </w:r>
      <w:r w:rsidRPr="00640820">
        <w:rPr>
          <w:rFonts w:ascii="Times New Roman" w:hAnsi="Times New Roman"/>
          <w:color w:val="000000" w:themeColor="text1"/>
          <w:sz w:val="16"/>
          <w:szCs w:val="16"/>
        </w:rPr>
        <w:softHyphen/>
        <w:t>лась. Для защиты обойм от потока на консолях крыла пришлось устано</w:t>
      </w:r>
      <w:r w:rsidRPr="00640820">
        <w:rPr>
          <w:rFonts w:ascii="Times New Roman" w:hAnsi="Times New Roman"/>
          <w:color w:val="000000" w:themeColor="text1"/>
          <w:sz w:val="16"/>
          <w:szCs w:val="16"/>
        </w:rPr>
        <w:softHyphen/>
        <w:t>вить обтекатели. Выросшие в габари</w:t>
      </w:r>
      <w:r w:rsidRPr="00640820">
        <w:rPr>
          <w:rFonts w:ascii="Times New Roman" w:hAnsi="Times New Roman"/>
          <w:color w:val="000000" w:themeColor="text1"/>
          <w:sz w:val="16"/>
          <w:szCs w:val="16"/>
        </w:rPr>
        <w:softHyphen/>
        <w:t>тах обтекатели пушек имели значи</w:t>
      </w:r>
      <w:r w:rsidRPr="00640820">
        <w:rPr>
          <w:rFonts w:ascii="Times New Roman" w:hAnsi="Times New Roman"/>
          <w:color w:val="000000" w:themeColor="text1"/>
          <w:sz w:val="16"/>
          <w:szCs w:val="16"/>
        </w:rPr>
        <w:softHyphen/>
        <w:t>тельную парусность, что сказывалось на аэродинамике и маневренности машины. Кроме того, боекомплект из 162 снарядов на обе пушки был признан недостаточным. Требова</w:t>
      </w:r>
      <w:r w:rsidRPr="00640820">
        <w:rPr>
          <w:rFonts w:ascii="Times New Roman" w:hAnsi="Times New Roman"/>
          <w:color w:val="000000" w:themeColor="text1"/>
          <w:sz w:val="16"/>
          <w:szCs w:val="16"/>
        </w:rPr>
        <w:softHyphen/>
        <w:t>лась срочная доработка МП-6 под звеньевое питание. Пока же на опыт</w:t>
      </w:r>
      <w:r w:rsidRPr="00640820">
        <w:rPr>
          <w:rFonts w:ascii="Times New Roman" w:hAnsi="Times New Roman"/>
          <w:color w:val="000000" w:themeColor="text1"/>
          <w:sz w:val="16"/>
          <w:szCs w:val="16"/>
        </w:rPr>
        <w:softHyphen/>
        <w:t>ный Ил-2 были установлены менее мощные, но хорошо отработанные 20-мм пушки ШВАК, и с ними к 22 фе</w:t>
      </w:r>
      <w:r w:rsidRPr="00640820">
        <w:rPr>
          <w:rFonts w:ascii="Times New Roman" w:hAnsi="Times New Roman"/>
          <w:color w:val="000000" w:themeColor="text1"/>
          <w:sz w:val="16"/>
          <w:szCs w:val="16"/>
        </w:rPr>
        <w:softHyphen/>
        <w:t>враля 1941 г. новый штурмовик ус</w:t>
      </w:r>
      <w:r w:rsidRPr="00640820">
        <w:rPr>
          <w:rFonts w:ascii="Times New Roman" w:hAnsi="Times New Roman"/>
          <w:color w:val="000000" w:themeColor="text1"/>
          <w:sz w:val="16"/>
          <w:szCs w:val="16"/>
        </w:rPr>
        <w:softHyphen/>
        <w:t>пешно отлетал программу заводских испытаний (4140).</w:t>
      </w:r>
    </w:p>
    <w:p w14:paraId="46131A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сожалению, пушки установили на месте внешних пулеметов, что нельзя признать рациональным. Как показали расчеты, если бы их устано</w:t>
      </w:r>
      <w:r w:rsidRPr="00640820">
        <w:rPr>
          <w:rFonts w:ascii="Times New Roman" w:hAnsi="Times New Roman"/>
          <w:color w:val="000000" w:themeColor="text1"/>
          <w:sz w:val="16"/>
          <w:szCs w:val="16"/>
        </w:rPr>
        <w:softHyphen/>
        <w:t>вили вместо внутренних пулеметов, то боевая эффективность выросла бы в 1,5 раза. В реализованной же схеме были велики ошибки прицели</w:t>
      </w:r>
      <w:r w:rsidRPr="00640820">
        <w:rPr>
          <w:rFonts w:ascii="Times New Roman" w:hAnsi="Times New Roman"/>
          <w:color w:val="000000" w:themeColor="text1"/>
          <w:sz w:val="16"/>
          <w:szCs w:val="16"/>
        </w:rPr>
        <w:softHyphen/>
        <w:t>вания из-за большого удаления пушек от линии прицеливания; значитель</w:t>
      </w:r>
      <w:r w:rsidRPr="00640820">
        <w:rPr>
          <w:rFonts w:ascii="Times New Roman" w:hAnsi="Times New Roman"/>
          <w:color w:val="000000" w:themeColor="text1"/>
          <w:sz w:val="16"/>
          <w:szCs w:val="16"/>
        </w:rPr>
        <w:softHyphen/>
        <w:t>ным оказалось рассеивание снарядов из-за вибрации крыла. С другой сто</w:t>
      </w:r>
      <w:r w:rsidRPr="00640820">
        <w:rPr>
          <w:rFonts w:ascii="Times New Roman" w:hAnsi="Times New Roman"/>
          <w:color w:val="000000" w:themeColor="text1"/>
          <w:sz w:val="16"/>
          <w:szCs w:val="16"/>
        </w:rPr>
        <w:softHyphen/>
        <w:t>роны, установка пушек на месте внешних пулеметов была значитель</w:t>
      </w:r>
      <w:r w:rsidRPr="00640820">
        <w:rPr>
          <w:rFonts w:ascii="Times New Roman" w:hAnsi="Times New Roman"/>
          <w:color w:val="000000" w:themeColor="text1"/>
          <w:sz w:val="16"/>
          <w:szCs w:val="16"/>
        </w:rPr>
        <w:softHyphen/>
        <w:t>но проще и потребовала минималь</w:t>
      </w:r>
      <w:r w:rsidRPr="00640820">
        <w:rPr>
          <w:rFonts w:ascii="Times New Roman" w:hAnsi="Times New Roman"/>
          <w:color w:val="000000" w:themeColor="text1"/>
          <w:sz w:val="16"/>
          <w:szCs w:val="16"/>
        </w:rPr>
        <w:softHyphen/>
        <w:t>ных доработок в конструкции штур</w:t>
      </w:r>
      <w:r w:rsidRPr="00640820">
        <w:rPr>
          <w:rFonts w:ascii="Times New Roman" w:hAnsi="Times New Roman"/>
          <w:color w:val="000000" w:themeColor="text1"/>
          <w:sz w:val="16"/>
          <w:szCs w:val="16"/>
        </w:rPr>
        <w:softHyphen/>
        <w:t>мовика. Видимо, именно поэтому в условиях острой нехватки времени было принято это неграмотное с точ</w:t>
      </w:r>
      <w:r w:rsidRPr="00640820">
        <w:rPr>
          <w:rFonts w:ascii="Times New Roman" w:hAnsi="Times New Roman"/>
          <w:color w:val="000000" w:themeColor="text1"/>
          <w:sz w:val="16"/>
          <w:szCs w:val="16"/>
        </w:rPr>
        <w:softHyphen/>
        <w:t>ки зрения боевой эффективности ре</w:t>
      </w:r>
      <w:r w:rsidRPr="00640820">
        <w:rPr>
          <w:rFonts w:ascii="Times New Roman" w:hAnsi="Times New Roman"/>
          <w:color w:val="000000" w:themeColor="text1"/>
          <w:sz w:val="16"/>
          <w:szCs w:val="16"/>
        </w:rPr>
        <w:softHyphen/>
        <w:t>шение (4140).</w:t>
      </w:r>
    </w:p>
    <w:p w14:paraId="65EEB4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1A254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октября 1941 года был составлен Паспорт завода № 387 по состоянию на 1 октября 1941 года</w:t>
      </w:r>
    </w:p>
    <w:p w14:paraId="1B8A15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Год основания – 1935 год</w:t>
      </w:r>
    </w:p>
    <w:p w14:paraId="1B669F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Год ввода в эксплуатацию:</w:t>
      </w:r>
    </w:p>
    <w:p w14:paraId="4B046A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частичного – 1936 год</w:t>
      </w:r>
    </w:p>
    <w:p w14:paraId="038993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Реконструируемый на базе завода № 169</w:t>
      </w:r>
    </w:p>
    <w:p w14:paraId="4FD943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Характер производства –среднесерийное</w:t>
      </w:r>
    </w:p>
    <w:p w14:paraId="5CEF85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Наименование производства – самолетостроительный</w:t>
      </w:r>
    </w:p>
    <w:p w14:paraId="6BF099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Казань 30, п/я 634</w:t>
      </w:r>
    </w:p>
    <w:p w14:paraId="0839DD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самолеты У-2, С-2 и гр. комплекты; запчасти к самолету И-15 бис; планеры “Орел”, “Сокол” и др.</w:t>
      </w:r>
    </w:p>
    <w:p w14:paraId="2F01FC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387 ныне находящийся в черте Казани эвакуирован из Ленинграда, монтируется и реконструируется на базе завода № 169 НКАП (9341).</w:t>
      </w:r>
    </w:p>
    <w:p w14:paraId="7A3E76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96765A8"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1EB3BC38"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048702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октября 1941 года вышел Приказ НКБ № 2Н</w:t>
      </w:r>
    </w:p>
    <w:p w14:paraId="26048BA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дополнение к приказу № 118 от 18 октября:</w:t>
      </w:r>
    </w:p>
    <w:p w14:paraId="176D36C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Образовать в Коврове на базе эвакуированного филиала № 2 завода № 70 самостоятельный уставный завод НКБ – завод № 71 (5678, 7).</w:t>
      </w:r>
    </w:p>
    <w:p w14:paraId="53DBD00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C884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октября 1941г. эвакуированный в Шадринск на площадку Мотороремонтного завода Прилукский завод противопожарного оборудования (ППО) им. Войкова начал выпуск продукции. Кроме того, была сделана пристройка к главному корпусу и переоборудован склад под инструментальный цех, который был сдан к 1.01.1942г.</w:t>
      </w:r>
    </w:p>
    <w:p w14:paraId="51A006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7.12.1941г. прибыло оборудование эвакуированного Экспериментального завода сложного автоматостроения для пищевой промышленности им. Калинина из Москвы. Также на площадку МРЗ был эвакуирован завод полиграфических машин из Ленинграда. В результате объединения заводов был создан единый завод ППО (Завод № 815 НКВМ, Шадринский мотороремонтный завод (МРЗ), Завод противопожарного оборудования НКМВ, Шадринский завод полиграфических машин («Полиграфмаш») ММиП, ОАО «Шадринский завод транспортного машиностроения» /г. Шадринск пл. Революции «Молот» (1948г.)/ /641878 г. Шадринск Курганской обл. ул. Первомайская, 5/). В 06.1942г. завод № 815 - в ведении треста ППО НКМВ, приказом НКМВ № 250с от 7.07.1942г. завод передан в ведение ЗГУ.</w:t>
      </w:r>
      <w:r w:rsidRPr="00640820">
        <w:rPr>
          <w:rFonts w:ascii="Times New Roman" w:hAnsi="Times New Roman"/>
          <w:color w:val="000000" w:themeColor="text1"/>
          <w:sz w:val="16"/>
          <w:szCs w:val="16"/>
          <w:vertAlign w:val="superscript"/>
        </w:rPr>
        <w:t>129</w:t>
      </w:r>
    </w:p>
    <w:p w14:paraId="031A18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24.12.1941г. был введен в строй минометный цех № 2, к 1.01.1942г. выпущены первые минометы, в 03.1942г.- первая партия 50-мм мин. Приказом НКМВ № 236сс от 6.07.1942г. заводу поручено организовать производство 82-мм агитационных мин с выпуском в 08.1942г. 10 тыс. штук. Пост. ГКО № 1962сс от 4.07.1942г. и приказом НКМВ № 237сс от 7.07.1942г. заводу установлен план выпуска на 3-й квартал 1942г. 50-мм минометов- 1200 шт. В 1943г. освоен выпуск 6 новых изделий. В 1945г. начат переход на выпуск гражданской продукции.</w:t>
      </w:r>
    </w:p>
    <w:p w14:paraId="1B2EE2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1946г. завод № 815 преобразован в завод «Полиграфмаш», в 1947-48г. завод - в ведении Главполиграфмаша ММиП.</w:t>
      </w:r>
    </w:p>
    <w:p w14:paraId="70C198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предприятия (1947г.) цехи: основные: машиностроительный, станкостроительный, литейный; вспомогательные: кузнечно-прессовый, инструментальный, ремонтно-механический, электроцех.</w:t>
      </w:r>
    </w:p>
    <w:p w14:paraId="4DFC50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1996г. завод «Полиграфмаш» обанкрочен и ликвидирован.</w:t>
      </w:r>
    </w:p>
    <w:p w14:paraId="63AC4E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(1946г.)- 285 ед., (1947г.)- 281 ед.</w:t>
      </w:r>
    </w:p>
    <w:p w14:paraId="643F08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территории (1947г.)- 2,0 га; застройки (1947г.)- 8170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производственная (1946-47г.)- 5570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6142A4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(1946г.)- 1053 чел., (1947г.)- 956 чел.</w:t>
      </w:r>
    </w:p>
    <w:p w14:paraId="54BFDD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(06.1942г.)- Стругацкий, (1948г.)- Седелев.</w:t>
      </w:r>
    </w:p>
    <w:p w14:paraId="5F9765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(1948г.)- Росаткевич.</w:t>
      </w:r>
    </w:p>
    <w:p w14:paraId="4E2BE7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50-мм минометы; мины: 50-мм, 82-мм, АМБ, детали для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 xml:space="preserve"> М-8, М-13 (1942); машина печатная тигельная ТЦ, Т2, ТТ-1; пресс ручной позолотный ПЗ-1; мотопомпа М; станки: токарный Т-1, токарный специальный ТЛ-1, часовой К-8 (1947).</w:t>
      </w:r>
      <w:r w:rsidRPr="00640820">
        <w:rPr>
          <w:rFonts w:ascii="Times New Roman" w:hAnsi="Times New Roman"/>
          <w:color w:val="000000" w:themeColor="text1"/>
          <w:sz w:val="16"/>
          <w:szCs w:val="16"/>
          <w:vertAlign w:val="superscript"/>
        </w:rPr>
        <w:t>124</w:t>
      </w:r>
    </w:p>
    <w:p w14:paraId="0558B6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Прилукский завод противопожарного оборудования (ППО) им. Войкова ММиП /Украина пос. Ладан Прилукского р-на Черниговской обл. «Огнетушитель» (1948г.)/</w:t>
      </w:r>
    </w:p>
    <w:p w14:paraId="376AB2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1941г. действовал цех № 1 по производству авиационных взрывателей.</w:t>
      </w:r>
    </w:p>
    <w:p w14:paraId="1340E1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10.1941г. завод был эвакуирован в Шадринск на площадку Мотороремонтного завода; производство ЗАБ-50 эвакуировано в Свердловск на площадку завода № 612 НКБ.</w:t>
      </w:r>
    </w:p>
    <w:p w14:paraId="3B205D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Затем завод был восстановлен в Прилуках. В 1947-48г. завод - в ведении ГлавУППО ММиП.</w:t>
      </w:r>
    </w:p>
    <w:p w14:paraId="63AE36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предприятия (1947г.) цехи: основные: огнетушительный, механический, литейный, сборочный пожарных машин, деревообделочный; вспомогательные: ремонтный, инструментальный, сантехнический.</w:t>
      </w:r>
    </w:p>
    <w:p w14:paraId="2D7C4C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(1939г.)- 110 ед., (1946г.)- 128 ед, (1947г.)- 246 ед.</w:t>
      </w:r>
    </w:p>
    <w:p w14:paraId="149840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территории (1947г.)- 21,65 га; застройки (1947г.)- 20474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производственная (1939г.)-</w:t>
      </w:r>
    </w:p>
    <w:p w14:paraId="2FE113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9600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(1946г.)- 9113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(1947г.)- 9767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68B7A8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(1939г.)- 1651 чел, (1946г.)- 520 чел, (1947г.)- 594 чел.</w:t>
      </w:r>
    </w:p>
    <w:p w14:paraId="68C2F5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(1948г.)- Реутов.</w:t>
      </w:r>
    </w:p>
    <w:p w14:paraId="1A405B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(1948г.)- Бурко.</w:t>
      </w:r>
    </w:p>
    <w:p w14:paraId="3207E9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авиационные взрыватели «АМБ б/в» (-1941); автонасосы ПМГ-3, огнетушители ОП-3, ОП-1, спринклерная головка 2СП, дренчлерная головка (1947) (11982).</w:t>
      </w:r>
      <w:r w:rsidRPr="00640820">
        <w:rPr>
          <w:rFonts w:ascii="Times New Roman" w:hAnsi="Times New Roman"/>
          <w:color w:val="000000" w:themeColor="text1"/>
          <w:sz w:val="16"/>
          <w:szCs w:val="16"/>
          <w:vertAlign w:val="superscript"/>
        </w:rPr>
        <w:t>129</w:t>
      </w:r>
    </w:p>
    <w:p w14:paraId="74A083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CE6BFD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октя</w:t>
      </w:r>
      <w:r w:rsidRPr="00640820">
        <w:rPr>
          <w:rFonts w:ascii="Times New Roman" w:hAnsi="Times New Roman"/>
          <w:color w:val="000000" w:themeColor="text1"/>
          <w:sz w:val="16"/>
          <w:szCs w:val="16"/>
        </w:rPr>
        <w:softHyphen/>
        <w:t>бря 1941 года первые три машины БА-10М на двухосных шасси пе</w:t>
      </w:r>
      <w:r w:rsidRPr="00640820">
        <w:rPr>
          <w:rFonts w:ascii="Times New Roman" w:hAnsi="Times New Roman"/>
          <w:color w:val="000000" w:themeColor="text1"/>
          <w:sz w:val="16"/>
          <w:szCs w:val="16"/>
        </w:rPr>
        <w:softHyphen/>
        <w:t>редали в войска (11284).</w:t>
      </w:r>
    </w:p>
    <w:p w14:paraId="4B5B24E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Вот что об этом сказано в приемном акте бронеавтомобилей, подписанном военпредом завода № 189 военным инженером 2-го ранга Дебенским при передаче броневиков 12-му танковому полку:</w:t>
      </w:r>
    </w:p>
    <w:p w14:paraId="02A289E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«Машина БА-10 линейная № 933 — 1 (опытная на базе ГАЗ-АА);</w:t>
      </w:r>
    </w:p>
    <w:p w14:paraId="3092402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машина БА-10 радийная № 950 - 1 (на базе ГАЗ-АА);</w:t>
      </w:r>
    </w:p>
    <w:p w14:paraId="75B4306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машина БА-10 линейная № 3001 - 1 (на базе ЗИС-5).</w:t>
      </w:r>
    </w:p>
    <w:p w14:paraId="1CB293A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машинами передано 3 45-мм танковых пушки, 5 7,62-мм пулеметов ДТ, 48 осколочно-фугасных, 135 бронебойных 45-мм снарядов, 2430 обычных, 1215 трассирую</w:t>
      </w:r>
      <w:r w:rsidRPr="00640820">
        <w:rPr>
          <w:rFonts w:ascii="Times New Roman" w:hAnsi="Times New Roman"/>
          <w:color w:val="000000" w:themeColor="text1"/>
          <w:sz w:val="16"/>
          <w:szCs w:val="16"/>
        </w:rPr>
        <w:softHyphen/>
        <w:t>щих, 7866 бронебойно-зажигательных 7,62-мм патронов, 60 фанат Ф-1.</w:t>
      </w:r>
    </w:p>
    <w:p w14:paraId="09D811D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Две машины — № 950 опытная на базе ГАЗ-АА и № 3001 опытная на базе ЗИС-5 по указанию майора т. Волкова переданы батальону ижорских рабочих» (11284).</w:t>
      </w:r>
    </w:p>
    <w:p w14:paraId="41303AB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497C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октября 1941 г. по приказу НКЭП на базе эвакуированных в Прокопьевск (р-н Тыргана) цехов Харьковского электромеханического завода был основан Завод № 651 НКЭП, Завод, ГП, АО «Электромашина», ОАО «Электромашина-М» /653000  г. Прокопьевск Кемеровской обл. пр. Шахтеров, 1/со сроком пуска нового завода 1.12.1941 г. В его состав был также влит эвакуированный Воронежский электромашиностроительный завод. В годы войны выпускал электромашины, мины.</w:t>
      </w:r>
    </w:p>
    <w:p w14:paraId="084314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начале 1943 г. заводу была выделена новая производственная площадка площадью 8,12 га (затем была увеличена) в районе Тупика. Ленинградским отделением Гипроэнергопрома был разработан проект. В 1950 г. был сдан корпус № 2, со старой площадки в него переведены заводоуправление, цеха № 2, 3, 5, 26, ЦЗЛ. Затем начато строительство корпусов 4 и 5.</w:t>
      </w:r>
    </w:p>
    <w:p w14:paraId="107A76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1949 г. начат выпуск электромашинных преобразователей для навигационного оборудования кораблей ВМФ. С конца 1950-х  г. - контакторов и машин постоянного тока; с 1961 г. - бесконтактной регулирующей аппаратуры для двигателей постоянного тока на основе магнитных усилителей; с 1968 г. - выпуск полупроводниковых приводов с применением дискретных элементов и тиристоров.</w:t>
      </w:r>
    </w:p>
    <w:p w14:paraId="451247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1971 г. на базе заводского КБ создан НИИ. В 1993 г. НИИ преобразован в Инженерный центр.</w:t>
      </w:r>
    </w:p>
    <w:p w14:paraId="695744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1990 г. ГП «Электромашина» преобразовано в АО. В 2002 г. создано ОАО «Электромашина-М».</w:t>
      </w:r>
    </w:p>
    <w:p w14:paraId="53FDF5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производственная (1958 г.)- около 27 тыс. м".</w:t>
      </w:r>
    </w:p>
    <w:p w14:paraId="50BE13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(1941 г.-)- А.Н. Грицай.</w:t>
      </w:r>
    </w:p>
    <w:p w14:paraId="26F802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стартер СТ-700 для Т-34, машины ПР-100, ПР-150 для прожекторов, генератор ПН 17,5, ПН 25, 5 для радиопередатчиков (ВОВ); электромашины постоянного тока серии П, ПМ (1950-е), серии П «морские» (</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960-), серий ПБСТ, ПСТ, ПГТ, 2П (1970-), серии 2ПБВ для привода станков с ЧПУ (1976-), серии 4ПФ (1985-). серий 4ПБМ, 4ПНМ (1988-); контакторы постоянного тока серии КН (1950-е); полупроводниковые приводы ПТЗ. ПКВТ, ПТЗР (1968-); привод ЭПУ 1 (1986-).</w:t>
      </w:r>
    </w:p>
    <w:p w14:paraId="138EC1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КБ завода, НИИ завода, Инженерный центр</w:t>
      </w:r>
    </w:p>
    <w:p w14:paraId="66AB53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1971 г. на базе заводского КБ создан НИИ, в 1993 г. он преобразован в Инженерный центр.</w:t>
      </w:r>
    </w:p>
    <w:p w14:paraId="55B953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широкорегулируемый электродвигатель постоянного тока серии 4ПФ (1981-85) (11982).</w:t>
      </w:r>
    </w:p>
    <w:p w14:paraId="41C36D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14896E2"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58D111C0"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7A2CEB0" w14:textId="77777777" w:rsidR="005C0774" w:rsidRPr="00640820" w:rsidRDefault="005C0774"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23 октября </w:t>
      </w:r>
      <w:r w:rsidRPr="00640820">
        <w:rPr>
          <w:rFonts w:ascii="Times New Roman" w:hAnsi="Times New Roman"/>
          <w:color w:val="000000" w:themeColor="text1"/>
          <w:sz w:val="16"/>
          <w:szCs w:val="16"/>
        </w:rPr>
        <w:t>в 1941 году утреннее сообщение Совинформбюро:</w:t>
      </w:r>
    </w:p>
    <w:p w14:paraId="6BE0165E" w14:textId="77777777" w:rsidR="005C0774" w:rsidRPr="00640820" w:rsidRDefault="005C077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23 октября наши войска вели бои на всём фронте.</w:t>
      </w:r>
    </w:p>
    <w:p w14:paraId="0EC70B96" w14:textId="77777777" w:rsidR="005C0774" w:rsidRPr="00640820" w:rsidRDefault="005C077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результате бомбардировки и штурмовых действий одна наша авиачасть за 14-18 октября уничтожила 108 танков противника, 189 автомашин с пехотой и боеприпасами, 6 бензиноцистерн, около 50 мотоциклов, несколько орудий и 2 батареи зенитной артиллерии.</w:t>
      </w:r>
    </w:p>
    <w:p w14:paraId="051441A7" w14:textId="77777777" w:rsidR="005C0774" w:rsidRPr="00640820" w:rsidRDefault="005C077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20 дней боевых действий лётчики подразделений тт. Комарова, Равнина и Зайцева, действующие на Юго-Западном направлении фронта, уничтожили 56 фашистских самолётов, более 160 танков, свыше 700 автомашин, 54 танкетки, 15 бронемашин, 33 орудия, 18 зенитно-пулемётных установок, более 2 батальонов пехоты противника и 6 взводов конницы.</w:t>
      </w:r>
    </w:p>
    <w:p w14:paraId="75275412" w14:textId="77777777" w:rsidR="005C0774" w:rsidRPr="00640820" w:rsidRDefault="005C077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 наша часть, действующая на Западном фронте, захватила 85 мотоциклов противника, 12 автомашин, из них 2 штабные машины с документами, 400 велосипедов, 6 противотанковых орудий, 10 пулемётов, 5 миномётов, большое количество винтовок, боеприпасов и обмундирования.</w:t>
      </w:r>
    </w:p>
    <w:p w14:paraId="00D11D6B" w14:textId="77777777" w:rsidR="005C0774" w:rsidRPr="00640820" w:rsidRDefault="005C077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Большую отвагу в боях проявляют связисты. Отделение младшего сержанта Солдатова, несмотря на пулемётный обстрел вражеских самолётов, восстановило телефонную связь, разрушенную авиабомбой. Связисты Солдатов и Панчук, будучи ранеными, продолжали работу по восстановлению связи, пока не выполнили боевого задания.</w:t>
      </w:r>
    </w:p>
    <w:p w14:paraId="7162547B" w14:textId="77777777" w:rsidR="005C0774" w:rsidRPr="00640820" w:rsidRDefault="005C077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Каждый день германские оккупационные власти во Франции объявляют о новых смертных приговорах за антигерманские выступления. За последние 3 дня в Париже было казнено 84 француза. На состоявшемся 18 октября заседании суда слушалось дело молодого учителя из Сен-Дени Жиро, обвинённого «в подстрекательстве учеников к антигерманским выступлениям». Когда суд объявил обвиняемому смертный приговор, Жиро воскликнул: «Вы хотите вселить в сердца французов ужас, но порождаете ярость. Скоро вам будет конец, проклятые боши!». Эти слова Жиро были распространены антифашистами в виде листовок и расклеены на стенах домов.</w:t>
      </w:r>
    </w:p>
    <w:p w14:paraId="644FDEE1" w14:textId="77777777" w:rsidR="005C0774" w:rsidRPr="00640820" w:rsidRDefault="005C077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Особенную ярость оккупантов вызвало убийство в Нанте немецкого генерала Гольца. Германские власти в Париже приказали казнить 50 французов в качестве репрессивной меры за убийство Гольца. Немцы угрожают, что, если к 23 октября убийцы генерала не будут обнаружены, оккупационные власти прикажут казнить ещё 50 заложников.</w:t>
      </w:r>
    </w:p>
    <w:p w14:paraId="67264E34" w14:textId="77777777" w:rsidR="005C0774" w:rsidRPr="00640820" w:rsidRDefault="005C077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небывалым подъёмом работают в дни Отечественной войны советские учёные Азербайджана. Коллектив научных сотрудников, руководимый т. Мамедалиевым, разработал в лабораторных условиях получение высокооктанового топлива. Сейчас подготовляется его внедрение в производство. Круглые сутки работает лаборатория старшего инженера т. Масумяна, изучающая качество нефти в новых горизонтах.</w:t>
      </w:r>
    </w:p>
    <w:p w14:paraId="43931362" w14:textId="77777777" w:rsidR="005C0774" w:rsidRPr="00640820" w:rsidRDefault="005C077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Успешно работает над проблемой коксования среднеазиатских углей химический институт Узбекского филиала Академии наук СССР. Лаборатория уже получила первый кокс из угля одного узбекистанского месторождения. Сейчас организуются опыты в более крупном масштабе на одном из заводов республики. Одновременно изучается коксуемость других углей Средней Азии. Большой практический интерес представляют опыты по получению искусственного жидкого топлива из горючих сланцев Узбекистана.» (14808).</w:t>
      </w:r>
    </w:p>
    <w:p w14:paraId="7C5B5F0E" w14:textId="77777777" w:rsidR="005C0774" w:rsidRPr="00640820" w:rsidRDefault="005C0774" w:rsidP="00640820">
      <w:pPr>
        <w:spacing w:after="0" w:line="240" w:lineRule="auto"/>
        <w:jc w:val="both"/>
        <w:rPr>
          <w:rFonts w:ascii="Times New Roman" w:hAnsi="Times New Roman"/>
          <w:color w:val="000000" w:themeColor="text1"/>
          <w:sz w:val="16"/>
          <w:szCs w:val="16"/>
        </w:rPr>
      </w:pPr>
    </w:p>
    <w:p w14:paraId="585A8EBA" w14:textId="77777777" w:rsidR="005C0774" w:rsidRPr="00640820" w:rsidRDefault="005C0774"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23 октября </w:t>
      </w:r>
      <w:r w:rsidRPr="00640820">
        <w:rPr>
          <w:rFonts w:ascii="Times New Roman" w:hAnsi="Times New Roman"/>
          <w:color w:val="000000" w:themeColor="text1"/>
          <w:sz w:val="16"/>
          <w:szCs w:val="16"/>
        </w:rPr>
        <w:t>в 1941 году вечернее сообщение Совинформбюро:</w:t>
      </w:r>
    </w:p>
    <w:p w14:paraId="25224C1D" w14:textId="77777777" w:rsidR="005C0774" w:rsidRPr="00640820" w:rsidRDefault="005C077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23 октября наши войска вели бои на всём фронте. На Можайском и Малоярославецком направлениях немецко-фашистские войска предприняли ряд ожесточённых атак на наши позиции. Атаки немцев были отбиты с большими потерями для врага.</w:t>
      </w:r>
    </w:p>
    <w:p w14:paraId="2FCEC682" w14:textId="77777777" w:rsidR="005C0774" w:rsidRPr="00640820" w:rsidRDefault="005C077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22 октября уничтожено 37 немецких самолётов. Наши потери — 11 самолётов.</w:t>
      </w:r>
    </w:p>
    <w:p w14:paraId="2AA23821" w14:textId="77777777" w:rsidR="005C0774" w:rsidRPr="00640820" w:rsidRDefault="005C077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уточнённым данным, за 22 октября под Москвой сбито не 16 немецких самолётов, гак сообщалось ранее, а 24 самолёта. За 23 октября под Москвой сбито 4 самолёта противника.</w:t>
      </w:r>
    </w:p>
    <w:p w14:paraId="2C5007BB" w14:textId="77777777" w:rsidR="005C0774" w:rsidRPr="00640820" w:rsidRDefault="005C077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Одно наше авиасоединение уничтожило за 22 октября 100 немецких танков, более 250 автомашин с пехотой и военным снаряжением и до батальона вражеской пехоты.</w:t>
      </w:r>
    </w:p>
    <w:p w14:paraId="15455E30" w14:textId="77777777" w:rsidR="005C0774" w:rsidRPr="00640820" w:rsidRDefault="005C077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 наша часть, действующая на Северо-Западном направлении фронта, в танковом бою нанесла противнику большие потери. За несколько часов эта часть уничтожила 15 немецких танков, 10 орудий, несколько миномётных батарей и свыше 600 солдат и офицеров.</w:t>
      </w:r>
    </w:p>
    <w:p w14:paraId="213B1555" w14:textId="77777777" w:rsidR="005C0774" w:rsidRPr="00640820" w:rsidRDefault="005C077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оккупированных немцами районов Калининской и Смоленской областей поступили сообщения об исключительно смелых действиях трёх партизанских отрядов. Командир партизанского отряда тов. И. получил донесение разведки о том, что на одной из станций высадилась крупная немецкая часть. Подтянув все свои группы к станции, тов. И. ночью напал на немецкий лагерь. Налёт был совершенно неожиданным для немцев. Фашистские солдаты в панике заметались по станционным путям. Бойцы отряда прекрасно использовали ночные условия боя. Гранатами и штыками партизаны убили до 300 немецких солдат и офицеров. Остальные фашисты разбежались.</w:t>
      </w:r>
    </w:p>
    <w:p w14:paraId="72AE12B3" w14:textId="77777777" w:rsidR="005C0774" w:rsidRPr="00640820" w:rsidRDefault="005C077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Удачное нападение на крупный транспорт противника совершил партизанский отряд под командованием тов. П. Бойцы отряда подбили 2 фашистских танка, сожгли 6 грузовых автомашин с боеприпасами и убили 24 немецких солдата и офицера. Отряд под командованием тов. Д. в боях с немцами захватил 2 противотанковых орудия и 160 снарядов к ним, уничтожил больше 100 вражеских солдат и офицеров и 6 автомашин с военным снаряжением.</w:t>
      </w:r>
    </w:p>
    <w:p w14:paraId="1B105F68" w14:textId="77777777" w:rsidR="005C0774" w:rsidRPr="00640820" w:rsidRDefault="005C077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Советские патриоты непрерывно увеличивают производство оружия и снаряжения для Красной Армии. Успешно работает первый цех московского завода «Красный пролетарий». Расточник Букреев двойную норму выполняет на 200 и более процентов. Три нормы в смену даёт сверловщик Орлов. Строгальщики Фомочкин и Васильев и многие другие вырабатывают свыше двух норм в смену. Старший мастер первого цеха Иван Яковлевич Щербаков, выражая общее мнение коллектива рабочих, заявил: «Мы снабдим Красную Армию всем необходимым вооружением и поможем ей сокрушить наглого врага».</w:t>
      </w:r>
    </w:p>
    <w:p w14:paraId="5E28CE5A" w14:textId="77777777" w:rsidR="005C0774" w:rsidRPr="00640820" w:rsidRDefault="005C077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Коллектив воронежского Н-ского завода напрягает все усилия, стремясь дать как можно больше продукции фронту. Фрезеровщик Журихин вырабатывает в среднем ежедневно пять норм, а в отдельные дни — больше десяти.</w:t>
      </w:r>
    </w:p>
    <w:p w14:paraId="5E814E07" w14:textId="77777777" w:rsidR="005C0774" w:rsidRPr="00640820" w:rsidRDefault="005C077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московском трансформаторном заводе имени Куйбышева цех, где начальником тов. Фарбер, получил срочное задание. В довоенное время на выполнение такого заказа потребовалось бы не менее 90 рабочих дней. Слесарь Шаститко сделал эту работу за 48 часов. Один из цехов ярославского завода «Победа рабочих» выполнил заказ для фронта в четыре раза быстрее, чем обычно. «Мы дадим фронту,— заявляют рабочие и инженеры,— столько боевого снаряжения, сколько потребуется для разгрома ненавистного врага» (14808).</w:t>
      </w:r>
    </w:p>
    <w:p w14:paraId="219B3BA3" w14:textId="77777777" w:rsidR="005C0774" w:rsidRPr="00640820" w:rsidRDefault="005C0774" w:rsidP="00640820">
      <w:pPr>
        <w:spacing w:after="0" w:line="240" w:lineRule="auto"/>
        <w:jc w:val="both"/>
        <w:rPr>
          <w:rFonts w:ascii="Times New Roman" w:hAnsi="Times New Roman"/>
          <w:color w:val="000000" w:themeColor="text1"/>
          <w:sz w:val="16"/>
          <w:szCs w:val="16"/>
        </w:rPr>
      </w:pPr>
    </w:p>
    <w:p w14:paraId="5B4B8E91" w14:textId="77777777" w:rsidR="005C0774" w:rsidRPr="00640820" w:rsidRDefault="005C0774"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23 октября </w:t>
      </w:r>
      <w:r w:rsidRPr="00640820">
        <w:rPr>
          <w:rFonts w:ascii="Times New Roman" w:hAnsi="Times New Roman"/>
          <w:color w:val="000000" w:themeColor="text1"/>
          <w:sz w:val="16"/>
          <w:szCs w:val="16"/>
        </w:rPr>
        <w:t>в 1941 году советские войска оставили Будогощь (14808).</w:t>
      </w:r>
    </w:p>
    <w:p w14:paraId="7CA92CE9" w14:textId="77777777" w:rsidR="005C0774" w:rsidRPr="00640820" w:rsidRDefault="005C0774" w:rsidP="00640820">
      <w:pPr>
        <w:spacing w:after="0" w:line="240" w:lineRule="auto"/>
        <w:jc w:val="both"/>
        <w:rPr>
          <w:rFonts w:ascii="Times New Roman" w:hAnsi="Times New Roman"/>
          <w:color w:val="000000" w:themeColor="text1"/>
          <w:sz w:val="16"/>
          <w:szCs w:val="16"/>
        </w:rPr>
      </w:pPr>
    </w:p>
    <w:p w14:paraId="012CD77E" w14:textId="77777777" w:rsidR="005C0774" w:rsidRPr="00640820" w:rsidRDefault="005C0774"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23 октября </w:t>
      </w:r>
      <w:r w:rsidRPr="00640820">
        <w:rPr>
          <w:rFonts w:ascii="Times New Roman" w:hAnsi="Times New Roman"/>
          <w:color w:val="000000" w:themeColor="text1"/>
          <w:sz w:val="16"/>
          <w:szCs w:val="16"/>
        </w:rPr>
        <w:t>в 1941 году войска 49-й армии Западного фронта остановили наступление противника на подступах к Серпухову, у Тарусы и Алексина (14808).</w:t>
      </w:r>
    </w:p>
    <w:p w14:paraId="30539F2B" w14:textId="77777777" w:rsidR="005C0774" w:rsidRPr="00640820" w:rsidRDefault="005C0774" w:rsidP="00640820">
      <w:pPr>
        <w:spacing w:after="0" w:line="240" w:lineRule="auto"/>
        <w:jc w:val="both"/>
        <w:rPr>
          <w:rFonts w:ascii="Times New Roman" w:hAnsi="Times New Roman"/>
          <w:color w:val="000000" w:themeColor="text1"/>
          <w:sz w:val="16"/>
          <w:szCs w:val="16"/>
        </w:rPr>
      </w:pPr>
    </w:p>
    <w:p w14:paraId="130DF66A" w14:textId="77777777" w:rsidR="005C0774" w:rsidRPr="00640820" w:rsidRDefault="005C0774"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23 октября </w:t>
      </w:r>
      <w:r w:rsidRPr="00640820">
        <w:rPr>
          <w:rFonts w:ascii="Times New Roman" w:hAnsi="Times New Roman"/>
          <w:color w:val="000000" w:themeColor="text1"/>
          <w:sz w:val="16"/>
          <w:szCs w:val="16"/>
        </w:rPr>
        <w:t>в 1941 году завершилась Орловско-Брянская операция: часть войск Брянского фронта вышла из окружения на рубеж Белев, Мценск, Поныри, Фатеж, Льгов (14808).</w:t>
      </w:r>
    </w:p>
    <w:p w14:paraId="19B2EB8F" w14:textId="77777777" w:rsidR="005C0774" w:rsidRPr="00640820" w:rsidRDefault="005C0774" w:rsidP="00640820">
      <w:pPr>
        <w:spacing w:after="0" w:line="240" w:lineRule="auto"/>
        <w:jc w:val="both"/>
        <w:rPr>
          <w:rFonts w:ascii="Times New Roman" w:hAnsi="Times New Roman"/>
          <w:color w:val="000000" w:themeColor="text1"/>
          <w:sz w:val="16"/>
          <w:szCs w:val="16"/>
        </w:rPr>
      </w:pPr>
    </w:p>
    <w:p w14:paraId="00037AC6" w14:textId="77777777" w:rsidR="002F12D1" w:rsidRPr="00640820" w:rsidRDefault="002F12D1"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23 октября </w:t>
      </w:r>
      <w:r w:rsidRPr="00640820">
        <w:rPr>
          <w:rFonts w:ascii="Times New Roman" w:hAnsi="Times New Roman"/>
          <w:color w:val="000000" w:themeColor="text1"/>
          <w:sz w:val="16"/>
          <w:szCs w:val="16"/>
        </w:rPr>
        <w:t>в 1941 году (23–24 октября) войска 33-й и 43-й армий Западного фронта остановили наступление немецких войск на реке Нара (14808).</w:t>
      </w:r>
    </w:p>
    <w:p w14:paraId="2089A109" w14:textId="77777777" w:rsidR="002F12D1" w:rsidRPr="00640820" w:rsidRDefault="002F12D1" w:rsidP="00640820">
      <w:pPr>
        <w:spacing w:after="0" w:line="240" w:lineRule="auto"/>
        <w:jc w:val="both"/>
        <w:rPr>
          <w:rFonts w:ascii="Times New Roman" w:hAnsi="Times New Roman"/>
          <w:color w:val="000000" w:themeColor="text1"/>
          <w:sz w:val="16"/>
          <w:szCs w:val="16"/>
        </w:rPr>
      </w:pPr>
    </w:p>
    <w:p w14:paraId="5AF3A0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октября 1941 в Крыму в районе Казак-Сарая в качестве ш при отражении атак на Севастополь использовались 11 И-5 11-го шап ЧМФ м И.М.Рассудова. 5 сбили. На 10 октября во 2-м шап Г.И.Семенова там же тоже было 32 (7498, 33).</w:t>
      </w:r>
    </w:p>
    <w:p w14:paraId="4F694C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59ED6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октября 1941 3 и 13 армии БФ вышли из окружения на рубеж Беляев, Мценск, Поныри, Льгов. Ставка приказала отойти на рубеж восточнее Дубны, Плавск, Верховье, Ливны, Касторное, сосредоточив главные усилия в районе Тулы и на Елецком направлении (340,61).</w:t>
      </w:r>
    </w:p>
    <w:p w14:paraId="09967B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D0544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октября 1941 на Калужском направлении противник был остановлен западнее Серпухова. В этот день отличились л 120 иап, которые 5 раз вылетали группами по 6-17 машин для штурмовки вражеских войск на поле боя. За 20 суток на калужском направлении выполнили 1800 вылетов, оказав поддержку 49А (341,70).</w:t>
      </w:r>
    </w:p>
    <w:p w14:paraId="7E2711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BCCF38E" w14:textId="77777777" w:rsidR="005C0774" w:rsidRPr="00640820" w:rsidRDefault="005C077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октября 1941 под Родаково недостроенный бронепоезд №2 «За Родину!», достроенный в Луганске на заводе им. Октябрьской революции, вошел в состав 12-й армии Юго-Западного фронта. До лета сорок второго года команда бронепоезда вела бои в Донбассе. Роковым для него стал июль. После харьковской катастрофы немецкие войска неудержимо рвались на восток. В середине июля у станции Родаково немецкие пикирующие бомбардировщики обнаружили маневрирующий бронепоезд. Через несколько минут на рельсах дымилась груда металлолома, еще недавно бывшая грозно выглядевшим бронепоездом «За Родину!» (15218).</w:t>
      </w:r>
    </w:p>
    <w:p w14:paraId="40A85073" w14:textId="77777777" w:rsidR="005C0774" w:rsidRPr="00640820" w:rsidRDefault="005C0774" w:rsidP="00640820">
      <w:pPr>
        <w:spacing w:after="0" w:line="240" w:lineRule="auto"/>
        <w:jc w:val="both"/>
        <w:rPr>
          <w:rFonts w:ascii="Times New Roman" w:hAnsi="Times New Roman"/>
          <w:color w:val="000000" w:themeColor="text1"/>
          <w:sz w:val="16"/>
          <w:szCs w:val="16"/>
        </w:rPr>
      </w:pPr>
    </w:p>
    <w:p w14:paraId="142318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октября 1941 адмиралтейцы совместно с балтийцами начали ремонт ПЛ Щ-309; закончен к 27 октября. Линкор "Октябрьская революция" встал на ремонт к Балтийскому заводу. В результате повреждений от авиабомб и снарядов были разрушены верхняя и средняя палубы, шпилевое отделение, лазарет на правом борту и др.; ремонт закончен в 1942 г (10671).</w:t>
      </w:r>
    </w:p>
    <w:p w14:paraId="2175A6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97F2CD8"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5EE8349B"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D370B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октября 1941 в 18:23 в московском небе снова появились пять немецких самолетов, которые сбросили на город 43 фугасных и 1500 зажигательных бомб. В результате почти полностью сгорели склады государственного управления материальных резервов на ул. Волочаевской. Пламя от горящей пшеницы поднималось на сотни метров, ярко освещая окрестности и отражаясь в холодном осеннем небе. И снова, как и в прежние налеты, число пострадавших перевалило за сотню.  Уже вскоре после этого удара по элеваторам в Москве и соседних городах стала ощущаться острая нехватка хлеба. 27 октября секретарь МГК ВКП(б) А.С. Щербаков направил товарищу Сталину письмо, в котором панически сообщал:  «По состоянию на 27октября остаток муки составляет 33 тысячи тонн, что удовлетворяет потребность области на 10—11 дней и по Москве на 8—9 дней». В связи с этим он просил ГКО разрешить снизить дневные нормы выдачи хлеба по области: рабочим с 800 до 600 гр., а служащим, детям и инвалидам пока оставить 400 гр. В некоторых районах области предполагалось выдавать зерно вместо муки и хлеба, а также заменить сортовой помол простым (11774).</w:t>
      </w:r>
    </w:p>
    <w:p w14:paraId="13CE99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7E239F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октября 1941 вышло Постановление ГКО № 831 О городских комитетах обороны [ в гг. Подольске, Ногинске, Загорске.] (7013, 182).</w:t>
      </w:r>
    </w:p>
    <w:p w14:paraId="3CD629A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0971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Между 23 и 29 октября 1941 вышел Приказ НКВД СССР:</w:t>
      </w:r>
    </w:p>
    <w:p w14:paraId="286134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 мероприятиях по переселению немцев </w:t>
      </w:r>
    </w:p>
    <w:p w14:paraId="3425F6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Во исполнение постановления Государственного Комитета Обороны Союза ССР о переселении немцев из Дагестанской и Чечено-Ингушской АССР приказываю: </w:t>
      </w:r>
    </w:p>
    <w:p w14:paraId="2F72F9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 Возложить руководство по проведению операции на наркома внутренних дел Дагестанской АССР майора государственной безопасности т. Медведева и наркома внутренних дел Чечено-Ингушской АССР капитана государственной безопасности т. Албогачиева... </w:t>
      </w:r>
    </w:p>
    <w:p w14:paraId="68D0A4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 Операцию начать 25 октября и закончить 30 октября. </w:t>
      </w:r>
    </w:p>
    <w:p w14:paraId="273C03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 Для обеспечения операции по переселению войсками НКВД генерал-майору т. Аполлонову выделить в распоряжение наркомов внутренних дел Дагестанской и Чечено-Ингушской АССР 42 красноармейцев и двух командиров среднего комсостава. </w:t>
      </w:r>
    </w:p>
    <w:p w14:paraId="446203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4. Состоящий на оперативном учете НКВД Дагестанской и Чечено-Ингушской АССР антисоветский элемент из числа немцев арестовать, а семьи их переселить в общем порядке. </w:t>
      </w:r>
    </w:p>
    <w:p w14:paraId="7F3DA0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5. Перед началом операции совместно с советско-партийным активом провести разъяснительную работу и предупредить переселяемых, что в случае перехода на нелегальное положение отдельных членов семейств ответственность за них будет нести глава семьи. </w:t>
      </w:r>
    </w:p>
    <w:p w14:paraId="7A30C2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В случае отказа отдельных лиц, подлежащих переселению, выехать к месту расселения таких лиц арестовать и переселить в принудительном порядке (11652).</w:t>
      </w:r>
    </w:p>
    <w:p w14:paraId="3BA264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FF708D3" w14:textId="77777777" w:rsidR="002F12D1"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231A5D92" w14:textId="77777777" w:rsidR="002F12D1" w:rsidRPr="00640820" w:rsidRDefault="002F12D1"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584787D" w14:textId="77777777" w:rsidR="002F12D1" w:rsidRPr="00640820" w:rsidRDefault="002F12D1"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23 октября </w:t>
      </w:r>
      <w:r w:rsidRPr="00640820">
        <w:rPr>
          <w:rFonts w:ascii="Times New Roman" w:hAnsi="Times New Roman"/>
          <w:color w:val="000000" w:themeColor="text1"/>
          <w:sz w:val="16"/>
          <w:szCs w:val="16"/>
        </w:rPr>
        <w:t>в 1941 году пограничный инцидент на советско-маньчжурской границе. Отряд из 20 японских солдат нарушил границу СССР и был отброшен назад пограничниками (14808).</w:t>
      </w:r>
    </w:p>
    <w:p w14:paraId="060F3412" w14:textId="77777777" w:rsidR="002F12D1" w:rsidRPr="00640820" w:rsidRDefault="002F12D1" w:rsidP="00640820">
      <w:pPr>
        <w:spacing w:after="0" w:line="240" w:lineRule="auto"/>
        <w:jc w:val="both"/>
        <w:rPr>
          <w:rFonts w:ascii="Times New Roman" w:hAnsi="Times New Roman"/>
          <w:color w:val="000000" w:themeColor="text1"/>
          <w:sz w:val="16"/>
          <w:szCs w:val="16"/>
        </w:rPr>
      </w:pPr>
    </w:p>
    <w:p w14:paraId="104D5628"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01EEF82E"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7B3A0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октября 1941 нацисты запретили эмиграцию евреев за пределы Рейха (1798).</w:t>
      </w:r>
    </w:p>
    <w:p w14:paraId="51198E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C7DB8BE" w14:textId="77777777" w:rsidR="002F12D1" w:rsidRPr="00640820" w:rsidRDefault="002F12D1"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23 октября </w:t>
      </w:r>
      <w:r w:rsidRPr="00640820">
        <w:rPr>
          <w:rFonts w:ascii="Times New Roman" w:hAnsi="Times New Roman"/>
          <w:color w:val="000000" w:themeColor="text1"/>
          <w:sz w:val="16"/>
          <w:szCs w:val="16"/>
        </w:rPr>
        <w:t>в 1941 году правительство Германии окончательно запретило эмиграцию евреев со всех территорий Империи (14808).</w:t>
      </w:r>
    </w:p>
    <w:p w14:paraId="5E2539D9" w14:textId="77777777" w:rsidR="002F12D1" w:rsidRPr="00640820" w:rsidRDefault="002F12D1" w:rsidP="00640820">
      <w:pPr>
        <w:spacing w:after="0" w:line="240" w:lineRule="auto"/>
        <w:jc w:val="both"/>
        <w:rPr>
          <w:rFonts w:ascii="Times New Roman" w:hAnsi="Times New Roman"/>
          <w:color w:val="000000" w:themeColor="text1"/>
          <w:sz w:val="16"/>
          <w:szCs w:val="16"/>
        </w:rPr>
      </w:pPr>
    </w:p>
    <w:p w14:paraId="5529181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октября 1941 генерал Шарль де Голль призвал членов французского Сопротивления прекратить убийства немецких офицеров, чтобы избежать расстрелов французских заложников (4962).</w:t>
      </w:r>
    </w:p>
    <w:p w14:paraId="248E178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296277"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20B379ED"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05934F8" w14:textId="77777777" w:rsidR="002F12D1" w:rsidRPr="00640820" w:rsidRDefault="002F12D1" w:rsidP="00640820">
      <w:pPr>
        <w:pStyle w:val="a3"/>
        <w:rPr>
          <w:color w:val="000000" w:themeColor="text1"/>
          <w:lang w:val="ru-RU"/>
        </w:rPr>
      </w:pPr>
      <w:r w:rsidRPr="00640820">
        <w:rPr>
          <w:color w:val="000000" w:themeColor="text1"/>
          <w:lang w:val="ru-RU"/>
        </w:rPr>
        <w:t>К 24 октября 1941 на заводе № 1 в Москве удалось сдать военпредам 42 МиГ-3 и один Ил-2. Причём из личного состава военной приёмки на производстве было занято 19 человек, а остальных отправили в Куйбышев. Выпуск истребителей МиГ-3 в г. Москве закончился сдачей ГУ ВВС КА машины № 5197 (15976).</w:t>
      </w:r>
    </w:p>
    <w:p w14:paraId="1951C698" w14:textId="77777777" w:rsidR="002F12D1" w:rsidRPr="00640820" w:rsidRDefault="002F12D1" w:rsidP="00640820">
      <w:pPr>
        <w:pStyle w:val="a3"/>
        <w:rPr>
          <w:color w:val="000000" w:themeColor="text1"/>
          <w:lang w:val="ru-RU"/>
        </w:rPr>
      </w:pPr>
    </w:p>
    <w:p w14:paraId="713C67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октября 1941 издаются приказы №571, 574, 582 и 591. в которых за совместными подписями директора В.А. Окулова и и.о. директора завода №22 С.М. Лещенко назначают всех прибывших начальников цехов и отделов заместителями начальников соответствующих цехов и отделов завода №124 и предупреждают их об ответственности за восстановление своего завода в Казани. Срок на восстановление дается 14 дней, по истечении которого включенные средства должны были выполнять запланированную для цеха программу. В первые дни столкнулись с проблемой расселения прибывших, т.к. ни завод, ни город к такому наплыву не был готов. В городе были специально созданы карантинные эвакопункты - в Кремле, Театре Юного Зрителя, кинотеатрах “Унион” и “Чаткы”. Был создан штаб, состоявший из руководителей завода и агентов для распределения людей по квартирам и изыскания подходящей для подселения жилплощади в Казани и поселках завода. Вселяли по две семьи в одну комнату, заселяли даже ванные и кухни. Это сразу же вызвало волну недовольства среди жителей. Плотность населения а заводских поселках достигала 1,8 м2 на человека. Динамика прибытия иллюстрируется следующими цифрами:</w:t>
      </w:r>
    </w:p>
    <w:p w14:paraId="354A09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1/XI - 15390 человек</w:t>
      </w:r>
    </w:p>
    <w:p w14:paraId="744F11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15/XI - 25650 человек</w:t>
      </w:r>
    </w:p>
    <w:p w14:paraId="184D72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1/XII - 31268 человек</w:t>
      </w:r>
    </w:p>
    <w:p w14:paraId="6E32E4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15/ХП - 32766 человек</w:t>
      </w:r>
    </w:p>
    <w:p w14:paraId="316399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разным причинам не все работавшие на 22-м заводе приехали в Казань. Часть людей ушла добровольцами в рабочие батальоны, часть устроилась на другие заводы и осталась в Москве. Не приехали вовсе рабочие-клепальщицы, одиночки и молодые рабочие. Всего приехало в Казань 60% рабочих, 90% ИТР. Ежедневно под разгрузку прибывало по 100 вагонов. Очень помогла отводная железнодорожная ветка, построенная перед войной, по ней составы подходили прямо к воротам завода, что намного облегчило разгрузку и транспортировку грузов (5764,38).</w:t>
      </w:r>
    </w:p>
    <w:p w14:paraId="550832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67935D9" w14:textId="77777777" w:rsidR="006A29EC" w:rsidRPr="00640820" w:rsidRDefault="006A29EC"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24 октября 1941 г.</w:t>
      </w:r>
    </w:p>
    <w:p w14:paraId="63138F56" w14:textId="77777777" w:rsidR="006A29EC" w:rsidRPr="00640820" w:rsidRDefault="006A29EC"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Из совместного постановления1 исполкома Красноярского крайсовета депутатов трудящихся и бюро Красноярского крайкома ВКП (б)</w:t>
      </w:r>
    </w:p>
    <w:p w14:paraId="006EB75A" w14:textId="77777777" w:rsidR="006A29EC" w:rsidRPr="00640820" w:rsidRDefault="006A29EC"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 xml:space="preserve">г. Красноярск </w:t>
      </w:r>
    </w:p>
    <w:p w14:paraId="327CBAC2" w14:textId="77777777" w:rsidR="006A29EC" w:rsidRPr="00640820" w:rsidRDefault="006A29EC"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lastRenderedPageBreak/>
        <w:t>особая папка</w:t>
      </w:r>
    </w:p>
    <w:p w14:paraId="76156DC1" w14:textId="77777777" w:rsidR="006A29EC" w:rsidRPr="00640820" w:rsidRDefault="006A29EC"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В целях размещения завода № 477 Наркомавиапрома в соответствии с Распоряжением Совета по эвакуации от …2 октября 1941 года № СЭ-130сс исполком крайсовета и бюро крайкома ВКП (б) постановляют:</w:t>
      </w:r>
    </w:p>
    <w:p w14:paraId="2F20832E" w14:textId="77777777" w:rsidR="006A29EC" w:rsidRPr="00640820" w:rsidRDefault="006A29EC"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1. Обязать директора завода им. Побежимова тов. Захарова и директора завода № 477 разгрузить прибывающее оборудование на ж[елезно]д[орожной] ветке нефтебазы и обеспечить в период разгрузки бесперебойное передвижение цистерн по ж[елезно]д[орожной] ветке;</w:t>
      </w:r>
    </w:p>
    <w:p w14:paraId="0D5559E6" w14:textId="77777777" w:rsidR="006A29EC" w:rsidRPr="00640820" w:rsidRDefault="006A29EC"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2. Обязать директора завода им. Побежимова и директора завода № 477 принять меры к установке прибывшего оборудования на заводе им. Побежимова;</w:t>
      </w:r>
    </w:p>
    <w:p w14:paraId="1E668C65" w14:textId="77777777" w:rsidR="006A29EC" w:rsidRPr="00640820" w:rsidRDefault="006A29EC"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3. Разместить 1 000 человек рабочих, ИТР и служащих, в том числе 20 семей руководящего состава завода № 477 в г. Красноярске: 250 человек – на базе завода им. Побежимова, 300 человек – в Кировском районе, 300 человек – в Сталинском районе и 250 человек – в Кагановичском районе, а членов семей рабочих, служащих завода № 477 в количестве 1 тыс. человек разместить в Емельяновском районе;</w:t>
      </w:r>
    </w:p>
    <w:p w14:paraId="5F24CF3D" w14:textId="77777777" w:rsidR="006A29EC" w:rsidRPr="00640820" w:rsidRDefault="006A29EC"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4. Обязать директора завода им. Побежимова тов. Захарова и директора завода № 477 разместить членов семей рабочих и служащих завода № 477 на территории Емельяновского района и запретить им отзывать их из района до постройки силами завода необходимой жилой площади; […]</w:t>
      </w:r>
    </w:p>
    <w:p w14:paraId="222F3B1E" w14:textId="77777777" w:rsidR="006A29EC" w:rsidRPr="00640820" w:rsidRDefault="006A29EC"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6. Вопрос о предоставлении заводу № 477 Дворца культуры железнодорожников решить дополнительно.</w:t>
      </w:r>
    </w:p>
    <w:p w14:paraId="08FBAD37" w14:textId="77777777" w:rsidR="006A29EC" w:rsidRPr="00640820" w:rsidRDefault="006A29EC"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Председатель исполкома крайсовета подпись А. Буеверов</w:t>
      </w:r>
    </w:p>
    <w:p w14:paraId="3A30DD1D" w14:textId="77777777" w:rsidR="006A29EC" w:rsidRPr="00640820" w:rsidRDefault="006A29EC"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Секретарь крайкомаВКП (б) подпись И. Голубев</w:t>
      </w:r>
    </w:p>
    <w:p w14:paraId="7F9F7BF8" w14:textId="77777777" w:rsidR="006A29EC" w:rsidRPr="00640820" w:rsidRDefault="006A29EC"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КГКУ «ГАКК». Ф.Р-1386. Оп. 4. Д. 41. Л. 283, 284. Подлинник. Машинопись.</w:t>
      </w:r>
    </w:p>
    <w:p w14:paraId="2463E284" w14:textId="77777777" w:rsidR="006A29EC" w:rsidRPr="00640820" w:rsidRDefault="006A29EC"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1 Название документа: «О размещении завода № 477»</w:t>
      </w:r>
    </w:p>
    <w:p w14:paraId="26F59A87" w14:textId="77777777" w:rsidR="006A29EC" w:rsidRPr="00640820" w:rsidRDefault="006A29EC"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2 В документе пропуск</w:t>
      </w:r>
    </w:p>
    <w:p w14:paraId="3735E5D7" w14:textId="77777777" w:rsidR="006A29EC" w:rsidRPr="00640820" w:rsidRDefault="006A29EC"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Проект совместного постановления1 исполкома Красноярского крайсовета депутатов трудящихся и бюро Красноярского крайкома ВКП (б)</w:t>
      </w:r>
    </w:p>
    <w:p w14:paraId="29BF36CF" w14:textId="77777777" w:rsidR="006A29EC" w:rsidRPr="00640820" w:rsidRDefault="006A29EC"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г. Красноярск 25 октября 1941 г.</w:t>
      </w:r>
    </w:p>
    <w:p w14:paraId="27A6648A" w14:textId="77777777" w:rsidR="006A29EC" w:rsidRPr="00640820" w:rsidRDefault="006A29EC"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В дополнение постановления исполкома крайсовета и бюро крайкома ВКП (б) от 24 октября 1941 г. в целях полного удовлетворения производственной площадью завода № 477 исполком крайсовета и бюро крайкома ВКП (б) постановляют:</w:t>
      </w:r>
    </w:p>
    <w:p w14:paraId="356BC498" w14:textId="77777777" w:rsidR="006A29EC" w:rsidRPr="00640820" w:rsidRDefault="006A29EC"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1. Обязать начальника авиагруппы ГВФ тов. Липпа выделить на острове Молокова для ремонта самолетов один теплый ангар площадью 1 800 м., объединив в данном ангаре ремонт самолетов, принадлежащих Управлению полярной авиации и Гражданского воздушного флота;</w:t>
      </w:r>
    </w:p>
    <w:p w14:paraId="0261D97C" w14:textId="77777777" w:rsidR="006A29EC" w:rsidRPr="00640820" w:rsidRDefault="006A29EC"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2. В связи с переводом ремонта самолетов в ангары ГВФ обязать директора завода им. Побежимова тов. Захарова всю освобождающуюся на заводе производственную площадь использовать для размещения завода № 477;</w:t>
      </w:r>
    </w:p>
    <w:p w14:paraId="7EE10A7D" w14:textId="77777777" w:rsidR="006A29EC" w:rsidRPr="00640820" w:rsidRDefault="006A29EC"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3. Обязать тов. Захарова и уполномоченного представителя завода № 477 тов. Волкова немедленно приступить к строительству на территории завода им. Побежимова третьего деревянного производственного корпуса площадью 2 500–3 000 м.;</w:t>
      </w:r>
    </w:p>
    <w:p w14:paraId="1A5C5035" w14:textId="77777777" w:rsidR="006A29EC" w:rsidRPr="00640820" w:rsidRDefault="006A29EC"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4. Обязать управляющего Главлесосбытом тов. Жилкина полностью обеспечить строительство лесом по нарядам завода № 477;</w:t>
      </w:r>
    </w:p>
    <w:p w14:paraId="627DAFEF" w14:textId="77777777" w:rsidR="006A29EC" w:rsidRPr="00640820" w:rsidRDefault="006A29EC"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5. Обязать тов. Зыкова (крайплан) обеспечить выделение для строительства кирпича в количестве 300 000 штук;</w:t>
      </w:r>
    </w:p>
    <w:p w14:paraId="0AD343E3" w14:textId="77777777" w:rsidR="006A29EC" w:rsidRPr="00640820" w:rsidRDefault="006A29EC"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6. Принять к сведению заявления тт. Липпа, Захарова и Волкова, что данное мероприятие обеспечивает выполнение программы как по заводу № 477, так и по ремонту самолетов ГВФ и УПА.</w:t>
      </w:r>
    </w:p>
    <w:p w14:paraId="65E009B2" w14:textId="77777777" w:rsidR="006A29EC" w:rsidRPr="00640820" w:rsidRDefault="006A29EC"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Председатель исполкома крайсовета подпись А. Буеверов</w:t>
      </w:r>
    </w:p>
    <w:p w14:paraId="5EE0CE46" w14:textId="77777777" w:rsidR="006A29EC" w:rsidRPr="00640820" w:rsidRDefault="006A29EC"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Секретарь крайкома ВКП (б) подпись П. Тетюшев</w:t>
      </w:r>
    </w:p>
    <w:p w14:paraId="715640BF" w14:textId="77777777" w:rsidR="006A29EC" w:rsidRPr="00640820" w:rsidRDefault="006A29EC"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КГКУ «ГАКК». Ф.Р-1386. Оп. 4. Д. 41. Л. 285. Подлинник. Машинопись.</w:t>
      </w:r>
    </w:p>
    <w:p w14:paraId="14FEE01E" w14:textId="77777777" w:rsidR="006A29EC" w:rsidRPr="00640820" w:rsidRDefault="006A29EC"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1 Название документа: «О размещении завода № 477» (19799).</w:t>
      </w:r>
    </w:p>
    <w:p w14:paraId="10E894C6" w14:textId="77777777" w:rsidR="006A29EC" w:rsidRPr="00640820" w:rsidRDefault="006A29EC"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p>
    <w:p w14:paraId="45A03A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октября 1941 г. завод № 478 6ГУ НКАП (ГС Завод № 478 ИМ. Тельмана НКАП, Завод «Сельмаш», Завод «Металлист», Калужский весовой завод, Весовой завод им. Тельмана НКОМ /г. Калуга/) эвакуирован в Чкалов на площадку завода № 47 НКАП и по приказу № 1104 от 9.11.1941 г. со всем оборудованием и личным составом влит в его состав. Выбыл из числа действующих, (есть информация, что завод № 478 (возможно, другая его часть) эвакуирован в Ташкент и влит в состав завода № 84 НКАП).</w:t>
      </w:r>
    </w:p>
    <w:p w14:paraId="2EED96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распоряжению СНК № 2264р от 11.02.1942 г. площадка в Калуге передана в НКПС для организации производства запчастей и механизмов для восстановления ж/д транспорта, где образован Литейно-механический завод.</w:t>
      </w:r>
    </w:p>
    <w:p w14:paraId="6BBD1D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(-11.1941 г.)- Антонов.</w:t>
      </w:r>
    </w:p>
    <w:p w14:paraId="51335A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Литейно-механический завод НКПС, Калужский завод транспортного машиностроения («Калугатрансмаш»), АООТ, ОАО «Калугатрансмаш» /248634  г. Калуга ул. Московская, 250/</w:t>
      </w:r>
    </w:p>
    <w:p w14:paraId="3A3254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распоряжению СНК № 2264р от 11.02.1942 г. площадка эвакуированного завода № 478 НКАП передана в НКПС и на ней организован Литейно-механический завод для производства запчастей и механизмов для восстановления ж/д транспорта. В 1957 г. Литейно-механический завод переименован в Калужский завод транспортного машиностроения. В 1993 г. завод акционирован и преобразован в АООТ, а с 1996 г.- ОАО «Калугатрансмаш».</w:t>
      </w:r>
    </w:p>
    <w:p w14:paraId="37F238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Гендиректор (1995-2004 г.)- В.Д. Ермаков, (2004 г.-)- В.П. Злобин (11982).</w:t>
      </w:r>
    </w:p>
    <w:p w14:paraId="626BD6B6" w14:textId="77777777" w:rsidR="002F12D1" w:rsidRPr="00640820" w:rsidRDefault="002F12D1"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E18DC88"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7AD13421"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6C9D75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октября 1941 года вышел приказ № 3 с/ч НКТП</w:t>
      </w:r>
    </w:p>
    <w:p w14:paraId="485605A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Наркомсудпрома № 212 включить в состав Уральского Турбинного завода и именовать цехом № 8 (6034, 4).</w:t>
      </w:r>
    </w:p>
    <w:p w14:paraId="2724DA7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DD396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октября 1941 в состав НКТП вошел завод № 212 Наркомата судостроительной промышленности. Этот завод в ходе эвакуации оказался на площадке Уральского турбинного завода и был включен в него как цех № 8. Заслуживает интереса то, что судьба завода была решена только приказом по НКТП № 3 с/г. Никаких ссылок на решения ГКО или Совнаркома в этом приказе нет. Уже упомянутый выше И. И. Носенко подписал его одновременно и как заместитель Народного комиссара танковой промышленности, и как полномочный представитель Наркомата судостроительной промышленности (РГАЭ. Ф. 8752. Оп. 4. Д. 4. Л. 4-11) (12290).</w:t>
      </w:r>
    </w:p>
    <w:p w14:paraId="00EF22A5"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7110D6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октября 1941 в состав НКТП вошел завод № 212, эвакуированное оборудование которого оказалось на территории Уральского турбинного завода, 22 ноября - металлургический завод № 200, образованный из части площадей и оборудования завода № 78 Наркомата боеприпасов. На производство танков был отчасти переключен Горьковский автозавод, не вошедший в состав НКТП. К концу 1941 г. процесс формирования НКТП был завершен. Вовлечение новых мощностей в военное производство продолжалось дольше. Окончательно их эффективное использование наладилось только к середине 1942 г. Но и после этого на новых танкостроительных заводах объемы производства были ниже, а оборудование и рабочая сила использовались менее эффективно, чем на образовавшихся в результате слияния старых эвакуированных танковых заводов с предприятиями гражданской промышленности. Танковая промышленность получала новые производственные мощности в основном за счет трех отраслей - транспортного и сельскохозяйственного машиностроения и судостроения. Свой серьезный вклад внесли также энергетическое и тяжелое машиностроение, работающее на нужды металлургии. Усиление оснащенности уже существующих центров производства и восстановление предприятий на освобожденных территориях после перелома в ходе боевых действий в пользу советских войск позволили расширить производственную базу НКТП. Надо сказать, что в довоенный период производство на танковых заводах имело значительные резервы для усовершенствования. Например, на заводе № 183, несмотря на значительные объемы продукции, работа была организована по принципу мелкосерийного производства со всеми присущими ему атрибутами: стендовой сборкой танков, использованием универсальных станков, ручной формовкой и сваркой и т.д (РГАЭ, ф. 8752, оп. 1, д. 82, л. 167-169; оп. 4, д. 2, л. 21.). Недостаточно широко использовалось литье, редко применялась штамповка. Такая организация производства обеспечивала его гибкость, быстрый переход от одного вида продукции к другому, но ограничивала объемы. В условиях войны такого рода гибкость становилась непозволительной роскошью. Отметим, что еще перед войной на заводе № 183 приступили к перестройке технологии производства, но сначала ее задерживало освоение Т-34. Вскоре же после начала войны встал вопрос об эвакуации завода, и производство по новым технологическим принципам пришлось организовывать уже на новом месте (11786).</w:t>
      </w:r>
    </w:p>
    <w:p w14:paraId="2E098B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F2C8C1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октября 1941 вышло Постановление ГКО № 832 Об организации военно-эксплуатационных отделений и переводе на положение состоящих в рядах Красной Армии работников, связанных с движением поездов. (7013, 183-184,185-190).</w:t>
      </w:r>
    </w:p>
    <w:p w14:paraId="2B084E2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AA7C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октября 1941 приказом № 0450 расформировывался (с 1 ноября) Главгидрострой НКВД, руководство Волгостроем и строительством № 201 на Амуре возлагалось теперь на Главпромстрой, в составе которого образовывался отдел гидротехнических работ (35 человек по штату). Отдел возглавил бывший зам. начальника и главный инженер Главгидростроя старший майор ГБ С. Я. Жук, а бывший начальник Главгидростроя старший майор ГБ Я. Д. Рапопорт стал заместителем начальника Главпромстроя НКВД (7560).</w:t>
      </w:r>
    </w:p>
    <w:p w14:paraId="3F76B7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85F20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24 октября 1941 г. было Письмо секретаря Томского горкома ВКП (б) и директора Томского завода измерительных приборов (ТомГЗИП) председателю Комитета по делам мер и измерительных приборов Кузнецову о необходимости размещения при заводе манометрической лаборатории </w:t>
      </w:r>
    </w:p>
    <w:p w14:paraId="045C9A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городе Томске организован завод измерительных приборов, которому в числе других заказов предложено изготовление манометров.</w:t>
      </w:r>
    </w:p>
    <w:p w14:paraId="6F902D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Завод раньше не изготовлял манометры и не имеет своей лаборатории. </w:t>
      </w:r>
    </w:p>
    <w:p w14:paraId="092533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настоящее время в г. Томске находится манометрическая лаборатория Московского института мер и измерительных приборов со штатом опытных работников, могущих оказать заводу помощь в налаживании производства манометров.</w:t>
      </w:r>
    </w:p>
    <w:p w14:paraId="7324D0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Горком ВКП (б) и дирекция Томского завода измерительных приборов – считают целесообразным размещение манометрической лаборатории при заводе измерительных приборов и просить Вас дать указание о размещении лаборатории в Томске [так в тексте!].</w:t>
      </w:r>
    </w:p>
    <w:p w14:paraId="666CB4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Форму сотрудничества лаборатории с заводом просим определить и сообщить нам. </w:t>
      </w:r>
    </w:p>
    <w:p w14:paraId="735F12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Ввиду необходимости срочно разрешить этот вопрос просим телеграфировать Ваше решение по адресу: Томск, Горком ВКП (б), пром. отдел. </w:t>
      </w:r>
    </w:p>
    <w:p w14:paraId="214CF0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Секретарь Томского горкома ВКП (б) </w:t>
      </w:r>
    </w:p>
    <w:p w14:paraId="1FA6EC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завода измерительных приборов Б. Пиль</w:t>
      </w:r>
    </w:p>
    <w:p w14:paraId="61BE6D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ЦДНИ ТО. Ф.80. Оп.3. Д. 75. Л. 116 (11014).</w:t>
      </w:r>
    </w:p>
    <w:p w14:paraId="6169B6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F7B05DE" w14:textId="77777777" w:rsidR="002F12D1" w:rsidRPr="00640820" w:rsidRDefault="002F12D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октября  1941  г. Письмо секретаря Томского горкома ВКП (б) и  директора  Томского  завода  измерительных приборов (ТомГЗИП) председателю Комитета по делам мер и измерительных приборов Кузнецову о необходимости размещения при  заводе  манометрической лаборатории</w:t>
      </w:r>
    </w:p>
    <w:p w14:paraId="1D9CDF01" w14:textId="77777777" w:rsidR="002F12D1" w:rsidRPr="00640820" w:rsidRDefault="002F12D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городе  Томске  организован  завод  измерительных приборов, которому в числе других заказов предложено изготовление манометров.</w:t>
      </w:r>
    </w:p>
    <w:p w14:paraId="2623FC89" w14:textId="77777777" w:rsidR="002F12D1" w:rsidRPr="00640820" w:rsidRDefault="002F12D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Завод  раньше не изготовлял манометры и не имеет своей лаборатории.</w:t>
      </w:r>
    </w:p>
    <w:p w14:paraId="4D9BDF12" w14:textId="77777777" w:rsidR="002F12D1" w:rsidRPr="00640820" w:rsidRDefault="002F12D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настоящее время в г.  Томске  находится манометрическая лаборатория Московского института мер и измерительных приборов со штатом опытных работников, могущих оказать  заводу  помощь в налаживании производства манометров.</w:t>
      </w:r>
    </w:p>
    <w:p w14:paraId="6FC9A46E" w14:textId="77777777" w:rsidR="002F12D1" w:rsidRPr="00640820" w:rsidRDefault="002F12D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Горком ВКП (б) и дирекция Томского  завода  измерительных приборов – считают целесообразным размещение манометрической лаборатории при  заводе  измерительных приборов и просить Вас дать указание о размещении лаборатории в  Томске  [так в тексте!].</w:t>
      </w:r>
    </w:p>
    <w:p w14:paraId="25B60992" w14:textId="77777777" w:rsidR="002F12D1" w:rsidRPr="00640820" w:rsidRDefault="002F12D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Форму сотрудничества лаборатории с  заводом  просим определить и сообщить нам.</w:t>
      </w:r>
    </w:p>
    <w:p w14:paraId="5399F862" w14:textId="77777777" w:rsidR="002F12D1" w:rsidRPr="00640820" w:rsidRDefault="002F12D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Ввиду необходимости срочно разрешить этот вопрос просим телеграфировать Ваше решение по адресу:  Томск , Горком ВКП (б), пром. отдел.</w:t>
      </w:r>
    </w:p>
    <w:p w14:paraId="54DAB957" w14:textId="77777777" w:rsidR="002F12D1" w:rsidRPr="00640820" w:rsidRDefault="002F12D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Секретарь Томского горкома ВКП (б)</w:t>
      </w:r>
    </w:p>
    <w:p w14:paraId="66053477" w14:textId="77777777" w:rsidR="002F12D1" w:rsidRPr="00640820" w:rsidRDefault="002F12D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Директор   завода  измерительных приборов Б. Пиль</w:t>
      </w:r>
    </w:p>
    <w:p w14:paraId="70BAAEB7" w14:textId="77777777" w:rsidR="002F12D1" w:rsidRPr="00640820" w:rsidRDefault="002F12D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ЦДНИ ТО. Ф.80. Оп.3. Д. 75. Л. 116 (15485).</w:t>
      </w:r>
    </w:p>
    <w:p w14:paraId="44CD9B7D" w14:textId="77777777" w:rsidR="002F12D1" w:rsidRPr="00640820" w:rsidRDefault="002F12D1" w:rsidP="00640820">
      <w:pPr>
        <w:spacing w:after="0" w:line="240" w:lineRule="auto"/>
        <w:jc w:val="both"/>
        <w:rPr>
          <w:rFonts w:ascii="Times New Roman" w:hAnsi="Times New Roman"/>
          <w:color w:val="000000" w:themeColor="text1"/>
          <w:sz w:val="16"/>
          <w:szCs w:val="16"/>
        </w:rPr>
      </w:pPr>
    </w:p>
    <w:p w14:paraId="1ED2F1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октября 1941 г. на базе эвакуированного в Шадринск на площадку кирпичного завода Московского радиозавода № 18 был основан Завод № 649 (Завод № 649, Шадринский телефонный завод МРП, А-1437, ОАО «Шадринский телефонный завод» /г. Шадринск Челябинской обл./ /641870 (641800)  г. Шадринск Курганской обл. ул. Комсомольская, 16/). В годы войны выпускал полевые телефонные аппараты, первая партия выпущена к 1.05.1942 г.</w:t>
      </w:r>
    </w:p>
    <w:p w14:paraId="1D90A5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в 1945-60 г. выпускал головные телефоны, зарядно-разрядные щиты, селеновые выпрямители, питающие устройства, микрофонные и телефонные капсюли, грозозащитные устройства для телефонных линий, феррорезонансные стабилизаторы напряжения, системы охранно-пожарной сигнализации. С 1960 г. завод перешел на выпуск аппаратуры многоканальной дальней связи для Минсвязи и аппаратуры связи подвижных бронеобъектов для МО.</w:t>
      </w:r>
    </w:p>
    <w:p w14:paraId="512F77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1971 г. Шадринский телефонный завод - в ведении 15ГУ МРП, имел наименование «п/я А-1437».</w:t>
      </w:r>
    </w:p>
    <w:p w14:paraId="250615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(2000-е): аппаратура ВЧ связи и телемеханики по ЛЭП серии АКСТ для РАО «ЕЭС».</w:t>
      </w:r>
    </w:p>
    <w:p w14:paraId="756DD5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(-01.1971-72 г.-&gt; Ф.И. Тканко.</w:t>
      </w:r>
    </w:p>
    <w:p w14:paraId="119F4F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(-08.1971-73 г.-&gt; В.А. Чернышев.</w:t>
      </w:r>
    </w:p>
    <w:p w14:paraId="27B66E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стандартизации (1972 г.)- Л.М. Лисютина.</w:t>
      </w:r>
    </w:p>
    <w:p w14:paraId="1CB7FC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стойка автоматического регулирования напряжения САРН; аппаратура дальней связи: К-60, К-1920, К-3600, К-5400, К-10800, ИКМ-480; для сети Интервидения Москва-Киев-Прага-Берлин; для проекта «Союз-Аполлон» (1975); громкоговоритель «Шадринск» (11982).</w:t>
      </w:r>
    </w:p>
    <w:p w14:paraId="5960B8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E822DE7" w14:textId="77777777" w:rsidR="00911435" w:rsidRPr="00640820" w:rsidRDefault="00911435"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октября 1941 г.</w:t>
      </w:r>
    </w:p>
    <w:p w14:paraId="1327ECEF" w14:textId="77777777" w:rsidR="00911435" w:rsidRPr="00640820" w:rsidRDefault="00911435"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ВОПРОСЫ, РЕШЕННЫЕ ОПРОСОМ ЧЛЕНОВ БЮРО ГК ВКП(б)</w:t>
      </w:r>
    </w:p>
    <w:p w14:paraId="7DB94398" w14:textId="77777777" w:rsidR="00911435" w:rsidRPr="00640820" w:rsidRDefault="00911435"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24 октября 1941 г.</w:t>
      </w:r>
    </w:p>
    <w:p w14:paraId="476315F4" w14:textId="77777777" w:rsidR="00911435" w:rsidRPr="00640820" w:rsidRDefault="00911435"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110гс. — О производстве пулеметных лент «Максима» для Артуправления Ленинградского фронта (особая папка).</w:t>
      </w:r>
    </w:p>
    <w:p w14:paraId="3F4E15AC" w14:textId="77777777" w:rsidR="00911435" w:rsidRPr="00640820" w:rsidRDefault="00911435"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Обязать фабрику «Красный Маяк» (т. Самарин) изготовить в 4-м квартале 1941 г. — 410 тыс. метров хлопчатобумажной тесьмы для пулеметных лент «Максима» по утвержденному образцу и с 23.Х.–с.г. равномерными партиями сдать фабрике им. Веры Слуцкой.</w:t>
      </w:r>
    </w:p>
    <w:p w14:paraId="31A22DC5" w14:textId="77777777" w:rsidR="00911435" w:rsidRPr="00640820" w:rsidRDefault="00911435"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Предложить директору фабрики «Нева» т. Семенову изготовить для фабрики «Скороход» в 4-м квартале с 23.Х равномерными партиями 410 тыс. метров шнура по представленному образцу.</w:t>
      </w:r>
    </w:p>
    <w:p w14:paraId="35C2A094" w14:textId="77777777" w:rsidR="00911435" w:rsidRPr="00640820" w:rsidRDefault="00911435"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Обязать фабрику им. Веры Слуцкой (т. Кац) в 4-м квартале 1941 г. с 23.Х произвести противогнилостную и водостойкую пропитку хлопчатобумажной тесьмы в количестве 410 тыс. метров для фабрики «Скороход».</w:t>
      </w:r>
    </w:p>
    <w:p w14:paraId="06972895" w14:textId="77777777" w:rsidR="00911435" w:rsidRPr="00640820" w:rsidRDefault="00911435"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Обязать директора завода «Красный Выборжец» т. Задова изготовить в 4-м квартале 1941 г. — 52 тонны латунной ленты и директора завода им. Молотова т. Нодельман — 2 тонны железной ленты, по спецификации автоматно-штамповочного завода.</w:t>
      </w:r>
    </w:p>
    <w:p w14:paraId="6FFC954C" w14:textId="77777777" w:rsidR="00911435" w:rsidRPr="00640820" w:rsidRDefault="00911435"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Предложить директору автоматно-штамповочного завода т. Смирнову в 4-м квартале 1941 г. изготовить, по заявке фабрики «Скороход» и образцам, утвержденным Артуправлением Ленинградского фронта, — латунные пластинки — 15,1 млн. штук, блочки №№ 48, 49 и 50 — 28,2 млн. штук и железные наконечники — 125 тыс. штук, для пулеметных лент.</w:t>
      </w:r>
    </w:p>
    <w:p w14:paraId="47F87527" w14:textId="77777777" w:rsidR="00911435" w:rsidRPr="00640820" w:rsidRDefault="00911435"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Предложить директору фабрики «Скороход» т. Бельскому обеспечить выпуск 30 тыс. пулеметных лент «Максима», из них 10 тыс. штук в 4-м квартале 1941 г. для Артуправления Ленинградского фронта равномерной сдачей подекадно.</w:t>
      </w:r>
    </w:p>
    <w:p w14:paraId="21B32C6A" w14:textId="77777777" w:rsidR="00911435" w:rsidRPr="00640820" w:rsidRDefault="00911435"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Обязать директора Ленмолококомбината т. Дубинина возвратить не позднее 25 октября 1941 г. фабрике «Скороход» 3 эксцентриковых пресса, ранее взятых во временное пользование.</w:t>
      </w:r>
    </w:p>
    <w:p w14:paraId="71BBB0C7" w14:textId="77777777" w:rsidR="00911435" w:rsidRPr="00640820" w:rsidRDefault="00911435"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Подписи — Кузнецов, Попков, Капустин, Никитин.</w:t>
      </w:r>
    </w:p>
    <w:p w14:paraId="4879AD11" w14:textId="77777777" w:rsidR="00911435" w:rsidRPr="00640820" w:rsidRDefault="00911435"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ЦГАИПД СПб. Ф. 25. Оп. 2а. Д. 160. Л. 30. Бланк опросного голосования. Оригинал, машинопись. Подписи — автографы (19720).</w:t>
      </w:r>
    </w:p>
    <w:p w14:paraId="7EF138DE" w14:textId="77777777" w:rsidR="00911435" w:rsidRPr="00640820" w:rsidRDefault="00911435" w:rsidP="00640820">
      <w:pPr>
        <w:autoSpaceDE w:val="0"/>
        <w:autoSpaceDN w:val="0"/>
        <w:adjustRightInd w:val="0"/>
        <w:spacing w:after="0" w:line="240" w:lineRule="auto"/>
        <w:jc w:val="both"/>
        <w:rPr>
          <w:rFonts w:ascii="Times New Roman" w:hAnsi="Times New Roman"/>
          <w:color w:val="000000" w:themeColor="text1"/>
          <w:sz w:val="16"/>
          <w:szCs w:val="16"/>
        </w:rPr>
      </w:pPr>
    </w:p>
    <w:p w14:paraId="071F98BC"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62330FFA"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BF8E60D" w14:textId="77777777" w:rsidR="002F12D1" w:rsidRPr="00640820" w:rsidRDefault="002F12D1"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24 октября </w:t>
      </w:r>
      <w:r w:rsidRPr="00640820">
        <w:rPr>
          <w:rFonts w:ascii="Times New Roman" w:hAnsi="Times New Roman"/>
          <w:color w:val="000000" w:themeColor="text1"/>
          <w:sz w:val="16"/>
          <w:szCs w:val="16"/>
        </w:rPr>
        <w:t>в 1941 году утреннее сообщение Совинформбюро:</w:t>
      </w:r>
    </w:p>
    <w:p w14:paraId="769E60B4" w14:textId="77777777" w:rsidR="002F12D1" w:rsidRPr="00640820" w:rsidRDefault="002F12D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24 октября на всём фронте продолжались бои, особенно упорные на Можайском и Малоярославецком направлениях.</w:t>
      </w:r>
    </w:p>
    <w:p w14:paraId="34F0CD61" w14:textId="77777777" w:rsidR="002F12D1" w:rsidRPr="00640820" w:rsidRDefault="002F12D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участков Ленинградского фронта наша танковая часть успешно атаковала позиции противника. В результате атаки уничтожено до двух рот противника. 14 немецких танков, 18 орудий, две миномётные батареи, склад боеприпасов и большое количество грузовых автомашин со снарядами и военным снаряжением.</w:t>
      </w:r>
    </w:p>
    <w:p w14:paraId="1503E2F9" w14:textId="77777777" w:rsidR="002F12D1" w:rsidRPr="00640820" w:rsidRDefault="002F12D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Один наш танк гусеницами и орудийным огнём уничтожил около 80 фашистов. Кроме того, отважный заместитель политрука тов. Богурский, стоя на танке во время атаки, в упор расстреливал противника из автомата. В этом бою тов. Богурский уничтожил 20 вражеских солдат и одного офицера.</w:t>
      </w:r>
    </w:p>
    <w:p w14:paraId="5127310A" w14:textId="77777777" w:rsidR="002F12D1" w:rsidRPr="00640820" w:rsidRDefault="002F12D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Партизаны Полесья беспощадно уничтожают немецко-фашистских мерзавцев. Недавно партизанский отряд под командованием председателя одного из райпотребсоюзов тов. К. узнал о приближении танковой части противника. Бойцы отряда организовали засаду и подкараулили три немецкие бронемашины и танк, направлявшиеся в деревню П. на разведку. Как только фашистские машины поравнялись с засадой, партизаны забросали их бутылками с горючей смесью и гранатами. Немецкие солдаты выскочили из машин и пытались удрать в лес, но все до одного были перебиты метким огнём советских патриотов. Не получив известий от своей разведки, германское командование выслало к деревне П. ещё пять бронемашин. Партизаны уничтожили и эти машины. Хорошо вооружённые трофейным оружием, партизаны Полесья совершили в первых числах октября нападение на крупный отряд немецкой пехоты. В результате боя на дороге осталось 45 трупов немецких солдат. Партизаны захватили 10 исправных мотоциклов, много винтовок, автоматов и боеприпасов.</w:t>
      </w:r>
    </w:p>
    <w:p w14:paraId="67912A84" w14:textId="77777777" w:rsidR="002F12D1" w:rsidRPr="00640820" w:rsidRDefault="002F12D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Обстановка в Чехии и Моравии становится с каждым днём всё более напряжённой. Германские военные суды заседают днём и ночью и выносят пачками смертные приговоры. По признанию немецкого радио в Праге, за последнее время было приведено в исполнение около 300 приговоров к смертной казни. Однако число антигерманских выступлений растёт. Германские солдаты и офицеры даже в Праге боятся появляться в одиночку и ходят только группами. Против чехословацких патриотов пущена в ход не только судебная машина. Гитлеровцы хотят задушить голодом поднимающийся на борьбу чешский народ. Оккупанты реквизировали всё продовольствие и все товары широкого потребления. В Германию вывезены все жиры, овощи и фрукты. Немцы прибирают к своим рукам фабрики и заводы. </w:t>
      </w:r>
      <w:r w:rsidRPr="00640820">
        <w:rPr>
          <w:rFonts w:ascii="Times New Roman" w:hAnsi="Times New Roman"/>
          <w:color w:val="000000" w:themeColor="text1"/>
          <w:sz w:val="16"/>
          <w:szCs w:val="16"/>
        </w:rPr>
        <w:lastRenderedPageBreak/>
        <w:t>Отбираются у владельцев даже небольшие ремесленные мастерские. Чешские рабочие, осмеливающиеся выражать недовольство действиями оккупантов, немедленно увольняются с предприятия.» (14809).</w:t>
      </w:r>
    </w:p>
    <w:p w14:paraId="4718FAA5" w14:textId="77777777" w:rsidR="002F12D1" w:rsidRPr="00640820" w:rsidRDefault="002F12D1" w:rsidP="00640820">
      <w:pPr>
        <w:spacing w:after="0" w:line="240" w:lineRule="auto"/>
        <w:jc w:val="both"/>
        <w:rPr>
          <w:rFonts w:ascii="Times New Roman" w:hAnsi="Times New Roman"/>
          <w:color w:val="000000" w:themeColor="text1"/>
          <w:sz w:val="16"/>
          <w:szCs w:val="16"/>
        </w:rPr>
      </w:pPr>
    </w:p>
    <w:p w14:paraId="24546CFA" w14:textId="77777777" w:rsidR="002F12D1" w:rsidRPr="00640820" w:rsidRDefault="002F12D1"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24 октября </w:t>
      </w:r>
      <w:r w:rsidRPr="00640820">
        <w:rPr>
          <w:rFonts w:ascii="Times New Roman" w:hAnsi="Times New Roman"/>
          <w:color w:val="000000" w:themeColor="text1"/>
          <w:sz w:val="16"/>
          <w:szCs w:val="16"/>
        </w:rPr>
        <w:t>в 1941 году вечернее сообщение Совинформбюро:</w:t>
      </w:r>
    </w:p>
    <w:p w14:paraId="55E56EE9" w14:textId="77777777" w:rsidR="002F12D1" w:rsidRPr="00640820" w:rsidRDefault="002F12D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24 октября наши войска вели бои на Таганрогском и Макеевском (Донбасс) направлениях. Ожесточённые атаки немецко-фашистских войск на наши позиции на Можайском и Малоярославецком направлениях отбиты частями Красной Армии с большими потерями для противника.</w:t>
      </w:r>
    </w:p>
    <w:p w14:paraId="5DDCD468" w14:textId="77777777" w:rsidR="002F12D1" w:rsidRPr="00640820" w:rsidRDefault="002F12D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23 октября уничтожено 10 немецких самолётов. Наши потери — 6 самолётов. За 24 октября под Москвой сбито 17 самолётов противника.</w:t>
      </w:r>
    </w:p>
    <w:p w14:paraId="7BCD8BF8" w14:textId="77777777" w:rsidR="002F12D1" w:rsidRPr="00640820" w:rsidRDefault="002F12D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 наша часть за один день боя уничтожила больше полка мотопехоты противника, 38 немецких танков, 34 противотанковых орудия, 28 миномётов, 180 автомашин с боеприпасами и военным снаряжением.</w:t>
      </w:r>
    </w:p>
    <w:p w14:paraId="177FA268" w14:textId="77777777" w:rsidR="002F12D1" w:rsidRPr="00640820" w:rsidRDefault="002F12D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октября наша авиачасть, действующая на Западном фронте, уничтожила 45 немецких танков и более 150 автомашин с вражеской пехотой.</w:t>
      </w:r>
    </w:p>
    <w:p w14:paraId="16862642" w14:textId="77777777" w:rsidR="002F12D1" w:rsidRPr="00640820" w:rsidRDefault="002F12D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части, действующие на одном из участков Западного фронта, ведут упорные бои с противником. Бойцы и командиры отстаивают каждую пядь родной земли. Командир танка лейтенант Щекотуров в бою за деревню Б. уничтожил 5 орудий противника. Экипаж танка старшего политрука Печёрина разгромил 7 орудий и уничтожил больше 60 немецких солдат. В бою под деревней Е. фашисты потеряли до батальона пехоты, 4 батареи противотанковых орудий, 50 мотоциклов и много военного снаряжения.</w:t>
      </w:r>
    </w:p>
    <w:p w14:paraId="3376677A" w14:textId="77777777" w:rsidR="002F12D1" w:rsidRPr="00640820" w:rsidRDefault="002F12D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Около двух месяцев действует в захваченных немцами районах Ленинградской области партизанский отряд под командованием тов. Е. На днях бойцы отряда встретили немецкий отряд в 200 солдат и офицеров. Завязался жаркий бой. Враг был разгромлен. На поле боя осталось больше 100 убитых германских солдат. За последние две недели отряд тов. Е. сжёг 28 трёхтонных и несколько полуторатонных автомашин противника, уничтожил 4 орудия, много зенитных пулемётов и 15 цистерн с горючим и смазочными материалами.</w:t>
      </w:r>
    </w:p>
    <w:p w14:paraId="606C8152" w14:textId="77777777" w:rsidR="002F12D1" w:rsidRPr="00640820" w:rsidRDefault="002F12D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Бойцы отряда хорошо овладели искусством минирования дорог и мостов. Сапёрные группы отряда мешают продвижению фашистских войск и наносят существенный ущерб материальной части врага. В октябре на дорогах и мостах взорвано 8 автомашин, один немецкий вездеход с тяжёлым орудием, две штабные машины с офицерами.</w:t>
      </w:r>
    </w:p>
    <w:p w14:paraId="3DAA0400" w14:textId="77777777" w:rsidR="002F12D1" w:rsidRPr="00640820" w:rsidRDefault="002F12D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румынской армии растут антивоенные и антифашистские настроения. Солдатские массы не хотят воевать против Советского Союза. Многие солдаты проявляют большой интерес к советским листовкам, бережно хранят их и при первой же возможности переходят на сторону Красной Армии. Румынское командование издало ряд приказов, в которых предлагает установить строжайший и неусыпный надзор за солдатами. Вот выдержка из одного секретного письма командира румынского 89 пехотного полка полковника Преторияна разведывательной роте: «При сем посылаем вам копию приказа по 13 пехотной дивизии за № 21546/Б— 1941 г. для ознакомления офицеров и принятия следующих мер: непрерывно наблюдать и контролировать действия личного со става частей... командирам взводов лично производить обыск у всех солдат». Не доверяют своим солдатам подполковник И.Димитриу и капитан Т.Ботезату. В одном из приказов они пишут: «Командование армейского корпуса располагает сведениями о переходе некоторых румынских солдат на сторону противника... Кроме того, имеются сведения, что многие солдаты носят в карманах советские листовки... Указанные случаи говорят о том, что у нас есть солдаты, которые верят советской пропаганде... Немедленно проведите обыски во всех частях для изъятия советских листовок» (14809).</w:t>
      </w:r>
    </w:p>
    <w:p w14:paraId="3E684C57" w14:textId="77777777" w:rsidR="002F12D1" w:rsidRPr="00640820" w:rsidRDefault="002F12D1" w:rsidP="00640820">
      <w:pPr>
        <w:spacing w:after="0" w:line="240" w:lineRule="auto"/>
        <w:jc w:val="both"/>
        <w:rPr>
          <w:rFonts w:ascii="Times New Roman" w:hAnsi="Times New Roman"/>
          <w:color w:val="000000" w:themeColor="text1"/>
          <w:sz w:val="16"/>
          <w:szCs w:val="16"/>
        </w:rPr>
      </w:pPr>
    </w:p>
    <w:p w14:paraId="4245855D" w14:textId="77777777" w:rsidR="002F12D1" w:rsidRPr="00640820" w:rsidRDefault="002F12D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октября 1941 г. германские войска овладели Харьковом (15117).</w:t>
      </w:r>
    </w:p>
    <w:p w14:paraId="001A1FE0" w14:textId="77777777" w:rsidR="002F12D1" w:rsidRPr="00640820" w:rsidRDefault="002F12D1" w:rsidP="00640820">
      <w:pPr>
        <w:spacing w:after="0" w:line="240" w:lineRule="auto"/>
        <w:jc w:val="both"/>
        <w:rPr>
          <w:rFonts w:ascii="Times New Roman" w:hAnsi="Times New Roman"/>
          <w:color w:val="000000" w:themeColor="text1"/>
          <w:sz w:val="16"/>
          <w:szCs w:val="16"/>
        </w:rPr>
      </w:pPr>
    </w:p>
    <w:p w14:paraId="054574BF" w14:textId="77777777" w:rsidR="002F12D1" w:rsidRPr="00640820" w:rsidRDefault="002F12D1"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24 октября </w:t>
      </w:r>
      <w:r w:rsidRPr="00640820">
        <w:rPr>
          <w:rFonts w:ascii="Times New Roman" w:hAnsi="Times New Roman"/>
          <w:color w:val="000000" w:themeColor="text1"/>
          <w:sz w:val="16"/>
          <w:szCs w:val="16"/>
        </w:rPr>
        <w:t>в 1941 году советские войска оставили Харьков (14809).</w:t>
      </w:r>
    </w:p>
    <w:p w14:paraId="549C88D9" w14:textId="77777777" w:rsidR="002F12D1" w:rsidRPr="00640820" w:rsidRDefault="002F12D1" w:rsidP="00640820">
      <w:pPr>
        <w:spacing w:after="0" w:line="240" w:lineRule="auto"/>
        <w:jc w:val="both"/>
        <w:rPr>
          <w:rFonts w:ascii="Times New Roman" w:hAnsi="Times New Roman"/>
          <w:color w:val="000000" w:themeColor="text1"/>
          <w:sz w:val="16"/>
          <w:szCs w:val="16"/>
        </w:rPr>
      </w:pPr>
    </w:p>
    <w:p w14:paraId="143ABD4B" w14:textId="77777777" w:rsidR="002F12D1" w:rsidRPr="00640820" w:rsidRDefault="002F12D1"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24 октября </w:t>
      </w:r>
      <w:r w:rsidRPr="00640820">
        <w:rPr>
          <w:rFonts w:ascii="Times New Roman" w:hAnsi="Times New Roman"/>
          <w:color w:val="000000" w:themeColor="text1"/>
          <w:sz w:val="16"/>
          <w:szCs w:val="16"/>
        </w:rPr>
        <w:t>в 1941 году советские войска оставили Малую Вишеру (14809).</w:t>
      </w:r>
    </w:p>
    <w:p w14:paraId="2C7CAC61" w14:textId="77777777" w:rsidR="002F12D1" w:rsidRPr="00640820" w:rsidRDefault="002F12D1" w:rsidP="00640820">
      <w:pPr>
        <w:spacing w:after="0" w:line="240" w:lineRule="auto"/>
        <w:jc w:val="both"/>
        <w:rPr>
          <w:rFonts w:ascii="Times New Roman" w:hAnsi="Times New Roman"/>
          <w:color w:val="000000" w:themeColor="text1"/>
          <w:sz w:val="16"/>
          <w:szCs w:val="16"/>
        </w:rPr>
      </w:pPr>
    </w:p>
    <w:p w14:paraId="45EDDFAD" w14:textId="77777777" w:rsidR="002F12D1" w:rsidRPr="00640820" w:rsidRDefault="002F12D1"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24 октября </w:t>
      </w:r>
      <w:r w:rsidRPr="00640820">
        <w:rPr>
          <w:rFonts w:ascii="Times New Roman" w:hAnsi="Times New Roman"/>
          <w:color w:val="000000" w:themeColor="text1"/>
          <w:sz w:val="16"/>
          <w:szCs w:val="16"/>
        </w:rPr>
        <w:t>в 1941 году войска Калининского фронта сорвали попытку противника прорваться от Ржева на Торжок (14809).</w:t>
      </w:r>
    </w:p>
    <w:p w14:paraId="51AAD2E7" w14:textId="77777777" w:rsidR="002F12D1" w:rsidRPr="00640820" w:rsidRDefault="002F12D1" w:rsidP="00640820">
      <w:pPr>
        <w:spacing w:after="0" w:line="240" w:lineRule="auto"/>
        <w:jc w:val="both"/>
        <w:rPr>
          <w:rFonts w:ascii="Times New Roman" w:hAnsi="Times New Roman"/>
          <w:color w:val="000000" w:themeColor="text1"/>
          <w:sz w:val="16"/>
          <w:szCs w:val="16"/>
        </w:rPr>
      </w:pPr>
    </w:p>
    <w:p w14:paraId="2169C6B4" w14:textId="77777777" w:rsidR="002F12D1" w:rsidRPr="00640820" w:rsidRDefault="002F12D1"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24 октября </w:t>
      </w:r>
      <w:r w:rsidRPr="00640820">
        <w:rPr>
          <w:rFonts w:ascii="Times New Roman" w:hAnsi="Times New Roman"/>
          <w:color w:val="000000" w:themeColor="text1"/>
          <w:sz w:val="16"/>
          <w:szCs w:val="16"/>
        </w:rPr>
        <w:t>в 1941 году подвиг экипажа летчика В.А.Гречишникова. Преодолевая зенитный огонь, экипаж разбомбил большую колонну танков, артиллерии и мотопехоты противника, тянувшуюся от Грузине на Будогощь. Но в самолет Гречишникова ударил зенитный снаряд. Как докладывали члены ведомого экипажа, Гречишников наверняка мог бы пролететь на горящем самолете несколько километров и посадить его в поле. Но все произошло иначе. Развернув горящий самолет, Гречишников резко повел его вниз, на вражескую колонну. Через считанные секунды бомбардировщик врезался в гущу фашистской техники. Мощный взрыв, вызванный огненным тараном, сотряс землю, взметнул ввысь пламя. И все было кончено. Не стало еще многих гитлеровцев. И не стало прославленного экипажа. Василий Алексеевич Гречишников отдал свою жизнь, не успев получить высшую награду — Золотую Звезду Героя Советского Союза. В поселке Грузине сооружен обелиск в честь бессмертного подвига экипажа В.А.Гречишникова (14809).</w:t>
      </w:r>
    </w:p>
    <w:p w14:paraId="71F8B89C" w14:textId="77777777" w:rsidR="002F12D1" w:rsidRPr="00640820" w:rsidRDefault="002F12D1" w:rsidP="00640820">
      <w:pPr>
        <w:spacing w:after="0" w:line="240" w:lineRule="auto"/>
        <w:jc w:val="both"/>
        <w:rPr>
          <w:rFonts w:ascii="Times New Roman" w:hAnsi="Times New Roman"/>
          <w:color w:val="000000" w:themeColor="text1"/>
          <w:sz w:val="16"/>
          <w:szCs w:val="16"/>
        </w:rPr>
      </w:pPr>
    </w:p>
    <w:p w14:paraId="6DCF34FA" w14:textId="77777777" w:rsidR="00911435" w:rsidRPr="00640820" w:rsidRDefault="00911435" w:rsidP="00640820">
      <w:pPr>
        <w:pStyle w:val="319"/>
        <w:shd w:val="clear" w:color="auto" w:fill="auto"/>
        <w:spacing w:after="0" w:line="240" w:lineRule="auto"/>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24 октября 1941 после ремонта состоялся следующий вылет ТБ-7 № 42015, но с новым командиром, тоже полярным летчиком Э.К. Пусэпом:</w:t>
      </w:r>
    </w:p>
    <w:p w14:paraId="413041D9" w14:textId="77777777" w:rsidR="00911435" w:rsidRPr="00640820" w:rsidRDefault="0091143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Самолет № 42015, командир корабля - старший лейтенант Пусэп, в 15 час 50 мин 24.10.41 г. стартовал с аэродрома Ковров на бомбардирование г. Орел. В 18 час 41 мин с высоты 3500 м на цель сброшены: ФАБ-250 - 8 шт., ФАБ-100 - 8 шт. Бомбы сброшены прицельно в один заход. Экипаж наблюдал разрывы бомб в центральной части города, в результате бомбометания возникло 3 очага пожара.</w:t>
      </w:r>
    </w:p>
    <w:p w14:paraId="735AF261" w14:textId="77777777" w:rsidR="00911435" w:rsidRPr="00640820" w:rsidRDefault="00911435"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Противодействие ПВО: Над целью самолет обстрелян ЗА, малокалиберной и среднего калибра, огонь слабый, разрывы слева в стороне.</w:t>
      </w:r>
    </w:p>
    <w:p w14:paraId="03115732" w14:textId="77777777" w:rsidR="00911435" w:rsidRPr="00640820" w:rsidRDefault="00911435"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Метеоусловия: От ИПМ до Рязани сплошная облачность, высота 400-600 м, местами осадки. От Рязани до цели разорванная облачность 4-5 баллов, высота 600 м. Над целью - ясно.</w:t>
      </w:r>
    </w:p>
    <w:p w14:paraId="4B4AD8A1" w14:textId="77777777" w:rsidR="00911435" w:rsidRPr="00640820" w:rsidRDefault="00911435"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После выполнения задания произведена посадка в Коврове 20 час 30 мин. (19105).</w:t>
      </w:r>
    </w:p>
    <w:p w14:paraId="11656C90" w14:textId="77777777" w:rsidR="00911435" w:rsidRPr="00640820" w:rsidRDefault="00911435" w:rsidP="00640820">
      <w:pPr>
        <w:pStyle w:val="108"/>
        <w:shd w:val="clear" w:color="auto" w:fill="auto"/>
        <w:spacing w:line="240" w:lineRule="auto"/>
        <w:rPr>
          <w:rFonts w:ascii="Times New Roman" w:hAnsi="Times New Roman" w:cs="Times New Roman"/>
          <w:color w:val="000000" w:themeColor="text1"/>
        </w:rPr>
      </w:pPr>
    </w:p>
    <w:p w14:paraId="7B029325" w14:textId="77777777" w:rsidR="002F12D1" w:rsidRPr="00640820" w:rsidRDefault="002F12D1"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24 октября </w:t>
      </w:r>
      <w:r w:rsidRPr="00640820">
        <w:rPr>
          <w:rFonts w:ascii="Times New Roman" w:hAnsi="Times New Roman"/>
          <w:color w:val="000000" w:themeColor="text1"/>
          <w:sz w:val="16"/>
          <w:szCs w:val="16"/>
        </w:rPr>
        <w:t>в 1941 году немецкие войска захватили Белгород и Тарусу (14809).</w:t>
      </w:r>
    </w:p>
    <w:p w14:paraId="2CD3F38B" w14:textId="77777777" w:rsidR="002F12D1" w:rsidRPr="00640820" w:rsidRDefault="002F12D1" w:rsidP="00640820">
      <w:pPr>
        <w:spacing w:after="0" w:line="240" w:lineRule="auto"/>
        <w:jc w:val="both"/>
        <w:rPr>
          <w:rFonts w:ascii="Times New Roman" w:hAnsi="Times New Roman"/>
          <w:color w:val="000000" w:themeColor="text1"/>
          <w:sz w:val="16"/>
          <w:szCs w:val="16"/>
        </w:rPr>
      </w:pPr>
    </w:p>
    <w:p w14:paraId="5A32F423" w14:textId="77777777" w:rsidR="002F12D1" w:rsidRPr="00640820" w:rsidRDefault="002F12D1"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24 октября </w:t>
      </w:r>
      <w:r w:rsidRPr="00640820">
        <w:rPr>
          <w:rFonts w:ascii="Times New Roman" w:hAnsi="Times New Roman"/>
          <w:color w:val="000000" w:themeColor="text1"/>
          <w:sz w:val="16"/>
          <w:szCs w:val="16"/>
        </w:rPr>
        <w:t>в 1941 году началась Тульская оборонительная операция войск Брянского (генерал-майор Г.Ф.Захаров) и с 11 ноября - левого крыла Западного (генерал армии Г.К.Жуков) фронта против частей 2-й немецкой танковой армии. В результате операции, завершившейся 5 декабря, была обеспечена устойчивость левого крыла Западного фронта на южных подступах к Москве. Первостепенное значение в успехе операции имела героическая оборона Тулы, которая выдержала удары противника, находясь почти в полном окружении, и сковала его 2 танковые армии. Во время ожесточенных боев противнику были нанесены значительные потери в живой силе и технике. В 1976 г. Указом Президиума Верховного Совета СССР за мужество, проявленное жителями города в борьбе с фашистами, Туле было присвоено звание «Город-герой». Гостелерадиофонд располагает документальными записями выступлений участников обороны Тулы: Веденина Андрея Яковлевича, генерал-лейтенанта в отставке - об ожесточенных боях советских войск с танковыми соединения армии Гудериана на подступах к Туле. Ковзана Бориса Ивановича, Героя Советского Союза, летчика-истребителя, совершившего в годы войны четыре тарана - о своем первом таране 29 октября 1941 года в воздушном бою над тульской землей (14809).</w:t>
      </w:r>
    </w:p>
    <w:p w14:paraId="6FCCB7FB" w14:textId="77777777" w:rsidR="002F12D1" w:rsidRPr="00640820" w:rsidRDefault="002F12D1" w:rsidP="00640820">
      <w:pPr>
        <w:spacing w:after="0" w:line="240" w:lineRule="auto"/>
        <w:jc w:val="both"/>
        <w:rPr>
          <w:rFonts w:ascii="Times New Roman" w:hAnsi="Times New Roman"/>
          <w:color w:val="000000" w:themeColor="text1"/>
          <w:sz w:val="16"/>
          <w:szCs w:val="16"/>
        </w:rPr>
      </w:pPr>
    </w:p>
    <w:p w14:paraId="1BBB0D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октября 1941 г., навстречу двум обнаруженным финским “Чайкам” по сигналу поста ВНОС (Воздушного оповещения, наблюдения и связи) с аэродрома Ханко взлетела пара И-16, пилотируемых летчиками Голубевым и Татаренко. На этот раз ошибка была исключена, на своем аэродроме оставались две последние “Чайки” из состава 13-го иап. Финские самолеты боя не приняли и попытались скрыться. Хотя атакующие “ишаки” были последнего, 29-го типа, превышение в скорости было незначительным и сближение шло медленно. В ситуации, когда вражеские машины могли уйти под защиту своих зенитных батарей, Василий Голубев выпустил вдогонку два снаряда PC-82, которые, по его мнению, разнесли один самолет на куски. Вторая “Чайка” попала под пулеметный огонь обоих И-16, были отмечены попадания, однако в условиях начавшегося обстрела с земли “ишачкам” пришлось покинуть место схватки. Согласно финским данным, они имели в этот день только одну подбитую “Чайку”, которая с раненым пилотом села на вынужденную. Это оказалась та самая машина, захваченная в июне и получившая обозначение VH-19. Повреждения были, по всей видимости, основательны, ибо самолет находился в ремонте почти год и вошел в строй лишь в сентябре 1942 г. (6592).</w:t>
      </w:r>
    </w:p>
    <w:p w14:paraId="71F433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0599D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октября 1942 г. при ночной бомбардировке аэродрома Майкоп 2 И-15бис выполнили 15 атак по прожекторам и из восьми действующих прожекторов три уничтожили (12014).</w:t>
      </w:r>
    </w:p>
    <w:p w14:paraId="490A79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C35DF2B" w14:textId="77777777" w:rsidR="00836202" w:rsidRPr="00640820" w:rsidRDefault="00836202" w:rsidP="00640820">
      <w:pPr>
        <w:pStyle w:val="7d"/>
        <w:shd w:val="clear" w:color="auto" w:fill="auto"/>
        <w:spacing w:before="0" w:line="240" w:lineRule="auto"/>
        <w:jc w:val="both"/>
        <w:rPr>
          <w:rFonts w:ascii="Times New Roman" w:hAnsi="Times New Roman" w:cs="Times New Roman"/>
          <w:color w:val="0070C0"/>
        </w:rPr>
      </w:pPr>
      <w:r w:rsidRPr="00640820">
        <w:rPr>
          <w:rFonts w:ascii="Times New Roman" w:hAnsi="Times New Roman" w:cs="Times New Roman"/>
          <w:color w:val="0070C0"/>
        </w:rPr>
        <w:t>24 октября 1941 г. в разгар второй попытки немцев прорвать наши перекопские,</w:t>
      </w:r>
      <w:r w:rsidRPr="00640820">
        <w:rPr>
          <w:rFonts w:ascii="Times New Roman" w:hAnsi="Times New Roman" w:cs="Times New Roman"/>
          <w:color w:val="0070C0"/>
          <w:lang w:val="ru-RU"/>
        </w:rPr>
        <w:t xml:space="preserve"> </w:t>
      </w:r>
      <w:r w:rsidRPr="00640820">
        <w:rPr>
          <w:rFonts w:ascii="Times New Roman" w:hAnsi="Times New Roman" w:cs="Times New Roman"/>
          <w:color w:val="0070C0"/>
        </w:rPr>
        <w:t>точнее, уже юшуньские позиции, два ГСТ отправляются бомбить транспорты противника в Днепро-Бугском лимане. Вылет был произведен в 04:10,то есть, удар планировалось наносить в тем</w:t>
      </w:r>
      <w:r w:rsidRPr="00640820">
        <w:rPr>
          <w:rFonts w:ascii="Times New Roman" w:hAnsi="Times New Roman" w:cs="Times New Roman"/>
          <w:color w:val="0070C0"/>
        </w:rPr>
        <w:softHyphen/>
        <w:t>ноте. Целесообразность налета в таких условиях, даже, если бы там и были упо</w:t>
      </w:r>
      <w:r w:rsidRPr="00640820">
        <w:rPr>
          <w:rFonts w:ascii="Times New Roman" w:hAnsi="Times New Roman" w:cs="Times New Roman"/>
          <w:color w:val="0070C0"/>
        </w:rPr>
        <w:softHyphen/>
        <w:t>мянутые транспорты, вызывает большие сомнения. Ночной вылет трех ГСТ 23 ок</w:t>
      </w:r>
      <w:r w:rsidRPr="00640820">
        <w:rPr>
          <w:rFonts w:ascii="Times New Roman" w:hAnsi="Times New Roman" w:cs="Times New Roman"/>
          <w:color w:val="0070C0"/>
        </w:rPr>
        <w:softHyphen/>
        <w:t>тября на бомбежку участков №№8 и 9 на Перекопском перешейке хотя бы оправ</w:t>
      </w:r>
      <w:r w:rsidRPr="00640820">
        <w:rPr>
          <w:rFonts w:ascii="Times New Roman" w:hAnsi="Times New Roman" w:cs="Times New Roman"/>
          <w:color w:val="0070C0"/>
        </w:rPr>
        <w:softHyphen/>
        <w:t>дывается сложившейся в этот момент тя</w:t>
      </w:r>
      <w:r w:rsidRPr="00640820">
        <w:rPr>
          <w:rFonts w:ascii="Times New Roman" w:hAnsi="Times New Roman" w:cs="Times New Roman"/>
          <w:color w:val="0070C0"/>
        </w:rPr>
        <w:softHyphen/>
        <w:t>желой обстановкой. Хотя очень сомни</w:t>
      </w:r>
      <w:r w:rsidRPr="00640820">
        <w:rPr>
          <w:rFonts w:ascii="Times New Roman" w:hAnsi="Times New Roman" w:cs="Times New Roman"/>
          <w:color w:val="0070C0"/>
        </w:rPr>
        <w:softHyphen/>
        <w:t>тельно, что летчики гидросамолетов ночью смогли найти эти самые участки</w:t>
      </w:r>
      <w:r w:rsidRPr="00640820">
        <w:rPr>
          <w:rFonts w:ascii="Times New Roman" w:hAnsi="Times New Roman" w:cs="Times New Roman"/>
          <w:color w:val="0070C0"/>
          <w:lang w:val="ru-RU"/>
        </w:rPr>
        <w:t xml:space="preserve"> (19852)</w:t>
      </w:r>
      <w:r w:rsidRPr="00640820">
        <w:rPr>
          <w:rFonts w:ascii="Times New Roman" w:hAnsi="Times New Roman" w:cs="Times New Roman"/>
          <w:color w:val="0070C0"/>
        </w:rPr>
        <w:t>.</w:t>
      </w:r>
    </w:p>
    <w:p w14:paraId="39BF8203" w14:textId="77777777" w:rsidR="00836202" w:rsidRPr="00640820" w:rsidRDefault="00836202" w:rsidP="00640820">
      <w:pPr>
        <w:spacing w:after="0" w:line="240" w:lineRule="auto"/>
        <w:jc w:val="both"/>
        <w:rPr>
          <w:rFonts w:ascii="Times New Roman" w:hAnsi="Times New Roman"/>
          <w:color w:val="0070C0"/>
          <w:sz w:val="16"/>
          <w:szCs w:val="16"/>
          <w:lang w:val="ru"/>
        </w:rPr>
      </w:pPr>
    </w:p>
    <w:p w14:paraId="31D12B6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октября 1941 фашисты захватили Харьков (4962).</w:t>
      </w:r>
    </w:p>
    <w:p w14:paraId="4079E00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9585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rPr>
        <w:t xml:space="preserve">C 24 октября по 5 декабря 1941 была тульская оборонительная операция. </w:t>
      </w:r>
      <w:r w:rsidRPr="00640820">
        <w:rPr>
          <w:rFonts w:ascii="Times New Roman" w:hAnsi="Times New Roman"/>
          <w:color w:val="000000" w:themeColor="text1"/>
          <w:sz w:val="16"/>
          <w:szCs w:val="16"/>
          <w:lang w:val="en-US"/>
        </w:rPr>
        <w:t xml:space="preserve">29 </w:t>
      </w:r>
      <w:r w:rsidRPr="00640820">
        <w:rPr>
          <w:rFonts w:ascii="Times New Roman" w:hAnsi="Times New Roman"/>
          <w:color w:val="000000" w:themeColor="text1"/>
          <w:sz w:val="16"/>
          <w:szCs w:val="16"/>
        </w:rPr>
        <w:t>октября</w:t>
      </w:r>
      <w:r w:rsidRPr="00640820">
        <w:rPr>
          <w:rFonts w:ascii="Times New Roman" w:hAnsi="Times New Roman"/>
          <w:color w:val="000000" w:themeColor="text1"/>
          <w:sz w:val="16"/>
          <w:szCs w:val="16"/>
          <w:lang w:val="en-US"/>
        </w:rPr>
        <w:t xml:space="preserve"> 1941 </w:t>
      </w:r>
      <w:r w:rsidRPr="00640820">
        <w:rPr>
          <w:rFonts w:ascii="Times New Roman" w:hAnsi="Times New Roman"/>
          <w:color w:val="000000" w:themeColor="text1"/>
          <w:sz w:val="16"/>
          <w:szCs w:val="16"/>
        </w:rPr>
        <w:t>отступиликТуле</w:t>
      </w:r>
      <w:r w:rsidRPr="00640820">
        <w:rPr>
          <w:rFonts w:ascii="Times New Roman" w:hAnsi="Times New Roman"/>
          <w:color w:val="000000" w:themeColor="text1"/>
          <w:sz w:val="16"/>
          <w:szCs w:val="16"/>
          <w:lang w:val="en-US"/>
        </w:rPr>
        <w:t xml:space="preserve">, </w:t>
      </w:r>
      <w:r w:rsidRPr="00640820">
        <w:rPr>
          <w:rFonts w:ascii="Times New Roman" w:hAnsi="Times New Roman"/>
          <w:color w:val="000000" w:themeColor="text1"/>
          <w:sz w:val="16"/>
          <w:szCs w:val="16"/>
        </w:rPr>
        <w:t>ноотстояли</w:t>
      </w:r>
      <w:r w:rsidRPr="00640820">
        <w:rPr>
          <w:rFonts w:ascii="Times New Roman" w:hAnsi="Times New Roman"/>
          <w:color w:val="000000" w:themeColor="text1"/>
          <w:sz w:val="16"/>
          <w:szCs w:val="16"/>
          <w:lang w:val="en-US"/>
        </w:rPr>
        <w:t xml:space="preserve"> (2443,216).</w:t>
      </w:r>
    </w:p>
    <w:p w14:paraId="693528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3754A9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October 24, 1941: In the East, units of Heeresgruppe Mitte (von Bock) capture Charkov and Belgorod (3819).</w:t>
      </w:r>
    </w:p>
    <w:p w14:paraId="46081B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4013E9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24 October 1941 Russian city of Kharkov falls to the Germans (270).</w:t>
      </w:r>
    </w:p>
    <w:p w14:paraId="5704B6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6AC9D9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октября 1941 немцы захватили Харьков (270).</w:t>
      </w:r>
    </w:p>
    <w:p w14:paraId="5CBB6A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CFC98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Вечером 24 октября 1941 была разрушена железнодорожная станция Москва-Товарная и база Наркомата путей сообщений. 28 октября Люфтваффе выполнили сразу четыре налета на столицу. В 16.00 по московскому времени над центром города внезапно появился одиночный бомбардировщик. Погода была ясной и солнечной, сирены воздушной тревоги молчали. Поэтому сотни москвичей, заслышав гул моторов, задрали головы вверх и с ужасом увидели, как от серо-голубого брюха самолета отделились две точки, устремившиеся прямо на центр города. Вскоре мощный взрыв прогремел посередине ул. Горького (ныне Тверская), напротив Центрального телеграфа. Были убиты и ранены свыше сотни людей. На улице опрокинулись несколько автомобилей, вылетели стекла и оконные рамы во всех прилегающих зданиях. Вторая фугасная бомба попала в Большой театр, прошла между колоннами под фронтоном портика, пробила фасадную стену и разорвалась в вестибюле, из-за чего частично обрушились стена главного фасада и перекрытие вестибюля. В здании вылетели все стекла, многие внутренние помещения, в т.ч. зрительный зал, получили различные повреждения.  Вечером немцы совершили еще один налет на центр Москвы, сбросив 15 фугасных бомб на территорию Кремля. Одна из них взорвалась в сквере у Оружейной палаты, другая упала на Красную площадь у Спасской башни, убив двух человек. В результате попадания бомбы в Кремлевский арсенал погибли 92 человека. Во время этого взрыва контузило секретаря МК ВКП(б) Щербакова и председателя Моссовета Пронина. Еще одна фугасная бомба взорвалась около Царь-пушки. На следующую ночь немцы разбомбили здание ЦК ВКП(б) на Старой площади (11774).</w:t>
      </w:r>
    </w:p>
    <w:p w14:paraId="217A28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6621017"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5B103299"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771F5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октября 1941 г. Главгидрострой НКВД СССР расформирован, а в составе Главпромстроя (ГУЛПС) НКВД СССР создан Отдел гидротехнических работ при штате сотрудников в 35 человек (10303).</w:t>
      </w:r>
    </w:p>
    <w:p w14:paraId="09D747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B9FFC42" w14:textId="69D10B24" w:rsidR="00836202" w:rsidRPr="00640820" w:rsidRDefault="00836202" w:rsidP="00640820">
      <w:pPr>
        <w:autoSpaceDE w:val="0"/>
        <w:autoSpaceDN w:val="0"/>
        <w:adjustRightInd w:val="0"/>
        <w:spacing w:after="0" w:line="240" w:lineRule="auto"/>
        <w:jc w:val="both"/>
        <w:rPr>
          <w:rFonts w:ascii="Times New Roman" w:hAnsi="Times New Roman"/>
          <w:i/>
          <w:iCs/>
          <w:color w:val="000000" w:themeColor="text1"/>
          <w:sz w:val="16"/>
          <w:szCs w:val="16"/>
        </w:rPr>
      </w:pPr>
      <w:r w:rsidRPr="00640820">
        <w:rPr>
          <w:rFonts w:ascii="Times New Roman" w:hAnsi="Times New Roman"/>
          <w:i/>
          <w:iCs/>
          <w:color w:val="000000" w:themeColor="text1"/>
          <w:sz w:val="16"/>
          <w:szCs w:val="16"/>
        </w:rPr>
        <w:t>За рубежом:</w:t>
      </w:r>
    </w:p>
    <w:p w14:paraId="65AF76E1" w14:textId="77777777" w:rsidR="00836202" w:rsidRPr="00640820" w:rsidRDefault="00836202" w:rsidP="00640820">
      <w:pPr>
        <w:autoSpaceDE w:val="0"/>
        <w:autoSpaceDN w:val="0"/>
        <w:adjustRightInd w:val="0"/>
        <w:spacing w:after="0" w:line="240" w:lineRule="auto"/>
        <w:jc w:val="both"/>
        <w:rPr>
          <w:rFonts w:ascii="Times New Roman" w:hAnsi="Times New Roman"/>
          <w:i/>
          <w:iCs/>
          <w:color w:val="000000" w:themeColor="text1"/>
          <w:sz w:val="16"/>
          <w:szCs w:val="16"/>
        </w:rPr>
      </w:pPr>
    </w:p>
    <w:p w14:paraId="13A55AEB" w14:textId="77777777" w:rsidR="00836202" w:rsidRPr="00640820" w:rsidRDefault="00836202"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24 октября 1941 г. был готов проект Арадо 234, а в июне Люфтваффе заказали шесть прототипов самолета, обозначенного Аг 234, с ТРД BMW 109-003. Учитывая проблемы по их доводке, разработчики обратились, как и конструкторы «Мессершмитта», к более надежным ТРД Jumo 004.</w:t>
      </w:r>
    </w:p>
    <w:p w14:paraId="499D9FFE" w14:textId="77777777" w:rsidR="00836202" w:rsidRPr="00640820" w:rsidRDefault="00836202" w:rsidP="00640820">
      <w:pPr>
        <w:spacing w:after="0" w:line="240" w:lineRule="auto"/>
        <w:jc w:val="both"/>
        <w:rPr>
          <w:rFonts w:ascii="Times New Roman" w:hAnsi="Times New Roman"/>
          <w:color w:val="0070C0"/>
          <w:sz w:val="16"/>
          <w:szCs w:val="16"/>
          <w:lang w:val="ru"/>
        </w:rPr>
      </w:pPr>
      <w:r w:rsidRPr="00640820">
        <w:rPr>
          <w:rFonts w:ascii="Times New Roman" w:hAnsi="Times New Roman"/>
          <w:color w:val="0070C0"/>
          <w:sz w:val="16"/>
          <w:szCs w:val="16"/>
        </w:rPr>
        <w:t>Основным требованием к специализированному разведывательному самолету с реактивным двигателем была прежде всего скорость не менее 700 км/ч. На втором месте — способность выполнять полет на большой высоте. Эти требования в сочетании с большой скороподъемностью должны были обеспечить самолету относительную безопасность от средств ПВО без бортового оружия и были заложены в ТЗ, разработанном RLM в 1940 г. Заказ на разработку самолета получила фирма «Арадо». Главным конструктором проекта, обозначенного Е-370, был Эмиль Экштейн, которого после ухода с фирмы сменил главный инженер — Вальтер Блюм. Под его руководством было разработано несколько вариантов, из которых выбрали четвертый — Е-370/IV, с ТРД фирмы BMW. Сложности с уборкой трехстоечного шасси с носовым колесом в тонкое, высоко расположенное крыло привели к необходимости воспользоваться опытом Липпиша и применить для взлета колесную тележку и лыжу для посадки, подобно Ме 163 (22776).</w:t>
      </w:r>
    </w:p>
    <w:p w14:paraId="3F0FBD13" w14:textId="77777777" w:rsidR="00836202" w:rsidRPr="00640820" w:rsidRDefault="00836202" w:rsidP="00640820">
      <w:pPr>
        <w:spacing w:after="0" w:line="240" w:lineRule="auto"/>
        <w:jc w:val="both"/>
        <w:rPr>
          <w:rFonts w:ascii="Times New Roman" w:hAnsi="Times New Roman"/>
          <w:color w:val="0070C0"/>
          <w:sz w:val="16"/>
          <w:szCs w:val="16"/>
          <w:lang w:val="ru"/>
        </w:rPr>
      </w:pPr>
    </w:p>
    <w:p w14:paraId="22DC8535" w14:textId="239D5415"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00EEFCDA"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B66EC51" w14:textId="77777777" w:rsidR="008471BC" w:rsidRPr="00640820" w:rsidRDefault="008471B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25-го октября 1941 года бюро Иркутского Обкома ВКП(б) рассмотрело вопросы, связанные с прибытием в Иркутск эвакуированного московского завода № 39 и приняло нижеследующее Постановление (33):</w:t>
      </w:r>
    </w:p>
    <w:p w14:paraId="6684D74F" w14:textId="77777777" w:rsidR="008471BC" w:rsidRPr="00640820" w:rsidRDefault="008471BC"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ПОСТАНОВЛЕНИЕ</w:t>
      </w:r>
    </w:p>
    <w:p w14:paraId="1144EF0F" w14:textId="77777777" w:rsidR="008471BC" w:rsidRPr="00640820" w:rsidRDefault="008471BC"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Бюро Иркутского Областного комитета ВКП(б)</w:t>
      </w:r>
    </w:p>
    <w:p w14:paraId="1C93C182" w14:textId="77777777" w:rsidR="008471BC" w:rsidRPr="00640820" w:rsidRDefault="008471BC"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О РАЗМЕЩЕНИИ ЭВАКУИРОВАННОГО ЗАВОДА № 39 ИМЕНИ МЕНЖИНСКОГО</w:t>
      </w:r>
    </w:p>
    <w:p w14:paraId="6B734E66" w14:textId="77777777" w:rsidR="008471BC" w:rsidRPr="00640820" w:rsidRDefault="008471BC"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В целях размещения и пуска эвакуированного завода № 39 имени Менжинского, создания необходимых бытовых условий для прибывающих рабочих и их семей, бюро Обкома ВКП(б) постановляет:</w:t>
      </w:r>
    </w:p>
    <w:p w14:paraId="41938568" w14:textId="77777777" w:rsidR="008471BC" w:rsidRPr="00640820" w:rsidRDefault="008471BC" w:rsidP="00640820">
      <w:pPr>
        <w:pStyle w:val="rteindent11"/>
        <w:shd w:val="clear" w:color="auto" w:fill="FFFFFF"/>
        <w:spacing w:before="0" w:beforeAutospacing="0" w:after="0"/>
        <w:ind w:left="0" w:firstLine="0"/>
        <w:rPr>
          <w:rStyle w:val="af0"/>
          <w:i w:val="0"/>
          <w:color w:val="000000" w:themeColor="text1"/>
          <w:sz w:val="16"/>
          <w:szCs w:val="16"/>
        </w:rPr>
      </w:pPr>
      <w:r w:rsidRPr="00640820">
        <w:rPr>
          <w:rStyle w:val="af0"/>
          <w:i w:val="0"/>
          <w:color w:val="000000" w:themeColor="text1"/>
          <w:sz w:val="16"/>
          <w:szCs w:val="16"/>
        </w:rPr>
        <w:t>1. Создать комиссию под председательством секретаря Обкома ВКП(б) тов. ИВАНОВА В.И., членов комиссии РУДАКОВА – заместителя председателя Исполкома, РУДЕНКО – заместителя начальника УНКВД, КУШНИР – председателя Горсовета, ИОСИЛОВИЧА – директора завода имени Сталина, ДЕРБЕНЕВА – секретаря Ленинского РК ВКП(б), АНДРЕЕВА – парторга ЦК ВКП(б) завода имени Сталина.</w:t>
      </w:r>
    </w:p>
    <w:p w14:paraId="5371C56A" w14:textId="77777777" w:rsidR="008471BC" w:rsidRPr="00640820" w:rsidRDefault="008471BC" w:rsidP="00640820">
      <w:pPr>
        <w:pStyle w:val="rteindent11"/>
        <w:shd w:val="clear" w:color="auto" w:fill="FFFFFF"/>
        <w:spacing w:before="0" w:beforeAutospacing="0" w:after="0"/>
        <w:ind w:left="0" w:firstLine="0"/>
        <w:rPr>
          <w:rStyle w:val="af0"/>
          <w:i w:val="0"/>
          <w:color w:val="000000" w:themeColor="text1"/>
          <w:sz w:val="16"/>
          <w:szCs w:val="16"/>
        </w:rPr>
      </w:pPr>
      <w:r w:rsidRPr="00640820">
        <w:rPr>
          <w:rStyle w:val="af0"/>
          <w:i w:val="0"/>
          <w:color w:val="000000" w:themeColor="text1"/>
          <w:sz w:val="16"/>
          <w:szCs w:val="16"/>
        </w:rPr>
        <w:t>2. Обязать директора завода имени Сталина тов. ИОСИЛОВИЧА к 30 октября с.г. составить план реконструкции завода и планировку размещения прибываемого оборудования.</w:t>
      </w:r>
    </w:p>
    <w:p w14:paraId="4EAF5D28" w14:textId="77777777" w:rsidR="008471BC" w:rsidRPr="00640820" w:rsidRDefault="008471BC"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3. Предложить Областному Управлению трудовых резервов передать строящееся здание ремесленного училища № 2 на территории завода имени Сталина под производственный корпус завода.</w:t>
      </w:r>
    </w:p>
    <w:p w14:paraId="3895A5B8" w14:textId="77777777" w:rsidR="008471BC" w:rsidRPr="00640820" w:rsidRDefault="008471BC"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4. Обязать председателя Иркутского Горсовета тов. КУШНИР обеспечить работу завода электроэнергией в количестве 3500 киловатт…</w:t>
      </w:r>
    </w:p>
    <w:p w14:paraId="600343AE" w14:textId="77777777" w:rsidR="008471BC" w:rsidRPr="00640820" w:rsidRDefault="008471BC"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5. Обязать начальника Восточно-Сибирской железной дороги тов. СЫЧЕВА изменить график движения пригородной связи между Иркутск-I и Иркутск II в соответствии с потребностями и рабочими сменами на заводе, а также обеспечить бесперебойную отправку переадресованных грузов и оборудования на филиал завода в Улан – Удэ.</w:t>
      </w:r>
    </w:p>
    <w:p w14:paraId="7848611E" w14:textId="77777777" w:rsidR="008471BC" w:rsidRPr="00640820" w:rsidRDefault="008471BC"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6. Предложить председателю Иркутского Горсовета тов. КУШНИР обеспечить расселение в городе 17 000 человек рабочих завода и их семей.</w:t>
      </w:r>
    </w:p>
    <w:p w14:paraId="0BC2C638" w14:textId="77777777" w:rsidR="008471BC" w:rsidRPr="00640820" w:rsidRDefault="008471BC" w:rsidP="00640820">
      <w:pPr>
        <w:pStyle w:val="rteindent11"/>
        <w:shd w:val="clear" w:color="auto" w:fill="FFFFFF"/>
        <w:spacing w:before="0" w:beforeAutospacing="0" w:after="0"/>
        <w:ind w:left="0" w:firstLine="0"/>
        <w:rPr>
          <w:rStyle w:val="af0"/>
          <w:i w:val="0"/>
          <w:color w:val="000000" w:themeColor="text1"/>
          <w:sz w:val="16"/>
          <w:szCs w:val="16"/>
        </w:rPr>
      </w:pPr>
      <w:r w:rsidRPr="00640820">
        <w:rPr>
          <w:rStyle w:val="af0"/>
          <w:i w:val="0"/>
          <w:color w:val="000000" w:themeColor="text1"/>
          <w:sz w:val="16"/>
          <w:szCs w:val="16"/>
        </w:rPr>
        <w:t>7. Предложить тов. ИОСИЛОВИЧ разместить в жилпоселке завода 2000 человек и в Улан – Удэ 1000 человек рабочих.</w:t>
      </w:r>
    </w:p>
    <w:p w14:paraId="4A3B11CF" w14:textId="77777777" w:rsidR="008471BC" w:rsidRPr="00640820" w:rsidRDefault="008471BC"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8. Обязать заместителя председателя Облисполкома тов. РУДАКОВА и директора Облторготдела тов. ДИАМЕНТОВА обеспечить завод бесперебойным снабжением продуктами питания. Закрепить заготовленные по госпоставкам 360 тонн картофеля за фабрикой – кухней завода, а также выделить районы для дополнительной заготовки 500 тонн картофеля и 200 тонн овощей.</w:t>
      </w:r>
    </w:p>
    <w:p w14:paraId="57270645" w14:textId="77777777" w:rsidR="008471BC" w:rsidRPr="00640820" w:rsidRDefault="008471BC" w:rsidP="00640820">
      <w:pPr>
        <w:pStyle w:val="rteindent11"/>
        <w:shd w:val="clear" w:color="auto" w:fill="FFFFFF"/>
        <w:spacing w:before="0" w:beforeAutospacing="0" w:after="0"/>
        <w:ind w:left="0" w:firstLine="0"/>
        <w:rPr>
          <w:rStyle w:val="af0"/>
          <w:i w:val="0"/>
          <w:color w:val="000000" w:themeColor="text1"/>
          <w:sz w:val="16"/>
          <w:szCs w:val="16"/>
        </w:rPr>
      </w:pPr>
      <w:r w:rsidRPr="00640820">
        <w:rPr>
          <w:rStyle w:val="af0"/>
          <w:i w:val="0"/>
          <w:color w:val="000000" w:themeColor="text1"/>
          <w:sz w:val="16"/>
          <w:szCs w:val="16"/>
        </w:rPr>
        <w:t>9. Предложить директору Ленинторга тов.ЧУМАКОВУ обеспечить бесперебойную торговлю печеным хлебом и открыть на территории завода дополнительно 3 торговые точки – 2 хлебные и 1 бакалейную.</w:t>
      </w:r>
    </w:p>
    <w:p w14:paraId="0F285744" w14:textId="77777777" w:rsidR="008471BC" w:rsidRPr="00640820" w:rsidRDefault="008471BC"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10. В соответствии с планом реконструкции завода обязать начальника строительства т. СПИРИДОНОВА закончить строительство и сдать в эксплуатацию объекты:</w:t>
      </w:r>
    </w:p>
    <w:p w14:paraId="19A88926" w14:textId="77777777" w:rsidR="008471BC" w:rsidRPr="00640820" w:rsidRDefault="008471BC"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1) Расширение сборочного корпуса – 31 декабря.</w:t>
      </w:r>
    </w:p>
    <w:p w14:paraId="71A2282E" w14:textId="77777777" w:rsidR="008471BC" w:rsidRPr="00640820" w:rsidRDefault="008471BC"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2) Расширение бакового цеха – 15 декабря.</w:t>
      </w:r>
    </w:p>
    <w:p w14:paraId="74EC6172" w14:textId="77777777" w:rsidR="008471BC" w:rsidRPr="00640820" w:rsidRDefault="008471BC"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3) Окончание объектов № 39, 36 и ремесленного училища – к 15 ноября.</w:t>
      </w:r>
    </w:p>
    <w:p w14:paraId="2B63529E" w14:textId="77777777" w:rsidR="008471BC" w:rsidRPr="00640820" w:rsidRDefault="008471BC"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4) Жилого дома № 27- к 5 ноября, жилых домов № 12А - к 15 ноября, № 32 – к 20 ноября, брусчатые дома 2 шт. – к 15 ноября.</w:t>
      </w:r>
    </w:p>
    <w:p w14:paraId="1C654926" w14:textId="77777777" w:rsidR="008471BC" w:rsidRPr="00640820" w:rsidRDefault="008471BC"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5) Построить 4 барака – к 15 декабря.</w:t>
      </w:r>
    </w:p>
    <w:p w14:paraId="74B3F0CC" w14:textId="77777777" w:rsidR="008471BC" w:rsidRPr="00640820" w:rsidRDefault="008471BC" w:rsidP="00640820">
      <w:pPr>
        <w:pStyle w:val="rteindent11"/>
        <w:shd w:val="clear" w:color="auto" w:fill="FFFFFF"/>
        <w:spacing w:before="0" w:beforeAutospacing="0" w:after="0"/>
        <w:ind w:left="0" w:firstLine="0"/>
        <w:rPr>
          <w:rStyle w:val="af0"/>
          <w:i w:val="0"/>
          <w:color w:val="000000" w:themeColor="text1"/>
          <w:sz w:val="16"/>
          <w:szCs w:val="16"/>
        </w:rPr>
      </w:pPr>
      <w:r w:rsidRPr="00640820">
        <w:rPr>
          <w:rStyle w:val="af0"/>
          <w:i w:val="0"/>
          <w:color w:val="000000" w:themeColor="text1"/>
          <w:sz w:val="16"/>
          <w:szCs w:val="16"/>
        </w:rPr>
        <w:t>11. Для оказания помощи заводу имени Сталина в проведении дополнительного строительства обязать начальника Управления НКВД тов. ГАВРИШ принять для проведения работ ряд новых объектов завода.</w:t>
      </w:r>
    </w:p>
    <w:p w14:paraId="3629B294" w14:textId="77777777" w:rsidR="008471BC" w:rsidRPr="00640820" w:rsidRDefault="008471BC" w:rsidP="00640820">
      <w:pPr>
        <w:pStyle w:val="rteindent11"/>
        <w:shd w:val="clear" w:color="auto" w:fill="FFFFFF"/>
        <w:spacing w:before="0" w:beforeAutospacing="0" w:after="0"/>
        <w:ind w:left="0" w:firstLine="0"/>
        <w:rPr>
          <w:rStyle w:val="af0"/>
          <w:i w:val="0"/>
          <w:color w:val="000000" w:themeColor="text1"/>
          <w:sz w:val="16"/>
          <w:szCs w:val="16"/>
        </w:rPr>
      </w:pPr>
      <w:r w:rsidRPr="00640820">
        <w:rPr>
          <w:rStyle w:val="af0"/>
          <w:i w:val="0"/>
          <w:color w:val="000000" w:themeColor="text1"/>
          <w:sz w:val="16"/>
          <w:szCs w:val="16"/>
        </w:rPr>
        <w:t>12. Обязать управляющего Главлесосбыта тов. ШАРОВАТЫХ выделить для строительства завода имени Сталина пиломатериала в количестве 10.000 кубометров и фанеры 30 кубометров по заявке завода.</w:t>
      </w:r>
    </w:p>
    <w:p w14:paraId="78B4A3F7" w14:textId="77777777" w:rsidR="008471BC" w:rsidRPr="00640820" w:rsidRDefault="008471BC"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13. Предложить управляющему Иркутской конторой Главметаллосбыта тов. Воробьеву и управляющему Союзметизсбытом изыскать и выдать заводу имени Сталина для размещения завода № 39 имени Менжинского необходимые материалы по заявкам завода.</w:t>
      </w:r>
    </w:p>
    <w:p w14:paraId="45033085" w14:textId="77777777" w:rsidR="008471BC" w:rsidRPr="00640820" w:rsidRDefault="008471BC" w:rsidP="00640820">
      <w:pPr>
        <w:pStyle w:val="rteindent11"/>
        <w:shd w:val="clear" w:color="auto" w:fill="FFFFFF"/>
        <w:spacing w:before="0" w:beforeAutospacing="0" w:after="0"/>
        <w:ind w:left="0" w:firstLine="0"/>
        <w:rPr>
          <w:rStyle w:val="af0"/>
          <w:i w:val="0"/>
          <w:color w:val="000000" w:themeColor="text1"/>
          <w:sz w:val="16"/>
          <w:szCs w:val="16"/>
        </w:rPr>
      </w:pPr>
      <w:r w:rsidRPr="00640820">
        <w:rPr>
          <w:rStyle w:val="af0"/>
          <w:i w:val="0"/>
          <w:color w:val="000000" w:themeColor="text1"/>
          <w:sz w:val="16"/>
          <w:szCs w:val="16"/>
        </w:rPr>
        <w:t>17. Просить командование ЗабВО увеличить численность охраны НКВД на заводе, а также организовать активные средства защиты завода.</w:t>
      </w:r>
    </w:p>
    <w:p w14:paraId="26692679" w14:textId="77777777" w:rsidR="008471BC" w:rsidRPr="00640820" w:rsidRDefault="008471BC" w:rsidP="00640820">
      <w:pPr>
        <w:pStyle w:val="rteindent11"/>
        <w:shd w:val="clear" w:color="auto" w:fill="FFFFFF"/>
        <w:spacing w:before="0" w:beforeAutospacing="0" w:after="0"/>
        <w:ind w:left="0" w:firstLine="0"/>
        <w:rPr>
          <w:rStyle w:val="af0"/>
          <w:i w:val="0"/>
          <w:color w:val="000000" w:themeColor="text1"/>
          <w:sz w:val="16"/>
          <w:szCs w:val="16"/>
        </w:rPr>
      </w:pPr>
      <w:r w:rsidRPr="00640820">
        <w:rPr>
          <w:rStyle w:val="af0"/>
          <w:i w:val="0"/>
          <w:color w:val="000000" w:themeColor="text1"/>
          <w:sz w:val="16"/>
          <w:szCs w:val="16"/>
        </w:rPr>
        <w:t>Секретарь Иркутского Обкома ВКП(б) КАЧАЛИН (15223).</w:t>
      </w:r>
    </w:p>
    <w:p w14:paraId="2AF5C6BA" w14:textId="77777777" w:rsidR="008471BC" w:rsidRPr="00640820" w:rsidRDefault="008471BC" w:rsidP="00640820">
      <w:pPr>
        <w:pStyle w:val="rteindent11"/>
        <w:shd w:val="clear" w:color="auto" w:fill="FFFFFF"/>
        <w:spacing w:before="0" w:beforeAutospacing="0" w:after="0"/>
        <w:ind w:left="0" w:firstLine="0"/>
        <w:rPr>
          <w:rStyle w:val="af0"/>
          <w:i w:val="0"/>
          <w:color w:val="000000" w:themeColor="text1"/>
          <w:sz w:val="16"/>
          <w:szCs w:val="16"/>
        </w:rPr>
      </w:pPr>
    </w:p>
    <w:p w14:paraId="31D58E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октября 1941 вышел приказ НКАП N 1079сс об обеспечении выпуска самолетов Як-1 по увеличенному графику 10 самолетов в сутки начиная с 10 ноября на заводе 292 (1515,84).</w:t>
      </w:r>
    </w:p>
    <w:p w14:paraId="68B8A4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E8CB4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25 октября 1941 первый эшелон завода № 16 прибыл из Воронежа в Казань. В условиях прифронтового города, под непрерывными бомбежками в Воронеже шла отгрузка заводского оборудования. Эвакуация продолжалась 35 дней. Увы, не обошлось и без потерь. 15 ноября 1941 г., совершая перелет из Воронежа в Казань на заводском самолете СБ, в авиационной катастрофе около деревни Кадеевка Наровчатовского района Пензенской области погибли парторг ЦК ВКП(б) Зарин А.А., начальник отдела кадров Кораблинов И.М., начальник цеха Рассихина В.Ф., начальник финансового отдела Рузминер Д.Ю., летчик-испытатель Момот Н.Ф., бортмеханик Толстопятов П.И. (12049).</w:t>
      </w:r>
    </w:p>
    <w:p w14:paraId="46ECA4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F60DFB2" w14:textId="77777777" w:rsidR="00625169" w:rsidRPr="00640820" w:rsidRDefault="00625169"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25 октября </w:t>
      </w:r>
      <w:r w:rsidRPr="00640820">
        <w:rPr>
          <w:rFonts w:ascii="Times New Roman" w:hAnsi="Times New Roman"/>
          <w:color w:val="000000" w:themeColor="text1"/>
          <w:sz w:val="16"/>
          <w:szCs w:val="16"/>
        </w:rPr>
        <w:t>в 1941 году на авиазаводе №47 (ныне ПО «Стрела»), эвакуированном из Ленинграда в Оренбург, собран первый боевой самолет (14810).</w:t>
      </w:r>
    </w:p>
    <w:p w14:paraId="4272B6D6" w14:textId="77777777" w:rsidR="00625169" w:rsidRPr="00640820" w:rsidRDefault="00625169" w:rsidP="00640820">
      <w:pPr>
        <w:spacing w:after="0" w:line="240" w:lineRule="auto"/>
        <w:jc w:val="both"/>
        <w:rPr>
          <w:rFonts w:ascii="Times New Roman" w:hAnsi="Times New Roman"/>
          <w:color w:val="000000" w:themeColor="text1"/>
          <w:sz w:val="16"/>
          <w:szCs w:val="16"/>
        </w:rPr>
      </w:pPr>
    </w:p>
    <w:p w14:paraId="45DCFD4B" w14:textId="77777777" w:rsidR="00625169" w:rsidRPr="00640820" w:rsidRDefault="00625169" w:rsidP="00640820">
      <w:pPr>
        <w:spacing w:after="0" w:line="240" w:lineRule="auto"/>
        <w:jc w:val="both"/>
        <w:rPr>
          <w:rStyle w:val="ucoz-forum-post"/>
          <w:rFonts w:ascii="Times New Roman" w:eastAsia="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25 октября 1941 года</w:t>
      </w:r>
      <w:r w:rsidRPr="00640820">
        <w:rPr>
          <w:rStyle w:val="ucoz-forum-post"/>
          <w:rFonts w:ascii="Times New Roman" w:eastAsia="Times New Roman" w:hAnsi="Times New Roman"/>
          <w:color w:val="000000" w:themeColor="text1"/>
          <w:sz w:val="16"/>
          <w:szCs w:val="16"/>
        </w:rPr>
        <w:t xml:space="preserve"> На авиазаводе №47 (ныне ПО «Стрела»), эвакуированном из Ленинграда в Оренбург, собран первый боевой самолет. Завод получил задание по освоению и выпуску истребителей Як-1. Однако вскоре задание по Як-1 смешанной конструкции с металлическим сварным фюзеляжем заменяется на освоение цельнодеревянного Як-6 (14810).</w:t>
      </w:r>
    </w:p>
    <w:p w14:paraId="49EE0003" w14:textId="77777777" w:rsidR="00625169" w:rsidRPr="00640820" w:rsidRDefault="00625169" w:rsidP="00640820">
      <w:pPr>
        <w:spacing w:after="0" w:line="240" w:lineRule="auto"/>
        <w:jc w:val="both"/>
        <w:rPr>
          <w:rStyle w:val="ucoz-forum-post"/>
          <w:rFonts w:ascii="Times New Roman" w:eastAsia="Times New Roman" w:hAnsi="Times New Roman"/>
          <w:color w:val="000000" w:themeColor="text1"/>
          <w:sz w:val="16"/>
          <w:szCs w:val="16"/>
        </w:rPr>
      </w:pPr>
    </w:p>
    <w:p w14:paraId="2DF70D76" w14:textId="77777777" w:rsidR="00836202" w:rsidRPr="00640820" w:rsidRDefault="00836202"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25 октября 1940 г.</w:t>
      </w:r>
    </w:p>
    <w:p w14:paraId="79CC38A3" w14:textId="77777777" w:rsidR="00836202" w:rsidRPr="00640820" w:rsidRDefault="00836202"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Телеграмма М.М. Гусева А.Д. Крутикову о переговорах по получению данных о новых военных изобретениях в США</w:t>
      </w:r>
    </w:p>
    <w:p w14:paraId="2AA5BE13" w14:textId="77777777" w:rsidR="00836202" w:rsidRPr="00640820" w:rsidRDefault="00836202"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25 октября 1940 г.</w:t>
      </w:r>
    </w:p>
    <w:p w14:paraId="3379B84B" w14:textId="77777777" w:rsidR="00836202" w:rsidRPr="00640820" w:rsidRDefault="00836202"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Нью-Йорк</w:t>
      </w:r>
    </w:p>
    <w:p w14:paraId="5F9FE378" w14:textId="77777777" w:rsidR="00836202" w:rsidRPr="00640820" w:rsidRDefault="00836202"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Сов. секретно</w:t>
      </w:r>
    </w:p>
    <w:p w14:paraId="13E664B6" w14:textId="77777777" w:rsidR="00836202" w:rsidRPr="00640820" w:rsidRDefault="00836202"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Экз. № 3</w:t>
      </w:r>
    </w:p>
    <w:p w14:paraId="08B26619" w14:textId="77777777" w:rsidR="00836202" w:rsidRPr="00640820" w:rsidRDefault="00836202"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Тов. Крутикову</w:t>
      </w:r>
    </w:p>
    <w:p w14:paraId="3F03879A" w14:textId="77777777" w:rsidR="00836202" w:rsidRPr="00640820" w:rsidRDefault="00836202"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Удалось выяснять, что «Мартин» заключил договора с английскими фирмами «Джон Буль Рабер» и «Комбасган Рабер Лимитед» и американскими «Гудрич» и «Бендикс», которые взяли на разработку его изобретение с условием выплаты небольшой суммы вначале до 10 тысяч и по установлении возможности в производстве 21/2 процента со стоимости произведенных шин.</w:t>
      </w:r>
    </w:p>
    <w:p w14:paraId="0575F378" w14:textId="77777777" w:rsidR="00836202" w:rsidRPr="00640820" w:rsidRDefault="00836202"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Буду вести переговоры по Вашим условиям. Имею предложение двух инженеров дать описание производства и рецептуру самолетов из пластмасс фирм «Гимм» и «Кларк», за работу просят 7500 долларов. Сообщите, следует ли вести переговоры.</w:t>
      </w:r>
    </w:p>
    <w:p w14:paraId="1909F1E0" w14:textId="77777777" w:rsidR="00836202" w:rsidRPr="00640820" w:rsidRDefault="00836202"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Гусев</w:t>
      </w:r>
    </w:p>
    <w:p w14:paraId="2D90E974" w14:textId="77777777" w:rsidR="00836202" w:rsidRPr="00640820" w:rsidRDefault="00836202"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xml:space="preserve">Помета: Тов. Сталину. Прошу указания по самолету из пластмасс. </w:t>
      </w:r>
    </w:p>
    <w:p w14:paraId="2B58E122" w14:textId="77777777" w:rsidR="00836202" w:rsidRPr="00640820" w:rsidRDefault="00836202"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А. Микоян. 26.10.</w:t>
      </w:r>
    </w:p>
    <w:p w14:paraId="0BC18E9A" w14:textId="77777777" w:rsidR="00836202" w:rsidRPr="00640820" w:rsidRDefault="00836202"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АП РФ. Ф. 3. On. 66. Д. 346. Л. 237. Заверенный дешифрант(20923).</w:t>
      </w:r>
    </w:p>
    <w:p w14:paraId="1B8854BB" w14:textId="77777777" w:rsidR="00836202" w:rsidRPr="00640820" w:rsidRDefault="00836202" w:rsidP="00640820">
      <w:pPr>
        <w:spacing w:after="0" w:line="240" w:lineRule="auto"/>
        <w:jc w:val="both"/>
        <w:rPr>
          <w:rFonts w:ascii="Times New Roman" w:hAnsi="Times New Roman"/>
          <w:color w:val="0070C0"/>
          <w:sz w:val="16"/>
          <w:szCs w:val="16"/>
        </w:rPr>
      </w:pPr>
    </w:p>
    <w:p w14:paraId="4A833DCB"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27E67242"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EBA1BD4" w14:textId="77777777" w:rsidR="00625169" w:rsidRPr="00640820" w:rsidRDefault="00625169" w:rsidP="00640820">
      <w:pPr>
        <w:pStyle w:val="35"/>
        <w:shd w:val="clear" w:color="auto" w:fill="auto"/>
        <w:spacing w:after="0" w:line="240" w:lineRule="auto"/>
        <w:jc w:val="both"/>
        <w:rPr>
          <w:rFonts w:ascii="Times New Roman" w:cs="Times New Roman"/>
          <w:color w:val="000000" w:themeColor="text1"/>
          <w:spacing w:val="0"/>
          <w:sz w:val="16"/>
          <w:szCs w:val="16"/>
        </w:rPr>
      </w:pPr>
      <w:r w:rsidRPr="00640820">
        <w:rPr>
          <w:rFonts w:ascii="Times New Roman" w:cs="Times New Roman"/>
          <w:color w:val="000000" w:themeColor="text1"/>
          <w:spacing w:val="0"/>
          <w:sz w:val="16"/>
          <w:szCs w:val="16"/>
        </w:rPr>
        <w:t>25 октября 1941 г. Постановлением Горьковского городского комитата обороны были определены меры по организации в городе производства ППШ. Здесь также по распре</w:t>
      </w:r>
      <w:r w:rsidRPr="00640820">
        <w:rPr>
          <w:rFonts w:ascii="Times New Roman" w:cs="Times New Roman"/>
          <w:color w:val="000000" w:themeColor="text1"/>
          <w:spacing w:val="0"/>
          <w:sz w:val="16"/>
          <w:szCs w:val="16"/>
        </w:rPr>
        <w:softHyphen/>
        <w:t>делению заданий можно судить об органи</w:t>
      </w:r>
      <w:r w:rsidRPr="00640820">
        <w:rPr>
          <w:rFonts w:ascii="Times New Roman" w:cs="Times New Roman"/>
          <w:color w:val="000000" w:themeColor="text1"/>
          <w:spacing w:val="0"/>
          <w:sz w:val="16"/>
          <w:szCs w:val="16"/>
        </w:rPr>
        <w:softHyphen/>
        <w:t>зации кооперации в зависимости от харак</w:t>
      </w:r>
      <w:r w:rsidRPr="00640820">
        <w:rPr>
          <w:rFonts w:ascii="Times New Roman" w:cs="Times New Roman"/>
          <w:color w:val="000000" w:themeColor="text1"/>
          <w:spacing w:val="0"/>
          <w:sz w:val="16"/>
          <w:szCs w:val="16"/>
        </w:rPr>
        <w:softHyphen/>
        <w:t>тера технологических операций: ствольная и затворная коробки, вкладыш и ряд других деталей (всего 14 наименований, в основном изготавливаемых штамповкой) были заданы Горьковскому автозаводу; рружина к магази</w:t>
      </w:r>
      <w:r w:rsidRPr="00640820">
        <w:rPr>
          <w:rFonts w:ascii="Times New Roman" w:cs="Times New Roman"/>
          <w:color w:val="000000" w:themeColor="text1"/>
          <w:spacing w:val="0"/>
          <w:sz w:val="16"/>
          <w:szCs w:val="16"/>
        </w:rPr>
        <w:softHyphen/>
        <w:t>ну, боек (27 наименований) - заводу «Крас</w:t>
      </w:r>
      <w:r w:rsidRPr="00640820">
        <w:rPr>
          <w:rFonts w:ascii="Times New Roman" w:cs="Times New Roman"/>
          <w:color w:val="000000" w:themeColor="text1"/>
          <w:spacing w:val="0"/>
          <w:sz w:val="16"/>
          <w:szCs w:val="16"/>
        </w:rPr>
        <w:softHyphen/>
        <w:t>ная Этна», имевшему большой опыт прово- лочно-гвоздильного производства; затвор и другие детали, требующие механической обработки, - Горьковскому заводу фрезерных станков (он же вел сборку пистолетов-пуле</w:t>
      </w:r>
      <w:r w:rsidRPr="00640820">
        <w:rPr>
          <w:rFonts w:ascii="Times New Roman" w:cs="Times New Roman"/>
          <w:color w:val="000000" w:themeColor="text1"/>
          <w:spacing w:val="0"/>
          <w:sz w:val="16"/>
          <w:szCs w:val="16"/>
        </w:rPr>
        <w:softHyphen/>
        <w:t>метов). Первые 300 ППШ собрали в январе 1942, всего в первом полугодии их выпусти</w:t>
      </w:r>
      <w:r w:rsidRPr="00640820">
        <w:rPr>
          <w:rFonts w:ascii="Times New Roman" w:cs="Times New Roman"/>
          <w:color w:val="000000" w:themeColor="text1"/>
          <w:spacing w:val="0"/>
          <w:sz w:val="16"/>
          <w:szCs w:val="16"/>
        </w:rPr>
        <w:softHyphen/>
        <w:t>ли 7532 шт., за весь 1942 г. год - 26 610, а за 1942 г. - 49 020. Интересный факт: в свое вре</w:t>
      </w:r>
      <w:r w:rsidRPr="00640820">
        <w:rPr>
          <w:rFonts w:ascii="Times New Roman" w:cs="Times New Roman"/>
          <w:color w:val="000000" w:themeColor="text1"/>
          <w:spacing w:val="0"/>
          <w:sz w:val="16"/>
          <w:szCs w:val="16"/>
        </w:rPr>
        <w:softHyphen/>
        <w:t>мя Шпагин для изучения технологии холодной штамповки был командирован именно на ав</w:t>
      </w:r>
      <w:r w:rsidRPr="00640820">
        <w:rPr>
          <w:rFonts w:ascii="Times New Roman" w:cs="Times New Roman"/>
          <w:color w:val="000000" w:themeColor="text1"/>
          <w:spacing w:val="0"/>
          <w:sz w:val="16"/>
          <w:szCs w:val="16"/>
        </w:rPr>
        <w:softHyphen/>
        <w:t>томобильный завод в г. Горький (15779).</w:t>
      </w:r>
    </w:p>
    <w:p w14:paraId="54CA634A" w14:textId="77777777" w:rsidR="00625169" w:rsidRPr="00640820" w:rsidRDefault="00625169" w:rsidP="00640820">
      <w:pPr>
        <w:pStyle w:val="35"/>
        <w:shd w:val="clear" w:color="auto" w:fill="auto"/>
        <w:spacing w:after="0" w:line="240" w:lineRule="auto"/>
        <w:jc w:val="both"/>
        <w:rPr>
          <w:rFonts w:ascii="Times New Roman" w:cs="Times New Roman"/>
          <w:color w:val="000000" w:themeColor="text1"/>
          <w:spacing w:val="0"/>
          <w:sz w:val="16"/>
          <w:szCs w:val="16"/>
        </w:rPr>
      </w:pPr>
    </w:p>
    <w:p w14:paraId="734FEE7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октября 1941 г. на заводе № 112 приступили к изготовлению опытных образцов упрощенных корпусов танка (без механической обработки кромок листов после газоплазменной резки, с упрощением соединений деталей "в четверть" и введением шипового со</w:t>
      </w:r>
      <w:r w:rsidRPr="00640820">
        <w:rPr>
          <w:rFonts w:ascii="Times New Roman" w:hAnsi="Times New Roman"/>
          <w:color w:val="000000" w:themeColor="text1"/>
          <w:sz w:val="16"/>
          <w:szCs w:val="16"/>
        </w:rPr>
        <w:softHyphen/>
        <w:t>единения лобового листа с бортами и подкрылками) (10703).</w:t>
      </w:r>
    </w:p>
    <w:p w14:paraId="5C7C2A3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6D4C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октября 1941 пал Харьков, но последний же эшелон с оборудованием завода № 183 покинул его 19 октября.</w:t>
      </w:r>
    </w:p>
    <w:p w14:paraId="56147C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Видимо, к началу октября опасность, нависшая над Харьковом, стала восприниматься советским руководством более реально. 4 октября выходит постановление ГКО, вносившее изменение в порядок эвакуации заводов № 75, № 183, ХТЗ и Мариупольского завода имени Ильича. 7 октября в соответствии с этим постановлением появился приказ наркома танковой промышленности Малышева В. А. № 53сс. Новые решения фактически отменяли двухэшелонный порядок эвакуации. Теперь эвакуировать следовало всё и при этом как можно быстрее. Срок был назван фантастически короткий, и поэтому невыполнимый – 15 октября, то есть, считая с днём появления приказа – 9 суток. Приказом был назначен срок начала производства танков на новом месте – 1 ноября. Эвакуации заводов НКТП из Харькова уделялось особое внимание, о чём свидетельствует то, что личный контроль за её осуществлением должен был осуществлять председатель комитета по эвакуации Шверник Н. М.. От НКТП в Харьков контролировать ход эвакуации был послан заместитель наркома Зернов. Нарком путей сообщения Л. М. Каганович должен был обеспечить подачу необходимого количества вагонов ( при этом точное число вагонов не указывалось, возможно, следовало исходить из того, сколько НКПС вообще сможет предоставить за такой короткий срок ). Начальник Главснаба НКТП Розин должен был обеспечить своевременное получение вагонов от НКПС. То, что на этот раз данная важная задача была доверена начальнику Главснаба, а не начальнику транспортного отдела, который должен был бы этим заниматься по своим служебным обязанностям, показывает, что перед этим с получением вагонов у НКТП возникали большие проблемы (11510).</w:t>
      </w:r>
    </w:p>
    <w:p w14:paraId="6AF7A2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932DC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октября 1941 вышло Постановление ГКО № 834 О создании Комитета по эвакуации из прифронтовой полосы продовольствия, сырья и оборудования легкой и пищевой промышленности. РГАНИР, Фонд ГКО, д. 12, лл. 192 (11012).</w:t>
      </w:r>
    </w:p>
    <w:p w14:paraId="6F4F87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90311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октября 1941 был создан Комитет по эвакуации из прифронтовой полосы... во главе с А.И.Микояном (512,102).</w:t>
      </w:r>
    </w:p>
    <w:p w14:paraId="65C961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9B6F4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октября 1941 вышло Постановление ГКО № 835 О плане производства минометов на ноябрь месяц 1941 г. РГАНИР, Фонд ГКО, д. 12, лл. 193-196 (11012).</w:t>
      </w:r>
    </w:p>
    <w:p w14:paraId="7AD00F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ADE33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октября 1941 вышло Постановление ГКО № 837 О тов.Михайлове А.И. РГАНИР, Фонд ГКО, д. 12, лл. 199 (11012).</w:t>
      </w:r>
    </w:p>
    <w:p w14:paraId="595C1E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E0BFAF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октября 1941 года вышел приказ № 70/3с НКВ</w:t>
      </w:r>
    </w:p>
    <w:p w14:paraId="6CA761A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постановлением Совета эвакуации от 23 октября 1941 года за № 14438сэ:</w:t>
      </w:r>
    </w:p>
    <w:p w14:paraId="6C59CC3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Эвакуировать завод № 303 на завод № 17 в Барнаул.</w:t>
      </w:r>
    </w:p>
    <w:p w14:paraId="4BFC025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Оборудование основного производства, полученное с завода № 60 направить для усиления на заводы № 541 в Челябинск и № 545 в Чкалов (6286, 21).</w:t>
      </w:r>
    </w:p>
    <w:p w14:paraId="1DF3A66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4326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октября 1941 года вышел приказ № 390 НКВ</w:t>
      </w:r>
    </w:p>
    <w:p w14:paraId="5633F2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связи с выделением самостоятельных заводов по производству швейных машин и швейных игл:</w:t>
      </w:r>
    </w:p>
    <w:p w14:paraId="21F52B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Директором завода швейных машин назначить Макарущенко П.А.</w:t>
      </w:r>
    </w:p>
    <w:p w14:paraId="559E7F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Директором завода швейных игл назначить Крутицкого А.Г. (9200)</w:t>
      </w:r>
    </w:p>
    <w:p w14:paraId="3C8F94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B492A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октября 1941 БТЩ "Верп" встал на ремонт до 2 ноября у стенки Петрозавода (10671).</w:t>
      </w:r>
    </w:p>
    <w:p w14:paraId="70F1C5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6400E3F"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626F3677"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F895A2E" w14:textId="77777777" w:rsidR="00625169" w:rsidRPr="00640820" w:rsidRDefault="00625169"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25 октября </w:t>
      </w:r>
      <w:r w:rsidRPr="00640820">
        <w:rPr>
          <w:rFonts w:ascii="Times New Roman" w:hAnsi="Times New Roman"/>
          <w:color w:val="000000" w:themeColor="text1"/>
          <w:sz w:val="16"/>
          <w:szCs w:val="16"/>
        </w:rPr>
        <w:t>в 1941 году утреннее сообщение Совинформбюро:</w:t>
      </w:r>
    </w:p>
    <w:p w14:paraId="33558694" w14:textId="77777777" w:rsidR="00625169" w:rsidRPr="00640820" w:rsidRDefault="006251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25 октября наши войска вели бои на Таганрогском, Макеевском (Донбасс), Можайском и Малоярославецком направлениях.</w:t>
      </w:r>
    </w:p>
    <w:p w14:paraId="7318BCDF" w14:textId="77777777" w:rsidR="00625169" w:rsidRPr="00640820" w:rsidRDefault="006251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Лётчики одной нашей авиачасти за последние три дня уничтожили до 1.500 немецких солдат, 25 танков, больше 100 автомашин с боеприпасами и три склада горючего. В воздушных боях с вражескими самолётами, пытавшимися помешать нашим лётчикам бомбить фашистские мотоколонны, сбито 4 «Мессершмитта».</w:t>
      </w:r>
    </w:p>
    <w:p w14:paraId="1712A070" w14:textId="77777777" w:rsidR="00625169" w:rsidRPr="00640820" w:rsidRDefault="006251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Группа бомбардировочной и штурмовой авиации Энского соединения, действовавшая в районе города Орла, уничтожила за истекшую неделю 48 немецких танков, 225 автомашин с боеприпасами и различными военными грузами, 18 бронемашин, 12 орудий, много цистерн с горючим и свыше двух батальонов пехоты противника.</w:t>
      </w:r>
    </w:p>
    <w:p w14:paraId="40A1B20B" w14:textId="77777777" w:rsidR="00625169" w:rsidRPr="00640820" w:rsidRDefault="006251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Партизанские отряды, действующие в оккупированных немцами районах Ленинградской области, дезорганизуют тыл германской армии. Партизанский отряд тов. Л. уничтожил в 20 километрах от крупного города, захваченного немцами, телефонные провода на участке протяжением в 4 с лишним километра и организовал крушение немецкого бронепоезда. Удачное нападение отряд совершил на большой конный обоз противника. Разведка донесла командиру отряда, что немцы перебрасывают к фронту по шоссейной дороге большое количество боеприпасов. Партизаны устроили засаду и бутылками с горючим веществом и гранатами подожгли две бронемашины, охранявшие обоз. Два часа продолжался бой партизанского отряда с немецкими солдатами. Перебив свыше 40 фашистских солдат и захватив большое количество военного снаряжения, партизаны скрылись в лесу. Соседний отряд партизан под командованием тов. Ф. за 10 дней октября совершил четыре нападения на обозы противника и уничтожил 51 повозку с боеприпаса ми, 13 автомобилей с зимним обмундированием для германской армии, больше 90 немецких солдат и офицеров, захватил и сжёг один танк и две бронемашины.</w:t>
      </w:r>
    </w:p>
    <w:p w14:paraId="1638232B" w14:textId="77777777" w:rsidR="00625169" w:rsidRPr="00640820" w:rsidRDefault="006251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Взятый в плен на одном из участков Карельского фронта солдат 12 пехотного полка Луконен Тимо при допросе заявил: «Я не хочу воевать и рад, что попал в плен. В финской армии сильны пораженческие настроения. Огромное количество солдат не хочет воевать. Кормят финских солдат плохо, тёплого обмундирования нет. Наш полк понёс огромные потери: 1.800 убитыми и ранеными, 200 пропавшими без вести. В армию призваны солдаты в возрасте свыше 45 лет. Солдаты понимают, что виновниками войны являются немцы».</w:t>
      </w:r>
    </w:p>
    <w:p w14:paraId="02A9F3EE" w14:textId="77777777" w:rsidR="00625169" w:rsidRPr="00640820" w:rsidRDefault="006251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Шахтёры восточных бассейнов страны героическим трудом крепят оборонную мощь любимой родины, изо дня в день увеличивая добычу угля. Шахта «Полысаевская» треста «Ленинуголь» Кузбасса уже выполнила годовой план. Десятки и сотни стахановцев бассейна добились рекордной производительности труда.</w:t>
      </w:r>
    </w:p>
    <w:p w14:paraId="4CFF93A1" w14:textId="77777777" w:rsidR="00625169" w:rsidRPr="00640820" w:rsidRDefault="006251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Бригада тов. Помыткина на шахте «Зиминка» выдала в сентябре на-гора 8.710 тонн угля. Широко известны в Кузнецком бассейне имена передовых стахановцев т.т. Тихонова, Гарифьянова и Куртукова. Все они выполнили годовую норму на 135-155 процентов.</w:t>
      </w:r>
    </w:p>
    <w:p w14:paraId="03CF5ABD" w14:textId="77777777" w:rsidR="00625169" w:rsidRPr="00640820" w:rsidRDefault="006251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Первое место среди угольщиков Киргизии запишет коллектив шахты «Джал» рудника «Кзыл-Кия». Шахта досрочно выполнила годовое задание и дала много тысяч тоня угля сверх плана. Все рабочие рудника выполняют нормы. Передовая штольня «Капитальная» рудника «Кок-Янгак» уже выполнила десятимесячную программу.</w:t>
      </w:r>
    </w:p>
    <w:p w14:paraId="44D8C792" w14:textId="77777777" w:rsidR="00625169" w:rsidRPr="00640820" w:rsidRDefault="006251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Самоотверженно трудятся шахтёры «Сахалинугля». Применив новые методы, забойщики т.т. Логинов и Скобликов удвоили выработку в своих бригадах и выполнили годовые нормы (14810).</w:t>
      </w:r>
    </w:p>
    <w:p w14:paraId="4B6D0DBF" w14:textId="77777777" w:rsidR="00625169" w:rsidRPr="00640820" w:rsidRDefault="00625169" w:rsidP="00640820">
      <w:pPr>
        <w:spacing w:after="0" w:line="240" w:lineRule="auto"/>
        <w:jc w:val="both"/>
        <w:rPr>
          <w:rFonts w:ascii="Times New Roman" w:hAnsi="Times New Roman"/>
          <w:color w:val="000000" w:themeColor="text1"/>
          <w:sz w:val="16"/>
          <w:szCs w:val="16"/>
        </w:rPr>
      </w:pPr>
    </w:p>
    <w:p w14:paraId="31B52CD5" w14:textId="77777777" w:rsidR="00625169" w:rsidRPr="00640820" w:rsidRDefault="00625169"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25 октября </w:t>
      </w:r>
      <w:r w:rsidRPr="00640820">
        <w:rPr>
          <w:rFonts w:ascii="Times New Roman" w:hAnsi="Times New Roman"/>
          <w:color w:val="000000" w:themeColor="text1"/>
          <w:sz w:val="16"/>
          <w:szCs w:val="16"/>
        </w:rPr>
        <w:t>в 1941 году вечернее сообщение Совинформбюро:</w:t>
      </w:r>
    </w:p>
    <w:p w14:paraId="0E85B60F" w14:textId="77777777" w:rsidR="00625169" w:rsidRPr="00640820" w:rsidRDefault="006251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25 октября наши войска вели бои на Можайском, Малоярославецком, Таганрогском и Макеевском (Донбасс) направлениях.</w:t>
      </w:r>
    </w:p>
    <w:p w14:paraId="3AA60649" w14:textId="77777777" w:rsidR="00625169" w:rsidRPr="00640820" w:rsidRDefault="006251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24 октября, по неполным данным, уничтожено 35 немецких самолётов. Наши потери — 16 самолётов.</w:t>
      </w:r>
    </w:p>
    <w:p w14:paraId="0E4BF823" w14:textId="77777777" w:rsidR="00625169" w:rsidRPr="00640820" w:rsidRDefault="006251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уточнённым данным, за 23 октября сбито не 10 немецких самолётов, как указывалось ранее, а 32 самолёта.</w:t>
      </w:r>
    </w:p>
    <w:p w14:paraId="137B137C" w14:textId="77777777" w:rsidR="00625169" w:rsidRPr="00640820" w:rsidRDefault="006251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уточнённым данным, за 24 октября под Москвой сбито не 17 немецких самолётов, как указывалось ранее, а 20 самолётов.</w:t>
      </w:r>
    </w:p>
    <w:p w14:paraId="73A73B6F" w14:textId="77777777" w:rsidR="00625169" w:rsidRPr="00640820" w:rsidRDefault="006251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25 октября под Москвой сбито 14 немецких самолётов.»</w:t>
      </w:r>
    </w:p>
    <w:p w14:paraId="71A004C9" w14:textId="77777777" w:rsidR="00625169" w:rsidRPr="00640820" w:rsidRDefault="006251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Нужда скачет, нужда пляшет...</w:t>
      </w:r>
    </w:p>
    <w:p w14:paraId="22E48FC7" w14:textId="77777777" w:rsidR="00625169" w:rsidRPr="00640820" w:rsidRDefault="006251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октября на одном из участков Южного фронта немцы, пытаясь создать видимость наступления крупной танковой колонны, буксировали на тросах деревянные макеты танков. Немецко-фашистские войска не случайно прибегают к подобным уловкам. Крупные потери в танках, понесённые немцами на Восточном фронте, а также стойкость и упорство, с которыми Красная Армия организует оборону, заставили фашистов, несмотря на большое количество имеющихся у них танков, прибегнуть к подобным приёмам, во-время разгаданным нашими частями. Подобные фокусы рассчитаны на то, чтобы представить свои силы большими, чем они есть на самом деле, а также на то, чтобы внести замешательство в ряды наших бойцов.</w:t>
      </w:r>
    </w:p>
    <w:p w14:paraId="356C8967" w14:textId="77777777" w:rsidR="00625169" w:rsidRPr="00640820" w:rsidRDefault="006251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 такого рода приёмы стары, как мир, и не от хорошей жизни гитлеровцы вынуждены прибегать к ним. Вот уж, поистине, «нужда скачет, нужда пляшет»...</w:t>
      </w:r>
    </w:p>
    <w:p w14:paraId="1FE01288" w14:textId="77777777" w:rsidR="00625169" w:rsidRPr="00640820" w:rsidRDefault="006251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Одно наше авиасоединение, оперирующее на Западном фронте, уничтожило за 24 октября 47 немецких танков, 160 автомашин с боеприпасами и свыше 2 батальонов вражеской пехоты.</w:t>
      </w:r>
    </w:p>
    <w:p w14:paraId="7233A446" w14:textId="77777777" w:rsidR="00625169" w:rsidRPr="00640820" w:rsidRDefault="006251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Одно наше танковое соединение, действующее на Орловском направлении, за несколько дней уничтожило два полка пехоты противника, 133 танка, 14 орудий, 35 противотанковых пушек, много миномётов и мотоциклов, 15 тягачей с прицепами и расчётами, несколько цистерн с горючим.</w:t>
      </w:r>
    </w:p>
    <w:p w14:paraId="42320C76" w14:textId="77777777" w:rsidR="00625169" w:rsidRPr="00640820" w:rsidRDefault="006251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Противодействуя наступлению противника, одна наша часть, оперирующая на Южном фронте, отбила атаку немецких танков и мотопехоты. Перейдя в контратаку, бойцы части уничтожили 28 вражеских танков и большое количество солдат.</w:t>
      </w:r>
    </w:p>
    <w:p w14:paraId="1514EE9A" w14:textId="77777777" w:rsidR="00625169" w:rsidRPr="00640820" w:rsidRDefault="006251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Отважно действуют в тылу фашистских захватчиков партизаны Одесской области. В начале октября партизанский отряд под командованием председателя рыболовецкого колхоза тов. 3. пробрался ночью по реке к румынским складам с продовольствием. Бесшумно сняв часовых, партизаны подожгли три больших склада. Солдаты несколько раз пытались тушить пожар, но как только партизаны открывали огонь, румыны в беспорядке разбегались. Склады сгорели дотла. Через два дня этот же отряд совершил смелый налёт на только что отремонтированный мост через реку Д. Группа партизан обстреляла подразделение, охранявшее подступы к мосту, и взорвала мост.</w:t>
      </w:r>
    </w:p>
    <w:p w14:paraId="5F12345A" w14:textId="77777777" w:rsidR="00625169" w:rsidRPr="00640820" w:rsidRDefault="006251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Своими боевыми действиями славится партизанский отряд под командованием тов. И. Недавно конная группа этого отряда ночью с тачанок обстреляла из пулемётов и автоматов румынскую роту, расположив-шуюся лагерем. В панике солдаты и офицеры бросились бежать, но были настигнуты конниками и порублены. Всего во время ночной схватки румыны потеряли 60 человек убитыми и до 50 ранеными. В руки партизан попали два миномёта, три повозки с боеприпасами, четыре пулемёта и 90 исправных винтовок.</w:t>
      </w:r>
    </w:p>
    <w:p w14:paraId="586F598E" w14:textId="77777777" w:rsidR="00625169" w:rsidRPr="00640820" w:rsidRDefault="006251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Переписка немецких солдат с родными свидетельствует об огромных потерях германской армии на Восточном фронте. Почти в каждом письме из тыла на фронт и с фронта в тыл идет речь об убитых и раненых. Немецкий солдат Гельмуг Шуберт пишет знакомому унтер-офицеру: «В первый же день мы получили боевое крещение. Из второго взвода двое убито, много раненых».</w:t>
      </w:r>
    </w:p>
    <w:p w14:paraId="42CB75E7" w14:textId="77777777" w:rsidR="00625169" w:rsidRPr="00640820" w:rsidRDefault="006251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Некий Ганс извещает приятеля: «У нас есть много убитых, чтобы их оплакивать. Вчера осколком гранаты был убит Тритт, четверо ранены. Лейтенант Бланк, который одно время командовал нашим взводом, убит; лейтенант Шумпфле ранен. Во втором взводе убито 13 человек. Из первой роты убит Вальтер Гейнц. Баткрайс умер от болезни».</w:t>
      </w:r>
    </w:p>
    <w:p w14:paraId="1276E62E" w14:textId="77777777" w:rsidR="00625169" w:rsidRPr="00640820" w:rsidRDefault="006251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Подобного рода извещения идут непрерывным потоком и из германского тыла на фронт. Элизабет сообщает мужу Эрнсту: «Фриц нам писал, что его дивизия понесла очень большие потери и отведена в тыл. Вчера пришло извещение, что Герман X. погиб. Карл Филипп и Роберт Кюфер ранены... Шлахте Вилли тоже убит. Он не побывал даже дома и был взят прямо с трудовой повинности в воинскую часть». Ефрейтору Иозефу Штотелеру пишут: «Вчера получено сообщение, что убит Шнитцлер. Он был в танковом отряде». Ефрейтору Вальтеру Рипперу сообщает отец: «Из нашего города тоже многие убиты: один из Либрентов, Гейденшифт, один из сыновей Нагеля и Гух. О многих пока ещё нет официального извещения». Мать сообщает сыну Герберту: «Тотфрид убит. Артур Зейфер тяжело ранен». Унтер-офицеру Герберту Альтусу пишет его жена: «В Пенциге госпиталь полон ранеными». О том же говорится в письме к Рюрмейеру: «У нас есть много раненых и убитых. Опять прибыли раненые солдаты» (14810).</w:t>
      </w:r>
    </w:p>
    <w:p w14:paraId="76691C38" w14:textId="77777777" w:rsidR="00625169" w:rsidRPr="00640820" w:rsidRDefault="00625169" w:rsidP="00640820">
      <w:pPr>
        <w:spacing w:after="0" w:line="240" w:lineRule="auto"/>
        <w:jc w:val="both"/>
        <w:rPr>
          <w:rFonts w:ascii="Times New Roman" w:hAnsi="Times New Roman"/>
          <w:color w:val="000000" w:themeColor="text1"/>
          <w:sz w:val="16"/>
          <w:szCs w:val="16"/>
        </w:rPr>
      </w:pPr>
    </w:p>
    <w:p w14:paraId="396C824F" w14:textId="77777777" w:rsidR="00625169" w:rsidRPr="00640820" w:rsidRDefault="00625169"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25 октября </w:t>
      </w:r>
      <w:r w:rsidRPr="00640820">
        <w:rPr>
          <w:rFonts w:ascii="Times New Roman" w:hAnsi="Times New Roman"/>
          <w:color w:val="000000" w:themeColor="text1"/>
          <w:sz w:val="16"/>
          <w:szCs w:val="16"/>
        </w:rPr>
        <w:t>в 1941 году войска Приморской и 51-й армий начали отход к Севастополю и Керчи (14810).</w:t>
      </w:r>
    </w:p>
    <w:p w14:paraId="12CFF52E" w14:textId="77777777" w:rsidR="00625169" w:rsidRPr="00640820" w:rsidRDefault="00625169" w:rsidP="00640820">
      <w:pPr>
        <w:spacing w:after="0" w:line="240" w:lineRule="auto"/>
        <w:jc w:val="both"/>
        <w:rPr>
          <w:rFonts w:ascii="Times New Roman" w:hAnsi="Times New Roman"/>
          <w:color w:val="000000" w:themeColor="text1"/>
          <w:sz w:val="16"/>
          <w:szCs w:val="16"/>
        </w:rPr>
      </w:pPr>
    </w:p>
    <w:p w14:paraId="4EFDAF71" w14:textId="77777777" w:rsidR="00625169" w:rsidRPr="00640820" w:rsidRDefault="00625169"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25 октября </w:t>
      </w:r>
      <w:r w:rsidRPr="00640820">
        <w:rPr>
          <w:rFonts w:ascii="Times New Roman" w:hAnsi="Times New Roman"/>
          <w:color w:val="000000" w:themeColor="text1"/>
          <w:sz w:val="16"/>
          <w:szCs w:val="16"/>
        </w:rPr>
        <w:t>в 1941 году первая директива Главнокомандующего вермахта фельдмаршала Вальтера фон Браухича о борьбе с партизанами на оккупированных советских территориях (14810).</w:t>
      </w:r>
    </w:p>
    <w:p w14:paraId="754051B2" w14:textId="77777777" w:rsidR="00625169" w:rsidRPr="00640820" w:rsidRDefault="00625169" w:rsidP="00640820">
      <w:pPr>
        <w:spacing w:after="0" w:line="240" w:lineRule="auto"/>
        <w:jc w:val="both"/>
        <w:rPr>
          <w:rFonts w:ascii="Times New Roman" w:hAnsi="Times New Roman"/>
          <w:color w:val="000000" w:themeColor="text1"/>
          <w:sz w:val="16"/>
          <w:szCs w:val="16"/>
        </w:rPr>
      </w:pPr>
    </w:p>
    <w:p w14:paraId="3F8B1D17" w14:textId="77777777" w:rsidR="00625169" w:rsidRPr="00640820" w:rsidRDefault="00625169"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25 октября </w:t>
      </w:r>
      <w:r w:rsidRPr="00640820">
        <w:rPr>
          <w:rFonts w:ascii="Times New Roman" w:hAnsi="Times New Roman"/>
          <w:color w:val="000000" w:themeColor="text1"/>
          <w:sz w:val="16"/>
          <w:szCs w:val="16"/>
        </w:rPr>
        <w:t>в 1941 году немецкие войска заняли Харьков и Рузу (14810).</w:t>
      </w:r>
    </w:p>
    <w:p w14:paraId="56E7C5E8" w14:textId="77777777" w:rsidR="00625169" w:rsidRPr="00640820" w:rsidRDefault="00625169" w:rsidP="00640820">
      <w:pPr>
        <w:spacing w:after="0" w:line="240" w:lineRule="auto"/>
        <w:jc w:val="both"/>
        <w:rPr>
          <w:rFonts w:ascii="Times New Roman" w:hAnsi="Times New Roman"/>
          <w:color w:val="000000" w:themeColor="text1"/>
          <w:sz w:val="16"/>
          <w:szCs w:val="16"/>
        </w:rPr>
      </w:pPr>
    </w:p>
    <w:p w14:paraId="14A04B39" w14:textId="77777777" w:rsidR="00625169" w:rsidRPr="00640820" w:rsidRDefault="00625169"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25 октября </w:t>
      </w:r>
      <w:r w:rsidRPr="00640820">
        <w:rPr>
          <w:rFonts w:ascii="Times New Roman" w:hAnsi="Times New Roman"/>
          <w:color w:val="000000" w:themeColor="text1"/>
          <w:sz w:val="16"/>
          <w:szCs w:val="16"/>
        </w:rPr>
        <w:t>в 1941 году фашистами взят Харьков (14810).</w:t>
      </w:r>
    </w:p>
    <w:p w14:paraId="6472796F" w14:textId="77777777" w:rsidR="00625169" w:rsidRPr="00640820" w:rsidRDefault="00625169" w:rsidP="00640820">
      <w:pPr>
        <w:spacing w:after="0" w:line="240" w:lineRule="auto"/>
        <w:jc w:val="both"/>
        <w:rPr>
          <w:rFonts w:ascii="Times New Roman" w:hAnsi="Times New Roman"/>
          <w:color w:val="000000" w:themeColor="text1"/>
          <w:sz w:val="16"/>
          <w:szCs w:val="16"/>
        </w:rPr>
      </w:pPr>
    </w:p>
    <w:p w14:paraId="16A98C3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октября 1941 фашистами взят Харьков (4962).</w:t>
      </w:r>
    </w:p>
    <w:p w14:paraId="0174DB3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0BBB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октября 1941 КА оставила Харьков (3186).</w:t>
      </w:r>
    </w:p>
    <w:p w14:paraId="0C205A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04157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Когда 25 октября 1941 советские войска были вынуждены оставить Харьков, выпущенные бомбардировщики Су-2 своевременно перелетели на тыловые аэродромы. 146-й пап опоздал с перебазированием, и 112 человек во главе с батальонным комиссаром Черенковым погибли и пропали без вести (5360).</w:t>
      </w:r>
    </w:p>
    <w:p w14:paraId="75D276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6084A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октября 1941 вышло Постановление ГКО № 833 О стрелковой дивизии военного времени. РГАНИР, Фонд ГКО, д. 12, лл. 191-191об . (11012).</w:t>
      </w:r>
    </w:p>
    <w:p w14:paraId="2711D4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215B2E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октября 1941 вышло Постановление ГКО № 836 [О призыве военнообязанных запаса до 45-летнего возраста и призывников 1922-1923 годов рождения в Ярославской, Ивановской, Рязанской, Тамбовской и Сталинградской обл.] (7013, 197-198).</w:t>
      </w:r>
    </w:p>
    <w:p w14:paraId="457DCA3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C2BE81" w14:textId="77777777" w:rsidR="00625169"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1B130247" w14:textId="77777777" w:rsidR="00625169" w:rsidRPr="00640820" w:rsidRDefault="00625169"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34B2619" w14:textId="77777777" w:rsidR="00625169" w:rsidRPr="00640820" w:rsidRDefault="00625169"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25 октября </w:t>
      </w:r>
      <w:r w:rsidRPr="00640820">
        <w:rPr>
          <w:rFonts w:ascii="Times New Roman" w:hAnsi="Times New Roman"/>
          <w:color w:val="000000" w:themeColor="text1"/>
          <w:sz w:val="16"/>
          <w:szCs w:val="16"/>
        </w:rPr>
        <w:t>в 1941 году создан Комитет по эвакуации: А.И.Микоян (председатель), А.Н.Косыгин (заместитель председателя), наркомы — В.И.Зотов (Наркомпищепром), 3.А.Шашков (Наркомречфлот), П.В.Смирнов (Наркомат мясо-молочной промышленности) и др. Задача комитета — разработка и реализация планов эвакуации оборудования, запасов сырья и продовольствия. Действовал в контакте с Советом по эвакуации. В декабре 1941 комитет прекратил деятельность (14810).</w:t>
      </w:r>
    </w:p>
    <w:p w14:paraId="350171C9" w14:textId="77777777" w:rsidR="00625169" w:rsidRPr="00640820" w:rsidRDefault="00625169" w:rsidP="00640820">
      <w:pPr>
        <w:spacing w:after="0" w:line="240" w:lineRule="auto"/>
        <w:jc w:val="both"/>
        <w:rPr>
          <w:rFonts w:ascii="Times New Roman" w:hAnsi="Times New Roman"/>
          <w:color w:val="000000" w:themeColor="text1"/>
          <w:sz w:val="16"/>
          <w:szCs w:val="16"/>
        </w:rPr>
      </w:pPr>
    </w:p>
    <w:p w14:paraId="13770AA8" w14:textId="77777777" w:rsidR="00625169" w:rsidRPr="00640820" w:rsidRDefault="00625169"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25 октября в </w:t>
      </w:r>
      <w:r w:rsidRPr="00640820">
        <w:rPr>
          <w:rFonts w:ascii="Times New Roman" w:hAnsi="Times New Roman"/>
          <w:color w:val="000000" w:themeColor="text1"/>
          <w:sz w:val="16"/>
          <w:szCs w:val="16"/>
        </w:rPr>
        <w:t>1941 году (25-30 октября) выселение немцев из Дагестана и Чечено-Ингушетии в Казахстан (всего 5 тысяч человек) (14810).</w:t>
      </w:r>
    </w:p>
    <w:p w14:paraId="58E09251" w14:textId="77777777" w:rsidR="00625169" w:rsidRPr="00640820" w:rsidRDefault="00625169" w:rsidP="00640820">
      <w:pPr>
        <w:spacing w:after="0" w:line="240" w:lineRule="auto"/>
        <w:jc w:val="both"/>
        <w:rPr>
          <w:rFonts w:ascii="Times New Roman" w:hAnsi="Times New Roman"/>
          <w:color w:val="000000" w:themeColor="text1"/>
          <w:sz w:val="16"/>
          <w:szCs w:val="16"/>
        </w:rPr>
      </w:pPr>
    </w:p>
    <w:p w14:paraId="3A5A0B9C"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2B7C45E0"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99172EC" w14:textId="77777777" w:rsidR="002123A2" w:rsidRPr="00640820" w:rsidRDefault="002123A2"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26 октября </w:t>
      </w:r>
      <w:r w:rsidRPr="00640820">
        <w:rPr>
          <w:rFonts w:ascii="Times New Roman" w:hAnsi="Times New Roman"/>
          <w:color w:val="000000" w:themeColor="text1"/>
          <w:sz w:val="16"/>
          <w:szCs w:val="16"/>
        </w:rPr>
        <w:t>в 1941 году образовано Производственное объединение "Стрела", город Оренбург. В августе-сентябре 1941 г. по решению Государственного комитета обороны от 11 июля 1941 г. в город Чкалов (так тогда назывался Оренбург) из Ленинграда был эвакуирован авиационный завод №47. Первый из трех цехов - механический - начал действовать 25 октября 1941 г. В ноябре 1941 г. завод получил задание по освоению и выпуску истребителей Як-1. В конце 1942 г. завод приступил к выпуску Як-6. Приказ Наркомата авиационной промышленности от 25 сентября 1943 г. Директору завода №47 Котову поручалось организовать производство транспортных самолетов Ще-2. В 1945 г. Указом Президиума ВС СССР от 12 ноября за успешное выполнение задания по выпуску оборонной техники награждены 48 работников авиазавода. Всего за время Великой Отечественной войны здесь были изготовлены 1322 крылатых машины. С 1952 г. на авиазаводе №47 начинается выпуск самолетов-мишеней Ла-17А ОКБ С.А.Лавочкина, предназначавшихся для отработки зенитно-ракетного комплекса С-25 «Беркут». В дальнейшем выпуск мишеней Ла-17М и Ла-17ММ продолжался с перерывами до 1993 г , когда его заменила новая беспилотная мишень «Дань». В 1954 г. на заводе № 47 в Оренбурге впервые в СССР удалось наладить крупносерийный выпуск вертолетов Ми-1. В 1954-1958 г.г. здесь были выпущены 597 машин. В 1955 г. началась передача производства Ми-1 в Польскую Народную Республику. В 1958 Оренбургском машиностроительном заводе № 47 было развернуто серийное производство баллистических ракет средней дальности Р-12 комплекса 8К63, разработанных в ОКБ-586 под руководством Михаила Янгеля. С 1958 г. здесь был освоен выпуск крылатых ракет морского базирования П-5. В дальнейшем выпуск ракет, разработанных ЦКБМ (НПО машиностроения), стал основной продукцией ПО «Стрела». С конца 1960-х на ПО «Стрела» осваивается производство межконтинентальных баллистических ракет УР-100, а затем - МБР УР-100К (РС-10М) и УР-100К УТТХ (РС-10М). В 1992 г. ПО «Стрела» взялось за изготовление серийных вертолетов Ка-126. В 1994 году ОАО «КБ Камов» и ПО «Стрела» начали постройку новых вертолетов Ка-226 с двумя газотурбинными двигателями Allison-250-С20В. В настоящее время в составе многопрофильного производственного объединения «Стрела» более 130 самостоятельных подразделений, выпускающих свыше 50 наименований сложной высококачественной и конкурентоспособной продукции, выполняющих заказы отечественных и иностранных фирм (14811).</w:t>
      </w:r>
    </w:p>
    <w:p w14:paraId="3BF2ABB0" w14:textId="77777777" w:rsidR="002123A2" w:rsidRPr="00640820" w:rsidRDefault="002123A2" w:rsidP="00640820">
      <w:pPr>
        <w:spacing w:after="0" w:line="240" w:lineRule="auto"/>
        <w:jc w:val="both"/>
        <w:rPr>
          <w:rFonts w:ascii="Times New Roman" w:hAnsi="Times New Roman"/>
          <w:color w:val="000000" w:themeColor="text1"/>
          <w:sz w:val="16"/>
          <w:szCs w:val="16"/>
        </w:rPr>
      </w:pPr>
    </w:p>
    <w:p w14:paraId="67B164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октября 1941 г. часть завода № 120 (Завод № 120 НКТП, НКОП, НКАП, Завод № 120/309 нкоп /Балашиха Московской обл.;  г. Нижний Тагил Свердловской обл.,  г. Каменск Челябинской обл) и завод № 286 слиты в единый завод № 120, а часть завода в Нижнем Тагиле действовала как филиал завода № 120. Начальник филиала- Власов. По приказу № 1183с от 23.12.1941 г. филиал в Нижнем Тагиле получил статус основного и наименование завод № 120 НКАП, а завод в Каменске, наоборот, стал филиалом.</w:t>
      </w:r>
    </w:p>
    <w:p w14:paraId="1B6DC7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целью расширения производства колес по приказу № 91с от 1.02.1942 г. филиал завода в Каменске преобразован в самостоятельный завод № 286 НКАП.</w:t>
      </w:r>
    </w:p>
    <w:p w14:paraId="5D8C86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литых колес для Пе-2, ЛаГГ-3, Ил-2, Як-1, алюминиевое литье.</w:t>
      </w:r>
    </w:p>
    <w:p w14:paraId="731DEF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25с от 5.01.1942 г. площади эвакуированного завода № 120 НКАП с оставшимся оборудованием и кадрами и завода № 121 НКАП переданы вновь созданному заводу № 219 (заводы располагались на смежных территориях). По приказу № 92с от 12.02.1943 г. с завода № 120 НКАП в ОКБ завода № 219 НКАП переведена большая группа ИТР и рабочих, ранее работавших там, и оборудование. Затем еще неоднократно специалисты завода № 120 переводились в ОКБ завода № 219 НКАП для его укрепления (приказ № 735с от 8.12.1943 г.).</w:t>
      </w:r>
    </w:p>
    <w:p w14:paraId="5E7AC6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Действовал филиал завода № 120 в  г. Березовске, директор- А.И. Пастер. На площадку филиала эвакуирован из Москвы завод № 261 2ГУ НКАП. По приказу № 279с от 14.04.1942 г. завод № 261 влит в состав завода № 120. Затем по приказу НКАП № 150с от 15.03.1943 г. завод № 261 НКАП в  г. Березовске восстановлен как самостоятельный.</w:t>
      </w:r>
    </w:p>
    <w:p w14:paraId="271C94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435с от 12.11.1945 г. основная часть личного состава (800 чел.) и оборудования завода № 120 переведена и влита с 1.11.1945 г. в состав завода № 286 НКАП, а оставшиеся 300 квалифицированных рабочих и ИТР переданы для укрепления завода № 219. Территория завода тем же приказом передана в распоряжение завода № 183 НКТП.</w:t>
      </w:r>
    </w:p>
    <w:p w14:paraId="0E7ADB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(-05.1937-8.02.1938 г.)- И.С. Михайлов, (15.06.1938-12.1941 г.-&gt; Е.М. Горницкий, (02.1942 г.)- А.И. Пастер (одновременно директор завода № 261), (-06.1944-11.1945 г.)- Миронов.</w:t>
      </w:r>
    </w:p>
    <w:p w14:paraId="1A5502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(06.1937 г.)- Н.А. Данилович.</w:t>
      </w:r>
    </w:p>
    <w:p w14:paraId="4A4CA5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(06.1937 г.)- Н.А. Данилович.</w:t>
      </w:r>
    </w:p>
    <w:p w14:paraId="7982E0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(11.1940 г.-)- П.В. Флеров.</w:t>
      </w:r>
    </w:p>
    <w:p w14:paraId="2CE4CB56" w14:textId="77777777" w:rsidR="00625169"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инженеры: по колесному производству (06.1937 г.)- Е.М. Горницкий; по литейному производству (06.1937 г.)- С.С. Фельдман (11982).</w:t>
      </w:r>
    </w:p>
    <w:p w14:paraId="60596D65" w14:textId="77777777" w:rsidR="00625169" w:rsidRPr="00640820" w:rsidRDefault="00625169" w:rsidP="00640820">
      <w:pPr>
        <w:autoSpaceDE w:val="0"/>
        <w:autoSpaceDN w:val="0"/>
        <w:adjustRightInd w:val="0"/>
        <w:spacing w:after="0" w:line="240" w:lineRule="auto"/>
        <w:jc w:val="both"/>
        <w:rPr>
          <w:rFonts w:ascii="Times New Roman" w:hAnsi="Times New Roman"/>
          <w:color w:val="000000" w:themeColor="text1"/>
          <w:sz w:val="16"/>
          <w:szCs w:val="16"/>
        </w:rPr>
      </w:pPr>
    </w:p>
    <w:p w14:paraId="61C69C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октября 1941 г. ГОСУДАРСТВЕННЫЙ КОМИТЕТ ОБОРОНЫ ПОСТАНОВЛЕНИЕ № ГКО-838сс</w:t>
      </w:r>
    </w:p>
    <w:p w14:paraId="1B7467CB" w14:textId="77777777" w:rsidR="00625169"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Москва, Кремль </w:t>
      </w:r>
    </w:p>
    <w:p w14:paraId="5BBEA84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 плане производства снарядов М-8 и М-13 на ноябрь 1941 г.</w:t>
      </w:r>
    </w:p>
    <w:p w14:paraId="3C4A2A8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 Утвердить план производства (сдачи) Наркоматом Боеприпасов для НКО снарядов М-8 и М-13 на ноябрь 1941 г. в количестве 230 тыс. штук, в том числе снарядов М-8 100 тыс. шт. и М-13 - 130 тыс. шт. (из них в Москве М-13 - 32 тыс. штук). </w:t>
      </w:r>
    </w:p>
    <w:p w14:paraId="044E06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Обязать Наркомат Боеприпасов (тов. Горемыкина) снарядить и поставить Наркомату Обороны снаряды М-8 и М-13 в ноябре 1941 года по пятидневкам в следующих количествах:</w:t>
      </w:r>
    </w:p>
    <w:tbl>
      <w:tblPr>
        <w:tblW w:w="102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2"/>
        <w:gridCol w:w="3296"/>
        <w:gridCol w:w="895"/>
        <w:gridCol w:w="1247"/>
        <w:gridCol w:w="2580"/>
      </w:tblGrid>
      <w:tr w:rsidR="00643896" w:rsidRPr="00640820" w14:paraId="03D4BF48" w14:textId="77777777" w:rsidTr="000D3BCB">
        <w:tc>
          <w:tcPr>
            <w:tcW w:w="0" w:type="auto"/>
            <w:shd w:val="clear" w:color="auto" w:fill="auto"/>
            <w:hideMark/>
          </w:tcPr>
          <w:p w14:paraId="40671806"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I-й</w:t>
            </w:r>
          </w:p>
        </w:tc>
        <w:tc>
          <w:tcPr>
            <w:tcW w:w="0" w:type="auto"/>
            <w:shd w:val="clear" w:color="auto" w:fill="auto"/>
            <w:hideMark/>
          </w:tcPr>
          <w:p w14:paraId="4E117133"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пятидневке</w:t>
            </w:r>
          </w:p>
        </w:tc>
        <w:tc>
          <w:tcPr>
            <w:tcW w:w="0" w:type="auto"/>
            <w:shd w:val="clear" w:color="auto" w:fill="auto"/>
            <w:hideMark/>
          </w:tcPr>
          <w:p w14:paraId="0E309543"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0" w:type="auto"/>
            <w:shd w:val="clear" w:color="auto" w:fill="auto"/>
            <w:hideMark/>
          </w:tcPr>
          <w:p w14:paraId="78DAD5BF"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21</w:t>
            </w:r>
          </w:p>
        </w:tc>
        <w:tc>
          <w:tcPr>
            <w:tcW w:w="0" w:type="auto"/>
            <w:shd w:val="clear" w:color="auto" w:fill="auto"/>
            <w:hideMark/>
          </w:tcPr>
          <w:p w14:paraId="7E46F93E"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тыс. шт.</w:t>
            </w:r>
          </w:p>
        </w:tc>
      </w:tr>
      <w:tr w:rsidR="00643896" w:rsidRPr="00640820" w14:paraId="22A46FC1" w14:textId="77777777" w:rsidTr="000D3BCB">
        <w:tc>
          <w:tcPr>
            <w:tcW w:w="0" w:type="auto"/>
            <w:shd w:val="clear" w:color="auto" w:fill="auto"/>
            <w:hideMark/>
          </w:tcPr>
          <w:p w14:paraId="13BAD519"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во II-й</w:t>
            </w:r>
          </w:p>
        </w:tc>
        <w:tc>
          <w:tcPr>
            <w:tcW w:w="0" w:type="auto"/>
            <w:shd w:val="clear" w:color="auto" w:fill="auto"/>
            <w:hideMark/>
          </w:tcPr>
          <w:p w14:paraId="018DCC72"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0" w:type="auto"/>
            <w:shd w:val="clear" w:color="auto" w:fill="auto"/>
            <w:hideMark/>
          </w:tcPr>
          <w:p w14:paraId="37E8D2E8"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0" w:type="auto"/>
            <w:shd w:val="clear" w:color="auto" w:fill="auto"/>
            <w:hideMark/>
          </w:tcPr>
          <w:p w14:paraId="79EFEF89"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30</w:t>
            </w:r>
          </w:p>
        </w:tc>
        <w:tc>
          <w:tcPr>
            <w:tcW w:w="0" w:type="auto"/>
            <w:shd w:val="clear" w:color="auto" w:fill="auto"/>
            <w:hideMark/>
          </w:tcPr>
          <w:p w14:paraId="04C55D99"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3C019F73" w14:textId="77777777" w:rsidTr="000D3BCB">
        <w:tc>
          <w:tcPr>
            <w:tcW w:w="0" w:type="auto"/>
            <w:shd w:val="clear" w:color="auto" w:fill="auto"/>
            <w:hideMark/>
          </w:tcPr>
          <w:p w14:paraId="1960094C"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III-й</w:t>
            </w:r>
          </w:p>
        </w:tc>
        <w:tc>
          <w:tcPr>
            <w:tcW w:w="0" w:type="auto"/>
            <w:shd w:val="clear" w:color="auto" w:fill="auto"/>
            <w:hideMark/>
          </w:tcPr>
          <w:p w14:paraId="14515558"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0" w:type="auto"/>
            <w:shd w:val="clear" w:color="auto" w:fill="auto"/>
            <w:hideMark/>
          </w:tcPr>
          <w:p w14:paraId="0F43D54F"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0" w:type="auto"/>
            <w:shd w:val="clear" w:color="auto" w:fill="auto"/>
            <w:hideMark/>
          </w:tcPr>
          <w:p w14:paraId="385ADDFD"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36</w:t>
            </w:r>
          </w:p>
        </w:tc>
        <w:tc>
          <w:tcPr>
            <w:tcW w:w="0" w:type="auto"/>
            <w:shd w:val="clear" w:color="auto" w:fill="auto"/>
            <w:hideMark/>
          </w:tcPr>
          <w:p w14:paraId="110305C9"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0B6DA750" w14:textId="77777777" w:rsidTr="000D3BCB">
        <w:tc>
          <w:tcPr>
            <w:tcW w:w="0" w:type="auto"/>
            <w:shd w:val="clear" w:color="auto" w:fill="auto"/>
            <w:hideMark/>
          </w:tcPr>
          <w:p w14:paraId="254ED7CB"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IV-й</w:t>
            </w:r>
          </w:p>
        </w:tc>
        <w:tc>
          <w:tcPr>
            <w:tcW w:w="0" w:type="auto"/>
            <w:shd w:val="clear" w:color="auto" w:fill="auto"/>
            <w:hideMark/>
          </w:tcPr>
          <w:p w14:paraId="5CB9587E"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0" w:type="auto"/>
            <w:shd w:val="clear" w:color="auto" w:fill="auto"/>
            <w:hideMark/>
          </w:tcPr>
          <w:p w14:paraId="4D84BA21"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0" w:type="auto"/>
            <w:shd w:val="clear" w:color="auto" w:fill="auto"/>
            <w:hideMark/>
          </w:tcPr>
          <w:p w14:paraId="77E57474"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44</w:t>
            </w:r>
          </w:p>
        </w:tc>
        <w:tc>
          <w:tcPr>
            <w:tcW w:w="0" w:type="auto"/>
            <w:shd w:val="clear" w:color="auto" w:fill="auto"/>
            <w:hideMark/>
          </w:tcPr>
          <w:p w14:paraId="38B178A2"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64C0BDB2" w14:textId="77777777" w:rsidTr="000D3BCB">
        <w:tc>
          <w:tcPr>
            <w:tcW w:w="0" w:type="auto"/>
            <w:shd w:val="clear" w:color="auto" w:fill="auto"/>
            <w:hideMark/>
          </w:tcPr>
          <w:p w14:paraId="08B84DFB"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V-й</w:t>
            </w:r>
          </w:p>
        </w:tc>
        <w:tc>
          <w:tcPr>
            <w:tcW w:w="0" w:type="auto"/>
            <w:shd w:val="clear" w:color="auto" w:fill="auto"/>
            <w:hideMark/>
          </w:tcPr>
          <w:p w14:paraId="21944637"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0" w:type="auto"/>
            <w:shd w:val="clear" w:color="auto" w:fill="auto"/>
            <w:hideMark/>
          </w:tcPr>
          <w:p w14:paraId="50567004"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0" w:type="auto"/>
            <w:shd w:val="clear" w:color="auto" w:fill="auto"/>
            <w:hideMark/>
          </w:tcPr>
          <w:p w14:paraId="1F142099"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48</w:t>
            </w:r>
          </w:p>
        </w:tc>
        <w:tc>
          <w:tcPr>
            <w:tcW w:w="0" w:type="auto"/>
            <w:shd w:val="clear" w:color="auto" w:fill="auto"/>
            <w:hideMark/>
          </w:tcPr>
          <w:p w14:paraId="62334A92"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647EEDDE" w14:textId="77777777" w:rsidTr="000D3BCB">
        <w:tc>
          <w:tcPr>
            <w:tcW w:w="0" w:type="auto"/>
            <w:shd w:val="clear" w:color="auto" w:fill="auto"/>
            <w:hideMark/>
          </w:tcPr>
          <w:p w14:paraId="513A3CC4"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VI-й</w:t>
            </w:r>
          </w:p>
        </w:tc>
        <w:tc>
          <w:tcPr>
            <w:tcW w:w="0" w:type="auto"/>
            <w:shd w:val="clear" w:color="auto" w:fill="auto"/>
            <w:hideMark/>
          </w:tcPr>
          <w:p w14:paraId="423A02A5"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0" w:type="auto"/>
            <w:shd w:val="clear" w:color="auto" w:fill="auto"/>
            <w:hideMark/>
          </w:tcPr>
          <w:p w14:paraId="46844CCE"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0" w:type="auto"/>
            <w:shd w:val="clear" w:color="auto" w:fill="auto"/>
            <w:hideMark/>
          </w:tcPr>
          <w:p w14:paraId="5C836502"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51</w:t>
            </w:r>
          </w:p>
        </w:tc>
        <w:tc>
          <w:tcPr>
            <w:tcW w:w="0" w:type="auto"/>
            <w:shd w:val="clear" w:color="auto" w:fill="auto"/>
            <w:hideMark/>
          </w:tcPr>
          <w:p w14:paraId="37C6E654"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bl>
    <w:p w14:paraId="7478572E" w14:textId="77777777" w:rsidR="00165A9C" w:rsidRPr="00640820" w:rsidRDefault="00165A9C" w:rsidP="00640820">
      <w:pPr>
        <w:autoSpaceDE w:val="0"/>
        <w:autoSpaceDN w:val="0"/>
        <w:adjustRightInd w:val="0"/>
        <w:spacing w:after="0" w:line="240" w:lineRule="auto"/>
        <w:jc w:val="both"/>
        <w:rPr>
          <w:rStyle w:val="a5"/>
          <w:rFonts w:ascii="Times New Roman" w:hAnsi="Times New Roman"/>
          <w:color w:val="000000" w:themeColor="text1"/>
          <w:sz w:val="16"/>
          <w:szCs w:val="16"/>
          <w:vertAlign w:val="superscript"/>
        </w:rPr>
      </w:pPr>
      <w:r w:rsidRPr="00640820">
        <w:rPr>
          <w:rFonts w:ascii="Times New Roman" w:hAnsi="Times New Roman"/>
          <w:color w:val="000000" w:themeColor="text1"/>
          <w:sz w:val="16"/>
          <w:szCs w:val="16"/>
        </w:rPr>
        <w:t>согласно графику (приложение № 1)</w:t>
      </w:r>
      <w:hyperlink r:id="rId44" w:anchor="1" w:history="1">
        <w:r w:rsidRPr="00640820">
          <w:rPr>
            <w:rStyle w:val="a5"/>
            <w:rFonts w:ascii="Times New Roman" w:hAnsi="Times New Roman"/>
            <w:color w:val="000000" w:themeColor="text1"/>
            <w:sz w:val="16"/>
            <w:szCs w:val="16"/>
            <w:vertAlign w:val="superscript"/>
          </w:rPr>
          <w:t>*</w:t>
        </w:r>
      </w:hyperlink>
    </w:p>
    <w:p w14:paraId="47B5716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 Обязать Наркомбоеприпасов (тов. Горемыкина), Наркомобщмаш (тов. Паршина), Наркомтяжмаш (тов. Казакова) и Наркомнефть (тов. Седина) собрать корпуса снарядов М-8 и М-13 и поставить на снаряжательные заводы НКБ в сроки и количествах, согласно графику (приложение № 2). </w:t>
      </w:r>
    </w:p>
    <w:p w14:paraId="16CB5ED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4. Поручить Военному Совету Ленинградского фронта утвердить задание ленинградским предприятиям по производству снарядов М-8 и М-13 на ноябрь 1941 г. </w:t>
      </w:r>
    </w:p>
    <w:p w14:paraId="13025EA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5. Обязать Наркомбоеприпасов (тов. Горемыкина), Наркомобщмаш (тов. Паршина), Наркомсредмаш (тов. Акопова), Наркомтяжмаш (тов. Казакова), Наркомстанкостроения (тов. Ефремова), НКПС (тов. Кагановича Л.М.), Наркомчермет (тов. Тевосяна), Наркомэлектропром (тов. Кабанова), Наркомэлектростанций (тов. Леткова), Наркомтанкопром (тов. Малышева), Наркомнефть (тов. Седина), Наркомтекстиль (тов. Акимова), Наркомречфлот (тов. Шашкова), Наркомхимпром (тов. Денисова), Наркомпищепром (тов. Зотова), Наркомцветмет (тов. Ломако), Наркомморфлот (тов. Дукельтинова), Наркомсудпром (тов. Каплун), Наркомвооружения (тов. Устинова), Наркомавиапром (тов. Шахурина), Наркомуголь (тов. Вахрушева), Наркомрыбпром (тов. Ишкова), Наркомстройматериалов (тов. Соснина), Наркомстрой (тов. Гинзбурга), Наркомместпром РСФСР (тов. Смиряева), СНК Грузинской ССР (тов. Бакрадзе), СНК Азербайджанской ССР, Управление Промкооперации при СНК РСФСР (тов. Кравчук), Главное Управление трудовых резервов при СНК СССР (тов. Москатова), - изготовить и поставить (сверх задания, установленного по Москве) сборочным заводам детали снарядов М-8 и М-13 в ноябре 1941 года, согласно графикам (приложения №№ 3, 4). </w:t>
      </w:r>
    </w:p>
    <w:p w14:paraId="5CF72DB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6. Обязать Наркомчермет (тов. Тевосяна), Наркомцветмет (тов. Ломако), Наркомбумпром (тов. Чеботарева) и Наркомрезинпром (тов. Митрохина) поставить равномерными партиями до 25 ноября 1941 года металл и материалы для обеспечения установленного настоящим постановлением месячного задания по производству снарядов М-8 и М-13 и металл для штамповки до 2 ноября с.г., согласно приложениям №№ 5 и 6. </w:t>
      </w:r>
    </w:p>
    <w:p w14:paraId="11A1FD5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7. Обязать Наркомбоеприпасов (тов. Горемыкина), Наркомсредмаш (тов. Акопова), Наркомнефть (тов. Седина), НКПС (тов. Кагановича Л.М.), Наркомчермет (тов. Тевосяна), Наркомтанкопром (тов. Малышева), Наркомвооружения (тов. Устинова), Наркомэлектростанций (тов. Леткова), Наркомстанкостроения (тов. Ефремова), изготовить и поставить в ноябре 1941 года равномерными партиями штампованные и литые из стали головки к снарядам М-8 и М-13, согласно приложению № 7. </w:t>
      </w:r>
    </w:p>
    <w:p w14:paraId="0E815C2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8. Обязать Наркомбоеприпасов (тов. Горемыкина) до 10.XI организовать базы для снаряжения снарядов М-8 в Новосибирске и М-13 в Баку и об исполнении доложить Совнаркому СССР. </w:t>
      </w:r>
    </w:p>
    <w:p w14:paraId="13B94B0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9. Утвердить на ноябрь 1941 г. план производства нитроглицериновых порохов на заводе № 98 НКВ в количестве 750 тонн, и в НИИ-6 - 50 тонн. </w:t>
      </w:r>
    </w:p>
    <w:p w14:paraId="468096A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10. Сохранить на ноябрь м-ц 1941 г. установленную постановлением ГКО № 724 от 30.IX.41 г. систему премирования директоров заводов, главных инженеров, начальников цехов и мастеров за выполнение месячного плана по выпуску снарядов М-8 и М-13 и деталей к ним в размере от 0.5 до 2 окладов. </w:t>
      </w:r>
    </w:p>
    <w:p w14:paraId="4E212EB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11. Предоставить право Горьковскому, Свердловскому, Челябинскому, Новосибирскому обкомам партии и ЦК ВКП(б) Азербайджана привлекать для выполнения устанавленной ГКО программы по производству снарядов М-8 и М-13 предприятия, независимо от их ведомственной подчиненности, а также мобилизовать оборудование и рабочую силу для обеспечения установленного задания по производству снарядов М-8 и М-13 без ущерба для производства других видов боеприпасов, вооружения, самолетов и танков. </w:t>
      </w:r>
    </w:p>
    <w:p w14:paraId="6A0AAB8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12. Обязать Наркомат Станкостроения (т. Ефремова) изготовить до 20 ноября 1941 г. специальный режущий и мерительный инструмент для производства снарядов М-8 и М-13 в размере 60% от задания на октябрь м-ц по всей номенклатуре. Госплану СССР представить в Совнарком СССР план распределения инструмента по отдельным Наркоматам не позже 1-го ноября 1941 г. </w:t>
      </w:r>
    </w:p>
    <w:p w14:paraId="3662391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13. Возложить контроль за выполнением настоящего постановления на НКБ тов. Горемыкина, НКОМ - т. Паршина, НКТМ - т. Казакова и Госплан СССР - тов. Борисова. </w:t>
      </w:r>
    </w:p>
    <w:p w14:paraId="713547A0" w14:textId="77777777" w:rsidR="00625169"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Поручить т.т. Сабурову и Горемыкину до 1.XI.41 г. разместить дополнительно в Куйбышеве и Сталинграде производство снарядов М-8 на ноябрь месяц в количестве 35-40 тысяч.</w:t>
      </w:r>
    </w:p>
    <w:p w14:paraId="2409B3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ПРЕДСЕДАТЕЛЬ ГОСУДАРСТВЕННОГО КОМИТЕТА ОБОРОНЫ И. СТАЛИН </w:t>
      </w:r>
    </w:p>
    <w:p w14:paraId="232F388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Выписки посланы: </w:t>
      </w:r>
    </w:p>
    <w:p w14:paraId="65978FE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т.т. Вознесенскому, Горемыкину, Яковлеву (ГАУ), Аборенкову, Борисову (Госплан), Сабурову - все; </w:t>
      </w:r>
    </w:p>
    <w:p w14:paraId="027909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Наркомам и обкомам ВКП(б) - соответств.</w:t>
      </w:r>
    </w:p>
    <w:p w14:paraId="786114C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(12678).</w:t>
      </w:r>
    </w:p>
    <w:p w14:paraId="3F66060F"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803450A" w14:textId="77777777" w:rsidR="00625169" w:rsidRPr="00640820" w:rsidRDefault="00625169"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октября 1941 вышло Постановление ГКО № 838 О плане производства снарядов М-8 и М-13 на ноябрь 1941 г. РГАНИР, Фонд ГКО, д. 13, лл. 1-2, 3-25 (11012).</w:t>
      </w:r>
    </w:p>
    <w:p w14:paraId="407C776F" w14:textId="77777777" w:rsidR="00625169" w:rsidRPr="00640820" w:rsidRDefault="00625169" w:rsidP="00640820">
      <w:pPr>
        <w:autoSpaceDE w:val="0"/>
        <w:autoSpaceDN w:val="0"/>
        <w:adjustRightInd w:val="0"/>
        <w:spacing w:after="0" w:line="240" w:lineRule="auto"/>
        <w:jc w:val="both"/>
        <w:rPr>
          <w:rFonts w:ascii="Times New Roman" w:hAnsi="Times New Roman"/>
          <w:color w:val="000000" w:themeColor="text1"/>
          <w:sz w:val="16"/>
          <w:szCs w:val="16"/>
        </w:rPr>
      </w:pPr>
    </w:p>
    <w:p w14:paraId="01FEBF42"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24FC09F7"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4170B0B" w14:textId="77777777" w:rsidR="002123A2" w:rsidRPr="00640820" w:rsidRDefault="002123A2"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октября 1941 вышло Постановление ГКО № 839 Об утверждении плана производства (сдачи) боеприпасов на ноябрь 1941 года. РГАНИР, Фонд ГКО, д. 13, лл. 26-29, 30-59 (11012).</w:t>
      </w:r>
    </w:p>
    <w:p w14:paraId="330F8C53" w14:textId="77777777" w:rsidR="002123A2" w:rsidRPr="00640820" w:rsidRDefault="002123A2" w:rsidP="00640820">
      <w:pPr>
        <w:autoSpaceDE w:val="0"/>
        <w:autoSpaceDN w:val="0"/>
        <w:adjustRightInd w:val="0"/>
        <w:spacing w:after="0" w:line="240" w:lineRule="auto"/>
        <w:jc w:val="both"/>
        <w:rPr>
          <w:rFonts w:ascii="Times New Roman" w:hAnsi="Times New Roman"/>
          <w:color w:val="000000" w:themeColor="text1"/>
          <w:sz w:val="16"/>
          <w:szCs w:val="16"/>
        </w:rPr>
      </w:pPr>
    </w:p>
    <w:p w14:paraId="76871235" w14:textId="77777777" w:rsidR="002123A2" w:rsidRPr="00640820" w:rsidRDefault="002123A2"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октября 1941 вышло Постановление ГКО № 841 О плане производства боеприпасов на ноябрь 1941 г. в г. Москве. (7014, 61-63,64-74).</w:t>
      </w:r>
    </w:p>
    <w:p w14:paraId="36D27517" w14:textId="77777777" w:rsidR="002123A2" w:rsidRPr="00640820" w:rsidRDefault="002123A2"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E2B4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C 26 октября 1941 в короткий срок завершив изготовление технологической оснастки, моделей, инструмента и т.п. ГАЗ приступил к массовому выпуску танков Т-60. Бронекорпуса для них в нарастающих количествах начали поставлять Выксунский завод № 177, позже подключился Муромский паровозоремонтный завод им. Дзержинского № 176, и, наконец, старейший броневой завод № 178 в г. Кулебаки. Затем к ним присоединился эвакуированный в Саратов подольский завод № 180. И все же бронекорпусов хронически не хватало, что сдерживало расширение производства Т-60. Поэтому вскоре их сварку дополнительно организовали в цехе МСЦ-8 завода ГАЗ. Могучий завод вытянул и эту очередную незапланированную нагрузку. Следует заметить, что Т-60, выпускаемые разными заводами, имели свои особенности, вызванные уровнем технологической оснащенности предприятий и внутризаводскими стандартами (3862).</w:t>
      </w:r>
    </w:p>
    <w:p w14:paraId="0E2C73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A623F6E" w14:textId="77777777" w:rsidR="00625169" w:rsidRPr="00640820" w:rsidRDefault="00625169" w:rsidP="00640820">
      <w:pPr>
        <w:widowControl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26 октября 1941 ГАЗ приступил к массовому выпуску танков Т-60. Бронекорпуса для них в нарастающих количествах начали поставлять Выксунский завод дробильно-размольного оборудования (ДРО) №177, позже – Муромский паровозоремонтный завод им. Дзержинского №176 с его мощным котельным производством, технологически подобным танковому корпусному, и, наконец, старейший броневой завод в г. Кулебаки №178. Затем к ним присоединились эвакуированные в Саратов на территорию местного паровозоремонтного завода части подольского завода №180. И все же бронекорпусов хронически не хватало, что сдерживало расширение массового производства Т-60. Поэтому вскоре их сварку дополнительно организовали на ГАЗе (15218).</w:t>
      </w:r>
    </w:p>
    <w:p w14:paraId="06284A43" w14:textId="77777777" w:rsidR="00625169" w:rsidRPr="00640820" w:rsidRDefault="00625169" w:rsidP="00640820">
      <w:pPr>
        <w:widowControl w:val="0"/>
        <w:spacing w:after="0" w:line="240" w:lineRule="auto"/>
        <w:jc w:val="both"/>
        <w:rPr>
          <w:rFonts w:ascii="Times New Roman" w:hAnsi="Times New Roman"/>
          <w:color w:val="000000" w:themeColor="text1"/>
          <w:sz w:val="16"/>
          <w:szCs w:val="16"/>
        </w:rPr>
      </w:pPr>
    </w:p>
    <w:p w14:paraId="52B5A403" w14:textId="77777777" w:rsidR="002123A2" w:rsidRPr="00640820" w:rsidRDefault="002123A2"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октября 1941 года вышел приказ № 70/4с НКВ</w:t>
      </w:r>
    </w:p>
    <w:p w14:paraId="1D61DF5C" w14:textId="77777777" w:rsidR="002123A2" w:rsidRPr="00640820" w:rsidRDefault="002123A2"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связи с переводом заводов на новые базы назначить:</w:t>
      </w:r>
    </w:p>
    <w:p w14:paraId="4EC27ED9" w14:textId="77777777" w:rsidR="002123A2" w:rsidRPr="00640820" w:rsidRDefault="002123A2"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Директором завода № 621в Медногорске Томилина А.А.</w:t>
      </w:r>
    </w:p>
    <w:p w14:paraId="16892E0A" w14:textId="77777777" w:rsidR="002123A2" w:rsidRPr="00640820" w:rsidRDefault="002123A2"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Директором завода № 385 в Златоусте Щекина И.А.</w:t>
      </w:r>
    </w:p>
    <w:p w14:paraId="27B7FBFE" w14:textId="77777777" w:rsidR="002123A2" w:rsidRPr="00640820" w:rsidRDefault="002123A2"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Директором завода № 622 в г. Вятские Поляны Ельянова А.Б.</w:t>
      </w:r>
    </w:p>
    <w:p w14:paraId="584B0841" w14:textId="77777777" w:rsidR="002123A2" w:rsidRPr="00640820" w:rsidRDefault="002123A2"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Директором завода № 525 в Куйбышеве Руднева Н.Н (6286, 29).</w:t>
      </w:r>
    </w:p>
    <w:p w14:paraId="51887C4E" w14:textId="77777777" w:rsidR="002123A2" w:rsidRPr="00640820" w:rsidRDefault="002123A2"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159C3E"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6417E38B"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381306E" w14:textId="77777777" w:rsidR="002123A2" w:rsidRPr="00640820" w:rsidRDefault="002123A2"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26 октября </w:t>
      </w:r>
      <w:r w:rsidRPr="00640820">
        <w:rPr>
          <w:rFonts w:ascii="Times New Roman" w:hAnsi="Times New Roman"/>
          <w:color w:val="000000" w:themeColor="text1"/>
          <w:sz w:val="16"/>
          <w:szCs w:val="16"/>
        </w:rPr>
        <w:t>в 1941 году утреннее сообщение Совинформбюро:</w:t>
      </w:r>
    </w:p>
    <w:p w14:paraId="0E2B92C7" w14:textId="77777777" w:rsidR="002123A2" w:rsidRPr="00640820" w:rsidRDefault="002123A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26 октября продолжались бои на Таганрогском, Макеевском (Донбасс), Можайском и Малоярославецком направлениях.</w:t>
      </w:r>
    </w:p>
    <w:p w14:paraId="38AA9337" w14:textId="77777777" w:rsidR="002123A2" w:rsidRPr="00640820" w:rsidRDefault="002123A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Часть подполковника Милкадзе, действующая в одном из секторов Ленинградского фронта, стремительным ударом выбила фашистов из пункта Г., захватив при этом 3 пушки, 8 пулемётов, несколько миномётов и много снарядов. Бойцы части командира Грибова разгромили один батальон 484 немецкого полка 254 пехотной дивизии и захватили 3 орудия, 7 пулемётов и большое количество другого военного снаряжения. Артиллерийским огнём разгромлено 10 миномётных батарей, 15 пулемётных гнёзд, 10 ДЗОТов и взвод тяжёлой артиллерии противника. Оперирующие в этом секторе авиачасти за несколько дней уничтожили 80 немецких танков, больше 100 автомашин с пехотой и боеприпасами.</w:t>
      </w:r>
    </w:p>
    <w:p w14:paraId="02DE844B" w14:textId="77777777" w:rsidR="002123A2" w:rsidRPr="00640820" w:rsidRDefault="002123A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Один наш батальон, действующий на Северо-Западном направлении фронта, в течение дня отбил пять атак двух немецких пехотных батальонов. Противник оставил на поле боя до 400 трупов убитых солдат и офицеров.</w:t>
      </w:r>
    </w:p>
    <w:p w14:paraId="2D85E686" w14:textId="77777777" w:rsidR="002123A2" w:rsidRPr="00640820" w:rsidRDefault="002123A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Партизанские отряды Днепропетровской области ведут самоотверженную борьбу против немецко-фашистских извергов. Особенно успешно действует отряд криворожских горняков во главе с орденоносцем тов. Н. Недавно партизаны пустили под откос немецкий состав с орудиями и боеприпасами. Пожаром и взрывами снарядов уничтожен весь состав. Уничтожено не меньше 25 орудий и 40 немецких солдат из охраны поезда. Через несколько дней горняки минировали путь, в результате чего произошло большое крушение эшелона с немецкими солдатами, только что прибывшими из Германии. Убито и тяжело ранено больше 200 человек.</w:t>
      </w:r>
    </w:p>
    <w:p w14:paraId="04E95BC8" w14:textId="77777777" w:rsidR="002123A2" w:rsidRPr="00640820" w:rsidRDefault="002123A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Успешно истребляют живую силу противника партизаны, которыми командует учитель тов. Ж. Бойцы отряда за один день уничтожили 2 грузовые машины и 32 немецких солдата. На днях отрад устроил засаду на дороге около села С. Вскоре показались 22 фашиста. Пулемётным и ружейным огнем немецкие солдаты были уничтожены. Девятого октября во время перестрелки с мотоциклистами партизаны уничтожили 7 солдат и одного унтер-офицера. Захвачено 5 исправных мотоциклов. На другой день было совершено нападение на дрезину, в которой находились 5 немецких офицеров и 3 солдата. Двенадцатого октября огнём из автоматов разгромлен кавалерийский разъезд противника и уничтожена легковая машина. Всего за 15 дней октября отряд уничтожил до ста фашистских захватчиков.</w:t>
      </w:r>
    </w:p>
    <w:p w14:paraId="0772BB83" w14:textId="77777777" w:rsidR="002123A2" w:rsidRPr="00640820" w:rsidRDefault="002123A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Советские железнодорожники настойчиво борются за быстрейшую доставку важнейших грузов, необходимых для фронта и тыла. Дежурный по станции Семейкино Северо-Донецкой дороги тов. Рыбальченко обеспечил погрузку угольного маршрута за 5 часов 30 минут при задании в 6 часов 50 минут. Дежурный по станции Чистяково тов. Кострицкий и составитель поездов тов. Гарасюта формируют угольные маршруты скоростными методами и отправляют их на 13-15 минут раньше срока. На Карагандинской железной дороге многие угольные маршруты идут со скоростью курьерского поезда. Дежурный по Карагандинскому отделению тов. Кузьменко и диспетчер транспортного цеха треста «Карагандауголь» тов. Новгородцев значительно сократили простои маршрутов под грузовыми операциями. Простой маршрута № 712 под погрузкой был сокращён на два часа, а простой маршрута № 627 — на три часа. Коллектив работников станции Тавда дороги имени Л. М. Кагановича перевыполнил государственный план погрузки третьего квартала. Сейчас коллектив борется за выполнение плана четвёртого квартала к 20 декабря. Смена диспетчера станции Петропавловск тов. Догодаева выполнила план погрузки и выгрузки более чем на 150 процентов.» (14811).</w:t>
      </w:r>
    </w:p>
    <w:p w14:paraId="57903860" w14:textId="77777777" w:rsidR="002123A2" w:rsidRPr="00640820" w:rsidRDefault="002123A2" w:rsidP="00640820">
      <w:pPr>
        <w:spacing w:after="0" w:line="240" w:lineRule="auto"/>
        <w:jc w:val="both"/>
        <w:rPr>
          <w:rFonts w:ascii="Times New Roman" w:hAnsi="Times New Roman"/>
          <w:color w:val="000000" w:themeColor="text1"/>
          <w:sz w:val="16"/>
          <w:szCs w:val="16"/>
        </w:rPr>
      </w:pPr>
    </w:p>
    <w:p w14:paraId="52CFA606" w14:textId="77777777" w:rsidR="002123A2" w:rsidRPr="00640820" w:rsidRDefault="002123A2"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26 октября </w:t>
      </w:r>
      <w:r w:rsidRPr="00640820">
        <w:rPr>
          <w:rFonts w:ascii="Times New Roman" w:hAnsi="Times New Roman"/>
          <w:color w:val="000000" w:themeColor="text1"/>
          <w:sz w:val="16"/>
          <w:szCs w:val="16"/>
        </w:rPr>
        <w:t>в 1941 году вечернее сообщение Совинформбюро:</w:t>
      </w:r>
    </w:p>
    <w:p w14:paraId="03210448" w14:textId="77777777" w:rsidR="002123A2" w:rsidRPr="00640820" w:rsidRDefault="002123A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26 октября наши войска вели бои на Можайском, Малоярославецком, Харьковском и Таганрогском направлениях.</w:t>
      </w:r>
    </w:p>
    <w:p w14:paraId="24ADF84D" w14:textId="77777777" w:rsidR="002123A2" w:rsidRPr="00640820" w:rsidRDefault="002123A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разных участках Западного фронта немцы предприняли ряд ожесточённых атак на наши позиции. Все атаки немецко-фашистских войск были отбиты с большими потерями для врага.</w:t>
      </w:r>
    </w:p>
    <w:p w14:paraId="411B7A04" w14:textId="77777777" w:rsidR="002123A2" w:rsidRPr="00640820" w:rsidRDefault="002123A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После многодневных сражений, в ходе которых немецко-фашистские войска потеряли до 50 тысяч убитыми и ранеными, свыше 250 танков, более 170 орудий, около 1.200 автомашин с военными грузами, наши части оставили г. Сталино.</w:t>
      </w:r>
    </w:p>
    <w:p w14:paraId="5624C657" w14:textId="77777777" w:rsidR="002123A2" w:rsidRPr="00640820" w:rsidRDefault="002123A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25 октября, по неполным данным уничтожено 27 немецких самолётов. Наши потери — 17 самолётов.</w:t>
      </w:r>
    </w:p>
    <w:p w14:paraId="5BD9DE1B" w14:textId="77777777" w:rsidR="002123A2" w:rsidRPr="00640820" w:rsidRDefault="002123A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 наша часть, оперирующая на Западном фронте, отбила в течение 25 октября три яростные атаки немецко-фашистских войск. В конце дня бойцы части перешли в контратаку и нанесли противнику значительный урон. В результате боёв немцы потеряли 32 танка, 11 орудий разного калибра, 5 миномётных батарей и несколько десятков станковых и ручных пулемётов. На поле боя осталось свыше 900 убитых вражеских солдат и офицеров. Наша часть захватила богатые трофеи.</w:t>
      </w:r>
    </w:p>
    <w:p w14:paraId="502A9E3B" w14:textId="77777777" w:rsidR="002123A2" w:rsidRPr="00640820" w:rsidRDefault="002123A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Наша авиачасть, действующая на Западном фронте, уничтожила за 25 октября 37 немецких танков, 230 автомашин с военным грузам, перебила и частью рассеяла больше полка вражеской пехоты.</w:t>
      </w:r>
    </w:p>
    <w:p w14:paraId="0E0510E8" w14:textId="77777777" w:rsidR="002123A2" w:rsidRPr="00640820" w:rsidRDefault="002123A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Артиллеристы частей командира Куркина и комиссара Сорокина, действующие на Орловском направлении фронта, нанесли противнику большой урон. За один день артиллерийским огнём уничтожены командный пункт противника и переправа у села Кузнецово, подавлена миномётная батарея. Батарея старшего лейтенанта Левкина уничтожила 6 вражеских танков, один пикирующий бомбардировщик и рассеяла батальон фашистской пехоты. Батарея политрука Мошковцева уничтожила три немецких танка. Батарея старшего лейтенанта Чугунова разгромила фашистскую батарею и взорвала полевой склад боеприпасов.</w:t>
      </w:r>
    </w:p>
    <w:p w14:paraId="73665517" w14:textId="77777777" w:rsidR="002123A2" w:rsidRPr="00640820" w:rsidRDefault="002123A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Успешно истребляют фашистских захватчиков партизаны Винницкой области. Командир партизанского отряда директор МТС тов. А. сообщает:</w:t>
      </w:r>
    </w:p>
    <w:p w14:paraId="37DB5821" w14:textId="77777777" w:rsidR="002123A2" w:rsidRPr="00640820" w:rsidRDefault="002123A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октября. Совершили ночной налёт на деревню 3., где остановились на ночлег двадцать немецких бандитов. Ни один из них не ушёл от партизанского штыка.</w:t>
      </w:r>
    </w:p>
    <w:p w14:paraId="74D0BEBB" w14:textId="77777777" w:rsidR="002123A2" w:rsidRPr="00640820" w:rsidRDefault="002123A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октября. Минировали переезд через полотно железной дороги. Произошло крушение состава с немецкими солдатами. Три вагона оказались разбитыми в щепы. Уничтожено не меньше 70 фашистов.</w:t>
      </w:r>
    </w:p>
    <w:p w14:paraId="0731F67C" w14:textId="77777777" w:rsidR="002123A2" w:rsidRPr="00640820" w:rsidRDefault="002123A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октября. Два бойца отряда, находясь в засаде, обстреляли немецкую легковую машину и уничтожили трёх офицеров и шофёра. Машина в исправности доставлена в штаб отряда вместе с офицерским оружием.</w:t>
      </w:r>
    </w:p>
    <w:p w14:paraId="22C9B1EA" w14:textId="77777777" w:rsidR="002123A2" w:rsidRPr="00640820" w:rsidRDefault="002123A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октября. Жители одной деревни сообщили, что назначенный немцами старостой кулак Иванченко грабит крестьян, забрал себе лучшую землю и заставляет колхозников работать на него. Ночью Иванченко был расстрелян, как предатель и враг трудового народа.</w:t>
      </w:r>
    </w:p>
    <w:p w14:paraId="2EBB20B2" w14:textId="77777777" w:rsidR="002123A2" w:rsidRPr="00640820" w:rsidRDefault="002123A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октября. Сегодня сожгли продовольственный склад немецкой армии. Фашисты хотели было преследовать отряд, но дальше леса не пошли. Убито 13 немецких солдат.</w:t>
      </w:r>
    </w:p>
    <w:p w14:paraId="5BE21977" w14:textId="77777777" w:rsidR="002123A2" w:rsidRPr="00640820" w:rsidRDefault="002123A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октября. Напали на немецкий карательный отряд. Перестрелка продолжалась около часа. Уничтожили 15 солдат и одного офицера. Захватили две грузовые машины и одну легковую, ручной пулемёт, три автомата, восемь винтовок и два пистолета».</w:t>
      </w:r>
    </w:p>
    <w:p w14:paraId="0BF7CB0B" w14:textId="77777777" w:rsidR="002123A2" w:rsidRPr="00640820" w:rsidRDefault="002123A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предприятиях, в колхозах и совхозах нашей страны с каждым днём расширяется предоктябрьское соревнование на лучшее выполнение заданий фронта. Напряжённый военный график ленинградского Энского машиностроительного завода ежедневно опережается. За 24 часа расточник тов. Новиков выдал почти 5-дневную норму высококачественных изделий. Каждую смену токарь Полубояринов выполняет 4-дневную норму. В свой выходной день карусельщик Беляев снял с одного станка столько деталей, сколько обычно снимается с 3 станков. Токарь Москалёв и его сменщик Кудрявцев дают за смену 20 деталей вместо 7 по норме. Вдвое перекрывает норму молодой токарь Орлов. Токарь Брусникин, увеличив вдвое скорость резания, выполняет задание на 400 процентов. Сейчас его метод распространяется на весь участок.</w:t>
      </w:r>
    </w:p>
    <w:p w14:paraId="3C350C2F" w14:textId="77777777" w:rsidR="002123A2" w:rsidRPr="00640820" w:rsidRDefault="002123A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Изобретатели и рационализаторы Кузнецкого металлургического завода решили ознаменовать ХХIV годовщину Октября сбором рационализаторских предложений в фонд обороны страны. 24 рационализаторских предложения уже внедрены в производство и дают свыше 750 тыс. рублей экономии. Только с 15 по 20 октября в фонд обороны поступило свыше 100 предложений. Около 50 тыс. рублей экономии даёт предложение тт. Чистова, Шимяка и Андреева. Всю причитающуюся им премию рационализаторы передали в фонд обороны.</w:t>
      </w:r>
    </w:p>
    <w:p w14:paraId="5A2140D6" w14:textId="77777777" w:rsidR="002123A2" w:rsidRPr="00640820" w:rsidRDefault="002123A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Коллектив металлургического завода имени Фрунзе (Киргизская ССР) досрочно выполнил годовой план выплавки металла. В предоктябрьском соревновании первое место заняла бригада сменного мастера Юлдашева. Металлурги обязались до конца года перевыполнить план не менее чем на 34 процента.» (14811).</w:t>
      </w:r>
    </w:p>
    <w:p w14:paraId="48C142CF" w14:textId="77777777" w:rsidR="002123A2" w:rsidRPr="00640820" w:rsidRDefault="002123A2" w:rsidP="00640820">
      <w:pPr>
        <w:spacing w:after="0" w:line="240" w:lineRule="auto"/>
        <w:jc w:val="both"/>
        <w:rPr>
          <w:rFonts w:ascii="Times New Roman" w:hAnsi="Times New Roman"/>
          <w:color w:val="000000" w:themeColor="text1"/>
          <w:sz w:val="16"/>
          <w:szCs w:val="16"/>
        </w:rPr>
      </w:pPr>
    </w:p>
    <w:p w14:paraId="392CDCB6" w14:textId="77777777" w:rsidR="002123A2" w:rsidRPr="00640820" w:rsidRDefault="002123A2"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26 октября </w:t>
      </w:r>
      <w:r w:rsidRPr="00640820">
        <w:rPr>
          <w:rFonts w:ascii="Times New Roman" w:hAnsi="Times New Roman"/>
          <w:color w:val="000000" w:themeColor="text1"/>
          <w:sz w:val="16"/>
          <w:szCs w:val="16"/>
        </w:rPr>
        <w:t>в 1941 году войска 5-й армии Западного фронта остановили наступление противника на рубеже западнее и юго-западнее Кубинки (14811).</w:t>
      </w:r>
    </w:p>
    <w:p w14:paraId="091BFFF9" w14:textId="77777777" w:rsidR="002123A2" w:rsidRPr="00640820" w:rsidRDefault="002123A2" w:rsidP="00640820">
      <w:pPr>
        <w:spacing w:after="0" w:line="240" w:lineRule="auto"/>
        <w:jc w:val="both"/>
        <w:rPr>
          <w:rFonts w:ascii="Times New Roman" w:hAnsi="Times New Roman"/>
          <w:color w:val="000000" w:themeColor="text1"/>
          <w:sz w:val="16"/>
          <w:szCs w:val="16"/>
        </w:rPr>
      </w:pPr>
    </w:p>
    <w:p w14:paraId="12379C5F" w14:textId="77777777" w:rsidR="002123A2" w:rsidRPr="00640820" w:rsidRDefault="002123A2"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26 октября </w:t>
      </w:r>
      <w:r w:rsidRPr="00640820">
        <w:rPr>
          <w:rFonts w:ascii="Times New Roman" w:hAnsi="Times New Roman"/>
          <w:color w:val="000000" w:themeColor="text1"/>
          <w:sz w:val="16"/>
          <w:szCs w:val="16"/>
        </w:rPr>
        <w:t>в 1941 году (26 октября – 2 декабря) с военно-морской базы Ханко эвакуировано в Ленинград свыше 22 тысяч человек с вооружением, техникой и продовольствием. 160-дневная оборона Ханко воспрепятствовала прорыву немецкого флота в Финский залив, сковала часть финской армии, снизив ее активность на северных подступах к Ленинграду (14811).</w:t>
      </w:r>
    </w:p>
    <w:p w14:paraId="7A76A2BA" w14:textId="77777777" w:rsidR="002123A2" w:rsidRPr="00640820" w:rsidRDefault="002123A2" w:rsidP="00640820">
      <w:pPr>
        <w:spacing w:after="0" w:line="240" w:lineRule="auto"/>
        <w:jc w:val="both"/>
        <w:rPr>
          <w:rFonts w:ascii="Times New Roman" w:hAnsi="Times New Roman"/>
          <w:color w:val="000000" w:themeColor="text1"/>
          <w:sz w:val="16"/>
          <w:szCs w:val="16"/>
        </w:rPr>
      </w:pPr>
    </w:p>
    <w:p w14:paraId="344DBE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октября 1941 коман</w:t>
      </w:r>
      <w:r w:rsidRPr="00640820">
        <w:rPr>
          <w:rFonts w:ascii="Times New Roman" w:hAnsi="Times New Roman"/>
          <w:color w:val="000000" w:themeColor="text1"/>
          <w:sz w:val="16"/>
          <w:szCs w:val="16"/>
        </w:rPr>
        <w:softHyphen/>
        <w:t xml:space="preserve">диру 237-го </w:t>
      </w:r>
      <w:r w:rsidRPr="00640820">
        <w:rPr>
          <w:rFonts w:ascii="Times New Roman" w:hAnsi="Times New Roman"/>
          <w:iCs/>
          <w:color w:val="000000" w:themeColor="text1"/>
          <w:sz w:val="16"/>
          <w:szCs w:val="16"/>
        </w:rPr>
        <w:t>шап</w:t>
      </w:r>
      <w:r w:rsidRPr="00640820">
        <w:rPr>
          <w:rFonts w:ascii="Times New Roman" w:hAnsi="Times New Roman"/>
          <w:color w:val="000000" w:themeColor="text1"/>
          <w:sz w:val="16"/>
          <w:szCs w:val="16"/>
        </w:rPr>
        <w:t xml:space="preserve"> м-ру А.А.Ложечникову была поставлена задача нанести удар по танкам и бронемашинам на дороге Черышня-Тарутино. В задании особо указывалось, что над целью необходимо быть ровно в 7.30 при любых метеоусловиях. Предполагалось, что к этому вре</w:t>
      </w:r>
      <w:r w:rsidRPr="00640820">
        <w:rPr>
          <w:rFonts w:ascii="Times New Roman" w:hAnsi="Times New Roman"/>
          <w:color w:val="000000" w:themeColor="text1"/>
          <w:sz w:val="16"/>
          <w:szCs w:val="16"/>
        </w:rPr>
        <w:softHyphen/>
        <w:t>мени наземные войска перейдут в на</w:t>
      </w:r>
      <w:r w:rsidRPr="00640820">
        <w:rPr>
          <w:rFonts w:ascii="Times New Roman" w:hAnsi="Times New Roman"/>
          <w:color w:val="000000" w:themeColor="text1"/>
          <w:sz w:val="16"/>
          <w:szCs w:val="16"/>
        </w:rPr>
        <w:softHyphen/>
        <w:t>ступление и обеспечат окончательный разгром колонны противника. Ввиду сложных метеусловий (высота облачно</w:t>
      </w:r>
      <w:r w:rsidRPr="00640820">
        <w:rPr>
          <w:rFonts w:ascii="Times New Roman" w:hAnsi="Times New Roman"/>
          <w:color w:val="000000" w:themeColor="text1"/>
          <w:sz w:val="16"/>
          <w:szCs w:val="16"/>
        </w:rPr>
        <w:softHyphen/>
        <w:t>сти - 15-20 м, видимость - 400 м), Ложеч</w:t>
      </w:r>
      <w:r w:rsidRPr="00640820">
        <w:rPr>
          <w:rFonts w:ascii="Times New Roman" w:hAnsi="Times New Roman"/>
          <w:color w:val="000000" w:themeColor="text1"/>
          <w:sz w:val="16"/>
          <w:szCs w:val="16"/>
        </w:rPr>
        <w:softHyphen/>
        <w:t>ников принял решение для выполнения боевого задания выделить только одно наиболее подготовленное звено л-та А.Н.Петрова. Первый разворот после взлета летчики звена Петрова выполни</w:t>
      </w:r>
      <w:r w:rsidRPr="00640820">
        <w:rPr>
          <w:rFonts w:ascii="Times New Roman" w:hAnsi="Times New Roman"/>
          <w:color w:val="000000" w:themeColor="text1"/>
          <w:sz w:val="16"/>
          <w:szCs w:val="16"/>
        </w:rPr>
        <w:softHyphen/>
        <w:t>ли на высоте 20 м. Самолеты сразу же скрылись в облаках и пилоты потеряли друг друга. Петров принял решение пре</w:t>
      </w:r>
      <w:r w:rsidRPr="00640820">
        <w:rPr>
          <w:rFonts w:ascii="Times New Roman" w:hAnsi="Times New Roman"/>
          <w:color w:val="000000" w:themeColor="text1"/>
          <w:sz w:val="16"/>
          <w:szCs w:val="16"/>
        </w:rPr>
        <w:softHyphen/>
        <w:t>кратить полет. Следом за ним с боль</w:t>
      </w:r>
      <w:r w:rsidRPr="00640820">
        <w:rPr>
          <w:rFonts w:ascii="Times New Roman" w:hAnsi="Times New Roman"/>
          <w:color w:val="000000" w:themeColor="text1"/>
          <w:sz w:val="16"/>
          <w:szCs w:val="16"/>
        </w:rPr>
        <w:softHyphen/>
        <w:t>шим трудом сел л-т Косоруков. Второй ведомый мл.л-т Г.М.Симаков получил приказ выполнять боевое задание од</w:t>
      </w:r>
      <w:r w:rsidRPr="00640820">
        <w:rPr>
          <w:rFonts w:ascii="Times New Roman" w:hAnsi="Times New Roman"/>
          <w:color w:val="000000" w:themeColor="text1"/>
          <w:sz w:val="16"/>
          <w:szCs w:val="16"/>
        </w:rPr>
        <w:softHyphen/>
        <w:t>ному. Пробившись к цели, Симаков уди</w:t>
      </w:r>
      <w:r w:rsidRPr="00640820">
        <w:rPr>
          <w:rFonts w:ascii="Times New Roman" w:hAnsi="Times New Roman"/>
          <w:color w:val="000000" w:themeColor="text1"/>
          <w:sz w:val="16"/>
          <w:szCs w:val="16"/>
        </w:rPr>
        <w:softHyphen/>
        <w:t>вительно точно (с высоты 15м) накрыл бомбами и РСами цель, чем обеспечил успех удара наземных войск. Вернуться на свой аэродром Симаков уже не смог и сел на аэродром соседей (6467).</w:t>
      </w:r>
    </w:p>
    <w:p w14:paraId="25A309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AB721C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октября 1941 на фронте погиб русский детский писатель, военкор “Комсомольской правды” Аркадий Гайдар (4962).</w:t>
      </w:r>
    </w:p>
    <w:p w14:paraId="5E982A7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A1AF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октября 1941 погиб А.Гайдар (1904) (3263,605).</w:t>
      </w:r>
    </w:p>
    <w:p w14:paraId="6BE541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5174121"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782A709E"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F2F51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октября 1941 вышло Распоряжение ГКО № 840 О мобилизации 80 гусеничных тракторов из Москвы и Московской обл. для нужд ЗФ. РГАНИР, Фонд ГКО, д. 13, лл. 60 (11012).</w:t>
      </w:r>
    </w:p>
    <w:p w14:paraId="254C64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EA93C9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октября 1941 вышло Распоряжение ГКО № 842 [О передаче Северному морскому пароходству 5 тыс. т угля из 20 тыс. т ГУГМР, хранящихся на Кировской ж.д.] (7014, 75).</w:t>
      </w:r>
    </w:p>
    <w:p w14:paraId="3D8581E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D680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октября 1941 вышло Постановление ГКО № 843 О плане перевозки хлебных грузов, подлежащих эвакуации из районов Северного Кавказа, Воронежской, Курской, Орловской, Тульской, Рязанской и Московской обл. РГАНИР, Фонд ГКО, д. 13, лл. 76, 77-79 (11012).</w:t>
      </w:r>
    </w:p>
    <w:p w14:paraId="50FA23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7356281"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4610BD3D"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B38A6DA" w14:textId="77777777" w:rsidR="00911435" w:rsidRPr="00640820" w:rsidRDefault="00911435" w:rsidP="00640820">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27 октября 1941 Ил-2 М-82 попал в аварию на Центральном аэродроме г. Москвы. В результате столкновения с рулившим МиГ-3 на самолете была разрушена хвостовая часть фюзеляжа. Самолет встал в ремонт (19111).</w:t>
      </w:r>
    </w:p>
    <w:p w14:paraId="1765BCEF" w14:textId="77777777" w:rsidR="00911435" w:rsidRPr="00640820" w:rsidRDefault="00911435" w:rsidP="00640820">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4ADFFE84" w14:textId="77777777" w:rsidR="002535FA" w:rsidRPr="00640820" w:rsidRDefault="002535FA" w:rsidP="00640820">
      <w:pPr>
        <w:pStyle w:val="96"/>
        <w:shd w:val="clear" w:color="auto" w:fill="auto"/>
        <w:spacing w:before="0" w:line="240" w:lineRule="auto"/>
        <w:rPr>
          <w:rStyle w:val="16"/>
          <w:rFonts w:ascii="Times New Roman" w:hAnsi="Times New Roman" w:cs="Times New Roman"/>
          <w:color w:val="0070C0"/>
          <w:spacing w:val="0"/>
          <w:w w:val="100"/>
          <w:u w:val="none"/>
        </w:rPr>
      </w:pPr>
      <w:r w:rsidRPr="00640820">
        <w:rPr>
          <w:rStyle w:val="16"/>
          <w:rFonts w:ascii="Times New Roman" w:hAnsi="Times New Roman" w:cs="Times New Roman"/>
          <w:color w:val="0070C0"/>
          <w:spacing w:val="0"/>
          <w:w w:val="100"/>
          <w:u w:val="none"/>
        </w:rPr>
        <w:t xml:space="preserve">27 октября </w:t>
      </w:r>
      <w:r w:rsidRPr="00640820">
        <w:rPr>
          <w:rStyle w:val="16"/>
          <w:rFonts w:ascii="Times New Roman" w:hAnsi="Times New Roman" w:cs="Times New Roman"/>
          <w:color w:val="0070C0"/>
          <w:spacing w:val="0"/>
          <w:w w:val="100"/>
          <w:u w:val="none"/>
          <w:lang w:val="ru-RU"/>
        </w:rPr>
        <w:t xml:space="preserve">1941 </w:t>
      </w:r>
      <w:r w:rsidRPr="00640820">
        <w:rPr>
          <w:rStyle w:val="16"/>
          <w:rFonts w:ascii="Times New Roman" w:hAnsi="Times New Roman" w:cs="Times New Roman"/>
          <w:color w:val="0070C0"/>
          <w:spacing w:val="0"/>
          <w:w w:val="100"/>
          <w:u w:val="none"/>
        </w:rPr>
        <w:t>самолет Ил-2 с М-82</w:t>
      </w:r>
      <w:r w:rsidRPr="00640820">
        <w:rPr>
          <w:rStyle w:val="16"/>
          <w:rFonts w:ascii="Times New Roman" w:hAnsi="Times New Roman" w:cs="Times New Roman"/>
          <w:color w:val="0070C0"/>
          <w:spacing w:val="0"/>
          <w:w w:val="100"/>
          <w:u w:val="none"/>
          <w:lang w:val="ru-RU"/>
        </w:rPr>
        <w:t xml:space="preserve"> </w:t>
      </w:r>
      <w:r w:rsidRPr="00640820">
        <w:rPr>
          <w:rStyle w:val="16"/>
          <w:rFonts w:ascii="Times New Roman" w:hAnsi="Times New Roman" w:cs="Times New Roman"/>
          <w:color w:val="0070C0"/>
          <w:spacing w:val="0"/>
          <w:w w:val="100"/>
          <w:u w:val="none"/>
        </w:rPr>
        <w:t>попал в аварию на Центральном аэродроме г. Москвы: в результате столкновения с ру</w:t>
      </w:r>
      <w:r w:rsidRPr="00640820">
        <w:rPr>
          <w:rStyle w:val="16"/>
          <w:rFonts w:ascii="Times New Roman" w:hAnsi="Times New Roman" w:cs="Times New Roman"/>
          <w:color w:val="0070C0"/>
          <w:spacing w:val="0"/>
          <w:w w:val="100"/>
          <w:u w:val="none"/>
        </w:rPr>
        <w:softHyphen/>
        <w:t>лившим МиГ-3 на нем разрушилась хвостовая часть фюзеляжа</w:t>
      </w:r>
      <w:r w:rsidRPr="00640820">
        <w:rPr>
          <w:rStyle w:val="16"/>
          <w:rFonts w:ascii="Times New Roman" w:hAnsi="Times New Roman" w:cs="Times New Roman"/>
          <w:color w:val="0070C0"/>
          <w:spacing w:val="0"/>
          <w:w w:val="100"/>
          <w:u w:val="none"/>
          <w:lang w:val="ru-RU"/>
        </w:rPr>
        <w:t xml:space="preserve"> (19877)</w:t>
      </w:r>
      <w:r w:rsidRPr="00640820">
        <w:rPr>
          <w:rStyle w:val="16"/>
          <w:rFonts w:ascii="Times New Roman" w:hAnsi="Times New Roman" w:cs="Times New Roman"/>
          <w:color w:val="0070C0"/>
          <w:spacing w:val="0"/>
          <w:w w:val="100"/>
          <w:u w:val="none"/>
        </w:rPr>
        <w:t>.</w:t>
      </w:r>
    </w:p>
    <w:p w14:paraId="0E33E3D3" w14:textId="77777777" w:rsidR="002535FA" w:rsidRPr="00640820" w:rsidRDefault="002535FA" w:rsidP="00640820">
      <w:pPr>
        <w:pStyle w:val="96"/>
        <w:shd w:val="clear" w:color="auto" w:fill="auto"/>
        <w:spacing w:before="0" w:line="240" w:lineRule="auto"/>
        <w:rPr>
          <w:rFonts w:ascii="Times New Roman" w:hAnsi="Times New Roman" w:cs="Times New Roman"/>
          <w:color w:val="0070C0"/>
          <w:w w:val="100"/>
          <w:sz w:val="16"/>
          <w:szCs w:val="16"/>
        </w:rPr>
      </w:pPr>
    </w:p>
    <w:p w14:paraId="350DD8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октября 1941 года на оставшихся после эвакуации завода площадях завода 134, на основании распоряжений НКАП были организованы фронтовые мастерские по ремонту радиаторов, являвшиеся филиалом эвакуированного завода № 34. Первая партия радиаторов поступила для ремонта в мастерские 2 ноября 1941 года (9433).</w:t>
      </w:r>
    </w:p>
    <w:p w14:paraId="6F27DE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783F6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октября 1941 г. по пр. № 325с «в связи с окончанием эвакуации большей части оборудования» завод № 619 был переименован в ГС завод № 327 (Опытный Завод № 327 НКАП, НКЭС, НКЭП / г. Ленинград;  г. Красноярск/).</w:t>
      </w:r>
    </w:p>
    <w:p w14:paraId="4CA60A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 НКЭП № 325с от 27.10.1941 г. на базе части оборудования завода № 327, оставшейся после эвакуации в Ленинграде, организован новый завод № 619.</w:t>
      </w:r>
    </w:p>
    <w:p w14:paraId="18E4B6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(1939-42 г.)- Д.Н. Румянцев.</w:t>
      </w:r>
    </w:p>
    <w:p w14:paraId="1945F0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производства- А.П. Блеснин.</w:t>
      </w:r>
    </w:p>
    <w:p w14:paraId="2B2650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цеха (ВОВ)-  Г.М. Фельдман.</w:t>
      </w:r>
    </w:p>
    <w:p w14:paraId="77D91E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лабораторий: Н.А. Гуревич (РД-6).</w:t>
      </w:r>
    </w:p>
    <w:p w14:paraId="5F645A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Начальники групп (1939-42 г.)- А.А. Пистолькорс.</w:t>
      </w:r>
    </w:p>
    <w:p w14:paraId="27F993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Создано:</w:t>
      </w:r>
      <w:r w:rsidRPr="00640820">
        <w:rPr>
          <w:rFonts w:ascii="Times New Roman" w:hAnsi="Times New Roman"/>
          <w:color w:val="000000" w:themeColor="text1"/>
          <w:sz w:val="16"/>
          <w:szCs w:val="16"/>
        </w:rPr>
        <w:t xml:space="preserve"> армейская радиостанция РД-6 (1941).</w:t>
      </w:r>
      <w:r w:rsidRPr="00640820">
        <w:rPr>
          <w:rFonts w:ascii="Times New Roman" w:hAnsi="Times New Roman"/>
          <w:color w:val="000000" w:themeColor="text1"/>
          <w:sz w:val="16"/>
          <w:szCs w:val="16"/>
          <w:vertAlign w:val="superscript"/>
        </w:rPr>
        <w:t>130</w:t>
      </w:r>
    </w:p>
    <w:p w14:paraId="2CAAA6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Филиал завода № 327, п/я 1, Красноярский радиотехнический завод МРТП, МПСС, ПО «Радиотехнический завод» МПСС, Р-6213, ФГУП «НПП «Радиосвязь» /660006 (660021)  г. Красноярск ул. Декабристов, 19 тел. 21-22-78, -79-30/</w:t>
      </w:r>
    </w:p>
    <w:p w14:paraId="29D4C4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08.1941 г. часть оборудования завода № 327 эвакуирована в Красноярск в помещения Лесотехнического и Педагогического институтов, 15.08.1941 г. эшелон прибыл в Красноярск. 16.08.1941 г. был издан первый приказ по заводу, этот день стал днем образования филиала завода № 327. Уже 7.11.1941 г. начат выпуск продукции- самолетных переговорных устройств, приемопередающих радиостанций, пакетных гониометрических маяков, профессиональных приемников, ДВ, СВ и </w:t>
      </w:r>
      <w:r w:rsidRPr="00640820">
        <w:rPr>
          <w:rFonts w:ascii="Times New Roman" w:hAnsi="Times New Roman"/>
          <w:color w:val="000000" w:themeColor="text1"/>
          <w:sz w:val="16"/>
          <w:szCs w:val="16"/>
          <w:lang w:val="en-US"/>
        </w:rPr>
        <w:t>KB</w:t>
      </w:r>
      <w:r w:rsidRPr="00640820">
        <w:rPr>
          <w:rFonts w:ascii="Times New Roman" w:hAnsi="Times New Roman"/>
          <w:color w:val="000000" w:themeColor="text1"/>
          <w:sz w:val="16"/>
          <w:szCs w:val="16"/>
        </w:rPr>
        <w:t xml:space="preserve"> диапазона, аппаратуры для приема на слух азбуки Морзе. Затем освоена комплексная самолетно-наземная радионавигационная аппаратура.</w:t>
      </w:r>
    </w:p>
    <w:p w14:paraId="627A8A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большое количество специалистов под руководством  Г.М. Фельдмана вернулось в Ленинград для организации нового института радионавигации (НИИ-33). С производства сняты выпускавшиеся изделия, и начат выпуск стационарных средневолновых маяков, радиовещательных УКВ-ЧМ радиопередатчиков.</w:t>
      </w:r>
    </w:p>
    <w:p w14:paraId="121289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12.1949 г. на заводе образовано ОКБ.</w:t>
      </w:r>
    </w:p>
    <w:p w14:paraId="6C38A2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решению СМ СССР от 22.12.1959 г. заводу поручено производство аппаратуры бортового и наземного комплекса радиоуправления БР наземного и морского базирования. Проведена реконструкция предприятия, построены новые производственные мощности, принято большое количество специалистов.</w:t>
      </w:r>
    </w:p>
    <w:p w14:paraId="53C628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1959 г. на заводе образовано СКБ.</w:t>
      </w:r>
    </w:p>
    <w:p w14:paraId="741C26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1960-х  г.- производство тропосферных станций, мобильных станций спутниковой связи военного назначения.</w:t>
      </w:r>
    </w:p>
    <w:p w14:paraId="770084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1970-80-е  г. освоена новая производственная площадка «Бугач», куда переведены заготовительные цеха и вспомогательное производство.</w:t>
      </w:r>
    </w:p>
    <w:p w14:paraId="69DAD9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1959 г.- в ведении МРТП. Имел наименования «п/я 1» (1962 г.), «п/я Р-6213». ПО «Радиотехнический завод» создано в начале 1980-х  г. в ведении МПСС. Затем Красноярский радиотехнический завод объединен с Красноярским НИИ радиосвязи в НПП «Радиосвязь». По Указу Президента РФ № 1009 от 4.08.2004 г. вошло в число стратегических оборонных предприятий.</w:t>
      </w:r>
    </w:p>
    <w:p w14:paraId="0BD913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Ведущее предприятие страны (2003 г.) по созданию станций спутниковой и тропосферной радиосвязи.</w:t>
      </w:r>
    </w:p>
    <w:p w14:paraId="21CDD3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10.2009 г. ФГУП «НПП «Радиосвязь» вошло в консорциум производителей оборудования для цифрового телевещания (вместе с ОАО «Красноярский машиностроительный завод»).</w:t>
      </w:r>
    </w:p>
    <w:p w14:paraId="7027FF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(1941 г.-)- А.П. Блеснин, (1953-73 г.)- В.П. Кабанов, Л.А. Красов. Гендиректор (-2003-05 г.-&gt;  Г.М. Рагзин.</w:t>
      </w:r>
    </w:p>
    <w:p w14:paraId="496FC2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по коммерческой деятельности- В.П. Кабанов. Технический директор (2003 г.)- В. Югай.</w:t>
      </w:r>
    </w:p>
    <w:p w14:paraId="5F81C3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(1941-44 г.)- М.А. Спицын; и.о. (ВОВ)- И.М. Векслин.</w:t>
      </w:r>
    </w:p>
    <w:p w14:paraId="10438B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конструкторы: (ВОВ)- И.М. Векслин.</w:t>
      </w:r>
    </w:p>
    <w:p w14:paraId="0A4FE4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конструктора (2003 г.)- В. Николаенко.</w:t>
      </w:r>
    </w:p>
    <w:p w14:paraId="360A1D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технолог- Н.М. Овчинников.</w:t>
      </w:r>
    </w:p>
    <w:p w14:paraId="3D1B00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начальника цеха: (-1966 г.)- Л.П. Башмаков.</w:t>
      </w:r>
    </w:p>
    <w:p w14:paraId="4FF048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планового- В.П. Кабанов.</w:t>
      </w:r>
    </w:p>
    <w:p w14:paraId="5014BA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лабораторий: (ВОВ)- И.М. Векслин.</w:t>
      </w:r>
    </w:p>
    <w:p w14:paraId="4653F7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Создано:</w:t>
      </w:r>
      <w:r w:rsidRPr="00640820">
        <w:rPr>
          <w:rFonts w:ascii="Times New Roman" w:hAnsi="Times New Roman"/>
          <w:color w:val="000000" w:themeColor="text1"/>
          <w:sz w:val="16"/>
          <w:szCs w:val="16"/>
        </w:rPr>
        <w:t xml:space="preserve"> аппаратура «Хорда», «Сектор», «Квадрат» (ВОВ); тропосферная станция Р-423-АМК (2003);</w:t>
      </w:r>
      <w:r w:rsidRPr="00640820">
        <w:rPr>
          <w:rFonts w:ascii="Times New Roman" w:hAnsi="Times New Roman"/>
          <w:color w:val="000000" w:themeColor="text1"/>
          <w:sz w:val="16"/>
          <w:szCs w:val="16"/>
          <w:vertAlign w:val="superscript"/>
        </w:rPr>
        <w:t xml:space="preserve">24 </w:t>
      </w:r>
      <w:r w:rsidRPr="00640820">
        <w:rPr>
          <w:rFonts w:ascii="Times New Roman" w:hAnsi="Times New Roman"/>
          <w:color w:val="000000" w:themeColor="text1"/>
          <w:sz w:val="16"/>
          <w:szCs w:val="16"/>
        </w:rPr>
        <w:t>малогабаритные навигационные комплексы типа МРК для приема информации систем ГЛОНАСС/</w:t>
      </w:r>
      <w:r w:rsidRPr="00640820">
        <w:rPr>
          <w:rFonts w:ascii="Times New Roman" w:hAnsi="Times New Roman"/>
          <w:color w:val="000000" w:themeColor="text1"/>
          <w:sz w:val="16"/>
          <w:szCs w:val="16"/>
          <w:lang w:val="en-US"/>
        </w:rPr>
        <w:t>GPS</w:t>
      </w:r>
      <w:r w:rsidRPr="00640820">
        <w:rPr>
          <w:rFonts w:ascii="Times New Roman" w:hAnsi="Times New Roman"/>
          <w:color w:val="000000" w:themeColor="text1"/>
          <w:sz w:val="16"/>
          <w:szCs w:val="16"/>
        </w:rPr>
        <w:t xml:space="preserve"> (1998-).</w:t>
      </w:r>
    </w:p>
    <w:p w14:paraId="1E3F6F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радиомаяки: «Колба» (ВОВ), стационарные СВ «Ива», «Акация» (1948-); аппаратура «СПУ- М», «Шар» (ВОВ); аэродромные приводные радиостанции ПАР-7, ПАР-8 (1950-е); аппаратура радиоуправления БР: БЦВК с приборами С1200, С1089, С1090 (1960-е), приборы С3012, С3079, С3092, С3014, С3087; изд. «Дождь- 3», «Дождь-4» для БРПЛ (1961-), «Дождь-5» (1965-); станции тропосферной связи РИЗ, Р412 (1965-); станции спутниковой связи Б40, Б41, Б51 (1970-е), Р441-Л (2001-), Р439-П (1999-);</w:t>
      </w:r>
      <w:r w:rsidRPr="00640820">
        <w:rPr>
          <w:rFonts w:ascii="Times New Roman" w:hAnsi="Times New Roman"/>
          <w:color w:val="000000" w:themeColor="text1"/>
          <w:sz w:val="16"/>
          <w:szCs w:val="16"/>
          <w:vertAlign w:val="superscript"/>
        </w:rPr>
        <w:t>101</w:t>
      </w:r>
      <w:r w:rsidRPr="00640820">
        <w:rPr>
          <w:rFonts w:ascii="Times New Roman" w:hAnsi="Times New Roman"/>
          <w:color w:val="000000" w:themeColor="text1"/>
          <w:sz w:val="16"/>
          <w:szCs w:val="16"/>
        </w:rPr>
        <w:t xml:space="preserve"> антенны «Саяны» АТН-5.5, АТП-6.6, «Атиг(в)-7.1.1», ПСКД-5-1; цветомузыкальное устройство «Сполох-3».</w:t>
      </w:r>
    </w:p>
    <w:p w14:paraId="029E3F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Особое КБ (ОКБ) завода, Специальное КБ (СКБ) завода</w:t>
      </w:r>
    </w:p>
    <w:p w14:paraId="0BFECE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завода образовано в 12.1949 г. для разработки новых образцов радионавигационной техники, (вероятно, далее это- ПО «Искра»)</w:t>
      </w:r>
    </w:p>
    <w:p w14:paraId="49565C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СКБ завода вновь создано в 1959 г. Работы по трем направлениям: разработка аппаратуры средств связи; радионавигационных систем; освоение и сопровождение серийного производства изделий.</w:t>
      </w:r>
    </w:p>
    <w:p w14:paraId="1124C7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Совместно с КБПМ разработан спутник связи «Стрела» (1964 г.). В 1986 г. начата разработка семейства многоканальных станций спутниковой связи с автоматизированной системой управления.</w:t>
      </w:r>
    </w:p>
    <w:p w14:paraId="4AF761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1966 г. на базе СКБ Образовано самостоятельное КБ по созданию новых космических средств связи. Далее КБ стало головной организацией по разработке многоцелевых систем тропосферной и спутниковой связи.</w:t>
      </w:r>
    </w:p>
    <w:p w14:paraId="0F758C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(1949 г.-)- Н.К. Довченко, (1966 г.-)- В.  Г. Тараненко.</w:t>
      </w:r>
    </w:p>
    <w:p w14:paraId="2BAA79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(1964 г.)- В. Г. Тараненко.</w:t>
      </w:r>
      <w:r w:rsidRPr="00640820">
        <w:rPr>
          <w:rFonts w:ascii="Times New Roman" w:hAnsi="Times New Roman"/>
          <w:color w:val="000000" w:themeColor="text1"/>
          <w:sz w:val="16"/>
          <w:szCs w:val="16"/>
          <w:vertAlign w:val="superscript"/>
        </w:rPr>
        <w:t>77</w:t>
      </w:r>
    </w:p>
    <w:p w14:paraId="45FB04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Создано:</w:t>
      </w:r>
      <w:r w:rsidRPr="00640820">
        <w:rPr>
          <w:rFonts w:ascii="Times New Roman" w:hAnsi="Times New Roman"/>
          <w:color w:val="000000" w:themeColor="text1"/>
          <w:sz w:val="16"/>
          <w:szCs w:val="16"/>
        </w:rPr>
        <w:t xml:space="preserve"> станции тропосферной связи РИЗ, Р412; станции спутниковой связи: мобильные Р440 для ЕССС-1 (1972-74), Р441 (1986), Р439 (совместно с Воронежским НИИ связи), Р793, малогабаритная мобильная Р441-Л (1995-2001), Р439-МД для ЕССС-2 (1998-).</w:t>
      </w:r>
      <w:r w:rsidRPr="00640820">
        <w:rPr>
          <w:rFonts w:ascii="Times New Roman" w:hAnsi="Times New Roman"/>
          <w:color w:val="000000" w:themeColor="text1"/>
          <w:sz w:val="16"/>
          <w:szCs w:val="16"/>
          <w:vertAlign w:val="superscript"/>
        </w:rPr>
        <w:t>101</w:t>
      </w:r>
      <w:r w:rsidRPr="00640820">
        <w:rPr>
          <w:rFonts w:ascii="Times New Roman" w:hAnsi="Times New Roman"/>
          <w:color w:val="000000" w:themeColor="text1"/>
          <w:sz w:val="16"/>
          <w:szCs w:val="16"/>
        </w:rPr>
        <w:t xml:space="preserve"> .</w:t>
      </w:r>
    </w:p>
    <w:p w14:paraId="49DF61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Красноярское КБ «Искра», М-2584</w:t>
      </w:r>
    </w:p>
    <w:p w14:paraId="1999DF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Красноярское КБ «Искра» имело наименование «п/я М-2584», (вероятно, это бывшее ОКБ Красноярского радиотехнического завода).</w:t>
      </w:r>
    </w:p>
    <w:p w14:paraId="3F118E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Создано:</w:t>
      </w:r>
      <w:r w:rsidRPr="00640820">
        <w:rPr>
          <w:rFonts w:ascii="Times New Roman" w:hAnsi="Times New Roman"/>
          <w:color w:val="000000" w:themeColor="text1"/>
          <w:sz w:val="16"/>
          <w:szCs w:val="16"/>
        </w:rPr>
        <w:t xml:space="preserve"> АПР-7.</w:t>
      </w:r>
    </w:p>
    <w:p w14:paraId="1F84DC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Красноярский завод телевизоров, А-3127 /660028  г. Красноярск ул. Телевизорная, 1/</w:t>
      </w:r>
    </w:p>
    <w:p w14:paraId="470913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основан в 09.1954 г.(1.09.1952 г.) Имел наименование «п/я А-3127». 9.03.1977 г. на базе завода создано ПО «Искра».</w:t>
      </w:r>
    </w:p>
    <w:p w14:paraId="424936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радиостанция Р-104М;</w:t>
      </w:r>
      <w:r w:rsidRPr="00640820">
        <w:rPr>
          <w:rFonts w:ascii="Times New Roman" w:hAnsi="Times New Roman"/>
          <w:iCs/>
          <w:color w:val="000000" w:themeColor="text1"/>
          <w:sz w:val="16"/>
          <w:szCs w:val="16"/>
        </w:rPr>
        <w:t xml:space="preserve"> телевизоры:</w:t>
      </w:r>
      <w:r w:rsidRPr="00640820">
        <w:rPr>
          <w:rFonts w:ascii="Times New Roman" w:hAnsi="Times New Roman"/>
          <w:color w:val="000000" w:themeColor="text1"/>
          <w:sz w:val="16"/>
          <w:szCs w:val="16"/>
        </w:rPr>
        <w:t xml:space="preserve"> «Авангард», «Авангард-55», «Енисей», «Енисей-2, -3», «Рассвет», «Рассвет-2, -303, -304, -305, 306 (1975-), -307, -308, 40ТБ-301, 40ТБ-309».</w:t>
      </w:r>
    </w:p>
    <w:p w14:paraId="0DBE96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ОАО «Искра», А-1819 /660028  г. Красноярск ул. Телевизорная, 1 тел. 43-57-75/</w:t>
      </w:r>
    </w:p>
    <w:p w14:paraId="63B250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«Искра» создано 9.03.1977 г. на базе головного предприятия- Красноярского завода телевизоров, имело наименование «п/я А-1819» (возможно, в его состав входило КБ «Искра»),</w:t>
      </w:r>
    </w:p>
    <w:p w14:paraId="4AB7F5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КБ ПО велись разработки станций спутникового телевидения. Созданы приемные станции «Экран», «Москва», передатчик ФТР.</w:t>
      </w:r>
    </w:p>
    <w:p w14:paraId="0E51F3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(2002 г.): радиотехническое оборудование СВЧ-, СДВ- диапазонов; антенны, сельхозоборудование.</w:t>
      </w:r>
    </w:p>
    <w:p w14:paraId="78ED26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Гендиректор (2002 г.)- </w:t>
      </w:r>
      <w:r w:rsidRPr="00640820">
        <w:rPr>
          <w:rFonts w:ascii="Times New Roman" w:hAnsi="Times New Roman"/>
          <w:color w:val="000000" w:themeColor="text1"/>
          <w:sz w:val="16"/>
          <w:szCs w:val="16"/>
          <w:lang w:val="en-US"/>
        </w:rPr>
        <w:t>JI</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 Стукалов.</w:t>
      </w:r>
    </w:p>
    <w:p w14:paraId="3CE817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телевизоры; (2002 г.): станции спутниковой связи «Эвенки», «Пихта»; радиостанция Р-423-1А; формирователь телевизионного сигнала ФТР, ФТР-10, ФТР-100; станция спутникового телевещания;</w:t>
      </w:r>
      <w:r w:rsidRPr="00640820">
        <w:rPr>
          <w:rFonts w:ascii="Times New Roman" w:hAnsi="Times New Roman"/>
          <w:color w:val="000000" w:themeColor="text1"/>
          <w:sz w:val="16"/>
          <w:szCs w:val="16"/>
          <w:vertAlign w:val="superscript"/>
        </w:rPr>
        <w:t xml:space="preserve">69 </w:t>
      </w:r>
      <w:r w:rsidRPr="00640820">
        <w:rPr>
          <w:rFonts w:ascii="Times New Roman" w:hAnsi="Times New Roman"/>
          <w:color w:val="000000" w:themeColor="text1"/>
          <w:sz w:val="16"/>
          <w:szCs w:val="16"/>
        </w:rPr>
        <w:t>радиоудлинители телефонных каналов (11982).</w:t>
      </w:r>
    </w:p>
    <w:p w14:paraId="2ED7F6A2" w14:textId="77777777" w:rsidR="00D908D8" w:rsidRPr="00640820" w:rsidRDefault="00D908D8" w:rsidP="00640820">
      <w:pPr>
        <w:autoSpaceDE w:val="0"/>
        <w:autoSpaceDN w:val="0"/>
        <w:adjustRightInd w:val="0"/>
        <w:spacing w:after="0" w:line="240" w:lineRule="auto"/>
        <w:jc w:val="both"/>
        <w:rPr>
          <w:rFonts w:ascii="Times New Roman" w:hAnsi="Times New Roman"/>
          <w:color w:val="000000" w:themeColor="text1"/>
          <w:sz w:val="16"/>
          <w:szCs w:val="16"/>
        </w:rPr>
      </w:pPr>
    </w:p>
    <w:p w14:paraId="2E1D81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октября 1941 г. по пр. № 325с «в связи с окончанием эвакуации большей части оборудования» завод № 615 был переименован в ГС завод № 208 им. Коминтерна.</w:t>
      </w:r>
    </w:p>
    <w:p w14:paraId="3D0238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Выпускал мощные радиостанции (единственный завод в СССР). В годы войны создана антенная лаборатория (П.П. Кузнецов).</w:t>
      </w:r>
    </w:p>
    <w:p w14:paraId="194ED4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Ленинграде на базе оставшегося оборудования по пр. № 325с от 27.10.1941 г. организован новый завод №615.</w:t>
      </w:r>
    </w:p>
    <w:p w14:paraId="003E34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4 июля 1943 г. в соответствии с пост. ГКО № 3686сс завод № 208 (ГС завод № 208 ИМ. Коминтерна НКОП, НКАП, НКЭП, п/я 89, Радиотелеграфный завод Морского ведомства, Петроградский государственный радиотелеграфный завод им. Коминтерна ВСНХ, Радиозавод им. Коминтерна НКТП, Завод-лаборатория мощного радиостроения им. Коминтерна, Комбинат мощного радиостроения (КМРС) им. Коминтерна НКТП, Новосибирский завод им. Коминтерна МРП, ОАО «Новосибирский завод им. Коминтерна» /г. Ленинград;  г. Новосибирск/ /630015  г. Новосибирск ул. Планетная, 32/) передан в ведение созданного ГУ </w:t>
      </w:r>
      <w:r w:rsidRPr="00640820">
        <w:rPr>
          <w:rFonts w:ascii="Times New Roman" w:hAnsi="Times New Roman"/>
          <w:color w:val="000000" w:themeColor="text1"/>
          <w:sz w:val="16"/>
          <w:szCs w:val="16"/>
          <w:lang w:val="en-US"/>
        </w:rPr>
        <w:t>PJI</w:t>
      </w:r>
      <w:r w:rsidRPr="00640820">
        <w:rPr>
          <w:rFonts w:ascii="Times New Roman" w:hAnsi="Times New Roman"/>
          <w:color w:val="000000" w:themeColor="text1"/>
          <w:sz w:val="16"/>
          <w:szCs w:val="16"/>
        </w:rPr>
        <w:t xml:space="preserve"> промышленности НКЭП. В 1960-е  г. - в ведении Управления радиотехнической и электронной промышленности Западно-Сибирского СНХ. В ~ 1983 г. на базе завода создано Сибирское ПО им. Коминтерна.</w:t>
      </w:r>
    </w:p>
    <w:p w14:paraId="6D82C3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1960-е  г. выпускал станции обнаружения и целеуказания.</w:t>
      </w:r>
      <w:r w:rsidRPr="00640820">
        <w:rPr>
          <w:rFonts w:ascii="Times New Roman" w:hAnsi="Times New Roman"/>
          <w:color w:val="000000" w:themeColor="text1"/>
          <w:sz w:val="16"/>
          <w:szCs w:val="16"/>
          <w:vertAlign w:val="superscript"/>
        </w:rPr>
        <w:t>80</w:t>
      </w:r>
    </w:p>
    <w:p w14:paraId="4C966C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1979 г. создан Тувинский филиал завода (с 1980-х  г. - Тувинский машиностроительный завод).</w:t>
      </w:r>
    </w:p>
    <w:p w14:paraId="41C28C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5F824F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(1915 г.)- около 300 чел.</w:t>
      </w:r>
    </w:p>
    <w:p w14:paraId="2542A0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(-01-14.07.1937 г.)- М.А. Гущин, (14.07.1937-17.12.1938 г.)- А.И. Васильев, (17.12.1938 г.-)- В.П. Виноградов. И.О. Гендиректора (2007 г.)-  Г.Н. Голубев.</w:t>
      </w:r>
    </w:p>
    <w:p w14:paraId="081DE6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Зам. директора (01.1937 г.)-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JI</w:t>
      </w:r>
      <w:r w:rsidRPr="00640820">
        <w:rPr>
          <w:rFonts w:ascii="Times New Roman" w:hAnsi="Times New Roman"/>
          <w:color w:val="000000" w:themeColor="text1"/>
          <w:sz w:val="16"/>
          <w:szCs w:val="16"/>
        </w:rPr>
        <w:t xml:space="preserve">. Минц, (-27.03.1937; 16.05.1937 г.-)-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Курков. Помощник директора по найму и увольнению (28.09.1938 г.-)- А.Е. Фомичев.</w:t>
      </w:r>
    </w:p>
    <w:p w14:paraId="7E2B31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(-01-27.03.1937 г.)- А.Л. Минц, (27.03-05.1937 г.-)- А.И. Васильев, (02.1938 г.)- Н.А. Романов, (1948-50 г.)- ЯЛ. Беликов.</w:t>
      </w:r>
    </w:p>
    <w:p w14:paraId="5A25CA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инженера (1928 г.-)- А.Л. Минц, В.Е. Гайслер.</w:t>
      </w:r>
    </w:p>
    <w:p w14:paraId="76CCCB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Заведующий производством (1930-е)- А. Г. Громов.</w:t>
      </w:r>
    </w:p>
    <w:p w14:paraId="29AB77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Научный руководитель (1936 г.-)- А.Л. Минц.</w:t>
      </w:r>
    </w:p>
    <w:p w14:paraId="3225E8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Заведующий мастерскими- А. Г. Громов. Начальники цехов: выпускного (-1947 г.)- А.К. Володин; (-1948 г.)- Я.П. Беликов, (-1953 г.)- В.В. Райзберг, (1930-е)- А.А. Форштер.</w:t>
      </w:r>
    </w:p>
    <w:p w14:paraId="7342BE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начальника цеха: (-1945 г.)- А.В. Загорянский.</w:t>
      </w:r>
    </w:p>
    <w:p w14:paraId="629398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радиовещательных передатчиков (1937 г.)- З.И. Модель; (1925-26 г.)- А.Ф. Шорин, (-1935 г.)- А.А. Форштер, А.А. Пистолькорс.</w:t>
      </w:r>
    </w:p>
    <w:p w14:paraId="5348C3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Заведующие лабораторией: А.А. Пистолькорс. Начальники лабораторий: кварцевой- П.П. Куровский; ЦЗТЛ- В.Е. Гайслер; отраслевой радиолаборатории измерительных устройств- П.П. Куровский; (1946 г.-)- В.Е. Гайслер, (</w:t>
      </w:r>
      <w:r w:rsidRPr="00640820">
        <w:rPr>
          <w:rFonts w:ascii="Times New Roman" w:hAnsi="Times New Roman"/>
          <w:color w:val="000000" w:themeColor="text1"/>
          <w:sz w:val="16"/>
          <w:szCs w:val="16"/>
          <w:lang w:val="en-US"/>
        </w:rPr>
        <w:t>BOB</w:t>
      </w:r>
      <w:r w:rsidRPr="00640820">
        <w:rPr>
          <w:rFonts w:ascii="Times New Roman" w:hAnsi="Times New Roman"/>
          <w:color w:val="000000" w:themeColor="text1"/>
          <w:sz w:val="16"/>
          <w:szCs w:val="16"/>
        </w:rPr>
        <w:t>)- А.В. Загорянский, (1950-е; 1981-92 г.)- В.В. Райзберг, (-1941 г.)- И.Л. Эристов.</w:t>
      </w:r>
    </w:p>
    <w:p w14:paraId="2972D4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бюро: проектно-монтажного (-1936 г.)- А.А. Пистолькорс.</w:t>
      </w:r>
    </w:p>
    <w:p w14:paraId="3554FA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Руководители групп: по проектированию радиостанции им. Косиора (1937 г.)- В.Д. Селивохин.</w:t>
      </w:r>
    </w:p>
    <w:p w14:paraId="1821FA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строительства радиостанции им. Косиора (1937 г.)- В.Д. Селивохин.</w:t>
      </w:r>
    </w:p>
    <w:p w14:paraId="6A9860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начальника строительства по техчасти радиостанции им. Косиора (1937 г.)- В.А. Енютин.</w:t>
      </w:r>
    </w:p>
    <w:p w14:paraId="72BDFE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радиолокатор наведения луча прожектора на самолеты РАП-150 (1948).</w:t>
      </w:r>
    </w:p>
    <w:p w14:paraId="7DCC30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первый отечественный триод ЛЭ-1 (1922-);</w:t>
      </w:r>
      <w:r w:rsidRPr="00640820">
        <w:rPr>
          <w:rFonts w:ascii="Times New Roman" w:hAnsi="Times New Roman"/>
          <w:color w:val="000000" w:themeColor="text1"/>
          <w:sz w:val="16"/>
          <w:szCs w:val="16"/>
          <w:vertAlign w:val="superscript"/>
        </w:rPr>
        <w:t>103</w:t>
      </w:r>
      <w:r w:rsidRPr="00640820">
        <w:rPr>
          <w:rFonts w:ascii="Times New Roman" w:hAnsi="Times New Roman"/>
          <w:color w:val="000000" w:themeColor="text1"/>
          <w:sz w:val="16"/>
          <w:szCs w:val="16"/>
        </w:rPr>
        <w:t xml:space="preserve"> радиопеленгаторы: «Градус», для ПЛ «Пассат», типа «Телефункен» (1937); объект «Норд» (1938); РЛС: «Редут» РУС-2, 5Н64, 1С 12 для ЗРК «Круг», П-40;</w:t>
      </w:r>
      <w:r w:rsidRPr="00640820">
        <w:rPr>
          <w:rFonts w:ascii="Times New Roman" w:hAnsi="Times New Roman"/>
          <w:color w:val="000000" w:themeColor="text1"/>
          <w:sz w:val="16"/>
          <w:szCs w:val="16"/>
          <w:vertAlign w:val="superscript"/>
        </w:rPr>
        <w:t xml:space="preserve">130 </w:t>
      </w:r>
      <w:r w:rsidRPr="00640820">
        <w:rPr>
          <w:rFonts w:ascii="Times New Roman" w:hAnsi="Times New Roman"/>
          <w:color w:val="000000" w:themeColor="text1"/>
          <w:sz w:val="16"/>
          <w:szCs w:val="16"/>
        </w:rPr>
        <w:t>радиодальномер 1РЛ111Д; изделия 1Л23-6, 1Л24, 76Е6 системы опознавания «Пароль»; радиоприемник ФЭБ (11982).</w:t>
      </w:r>
    </w:p>
    <w:p w14:paraId="1D5C55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A5206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октября 1941 г. на базе части завода, оставленного в Ленинграде, создан новый завод № 616.</w:t>
      </w:r>
      <w:r w:rsidRPr="00640820">
        <w:rPr>
          <w:rFonts w:ascii="Times New Roman" w:hAnsi="Times New Roman"/>
          <w:color w:val="000000" w:themeColor="text1"/>
          <w:sz w:val="16"/>
          <w:szCs w:val="16"/>
          <w:vertAlign w:val="superscript"/>
        </w:rPr>
        <w:t>149</w:t>
      </w:r>
    </w:p>
    <w:p w14:paraId="37D445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Пост. ГКО № 3353 от 12.05.1943 г. заводу № 210 (ГС завод № 210 ИМ. Н. Г. Козицкого НКОП, НКАП, Русский электротехнический завод АО русских электротехнических заводов «Сименса и Гальске», Петроградский Государственный телеграфный завод ВСНХ, Петроградский радиоаппаратный завод им. Н. Г. Козицкого ВСНХ, Радиоаппаратный завод им. Н. Г. Козицкого НКТП, ГС ордена Трудового Красного Знамени завод № 210 им. Н. Г. Козицкого НКЭП, МЭСЭП, А-142, Омский приборостроительный завод им. Н. Г. Козицкого, п/я 19,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-139</w:t>
      </w:r>
      <w:r w:rsidRPr="00640820">
        <w:rPr>
          <w:rFonts w:ascii="Times New Roman" w:hAnsi="Times New Roman"/>
          <w:color w:val="000000" w:themeColor="text1"/>
          <w:sz w:val="16"/>
          <w:szCs w:val="16"/>
          <w:lang w:val="en-US"/>
        </w:rPr>
        <w:t>Q</w:t>
      </w:r>
      <w:r w:rsidRPr="00640820">
        <w:rPr>
          <w:rFonts w:ascii="Times New Roman" w:hAnsi="Times New Roman"/>
          <w:color w:val="000000" w:themeColor="text1"/>
          <w:sz w:val="16"/>
          <w:szCs w:val="16"/>
        </w:rPr>
        <w:t>, ФГУП «Омский приборостроительный ордена Трудового Красного Знамени завод (ОПЗ) им. Н. Г. Козицкого» РАСУ /г. Петербург,  г. Петроград,  г. Ленинград 1-я линия Васильевского о-ва, 34;  г. Омск/ /644007  г. Омск ул. Чернышевского, 2 (2000-е  г.) тел. 25-75-61/ /644099  г. Омск ул. Чернышевского, 6/) в Омске передано здание поликлиники УНКВД, распоряжением ГКО № 5042 от 27.01.1944 г. это решение отменено. К концу войны в Омске построены 4 деревянных одноэтажных производственных корпуса. В 1952-61 г. на их месте построены новые четырехэтажные корпуса. В 1956 г. профиль завода был изменен. Он перешел на выпуск радиоприемных устройств для помехозащитной буквопечатающей телеграфной, телефонной и слуховой радиосвязи.</w:t>
      </w:r>
    </w:p>
    <w:p w14:paraId="656A98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1953-54 г. завод № 210 - в ведении МЭСЭП. В соответствии с пост. СМ СССР № 713-342 от 26.06.1957 г. завод передан из МАП в ведение Управления радиотехнической и электронной промышленности Западно- Сибирского СНХ РСФСР.</w:t>
      </w:r>
    </w:p>
    <w:p w14:paraId="456C6C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Имел наименования «п/я 19», «п/я А-1390».</w:t>
      </w:r>
    </w:p>
    <w:p w14:paraId="6B7F42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решению правительства № 22-р от 9.01.2004 г. и Указу Президента РФ № 1009 от 4.08.2004 г. вошел в число стратегических оборонных предприятий.</w:t>
      </w:r>
    </w:p>
    <w:p w14:paraId="0C1509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Производство (2000-е): автоматизированные радиоприемные устройства для ГА, флота, сухопутных войск, МВД и коммерческой связи; переносные приемные и передающие устройства </w:t>
      </w:r>
      <w:r w:rsidRPr="00640820">
        <w:rPr>
          <w:rFonts w:ascii="Times New Roman" w:hAnsi="Times New Roman"/>
          <w:color w:val="000000" w:themeColor="text1"/>
          <w:sz w:val="16"/>
          <w:szCs w:val="16"/>
          <w:lang w:val="en-US"/>
        </w:rPr>
        <w:t>KB</w:t>
      </w:r>
      <w:r w:rsidRPr="00640820">
        <w:rPr>
          <w:rFonts w:ascii="Times New Roman" w:hAnsi="Times New Roman"/>
          <w:color w:val="000000" w:themeColor="text1"/>
          <w:sz w:val="16"/>
          <w:szCs w:val="16"/>
        </w:rPr>
        <w:t xml:space="preserve"> и УКВ диапазона; возбудительные устройства </w:t>
      </w:r>
      <w:r w:rsidRPr="00640820">
        <w:rPr>
          <w:rFonts w:ascii="Times New Roman" w:hAnsi="Times New Roman"/>
          <w:color w:val="000000" w:themeColor="text1"/>
          <w:sz w:val="16"/>
          <w:szCs w:val="16"/>
          <w:lang w:val="en-US"/>
        </w:rPr>
        <w:t>KB</w:t>
      </w:r>
      <w:r w:rsidRPr="00640820">
        <w:rPr>
          <w:rFonts w:ascii="Times New Roman" w:hAnsi="Times New Roman"/>
          <w:color w:val="000000" w:themeColor="text1"/>
          <w:sz w:val="16"/>
          <w:szCs w:val="16"/>
        </w:rPr>
        <w:t xml:space="preserve"> и УКВ диапазона; антенно-фидерные устройства; радиостанции для гражданских судов; прецизионные кварцевые резонаторы, кварцевые опорные генераторы, кварцевые фильтры; элементы на поверхностных акустических волнах; мобильные электротехнические лаборатории для испытаний и поиска повреждений силовых кабелей; устройства защиты бортовой сети (УЗБС) для автомобилей; электроустановочные изделия.</w:t>
      </w:r>
    </w:p>
    <w:p w14:paraId="1E1AFA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(1855 г.)- 15 чел., (1916 г.)- 1750 чел., (1919 г.)- 175 чел., (1929 г.)- 5 тыс. чел., (15.09.1964 г.)- 3331 чел.</w:t>
      </w:r>
    </w:p>
    <w:p w14:paraId="0C0029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Управляющий (-1917-19 г.-&gt; Н.М. Пассов. Директор (1919 г.-)- И.Д. Смородин, (1921 г.-)- И.Я. Яковлев, (1928 г.)- Н.П. Плисецкий, (1933-14.07.1937 г.)- А.П. Шеленугин (репрессирован); и.о. (09.1937 г.)- Беляев; (7.09.1937-8.02.1938 г.)- И. Г. Зубович, (17.02.1938-39 г.-&gt;  Г.К. Смирнов, (1940-41 г.)- А.А. Захаров, (1941 г.)- И.А. Народицкий, (06.1942-43 г.)-  Г.М. Нестеров, (01.1943-67 г.-&gt; И.Н. Ливенцов, (1990-е-2000-е)- В.А. Дереча.</w:t>
      </w:r>
    </w:p>
    <w:p w14:paraId="7D502C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Зам. директора: (06.1937 г.)- ЭЛ. Битенэк, (06.1937 г.)- М.И. Беляев; по ПВО и охране (19.07.1938 г.-)- М.А. Мухин; по экономике и маркетингу (2000-е)- В.В. Зайцев; (2000-е)- Ю. Г. Пустовой, (2000-е)-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Сосновский. Помощник директора по найму и увольнению (06.1937 г.)- С.А. Поваров.</w:t>
      </w:r>
    </w:p>
    <w:p w14:paraId="07D4CA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(1917; 1938 г.)- Э.Я(К). Битенэк (репрессирован), (-27.03.1937 г.)- А.И. Васильев, (-02- 17.12.1938 г.)- В.М. Левашов, (17.12.1938 г.-)-  Г.П. Молодцов, (2000-е)- В.А. Шмаков.</w:t>
      </w:r>
    </w:p>
    <w:p w14:paraId="096123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Зам. гл. инженера-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Маринчак, (2000-е)-  Г.П. Большагин.</w:t>
      </w:r>
    </w:p>
    <w:p w14:paraId="6E96A6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производства (-1939 г.)- А.А. Захаров.</w:t>
      </w:r>
    </w:p>
    <w:p w14:paraId="2482AA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морских радиопередатчиков (1930-е)- А.И. Васильев. Руководитель КБ (1930-е)- М. Г. Андроников.</w:t>
      </w:r>
    </w:p>
    <w:p w14:paraId="43C961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цехов: № 1 (1930-е)-  Г.К. Смирнов; (1935 г.-)- А.А. Захаров.</w:t>
      </w:r>
    </w:p>
    <w:p w14:paraId="1FA075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Руководители секторов: (1930-е)- Б.В. Войцехович, (1930-е)- В.В. Милютин.</w:t>
      </w:r>
    </w:p>
    <w:p w14:paraId="69C4A3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лабораторий: (1946-54 г.)- Ф.Ф. Баранов, (-1949 г.)- М.Д. Жаворонков, (1930-е)-  Г.А. Павлов.</w:t>
      </w:r>
    </w:p>
    <w:p w14:paraId="37B95A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комбинированный КВ-ДВ радиопередатчик «Окунь» (1937).</w:t>
      </w:r>
    </w:p>
    <w:p w14:paraId="5CE0FD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телеграфные аппараты Морзе, Юза, «Дуплекс», (1850-е-1916-), кавалерийский обр. 1896 г., Бодо, Сименса (1916); переносные телефонные системы Сименса (1890-е); передатчики: с разрядниками Вина (1910-), Р-0,2, ЛОТ (1920-е), КТ-Б-250 (1927-), концертный (1920-е), ДРК (1930-е); радиостанции: системы Телефункен для эсминцев (1904); военно-полевые обр. 1910 г., переносная (1914), автомобильная полевая (1915-), аэропланные (1915), морские: УКВ «Рейд» (1934-37-), «Ураган-М» (1937), «Штром М» (1937), «Шквал У» (1937), «Акула» («Скат») (1937), «Бриз» (1934), «Бриз М» («Окунь») (1937), «Рейд» (1937), «Бухта» с приемником «Дозор» (1937), «Щука» (1937); танковые (ВОВ-), для сельского хозяйства и железнодорожного транспорта (после ВОВ), «Недра» для сельского хозяйства и геологии (</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960-)</w:t>
      </w:r>
      <w:r w:rsidRPr="00640820">
        <w:rPr>
          <w:rFonts w:ascii="Times New Roman" w:hAnsi="Times New Roman"/>
          <w:color w:val="000000" w:themeColor="text1"/>
          <w:sz w:val="16"/>
          <w:szCs w:val="16"/>
          <w:vertAlign w:val="superscript"/>
        </w:rPr>
        <w:t>80</w:t>
      </w:r>
      <w:r w:rsidRPr="00640820">
        <w:rPr>
          <w:rFonts w:ascii="Times New Roman" w:hAnsi="Times New Roman"/>
          <w:color w:val="000000" w:themeColor="text1"/>
          <w:sz w:val="16"/>
          <w:szCs w:val="16"/>
        </w:rPr>
        <w:t>; радиоцентры для линкоров и крейсеров (1937); кодовые реле КДР (1930-е); радиоприемники: К-П (1910-), ЛБ-2 (1923-), ПЛР-5, ПРТ-4 (1929-), СГ-6 (1930- е), ПЦКУ (1930-е), КУБ-4 (1934), ПД-4 (1937), морской «Дозор» (1937), «Шторм-1», Р-397П «Ольхон-Гелиос», «Артек-Гелиос» (2004); конденсаторы «Дюбилье» и «Телефункен» (1937), трансформаторы типа Евтеева (1937), верньеры Р-10-418, штепсельные гнезда (1937), переключатели, слюдяные конденсаторы, купроксные выпрямители (1938); опорный генератор «Гиацинт»; антенна МПА-1, широкополосный антенный усилитель Р- 774Ш (2000-е); миноискатели: ВИМ-2, ВИМ-210 (1939-);</w:t>
      </w:r>
    </w:p>
    <w:p w14:paraId="3E6BD5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радиоприемники бытовые: «Радиолина» (1924-), БЧ (1924-), БЧ-2 (1926-), БВ (1926-), БТ (1926-), БШ (1926-), БЧН, БЧЗ (1920-е), ЭКЛ-4 (1930-е), -5, -34, ЦРЛ-8, -10 (1930-е), «Ермак», «Омь РП-201, РП-203», «Омич»; радиола Д-11 (1930-е); телевизоры: механический Б-2 (1934-), ТМ-3 «Пионер» (1934), ламповый ТК-1 (1938-)- 2000; репродуктор «Омич-1»; электропатефоны, настенные часы (1930-е) (11982).</w:t>
      </w:r>
    </w:p>
    <w:p w14:paraId="49E884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837C4C1"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0E841860"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CA7E2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октября 1941 г. начато строительство химического завода-дублера Кусковского химического завода (Новосибирский химический завод, Новосибирский завод пластмасс, ОАО «Хпмпласт» /63007  г. Новосибирск ул. Фабричная, 10/) на новом месте. В 12.1941 г. ГУ промышленности пластмасс НКХП принято решение вместо создания завода-дублера полностью эвакуировать КХЗ и восстановить производство на новом месте. Приказом по заводу № 1 от 22.12.1941 г. было назначено руководство нового завода. Для укомплектования штатов в конце 1941 г. из Ленинграда на завод прибыли 200 выпускников химучилища.</w:t>
      </w:r>
    </w:p>
    <w:p w14:paraId="4FB7C0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24.12.1941 г. была пущена первая очередь цеха формалина; 20.01.1942 г. - цех пластификаторов; 10.02.1942 г. - технологическая линия по выпуску уротропина. В 05.1942 г. был выпущен первый пентаэритрит, в 06.1942 г. - аминопласт. В 1942 г. на заводе действовало пять цехов, дублировавших производство КХЗ: № 1 - производство формалина (5939 т за 1942 г.) и уротропина (531 т), № 2 - пластификаторов (446 т), № 3 - пентаэритрита (7 т), № 4 - аминопласта (245 т), № 5 - смолы ВИАМ-Б, СКС. В 1943 г. завод вышел на проектную мощность.</w:t>
      </w:r>
    </w:p>
    <w:p w14:paraId="577159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1946 г. в составе завода было уже 15 подразделений. После войны освоен выпуск дибутилсебацината. В 1947-50 г. реконструировано производство пентаэритрита. С 1947 г. начат выпуск себациновой кислоты. Организован цех ширпотреба, выпускавший в т.ч. бильярдные шары. С 1955 г. производство завода дополнилось выпуском камфары и конденсаторной электроизоляционной пленки. В 1956-61 г. проведена вторая реконструкция цеха пентаэритрита. В 02.1957 г. впервые в стране начат выпуск пленок из фторопласта-4. В конце 1958 г. введен в строй цех по производству кабельного пластиката.</w:t>
      </w:r>
    </w:p>
    <w:p w14:paraId="32866A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12.1954 г. Новосибирский химзавод был объединен с Новосибирским камфарным заводом. В 1960-е  г. - в ведении Управления химической и нефтеперерабатывающей промышленности Западно-Сибирского СНХ.</w:t>
      </w:r>
      <w:r w:rsidRPr="00640820">
        <w:rPr>
          <w:rFonts w:ascii="Times New Roman" w:hAnsi="Times New Roman"/>
          <w:color w:val="000000" w:themeColor="text1"/>
          <w:sz w:val="16"/>
          <w:szCs w:val="16"/>
          <w:vertAlign w:val="superscript"/>
        </w:rPr>
        <w:t>80</w:t>
      </w:r>
    </w:p>
    <w:p w14:paraId="69C07F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1960-х  г. проведена механизация производства себациновой кислоты, реконструкция цеха кабельных пластикатов, расширено производство пленок из фторопласта, проведена очередная реконструкция цеха пентаэритрина. К концу 1960-х  г. завод выпускал в год: формалина- 19,5 тыс. т, смолы МФ - 5600 т, пластификаторов - 17 тыс. т, пентаэритрита - 1500 т, аминопласта - 6600 т, себациновой кислоты - 6800 т, пластиката: кабельного - более 20 тыс. т, листового - 2300 т, пленочного - 2500 т, липких лент Г1ВХ - более 1500 т, изделий из фторопласта - 100 т, фторопластовых пленок - более 350 т.</w:t>
      </w:r>
    </w:p>
    <w:p w14:paraId="18DFB2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1993 г. предприятие акционировано и преобразовано в ОАО «Химпласт».</w:t>
      </w:r>
    </w:p>
    <w:p w14:paraId="58D6F9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Производство (2000-е): пластификаторы ДБФ, ДОФ; ПВХ-пластикаты: кабельные, обувные; изоляционная лента: ПВХ с липким слоем, для защиты трубопроводов, бытовая; ПВХ пленка; изделия из фторопластов; всего более 40 наименований.</w:t>
      </w:r>
    </w:p>
    <w:p w14:paraId="4A28F5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(1946 г.)- 640 чел.</w:t>
      </w:r>
    </w:p>
    <w:p w14:paraId="20676F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(22.12.1941-42 г.)- В.А. Лихачев, (1942-45 г.)- И.Р. Барботин, (1945-53 г.)- В.А. Рогов, (1953 г.-&gt;  Г.Б. Архаров, (04.1955 г.-)- Ю.М. Миллер, 05.1963-06.1976 г.)-  Г.В. Шибанов, (06.1976-85 г.)- Ю.А. Воробьев , (01.1985- 90-е)- Э.В. Васильев.</w:t>
      </w:r>
    </w:p>
    <w:p w14:paraId="3B3260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(22.12.1941 г.-)- М.С. Варданян.</w:t>
      </w:r>
    </w:p>
    <w:p w14:paraId="16BB9F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(22.12.1941 г.-)- МЛ. Левшук, (1940-е)- Б. Г. Накрохин, (1973-76 г.)- Ю.А. Воробьев, (-1985 г.)- Э.В. Васильев, (1985-90-е)- В.П. Прохоров.</w:t>
      </w:r>
    </w:p>
    <w:p w14:paraId="36E03D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цехов: пластификаторов (-1985 г.)- В.П. Прохоров; (1943 г.)- Б. Г. Накрохин, (1943 г.)- М.С. Акутин, (1943 г.)- Н.О. Титаренко, (1943 г.)-  Г.Б. Архаров, (1943 г.)- П.А. Взоров.</w:t>
      </w:r>
    </w:p>
    <w:p w14:paraId="539C23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ЦЗЛ (1941 г.-)- М.С. Акутин (11982).</w:t>
      </w:r>
    </w:p>
    <w:p w14:paraId="27FDCF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F1172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октября 1941 г. вышло Постановление ГКО № 845 «Об организации на Сумгаитском тукосмесительном заводе (г. Баку) производства взрывчатых веществ» (Д. 24. Л. 11–13).</w:t>
      </w:r>
    </w:p>
    <w:p w14:paraId="6B5CBD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FE8BE3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октября 1941 г. была подготовлена СПРАВКА-ДОКЛАД О РАБОТАХ, ПРОВЕДЕННЫХ АТУ ГАБТУ КА ПО ВНЕДРЕНИЮ В ПРОИЗВОДСТВО НОВЫХ ОБРАЗЦОВ АВТОМОТОТРАКТОРНОЙ ТЕХНИКИ И ЕЕ УСОВЕРШЕНСТВОВАНИЮ</w:t>
      </w:r>
    </w:p>
    <w:tbl>
      <w:tblPr>
        <w:tblW w:w="0" w:type="auto"/>
        <w:tblInd w:w="40" w:type="dxa"/>
        <w:tblLayout w:type="fixed"/>
        <w:tblCellMar>
          <w:left w:w="40" w:type="dxa"/>
          <w:right w:w="40" w:type="dxa"/>
        </w:tblCellMar>
        <w:tblLook w:val="0000" w:firstRow="0" w:lastRow="0" w:firstColumn="0" w:lastColumn="0" w:noHBand="0" w:noVBand="0"/>
      </w:tblPr>
      <w:tblGrid>
        <w:gridCol w:w="4195"/>
        <w:gridCol w:w="5328"/>
      </w:tblGrid>
      <w:tr w:rsidR="00643896" w:rsidRPr="00640820" w14:paraId="741F3747" w14:textId="77777777" w:rsidTr="000D3BCB">
        <w:trPr>
          <w:trHeight w:val="739"/>
        </w:trPr>
        <w:tc>
          <w:tcPr>
            <w:tcW w:w="4195" w:type="dxa"/>
            <w:tcBorders>
              <w:top w:val="single" w:sz="6" w:space="0" w:color="auto"/>
              <w:left w:val="single" w:sz="6" w:space="0" w:color="auto"/>
              <w:bottom w:val="single" w:sz="6" w:space="0" w:color="auto"/>
              <w:right w:val="single" w:sz="6" w:space="0" w:color="auto"/>
            </w:tcBorders>
          </w:tcPr>
          <w:p w14:paraId="7ED68F8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 Мотоцикл М-72 с коляской (мощность двигателя 22 л.с.)</w:t>
            </w:r>
          </w:p>
          <w:p w14:paraId="084E4EA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28" w:type="dxa"/>
            <w:tcBorders>
              <w:top w:val="single" w:sz="6" w:space="0" w:color="auto"/>
              <w:left w:val="single" w:sz="6" w:space="0" w:color="auto"/>
              <w:bottom w:val="single" w:sz="6" w:space="0" w:color="auto"/>
              <w:right w:val="single" w:sz="6" w:space="0" w:color="auto"/>
            </w:tcBorders>
          </w:tcPr>
          <w:p w14:paraId="3F2BE6C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Постановлением СНКСССР от 4. 03. 1941 г. принят на серийное производство Программа выпуска на 1941 год определена в 30500 штук; на 1942 год - 73000 штук.</w:t>
            </w:r>
          </w:p>
          <w:p w14:paraId="1241748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58277EE" w14:textId="77777777" w:rsidTr="000D3BCB">
        <w:trPr>
          <w:trHeight w:val="538"/>
        </w:trPr>
        <w:tc>
          <w:tcPr>
            <w:tcW w:w="4195" w:type="dxa"/>
            <w:tcBorders>
              <w:top w:val="single" w:sz="6" w:space="0" w:color="auto"/>
              <w:left w:val="single" w:sz="6" w:space="0" w:color="auto"/>
              <w:bottom w:val="single" w:sz="6" w:space="0" w:color="auto"/>
              <w:right w:val="single" w:sz="6" w:space="0" w:color="auto"/>
            </w:tcBorders>
          </w:tcPr>
          <w:p w14:paraId="6C98846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Оборудование мотоциклов с коляской, установкой вооружения и укладкой боекомплектов (пулеметы ДС и ДП, миномет, огнемет).</w:t>
            </w:r>
          </w:p>
          <w:p w14:paraId="321BFC3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28" w:type="dxa"/>
            <w:tcBorders>
              <w:top w:val="single" w:sz="6" w:space="0" w:color="auto"/>
              <w:left w:val="single" w:sz="6" w:space="0" w:color="auto"/>
              <w:bottom w:val="single" w:sz="6" w:space="0" w:color="auto"/>
              <w:right w:val="single" w:sz="6" w:space="0" w:color="auto"/>
            </w:tcBorders>
          </w:tcPr>
          <w:p w14:paraId="76A7CEF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Принято на производство. Опытные образцы разработаны. Полигоном и утверждены.</w:t>
            </w:r>
          </w:p>
          <w:p w14:paraId="1EBC367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0500527" w14:textId="77777777" w:rsidTr="000D3BCB">
        <w:trPr>
          <w:trHeight w:val="1613"/>
        </w:trPr>
        <w:tc>
          <w:tcPr>
            <w:tcW w:w="4195" w:type="dxa"/>
            <w:tcBorders>
              <w:top w:val="single" w:sz="6" w:space="0" w:color="auto"/>
              <w:left w:val="single" w:sz="6" w:space="0" w:color="auto"/>
              <w:bottom w:val="single" w:sz="6" w:space="0" w:color="auto"/>
              <w:right w:val="single" w:sz="6" w:space="0" w:color="auto"/>
            </w:tcBorders>
          </w:tcPr>
          <w:p w14:paraId="693FB33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Оборудование грузовых автомашин ЗИС и ГАЗ: а) дополнительными бензобаками общей емкостью: ЗИС-5 - 300 литров; ГАЗ-2А - 200 литров; ГАЗ-ЗА - 160 литров; ЗИС-6 - 285 литров; б) повышенными бортами кузовов; в) крепление для винтовки и огнетушителя; г) буксирными крюками.</w:t>
            </w:r>
          </w:p>
          <w:p w14:paraId="4BCBF37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28" w:type="dxa"/>
            <w:tcBorders>
              <w:top w:val="single" w:sz="6" w:space="0" w:color="auto"/>
              <w:left w:val="single" w:sz="6" w:space="0" w:color="auto"/>
              <w:bottom w:val="single" w:sz="6" w:space="0" w:color="auto"/>
              <w:right w:val="single" w:sz="6" w:space="0" w:color="auto"/>
            </w:tcBorders>
          </w:tcPr>
          <w:p w14:paraId="6A4800E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Принято на производство.</w:t>
            </w:r>
          </w:p>
          <w:p w14:paraId="6758AF7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5A7DCE2" w14:textId="77777777" w:rsidTr="000D3BCB">
        <w:trPr>
          <w:trHeight w:val="730"/>
        </w:trPr>
        <w:tc>
          <w:tcPr>
            <w:tcW w:w="4195" w:type="dxa"/>
            <w:tcBorders>
              <w:top w:val="single" w:sz="6" w:space="0" w:color="auto"/>
              <w:left w:val="single" w:sz="6" w:space="0" w:color="auto"/>
              <w:bottom w:val="single" w:sz="6" w:space="0" w:color="auto"/>
              <w:right w:val="single" w:sz="6" w:space="0" w:color="auto"/>
            </w:tcBorders>
          </w:tcPr>
          <w:p w14:paraId="28E2875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Изменена конструкция бортовых запоров на автомобилях ГАЗ, введен более надежный запор, не выступающий за габариты кузова и не могущий самооткрываться.</w:t>
            </w:r>
          </w:p>
          <w:p w14:paraId="156F6DE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28" w:type="dxa"/>
            <w:tcBorders>
              <w:top w:val="single" w:sz="6" w:space="0" w:color="auto"/>
              <w:left w:val="single" w:sz="6" w:space="0" w:color="auto"/>
              <w:bottom w:val="single" w:sz="6" w:space="0" w:color="auto"/>
              <w:right w:val="single" w:sz="6" w:space="0" w:color="auto"/>
            </w:tcBorders>
          </w:tcPr>
          <w:p w14:paraId="6ED7E11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Введено в производство с 15.02.1941 г.</w:t>
            </w:r>
          </w:p>
          <w:p w14:paraId="6AE3866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E512D69" w14:textId="77777777" w:rsidTr="000D3BCB">
        <w:trPr>
          <w:trHeight w:val="365"/>
        </w:trPr>
        <w:tc>
          <w:tcPr>
            <w:tcW w:w="4195" w:type="dxa"/>
            <w:tcBorders>
              <w:top w:val="single" w:sz="6" w:space="0" w:color="auto"/>
              <w:left w:val="single" w:sz="6" w:space="0" w:color="auto"/>
              <w:bottom w:val="single" w:sz="6" w:space="0" w:color="auto"/>
              <w:right w:val="single" w:sz="6" w:space="0" w:color="auto"/>
            </w:tcBorders>
          </w:tcPr>
          <w:p w14:paraId="03D19E4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Улучшена конструкция санмашины на базе автомобиля ГАЗ.</w:t>
            </w:r>
          </w:p>
          <w:p w14:paraId="1BB0B00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28" w:type="dxa"/>
            <w:tcBorders>
              <w:top w:val="single" w:sz="6" w:space="0" w:color="auto"/>
              <w:left w:val="single" w:sz="6" w:space="0" w:color="auto"/>
              <w:bottom w:val="single" w:sz="6" w:space="0" w:color="auto"/>
              <w:right w:val="single" w:sz="6" w:space="0" w:color="auto"/>
            </w:tcBorders>
          </w:tcPr>
          <w:p w14:paraId="645EC26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Организованы войсковые испытания.</w:t>
            </w:r>
          </w:p>
          <w:p w14:paraId="2254E7E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6F32F1C" w14:textId="77777777" w:rsidTr="000D3BCB">
        <w:trPr>
          <w:trHeight w:val="547"/>
        </w:trPr>
        <w:tc>
          <w:tcPr>
            <w:tcW w:w="4195" w:type="dxa"/>
            <w:tcBorders>
              <w:top w:val="single" w:sz="6" w:space="0" w:color="auto"/>
              <w:left w:val="single" w:sz="6" w:space="0" w:color="auto"/>
              <w:bottom w:val="single" w:sz="6" w:space="0" w:color="auto"/>
              <w:right w:val="single" w:sz="6" w:space="0" w:color="auto"/>
            </w:tcBorders>
          </w:tcPr>
          <w:p w14:paraId="7B47DA3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Универсальное оборудование на автомобиле ЗИС-5 упрощенного типа.</w:t>
            </w:r>
          </w:p>
          <w:p w14:paraId="0E8BCF0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28" w:type="dxa"/>
            <w:tcBorders>
              <w:top w:val="single" w:sz="6" w:space="0" w:color="auto"/>
              <w:left w:val="single" w:sz="6" w:space="0" w:color="auto"/>
              <w:bottom w:val="single" w:sz="6" w:space="0" w:color="auto"/>
              <w:right w:val="single" w:sz="6" w:space="0" w:color="auto"/>
            </w:tcBorders>
          </w:tcPr>
          <w:p w14:paraId="2492A91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Опытный образец утвержден. Изготовляются 100 образцов, которые будут направлены в округа с инструкцией по изготовлению оборудования войсковыми частями.</w:t>
            </w:r>
          </w:p>
          <w:p w14:paraId="296DDE3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8D1731B" w14:textId="77777777" w:rsidTr="000D3BCB">
        <w:trPr>
          <w:trHeight w:val="730"/>
        </w:trPr>
        <w:tc>
          <w:tcPr>
            <w:tcW w:w="4195" w:type="dxa"/>
            <w:tcBorders>
              <w:top w:val="single" w:sz="6" w:space="0" w:color="auto"/>
              <w:left w:val="single" w:sz="6" w:space="0" w:color="auto"/>
              <w:bottom w:val="single" w:sz="6" w:space="0" w:color="auto"/>
              <w:right w:val="single" w:sz="6" w:space="0" w:color="auto"/>
            </w:tcBorders>
          </w:tcPr>
          <w:p w14:paraId="6A632F6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Цепи противоскольжения для двухосных грузовых автомобилей ЗИС и ГАЗ типа «Гаянт».</w:t>
            </w:r>
          </w:p>
          <w:p w14:paraId="7A1F0B9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28" w:type="dxa"/>
            <w:tcBorders>
              <w:top w:val="single" w:sz="6" w:space="0" w:color="auto"/>
              <w:left w:val="single" w:sz="6" w:space="0" w:color="auto"/>
              <w:bottom w:val="single" w:sz="6" w:space="0" w:color="auto"/>
              <w:right w:val="single" w:sz="6" w:space="0" w:color="auto"/>
            </w:tcBorders>
          </w:tcPr>
          <w:p w14:paraId="140C730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По представлению НКО (ГАБТУ КА) распоряжением СНК СССР № 357-РС от 16.05.1941 г. НКСМ обязан с 1.08.1941 г. поставлять НКО автомобили с этими цепями. Промкооперация обязана поставить НКО для автопарка КА 20000 комплектов.</w:t>
            </w:r>
          </w:p>
          <w:p w14:paraId="3CA59EF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13D5909" w14:textId="77777777" w:rsidTr="000D3BCB">
        <w:trPr>
          <w:trHeight w:val="730"/>
        </w:trPr>
        <w:tc>
          <w:tcPr>
            <w:tcW w:w="4195" w:type="dxa"/>
            <w:tcBorders>
              <w:top w:val="single" w:sz="6" w:space="0" w:color="auto"/>
              <w:left w:val="single" w:sz="6" w:space="0" w:color="auto"/>
              <w:bottom w:val="single" w:sz="6" w:space="0" w:color="auto"/>
              <w:right w:val="single" w:sz="6" w:space="0" w:color="auto"/>
            </w:tcBorders>
          </w:tcPr>
          <w:p w14:paraId="56399DD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Цепи противоскольжения для трехосных грузовых автомобилей ЗИС и ГАЗ типа « Мейдт-Вахман » .</w:t>
            </w:r>
          </w:p>
          <w:p w14:paraId="7B68079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28" w:type="dxa"/>
            <w:tcBorders>
              <w:top w:val="single" w:sz="6" w:space="0" w:color="auto"/>
              <w:left w:val="single" w:sz="6" w:space="0" w:color="auto"/>
              <w:bottom w:val="single" w:sz="6" w:space="0" w:color="auto"/>
              <w:right w:val="single" w:sz="6" w:space="0" w:color="auto"/>
            </w:tcBorders>
          </w:tcPr>
          <w:p w14:paraId="60F7C2D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По представлению НКО (ГАБТУ КА) распоряжением СНК СССР № 356-РС от 16.05.1941 г НКСМ обязан с 1.08.1941 г. поставлять НКО автомобили с этими цепями для автопарка КА 8000 комплектов цепей.</w:t>
            </w:r>
          </w:p>
          <w:p w14:paraId="1BFB42C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380CBC1" w14:textId="77777777" w:rsidTr="000D3BCB">
        <w:trPr>
          <w:trHeight w:val="365"/>
        </w:trPr>
        <w:tc>
          <w:tcPr>
            <w:tcW w:w="4195" w:type="dxa"/>
            <w:tcBorders>
              <w:top w:val="single" w:sz="6" w:space="0" w:color="auto"/>
              <w:left w:val="single" w:sz="6" w:space="0" w:color="auto"/>
              <w:bottom w:val="single" w:sz="6" w:space="0" w:color="auto"/>
              <w:right w:val="single" w:sz="6" w:space="0" w:color="auto"/>
            </w:tcBorders>
          </w:tcPr>
          <w:p w14:paraId="798D5D1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Продовольственные автомашины (на базе ЗИС-5).</w:t>
            </w:r>
          </w:p>
          <w:p w14:paraId="3F39761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28" w:type="dxa"/>
            <w:tcBorders>
              <w:top w:val="single" w:sz="6" w:space="0" w:color="auto"/>
              <w:left w:val="single" w:sz="6" w:space="0" w:color="auto"/>
              <w:bottom w:val="single" w:sz="6" w:space="0" w:color="auto"/>
              <w:right w:val="single" w:sz="6" w:space="0" w:color="auto"/>
            </w:tcBorders>
          </w:tcPr>
          <w:p w14:paraId="1A73A99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Опытный образец утвержден Изготовлено 250 машин, общий заказ на 1941 г. определен в 400 машин.</w:t>
            </w:r>
          </w:p>
          <w:p w14:paraId="623EEFC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469F176" w14:textId="77777777" w:rsidTr="000D3BCB">
        <w:trPr>
          <w:trHeight w:val="365"/>
        </w:trPr>
        <w:tc>
          <w:tcPr>
            <w:tcW w:w="4195" w:type="dxa"/>
            <w:tcBorders>
              <w:top w:val="single" w:sz="6" w:space="0" w:color="auto"/>
              <w:left w:val="single" w:sz="6" w:space="0" w:color="auto"/>
              <w:bottom w:val="single" w:sz="6" w:space="0" w:color="auto"/>
              <w:right w:val="single" w:sz="6" w:space="0" w:color="auto"/>
            </w:tcBorders>
          </w:tcPr>
          <w:p w14:paraId="1F1582A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Мотоцикл ТИЗ-50 (мощность двигателя 32 л с.).</w:t>
            </w:r>
          </w:p>
          <w:p w14:paraId="17413A5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28" w:type="dxa"/>
            <w:tcBorders>
              <w:top w:val="single" w:sz="6" w:space="0" w:color="auto"/>
              <w:left w:val="single" w:sz="6" w:space="0" w:color="auto"/>
              <w:bottom w:val="single" w:sz="6" w:space="0" w:color="auto"/>
              <w:right w:val="single" w:sz="6" w:space="0" w:color="auto"/>
            </w:tcBorders>
          </w:tcPr>
          <w:p w14:paraId="3C6741D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Опытный образец прошел испытание. Вопрос о серийном производстве находится на разрешении в Правительстве.</w:t>
            </w:r>
          </w:p>
          <w:p w14:paraId="6055BE1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8FC30DC" w14:textId="77777777" w:rsidTr="000D3BCB">
        <w:trPr>
          <w:trHeight w:val="365"/>
        </w:trPr>
        <w:tc>
          <w:tcPr>
            <w:tcW w:w="4195" w:type="dxa"/>
            <w:tcBorders>
              <w:top w:val="single" w:sz="6" w:space="0" w:color="auto"/>
              <w:left w:val="single" w:sz="6" w:space="0" w:color="auto"/>
              <w:bottom w:val="single" w:sz="6" w:space="0" w:color="auto"/>
              <w:right w:val="single" w:sz="6" w:space="0" w:color="auto"/>
            </w:tcBorders>
          </w:tcPr>
          <w:p w14:paraId="7F6120C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Мотоцикл «ИЖ-12» одиночка (мощность двигателя 13 л.с.).</w:t>
            </w:r>
          </w:p>
          <w:p w14:paraId="4C33FF4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28" w:type="dxa"/>
            <w:tcBorders>
              <w:top w:val="single" w:sz="6" w:space="0" w:color="auto"/>
              <w:left w:val="single" w:sz="6" w:space="0" w:color="auto"/>
              <w:bottom w:val="single" w:sz="6" w:space="0" w:color="auto"/>
              <w:right w:val="single" w:sz="6" w:space="0" w:color="auto"/>
            </w:tcBorders>
          </w:tcPr>
          <w:p w14:paraId="01D570F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Постановлением СНК СССР от 4.03.1941 г. принят на серийное производство. Выпуск в 1941 г. определен в 5100 штук.</w:t>
            </w:r>
          </w:p>
          <w:p w14:paraId="745B2DE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D043C8B" w14:textId="77777777" w:rsidTr="000D3BCB">
        <w:trPr>
          <w:trHeight w:val="730"/>
        </w:trPr>
        <w:tc>
          <w:tcPr>
            <w:tcW w:w="4195" w:type="dxa"/>
            <w:tcBorders>
              <w:top w:val="single" w:sz="6" w:space="0" w:color="auto"/>
              <w:left w:val="single" w:sz="6" w:space="0" w:color="auto"/>
              <w:bottom w:val="single" w:sz="6" w:space="0" w:color="auto"/>
              <w:right w:val="single" w:sz="6" w:space="0" w:color="auto"/>
            </w:tcBorders>
          </w:tcPr>
          <w:p w14:paraId="2DEB5F2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Легковой автомобиль ГАЗ-61 (с двумя ведущими осями) с кузовом типа «Фаэтон» — командирская машина с кузовом типа «Пикап» предназначен, как тягач противотанковой артиллерии.</w:t>
            </w:r>
          </w:p>
          <w:p w14:paraId="39AD74D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28" w:type="dxa"/>
            <w:tcBorders>
              <w:top w:val="single" w:sz="6" w:space="0" w:color="auto"/>
              <w:left w:val="single" w:sz="6" w:space="0" w:color="auto"/>
              <w:bottom w:val="single" w:sz="6" w:space="0" w:color="auto"/>
              <w:right w:val="single" w:sz="6" w:space="0" w:color="auto"/>
            </w:tcBorders>
          </w:tcPr>
          <w:p w14:paraId="4E674B1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Опытный образец прошел испытание. Вопрос о серийном выпуске находится на разрешении Правительства.</w:t>
            </w:r>
          </w:p>
          <w:p w14:paraId="6BB9ABE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8DC2A9F" w14:textId="77777777" w:rsidTr="000D3BCB">
        <w:trPr>
          <w:trHeight w:val="374"/>
        </w:trPr>
        <w:tc>
          <w:tcPr>
            <w:tcW w:w="4195" w:type="dxa"/>
            <w:tcBorders>
              <w:top w:val="single" w:sz="6" w:space="0" w:color="auto"/>
              <w:left w:val="single" w:sz="6" w:space="0" w:color="auto"/>
              <w:bottom w:val="single" w:sz="6" w:space="0" w:color="auto"/>
              <w:right w:val="single" w:sz="6" w:space="0" w:color="auto"/>
            </w:tcBorders>
          </w:tcPr>
          <w:p w14:paraId="36937DE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Двухосный грузовой автомобиль повышенной проходимости ЗИС-32 (со всеми ведущими осями).</w:t>
            </w:r>
          </w:p>
          <w:p w14:paraId="535300B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28" w:type="dxa"/>
            <w:tcBorders>
              <w:top w:val="single" w:sz="6" w:space="0" w:color="auto"/>
              <w:left w:val="single" w:sz="6" w:space="0" w:color="auto"/>
              <w:bottom w:val="single" w:sz="6" w:space="0" w:color="auto"/>
              <w:right w:val="single" w:sz="6" w:space="0" w:color="auto"/>
            </w:tcBorders>
          </w:tcPr>
          <w:p w14:paraId="324EF32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Опытный образец прошел испытания. Вопрос о серийном выпуске находится на разрешении Правительства.</w:t>
            </w:r>
          </w:p>
          <w:p w14:paraId="19D2D90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62C777D" w14:textId="77777777" w:rsidTr="000D3BCB">
        <w:trPr>
          <w:trHeight w:val="365"/>
        </w:trPr>
        <w:tc>
          <w:tcPr>
            <w:tcW w:w="4195" w:type="dxa"/>
            <w:tcBorders>
              <w:top w:val="single" w:sz="6" w:space="0" w:color="auto"/>
              <w:left w:val="single" w:sz="6" w:space="0" w:color="auto"/>
              <w:bottom w:val="single" w:sz="6" w:space="0" w:color="auto"/>
              <w:right w:val="single" w:sz="6" w:space="0" w:color="auto"/>
            </w:tcBorders>
          </w:tcPr>
          <w:p w14:paraId="415BEA2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Двухосный грузовой автомобиль повышенной проходимости ГАЗ-63 (со всеми ведущими осями).</w:t>
            </w:r>
          </w:p>
          <w:p w14:paraId="7E31E20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28" w:type="dxa"/>
            <w:tcBorders>
              <w:top w:val="single" w:sz="6" w:space="0" w:color="auto"/>
              <w:left w:val="single" w:sz="6" w:space="0" w:color="auto"/>
              <w:bottom w:val="single" w:sz="6" w:space="0" w:color="auto"/>
              <w:right w:val="single" w:sz="6" w:space="0" w:color="auto"/>
            </w:tcBorders>
          </w:tcPr>
          <w:p w14:paraId="5ABA2CC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Опытный образец прошел испытание. Вопрос о серийном выпуске находится на разрешении Правительства.</w:t>
            </w:r>
          </w:p>
          <w:p w14:paraId="33545AC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DB6742B" w14:textId="77777777" w:rsidTr="000D3BCB">
        <w:trPr>
          <w:trHeight w:val="384"/>
        </w:trPr>
        <w:tc>
          <w:tcPr>
            <w:tcW w:w="4195" w:type="dxa"/>
            <w:tcBorders>
              <w:top w:val="single" w:sz="6" w:space="0" w:color="auto"/>
              <w:left w:val="single" w:sz="6" w:space="0" w:color="auto"/>
              <w:bottom w:val="single" w:sz="6" w:space="0" w:color="auto"/>
              <w:right w:val="single" w:sz="6" w:space="0" w:color="auto"/>
            </w:tcBorders>
          </w:tcPr>
          <w:p w14:paraId="32F0CA6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Трехосный грузовой автомобиль повышенной проходимости ГАЗ-33 (со всеми ведущими осями).</w:t>
            </w:r>
          </w:p>
          <w:p w14:paraId="5A91C30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28" w:type="dxa"/>
            <w:tcBorders>
              <w:top w:val="single" w:sz="6" w:space="0" w:color="auto"/>
              <w:left w:val="single" w:sz="6" w:space="0" w:color="auto"/>
              <w:bottom w:val="single" w:sz="6" w:space="0" w:color="auto"/>
              <w:right w:val="single" w:sz="6" w:space="0" w:color="auto"/>
            </w:tcBorders>
          </w:tcPr>
          <w:p w14:paraId="24F30BA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Опытный образец прошел испытание. Вопрос о серийном выпуске находится на разрешении Правительства.</w:t>
            </w:r>
          </w:p>
          <w:p w14:paraId="1B12DD0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F277695" w14:textId="77777777" w:rsidTr="000D3BCB">
        <w:trPr>
          <w:trHeight w:val="384"/>
        </w:trPr>
        <w:tc>
          <w:tcPr>
            <w:tcW w:w="4195" w:type="dxa"/>
            <w:tcBorders>
              <w:top w:val="single" w:sz="6" w:space="0" w:color="auto"/>
              <w:left w:val="single" w:sz="6" w:space="0" w:color="auto"/>
              <w:bottom w:val="single" w:sz="6" w:space="0" w:color="auto"/>
              <w:right w:val="single" w:sz="6" w:space="0" w:color="auto"/>
            </w:tcBorders>
          </w:tcPr>
          <w:p w14:paraId="1B935D8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Трехосный грузовой автомобиль повышенной проходимости ЗИС-36 (со всеми ведущими осями).</w:t>
            </w:r>
          </w:p>
          <w:p w14:paraId="7F78D27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28" w:type="dxa"/>
            <w:tcBorders>
              <w:top w:val="single" w:sz="6" w:space="0" w:color="auto"/>
              <w:left w:val="single" w:sz="6" w:space="0" w:color="auto"/>
              <w:bottom w:val="single" w:sz="6" w:space="0" w:color="auto"/>
              <w:right w:val="single" w:sz="6" w:space="0" w:color="auto"/>
            </w:tcBorders>
          </w:tcPr>
          <w:p w14:paraId="592E52A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Опытный образец прошел заводские испытания и поступает на полигон для окончательной проверки соответствия тактико-техническим требованиям ГАБТУ КА.</w:t>
            </w:r>
          </w:p>
          <w:p w14:paraId="6125B89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Вопрос о серийном выпуске находится на разрешении в Правительстве</w:t>
            </w:r>
          </w:p>
        </w:tc>
      </w:tr>
      <w:tr w:rsidR="00643896" w:rsidRPr="00640820" w14:paraId="2AC91D22" w14:textId="77777777" w:rsidTr="000D3BCB">
        <w:trPr>
          <w:trHeight w:val="384"/>
        </w:trPr>
        <w:tc>
          <w:tcPr>
            <w:tcW w:w="4195" w:type="dxa"/>
            <w:tcBorders>
              <w:top w:val="single" w:sz="6" w:space="0" w:color="auto"/>
              <w:left w:val="single" w:sz="6" w:space="0" w:color="auto"/>
              <w:bottom w:val="single" w:sz="6" w:space="0" w:color="auto"/>
              <w:right w:val="single" w:sz="6" w:space="0" w:color="auto"/>
            </w:tcBorders>
          </w:tcPr>
          <w:p w14:paraId="27FD2A6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Средства светомаскировки машин от воздушного наблюдения.</w:t>
            </w:r>
          </w:p>
          <w:p w14:paraId="3650065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28" w:type="dxa"/>
            <w:tcBorders>
              <w:top w:val="single" w:sz="6" w:space="0" w:color="auto"/>
              <w:left w:val="single" w:sz="6" w:space="0" w:color="auto"/>
              <w:bottom w:val="single" w:sz="6" w:space="0" w:color="auto"/>
              <w:right w:val="single" w:sz="6" w:space="0" w:color="auto"/>
            </w:tcBorders>
          </w:tcPr>
          <w:p w14:paraId="370FDA1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Проведены испытания и выбраны образцы</w:t>
            </w:r>
          </w:p>
          <w:p w14:paraId="762DD3A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светомаскировочных средств (нафарники) для автомобильного парка КА и народного хозяйства. ГАБТУ изготовляет 500 комплектов нафарников и издает инструкцию по их изготовлению войсковыми частями.</w:t>
            </w:r>
          </w:p>
          <w:p w14:paraId="571DBC2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Во исполнение Постановления СНК и ЦК № 188-450сс от 21.04.1941 г. об обеспечении машин средствами светомаскировки с 1.07.1941 г. НКСМ разрабатывает специальную фару, которая будет ставиться на вновь выпускаемых машинах и должна будет заменить собой нафарники</w:t>
            </w:r>
          </w:p>
        </w:tc>
      </w:tr>
    </w:tbl>
    <w:p w14:paraId="006F74D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Начальник 4 отдела АТУ ГАБТУ КА военинженер 1 ранга Дацюк</w:t>
      </w:r>
    </w:p>
    <w:p w14:paraId="4EE1837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ЦАМО. Ф. 38. Оп. 11386. Д. 29. Л. 34-35. Подлинник (11211).</w:t>
      </w:r>
    </w:p>
    <w:p w14:paraId="3C7D4AA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A555CA" w14:textId="77777777" w:rsidR="00911435" w:rsidRPr="00640820" w:rsidRDefault="0091143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октября 1941 г. в приказе наркома электропромышленности № 325с отмечалось, что полностью были эвакуированы из Ленинграда всего один завод № 8 и Ленинградский проектноэкспериментальный институт № 56, который был переведен в Уфу и сыграл в течении войны видную роль в разработке и освоении выпуска аппаратуры засекречивающей связи. Эвакуация всех прочих электротехнических предприятий города была осуществлена частично. В связи с окончанием активной фазы эвакуации и переводом в новые пункты дислокации большей части оборудования заводов №№ 208, 210 и 327 условные наименования этих предприятий были присвоены заводам соответственно в Новосибирске, Омске и Красноярске. В свою очередь базовые предприятия, оставшиеся в Ленинграде, были переименованы следующим образом: завод № 208 им. Коминтерна – в завод № 615, завод № 210 им. Козицкого – в завод № 616 и завод № 327 – в завод № 619. Именно под такими условными номерами эти предприятия и функционировали на протяжении всех лет Великой Отечественной войны (18297).</w:t>
      </w:r>
    </w:p>
    <w:p w14:paraId="3AD8E28D" w14:textId="77777777" w:rsidR="00911435" w:rsidRPr="00640820" w:rsidRDefault="00911435" w:rsidP="00640820">
      <w:pPr>
        <w:spacing w:after="0" w:line="240" w:lineRule="auto"/>
        <w:jc w:val="both"/>
        <w:rPr>
          <w:rFonts w:ascii="Times New Roman" w:hAnsi="Times New Roman"/>
          <w:color w:val="000000" w:themeColor="text1"/>
          <w:sz w:val="16"/>
          <w:szCs w:val="16"/>
        </w:rPr>
      </w:pPr>
    </w:p>
    <w:p w14:paraId="2D780F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октября 1941 на Кавказ на борту парохода "Лепсе" было доставлено основное оборудование и секции находившихся в постройке на заводе № 532 торпедных катеров. 1 ноября с завода ушел на буксире недостроенный крейсер "Куйбышев" (ранее прибуксированный сюда из Николаева) с оборудованием и завод</w:t>
      </w:r>
      <w:r w:rsidRPr="00640820">
        <w:rPr>
          <w:rFonts w:ascii="Times New Roman" w:hAnsi="Times New Roman"/>
          <w:color w:val="000000" w:themeColor="text1"/>
          <w:sz w:val="16"/>
          <w:szCs w:val="16"/>
        </w:rPr>
        <w:softHyphen/>
        <w:t>скими специалистами на борту и 3 ноября — недостроенный эсми</w:t>
      </w:r>
      <w:r w:rsidRPr="00640820">
        <w:rPr>
          <w:rFonts w:ascii="Times New Roman" w:hAnsi="Times New Roman"/>
          <w:color w:val="000000" w:themeColor="text1"/>
          <w:sz w:val="16"/>
          <w:szCs w:val="16"/>
        </w:rPr>
        <w:softHyphen/>
        <w:t>нец "Озорной", также николаевской постройки. В портах Кавказа (главным образом, в Новороссийске) оборудование, секции и выве</w:t>
      </w:r>
      <w:r w:rsidRPr="00640820">
        <w:rPr>
          <w:rFonts w:ascii="Times New Roman" w:hAnsi="Times New Roman"/>
          <w:color w:val="000000" w:themeColor="text1"/>
          <w:sz w:val="16"/>
          <w:szCs w:val="16"/>
        </w:rPr>
        <w:softHyphen/>
        <w:t>зенные материалы перегружались в железнодорожные эшелоны и следовали далее к месту назначения (3898).</w:t>
      </w:r>
    </w:p>
    <w:p w14:paraId="71FB01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585B4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27 октября 1941 года по 7 февраля 1942 года на станцию Вахрушево прибыло 818 вагонов с оборудованием базы № 38, которая дислоцировалась в Павловской Слободе Истринского района Московской области и занималась ремонтом артиллерийского и стрелкового оружия всех систем. Вместе с ним приехали 1655 человек, в том числе 716 рабочих, инженерно-технических работников и служащих и 939 членов их семей.</w:t>
      </w:r>
      <w:r w:rsidR="003B0340" w:rsidRPr="00640820">
        <w:rPr>
          <w:rFonts w:ascii="Times New Roman" w:hAnsi="Times New Roman"/>
          <w:color w:val="000000" w:themeColor="text1"/>
          <w:sz w:val="16"/>
          <w:szCs w:val="16"/>
        </w:rPr>
        <w:fldChar w:fldCharType="begin"/>
      </w:r>
      <w:r w:rsidR="003B0340" w:rsidRPr="00640820">
        <w:rPr>
          <w:rFonts w:ascii="Times New Roman" w:hAnsi="Times New Roman"/>
          <w:color w:val="000000" w:themeColor="text1"/>
          <w:sz w:val="16"/>
          <w:szCs w:val="16"/>
        </w:rPr>
        <w:instrText xml:space="preserve">ref HYPERLINK  \l "a1" \* MERGEFORMAT </w:instrText>
      </w:r>
      <w:r w:rsidR="003B0340" w:rsidRPr="00640820">
        <w:rPr>
          <w:rFonts w:ascii="Times New Roman" w:hAnsi="Times New Roman"/>
          <w:color w:val="000000" w:themeColor="text1"/>
          <w:sz w:val="16"/>
          <w:szCs w:val="16"/>
        </w:rPr>
        <w:fldChar w:fldCharType="separate"/>
      </w:r>
      <w:r w:rsidRPr="00640820">
        <w:rPr>
          <w:rFonts w:ascii="Times New Roman" w:hAnsi="Times New Roman"/>
          <w:color w:val="000000" w:themeColor="text1"/>
          <w:sz w:val="16"/>
          <w:szCs w:val="16"/>
          <w:u w:val="single"/>
          <w:vertAlign w:val="superscript"/>
        </w:rPr>
        <w:t>1</w:t>
      </w:r>
      <w:r w:rsidR="003B0340" w:rsidRPr="00640820">
        <w:rPr>
          <w:rFonts w:ascii="Times New Roman" w:hAnsi="Times New Roman"/>
          <w:color w:val="000000" w:themeColor="text1"/>
          <w:sz w:val="16"/>
          <w:szCs w:val="16"/>
          <w:u w:val="single"/>
          <w:vertAlign w:val="superscript"/>
        </w:rPr>
        <w:fldChar w:fldCharType="end"/>
      </w:r>
      <w:r w:rsidRPr="00640820">
        <w:rPr>
          <w:rFonts w:ascii="Times New Roman" w:hAnsi="Times New Roman"/>
          <w:color w:val="000000" w:themeColor="text1"/>
          <w:sz w:val="16"/>
          <w:szCs w:val="16"/>
        </w:rPr>
        <w:t>Разгрузка имущества базы производилась в чрезвычайно тяжёлых условиях: отсутствие разгрузочных площадок и грузоподъёмных средств, недостаток рабочей силы (людской состав прибыл с последними эшелонами), не хватало транспорта. Помещений для размещения оборудования и артиллерийского имущества было недостаточно. Единственным производственным помещением, да и то приспособленным явился клуб кожевенного комбината им. Ленина, в котором были размещены основные производственные цеха: артиллерийский, оружейный, оптический, ремонтный и техническая часть.</w:t>
      </w:r>
    </w:p>
    <w:p w14:paraId="356746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Деревообделочный цех был размещён в деревне Оглоблины, где не мог развернуть работу из-за отсутствия электроэнергии.</w:t>
      </w:r>
    </w:p>
    <w:p w14:paraId="55F986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основной деятельности - ремонту вооружения - приступили во второй половине октября, не дожидаясь полного привоза оборудования. Однако развёрнутые цеха не могли нормально функционировать из-за отсутствия вспомогательных и чрезвычайно плохого снабжения электроэнергией, которой не хватало и для нужд комбината. Поэтому сразу же по приезде начали строить три здания: для строительного и деревообделочного цехов и электростанции.</w:t>
      </w:r>
    </w:p>
    <w:p w14:paraId="60B620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 хватало и рабочих. Эту проблему решили просто: база была воинским подразделением, поэтому через облвоенкомат сюда стали направлять призывников. Одним из них был Пётр Ефимович Козлов, который написал о своей службе на военной базе № 38 в книге воспоминаний «Сталинград»: «Мы строили 4-ый цех, долбили мёрзлую землю, заливали цементом пол, делали навес и под него ставили танки. Рабочий день продолжался 11 часов. Чрезвычайно уставали. Питание было ужасным. Всё время хотелось есть... военного обмундирования или хотя бы рабочей одежды у нас не было. Работали в своём домашнем: телогрейках, полушубках».</w:t>
      </w:r>
      <w:r w:rsidR="003B0340" w:rsidRPr="00640820">
        <w:rPr>
          <w:rFonts w:ascii="Times New Roman" w:hAnsi="Times New Roman"/>
          <w:color w:val="000000" w:themeColor="text1"/>
          <w:sz w:val="16"/>
          <w:szCs w:val="16"/>
        </w:rPr>
        <w:fldChar w:fldCharType="begin"/>
      </w:r>
      <w:r w:rsidR="003B0340" w:rsidRPr="00640820">
        <w:rPr>
          <w:rFonts w:ascii="Times New Roman" w:hAnsi="Times New Roman"/>
          <w:color w:val="000000" w:themeColor="text1"/>
          <w:sz w:val="16"/>
          <w:szCs w:val="16"/>
        </w:rPr>
        <w:instrText xml:space="preserve">ref HYPERLINK  \l "a2" \* MERGEFORMAT </w:instrText>
      </w:r>
      <w:r w:rsidR="003B0340" w:rsidRPr="00640820">
        <w:rPr>
          <w:rFonts w:ascii="Times New Roman" w:hAnsi="Times New Roman"/>
          <w:color w:val="000000" w:themeColor="text1"/>
          <w:sz w:val="16"/>
          <w:szCs w:val="16"/>
        </w:rPr>
        <w:fldChar w:fldCharType="separate"/>
      </w:r>
      <w:r w:rsidRPr="00640820">
        <w:rPr>
          <w:rFonts w:ascii="Times New Roman" w:hAnsi="Times New Roman"/>
          <w:color w:val="000000" w:themeColor="text1"/>
          <w:sz w:val="16"/>
          <w:szCs w:val="16"/>
          <w:u w:val="single"/>
          <w:vertAlign w:val="superscript"/>
        </w:rPr>
        <w:t>2</w:t>
      </w:r>
      <w:r w:rsidR="003B0340" w:rsidRPr="00640820">
        <w:rPr>
          <w:rFonts w:ascii="Times New Roman" w:hAnsi="Times New Roman"/>
          <w:color w:val="000000" w:themeColor="text1"/>
          <w:sz w:val="16"/>
          <w:szCs w:val="16"/>
          <w:u w:val="single"/>
          <w:vertAlign w:val="superscript"/>
        </w:rPr>
        <w:fldChar w:fldCharType="end"/>
      </w:r>
    </w:p>
    <w:p w14:paraId="460F4B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 плохом питании зимой 1941-1942 гг. писал начальник базы Шабалин: «Снабжение личного состава продовольствием было на чрезвычайно низком уровне»</w:t>
      </w:r>
      <w:r w:rsidR="003B0340" w:rsidRPr="00640820">
        <w:rPr>
          <w:rFonts w:ascii="Times New Roman" w:hAnsi="Times New Roman"/>
          <w:color w:val="000000" w:themeColor="text1"/>
          <w:sz w:val="16"/>
          <w:szCs w:val="16"/>
        </w:rPr>
        <w:fldChar w:fldCharType="begin"/>
      </w:r>
      <w:r w:rsidR="003B0340" w:rsidRPr="00640820">
        <w:rPr>
          <w:rFonts w:ascii="Times New Roman" w:hAnsi="Times New Roman"/>
          <w:color w:val="000000" w:themeColor="text1"/>
          <w:sz w:val="16"/>
          <w:szCs w:val="16"/>
        </w:rPr>
        <w:instrText xml:space="preserve">ref HYPERLINK  \l "a3" \* MERGEFORMAT </w:instrText>
      </w:r>
      <w:r w:rsidR="003B0340" w:rsidRPr="00640820">
        <w:rPr>
          <w:rFonts w:ascii="Times New Roman" w:hAnsi="Times New Roman"/>
          <w:color w:val="000000" w:themeColor="text1"/>
          <w:sz w:val="16"/>
          <w:szCs w:val="16"/>
        </w:rPr>
        <w:fldChar w:fldCharType="separate"/>
      </w:r>
      <w:r w:rsidRPr="00640820">
        <w:rPr>
          <w:rFonts w:ascii="Times New Roman" w:hAnsi="Times New Roman"/>
          <w:color w:val="000000" w:themeColor="text1"/>
          <w:sz w:val="16"/>
          <w:szCs w:val="16"/>
          <w:u w:val="single"/>
          <w:vertAlign w:val="superscript"/>
        </w:rPr>
        <w:t>3</w:t>
      </w:r>
      <w:r w:rsidR="003B0340" w:rsidRPr="00640820">
        <w:rPr>
          <w:rFonts w:ascii="Times New Roman" w:hAnsi="Times New Roman"/>
          <w:color w:val="000000" w:themeColor="text1"/>
          <w:sz w:val="16"/>
          <w:szCs w:val="16"/>
          <w:u w:val="single"/>
          <w:vertAlign w:val="superscript"/>
        </w:rPr>
        <w:fldChar w:fldCharType="end"/>
      </w:r>
      <w:r w:rsidRPr="00640820">
        <w:rPr>
          <w:rFonts w:ascii="Times New Roman" w:hAnsi="Times New Roman"/>
          <w:color w:val="000000" w:themeColor="text1"/>
          <w:sz w:val="16"/>
          <w:szCs w:val="16"/>
        </w:rPr>
        <w:t>. Тяжёлыми были и бытовые условия эвакуированных и призванных служить на базу. В условиях посёлка Вахруши расселить более 1 тысячи человек было большой проблемой, поэтому селили в окрестных деревнях в радиусе 5 километров.</w:t>
      </w:r>
    </w:p>
    <w:p w14:paraId="53D188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Несмотря на все трудности, база работала. Уже к 1 января 1942 года было выстроено здание строительного цеха, а в марте закончили строительство и пустили в эксплуатацию электростанцию, для которой специальным решением обкома ВКП(б) был передан локомобиль ЛМ-7 на 170 л.с. с электрогенератором. К 1 апреля, в основном, построили механический цех и установили там оборудование. Для хранения артимущества было использовано недостроенное кирпичное здание, предназначенное для обувной фабрики кожкомбината. Дополнительно построили ещё три навеса на территории комбината. Проведена была реконструкция столовой. Однако площадей для нормального функционирования базы всё равно не хватало, и командование базы неоднократно обращалось в различные инстанции с просьбами о выделении базе дополнительных площадей, но получало твёрдый отказ: самому кожкомбинату не хватало производственных площадей, а в январе-феврале 1942 года на комбинат прибыла эвакуационная обувная фабрика им. Леккерта из города Торжка Калининской области. В связи с этим строительные работы на базе продолжались и летом 1942 года. К августу вступили в строй кузница, термическое отделение, колёсный цех.</w:t>
      </w:r>
    </w:p>
    <w:p w14:paraId="2867FC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Интересно, что военной базе № 38, как промышленному предприятию, давался производственный план, сколько техники и оружия она должна была отремонтировать. Копию сводки о выполнении планов в процентах и ассортименте база ежемесячно направляла в обком партии. Из них видно, что в первые месяцы пребывания на Вятской земле база выполняла план всего лишь на 65-80%. Только после пуска в эксплуатацию всего производственного комплекса летом 1942 года план стал регулярно выполняться и перевыполняться. О деятельности базы говорят такие цифры: за 5 месяцев 1942 года базой выпущено из ремонта:</w:t>
      </w:r>
    </w:p>
    <w:p w14:paraId="3844CE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артиллерийских систем -152 </w:t>
      </w:r>
    </w:p>
    <w:p w14:paraId="42BDBC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винтовок отечественных -13145 </w:t>
      </w:r>
    </w:p>
    <w:p w14:paraId="04069E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иностранных винтовок- 1330 </w:t>
      </w:r>
    </w:p>
    <w:p w14:paraId="0CFB87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пулемётов отечественных-785 </w:t>
      </w:r>
    </w:p>
    <w:p w14:paraId="289345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иностранных пулемётов- 1075 </w:t>
      </w:r>
    </w:p>
    <w:p w14:paraId="34DBA3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револьверов и пистолетов отечественных- 1505 </w:t>
      </w:r>
    </w:p>
    <w:p w14:paraId="690D90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иностранных- 481 </w:t>
      </w:r>
    </w:p>
    <w:p w14:paraId="485B96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биноклей- 345 </w:t>
      </w:r>
    </w:p>
    <w:p w14:paraId="7CB598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больших стереотруб- 46 и т.д.</w:t>
      </w:r>
      <w:r w:rsidR="003B0340" w:rsidRPr="00640820">
        <w:rPr>
          <w:rFonts w:ascii="Times New Roman" w:hAnsi="Times New Roman"/>
          <w:color w:val="000000" w:themeColor="text1"/>
          <w:sz w:val="16"/>
          <w:szCs w:val="16"/>
        </w:rPr>
        <w:fldChar w:fldCharType="begin"/>
      </w:r>
      <w:r w:rsidR="003B0340" w:rsidRPr="00640820">
        <w:rPr>
          <w:rFonts w:ascii="Times New Roman" w:hAnsi="Times New Roman"/>
          <w:color w:val="000000" w:themeColor="text1"/>
          <w:sz w:val="16"/>
          <w:szCs w:val="16"/>
        </w:rPr>
        <w:instrText xml:space="preserve">ref HYPERLINK  \l "a4" \* MERGEFORMAT </w:instrText>
      </w:r>
      <w:r w:rsidR="003B0340" w:rsidRPr="00640820">
        <w:rPr>
          <w:rFonts w:ascii="Times New Roman" w:hAnsi="Times New Roman"/>
          <w:color w:val="000000" w:themeColor="text1"/>
          <w:sz w:val="16"/>
          <w:szCs w:val="16"/>
        </w:rPr>
        <w:fldChar w:fldCharType="separate"/>
      </w:r>
      <w:r w:rsidRPr="00640820">
        <w:rPr>
          <w:rFonts w:ascii="Times New Roman" w:hAnsi="Times New Roman"/>
          <w:color w:val="000000" w:themeColor="text1"/>
          <w:sz w:val="16"/>
          <w:szCs w:val="16"/>
          <w:u w:val="single"/>
          <w:vertAlign w:val="superscript"/>
        </w:rPr>
        <w:t>4</w:t>
      </w:r>
      <w:r w:rsidR="003B0340" w:rsidRPr="00640820">
        <w:rPr>
          <w:rFonts w:ascii="Times New Roman" w:hAnsi="Times New Roman"/>
          <w:color w:val="000000" w:themeColor="text1"/>
          <w:sz w:val="16"/>
          <w:szCs w:val="16"/>
          <w:u w:val="single"/>
          <w:vertAlign w:val="superscript"/>
        </w:rPr>
        <w:fldChar w:fldCharType="end"/>
      </w:r>
    </w:p>
    <w:p w14:paraId="5DB4F3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иностранного вооружения ремонтировалось, в основном, англо-американское, подходившее под отечественный калибр. По-видимому, было небольшое производство и нового оружия. В феврале 1942 года база отчитывалась, что приступили к освоению выпуска «ППШ» (пистолета-пулемёта Шпагина), но о количестве произведенного оружия не сказано.</w:t>
      </w:r>
      <w:r w:rsidR="003B0340" w:rsidRPr="00640820">
        <w:rPr>
          <w:rFonts w:ascii="Times New Roman" w:hAnsi="Times New Roman"/>
          <w:color w:val="000000" w:themeColor="text1"/>
          <w:sz w:val="16"/>
          <w:szCs w:val="16"/>
        </w:rPr>
        <w:fldChar w:fldCharType="begin"/>
      </w:r>
      <w:r w:rsidR="003B0340" w:rsidRPr="00640820">
        <w:rPr>
          <w:rFonts w:ascii="Times New Roman" w:hAnsi="Times New Roman"/>
          <w:color w:val="000000" w:themeColor="text1"/>
          <w:sz w:val="16"/>
          <w:szCs w:val="16"/>
        </w:rPr>
        <w:instrText xml:space="preserve">ref HYPERLINK  \l "a5" \* MERGEFORMAT </w:instrText>
      </w:r>
      <w:r w:rsidR="003B0340" w:rsidRPr="00640820">
        <w:rPr>
          <w:rFonts w:ascii="Times New Roman" w:hAnsi="Times New Roman"/>
          <w:color w:val="000000" w:themeColor="text1"/>
          <w:sz w:val="16"/>
          <w:szCs w:val="16"/>
        </w:rPr>
        <w:fldChar w:fldCharType="separate"/>
      </w:r>
      <w:r w:rsidRPr="00640820">
        <w:rPr>
          <w:rFonts w:ascii="Times New Roman" w:hAnsi="Times New Roman"/>
          <w:color w:val="000000" w:themeColor="text1"/>
          <w:sz w:val="16"/>
          <w:szCs w:val="16"/>
          <w:u w:val="single"/>
          <w:vertAlign w:val="superscript"/>
        </w:rPr>
        <w:t>5</w:t>
      </w:r>
      <w:r w:rsidR="003B0340" w:rsidRPr="00640820">
        <w:rPr>
          <w:rFonts w:ascii="Times New Roman" w:hAnsi="Times New Roman"/>
          <w:color w:val="000000" w:themeColor="text1"/>
          <w:sz w:val="16"/>
          <w:szCs w:val="16"/>
          <w:u w:val="single"/>
          <w:vertAlign w:val="superscript"/>
        </w:rPr>
        <w:fldChar w:fldCharType="end"/>
      </w:r>
    </w:p>
    <w:p w14:paraId="01DF10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Весной 1942 года немецкие войска освободили от немцев Подмосковье, и в мае военная база № 38 открыла филиал на месте прежней дислокации в Павловской слободе, куда были переведены рабочие оптического и цеха стрелкового вооружения.</w:t>
      </w:r>
    </w:p>
    <w:p w14:paraId="6587DE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в Вахрушах в связи с острой нехваткой квалифицированных рабочих на базе были открыты двухмесячные курсы по обучению учеников для механического цеха, в первом выпуске которых было 22 человека. Ещё учили индивидуально, в первую очередь, на токарей.</w:t>
      </w:r>
    </w:p>
    <w:p w14:paraId="2873A2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Как на каждом заводе в то время, на военной базе № 38 было организовано соцсоревнование, движение стахановцев, поощрялись изобретательство и рационализация.</w:t>
      </w:r>
    </w:p>
    <w:p w14:paraId="772715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Весной 1942 года создаётся подсобное хозяйство базы, а для желающих была выделена земля под индивидуальные огороды. Специально для сельхозработ на базе отремонтировали два трактора и автомашину - автоцистерну, подобрали и необходимый сельхозинвентарь. Вся эта работа позволила улучшить питание рабочих.</w:t>
      </w:r>
    </w:p>
    <w:p w14:paraId="3174B1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основной производственной деятельности, рабочие и служащие базы оказывали помощь колхозам людьми и техникой, работали на заготовке дров (заготовили 4000 кубометров дров). Были и воскресники в помощь эвакуированным детям, на танковую колонну имени ЦК ВЛКСМ. Помогали госпиталю, проводили концерты. Совместно с комбинатом были проведены ремонт и оборудование летнего парка. Как воинская часть, база вела и военную работу: командный состав проводил военную подготовку в средней школе, руководил всеобучем при поселковом Совете и т.п.</w:t>
      </w:r>
    </w:p>
    <w:p w14:paraId="64D4EA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августе 1942 года коллектив базы получил поздравление Кировского обкома ВКП(б) за успешное выполнение произведенного плана. В ответной телеграмме за подписью начальника базы майора Музычука говорилось: «Рабочий класс дал клятву работать не покладая рук по обеспечению фронта смертоносным оружием... Тяжёлые дни переживает сейчас Советская страна. Угроза, нависшая над Родиной, усиливается. Пылает советский Юг, враг яростно рвётся вперёд. Враг должен быть остановлен. Мы делаем всё, что могут делать советские люди, для которых нет ничего более священного, чем защита Родины.»</w:t>
      </w:r>
      <w:r w:rsidR="003B0340" w:rsidRPr="00640820">
        <w:rPr>
          <w:rFonts w:ascii="Times New Roman" w:hAnsi="Times New Roman"/>
          <w:color w:val="000000" w:themeColor="text1"/>
          <w:sz w:val="16"/>
          <w:szCs w:val="16"/>
        </w:rPr>
        <w:fldChar w:fldCharType="begin"/>
      </w:r>
      <w:r w:rsidR="003B0340" w:rsidRPr="00640820">
        <w:rPr>
          <w:rFonts w:ascii="Times New Roman" w:hAnsi="Times New Roman"/>
          <w:color w:val="000000" w:themeColor="text1"/>
          <w:sz w:val="16"/>
          <w:szCs w:val="16"/>
        </w:rPr>
        <w:instrText xml:space="preserve">ref HYPERLINK  \l "a6" \* MERGEFORMAT </w:instrText>
      </w:r>
      <w:r w:rsidR="003B0340" w:rsidRPr="00640820">
        <w:rPr>
          <w:rFonts w:ascii="Times New Roman" w:hAnsi="Times New Roman"/>
          <w:color w:val="000000" w:themeColor="text1"/>
          <w:sz w:val="16"/>
          <w:szCs w:val="16"/>
        </w:rPr>
        <w:fldChar w:fldCharType="separate"/>
      </w:r>
      <w:r w:rsidRPr="00640820">
        <w:rPr>
          <w:rFonts w:ascii="Times New Roman" w:hAnsi="Times New Roman"/>
          <w:color w:val="000000" w:themeColor="text1"/>
          <w:sz w:val="16"/>
          <w:szCs w:val="16"/>
          <w:u w:val="single"/>
          <w:vertAlign w:val="superscript"/>
        </w:rPr>
        <w:t>6</w:t>
      </w:r>
      <w:r w:rsidR="003B0340" w:rsidRPr="00640820">
        <w:rPr>
          <w:rFonts w:ascii="Times New Roman" w:hAnsi="Times New Roman"/>
          <w:color w:val="000000" w:themeColor="text1"/>
          <w:sz w:val="16"/>
          <w:szCs w:val="16"/>
          <w:u w:val="single"/>
          <w:vertAlign w:val="superscript"/>
        </w:rPr>
        <w:fldChar w:fldCharType="end"/>
      </w:r>
    </w:p>
    <w:p w14:paraId="5732F8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 своими заботами командование часто обращалось в обком партии и, надо сказать, получало там помощь и поддержку. Именно поэтому 1 октября 1942 года в Обкоме было получено необычное обращение:</w:t>
      </w:r>
    </w:p>
    <w:p w14:paraId="596F2F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«Секретарю Кировского Обкома ВКП(б), председателю комитета обороны Кировской области тов. Лукьянову. От имени стахановцев и всего коллектива военной базы просим принять боевое оружие - пистолет «Маузер», и, если Вам представится возможность, бейте без промаха фашистского зверя. Смерть немецким оккупантам!»</w:t>
      </w:r>
    </w:p>
    <w:p w14:paraId="199141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полях этого документа сноска: « Маузер № 46452 зарегистрирован на имя Лукьянова в обл. управлении милиции 11.10.1942».</w:t>
      </w:r>
      <w:r w:rsidR="003B0340" w:rsidRPr="00640820">
        <w:rPr>
          <w:rFonts w:ascii="Times New Roman" w:hAnsi="Times New Roman"/>
          <w:color w:val="000000" w:themeColor="text1"/>
          <w:sz w:val="16"/>
          <w:szCs w:val="16"/>
        </w:rPr>
        <w:fldChar w:fldCharType="begin"/>
      </w:r>
      <w:r w:rsidR="003B0340" w:rsidRPr="00640820">
        <w:rPr>
          <w:rFonts w:ascii="Times New Roman" w:hAnsi="Times New Roman"/>
          <w:color w:val="000000" w:themeColor="text1"/>
          <w:sz w:val="16"/>
          <w:szCs w:val="16"/>
        </w:rPr>
        <w:instrText xml:space="preserve">ref HYPERLINK  \l "a7" \* MERGEFORMAT </w:instrText>
      </w:r>
      <w:r w:rsidR="003B0340" w:rsidRPr="00640820">
        <w:rPr>
          <w:rFonts w:ascii="Times New Roman" w:hAnsi="Times New Roman"/>
          <w:color w:val="000000" w:themeColor="text1"/>
          <w:sz w:val="16"/>
          <w:szCs w:val="16"/>
        </w:rPr>
        <w:fldChar w:fldCharType="separate"/>
      </w:r>
      <w:r w:rsidRPr="00640820">
        <w:rPr>
          <w:rFonts w:ascii="Times New Roman" w:hAnsi="Times New Roman"/>
          <w:color w:val="000000" w:themeColor="text1"/>
          <w:sz w:val="16"/>
          <w:szCs w:val="16"/>
          <w:u w:val="single"/>
          <w:vertAlign w:val="superscript"/>
        </w:rPr>
        <w:t>7</w:t>
      </w:r>
      <w:r w:rsidR="003B0340" w:rsidRPr="00640820">
        <w:rPr>
          <w:rFonts w:ascii="Times New Roman" w:hAnsi="Times New Roman"/>
          <w:color w:val="000000" w:themeColor="text1"/>
          <w:sz w:val="16"/>
          <w:szCs w:val="16"/>
          <w:u w:val="single"/>
          <w:vertAlign w:val="superscript"/>
        </w:rPr>
        <w:fldChar w:fldCharType="end"/>
      </w:r>
    </w:p>
    <w:p w14:paraId="748B7D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Военная база № 38 Главного артиллерийского управления РККА находилась в Вахрушах до сентября 1943 года, когда «выехала за пределы области».8 Понятно, что летом 1943 года начался коренной перелом в ходе Великой Отечественной войны, советские войска начали наступать, и база, ремонтирующая вооружение, должна была быть ближе к фронту.</w:t>
      </w:r>
    </w:p>
    <w:p w14:paraId="264C57D2" w14:textId="77777777" w:rsidR="00165A9C" w:rsidRPr="00640820" w:rsidRDefault="00165A9C" w:rsidP="00640820">
      <w:pPr>
        <w:autoSpaceDE w:val="0"/>
        <w:autoSpaceDN w:val="0"/>
        <w:adjustRightInd w:val="0"/>
        <w:spacing w:after="0" w:line="240" w:lineRule="auto"/>
        <w:jc w:val="both"/>
        <w:rPr>
          <w:rFonts w:ascii="Times New Roman" w:hAnsi="Times New Roman"/>
          <w:b/>
          <w:bCs/>
          <w:color w:val="000000" w:themeColor="text1"/>
          <w:sz w:val="16"/>
          <w:szCs w:val="16"/>
        </w:rPr>
      </w:pPr>
      <w:r w:rsidRPr="00640820">
        <w:rPr>
          <w:rFonts w:ascii="Times New Roman" w:hAnsi="Times New Roman"/>
          <w:color w:val="000000" w:themeColor="text1"/>
          <w:sz w:val="16"/>
          <w:szCs w:val="16"/>
        </w:rPr>
        <w:t>Примечания</w:t>
      </w:r>
    </w:p>
    <w:p w14:paraId="59D1DE71" w14:textId="77777777" w:rsidR="00165A9C" w:rsidRPr="00640820" w:rsidRDefault="003B034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fldChar w:fldCharType="begin"/>
      </w:r>
      <w:r w:rsidRPr="00640820">
        <w:rPr>
          <w:rFonts w:ascii="Times New Roman" w:hAnsi="Times New Roman"/>
          <w:color w:val="000000" w:themeColor="text1"/>
          <w:sz w:val="16"/>
          <w:szCs w:val="16"/>
        </w:rPr>
        <w:instrText xml:space="preserve">ref HYPERLINK  \l "aa1" \* MERGEFORMAT </w:instrText>
      </w:r>
      <w:r w:rsidRPr="00640820">
        <w:rPr>
          <w:rFonts w:ascii="Times New Roman" w:hAnsi="Times New Roman"/>
          <w:color w:val="000000" w:themeColor="text1"/>
          <w:sz w:val="16"/>
          <w:szCs w:val="16"/>
        </w:rPr>
        <w:fldChar w:fldCharType="separate"/>
      </w:r>
      <w:r w:rsidR="00165A9C" w:rsidRPr="00640820">
        <w:rPr>
          <w:rFonts w:ascii="Times New Roman" w:hAnsi="Times New Roman"/>
          <w:color w:val="000000" w:themeColor="text1"/>
          <w:sz w:val="16"/>
          <w:szCs w:val="16"/>
          <w:u w:val="single"/>
          <w:vertAlign w:val="superscript"/>
        </w:rPr>
        <w:t>1</w:t>
      </w:r>
      <w:r w:rsidRPr="00640820">
        <w:rPr>
          <w:rFonts w:ascii="Times New Roman" w:hAnsi="Times New Roman"/>
          <w:color w:val="000000" w:themeColor="text1"/>
          <w:sz w:val="16"/>
          <w:szCs w:val="16"/>
          <w:u w:val="single"/>
          <w:vertAlign w:val="superscript"/>
        </w:rPr>
        <w:fldChar w:fldCharType="end"/>
      </w:r>
      <w:r w:rsidR="00165A9C" w:rsidRPr="00640820">
        <w:rPr>
          <w:rFonts w:ascii="Times New Roman" w:hAnsi="Times New Roman"/>
          <w:color w:val="000000" w:themeColor="text1"/>
          <w:sz w:val="16"/>
          <w:szCs w:val="16"/>
        </w:rPr>
        <w:t>ГАСПИ КО Ф. П-1291. Оп. 1. Д. 27. Л. 74.</w:t>
      </w:r>
    </w:p>
    <w:p w14:paraId="634F7602" w14:textId="77777777" w:rsidR="00165A9C" w:rsidRPr="00640820" w:rsidRDefault="003B034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fldChar w:fldCharType="begin"/>
      </w:r>
      <w:r w:rsidRPr="00640820">
        <w:rPr>
          <w:rFonts w:ascii="Times New Roman" w:hAnsi="Times New Roman"/>
          <w:color w:val="000000" w:themeColor="text1"/>
          <w:sz w:val="16"/>
          <w:szCs w:val="16"/>
        </w:rPr>
        <w:instrText xml:space="preserve">ref HYPERLINK  \l "aa2" \* MERGEFORMAT </w:instrText>
      </w:r>
      <w:r w:rsidRPr="00640820">
        <w:rPr>
          <w:rFonts w:ascii="Times New Roman" w:hAnsi="Times New Roman"/>
          <w:color w:val="000000" w:themeColor="text1"/>
          <w:sz w:val="16"/>
          <w:szCs w:val="16"/>
        </w:rPr>
        <w:fldChar w:fldCharType="separate"/>
      </w:r>
      <w:r w:rsidR="00165A9C" w:rsidRPr="00640820">
        <w:rPr>
          <w:rFonts w:ascii="Times New Roman" w:hAnsi="Times New Roman"/>
          <w:color w:val="000000" w:themeColor="text1"/>
          <w:sz w:val="16"/>
          <w:szCs w:val="16"/>
          <w:u w:val="single"/>
          <w:vertAlign w:val="superscript"/>
        </w:rPr>
        <w:t>2</w:t>
      </w:r>
      <w:r w:rsidRPr="00640820">
        <w:rPr>
          <w:rFonts w:ascii="Times New Roman" w:hAnsi="Times New Roman"/>
          <w:color w:val="000000" w:themeColor="text1"/>
          <w:sz w:val="16"/>
          <w:szCs w:val="16"/>
          <w:u w:val="single"/>
          <w:vertAlign w:val="superscript"/>
        </w:rPr>
        <w:fldChar w:fldCharType="end"/>
      </w:r>
      <w:r w:rsidR="00165A9C" w:rsidRPr="00640820">
        <w:rPr>
          <w:rFonts w:ascii="Times New Roman" w:hAnsi="Times New Roman"/>
          <w:color w:val="000000" w:themeColor="text1"/>
          <w:sz w:val="16"/>
          <w:szCs w:val="16"/>
        </w:rPr>
        <w:t>Козлов П.Е., Сталинград, Киров, 1992. - С. 26.</w:t>
      </w:r>
    </w:p>
    <w:p w14:paraId="7A6F0636" w14:textId="77777777" w:rsidR="00165A9C" w:rsidRPr="00640820" w:rsidRDefault="003B034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fldChar w:fldCharType="begin"/>
      </w:r>
      <w:r w:rsidRPr="00640820">
        <w:rPr>
          <w:rFonts w:ascii="Times New Roman" w:hAnsi="Times New Roman"/>
          <w:color w:val="000000" w:themeColor="text1"/>
          <w:sz w:val="16"/>
          <w:szCs w:val="16"/>
        </w:rPr>
        <w:instrText xml:space="preserve">ref HYPERLINK  \l "aa3" \* MERGEFORMAT </w:instrText>
      </w:r>
      <w:r w:rsidRPr="00640820">
        <w:rPr>
          <w:rFonts w:ascii="Times New Roman" w:hAnsi="Times New Roman"/>
          <w:color w:val="000000" w:themeColor="text1"/>
          <w:sz w:val="16"/>
          <w:szCs w:val="16"/>
        </w:rPr>
        <w:fldChar w:fldCharType="separate"/>
      </w:r>
      <w:r w:rsidR="00165A9C" w:rsidRPr="00640820">
        <w:rPr>
          <w:rFonts w:ascii="Times New Roman" w:hAnsi="Times New Roman"/>
          <w:color w:val="000000" w:themeColor="text1"/>
          <w:sz w:val="16"/>
          <w:szCs w:val="16"/>
          <w:u w:val="single"/>
          <w:vertAlign w:val="superscript"/>
        </w:rPr>
        <w:t>3</w:t>
      </w:r>
      <w:r w:rsidRPr="00640820">
        <w:rPr>
          <w:rFonts w:ascii="Times New Roman" w:hAnsi="Times New Roman"/>
          <w:color w:val="000000" w:themeColor="text1"/>
          <w:sz w:val="16"/>
          <w:szCs w:val="16"/>
          <w:u w:val="single"/>
          <w:vertAlign w:val="superscript"/>
        </w:rPr>
        <w:fldChar w:fldCharType="end"/>
      </w:r>
      <w:r w:rsidR="00165A9C" w:rsidRPr="00640820">
        <w:rPr>
          <w:rFonts w:ascii="Times New Roman" w:hAnsi="Times New Roman"/>
          <w:color w:val="000000" w:themeColor="text1"/>
          <w:sz w:val="16"/>
          <w:szCs w:val="16"/>
        </w:rPr>
        <w:t>ГАСПИ КО Ф. П-1290. Оп. 8. Д. 43. Л. 21.</w:t>
      </w:r>
    </w:p>
    <w:p w14:paraId="104E3D81" w14:textId="77777777" w:rsidR="00165A9C" w:rsidRPr="00640820" w:rsidRDefault="003B034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fldChar w:fldCharType="begin"/>
      </w:r>
      <w:r w:rsidRPr="00640820">
        <w:rPr>
          <w:rFonts w:ascii="Times New Roman" w:hAnsi="Times New Roman"/>
          <w:color w:val="000000" w:themeColor="text1"/>
          <w:sz w:val="16"/>
          <w:szCs w:val="16"/>
        </w:rPr>
        <w:instrText xml:space="preserve">ref HYPERLINK  \l "aa4" \* MERGEFORMAT </w:instrText>
      </w:r>
      <w:r w:rsidRPr="00640820">
        <w:rPr>
          <w:rFonts w:ascii="Times New Roman" w:hAnsi="Times New Roman"/>
          <w:color w:val="000000" w:themeColor="text1"/>
          <w:sz w:val="16"/>
          <w:szCs w:val="16"/>
        </w:rPr>
        <w:fldChar w:fldCharType="separate"/>
      </w:r>
      <w:r w:rsidR="00165A9C" w:rsidRPr="00640820">
        <w:rPr>
          <w:rFonts w:ascii="Times New Roman" w:hAnsi="Times New Roman"/>
          <w:color w:val="000000" w:themeColor="text1"/>
          <w:sz w:val="16"/>
          <w:szCs w:val="16"/>
          <w:u w:val="single"/>
          <w:vertAlign w:val="superscript"/>
        </w:rPr>
        <w:t>4</w:t>
      </w:r>
      <w:r w:rsidRPr="00640820">
        <w:rPr>
          <w:rFonts w:ascii="Times New Roman" w:hAnsi="Times New Roman"/>
          <w:color w:val="000000" w:themeColor="text1"/>
          <w:sz w:val="16"/>
          <w:szCs w:val="16"/>
          <w:u w:val="single"/>
          <w:vertAlign w:val="superscript"/>
        </w:rPr>
        <w:fldChar w:fldCharType="end"/>
      </w:r>
      <w:r w:rsidR="00165A9C" w:rsidRPr="00640820">
        <w:rPr>
          <w:rFonts w:ascii="Times New Roman" w:hAnsi="Times New Roman"/>
          <w:color w:val="000000" w:themeColor="text1"/>
          <w:sz w:val="16"/>
          <w:szCs w:val="16"/>
        </w:rPr>
        <w:t>Там же. Л. 24.</w:t>
      </w:r>
    </w:p>
    <w:p w14:paraId="249A4951" w14:textId="77777777" w:rsidR="00165A9C" w:rsidRPr="00640820" w:rsidRDefault="003B034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fldChar w:fldCharType="begin"/>
      </w:r>
      <w:r w:rsidRPr="00640820">
        <w:rPr>
          <w:rFonts w:ascii="Times New Roman" w:hAnsi="Times New Roman"/>
          <w:color w:val="000000" w:themeColor="text1"/>
          <w:sz w:val="16"/>
          <w:szCs w:val="16"/>
        </w:rPr>
        <w:instrText xml:space="preserve">ref HYPERLINK  \l "aa5" \* MERGEFORMAT </w:instrText>
      </w:r>
      <w:r w:rsidRPr="00640820">
        <w:rPr>
          <w:rFonts w:ascii="Times New Roman" w:hAnsi="Times New Roman"/>
          <w:color w:val="000000" w:themeColor="text1"/>
          <w:sz w:val="16"/>
          <w:szCs w:val="16"/>
        </w:rPr>
        <w:fldChar w:fldCharType="separate"/>
      </w:r>
      <w:r w:rsidR="00165A9C" w:rsidRPr="00640820">
        <w:rPr>
          <w:rFonts w:ascii="Times New Roman" w:hAnsi="Times New Roman"/>
          <w:color w:val="000000" w:themeColor="text1"/>
          <w:sz w:val="16"/>
          <w:szCs w:val="16"/>
          <w:u w:val="single"/>
          <w:vertAlign w:val="superscript"/>
        </w:rPr>
        <w:t>5</w:t>
      </w:r>
      <w:r w:rsidRPr="00640820">
        <w:rPr>
          <w:rFonts w:ascii="Times New Roman" w:hAnsi="Times New Roman"/>
          <w:color w:val="000000" w:themeColor="text1"/>
          <w:sz w:val="16"/>
          <w:szCs w:val="16"/>
          <w:u w:val="single"/>
          <w:vertAlign w:val="superscript"/>
        </w:rPr>
        <w:fldChar w:fldCharType="end"/>
      </w:r>
      <w:r w:rsidR="00165A9C" w:rsidRPr="00640820">
        <w:rPr>
          <w:rFonts w:ascii="Times New Roman" w:hAnsi="Times New Roman"/>
          <w:color w:val="000000" w:themeColor="text1"/>
          <w:sz w:val="16"/>
          <w:szCs w:val="16"/>
        </w:rPr>
        <w:t>Там же. Л. 7.</w:t>
      </w:r>
    </w:p>
    <w:p w14:paraId="4DFB7EE4" w14:textId="77777777" w:rsidR="00165A9C" w:rsidRPr="00640820" w:rsidRDefault="003B034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fldChar w:fldCharType="begin"/>
      </w:r>
      <w:r w:rsidRPr="00640820">
        <w:rPr>
          <w:rFonts w:ascii="Times New Roman" w:hAnsi="Times New Roman"/>
          <w:color w:val="000000" w:themeColor="text1"/>
          <w:sz w:val="16"/>
          <w:szCs w:val="16"/>
        </w:rPr>
        <w:instrText xml:space="preserve">ref HYPERLINK  \l "aa6" \* MERGEFORMAT </w:instrText>
      </w:r>
      <w:r w:rsidRPr="00640820">
        <w:rPr>
          <w:rFonts w:ascii="Times New Roman" w:hAnsi="Times New Roman"/>
          <w:color w:val="000000" w:themeColor="text1"/>
          <w:sz w:val="16"/>
          <w:szCs w:val="16"/>
        </w:rPr>
        <w:fldChar w:fldCharType="separate"/>
      </w:r>
      <w:r w:rsidR="00165A9C" w:rsidRPr="00640820">
        <w:rPr>
          <w:rFonts w:ascii="Times New Roman" w:hAnsi="Times New Roman"/>
          <w:color w:val="000000" w:themeColor="text1"/>
          <w:sz w:val="16"/>
          <w:szCs w:val="16"/>
          <w:u w:val="single"/>
          <w:vertAlign w:val="superscript"/>
        </w:rPr>
        <w:t>6</w:t>
      </w:r>
      <w:r w:rsidRPr="00640820">
        <w:rPr>
          <w:rFonts w:ascii="Times New Roman" w:hAnsi="Times New Roman"/>
          <w:color w:val="000000" w:themeColor="text1"/>
          <w:sz w:val="16"/>
          <w:szCs w:val="16"/>
          <w:u w:val="single"/>
          <w:vertAlign w:val="superscript"/>
        </w:rPr>
        <w:fldChar w:fldCharType="end"/>
      </w:r>
      <w:r w:rsidR="00165A9C" w:rsidRPr="00640820">
        <w:rPr>
          <w:rFonts w:ascii="Times New Roman" w:hAnsi="Times New Roman"/>
          <w:color w:val="000000" w:themeColor="text1"/>
          <w:sz w:val="16"/>
          <w:szCs w:val="16"/>
        </w:rPr>
        <w:t>Там же. Л. 20.</w:t>
      </w:r>
    </w:p>
    <w:p w14:paraId="443FE232" w14:textId="77777777" w:rsidR="00165A9C" w:rsidRPr="00640820" w:rsidRDefault="003B034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fldChar w:fldCharType="begin"/>
      </w:r>
      <w:r w:rsidRPr="00640820">
        <w:rPr>
          <w:rFonts w:ascii="Times New Roman" w:hAnsi="Times New Roman"/>
          <w:color w:val="000000" w:themeColor="text1"/>
          <w:sz w:val="16"/>
          <w:szCs w:val="16"/>
        </w:rPr>
        <w:instrText xml:space="preserve">ref HYPERLINK  \l "aa7" \* MERGEFORMAT </w:instrText>
      </w:r>
      <w:r w:rsidRPr="00640820">
        <w:rPr>
          <w:rFonts w:ascii="Times New Roman" w:hAnsi="Times New Roman"/>
          <w:color w:val="000000" w:themeColor="text1"/>
          <w:sz w:val="16"/>
          <w:szCs w:val="16"/>
        </w:rPr>
        <w:fldChar w:fldCharType="separate"/>
      </w:r>
      <w:r w:rsidR="00165A9C" w:rsidRPr="00640820">
        <w:rPr>
          <w:rFonts w:ascii="Times New Roman" w:hAnsi="Times New Roman"/>
          <w:color w:val="000000" w:themeColor="text1"/>
          <w:sz w:val="16"/>
          <w:szCs w:val="16"/>
          <w:u w:val="single"/>
          <w:vertAlign w:val="superscript"/>
        </w:rPr>
        <w:t>7</w:t>
      </w:r>
      <w:r w:rsidRPr="00640820">
        <w:rPr>
          <w:rFonts w:ascii="Times New Roman" w:hAnsi="Times New Roman"/>
          <w:color w:val="000000" w:themeColor="text1"/>
          <w:sz w:val="16"/>
          <w:szCs w:val="16"/>
          <w:u w:val="single"/>
          <w:vertAlign w:val="superscript"/>
        </w:rPr>
        <w:fldChar w:fldCharType="end"/>
      </w:r>
      <w:r w:rsidR="00165A9C" w:rsidRPr="00640820">
        <w:rPr>
          <w:rFonts w:ascii="Times New Roman" w:hAnsi="Times New Roman"/>
          <w:color w:val="000000" w:themeColor="text1"/>
          <w:sz w:val="16"/>
          <w:szCs w:val="16"/>
        </w:rPr>
        <w:t>Там же. Д. 43. Л. 42.</w:t>
      </w:r>
    </w:p>
    <w:p w14:paraId="61D56B2F" w14:textId="77777777" w:rsidR="00165A9C" w:rsidRPr="00640820" w:rsidRDefault="003B034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fldChar w:fldCharType="begin"/>
      </w:r>
      <w:r w:rsidRPr="00640820">
        <w:rPr>
          <w:rFonts w:ascii="Times New Roman" w:hAnsi="Times New Roman"/>
          <w:color w:val="000000" w:themeColor="text1"/>
          <w:sz w:val="16"/>
          <w:szCs w:val="16"/>
        </w:rPr>
        <w:instrText xml:space="preserve">ref HYPERLINK  \l "aa8" \* MERGEFORMAT </w:instrText>
      </w:r>
      <w:r w:rsidRPr="00640820">
        <w:rPr>
          <w:rFonts w:ascii="Times New Roman" w:hAnsi="Times New Roman"/>
          <w:color w:val="000000" w:themeColor="text1"/>
          <w:sz w:val="16"/>
          <w:szCs w:val="16"/>
        </w:rPr>
        <w:fldChar w:fldCharType="separate"/>
      </w:r>
      <w:r w:rsidR="00165A9C" w:rsidRPr="00640820">
        <w:rPr>
          <w:rFonts w:ascii="Times New Roman" w:hAnsi="Times New Roman"/>
          <w:color w:val="000000" w:themeColor="text1"/>
          <w:sz w:val="16"/>
          <w:szCs w:val="16"/>
          <w:u w:val="single"/>
          <w:vertAlign w:val="superscript"/>
        </w:rPr>
        <w:t>8</w:t>
      </w:r>
      <w:r w:rsidRPr="00640820">
        <w:rPr>
          <w:rFonts w:ascii="Times New Roman" w:hAnsi="Times New Roman"/>
          <w:color w:val="000000" w:themeColor="text1"/>
          <w:sz w:val="16"/>
          <w:szCs w:val="16"/>
          <w:u w:val="single"/>
          <w:vertAlign w:val="superscript"/>
        </w:rPr>
        <w:fldChar w:fldCharType="end"/>
      </w:r>
      <w:r w:rsidR="00165A9C" w:rsidRPr="00640820">
        <w:rPr>
          <w:rFonts w:ascii="Times New Roman" w:hAnsi="Times New Roman"/>
          <w:color w:val="000000" w:themeColor="text1"/>
          <w:sz w:val="16"/>
          <w:szCs w:val="16"/>
        </w:rPr>
        <w:t>Там же. Оп .9. Д. 58. Л. 33 (11838).</w:t>
      </w:r>
    </w:p>
    <w:p w14:paraId="537DCD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C4D28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октября 1941 г. по пр. № 325с «в связи с окончанием эвакуации большей части оборудования» завод № 615 (Завод № 615 НКЭП /г. Новосибирск/) был переименован в ГС завод № 208 им. Коминтерна (11982).</w:t>
      </w:r>
    </w:p>
    <w:p w14:paraId="571BBB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DE839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октября 1941 г. по пр. НКЭП № 325с на базе части оборудования завода № 208, оставшейся после эвакуации в Ленинграде, организован новый завод № 615 (Завод № 615 НКЭП /г. Ленинград/) (11982).</w:t>
      </w:r>
    </w:p>
    <w:p w14:paraId="310373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C70AC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октября 1941 г. по пр. № 325с «в связи с окончанием эвакуации большей части оборудования» завод № 616 (Завод № 616 НКЭП /г. Омск/) был переименован в ГС ордена Трудового Красного Знамени завод № 210 им. Козицкого (11982).</w:t>
      </w:r>
    </w:p>
    <w:p w14:paraId="398E5E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5CB9F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октября 1941 г. по пр. НКЭП № 325с на базе оставшейся части оборудования завода № 210 им. Козицкого, эвакуированного в 1941 г. в Омск, был организован новый завод № 616 (Завод № 616 НКЭП, МЭП, МРТП, Ленинградский государственный завод им. Н. Г. Козицкого МРП, п/я 823, Ленинградское ПО (ЛПО), ЛПТО, ПО им. Н. Г. Козицкого МСП, А-1782, ЗАО «Завод им. Н. Г. Козицкого» /199048 (199161)  г. Ленинград,  г. Санкт-Петербург Васильевский остров, 7-я линия, 78; 5-я линия, 70 (2003 г.) тел. 323-18-18/).</w:t>
      </w:r>
    </w:p>
    <w:p w14:paraId="0FB3C7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Налажено производство партизанских радиостанций «Север» (к концу 1943 г. мощность - 2 тыс. шт. в месяц), радиостанций для десантников, ремонт различных радиостанций. С весны 1945 г. начата подготовка к выпуску радиоприемников и телевизоров. Своими силами разработан приемник «Ленинград», телевизор «Ленинград» Т-1 (С. Мазиков). С 1951 г. велась разработка и мелкосерийный выпуск цветных телевизоров.</w:t>
      </w:r>
    </w:p>
    <w:p w14:paraId="7F03C6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Имелась вторая производственная площадка завода (ВОВ) - между 7-й и 8-й линиями Васильевского острова.</w:t>
      </w:r>
    </w:p>
    <w:p w14:paraId="4EE5F8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1946 г. начата разработка третьей системы радиосвязи для флота- «Победа», в ее составе- 7 типов передатчиков (Р-641 - Р-647), радиостанция Р-607, приемник Р-675.</w:t>
      </w:r>
    </w:p>
    <w:p w14:paraId="6787A7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03.1946 г. завод № 616 - в ведении МЭП, МРТП (1954-57 г.), Управления радиотехнической промышленности ЛенСНХ (1957-65 г.).</w:t>
      </w:r>
    </w:p>
    <w:p w14:paraId="5A345B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5.04.1947 г. на заводе образовано СКБ по созданию корабельных средств связи, будущее НИИ «Нептун». Было организовано литейное, керамическое производство, развивалось кварцевое производство.</w:t>
      </w:r>
    </w:p>
    <w:p w14:paraId="25AB6C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аппаратуры радиосвязи дня кораблей ВМФ, выпускалась аппаратура и для гражданских судов.</w:t>
      </w:r>
    </w:p>
    <w:p w14:paraId="3C5FFC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конца 1940-х  г. выпускались разработанные в собственной лаборатории телевизоры. В 1963 г. начато освоение производства печатных плат, созданы автоматические линии. В 1966 г. построен цех по выпуску транзисторных телевизоров «Вечер» и «Вальс», начато строительство цеха первых отечественных цветных телевизоров «Радуга». В 1974 г. прекращен выпуск черно-белых телевизоров.</w:t>
      </w:r>
    </w:p>
    <w:p w14:paraId="496715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1950-х образована группа цветного телевидения, преобразованная затем в лабораторию. В 1974 г. коллектив разработчиков объединен в отдел с единым конструкторским сектором и художественно- конструкторским бюро.</w:t>
      </w:r>
    </w:p>
    <w:p w14:paraId="12A5C0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1968-73 г. построен филиал завода в  г. Окуловка Новгородской обл. (ОЗРИ). Телевизионное производство ПО им. Козицкого в 1980-е  г. преобразовано в телевизионный завод. В 1990-х  г. производство всех ТВ блоков объединения сосредоточено на ОЗРИ. С 2000 г. на заводе начато формирование нового современного телевизионного производства. Разработан опытный аналого-цифровой телевизор «Радуга-6690».</w:t>
      </w:r>
    </w:p>
    <w:p w14:paraId="7BE3B4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1970 г. из состава завода выделилось кварцевое производство и с 01.1971 г. преобразовано в самостоятельный завод «Морион». Завод «Морион» ( г. Ленинград) входил в состав НПО «Фонон».</w:t>
      </w:r>
    </w:p>
    <w:p w14:paraId="6981F6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1960 г. завод № 616 переименован в Ленинградский государственный завод им. Н. Г. Козицкого, «п/я 823», со 2.03.1965 г. передан в ведение МРП.</w:t>
      </w:r>
      <w:r w:rsidRPr="00640820">
        <w:rPr>
          <w:rFonts w:ascii="Times New Roman" w:hAnsi="Times New Roman"/>
          <w:color w:val="000000" w:themeColor="text1"/>
          <w:sz w:val="16"/>
          <w:szCs w:val="16"/>
          <w:vertAlign w:val="superscript"/>
        </w:rPr>
        <w:t>131</w:t>
      </w:r>
      <w:r w:rsidRPr="00640820">
        <w:rPr>
          <w:rFonts w:ascii="Times New Roman" w:hAnsi="Times New Roman"/>
          <w:color w:val="000000" w:themeColor="text1"/>
          <w:sz w:val="16"/>
          <w:szCs w:val="16"/>
        </w:rPr>
        <w:t xml:space="preserve"> В 1968 г. на базе завода создано ЛПО им. Козицкого- «п/я А-1782», в 1974 г. оно преобразовано в ЛПТО, затем- ПО им. Козицкого. В его состав входил Севастопольский завод. Далее- ПО «Радуга».</w:t>
      </w:r>
    </w:p>
    <w:p w14:paraId="39C96D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1993 г. завод акционирован и преобразован в АОЗТ, затем - ЗАО «Завод им. Н. Г. Козицкого», входил в состав ПКГ «Радуга». Но решению правительства № 22-р от 9.01.2004 г. вошло в перечень стратегических предприятий.</w:t>
      </w:r>
    </w:p>
    <w:p w14:paraId="7F76B4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Производство (2000-е): радиопередатчики СВ и </w:t>
      </w:r>
      <w:r w:rsidRPr="00640820">
        <w:rPr>
          <w:rFonts w:ascii="Times New Roman" w:hAnsi="Times New Roman"/>
          <w:color w:val="000000" w:themeColor="text1"/>
          <w:sz w:val="16"/>
          <w:szCs w:val="16"/>
          <w:lang w:val="en-US"/>
        </w:rPr>
        <w:t>KB</w:t>
      </w:r>
      <w:r w:rsidRPr="00640820">
        <w:rPr>
          <w:rFonts w:ascii="Times New Roman" w:hAnsi="Times New Roman"/>
          <w:color w:val="000000" w:themeColor="text1"/>
          <w:sz w:val="16"/>
          <w:szCs w:val="16"/>
        </w:rPr>
        <w:t xml:space="preserve"> диапазона для кораблей, береговых центров; приемники для торгового флота; стационарные и портативные УКВ-радиостанции для силовых ведомств; телевизоры.</w:t>
      </w:r>
    </w:p>
    <w:p w14:paraId="07FC3E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(1941-45 г.)- А.А. Захаров. Гендиректор (1983-95 г.)- Н. Г. Баранов, (1995-2000 г.)- В.М. Лукин.</w:t>
      </w:r>
    </w:p>
    <w:p w14:paraId="72F305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Гл. инженер (1942 г.)- Апеллесов, (1946 г.-)- С.В. Спиров, В.Д. Балабанов, </w:t>
      </w:r>
      <w:r w:rsidRPr="00640820">
        <w:rPr>
          <w:rFonts w:ascii="Times New Roman" w:hAnsi="Times New Roman"/>
          <w:color w:val="000000" w:themeColor="text1"/>
          <w:sz w:val="16"/>
          <w:szCs w:val="16"/>
          <w:lang w:val="en-US"/>
        </w:rPr>
        <w:t>JI</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 Владимиров, (1960-е)- Б.В. Войцехович, В.В. Васильев, И.К. Ануфриев, Е.А. Пожалов, Н. Г. Баранов.</w:t>
      </w:r>
    </w:p>
    <w:p w14:paraId="70214B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Гл. конструкторы: (1969 г.)- Р. Г. Британишский (цветные телевизоры), (1970-е)-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Непомнящий (цветные телевизоры).</w:t>
      </w:r>
    </w:p>
    <w:p w14:paraId="4851A6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цехов: (ВОВ)- В.В. Витковский; телевизионного- А.И. Глезин.</w:t>
      </w:r>
    </w:p>
    <w:p w14:paraId="7F770A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телевизионного (1974-75 г.-)- М.А. Алексин.</w:t>
      </w:r>
    </w:p>
    <w:p w14:paraId="14D559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лабораторий: телевизионной (1953-60-е)- В.А. Клибсон («Волна», «Сигнал», «Аврора»),</w:t>
      </w:r>
    </w:p>
    <w:p w14:paraId="57E569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радиостанции: «Север» (</w:t>
      </w:r>
      <w:r w:rsidRPr="00640820">
        <w:rPr>
          <w:rFonts w:ascii="Times New Roman" w:hAnsi="Times New Roman"/>
          <w:color w:val="000000" w:themeColor="text1"/>
          <w:sz w:val="16"/>
          <w:szCs w:val="16"/>
          <w:lang w:val="en-US"/>
        </w:rPr>
        <w:t>BOB</w:t>
      </w:r>
      <w:r w:rsidRPr="00640820">
        <w:rPr>
          <w:rFonts w:ascii="Times New Roman" w:hAnsi="Times New Roman"/>
          <w:color w:val="000000" w:themeColor="text1"/>
          <w:sz w:val="16"/>
          <w:szCs w:val="16"/>
        </w:rPr>
        <w:t xml:space="preserve">), </w:t>
      </w:r>
      <w:r w:rsidRPr="00640820">
        <w:rPr>
          <w:rFonts w:ascii="Times New Roman" w:hAnsi="Times New Roman"/>
          <w:color w:val="000000" w:themeColor="text1"/>
          <w:sz w:val="16"/>
          <w:szCs w:val="16"/>
          <w:lang w:val="en-US"/>
        </w:rPr>
        <w:t>KB</w:t>
      </w:r>
      <w:r w:rsidRPr="00640820">
        <w:rPr>
          <w:rFonts w:ascii="Times New Roman" w:hAnsi="Times New Roman"/>
          <w:color w:val="000000" w:themeColor="text1"/>
          <w:sz w:val="16"/>
          <w:szCs w:val="16"/>
        </w:rPr>
        <w:t xml:space="preserve"> полковая Р-13 (</w:t>
      </w:r>
      <w:r w:rsidRPr="00640820">
        <w:rPr>
          <w:rFonts w:ascii="Times New Roman" w:hAnsi="Times New Roman"/>
          <w:color w:val="000000" w:themeColor="text1"/>
          <w:sz w:val="16"/>
          <w:szCs w:val="16"/>
          <w:lang w:val="en-US"/>
        </w:rPr>
        <w:t>BOB</w:t>
      </w:r>
      <w:r w:rsidRPr="00640820">
        <w:rPr>
          <w:rFonts w:ascii="Times New Roman" w:hAnsi="Times New Roman"/>
          <w:color w:val="000000" w:themeColor="text1"/>
          <w:sz w:val="16"/>
          <w:szCs w:val="16"/>
        </w:rPr>
        <w:t xml:space="preserve">), А-7А, А-7Б (ВОВ), морские: «Рейд- И» (ВОВ), Р-607 (1940-е); Р-375; ВЯ-67; передатчики: морские Р-641, -641Д, -641Т (1950-е), -642, -643, -644, -645, 646, -647 (1940-е), Р-657 (1950-е), Р-631, Р-632 (1970-е), для гражданских судов ПСК/ПСД-0,25 (1960); радиоприемники: Р-675 «Оникс» (1956), для гражданского флота «Циклоида»; возбудители: «Вольфрам», «Тантал» (1950-е); изд. 15Э1213; комплексы связи: «Тайфун» для крейсера «Киев» (1970-е), автоматизированный комплекс «Буран» (1970-е), для гражданских судов «Муссон», «Бриг», «Корвет», «Барк»; аппаратура связи «Пламя» (1970-е); навигационно-эксплуатационные средства связи для гражданских судов «Ёрш», «Блесна» (1961); войсковая аппаратура управления связью «Бархан», «Бисер» (1970-е); радиоприемники бытовые: «Нева» («Маршал-М», 1946-), «Нева-48, -51, -52, -55», «Ленинградец» (1946-), «Ленинград-50»; радиола «Нева»; телевизоры: «Ленинград» Т-1 (1947-49)- 100, Т-2 (1950), Т-3, Т-6, «Авангард» ТЛ-1 (1953-), «Авангард-55» (1955- )- более 100 тыс., «Знамя» (1956-), «Знамя-58», «Союз», «Волна» (ЗК-56) (1963-), «Сигнал» (1963-), «Сигнал-2» (1965-), «Мир» (1957-), «Нева» (1957-), «Заря» (1959-), «Заря-2», «Балтика» (1954-), «Аврора» (1967), «Вечер» (1965-), «Вальс» (1965-), «Квант» (1967-), «Дебют»(1965), «Горизонт» (1967-), «Ладога-1, -1М, -2 (1970-), -3, -203, -204, -205, -207», ЦТ-1, ЦТ-2, ЦТ-3, «Радуга» (1954-), «Радуга-4 (ЦТ-40) (1967-), -5 (ЦТ-59), -6, -701 (1970), -703 (1973-), -704 (1976-), -705, -706, -710, -716 (1976-), -719, -726, -730, -731, -734, Ц-259 (1984-), Ц-262, 61ТЦ-304, 61ТЦ-307, 61ТЦ-308, 51ТЦ-315 (1988-), 61ТЦ-316, 61ТЦ-317, 51ТЦ-480, 51ТЦ-504, 51ТЦ-505, 54ТЦ-6220, 51ТЦ- 6221, 37ТЦ-6223, 37ТЦ-6224, -6690 </w:t>
      </w:r>
      <w:r w:rsidRPr="00640820">
        <w:rPr>
          <w:rFonts w:ascii="Times New Roman" w:hAnsi="Times New Roman"/>
          <w:color w:val="000000" w:themeColor="text1"/>
          <w:sz w:val="16"/>
          <w:szCs w:val="16"/>
          <w:lang w:val="en-US"/>
        </w:rPr>
        <w:t>DVB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T</w:t>
      </w:r>
      <w:r w:rsidRPr="00640820">
        <w:rPr>
          <w:rFonts w:ascii="Times New Roman" w:hAnsi="Times New Roman"/>
          <w:color w:val="000000" w:themeColor="text1"/>
          <w:sz w:val="16"/>
          <w:szCs w:val="16"/>
        </w:rPr>
        <w:t>, 20ЖКТ-7510»; проигрыватели компакт-дисков: "</w:t>
      </w:r>
      <w:r w:rsidRPr="00640820">
        <w:rPr>
          <w:rFonts w:ascii="Times New Roman" w:hAnsi="Times New Roman"/>
          <w:color w:val="000000" w:themeColor="text1"/>
          <w:sz w:val="16"/>
          <w:szCs w:val="16"/>
          <w:lang w:val="en-US"/>
        </w:rPr>
        <w:t>XoroHSD</w:t>
      </w:r>
      <w:r w:rsidRPr="00640820">
        <w:rPr>
          <w:rFonts w:ascii="Times New Roman" w:hAnsi="Times New Roman"/>
          <w:color w:val="000000" w:themeColor="text1"/>
          <w:sz w:val="16"/>
          <w:szCs w:val="16"/>
        </w:rPr>
        <w:t>-20</w:t>
      </w:r>
    </w:p>
    <w:p w14:paraId="1710E5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СКБ завода № 616, СКБ-616, СКБ ПО им. Козицкого, Р-6120, ГУП, ФГУП «НИИ автоматизированных систем и комплексов связи «Нептун» РАСУ /199048  г. Ленинград,  г. Санкт- Петербург Васильевский остров, 7-я линия, 78; 199061 Васильевский о-в 7-я линия, 80 к. 1 (2003 г.) тел. 327-09-72/</w:t>
      </w:r>
    </w:p>
    <w:p w14:paraId="7E33E9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 817-620 от 1.04.1947 г. и приказом № Б-100 от 27.12.1947 г. с 5.04.1947 г. на Ленинградском заводе им. Козицкого образовано СКБ по созданию корабельных средств связи с лабораториями, КО и опытным производством. В 1950-е  г. разрабатана и внедрена аппаратура скрытной сверхбыстродействующей связи.</w:t>
      </w:r>
    </w:p>
    <w:p w14:paraId="288FCA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Имело наименование «п/я Р-6120». С 25.05.1985 г. СКБ преобразовано в НИИ автоматизированных систем и комплексов связи «Нептун». По решению правительства № 22-р от 9.01.2004 г. и Указу Президента РФ № 1009 от 4.08.2004 г. вошел в число стратегических оборонных предприятий.</w:t>
      </w:r>
    </w:p>
    <w:p w14:paraId="2F4FD6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Разработка систем связи (2003 г.).</w:t>
      </w:r>
    </w:p>
    <w:p w14:paraId="24D32C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(1947 г.)- 200 чел.</w:t>
      </w:r>
    </w:p>
    <w:p w14:paraId="544ECB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(1947 г.-)-  Г.А. Павлов, (-1954 г.)- И.А. Росселевич, В.Д. Балабанов. Директор (1981-2002 г.-)- В.П. Пасечник.</w:t>
      </w:r>
      <w:r w:rsidRPr="00640820">
        <w:rPr>
          <w:rFonts w:ascii="Times New Roman" w:hAnsi="Times New Roman"/>
          <w:color w:val="000000" w:themeColor="text1"/>
          <w:sz w:val="16"/>
          <w:szCs w:val="16"/>
          <w:vertAlign w:val="superscript"/>
        </w:rPr>
        <w:t>19</w:t>
      </w:r>
    </w:p>
    <w:p w14:paraId="6DD10F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начальника (1947 г.-)- В.Л. Эпштейн.</w:t>
      </w:r>
    </w:p>
    <w:p w14:paraId="085860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(1947 г.-)- Р.И. Георгенбер г.</w:t>
      </w:r>
    </w:p>
    <w:p w14:paraId="418382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(1947 г.-)- М. Г. Андроников.</w:t>
      </w:r>
    </w:p>
    <w:p w14:paraId="6D204B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Гл. конструкторы: (-1955 г.)- С.В. Спиров, (1977 г.)- К.А. Серебров («Тайфун»),</w:t>
      </w:r>
    </w:p>
    <w:p w14:paraId="0AF077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лабораторий: (-1955 г.)- С.В. Спиров.</w:t>
      </w:r>
    </w:p>
    <w:p w14:paraId="462283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передатчики: армейские Р-102М, Р-118, Р-118БМ (1949); морские: Р-652, Р-654, для торпедных катеров Р-615 «Аргон»; радиоприемники: Р-675 «Оникс» (1954), Р-678, для гражданских судов «Шторм», «Циклоида»; радиостанции: Р-103 (1949), Р-645, «Сатурн», «Уран»; радиорелейная станция Р-401 (1949); возбудители: ВТ-44, «Вольфрам», «Тантал», «Якорь» (1950-е); цифропечатающая линия «Быстрота»; комплексы связи: «Тайфун» для крейсера «Киев» (1970-е), автоматизированный комплекс «Буран» (1970-е), для гражданских судов «Муссон», «Бриг», «Корвет», «Барк»; аппаратура связи «Пламя» (1970-е); навигационно-эксплуатационные средства связи для гражданских судов «Ёрш», «Блесна» (1961); войсковая аппаратура управления связью «Бархан», «Бисер», «Выбор», «Смерч» (1970-е); волномер резонансный 42-2.</w:t>
      </w:r>
    </w:p>
    <w:p w14:paraId="351A31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Окуловский завод радиоизделий (ОЗРИ), ООО «ОЗРИ» /г. Окуловка Новгородской обл./</w:t>
      </w:r>
    </w:p>
    <w:p w14:paraId="48DCF6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1968-73 г. построен филиал завода им. Козицкого, куда переместили заготовительное производство и организован выпуск блоков цветности. В 1974 г. на филиале введен в строй телевизионный корпус площадью 22 тыс.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 1990-х  г. на заводе было сосредоточено производство всех ТВ блоков объединения.</w:t>
      </w:r>
    </w:p>
    <w:p w14:paraId="5FE173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Гендиректор (1986-90-е)- В.И. Квейсис.</w:t>
      </w:r>
    </w:p>
    <w:p w14:paraId="671941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НПО «Морион» МЭП, ОАО «Морион» /614600  г. Пермь ш. Космонавтов, 111 тел. 90-98-40/</w:t>
      </w:r>
    </w:p>
    <w:p w14:paraId="4EEE09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(Возможно, кварцевое производство завода № 210 в войну было эвакуировано в Молотов).</w:t>
      </w:r>
    </w:p>
    <w:p w14:paraId="1CED20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01.1971 г.- самостоятельный завод «Морион» МЭП. Образован на базе выделившегося из состава ленинградского завода им. Козицкого кварцевого производства. В 1988 г. в состав НПО «Морион» вошел Пермский завод аппаратуры дальней связи. В -1980-е  г. завод «Морион» был в Ленинграде. Имел наименование «п/я Р-6565». НПО «Морион» ( г. Ленинград) имело наименование «п/я А-1501».</w:t>
      </w:r>
    </w:p>
    <w:p w14:paraId="500F14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Разработка и производство (1980-е): аппаратура передачи данных для волоконно-оптических линий связи; (2002 г.): цифровые и волоконно-оптические системы связи для обеспечения безопасности полетов; оптические мультиплексоры, трансмультиплексоры; измерительное оборудование для систем связи.</w:t>
      </w:r>
      <w:r w:rsidRPr="00640820">
        <w:rPr>
          <w:rFonts w:ascii="Times New Roman" w:hAnsi="Times New Roman"/>
          <w:color w:val="000000" w:themeColor="text1"/>
          <w:sz w:val="16"/>
          <w:szCs w:val="16"/>
          <w:vertAlign w:val="superscript"/>
        </w:rPr>
        <w:t>69</w:t>
      </w:r>
      <w:r w:rsidRPr="00640820">
        <w:rPr>
          <w:rFonts w:ascii="Times New Roman" w:hAnsi="Times New Roman"/>
          <w:color w:val="000000" w:themeColor="text1"/>
          <w:sz w:val="16"/>
          <w:szCs w:val="16"/>
        </w:rPr>
        <w:t xml:space="preserve"> (2005 г.): разработка и производство приборов кварцевой стабилизации и селекции частоты (генераторов, фильтров, резонаторов, плоских линз). Изготовлены пьезокварцевые приборы для: поисково-спасательной системы </w:t>
      </w:r>
      <w:r w:rsidRPr="00640820">
        <w:rPr>
          <w:rFonts w:ascii="Times New Roman" w:hAnsi="Times New Roman"/>
          <w:color w:val="000000" w:themeColor="text1"/>
          <w:sz w:val="16"/>
          <w:szCs w:val="16"/>
          <w:lang w:val="en-US"/>
        </w:rPr>
        <w:t>KOCITAC</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SARSAT</w:t>
      </w:r>
      <w:r w:rsidRPr="00640820">
        <w:rPr>
          <w:rFonts w:ascii="Times New Roman" w:hAnsi="Times New Roman"/>
          <w:color w:val="000000" w:themeColor="text1"/>
          <w:sz w:val="16"/>
          <w:szCs w:val="16"/>
        </w:rPr>
        <w:t xml:space="preserve">, системы «Энергия-Буран», МКС «Альфа», проекта «Морской старт», Единой системы спутниковой связи ЕССС, </w:t>
      </w:r>
      <w:r w:rsidRPr="00640820">
        <w:rPr>
          <w:rFonts w:ascii="Times New Roman" w:hAnsi="Times New Roman"/>
          <w:color w:val="000000" w:themeColor="text1"/>
          <w:sz w:val="16"/>
          <w:szCs w:val="16"/>
          <w:lang w:val="en-US"/>
        </w:rPr>
        <w:t>GPS</w:t>
      </w:r>
      <w:r w:rsidRPr="00640820">
        <w:rPr>
          <w:rFonts w:ascii="Times New Roman" w:hAnsi="Times New Roman"/>
          <w:color w:val="000000" w:themeColor="text1"/>
          <w:sz w:val="16"/>
          <w:szCs w:val="16"/>
        </w:rPr>
        <w:t xml:space="preserve">-ГЛОНАСС, базовых станций сотовой связи стандартов </w:t>
      </w:r>
      <w:r w:rsidRPr="00640820">
        <w:rPr>
          <w:rFonts w:ascii="Times New Roman" w:hAnsi="Times New Roman"/>
          <w:color w:val="000000" w:themeColor="text1"/>
          <w:sz w:val="16"/>
          <w:szCs w:val="16"/>
          <w:lang w:val="en-US"/>
        </w:rPr>
        <w:t>GSM</w:t>
      </w:r>
      <w:r w:rsidRPr="00640820">
        <w:rPr>
          <w:rFonts w:ascii="Times New Roman" w:hAnsi="Times New Roman"/>
          <w:color w:val="000000" w:themeColor="text1"/>
          <w:sz w:val="16"/>
          <w:szCs w:val="16"/>
        </w:rPr>
        <w:t xml:space="preserve"> и СОМА, наземных станций спутниковой связи «Стрела» системы «Банкир», носимых радиостанций «Радий-301».</w:t>
      </w:r>
      <w:r w:rsidRPr="00640820">
        <w:rPr>
          <w:rFonts w:ascii="Times New Roman" w:hAnsi="Times New Roman"/>
          <w:color w:val="000000" w:themeColor="text1"/>
          <w:sz w:val="16"/>
          <w:szCs w:val="16"/>
          <w:vertAlign w:val="superscript"/>
        </w:rPr>
        <w:t>101</w:t>
      </w:r>
    </w:p>
    <w:p w14:paraId="6DA205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1994(3) г. предприятие акционировано и преобразовано в ОАО. По решению правительства № 22-р от 9.01.2004 г. вошло в число стратегических предприятий.</w:t>
      </w:r>
    </w:p>
    <w:p w14:paraId="7BB394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ПКГ «Радуга», ОАО «НПП «Радуга» РАСУ /г. Санкт-Петербург/</w:t>
      </w:r>
    </w:p>
    <w:p w14:paraId="334762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«Радуга» в 1993 г. акционировано и преобразовано в АООТ, в 1997(9) г.- ОАО «Радуга». В состав ПКГ «Радуга» входило ЗАО «Завод им. Козицкого». По Указу Президента РФ № 1009 от 4.08.2004 г. вошло в число стратегических оборонных предприятий.</w:t>
      </w:r>
    </w:p>
    <w:p w14:paraId="54A71D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систем связи (2003 г.).</w:t>
      </w:r>
    </w:p>
    <w:p w14:paraId="2A26AA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2000-е  г. в составе предприятия производственные комплексы: телевизионный; техники специального применения (ПК ТСП); производство гражданской продукции; гальваническое производство; литье изделий из пластмасс; производство изделий из вспененного пенополистирола (11982).</w:t>
      </w:r>
    </w:p>
    <w:p w14:paraId="28604F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1DB66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октября 1941 г. по пр. № 325с «в связи с окончанием эвакуации большей части оборудования» завод № 619 (Завод № 619 НКЭП /г. Красноярск/) был переименован в ГС завод № 327 НКЭП (11982).</w:t>
      </w:r>
    </w:p>
    <w:p w14:paraId="28E79C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85F49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октября 1941 г. по пр. НКЭП № 325с на базе части оборудования завода № 327, оставшейся после эвакуации в Ленинграде, организован новый завод № 619 (Завод № 619 МПСС, п/я 537, ГС НИИ-619, Г-4173, НИИ «Интеграл», Ленинградское ПО, НПО «Вектор» МПСС, НИИ «Вектор», ФГУП «НИИ «Вектор» /197022  г. Ленинград П-137/ /197376  г. Санкт-Петербург ул. Академика Павлова, 14А тел. 245-10-97/).</w:t>
      </w:r>
    </w:p>
    <w:p w14:paraId="5A9F4D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войсковых радиостанций и пеленгаторов. Во время войны в блокадном Ленинграде на заводе были построены две мощные радиостанции: «Ленинград» с антенной, поднимаемой на аэростате (С.В. Спиров); КВ-радиостанция в Смольном (совместно с работниками завода им. Коминтерна).</w:t>
      </w:r>
    </w:p>
    <w:p w14:paraId="2C698C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1955 г. завод № 619 преобразован в ГС НИИ-619, который с 1967 г. переименован в НИИ «Интеграл». НИИ имел наименование «п/я Г-4173». В 1972 г. на базе НИИ «Интеграл» и НПО «Экспресс» образовано Ленинградское НПО «Вектор» в ведении МПСС, которое стало головным предприятием подотрасли.</w:t>
      </w:r>
    </w:p>
    <w:p w14:paraId="683A8F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1.01.1992 г. ЛНПО ликвидировано, из него выделились НИИ «Вектор» и завод «Энергия». НИИ имел дочерние предприятия: Опытный завод «Интеграл», НПП «Вектрон» и СЦПС «Спектр».</w:t>
      </w:r>
    </w:p>
    <w:p w14:paraId="29A962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(1990-е): разработка и производство: мобильные армейские узлы связи, средства радиомониторинга (стационарные, мобильные, носимые, морские и аэрокосмические).</w:t>
      </w:r>
    </w:p>
    <w:p w14:paraId="6236EF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 По Указу Президента РФ № 297 от 20.03.2009 г. институт вошел в состав Концерна радиостроения «Вега».</w:t>
      </w:r>
    </w:p>
    <w:p w14:paraId="708BFC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Гендиректор (2005 г.)- О. Г. Петкау.</w:t>
      </w:r>
      <w:r w:rsidRPr="00640820">
        <w:rPr>
          <w:rFonts w:ascii="Times New Roman" w:hAnsi="Times New Roman"/>
          <w:color w:val="000000" w:themeColor="text1"/>
          <w:sz w:val="16"/>
          <w:szCs w:val="16"/>
          <w:vertAlign w:val="superscript"/>
        </w:rPr>
        <w:t>101</w:t>
      </w:r>
    </w:p>
    <w:p w14:paraId="45633E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Н.А. Гуревич.</w:t>
      </w:r>
    </w:p>
    <w:p w14:paraId="0B6479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КБ (-1946 г.)- С.В. Спиров; СКБ- Н.А. Гуревич.</w:t>
      </w:r>
    </w:p>
    <w:p w14:paraId="2896E7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конструкторы: (-1967-72 г.-)- В.М. Зотин («Метр», «Тайга»),</w:t>
      </w:r>
    </w:p>
    <w:p w14:paraId="40414F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НИО- Н.А. Гуревич; космического радиомониторинга (1976-87 г.)- В.М. Зотин; (1973 г.)- К.Б. Сухомлин.</w:t>
      </w:r>
    </w:p>
    <w:p w14:paraId="24A221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лабораторий: (-1958 г.)- Н.А. Гуревич («Туман», «Глубина»).</w:t>
      </w:r>
    </w:p>
    <w:p w14:paraId="7AE3D0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секторов: НИ (1961 г.-)- В.М. Зотин.</w:t>
      </w:r>
    </w:p>
    <w:p w14:paraId="10BCD6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радиоприемники: СДВ-ДВ для ВМФ Р-672 «Туман» (1948), «Глубина» (1958); Р-250М, Р-359; приемо-пеленгационные комплексы «Метр», «Тайга», устройство поиска рабочих каналов для ЗГРЛС «Дуга» и «Дуга-2» (1967-72); пассивный радиопеленгатор для ЗРК «Стрела-1М» (1968-70);</w:t>
      </w:r>
      <w:r w:rsidRPr="00640820">
        <w:rPr>
          <w:rFonts w:ascii="Times New Roman" w:hAnsi="Times New Roman"/>
          <w:color w:val="000000" w:themeColor="text1"/>
          <w:sz w:val="16"/>
          <w:szCs w:val="16"/>
          <w:vertAlign w:val="superscript"/>
        </w:rPr>
        <w:t>57</w:t>
      </w:r>
      <w:r w:rsidRPr="00640820">
        <w:rPr>
          <w:rFonts w:ascii="Times New Roman" w:hAnsi="Times New Roman"/>
          <w:color w:val="000000" w:themeColor="text1"/>
          <w:sz w:val="16"/>
          <w:szCs w:val="16"/>
        </w:rPr>
        <w:t xml:space="preserve"> спецкомплекс связи для КА радиотехнического наблюдения «Целина-Р» (1980-е); изд. 1Л21 (1993).</w:t>
      </w:r>
    </w:p>
    <w:p w14:paraId="3780A3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радиоприемники «Крот» (1947), Р-250 (1949).</w:t>
      </w:r>
    </w:p>
    <w:p w14:paraId="5CFF58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СКБ, ОКБ завода № 619</w:t>
      </w:r>
    </w:p>
    <w:p w14:paraId="4AF1DC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СКБ завода № 619 начало разработку профессиональных приемников нового поколения, пеленгаторов и радионавигационной аппаратуры.</w:t>
      </w:r>
    </w:p>
    <w:p w14:paraId="3BB312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Н.А. Гуревич.</w:t>
      </w:r>
    </w:p>
    <w:p w14:paraId="5FD401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ФГУП «Завод «Энергия» /г. Санкт-Петербург/</w:t>
      </w:r>
    </w:p>
    <w:p w14:paraId="634A80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1.01.1992 г. из состава ЛНПО «Вектор» выделились НИИ «Вектор» и завод «Энергия».</w:t>
      </w:r>
    </w:p>
    <w:p w14:paraId="3C31FD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(1990-е  г.): миниатюрные носимые станции радиотехнической разведки.</w:t>
      </w:r>
    </w:p>
    <w:p w14:paraId="64D07F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Указу Президента РФ № 1009 от 4.08.2004 г. вошло в перечень стратегических оборонных предприятий. По Указу Президента РФ № 297 от 20.03.2009 г. предприятие вошло в состав Концерна радиостроения «Вега».</w:t>
      </w:r>
    </w:p>
    <w:p w14:paraId="2DB7E7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ОАО «Опытный завод «Интеграл» /г. Санкт-Петербург/</w:t>
      </w:r>
    </w:p>
    <w:p w14:paraId="03486E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Указу Президента РФ № 297 от 20.03.2009 г. вошел в состав Концерна радиостроения «Вега» (11982).</w:t>
      </w:r>
    </w:p>
    <w:p w14:paraId="0CCA8997" w14:textId="77777777" w:rsidR="00D908D8" w:rsidRPr="00640820" w:rsidRDefault="00D908D8" w:rsidP="00640820">
      <w:pPr>
        <w:autoSpaceDE w:val="0"/>
        <w:autoSpaceDN w:val="0"/>
        <w:adjustRightInd w:val="0"/>
        <w:spacing w:after="0" w:line="240" w:lineRule="auto"/>
        <w:jc w:val="both"/>
        <w:rPr>
          <w:rFonts w:ascii="Times New Roman" w:hAnsi="Times New Roman"/>
          <w:color w:val="000000" w:themeColor="text1"/>
          <w:sz w:val="16"/>
          <w:szCs w:val="16"/>
        </w:rPr>
      </w:pPr>
    </w:p>
    <w:p w14:paraId="510D15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октября 1941 г. цех торпедных катеров завода № 532 (Завод № 532 НКСП, Камыш-Бурунский судостроительно-судоремонтный завод НКВТ, НКРФ, Керченский судостроительный завод, завод «Залив» им. Б.Е. Бутомы, ОАО «Судостроительный завод «Залив» им. Б.Е. Бутомы» /г. Керчь/ /Украина 334510 Крым  г. Керчь ул. Танкистов/) на пароходе был отправлен сначала на Кавказ, а затем- на завод № 639 в Тюмень; судоремонтное производство- в Пермь на завод № 344; 1 и 3 ноября 1941 г. уведены на буксире недостроенные крейсер «Куйбышев» и эсминец «Озорной» (доставленные в Керчь из Николаева).</w:t>
      </w:r>
    </w:p>
    <w:p w14:paraId="7E0AA0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ГКО № 6588 от 24.09.1944 г. начато восстановление Камыш-Бурунского судостроительного завода № 532 НКСП на прежнем месте.</w:t>
      </w:r>
    </w:p>
    <w:p w14:paraId="78C0DD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1966 г. введен в строй блок корпусных цехов, оснащенный шестью 50-тонными и тремя 30-тонными мостовыми кранами. Имелся также гребенчатый слип на 2000 т. В 1960-х  г. начато проектирование нового сухого дока углублением 11м. Док был построен в 1968-73 г., а первый корабль в нем заложен в 1971 г. - танкер пр. 1551 дедвейтом 150 тыс. т (самое крупное отечественное судно).</w:t>
      </w:r>
    </w:p>
    <w:p w14:paraId="19EC84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(2000 г.): морские танкеры; успокоители качки, горловины, люки катерные, судовые котлы, вспомогательные механизмы, валопроводы, движители, электрооборудование, внутрисудовая связь, турбогенераторы, опреснительные и теплообменные установки.</w:t>
      </w:r>
    </w:p>
    <w:p w14:paraId="2192C2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(06.1941 г.)- 1226 чел., (1954 г.)- 3000 чел.</w:t>
      </w:r>
    </w:p>
    <w:p w14:paraId="163163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Первый директор завода -  Г.А. Задорожный (затем- директор завода № 402). Гендиректор- Н.А. Волков, А.А. Мелконьянц.</w:t>
      </w:r>
    </w:p>
    <w:p w14:paraId="7FB527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торпедный катер Г-5 (1941)- 4;</w:t>
      </w:r>
      <w:r w:rsidRPr="00640820">
        <w:rPr>
          <w:rFonts w:ascii="Times New Roman" w:hAnsi="Times New Roman"/>
          <w:iCs/>
          <w:color w:val="000000" w:themeColor="text1"/>
          <w:sz w:val="16"/>
          <w:szCs w:val="16"/>
        </w:rPr>
        <w:t xml:space="preserve"> тральщики:</w:t>
      </w:r>
      <w:r w:rsidRPr="00640820">
        <w:rPr>
          <w:rFonts w:ascii="Times New Roman" w:hAnsi="Times New Roman"/>
          <w:color w:val="000000" w:themeColor="text1"/>
          <w:sz w:val="16"/>
          <w:szCs w:val="16"/>
        </w:rPr>
        <w:t xml:space="preserve"> пр. 254 (1948-), пр. 254К (1952-), пр. 254М (-1959); малые охотники пр. 201М (1958-67)- 222 (вместе с заводами 340 и 876), пр. 201Т (1964-67)- 18, пр. 204 (1960-68)- 64 (вместе с заводами 340 и 876);</w:t>
      </w:r>
      <w:r w:rsidRPr="00640820">
        <w:rPr>
          <w:rFonts w:ascii="Times New Roman" w:hAnsi="Times New Roman"/>
          <w:iCs/>
          <w:color w:val="000000" w:themeColor="text1"/>
          <w:sz w:val="16"/>
          <w:szCs w:val="16"/>
        </w:rPr>
        <w:t xml:space="preserve"> сторожевики:</w:t>
      </w:r>
      <w:r w:rsidRPr="00640820">
        <w:rPr>
          <w:rFonts w:ascii="Times New Roman" w:hAnsi="Times New Roman"/>
          <w:color w:val="000000" w:themeColor="text1"/>
          <w:sz w:val="16"/>
          <w:szCs w:val="16"/>
        </w:rPr>
        <w:t xml:space="preserve"> пр. 1135 (1970-81)- 7; пограничный пр. 11351 «Менжинский», «Киров» («Гетьман Сагайдачный») (1983-93)- 8; плавучая гидроакустическая контрольная станция пр. 513 (1956); речной бронекатер пр. 1204 (1967-72)- 118 (вместе с заводом 445);</w:t>
      </w:r>
      <w:r w:rsidRPr="00640820">
        <w:rPr>
          <w:rFonts w:ascii="Times New Roman" w:hAnsi="Times New Roman"/>
          <w:iCs/>
          <w:color w:val="000000" w:themeColor="text1"/>
          <w:sz w:val="16"/>
          <w:szCs w:val="16"/>
        </w:rPr>
        <w:t xml:space="preserve"> танкеры:</w:t>
      </w:r>
      <w:r w:rsidRPr="00640820">
        <w:rPr>
          <w:rFonts w:ascii="Times New Roman" w:hAnsi="Times New Roman"/>
          <w:color w:val="000000" w:themeColor="text1"/>
          <w:sz w:val="16"/>
          <w:szCs w:val="16"/>
        </w:rPr>
        <w:t xml:space="preserve"> пр. 1545 «Баскунчак» (1964-)- 43, пр. 1559 типа «Великий Октябрь» (1960-е)- 8, пр. 1551 «Мир» («Крым») (10.1971-74), </w:t>
      </w:r>
      <w:r w:rsidRPr="00640820">
        <w:rPr>
          <w:rFonts w:ascii="Times New Roman" w:hAnsi="Times New Roman"/>
          <w:color w:val="000000" w:themeColor="text1"/>
          <w:sz w:val="16"/>
          <w:szCs w:val="16"/>
        </w:rPr>
        <w:lastRenderedPageBreak/>
        <w:t xml:space="preserve">«Советская нефть» (-1980)- 6; пр. 12990 «Победа» (1981-90)- 9; рефрижереторные боты пр. 718 РБ-150 (1960-е); буксир-спасатель пр. 1454 типа «Напористый» (1974-); атомный лихтеровоз «Севморпуть» (1988); переоборудование тральщиков пр. 254К в корабли </w:t>
      </w:r>
      <w:r w:rsidRPr="00640820">
        <w:rPr>
          <w:rFonts w:ascii="Times New Roman" w:hAnsi="Times New Roman"/>
          <w:color w:val="000000" w:themeColor="text1"/>
          <w:sz w:val="16"/>
          <w:szCs w:val="16"/>
          <w:lang w:val="en-US"/>
        </w:rPr>
        <w:t>PJI</w:t>
      </w:r>
      <w:r w:rsidRPr="00640820">
        <w:rPr>
          <w:rFonts w:ascii="Times New Roman" w:hAnsi="Times New Roman"/>
          <w:color w:val="000000" w:themeColor="text1"/>
          <w:sz w:val="16"/>
          <w:szCs w:val="16"/>
        </w:rPr>
        <w:t xml:space="preserve"> дозора: по пр. 254В (1955)- 1, по пр. 256 и пр. 258 (1950-е) (11982).</w:t>
      </w:r>
    </w:p>
    <w:p w14:paraId="63BA62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06FF688"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62517A00"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AC22D7C"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27 октября наши войска вели бои на Харьковском, Таганрогском, Можайском и Малоярославецком направлениях.</w:t>
      </w:r>
    </w:p>
    <w:p w14:paraId="3657F166"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 наша авиачасть, действующая в районе г. Харькова, уничтожила за три последних дня 28 немецких танков, 12 противотанковых орудий, 4 тяжёлых орудия, до 100 автомашин с боеприпасами и военным снаряжением. Бомбами и пулемётным огнём уничтожено до батальона вражеской пехоты.</w:t>
      </w:r>
    </w:p>
    <w:p w14:paraId="66D4997D"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Отбивая атаки противника, одна наша часть, действующая на Можайском направлении, нанесла большие потери двум немецким пехотным полкам. На поле боя осталось свыше 500 фашистских солдат и офицеров. В противотанковых рвах и на обочинах дорог валяется 15 разбитых и сожжённых немецких танков и 70 автомашин.</w:t>
      </w:r>
    </w:p>
    <w:p w14:paraId="05113C89"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Немецкие фашисты ограбили Румынию и вывезли в Германию всё продовольствие. Румынский народ и румынская армия голодают. Пленные румынские солдаты в своих показаниях заявляют, что солдаты питаются очень плохо и зачастую в продолжение нескольких дней не получают никаких продуктов. Пленный солдат 14 дивизии Костаки на допросе сказал: «У меня нет сил. С тех пор, как меня призвали в армию, я буквально голодаю. После длительных и утомительных переходов нам давали только кусочек сухого хлеба». В дневниках, найденных у убитых и пленных румын, очень часто встречаются жалобы подобного рода. Вот отдельные выписки из дневника убитого румынского военнослужащего Думитру Попеску:</w:t>
      </w:r>
    </w:p>
    <w:p w14:paraId="014C0B5F"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«Воскресенье. Обед не получили.</w:t>
      </w:r>
    </w:p>
    <w:p w14:paraId="5D5CE672"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Понедельник. Целый день ничего не ели.</w:t>
      </w:r>
    </w:p>
    <w:p w14:paraId="50018053"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Среда. Целый день не ели.</w:t>
      </w:r>
    </w:p>
    <w:p w14:paraId="64A4DE72"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Понедельник. Не ели потому, что не дали.</w:t>
      </w:r>
    </w:p>
    <w:p w14:paraId="23F6A3A4"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Вторник. Ужин был отменён капитаном Ангелом.</w:t>
      </w:r>
    </w:p>
    <w:p w14:paraId="47F09774"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Пятница. Обед не получили потому, что из батальона сообщили, что обеда нет.</w:t>
      </w:r>
    </w:p>
    <w:p w14:paraId="73EF24EA"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Понедельник. Обед не выдали.</w:t>
      </w:r>
    </w:p>
    <w:p w14:paraId="386814CD"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Четверг. Ничего не ели.</w:t>
      </w:r>
    </w:p>
    <w:p w14:paraId="0BF2D69D"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Пятница. Ничего не выдавали.</w:t>
      </w:r>
    </w:p>
    <w:p w14:paraId="7E200C37"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Суббота. Ничего не получали».</w:t>
      </w:r>
    </w:p>
    <w:p w14:paraId="2E818940"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 румынского юнкера Михаила Олтяну найдена объёмистая тетрадь, озаглавленная так: «Записки о войне». Олтяну выражает недовольство скудной пищей. Приводим некоторые выписки из тетради: «Еда — чёрный хлеб. Максимум 50 граммов в сутки... Вот уже третий день не подвозят пищу. Солдаты идут только под угрозой командиров. Офицерам едва удаётся сохранять порядок... Маршируем без пищи и воды... От голода и усталости не могу говорить. Нам ничего не дают есть».</w:t>
      </w:r>
    </w:p>
    <w:p w14:paraId="3A7B2C0D"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каждым днём растут ряды советских партизан, отважно действующих в тылу фашистско-немецких войск. В группе районов Калининской области оперирует несколько отрядов, имеющих между собой постоянную связь. В начале октября объединённые силы партизан нанесли немцам серьёзный удар. Дело происходило так. По заранее разработанному плану отдельные небольшие группы партизан произвели в различных местах демонстративные нападения на коммуникации и гарнизоны фашистов. Немецкие власти были вынуждены направить из села Н. к местам выступлений партизан отряды солдат, оставив лишь небольшую охрану военных складов и ремонтной мастерской танков и автомашин. В это время основные силы патриотов напали па село Н. В упорном бою был уничтожен 41 немецкий солдат и офицер. Партизаны подорвали 17 находящихся в ремонте танков и 45 автомашин, сожгли склады боеприпасов, горючего и военного снаряжения. Обозлённые фашисты бросили крупную часть против партизан. Заманив врага в болото, партизаны устроили на дороге завалы и подвергли немцев сильному обстрелу из пулемётов и автоматов. Не имея возможности развернуть свои силы для наступления, фашисты стали в беспорядке отходить. На дороге осталось около 60 убитых немецких солдат и офицеров, 7 сгоревших автомашин, 3 пулемёта, 50 винтовок и другое снаряжение.» (14812).</w:t>
      </w:r>
    </w:p>
    <w:p w14:paraId="2255B35C" w14:textId="77777777" w:rsidR="00D908D8" w:rsidRPr="00640820" w:rsidRDefault="00D908D8" w:rsidP="00640820">
      <w:pPr>
        <w:spacing w:after="0" w:line="240" w:lineRule="auto"/>
        <w:jc w:val="both"/>
        <w:rPr>
          <w:rFonts w:ascii="Times New Roman" w:hAnsi="Times New Roman"/>
          <w:color w:val="000000" w:themeColor="text1"/>
          <w:sz w:val="16"/>
          <w:szCs w:val="16"/>
        </w:rPr>
      </w:pPr>
    </w:p>
    <w:p w14:paraId="4CCE9295"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27 октября </w:t>
      </w:r>
      <w:r w:rsidRPr="00640820">
        <w:rPr>
          <w:rFonts w:ascii="Times New Roman" w:hAnsi="Times New Roman"/>
          <w:color w:val="000000" w:themeColor="text1"/>
          <w:sz w:val="16"/>
          <w:szCs w:val="16"/>
        </w:rPr>
        <w:t>в 1941 году вечернее сообщение Совинформбюро:</w:t>
      </w:r>
    </w:p>
    <w:p w14:paraId="2BDA46E1"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27 октября наши войска вели бои с противником на Можайском, Малоярославецком, Харьковском и Таганрогском направлениях.</w:t>
      </w:r>
    </w:p>
    <w:p w14:paraId="6FDDFD07"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уточнённым данным, за 25 октября уничтожено не 27 немецких самолётов, как указывалось ранее, а 39 самолётов. За 27 октября под Москвой сбито 8 самолётов противника.»</w:t>
      </w:r>
    </w:p>
    <w:p w14:paraId="3240E6D6"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Резкое ухудшение физического и морального состояния солдат гитлеровской армии.</w:t>
      </w:r>
    </w:p>
    <w:p w14:paraId="7EE46BCA"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последние 20 дней произошло дальнейшее серьёзное ухудшение морального состояния солдат немецко-фашистской армии. Многие пленные немецкие солдаты проявляют явное неверие в победу фашистских войск. Пленные немецкие солдаты заявляют, что моральные и физические силы солдат гитлеровской армии на грани истощения. Внешний вид захваченных немецких солдат резко отличается от внешнего вида солдат, захваченных в плен в первые недели войны. Все пленные до крайности завшивлены, непрерывно чешутся и обирают с себя паразитов. Большинство пленных немецких солдат имеет оборванный и измождённый вид. Многие немцы одеты в дырявое, поношенное летнее обмундирование и совершенно не имеют нижнего белья. Стало обычным явлением, что немецкое командование водит своих солдат в бой пьяными.</w:t>
      </w:r>
    </w:p>
    <w:p w14:paraId="1C083299"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Среди захваченных за последнее время в плен фашистских солдат встречается много людей с серьёзными физическими недостатками, как-то: отсутствием с раннего детства одного глаза, сильной близорукостью, при которой человек без очков совершенно не видит, с хромотой в результате неоднократных операций по случаю гниения ноги и с другими подобными физическими недостатками. Пленные заявляют, что сейчас в германскую армию взяты поголовно все лица от 17 до 50 лет, не исключая людей с такими физическими недостатками, с которыми раньше в армию никогда не брали.»</w:t>
      </w:r>
    </w:p>
    <w:p w14:paraId="0189E822"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Злодейское нарушение международного права германской военщиной.</w:t>
      </w:r>
    </w:p>
    <w:p w14:paraId="229B1DF2"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«Ввиду серьёзной нехватки людских ресурсов в германской армии гитлеровцы идут на злодейское нарушение Гаагской конвенции 1907 года о военнопленных, подписанной всеми великими державами, в том числе и Германией.</w:t>
      </w:r>
    </w:p>
    <w:p w14:paraId="33D88C3B"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Статья 6 главы 2-й Гаагской конвенции запрещает использовать военнопленных на работах, имеющих хоть какое-нибудь отношение к военным действиям. Между тем немцы под угрозой расстрела заставляют пленных красноармейцев обслуживать фашистскую армию. Гитлеровцы привлекают пленных красноармейцев в качестве ездовых на повозках и шофёров на автомашинах и тракторах, перевозящих боеприпасы и другие военные грузы на фронте, в качестве подносчиков боеприпасов на огневые позиции и т. д.</w:t>
      </w:r>
    </w:p>
    <w:p w14:paraId="15888512"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Подобной практикой германская военщина ещё раз перед всем миром разоблачает, себя как банда насильников, для которых не существует никаких законов и никакого международного права, хотя представители Германии и ставили свою подпись на международных соглашениях, определяющих положение и права военнопленных.»</w:t>
      </w:r>
    </w:p>
    <w:p w14:paraId="3165C644"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«Наше соединение, действующее на одном из участков Западного фронта, успешно отбило две атаки немецких танков в составе более 80 машин. Бойцы соединения, умело применив все средства борьбы с танками, уничтожили 42 вражеские машины. Огнём зенитных установок и нашими самолётами сбито 8 самолётов противника, пытавшихся поддержать атаку танковой колонны.</w:t>
      </w:r>
    </w:p>
    <w:p w14:paraId="2873DBCF"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участков Южного фронта наши части в двухдневном бою нанесли серьёзный урон немецко-фашистским войскам, пытавшимся атаковать наши позиции. На подступах к линии нашей обороны противник оставил до 700 трупов своих солдат и офицеров. Отдельные группы фашистских войск, прорвавшиеся в глубину нашей обороны, были окружены и полностью уничтожены. Наши части захватили 5 танков, 9 орудий, 20 миномётов, 60 автоматов и много боеприпасов.» (14812).</w:t>
      </w:r>
    </w:p>
    <w:p w14:paraId="7FC45FC3" w14:textId="77777777" w:rsidR="00D908D8" w:rsidRPr="00640820" w:rsidRDefault="00D908D8" w:rsidP="00640820">
      <w:pPr>
        <w:spacing w:after="0" w:line="240" w:lineRule="auto"/>
        <w:jc w:val="both"/>
        <w:rPr>
          <w:rFonts w:ascii="Times New Roman" w:hAnsi="Times New Roman"/>
          <w:color w:val="000000" w:themeColor="text1"/>
          <w:sz w:val="16"/>
          <w:szCs w:val="16"/>
        </w:rPr>
      </w:pPr>
    </w:p>
    <w:p w14:paraId="2B9AAFF1"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27 октября </w:t>
      </w:r>
      <w:r w:rsidRPr="00640820">
        <w:rPr>
          <w:rFonts w:ascii="Times New Roman" w:hAnsi="Times New Roman"/>
          <w:color w:val="000000" w:themeColor="text1"/>
          <w:sz w:val="16"/>
          <w:szCs w:val="16"/>
        </w:rPr>
        <w:t>в 1941 году немцы занимают Красноперекопск (14812).</w:t>
      </w:r>
    </w:p>
    <w:p w14:paraId="685C8897" w14:textId="77777777" w:rsidR="00D908D8" w:rsidRPr="00640820" w:rsidRDefault="00D908D8" w:rsidP="00640820">
      <w:pPr>
        <w:spacing w:after="0" w:line="240" w:lineRule="auto"/>
        <w:jc w:val="both"/>
        <w:rPr>
          <w:rFonts w:ascii="Times New Roman" w:hAnsi="Times New Roman"/>
          <w:color w:val="000000" w:themeColor="text1"/>
          <w:sz w:val="16"/>
          <w:szCs w:val="16"/>
        </w:rPr>
      </w:pPr>
    </w:p>
    <w:p w14:paraId="40F0F31B"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27 октября </w:t>
      </w:r>
      <w:r w:rsidRPr="00640820">
        <w:rPr>
          <w:rFonts w:ascii="Times New Roman" w:hAnsi="Times New Roman"/>
          <w:color w:val="000000" w:themeColor="text1"/>
          <w:sz w:val="16"/>
          <w:szCs w:val="16"/>
        </w:rPr>
        <w:t>в 1941 году фашисты захватывают Краматорск (14812).</w:t>
      </w:r>
    </w:p>
    <w:p w14:paraId="76AB1C03" w14:textId="77777777" w:rsidR="00D908D8" w:rsidRPr="00640820" w:rsidRDefault="00D908D8" w:rsidP="00640820">
      <w:pPr>
        <w:spacing w:after="0" w:line="240" w:lineRule="auto"/>
        <w:jc w:val="both"/>
        <w:rPr>
          <w:rFonts w:ascii="Times New Roman" w:hAnsi="Times New Roman"/>
          <w:color w:val="000000" w:themeColor="text1"/>
          <w:sz w:val="16"/>
          <w:szCs w:val="16"/>
        </w:rPr>
      </w:pPr>
    </w:p>
    <w:p w14:paraId="1D5E8AB0"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27 октября </w:t>
      </w:r>
      <w:r w:rsidRPr="00640820">
        <w:rPr>
          <w:rFonts w:ascii="Times New Roman" w:hAnsi="Times New Roman"/>
          <w:color w:val="000000" w:themeColor="text1"/>
          <w:sz w:val="16"/>
          <w:szCs w:val="16"/>
        </w:rPr>
        <w:t>в 1941 году войска 4-й армии Ленинградского фронта остановили наступление противника в районе Ситомли, а войска 52-й армии - восточнее Малой Вишеры (14812).</w:t>
      </w:r>
    </w:p>
    <w:p w14:paraId="4EFB557B" w14:textId="77777777" w:rsidR="00D908D8" w:rsidRPr="00640820" w:rsidRDefault="00D908D8" w:rsidP="00640820">
      <w:pPr>
        <w:spacing w:after="0" w:line="240" w:lineRule="auto"/>
        <w:jc w:val="both"/>
        <w:rPr>
          <w:rFonts w:ascii="Times New Roman" w:hAnsi="Times New Roman"/>
          <w:color w:val="000000" w:themeColor="text1"/>
          <w:sz w:val="16"/>
          <w:szCs w:val="16"/>
        </w:rPr>
      </w:pPr>
    </w:p>
    <w:p w14:paraId="1B0B3DD5"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27 октября </w:t>
      </w:r>
      <w:r w:rsidRPr="00640820">
        <w:rPr>
          <w:rFonts w:ascii="Times New Roman" w:hAnsi="Times New Roman"/>
          <w:color w:val="000000" w:themeColor="text1"/>
          <w:sz w:val="16"/>
          <w:szCs w:val="16"/>
        </w:rPr>
        <w:t>в 1941 году немцы занимают Красноперекопск (14812).</w:t>
      </w:r>
    </w:p>
    <w:p w14:paraId="194FC84F" w14:textId="77777777" w:rsidR="00D908D8" w:rsidRPr="00640820" w:rsidRDefault="00D908D8" w:rsidP="00640820">
      <w:pPr>
        <w:spacing w:after="0" w:line="240" w:lineRule="auto"/>
        <w:jc w:val="both"/>
        <w:rPr>
          <w:rFonts w:ascii="Times New Roman" w:hAnsi="Times New Roman"/>
          <w:color w:val="000000" w:themeColor="text1"/>
          <w:sz w:val="16"/>
          <w:szCs w:val="16"/>
        </w:rPr>
      </w:pPr>
    </w:p>
    <w:p w14:paraId="24C42D75"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27 октября </w:t>
      </w:r>
      <w:r w:rsidRPr="00640820">
        <w:rPr>
          <w:rFonts w:ascii="Times New Roman" w:hAnsi="Times New Roman"/>
          <w:color w:val="000000" w:themeColor="text1"/>
          <w:sz w:val="16"/>
          <w:szCs w:val="16"/>
        </w:rPr>
        <w:t>в 1941 году фашисты захватывают Краматорск (14812).</w:t>
      </w:r>
    </w:p>
    <w:p w14:paraId="1510A22C" w14:textId="77777777" w:rsidR="00D908D8" w:rsidRPr="00640820" w:rsidRDefault="00D908D8" w:rsidP="00640820">
      <w:pPr>
        <w:spacing w:after="0" w:line="240" w:lineRule="auto"/>
        <w:jc w:val="both"/>
        <w:rPr>
          <w:rFonts w:ascii="Times New Roman" w:hAnsi="Times New Roman"/>
          <w:color w:val="000000" w:themeColor="text1"/>
          <w:sz w:val="16"/>
          <w:szCs w:val="16"/>
        </w:rPr>
      </w:pPr>
    </w:p>
    <w:p w14:paraId="3A2A1C18"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27 октября </w:t>
      </w:r>
      <w:r w:rsidRPr="00640820">
        <w:rPr>
          <w:rFonts w:ascii="Times New Roman" w:hAnsi="Times New Roman"/>
          <w:color w:val="000000" w:themeColor="text1"/>
          <w:sz w:val="16"/>
          <w:szCs w:val="16"/>
        </w:rPr>
        <w:t>в 1941 году войска 4-й армии Ленинградского фронта остановили наступление противника в районе Ситомли, а войска 52-й армии - восточнее Малой Вишеры (14812).</w:t>
      </w:r>
    </w:p>
    <w:p w14:paraId="7C84A1B4" w14:textId="77777777" w:rsidR="00D908D8" w:rsidRPr="00640820" w:rsidRDefault="00D908D8" w:rsidP="00640820">
      <w:pPr>
        <w:spacing w:after="0" w:line="240" w:lineRule="auto"/>
        <w:jc w:val="both"/>
        <w:rPr>
          <w:rFonts w:ascii="Times New Roman" w:hAnsi="Times New Roman"/>
          <w:color w:val="000000" w:themeColor="text1"/>
          <w:sz w:val="16"/>
          <w:szCs w:val="16"/>
        </w:rPr>
      </w:pPr>
    </w:p>
    <w:p w14:paraId="073C60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27 октября 1941 не менее десятка танков потеряли немецкие танкисты в резуль</w:t>
      </w:r>
      <w:r w:rsidRPr="00640820">
        <w:rPr>
          <w:rFonts w:ascii="Times New Roman" w:hAnsi="Times New Roman"/>
          <w:color w:val="000000" w:themeColor="text1"/>
          <w:sz w:val="16"/>
          <w:szCs w:val="16"/>
        </w:rPr>
        <w:softHyphen/>
        <w:t xml:space="preserve">тате бомбоштурмового удара 5 Ил-2 65-го </w:t>
      </w:r>
      <w:r w:rsidRPr="00640820">
        <w:rPr>
          <w:rFonts w:ascii="Times New Roman" w:hAnsi="Times New Roman"/>
          <w:iCs/>
          <w:color w:val="000000" w:themeColor="text1"/>
          <w:sz w:val="16"/>
          <w:szCs w:val="16"/>
        </w:rPr>
        <w:t>шап</w:t>
      </w:r>
      <w:r w:rsidRPr="00640820">
        <w:rPr>
          <w:rFonts w:ascii="Times New Roman" w:hAnsi="Times New Roman"/>
          <w:color w:val="000000" w:themeColor="text1"/>
          <w:sz w:val="16"/>
          <w:szCs w:val="16"/>
        </w:rPr>
        <w:t xml:space="preserve"> м-ра А.Н.Витрука (с 15.02.42 г. - 765-й </w:t>
      </w:r>
      <w:r w:rsidRPr="00640820">
        <w:rPr>
          <w:rFonts w:ascii="Times New Roman" w:hAnsi="Times New Roman"/>
          <w:iCs/>
          <w:color w:val="000000" w:themeColor="text1"/>
          <w:sz w:val="16"/>
          <w:szCs w:val="16"/>
        </w:rPr>
        <w:t>шап)</w:t>
      </w:r>
      <w:r w:rsidRPr="00640820">
        <w:rPr>
          <w:rFonts w:ascii="Times New Roman" w:hAnsi="Times New Roman"/>
          <w:color w:val="000000" w:themeColor="text1"/>
          <w:sz w:val="16"/>
          <w:szCs w:val="16"/>
        </w:rPr>
        <w:t xml:space="preserve"> авиагруппы Сбытова со</w:t>
      </w:r>
      <w:r w:rsidRPr="00640820">
        <w:rPr>
          <w:rFonts w:ascii="Times New Roman" w:hAnsi="Times New Roman"/>
          <w:color w:val="000000" w:themeColor="text1"/>
          <w:sz w:val="16"/>
          <w:szCs w:val="16"/>
        </w:rPr>
        <w:softHyphen/>
        <w:t xml:space="preserve">вместно с 3 И-153 и 3 МиГ-3 из 120-го </w:t>
      </w:r>
      <w:r w:rsidRPr="00640820">
        <w:rPr>
          <w:rFonts w:ascii="Times New Roman" w:hAnsi="Times New Roman"/>
          <w:iCs/>
          <w:color w:val="000000" w:themeColor="text1"/>
          <w:sz w:val="16"/>
          <w:szCs w:val="16"/>
        </w:rPr>
        <w:t>иап</w:t>
      </w:r>
      <w:r w:rsidRPr="00640820">
        <w:rPr>
          <w:rFonts w:ascii="Times New Roman" w:hAnsi="Times New Roman"/>
          <w:color w:val="000000" w:themeColor="text1"/>
          <w:sz w:val="16"/>
          <w:szCs w:val="16"/>
        </w:rPr>
        <w:t xml:space="preserve"> 6-го </w:t>
      </w:r>
      <w:r w:rsidRPr="00640820">
        <w:rPr>
          <w:rFonts w:ascii="Times New Roman" w:hAnsi="Times New Roman"/>
          <w:iCs/>
          <w:color w:val="000000" w:themeColor="text1"/>
          <w:sz w:val="16"/>
          <w:szCs w:val="16"/>
        </w:rPr>
        <w:t>иак</w:t>
      </w:r>
      <w:r w:rsidRPr="00640820">
        <w:rPr>
          <w:rFonts w:ascii="Times New Roman" w:hAnsi="Times New Roman"/>
          <w:color w:val="000000" w:themeColor="text1"/>
          <w:sz w:val="16"/>
          <w:szCs w:val="16"/>
        </w:rPr>
        <w:t xml:space="preserve"> ПВО (6967).</w:t>
      </w:r>
    </w:p>
    <w:p w14:paraId="3242FD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F0634E9" w14:textId="77777777" w:rsidR="00911435" w:rsidRPr="00640820" w:rsidRDefault="00911435" w:rsidP="00640820">
      <w:pPr>
        <w:pStyle w:val="319"/>
        <w:shd w:val="clear" w:color="auto" w:fill="auto"/>
        <w:spacing w:after="0" w:line="240" w:lineRule="auto"/>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27 октября 1941:</w:t>
      </w:r>
    </w:p>
    <w:p w14:paraId="3C289FF1" w14:textId="77777777" w:rsidR="00911435" w:rsidRPr="00640820" w:rsidRDefault="00911435"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Самолет № 42015, командир корабля ст. лейтенант Пусэп</w:t>
      </w:r>
    </w:p>
    <w:p w14:paraId="7D8CBD75" w14:textId="77777777" w:rsidR="00911435" w:rsidRPr="00640820" w:rsidRDefault="00911435"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в 17 час 51 мин 27.10.41 г. стартовал с аэродрома Ковров на бомбардирование г. Орел.</w:t>
      </w:r>
    </w:p>
    <w:p w14:paraId="1B4D3AB3" w14:textId="77777777" w:rsidR="00911435" w:rsidRPr="00640820" w:rsidRDefault="00911435"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В 20 час 48 мин - с высоты 3000 м на цель сброшены: ФАБ-250 - 8 шт., ФАБ-100 - 8 шт. Бомбы сброшены прицельно в один заход. Экипаж наблюдал разрывы бомб среди пожаров, которыми охвачен город Орел.</w:t>
      </w:r>
    </w:p>
    <w:p w14:paraId="7CD1AEFA" w14:textId="77777777" w:rsidR="00911435" w:rsidRPr="00640820" w:rsidRDefault="00911435"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Противодействие ПВО: Над целью работали четыре прожектора и с западной части города по самолету вели огонь два орудия ЗА, разрывы снарядов наблюдали выше самолета и в стороне.</w:t>
      </w:r>
    </w:p>
    <w:p w14:paraId="1332B7BE" w14:textId="77777777" w:rsidR="00911435" w:rsidRPr="00640820" w:rsidRDefault="00911435"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Метеоусловия: На маршруте до Спасск-Рязанский, облачность 10 баллов, высота 500 м. От Спасск-Рязанский до Архангельское - ясно, от Архангельское до цели облачность, высота 3500 м. С запада на цель надвигался фронт со снежными осадками.</w:t>
      </w:r>
    </w:p>
    <w:p w14:paraId="1BBF9E83" w14:textId="77777777" w:rsidR="00911435" w:rsidRPr="00640820" w:rsidRDefault="00911435"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Экипаж наблюдал: В 18 час 50 мин в районе Спасск-Рязанский прошел со встречным курсом справа самолет, тип не опознан. Матчасть неисправна.</w:t>
      </w:r>
    </w:p>
    <w:p w14:paraId="2130BAB1" w14:textId="77777777" w:rsidR="00911435" w:rsidRPr="00640820" w:rsidRDefault="00911435"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Посадка в Коврове - 22 час 50 мин. (19105).</w:t>
      </w:r>
    </w:p>
    <w:p w14:paraId="6576ED7E" w14:textId="77777777" w:rsidR="00911435" w:rsidRPr="00640820" w:rsidRDefault="00911435" w:rsidP="00640820">
      <w:pPr>
        <w:pStyle w:val="108"/>
        <w:shd w:val="clear" w:color="auto" w:fill="auto"/>
        <w:spacing w:line="240" w:lineRule="auto"/>
        <w:rPr>
          <w:rFonts w:ascii="Times New Roman" w:hAnsi="Times New Roman" w:cs="Times New Roman"/>
          <w:color w:val="000000" w:themeColor="text1"/>
        </w:rPr>
      </w:pPr>
    </w:p>
    <w:p w14:paraId="1E81E8C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октября 1941 фашистами захвачен Краматорск (4962).</w:t>
      </w:r>
    </w:p>
    <w:p w14:paraId="78CB99E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DCA9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октября 1941 КА пыталась контратаковать под Москвой (2260).</w:t>
      </w:r>
    </w:p>
    <w:p w14:paraId="6D6851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6061B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October 27, 1941: Units of 11.Armee (von Manstein) force a breakthrough at Perekop, thus opening the gate to the Crimean peninsula (3819).</w:t>
      </w:r>
    </w:p>
    <w:p w14:paraId="436838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103DA5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октября 1941 части 11А (фон Манштейн) прорвались через Перекоп (3819).</w:t>
      </w:r>
    </w:p>
    <w:p w14:paraId="27FA48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7AD90F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октября 1941 вышло Постановление ГКО № 844 О включении землянок в строительство полевых укрепленных рубежей. (7014, 80-81).</w:t>
      </w:r>
    </w:p>
    <w:p w14:paraId="68A0684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CCEC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октября 1941 вышло Постановление ГКО № 844 О включении землянок в строительство полевых укрепленных рубежей. РГАНИР, Фонд ГКО, д. 13, лл. 80-81 (11012).</w:t>
      </w:r>
    </w:p>
    <w:p w14:paraId="0C9B63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03D0325"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7FAE868B"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56C76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27 октября 1941 г. Уполномоченный Комиссии партийного контроля при ЦК ВКП(б) по БАССР Косарев сообщал о том, что “не все граждане (эвакуированные) имеют возможность приобретать через кооперацию из-за отсутствия средств. Значительное число граждан только живет за счет авансов, получаемых на трудодни за работу в колхозе. Руководители колхозов всякими путями тормозят в отпуске продуктов. В проверенных колхозах Стерлибашевского района эвакуированным, кроме хлеба при наличии других продуктов ничего не отпускается. В колхозе “Путь социализма” гражданки Арбузова, Виноградова и Блохина ввиду того, что колхоз не обеспечивает хлебом, вынуждены были идти наниматься к колхозникам на копку картофеля – за 2 ведра картофеля в день. В колхозе “Шакар” семье Родионовой в 6 человек при одном трудоспособном отпускалось 1 кг хлеба в день. Не имея других средств к существованию, данная семья вынуждена продавать свою последнюю одежду”. Да и получение положенных по норме продуктов не удовлетворяло потребности людей, затрачивавших на работе много физической энергии. Многие люди, пережившие войну, непременно вспоминают недоедание, черный рынок и скудное снабжение продовольствием. Бывший рабочий Уралмаша Герой Социалистического Труда А.И. Храмцов вспоминал: “Нелишне вспомнить как я распоряжался своей хлебной пайкой. У меня была рабочая карточка первой категории, по которой на день полагалось 800 граммов хлеба. Я получал его перед началом смены и клал в тумбочку, где хранил инструмент. Предварительно я нарезал хлеб на порции самодельным ножичком, сделанным из пилки. Съедать их я должен был в определенное время, чтобы поддержать силы на протяжении всей смены, но соблюсти мной же установленный график обычно не удавалось, я его изрядно опережал. И презирая себя за эту слабость, не торопился проглатывать хлеб, а долго держал его во рту, и сосал клейкую сырую мякоть, будто это леденец. Когда я приходил домой, мать старалась незаметно подсунуть мне свою пайку, а получала она как иждивенец, 400 граммов на день и неполный килограмм крупы-муки на целый месяц. Я бурно протестовал. </w:t>
      </w:r>
    </w:p>
    <w:p w14:paraId="0CFBF4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-Ничего, сыночек, ешь, - просила меня мать, - ты ведь у нас работник. </w:t>
      </w:r>
    </w:p>
    <w:p w14:paraId="38DFB4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Мне стыдно сейчас признаться, что далеко не всегда я мог устоять против ее уговоров” [Центр хранения документов молодежных организаций. Ф. 1. Оп.3. C.137].</w:t>
      </w:r>
    </w:p>
    <w:p w14:paraId="792268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 оценкам У.Г. Чернявского, питание городского населения особенно ухудшилось на первом году войны, затем калорийность питания была поднята с 2555 кал. в 1942 г. до 2810 кал. в 1944 г., но она не достигла уровня 1940 г. (3370 кал. в сутки) [Шахурин А.И. Крылья победы. - М., 1984. - С. 178-179, 181]. </w:t>
      </w:r>
    </w:p>
    <w:p w14:paraId="382002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Карточная система представляла собой форму “условного равенства”. Для работников-передовиков оборонных предприятий создавались дополнительные стимулы, незначительные по нынешним стандартам, но ощутимые в военных условиях, когда нормой бытия являлось удовлетворение первичных потребностей. На заводах и фабриках действовали системы снабжения рабочих и отдельно – инженерно-технических работников. Руководящие работники имели особые привилегии: ощутимую материальную помощь, деньги на лечение и т.п. </w:t>
      </w:r>
    </w:p>
    <w:p w14:paraId="3EFB57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каждом, кроме столовых для рабочих, существовали столовые для ИТР, для мастеров, для высшего технического персонала, для заводоуправления. Все эти столовые получали продуктов значительно больше, установленных норм, в то время как столовым для рабочих продуктов выделялось значительно меньше. На Кировском в третьем квартале 1942 г. рабочие столовые получили жиров по 0,94 кг на человека вместо 1,8 кг по норме, а столовые высшего технического персонала, где питались заместители начальников цехов – по 5,2 кг вместо 1,8 кг по норме. Мясо, рыбу рабочие столовые получили по 5,67 кг на человека вместо 6,6 кг по норме, столовые же ИТР по 12,22 кг вместо 6,6 кг по норме, а столовые высшего технического персонала по 26,2 кг на человека.</w:t>
      </w:r>
    </w:p>
    <w:p w14:paraId="4B6464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Документы свидетельствуют, что практически на каждом предприятии имелись прецеденты перераспределения фондов в пользу управленческого персонала и торгово-снабженческих работников. На Калининском вагоностроительном заводе на различные торжественные вечера, конференции и другие мероприятия в первом квартале 1944 г. было израсходовано 1310 талонов на дополнительное питание рабочих. Кроме того, 1104 талона были выделены за различные услуги лицам, не являвшимся работниками предприятия. Это происходило при том, что 714 рабочих, выполнявших и перевыполнявших нормы, не получали дополнительного горячего питания. На Ульяновском автозаводе во втором квартале 1944 г. 14% талонов, предназначенных рабочим за выполнение и перевыполнение норм выработки, было распоряжением администрации выдано лицам, не имевшим прямого отношения к выполнению производственной программы – работникам ОРСа, жилищно-бытового отдела, бухгалтерии и др. Зато в рабочих столовых, по воспоминаниям наркома авиационной промышленности А. Шахурина, плохим, “если не сказать больше, было питание... В столовой часто бывали такие блюда, как “голубая ночь” (суп из ботвы), “осень” (вода с горохом), “карие глазки” (суп с воблой), так рабочие с горькой шуткой называли эти блюда”. Значительную долю населения составляли те, у кого не доставало денег, чтобы “выкупить” выдаваемое по карточкам. Показательна ситуация на предприятиях наркомата боеприпасов. Многие молодые рабочие получали зарплату, которой хватало на питание на 2 - 3 недели. Прожиточный минимум подростка составлял в 1944 г. 340-350 руб. (только на трехразовое питание на заводах требовалось 180-200 руб.), заработок же ученика- подростка – 90-200 руб., а заработок подростка, окончившего обучение, – 250-300 руб. Подростки становились должниками заводов. Аналогичной была ситуация и во многих других отраслях. Те, кто “ел” по низшим категориям, были вынуждены или искать иные источники пропитания, или постепенно угасать. Падение уровня жизни толкало людей на любые ухищрения и воровство (11121).</w:t>
      </w:r>
    </w:p>
    <w:p w14:paraId="657768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0E3DD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октября 1941 Ярославский комитет обороны принял постановление:  «Не позднее 1 ноября представить на рассмотрениекомитета план эвакуации одиннадцати ведущих предприятий». В утвержденном комитетом 15 ноября графике подачи вагонов для эвакуации оборудования значилось уже 17 заводов и фабрик. По данным на 25 декабря число полностью и частично демонтированных предприятий составило 25. К концу 1941 г. полностью провели эвакуацию Рыбинский машиностроительный завод и Ярославский завод топливной аппаратуры, на 50% – Ярославский электромеханический завод, на 30—50% – шинный, «Красный перекоп» и др. заводы. Некоторые из них были демонтированы на 80% и готовились к полной эвакуации. К этому времени железнодорожный транспорт отгрузил 5300 вагонов оборудования и материалов и водный – 18,7 млн т, в глубокий тыл были вывезены более 30 тыс. рабочих и служащих. Лаковый, эмалевый и нитролаковый цеха ярославского химического завода «Победа рабочих» были демонтированы и погружены на баржи. Однако из-за ледостава вывезти оборудование не успели, и оно три месяца пролежало у берега. Опасаясь массированных немецких десантов на территории Ярославской области, городской комитет обороны 30 октября отдал распоряжение всем секретарям райкомов партии и начальникам районных отделов НКВД выявить площадки и места, которые могли использоваться вражеской авиацией для посадки самолетов и высадки десантов. Далее предлагалось  «принять меры к приведениютаких мест в негодное состояние (забросать бревнами, вкопать столбы, расставить рогатки), в тех районах, где имеется камень, разбросать его на площадке» (11774).</w:t>
      </w:r>
    </w:p>
    <w:p w14:paraId="30C424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FA632B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октября 1941 вышло Постановление ГКО № 846 О демонтаже вещательной радиостанции имени ВЦСПС. (7014, 83).</w:t>
      </w:r>
    </w:p>
    <w:p w14:paraId="55F3CBE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E32748"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1966A304"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1888A3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октября 1941 в Калише (Польша) фашисты убили 290 пожилых евреев, удушив их угарным газом в запертой машине (это породило идею создания газовых камер) (4962).</w:t>
      </w:r>
    </w:p>
    <w:p w14:paraId="3E2B884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17978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октября 1941 в Ковно (Литва) фашистами казнены 9 тысяч человек, в том числе более 4 тысяч детей (4962).</w:t>
      </w:r>
    </w:p>
    <w:p w14:paraId="4F1E104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6370FF"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34F2D47C"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2CE5776" w14:textId="77777777" w:rsidR="007D4E92" w:rsidRPr="00640820" w:rsidRDefault="007D4E9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октября 1941 г. Приказ № 1084с Наркома авиационной промышленности СССР А. Шахурина об эвакуации заводов №№ 1, 18 и 24 НКАП в г. Куйбышев с размещением их на площадях заводов №№ 122, 295 и 337 и ликвидацией последних.</w:t>
      </w:r>
    </w:p>
    <w:p w14:paraId="20FE2F79" w14:textId="77777777" w:rsidR="007D4E92" w:rsidRPr="00640820" w:rsidRDefault="007D4E9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Подлинник (рассекречено).</w:t>
      </w:r>
    </w:p>
    <w:p w14:paraId="526FF41F" w14:textId="77777777" w:rsidR="007D4E92" w:rsidRPr="00640820" w:rsidRDefault="007D4E9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РГАЭ ф. 8044, оп. 1, д. 594, л. 35. (18959).</w:t>
      </w:r>
    </w:p>
    <w:p w14:paraId="2BF527D3" w14:textId="77777777" w:rsidR="007D4E92" w:rsidRPr="00640820" w:rsidRDefault="007D4E92" w:rsidP="00640820">
      <w:pPr>
        <w:spacing w:after="0" w:line="240" w:lineRule="auto"/>
        <w:jc w:val="both"/>
        <w:rPr>
          <w:rFonts w:ascii="Times New Roman" w:hAnsi="Times New Roman"/>
          <w:color w:val="000000" w:themeColor="text1"/>
          <w:sz w:val="16"/>
          <w:szCs w:val="16"/>
        </w:rPr>
      </w:pPr>
    </w:p>
    <w:p w14:paraId="770585F7" w14:textId="77777777" w:rsidR="007D4E92" w:rsidRPr="00640820" w:rsidRDefault="007D4E92"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октября 1941 вышел приказ НКАП N 1083сс об организации группы НКАП в Куйбышеве (1516,28).</w:t>
      </w:r>
    </w:p>
    <w:p w14:paraId="29F15D67" w14:textId="77777777" w:rsidR="007D4E92" w:rsidRPr="00640820" w:rsidRDefault="007D4E92" w:rsidP="00640820">
      <w:pPr>
        <w:autoSpaceDE w:val="0"/>
        <w:autoSpaceDN w:val="0"/>
        <w:adjustRightInd w:val="0"/>
        <w:spacing w:after="0" w:line="240" w:lineRule="auto"/>
        <w:jc w:val="both"/>
        <w:rPr>
          <w:rFonts w:ascii="Times New Roman" w:hAnsi="Times New Roman"/>
          <w:color w:val="000000" w:themeColor="text1"/>
          <w:sz w:val="16"/>
          <w:szCs w:val="16"/>
        </w:rPr>
      </w:pPr>
    </w:p>
    <w:p w14:paraId="2B98F7E2" w14:textId="77777777" w:rsidR="007D4E92" w:rsidRPr="00640820" w:rsidRDefault="007D4E9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октября 1941 г. Приказ № 1083с Наркома авиационной промышленности СССР А. Шахурина об организации и откомандировании для работы в г. Куйбышеве группы руководящих работников НКАП (в приказе список на 27 человек).</w:t>
      </w:r>
    </w:p>
    <w:p w14:paraId="266A6D2C" w14:textId="77777777" w:rsidR="007D4E92" w:rsidRPr="00640820" w:rsidRDefault="007D4E9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Подлинник (рассекречено).</w:t>
      </w:r>
    </w:p>
    <w:p w14:paraId="5BEB032E" w14:textId="77777777" w:rsidR="007D4E92" w:rsidRPr="00640820" w:rsidRDefault="007D4E9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РГАЭ ф. 8044, оп. 1, д. 594, лл. 28 – 29. (18959).</w:t>
      </w:r>
    </w:p>
    <w:p w14:paraId="61E5DF84" w14:textId="77777777" w:rsidR="007D4E92" w:rsidRPr="00640820" w:rsidRDefault="007D4E92" w:rsidP="00640820">
      <w:pPr>
        <w:spacing w:after="0" w:line="240" w:lineRule="auto"/>
        <w:jc w:val="both"/>
        <w:rPr>
          <w:rFonts w:ascii="Times New Roman" w:hAnsi="Times New Roman"/>
          <w:color w:val="000000" w:themeColor="text1"/>
          <w:sz w:val="16"/>
          <w:szCs w:val="16"/>
        </w:rPr>
      </w:pPr>
    </w:p>
    <w:p w14:paraId="4ABCA2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октября 1941 вышел приказ НКАП N 1082сс (1512,9).</w:t>
      </w:r>
    </w:p>
    <w:p w14:paraId="41BA55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целях увеличения выпуска боевых самолетов:</w:t>
      </w:r>
    </w:p>
    <w:p w14:paraId="245D3A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Директору завода 47 Шаройко организовать производство самолетов Як-1 параллельно с производством самолетов Ут-2</w:t>
      </w:r>
    </w:p>
    <w:p w14:paraId="279345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Развертывание производства производить исходя из следующего графика:</w:t>
      </w:r>
    </w:p>
    <w:p w14:paraId="57ECF7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по Ут-2 - 2 самолета в сутки до конце 1941 и всего 622</w:t>
      </w:r>
    </w:p>
    <w:p w14:paraId="38D047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по самолету Як-1: 1 кв. 1942 - 11, 2-й - 67, 3-й - 130, 4 - 192 (по 3 в сутки). Всего - 400 (1512,9).</w:t>
      </w:r>
    </w:p>
    <w:p w14:paraId="29560B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50D6D36" w14:textId="77777777" w:rsidR="00126005" w:rsidRPr="00640820" w:rsidRDefault="0012600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28 октября 1941 БОК-7 вернули в ЦАГИ, и больше он не летал. В октябре 1940 г. БОК-7 участвовал в съёмках на московской киностудии художественного фильма «Великий лётчик» о В.П. Чкалове, он изображал самолёт РД (АНТ-25) (17489).</w:t>
      </w:r>
    </w:p>
    <w:p w14:paraId="4F238DC1" w14:textId="77777777" w:rsidR="00126005" w:rsidRPr="00640820" w:rsidRDefault="00126005" w:rsidP="00640820">
      <w:pPr>
        <w:spacing w:after="0" w:line="240" w:lineRule="auto"/>
        <w:jc w:val="both"/>
        <w:rPr>
          <w:rFonts w:ascii="Times New Roman" w:eastAsia="Times New Roman" w:hAnsi="Times New Roman"/>
          <w:color w:val="000000" w:themeColor="text1"/>
          <w:sz w:val="16"/>
          <w:szCs w:val="16"/>
          <w:lang w:eastAsia="ru-RU"/>
        </w:rPr>
      </w:pPr>
    </w:p>
    <w:p w14:paraId="2201F6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октября 1941 г. по приказу № 1084сс завод № 483 7ГУ НКАП гл. конструктора В.К. Таирова эвакуирован в Куйбышев и влит в состав завода № 1 НКАП. Согласно приказа № 10б8сс от 14.10.1941 г. В.К. Таиров на тот момент был гл. инженером завода № 207 и отвечал за эвакуацию завода. 29.10.1941 г. при перелете в Куйбышев Таиров погиб в авиакатастрофе. Его КБ действовало до середины 1942 г., затем расформировано.</w:t>
      </w:r>
    </w:p>
    <w:p w14:paraId="4059D6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(02.1941 г.-)- В.К. Таиров.</w:t>
      </w:r>
    </w:p>
    <w:p w14:paraId="519720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(02.1941 г.-)- В.К. Таиров (11982).</w:t>
      </w:r>
    </w:p>
    <w:p w14:paraId="2DD26F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D0A8F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октября 1941 г. приказом № 27а директор № 16 Сухоруков поручает Чевеле Б.А. ускорить производство минометов: «С целью срочного окончания изготовления минометов приказываю:</w:t>
      </w:r>
    </w:p>
    <w:p w14:paraId="1924A4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Организовать в помещении цеха № 10 мастерскую по изготовлению минометов. 2. Работы по производству минометов производить круглосуточно. 3. Начальником мастерской по производству минометов назначить т. Чевела Бориса Александровича. Тов. Чевела представляю неограниченное право по законам военного времени мобилизации для производства вышеуказанных работ квалифицированной рабочей силы и ИТР, оборудования и материалов. Все лица, занятые в производстве минометов, выезжают в Казань только после окончания работы с моего разрешения» (12049).</w:t>
      </w:r>
    </w:p>
    <w:p w14:paraId="2DC65C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DDEEE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октября 1941 года Приказом НКАП за № 1084сс винтовое производство завода № 150, размещенное на заканчивавашейся строительством в октябре 1941 года промплощадке совместно с заводом № 18 выделяется в самостоятельный завод с присвоением ему № 35.</w:t>
      </w:r>
    </w:p>
    <w:p w14:paraId="5C82F6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с января 1942 года приступил к серийному производству воздушных металлических винтов. С 1952 года завод полностью переключился на производство шасси.</w:t>
      </w:r>
    </w:p>
    <w:p w14:paraId="273BC0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Куйбышев, ст. Безымянка, Псковская ул., д. 32а</w:t>
      </w:r>
    </w:p>
    <w:p w14:paraId="3A4D06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Производственный профиль – шасси, реактивная техника и др. (9824)</w:t>
      </w:r>
    </w:p>
    <w:p w14:paraId="3802A6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октября 1941 вышел приказ НКАП:</w:t>
      </w:r>
    </w:p>
    <w:p w14:paraId="58C0E9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Объединить заводы № 32 и 315, разместив их в г. Кирове,</w:t>
      </w:r>
    </w:p>
    <w:p w14:paraId="7BD73F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Присвоить объединенному заводу номер 32 (9651,92).</w:t>
      </w:r>
    </w:p>
    <w:p w14:paraId="0BAF21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8A8EF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28 октября 1941 г. по приказу НКАП № 1082с на основе завода № 33, эвакуированного 9 октября 1941 вместе с ОКБ в г. Молотов на площадку расположенного здесь завода № 339 4ГУ НКАП аналогичной специализации, был образован единый завод </w:t>
      </w:r>
      <w:r w:rsidRPr="00640820">
        <w:rPr>
          <w:rFonts w:ascii="Times New Roman" w:hAnsi="Times New Roman"/>
          <w:color w:val="000000" w:themeColor="text1"/>
          <w:sz w:val="16"/>
          <w:szCs w:val="16"/>
          <w:lang w:val="en-US"/>
        </w:rPr>
        <w:t>N</w:t>
      </w:r>
      <w:r w:rsidRPr="00640820">
        <w:rPr>
          <w:rFonts w:ascii="Times New Roman" w:hAnsi="Times New Roman"/>
          <w:color w:val="000000" w:themeColor="text1"/>
          <w:sz w:val="16"/>
          <w:szCs w:val="16"/>
        </w:rPr>
        <w:t>° 33 4ГУ НКАП. Уже в 11.1941 г. завод полностью перебазировался на новое место и вскоре начал производство.</w:t>
      </w:r>
    </w:p>
    <w:p w14:paraId="63EAAB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Москве на старом месте по приказу НКАП № 46с от 17.01.1942 г. была организована ремонтная база, а затем Агрегатные ремонтные мастерские № 33 со штатом 43 чел. Начальник- Н.В. Козлов. А в 02.1942 г. на базе мастерских основан завод </w:t>
      </w:r>
      <w:r w:rsidRPr="00640820">
        <w:rPr>
          <w:rFonts w:ascii="Times New Roman" w:hAnsi="Times New Roman"/>
          <w:color w:val="000000" w:themeColor="text1"/>
          <w:sz w:val="16"/>
          <w:szCs w:val="16"/>
          <w:lang w:val="en-US"/>
        </w:rPr>
        <w:t>JNfe</w:t>
      </w:r>
      <w:r w:rsidRPr="00640820">
        <w:rPr>
          <w:rFonts w:ascii="Times New Roman" w:hAnsi="Times New Roman"/>
          <w:color w:val="000000" w:themeColor="text1"/>
          <w:sz w:val="16"/>
          <w:szCs w:val="16"/>
        </w:rPr>
        <w:t xml:space="preserve"> 315 НКАП.</w:t>
      </w:r>
    </w:p>
    <w:p w14:paraId="3CB647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1944 г. часть специалистов завода была переведена на завод № 487 для освоения выпуска топливных агрегатов.</w:t>
      </w:r>
    </w:p>
    <w:p w14:paraId="37DC05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1947 г.- завод № 33 им. М.И. Калинина. С 1953 г. передан во 2ГУ, с 1.05.1956 г.- в ЗГУ. В соответствии с пост. СМ СССР № 713-342 от 26.06.1957 г. передан в ведение СНХ РСФСР. В 1966 г. переименован в Пермский карбюраторный завод им. М.И. Калинина.</w:t>
      </w:r>
    </w:p>
    <w:p w14:paraId="0EC3A7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1954 г. начато производство систем автоматического управления авиационных ГТД; с 1957 г.- пневматической, гидравлической и электропневматической автоматики для РКТ.</w:t>
      </w:r>
    </w:p>
    <w:p w14:paraId="02F215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01.1979 г. на базе завода и его филиала, Губахинского механического завода, образовалось Агрегатное ПО им. Калинина. С 1992 г. - АООТ «Инкар», с 1997 г. - ОАО «ПАО «Инкар». По решению правительства № 22-р от 9.01.2004 г. вошло в перечень стратегических предприятий.</w:t>
      </w:r>
    </w:p>
    <w:p w14:paraId="1C35CE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(2004 г.): агрегаты топливной аппаратуры двигателей Д-30, ПС-90, Д-25В, ТВ2-117, ТВЗ-117, ТВ-0-100; агрегаты впрыска топлива, управления реактивным соплом; гидравлические и пневматические приводы, регуляторы, электромагниты, редукторы, фильтры; карбюраторы для малогабаритных авиационных ПД; электропилы, автомобильные газотопливные системы, аварийно-спасательный гидравлический инструмент.</w:t>
      </w:r>
    </w:p>
    <w:p w14:paraId="574CA4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(1.04.2003 г.)-5478 чел.</w:t>
      </w:r>
    </w:p>
    <w:p w14:paraId="324D2C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Директор (1928-ЗО г.-)- Х.Я. Фромзон, (1931-27.03.1937 г.)- А.И. Юдин, (27.03.1937-15.11.1938 г.)- Б.В. Акимов, (15.11.1938-; -02.1940 г.)- И.В. Хапов, (1939-40 г.)- А.Р. Горлин, (02.1940 г.-)- Д.М. Соколов, (12.1940-04.1942 г.)- А. Г. Солдатов, (04.1942-02.1944 г.)-А.М. Сильнов, (1943 г.)- М. Маланьин, (1943-44 г.)-  Г.Д. Брусникин, (1944- 49 г.)-  Г.Т. Вигура, (1949-55 г.)- Б.Я. Соснин, (1956-57 г.)-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Головачев, (06.1957-08.1966 г.)-  Г.Л. Журбенко, (1966-88 г.)- А.К. Горшков. Гендиректор (1988-2005 г.-)- Ю.Я. Антонов,</w:t>
      </w:r>
      <w:r w:rsidRPr="00640820">
        <w:rPr>
          <w:rFonts w:ascii="Times New Roman" w:hAnsi="Times New Roman"/>
          <w:color w:val="000000" w:themeColor="text1"/>
          <w:sz w:val="16"/>
          <w:szCs w:val="16"/>
          <w:vertAlign w:val="superscript"/>
        </w:rPr>
        <w:t>49</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vertAlign w:val="superscript"/>
        </w:rPr>
        <w:t>101</w:t>
      </w:r>
      <w:r w:rsidRPr="00640820">
        <w:rPr>
          <w:rFonts w:ascii="Times New Roman" w:hAnsi="Times New Roman"/>
          <w:color w:val="000000" w:themeColor="text1"/>
          <w:sz w:val="16"/>
          <w:szCs w:val="16"/>
        </w:rPr>
        <w:t xml:space="preserve"> (2008 г.)- С.В. Попов.</w:t>
      </w:r>
    </w:p>
    <w:p w14:paraId="55A21C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строительства (-23.07.1937 г.)- Э.М. Ринбер г. Помощник директора по найму и увольнению (19.07- 11.1937 г.-)- В.Ф. Андреенко. Финансовый директор (2002 г.)- А.И. Долотов. Коммерческий директор (-2002- 11.2004 г.-&gt; В.В.Швецов.</w:t>
      </w:r>
    </w:p>
    <w:p w14:paraId="473389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(12.1937 г.)- Могилевич, (7.09.1938 г.-)- Б.А. Гусев, (-06.1940 г.)- И.Ф. Алисов, (06.1940-41 г.)- А. Г. Солдатов, (1941 г.-)- И.И. Чистякова, (2002 г.)- Ю.П. Бородин.</w:t>
      </w:r>
      <w:r w:rsidRPr="00640820">
        <w:rPr>
          <w:rFonts w:ascii="Times New Roman" w:hAnsi="Times New Roman"/>
          <w:color w:val="000000" w:themeColor="text1"/>
          <w:sz w:val="16"/>
          <w:szCs w:val="16"/>
          <w:vertAlign w:val="superscript"/>
        </w:rPr>
        <w:t>69</w:t>
      </w:r>
    </w:p>
    <w:p w14:paraId="1F1E38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(12.1938 г.)- К.А. Стариков.</w:t>
      </w:r>
    </w:p>
    <w:p w14:paraId="655933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конструктора - К.А. Стариков.</w:t>
      </w:r>
    </w:p>
    <w:p w14:paraId="2A1E3F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Начальник производства (1941 г.)-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Сильнова. Начальник опытного производства (1941 г.)- С.А. Громова.</w:t>
      </w:r>
    </w:p>
    <w:p w14:paraId="6589B5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цехов: (-1939 г.)-  Г.Ф. Черкасов. Заведующие отделами: снабжения (1930 г.)- Новиков.</w:t>
      </w:r>
    </w:p>
    <w:p w14:paraId="6F166B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Производство: авиационные карбюраторы: К-11, К-17, К-22, К-34, К-34СМ для ГАМ-34 (1938), К-100, К-25 и АК-25 для М-62 (1938-), К-87, К-96, АК-62, К-105, КВ-4 для МВ-4 (1938), КВ-6 для МВ-6 (1938), К-105, К-35Б, К-38, К-11, АК-62, АК-82БП, АК-88Б, К-107 (ВОВ), ВК-4, КМ-4 (после ВОВ); регуляторы поддува РПТ-1, помпы ПМ-18 (1930-е); агрегаты топливной аппаратуры для ТРД, плунжерные насосы ПН-15/28, автоматы распределения топлива АРТ-10; топливорегулирующая </w:t>
      </w:r>
      <w:r w:rsidRPr="00640820">
        <w:rPr>
          <w:rFonts w:ascii="Times New Roman" w:hAnsi="Times New Roman"/>
          <w:color w:val="000000" w:themeColor="text1"/>
          <w:sz w:val="16"/>
          <w:szCs w:val="16"/>
        </w:rPr>
        <w:lastRenderedPageBreak/>
        <w:t>аппаратура «53» для АЛ-21ФЗ, «3048» для Д-30Ф6 (1970- е); системы автоматического управления двигателей для самолетов Су-17, Су-24, Су-25, Су-27, МиГ-31; питающий насос НП-65, топливный насос НТ-ЮООВ, насосы-регуляторы НР-ЮООВ, НР-3075, НР-65, НР-87, НР- 90 (2004); пневмо-, гидро-, электроавтоматика для РН «Протон» (1962-); толкатели клапанов автомобильных двигателей (2004); автомобильные газотопливные системы САГА-6, САГА-7 (2002); бытовые электропилы «Инкар», «Парма» (2004) (11982).</w:t>
      </w:r>
    </w:p>
    <w:p w14:paraId="4A1A31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9E71682" w14:textId="77777777" w:rsidR="007D4E92" w:rsidRPr="00640820" w:rsidRDefault="007D4E92" w:rsidP="00640820">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28 октября 1941 г., когда немцы стояли у ворот Москвы, в посёлке Барбыш Куйбышевской области Я. Г. Таубин был расстрелян. Его заместитель М. Н. Бабурин, осуждённый по тому же делу на 5 лет заключения, умер в лагере 30 августа 1944 г. Готовые пушки МП-6 тоже «репрессировали» — те из них, которые были поставлены в ВВС, на основании приказа НКАП от 21.05.1941 подлежали отправке на заводы-изготовители.</w:t>
      </w:r>
    </w:p>
    <w:p w14:paraId="6157795A" w14:textId="77777777" w:rsidR="007D4E92" w:rsidRPr="00640820" w:rsidRDefault="007D4E92" w:rsidP="00640820">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Но пушкам Таубина всё же удалось поучаствовать в войне. Распоряжением ГКО № 101 («Об использовании авиационного оружия по противовоздушной обороне городов») от 11 июля 1941 г. НКВ Д. Ф. Устинову предписывалось все 400 шт. хранящихся на заводах пушек МП-6 укомплектовать установками и зенитными прицелами и двумя партиями по 200 штук к 10 сентября 1941 г. передать ГАУ для укомплектования ПВО городов. Выполняя Распоряжение, в ЦКБ-14 для них спроектировали упрощённую установку (конструктор — Н. Ф. Токарев). В конце октября 1941 г. некоторое количество этих установок участвовало в отражении налётов вражеской авиации на Тулу. На этом боевая биография изделий Таубина завершилась и на много лет на упоминание о них было наложено негласное «табу».</w:t>
      </w:r>
    </w:p>
    <w:p w14:paraId="73D762C2" w14:textId="77777777" w:rsidR="007D4E92" w:rsidRPr="00640820" w:rsidRDefault="007D4E92" w:rsidP="00640820">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Ни одного образца пушки МП-6 до настоящего времени, похоже, не сохранилось — обнаружить их не удалось, хотя поиск шёл по всем оружейным организациям России. После смерти Сталина Постановлением Прокуратуры СССР от 20 декабря 1955 г. дело по его обвинению Я. Г. Таубина было прекращено за отсутствием состава преступления. Итак, доказано — преступления Таубин не совершал.</w:t>
      </w:r>
    </w:p>
    <w:p w14:paraId="28F4B05A" w14:textId="77777777" w:rsidR="007D4E92" w:rsidRPr="00640820" w:rsidRDefault="007D4E92" w:rsidP="00640820">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Ванников описывает причину провала таубинской пушки обтекаемо, признавая, что был её сторонником и из-за этого пострадал (с 7 июня до 20 июля 1941 г. находился под следствием). Но есть такие свидетели, кто своих чувств по поводу вины Таубина не скрывал. Самую жёсткую оценку ему дал В. Н. Новиков: «…А вообще он виноват полностью, и я считаю, что из-за него много лётчиков погибло. Потому что если бы он не мешал, Березин, Волков и Ярцев сделали бы хорошую пушку гораздо раньше. И мы смогли гораздо раньше перевооружить самолёты на более мощное вооружение. Он задержал это дело как минимум на полгода. Я лично считаю, что посадили Таубина за прожектёрство и обман — правильно сделали. А то, что расстреляли, наверное, неправильно. Всё-таки он молодой был — 30 с чем-то лет. Ну чего стрелять? Но, правда, суд приговорил к расстрелу…» (19195).</w:t>
      </w:r>
    </w:p>
    <w:p w14:paraId="4E1E3A8C" w14:textId="77777777" w:rsidR="007D4E92" w:rsidRPr="00640820" w:rsidRDefault="007D4E92" w:rsidP="00640820">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p>
    <w:p w14:paraId="78B8DC21"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66E1E4EF"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31883E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октября 1941 г. была подготовлена ДОКЛАДНАЯ ЗАПИСКА НАЧАЛЬНИКА АТУ НАЧАЛЬНИКУ ГАБТУ ПО ТЕКУЩИМ ВОПРОСАМ</w:t>
      </w:r>
    </w:p>
    <w:p w14:paraId="5E89486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Докладываю:</w:t>
      </w:r>
    </w:p>
    <w:p w14:paraId="53AA76B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16 октября с.г. из Архангельска в г. Казань отгружено 20 танков.</w:t>
      </w:r>
    </w:p>
    <w:p w14:paraId="4D988A1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октября с.г. из Архангельска в г. Казань выехали английские инструктора по танковому делу.</w:t>
      </w:r>
    </w:p>
    <w:p w14:paraId="6FF7799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Глава Английской миссии Мак-Харлан просит разрешить ему лично выехать в г. Казань для ознакомления с работой английских инструкторов по танковому делу.</w:t>
      </w:r>
    </w:p>
    <w:p w14:paraId="0401584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Если этот вопрос Вами будет разрешен положительно, прошу дать соответствующее указание начальнику автобронетанковых курсов усовершенствования технического состава полковнику Ко</w:t>
      </w:r>
      <w:r w:rsidRPr="00640820">
        <w:rPr>
          <w:rFonts w:ascii="Times New Roman" w:hAnsi="Times New Roman"/>
          <w:color w:val="000000" w:themeColor="text1"/>
          <w:sz w:val="16"/>
          <w:szCs w:val="16"/>
        </w:rPr>
        <w:softHyphen/>
        <w:t>нонову о приеме и размещении Мак-Харлана и едущих с ним лиц.</w:t>
      </w:r>
    </w:p>
    <w:p w14:paraId="42A43FF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500 грузовых автомашин из Архангельска направлены в г. Горький для сборки и изготовления платформ.</w:t>
      </w:r>
    </w:p>
    <w:p w14:paraId="3237761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Сегодня 28 октября с.г. заместитель т. Микояна т. Крутиков сообщил что:</w:t>
      </w:r>
    </w:p>
    <w:p w14:paraId="14BB595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30-31 октября с.г. в г. Архангельск прибывают 120 танков и 200 танкеток (легких бронемашин). Согласно Ваших указаний я предложил указанные боевые машины направить в г. Горький.</w:t>
      </w:r>
    </w:p>
    <w:p w14:paraId="725FC69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Прошу дать соответствующее указание в Архангельск представителю ГАБТУ КА т. Ворошилову и начальнику Горьковского учебного центра о приеме указанных машин.</w:t>
      </w:r>
    </w:p>
    <w:p w14:paraId="5F5229C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В ближайшие дни из США на Архангельск будут отправлены автомашины: 1000 штук 2,5 тонн и 3700 штук 1,5 тонн.</w:t>
      </w:r>
    </w:p>
    <w:p w14:paraId="6E18B30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Прошу Ваших указаний, куда их направлять.</w:t>
      </w:r>
    </w:p>
    <w:p w14:paraId="4499965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США запрашивают, нужны ли нам инструктора по танковому делу и на какой срок. Я передал т. Крутикову, что нужны в небольшом количестве и на непродолжительный срок. Прошу дать указание, в каком количестве, куда и на какой срок указанных инструкторов напра</w:t>
      </w:r>
      <w:r w:rsidRPr="00640820">
        <w:rPr>
          <w:rFonts w:ascii="Times New Roman" w:hAnsi="Times New Roman"/>
          <w:color w:val="000000" w:themeColor="text1"/>
          <w:sz w:val="16"/>
          <w:szCs w:val="16"/>
        </w:rPr>
        <w:softHyphen/>
        <w:t>влять.</w:t>
      </w:r>
    </w:p>
    <w:p w14:paraId="532996C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Прошу сообщить фамилии лиц командируемых ГАБТУ КА за границу для приемки продукции. Указанные данные необходимы для оформления заграничных паспортов.</w:t>
      </w:r>
    </w:p>
    <w:p w14:paraId="7D8AC8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kern w:val="65535"/>
          <w:sz w:val="16"/>
          <w:szCs w:val="16"/>
        </w:rPr>
      </w:pPr>
      <w:r w:rsidRPr="00640820">
        <w:rPr>
          <w:rFonts w:ascii="Times New Roman" w:hAnsi="Times New Roman"/>
          <w:color w:val="000000" w:themeColor="text1"/>
          <w:kern w:val="65535"/>
          <w:sz w:val="16"/>
          <w:szCs w:val="16"/>
        </w:rPr>
        <w:t>6. Зам. начальника тыла КА генерал-майор т. Захаров на основании указаний т. Микояна пред</w:t>
      </w:r>
      <w:r w:rsidRPr="00640820">
        <w:rPr>
          <w:rFonts w:ascii="Times New Roman" w:hAnsi="Times New Roman"/>
          <w:color w:val="000000" w:themeColor="text1"/>
          <w:kern w:val="65535"/>
          <w:sz w:val="16"/>
          <w:szCs w:val="16"/>
        </w:rPr>
        <w:softHyphen/>
        <w:t>ложил к 1 ноября с.г. сократить штат управления до 50% (11211).</w:t>
      </w:r>
    </w:p>
    <w:p w14:paraId="5027BB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kern w:val="65535"/>
          <w:sz w:val="16"/>
          <w:szCs w:val="16"/>
        </w:rPr>
      </w:pPr>
    </w:p>
    <w:p w14:paraId="1F5243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октября 1941 года в приказе № 40 был объявлен выговор директору СТЗ Дулькину Б. А. за преувеличение цифры сданных танков на три штуки. 27 октября Дулькин в сводке исправил эту ошибку, однако было уже поздно. 29 октября Дулькин Б. А. был снят с поста директора и переведен на менее ответственную работу. Главный инженер завода Демьянович А. Н. получил строгий выговор. В НКТП существовала четкая система учета сданных военпредам танков. Директор должен бьш передавать сведения о сданных танках телеграммой раз в день и раз в неделю. При этом сведения телеграмм контролировались и сравнивались со сведениями военпредов, и если они не совпадали, то у директора могли быть большие (11788).</w:t>
      </w:r>
    </w:p>
    <w:p w14:paraId="31EB99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66762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октября 1941 вышло Постановление ГКО № 847 Об эвакуации Майкопнефти и Грознефти. РГАНИР, Фонд ГКО, д. 13, лл. 84-88 (11012).</w:t>
      </w:r>
    </w:p>
    <w:p w14:paraId="3746EA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6A122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kern w:val="65535"/>
          <w:sz w:val="16"/>
          <w:szCs w:val="16"/>
        </w:rPr>
      </w:pPr>
      <w:r w:rsidRPr="00640820">
        <w:rPr>
          <w:rFonts w:ascii="Times New Roman" w:hAnsi="Times New Roman"/>
          <w:color w:val="000000" w:themeColor="text1"/>
          <w:kern w:val="65535"/>
          <w:sz w:val="16"/>
          <w:szCs w:val="16"/>
        </w:rPr>
        <w:t>28 октября 1941 г. ГКО принял постановление «Об эвакуации Майкопнефти и Грознефти в Башкирскую АССР». И это сложнейшее дело осуществлялось под непосредственным руководством наркома Седина. В ноябре 1941 г. он с группой специалистов выехал в основные нефтяные районы страны – Грозный и Баку. В ходе его командировки были успешно решены сложные задачи по перебазированию нефтедобывающих и нефтеперерабатывающих предприятий с юга страны, а также по их ускоренному монтажу и вводу в эксплуатацию на новых местах.</w:t>
      </w:r>
    </w:p>
    <w:p w14:paraId="5EB0A0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kern w:val="65535"/>
          <w:sz w:val="16"/>
          <w:szCs w:val="16"/>
        </w:rPr>
      </w:pPr>
      <w:r w:rsidRPr="00640820">
        <w:rPr>
          <w:rFonts w:ascii="Times New Roman" w:hAnsi="Times New Roman"/>
          <w:color w:val="000000" w:themeColor="text1"/>
          <w:kern w:val="65535"/>
          <w:sz w:val="16"/>
          <w:szCs w:val="16"/>
        </w:rPr>
        <w:t>В целом в 1941 г. в СССР было добыто 33 млн. т нефти, в том числе 23,5 млн. т на апшеронских промыслах.</w:t>
      </w:r>
    </w:p>
    <w:p w14:paraId="38FA0B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kern w:val="65535"/>
          <w:sz w:val="16"/>
          <w:szCs w:val="16"/>
        </w:rPr>
      </w:pPr>
      <w:r w:rsidRPr="00640820">
        <w:rPr>
          <w:rFonts w:ascii="Times New Roman" w:hAnsi="Times New Roman"/>
          <w:color w:val="000000" w:themeColor="text1"/>
          <w:kern w:val="65535"/>
          <w:sz w:val="16"/>
          <w:szCs w:val="16"/>
        </w:rPr>
        <w:t>Вполне заслуженно эта самоотверженная работа получила высокую оценку со стороны высшего руководства страны. 5 апреля 1942 г. Указом Верховного Совета № 11 Народный комиссар нефтяной промышленности И.К. Седин «за образцовое выполнение заданий Правительства по увеличению добычи нефти, производству оборонных нефтепродуктов и боеприпасов» был награжден орденом Трудового Красного Знамени (11523).</w:t>
      </w:r>
    </w:p>
    <w:p w14:paraId="6BAAB1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kern w:val="65535"/>
          <w:sz w:val="16"/>
          <w:szCs w:val="16"/>
        </w:rPr>
      </w:pPr>
    </w:p>
    <w:p w14:paraId="0E774E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октября 1941 вышло Постановление ГКО № 848 О плане производства и поставок артиллерийского и стрелкового вооружения и военных приборов в ноябре 1941 г. РГАНИР, Фонд ГКО, д. 13, лл. 89-91 (11012).</w:t>
      </w:r>
    </w:p>
    <w:p w14:paraId="120C24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6D96B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28 октября по 6 ноября 1941 в Свердловск на территорию заводов "Металлист", вагоноремонтного имени Воеводина и филиала "Уралмаша" поступило оборудование завода N 37 из Москвы. Вместе с частью эвакуированного туда завода "КИМ" был образован новый танковый завод № 37 (главный конструктор Г.С. Суренян, затем Н.А. Попов) (3862).</w:t>
      </w:r>
    </w:p>
    <w:p w14:paraId="0E01AD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162C3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октября 1941 г. после проведения испытаний комиссией под председательством капитана 1-го ранга Д. М. Косьмина лодки вступили в состав флота. Эти "малютки" совершили не один боевой поход, в том числе в осажденный Севастополь (10700).</w:t>
      </w:r>
    </w:p>
    <w:p w14:paraId="74E2E1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0C3F960" w14:textId="77777777" w:rsidR="002535FA" w:rsidRPr="00640820" w:rsidRDefault="002535F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28 октября 1941 г. МГК ВКП(б) исключил из партии и отдал под трибунал группу директоров московских заводов, пытавшихся бежать без разрешения из города на грузовиках с похищенными материальными ценностями (21191).</w:t>
      </w:r>
    </w:p>
    <w:p w14:paraId="194294F2" w14:textId="77777777" w:rsidR="002535FA" w:rsidRPr="00640820" w:rsidRDefault="002535FA" w:rsidP="00640820">
      <w:pPr>
        <w:spacing w:after="0" w:line="240" w:lineRule="auto"/>
        <w:jc w:val="both"/>
        <w:rPr>
          <w:rFonts w:ascii="Times New Roman" w:hAnsi="Times New Roman"/>
          <w:color w:val="0070C0"/>
          <w:sz w:val="16"/>
          <w:szCs w:val="16"/>
        </w:rPr>
      </w:pPr>
    </w:p>
    <w:p w14:paraId="3EF11868"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424216D6"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C72ED66"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28 октября </w:t>
      </w:r>
      <w:r w:rsidRPr="00640820">
        <w:rPr>
          <w:rFonts w:ascii="Times New Roman" w:hAnsi="Times New Roman"/>
          <w:color w:val="000000" w:themeColor="text1"/>
          <w:sz w:val="16"/>
          <w:szCs w:val="16"/>
        </w:rPr>
        <w:t>в 1941 году утреннее сообщение Совинформбюро:</w:t>
      </w:r>
    </w:p>
    <w:p w14:paraId="600A6434"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28 октября наши войска вели бои с противником на Можайском, Малоярославецком, Харьковском и Таганрогском направлениях.</w:t>
      </w:r>
    </w:p>
    <w:p w14:paraId="09B30C5D"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Одно наше авиасоединение, оперирующее на Западном фронте, совершило удачный налёт на мотомеханизированные войска противника. В результате прямых попаданий бомб уничтожено 33 вражеских танка и больше 140 автомашин с немецкой пехотой.</w:t>
      </w:r>
    </w:p>
    <w:p w14:paraId="34EE0DB9"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районе города Т. группа наших самолётов атаковала скопление войск противника. Бомбами и пулемётным огнём уничтожено больше 60 автомашин с боеприпасами, уничтожено и рассеяно до полка пехоты. Другая группа самолётов уничтожила в районе города Ф. 13 немецких танков и 35 автомашин с пехотой.</w:t>
      </w:r>
    </w:p>
    <w:p w14:paraId="2B91460E"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На Можайском направлении фронта наши части захватили в плен многочисленную группу немцев. Их показания отражают настроения значительной части фашистских солдат. Солдат Иохим Этингоф рассказывает: «Непрерывные ожесточённые бои меня измучили, измотали. Я выбился из сил и нахожусь в состоянии полного безразличия. Меня гонят, и я иду, как заводной игрушечный солдатик. Куда и зачем иду — не знаю. Впереди никакой цели. Голова не способна ни о чём думать. Вся прошлая жизнь безвозвратно исчезла и провалилась. Иногда даже не верится, что была какая-то иная жизнь. Офицеры и рота пропаганды изо всех сил стараются приободрить солдат, поднять у них боевой дух. Нам твердили, что вялость и апатия — самые страшные враги солдата. Каждый день читали нам наставления, но это были выцветшие, холодные и чужие слова, которые не находили отзвука в сердцах солдат».</w:t>
      </w:r>
    </w:p>
    <w:p w14:paraId="7F394460"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Пленный Эмиль Грин заявляет: «С первого же дня нового наступления многие солдаты ходят как обречённые. У меня всё время такое самочувствие, будто я лечу в пропасть. Офицеры совсем обезумели и озверели. Они не разговаривают, а рычат. Уже дают себя чувствовать холода, снег. В частях много больных, но офицеры не признают никаких болезней и гонят в бой больных, падающих с ног. Офицеры храбрятся, но мне кажется, что они с трепетом ждут того дня, когда придётся остановиться. Они, как огня, боятся вопроса, который назойливо преследует всех солдат: «А что же дальше?»</w:t>
      </w:r>
    </w:p>
    <w:p w14:paraId="5301070B"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Пленный Ганс Брейт говорит: «Солдаты уже потеряли всякую надежду на то, что война скоро кончится. Громадные потери убитыми и ранеными тяжело действуют на нервы. Для нас потери — это не отвлечённые цифры из штабных сводок. Что ни день, мы хороним всё больше и больше солдат».</w:t>
      </w:r>
    </w:p>
    <w:p w14:paraId="697807B0"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Самоотверженно работают трудящиеся Вологодской области. Огромное большинство предприятий освоило выпуск специальной продукции, необходимой Красной Армии. Трест «Вологдолес» уже выполнил годовой план выпуска шпал и в октябре выработал сверх годового плана 14.000 шпал. Выпуск продукции на лесозаводах № 40 и № 45 по сравнению с июлем увеличился вдвое.</w:t>
      </w:r>
    </w:p>
    <w:p w14:paraId="3CCBCAD9"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Значительно улучшила свою работу Северная железная дорога. Среднесуточная погрузка в сентябре увеличилась на 50 процентов по сравнению с июлем.</w:t>
      </w:r>
    </w:p>
    <w:p w14:paraId="7131AD7D"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предприятиях области с каждым днём растёт трудовой энтузиазм. На лесозаводе № 40 производительность рабочих в среднем составляет более 120 процентов плана. Слесарь тов. Бобылёв выполняет норму на 190 процентов, станочница тов. Демашова — на 148 процентов. Мастер Н. Кулойской артели тов. Ануфриев добился выхода с одного кубометра сырья 11 килограммов скипидара при плане в 6 килограммов. Машинист Северной железной дороги тов. Баженов водит поезда с грузом в две тысячи тонн вместо 1.400 тонн по норме.</w:t>
      </w:r>
    </w:p>
    <w:p w14:paraId="19D97944"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Колхозы и совхозы области закончили уборку урожая. План сева озимых выполнен на 102,4 процента. Многие колхозники области в дни Отечественной войны работают, за двоих и троих. Колхозник сельхозартели «Передовой», Устюжинского района, Яков Мишин работает в кузнице, заведует фермой и участвует в полевых работах.</w:t>
      </w:r>
    </w:p>
    <w:p w14:paraId="470DEC10"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области развёрнута большая военно-оборонная работа. Более ста шестидесяти тысяч жителей овладели знаниями противовоздушной и химической обороны. Подготовлено свыше 8.000 инструкторов ПВХО. В организациях Осоавиахима области готовятся тысячи ворошиловских стрелков первой и второй ступени, связисты, шофёры, пулемётчики. Больше 2.000 девушек, окончивших учёбу в санитарных дружинах, ушли на фронт, работают в госпиталях и на пунктах МПВО. Трудящиеся области проходят всеобщее военное обучение.» (14813).</w:t>
      </w:r>
    </w:p>
    <w:p w14:paraId="7C25EACA" w14:textId="77777777" w:rsidR="00D908D8" w:rsidRPr="00640820" w:rsidRDefault="00D908D8" w:rsidP="00640820">
      <w:pPr>
        <w:spacing w:after="0" w:line="240" w:lineRule="auto"/>
        <w:jc w:val="both"/>
        <w:rPr>
          <w:rFonts w:ascii="Times New Roman" w:hAnsi="Times New Roman"/>
          <w:color w:val="000000" w:themeColor="text1"/>
          <w:sz w:val="16"/>
          <w:szCs w:val="16"/>
        </w:rPr>
      </w:pPr>
    </w:p>
    <w:p w14:paraId="55AD4470"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28 октября </w:t>
      </w:r>
      <w:r w:rsidRPr="00640820">
        <w:rPr>
          <w:rFonts w:ascii="Times New Roman" w:hAnsi="Times New Roman"/>
          <w:color w:val="000000" w:themeColor="text1"/>
          <w:sz w:val="16"/>
          <w:szCs w:val="16"/>
        </w:rPr>
        <w:t>в 1941 году вечернее сообщение Совинформбюро:</w:t>
      </w:r>
    </w:p>
    <w:p w14:paraId="73275CAB"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28 октября наши войска вели бои с противником на Можайском, Малоярославецком, Волоколамском и Харьковском направлениях. Атаки немецко-фашистских войск на наши позиции на ряде участков Западного фронта отбиты частями Красной Армии с большими потерями для врага.</w:t>
      </w:r>
    </w:p>
    <w:p w14:paraId="481B001C"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27 октября, по неполным данным, уничтожен 31 немецкий самолёт. Наши потери — 12 самолётов.</w:t>
      </w:r>
    </w:p>
    <w:p w14:paraId="4EE012E7"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уточнённым данным, за 27 октября под Москвой сбито не 8 немецких самолётов, как сообщалось ранее, а 20 самолётов.</w:t>
      </w:r>
    </w:p>
    <w:p w14:paraId="054214DE"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28 октября под Москвой сбито 6 вражеских самолётов.</w:t>
      </w:r>
    </w:p>
    <w:p w14:paraId="5327402B"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Наше авиасоединение, действующее на Западном фронте, 27 октября уничтожило 42 немецких танка, 86 бронемашин, 430 автомашин с военными грузами, 32 штабных фургона и более 20 полевых орудий. Рассеяны и частично уничтожены два полка вражеской пехоты.</w:t>
      </w:r>
    </w:p>
    <w:p w14:paraId="23D5A251"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Авиачасть командира Антошкина, действующая на Малоярославецком направлении фронта, за пять дней уничтожила 97 немецких танков, 510 автомашин, 10 цистерн с горючим и больше 1300 вражеских солдат.</w:t>
      </w:r>
    </w:p>
    <w:p w14:paraId="55C0B818"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Отвагу и мужество проявляют бойцы части командира Масленникова, действующей на одном из участков Калининского фронта. В последнем бою бойцы тов. Масленникова уничтожили 8 фашистских танков, 80 автомашин с боеприпасами и захватили 30 исправных автомашин с военным грузом. На поле боя враг оставил больше 300 трупов солдат и офицеров. Зенитным огнём над полем боя сбито 6 самолётов противника.</w:t>
      </w:r>
    </w:p>
    <w:p w14:paraId="5D63532C"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Грабежи и убийства мирных граждан, женщин и детей в районах, занятых немецко-фашистскими бандами, продолжаются с прежней силой. В городе Диена, Белорусской ССР, фашистские власти отвели каждой группе солдат определенное количество домов на разграбление. Пьяные фашистские банды дочиста обобрали квартиры жителей, не гнушаясь даже поношенной одеждой и обувью. В городе происходят непрерывные расстрелы мирных жителей. Особенно свирепствует лейтенант Клейнкампф, которого население прозвало «палачом Дианы». На днях этот изверг после долгих издевательств над двумя стариками расстрелял их на улице в присутствии многих жителей города. Каждый день Клейнкампф отправляет в Германию своим родственникам тюки награбленного имущества и продовольствия.</w:t>
      </w:r>
    </w:p>
    <w:p w14:paraId="467AB2C0"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селе Усовка, Киевской области, немецкие солдаты устроили повальный обыск и отобрали у крестьян все носильные вещи и продукты. Старый колхозник Степан Шкрум попросил оставить ему немного хлеба. В ответ на это фашистский офицер выстрелил в старика и тяжело ранил его. Перед уходом из села фашисты подожгли все дома.</w:t>
      </w:r>
    </w:p>
    <w:p w14:paraId="6C283B93"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Патриотическое движение во Франции, несмотря на кровавый террор немцев и правительства Виши, растёт с каждым днём. Недавно в окрестностях Амьена распространились слухи о том, что английская и канадская армии высадились на побережье Франции. Возникли стихийные демонстрации. В ход пошло оружие, припрятанное во время войны с немцами. Патриоты разгромили штаб немецкой армии, расположенный близ Амьена. Фашистскому гарнизону, состоящему из плохо обученных солдат-стариков и юнцов, не имеющих боевого опыта, с большим трудом удалось подавить движение патриотов. В середине октября французские патриоты взорвали баржу с частями для танков, направлявшуюся по каналу Эр. В стране продолжаются крушения поездов с воинскими грузами. На днях под откос пущен эшелон, следовавший из Парижа в Труа.» (14813).</w:t>
      </w:r>
    </w:p>
    <w:p w14:paraId="5E826FB6" w14:textId="77777777" w:rsidR="00D908D8" w:rsidRPr="00640820" w:rsidRDefault="00D908D8" w:rsidP="00640820">
      <w:pPr>
        <w:spacing w:after="0" w:line="240" w:lineRule="auto"/>
        <w:jc w:val="both"/>
        <w:rPr>
          <w:rFonts w:ascii="Times New Roman" w:hAnsi="Times New Roman"/>
          <w:color w:val="000000" w:themeColor="text1"/>
          <w:sz w:val="16"/>
          <w:szCs w:val="16"/>
        </w:rPr>
      </w:pPr>
    </w:p>
    <w:p w14:paraId="4D0475F4"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28 октября </w:t>
      </w:r>
      <w:r w:rsidRPr="00640820">
        <w:rPr>
          <w:rFonts w:ascii="Times New Roman" w:hAnsi="Times New Roman"/>
          <w:color w:val="000000" w:themeColor="text1"/>
          <w:sz w:val="16"/>
          <w:szCs w:val="16"/>
        </w:rPr>
        <w:t>в 1941 году войска противника подошли к Волхову на расстояние 3—5 км и начали артиллерийско-минометный обстрел железно-дорожной станции Волховстрой (14813).</w:t>
      </w:r>
    </w:p>
    <w:p w14:paraId="3F2DED81" w14:textId="77777777" w:rsidR="00D908D8" w:rsidRPr="00640820" w:rsidRDefault="00D908D8" w:rsidP="00640820">
      <w:pPr>
        <w:spacing w:after="0" w:line="240" w:lineRule="auto"/>
        <w:jc w:val="both"/>
        <w:rPr>
          <w:rFonts w:ascii="Times New Roman" w:hAnsi="Times New Roman"/>
          <w:color w:val="000000" w:themeColor="text1"/>
          <w:sz w:val="16"/>
          <w:szCs w:val="16"/>
        </w:rPr>
      </w:pPr>
    </w:p>
    <w:p w14:paraId="5FFD3BDD"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28 октября </w:t>
      </w:r>
      <w:r w:rsidRPr="00640820">
        <w:rPr>
          <w:rFonts w:ascii="Times New Roman" w:hAnsi="Times New Roman"/>
          <w:color w:val="000000" w:themeColor="text1"/>
          <w:sz w:val="16"/>
          <w:szCs w:val="16"/>
        </w:rPr>
        <w:t>в 1941 году немецкие войска подошли к Волхову на расстояние 3–5 км и начали артиллерийско-минометный обстрел железнодорожной станции Волховстрой (14813).</w:t>
      </w:r>
    </w:p>
    <w:p w14:paraId="10EE6A80" w14:textId="77777777" w:rsidR="00D908D8" w:rsidRPr="00640820" w:rsidRDefault="00D908D8" w:rsidP="00640820">
      <w:pPr>
        <w:spacing w:after="0" w:line="240" w:lineRule="auto"/>
        <w:jc w:val="both"/>
        <w:rPr>
          <w:rFonts w:ascii="Times New Roman" w:hAnsi="Times New Roman"/>
          <w:color w:val="000000" w:themeColor="text1"/>
          <w:sz w:val="16"/>
          <w:szCs w:val="16"/>
        </w:rPr>
      </w:pPr>
    </w:p>
    <w:p w14:paraId="257862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28 октября 1941 эскадрилья л-та Г.Т.Невкипелова, также из 65-го </w:t>
      </w:r>
      <w:r w:rsidRPr="00640820">
        <w:rPr>
          <w:rFonts w:ascii="Times New Roman" w:hAnsi="Times New Roman"/>
          <w:iCs/>
          <w:color w:val="000000" w:themeColor="text1"/>
          <w:sz w:val="16"/>
          <w:szCs w:val="16"/>
        </w:rPr>
        <w:t xml:space="preserve">шап, </w:t>
      </w:r>
      <w:r w:rsidRPr="00640820">
        <w:rPr>
          <w:rFonts w:ascii="Times New Roman" w:hAnsi="Times New Roman"/>
          <w:color w:val="000000" w:themeColor="text1"/>
          <w:sz w:val="16"/>
          <w:szCs w:val="16"/>
        </w:rPr>
        <w:t>действуя по колонне противника, унич</w:t>
      </w:r>
      <w:r w:rsidRPr="00640820">
        <w:rPr>
          <w:rFonts w:ascii="Times New Roman" w:hAnsi="Times New Roman"/>
          <w:color w:val="000000" w:themeColor="text1"/>
          <w:sz w:val="16"/>
          <w:szCs w:val="16"/>
        </w:rPr>
        <w:softHyphen/>
        <w:t>тожила и вывела из строя 10 автомашин, а 29 октября в районе дёр. Ливанове в двух заходах - до 12 единиц бронетех</w:t>
      </w:r>
      <w:r w:rsidRPr="00640820">
        <w:rPr>
          <w:rFonts w:ascii="Times New Roman" w:hAnsi="Times New Roman"/>
          <w:color w:val="000000" w:themeColor="text1"/>
          <w:sz w:val="16"/>
          <w:szCs w:val="16"/>
        </w:rPr>
        <w:softHyphen/>
        <w:t>ники, 17 автомашин и 2 автобензоцис</w:t>
      </w:r>
      <w:r w:rsidRPr="00640820">
        <w:rPr>
          <w:rFonts w:ascii="Times New Roman" w:hAnsi="Times New Roman"/>
          <w:color w:val="000000" w:themeColor="text1"/>
          <w:sz w:val="16"/>
          <w:szCs w:val="16"/>
        </w:rPr>
        <w:softHyphen/>
        <w:t>терны (6467).</w:t>
      </w:r>
    </w:p>
    <w:p w14:paraId="1666C2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F3058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октября Ер-2 летчика Кондратьева (голубая "9") после выполнения бомбометания по цели в районе Калуги подвергся атаке трех неприятельских истребителей: одного Bf109 и двух В1110. В результате нескольких атак бомбардировщик получил 58 пробоин, два члена экипажа ранены, и все же пилот привел машину на свой аэродром. По докладам стрелков, один из нападавших В1110 был сбит меткой очередью сержанта Санкевича (3322,23).</w:t>
      </w:r>
    </w:p>
    <w:p w14:paraId="7CBA3B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F86B0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28 октября 1941 г. 2 И-15бис 87-й аэ при проведении воздушной разведки бомбили аэродром в Мариуполе. В завязавшемся воздушном бою этой паре удалось сбить 1 ВП09. Еше пара "бисов" в этот день в районе Бер- дянской косы атаковала </w:t>
      </w:r>
      <w:r w:rsidRPr="00640820">
        <w:rPr>
          <w:rFonts w:ascii="Times New Roman" w:hAnsi="Times New Roman"/>
          <w:color w:val="000000" w:themeColor="text1"/>
          <w:sz w:val="16"/>
          <w:szCs w:val="16"/>
          <w:lang w:val="en-US"/>
        </w:rPr>
        <w:t>Helll</w:t>
      </w:r>
      <w:r w:rsidRPr="00640820">
        <w:rPr>
          <w:rFonts w:ascii="Times New Roman" w:hAnsi="Times New Roman"/>
          <w:color w:val="000000" w:themeColor="text1"/>
          <w:sz w:val="16"/>
          <w:szCs w:val="16"/>
        </w:rPr>
        <w:t xml:space="preserve"> и заявила о его уничтожении. Один наш самолет не вернулся на свой аэродром (12014).</w:t>
      </w:r>
    </w:p>
    <w:p w14:paraId="3D2AE1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115C87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октября 1941 г. два И-15бис 87-й оиаэ при проведении воздушной разведки бомбили аэродром в уже занятом про</w:t>
      </w:r>
      <w:r w:rsidRPr="00640820">
        <w:rPr>
          <w:rFonts w:ascii="Times New Roman" w:hAnsi="Times New Roman"/>
          <w:color w:val="000000" w:themeColor="text1"/>
          <w:sz w:val="16"/>
          <w:szCs w:val="16"/>
        </w:rPr>
        <w:softHyphen/>
        <w:t>тивником Мариуполе. В завязавшемся воздушном бою этой паре удалось сбить один В? 109. Ещё пара «бисов» в этот день в районе Бердянской косы атако</w:t>
      </w:r>
      <w:r w:rsidRPr="00640820">
        <w:rPr>
          <w:rFonts w:ascii="Times New Roman" w:hAnsi="Times New Roman"/>
          <w:color w:val="000000" w:themeColor="text1"/>
          <w:sz w:val="16"/>
          <w:szCs w:val="16"/>
        </w:rPr>
        <w:softHyphen/>
        <w:t>вала бомбардировщик Не 111 и заявила о его уничтожении. Но один наш самолёт тоже не вернулся на свой аэродром (12294).</w:t>
      </w:r>
    </w:p>
    <w:p w14:paraId="2BB76E58"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3710F0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28 октября 1941 Люфтваффе выполнили сразу четыре налета на столицу. В 16.00 по московскому времени над центром города внезапно появился одиночный бомбардировщик. Погода была ясной и солнечной, сирены воздушной тревоги молчали. Поэтому сотни москвичей, заслышав гул моторов, задрали головы вверх и с ужасом увидели, как от серо-голубого брюха самолета отделились две точки, устремившиеся прямо на центр города. Вскоре мощный взрыв прогремел посередине ул. Горького (ныне Тверская), напротив Центрального телеграфа. Были убиты и ранены свыше сотни людей. На улице опрокинулись несколько автомобилей, вылетели стекла и оконные рамы во всех прилегающих зданиях. Вторая фугасная бомба попала в Большой театр, прошла между колоннами под фронтоном портика, пробила фасадную стену и разорвалась в вестибюле, из-за чего частично обрушились стена главного фасада и перекрытие вестибюля. В здании вылетели все стекла, многие внутренние помещения, в т.ч. зрительный зал, получили различные повреждения.  Вечером немцы совершили еще один налет на центр Москвы, сбросив 15 фугасных бомб на территорию Кремля. Одна из них взорвалась в сквере у Оружейной палаты, другая упала на Красную площадь у Спасской башни, убив двух человек. В </w:t>
      </w:r>
      <w:r w:rsidRPr="00640820">
        <w:rPr>
          <w:rFonts w:ascii="Times New Roman" w:hAnsi="Times New Roman"/>
          <w:color w:val="000000" w:themeColor="text1"/>
          <w:sz w:val="16"/>
          <w:szCs w:val="16"/>
        </w:rPr>
        <w:lastRenderedPageBreak/>
        <w:t>результате попадания бомбы в Кремлевский арсенал погибли 92 человека. Во время этого взрыва контузило секретаря МК ВКП(б) Щербакова и председателя Моссовета Пронина. Еще одна фугасная бомба взорвалась около Царь-пушки. На следующую ночь немцы разбомбили здание ЦК ВКП(б) на Старой площади (11774).</w:t>
      </w:r>
    </w:p>
    <w:p w14:paraId="1FF673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CBDE929" w14:textId="77777777" w:rsidR="00D908D8" w:rsidRPr="00640820" w:rsidRDefault="00D908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октября 1941 года в районе Севастополя были уничтожены два бронепоезда. Немецким саперам удалось заминировать железнодорожное полотно, в результате чего на воздух взлетел бронепоезд «Орджоникидзевец». Другой, «Войковец», покончил жизнь самоубийством. Немецкие пикирующие бомбардировщики уничтожили железнодорожный путь, лишив его возможности маневрировать, и команде бронепоезда не осталось ничего иного, как взорвать его (15218).</w:t>
      </w:r>
    </w:p>
    <w:p w14:paraId="2CA69A4B" w14:textId="77777777" w:rsidR="00D908D8" w:rsidRPr="00640820" w:rsidRDefault="00D908D8" w:rsidP="00640820">
      <w:pPr>
        <w:spacing w:after="0" w:line="240" w:lineRule="auto"/>
        <w:jc w:val="both"/>
        <w:rPr>
          <w:rFonts w:ascii="Times New Roman" w:hAnsi="Times New Roman"/>
          <w:color w:val="000000" w:themeColor="text1"/>
          <w:sz w:val="16"/>
          <w:szCs w:val="16"/>
        </w:rPr>
      </w:pPr>
    </w:p>
    <w:p w14:paraId="629A8359" w14:textId="77777777" w:rsidR="002535FA" w:rsidRPr="00640820" w:rsidRDefault="002535F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28 октября 1941 в рамках чистки Советских вооруженных сил в 1941 году казнены 20 офицеров Советских вооруженных сил. Среди расстрелянных - генерал Яков Смушкевич , командующий советскими ВВС с 1939 по 1940 год, ответственный за их плохую работу во время Зимней войны с Финляндией, генерал Павел Рычагов , командующий советскими ВВС с 1940 по 1941 год, и жена Рычагова. авиатор Мария Нестеренко. Рычагова казнят за то, что он назвал советские военные самолеты «летающими гробами», а Нестеренко за то, что она не осудила его как государственного преступника (20794).</w:t>
      </w:r>
    </w:p>
    <w:p w14:paraId="5CADD7CE" w14:textId="77777777" w:rsidR="002535FA" w:rsidRPr="00640820" w:rsidRDefault="002535FA" w:rsidP="00640820">
      <w:pPr>
        <w:spacing w:after="0" w:line="240" w:lineRule="auto"/>
        <w:jc w:val="both"/>
        <w:rPr>
          <w:rFonts w:ascii="Times New Roman" w:hAnsi="Times New Roman"/>
          <w:color w:val="0070C0"/>
          <w:sz w:val="16"/>
          <w:szCs w:val="16"/>
        </w:rPr>
      </w:pPr>
    </w:p>
    <w:p w14:paraId="0E7A0544"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7A28C942"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9BDD4BA" w14:textId="77777777" w:rsidR="00F07411" w:rsidRPr="00640820" w:rsidRDefault="00F07411"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28 октября </w:t>
      </w:r>
      <w:r w:rsidRPr="00640820">
        <w:rPr>
          <w:rFonts w:ascii="Times New Roman" w:hAnsi="Times New Roman"/>
          <w:color w:val="000000" w:themeColor="text1"/>
          <w:sz w:val="16"/>
          <w:szCs w:val="16"/>
        </w:rPr>
        <w:t>в 1941 году ярославский комитет обороны принял постановление о продаже на местном рынке 920 тысяч банок консервов и 10 т сливочного масла – разгружали склады и транспорт в ожидании немецкого наступления (14813).</w:t>
      </w:r>
    </w:p>
    <w:p w14:paraId="52969ED6" w14:textId="77777777" w:rsidR="00F07411" w:rsidRPr="00640820" w:rsidRDefault="00F07411" w:rsidP="00640820">
      <w:pPr>
        <w:spacing w:after="0" w:line="240" w:lineRule="auto"/>
        <w:jc w:val="both"/>
        <w:rPr>
          <w:rFonts w:ascii="Times New Roman" w:hAnsi="Times New Roman"/>
          <w:color w:val="000000" w:themeColor="text1"/>
          <w:sz w:val="16"/>
          <w:szCs w:val="16"/>
        </w:rPr>
      </w:pPr>
    </w:p>
    <w:p w14:paraId="77586B94" w14:textId="77777777" w:rsidR="00F07411" w:rsidRPr="00640820" w:rsidRDefault="00F07411"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28 октября </w:t>
      </w:r>
      <w:r w:rsidRPr="00640820">
        <w:rPr>
          <w:rFonts w:ascii="Times New Roman" w:hAnsi="Times New Roman"/>
          <w:color w:val="000000" w:themeColor="text1"/>
          <w:sz w:val="16"/>
          <w:szCs w:val="16"/>
        </w:rPr>
        <w:t>в 1941 году в Куйбышеве по предписанию Л.П.Берии в "особом порядке" без приговора суда расстреляны 20 советских партийных и военных деятелей, арестованные накануне войны по "делу авиаторов", в том числе начальник Управления ПВО Герой Советского Союза генерал-полковник Г.М.Штерн, 41 год, член ЦК партии; заместитель наркома обороны СССР, командующий войсками Прибалтийского Особого ВО генерал-полковник А.Д.Локтионов; помощник начальника Генштаба дважды Герой Советского Союза генерал-лейтенант авиации Я.В.Смушкевич, 38 лет; заместитель начальника Главного артиллерийского управления Наркомата обороны СССР Г.К.Савченко; заместитель наркома обороны СССР Герой Советского Союза генерал-лейтенант авиации П.В.Рычагов, 30 лет, известный "сталинский сокол", начальник Главного управления ВВС РККА; заместитель начальника Управления вооружений Главного управления ВВС И.Ф.Сакриер; Герой Советского Союза генерал-майор авиации И.И.Проскуров; начальник отдела Главного артиллерийского управления Наркомата обороны СССР С.О.Склизков; начальник. Военно-воздушной академии генерал-лейтенант Ф.К.Арженухин; конструктор артиллерии Я.Г.Таубин; член ЦИК СССР Ф.И.Голощекин, бывший революционер, один из организаторов расстрела царской семьи; военная летчица майор М.П.Нестеренко, жена П.В.Рычагова (14813).</w:t>
      </w:r>
    </w:p>
    <w:p w14:paraId="162405ED" w14:textId="77777777" w:rsidR="00F07411" w:rsidRPr="00640820" w:rsidRDefault="00F07411" w:rsidP="00640820">
      <w:pPr>
        <w:spacing w:after="0" w:line="240" w:lineRule="auto"/>
        <w:jc w:val="both"/>
        <w:rPr>
          <w:rFonts w:ascii="Times New Roman" w:hAnsi="Times New Roman"/>
          <w:color w:val="000000" w:themeColor="text1"/>
          <w:sz w:val="16"/>
          <w:szCs w:val="16"/>
        </w:rPr>
      </w:pPr>
    </w:p>
    <w:p w14:paraId="7F0423F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октября 1941 по приказу Л. Берия расстрелян бывший революционер, один из организаторов расстрела царской семьи Ф. Голощекин (4962).</w:t>
      </w:r>
    </w:p>
    <w:p w14:paraId="5CE5D1B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AC334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октября 1941 без приговора, по указанию Бе</w:t>
      </w:r>
      <w:r w:rsidRPr="00640820">
        <w:rPr>
          <w:rFonts w:ascii="Times New Roman" w:hAnsi="Times New Roman"/>
          <w:color w:val="000000" w:themeColor="text1"/>
          <w:sz w:val="16"/>
          <w:szCs w:val="16"/>
        </w:rPr>
        <w:softHyphen/>
        <w:t>рии расстреляли генерал-полковника А.Д. Локтионова, ге</w:t>
      </w:r>
      <w:r w:rsidRPr="00640820">
        <w:rPr>
          <w:rFonts w:ascii="Times New Roman" w:hAnsi="Times New Roman"/>
          <w:color w:val="000000" w:themeColor="text1"/>
          <w:sz w:val="16"/>
          <w:szCs w:val="16"/>
        </w:rPr>
        <w:softHyphen/>
        <w:t>нерал-лейтенантов авиации Ф.К. Арженухина, П.В. Рычагова, Я.В. Смушкевича и И.И. Проскурова (10745,21).</w:t>
      </w:r>
    </w:p>
    <w:p w14:paraId="2437E8B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E65C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октября 1941 был массовый расстрел начальства в поселке Барыш (Барбыш) Куйбышевской обл. От авиации были Я.В.Смушкевич, П.В.Рычагов + его жена Мария Нестеренко, арестованная на аэродроме на второй день войны (172,199), начальник ВВА Ф.К.Арженухин, командующий ВВС МВО П.Пумпур, пом. командующего ВВС по учебным заведениям Э.Шахт (115,28) и др. Всего под Куйбышевым и Саратовом было расстреляно 25 виднейших представителей армейской и военно-промышленной элиты, включая генералов Г.М.Штерна, А.Д.Локтионова, деятелей Наркомата обороны и вооружение Г.Савченко, И.Сакриера, М.Соборнова и др., включая Я.Таубина.</w:t>
      </w:r>
    </w:p>
    <w:p w14:paraId="138740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октября 1941 154-й полк получил 20 разобранных истребителей P-40 на аэродроме Кадниково, а 26 ноября уже состоялся первый боевой вылет на Ленинградском фронте (3457,61).</w:t>
      </w:r>
    </w:p>
    <w:p w14:paraId="46C5DA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F6C18BA"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lang w:val="en-US"/>
        </w:rPr>
      </w:pPr>
      <w:r w:rsidRPr="00640820">
        <w:rPr>
          <w:rFonts w:ascii="Times New Roman" w:hAnsi="Times New Roman"/>
          <w:i/>
          <w:iCs/>
          <w:color w:val="000000" w:themeColor="text1"/>
          <w:sz w:val="16"/>
          <w:szCs w:val="16"/>
        </w:rPr>
        <w:t>Внешняя</w:t>
      </w:r>
      <w:r w:rsidRPr="00640820">
        <w:rPr>
          <w:rFonts w:ascii="Times New Roman" w:hAnsi="Times New Roman"/>
          <w:i/>
          <w:iCs/>
          <w:color w:val="000000" w:themeColor="text1"/>
          <w:sz w:val="16"/>
          <w:szCs w:val="16"/>
          <w:lang w:val="en-US"/>
        </w:rPr>
        <w:t xml:space="preserve"> </w:t>
      </w:r>
      <w:r w:rsidRPr="00640820">
        <w:rPr>
          <w:rFonts w:ascii="Times New Roman" w:hAnsi="Times New Roman"/>
          <w:i/>
          <w:iCs/>
          <w:color w:val="000000" w:themeColor="text1"/>
          <w:sz w:val="16"/>
          <w:szCs w:val="16"/>
        </w:rPr>
        <w:t>политика</w:t>
      </w:r>
      <w:r w:rsidRPr="00640820">
        <w:rPr>
          <w:rFonts w:ascii="Times New Roman" w:hAnsi="Times New Roman"/>
          <w:i/>
          <w:iCs/>
          <w:color w:val="000000" w:themeColor="text1"/>
          <w:sz w:val="16"/>
          <w:szCs w:val="16"/>
          <w:lang w:val="en-US"/>
        </w:rPr>
        <w:t>:</w:t>
      </w:r>
    </w:p>
    <w:p w14:paraId="60FD699D"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74C9A8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October 28, 1941: President Roosevelt approves the appropriation by Congress of an additional $6 billion in Lend-Lease aid to Britain and the Soviet Union (3819).</w:t>
      </w:r>
    </w:p>
    <w:p w14:paraId="774918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4A44E5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октября 1941 Президент Ф.Д.Р. одобрил выделение Великобритании и СССР еще 6 млрд. Долларов (3819).</w:t>
      </w:r>
    </w:p>
    <w:p w14:paraId="502A85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A632AB5"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196A1588"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5C8C9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октября 1941 появился отчет по Лейпцигскому реактору L-II на тяжелой воде и окиси урана в концентрических алюминиевых сферах. Фактор умножения нейтронов был равен 1 (2221).</w:t>
      </w:r>
    </w:p>
    <w:p w14:paraId="52EA6E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6A7FE91" w14:textId="77777777" w:rsidR="00F07411" w:rsidRPr="00640820" w:rsidRDefault="00F07411"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28 октября </w:t>
      </w:r>
      <w:r w:rsidRPr="00640820">
        <w:rPr>
          <w:rFonts w:ascii="Times New Roman" w:hAnsi="Times New Roman"/>
          <w:color w:val="000000" w:themeColor="text1"/>
          <w:sz w:val="16"/>
          <w:szCs w:val="16"/>
        </w:rPr>
        <w:t>в 1941 году «тропическая рота Бранденбург-800» оберлейтенанта Фрица фон Кёнена передислоцируется из Неаполя в Триполи с целью активизации действий в британских колониях Западной Африки (14813).</w:t>
      </w:r>
    </w:p>
    <w:p w14:paraId="75DDBE57" w14:textId="77777777" w:rsidR="00F07411" w:rsidRPr="00640820" w:rsidRDefault="00F07411" w:rsidP="00640820">
      <w:pPr>
        <w:spacing w:after="0" w:line="240" w:lineRule="auto"/>
        <w:jc w:val="both"/>
        <w:rPr>
          <w:rFonts w:ascii="Times New Roman" w:hAnsi="Times New Roman"/>
          <w:color w:val="000000" w:themeColor="text1"/>
          <w:sz w:val="16"/>
          <w:szCs w:val="16"/>
        </w:rPr>
      </w:pPr>
    </w:p>
    <w:p w14:paraId="56DBFC40"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50690BC6"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8F593AD" w14:textId="77777777" w:rsidR="00200A28" w:rsidRPr="00640820" w:rsidRDefault="00200A28" w:rsidP="00640820">
      <w:pPr>
        <w:pStyle w:val="ae"/>
        <w:shd w:val="clear" w:color="auto" w:fill="FFFFFF"/>
        <w:spacing w:before="0" w:after="0"/>
        <w:jc w:val="both"/>
        <w:rPr>
          <w:color w:val="000000" w:themeColor="text1"/>
          <w:sz w:val="16"/>
          <w:szCs w:val="16"/>
        </w:rPr>
      </w:pPr>
      <w:r w:rsidRPr="00640820">
        <w:rPr>
          <w:color w:val="000000" w:themeColor="text1"/>
          <w:sz w:val="16"/>
          <w:szCs w:val="16"/>
        </w:rPr>
        <w:t>29 октября 1941 из Москвы на самолете ПС-84 вылетела последняя группа заводчан завода № 1. На пути к Куйбышеву в Николаевском районе Ульяновской области перегруженный самолет попал в туман и разбился. Погибли 24 человека, среди которых были начальники цехов, ведущие инженеры завода, а также главный конструктор киевского авиазавода № 43 В.К.Таиров, командующий 43-й армией генерал-лейтенант С.Д.Акимов, (он был тяжело ранен в бою и его везли в тыловой госпиталь), летчики-испытатели Н.Б.Фегервари и М.И.Марцелюк, другие работники завода. Все они были похоронены в братской могиле у поселка Белое озеро (19827).</w:t>
      </w:r>
    </w:p>
    <w:p w14:paraId="302F5181" w14:textId="77777777" w:rsidR="00200A28" w:rsidRPr="00640820" w:rsidRDefault="00200A28" w:rsidP="00640820">
      <w:pPr>
        <w:pStyle w:val="ae"/>
        <w:shd w:val="clear" w:color="auto" w:fill="FFFFFF"/>
        <w:spacing w:before="0" w:after="0"/>
        <w:jc w:val="both"/>
        <w:rPr>
          <w:color w:val="000000" w:themeColor="text1"/>
          <w:sz w:val="16"/>
          <w:szCs w:val="16"/>
        </w:rPr>
      </w:pPr>
    </w:p>
    <w:p w14:paraId="22568C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октября 1941 А.С.Я. полетел в Сибирь (74,235).</w:t>
      </w:r>
    </w:p>
    <w:p w14:paraId="6D6413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35860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октября 1941 г. в соответствии с приказами НКАП от 18 октября 1941 г № 12сф и 19 сентября 1941 г. № 999с ОКБ завода № 292 переведено со всем личным составом и оборудованием в Новосибирск на завод № 153 НКАП, где образовано ОКБ завода № 153 НКАП, а часть продолжала действовать в Москве. По приказу № 1072сс от 15.10.1941 г. часть завода № 115, остававшаяся в Москве, также эвакуирована в Новосибирск на завод № 153 и влита в состав ОКБ завода № 153. В 03.1942 г. завод и ОКБ реэвакуированы обратно на старую площадь.</w:t>
      </w:r>
    </w:p>
    <w:p w14:paraId="608C8D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13.09.1942 г. вышло постановление ГКО № 2302 об организации производства двухмоторных легких самолетов с моторами М-11 конструкции Яковлева. 2.11.1942 г. вышло постановление ГКО № 2467сс об улучшении летных данных самолетов Як-1 и Як-7. 9.12.1942 г. - постановления ГКО № 2603 «О дальнейшем уменьшении веса истребителя Як-1 до 2690 кг и увеличении его скорости у земли до 560 км в час и на высоте 5000 м до 670 км в час» и № 2604 об улучшении истребителей Як-1 и Як-7. 28.05.1943 г. вышло постановление ГКО № 3448 об организации производства Як-9 с мотором М-107А; 12.06.1943 г. - постановление ГКО № 3560 о выпуске дальних истребителей Як-9 для целей воздушной разведки. 26.10.1943 г. - постановление ГКО № 4430 о производстве Як-3 с мотором М-105ПФ; в соответствии с пост. ГКО № 4553 от 12.11.1943 г. Як-3 запущен в серию на заводе № 31. 20.02.1944 г. вышли постановления ГКО: № 5219 о переоборудовании Як-9 в вариант истребителя-бомбардировщика и № 5220 о выпуске самолетов Як-9 в варианте истребителей сопровождения. 15.03.1944 г. - постановление ГКО № 5403 о бомбардировочном варианте Як-9. 29.12.1944 г. вышли постановления ГКО о постройке опытных машин: № 7229 - о постройке Як-3 с пушкой НС-37 и УБ 20-мм; № 7230 - о постройке Як-9 с пушкой НС-37 и двумя УБ 20-мм; № 7232 - о постройке реактивного самолета. 10.04.1945 г. вышло постановление ГКО № 8061 об увеличении выпуска Як-9 с пушкой 37 мм и о выпуске самолетов Як-9 с пушкой 45 мм.</w:t>
      </w:r>
    </w:p>
    <w:p w14:paraId="0B2D2D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1946 г. на завод передано 78 станков и 162 единицы прочего оборудования завода «Дорнье» в  г. Висмар (Германия).</w:t>
      </w:r>
    </w:p>
    <w:p w14:paraId="5F491C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1946 г. в ОКБ переведена часть специалистов из закрытого ОКБ-482 В.М. Мясищева.</w:t>
      </w:r>
    </w:p>
    <w:p w14:paraId="12C5BE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 приказу МАП № 162сс от 27.03.1946 г. был открыт заказ № 357 на постройку экспериментального вертолета Як-Э Г. Ранее приказом по заводу № 49 от 18.03.1946 г. организована бригада геликоптеров во главе с начальником- С.А. Бемовым. В нее вошли 11 чел.: </w:t>
      </w:r>
      <w:r w:rsidRPr="00640820">
        <w:rPr>
          <w:rFonts w:ascii="Times New Roman" w:hAnsi="Times New Roman"/>
          <w:color w:val="000000" w:themeColor="text1"/>
          <w:sz w:val="16"/>
          <w:szCs w:val="16"/>
          <w:lang w:val="en-US"/>
        </w:rPr>
        <w:t>JI</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Вильдгрубе,  Г.И. Огарков, П.Д. Самсонов,  Г.М. Семенов, А.Б. Леканов, А.А. Жиров, Н. Г. Богданов, М.С. Максимов, Н.В. Федюшкин, Б.С. Чиненков. Приказом МАП № 226сс от 16.04.1947 г. был открыт заказ № 389 на постройку второго экземпляра вертолета.</w:t>
      </w:r>
    </w:p>
    <w:p w14:paraId="4729C2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По приказу № ЮОсс от 21.02.1955 г. при заводе № 272 МАП организован филиал ОКБ-115 для производства вертолетов и легких самолетов. Руководитель- И.А. Эрлих. Был филиал на заводе № 292.</w:t>
      </w:r>
    </w:p>
    <w:p w14:paraId="280C74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После войны в ОКБ создан ряд самолетов, строившихся серийно: боевые- Як-15, Як-17, Як-23, Як-25, Як-27, Як-28; </w:t>
      </w:r>
      <w:r w:rsidRPr="00640820">
        <w:rPr>
          <w:rFonts w:ascii="Times New Roman" w:hAnsi="Times New Roman"/>
          <w:color w:val="000000" w:themeColor="text1"/>
          <w:sz w:val="16"/>
          <w:szCs w:val="16"/>
          <w:lang w:val="en-US"/>
        </w:rPr>
        <w:t>CBBII</w:t>
      </w:r>
      <w:r w:rsidRPr="00640820">
        <w:rPr>
          <w:rFonts w:ascii="Times New Roman" w:hAnsi="Times New Roman"/>
          <w:color w:val="000000" w:themeColor="text1"/>
          <w:sz w:val="16"/>
          <w:szCs w:val="16"/>
        </w:rPr>
        <w:t xml:space="preserve"> Як-38; легкие и спортивные- Як-11, Як-12, Як-18, Як-50, Як-52, Як-55; пассажирские- Як-40, Як-42; планер Як-14; вертолет Як-24. Всего создано более 200 типов и модификаций ЛА, более 100 из них строились серийно.</w:t>
      </w:r>
    </w:p>
    <w:p w14:paraId="00E4C9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8.01.1947 г. взлетел Як-19 - первый советский истребитель, имевший ТРД с форсажной камерой.</w:t>
      </w:r>
    </w:p>
    <w:p w14:paraId="640A2D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 760-288 от 22.02.1949 г. проводились работы по буксировке за Ту-2 истребителя Як- 23 с возможностью отцепки и повторной сцепки в воздухе.</w:t>
      </w:r>
    </w:p>
    <w:p w14:paraId="757845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1950 г. в ОКБ-115 под руководством С.М. Алексеева разработана система дозаправки в воздухе типа «шланг-конус» для Ту-4, система буксировки «Бурлаки» для Ту-4.</w:t>
      </w:r>
    </w:p>
    <w:p w14:paraId="221BA2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2.08.1947 г. построен первый советский соосный вертолет - экспериментальный «Ш». 3.07.1952 г. взлетел первый советский вертолет продольной схемы Як-24. В соответствии с ПСМ № 1268-711сс от 13.07.1955 г. вертолет Як-24 пнв.</w:t>
      </w:r>
    </w:p>
    <w:p w14:paraId="19254E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 1144-504сс от 10.06.1954 г. и пр. № 240 от 5.04.1954 г. начаты работы по фронтовому бомбардировщику Як-123 с передачей на испытания в 1-м квартале 1956 г. 30.03.1955 г. вышло постановление СМ СССР № 616-381сс «О создании легкого фронтового бомбардировщика и модификации истребителя- перехватчика конструкции Яковлева». В соответствии с ПСМ № 16-10 от 5.01.1956 г. на заводе № 30 выпущена войсковая серия Як-26.</w:t>
      </w:r>
    </w:p>
    <w:p w14:paraId="473212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10.03.1955 г. вышло ПСМ № 448-271сс «Об организации серийного производства двухместных самолётов- разведчиков конструкции Яковлева с двумя двигателями АМ-5».</w:t>
      </w:r>
    </w:p>
    <w:p w14:paraId="670887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 544-336с от 22.03.1955 г. Як-12 был принят на снабжение ВВС и ГВФ.</w:t>
      </w:r>
    </w:p>
    <w:p w14:paraId="4D4181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от 31.07.1958 г. велась разработка фронтового разведчика Як-32, в начале 1960 г. работы прекращены.</w:t>
      </w:r>
    </w:p>
    <w:p w14:paraId="651D57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 424-261сс от 28.03.1956 г. начата разработка сверхзвукового фронтового бомбардировщика Як-129. Пост. № 1115-578 от 15.08.1956 г. ОКБ поручено разработать вариант самолета с двигателями ВК-11. 5.01.1959 г. вышло ПСМ № 19-7 «О фронтовом бомбардировщике Як-28», 11.03.1960 г. - постановление № 274-108 о модификации Як-28. В соответствии с ПСМ № 1056-457 от 27.11.1961 г. Як-28 пнв и начата разработка разведчика Як-28Р, пост. № 1077-369 от 22.11.1967 г. Як-28Р пнв. В соответствии с ПСМ от 5.02.1962 г. начата разработка носителя химического оружия Як-28СР.</w:t>
      </w:r>
    </w:p>
    <w:p w14:paraId="31AC4B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 617-251 от 17.06.1960 г. начат серийный выпуск самолетов-мишеней Як-25РВ.</w:t>
      </w:r>
    </w:p>
    <w:p w14:paraId="39CAA5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2.07.1960 г. взлетел Як-30 - первый отечественный реактивный учебный самолет.</w:t>
      </w:r>
    </w:p>
    <w:p w14:paraId="2E42A7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 правительства от 12.1967 г. было задано создание на базе СВВП Як-36 корабельного штурмовика Як-ЗбМ и аванпроекта сверхзвукового СВВП Як-ЗбМФ. Пост, от 11.11.1977 г. предусматривалось предъявление Як-41 на госиспытания в 1982 г. В 03.1979 г. выполнены эскизные проекты однодвигательного Як-41 и Як-41М с комбинированной СУ (подъемно-маршевым и подъемньми двигателями). В 1986 г. пост, правительства задано создание сверхзвукового Як-41М (Як-141). В 1991 г. после аварии самолета и прекращения финансирования работы по нему прекращены. Разрабатывался проект дальнейшего развития СВВП - Як-43, в 1991 г. работы также прекращены.</w:t>
      </w:r>
    </w:p>
    <w:p w14:paraId="4E1828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1979 г. велась разработка палубного самолета РЛДН Як-44, в 1990 г. утвержден техпроект самолета. В 1992 г. работы прекращены.</w:t>
      </w:r>
    </w:p>
    <w:p w14:paraId="0FE720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Велись также работы по ракетной технике и БПЛА: проект УРВВ К-35 («МВ») для перехватчика Як-35МВ (1959 г.); проект противокорабельного самолета-снаряда К-12 (конец 1950-х); семейство БПЛА (разработка начата в 1960-х) «Пчела» («Шмель», изд. «60»), «Пчела-1» («Шмель-1», изд. «61»).</w:t>
      </w:r>
    </w:p>
    <w:p w14:paraId="30C3B5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Принимало участие в программе создания ОК «Буран».</w:t>
      </w:r>
    </w:p>
    <w:p w14:paraId="5F1BD7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08.1957 г. - в ведении 1ГУ МАП. С 1959 г. имело открытое наименование- «п/я 1303». С 1966 г.- ММЗ «Скорость». В 1966-89 г. имело наименование «п/я М-5050». С 1990 г. - ММЗ им. А.С. Яковлева. В соответствии с решением Правительства № 2354-р от 16.12.1992 г. преобразовано в АООТ «ОКБ им. А.С. Яковлева», с 1997 г.- ОАО. По решению правительства № 22-р от 9.01.2004 г. вошло в перечень стратегических предприятий.</w:t>
      </w:r>
    </w:p>
    <w:p w14:paraId="4A2A06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04.2004 г. ОАО «ОКБ им. Яковлева» вошло в корпорацию «Иркут».</w:t>
      </w:r>
    </w:p>
    <w:p w14:paraId="494596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имело ЛИДБ на территории ЛИИ в Жуковском (2006 г.). На Ленинградском пр., 68 имелись два цеха, построенные в 1940-50-х  г. В них размещалось термическое и гальваническое производство. В 1999 г. цеха закрыты санэпидемстанцией, производство перенесено на производственные площадки ОКБ в Химках и Жуковском. В 2006 г. ОКБ переведено из Москвы в Жуковский на территорию ЛИДБ. Комплекс зданий на Ленинградском пр. площадью 25 тыс.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xml:space="preserve"> (в т.ч. два цеха) в 09.2006 г. продан, ОКБ оставило себе около 20% площадей.</w:t>
      </w:r>
      <w:r w:rsidRPr="00640820">
        <w:rPr>
          <w:rFonts w:ascii="Times New Roman" w:hAnsi="Times New Roman"/>
          <w:color w:val="000000" w:themeColor="text1"/>
          <w:sz w:val="16"/>
          <w:szCs w:val="16"/>
          <w:vertAlign w:val="superscript"/>
        </w:rPr>
        <w:t>1</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vertAlign w:val="superscript"/>
        </w:rPr>
        <w:t>230806</w:t>
      </w:r>
    </w:p>
    <w:p w14:paraId="0DAFA0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1990-е-2000-е  г. разработаны проекты: аэротакси Як-112, спортивный Як-54, административные Як-48, Як- 58, Як-77; сверхзвуковой У ТС (совместно с Китаем); пассажирские Як-46, Як-90, Як-142, Як-242, ближнемагистральный МС-21 (совместно с ОКБ Ильюшина); БПЛА «Пчела». Як-130 16.03.2002 г. победил в конкурсе на УТС для ВВС России.</w:t>
      </w:r>
    </w:p>
    <w:p w14:paraId="25B434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(1935-56 г.)- А.С. Яковлев. Ген. конструктор (12.1956-84 г.)- г-п академик (1976 г.) А.С. Яковлев {1.04.1906-22.08.1989}, (1984-90 г.)- А.А. Левинских {5.12.1919-}, (02.1991-2000 г.)- А.Н. Дондуков {29.03.1954-}, (-2004-05 Г.)- О.Ф. Демченко {13.10.1944-}, (2005 г.)- А. Гуртовой.</w:t>
      </w:r>
    </w:p>
    <w:p w14:paraId="0D4A99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1-й зам. ген. конструктора (1992-94 г.)- О.Ф. Демченко, (-1998 г.)- В. Г. Дмитриев (затем- директор ЦАГИ), (2006 г.)- Н.Н. Долженков. Зам. гл. конструктора ОКБ (01.1943- 07.1945 г.)- </w:t>
      </w:r>
      <w:r w:rsidRPr="00640820">
        <w:rPr>
          <w:rFonts w:ascii="Times New Roman" w:hAnsi="Times New Roman"/>
          <w:color w:val="000000" w:themeColor="text1"/>
          <w:sz w:val="16"/>
          <w:szCs w:val="16"/>
          <w:lang w:val="en-US"/>
        </w:rPr>
        <w:t>O</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K</w:t>
      </w:r>
      <w:r w:rsidRPr="00640820">
        <w:rPr>
          <w:rFonts w:ascii="Times New Roman" w:hAnsi="Times New Roman"/>
          <w:color w:val="000000" w:themeColor="text1"/>
          <w:sz w:val="16"/>
          <w:szCs w:val="16"/>
        </w:rPr>
        <w:t>. Антонов, (-1950-60-е  г.-)- Н.К. Скржинский, А.Н. Дондуков. Зам. Ген. конструктора (1959 г.)- Хрупкий, (-1972-75 г.-)- К.Б. Бекирбаев.</w:t>
      </w:r>
    </w:p>
    <w:p w14:paraId="01EF8D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(1935-1952 г.)- А.С. Яковлев, (1952 г.-)- А.А. Воропанов, (1969-86 г.)- С.Д. Савин. Ответственный руководитель (22.08.1984-31.12.1990 г.)- А.А. Левинских, (31.12.1990 г.-)- А.Н. Дондуков. Гендиректор (1994-2001; 2003-09 г.-)- О.Ф. Демченко, (2001-03 г.)- А. Г. Ефанов.</w:t>
      </w:r>
    </w:p>
    <w:p w14:paraId="5E1B1F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строительства (06.1937 г.)- А.С. Яковлев, (16.05.1938 г.-)- Н.Л. Кашелевский. 1-й зам. гендиректора (-2005-06 г.-)- Н.Н. Долженков. Зам. директора (06.1937 г.)- А.Н. Седельников. Зам. Гендиректора: (2006 г.)- Н.Н. Долженков; по ВЭД и маркетингу (-2002-05 г.-)- А.И. Гуртовой; по летным испытаниям (1990-е)- А.А. Синицын, (2007 г.)- Р.П. Таскаев.</w:t>
      </w:r>
    </w:p>
    <w:p w14:paraId="518CDE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Технический директор (2005 г.)- Н.Н. Долженков.</w:t>
      </w:r>
    </w:p>
    <w:p w14:paraId="242EE2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(-06.1937-16.05.1938 г.)- А.Н. Седельников, (16.05.1938 г.-)- А.И. Ястребов.</w:t>
      </w:r>
    </w:p>
    <w:p w14:paraId="35C467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Научный руководитель (2003 г.)- А.Н. Дондуков.</w:t>
      </w:r>
    </w:p>
    <w:p w14:paraId="4AD2DF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конструкторы: (1972 г.)- С. Г. Мордовии (Як-ЗбМ), (6.09.1975 г.-)- А.А. Левинских, (1977 г.)- В.Н. Павлов (Як-38), А. Звягинцев (Як-38), (1991 г.-)- В.А. Митькин (Як-44), (1990-е)- В. Г. Дмитриев, (2002 г.)- К.Ф. Попович (военные самолеты), (2002 г.)- Ю.И. Янкевич (БПЛА), (2002 г.)- А. Г. Рахимбаев (пассажирские самолеты), (2002 г.)- Д.К. Драч (легкие самолеты).</w:t>
      </w:r>
    </w:p>
    <w:p w14:paraId="16D663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конструкторов: (-1972-75 г.-)- В.П. Власов (по корабельному базированию Як-ЗбМ), (1986 г.-)- В. Г. Дмитриев, (1.10.1966 г.-)- А.А. Левинских, (-1967-75 г.-)- С. Г. Мордовии.</w:t>
      </w:r>
    </w:p>
    <w:p w14:paraId="39BC07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И.О. директора завода (02.1952 г.)- Аншценков. Директор (04.1952 г.)- А. Храмов. Гендиректор завода (1992- 94 г.)- О.Ф. Демченко.</w:t>
      </w:r>
    </w:p>
    <w:p w14:paraId="7D87C0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Технический директор (-2005-06 г.-)- Н.Н. Долженков.</w:t>
      </w:r>
    </w:p>
    <w:p w14:paraId="5BF750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производства (1947 г.)- А.С. Безбородое. Начальник ЛИК (1975 г.)- О.С. Долгих, г-м В. Г. Мухин, летной службы (2007 г.)- Р.П. Таскаев. Гл. контролер (1947 г.)- Н.А. Козлов.</w:t>
      </w:r>
    </w:p>
    <w:p w14:paraId="39CD1D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Ведущие конструкторы: (1945-70 г.)- С.А. Бемов, (-1947-51 г.)- Л.Л. Селяков (Як-25, Як-1000), (1970-е)-  Г.А. Матвеев (Як-41).</w:t>
      </w:r>
    </w:p>
    <w:p w14:paraId="0CF686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Ведущие инженеры: (ВОВ-)- Е. Г. Адлер (Як-3 с РД-1, Як-14), (-1958-60 г.-)- М.И. Леонов (Як-129, -28Л), (1972 г.)-  Г.А. Матвеев (Як-ЗбМ), (1947 г.)-  Г.И. Огарков, (-1958-67 г.-)- В.Н. Павлов (Як-ЗбМ, -129), (-1960-64 г.-)- Р.С. Петров (Як-28Л, -28И, -28Н), (1952 г.)- Эрлих, (1965 г.)- С.И. Яськов (Як-28БИ).</w:t>
      </w:r>
    </w:p>
    <w:p w14:paraId="689499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Летчики-испытатели: шеф-пилот (1990 г.)- А.А. Синицын; (-1972-79 г.-)- М.С. Дексбах, (2006 г.)- О.О. Кононенко, (1982 г.)- Ю.И. Митиков, (-1963-67 г.-)- В. Г. Мухин, (1991 г.)- В.А. Якимов.</w:t>
      </w:r>
    </w:p>
    <w:p w14:paraId="27D677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самолеты: АИР-7 (19.11.1932 г.); учебно-тренировочные: АИР-9 (2.10.1934 г.), УТ-2 (АИР-10, 11.07.1935 г.), УТ-1 (АИР-14, 05.1936 г.), УТ-3 (АИР-17, 17.05.1938 г.), Як-18 (6.05.1946 г.), Як-18Т (7.08.1967 г.), Як-30 (2.07.1960 г.), Як-52 (8.08.1974 г.), Як-130Д (25.04.1996 г.), Як-130УБС (30.04.2004 г.); легкий АИР-12 (27.07.1936 г.); истребители: Як-1 (И-26, 13.01.1940 г.), Як-1М (Як-3, 28.02.1943 г.), высотный И-28 (1.12.1940 г.), Як-7УТИ (УТИ-26, 23.07.1940 г.), Як-9 (Як-7ДИ, 6.07.1942 г.), Як-9К (23.01.1944 г.), Як-9Б (3.03.1944 г.), Як-ЗРД (22.01.1945 г.), учебный Як-11 (10.07.1945 г.), Як-15 (24.04.1946 г.), Як-17УТИ (6.05.1947 г.), Як-17 (6.06.1947 г.), Як-19 (8.01.1947 г.), Як-23 (8.07.1947 г.), Як-30 (4.09.1948 г.), Як-50 (9.08.1949 г.), перехватчик Як-25 (19.06.1952 г.); высотные Як-27В (15.05.1957 г.), Як-25РВ (1.03.1959 г.); бомбардировщики: ближний Як-2 («22», 23.02.1939 г.); фронтовые: Як-125Б (1955), Як-26 (Як-123, 1955), Як-129 (Як-28, 5.03.1958 г.), Як-28Б («129», изд. «42», пнв в 1959 г.), Як-28Л («28Л», 8.07.1959 г.), Як-28И («28И», 1960), Як-28СР (16.09.1963 г.), Як-28Н (1964), Як-28ИМ (1969); разведчики Як-27Р (28.04.1956 г.), Як-28БИ (1965), Як-28Р (пнв 22.11.1967 г.); СВВП: Як-36 (27.07.1964 г.), Як-38 (Як-ЗбМ, «ВМ», 22.09.1970 г.), Як-38М (30.11.1982 г.), Як-41М (Як-141, 9.03.1987 г., по другой информации 13.06.1990 г.</w:t>
      </w:r>
      <w:r w:rsidRPr="00640820">
        <w:rPr>
          <w:rFonts w:ascii="Times New Roman" w:hAnsi="Times New Roman"/>
          <w:color w:val="000000" w:themeColor="text1"/>
          <w:sz w:val="16"/>
          <w:szCs w:val="16"/>
          <w:vertAlign w:val="superscript"/>
        </w:rPr>
        <w:t>142</w:t>
      </w:r>
      <w:r w:rsidRPr="00640820">
        <w:rPr>
          <w:rFonts w:ascii="Times New Roman" w:hAnsi="Times New Roman"/>
          <w:color w:val="000000" w:themeColor="text1"/>
          <w:sz w:val="16"/>
          <w:szCs w:val="16"/>
        </w:rPr>
        <w:t>); транспортный Як-6 (28.06.1942 г.); многоцелевые: Як-12 (20.10.1947 г.), Як-112 (20.10.1992 г.), Як- 58 (17.04.1994 г.); спортивные: Як-18П (12.12.1957 г.), Як-32 (17.01.1961 г.), Як-50 (22.06.1972 г.), Як-52М (16.04.2004 г.), Як-54 (23.12.1993 г.), Як-55 (28.05.1981 г.); пассажирские: Як-40 (21.10.1966 г.), Як-42 (6.03.1975 г.); проекты самолетов: бомбардировщиков: фронтового Як-35МВ (1950-е); фронтового разведчика Як-32 (1960); СВВП: Як-28ВВ (1960-е), Як-33 (1962), Як-43 (-1991); вертолеты: экспериментальный «Ш» (2.08.1947 г.), Як-24 (3.07.1952 г., пнв 13.07.1955 г.); БПЛА: малоразмерный «60С» (17.06.1983 г.), БЛА-61 «Пчела» (26.04.1986 г., пнв 16.06.1997 г.).</w:t>
      </w:r>
    </w:p>
    <w:p w14:paraId="69A4E4F5" w14:textId="77777777" w:rsidR="00F07411"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СВВП: Як-41М (1990)- 4 (11982).</w:t>
      </w:r>
    </w:p>
    <w:p w14:paraId="75F07F24" w14:textId="77777777" w:rsidR="00F07411" w:rsidRPr="00640820" w:rsidRDefault="00F07411" w:rsidP="00640820">
      <w:pPr>
        <w:autoSpaceDE w:val="0"/>
        <w:autoSpaceDN w:val="0"/>
        <w:adjustRightInd w:val="0"/>
        <w:spacing w:after="0" w:line="240" w:lineRule="auto"/>
        <w:jc w:val="both"/>
        <w:rPr>
          <w:rFonts w:ascii="Times New Roman" w:hAnsi="Times New Roman"/>
          <w:color w:val="000000" w:themeColor="text1"/>
          <w:sz w:val="16"/>
          <w:szCs w:val="16"/>
        </w:rPr>
      </w:pPr>
    </w:p>
    <w:p w14:paraId="264A76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ноября 1941 г. на старой площадке эвакуированного в Куйбышев завода № 1 ОАП НКАП по приказу № 1137с. Был образован Завод № 478 НКАП /г. Москва/</w:t>
      </w:r>
    </w:p>
    <w:p w14:paraId="11BA62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Начата организация производства поковок стаканов для в/винтов и металлических деталей лыж. В 01.1942 г. было задано производство пневмодрелей и молотков для нужд восстанавливаемых заводов в Москве.</w:t>
      </w:r>
    </w:p>
    <w:p w14:paraId="3654CA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Новому заводу по приказу № 14м от 17.12.1941 г. для развития основного производства в качестве филиала передан инструментальный завод № 3 треста Оргавиапрома. Начальник филиала- П. Г. Малашенко.</w:t>
      </w:r>
    </w:p>
    <w:p w14:paraId="6DF73F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И.О. директора (11.1941 г.-)- С.Н. Старович. Директор (1942 г.-)- С.Н. Старович.</w:t>
      </w:r>
    </w:p>
    <w:p w14:paraId="4149FD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(12.1941 г.-)- П. Г. Малашенко (11982).</w:t>
      </w:r>
    </w:p>
    <w:p w14:paraId="4E88AF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CB135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октября 1941 г. при перелете в г. Куйбышев Таиров погиб в авиационной катастрофе в Пензенской области (9649).</w:t>
      </w:r>
    </w:p>
    <w:p w14:paraId="656917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BAD7A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октября 1941 г. В.К. Таиров на тот момент согласно приказа № 1068сс от 14.10.1941 г. был гл. инженером завода № 207 и отвечал за эвакуацию завода, при перелете в Куйбышев Таиров погиб в авиакатастрофе. Его КБ действовало до середины 1942 г., затем расформировано.</w:t>
      </w:r>
    </w:p>
    <w:p w14:paraId="193E2C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(02.1941 г.-)- В.К. Таиров.</w:t>
      </w:r>
    </w:p>
    <w:p w14:paraId="0150E9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(02.1941 г.-)- В.К. Таиров (11982).</w:t>
      </w:r>
    </w:p>
    <w:p w14:paraId="180BB3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3E02E4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октября 1941 г. при перелете в Куйбышев Таиров погиб в авиационной катастрофе. Та-3 остался без главного конструктора. Это трагическое происшествие и эвакуация промышленности в тыл резко затормозили работы по самолету.</w:t>
      </w:r>
    </w:p>
    <w:p w14:paraId="1A5BF5C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Проект самолета Та-ЗА 2М-90 с пла</w:t>
      </w:r>
      <w:r w:rsidRPr="00640820">
        <w:rPr>
          <w:rFonts w:ascii="Times New Roman" w:hAnsi="Times New Roman"/>
          <w:color w:val="000000" w:themeColor="text1"/>
          <w:sz w:val="16"/>
          <w:szCs w:val="16"/>
        </w:rPr>
        <w:softHyphen/>
        <w:t>новым сроком завершения не позже 1 сентября 1941 г. так и не был закончен. Соответственно, летный экземпляр само</w:t>
      </w:r>
      <w:r w:rsidRPr="00640820">
        <w:rPr>
          <w:rFonts w:ascii="Times New Roman" w:hAnsi="Times New Roman"/>
          <w:color w:val="000000" w:themeColor="text1"/>
          <w:sz w:val="16"/>
          <w:szCs w:val="16"/>
        </w:rPr>
        <w:softHyphen/>
        <w:t>лета не строился. Работы по установке на Та-3 мотора М-82, которые с 5 мая велись Таировым</w:t>
      </w:r>
      <w:r w:rsidRPr="00640820">
        <w:rPr>
          <w:rStyle w:val="aff5"/>
          <w:rFonts w:ascii="Times New Roman" w:hAnsi="Times New Roman" w:cs="Times New Roman"/>
          <w:i w:val="0"/>
          <w:color w:val="000000" w:themeColor="text1"/>
        </w:rPr>
        <w:t xml:space="preserve"> «по личному распоряжению замнаркома тов. Яковлева»,</w:t>
      </w:r>
      <w:r w:rsidRPr="00640820">
        <w:rPr>
          <w:rFonts w:ascii="Times New Roman" w:hAnsi="Times New Roman"/>
          <w:color w:val="000000" w:themeColor="text1"/>
          <w:sz w:val="16"/>
          <w:szCs w:val="16"/>
        </w:rPr>
        <w:t xml:space="preserve"> были сначала приостановлены, а затем и вовсе прекра</w:t>
      </w:r>
      <w:r w:rsidRPr="00640820">
        <w:rPr>
          <w:rFonts w:ascii="Times New Roman" w:hAnsi="Times New Roman"/>
          <w:color w:val="000000" w:themeColor="text1"/>
          <w:sz w:val="16"/>
          <w:szCs w:val="16"/>
        </w:rPr>
        <w:softHyphen/>
        <w:t>щены, хотя проект приказа НКАП по этому самолету к началу войны был подготовлен и находился на подписи в наркомате (12614).</w:t>
      </w:r>
    </w:p>
    <w:p w14:paraId="54F0BA48"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32273C54"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26422E58"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3F8B8EA" w14:textId="77777777" w:rsidR="00F07411" w:rsidRPr="00640820" w:rsidRDefault="00F07411"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29 октября </w:t>
      </w:r>
      <w:r w:rsidRPr="00640820">
        <w:rPr>
          <w:rFonts w:ascii="Times New Roman" w:hAnsi="Times New Roman"/>
          <w:color w:val="000000" w:themeColor="text1"/>
          <w:sz w:val="16"/>
          <w:szCs w:val="16"/>
        </w:rPr>
        <w:t>в 1941 году СНК СССР принял постановление "О графике восстановления заводов, эвакуированных на Волгу, Урал, в Сибирь, Среднюю Азию и Казахстан". Из района Мценска немецко-фашистские войска вышли к Туле. Их попытки в течение трёх дней захватить город были отбиты частями 50-й армии, местным гарнизоном (156-й полк НКВД, 732-й зенитный артиллерийский полк ПВО) и ополченцами (Тульский рабочий полк) (14814).</w:t>
      </w:r>
    </w:p>
    <w:p w14:paraId="07DAC5C6" w14:textId="77777777" w:rsidR="00F07411" w:rsidRPr="00640820" w:rsidRDefault="00F07411" w:rsidP="00640820">
      <w:pPr>
        <w:spacing w:after="0" w:line="240" w:lineRule="auto"/>
        <w:jc w:val="both"/>
        <w:rPr>
          <w:rFonts w:ascii="Times New Roman" w:hAnsi="Times New Roman"/>
          <w:color w:val="000000" w:themeColor="text1"/>
          <w:sz w:val="16"/>
          <w:szCs w:val="16"/>
        </w:rPr>
      </w:pPr>
    </w:p>
    <w:p w14:paraId="6EE1EB75" w14:textId="77777777" w:rsidR="00C7274C" w:rsidRPr="00640820" w:rsidRDefault="00C7274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октября 1941 года</w:t>
      </w:r>
    </w:p>
    <w:p w14:paraId="6C12DFFC" w14:textId="77777777" w:rsidR="00C7274C" w:rsidRPr="00640820" w:rsidRDefault="00C7274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доклада начальника управления НКВД Москвы и Московской области ст. майора госбезопасности М. И. Журавлева заместителю наркома внутренних дел СССР комиссару госбезопасности 3-го ранга Б. З. Кобулову.</w:t>
      </w:r>
    </w:p>
    <w:p w14:paraId="2B27C9BF" w14:textId="77777777" w:rsidR="00C7274C" w:rsidRPr="00640820" w:rsidRDefault="00C7274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Эвакуация завода N 11, согласно решения правительства, в г. Чапаевск проходит явно неудовлетворительно. Намеченные сроки срываются. На 26 октября 1941 года эвакуировано только 3 эшелона с оборудованием, материалами и рабочей силой.</w:t>
      </w:r>
    </w:p>
    <w:p w14:paraId="30738053" w14:textId="77777777" w:rsidR="00C7274C" w:rsidRPr="00640820" w:rsidRDefault="00C7274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полной эвакуации завода необходимо 550-600 вагонов, завод же получил всего лишь 117 вагонов.</w:t>
      </w:r>
    </w:p>
    <w:p w14:paraId="5A0EC51F" w14:textId="77777777" w:rsidR="00C7274C" w:rsidRPr="00640820" w:rsidRDefault="00C7274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Медленная и неорганизованная эвакуация завода N 11 объясняется главным образом отсутствием оперативности со стороны Наркомата Боеприпасов, который до последнего времени не дает ясных и конкретных указаний руководству завода.</w:t>
      </w:r>
    </w:p>
    <w:p w14:paraId="03AD0F5B" w14:textId="77777777" w:rsidR="00C7274C" w:rsidRPr="00640820" w:rsidRDefault="00C7274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к эвакуации приступил 10 октября с. г. В этот же день дирекцией были получены два шифрованных приказа Наркома ГОРЕМЫКИНА и его заместителя КОЖЕВНИКОВА, по которым предлагалось приступить к эвакуации капсюльного производства, пиротехники, дымового производства и трассы, после чего было приступлено к демонтажу оборудования и переброске его на погрузочные площадки железнодорожной линии, но погрузка задерживалась из-за отсутствия вагонов.</w:t>
      </w:r>
    </w:p>
    <w:p w14:paraId="2132C86A" w14:textId="77777777" w:rsidR="00C7274C" w:rsidRPr="00640820" w:rsidRDefault="00C7274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октября на завод N11 прибыл начальник 6-го Главного Управления НКБ КУЛИКОВ, который категорически предложил прекратить демонтаж оборудования за исключением оборудования, изготовляющего дымовые и трассирующие средства, не дав указаний, как поступить в дальнейшем с тем оборудованием, которое было демонтировано 10-го октября.</w:t>
      </w:r>
    </w:p>
    <w:p w14:paraId="343F4062" w14:textId="77777777" w:rsidR="00C7274C" w:rsidRPr="00640820" w:rsidRDefault="00C7274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14-го октября КУЛИКОВ приказал директору завода БОРИСОВУ демонтировать оборудование цеха N4, причем 25% этого оборудования приказал направить в г. Москву, обещал обеспечить автотранспортом, но КУЛИКОВ 15.Х под предлогом уточнения неясных вопросов выехал в гор. Москву и не возвратился до последнего времени, так как 16-го октября эвакуировался из гор. Москвы.</w:t>
      </w:r>
    </w:p>
    <w:p w14:paraId="7995BA14" w14:textId="77777777" w:rsidR="00C7274C" w:rsidRPr="00640820" w:rsidRDefault="00C7274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отъезда КУЛИКОВА в Наркомат Боеприпасов, 15-го октября директор завода N11 БОРИСОВ получил телеграмму, подписанную Зам. Наркома Боеприпасов КОЖЕВНИКОВЫМ, который предложил принять срочные меры к обязательному вывозу всего транспортного оборудования, подвижного состава, рельс — разобрать пути широкой и узкой колеи.</w:t>
      </w:r>
    </w:p>
    <w:p w14:paraId="0010803D" w14:textId="77777777" w:rsidR="00C7274C" w:rsidRPr="00640820" w:rsidRDefault="00C7274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Указанная телеграмма создала неясность у руководства завода, так как разборкой железнодорожного пути широкой и узкой колеи приостановили бы эвакуацию оборудования с завода и вывоз оставшейся готовой продукции, а также и материальных ценностей с завода. БОРИСОВ не выполнил эту телеграмму.</w:t>
      </w:r>
    </w:p>
    <w:p w14:paraId="14145817" w14:textId="77777777" w:rsidR="00C7274C" w:rsidRPr="00640820" w:rsidRDefault="00C7274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Вскоре после указанной телеграммы Зам. Наркома Боеприпасов ИВАНОВСКИЙ сообщил директору завода БОРИСОВУ о том, чтобы приостановить производство и немедленно приступить к демонтажу и погрузке оборудования.</w:t>
      </w:r>
    </w:p>
    <w:p w14:paraId="6B84191C" w14:textId="77777777" w:rsidR="00C7274C" w:rsidRPr="00640820" w:rsidRDefault="00C7274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Вслед за ИВАНОВСКИМ в тот же день, 16-го октября, начальник 6 Главка НКБ КУЛИКОВ по телефону предложил директору завода БОРИСОВУ отправить оборудование цеха N4 в гор. Чапаевск. На вопрос БОРИСОВА, как поступить в дальнейшем с остальным, КУЛИКОВ ответил: "Действуйте как хотите. Самостоятельно. Наркомат эвакуируется из Москва"...</w:t>
      </w:r>
    </w:p>
    <w:p w14:paraId="45C43BDB" w14:textId="77777777" w:rsidR="00C7274C" w:rsidRPr="00640820" w:rsidRDefault="00C7274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октября на завод N11 прибыл Зам. Наркома Боеприпасов КОЖЕВНИКОВ и предложил восстановить капсюльное, гранатное, трассирующее и пиротехническое, составить план восстановления производства и с этим планом 22.X явиться в Наркомат Боеприпасов треугольнику завода, а ночью по телефону КОЖЕВНИКОВ отменил свое распоряжение и предложил не восстанавливать капсюльное производство, а восстановить только производство гранат.</w:t>
      </w:r>
    </w:p>
    <w:p w14:paraId="14390B91" w14:textId="77777777" w:rsidR="00C7274C" w:rsidRPr="00640820" w:rsidRDefault="00C7274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Вопрос восстановления гранатного производства опять остается неясным, так как для этого потребуются капсюля-детонаторы и тетриловые столбики, которые изготовляются в капсюльном производстве завода.</w:t>
      </w:r>
    </w:p>
    <w:p w14:paraId="6B7D6655" w14:textId="77777777" w:rsidR="00C7274C" w:rsidRPr="00640820" w:rsidRDefault="00C7274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Оборудование завода в основном демонтировано и переброшено к железнодорожной площадке для погрузки, до сих пор хранится под открытым небом из-за отсутствия вагонов.</w:t>
      </w:r>
    </w:p>
    <w:p w14:paraId="44CBAE9C" w14:textId="77777777" w:rsidR="00C7274C" w:rsidRPr="00640820" w:rsidRDefault="00C7274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Среди руководящего состава, а главным образом у директора завода БОРИСОВА, чувствуется растерянность, нет твердости в действиях и решений оперативных вопросов, в силу чего у рабочих создается паническое настроение.</w:t>
      </w:r>
    </w:p>
    <w:p w14:paraId="54F66785" w14:textId="77777777" w:rsidR="00C7274C" w:rsidRPr="00640820" w:rsidRDefault="00C7274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 изложенном информирован секретарь МК и МГК товарищ ЩЕРБАКОВ (19797).</w:t>
      </w:r>
    </w:p>
    <w:p w14:paraId="0BEE32C9" w14:textId="77777777" w:rsidR="00C7274C" w:rsidRPr="00640820" w:rsidRDefault="00C7274C" w:rsidP="00640820">
      <w:pPr>
        <w:spacing w:after="0" w:line="240" w:lineRule="auto"/>
        <w:jc w:val="both"/>
        <w:rPr>
          <w:rFonts w:ascii="Times New Roman" w:hAnsi="Times New Roman"/>
          <w:color w:val="000000" w:themeColor="text1"/>
          <w:sz w:val="16"/>
          <w:szCs w:val="16"/>
        </w:rPr>
      </w:pPr>
    </w:p>
    <w:p w14:paraId="4C1EF7D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октября 1941 вышло Постановление ГКО № 849 О никеле для Наркомчермета. (7014, 92).</w:t>
      </w:r>
    </w:p>
    <w:p w14:paraId="5B172DD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45EA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октября 1941 СНК принял постановление "О графике восстановления заводов, эвакуированных на Волгу, Урал, в Сибирь, Среднюю Азию и Казахстан" (1566,140).</w:t>
      </w:r>
    </w:p>
    <w:p w14:paraId="4C3CF5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9A362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октября 1941 г. Совнарком СССР вынес постановление "О графике восстановления заводов, эвакуированных на Волгу, Урал, в Сибирь, Среднюю Азию и Казахстан", в котором наркомам оборонных наркоматов и ведущих отраслей тяжелой промышленности - А.И. Шахурину, В.А. Малышеву, Д.Ф. Устинову, П.Н. Горемыкину, И.Ф. Тевосяну, П.Ф. Ломако, Г.Д. Каплуну, В.М. Денисову, И.К. Седину и другим предписывалось представить не позднее 1 ноября 1941 г. в Совнарком СССР график восстановления заводов, эвакуированных из Москвы, Тулы, Харькова, Донбасса, Ленинграда и других мест. В графике требовалось указать сроки пуска оборудования и выпуска продукции с программой на ноябрь и декабрь 1941 г., а также обеспечения предприятий рабочей силой и инженерно-техническими кадрами (11624).</w:t>
      </w:r>
    </w:p>
    <w:p w14:paraId="6C06C66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F5571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29 октября 1941 г. на СТЗ все танки Т-34 стали выпускаться с ли</w:t>
      </w:r>
      <w:r w:rsidRPr="00640820">
        <w:rPr>
          <w:rFonts w:ascii="Times New Roman" w:hAnsi="Times New Roman"/>
          <w:color w:val="000000" w:themeColor="text1"/>
          <w:sz w:val="16"/>
          <w:szCs w:val="16"/>
        </w:rPr>
        <w:softHyphen/>
        <w:t>тыми стальными опорными катками с внутренней амортизацией и гусе</w:t>
      </w:r>
      <w:r w:rsidRPr="00640820">
        <w:rPr>
          <w:rFonts w:ascii="Times New Roman" w:hAnsi="Times New Roman"/>
          <w:color w:val="000000" w:themeColor="text1"/>
          <w:sz w:val="16"/>
          <w:szCs w:val="16"/>
        </w:rPr>
        <w:softHyphen/>
        <w:t>ницей с новой конструкцией траков. Это нововведение в конструкцию ходовой части было вызвано тем, что с августа 1941 г. начались перебои с поставкой на СТЗ резиновых бандажей с ярославского шинного завода. Предвидя возможность полного прекращения поставок резины для бандажей опорных катков, старший военный представитель ГАБТУ военинженер 2-го ранга Левин еще в сентябре 1941 г. предложил руковод</w:t>
      </w:r>
      <w:r w:rsidRPr="00640820">
        <w:rPr>
          <w:rFonts w:ascii="Times New Roman" w:hAnsi="Times New Roman"/>
          <w:color w:val="000000" w:themeColor="text1"/>
          <w:sz w:val="16"/>
          <w:szCs w:val="16"/>
        </w:rPr>
        <w:softHyphen/>
        <w:t xml:space="preserve">ству сталинградского завода принять меры по отработке конструкции литых стальных опорных катков с внутренней резиновой амортизацией по типу опорных катков тяжелого танка КВ. Это позволило сэкономить до 500 кг резины, используемой при производстве каждого танка. Новая конструкция траков была также отработана в кратчайшие сроки и позволила снизить шум (до вполне допустимой величины) при </w:t>
      </w:r>
      <w:r w:rsidRPr="00640820">
        <w:rPr>
          <w:rFonts w:ascii="Times New Roman" w:hAnsi="Times New Roman"/>
          <w:color w:val="000000" w:themeColor="text1"/>
          <w:sz w:val="16"/>
          <w:szCs w:val="16"/>
        </w:rPr>
        <w:lastRenderedPageBreak/>
        <w:t>движении танка с литыми опорными катками на всех скоростях. Черте</w:t>
      </w:r>
      <w:r w:rsidRPr="00640820">
        <w:rPr>
          <w:rFonts w:ascii="Times New Roman" w:hAnsi="Times New Roman"/>
          <w:color w:val="000000" w:themeColor="text1"/>
          <w:sz w:val="16"/>
          <w:szCs w:val="16"/>
        </w:rPr>
        <w:softHyphen/>
        <w:t>жи и отчет по новым опорным каткам и гусеницам были отправлены не только в ГАБТУ на утверждение, но и на заводы № 112 и № 183 для ос</w:t>
      </w:r>
      <w:r w:rsidRPr="00640820">
        <w:rPr>
          <w:rFonts w:ascii="Times New Roman" w:hAnsi="Times New Roman"/>
          <w:color w:val="000000" w:themeColor="text1"/>
          <w:sz w:val="16"/>
          <w:szCs w:val="16"/>
        </w:rPr>
        <w:softHyphen/>
        <w:t>воения производства (10703).</w:t>
      </w:r>
    </w:p>
    <w:p w14:paraId="111A33A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AB9D19" w14:textId="77777777" w:rsidR="002535FA" w:rsidRPr="00640820" w:rsidRDefault="002535FA" w:rsidP="00640820">
      <w:pPr>
        <w:pStyle w:val="96"/>
        <w:shd w:val="clear" w:color="auto" w:fill="auto"/>
        <w:spacing w:before="0" w:line="240" w:lineRule="auto"/>
        <w:rPr>
          <w:rFonts w:ascii="Times New Roman" w:hAnsi="Times New Roman" w:cs="Times New Roman"/>
          <w:color w:val="0070C0"/>
          <w:w w:val="100"/>
          <w:sz w:val="16"/>
          <w:szCs w:val="16"/>
        </w:rPr>
      </w:pPr>
      <w:r w:rsidRPr="00640820">
        <w:rPr>
          <w:rFonts w:ascii="Times New Roman" w:hAnsi="Times New Roman" w:cs="Times New Roman"/>
          <w:color w:val="0070C0"/>
          <w:w w:val="100"/>
          <w:sz w:val="16"/>
          <w:szCs w:val="16"/>
        </w:rPr>
        <w:t>29 октября 1941 г. вышла директива НКО № 22сс, которой предписывалось к концу 1941 г. сформировать 32 дивизиона бронепоездов (для этого необходимо было построить 65 бронепоездов). Ответственность за выполнение этой масштабной задачи возлагалась на отдел строительства бронепоездов НКПС и отдел бронепоездов ГАБТУ КА (в декабре того же года он был преобразован в Управление бронепоездов ГАБТУ КА). В соответствии с директивой № 22сс строительство бронепоездов должно было почти одновременно развернуться на более чем 50 заводах НКПС и железнодорожных депо. Использоваться должны были местные ресурсы, централизованно в какой-то мере обеспечивалось только снабжение бронелистом и вооружением. Правда, из-за тяжелого положения на фронтах и больших потерь Главное артиллерийское управление выделяло для бронепоездов только устаревшие или трофейные артсистемы: 76-мм пушки образца 1902 г., 76-мм зенитки Лендера образца 1914 г., 76-мм танковые пушки КТ-28 (оставшиеся после перевооружения Т-28), 76-мм танковые Л-10 и даже 75-мм трофейные польские пушки образца 1902/1926 гг. При выполнении директивы № 22сс остро встал вопрос о типе бронеплощадок для строящихся бронепоездов. Военные располагали только чертежами бронепоезда БП-35 с 4-осными двухбашенными бронеплощадками ПЛ-35, а в НКПС имелись только чертежи на бронепоезд «Маршал Буденный»/НКПС-42 (собственно, тот же БП-35, но упрощенный в соответствии с реалиями военного времени), по которым НКПС сначала и планировал вести изготовление. Однако ни тот, ни другой вариант военных не устраивал. Как показал боевой опыт, бронирование бронепоездов оказалось слишком слабым, к тому же при выходе из строя одной бронеплощадки (двухбашенной) бронепоезд сразу терял половину своего вооружения, а вернуть громоздкую и тяжелую 4-осную площадку на рельсы в полевых условиях было практически невозможно. Поэтому военные настояли на разработке проекта облегченной бронеплощадки с одной артиллерийской башней на базе двухосной 20-тонной платформы (взамен четырехосной 50-тонной). Так как инженеры НКПС не имели опыта проектирования бронепоездов, то разработанные ими проекты бронеплощадки получались громоздкими и далекими от совершенства, поэтому удовлетворил военных лишь третий ее вариант, хотя и с замечаниями. Такая бронеплощадка получила обозначение ОБ-3 — облегченная бронеплощадка, третий вариант. Бронеплощадка ОБ-3 имела одну башню, конструктивно подобную башне «Маршала Буденного». Верхняя часть башни собиралась из плоских бронелистов на металлическом каркасе и соединялась с полом массивными подкосами. Пол башни, перекатываясь по роликам, обеспечивал башне вращение. ОБ-3 вооружалась одним орудием и пятью пулеметами (один в башне). С учетом того, что бронелисты большой толщины были в дефиците, бронирование предусматривалось двухслойным — два тонких бронелиста разделялись или воздушной прослойкой, или слоем бетона. Это повышало пулестойкость, однако масса бронирования при этом значительно возрастала. По технологическим соображениям не годился для производства и проект бронепаровоза типа ПР-35, который бронировался закаленной броневой сталью толщиной 10–15 мм. Обеспечить ею все предприятия, строившие бронепоезда, не представлялось возможным (броня в первую очередь шла на танки), да и нужных специалистов и оборудования на местах обычно не было. В результате пришлось остановиться на конструкции бронировки паровоза «Маршала Буденного», имевшей бронелисты толщиной 30–50 мм. В состав типового бронепоезда предполагалось включать бронепаровоз, четыре бронеплощадки ОБ-3 и площадку ПВО. Хотя все бронепоезда типа ОБ-3 оборудовались внутренней телефонной связью, радиостанциями, паровым отоплением, электроосвещением, они имели и множество отличий. Различались типы артиллерийских и пулеметных установок, вместо восьмигранных башен устанавливались круглые, а то и вообще башни от танков. Сильно различалось и бронирование. Кроме двухслойного бронирования, встречалось однослойное (лист 25 мм или 37 мм) и даже трехслойное (три листа по 10 мм с 80-мм воздушной прослойкой). В отдельных случаях броней вообще обваривались корпуса танков (Т-28 или Т-26). Уложиться в сроки постройки бронепоездов, определенные директивой НКО №22сс, не удалось — до конца 1941 г. успели построить только 21 бронепоезд, да и то часть из них были достроенными «инициативными» бронепоездами, начатыми изготовлением еще осенью. Только в ноябре 1942 г. директиву можно было посчитать выполненнойй — к этому времени Красная армия получила 85 новых бронепоездов, из них около 60 типа ОБ-3, остальные — НКПС-42 и «инициативные»</w:t>
      </w:r>
      <w:r w:rsidRPr="00640820">
        <w:rPr>
          <w:rFonts w:ascii="Times New Roman" w:hAnsi="Times New Roman" w:cs="Times New Roman"/>
          <w:color w:val="0070C0"/>
          <w:w w:val="100"/>
          <w:sz w:val="16"/>
          <w:szCs w:val="16"/>
          <w:lang w:val="ru-RU"/>
        </w:rPr>
        <w:t xml:space="preserve"> (22731)</w:t>
      </w:r>
      <w:r w:rsidRPr="00640820">
        <w:rPr>
          <w:rFonts w:ascii="Times New Roman" w:hAnsi="Times New Roman" w:cs="Times New Roman"/>
          <w:color w:val="0070C0"/>
          <w:w w:val="100"/>
          <w:sz w:val="16"/>
          <w:szCs w:val="16"/>
        </w:rPr>
        <w:t>.</w:t>
      </w:r>
    </w:p>
    <w:p w14:paraId="68B6812D" w14:textId="77777777" w:rsidR="002535FA" w:rsidRPr="00640820" w:rsidRDefault="002535FA" w:rsidP="00640820">
      <w:pPr>
        <w:pStyle w:val="96"/>
        <w:shd w:val="clear" w:color="auto" w:fill="auto"/>
        <w:spacing w:before="0" w:line="240" w:lineRule="auto"/>
        <w:rPr>
          <w:rFonts w:ascii="Times New Roman" w:hAnsi="Times New Roman" w:cs="Times New Roman"/>
          <w:color w:val="0070C0"/>
          <w:w w:val="100"/>
          <w:sz w:val="16"/>
          <w:szCs w:val="16"/>
        </w:rPr>
      </w:pPr>
    </w:p>
    <w:p w14:paraId="353CF0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и 30 октября 1941 закончены ходовые испытания и сданы флоту четыре ТК типа Д-3. Ленинградские катеростроители в октябре передали флоту 34 боевых катера, в том числе: 6 ТК., 3 МО типа МО-4 и 25 ДК типа К-ЗИС-5 (10671).</w:t>
      </w:r>
    </w:p>
    <w:p w14:paraId="7DEAEB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84A29C0"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10307468"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DEE8277" w14:textId="77777777" w:rsidR="00F07411" w:rsidRPr="00640820" w:rsidRDefault="00F07411"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29 октября </w:t>
      </w:r>
      <w:r w:rsidRPr="00640820">
        <w:rPr>
          <w:rFonts w:ascii="Times New Roman" w:hAnsi="Times New Roman"/>
          <w:color w:val="000000" w:themeColor="text1"/>
          <w:sz w:val="16"/>
          <w:szCs w:val="16"/>
        </w:rPr>
        <w:t>в 1941 году утреннее сообщение Совинформбюро</w:t>
      </w:r>
    </w:p>
    <w:p w14:paraId="320FCA0D" w14:textId="77777777" w:rsidR="00F07411" w:rsidRPr="00640820" w:rsidRDefault="00F0741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29 октября наши войска вели бои с противником на Можайском, Малоярославецком, Волоколамском и Харьковском направлениях.</w:t>
      </w:r>
    </w:p>
    <w:p w14:paraId="22C71EC1" w14:textId="77777777" w:rsidR="00F07411" w:rsidRPr="00640820" w:rsidRDefault="00F0741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 наша авиачасть, действующая на Западном фронте, за три дня уничтожила 27 немецких танков, 135 автомашин с боеприпасами и разным военным снаряжением, 14 противотанковых пушек, 7 тяжёлых орудий и 5 миномётных батарей. Удачным попаданием бомбы крупного калибра взорван большой склад боеприпасов. Пулемётным огнём и бомбами уничтожено до полутора батальонов вражеской пехоты. В воздушных боях этой частью сбито за три дня 6 «Мессершмиттов».</w:t>
      </w:r>
    </w:p>
    <w:p w14:paraId="4BF39746" w14:textId="77777777" w:rsidR="00F07411" w:rsidRPr="00640820" w:rsidRDefault="00F0741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Наша часть, действующая на Северо-Западном направлении фронта, в бою с 336 немецким пехотным полком овладела четырьмя населёнными пунктами. Бойцы части уничтожили 15 немецких танков, 50 автомашин с пехотой и захватили 5 орудий полевой артиллерии.</w:t>
      </w:r>
    </w:p>
    <w:p w14:paraId="5AFF2501" w14:textId="77777777" w:rsidR="00F07411" w:rsidRPr="00640820" w:rsidRDefault="00F0741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Танковое соединение под командованием майора Бабенко в бою на одном участке Западного фронта уничтожило 12 немецких танков и несколько десятков солдат противника. Другая группа танков под командованием капитана Шевелёва в одном бою вывела из строя 11 немецких танков. В этом бою особенно отличился младший лейтенант Харанов, который уничтожил несколько танков противника.</w:t>
      </w:r>
    </w:p>
    <w:p w14:paraId="093B89A2" w14:textId="77777777" w:rsidR="00F07411" w:rsidRPr="00640820" w:rsidRDefault="00F0741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Отвагу и мужество проявил в боях с фашистами танковый экипаж лейтенанта Лавриненко. На днях танк тов. Лавриненко неожиданно обрушился на немцев. Орудийным и пулемётным огнём уничтожено до батальона вражеской пехоты, штабная машина, 10 мотоциклов, противотанковое орудие и большое количество миномётов, автоматов и пулемётов.</w:t>
      </w:r>
    </w:p>
    <w:p w14:paraId="4C1BBF67" w14:textId="77777777" w:rsidR="00F07411" w:rsidRPr="00640820" w:rsidRDefault="00F0741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Партизанские отряды двух районов Ленинградской области за первую половину октября уничтожили 29 немецких автомашин с боеприпасами и продовольствием. 7 танков, 3 бронемашины, 2 автоцистерны с бензином, 17 конных повозок противника, 3 противотанковые пушки и одну радиостанцию. За это же время партизаны в боях с фашистами уничтожили 312 немецких солдат и 19 офицеров. Наибольших успехов добился партизанский отряд, которым командует начальник цеха одного из заводов тов. Г. В течение десяти дней этот отряд уничтожил 60 немецких солдат и 5 офицеров, три автодрезины и семнадцать вагонов с различным грузом для фронтовых частей германской армии. Во многих местах партизаны разрушили связь на протяжении многих километров. В деревне С. Партизанский отряд захватил назначенного германскими властями старосту Николаева, бывшего жандарма. Николаев выдал фашистам деревенских активистов, установил слежку за жителями, поддерживающими связь с партизанами. Предатель был осуждён и повешен.» (14814).</w:t>
      </w:r>
    </w:p>
    <w:p w14:paraId="5F8AAB0E" w14:textId="77777777" w:rsidR="00F07411" w:rsidRPr="00640820" w:rsidRDefault="00F07411" w:rsidP="00640820">
      <w:pPr>
        <w:spacing w:after="0" w:line="240" w:lineRule="auto"/>
        <w:jc w:val="both"/>
        <w:rPr>
          <w:rFonts w:ascii="Times New Roman" w:hAnsi="Times New Roman"/>
          <w:color w:val="000000" w:themeColor="text1"/>
          <w:sz w:val="16"/>
          <w:szCs w:val="16"/>
        </w:rPr>
      </w:pPr>
    </w:p>
    <w:p w14:paraId="65D133B7" w14:textId="77777777" w:rsidR="00F07411" w:rsidRPr="00640820" w:rsidRDefault="00F07411"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29 октября </w:t>
      </w:r>
      <w:r w:rsidRPr="00640820">
        <w:rPr>
          <w:rFonts w:ascii="Times New Roman" w:hAnsi="Times New Roman"/>
          <w:color w:val="000000" w:themeColor="text1"/>
          <w:sz w:val="16"/>
          <w:szCs w:val="16"/>
        </w:rPr>
        <w:t>в 1941 году вечернее сообщение Совинформбюро</w:t>
      </w:r>
    </w:p>
    <w:p w14:paraId="25B9E872" w14:textId="77777777" w:rsidR="00F07411" w:rsidRPr="00640820" w:rsidRDefault="00F0741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29 октября наши войска вели бои с противником на Волоколамском, Можайском и Малоярославецком направлениях. Наши части отбили ряд ожесточённых атак противника.</w:t>
      </w:r>
    </w:p>
    <w:p w14:paraId="681725A5" w14:textId="77777777" w:rsidR="00F07411" w:rsidRPr="00640820" w:rsidRDefault="00F0741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29 октября под Москвой сбито 39 вражеских самолётов.</w:t>
      </w:r>
    </w:p>
    <w:p w14:paraId="5B0C08AD" w14:textId="77777777" w:rsidR="00F07411" w:rsidRPr="00640820" w:rsidRDefault="00F0741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части оставили Харьков. Немецкие фашисты собирались взять Харьков ещё в сентябре месяце, но эти планы немецкого командования остались на бумаге. Харьков оставлен нашими войсками по стратегическим соображениям в момент, когда это советское командование нашло нужным, а не тогда, когда этого хотели немцы.</w:t>
      </w:r>
    </w:p>
    <w:p w14:paraId="77B5B79A" w14:textId="77777777" w:rsidR="00F07411" w:rsidRPr="00640820" w:rsidRDefault="00F0741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этот период все важнейшие предприятия, подвижной состав железнодорожного транспорта, запасы сырья и другие ценности города были своевременно эвакуированы. Несколько средних и мелких предприятий, имеющих военное значение, взорвано.</w:t>
      </w:r>
    </w:p>
    <w:p w14:paraId="11517839" w14:textId="77777777" w:rsidR="00F07411" w:rsidRPr="00640820" w:rsidRDefault="00F0741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ходе боёв за Харьков немецко-фашистские войска потеряли до 120 тысяч солдат и офицеров убитыми и ранеными, свыше 450 танков и бронемашин, до 3.000 автомашин с разным военным грузом и более 200 орудий разного калибра.</w:t>
      </w:r>
    </w:p>
    <w:p w14:paraId="7D7DDE1F" w14:textId="77777777" w:rsidR="00F07411" w:rsidRPr="00640820" w:rsidRDefault="00F0741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Наше авиасоединение, действующее на Западном фронте, за 28 октября уничтожило около 50 немецких танков, 210 автомашин с боеприпасами, рассеяло и частично уничтожило до полутора полков вражеской пехоты.</w:t>
      </w:r>
    </w:p>
    <w:p w14:paraId="60BF4D09" w14:textId="77777777" w:rsidR="00F07411" w:rsidRPr="00640820" w:rsidRDefault="00F0741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Беспощадно громят немецких захватчиков партизаны Днепропетровской области. Крупный партизанский отряд под командованием тов. Ж. совершил ночной налёт на штаб немецкого батальона. Во время перестрелки партизаны уничтожили 17 солдат и 4 офицеров, захватили важные документы и трофеи. В хуторе Высокое партизанский отряд обстрелял расположившуюся на отдых колонну немецких войск. Во время схватки немцы потеряли убитыми 15 солдат и офицеров, много фашистов получило тяжёлые ранения. Отступая на хутора, партизанский отряд захватил легковую машину, в которой находились немецкий полковник, лейтенант и два солдата. Фашисты оказали сопротивление и были уничтожены.</w:t>
      </w:r>
    </w:p>
    <w:p w14:paraId="25FB4330" w14:textId="77777777" w:rsidR="00F07411" w:rsidRPr="00640820" w:rsidRDefault="00F0741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Несколько удачных нападений на обозы германской армии совершил в течение октября партизанский отряд тов. Л. Советские патриоты захватили три немецких грузовика с боеприпасами. Перебив солдат, сопровождавших груз, партизаны часть боеприпасов закопали в землю, часть бросили в реку. Затем партизаны проникли на территорию аэродрома противника, где находились три бомбардировщика и один истребитель. Партизаны сожгли машины и перестреляли до 20 немецких солдат и техников. Этот же партизанский отряд перехватил на шоссе, четыре легковые машины с десятью офицерами.</w:t>
      </w:r>
    </w:p>
    <w:p w14:paraId="334D5803" w14:textId="77777777" w:rsidR="00F07411" w:rsidRPr="00640820" w:rsidRDefault="00F0741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Самоотверженным трудом рабочие, колхозники и интеллигенция Рязанской области помогают Красной Армии громить немецко-фашистские полчища. Предприятия города Рязани добились значительных успехов. Электроламповый завод в сентябре выполнил план на 120 процентов, мясокомбинат — на 222 процента, артель имени </w:t>
      </w:r>
      <w:r w:rsidRPr="00640820">
        <w:rPr>
          <w:rFonts w:ascii="Times New Roman" w:hAnsi="Times New Roman"/>
          <w:color w:val="000000" w:themeColor="text1"/>
          <w:sz w:val="16"/>
          <w:szCs w:val="16"/>
        </w:rPr>
        <w:lastRenderedPageBreak/>
        <w:t>Красной Армии — на 121 процент. Коллектив депо станции Рыбное перевыполнил план ремонта паровозов на 50 процентов. Количество рабочих, перевыполняющих нормы, неуклонно растёт. Слесари депо станции Рыбное т.т. Кузнецов и Логинов, токари т.т. Катумин, Козин и многие другие дают по три нормы в смену. Токарь механического завода т. Хопёрский выполняет задание на 250-260 процентов. Работницы касимовской фабрики «Красный текстильщик» т.т. Фёдорова, Курбатова и Овчинникова перевыполняют нормы на 20-40 процентов. На фабрике «Красный Октябрь» Клепиковского района женщины заменили 44 квалифицированных рабочих, ушедших на фронт.» (14814).</w:t>
      </w:r>
    </w:p>
    <w:p w14:paraId="3936412F" w14:textId="77777777" w:rsidR="00F07411" w:rsidRPr="00640820" w:rsidRDefault="00F07411" w:rsidP="00640820">
      <w:pPr>
        <w:spacing w:after="0" w:line="240" w:lineRule="auto"/>
        <w:jc w:val="both"/>
        <w:rPr>
          <w:rFonts w:ascii="Times New Roman" w:hAnsi="Times New Roman"/>
          <w:color w:val="000000" w:themeColor="text1"/>
          <w:sz w:val="16"/>
          <w:szCs w:val="16"/>
        </w:rPr>
      </w:pPr>
    </w:p>
    <w:p w14:paraId="716F7699" w14:textId="77777777" w:rsidR="00F07411" w:rsidRPr="00640820" w:rsidRDefault="00F07411"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29 октября </w:t>
      </w:r>
      <w:r w:rsidRPr="00640820">
        <w:rPr>
          <w:rFonts w:ascii="Times New Roman" w:hAnsi="Times New Roman"/>
          <w:color w:val="000000" w:themeColor="text1"/>
          <w:sz w:val="16"/>
          <w:szCs w:val="16"/>
        </w:rPr>
        <w:t>в 1941 году во время Великой Отечественной войны воины-связисты Ленинградского фронта совместно со специалистами Военной электротехнической академии связи имени С.М.Буденного, завода «Севкабель», Северо-Западного речного пароходства и водолазами ЭПРОН начали работы по прокладке подводного кабеля для связи осажденного города с Большой землей. За два дня кабель был проложен на 40-км участке Ладожского озера (от Ваганова до Белозерки) (14814).</w:t>
      </w:r>
    </w:p>
    <w:p w14:paraId="5C25B335" w14:textId="77777777" w:rsidR="00F07411" w:rsidRPr="00640820" w:rsidRDefault="00F07411" w:rsidP="00640820">
      <w:pPr>
        <w:spacing w:after="0" w:line="240" w:lineRule="auto"/>
        <w:jc w:val="both"/>
        <w:rPr>
          <w:rFonts w:ascii="Times New Roman" w:hAnsi="Times New Roman"/>
          <w:color w:val="000000" w:themeColor="text1"/>
          <w:sz w:val="16"/>
          <w:szCs w:val="16"/>
        </w:rPr>
      </w:pPr>
    </w:p>
    <w:p w14:paraId="2D58DA30" w14:textId="77777777" w:rsidR="00F07411" w:rsidRPr="00640820" w:rsidRDefault="00F07411"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29 октября </w:t>
      </w:r>
      <w:r w:rsidRPr="00640820">
        <w:rPr>
          <w:rFonts w:ascii="Times New Roman" w:hAnsi="Times New Roman"/>
          <w:color w:val="000000" w:themeColor="text1"/>
          <w:sz w:val="16"/>
          <w:szCs w:val="16"/>
        </w:rPr>
        <w:t>в 1941 году в Севастополе введено осадное положение (14814).</w:t>
      </w:r>
    </w:p>
    <w:p w14:paraId="44B7266C" w14:textId="77777777" w:rsidR="00F07411" w:rsidRPr="00640820" w:rsidRDefault="00F07411" w:rsidP="00640820">
      <w:pPr>
        <w:spacing w:after="0" w:line="240" w:lineRule="auto"/>
        <w:jc w:val="both"/>
        <w:rPr>
          <w:rFonts w:ascii="Times New Roman" w:hAnsi="Times New Roman"/>
          <w:color w:val="000000" w:themeColor="text1"/>
          <w:sz w:val="16"/>
          <w:szCs w:val="16"/>
        </w:rPr>
      </w:pPr>
    </w:p>
    <w:p w14:paraId="4149E5E9" w14:textId="77777777" w:rsidR="00F07411" w:rsidRPr="00640820" w:rsidRDefault="00F07411"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29 октября </w:t>
      </w:r>
      <w:r w:rsidRPr="00640820">
        <w:rPr>
          <w:rFonts w:ascii="Times New Roman" w:hAnsi="Times New Roman"/>
          <w:color w:val="000000" w:themeColor="text1"/>
          <w:sz w:val="16"/>
          <w:szCs w:val="16"/>
        </w:rPr>
        <w:t>в 1941 году из района Мценска немецкие войска вышли к Туле. Их попытки в течение трех дней захватить город были отбиты частями 50-й армии, местным гарнизоном (156-й полк НКВД, 732-й зенитный артиллерийский полк ПВО) и ополченцами (Тульский рабочий полк) (14814).</w:t>
      </w:r>
    </w:p>
    <w:p w14:paraId="4B05EBF8" w14:textId="77777777" w:rsidR="00F07411" w:rsidRPr="00640820" w:rsidRDefault="00F07411" w:rsidP="00640820">
      <w:pPr>
        <w:spacing w:after="0" w:line="240" w:lineRule="auto"/>
        <w:jc w:val="both"/>
        <w:rPr>
          <w:rFonts w:ascii="Times New Roman" w:hAnsi="Times New Roman"/>
          <w:color w:val="000000" w:themeColor="text1"/>
          <w:sz w:val="16"/>
          <w:szCs w:val="16"/>
        </w:rPr>
      </w:pPr>
    </w:p>
    <w:p w14:paraId="3D3A58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29 октября 1941 в 74-м </w:t>
      </w:r>
      <w:r w:rsidRPr="00640820">
        <w:rPr>
          <w:rFonts w:ascii="Times New Roman" w:hAnsi="Times New Roman"/>
          <w:iCs/>
          <w:color w:val="000000" w:themeColor="text1"/>
          <w:sz w:val="16"/>
          <w:szCs w:val="16"/>
        </w:rPr>
        <w:t>шап</w:t>
      </w:r>
      <w:r w:rsidRPr="00640820">
        <w:rPr>
          <w:rFonts w:ascii="Times New Roman" w:hAnsi="Times New Roman"/>
          <w:color w:val="000000" w:themeColor="text1"/>
          <w:sz w:val="16"/>
          <w:szCs w:val="16"/>
        </w:rPr>
        <w:t xml:space="preserve"> 6-й РАГ Брянского фронта не осталось ни одного Ил-2, в 299-м </w:t>
      </w:r>
      <w:r w:rsidRPr="00640820">
        <w:rPr>
          <w:rFonts w:ascii="Times New Roman" w:hAnsi="Times New Roman"/>
          <w:iCs/>
          <w:color w:val="000000" w:themeColor="text1"/>
          <w:sz w:val="16"/>
          <w:szCs w:val="16"/>
        </w:rPr>
        <w:t xml:space="preserve">шап </w:t>
      </w:r>
      <w:r w:rsidRPr="00640820">
        <w:rPr>
          <w:rFonts w:ascii="Times New Roman" w:hAnsi="Times New Roman"/>
          <w:color w:val="000000" w:themeColor="text1"/>
          <w:sz w:val="16"/>
          <w:szCs w:val="16"/>
        </w:rPr>
        <w:t xml:space="preserve">этой же авиагруппы - всего 3 "Ила", из которых исправным был лишь один, а в 190-м </w:t>
      </w:r>
      <w:r w:rsidRPr="00640820">
        <w:rPr>
          <w:rFonts w:ascii="Times New Roman" w:hAnsi="Times New Roman"/>
          <w:iCs/>
          <w:color w:val="000000" w:themeColor="text1"/>
          <w:sz w:val="16"/>
          <w:szCs w:val="16"/>
        </w:rPr>
        <w:t>шап</w:t>
      </w:r>
      <w:r w:rsidRPr="00640820">
        <w:rPr>
          <w:rFonts w:ascii="Times New Roman" w:hAnsi="Times New Roman"/>
          <w:color w:val="000000" w:themeColor="text1"/>
          <w:sz w:val="16"/>
          <w:szCs w:val="16"/>
        </w:rPr>
        <w:t xml:space="preserve"> имелось всего 2 исправных "Ильюшина" (6467).</w:t>
      </w:r>
    </w:p>
    <w:p w14:paraId="02544F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76C1D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октября 1941 Ил-2 47 сад под командованием к В.М.Романова и др. на Волоколамском направлении уничтожили и повредили 15 танков и до 60 автомашин (341,71).</w:t>
      </w:r>
    </w:p>
    <w:p w14:paraId="09ABC5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DB42EC4" w14:textId="77777777" w:rsidR="00C7274C" w:rsidRPr="00640820" w:rsidRDefault="00C7274C" w:rsidP="00640820">
      <w:pPr>
        <w:pStyle w:val="ae"/>
        <w:spacing w:before="0" w:after="0"/>
        <w:jc w:val="both"/>
        <w:textAlignment w:val="baseline"/>
        <w:rPr>
          <w:color w:val="000000" w:themeColor="text1"/>
          <w:sz w:val="16"/>
          <w:szCs w:val="16"/>
        </w:rPr>
      </w:pPr>
      <w:r w:rsidRPr="00640820">
        <w:rPr>
          <w:color w:val="000000" w:themeColor="text1"/>
          <w:sz w:val="16"/>
          <w:szCs w:val="16"/>
        </w:rPr>
        <w:t>29 октября 1941 г. на аэродроме Чоргунь, около Севастополя, на основе 46-й ошаэ был сформирован 18-й шап ВВС ЧФ, который возглавил капитан A. A. Губрий. В составе полка были две эскадрильи, располагавшие на тот момент всего десятью пригодными для боевых вылетов Ил-2. На этом «усиление» штурмовой авиации Черноморского флота и закончилось.</w:t>
      </w:r>
    </w:p>
    <w:p w14:paraId="2472C5E9" w14:textId="77777777" w:rsidR="00C7274C" w:rsidRPr="00640820" w:rsidRDefault="00C7274C" w:rsidP="00640820">
      <w:pPr>
        <w:pStyle w:val="ae"/>
        <w:spacing w:before="0" w:after="0"/>
        <w:jc w:val="both"/>
        <w:textAlignment w:val="baseline"/>
        <w:rPr>
          <w:color w:val="000000" w:themeColor="text1"/>
          <w:sz w:val="16"/>
          <w:szCs w:val="16"/>
        </w:rPr>
      </w:pPr>
      <w:r w:rsidRPr="00640820">
        <w:rPr>
          <w:color w:val="000000" w:themeColor="text1"/>
          <w:sz w:val="16"/>
          <w:szCs w:val="16"/>
        </w:rPr>
        <w:t>В дальнейшем 18-й шап продолжал действовать в Крыму. Во время обороны Севастополя его «горбатые» атаковали исключительно наземные цели. 24 июля 1942 г. остатки полка вывели на аэродром Сальск в Ростовской области. После пополнения его в августе 1942 г. включили в «Морскую авиагруппу Новороссийского оборонительного района» (МАГ НОР). Кроме него в состав группы вошли еще два недавно сформированных флотских штурмовых авиаполка — 46-й и 47-й шап[95].</w:t>
      </w:r>
    </w:p>
    <w:p w14:paraId="621F31AB" w14:textId="77777777" w:rsidR="00C7274C" w:rsidRPr="00640820" w:rsidRDefault="00C7274C" w:rsidP="00640820">
      <w:pPr>
        <w:pStyle w:val="ae"/>
        <w:spacing w:before="0" w:after="0"/>
        <w:jc w:val="both"/>
        <w:textAlignment w:val="baseline"/>
        <w:rPr>
          <w:color w:val="000000" w:themeColor="text1"/>
          <w:sz w:val="16"/>
          <w:szCs w:val="16"/>
        </w:rPr>
      </w:pPr>
      <w:r w:rsidRPr="00640820">
        <w:rPr>
          <w:color w:val="000000" w:themeColor="text1"/>
          <w:sz w:val="16"/>
          <w:szCs w:val="16"/>
        </w:rPr>
        <w:t>По большей части морские Ил-2 атаковали позиции немецких сухопутных частей на линии фронта от Новороссийска до Темрюка и в его ближайшем тылу. И лишь изредка они совершали патрульные полеты вдоль Кавказского побережья, ведя поиск вражеских торпедных катеров, подводных лодок и небольших конвоев.</w:t>
      </w:r>
    </w:p>
    <w:p w14:paraId="61C14589" w14:textId="77777777" w:rsidR="00C7274C" w:rsidRPr="00640820" w:rsidRDefault="00C7274C" w:rsidP="00640820">
      <w:pPr>
        <w:pStyle w:val="ae"/>
        <w:spacing w:before="0" w:after="0"/>
        <w:jc w:val="both"/>
        <w:textAlignment w:val="baseline"/>
        <w:rPr>
          <w:color w:val="000000" w:themeColor="text1"/>
          <w:sz w:val="16"/>
          <w:szCs w:val="16"/>
        </w:rPr>
      </w:pPr>
      <w:r w:rsidRPr="00640820">
        <w:rPr>
          <w:color w:val="000000" w:themeColor="text1"/>
          <w:sz w:val="16"/>
          <w:szCs w:val="16"/>
        </w:rPr>
        <w:t>Заслуги 18-го шап не остались незамеченными флотским командованием. 14 июня 1942 г. звания Героев Советского Союза получили сразу два пилота полка: командир звена старший лейтенант Мирон Ефимов, совершивший к тому времени 112 боевых вылетов, и старший лейтенант Евгений Лобанов, выполнивший 89 вылетов. При этом последний был награжден посмертно. Он погиб еще 11 марта на подступах к Севастополю, когда, согласно официальным советским данным, направил свой подбитый и горящий штурмовик на позицию немецкой артиллерийской батареи. Затем 24 июля звание Героя было присвоено командиру звена капитану Федору Тургеневу, успевшему совершить 86 боевых вылетов, а потом — 23 октября — командиру эскадрильи капитану Виктору Куликову, на чьем счету было уже 193 боевых вылета.</w:t>
      </w:r>
    </w:p>
    <w:p w14:paraId="4E957F7F" w14:textId="77777777" w:rsidR="00C7274C" w:rsidRPr="00640820" w:rsidRDefault="00C7274C" w:rsidP="00640820">
      <w:pPr>
        <w:pStyle w:val="ae"/>
        <w:spacing w:before="0" w:after="0"/>
        <w:jc w:val="both"/>
        <w:textAlignment w:val="baseline"/>
        <w:rPr>
          <w:color w:val="000000" w:themeColor="text1"/>
          <w:sz w:val="16"/>
          <w:szCs w:val="16"/>
        </w:rPr>
      </w:pPr>
      <w:r w:rsidRPr="00640820">
        <w:rPr>
          <w:color w:val="000000" w:themeColor="text1"/>
          <w:sz w:val="16"/>
          <w:szCs w:val="16"/>
        </w:rPr>
        <w:t>1 мая 1943 г. отметили наконец и сам полк. Приказом наркома ВМФ № 79 ему присвоили звание «гвардейский», и он был преобразован в 8-й гв. шап ВВС ЧФ. Спустя десять дней на базе МАГ НОР была сформирована 11-я штурмовая авиабригада (шабр). Ее возглавил Алексей Губрий, получивший звание подполковника, а на посту командира 8-го гв. шап его сменил Мирон Ефимов, ставший соответственно майором. В авиабригаду вошли только два штурмовых полка — все тот же 8-й гв. шап и 47-й шап, поскольку 46-й шап еще в марте 1943 г. был отправлен на Северный флот. Также в ней были два полка флотских истребителей — 6-й гв. иап майора М. А. Авдеева и 9-й иап майора А. Д. Джапаридзе.</w:t>
      </w:r>
    </w:p>
    <w:p w14:paraId="58490619" w14:textId="77777777" w:rsidR="00C7274C" w:rsidRPr="00640820" w:rsidRDefault="00C7274C" w:rsidP="00640820">
      <w:pPr>
        <w:pStyle w:val="ae"/>
        <w:spacing w:before="0" w:after="0"/>
        <w:jc w:val="both"/>
        <w:textAlignment w:val="baseline"/>
        <w:rPr>
          <w:color w:val="000000" w:themeColor="text1"/>
          <w:sz w:val="16"/>
          <w:szCs w:val="16"/>
        </w:rPr>
      </w:pPr>
      <w:r w:rsidRPr="00640820">
        <w:rPr>
          <w:color w:val="000000" w:themeColor="text1"/>
          <w:sz w:val="16"/>
          <w:szCs w:val="16"/>
        </w:rPr>
        <w:t>Затем 9 июля того же года 11-ю шабр переформировали в штурмовую авиадивизию под тем же номером. По большей части ее Ил-2 все это время поддерживали части морской пехоты, прикрывали высадку десантов и лишь от случая к случаю применялись для атак морских целей (19522).</w:t>
      </w:r>
    </w:p>
    <w:p w14:paraId="047BDA8E" w14:textId="77777777" w:rsidR="00C7274C" w:rsidRPr="00640820" w:rsidRDefault="00C7274C" w:rsidP="00640820">
      <w:pPr>
        <w:pStyle w:val="ae"/>
        <w:spacing w:before="0" w:after="0"/>
        <w:jc w:val="both"/>
        <w:textAlignment w:val="baseline"/>
        <w:rPr>
          <w:color w:val="000000" w:themeColor="text1"/>
          <w:sz w:val="16"/>
          <w:szCs w:val="16"/>
        </w:rPr>
      </w:pPr>
    </w:p>
    <w:p w14:paraId="1E7C3B86" w14:textId="77777777" w:rsidR="00C7274C" w:rsidRPr="00640820" w:rsidRDefault="00C7274C" w:rsidP="00640820">
      <w:pPr>
        <w:pStyle w:val="319"/>
        <w:shd w:val="clear" w:color="auto" w:fill="auto"/>
        <w:spacing w:after="0" w:line="240" w:lineRule="auto"/>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29 октября 1942 432-й ДБАП (дальнебомбардировочный авиаполк) получил задание бомбить Берлин, однако на его бомбежку снова отправили корабли, оснащенные дизельными моторами. Другие самолеты, в том числе и № 42015, с моторами АМ-35А бомбили город Орел.</w:t>
      </w:r>
    </w:p>
    <w:p w14:paraId="1F045787" w14:textId="77777777" w:rsidR="00C7274C" w:rsidRPr="00640820" w:rsidRDefault="00C7274C"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Самолет № 42015, командир корабля ст. лейтенант Пусэп, в 16.30 м 29.10.41 г. стартовал с аэродрома Ковров на бомбардирование г. Орел.</w:t>
      </w:r>
    </w:p>
    <w:p w14:paraId="049E9357" w14:textId="77777777" w:rsidR="00C7274C" w:rsidRPr="00640820" w:rsidRDefault="00C7274C"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В 18 час 41 мин с высоты 2100 м на цель сброшены: ФАБ-250 - 8 шт., ФАБ-100 -16 шт. Бомбы сброшены из-за облаков по расчету времени, по отблескам прожекторов на облаках. Куда попали бомбы экипаж доложить не мог.</w:t>
      </w:r>
    </w:p>
    <w:p w14:paraId="5287140C" w14:textId="77777777" w:rsidR="00C7274C" w:rsidRPr="00640820" w:rsidRDefault="00C7274C"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Противодействие ПВО: К цели подошли под облаками Н=450 м. В 4 км юго-западнее Орла работали 4 прожектора и самолет был обстрелян малокалиберной ЗА. Самолет ушел за облака.</w:t>
      </w:r>
    </w:p>
    <w:p w14:paraId="2318E6FB" w14:textId="77777777" w:rsidR="00C7274C" w:rsidRPr="00640820" w:rsidRDefault="00C7274C"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После выполнения задания экипаж в 20 час 40 мин произвел посадку на своем аэродроме (19105).</w:t>
      </w:r>
    </w:p>
    <w:p w14:paraId="0D61DDC3" w14:textId="77777777" w:rsidR="00C7274C" w:rsidRPr="00640820" w:rsidRDefault="00C7274C" w:rsidP="00640820">
      <w:pPr>
        <w:pStyle w:val="108"/>
        <w:shd w:val="clear" w:color="auto" w:fill="auto"/>
        <w:spacing w:line="240" w:lineRule="auto"/>
        <w:rPr>
          <w:rFonts w:ascii="Times New Roman" w:hAnsi="Times New Roman" w:cs="Times New Roman"/>
          <w:color w:val="000000" w:themeColor="text1"/>
        </w:rPr>
      </w:pPr>
    </w:p>
    <w:p w14:paraId="7E854C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октября 1941 в качестве главной задачи перед 1 -м МТАП поставили бомбежку вражеских аэродромов и железнодорожных узлов. Это неудивительно, поскольку полк оказался единственной частью дальних бомбардировщиков, имевшихся в распоряжении командующего ВВС Ленинградского фронта генерала Новикова. Это и определяло интенсивную боевую деятельность части. Особенно напряженной она стала в ноябре, когда группа ДБ-3 с аэродрома Новинки приняла участие в отражении немецкого наступления на Волхов и Тихвин. Интересно отметить, что для ночных полетов с этого находящегося посреди лесных массивов аэродрома в качестве радиомаяка использовали переоборудованный линкор-ный радиопередатчик “Шторм” (9809).</w:t>
      </w:r>
    </w:p>
    <w:p w14:paraId="5AD92D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8C1DA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октября 1941 в качестве главной задачи перед 1 -м мтап поставили бомбежку вражеских аэродромов Псков. Дно, Сиве- рская (до конца года совершено 64 самолето-вылета) и железнодорожных узлов Псков, Дно, Чудово, Красногвардейск (47 с/в). Это неудивительно, поскольку полк оказался единственной частью дальних бомбардировщиков, имевшихся в распоряжении командующего ВВС Ленинградского фронта генерала Новикова. Это обстоятельстов и определяло интенсивную боевую деятельность части. Особенно напряженной она стала в ноябре. Интересно отметить, что для ночных полетов с этого, находящегося посреди крупных лесных массивов, аэродрома в качестве радиомаяка использовали переоборудованный линкорный радиопередатчик "Шторм". И в дальнейшем до конца весны 1942 г. полк оставался разбитым на две части, каждая из которых действовала в составе самостоятельной авиационной группы - Ленинградской и Волховской (на 30 ноября 8/8 ДБ-3 в Углово и 7/7 - в Новинках). Достигнутые полком боевые достижения были отмечены присвоением 18.1.1942 гвардейского звания - первого в авиации ВМФ! Не были обойдены вниманием и сами авиаторы части. До 22 апреля пять летчиков 1 -го гмтап стали Героями Советского Союза, 11 были награждены орденом Ленина, 44 - орденом Красного Знамени, 29 - орденом Красной Звезды (12002).</w:t>
      </w:r>
    </w:p>
    <w:p w14:paraId="1FE9DD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9D47A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октября 1941 года вышло постановление ГКО, которое предусматривалось к 1 января 1942 года сформировать 32 дивизиона бронепоездов (по два поезда в каждом). Материальную часть для них обязан был строить НКПС на своих заводах и в депо железных дорог. Для решения всех вопросов по строительству, формированию и боевой подготовке в октябре 1941 года при Начальнике Главного автобронетанкового управления (ГАБТУ) Красной Армии в системе аппарата НКПС были созданы специальные отделы бронепоездов (9642).</w:t>
      </w:r>
    </w:p>
    <w:p w14:paraId="176B65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E1254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октября 1941 немцы прорвали советскую оборону в Крыму (2260).</w:t>
      </w:r>
    </w:p>
    <w:p w14:paraId="7042E2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0E68FA5"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38218A14"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9BAF2A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октября 1941 вышло Постановление ГКО № 850 О плане эвакуации из районов прифронтовой полосы оборудования и товаров пищевой промышленности. (7014, 93-94,95-126).</w:t>
      </w:r>
    </w:p>
    <w:p w14:paraId="13FB3B1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16E68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октября 1941 вышло Постановление ГКО № 851 О плане эвакуации из прифронтовой полосы мясных, молочных грузов и консервов и оборудования холодильников. (7014, 127,128-134).</w:t>
      </w:r>
    </w:p>
    <w:p w14:paraId="1195B41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2A85F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октября 1941 вышло Постановление ГКО № 852 [О назначении Чмутова Н.И., Волчкова В.В., Слесарева А.Н., Мозгалова А.К., Васильева И.В., Мотилова М.В., Тюлеева П.Ф., Шадрина В.А. уполномоченными ГКО по эвакуации из районов прифронтовой полосы продовольственных запасов, оборудования и сырья легкой и пищевой промышленности.] (7014, 135).</w:t>
      </w:r>
    </w:p>
    <w:p w14:paraId="756108C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9A83C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октября 1941 вышло Постановление ГКО № 853 Об организации автотранспортных колонн для перевозки грузов [из прифронтовой полосы]. (7014, 136).</w:t>
      </w:r>
    </w:p>
    <w:p w14:paraId="10BF0A4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FAA9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октября 1941 вышло Постановление ГКО № 854 О плане эвакуации из районов прифронтовой полосы текстильных товаров и оборудования текстильных фабрик. РГАНИР, Фонд ГКО, д. 13, лл. 137, 138-152 (11012).</w:t>
      </w:r>
    </w:p>
    <w:p w14:paraId="2A3CCD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9B5D6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октября 1941 вышло Постановление ГКО № 855 О плане эвакуации оборудования и товаров легкой промышленности. РГАНИР, Фонд ГКО, д. 13, лл. 153, 154-168 (11012).</w:t>
      </w:r>
    </w:p>
    <w:p w14:paraId="4FE7EE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72FB276" w14:textId="77777777" w:rsidR="002535FA" w:rsidRPr="00640820" w:rsidRDefault="002535F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29 октября 1941 г. в 19:22 в Кремль, на территорию двора Арсенала, была сброшена бомба фугасного действия (предположительно весом в 500 кг). Этот налет принес самые большие потери среди личного состава. Пострадали 146 человек, из них:</w:t>
      </w:r>
    </w:p>
    <w:p w14:paraId="0BDE3F26" w14:textId="77777777" w:rsidR="002535FA" w:rsidRPr="00640820" w:rsidRDefault="002535F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убиты - 41 человек;</w:t>
      </w:r>
    </w:p>
    <w:p w14:paraId="682945F5" w14:textId="77777777" w:rsidR="002535FA" w:rsidRPr="00640820" w:rsidRDefault="002535F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не найдены - 4 человека;</w:t>
      </w:r>
    </w:p>
    <w:p w14:paraId="126DA7D7" w14:textId="77777777" w:rsidR="002535FA" w:rsidRPr="00640820" w:rsidRDefault="002535F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тяжело ранены - 54 человека;</w:t>
      </w:r>
    </w:p>
    <w:p w14:paraId="13CCA2CC" w14:textId="77777777" w:rsidR="002535FA" w:rsidRPr="00640820" w:rsidRDefault="002535F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легко ранены - 47 человек.</w:t>
      </w:r>
    </w:p>
    <w:p w14:paraId="2C8E2EB9" w14:textId="77777777" w:rsidR="002535FA" w:rsidRPr="00640820" w:rsidRDefault="002535F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Кроме того, был разрушен малый гараж, разбиты три автомашины и один мотоцикл, разрушены помещения, расположенные в нижнем этаже Арсенала, две арсенальные лестницы, выходящие во двор; в помещениях возник пожар, который также дополнил разрушения (21004).</w:t>
      </w:r>
    </w:p>
    <w:p w14:paraId="65A3350A" w14:textId="77777777" w:rsidR="002535FA" w:rsidRPr="00640820" w:rsidRDefault="002535FA" w:rsidP="00640820">
      <w:pPr>
        <w:spacing w:after="0" w:line="240" w:lineRule="auto"/>
        <w:jc w:val="both"/>
        <w:rPr>
          <w:rFonts w:ascii="Times New Roman" w:hAnsi="Times New Roman"/>
          <w:color w:val="0070C0"/>
          <w:sz w:val="16"/>
          <w:szCs w:val="16"/>
        </w:rPr>
      </w:pPr>
    </w:p>
    <w:p w14:paraId="0FABC0E1"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4B1330FC"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A4B04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двадцатых числах октября 1941 в Казань на завод № 124 начали прибывать первые эшелоны с эвакуированным оборудованием, материалами и прочим имуществом завода №22. Стояла холодная и сырая погода. Шел снег с дождём, превращая заводской двор в непролазную грязь. Разгрузка эшелонов легла на плечи рабочих 124 завода, т.к. московские ещё не прибыли. Казанский завод не был готов к приему такого большого количества оборудования. Первоначально руководство 10-го Главка хотело эвакуировать завод №39. И лишь в последние дни перед прибытием эшелонов узнали, что сюда эвакуируется завод №22 им. С.П. Горбунова. Внезапность приезда и неподготовленность завода №124 к приему создало массу трудностей, которые пришлось преодолевать коллективам обоих заводов и общественности города Казани. Одновременно с первыми эшелонами оборудования и другого заводского имущества, начали прибывать эшелоны с людьми (5764,38).</w:t>
      </w:r>
    </w:p>
    <w:p w14:paraId="6AFFEF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7992B49"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4A1E7F16"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EFE5A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октября 1941г Завод №84 из Химок эвакуирован в Ташкент. На оставшихся площадях организованы мастерские для ремонта фронтовых самолетов, переведенные в конце 1941г на завод №89 в Тушино (11330).</w:t>
      </w:r>
    </w:p>
    <w:p w14:paraId="4EE906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CA26F17"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5E8CA004"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3E3B1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октября 1941 вышел призыв ЦК к железнодорожникам с тем, чтобы быстро перебросить резервы для Московского наступления (338,35).</w:t>
      </w:r>
    </w:p>
    <w:p w14:paraId="611A01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DC8D9CF"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5D58A593"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CD4EE44" w14:textId="77777777" w:rsidR="00F07411" w:rsidRPr="00640820" w:rsidRDefault="00F07411"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30 октября </w:t>
      </w:r>
      <w:r w:rsidRPr="00640820">
        <w:rPr>
          <w:rFonts w:ascii="Times New Roman" w:hAnsi="Times New Roman"/>
          <w:color w:val="000000" w:themeColor="text1"/>
          <w:sz w:val="16"/>
          <w:szCs w:val="16"/>
        </w:rPr>
        <w:t>в 1941 году утреннее сообщение Совинформбюро:</w:t>
      </w:r>
    </w:p>
    <w:p w14:paraId="7FC575D3" w14:textId="77777777" w:rsidR="00F07411" w:rsidRPr="00640820" w:rsidRDefault="00F0741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30 октября наши войска продолжали вести бои с противником на Волоколамском, Можайском и Малоярославецком направлениях.</w:t>
      </w:r>
    </w:p>
    <w:p w14:paraId="554618A9" w14:textId="77777777" w:rsidR="00F07411" w:rsidRPr="00640820" w:rsidRDefault="00F0741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Сдерживая наступление противника, одна наша часть, оперирующая на Волоколамском направлении, за четыре дня боёв уничтожила 27 немецких танков, 18 бронемашин, 120 автомашин с военными грузами и свыше 900 вражеских солдат.</w:t>
      </w:r>
    </w:p>
    <w:p w14:paraId="7D2CF2B8" w14:textId="77777777" w:rsidR="00F07411" w:rsidRPr="00640820" w:rsidRDefault="00F0741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Группа самолётов одного нашего авиасоединения, действующего на Южном фронте, успешно атаковала крупную мотоколонну противника. Бомбами и пулемётным огнём уничтожено 120 немецких автомашин и до двух батальонов вражеской пехоты.</w:t>
      </w:r>
    </w:p>
    <w:p w14:paraId="40686931" w14:textId="77777777" w:rsidR="00F07411" w:rsidRPr="00640820" w:rsidRDefault="00F0741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 щадя своей жизни, ведут борьбу с фашистскими захватчиками советские партизаны в районах Гомельской области. Недавно к коменданту города Речица явился неизвестный, назвавшийся Яриковым, и заявил, что он знает месторасположение крупного партизанского отряда. На следующий день подразделение немцев отправилось в карательную экспедицию. Неизвестный, оказавшийся участником партизанского отряда под командованием председателя горсовета товарища Г., долго водил фашистов по лесу и завёл их в болото. Дальше можно было двигаться только по узкой тропинке колонной по одному. Немецкий офицер приказал оставить на лесной поляне три бронемашины и станковые пулемёты, а солдатам итти дальше. В лесной чаще колонна немцев подверглась обстрелу из винтовок и автоматов. В фашистов полетели гранаты. Около ста врагов было убито. Остальные погибли в болоте. Партизан-проводник пал смертью храбрых. Другая группа партизан произвела нападение на группу фашистов, охраняющую бронемашины. В короткой схватке была уничтожена охрана, бронемашины сожжены, а пулемёты поступили на вооружение отряда. Другой отряд под командованием председателя колхоза товарища 3. напал на вражескую автоколонну с продовольствием. Головные машины были разбиты взрывами гранат. В завязавшемся бою партизаны убили 16 немцев и сожгли 9 автомобилей.</w:t>
      </w:r>
    </w:p>
    <w:p w14:paraId="00984975" w14:textId="77777777" w:rsidR="00F07411" w:rsidRPr="00640820" w:rsidRDefault="00F0741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боях в районе города Калинина наши части захватили в плен большую группу немецких солдат. Обширная переписка, найденная у пленных, говорит о всё возрастающем недовольстве народных масс Германии войной против Советского Союза. Ефрейтор Людвиг Цикмунд получил недавно письмо от матери из Лейпцига. Вот что она пишет: «Стряслось великое несчастье. Я потеряла старшего сына, а ты брата. Целый месяц от него не было писем, а три дня назад получено официальное уведомление, что наш Генрих убит под Санкт-Петербургом. Какое страшное горе. Эта ужасная война сломала, исковеркала всю нашу жизнь... Люди, у которых вместо сердца камень, лицемеры пытаются утешить нас, матерей, потерявших своих детей. Нам говорят: «Радио сообщает о новой победе, германская армия захватила ещё один город». Тошно слушать такие речи. На что нам чужие, неизвестные города? Теперь ты у меня остался один, и я больше всего боюсь тебя потерять. Пошлют тебя занимать ещё какой-нибудь город, и ты погибнешь, как Генрих, как многие другие». Жана солдата Гельмута Фишера из Ганновера пишет: «В городе появилось очень много калек. Везде встречаются безногие и безрукие. Это инвалиды войны. Представь себе, что им даже завидуют. Они потеряли руку или ногу, а другие отдали жизнь. В городе стало очень много вдов и сирот. Все мы против войны. Может быть, найдётся несколько десятков болванов, желающих воевать. Таким нечего сидеть в Ганновере. Пусть себе идут воевать, лишь бы нас оставили в покое». Отец ефрейтора Теодора Лоренца жалуется на трудность с продовольствием и заключает: «Теперь никто уже не радуется победам. Люди гибнут без конца. За что? Во имя чего? Туманные ответы на эти жгучие вопросы уже никого не удовлетворяют» (14815).</w:t>
      </w:r>
    </w:p>
    <w:p w14:paraId="6D46BA02" w14:textId="77777777" w:rsidR="00F07411" w:rsidRPr="00640820" w:rsidRDefault="00F07411" w:rsidP="00640820">
      <w:pPr>
        <w:spacing w:after="0" w:line="240" w:lineRule="auto"/>
        <w:jc w:val="both"/>
        <w:rPr>
          <w:rFonts w:ascii="Times New Roman" w:hAnsi="Times New Roman"/>
          <w:color w:val="000000" w:themeColor="text1"/>
          <w:sz w:val="16"/>
          <w:szCs w:val="16"/>
        </w:rPr>
      </w:pPr>
    </w:p>
    <w:p w14:paraId="4D5ADAE2" w14:textId="77777777" w:rsidR="00F07411" w:rsidRPr="00640820" w:rsidRDefault="00F07411"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30 октября </w:t>
      </w:r>
      <w:r w:rsidRPr="00640820">
        <w:rPr>
          <w:rFonts w:ascii="Times New Roman" w:hAnsi="Times New Roman"/>
          <w:color w:val="000000" w:themeColor="text1"/>
          <w:sz w:val="16"/>
          <w:szCs w:val="16"/>
        </w:rPr>
        <w:t>в 1941 году вечернее сообщение Совинформбюро:</w:t>
      </w:r>
    </w:p>
    <w:p w14:paraId="318BF4BB" w14:textId="77777777" w:rsidR="00F07411" w:rsidRPr="00640820" w:rsidRDefault="00F0741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30 октября наши войска вели ожесточённые бои с противником на Волоколамском, Можайском, Малоярославецком и Тульском направлениях. Все атаки немецко-фашистских войск на наши позиции были отбиты с большими для врага потерями.</w:t>
      </w:r>
    </w:p>
    <w:p w14:paraId="61388199" w14:textId="77777777" w:rsidR="00F07411" w:rsidRPr="00640820" w:rsidRDefault="00F0741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уточнённым данным, за 29 октября под Москвой сбито не 39 немецких самолетов, как сообщалось ранее, а 47 немецких самолётов.</w:t>
      </w:r>
    </w:p>
    <w:p w14:paraId="4FD0B85A" w14:textId="77777777" w:rsidR="00F07411" w:rsidRPr="00640820" w:rsidRDefault="00F0741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Наше авиасоединение, действующее на Западном фронте, за 29 октября уничтожило 55 танков противника, 340 автомашин с военным снаряжением, 21 цистерну с горючим, 20 орудий разного калибра, склад с боеприпасами, железнодорожный эшелон со снарядами, более 20 штабных фургонов, рассеяло и частично уничтожило до 2 полков вражеской пехоты.</w:t>
      </w:r>
    </w:p>
    <w:p w14:paraId="153D3282" w14:textId="77777777" w:rsidR="00F07411" w:rsidRPr="00640820" w:rsidRDefault="00F0741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Авиачасть тов. Топоркова, действующая на Ленинградском фронте, в течение месяца в воздушных боях сбила 164 немецких самолёта, уничтожила 140 танков, 330 автомашин, 150 мотоциклов, 5 зенитных артиллерийских батарей, много цистерн с горючим и несколько железнодорожных составов с вражеской пехотой.</w:t>
      </w:r>
    </w:p>
    <w:p w14:paraId="67C76896" w14:textId="77777777" w:rsidR="00F07411" w:rsidRPr="00640820" w:rsidRDefault="00F0741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Бесстрашно действуют в тылу врага бойцы-партизаны Ленинградской области. Партизанский отряд тов. С. прислал сообщение о боевых операциях отряда за первую половину октября. Приводим отдельные выдержки из этого сообщения.</w:t>
      </w:r>
    </w:p>
    <w:p w14:paraId="680427A5" w14:textId="77777777" w:rsidR="00F07411" w:rsidRPr="00640820" w:rsidRDefault="00F0741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октября. Группа бойцов отряда, находясь в засаде на дороге между деревнями Г. и 3., обстреляла легковую машину, в которой находились 3 германских офицера, и отряд мотоциклистов, охранявший их. В результате перестрелки было убито несколько немецких офицеров и солдат. Нами захвачены лёгкий пулемёт, много патронов, 3 автомата, пистолеты и винтовки.</w:t>
      </w:r>
    </w:p>
    <w:p w14:paraId="0271C707" w14:textId="77777777" w:rsidR="00F07411" w:rsidRPr="00640820" w:rsidRDefault="00F0741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октября. Сегодня ночью, наконец, удалось уничтожить мост через реку К. Два дня немцы не давали нам близко подойти к мосту, ведя непрерывный пулемётный огонь при первом же подозрительном шуме. Разделив отряд на три группы, подошли к мосту. Во время перестрелки группа тов. Г., отступая, увлекла большую часть солдат к лесу. В это время группа тов. И. бросилась с другой стороны к мосту и перебила оставшихся солдат. Группа тов. Д. во время боя минировала мост и взорвала его.</w:t>
      </w:r>
    </w:p>
    <w:p w14:paraId="61ED021A" w14:textId="77777777" w:rsidR="00F07411" w:rsidRPr="00640820" w:rsidRDefault="00F0741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7 октября. Сегодня утром уничтожили конную разведку противника в составе 7 солдат и одного унтер-офицера. Вечером наша разведка столкнулась с большим немецким отрядом велосипедистов. Во время перестрелки уничтожили 9 фашистских солдат.</w:t>
      </w:r>
    </w:p>
    <w:p w14:paraId="5C767FE1" w14:textId="77777777" w:rsidR="00F07411" w:rsidRPr="00640820" w:rsidRDefault="00F0741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октября. Ночью обстреляли колонну автомашин с немецкими солдатами. Фашисты, боясь наскочить на засаду, боя не приняли и на полном ходу умчались. На дороге остались два грузовика и 15 трупов солдат.</w:t>
      </w:r>
    </w:p>
    <w:p w14:paraId="4914C2D0" w14:textId="77777777" w:rsidR="00F07411" w:rsidRPr="00640820" w:rsidRDefault="00F0741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октября.Разобрали полотно железной дороги недалеко от разъезда Ч. С рельсов сошли паровоз и три вагона. Убито 7 немецких офицеров и 20 солдат».</w:t>
      </w:r>
    </w:p>
    <w:p w14:paraId="3C828ADE" w14:textId="77777777" w:rsidR="00F07411" w:rsidRPr="00640820" w:rsidRDefault="00F0741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Югославские партизаны совершили недавно большой налёт на итальянский гарнизон в районе города Плевле. В завязавшейся перестрелке убито и ранено до сорока солдат. Партизаны захватили одно орудие, боеприпасы и много винтовок.</w:t>
      </w:r>
    </w:p>
    <w:p w14:paraId="7716304D" w14:textId="77777777" w:rsidR="00F07411" w:rsidRPr="00640820" w:rsidRDefault="00F0741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Сербские патриоты продолжают удерживать в своих руках ряд занятых городов и сёл. Все попытки итальянских и немецких частей выбить сербские войска из сёл около Вальево потерпели неудачу. Сербы прочно удерживают свои рубежи и отбивают атаки неприятеля. За десять дней октября немецко-итальянские части, действующие против югославских партизан, потеряли убитыми и ранеными около 300 солдат и офицеров. Партизанам достались богатые трофеи.» (14815).</w:t>
      </w:r>
    </w:p>
    <w:p w14:paraId="2947E905" w14:textId="77777777" w:rsidR="00F07411" w:rsidRPr="00640820" w:rsidRDefault="00F07411" w:rsidP="00640820">
      <w:pPr>
        <w:spacing w:after="0" w:line="240" w:lineRule="auto"/>
        <w:jc w:val="both"/>
        <w:rPr>
          <w:rFonts w:ascii="Times New Roman" w:hAnsi="Times New Roman"/>
          <w:color w:val="000000" w:themeColor="text1"/>
          <w:sz w:val="16"/>
          <w:szCs w:val="16"/>
        </w:rPr>
      </w:pPr>
    </w:p>
    <w:p w14:paraId="46C31FC9" w14:textId="77777777" w:rsidR="00F07411" w:rsidRPr="00640820" w:rsidRDefault="00F07411"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30 октября </w:t>
      </w:r>
      <w:r w:rsidRPr="00640820">
        <w:rPr>
          <w:rFonts w:ascii="Times New Roman" w:hAnsi="Times New Roman"/>
          <w:color w:val="000000" w:themeColor="text1"/>
          <w:sz w:val="16"/>
          <w:szCs w:val="16"/>
        </w:rPr>
        <w:t>в 1941 году немецкий генерал Гудериан приказал остановить наступление на Москву, чтобы дать земле подсохнуть (14815).</w:t>
      </w:r>
    </w:p>
    <w:p w14:paraId="46A739FC" w14:textId="77777777" w:rsidR="00F07411" w:rsidRPr="00640820" w:rsidRDefault="00F07411" w:rsidP="00640820">
      <w:pPr>
        <w:spacing w:after="0" w:line="240" w:lineRule="auto"/>
        <w:jc w:val="both"/>
        <w:rPr>
          <w:rFonts w:ascii="Times New Roman" w:hAnsi="Times New Roman"/>
          <w:color w:val="000000" w:themeColor="text1"/>
          <w:sz w:val="16"/>
          <w:szCs w:val="16"/>
        </w:rPr>
      </w:pPr>
    </w:p>
    <w:p w14:paraId="18685BD4" w14:textId="77777777" w:rsidR="00F07411" w:rsidRPr="00640820" w:rsidRDefault="00F07411"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30 октября </w:t>
      </w:r>
      <w:r w:rsidRPr="00640820">
        <w:rPr>
          <w:rFonts w:ascii="Times New Roman" w:hAnsi="Times New Roman"/>
          <w:color w:val="000000" w:themeColor="text1"/>
          <w:sz w:val="16"/>
          <w:szCs w:val="16"/>
        </w:rPr>
        <w:t>в 1941 году началась героическая оборона города Севастополя и главной военно-морской базы Черноморского флота, продолжавшаяся 250 дней. До войны Севастополь был подготовлен только для обороны с моря и воздуха. Севастопольский гарнизон насчитывал около 23 тысяч человек и имел около 150 полевых и береговых орудий, 82 самолета. Оборона с моря осуществлялась береговой артиллерией и кораблями Черноморского флота. Система сухопутной обороны города стала создаваться с июля 1941 года. Она состояла из трех рубежей: передового, главного и тылового, оборудование которых к моменту выхода противника на ближние подступы к городу (30 октября) не было закончено. Всего было сооружено 82 артиллерийских дота с морскими орудиями и 220 пулеметных дотов и дзотов, 33 километра противотанкового рва, 56 километров проволочных заграждений, установлено 9600 мин. Войска 11-й немецкой армии, прорвавшиеся в октябре 1941 года в Крым, 30-31 октября и в первых числах ноября предприняли попытку с ходу овладеть городом. Эти попытки были отражены севастопольским гарнизоном при поддержке корабельной артиллерии и авиации. В первых же боях защитники города проявили стойкость и героизм, сопротивляясь ударам превосходящих сил врага. В боях в районе Дуванкоя бессмертный подвиг совершили морские пехотинцы во главе с политруком Н.Д.Фильченковым, ценой жизни остановившие танки противника. Большую помощь в обороне оказывало население города. После провала попытки сразу овладеть Севастополем немецкое командование предприняло еще три крупных наступления на город - в ноябре и декабре 1941 года, а также в мае-июне 1942 года. Особенно мощной была третья атака. Противник имел двукратное превосходство в живой силе, более чем трехкратное в артиллерии, десятикратное в танках и самолетах. С 27 мая Севастополь непрерывно подвергался ударам немецкой авиации и артиллерии, а 7 июня началось наступление. К середине июня противнику удалось прорваться к побережью Северной бухты. Защитники города оказывали ожесточенное сопротивление, но силы их были на исходе, потери росли, кончались боеприпасы, продовольствие, питьевая вода. 30 июня остатки войск стали отходить из Севастополя к Бухтам Стрелецкая, Камышевая, Казачья и на мыс Херсонес, где продолжали борьбу до 4 июля. Часть защитников города была эвакуирована, часть прорвалась в горы к партизанам. С 4 июля 1942 по 9 мая 1944 года Севастополь был оккупирован немецко-фашистскими войсками; освобожден в ходе Крымской операции 1944 года. Оборона Севастополя продолжалась 250 дней. Она имела важное военно-политическое и стратегическое значение, сковав крупные силы противника на южном крыле советско-германского фронта и не позволив ему развернуть наступление на Кавказ. В ходе обороны было достигнуто четкое взаимодействие между армией, флотом и авиацией в результате создания единого командования и правильной организации управления. В борьбе за город противник потерял около 300 тысяч человек убитыми и ранеными. Севастопольская оборона вошла в историю как пример массового героизма и самопожертвования защитников города. Более 30 человек были удостоены звания Героя Советского Союза. 22 декабря 1942 года учреждена медаль «За оборону Севастополя», которой награждено свыше 30 тысяч человек. В 1945 году Севастополь был назван городом-героем (14815).</w:t>
      </w:r>
    </w:p>
    <w:p w14:paraId="7697A157" w14:textId="77777777" w:rsidR="00F07411" w:rsidRPr="00640820" w:rsidRDefault="00F07411" w:rsidP="00640820">
      <w:pPr>
        <w:spacing w:after="0" w:line="240" w:lineRule="auto"/>
        <w:jc w:val="both"/>
        <w:rPr>
          <w:rFonts w:ascii="Times New Roman" w:hAnsi="Times New Roman"/>
          <w:color w:val="000000" w:themeColor="text1"/>
          <w:sz w:val="16"/>
          <w:szCs w:val="16"/>
        </w:rPr>
      </w:pPr>
    </w:p>
    <w:p w14:paraId="321571D4" w14:textId="77777777" w:rsidR="00F07411" w:rsidRPr="00640820" w:rsidRDefault="00F07411"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30 октября </w:t>
      </w:r>
      <w:r w:rsidRPr="00640820">
        <w:rPr>
          <w:rFonts w:ascii="Times New Roman" w:hAnsi="Times New Roman"/>
          <w:color w:val="000000" w:themeColor="text1"/>
          <w:sz w:val="16"/>
          <w:szCs w:val="16"/>
        </w:rPr>
        <w:t>в 1941 году войска Приморской армии (генерал И.Е.Петров) и силы Черноморского флота (адмирал Ф.С.Октябрьский, он же командующий Севастопольским оборонительным районом) отразили попытку противника овладеть Севастополем с ходу. (14815)</w:t>
      </w:r>
    </w:p>
    <w:p w14:paraId="7BBCA927" w14:textId="77777777" w:rsidR="00F07411" w:rsidRPr="00640820" w:rsidRDefault="00F07411" w:rsidP="00640820">
      <w:pPr>
        <w:spacing w:after="0" w:line="240" w:lineRule="auto"/>
        <w:jc w:val="both"/>
        <w:rPr>
          <w:rFonts w:ascii="Times New Roman" w:hAnsi="Times New Roman"/>
          <w:color w:val="000000" w:themeColor="text1"/>
          <w:sz w:val="16"/>
          <w:szCs w:val="16"/>
        </w:rPr>
      </w:pPr>
    </w:p>
    <w:p w14:paraId="0FB246E4" w14:textId="77777777" w:rsidR="00F07411" w:rsidRPr="00640820" w:rsidRDefault="00F07411"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30 октября </w:t>
      </w:r>
      <w:r w:rsidRPr="00640820">
        <w:rPr>
          <w:rFonts w:ascii="Times New Roman" w:hAnsi="Times New Roman"/>
          <w:color w:val="000000" w:themeColor="text1"/>
          <w:sz w:val="16"/>
          <w:szCs w:val="16"/>
        </w:rPr>
        <w:t>в 1941 году на территории Крыма введено осадное положение (14815).</w:t>
      </w:r>
    </w:p>
    <w:p w14:paraId="455646E9" w14:textId="77777777" w:rsidR="00F07411" w:rsidRPr="00640820" w:rsidRDefault="00F07411" w:rsidP="00640820">
      <w:pPr>
        <w:spacing w:after="0" w:line="240" w:lineRule="auto"/>
        <w:jc w:val="both"/>
        <w:rPr>
          <w:rFonts w:ascii="Times New Roman" w:hAnsi="Times New Roman"/>
          <w:color w:val="000000" w:themeColor="text1"/>
          <w:sz w:val="16"/>
          <w:szCs w:val="16"/>
        </w:rPr>
      </w:pPr>
    </w:p>
    <w:p w14:paraId="19EB2752" w14:textId="77777777" w:rsidR="00F07411" w:rsidRPr="00640820" w:rsidRDefault="00F07411"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30 октября </w:t>
      </w:r>
      <w:r w:rsidRPr="00640820">
        <w:rPr>
          <w:rFonts w:ascii="Times New Roman" w:hAnsi="Times New Roman"/>
          <w:color w:val="000000" w:themeColor="text1"/>
          <w:sz w:val="16"/>
          <w:szCs w:val="16"/>
        </w:rPr>
        <w:t>в 1941 году завершилась Можайско-Малоярославецкая операция: войска Западного фронта остановили противника (вклинился в оборону советских войск на глубину от 20 до 75 км) на рубеже восточнее Волоколамска и далее по рекам Нара и Ока до Алексина (14815).</w:t>
      </w:r>
    </w:p>
    <w:p w14:paraId="6D5043FC" w14:textId="77777777" w:rsidR="00F07411" w:rsidRPr="00640820" w:rsidRDefault="00F07411" w:rsidP="00640820">
      <w:pPr>
        <w:spacing w:after="0" w:line="240" w:lineRule="auto"/>
        <w:jc w:val="both"/>
        <w:rPr>
          <w:rFonts w:ascii="Times New Roman" w:hAnsi="Times New Roman"/>
          <w:color w:val="000000" w:themeColor="text1"/>
          <w:sz w:val="16"/>
          <w:szCs w:val="16"/>
        </w:rPr>
      </w:pPr>
    </w:p>
    <w:p w14:paraId="3B4D1A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октября 1941 звено и ЧМФ под командой Е.С.Алексеева, прикрывая ш в районе Перекопа, вступило в бой с 25 самолетами и сбила 4 без потерь (438,824).</w:t>
      </w:r>
    </w:p>
    <w:p w14:paraId="17FF69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C8B0F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ночь с 30 на 31 октября 1941 в Ставке ВГ приняли решение о параде на КП на 7 ноября (1836,46).</w:t>
      </w:r>
    </w:p>
    <w:p w14:paraId="3DEFD0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427DF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октября 1941 части 2 ТА немцев достигли Тулы, но встретили сопротивление 50А (340,61).</w:t>
      </w:r>
    </w:p>
    <w:p w14:paraId="78AFF0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09864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октября 1941 г Бок начал наступление на Москву с Северо-запада (2260).</w:t>
      </w:r>
    </w:p>
    <w:p w14:paraId="415598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BC9A58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октября 1941 немецкий генерал Гудериан приказал остановить наступление на Москву, чтобы дать земле засохнуть (4962).</w:t>
      </w:r>
    </w:p>
    <w:p w14:paraId="51DFD2C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A618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октября 1941 штаб немецкой группы армий «Центр» издал приказ № 2250/41 на продолжение операций, в котором, в частности, говорилось:  «Северный фланг 4-й армии должен форсировать наступление на Каин. В дальнейшем намечается продвижение 4-й и 3-й танковых групп, усиленных пехотой, в направлении на Ярославль и Рыбинск, как только это станет возможно в связи с условиями погоды и положением со снабжением». Таким образом, немецкое командование все еще рассчитывало захватить Северное Поволжье. Достигнуть же Горького до начала зимы уже не представлялось возможным. В связи с этим было решено поручить авиации 2-го воздушного флота подвергнуть его промышленные предприятия бомбовым ударам. Итак, прошло чуть больше четырех месяцев с начала войны, как грозная опасность встала на пороге всего поволжского региона. Однако, к концу октября активность Люфтваффе значительно снизилась. В эти дни почти круглые сутки лил холодный дождь, по утрам стояли туманы. Раскисшие от осенней непогоды грунтовые аэродромы не позволяли самолетам ни взлетать, ни приземляться. Кроме того, растянутые коммуникации не позволяли удовлетворять все возраставшие потребности в снабжении запчастями, двигателями для замены. В итоге во многих авиагруппах оставались по три-четыре боеготовых машины (11774).</w:t>
      </w:r>
    </w:p>
    <w:p w14:paraId="0918EB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C1E3EB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октября 1941 началась оборона Севастополя от фашистов (4962).</w:t>
      </w:r>
    </w:p>
    <w:p w14:paraId="4F59488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4121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30 октября 1941 по 3 июля 1942 была оборона Севастополя (271,204).</w:t>
      </w:r>
    </w:p>
    <w:p w14:paraId="709D51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E5EB9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октября 1941 года началась оборона Севастополя. В боях за порт участвовали 3-й, 8-й и 9-й ИАП, 2-й МТАП, 40-й БАП, а также 116-й и 119-й МРАП. Часть своих сил под Севастополь направили 7-й, 32-й, 62-й ИАП, 78-я и 87-я МАЭ, 95-я ШАЭ, 16-я, 18-я, 45-я, 82-я, 83-я МРАЭ, а также полки 5й Воздушной Армии (2691).</w:t>
      </w:r>
    </w:p>
    <w:p w14:paraId="72FAF5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0AC67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30-го октября 1941 года по 4 июля 1942 года - оборона Севастополя (2691).</w:t>
      </w:r>
    </w:p>
    <w:p w14:paraId="110CF0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86A90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30 октября 1941 по 7 июля 1942 была оборона Севастополя — главной ВМБ ЧФ. </w:t>
      </w:r>
    </w:p>
    <w:p w14:paraId="6B4143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Войска 11-й немецкой армии, прорвавшиеся в конце сентября 1941 в Крым, 30 октября предприняли попытку с ходу овладеть Севастополем, но были остановлены частями Севастопольского гарнизона, который к тому времени состоял из 8-й бригады морской пехоты, 2-го и 3-го Черноморских полков морской пехоты, пяти батальонов моряков Учебного отряда, двух батальонов, сформированных из курсантов Военно-морского училища береговой обороны, батальона морской пехоты ДуВФ (всего до 23 тыс. человек). Гарнизон имел до 150 береговых и полевых орудий. Огневую поддержку оказывал отряд кораблей, состоявший из 2 крейсеров, 4 эсминцев, нескольких тральщиков и сторожевых кораблей (впоследствии привлекались и другие корабли ЧФ — канлодки, крейсера, лидеры, эсминцы). Велось строительство оборонительных рубежей — передового, главного и тылового. Оборону с моря осуществляли береговая артиллерия ЧФ под командованием генерал-майора П. А. Моргунова, ОВР главной базы под командованием контр-адмирала В. Г. Фадеева и корабли ЧФ. 29 октября приказом заместителя командующего ЧФ по обороне главной базы контр-адмирала Г. В. Жукова город был объявлен на осадном положении. </w:t>
      </w:r>
    </w:p>
    <w:p w14:paraId="41C03B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4 ноября приказом командующего войсками Крыма вице-адмирала Г. И. Левченко сухопутные войска и силы ЧФ, защищавшие Севастополь, были объединены в Севастопольский оборонительный район (СОР), в состав которого 9 ноября вошла Приморская армия (около 19 тыс. человек). Командующим СОР был назначен командующий ЧФ вице-адмирал Ф. С. Октябрьский, его заместителем по сухопутной обороне — командующий Приморской армией генерал-майор И. Е. Петров, по </w:t>
      </w:r>
      <w:r w:rsidRPr="00640820">
        <w:rPr>
          <w:rFonts w:ascii="Times New Roman" w:hAnsi="Times New Roman"/>
          <w:color w:val="000000" w:themeColor="text1"/>
          <w:sz w:val="16"/>
          <w:szCs w:val="16"/>
        </w:rPr>
        <w:lastRenderedPageBreak/>
        <w:t xml:space="preserve">береговой обороне — генерал-майор П. А. Моргунов, по ВВС — генерал-майор авиации Н. А. Остряков, членом Военного совета был дивизионный комиссар Н. М. Кулаков. С 9 ноября в составе СОР находилось около 55 тыс. человек, до 100 самолетов, 170 орудий, 60 зенитных орудий и 30 пулеметов. </w:t>
      </w:r>
    </w:p>
    <w:p w14:paraId="06AA91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боях за Севастополь 7 ноября бессмертный подвиг совершили морские пехотинцы И. М. Красносельский, Д. С. Одинцов, Ю. К. Паршин, В. Г. Цибулько во главе с политруком Н. Д. Фильченковым, находившиеся в боевом охранении в районе с. Дуванкой. Ценой своей жизни они остановили вражескую танковую колонну. Указом Президиума Верховного Совета СССР от 23 октября 1942 всем пятерым посмертно было присвоено высокое звание Героя Советского Союза. </w:t>
      </w:r>
    </w:p>
    <w:p w14:paraId="58A458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Важную роль в обороне Севастополя играли корабли ЧФ, осуществлявшие артиллерийскую поддержку, обеспечивавшие морские коммуникации и оборону с моря. Активно действовал городской комитет обороны во главе с секретарем горкома ВКП(б) Б. А. Борисовым. Свыше 15 тыс. граждан добровольно вступили в народное ополчение. Все коммунисты и комсомольцы были мобилизованы. В городе было налажено военное производство, организована помощь раненым. </w:t>
      </w:r>
    </w:p>
    <w:p w14:paraId="33F30D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Первое наступление противника 11–21 ноября в составе 4 пехотных дивизий, усиленных моторизованными частями, было сорвано севастопольцами. Понеся большие потерн, немецко-фашистские войска перешли к планомерной обороне. </w:t>
      </w:r>
    </w:p>
    <w:p w14:paraId="0E46A1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19 нояюря СОР был подчинен Ставке ВГК. Временное затишье было использовано командованием СОР для укрепления старых и строительства новых оборонительных рубежей. Было установлено 8 новых стационарных батарей. С 7 по 15 декабря в Севастополь были перевезены 388-я стрелковая дивизия (свыше 10 тыс. человек) и 9 маршевых батальонов (до 7,5 тыс. человек). </w:t>
      </w:r>
    </w:p>
    <w:p w14:paraId="46B25A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17 декабря противник предпринял второе наступление, в котором участвовали 6 пехотных дивизий, 2 румынские горнострелковые бригады, мотополк (1275 орудий и минометов, более 150 танков, до 300 самолетов). В СОР входили 5 стрелковых и 1 кавалерийская дивизии, 2 бригады, 4 полка морской пехоты (410 орудий, 120 минометов, 26 танков, авиагруппа из 90 самолетов). Имея двойное численное превосходство в живой силе и технике, противник стремился прорваться к Северной бухте. </w:t>
      </w:r>
    </w:p>
    <w:p w14:paraId="433F0F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Ставка ВГК приняла срочные меры. 21 декабря на КР «Красный Кавказ» и «Красный Крым», ЛД «Харьков» и ЭМ «Бодрый» и «Незаможник» в Севастополь из Новороссийска была доставлена 79-я морская стрелковая бригада. 23–28 декабря на кораблях и судах из Поти и Туапсе прибыли 345-я и 386-я стрелковая дивизии, 81-й отдельный танковый батальон. Войска СОР, поддержанные огнем кораблей и авиацией, нанесли контрудар и отбросили противника, ликвидировав угрозу прорыва. Большую роль в срыве наступления врага сыграла Керченско-Феодосийская десантная операция (25.12–2.1 1942), вынудившая его оттянуть значительные силы от осажденного Севастополя. </w:t>
      </w:r>
    </w:p>
    <w:p w14:paraId="6534C9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Флот играл огромную роль в обороне города. В ноябре — декабре корабли произвели 276 стрельб, а морская авиация совершила более 2200 самолето-вылетов. В блокированный Севастополь морем непрерывно доставлялись пополнение, вооружение, боеприпасы и продовольствие. Транспорты совершили 339 рейсов в город и из города. За это время корабли и транспорты доставили около 33.5 тыс. войск, около 5 тыс. т боеприпасов, более 4 тыс. т жидкого топлива, 178 автомашин, 26 танков, 346 орудий и минометов и другие грузы. Из Севастополя было вывезено более 17 тыс. гражданского населения, свыше 15 тыс. раненых, около 12,5 тыс. т промышленных грузов. Особенно отличились ЛК «Парижская коммуна», КР «Красный Кавказ» и «Красный Крым», ЛД «Ташкент», ЭМ «Сообразительный», ПЛ «М-32» и другие корабли.</w:t>
      </w:r>
    </w:p>
    <w:p w14:paraId="352C6C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конце мая 1942, после того как части и соединения Красной Армии оставили Керченский п-ов, положение защитников города резко ухудшилось. К началу июня немецко-фашистское командование сосредоточило под Севастополем почти все части и соединения, находившиеся в Крыму (около 204 тыс. войск, 450 танков, 2000 орудий и минометов, 600 самолетов). Противник имел двойное превосходство в людях, тройное — в артиллерии, десятикратное — в танках и самолетах. Кроме того, авиация, мощная осадная артиллерия, катера и подводные лодки противника блокировали Севастополь с моря. </w:t>
      </w:r>
    </w:p>
    <w:p w14:paraId="045B46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2–7 июня 1942 противник провел мощную артиллерийскую и авиационную подготовку и перешел в наступление на главном и вспомогательном направлениях. Севастопольцы героически оборонялись, отражая ежедневно по 15–20 вражеских атак. Авиация противника совершала по 1000–1500 самолето-вылетов в сутки. Вражеская артиллерия ежедневно обрушивала на Севастополь около 126 тыс. снарядов различных калибров. Только 18 июня ценой больших потерь противнику удалось выйти к Северной бухте, Инкерману, Сапун-горе. </w:t>
      </w:r>
    </w:p>
    <w:p w14:paraId="3CB0ED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Ночью 27 июня 1942 в Севастополь прибыл ЛД «Ташкент» (командир капитан 3 ранга В. Н. Ерошенко), который доставил 1264 бойца морской пехоты, боеприпасы и топливо. Это был последний надводный корабль, прорвавшийся в город. На следующий день «Ташкент», приняв на борт 2300 человек и полотно панорамы «Оборона Севастополя в 1854–1855 гг.», снова вышел в море. По пути в Новороссийск вражеские самолеты сбросили на корабль более 300 бомб, но, несмотря на большие повреждения, он прибыл к месту назначения. За мужество и героизм личный состав корабля был награжден орденами и медалями. </w:t>
      </w:r>
    </w:p>
    <w:p w14:paraId="6A9AA3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27 июня перевозки для Севастополя осуществляли только подводные лодки и самолеты. </w:t>
      </w:r>
    </w:p>
    <w:p w14:paraId="498E5B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ночь на 29 июня противник переправился на южный берег Северной бухты и на рассвете предпринял новое наступление. 30 июня ему удалось прорваться к городу. В тот же день было объявлено решение Ставки ВГК об эвакуации защитников Севастополя. Несмотря на тяжелое положение, севастопольцы продолжали сражаться. Оборонительные бои в районе м. Херсонес длились до 10 июля, пока не иссякли боеприпасы, продовольствие и питьевая вода. Часть севастопольцев была эвакуирована, часть пробилась в горы к партизанам (11712).</w:t>
      </w:r>
    </w:p>
    <w:p w14:paraId="756509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023183B"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1D656514"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5E37B5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октября 1941 вышло Постановление ГКО № 856 О торговле в г. Москве. (7014, 169).</w:t>
      </w:r>
    </w:p>
    <w:p w14:paraId="12FFB8F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676E9C"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560B4E2E"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AC330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октября 1941 правительство США информировало нас о займе в 1 млрд. дол. (512,141).</w:t>
      </w:r>
    </w:p>
    <w:p w14:paraId="7D1A07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A970058" w14:textId="77777777" w:rsidR="00F07411" w:rsidRPr="00640820" w:rsidRDefault="00F07411"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30 октября </w:t>
      </w:r>
      <w:r w:rsidRPr="00640820">
        <w:rPr>
          <w:rFonts w:ascii="Times New Roman" w:hAnsi="Times New Roman"/>
          <w:color w:val="000000" w:themeColor="text1"/>
          <w:sz w:val="16"/>
          <w:szCs w:val="16"/>
        </w:rPr>
        <w:t>в 1941 году Ф.Д.Рузвельт сообщил И.В.Сталину о решении правительства США о предоставлении СССР беспроцентного заема на 1 млрд долларов в порядке применения закона о лендлизе (предоставление взаймы или в аренду оружия и военных материалов) (14815).</w:t>
      </w:r>
    </w:p>
    <w:p w14:paraId="3DF5150C" w14:textId="77777777" w:rsidR="00F07411" w:rsidRPr="00640820" w:rsidRDefault="00F07411" w:rsidP="00640820">
      <w:pPr>
        <w:spacing w:after="0" w:line="240" w:lineRule="auto"/>
        <w:jc w:val="both"/>
        <w:rPr>
          <w:rFonts w:ascii="Times New Roman" w:hAnsi="Times New Roman"/>
          <w:color w:val="000000" w:themeColor="text1"/>
          <w:sz w:val="16"/>
          <w:szCs w:val="16"/>
        </w:rPr>
      </w:pPr>
    </w:p>
    <w:p w14:paraId="792D33E2" w14:textId="61AC75CC" w:rsidR="00BE26F3" w:rsidRPr="00640820" w:rsidRDefault="00BE26F3" w:rsidP="00640820">
      <w:pPr>
        <w:autoSpaceDE w:val="0"/>
        <w:autoSpaceDN w:val="0"/>
        <w:adjustRightInd w:val="0"/>
        <w:spacing w:after="0" w:line="240" w:lineRule="auto"/>
        <w:jc w:val="both"/>
        <w:rPr>
          <w:rFonts w:ascii="Times New Roman" w:hAnsi="Times New Roman"/>
          <w:i/>
          <w:iCs/>
          <w:color w:val="000000" w:themeColor="text1"/>
          <w:sz w:val="16"/>
          <w:szCs w:val="16"/>
        </w:rPr>
      </w:pPr>
      <w:r w:rsidRPr="00640820">
        <w:rPr>
          <w:rFonts w:ascii="Times New Roman" w:hAnsi="Times New Roman"/>
          <w:i/>
          <w:iCs/>
          <w:color w:val="000000" w:themeColor="text1"/>
          <w:sz w:val="16"/>
          <w:szCs w:val="16"/>
        </w:rPr>
        <w:t>За рубежом:</w:t>
      </w:r>
    </w:p>
    <w:p w14:paraId="7FC9F7FE" w14:textId="77777777" w:rsidR="00BE26F3" w:rsidRPr="00640820" w:rsidRDefault="00BE26F3" w:rsidP="00640820">
      <w:pPr>
        <w:autoSpaceDE w:val="0"/>
        <w:autoSpaceDN w:val="0"/>
        <w:adjustRightInd w:val="0"/>
        <w:spacing w:after="0" w:line="240" w:lineRule="auto"/>
        <w:jc w:val="both"/>
        <w:rPr>
          <w:rFonts w:ascii="Times New Roman" w:hAnsi="Times New Roman"/>
          <w:i/>
          <w:iCs/>
          <w:color w:val="000000" w:themeColor="text1"/>
          <w:sz w:val="16"/>
          <w:szCs w:val="16"/>
        </w:rPr>
      </w:pPr>
    </w:p>
    <w:p w14:paraId="302FFDBC" w14:textId="77777777" w:rsidR="00BE26F3" w:rsidRPr="00640820" w:rsidRDefault="00BE26F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30 октября 1941 года — первый полёт истребителя MÁVAG Héja. /Венгрия/</w:t>
      </w:r>
    </w:p>
    <w:p w14:paraId="3C25DAFB" w14:textId="77777777" w:rsidR="00BE26F3" w:rsidRPr="00640820" w:rsidRDefault="00BE26F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Одним из первых покупателей итальянских истребителей Reggiane Re.2000 стала Венгрия. Но производитель задерживал поставки и венгры решили собирать самолёты из комплектующих сами, на заводах производителя поездов и вагонов MÁVAG. Постепенно венгерские инженеры модернизировали Re.2000 и присвоили новому истребителю обозначение Héja («Ястреб»).</w:t>
      </w:r>
    </w:p>
    <w:p w14:paraId="134EA62E" w14:textId="77777777" w:rsidR="00BE26F3" w:rsidRPr="00640820" w:rsidRDefault="00BE26F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Внешне самолёт остался без особых изменений — всё тот же одноместный низкоплан с убирающимся шасси. Установили двигатель Manfred Weiss WM K.14 венгерского производства. Это удлиннило фюзеляж и снизило скорость до 485 км/ч. Также заменили вооружение на 2 × 12,7-мм пулемёта Gebauer, установили бронеспику в кабине и заменили топливные баки.</w:t>
      </w:r>
    </w:p>
    <w:p w14:paraId="4B49E1C4" w14:textId="77777777" w:rsidR="00BE26F3" w:rsidRPr="00640820" w:rsidRDefault="00BE26F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Как истребитель MÁVAG Héja был слабоват. Часть из них повоевала на Восточном фронте, но в основном они использовались в учебных частях. В 1944-45 годах Héja применялись в ПВО Венгрии. Всего выпустили 204 самолёта (22300).</w:t>
      </w:r>
    </w:p>
    <w:p w14:paraId="6C66F8BD" w14:textId="77777777" w:rsidR="00BE26F3" w:rsidRPr="00640820" w:rsidRDefault="00BE26F3" w:rsidP="00640820">
      <w:pPr>
        <w:spacing w:after="0" w:line="240" w:lineRule="auto"/>
        <w:jc w:val="both"/>
        <w:rPr>
          <w:rFonts w:ascii="Times New Roman" w:hAnsi="Times New Roman"/>
          <w:color w:val="0070C0"/>
          <w:sz w:val="16"/>
          <w:szCs w:val="16"/>
        </w:rPr>
      </w:pPr>
    </w:p>
    <w:p w14:paraId="7E354878" w14:textId="562C6275"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5D2A1F00"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3F423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31 октября по 27 декабря 1941 проходил второй этап гос. испытаний Як-7М М-105ПА на Урале в Свердловске, куда был эвакуирован НИИ ВВС, а в Чкаловской, они проходили с 5 октября по 16 октября 1941. 16 октября 1941 А.Г.Прошаковым был выполнен перелет Москва - Свердловск и при посадке в Казани была авария, что привело к задержке до 31 октября. Всего было 39 полетов продолжительностью 20:35. В бригаде были вл В.И.Хомяков, ви А.Т.Степанец, т В.Ф.Сбитнев. Результаты признаны удовлетворительными, но в серию машина так и не пошла (65,77). Машина N 0512 (796,4).</w:t>
      </w:r>
    </w:p>
    <w:p w14:paraId="37F4AA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Параллельно с куйбышевской с конца октября 1941 начала функционировать и московская оперативная группа, которая прежде всего выполняла роль центрального отраслевого диспетчерского пункта, куда стекались сводки предприятий о выполнении производственных графиков. В ее состав вошли А.И.Шахурин, его заместители П.В.Дементьев, П.А.Воронин, В.П.Кузнецов, М.В.Хруничев, а также ответственные работники основных производственных главков: М.С.Беренсон, Г.Д.Брусникин, Н.Н. Власов, А.Н.Олейник, М.Н.Степин, Б.Н.Тарасевич, диспетчеры М.С.Беленький, Ш.М.Бухвальд, В.Д.Полозенко и др. (303).</w:t>
      </w:r>
    </w:p>
    <w:p w14:paraId="404DAB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EB914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 октября 1941 вышел приказ НКАП N 1090с по сбору и разделке трофейных самолетов в дополнение и развитие приказов НКАП от 23 августа 1941 N 902 и от 5 сентября 1941 N 948с</w:t>
      </w:r>
    </w:p>
    <w:p w14:paraId="1D6106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В связи с изменением характера работы Трест ТПШ переименовать в Авиатрест</w:t>
      </w:r>
    </w:p>
    <w:p w14:paraId="2E3880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Нач. Авиатреста утвердить Тарского В.В. (1517,7).</w:t>
      </w:r>
    </w:p>
    <w:p w14:paraId="489D76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BC80B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31 октября 1941 вышло постановление СНК № 2160-982с:</w:t>
      </w:r>
    </w:p>
    <w:p w14:paraId="246D06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...разместить з-д № 84 на базе следующих помещений:</w:t>
      </w:r>
    </w:p>
    <w:p w14:paraId="05AD00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здания полиграфкомбината в г. Ташкенте,</w:t>
      </w:r>
    </w:p>
    <w:p w14:paraId="590AAB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з-да № 243 ГУ ГВФ,</w:t>
      </w:r>
    </w:p>
    <w:p w14:paraId="095FF2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3-х ангаров ВВС САВО</w:t>
      </w:r>
    </w:p>
    <w:p w14:paraId="40DC95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...з-д № 154 разместить в г. Андижане на базе хлопкозавода № 2...</w:t>
      </w:r>
    </w:p>
    <w:p w14:paraId="696607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Вознесенский, Чаадаев (1297, 223).</w:t>
      </w:r>
    </w:p>
    <w:p w14:paraId="0A461F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F2174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 октября 1941 года по постановлению СНК № 2160-98с от завод эвакуировался из г. Химки в г. Ташкент. Эвакуация началась 14 октября 1941 года, последний эшелон со ст. Химки 12 ноября 1941 года (9461).</w:t>
      </w:r>
    </w:p>
    <w:p w14:paraId="018924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53D82D5"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23D0C680"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B5BE66A" w14:textId="77777777" w:rsidR="00996D3D" w:rsidRPr="00640820" w:rsidRDefault="00996D3D" w:rsidP="00640820">
      <w:pPr>
        <w:pStyle w:val="35"/>
        <w:shd w:val="clear" w:color="auto" w:fill="auto"/>
        <w:spacing w:after="0" w:line="240" w:lineRule="auto"/>
        <w:jc w:val="both"/>
        <w:rPr>
          <w:rFonts w:ascii="Times New Roman" w:cs="Times New Roman"/>
          <w:color w:val="000000" w:themeColor="text1"/>
          <w:spacing w:val="0"/>
          <w:sz w:val="16"/>
          <w:szCs w:val="16"/>
        </w:rPr>
      </w:pPr>
      <w:r w:rsidRPr="00640820">
        <w:rPr>
          <w:rFonts w:ascii="Times New Roman" w:cs="Times New Roman"/>
          <w:color w:val="000000" w:themeColor="text1"/>
          <w:spacing w:val="0"/>
          <w:sz w:val="16"/>
          <w:szCs w:val="16"/>
        </w:rPr>
        <w:t>31 октября 1941 Начальник Главного управления форми</w:t>
      </w:r>
      <w:r w:rsidRPr="00640820">
        <w:rPr>
          <w:rFonts w:ascii="Times New Roman" w:cs="Times New Roman"/>
          <w:color w:val="000000" w:themeColor="text1"/>
          <w:spacing w:val="0"/>
          <w:sz w:val="16"/>
          <w:szCs w:val="16"/>
        </w:rPr>
        <w:softHyphen/>
        <w:t>рования и укомплектования Красной Армии Е.А. Щаденко в докладе Сталину указывал, что для новых формирований требуются 138 000 ППШ, для «новой Армии», которую планировалось сформировать к весне 1942 - еще 69 000 (15779).</w:t>
      </w:r>
    </w:p>
    <w:p w14:paraId="2FA336C1" w14:textId="77777777" w:rsidR="00996D3D" w:rsidRPr="00640820" w:rsidRDefault="00996D3D" w:rsidP="00640820">
      <w:pPr>
        <w:pStyle w:val="35"/>
        <w:shd w:val="clear" w:color="auto" w:fill="auto"/>
        <w:spacing w:after="0" w:line="240" w:lineRule="auto"/>
        <w:jc w:val="both"/>
        <w:rPr>
          <w:rFonts w:ascii="Times New Roman" w:cs="Times New Roman"/>
          <w:color w:val="000000" w:themeColor="text1"/>
          <w:spacing w:val="0"/>
          <w:sz w:val="16"/>
          <w:szCs w:val="16"/>
        </w:rPr>
      </w:pPr>
    </w:p>
    <w:p w14:paraId="23785BD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 октября 1941 г. УЗТМ был подключен к выпуску Т-34, но до марта 1942 г. завод выдавал только раскрой броневых листов Т-34, который отправлялся заводам-изго</w:t>
      </w:r>
      <w:r w:rsidRPr="00640820">
        <w:rPr>
          <w:rFonts w:ascii="Times New Roman" w:hAnsi="Times New Roman"/>
          <w:color w:val="000000" w:themeColor="text1"/>
          <w:sz w:val="16"/>
          <w:szCs w:val="16"/>
        </w:rPr>
        <w:softHyphen/>
        <w:t>товителям в Нижний Тагил, Сталинград и Горький. 21 мар</w:t>
      </w:r>
      <w:r w:rsidRPr="00640820">
        <w:rPr>
          <w:rFonts w:ascii="Times New Roman" w:hAnsi="Times New Roman"/>
          <w:color w:val="000000" w:themeColor="text1"/>
          <w:sz w:val="16"/>
          <w:szCs w:val="16"/>
        </w:rPr>
        <w:softHyphen/>
        <w:t>та 1942 г. завод получил от Наркомата полные чертежи кор</w:t>
      </w:r>
      <w:r w:rsidRPr="00640820">
        <w:rPr>
          <w:rFonts w:ascii="Times New Roman" w:hAnsi="Times New Roman"/>
          <w:color w:val="000000" w:themeColor="text1"/>
          <w:sz w:val="16"/>
          <w:szCs w:val="16"/>
        </w:rPr>
        <w:softHyphen/>
        <w:t>пусов и башен среднего танка и в апреле выдал первые комплектные бронекорпуса Т-34, которые поступили на УТЗ. В марте перестроенные литейные цеха завода начали осва</w:t>
      </w:r>
      <w:r w:rsidRPr="00640820">
        <w:rPr>
          <w:rFonts w:ascii="Times New Roman" w:hAnsi="Times New Roman"/>
          <w:color w:val="000000" w:themeColor="text1"/>
          <w:sz w:val="16"/>
          <w:szCs w:val="16"/>
        </w:rPr>
        <w:softHyphen/>
        <w:t>ивать литье башен танков Т-34 и КВ. Распоряжение ГКО № 2120 поставило завод в сложные условия. Он должен был, не снижая программы отгрузки корпусов и башен Т-34, выдавать до конца 1942 г. не менее 50 Т-34 ежемесячно. Был увеличен объем литья башен и для ЧКЗ, который также начал работы по освоению выпуска Т-34. Таким образом, программа выпуска башен на УЗТМ увеличилась более чем вдвое. Литейные цеха «Уралмаша» на</w:t>
      </w:r>
      <w:r w:rsidRPr="00640820">
        <w:rPr>
          <w:rFonts w:ascii="Times New Roman" w:hAnsi="Times New Roman"/>
          <w:color w:val="000000" w:themeColor="text1"/>
          <w:sz w:val="16"/>
          <w:szCs w:val="16"/>
        </w:rPr>
        <w:softHyphen/>
        <w:t>чали задыхаться, не справляясь с такой программой башен</w:t>
      </w:r>
      <w:r w:rsidRPr="00640820">
        <w:rPr>
          <w:rFonts w:ascii="Times New Roman" w:hAnsi="Times New Roman"/>
          <w:color w:val="000000" w:themeColor="text1"/>
          <w:sz w:val="16"/>
          <w:szCs w:val="16"/>
        </w:rPr>
        <w:softHyphen/>
        <w:t>ного производства. Стала сказываться нехватка «жидкой брони», формовочной земли. Попытки организовать на заво</w:t>
      </w:r>
      <w:r w:rsidRPr="00640820">
        <w:rPr>
          <w:rFonts w:ascii="Times New Roman" w:hAnsi="Times New Roman"/>
          <w:color w:val="000000" w:themeColor="text1"/>
          <w:sz w:val="16"/>
          <w:szCs w:val="16"/>
        </w:rPr>
        <w:softHyphen/>
        <w:t>де производство сварных башен бьши отклонены, так как в условиях ручной сварки стоимость и время изготовления единицы продукции были чрезмерными.</w:t>
      </w:r>
    </w:p>
    <w:p w14:paraId="5B67775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5A4A51" w14:textId="77777777" w:rsidR="004F56C0" w:rsidRPr="00640820" w:rsidRDefault="004F56C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 октября 1941 г. Горьковский автозавод получил телеграмму Сталина: «Немецкая армия имеет большое превосходство в танкахнад нами. Для успешной борьбы с немецкими фашистами и для защиты Москвы нужно давать каждый день нашей армии больше танков. Ваш завод не использует всех возможностей для значительного увеличения выпуска танков и плохо помогает делу обороны страны. Нужды обороны страны и Москвы требуют, чтобы ваш завод резко увеличил выпуск танков Т-60 и в ближайшие 2—3 дня начать выпускать до 10 танков в день, а к концу октября – по 15танков в день».  Однако рост производства замедлялся недостаточной подачей корпусов с Выксунского завода дробильно-размольного оборудования, Муромского паровозостроительного и Кулебакского металлургического заводов. Часть бронекорпусов и вовсе терялась на Горьковской железной дороге. Бывало, что корпуса, идущие в адрес автозавода, оказывались в Иваново, в Москве, а уже оттуда доставлялись на предприятие. При этом на железной дороге из-за всеобщего хаоса и неразберихи происходило много аварий. Только в октябре имели место четыре крушения поездов. Было ясно, что Горький в любой момент может подвергнуться атаке с воздуха, однако необходимые меры так и не были доведены до конца (11774).</w:t>
      </w:r>
    </w:p>
    <w:p w14:paraId="41E1D167" w14:textId="77777777" w:rsidR="004F56C0" w:rsidRPr="00640820" w:rsidRDefault="004F56C0" w:rsidP="00640820">
      <w:pPr>
        <w:autoSpaceDE w:val="0"/>
        <w:autoSpaceDN w:val="0"/>
        <w:adjustRightInd w:val="0"/>
        <w:spacing w:after="0" w:line="240" w:lineRule="auto"/>
        <w:jc w:val="both"/>
        <w:rPr>
          <w:rFonts w:ascii="Times New Roman" w:hAnsi="Times New Roman"/>
          <w:color w:val="000000" w:themeColor="text1"/>
          <w:sz w:val="16"/>
          <w:szCs w:val="16"/>
        </w:rPr>
      </w:pPr>
    </w:p>
    <w:p w14:paraId="0F2B3D4E" w14:textId="77777777" w:rsidR="00996D3D" w:rsidRPr="00640820" w:rsidRDefault="00996D3D" w:rsidP="00640820">
      <w:pPr>
        <w:widowControl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31 октября </w:t>
      </w:r>
      <w:smartTag w:uri="urn:schemas-microsoft-com:office:smarttags" w:element="metricconverter">
        <w:smartTagPr>
          <w:attr w:name="ProductID" w:val="1945 г"/>
        </w:smartTagPr>
        <w:r w:rsidRPr="00640820">
          <w:rPr>
            <w:rFonts w:ascii="Times New Roman" w:hAnsi="Times New Roman"/>
            <w:color w:val="000000" w:themeColor="text1"/>
            <w:sz w:val="16"/>
            <w:szCs w:val="16"/>
          </w:rPr>
          <w:t>1941 г</w:t>
        </w:r>
      </w:smartTag>
      <w:r w:rsidRPr="00640820">
        <w:rPr>
          <w:rFonts w:ascii="Times New Roman" w:hAnsi="Times New Roman"/>
          <w:color w:val="000000" w:themeColor="text1"/>
          <w:sz w:val="16"/>
          <w:szCs w:val="16"/>
        </w:rPr>
        <w:t>. Горьковский автозавод получил правительственную телеграмму с заданием в ближайшие два-три дня резко увеличить выпуск танков Т-60. Телеграмма поступила на завод в 6 часов утра. До начала работы первой смены в парткоме на совещании секретарей партийных бюро и начальников цехов были намечены меры по выполнению правительственного задания. Утром, до начала работы, и в обеденный перерыв во всех цехах прошли митинги. Автозаводцы поклялись дать танки защитникам Москвы. Использовались каждый час, каждая минута. Участки и цехи, непосредственно связанные с производством танков, были укреплены лучшими рабочими и инженерно-техническими работниками. Ежедневно партком контролировал выполнение установленного графика, помогая хозяйственным руководителям устранять недостатки, «расшивать» «узкие места» производства (15218).</w:t>
      </w:r>
    </w:p>
    <w:p w14:paraId="08DB877F" w14:textId="77777777" w:rsidR="00996D3D" w:rsidRPr="00640820" w:rsidRDefault="00996D3D" w:rsidP="00640820">
      <w:pPr>
        <w:widowControl w:val="0"/>
        <w:spacing w:after="0" w:line="240" w:lineRule="auto"/>
        <w:jc w:val="both"/>
        <w:rPr>
          <w:rFonts w:ascii="Times New Roman" w:hAnsi="Times New Roman"/>
          <w:color w:val="000000" w:themeColor="text1"/>
          <w:sz w:val="16"/>
          <w:szCs w:val="16"/>
        </w:rPr>
      </w:pPr>
    </w:p>
    <w:p w14:paraId="5FDA5E7B" w14:textId="77777777" w:rsidR="00BE26F3" w:rsidRPr="00640820" w:rsidRDefault="00BE26F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31 октября 1941 г.</w:t>
      </w:r>
    </w:p>
    <w:p w14:paraId="57678779" w14:textId="77777777" w:rsidR="00BE26F3" w:rsidRPr="00640820" w:rsidRDefault="00BE26F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Письмо секретаря Астраханского окружкома ВКП(б) в СГКО по поводу изготовления деталей к аэросаням</w:t>
      </w:r>
    </w:p>
    <w:p w14:paraId="39C51149" w14:textId="77777777" w:rsidR="00BE26F3" w:rsidRPr="00640820" w:rsidRDefault="00BE26F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гор. Астрахань</w:t>
      </w:r>
      <w:r w:rsidRPr="00640820">
        <w:rPr>
          <w:rFonts w:ascii="Times New Roman" w:hAnsi="Times New Roman"/>
          <w:color w:val="0070C0"/>
          <w:sz w:val="16"/>
          <w:szCs w:val="16"/>
        </w:rPr>
        <w:tab/>
        <w:t>31 октября 1941 г.</w:t>
      </w:r>
    </w:p>
    <w:p w14:paraId="5834FFAD" w14:textId="77777777" w:rsidR="00BE26F3" w:rsidRPr="00640820" w:rsidRDefault="00BE26F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Астраханская судоверфь имени С. М. Кирова строит аэросани для РККА.</w:t>
      </w:r>
    </w:p>
    <w:p w14:paraId="044167BE" w14:textId="77777777" w:rsidR="00BE26F3" w:rsidRPr="00640820" w:rsidRDefault="00BE26F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Для выполнения этого заказа требуются пружины амортизационные (по прилагаемому при сем чертежу), в количестве 2.700 шт., или сталь пружинная 14 мм марки 60-с-2=20 тонн. В гор. Астрахани приобрести эту пружину не представляется возможным.</w:t>
      </w:r>
    </w:p>
    <w:p w14:paraId="5C3599F8" w14:textId="77777777" w:rsidR="00BE26F3" w:rsidRPr="00640820" w:rsidRDefault="00BE26F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Окружком ВКП(б) просит вас оказать содействие в размещении заказа на поставку судоверфи пружин в количестве 2.700 шт. на сталинградских заводах в течение ноября месяца.</w:t>
      </w:r>
    </w:p>
    <w:p w14:paraId="0F60B6E8" w14:textId="77777777" w:rsidR="00BE26F3" w:rsidRPr="00640820" w:rsidRDefault="00BE26F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случае невозможности размещения заказа на изготовление пружин просим поручить заводу «Красный Октябрь» прокатать в первой декаде ноября месяца 20 тонн пружинной 14 мм стали марки 60-С-2 и по мере выхода из проката отгрузить в Астрахань судоверфи</w:t>
      </w:r>
    </w:p>
    <w:p w14:paraId="0C55A6C5" w14:textId="77777777" w:rsidR="00BE26F3" w:rsidRPr="00640820" w:rsidRDefault="00BE26F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имени С. М. Кирова.</w:t>
      </w:r>
    </w:p>
    <w:p w14:paraId="4CEB87CA" w14:textId="77777777" w:rsidR="00BE26F3" w:rsidRPr="00640820" w:rsidRDefault="00BE26F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О результатах просим сообщить.</w:t>
      </w:r>
    </w:p>
    <w:p w14:paraId="02C54161" w14:textId="77777777" w:rsidR="00BE26F3" w:rsidRPr="00640820" w:rsidRDefault="00BE26F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Приложение: Чертеж пружины 2 экз.</w:t>
      </w:r>
    </w:p>
    <w:p w14:paraId="6469D66A" w14:textId="77777777" w:rsidR="00BE26F3" w:rsidRPr="00640820" w:rsidRDefault="00BE26F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Голышев</w:t>
      </w:r>
    </w:p>
    <w:p w14:paraId="4B5398D8" w14:textId="77777777" w:rsidR="00BE26F3" w:rsidRPr="00640820" w:rsidRDefault="00BE26F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Секретарь Астраханского окружкома ВКП(б)</w:t>
      </w:r>
    </w:p>
    <w:p w14:paraId="611B7C5F" w14:textId="77777777" w:rsidR="00BE26F3" w:rsidRPr="00640820" w:rsidRDefault="00BE26F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ЦЦНИВО. Ф. 171. Оп. 1.Д. 12. Л. 23. Подлинник (21091).</w:t>
      </w:r>
    </w:p>
    <w:p w14:paraId="767F238C" w14:textId="77777777" w:rsidR="00BE26F3" w:rsidRPr="00640820" w:rsidRDefault="00BE26F3" w:rsidP="00640820">
      <w:pPr>
        <w:spacing w:after="0" w:line="240" w:lineRule="auto"/>
        <w:jc w:val="both"/>
        <w:rPr>
          <w:rFonts w:ascii="Times New Roman" w:hAnsi="Times New Roman"/>
          <w:color w:val="0070C0"/>
          <w:sz w:val="16"/>
          <w:szCs w:val="16"/>
        </w:rPr>
      </w:pPr>
    </w:p>
    <w:p w14:paraId="68E9C26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 октября 1941 года вышел Приказ НКБ № 619</w:t>
      </w:r>
    </w:p>
    <w:p w14:paraId="6AD44DF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Прибывший завод № 398 влить в завод № 42, расположив его на площадях бывшего часового производства.</w:t>
      </w:r>
    </w:p>
    <w:p w14:paraId="6DBF3D4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Прибывающий завод № 530 расположить как самостоятельный завод с подчинением 2 Гл. управлению на площадях механического корпуса (бывшая 1 Швейная фабрика) (5675, 53).</w:t>
      </w:r>
    </w:p>
    <w:p w14:paraId="5C9E396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0C632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 октября 1941 года Приказ НКБ № 8</w:t>
      </w:r>
    </w:p>
    <w:p w14:paraId="1F44C75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Совет эвакуации распоряжением № 14675 от 31 октября 1941 года обязал НКБ эвакуировать завод № 260 на производственные площади завода № 572 в Саратов (5679, 17).</w:t>
      </w:r>
    </w:p>
    <w:p w14:paraId="2CA0AF0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673F2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 октября 1941 вышло Распоряжение ГКО № 857 [О возложении на Интендантское управление НКО перевозки боеприпасов НКБ и ГАУ и об изъятии 250 автомашин в Москве для организации автоколонны по перевозке боеприпасов.] (7014, 170).</w:t>
      </w:r>
    </w:p>
    <w:p w14:paraId="32EEFAC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16CFC7" w14:textId="77777777" w:rsidR="00515354" w:rsidRPr="00640820" w:rsidRDefault="00515354"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31 октября 1941 года последовало распоряжение № 14678 СЭ:</w:t>
      </w:r>
    </w:p>
    <w:p w14:paraId="272DBCF7" w14:textId="77777777" w:rsidR="00515354" w:rsidRPr="00640820" w:rsidRDefault="00515354"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«Принять предложение Наркомэлектропрома об эвакуации завода № 191 в г. Щелкове в г. Ташкент на площади по усмотрению местных партийных и советских организаций.</w:t>
      </w:r>
    </w:p>
    <w:p w14:paraId="20B72800" w14:textId="77777777" w:rsidR="00515354" w:rsidRPr="00640820" w:rsidRDefault="00515354"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Постановление Совета по эвакуации от 11 октября 1941 г. об эвакуации завода № 191 в г. Чкалов на площади Гостиного двора считать утратившим силу.</w:t>
      </w:r>
    </w:p>
    <w:p w14:paraId="2D863A6E" w14:textId="77777777" w:rsidR="00515354" w:rsidRPr="00640820" w:rsidRDefault="00515354"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Зам. Председателя Совета по эвакуации А.Косыгин» (17424).</w:t>
      </w:r>
    </w:p>
    <w:p w14:paraId="117C4ACE" w14:textId="77777777" w:rsidR="00515354" w:rsidRPr="00640820" w:rsidRDefault="00515354"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p>
    <w:p w14:paraId="684E87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31 октября 1941 г. было Письмо председателя Комитета по делам мер и измерительных приборов в Томский горком партии </w:t>
      </w:r>
    </w:p>
    <w:p w14:paraId="27A552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Уполномоченному в Новосибирске даны указания обеспечить Завод измерительных приборов необходимой помощью. Председатель Комитета измерительных приборов Совнаркома Союза Кузнецов.</w:t>
      </w:r>
    </w:p>
    <w:p w14:paraId="0C4D2C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ЦДНИ ТО. Ф.80. Оп.3 Д. 88л. Л. 85 (11014).</w:t>
      </w:r>
    </w:p>
    <w:p w14:paraId="07A2F4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1817500"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2E723F7E"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FFA8AFB" w14:textId="77777777" w:rsidR="004F56C0" w:rsidRPr="00640820" w:rsidRDefault="004F56C0"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31 октября </w:t>
      </w:r>
      <w:r w:rsidRPr="00640820">
        <w:rPr>
          <w:rFonts w:ascii="Times New Roman" w:hAnsi="Times New Roman"/>
          <w:color w:val="000000" w:themeColor="text1"/>
          <w:sz w:val="16"/>
          <w:szCs w:val="16"/>
        </w:rPr>
        <w:t>в 1941 году утреннее сообщение Совинформбюро:</w:t>
      </w:r>
    </w:p>
    <w:p w14:paraId="79B2A096" w14:textId="77777777" w:rsidR="004F56C0" w:rsidRPr="00640820" w:rsidRDefault="004F56C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течение ночи на 31 октября наши войска веля бои с противником на Волоколамском, Можайском, Малоярославецком и Тульском направлениях.</w:t>
      </w:r>
    </w:p>
    <w:p w14:paraId="54C79FCA" w14:textId="77777777" w:rsidR="004F56C0" w:rsidRPr="00640820" w:rsidRDefault="004F56C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участков Калининского направления дальнобойная батарея под командованием лейтенанта Беликова разгромила вражеский аэродром, уничтожив 14 неприятельских самолётов.</w:t>
      </w:r>
    </w:p>
    <w:p w14:paraId="0949E79F" w14:textId="77777777" w:rsidR="004F56C0" w:rsidRPr="00640820" w:rsidRDefault="004F56C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октября на одном из участков Западного фронта группа наших танков, ворвавшись в расположение немецко-фашистских войск, уничтожила до полка немецкой пехоты и подбила 16 вражеских танков.</w:t>
      </w:r>
    </w:p>
    <w:p w14:paraId="73476D11" w14:textId="77777777" w:rsidR="004F56C0" w:rsidRPr="00640820" w:rsidRDefault="004F56C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участков Южного фронта кавалерийские части командира тов. Кириченко нанесли противнику серьёзный урон. В бою за город 3. кавалеристы уничтожили два немецких полка. Фашисты потеряли большое количество пулемётов, миномётов, винтовок и другого вооружения.</w:t>
      </w:r>
    </w:p>
    <w:p w14:paraId="163008C2" w14:textId="77777777" w:rsidR="004F56C0" w:rsidRPr="00640820" w:rsidRDefault="004F56C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Усиленно громят врага партизаны Кировоградской области. Большой страх наводит на фашистов партизанский отряд, которым руководит товарищ под кличкой «Ворон». Недавно этот отряд ворвался в один из городов и полностью уничтожил немецкий гарнизон из 75 солдат, захватил три станковых пулемёта, одну противотанковую пушку, две бронемашины и много винтовок. Активно действуют партизаны Запорожской области. 9 октября вторая рота пехотного полка «СС» и 80 солдат особого штурмового жандармского отряда получили приказ очистить от партизан Энский район области. Несколько партизанских отрядов выступило совместно против карательной экспедиции немцев. В бою партизаны разгромили противника, уничтожив 123 немца. Среди убитых оказалось несколько немецких лейтенантов и полковник Георг Шмидт. Партизаны захватили миномёты, ручные пулемёты, гранатомёты, много винтовок, автоматов, патронов и другое вооружение.</w:t>
      </w:r>
    </w:p>
    <w:p w14:paraId="4BCCBD63" w14:textId="77777777" w:rsidR="004F56C0" w:rsidRPr="00640820" w:rsidRDefault="004F56C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 немецкого солдата, убитого в бою в районе деревни Ивашково, найдено письмо от его брата Августина, проживающего в городе Пассау (Бавария). Автор описывает те стороны быта современной Германии, которые всячески замалчиваются фашистскими заправилами. Приводим отдельные выписки из письма: «Работы довольно много. В будничные дни — суд, биржа труда, полиция и т. п., куда меня вызывают в качестве переводчика. На поляках поставим крест. Они охотнее идут в тюрьму, чем работать. В последнее время, мне кажется, они договорились об организации саботажа, и поэтому не хотят работать. Вчера мы с врачом осматривали целый эшелон взятых в Польше насильно. Их загнали в поезд только потому, что они пришли на вокзал провожать своих родственников. У нас нехватает рабочих. Большинство призвано к оружию. К чему всё это приведёт?</w:t>
      </w:r>
    </w:p>
    <w:p w14:paraId="088A60AD" w14:textId="77777777" w:rsidR="004F56C0" w:rsidRPr="00640820" w:rsidRDefault="004F56C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...Очень сомневаюсь, чтобы тебя на сей раз пощадили и оставили в стороне от боя... От раненых я слышал, что война в России является самой свирепой, самой жестокой из всех бывших когда-либо войн... Эдмунд Мансфельд из Граден убит... В концентрационном лагере умер пастор Теодор Хухрацкий, которого ты, безусловно, помнишь по Ольберодорфу. За что он туда попал — я точно не знаю. Там можно очутиться за малейший пустяк, но выбраться оттуда живым невероятно трудно. Кто туда попадает, тот уже не выходит. Его останки, его прах выносят. Моего старшего проповедника П. Людвига тоже посадили... Дорогой брат, спешу кончать, так как через полчаса я должен снова пойти в тюрьму на допрос поляков».</w:t>
      </w:r>
    </w:p>
    <w:p w14:paraId="3FAB7AEE" w14:textId="77777777" w:rsidR="004F56C0" w:rsidRPr="00640820" w:rsidRDefault="004F56C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всей советской стране ширится предоктябрьское соревнование. Советские патриоты работают под лозунгом: «Дать фронту всё необходимое для разгрома коварного врага!». В механическом цехе завода имени Воровского (Свердловская область) число двухсотников за время соревнования выросло в семь раз. В смене мастера Васильева все рабочие стали двухсотниками. Токарь Ягупов, выполняющий норму на 500 процентов, обучил молодых рабочих Плещеева и Фалалеева, которые теперь перевыполняют нормы в несколько раз. На Энском заводе Воронежской области был получен срочный заказ для героических защитников Москвы. Мастер Свиридов, слесарь Никифоров, старый партизан Кохаткин и другие рабочие сутками не выходили с завода, отказались от выходного дня. Каждый работал за двоих, за троих. На третьи сутки завод сдал заказ. Работа, на которую в мирное время потребовалось бы 10-12 дней, была выполнена за двое суток. Подлинный героизм проявляют прокатчики сталинградского завода «Красный Октябрь». Старейший рабочий завода, первый вальцовщик стана № 3 тонколистового цеха тов. Рулёв в октябре выполняет вместе со своей бригадой вторую месячную норму. Все смены этого цеха ежедневно прокатывают металла на 10-20 процентов больше задания. В смене начальника Поцелуева операторы крупносортного цеха Дорофеев, Кудрявцев, Фёдоров экономят 20 секунд на прокате каждого слитка. Это обеспечивает выпуск многих слитков сверх плана. Бригада мастера Бурова каждую смену прокатывает металла на 30-40 процентов больше плана» (14816).</w:t>
      </w:r>
    </w:p>
    <w:p w14:paraId="3097CB23" w14:textId="77777777" w:rsidR="004F56C0" w:rsidRPr="00640820" w:rsidRDefault="004F56C0" w:rsidP="00640820">
      <w:pPr>
        <w:spacing w:after="0" w:line="240" w:lineRule="auto"/>
        <w:jc w:val="both"/>
        <w:rPr>
          <w:rFonts w:ascii="Times New Roman" w:hAnsi="Times New Roman"/>
          <w:color w:val="000000" w:themeColor="text1"/>
          <w:sz w:val="16"/>
          <w:szCs w:val="16"/>
        </w:rPr>
      </w:pPr>
    </w:p>
    <w:p w14:paraId="4A58CCEA" w14:textId="77777777" w:rsidR="004F56C0" w:rsidRPr="00640820" w:rsidRDefault="004F56C0"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31 октября </w:t>
      </w:r>
      <w:r w:rsidRPr="00640820">
        <w:rPr>
          <w:rFonts w:ascii="Times New Roman" w:hAnsi="Times New Roman"/>
          <w:color w:val="000000" w:themeColor="text1"/>
          <w:sz w:val="16"/>
          <w:szCs w:val="16"/>
        </w:rPr>
        <w:t>в 1941 году вечернее сообщение Совинформбюро:</w:t>
      </w:r>
    </w:p>
    <w:p w14:paraId="4BBA069F" w14:textId="77777777" w:rsidR="004F56C0" w:rsidRPr="00640820" w:rsidRDefault="004F56C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31 октября наши войска вели упорные бои с противником на всех фронтах.</w:t>
      </w:r>
    </w:p>
    <w:p w14:paraId="3A9CE4E4" w14:textId="77777777" w:rsidR="004F56C0" w:rsidRPr="00640820" w:rsidRDefault="004F56C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30 октября уничтожено 37 немецких самолётов. Наши потери — 18 самолётов.</w:t>
      </w:r>
    </w:p>
    <w:p w14:paraId="3005E495" w14:textId="77777777" w:rsidR="004F56C0" w:rsidRPr="00640820" w:rsidRDefault="004F56C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Наша авиачасть, действующая на Западном фронте, за 30 октября уничтожила 26 немецких танков, 225 автомашин с военными грузами, 18 штабных автобусов, до 14 орудии, рассеяла и частично уничтожила 2 полка вражеской пехоты и один кавалерийский эскадрон.</w:t>
      </w:r>
    </w:p>
    <w:p w14:paraId="6D1EF53A" w14:textId="77777777" w:rsidR="004F56C0" w:rsidRPr="00640820" w:rsidRDefault="004F56C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участков Северо-Западного направления фронта успешно действует артиллерийская батарея под командой сержанта Николаева. Меткий огонь этой батареи наносит большой урон врагу. На днях с наблюдательного пункта на батарею поступило донесение, что по шоссе передвигаются два батальона пехоты, а сзади следует артиллерийская батарея на механической тяге. Сержант Николаев быстро принял решение. Первые же выстрелы внесли в колонну врага большое замешательство. Машины и люди сгрудились в кучу. Батарея Николаева в это время выпустила в толпу врагов более двадцати снарядов. Вражеские колонны были рассеяны. На шоссе остались разбитые автомашины, орудия, тракторы, мотоциклы. Было убито и ранено более двухсот фашистов.</w:t>
      </w:r>
    </w:p>
    <w:p w14:paraId="57B2AEC0" w14:textId="77777777" w:rsidR="004F56C0" w:rsidRPr="00640820" w:rsidRDefault="004F56C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Продолжают поступать сообщения о чудовищных злодеяниях фашистских бандитов. В селении Васильевка, Орловской области, перепившиеся немецкие солдаты заставили танцевать изнасилованных и избитых ими девушек. В это время по улице шла беременная колхозница Анна Ларионова. Фашисты потребовали, чтобы и она танцовала. Ларионова попыталась отказаться, ссылаясь на беременность. Рассвирепевший детина с нашивками ефрейтора ударил женщину сапогом по животу. Ларионова потеряла сознание. Начались родовые схватки. Фашистские изверги запретили крестьянкам оказать роженице помощь. Несчастная родила мёртвого ребёнка.</w:t>
      </w:r>
    </w:p>
    <w:p w14:paraId="7CE6DF2D" w14:textId="77777777" w:rsidR="004F56C0" w:rsidRPr="00640820" w:rsidRDefault="004F56C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селе Ивановка, Кировоградской области, старая больная крестьянка отказалась молотить хлеб для немцев. Тогда фашисты расстреляли старуху и её дочь, а дом подожгли. В селе Крестителево, Полтавской области, немецкие солдаты произвели повальный обыск у крестьян, отняв у них всё съедобное.</w:t>
      </w:r>
    </w:p>
    <w:p w14:paraId="400CC2F9" w14:textId="77777777" w:rsidR="004F56C0" w:rsidRPr="00640820" w:rsidRDefault="004F56C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Авантюра, в которою втянули Финляндию немецкие фашисты, окончательно подорвала экономику страны. Продовольственное положение Финляндии катастрофическое. Население голодает, норма выдачи хлеба сокращена до 80 граммов на человека. Хлебные магазины пустуют. Власти объявили, что в ноябре белый хлеб получат только 50 процентов детей. На рынках Хельсинки, где в последнее время поступили в продажу чайки и салака (мелкая рыба худших сортов), выстраиваются длинные очереди. Редким счастливцам удаётся купить морскую чайку по очень высокой цене. На днях на рынок Хельсинки были привезены 700 бочек салаки с Аландских островов. За салакой выстроилась очередь длиной более километра. В очереди находилось более восьми тысяч человек. Когда, наконец, открылся магазин, всем этим изголодавшимся людям объявили, что салака уже продана. На рыночной площади стихийно возникла демонстрация протеста. В толпе раздавались крики: «Выгнать немцев из нашей страны!», «Хлеба!», «Спасите детей от голода!». Лишь к ночи полиции удалось с большим трудом разогнать демонстрантов. Арестовано около 100 человек. Голодные бунты произошли также в различных районах Северной Финляндии, где голодают целые общины.</w:t>
      </w:r>
    </w:p>
    <w:p w14:paraId="44A0AD96" w14:textId="77777777" w:rsidR="004F56C0" w:rsidRPr="00640820" w:rsidRDefault="004F56C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Бакинские нефтяники неуклонно повышают темпы работ. Пламенные советские патриоты заявляют: «Наши танки и самолёты получают и будут получать столько горючего, сколько нужно для полного и окончательного разгрома фашистов». В тресте «Азизбековнефть» молодёжная бригада мастера Хамена Джавадова восстановила три бездействовавшие скважины. У себя на промысле энтузиасты нашли и изготовили необходимое оборудование. Бригада добилась увеличения дебита одной скважины на 80 проц., другой — на 50 проц., третьей — на 25 проц. Вырос дебит и других скважин, обслуживаемых бригадой тов. Джавадова. Образцы хорошей работы показывает вахта бурильщика тов. Маркарова треста «Сталиннефть». За два месяца она выполнила полугодовое производственное задание. Таких же показателей добилась вахта соревнующегося с Маркаровым бурильщика Абдулаева. Почётное звание трёхсотников завоевали вахты бурильщиков тт. Салимханова, Борисова, Демидова и Новикова. Свыше 60 бурильщиков, тормозчиков, верховых буровых бригад «Сталиннефти» стали в дни воины двухсотниками и трёхсотниками. Выросли ряды двухсотников и среди рабочих подземного ремонта. На промыслах треста «Орджоникидзенефть» операторы подземного ремонта скважин тт. Гимаев и Горбатов систематически дают не менее двух норм. Благодаря стахановской работе бригады мастера Николаева, на 3-м промысле за последнее время быстро отремонтировали и пустили в эксплоатацию нисколько скважин. На 7-м промысле бригада мастера Кулам Ханлара выполняет ежедневно задание на 200 и более процентов. Вдвое и втрое сократила сроки ремонтных работ на 6-м промысле бригада мастера Агамова. Недавно она за 8 часов вместо двух дней по норме произвела смену станка качалки на скважине. С такой же быстротой бригада отремонтировала другую скважину. Ремонтники нефтеперегонного завода имени Андреева тт. Пискунов, Алексатин и Степанов под руководством механика тов. Чистохвалова закончили профилактический ремонт одной из установок на день раньше срока.» (14816).</w:t>
      </w:r>
    </w:p>
    <w:p w14:paraId="6330393E" w14:textId="77777777" w:rsidR="004F56C0" w:rsidRPr="00640820" w:rsidRDefault="004F56C0" w:rsidP="00640820">
      <w:pPr>
        <w:spacing w:after="0" w:line="240" w:lineRule="auto"/>
        <w:jc w:val="both"/>
        <w:rPr>
          <w:rFonts w:ascii="Times New Roman" w:hAnsi="Times New Roman"/>
          <w:color w:val="000000" w:themeColor="text1"/>
          <w:sz w:val="16"/>
          <w:szCs w:val="16"/>
        </w:rPr>
      </w:pPr>
    </w:p>
    <w:p w14:paraId="4C10F2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11 по 31 октября 1941 советская авиация на ЗН выполнила 2300 вылетов (341,70).</w:t>
      </w:r>
    </w:p>
    <w:p w14:paraId="4146AA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EFD5680" w14:textId="77777777" w:rsidR="00340A71" w:rsidRPr="00640820" w:rsidRDefault="00340A71"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eastAsia="Times New Roman" w:hAnsi="Times New Roman"/>
          <w:bCs/>
          <w:color w:val="000000" w:themeColor="text1"/>
          <w:sz w:val="16"/>
          <w:szCs w:val="16"/>
        </w:rPr>
        <w:t xml:space="preserve">31 октября </w:t>
      </w:r>
      <w:r w:rsidRPr="00640820">
        <w:rPr>
          <w:rFonts w:ascii="Times New Roman" w:hAnsi="Times New Roman"/>
          <w:color w:val="000000" w:themeColor="text1"/>
          <w:sz w:val="16"/>
          <w:szCs w:val="16"/>
        </w:rPr>
        <w:t>в 1941 году завершилась героическая оборона Бьёркского архипелага, продолжавшаяся более двух месяцев. В 1 час 30 минут ночи, 1 ноября суда снялись со швартовов у острова Бьёрке и взяли курс на Кронштадт (14816).</w:t>
      </w:r>
    </w:p>
    <w:p w14:paraId="67EC47C3" w14:textId="77777777" w:rsidR="00340A71" w:rsidRPr="00640820" w:rsidRDefault="00340A71" w:rsidP="00640820">
      <w:pPr>
        <w:spacing w:after="0" w:line="240" w:lineRule="auto"/>
        <w:jc w:val="both"/>
        <w:rPr>
          <w:rFonts w:ascii="Times New Roman" w:hAnsi="Times New Roman"/>
          <w:color w:val="000000" w:themeColor="text1"/>
          <w:sz w:val="16"/>
          <w:szCs w:val="16"/>
        </w:rPr>
      </w:pPr>
    </w:p>
    <w:p w14:paraId="6E89E6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 октября 1941 закончилось оборонительное сражение под Москвой. немцев остановили на рубеже Волжское водохранилище, восточнее Волоколамска, по рекам Нара и Ока до Алексина. В ходе оборонительных боев выполнили 26 тыс. вылетов, в т.ч. 80% на поддержку войск. Задержали продвижение немцев и в полосе БФ. 3 и 13 армии в течение 3-х недель вели бои в тылу и к 23 октября вышли из окружения (340,61).</w:t>
      </w:r>
    </w:p>
    <w:p w14:paraId="3B68DE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11D87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 октября 1941 г., согласно Командованию 18-й армии</w:t>
      </w:r>
    </w:p>
    <w:p w14:paraId="24D6B8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Отдел 1с</w:t>
      </w:r>
    </w:p>
    <w:p w14:paraId="5C79EE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Адресат: ОКВ, начальник Генштаба</w:t>
      </w:r>
    </w:p>
    <w:p w14:paraId="4CC9D9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Сообщение о Петербурге № 6</w:t>
      </w:r>
    </w:p>
    <w:p w14:paraId="76B0A1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Оборонительные мероприятия.</w:t>
      </w:r>
    </w:p>
    <w:p w14:paraId="712077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Уже имеется общая картина относительно построенных в Кировском районе оборонительных сооружений. Внутренняя линия обороны города представляет собой систему траншей и деревянных дотов от реки Екатерингофки до северного берега реки Таракановки в районе 1-го мая и дальше проходит через стадион «Каучук» до площади Стачек (Q 4) с выходом на Новосельковскую улицу. По-видимому, эта линия обороны находит свое продолжение в укреплениях на северном берегу Обводного канала. В Кировском районе проходит вторая линия обороны от угольной гавани (Т 1) через Турухтанный канал до железнодорожных мостов и далее проходит вдоль железной дороги до улицы Стачек, оттуда проходит через Красненькое кладбище до Краснокабацкого шоссе (U 4). (Схемы линии укреплений прилагаются).</w:t>
      </w:r>
    </w:p>
    <w:p w14:paraId="058D82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Пока остается неясным, предусмотрен ли позади имеющихся укреплений еще и внешний пояс обороны.</w:t>
      </w:r>
    </w:p>
    <w:p w14:paraId="20CE14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Позиции батарей находятся рядом с пересечением Краснокабацкого и Детскосельского шоссе (U 4) и далее на западе рядом с внешней кольцевой дорогой Автово 2 в 200 м к северу от железнодорожной линии (U 3). В обоих случаях речь идет об орудиях 76-мм калибра. Зенитная батарея в составе 6 тяжелых орудий находится непосредственно на железнодорожных мостах через Волховку (R 8). Два бетонных дота, укрепленных броневыми листами, расположены на южной стороне железнодорожной насыпи по обе стороны от железнодорожных мостов, проходящих через улицу Стачек (U 3).</w:t>
      </w:r>
    </w:p>
    <w:p w14:paraId="1CF37F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Баррикады и заграждения на улицах находятся:</w:t>
      </w:r>
    </w:p>
    <w:p w14:paraId="447332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улице Стачек а) рядом с Автово 2 в нескольких метрах севернее железнодорожного виадука (U 3), б) рядом с Автово 1, на углу Турухтан-ная, в) на пересечении площади Стачек и Детскосельской улицы, д) на углу Чугунной улицы (S 3), е) в нескольких метрах к югу от виадука через улицу Стачек (S 3). В случае в) баррикады сооружены из наполненных песком трамвайных вагонов. В остальных случаях они сделаны из толстых досок, между которыми засыпан песок. Баррикады укреплены рельсами и другими металлическими деталями. Далее баррикады находятся на Московской площади (R 6), на углу Международного и Клинского проспектов, на железнодорожном виадуке через Московское шоссе (S 6) и на улице Комарова вплотную к восточному въезду на Охтинский мост (N 11).</w:t>
      </w:r>
    </w:p>
    <w:p w14:paraId="126546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Штаб 42-й армии находится в маленьком переулке между улицами Стачек и Детскосельской, а именно во втором доме к востоку от улицы Стачек приблизительно в 260 м южнее ее пересечения с Детскосельской улицей.</w:t>
      </w:r>
    </w:p>
    <w:p w14:paraId="524E42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Западнее деревни Шушары на протяжении 3 километров установлено минное поле. Мины находятся на расстоянии 10 м друг от друга. Каждые 10 мин снабжены взрывателем и могут быть подорваны одновременно.</w:t>
      </w:r>
    </w:p>
    <w:p w14:paraId="1F5992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показаниям военнопленного интенданта, на главных улицах установлены изготовленные из бетона доты с пулеметами и полевыми орудиями (например, Международном проспекте и других основных улицах).</w:t>
      </w:r>
    </w:p>
    <w:p w14:paraId="4A6075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 мосты через Неву днем закрыты для общественного движения за исключением моста лейтенанта Шмидта (N 5).</w:t>
      </w:r>
    </w:p>
    <w:p w14:paraId="7195B6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южной части Ленинграда до линии Ульянка (15 км от центра Ленинграда) — Рыбацкое (14 км от центра) население было эвакуировано. Движение из города (в том числе и подвоз) осуществляется только до этой линии. Оттуда воинские части должны сами забирать продовольствие и т. п.</w:t>
      </w:r>
    </w:p>
    <w:p w14:paraId="1799C1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Вход в город с южной стороны почти невозможен из-за очень сильного контрольного режима со стороны постов НКВД. Эти посты тянутся через всю прифронтовую полосу вплоть до города. Ночью и днем от групп и отдельных команд требуется знание пароля. Со стороны берега Невы доступ в город немного легче, чем с южной стороны.</w:t>
      </w:r>
    </w:p>
    <w:p w14:paraId="009C8C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Положение со снабжением.</w:t>
      </w:r>
    </w:p>
    <w:p w14:paraId="10C1BB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По-видимому, положение со снабжением с начала сентября до середины октября было тяжелым, но в целом стабильным. Хлеб стал хуже — при его изготовлении наряду с другими примесями стали использовать 30 процентов овсяной муки. Очереди за продуктами стали еще длиннее. Продукты кончаются зачастую уже в полдень, по причине чего большая часть стоящих в очередях уходит ни с чем.</w:t>
      </w:r>
    </w:p>
    <w:p w14:paraId="734BB6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детей до 5 лет еще можно купить белый хлеб (150 г стоит 1,95 руб.). Месячный рацион мяса для рабочих составляет 600 г. Тушенку еще можно купить (1 кг стоит 8 руб.) Те, кто вместо тушенки берет конину, получает двойной рацион. Свинину купить едва ли можно (1 кг стоит 14-18 руб.). Масло выдается практически только детям (по 200 г в месяц). Положенные рабочим продукты полностью не выдаются, поскольку не хватает их запасов. Каждому положено 10 кг картофеля и 2 кг других овощей. Однако и эти продукты не выдаются полностью из-за их нехватки. Каждому выдается по 5 коробок спичек в месяц. Крупу продают из расчета 600 г на человека в месяц по цене 4,50 руб. за килограмм.</w:t>
      </w:r>
    </w:p>
    <w:p w14:paraId="3AAAC8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начала блокады продовольственные запасы стали складироваться за чертой города во временных складах. Такой склад продовольствия оборудовали в деревне Нижний Поселок недалеко от Ладожского озера.</w:t>
      </w:r>
    </w:p>
    <w:p w14:paraId="44E41F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Карточки для приобретения одежды у рабочих «весят» 120 условных единиц, в то время как у всех остальных — всего 60. При приобретении пальто вырезаются талоны на 80 у.е., обуви — 30. Однако текстильных товаров и обуви купить практически невозможно.</w:t>
      </w:r>
    </w:p>
    <w:p w14:paraId="7EA202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Из-за недостатка угля и разрушения одной электростанции потребление электричества сильно ограничено и нормировано. По слухам, многие предприятия невоенного характера остановлены. При перерасходе норм потребления электричества его подача прекращается.</w:t>
      </w:r>
    </w:p>
    <w:p w14:paraId="28402F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Мало дров. Из-за угрозы пожара не разрешается жечь снесенные заборы и деревянные постройки. По причине того, что в результате обстрелов во многих домах выбиты стекла, обогрев квартир практически более невозможен. Оконные стекла купить уже невозможно.</w:t>
      </w:r>
    </w:p>
    <w:p w14:paraId="416EED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Водопровод в общем еще работает. Бомбежки и обстрелы привели к локальным повреждениям водопровода.</w:t>
      </w:r>
    </w:p>
    <w:p w14:paraId="57A3D1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самых крупных хладокомбинатов (на Черниговской ул., квадрат R 7 №. 949) хранились, в основном, селедка, масло, мясо и консервы. 2 октября на нем имелось в наличии: 120 тонн селедки, 20 тонн трески (неприкосновенный запас для действующей армии), 100 тонн замороженного мяса, около 1,5 миллиона 325-граммовых банок консервированных шпрот и трески.</w:t>
      </w:r>
    </w:p>
    <w:p w14:paraId="42AA7F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Запасы мясных, молочных и рыбных консервов составляют около 30 процентов от обычного количества в мирное время. В середине августа было последнее поступление рыбы. До 29 августа с мясокомбината им. Кирова ежедневно поступало по 50 тонн мяса. Хорошее мясо консервировали, а плохое продавали. С 29 августа поставки мяса полностью прекратились.</w:t>
      </w:r>
    </w:p>
    <w:p w14:paraId="21E8B4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военных продовольственных складов по адресу Стеклянная 8, 25 сентября запасов оставалось всего на 6—7 дней. Руководство и управленцы Кировского завода в своей столовой получают лучшее питание, нежели рабочие. Есть два супа на выбор, мясное или вегетарианское блюдо. При получении мясного блюда вырезают талоны из карточек. Оно стоит 3.50 руб., а суп стоит 0,67 руб.</w:t>
      </w:r>
    </w:p>
    <w:p w14:paraId="774F22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целом же положение со снабжением в Петербурге ухудшилось в результате того, что из-за остановки предприятий и окончания работ по рытью траншей появилось много безработных, более не получающих полного рациона.</w:t>
      </w:r>
    </w:p>
    <w:p w14:paraId="31DAE8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Крупный Ленинградский торговый квартал Гостиный Двор еще работает, за исключением продовольственных магазинов. Сенной рынок закрыт. Перед магазинами, где производится выдача продовольствия по карточкам, стоят необозримые очереди, которые милиция периодически разгоняет для того, чтобы воспрепятствовать проявлениям недовольства.</w:t>
      </w:r>
    </w:p>
    <w:p w14:paraId="3623C4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показаниям перебежчиков, товары первой необходимости доставляются транспортной авиацией, которая сбрасывает их в специально отведенные места на парашютах. Оттуда они доставляются в магазины.</w:t>
      </w:r>
    </w:p>
    <w:p w14:paraId="153BB2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Настроение и пропаганда.</w:t>
      </w:r>
    </w:p>
    <w:p w14:paraId="2E38DA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Настроение населения по-прежнему подавленное и нервозное. Особое влияние на него оказывает объявление о дальнейшем сокращении норм выдачи продовольствия. Характерной чертой нынешнего положения является склонность населения к распространению слухов. Газетам больше не верят, поскольку население многократно убеждалось в лживости печатных материалов.</w:t>
      </w:r>
    </w:p>
    <w:p w14:paraId="56172E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Их место заняли самые невероятные и противоречивые друг другу слухи. Говорят о предателях, которые подают немцам световые сигналы для бомбежек и артобстрелов.</w:t>
      </w:r>
    </w:p>
    <w:p w14:paraId="524F18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Высказываются насмешливо-иронические замечания по поводу сказок-страшилок, которые распространяются официальной пропагандой о немцах.</w:t>
      </w:r>
    </w:p>
    <w:p w14:paraId="3F741C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целом отмечается общая усталость от войны и одновременно смутная тревога относительно того, что, несмотря на все речи об идущей на помощь дальневосточной армии, неизбежно все закончится капитуляцией. В жестокое обращение с населением немецких солдат или насилие с их стороны больше не верят, но ожидают массовой расправы с евреями и коммунистами.</w:t>
      </w:r>
    </w:p>
    <w:p w14:paraId="64824C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Листовки жадно читают и обсуждают, но боязнь сексотов очень велика.</w:t>
      </w:r>
    </w:p>
    <w:p w14:paraId="75CA1E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Настроение частей гарнизона в Ленинграде очень плохое. Часто говорят о том, что ждут немецкого наступления с тем, чтобы при удобном случае избавиться от политруков и комиссаров. Настроение гражданского населения такое же.</w:t>
      </w:r>
    </w:p>
    <w:p w14:paraId="660AC5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показаниям одного перебежчика, большая часть населения больше ничего не хочет знать о коммунистическом руководстве. Сообщают, что рабочие также выступают против войны. Только группа фанатиков еще хочет продолжать сопротивление. Люди острят по поводу маршала Кулика, который должен был им помочь.</w:t>
      </w:r>
    </w:p>
    <w:p w14:paraId="465054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Гражданское население.</w:t>
      </w:r>
    </w:p>
    <w:p w14:paraId="12D5DD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По слухам, проведена полномасштабная эвакуация населения из южной части города, а именно из Кировского района до Нарвских ворот и Московского района вдоль Московского шоссе от Средней Рогатки почти до завода «Электросила». Большая часть населения из этих районов была эвакуирована на Васильевский остров и размещена в школах или квартирах, которые освободились в результате первой волны эвакуации.</w:t>
      </w:r>
    </w:p>
    <w:p w14:paraId="31A767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Бараки для беженцев, в которых наряду с беженцами из пригородов Петербурга оказались и жители названных выше районов, сооружены на незастроенных местах западной части Крестовского острова и на острове Декабристов. Беженцы ютятся в лагерях и квартирах, так что кое-где все местные жители даже не могут одновременно прилечь отдохнуть.</w:t>
      </w:r>
    </w:p>
    <w:p w14:paraId="7E2794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Хозяйственное положение.</w:t>
      </w:r>
    </w:p>
    <w:p w14:paraId="4F6715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показаниям военнопленных, распределение топлива в Петербурге осуществляется городским управлением милиции. Милиция решает вопрос о том, какое количество бензина необходимо на месяц для каждой машины того или иного района. Существует три категории: первая категория — для самолетов, 2-я — для танков, 3-я — для автомобилей.</w:t>
      </w:r>
    </w:p>
    <w:p w14:paraId="40A08B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Склады.</w:t>
      </w:r>
    </w:p>
    <w:p w14:paraId="6A0891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показаний военнопленного установлено, что достаточно крупные склады горючего находятся севернее Волкова кладбища. Хранилища отчасти обустроены под землей.</w:t>
      </w:r>
    </w:p>
    <w:p w14:paraId="65D5AA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Военная промышленность.</w:t>
      </w:r>
    </w:p>
    <w:p w14:paraId="50ED24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боеприпасов на заводе «Вулкан» № 466 (К 4) (крупный калибр).</w:t>
      </w:r>
    </w:p>
    <w:p w14:paraId="3498AB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маленьком цеху на мясокомбинате изготовляют артиллерийские снаряды.</w:t>
      </w:r>
    </w:p>
    <w:p w14:paraId="60066A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заводе «Электросила» № 501 ( S 6) в Петербурге , а также на двух маленьких предприятиях на Лиговском проспекте неподалеку от заводов № 731 и 643 (R/S 7) выпускаются артиллерийские снаряды.</w:t>
      </w:r>
    </w:p>
    <w:p w14:paraId="713708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заводе 407 (S 5) производят детали для самолетов.</w:t>
      </w:r>
    </w:p>
    <w:p w14:paraId="673E89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северу от Каменной, в середине деревни под прикрытием кустарника находится склад боеприпасов для пехотных частей, а также мины.</w:t>
      </w:r>
    </w:p>
    <w:p w14:paraId="651E01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парке к северу от склада боеприпасов № 284 (E 15/16) в штабеля складируются боеприпасы.</w:t>
      </w:r>
    </w:p>
    <w:p w14:paraId="4B2518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заводе № 7 (№ 598) в мирное время работало 25 тыс. человек. На нем выпускались 76-мм зенитные орудия, 76-мм полевые орудия, а также длинноствольные орудия того же калибра. С весны 1940 г. 5-й цех выпускал новый вид вооружений — «бомбомет» (&lt;&gt;) , предназначенный для стрельбы ракетами, в объеме 200 единиц в месяц, но в настоящее время эвакуирован на Урал. По неподтвержденным данным, в 1-м цехе изготовляются орудия со спаренным пулеметом. С1 сентября на территории завода находится один из цехов Кировского завода.</w:t>
      </w:r>
    </w:p>
    <w:p w14:paraId="692046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Кировский завод.</w:t>
      </w:r>
    </w:p>
    <w:p w14:paraId="163636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1940 г., по некоторым данным, на заводе было выпущено 40 турбин для двухтурбинных эсминцев. Турбины были направлены частично на завод им. Жданова, частично на Балтийский завод, частично — в Николаев (Черное море), а также в Комсомольск (Дальний Восток). Кроме этого, завод производил танки, бронемашины, танкетки, наземные мины, артиллерийские боеприпасы, орудия, пулеметы и танки-амфибии. Танки и орудия проходили испытания на самом заводе. В середине сентября ежедневно производилось еще 700-1000 м танковых гусениц и 700 артиллерийских снарядов.</w:t>
      </w:r>
    </w:p>
    <w:p w14:paraId="38D91C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того, как танки и орудия проходили на заводе испытания, они, как правило, немедленно вывозились под прикрытием ночи.</w:t>
      </w:r>
    </w:p>
    <w:p w14:paraId="7C1F30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Балтийский завод.</w:t>
      </w:r>
    </w:p>
    <w:p w14:paraId="538635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Ведутся лихорадочные работы на крейсере «Чапаев», который еще находится в доке, поскольку корабль в скором времени должен быть спущен на воду. Крейсер «Чкалов» уже сошел со стапелей, не будучи, однако, полностью оснащенным вооружением. В доках еще находятся два больших судна, на которых продолжается работа.</w:t>
      </w:r>
    </w:p>
    <w:p w14:paraId="5EBAD0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Разрушения</w:t>
      </w:r>
    </w:p>
    <w:p w14:paraId="3FEC57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 разрушениях на Кировском заводе имеется одно сообщение. В соответствии с ним, наиболее тяжелый урон нанесен следующим подразделениям, которые выведены из строя: металлолитейный цех, сверлильный цех, рессорный цех, штамповочный цех, 2-й механический цех. Бывший тракторный цех серьезно пострадал от пожаров. Временно были выведены из строя: 3-й механический цех, в котором изготовлялись корпуса для танков; цех по производству турбин, на котором в последнее время выпускали башни для танков, а также кузнечный цех.</w:t>
      </w:r>
    </w:p>
    <w:p w14:paraId="68E97F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Менее значительные повреждения были нанесены местной электростанции и цеху по производству орудий.</w:t>
      </w:r>
    </w:p>
    <w:p w14:paraId="60C169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Ижорский завод в Колпино, который уже в начале сентября перебазировал ряд цехов на различные военные заводы, должен встать 10 октября, потому что идущая из Ленинграда железная дорога обеспечивает движение поездов пока только до Обухово.</w:t>
      </w:r>
    </w:p>
    <w:p w14:paraId="76EF65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Мост лейтенанта Шмидта разрушен в результате бомбовых ударов.</w:t>
      </w:r>
    </w:p>
    <w:p w14:paraId="591CD5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верфи «Петрозавод» № 527 полностью сгорели два больших ангара.</w:t>
      </w:r>
    </w:p>
    <w:p w14:paraId="423A2A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Сообщают, кроме того, о больших разрушениях Московского вокзала, учреждений, расположенных на набережной Невы, Путиловского завода.: он уже проходил под названием Кировский (Н.Л), а также завода «Красный Выборжец» (К 9).</w:t>
      </w:r>
    </w:p>
    <w:p w14:paraId="4C7FBF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Мероприятия по минированию объектов в городе.</w:t>
      </w:r>
    </w:p>
    <w:p w14:paraId="5BD1A0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показаниям одного военнопленного, находящаяся в Петербурге тюрьма Кресты полностью очищена от заключенных и приведена в хорошее состояние. Возможно, это сделано для того, чтобы после занятия немцами заминированного здания подорвать его</w:t>
      </w:r>
    </w:p>
    <w:p w14:paraId="13F7F6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Красная Армия.</w:t>
      </w:r>
    </w:p>
    <w:p w14:paraId="2AC17C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Как сообщают, в Смольном институте № 181 (L 10) находится штаб Жданова. Стоянка штаба на улице между двумя скверами к северу от разделительной линии L/M крепко перекрыта маскировочной сеткой. В административном здании № 214 (М 6) находится штаб петербургской милиции. К северо-западу от этого здания у Зимнего дворца находится стоянка автомашин этого штаба.</w:t>
      </w:r>
    </w:p>
    <w:p w14:paraId="5BDA39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 свидетельствуют о недостаточном вооружении пополнения, которое зачастую проходит военную подготовку в течение всего нескольких дней, а затем сразу же направляется на фронт. Все чаще из-за нехватки обмундирования новобранцев посылают на фронт в гражданском. Многократно сообщалось о том, что с убитых снимают сапоги и шинели.</w:t>
      </w:r>
    </w:p>
    <w:p w14:paraId="5DEEAF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октября через Ладожское озеро из глубины Советского Союза переправилось подкрепление. 3 тыс. человек были призваны в конце сентября из области вокруг Казани и на судне (доставлены под Ленинград). Призыву подлежали лица в возрасте от 15 до 50 лет; им выдали обмундирование и без всякой подготовки по прибытии в Петербург отправили на фронт. Вооружение состояло частично из винтовок образца 1894 г.</w:t>
      </w:r>
    </w:p>
    <w:p w14:paraId="28CF4A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Деятельность партии и ее органов.</w:t>
      </w:r>
    </w:p>
    <w:p w14:paraId="337515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начала октября особые отделы НКВД на различных крупных предприятиях стали осуществлять вербовку агентов для разведки Красной Армии из числа рабочих. Так, с алюминиевого завода, что на Волховке 6, через линию фронта были переброшены два юноши в возрасте 17 и 18 лет с целью сбора сведений о движении транспорта по шоссейным и железной дорогам. С другого предприятия были заброшены 8 учащихся в возрасте от 8 до 20 лет. Их задача состояла в выявлении интенсивности движения транспорта, занимающегося снабжением войск, а также артиллерийских позиций. Партизанский отряд Кировского завода поручал различным женщинам и подросткам выявление высших немецких штабов, интенсивность движения транспорта, занимающегося снабжением войск, артиллерийских позиций и аэродромов. При допросе агенты должны были давать правдоподобную информацию о положении со снабжением и только по вопросам, касающимся разрушений, укреплений и т.п. им следовало ограничиваться по возможности самыми общими ответами. Основанием для перехода линии фронта чаще всего называлось желание встретиться с родственниками, оставшимися на оккупированной территории. Агентам из числа молодежи следовало искать сочувствия на немецких полевых кухнях и уже через них решать поставленные советской разведкой задачи. Некоторым агентам были присвоены номера, с помощью которых они должны были при возвращении удостоверить свою личность.</w:t>
      </w:r>
    </w:p>
    <w:p w14:paraId="2DBF16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того, чтобы поднять волю к сопротивлению у широких слоев населения, чрезвычайно упрощены правила приема в партию и одновременно развернута большая кампания по вербовке новых членов. При этом исходят из того, что новые члены партии, опасаясь расплаты, будут сражаться с немцами до конца.</w:t>
      </w:r>
    </w:p>
    <w:p w14:paraId="16D772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Связь с внешним миром.</w:t>
      </w:r>
    </w:p>
    <w:p w14:paraId="6249C0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Относительно связи Петербурга с Советским Союзом удалось установить, что осуществляется регулярное движение маленьких пароходов через Ладожское озеро. 2 октября началась доставка через Ладожское озеро 3 тыс. резервистов, которых по железной дороге провезли через Ярославль и Вологду до Волховстроя, откуда они пешком добирались до Новой Ладоги. На баркасе солдаты доставлялись на стоявший на якоре в нескольких километрах в направлении устья реки Волхов маленький пароход. Переправа через Ладожское озеро происходит ночью. Пароход причаливает в маленькой гавани на западном берегу Ладожского озера приблизительно в 2 км севернее устья Невы. Сходни состоят из барки, которая связана с берегом мостками. В месте самой гавани есть 10-12 деревянных домов и два трехэтажных здания. В результате артиллерийских обстрелов и бомбардировок там отмечались разрушения. В гавани находятся обломки затонувшего судна.</w:t>
      </w:r>
    </w:p>
    <w:p w14:paraId="4259B4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Движение через Ладожское озеро осуществляется силами 3-4 маленьких пароходов. О движении транспортов, занимающихся перевозкой товаров, ничего установить не удалось. Перебежчики из Ленинграда, которые пытаются перейти через немецкую линию фронта, предпочитают следующие маршруты: 1. Московское шоссе по направлению на Слуцк или Пушкин. 2. Железная дорога до Обухова и оттуда пешком в направлении Колпино; далее обойти его с восточной стороны мимо кладбища и двигаться параллельно железной дороге в направлении Красного Бора. 3. На правом берегу Невы двигаться вверх по течению через немецкую Ново-саратовскую колонию и Овзино в направлении Боровых и оттуда на лодке — в направлении Ивановской.</w:t>
      </w:r>
    </w:p>
    <w:p w14:paraId="065FFD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13. Дополнения к военному плану.</w:t>
      </w:r>
    </w:p>
    <w:p w14:paraId="2B94A0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Большой склад боеприпасов находится в лесу в 1,5 км западнее железнодорожной линии между деревнями Новое Девяткино и Медвежий Стан (примерно в 11 км к северу от центра Ленинграда). Здесь находятся боеприпасы всех видов (артиллерийское вооружение, взрывчатые вещества, стрелковое оружие и боеприпасы и т. д.). Частично боеприпасы находятся под землей, частично — на поверхности.</w:t>
      </w:r>
    </w:p>
    <w:p w14:paraId="7FD2E5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Источники:</w:t>
      </w:r>
    </w:p>
    <w:p w14:paraId="58BA33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Донесения СД</w:t>
      </w:r>
    </w:p>
    <w:p w14:paraId="7A46D4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Допросы военнопленных и перебежчиков, произведенные войсками. Показания военнопленных, перебежчиков и данные агентов абверг-руппе АОК (18-й армии).</w:t>
      </w:r>
    </w:p>
    <w:p w14:paraId="0A65F3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Национальный Архив США. Командование 18-й армии. Отдел 1с. Микрофильм. Т-312/1579 — 651-60 (11814).</w:t>
      </w:r>
    </w:p>
    <w:p w14:paraId="044436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2CE7B9A" w14:textId="7F12E5C6" w:rsidR="00120EA7" w:rsidRPr="00640820" w:rsidRDefault="00120EA7" w:rsidP="00640820">
      <w:pPr>
        <w:autoSpaceDE w:val="0"/>
        <w:autoSpaceDN w:val="0"/>
        <w:adjustRightInd w:val="0"/>
        <w:spacing w:after="0" w:line="240" w:lineRule="auto"/>
        <w:jc w:val="both"/>
        <w:rPr>
          <w:rFonts w:ascii="Times New Roman" w:hAnsi="Times New Roman"/>
          <w:i/>
          <w:iCs/>
          <w:color w:val="000000" w:themeColor="text1"/>
          <w:sz w:val="16"/>
          <w:szCs w:val="16"/>
        </w:rPr>
      </w:pPr>
      <w:r w:rsidRPr="00640820">
        <w:rPr>
          <w:rFonts w:ascii="Times New Roman" w:hAnsi="Times New Roman"/>
          <w:i/>
          <w:iCs/>
          <w:color w:val="000000" w:themeColor="text1"/>
          <w:sz w:val="16"/>
          <w:szCs w:val="16"/>
        </w:rPr>
        <w:t>Армия:</w:t>
      </w:r>
    </w:p>
    <w:p w14:paraId="3190D387" w14:textId="77777777" w:rsidR="00120EA7" w:rsidRPr="00640820" w:rsidRDefault="00120EA7" w:rsidP="00640820">
      <w:pPr>
        <w:autoSpaceDE w:val="0"/>
        <w:autoSpaceDN w:val="0"/>
        <w:adjustRightInd w:val="0"/>
        <w:spacing w:after="0" w:line="240" w:lineRule="auto"/>
        <w:jc w:val="both"/>
        <w:rPr>
          <w:rFonts w:ascii="Times New Roman" w:hAnsi="Times New Roman"/>
          <w:i/>
          <w:iCs/>
          <w:color w:val="000000" w:themeColor="text1"/>
          <w:sz w:val="16"/>
          <w:szCs w:val="16"/>
        </w:rPr>
      </w:pPr>
    </w:p>
    <w:p w14:paraId="1305CBFA" w14:textId="77777777" w:rsidR="00120EA7" w:rsidRPr="00640820" w:rsidRDefault="00120EA7"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ходе оборонительных сражений с 30 сентября по 31 октября 1941 авиация выполнила 26000 вылетов, в т.ч. 80% на поддержку и прикрытие войск. Общие потери немецкой авиации с 30 сентября по 14 ноября на ЗН были 1020 самолетов, включая 54% на аэродромах, 30% в воздушных боях, 16 - ЗА (341,72).</w:t>
      </w:r>
    </w:p>
    <w:p w14:paraId="606EF0CA" w14:textId="77777777" w:rsidR="00120EA7" w:rsidRPr="00640820" w:rsidRDefault="00120EA7" w:rsidP="00640820">
      <w:pPr>
        <w:autoSpaceDE w:val="0"/>
        <w:autoSpaceDN w:val="0"/>
        <w:adjustRightInd w:val="0"/>
        <w:spacing w:after="0" w:line="240" w:lineRule="auto"/>
        <w:jc w:val="both"/>
        <w:rPr>
          <w:rFonts w:ascii="Times New Roman" w:hAnsi="Times New Roman"/>
          <w:color w:val="000000" w:themeColor="text1"/>
          <w:sz w:val="16"/>
          <w:szCs w:val="16"/>
        </w:rPr>
      </w:pPr>
    </w:p>
    <w:p w14:paraId="47F1B02F" w14:textId="46687D04"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1E00DD28"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1668662" w14:textId="77777777" w:rsidR="00BE26F3" w:rsidRPr="00640820" w:rsidRDefault="00BE26F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31 октября 1941 года фирма «Авро» сдала первый серийный «Ланкастер», а в следующем месяце началось перевооружение на новую технику 44-й эскадрильи Бомбардировочного Командования, которая с началом войны эта эскадрилья прибыла в Англию с места постоянной дислокации в далекой Родезии (юг Африки) и смогла выжить, воюя в самый трудный период на «Хэмпден» и «Манчестер», и теперь открывала новую страницу своей боевой биографии..</w:t>
      </w:r>
    </w:p>
    <w:p w14:paraId="053E52DE" w14:textId="77777777" w:rsidR="00BE26F3" w:rsidRPr="00640820" w:rsidRDefault="00BE26F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Серийные самолеты «Ланкастер» B Mk. I получили четыре турели с гидравлическим управлением фирмы «Фрезер и Нэш». Носовая установка F.N. 5A, а также расположенные в средней части фюзеляжа верхняя F.N. 50 и нижняя F.N. 64 имели по два 7,69-мм пулемета «Браунинг», а хвостовая F.N. 20А — четыре таких пулемета. Рабочие места всех членов экипажа и некоторые важные агрегаты (например, электрогенераторы и бензонасосы) получили местное бронирование.</w:t>
      </w:r>
    </w:p>
    <w:p w14:paraId="42FDCC77" w14:textId="77777777" w:rsidR="00BE26F3" w:rsidRPr="00640820" w:rsidRDefault="00BE26F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Выпуск удачного «ланкастера» Mk. I продолжался до самого конца войны, всего было построено 3544 самолета этого варианта. Из крупных конструктивных доработок можно отметить разве что появление более надежных моторов «Мерлин» модификаций Mk. 22 или 24, да нового оборудования — навигационно-бомбардировочной системы «Джи», ответчика «свой — чужой» и т.п. (22824).</w:t>
      </w:r>
    </w:p>
    <w:p w14:paraId="1D99C574" w14:textId="77777777" w:rsidR="00BE26F3" w:rsidRPr="00640820" w:rsidRDefault="00BE26F3" w:rsidP="00640820">
      <w:pPr>
        <w:spacing w:after="0" w:line="240" w:lineRule="auto"/>
        <w:jc w:val="both"/>
        <w:rPr>
          <w:rFonts w:ascii="Times New Roman" w:hAnsi="Times New Roman"/>
          <w:color w:val="0070C0"/>
          <w:sz w:val="16"/>
          <w:szCs w:val="16"/>
        </w:rPr>
      </w:pPr>
    </w:p>
    <w:p w14:paraId="2231187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 октября 1941 в Германии начата кампания “добровольной” сдачи всеми рабочими 25 марок в день на нужды войны (4962).</w:t>
      </w:r>
    </w:p>
    <w:p w14:paraId="5083FA9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30AA7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 октября 1941 на горе Рашмор (США) завершено сооружение самого большого памятника мира - 18-метровые головы четырех президентов (4962).</w:t>
      </w:r>
    </w:p>
    <w:p w14:paraId="5008D25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79A96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 октября 1941 немецкий генерал Э. фон Бах-Залевски доложил Гитлеру о том, что Эстония полностью очищена от евреев (4962).</w:t>
      </w:r>
    </w:p>
    <w:p w14:paraId="3F6563F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B8920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 октября 1941 американские ВМС потеряли первый военный корабль в ходе второй мировой войны - у Рейкьявика немецкой подлодкой затоплен конвойный корабль “Ребен Джеймс” (4962).</w:t>
      </w:r>
    </w:p>
    <w:p w14:paraId="56C7298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91EE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October 31, 1941: In the north Atlantic, the US destroyer Reuben James escorting Convoy HX-156 is sunk by U-552 (Kapitanleutnant Erich Topp) with the loss of 100 of her crew. The destroyer is the first US naval casualty in the hitherto undeclared war between Germany and the United States that existed after President Roosevelt authorized the use of American naval vessels to escort Lend-Lease convoys bound for Britain (3819).</w:t>
      </w:r>
    </w:p>
    <w:p w14:paraId="467B3E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011588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October 31 Fri. 1941 Destroyer REUBEN JAMES (DD-245) is torpedoed and sinks off western Iceland with loss of about 100 lives; this is the first United States naval vessel to be lost by enemy action in World War II (1064).</w:t>
      </w:r>
    </w:p>
    <w:p w14:paraId="3217E3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5975E1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 октября 1941 в районе к западу от Исландии был торпедирован и потоплен эсминец REUBEN JAMES (DD-245) и погибли 100 чел. Это был первый корабль США, потерянный в ходе войны от вражеских действий (1064).</w:t>
      </w:r>
    </w:p>
    <w:p w14:paraId="1A52E3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8E1C3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 октября 1941 в воздух поднялся первый серийный Авро Ланкастер, а первый опытный полетел 9 января 1941 (1144,25).</w:t>
      </w:r>
    </w:p>
    <w:p w14:paraId="082498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EEB35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 октября 1941 года в Вудфорде поднялся в воздух головной серийный бомбардировщик. Успешные летные испытания первых машин дали основания Министерству авиации Великобритании срочно приступить к серийному выпуску «Ланкастера». Постройку «Манчестера» приостановили, успев собрать 110 из заказанной серии в 300 самолетов. А освободившиеся мощности фирмы «Авро» отдали под новый четырехмоторный вариант бомбардировщика. Бомбардировочное командование Королевских ВВС остро нуждалось в новейших машинах. Для увеличения темпа производства к выпуску «Ланкастеров» привлекли и другие компании. Одной из первых к работе подключилась фирма «Метровик», уже имевшая опыт сборки «Манчестеров»; с конца 1941 г. к ней добавились «Армстронг Уитворт» и «Виккерс-Армстронг», а в 1942 г. -«Остин Моторс». Перед новым 1942 г. к полетам на четырехмоторном «авро» приступили, наконец, строевые летчики. Ими стали экипажи 44-й эскадрильи в Уэддингтоне, летавшие до этого на «Хэмпденах» («Hampden»). Параллельно с поступлением «Ланкастеров» на вооружение продолжались интенсивные испытания двух первых машин в Боскомбе, чтобы заранее обнаружить возможные недостатки конструкции. «Ланкастер» оправдал надежды военных. Темп выпуска бомбардировщиков нарастал с каждым днем: в начале 1942 г. в месяц выкатывали 23 самолета, а к концу года эта цифра достигла 91 машины. К концу 1944 г. вышли вообще на рекордный результат - 260 «Ланкастеров» в месяц! Цифра очень впечатляющая - ведь в Англии более высокими темпами до этого выпускали лишь истребители «Харрикейн» («Hurricane») и «Спит-файр» («Spitfire»), которые по сложности никак нельзя сравнивать с четырехмоторными «авро» (11860).</w:t>
      </w:r>
    </w:p>
    <w:p w14:paraId="20710B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BD7F0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 октября 1941 в США был закончен национальный мемориал - портреты президентов, высеченные в скале. делали 14 лет (3263,615).</w:t>
      </w:r>
    </w:p>
    <w:p w14:paraId="1642EB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0580013"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6B07A387"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F196E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октября 1941 г. в связи с эвакуацией поступление Ил-2 временно прекратилось совсем. В октябре 1941 вышло постановление ГКО о прекращении выпуска АМ-37. Чтобы делать АМ-38 (4,178), но этого не хватило.</w:t>
      </w:r>
    </w:p>
    <w:p w14:paraId="2DC232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Несколько машин, которые собрали на заводах N 1 и N 381, приступивших к выпуску штурмовиков, не могли исправить положения. К этому времени началось "решающее наступление германской армии на Москву" - операция "Тайфун". 144 Ил-2, из которых только половина могла считаться боеспособной, противостояли врагу на всех фронтах. Из этого количества всего 36 штурмовиков сражались на направлении главного удара вермахта. Среди советской авиационной группировки храбро сражались с врагом летчики 215 ШАП, полком командовал майор Л.Рейно. В июле летчики сдали И-15бис и начали переучиваться на Ил-2. Но учеба продолжалась недолго (452).</w:t>
      </w:r>
    </w:p>
    <w:p w14:paraId="0E1170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E034FCD" w14:textId="77777777" w:rsidR="00200A28" w:rsidRPr="00640820" w:rsidRDefault="00200A28" w:rsidP="00640820">
      <w:pPr>
        <w:pStyle w:val="ae"/>
        <w:shd w:val="clear" w:color="auto" w:fill="FFFFFF"/>
        <w:spacing w:before="0" w:after="0"/>
        <w:jc w:val="both"/>
        <w:rPr>
          <w:color w:val="000000" w:themeColor="text1"/>
          <w:sz w:val="16"/>
          <w:szCs w:val="16"/>
        </w:rPr>
      </w:pPr>
      <w:r w:rsidRPr="00640820">
        <w:rPr>
          <w:color w:val="000000" w:themeColor="text1"/>
          <w:sz w:val="16"/>
          <w:szCs w:val="16"/>
        </w:rPr>
        <w:t>В конце октября 1941 завод № 122 посетил нарком Авиапрома А.И.Шахурин. Вот как он описывал позже увиденное.</w:t>
      </w:r>
    </w:p>
    <w:p w14:paraId="70193919" w14:textId="77777777" w:rsidR="00200A28" w:rsidRPr="00640820" w:rsidRDefault="00200A28" w:rsidP="00640820">
      <w:pPr>
        <w:pStyle w:val="ae"/>
        <w:shd w:val="clear" w:color="auto" w:fill="FFFFFF"/>
        <w:spacing w:before="0" w:after="0"/>
        <w:jc w:val="both"/>
        <w:rPr>
          <w:color w:val="000000" w:themeColor="text1"/>
          <w:sz w:val="16"/>
          <w:szCs w:val="16"/>
        </w:rPr>
      </w:pPr>
      <w:r w:rsidRPr="00640820">
        <w:rPr>
          <w:color w:val="000000" w:themeColor="text1"/>
          <w:sz w:val="16"/>
          <w:szCs w:val="16"/>
        </w:rPr>
        <w:t>«На площадке, куда я прибыл прямо с аэродрома, творилось что-то невообразимое. Картина, открывшаяся глазу, в первый миг походила на хаос, в котором трудно было что-либо понять. Но стоило приглядеться к этому «муравейнику», как первое впечатление исчезало, все становилось на свои места. На площадке работало более 50 тысяч строителей. Действовала большая, слаженная трудовая армия. Однако строительство было очень далеко от завершения…</w:t>
      </w:r>
    </w:p>
    <w:p w14:paraId="12B054D1" w14:textId="77777777" w:rsidR="00200A28" w:rsidRPr="00640820" w:rsidRDefault="00200A28" w:rsidP="00640820">
      <w:pPr>
        <w:pStyle w:val="ae"/>
        <w:shd w:val="clear" w:color="auto" w:fill="FFFFFF"/>
        <w:spacing w:before="0" w:after="0"/>
        <w:jc w:val="both"/>
        <w:rPr>
          <w:color w:val="000000" w:themeColor="text1"/>
          <w:sz w:val="16"/>
          <w:szCs w:val="16"/>
        </w:rPr>
      </w:pPr>
      <w:r w:rsidRPr="00640820">
        <w:rPr>
          <w:color w:val="000000" w:themeColor="text1"/>
          <w:sz w:val="16"/>
          <w:szCs w:val="16"/>
        </w:rPr>
        <w:t>Вместе со строителями трудились рабочие и инженеры эвакуированных заводов. Они прокладывали временные железнодорожные пути для продвижения эшелонов с оборудованием в цехи и начинали разгружать это оборудование. В некоторых корпусах оборудование уже устанавливали, хотя крыш еще не было. Работа шла под открытым небом на нескольких уровнях. Внизу размещали станки и прокладывали силовой кабель. По стенам крепили арматуру, тянули проводку осветительной сети. Вверху сооружали кровлю и сваривали балки.</w:t>
      </w:r>
    </w:p>
    <w:p w14:paraId="11B29C96" w14:textId="77777777" w:rsidR="00200A28" w:rsidRPr="00640820" w:rsidRDefault="00200A28" w:rsidP="00640820">
      <w:pPr>
        <w:pStyle w:val="ae"/>
        <w:shd w:val="clear" w:color="auto" w:fill="FFFFFF"/>
        <w:spacing w:before="0" w:after="0"/>
        <w:jc w:val="both"/>
        <w:rPr>
          <w:color w:val="000000" w:themeColor="text1"/>
          <w:sz w:val="16"/>
          <w:szCs w:val="16"/>
        </w:rPr>
      </w:pPr>
      <w:r w:rsidRPr="00640820">
        <w:rPr>
          <w:color w:val="000000" w:themeColor="text1"/>
          <w:sz w:val="16"/>
          <w:szCs w:val="16"/>
        </w:rPr>
        <w:t>Приехавшие сюда загодя главные инженеры, главные технологи и механики очень точно распределили все заранее. Любой начальник цеха тотчас после прибытия знал свое место, вместе с рабочими помогал строителям поскорее сдать цех.</w:t>
      </w:r>
    </w:p>
    <w:p w14:paraId="0C2DE4FC" w14:textId="77777777" w:rsidR="00200A28" w:rsidRPr="00640820" w:rsidRDefault="00200A28" w:rsidP="00640820">
      <w:pPr>
        <w:pStyle w:val="ae"/>
        <w:shd w:val="clear" w:color="auto" w:fill="FFFFFF"/>
        <w:spacing w:before="0" w:after="0"/>
        <w:jc w:val="both"/>
        <w:rPr>
          <w:color w:val="000000" w:themeColor="text1"/>
          <w:sz w:val="16"/>
          <w:szCs w:val="16"/>
        </w:rPr>
      </w:pPr>
      <w:r w:rsidRPr="00640820">
        <w:rPr>
          <w:color w:val="000000" w:themeColor="text1"/>
          <w:sz w:val="16"/>
          <w:szCs w:val="16"/>
        </w:rPr>
        <w:t>Страшно неловко себя чувствуешь, зная, что при такой напряженной работе не можешь дать людям не только нормального отдыха в тепле, но даже не имеешь возможности накормить их горячей едой. У разведенных костров эвакуированные кипятили чай (вернее шиповник), обогревались, обедали» (19827).</w:t>
      </w:r>
    </w:p>
    <w:p w14:paraId="57B65DC1" w14:textId="77777777" w:rsidR="00200A28" w:rsidRPr="00640820" w:rsidRDefault="00200A28" w:rsidP="00640820">
      <w:pPr>
        <w:pStyle w:val="ae"/>
        <w:shd w:val="clear" w:color="auto" w:fill="FFFFFF"/>
        <w:spacing w:before="0" w:after="0"/>
        <w:jc w:val="both"/>
        <w:rPr>
          <w:rStyle w:val="a7"/>
          <w:rFonts w:eastAsiaTheme="majorEastAsia"/>
          <w:b w:val="0"/>
          <w:color w:val="000000" w:themeColor="text1"/>
          <w:sz w:val="16"/>
          <w:szCs w:val="16"/>
        </w:rPr>
      </w:pPr>
    </w:p>
    <w:p w14:paraId="0A379686" w14:textId="77777777" w:rsidR="00340A71" w:rsidRPr="00640820" w:rsidRDefault="00340A71"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конце октября 1941 года, практически одновременно с эвакуацией авиационных заводов Москвы, выходит приказ по Наркомату авиационной промышленности за подписью заместителя Наркома П. Дементьева «Об организации ремонта самолетов и моторов на площадях эвакуируемых заводов» (Приказы и распоряжения НКАП и ПГУ, 1941 г. Центральный архив ИАЗ. Дело № 1, ч. 2, лист 135.).</w:t>
      </w:r>
    </w:p>
    <w:p w14:paraId="11964B41" w14:textId="77777777" w:rsidR="00340A71" w:rsidRPr="00640820" w:rsidRDefault="00340A71"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1. Создать на площадях эвакуируемых заводов № № 1, 22, 39, 84, 207, 301, 482 самолетные ремонтные мастерские, на площадях заводов № 24 и ЦИАМ моторные ремонтные мастерские, на заводах №№ 28,32 и 156 ремонтные мастерские по винтам, вооружению и агрегатам. Ремонтные мастерские подчинить директорам заводов</w:t>
      </w:r>
    </w:p>
    <w:p w14:paraId="4DD1B569" w14:textId="77777777" w:rsidR="00340A71" w:rsidRPr="00640820" w:rsidRDefault="00340A71"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2. Обязать директоров заводов укомплектовать ремонтные мастерские необходимым оборудованием, квалифицированными рабочими и ИТР, инструментом, материалами и запасными частями, а также предусмотреть обеспечение всеми видами энергии, пожарно-сторожевой охраной, и выделить по 2-е грузовой и одной легковой автомашине.</w:t>
      </w:r>
    </w:p>
    <w:p w14:paraId="01294AD9" w14:textId="77777777" w:rsidR="00340A71" w:rsidRPr="00640820" w:rsidRDefault="00340A71" w:rsidP="00640820">
      <w:pPr>
        <w:pStyle w:val="rteindent11"/>
        <w:shd w:val="clear" w:color="auto" w:fill="FFFFFF"/>
        <w:spacing w:before="0" w:beforeAutospacing="0" w:after="0"/>
        <w:ind w:left="0" w:firstLine="0"/>
        <w:rPr>
          <w:rStyle w:val="af0"/>
          <w:i w:val="0"/>
          <w:color w:val="000000" w:themeColor="text1"/>
          <w:sz w:val="16"/>
          <w:szCs w:val="16"/>
        </w:rPr>
      </w:pPr>
      <w:r w:rsidRPr="00640820">
        <w:rPr>
          <w:rStyle w:val="af0"/>
          <w:i w:val="0"/>
          <w:color w:val="000000" w:themeColor="text1"/>
          <w:sz w:val="16"/>
          <w:szCs w:val="16"/>
        </w:rPr>
        <w:t>3. Для руководства ремонтными мастерскими г. Москвы организовать ремонтный отдел НКАП. Утвердить ремонтному отделу штат в 10 человек.</w:t>
      </w:r>
    </w:p>
    <w:p w14:paraId="2829282C" w14:textId="77777777" w:rsidR="00340A71" w:rsidRPr="00640820" w:rsidRDefault="00340A71" w:rsidP="00640820">
      <w:pPr>
        <w:pStyle w:val="rteindent11"/>
        <w:shd w:val="clear" w:color="auto" w:fill="FFFFFF"/>
        <w:spacing w:before="0" w:beforeAutospacing="0" w:after="0"/>
        <w:ind w:left="0" w:firstLine="0"/>
        <w:rPr>
          <w:rStyle w:val="af0"/>
          <w:i w:val="0"/>
          <w:color w:val="000000" w:themeColor="text1"/>
          <w:sz w:val="16"/>
          <w:szCs w:val="16"/>
        </w:rPr>
      </w:pPr>
      <w:r w:rsidRPr="00640820">
        <w:rPr>
          <w:rStyle w:val="af0"/>
          <w:i w:val="0"/>
          <w:color w:val="000000" w:themeColor="text1"/>
          <w:sz w:val="16"/>
          <w:szCs w:val="16"/>
        </w:rPr>
        <w:t>4. Назначить Начальником ремонтного отдела НКАП тов. Ленкина В.И. и главным инженером тов. Новосельского В.А.</w:t>
      </w:r>
    </w:p>
    <w:p w14:paraId="4DF6E272" w14:textId="77777777" w:rsidR="00340A71" w:rsidRPr="00640820" w:rsidRDefault="00340A71" w:rsidP="00640820">
      <w:pPr>
        <w:pStyle w:val="rteindent11"/>
        <w:shd w:val="clear" w:color="auto" w:fill="FFFFFF"/>
        <w:spacing w:before="0" w:beforeAutospacing="0" w:after="0"/>
        <w:ind w:left="0" w:firstLine="0"/>
        <w:rPr>
          <w:rStyle w:val="af0"/>
          <w:i w:val="0"/>
          <w:color w:val="000000" w:themeColor="text1"/>
          <w:sz w:val="16"/>
          <w:szCs w:val="16"/>
        </w:rPr>
      </w:pPr>
      <w:r w:rsidRPr="00640820">
        <w:rPr>
          <w:rStyle w:val="af0"/>
          <w:i w:val="0"/>
          <w:color w:val="000000" w:themeColor="text1"/>
          <w:sz w:val="16"/>
          <w:szCs w:val="16"/>
        </w:rPr>
        <w:t>5. Обязать директоров заводов обеспечить эвакуацию семей всех работников оставленных на работе в ремонтных мастерских.</w:t>
      </w:r>
    </w:p>
    <w:p w14:paraId="135A192E" w14:textId="77777777" w:rsidR="00340A71" w:rsidRPr="00640820" w:rsidRDefault="00340A71" w:rsidP="00640820">
      <w:pPr>
        <w:pStyle w:val="rteindent11"/>
        <w:shd w:val="clear" w:color="auto" w:fill="FFFFFF"/>
        <w:spacing w:before="0" w:beforeAutospacing="0" w:after="0"/>
        <w:ind w:left="0" w:firstLine="0"/>
        <w:rPr>
          <w:rStyle w:val="af0"/>
          <w:i w:val="0"/>
          <w:color w:val="000000" w:themeColor="text1"/>
          <w:sz w:val="16"/>
          <w:szCs w:val="16"/>
        </w:rPr>
      </w:pPr>
      <w:r w:rsidRPr="00640820">
        <w:rPr>
          <w:rStyle w:val="af0"/>
          <w:i w:val="0"/>
          <w:color w:val="000000" w:themeColor="text1"/>
          <w:sz w:val="16"/>
          <w:szCs w:val="16"/>
        </w:rPr>
        <w:t>9. Директорам заводов №№ 19, 26, 39 командировать в Москву в распоряжение ремонтного отдела НКАП для работы в ремонтных мастерских по 3 бригады специалистов в составе 15-ти человек, обеспечить их комплектом ремонтно-монтажного инструмента и запчастями (15223).</w:t>
      </w:r>
    </w:p>
    <w:p w14:paraId="0284A8C5" w14:textId="77777777" w:rsidR="00340A71" w:rsidRPr="00640820" w:rsidRDefault="00340A71" w:rsidP="00640820">
      <w:pPr>
        <w:pStyle w:val="rteindent11"/>
        <w:shd w:val="clear" w:color="auto" w:fill="FFFFFF"/>
        <w:spacing w:before="0" w:beforeAutospacing="0" w:after="0"/>
        <w:ind w:left="0" w:firstLine="0"/>
        <w:rPr>
          <w:rStyle w:val="af0"/>
          <w:i w:val="0"/>
          <w:color w:val="000000" w:themeColor="text1"/>
          <w:sz w:val="16"/>
          <w:szCs w:val="16"/>
        </w:rPr>
      </w:pPr>
    </w:p>
    <w:p w14:paraId="364B43BE" w14:textId="77777777" w:rsidR="00E10F86" w:rsidRPr="00640820" w:rsidRDefault="00E10F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октября 1941 года, практически одновременно с эвакуацией авиационных заводов Москвы, выходит приказ по Наркомату авиационной промышленности за подписью заместителя Наркома П. Дементьева «Об организации ремонта самолетов и моторов на площадях эвакуируемых заводов».</w:t>
      </w:r>
    </w:p>
    <w:p w14:paraId="00729005" w14:textId="77777777" w:rsidR="00E10F86" w:rsidRPr="00640820" w:rsidRDefault="00E10F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Создать на площадях эвакуируемых заводов № № 1, 22, 39, 84, 207, 301, 482 самолетные ремонтные мастерские, на площадях заводов № 24 и ЦИАМ моторные ремонтные мастерские, на заводах №№ 28,32 и 156 ремонтные мастерские по винтам, вооружению и агрегатам. Ремонтные мастерские подчинить директорам заводов</w:t>
      </w:r>
    </w:p>
    <w:p w14:paraId="460BB894" w14:textId="77777777" w:rsidR="00E10F86" w:rsidRPr="00640820" w:rsidRDefault="00E10F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Обязать директоров заводов укомплектовать ремонтные мастерские необходимым оборудованием, квалифицированными рабочими и ИТР, инструментом, материалами и запасными частями, а также предусмотреть обеспечение всеми видами энергии, пожарно-сторожевой охраной, и выделить по 2-е грузовой и одной легковой автомашине.</w:t>
      </w:r>
    </w:p>
    <w:p w14:paraId="4AB4D86A" w14:textId="77777777" w:rsidR="00E10F86" w:rsidRPr="00640820" w:rsidRDefault="00E10F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Для руководства ремонтными мастерскими г. Москвы организовать ремонтный отдел НКАП. Утвердить ремонтному отделу штат в 10 человек.</w:t>
      </w:r>
    </w:p>
    <w:p w14:paraId="16DF26DD" w14:textId="77777777" w:rsidR="00E10F86" w:rsidRPr="00640820" w:rsidRDefault="00E10F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Назначить Начальником ремонтного отдела НКАП тов. Ленкина В.И. и главным инженером тов. Новосельского В.А.</w:t>
      </w:r>
    </w:p>
    <w:p w14:paraId="09E2A349" w14:textId="77777777" w:rsidR="00E10F86" w:rsidRPr="00640820" w:rsidRDefault="00E10F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Обязать директоров заводов обеспечить эвакуацию семей всех работников оставленных на работе в ремонтных мастерских.</w:t>
      </w:r>
    </w:p>
    <w:p w14:paraId="569EE76F" w14:textId="77777777" w:rsidR="00E10F86" w:rsidRPr="00640820" w:rsidRDefault="00E10F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Директорам заводов №№ 19, 26, 39 командировать в Москву в распоряжение ремонтного отдела НКАП для работы в ремонтных мастерских по 3 бригады специалистов в составе 15-ти человек, обеспечить их комплектом ремонтно-монтажного инструмента и запчастями (18293).</w:t>
      </w:r>
    </w:p>
    <w:p w14:paraId="292164D8" w14:textId="77777777" w:rsidR="00E10F86" w:rsidRPr="00640820" w:rsidRDefault="00E10F86" w:rsidP="00640820">
      <w:pPr>
        <w:spacing w:after="0" w:line="240" w:lineRule="auto"/>
        <w:jc w:val="both"/>
        <w:rPr>
          <w:rFonts w:ascii="Times New Roman" w:hAnsi="Times New Roman"/>
          <w:color w:val="000000" w:themeColor="text1"/>
          <w:sz w:val="16"/>
          <w:szCs w:val="16"/>
        </w:rPr>
      </w:pPr>
    </w:p>
    <w:p w14:paraId="01266BF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октября 1941 года коллектив А.М.Люльки был эвакуировн с ЛКЗ в Челя</w:t>
      </w:r>
      <w:r w:rsidRPr="00640820">
        <w:rPr>
          <w:rFonts w:ascii="Times New Roman" w:hAnsi="Times New Roman"/>
          <w:color w:val="000000" w:themeColor="text1"/>
          <w:sz w:val="16"/>
          <w:szCs w:val="16"/>
        </w:rPr>
        <w:softHyphen/>
        <w:t>бинск на тракторный завод, который выпускал танки конструкции Ж.Я.Ко</w:t>
      </w:r>
      <w:r w:rsidRPr="00640820">
        <w:rPr>
          <w:rFonts w:ascii="Times New Roman" w:hAnsi="Times New Roman"/>
          <w:color w:val="000000" w:themeColor="text1"/>
          <w:sz w:val="16"/>
          <w:szCs w:val="16"/>
        </w:rPr>
        <w:softHyphen/>
        <w:t>тина. Котин поручил Люльке работы по расчету танковых воздуховодов. Перед отъездом из Ленинграда узлы, детали и чертежи РД-1 были тща</w:t>
      </w:r>
      <w:r w:rsidRPr="00640820">
        <w:rPr>
          <w:rFonts w:ascii="Times New Roman" w:hAnsi="Times New Roman"/>
          <w:color w:val="000000" w:themeColor="text1"/>
          <w:sz w:val="16"/>
          <w:szCs w:val="16"/>
        </w:rPr>
        <w:softHyphen/>
        <w:t>тельно упакованы и зарыты в землю в углу здания (есть фотогра</w:t>
      </w:r>
      <w:r w:rsidRPr="00640820">
        <w:rPr>
          <w:rFonts w:ascii="Times New Roman" w:hAnsi="Times New Roman"/>
          <w:color w:val="000000" w:themeColor="text1"/>
          <w:sz w:val="16"/>
          <w:szCs w:val="16"/>
        </w:rPr>
        <w:softHyphen/>
        <w:t>фия). Во время вылета в эвакуацию са</w:t>
      </w:r>
      <w:r w:rsidRPr="00640820">
        <w:rPr>
          <w:rFonts w:ascii="Times New Roman" w:hAnsi="Times New Roman"/>
          <w:color w:val="000000" w:themeColor="text1"/>
          <w:sz w:val="16"/>
          <w:szCs w:val="16"/>
        </w:rPr>
        <w:softHyphen/>
        <w:t>молет, в котором находился А.Люлька, был атакован немецким истребителем, но наш летчик маневрируя увел само</w:t>
      </w:r>
      <w:r w:rsidRPr="00640820">
        <w:rPr>
          <w:rFonts w:ascii="Times New Roman" w:hAnsi="Times New Roman"/>
          <w:color w:val="000000" w:themeColor="text1"/>
          <w:sz w:val="16"/>
          <w:szCs w:val="16"/>
        </w:rPr>
        <w:softHyphen/>
        <w:t>лет от обстрела и сделал вынужденную посадку на лет Ладонежского озера, а затем успешно продолжил полет.</w:t>
      </w:r>
    </w:p>
    <w:p w14:paraId="3A07BC3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 правительства, принятое в 1938 году о централиза</w:t>
      </w:r>
      <w:r w:rsidRPr="00640820">
        <w:rPr>
          <w:rFonts w:ascii="Times New Roman" w:hAnsi="Times New Roman"/>
          <w:color w:val="000000" w:themeColor="text1"/>
          <w:sz w:val="16"/>
          <w:szCs w:val="16"/>
        </w:rPr>
        <w:softHyphen/>
        <w:t>ции работ по проекту воздушно-ре</w:t>
      </w:r>
      <w:r w:rsidRPr="00640820">
        <w:rPr>
          <w:rFonts w:ascii="Times New Roman" w:hAnsi="Times New Roman"/>
          <w:color w:val="000000" w:themeColor="text1"/>
          <w:sz w:val="16"/>
          <w:szCs w:val="16"/>
        </w:rPr>
        <w:softHyphen/>
        <w:t>активного двигателя конструкции А.М. Люльки в СКВ на Кировском заводе было вполне логичным, поскольку это предприятие имело собственное тур</w:t>
      </w:r>
      <w:r w:rsidRPr="00640820">
        <w:rPr>
          <w:rFonts w:ascii="Times New Roman" w:hAnsi="Times New Roman"/>
          <w:color w:val="000000" w:themeColor="text1"/>
          <w:sz w:val="16"/>
          <w:szCs w:val="16"/>
        </w:rPr>
        <w:softHyphen/>
        <w:t>бинное производство.</w:t>
      </w:r>
    </w:p>
    <w:p w14:paraId="55CD592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Однако война и вынужденная эва</w:t>
      </w:r>
      <w:r w:rsidRPr="00640820">
        <w:rPr>
          <w:rFonts w:ascii="Times New Roman" w:hAnsi="Times New Roman"/>
          <w:color w:val="000000" w:themeColor="text1"/>
          <w:sz w:val="16"/>
          <w:szCs w:val="16"/>
        </w:rPr>
        <w:softHyphen/>
        <w:t>куация изменили ситуацию: работы по РД-1 были прекращены, группа А.М.-Люльки практически расформирова</w:t>
      </w:r>
      <w:r w:rsidRPr="00640820">
        <w:rPr>
          <w:rFonts w:ascii="Times New Roman" w:hAnsi="Times New Roman"/>
          <w:color w:val="000000" w:themeColor="text1"/>
          <w:sz w:val="16"/>
          <w:szCs w:val="16"/>
        </w:rPr>
        <w:softHyphen/>
        <w:t>на, а СКВ сосредоточило усилия по тан</w:t>
      </w:r>
      <w:r w:rsidRPr="00640820">
        <w:rPr>
          <w:rFonts w:ascii="Times New Roman" w:hAnsi="Times New Roman"/>
          <w:color w:val="000000" w:themeColor="text1"/>
          <w:sz w:val="16"/>
          <w:szCs w:val="16"/>
        </w:rPr>
        <w:softHyphen/>
        <w:t>ковой тематике главного конструкто</w:t>
      </w:r>
      <w:r w:rsidRPr="00640820">
        <w:rPr>
          <w:rFonts w:ascii="Times New Roman" w:hAnsi="Times New Roman"/>
          <w:color w:val="000000" w:themeColor="text1"/>
          <w:sz w:val="16"/>
          <w:szCs w:val="16"/>
        </w:rPr>
        <w:softHyphen/>
        <w:t>ра Ж.Я.Котина и авиационным дизе</w:t>
      </w:r>
      <w:r w:rsidRPr="00640820">
        <w:rPr>
          <w:rFonts w:ascii="Times New Roman" w:hAnsi="Times New Roman"/>
          <w:color w:val="000000" w:themeColor="text1"/>
          <w:sz w:val="16"/>
          <w:szCs w:val="16"/>
        </w:rPr>
        <w:softHyphen/>
        <w:t>лям А.Д.Чаромского (11158).</w:t>
      </w:r>
    </w:p>
    <w:p w14:paraId="41E1650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ED00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октября 1941 года на вооружение приняли реактивные установки залпового огня БМ-8-24 (изделие 52-353-Б), смонтированные на танках Т-60 и Т-40 (3862).</w:t>
      </w:r>
    </w:p>
    <w:p w14:paraId="654C3F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93998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октября 1941 г. в Новосибирск на завод № 153 - второе по мощности предприятие, выпускавшее ЛаГГи, - было эвакуировано ОКБ Яковлева. Молодой энергичный зам. наркома предпринял меры по организации на заводе производства истребителей ЯК-7 (4707).</w:t>
      </w:r>
    </w:p>
    <w:p w14:paraId="7195D9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CC348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конце октября завод № 122 посетил нарком Авиапрома А.И.Шахурин. Вот как он описывал позже увиденное: «На площадке, куда я прибыл прямо с аэродрома, творилось что-то невообразимое. Картина, открывшаяся глазу, в первый миг походила на хаос, в котором трудно было что-либо понять. Но стоило приглядеться к этому «муравейнику», как первое впечатление исчезало, все становилось на свои места. На площадке работало более 50 тысяч строителей. Действовала большая, слаженная трудовая армия. Однако строительство было очень далеко от завершения… </w:t>
      </w:r>
    </w:p>
    <w:p w14:paraId="0AAED9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некоторых корпусах уже стояло станочное оборудование. Оно прибыло вместе с самолетостроительными предприятиями, эвакуированными из Таллина, Риги, Каунаса, Минска, Смоленска, Днепропетровска. Это подтверждает справка отдела оборонной промышленности Куйбышевского горкома ВКП(б): «К моменту приезда завода № 1 им. Сталина, завод № 122 уже располагал кадрами рабочих и ИТР в количестве около 5000 человек и оборудованием около 1000 единиц». (ГАСПИ. Ф. 714. On. 1.Д. 900. Л. 29-31. Подлинник.) (11878).</w:t>
      </w:r>
    </w:p>
    <w:p w14:paraId="70E5B2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6ECD293"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3657253F"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83CC5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октября 1941 года все сборочные мастерские Софринского полигона были вывезены в Москву для выпуска боеприпасов защитникам столицы, которой угрожало окружение. А уже 7 ноября первые снаряды, собранные на новом месте, были отправлены защитникам Тулы. В феврале 1942 года мастерские были возвращены на полигон и до конца войны продолжали выпуск боеприпасов для фронта. В общей сложности за годы войны на полигоне было собраны и направлены на фронт около 25 миллионов выстрелов разного калибра (12071).</w:t>
      </w:r>
    </w:p>
    <w:p w14:paraId="5E732F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3EA73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 состоянию на конец октября 1941 в Башкирию были эвакуированы следующие предприятия: </w:t>
      </w:r>
    </w:p>
    <w:p w14:paraId="546140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Предприятия и производства, полностью или частично передислоцированные из западных районов СССР в Башкирскую АССР во время Великой Отечественной войны</w:t>
      </w:r>
    </w:p>
    <w:tbl>
      <w:tblPr>
        <w:tblW w:w="0" w:type="auto"/>
        <w:tblInd w:w="30" w:type="dxa"/>
        <w:tblLayout w:type="fixed"/>
        <w:tblCellMar>
          <w:left w:w="30" w:type="dxa"/>
          <w:right w:w="30" w:type="dxa"/>
        </w:tblCellMar>
        <w:tblLook w:val="0000" w:firstRow="0" w:lastRow="0" w:firstColumn="0" w:lastColumn="0" w:noHBand="0" w:noVBand="0"/>
      </w:tblPr>
      <w:tblGrid>
        <w:gridCol w:w="230"/>
        <w:gridCol w:w="5866"/>
        <w:gridCol w:w="2693"/>
        <w:gridCol w:w="1984"/>
      </w:tblGrid>
      <w:tr w:rsidR="00643896" w:rsidRPr="00640820" w14:paraId="5BD55BEA" w14:textId="77777777" w:rsidTr="000D3BCB">
        <w:tc>
          <w:tcPr>
            <w:tcW w:w="230" w:type="dxa"/>
            <w:tcBorders>
              <w:top w:val="single" w:sz="12" w:space="0" w:color="auto"/>
              <w:left w:val="single" w:sz="12" w:space="0" w:color="auto"/>
              <w:bottom w:val="single" w:sz="6" w:space="0" w:color="auto"/>
              <w:right w:val="single" w:sz="6" w:space="0" w:color="auto"/>
            </w:tcBorders>
          </w:tcPr>
          <w:p w14:paraId="31FF9C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866" w:type="dxa"/>
            <w:tcBorders>
              <w:top w:val="single" w:sz="12" w:space="0" w:color="auto"/>
              <w:left w:val="single" w:sz="6" w:space="0" w:color="auto"/>
              <w:bottom w:val="single" w:sz="6" w:space="0" w:color="auto"/>
              <w:right w:val="single" w:sz="6" w:space="0" w:color="auto"/>
            </w:tcBorders>
          </w:tcPr>
          <w:p w14:paraId="363294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Предприятие, производство</w:t>
            </w:r>
          </w:p>
        </w:tc>
        <w:tc>
          <w:tcPr>
            <w:tcW w:w="2693" w:type="dxa"/>
            <w:tcBorders>
              <w:top w:val="single" w:sz="12" w:space="0" w:color="auto"/>
              <w:left w:val="single" w:sz="6" w:space="0" w:color="auto"/>
              <w:bottom w:val="single" w:sz="6" w:space="0" w:color="auto"/>
              <w:right w:val="single" w:sz="6" w:space="0" w:color="auto"/>
            </w:tcBorders>
          </w:tcPr>
          <w:p w14:paraId="4D88D1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Откуда переведено </w:t>
            </w:r>
          </w:p>
        </w:tc>
        <w:tc>
          <w:tcPr>
            <w:tcW w:w="1984" w:type="dxa"/>
            <w:tcBorders>
              <w:top w:val="single" w:sz="12" w:space="0" w:color="auto"/>
              <w:left w:val="single" w:sz="6" w:space="0" w:color="auto"/>
              <w:bottom w:val="single" w:sz="6" w:space="0" w:color="auto"/>
              <w:right w:val="single" w:sz="12" w:space="0" w:color="auto"/>
            </w:tcBorders>
          </w:tcPr>
          <w:p w14:paraId="14DF76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расположения в Башкирской АССР</w:t>
            </w:r>
          </w:p>
        </w:tc>
      </w:tr>
      <w:tr w:rsidR="00643896" w:rsidRPr="00640820" w14:paraId="332B06C6" w14:textId="77777777" w:rsidTr="000D3BCB">
        <w:tc>
          <w:tcPr>
            <w:tcW w:w="230" w:type="dxa"/>
            <w:tcBorders>
              <w:top w:val="single" w:sz="6" w:space="0" w:color="auto"/>
              <w:left w:val="single" w:sz="12" w:space="0" w:color="auto"/>
              <w:bottom w:val="single" w:sz="6" w:space="0" w:color="auto"/>
              <w:right w:val="single" w:sz="6" w:space="0" w:color="auto"/>
            </w:tcBorders>
          </w:tcPr>
          <w:p w14:paraId="233410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5866" w:type="dxa"/>
            <w:tcBorders>
              <w:top w:val="single" w:sz="6" w:space="0" w:color="auto"/>
              <w:left w:val="single" w:sz="6" w:space="0" w:color="auto"/>
              <w:bottom w:val="single" w:sz="6" w:space="0" w:color="auto"/>
              <w:right w:val="single" w:sz="6" w:space="0" w:color="auto"/>
            </w:tcBorders>
          </w:tcPr>
          <w:p w14:paraId="1F7463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451</w:t>
            </w:r>
          </w:p>
        </w:tc>
        <w:tc>
          <w:tcPr>
            <w:tcW w:w="2693" w:type="dxa"/>
            <w:tcBorders>
              <w:top w:val="single" w:sz="6" w:space="0" w:color="auto"/>
              <w:left w:val="single" w:sz="6" w:space="0" w:color="auto"/>
              <w:bottom w:val="single" w:sz="6" w:space="0" w:color="auto"/>
              <w:right w:val="single" w:sz="6" w:space="0" w:color="auto"/>
            </w:tcBorders>
          </w:tcPr>
          <w:p w14:paraId="4F2A7F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Ленинград </w:t>
            </w:r>
          </w:p>
        </w:tc>
        <w:tc>
          <w:tcPr>
            <w:tcW w:w="1984" w:type="dxa"/>
            <w:tcBorders>
              <w:top w:val="single" w:sz="6" w:space="0" w:color="auto"/>
              <w:left w:val="single" w:sz="6" w:space="0" w:color="auto"/>
              <w:bottom w:val="single" w:sz="6" w:space="0" w:color="auto"/>
              <w:right w:val="single" w:sz="12" w:space="0" w:color="auto"/>
            </w:tcBorders>
          </w:tcPr>
          <w:p w14:paraId="2C7582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Уфа </w:t>
            </w:r>
          </w:p>
        </w:tc>
      </w:tr>
      <w:tr w:rsidR="00643896" w:rsidRPr="00640820" w14:paraId="07A5951D" w14:textId="77777777" w:rsidTr="000D3BCB">
        <w:tc>
          <w:tcPr>
            <w:tcW w:w="230" w:type="dxa"/>
            <w:tcBorders>
              <w:top w:val="single" w:sz="6" w:space="0" w:color="auto"/>
              <w:left w:val="single" w:sz="12" w:space="0" w:color="auto"/>
              <w:bottom w:val="single" w:sz="6" w:space="0" w:color="auto"/>
              <w:right w:val="single" w:sz="6" w:space="0" w:color="auto"/>
            </w:tcBorders>
          </w:tcPr>
          <w:p w14:paraId="14AF98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5866" w:type="dxa"/>
            <w:tcBorders>
              <w:top w:val="single" w:sz="6" w:space="0" w:color="auto"/>
              <w:left w:val="single" w:sz="6" w:space="0" w:color="auto"/>
              <w:bottom w:val="single" w:sz="6" w:space="0" w:color="auto"/>
              <w:right w:val="single" w:sz="6" w:space="0" w:color="auto"/>
            </w:tcBorders>
          </w:tcPr>
          <w:p w14:paraId="2F716D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234</w:t>
            </w:r>
          </w:p>
        </w:tc>
        <w:tc>
          <w:tcPr>
            <w:tcW w:w="2693" w:type="dxa"/>
            <w:tcBorders>
              <w:top w:val="single" w:sz="6" w:space="0" w:color="auto"/>
              <w:left w:val="single" w:sz="6" w:space="0" w:color="auto"/>
              <w:bottom w:val="single" w:sz="6" w:space="0" w:color="auto"/>
              <w:right w:val="single" w:sz="6" w:space="0" w:color="auto"/>
            </w:tcBorders>
          </w:tcPr>
          <w:p w14:paraId="2D8A55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Ленинград</w:t>
            </w:r>
          </w:p>
        </w:tc>
        <w:tc>
          <w:tcPr>
            <w:tcW w:w="1984" w:type="dxa"/>
            <w:tcBorders>
              <w:top w:val="single" w:sz="6" w:space="0" w:color="auto"/>
              <w:left w:val="single" w:sz="6" w:space="0" w:color="auto"/>
              <w:bottom w:val="single" w:sz="6" w:space="0" w:color="auto"/>
              <w:right w:val="single" w:sz="12" w:space="0" w:color="auto"/>
            </w:tcBorders>
          </w:tcPr>
          <w:p w14:paraId="2F05AC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Уфа </w:t>
            </w:r>
          </w:p>
        </w:tc>
      </w:tr>
      <w:tr w:rsidR="00643896" w:rsidRPr="00640820" w14:paraId="794FC52B" w14:textId="77777777" w:rsidTr="000D3BCB">
        <w:tc>
          <w:tcPr>
            <w:tcW w:w="230" w:type="dxa"/>
            <w:tcBorders>
              <w:top w:val="single" w:sz="6" w:space="0" w:color="auto"/>
              <w:left w:val="single" w:sz="12" w:space="0" w:color="auto"/>
              <w:bottom w:val="single" w:sz="6" w:space="0" w:color="auto"/>
              <w:right w:val="single" w:sz="6" w:space="0" w:color="auto"/>
            </w:tcBorders>
          </w:tcPr>
          <w:p w14:paraId="765623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c>
          <w:tcPr>
            <w:tcW w:w="5866" w:type="dxa"/>
            <w:tcBorders>
              <w:top w:val="single" w:sz="6" w:space="0" w:color="auto"/>
              <w:left w:val="single" w:sz="6" w:space="0" w:color="auto"/>
              <w:bottom w:val="single" w:sz="6" w:space="0" w:color="auto"/>
              <w:right w:val="single" w:sz="6" w:space="0" w:color="auto"/>
            </w:tcBorders>
          </w:tcPr>
          <w:p w14:paraId="61A52D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Завод «Красная заря» Наркомата электропромышленности СССР </w:t>
            </w:r>
          </w:p>
        </w:tc>
        <w:tc>
          <w:tcPr>
            <w:tcW w:w="2693" w:type="dxa"/>
            <w:tcBorders>
              <w:top w:val="single" w:sz="6" w:space="0" w:color="auto"/>
              <w:left w:val="single" w:sz="6" w:space="0" w:color="auto"/>
              <w:bottom w:val="single" w:sz="6" w:space="0" w:color="auto"/>
              <w:right w:val="single" w:sz="6" w:space="0" w:color="auto"/>
            </w:tcBorders>
          </w:tcPr>
          <w:p w14:paraId="18DAD0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Ленинград</w:t>
            </w:r>
          </w:p>
        </w:tc>
        <w:tc>
          <w:tcPr>
            <w:tcW w:w="1984" w:type="dxa"/>
            <w:tcBorders>
              <w:top w:val="single" w:sz="6" w:space="0" w:color="auto"/>
              <w:left w:val="single" w:sz="6" w:space="0" w:color="auto"/>
              <w:bottom w:val="single" w:sz="6" w:space="0" w:color="auto"/>
              <w:right w:val="single" w:sz="12" w:space="0" w:color="auto"/>
            </w:tcBorders>
          </w:tcPr>
          <w:p w14:paraId="1D8E5B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Уфа </w:t>
            </w:r>
          </w:p>
        </w:tc>
      </w:tr>
      <w:tr w:rsidR="00643896" w:rsidRPr="00640820" w14:paraId="34FB25C7" w14:textId="77777777" w:rsidTr="000D3BCB">
        <w:tc>
          <w:tcPr>
            <w:tcW w:w="230" w:type="dxa"/>
            <w:tcBorders>
              <w:top w:val="single" w:sz="6" w:space="0" w:color="auto"/>
              <w:left w:val="single" w:sz="12" w:space="0" w:color="auto"/>
              <w:bottom w:val="single" w:sz="6" w:space="0" w:color="auto"/>
              <w:right w:val="single" w:sz="6" w:space="0" w:color="auto"/>
            </w:tcBorders>
          </w:tcPr>
          <w:p w14:paraId="044C0C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5866" w:type="dxa"/>
            <w:tcBorders>
              <w:top w:val="single" w:sz="6" w:space="0" w:color="auto"/>
              <w:left w:val="single" w:sz="6" w:space="0" w:color="auto"/>
              <w:bottom w:val="single" w:sz="6" w:space="0" w:color="auto"/>
              <w:right w:val="single" w:sz="6" w:space="0" w:color="auto"/>
            </w:tcBorders>
          </w:tcPr>
          <w:p w14:paraId="749379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Коротковолновый передатчик РВ – 59 Наркомата связи СССР</w:t>
            </w:r>
          </w:p>
        </w:tc>
        <w:tc>
          <w:tcPr>
            <w:tcW w:w="2693" w:type="dxa"/>
            <w:tcBorders>
              <w:top w:val="single" w:sz="6" w:space="0" w:color="auto"/>
              <w:left w:val="single" w:sz="6" w:space="0" w:color="auto"/>
              <w:bottom w:val="single" w:sz="6" w:space="0" w:color="auto"/>
              <w:right w:val="single" w:sz="6" w:space="0" w:color="auto"/>
            </w:tcBorders>
          </w:tcPr>
          <w:p w14:paraId="589A8F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Москва </w:t>
            </w:r>
          </w:p>
        </w:tc>
        <w:tc>
          <w:tcPr>
            <w:tcW w:w="1984" w:type="dxa"/>
            <w:tcBorders>
              <w:top w:val="single" w:sz="6" w:space="0" w:color="auto"/>
              <w:left w:val="single" w:sz="6" w:space="0" w:color="auto"/>
              <w:bottom w:val="single" w:sz="6" w:space="0" w:color="auto"/>
              <w:right w:val="single" w:sz="12" w:space="0" w:color="auto"/>
            </w:tcBorders>
          </w:tcPr>
          <w:p w14:paraId="3C6CCC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Уфа </w:t>
            </w:r>
          </w:p>
        </w:tc>
      </w:tr>
      <w:tr w:rsidR="00643896" w:rsidRPr="00640820" w14:paraId="3897991D" w14:textId="77777777" w:rsidTr="000D3BCB">
        <w:tc>
          <w:tcPr>
            <w:tcW w:w="230" w:type="dxa"/>
            <w:tcBorders>
              <w:top w:val="single" w:sz="6" w:space="0" w:color="auto"/>
              <w:left w:val="single" w:sz="12" w:space="0" w:color="auto"/>
              <w:bottom w:val="single" w:sz="6" w:space="0" w:color="auto"/>
              <w:right w:val="single" w:sz="6" w:space="0" w:color="auto"/>
            </w:tcBorders>
          </w:tcPr>
          <w:p w14:paraId="21E51C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5866" w:type="dxa"/>
            <w:tcBorders>
              <w:top w:val="single" w:sz="6" w:space="0" w:color="auto"/>
              <w:left w:val="single" w:sz="6" w:space="0" w:color="auto"/>
              <w:bottom w:val="single" w:sz="6" w:space="0" w:color="auto"/>
              <w:right w:val="single" w:sz="6" w:space="0" w:color="auto"/>
            </w:tcBorders>
          </w:tcPr>
          <w:p w14:paraId="6D8A33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Витаминный завод Наркомата пищевой промышленности СССР</w:t>
            </w:r>
          </w:p>
        </w:tc>
        <w:tc>
          <w:tcPr>
            <w:tcW w:w="2693" w:type="dxa"/>
            <w:tcBorders>
              <w:top w:val="single" w:sz="6" w:space="0" w:color="auto"/>
              <w:left w:val="single" w:sz="6" w:space="0" w:color="auto"/>
              <w:bottom w:val="single" w:sz="6" w:space="0" w:color="auto"/>
              <w:right w:val="single" w:sz="6" w:space="0" w:color="auto"/>
            </w:tcBorders>
          </w:tcPr>
          <w:p w14:paraId="69F20B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Москва</w:t>
            </w:r>
          </w:p>
        </w:tc>
        <w:tc>
          <w:tcPr>
            <w:tcW w:w="1984" w:type="dxa"/>
            <w:tcBorders>
              <w:top w:val="single" w:sz="6" w:space="0" w:color="auto"/>
              <w:left w:val="single" w:sz="6" w:space="0" w:color="auto"/>
              <w:bottom w:val="single" w:sz="6" w:space="0" w:color="auto"/>
              <w:right w:val="single" w:sz="12" w:space="0" w:color="auto"/>
            </w:tcBorders>
          </w:tcPr>
          <w:p w14:paraId="05A57C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Уфа </w:t>
            </w:r>
          </w:p>
        </w:tc>
      </w:tr>
      <w:tr w:rsidR="00643896" w:rsidRPr="00640820" w14:paraId="14309374" w14:textId="77777777" w:rsidTr="000D3BCB">
        <w:tc>
          <w:tcPr>
            <w:tcW w:w="230" w:type="dxa"/>
            <w:tcBorders>
              <w:top w:val="single" w:sz="6" w:space="0" w:color="auto"/>
              <w:left w:val="single" w:sz="12" w:space="0" w:color="auto"/>
              <w:bottom w:val="single" w:sz="6" w:space="0" w:color="auto"/>
              <w:right w:val="single" w:sz="6" w:space="0" w:color="auto"/>
            </w:tcBorders>
          </w:tcPr>
          <w:p w14:paraId="2AD9BD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c>
          <w:tcPr>
            <w:tcW w:w="5866" w:type="dxa"/>
            <w:tcBorders>
              <w:top w:val="single" w:sz="6" w:space="0" w:color="auto"/>
              <w:left w:val="single" w:sz="6" w:space="0" w:color="auto"/>
              <w:bottom w:val="single" w:sz="6" w:space="0" w:color="auto"/>
              <w:right w:val="single" w:sz="6" w:space="0" w:color="auto"/>
            </w:tcBorders>
          </w:tcPr>
          <w:p w14:paraId="7E584F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49 Наркомата авиационной промышленности СССР</w:t>
            </w:r>
          </w:p>
        </w:tc>
        <w:tc>
          <w:tcPr>
            <w:tcW w:w="2693" w:type="dxa"/>
            <w:tcBorders>
              <w:top w:val="single" w:sz="6" w:space="0" w:color="auto"/>
              <w:left w:val="single" w:sz="6" w:space="0" w:color="auto"/>
              <w:bottom w:val="single" w:sz="6" w:space="0" w:color="auto"/>
              <w:right w:val="single" w:sz="6" w:space="0" w:color="auto"/>
            </w:tcBorders>
          </w:tcPr>
          <w:p w14:paraId="1CFBD9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Москва</w:t>
            </w:r>
          </w:p>
        </w:tc>
        <w:tc>
          <w:tcPr>
            <w:tcW w:w="1984" w:type="dxa"/>
            <w:tcBorders>
              <w:top w:val="single" w:sz="6" w:space="0" w:color="auto"/>
              <w:left w:val="single" w:sz="6" w:space="0" w:color="auto"/>
              <w:bottom w:val="single" w:sz="6" w:space="0" w:color="auto"/>
              <w:right w:val="single" w:sz="12" w:space="0" w:color="auto"/>
            </w:tcBorders>
          </w:tcPr>
          <w:p w14:paraId="04C1A7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Уфа </w:t>
            </w:r>
          </w:p>
        </w:tc>
      </w:tr>
      <w:tr w:rsidR="00643896" w:rsidRPr="00640820" w14:paraId="36DBCACE" w14:textId="77777777" w:rsidTr="000D3BCB">
        <w:tc>
          <w:tcPr>
            <w:tcW w:w="230" w:type="dxa"/>
            <w:tcBorders>
              <w:top w:val="single" w:sz="6" w:space="0" w:color="auto"/>
              <w:left w:val="single" w:sz="12" w:space="0" w:color="auto"/>
              <w:bottom w:val="single" w:sz="6" w:space="0" w:color="auto"/>
              <w:right w:val="single" w:sz="6" w:space="0" w:color="auto"/>
            </w:tcBorders>
          </w:tcPr>
          <w:p w14:paraId="269584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w:t>
            </w:r>
          </w:p>
        </w:tc>
        <w:tc>
          <w:tcPr>
            <w:tcW w:w="5866" w:type="dxa"/>
            <w:tcBorders>
              <w:top w:val="single" w:sz="6" w:space="0" w:color="auto"/>
              <w:left w:val="single" w:sz="6" w:space="0" w:color="auto"/>
              <w:bottom w:val="single" w:sz="6" w:space="0" w:color="auto"/>
              <w:right w:val="single" w:sz="6" w:space="0" w:color="auto"/>
            </w:tcBorders>
          </w:tcPr>
          <w:p w14:paraId="510B3D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Обувная фабрика «Прогресс»</w:t>
            </w:r>
          </w:p>
        </w:tc>
        <w:tc>
          <w:tcPr>
            <w:tcW w:w="2693" w:type="dxa"/>
            <w:tcBorders>
              <w:top w:val="single" w:sz="6" w:space="0" w:color="auto"/>
              <w:left w:val="single" w:sz="6" w:space="0" w:color="auto"/>
              <w:bottom w:val="single" w:sz="6" w:space="0" w:color="auto"/>
              <w:right w:val="single" w:sz="6" w:space="0" w:color="auto"/>
            </w:tcBorders>
          </w:tcPr>
          <w:p w14:paraId="373DE3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Витебск </w:t>
            </w:r>
          </w:p>
        </w:tc>
        <w:tc>
          <w:tcPr>
            <w:tcW w:w="1984" w:type="dxa"/>
            <w:tcBorders>
              <w:top w:val="single" w:sz="6" w:space="0" w:color="auto"/>
              <w:left w:val="single" w:sz="6" w:space="0" w:color="auto"/>
              <w:bottom w:val="single" w:sz="6" w:space="0" w:color="auto"/>
              <w:right w:val="single" w:sz="12" w:space="0" w:color="auto"/>
            </w:tcBorders>
          </w:tcPr>
          <w:p w14:paraId="5C4750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Уфа </w:t>
            </w:r>
          </w:p>
        </w:tc>
      </w:tr>
      <w:tr w:rsidR="00643896" w:rsidRPr="00640820" w14:paraId="1F66BF39" w14:textId="77777777" w:rsidTr="000D3BCB">
        <w:tc>
          <w:tcPr>
            <w:tcW w:w="230" w:type="dxa"/>
            <w:tcBorders>
              <w:top w:val="single" w:sz="6" w:space="0" w:color="auto"/>
              <w:left w:val="single" w:sz="12" w:space="0" w:color="auto"/>
              <w:bottom w:val="single" w:sz="6" w:space="0" w:color="auto"/>
              <w:right w:val="single" w:sz="6" w:space="0" w:color="auto"/>
            </w:tcBorders>
          </w:tcPr>
          <w:p w14:paraId="29000F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w:t>
            </w:r>
          </w:p>
        </w:tc>
        <w:tc>
          <w:tcPr>
            <w:tcW w:w="5866" w:type="dxa"/>
            <w:tcBorders>
              <w:top w:val="single" w:sz="6" w:space="0" w:color="auto"/>
              <w:left w:val="single" w:sz="6" w:space="0" w:color="auto"/>
              <w:bottom w:val="single" w:sz="6" w:space="0" w:color="auto"/>
              <w:right w:val="single" w:sz="6" w:space="0" w:color="auto"/>
            </w:tcBorders>
          </w:tcPr>
          <w:p w14:paraId="025A24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«Электрошнур»</w:t>
            </w:r>
          </w:p>
        </w:tc>
        <w:tc>
          <w:tcPr>
            <w:tcW w:w="2693" w:type="dxa"/>
            <w:tcBorders>
              <w:top w:val="single" w:sz="6" w:space="0" w:color="auto"/>
              <w:left w:val="single" w:sz="6" w:space="0" w:color="auto"/>
              <w:bottom w:val="single" w:sz="6" w:space="0" w:color="auto"/>
              <w:right w:val="single" w:sz="6" w:space="0" w:color="auto"/>
            </w:tcBorders>
          </w:tcPr>
          <w:p w14:paraId="5725C2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Одесса </w:t>
            </w:r>
          </w:p>
        </w:tc>
        <w:tc>
          <w:tcPr>
            <w:tcW w:w="1984" w:type="dxa"/>
            <w:tcBorders>
              <w:top w:val="single" w:sz="6" w:space="0" w:color="auto"/>
              <w:left w:val="single" w:sz="6" w:space="0" w:color="auto"/>
              <w:bottom w:val="single" w:sz="6" w:space="0" w:color="auto"/>
              <w:right w:val="single" w:sz="12" w:space="0" w:color="auto"/>
            </w:tcBorders>
          </w:tcPr>
          <w:p w14:paraId="5E989A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Уфа </w:t>
            </w:r>
          </w:p>
        </w:tc>
      </w:tr>
      <w:tr w:rsidR="00643896" w:rsidRPr="00640820" w14:paraId="1B2DB3B7" w14:textId="77777777" w:rsidTr="000D3BCB">
        <w:tc>
          <w:tcPr>
            <w:tcW w:w="230" w:type="dxa"/>
            <w:tcBorders>
              <w:top w:val="single" w:sz="6" w:space="0" w:color="auto"/>
              <w:left w:val="single" w:sz="12" w:space="0" w:color="auto"/>
              <w:bottom w:val="single" w:sz="6" w:space="0" w:color="auto"/>
              <w:right w:val="single" w:sz="6" w:space="0" w:color="auto"/>
            </w:tcBorders>
          </w:tcPr>
          <w:p w14:paraId="43C2B4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tc>
        <w:tc>
          <w:tcPr>
            <w:tcW w:w="5866" w:type="dxa"/>
            <w:tcBorders>
              <w:top w:val="single" w:sz="6" w:space="0" w:color="auto"/>
              <w:left w:val="single" w:sz="6" w:space="0" w:color="auto"/>
              <w:bottom w:val="single" w:sz="6" w:space="0" w:color="auto"/>
              <w:right w:val="single" w:sz="6" w:space="0" w:color="auto"/>
            </w:tcBorders>
          </w:tcPr>
          <w:p w14:paraId="1F96D8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«Электропровод»</w:t>
            </w:r>
          </w:p>
        </w:tc>
        <w:tc>
          <w:tcPr>
            <w:tcW w:w="2693" w:type="dxa"/>
            <w:tcBorders>
              <w:top w:val="single" w:sz="6" w:space="0" w:color="auto"/>
              <w:left w:val="single" w:sz="6" w:space="0" w:color="auto"/>
              <w:bottom w:val="single" w:sz="6" w:space="0" w:color="auto"/>
              <w:right w:val="single" w:sz="6" w:space="0" w:color="auto"/>
            </w:tcBorders>
          </w:tcPr>
          <w:p w14:paraId="78F2EF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Москва</w:t>
            </w:r>
          </w:p>
        </w:tc>
        <w:tc>
          <w:tcPr>
            <w:tcW w:w="1984" w:type="dxa"/>
            <w:tcBorders>
              <w:top w:val="single" w:sz="6" w:space="0" w:color="auto"/>
              <w:left w:val="single" w:sz="6" w:space="0" w:color="auto"/>
              <w:bottom w:val="single" w:sz="6" w:space="0" w:color="auto"/>
              <w:right w:val="single" w:sz="12" w:space="0" w:color="auto"/>
            </w:tcBorders>
          </w:tcPr>
          <w:p w14:paraId="1AD93E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Уфа </w:t>
            </w:r>
          </w:p>
        </w:tc>
      </w:tr>
      <w:tr w:rsidR="00643896" w:rsidRPr="00640820" w14:paraId="2AE612AA" w14:textId="77777777" w:rsidTr="000D3BCB">
        <w:tc>
          <w:tcPr>
            <w:tcW w:w="230" w:type="dxa"/>
            <w:tcBorders>
              <w:top w:val="single" w:sz="6" w:space="0" w:color="auto"/>
              <w:left w:val="single" w:sz="12" w:space="0" w:color="auto"/>
              <w:bottom w:val="single" w:sz="6" w:space="0" w:color="auto"/>
              <w:right w:val="single" w:sz="6" w:space="0" w:color="auto"/>
            </w:tcBorders>
          </w:tcPr>
          <w:p w14:paraId="435442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5866" w:type="dxa"/>
            <w:tcBorders>
              <w:top w:val="single" w:sz="6" w:space="0" w:color="auto"/>
              <w:left w:val="single" w:sz="6" w:space="0" w:color="auto"/>
              <w:bottom w:val="single" w:sz="6" w:space="0" w:color="auto"/>
              <w:right w:val="single" w:sz="6" w:space="0" w:color="auto"/>
            </w:tcBorders>
          </w:tcPr>
          <w:p w14:paraId="127AC7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«Металлрукав»</w:t>
            </w:r>
          </w:p>
        </w:tc>
        <w:tc>
          <w:tcPr>
            <w:tcW w:w="2693" w:type="dxa"/>
            <w:tcBorders>
              <w:top w:val="single" w:sz="6" w:space="0" w:color="auto"/>
              <w:left w:val="single" w:sz="6" w:space="0" w:color="auto"/>
              <w:bottom w:val="single" w:sz="6" w:space="0" w:color="auto"/>
              <w:right w:val="single" w:sz="6" w:space="0" w:color="auto"/>
            </w:tcBorders>
          </w:tcPr>
          <w:p w14:paraId="0B4D2A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Москва</w:t>
            </w:r>
          </w:p>
        </w:tc>
        <w:tc>
          <w:tcPr>
            <w:tcW w:w="1984" w:type="dxa"/>
            <w:tcBorders>
              <w:top w:val="single" w:sz="6" w:space="0" w:color="auto"/>
              <w:left w:val="single" w:sz="6" w:space="0" w:color="auto"/>
              <w:bottom w:val="single" w:sz="6" w:space="0" w:color="auto"/>
              <w:right w:val="single" w:sz="12" w:space="0" w:color="auto"/>
            </w:tcBorders>
          </w:tcPr>
          <w:p w14:paraId="2A661F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Уфа </w:t>
            </w:r>
          </w:p>
        </w:tc>
      </w:tr>
      <w:tr w:rsidR="00643896" w:rsidRPr="00640820" w14:paraId="4F48C307" w14:textId="77777777" w:rsidTr="000D3BCB">
        <w:tc>
          <w:tcPr>
            <w:tcW w:w="230" w:type="dxa"/>
            <w:tcBorders>
              <w:top w:val="single" w:sz="6" w:space="0" w:color="auto"/>
              <w:left w:val="single" w:sz="12" w:space="0" w:color="auto"/>
              <w:bottom w:val="single" w:sz="6" w:space="0" w:color="auto"/>
              <w:right w:val="single" w:sz="6" w:space="0" w:color="auto"/>
            </w:tcBorders>
          </w:tcPr>
          <w:p w14:paraId="5766D0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w:t>
            </w:r>
          </w:p>
        </w:tc>
        <w:tc>
          <w:tcPr>
            <w:tcW w:w="5866" w:type="dxa"/>
            <w:tcBorders>
              <w:top w:val="single" w:sz="6" w:space="0" w:color="auto"/>
              <w:left w:val="single" w:sz="6" w:space="0" w:color="auto"/>
              <w:bottom w:val="single" w:sz="6" w:space="0" w:color="auto"/>
              <w:right w:val="single" w:sz="6" w:space="0" w:color="auto"/>
            </w:tcBorders>
          </w:tcPr>
          <w:p w14:paraId="1E675E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Рубежанский химический завод (цехи №№ 1, 2, 9, 11, 23 и электроподстанция) Наркомата химической промышленности СССР</w:t>
            </w:r>
          </w:p>
        </w:tc>
        <w:tc>
          <w:tcPr>
            <w:tcW w:w="2693" w:type="dxa"/>
            <w:tcBorders>
              <w:top w:val="single" w:sz="6" w:space="0" w:color="auto"/>
              <w:left w:val="single" w:sz="6" w:space="0" w:color="auto"/>
              <w:bottom w:val="single" w:sz="6" w:space="0" w:color="auto"/>
              <w:right w:val="single" w:sz="6" w:space="0" w:color="auto"/>
            </w:tcBorders>
          </w:tcPr>
          <w:p w14:paraId="7E972D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Рубежанск </w:t>
            </w:r>
          </w:p>
        </w:tc>
        <w:tc>
          <w:tcPr>
            <w:tcW w:w="1984" w:type="dxa"/>
            <w:tcBorders>
              <w:top w:val="single" w:sz="6" w:space="0" w:color="auto"/>
              <w:left w:val="single" w:sz="6" w:space="0" w:color="auto"/>
              <w:bottom w:val="single" w:sz="6" w:space="0" w:color="auto"/>
              <w:right w:val="single" w:sz="12" w:space="0" w:color="auto"/>
            </w:tcBorders>
          </w:tcPr>
          <w:p w14:paraId="08BCD5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Уфа </w:t>
            </w:r>
          </w:p>
        </w:tc>
      </w:tr>
      <w:tr w:rsidR="00643896" w:rsidRPr="00640820" w14:paraId="79151D5F" w14:textId="77777777" w:rsidTr="000D3BCB">
        <w:tc>
          <w:tcPr>
            <w:tcW w:w="230" w:type="dxa"/>
            <w:tcBorders>
              <w:top w:val="single" w:sz="6" w:space="0" w:color="auto"/>
              <w:left w:val="single" w:sz="12" w:space="0" w:color="auto"/>
              <w:bottom w:val="single" w:sz="6" w:space="0" w:color="auto"/>
              <w:right w:val="single" w:sz="6" w:space="0" w:color="auto"/>
            </w:tcBorders>
          </w:tcPr>
          <w:p w14:paraId="356EC9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w:t>
            </w:r>
          </w:p>
        </w:tc>
        <w:tc>
          <w:tcPr>
            <w:tcW w:w="5866" w:type="dxa"/>
            <w:tcBorders>
              <w:top w:val="single" w:sz="6" w:space="0" w:color="auto"/>
              <w:left w:val="single" w:sz="6" w:space="0" w:color="auto"/>
              <w:bottom w:val="single" w:sz="6" w:space="0" w:color="auto"/>
              <w:right w:val="single" w:sz="6" w:space="0" w:color="auto"/>
            </w:tcBorders>
          </w:tcPr>
          <w:p w14:paraId="762D35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 –й и 2 – й красочные заводы </w:t>
            </w:r>
          </w:p>
        </w:tc>
        <w:tc>
          <w:tcPr>
            <w:tcW w:w="2693" w:type="dxa"/>
            <w:tcBorders>
              <w:top w:val="single" w:sz="6" w:space="0" w:color="auto"/>
              <w:left w:val="single" w:sz="6" w:space="0" w:color="auto"/>
              <w:bottom w:val="single" w:sz="6" w:space="0" w:color="auto"/>
              <w:right w:val="single" w:sz="6" w:space="0" w:color="auto"/>
            </w:tcBorders>
          </w:tcPr>
          <w:p w14:paraId="3F725D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Москва</w:t>
            </w:r>
          </w:p>
        </w:tc>
        <w:tc>
          <w:tcPr>
            <w:tcW w:w="1984" w:type="dxa"/>
            <w:tcBorders>
              <w:top w:val="single" w:sz="6" w:space="0" w:color="auto"/>
              <w:left w:val="single" w:sz="6" w:space="0" w:color="auto"/>
              <w:bottom w:val="single" w:sz="6" w:space="0" w:color="auto"/>
              <w:right w:val="single" w:sz="12" w:space="0" w:color="auto"/>
            </w:tcBorders>
          </w:tcPr>
          <w:p w14:paraId="21774E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Уфа </w:t>
            </w:r>
          </w:p>
        </w:tc>
      </w:tr>
      <w:tr w:rsidR="00643896" w:rsidRPr="00640820" w14:paraId="4D294D52" w14:textId="77777777" w:rsidTr="000D3BCB">
        <w:tc>
          <w:tcPr>
            <w:tcW w:w="230" w:type="dxa"/>
            <w:tcBorders>
              <w:top w:val="single" w:sz="6" w:space="0" w:color="auto"/>
              <w:left w:val="single" w:sz="12" w:space="0" w:color="auto"/>
              <w:bottom w:val="single" w:sz="6" w:space="0" w:color="auto"/>
              <w:right w:val="single" w:sz="6" w:space="0" w:color="auto"/>
            </w:tcBorders>
          </w:tcPr>
          <w:p w14:paraId="3A14CE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w:t>
            </w:r>
          </w:p>
        </w:tc>
        <w:tc>
          <w:tcPr>
            <w:tcW w:w="5866" w:type="dxa"/>
            <w:tcBorders>
              <w:top w:val="single" w:sz="6" w:space="0" w:color="auto"/>
              <w:left w:val="single" w:sz="6" w:space="0" w:color="auto"/>
              <w:bottom w:val="single" w:sz="6" w:space="0" w:color="auto"/>
              <w:right w:val="single" w:sz="6" w:space="0" w:color="auto"/>
            </w:tcBorders>
          </w:tcPr>
          <w:p w14:paraId="4B507F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Запорожский паровозоремонтный завод</w:t>
            </w:r>
          </w:p>
        </w:tc>
        <w:tc>
          <w:tcPr>
            <w:tcW w:w="2693" w:type="dxa"/>
            <w:tcBorders>
              <w:top w:val="single" w:sz="6" w:space="0" w:color="auto"/>
              <w:left w:val="single" w:sz="6" w:space="0" w:color="auto"/>
              <w:bottom w:val="single" w:sz="6" w:space="0" w:color="auto"/>
              <w:right w:val="single" w:sz="6" w:space="0" w:color="auto"/>
            </w:tcBorders>
          </w:tcPr>
          <w:p w14:paraId="6A363B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Запорожье </w:t>
            </w:r>
          </w:p>
        </w:tc>
        <w:tc>
          <w:tcPr>
            <w:tcW w:w="1984" w:type="dxa"/>
            <w:tcBorders>
              <w:top w:val="single" w:sz="6" w:space="0" w:color="auto"/>
              <w:left w:val="single" w:sz="6" w:space="0" w:color="auto"/>
              <w:bottom w:val="single" w:sz="6" w:space="0" w:color="auto"/>
              <w:right w:val="single" w:sz="12" w:space="0" w:color="auto"/>
            </w:tcBorders>
          </w:tcPr>
          <w:p w14:paraId="3D85B2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Уфа </w:t>
            </w:r>
          </w:p>
        </w:tc>
      </w:tr>
      <w:tr w:rsidR="00643896" w:rsidRPr="00640820" w14:paraId="15E0DEFB" w14:textId="77777777" w:rsidTr="000D3BCB">
        <w:tc>
          <w:tcPr>
            <w:tcW w:w="230" w:type="dxa"/>
            <w:tcBorders>
              <w:top w:val="single" w:sz="6" w:space="0" w:color="auto"/>
              <w:left w:val="single" w:sz="12" w:space="0" w:color="auto"/>
              <w:bottom w:val="single" w:sz="6" w:space="0" w:color="auto"/>
              <w:right w:val="single" w:sz="6" w:space="0" w:color="auto"/>
            </w:tcBorders>
          </w:tcPr>
          <w:p w14:paraId="44881D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w:t>
            </w:r>
          </w:p>
        </w:tc>
        <w:tc>
          <w:tcPr>
            <w:tcW w:w="5866" w:type="dxa"/>
            <w:tcBorders>
              <w:top w:val="single" w:sz="6" w:space="0" w:color="auto"/>
              <w:left w:val="single" w:sz="6" w:space="0" w:color="auto"/>
              <w:bottom w:val="single" w:sz="6" w:space="0" w:color="auto"/>
              <w:right w:val="single" w:sz="6" w:space="0" w:color="auto"/>
            </w:tcBorders>
          </w:tcPr>
          <w:p w14:paraId="34DBDC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Экспериментальный завод «Главпарфюмера» </w:t>
            </w:r>
          </w:p>
        </w:tc>
        <w:tc>
          <w:tcPr>
            <w:tcW w:w="2693" w:type="dxa"/>
            <w:tcBorders>
              <w:top w:val="single" w:sz="6" w:space="0" w:color="auto"/>
              <w:left w:val="single" w:sz="6" w:space="0" w:color="auto"/>
              <w:bottom w:val="single" w:sz="6" w:space="0" w:color="auto"/>
              <w:right w:val="single" w:sz="6" w:space="0" w:color="auto"/>
            </w:tcBorders>
          </w:tcPr>
          <w:p w14:paraId="71B507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Москва</w:t>
            </w:r>
          </w:p>
        </w:tc>
        <w:tc>
          <w:tcPr>
            <w:tcW w:w="1984" w:type="dxa"/>
            <w:tcBorders>
              <w:top w:val="single" w:sz="6" w:space="0" w:color="auto"/>
              <w:left w:val="single" w:sz="6" w:space="0" w:color="auto"/>
              <w:bottom w:val="single" w:sz="6" w:space="0" w:color="auto"/>
              <w:right w:val="single" w:sz="12" w:space="0" w:color="auto"/>
            </w:tcBorders>
          </w:tcPr>
          <w:p w14:paraId="48E1B4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Уфа </w:t>
            </w:r>
          </w:p>
        </w:tc>
      </w:tr>
      <w:tr w:rsidR="00643896" w:rsidRPr="00640820" w14:paraId="67E7D3BF" w14:textId="77777777" w:rsidTr="000D3BCB">
        <w:tc>
          <w:tcPr>
            <w:tcW w:w="230" w:type="dxa"/>
            <w:tcBorders>
              <w:top w:val="single" w:sz="6" w:space="0" w:color="auto"/>
              <w:left w:val="single" w:sz="12" w:space="0" w:color="auto"/>
              <w:bottom w:val="single" w:sz="6" w:space="0" w:color="auto"/>
              <w:right w:val="single" w:sz="6" w:space="0" w:color="auto"/>
            </w:tcBorders>
          </w:tcPr>
          <w:p w14:paraId="6ED70E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5866" w:type="dxa"/>
            <w:tcBorders>
              <w:top w:val="single" w:sz="6" w:space="0" w:color="auto"/>
              <w:left w:val="single" w:sz="6" w:space="0" w:color="auto"/>
              <w:bottom w:val="single" w:sz="6" w:space="0" w:color="auto"/>
              <w:right w:val="single" w:sz="6" w:space="0" w:color="auto"/>
            </w:tcBorders>
          </w:tcPr>
          <w:p w14:paraId="4B61F9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сложных эфиров</w:t>
            </w:r>
          </w:p>
        </w:tc>
        <w:tc>
          <w:tcPr>
            <w:tcW w:w="2693" w:type="dxa"/>
            <w:tcBorders>
              <w:top w:val="single" w:sz="6" w:space="0" w:color="auto"/>
              <w:left w:val="single" w:sz="6" w:space="0" w:color="auto"/>
              <w:bottom w:val="single" w:sz="6" w:space="0" w:color="auto"/>
              <w:right w:val="single" w:sz="6" w:space="0" w:color="auto"/>
            </w:tcBorders>
          </w:tcPr>
          <w:p w14:paraId="08A597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Москва</w:t>
            </w:r>
          </w:p>
        </w:tc>
        <w:tc>
          <w:tcPr>
            <w:tcW w:w="1984" w:type="dxa"/>
            <w:tcBorders>
              <w:top w:val="single" w:sz="6" w:space="0" w:color="auto"/>
              <w:left w:val="single" w:sz="6" w:space="0" w:color="auto"/>
              <w:bottom w:val="single" w:sz="6" w:space="0" w:color="auto"/>
              <w:right w:val="single" w:sz="12" w:space="0" w:color="auto"/>
            </w:tcBorders>
          </w:tcPr>
          <w:p w14:paraId="53AB26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Уфа </w:t>
            </w:r>
          </w:p>
        </w:tc>
      </w:tr>
      <w:tr w:rsidR="00643896" w:rsidRPr="00640820" w14:paraId="31EEC7AD" w14:textId="77777777" w:rsidTr="000D3BCB">
        <w:tc>
          <w:tcPr>
            <w:tcW w:w="230" w:type="dxa"/>
            <w:tcBorders>
              <w:top w:val="single" w:sz="6" w:space="0" w:color="auto"/>
              <w:left w:val="single" w:sz="12" w:space="0" w:color="auto"/>
              <w:bottom w:val="single" w:sz="6" w:space="0" w:color="auto"/>
              <w:right w:val="single" w:sz="6" w:space="0" w:color="auto"/>
            </w:tcBorders>
          </w:tcPr>
          <w:p w14:paraId="43B326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w:t>
            </w:r>
          </w:p>
        </w:tc>
        <w:tc>
          <w:tcPr>
            <w:tcW w:w="5866" w:type="dxa"/>
            <w:tcBorders>
              <w:top w:val="single" w:sz="6" w:space="0" w:color="auto"/>
              <w:left w:val="single" w:sz="6" w:space="0" w:color="auto"/>
              <w:bottom w:val="single" w:sz="6" w:space="0" w:color="auto"/>
              <w:right w:val="single" w:sz="6" w:space="0" w:color="auto"/>
            </w:tcBorders>
          </w:tcPr>
          <w:p w14:paraId="4AD6B8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Харьковская фабрика «ТЭЖЭ»</w:t>
            </w:r>
          </w:p>
        </w:tc>
        <w:tc>
          <w:tcPr>
            <w:tcW w:w="2693" w:type="dxa"/>
            <w:tcBorders>
              <w:top w:val="single" w:sz="6" w:space="0" w:color="auto"/>
              <w:left w:val="single" w:sz="6" w:space="0" w:color="auto"/>
              <w:bottom w:val="single" w:sz="6" w:space="0" w:color="auto"/>
              <w:right w:val="single" w:sz="6" w:space="0" w:color="auto"/>
            </w:tcBorders>
          </w:tcPr>
          <w:p w14:paraId="2A5E01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Харьков </w:t>
            </w:r>
          </w:p>
        </w:tc>
        <w:tc>
          <w:tcPr>
            <w:tcW w:w="1984" w:type="dxa"/>
            <w:tcBorders>
              <w:top w:val="single" w:sz="6" w:space="0" w:color="auto"/>
              <w:left w:val="single" w:sz="6" w:space="0" w:color="auto"/>
              <w:bottom w:val="single" w:sz="6" w:space="0" w:color="auto"/>
              <w:right w:val="single" w:sz="12" w:space="0" w:color="auto"/>
            </w:tcBorders>
          </w:tcPr>
          <w:p w14:paraId="73662D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Уфа </w:t>
            </w:r>
          </w:p>
        </w:tc>
      </w:tr>
      <w:tr w:rsidR="00643896" w:rsidRPr="00640820" w14:paraId="3D3A7B32" w14:textId="77777777" w:rsidTr="000D3BCB">
        <w:tc>
          <w:tcPr>
            <w:tcW w:w="230" w:type="dxa"/>
            <w:tcBorders>
              <w:top w:val="single" w:sz="6" w:space="0" w:color="auto"/>
              <w:left w:val="single" w:sz="12" w:space="0" w:color="auto"/>
              <w:bottom w:val="single" w:sz="6" w:space="0" w:color="auto"/>
              <w:right w:val="single" w:sz="6" w:space="0" w:color="auto"/>
            </w:tcBorders>
          </w:tcPr>
          <w:p w14:paraId="306F14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w:t>
            </w:r>
          </w:p>
        </w:tc>
        <w:tc>
          <w:tcPr>
            <w:tcW w:w="5866" w:type="dxa"/>
            <w:tcBorders>
              <w:top w:val="single" w:sz="6" w:space="0" w:color="auto"/>
              <w:left w:val="single" w:sz="6" w:space="0" w:color="auto"/>
              <w:bottom w:val="single" w:sz="6" w:space="0" w:color="auto"/>
              <w:right w:val="single" w:sz="6" w:space="0" w:color="auto"/>
            </w:tcBorders>
          </w:tcPr>
          <w:p w14:paraId="30625A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Харьковский электромеханический завод имени Сталина</w:t>
            </w:r>
          </w:p>
        </w:tc>
        <w:tc>
          <w:tcPr>
            <w:tcW w:w="2693" w:type="dxa"/>
            <w:tcBorders>
              <w:top w:val="single" w:sz="6" w:space="0" w:color="auto"/>
              <w:left w:val="single" w:sz="6" w:space="0" w:color="auto"/>
              <w:bottom w:val="single" w:sz="6" w:space="0" w:color="auto"/>
              <w:right w:val="single" w:sz="6" w:space="0" w:color="auto"/>
            </w:tcBorders>
          </w:tcPr>
          <w:p w14:paraId="48359C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Харьков </w:t>
            </w:r>
          </w:p>
        </w:tc>
        <w:tc>
          <w:tcPr>
            <w:tcW w:w="1984" w:type="dxa"/>
            <w:tcBorders>
              <w:top w:val="single" w:sz="6" w:space="0" w:color="auto"/>
              <w:left w:val="single" w:sz="6" w:space="0" w:color="auto"/>
              <w:bottom w:val="single" w:sz="6" w:space="0" w:color="auto"/>
              <w:right w:val="single" w:sz="12" w:space="0" w:color="auto"/>
            </w:tcBorders>
          </w:tcPr>
          <w:p w14:paraId="4BC41A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Уфа </w:t>
            </w:r>
          </w:p>
        </w:tc>
      </w:tr>
      <w:tr w:rsidR="00643896" w:rsidRPr="00640820" w14:paraId="78E406D3" w14:textId="77777777" w:rsidTr="000D3BCB">
        <w:tc>
          <w:tcPr>
            <w:tcW w:w="230" w:type="dxa"/>
            <w:tcBorders>
              <w:top w:val="single" w:sz="6" w:space="0" w:color="auto"/>
              <w:left w:val="single" w:sz="12" w:space="0" w:color="auto"/>
              <w:bottom w:val="single" w:sz="6" w:space="0" w:color="auto"/>
              <w:right w:val="single" w:sz="6" w:space="0" w:color="auto"/>
            </w:tcBorders>
          </w:tcPr>
          <w:p w14:paraId="0794F1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w:t>
            </w:r>
          </w:p>
        </w:tc>
        <w:tc>
          <w:tcPr>
            <w:tcW w:w="5866" w:type="dxa"/>
            <w:tcBorders>
              <w:top w:val="single" w:sz="6" w:space="0" w:color="auto"/>
              <w:left w:val="single" w:sz="6" w:space="0" w:color="auto"/>
              <w:bottom w:val="single" w:sz="6" w:space="0" w:color="auto"/>
              <w:right w:val="single" w:sz="6" w:space="0" w:color="auto"/>
            </w:tcBorders>
          </w:tcPr>
          <w:p w14:paraId="7812C7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Оборудование завода натурального каучука</w:t>
            </w:r>
          </w:p>
        </w:tc>
        <w:tc>
          <w:tcPr>
            <w:tcW w:w="2693" w:type="dxa"/>
            <w:tcBorders>
              <w:top w:val="single" w:sz="6" w:space="0" w:color="auto"/>
              <w:left w:val="single" w:sz="6" w:space="0" w:color="auto"/>
              <w:bottom w:val="single" w:sz="6" w:space="0" w:color="auto"/>
              <w:right w:val="single" w:sz="6" w:space="0" w:color="auto"/>
            </w:tcBorders>
          </w:tcPr>
          <w:p w14:paraId="03778E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Ливны </w:t>
            </w:r>
          </w:p>
        </w:tc>
        <w:tc>
          <w:tcPr>
            <w:tcW w:w="1984" w:type="dxa"/>
            <w:tcBorders>
              <w:top w:val="single" w:sz="6" w:space="0" w:color="auto"/>
              <w:left w:val="single" w:sz="6" w:space="0" w:color="auto"/>
              <w:bottom w:val="single" w:sz="6" w:space="0" w:color="auto"/>
              <w:right w:val="single" w:sz="12" w:space="0" w:color="auto"/>
            </w:tcBorders>
          </w:tcPr>
          <w:p w14:paraId="1C9E1D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Уфа </w:t>
            </w:r>
          </w:p>
        </w:tc>
      </w:tr>
      <w:tr w:rsidR="00643896" w:rsidRPr="00640820" w14:paraId="4BDF36C7" w14:textId="77777777" w:rsidTr="000D3BCB">
        <w:tc>
          <w:tcPr>
            <w:tcW w:w="230" w:type="dxa"/>
            <w:tcBorders>
              <w:top w:val="single" w:sz="6" w:space="0" w:color="auto"/>
              <w:left w:val="single" w:sz="12" w:space="0" w:color="auto"/>
              <w:bottom w:val="single" w:sz="6" w:space="0" w:color="auto"/>
              <w:right w:val="single" w:sz="6" w:space="0" w:color="auto"/>
            </w:tcBorders>
          </w:tcPr>
          <w:p w14:paraId="5EE6BC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w:t>
            </w:r>
          </w:p>
        </w:tc>
        <w:tc>
          <w:tcPr>
            <w:tcW w:w="5866" w:type="dxa"/>
            <w:tcBorders>
              <w:top w:val="single" w:sz="6" w:space="0" w:color="auto"/>
              <w:left w:val="single" w:sz="6" w:space="0" w:color="auto"/>
              <w:bottom w:val="single" w:sz="6" w:space="0" w:color="auto"/>
              <w:right w:val="single" w:sz="6" w:space="0" w:color="auto"/>
            </w:tcBorders>
          </w:tcPr>
          <w:p w14:paraId="54CF9C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219</w:t>
            </w:r>
          </w:p>
        </w:tc>
        <w:tc>
          <w:tcPr>
            <w:tcW w:w="2693" w:type="dxa"/>
            <w:tcBorders>
              <w:top w:val="single" w:sz="6" w:space="0" w:color="auto"/>
              <w:left w:val="single" w:sz="6" w:space="0" w:color="auto"/>
              <w:bottom w:val="single" w:sz="6" w:space="0" w:color="auto"/>
              <w:right w:val="single" w:sz="6" w:space="0" w:color="auto"/>
            </w:tcBorders>
          </w:tcPr>
          <w:p w14:paraId="3BA11F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Москва</w:t>
            </w:r>
          </w:p>
        </w:tc>
        <w:tc>
          <w:tcPr>
            <w:tcW w:w="1984" w:type="dxa"/>
            <w:tcBorders>
              <w:top w:val="single" w:sz="6" w:space="0" w:color="auto"/>
              <w:left w:val="single" w:sz="6" w:space="0" w:color="auto"/>
              <w:bottom w:val="single" w:sz="6" w:space="0" w:color="auto"/>
              <w:right w:val="single" w:sz="12" w:space="0" w:color="auto"/>
            </w:tcBorders>
          </w:tcPr>
          <w:p w14:paraId="2F5430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Уфа </w:t>
            </w:r>
          </w:p>
        </w:tc>
      </w:tr>
      <w:tr w:rsidR="00643896" w:rsidRPr="00640820" w14:paraId="42DFD7BD" w14:textId="77777777" w:rsidTr="000D3BCB">
        <w:tc>
          <w:tcPr>
            <w:tcW w:w="230" w:type="dxa"/>
            <w:tcBorders>
              <w:top w:val="single" w:sz="6" w:space="0" w:color="auto"/>
              <w:left w:val="single" w:sz="12" w:space="0" w:color="auto"/>
              <w:bottom w:val="single" w:sz="6" w:space="0" w:color="auto"/>
              <w:right w:val="single" w:sz="6" w:space="0" w:color="auto"/>
            </w:tcBorders>
          </w:tcPr>
          <w:p w14:paraId="4D4541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5866" w:type="dxa"/>
            <w:tcBorders>
              <w:top w:val="single" w:sz="6" w:space="0" w:color="auto"/>
              <w:left w:val="single" w:sz="6" w:space="0" w:color="auto"/>
              <w:bottom w:val="single" w:sz="6" w:space="0" w:color="auto"/>
              <w:right w:val="single" w:sz="6" w:space="0" w:color="auto"/>
            </w:tcBorders>
          </w:tcPr>
          <w:p w14:paraId="74FD9A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291</w:t>
            </w:r>
          </w:p>
        </w:tc>
        <w:tc>
          <w:tcPr>
            <w:tcW w:w="2693" w:type="dxa"/>
            <w:tcBorders>
              <w:top w:val="single" w:sz="6" w:space="0" w:color="auto"/>
              <w:left w:val="single" w:sz="6" w:space="0" w:color="auto"/>
              <w:bottom w:val="single" w:sz="6" w:space="0" w:color="auto"/>
              <w:right w:val="single" w:sz="6" w:space="0" w:color="auto"/>
            </w:tcBorders>
          </w:tcPr>
          <w:p w14:paraId="40135B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Москва</w:t>
            </w:r>
          </w:p>
        </w:tc>
        <w:tc>
          <w:tcPr>
            <w:tcW w:w="1984" w:type="dxa"/>
            <w:tcBorders>
              <w:top w:val="single" w:sz="6" w:space="0" w:color="auto"/>
              <w:left w:val="single" w:sz="6" w:space="0" w:color="auto"/>
              <w:bottom w:val="single" w:sz="6" w:space="0" w:color="auto"/>
              <w:right w:val="single" w:sz="12" w:space="0" w:color="auto"/>
            </w:tcBorders>
          </w:tcPr>
          <w:p w14:paraId="41ADC8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Уфа </w:t>
            </w:r>
          </w:p>
        </w:tc>
      </w:tr>
      <w:tr w:rsidR="00643896" w:rsidRPr="00640820" w14:paraId="7A909B22" w14:textId="77777777" w:rsidTr="000D3BCB">
        <w:tc>
          <w:tcPr>
            <w:tcW w:w="230" w:type="dxa"/>
            <w:tcBorders>
              <w:top w:val="single" w:sz="6" w:space="0" w:color="auto"/>
              <w:left w:val="single" w:sz="12" w:space="0" w:color="auto"/>
              <w:bottom w:val="single" w:sz="6" w:space="0" w:color="auto"/>
              <w:right w:val="single" w:sz="6" w:space="0" w:color="auto"/>
            </w:tcBorders>
          </w:tcPr>
          <w:p w14:paraId="206438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21</w:t>
            </w:r>
          </w:p>
        </w:tc>
        <w:tc>
          <w:tcPr>
            <w:tcW w:w="5866" w:type="dxa"/>
            <w:tcBorders>
              <w:top w:val="single" w:sz="6" w:space="0" w:color="auto"/>
              <w:left w:val="single" w:sz="6" w:space="0" w:color="auto"/>
              <w:bottom w:val="single" w:sz="6" w:space="0" w:color="auto"/>
              <w:right w:val="single" w:sz="6" w:space="0" w:color="auto"/>
            </w:tcBorders>
          </w:tcPr>
          <w:p w14:paraId="3FDEA4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161</w:t>
            </w:r>
          </w:p>
        </w:tc>
        <w:tc>
          <w:tcPr>
            <w:tcW w:w="2693" w:type="dxa"/>
            <w:tcBorders>
              <w:top w:val="single" w:sz="6" w:space="0" w:color="auto"/>
              <w:left w:val="single" w:sz="6" w:space="0" w:color="auto"/>
              <w:bottom w:val="single" w:sz="6" w:space="0" w:color="auto"/>
              <w:right w:val="single" w:sz="6" w:space="0" w:color="auto"/>
            </w:tcBorders>
          </w:tcPr>
          <w:p w14:paraId="5B644A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Москва</w:t>
            </w:r>
          </w:p>
        </w:tc>
        <w:tc>
          <w:tcPr>
            <w:tcW w:w="1984" w:type="dxa"/>
            <w:tcBorders>
              <w:top w:val="single" w:sz="6" w:space="0" w:color="auto"/>
              <w:left w:val="single" w:sz="6" w:space="0" w:color="auto"/>
              <w:bottom w:val="single" w:sz="6" w:space="0" w:color="auto"/>
              <w:right w:val="single" w:sz="12" w:space="0" w:color="auto"/>
            </w:tcBorders>
          </w:tcPr>
          <w:p w14:paraId="317898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Уфа </w:t>
            </w:r>
          </w:p>
        </w:tc>
      </w:tr>
      <w:tr w:rsidR="00643896" w:rsidRPr="00640820" w14:paraId="0009180C" w14:textId="77777777" w:rsidTr="000D3BCB">
        <w:tc>
          <w:tcPr>
            <w:tcW w:w="230" w:type="dxa"/>
            <w:tcBorders>
              <w:top w:val="single" w:sz="6" w:space="0" w:color="auto"/>
              <w:left w:val="single" w:sz="12" w:space="0" w:color="auto"/>
              <w:bottom w:val="single" w:sz="6" w:space="0" w:color="auto"/>
              <w:right w:val="single" w:sz="6" w:space="0" w:color="auto"/>
            </w:tcBorders>
          </w:tcPr>
          <w:p w14:paraId="189C67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w:t>
            </w:r>
          </w:p>
        </w:tc>
        <w:tc>
          <w:tcPr>
            <w:tcW w:w="5866" w:type="dxa"/>
            <w:tcBorders>
              <w:top w:val="single" w:sz="6" w:space="0" w:color="auto"/>
              <w:left w:val="single" w:sz="6" w:space="0" w:color="auto"/>
              <w:bottom w:val="single" w:sz="6" w:space="0" w:color="auto"/>
              <w:right w:val="single" w:sz="6" w:space="0" w:color="auto"/>
            </w:tcBorders>
          </w:tcPr>
          <w:p w14:paraId="432965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26</w:t>
            </w:r>
          </w:p>
        </w:tc>
        <w:tc>
          <w:tcPr>
            <w:tcW w:w="2693" w:type="dxa"/>
            <w:tcBorders>
              <w:top w:val="single" w:sz="6" w:space="0" w:color="auto"/>
              <w:left w:val="single" w:sz="6" w:space="0" w:color="auto"/>
              <w:bottom w:val="single" w:sz="6" w:space="0" w:color="auto"/>
              <w:right w:val="single" w:sz="6" w:space="0" w:color="auto"/>
            </w:tcBorders>
          </w:tcPr>
          <w:p w14:paraId="261ACC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Рыбинск </w:t>
            </w:r>
          </w:p>
        </w:tc>
        <w:tc>
          <w:tcPr>
            <w:tcW w:w="1984" w:type="dxa"/>
            <w:tcBorders>
              <w:top w:val="single" w:sz="6" w:space="0" w:color="auto"/>
              <w:left w:val="single" w:sz="6" w:space="0" w:color="auto"/>
              <w:bottom w:val="single" w:sz="6" w:space="0" w:color="auto"/>
              <w:right w:val="single" w:sz="12" w:space="0" w:color="auto"/>
            </w:tcBorders>
          </w:tcPr>
          <w:p w14:paraId="6D15FF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Уфа </w:t>
            </w:r>
          </w:p>
        </w:tc>
      </w:tr>
      <w:tr w:rsidR="00643896" w:rsidRPr="00640820" w14:paraId="132CB992" w14:textId="77777777" w:rsidTr="000D3BCB">
        <w:tc>
          <w:tcPr>
            <w:tcW w:w="230" w:type="dxa"/>
            <w:tcBorders>
              <w:top w:val="single" w:sz="6" w:space="0" w:color="auto"/>
              <w:left w:val="single" w:sz="12" w:space="0" w:color="auto"/>
              <w:bottom w:val="single" w:sz="6" w:space="0" w:color="auto"/>
              <w:right w:val="single" w:sz="6" w:space="0" w:color="auto"/>
            </w:tcBorders>
          </w:tcPr>
          <w:p w14:paraId="77EC47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w:t>
            </w:r>
          </w:p>
        </w:tc>
        <w:tc>
          <w:tcPr>
            <w:tcW w:w="5866" w:type="dxa"/>
            <w:tcBorders>
              <w:top w:val="single" w:sz="6" w:space="0" w:color="auto"/>
              <w:left w:val="single" w:sz="6" w:space="0" w:color="auto"/>
              <w:bottom w:val="single" w:sz="6" w:space="0" w:color="auto"/>
              <w:right w:val="single" w:sz="6" w:space="0" w:color="auto"/>
            </w:tcBorders>
          </w:tcPr>
          <w:p w14:paraId="3E7144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Серпуховская Новоткацкая фабрика</w:t>
            </w:r>
          </w:p>
        </w:tc>
        <w:tc>
          <w:tcPr>
            <w:tcW w:w="2693" w:type="dxa"/>
            <w:tcBorders>
              <w:top w:val="single" w:sz="6" w:space="0" w:color="auto"/>
              <w:left w:val="single" w:sz="6" w:space="0" w:color="auto"/>
              <w:bottom w:val="single" w:sz="6" w:space="0" w:color="auto"/>
              <w:right w:val="single" w:sz="6" w:space="0" w:color="auto"/>
            </w:tcBorders>
          </w:tcPr>
          <w:p w14:paraId="1A4BD1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Московская область </w:t>
            </w:r>
          </w:p>
        </w:tc>
        <w:tc>
          <w:tcPr>
            <w:tcW w:w="1984" w:type="dxa"/>
            <w:tcBorders>
              <w:top w:val="single" w:sz="6" w:space="0" w:color="auto"/>
              <w:left w:val="single" w:sz="6" w:space="0" w:color="auto"/>
              <w:bottom w:val="single" w:sz="6" w:space="0" w:color="auto"/>
              <w:right w:val="single" w:sz="12" w:space="0" w:color="auto"/>
            </w:tcBorders>
          </w:tcPr>
          <w:p w14:paraId="69AC54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Уфа</w:t>
            </w:r>
          </w:p>
        </w:tc>
      </w:tr>
      <w:tr w:rsidR="00643896" w:rsidRPr="00640820" w14:paraId="70B9E300" w14:textId="77777777" w:rsidTr="000D3BCB">
        <w:tc>
          <w:tcPr>
            <w:tcW w:w="230" w:type="dxa"/>
            <w:tcBorders>
              <w:top w:val="single" w:sz="6" w:space="0" w:color="auto"/>
              <w:left w:val="single" w:sz="12" w:space="0" w:color="auto"/>
              <w:bottom w:val="single" w:sz="6" w:space="0" w:color="auto"/>
              <w:right w:val="single" w:sz="6" w:space="0" w:color="auto"/>
            </w:tcBorders>
          </w:tcPr>
          <w:p w14:paraId="35D7C4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w:t>
            </w:r>
          </w:p>
        </w:tc>
        <w:tc>
          <w:tcPr>
            <w:tcW w:w="5866" w:type="dxa"/>
            <w:tcBorders>
              <w:top w:val="single" w:sz="6" w:space="0" w:color="auto"/>
              <w:left w:val="single" w:sz="6" w:space="0" w:color="auto"/>
              <w:bottom w:val="single" w:sz="6" w:space="0" w:color="auto"/>
              <w:right w:val="single" w:sz="6" w:space="0" w:color="auto"/>
            </w:tcBorders>
          </w:tcPr>
          <w:p w14:paraId="319447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Опытный завод натурального каучука «Роскаучук»</w:t>
            </w:r>
          </w:p>
        </w:tc>
        <w:tc>
          <w:tcPr>
            <w:tcW w:w="2693" w:type="dxa"/>
            <w:tcBorders>
              <w:top w:val="single" w:sz="6" w:space="0" w:color="auto"/>
              <w:left w:val="single" w:sz="6" w:space="0" w:color="auto"/>
              <w:bottom w:val="single" w:sz="6" w:space="0" w:color="auto"/>
              <w:right w:val="single" w:sz="6" w:space="0" w:color="auto"/>
            </w:tcBorders>
          </w:tcPr>
          <w:p w14:paraId="2089AF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Москва</w:t>
            </w:r>
          </w:p>
        </w:tc>
        <w:tc>
          <w:tcPr>
            <w:tcW w:w="1984" w:type="dxa"/>
            <w:tcBorders>
              <w:top w:val="single" w:sz="6" w:space="0" w:color="auto"/>
              <w:left w:val="single" w:sz="6" w:space="0" w:color="auto"/>
              <w:bottom w:val="single" w:sz="6" w:space="0" w:color="auto"/>
              <w:right w:val="single" w:sz="12" w:space="0" w:color="auto"/>
            </w:tcBorders>
          </w:tcPr>
          <w:p w14:paraId="5D0DAD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Уфа</w:t>
            </w:r>
          </w:p>
        </w:tc>
      </w:tr>
      <w:tr w:rsidR="00643896" w:rsidRPr="00640820" w14:paraId="20DC4D88" w14:textId="77777777" w:rsidTr="000D3BCB">
        <w:tc>
          <w:tcPr>
            <w:tcW w:w="230" w:type="dxa"/>
            <w:tcBorders>
              <w:top w:val="single" w:sz="6" w:space="0" w:color="auto"/>
              <w:left w:val="single" w:sz="12" w:space="0" w:color="auto"/>
              <w:bottom w:val="single" w:sz="6" w:space="0" w:color="auto"/>
              <w:right w:val="single" w:sz="6" w:space="0" w:color="auto"/>
            </w:tcBorders>
          </w:tcPr>
          <w:p w14:paraId="26466B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w:t>
            </w:r>
          </w:p>
        </w:tc>
        <w:tc>
          <w:tcPr>
            <w:tcW w:w="5866" w:type="dxa"/>
            <w:tcBorders>
              <w:top w:val="single" w:sz="6" w:space="0" w:color="auto"/>
              <w:left w:val="single" w:sz="6" w:space="0" w:color="auto"/>
              <w:bottom w:val="single" w:sz="6" w:space="0" w:color="auto"/>
              <w:right w:val="single" w:sz="6" w:space="0" w:color="auto"/>
            </w:tcBorders>
          </w:tcPr>
          <w:p w14:paraId="769D2B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Радиостанция РВ – 1 имени Коминтерна</w:t>
            </w:r>
          </w:p>
        </w:tc>
        <w:tc>
          <w:tcPr>
            <w:tcW w:w="2693" w:type="dxa"/>
            <w:tcBorders>
              <w:top w:val="single" w:sz="6" w:space="0" w:color="auto"/>
              <w:left w:val="single" w:sz="6" w:space="0" w:color="auto"/>
              <w:bottom w:val="single" w:sz="6" w:space="0" w:color="auto"/>
              <w:right w:val="single" w:sz="6" w:space="0" w:color="auto"/>
            </w:tcBorders>
          </w:tcPr>
          <w:p w14:paraId="069CB5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Москва</w:t>
            </w:r>
          </w:p>
        </w:tc>
        <w:tc>
          <w:tcPr>
            <w:tcW w:w="1984" w:type="dxa"/>
            <w:tcBorders>
              <w:top w:val="single" w:sz="6" w:space="0" w:color="auto"/>
              <w:left w:val="single" w:sz="6" w:space="0" w:color="auto"/>
              <w:bottom w:val="single" w:sz="6" w:space="0" w:color="auto"/>
              <w:right w:val="single" w:sz="12" w:space="0" w:color="auto"/>
            </w:tcBorders>
          </w:tcPr>
          <w:p w14:paraId="44E85A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Уфа</w:t>
            </w:r>
          </w:p>
        </w:tc>
      </w:tr>
      <w:tr w:rsidR="00643896" w:rsidRPr="00640820" w14:paraId="55AD4DCD" w14:textId="77777777" w:rsidTr="000D3BCB">
        <w:tc>
          <w:tcPr>
            <w:tcW w:w="230" w:type="dxa"/>
            <w:tcBorders>
              <w:top w:val="single" w:sz="6" w:space="0" w:color="auto"/>
              <w:left w:val="single" w:sz="12" w:space="0" w:color="auto"/>
              <w:bottom w:val="single" w:sz="6" w:space="0" w:color="auto"/>
              <w:right w:val="single" w:sz="6" w:space="0" w:color="auto"/>
            </w:tcBorders>
          </w:tcPr>
          <w:p w14:paraId="3E9717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w:t>
            </w:r>
          </w:p>
        </w:tc>
        <w:tc>
          <w:tcPr>
            <w:tcW w:w="5866" w:type="dxa"/>
            <w:tcBorders>
              <w:top w:val="single" w:sz="6" w:space="0" w:color="auto"/>
              <w:left w:val="single" w:sz="6" w:space="0" w:color="auto"/>
              <w:bottom w:val="single" w:sz="6" w:space="0" w:color="auto"/>
              <w:right w:val="single" w:sz="6" w:space="0" w:color="auto"/>
            </w:tcBorders>
          </w:tcPr>
          <w:p w14:paraId="457D97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Заводы № 9 и № 633 Наркомата электропромышленности СССР</w:t>
            </w:r>
          </w:p>
        </w:tc>
        <w:tc>
          <w:tcPr>
            <w:tcW w:w="2693" w:type="dxa"/>
            <w:tcBorders>
              <w:top w:val="single" w:sz="6" w:space="0" w:color="auto"/>
              <w:left w:val="single" w:sz="6" w:space="0" w:color="auto"/>
              <w:bottom w:val="single" w:sz="6" w:space="0" w:color="auto"/>
              <w:right w:val="single" w:sz="6" w:space="0" w:color="auto"/>
            </w:tcBorders>
          </w:tcPr>
          <w:p w14:paraId="7E27BA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Москва</w:t>
            </w:r>
          </w:p>
        </w:tc>
        <w:tc>
          <w:tcPr>
            <w:tcW w:w="1984" w:type="dxa"/>
            <w:tcBorders>
              <w:top w:val="single" w:sz="6" w:space="0" w:color="auto"/>
              <w:left w:val="single" w:sz="6" w:space="0" w:color="auto"/>
              <w:bottom w:val="single" w:sz="6" w:space="0" w:color="auto"/>
              <w:right w:val="single" w:sz="12" w:space="0" w:color="auto"/>
            </w:tcBorders>
          </w:tcPr>
          <w:p w14:paraId="55310C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Уфа</w:t>
            </w:r>
          </w:p>
        </w:tc>
      </w:tr>
      <w:tr w:rsidR="00643896" w:rsidRPr="00640820" w14:paraId="06744371" w14:textId="77777777" w:rsidTr="000D3BCB">
        <w:tc>
          <w:tcPr>
            <w:tcW w:w="230" w:type="dxa"/>
            <w:tcBorders>
              <w:top w:val="single" w:sz="6" w:space="0" w:color="auto"/>
              <w:left w:val="single" w:sz="12" w:space="0" w:color="auto"/>
              <w:bottom w:val="single" w:sz="6" w:space="0" w:color="auto"/>
              <w:right w:val="single" w:sz="6" w:space="0" w:color="auto"/>
            </w:tcBorders>
          </w:tcPr>
          <w:p w14:paraId="748E8C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w:t>
            </w:r>
          </w:p>
        </w:tc>
        <w:tc>
          <w:tcPr>
            <w:tcW w:w="5866" w:type="dxa"/>
            <w:tcBorders>
              <w:top w:val="single" w:sz="6" w:space="0" w:color="auto"/>
              <w:left w:val="single" w:sz="6" w:space="0" w:color="auto"/>
              <w:bottom w:val="single" w:sz="6" w:space="0" w:color="auto"/>
              <w:right w:val="single" w:sz="6" w:space="0" w:color="auto"/>
            </w:tcBorders>
          </w:tcPr>
          <w:p w14:paraId="1BAE6B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Радиоламповый завод № 191</w:t>
            </w:r>
          </w:p>
        </w:tc>
        <w:tc>
          <w:tcPr>
            <w:tcW w:w="2693" w:type="dxa"/>
            <w:tcBorders>
              <w:top w:val="single" w:sz="6" w:space="0" w:color="auto"/>
              <w:left w:val="single" w:sz="6" w:space="0" w:color="auto"/>
              <w:bottom w:val="single" w:sz="6" w:space="0" w:color="auto"/>
              <w:right w:val="single" w:sz="6" w:space="0" w:color="auto"/>
            </w:tcBorders>
          </w:tcPr>
          <w:p w14:paraId="0D6A33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Москва</w:t>
            </w:r>
          </w:p>
        </w:tc>
        <w:tc>
          <w:tcPr>
            <w:tcW w:w="1984" w:type="dxa"/>
            <w:tcBorders>
              <w:top w:val="single" w:sz="6" w:space="0" w:color="auto"/>
              <w:left w:val="single" w:sz="6" w:space="0" w:color="auto"/>
              <w:bottom w:val="single" w:sz="6" w:space="0" w:color="auto"/>
              <w:right w:val="single" w:sz="12" w:space="0" w:color="auto"/>
            </w:tcBorders>
          </w:tcPr>
          <w:p w14:paraId="3E3807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Уфа</w:t>
            </w:r>
          </w:p>
        </w:tc>
      </w:tr>
      <w:tr w:rsidR="00643896" w:rsidRPr="00640820" w14:paraId="67D082CA" w14:textId="77777777" w:rsidTr="000D3BCB">
        <w:tc>
          <w:tcPr>
            <w:tcW w:w="230" w:type="dxa"/>
            <w:tcBorders>
              <w:top w:val="single" w:sz="6" w:space="0" w:color="auto"/>
              <w:left w:val="single" w:sz="12" w:space="0" w:color="auto"/>
              <w:bottom w:val="single" w:sz="6" w:space="0" w:color="auto"/>
              <w:right w:val="single" w:sz="6" w:space="0" w:color="auto"/>
            </w:tcBorders>
          </w:tcPr>
          <w:p w14:paraId="354BE9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w:t>
            </w:r>
          </w:p>
        </w:tc>
        <w:tc>
          <w:tcPr>
            <w:tcW w:w="5866" w:type="dxa"/>
            <w:tcBorders>
              <w:top w:val="single" w:sz="6" w:space="0" w:color="auto"/>
              <w:left w:val="single" w:sz="6" w:space="0" w:color="auto"/>
              <w:bottom w:val="single" w:sz="6" w:space="0" w:color="auto"/>
              <w:right w:val="single" w:sz="6" w:space="0" w:color="auto"/>
            </w:tcBorders>
          </w:tcPr>
          <w:p w14:paraId="3C57BC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Спичечная фабрика «Гигант»</w:t>
            </w:r>
          </w:p>
        </w:tc>
        <w:tc>
          <w:tcPr>
            <w:tcW w:w="2693" w:type="dxa"/>
            <w:tcBorders>
              <w:top w:val="single" w:sz="6" w:space="0" w:color="auto"/>
              <w:left w:val="single" w:sz="6" w:space="0" w:color="auto"/>
              <w:bottom w:val="single" w:sz="6" w:space="0" w:color="auto"/>
              <w:right w:val="single" w:sz="6" w:space="0" w:color="auto"/>
            </w:tcBorders>
          </w:tcPr>
          <w:p w14:paraId="0CF0AF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Калуга </w:t>
            </w:r>
          </w:p>
        </w:tc>
        <w:tc>
          <w:tcPr>
            <w:tcW w:w="1984" w:type="dxa"/>
            <w:tcBorders>
              <w:top w:val="single" w:sz="6" w:space="0" w:color="auto"/>
              <w:left w:val="single" w:sz="6" w:space="0" w:color="auto"/>
              <w:bottom w:val="single" w:sz="6" w:space="0" w:color="auto"/>
              <w:right w:val="single" w:sz="12" w:space="0" w:color="auto"/>
            </w:tcBorders>
          </w:tcPr>
          <w:p w14:paraId="089218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Уфа</w:t>
            </w:r>
          </w:p>
        </w:tc>
      </w:tr>
      <w:tr w:rsidR="00643896" w:rsidRPr="00640820" w14:paraId="76FA643B" w14:textId="77777777" w:rsidTr="000D3BCB">
        <w:tc>
          <w:tcPr>
            <w:tcW w:w="230" w:type="dxa"/>
            <w:tcBorders>
              <w:top w:val="single" w:sz="6" w:space="0" w:color="auto"/>
              <w:left w:val="single" w:sz="12" w:space="0" w:color="auto"/>
              <w:bottom w:val="single" w:sz="6" w:space="0" w:color="auto"/>
              <w:right w:val="single" w:sz="6" w:space="0" w:color="auto"/>
            </w:tcBorders>
          </w:tcPr>
          <w:p w14:paraId="45367B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w:t>
            </w:r>
          </w:p>
        </w:tc>
        <w:tc>
          <w:tcPr>
            <w:tcW w:w="5866" w:type="dxa"/>
            <w:tcBorders>
              <w:top w:val="single" w:sz="6" w:space="0" w:color="auto"/>
              <w:left w:val="single" w:sz="6" w:space="0" w:color="auto"/>
              <w:bottom w:val="single" w:sz="6" w:space="0" w:color="auto"/>
              <w:right w:val="single" w:sz="6" w:space="0" w:color="auto"/>
            </w:tcBorders>
          </w:tcPr>
          <w:p w14:paraId="562E36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Оборудование Микашевического фанерного завода</w:t>
            </w:r>
          </w:p>
        </w:tc>
        <w:tc>
          <w:tcPr>
            <w:tcW w:w="2693" w:type="dxa"/>
            <w:tcBorders>
              <w:top w:val="single" w:sz="6" w:space="0" w:color="auto"/>
              <w:left w:val="single" w:sz="6" w:space="0" w:color="auto"/>
              <w:bottom w:val="single" w:sz="6" w:space="0" w:color="auto"/>
              <w:right w:val="single" w:sz="6" w:space="0" w:color="auto"/>
            </w:tcBorders>
          </w:tcPr>
          <w:p w14:paraId="45E021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Микашевичи, Белорусская ССР</w:t>
            </w:r>
          </w:p>
        </w:tc>
        <w:tc>
          <w:tcPr>
            <w:tcW w:w="1984" w:type="dxa"/>
            <w:tcBorders>
              <w:top w:val="single" w:sz="6" w:space="0" w:color="auto"/>
              <w:left w:val="single" w:sz="6" w:space="0" w:color="auto"/>
              <w:bottom w:val="single" w:sz="6" w:space="0" w:color="auto"/>
              <w:right w:val="single" w:sz="12" w:space="0" w:color="auto"/>
            </w:tcBorders>
          </w:tcPr>
          <w:p w14:paraId="4273FE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Уфа</w:t>
            </w:r>
          </w:p>
        </w:tc>
      </w:tr>
      <w:tr w:rsidR="00643896" w:rsidRPr="00640820" w14:paraId="4556F923" w14:textId="77777777" w:rsidTr="000D3BCB">
        <w:tc>
          <w:tcPr>
            <w:tcW w:w="230" w:type="dxa"/>
            <w:tcBorders>
              <w:top w:val="single" w:sz="6" w:space="0" w:color="auto"/>
              <w:left w:val="single" w:sz="12" w:space="0" w:color="auto"/>
              <w:bottom w:val="single" w:sz="6" w:space="0" w:color="auto"/>
              <w:right w:val="single" w:sz="6" w:space="0" w:color="auto"/>
            </w:tcBorders>
          </w:tcPr>
          <w:p w14:paraId="7EE41D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c>
          <w:tcPr>
            <w:tcW w:w="5866" w:type="dxa"/>
            <w:tcBorders>
              <w:top w:val="single" w:sz="6" w:space="0" w:color="auto"/>
              <w:left w:val="single" w:sz="6" w:space="0" w:color="auto"/>
              <w:bottom w:val="single" w:sz="6" w:space="0" w:color="auto"/>
              <w:right w:val="single" w:sz="6" w:space="0" w:color="auto"/>
            </w:tcBorders>
          </w:tcPr>
          <w:p w14:paraId="105CD5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«Винилпровод»</w:t>
            </w:r>
          </w:p>
        </w:tc>
        <w:tc>
          <w:tcPr>
            <w:tcW w:w="2693" w:type="dxa"/>
            <w:tcBorders>
              <w:top w:val="single" w:sz="6" w:space="0" w:color="auto"/>
              <w:left w:val="single" w:sz="6" w:space="0" w:color="auto"/>
              <w:bottom w:val="single" w:sz="6" w:space="0" w:color="auto"/>
              <w:right w:val="single" w:sz="6" w:space="0" w:color="auto"/>
            </w:tcBorders>
          </w:tcPr>
          <w:p w14:paraId="547974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Москва </w:t>
            </w:r>
          </w:p>
        </w:tc>
        <w:tc>
          <w:tcPr>
            <w:tcW w:w="1984" w:type="dxa"/>
            <w:tcBorders>
              <w:top w:val="single" w:sz="6" w:space="0" w:color="auto"/>
              <w:left w:val="single" w:sz="6" w:space="0" w:color="auto"/>
              <w:bottom w:val="single" w:sz="6" w:space="0" w:color="auto"/>
              <w:right w:val="single" w:sz="12" w:space="0" w:color="auto"/>
            </w:tcBorders>
          </w:tcPr>
          <w:p w14:paraId="5287F8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Уфа</w:t>
            </w:r>
          </w:p>
        </w:tc>
      </w:tr>
      <w:tr w:rsidR="00643896" w:rsidRPr="00640820" w14:paraId="739786BC" w14:textId="77777777" w:rsidTr="000D3BCB">
        <w:tc>
          <w:tcPr>
            <w:tcW w:w="230" w:type="dxa"/>
            <w:tcBorders>
              <w:top w:val="single" w:sz="6" w:space="0" w:color="auto"/>
              <w:left w:val="single" w:sz="12" w:space="0" w:color="auto"/>
              <w:bottom w:val="single" w:sz="6" w:space="0" w:color="auto"/>
              <w:right w:val="single" w:sz="6" w:space="0" w:color="auto"/>
            </w:tcBorders>
          </w:tcPr>
          <w:p w14:paraId="34A08B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w:t>
            </w:r>
          </w:p>
          <w:p w14:paraId="0E0A36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w:t>
            </w:r>
          </w:p>
        </w:tc>
        <w:tc>
          <w:tcPr>
            <w:tcW w:w="5866" w:type="dxa"/>
            <w:tcBorders>
              <w:top w:val="single" w:sz="6" w:space="0" w:color="auto"/>
              <w:left w:val="single" w:sz="6" w:space="0" w:color="auto"/>
              <w:bottom w:val="single" w:sz="6" w:space="0" w:color="auto"/>
              <w:right w:val="single" w:sz="6" w:space="0" w:color="auto"/>
            </w:tcBorders>
          </w:tcPr>
          <w:p w14:paraId="38D0B4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Авиаремонтные мастерские Центрального Совета Осоавиахима</w:t>
            </w:r>
          </w:p>
          <w:p w14:paraId="39B339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Молочный завод </w:t>
            </w:r>
          </w:p>
        </w:tc>
        <w:tc>
          <w:tcPr>
            <w:tcW w:w="2693" w:type="dxa"/>
            <w:tcBorders>
              <w:top w:val="single" w:sz="6" w:space="0" w:color="auto"/>
              <w:left w:val="single" w:sz="6" w:space="0" w:color="auto"/>
              <w:bottom w:val="single" w:sz="6" w:space="0" w:color="auto"/>
              <w:right w:val="single" w:sz="6" w:space="0" w:color="auto"/>
            </w:tcBorders>
          </w:tcPr>
          <w:p w14:paraId="2BA1ED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Запорожье </w:t>
            </w:r>
          </w:p>
          <w:p w14:paraId="7E152F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Витебск </w:t>
            </w:r>
          </w:p>
        </w:tc>
        <w:tc>
          <w:tcPr>
            <w:tcW w:w="1984" w:type="dxa"/>
            <w:tcBorders>
              <w:top w:val="single" w:sz="6" w:space="0" w:color="auto"/>
              <w:left w:val="single" w:sz="6" w:space="0" w:color="auto"/>
              <w:bottom w:val="single" w:sz="6" w:space="0" w:color="auto"/>
              <w:right w:val="single" w:sz="12" w:space="0" w:color="auto"/>
            </w:tcBorders>
          </w:tcPr>
          <w:p w14:paraId="0DC6F6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Уфа</w:t>
            </w:r>
          </w:p>
          <w:p w14:paraId="24E4AB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Уфа</w:t>
            </w:r>
          </w:p>
        </w:tc>
      </w:tr>
      <w:tr w:rsidR="00643896" w:rsidRPr="00640820" w14:paraId="54CC27AA" w14:textId="77777777" w:rsidTr="000D3BCB">
        <w:tc>
          <w:tcPr>
            <w:tcW w:w="230" w:type="dxa"/>
            <w:tcBorders>
              <w:top w:val="single" w:sz="6" w:space="0" w:color="auto"/>
              <w:left w:val="single" w:sz="12" w:space="0" w:color="auto"/>
              <w:bottom w:val="single" w:sz="6" w:space="0" w:color="auto"/>
              <w:right w:val="single" w:sz="6" w:space="0" w:color="auto"/>
            </w:tcBorders>
          </w:tcPr>
          <w:p w14:paraId="1718D4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33</w:t>
            </w:r>
          </w:p>
        </w:tc>
        <w:tc>
          <w:tcPr>
            <w:tcW w:w="5866" w:type="dxa"/>
            <w:tcBorders>
              <w:top w:val="single" w:sz="6" w:space="0" w:color="auto"/>
              <w:left w:val="single" w:sz="6" w:space="0" w:color="auto"/>
              <w:bottom w:val="single" w:sz="6" w:space="0" w:color="auto"/>
              <w:right w:val="single" w:sz="6" w:space="0" w:color="auto"/>
            </w:tcBorders>
          </w:tcPr>
          <w:p w14:paraId="2E8BFD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Полтавский спиртзавод </w:t>
            </w:r>
          </w:p>
        </w:tc>
        <w:tc>
          <w:tcPr>
            <w:tcW w:w="2693" w:type="dxa"/>
            <w:tcBorders>
              <w:top w:val="single" w:sz="6" w:space="0" w:color="auto"/>
              <w:left w:val="single" w:sz="6" w:space="0" w:color="auto"/>
              <w:bottom w:val="single" w:sz="6" w:space="0" w:color="auto"/>
              <w:right w:val="single" w:sz="6" w:space="0" w:color="auto"/>
            </w:tcBorders>
          </w:tcPr>
          <w:p w14:paraId="4B83E8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Полтава </w:t>
            </w:r>
          </w:p>
        </w:tc>
        <w:tc>
          <w:tcPr>
            <w:tcW w:w="1984" w:type="dxa"/>
            <w:tcBorders>
              <w:top w:val="single" w:sz="6" w:space="0" w:color="auto"/>
              <w:left w:val="single" w:sz="6" w:space="0" w:color="auto"/>
              <w:bottom w:val="single" w:sz="6" w:space="0" w:color="auto"/>
              <w:right w:val="single" w:sz="12" w:space="0" w:color="auto"/>
            </w:tcBorders>
          </w:tcPr>
          <w:p w14:paraId="1E80F8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Уфа</w:t>
            </w:r>
          </w:p>
        </w:tc>
      </w:tr>
      <w:tr w:rsidR="00643896" w:rsidRPr="00640820" w14:paraId="07033A3E" w14:textId="77777777" w:rsidTr="000D3BCB">
        <w:tc>
          <w:tcPr>
            <w:tcW w:w="230" w:type="dxa"/>
            <w:tcBorders>
              <w:top w:val="single" w:sz="6" w:space="0" w:color="auto"/>
              <w:left w:val="single" w:sz="12" w:space="0" w:color="auto"/>
              <w:bottom w:val="single" w:sz="6" w:space="0" w:color="auto"/>
              <w:right w:val="single" w:sz="6" w:space="0" w:color="auto"/>
            </w:tcBorders>
          </w:tcPr>
          <w:p w14:paraId="371A9A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34</w:t>
            </w:r>
          </w:p>
        </w:tc>
        <w:tc>
          <w:tcPr>
            <w:tcW w:w="5866" w:type="dxa"/>
            <w:tcBorders>
              <w:top w:val="single" w:sz="6" w:space="0" w:color="auto"/>
              <w:left w:val="single" w:sz="6" w:space="0" w:color="auto"/>
              <w:bottom w:val="single" w:sz="6" w:space="0" w:color="auto"/>
              <w:right w:val="single" w:sz="6" w:space="0" w:color="auto"/>
            </w:tcBorders>
          </w:tcPr>
          <w:p w14:paraId="12B614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Оборудование Московского аккумуляторного завода Промкооперации </w:t>
            </w:r>
          </w:p>
        </w:tc>
        <w:tc>
          <w:tcPr>
            <w:tcW w:w="2693" w:type="dxa"/>
            <w:tcBorders>
              <w:top w:val="single" w:sz="6" w:space="0" w:color="auto"/>
              <w:left w:val="single" w:sz="6" w:space="0" w:color="auto"/>
              <w:bottom w:val="single" w:sz="6" w:space="0" w:color="auto"/>
              <w:right w:val="single" w:sz="6" w:space="0" w:color="auto"/>
            </w:tcBorders>
          </w:tcPr>
          <w:p w14:paraId="6E3842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Москва </w:t>
            </w:r>
          </w:p>
        </w:tc>
        <w:tc>
          <w:tcPr>
            <w:tcW w:w="1984" w:type="dxa"/>
            <w:tcBorders>
              <w:top w:val="single" w:sz="6" w:space="0" w:color="auto"/>
              <w:left w:val="single" w:sz="6" w:space="0" w:color="auto"/>
              <w:bottom w:val="single" w:sz="6" w:space="0" w:color="auto"/>
              <w:right w:val="single" w:sz="12" w:space="0" w:color="auto"/>
            </w:tcBorders>
          </w:tcPr>
          <w:p w14:paraId="7F62A9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Уфа</w:t>
            </w:r>
          </w:p>
        </w:tc>
      </w:tr>
      <w:tr w:rsidR="00643896" w:rsidRPr="00640820" w14:paraId="4F854645" w14:textId="77777777" w:rsidTr="000D3BCB">
        <w:tc>
          <w:tcPr>
            <w:tcW w:w="230" w:type="dxa"/>
            <w:tcBorders>
              <w:top w:val="single" w:sz="6" w:space="0" w:color="auto"/>
              <w:left w:val="single" w:sz="12" w:space="0" w:color="auto"/>
              <w:bottom w:val="single" w:sz="6" w:space="0" w:color="auto"/>
              <w:right w:val="single" w:sz="6" w:space="0" w:color="auto"/>
            </w:tcBorders>
          </w:tcPr>
          <w:p w14:paraId="21DE0F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w:t>
            </w:r>
          </w:p>
        </w:tc>
        <w:tc>
          <w:tcPr>
            <w:tcW w:w="5866" w:type="dxa"/>
            <w:tcBorders>
              <w:top w:val="single" w:sz="6" w:space="0" w:color="auto"/>
              <w:left w:val="single" w:sz="6" w:space="0" w:color="auto"/>
              <w:bottom w:val="single" w:sz="6" w:space="0" w:color="auto"/>
              <w:right w:val="single" w:sz="6" w:space="0" w:color="auto"/>
            </w:tcBorders>
          </w:tcPr>
          <w:p w14:paraId="5EF623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Завод № 307 Наркомата авиационной промышленности </w:t>
            </w:r>
          </w:p>
        </w:tc>
        <w:tc>
          <w:tcPr>
            <w:tcW w:w="2693" w:type="dxa"/>
            <w:tcBorders>
              <w:top w:val="single" w:sz="6" w:space="0" w:color="auto"/>
              <w:left w:val="single" w:sz="6" w:space="0" w:color="auto"/>
              <w:bottom w:val="single" w:sz="6" w:space="0" w:color="auto"/>
              <w:right w:val="single" w:sz="6" w:space="0" w:color="auto"/>
            </w:tcBorders>
          </w:tcPr>
          <w:p w14:paraId="23B226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Москва</w:t>
            </w:r>
          </w:p>
        </w:tc>
        <w:tc>
          <w:tcPr>
            <w:tcW w:w="1984" w:type="dxa"/>
            <w:tcBorders>
              <w:top w:val="single" w:sz="6" w:space="0" w:color="auto"/>
              <w:left w:val="single" w:sz="6" w:space="0" w:color="auto"/>
              <w:bottom w:val="single" w:sz="6" w:space="0" w:color="auto"/>
              <w:right w:val="single" w:sz="12" w:space="0" w:color="auto"/>
            </w:tcBorders>
          </w:tcPr>
          <w:p w14:paraId="046FC9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Уфа</w:t>
            </w:r>
          </w:p>
        </w:tc>
      </w:tr>
      <w:tr w:rsidR="00643896" w:rsidRPr="00640820" w14:paraId="12BE8EF9" w14:textId="77777777" w:rsidTr="000D3BCB">
        <w:tc>
          <w:tcPr>
            <w:tcW w:w="230" w:type="dxa"/>
            <w:tcBorders>
              <w:top w:val="single" w:sz="6" w:space="0" w:color="auto"/>
              <w:left w:val="single" w:sz="12" w:space="0" w:color="auto"/>
              <w:bottom w:val="single" w:sz="6" w:space="0" w:color="auto"/>
              <w:right w:val="single" w:sz="6" w:space="0" w:color="auto"/>
            </w:tcBorders>
          </w:tcPr>
          <w:p w14:paraId="46E5A2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36</w:t>
            </w:r>
          </w:p>
        </w:tc>
        <w:tc>
          <w:tcPr>
            <w:tcW w:w="5866" w:type="dxa"/>
            <w:tcBorders>
              <w:top w:val="single" w:sz="6" w:space="0" w:color="auto"/>
              <w:left w:val="single" w:sz="6" w:space="0" w:color="auto"/>
              <w:bottom w:val="single" w:sz="6" w:space="0" w:color="auto"/>
              <w:right w:val="single" w:sz="6" w:space="0" w:color="auto"/>
            </w:tcBorders>
          </w:tcPr>
          <w:p w14:paraId="728996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Центральный научно – исследовательский институт авиационного моторостроения (ЦИАМ)</w:t>
            </w:r>
          </w:p>
        </w:tc>
        <w:tc>
          <w:tcPr>
            <w:tcW w:w="2693" w:type="dxa"/>
            <w:tcBorders>
              <w:top w:val="single" w:sz="6" w:space="0" w:color="auto"/>
              <w:left w:val="single" w:sz="6" w:space="0" w:color="auto"/>
              <w:bottom w:val="single" w:sz="6" w:space="0" w:color="auto"/>
              <w:right w:val="single" w:sz="6" w:space="0" w:color="auto"/>
            </w:tcBorders>
          </w:tcPr>
          <w:p w14:paraId="235B62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Москва</w:t>
            </w:r>
          </w:p>
        </w:tc>
        <w:tc>
          <w:tcPr>
            <w:tcW w:w="1984" w:type="dxa"/>
            <w:tcBorders>
              <w:top w:val="single" w:sz="6" w:space="0" w:color="auto"/>
              <w:left w:val="single" w:sz="6" w:space="0" w:color="auto"/>
              <w:bottom w:val="single" w:sz="6" w:space="0" w:color="auto"/>
              <w:right w:val="single" w:sz="12" w:space="0" w:color="auto"/>
            </w:tcBorders>
          </w:tcPr>
          <w:p w14:paraId="03D80E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Уфа</w:t>
            </w:r>
          </w:p>
        </w:tc>
      </w:tr>
      <w:tr w:rsidR="00643896" w:rsidRPr="00640820" w14:paraId="527A0466" w14:textId="77777777" w:rsidTr="000D3BCB">
        <w:tc>
          <w:tcPr>
            <w:tcW w:w="230" w:type="dxa"/>
            <w:tcBorders>
              <w:top w:val="single" w:sz="6" w:space="0" w:color="auto"/>
              <w:left w:val="single" w:sz="12" w:space="0" w:color="auto"/>
              <w:bottom w:val="single" w:sz="6" w:space="0" w:color="auto"/>
              <w:right w:val="single" w:sz="6" w:space="0" w:color="auto"/>
            </w:tcBorders>
          </w:tcPr>
          <w:p w14:paraId="337FAE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37</w:t>
            </w:r>
          </w:p>
        </w:tc>
        <w:tc>
          <w:tcPr>
            <w:tcW w:w="5866" w:type="dxa"/>
            <w:tcBorders>
              <w:top w:val="single" w:sz="6" w:space="0" w:color="auto"/>
              <w:left w:val="single" w:sz="6" w:space="0" w:color="auto"/>
              <w:bottom w:val="single" w:sz="6" w:space="0" w:color="auto"/>
              <w:right w:val="single" w:sz="6" w:space="0" w:color="auto"/>
            </w:tcBorders>
          </w:tcPr>
          <w:p w14:paraId="446053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Оборудование цементного завода «Спартак»</w:t>
            </w:r>
          </w:p>
        </w:tc>
        <w:tc>
          <w:tcPr>
            <w:tcW w:w="2693" w:type="dxa"/>
            <w:tcBorders>
              <w:top w:val="single" w:sz="6" w:space="0" w:color="auto"/>
              <w:left w:val="single" w:sz="6" w:space="0" w:color="auto"/>
              <w:bottom w:val="single" w:sz="6" w:space="0" w:color="auto"/>
              <w:right w:val="single" w:sz="6" w:space="0" w:color="auto"/>
            </w:tcBorders>
          </w:tcPr>
          <w:p w14:paraId="3E71DA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Рязань </w:t>
            </w:r>
          </w:p>
        </w:tc>
        <w:tc>
          <w:tcPr>
            <w:tcW w:w="1984" w:type="dxa"/>
            <w:tcBorders>
              <w:top w:val="single" w:sz="6" w:space="0" w:color="auto"/>
              <w:left w:val="single" w:sz="6" w:space="0" w:color="auto"/>
              <w:bottom w:val="single" w:sz="6" w:space="0" w:color="auto"/>
              <w:right w:val="single" w:sz="12" w:space="0" w:color="auto"/>
            </w:tcBorders>
          </w:tcPr>
          <w:p w14:paraId="30CA0D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Уфа </w:t>
            </w:r>
          </w:p>
        </w:tc>
      </w:tr>
      <w:tr w:rsidR="00643896" w:rsidRPr="00640820" w14:paraId="4F0D3248" w14:textId="77777777" w:rsidTr="000D3BCB">
        <w:tc>
          <w:tcPr>
            <w:tcW w:w="230" w:type="dxa"/>
            <w:tcBorders>
              <w:top w:val="single" w:sz="6" w:space="0" w:color="auto"/>
              <w:left w:val="single" w:sz="12" w:space="0" w:color="auto"/>
              <w:bottom w:val="single" w:sz="6" w:space="0" w:color="auto"/>
              <w:right w:val="single" w:sz="6" w:space="0" w:color="auto"/>
            </w:tcBorders>
          </w:tcPr>
          <w:p w14:paraId="2E07A3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w:t>
            </w:r>
          </w:p>
        </w:tc>
        <w:tc>
          <w:tcPr>
            <w:tcW w:w="5866" w:type="dxa"/>
            <w:tcBorders>
              <w:top w:val="single" w:sz="6" w:space="0" w:color="auto"/>
              <w:left w:val="single" w:sz="6" w:space="0" w:color="auto"/>
              <w:bottom w:val="single" w:sz="6" w:space="0" w:color="auto"/>
              <w:right w:val="single" w:sz="6" w:space="0" w:color="auto"/>
            </w:tcBorders>
          </w:tcPr>
          <w:p w14:paraId="760EEB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Оборудование цементного завода Наркомата строительства СССР</w:t>
            </w:r>
          </w:p>
        </w:tc>
        <w:tc>
          <w:tcPr>
            <w:tcW w:w="2693" w:type="dxa"/>
            <w:tcBorders>
              <w:top w:val="single" w:sz="6" w:space="0" w:color="auto"/>
              <w:left w:val="single" w:sz="6" w:space="0" w:color="auto"/>
              <w:bottom w:val="single" w:sz="6" w:space="0" w:color="auto"/>
              <w:right w:val="single" w:sz="6" w:space="0" w:color="auto"/>
            </w:tcBorders>
          </w:tcPr>
          <w:p w14:paraId="356E57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Волхов, Ленинградская область</w:t>
            </w:r>
          </w:p>
        </w:tc>
        <w:tc>
          <w:tcPr>
            <w:tcW w:w="1984" w:type="dxa"/>
            <w:tcBorders>
              <w:top w:val="single" w:sz="6" w:space="0" w:color="auto"/>
              <w:left w:val="single" w:sz="6" w:space="0" w:color="auto"/>
              <w:bottom w:val="single" w:sz="6" w:space="0" w:color="auto"/>
              <w:right w:val="single" w:sz="12" w:space="0" w:color="auto"/>
            </w:tcBorders>
          </w:tcPr>
          <w:p w14:paraId="6524C7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Стерлитамак</w:t>
            </w:r>
          </w:p>
        </w:tc>
      </w:tr>
      <w:tr w:rsidR="00643896" w:rsidRPr="00640820" w14:paraId="60D6453E" w14:textId="77777777" w:rsidTr="000D3BCB">
        <w:tc>
          <w:tcPr>
            <w:tcW w:w="230" w:type="dxa"/>
            <w:tcBorders>
              <w:top w:val="single" w:sz="6" w:space="0" w:color="auto"/>
              <w:left w:val="single" w:sz="12" w:space="0" w:color="auto"/>
              <w:bottom w:val="single" w:sz="6" w:space="0" w:color="auto"/>
              <w:right w:val="single" w:sz="6" w:space="0" w:color="auto"/>
            </w:tcBorders>
          </w:tcPr>
          <w:p w14:paraId="484EC6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w:t>
            </w:r>
          </w:p>
        </w:tc>
        <w:tc>
          <w:tcPr>
            <w:tcW w:w="5866" w:type="dxa"/>
            <w:tcBorders>
              <w:top w:val="single" w:sz="6" w:space="0" w:color="auto"/>
              <w:left w:val="single" w:sz="6" w:space="0" w:color="auto"/>
              <w:bottom w:val="single" w:sz="6" w:space="0" w:color="auto"/>
              <w:right w:val="single" w:sz="6" w:space="0" w:color="auto"/>
            </w:tcBorders>
          </w:tcPr>
          <w:p w14:paraId="111C4E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Станкостроительный завод имени В.И. Ленина </w:t>
            </w:r>
          </w:p>
        </w:tc>
        <w:tc>
          <w:tcPr>
            <w:tcW w:w="2693" w:type="dxa"/>
            <w:tcBorders>
              <w:top w:val="single" w:sz="6" w:space="0" w:color="auto"/>
              <w:left w:val="single" w:sz="6" w:space="0" w:color="auto"/>
              <w:bottom w:val="single" w:sz="6" w:space="0" w:color="auto"/>
              <w:right w:val="single" w:sz="6" w:space="0" w:color="auto"/>
            </w:tcBorders>
          </w:tcPr>
          <w:p w14:paraId="05FC5C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Одесса </w:t>
            </w:r>
          </w:p>
        </w:tc>
        <w:tc>
          <w:tcPr>
            <w:tcW w:w="1984" w:type="dxa"/>
            <w:tcBorders>
              <w:top w:val="single" w:sz="6" w:space="0" w:color="auto"/>
              <w:left w:val="single" w:sz="6" w:space="0" w:color="auto"/>
              <w:bottom w:val="single" w:sz="6" w:space="0" w:color="auto"/>
              <w:right w:val="single" w:sz="12" w:space="0" w:color="auto"/>
            </w:tcBorders>
          </w:tcPr>
          <w:p w14:paraId="3D6B84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Стерлитамак</w:t>
            </w:r>
          </w:p>
        </w:tc>
      </w:tr>
      <w:tr w:rsidR="00643896" w:rsidRPr="00640820" w14:paraId="1D8F9970" w14:textId="77777777" w:rsidTr="000D3BCB">
        <w:tc>
          <w:tcPr>
            <w:tcW w:w="230" w:type="dxa"/>
            <w:tcBorders>
              <w:top w:val="single" w:sz="6" w:space="0" w:color="auto"/>
              <w:left w:val="single" w:sz="12" w:space="0" w:color="auto"/>
              <w:bottom w:val="single" w:sz="6" w:space="0" w:color="auto"/>
              <w:right w:val="single" w:sz="6" w:space="0" w:color="auto"/>
            </w:tcBorders>
          </w:tcPr>
          <w:p w14:paraId="172B45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w:t>
            </w:r>
          </w:p>
        </w:tc>
        <w:tc>
          <w:tcPr>
            <w:tcW w:w="5866" w:type="dxa"/>
            <w:tcBorders>
              <w:top w:val="single" w:sz="6" w:space="0" w:color="auto"/>
              <w:left w:val="single" w:sz="6" w:space="0" w:color="auto"/>
              <w:bottom w:val="single" w:sz="6" w:space="0" w:color="auto"/>
              <w:right w:val="single" w:sz="6" w:space="0" w:color="auto"/>
            </w:tcBorders>
          </w:tcPr>
          <w:p w14:paraId="721AC6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Московский кожкомбинат </w:t>
            </w:r>
          </w:p>
        </w:tc>
        <w:tc>
          <w:tcPr>
            <w:tcW w:w="2693" w:type="dxa"/>
            <w:tcBorders>
              <w:top w:val="single" w:sz="6" w:space="0" w:color="auto"/>
              <w:left w:val="single" w:sz="6" w:space="0" w:color="auto"/>
              <w:bottom w:val="single" w:sz="6" w:space="0" w:color="auto"/>
              <w:right w:val="single" w:sz="6" w:space="0" w:color="auto"/>
            </w:tcBorders>
          </w:tcPr>
          <w:p w14:paraId="0839DE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Москва </w:t>
            </w:r>
          </w:p>
        </w:tc>
        <w:tc>
          <w:tcPr>
            <w:tcW w:w="1984" w:type="dxa"/>
            <w:tcBorders>
              <w:top w:val="single" w:sz="6" w:space="0" w:color="auto"/>
              <w:left w:val="single" w:sz="6" w:space="0" w:color="auto"/>
              <w:bottom w:val="single" w:sz="6" w:space="0" w:color="auto"/>
              <w:right w:val="single" w:sz="12" w:space="0" w:color="auto"/>
            </w:tcBorders>
          </w:tcPr>
          <w:p w14:paraId="2F0CEA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Стерлитамак</w:t>
            </w:r>
          </w:p>
        </w:tc>
      </w:tr>
      <w:tr w:rsidR="00643896" w:rsidRPr="00640820" w14:paraId="071F6E90" w14:textId="77777777" w:rsidTr="000D3BCB">
        <w:tc>
          <w:tcPr>
            <w:tcW w:w="230" w:type="dxa"/>
            <w:tcBorders>
              <w:top w:val="single" w:sz="6" w:space="0" w:color="auto"/>
              <w:left w:val="single" w:sz="12" w:space="0" w:color="auto"/>
              <w:bottom w:val="single" w:sz="6" w:space="0" w:color="auto"/>
              <w:right w:val="single" w:sz="6" w:space="0" w:color="auto"/>
            </w:tcBorders>
          </w:tcPr>
          <w:p w14:paraId="28FE32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41</w:t>
            </w:r>
          </w:p>
        </w:tc>
        <w:tc>
          <w:tcPr>
            <w:tcW w:w="5866" w:type="dxa"/>
            <w:tcBorders>
              <w:top w:val="single" w:sz="6" w:space="0" w:color="auto"/>
              <w:left w:val="single" w:sz="6" w:space="0" w:color="auto"/>
              <w:bottom w:val="single" w:sz="6" w:space="0" w:color="auto"/>
              <w:right w:val="single" w:sz="6" w:space="0" w:color="auto"/>
            </w:tcBorders>
          </w:tcPr>
          <w:p w14:paraId="3AE750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Вишняковский спиртзавод</w:t>
            </w:r>
          </w:p>
        </w:tc>
        <w:tc>
          <w:tcPr>
            <w:tcW w:w="2693" w:type="dxa"/>
            <w:tcBorders>
              <w:top w:val="single" w:sz="6" w:space="0" w:color="auto"/>
              <w:left w:val="single" w:sz="6" w:space="0" w:color="auto"/>
              <w:bottom w:val="single" w:sz="6" w:space="0" w:color="auto"/>
              <w:right w:val="single" w:sz="6" w:space="0" w:color="auto"/>
            </w:tcBorders>
          </w:tcPr>
          <w:p w14:paraId="56FE84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 Хораль, Украинская ССР</w:t>
            </w:r>
          </w:p>
        </w:tc>
        <w:tc>
          <w:tcPr>
            <w:tcW w:w="1984" w:type="dxa"/>
            <w:tcBorders>
              <w:top w:val="single" w:sz="6" w:space="0" w:color="auto"/>
              <w:left w:val="single" w:sz="6" w:space="0" w:color="auto"/>
              <w:bottom w:val="single" w:sz="6" w:space="0" w:color="auto"/>
              <w:right w:val="single" w:sz="12" w:space="0" w:color="auto"/>
            </w:tcBorders>
          </w:tcPr>
          <w:p w14:paraId="7D1E1B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Стерлитамак </w:t>
            </w:r>
          </w:p>
        </w:tc>
      </w:tr>
      <w:tr w:rsidR="00643896" w:rsidRPr="00640820" w14:paraId="023D9976" w14:textId="77777777" w:rsidTr="000D3BCB">
        <w:tc>
          <w:tcPr>
            <w:tcW w:w="230" w:type="dxa"/>
            <w:tcBorders>
              <w:top w:val="single" w:sz="6" w:space="0" w:color="auto"/>
              <w:left w:val="single" w:sz="12" w:space="0" w:color="auto"/>
              <w:bottom w:val="single" w:sz="6" w:space="0" w:color="auto"/>
              <w:right w:val="single" w:sz="6" w:space="0" w:color="auto"/>
            </w:tcBorders>
          </w:tcPr>
          <w:p w14:paraId="5BE141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42</w:t>
            </w:r>
          </w:p>
        </w:tc>
        <w:tc>
          <w:tcPr>
            <w:tcW w:w="5866" w:type="dxa"/>
            <w:tcBorders>
              <w:top w:val="single" w:sz="6" w:space="0" w:color="auto"/>
              <w:left w:val="single" w:sz="6" w:space="0" w:color="auto"/>
              <w:bottom w:val="single" w:sz="6" w:space="0" w:color="auto"/>
              <w:right w:val="single" w:sz="6" w:space="0" w:color="auto"/>
            </w:tcBorders>
          </w:tcPr>
          <w:p w14:paraId="6B907A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Славянский содовый завод</w:t>
            </w:r>
          </w:p>
        </w:tc>
        <w:tc>
          <w:tcPr>
            <w:tcW w:w="2693" w:type="dxa"/>
            <w:tcBorders>
              <w:top w:val="single" w:sz="6" w:space="0" w:color="auto"/>
              <w:left w:val="single" w:sz="6" w:space="0" w:color="auto"/>
              <w:bottom w:val="single" w:sz="6" w:space="0" w:color="auto"/>
              <w:right w:val="single" w:sz="6" w:space="0" w:color="auto"/>
            </w:tcBorders>
          </w:tcPr>
          <w:p w14:paraId="20A939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Славянск, Украинская ССР</w:t>
            </w:r>
          </w:p>
        </w:tc>
        <w:tc>
          <w:tcPr>
            <w:tcW w:w="1984" w:type="dxa"/>
            <w:tcBorders>
              <w:top w:val="single" w:sz="6" w:space="0" w:color="auto"/>
              <w:left w:val="single" w:sz="6" w:space="0" w:color="auto"/>
              <w:bottom w:val="single" w:sz="6" w:space="0" w:color="auto"/>
              <w:right w:val="single" w:sz="12" w:space="0" w:color="auto"/>
            </w:tcBorders>
          </w:tcPr>
          <w:p w14:paraId="170DA9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Стерлитамак</w:t>
            </w:r>
          </w:p>
        </w:tc>
      </w:tr>
      <w:tr w:rsidR="00643896" w:rsidRPr="00640820" w14:paraId="6BFBEAC3" w14:textId="77777777" w:rsidTr="000D3BCB">
        <w:tc>
          <w:tcPr>
            <w:tcW w:w="230" w:type="dxa"/>
            <w:tcBorders>
              <w:top w:val="single" w:sz="6" w:space="0" w:color="auto"/>
              <w:left w:val="single" w:sz="12" w:space="0" w:color="auto"/>
              <w:bottom w:val="single" w:sz="6" w:space="0" w:color="auto"/>
              <w:right w:val="single" w:sz="6" w:space="0" w:color="auto"/>
            </w:tcBorders>
          </w:tcPr>
          <w:p w14:paraId="1034F0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43</w:t>
            </w:r>
          </w:p>
        </w:tc>
        <w:tc>
          <w:tcPr>
            <w:tcW w:w="5866" w:type="dxa"/>
            <w:tcBorders>
              <w:top w:val="single" w:sz="6" w:space="0" w:color="auto"/>
              <w:left w:val="single" w:sz="6" w:space="0" w:color="auto"/>
              <w:bottom w:val="single" w:sz="6" w:space="0" w:color="auto"/>
              <w:right w:val="single" w:sz="6" w:space="0" w:color="auto"/>
            </w:tcBorders>
          </w:tcPr>
          <w:p w14:paraId="59FF08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Донецкий содовый завод</w:t>
            </w:r>
          </w:p>
        </w:tc>
        <w:tc>
          <w:tcPr>
            <w:tcW w:w="2693" w:type="dxa"/>
            <w:tcBorders>
              <w:top w:val="single" w:sz="6" w:space="0" w:color="auto"/>
              <w:left w:val="single" w:sz="6" w:space="0" w:color="auto"/>
              <w:bottom w:val="single" w:sz="6" w:space="0" w:color="auto"/>
              <w:right w:val="single" w:sz="6" w:space="0" w:color="auto"/>
            </w:tcBorders>
          </w:tcPr>
          <w:p w14:paraId="27ED95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 Переездная , Украинская ССР</w:t>
            </w:r>
          </w:p>
        </w:tc>
        <w:tc>
          <w:tcPr>
            <w:tcW w:w="1984" w:type="dxa"/>
            <w:tcBorders>
              <w:top w:val="single" w:sz="6" w:space="0" w:color="auto"/>
              <w:left w:val="single" w:sz="6" w:space="0" w:color="auto"/>
              <w:bottom w:val="single" w:sz="6" w:space="0" w:color="auto"/>
              <w:right w:val="single" w:sz="12" w:space="0" w:color="auto"/>
            </w:tcBorders>
          </w:tcPr>
          <w:p w14:paraId="609916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Стерлитамак</w:t>
            </w:r>
          </w:p>
        </w:tc>
      </w:tr>
      <w:tr w:rsidR="00643896" w:rsidRPr="00640820" w14:paraId="31722774" w14:textId="77777777" w:rsidTr="000D3BCB">
        <w:tc>
          <w:tcPr>
            <w:tcW w:w="230" w:type="dxa"/>
            <w:tcBorders>
              <w:top w:val="single" w:sz="6" w:space="0" w:color="auto"/>
              <w:left w:val="single" w:sz="12" w:space="0" w:color="auto"/>
              <w:bottom w:val="single" w:sz="6" w:space="0" w:color="auto"/>
              <w:right w:val="single" w:sz="6" w:space="0" w:color="auto"/>
            </w:tcBorders>
          </w:tcPr>
          <w:p w14:paraId="3A6A3A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44</w:t>
            </w:r>
          </w:p>
        </w:tc>
        <w:tc>
          <w:tcPr>
            <w:tcW w:w="5866" w:type="dxa"/>
            <w:tcBorders>
              <w:top w:val="single" w:sz="6" w:space="0" w:color="auto"/>
              <w:left w:val="single" w:sz="6" w:space="0" w:color="auto"/>
              <w:bottom w:val="single" w:sz="6" w:space="0" w:color="auto"/>
              <w:right w:val="single" w:sz="6" w:space="0" w:color="auto"/>
            </w:tcBorders>
          </w:tcPr>
          <w:p w14:paraId="184568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Оборудование сахарного Конгрессовского завода</w:t>
            </w:r>
          </w:p>
        </w:tc>
        <w:tc>
          <w:tcPr>
            <w:tcW w:w="2693" w:type="dxa"/>
            <w:tcBorders>
              <w:top w:val="single" w:sz="6" w:space="0" w:color="auto"/>
              <w:left w:val="single" w:sz="6" w:space="0" w:color="auto"/>
              <w:bottom w:val="single" w:sz="6" w:space="0" w:color="auto"/>
              <w:right w:val="single" w:sz="6" w:space="0" w:color="auto"/>
            </w:tcBorders>
          </w:tcPr>
          <w:p w14:paraId="39BEF0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Украинская ССР</w:t>
            </w:r>
          </w:p>
        </w:tc>
        <w:tc>
          <w:tcPr>
            <w:tcW w:w="1984" w:type="dxa"/>
            <w:tcBorders>
              <w:top w:val="single" w:sz="6" w:space="0" w:color="auto"/>
              <w:left w:val="single" w:sz="6" w:space="0" w:color="auto"/>
              <w:bottom w:val="single" w:sz="6" w:space="0" w:color="auto"/>
              <w:right w:val="single" w:sz="12" w:space="0" w:color="auto"/>
            </w:tcBorders>
          </w:tcPr>
          <w:p w14:paraId="6D24A2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Стерлитамак</w:t>
            </w:r>
          </w:p>
        </w:tc>
      </w:tr>
      <w:tr w:rsidR="00643896" w:rsidRPr="00640820" w14:paraId="75D40123" w14:textId="77777777" w:rsidTr="000D3BCB">
        <w:tc>
          <w:tcPr>
            <w:tcW w:w="230" w:type="dxa"/>
            <w:tcBorders>
              <w:top w:val="single" w:sz="6" w:space="0" w:color="auto"/>
              <w:left w:val="single" w:sz="12" w:space="0" w:color="auto"/>
              <w:bottom w:val="single" w:sz="6" w:space="0" w:color="auto"/>
              <w:right w:val="single" w:sz="6" w:space="0" w:color="auto"/>
            </w:tcBorders>
          </w:tcPr>
          <w:p w14:paraId="036066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w:t>
            </w:r>
          </w:p>
        </w:tc>
        <w:tc>
          <w:tcPr>
            <w:tcW w:w="5866" w:type="dxa"/>
            <w:tcBorders>
              <w:top w:val="single" w:sz="6" w:space="0" w:color="auto"/>
              <w:left w:val="single" w:sz="6" w:space="0" w:color="auto"/>
              <w:bottom w:val="single" w:sz="6" w:space="0" w:color="auto"/>
              <w:right w:val="single" w:sz="6" w:space="0" w:color="auto"/>
            </w:tcBorders>
          </w:tcPr>
          <w:p w14:paraId="244FFD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Авторемонтные мастерские Гроднефтекомбината </w:t>
            </w:r>
          </w:p>
        </w:tc>
        <w:tc>
          <w:tcPr>
            <w:tcW w:w="2693" w:type="dxa"/>
            <w:tcBorders>
              <w:top w:val="single" w:sz="6" w:space="0" w:color="auto"/>
              <w:left w:val="single" w:sz="6" w:space="0" w:color="auto"/>
              <w:bottom w:val="single" w:sz="6" w:space="0" w:color="auto"/>
              <w:right w:val="single" w:sz="6" w:space="0" w:color="auto"/>
            </w:tcBorders>
          </w:tcPr>
          <w:p w14:paraId="2BB80F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Гродно </w:t>
            </w:r>
          </w:p>
        </w:tc>
        <w:tc>
          <w:tcPr>
            <w:tcW w:w="1984" w:type="dxa"/>
            <w:tcBorders>
              <w:top w:val="single" w:sz="6" w:space="0" w:color="auto"/>
              <w:left w:val="single" w:sz="6" w:space="0" w:color="auto"/>
              <w:bottom w:val="single" w:sz="6" w:space="0" w:color="auto"/>
              <w:right w:val="single" w:sz="12" w:space="0" w:color="auto"/>
            </w:tcBorders>
          </w:tcPr>
          <w:p w14:paraId="4F3315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Стерлитамак</w:t>
            </w:r>
          </w:p>
        </w:tc>
      </w:tr>
      <w:tr w:rsidR="00643896" w:rsidRPr="00640820" w14:paraId="148DD37C" w14:textId="77777777" w:rsidTr="000D3BCB">
        <w:tc>
          <w:tcPr>
            <w:tcW w:w="230" w:type="dxa"/>
            <w:tcBorders>
              <w:top w:val="single" w:sz="6" w:space="0" w:color="auto"/>
              <w:left w:val="single" w:sz="12" w:space="0" w:color="auto"/>
              <w:bottom w:val="single" w:sz="6" w:space="0" w:color="auto"/>
              <w:right w:val="single" w:sz="6" w:space="0" w:color="auto"/>
            </w:tcBorders>
          </w:tcPr>
          <w:p w14:paraId="613C93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46</w:t>
            </w:r>
          </w:p>
        </w:tc>
        <w:tc>
          <w:tcPr>
            <w:tcW w:w="5866" w:type="dxa"/>
            <w:tcBorders>
              <w:top w:val="single" w:sz="6" w:space="0" w:color="auto"/>
              <w:left w:val="single" w:sz="6" w:space="0" w:color="auto"/>
              <w:bottom w:val="single" w:sz="6" w:space="0" w:color="auto"/>
              <w:right w:val="single" w:sz="6" w:space="0" w:color="auto"/>
            </w:tcBorders>
          </w:tcPr>
          <w:p w14:paraId="6BFD06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Биметаллический цех завода «Серп и Молот»</w:t>
            </w:r>
          </w:p>
        </w:tc>
        <w:tc>
          <w:tcPr>
            <w:tcW w:w="2693" w:type="dxa"/>
            <w:tcBorders>
              <w:top w:val="single" w:sz="6" w:space="0" w:color="auto"/>
              <w:left w:val="single" w:sz="6" w:space="0" w:color="auto"/>
              <w:bottom w:val="single" w:sz="6" w:space="0" w:color="auto"/>
              <w:right w:val="single" w:sz="6" w:space="0" w:color="auto"/>
            </w:tcBorders>
          </w:tcPr>
          <w:p w14:paraId="64E721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Москва </w:t>
            </w:r>
          </w:p>
        </w:tc>
        <w:tc>
          <w:tcPr>
            <w:tcW w:w="1984" w:type="dxa"/>
            <w:tcBorders>
              <w:top w:val="single" w:sz="6" w:space="0" w:color="auto"/>
              <w:left w:val="single" w:sz="6" w:space="0" w:color="auto"/>
              <w:bottom w:val="single" w:sz="6" w:space="0" w:color="auto"/>
              <w:right w:val="single" w:sz="12" w:space="0" w:color="auto"/>
            </w:tcBorders>
          </w:tcPr>
          <w:p w14:paraId="11EB8D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Белорецк </w:t>
            </w:r>
          </w:p>
        </w:tc>
      </w:tr>
      <w:tr w:rsidR="00643896" w:rsidRPr="00640820" w14:paraId="7DF03A81" w14:textId="77777777" w:rsidTr="000D3BCB">
        <w:tc>
          <w:tcPr>
            <w:tcW w:w="230" w:type="dxa"/>
            <w:tcBorders>
              <w:top w:val="single" w:sz="6" w:space="0" w:color="auto"/>
              <w:left w:val="single" w:sz="12" w:space="0" w:color="auto"/>
              <w:bottom w:val="single" w:sz="6" w:space="0" w:color="auto"/>
              <w:right w:val="single" w:sz="6" w:space="0" w:color="auto"/>
            </w:tcBorders>
          </w:tcPr>
          <w:p w14:paraId="1FF6E7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47</w:t>
            </w:r>
          </w:p>
        </w:tc>
        <w:tc>
          <w:tcPr>
            <w:tcW w:w="5866" w:type="dxa"/>
            <w:tcBorders>
              <w:top w:val="single" w:sz="6" w:space="0" w:color="auto"/>
              <w:left w:val="single" w:sz="6" w:space="0" w:color="auto"/>
              <w:bottom w:val="single" w:sz="6" w:space="0" w:color="auto"/>
              <w:right w:val="single" w:sz="6" w:space="0" w:color="auto"/>
            </w:tcBorders>
          </w:tcPr>
          <w:p w14:paraId="5E1387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Оборудование Харцызского завода Наркомата черной металлургии СССР</w:t>
            </w:r>
          </w:p>
        </w:tc>
        <w:tc>
          <w:tcPr>
            <w:tcW w:w="2693" w:type="dxa"/>
            <w:tcBorders>
              <w:top w:val="single" w:sz="6" w:space="0" w:color="auto"/>
              <w:left w:val="single" w:sz="6" w:space="0" w:color="auto"/>
              <w:bottom w:val="single" w:sz="6" w:space="0" w:color="auto"/>
              <w:right w:val="single" w:sz="6" w:space="0" w:color="auto"/>
            </w:tcBorders>
          </w:tcPr>
          <w:p w14:paraId="2E450B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Украинская ССР</w:t>
            </w:r>
          </w:p>
        </w:tc>
        <w:tc>
          <w:tcPr>
            <w:tcW w:w="1984" w:type="dxa"/>
            <w:tcBorders>
              <w:top w:val="single" w:sz="6" w:space="0" w:color="auto"/>
              <w:left w:val="single" w:sz="6" w:space="0" w:color="auto"/>
              <w:bottom w:val="single" w:sz="6" w:space="0" w:color="auto"/>
              <w:right w:val="single" w:sz="12" w:space="0" w:color="auto"/>
            </w:tcBorders>
          </w:tcPr>
          <w:p w14:paraId="29C822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Белорецк</w:t>
            </w:r>
          </w:p>
        </w:tc>
      </w:tr>
      <w:tr w:rsidR="00643896" w:rsidRPr="00640820" w14:paraId="44B8FCCF" w14:textId="77777777" w:rsidTr="000D3BCB">
        <w:tc>
          <w:tcPr>
            <w:tcW w:w="230" w:type="dxa"/>
            <w:tcBorders>
              <w:top w:val="single" w:sz="6" w:space="0" w:color="auto"/>
              <w:left w:val="single" w:sz="12" w:space="0" w:color="auto"/>
              <w:bottom w:val="single" w:sz="6" w:space="0" w:color="auto"/>
              <w:right w:val="single" w:sz="6" w:space="0" w:color="auto"/>
            </w:tcBorders>
          </w:tcPr>
          <w:p w14:paraId="04015C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48</w:t>
            </w:r>
          </w:p>
        </w:tc>
        <w:tc>
          <w:tcPr>
            <w:tcW w:w="5866" w:type="dxa"/>
            <w:tcBorders>
              <w:top w:val="single" w:sz="6" w:space="0" w:color="auto"/>
              <w:left w:val="single" w:sz="6" w:space="0" w:color="auto"/>
              <w:bottom w:val="single" w:sz="6" w:space="0" w:color="auto"/>
              <w:right w:val="single" w:sz="6" w:space="0" w:color="auto"/>
            </w:tcBorders>
          </w:tcPr>
          <w:p w14:paraId="4340BB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Клинский станкостроительный завод </w:t>
            </w:r>
          </w:p>
        </w:tc>
        <w:tc>
          <w:tcPr>
            <w:tcW w:w="2693" w:type="dxa"/>
            <w:tcBorders>
              <w:top w:val="single" w:sz="6" w:space="0" w:color="auto"/>
              <w:left w:val="single" w:sz="6" w:space="0" w:color="auto"/>
              <w:bottom w:val="single" w:sz="6" w:space="0" w:color="auto"/>
              <w:right w:val="single" w:sz="6" w:space="0" w:color="auto"/>
            </w:tcBorders>
          </w:tcPr>
          <w:p w14:paraId="255FDF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Клин </w:t>
            </w:r>
          </w:p>
        </w:tc>
        <w:tc>
          <w:tcPr>
            <w:tcW w:w="1984" w:type="dxa"/>
            <w:tcBorders>
              <w:top w:val="single" w:sz="6" w:space="0" w:color="auto"/>
              <w:left w:val="single" w:sz="6" w:space="0" w:color="auto"/>
              <w:bottom w:val="single" w:sz="6" w:space="0" w:color="auto"/>
              <w:right w:val="single" w:sz="12" w:space="0" w:color="auto"/>
            </w:tcBorders>
          </w:tcPr>
          <w:p w14:paraId="6A1BB9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Белорецк</w:t>
            </w:r>
          </w:p>
        </w:tc>
      </w:tr>
      <w:tr w:rsidR="00643896" w:rsidRPr="00640820" w14:paraId="73B387FD" w14:textId="77777777" w:rsidTr="000D3BCB">
        <w:tc>
          <w:tcPr>
            <w:tcW w:w="230" w:type="dxa"/>
            <w:tcBorders>
              <w:top w:val="single" w:sz="6" w:space="0" w:color="auto"/>
              <w:left w:val="single" w:sz="12" w:space="0" w:color="auto"/>
              <w:bottom w:val="single" w:sz="6" w:space="0" w:color="auto"/>
              <w:right w:val="single" w:sz="6" w:space="0" w:color="auto"/>
            </w:tcBorders>
          </w:tcPr>
          <w:p w14:paraId="07C77C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49</w:t>
            </w:r>
          </w:p>
        </w:tc>
        <w:tc>
          <w:tcPr>
            <w:tcW w:w="5866" w:type="dxa"/>
            <w:tcBorders>
              <w:top w:val="single" w:sz="6" w:space="0" w:color="auto"/>
              <w:left w:val="single" w:sz="6" w:space="0" w:color="auto"/>
              <w:bottom w:val="single" w:sz="6" w:space="0" w:color="auto"/>
              <w:right w:val="single" w:sz="6" w:space="0" w:color="auto"/>
            </w:tcBorders>
          </w:tcPr>
          <w:p w14:paraId="0AF192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Оборудование Одесского канатного завода</w:t>
            </w:r>
          </w:p>
        </w:tc>
        <w:tc>
          <w:tcPr>
            <w:tcW w:w="2693" w:type="dxa"/>
            <w:tcBorders>
              <w:top w:val="single" w:sz="6" w:space="0" w:color="auto"/>
              <w:left w:val="single" w:sz="6" w:space="0" w:color="auto"/>
              <w:bottom w:val="single" w:sz="6" w:space="0" w:color="auto"/>
              <w:right w:val="single" w:sz="6" w:space="0" w:color="auto"/>
            </w:tcBorders>
          </w:tcPr>
          <w:p w14:paraId="709A48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Одесса </w:t>
            </w:r>
          </w:p>
        </w:tc>
        <w:tc>
          <w:tcPr>
            <w:tcW w:w="1984" w:type="dxa"/>
            <w:tcBorders>
              <w:top w:val="single" w:sz="6" w:space="0" w:color="auto"/>
              <w:left w:val="single" w:sz="6" w:space="0" w:color="auto"/>
              <w:bottom w:val="single" w:sz="6" w:space="0" w:color="auto"/>
              <w:right w:val="single" w:sz="12" w:space="0" w:color="auto"/>
            </w:tcBorders>
          </w:tcPr>
          <w:p w14:paraId="69E791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Белорецк</w:t>
            </w:r>
          </w:p>
        </w:tc>
      </w:tr>
      <w:tr w:rsidR="00643896" w:rsidRPr="00640820" w14:paraId="7354455B" w14:textId="77777777" w:rsidTr="000D3BCB">
        <w:tc>
          <w:tcPr>
            <w:tcW w:w="230" w:type="dxa"/>
            <w:tcBorders>
              <w:top w:val="single" w:sz="6" w:space="0" w:color="auto"/>
              <w:left w:val="single" w:sz="12" w:space="0" w:color="auto"/>
              <w:bottom w:val="single" w:sz="6" w:space="0" w:color="auto"/>
              <w:right w:val="single" w:sz="6" w:space="0" w:color="auto"/>
            </w:tcBorders>
          </w:tcPr>
          <w:p w14:paraId="4974FB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w:t>
            </w:r>
          </w:p>
        </w:tc>
        <w:tc>
          <w:tcPr>
            <w:tcW w:w="5866" w:type="dxa"/>
            <w:tcBorders>
              <w:top w:val="single" w:sz="6" w:space="0" w:color="auto"/>
              <w:left w:val="single" w:sz="6" w:space="0" w:color="auto"/>
              <w:bottom w:val="single" w:sz="6" w:space="0" w:color="auto"/>
              <w:right w:val="single" w:sz="6" w:space="0" w:color="auto"/>
            </w:tcBorders>
          </w:tcPr>
          <w:p w14:paraId="27F1BF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Завод грязевых насосов имени Сталина </w:t>
            </w:r>
          </w:p>
        </w:tc>
        <w:tc>
          <w:tcPr>
            <w:tcW w:w="2693" w:type="dxa"/>
            <w:tcBorders>
              <w:top w:val="single" w:sz="6" w:space="0" w:color="auto"/>
              <w:left w:val="single" w:sz="6" w:space="0" w:color="auto"/>
              <w:bottom w:val="single" w:sz="6" w:space="0" w:color="auto"/>
              <w:right w:val="single" w:sz="6" w:space="0" w:color="auto"/>
            </w:tcBorders>
          </w:tcPr>
          <w:p w14:paraId="004FCD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Гродно </w:t>
            </w:r>
          </w:p>
        </w:tc>
        <w:tc>
          <w:tcPr>
            <w:tcW w:w="1984" w:type="dxa"/>
            <w:tcBorders>
              <w:top w:val="single" w:sz="6" w:space="0" w:color="auto"/>
              <w:left w:val="single" w:sz="6" w:space="0" w:color="auto"/>
              <w:bottom w:val="single" w:sz="6" w:space="0" w:color="auto"/>
              <w:right w:val="single" w:sz="12" w:space="0" w:color="auto"/>
            </w:tcBorders>
          </w:tcPr>
          <w:p w14:paraId="108903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Ишимбай </w:t>
            </w:r>
          </w:p>
        </w:tc>
      </w:tr>
      <w:tr w:rsidR="00643896" w:rsidRPr="00640820" w14:paraId="1BDC940D" w14:textId="77777777" w:rsidTr="000D3BCB">
        <w:tc>
          <w:tcPr>
            <w:tcW w:w="230" w:type="dxa"/>
            <w:tcBorders>
              <w:top w:val="single" w:sz="6" w:space="0" w:color="auto"/>
              <w:left w:val="single" w:sz="12" w:space="0" w:color="auto"/>
              <w:bottom w:val="single" w:sz="6" w:space="0" w:color="auto"/>
              <w:right w:val="single" w:sz="6" w:space="0" w:color="auto"/>
            </w:tcBorders>
          </w:tcPr>
          <w:p w14:paraId="02F5B2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51</w:t>
            </w:r>
          </w:p>
        </w:tc>
        <w:tc>
          <w:tcPr>
            <w:tcW w:w="5866" w:type="dxa"/>
            <w:tcBorders>
              <w:top w:val="single" w:sz="6" w:space="0" w:color="auto"/>
              <w:left w:val="single" w:sz="6" w:space="0" w:color="auto"/>
              <w:bottom w:val="single" w:sz="6" w:space="0" w:color="auto"/>
              <w:right w:val="single" w:sz="6" w:space="0" w:color="auto"/>
            </w:tcBorders>
          </w:tcPr>
          <w:p w14:paraId="26CB8B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«11 лет Октябрьской революции»</w:t>
            </w:r>
          </w:p>
        </w:tc>
        <w:tc>
          <w:tcPr>
            <w:tcW w:w="2693" w:type="dxa"/>
            <w:tcBorders>
              <w:top w:val="single" w:sz="6" w:space="0" w:color="auto"/>
              <w:left w:val="single" w:sz="6" w:space="0" w:color="auto"/>
              <w:bottom w:val="single" w:sz="6" w:space="0" w:color="auto"/>
              <w:right w:val="single" w:sz="6" w:space="0" w:color="auto"/>
            </w:tcBorders>
          </w:tcPr>
          <w:p w14:paraId="69A6BC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Туапсе </w:t>
            </w:r>
          </w:p>
        </w:tc>
        <w:tc>
          <w:tcPr>
            <w:tcW w:w="1984" w:type="dxa"/>
            <w:tcBorders>
              <w:top w:val="single" w:sz="6" w:space="0" w:color="auto"/>
              <w:left w:val="single" w:sz="6" w:space="0" w:color="auto"/>
              <w:bottom w:val="single" w:sz="6" w:space="0" w:color="auto"/>
              <w:right w:val="single" w:sz="12" w:space="0" w:color="auto"/>
            </w:tcBorders>
          </w:tcPr>
          <w:p w14:paraId="3C9E31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Благовещенск </w:t>
            </w:r>
          </w:p>
        </w:tc>
      </w:tr>
      <w:tr w:rsidR="00643896" w:rsidRPr="00640820" w14:paraId="67EE159E" w14:textId="77777777" w:rsidTr="000D3BCB">
        <w:tc>
          <w:tcPr>
            <w:tcW w:w="230" w:type="dxa"/>
            <w:tcBorders>
              <w:top w:val="single" w:sz="6" w:space="0" w:color="auto"/>
              <w:left w:val="single" w:sz="12" w:space="0" w:color="auto"/>
              <w:bottom w:val="single" w:sz="6" w:space="0" w:color="auto"/>
              <w:right w:val="single" w:sz="6" w:space="0" w:color="auto"/>
            </w:tcBorders>
          </w:tcPr>
          <w:p w14:paraId="782866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52</w:t>
            </w:r>
          </w:p>
        </w:tc>
        <w:tc>
          <w:tcPr>
            <w:tcW w:w="5866" w:type="dxa"/>
            <w:tcBorders>
              <w:top w:val="single" w:sz="6" w:space="0" w:color="auto"/>
              <w:left w:val="single" w:sz="6" w:space="0" w:color="auto"/>
              <w:bottom w:val="single" w:sz="6" w:space="0" w:color="auto"/>
              <w:right w:val="single" w:sz="6" w:space="0" w:color="auto"/>
            </w:tcBorders>
          </w:tcPr>
          <w:p w14:paraId="40FD9E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Центральный институт авиационных масел и топлива ( Циамит)</w:t>
            </w:r>
          </w:p>
        </w:tc>
        <w:tc>
          <w:tcPr>
            <w:tcW w:w="2693" w:type="dxa"/>
            <w:tcBorders>
              <w:top w:val="single" w:sz="6" w:space="0" w:color="auto"/>
              <w:left w:val="single" w:sz="6" w:space="0" w:color="auto"/>
              <w:bottom w:val="single" w:sz="6" w:space="0" w:color="auto"/>
              <w:right w:val="single" w:sz="6" w:space="0" w:color="auto"/>
            </w:tcBorders>
          </w:tcPr>
          <w:p w14:paraId="5CA3F8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Москва </w:t>
            </w:r>
          </w:p>
        </w:tc>
        <w:tc>
          <w:tcPr>
            <w:tcW w:w="1984" w:type="dxa"/>
            <w:tcBorders>
              <w:top w:val="single" w:sz="6" w:space="0" w:color="auto"/>
              <w:left w:val="single" w:sz="6" w:space="0" w:color="auto"/>
              <w:bottom w:val="single" w:sz="6" w:space="0" w:color="auto"/>
              <w:right w:val="single" w:sz="12" w:space="0" w:color="auto"/>
            </w:tcBorders>
          </w:tcPr>
          <w:p w14:paraId="1990ED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Благовещенск </w:t>
            </w:r>
          </w:p>
        </w:tc>
      </w:tr>
      <w:tr w:rsidR="00643896" w:rsidRPr="00640820" w14:paraId="67C6331B" w14:textId="77777777" w:rsidTr="000D3BCB">
        <w:tc>
          <w:tcPr>
            <w:tcW w:w="230" w:type="dxa"/>
            <w:tcBorders>
              <w:top w:val="single" w:sz="6" w:space="0" w:color="auto"/>
              <w:left w:val="single" w:sz="12" w:space="0" w:color="auto"/>
              <w:bottom w:val="single" w:sz="6" w:space="0" w:color="auto"/>
              <w:right w:val="single" w:sz="6" w:space="0" w:color="auto"/>
            </w:tcBorders>
          </w:tcPr>
          <w:p w14:paraId="33C047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53</w:t>
            </w:r>
          </w:p>
        </w:tc>
        <w:tc>
          <w:tcPr>
            <w:tcW w:w="5866" w:type="dxa"/>
            <w:tcBorders>
              <w:top w:val="single" w:sz="6" w:space="0" w:color="auto"/>
              <w:left w:val="single" w:sz="6" w:space="0" w:color="auto"/>
              <w:bottom w:val="single" w:sz="6" w:space="0" w:color="auto"/>
              <w:right w:val="single" w:sz="6" w:space="0" w:color="auto"/>
            </w:tcBorders>
          </w:tcPr>
          <w:p w14:paraId="7288E7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Оршанский проволочно – гвоздильный завод </w:t>
            </w:r>
          </w:p>
        </w:tc>
        <w:tc>
          <w:tcPr>
            <w:tcW w:w="2693" w:type="dxa"/>
            <w:tcBorders>
              <w:top w:val="single" w:sz="6" w:space="0" w:color="auto"/>
              <w:left w:val="single" w:sz="6" w:space="0" w:color="auto"/>
              <w:bottom w:val="single" w:sz="6" w:space="0" w:color="auto"/>
              <w:right w:val="single" w:sz="6" w:space="0" w:color="auto"/>
            </w:tcBorders>
          </w:tcPr>
          <w:p w14:paraId="092B7D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Орша </w:t>
            </w:r>
          </w:p>
        </w:tc>
        <w:tc>
          <w:tcPr>
            <w:tcW w:w="1984" w:type="dxa"/>
            <w:tcBorders>
              <w:top w:val="single" w:sz="6" w:space="0" w:color="auto"/>
              <w:left w:val="single" w:sz="6" w:space="0" w:color="auto"/>
              <w:bottom w:val="single" w:sz="6" w:space="0" w:color="auto"/>
              <w:right w:val="single" w:sz="12" w:space="0" w:color="auto"/>
            </w:tcBorders>
          </w:tcPr>
          <w:p w14:paraId="648BF1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Благовещенск</w:t>
            </w:r>
          </w:p>
        </w:tc>
      </w:tr>
      <w:tr w:rsidR="00643896" w:rsidRPr="00640820" w14:paraId="38F4DDA9" w14:textId="77777777" w:rsidTr="000D3BCB">
        <w:tc>
          <w:tcPr>
            <w:tcW w:w="230" w:type="dxa"/>
            <w:tcBorders>
              <w:top w:val="single" w:sz="6" w:space="0" w:color="auto"/>
              <w:left w:val="single" w:sz="12" w:space="0" w:color="auto"/>
              <w:bottom w:val="single" w:sz="6" w:space="0" w:color="auto"/>
              <w:right w:val="single" w:sz="6" w:space="0" w:color="auto"/>
            </w:tcBorders>
          </w:tcPr>
          <w:p w14:paraId="39A383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54</w:t>
            </w:r>
          </w:p>
        </w:tc>
        <w:tc>
          <w:tcPr>
            <w:tcW w:w="5866" w:type="dxa"/>
            <w:tcBorders>
              <w:top w:val="single" w:sz="6" w:space="0" w:color="auto"/>
              <w:left w:val="single" w:sz="6" w:space="0" w:color="auto"/>
              <w:bottom w:val="single" w:sz="6" w:space="0" w:color="auto"/>
              <w:right w:val="single" w:sz="6" w:space="0" w:color="auto"/>
            </w:tcBorders>
          </w:tcPr>
          <w:p w14:paraId="50F006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Оборудование стеклозавода имени Бадаева Наркомата строительства СССР</w:t>
            </w:r>
          </w:p>
        </w:tc>
        <w:tc>
          <w:tcPr>
            <w:tcW w:w="2693" w:type="dxa"/>
            <w:tcBorders>
              <w:top w:val="single" w:sz="6" w:space="0" w:color="auto"/>
              <w:left w:val="single" w:sz="6" w:space="0" w:color="auto"/>
              <w:bottom w:val="single" w:sz="6" w:space="0" w:color="auto"/>
              <w:right w:val="single" w:sz="6" w:space="0" w:color="auto"/>
            </w:tcBorders>
          </w:tcPr>
          <w:p w14:paraId="234654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ст. Поповка </w:t>
            </w:r>
          </w:p>
        </w:tc>
        <w:tc>
          <w:tcPr>
            <w:tcW w:w="1984" w:type="dxa"/>
            <w:tcBorders>
              <w:top w:val="single" w:sz="6" w:space="0" w:color="auto"/>
              <w:left w:val="single" w:sz="6" w:space="0" w:color="auto"/>
              <w:bottom w:val="single" w:sz="6" w:space="0" w:color="auto"/>
              <w:right w:val="single" w:sz="12" w:space="0" w:color="auto"/>
            </w:tcBorders>
          </w:tcPr>
          <w:p w14:paraId="5C18A8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 Красноусольский </w:t>
            </w:r>
          </w:p>
        </w:tc>
      </w:tr>
      <w:tr w:rsidR="00643896" w:rsidRPr="00640820" w14:paraId="465A404F" w14:textId="77777777" w:rsidTr="000D3BCB">
        <w:tc>
          <w:tcPr>
            <w:tcW w:w="230" w:type="dxa"/>
            <w:tcBorders>
              <w:top w:val="single" w:sz="6" w:space="0" w:color="auto"/>
              <w:left w:val="single" w:sz="12" w:space="0" w:color="auto"/>
              <w:bottom w:val="single" w:sz="6" w:space="0" w:color="auto"/>
              <w:right w:val="single" w:sz="6" w:space="0" w:color="auto"/>
            </w:tcBorders>
          </w:tcPr>
          <w:p w14:paraId="24E860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55</w:t>
            </w:r>
          </w:p>
        </w:tc>
        <w:tc>
          <w:tcPr>
            <w:tcW w:w="5866" w:type="dxa"/>
            <w:tcBorders>
              <w:top w:val="single" w:sz="6" w:space="0" w:color="auto"/>
              <w:left w:val="single" w:sz="6" w:space="0" w:color="auto"/>
              <w:bottom w:val="single" w:sz="6" w:space="0" w:color="auto"/>
              <w:right w:val="single" w:sz="6" w:space="0" w:color="auto"/>
            </w:tcBorders>
          </w:tcPr>
          <w:p w14:paraId="01C833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«Аэрогеоприбор»</w:t>
            </w:r>
          </w:p>
        </w:tc>
        <w:tc>
          <w:tcPr>
            <w:tcW w:w="2693" w:type="dxa"/>
            <w:tcBorders>
              <w:top w:val="single" w:sz="6" w:space="0" w:color="auto"/>
              <w:left w:val="single" w:sz="6" w:space="0" w:color="auto"/>
              <w:bottom w:val="single" w:sz="6" w:space="0" w:color="auto"/>
              <w:right w:val="single" w:sz="6" w:space="0" w:color="auto"/>
            </w:tcBorders>
          </w:tcPr>
          <w:p w14:paraId="785D4F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Москва </w:t>
            </w:r>
          </w:p>
        </w:tc>
        <w:tc>
          <w:tcPr>
            <w:tcW w:w="1984" w:type="dxa"/>
            <w:tcBorders>
              <w:top w:val="single" w:sz="6" w:space="0" w:color="auto"/>
              <w:left w:val="single" w:sz="6" w:space="0" w:color="auto"/>
              <w:bottom w:val="single" w:sz="6" w:space="0" w:color="auto"/>
              <w:right w:val="single" w:sz="12" w:space="0" w:color="auto"/>
            </w:tcBorders>
          </w:tcPr>
          <w:p w14:paraId="2ECB3F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Бирск </w:t>
            </w:r>
          </w:p>
        </w:tc>
      </w:tr>
      <w:tr w:rsidR="00643896" w:rsidRPr="00640820" w14:paraId="67307DFA" w14:textId="77777777" w:rsidTr="000D3BCB">
        <w:tc>
          <w:tcPr>
            <w:tcW w:w="230" w:type="dxa"/>
            <w:tcBorders>
              <w:top w:val="single" w:sz="6" w:space="0" w:color="auto"/>
              <w:left w:val="single" w:sz="12" w:space="0" w:color="auto"/>
              <w:bottom w:val="single" w:sz="6" w:space="0" w:color="auto"/>
              <w:right w:val="single" w:sz="6" w:space="0" w:color="auto"/>
            </w:tcBorders>
          </w:tcPr>
          <w:p w14:paraId="0F61E5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56</w:t>
            </w:r>
          </w:p>
        </w:tc>
        <w:tc>
          <w:tcPr>
            <w:tcW w:w="5866" w:type="dxa"/>
            <w:tcBorders>
              <w:top w:val="single" w:sz="6" w:space="0" w:color="auto"/>
              <w:left w:val="single" w:sz="6" w:space="0" w:color="auto"/>
              <w:bottom w:val="single" w:sz="6" w:space="0" w:color="auto"/>
              <w:right w:val="single" w:sz="6" w:space="0" w:color="auto"/>
            </w:tcBorders>
          </w:tcPr>
          <w:p w14:paraId="399DE3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Оборудование Осипенковского мясокомбината</w:t>
            </w:r>
          </w:p>
        </w:tc>
        <w:tc>
          <w:tcPr>
            <w:tcW w:w="2693" w:type="dxa"/>
            <w:tcBorders>
              <w:top w:val="single" w:sz="6" w:space="0" w:color="auto"/>
              <w:left w:val="single" w:sz="6" w:space="0" w:color="auto"/>
              <w:bottom w:val="single" w:sz="6" w:space="0" w:color="auto"/>
              <w:right w:val="single" w:sz="6" w:space="0" w:color="auto"/>
            </w:tcBorders>
          </w:tcPr>
          <w:p w14:paraId="793101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Бердянск, Украинская ССР</w:t>
            </w:r>
          </w:p>
        </w:tc>
        <w:tc>
          <w:tcPr>
            <w:tcW w:w="1984" w:type="dxa"/>
            <w:tcBorders>
              <w:top w:val="single" w:sz="6" w:space="0" w:color="auto"/>
              <w:left w:val="single" w:sz="6" w:space="0" w:color="auto"/>
              <w:bottom w:val="single" w:sz="6" w:space="0" w:color="auto"/>
              <w:right w:val="single" w:sz="12" w:space="0" w:color="auto"/>
            </w:tcBorders>
          </w:tcPr>
          <w:p w14:paraId="6824CF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Бирск</w:t>
            </w:r>
          </w:p>
        </w:tc>
      </w:tr>
      <w:tr w:rsidR="00643896" w:rsidRPr="00640820" w14:paraId="2939C63B" w14:textId="77777777" w:rsidTr="000D3BCB">
        <w:tc>
          <w:tcPr>
            <w:tcW w:w="230" w:type="dxa"/>
            <w:tcBorders>
              <w:top w:val="single" w:sz="6" w:space="0" w:color="auto"/>
              <w:left w:val="single" w:sz="12" w:space="0" w:color="auto"/>
              <w:bottom w:val="single" w:sz="6" w:space="0" w:color="auto"/>
              <w:right w:val="single" w:sz="6" w:space="0" w:color="auto"/>
            </w:tcBorders>
          </w:tcPr>
          <w:p w14:paraId="4A5DDF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57</w:t>
            </w:r>
          </w:p>
        </w:tc>
        <w:tc>
          <w:tcPr>
            <w:tcW w:w="5866" w:type="dxa"/>
            <w:tcBorders>
              <w:top w:val="single" w:sz="6" w:space="0" w:color="auto"/>
              <w:left w:val="single" w:sz="6" w:space="0" w:color="auto"/>
              <w:bottom w:val="single" w:sz="6" w:space="0" w:color="auto"/>
              <w:right w:val="single" w:sz="6" w:space="0" w:color="auto"/>
            </w:tcBorders>
          </w:tcPr>
          <w:p w14:paraId="0E6537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Шалыгинский сахарный завод</w:t>
            </w:r>
          </w:p>
        </w:tc>
        <w:tc>
          <w:tcPr>
            <w:tcW w:w="2693" w:type="dxa"/>
            <w:tcBorders>
              <w:top w:val="single" w:sz="6" w:space="0" w:color="auto"/>
              <w:left w:val="single" w:sz="6" w:space="0" w:color="auto"/>
              <w:bottom w:val="single" w:sz="6" w:space="0" w:color="auto"/>
              <w:right w:val="single" w:sz="6" w:space="0" w:color="auto"/>
            </w:tcBorders>
          </w:tcPr>
          <w:p w14:paraId="5C2175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ст. Крупенец </w:t>
            </w:r>
          </w:p>
        </w:tc>
        <w:tc>
          <w:tcPr>
            <w:tcW w:w="1984" w:type="dxa"/>
            <w:tcBorders>
              <w:top w:val="single" w:sz="6" w:space="0" w:color="auto"/>
              <w:left w:val="single" w:sz="6" w:space="0" w:color="auto"/>
              <w:bottom w:val="single" w:sz="6" w:space="0" w:color="auto"/>
              <w:right w:val="single" w:sz="12" w:space="0" w:color="auto"/>
            </w:tcBorders>
          </w:tcPr>
          <w:p w14:paraId="0AACFB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Белебей </w:t>
            </w:r>
          </w:p>
        </w:tc>
      </w:tr>
      <w:tr w:rsidR="00643896" w:rsidRPr="00640820" w14:paraId="11DE7B22" w14:textId="77777777" w:rsidTr="000D3BCB">
        <w:tc>
          <w:tcPr>
            <w:tcW w:w="230" w:type="dxa"/>
            <w:tcBorders>
              <w:top w:val="single" w:sz="6" w:space="0" w:color="auto"/>
              <w:left w:val="single" w:sz="12" w:space="0" w:color="auto"/>
              <w:bottom w:val="single" w:sz="6" w:space="0" w:color="auto"/>
              <w:right w:val="single" w:sz="6" w:space="0" w:color="auto"/>
            </w:tcBorders>
          </w:tcPr>
          <w:p w14:paraId="28767F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58</w:t>
            </w:r>
          </w:p>
        </w:tc>
        <w:tc>
          <w:tcPr>
            <w:tcW w:w="5866" w:type="dxa"/>
            <w:tcBorders>
              <w:top w:val="single" w:sz="6" w:space="0" w:color="auto"/>
              <w:left w:val="single" w:sz="6" w:space="0" w:color="auto"/>
              <w:bottom w:val="single" w:sz="6" w:space="0" w:color="auto"/>
              <w:right w:val="single" w:sz="6" w:space="0" w:color="auto"/>
            </w:tcBorders>
          </w:tcPr>
          <w:p w14:paraId="650C08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Бурынский сахарный завод</w:t>
            </w:r>
          </w:p>
        </w:tc>
        <w:tc>
          <w:tcPr>
            <w:tcW w:w="2693" w:type="dxa"/>
            <w:tcBorders>
              <w:top w:val="single" w:sz="6" w:space="0" w:color="auto"/>
              <w:left w:val="single" w:sz="6" w:space="0" w:color="auto"/>
              <w:bottom w:val="single" w:sz="6" w:space="0" w:color="auto"/>
              <w:right w:val="single" w:sz="6" w:space="0" w:color="auto"/>
            </w:tcBorders>
          </w:tcPr>
          <w:p w14:paraId="19B5BA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ст. Путивль, Украинская ССР </w:t>
            </w:r>
          </w:p>
        </w:tc>
        <w:tc>
          <w:tcPr>
            <w:tcW w:w="1984" w:type="dxa"/>
            <w:tcBorders>
              <w:top w:val="single" w:sz="6" w:space="0" w:color="auto"/>
              <w:left w:val="single" w:sz="6" w:space="0" w:color="auto"/>
              <w:bottom w:val="single" w:sz="6" w:space="0" w:color="auto"/>
              <w:right w:val="single" w:sz="12" w:space="0" w:color="auto"/>
            </w:tcBorders>
          </w:tcPr>
          <w:p w14:paraId="6BD2D2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Белебей</w:t>
            </w:r>
          </w:p>
        </w:tc>
      </w:tr>
      <w:tr w:rsidR="00643896" w:rsidRPr="00640820" w14:paraId="2B6B709A" w14:textId="77777777" w:rsidTr="000D3BCB">
        <w:tc>
          <w:tcPr>
            <w:tcW w:w="230" w:type="dxa"/>
            <w:tcBorders>
              <w:top w:val="single" w:sz="6" w:space="0" w:color="auto"/>
              <w:left w:val="single" w:sz="12" w:space="0" w:color="auto"/>
              <w:bottom w:val="single" w:sz="6" w:space="0" w:color="auto"/>
              <w:right w:val="single" w:sz="6" w:space="0" w:color="auto"/>
            </w:tcBorders>
          </w:tcPr>
          <w:p w14:paraId="1F2686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59</w:t>
            </w:r>
          </w:p>
        </w:tc>
        <w:tc>
          <w:tcPr>
            <w:tcW w:w="5866" w:type="dxa"/>
            <w:tcBorders>
              <w:top w:val="single" w:sz="6" w:space="0" w:color="auto"/>
              <w:left w:val="single" w:sz="6" w:space="0" w:color="auto"/>
              <w:bottom w:val="single" w:sz="6" w:space="0" w:color="auto"/>
              <w:right w:val="single" w:sz="6" w:space="0" w:color="auto"/>
            </w:tcBorders>
          </w:tcPr>
          <w:p w14:paraId="23FD94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Оборудование Полтавского сахарного завода</w:t>
            </w:r>
          </w:p>
        </w:tc>
        <w:tc>
          <w:tcPr>
            <w:tcW w:w="2693" w:type="dxa"/>
            <w:tcBorders>
              <w:top w:val="single" w:sz="6" w:space="0" w:color="auto"/>
              <w:left w:val="single" w:sz="6" w:space="0" w:color="auto"/>
              <w:bottom w:val="single" w:sz="6" w:space="0" w:color="auto"/>
              <w:right w:val="single" w:sz="6" w:space="0" w:color="auto"/>
            </w:tcBorders>
          </w:tcPr>
          <w:p w14:paraId="524134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Полтава </w:t>
            </w:r>
          </w:p>
        </w:tc>
        <w:tc>
          <w:tcPr>
            <w:tcW w:w="1984" w:type="dxa"/>
            <w:tcBorders>
              <w:top w:val="single" w:sz="6" w:space="0" w:color="auto"/>
              <w:left w:val="single" w:sz="6" w:space="0" w:color="auto"/>
              <w:bottom w:val="single" w:sz="6" w:space="0" w:color="auto"/>
              <w:right w:val="single" w:sz="12" w:space="0" w:color="auto"/>
            </w:tcBorders>
          </w:tcPr>
          <w:p w14:paraId="2A8780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ст. Карламан </w:t>
            </w:r>
          </w:p>
        </w:tc>
      </w:tr>
      <w:tr w:rsidR="00643896" w:rsidRPr="00640820" w14:paraId="692B2F67" w14:textId="77777777" w:rsidTr="000D3BCB">
        <w:tc>
          <w:tcPr>
            <w:tcW w:w="230" w:type="dxa"/>
            <w:tcBorders>
              <w:top w:val="single" w:sz="6" w:space="0" w:color="auto"/>
              <w:left w:val="single" w:sz="12" w:space="0" w:color="auto"/>
              <w:bottom w:val="single" w:sz="6" w:space="0" w:color="auto"/>
              <w:right w:val="single" w:sz="6" w:space="0" w:color="auto"/>
            </w:tcBorders>
          </w:tcPr>
          <w:p w14:paraId="53CB9A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w:t>
            </w:r>
          </w:p>
        </w:tc>
        <w:tc>
          <w:tcPr>
            <w:tcW w:w="5866" w:type="dxa"/>
            <w:tcBorders>
              <w:top w:val="single" w:sz="6" w:space="0" w:color="auto"/>
              <w:left w:val="single" w:sz="6" w:space="0" w:color="auto"/>
              <w:bottom w:val="single" w:sz="6" w:space="0" w:color="auto"/>
              <w:right w:val="single" w:sz="6" w:space="0" w:color="auto"/>
            </w:tcBorders>
          </w:tcPr>
          <w:p w14:paraId="4500DE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Льговский сахарный завод</w:t>
            </w:r>
          </w:p>
        </w:tc>
        <w:tc>
          <w:tcPr>
            <w:tcW w:w="2693" w:type="dxa"/>
            <w:tcBorders>
              <w:top w:val="single" w:sz="6" w:space="0" w:color="auto"/>
              <w:left w:val="single" w:sz="6" w:space="0" w:color="auto"/>
              <w:bottom w:val="single" w:sz="6" w:space="0" w:color="auto"/>
              <w:right w:val="single" w:sz="6" w:space="0" w:color="auto"/>
            </w:tcBorders>
          </w:tcPr>
          <w:p w14:paraId="4D6DB2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Льгов </w:t>
            </w:r>
          </w:p>
        </w:tc>
        <w:tc>
          <w:tcPr>
            <w:tcW w:w="1984" w:type="dxa"/>
            <w:tcBorders>
              <w:top w:val="single" w:sz="6" w:space="0" w:color="auto"/>
              <w:left w:val="single" w:sz="6" w:space="0" w:color="auto"/>
              <w:bottom w:val="single" w:sz="6" w:space="0" w:color="auto"/>
              <w:right w:val="single" w:sz="12" w:space="0" w:color="auto"/>
            </w:tcBorders>
          </w:tcPr>
          <w:p w14:paraId="047720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 Карламан</w:t>
            </w:r>
          </w:p>
        </w:tc>
      </w:tr>
      <w:tr w:rsidR="00643896" w:rsidRPr="00640820" w14:paraId="67209147" w14:textId="77777777" w:rsidTr="000D3BCB">
        <w:tc>
          <w:tcPr>
            <w:tcW w:w="230" w:type="dxa"/>
            <w:tcBorders>
              <w:top w:val="single" w:sz="6" w:space="0" w:color="auto"/>
              <w:left w:val="single" w:sz="12" w:space="0" w:color="auto"/>
              <w:bottom w:val="single" w:sz="6" w:space="0" w:color="auto"/>
              <w:right w:val="single" w:sz="6" w:space="0" w:color="auto"/>
            </w:tcBorders>
          </w:tcPr>
          <w:p w14:paraId="38C672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61</w:t>
            </w:r>
          </w:p>
        </w:tc>
        <w:tc>
          <w:tcPr>
            <w:tcW w:w="5866" w:type="dxa"/>
            <w:tcBorders>
              <w:top w:val="single" w:sz="6" w:space="0" w:color="auto"/>
              <w:left w:val="single" w:sz="6" w:space="0" w:color="auto"/>
              <w:bottom w:val="single" w:sz="6" w:space="0" w:color="auto"/>
              <w:right w:val="single" w:sz="6" w:space="0" w:color="auto"/>
            </w:tcBorders>
          </w:tcPr>
          <w:p w14:paraId="302C7A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Оборудование сахарного комбината имени газеты «Правда»</w:t>
            </w:r>
          </w:p>
        </w:tc>
        <w:tc>
          <w:tcPr>
            <w:tcW w:w="2693" w:type="dxa"/>
            <w:tcBorders>
              <w:top w:val="single" w:sz="6" w:space="0" w:color="auto"/>
              <w:left w:val="single" w:sz="6" w:space="0" w:color="auto"/>
              <w:bottom w:val="single" w:sz="6" w:space="0" w:color="auto"/>
              <w:right w:val="single" w:sz="6" w:space="0" w:color="auto"/>
            </w:tcBorders>
          </w:tcPr>
          <w:p w14:paraId="3571CD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 Перековка. Украинская ССР</w:t>
            </w:r>
          </w:p>
        </w:tc>
        <w:tc>
          <w:tcPr>
            <w:tcW w:w="1984" w:type="dxa"/>
            <w:tcBorders>
              <w:top w:val="single" w:sz="6" w:space="0" w:color="auto"/>
              <w:left w:val="single" w:sz="6" w:space="0" w:color="auto"/>
              <w:bottom w:val="single" w:sz="6" w:space="0" w:color="auto"/>
              <w:right w:val="single" w:sz="12" w:space="0" w:color="auto"/>
            </w:tcBorders>
          </w:tcPr>
          <w:p w14:paraId="69F495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 Карламан</w:t>
            </w:r>
          </w:p>
        </w:tc>
      </w:tr>
      <w:tr w:rsidR="00643896" w:rsidRPr="00640820" w14:paraId="0DAA2F87" w14:textId="77777777" w:rsidTr="000D3BCB">
        <w:tc>
          <w:tcPr>
            <w:tcW w:w="230" w:type="dxa"/>
            <w:tcBorders>
              <w:top w:val="single" w:sz="6" w:space="0" w:color="auto"/>
              <w:left w:val="single" w:sz="12" w:space="0" w:color="auto"/>
              <w:bottom w:val="single" w:sz="6" w:space="0" w:color="auto"/>
              <w:right w:val="single" w:sz="6" w:space="0" w:color="auto"/>
            </w:tcBorders>
          </w:tcPr>
          <w:p w14:paraId="67723E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62</w:t>
            </w:r>
          </w:p>
        </w:tc>
        <w:tc>
          <w:tcPr>
            <w:tcW w:w="5866" w:type="dxa"/>
            <w:tcBorders>
              <w:top w:val="single" w:sz="6" w:space="0" w:color="auto"/>
              <w:left w:val="single" w:sz="6" w:space="0" w:color="auto"/>
              <w:bottom w:val="single" w:sz="6" w:space="0" w:color="auto"/>
              <w:right w:val="single" w:sz="6" w:space="0" w:color="auto"/>
            </w:tcBorders>
          </w:tcPr>
          <w:p w14:paraId="24C2D9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Красногорская бумажная фабрика</w:t>
            </w:r>
          </w:p>
        </w:tc>
        <w:tc>
          <w:tcPr>
            <w:tcW w:w="2693" w:type="dxa"/>
            <w:tcBorders>
              <w:top w:val="single" w:sz="6" w:space="0" w:color="auto"/>
              <w:left w:val="single" w:sz="6" w:space="0" w:color="auto"/>
              <w:bottom w:val="single" w:sz="6" w:space="0" w:color="auto"/>
              <w:right w:val="single" w:sz="6" w:space="0" w:color="auto"/>
            </w:tcBorders>
          </w:tcPr>
          <w:p w14:paraId="620CC1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 Красное село</w:t>
            </w:r>
          </w:p>
        </w:tc>
        <w:tc>
          <w:tcPr>
            <w:tcW w:w="1984" w:type="dxa"/>
            <w:tcBorders>
              <w:top w:val="single" w:sz="6" w:space="0" w:color="auto"/>
              <w:left w:val="single" w:sz="6" w:space="0" w:color="auto"/>
              <w:bottom w:val="single" w:sz="6" w:space="0" w:color="auto"/>
              <w:right w:val="single" w:sz="12" w:space="0" w:color="auto"/>
            </w:tcBorders>
          </w:tcPr>
          <w:p w14:paraId="1E71C5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 Красный ключ</w:t>
            </w:r>
          </w:p>
        </w:tc>
      </w:tr>
      <w:tr w:rsidR="00643896" w:rsidRPr="00640820" w14:paraId="220334E9" w14:textId="77777777" w:rsidTr="000D3BCB">
        <w:tc>
          <w:tcPr>
            <w:tcW w:w="230" w:type="dxa"/>
            <w:tcBorders>
              <w:top w:val="single" w:sz="6" w:space="0" w:color="auto"/>
              <w:left w:val="single" w:sz="12" w:space="0" w:color="auto"/>
              <w:bottom w:val="single" w:sz="6" w:space="0" w:color="auto"/>
              <w:right w:val="single" w:sz="6" w:space="0" w:color="auto"/>
            </w:tcBorders>
          </w:tcPr>
          <w:p w14:paraId="54EE15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63</w:t>
            </w:r>
          </w:p>
        </w:tc>
        <w:tc>
          <w:tcPr>
            <w:tcW w:w="5866" w:type="dxa"/>
            <w:tcBorders>
              <w:top w:val="single" w:sz="6" w:space="0" w:color="auto"/>
              <w:left w:val="single" w:sz="6" w:space="0" w:color="auto"/>
              <w:bottom w:val="single" w:sz="6" w:space="0" w:color="auto"/>
              <w:right w:val="single" w:sz="6" w:space="0" w:color="auto"/>
            </w:tcBorders>
          </w:tcPr>
          <w:p w14:paraId="4CC53A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13 Наркомата электрической промышленности СССР</w:t>
            </w:r>
          </w:p>
        </w:tc>
        <w:tc>
          <w:tcPr>
            <w:tcW w:w="2693" w:type="dxa"/>
            <w:tcBorders>
              <w:top w:val="single" w:sz="6" w:space="0" w:color="auto"/>
              <w:left w:val="single" w:sz="6" w:space="0" w:color="auto"/>
              <w:bottom w:val="single" w:sz="6" w:space="0" w:color="auto"/>
              <w:right w:val="single" w:sz="6" w:space="0" w:color="auto"/>
            </w:tcBorders>
          </w:tcPr>
          <w:p w14:paraId="45519D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Borders>
              <w:top w:val="single" w:sz="6" w:space="0" w:color="auto"/>
              <w:left w:val="single" w:sz="6" w:space="0" w:color="auto"/>
              <w:bottom w:val="single" w:sz="6" w:space="0" w:color="auto"/>
              <w:right w:val="single" w:sz="12" w:space="0" w:color="auto"/>
            </w:tcBorders>
          </w:tcPr>
          <w:p w14:paraId="671EC1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Буздяк </w:t>
            </w:r>
          </w:p>
        </w:tc>
      </w:tr>
      <w:tr w:rsidR="00643896" w:rsidRPr="00640820" w14:paraId="08CDFCD1" w14:textId="77777777" w:rsidTr="000D3BCB">
        <w:tc>
          <w:tcPr>
            <w:tcW w:w="230" w:type="dxa"/>
            <w:tcBorders>
              <w:top w:val="single" w:sz="6" w:space="0" w:color="auto"/>
              <w:left w:val="single" w:sz="12" w:space="0" w:color="auto"/>
              <w:bottom w:val="single" w:sz="6" w:space="0" w:color="auto"/>
              <w:right w:val="single" w:sz="6" w:space="0" w:color="auto"/>
            </w:tcBorders>
          </w:tcPr>
          <w:p w14:paraId="701199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64</w:t>
            </w:r>
          </w:p>
        </w:tc>
        <w:tc>
          <w:tcPr>
            <w:tcW w:w="5866" w:type="dxa"/>
            <w:tcBorders>
              <w:top w:val="single" w:sz="6" w:space="0" w:color="auto"/>
              <w:left w:val="single" w:sz="6" w:space="0" w:color="auto"/>
              <w:bottom w:val="single" w:sz="6" w:space="0" w:color="auto"/>
              <w:right w:val="single" w:sz="6" w:space="0" w:color="auto"/>
            </w:tcBorders>
          </w:tcPr>
          <w:p w14:paraId="6E48E7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Кислотоупорный завод</w:t>
            </w:r>
          </w:p>
        </w:tc>
        <w:tc>
          <w:tcPr>
            <w:tcW w:w="2693" w:type="dxa"/>
            <w:tcBorders>
              <w:top w:val="single" w:sz="6" w:space="0" w:color="auto"/>
              <w:left w:val="single" w:sz="6" w:space="0" w:color="auto"/>
              <w:bottom w:val="single" w:sz="6" w:space="0" w:color="auto"/>
              <w:right w:val="single" w:sz="6" w:space="0" w:color="auto"/>
            </w:tcBorders>
          </w:tcPr>
          <w:p w14:paraId="7DF6B9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Щекино </w:t>
            </w:r>
          </w:p>
        </w:tc>
        <w:tc>
          <w:tcPr>
            <w:tcW w:w="1984" w:type="dxa"/>
            <w:tcBorders>
              <w:top w:val="single" w:sz="6" w:space="0" w:color="auto"/>
              <w:left w:val="single" w:sz="6" w:space="0" w:color="auto"/>
              <w:bottom w:val="single" w:sz="6" w:space="0" w:color="auto"/>
              <w:right w:val="single" w:sz="12" w:space="0" w:color="auto"/>
            </w:tcBorders>
          </w:tcPr>
          <w:p w14:paraId="7D3C2E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ст. Тавтиманово </w:t>
            </w:r>
          </w:p>
        </w:tc>
      </w:tr>
      <w:tr w:rsidR="00643896" w:rsidRPr="00640820" w14:paraId="5DD9FFDF" w14:textId="77777777" w:rsidTr="000D3BCB">
        <w:tc>
          <w:tcPr>
            <w:tcW w:w="230" w:type="dxa"/>
            <w:tcBorders>
              <w:top w:val="single" w:sz="6" w:space="0" w:color="auto"/>
              <w:left w:val="single" w:sz="12" w:space="0" w:color="auto"/>
              <w:bottom w:val="single" w:sz="12" w:space="0" w:color="auto"/>
              <w:right w:val="single" w:sz="6" w:space="0" w:color="auto"/>
            </w:tcBorders>
          </w:tcPr>
          <w:p w14:paraId="6168A3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65</w:t>
            </w:r>
          </w:p>
        </w:tc>
        <w:tc>
          <w:tcPr>
            <w:tcW w:w="5866" w:type="dxa"/>
            <w:tcBorders>
              <w:top w:val="single" w:sz="6" w:space="0" w:color="auto"/>
              <w:left w:val="single" w:sz="6" w:space="0" w:color="auto"/>
              <w:bottom w:val="single" w:sz="12" w:space="0" w:color="auto"/>
              <w:right w:val="single" w:sz="6" w:space="0" w:color="auto"/>
            </w:tcBorders>
          </w:tcPr>
          <w:p w14:paraId="06454F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Волчановская обувная фабрика ( детская обувь)</w:t>
            </w:r>
          </w:p>
        </w:tc>
        <w:tc>
          <w:tcPr>
            <w:tcW w:w="2693" w:type="dxa"/>
            <w:tcBorders>
              <w:top w:val="single" w:sz="6" w:space="0" w:color="auto"/>
              <w:left w:val="single" w:sz="6" w:space="0" w:color="auto"/>
              <w:bottom w:val="single" w:sz="12" w:space="0" w:color="auto"/>
              <w:right w:val="single" w:sz="6" w:space="0" w:color="auto"/>
            </w:tcBorders>
          </w:tcPr>
          <w:p w14:paraId="2C0A5F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Волчанск </w:t>
            </w:r>
          </w:p>
        </w:tc>
        <w:tc>
          <w:tcPr>
            <w:tcW w:w="1984" w:type="dxa"/>
            <w:tcBorders>
              <w:top w:val="single" w:sz="6" w:space="0" w:color="auto"/>
              <w:left w:val="single" w:sz="6" w:space="0" w:color="auto"/>
              <w:bottom w:val="single" w:sz="12" w:space="0" w:color="auto"/>
              <w:right w:val="single" w:sz="12" w:space="0" w:color="auto"/>
            </w:tcBorders>
          </w:tcPr>
          <w:p w14:paraId="250F7A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Давлеканово </w:t>
            </w:r>
          </w:p>
        </w:tc>
      </w:tr>
    </w:tbl>
    <w:p w14:paraId="0F39E3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Литература: Башкирия в годы Великой Отечественной войны 1941-1945г. Г.Д.Иргалина.иГ.Р.Мухаметдинова. Уфа.1995 г. (11748).</w:t>
      </w:r>
    </w:p>
    <w:p w14:paraId="3AD10F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1564D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октября 1941 года Челябинский тракторный завод, на который перевезли танкосборочные цеха Кировского завода, начал серийный выпуск тяжелых танков (4018).</w:t>
      </w:r>
    </w:p>
    <w:p w14:paraId="66EFF6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ECFFC2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концу октября месяца 1941 сталинградцы сумели собрать 25 двигателей В-2, но такого количества, естественно, не хватало для обеспечения танковой программы. Выход из создавшейся ситуации был найден в использовании карбюраторных моторов М-17Т и М-17Ф (12217).</w:t>
      </w:r>
    </w:p>
    <w:p w14:paraId="2C09CBFF"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0EE3CF5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Уже в конце октября 1941 года Т-34 СТЗ стали оснащаться литыми опорными катками с внутренней амортизацией. Это позволило не только увеличить их выпуск - не требовалась обработка катка на карусельных станках - но и сэкономить резину, в которой стал ощущаться недостаток. Кстати, вскоре в качестве резинового буфера в катках на СТЗ стали использовать бандажи от тракторов СТЗ-5, имевшиеся на заводе в большом количестве. Это решение позволило не только сэкономить на резине, но и, как не странно повысить качество катков - ведь бандажи были еще довоенного производства из натурального каучука. Катки с внутренней амортизацией производства СТЗ по своей надежности даже превосходили аналогичные выпуска завода № 183. Например, на совещании по качеству танков Т-34, прошедшем в сентябре 1941 года, начальник ОТК завода № 183 А. Волков сказал:</w:t>
      </w:r>
    </w:p>
    <w:p w14:paraId="54958D4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«Машины с поддерживающими колесами с внутренней амортизацией у нас не выдерживают гарантийного километража, а на СТЗ работают. Объясняется это тем, что колеса в данном исполнении на заводе №183 не имеют такой резины, которую имеет СТЗ, используя для этой цели грузошины катков тракторов, что значительно лучше, чем резина, устанавливаемая на колеса машин 18З-го завода» (12217).</w:t>
      </w:r>
    </w:p>
    <w:p w14:paraId="0858B1E3"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4DACF894" w14:textId="77777777" w:rsidR="00165A9C" w:rsidRPr="00640820" w:rsidRDefault="00165A9C" w:rsidP="00640820">
      <w:pPr>
        <w:pStyle w:val="afffff3"/>
        <w:autoSpaceDE/>
        <w:autoSpaceDN/>
        <w:adjustRightInd/>
        <w:ind w:left="0"/>
        <w:contextualSpacing w:val="0"/>
        <w:jc w:val="both"/>
        <w:rPr>
          <w:rFonts w:eastAsia="Times New Roman"/>
          <w:color w:val="000000" w:themeColor="text1"/>
          <w:sz w:val="16"/>
          <w:szCs w:val="16"/>
          <w:lang w:eastAsia="ru-RU"/>
        </w:rPr>
      </w:pPr>
      <w:r w:rsidRPr="00640820">
        <w:rPr>
          <w:rFonts w:eastAsia="Times New Roman"/>
          <w:color w:val="000000" w:themeColor="text1"/>
          <w:sz w:val="16"/>
          <w:szCs w:val="16"/>
          <w:lang w:eastAsia="ru-RU"/>
        </w:rPr>
        <w:t>В течение конца октября – начала декабря 1941 года, а первое серийное башенное литье по новой технологии появилось в декабре 1941 года. Тем не менее, новая башня-«гайка» удалась, устраивала практически всех производственников, и все дальнейшее проектирование башен для Т-34 велось на основе ее конструкции (12627).</w:t>
      </w:r>
    </w:p>
    <w:p w14:paraId="7FC9188F"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60C01B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октября 1941, в связи с эвакуацией Государственного подшипникового завода (ГПЗ) из Москвы, ЧКЗ перестал получать подшипники. Тогда по предложению Н. Духова в ЧКЗ наладили выпуск роликовых подшипников, нарезанных из заготовок торсионных валов. Замена некоторых ша</w:t>
      </w:r>
      <w:r w:rsidRPr="00640820">
        <w:rPr>
          <w:rFonts w:ascii="Times New Roman" w:hAnsi="Times New Roman"/>
          <w:color w:val="000000" w:themeColor="text1"/>
          <w:sz w:val="16"/>
          <w:szCs w:val="16"/>
        </w:rPr>
        <w:softHyphen/>
        <w:t>риковых подшипников роликовыми собственного произ</w:t>
      </w:r>
      <w:r w:rsidRPr="00640820">
        <w:rPr>
          <w:rFonts w:ascii="Times New Roman" w:hAnsi="Times New Roman"/>
          <w:color w:val="000000" w:themeColor="text1"/>
          <w:sz w:val="16"/>
          <w:szCs w:val="16"/>
        </w:rPr>
        <w:softHyphen/>
        <w:t>водства оказалась достаточно удачной и позволила выйти из затруднительного положения. Впрочем, трудно указать, что из комплектующих и узлов КВ было в конце 1941-го не в де</w:t>
      </w:r>
      <w:r w:rsidRPr="00640820">
        <w:rPr>
          <w:rFonts w:ascii="Times New Roman" w:hAnsi="Times New Roman"/>
          <w:color w:val="000000" w:themeColor="text1"/>
          <w:sz w:val="16"/>
          <w:szCs w:val="16"/>
        </w:rPr>
        <w:softHyphen/>
        <w:t>фиците. Не хватало радиостанций, цветных металлов, рези</w:t>
      </w:r>
      <w:r w:rsidRPr="00640820">
        <w:rPr>
          <w:rFonts w:ascii="Times New Roman" w:hAnsi="Times New Roman"/>
          <w:color w:val="000000" w:themeColor="text1"/>
          <w:sz w:val="16"/>
          <w:szCs w:val="16"/>
        </w:rPr>
        <w:softHyphen/>
        <w:t>ны, кожи. Так, из-за недостатка алюминия с октября 1941 г. на танках КВ радиаторы стали изготавливать из стальных трубок. В целях экономии резины опорные и поддерживаю</w:t>
      </w:r>
      <w:r w:rsidRPr="00640820">
        <w:rPr>
          <w:rFonts w:ascii="Times New Roman" w:hAnsi="Times New Roman"/>
          <w:color w:val="000000" w:themeColor="text1"/>
          <w:sz w:val="16"/>
          <w:szCs w:val="16"/>
        </w:rPr>
        <w:softHyphen/>
        <w:t>щие катки пошли литыми цельнометаллическими. Из-за недостатка прессового оборудования цельноштампованные траки гусениц также были переведены на литье. Впрочем, все эти меры позволили при ноябрьской от</w:t>
      </w:r>
      <w:r w:rsidRPr="00640820">
        <w:rPr>
          <w:rFonts w:ascii="Times New Roman" w:hAnsi="Times New Roman"/>
          <w:color w:val="000000" w:themeColor="text1"/>
          <w:sz w:val="16"/>
          <w:szCs w:val="16"/>
        </w:rPr>
        <w:softHyphen/>
        <w:t>грузке фронту в 110 танков КВ увеличить в декабре их объ</w:t>
      </w:r>
      <w:r w:rsidRPr="00640820">
        <w:rPr>
          <w:rFonts w:ascii="Times New Roman" w:hAnsi="Times New Roman"/>
          <w:color w:val="000000" w:themeColor="text1"/>
          <w:sz w:val="16"/>
          <w:szCs w:val="16"/>
        </w:rPr>
        <w:softHyphen/>
        <w:t>ем почти вдвое — до 213 шт. Однако и этого, по мнению ГКО, было недостаточно. Совершенствование продолжалось. Коллектив конст</w:t>
      </w:r>
      <w:r w:rsidRPr="00640820">
        <w:rPr>
          <w:rFonts w:ascii="Times New Roman" w:hAnsi="Times New Roman"/>
          <w:color w:val="000000" w:themeColor="text1"/>
          <w:sz w:val="16"/>
          <w:szCs w:val="16"/>
        </w:rPr>
        <w:softHyphen/>
        <w:t>рукторов и технологов постоянно вел работу в направле</w:t>
      </w:r>
      <w:r w:rsidRPr="00640820">
        <w:rPr>
          <w:rFonts w:ascii="Times New Roman" w:hAnsi="Times New Roman"/>
          <w:color w:val="000000" w:themeColor="text1"/>
          <w:sz w:val="16"/>
          <w:szCs w:val="16"/>
        </w:rPr>
        <w:softHyphen/>
        <w:t>нии снижения трудоемкости КВ (10782).</w:t>
      </w:r>
    </w:p>
    <w:p w14:paraId="44DDEA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0877E9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концу октября 1941 г. скромных по количеству, но весьма весомых по значимости успехов добился коллектив горьковского завода № 112 ("Красное Сормово"). С началом войны ГКО постановлением № 2 обя</w:t>
      </w:r>
      <w:r w:rsidRPr="00640820">
        <w:rPr>
          <w:rFonts w:ascii="Times New Roman" w:hAnsi="Times New Roman"/>
          <w:color w:val="000000" w:themeColor="text1"/>
          <w:sz w:val="16"/>
          <w:szCs w:val="16"/>
        </w:rPr>
        <w:softHyphen/>
        <w:t>жи этот завод приступить в кратчайшие сроки к производству средних танков Т-34, причем уже в августе 1941 г. заводу необходимо было со</w:t>
      </w:r>
      <w:r w:rsidRPr="00640820">
        <w:rPr>
          <w:rFonts w:ascii="Times New Roman" w:hAnsi="Times New Roman"/>
          <w:color w:val="000000" w:themeColor="text1"/>
          <w:sz w:val="16"/>
          <w:szCs w:val="16"/>
        </w:rPr>
        <w:softHyphen/>
        <w:t>брать первые 10 бронекорпусов. В помощь заводу привлекались другие предприятий страны, в том числе и Горьковский автозавод (ГАЗ) (10703).</w:t>
      </w:r>
    </w:p>
    <w:p w14:paraId="390F648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917A4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С конца октября 1941 в серию пошла литая башня Т-34 с толщиной стенок 52 мм, значительно снизившая трудоемкость изготов</w:t>
      </w:r>
      <w:r w:rsidRPr="00640820">
        <w:rPr>
          <w:rFonts w:ascii="Times New Roman" w:hAnsi="Times New Roman"/>
          <w:color w:val="000000" w:themeColor="text1"/>
          <w:sz w:val="16"/>
          <w:szCs w:val="16"/>
        </w:rPr>
        <w:softHyphen/>
        <w:t>ления танка за счет высвобождения нескольких высококва</w:t>
      </w:r>
      <w:r w:rsidRPr="00640820">
        <w:rPr>
          <w:rFonts w:ascii="Times New Roman" w:hAnsi="Times New Roman"/>
          <w:color w:val="000000" w:themeColor="text1"/>
          <w:sz w:val="16"/>
          <w:szCs w:val="16"/>
        </w:rPr>
        <w:softHyphen/>
        <w:t>лифицированных сварщиков. Первые месяцы литые башни устанавливались на каждом втором танке, произведенном за</w:t>
      </w:r>
      <w:r w:rsidRPr="00640820">
        <w:rPr>
          <w:rFonts w:ascii="Times New Roman" w:hAnsi="Times New Roman"/>
          <w:color w:val="000000" w:themeColor="text1"/>
          <w:sz w:val="16"/>
          <w:szCs w:val="16"/>
        </w:rPr>
        <w:softHyphen/>
        <w:t>водом № 183 с планом прекращения производства сварных со второго полугодия 1941 г. Однако СТЗ продолжал выпус</w:t>
      </w:r>
      <w:r w:rsidRPr="00640820">
        <w:rPr>
          <w:rFonts w:ascii="Times New Roman" w:hAnsi="Times New Roman"/>
          <w:color w:val="000000" w:themeColor="text1"/>
          <w:sz w:val="16"/>
          <w:szCs w:val="16"/>
        </w:rPr>
        <w:softHyphen/>
        <w:t>кать танки со сварными башнями и позднее. В результате проведенных доработок и изменений мас</w:t>
      </w:r>
      <w:r w:rsidRPr="00640820">
        <w:rPr>
          <w:rFonts w:ascii="Times New Roman" w:hAnsi="Times New Roman"/>
          <w:color w:val="000000" w:themeColor="text1"/>
          <w:sz w:val="16"/>
          <w:szCs w:val="16"/>
        </w:rPr>
        <w:softHyphen/>
        <w:t>са танка Т-34 «обр. 1941 г.» возросла с 25,6 до 27,2 т. В качестве противопожарного оборудования на маши</w:t>
      </w:r>
      <w:r w:rsidRPr="00640820">
        <w:rPr>
          <w:rFonts w:ascii="Times New Roman" w:hAnsi="Times New Roman"/>
          <w:color w:val="000000" w:themeColor="text1"/>
          <w:sz w:val="16"/>
          <w:szCs w:val="16"/>
        </w:rPr>
        <w:softHyphen/>
        <w:t>не устанавливались два переносных огнетушителя. В моторно-трансмиссионном отделении танка вдоль оси корпуса устанавливался четырехтактный двенадцатицилинд-ровый У-образный дизельный двигатель В-2 (В-2-34) мощ</w:t>
      </w:r>
      <w:r w:rsidRPr="00640820">
        <w:rPr>
          <w:rFonts w:ascii="Times New Roman" w:hAnsi="Times New Roman"/>
          <w:color w:val="000000" w:themeColor="text1"/>
          <w:sz w:val="16"/>
          <w:szCs w:val="16"/>
        </w:rPr>
        <w:softHyphen/>
        <w:t>ностью 480-500 л.с. Пуск двигателя производился электро</w:t>
      </w:r>
      <w:r w:rsidRPr="00640820">
        <w:rPr>
          <w:rFonts w:ascii="Times New Roman" w:hAnsi="Times New Roman"/>
          <w:color w:val="000000" w:themeColor="text1"/>
          <w:sz w:val="16"/>
          <w:szCs w:val="16"/>
        </w:rPr>
        <w:softHyphen/>
        <w:t>стартером СТ-700 мощностью 15 л.с. или сжатым воздухом (10782).</w:t>
      </w:r>
    </w:p>
    <w:p w14:paraId="4E0D7F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6EF1B5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октября 1941 г. коллектив КБ Горьковского автозавода при</w:t>
      </w:r>
      <w:r w:rsidRPr="00640820">
        <w:rPr>
          <w:rFonts w:ascii="Times New Roman" w:hAnsi="Times New Roman"/>
          <w:color w:val="000000" w:themeColor="text1"/>
          <w:sz w:val="16"/>
          <w:szCs w:val="16"/>
        </w:rPr>
        <w:softHyphen/>
        <w:t>ступил к разработке нового легкого танка Т-70, вооруженного 45-мм пушкой. Основная цель данной работы - повысить огневую мощь лег</w:t>
      </w:r>
      <w:r w:rsidRPr="00640820">
        <w:rPr>
          <w:rFonts w:ascii="Times New Roman" w:hAnsi="Times New Roman"/>
          <w:color w:val="000000" w:themeColor="text1"/>
          <w:sz w:val="16"/>
          <w:szCs w:val="16"/>
        </w:rPr>
        <w:softHyphen/>
        <w:t>кого танка. В его конструкции должны были быть максимально исполь</w:t>
      </w:r>
      <w:r w:rsidRPr="00640820">
        <w:rPr>
          <w:rFonts w:ascii="Times New Roman" w:hAnsi="Times New Roman"/>
          <w:color w:val="000000" w:themeColor="text1"/>
          <w:sz w:val="16"/>
          <w:szCs w:val="16"/>
        </w:rPr>
        <w:softHyphen/>
        <w:t>зованы узлы и агрегаты танка Т-60 с наименьшим объемом переделок с тем, чтобы новая машина могла быть запущена в серийное производст</w:t>
      </w:r>
      <w:r w:rsidRPr="00640820">
        <w:rPr>
          <w:rFonts w:ascii="Times New Roman" w:hAnsi="Times New Roman"/>
          <w:color w:val="000000" w:themeColor="text1"/>
          <w:sz w:val="16"/>
          <w:szCs w:val="16"/>
        </w:rPr>
        <w:softHyphen/>
        <w:t>во в кратчайшие сроки. Проектирование танка велось принятым в авто</w:t>
      </w:r>
      <w:r w:rsidRPr="00640820">
        <w:rPr>
          <w:rFonts w:ascii="Times New Roman" w:hAnsi="Times New Roman"/>
          <w:color w:val="000000" w:themeColor="text1"/>
          <w:sz w:val="16"/>
          <w:szCs w:val="16"/>
        </w:rPr>
        <w:softHyphen/>
        <w:t>мобилестроении приемом, который был непривычен для конструкторов танков. Общие виды танка были вычерчены в натуральную величину на специальных алюминиевых пластинах размером 7x3 м, окрашенных специальной белой эмалью и расчерченных на квадраты размером 200x200 мм. С целью сокращения площади чертежа и повышения его точности на главную проекцию - продольный разрез были наложены план и полные и частичные поперечные разрезы. Чертежи выполнялись с максимально возможной полнотой, включая все элементы, узлы и де</w:t>
      </w:r>
      <w:r w:rsidRPr="00640820">
        <w:rPr>
          <w:rFonts w:ascii="Times New Roman" w:hAnsi="Times New Roman"/>
          <w:color w:val="000000" w:themeColor="text1"/>
          <w:sz w:val="16"/>
          <w:szCs w:val="16"/>
        </w:rPr>
        <w:softHyphen/>
        <w:t>тали внутреннего и внешнего оборудования машины. Эти чертежи по</w:t>
      </w:r>
      <w:r w:rsidRPr="00640820">
        <w:rPr>
          <w:rFonts w:ascii="Times New Roman" w:hAnsi="Times New Roman"/>
          <w:color w:val="000000" w:themeColor="text1"/>
          <w:sz w:val="16"/>
          <w:szCs w:val="16"/>
        </w:rPr>
        <w:softHyphen/>
        <w:t>служили основой для контроля при сборке опытного образца и даже всей первой серии машин. Главным преимуществом таких чертежей бы</w:t>
      </w:r>
      <w:r w:rsidRPr="00640820">
        <w:rPr>
          <w:rFonts w:ascii="Times New Roman" w:hAnsi="Times New Roman"/>
          <w:color w:val="000000" w:themeColor="text1"/>
          <w:sz w:val="16"/>
          <w:szCs w:val="16"/>
        </w:rPr>
        <w:softHyphen/>
        <w:t>ла их высокая точность. На танке была смонтирована силовая установка, в состав которой входили спаренные карбюраторные двигатели. На первом этапе произ</w:t>
      </w:r>
      <w:r w:rsidRPr="00640820">
        <w:rPr>
          <w:rFonts w:ascii="Times New Roman" w:hAnsi="Times New Roman"/>
          <w:color w:val="000000" w:themeColor="text1"/>
          <w:sz w:val="16"/>
          <w:szCs w:val="16"/>
        </w:rPr>
        <w:softHyphen/>
        <w:t>водства машины, за исключением увеличения числа опорных катков с четырех до пяти на борт и усиления торсионных валов, гусеницы, опор</w:t>
      </w:r>
      <w:r w:rsidRPr="00640820">
        <w:rPr>
          <w:rFonts w:ascii="Times New Roman" w:hAnsi="Times New Roman"/>
          <w:color w:val="000000" w:themeColor="text1"/>
          <w:sz w:val="16"/>
          <w:szCs w:val="16"/>
        </w:rPr>
        <w:softHyphen/>
        <w:t>ные катки, отдельные элементы подвески и агрегаты трансмиссии оста</w:t>
      </w:r>
      <w:r w:rsidRPr="00640820">
        <w:rPr>
          <w:rFonts w:ascii="Times New Roman" w:hAnsi="Times New Roman"/>
          <w:color w:val="000000" w:themeColor="text1"/>
          <w:sz w:val="16"/>
          <w:szCs w:val="16"/>
        </w:rPr>
        <w:softHyphen/>
        <w:t>вались такими же, как на танке Т-60. В процессе серийного производст</w:t>
      </w:r>
      <w:r w:rsidRPr="00640820">
        <w:rPr>
          <w:rFonts w:ascii="Times New Roman" w:hAnsi="Times New Roman"/>
          <w:color w:val="000000" w:themeColor="text1"/>
          <w:sz w:val="16"/>
          <w:szCs w:val="16"/>
        </w:rPr>
        <w:softHyphen/>
        <w:t>ва их конструкция была усилена (10703).</w:t>
      </w:r>
    </w:p>
    <w:p w14:paraId="4DF90BE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A0BAA7" w14:textId="77777777" w:rsidR="00BE26F3" w:rsidRPr="00640820" w:rsidRDefault="00BE26F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shd w:val="clear" w:color="auto" w:fill="FFFFFF"/>
        </w:rPr>
        <w:t>В конце октября 1941 года ГАЗ им. Молотова смог взвинтить темп производства Т-60. За октябрь удалось сдать 215 танков, из них 20 под установку системы залпового огня М-8. В ноябре сдали уже 480 танков, из них под М-8 сделали 35 шасси. В таких условиях уже можно было проводить опытные работы. Возглавил их Н.А. Астров, который в октябре 1941 года окончательно перебрался в Горький. На ГАЗ он стал заместителем главного конструктора, фактически возглавив танковую разработку (22726).</w:t>
      </w:r>
    </w:p>
    <w:p w14:paraId="732557E8" w14:textId="77777777" w:rsidR="00BE26F3" w:rsidRPr="00640820" w:rsidRDefault="00BE26F3" w:rsidP="00640820">
      <w:pPr>
        <w:spacing w:after="0" w:line="240" w:lineRule="auto"/>
        <w:jc w:val="both"/>
        <w:rPr>
          <w:rFonts w:ascii="Times New Roman" w:hAnsi="Times New Roman"/>
          <w:color w:val="0070C0"/>
          <w:sz w:val="16"/>
          <w:szCs w:val="16"/>
        </w:rPr>
      </w:pPr>
    </w:p>
    <w:p w14:paraId="664AB6BE" w14:textId="77777777" w:rsidR="004369F7" w:rsidRPr="00640820" w:rsidRDefault="004369F7"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В конце октября 1941 производство автомобилей на ГАЗ оказалось практически парализовано. С производства были сняты модели ГАЗ-61–73 и ГАЗ-61–416 как использующие дефицитный двигатель. Был приостановлен выпуск ГАЗ-64, а объёмы поставок </w:t>
      </w:r>
      <w:hyperlink r:id="rId45" w:history="1">
        <w:r w:rsidRPr="00640820">
          <w:rPr>
            <w:rFonts w:ascii="Times New Roman" w:eastAsia="Times New Roman" w:hAnsi="Times New Roman"/>
            <w:color w:val="000000" w:themeColor="text1"/>
            <w:sz w:val="16"/>
            <w:szCs w:val="16"/>
            <w:lang w:eastAsia="ru-RU"/>
          </w:rPr>
          <w:t>грузовиков</w:t>
        </w:r>
      </w:hyperlink>
      <w:r w:rsidRPr="00640820">
        <w:rPr>
          <w:rFonts w:ascii="Times New Roman" w:eastAsia="Times New Roman" w:hAnsi="Times New Roman"/>
          <w:color w:val="000000" w:themeColor="text1"/>
          <w:sz w:val="16"/>
          <w:szCs w:val="16"/>
          <w:lang w:eastAsia="ru-RU"/>
        </w:rPr>
        <w:t xml:space="preserve"> ГАЗ АА и ГАЗ ААА снизились до минимума (17659).</w:t>
      </w:r>
    </w:p>
    <w:p w14:paraId="5B5193B4" w14:textId="77777777" w:rsidR="004369F7" w:rsidRPr="00640820" w:rsidRDefault="004369F7"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октябре 1941 года на ГАЗ началось реальное серийное производство Т-60. В десятых числах октября с завода №37 на ГАЗ отправляются Астров и Окунев. На новом месте Астров стал заместителем главного конструктора, а Окунев старшим военпредом. За первые пять дней месяца вместо запланированных 15 машин было сдано всего 5 танков, к 20 октября было сдано 69 Т-60.</w:t>
      </w:r>
    </w:p>
    <w:p w14:paraId="639C43D2" w14:textId="77777777" w:rsidR="004369F7" w:rsidRPr="00640820" w:rsidRDefault="004369F7"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20 октября на завод пришла телеграмма лично от Сталина, в которой тот потребовал увеличить объёмы производства Т-60 до 10 машин в сутки. Для изучения ситуации в Горький прибыл Малышев, его энергичные действия в немалой степени способствовали выправлению ситуации. Несмотря на имевшиеся проблемы, уже в октябре ГАЗ смог не только выполнить месячный план по выпуску танков, но и даже слегка его перевыполнить.</w:t>
      </w:r>
    </w:p>
    <w:p w14:paraId="7CE2AA8C" w14:textId="77777777" w:rsidR="004369F7" w:rsidRPr="00640820" w:rsidRDefault="004369F7"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За увеличение производства Т-60 пришлось заплатить высокую цену: в конце октября производство автомобилей на ГАЗ оказалось практически парализовано. С производства были сняты модели ГАЗ-61–73 и ГАЗ-61–416 как использующие дефицитный двигатель. Был приостановлен выпуск ГАЗ-64, а объёмы поставок </w:t>
      </w:r>
      <w:hyperlink r:id="rId46" w:history="1">
        <w:r w:rsidRPr="00640820">
          <w:rPr>
            <w:rFonts w:ascii="Times New Roman" w:eastAsia="Times New Roman" w:hAnsi="Times New Roman"/>
            <w:color w:val="000000" w:themeColor="text1"/>
            <w:sz w:val="16"/>
            <w:szCs w:val="16"/>
            <w:lang w:eastAsia="ru-RU"/>
          </w:rPr>
          <w:t>грузовиков</w:t>
        </w:r>
      </w:hyperlink>
      <w:r w:rsidRPr="00640820">
        <w:rPr>
          <w:rFonts w:ascii="Times New Roman" w:eastAsia="Times New Roman" w:hAnsi="Times New Roman"/>
          <w:color w:val="000000" w:themeColor="text1"/>
          <w:sz w:val="16"/>
          <w:szCs w:val="16"/>
          <w:lang w:eastAsia="ru-RU"/>
        </w:rPr>
        <w:t xml:space="preserve"> ГАЗ АА и ГАЗ ААА снизились до минимума.</w:t>
      </w:r>
    </w:p>
    <w:p w14:paraId="1EB5C635" w14:textId="77777777" w:rsidR="004369F7" w:rsidRPr="00640820" w:rsidRDefault="004369F7"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Определённую путаницу в историю создания Т-60 внесла эвакуация завода №37 в Свердловск. Видя бедственное положение с корпусами и башнями, руководство завода предложило поставить в Горький некоторое количество башен для танков Т-30, кроме того, на ГАЗ отправилось и 9 готовых Т-30, требовавших ремонта. Точное число отправленных на ГАЗ корпусов и башен неизвестно, однако по состоянию на лето 1942 года на заводе всё ещё находилось 47 комплектов. Корпуса в дело не пошли, зато можно утверждать, что было выпущено несколько десятков Т-60 с установленными на них коническими башнями. Подобные танки имелись, к примеру, в составе 33-й отдельной танковой бригады, машины которой «засветились» на параде 7 ноября на Красной Площади. Кроме того, с завода №37 было поставлено некоторое количество литых опорных катков (17659).</w:t>
      </w:r>
    </w:p>
    <w:p w14:paraId="3E8190C8" w14:textId="77777777" w:rsidR="004369F7" w:rsidRPr="00640820" w:rsidRDefault="004369F7" w:rsidP="00640820">
      <w:pPr>
        <w:spacing w:after="0" w:line="240" w:lineRule="auto"/>
        <w:jc w:val="both"/>
        <w:rPr>
          <w:rFonts w:ascii="Times New Roman" w:eastAsia="Times New Roman" w:hAnsi="Times New Roman"/>
          <w:color w:val="000000" w:themeColor="text1"/>
          <w:sz w:val="16"/>
          <w:szCs w:val="16"/>
          <w:lang w:eastAsia="ru-RU"/>
        </w:rPr>
      </w:pPr>
    </w:p>
    <w:p w14:paraId="0B9C24F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октября 1941 г. конструкторскими бюро ЧКЗ и завода № 174 под общим руко</w:t>
      </w:r>
      <w:r w:rsidRPr="00640820">
        <w:rPr>
          <w:rFonts w:ascii="Times New Roman" w:hAnsi="Times New Roman"/>
          <w:color w:val="000000" w:themeColor="text1"/>
          <w:sz w:val="16"/>
          <w:szCs w:val="16"/>
        </w:rPr>
        <w:softHyphen/>
        <w:t>водством Ж.Я. Котина с учетом результатов боевого использования опытных огнеметных танков КВ-1 был разработан огнеметный танк "Объект 228". Ведущим конструктором машины был И.А. Аристов. Опытный образец танка, получивший заводское обо</w:t>
      </w:r>
      <w:r w:rsidRPr="00640820">
        <w:rPr>
          <w:rFonts w:ascii="Times New Roman" w:hAnsi="Times New Roman"/>
          <w:color w:val="000000" w:themeColor="text1"/>
          <w:sz w:val="16"/>
          <w:szCs w:val="16"/>
        </w:rPr>
        <w:softHyphen/>
        <w:t>значение - "Объект 228", был изготовлен в конце 1941 г. Машина в сжа</w:t>
      </w:r>
      <w:r w:rsidRPr="00640820">
        <w:rPr>
          <w:rFonts w:ascii="Times New Roman" w:hAnsi="Times New Roman"/>
          <w:color w:val="000000" w:themeColor="text1"/>
          <w:sz w:val="16"/>
          <w:szCs w:val="16"/>
        </w:rPr>
        <w:softHyphen/>
        <w:t>тые сроки прошла испытания на полигоне Мытищинского машиност</w:t>
      </w:r>
      <w:r w:rsidRPr="00640820">
        <w:rPr>
          <w:rFonts w:ascii="Times New Roman" w:hAnsi="Times New Roman"/>
          <w:color w:val="000000" w:themeColor="text1"/>
          <w:sz w:val="16"/>
          <w:szCs w:val="16"/>
        </w:rPr>
        <w:softHyphen/>
        <w:t>роительного завода и 6 января 1942 г. постановлением ГКО под маркой КВ-8 была принята на вооружение Красной Армии (10703).</w:t>
      </w:r>
    </w:p>
    <w:p w14:paraId="00430F8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B80BF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октября 1941 г. в конструкторском бюро СКБ-2 ЧКЗ под руководством Ж.Я. Котина был разработан опытный огнеметный танк "Объект 228" (10703).</w:t>
      </w:r>
    </w:p>
    <w:p w14:paraId="5AB076C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C962F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конца октября 1941 г. в связи с прекращением производства танковых пу</w:t>
      </w:r>
      <w:r w:rsidRPr="00640820">
        <w:rPr>
          <w:rFonts w:ascii="Times New Roman" w:hAnsi="Times New Roman"/>
          <w:color w:val="000000" w:themeColor="text1"/>
          <w:sz w:val="16"/>
          <w:szCs w:val="16"/>
        </w:rPr>
        <w:softHyphen/>
        <w:t>шек Ф-32 на ЛКЗ, на ЧКЗ в танк КВ-1, а затем и КВ-1 С стали устанавли</w:t>
      </w:r>
      <w:r w:rsidRPr="00640820">
        <w:rPr>
          <w:rFonts w:ascii="Times New Roman" w:hAnsi="Times New Roman"/>
          <w:color w:val="000000" w:themeColor="text1"/>
          <w:sz w:val="16"/>
          <w:szCs w:val="16"/>
        </w:rPr>
        <w:softHyphen/>
        <w:t>вать 76,2-мм танковую пуш-76,2-мм танковая пушка Ф-32 ку ЗИС-5 (10703).</w:t>
      </w:r>
    </w:p>
    <w:p w14:paraId="4EE5AFA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90C6C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конца октября 1941 г. в связи с прекращением производства танковых пу</w:t>
      </w:r>
      <w:r w:rsidRPr="00640820">
        <w:rPr>
          <w:rFonts w:ascii="Times New Roman" w:hAnsi="Times New Roman"/>
          <w:color w:val="000000" w:themeColor="text1"/>
          <w:sz w:val="16"/>
          <w:szCs w:val="16"/>
        </w:rPr>
        <w:softHyphen/>
        <w:t>шек Ф-32 на ЛКЗ, на ЧКЗ в танк КВ-1, а затем и КВ-1 С стали устанавли</w:t>
      </w:r>
      <w:r w:rsidRPr="00640820">
        <w:rPr>
          <w:rFonts w:ascii="Times New Roman" w:hAnsi="Times New Roman"/>
          <w:color w:val="000000" w:themeColor="text1"/>
          <w:sz w:val="16"/>
          <w:szCs w:val="16"/>
        </w:rPr>
        <w:softHyphen/>
        <w:t>вать 76,2-мм танковую пуш-76,2-мм танковая пушка Ф-32 ку ЗИС-5 (10703).</w:t>
      </w:r>
    </w:p>
    <w:p w14:paraId="3925A43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19C47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концу октября 1941 г. производство отечественных мотоци</w:t>
      </w:r>
      <w:r w:rsidRPr="00640820">
        <w:rPr>
          <w:rFonts w:ascii="Times New Roman" w:hAnsi="Times New Roman"/>
          <w:color w:val="000000" w:themeColor="text1"/>
          <w:sz w:val="16"/>
          <w:szCs w:val="16"/>
        </w:rPr>
        <w:softHyphen/>
        <w:t>клов в СССР на ММЗ, СМЗ, ЛМЗ, ХМЗ, КМЗ и ИжМЗ прекра</w:t>
      </w:r>
      <w:r w:rsidRPr="00640820">
        <w:rPr>
          <w:rFonts w:ascii="Times New Roman" w:hAnsi="Times New Roman"/>
          <w:color w:val="000000" w:themeColor="text1"/>
          <w:sz w:val="16"/>
          <w:szCs w:val="16"/>
        </w:rPr>
        <w:softHyphen/>
        <w:t>тилось. Выпуск этой мотопродукции предполагалось развернуть на ГМЗ, ИМЗ и ТМЗ, но удалось только в Горьком. За период с октября по декабрь 1941 г. на ГМЗ из привезён</w:t>
      </w:r>
      <w:r w:rsidRPr="00640820">
        <w:rPr>
          <w:rFonts w:ascii="Times New Roman" w:hAnsi="Times New Roman"/>
          <w:color w:val="000000" w:themeColor="text1"/>
          <w:sz w:val="16"/>
          <w:szCs w:val="16"/>
        </w:rPr>
        <w:softHyphen/>
        <w:t>ных деталей собрали 243 мотоцикла, и завершили сборку 206 [4.191], доставленных с ММЗ и частично собранных, всего - 449. Эти машины сразу же передали в ГБТУ, ведавшего приёмкой мо</w:t>
      </w:r>
      <w:r w:rsidRPr="00640820">
        <w:rPr>
          <w:rFonts w:ascii="Times New Roman" w:hAnsi="Times New Roman"/>
          <w:color w:val="000000" w:themeColor="text1"/>
          <w:sz w:val="16"/>
          <w:szCs w:val="16"/>
        </w:rPr>
        <w:softHyphen/>
        <w:t>тоциклов и распределением их на фронте и в тылу. Всего за 1941 г. удалось сделать 10968 отечественных мотоцик</w:t>
      </w:r>
      <w:r w:rsidRPr="00640820">
        <w:rPr>
          <w:rFonts w:ascii="Times New Roman" w:hAnsi="Times New Roman"/>
          <w:color w:val="000000" w:themeColor="text1"/>
          <w:sz w:val="16"/>
          <w:szCs w:val="16"/>
        </w:rPr>
        <w:softHyphen/>
        <w:t>лов (табл. 13) [4.93, 4.191]. На освободившихся производственных площадях ММЗ в 4 квартале 1941 г. освоили ремонт трофейных мотоциклов, доста</w:t>
      </w:r>
      <w:r w:rsidRPr="00640820">
        <w:rPr>
          <w:rFonts w:ascii="Times New Roman" w:hAnsi="Times New Roman"/>
          <w:color w:val="000000" w:themeColor="text1"/>
          <w:sz w:val="16"/>
          <w:szCs w:val="16"/>
        </w:rPr>
        <w:softHyphen/>
        <w:t>вляемых на завод с полей сражений в ходе битвы за Москву. На ММЗ в 1941 г. отремонтировали 1763 трофейных мотоцикла [5.20]. В целом работники отечественной мотоциклетной про</w:t>
      </w:r>
      <w:r w:rsidRPr="00640820">
        <w:rPr>
          <w:rFonts w:ascii="Times New Roman" w:hAnsi="Times New Roman"/>
          <w:color w:val="000000" w:themeColor="text1"/>
          <w:sz w:val="16"/>
          <w:szCs w:val="16"/>
        </w:rPr>
        <w:softHyphen/>
        <w:t>мышленности в 1941 г. передали стране 12 643 мотоцикла.</w:t>
      </w:r>
    </w:p>
    <w:p w14:paraId="1B931E6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Выпуск отечественных мотоциклов в 1941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219"/>
        <w:gridCol w:w="960"/>
        <w:gridCol w:w="979"/>
      </w:tblGrid>
      <w:tr w:rsidR="00643896" w:rsidRPr="00640820" w14:paraId="1CE4C5E0" w14:textId="77777777" w:rsidTr="000D3BCB">
        <w:trPr>
          <w:trHeight w:val="566"/>
        </w:trPr>
        <w:tc>
          <w:tcPr>
            <w:tcW w:w="1219" w:type="dxa"/>
            <w:tcBorders>
              <w:top w:val="single" w:sz="12" w:space="0" w:color="auto"/>
            </w:tcBorders>
          </w:tcPr>
          <w:p w14:paraId="760294D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Модель</w:t>
            </w:r>
          </w:p>
          <w:p w14:paraId="5C15994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12" w:space="0" w:color="auto"/>
            </w:tcBorders>
          </w:tcPr>
          <w:p w14:paraId="43A6459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w:t>
            </w:r>
          </w:p>
          <w:p w14:paraId="5CC84A9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12" w:space="0" w:color="auto"/>
            </w:tcBorders>
          </w:tcPr>
          <w:p w14:paraId="0AE20DB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w:t>
            </w:r>
            <w:r w:rsidRPr="00640820">
              <w:rPr>
                <w:rFonts w:ascii="Times New Roman" w:hAnsi="Times New Roman"/>
                <w:color w:val="000000" w:themeColor="text1"/>
                <w:sz w:val="16"/>
                <w:szCs w:val="16"/>
              </w:rPr>
              <w:softHyphen/>
              <w:t>во, экз.</w:t>
            </w:r>
          </w:p>
          <w:p w14:paraId="1D3532A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5E16A81" w14:textId="77777777" w:rsidTr="000D3BCB">
        <w:trPr>
          <w:trHeight w:val="288"/>
        </w:trPr>
        <w:tc>
          <w:tcPr>
            <w:tcW w:w="1219" w:type="dxa"/>
          </w:tcPr>
          <w:p w14:paraId="0F87E55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Л-8</w:t>
            </w:r>
          </w:p>
          <w:p w14:paraId="6B76E31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4AF3066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ЛМЗ</w:t>
            </w:r>
          </w:p>
          <w:p w14:paraId="684992D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Pr>
          <w:p w14:paraId="6992C10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774</w:t>
            </w:r>
          </w:p>
          <w:p w14:paraId="3E05217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5F8CD51" w14:textId="77777777" w:rsidTr="000D3BCB">
        <w:trPr>
          <w:trHeight w:val="211"/>
        </w:trPr>
        <w:tc>
          <w:tcPr>
            <w:tcW w:w="1219" w:type="dxa"/>
          </w:tcPr>
          <w:p w14:paraId="13BFD16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D002A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0703868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СМЗ</w:t>
            </w:r>
          </w:p>
          <w:p w14:paraId="2D4CE78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Pr>
          <w:p w14:paraId="7A5ACA8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396</w:t>
            </w:r>
          </w:p>
          <w:p w14:paraId="0818AED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7C68745" w14:textId="77777777" w:rsidTr="000D3BCB">
        <w:trPr>
          <w:trHeight w:val="221"/>
        </w:trPr>
        <w:tc>
          <w:tcPr>
            <w:tcW w:w="1219" w:type="dxa"/>
          </w:tcPr>
          <w:p w14:paraId="24E97A6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ИЖ-9</w:t>
            </w:r>
          </w:p>
          <w:p w14:paraId="2C08F94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6F4F5C4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ИжМЗ</w:t>
            </w:r>
          </w:p>
          <w:p w14:paraId="5292E61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Pr>
          <w:p w14:paraId="68917D9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4988</w:t>
            </w:r>
          </w:p>
          <w:p w14:paraId="308BA1A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D52537B" w14:textId="77777777" w:rsidTr="000D3BCB">
        <w:trPr>
          <w:trHeight w:val="221"/>
        </w:trPr>
        <w:tc>
          <w:tcPr>
            <w:tcW w:w="1219" w:type="dxa"/>
          </w:tcPr>
          <w:p w14:paraId="164053F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ИЖ-12</w:t>
            </w:r>
          </w:p>
          <w:p w14:paraId="3CE1BB7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3AE0A4E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24383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Pr>
          <w:p w14:paraId="238D9C8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41</w:t>
            </w:r>
          </w:p>
          <w:p w14:paraId="0ABBAFC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1AC760A" w14:textId="77777777" w:rsidTr="000D3BCB">
        <w:trPr>
          <w:trHeight w:val="221"/>
        </w:trPr>
        <w:tc>
          <w:tcPr>
            <w:tcW w:w="1219" w:type="dxa"/>
          </w:tcPr>
          <w:p w14:paraId="3A5983C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МЛ-3</w:t>
            </w:r>
          </w:p>
          <w:p w14:paraId="1720567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4EA0B99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СМЗ</w:t>
            </w:r>
          </w:p>
          <w:p w14:paraId="06FBAFF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Pr>
          <w:p w14:paraId="009A6AB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48</w:t>
            </w:r>
          </w:p>
          <w:p w14:paraId="3EFD2CC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4929D85" w14:textId="77777777" w:rsidTr="000D3BCB">
        <w:trPr>
          <w:trHeight w:val="221"/>
        </w:trPr>
        <w:tc>
          <w:tcPr>
            <w:tcW w:w="1219" w:type="dxa"/>
          </w:tcPr>
          <w:p w14:paraId="20391A1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АМ-600</w:t>
            </w:r>
          </w:p>
          <w:p w14:paraId="49AB215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452A4AB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тиз</w:t>
            </w:r>
          </w:p>
          <w:p w14:paraId="0282097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Pr>
          <w:p w14:paraId="51B27ED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2970</w:t>
            </w:r>
          </w:p>
          <w:p w14:paraId="47B8B8B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51AD152" w14:textId="77777777" w:rsidTr="000D3BCB">
        <w:trPr>
          <w:trHeight w:val="230"/>
        </w:trPr>
        <w:tc>
          <w:tcPr>
            <w:tcW w:w="1219" w:type="dxa"/>
          </w:tcPr>
          <w:p w14:paraId="57B1BFC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М-72</w:t>
            </w:r>
          </w:p>
          <w:p w14:paraId="5916DB3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5CE456A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хмз</w:t>
            </w:r>
          </w:p>
          <w:p w14:paraId="3EDCE25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Pr>
          <w:p w14:paraId="3AE3FAB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212</w:t>
            </w:r>
          </w:p>
          <w:p w14:paraId="571754B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E6A044D" w14:textId="77777777" w:rsidTr="000D3BCB">
        <w:trPr>
          <w:trHeight w:val="221"/>
        </w:trPr>
        <w:tc>
          <w:tcPr>
            <w:tcW w:w="1219" w:type="dxa"/>
          </w:tcPr>
          <w:p w14:paraId="60DCF78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10CD7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57A7E6E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ммз</w:t>
            </w:r>
          </w:p>
          <w:p w14:paraId="5F5262D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Pr>
          <w:p w14:paraId="76A5D48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1090</w:t>
            </w:r>
          </w:p>
          <w:p w14:paraId="52D7086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41C4BF5" w14:textId="77777777" w:rsidTr="000D3BCB">
        <w:trPr>
          <w:trHeight w:val="230"/>
        </w:trPr>
        <w:tc>
          <w:tcPr>
            <w:tcW w:w="1219" w:type="dxa"/>
          </w:tcPr>
          <w:p w14:paraId="6433D03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C8C54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5B45C83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гмз</w:t>
            </w:r>
          </w:p>
          <w:p w14:paraId="1F1F4E3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Pr>
          <w:p w14:paraId="0F07373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449</w:t>
            </w:r>
          </w:p>
          <w:p w14:paraId="22DF1B0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7FF2188" w14:textId="77777777" w:rsidTr="000D3BCB">
        <w:trPr>
          <w:trHeight w:val="230"/>
        </w:trPr>
        <w:tc>
          <w:tcPr>
            <w:tcW w:w="1219" w:type="dxa"/>
            <w:tcBorders>
              <w:bottom w:val="single" w:sz="12" w:space="0" w:color="auto"/>
            </w:tcBorders>
          </w:tcPr>
          <w:p w14:paraId="2C9AD83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Всего</w:t>
            </w:r>
          </w:p>
        </w:tc>
        <w:tc>
          <w:tcPr>
            <w:tcW w:w="960" w:type="dxa"/>
            <w:tcBorders>
              <w:bottom w:val="single" w:sz="12" w:space="0" w:color="auto"/>
            </w:tcBorders>
          </w:tcPr>
          <w:p w14:paraId="4B6654A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bottom w:val="single" w:sz="12" w:space="0" w:color="auto"/>
            </w:tcBorders>
          </w:tcPr>
          <w:p w14:paraId="2FCA893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10968</w:t>
            </w:r>
          </w:p>
        </w:tc>
      </w:tr>
    </w:tbl>
    <w:p w14:paraId="61B61F5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(11429).</w:t>
      </w:r>
    </w:p>
    <w:p w14:paraId="22DE457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1CE5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конца октября 1941 года на заводе № 322 начался выпуск корпусов снарядов.</w:t>
      </w:r>
    </w:p>
    <w:p w14:paraId="23A289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окончании ВОВ оборонная продукция с плана завода была снята. Профиль завода изменен на выпуск с/х машин, запасных деталей к ним и изготовление бурильных замков для нефтяной промышленности.</w:t>
      </w:r>
    </w:p>
    <w:p w14:paraId="2D8244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Орск Чкаловской области, п/я 12</w:t>
      </w:r>
    </w:p>
    <w:p w14:paraId="798F86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 Погудин (10034).</w:t>
      </w:r>
    </w:p>
    <w:p w14:paraId="122383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769F92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ок</w:t>
      </w:r>
      <w:r w:rsidRPr="00640820">
        <w:rPr>
          <w:rFonts w:ascii="Times New Roman" w:hAnsi="Times New Roman"/>
          <w:color w:val="000000" w:themeColor="text1"/>
          <w:sz w:val="16"/>
          <w:szCs w:val="16"/>
        </w:rPr>
        <w:softHyphen/>
        <w:t>тября 1941 г. была принята на вооружение реактивная установка залпового огня БМ-8-24 на базе танка Т-60 (10703).</w:t>
      </w:r>
    </w:p>
    <w:p w14:paraId="3789270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AB6F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конца октября 1941 г. боевая служба РЛС «Редут-К» на крейсере проходила в районе Севастополя, а затем в районах Туапсе и Поти. Во время одной из боевых операций под Феодосией в августе 1942 г. крейсер получил повреждение кормовой части корпуса. По счастливой случайности аппаратура станции осталась неповрежденной (был оборван лишь антенный фидер), и после возвращения крейсера в Поти до конца 1943 г. станция «Редут-К» несла боевую службу, но уже в качестве берегового поста наблюдения (11026).</w:t>
      </w:r>
    </w:p>
    <w:p w14:paraId="02E10B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E9013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октября 1941 Военный совет Черноморского флота принял решение перебазировать завод 201 из Севастополя в Туапсе и Поти с сохранением в осажденном городе части мощностей для обеспе</w:t>
      </w:r>
      <w:r w:rsidRPr="00640820">
        <w:rPr>
          <w:rFonts w:ascii="Times New Roman" w:hAnsi="Times New Roman"/>
          <w:color w:val="000000" w:themeColor="text1"/>
          <w:sz w:val="16"/>
          <w:szCs w:val="16"/>
        </w:rPr>
        <w:softHyphen/>
        <w:t>чения Севастопольского оборонительного района вооружением и боеприпасами и оперативного ремонта приходящих кораблей и су</w:t>
      </w:r>
      <w:r w:rsidRPr="00640820">
        <w:rPr>
          <w:rFonts w:ascii="Times New Roman" w:hAnsi="Times New Roman"/>
          <w:color w:val="000000" w:themeColor="text1"/>
          <w:sz w:val="16"/>
          <w:szCs w:val="16"/>
        </w:rPr>
        <w:softHyphen/>
        <w:t>дов в случае их повреждений. Эвакуация завода продолжалась с 12 ноября по 17 декабря 1941 г. (по датам отправки судов из Сева</w:t>
      </w:r>
      <w:r w:rsidRPr="00640820">
        <w:rPr>
          <w:rFonts w:ascii="Times New Roman" w:hAnsi="Times New Roman"/>
          <w:color w:val="000000" w:themeColor="text1"/>
          <w:sz w:val="16"/>
          <w:szCs w:val="16"/>
        </w:rPr>
        <w:softHyphen/>
        <w:t>стополя). Кроме оборудования и специалистов с семьями, которые вывозились в основном транспортными судами, сделавшими семь рейсов, в порты Кавказа были отбуксированы практически все на</w:t>
      </w:r>
      <w:r w:rsidRPr="00640820">
        <w:rPr>
          <w:rFonts w:ascii="Times New Roman" w:hAnsi="Times New Roman"/>
          <w:color w:val="000000" w:themeColor="text1"/>
          <w:sz w:val="16"/>
          <w:szCs w:val="16"/>
        </w:rPr>
        <w:softHyphen/>
        <w:t>ходящиеся на плаву строящиеся или ремонтируемые на заводе ко</w:t>
      </w:r>
      <w:r w:rsidRPr="00640820">
        <w:rPr>
          <w:rFonts w:ascii="Times New Roman" w:hAnsi="Times New Roman"/>
          <w:color w:val="000000" w:themeColor="text1"/>
          <w:sz w:val="16"/>
          <w:szCs w:val="16"/>
        </w:rPr>
        <w:softHyphen/>
        <w:t>рабли и суда, включая доставленные ранее из Николаева. (3898).</w:t>
      </w:r>
    </w:p>
    <w:p w14:paraId="4848A1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55CAC2B"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6F45BF84"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7071B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октября 1941 г. к боевым действиям на Западном фронте приступил 54-й Краснознаменный скоростной бомбардировочный полк на Пе-3. В ходе Московской оборонительной и контранаступательной операций полк под командованием майора Скибо совершил около 400 боевых вылетов, уничтожая противника в районах Клина, Солнечногорска, Истры и Волоколамска. По боевым донесениям, в этот период полк уничтожил 33 танка, до 780 автомашин, 35 вагонов, 2 склада с боеприпасами. В воздушных боях было сбито б самолетов противника. Собственные потери составили 11 самолетов (4476).</w:t>
      </w:r>
    </w:p>
    <w:p w14:paraId="06B372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D4C91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октября 1941 г. к боевым действиям на Западном фронте приступил 54-й Краснознаменный скоростной бомбардировочный полк, вооруженный истребителями Пе-3. Как и для ряда других авиачастей, это было уже вторым появлением 54-го бап на фронтах Великой Отечественной войны. 22 июня 1941 г. полк базировался на аэродроме в районе Вильнюса и при внезапном ударе немецкой авиации потерял более половины машин на земле. К 14 июля в ожесточенных воздушных боях он утратил почти все оставшиеся СБ, после чего полк вывели из боев. В дальнейшем 54-й бап получил новую технику и прошел переподготовку на Пе-3.</w:t>
      </w:r>
    </w:p>
    <w:p w14:paraId="6D69D2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ходе московской оборонительной и контрнаступательной операций полк под командованием майора Скибо совершил около 400 боевых вылетов, уничтожая противника в районах Клина, Солнечногорска, Истры и Волоколамска. По боевым донесениям, в этот период полк уничтожил 33 танка, до 780 автомашин, 35 вагонов, 2 склада с боеприпасами. В воздушных боях было сбито 6 самолетов противника. Собственные потери составили </w:t>
      </w:r>
      <w:r w:rsidRPr="00640820">
        <w:rPr>
          <w:rFonts w:ascii="Times New Roman" w:hAnsi="Times New Roman"/>
          <w:color w:val="000000" w:themeColor="text1"/>
          <w:sz w:val="16"/>
          <w:szCs w:val="16"/>
          <w:lang w:val="en-US"/>
        </w:rPr>
        <w:t>II</w:t>
      </w:r>
      <w:r w:rsidRPr="00640820">
        <w:rPr>
          <w:rFonts w:ascii="Times New Roman" w:hAnsi="Times New Roman"/>
          <w:color w:val="000000" w:themeColor="text1"/>
          <w:sz w:val="16"/>
          <w:szCs w:val="16"/>
        </w:rPr>
        <w:t xml:space="preserve"> самолетов. 18 января 1942 г. четверка Пе-3 из 54-го бап атаковала аэродром Вельская. На стоянки немецких самолетов было сброшено 16 авиабомб калибра 100 кг. При отходе от цели четверку атаковали самолеты Не 113 (вероятно, на самом деле, </w:t>
      </w:r>
      <w:r w:rsidRPr="00640820">
        <w:rPr>
          <w:rFonts w:ascii="Times New Roman" w:hAnsi="Times New Roman"/>
          <w:color w:val="000000" w:themeColor="text1"/>
          <w:sz w:val="16"/>
          <w:szCs w:val="16"/>
          <w:lang w:val="en-US"/>
        </w:rPr>
        <w:t>Bf</w:t>
      </w:r>
      <w:r w:rsidRPr="00640820">
        <w:rPr>
          <w:rFonts w:ascii="Times New Roman" w:hAnsi="Times New Roman"/>
          <w:color w:val="000000" w:themeColor="text1"/>
          <w:sz w:val="16"/>
          <w:szCs w:val="16"/>
        </w:rPr>
        <w:t xml:space="preserve"> 109</w:t>
      </w:r>
      <w:r w:rsidRPr="00640820">
        <w:rPr>
          <w:rFonts w:ascii="Times New Roman" w:hAnsi="Times New Roman"/>
          <w:color w:val="000000" w:themeColor="text1"/>
          <w:sz w:val="16"/>
          <w:szCs w:val="16"/>
          <w:lang w:val="en-US"/>
        </w:rPr>
        <w:t>F</w:t>
      </w:r>
      <w:r w:rsidRPr="00640820">
        <w:rPr>
          <w:rFonts w:ascii="Times New Roman" w:hAnsi="Times New Roman"/>
          <w:color w:val="000000" w:themeColor="text1"/>
          <w:sz w:val="16"/>
          <w:szCs w:val="16"/>
        </w:rPr>
        <w:t>). По нашим данным, огнем штурманов один самолет противника был сбит, а второй, не рассчитав маневра, врезался в хвост ведущего Пе-3 капитана Карабутова и потерял крыло. Самолет Кара- бутова, сильно поврежденный, все же дотянул до аэродрома в Туле. Экипаж не пострадал.</w:t>
      </w:r>
    </w:p>
    <w:p w14:paraId="0FB95A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Самолеты 511-го бап и 54-го бап, в отличие от машин 9-го бап и 95-го иап, по-види- мому, не дорабатывались и не перевооружались пушками. Об этом можно судить по типу израсходованных боеприпасов. В конце января 1942 г. аэродром базирования 54-го бап вскрыла немецкая разведывательная авиация. В ночь на 2 февраля около двух десятков немецких тяжелых истребителей </w:t>
      </w:r>
      <w:r w:rsidRPr="00640820">
        <w:rPr>
          <w:rFonts w:ascii="Times New Roman" w:hAnsi="Times New Roman"/>
          <w:color w:val="000000" w:themeColor="text1"/>
          <w:sz w:val="16"/>
          <w:szCs w:val="16"/>
          <w:lang w:val="en-US"/>
        </w:rPr>
        <w:t>BfI</w:t>
      </w:r>
      <w:r w:rsidRPr="00640820">
        <w:rPr>
          <w:rFonts w:ascii="Times New Roman" w:hAnsi="Times New Roman"/>
          <w:color w:val="000000" w:themeColor="text1"/>
          <w:sz w:val="16"/>
          <w:szCs w:val="16"/>
        </w:rPr>
        <w:t xml:space="preserve"> ЮС атаковали аэродром Жашково. Утром немцы повторили налет, а вечером аэродром бомбили несколько </w:t>
      </w:r>
      <w:r w:rsidRPr="00640820">
        <w:rPr>
          <w:rFonts w:ascii="Times New Roman" w:hAnsi="Times New Roman"/>
          <w:color w:val="000000" w:themeColor="text1"/>
          <w:sz w:val="16"/>
          <w:szCs w:val="16"/>
          <w:lang w:val="en-US"/>
        </w:rPr>
        <w:t>Ju</w:t>
      </w:r>
      <w:r w:rsidRPr="00640820">
        <w:rPr>
          <w:rFonts w:ascii="Times New Roman" w:hAnsi="Times New Roman"/>
          <w:color w:val="000000" w:themeColor="text1"/>
          <w:sz w:val="16"/>
          <w:szCs w:val="16"/>
        </w:rPr>
        <w:t xml:space="preserve"> 88. В результате полк потерял семь самолетов, три из которых сгорели. Уцелевшие машины в середине февраля передали в 511-й бап, а личный состав 54-го авиаполка вывели в резерв. В мае 1942 г. оставшиеся экипажи отправились в 9-й запасной авиаполк, где прошли переподготовку и в дальнейшем летали на самолетах Пе-2 (12042).</w:t>
      </w:r>
    </w:p>
    <w:p w14:paraId="54C79F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933DE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концу октября 1941 420 потерял 75% Ер-2 и 19 из 31 были утрачены по небоевым причинам, а 421 - 50% при 12 боевых из 15 (1099,10).</w:t>
      </w:r>
    </w:p>
    <w:p w14:paraId="25F115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CCD7E2F" w14:textId="77777777" w:rsidR="00E10F86" w:rsidRPr="00640820" w:rsidRDefault="00E10F86"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В конце октября 1941:</w:t>
      </w:r>
    </w:p>
    <w:p w14:paraId="626E8C0A" w14:textId="77777777" w:rsidR="00E10F86" w:rsidRPr="00640820" w:rsidRDefault="00E10F86"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КОМАНДИРУ 81 АВИАДИВИЗИИ</w:t>
      </w:r>
    </w:p>
    <w:p w14:paraId="45FF59F6" w14:textId="77777777" w:rsidR="00E10F86" w:rsidRPr="00640820" w:rsidRDefault="00E10F86"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Боевое донесение № 17, штаб 432 Авиаполка, Ковров 25.10.</w:t>
      </w:r>
      <w:r w:rsidRPr="00640820">
        <w:rPr>
          <w:rStyle w:val="109"/>
          <w:rFonts w:ascii="Times New Roman" w:hAnsi="Times New Roman" w:cs="Times New Roman"/>
          <w:i w:val="0"/>
          <w:color w:val="000000" w:themeColor="text1"/>
          <w:sz w:val="16"/>
          <w:szCs w:val="16"/>
        </w:rPr>
        <w:t>1941 г.,</w:t>
      </w:r>
      <w:r w:rsidRPr="00640820">
        <w:rPr>
          <w:rFonts w:ascii="Times New Roman" w:hAnsi="Times New Roman" w:cs="Times New Roman"/>
          <w:color w:val="000000" w:themeColor="text1"/>
        </w:rPr>
        <w:t xml:space="preserve"> 20.00, карта 1000000.</w:t>
      </w:r>
    </w:p>
    <w:p w14:paraId="702B15A5" w14:textId="77777777" w:rsidR="00E10F86" w:rsidRPr="00640820" w:rsidRDefault="00E10F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25.10.41 г. полк тремя самолетами бомбардировал г. Калуга. Время бомбометания 14.44 - 17.29. Высота бомбометания 7300 - 7450 метров. На цель сброшены: шесть ФАБ-500, семьдесят две ФАБ-100. Все бомбы положены в цель. Разрывы бомб наблюдали на территории ж. д. узла, в центральной, юго-западной, северной и восточной частях города. В результате бомбометания возникло пять очагов пожара.</w:t>
      </w:r>
    </w:p>
    <w:p w14:paraId="3FEA4EA2" w14:textId="77777777" w:rsidR="00E10F86" w:rsidRPr="00640820" w:rsidRDefault="00E10F86" w:rsidP="00640820">
      <w:pPr>
        <w:pStyle w:val="108"/>
        <w:shd w:val="clear" w:color="auto" w:fill="auto"/>
        <w:tabs>
          <w:tab w:val="left" w:pos="488"/>
        </w:tabs>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2. Самолет № 4226, командир корабля комбриг Водопьянов, в 12.56 м 25.10.41 г. стартовал с аэродрома Ковров на бомбардиро</w:t>
      </w:r>
      <w:r w:rsidRPr="00640820">
        <w:rPr>
          <w:rFonts w:ascii="Times New Roman" w:hAnsi="Times New Roman" w:cs="Times New Roman"/>
          <w:color w:val="000000" w:themeColor="text1"/>
        </w:rPr>
        <w:softHyphen/>
        <w:t>вание г. Калуга.</w:t>
      </w:r>
    </w:p>
    <w:p w14:paraId="1AD761B7" w14:textId="77777777" w:rsidR="00E10F86" w:rsidRPr="00640820" w:rsidRDefault="00E10F86"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В14 час 44 мин с высоты 7300 м на цель сброшены: ФАБ-500 - 2 шт., ФАБ-100 - 24 шт. Бомбы сброшены прицельно сериями в два захода.</w:t>
      </w:r>
    </w:p>
    <w:p w14:paraId="53CC5A2F" w14:textId="77777777" w:rsidR="00E10F86" w:rsidRPr="00640820" w:rsidRDefault="00E10F86"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Экипаж наблюдал разрывы бомб на территории ж. д. узла, в центральной и юго-восточной части города.</w:t>
      </w:r>
    </w:p>
    <w:p w14:paraId="61AC9976" w14:textId="77777777" w:rsidR="00E10F86" w:rsidRPr="00640820" w:rsidRDefault="00E10F86"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В результате бомбометания возник один большой пожар на территории ж. д. узла.</w:t>
      </w:r>
    </w:p>
    <w:p w14:paraId="35881C49" w14:textId="77777777" w:rsidR="00E10F86" w:rsidRPr="00640820" w:rsidRDefault="00E10F86"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Противодействие ПВО: За 10 км до цели самолет встречен сильным огнем ЗА крупного калибра до 12 орудий, расположенных на юго-восточной и северо-западной окраинах города. Разрывы снаря</w:t>
      </w:r>
      <w:r w:rsidRPr="00640820">
        <w:rPr>
          <w:rFonts w:ascii="Times New Roman" w:hAnsi="Times New Roman" w:cs="Times New Roman"/>
          <w:color w:val="000000" w:themeColor="text1"/>
        </w:rPr>
        <w:softHyphen/>
        <w:t>дов наблюдали под самолетом и выше самолета. Разрывы снарядов давали облако черного дыма. От осколков снарядов выведен из строя четвертый мотор, повреждена радиостанция. Самолет подучил до 15 пробоин. Пробоины имеются в правой и левой плоскостях, в Ф-1, Ф-2, в нижней части фюзеляжа у бомболюков и в стабилизаторе.</w:t>
      </w:r>
    </w:p>
    <w:p w14:paraId="41B1DCE2" w14:textId="77777777" w:rsidR="00E10F86" w:rsidRPr="00640820" w:rsidRDefault="00E10F86"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Потерь нет.</w:t>
      </w:r>
    </w:p>
    <w:p w14:paraId="5F73A510" w14:textId="77777777" w:rsidR="00E10F86" w:rsidRPr="00640820" w:rsidRDefault="00E10F86"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После выполнения боевого задания командир корабля на трех моторах привел самолет на свой аэродром и в 16 час 02 мин про</w:t>
      </w:r>
      <w:r w:rsidRPr="00640820">
        <w:rPr>
          <w:rFonts w:ascii="Times New Roman" w:hAnsi="Times New Roman" w:cs="Times New Roman"/>
          <w:color w:val="000000" w:themeColor="text1"/>
        </w:rPr>
        <w:softHyphen/>
        <w:t>извел посадку на своем аэродроме благополучно.</w:t>
      </w:r>
    </w:p>
    <w:p w14:paraId="72904448" w14:textId="77777777" w:rsidR="00E10F86" w:rsidRPr="00640820" w:rsidRDefault="00E10F86" w:rsidP="00640820">
      <w:pPr>
        <w:pStyle w:val="108"/>
        <w:shd w:val="clear" w:color="auto" w:fill="auto"/>
        <w:tabs>
          <w:tab w:val="left" w:pos="517"/>
        </w:tabs>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3. Самолет № 4218, командир корабля майор Дмитриев, в 13.15 м 25.10.41 г. стартовал с аэродрома Ковров на бомбарди</w:t>
      </w:r>
      <w:r w:rsidRPr="00640820">
        <w:rPr>
          <w:rFonts w:ascii="Times New Roman" w:hAnsi="Times New Roman" w:cs="Times New Roman"/>
          <w:color w:val="000000" w:themeColor="text1"/>
        </w:rPr>
        <w:softHyphen/>
        <w:t>рование г. Калуга.</w:t>
      </w:r>
    </w:p>
    <w:p w14:paraId="23986675" w14:textId="77777777" w:rsidR="00E10F86" w:rsidRPr="00640820" w:rsidRDefault="00E10F8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В15 час 08 мин с высоты 7450 м на цель сброшены: ФАБ-500 - 2 шт., ФАБ-100 - 24 шт. Бомбы сброшены прицельно сериями в два захода.</w:t>
      </w:r>
    </w:p>
    <w:p w14:paraId="289F6A5A" w14:textId="77777777" w:rsidR="00E10F86" w:rsidRPr="00640820" w:rsidRDefault="00E10F86"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Экипаж наблюдал разрывы бомб в центральной и северной ча</w:t>
      </w:r>
      <w:r w:rsidRPr="00640820">
        <w:rPr>
          <w:rFonts w:ascii="Times New Roman" w:hAnsi="Times New Roman" w:cs="Times New Roman"/>
          <w:color w:val="000000" w:themeColor="text1"/>
        </w:rPr>
        <w:softHyphen/>
        <w:t>сти города. Две бомбы разорвались на площади, по очертаниям экипаж считает, что это стадион, на этой площади стрелок кормовой точки, после бомбометания наблюдал движение по рас</w:t>
      </w:r>
      <w:r w:rsidRPr="00640820">
        <w:rPr>
          <w:rFonts w:ascii="Times New Roman" w:hAnsi="Times New Roman" w:cs="Times New Roman"/>
          <w:color w:val="000000" w:themeColor="text1"/>
        </w:rPr>
        <w:softHyphen/>
        <w:t>средоточению мотомехчасти.</w:t>
      </w:r>
    </w:p>
    <w:p w14:paraId="06BFBBFE" w14:textId="77777777" w:rsidR="00E10F86" w:rsidRPr="00640820" w:rsidRDefault="00E10F86"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В результате бомбометания возникло два очага пожара.</w:t>
      </w:r>
    </w:p>
    <w:p w14:paraId="049BA2B8" w14:textId="77777777" w:rsidR="00E10F86" w:rsidRPr="00640820" w:rsidRDefault="00E10F86"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Экипаж наблюдал пожар в районе ж. д. узла, вызванный бомбо</w:t>
      </w:r>
      <w:r w:rsidRPr="00640820">
        <w:rPr>
          <w:rFonts w:ascii="Times New Roman" w:hAnsi="Times New Roman" w:cs="Times New Roman"/>
          <w:color w:val="000000" w:themeColor="text1"/>
        </w:rPr>
        <w:softHyphen/>
        <w:t>метанием экипажа Водопьянова.</w:t>
      </w:r>
    </w:p>
    <w:p w14:paraId="61BE1D19" w14:textId="77777777" w:rsidR="00E10F86" w:rsidRPr="00640820" w:rsidRDefault="00E10F86"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Противодействие ПВО: При подходе к цели и над целью само</w:t>
      </w:r>
      <w:r w:rsidRPr="00640820">
        <w:rPr>
          <w:rFonts w:ascii="Times New Roman" w:hAnsi="Times New Roman" w:cs="Times New Roman"/>
          <w:color w:val="000000" w:themeColor="text1"/>
        </w:rPr>
        <w:softHyphen/>
        <w:t>лет встречен сильным огнем ЗА крупного калибра до 12 орудий, огонь вели с юго-восточной и северо-западной окраины города. Разрывы снарядов наблюдали под самолетом и выше самолета. Разрывы снарядов давали облако черного дыма. Самолет получил до 13 пробоин.</w:t>
      </w:r>
    </w:p>
    <w:p w14:paraId="556F2105" w14:textId="77777777" w:rsidR="00E10F86" w:rsidRPr="00640820" w:rsidRDefault="00E10F86"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Пробоины имеются: руль поворота - две пробоины, на левой плоскости разбита фара, в фюзеляже у третьего, усиленного шпангоута - четыре пробоины, в правой плоскости - две пробо</w:t>
      </w:r>
      <w:r w:rsidRPr="00640820">
        <w:rPr>
          <w:rFonts w:ascii="Times New Roman" w:hAnsi="Times New Roman" w:cs="Times New Roman"/>
          <w:color w:val="000000" w:themeColor="text1"/>
        </w:rPr>
        <w:softHyphen/>
        <w:t>ины, в Ф-1 и Ф-3.</w:t>
      </w:r>
    </w:p>
    <w:p w14:paraId="2352ADF6" w14:textId="77777777" w:rsidR="00E10F86" w:rsidRPr="00640820" w:rsidRDefault="00E10F86"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В14 час 58 мин при подходе к цели на параллельном курсе к г. Калуга следовали три двухмоторных самолета, шли ниже нашего самолета, тип не определен, скрылись в облака. Потерь нет. По</w:t>
      </w:r>
      <w:r w:rsidRPr="00640820">
        <w:rPr>
          <w:rFonts w:ascii="Times New Roman" w:hAnsi="Times New Roman" w:cs="Times New Roman"/>
          <w:color w:val="000000" w:themeColor="text1"/>
        </w:rPr>
        <w:softHyphen/>
        <w:t>сле выполнения задания экипаж в 16 час 40 мин произвел посадку на своем аэродроме (19105).</w:t>
      </w:r>
    </w:p>
    <w:p w14:paraId="35E8747C" w14:textId="77777777" w:rsidR="00E10F86" w:rsidRPr="00640820" w:rsidRDefault="00E10F86"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4. Самолет № 42015, командир корабля старший лейтенант Пусэп в 15.46</w:t>
      </w:r>
      <w:r w:rsidRPr="00640820">
        <w:rPr>
          <w:rStyle w:val="109"/>
          <w:rFonts w:ascii="Times New Roman" w:hAnsi="Times New Roman" w:cs="Times New Roman"/>
          <w:i w:val="0"/>
          <w:color w:val="000000" w:themeColor="text1"/>
          <w:sz w:val="16"/>
          <w:szCs w:val="16"/>
        </w:rPr>
        <w:t xml:space="preserve"> м</w:t>
      </w:r>
      <w:r w:rsidRPr="00640820">
        <w:rPr>
          <w:rFonts w:ascii="Times New Roman" w:hAnsi="Times New Roman" w:cs="Times New Roman"/>
          <w:color w:val="000000" w:themeColor="text1"/>
        </w:rPr>
        <w:t xml:space="preserve"> 25.10.41 г. стартовал с аэродрома Ковров на бом</w:t>
      </w:r>
      <w:r w:rsidRPr="00640820">
        <w:rPr>
          <w:rFonts w:ascii="Times New Roman" w:hAnsi="Times New Roman" w:cs="Times New Roman"/>
          <w:color w:val="000000" w:themeColor="text1"/>
        </w:rPr>
        <w:softHyphen/>
        <w:t>бардирование г. Калуга.</w:t>
      </w:r>
    </w:p>
    <w:p w14:paraId="31C982C7" w14:textId="77777777" w:rsidR="00E10F86" w:rsidRPr="00640820" w:rsidRDefault="00E10F86"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В17 час 29 мин с высоты 7300 м на цель сброшены:</w:t>
      </w:r>
      <w:r w:rsidRPr="00640820">
        <w:rPr>
          <w:rStyle w:val="109"/>
          <w:rFonts w:ascii="Times New Roman" w:hAnsi="Times New Roman" w:cs="Times New Roman"/>
          <w:i w:val="0"/>
          <w:color w:val="000000" w:themeColor="text1"/>
          <w:sz w:val="16"/>
          <w:szCs w:val="16"/>
        </w:rPr>
        <w:t xml:space="preserve"> ФАБ-500 - </w:t>
      </w:r>
      <w:r w:rsidRPr="00640820">
        <w:rPr>
          <w:rFonts w:ascii="Times New Roman" w:hAnsi="Times New Roman" w:cs="Times New Roman"/>
          <w:color w:val="000000" w:themeColor="text1"/>
        </w:rPr>
        <w:t>2 шт., ФАБ-100 - 24 шт. Бомбы сброшены прицельно в один заход.</w:t>
      </w:r>
    </w:p>
    <w:p w14:paraId="1AAADBF2" w14:textId="77777777" w:rsidR="00E10F86" w:rsidRPr="00640820" w:rsidRDefault="00E10F86"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Экипаж наблюдал разрывы бомб в центральной и восточной части города. В результате бомбометания возникло два очага пожара. Экипаж наблюдал два очага пожара, вызванные бомбоме</w:t>
      </w:r>
      <w:r w:rsidRPr="00640820">
        <w:rPr>
          <w:rFonts w:ascii="Times New Roman" w:hAnsi="Times New Roman" w:cs="Times New Roman"/>
          <w:color w:val="000000" w:themeColor="text1"/>
        </w:rPr>
        <w:softHyphen/>
        <w:t>танием предыдущими нашими экипажами Водопьянова и Дмит</w:t>
      </w:r>
      <w:r w:rsidRPr="00640820">
        <w:rPr>
          <w:rFonts w:ascii="Times New Roman" w:hAnsi="Times New Roman" w:cs="Times New Roman"/>
          <w:color w:val="000000" w:themeColor="text1"/>
        </w:rPr>
        <w:softHyphen/>
        <w:t>риева.</w:t>
      </w:r>
    </w:p>
    <w:p w14:paraId="27C4899D" w14:textId="77777777" w:rsidR="00E10F86" w:rsidRPr="00640820" w:rsidRDefault="00E10F86"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lastRenderedPageBreak/>
        <w:t>Противодействие ПВО: При подходе к цели за 10-15 км са</w:t>
      </w:r>
      <w:r w:rsidRPr="00640820">
        <w:rPr>
          <w:rFonts w:ascii="Times New Roman" w:hAnsi="Times New Roman" w:cs="Times New Roman"/>
          <w:color w:val="000000" w:themeColor="text1"/>
        </w:rPr>
        <w:softHyphen/>
        <w:t>молет был встречен сильным огнем ЗА крупного калибра -10-12 орудий, огонь велся с восточной и северо-восточной окраин го</w:t>
      </w:r>
      <w:r w:rsidRPr="00640820">
        <w:rPr>
          <w:rFonts w:ascii="Times New Roman" w:hAnsi="Times New Roman" w:cs="Times New Roman"/>
          <w:color w:val="000000" w:themeColor="text1"/>
        </w:rPr>
        <w:softHyphen/>
        <w:t>рода. Разрывы снарядов давали облако черного дыма. Разрывы снарядов наблюдали на уровне и выше полета самолета.</w:t>
      </w:r>
    </w:p>
    <w:p w14:paraId="39E01671" w14:textId="77777777" w:rsidR="00E10F86" w:rsidRPr="00640820" w:rsidRDefault="00E10F86"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Самолет имеет пробоины, но в темноте нельзя определить количество пробоин и повреждения. Потерь - нет.</w:t>
      </w:r>
    </w:p>
    <w:p w14:paraId="64C9AEB0" w14:textId="77777777" w:rsidR="00E10F86" w:rsidRPr="00640820" w:rsidRDefault="00E10F86"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После выполнения боевого задания экипаж в 18 час 48 мин произвел посадку на своем аэродроме.</w:t>
      </w:r>
    </w:p>
    <w:p w14:paraId="283F7446" w14:textId="77777777" w:rsidR="00E10F86" w:rsidRPr="00640820" w:rsidRDefault="00E10F86" w:rsidP="00640820">
      <w:pPr>
        <w:pStyle w:val="108"/>
        <w:shd w:val="clear" w:color="auto" w:fill="auto"/>
        <w:tabs>
          <w:tab w:val="left" w:pos="499"/>
        </w:tabs>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5. Метеоусловия: На маршруте до г. Зарайск - сплошная об</w:t>
      </w:r>
      <w:r w:rsidRPr="00640820">
        <w:rPr>
          <w:rFonts w:ascii="Times New Roman" w:hAnsi="Times New Roman" w:cs="Times New Roman"/>
          <w:color w:val="000000" w:themeColor="text1"/>
        </w:rPr>
        <w:softHyphen/>
        <w:t>лачность, высота 800-1200 м. От Зарайска к цели - облачность разорванная. В районе цели облачность редка 2-3 балла. Цель от</w:t>
      </w:r>
      <w:r w:rsidRPr="00640820">
        <w:rPr>
          <w:rFonts w:ascii="Times New Roman" w:hAnsi="Times New Roman" w:cs="Times New Roman"/>
          <w:color w:val="000000" w:themeColor="text1"/>
        </w:rPr>
        <w:softHyphen/>
        <w:t>крыта. Последний экипаж наблюдал приближение к цели фронта, несущего мощную облачность.</w:t>
      </w:r>
    </w:p>
    <w:p w14:paraId="255C6F35" w14:textId="77777777" w:rsidR="00E10F86" w:rsidRPr="00640820" w:rsidRDefault="00E10F86" w:rsidP="00640820">
      <w:pPr>
        <w:pStyle w:val="108"/>
        <w:shd w:val="clear" w:color="auto" w:fill="auto"/>
        <w:tabs>
          <w:tab w:val="left" w:pos="492"/>
        </w:tabs>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6. Матчасть самолетов неисправна - повреждена осколками снарядов зенитной артиллерии.</w:t>
      </w:r>
    </w:p>
    <w:p w14:paraId="66230C8F" w14:textId="77777777" w:rsidR="00E10F86" w:rsidRPr="00640820" w:rsidRDefault="00E10F86" w:rsidP="00640820">
      <w:pPr>
        <w:pStyle w:val="108"/>
        <w:shd w:val="clear" w:color="auto" w:fill="auto"/>
        <w:tabs>
          <w:tab w:val="left" w:pos="451"/>
        </w:tabs>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7. Полк готовится к очередному вылету на боевое задание.</w:t>
      </w:r>
    </w:p>
    <w:p w14:paraId="69A5AEA7" w14:textId="77777777" w:rsidR="00E10F86" w:rsidRPr="00640820" w:rsidRDefault="00E10F86" w:rsidP="00640820">
      <w:pPr>
        <w:pStyle w:val="108"/>
        <w:shd w:val="clear" w:color="auto" w:fill="auto"/>
        <w:tabs>
          <w:tab w:val="left" w:pos="488"/>
        </w:tabs>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 xml:space="preserve">8. Общий налет за 25.10.41 </w:t>
      </w:r>
      <w:r w:rsidRPr="00640820">
        <w:rPr>
          <w:rStyle w:val="101pt"/>
          <w:rFonts w:ascii="Times New Roman" w:hAnsi="Times New Roman" w:cs="Times New Roman"/>
          <w:color w:val="000000" w:themeColor="text1"/>
          <w:spacing w:val="0"/>
          <w:sz w:val="16"/>
          <w:szCs w:val="16"/>
        </w:rPr>
        <w:t>г.-3</w:t>
      </w:r>
      <w:r w:rsidRPr="00640820">
        <w:rPr>
          <w:rFonts w:ascii="Times New Roman" w:hAnsi="Times New Roman" w:cs="Times New Roman"/>
          <w:color w:val="000000" w:themeColor="text1"/>
        </w:rPr>
        <w:t xml:space="preserve"> полета: 9 час 33 мин, из них ночью - 1 час 30 мин.</w:t>
      </w:r>
    </w:p>
    <w:p w14:paraId="142A1B4E" w14:textId="77777777" w:rsidR="00E10F86" w:rsidRPr="00640820" w:rsidRDefault="00E10F86"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Командир полка полковник Лебедев Военком полка ст. бат. комиссар Брюзгин Начальник штаба подполковник Яроцкий (19105).</w:t>
      </w:r>
    </w:p>
    <w:p w14:paraId="2E66429F" w14:textId="77777777" w:rsidR="00E10F86" w:rsidRPr="00640820" w:rsidRDefault="00E10F86" w:rsidP="00640820">
      <w:pPr>
        <w:pStyle w:val="108"/>
        <w:shd w:val="clear" w:color="auto" w:fill="auto"/>
        <w:spacing w:line="240" w:lineRule="auto"/>
        <w:rPr>
          <w:rFonts w:ascii="Times New Roman" w:hAnsi="Times New Roman" w:cs="Times New Roman"/>
          <w:color w:val="000000" w:themeColor="text1"/>
        </w:rPr>
      </w:pPr>
    </w:p>
    <w:p w14:paraId="2416ABF3" w14:textId="77777777" w:rsidR="00E10F86" w:rsidRPr="00640820" w:rsidRDefault="00E10F86" w:rsidP="00640820">
      <w:pPr>
        <w:pStyle w:val="381"/>
        <w:shd w:val="clear" w:color="auto" w:fill="auto"/>
        <w:spacing w:after="0" w:line="240" w:lineRule="auto"/>
        <w:jc w:val="both"/>
        <w:rPr>
          <w:rFonts w:ascii="Times New Roman" w:hAnsi="Times New Roman" w:cs="Times New Roman"/>
          <w:color w:val="000000" w:themeColor="text1"/>
          <w:spacing w:val="0"/>
          <w:sz w:val="16"/>
          <w:szCs w:val="16"/>
        </w:rPr>
      </w:pPr>
      <w:r w:rsidRPr="00640820">
        <w:rPr>
          <w:rFonts w:ascii="Times New Roman" w:hAnsi="Times New Roman" w:cs="Times New Roman"/>
          <w:color w:val="000000" w:themeColor="text1"/>
          <w:spacing w:val="0"/>
          <w:sz w:val="16"/>
          <w:szCs w:val="16"/>
        </w:rPr>
        <w:t>В конце октября 1941 был подготовлен</w:t>
      </w:r>
    </w:p>
    <w:p w14:paraId="14CF491F" w14:textId="77777777" w:rsidR="00E10F86" w:rsidRPr="00640820" w:rsidRDefault="00E10F86" w:rsidP="00640820">
      <w:pPr>
        <w:pStyle w:val="381"/>
        <w:shd w:val="clear" w:color="auto" w:fill="auto"/>
        <w:spacing w:after="0" w:line="240" w:lineRule="auto"/>
        <w:jc w:val="both"/>
        <w:rPr>
          <w:rFonts w:ascii="Times New Roman" w:hAnsi="Times New Roman" w:cs="Times New Roman"/>
          <w:color w:val="000000" w:themeColor="text1"/>
          <w:spacing w:val="0"/>
          <w:sz w:val="16"/>
          <w:szCs w:val="16"/>
        </w:rPr>
      </w:pPr>
      <w:r w:rsidRPr="00640820">
        <w:rPr>
          <w:rFonts w:ascii="Times New Roman" w:hAnsi="Times New Roman" w:cs="Times New Roman"/>
          <w:color w:val="000000" w:themeColor="text1"/>
          <w:spacing w:val="0"/>
          <w:sz w:val="16"/>
          <w:szCs w:val="16"/>
        </w:rPr>
        <w:t>АКТ</w:t>
      </w:r>
    </w:p>
    <w:p w14:paraId="6F34D472" w14:textId="77777777" w:rsidR="00E10F86" w:rsidRPr="00640820" w:rsidRDefault="00E10F86" w:rsidP="00640820">
      <w:pPr>
        <w:pStyle w:val="350"/>
        <w:shd w:val="clear" w:color="auto" w:fill="auto"/>
        <w:spacing w:line="240" w:lineRule="auto"/>
        <w:jc w:val="both"/>
        <w:rPr>
          <w:rFonts w:ascii="Times New Roman" w:hAnsi="Times New Roman" w:cs="Times New Roman"/>
          <w:color w:val="000000" w:themeColor="text1"/>
          <w:spacing w:val="0"/>
          <w:sz w:val="16"/>
          <w:szCs w:val="16"/>
        </w:rPr>
      </w:pPr>
      <w:r w:rsidRPr="00640820">
        <w:rPr>
          <w:rFonts w:ascii="Times New Roman" w:hAnsi="Times New Roman" w:cs="Times New Roman"/>
          <w:color w:val="000000" w:themeColor="text1"/>
          <w:spacing w:val="0"/>
          <w:sz w:val="16"/>
          <w:szCs w:val="16"/>
        </w:rPr>
        <w:t>Комиссия, назначенная приказанием Заместителя командира 81 Авиадиви</w:t>
      </w:r>
      <w:r w:rsidRPr="00640820">
        <w:rPr>
          <w:rFonts w:ascii="Times New Roman" w:hAnsi="Times New Roman" w:cs="Times New Roman"/>
          <w:color w:val="000000" w:themeColor="text1"/>
          <w:spacing w:val="0"/>
          <w:sz w:val="16"/>
          <w:szCs w:val="16"/>
        </w:rPr>
        <w:softHyphen/>
        <w:t>зии полковника ШЕВЕЛЕВА в составе: Предсетателя Полковника ЛЕБЕДЕВА и членов комиссии - в/инженера 3 ранга ПАНЮШКИНА, в/инженера 3 ранга АНУР0ВА и ст. лейтенанта ЛИСАЧЕВА произвели осмотр места катастрофы самолета ТБ-7 № 4222.</w:t>
      </w:r>
    </w:p>
    <w:p w14:paraId="58C6FD5E" w14:textId="77777777" w:rsidR="00E10F86" w:rsidRPr="00640820" w:rsidRDefault="00E10F86" w:rsidP="00640820">
      <w:pPr>
        <w:pStyle w:val="350"/>
        <w:shd w:val="clear" w:color="auto" w:fill="auto"/>
        <w:spacing w:line="240" w:lineRule="auto"/>
        <w:jc w:val="both"/>
        <w:rPr>
          <w:rFonts w:ascii="Times New Roman" w:hAnsi="Times New Roman" w:cs="Times New Roman"/>
          <w:color w:val="000000" w:themeColor="text1"/>
          <w:spacing w:val="0"/>
          <w:sz w:val="16"/>
          <w:szCs w:val="16"/>
        </w:rPr>
      </w:pPr>
      <w:r w:rsidRPr="00640820">
        <w:rPr>
          <w:rFonts w:ascii="Times New Roman" w:hAnsi="Times New Roman" w:cs="Times New Roman"/>
          <w:color w:val="000000" w:themeColor="text1"/>
          <w:spacing w:val="0"/>
          <w:sz w:val="16"/>
          <w:szCs w:val="16"/>
        </w:rPr>
        <w:t>.Самолет № 4222 вылетел с Ковровского аэродрома на аэродром Иваново для выполнения боевого задания 14/Х-41 г.</w:t>
      </w:r>
    </w:p>
    <w:p w14:paraId="64F2E4F9" w14:textId="77777777" w:rsidR="00E10F86" w:rsidRPr="00640820" w:rsidRDefault="00E10F86" w:rsidP="00640820">
      <w:pPr>
        <w:pStyle w:val="350"/>
        <w:shd w:val="clear" w:color="auto" w:fill="auto"/>
        <w:spacing w:line="240" w:lineRule="auto"/>
        <w:jc w:val="both"/>
        <w:rPr>
          <w:rFonts w:ascii="Times New Roman" w:hAnsi="Times New Roman" w:cs="Times New Roman"/>
          <w:color w:val="000000" w:themeColor="text1"/>
          <w:spacing w:val="0"/>
          <w:sz w:val="16"/>
          <w:szCs w:val="16"/>
        </w:rPr>
      </w:pPr>
      <w:r w:rsidRPr="00640820">
        <w:rPr>
          <w:rFonts w:ascii="Times New Roman" w:hAnsi="Times New Roman" w:cs="Times New Roman"/>
          <w:color w:val="000000" w:themeColor="text1"/>
          <w:spacing w:val="0"/>
          <w:sz w:val="16"/>
          <w:szCs w:val="16"/>
        </w:rPr>
        <w:t>СОСТАВ ЭКИПАЖА:</w:t>
      </w:r>
    </w:p>
    <w:p w14:paraId="55471EE4" w14:textId="77777777" w:rsidR="00E10F86" w:rsidRPr="00640820" w:rsidRDefault="00E10F86" w:rsidP="00640820">
      <w:pPr>
        <w:pStyle w:val="350"/>
        <w:numPr>
          <w:ilvl w:val="1"/>
          <w:numId w:val="24"/>
        </w:numPr>
        <w:shd w:val="clear" w:color="auto" w:fill="auto"/>
        <w:tabs>
          <w:tab w:val="left" w:pos="228"/>
        </w:tabs>
        <w:autoSpaceDE/>
        <w:autoSpaceDN/>
        <w:adjustRightInd/>
        <w:spacing w:line="240" w:lineRule="auto"/>
        <w:jc w:val="both"/>
        <w:rPr>
          <w:rFonts w:ascii="Times New Roman" w:hAnsi="Times New Roman" w:cs="Times New Roman"/>
          <w:color w:val="000000" w:themeColor="text1"/>
          <w:spacing w:val="0"/>
          <w:sz w:val="16"/>
          <w:szCs w:val="16"/>
        </w:rPr>
      </w:pPr>
      <w:r w:rsidRPr="00640820">
        <w:rPr>
          <w:rFonts w:ascii="Times New Roman" w:hAnsi="Times New Roman" w:cs="Times New Roman"/>
          <w:color w:val="000000" w:themeColor="text1"/>
          <w:spacing w:val="0"/>
          <w:sz w:val="16"/>
          <w:szCs w:val="16"/>
        </w:rPr>
        <w:t>Командир корабля - майор ФЕДОРЕНКО Евгений Осипович,</w:t>
      </w:r>
    </w:p>
    <w:p w14:paraId="2478E307" w14:textId="77777777" w:rsidR="00E10F86" w:rsidRPr="00640820" w:rsidRDefault="00E10F86" w:rsidP="00640820">
      <w:pPr>
        <w:pStyle w:val="350"/>
        <w:numPr>
          <w:ilvl w:val="1"/>
          <w:numId w:val="24"/>
        </w:numPr>
        <w:shd w:val="clear" w:color="auto" w:fill="auto"/>
        <w:tabs>
          <w:tab w:val="left" w:pos="228"/>
        </w:tabs>
        <w:autoSpaceDE/>
        <w:autoSpaceDN/>
        <w:adjustRightInd/>
        <w:spacing w:line="240" w:lineRule="auto"/>
        <w:jc w:val="both"/>
        <w:rPr>
          <w:rFonts w:ascii="Times New Roman" w:hAnsi="Times New Roman" w:cs="Times New Roman"/>
          <w:color w:val="000000" w:themeColor="text1"/>
          <w:spacing w:val="0"/>
          <w:sz w:val="16"/>
          <w:szCs w:val="16"/>
        </w:rPr>
      </w:pPr>
      <w:r w:rsidRPr="00640820">
        <w:rPr>
          <w:rFonts w:ascii="Times New Roman" w:hAnsi="Times New Roman" w:cs="Times New Roman"/>
          <w:color w:val="000000" w:themeColor="text1"/>
          <w:spacing w:val="0"/>
          <w:sz w:val="16"/>
          <w:szCs w:val="16"/>
        </w:rPr>
        <w:t>Летчик - ст. лейтенант НАУМОВ.</w:t>
      </w:r>
    </w:p>
    <w:p w14:paraId="4CAA40FC" w14:textId="77777777" w:rsidR="00E10F86" w:rsidRPr="00640820" w:rsidRDefault="00E10F86" w:rsidP="00640820">
      <w:pPr>
        <w:pStyle w:val="350"/>
        <w:numPr>
          <w:ilvl w:val="1"/>
          <w:numId w:val="24"/>
        </w:numPr>
        <w:shd w:val="clear" w:color="auto" w:fill="auto"/>
        <w:tabs>
          <w:tab w:val="left" w:pos="238"/>
        </w:tabs>
        <w:autoSpaceDE/>
        <w:autoSpaceDN/>
        <w:adjustRightInd/>
        <w:spacing w:line="240" w:lineRule="auto"/>
        <w:jc w:val="both"/>
        <w:rPr>
          <w:rFonts w:ascii="Times New Roman" w:hAnsi="Times New Roman" w:cs="Times New Roman"/>
          <w:color w:val="000000" w:themeColor="text1"/>
          <w:spacing w:val="0"/>
          <w:sz w:val="16"/>
          <w:szCs w:val="16"/>
        </w:rPr>
      </w:pPr>
      <w:r w:rsidRPr="00640820">
        <w:rPr>
          <w:rFonts w:ascii="Times New Roman" w:hAnsi="Times New Roman" w:cs="Times New Roman"/>
          <w:color w:val="000000" w:themeColor="text1"/>
          <w:spacing w:val="0"/>
          <w:sz w:val="16"/>
          <w:szCs w:val="16"/>
        </w:rPr>
        <w:t>Штурман корабля ст. лейтенант СОЛОВЬЕВ.</w:t>
      </w:r>
    </w:p>
    <w:p w14:paraId="3A8BDB4A" w14:textId="77777777" w:rsidR="00E10F86" w:rsidRPr="00640820" w:rsidRDefault="00E10F86" w:rsidP="00640820">
      <w:pPr>
        <w:pStyle w:val="350"/>
        <w:numPr>
          <w:ilvl w:val="1"/>
          <w:numId w:val="24"/>
        </w:numPr>
        <w:shd w:val="clear" w:color="auto" w:fill="auto"/>
        <w:tabs>
          <w:tab w:val="left" w:pos="238"/>
        </w:tabs>
        <w:autoSpaceDE/>
        <w:autoSpaceDN/>
        <w:adjustRightInd/>
        <w:spacing w:line="240" w:lineRule="auto"/>
        <w:jc w:val="both"/>
        <w:rPr>
          <w:rFonts w:ascii="Times New Roman" w:hAnsi="Times New Roman" w:cs="Times New Roman"/>
          <w:color w:val="000000" w:themeColor="text1"/>
          <w:spacing w:val="0"/>
          <w:sz w:val="16"/>
          <w:szCs w:val="16"/>
        </w:rPr>
      </w:pPr>
      <w:r w:rsidRPr="00640820">
        <w:rPr>
          <w:rFonts w:ascii="Times New Roman" w:hAnsi="Times New Roman" w:cs="Times New Roman"/>
          <w:color w:val="000000" w:themeColor="text1"/>
          <w:spacing w:val="0"/>
          <w:sz w:val="16"/>
          <w:szCs w:val="16"/>
        </w:rPr>
        <w:t xml:space="preserve">Ст/б/техн.в/тех.1 ранга </w:t>
      </w:r>
      <w:r w:rsidRPr="00640820">
        <w:rPr>
          <w:rFonts w:ascii="Times New Roman" w:hAnsi="Times New Roman" w:cs="Times New Roman"/>
          <w:color w:val="000000" w:themeColor="text1"/>
          <w:spacing w:val="0"/>
          <w:sz w:val="16"/>
          <w:szCs w:val="16"/>
          <w:lang w:val="en-US"/>
        </w:rPr>
        <w:t>KP</w:t>
      </w:r>
      <w:r w:rsidRPr="00640820">
        <w:rPr>
          <w:rFonts w:ascii="Times New Roman" w:hAnsi="Times New Roman" w:cs="Times New Roman"/>
          <w:color w:val="000000" w:themeColor="text1"/>
          <w:spacing w:val="0"/>
          <w:sz w:val="16"/>
          <w:szCs w:val="16"/>
        </w:rPr>
        <w:t>0</w:t>
      </w:r>
      <w:r w:rsidRPr="00640820">
        <w:rPr>
          <w:rFonts w:ascii="Times New Roman" w:hAnsi="Times New Roman" w:cs="Times New Roman"/>
          <w:color w:val="000000" w:themeColor="text1"/>
          <w:spacing w:val="0"/>
          <w:sz w:val="16"/>
          <w:szCs w:val="16"/>
          <w:lang w:val="en-US"/>
        </w:rPr>
        <w:t>KC</w:t>
      </w:r>
      <w:r w:rsidRPr="00640820">
        <w:rPr>
          <w:rFonts w:ascii="Times New Roman" w:hAnsi="Times New Roman" w:cs="Times New Roman"/>
          <w:color w:val="000000" w:themeColor="text1"/>
          <w:spacing w:val="0"/>
          <w:sz w:val="16"/>
          <w:szCs w:val="16"/>
        </w:rPr>
        <w:t>,</w:t>
      </w:r>
    </w:p>
    <w:p w14:paraId="22687443" w14:textId="77777777" w:rsidR="00E10F86" w:rsidRPr="00640820" w:rsidRDefault="00E10F86" w:rsidP="00640820">
      <w:pPr>
        <w:pStyle w:val="350"/>
        <w:numPr>
          <w:ilvl w:val="1"/>
          <w:numId w:val="24"/>
        </w:numPr>
        <w:shd w:val="clear" w:color="auto" w:fill="auto"/>
        <w:tabs>
          <w:tab w:val="left" w:pos="238"/>
        </w:tabs>
        <w:autoSpaceDE/>
        <w:autoSpaceDN/>
        <w:adjustRightInd/>
        <w:spacing w:line="240" w:lineRule="auto"/>
        <w:jc w:val="both"/>
        <w:rPr>
          <w:rFonts w:ascii="Times New Roman" w:hAnsi="Times New Roman" w:cs="Times New Roman"/>
          <w:color w:val="000000" w:themeColor="text1"/>
          <w:spacing w:val="0"/>
          <w:sz w:val="16"/>
          <w:szCs w:val="16"/>
        </w:rPr>
      </w:pPr>
      <w:r w:rsidRPr="00640820">
        <w:rPr>
          <w:rFonts w:ascii="Times New Roman" w:hAnsi="Times New Roman" w:cs="Times New Roman"/>
          <w:color w:val="000000" w:themeColor="text1"/>
          <w:spacing w:val="0"/>
          <w:sz w:val="16"/>
          <w:szCs w:val="16"/>
        </w:rPr>
        <w:t>Механ. бортовой мл.в/техник КУЩ.</w:t>
      </w:r>
    </w:p>
    <w:p w14:paraId="1C40E1AB" w14:textId="77777777" w:rsidR="00E10F86" w:rsidRPr="00640820" w:rsidRDefault="00E10F86" w:rsidP="00640820">
      <w:pPr>
        <w:pStyle w:val="350"/>
        <w:numPr>
          <w:ilvl w:val="1"/>
          <w:numId w:val="24"/>
        </w:numPr>
        <w:shd w:val="clear" w:color="auto" w:fill="auto"/>
        <w:tabs>
          <w:tab w:val="left" w:pos="238"/>
        </w:tabs>
        <w:autoSpaceDE/>
        <w:autoSpaceDN/>
        <w:adjustRightInd/>
        <w:spacing w:line="240" w:lineRule="auto"/>
        <w:jc w:val="both"/>
        <w:rPr>
          <w:rFonts w:ascii="Times New Roman" w:hAnsi="Times New Roman" w:cs="Times New Roman"/>
          <w:color w:val="000000" w:themeColor="text1"/>
          <w:spacing w:val="0"/>
          <w:sz w:val="16"/>
          <w:szCs w:val="16"/>
        </w:rPr>
      </w:pPr>
      <w:r w:rsidRPr="00640820">
        <w:rPr>
          <w:rFonts w:ascii="Times New Roman" w:hAnsi="Times New Roman" w:cs="Times New Roman"/>
          <w:color w:val="000000" w:themeColor="text1"/>
          <w:spacing w:val="0"/>
          <w:sz w:val="16"/>
          <w:szCs w:val="16"/>
        </w:rPr>
        <w:t>Стрелок-радист мл.сержант С0ВЕТКИН.</w:t>
      </w:r>
    </w:p>
    <w:p w14:paraId="001E20DC" w14:textId="77777777" w:rsidR="00E10F86" w:rsidRPr="00640820" w:rsidRDefault="00E10F86" w:rsidP="00640820">
      <w:pPr>
        <w:pStyle w:val="350"/>
        <w:numPr>
          <w:ilvl w:val="1"/>
          <w:numId w:val="24"/>
        </w:numPr>
        <w:shd w:val="clear" w:color="auto" w:fill="auto"/>
        <w:tabs>
          <w:tab w:val="left" w:pos="220"/>
        </w:tabs>
        <w:autoSpaceDE/>
        <w:autoSpaceDN/>
        <w:adjustRightInd/>
        <w:spacing w:line="240" w:lineRule="auto"/>
        <w:jc w:val="both"/>
        <w:rPr>
          <w:rFonts w:ascii="Times New Roman" w:hAnsi="Times New Roman" w:cs="Times New Roman"/>
          <w:color w:val="000000" w:themeColor="text1"/>
          <w:spacing w:val="0"/>
          <w:sz w:val="16"/>
          <w:szCs w:val="16"/>
        </w:rPr>
      </w:pPr>
      <w:r w:rsidRPr="00640820">
        <w:rPr>
          <w:rFonts w:ascii="Times New Roman" w:hAnsi="Times New Roman" w:cs="Times New Roman"/>
          <w:color w:val="000000" w:themeColor="text1"/>
          <w:spacing w:val="0"/>
          <w:sz w:val="16"/>
          <w:szCs w:val="16"/>
        </w:rPr>
        <w:t>Воздушный стрелок мл.сержант К0НДЫБАЕВ.</w:t>
      </w:r>
    </w:p>
    <w:p w14:paraId="1EDF5331" w14:textId="77777777" w:rsidR="00E10F86" w:rsidRPr="00640820" w:rsidRDefault="00E10F86" w:rsidP="00640820">
      <w:pPr>
        <w:pStyle w:val="350"/>
        <w:shd w:val="clear" w:color="auto" w:fill="auto"/>
        <w:spacing w:line="240" w:lineRule="auto"/>
        <w:jc w:val="both"/>
        <w:rPr>
          <w:rFonts w:ascii="Times New Roman" w:hAnsi="Times New Roman" w:cs="Times New Roman"/>
          <w:color w:val="000000" w:themeColor="text1"/>
          <w:spacing w:val="0"/>
          <w:sz w:val="16"/>
          <w:szCs w:val="16"/>
        </w:rPr>
      </w:pPr>
      <w:r w:rsidRPr="00640820">
        <w:rPr>
          <w:rFonts w:ascii="Times New Roman" w:hAnsi="Times New Roman" w:cs="Times New Roman"/>
          <w:color w:val="000000" w:themeColor="text1"/>
          <w:spacing w:val="0"/>
          <w:sz w:val="16"/>
          <w:szCs w:val="16"/>
        </w:rPr>
        <w:t>8-». .». .». .». МИШИН.</w:t>
      </w:r>
    </w:p>
    <w:p w14:paraId="78874C46" w14:textId="77777777" w:rsidR="00E10F86" w:rsidRPr="00640820" w:rsidRDefault="00E10F86" w:rsidP="00640820">
      <w:pPr>
        <w:pStyle w:val="350"/>
        <w:numPr>
          <w:ilvl w:val="2"/>
          <w:numId w:val="24"/>
        </w:numPr>
        <w:shd w:val="clear" w:color="auto" w:fill="auto"/>
        <w:tabs>
          <w:tab w:val="left" w:pos="231"/>
        </w:tabs>
        <w:autoSpaceDE/>
        <w:autoSpaceDN/>
        <w:adjustRightInd/>
        <w:spacing w:line="240" w:lineRule="auto"/>
        <w:jc w:val="both"/>
        <w:rPr>
          <w:rFonts w:ascii="Times New Roman" w:hAnsi="Times New Roman" w:cs="Times New Roman"/>
          <w:color w:val="000000" w:themeColor="text1"/>
          <w:spacing w:val="0"/>
          <w:sz w:val="16"/>
          <w:szCs w:val="16"/>
        </w:rPr>
      </w:pPr>
      <w:r w:rsidRPr="00640820">
        <w:rPr>
          <w:rFonts w:ascii="Times New Roman" w:hAnsi="Times New Roman" w:cs="Times New Roman"/>
          <w:color w:val="000000" w:themeColor="text1"/>
          <w:spacing w:val="0"/>
          <w:sz w:val="16"/>
          <w:szCs w:val="16"/>
        </w:rPr>
        <w:t>_»_ _». .». -». М0Л0ДАН.</w:t>
      </w:r>
    </w:p>
    <w:p w14:paraId="798620F9" w14:textId="77777777" w:rsidR="00E10F86" w:rsidRPr="00640820" w:rsidRDefault="00E10F86" w:rsidP="00640820">
      <w:pPr>
        <w:pStyle w:val="350"/>
        <w:numPr>
          <w:ilvl w:val="2"/>
          <w:numId w:val="24"/>
        </w:numPr>
        <w:shd w:val="clear" w:color="auto" w:fill="auto"/>
        <w:tabs>
          <w:tab w:val="left" w:pos="296"/>
        </w:tabs>
        <w:autoSpaceDE/>
        <w:autoSpaceDN/>
        <w:adjustRightInd/>
        <w:spacing w:line="240" w:lineRule="auto"/>
        <w:jc w:val="both"/>
        <w:rPr>
          <w:rFonts w:ascii="Times New Roman" w:hAnsi="Times New Roman" w:cs="Times New Roman"/>
          <w:color w:val="000000" w:themeColor="text1"/>
          <w:spacing w:val="0"/>
          <w:sz w:val="16"/>
          <w:szCs w:val="16"/>
        </w:rPr>
      </w:pPr>
      <w:r w:rsidRPr="00640820">
        <w:rPr>
          <w:rFonts w:ascii="Times New Roman" w:hAnsi="Times New Roman" w:cs="Times New Roman"/>
          <w:color w:val="000000" w:themeColor="text1"/>
          <w:spacing w:val="0"/>
          <w:sz w:val="16"/>
          <w:szCs w:val="16"/>
        </w:rPr>
        <w:t>-»- .». .». .». ст.сержант МОРОЗ.</w:t>
      </w:r>
    </w:p>
    <w:p w14:paraId="29ABE0ED" w14:textId="77777777" w:rsidR="00E10F86" w:rsidRPr="00640820" w:rsidRDefault="00E10F86" w:rsidP="00640820">
      <w:pPr>
        <w:pStyle w:val="350"/>
        <w:numPr>
          <w:ilvl w:val="2"/>
          <w:numId w:val="24"/>
        </w:numPr>
        <w:shd w:val="clear" w:color="auto" w:fill="auto"/>
        <w:tabs>
          <w:tab w:val="left" w:pos="303"/>
        </w:tabs>
        <w:autoSpaceDE/>
        <w:autoSpaceDN/>
        <w:adjustRightInd/>
        <w:spacing w:line="240" w:lineRule="auto"/>
        <w:jc w:val="both"/>
        <w:rPr>
          <w:rFonts w:ascii="Times New Roman" w:hAnsi="Times New Roman" w:cs="Times New Roman"/>
          <w:color w:val="000000" w:themeColor="text1"/>
          <w:spacing w:val="0"/>
          <w:sz w:val="16"/>
          <w:szCs w:val="16"/>
        </w:rPr>
      </w:pPr>
      <w:r w:rsidRPr="00640820">
        <w:rPr>
          <w:rFonts w:ascii="Times New Roman" w:hAnsi="Times New Roman" w:cs="Times New Roman"/>
          <w:color w:val="000000" w:themeColor="text1"/>
          <w:spacing w:val="0"/>
          <w:sz w:val="16"/>
          <w:szCs w:val="16"/>
        </w:rPr>
        <w:t>Воздушный стрелок в/тех.2 ранга КАЗАК, /по должнооти авиатехник/.</w:t>
      </w:r>
    </w:p>
    <w:p w14:paraId="41E0B04D" w14:textId="77777777" w:rsidR="00E10F86" w:rsidRPr="00640820" w:rsidRDefault="00E10F86" w:rsidP="00640820">
      <w:pPr>
        <w:pStyle w:val="350"/>
        <w:numPr>
          <w:ilvl w:val="2"/>
          <w:numId w:val="24"/>
        </w:numPr>
        <w:shd w:val="clear" w:color="auto" w:fill="auto"/>
        <w:tabs>
          <w:tab w:val="left" w:pos="303"/>
        </w:tabs>
        <w:autoSpaceDE/>
        <w:autoSpaceDN/>
        <w:adjustRightInd/>
        <w:spacing w:line="240" w:lineRule="auto"/>
        <w:jc w:val="both"/>
        <w:rPr>
          <w:rFonts w:ascii="Times New Roman" w:hAnsi="Times New Roman" w:cs="Times New Roman"/>
          <w:color w:val="000000" w:themeColor="text1"/>
          <w:spacing w:val="0"/>
          <w:sz w:val="16"/>
          <w:szCs w:val="16"/>
        </w:rPr>
      </w:pPr>
      <w:r w:rsidRPr="00640820">
        <w:rPr>
          <w:rFonts w:ascii="Times New Roman" w:hAnsi="Times New Roman" w:cs="Times New Roman"/>
          <w:color w:val="000000" w:themeColor="text1"/>
          <w:spacing w:val="0"/>
          <w:sz w:val="16"/>
          <w:szCs w:val="16"/>
        </w:rPr>
        <w:t>Воздушный стрелок ст.сержант К0К0РИН.</w:t>
      </w:r>
    </w:p>
    <w:p w14:paraId="63D84965" w14:textId="77777777" w:rsidR="00E10F86" w:rsidRPr="00640820" w:rsidRDefault="00E10F86" w:rsidP="00640820">
      <w:pPr>
        <w:pStyle w:val="350"/>
        <w:shd w:val="clear" w:color="auto" w:fill="auto"/>
        <w:spacing w:line="240" w:lineRule="auto"/>
        <w:jc w:val="both"/>
        <w:rPr>
          <w:rFonts w:ascii="Times New Roman" w:hAnsi="Times New Roman" w:cs="Times New Roman"/>
          <w:color w:val="000000" w:themeColor="text1"/>
          <w:spacing w:val="0"/>
          <w:sz w:val="16"/>
          <w:szCs w:val="16"/>
        </w:rPr>
      </w:pPr>
      <w:r w:rsidRPr="00640820">
        <w:rPr>
          <w:rFonts w:ascii="Times New Roman" w:hAnsi="Times New Roman" w:cs="Times New Roman"/>
          <w:color w:val="000000" w:themeColor="text1"/>
          <w:spacing w:val="0"/>
          <w:sz w:val="16"/>
          <w:szCs w:val="16"/>
        </w:rPr>
        <w:t>В течение 14 и 15 октября вылеты на задание не производились, самолет осматривался экипажем и производилась проба моторов.</w:t>
      </w:r>
    </w:p>
    <w:p w14:paraId="7B849635" w14:textId="77777777" w:rsidR="00E10F86" w:rsidRPr="00640820" w:rsidRDefault="00E10F86" w:rsidP="00640820">
      <w:pPr>
        <w:pStyle w:val="350"/>
        <w:shd w:val="clear" w:color="auto" w:fill="auto"/>
        <w:spacing w:line="240" w:lineRule="auto"/>
        <w:jc w:val="both"/>
        <w:rPr>
          <w:rFonts w:ascii="Times New Roman" w:hAnsi="Times New Roman" w:cs="Times New Roman"/>
          <w:color w:val="000000" w:themeColor="text1"/>
          <w:spacing w:val="0"/>
          <w:sz w:val="16"/>
          <w:szCs w:val="16"/>
        </w:rPr>
      </w:pPr>
      <w:r w:rsidRPr="00640820">
        <w:rPr>
          <w:rFonts w:ascii="Times New Roman" w:hAnsi="Times New Roman" w:cs="Times New Roman"/>
          <w:color w:val="000000" w:themeColor="text1"/>
          <w:spacing w:val="0"/>
          <w:sz w:val="16"/>
          <w:szCs w:val="16"/>
        </w:rPr>
        <w:t>При пробе моторов 16/Х с.г. на 1-м моторе отказали свечи, забросало ма</w:t>
      </w:r>
      <w:r w:rsidRPr="00640820">
        <w:rPr>
          <w:rFonts w:ascii="Times New Roman" w:hAnsi="Times New Roman" w:cs="Times New Roman"/>
          <w:color w:val="000000" w:themeColor="text1"/>
          <w:spacing w:val="0"/>
          <w:sz w:val="16"/>
          <w:szCs w:val="16"/>
        </w:rPr>
        <w:softHyphen/>
        <w:t>слом при прогреве, последние были заменены и мотор стал работать нор</w:t>
      </w:r>
      <w:r w:rsidRPr="00640820">
        <w:rPr>
          <w:rFonts w:ascii="Times New Roman" w:hAnsi="Times New Roman" w:cs="Times New Roman"/>
          <w:color w:val="000000" w:themeColor="text1"/>
          <w:spacing w:val="0"/>
          <w:sz w:val="16"/>
          <w:szCs w:val="16"/>
        </w:rPr>
        <w:softHyphen/>
        <w:t>мально. Других дефектов на самолете не было.</w:t>
      </w:r>
    </w:p>
    <w:p w14:paraId="28836C63" w14:textId="77777777" w:rsidR="00E10F86" w:rsidRPr="00640820" w:rsidRDefault="00E10F86" w:rsidP="00640820">
      <w:pPr>
        <w:pStyle w:val="350"/>
        <w:shd w:val="clear" w:color="auto" w:fill="auto"/>
        <w:spacing w:line="240" w:lineRule="auto"/>
        <w:jc w:val="both"/>
        <w:rPr>
          <w:rFonts w:ascii="Times New Roman" w:hAnsi="Times New Roman" w:cs="Times New Roman"/>
          <w:color w:val="000000" w:themeColor="text1"/>
          <w:spacing w:val="0"/>
          <w:sz w:val="16"/>
          <w:szCs w:val="16"/>
        </w:rPr>
      </w:pPr>
      <w:r w:rsidRPr="00640820">
        <w:rPr>
          <w:rFonts w:ascii="Times New Roman" w:hAnsi="Times New Roman" w:cs="Times New Roman"/>
          <w:color w:val="000000" w:themeColor="text1"/>
          <w:spacing w:val="0"/>
          <w:sz w:val="16"/>
          <w:szCs w:val="16"/>
        </w:rPr>
        <w:t>Вылет на боевое задание с-та № 4222 производился в 19 час. 15 мин. 16/Х-41Г.</w:t>
      </w:r>
    </w:p>
    <w:p w14:paraId="54E1D2A1" w14:textId="77777777" w:rsidR="00E10F86" w:rsidRPr="00640820" w:rsidRDefault="00E10F86" w:rsidP="00640820">
      <w:pPr>
        <w:pStyle w:val="350"/>
        <w:shd w:val="clear" w:color="auto" w:fill="auto"/>
        <w:spacing w:line="240" w:lineRule="auto"/>
        <w:jc w:val="both"/>
        <w:rPr>
          <w:rFonts w:ascii="Times New Roman" w:hAnsi="Times New Roman" w:cs="Times New Roman"/>
          <w:color w:val="000000" w:themeColor="text1"/>
          <w:spacing w:val="0"/>
          <w:sz w:val="16"/>
          <w:szCs w:val="16"/>
        </w:rPr>
      </w:pPr>
      <w:r w:rsidRPr="00640820">
        <w:rPr>
          <w:rFonts w:ascii="Times New Roman" w:hAnsi="Times New Roman" w:cs="Times New Roman"/>
          <w:color w:val="000000" w:themeColor="text1"/>
          <w:spacing w:val="0"/>
          <w:sz w:val="16"/>
          <w:szCs w:val="16"/>
        </w:rPr>
        <w:t>Взлет самолета прошел нормально, самолет набрал высоту около 50 мт., стал уклоняться вправо с небольшим снижением и на расстоянии 4-5 клм. от аэро</w:t>
      </w:r>
      <w:r w:rsidRPr="00640820">
        <w:rPr>
          <w:rFonts w:ascii="Times New Roman" w:hAnsi="Times New Roman" w:cs="Times New Roman"/>
          <w:color w:val="000000" w:themeColor="text1"/>
          <w:spacing w:val="0"/>
          <w:sz w:val="16"/>
          <w:szCs w:val="16"/>
        </w:rPr>
        <w:softHyphen/>
        <w:t>дрома при соприкосновении с землей с работающими моторами произошел взрыв бензиновых баков и подвешенных бомб.</w:t>
      </w:r>
    </w:p>
    <w:p w14:paraId="765A3AF5" w14:textId="77777777" w:rsidR="00E10F86" w:rsidRPr="00640820" w:rsidRDefault="00E10F86" w:rsidP="00640820">
      <w:pPr>
        <w:pStyle w:val="350"/>
        <w:shd w:val="clear" w:color="auto" w:fill="auto"/>
        <w:spacing w:line="240" w:lineRule="auto"/>
        <w:jc w:val="both"/>
        <w:rPr>
          <w:rFonts w:ascii="Times New Roman" w:hAnsi="Times New Roman" w:cs="Times New Roman"/>
          <w:color w:val="000000" w:themeColor="text1"/>
          <w:spacing w:val="0"/>
          <w:sz w:val="16"/>
          <w:szCs w:val="16"/>
        </w:rPr>
      </w:pPr>
      <w:r w:rsidRPr="00640820">
        <w:rPr>
          <w:rFonts w:ascii="Times New Roman" w:hAnsi="Times New Roman" w:cs="Times New Roman"/>
          <w:color w:val="000000" w:themeColor="text1"/>
          <w:spacing w:val="0"/>
          <w:sz w:val="16"/>
          <w:szCs w:val="16"/>
        </w:rPr>
        <w:t>Взорвавшимися бомбами самолет полностью уничтожен, экипаж погиб за исключением стрелка хвостовой башни ст. сержанта КОКОРИНА. Послед</w:t>
      </w:r>
      <w:r w:rsidRPr="00640820">
        <w:rPr>
          <w:rFonts w:ascii="Times New Roman" w:hAnsi="Times New Roman" w:cs="Times New Roman"/>
          <w:color w:val="000000" w:themeColor="text1"/>
          <w:spacing w:val="0"/>
          <w:sz w:val="16"/>
          <w:szCs w:val="16"/>
        </w:rPr>
        <w:softHyphen/>
        <w:t>ний, после удара о землю самолета успел отбежать на 30 метров и получил лишь небольшое ранение.</w:t>
      </w:r>
    </w:p>
    <w:p w14:paraId="7E94CC5A" w14:textId="77777777" w:rsidR="00E10F86" w:rsidRPr="00640820" w:rsidRDefault="00E10F86" w:rsidP="00640820">
      <w:pPr>
        <w:pStyle w:val="350"/>
        <w:shd w:val="clear" w:color="auto" w:fill="auto"/>
        <w:spacing w:line="240" w:lineRule="auto"/>
        <w:jc w:val="both"/>
        <w:rPr>
          <w:rFonts w:ascii="Times New Roman" w:hAnsi="Times New Roman" w:cs="Times New Roman"/>
          <w:color w:val="000000" w:themeColor="text1"/>
          <w:spacing w:val="0"/>
          <w:sz w:val="16"/>
          <w:szCs w:val="16"/>
        </w:rPr>
      </w:pPr>
      <w:r w:rsidRPr="00640820">
        <w:rPr>
          <w:rFonts w:ascii="Times New Roman" w:hAnsi="Times New Roman" w:cs="Times New Roman"/>
          <w:color w:val="000000" w:themeColor="text1"/>
          <w:spacing w:val="0"/>
          <w:sz w:val="16"/>
          <w:szCs w:val="16"/>
        </w:rPr>
        <w:t>По свидетельству наблюдавшими взлет летного состава и руководителей полетов, моторы работали весь период взлета до удара о землю нормально. Стрелок ст. сержант КОКОРИН также подтверждает это.</w:t>
      </w:r>
    </w:p>
    <w:p w14:paraId="2D708292" w14:textId="77777777" w:rsidR="00E10F86" w:rsidRPr="00640820" w:rsidRDefault="00E10F86" w:rsidP="00640820">
      <w:pPr>
        <w:pStyle w:val="350"/>
        <w:shd w:val="clear" w:color="auto" w:fill="auto"/>
        <w:spacing w:line="240" w:lineRule="auto"/>
        <w:jc w:val="both"/>
        <w:rPr>
          <w:rFonts w:ascii="Times New Roman" w:hAnsi="Times New Roman" w:cs="Times New Roman"/>
          <w:color w:val="000000" w:themeColor="text1"/>
          <w:spacing w:val="0"/>
          <w:sz w:val="16"/>
          <w:szCs w:val="16"/>
        </w:rPr>
      </w:pPr>
      <w:r w:rsidRPr="00640820">
        <w:rPr>
          <w:rFonts w:ascii="Times New Roman" w:hAnsi="Times New Roman" w:cs="Times New Roman"/>
          <w:color w:val="000000" w:themeColor="text1"/>
          <w:spacing w:val="0"/>
          <w:sz w:val="16"/>
          <w:szCs w:val="16"/>
        </w:rPr>
        <w:t>Наблюдавшими с земли отмечено форсирование моторов в последний мо</w:t>
      </w:r>
      <w:r w:rsidRPr="00640820">
        <w:rPr>
          <w:rFonts w:ascii="Times New Roman" w:hAnsi="Times New Roman" w:cs="Times New Roman"/>
          <w:color w:val="000000" w:themeColor="text1"/>
          <w:spacing w:val="0"/>
          <w:sz w:val="16"/>
          <w:szCs w:val="16"/>
        </w:rPr>
        <w:softHyphen/>
        <w:t>мент снижения самолета.</w:t>
      </w:r>
    </w:p>
    <w:p w14:paraId="504DE7D7" w14:textId="77777777" w:rsidR="00E10F86" w:rsidRPr="00640820" w:rsidRDefault="00E10F86" w:rsidP="00640820">
      <w:pPr>
        <w:pStyle w:val="350"/>
        <w:shd w:val="clear" w:color="auto" w:fill="auto"/>
        <w:spacing w:line="240" w:lineRule="auto"/>
        <w:jc w:val="both"/>
        <w:rPr>
          <w:rFonts w:ascii="Times New Roman" w:hAnsi="Times New Roman" w:cs="Times New Roman"/>
          <w:color w:val="000000" w:themeColor="text1"/>
          <w:spacing w:val="0"/>
          <w:sz w:val="16"/>
          <w:szCs w:val="16"/>
        </w:rPr>
      </w:pPr>
      <w:r w:rsidRPr="00640820">
        <w:rPr>
          <w:rFonts w:ascii="Times New Roman" w:hAnsi="Times New Roman" w:cs="Times New Roman"/>
          <w:color w:val="000000" w:themeColor="text1"/>
          <w:spacing w:val="0"/>
          <w:sz w:val="16"/>
          <w:szCs w:val="16"/>
        </w:rPr>
        <w:t>По показанию ст. сержанта КОКОРИНА взлет произошел нормально, само</w:t>
      </w:r>
      <w:r w:rsidRPr="00640820">
        <w:rPr>
          <w:rFonts w:ascii="Times New Roman" w:hAnsi="Times New Roman" w:cs="Times New Roman"/>
          <w:color w:val="000000" w:themeColor="text1"/>
          <w:spacing w:val="0"/>
          <w:sz w:val="16"/>
          <w:szCs w:val="16"/>
        </w:rPr>
        <w:softHyphen/>
        <w:t>лет набрал примерно около 30 мт., но затем стал медленно снижаться и с ра</w:t>
      </w:r>
      <w:r w:rsidRPr="00640820">
        <w:rPr>
          <w:rFonts w:ascii="Times New Roman" w:hAnsi="Times New Roman" w:cs="Times New Roman"/>
          <w:color w:val="000000" w:themeColor="text1"/>
          <w:spacing w:val="0"/>
          <w:sz w:val="16"/>
          <w:szCs w:val="16"/>
        </w:rPr>
        <w:softHyphen/>
        <w:t>ботающими моторами врезался в лес.</w:t>
      </w:r>
    </w:p>
    <w:p w14:paraId="57C403E9" w14:textId="77777777" w:rsidR="00E10F86" w:rsidRPr="00640820" w:rsidRDefault="00E10F86" w:rsidP="00640820">
      <w:pPr>
        <w:pStyle w:val="350"/>
        <w:shd w:val="clear" w:color="auto" w:fill="auto"/>
        <w:spacing w:line="240" w:lineRule="auto"/>
        <w:jc w:val="both"/>
        <w:rPr>
          <w:rFonts w:ascii="Times New Roman" w:hAnsi="Times New Roman" w:cs="Times New Roman"/>
          <w:color w:val="000000" w:themeColor="text1"/>
          <w:spacing w:val="0"/>
          <w:sz w:val="16"/>
          <w:szCs w:val="16"/>
        </w:rPr>
      </w:pPr>
      <w:r w:rsidRPr="00640820">
        <w:rPr>
          <w:rFonts w:ascii="Times New Roman" w:hAnsi="Times New Roman" w:cs="Times New Roman"/>
          <w:color w:val="000000" w:themeColor="text1"/>
          <w:spacing w:val="0"/>
          <w:sz w:val="16"/>
          <w:szCs w:val="16"/>
        </w:rPr>
        <w:t>Осмотром места катастрофы установлено, что самолет шел без крена на высоте 8-6 метров по горизонту.</w:t>
      </w:r>
    </w:p>
    <w:p w14:paraId="15D6F590" w14:textId="77777777" w:rsidR="00E10F86" w:rsidRPr="00640820" w:rsidRDefault="00E10F86" w:rsidP="00640820">
      <w:pPr>
        <w:pStyle w:val="350"/>
        <w:shd w:val="clear" w:color="auto" w:fill="auto"/>
        <w:spacing w:line="240" w:lineRule="auto"/>
        <w:jc w:val="both"/>
        <w:rPr>
          <w:rFonts w:ascii="Times New Roman" w:hAnsi="Times New Roman" w:cs="Times New Roman"/>
          <w:color w:val="000000" w:themeColor="text1"/>
          <w:spacing w:val="0"/>
          <w:sz w:val="16"/>
          <w:szCs w:val="16"/>
        </w:rPr>
      </w:pPr>
      <w:r w:rsidRPr="00640820">
        <w:rPr>
          <w:rFonts w:ascii="Times New Roman" w:hAnsi="Times New Roman" w:cs="Times New Roman"/>
          <w:color w:val="000000" w:themeColor="text1"/>
          <w:spacing w:val="0"/>
          <w:sz w:val="16"/>
          <w:szCs w:val="16"/>
        </w:rPr>
        <w:t>По высоте срубленных плоскостями деревьев видно, что после первого со</w:t>
      </w:r>
      <w:r w:rsidRPr="00640820">
        <w:rPr>
          <w:rFonts w:ascii="Times New Roman" w:hAnsi="Times New Roman" w:cs="Times New Roman"/>
          <w:color w:val="000000" w:themeColor="text1"/>
          <w:spacing w:val="0"/>
          <w:sz w:val="16"/>
          <w:szCs w:val="16"/>
        </w:rPr>
        <w:softHyphen/>
        <w:t>прикосновения с деревьями самолет стал набирать высоту,</w:t>
      </w:r>
    </w:p>
    <w:p w14:paraId="729748B6" w14:textId="77777777" w:rsidR="00E10F86" w:rsidRPr="00640820" w:rsidRDefault="00E10F86" w:rsidP="00640820">
      <w:pPr>
        <w:pStyle w:val="350"/>
        <w:shd w:val="clear" w:color="auto" w:fill="auto"/>
        <w:spacing w:line="240" w:lineRule="auto"/>
        <w:jc w:val="both"/>
        <w:rPr>
          <w:rFonts w:ascii="Times New Roman" w:hAnsi="Times New Roman" w:cs="Times New Roman"/>
          <w:color w:val="000000" w:themeColor="text1"/>
          <w:spacing w:val="0"/>
          <w:sz w:val="16"/>
          <w:szCs w:val="16"/>
        </w:rPr>
      </w:pPr>
      <w:r w:rsidRPr="00640820">
        <w:rPr>
          <w:rFonts w:ascii="Times New Roman" w:hAnsi="Times New Roman" w:cs="Times New Roman"/>
          <w:color w:val="000000" w:themeColor="text1"/>
          <w:spacing w:val="0"/>
          <w:sz w:val="16"/>
          <w:szCs w:val="16"/>
        </w:rPr>
        <w:t>В 150 метрах от места взрыва обнаружена борозда, по характеру которой видно, что она проделана сорвавшейся или сброшенной 500 кгр бомбой.</w:t>
      </w:r>
    </w:p>
    <w:p w14:paraId="30CD5F2F" w14:textId="77777777" w:rsidR="00E10F86" w:rsidRPr="00640820" w:rsidRDefault="00E10F86" w:rsidP="00640820">
      <w:pPr>
        <w:pStyle w:val="350"/>
        <w:shd w:val="clear" w:color="auto" w:fill="auto"/>
        <w:spacing w:line="240" w:lineRule="auto"/>
        <w:jc w:val="both"/>
        <w:rPr>
          <w:rFonts w:ascii="Times New Roman" w:hAnsi="Times New Roman" w:cs="Times New Roman"/>
          <w:color w:val="000000" w:themeColor="text1"/>
          <w:spacing w:val="0"/>
          <w:sz w:val="16"/>
          <w:szCs w:val="16"/>
        </w:rPr>
      </w:pPr>
      <w:r w:rsidRPr="00640820">
        <w:rPr>
          <w:rFonts w:ascii="Times New Roman" w:hAnsi="Times New Roman" w:cs="Times New Roman"/>
          <w:color w:val="000000" w:themeColor="text1"/>
          <w:spacing w:val="0"/>
          <w:sz w:val="16"/>
          <w:szCs w:val="16"/>
        </w:rPr>
        <w:t>На месте взрыва образовалась воронка глубинок около 5-ти метров, диаме</w:t>
      </w:r>
      <w:r w:rsidRPr="00640820">
        <w:rPr>
          <w:rFonts w:ascii="Times New Roman" w:hAnsi="Times New Roman" w:cs="Times New Roman"/>
          <w:color w:val="000000" w:themeColor="text1"/>
          <w:spacing w:val="0"/>
          <w:sz w:val="16"/>
          <w:szCs w:val="16"/>
        </w:rPr>
        <w:softHyphen/>
        <w:t>тром 8-10 метров. Не разорвавшихся бомб не обнаружено.</w:t>
      </w:r>
    </w:p>
    <w:p w14:paraId="51C96BA9" w14:textId="77777777" w:rsidR="00E10F86" w:rsidRPr="00640820" w:rsidRDefault="00E10F86" w:rsidP="00640820">
      <w:pPr>
        <w:pStyle w:val="350"/>
        <w:shd w:val="clear" w:color="auto" w:fill="auto"/>
        <w:spacing w:line="240" w:lineRule="auto"/>
        <w:jc w:val="both"/>
        <w:rPr>
          <w:rFonts w:ascii="Times New Roman" w:hAnsi="Times New Roman" w:cs="Times New Roman"/>
          <w:color w:val="000000" w:themeColor="text1"/>
          <w:spacing w:val="0"/>
          <w:sz w:val="16"/>
          <w:szCs w:val="16"/>
        </w:rPr>
      </w:pPr>
      <w:r w:rsidRPr="00640820">
        <w:rPr>
          <w:rFonts w:ascii="Times New Roman" w:hAnsi="Times New Roman" w:cs="Times New Roman"/>
          <w:color w:val="000000" w:themeColor="text1"/>
          <w:spacing w:val="0"/>
          <w:sz w:val="16"/>
          <w:szCs w:val="16"/>
        </w:rPr>
        <w:t>Самолет взрывом полностью уничтожен.</w:t>
      </w:r>
    </w:p>
    <w:p w14:paraId="37340737" w14:textId="77777777" w:rsidR="00E10F86" w:rsidRPr="00640820" w:rsidRDefault="00E10F86" w:rsidP="00640820">
      <w:pPr>
        <w:pStyle w:val="350"/>
        <w:shd w:val="clear" w:color="auto" w:fill="auto"/>
        <w:spacing w:line="240" w:lineRule="auto"/>
        <w:jc w:val="both"/>
        <w:rPr>
          <w:rFonts w:ascii="Times New Roman" w:hAnsi="Times New Roman" w:cs="Times New Roman"/>
          <w:color w:val="000000" w:themeColor="text1"/>
          <w:spacing w:val="0"/>
          <w:sz w:val="16"/>
          <w:szCs w:val="16"/>
        </w:rPr>
      </w:pPr>
      <w:r w:rsidRPr="00640820">
        <w:rPr>
          <w:rFonts w:ascii="Times New Roman" w:hAnsi="Times New Roman" w:cs="Times New Roman"/>
          <w:color w:val="000000" w:themeColor="text1"/>
          <w:spacing w:val="0"/>
          <w:sz w:val="16"/>
          <w:szCs w:val="16"/>
        </w:rPr>
        <w:t>Вывод:</w:t>
      </w:r>
    </w:p>
    <w:p w14:paraId="62059422" w14:textId="77777777" w:rsidR="00E10F86" w:rsidRPr="00640820" w:rsidRDefault="00E10F86" w:rsidP="00640820">
      <w:pPr>
        <w:pStyle w:val="350"/>
        <w:shd w:val="clear" w:color="auto" w:fill="auto"/>
        <w:spacing w:line="240" w:lineRule="auto"/>
        <w:jc w:val="both"/>
        <w:rPr>
          <w:rFonts w:ascii="Times New Roman" w:hAnsi="Times New Roman" w:cs="Times New Roman"/>
          <w:color w:val="000000" w:themeColor="text1"/>
          <w:spacing w:val="0"/>
          <w:sz w:val="16"/>
          <w:szCs w:val="16"/>
        </w:rPr>
      </w:pPr>
      <w:r w:rsidRPr="00640820">
        <w:rPr>
          <w:rFonts w:ascii="Times New Roman" w:hAnsi="Times New Roman" w:cs="Times New Roman"/>
          <w:color w:val="000000" w:themeColor="text1"/>
          <w:spacing w:val="0"/>
          <w:sz w:val="16"/>
          <w:szCs w:val="16"/>
        </w:rPr>
        <w:t>Комиссия считает, что причиной катастрофы могло послужить преждевре</w:t>
      </w:r>
      <w:r w:rsidRPr="00640820">
        <w:rPr>
          <w:rFonts w:ascii="Times New Roman" w:hAnsi="Times New Roman" w:cs="Times New Roman"/>
          <w:color w:val="000000" w:themeColor="text1"/>
          <w:spacing w:val="0"/>
          <w:sz w:val="16"/>
          <w:szCs w:val="16"/>
        </w:rPr>
        <w:softHyphen/>
        <w:t>менное закрытие щитков /закрылков/, которые летчик ФЕДОРЕНКО выпускал на 10-15°</w:t>
      </w:r>
    </w:p>
    <w:p w14:paraId="0B10BD50" w14:textId="77777777" w:rsidR="00E10F86" w:rsidRPr="00640820" w:rsidRDefault="00E10F86" w:rsidP="00640820">
      <w:pPr>
        <w:pStyle w:val="350"/>
        <w:shd w:val="clear" w:color="auto" w:fill="auto"/>
        <w:spacing w:line="240" w:lineRule="auto"/>
        <w:jc w:val="both"/>
        <w:rPr>
          <w:rFonts w:ascii="Times New Roman" w:hAnsi="Times New Roman" w:cs="Times New Roman"/>
          <w:color w:val="000000" w:themeColor="text1"/>
          <w:spacing w:val="0"/>
          <w:sz w:val="16"/>
          <w:szCs w:val="16"/>
        </w:rPr>
      </w:pPr>
      <w:r w:rsidRPr="00640820">
        <w:rPr>
          <w:rFonts w:ascii="Times New Roman" w:hAnsi="Times New Roman" w:cs="Times New Roman"/>
          <w:color w:val="000000" w:themeColor="text1"/>
          <w:spacing w:val="0"/>
          <w:sz w:val="16"/>
          <w:szCs w:val="16"/>
        </w:rPr>
        <w:t>Закрытие щитков на небольшой высоте вызвало потерю высоты до земли и привело к катастрофе.</w:t>
      </w:r>
    </w:p>
    <w:p w14:paraId="1C3B5B30" w14:textId="77777777" w:rsidR="00E10F86" w:rsidRPr="00640820" w:rsidRDefault="00E10F86" w:rsidP="00640820">
      <w:pPr>
        <w:pStyle w:val="350"/>
        <w:shd w:val="clear" w:color="auto" w:fill="auto"/>
        <w:tabs>
          <w:tab w:val="left" w:leader="underscore" w:pos="3597"/>
        </w:tabs>
        <w:spacing w:line="240" w:lineRule="auto"/>
        <w:jc w:val="both"/>
        <w:rPr>
          <w:rFonts w:ascii="Times New Roman" w:hAnsi="Times New Roman" w:cs="Times New Roman"/>
          <w:color w:val="000000" w:themeColor="text1"/>
          <w:spacing w:val="0"/>
          <w:sz w:val="16"/>
          <w:szCs w:val="16"/>
        </w:rPr>
      </w:pPr>
      <w:r w:rsidRPr="00640820">
        <w:rPr>
          <w:rFonts w:ascii="Times New Roman" w:hAnsi="Times New Roman" w:cs="Times New Roman"/>
          <w:color w:val="000000" w:themeColor="text1"/>
          <w:spacing w:val="0"/>
          <w:sz w:val="16"/>
          <w:szCs w:val="16"/>
        </w:rPr>
        <w:t>ПРЕДСЕДАТЕЛЬ КОМИССИИ ПОЛКОВНИК</w:t>
      </w:r>
      <w:r w:rsidRPr="00640820">
        <w:rPr>
          <w:rFonts w:ascii="Times New Roman" w:hAnsi="Times New Roman" w:cs="Times New Roman"/>
          <w:color w:val="000000" w:themeColor="text1"/>
          <w:spacing w:val="0"/>
          <w:sz w:val="16"/>
          <w:szCs w:val="16"/>
        </w:rPr>
        <w:tab/>
        <w:t>/ЛЕБЕДЕВ/.</w:t>
      </w:r>
    </w:p>
    <w:p w14:paraId="2C2611F6" w14:textId="77777777" w:rsidR="00E10F86" w:rsidRPr="00640820" w:rsidRDefault="00E10F86" w:rsidP="00640820">
      <w:pPr>
        <w:pStyle w:val="350"/>
        <w:shd w:val="clear" w:color="auto" w:fill="auto"/>
        <w:tabs>
          <w:tab w:val="left" w:leader="underscore" w:pos="3612"/>
        </w:tabs>
        <w:spacing w:line="240" w:lineRule="auto"/>
        <w:jc w:val="both"/>
        <w:rPr>
          <w:rFonts w:ascii="Times New Roman" w:hAnsi="Times New Roman" w:cs="Times New Roman"/>
          <w:color w:val="000000" w:themeColor="text1"/>
          <w:spacing w:val="0"/>
          <w:sz w:val="16"/>
          <w:szCs w:val="16"/>
        </w:rPr>
      </w:pPr>
      <w:r w:rsidRPr="00640820">
        <w:rPr>
          <w:rFonts w:ascii="Times New Roman" w:hAnsi="Times New Roman" w:cs="Times New Roman"/>
          <w:color w:val="000000" w:themeColor="text1"/>
          <w:spacing w:val="0"/>
          <w:sz w:val="16"/>
          <w:szCs w:val="16"/>
        </w:rPr>
        <w:t>ЧЛЕНЫ: В/ИНЖЕНЕРЗ ранга:</w:t>
      </w:r>
      <w:r w:rsidRPr="00640820">
        <w:rPr>
          <w:rFonts w:ascii="Times New Roman" w:hAnsi="Times New Roman" w:cs="Times New Roman"/>
          <w:color w:val="000000" w:themeColor="text1"/>
          <w:spacing w:val="0"/>
          <w:sz w:val="16"/>
          <w:szCs w:val="16"/>
        </w:rPr>
        <w:tab/>
        <w:t>/ПАНЮШКИН/.</w:t>
      </w:r>
    </w:p>
    <w:p w14:paraId="4B8BD5D2" w14:textId="77777777" w:rsidR="00E10F86" w:rsidRPr="00640820" w:rsidRDefault="00E10F86" w:rsidP="00640820">
      <w:pPr>
        <w:pStyle w:val="350"/>
        <w:shd w:val="clear" w:color="auto" w:fill="auto"/>
        <w:tabs>
          <w:tab w:val="left" w:pos="3615"/>
          <w:tab w:val="left" w:leader="underscore" w:pos="5077"/>
        </w:tabs>
        <w:spacing w:line="240" w:lineRule="auto"/>
        <w:jc w:val="both"/>
        <w:rPr>
          <w:rFonts w:ascii="Times New Roman" w:hAnsi="Times New Roman" w:cs="Times New Roman"/>
          <w:color w:val="000000" w:themeColor="text1"/>
          <w:spacing w:val="0"/>
          <w:sz w:val="16"/>
          <w:szCs w:val="16"/>
        </w:rPr>
      </w:pPr>
      <w:r w:rsidRPr="00640820">
        <w:rPr>
          <w:rFonts w:ascii="Times New Roman" w:hAnsi="Times New Roman" w:cs="Times New Roman"/>
          <w:color w:val="000000" w:themeColor="text1"/>
          <w:spacing w:val="0"/>
          <w:sz w:val="16"/>
          <w:szCs w:val="16"/>
        </w:rPr>
        <w:t>ЧЛЕНЫ: В/ИНЖЕНЕРЗ ранга:</w:t>
      </w:r>
      <w:r w:rsidRPr="00640820">
        <w:rPr>
          <w:rFonts w:ascii="Times New Roman" w:hAnsi="Times New Roman" w:cs="Times New Roman"/>
          <w:color w:val="000000" w:themeColor="text1"/>
          <w:spacing w:val="0"/>
          <w:sz w:val="16"/>
          <w:szCs w:val="16"/>
        </w:rPr>
        <w:tab/>
        <w:t>/АНУРОВ/.</w:t>
      </w:r>
      <w:r w:rsidRPr="00640820">
        <w:rPr>
          <w:rFonts w:ascii="Times New Roman" w:hAnsi="Times New Roman" w:cs="Times New Roman"/>
          <w:color w:val="000000" w:themeColor="text1"/>
          <w:spacing w:val="0"/>
          <w:sz w:val="16"/>
          <w:szCs w:val="16"/>
        </w:rPr>
        <w:tab/>
      </w:r>
    </w:p>
    <w:p w14:paraId="4E96AFC1" w14:textId="77777777" w:rsidR="00E10F86" w:rsidRPr="00640820" w:rsidRDefault="00E10F86" w:rsidP="00640820">
      <w:pPr>
        <w:pStyle w:val="11b"/>
        <w:shd w:val="clear" w:color="auto" w:fill="auto"/>
        <w:spacing w:after="0" w:line="240" w:lineRule="auto"/>
        <w:jc w:val="both"/>
        <w:rPr>
          <w:rFonts w:ascii="Times New Roman" w:hAnsi="Times New Roman" w:cs="Times New Roman"/>
          <w:color w:val="000000" w:themeColor="text1"/>
          <w:sz w:val="16"/>
          <w:szCs w:val="16"/>
        </w:rPr>
      </w:pPr>
    </w:p>
    <w:p w14:paraId="05E170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концу октября 1941 немцы потеряли 1527 истребителя, а произвести смогли 1079 (1841,27).</w:t>
      </w:r>
    </w:p>
    <w:p w14:paraId="34A4F1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6D96A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концу октября 1941, когда немцам удалось ворваться в Крым, два ТБ-3 числились Звена СПБ в небоевых потерях, а из летчиков СПБ уцелели только трое. Ведь истребители Шубикова, помимо работы в сцепках, делали еще по пять-шесть вылетов, как обычные истребители (8636).</w:t>
      </w:r>
    </w:p>
    <w:p w14:paraId="4DC8F8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1E043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концу октября 1941 немецкое наступление против ЗФ был остановлено. В ходе оборонительных операций за 20 суток было выполнено 10200 вылетов. Повышению активности способствовало перебазирование авиации на хорошие аэродромы МВО (341,71).</w:t>
      </w:r>
    </w:p>
    <w:p w14:paraId="03948F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552A8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10-14 октября 1941 войска БФ, сдерживая наступление в районе Мценска, отходили и к концу октября отошли на рубеж Тула, Ефремов, Ливны, Тим. За 20 суток в интересах войск было выполнено 3750 вылетов, из которых 50% на непосредственную поддержку (341,71).</w:t>
      </w:r>
    </w:p>
    <w:p w14:paraId="7F19DF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E9772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октября 1941 г. в Геленджик перебазировалась 82-я эскадрилья на самолетах МБР-2 под командованием капитана Чебаника , позднее - 116-й полк МБР-2 подполковника В.П.Конорева.</w:t>
      </w:r>
    </w:p>
    <w:p w14:paraId="331230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сухопутном аэродроме, устроенном на виноградном поле, базировались истребители и штурмовики: 18-й шап, 62-й иап, 6-й гиап, 25-й иап. До конца 1942 г. в Геленджике базировалась небольшая группа ночных бомбардировщиков УТ-1 (до 5 экземпляров) из состава 46-го авиаполка. Уже в начале 1943 г. оставшиеся УТ-1 перегнали в Сухуми и сдали на хранение. Летчики, летавшие на них, вошли в состав 11-го гвардейского иап, в котором переучились на "Аэрокобры".</w:t>
      </w:r>
    </w:p>
    <w:p w14:paraId="5BEB42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Сюда же, в Геленджик, перевели тяжелый МТБ-2, для которого с помощью местных жителей построили индивидуальный капонир. Из него самолет выводили сразу на старт. Полеты обычно не отличались большой дальностью и продолжительностью, целями при бомбардировках были Ялта, Гурзуф, Алушта. Уже при совершении боевых вылетов из Геленджика МТБ-2 был сильно поврежден зенитным огнем и совершил посадку в море в районе фальшивого Геленджика (фальшивый Геленджик - это место с ложными аэродромами в 9 км от Геленджика. Теперь - Дивноморск). Аварийный самолет катером отбуксировали в бухту. После того как водолазы смонтировали выкатное шасси, МТБ-2 начали поднимать по спуску на берег. Так как внутрь лодки попало много воды, то имелись опасения, что корпус может разорвать, поэтому подъем длился несколько часов (11962).</w:t>
      </w:r>
    </w:p>
    <w:p w14:paraId="6B62D2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933A7C9" w14:textId="77777777" w:rsidR="00126005" w:rsidRPr="00640820" w:rsidRDefault="0012600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До конца октября 1941 г. просуществовала эскадрилья Шубикова, сделав около 30 самолёто-вылетов. С помощью составных пикирующих бомбардировщиков были разрушены переправы через Днепр в районе Каховки и Запорожья. Два вылета были сделаны без бомб, для прикрытия с воздуха советских боевых кораблей. За всё время не был сбит ни один самолёт-носитель, а из восьми И-16 в боях погибло только два. Кроме полётов в «звеньях», И-16 всё чаще действовали поодиночке, как обычные истребители. Осенью немецкие войска вторглись в Крым. 22 октября в воздушном бою под Перекопом погиб А.В. Шубиков, и история эскадрильи СПБ подошла к концу.</w:t>
      </w:r>
    </w:p>
    <w:p w14:paraId="5DB8B7F0" w14:textId="77777777" w:rsidR="00126005" w:rsidRPr="00640820" w:rsidRDefault="0012600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В.С. Вахмистров с 1942 г. работал заместителем главного конструктора в ОКБ Н.Н. Поликарпова, занимался десантно-транспортными планерами. Но он не утратил интереса к составным летательным аппаратам. Об этом свидетельствует его проект «летающей бомбы» (1944 г.). В корпусе планера монтировались две 1000-кг бомбы. </w:t>
      </w:r>
      <w:r w:rsidRPr="00640820">
        <w:rPr>
          <w:rFonts w:ascii="Times New Roman" w:eastAsia="Times New Roman" w:hAnsi="Times New Roman"/>
          <w:color w:val="000000" w:themeColor="text1"/>
          <w:sz w:val="16"/>
          <w:szCs w:val="16"/>
          <w:lang w:eastAsia="ru-RU"/>
        </w:rPr>
        <w:lastRenderedPageBreak/>
        <w:t xml:space="preserve">Снизу имелось шасси в виде двух сбрасываемых тележек. На планер устанавливался истребитель, который вёл его к цели, получая при этом бензин из баков в крыле планера. В расчётной точке лётчик отсоединял замки крепления «летающей бомбы», и она пикировала на цель. «Данный проект является развитием осуществленной мной в различных вариантах идеи составного самолёта и „самолёта-звена“… В предполагаемом проекте целиком используется отработанная часть — установка истребителя и питание горючим», — писал изобретатель </w:t>
      </w:r>
      <w:hyperlink r:id="rId47" w:history="1">
        <w:r w:rsidRPr="00640820">
          <w:rPr>
            <w:rFonts w:ascii="Times New Roman" w:eastAsia="Times New Roman" w:hAnsi="Times New Roman"/>
            <w:color w:val="000000" w:themeColor="text1"/>
            <w:sz w:val="16"/>
            <w:szCs w:val="16"/>
            <w:lang w:eastAsia="ru-RU"/>
          </w:rPr>
          <w:t>[110]</w:t>
        </w:r>
      </w:hyperlink>
      <w:r w:rsidRPr="00640820">
        <w:rPr>
          <w:rFonts w:ascii="Times New Roman" w:eastAsia="Times New Roman" w:hAnsi="Times New Roman"/>
          <w:color w:val="000000" w:themeColor="text1"/>
          <w:sz w:val="16"/>
          <w:szCs w:val="16"/>
          <w:lang w:eastAsia="ru-RU"/>
        </w:rPr>
        <w:t xml:space="preserve"> (17489).</w:t>
      </w:r>
    </w:p>
    <w:p w14:paraId="12755DF0" w14:textId="77777777" w:rsidR="00126005" w:rsidRPr="00640820" w:rsidRDefault="00126005" w:rsidP="00640820">
      <w:pPr>
        <w:spacing w:after="0" w:line="240" w:lineRule="auto"/>
        <w:jc w:val="both"/>
        <w:rPr>
          <w:rFonts w:ascii="Times New Roman" w:eastAsia="Times New Roman" w:hAnsi="Times New Roman"/>
          <w:color w:val="000000" w:themeColor="text1"/>
          <w:sz w:val="16"/>
          <w:szCs w:val="16"/>
          <w:lang w:eastAsia="ru-RU"/>
        </w:rPr>
      </w:pPr>
    </w:p>
    <w:p w14:paraId="3BA17B4E"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3D04453D"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7E110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октября 1941 в Сталинграде все больше ощущалось приближение войны. В город прибывали все новые поезда с ранеными, эвакуированным населением и демонтированными заводами. Люди рассказывали об ужасах отступления, страшных бомбежках, гибели целых эшелонов. На переправах через Дон в районе станицы Нижнечирской и Калача скопились огромные пробки из автомашин, конных подвод, скота и пеших беженцев. На мостах стали возникать жуткие давки с человеческими жертвами. В связи с этим Сталинградский горкомитет обороны принял постановление «Об обеспечении порядка на переправах через Дон», согласно которому начальники гарнизонов указанных городов должны были назначить комендантов переправ и сформировать специальные роты солдат для предотвращения паники и давки. Чуянов приказал также выделить средства ПВО для защиты переправ, но не подумал, где и откуда их можно было взять в эти кризисные дни. Для обороны самого областного центра едва удалось наскрести три десятка зениток. В местной авиашколе сформировали импровизированный отряд, вооружив его учебными истребителями УТИ-4 и И-16.  В это же время были отмечены несколько фактов заброски немецких шпионов на территорию Сталинградской области. Выброска групп осуществлялась по ночам, при этом для приземления выбирались малонаселенные сельские районы. Группы, обычно состоявшие из трех-четырех человек, снабжались оружием с запасом боеприпасов, взрывчаткой, рациями, всевозможными фиктивными документами и чистыми бланками на все случаи жизни, а также большими суммами денег и даже бриллиантами для подкупа и вербовки антисоветски настроенных граждан. При этом часть агентов просто растворялась на просторах Советского Союза, благо, имея деньги, можно было легко устроиться на жительство и, нигде не работая, спокойно пережидать войну. В случае же встречи с милиционерами всегда был шанс откупиться за взятку. Тем не менее многие шпионы все же добросовестно выполняли порученные Абвером задания. Проникая на территорию крупного промышленного центра, они первым делом искали подходящее жилье, обычно в частном секторе, затем вербовали себе сторонников и приступали к сбору разведданных. Обычно немецких агентов интересовали крупные военные предприятия, электростанции и передвижения транспорта. При этом они знали, что в городе одновременно действуют и другие шпионы, имевшие схожие задания. Особенно кипучая деятельность начиналась с объявлением воздушной тревоги. Вооружившись ракетницами, абверовцы искали подходящее безлюдное место и пускали ракеты, обозначая районы для бомбометания (11774).</w:t>
      </w:r>
    </w:p>
    <w:p w14:paraId="403742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302F220"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430F89D8"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62803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конца октября 1941 г. с 23 июня «Амторг» выплатил в США за осуществленные и предстоящие поставки наличными 92 миллиона долларов. В эту сумму входила и оплата 130 354 длинных тонн нефтепродуктов (1 длинная т = 1016,047 кг). Для сравнения стоимости товарооборота можно отметить, что в 1929–1930 гг. 1700 американских компаний продали через «Амторг» продукции на сумму в 94,5 млн долл. Работой «Амторга» с 1939 г. руководил Константин Игнатьевич Лукашев (1906—1987 гг.) (11549).</w:t>
      </w:r>
    </w:p>
    <w:p w14:paraId="081F06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94981B8"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0402372E"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40B90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конца октября 1941 г. влияние мощной группировки во главе с генералом Хидэки Тодзио, считавшей необходимым немедленно нанести удар по позициям США и Британии на Тихом океане, стало в Токио преобладающим (3871).</w:t>
      </w:r>
    </w:p>
    <w:p w14:paraId="2AA76F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46501E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второй половине октября - ноябре 1941 в соответствии с приказом № 261 Главмотовелопрома НКСМ от 7 октяб</w:t>
      </w:r>
      <w:r w:rsidRPr="00640820">
        <w:rPr>
          <w:rFonts w:ascii="Times New Roman" w:hAnsi="Times New Roman"/>
          <w:color w:val="000000" w:themeColor="text1"/>
          <w:sz w:val="16"/>
          <w:szCs w:val="16"/>
        </w:rPr>
        <w:softHyphen/>
        <w:t>ря 1941 г., провели повторный испытательный мотопробег М-72 в более сложных условиях на расстояние более 5 тыс. км. Пробег должен был проверить усовершенствования М-72, предложенные специалистами ВКБМ ММЗ. Предполагали серийный М-72 с чугунным картером двигателя и ИЖ-12 сравнить с тремя иномарками: Рояль-Энфильд (350 см</w:t>
      </w:r>
      <w:r w:rsidRPr="00640820">
        <w:rPr>
          <w:rFonts w:ascii="Times New Roman" w:hAnsi="Times New Roman"/>
          <w:color w:val="000000" w:themeColor="text1"/>
          <w:sz w:val="16"/>
          <w:szCs w:val="16"/>
          <w:vertAlign w:val="superscript"/>
        </w:rPr>
        <w:t>3</w:t>
      </w:r>
      <w:r w:rsidRPr="00640820">
        <w:rPr>
          <w:rFonts w:ascii="Times New Roman" w:hAnsi="Times New Roman"/>
          <w:color w:val="000000" w:themeColor="text1"/>
          <w:sz w:val="16"/>
          <w:szCs w:val="16"/>
        </w:rPr>
        <w:t>), Мото-Гуцци и Три</w:t>
      </w:r>
      <w:r w:rsidRPr="00640820">
        <w:rPr>
          <w:rFonts w:ascii="Times New Roman" w:hAnsi="Times New Roman"/>
          <w:color w:val="000000" w:themeColor="text1"/>
          <w:sz w:val="16"/>
          <w:szCs w:val="16"/>
        </w:rPr>
        <w:softHyphen/>
        <w:t>умф - (по 500 см</w:t>
      </w:r>
      <w:r w:rsidRPr="00640820">
        <w:rPr>
          <w:rFonts w:ascii="Times New Roman" w:hAnsi="Times New Roman"/>
          <w:color w:val="000000" w:themeColor="text1"/>
          <w:sz w:val="16"/>
          <w:szCs w:val="16"/>
          <w:vertAlign w:val="superscript"/>
        </w:rPr>
        <w:t>3</w:t>
      </w:r>
      <w:r w:rsidRPr="00640820">
        <w:rPr>
          <w:rFonts w:ascii="Times New Roman" w:hAnsi="Times New Roman"/>
          <w:color w:val="000000" w:themeColor="text1"/>
          <w:sz w:val="16"/>
          <w:szCs w:val="16"/>
        </w:rPr>
        <w:t xml:space="preserve"> с колясками [5.13]). Двигались в сложнейших погодных условиях под дождём и снегом, в грязи рас</w:t>
      </w:r>
      <w:r w:rsidRPr="00640820">
        <w:rPr>
          <w:rFonts w:ascii="Times New Roman" w:hAnsi="Times New Roman"/>
          <w:color w:val="000000" w:themeColor="text1"/>
          <w:sz w:val="16"/>
          <w:szCs w:val="16"/>
        </w:rPr>
        <w:softHyphen/>
        <w:t>кисших грунтовых дорог, что характерно для осени. Зато выявили недостатки, позволившие улучшить конструкцию М-72 и усовер</w:t>
      </w:r>
      <w:r w:rsidRPr="00640820">
        <w:rPr>
          <w:rFonts w:ascii="Times New Roman" w:hAnsi="Times New Roman"/>
          <w:color w:val="000000" w:themeColor="text1"/>
          <w:sz w:val="16"/>
          <w:szCs w:val="16"/>
        </w:rPr>
        <w:softHyphen/>
        <w:t>шенствовать технологию производства (11429).</w:t>
      </w:r>
    </w:p>
    <w:p w14:paraId="6208136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DE2220" w14:textId="77777777" w:rsidR="004369F7" w:rsidRPr="00640820" w:rsidRDefault="004369F7"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66D0042F" w14:textId="77777777" w:rsidR="004369F7" w:rsidRPr="00640820" w:rsidRDefault="004369F7"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53D61E7" w14:textId="77777777" w:rsidR="004369F7" w:rsidRPr="00640820" w:rsidRDefault="004369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Во второй половине октября 1941 экипаж танка А-20 в составе отдельной танковой роты участвует в боевых действиях в районе восточнее Можайска, где к 26 – 27 октября 1941 г. было остановлено наступление противника на рубеже западнее и юго-западнее Кубинки. </w:t>
      </w:r>
    </w:p>
    <w:p w14:paraId="2EE1CB29" w14:textId="77777777" w:rsidR="004369F7" w:rsidRPr="00640820" w:rsidRDefault="004369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После двухнедельной передышки, 15 ноября 1941 г., пополнив свои силы, немецко-фашистские войска начали новое наступление на Москву. И снова танк А-20 участвует в боевых действиях на ближних подступах к Москве. Но уже не в составе отдельной танковой роты, а в составе 22-го танкового полка (ТП) 22-й танковой бригады (ТБр), в которую он из роты Семенова был передан во второй половине дня 28 ноября 1941 г., после того как бригада была выведена в резерв командующего 5-й армии на пополнение и доукомплектование. </w:t>
      </w:r>
    </w:p>
    <w:p w14:paraId="273BC17B" w14:textId="77777777" w:rsidR="004369F7" w:rsidRPr="00640820" w:rsidRDefault="004369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 21 часу 28 ноября 1941 г. танк А-20 вместе с еще четырьмя танками Т-34, двумя танками Т-30 и танком Т-50 находился в лесу в 1 км южнее Павловской Слободы (30 км на западе от Москвы). </w:t>
      </w:r>
    </w:p>
    <w:p w14:paraId="3A7A6081" w14:textId="77777777" w:rsidR="004369F7" w:rsidRPr="00640820" w:rsidRDefault="004369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Весь день 29 ноября 1941 г. экипаж танка А-20, как и основная часть личного состава подразделений 22-й ТБр, занимался техническим обслуживанием машины и чисткой личного оружия. </w:t>
      </w:r>
    </w:p>
    <w:p w14:paraId="03D50005" w14:textId="77777777" w:rsidR="004369F7" w:rsidRPr="00640820" w:rsidRDefault="004369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Чтобы не допустить противника в район Павловской Слободы, 29 ноября 1941 г. на базе 22-й ТБр была создана подвижная группа под командованием подполковника И.П. Ермакова – командира 22-й ТБр. В состав группы также вошли остатки 36-го мотоциклетного полка (МЦП), 18-й ТБр и 2-го стрелкового батальона 601-го мотострелкового полка (МСП). </w:t>
      </w:r>
    </w:p>
    <w:p w14:paraId="1D6E7A6A" w14:textId="77777777" w:rsidR="004369F7" w:rsidRPr="00640820" w:rsidRDefault="004369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9 часов 30 ноября 1941 г. начальник штаба 22-й ТБр майор Н.П. Константинов в боевом донесении № 13, отправленном начальнику автобронетанкового отдела 5-й армии полковнику Д.И. Заеву, в частности, сообщил: </w:t>
      </w:r>
    </w:p>
    <w:p w14:paraId="325AE9A2" w14:textId="77777777" w:rsidR="004369F7" w:rsidRPr="00640820" w:rsidRDefault="004369F7"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«1. Части подвижной группы в составе: 22 ТП с приданными танками 18 ТП, 18 МСПБ, 36 МЦП, 2/601 МСП, 22 разведрота, 18 разведрота, 22 зен. див. – сформированы и сосредоточены в р-не Покровское, Юрьево, Павловская Слобода. </w:t>
      </w:r>
    </w:p>
    <w:p w14:paraId="64C1BD5F" w14:textId="77777777" w:rsidR="004369F7" w:rsidRPr="00640820" w:rsidRDefault="004369F7"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&lt;...&gt;</w:t>
      </w:r>
    </w:p>
    <w:p w14:paraId="778AD753" w14:textId="77777777" w:rsidR="004369F7" w:rsidRPr="00640820" w:rsidRDefault="004369F7"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 Части держатся в готовности действовать в направлениях: </w:t>
      </w:r>
    </w:p>
    <w:p w14:paraId="247387FC" w14:textId="77777777" w:rsidR="004369F7" w:rsidRPr="00640820" w:rsidRDefault="004369F7"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1) Рождествено – Снегири, </w:t>
      </w:r>
    </w:p>
    <w:p w14:paraId="7F3499B2" w14:textId="77777777" w:rsidR="004369F7" w:rsidRPr="00640820" w:rsidRDefault="004369F7"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2) Рождествено – Крюково, </w:t>
      </w:r>
    </w:p>
    <w:p w14:paraId="1FF948FD" w14:textId="77777777" w:rsidR="004369F7" w:rsidRPr="00640820" w:rsidRDefault="004369F7"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3) Покровское – Борки. </w:t>
      </w:r>
    </w:p>
    <w:p w14:paraId="3971C72F" w14:textId="77777777" w:rsidR="004369F7" w:rsidRPr="00640820" w:rsidRDefault="004369F7"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4) Покровское – Козьмино </w:t>
      </w:r>
    </w:p>
    <w:p w14:paraId="5CF33588" w14:textId="77777777" w:rsidR="004369F7" w:rsidRPr="00640820" w:rsidRDefault="004369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10. Ведется разведка в вероятных направлениях действия бригады».</w:t>
      </w:r>
      <w:r w:rsidRPr="00640820">
        <w:rPr>
          <w:rFonts w:ascii="Times New Roman" w:hAnsi="Times New Roman"/>
          <w:color w:val="000000" w:themeColor="text1"/>
          <w:sz w:val="16"/>
          <w:szCs w:val="16"/>
        </w:rPr>
        <w:t xml:space="preserve"> </w:t>
      </w:r>
    </w:p>
    <w:p w14:paraId="79598BFA" w14:textId="77777777" w:rsidR="004369F7" w:rsidRPr="00640820" w:rsidRDefault="004369F7" w:rsidP="00640820">
      <w:pPr>
        <w:pStyle w:val="ae"/>
        <w:spacing w:before="0" w:after="0"/>
        <w:jc w:val="both"/>
        <w:rPr>
          <w:color w:val="000000" w:themeColor="text1"/>
          <w:sz w:val="16"/>
          <w:szCs w:val="16"/>
        </w:rPr>
      </w:pPr>
      <w:r w:rsidRPr="00640820">
        <w:rPr>
          <w:bCs/>
          <w:color w:val="000000" w:themeColor="text1"/>
          <w:sz w:val="16"/>
          <w:szCs w:val="16"/>
        </w:rPr>
        <w:t xml:space="preserve">[ЦАМО. Ф. 326. Оп. 5068. Д. 4. Л. 262] </w:t>
      </w:r>
    </w:p>
    <w:p w14:paraId="7B5BF366" w14:textId="77777777" w:rsidR="004369F7" w:rsidRPr="00640820" w:rsidRDefault="009E4004" w:rsidP="00640820">
      <w:pPr>
        <w:spacing w:after="0" w:line="240" w:lineRule="auto"/>
        <w:jc w:val="both"/>
        <w:rPr>
          <w:rFonts w:ascii="Times New Roman" w:hAnsi="Times New Roman"/>
          <w:color w:val="000000" w:themeColor="text1"/>
          <w:sz w:val="16"/>
          <w:szCs w:val="16"/>
        </w:rPr>
      </w:pPr>
      <w:hyperlink r:id="rId48" w:tgtFrame="_blank" w:history="1"/>
      <w:r w:rsidR="004369F7" w:rsidRPr="00640820">
        <w:rPr>
          <w:rFonts w:ascii="Times New Roman" w:hAnsi="Times New Roman"/>
          <w:color w:val="000000" w:themeColor="text1"/>
          <w:sz w:val="16"/>
          <w:szCs w:val="16"/>
        </w:rPr>
        <w:t xml:space="preserve">К 16 часам 30 ноября 1941 г. 22-й ТП был пополнен двумя танками Т-34, четырьмя танками Т-60, двумя танками Т-26 и бронеавтомобилем. Все танки полка, включая и танк А-20, к исходу дня были дозаправлены ГСМ и пополнены до норм боеприпасами. </w:t>
      </w:r>
    </w:p>
    <w:p w14:paraId="11957A62" w14:textId="77777777" w:rsidR="004369F7" w:rsidRPr="00640820" w:rsidRDefault="004369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утра 1 декабря 1941 г. немцы на флангах обороны 108-й стрелковой дивизии 5-й армии начали наступление и, прорвав оборону Красной Армии, к вечеру заняли: Борисково, Борки, Славково, Писково, Воронино, Абушково. Подвижной группе, в составе которой находился и танк А-20, было приказано восстановить положение. Ночная атака, проведенная частями подвижной группы, увенчалась успехом. Были заняты: Покровское, Воронино, Абушково. </w:t>
      </w:r>
    </w:p>
    <w:p w14:paraId="2E84AB7D" w14:textId="77777777" w:rsidR="004369F7" w:rsidRPr="00640820" w:rsidRDefault="004369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12 часов 2 декабря 1941 г. гитлеровцы силою до двух полков пехоты с танками атаковали: Покровское, Абушково, Юрьево и Козенки. В течении всей ночи шел упорный бой. Благодаря превосходству сил, ценой больших потерь немцам удалось занять эти населенные пункты. За сутки боевых действий в 22-й танковой бригаде безвозвратно были потеряны два танка Т-60 и танк Т-50 (все сгорели). Кроме этого, были подбиты танки Т-26 и Т-34. </w:t>
      </w:r>
    </w:p>
    <w:p w14:paraId="32B3A27E" w14:textId="77777777" w:rsidR="004369F7" w:rsidRPr="00640820" w:rsidRDefault="004369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 декабря 1941 г. танк А-20 в составе 22-й ТБр, приданной 108-й стрелковой дивизии, участвовал в наступлении в районе западнее Павловской Слободы. В течение дня боевых действий противнику удалось подбить три танка, одним из которых был танк А-20. </w:t>
      </w:r>
    </w:p>
    <w:p w14:paraId="306D8B93" w14:textId="77777777" w:rsidR="004369F7" w:rsidRPr="00640820" w:rsidRDefault="004369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докладной записке от 3 декабря 1941 г. своему непосредственному начальнику капитану М. Криволапову старший помощник начальника 1-го отделения автобронетанкового отдела 5-й армии капитан В.Е. Гальчин сообщил, что в подвижной группе подполковника И.П. Ермакова имелись </w:t>
      </w:r>
      <w:r w:rsidRPr="00640820">
        <w:rPr>
          <w:rFonts w:ascii="Times New Roman" w:hAnsi="Times New Roman"/>
          <w:iCs/>
          <w:color w:val="000000" w:themeColor="text1"/>
          <w:sz w:val="16"/>
          <w:szCs w:val="16"/>
        </w:rPr>
        <w:t>«на ходу: Т-34 – 7, КВ – 1, Т-26 – 2, Т-30 – 2, Т-60 – 5, БТ – 4, БА-10 – 1, ФАИ – 1, Т-50 – ремонт ?, А-20 – ремонт»</w:t>
      </w:r>
      <w:r w:rsidRPr="00640820">
        <w:rPr>
          <w:rFonts w:ascii="Times New Roman" w:hAnsi="Times New Roman"/>
          <w:color w:val="000000" w:themeColor="text1"/>
          <w:sz w:val="16"/>
          <w:szCs w:val="16"/>
        </w:rPr>
        <w:t xml:space="preserve">. </w:t>
      </w:r>
    </w:p>
    <w:p w14:paraId="75904B09" w14:textId="77777777" w:rsidR="004369F7" w:rsidRPr="00640820" w:rsidRDefault="004369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связи с тем, что полученные танком А-20 в бою повреждения устранить силами и средствами ремонтно-восстановительной роты 22-й танковой бригады не представлялось возможным, машина была эвакуирована и передана в 25-ю подвижную ремонтную базу (ПРБ) Западного фронта. В декабре 1941 г. 25-я ПРБ </w:t>
      </w:r>
      <w:r w:rsidRPr="00640820">
        <w:rPr>
          <w:rFonts w:ascii="Times New Roman" w:hAnsi="Times New Roman"/>
          <w:color w:val="000000" w:themeColor="text1"/>
          <w:sz w:val="16"/>
          <w:szCs w:val="16"/>
        </w:rPr>
        <w:lastRenderedPageBreak/>
        <w:t xml:space="preserve">дислоцировалась на территории завода «Красная труба» в подмосковном посёлке Фили. Из-за отсутствия дизеля В-2 ремонт танка А-20 был завершен только весной 1942 г. </w:t>
      </w:r>
    </w:p>
    <w:p w14:paraId="3B9B80CC" w14:textId="77777777" w:rsidR="004369F7" w:rsidRPr="00640820" w:rsidRDefault="004369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Вот что по этому поводу рассказал бывший в то время командиром отделения монтажных работ 25-й ПРБ сержант А.В. Лунев: </w:t>
      </w:r>
    </w:p>
    <w:p w14:paraId="57A8D492" w14:textId="77777777" w:rsidR="004369F7" w:rsidRPr="00640820" w:rsidRDefault="004369F7"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«В первые же дни войны на заводе № 183, где я работал, из числа добровольцев – рабочих и инженерно-технических работников – было укомплектовано несколько подвижных танкоремонтных баз (ПРБ). На них была возложена задача восстанавливать поврежденные машины в полевых условиях и оказывать помощь фронтовикам в освоении нового танка Т-34. </w:t>
      </w:r>
    </w:p>
    <w:p w14:paraId="02EFC34E" w14:textId="77777777" w:rsidR="004369F7" w:rsidRPr="00640820" w:rsidRDefault="004369F7"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&lt;...&gt;</w:t>
      </w:r>
    </w:p>
    <w:p w14:paraId="432427C8" w14:textId="77777777" w:rsidR="004369F7" w:rsidRPr="00640820" w:rsidRDefault="004369F7"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На изрядно разбитом, покрытом выгоревшим брезентом грузовике мы, семеро рабочих, носились по фронтовым дорогам, спешили туда, где так нужна была наша помощь. Вместе с войсками проделали тяжелый путь отступления от Смоленска к Москве. Когда наши солдаты насмерть стали на подступах к столице, мы обосновались в подмосковном посёлке Фили. Десятки отремонтированных машин были возвращены в строй, чтобы участвовать в исторической битве за Москву. </w:t>
      </w:r>
    </w:p>
    <w:p w14:paraId="5D16F016" w14:textId="77777777" w:rsidR="004369F7" w:rsidRPr="00640820" w:rsidRDefault="004369F7"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Как-то в числе повреждённых танков попал в наши руки опытный образец А-20. Встреча с ним была подобна встрече со старым другом. Вспомнились горячие дни работы над созданием этой машины, совместные с конструкторами бдения над её сборкой и доводкой. </w:t>
      </w:r>
    </w:p>
    <w:p w14:paraId="540550F6" w14:textId="77777777" w:rsidR="004369F7" w:rsidRPr="00640820" w:rsidRDefault="004369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А-20 был восстановлен. С болью в душе проводил я танк за пределы посёлка, мысленно пожелав удачи в боях с фашистами. Больше мы его не встречали».</w:t>
      </w:r>
      <w:r w:rsidRPr="00640820">
        <w:rPr>
          <w:rFonts w:ascii="Times New Roman" w:hAnsi="Times New Roman"/>
          <w:color w:val="000000" w:themeColor="text1"/>
          <w:sz w:val="16"/>
          <w:szCs w:val="16"/>
        </w:rPr>
        <w:t xml:space="preserve"> </w:t>
      </w:r>
    </w:p>
    <w:p w14:paraId="6AFFC674" w14:textId="77777777" w:rsidR="004369F7" w:rsidRPr="00640820" w:rsidRDefault="004369F7" w:rsidP="00640820">
      <w:pPr>
        <w:pStyle w:val="ae"/>
        <w:spacing w:before="0" w:after="0"/>
        <w:jc w:val="both"/>
        <w:rPr>
          <w:bCs/>
          <w:color w:val="000000" w:themeColor="text1"/>
          <w:sz w:val="16"/>
          <w:szCs w:val="16"/>
        </w:rPr>
      </w:pPr>
      <w:r w:rsidRPr="00640820">
        <w:rPr>
          <w:bCs/>
          <w:color w:val="000000" w:themeColor="text1"/>
          <w:sz w:val="16"/>
          <w:szCs w:val="16"/>
        </w:rPr>
        <w:t>[Т-34: путь к Победе: Воспоминания танкостроителей и танкистов. Сост.: К.М. Слободин, В.Д. Листровой,</w:t>
      </w:r>
    </w:p>
    <w:p w14:paraId="716D4F37" w14:textId="77777777" w:rsidR="004369F7" w:rsidRPr="00640820" w:rsidRDefault="004369F7" w:rsidP="00640820">
      <w:pPr>
        <w:pStyle w:val="ae"/>
        <w:spacing w:before="0" w:after="0"/>
        <w:jc w:val="both"/>
        <w:rPr>
          <w:color w:val="000000" w:themeColor="text1"/>
          <w:sz w:val="16"/>
          <w:szCs w:val="16"/>
        </w:rPr>
      </w:pPr>
      <w:r w:rsidRPr="00640820">
        <w:rPr>
          <w:bCs/>
          <w:color w:val="000000" w:themeColor="text1"/>
          <w:sz w:val="16"/>
          <w:szCs w:val="16"/>
        </w:rPr>
        <w:t>Издательство политической литературы Украины, 1989, С 194 – 195]</w:t>
      </w:r>
    </w:p>
    <w:p w14:paraId="0984F396" w14:textId="77777777" w:rsidR="004369F7" w:rsidRPr="00640820" w:rsidRDefault="004369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сожалению, и мы в архивных документах не нашли никаких сведений о дальнейшей судьбе этого танка (17625).</w:t>
      </w:r>
    </w:p>
    <w:p w14:paraId="4C8165AF" w14:textId="77777777" w:rsidR="004369F7" w:rsidRPr="00640820" w:rsidRDefault="004369F7" w:rsidP="00640820">
      <w:pPr>
        <w:spacing w:after="0" w:line="240" w:lineRule="auto"/>
        <w:jc w:val="both"/>
        <w:rPr>
          <w:rFonts w:ascii="Times New Roman" w:eastAsia="Times New Roman" w:hAnsi="Times New Roman"/>
          <w:color w:val="000000" w:themeColor="text1"/>
          <w:sz w:val="16"/>
          <w:szCs w:val="16"/>
          <w:lang w:eastAsia="ru-RU"/>
        </w:rPr>
      </w:pPr>
    </w:p>
    <w:p w14:paraId="1B26BA27"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37C019E6"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FAE5B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второй половине октября 1941 г. германская бомбардировочная авиация нанесла серию ударов по базам государственных материальных резервов, расположенным вокруг Москвы. Целью этой акции было в преддверии наступающей зимы лишить советские войска под Москвой и мирное население необходимых запасов и в первую очередь зерна для выпечки хлеба. Бомбежке подверглись элеваторы в Ярославской, Ивановской, Тульской и др. областях. В ходе налетов на станцию Александров, расположенную во Владимирской области, в 90 км к северо-востоку от столицы, был разрушен элеватор, а также чугунный мост через реку Шерна (11774).</w:t>
      </w:r>
    </w:p>
    <w:p w14:paraId="3EE8F5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A2E0DB0"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23CFD4F5"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0FAB24B" w14:textId="77777777" w:rsidR="00DF5A48" w:rsidRPr="00640820" w:rsidRDefault="00DF5A4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Начиная с октября 1941 года выпуск боевых самолётов стал стремительно падать В результате вынужденного прекращения их эксплуатации,. В ноябре удалось собрать всего 627 машин – или в 3,6 раза меньше, чем в сентябре. А в декабре авиазаводы дали фронту минимальное за всю войну количество самолётов – 600 (21417).</w:t>
      </w:r>
    </w:p>
    <w:p w14:paraId="1C96BB51" w14:textId="77777777" w:rsidR="00DF5A48" w:rsidRPr="00640820" w:rsidRDefault="00DF5A48" w:rsidP="00640820">
      <w:pPr>
        <w:spacing w:after="0" w:line="240" w:lineRule="auto"/>
        <w:jc w:val="both"/>
        <w:rPr>
          <w:rFonts w:ascii="Times New Roman" w:hAnsi="Times New Roman"/>
          <w:color w:val="0070C0"/>
          <w:sz w:val="16"/>
          <w:szCs w:val="16"/>
        </w:rPr>
      </w:pPr>
    </w:p>
    <w:p w14:paraId="772981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еще до эвакуации конструкторского бюро для решения задачи эксплуатации Ил-2 со снежных аэродромов в считанные дни было разработано убирающееся лыжное шасси (5,104).</w:t>
      </w:r>
    </w:p>
    <w:p w14:paraId="0E5775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C48C0D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начал обострять</w:t>
      </w:r>
      <w:r w:rsidRPr="00640820">
        <w:rPr>
          <w:rFonts w:ascii="Times New Roman" w:hAnsi="Times New Roman"/>
          <w:color w:val="000000" w:themeColor="text1"/>
          <w:sz w:val="16"/>
          <w:szCs w:val="16"/>
        </w:rPr>
        <w:softHyphen/>
        <w:t>ся кризис с поставками самолетов и моторов для ВВС Красной Армии. В этом месяце фронт получил всего 186 штур</w:t>
      </w:r>
      <w:r w:rsidRPr="00640820">
        <w:rPr>
          <w:rFonts w:ascii="Times New Roman" w:hAnsi="Times New Roman"/>
          <w:color w:val="000000" w:themeColor="text1"/>
          <w:sz w:val="16"/>
          <w:szCs w:val="16"/>
        </w:rPr>
        <w:softHyphen/>
        <w:t>мовиков, а в ноябре и того меньше -всего 59 машин (воронежский завод эвакуировался в Куйбышев, требова</w:t>
      </w:r>
      <w:r w:rsidRPr="00640820">
        <w:rPr>
          <w:rFonts w:ascii="Times New Roman" w:hAnsi="Times New Roman"/>
          <w:color w:val="000000" w:themeColor="text1"/>
          <w:sz w:val="16"/>
          <w:szCs w:val="16"/>
        </w:rPr>
        <w:softHyphen/>
        <w:t>лось время для восстановления произ</w:t>
      </w:r>
      <w:r w:rsidRPr="00640820">
        <w:rPr>
          <w:rFonts w:ascii="Times New Roman" w:hAnsi="Times New Roman"/>
          <w:color w:val="000000" w:themeColor="text1"/>
          <w:sz w:val="16"/>
          <w:szCs w:val="16"/>
        </w:rPr>
        <w:softHyphen/>
        <w:t>водства). Такова была цена эвакуации, и никакими силами расширить выпуск боевых самолетов не удавалось. Обострялся и моторный голод. За</w:t>
      </w:r>
      <w:r w:rsidRPr="00640820">
        <w:rPr>
          <w:rFonts w:ascii="Times New Roman" w:hAnsi="Times New Roman"/>
          <w:color w:val="000000" w:themeColor="text1"/>
          <w:sz w:val="16"/>
          <w:szCs w:val="16"/>
        </w:rPr>
        <w:softHyphen/>
        <w:t>вод № 24 находился частично «на ко</w:t>
      </w:r>
      <w:r w:rsidRPr="00640820">
        <w:rPr>
          <w:rFonts w:ascii="Times New Roman" w:hAnsi="Times New Roman"/>
          <w:color w:val="000000" w:themeColor="text1"/>
          <w:sz w:val="16"/>
          <w:szCs w:val="16"/>
        </w:rPr>
        <w:softHyphen/>
        <w:t>лесах», частично - только начинал обу</w:t>
      </w:r>
      <w:r w:rsidRPr="00640820">
        <w:rPr>
          <w:rFonts w:ascii="Times New Roman" w:hAnsi="Times New Roman"/>
          <w:color w:val="000000" w:themeColor="text1"/>
          <w:sz w:val="16"/>
          <w:szCs w:val="16"/>
        </w:rPr>
        <w:softHyphen/>
        <w:t>страиваться на новом месте. В этих условиях Комитет Обороны принял трудное, но единственно верное реше</w:t>
      </w:r>
      <w:r w:rsidRPr="00640820">
        <w:rPr>
          <w:rFonts w:ascii="Times New Roman" w:hAnsi="Times New Roman"/>
          <w:color w:val="000000" w:themeColor="text1"/>
          <w:sz w:val="16"/>
          <w:szCs w:val="16"/>
        </w:rPr>
        <w:softHyphen/>
        <w:t>ние: прекратить выпуск истребителей МиГ-3 и все усилия крупных авиаза</w:t>
      </w:r>
      <w:r w:rsidRPr="00640820">
        <w:rPr>
          <w:rFonts w:ascii="Times New Roman" w:hAnsi="Times New Roman"/>
          <w:color w:val="000000" w:themeColor="text1"/>
          <w:sz w:val="16"/>
          <w:szCs w:val="16"/>
        </w:rPr>
        <w:softHyphen/>
        <w:t>водов №1 и №18 сосредоточить на изготовлении штурмовиков. С завода №24 снималось задание по изготов</w:t>
      </w:r>
      <w:r w:rsidRPr="00640820">
        <w:rPr>
          <w:rFonts w:ascii="Times New Roman" w:hAnsi="Times New Roman"/>
          <w:color w:val="000000" w:themeColor="text1"/>
          <w:sz w:val="16"/>
          <w:szCs w:val="16"/>
        </w:rPr>
        <w:softHyphen/>
        <w:t>лению АМ-35А и предлагалось макси</w:t>
      </w:r>
      <w:r w:rsidRPr="00640820">
        <w:rPr>
          <w:rFonts w:ascii="Times New Roman" w:hAnsi="Times New Roman"/>
          <w:color w:val="000000" w:themeColor="text1"/>
          <w:sz w:val="16"/>
          <w:szCs w:val="16"/>
        </w:rPr>
        <w:softHyphen/>
        <w:t>мально форсировать серию АМ-38.</w:t>
      </w:r>
    </w:p>
    <w:p w14:paraId="1E1B9F2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пока заводы не «пришли в себя» после переезда, следовало максималь</w:t>
      </w:r>
      <w:r w:rsidRPr="00640820">
        <w:rPr>
          <w:rFonts w:ascii="Times New Roman" w:hAnsi="Times New Roman"/>
          <w:color w:val="000000" w:themeColor="text1"/>
          <w:sz w:val="16"/>
          <w:szCs w:val="16"/>
        </w:rPr>
        <w:softHyphen/>
        <w:t>ное внимание уделить восстановле</w:t>
      </w:r>
      <w:r w:rsidRPr="00640820">
        <w:rPr>
          <w:rFonts w:ascii="Times New Roman" w:hAnsi="Times New Roman"/>
          <w:color w:val="000000" w:themeColor="text1"/>
          <w:sz w:val="16"/>
          <w:szCs w:val="16"/>
        </w:rPr>
        <w:softHyphen/>
        <w:t>нию и ремонту уже выпущенных авиа</w:t>
      </w:r>
      <w:r w:rsidRPr="00640820">
        <w:rPr>
          <w:rFonts w:ascii="Times New Roman" w:hAnsi="Times New Roman"/>
          <w:color w:val="000000" w:themeColor="text1"/>
          <w:sz w:val="16"/>
          <w:szCs w:val="16"/>
        </w:rPr>
        <w:softHyphen/>
        <w:t>ционных двигателей. С этой целью на территории эвакуированного завода № 24 были развернуты фронтовые авиаремонтные мастерские ФАРМ-24. На момент окончания эвакуации пред</w:t>
      </w:r>
      <w:r w:rsidRPr="00640820">
        <w:rPr>
          <w:rFonts w:ascii="Times New Roman" w:hAnsi="Times New Roman"/>
          <w:color w:val="000000" w:themeColor="text1"/>
          <w:sz w:val="16"/>
          <w:szCs w:val="16"/>
        </w:rPr>
        <w:softHyphen/>
        <w:t>приятия в составе ФАРМа осталось все</w:t>
      </w:r>
      <w:r w:rsidRPr="00640820">
        <w:rPr>
          <w:rFonts w:ascii="Times New Roman" w:hAnsi="Times New Roman"/>
          <w:color w:val="000000" w:themeColor="text1"/>
          <w:sz w:val="16"/>
          <w:szCs w:val="16"/>
        </w:rPr>
        <w:softHyphen/>
        <w:t>го 600 кадровых рабочих и служащих. Первоначально ФАРМ ремонтировал только моторы семейства «АМ». Но вскоре в мастерские стали поступать и двигатели М-105, которые устанав</w:t>
      </w:r>
      <w:r w:rsidRPr="00640820">
        <w:rPr>
          <w:rFonts w:ascii="Times New Roman" w:hAnsi="Times New Roman"/>
          <w:color w:val="000000" w:themeColor="text1"/>
          <w:sz w:val="16"/>
          <w:szCs w:val="16"/>
        </w:rPr>
        <w:softHyphen/>
        <w:t>ливались на истребители Як-1, Як-7 и ЛаГГ-3. Вскоре мастерские получили задание ремонтировать однорядные «звезды» (М-25, М-62) с поврежден</w:t>
      </w:r>
      <w:r w:rsidRPr="00640820">
        <w:rPr>
          <w:rFonts w:ascii="Times New Roman" w:hAnsi="Times New Roman"/>
          <w:color w:val="000000" w:themeColor="text1"/>
          <w:sz w:val="16"/>
          <w:szCs w:val="16"/>
        </w:rPr>
        <w:softHyphen/>
        <w:t>ных самолетов И-16 и И-153, приво</w:t>
      </w:r>
      <w:r w:rsidRPr="00640820">
        <w:rPr>
          <w:rFonts w:ascii="Times New Roman" w:hAnsi="Times New Roman"/>
          <w:color w:val="000000" w:themeColor="text1"/>
          <w:sz w:val="16"/>
          <w:szCs w:val="16"/>
        </w:rPr>
        <w:softHyphen/>
        <w:t>зили также отдельные М-87 и М-88, снятые с дальних бомбардировщиков ДБ-3 и ДБ-ЗФ, а позднее - импортные двигатели «Аллисон» и «Мерлин» (11159).</w:t>
      </w:r>
    </w:p>
    <w:p w14:paraId="24B6405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D0006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года, начальник ЮГУ ВВС КА бригинженер Я.Л.Би</w:t>
      </w:r>
      <w:r w:rsidRPr="00640820">
        <w:rPr>
          <w:rFonts w:ascii="Times New Roman" w:hAnsi="Times New Roman"/>
          <w:color w:val="000000" w:themeColor="text1"/>
          <w:sz w:val="16"/>
          <w:szCs w:val="16"/>
        </w:rPr>
        <w:softHyphen/>
        <w:t>биков обращаясь к П.А.Воронину, просил: «...дать указание:</w:t>
      </w:r>
    </w:p>
    <w:p w14:paraId="0CAC80B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Главному конструктору завода №289 тов. Сухому передать заводу № 135 чертежи на ракетную установ</w:t>
      </w:r>
      <w:r w:rsidRPr="00640820">
        <w:rPr>
          <w:rFonts w:ascii="Times New Roman" w:hAnsi="Times New Roman"/>
          <w:color w:val="000000" w:themeColor="text1"/>
          <w:sz w:val="16"/>
          <w:szCs w:val="16"/>
        </w:rPr>
        <w:softHyphen/>
        <w:t>ку под РС-82 с внесенными в них из</w:t>
      </w:r>
      <w:r w:rsidRPr="00640820">
        <w:rPr>
          <w:rFonts w:ascii="Times New Roman" w:hAnsi="Times New Roman"/>
          <w:color w:val="000000" w:themeColor="text1"/>
          <w:sz w:val="16"/>
          <w:szCs w:val="16"/>
        </w:rPr>
        <w:softHyphen/>
        <w:t>менениями по результатам полигон</w:t>
      </w:r>
      <w:r w:rsidRPr="00640820">
        <w:rPr>
          <w:rFonts w:ascii="Times New Roman" w:hAnsi="Times New Roman"/>
          <w:color w:val="000000" w:themeColor="text1"/>
          <w:sz w:val="16"/>
          <w:szCs w:val="16"/>
        </w:rPr>
        <w:softHyphen/>
        <w:t>ных испытаний.</w:t>
      </w:r>
    </w:p>
    <w:p w14:paraId="50D25B0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Директору завода №135 тов. Кузину с 1 ноября с. г. ввести ракет</w:t>
      </w:r>
      <w:r w:rsidRPr="00640820">
        <w:rPr>
          <w:rFonts w:ascii="Times New Roman" w:hAnsi="Times New Roman"/>
          <w:color w:val="000000" w:themeColor="text1"/>
          <w:sz w:val="16"/>
          <w:szCs w:val="16"/>
        </w:rPr>
        <w:softHyphen/>
        <w:t>ную установку под РС-82 в серию и выпускать все самолеты Су-2 обору</w:t>
      </w:r>
      <w:r w:rsidRPr="00640820">
        <w:rPr>
          <w:rFonts w:ascii="Times New Roman" w:hAnsi="Times New Roman"/>
          <w:color w:val="000000" w:themeColor="text1"/>
          <w:sz w:val="16"/>
          <w:szCs w:val="16"/>
        </w:rPr>
        <w:softHyphen/>
        <w:t>дованные этими установками...» (11849).</w:t>
      </w:r>
    </w:p>
    <w:p w14:paraId="30FAC2A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0A79D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года недостро</w:t>
      </w:r>
      <w:r w:rsidRPr="00640820">
        <w:rPr>
          <w:rFonts w:ascii="Times New Roman" w:hAnsi="Times New Roman"/>
          <w:color w:val="000000" w:themeColor="text1"/>
          <w:sz w:val="16"/>
          <w:szCs w:val="16"/>
        </w:rPr>
        <w:softHyphen/>
        <w:t>енные самолеты Су-4 М-90 и Су-4 АМ-37 эвакуировали в г. Молотов (11849).</w:t>
      </w:r>
    </w:p>
    <w:p w14:paraId="6FF088D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BE7D3D" w14:textId="77777777" w:rsidR="00340A71" w:rsidRPr="00640820" w:rsidRDefault="00340A71" w:rsidP="00640820">
      <w:pPr>
        <w:pStyle w:val="a3"/>
        <w:rPr>
          <w:color w:val="000000" w:themeColor="text1"/>
          <w:lang w:val="ru-RU"/>
        </w:rPr>
      </w:pPr>
      <w:r w:rsidRPr="00640820">
        <w:rPr>
          <w:color w:val="000000" w:themeColor="text1"/>
          <w:lang w:val="ru-RU"/>
        </w:rPr>
        <w:t>В октябре 1941 г. недостроенные самолёты Су-4 М-90 и Су-4 АМ-37 эвакуировали в г. Молотов. По самолёту Су-4 АМ-37 работы в эвакуации не проводились, и в связи с прекращением серийного выпуска самолёта Су-2 перед Наркомом было возбуждено ходатайство о снятии этого задания с плана завода (15975).</w:t>
      </w:r>
    </w:p>
    <w:p w14:paraId="1BD784F9" w14:textId="77777777" w:rsidR="00340A71" w:rsidRPr="00640820" w:rsidRDefault="00340A71" w:rsidP="00640820">
      <w:pPr>
        <w:pStyle w:val="a3"/>
        <w:rPr>
          <w:color w:val="000000" w:themeColor="text1"/>
          <w:lang w:val="ru-RU"/>
        </w:rPr>
      </w:pPr>
    </w:p>
    <w:p w14:paraId="36150904" w14:textId="77777777" w:rsidR="00340A71" w:rsidRPr="00640820" w:rsidRDefault="00340A71" w:rsidP="00640820">
      <w:pPr>
        <w:pStyle w:val="a3"/>
        <w:rPr>
          <w:color w:val="000000" w:themeColor="text1"/>
          <w:lang w:val="ru-RU"/>
        </w:rPr>
      </w:pPr>
      <w:r w:rsidRPr="00640820">
        <w:rPr>
          <w:rStyle w:val="134"/>
          <w:rFonts w:ascii="Times New Roman" w:hAnsi="Times New Roman" w:cs="Times New Roman"/>
          <w:b w:val="0"/>
          <w:color w:val="000000" w:themeColor="text1"/>
          <w:sz w:val="16"/>
          <w:szCs w:val="16"/>
          <w:lang w:val="ru-RU"/>
        </w:rPr>
        <w:t>В</w:t>
      </w:r>
      <w:r w:rsidRPr="00640820">
        <w:rPr>
          <w:color w:val="000000" w:themeColor="text1"/>
          <w:lang w:val="ru-RU"/>
        </w:rPr>
        <w:t xml:space="preserve"> октябре 1941 года начальник 10 ГУ ВВС КА бригинженер Я.Л. Бибиков, обращаясь к П.А. Воронину, просил: «...дать</w:t>
      </w:r>
      <w:r w:rsidRPr="00640820">
        <w:rPr>
          <w:rStyle w:val="521"/>
          <w:rFonts w:ascii="Times New Roman" w:hAnsi="Times New Roman" w:cs="Times New Roman"/>
          <w:i w:val="0"/>
          <w:color w:val="000000" w:themeColor="text1"/>
          <w:lang w:val="ru-RU"/>
        </w:rPr>
        <w:t xml:space="preserve"> указание:</w:t>
      </w:r>
    </w:p>
    <w:p w14:paraId="6007C002" w14:textId="77777777" w:rsidR="00340A71" w:rsidRPr="00640820" w:rsidRDefault="00340A71" w:rsidP="00640820">
      <w:pPr>
        <w:pStyle w:val="212"/>
        <w:shd w:val="clear" w:color="auto" w:fill="auto"/>
        <w:tabs>
          <w:tab w:val="left" w:pos="529"/>
        </w:tabs>
        <w:spacing w:line="240" w:lineRule="auto"/>
        <w:jc w:val="both"/>
        <w:rPr>
          <w:rFonts w:ascii="Times New Roman" w:hAnsi="Times New Roman" w:cs="Times New Roman"/>
          <w:i w:val="0"/>
          <w:color w:val="000000" w:themeColor="text1"/>
          <w:sz w:val="16"/>
          <w:szCs w:val="16"/>
        </w:rPr>
      </w:pPr>
      <w:r w:rsidRPr="00640820">
        <w:rPr>
          <w:rFonts w:ascii="Times New Roman" w:hAnsi="Times New Roman" w:cs="Times New Roman"/>
          <w:i w:val="0"/>
          <w:color w:val="000000" w:themeColor="text1"/>
          <w:sz w:val="16"/>
          <w:szCs w:val="16"/>
        </w:rPr>
        <w:t>1. Главному конструктору завода № 289 тов. Сухому передать заводу № 135 чертежи на ракетную установку под РС-82 с внесёнными в них изменениями по результатам полигонных испытаний.</w:t>
      </w:r>
    </w:p>
    <w:p w14:paraId="245DF999" w14:textId="77777777" w:rsidR="00340A71" w:rsidRPr="00640820" w:rsidRDefault="00340A71" w:rsidP="00640820">
      <w:pPr>
        <w:pStyle w:val="212"/>
        <w:shd w:val="clear" w:color="auto" w:fill="auto"/>
        <w:tabs>
          <w:tab w:val="left" w:pos="490"/>
        </w:tabs>
        <w:spacing w:line="240" w:lineRule="auto"/>
        <w:jc w:val="both"/>
        <w:rPr>
          <w:rStyle w:val="2410"/>
          <w:rFonts w:ascii="Times New Roman" w:eastAsia="Arial Unicode MS" w:hAnsi="Times New Roman" w:cs="Times New Roman"/>
          <w:i w:val="0"/>
          <w:iCs w:val="0"/>
          <w:color w:val="000000" w:themeColor="text1"/>
        </w:rPr>
      </w:pPr>
      <w:r w:rsidRPr="00640820">
        <w:rPr>
          <w:rFonts w:ascii="Times New Roman" w:hAnsi="Times New Roman" w:cs="Times New Roman"/>
          <w:i w:val="0"/>
          <w:color w:val="000000" w:themeColor="text1"/>
          <w:sz w:val="16"/>
          <w:szCs w:val="16"/>
        </w:rPr>
        <w:t>2. Директору завода № 135 тов. Кузину с 1 ноября с.г. ввести ракетную установку под РС- 82 в серию и выпускать все самолёты Су-2 оборудованные этими установками...»</w:t>
      </w:r>
      <w:r w:rsidRPr="00640820">
        <w:rPr>
          <w:rStyle w:val="2410"/>
          <w:rFonts w:ascii="Times New Roman" w:eastAsia="Arial Unicode MS" w:hAnsi="Times New Roman" w:cs="Times New Roman"/>
          <w:i w:val="0"/>
          <w:iCs w:val="0"/>
          <w:color w:val="000000" w:themeColor="text1"/>
        </w:rPr>
        <w:t xml:space="preserve"> (15975).</w:t>
      </w:r>
    </w:p>
    <w:p w14:paraId="443D3980" w14:textId="77777777" w:rsidR="00340A71" w:rsidRPr="00640820" w:rsidRDefault="00340A71" w:rsidP="00640820">
      <w:pPr>
        <w:pStyle w:val="212"/>
        <w:shd w:val="clear" w:color="auto" w:fill="auto"/>
        <w:tabs>
          <w:tab w:val="left" w:pos="490"/>
        </w:tabs>
        <w:spacing w:line="240" w:lineRule="auto"/>
        <w:jc w:val="both"/>
        <w:rPr>
          <w:rStyle w:val="2410"/>
          <w:rFonts w:ascii="Times New Roman" w:eastAsia="Arial Unicode MS" w:hAnsi="Times New Roman" w:cs="Times New Roman"/>
          <w:i w:val="0"/>
          <w:iCs w:val="0"/>
          <w:color w:val="000000" w:themeColor="text1"/>
        </w:rPr>
      </w:pPr>
    </w:p>
    <w:p w14:paraId="5030D5E5" w14:textId="77777777" w:rsidR="00DF5A48" w:rsidRPr="00640820" w:rsidRDefault="00DF5A4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октябре 1941 г. было подготовлено последнее известное техническое описа</w:t>
      </w:r>
      <w:r w:rsidRPr="00640820">
        <w:rPr>
          <w:rFonts w:ascii="Times New Roman" w:hAnsi="Times New Roman"/>
          <w:color w:val="0070C0"/>
          <w:sz w:val="16"/>
          <w:szCs w:val="16"/>
        </w:rPr>
        <w:softHyphen/>
        <w:t>ние ОПБ, согласно которым самолет строился с измененным металлическим крылом, у которо</w:t>
      </w:r>
      <w:r w:rsidRPr="00640820">
        <w:rPr>
          <w:rFonts w:ascii="Times New Roman" w:hAnsi="Times New Roman"/>
          <w:color w:val="0070C0"/>
          <w:sz w:val="16"/>
          <w:szCs w:val="16"/>
        </w:rPr>
        <w:softHyphen/>
        <w:t>го отъемные части (ОЧК) были отогнуты назад на 200 мм. Они были снабжены автоматическими предкрылками и тормозными щитками сверху и снизу. Щитки были выпол</w:t>
      </w:r>
      <w:r w:rsidRPr="00640820">
        <w:rPr>
          <w:rFonts w:ascii="Times New Roman" w:hAnsi="Times New Roman"/>
          <w:color w:val="0070C0"/>
          <w:sz w:val="16"/>
          <w:szCs w:val="16"/>
        </w:rPr>
        <w:softHyphen/>
        <w:t>нены из толстого листового дюралюминия, выпускались и убирались при помощи гидравлики.</w:t>
      </w:r>
    </w:p>
    <w:p w14:paraId="7C8AA2BB" w14:textId="77777777" w:rsidR="00DF5A48" w:rsidRPr="00640820" w:rsidRDefault="00DF5A4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Указывались следующие его характеристики:</w:t>
      </w:r>
    </w:p>
    <w:p w14:paraId="6D91D964" w14:textId="77777777" w:rsidR="00DF5A48" w:rsidRPr="00640820" w:rsidRDefault="00DF5A4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fldChar w:fldCharType="begin"/>
      </w:r>
      <w:r w:rsidRPr="00640820">
        <w:rPr>
          <w:rFonts w:ascii="Times New Roman" w:hAnsi="Times New Roman"/>
          <w:color w:val="0070C0"/>
          <w:sz w:val="16"/>
          <w:szCs w:val="16"/>
        </w:rPr>
        <w:instrText xml:space="preserve"> TOC \o "1-5" \h \z </w:instrText>
      </w:r>
      <w:r w:rsidRPr="00640820">
        <w:rPr>
          <w:rFonts w:ascii="Times New Roman" w:hAnsi="Times New Roman"/>
          <w:color w:val="0070C0"/>
          <w:sz w:val="16"/>
          <w:szCs w:val="16"/>
        </w:rPr>
        <w:fldChar w:fldCharType="separate"/>
      </w:r>
      <w:r w:rsidRPr="00640820">
        <w:rPr>
          <w:rFonts w:ascii="Times New Roman" w:hAnsi="Times New Roman"/>
          <w:color w:val="0070C0"/>
          <w:sz w:val="16"/>
          <w:szCs w:val="16"/>
        </w:rPr>
        <w:t>Длина в линии полета (м)</w:t>
      </w:r>
      <w:r w:rsidRPr="00640820">
        <w:rPr>
          <w:rFonts w:ascii="Times New Roman" w:hAnsi="Times New Roman"/>
          <w:color w:val="0070C0"/>
          <w:sz w:val="16"/>
          <w:szCs w:val="16"/>
        </w:rPr>
        <w:tab/>
        <w:t>8,28</w:t>
      </w:r>
    </w:p>
    <w:p w14:paraId="0F4DBC1B" w14:textId="77777777" w:rsidR="00DF5A48" w:rsidRPr="00640820" w:rsidRDefault="00DF5A4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Размах крыла (м)</w:t>
      </w:r>
      <w:r w:rsidRPr="00640820">
        <w:rPr>
          <w:rFonts w:ascii="Times New Roman" w:hAnsi="Times New Roman"/>
          <w:color w:val="0070C0"/>
          <w:sz w:val="16"/>
          <w:szCs w:val="16"/>
        </w:rPr>
        <w:tab/>
        <w:t>10,4</w:t>
      </w:r>
    </w:p>
    <w:p w14:paraId="34360524" w14:textId="77777777" w:rsidR="00DF5A48" w:rsidRPr="00640820" w:rsidRDefault="00DF5A4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Площадь крыла (кв.м)</w:t>
      </w:r>
      <w:r w:rsidRPr="00640820">
        <w:rPr>
          <w:rFonts w:ascii="Times New Roman" w:hAnsi="Times New Roman"/>
          <w:color w:val="0070C0"/>
          <w:sz w:val="16"/>
          <w:szCs w:val="16"/>
        </w:rPr>
        <w:tab/>
        <w:t>18,0</w:t>
      </w:r>
    </w:p>
    <w:p w14:paraId="17700BCD" w14:textId="77777777" w:rsidR="00DF5A48" w:rsidRPr="00640820" w:rsidRDefault="00DF5A4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Вес пустого (кг)</w:t>
      </w:r>
      <w:r w:rsidRPr="00640820">
        <w:rPr>
          <w:rFonts w:ascii="Times New Roman" w:hAnsi="Times New Roman"/>
          <w:color w:val="0070C0"/>
          <w:sz w:val="16"/>
          <w:szCs w:val="16"/>
        </w:rPr>
        <w:tab/>
        <w:t>2546</w:t>
      </w:r>
    </w:p>
    <w:p w14:paraId="40816328" w14:textId="77777777" w:rsidR="00DF5A48" w:rsidRPr="00640820" w:rsidRDefault="00DF5A4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Полетный вес (кг)</w:t>
      </w:r>
      <w:r w:rsidRPr="00640820">
        <w:rPr>
          <w:rFonts w:ascii="Times New Roman" w:hAnsi="Times New Roman"/>
          <w:color w:val="0070C0"/>
          <w:sz w:val="16"/>
          <w:szCs w:val="16"/>
        </w:rPr>
        <w:tab/>
        <w:t>3842</w:t>
      </w:r>
    </w:p>
    <w:p w14:paraId="3EC5CB66" w14:textId="77777777" w:rsidR="00DF5A48" w:rsidRPr="00640820" w:rsidRDefault="00DF5A4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Нагрузка на крыло (кг/кв.м)</w:t>
      </w:r>
      <w:r w:rsidRPr="00640820">
        <w:rPr>
          <w:rFonts w:ascii="Times New Roman" w:hAnsi="Times New Roman"/>
          <w:color w:val="0070C0"/>
          <w:sz w:val="16"/>
          <w:szCs w:val="16"/>
        </w:rPr>
        <w:tab/>
        <w:t>213</w:t>
      </w:r>
      <w:r w:rsidRPr="00640820">
        <w:rPr>
          <w:rFonts w:ascii="Times New Roman" w:hAnsi="Times New Roman"/>
          <w:color w:val="0070C0"/>
          <w:sz w:val="16"/>
          <w:szCs w:val="16"/>
        </w:rPr>
        <w:fldChar w:fldCharType="end"/>
      </w:r>
    </w:p>
    <w:p w14:paraId="4518E80A" w14:textId="77777777" w:rsidR="00DF5A48" w:rsidRPr="00640820" w:rsidRDefault="00DF5A4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Обстановка в связи тяжелыми событиями на фронте между тем становилась все тревожнее и разговоры об эва</w:t>
      </w:r>
      <w:r w:rsidRPr="00640820">
        <w:rPr>
          <w:rFonts w:ascii="Times New Roman" w:hAnsi="Times New Roman"/>
          <w:color w:val="0070C0"/>
          <w:sz w:val="16"/>
          <w:szCs w:val="16"/>
        </w:rPr>
        <w:softHyphen/>
        <w:t>куации звучали ежечасно. Согласно приказу НКАП №339 от 7 августа 1941 г., производство 2-го опытного экземп</w:t>
      </w:r>
      <w:r w:rsidRPr="00640820">
        <w:rPr>
          <w:rFonts w:ascii="Times New Roman" w:hAnsi="Times New Roman"/>
          <w:color w:val="0070C0"/>
          <w:sz w:val="16"/>
          <w:szCs w:val="16"/>
        </w:rPr>
        <w:softHyphen/>
        <w:t>ляра ОПБ М-90 было прекращено. А первому экземпляру предстояло еще немного попутешествовать (20362).</w:t>
      </w:r>
    </w:p>
    <w:p w14:paraId="678A9542" w14:textId="77777777" w:rsidR="00DF5A48" w:rsidRPr="00640820" w:rsidRDefault="00DF5A48" w:rsidP="00640820">
      <w:pPr>
        <w:shd w:val="clear" w:color="auto" w:fill="FFFFFF"/>
        <w:spacing w:after="0" w:line="240" w:lineRule="auto"/>
        <w:jc w:val="both"/>
        <w:rPr>
          <w:rFonts w:ascii="Times New Roman" w:hAnsi="Times New Roman"/>
          <w:color w:val="0070C0"/>
          <w:sz w:val="16"/>
          <w:szCs w:val="16"/>
        </w:rPr>
      </w:pPr>
    </w:p>
    <w:p w14:paraId="7BD3B1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был утвержден макет ДДБШ с двумя моторами М-71, однако в связи с эвакуацией промышленности в тыл задание на проектирование и постройку бронированного штурмовика - ДДБШ было дано ОКБ П.О.Сухого только в мае 1942 г. (9649).</w:t>
      </w:r>
    </w:p>
    <w:p w14:paraId="035E97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EF791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комиссией Юрьева был рассмотрен эскизный проект И-207 № 11, который являлся переработкой самолета № 10 под основное назначение по требованию комиссии Юрьева, рассмотревшей И-207 № 10 3 августа 1940.</w:t>
      </w:r>
    </w:p>
    <w:p w14:paraId="5AA707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Основные отличия сводились к тому, что на самолете устанавливались два двигателя Меркулова. Мотор М-71 предполагалось использовать с удлиненным валом. Бомбовое вооружение включало 2 бомбы по 250 кг. Вместо бомб предусматривалась подвеска двух пушек ПТБ-23 калибра 23 мм.</w:t>
      </w:r>
    </w:p>
    <w:p w14:paraId="54CCD7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Кроме того на самолете устанавливались 2 синхронных пулемета калибра 12,7 мм и 2 нормального калибра. Максимальная скорость на высоте 5830 м без включения ПВРД - 654 км/ч.</w:t>
      </w:r>
    </w:p>
    <w:p w14:paraId="517109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проекту максимальная скорость с бомбовой нагрузкой составляла 611 км/ч. Время набора высоты 5000 м, соответственно - 3,7 и 4,5 мин.</w:t>
      </w:r>
    </w:p>
    <w:p w14:paraId="7879CD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мнению комиссии, без бомб максимальная скорость могла быть равной 630 км/ч. Тогда с бомбами можно было ожидать скорость порядка 585 км/ч. Комиссия посчитала целесообразным строить самолет как экспериментальный. Яковлев согласился включить работу в план экспериментальных работ (9649).</w:t>
      </w:r>
    </w:p>
    <w:p w14:paraId="73BA68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1364F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1941-го первый вариант Су-6-го все еще без стрелкового вооружения проходил контрольные испытания в НИИ ВВС КА, где по своим летным и пилотажным качествам заслужил высокую оценку у военныхлетчиков-ис-пытателей (9649).</w:t>
      </w:r>
    </w:p>
    <w:p w14:paraId="2B8E21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6AA2ED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проходил контрольные испытания в НИИ ВВС (без стрелкового вооружения) первый эк</w:t>
      </w:r>
      <w:r w:rsidRPr="00640820">
        <w:rPr>
          <w:rFonts w:ascii="Times New Roman" w:hAnsi="Times New Roman"/>
          <w:color w:val="000000" w:themeColor="text1"/>
          <w:sz w:val="16"/>
          <w:szCs w:val="16"/>
        </w:rPr>
        <w:softHyphen/>
        <w:t>земпляр Су-6 М-71 (5011).</w:t>
      </w:r>
    </w:p>
    <w:p w14:paraId="49D390F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6C7F83" w14:textId="77777777" w:rsidR="0033729D" w:rsidRPr="00640820" w:rsidRDefault="0033729D"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В октябре 1941-го первый вариант Су-6-го без стрелкового вооружения проходил контрольные испытания в НИИ ВВС КА, где по своим летным и пилотажным качествам заслужил высокую оценку у военных летчиков-испытателей (19188).</w:t>
      </w:r>
    </w:p>
    <w:p w14:paraId="61649822" w14:textId="77777777" w:rsidR="0033729D" w:rsidRPr="00640820" w:rsidRDefault="0033729D" w:rsidP="00640820">
      <w:pPr>
        <w:pStyle w:val="ae"/>
        <w:shd w:val="clear" w:color="auto" w:fill="FFFFFF"/>
        <w:spacing w:before="0" w:after="0"/>
        <w:jc w:val="both"/>
        <w:textAlignment w:val="baseline"/>
        <w:rPr>
          <w:color w:val="000000" w:themeColor="text1"/>
          <w:sz w:val="16"/>
          <w:szCs w:val="16"/>
        </w:rPr>
      </w:pPr>
    </w:p>
    <w:p w14:paraId="6B2D3E7E" w14:textId="77777777" w:rsidR="00801ADA" w:rsidRPr="00640820" w:rsidRDefault="00801A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октября 1941 г. выпуск боевых самолетов стал стремительно падать. В ноябре было изготовлено всего 627 машин, или в 3,6 раза меньше, чем в сентябре. В декабре план производства самолетов был выполнен лишь на 38,8%, и авиазаводы дали фронту минимальное за всю войну количество самолетов — 600. Основными поставщиками фронтовой авиации оставались всего два завода — № 21 в Горьком и № 292 в Саратове.</w:t>
      </w:r>
    </w:p>
    <w:p w14:paraId="41C3686D" w14:textId="77777777" w:rsidR="00801ADA" w:rsidRPr="00640820" w:rsidRDefault="00801A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180 предприятий, входивших в отрасль до войны, 55 были ликвидированы или надолго законсервированы, а масштабная эвакуация на месяцы вывела из числа действовавших целый ряд крупных авиазаводов, тем не менее отрасль сумела выпустить во втором полугодии 1941 г. 9779 самолетов, в том числе 8247 боевых, превысив аналогичный показатель 1940 г. в полтора раза (18305).</w:t>
      </w:r>
    </w:p>
    <w:p w14:paraId="0089F2CC" w14:textId="77777777" w:rsidR="00801ADA" w:rsidRPr="00640820" w:rsidRDefault="00801ADA" w:rsidP="00640820">
      <w:pPr>
        <w:spacing w:after="0" w:line="240" w:lineRule="auto"/>
        <w:jc w:val="both"/>
        <w:rPr>
          <w:rFonts w:ascii="Times New Roman" w:hAnsi="Times New Roman"/>
          <w:color w:val="000000" w:themeColor="text1"/>
          <w:sz w:val="16"/>
          <w:szCs w:val="16"/>
        </w:rPr>
      </w:pPr>
    </w:p>
    <w:p w14:paraId="47341D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октября 1941 бронеспинки начали ставить на самолеты ДБ-3 на заводах №126 (оригинальный вариант ОКБ-39) и №18 (свои, приспособленные от СБ и ДБ-3Ф). Но, к сожалению, в связи с эвакуацией заводов и отсутствием запаса спинок эту работу довольно быстро свернули (7666). Эвакуация промышленности на восток тяжело ударила по производству самолетов. ДБ-3Ф тогда строил единственный завод -№126 в Комсомольске-на-Амуре. Туда перестали поступать моторы, винты, турели (7666).</w:t>
      </w:r>
    </w:p>
    <w:p w14:paraId="3557DE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7032F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октября 1941 на завод 126 перестали поступать двигатели М-88 - выпускавший эти двигатели завод №29 эвакуировали. Поставки моторов прекратились до декабря. К началу зимы производство этих бомбардировщиков находилось в критическом состоянии (7666).</w:t>
      </w:r>
    </w:p>
    <w:p w14:paraId="204904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C3D5C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октября 1941 бронеспинки для стрелка стали ставить на самолеты на заводах № 126 (вариант ОКБ-39) и № 18 (свои). Для повышения боевой живучести машины решили прикрыть броней стрелка-радиста. Над этим работали параллельно ОКБ-39 и конструкторы завода № 18. В итоге первые спроектировали оригинальную бронеспинку, а вторые - приспособили спинки пилотских кресел от СБ и ДБ-ЗФ. Но, к сожалению, в связи с эвакуацией заводов и отсутствием запаса спинок эту работу довольно быстро свернули (12021).</w:t>
      </w:r>
    </w:p>
    <w:p w14:paraId="491C97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8F1DF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построили дублер Ер-2 2М-40Ф, на котором смонтировали винты диаметром 4,1 м, за счет чего намечали получить уменьшенную на 150 м длину разбега и повышенную дальность. По причине недоведенности двигателей М-40Ф полетов в 1941 г. не производилось, а позднее ее переоборудовали в интересах программы Ер-2 2М-30. Третью машину, предназначенную для установки дизелей М-40Ф или М-30, начали строить летом 1941 г., но затем ее разобрали при эвакуации завода N 240 в Казань. (3322,35).</w:t>
      </w:r>
    </w:p>
    <w:p w14:paraId="222437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261F8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был построен второй экз. Ер-2 с М-40Ф, на котором были учтены рекомендации гос. испытаний, прошедших с мая по август 1941 (2391,10).</w:t>
      </w:r>
    </w:p>
    <w:p w14:paraId="6387E2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F0E0B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октябре 1941 года Шахурин подписал приказ о проведении летных испытаний на Ер-2 мотора АМ-38 с турбокомпрессором </w:t>
      </w:r>
      <w:r w:rsidRPr="00640820">
        <w:rPr>
          <w:rFonts w:ascii="Times New Roman" w:hAnsi="Times New Roman"/>
          <w:color w:val="000000" w:themeColor="text1"/>
          <w:sz w:val="16"/>
          <w:szCs w:val="16"/>
          <w:lang w:val="en-US"/>
        </w:rPr>
        <w:t>TK</w:t>
      </w:r>
      <w:r w:rsidRPr="00640820">
        <w:rPr>
          <w:rFonts w:ascii="Times New Roman" w:hAnsi="Times New Roman"/>
          <w:color w:val="000000" w:themeColor="text1"/>
          <w:sz w:val="16"/>
          <w:szCs w:val="16"/>
        </w:rPr>
        <w:t>-3. Полеты должны были начаться через месяц, но эвакуация и отсутствие кондиционных турбокомпрессоров не позволили завершить работу (11994).</w:t>
      </w:r>
    </w:p>
    <w:p w14:paraId="08ECBA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CC23338" w14:textId="77777777" w:rsidR="00340A71" w:rsidRPr="00640820" w:rsidRDefault="00340A71"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года был построен дублер бомбардировщика с М-40Ф №2, учитывающий замечания предыдущей машины. Предполагалось его использование в боевых действиях, однако недостатки силовой системы не позволили этого сделать. Строился и третий бомбардировщик с дизелями, но резко осложнившаяся обстановка под Москвой не позволила завершить работу (15223).</w:t>
      </w:r>
    </w:p>
    <w:p w14:paraId="4133EA46" w14:textId="77777777" w:rsidR="00340A71" w:rsidRPr="00640820" w:rsidRDefault="00340A71" w:rsidP="00640820">
      <w:pPr>
        <w:shd w:val="clear" w:color="auto" w:fill="FFFFFF"/>
        <w:spacing w:after="0" w:line="240" w:lineRule="auto"/>
        <w:jc w:val="both"/>
        <w:rPr>
          <w:rFonts w:ascii="Times New Roman" w:hAnsi="Times New Roman"/>
          <w:color w:val="000000" w:themeColor="text1"/>
          <w:sz w:val="16"/>
          <w:szCs w:val="16"/>
        </w:rPr>
      </w:pPr>
    </w:p>
    <w:p w14:paraId="7FAF4DE0" w14:textId="77777777" w:rsidR="00340A71" w:rsidRPr="00640820" w:rsidRDefault="00340A71"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года часть личного состава авиационного завода № 240 была эвакуирована в Казань на завод № 124 для проведения работ по ремонту самолетов Ер-2 и оказания помощи серийному производству по плану завода. Из-за невозможности размещения в Казани всего завода, работы по доводке Ер-2 были организованы также в Свердловске, где проходили испытания этих самолетов. Часть мощностей завода № 240 была передана в состав переведенного в Москву завода № 30. Сотрудники ОКБ-240 были направлены в Иркутск на территорию авиационного завода № 125, который уже принимал эшелоны эвакуированного московского завода № 39 имени Менжинского. В Иркутске ОКБ-240 было преобразовано в ОКБ завода № 39 НКАП. Находясь в эвакуации, сотрудники ОКБ В.Г. Ермолаева продолжили поиски двигателей для Ер-2. Наряду с дизельными, планировалась установка бензиновых АМ-39. С последними ожидалось достижение максимальной скорости 510 км/ч на высоте 7000 метров и дальности полета до 4000 км. Одновременно оборонительное вооружение Ер-2 предполагалось довести до шести пулеметов БС, обеспечив практически круговой обстрел (15223).</w:t>
      </w:r>
    </w:p>
    <w:p w14:paraId="034B9166" w14:textId="77777777" w:rsidR="00340A71" w:rsidRPr="00640820" w:rsidRDefault="00340A71" w:rsidP="00640820">
      <w:pPr>
        <w:shd w:val="clear" w:color="auto" w:fill="FFFFFF"/>
        <w:spacing w:after="0" w:line="240" w:lineRule="auto"/>
        <w:jc w:val="both"/>
        <w:rPr>
          <w:rFonts w:ascii="Times New Roman" w:hAnsi="Times New Roman"/>
          <w:color w:val="000000" w:themeColor="text1"/>
          <w:sz w:val="16"/>
          <w:szCs w:val="16"/>
        </w:rPr>
      </w:pPr>
    </w:p>
    <w:p w14:paraId="0515B5D3" w14:textId="77777777" w:rsidR="00340A71" w:rsidRPr="00640820" w:rsidRDefault="00340A71" w:rsidP="00640820">
      <w:pPr>
        <w:pStyle w:val="a3"/>
        <w:tabs>
          <w:tab w:val="left" w:pos="5612"/>
        </w:tabs>
        <w:rPr>
          <w:color w:val="000000" w:themeColor="text1"/>
          <w:lang w:val="ru-RU"/>
        </w:rPr>
      </w:pPr>
      <w:r w:rsidRPr="00640820">
        <w:rPr>
          <w:color w:val="000000" w:themeColor="text1"/>
          <w:lang w:val="ru-RU"/>
        </w:rPr>
        <w:t>В октябре 1941 г. ОКБ-240 эвакуировалось из Мос</w:t>
      </w:r>
      <w:r w:rsidRPr="00640820">
        <w:rPr>
          <w:color w:val="000000" w:themeColor="text1"/>
          <w:lang w:val="ru-RU"/>
        </w:rPr>
        <w:softHyphen/>
        <w:t>квы в Казань, а весной 1942 г. началась его реэвакуа</w:t>
      </w:r>
      <w:r w:rsidRPr="00640820">
        <w:rPr>
          <w:color w:val="000000" w:themeColor="text1"/>
          <w:lang w:val="ru-RU"/>
        </w:rPr>
        <w:softHyphen/>
        <w:t>ция. Но к этому времени на территории, ранее принад</w:t>
      </w:r>
      <w:r w:rsidRPr="00640820">
        <w:rPr>
          <w:color w:val="000000" w:themeColor="text1"/>
          <w:lang w:val="ru-RU"/>
        </w:rPr>
        <w:softHyphen/>
        <w:t>лежавшей ОКБ В.Г. Ермолаева, разместилось ОКБ-240 С.В. Ильюшина. И лишь в июле 1942 г. стараниями В.Г. Ермолаева удалось образовать опытный завод № 134, которому передали территорию «Б» завода № 240 и здания бывшего Библиотечного института им. Молотова (в районе метро «Аэропорт») (15810).</w:t>
      </w:r>
    </w:p>
    <w:p w14:paraId="2CED02DF" w14:textId="77777777" w:rsidR="00340A71" w:rsidRPr="00640820" w:rsidRDefault="00340A71" w:rsidP="00640820">
      <w:pPr>
        <w:pStyle w:val="a3"/>
        <w:tabs>
          <w:tab w:val="left" w:pos="5612"/>
        </w:tabs>
        <w:rPr>
          <w:color w:val="000000" w:themeColor="text1"/>
          <w:lang w:val="ru-RU"/>
        </w:rPr>
      </w:pPr>
    </w:p>
    <w:p w14:paraId="1B93FD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состоянию на октябрь 1941 г. Рапорт начальника производства «42» Чешкова И.Н. гласил: «В воинской части находится четыре машины за № 42014 и № 4226 с АМ-35А, и № 4215 и № 4228 с АМ-35. Пятая машина № 4224, сданная заводом в часть в конце сентября, 12.10.1941 потерпела аварию при вынужденной посадке в районе Иваново-Вознесенска. Согласно имеющихся у меня сведений самолет восстановлению не подлежит, внутреннее оборудование может быть использовано заводом.</w:t>
      </w:r>
    </w:p>
    <w:p w14:paraId="177948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аэродроме, подготовленных к отлету в часть находится десять самолетов, четыре с моторами М-30 за №№ 42055, 4227, 42025 и 42026. Они облетаны и задерживаются из-за нелетной погоды. Машина № 42076 с моторами М-40 сдана экипажу полка и подлежит облету. Самолеты № 42086 и № 42066 с М-40, № 4217 и № 4212 с АМ-35А, № 42106 с М-30 находятся на испытаниях на ЛИС» (12049).</w:t>
      </w:r>
    </w:p>
    <w:p w14:paraId="22EBF2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0C016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вышел отчет о совместных испытаниях НИИ ВВС и завода 22 серийного Пе-3 2М-105Р N 3/33 (1684,144).</w:t>
      </w:r>
    </w:p>
    <w:p w14:paraId="7419E5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07C63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прошли гос. испытания Пе-3бис N 392207 завода 39 (1678,52).</w:t>
      </w:r>
    </w:p>
    <w:p w14:paraId="5F0E69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6F210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после окончания испытаний опытного Пе-3 некоторые изменения конструкции стали реализовывать на серийных самолетах. Отдельные машины (по-видимому, далеко не все) дорабатывались в частях силами выездных заводских бригад и специалистов инженерно-авиационной службы. На самолете устанавливали пушку ШВАК, заменяли пулемет ШКАС верхней стрелковой точки на крупнокалиберный УБТ (при этом стандартная “черепаха” - задняя подвижная часть фонаря демонтировалась, но вращающаяся башня-экран еще не применялась), размещали в хвостовой части фюзеляжа держатель авиационных гранат ДАГ-10 (4476).</w:t>
      </w:r>
    </w:p>
    <w:p w14:paraId="4F7B05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D90C8D7" w14:textId="77777777" w:rsidR="00340A71" w:rsidRPr="00640820" w:rsidRDefault="00340A71"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по результатам проверки контролера Народного Комитета Государственного Контроля СССР М.С. Писарева, который в своем акте выделил ряд причин, тормозящих выполнение плана, директор завода И.Б. Иосилович пишет объяснительную записку в НКГК СССР. Вместе с техническими и организационными причинами, директор указывает на территориальную отдаленность завода, которая негативно сказывается на работе в части (деятельность завода № 125 проверял контролер Народного Комитета Государственного Контроля СССР М.С. Писарев и в своем акте выделил ряд причин, тормозящих выполнение плана):</w:t>
      </w:r>
    </w:p>
    <w:p w14:paraId="7675B90B" w14:textId="77777777" w:rsidR="00340A71" w:rsidRPr="00640820" w:rsidRDefault="00340A71"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а) Несвоевременного получения материалов и готовых изделий (минимум месяц пути).</w:t>
      </w:r>
    </w:p>
    <w:p w14:paraId="1D48CC24" w14:textId="77777777" w:rsidR="00340A71" w:rsidRPr="00640820" w:rsidRDefault="00340A71"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б) Отсутствие возможности сразу проконсультироваться, посмотреть, своевременно технически самим разрешить ряд конструктивных и технологических вопросов по этой машине (техинформацию и техдокументацию с завода № 22 мы получаем с большим опозданием, а по телефону не все выяснишь).</w:t>
      </w:r>
    </w:p>
    <w:p w14:paraId="0CCC3F59" w14:textId="77777777" w:rsidR="00340A71" w:rsidRPr="00640820" w:rsidRDefault="00340A71"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lastRenderedPageBreak/>
        <w:t>Сказалось так же и то, что период освоения нами этой машины происходил в тот момент, когда она еще не была полностью освоена на заводе № 22, вследствие чего мы не могли идти «по проторенной дорожке». Возможности же нашего завода таковы, что он может производительно работать только как завод-дублер.</w:t>
      </w:r>
    </w:p>
    <w:p w14:paraId="12A6EAA3" w14:textId="77777777" w:rsidR="00340A71" w:rsidRPr="00640820" w:rsidRDefault="00340A71" w:rsidP="00640820">
      <w:pPr>
        <w:shd w:val="clear" w:color="auto" w:fill="FFFFFF"/>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В последнее время мы даем по одной машине в день. Через 20-25 дней мы начнем давать по две машины ежедневно. Одновременно мы прикладываем все силы к тому, чтобы в конце ноября и декабря месяца, помимо заданного нам на IV-й квартал графика, начать погашать свой долг Красной Армии, получившийся в результате недовыполнения нами программы во II-м и III-м кварталах 1941 года (15223).</w:t>
      </w:r>
    </w:p>
    <w:p w14:paraId="288436A0" w14:textId="77777777" w:rsidR="00340A71" w:rsidRPr="00640820" w:rsidRDefault="00340A71" w:rsidP="00640820">
      <w:pPr>
        <w:shd w:val="clear" w:color="auto" w:fill="FFFFFF"/>
        <w:spacing w:after="0" w:line="240" w:lineRule="auto"/>
        <w:jc w:val="both"/>
        <w:rPr>
          <w:rFonts w:ascii="Times New Roman" w:hAnsi="Times New Roman"/>
          <w:iCs/>
          <w:color w:val="000000" w:themeColor="text1"/>
          <w:sz w:val="16"/>
          <w:szCs w:val="16"/>
        </w:rPr>
      </w:pPr>
    </w:p>
    <w:p w14:paraId="73304F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октября 1941 г. с конца августа 1941 завод № 39 выпустил 196 Пе-3, после чего последовала его эвакуация в Иркутск. Иркутский вариант Пе-3 имел, аналогично московскому, два крупнокалиберных пулемета БК, установленных ассиметрично - оба по правому борту, а также два ШКАСа один подвижный у штурмана и второй стационарный, в хвостовом конусе фюзеляжа. После развертывания в Иркутске эвакуированного московского предприятия за основу был взят его вариант истребителя. Но, понимая необходимость устранения недостатков Пе-3, обусловленных поспешностью его создания, а также с учетом наработок иркутян и опыта боевого применения, в конструкцию самолета вносились изменения (12037).</w:t>
      </w:r>
    </w:p>
    <w:p w14:paraId="1F697D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D0A87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в ЛИИ НКАП испытывали серийный Пе-2 N 15/37 (1678,28).</w:t>
      </w:r>
    </w:p>
    <w:p w14:paraId="07EC80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6FFFD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в НИИАВ испытывался Пе-2 с турелью под УБ и рекомендовали для установки (808,19).</w:t>
      </w:r>
    </w:p>
    <w:p w14:paraId="75BB34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9E629D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1941 -го самолет И-180-7 было решено эва</w:t>
      </w:r>
      <w:r w:rsidRPr="00640820">
        <w:rPr>
          <w:rFonts w:ascii="Times New Roman" w:hAnsi="Times New Roman"/>
          <w:color w:val="000000" w:themeColor="text1"/>
          <w:sz w:val="16"/>
          <w:szCs w:val="16"/>
        </w:rPr>
        <w:softHyphen/>
        <w:t>куировать на восток, однако места на железно</w:t>
      </w:r>
      <w:r w:rsidRPr="00640820">
        <w:rPr>
          <w:rFonts w:ascii="Times New Roman" w:hAnsi="Times New Roman"/>
          <w:color w:val="000000" w:themeColor="text1"/>
          <w:sz w:val="16"/>
          <w:szCs w:val="16"/>
        </w:rPr>
        <w:softHyphen/>
        <w:t>дорожной платформе не нашлось. Тогда Глав</w:t>
      </w:r>
      <w:r w:rsidRPr="00640820">
        <w:rPr>
          <w:rFonts w:ascii="Times New Roman" w:hAnsi="Times New Roman"/>
          <w:color w:val="000000" w:themeColor="text1"/>
          <w:sz w:val="16"/>
          <w:szCs w:val="16"/>
        </w:rPr>
        <w:softHyphen/>
        <w:t>ный конструктор решил переправить после</w:t>
      </w:r>
      <w:r w:rsidRPr="00640820">
        <w:rPr>
          <w:rFonts w:ascii="Times New Roman" w:hAnsi="Times New Roman"/>
          <w:color w:val="000000" w:themeColor="text1"/>
          <w:sz w:val="16"/>
          <w:szCs w:val="16"/>
        </w:rPr>
        <w:softHyphen/>
        <w:t>днюю опытную машину по воздуху. Связались со штабом ПВО Москвы, оттуда прислали лет</w:t>
      </w:r>
      <w:r w:rsidRPr="00640820">
        <w:rPr>
          <w:rFonts w:ascii="Times New Roman" w:hAnsi="Times New Roman"/>
          <w:color w:val="000000" w:themeColor="text1"/>
          <w:sz w:val="16"/>
          <w:szCs w:val="16"/>
        </w:rPr>
        <w:softHyphen/>
        <w:t>чика. После краткого инструктажа пилот, кото</w:t>
      </w:r>
      <w:r w:rsidRPr="00640820">
        <w:rPr>
          <w:rFonts w:ascii="Times New Roman" w:hAnsi="Times New Roman"/>
          <w:color w:val="000000" w:themeColor="text1"/>
          <w:sz w:val="16"/>
          <w:szCs w:val="16"/>
        </w:rPr>
        <w:softHyphen/>
        <w:t>рый ранее даже не сидел в И-180, благополуч</w:t>
      </w:r>
      <w:r w:rsidRPr="00640820">
        <w:rPr>
          <w:rFonts w:ascii="Times New Roman" w:hAnsi="Times New Roman"/>
          <w:color w:val="000000" w:themeColor="text1"/>
          <w:sz w:val="16"/>
          <w:szCs w:val="16"/>
        </w:rPr>
        <w:softHyphen/>
        <w:t>но поднялся в воздух, сделал прощальный круг над аэродромом и улетел. Спустя несколько часов, докладывая по телефону о выполнении задания, он с восторгом и удивлением отзывал</w:t>
      </w:r>
      <w:r w:rsidRPr="00640820">
        <w:rPr>
          <w:rFonts w:ascii="Times New Roman" w:hAnsi="Times New Roman"/>
          <w:color w:val="000000" w:themeColor="text1"/>
          <w:sz w:val="16"/>
          <w:szCs w:val="16"/>
        </w:rPr>
        <w:softHyphen/>
        <w:t>ся о ранее неизвестном ему самолете (9979).</w:t>
      </w:r>
    </w:p>
    <w:p w14:paraId="7DDFF6F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11739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при эвакуации И-185М-71 (№6202), перестроенный с заме</w:t>
      </w:r>
      <w:r w:rsidRPr="00640820">
        <w:rPr>
          <w:rFonts w:ascii="Times New Roman" w:hAnsi="Times New Roman"/>
          <w:color w:val="000000" w:themeColor="text1"/>
          <w:sz w:val="16"/>
          <w:szCs w:val="16"/>
        </w:rPr>
        <w:softHyphen/>
        <w:t>ной двигателя и капотирования из машины с М-81, отправили по воздуху в Казань, однако машина соверши</w:t>
      </w:r>
      <w:r w:rsidRPr="00640820">
        <w:rPr>
          <w:rFonts w:ascii="Times New Roman" w:hAnsi="Times New Roman"/>
          <w:color w:val="000000" w:themeColor="text1"/>
          <w:sz w:val="16"/>
          <w:szCs w:val="16"/>
        </w:rPr>
        <w:softHyphen/>
        <w:t>ла вынужденную посадку, после чего лежала там под открытым небом вплоть до января 1942 г. После многочисленных просьб Н.Н.Поликарпо</w:t>
      </w:r>
      <w:r w:rsidRPr="00640820">
        <w:rPr>
          <w:rFonts w:ascii="Times New Roman" w:hAnsi="Times New Roman"/>
          <w:color w:val="000000" w:themeColor="text1"/>
          <w:sz w:val="16"/>
          <w:szCs w:val="16"/>
        </w:rPr>
        <w:softHyphen/>
        <w:t>ва самолет доставили наконец в Москву на за</w:t>
      </w:r>
      <w:r w:rsidRPr="00640820">
        <w:rPr>
          <w:rFonts w:ascii="Times New Roman" w:hAnsi="Times New Roman"/>
          <w:color w:val="000000" w:themeColor="text1"/>
          <w:sz w:val="16"/>
          <w:szCs w:val="16"/>
        </w:rPr>
        <w:softHyphen/>
        <w:t>вод №482, а 12 мая 1942 г. передали на мос</w:t>
      </w:r>
      <w:r w:rsidRPr="00640820">
        <w:rPr>
          <w:rFonts w:ascii="Times New Roman" w:hAnsi="Times New Roman"/>
          <w:color w:val="000000" w:themeColor="text1"/>
          <w:sz w:val="16"/>
          <w:szCs w:val="16"/>
        </w:rPr>
        <w:softHyphen/>
        <w:t>ковский филиал завода №51. Поэтому капи</w:t>
      </w:r>
      <w:r w:rsidRPr="00640820">
        <w:rPr>
          <w:rFonts w:ascii="Times New Roman" w:hAnsi="Times New Roman"/>
          <w:color w:val="000000" w:themeColor="text1"/>
          <w:sz w:val="16"/>
          <w:szCs w:val="16"/>
        </w:rPr>
        <w:softHyphen/>
        <w:t>тальный ремонт самолета продолжался сравни</w:t>
      </w:r>
      <w:r w:rsidRPr="00640820">
        <w:rPr>
          <w:rFonts w:ascii="Times New Roman" w:hAnsi="Times New Roman"/>
          <w:color w:val="000000" w:themeColor="text1"/>
          <w:sz w:val="16"/>
          <w:szCs w:val="16"/>
        </w:rPr>
        <w:softHyphen/>
        <w:t>тельно долго, до 18 марта 1943 г. (9979).</w:t>
      </w:r>
    </w:p>
    <w:p w14:paraId="7C8C1B0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F5DE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октября 1941 г. до января 1942 г. И-185 № 6202 («РМ», 02) пролежал на земле под открытым небом на мес</w:t>
      </w:r>
      <w:r w:rsidRPr="00640820">
        <w:rPr>
          <w:rFonts w:ascii="Times New Roman" w:hAnsi="Times New Roman"/>
          <w:color w:val="000000" w:themeColor="text1"/>
          <w:sz w:val="16"/>
          <w:szCs w:val="16"/>
        </w:rPr>
        <w:softHyphen/>
        <w:t>те аварии. После многочисленных обращений Поликар</w:t>
      </w:r>
      <w:r w:rsidRPr="00640820">
        <w:rPr>
          <w:rFonts w:ascii="Times New Roman" w:hAnsi="Times New Roman"/>
          <w:color w:val="000000" w:themeColor="text1"/>
          <w:sz w:val="16"/>
          <w:szCs w:val="16"/>
        </w:rPr>
        <w:softHyphen/>
        <w:t>пова, в январе 1942 г. его доставили на московский завод № 482, а 12 мая 1942 г. передали в филиал завода №51. Капитальный ремонт самолета продолжался до 18 мар</w:t>
      </w:r>
      <w:r w:rsidRPr="00640820">
        <w:rPr>
          <w:rFonts w:ascii="Times New Roman" w:hAnsi="Times New Roman"/>
          <w:color w:val="000000" w:themeColor="text1"/>
          <w:sz w:val="16"/>
          <w:szCs w:val="16"/>
        </w:rPr>
        <w:softHyphen/>
        <w:t>та 1943 г. Кроме этой машины, в филиале ремонтиро</w:t>
      </w:r>
      <w:r w:rsidRPr="00640820">
        <w:rPr>
          <w:rFonts w:ascii="Times New Roman" w:hAnsi="Times New Roman"/>
          <w:color w:val="000000" w:themeColor="text1"/>
          <w:sz w:val="16"/>
          <w:szCs w:val="16"/>
        </w:rPr>
        <w:softHyphen/>
        <w:t>вался еще и истребитель «И» с М-82А (06). Таким образом, к отправке на фронт можно было подготовить два И-185 с М-82А и два с М-71 (04 и «эталон») (10667).</w:t>
      </w:r>
    </w:p>
    <w:p w14:paraId="64551C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027AB3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 октябрь 1941 А.Г.Тростянский вспоминал: «...Октябрь 1941 г. ОКБ Поликарпова эвакуируется в Сибирь. Мне поручена погрузка самолетов и незавер</w:t>
      </w:r>
      <w:r w:rsidRPr="00640820">
        <w:rPr>
          <w:rFonts w:ascii="Times New Roman" w:hAnsi="Times New Roman"/>
          <w:color w:val="000000" w:themeColor="text1"/>
          <w:sz w:val="16"/>
          <w:szCs w:val="16"/>
        </w:rPr>
        <w:softHyphen/>
        <w:t>шенных объектов на железнодорожные платформы. На заводской площадке у забора стоит зачехленный само</w:t>
      </w:r>
      <w:r w:rsidRPr="00640820">
        <w:rPr>
          <w:rFonts w:ascii="Times New Roman" w:hAnsi="Times New Roman"/>
          <w:color w:val="000000" w:themeColor="text1"/>
          <w:sz w:val="16"/>
          <w:szCs w:val="16"/>
        </w:rPr>
        <w:softHyphen/>
        <w:t>лет И-180. Хочется его тоже увезти, но места на плат</w:t>
      </w:r>
      <w:r w:rsidRPr="00640820">
        <w:rPr>
          <w:rFonts w:ascii="Times New Roman" w:hAnsi="Times New Roman"/>
          <w:color w:val="000000" w:themeColor="text1"/>
          <w:sz w:val="16"/>
          <w:szCs w:val="16"/>
        </w:rPr>
        <w:softHyphen/>
        <w:t>формах нет. Докладываю Поликарпову. Он предлагает связаться со штабом ПВО Москвы. Связываюсь. Из штаба присылают летчика.</w:t>
      </w:r>
    </w:p>
    <w:p w14:paraId="7CDF486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Знакомлю его с самолетом. Летчик просит подгото</w:t>
      </w:r>
      <w:r w:rsidRPr="00640820">
        <w:rPr>
          <w:rFonts w:ascii="Times New Roman" w:hAnsi="Times New Roman"/>
          <w:color w:val="000000" w:themeColor="text1"/>
          <w:sz w:val="16"/>
          <w:szCs w:val="16"/>
        </w:rPr>
        <w:softHyphen/>
        <w:t>вить машину к полету.</w:t>
      </w:r>
    </w:p>
    <w:p w14:paraId="1CE9437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Составляем акт о сдаче-приемке, ставим подписи «сдал-принял».</w:t>
      </w:r>
    </w:p>
    <w:p w14:paraId="3BCE71A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Прошу летчика, «угоняющего» самолет, позвонить, рассказать свои впечатления.</w:t>
      </w:r>
    </w:p>
    <w:p w14:paraId="79EB787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 вот - выруливает на старт, взлетает, делает круг над аэродромом; традиционное прощальное покачива</w:t>
      </w:r>
      <w:r w:rsidRPr="00640820">
        <w:rPr>
          <w:rFonts w:ascii="Times New Roman" w:hAnsi="Times New Roman"/>
          <w:color w:val="000000" w:themeColor="text1"/>
          <w:sz w:val="16"/>
          <w:szCs w:val="16"/>
        </w:rPr>
        <w:softHyphen/>
        <w:t>ние с крыла на крыло; скрывается. А я дивлюсь на уле</w:t>
      </w:r>
      <w:r w:rsidRPr="00640820">
        <w:rPr>
          <w:rFonts w:ascii="Times New Roman" w:hAnsi="Times New Roman"/>
          <w:color w:val="000000" w:themeColor="text1"/>
          <w:sz w:val="16"/>
          <w:szCs w:val="16"/>
        </w:rPr>
        <w:softHyphen/>
        <w:t>тевшего летчика: впервые увидел самолет, поднялся в воздух и улетел! Время, что ли, героическое?</w:t>
      </w:r>
    </w:p>
    <w:p w14:paraId="597A95F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Вспоминается первое впечатление Супруна - «на этот самолет легко будет пересесть с И-16»...</w:t>
      </w:r>
    </w:p>
    <w:p w14:paraId="4ED94D3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Через несколько часов - телефонный звонок и, как апофеоз всей истории истребителя И-180, страстный вопль летчика ПВО на другом конце провода:</w:t>
      </w:r>
    </w:p>
    <w:p w14:paraId="0173772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Почему нет таких машин на вооружении? Это то, на чем бы мы сейчас били немцев...</w:t>
      </w:r>
    </w:p>
    <w:p w14:paraId="45AE83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 не мог дать ответа и тихо положил трубку на ры</w:t>
      </w:r>
      <w:r w:rsidRPr="00640820">
        <w:rPr>
          <w:rFonts w:ascii="Times New Roman" w:hAnsi="Times New Roman"/>
          <w:color w:val="000000" w:themeColor="text1"/>
          <w:sz w:val="16"/>
          <w:szCs w:val="16"/>
        </w:rPr>
        <w:softHyphen/>
        <w:t>чаг...» (10667).</w:t>
      </w:r>
    </w:p>
    <w:p w14:paraId="52EC6E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3451B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Есть байка, что в октябре 1941-го самолет И-180 Е-7, который строился в Москве на базе авиазавода № 51 в 1941 году и имел все нововведения для серии 1941 года: фонарь, одностоечное шасси, крыло измененной конфигурации, было решено эвакуировать на восток, однако места на железнодорожной платформе не нашлось. Тогда Главный конструктор Н.Н.П. решил переправить последнюю опытную машину по воздуху. Связались со штабом ПВО Москвы, оттуда прислали летчика. После краткого инструктажа, пилот, который ранее даже не сидел в И-180, благополучно поднялся в воздух, сделал прощальный круг над аэродромом и улетел. Спустя несколько часов, докладывая по телефону о выполнении задания, он с восторгом и удивлением отзывался о ранее неизвестном ему самолете (3203,10).</w:t>
      </w:r>
    </w:p>
    <w:p w14:paraId="1D34DA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FB0FF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удалось достроить и вывести на аэ</w:t>
      </w:r>
      <w:r w:rsidRPr="00640820">
        <w:rPr>
          <w:rFonts w:ascii="Times New Roman" w:hAnsi="Times New Roman"/>
          <w:color w:val="000000" w:themeColor="text1"/>
          <w:sz w:val="16"/>
          <w:szCs w:val="16"/>
        </w:rPr>
        <w:softHyphen/>
        <w:t>родром первый экземпляр истребителя ИТП (М) с но</w:t>
      </w:r>
      <w:r w:rsidRPr="00640820">
        <w:rPr>
          <w:rFonts w:ascii="Times New Roman" w:hAnsi="Times New Roman"/>
          <w:color w:val="000000" w:themeColor="text1"/>
          <w:sz w:val="16"/>
          <w:szCs w:val="16"/>
        </w:rPr>
        <w:softHyphen/>
        <w:t>вым мотором М-107 (10667).</w:t>
      </w:r>
    </w:p>
    <w:p w14:paraId="1449BE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C30AA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был построен ИТП (М-1) и он был эвакуирован (228,159). Построен было раньше, но в октябре поставили М-107П (2843,116).</w:t>
      </w:r>
    </w:p>
    <w:p w14:paraId="221571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BBCDF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закончилась постройка первого экземпляра ИТП (М-1), ведущаяся с мая 1941 на заводе № 51.</w:t>
      </w:r>
    </w:p>
    <w:p w14:paraId="07E4A8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Вооружение самолета включало одну мотор-пушку Б. Г. Шпитального Ш-37 калибра 37 мм с запасом 50 снарядов с ленточным питанием,являющейся развитием пушки ШФК-37 и две синхронные пушки ШВАК калибра 20 мм с общим запасом 280 снарядов.</w:t>
      </w:r>
    </w:p>
    <w:p w14:paraId="6A203A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 крылом предусматривалась подвеска восьми реактивных снарядов PC-82. Вместо PC-82 могли быть подвешены бомбы общей массой 200 кг.</w:t>
      </w:r>
    </w:p>
    <w:p w14:paraId="71821B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Фюзеляж самолета представлял деревянный монокок, выклеенный из березового шпона (9649).</w:t>
      </w:r>
    </w:p>
    <w:p w14:paraId="276993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84F43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ленинградский завод К-4 получил заказ на 1000 бронекозырьков для Як-1, но успел сделать 37 (198,56).</w:t>
      </w:r>
    </w:p>
    <w:p w14:paraId="33EC8B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4B80D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по материалам испытаний, разработанных и испытаннных в ВВС Северного фронта козырьков фонаря с прозрачной броней для ЛаГГ-3, МиГ-3, Як-</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 xml:space="preserve">, был сделан заказ на </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 xml:space="preserve">000 бронекозырьков для ВВС КА заводу К-4 в Ленинграде. До эвакуации (декабрь </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941 г.) завод успел выпустить 37 штук таких козырьков для Як-1. В августе было изготовлено, а 9 сентября 1941 г. передано 10 машин с передним бронестеклом (№№ 0227, 1233, 1734, 0235, 0435, 0835, 0935,1035,1135,1235) в 415-й иап ПВО г.Москвы. Неустановленное пока число машин с передним бронестеклом было отправлены в другие части ВВС КА. Один самолет попал в ВВС ЧФ к командиру 8-го иап М.В. Авдееву, благодаря чему по сохранившимся фотоснимкам установлено как выглядел этот бронекозырек. Бронестекло в нем монтировалось вертикально на кронштейнах между летчиком и прицелом (12048).</w:t>
      </w:r>
    </w:p>
    <w:p w14:paraId="73F9E9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56E6F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октября 1941 по май 1942 на Як-1 ставили РО и сделали 1148 (65,54).</w:t>
      </w:r>
    </w:p>
    <w:p w14:paraId="08C835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3C8CD3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октября 1941 г. на Як-1 стали устанавливать реактивное вооружение (43 серия). И продолжалось это до мая 1942 г. (около 65 серии) (11402).</w:t>
      </w:r>
    </w:p>
    <w:p w14:paraId="497578D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A9C3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завод № 292 выпустили 122 самолета Як-1, вооруженные ракетными орудиями, и 87 - со всей электропроводкой для установки из-за отсутствия на заводе балок и ЭСБР-1 (электросбрасыватель бомб и ракет). По причине отсутствия на заводе труб для изготовления балок в ноябре установка РО была выполнена только на 43 Як-1, а проводка выполня- лясь на всех машинах. В частях, на машинах уже выпушенных с завода, для крепления орудий РО-82 в местах установки прорезалась насквозь обшивка крыла. На ложероны надевались и закреплялись специальные скобы с приваренными гнездами кронштейнов РО.</w:t>
      </w:r>
    </w:p>
    <w:p w14:paraId="1DB7EE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 xml:space="preserve"> с Як-1 впервые были применены под Москвой. Их использование в воздушных боях производило скорее моральный эффект, гак как из-за большого рассеивания, понижения (величина отклонения снаряда от оси оружия под действием силы тяжести) снаряда и отсутствия надежного прицела вероятность попадания в маневрирующую воздушную цель оказалась очень низкой. Атакуя большие группы бомбардировщиков, наши летчики с передней полусферы неприцельно пускали по ним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 xml:space="preserve">. В случае прямого попадания бомбардировщик буквально разваливался на части, но и близкий разрыв, как правило, сбивал его. Зная об этом и пытаясь избежать встречи с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 xml:space="preserve">, немецкие летчики ломали свои боевые порядки, а вместе с тем и систему взаимной обороны, что облегчало нашим истребителям выполнение атак. По наземным целям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 xml:space="preserve"> применялись с большим успехом.</w:t>
      </w:r>
    </w:p>
    <w:p w14:paraId="344EDE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Пуск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 xml:space="preserve"> осуществлялся от кнопки на ручке управления самолетом. На самолетах, не оборудованных ЭСБР-1, на ручке монтировалось три кнопки. В этом случае пуск мог выполняться только залпами по два снаряда от каждой кнопки.</w:t>
      </w:r>
    </w:p>
    <w:p w14:paraId="50C6D2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В связи с введением в систему вооружения балочных держателей для подвески авиабомб постановлением ГКО от 2 мая 1942 г. для снижения лобового сопротивления заводу № 292 разрешили уменьшить число устанавливаемых на Як-1 РО с шести до четырех. А постановлением ГКО от 10 мая их сняли совсем. Основной из причин, повлиявших на это решение, была большая потеря скорости (до 30 км/ч) при наличии на самолете РО-82 с подвешенными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 xml:space="preserve"> (12048).</w:t>
      </w:r>
    </w:p>
    <w:p w14:paraId="76759D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9229B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года, - рассказывал Семен Михайлович Алексеев, бывший долгие годы заместителем С.А. Лавочкина, - ОКБ Яковлева эвакуировалось в Новосибирск, на завод № 153. Это было второе в стране по мощности предприятие, где строились ЛаГГ-3. Сразу же после приезда в Новосибирск Яковлев разослал своих работников собирать по полустанкам и воинским частям недоделанные и поврежденные самолеты Як-7 и детали к ним. Нужно сказать, что ему удалось собрать довольно большое количество фюзеляжей, крыльев, моторных отсеков, и вскоре, параллельно с линейкой по сборке "ЛаГГов", он организовал линейку по сборке Як-7.</w:t>
      </w:r>
    </w:p>
    <w:p w14:paraId="5FADB5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Это был конец 1941 года, время очень трудное. Рабочие, собиравшие "ЛаГГи", были одеты кто во что: в телогрейках, ушанках, валенках, сапогах. Ночевали часто тут же - в цехах, на крыльях самолетов. Ситуация достаточно мрачная. Яковлев одел своих рабочих в белые халаты, постелил вдоль линейки Як-7 ковровую дорожку и пригласил на завод кинооператора, снявшего весь процесс сборки "Яков". Получившийся фильм конструктор отослал в Москву. Я не знаю, кто и когда смотрел эту ленту, но в первых числах января 1942 года последовало постановление ГКО, предписывающее снять ЛаГГ-3 с серии на заводе № 153 и запустить вместо него истребитель Як-7.</w:t>
      </w:r>
    </w:p>
    <w:p w14:paraId="2611A9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в декабре 1941 года Сталин вызвал к себе наркома А.И. Шахурина, его заместителя П.В. Дементьева и попросил их завизировать постановление правительства о запуске в серию Як-7 не только в Новосибирске, но и на заводе №21, где находилось ОКБ Лавочкина. Шахурин категорически отказался визировать это постановление: пусть, мол, Яковлев вначале наладит серию на заводе № 153, а потом уже можно отдавать ему и завод в Горьком. Сталин с его доводоми согласился.</w:t>
      </w:r>
    </w:p>
    <w:p w14:paraId="0E8F8C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Сразу же после этого дементьев вызвал к себе в Москву Лавочкина и сказал ему:</w:t>
      </w:r>
    </w:p>
    <w:p w14:paraId="342015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Вот что, Семен, гроза на тебя надвинулась. Твои дни сочтены. Ты должен сейчас предпринять совершенно необычайные шаги, чтобы изменить отношение военных и правительства к самолету ЛаГГ-3. Я думаю, Яковлеву потребуется не меньше двух месяцев, чтобы наладить регулярный выпуск своих самолетов в Новосибирске.</w:t>
      </w:r>
    </w:p>
    <w:p w14:paraId="4DDA69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приемной тем временем, со своими "болячками", ожидал вызова главный конструктор А.Д. Швецов. Лавочкин рассказал ему о разговоре с Дементьевым, а тот пожаловался на свои проблемы:</w:t>
      </w:r>
    </w:p>
    <w:p w14:paraId="4F0FEA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Мотор М-82 никому не нужен. Сейчас на заводе скопилось больше сотни готовых, с приемкой военпреда, моторов, а их никто не берет. У меня есть с собой комплект чертежей. На, посмотри, может быть, получится поставить его на твой истребитель. (В 1941 -м завод № 19 выпустил 412 двигателей М-82 - прим. авт.)</w:t>
      </w:r>
    </w:p>
    <w:p w14:paraId="30AF13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Лавочкин чертежи забрал, но сказал, что вся надежда у него на новый кли- мовский двигатель М-107...</w:t>
      </w:r>
    </w:p>
    <w:p w14:paraId="478971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Вернулся Лавочкин в Горький, собрал своих ближайших помощников, объяснил ситуацию и высказал свое мнение: мотор М-82 по ряду очевидных причин не удастся поставить на ЛаГГ-3 без больших доработок самолета. Надо устанавливать мотор М-107. Так и решили. Вся надежда была на то, что Климов сумеет довести мотор, и мы сможем устранить недостатки, проявившиеся на первом ЛаГГ-3 М-107.</w:t>
      </w:r>
    </w:p>
    <w:p w14:paraId="7EC79B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этом совещании мне почему-то показалось, что установка на наш истребитель М-82 дело не безнадежное. Я попросил Лавочкина разрешения взять в помощь двух-трех человек и поработать с мотором. Лавочкин тогда сказал:</w:t>
      </w:r>
    </w:p>
    <w:p w14:paraId="4AAEC4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Не больше двух-трех.</w:t>
      </w:r>
    </w:p>
    <w:p w14:paraId="2DB191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помощники я выбрал начальника бригады вооружения Ивана Артемовича Шабанова и начальника моторной бригады Константина Ивановича Слеп- нева.</w:t>
      </w:r>
    </w:p>
    <w:p w14:paraId="10217B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совещания наше КБ было полностью реорганизовано. Лавочкин решил выделить специальный конструкторский отдел для реализации установки М-107 на ЛаГГ-3. Ему удалось связаться с Климовым, и тот пообещал, что примерно через неделю у него будут готовы два новых доведенных двигателя М-107: один - для Яковлева, а другой - для Лавочкина.</w:t>
      </w:r>
    </w:p>
    <w:p w14:paraId="6F9E7A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Неделя прошла в нервной обстановке, в различных поисках. В Москву за обещанным мотором отправили главного механика Романова. Через некоторое время Романов телеграфировал в Горький: приезжали люди от Яковлева и забрали, несмотря на возражение Климова, оба мотора. После этого Лавочкин отправился в Москву искать правды:</w:t>
      </w:r>
    </w:p>
    <w:p w14:paraId="2DCA34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Пойду жаловаться в ЦК, мобилизую наркома! Это безобразие!</w:t>
      </w:r>
    </w:p>
    <w:p w14:paraId="414296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в день отъезда Семена Алексеевича в Москву я попросил его все-таки подписать телеграмму Швецову с просьбой выслать нам макетный двигатель М-82. Не успел Лавочкин уехать, как через пару дней прилетел Ли-2 и привез два мотора - макетный и летный. Сопровождали их механик и заместитель Швецова - Валентин Иванович Валединский. Распечатали мы ящик с макетным М-82, и я попросил главного инженера завода Бориса Васильевича Куприянова передать в цех № 40 самолет ЛаГГ-3, на который еще не установили двигатель. К этому самолету, "начинавшемуся" с противопожарной перегородки, мы подвели подвешенный на кране макетный М-82.</w:t>
      </w:r>
    </w:p>
    <w:p w14:paraId="32936E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совещании у Лавочкина звездообразный мотор отвергли по трем основным причинам. Во-первых, он весил на 250 кг больше, чем М-105, и непонятно было, что же произойдет с центровкой самолета. Во-вторых, диаметр М-82 составлял 1260 мм, а ширина М-105 - 798 мм. Получался какой-то "головастик". Надо было как-то переделать эллиптическое сечение носовой части фюзеляжа "ЛаГГа" на круглое и не испортить при этом аэродинамику машины. Сама собой возникла мысль - надо делать новый фюзеляж, а времени на это не было. В-третьих, как быть с вооружением? После уроков в Испании на совещании у Сталина было решено, что истребитель должен обязательно иметь пушечное вооружение. Но крыло у ЛаГГ-3 занято баками, а синхронных пушек на заводе нет. Правда, в последние месяцы выпуска истребителей И-16 на заводе № 21 Б.Г. Шпитальный успел сделать около двух десятков синхронных пушек ШВАК.</w:t>
      </w:r>
    </w:p>
    <w:p w14:paraId="5CF10D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 вот как эти проблемы стали решаться. Когда мы подвели макетный М-82 к противопожарной перегородке ЛаГГ-3, то центр тяжести мотора оказался ближе к центру тяжести самолета, чем у М-105 и "лишние" 250 кг почти не сказались на центровке, пришлось только перенести в хвост кое-какую мелочь из оборудования. Вокруг самолета расселись все начальники цехов, несколько конструкторов, главный инженер завода. Все вопросы с доставкой необходимых материалов решались очень быстро. Принесли деревянные рейки, приложили их к внешнему контуру мотора и к фюзеляжу. Оказалось, что, если наложить на фюзеляж ложные борта, то к пятому шпангоуту можно плавно свести обводы круглого фюзеляжа на эллиптические. И деревянный фюзеляж ЛаГГ-3 как нельзя лучше подходил для такой переделки.</w:t>
      </w:r>
    </w:p>
    <w:p w14:paraId="268FD9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Громадную роль в создании нового истребителя сыграл Валединский. Применить классическую схему установки мотора воздушного охлаждения с юбкой для выхода охлаждающего воздуха без серьезной переделки фюзеляжа мы не могли. Тогда по бортам самолета слева и справа сделали большие, около 700 мм совки, через который выходил охлаждающий воздух. Напротив совков температура головок цилиндров была в норме, а сверху и снизу они перегревались. Валединский стал тогда переделывать дефлекторы у каждого цилиндра, и ему удалось добиться равномерности температуры по всем цилиндрам. Это был один из решающих факторов создания нового истребителя.</w:t>
      </w:r>
    </w:p>
    <w:p w14:paraId="778CCC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приезду Лавочкина успели зашить одну сторону самолета ложным бортом поверх старой обшивки, более ничего не меняя. Поставили сектора из реек, а на них - фанеру. Получился круглый фюзеляж. Лавочкин понял, что самолет получается, и мобилизовал уже все КБ на работу по М-82. Коллектив трудился в самом прямом смысле день и ночь, сознавая, что от успехов дела во многом зависит дальнейшая судьба ОКБ. Но, когда самолет был уже почти готов, пришло постановление ГКО о передаче завода № 21 Яковлеву и переходе на выпуск истребителей Як-7. Лавочкину и его ОКБ предписывалось перебазироваться в Тбилиси, на завод № 31 имени Димитрова. Яковлев сделал все удивительно быстро. Не успели мы опомниться, а на железнодорожную ветку завода уже подали эшелон для погрузки нашего оборудования. Семен Алексеевич сказал мне:</w:t>
      </w:r>
    </w:p>
    <w:p w14:paraId="6F97BD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Семен Михайлович, дорогой мой, я тебе за все очень благодарен, но мне некого кроме тебя послать в Тбилиси организовывать прием нашего коллектива. Я тебя очень прошу ехать в Тбилиси и ждать меня и прихода эшелона...</w:t>
      </w:r>
    </w:p>
    <w:p w14:paraId="2B467E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марте 1942 года, еще до моего отъезда в Тбилиси, ЛаГГ-3 М-82 выкатили на аэродром (опытный ЛаГГ-3 № 372100 построили 21 марта 1942-го и он был разбит в аварии, произошедшей 12 июля следующего года. - прим. авт.), и заводской летчик-испытатель Г.А. Мищенко выполнил на нем первый полет. Сразу обнаружился серьезный недостаток - очень сильно грелось масло. Маслорадиатор поставили от М-105, а его не хватало. Летать было нельзя. Пытались устранить перегрев, расширяя туннель маслорадиатора, несколько увеличили отклонение совка. Пробовали летать на рассвете, чтоб прохладней было. Мищенко делал над аэродромом круг и, вылезая из кабины, говорил:</w:t>
      </w:r>
    </w:p>
    <w:p w14:paraId="4A7794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Уже зашкалило...</w:t>
      </w:r>
    </w:p>
    <w:p w14:paraId="6891C5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Тем временем сведения о новом истребителе дошли до ГКО. Валединский докладывал о работах Швецову, а тот - в свой обком партии, секретарь которого Н.И. Гусаров, как и секретарь горь- ковского обкома М.И. Родионов, доложили в ЦК. Давал информацию по своей линии и военпред завода...".</w:t>
      </w:r>
    </w:p>
    <w:p w14:paraId="3B6099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Четверть века назад была опубликована небольшая книга, даже, пожалуй, брошюра П.Т. Осташенкова "Дерзкие старты" о творчестве С.А. Лавочкина, где также говорилось о создании Ла-5. </w:t>
      </w:r>
    </w:p>
    <w:p w14:paraId="03F785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Что любопытно, там приведены фрагменты записей из дневника Семена Алексеевича, относящиеся, видимо, к началу 1942 г. Подобный документ автор не встречал и потому, с вашего позволения, уважаемый читатель, приведу эти записи, иллюстрирующие некоторые пути создания будущего </w:t>
      </w:r>
      <w:r w:rsidRPr="00640820">
        <w:rPr>
          <w:rFonts w:ascii="Times New Roman" w:hAnsi="Times New Roman"/>
          <w:color w:val="000000" w:themeColor="text1"/>
          <w:sz w:val="16"/>
          <w:szCs w:val="16"/>
          <w:lang w:val="en-US"/>
        </w:rPr>
        <w:t>Jla</w:t>
      </w:r>
      <w:r w:rsidRPr="00640820">
        <w:rPr>
          <w:rFonts w:ascii="Times New Roman" w:hAnsi="Times New Roman"/>
          <w:color w:val="000000" w:themeColor="text1"/>
          <w:sz w:val="16"/>
          <w:szCs w:val="16"/>
        </w:rPr>
        <w:t>-5.</w:t>
      </w:r>
    </w:p>
    <w:p w14:paraId="49CCAA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Можно предположить, что после первых гонок мотора на истребителе ЛаГГ-3 Лавочкин записал в блокнот:</w:t>
      </w:r>
    </w:p>
    <w:p w14:paraId="4BBE76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"Мотор зажат капотом. Необходимого обдува головок цилиндров нет... Снять две пушки, на оставшиеся две - перевести весь боекомплект".</w:t>
      </w:r>
    </w:p>
    <w:p w14:paraId="64CAE5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Здесь есть расхождения с рассказом Алексеева, ведь память человека не совсем надежный "инструмент", тем более спустя полвека.</w:t>
      </w:r>
    </w:p>
    <w:p w14:paraId="56DC6C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Как видим, будущий Ла-5 был задуман с очень мощным вооружением - четырьмя пушками, а в воздух поднялся-с двумя орудиями. Уже в ходе заводских испытаний в блокноте у Лавочкина появилась запись:</w:t>
      </w:r>
    </w:p>
    <w:p w14:paraId="61490E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"Потеряна высотность двигателя... Воздухозаборник из капота убрать, расположить его сверху. Пусть несколько ухудшится обзор, но откроется доступ воздуха для охлаждения верхних цилиндров".</w:t>
      </w:r>
    </w:p>
    <w:p w14:paraId="4AC441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когда после первых полетов на этапе государственных испытаний выявилась необходимость доводки машины, появилась еще одна запись:</w:t>
      </w:r>
    </w:p>
    <w:p w14:paraId="662348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"Изменить систему суфлирования мотора, маслобак из кабины перенести за противопожарную перегородку, улучшить систему управления газом, закрылками".</w:t>
      </w:r>
    </w:p>
    <w:p w14:paraId="72A79A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 постепенно формировался облик будущего Ла-5 (12032).</w:t>
      </w:r>
    </w:p>
    <w:p w14:paraId="22EC18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66E09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октября 1941 г. на площадке эвакуированного завода № 301 были организованы ремонтные мастерские при Ремотделе, далее- при Главремуправлении НКАП. Начальник мастерских (04.1942 г.)- Угольков. 30.03.1942 г. мастерские преобразованы в Ремонтный завод. Ремонт ЛаГГ-3, Як-1,</w:t>
      </w:r>
      <w:r w:rsidRPr="00640820">
        <w:rPr>
          <w:rFonts w:ascii="Times New Roman" w:hAnsi="Times New Roman"/>
          <w:iCs/>
          <w:color w:val="000000" w:themeColor="text1"/>
          <w:sz w:val="16"/>
          <w:szCs w:val="16"/>
        </w:rPr>
        <w:t xml:space="preserve"> Як-3,</w:t>
      </w:r>
      <w:r w:rsidRPr="00640820">
        <w:rPr>
          <w:rFonts w:ascii="Times New Roman" w:hAnsi="Times New Roman"/>
          <w:color w:val="000000" w:themeColor="text1"/>
          <w:sz w:val="16"/>
          <w:szCs w:val="16"/>
        </w:rPr>
        <w:t xml:space="preserve"> производство деталей в/винтов. 29.12.1944 г. вышло постановление ГКО № 7227 о выпуске на заводе 30 самолетов Як-9 в высотном варианте.</w:t>
      </w:r>
    </w:p>
    <w:p w14:paraId="566EB2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СНК № 913-472сс от 11.06.1942 г. и приказом № 287с от 16.04.1942 г., в связи с преобразованием Главремуправления в 6ГУ НКАП, ремонтный завод переименован в ГС завод № 301 6ГУ НКАП.</w:t>
      </w:r>
    </w:p>
    <w:p w14:paraId="6FB000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798с от 23.10.1942 г. заводу № 301 передан филиал завода № 482 НКАП (механические мастерские) для организации цеха по ремонту и изготовлению плоскостей Як-7. По приказу № 58с от 30.01.1943 г. для усиления производственной базы по выпуску крыльев Як-7 заводу № 301 передан деревообделочный филиал завода № 293 НКАП в дер. Новая Лужа Химкинского р-на со всеми сооружениями.</w:t>
      </w:r>
    </w:p>
    <w:p w14:paraId="4E0B09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ГКО в 1946 г. на завод передано 1024 единицы трофейного оборудования (111 вагонов) с завода «Арадо» в  г. Ратенов (Германия) и 1733 единицы оборудования с завода «Зибельфлюгцойгверке» в  г. Галле (в т.ч. 231 металлорежущий станок).</w:t>
      </w:r>
    </w:p>
    <w:p w14:paraId="188541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341с от 14.08.1945 г. планировалось объединить филиал завода № 134 и филиал завода № 301 НКАП, а освободившиеся помещения передать Московской конторе Главснаба. Но по приказу № 371с от 8.09.1945 г. (и более раннему № 326с от 8.08.1945 г.) филиал завода № 301 передан из 1ГУ в 7ГУ в распоряжение завода № 156 для расширения работ по Ту-4.</w:t>
      </w:r>
    </w:p>
    <w:p w14:paraId="4B4077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393с от 2.10.1945 г. на площадку завода № 301 переведен с кадрами и оборудованием завод № 81 НКАП и с 1.09.1945 г. влит в состав завода № 301. В связи с этим с 1.09.1945 г. завод № 301 передан в 7ГУ как опытный завод. В 12.1945 г. на завод переведено ОКБ гл. конструктора С.А. Лавочкина и переименовано в ОКБ- 301. Завод стал его опытной базой. Производство крыльев для Як-9 прекращено.</w:t>
      </w:r>
    </w:p>
    <w:p w14:paraId="0340A9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48с от 8.02.1946 г. для усиления конструкторских кадров в ОКБ-301 переведены из ОКБ-31 завода № 458 НКАП (бывшее ОКБ В.П. Горбунова) 22 ИТР с архивом.</w:t>
      </w:r>
    </w:p>
    <w:p w14:paraId="62B345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1947 г. создан первый советский истребитель со стреловидным крылом Ла-160. 26.12.1948 г. на самолете Ла- 176 впервые в СССР была достигнута скорость звука, 1105 км/ч (М=1,02).</w:t>
      </w:r>
    </w:p>
    <w:p w14:paraId="128018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соответствии с пост, правительства от 09.1950 г. начата разработка и опытное производство управляемой ракетной техники - ЗУР для системы ПВО Москвы С-25 «Беркут». Из НИИ-88 </w:t>
      </w:r>
      <w:r w:rsidRPr="00640820">
        <w:rPr>
          <w:rFonts w:ascii="Times New Roman" w:hAnsi="Times New Roman"/>
          <w:color w:val="000000" w:themeColor="text1"/>
          <w:sz w:val="16"/>
          <w:szCs w:val="16"/>
          <w:lang w:val="en-US"/>
        </w:rPr>
        <w:t>MB</w:t>
      </w:r>
      <w:r w:rsidRPr="00640820">
        <w:rPr>
          <w:rFonts w:ascii="Times New Roman" w:hAnsi="Times New Roman"/>
          <w:color w:val="000000" w:themeColor="text1"/>
          <w:sz w:val="16"/>
          <w:szCs w:val="16"/>
        </w:rPr>
        <w:t xml:space="preserve"> в ОКБ-301 переданы наработки по ЗУР, перешла работать группа Бабакина. В 1951 г. создана первая отечественная ЗУР В-300. Велись также работы по проекту УРВВ Г-300 («210», «211») для Ту-4, но затем от них отказались. В соответствии с ПСМ № 893-533сс от 7.05.1955 г. В-300 в составе С-25 пнв. За достигнутые успехи ОКБ было награждено орденом Трудового Красного Знамени.</w:t>
      </w:r>
    </w:p>
    <w:p w14:paraId="574A14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1955 г. в ОКБ-301 переведена часть кадров (39 чел.) расформированного КБ завода № 82.</w:t>
      </w:r>
    </w:p>
    <w:p w14:paraId="4FF772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08.1955 г. КБ завода № 82 МОП было восстановлено и подчинено ОКБ-301 С.М. Лавочкина.</w:t>
      </w:r>
    </w:p>
    <w:p w14:paraId="6300D7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1.10.1951 г. завод передан из 7ГУ в 6ГУ, в 08.1957 г. - в ведении 2ГУ МАП. С 1960 г. - ГС Машиностроительный завод им. С.А. Лавочкина. В 11.1962 г. происходит разделение завода и ОКБ. С 18.12.1962 г. по конец 1964 г. ОКБ-301 перешло, в подчинение ОКБ-52 В.Н. Челомея в качестве филиала № 3 (начальник филиала- А.И. Эйдис). Возложена задача доводки и модернизации морских КР П-5, П-6, П-35, П-7, П- 120, П-500, «Аметист». В соответствии с </w:t>
      </w:r>
      <w:r w:rsidRPr="00640820">
        <w:rPr>
          <w:rFonts w:ascii="Times New Roman" w:hAnsi="Times New Roman"/>
          <w:color w:val="000000" w:themeColor="text1"/>
          <w:sz w:val="16"/>
          <w:szCs w:val="16"/>
          <w:lang w:val="en-US"/>
        </w:rPr>
        <w:t>nocf</w:t>
      </w:r>
      <w:r w:rsidRPr="00640820">
        <w:rPr>
          <w:rFonts w:ascii="Times New Roman" w:hAnsi="Times New Roman"/>
          <w:color w:val="000000" w:themeColor="text1"/>
          <w:sz w:val="16"/>
          <w:szCs w:val="16"/>
        </w:rPr>
        <w:t>. СМ от 18.12.1962 г. с завода № 642 передано производство П-25.' Заводу им. Лавочкина поручено производство КР «Аметист», П-25, доводка КА «ИС» и УС.</w:t>
      </w:r>
    </w:p>
    <w:p w14:paraId="324D79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1964 г. завод им. Лавочкина ГКОТ вновь стал самостоятельным. 03.1965 г. передан в подчинение ЗГУ </w:t>
      </w:r>
      <w:r w:rsidRPr="00640820">
        <w:rPr>
          <w:rFonts w:ascii="Times New Roman" w:hAnsi="Times New Roman"/>
          <w:color w:val="000000" w:themeColor="text1"/>
          <w:sz w:val="16"/>
          <w:szCs w:val="16"/>
          <w:lang w:val="en-US"/>
        </w:rPr>
        <w:t>MOM</w:t>
      </w:r>
      <w:r w:rsidRPr="00640820">
        <w:rPr>
          <w:rFonts w:ascii="Times New Roman" w:hAnsi="Times New Roman"/>
          <w:color w:val="000000" w:themeColor="text1"/>
          <w:sz w:val="16"/>
          <w:szCs w:val="16"/>
        </w:rPr>
        <w:t>. Началась разработка космической техники: автоматических КА для исследований дальнего космоса и Луны, продолжены работы по КА «ИС» (истребителю спутников). В 1974 г. на базе завода и ОКБ создано НПО им. С.А. Лавочкина.</w:t>
      </w:r>
    </w:p>
    <w:p w14:paraId="613A1A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06.1950 г. вышло постановление СМ СССР о создании мишени «201» (Ла-17). В 06.1956 г.- постановление СМ СССР о разработке на базе Ла-17 разведчика «210-ФР». В соответствии с ПСМ № 1230-524 от 30.11.1960 г. начата разработка беспилотного разведчика «204» (Ла-17Р). В 11.1961 г.- постановление СМ СССР о создании Ла- 17ММ (госиспытания- в 10-12.1963 г.).</w:t>
      </w:r>
    </w:p>
    <w:p w14:paraId="0D048C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08.1950 г. завод назначен головным разработчиком ЗУР «207» (В-300) для системы ПВО С-25, 10.03.1952 г. вышло постановление № 1264-417 о ее создании.</w:t>
      </w:r>
    </w:p>
    <w:p w14:paraId="0294B8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 527-232 от 26.03.1954 г. и № 957-409 от 20.05.1954 г. начата разработка МКР «Буря» - носителя ядерного заряда (научный руководитель- М.В. Келдыш). Пост. СМ СССР от 5.02.1960 г. работы по «Буре» прекращены.</w:t>
      </w:r>
    </w:p>
    <w:p w14:paraId="1E869F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24.03.1955 г. вышло постановление СМ СССР № 602-369 о создании зенитно-ракетной системы «Даль»; пост. № 1148-591 от 17.08.1956 г. были изменены ТТТ к ЗРК «Даль». Пост. № 735-338 от 4.04.1958 г. установлен срок предъявления ЗРК «Даль» на совместные испытания- 1-й квартал 1960 г. Пост, от 4.07.1959 г. задавалась разработка «Даль-М» с ЗУР «420» и «Дапь-2» с ЗУР «500». Пост. № 1096-460 от 22.10.1962 г. работы по «Даль» прекращены.</w:t>
      </w:r>
      <w:r w:rsidRPr="00640820">
        <w:rPr>
          <w:rFonts w:ascii="Times New Roman" w:hAnsi="Times New Roman"/>
          <w:color w:val="000000" w:themeColor="text1"/>
          <w:sz w:val="16"/>
          <w:szCs w:val="16"/>
          <w:vertAlign w:val="superscript"/>
        </w:rPr>
        <w:t>57</w:t>
      </w:r>
    </w:p>
    <w:p w14:paraId="2D92AE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 правительства от 03.1956 г. задана разработка дальнего сверхзвукового бомбардировщика «325», в 07.1958 г. работы прекращены.</w:t>
      </w:r>
    </w:p>
    <w:p w14:paraId="6F3187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1955-57 г. работы по экспериментальной крылатой атомной ракете (КАР) «375» с ЯРД.</w:t>
      </w:r>
    </w:p>
    <w:p w14:paraId="5A2499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 СМ от 14.05.1962 г. принята на вооружение ракета «217М», а пост, от 6.08.1964 г.- ракета «218» для С- 25М.</w:t>
      </w:r>
    </w:p>
    <w:p w14:paraId="491E62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 правительства от 18.12.1962 г. на завод с завода № 642 переведено производство ККР П-25.</w:t>
      </w:r>
    </w:p>
    <w:p w14:paraId="2DB2F7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1964 г. завод принимал участие в работах по бомбардировщику Т-4.</w:t>
      </w:r>
    </w:p>
    <w:p w14:paraId="45CE6F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1965-66 г. сюда из ОКБ-1 передана тематика КА для исследования Луны, Венеры и Марса. В 1970-е  г. велась разработка проекта доставки на Марс самоходного зонда.</w:t>
      </w:r>
    </w:p>
    <w:p w14:paraId="1BA4C8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1967 г. началась разработка совместно с ЦНИИ «Комета» и НИИ-45 МО системы предупреждения о ракетном нападении «Око», КА УС-К, УС-КС и УС-КМО. В соответствии с ПСМ от 29.09.1969 г. задано создание УС-К со сдачей на вооружение в 1975 г. В составе системы 4 спутника УС-КС (управляемая система «Континент» с геостационарным спутником) и 1 УС-КМО (управляемая система «Континенты-моря-океаны») (71</w:t>
      </w:r>
      <w:r w:rsidRPr="00640820">
        <w:rPr>
          <w:rFonts w:ascii="Times New Roman" w:hAnsi="Times New Roman"/>
          <w:color w:val="000000" w:themeColor="text1"/>
          <w:sz w:val="16"/>
          <w:szCs w:val="16"/>
          <w:lang w:val="en-US"/>
        </w:rPr>
        <w:t>X</w:t>
      </w:r>
      <w:r w:rsidRPr="00640820">
        <w:rPr>
          <w:rFonts w:ascii="Times New Roman" w:hAnsi="Times New Roman"/>
          <w:color w:val="000000" w:themeColor="text1"/>
          <w:sz w:val="16"/>
          <w:szCs w:val="16"/>
        </w:rPr>
        <w:t>6) «Прогноз». Пост, правительства № 5721 от 16.01.1979 г. система «Око» принята на вооружение. ПСМ от 29.05.1980 г. задано дополнение системы УС-К спутником на геостационарной орбите. Приказом МО № 00178 от 27.12.1982 г. система поставлена на боевое дежурство, директивой главкома войск ПВО от 14.03.1985 г. УС-К преобразована в УС-КС. Состоит из 8 спутников УС-КС на высокоэллиптических орбитах и 4-х УС-КМО (71</w:t>
      </w:r>
      <w:r w:rsidRPr="00640820">
        <w:rPr>
          <w:rFonts w:ascii="Times New Roman" w:hAnsi="Times New Roman"/>
          <w:color w:val="000000" w:themeColor="text1"/>
          <w:sz w:val="16"/>
          <w:szCs w:val="16"/>
          <w:lang w:val="en-US"/>
        </w:rPr>
        <w:t>X</w:t>
      </w:r>
      <w:r w:rsidRPr="00640820">
        <w:rPr>
          <w:rFonts w:ascii="Times New Roman" w:hAnsi="Times New Roman"/>
          <w:color w:val="000000" w:themeColor="text1"/>
          <w:sz w:val="16"/>
          <w:szCs w:val="16"/>
        </w:rPr>
        <w:t>6) на геостационарных орбитах; двух КП- западного ( г. Солнечногорск) и Восточного. Включает также систему «Крокус» и носимые терминалы командной боевой системы «Казбек». Указом Президента № 1770 в 12.1996 г. СПРН принята на вооружение, в 2002 г., после ввода восточного КП, заступила на боевое дежурство,</w:t>
      </w:r>
      <w:r w:rsidRPr="00640820">
        <w:rPr>
          <w:rFonts w:ascii="Times New Roman" w:hAnsi="Times New Roman"/>
          <w:color w:val="000000" w:themeColor="text1"/>
          <w:sz w:val="16"/>
          <w:szCs w:val="16"/>
          <w:vertAlign w:val="superscript"/>
        </w:rPr>
        <w:t>1</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vertAlign w:val="superscript"/>
        </w:rPr>
        <w:t>28 04</w:t>
      </w:r>
      <w:r w:rsidRPr="00640820">
        <w:rPr>
          <w:rFonts w:ascii="Times New Roman" w:hAnsi="Times New Roman"/>
          <w:color w:val="000000" w:themeColor="text1"/>
          <w:sz w:val="16"/>
          <w:szCs w:val="16"/>
          <w:vertAlign w:val="superscript"/>
          <w:lang w:val="en-US"/>
        </w:rPr>
        <w:t>Cb</w:t>
      </w:r>
    </w:p>
    <w:p w14:paraId="1BAF57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Действовал филиал в Обнинске (с 06.1993 г. - НИЦ КС). В начале 1989 г. при НПО создан НИЦ им. Бабакина как открытая организация для работы с иностранными специалистами. В 1989 г. организован Калужский филиал (с 1998 г.- дочернее предприятие Калужское ОКБ).</w:t>
      </w:r>
    </w:p>
    <w:p w14:paraId="30BC37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НПО им. Лавчкина входили: ОКБ, экспериментальный завод («Вымпел»?), Калужское ОКБ (2002 г.); НИЦ им. Бабакина (2003 г.). В 2004 г. в состав НПО входил Центр «Наземно-космических систем».</w:t>
      </w:r>
    </w:p>
    <w:p w14:paraId="3F996D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7BFD53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(2002-05 г.): разработка и изготовление автоматических межпланетных станций, КА; космических комплексов связи, ДЗЗ; обеспечение баллистико-навигационных расчетов траекторий КА; испытания агрегатов и КА в целом; подготовка к полету и управление полетом КА. Принимало участие в программах: «Луна», «Марс», «Венера», «Банкир», «Вега», «Фобос», ИРС-1, «Гранат», «Интербол», «Спектр», «Электро», индийской лунной программе «Чандраян-2» (2006 г.).</w:t>
      </w:r>
    </w:p>
    <w:p w14:paraId="406CAF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(1962 г.)- 7966 чел., (1972 г.)- 10.655 чел.</w:t>
      </w:r>
      <w:r w:rsidRPr="00640820">
        <w:rPr>
          <w:rFonts w:ascii="Times New Roman" w:hAnsi="Times New Roman"/>
          <w:color w:val="000000" w:themeColor="text1"/>
          <w:sz w:val="16"/>
          <w:szCs w:val="16"/>
          <w:vertAlign w:val="superscript"/>
        </w:rPr>
        <w:t>77</w:t>
      </w:r>
    </w:p>
    <w:p w14:paraId="248E01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(1945-06.1956 г.)- С.А. Лавочкин («Буря»), (1960-65 г.)- М.М. Пашинин, И.Н. Лукин, (1965- 71 г.)-  Г.Н. Бабакин, (1971-12.1977 г.)- С.С. Крюков, (17.02.1977-86 г.)- В.М. Ковтуненко. Ген. конструктор (12.1956-06.1960 г.)- С.А. Лавочкин {11.09.1900-9.06.1960}, (1986-95 г.)- В.М. Ковтуненко {31.08.1921-10.07.1995}, (1996-08.2003г,)- С.Д. Куликов; И.О. ген. конструктора (08-10.2003 г.)- К.М. Пичхадзе; (10.2003-1.02.2005 г.)- К.М. Пичхадзе, (1.02.2005-07 г.-&gt;  Г.М. Полищук.</w:t>
      </w:r>
    </w:p>
    <w:p w14:paraId="76E048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гл., ген. конструктора (0б.1951-53 г.)- П.Д. Грушин, (1971-77г,)- А. Г. Чесноков, по научной работе (1985 г.-)- А.Л. Родин; по прикладному направлению (1989 г.-)- А.Л. Родин; (2004 г.)- В.Н. Тимофеев. Зам. гл., ген. конструктора (-1952-60 г.-)- Н.А. Хейфец, (-1955-60 г.)- Н.С. Черняков, (-1956-60 г.)- М.М. Пашинин, (1960-65 г.)-  Г.Н. Бабакин, (1968 г.-)- А. Г. Чесноков, (-1969 г.)- И.А. Скробко, (10.2005 г.)- К.М. Пичхадзе; по информационным спутниковым системам (1998-2004 г.-&gt; А.Л. Родин.</w:t>
      </w:r>
    </w:p>
    <w:p w14:paraId="154E76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И.О. директора (1942 г.)- Беленков. Директор (-01.1943-02.1945 г.-)- И.Н. Смирнов, (1945 г.-)- С.А. Лавочкин, (07.1951 г.-)- В.Н. Лисицын, (1965 г.)- А.П. Милованов. Гендиректор (1987-89 г.)- В.М. Ковтуненко, (-1996-99 г.-)- А.М. Баклунов,</w:t>
      </w:r>
      <w:r w:rsidRPr="00640820">
        <w:rPr>
          <w:rFonts w:ascii="Times New Roman" w:hAnsi="Times New Roman"/>
          <w:color w:val="000000" w:themeColor="text1"/>
          <w:sz w:val="16"/>
          <w:szCs w:val="16"/>
          <w:vertAlign w:val="superscript"/>
        </w:rPr>
        <w:t>58</w:t>
      </w:r>
      <w:r w:rsidRPr="00640820">
        <w:rPr>
          <w:rFonts w:ascii="Times New Roman" w:hAnsi="Times New Roman"/>
          <w:color w:val="000000" w:themeColor="text1"/>
          <w:sz w:val="16"/>
          <w:szCs w:val="16"/>
        </w:rPr>
        <w:t xml:space="preserve"> (-08.2003 г.)- С.Д. Куликов; И.О. гендиректора (08-10.2003 г.)- К.М. Пичхадзе; (10.2003- 1.02.2005 г.)- К.М. Пичхадзе, (1.02.2005-07 г.-&gt;  Г.М. Полищук.</w:t>
      </w:r>
    </w:p>
    <w:p w14:paraId="7E22AA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гендиректора (01.2004 г.)- Р. Кремнев, (1.02.2005 г.-)- К.М. Пичхадзе. Зам. Гендиректора: по ВЭД (2002 г.)- И.П. Зайцев.</w:t>
      </w:r>
      <w:r w:rsidRPr="00640820">
        <w:rPr>
          <w:rFonts w:ascii="Times New Roman" w:hAnsi="Times New Roman"/>
          <w:color w:val="000000" w:themeColor="text1"/>
          <w:sz w:val="16"/>
          <w:szCs w:val="16"/>
          <w:vertAlign w:val="superscript"/>
        </w:rPr>
        <w:t>69</w:t>
      </w:r>
    </w:p>
    <w:p w14:paraId="130483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(06.1951-53 г.)- П.Д. Грушин.</w:t>
      </w:r>
    </w:p>
    <w:p w14:paraId="2F363F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Директор завода (1965 г.)- И.Н. Лукин.</w:t>
      </w:r>
    </w:p>
    <w:p w14:paraId="4F4189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комплексов: электрорадиотехнического- А.Л. Родин; проектного- А.Л. Родин.</w:t>
      </w:r>
    </w:p>
    <w:p w14:paraId="2031B8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конструкторы: (1940-е-1950 г.-)- И.А. Меркулов («201»), (-1955-60 г.)- Н.С. Черняков («205», МКР «Буря»),</w:t>
      </w:r>
      <w:r w:rsidRPr="00640820">
        <w:rPr>
          <w:rFonts w:ascii="Times New Roman" w:hAnsi="Times New Roman"/>
          <w:color w:val="000000" w:themeColor="text1"/>
          <w:sz w:val="16"/>
          <w:szCs w:val="16"/>
          <w:vertAlign w:val="superscript"/>
        </w:rPr>
        <w:t>59</w:t>
      </w:r>
      <w:r w:rsidRPr="00640820">
        <w:rPr>
          <w:rFonts w:ascii="Times New Roman" w:hAnsi="Times New Roman"/>
          <w:color w:val="000000" w:themeColor="text1"/>
          <w:sz w:val="16"/>
          <w:szCs w:val="16"/>
        </w:rPr>
        <w:t xml:space="preserve"> (1960-е)- О. Г. Ивановский («Луноходы»), (1969-2004 г.-)- А. Г. Чесноков («201», УС-К, КА прикладного назначения), (1985 г.-)- А.Л. Родин (КА УС-КМО).</w:t>
      </w:r>
    </w:p>
    <w:p w14:paraId="2E8A03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Ведущие конструкторы: (1969 г.)- А. Г. Чесноков (Ла-17, Ла-17М, Ла-17Р, УС-К), (1951 г.)- Н.С. Черняков («205»), А.Л. Родин (КА «Венера», «Марс»).</w:t>
      </w:r>
    </w:p>
    <w:p w14:paraId="7FA31C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теоретического (1951 г.-)-  Г.Н. Бабакин; по системам управления (1970-е)- Н.Д. Капырин; электроавтоматики (1970-е)- А.И. Ступников.</w:t>
      </w:r>
    </w:p>
    <w:p w14:paraId="2F96B3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Летчики-испытатели: (1955 г.)- А. Г. Кочетков.</w:t>
      </w:r>
    </w:p>
    <w:p w14:paraId="438293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Создано: самолеты: истребители:</w:t>
      </w:r>
      <w:r w:rsidRPr="00640820">
        <w:rPr>
          <w:rFonts w:ascii="Times New Roman" w:hAnsi="Times New Roman"/>
          <w:color w:val="000000" w:themeColor="text1"/>
          <w:sz w:val="16"/>
          <w:szCs w:val="16"/>
        </w:rPr>
        <w:t xml:space="preserve"> Ла-7 (30.01.1944 г.), Ла-9 (28.01.1946 г.), Ла-11 (05.1947 г.), «150» (12.09.1946 г.), «156», Ла-160 («160», 26.07.1947 г.), «168», Ла-15 («174», 8.01.1948 г.), Ла-176 («176», 20.09.1948 г.), «190», перехватчики Ла-200 («200», 16.09.1949 г.), Ла-200Б (3.07.1952 г.), Л-240 «Анаконда», бомбардировщики: «250», «325» (проект, 1958);</w:t>
      </w:r>
      <w:r w:rsidRPr="00640820">
        <w:rPr>
          <w:rFonts w:ascii="Times New Roman" w:hAnsi="Times New Roman"/>
          <w:iCs/>
          <w:color w:val="000000" w:themeColor="text1"/>
          <w:sz w:val="16"/>
          <w:szCs w:val="16"/>
        </w:rPr>
        <w:t xml:space="preserve"> мишени:</w:t>
      </w:r>
      <w:r w:rsidRPr="00640820">
        <w:rPr>
          <w:rFonts w:ascii="Times New Roman" w:hAnsi="Times New Roman"/>
          <w:color w:val="000000" w:themeColor="text1"/>
          <w:sz w:val="16"/>
          <w:szCs w:val="16"/>
        </w:rPr>
        <w:t xml:space="preserve"> «201» (Ла-17), «203» (Ла-17М), «202» (Ла-17ММ), Ла-17У;</w:t>
      </w:r>
      <w:r w:rsidRPr="00640820">
        <w:rPr>
          <w:rFonts w:ascii="Times New Roman" w:hAnsi="Times New Roman"/>
          <w:iCs/>
          <w:color w:val="000000" w:themeColor="text1"/>
          <w:sz w:val="16"/>
          <w:szCs w:val="16"/>
        </w:rPr>
        <w:t xml:space="preserve"> БПЛА- разведчит:</w:t>
      </w:r>
      <w:r w:rsidRPr="00640820">
        <w:rPr>
          <w:rFonts w:ascii="Times New Roman" w:hAnsi="Times New Roman"/>
          <w:color w:val="000000" w:themeColor="text1"/>
          <w:sz w:val="16"/>
          <w:szCs w:val="16"/>
        </w:rPr>
        <w:t xml:space="preserve"> «204» (Ла-17Р, госиспытания в 1963), «204М» (Ла-17РМ), «210-ФР» (1956), Ла-17БР (1958);</w:t>
      </w:r>
    </w:p>
    <w:p w14:paraId="035013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ЗУР:</w:t>
      </w:r>
      <w:r w:rsidRPr="00640820">
        <w:rPr>
          <w:rFonts w:ascii="Times New Roman" w:hAnsi="Times New Roman"/>
          <w:color w:val="000000" w:themeColor="text1"/>
          <w:sz w:val="16"/>
          <w:szCs w:val="16"/>
        </w:rPr>
        <w:t xml:space="preserve"> изд. «205» (В-300 для С-25 «Беркут», 25.07.1951 г.), «206» (В-300, опытная, 1951), «207» (В-300, опытная, 1953), «208» (В-300, опытная, 1953), «207А» (В-300, пнв в 1955 г.), «215» (В-300, с ядерной БЧ, пнв в 1957 г.), «217» (В-300, пнв в 1958 г.), «217М» (для С-25М, пнв в 1961 г.), «218» (В-300, с ядерной БЧ, пнв в 1964 г.), «220» (В-600 для С-25), «225» (проект для С-50), «400» (5В11 для ЗРК «Даль», испытана в 1958-62 г.), «420» («Даль-М», 1959), «500» («Даль-2», 1959), В-500 для С-25;</w:t>
      </w:r>
      <w:r w:rsidRPr="00640820">
        <w:rPr>
          <w:rFonts w:ascii="Times New Roman" w:hAnsi="Times New Roman"/>
          <w:iCs/>
          <w:color w:val="000000" w:themeColor="text1"/>
          <w:sz w:val="16"/>
          <w:szCs w:val="16"/>
        </w:rPr>
        <w:t xml:space="preserve"> УРВБ:</w:t>
      </w:r>
      <w:r w:rsidRPr="00640820">
        <w:rPr>
          <w:rFonts w:ascii="Times New Roman" w:hAnsi="Times New Roman"/>
          <w:color w:val="000000" w:themeColor="text1"/>
          <w:sz w:val="16"/>
          <w:szCs w:val="16"/>
        </w:rPr>
        <w:t xml:space="preserve"> «210» (Г-300 на базе В-300, опытная) для Ту-4, «211» (Г- 310), «275» и «277» комплекса К-15 для Ла-250, «275А» комплекса К-15У, «278», «279», «280» комплекса К-15М; МКР «Буря» («350», В-350, 1.09.1957 г.); КАР «375» (1957);</w:t>
      </w:r>
    </w:p>
    <w:p w14:paraId="3205C4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 для исследований: Луны: «Луна-8», «Луна-9» (01.1966 г., первая в мире посадка на Луну), «Луна-10, -11,- 12 (22.10.1966 г.), -13 (12.1966 г.), -14, -15 (13.07.1969 г.), -16 (12.09.1970, доставлен лунный грунт)», «Луна-17» («Луноход-1», 10.11.1970 г.), «Луна-18» (2.09.1971 г.), «Луна-19» (28.09.1971 г.), «Луна-20» (14.02.1972 г.), «Луна- 21» («Луноход-2», 8.01.1973 г.), «Луна-23 (28.10.1974 г.), -24 (9.08.1976 г.)», «Луна-Глоб» (2000-е); Венеры: «Венера-4 (12.06.1967 г.), -5 (5.01.1969 г.), -6 (10.01.1969 г.), -7 (17.08.1970 г.), -8 (27.03.1972 г.), -9 (8.06.1975 г.), -10 (14.06.1975 г.), -11 (9.09.1978 г.), -12 (14.09.1978 г.), -13 (30.10.1981 г.), -14 (4.11.1981 г.), -16 (7.06.1983 г.)», «Вега-1 (15.12.1984 г.), -2 (21.12.1984 г.)»; Марса: «Марс-8» (1996); Марса и Фобоса «Фобос-грунт» (2000-е); исследования геомагнитной и радиационной обстановки «Прогноз-1...5» (1972-76); обсерватории для астрофизических исследований «Астрон» (1983), «Гранат» (1.12.1989 г.), «Спектр» (2000-е); автоматический оптико-электронной разведки «Аркон» («Аракс-Н», 11Ф664, «Космос-2344», «Космос-2392») (1997), спутник связи «Купон» (1997); истребитель спутников «ИС» («Уран»): «Космос-217, -248, -252» (1968), «ИС-МУ» (14Ф10), КА СПРН «Око»: «Космос-520 (5В95, 19.09.1972), -903, -917, -931, -2345, -2350 (1998), -2397» (2003), УС-КС (81Г6, «Прогноз») «Космос-775 (8.10.1975 г.), -1629 (21.02.1985 г.), -1675» (12.08.1985 г.), УС-КМО (71</w:t>
      </w:r>
      <w:r w:rsidRPr="00640820">
        <w:rPr>
          <w:rFonts w:ascii="Times New Roman" w:hAnsi="Times New Roman"/>
          <w:color w:val="000000" w:themeColor="text1"/>
          <w:sz w:val="16"/>
          <w:szCs w:val="16"/>
          <w:lang w:val="en-US"/>
        </w:rPr>
        <w:t>X</w:t>
      </w:r>
      <w:r w:rsidRPr="00640820">
        <w:rPr>
          <w:rFonts w:ascii="Times New Roman" w:hAnsi="Times New Roman"/>
          <w:color w:val="000000" w:themeColor="text1"/>
          <w:sz w:val="16"/>
          <w:szCs w:val="16"/>
        </w:rPr>
        <w:t>6) «Космос-2133 (14.02.1991 г.), -2224 (17.12.1992 г.), -2282 (7.07.1994 г.)»; гидрометеорологический «Электро-Л» (2000-е); разгонный блок «Фрегат» для РН «Союз-2»; «Космос-1» с «солнечным парусом» (22.06.2005); «Демонстратор» (9.02.2000, 20.07.2001, 12.07.2002, 7.10.2005).</w:t>
      </w:r>
    </w:p>
    <w:p w14:paraId="224EE5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крылья для Як-7, Як-9 (1943-45); самолет Ла-150; УР: «350» (В-350, МКР «Буря)- 19, ЗУР «400» (1961)- опытная партия; ККР П-25 (4К70, 1963-).</w:t>
      </w:r>
    </w:p>
    <w:p w14:paraId="47D46D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ФГУП «Научно- исследовательский центр (НИЦ) им.  Г.Н. Бабакина» /г. Химки Московской обл./</w:t>
      </w:r>
    </w:p>
    <w:p w14:paraId="3B76E6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 при НПО им Лавочкина в начале 1989 г. как открытая организация для работы с иностранными специалистами.</w:t>
      </w:r>
    </w:p>
    <w:p w14:paraId="5B6C4E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Разработка космической техники. Здесь созданы все советские планетоходы. Имеется испытательный полигон- марсодром.</w:t>
      </w:r>
      <w:r w:rsidRPr="00640820">
        <w:rPr>
          <w:rFonts w:ascii="Times New Roman" w:hAnsi="Times New Roman"/>
          <w:color w:val="000000" w:themeColor="text1"/>
          <w:sz w:val="16"/>
          <w:szCs w:val="16"/>
          <w:vertAlign w:val="superscript"/>
        </w:rPr>
        <w:t>37</w:t>
      </w:r>
      <w:r w:rsidRPr="00640820">
        <w:rPr>
          <w:rFonts w:ascii="Times New Roman" w:hAnsi="Times New Roman"/>
          <w:color w:val="000000" w:themeColor="text1"/>
          <w:sz w:val="16"/>
          <w:szCs w:val="16"/>
        </w:rPr>
        <w:t xml:space="preserve"> Создан «Солнечный парус» (2001 г.). Проект марсохода (2000-е).</w:t>
      </w:r>
    </w:p>
    <w:p w14:paraId="651B3D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2002 г. входил в состав НПО им. Лавочкина.</w:t>
      </w:r>
    </w:p>
    <w:p w14:paraId="610B56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Гендиректор (-10.2003 г.)- К.М. Пичхадзе.</w:t>
      </w:r>
    </w:p>
    <w:p w14:paraId="0B01D7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Создано:</w:t>
      </w:r>
      <w:r w:rsidRPr="00640820">
        <w:rPr>
          <w:rFonts w:ascii="Times New Roman" w:hAnsi="Times New Roman"/>
          <w:color w:val="000000" w:themeColor="text1"/>
          <w:sz w:val="16"/>
          <w:szCs w:val="16"/>
        </w:rPr>
        <w:t xml:space="preserve"> «Луноход-1» (10.11.1970 г., «Луна-17»), «Луноход-2» (01.1973 г.), «Луноход-3» (не запускался), марсоход М-71 (1971 г., «Марс-З»).</w:t>
      </w:r>
      <w:r w:rsidRPr="00640820">
        <w:rPr>
          <w:rFonts w:ascii="Times New Roman" w:hAnsi="Times New Roman"/>
          <w:color w:val="000000" w:themeColor="text1"/>
          <w:sz w:val="16"/>
          <w:szCs w:val="16"/>
          <w:vertAlign w:val="superscript"/>
        </w:rPr>
        <w:t>138</w:t>
      </w:r>
    </w:p>
    <w:p w14:paraId="60A1C9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Калужский филиал, ФГУДП «Калужское ОКБ» НПО им. Лавочкина</w:t>
      </w:r>
    </w:p>
    <w:p w14:paraId="39BA58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/248601  г. Калуга ул. Октябрьская, 17 тел. 49-523/</w:t>
      </w:r>
    </w:p>
    <w:p w14:paraId="3CE805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Филиал организован в 1989 г. для создания программно-математического обеспечения и спецоборудования КА. В 1998 г. филиал преобразован в дочернее предприятие Калужское ОКБ.</w:t>
      </w:r>
    </w:p>
    <w:p w14:paraId="2C3A96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Принимал участие в программах: «Марс-96», «Спектр», «Кластер».</w:t>
      </w:r>
    </w:p>
    <w:p w14:paraId="5EA898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Разработка и производство (2002 г.): программно-алгоритмическое обеспечение СУ и обработки информации КА («Фобос-Грунт»); научная аппаратура и наземное оборудование; математическое моделирование процессов взаимодействия посадочных аппаратов с поверхностью; оборудование на основе озона и УФ-излучения для борьбы с инфекциями.</w:t>
      </w:r>
    </w:p>
    <w:p w14:paraId="04F231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(2002 г.)- С. Г. Потехин.</w:t>
      </w:r>
    </w:p>
    <w:p w14:paraId="5A5707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(2002 г.)- С. Г. Потехин.</w:t>
      </w:r>
    </w:p>
    <w:p w14:paraId="57D381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конструктора (2002 г.)- В.И. Михальский, (2002 г.)- Д.В. Кондратьев.</w:t>
      </w:r>
      <w:r w:rsidRPr="00640820">
        <w:rPr>
          <w:rFonts w:ascii="Times New Roman" w:hAnsi="Times New Roman"/>
          <w:color w:val="000000" w:themeColor="text1"/>
          <w:sz w:val="16"/>
          <w:szCs w:val="16"/>
          <w:vertAlign w:val="superscript"/>
        </w:rPr>
        <w:t>69</w:t>
      </w:r>
    </w:p>
    <w:p w14:paraId="681E6A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ФГУП Научно-исследовательский центр космической системотехники (НИЦКС) /249032  г. Обнинск Калужской обл. ул. Королева, 6А тел. 23-912, 255-23-93/</w:t>
      </w:r>
    </w:p>
    <w:p w14:paraId="71F012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НИЦ КС создан в 06.1993 г. на базе филиала НПО им. Лавочкина. Работы по обеспечению летно- конструкторских испытаний и эксплуатации КА; НИОКР по созданию установок и систем очистки природных и сточных вод.</w:t>
      </w:r>
    </w:p>
    <w:p w14:paraId="21FE7D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(2002 г.): НИОКР в области космических технологий производства полупроводниковых материалов, информационных технологий.</w:t>
      </w:r>
    </w:p>
    <w:p w14:paraId="3B2010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(2002 г.)- 24 чел.</w:t>
      </w:r>
    </w:p>
    <w:p w14:paraId="583448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(2002 г.)- И.Л. Озерных.</w:t>
      </w:r>
    </w:p>
    <w:p w14:paraId="68D307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(2002 г.)- И.Л. Озерных.</w:t>
      </w:r>
    </w:p>
    <w:p w14:paraId="02D3B07D" w14:textId="77777777" w:rsidR="00340A71"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640820">
        <w:rPr>
          <w:rFonts w:ascii="Times New Roman" w:hAnsi="Times New Roman"/>
          <w:color w:val="000000" w:themeColor="text1"/>
          <w:sz w:val="16"/>
          <w:szCs w:val="16"/>
        </w:rPr>
        <w:t>Зам. гл. конструктора (2002 г.)- А.Н. Подтуркин.</w:t>
      </w:r>
      <w:r w:rsidRPr="00640820">
        <w:rPr>
          <w:rFonts w:ascii="Times New Roman" w:hAnsi="Times New Roman"/>
          <w:color w:val="000000" w:themeColor="text1"/>
          <w:sz w:val="16"/>
          <w:szCs w:val="16"/>
          <w:vertAlign w:val="superscript"/>
        </w:rPr>
        <w:t>69</w:t>
      </w:r>
    </w:p>
    <w:p w14:paraId="0E266F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ООО «Инновационное предприятие «Луноход» /141400  г. Химки Московской обл. ул. Ленинградская, 24 тел. 573-00-75/</w:t>
      </w:r>
    </w:p>
    <w:p w14:paraId="73A25E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Предприятие создано в 1991 г., учредитель- НПО им. С.А. Лавочкина.</w:t>
      </w:r>
    </w:p>
    <w:p w14:paraId="37160A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(2002 г.): НИОКР по созданию: прецизионной техники, агрегатов КА, систем электропитания, терморегулирования и радиосвязи; устройств для перемещения, фиксации положения; гидро- и пневмораспределителей; оборудование для балансировки; тензорезисторы, датчики, запорная арматура, фильтры тонкой очистки, приводы; специальные волновые передачи.</w:t>
      </w:r>
    </w:p>
    <w:p w14:paraId="639154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(2002 г.)-17 чел.</w:t>
      </w:r>
    </w:p>
    <w:p w14:paraId="5965E7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Гендиректор (2002 г.)- М.Ф. Тулянкин.</w:t>
      </w:r>
    </w:p>
    <w:p w14:paraId="357246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гендиректора (2002 г.)- С.В. Титенок (11982).</w:t>
      </w:r>
    </w:p>
    <w:p w14:paraId="7BF725E8" w14:textId="77777777" w:rsidR="00340A71" w:rsidRPr="00640820" w:rsidRDefault="00340A71" w:rsidP="00640820">
      <w:pPr>
        <w:autoSpaceDE w:val="0"/>
        <w:autoSpaceDN w:val="0"/>
        <w:adjustRightInd w:val="0"/>
        <w:spacing w:after="0" w:line="240" w:lineRule="auto"/>
        <w:jc w:val="both"/>
        <w:rPr>
          <w:rFonts w:ascii="Times New Roman" w:hAnsi="Times New Roman"/>
          <w:color w:val="000000" w:themeColor="text1"/>
          <w:sz w:val="16"/>
          <w:szCs w:val="16"/>
        </w:rPr>
      </w:pPr>
    </w:p>
    <w:p w14:paraId="537641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на площадке строящегося завода № 448 в Тбилиси образован новый завод № 31 НКАП в результате слияния завода № 448 с эвакуированными сюда заводами № 31 НКАП, № 45 НКАП (кадры и оборудование). Завод № 448 выбыл из состава действующих.</w:t>
      </w:r>
    </w:p>
    <w:p w14:paraId="7AC612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(10.1940-10.1941 г.)- В.Е. Саладзе (11982).</w:t>
      </w:r>
    </w:p>
    <w:p w14:paraId="1BC3CD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1A2F2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закончились испытания БИ в Москве, которые велись с 1 сентября БИ НКАП сначала в большой трубе в натуре, а затем в виде планера за Пе-2 (172,183).</w:t>
      </w:r>
    </w:p>
    <w:p w14:paraId="2336E5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C0B10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года один "Томагаук" IIB прошел полную программу испытаний в НИН ВВС. Хотя наши летчики оценивали его в целом выше, чем "Харрикейн", но все были согласны с тем, что эта машина во многом уступает и современным советским и немецким истребителям. Громоздкая, особенно в сравнении с миниатюрными И-16 и И-153, она обладала посредственными данными во всех отношениях. Недостаточная скорость, плохой вертикальный маневр характеризовали ее не лучшим образом. Отмечались, конечно, и положительные качества - удобная кабина с хорошим обзором, фонарь хорошей прозрачности с устройством аварийного сброса, неплохое вооружение (секундный залп "Томагавка" IIB почти вдвое превышал таковой у МиГ-3). Особенно выделялась значительная дальность полета - до 1100 км. Мотор "Аллисон" при работе на пониженных оборотах и бедной смеси отличался хорошей экономичностью и самолет мог долго держаться в воздухе. Положительно оценивалась также прочность и надежность планера, хорошая защита летчика - бронестекло на отечественных истребителях тогда почти не применялось. Немаловажно было и то, что самолет был вполне доступен летчику средней квалификации, устойчив и "предупредителен" в полете. Известен случай, когда приемщик майор Н.Н.Храмов в Архангельске за несколько часов ознакомился с "Томагауком" и вылетел на нем, выполнив комплекс фигур высшего пилотажа (3457,61).</w:t>
      </w:r>
    </w:p>
    <w:p w14:paraId="1F88FE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5850A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у нас в НИИ ВВС или ЛИИ испытывали Тамагаук Р-40С с Аллисон V1710-33 (173,244).</w:t>
      </w:r>
    </w:p>
    <w:p w14:paraId="3BFE70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B4176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под Москвой принудили к посадке в районе Тушино Me-109F. Испытания показали, что он оказался лучше и ГКО поручил усовершенствовать серийные машины (173,210).</w:t>
      </w:r>
    </w:p>
    <w:p w14:paraId="09641A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A59822C" w14:textId="77777777" w:rsidR="00C857C6" w:rsidRPr="00640820" w:rsidRDefault="00C857C6"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lastRenderedPageBreak/>
        <w:t>В октябре 1941 все работы по автожирам прервались в связи с обо</w:t>
      </w:r>
      <w:r w:rsidRPr="00640820">
        <w:rPr>
          <w:rFonts w:ascii="Times New Roman" w:hAnsi="Times New Roman"/>
          <w:color w:val="0070C0"/>
          <w:sz w:val="16"/>
          <w:szCs w:val="16"/>
        </w:rPr>
        <w:softHyphen/>
        <w:t>стрившейся обстановкой на фронте и выходом немецких войск на ближайшие подступы к Москве. Завод № 290 со станции Ухтомской эвакуировали в поселок Билимбай, расположенный в 50 км от г. Свердловска (Екатеринбург) на Урале. Единственным производством при поселке яв</w:t>
      </w:r>
      <w:r w:rsidRPr="00640820">
        <w:rPr>
          <w:rFonts w:ascii="Times New Roman" w:hAnsi="Times New Roman"/>
          <w:color w:val="0070C0"/>
          <w:sz w:val="16"/>
          <w:szCs w:val="16"/>
        </w:rPr>
        <w:softHyphen/>
        <w:t>лялся старый литейный заводик времен промышленников Демидовых, который к моменту появления сотрудников Ка</w:t>
      </w:r>
      <w:r w:rsidRPr="00640820">
        <w:rPr>
          <w:rFonts w:ascii="Times New Roman" w:hAnsi="Times New Roman"/>
          <w:color w:val="0070C0"/>
          <w:sz w:val="16"/>
          <w:szCs w:val="16"/>
        </w:rPr>
        <w:softHyphen/>
        <w:t>мова уже был занят эвакуированным сюда заводом № 293 во главе с главным конструктором В.Ф. Болховитиновым. Этот коллектив спроектировал и строил ракетный истре</w:t>
      </w:r>
      <w:r w:rsidRPr="00640820">
        <w:rPr>
          <w:rFonts w:ascii="Times New Roman" w:hAnsi="Times New Roman"/>
          <w:color w:val="0070C0"/>
          <w:sz w:val="16"/>
          <w:szCs w:val="16"/>
        </w:rPr>
        <w:softHyphen/>
        <w:t>битель БИ-1, который в случае успеха мог оказаться на</w:t>
      </w:r>
      <w:r w:rsidRPr="00640820">
        <w:rPr>
          <w:rFonts w:ascii="Times New Roman" w:hAnsi="Times New Roman"/>
          <w:color w:val="0070C0"/>
          <w:sz w:val="16"/>
          <w:szCs w:val="16"/>
        </w:rPr>
        <w:softHyphen/>
        <w:t>иболее востребованным в войне. Поэтому станки и обо</w:t>
      </w:r>
      <w:r w:rsidRPr="00640820">
        <w:rPr>
          <w:rFonts w:ascii="Times New Roman" w:hAnsi="Times New Roman"/>
          <w:color w:val="0070C0"/>
          <w:sz w:val="16"/>
          <w:szCs w:val="16"/>
        </w:rPr>
        <w:softHyphen/>
        <w:t>рудование, прибывшие из Ухтомской, разместили в зда</w:t>
      </w:r>
      <w:r w:rsidRPr="00640820">
        <w:rPr>
          <w:rFonts w:ascii="Times New Roman" w:hAnsi="Times New Roman"/>
          <w:color w:val="0070C0"/>
          <w:sz w:val="16"/>
          <w:szCs w:val="16"/>
        </w:rPr>
        <w:softHyphen/>
        <w:t>нии местной церкви, а под мастерские приспособили церковные пристройки. В таких вот необычных условиях пришлось заниматься ремонтом поврежденных автожиров.</w:t>
      </w:r>
    </w:p>
    <w:p w14:paraId="26E38217" w14:textId="77777777" w:rsidR="00C857C6" w:rsidRPr="00640820" w:rsidRDefault="00C857C6"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Главное артиллерийское управление (ГАУ), оценивая итоги боевой деятельности 1-й акэ, называло А-7 устарев</w:t>
      </w:r>
      <w:r w:rsidRPr="00640820">
        <w:rPr>
          <w:rFonts w:ascii="Times New Roman" w:hAnsi="Times New Roman"/>
          <w:color w:val="0070C0"/>
          <w:sz w:val="16"/>
          <w:szCs w:val="16"/>
        </w:rPr>
        <w:softHyphen/>
        <w:t>шим. Одновременно, полностью отказываться от автожи</w:t>
      </w:r>
      <w:r w:rsidRPr="00640820">
        <w:rPr>
          <w:rFonts w:ascii="Times New Roman" w:hAnsi="Times New Roman"/>
          <w:color w:val="0070C0"/>
          <w:sz w:val="16"/>
          <w:szCs w:val="16"/>
        </w:rPr>
        <w:softHyphen/>
        <w:t>ров артиллеристы не спешили. Заместитель наркома обо</w:t>
      </w:r>
      <w:r w:rsidRPr="00640820">
        <w:rPr>
          <w:rFonts w:ascii="Times New Roman" w:hAnsi="Times New Roman"/>
          <w:color w:val="0070C0"/>
          <w:sz w:val="16"/>
          <w:szCs w:val="16"/>
        </w:rPr>
        <w:softHyphen/>
        <w:t>роны генерал-полковник Воронов в марте 1942 г. писал наркому авиационной промышленности Шахурину о необ</w:t>
      </w:r>
      <w:r w:rsidRPr="00640820">
        <w:rPr>
          <w:rFonts w:ascii="Times New Roman" w:hAnsi="Times New Roman"/>
          <w:color w:val="0070C0"/>
          <w:sz w:val="16"/>
          <w:szCs w:val="16"/>
        </w:rPr>
        <w:softHyphen/>
        <w:t>ходимости наличия подобных аппаратов в войсках. Авто</w:t>
      </w:r>
      <w:r w:rsidRPr="00640820">
        <w:rPr>
          <w:rFonts w:ascii="Times New Roman" w:hAnsi="Times New Roman"/>
          <w:color w:val="0070C0"/>
          <w:sz w:val="16"/>
          <w:szCs w:val="16"/>
        </w:rPr>
        <w:softHyphen/>
        <w:t>жиры, способные работать с ограниченных площадок, бы</w:t>
      </w:r>
      <w:r w:rsidRPr="00640820">
        <w:rPr>
          <w:rFonts w:ascii="Times New Roman" w:hAnsi="Times New Roman"/>
          <w:color w:val="0070C0"/>
          <w:sz w:val="16"/>
          <w:szCs w:val="16"/>
        </w:rPr>
        <w:softHyphen/>
        <w:t>ли особенно необходимы при работе с артиллерией в горной, лесистой и болотистой местности, особенно в межсезонную распутицу, когда размокшие полевые аэро</w:t>
      </w:r>
      <w:r w:rsidRPr="00640820">
        <w:rPr>
          <w:rFonts w:ascii="Times New Roman" w:hAnsi="Times New Roman"/>
          <w:color w:val="0070C0"/>
          <w:sz w:val="16"/>
          <w:szCs w:val="16"/>
        </w:rPr>
        <w:softHyphen/>
        <w:t>дромы делали невозможными полеты обычных самолетов. Воронов знал о проектировании нового автожира АК кон</w:t>
      </w:r>
      <w:r w:rsidRPr="00640820">
        <w:rPr>
          <w:rFonts w:ascii="Times New Roman" w:hAnsi="Times New Roman"/>
          <w:color w:val="0070C0"/>
          <w:sz w:val="16"/>
          <w:szCs w:val="16"/>
        </w:rPr>
        <w:softHyphen/>
        <w:t>струкции Камова и определенные надежды связывал с ним. Он просил Шахурина усилить производственную ба</w:t>
      </w:r>
      <w:r w:rsidRPr="00640820">
        <w:rPr>
          <w:rFonts w:ascii="Times New Roman" w:hAnsi="Times New Roman"/>
          <w:color w:val="0070C0"/>
          <w:sz w:val="16"/>
          <w:szCs w:val="16"/>
        </w:rPr>
        <w:softHyphen/>
        <w:t>зу завода № 290, сосредоточив там всех специалистов по винтокрылым аппаратам (20361).</w:t>
      </w:r>
    </w:p>
    <w:p w14:paraId="0102775D" w14:textId="77777777" w:rsidR="00C857C6" w:rsidRPr="00640820" w:rsidRDefault="00C857C6" w:rsidP="00640820">
      <w:pPr>
        <w:shd w:val="clear" w:color="auto" w:fill="FFFFFF"/>
        <w:spacing w:after="0" w:line="240" w:lineRule="auto"/>
        <w:jc w:val="both"/>
        <w:rPr>
          <w:rFonts w:ascii="Times New Roman" w:hAnsi="Times New Roman"/>
          <w:color w:val="0070C0"/>
          <w:sz w:val="16"/>
          <w:szCs w:val="16"/>
        </w:rPr>
      </w:pPr>
    </w:p>
    <w:p w14:paraId="2ED95E67" w14:textId="77777777" w:rsidR="00381BC6" w:rsidRPr="00640820" w:rsidRDefault="00381BC6"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октябре 1941 г. на Ухтомском аэродроме летчик Кошиц начал испытательные полеты электровертолета. Был выполнен ряд подлётов на высоту нескольких метров и полёты по небольшому кругу. Аппарат при этих подъёмах был устойчив и управляем в пределах привязи. Однако вследствие эвакуации после начала войны дальнейшие работы по привязному электрогеликоптеру ГАУ пришлось приостановить, и они уже не возобновлялись.</w:t>
      </w:r>
    </w:p>
    <w:p w14:paraId="6407551B" w14:textId="77777777" w:rsidR="00381BC6" w:rsidRPr="00640820" w:rsidRDefault="00381BC6"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Генеральным заказчиком на электрогеликоптер (это была третья машина) выступило Главное артиллерийское управление. Нелишне будет отметить, что ГАУ РККА было заказчиком, наряду с Химическим управлением, и на другие винтокрылые аппараты, например – на автожир А-7. Основным исполнителем по теме электрогеликоптера было утверждено МАБ ВЭИ (ВЭИ – Всесоюзный электротехнический институт).</w:t>
      </w:r>
    </w:p>
    <w:p w14:paraId="0858D5C9" w14:textId="77777777" w:rsidR="00381BC6" w:rsidRPr="00640820" w:rsidRDefault="00381BC6"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27 мая 1941 г. по приказу № 110с от на базе МАБ было создано Особое КБ ВЭИ со штатом в 30 человек, начальником которого был назначен А.Г.Иосифьян. Согласно техническому заданию, направленному Начальником артиллерии в МАБ ВЭИ при письме №363705, электрогеликоптер создавался для «наблюдательных и корректирующих устройств в артиллерии» и «создания воздушных укрепленных активно-обороняющихся точек». В ходе работ по этому электрогеликоптеру требовалось проверить возможность создания легких электродвигателей, способных конкурировать с тепловыми двигателями, изучить динамику привязного геликоптера, а также отработать автопилотирование на привязи и в свободном полете. В распоряжение МАБ ВЭИ был передан вертолет ЦАГИ 5-ЭА для «использования корпуса, лопастей и других частей аппарата в электрогеликоптере». Работы по созданию электрогеликоптера для ГАУ были разбиты на три этапа: 1. поднятие в воздух и стабилизация геликоптера ЭА-5 2. испытание электрогеликоптера ЭА-5, и на основе испытания разработка проекта промышленного образца 3. изготовление образца в 1941 г. Особенностью конструкции ЭА-5 являлось то, что несущий винт представлял собой комбинацию двух трехлопастных винтов – тягового Дб диаметром 12 м и управляющего Дм диаметром 7,8 м. Хотя использованная в ЭА-5 винтовая схема оказалась неудачной и позднее не применялась, она, в известной степени, решала проблему управляемого полета. Поэтому первостепенной задачей стало создание силовой установки. Были выполнены эскизные проекты электросиловых установок: 1 тихоходный электродвигатель на 180 об/мин, непосредственно сцепленный с валом трехлопастных винтов 2 один быстроходный электродвигатель с редуктором для передачи от 10 000 об/мин на 180 мин 3 три быстроходных высокооборотных двигателя, установленные на лопастях по схеме автора [А.Г. Иосифьян] на 15 000 об/мин 4 два тихоходных двигателя на 1200 об/мин установленные непосредственно на валы редуктора взамен моторов [«Рон»] Работы по электрогеликоптеру для ГАУ должны были осуществляться в соответствии с графиком: изготовление электрических двигателей на ОЭМЗе 1 декабря 1940 г. изготовление и поставка генератора Электросилой 25 ноября 1940 г. монтаж генератора и дизеля на Прожекторном заводе 1 марта 1941 г. реконструкция аппарата ЭА-5 заводом НКАП 1 июня 1941 г. изготовление кабеля Севкабелем 15 декабря 1940 г. монтаж оборудования 15 июля 1941 г. пробный пуск 25 июля 1941 г. Проект малооборотного двигателя (180 об/мин) был забракован на ранней стадии из-за неудовлетворительных массово-габаритных характеристик. Проекты остальных трех моторов были проработаны на уровне чертежей. На высокооборотный двигатель был выполнен полный комплект документации, однако никаких данных о его изготовлении заводом ОЭМЗ не обнаружено. Для установки на летный образец электрогеликоптера вместо бензиновых двигателей были приняты два «тихоходных» электродвигателя на 1200 об/мин общей мощностью 400 л.с. По сравнению с ЭА-5 вес электрогеликоптера уменьшился – с 1158 до 1052 кг. Правда, при этом дизель электрогенератора весил 1830 кг, а со всеми агрегатами его «предполагалось разместить на 5т грузовике», что и было сделано. Питание двигателей вертолёта производилось через гибкий бронированный кабель (22708).</w:t>
      </w:r>
    </w:p>
    <w:p w14:paraId="530E45DA" w14:textId="77777777" w:rsidR="00381BC6" w:rsidRPr="00640820" w:rsidRDefault="00381BC6" w:rsidP="00640820">
      <w:pPr>
        <w:spacing w:after="0" w:line="240" w:lineRule="auto"/>
        <w:jc w:val="both"/>
        <w:rPr>
          <w:rFonts w:ascii="Times New Roman" w:hAnsi="Times New Roman"/>
          <w:color w:val="0070C0"/>
          <w:sz w:val="16"/>
          <w:szCs w:val="16"/>
        </w:rPr>
      </w:pPr>
    </w:p>
    <w:p w14:paraId="60473E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Октябрь 1941 стал последним месяцем работы завода № 1 на московской производственной площадке. В связи с осложнившимся положением на подступах к Москве постановлением ГКО № 741 от 8 октября 1941 г. и последовавшим на следующий день приказом НКАП № 1053 директорам ряда заводов приказывалось немедленно приступить к эвакуации. Но работа в столице продолжалась до последней возможности. Всего за октябрь было изготовлено 202 машины, а отправлено в войска (с учетом построенных ранее) - 293 МиГа. Подавляющее большинство из них вооружались двумя пулеметами БС, две трети имели и ракетные батареи. Последний выпущенный на "старой" территории МиГ имел зав. № 5197. С учетом эвакуации на оставшиеся месяцы 1941 г. производственное задание заводу было снижено: в ноябре - до 100, а в декабре - до 250 МиГов (12045).</w:t>
      </w:r>
    </w:p>
    <w:p w14:paraId="284525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FB2A8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октября 1941 г. на территории завода № 1 в г. Москве образованы Самолетные ремонтные мастерские при Ремотделе НКАП (начальник - А.Т. Карев). В соответствии с пост. ГКО № 1038 от 17.12.1941 г. на территории завода образован новый Завод № 30 НКАП по выпуску самолетов Як-1 (11982).</w:t>
      </w:r>
    </w:p>
    <w:p w14:paraId="040A00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EC4DB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вышло постановление о прекращении выпуска АМ-37. Чтобы делать АМ-38 (4,178).</w:t>
      </w:r>
    </w:p>
    <w:p w14:paraId="311BE3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8387316" w14:textId="77777777" w:rsidR="00C857C6" w:rsidRPr="00640820" w:rsidRDefault="00C857C6"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октябре 1941 г. вы</w:t>
      </w:r>
      <w:r w:rsidRPr="00640820">
        <w:rPr>
          <w:rFonts w:ascii="Times New Roman" w:hAnsi="Times New Roman"/>
          <w:color w:val="0070C0"/>
          <w:sz w:val="16"/>
          <w:szCs w:val="16"/>
        </w:rPr>
        <w:softHyphen/>
        <w:t>шло постановление о прекращении производства АМ-37, так как дальнейшие усилия, согласно требованию И.В. Сталина было решено сосредоточить на АМ-38 (низковы</w:t>
      </w:r>
      <w:r w:rsidRPr="00640820">
        <w:rPr>
          <w:rFonts w:ascii="Times New Roman" w:hAnsi="Times New Roman"/>
          <w:color w:val="0070C0"/>
          <w:sz w:val="16"/>
          <w:szCs w:val="16"/>
        </w:rPr>
        <w:softHyphen/>
        <w:t>сотном двигателе для штурмовиков Ил-2). Уже позднее ра</w:t>
      </w:r>
      <w:r w:rsidRPr="00640820">
        <w:rPr>
          <w:rFonts w:ascii="Times New Roman" w:hAnsi="Times New Roman"/>
          <w:color w:val="0070C0"/>
          <w:sz w:val="16"/>
          <w:szCs w:val="16"/>
        </w:rPr>
        <w:softHyphen/>
        <w:t>боты по АМ-37 были продолжены, в 1942 г. построили око</w:t>
      </w:r>
      <w:r w:rsidRPr="00640820">
        <w:rPr>
          <w:rFonts w:ascii="Times New Roman" w:hAnsi="Times New Roman"/>
          <w:color w:val="0070C0"/>
          <w:sz w:val="16"/>
          <w:szCs w:val="16"/>
        </w:rPr>
        <w:softHyphen/>
        <w:t>ло 30 опытных экземпляров, некоторые из них устанавли</w:t>
      </w:r>
      <w:r w:rsidRPr="00640820">
        <w:rPr>
          <w:rFonts w:ascii="Times New Roman" w:hAnsi="Times New Roman"/>
          <w:color w:val="0070C0"/>
          <w:sz w:val="16"/>
          <w:szCs w:val="16"/>
        </w:rPr>
        <w:softHyphen/>
        <w:t>вались на летные машины. Однако дальнейшего развития этот двигатель так и не получил. Таким образом, проект пи</w:t>
      </w:r>
      <w:r w:rsidRPr="00640820">
        <w:rPr>
          <w:rFonts w:ascii="Times New Roman" w:hAnsi="Times New Roman"/>
          <w:color w:val="0070C0"/>
          <w:sz w:val="16"/>
          <w:szCs w:val="16"/>
        </w:rPr>
        <w:softHyphen/>
        <w:t>кирующего бомбардировщика ОПБ АМ-37 (о нем говорит</w:t>
      </w:r>
      <w:r w:rsidRPr="00640820">
        <w:rPr>
          <w:rFonts w:ascii="Times New Roman" w:hAnsi="Times New Roman"/>
          <w:color w:val="0070C0"/>
          <w:sz w:val="16"/>
          <w:szCs w:val="16"/>
        </w:rPr>
        <w:softHyphen/>
        <w:t>ся далее) имел мало перспектив на удачное завершение (20362).</w:t>
      </w:r>
    </w:p>
    <w:p w14:paraId="28A41392" w14:textId="77777777" w:rsidR="00C857C6" w:rsidRPr="00640820" w:rsidRDefault="00C857C6" w:rsidP="00640820">
      <w:pPr>
        <w:shd w:val="clear" w:color="auto" w:fill="FFFFFF"/>
        <w:spacing w:after="0" w:line="240" w:lineRule="auto"/>
        <w:jc w:val="both"/>
        <w:rPr>
          <w:rFonts w:ascii="Times New Roman" w:hAnsi="Times New Roman"/>
          <w:color w:val="0070C0"/>
          <w:sz w:val="16"/>
          <w:szCs w:val="16"/>
        </w:rPr>
      </w:pPr>
    </w:p>
    <w:p w14:paraId="15F5154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года АМ-37 сняли с производства. После эвакуации выпуск АМ-37 не возобновлялся. АМ-37 проходил летные испытания в октябре 1940 г. на ДБ-240, в ян</w:t>
      </w:r>
      <w:r w:rsidRPr="00640820">
        <w:rPr>
          <w:rFonts w:ascii="Times New Roman" w:hAnsi="Times New Roman"/>
          <w:color w:val="000000" w:themeColor="text1"/>
          <w:sz w:val="16"/>
          <w:szCs w:val="16"/>
        </w:rPr>
        <w:softHyphen/>
        <w:t>варе 1941 г. на опытном бомбардировщике «103». Двигатель испытывали также на МиГ-1 и МиГ-3.</w:t>
      </w:r>
    </w:p>
    <w:p w14:paraId="763F019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Характеристики:</w:t>
      </w:r>
    </w:p>
    <w:p w14:paraId="6A2CD6C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12-цилиндровый рядный У-образный, четырехтактный, водяного охлаждения, редукторный, с односкоростным ПЦН и интеркуле-ром;</w:t>
      </w:r>
    </w:p>
    <w:p w14:paraId="55391AF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диаметр цилиндра/ход поршня 160/190 мм (в цилиндрах с прицепными шатунами 196,8 мм);</w:t>
      </w:r>
    </w:p>
    <w:p w14:paraId="0ACC3AD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объем 46,66 л;</w:t>
      </w:r>
    </w:p>
    <w:p w14:paraId="57F9298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степень сжатия 7,0;</w:t>
      </w:r>
    </w:p>
    <w:p w14:paraId="0CBB3CC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мощность 1200/1500 ./.с. (по заданию 1500 1600</w:t>
      </w:r>
    </w:p>
    <w:p w14:paraId="061811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вес 885 кг (по заданию 800 кг);</w:t>
      </w:r>
    </w:p>
    <w:p w14:paraId="645BF9A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запуск сжатым воздухом;</w:t>
      </w:r>
    </w:p>
    <w:p w14:paraId="3786721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возможна установка синхронизатора. Известны модификации:</w:t>
      </w:r>
    </w:p>
    <w:p w14:paraId="3BD382B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АМ-37, серийный вариант, 1200/1500 л.с., вес 885 кг. «</w:t>
      </w:r>
    </w:p>
    <w:p w14:paraId="3C4AA6A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АМ-37 А, предполагавшийся усовершенствованный вариант с номи</w:t>
      </w:r>
      <w:r w:rsidRPr="00640820">
        <w:rPr>
          <w:rFonts w:ascii="Times New Roman" w:hAnsi="Times New Roman"/>
          <w:color w:val="000000" w:themeColor="text1"/>
          <w:sz w:val="16"/>
          <w:szCs w:val="16"/>
        </w:rPr>
        <w:softHyphen/>
        <w:t>нальной мощностью 1600 л.с., весом 850 кг (по заданию). Должен был быть выпущен на заводские испытания в феврале 1940 г. Све</w:t>
      </w:r>
      <w:r w:rsidRPr="00640820">
        <w:rPr>
          <w:rFonts w:ascii="Times New Roman" w:hAnsi="Times New Roman"/>
          <w:color w:val="000000" w:themeColor="text1"/>
          <w:sz w:val="16"/>
          <w:szCs w:val="16"/>
        </w:rPr>
        <w:softHyphen/>
        <w:t>дений о постройке и испытании нет.</w:t>
      </w:r>
    </w:p>
    <w:p w14:paraId="16E9594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АМ-37ТК, вариант АМ-37 с турбонаддувом. Никакой информации нет.</w:t>
      </w:r>
    </w:p>
    <w:p w14:paraId="11119F4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АМ-37П, вариант АМ-37 с установкой пушки в развале цилиндров, стрелявшей через полый вал редуктора. Проект 1940 г. Сведений о постройке и испытаниях нет.</w:t>
      </w:r>
    </w:p>
    <w:p w14:paraId="6C18350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АМ-37у/в (АМ-37УВ), вариант АМ-37 с удлиненным валом и вынесен</w:t>
      </w:r>
      <w:r w:rsidRPr="00640820">
        <w:rPr>
          <w:rFonts w:ascii="Times New Roman" w:hAnsi="Times New Roman"/>
          <w:color w:val="000000" w:themeColor="text1"/>
          <w:sz w:val="16"/>
          <w:szCs w:val="16"/>
        </w:rPr>
        <w:softHyphen/>
        <w:t>ным редуктором, предназначавшийся для истребителя Гу-1, имевшего схему американской «Аэрокобры». Задание выдано в октябре 1940 г., разработку проекта начали в 1941 г. Построен не был. Материалы про</w:t>
      </w:r>
      <w:r w:rsidRPr="00640820">
        <w:rPr>
          <w:rFonts w:ascii="Times New Roman" w:hAnsi="Times New Roman"/>
          <w:color w:val="000000" w:themeColor="text1"/>
          <w:sz w:val="16"/>
          <w:szCs w:val="16"/>
        </w:rPr>
        <w:softHyphen/>
        <w:t>екта впоследствии использовали в опытном моторе АМ-41. Двигатели АМ-37 устанавливались на опытных самолетах ДБ-4 (ЦКБ-54), ФБ («103»), ТИС-А, Ер-2 (Ер-4), ИДС (Гр-1, не летал), И-200, МиГ-7, МиГ-5 (ДИС-200, недостроен). Их использование предусматривалось про</w:t>
      </w:r>
      <w:r w:rsidRPr="00640820">
        <w:rPr>
          <w:rFonts w:ascii="Times New Roman" w:hAnsi="Times New Roman"/>
          <w:color w:val="000000" w:themeColor="text1"/>
          <w:sz w:val="16"/>
          <w:szCs w:val="16"/>
        </w:rPr>
        <w:softHyphen/>
        <w:t>ектами ИОП, ИТ, СПБ, Е-2, ОКО-7, СК-3, ОДБ (П), И-63, ТШ, ОКО-8, ДБ-ЛК («380»), Гу-2, БОК-17, Ил-2 (11852).</w:t>
      </w:r>
    </w:p>
    <w:p w14:paraId="77B6CC9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D2C9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октябре 1941 г. летчик-испытатель Шемятинков облетал ЛаГГ-3 № 31211062, который подвергли специальной доработке, внеся много мелких изменений, улучшающих аэродинамику и работу мотоустановки. При полетном весе 3117 кг, с убранным костылем и полностью закрытым водорадиатором на высоте 4960 м на этом самолете получили скорость 580 км/ч, а время набора 5000 м - 6,7 мин. Для серийных ЛаГГ-3 выпуска 1941 г. это были наилучшие показатели. Большинство </w:t>
      </w:r>
      <w:r w:rsidRPr="00640820">
        <w:rPr>
          <w:rFonts w:ascii="Times New Roman" w:hAnsi="Times New Roman"/>
          <w:color w:val="000000" w:themeColor="text1"/>
          <w:sz w:val="16"/>
          <w:szCs w:val="16"/>
        </w:rPr>
        <w:lastRenderedPageBreak/>
        <w:t>опробованных на самолете № 31211062 новинок решили постепенно внедрить в серию. Но несмотря на все старания конструкторов, ЛаГГ-3 продолжал уступать по летным данным как истребителям противника, так и яковлевскому Як-1, поступавшему в ВВС во все больших количествах. При этом качество серийной продукции продолжало ухудшаться. Место квалифицированных рабочих заняли женщины и подростки. Остро не хватало материалов, полуфабрикатов и различных элементов оборудования и вооружения. Падало качество комплектующих, поставлявшихся смежными предприятиями. Все это сказывалось на летных данных истребителей. (11983).</w:t>
      </w:r>
    </w:p>
    <w:p w14:paraId="43795F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2492486" w14:textId="77777777" w:rsidR="0033729D" w:rsidRPr="00640820" w:rsidRDefault="0033729D" w:rsidP="00640820">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октябре 1941 года этот И-185 М-71 отправили летом по воздуху в Казань, однако машина совершила вынужденную посадку в поле, после чего не восстанавливалась.</w:t>
      </w:r>
    </w:p>
    <w:p w14:paraId="6B0AFA93" w14:textId="77777777" w:rsidR="0033729D" w:rsidRPr="00640820" w:rsidRDefault="0033729D" w:rsidP="00640820">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А вот испытания И-185 с двигателем М-82А продолжились в декабре 1941 года в Новосибирском филиале ЛИИ, размещенном на аэродроме Толмачево (Новосибирск). Их проводил все тот же летчик-испытатель П.М. Попельнушенко. Испытания были завершены к концу февраля 1942 года (ведущий инженер Соколов). Было выполнено 28 полетов общей продолжительностью 8 часов. Истребитель показал очень хорошие характеристики, однако в серию так и не пошел (19569).</w:t>
      </w:r>
    </w:p>
    <w:p w14:paraId="1F3BC7B3" w14:textId="77777777" w:rsidR="0033729D" w:rsidRPr="00640820" w:rsidRDefault="0033729D" w:rsidP="00640820">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p>
    <w:p w14:paraId="5368DF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мотор АМ-38ТК был передан ЦИАМ"у для предъявления на совместные 50-ти часовые испытания. Работы проводились в ЦИАМ"е (1684,23).</w:t>
      </w:r>
    </w:p>
    <w:p w14:paraId="7961FA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EDBB3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года был испытан мотор собранный полностью из деталей производства завода №27. С 16 октября по 11 ноября 1941 года по решению Государственного Комитета Обороны пропроизошла эвакуация Воронежского завода №16 в Казань, на территорию завода №27. Объединение позволило сконцентрировать в одном месте научно - конструкторскую мысль, материальные и трудовые ресурсы, позволило на новой технической основе решать сложнейшие производственные задачи, выдвинутые необходимостью военного времени. В ноябре 1942 года заводчане завода № 27 в Казани приступили к освоению нового форсированного мотора В.Я.Климова - М105ПФ, мощностью 1200 лошадиных сил. В 1943 году в опытно - конструкторском бюро, возглавляемым В.П. Глушко был создан первый отечественный жидкостный реактивный двигатель РД-1. Он предназначался в качестве вспомогательного двигателя - ускорителя для улучшения взлётных, скоростных и высотных характеристик самолётов. Опытно - конструкторское бюро было укомплектовано высококвалифицированными учёными, конструкторами, экспериментаторами, технологами, металлургами, химиками. С 1942 по 1946 год заместителем Главного конструктора двигателей по лётным испытаниям здесь работал С.П. Королев. Таким образом в Казани на заводе №16 были сосредоточены самые талантливые двигателестроители.</w:t>
      </w:r>
    </w:p>
    <w:p w14:paraId="0D7542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Первый послевоенный год особенно характерен интенсивной помощью заводчан сельским труженикам (в 1946 году директор завода М.М. Лукин издал приказ о производстве товаров народного потребления, а также узлов и деталей для производства сельхозмашин), а также выпуском товаров народного потребления.</w:t>
      </w:r>
    </w:p>
    <w:p w14:paraId="6676A6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Главная особенность послевоенного развития отечественной авиации в том, что происходило оно на базе реактивных двигателей. Они положительно отличались от сложных в производстве и капризных в эксплуатации поршневых моторов. Опытный образец такого двигателя, испытанного на наземном стенде, был создан ещё во время войны конструктором А. М. Люлька. В марте 1946 года правительство поручает заводу ответственейшее задание: освоить выпуск турбореактивного двигателя РД - 20. С этой целью на заводе создаётся опытно-конструкторское бюро (9688).</w:t>
      </w:r>
    </w:p>
    <w:p w14:paraId="70E73D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229BB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Коссов вместе с заводом № 154 эвакуировался в Среднюю Азию, в Андижан. Там завод разместили в хлопковых амбарах. В Андижане в 1942 г. Коссов создал пятицилиндровый двигатель М-12, являвшийся дальнейшим развитием МГ-11. На этот раз мотор форсировали не только по частоте вращения вала, но и по степени сжатия (до 6,2) до мощности 190 л.с. Изготовили два опытных образца. Вес обоих оказался больше предусмотренного заданием. Например, первый вариант весил 215 кг против требуемых 165…175 кг. Оба они с сентября 1942 г. проходили заводские испытания. В начале 1943 г. собирались выставить М-12 на 100-часовые совместные испытания, но они не состоялись. Доводка велась весь год, включая полеты на биплане У-2, а затем на моноплане УТ-1. В марте 1944 г. проводили госиспытания на стенде, прерванные из-за поломки через 30 ч. Всего изготовили шесть-семь опытных экземпляров. Работы по М-12 Коссов вел до осени 1944 г. Впоследствии узлы коссовского М-12 скомбинировали с цилиндровой группой двигателя М-11Д, получив М-11ФР, запущенный в серию (11478).</w:t>
      </w:r>
    </w:p>
    <w:p w14:paraId="4612B4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6ACBA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КБ Н.Н.П. приехало в Новосибирск и получило горцирк и аэроклубовский аэродром (130,35).</w:t>
      </w:r>
    </w:p>
    <w:p w14:paraId="3B7A07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388242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когда БДП проходил испытания, Поликарпов на его основе предложил построить так называемый бомбопланер (БП). С его помощью предполагалось уве</w:t>
      </w:r>
      <w:r w:rsidRPr="00640820">
        <w:rPr>
          <w:rFonts w:ascii="Times New Roman" w:hAnsi="Times New Roman"/>
          <w:color w:val="000000" w:themeColor="text1"/>
          <w:sz w:val="16"/>
          <w:szCs w:val="16"/>
        </w:rPr>
        <w:softHyphen/>
        <w:t>личить бомбовую нагрузку бомбардировщиков. На планер предполагалось загружать бомбы крупного калибра (до 1000 кг), которые не помещались в бом- боотсек бомбардировщика. Сброс бомб предпо</w:t>
      </w:r>
      <w:r w:rsidRPr="00640820">
        <w:rPr>
          <w:rFonts w:ascii="Times New Roman" w:hAnsi="Times New Roman"/>
          <w:color w:val="000000" w:themeColor="text1"/>
          <w:sz w:val="16"/>
          <w:szCs w:val="16"/>
        </w:rPr>
        <w:softHyphen/>
        <w:t>лагалось выполнять по команде штурмана бомбар</w:t>
      </w:r>
      <w:r w:rsidRPr="00640820">
        <w:rPr>
          <w:rFonts w:ascii="Times New Roman" w:hAnsi="Times New Roman"/>
          <w:color w:val="000000" w:themeColor="text1"/>
          <w:sz w:val="16"/>
          <w:szCs w:val="16"/>
        </w:rPr>
        <w:softHyphen/>
        <w:t>дировщика. Проект реализован не был. Справедли</w:t>
      </w:r>
      <w:r w:rsidRPr="00640820">
        <w:rPr>
          <w:rFonts w:ascii="Times New Roman" w:hAnsi="Times New Roman"/>
          <w:color w:val="000000" w:themeColor="text1"/>
          <w:sz w:val="16"/>
          <w:szCs w:val="16"/>
        </w:rPr>
        <w:softHyphen/>
        <w:t>вости ради нужно заметить, что идея бомбопланера впервые была высказана Гроховским еще в 30-х гг. XX века.</w:t>
      </w:r>
    </w:p>
    <w:p w14:paraId="28DF7FA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1943 г. на планер были установлены два мотора М-11Ф. Мотопланер получил обозначение БДП-МП (модернизированный планер). Машина поднималась в воздух, но из-за невысоких летных данных в серию мотопланер не запускался (12300).</w:t>
      </w:r>
    </w:p>
    <w:p w14:paraId="2130E5D6"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6BEE171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первый образец БДП отправили в эвакуацию на буксире за СБ. При перелете аэро</w:t>
      </w:r>
      <w:r w:rsidRPr="00640820">
        <w:rPr>
          <w:rFonts w:ascii="Times New Roman" w:hAnsi="Times New Roman"/>
          <w:color w:val="000000" w:themeColor="text1"/>
          <w:sz w:val="16"/>
          <w:szCs w:val="16"/>
        </w:rPr>
        <w:softHyphen/>
        <w:t>сцепку перехватили истребители ПВО Москвы и при</w:t>
      </w:r>
      <w:r w:rsidRPr="00640820">
        <w:rPr>
          <w:rFonts w:ascii="Times New Roman" w:hAnsi="Times New Roman"/>
          <w:color w:val="000000" w:themeColor="text1"/>
          <w:sz w:val="16"/>
          <w:szCs w:val="16"/>
        </w:rPr>
        <w:softHyphen/>
        <w:t>нудили планер к посадке в районе Каширы. Спустя некоторое время БДП-1 вернули для ремонта в Мо</w:t>
      </w:r>
      <w:r w:rsidRPr="00640820">
        <w:rPr>
          <w:rFonts w:ascii="Times New Roman" w:hAnsi="Times New Roman"/>
          <w:color w:val="000000" w:themeColor="text1"/>
          <w:sz w:val="16"/>
          <w:szCs w:val="16"/>
        </w:rPr>
        <w:softHyphen/>
        <w:t>скву (12300).</w:t>
      </w:r>
    </w:p>
    <w:p w14:paraId="27F97B3E"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28F9CC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года завод № 161 эвакуировался из Москвы в Уфу и разместился на территории бывш. авторемонтного завода, расположенного на ул. Аксакова, 95.</w:t>
      </w:r>
    </w:p>
    <w:p w14:paraId="123733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период работы ОКБ-161 с 1940 по 1949 гг. разработаны изделия системы зажигания для поршневых авиамоторов отечественного производства – слюдяные свечи, экранирующие угольники и контактные устройства.</w:t>
      </w:r>
    </w:p>
    <w:p w14:paraId="6AC297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1943 году, в I квартале ОКБ освоило керамическую изоляцию.</w:t>
      </w:r>
    </w:p>
    <w:p w14:paraId="463312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1943 по 1945 гг. проделана работа по увеличению сроков службы находящихся в эксплуатации авиасвечей.</w:t>
      </w:r>
    </w:p>
    <w:p w14:paraId="306BEE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1945 г. ОКБ обеспечивало выпуск свечей, контактных устройств и угольников для реактивных двигателей.</w:t>
      </w:r>
    </w:p>
    <w:p w14:paraId="37B874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1947 и 1948 гг. освоило керамические свечи для авиадвигателей и пусковой подогреватель ПП-20 для облегчения запуска реактивных двигателей в зимних условиях.</w:t>
      </w:r>
    </w:p>
    <w:p w14:paraId="3A4CAF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1950/51 гг. работа ОКБ проводится в двух направлениях:</w:t>
      </w:r>
    </w:p>
    <w:p w14:paraId="2AE41FA6" w14:textId="77777777" w:rsidR="00165A9C" w:rsidRPr="00640820" w:rsidRDefault="00165A9C" w:rsidP="0064082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Разработка новых конструкций систем зажигания (пусковые катушки, свечи, угольники, контактные устройства и др.).</w:t>
      </w:r>
    </w:p>
    <w:p w14:paraId="0C9EF74E" w14:textId="77777777" w:rsidR="00165A9C" w:rsidRPr="00640820" w:rsidRDefault="00165A9C" w:rsidP="0064082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Разработка агрегатов автоматического запуска для реактивных двигателей типа АП-2, АП-12, АП-12М, АП-2С и др.</w:t>
      </w:r>
    </w:p>
    <w:p w14:paraId="498210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1952 году, согласно приказа МАП № 322 от 25 марта 1952 года, на ОКБ возложено руководство тремя заводами по электроагрегатам: завод № 85, завод № 132, завод № 161.</w:t>
      </w:r>
    </w:p>
    <w:p w14:paraId="1DB45C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Работой ОКБ руководили гл. конструкторы:</w:t>
      </w:r>
    </w:p>
    <w:p w14:paraId="2B4BA5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Воронков – с 1940 по 1943 гг.</w:t>
      </w:r>
    </w:p>
    <w:p w14:paraId="10193E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Чекунов – с 1943 по 1951 гг.</w:t>
      </w:r>
    </w:p>
    <w:p w14:paraId="337119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Дмитриев – с 1951 по 1956 гг.</w:t>
      </w:r>
    </w:p>
    <w:p w14:paraId="14EE44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Богомолов – с 1956 г. (9387).</w:t>
      </w:r>
    </w:p>
    <w:p w14:paraId="13D2AC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42E2C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началась эвакуация завода № 145 (Завод № 145 НКТП, НКОП, НКАП, МАП им С.М. Кирова, Завод № 2 МАП, Государственный Опытный союзный завод № 2 МАП /г. Москва 1 -й Павелецкий пр.; ст. Безымянка пос. Красная Глинка,  г. Куйбышев/) в Уфу. Затем это решение отменено, и по приказу № 1109сс от 11.11.1941 г. завод № 145 2ГУ НКАП вместе с КБ эвакуирован в Куйбышев ст. Безымянка на территорию Лаборатории Куйбышевского гидроузла в двух км от берега Волги и в 6 км от ст. Красная Глинка. Здесь по приказу № 1121сс от 15.11.1941 г. завод объединен с эвакуированным ранее на эту же площадку заводом № 455 НКАП в единый завод № 145 НКАП. Часть завода была эвакуирована в Свердловск, где затем на этой базе создан Свердловский завод эбонитовых изделий (далее- ЗАО «Уралэластотехника»). Поселки Красная Глинка и Управленческий в годы ВОВ включены в состав  г. Куйбышева.</w:t>
      </w:r>
    </w:p>
    <w:p w14:paraId="4A6C9A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Площадка эвакуированного завода со всеми сооружениями, остатками оборудования и кадров по приказу № 134м/ 84мс от 31.12.1941 г. передана заводу № 221 НКТП. Однако здесь некоторое время продолжал действовать филиал ОКБ завода № 145. Затем по приказу № 277с от 14.04.1942 г. филиал был переведен и влит в состав филиала завода № 145 в Болшево.</w:t>
      </w:r>
    </w:p>
    <w:p w14:paraId="43761F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1942 г. часть оборудования была передана на новый завод № 455 НКАП.</w:t>
      </w:r>
    </w:p>
    <w:p w14:paraId="25A491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735с от 8.12.1943 г. с завода № 145 переведена группа специалистов для усиления ОКБ завода №219 НКАП.</w:t>
      </w:r>
    </w:p>
    <w:p w14:paraId="358006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 СМ СССР № 874-366сс от 17.04.1946 г. и приказом МАП № 228сс от 19.04.1946 г. завод № 145 МАП передан из 2ГУ в непосредственное ведение министра и переименован в опытный завод № 2 МАП.</w:t>
      </w:r>
    </w:p>
    <w:p w14:paraId="0B87F8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Имел вторую производственную площадку в 3,5 га в двух км от основной на территории бывших авторемонтных мастерских УОС МВД. Разработка авиационных и ракетных двигателей. В 07.1946 г. завод передан в Особое управление и преобразован в опытный. В 1946-47 г. проведена коренная реконструкция производства, заводу выделено 1064 вагона трофейного оборудования и имущества. В 1948 г. начато строительство наземной испытательной станции. В связи с упразднением Особого управления с 15.06.1949 г. завод передан в 8ГУ (приказ № 422сс от 4.06.1949 г.).</w:t>
      </w:r>
    </w:p>
    <w:p w14:paraId="7A5850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Работали специалисты из моторных ОТБ-1 и ОТБ-2, переведенных из Германии. Из немецких специалистов образовано 4 ОКБ. После 05.1949 г. все ОКБ объединены в одно, его начальником стал Квасов, зам. начальника- Брандлер.</w:t>
      </w:r>
    </w:p>
    <w:p w14:paraId="2907FB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1950 г. из ОКБ-16 МАП на завод переведен немецкий специалист М. Христиан для участия в создании ТВ-2. К 1953 г. все немцы отправлены в ГДР.</w:t>
      </w:r>
    </w:p>
    <w:p w14:paraId="323BD5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Согласно постановления правительства от 11.07.1951 г. на заводе началась разработка двигателя ТВ-2. После катастрофы самолета «95-1» во время испытаний с двигателями 2ТВ-2Ф работы по ним были прекращены, задел по ним передан ОКБ-478 и ОКБ-19.</w:t>
      </w:r>
    </w:p>
    <w:p w14:paraId="3C88B4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постановлению СМ СССР от 29.03.1952 г. и приказу МАП от 1.04.1952 г. началась разработка ТВД ТВ-16 на базе ТВ-12.</w:t>
      </w:r>
      <w:r w:rsidRPr="00640820">
        <w:rPr>
          <w:rFonts w:ascii="Times New Roman" w:hAnsi="Times New Roman"/>
          <w:color w:val="000000" w:themeColor="text1"/>
          <w:sz w:val="16"/>
          <w:szCs w:val="16"/>
          <w:vertAlign w:val="superscript"/>
        </w:rPr>
        <w:t>30</w:t>
      </w:r>
    </w:p>
    <w:p w14:paraId="638B74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работ по опытному двигателестроению, на заводе до 1952 г. продолжалось производство разовых химических бомб УХАП-500, а с 1952 г. планировалось начать выпуск РВП-200.</w:t>
      </w:r>
    </w:p>
    <w:p w14:paraId="77F307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Пост. СМ № 533-271 от 19.02.1953 г. предписывалось передать завод в подчинение КБ-1 «для усиления работ по заказам ТГУ при СМ СССР», но это не было выполнено. В 06.1953 г. завод № 2 переименован в завод № 276 </w:t>
      </w:r>
      <w:r w:rsidRPr="00640820">
        <w:rPr>
          <w:rFonts w:ascii="Times New Roman" w:hAnsi="Times New Roman"/>
          <w:color w:val="000000" w:themeColor="text1"/>
          <w:sz w:val="16"/>
          <w:szCs w:val="16"/>
          <w:lang w:val="en-US"/>
        </w:rPr>
        <w:t>MAII</w:t>
      </w:r>
      <w:r w:rsidRPr="00640820">
        <w:rPr>
          <w:rFonts w:ascii="Times New Roman" w:hAnsi="Times New Roman"/>
          <w:color w:val="000000" w:themeColor="text1"/>
          <w:sz w:val="16"/>
          <w:szCs w:val="16"/>
        </w:rPr>
        <w:t>.</w:t>
      </w:r>
    </w:p>
    <w:p w14:paraId="416B21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территории (1948 г.)-14,03 га; застройки (1948 г.)- 28344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производственная (1948 г.)- 16563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45E5D6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(19.01-14.07.1937 г.)- И.П. Тюкин-Косой, (14.07.1937-01.1944 г.-)- В.И. Крупнов, (-01-06.1945 г.-)- Данилевич, (1946-47 г.-)- Н.М. Олехнович. Ответственный руководитель (22.05.1950-53 г.)- Н.Д. Кузнецов.</w:t>
      </w:r>
    </w:p>
    <w:p w14:paraId="1D567A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(-10.1940 г.)- Е.А. Рогов, (12.1940 г.-)-  Г.Т. Бучнев.</w:t>
      </w:r>
    </w:p>
    <w:p w14:paraId="199623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Технический директор (16.04.1937 г.-)- Д.Д. Коротчаев (Каратчаев).</w:t>
      </w:r>
    </w:p>
    <w:p w14:paraId="2FCFCA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(-16.04.1937 г.)- В.А. Клименов, (-16.09.1937 г.)- Д.Д. Коротчаев, (31.10.1938-; 12.1940 г.-)-  Г.Т. Бучнев.</w:t>
      </w:r>
    </w:p>
    <w:p w14:paraId="518C7B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(02.1937 г.)- М.Н. Родионов, (1937-41 г.-)- И.И. Картуков, (15.04.1949-53 г.)- Н.Д. Кузнецов.</w:t>
      </w:r>
      <w:r w:rsidRPr="00640820">
        <w:rPr>
          <w:rFonts w:ascii="Times New Roman" w:hAnsi="Times New Roman"/>
          <w:color w:val="000000" w:themeColor="text1"/>
          <w:sz w:val="16"/>
          <w:szCs w:val="16"/>
          <w:vertAlign w:val="superscript"/>
        </w:rPr>
        <w:t>101</w:t>
      </w:r>
    </w:p>
    <w:p w14:paraId="1570F5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ТВД: ТВ-2,2ТВ-2Ф (1950-51), ТВ-12 (1951-53).</w:t>
      </w:r>
    </w:p>
    <w:p w14:paraId="298C2F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(ВОВ) выливные авиаприборы: ВАП-1000, ВАП-500, ВАП-250 (8-В-121м), ВАП-200 (8-В- 131), УХАП-250, УХАП-200, ХАРП, ЗАП; ампульные бомбовые кассеты: АБК-1, КМБ-2 («17-1»), КМБ-Ер-2 (АБК-2), КМБ-Пе-2, АБК-3 (8-А-159), АБК-240, АБКП-500 (8-А-161), АБКП-100; ампульные кассеты: АК-1, АК- 2; противотанковый ампуломет «37-1»; авиационные механические прицелы КП-5, КПТ-5, МК-4, МФ-5; замки- держатели Д-2, Дер-31 (У-7-Ш-711), Дер-32; балки для ВАП-250, БП-50; торпедодержатели Т-18, минодержатели МД-39 (11982).</w:t>
      </w:r>
    </w:p>
    <w:p w14:paraId="020BFC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0F29D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в Омск прибыло 5-е конструктор</w:t>
      </w:r>
      <w:r w:rsidRPr="00640820">
        <w:rPr>
          <w:rFonts w:ascii="Times New Roman" w:hAnsi="Times New Roman"/>
          <w:color w:val="000000" w:themeColor="text1"/>
          <w:sz w:val="16"/>
          <w:szCs w:val="16"/>
        </w:rPr>
        <w:softHyphen/>
        <w:t>ское бюро А. А. Архангельского. Так появил</w:t>
      </w:r>
      <w:r w:rsidRPr="00640820">
        <w:rPr>
          <w:rFonts w:ascii="Times New Roman" w:hAnsi="Times New Roman"/>
          <w:color w:val="000000" w:themeColor="text1"/>
          <w:sz w:val="16"/>
          <w:szCs w:val="16"/>
        </w:rPr>
        <w:softHyphen/>
        <w:t>ся опытный авиазавод, которому присвоили № 288. Зимой на заводском аэродроме нача</w:t>
      </w:r>
      <w:r w:rsidRPr="00640820">
        <w:rPr>
          <w:rFonts w:ascii="Times New Roman" w:hAnsi="Times New Roman"/>
          <w:color w:val="000000" w:themeColor="text1"/>
          <w:sz w:val="16"/>
          <w:szCs w:val="16"/>
        </w:rPr>
        <w:softHyphen/>
        <w:t>лись вестись испытания нового бомбардиров</w:t>
      </w:r>
      <w:r w:rsidRPr="00640820">
        <w:rPr>
          <w:rFonts w:ascii="Times New Roman" w:hAnsi="Times New Roman"/>
          <w:color w:val="000000" w:themeColor="text1"/>
          <w:sz w:val="16"/>
          <w:szCs w:val="16"/>
        </w:rPr>
        <w:softHyphen/>
        <w:t>щика «Ту-2», который вскоре стали готовить к серийному выпуску на одном из московских заводов. К сожалению, когда выпуск этого самолета был отлажен и запущен в серию и было выпущено уже 78 бомбардировщиков, поступил приказ о перепрофилировании за</w:t>
      </w:r>
      <w:r w:rsidRPr="00640820">
        <w:rPr>
          <w:rFonts w:ascii="Times New Roman" w:hAnsi="Times New Roman"/>
          <w:color w:val="000000" w:themeColor="text1"/>
          <w:sz w:val="16"/>
          <w:szCs w:val="16"/>
        </w:rPr>
        <w:softHyphen/>
        <w:t>вода к производству истребителей «ЯК-7». Конструкторы завода № 288 готовили к ис</w:t>
      </w:r>
      <w:r w:rsidRPr="00640820">
        <w:rPr>
          <w:rFonts w:ascii="Times New Roman" w:hAnsi="Times New Roman"/>
          <w:color w:val="000000" w:themeColor="text1"/>
          <w:sz w:val="16"/>
          <w:szCs w:val="16"/>
        </w:rPr>
        <w:softHyphen/>
        <w:t>пытанию новые модели самолетов, а также помогали заводу № 166, осуществляя испы</w:t>
      </w:r>
      <w:r w:rsidRPr="00640820">
        <w:rPr>
          <w:rFonts w:ascii="Times New Roman" w:hAnsi="Times New Roman"/>
          <w:color w:val="000000" w:themeColor="text1"/>
          <w:sz w:val="16"/>
          <w:szCs w:val="16"/>
        </w:rPr>
        <w:softHyphen/>
        <w:t>тания агрегатов и деталей выпускавшихся на нем истребителей (ЦДНИОО. Ф. 17. Оп. 1. Д. 2976. Л. 13, 15, 16; Д. 2984. Л. 2, 16; Д. 2986. Л. 79, 81; Д. 2995. Л. 26, 27.). В 1944 г. завод пере</w:t>
      </w:r>
      <w:r w:rsidRPr="00640820">
        <w:rPr>
          <w:rFonts w:ascii="Times New Roman" w:hAnsi="Times New Roman"/>
          <w:color w:val="000000" w:themeColor="text1"/>
          <w:sz w:val="16"/>
          <w:szCs w:val="16"/>
        </w:rPr>
        <w:softHyphen/>
        <w:t>шел на выпуск современного истребителя «ЯК-9». В сутки с конвейера сходило по 8–10 самолетов, и до конца войны было выпущено более 400 истребителей «ЯК-7» и «ЯК-9» (Машкарин, М. И. Сибиряки в Великой Оте</w:t>
      </w:r>
      <w:r w:rsidRPr="00640820">
        <w:rPr>
          <w:rFonts w:ascii="Times New Roman" w:hAnsi="Times New Roman"/>
          <w:color w:val="000000" w:themeColor="text1"/>
          <w:sz w:val="16"/>
          <w:szCs w:val="16"/>
        </w:rPr>
        <w:softHyphen/>
        <w:t xml:space="preserve">чественной войне : страницы историографии и истории. Омск : Тип. Ю. А. Минюка, 1998. С. 18.) (11896). </w:t>
      </w:r>
    </w:p>
    <w:p w14:paraId="169171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4C698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после эвакуации ОКБ-28 из Москвы был оюразован Филиал ОКБ-28 НКАП / г. Красногорск Московской обл./.</w:t>
      </w:r>
    </w:p>
    <w:p w14:paraId="31E236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702с/039 от 14.09.1942 г. (в связи с ликвидацией ОКБ-28) сооружения филиала были переданы из НКАП в ГУ ВВС. По приказу № 703с от 14.09.1942 г. личный состав и материальные ценности переданы заводу № 55 НКАП.</w:t>
      </w:r>
    </w:p>
    <w:p w14:paraId="4E5BBB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(1941 г.-)- К.М. Глек (11982).</w:t>
      </w:r>
    </w:p>
    <w:p w14:paraId="303C61E0" w14:textId="77777777" w:rsidR="00340A71" w:rsidRPr="00640820" w:rsidRDefault="00340A71" w:rsidP="00640820">
      <w:pPr>
        <w:autoSpaceDE w:val="0"/>
        <w:autoSpaceDN w:val="0"/>
        <w:adjustRightInd w:val="0"/>
        <w:spacing w:after="0" w:line="240" w:lineRule="auto"/>
        <w:jc w:val="both"/>
        <w:rPr>
          <w:rFonts w:ascii="Times New Roman" w:hAnsi="Times New Roman"/>
          <w:color w:val="000000" w:themeColor="text1"/>
          <w:sz w:val="16"/>
          <w:szCs w:val="16"/>
        </w:rPr>
      </w:pPr>
    </w:p>
    <w:p w14:paraId="178389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было решено организовать на площадях эвакуированного из г.Москвы завода №32 НКАП (см. Вятское машиностроительное предприятие "Авитек") Ремонтные мастерские по установкам вооружения при Ремотделе НКАП. Налажено массовое изготовление "ППШ". Далее это филиал завода №32 в г. Москве. Директор М.В.Дворкин.</w:t>
      </w:r>
    </w:p>
    <w:p w14:paraId="2C3BAC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Вскоре по приказу №1190 от 27.12.41 г. на этих площадях был образован новый завод по пр-ву агрегатов вооружения, получивший название завод №43 при 2ГУ НКАП. Для скорейшего восстановления производства с завода №32 и с др. заводов было переведено большое ко-во оборудования, оснастки, тех. документация. </w:t>
      </w:r>
    </w:p>
    <w:p w14:paraId="08613A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период войны налажено и осуществлялось производство агрегатов авиационного вооружения: ракетного оружия РО-82 и балок РУ-82 под снаряды РС-82, держателей Дер-21, турелей УБТ-12.7, эл/сбрасывателей ЭСБР-3п, бомбовых замков МД-З-40 для ЛаГГ-3, балок для ФАБ-25. Дополнительно к основному пр-ву было налажено изготовление выливных химич. авиационных приборов ВАП-6м. Продолжалось изготовление пистолетов-пулеметов "ППШ" (производство шло до к. 1945 г.) и ПП-43, винтовочных шомпольных противотанковых гранат ВПГС-41, кассет для гранат ЛАГ-20. </w:t>
      </w:r>
    </w:p>
    <w:p w14:paraId="14FAB9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Директора завода: М.В.Дворкин (1941-44 г.), М.П.Аржаков (в 1946 г.), далее Ф.Г.Нестеров (с 1946 по 1951 г.), Н.И.Сысоев и В.С.Бриль (в период 1951-54гг.), Г.Д.Брустникин (в 1954-63 г.), В.А.Сперанский (с 1963 по 1986 г.), Л.И.Козловский (с 1983 г., далее с 1992 г. - президент АО). </w:t>
      </w:r>
    </w:p>
    <w:p w14:paraId="71A4FF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заводе работало ОКБ-43 НКАП. Было образовано в соответствии с приказом №146 от 21.2.42 г. для разработки бомбардировочных, минно-торпедных и стрелковых авиаустановок, для чего с завода №32 НКАП (г. Киров) были переведены часть ОКБ-1 гл.к. А.И.Шульгина (33 чел.), бригада из состава ОКБ-2 и часть коллектива опытного цеха. Гл.к. завода №43 назначен А.И.Шульгин. При заводе орг. опытный цех. </w:t>
      </w:r>
    </w:p>
    <w:p w14:paraId="61FBA9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Во исполнение приказа НКАП №272 от 6.5.43 г. в состав ОКБ завода №43 была переведана из г.Кирова часть оборудования и личного состава опытного цеха завода №32 НКАП ввиду реэвакуации ОКБ-2 гл.к. Г.М.Можаровского и И.В.Веневидова. </w:t>
      </w:r>
    </w:p>
    <w:p w14:paraId="0E9DA6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к. 1944 г. на завод №43 из г.Кирова было полностью переведено ОКБ-32 НКАП гл.к. И.И.Торопова с опытным цехом и слито с ОКБ-43 в единое заводское ОКБ-43 по стрелковым и бомбардировочным установкам вооружения, гл.к. которого по серии был назначен И.И.Торопов (все по приказу №484 от 3.8.44 г.). Проводились работы по установкам вооружения для Ту-2 (держатели ПКД-2М, Дер-3-44, -4-44, -4-44ук). </w:t>
      </w:r>
    </w:p>
    <w:p w14:paraId="50FE33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соответствии с приказом №447 от 14.11.45 г. в целях укрупнения конструкторских организаций сформировано объединенное ОКБ-43, путем перевода в состав ОКБ-43 И.И.Торопова основной части личного состава (142 чел.) и оборудования ОКБ-487 НКАП гл.к. И.П.Шебанова. Начальником и гл.к. объединенного ОКБ остался И.И.Торопов, а его зам. назначен И.П.Шебанов. По приказу №148 от 22.3.46 г. группа конструкторов и производственников (25 чел.) во главе с гл.к. И.П.Шебановым и зам. гл.к. В.И.Ермиловым выделяется из состава ОКБ-43 МАП и переводится на оп. завод №81 МАП. </w:t>
      </w:r>
    </w:p>
    <w:p w14:paraId="430671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ноября 1949 г. ОКБ-43 И.И.Торопова была предоставлена новая опытная база. ОКБ переведено с серийного завода №43 МАП на завод №134 МАП (п. Тушино) и получило название ОКБ-134. ОКБ-43 ликвидировано и площади переданы заводу. </w:t>
      </w:r>
    </w:p>
    <w:p w14:paraId="695028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После ВОВ на заводе шло производство СППУ - СПСВ-24, ДК-12, ДК-20, ДК-20С, ДК-7-18 и др. С 1952 г. вместо выливных химических приборов ВАП-6м планировалось начать изготовление разовых приборов РВП-100. Производство УРвв началось с освоения с 1957 г. изд."ИС" (К-51, РС-2-УС). Производство этих ракет шло в период с 1959г по 1964 г. Далее шло с 1960 г. производство ракет Р-3С ("310", "Стрела"), в т.ч. в варианте мишени и в учебном варианте, ракет Р-3Р ("320"), Р-13М ("380"), К-23, Р-60 (изд."62"), Р-73 (изд."72"), Р-77. </w:t>
      </w:r>
    </w:p>
    <w:p w14:paraId="432870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1963 г. предприятие получило наименование завод (далее ММЗ, ММПП) "Коммунар", а с 1992 г. - АО "Дукс". </w:t>
      </w:r>
    </w:p>
    <w:p w14:paraId="0166BD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Дукс, ОАО</w:t>
      </w:r>
    </w:p>
    <w:p w14:paraId="5D8C8C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ранее - Завод №42 НКАП, МАП (а) (ранее на этой пл. Завод №32 НКОП,НКАП, ММЗ "Коммунар", ММПП "Коммунар", АО "Дукс")</w:t>
      </w:r>
    </w:p>
    <w:p w14:paraId="73F271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- 125124, г. Москва, ул. Правды, 8 (10777).</w:t>
      </w:r>
    </w:p>
    <w:p w14:paraId="3704C7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D73AB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октября с 1941 г. На площадке эвакуированного завода № 301 были организованы ремонтные мастерские при Ремотделе, далее- при Главремуправлении НКАП. Начальник мастерских (04.1942 г.)- Угольков. Затем мастерские преобразованы в Ремонтный завод. Ремонт ЛаГГ-3, Як-1, Як-3, производство деталей в/винтов.</w:t>
      </w:r>
    </w:p>
    <w:p w14:paraId="699179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постановлением СНК № 913-472сс от 11.06.1942 г. и приказом № 287с от 16.04.1942 г., в связи с преобразованием Главремуправления в 6ГУ НКАП, ремонтный завод переименован в ГС завод № 301 6ГУ НКАП.</w:t>
      </w:r>
    </w:p>
    <w:p w14:paraId="0CF055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 приказу № 798с от 23.10.1942 г. заводу № 301 передан филиал завода № 482 НКАП (механические мастерские) для организации цеха по ремонту и изготовлению плоскостей Як-7. По приказу № 58с от 30.01.1943 г. для усиления производственной базы по выпуску крыльев Як-7 заводу № 301 передан деревообделочный филиал завода № 293 НКАП в дер. Новая Лужа Химкинского р-на со всеми сооружениями. </w:t>
      </w:r>
    </w:p>
    <w:p w14:paraId="7B1AB1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341с от 14.08.1945 г. планировалось объединить филиал завода № 134 и филиал завода № 301 НКАП, а освободившиеся помещения передать Московской конторе Главснаба. Но по приказу № 371с от 8.09.1945 г. (и более раннему № 326с от 8.08.1945 г.) филиал завода № 301 передан из 1ГУ в 7ГУ в распоряжение завода № 156 для расширения работ по Ту-4.</w:t>
      </w:r>
    </w:p>
    <w:p w14:paraId="4A1D96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393с от 2.10.1945 г. на площадку завода № 301 переводен с кадрами и оборудованием завод № 81 НКАП и с 1.09.1945 г. влит в состав завода № 301. В связи с этим с 1.09.1945 г. завод № 301 передан в 7ГУ как опытный завод. В 12.1945 г. на завод переведено ОКБ гл. конструктора С.А. Лавочкина и переименовано в ОКБ-301. Завод стал его опытной базой. Производство крыльев для Як-9 прекращено.</w:t>
      </w:r>
    </w:p>
    <w:p w14:paraId="6C21AA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По приказу № 48с от 8.02.1946 г. для усиления конструкторских кадров в ОКБ-301 переведены из ОКБ-31 завода № 458 НКАП (бывшее ОКБ В.П. Горбунова) 22 ИТР с архивом.</w:t>
      </w:r>
    </w:p>
    <w:p w14:paraId="629E3E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09.1950 г. началась разработка и опытное производство управляемой ракетной техники. С 1.10.1951 г. завод передан из 7ГУ в 6ГУ. Из НИИ-88 МВ в ОКБ-301 переданы наработки по ЗУР, перешла работать группа Бабакина.</w:t>
      </w:r>
    </w:p>
    <w:p w14:paraId="6BC680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1955 г. в ОКБ-301 переведена часть кадров (39 чел.) расформированного КБ завода № 82. </w:t>
      </w:r>
    </w:p>
    <w:p w14:paraId="3938CB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08.1955 г. КБ завода № 82 МОП было восстановлено и подчинено ОКБ-301 С.М. Лавочкина.</w:t>
      </w:r>
    </w:p>
    <w:p w14:paraId="52F256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1960 г.- ГС завод им. С.А. Лавочкина. </w:t>
      </w:r>
    </w:p>
    <w:p w14:paraId="35E485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18.12.1962 г. по конец 1964 г. ОКБ-301 перешло в подчинение ОКБ-52 В.Н. Челомея в качестве филиала № 3 (начальник филиала- А.И. Эйдис). Возложена задача доводки и модернизации морских КР П-5, П-6, П-7, П-120, П-500, «Аметист». В соответствии с постановлением СМ от 18.12.1962 г. с завода № 642 передано производство П-25.3</w:t>
      </w:r>
    </w:p>
    <w:p w14:paraId="1AE684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03.1965 г., вновь став самостоятельным, завод им. Лавочкина ГКОТ передан в подчинение 3ГУ МОМ и по приказу от 6.03.1966 г. преобразован в Машиностроительный завод им. С.А. Лавочкина. Началась разработка космической техники. В 1974 г. завод преобразован в НПО им. С.А. Лавочкина.</w:t>
      </w:r>
    </w:p>
    <w:p w14:paraId="18803D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06.1950 г. вышло постановление СМ СССР о создании мишени «201» (Ла-17) (гл. конструктор- И.А. Меркулов, затем- А.Г. Чесноков). В 06.1956 г.- постановление СМ СССР о разработке на базе Ла-17 разведчика «210-ФР». В 11.1960 г.- постановление о создании разведчика «204». В 11.1961 г.- постановление СМ СССР о создании Ла-17ММ (госиспытания- в 10-12.1963 г.).</w:t>
      </w:r>
    </w:p>
    <w:p w14:paraId="0AD393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10.03.1952 г. вышло постановление № 1264-417 о создании ЗУР «207» (В-300). </w:t>
      </w:r>
    </w:p>
    <w:p w14:paraId="71D11A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20.05.1954 г. постановление СМ СССР № 957-409 о разработке носителя ядерного заряда- МКР «Буря» (гл. конструктор- С.А. Лавочкин, научный руководитель- М.В. Келдыш). Постановлением СМ СССР от 5.02.1960 г. работы по «Буре» прекращены.59 </w:t>
      </w:r>
    </w:p>
    <w:p w14:paraId="7E0232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24.03.1955 г. вышло постановление СМ СССР № 602-369 о создании зенитно-ракетной системы «Даль». Постановлением № 1148-581 от 17.08.1956 г. изменены ТТТ к ЗРК «Даль». Постановлением № 735-338 от 4.04.1958 г. установлен срок предъявления ЗРК «Даль» на совместные испытания- I-й квартал 1960 г. Постановлением от 4.07.1959 г. задавалась разработка «Даль-М» с ЗУР «420» и «Даль-2» с ЗУР «500». Постановлением № 1096-460 от 22.10.1962 г. работы по «Даль» прекращены.57 </w:t>
      </w:r>
    </w:p>
    <w:p w14:paraId="3555CB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1955-57 г. работы по экспериментальной крылатой атомной ракете (КАР) «375» с ЯРД.</w:t>
      </w:r>
    </w:p>
    <w:p w14:paraId="37776A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Постановлением СМ от 14.05.1962 г. принята на вооружение ракета «217М», а постановлением от 6.08.1964 г.- ракета «218» для С-25М. </w:t>
      </w:r>
    </w:p>
    <w:p w14:paraId="7B2D8A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1964 г. завод принимал участие в работах по бомбардировщику Т-4. </w:t>
      </w:r>
    </w:p>
    <w:p w14:paraId="1D33FA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конца 1960-х г. разработка совместно с ЦНИИ «Комета» и НИИ-45 МО системы предупреждения о ракетном нападении «Око». Включает 4 спутника УС-КС и 1 УС-КМО (71Х6) «Прогноз». Первый спутник, «Космос-520», запущен в 09.1972 г. Постановлением правительства № 5721 от 01.1979 г. система «Око» принята на вооружение, приказом МО № 00178 от 27.12.1982 г. поставлена на боевое дежурство. (По [Ъ-28.04.03]- состоит из 8 спутников УС-КС на высокоэллиптических орбитах и 4-х УС-КМО (71Х6) на геостационарных орбитах; двух КП- западного (г. Солнечногорск) и Восточного. Включает также систему отображения «Крокус» и терминалы командной боевой системы «Казбек», находящиеся у Президента, министра обороны и начальника Генштаба. Указом президента № 1770 в 12.1996 г. СПРН принята на вооружение, в 2002 г., после ввода восточного КП, заступила на боевое дежурство.Ъ-28.04.03 </w:t>
      </w:r>
    </w:p>
    <w:p w14:paraId="6E0E80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1989 г. при НПО создан НИЦ им. Бабакина как открытая организация для работы с иностранными специалистами.</w:t>
      </w:r>
    </w:p>
    <w:p w14:paraId="3D648C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НПО им. Лавчкина входит: ОКБ, экспериментальный завод («Вымпел»?), Калужское ОКБ (2002 г.); НИЦ им. Бабакина (2003 г.). В 2004 г. в состав НПО входил Центр «Наземно-космических систем».</w:t>
      </w:r>
    </w:p>
    <w:p w14:paraId="5561DC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2661AC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на 2002 г.: участвует в программах: «Луна», «Марс», «Венера», «Банкир», «Вега», «Фобос», ИРС-1, «Гранат», «Интербол», «Спектр».</w:t>
      </w:r>
    </w:p>
    <w:p w14:paraId="0C1DAB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Численность персонала (1962 г.)- 7966 чел., (1972 г.)- 10.655 чел.77 </w:t>
      </w:r>
    </w:p>
    <w:p w14:paraId="694626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Ген. конструктор (1945-06.1960 г.)- С.А. Лавочкин {1900-1960}, (1960 г.-)- М.М. Пашинин, И.Н. Лукин, А.П. Милованов, (-1965-70 г.-)- Г.Н. Бабакин, С.С. Крюков, (1978 г.)- В.М. Ковтуненко,77 (1996-08.2003 г.)- С.Д. Куликов, (10.2003-1.02.2005 г.)- К.М. Пичхадзе, (1.02.2005 г.-)- Г.М. Полищук (до этого- зам. гендиректора ФКА). И.О. ген. конструктора (08-10.2003 г.)- К.М. Пичхадзе (гендиректор НИЦ им. Бабакина).</w:t>
      </w:r>
    </w:p>
    <w:p w14:paraId="435114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И.О. директора (1942 г.)- Беленков. Директор (-01.1943-02.1945 г.-)- И.Н. Смирнов, (1945 г.-)- С.А. Лавочкин, (07.1951 г.-)- В.Н. Лисицын (до этого- директор опытного завода № 1), (1965 г.)- А.П. Милованов. Гендиректор (-1996-99 г.-)- А.М. Баклунов,58 (-08.2003 г.)- С.Д. Куликов; И.О. гендиректора (08-10.2003 г.)- К.М. Пичхадзе; (10.2003-1.02.2005 г.)- К.М. Пичхадзе, (1.02.2005 г.-)- Г.М. Полищук (до этого- зам. гендиректора ФКА)..</w:t>
      </w:r>
    </w:p>
    <w:p w14:paraId="188CD6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1-й зам. гендиректора (01.2004 г.)- Р. Кремнев, (1.02.2005 г.-)- К.М. Пичхадзе. Зам. Гендиректора: по ВЭД (2002 г.)- И.П. Зайцев.69 </w:t>
      </w:r>
    </w:p>
    <w:p w14:paraId="6E0B28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гл. конструктора (06.1951-53 г.)- П.Д. Грушин (затем- гл. конструктор ОКБ-2 МСМ). Зам. гл., ген. конструктора (-1955-60 г.-)- Н.С. Черняков, (1960 г.)- Хейфец, (-1956-60 г.)- М.М. Пашинин, (10.2005 г.)- К.М. Пичхадзе.</w:t>
      </w:r>
    </w:p>
    <w:p w14:paraId="3D2E0C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Гл. инженер (06.1951-53 г.)- П.Д. Грушин. </w:t>
      </w:r>
    </w:p>
    <w:p w14:paraId="2AA917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конструкторы: (1940-е-1950 г.-)- И.А. Меркулов («201»; затем работал в ЦИАМ), А.Г. Чесноков («201»), (1955 г.)- Н.С. Черняков (МКР «Буря»),59 (1960-е)- О.Г. Ивановский («Луноходы»).</w:t>
      </w:r>
    </w:p>
    <w:p w14:paraId="33E41F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Ведущие конструкторы: (1951 г.)- Н.С. Черняков («205»).</w:t>
      </w:r>
    </w:p>
    <w:p w14:paraId="51A432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теоретического- Г.Н. Бабакин.</w:t>
      </w:r>
    </w:p>
    <w:p w14:paraId="232389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крылья для Як-7, Як-9 (1943-45); Ла-150; УР: «350» (В-350, МКР «Буря)- 19, ЗУР «400» (1961)- опытная партия.</w:t>
      </w:r>
    </w:p>
    <w:p w14:paraId="255B32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самолеты: «150», «156», «160», «168», «174», «176», «190», «200», «250»; ":мишени: «201» (Ла-17), «203» (Ла-17М), «202» (Ла-17ММ), Ла-17У; БПЛА-разведчики: «204» (Ла-17Р, госиспытания в 1963), «204М» (Ла-17РМ), «210-ФР» (1956), Ла-17БР (1958); ЗУР: изд. "205" (В-300 для С-25 «Беркут», серия с 1952 г.), "206" (В-300, опытная, 1951), "207" (В-300, опытная, 1953), «208» (В-300, опытная, 1953), «207А» (В-300, пнв в 1955 г.), «215» (В-300, с ядерной БЧ, пнв в 1957 г.), "217" (В-300, пнв в 1958 г.), «217М» (для С-25М, пнв в 1961 г.), "218" (В-300, с ядерной БЧ, пнв в 1964 г.), «220» (В-600 для С-25), "225" (проект для С-50), «400» (5В11 для ЗРК «Даль», испытана в 1958-62 г.), «420» («Даль-М», 1959), «500» («Даль-2», 1959), В-500 для С-25; УРВВ: "210" (Г-300 на базе В-300, опытная), «211» (Г-310), «275», «277», «278», «279»; МКР "Буря" ("350", В-350, испытана в 1957-60 г.); КАР «375» (1957); КА: станции «Луна-9» (запущена в 01.1966), -10, -11, -12, -13 (запущена в 12.1966), -14, -15, -16 (запущена 12.09.1970, доставлен лунный грунт), -17 («Луноход-1», запущена 10.11.1970); «Венера-4» (запущена 12.06.1967), -5 (запущена 5.01.1969), -6 (запущена 10.01.1969), -7 (запущена 17.08.1970), -11 (запущена 9.09.1978), -12 (запущена 14.09.1978г); исследования геомагнитной и радиационной обстановки «Прогноз-1…5» (1972-76); для астрофизических исследований «Астрон» (1983); для исследований Венеры «Вега» (запуски 15, 21.12.1984); автоматическая обсерватория «Гранат» (запущена 1.12.1989); оптико-электронной разведки «Аркон» («Аракс», 11Ф664, «Космос-2344», «Космос-2392») (1984 г., 1-й запуск в 1997), станция «Марс-8» (1996), спутник связи «Купон» (1997), спутник СПРН «Око» («Космос-2345», «Космос-2350», 1998, «Космос-2397», 2003), разгонный блок «Фрегат» для РН «Союз-2»; «Космос-1» с «солнечным парусом» (запущен 22.06.2005 г.); «Демонстратор» (запуски 9.02.200, 20.07.2001, 12.07.2002, 7.10.2005).</w:t>
      </w:r>
    </w:p>
    <w:p w14:paraId="36B98C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ФГУП «НИЦ (Научно- исследовательский центр) им. Г.Н. Бабакина» </w:t>
      </w:r>
    </w:p>
    <w:p w14:paraId="075153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Химки Московской обл.</w:t>
      </w:r>
    </w:p>
    <w:p w14:paraId="55F6F5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 при НПО им Лавочкина в начале 1989 г. как открытая организация для работы с иностранными специалистами.</w:t>
      </w:r>
    </w:p>
    <w:p w14:paraId="7E420C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Разработка космической техники. Здесь созданы все советские планетоходы. Имеется испытательный полигон- марсодром.ПМ-2/02 Создан «Солнечный парус» (2001 г.). Проект марсохода (2000-е).</w:t>
      </w:r>
    </w:p>
    <w:p w14:paraId="46EC2A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2002 г. входил в состав НПО им. Лавочкина.</w:t>
      </w:r>
    </w:p>
    <w:p w14:paraId="6D2558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 директор (-10.2003 г.)- К.М. Пичхадзе.</w:t>
      </w:r>
    </w:p>
    <w:p w14:paraId="4CB619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Работали: (1960-е)- А.Л. Кемурджиан (ходовая часть «Лунохода»).</w:t>
      </w:r>
    </w:p>
    <w:p w14:paraId="00EB4D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Создано: «Луноход-1» (запущен 10.11.1970 г., «Луна-17»), «Луноход-2» (запущен в 01.1973 г.), «Луноход-3» (не запускался), марсоход М-71 (запущен в 1971 г., «Марс-3»).ПМ-7/04 </w:t>
      </w:r>
    </w:p>
    <w:p w14:paraId="5DFDA3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Центр «Наземно-космических систем»</w:t>
      </w:r>
    </w:p>
    <w:p w14:paraId="6664F7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(2004 г.)- К.Г. Суханов.</w:t>
      </w:r>
    </w:p>
    <w:p w14:paraId="4A74DD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(2004 г.)- К.Г. Суханов.</w:t>
      </w:r>
    </w:p>
    <w:p w14:paraId="005E72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ООО «Инновационное предприятие «Луноход» </w:t>
      </w:r>
    </w:p>
    <w:p w14:paraId="426955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141400 г. Химки Московской обл. ул. Ленинградская, 24 тел. 573-00-75</w:t>
      </w:r>
    </w:p>
    <w:p w14:paraId="5E0ECC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Предприятие создано в 1991 г., учредитель- НПО им. С.А. Лавочкина.</w:t>
      </w:r>
    </w:p>
    <w:p w14:paraId="78C870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(2002 г.): НИОКР по созданию: прецизионной техники, агрегатов КА, систем электропитания, терморегулирования и радиосвязи; устройств для перемещения, фиксации положения; гидро- и пневмораспределителей; оборудование для балансировки; тензорезисторы, датчики, запорная арматура, фильтры тонкой очистки, приводы; специальные волновые передачи.</w:t>
      </w:r>
    </w:p>
    <w:p w14:paraId="3C89AC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(2002 г.)- 17 чел.</w:t>
      </w:r>
    </w:p>
    <w:p w14:paraId="089DBD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Гендиректор (2002 г.)- М.Ф. Тулянкин.</w:t>
      </w:r>
    </w:p>
    <w:p w14:paraId="267496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Зам. гендиректора (2002 г.)- С.В. Титенок.</w:t>
      </w:r>
    </w:p>
    <w:p w14:paraId="61CE0A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ГС Завод № 301 НКАП, МАП, ГКАТ, Машиностроительный завод им. С.А. Лавочкина МОМ, ГСЗ им. С.А. Лавочкина, НПО им. С.А. Лавочкина, НПАО им. С.А. Лавочкина, ФГУП «НПО им. С.А. Лавочкина» РАКА, ФКА </w:t>
      </w:r>
    </w:p>
    <w:p w14:paraId="388480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141400 г. Химки Московской обл. ул. Ленинградская, 24 тел. 573-90-56 www.berc.rssi.ru (10776)</w:t>
      </w:r>
    </w:p>
    <w:p w14:paraId="4E4961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028F1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года комбинат № 150 по решению Правительства был эвакуирован из Ступино. Металлургическое производство было эвакуировано в Каменск-Уральский Челябинской области, а винтовое производство было эвакуировано в Куйбышев. Вновь основанному заводу по производству воздушных винтов в Куйбышеве был присвоен № 35.</w:t>
      </w:r>
    </w:p>
    <w:p w14:paraId="6DC83E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Директором завода № 35 был назначен Марочкин А.И., а гл. конструктором Жданов К.И.</w:t>
      </w:r>
    </w:p>
    <w:p w14:paraId="3604A5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целях создания производственно-экспериментальной базы в области опытного винтостроения, приказом НКАП за № 12сс от 3 января 1944 года на базе объединения ОКБ заводов за №№ 28, 35 и 132 был создан на производственных площадях винтового производства бывш. комбината № 150 в Ступино Московской области опытный завод № 25, который просуществовал до конца первого квартала 1945 года. Директором опытного завода № 25 был назначен Бандолетов М.С., гл. конструктором Жданов К.И.</w:t>
      </w:r>
    </w:p>
    <w:p w14:paraId="6B4633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НКАП за № 151 от 20 апреля 1945 года опытный завод № 25 был реорганизован в ОКБ завода № 150.</w:t>
      </w:r>
    </w:p>
    <w:p w14:paraId="7F39FA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целях создания производственно-технической базы приказом МАП за № 155с от 25 марта 1946 года ОКБ завода № 150 было вторично реорганизовано в опытный завод по винтам и регуляторам под № 120. Директором и гл. конструктором опытного завода № 120 был назначен Жданов К.И. Завод выпускал малые серии воздушных винтов и регуляторов, необходимых для окончательной их обработки перед запуском в серийное производство.</w:t>
      </w:r>
    </w:p>
    <w:p w14:paraId="6E47E0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МАП за № 417 от 17 июня 1948 года опытный завод № 120 был реорганизован в серийный завод по производству воздушных винтов за № 120. Директором завода № 120 был назначен Терентьев Н.В., гл. конструктором Жданов К.И. (9679).</w:t>
      </w:r>
    </w:p>
    <w:p w14:paraId="567CEA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12E43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года винтовое производство комбината № 150 было эвакуировано в Куйбышев, где было реорганизовано в винтовой завод № 35. На площадь нового винтового завода № 35 было эвакуировано и ОКБ, гл. конструктором ОКБ завода № 35 был назначен Жданов К.И.</w:t>
      </w:r>
    </w:p>
    <w:p w14:paraId="36DAFE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связи с неудовлетворительной производственной мощностью ОКБ на заводе № 35 и удаленностью ОКБ от научно-исследовательских баз – ЦАГИ, ЦИАМ, ВИАМ, ЛИИ, МАП и НИИ ВВС, приказом НКАП за № 12сс от 5 февраля 1944 года, на базе объединения опытно-конструкторских бюро заводов №№ 28, 35 и 132 был создан в г. Ступино Московской области на производственных площадях бывш. Винтового производства комбината № 150, опытный завод № 25.</w:t>
      </w:r>
    </w:p>
    <w:p w14:paraId="0A6946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Перебазировка была начата в январе 1944 года. Монтаж и установка оборудования были закончены к 1 июня 1944 года.</w:t>
      </w:r>
    </w:p>
    <w:p w14:paraId="03BDEA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улучшения материально-технической базы, приказом НКАП за № 151сс от 20 апреля 1945 года завод № 25 был реорганизован в ОКБ завода № 150.</w:t>
      </w:r>
    </w:p>
    <w:p w14:paraId="27C7F2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конструктором ОКБ завода № 150 был назначен Жданов К.И.</w:t>
      </w:r>
    </w:p>
    <w:p w14:paraId="3CBD37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заводе № 150 ОКБ находилось всего 11 месяцев, так как ввиду возросшего объема опытных работ – необходимости создания воздушных винтов к мощным моторам для самолетов дальнего действия, нужно было создать самостоятельную современную производственную экспериментальную базу отечественного винтостроения.</w:t>
      </w:r>
    </w:p>
    <w:p w14:paraId="41FA44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базе ОКБ завода № 150 приказом МАП за № 155сс от 25 марта 1946 года ОКБ было реорганизовано в опытный завод № 120. Директором и гл. конструктором опытного завода № 120 был назначен Жданов К.И.</w:t>
      </w:r>
    </w:p>
    <w:p w14:paraId="392331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Согласно приказа МАП № 417сс от 17 июня 1946 года, на базе опытного завода № 120 были созданы серийный завод № 120 по изготовлению воздушных винтов и ОКБ завода № 120 по проектированию и изготовлению новых опытных образцов воздушных винтов. Гл. конструктором ОКБ завода № 120 был назначен Жданов К.И.</w:t>
      </w:r>
    </w:p>
    <w:p w14:paraId="163E3C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Постановлением СМ от 26 июня 1957 года № 713-342 и приказа МАП от 20 августа 1957 года № 544 ОКБ завода № 120 реорганизовано в самостоятельную уставную организацию и является Государственным союзным ОКБ № 120 ГК СМ по авиационной технике.</w:t>
      </w:r>
    </w:p>
    <w:p w14:paraId="6C9EA6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период существования с 1 августа 1938 года до 1 января 1959 года ОКБ № 120 были созданы и переданы в серийное производство следующие основные образцы воздушных винтов: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8"/>
        <w:gridCol w:w="3868"/>
        <w:gridCol w:w="3868"/>
      </w:tblGrid>
      <w:tr w:rsidR="00643896" w:rsidRPr="00640820" w14:paraId="6EE538F9" w14:textId="77777777" w:rsidTr="000D3BCB">
        <w:tc>
          <w:tcPr>
            <w:tcW w:w="3868" w:type="dxa"/>
          </w:tcPr>
          <w:p w14:paraId="1D6B6F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Наименование самолета</w:t>
            </w:r>
          </w:p>
        </w:tc>
        <w:tc>
          <w:tcPr>
            <w:tcW w:w="3868" w:type="dxa"/>
          </w:tcPr>
          <w:p w14:paraId="3D9F0C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Шифр винта</w:t>
            </w:r>
          </w:p>
        </w:tc>
        <w:tc>
          <w:tcPr>
            <w:tcW w:w="3868" w:type="dxa"/>
          </w:tcPr>
          <w:p w14:paraId="19B925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Год передачи в серийное производство</w:t>
            </w:r>
          </w:p>
        </w:tc>
      </w:tr>
      <w:tr w:rsidR="00643896" w:rsidRPr="00640820" w14:paraId="62AA15F6" w14:textId="77777777" w:rsidTr="000D3BCB">
        <w:tc>
          <w:tcPr>
            <w:tcW w:w="3868" w:type="dxa"/>
          </w:tcPr>
          <w:p w14:paraId="6AC79E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И-15</w:t>
            </w:r>
          </w:p>
        </w:tc>
        <w:tc>
          <w:tcPr>
            <w:tcW w:w="3868" w:type="dxa"/>
          </w:tcPr>
          <w:p w14:paraId="0708DF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АВ-1</w:t>
            </w:r>
          </w:p>
        </w:tc>
        <w:tc>
          <w:tcPr>
            <w:tcW w:w="3868" w:type="dxa"/>
          </w:tcPr>
          <w:p w14:paraId="7A712B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1939</w:t>
            </w:r>
          </w:p>
        </w:tc>
      </w:tr>
      <w:tr w:rsidR="00643896" w:rsidRPr="00640820" w14:paraId="0C634FBC" w14:textId="77777777" w:rsidTr="000D3BCB">
        <w:tc>
          <w:tcPr>
            <w:tcW w:w="3868" w:type="dxa"/>
          </w:tcPr>
          <w:p w14:paraId="32196B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И-16</w:t>
            </w:r>
          </w:p>
        </w:tc>
        <w:tc>
          <w:tcPr>
            <w:tcW w:w="3868" w:type="dxa"/>
          </w:tcPr>
          <w:p w14:paraId="142E1A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АВ-1</w:t>
            </w:r>
          </w:p>
        </w:tc>
        <w:tc>
          <w:tcPr>
            <w:tcW w:w="3868" w:type="dxa"/>
          </w:tcPr>
          <w:p w14:paraId="47B52B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1939</w:t>
            </w:r>
          </w:p>
        </w:tc>
      </w:tr>
      <w:tr w:rsidR="00643896" w:rsidRPr="00640820" w14:paraId="432AFD60" w14:textId="77777777" w:rsidTr="000D3BCB">
        <w:tc>
          <w:tcPr>
            <w:tcW w:w="3868" w:type="dxa"/>
          </w:tcPr>
          <w:p w14:paraId="58F6A5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Ил-4</w:t>
            </w:r>
          </w:p>
        </w:tc>
        <w:tc>
          <w:tcPr>
            <w:tcW w:w="3868" w:type="dxa"/>
          </w:tcPr>
          <w:p w14:paraId="094966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ВИШ-23</w:t>
            </w:r>
          </w:p>
        </w:tc>
        <w:tc>
          <w:tcPr>
            <w:tcW w:w="3868" w:type="dxa"/>
          </w:tcPr>
          <w:p w14:paraId="5FEDDC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1939</w:t>
            </w:r>
          </w:p>
        </w:tc>
      </w:tr>
      <w:tr w:rsidR="00643896" w:rsidRPr="00640820" w14:paraId="66223DF6" w14:textId="77777777" w:rsidTr="000D3BCB">
        <w:tc>
          <w:tcPr>
            <w:tcW w:w="3868" w:type="dxa"/>
          </w:tcPr>
          <w:p w14:paraId="63472A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Ли-2</w:t>
            </w:r>
          </w:p>
        </w:tc>
        <w:tc>
          <w:tcPr>
            <w:tcW w:w="3868" w:type="dxa"/>
          </w:tcPr>
          <w:p w14:paraId="3C4226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ВИШ-21</w:t>
            </w:r>
          </w:p>
        </w:tc>
        <w:tc>
          <w:tcPr>
            <w:tcW w:w="3868" w:type="dxa"/>
          </w:tcPr>
          <w:p w14:paraId="50C665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1939</w:t>
            </w:r>
          </w:p>
        </w:tc>
      </w:tr>
      <w:tr w:rsidR="00643896" w:rsidRPr="00640820" w14:paraId="0E13AD31" w14:textId="77777777" w:rsidTr="000D3BCB">
        <w:tc>
          <w:tcPr>
            <w:tcW w:w="3868" w:type="dxa"/>
          </w:tcPr>
          <w:p w14:paraId="4AAFEF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Миг-3</w:t>
            </w:r>
          </w:p>
        </w:tc>
        <w:tc>
          <w:tcPr>
            <w:tcW w:w="3868" w:type="dxa"/>
          </w:tcPr>
          <w:p w14:paraId="5A7809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АВ-5Л-123</w:t>
            </w:r>
          </w:p>
        </w:tc>
        <w:tc>
          <w:tcPr>
            <w:tcW w:w="3868" w:type="dxa"/>
          </w:tcPr>
          <w:p w14:paraId="4A0071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1940</w:t>
            </w:r>
          </w:p>
        </w:tc>
      </w:tr>
      <w:tr w:rsidR="00643896" w:rsidRPr="00640820" w14:paraId="7C4D055F" w14:textId="77777777" w:rsidTr="000D3BCB">
        <w:tc>
          <w:tcPr>
            <w:tcW w:w="3868" w:type="dxa"/>
          </w:tcPr>
          <w:p w14:paraId="23E7EE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Пе-2</w:t>
            </w:r>
          </w:p>
        </w:tc>
        <w:tc>
          <w:tcPr>
            <w:tcW w:w="3868" w:type="dxa"/>
          </w:tcPr>
          <w:p w14:paraId="13BFB7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АВ-5Л-139</w:t>
            </w:r>
          </w:p>
        </w:tc>
        <w:tc>
          <w:tcPr>
            <w:tcW w:w="3868" w:type="dxa"/>
          </w:tcPr>
          <w:p w14:paraId="3CEA1C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1940</w:t>
            </w:r>
          </w:p>
        </w:tc>
      </w:tr>
      <w:tr w:rsidR="00643896" w:rsidRPr="00640820" w14:paraId="58C0CB5B" w14:textId="77777777" w:rsidTr="000D3BCB">
        <w:tc>
          <w:tcPr>
            <w:tcW w:w="3868" w:type="dxa"/>
          </w:tcPr>
          <w:p w14:paraId="31D405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Ер-2</w:t>
            </w:r>
          </w:p>
        </w:tc>
        <w:tc>
          <w:tcPr>
            <w:tcW w:w="3868" w:type="dxa"/>
          </w:tcPr>
          <w:p w14:paraId="2DDD05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АВ-5Л-116</w:t>
            </w:r>
          </w:p>
        </w:tc>
        <w:tc>
          <w:tcPr>
            <w:tcW w:w="3868" w:type="dxa"/>
          </w:tcPr>
          <w:p w14:paraId="1330F8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1940</w:t>
            </w:r>
          </w:p>
        </w:tc>
      </w:tr>
      <w:tr w:rsidR="00643896" w:rsidRPr="00640820" w14:paraId="2F4CBF0E" w14:textId="77777777" w:rsidTr="000D3BCB">
        <w:tc>
          <w:tcPr>
            <w:tcW w:w="3868" w:type="dxa"/>
          </w:tcPr>
          <w:p w14:paraId="774638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Ил-2</w:t>
            </w:r>
          </w:p>
        </w:tc>
        <w:tc>
          <w:tcPr>
            <w:tcW w:w="3868" w:type="dxa"/>
          </w:tcPr>
          <w:p w14:paraId="5C049D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ВИШ-22Т</w:t>
            </w:r>
          </w:p>
        </w:tc>
        <w:tc>
          <w:tcPr>
            <w:tcW w:w="3868" w:type="dxa"/>
          </w:tcPr>
          <w:p w14:paraId="381240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w:t>
            </w:r>
          </w:p>
        </w:tc>
      </w:tr>
      <w:tr w:rsidR="00643896" w:rsidRPr="00640820" w14:paraId="7131FC40" w14:textId="77777777" w:rsidTr="000D3BCB">
        <w:tc>
          <w:tcPr>
            <w:tcW w:w="3868" w:type="dxa"/>
          </w:tcPr>
          <w:p w14:paraId="2E4A59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Ту-2</w:t>
            </w:r>
          </w:p>
        </w:tc>
        <w:tc>
          <w:tcPr>
            <w:tcW w:w="3868" w:type="dxa"/>
          </w:tcPr>
          <w:p w14:paraId="756A6F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АВ-5В-167</w:t>
            </w:r>
          </w:p>
        </w:tc>
        <w:tc>
          <w:tcPr>
            <w:tcW w:w="3868" w:type="dxa"/>
          </w:tcPr>
          <w:p w14:paraId="0F4F53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1942</w:t>
            </w:r>
          </w:p>
        </w:tc>
      </w:tr>
      <w:tr w:rsidR="00643896" w:rsidRPr="00640820" w14:paraId="3A8981D9" w14:textId="77777777" w:rsidTr="000D3BCB">
        <w:tc>
          <w:tcPr>
            <w:tcW w:w="3868" w:type="dxa"/>
          </w:tcPr>
          <w:p w14:paraId="25A71D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Ил-2</w:t>
            </w:r>
          </w:p>
        </w:tc>
        <w:tc>
          <w:tcPr>
            <w:tcW w:w="3868" w:type="dxa"/>
          </w:tcPr>
          <w:p w14:paraId="173614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АВ-5Л-158</w:t>
            </w:r>
          </w:p>
        </w:tc>
        <w:tc>
          <w:tcPr>
            <w:tcW w:w="3868" w:type="dxa"/>
          </w:tcPr>
          <w:p w14:paraId="10B994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1942</w:t>
            </w:r>
          </w:p>
        </w:tc>
      </w:tr>
      <w:tr w:rsidR="00643896" w:rsidRPr="00640820" w14:paraId="614812FE" w14:textId="77777777" w:rsidTr="000D3BCB">
        <w:tc>
          <w:tcPr>
            <w:tcW w:w="3868" w:type="dxa"/>
          </w:tcPr>
          <w:p w14:paraId="484722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Ли-2</w:t>
            </w:r>
          </w:p>
        </w:tc>
        <w:tc>
          <w:tcPr>
            <w:tcW w:w="3868" w:type="dxa"/>
          </w:tcPr>
          <w:p w14:paraId="6C1191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АВ-7НЕ-161</w:t>
            </w:r>
          </w:p>
        </w:tc>
        <w:tc>
          <w:tcPr>
            <w:tcW w:w="3868" w:type="dxa"/>
          </w:tcPr>
          <w:p w14:paraId="791979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1947</w:t>
            </w:r>
          </w:p>
        </w:tc>
      </w:tr>
      <w:tr w:rsidR="00643896" w:rsidRPr="00640820" w14:paraId="287B8FE9" w14:textId="77777777" w:rsidTr="000D3BCB">
        <w:tc>
          <w:tcPr>
            <w:tcW w:w="3868" w:type="dxa"/>
          </w:tcPr>
          <w:p w14:paraId="250D82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Ту-2</w:t>
            </w:r>
          </w:p>
        </w:tc>
        <w:tc>
          <w:tcPr>
            <w:tcW w:w="3868" w:type="dxa"/>
          </w:tcPr>
          <w:p w14:paraId="125FB4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АВ-9ВФ-21К</w:t>
            </w:r>
          </w:p>
        </w:tc>
        <w:tc>
          <w:tcPr>
            <w:tcW w:w="3868" w:type="dxa"/>
          </w:tcPr>
          <w:p w14:paraId="7CAA33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1947</w:t>
            </w:r>
          </w:p>
        </w:tc>
      </w:tr>
      <w:tr w:rsidR="00643896" w:rsidRPr="00640820" w14:paraId="36600BB7" w14:textId="77777777" w:rsidTr="000D3BCB">
        <w:tc>
          <w:tcPr>
            <w:tcW w:w="3868" w:type="dxa"/>
          </w:tcPr>
          <w:p w14:paraId="274CA9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Ли-2</w:t>
            </w:r>
          </w:p>
        </w:tc>
        <w:tc>
          <w:tcPr>
            <w:tcW w:w="3868" w:type="dxa"/>
          </w:tcPr>
          <w:p w14:paraId="4316F9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АВ-7Н-161</w:t>
            </w:r>
          </w:p>
        </w:tc>
        <w:tc>
          <w:tcPr>
            <w:tcW w:w="3868" w:type="dxa"/>
          </w:tcPr>
          <w:p w14:paraId="636F0D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1948</w:t>
            </w:r>
          </w:p>
        </w:tc>
      </w:tr>
      <w:tr w:rsidR="00643896" w:rsidRPr="00640820" w14:paraId="669634BA" w14:textId="77777777" w:rsidTr="000D3BCB">
        <w:tc>
          <w:tcPr>
            <w:tcW w:w="3868" w:type="dxa"/>
          </w:tcPr>
          <w:p w14:paraId="1DAE33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Ил-12</w:t>
            </w:r>
          </w:p>
        </w:tc>
        <w:tc>
          <w:tcPr>
            <w:tcW w:w="3868" w:type="dxa"/>
          </w:tcPr>
          <w:p w14:paraId="3EE8CC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АВ-9В-91</w:t>
            </w:r>
          </w:p>
        </w:tc>
        <w:tc>
          <w:tcPr>
            <w:tcW w:w="3868" w:type="dxa"/>
          </w:tcPr>
          <w:p w14:paraId="03E796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1949</w:t>
            </w:r>
          </w:p>
        </w:tc>
      </w:tr>
      <w:tr w:rsidR="00643896" w:rsidRPr="00640820" w14:paraId="50AF59E5" w14:textId="77777777" w:rsidTr="000D3BCB">
        <w:tc>
          <w:tcPr>
            <w:tcW w:w="3868" w:type="dxa"/>
          </w:tcPr>
          <w:p w14:paraId="2B719E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Ил-12</w:t>
            </w:r>
          </w:p>
        </w:tc>
        <w:tc>
          <w:tcPr>
            <w:tcW w:w="3868" w:type="dxa"/>
          </w:tcPr>
          <w:p w14:paraId="40DE94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АВ-9Е-91</w:t>
            </w:r>
          </w:p>
        </w:tc>
        <w:tc>
          <w:tcPr>
            <w:tcW w:w="3868" w:type="dxa"/>
          </w:tcPr>
          <w:p w14:paraId="35FD47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1949</w:t>
            </w:r>
          </w:p>
        </w:tc>
      </w:tr>
      <w:tr w:rsidR="00643896" w:rsidRPr="00640820" w14:paraId="30560C88" w14:textId="77777777" w:rsidTr="000D3BCB">
        <w:tc>
          <w:tcPr>
            <w:tcW w:w="3868" w:type="dxa"/>
          </w:tcPr>
          <w:p w14:paraId="721886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Ил-12</w:t>
            </w:r>
          </w:p>
        </w:tc>
        <w:tc>
          <w:tcPr>
            <w:tcW w:w="3868" w:type="dxa"/>
          </w:tcPr>
          <w:p w14:paraId="31E5F9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АВ-9-91</w:t>
            </w:r>
          </w:p>
        </w:tc>
        <w:tc>
          <w:tcPr>
            <w:tcW w:w="3868" w:type="dxa"/>
          </w:tcPr>
          <w:p w14:paraId="5EA9BA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1949</w:t>
            </w:r>
          </w:p>
        </w:tc>
      </w:tr>
      <w:tr w:rsidR="00643896" w:rsidRPr="00640820" w14:paraId="4366696A" w14:textId="77777777" w:rsidTr="000D3BCB">
        <w:tc>
          <w:tcPr>
            <w:tcW w:w="3868" w:type="dxa"/>
          </w:tcPr>
          <w:p w14:paraId="702B8C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Ил-14</w:t>
            </w:r>
          </w:p>
        </w:tc>
        <w:tc>
          <w:tcPr>
            <w:tcW w:w="3868" w:type="dxa"/>
          </w:tcPr>
          <w:p w14:paraId="51A6F0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АВ-50</w:t>
            </w:r>
          </w:p>
        </w:tc>
        <w:tc>
          <w:tcPr>
            <w:tcW w:w="3868" w:type="dxa"/>
          </w:tcPr>
          <w:p w14:paraId="0C76C4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1952</w:t>
            </w:r>
          </w:p>
        </w:tc>
      </w:tr>
      <w:tr w:rsidR="00643896" w:rsidRPr="00640820" w14:paraId="3C80B41C" w14:textId="77777777" w:rsidTr="000D3BCB">
        <w:tc>
          <w:tcPr>
            <w:tcW w:w="3868" w:type="dxa"/>
          </w:tcPr>
          <w:p w14:paraId="4AE6F0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Ту-95</w:t>
            </w:r>
          </w:p>
        </w:tc>
        <w:tc>
          <w:tcPr>
            <w:tcW w:w="3868" w:type="dxa"/>
          </w:tcPr>
          <w:p w14:paraId="18B00A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АВ-60</w:t>
            </w:r>
          </w:p>
        </w:tc>
        <w:tc>
          <w:tcPr>
            <w:tcW w:w="3868" w:type="dxa"/>
          </w:tcPr>
          <w:p w14:paraId="348A66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1954</w:t>
            </w:r>
          </w:p>
        </w:tc>
      </w:tr>
      <w:tr w:rsidR="00643896" w:rsidRPr="00640820" w14:paraId="128846DE" w14:textId="77777777" w:rsidTr="000D3BCB">
        <w:tc>
          <w:tcPr>
            <w:tcW w:w="3868" w:type="dxa"/>
          </w:tcPr>
          <w:p w14:paraId="308A65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Ан-10</w:t>
            </w:r>
          </w:p>
        </w:tc>
        <w:tc>
          <w:tcPr>
            <w:tcW w:w="3868" w:type="dxa"/>
          </w:tcPr>
          <w:p w14:paraId="485FC7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АВ-68</w:t>
            </w:r>
          </w:p>
        </w:tc>
        <w:tc>
          <w:tcPr>
            <w:tcW w:w="3868" w:type="dxa"/>
          </w:tcPr>
          <w:p w14:paraId="1D66F9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1956</w:t>
            </w:r>
          </w:p>
        </w:tc>
      </w:tr>
      <w:tr w:rsidR="00643896" w:rsidRPr="00640820" w14:paraId="67AA5F92" w14:textId="77777777" w:rsidTr="000D3BCB">
        <w:tc>
          <w:tcPr>
            <w:tcW w:w="3868" w:type="dxa"/>
          </w:tcPr>
          <w:p w14:paraId="11137F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Ан-12</w:t>
            </w:r>
          </w:p>
        </w:tc>
        <w:tc>
          <w:tcPr>
            <w:tcW w:w="3868" w:type="dxa"/>
          </w:tcPr>
          <w:p w14:paraId="3418BF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АВ-68И сер. 02</w:t>
            </w:r>
          </w:p>
        </w:tc>
        <w:tc>
          <w:tcPr>
            <w:tcW w:w="3868" w:type="dxa"/>
          </w:tcPr>
          <w:p w14:paraId="3466D2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1958</w:t>
            </w:r>
          </w:p>
        </w:tc>
      </w:tr>
      <w:tr w:rsidR="00643896" w:rsidRPr="00640820" w14:paraId="33FC71BC" w14:textId="77777777" w:rsidTr="000D3BCB">
        <w:tc>
          <w:tcPr>
            <w:tcW w:w="3868" w:type="dxa"/>
          </w:tcPr>
          <w:p w14:paraId="0E2147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Ту-114</w:t>
            </w:r>
          </w:p>
        </w:tc>
        <w:tc>
          <w:tcPr>
            <w:tcW w:w="3868" w:type="dxa"/>
          </w:tcPr>
          <w:p w14:paraId="2DAE62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АВ-60Н сер. 03</w:t>
            </w:r>
          </w:p>
        </w:tc>
        <w:tc>
          <w:tcPr>
            <w:tcW w:w="3868" w:type="dxa"/>
          </w:tcPr>
          <w:p w14:paraId="160AB6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1958</w:t>
            </w:r>
          </w:p>
        </w:tc>
      </w:tr>
      <w:tr w:rsidR="00643896" w:rsidRPr="00640820" w14:paraId="03BB187C" w14:textId="77777777" w:rsidTr="000D3BCB">
        <w:tc>
          <w:tcPr>
            <w:tcW w:w="3868" w:type="dxa"/>
          </w:tcPr>
          <w:p w14:paraId="76A3FD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Ил-18</w:t>
            </w:r>
          </w:p>
        </w:tc>
        <w:tc>
          <w:tcPr>
            <w:tcW w:w="3868" w:type="dxa"/>
          </w:tcPr>
          <w:p w14:paraId="0C3D5C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АВ-68 сер. 02</w:t>
            </w:r>
          </w:p>
        </w:tc>
        <w:tc>
          <w:tcPr>
            <w:tcW w:w="3868" w:type="dxa"/>
          </w:tcPr>
          <w:p w14:paraId="292176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1958</w:t>
            </w:r>
          </w:p>
        </w:tc>
      </w:tr>
    </w:tbl>
    <w:p w14:paraId="3BA70A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(9381)</w:t>
      </w:r>
    </w:p>
    <w:p w14:paraId="124195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912A9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Создатели винта АВ-5Л-158 для защиты носовой части штурмовика разработали специальный броневой колпак на цилиндр винта. Однако для его внедрения разработчикам винта пришлось проявить изрядную настойчивость, поскольку металлургический завод отказывался заниматься изготовлением подобной «мелочи». Конструктор Н.П. Кузьмичев и технолог И.А. Горбунов дважды ездили к металлургам и сумели все-таки убедить Главного инженера завода в важности проблемы и необходимости ее практического решения. Об этой истории рассказал Н.П. Кузьмичев: «получив задание от К.И. Жданова, мы на полуторке «ГАЗ» выехали на металлургический завод. Приехали туда рано, но секретарь Главного инженера находилась уже на рабочем месте. Главный инженер отсутствовал и нас направили к его заместителю. Доложив о нашем задании, мы услышали, что он уже дважды объяснял нашим предыдущим товарищам, что принять такой заказ они не могут, поскольку занимаются только крупными изделиями. Нам было заявлено, чтобы мы решали эту проблему сами на своем серийном заводе. Вернувшись домой, мы получили от Главного конструктора задание обязательно добиться размещения заказа у металлургов. На другой день мы поехали вновь и уже встретились с Главным инженером. Объяснили ему важность постановки бронезащиты цилиндра винта. Главный инженер тут же вызвал своего зама и приказал ему забрать необходимую документацию, срочно проработать ее и запустить изготовление этой важной для винта штурмовика детали в серийном производстве. В итоге я и И.А. Горбунов получили благодарность от Главного конструктора». Воздушный винт АВ-5Л-158 в сравнении с лицензионным винтом ВИШ-22Т обеспечил сокращение длины разбега Ил-2 на 25%, увеличение скороподъемности на 10%, а также улучшил эксплуатационные свойства самолета, предотвратив раскрутку винта и мотора, устранив течь масла, обеспечив возможность замены лопастей в полевых условиях (12103).</w:t>
      </w:r>
    </w:p>
    <w:p w14:paraId="5C0BA8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64F04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в 3ГУ на базе части авиакомбината № 150, эвакуированного в 10.1941 г. из Ступино (Московской обл.) был создан завод № 35 НКАП (Завод № 35 НКАП, Куйбышевский агрегатный завод МАП, Самарское ГП «Авиаагрегат», АООТ, ОАО «Авиаагрегат» / г. Куйбышев ст. Безымянка/ /443009  г. Самара Заводское ш., 55 тел. 55-15-12/). По приказу № 218с от 19.03.1942г, передан в 14ГУ НКАП.</w:t>
      </w:r>
    </w:p>
    <w:p w14:paraId="606192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12.1941 г. закончена разработка в/винта АВ-5 для Пе-2, и он передан в серийное производство.</w:t>
      </w:r>
    </w:p>
    <w:p w14:paraId="1A435D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Серийный завод по производству авиационных металлических винтов.</w:t>
      </w:r>
    </w:p>
    <w:p w14:paraId="255B02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1946 г. началась реорганизация завода для выпуска новой продукции - шасси для самолетов МиГ-15, Ту-124.</w:t>
      </w:r>
    </w:p>
    <w:p w14:paraId="2F8789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15.03.1953 г. завод передан из 14ГУ во 2ГУ, с 1.05.1956 г.- из 2ГУ в 1ГУ. В соответствии с пост. СМ СССР № 713-342 от 26.06.1957 г. передан в ведение СНХ РСФСР.</w:t>
      </w:r>
    </w:p>
    <w:p w14:paraId="7DA581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1961 г.-проектирование шасси.</w:t>
      </w:r>
    </w:p>
    <w:p w14:paraId="516E66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Изготавливал комплектующие для ОК «Буран».</w:t>
      </w:r>
    </w:p>
    <w:p w14:paraId="136E9D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Имел московское представительство, образованное в 1996 г.</w:t>
      </w:r>
    </w:p>
    <w:p w14:paraId="15ABCB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1990-х-2000-х  г.- работы по проектированию, изготовлению и испытаниям шасси, рулевых приводов, гидросиловых агрегатов </w:t>
      </w:r>
      <w:r w:rsidRPr="00640820">
        <w:rPr>
          <w:rFonts w:ascii="Times New Roman" w:hAnsi="Times New Roman"/>
          <w:color w:val="000000" w:themeColor="text1"/>
          <w:sz w:val="16"/>
          <w:szCs w:val="16"/>
          <w:lang w:val="en-US"/>
        </w:rPr>
        <w:t>JIA</w:t>
      </w:r>
      <w:r w:rsidRPr="00640820">
        <w:rPr>
          <w:rFonts w:ascii="Times New Roman" w:hAnsi="Times New Roman"/>
          <w:color w:val="000000" w:themeColor="text1"/>
          <w:sz w:val="16"/>
          <w:szCs w:val="16"/>
        </w:rPr>
        <w:t>. Является крупнейшей в России фирмой по данной тематике.</w:t>
      </w:r>
    </w:p>
    <w:p w14:paraId="7AAAFC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2.06.1994 г. предприятие преобразовано в АООТ «Авиаагрегат». В его состав входили (2002 г.) серийный завод и ОКБ. По решению Правительства № 22-р от 9.01.2004 г. и Указу Президента РФ № 1009 от 4.08.2004 г. вошло в число стратегических оборонных предприятий.</w:t>
      </w:r>
    </w:p>
    <w:p w14:paraId="0CB849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(-07.1942-02.1943 г.-)- Марочкин. Гендиректор (1996 г.)- О.А. Ермаков, (-2002-05 г.-&gt;  Г.А. Кулаков. Производство: в/винты: АВ-5Л-158, -139, -167, -124; ВИШ-21, ВИШ-22Т, ВИШ-23 (-1945); блоки УБ-16-57У (с конца 1950-х), Б-8М1, Б-8В20, Б-8В7, Б-13Л ( 1990-е); шасси для МиГ-15, Ил-86, Ту-124, Ту-154, Ту-134, Ан- 24, Ан-32, Ан-72, МиГ-23, Ту-160, Ил-96, Ту-204, Ту-214, С-80;</w:t>
      </w:r>
    </w:p>
    <w:p w14:paraId="14EF75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свеклоуборочные машины (середина 1950-х); гидроцилиндры для наземной техники, амортизаторы, муфты для автомобилей ГАЗ, УАЗ (2005), поглощающие аппараты сцепок цистерн (11982).</w:t>
      </w:r>
    </w:p>
    <w:p w14:paraId="416A29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0BC3D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с приближением немецко-фашистских войск к г. Москве и опасностью ее окружения началась эвакуация в г. Куйбышев авиационных заводов из столицы. Авиационный завод № 1 Оргавиапрома и завод № 305 НКАП были размещены на площади бытовок строящихся заводов №№ 122 и 295. Вместе с этим также в октябре на площади завода № 122 были эвакуированы Московские мебельные фабрики №№ 3 и 6. В начале ноября 1941 г. из г. Москвы на площади завода № 455 был эвакуирован завод № 145 НКАП и одна часть завода № 487 НКАП, а на площади завода № 454 – другая часть завода № 487 (ГАСО. Ф. Р-2558. Оп. 6. Д. 43. Л. 156, 173, 201, 210.) (11714).</w:t>
      </w:r>
    </w:p>
    <w:p w14:paraId="709825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7F54D13" w14:textId="77777777" w:rsidR="00165A9C" w:rsidRPr="00640820" w:rsidRDefault="00165A9C" w:rsidP="00640820">
      <w:pPr>
        <w:widowControl w:val="0"/>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на площадку 122-го завода было решено эвакуировать завод № 1 и ряд других предприятий НКАП. В конце концов все они влились в состав 1 -го заво</w:t>
      </w:r>
      <w:r w:rsidRPr="00640820">
        <w:rPr>
          <w:rFonts w:ascii="Times New Roman" w:hAnsi="Times New Roman"/>
          <w:color w:val="000000" w:themeColor="text1"/>
          <w:sz w:val="16"/>
          <w:szCs w:val="16"/>
        </w:rPr>
        <w:softHyphen/>
        <w:t>да. Организовать производство на новом месте удалось быстро, однако развернуть там широкомасштабный выпуск МиГ-3 было не суждено (11938).</w:t>
      </w:r>
    </w:p>
    <w:p w14:paraId="389A8B60" w14:textId="77777777" w:rsidR="00165A9C" w:rsidRPr="00640820" w:rsidRDefault="00165A9C" w:rsidP="0064082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E1A1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в момент наибольшей близости фронта к Химкам, Ремонтные мастерские завода № 84 были переведены в Москву, на территорию бывш. завода № 89 ГВФ, которые по указанию наркома Шахурина впоследствии были реорганизованы в завод № 89 (9149).</w:t>
      </w:r>
    </w:p>
    <w:p w14:paraId="39FFFA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C31AE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в Ташкенте начал прибывать завод № 84. Завод был размещен на 4-х территориях, расположенных на расстоянии 7-8 км друг от друга: территория “А” – здание Полиграфкомбината; территория “Б” – здания и ангары завода № 243 ГВФ, завод был отведен для пользования аэродром, принадлежащий САВО; территория “А” – здание Деревообделочного завода Чирчикстроя.</w:t>
      </w:r>
    </w:p>
    <w:p w14:paraId="090887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территории “Т” у Ташкентского текстильного комбината было нанято заводом площади под складские помещения.</w:t>
      </w:r>
    </w:p>
    <w:p w14:paraId="273F94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Занятые помещения совершенно не подходили для самолетостроительного завода.</w:t>
      </w:r>
    </w:p>
    <w:p w14:paraId="4D29EB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Потребовалось строительство новых корпусов.</w:t>
      </w:r>
    </w:p>
    <w:p w14:paraId="5C2C17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распоряжению НКАП № 4349 от 23 ноября 1941 года в состав завода был влит завод № 478 4-го гл. управления.</w:t>
      </w:r>
    </w:p>
    <w:p w14:paraId="22834E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Через 80 дней после прекращения выпуска самолетов ПС-84 в г. Химки, с 7 января 1942 года, завод начал выпуск самолетов в Ташкенте.</w:t>
      </w:r>
    </w:p>
    <w:p w14:paraId="225DF3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январе 1942 года завод сдал в соответствии с программой 8 самолетов. Уже в марте 1942 года выпуск самолетов из сборочного цеха был доведен до одной машины в день, а с июля завод начал выпускать самолеты с бомбардировочным устройством и довел выпуск до 2-х машин в день. В IV квартале выпуск самолетов снизился вдвое против III квартала.</w:t>
      </w:r>
    </w:p>
    <w:p w14:paraId="0942E3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 за 1942 год завод изготовил и сдал 386 самолетов.</w:t>
      </w:r>
    </w:p>
    <w:p w14:paraId="660FA6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Постановлением ГКО № 2272 от 7 сентября 1942 года и приказом НКАП № 695 от 11 октября 1942 года самолет ПС-84 был переименован в самолет ЛИ-2 (Лисунов-2).</w:t>
      </w:r>
    </w:p>
    <w:p w14:paraId="017CFE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1943 году завод продолжал улучшать летно-тактические и эксплуатационные качества самолета ЛИ-2, внедрив в серию пламешумогаситель, штурманскую кабину, приспособление для подъема бомб и т.д. В течение IV квартала был построен опытный самолет ЛИ-2 с более мощными моторами М82ФН и выдан из сборочного цеха для проведения заводских испытаний.</w:t>
      </w:r>
    </w:p>
    <w:p w14:paraId="332BEF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1943 году завод сдал 641 самолет.</w:t>
      </w:r>
    </w:p>
    <w:p w14:paraId="377F93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Одновременно велось строительство завода.</w:t>
      </w:r>
    </w:p>
    <w:p w14:paraId="3445CF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основании приказа НКАП от 6 декабря 1942 года за № 733с заводом принята часть объекта № 600.</w:t>
      </w:r>
    </w:p>
    <w:p w14:paraId="753C59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1944 году завод сдал 627 самолетов, в том числе 10 пассажирских, выпуск которых возобновил в этом году.</w:t>
      </w:r>
    </w:p>
    <w:p w14:paraId="27395B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Опытный самолет с моторами М82ФН был переоборудован в пассажирскую машину и после заводских испытаний направлен на испытания в ЛИИ НКАП. За год был отремонтирован 101 самолет, в том числе 77 в полевых условиях.</w:t>
      </w:r>
    </w:p>
    <w:p w14:paraId="5E77F0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1945 году по апрель включительно завод выпускал военные самолеты, а с 1 мая по приказу НКАП № 174 от 27 апреля 1945 года перешел на выпуск гражданских машин – транспортных ЛИ-2Т и пассажирских ЛИ-2П.</w:t>
      </w:r>
    </w:p>
    <w:p w14:paraId="3A47B9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период ВОВ в порядке замены стратегических материалов и упрощения декоративной отделки, в конструкции и технологию был внесен ряд изменений, не влияющих на прочность конструкций. Кроме того, по установившейся практике мелкие дефекты непрочностного характера не устранялись.</w:t>
      </w:r>
    </w:p>
    <w:p w14:paraId="6CAF30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августе 1945 года завод получил от НКАП указание не выпускать самолетов без проведения ряда изменений, связанных с заменой отдельных деревянных конструкций (двери, панели) на металлические, улучшением комфортабельности грузовых машин (туалетной комнатой) багажники и пр. и устранением ранее пропускавшихся мелких дефектов.</w:t>
      </w:r>
    </w:p>
    <w:p w14:paraId="17DB1E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первые 7 месяцев 1945 года завод сдал 367 самолетов и за последние 5 месяцев 87 самолетов, а всего 454 самолета, в том числе 20 самолетов повышенного качества Польской Республике.</w:t>
      </w:r>
    </w:p>
    <w:p w14:paraId="4C2C37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октября 1946 года завод вышел в соответствии с установленной программой на выпуск одной машины в день из сборочного цеха.</w:t>
      </w:r>
    </w:p>
    <w:p w14:paraId="5750C7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Выпуск самолетов в 1946 году составил 163 машины.</w:t>
      </w:r>
    </w:p>
    <w:p w14:paraId="50F402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1947 года была завершена послевоенная перестройка работы завода. Завод освоил выпуск гражданских самолетов типа ЛИ-2 транспортного и пассажирских вариантов.</w:t>
      </w:r>
    </w:p>
    <w:p w14:paraId="3C1FF7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1947 году заводом выпущено самолетов всех типов 351.</w:t>
      </w:r>
    </w:p>
    <w:p w14:paraId="3156F6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завод в 1947 году работал и над освоением опытных объектов. Были развернуты работы по изготовлению опытного экземпляра самолета типа Т-82 конструкции ОКБ-30, который был собран, но не сдан из-за отсутствия целого ряда готовых изделий и моторов.</w:t>
      </w:r>
    </w:p>
    <w:p w14:paraId="7037F7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1948 году завод выполнял программу по выпуску самолетов ЛИ-2Т и ЛИ-2П. В результате проведенных конструктивных изменений повышена скорость самолета на расчетной высоте на 11 км/час.</w:t>
      </w:r>
    </w:p>
    <w:p w14:paraId="2E2A75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1949 году завод выпустил 208 транспортных и 93 пассажирских самолета ЛИ-2 против 180 транспортных и 80 пассажирских по плану.</w:t>
      </w:r>
    </w:p>
    <w:p w14:paraId="2DEF42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1950 году завод выпустил 293 самолета вместо275 по плану.</w:t>
      </w:r>
    </w:p>
    <w:p w14:paraId="4ECCB9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1950 год завод выпустил 313 самолетов ЛИ-2Т и ЛИ-2П, перевыполнив годовой государственный план на 13 машин.</w:t>
      </w:r>
    </w:p>
    <w:p w14:paraId="1EFE35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МАП № 272с от 31 марта 1951 года завод начал изготовление россыпи к самолету ИЛ-12: коллекторов и бензобаков, по приказу МАП № 749с от 7 августа 1951 года на завод возложено изготовление всей россыпи к самолету ИЛ-12.</w:t>
      </w:r>
    </w:p>
    <w:p w14:paraId="194989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марта 1953 года в соответствии с законом ВС СССР “О преобразовании министерств Союза ССР” завод вошел в состав 1-го гл. управления МОП.</w:t>
      </w:r>
    </w:p>
    <w:p w14:paraId="3535BB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Указом Президиума ВС СССР от 24 августа 1953 года было образовано МАП, в соответствии с которым завод вошел в состав 10-го гл. управления МАП.</w:t>
      </w:r>
    </w:p>
    <w:p w14:paraId="6957AB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СМ СССР от 1 апреля 1953 года № 947-407 принято решение об организации на заводе № 84 серийного производства самолетов ИЛ-14 гл. конструктора С.В.И., с выпуском первых трех самолетов в 1953 году и снятии с производства самолета ЛИ-2.</w:t>
      </w:r>
    </w:p>
    <w:p w14:paraId="634A5D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мае 1953 года завод прекратил производство самолетов ЛИ-2, выпустив в 1953 году 130 машин.</w:t>
      </w:r>
    </w:p>
    <w:p w14:paraId="36FB7F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связи с непрерывным 15-ти летним производством самолета ЛИ-2 для производства самолета ИЛ-14 потребовалась серьезная перестройка завода.</w:t>
      </w:r>
    </w:p>
    <w:p w14:paraId="696632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апреле 1953 года были получены серийные чертежи ИЛ-14.</w:t>
      </w:r>
    </w:p>
    <w:p w14:paraId="10A4CA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Первые три запланированных самолета ИЛ-14 в декабре 1953 года выпущены не были.</w:t>
      </w:r>
    </w:p>
    <w:p w14:paraId="1CF6AD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1954 года завод с некоторым опозданием начал выпуск самолетов ИЛ-14п. 14 марта 1954 года был поднят в воздух первый самолет № 0101. До октября 1954 года завод выпустил 28 самолетов и был остановлен вследствие приостановки приемки агрегатов и самолетов по требованиям качества.</w:t>
      </w:r>
    </w:p>
    <w:p w14:paraId="3E6F16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На начало 1955 года завод имел в доработке 20 самолетов, 15 фюзеляжей, 5 центропланов, 3 комплекта крыльев, собранных в III квартале 1954 года, приемка которых была прекращена с октября 1954 года.</w:t>
      </w:r>
    </w:p>
    <w:p w14:paraId="46C7F4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марта по апрель 1955 года завод доработал и выпустил задел собранных самолетов и начиная с мая, стал выпускать по 6 самолетов в месяц.</w:t>
      </w:r>
    </w:p>
    <w:p w14:paraId="00035F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августе 1955 года вторично была приостановлена приемка самолетов.</w:t>
      </w:r>
    </w:p>
    <w:p w14:paraId="1C616D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Наряду с проведением крупных доработок по конструктивным изменениям, завод освоил выпуск комфортабельного самолета ИЛ-14 специального назначения типа “Салон”. В декабре завод так же осваивал производство самолетов ИЛ-14 десантного типа.</w:t>
      </w:r>
    </w:p>
    <w:p w14:paraId="60C11E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1956 год – задание освоить производство и выпуск по специальному заказу самолетов ИЛ-15 ЗОД (десантный вариант).</w:t>
      </w:r>
    </w:p>
    <w:p w14:paraId="6BBC84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Изготовить и сдать на госиспытания в ГК НИИ ВВС один самолет с конструктивными изменениями и монтажами не прошедшими испытания.</w:t>
      </w:r>
    </w:p>
    <w:p w14:paraId="3A23FE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1956 году всего было сдано 125 самолетов, в т.ч.: серийных – 97, комфортабельных самолетов типа “Салон” – 11, в транспортном варианте – 10 машин и 7 машин 24-х местных самолетов ИЛ-14.</w:t>
      </w:r>
    </w:p>
    <w:p w14:paraId="11F220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1957 году самолетов ИЛ-14 сдано 143 при плане 130 штук. Начиная с 1954 года, с момента освоения завод выпустил 438 самолетов ИЛ-14, в т.ч. 287 пассажирских и 11 самолетов “Салон”. 65 самолетов были сданы в Министерство внешней торговли.</w:t>
      </w:r>
    </w:p>
    <w:p w14:paraId="10E483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1957 году наряду с выпуском серийных самолетов заводом было освоено производство и обеспечен выпуск во втором полугодии самолетов ИЛ-14 в транспортно-грузовом и транспортно-десантном вариантах.</w:t>
      </w:r>
    </w:p>
    <w:p w14:paraId="298EDF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СМ СССР постановлением № 373-184 от 14 апреля 1958 года обязал завод № 84 освоить серийное производство новых транспортно-десантных реактивных самолетов АН-8 гл. конструктора Антонова, с двумя турбовинтовыми двигателями АН-208 конструкции Ивченко, с выпуском первых самолетов в 1959 году.</w:t>
      </w:r>
    </w:p>
    <w:p w14:paraId="691B04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ЦК КПСС и СМ СССР постановлениями от 18 декабря 1957 года № 14117-656 и № 27-2 от 17 января 1958 года в целях быстрейшего оснащения Министерства обороны новой авиационной техникой, резко сократили сроки освоения нового самолета и обязали СМ УзССР обеспечить выпуск восьми самолетов в 1958 году.</w:t>
      </w:r>
    </w:p>
    <w:p w14:paraId="4C93A0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момента перехода в систему авиапромышленности завод возглавляли: с 1935 года по 1938 год директора завода Иванов, Гродзинский, Савинов, Мурашев, Белякин, Осипенко.</w:t>
      </w:r>
    </w:p>
    <w:p w14:paraId="56892C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этот период завод осваивал опытные объекты Л-4 и Л-5 конструктора Левкова; опытные самолеты ВИТ-1 и ВИТ-2 гл. конструктора Поликарпова; самолет ПС-84 (ДС-3) гл. конструктора Мясищева В.М.</w:t>
      </w:r>
    </w:p>
    <w:p w14:paraId="676DAD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1938 года по 1947 год директором завода был Ярунин А.М. В 1942 году самолет ПС-84 был модернизирован Б.П. Лисуновым и с этого времени Лисунов являлся гл. конструктором самолета ЛИ-2 и гл. инженером завода одновременно.</w:t>
      </w:r>
    </w:p>
    <w:p w14:paraId="75B708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1947 году Ярунин назначен начальником 10 гл. управления МАП, а директором завода его бывш. заместитель по МФВ Рудин А.Н.</w:t>
      </w:r>
    </w:p>
    <w:p w14:paraId="09C2DD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связи со смертью Б.П. Лисунова, гл. инженером завода в 1947 году назначен Гордин Л.С., а гл. конструктором самолета ЛИ-2 Голубков А.Н.</w:t>
      </w:r>
    </w:p>
    <w:p w14:paraId="13BE28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1950 году директор завода назначен бывш. гл. инженер Гуськов Л.А.</w:t>
      </w:r>
    </w:p>
    <w:p w14:paraId="0111B4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январе 1954 года директором завода назначен Шляхов П.В.</w:t>
      </w:r>
    </w:p>
    <w:p w14:paraId="1F45D8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марте 1956 года директором назначен Кадышев С.И., бывш. директор завода № 467 МАП.</w:t>
      </w:r>
    </w:p>
    <w:p w14:paraId="558157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Справка о количестве выпущенных готовых самолетов заводом № 84 МАП</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1417"/>
        <w:gridCol w:w="709"/>
        <w:gridCol w:w="709"/>
        <w:gridCol w:w="708"/>
        <w:gridCol w:w="709"/>
        <w:gridCol w:w="709"/>
        <w:gridCol w:w="709"/>
        <w:gridCol w:w="708"/>
        <w:gridCol w:w="709"/>
        <w:gridCol w:w="709"/>
      </w:tblGrid>
      <w:tr w:rsidR="00643896" w:rsidRPr="00640820" w14:paraId="2FD1836F" w14:textId="77777777" w:rsidTr="000D3BCB">
        <w:tc>
          <w:tcPr>
            <w:tcW w:w="1668" w:type="dxa"/>
          </w:tcPr>
          <w:p w14:paraId="5DF6B7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Тип самолета</w:t>
            </w:r>
          </w:p>
        </w:tc>
        <w:tc>
          <w:tcPr>
            <w:tcW w:w="1417" w:type="dxa"/>
          </w:tcPr>
          <w:p w14:paraId="5CFBDC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Тип и количество двигателей</w:t>
            </w:r>
          </w:p>
        </w:tc>
        <w:tc>
          <w:tcPr>
            <w:tcW w:w="709" w:type="dxa"/>
          </w:tcPr>
          <w:p w14:paraId="4543A1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1950 год</w:t>
            </w:r>
          </w:p>
        </w:tc>
        <w:tc>
          <w:tcPr>
            <w:tcW w:w="709" w:type="dxa"/>
          </w:tcPr>
          <w:p w14:paraId="4E847C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1951 год</w:t>
            </w:r>
          </w:p>
        </w:tc>
        <w:tc>
          <w:tcPr>
            <w:tcW w:w="708" w:type="dxa"/>
          </w:tcPr>
          <w:p w14:paraId="4BAFE6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1952 год</w:t>
            </w:r>
          </w:p>
        </w:tc>
        <w:tc>
          <w:tcPr>
            <w:tcW w:w="709" w:type="dxa"/>
          </w:tcPr>
          <w:p w14:paraId="362959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1953 год</w:t>
            </w:r>
          </w:p>
        </w:tc>
        <w:tc>
          <w:tcPr>
            <w:tcW w:w="709" w:type="dxa"/>
          </w:tcPr>
          <w:p w14:paraId="6B5A1C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1954 год</w:t>
            </w:r>
          </w:p>
        </w:tc>
        <w:tc>
          <w:tcPr>
            <w:tcW w:w="709" w:type="dxa"/>
          </w:tcPr>
          <w:p w14:paraId="7AF88E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1955 год</w:t>
            </w:r>
          </w:p>
        </w:tc>
        <w:tc>
          <w:tcPr>
            <w:tcW w:w="708" w:type="dxa"/>
          </w:tcPr>
          <w:p w14:paraId="2C8239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1956 год</w:t>
            </w:r>
          </w:p>
        </w:tc>
        <w:tc>
          <w:tcPr>
            <w:tcW w:w="709" w:type="dxa"/>
          </w:tcPr>
          <w:p w14:paraId="1AF041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1957 год</w:t>
            </w:r>
          </w:p>
        </w:tc>
        <w:tc>
          <w:tcPr>
            <w:tcW w:w="709" w:type="dxa"/>
          </w:tcPr>
          <w:p w14:paraId="0E06A4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1958 год</w:t>
            </w:r>
          </w:p>
        </w:tc>
      </w:tr>
      <w:tr w:rsidR="00643896" w:rsidRPr="00640820" w14:paraId="5ED15C84" w14:textId="77777777" w:rsidTr="000D3BCB">
        <w:tc>
          <w:tcPr>
            <w:tcW w:w="1668" w:type="dxa"/>
          </w:tcPr>
          <w:p w14:paraId="13AC0F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ЛИ-2Т</w:t>
            </w:r>
          </w:p>
        </w:tc>
        <w:tc>
          <w:tcPr>
            <w:tcW w:w="1417" w:type="dxa"/>
          </w:tcPr>
          <w:p w14:paraId="4AEC69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АШ-62ИР</w:t>
            </w:r>
          </w:p>
        </w:tc>
        <w:tc>
          <w:tcPr>
            <w:tcW w:w="709" w:type="dxa"/>
          </w:tcPr>
          <w:p w14:paraId="6A97D1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203</w:t>
            </w:r>
          </w:p>
        </w:tc>
        <w:tc>
          <w:tcPr>
            <w:tcW w:w="709" w:type="dxa"/>
          </w:tcPr>
          <w:p w14:paraId="5D4EF2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232</w:t>
            </w:r>
          </w:p>
        </w:tc>
        <w:tc>
          <w:tcPr>
            <w:tcW w:w="708" w:type="dxa"/>
          </w:tcPr>
          <w:p w14:paraId="38C1AD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202</w:t>
            </w:r>
          </w:p>
        </w:tc>
        <w:tc>
          <w:tcPr>
            <w:tcW w:w="709" w:type="dxa"/>
          </w:tcPr>
          <w:p w14:paraId="791B4D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86</w:t>
            </w:r>
          </w:p>
        </w:tc>
        <w:tc>
          <w:tcPr>
            <w:tcW w:w="709" w:type="dxa"/>
          </w:tcPr>
          <w:p w14:paraId="2788C0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455AA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57368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7741B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C50B2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0C73FD8" w14:textId="77777777" w:rsidTr="000D3BCB">
        <w:tc>
          <w:tcPr>
            <w:tcW w:w="1668" w:type="dxa"/>
          </w:tcPr>
          <w:p w14:paraId="20D715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ЛИ-2П</w:t>
            </w:r>
          </w:p>
        </w:tc>
        <w:tc>
          <w:tcPr>
            <w:tcW w:w="1417" w:type="dxa"/>
          </w:tcPr>
          <w:p w14:paraId="766C88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АШ-62ИР</w:t>
            </w:r>
          </w:p>
        </w:tc>
        <w:tc>
          <w:tcPr>
            <w:tcW w:w="709" w:type="dxa"/>
          </w:tcPr>
          <w:p w14:paraId="3CC082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93</w:t>
            </w:r>
          </w:p>
        </w:tc>
        <w:tc>
          <w:tcPr>
            <w:tcW w:w="709" w:type="dxa"/>
          </w:tcPr>
          <w:p w14:paraId="405D9E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81</w:t>
            </w:r>
          </w:p>
        </w:tc>
        <w:tc>
          <w:tcPr>
            <w:tcW w:w="708" w:type="dxa"/>
          </w:tcPr>
          <w:p w14:paraId="628D42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110</w:t>
            </w:r>
          </w:p>
        </w:tc>
        <w:tc>
          <w:tcPr>
            <w:tcW w:w="709" w:type="dxa"/>
          </w:tcPr>
          <w:p w14:paraId="604CC4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44</w:t>
            </w:r>
          </w:p>
        </w:tc>
        <w:tc>
          <w:tcPr>
            <w:tcW w:w="709" w:type="dxa"/>
          </w:tcPr>
          <w:p w14:paraId="7C2BA1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0E33A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854C5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72AEF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53441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73112D8" w14:textId="77777777" w:rsidTr="000D3BCB">
        <w:tc>
          <w:tcPr>
            <w:tcW w:w="1668" w:type="dxa"/>
          </w:tcPr>
          <w:p w14:paraId="46E900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ИЛ-14П</w:t>
            </w:r>
          </w:p>
        </w:tc>
        <w:tc>
          <w:tcPr>
            <w:tcW w:w="1417" w:type="dxa"/>
          </w:tcPr>
          <w:p w14:paraId="73BEA5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АШ-82Т</w:t>
            </w:r>
          </w:p>
        </w:tc>
        <w:tc>
          <w:tcPr>
            <w:tcW w:w="709" w:type="dxa"/>
          </w:tcPr>
          <w:p w14:paraId="73F068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8DCB3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5D466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06574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F3665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w:t>
            </w:r>
          </w:p>
        </w:tc>
        <w:tc>
          <w:tcPr>
            <w:tcW w:w="709" w:type="dxa"/>
          </w:tcPr>
          <w:p w14:paraId="64DEC7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52</w:t>
            </w:r>
          </w:p>
        </w:tc>
        <w:tc>
          <w:tcPr>
            <w:tcW w:w="708" w:type="dxa"/>
          </w:tcPr>
          <w:p w14:paraId="518D6C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97</w:t>
            </w:r>
          </w:p>
        </w:tc>
        <w:tc>
          <w:tcPr>
            <w:tcW w:w="709" w:type="dxa"/>
          </w:tcPr>
          <w:p w14:paraId="397953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117</w:t>
            </w:r>
          </w:p>
        </w:tc>
        <w:tc>
          <w:tcPr>
            <w:tcW w:w="709" w:type="dxa"/>
          </w:tcPr>
          <w:p w14:paraId="7E9578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r>
      <w:tr w:rsidR="00643896" w:rsidRPr="00640820" w14:paraId="691155BF" w14:textId="77777777" w:rsidTr="000D3BCB">
        <w:tc>
          <w:tcPr>
            <w:tcW w:w="1668" w:type="dxa"/>
          </w:tcPr>
          <w:p w14:paraId="40ACCB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ИЛ-14 типа “Салон”</w:t>
            </w:r>
          </w:p>
        </w:tc>
        <w:tc>
          <w:tcPr>
            <w:tcW w:w="1417" w:type="dxa"/>
          </w:tcPr>
          <w:p w14:paraId="401711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АШ-82Т</w:t>
            </w:r>
          </w:p>
        </w:tc>
        <w:tc>
          <w:tcPr>
            <w:tcW w:w="709" w:type="dxa"/>
          </w:tcPr>
          <w:p w14:paraId="501361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29FD9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95869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FD150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BFD45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E68F5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B9066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w:t>
            </w:r>
          </w:p>
        </w:tc>
        <w:tc>
          <w:tcPr>
            <w:tcW w:w="709" w:type="dxa"/>
          </w:tcPr>
          <w:p w14:paraId="5DA9C3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4D0CB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52BE3BC" w14:textId="77777777" w:rsidTr="000D3BCB">
        <w:tc>
          <w:tcPr>
            <w:tcW w:w="1668" w:type="dxa"/>
          </w:tcPr>
          <w:p w14:paraId="59136C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ИЛ-14ТГ и ТД</w:t>
            </w:r>
          </w:p>
        </w:tc>
        <w:tc>
          <w:tcPr>
            <w:tcW w:w="1417" w:type="dxa"/>
          </w:tcPr>
          <w:p w14:paraId="5944F4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АШ-82Т</w:t>
            </w:r>
          </w:p>
        </w:tc>
        <w:tc>
          <w:tcPr>
            <w:tcW w:w="709" w:type="dxa"/>
          </w:tcPr>
          <w:p w14:paraId="456635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D1351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91FC8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36C28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756DE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A9DAC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DDCF6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709" w:type="dxa"/>
          </w:tcPr>
          <w:p w14:paraId="00EBB5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w:t>
            </w:r>
          </w:p>
        </w:tc>
        <w:tc>
          <w:tcPr>
            <w:tcW w:w="709" w:type="dxa"/>
          </w:tcPr>
          <w:p w14:paraId="6D99ED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w:t>
            </w:r>
          </w:p>
        </w:tc>
      </w:tr>
      <w:tr w:rsidR="00643896" w:rsidRPr="00640820" w14:paraId="5FAF677C" w14:textId="77777777" w:rsidTr="000D3BCB">
        <w:tc>
          <w:tcPr>
            <w:tcW w:w="1668" w:type="dxa"/>
          </w:tcPr>
          <w:p w14:paraId="3FCC7E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ИЛ-14, М-28</w:t>
            </w:r>
          </w:p>
        </w:tc>
        <w:tc>
          <w:tcPr>
            <w:tcW w:w="1417" w:type="dxa"/>
          </w:tcPr>
          <w:p w14:paraId="231777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АШ-82Т</w:t>
            </w:r>
          </w:p>
        </w:tc>
        <w:tc>
          <w:tcPr>
            <w:tcW w:w="709" w:type="dxa"/>
          </w:tcPr>
          <w:p w14:paraId="564942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38D08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48D03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0BFB0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4F2B3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DCF0D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B345C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w:t>
            </w:r>
          </w:p>
        </w:tc>
        <w:tc>
          <w:tcPr>
            <w:tcW w:w="709" w:type="dxa"/>
          </w:tcPr>
          <w:p w14:paraId="02C1FE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74867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CF29C91" w14:textId="77777777" w:rsidTr="000D3BCB">
        <w:tc>
          <w:tcPr>
            <w:tcW w:w="1668" w:type="dxa"/>
          </w:tcPr>
          <w:p w14:paraId="6721FC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АН-82 АИ-20Д</w:t>
            </w:r>
          </w:p>
        </w:tc>
        <w:tc>
          <w:tcPr>
            <w:tcW w:w="1417" w:type="dxa"/>
          </w:tcPr>
          <w:p w14:paraId="1DE38F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DFBBA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D2DE2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46709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FF261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0A606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C5AAD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DB391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CD0DF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4110B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w:t>
            </w:r>
          </w:p>
        </w:tc>
      </w:tr>
      <w:tr w:rsidR="00643896" w:rsidRPr="00640820" w14:paraId="5162B055" w14:textId="77777777" w:rsidTr="000D3BCB">
        <w:tc>
          <w:tcPr>
            <w:tcW w:w="1668" w:type="dxa"/>
          </w:tcPr>
          <w:p w14:paraId="726D3E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ИТОГО</w:t>
            </w:r>
          </w:p>
        </w:tc>
        <w:tc>
          <w:tcPr>
            <w:tcW w:w="1417" w:type="dxa"/>
          </w:tcPr>
          <w:p w14:paraId="64061C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992E7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296</w:t>
            </w:r>
          </w:p>
        </w:tc>
        <w:tc>
          <w:tcPr>
            <w:tcW w:w="709" w:type="dxa"/>
          </w:tcPr>
          <w:p w14:paraId="73C278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313</w:t>
            </w:r>
          </w:p>
        </w:tc>
        <w:tc>
          <w:tcPr>
            <w:tcW w:w="708" w:type="dxa"/>
          </w:tcPr>
          <w:p w14:paraId="06A536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312</w:t>
            </w:r>
          </w:p>
        </w:tc>
        <w:tc>
          <w:tcPr>
            <w:tcW w:w="709" w:type="dxa"/>
          </w:tcPr>
          <w:p w14:paraId="0B36D3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130</w:t>
            </w:r>
          </w:p>
        </w:tc>
        <w:tc>
          <w:tcPr>
            <w:tcW w:w="709" w:type="dxa"/>
          </w:tcPr>
          <w:p w14:paraId="5164F0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w:t>
            </w:r>
          </w:p>
        </w:tc>
        <w:tc>
          <w:tcPr>
            <w:tcW w:w="709" w:type="dxa"/>
          </w:tcPr>
          <w:p w14:paraId="287E0E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52</w:t>
            </w:r>
          </w:p>
        </w:tc>
        <w:tc>
          <w:tcPr>
            <w:tcW w:w="708" w:type="dxa"/>
          </w:tcPr>
          <w:p w14:paraId="06F0B0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125</w:t>
            </w:r>
          </w:p>
        </w:tc>
        <w:tc>
          <w:tcPr>
            <w:tcW w:w="709" w:type="dxa"/>
          </w:tcPr>
          <w:p w14:paraId="5ABF48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143</w:t>
            </w:r>
          </w:p>
        </w:tc>
        <w:tc>
          <w:tcPr>
            <w:tcW w:w="709" w:type="dxa"/>
          </w:tcPr>
          <w:p w14:paraId="773F45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w:t>
            </w:r>
          </w:p>
        </w:tc>
      </w:tr>
    </w:tbl>
    <w:p w14:paraId="52139C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(9461)</w:t>
      </w:r>
    </w:p>
    <w:p w14:paraId="5576EC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E519A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октября 1941 г. на освободившейся площадке завода № 22 в Москве (Завод № 22 ИМ. 10-летия Октября ВСНХ, НКТП, Русско-балтийский автомобильный завод, 2-й автомобильный завод «Руссо-Балт» (ГАЗ-2, «Автобалт»), 1-й автобронетанковый завод, Государственный авиационный завод № 7 (ГАЗ-7) ВСНХ, Завод № 22 им. С.П. Горбунова НКТП, НКОП, НКАП, МАП, п/я 747, Казанский машиностроительный завод им. С.П. Горбунова, Казанское авиационное ПО (КАПО) им. С.П. Горбунова, ФГУП, ОАО «КАПО им. С.П. Горбунова» /дер. Фили Московского уезда; платф. Фили Московско-Белорусско-Балтийской ж/д (1927 г.);  г. Москва, 87 ст. Фили п/я 53 (1937 г.), п/я 747 (1940 г.), п/я 222 (1941 г.);  г. Казань ст. Караваево/ /420036 Татарстан  г. Казань, ул. Дементьева, 1 тел. 71-99-09/ /Московское представительство: 107005 ул. Бакунинская, 4/6 к. 2 тел. 267-75-83/) образовались Самолетные ремонтные мастерские при Ремонтном отделе НКАП. В соответствии с пост. ГКО № 1039 от 17.12.1941 г. на этой площадке образован новый завод № 23 НКАП для выпуска самолета «103» (11982).</w:t>
      </w:r>
    </w:p>
    <w:p w14:paraId="2BB359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A7258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года филиал завода № 1, бывший завод № 89, который в 1940 году передается из ГВФ в систему НКАП и переименовывается в филиал завода № 1, эвакуировался в Куйбышев.</w:t>
      </w:r>
    </w:p>
    <w:p w14:paraId="2FAC29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декабря 1941 года в течение 5 месяцев на территории “А” размещались фронтовые авиамастерские № 84, которые занимались ремонтом самолетов Харрикейн и ИЛ-2.</w:t>
      </w:r>
    </w:p>
    <w:p w14:paraId="7AC6DD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 239 от 30 марта 1942 года на площади эвакуированного филиала завода № 1 и на базе мастерских № 82 в мае 1942 года был создан вновь завод № 89 НКАП. Новый завод № 89 занимался ремонтом самолетов ПС-84, Харрикейн и ИЛ-2 и впоследствии перевооружением и переоборудованием самолетов иностранных фирм Бостон и Харрикейн.</w:t>
      </w:r>
    </w:p>
    <w:p w14:paraId="3A3CF3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территорию завода № 89 в мае 1944 года был перебазирован опытный завод № 482 гл. конструктора Мясищева, получив при этом часть имеющегося на заводе № 89 оборудования и личного состава, согласно приказа НКАП № 424 от 5 июля 1944 года.</w:t>
      </w:r>
    </w:p>
    <w:p w14:paraId="4F5F72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482 находился в ведении 7 гл. управления НКАП и занимался опытным самолетостроением до слияния с заводом № 240 в феврале 1946 года.</w:t>
      </w:r>
    </w:p>
    <w:p w14:paraId="1BB0C9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гл. конструктора С.В.И., созданное в 1933 году, до получения самостоятельной производственной базы размещалось (до эвакуации в куйбышев) на территории завода № 39 НКАП, где постройку опытных самолетов осуществлял опытных цех завода № 39.</w:t>
      </w:r>
    </w:p>
    <w:p w14:paraId="68251E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Москва, Д-167, Ленинградский проспект, д. 45 г, п/я 2418</w:t>
      </w:r>
    </w:p>
    <w:p w14:paraId="730179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Постройка самолетов конструкции С.В.И. на вновь полученной базе (завод № 240) началась в 1944 году; период с апреля 1942 года по 1943 год был периодом восстановления, поскольку коллектив гл. конструктора Ермолаева, базировавшегося на заводе № 240 эвакуировался в казань и по возвращении в Москву оборудования в достаточной мере не оказалось (9594).</w:t>
      </w:r>
    </w:p>
    <w:p w14:paraId="1AACA4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C27B4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октября 1941 г. на площадке эвакуированного завода № 84 в Химках (Завод № 84 им. Героя Советского Союза В.П. Чкалова НКТП, НКОП, НКАП, Ташкентский авиационный завод им. В.П. Чкалова, Ташкентское авиационное ПО им. В.П. Чкалова (ТАПОиЧ), Государственное АО (ГАО) «ТАПОиЧ» / г. Химки Московской обл./ /700016 Узбекистан  г. Ташкент, ул. Кучкар-Турдыева; ул. Элбек, 61 тел. 136-11-67/) началась организация самолетных ремонтных мастерских № 84 при Ремотделе НКАП. Начальником назначен М.С. Водичкин. Далее по приказу № 4с от 2.01.1942 г. на этом месте началась организация самолетостроительного завода № 165 при ЮГУ НКАП, директором которого назначен М.С. Водичкин. Однако, приказом № 30с от 11.01.1942 г. это решение было отменено, и новым начальником Ремонтных мастерских назначен Н.Н. Леонтьев. По приказу № 239с от 30.03.1942 г. на старом месте основан Ремонтный завод при Главремуправлении НКАП для ремонта самолетов Пе-2, ДБ-3, СБ, ТБ-3, ПС-84. В 04.1942 г. он переименован в завод № 456 НКАП (11982).</w:t>
      </w:r>
    </w:p>
    <w:p w14:paraId="4A342D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EB4C2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года по решению Правительства завод № 2 Оргавиапрома из Москвы был эвакуирован и размещен на территории поселка “опытной селекционной с/х станции” Челябинской области Чебаркульского района, а затем в июне 1943 года перебазирован и размещен на площадке бывш. завода № 288 НКАП в поселке Савелово (горд Кимры Калининской области). До июня 1944 года завод являлся ведомственным и именовался 2-й инструментальный завод Оргавиапрома НКАП. По решению Правительства, приказом по НКАП от 1 июня 1944 года за № 377 завод передан в управление оборудования НКАП и стал именоваться завод № 491.</w:t>
      </w:r>
    </w:p>
    <w:p w14:paraId="078A1B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491 ГКАТ, в основном, имеет профиль мелкосерийного и индивидуального спецстанкостроения и притом завод имеет свое КБ, которое производит опытное конструирование новых видов станков и машин, необходимых авиапромышленности.</w:t>
      </w:r>
    </w:p>
    <w:p w14:paraId="583E9D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Директора: С июня 1943 года по 30 мая 1946 года – Поленов П.С. С 30 мая 1946 года – Панков И.А.</w:t>
      </w:r>
    </w:p>
    <w:p w14:paraId="75357D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 Панков</w:t>
      </w:r>
    </w:p>
    <w:p w14:paraId="201E5E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Кимры Калининской области, п/я 4 (9858).</w:t>
      </w:r>
    </w:p>
    <w:p w14:paraId="482294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1B605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на станцию Заводоуковская около г. Тюмени прибыло из Воронежа оборудование завода № 499. Завод № 499 НКАП (директор завода А. П. Москалев) был организован на базе оборудования эвакуированного в 1941 г. опытно-конструкторского бюро и размещен на границе двух районов: Ново-Заимского и Ялуторовского, на площадях Падунского промсовхозкомбината и Ново-Заимского зер</w:t>
      </w:r>
      <w:r w:rsidRPr="00640820">
        <w:rPr>
          <w:rFonts w:ascii="Times New Roman" w:hAnsi="Times New Roman"/>
          <w:color w:val="000000" w:themeColor="text1"/>
          <w:sz w:val="16"/>
          <w:szCs w:val="16"/>
        </w:rPr>
        <w:softHyphen/>
        <w:t>носовхоза, ранее занимаемых складскими помещениями, мельницей, гаражом, меха</w:t>
      </w:r>
      <w:r w:rsidRPr="00640820">
        <w:rPr>
          <w:rFonts w:ascii="Times New Roman" w:hAnsi="Times New Roman"/>
          <w:color w:val="000000" w:themeColor="text1"/>
          <w:sz w:val="16"/>
          <w:szCs w:val="16"/>
        </w:rPr>
        <w:softHyphen/>
        <w:t>ническими мастерскими и т. д. (ЦДНИОО. Ф. 17. Оп. 1. Д. 2985. Л. 10.) Жилищные помещения также частично были взяты от указанных совхозов, а основная жилплощадь состояла из двух отделений, расположен</w:t>
      </w:r>
      <w:r w:rsidRPr="00640820">
        <w:rPr>
          <w:rFonts w:ascii="Times New Roman" w:hAnsi="Times New Roman"/>
          <w:color w:val="000000" w:themeColor="text1"/>
          <w:sz w:val="16"/>
          <w:szCs w:val="16"/>
        </w:rPr>
        <w:softHyphen/>
        <w:t>ных друг от друга на расстоянии одного ки</w:t>
      </w:r>
      <w:r w:rsidRPr="00640820">
        <w:rPr>
          <w:rFonts w:ascii="Times New Roman" w:hAnsi="Times New Roman"/>
          <w:color w:val="000000" w:themeColor="text1"/>
          <w:sz w:val="16"/>
          <w:szCs w:val="16"/>
        </w:rPr>
        <w:softHyphen/>
        <w:t>лометра. Производственная площадь завода – 4770 кв. метров. Кроме производственных площадей имелось: контора (2 помещения), гараж, складские помещения и клуб. Цехи завода были телефонизированы через завод</w:t>
      </w:r>
      <w:r w:rsidRPr="00640820">
        <w:rPr>
          <w:rFonts w:ascii="Times New Roman" w:hAnsi="Times New Roman"/>
          <w:color w:val="000000" w:themeColor="text1"/>
          <w:sz w:val="16"/>
          <w:szCs w:val="16"/>
        </w:rPr>
        <w:softHyphen/>
        <w:t>ской коммутатор. Для обслуживания коллек</w:t>
      </w:r>
      <w:r w:rsidRPr="00640820">
        <w:rPr>
          <w:rFonts w:ascii="Times New Roman" w:hAnsi="Times New Roman"/>
          <w:color w:val="000000" w:themeColor="text1"/>
          <w:sz w:val="16"/>
          <w:szCs w:val="16"/>
        </w:rPr>
        <w:softHyphen/>
        <w:t>тива при заводе был организован ОРС, кото</w:t>
      </w:r>
      <w:r w:rsidRPr="00640820">
        <w:rPr>
          <w:rFonts w:ascii="Times New Roman" w:hAnsi="Times New Roman"/>
          <w:color w:val="000000" w:themeColor="text1"/>
          <w:sz w:val="16"/>
          <w:szCs w:val="16"/>
        </w:rPr>
        <w:softHyphen/>
        <w:t>рый имел: 2 столовых, хлебопекарню, мага</w:t>
      </w:r>
      <w:r w:rsidRPr="00640820">
        <w:rPr>
          <w:rFonts w:ascii="Times New Roman" w:hAnsi="Times New Roman"/>
          <w:color w:val="000000" w:themeColor="text1"/>
          <w:sz w:val="16"/>
          <w:szCs w:val="16"/>
        </w:rPr>
        <w:softHyphen/>
        <w:t>зин, портновскую и сапожную мастерские и парикмахерскую. Завод имел электросиловое и паросиловое хозяйство: дизель «Русский» – «120 НР» с динамо-машиной (дизель «25 НР»), локомобиль – «75 НР» с динамо-машиной, компрессор – 1, котлов паровых – 3, электропечь – 1 и электромонтеров – 115 шт., электросварочный и газосварочный аппара</w:t>
      </w:r>
      <w:r w:rsidRPr="00640820">
        <w:rPr>
          <w:rFonts w:ascii="Times New Roman" w:hAnsi="Times New Roman"/>
          <w:color w:val="000000" w:themeColor="text1"/>
          <w:sz w:val="16"/>
          <w:szCs w:val="16"/>
        </w:rPr>
        <w:softHyphen/>
        <w:t>ты. Станочного оборудования – 100 единиц, в том числе, металлорежущее – 62 единицы, кузнечнопрессовое – 6 единиц и деревообра</w:t>
      </w:r>
      <w:r w:rsidRPr="00640820">
        <w:rPr>
          <w:rFonts w:ascii="Times New Roman" w:hAnsi="Times New Roman"/>
          <w:color w:val="000000" w:themeColor="text1"/>
          <w:sz w:val="16"/>
          <w:szCs w:val="16"/>
        </w:rPr>
        <w:softHyphen/>
        <w:t>батывающее – 22 единицы. Водой заводские помещения обеспечивались из реки Уковка через насосную установку. Подсобные по</w:t>
      </w:r>
      <w:r w:rsidRPr="00640820">
        <w:rPr>
          <w:rFonts w:ascii="Times New Roman" w:hAnsi="Times New Roman"/>
          <w:color w:val="000000" w:themeColor="text1"/>
          <w:sz w:val="16"/>
          <w:szCs w:val="16"/>
        </w:rPr>
        <w:softHyphen/>
        <w:t>мещения водой снабжались путем подвоза. С ноября он начал выпуск продукции. Завод выпускал десантные кабины к самолетам «Ил-4», учебные планеры «А-2», «А-7» и бен</w:t>
      </w:r>
      <w:r w:rsidRPr="00640820">
        <w:rPr>
          <w:rFonts w:ascii="Times New Roman" w:hAnsi="Times New Roman"/>
          <w:color w:val="000000" w:themeColor="text1"/>
          <w:sz w:val="16"/>
          <w:szCs w:val="16"/>
        </w:rPr>
        <w:softHyphen/>
        <w:t>зиновый планер «А-7Б». Десантный планер «РФ-8» («А-7») был высокоплан деревянной конструкции. Планер имел закрылки, интер</w:t>
      </w:r>
      <w:r w:rsidRPr="00640820">
        <w:rPr>
          <w:rFonts w:ascii="Times New Roman" w:hAnsi="Times New Roman"/>
          <w:color w:val="000000" w:themeColor="text1"/>
          <w:sz w:val="16"/>
          <w:szCs w:val="16"/>
        </w:rPr>
        <w:softHyphen/>
        <w:t>цепторы, двухколесное убирающееся шасси и приборы для ночных полетов. Полезная на</w:t>
      </w:r>
      <w:r w:rsidRPr="00640820">
        <w:rPr>
          <w:rFonts w:ascii="Times New Roman" w:hAnsi="Times New Roman"/>
          <w:color w:val="000000" w:themeColor="text1"/>
          <w:sz w:val="16"/>
          <w:szCs w:val="16"/>
        </w:rPr>
        <w:softHyphen/>
        <w:t>грузка «А-7» составляла около 1000 кг. Такой планер за самолетом-буксировщиком ночью пересекал линию фронта, садился в распо</w:t>
      </w:r>
      <w:r w:rsidRPr="00640820">
        <w:rPr>
          <w:rFonts w:ascii="Times New Roman" w:hAnsi="Times New Roman"/>
          <w:color w:val="000000" w:themeColor="text1"/>
          <w:sz w:val="16"/>
          <w:szCs w:val="16"/>
        </w:rPr>
        <w:softHyphen/>
        <w:t>ложении партизан на небольшие площадки, непригодные для посадки самолетов, и при</w:t>
      </w:r>
      <w:r w:rsidRPr="00640820">
        <w:rPr>
          <w:rFonts w:ascii="Times New Roman" w:hAnsi="Times New Roman"/>
          <w:color w:val="000000" w:themeColor="text1"/>
          <w:sz w:val="16"/>
          <w:szCs w:val="16"/>
        </w:rPr>
        <w:softHyphen/>
        <w:t>возил оружие, медикаменты, боеприпасы. Он участвовал также в доставке антифриза для танков в высадке десантов и подготовке летчиков. Осваивалось производство мото</w:t>
      </w:r>
      <w:r w:rsidRPr="00640820">
        <w:rPr>
          <w:rFonts w:ascii="Times New Roman" w:hAnsi="Times New Roman"/>
          <w:color w:val="000000" w:themeColor="text1"/>
          <w:sz w:val="16"/>
          <w:szCs w:val="16"/>
        </w:rPr>
        <w:softHyphen/>
        <w:t>планеров, в том числе 30-местной вместимо</w:t>
      </w:r>
      <w:r w:rsidRPr="00640820">
        <w:rPr>
          <w:rFonts w:ascii="Times New Roman" w:hAnsi="Times New Roman"/>
          <w:color w:val="000000" w:themeColor="text1"/>
          <w:sz w:val="16"/>
          <w:szCs w:val="16"/>
        </w:rPr>
        <w:softHyphen/>
        <w:t>сти. В 1942 г. заводу поручили модернизацию планера конструкции О. К. Антонова в 11-местный. В результате появился 14-местный планер, названный по инициативе конструк</w:t>
      </w:r>
      <w:r w:rsidRPr="00640820">
        <w:rPr>
          <w:rFonts w:ascii="Times New Roman" w:hAnsi="Times New Roman"/>
          <w:color w:val="000000" w:themeColor="text1"/>
          <w:sz w:val="16"/>
          <w:szCs w:val="16"/>
        </w:rPr>
        <w:softHyphen/>
        <w:t>тора «АМ-14» (Антонов – Москалев) (Хлебный, целебный, лесной : Заводоуков</w:t>
      </w:r>
      <w:r w:rsidRPr="00640820">
        <w:rPr>
          <w:rFonts w:ascii="Times New Roman" w:hAnsi="Times New Roman"/>
          <w:color w:val="000000" w:themeColor="text1"/>
          <w:sz w:val="16"/>
          <w:szCs w:val="16"/>
        </w:rPr>
        <w:softHyphen/>
        <w:t>ский район : Годы. События. Люди. Екате</w:t>
      </w:r>
      <w:r w:rsidRPr="00640820">
        <w:rPr>
          <w:rFonts w:ascii="Times New Roman" w:hAnsi="Times New Roman"/>
          <w:color w:val="000000" w:themeColor="text1"/>
          <w:sz w:val="16"/>
          <w:szCs w:val="16"/>
        </w:rPr>
        <w:softHyphen/>
        <w:t>ринбург : Средне-Урал. книж. изд-во, 2004. С. 102–104.). До ав</w:t>
      </w:r>
      <w:r w:rsidRPr="00640820">
        <w:rPr>
          <w:rFonts w:ascii="Times New Roman" w:hAnsi="Times New Roman"/>
          <w:color w:val="000000" w:themeColor="text1"/>
          <w:sz w:val="16"/>
          <w:szCs w:val="16"/>
        </w:rPr>
        <w:softHyphen/>
        <w:t>густа 1944 г. завод изготовлял планер «А-7Д» (десантный, семиместный), «А-7» (двойного управления), «А-7У» (учебный), а в 1944 г. завод произвел работу по освоению и пере</w:t>
      </w:r>
      <w:r w:rsidRPr="00640820">
        <w:rPr>
          <w:rFonts w:ascii="Times New Roman" w:hAnsi="Times New Roman"/>
          <w:color w:val="000000" w:themeColor="text1"/>
          <w:sz w:val="16"/>
          <w:szCs w:val="16"/>
        </w:rPr>
        <w:softHyphen/>
        <w:t>ходу на серийный выпуск новой машины «АМ-14» (планер четырнадцатиместный). За 1944 г. выпуск продукции в неизменных це</w:t>
      </w:r>
      <w:r w:rsidRPr="00640820">
        <w:rPr>
          <w:rFonts w:ascii="Times New Roman" w:hAnsi="Times New Roman"/>
          <w:color w:val="000000" w:themeColor="text1"/>
          <w:sz w:val="16"/>
          <w:szCs w:val="16"/>
        </w:rPr>
        <w:softHyphen/>
        <w:t>нах по заводу составил: валовая – 12297 тыс. р. при плане 11000 тыс. р. – 111,8 %; товарная – 10452 тыс. р. при плане 11000 тыс. р. – 95,2 %; в том числе оборонная – 9142 тыс. р. при плане 10862 тыс. р. – 84, 1. Планеров изготов</w:t>
      </w:r>
      <w:r w:rsidRPr="00640820">
        <w:rPr>
          <w:rFonts w:ascii="Times New Roman" w:hAnsi="Times New Roman"/>
          <w:color w:val="000000" w:themeColor="text1"/>
          <w:sz w:val="16"/>
          <w:szCs w:val="16"/>
        </w:rPr>
        <w:softHyphen/>
        <w:t>лено 262 единицы при плане 306 (85,1 %) или недодано 44 единицы. Хотя товарной и обо</w:t>
      </w:r>
      <w:r w:rsidRPr="00640820">
        <w:rPr>
          <w:rFonts w:ascii="Times New Roman" w:hAnsi="Times New Roman"/>
          <w:color w:val="000000" w:themeColor="text1"/>
          <w:sz w:val="16"/>
          <w:szCs w:val="16"/>
        </w:rPr>
        <w:softHyphen/>
        <w:t>ронной продукции за 1944 г. было выпущено на 19 % больше, чем в 1943 г. План по произ</w:t>
      </w:r>
      <w:r w:rsidRPr="00640820">
        <w:rPr>
          <w:rFonts w:ascii="Times New Roman" w:hAnsi="Times New Roman"/>
          <w:color w:val="000000" w:themeColor="text1"/>
          <w:sz w:val="16"/>
          <w:szCs w:val="16"/>
        </w:rPr>
        <w:softHyphen/>
        <w:t>водительности труда суммарно выполнен на 118 %. а выработка на одного рабочего – 16,2 тыс. р. (Хлебный, целебный, лесной : Заводоуков</w:t>
      </w:r>
      <w:r w:rsidRPr="00640820">
        <w:rPr>
          <w:rFonts w:ascii="Times New Roman" w:hAnsi="Times New Roman"/>
          <w:color w:val="000000" w:themeColor="text1"/>
          <w:sz w:val="16"/>
          <w:szCs w:val="16"/>
        </w:rPr>
        <w:softHyphen/>
        <w:t>ский район : Годы. События. Люди. Екате</w:t>
      </w:r>
      <w:r w:rsidRPr="00640820">
        <w:rPr>
          <w:rFonts w:ascii="Times New Roman" w:hAnsi="Times New Roman"/>
          <w:color w:val="000000" w:themeColor="text1"/>
          <w:sz w:val="16"/>
          <w:szCs w:val="16"/>
        </w:rPr>
        <w:softHyphen/>
        <w:t>ринбург : Средне-Урал. книж. изд-во, 2004. С. 102–104.) (11896).</w:t>
      </w:r>
    </w:p>
    <w:p w14:paraId="6EF18B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3762D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(и далее по приказу № 93с от 2.02.1942 г.) на площадке эвакуированного завода № 207 НКАП образованы Ремонтные мастерские при Ремотделе НКАП (далее- Главремуправление). Начальник- М.П. Озимков. Ремонт Ил-2. Планировалось также ремонтировать МиГ-3, Су-2, И-15, У-2. Производство металлических деталей в/винтов и мин. В 1943 г. на заводе изготовлены агрегаты (центроплан, крылья, оперение) для самолета «302».</w:t>
      </w:r>
    </w:p>
    <w:p w14:paraId="27BB3D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СНК № 913-472сс от 11.06.1942 г. и приказом 287с от 16.04.1942 г., в связи с переименованием Главремуправления в 6ГУ НКАП, ремонтный завод получил наименование ГС завод</w:t>
      </w:r>
      <w:r w:rsidRPr="00640820">
        <w:rPr>
          <w:rFonts w:ascii="Times New Roman" w:hAnsi="Times New Roman"/>
          <w:iCs/>
          <w:color w:val="000000" w:themeColor="text1"/>
          <w:sz w:val="16"/>
          <w:szCs w:val="16"/>
        </w:rPr>
        <w:t xml:space="preserve"> № 462 (</w:t>
      </w:r>
      <w:r w:rsidRPr="00640820">
        <w:rPr>
          <w:rFonts w:ascii="Times New Roman" w:hAnsi="Times New Roman"/>
          <w:color w:val="000000" w:themeColor="text1"/>
          <w:sz w:val="16"/>
          <w:szCs w:val="16"/>
        </w:rPr>
        <w:t>Завод № 462 НКАП /г. Долгопрудный Московской обл./</w:t>
      </w:r>
      <w:r w:rsidRPr="00640820">
        <w:rPr>
          <w:rFonts w:ascii="Times New Roman" w:hAnsi="Times New Roman"/>
          <w:iCs/>
          <w:color w:val="000000" w:themeColor="text1"/>
          <w:sz w:val="16"/>
          <w:szCs w:val="16"/>
        </w:rPr>
        <w:t>).</w:t>
      </w:r>
    </w:p>
    <w:p w14:paraId="55414F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1943 г. передан из 6ГУ в 7ГУ. По приказу № 416с от 14.07.1943 г. на площадку завода № 462 переведен из Тушино Завод № 464 НКАП, оба завода объединены под названием Завод № 464 НКАП.</w:t>
      </w:r>
    </w:p>
    <w:p w14:paraId="458E2A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(04.1943 г.)- М.П. Озимков.</w:t>
      </w:r>
    </w:p>
    <w:p w14:paraId="7A0165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(05.1943 г.)- Кузнецов (11982).</w:t>
      </w:r>
    </w:p>
    <w:p w14:paraId="22A12E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C7B4C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года 6-й инструментальный завод Оргавиапрома, который находился в Москве и был расположен по ул. Герцена, д. 36, был эвакуирован в Кемерово, там он выпускал газосварочную аппаратуру и саврочные машины. В июне 1944 года приказом № 377с переименован в завод № 493 МАП.</w:t>
      </w:r>
    </w:p>
    <w:p w14:paraId="413540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основании решения Совнаркома от 12 июня 1945 года за № 3154с, завод в августе 1945 года перебазировался из Кемерово в Ржев Калининской области на площадку бывш. завода № 307 МАП. Перебазировка повлекла за собой восстановление и реконструкцию бывш. завода № 307.</w:t>
      </w:r>
    </w:p>
    <w:p w14:paraId="3302CD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основании приказа МАП за № 376с от 16 ноября профиль завода определен на выпуск сварочного оборудования для сварки нержавеющей, жаропрочных сталей и алюминиевых сплавов корпусов ракет и самолетов, а также электроэрозионного оборудования и индукционных плавильных печей для алюминиевых и магниевых сплавов.</w:t>
      </w:r>
    </w:p>
    <w:p w14:paraId="0D94DA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Ржев Калининской области</w:t>
      </w:r>
    </w:p>
    <w:p w14:paraId="229A4A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Производственный профиль – создание и изготовление сварочной аппаратуры в среде защитных газов (9860).</w:t>
      </w:r>
    </w:p>
    <w:p w14:paraId="141C95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7A185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года инструментальный завод № 3 Оргавиапрома был эвакуирован в Тавду Свердловской области, где слился с 5-м инструментальным заводом ОАП НКАП, получил его наименование и на старую территорию в Москву больше не возвращался. В ноябре 1941 года на базе оборудования оставленного при эвакуации завода были начаты работы по изготовлению в помощь фронту оборонной продукции – ручных гранат и танковых ломов. К концу 1941 года, что возрождающееся предприятие было оформлено, как филиал завода № 478 (приказ НКАП от 17 декабря 1941 года).</w:t>
      </w:r>
    </w:p>
    <w:p w14:paraId="7A9AE6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по НКАП от 1 июня 1942 года за № 18 заводу было присвоено наименование “Завод № 3 Оргавиапрома НКАП”.</w:t>
      </w:r>
    </w:p>
    <w:p w14:paraId="238F78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по НКАП от 1 июня 1944 года за № 377 завод был переименован в завод № 492.</w:t>
      </w:r>
    </w:p>
    <w:p w14:paraId="521071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Поскольку завод № 492 организован лишь на территории ранее занимаемой 3-м инструментальным заводом и никакой организационной связи с этим заводом не имел, то официальной датой организации завода № 492 следует считать 17 декабря 1941 года. В 1951 году завод был реорганизован под выпуск пневматического инструмента.</w:t>
      </w:r>
    </w:p>
    <w:p w14:paraId="5BE498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Постановлением от 2 сентября 1957 года за № 5 завод № 492 был передан из Управления авиапромышленности Мосгорсовнархоза в Управление межотраслевых организаций и производств с сохранением производства пневматического инструмента.</w:t>
      </w:r>
    </w:p>
    <w:p w14:paraId="6BAE59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 А. Терехин</w:t>
      </w:r>
    </w:p>
    <w:p w14:paraId="1AA0E0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Москва, Большой Трехгорный пер., д. 3 (9859).</w:t>
      </w:r>
    </w:p>
    <w:p w14:paraId="28D098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5710A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октября 1941 года завод № 35 входил в состав комбината № 150 как винтовое производство. В октябре 1941 года винтовое производство комбината № 150 в порядке эвакуации было перебазировано из Ступино в Куйбышев.</w:t>
      </w:r>
    </w:p>
    <w:p w14:paraId="3CA473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НКАП за № 1084сс от 28 октября 1941 года винтовое производство размещенное на заканчивавашейся строительством в октябре 1941 года промплощадке совместно с заводом № 18 выделяется в самостоятельный завод с присвоением ему № 35.</w:t>
      </w:r>
    </w:p>
    <w:p w14:paraId="0BF78A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с января 1942 года приступил к серийному производству воздушных металлических винтов. С 1952 года завод полностью переключился на производство шасси.</w:t>
      </w:r>
    </w:p>
    <w:p w14:paraId="328616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Куйбышев, ст. Безымянка, Псковская ул., д. 32а</w:t>
      </w:r>
    </w:p>
    <w:p w14:paraId="5D15ED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Производственный профиль – шасси, реактивная техника и др. (9824)</w:t>
      </w:r>
    </w:p>
    <w:p w14:paraId="2D3C3B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года завод № 279 из Раменского был эвакуирован в Ижевск и в 1945 году расформирован.</w:t>
      </w:r>
    </w:p>
    <w:p w14:paraId="7AD573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нахождению завода в Раменсокм ему был присвоен № 149. В этот период завод производил: авиационные, танковые и частично приборы теплотехнического контроля. Производство электроизмерительных приборов было передано на организованный завод № 295. В апреле 1945 года по решению Правительства производство приборов теплотехнического контроля было реэвакуировано в Ленинград на старую площадку завода № 218.</w:t>
      </w:r>
    </w:p>
    <w:p w14:paraId="69A9EC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Ленинград П-61, ул. Скороходова, д. 16</w:t>
      </w:r>
    </w:p>
    <w:p w14:paraId="36DDA7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Производственный профиль – приборостроение (агрегаты и приборы ракетной, авиационной, военной техники и гироскопические приборы) (9839).</w:t>
      </w:r>
    </w:p>
    <w:p w14:paraId="706F62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C1C8E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октября 1941 года завод № 35 входил в состав комбината № 150 как винтовое производство. В октябре 1941 года винтовое производство комбината № 150 в порядке эвакуации было перебазировано из Ступино в Куйбышев.</w:t>
      </w:r>
    </w:p>
    <w:p w14:paraId="6E8373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НКАП за № 1084сс от 28 октября 1941 года винтовое производство размещенное на заканчивавашейся строительством в октябре 1941 года промплощадке совместно с заводом № 18 выделяется в самостоятельный завод с присвоением ему № 35.</w:t>
      </w:r>
    </w:p>
    <w:p w14:paraId="43F0E9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с января 1942 года приступил к серийному производству воздушных металлических винтов.</w:t>
      </w:r>
    </w:p>
    <w:p w14:paraId="0C2995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1952 года завод полностью переключился на производство шасси.</w:t>
      </w:r>
    </w:p>
    <w:p w14:paraId="325FF4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Куйбышев, ст. Безымянка, Псковская ул., д. 32а</w:t>
      </w:r>
    </w:p>
    <w:p w14:paraId="263966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Производственный профиль – шасси, реактивная техника и др. (9824)</w:t>
      </w:r>
    </w:p>
    <w:p w14:paraId="0313F5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года инструментальный завод № 1 Оргавиапрома был эвакуирован в Куйбышев, где разместился на площади бытовок завода № 122.</w:t>
      </w:r>
    </w:p>
    <w:p w14:paraId="2FB075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Приказом НКАП за № 709 от 18 сентября 1942 года инструментальный завод № 1 Оргавиапрома переименован в завод № 165. На основании приказа НКАП за № 459 от 3 июля 1943 года завод № 165 был реэвакуирован в Москву на площади завода № 453. С апреля 1946 года заводу был коренным образом пересмотрен профиль </w:t>
      </w:r>
      <w:r w:rsidRPr="00640820">
        <w:rPr>
          <w:rFonts w:ascii="Times New Roman" w:hAnsi="Times New Roman"/>
          <w:color w:val="000000" w:themeColor="text1"/>
          <w:sz w:val="16"/>
          <w:szCs w:val="16"/>
        </w:rPr>
        <w:lastRenderedPageBreak/>
        <w:t>производства, так как по решению Правительства и согласно приказа МАП от 25 апреля 1946 года за № 242 с завод перешел в число опытных предприятий авиамоторостроения – ответственным руководителем завода был назначен конструктор по РД Люлька А.М.</w:t>
      </w:r>
    </w:p>
    <w:p w14:paraId="1F89D0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1955 году для усиления производственно-технической мощности завода № 165 согласно приказа МАП от 31 мая 1955 года за № 347сс, ему было передано ОКБ-500 со всеми его мощностями на правах филиала.</w:t>
      </w:r>
    </w:p>
    <w:p w14:paraId="050600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Филиал завода № 165 (на заводе № 500) просуществовал до первого полугодия 1957 года. Согласно приказа МАП за № 156сс от 19 апреля 1957 года филиала завода передан СКБ-500 со всеми его мощностями.</w:t>
      </w:r>
    </w:p>
    <w:p w14:paraId="5257FB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Постановлением СМ за № 127-68сс от 19 января 1955 года МАП обязывалось начать для завода № 165 постройку испытательной станции в Тураево Московской области.</w:t>
      </w:r>
    </w:p>
    <w:p w14:paraId="145656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165 с апреля 1946 года и по настоящее время остается опытным заводом по изготовлению и доводке РД генеральным конструктором завода является Люлька. С 1940 по 1947 год директором завода был Мизюров Ю.А., которого сменил Худин П.Ф. В апреле 1948 года директором был назначен Худин. В декабре 1951 года директором завода был назначен Бондаренко М.М. В феврале 1954 года диреткором был назначен Завитаев А.А.</w:t>
      </w:r>
    </w:p>
    <w:p w14:paraId="4F5373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Москва, Фабричная линия, д. 11, п/я 2382 (9842).</w:t>
      </w:r>
    </w:p>
    <w:p w14:paraId="4F7E6A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FBAC4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года завод № 26 был эвакуирован на территорию завода № 384, находящийся в 18 км от Уфы. Этот завод был построен в 1930 году и находился в ведении НК среднего машиностроения. До 1940 года он изготавливал комбайновые моторы типа У-5. В 1940 году он был передан в ведение НКАП с присвоением ему № 384 для изготовления авиамоторов типа М-105, которых и было выпущено заводом по 1 января 1942 года 675 штук. В июле-августе 1941 года на территорию этого же завода № 384 были эвакуированы из Ленинграда авиазаводы №№ 234 и 451 и частично из Москвы завод № 219.</w:t>
      </w:r>
    </w:p>
    <w:p w14:paraId="7B0C03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связи с этим НКАП от 8 августа 1941 года был издан приказ № 824сс, разрешающий занять площадку вновь строящегося завода № 338, находящуюся в 6 км от площадки завода № 384.</w:t>
      </w:r>
    </w:p>
    <w:p w14:paraId="16DF8B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НКАП от 17 декабря 1941 года за № 1164сс завод № 384 (с включенными в него заводами №№ 234, 451 и 219) и завод № 26 объединены в один завод с расположением на двух площадках и присвоением номера 26. В 1943 году завод выпускал мотор М-107.</w:t>
      </w:r>
    </w:p>
    <w:p w14:paraId="18F201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Указом Президиума ВС от 5 июля 1944 года Сталинский промышленный район, в котором находится завод № 26 выделен из сотава г. Уфы и образован новый город Черниковск.</w:t>
      </w:r>
    </w:p>
    <w:p w14:paraId="1733EE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второй половине 1945 года завод получил задание по освоению реактивного двигателя РД-10.</w:t>
      </w:r>
    </w:p>
    <w:p w14:paraId="3E4D92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МАП № 414 от 1июля 1946 года Опытно-конструкторский цех был реорганизован в ОКБ, гл. конструктором которого был назначен Кузнецов Н.Д. В 1947 году осваивался и внедрялся в серийное производство двигатель РД-10. В 1948 году заводом выпускались следующие основные виды продукции: РД-10, поршневой авиадвигатель ВК-107А и комбайновый мотор У-5МА.</w:t>
      </w:r>
    </w:p>
    <w:p w14:paraId="40ECA6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Постановлением Правительства от 15 марта 1948 года на завод № 26 возложено задание выпустить в серийное производство новый реактивный двигатель РД-45Ф по образцу, прошедшему 100-часовое госиспытание на заводе № 45.</w:t>
      </w:r>
    </w:p>
    <w:p w14:paraId="51BC6F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МАП № 400 сс от 17 июня 1948 года ОКБ при заводе № 26 было ликвидировано (9810).</w:t>
      </w:r>
    </w:p>
    <w:p w14:paraId="450EED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8C68D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октября 1941 года завод № 47 приступил к выпуску УТ-2 в Чкалове (Оренбурге). Всего в 1941 году заводом было выпущено 550 самолетов УТ-2, из них: в Ленинграде 414, в Оренбурге 136. В начале 1942 года самолет УТ-2 с производства снимается, завод переключается на производство самолета ЯК-1, нов феврале 1942 года завод вновь возвращается на выпуск самолета УТ-2. Из полученного задела от завода № 292 завод собрал 2 самолета ЯК-1. В первом квартале 1942 года заводу дается задание изготовить эталон самолета УТ-2МВ (модернизированный вариант с деревянным оперением вместо металлической) и внедрить его в серию. В конце 1942 года завод получает задание по конструированию и изготовлению двух опытных экземпляров самолетов ЯК-6 (на заводе находилась группа конструктора Яковлева).</w:t>
      </w:r>
    </w:p>
    <w:p w14:paraId="242D27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в течение двух месяцев изготавливает эти самолеты и в то же время переходит к серийному выпуску самолета УТ-2МВ. С сентября 1942 года самолет УТ-2МВ с производства снимается и передается другим заводам МАП, а заводу № 47 поручается оказание помощи по внедрению в производство самолета УТ-2МВ на заводах №№ 168, 600 и 464. В 4 квартале 1942 года завод осваивает серийное производство самолета ЯК-6 и выпускает их 25 единиц. В конце 3 квартала 1943 года самолет ЯК-6 с производства снимается и заводу поручается серийное производство самолета ЩЕ-2. В 1944-1945 гг. и в 1 квартале 1946 года завод выпускает самолеты ЩЕ-2, одновременно работая над опытными вариантами. Кроме серийных самолетов завод выпустил их варианты:</w:t>
      </w:r>
    </w:p>
    <w:p w14:paraId="734E78B4" w14:textId="77777777" w:rsidR="00165A9C" w:rsidRPr="00640820" w:rsidRDefault="00165A9C" w:rsidP="0064082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С/х</w:t>
      </w:r>
    </w:p>
    <w:p w14:paraId="2479981D" w14:textId="77777777" w:rsidR="00165A9C" w:rsidRPr="00640820" w:rsidRDefault="00165A9C" w:rsidP="0064082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Дизельный (с двумя дизельмоторами)</w:t>
      </w:r>
    </w:p>
    <w:p w14:paraId="67CD5AC9" w14:textId="77777777" w:rsidR="00165A9C" w:rsidRPr="00640820" w:rsidRDefault="00165A9C" w:rsidP="0064082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Модернизированный</w:t>
      </w:r>
    </w:p>
    <w:p w14:paraId="4C20D172" w14:textId="77777777" w:rsidR="00165A9C" w:rsidRPr="00640820" w:rsidRDefault="00165A9C" w:rsidP="0064082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Эталон 1945 года В январе 1946 года заводу дается задание освоить выпуск самолета ЯК-8, в марте это задание снимается. В мае 1946 года завод получает задание по изготовлению металлических крыльев самолета ЯК-8. В июне задание по выпуску крыльев самолета ЯК-8 отменяется, заводу поручается освоение и серийный выпуск планеров А-2 и Ц-25. В 1947 году завод, выпуская планер А-2 продолжает осваивать производство планера Ц-25.</w:t>
      </w:r>
    </w:p>
    <w:p w14:paraId="220FE8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приказом МАП № 362сс от 5 июня 1948 года завод свертывает выпуск планера Ц-25 и переходит на выпуск самолета ПО-2.</w:t>
      </w:r>
    </w:p>
    <w:p w14:paraId="576A25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основании приказа МАП № 789сс от 4 января 1949 года завод прекращает выпуск самолета ПО-2 и переходит на выпуск планера ЯК-14.</w:t>
      </w:r>
    </w:p>
    <w:p w14:paraId="1E25CA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постановлением СМ № 161-76сс от 19 октября 1951 года и приказа МАП № 60сс от 24 января 1951 года завод полностью реконструируется с целью выпуска самолета ИЛ-10М. В 1953 году завод осваивает выпуск самолета ИЛ-10М и выпускает их 4 единицы. В декабре 1953 года заводу дается задание подготовить производство и начать выпуск вертолетов МИ-1. В 1954 году завод освоил выпуск вертолета МИ-1, выпустил 6 самолетов ИЛ-10М и в соответствии с приказом МАП № 259сс от 14 декабря 1954 года приступил к подготовке производства самолета ТУ-16П.</w:t>
      </w:r>
    </w:p>
    <w:p w14:paraId="2ACF93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И.о. директора – Шевченко А.М.</w:t>
      </w:r>
    </w:p>
    <w:p w14:paraId="78544B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Оренбург, п/я 936</w:t>
      </w:r>
    </w:p>
    <w:p w14:paraId="54E107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Производственный профиль – реактивная техника</w:t>
      </w:r>
    </w:p>
    <w:p w14:paraId="57E0F4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приказом № 449 от 12 июня 1955 года завод начал подготовку производства радиоуправляемой мишени (изделие 201) и прекратил производство самолета ТУ-16П (9830).</w:t>
      </w:r>
    </w:p>
    <w:p w14:paraId="6C1E22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B24BAEF" w14:textId="77777777" w:rsidR="00801ADA" w:rsidRPr="00640820" w:rsidRDefault="00801A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октября 1941 г. по март 1942 г. в Уфе находилось проектное бюро Центрального института авиационного моторостроения (ЦИАМ). Сотрудники бюро продолжили начатые в Москве работы по повышению высотности авиадвигателей, проводили активные исследования, доводку и сборку нагнетателей конструкции В. А. Доллежаля. Впоследствии их устанавливали на моторах М-105, что существенно повышало боевые качества истребителей. Оснащенные нагнетателями двигатели проходили испытания на Уфимском моторном заводе и отправлялись в 12-й гвардейский полк 1-й воздушной армии. В соответствии с постановлением ГКО от 7 марта 1942 г. проектное бюро ЦИАМ было реэвакуировано в Москву (19705).</w:t>
      </w:r>
    </w:p>
    <w:p w14:paraId="2B24414F" w14:textId="77777777" w:rsidR="00801ADA" w:rsidRPr="00640820" w:rsidRDefault="00801ADA" w:rsidP="00640820">
      <w:pPr>
        <w:spacing w:after="0" w:line="240" w:lineRule="auto"/>
        <w:jc w:val="both"/>
        <w:rPr>
          <w:rFonts w:ascii="Times New Roman" w:hAnsi="Times New Roman"/>
          <w:color w:val="000000" w:themeColor="text1"/>
          <w:sz w:val="16"/>
          <w:szCs w:val="16"/>
        </w:rPr>
      </w:pPr>
    </w:p>
    <w:p w14:paraId="28EA4F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октября 1941 г. на территории завода № 1 в г. Москве образованы Самолетные ремонтные мастерские при Ремотделе НКАП. Начальник мастерских- А.Т. Карев. В 12.1941 г. на территории завода образован новый Завод № 30 НКАП (10776).</w:t>
      </w:r>
    </w:p>
    <w:p w14:paraId="3FF555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1E0A7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коллектив ОКБ А.А. Архангельского эвакуирован на завод № 166 и влит в состав ОКБ-166. Работы по перевооружению СБ на подвижную установку двух пушек ШВАК (1942г). Приказом № 784с от 17.10.1942 г. коллективу Архангельского предписывалось перебазироваться на завод № 55 НКАП, но это не было выполнено. В начале 1942 г. планировалось организовать при заводе № 22 ОКБ под руководством Туполева для внедрения в серию Ту-2, а чуть позже- перевести ОКБ Туполева на завод № 293 в Химки. Затем эти решения были отменены. Приказом № 233с от 14/ 19.04.1943 г. Туполев назначен гл. конструктором/ ответственным руководителем завода № 156. Осенью 1943 г. КБ вернулось на площадку завода № 156 и действовало как ОКБ-156 НКАП. В начале 1944 г. при заводе № 156 образован филиал ОКБ-166 для доводки Ту-2. Гл. конструктор (7.10.1941 г.-)- А.Н. Туполев. Зам. гл. конструктора (7.10.1941 г.-)- Б.А. Саукке, (1942 г.)- Д.С. Марков, (02.1942 г.-)- И.Б. Иосилович (10776).</w:t>
      </w:r>
    </w:p>
    <w:p w14:paraId="628664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8C52A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года завод № 474 был полностью эвакуировался в Свердловск. В январе 1942 года на освобожденной территории в Москве начали оборудовать филиал завода № 474 по выпуску манометрических приборов. Директором филиала был назначен Валаев Н.Б.</w:t>
      </w:r>
    </w:p>
    <w:p w14:paraId="1EFF9E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решением ГКО за № 1543сс от 5 апреля 1942 года и приказа НКАП от 10 апреля 1942 года за № 269сс филиалу завода № 474 был присвоен № 118. С начала 1942 года до конца 1945 года завод № 118 работал как серийный по выпуску манометрических приборов. С ноября 1944 года директор завода – Домбровский И.И. В конце 1946 года на основании распоряжения СМ за № 7992 от 26 июня 1946 года и приказом МАП за № 430с от 4 июля 1946 года началось свертывание производства манометрических приборов и организация завода № 118 по разработке приборов автоматического самолетовождения и гироскопических авиаприборов. В июне 1946 года директором завода был назначен Сорокин В.М.</w:t>
      </w:r>
    </w:p>
    <w:p w14:paraId="4F6D7E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ОКБ гл. конструктора Сорокина В.М. ведет свое начало с конструкторской группы по автопилотам, организованной в ноябре 1932 года на заводе № 214 (в то время завод “Метрон”) в связи с развертыванием на этом заводе производства автопилотов АВП-1. В феврале 1938 года приказом директора завода № 214 на базе этой груааы было организовано ОКБ по разработке гироскопических приборов и автопилотов – ОКБ при заводе № 214. В 1941 году ОКБ совместно с заводом № 214 было эвакуировано в Свердловск. На основании приказа НКАП от 28 октября 1943 года за № 643с ОКБ в 1943 году было реэвакуировано обратно в Москву с базированием при заводе № 122, где было переименовано в ОКБ-1 5-го гл. управления МАП.</w:t>
      </w:r>
    </w:p>
    <w:p w14:paraId="369E02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связи с организацией опытного завода № 118 основной личный состав ОКБ-1 во главе с Сорокиным В.М. был переведен на завод № 118. В июле 1949 года Директором завода был назначен Домбровский И.И., гл. конструктором Сорокин В.М. В конце октября 1951 года директором завода был назначен Солдатов А.И. С ноября 1952 года – директор – Кочеров П.П. В октябре 1953 года директором завода был назначен Григорьян Г.М., а в июне 1953 года гл. конструктором завода стал Михалев И.А.</w:t>
      </w:r>
    </w:p>
    <w:p w14:paraId="66DE69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Москва, ул. Образцова, д. 13, Дзержинский район</w:t>
      </w:r>
    </w:p>
    <w:p w14:paraId="7D7518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Производственный профиль – опытный завод авиаприборов 30 июля 1955 года на завод № 118 переведен гл. конструктор Никитин Н.П. и создано ОКБ-2 гл. конструктора Никитина Н.П. по разработке автопилотов для реактивных снарядов систем “воздух-воздух” (9677).</w:t>
      </w:r>
    </w:p>
    <w:p w14:paraId="104AC7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FD7D7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ОКБ С.В.Ильюшина эвакуировалось из Москвы (9528).</w:t>
      </w:r>
    </w:p>
    <w:p w14:paraId="366E70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5EACD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года завод № 161 эвакуировался из Москвы в Уфу и разместился на территории бывш. авторемонтного завода, расположенного по ул. Аксакова, 95. Вместе с заводом и эвакуировалось ОКБ.</w:t>
      </w:r>
    </w:p>
    <w:p w14:paraId="5BE717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ОКБ-161 за период работы с 1940 года по 1949 год занималось разработкой изделий системам зажигания поршневых авиамоторов отечественного производства –слюдяные свечи, экранирующие угольники и контактные устройства.</w:t>
      </w:r>
    </w:p>
    <w:p w14:paraId="4B8DDE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Руководители: С 1940 по 1943 гг. – Воронов С 1943 по 1951 гг. – Чекунов С 1951 по 1956 гг. – Дмитриев С 1956 по 1959 гг. – Богомолов С 1959 года – Гражданкин (9908).</w:t>
      </w:r>
    </w:p>
    <w:p w14:paraId="1C8E60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D211B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за</w:t>
      </w:r>
      <w:r w:rsidRPr="00640820">
        <w:rPr>
          <w:rFonts w:ascii="Times New Roman" w:hAnsi="Times New Roman"/>
          <w:color w:val="000000" w:themeColor="text1"/>
          <w:sz w:val="16"/>
          <w:szCs w:val="16"/>
        </w:rPr>
        <w:softHyphen/>
        <w:t>вод № 135, также как и ОКБ Сухого, был эва</w:t>
      </w:r>
      <w:r w:rsidRPr="00640820">
        <w:rPr>
          <w:rFonts w:ascii="Times New Roman" w:hAnsi="Times New Roman"/>
          <w:color w:val="000000" w:themeColor="text1"/>
          <w:sz w:val="16"/>
          <w:szCs w:val="16"/>
        </w:rPr>
        <w:softHyphen/>
        <w:t>куирован в Пермь, где рядом с заво</w:t>
      </w:r>
      <w:r w:rsidRPr="00640820">
        <w:rPr>
          <w:rFonts w:ascii="Times New Roman" w:hAnsi="Times New Roman"/>
          <w:color w:val="000000" w:themeColor="text1"/>
          <w:sz w:val="16"/>
          <w:szCs w:val="16"/>
        </w:rPr>
        <w:softHyphen/>
        <w:t>дом №19 и намечалось развернуть производство Су-2 с М-82. На 1 но</w:t>
      </w:r>
      <w:r w:rsidRPr="00640820">
        <w:rPr>
          <w:rFonts w:ascii="Times New Roman" w:hAnsi="Times New Roman"/>
          <w:color w:val="000000" w:themeColor="text1"/>
          <w:sz w:val="16"/>
          <w:szCs w:val="16"/>
        </w:rPr>
        <w:softHyphen/>
        <w:t>ября завод №19 выпустил уже около 100 серийных моторов (10686).</w:t>
      </w:r>
    </w:p>
    <w:p w14:paraId="1A18BC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21221A8" w14:textId="77777777" w:rsidR="00801ADA" w:rsidRPr="00640820" w:rsidRDefault="00801A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московский завод № 203 Наркомата электропромышленности, который являлся единственным предприятием СССР по производству танковых и самолетных радиостанций завод был полностью демонтирован и эвакуирован в г.Сарапул, где в течение нескольких месяцев восстанавливал довоенные мощности (400 радиостанций в месяц). Таким образом, в период восстановления завода № 203 наркоматы авиационной и танковой промышленности испытывали большие затруднения при укомплектовании боевой техники аппаратурой связи (18677).</w:t>
      </w:r>
    </w:p>
    <w:p w14:paraId="4CA20CC9" w14:textId="77777777" w:rsidR="00801ADA" w:rsidRPr="00640820" w:rsidRDefault="00801ADA" w:rsidP="00640820">
      <w:pPr>
        <w:spacing w:after="0" w:line="240" w:lineRule="auto"/>
        <w:jc w:val="both"/>
        <w:rPr>
          <w:rFonts w:ascii="Times New Roman" w:hAnsi="Times New Roman"/>
          <w:color w:val="000000" w:themeColor="text1"/>
          <w:sz w:val="16"/>
          <w:szCs w:val="16"/>
        </w:rPr>
      </w:pPr>
    </w:p>
    <w:p w14:paraId="7FD164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завод № 203 НКЭП был эвакуирован в Сарапул и в Горький. Небольшая часть завода, в т.ч. конструкторский коллектив Е.Н. Геништы, осталась в Москве. На ее базе организованы мастерские по ремонту войсковой радиоаппаратуры. В 1942 г. они реорганизованы в новый завод № 528 НКЭП (Завод № 528 НКЭП, МПСС, МРП, Московский радиозавод (МРЗ), МПО «Темп», п/я 383, ГП, ФГУП, ОАО «МРЗ «Темп» /113184  г. Москва ул. Б. Татарская, 35 тел. 953-32-47/).</w:t>
      </w:r>
    </w:p>
    <w:p w14:paraId="1F0172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годы войны созданы и освоены в производстве армейские радиостанции РМ-8, РБ-У, А-7, разработаны также РО, МАРС, </w:t>
      </w:r>
      <w:r w:rsidRPr="00640820">
        <w:rPr>
          <w:rFonts w:ascii="Times New Roman" w:hAnsi="Times New Roman"/>
          <w:color w:val="000000" w:themeColor="text1"/>
          <w:sz w:val="16"/>
          <w:szCs w:val="16"/>
          <w:lang w:val="en-US"/>
        </w:rPr>
        <w:t>BP</w:t>
      </w:r>
      <w:r w:rsidRPr="00640820">
        <w:rPr>
          <w:rFonts w:ascii="Times New Roman" w:hAnsi="Times New Roman"/>
          <w:color w:val="000000" w:themeColor="text1"/>
          <w:sz w:val="16"/>
          <w:szCs w:val="16"/>
        </w:rPr>
        <w:t>. В 1946 г. начат выпуск бытовых радиоприемников. В 1947 г. освоен выпуск первого отечественного телевизора «Москвич Т-1». После войны создан автоматический радиокомпас АРК-5 (В.Б. Пестряков). В 1948 г. при заводе создано КБ.</w:t>
      </w:r>
    </w:p>
    <w:p w14:paraId="15A3CF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навигационных приборов.</w:t>
      </w:r>
    </w:p>
    <w:p w14:paraId="484C4D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завода действовало спецбюро СБ-10.</w:t>
      </w:r>
    </w:p>
    <w:p w14:paraId="324C68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1940-х  г. был отдел измерительных устройств. Создана установка «А» для регистрации числа импульсов от счетчика Гейгера.</w:t>
      </w:r>
    </w:p>
    <w:p w14:paraId="384AEB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Велись работы по разработке ГСН для ЗУР Р-101 (1948 г.).</w:t>
      </w:r>
    </w:p>
    <w:p w14:paraId="2D35B1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1951 г. отдел измерительных устройств преобразован в СКБ-2 по проектированию радиометрических приборов.</w:t>
      </w:r>
    </w:p>
    <w:p w14:paraId="7FE92D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1948 г. имел открытое название МРЗ, 1952 г.- в ведении МПСС. Имел наименование «п/я 383». В 1963 г. в состав МРЗ в качестве филиала вошел Московский радиозавод «Красный Октябрь». В 1972 г. на базе завода создано ПО «Темп».</w:t>
      </w:r>
    </w:p>
    <w:p w14:paraId="2F87AD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Производство (2002 г.): автоматические радиокомпасы для </w:t>
      </w:r>
      <w:r w:rsidRPr="00640820">
        <w:rPr>
          <w:rFonts w:ascii="Times New Roman" w:hAnsi="Times New Roman"/>
          <w:color w:val="000000" w:themeColor="text1"/>
          <w:sz w:val="16"/>
          <w:szCs w:val="16"/>
          <w:lang w:val="en-US"/>
        </w:rPr>
        <w:t>JIA</w:t>
      </w:r>
      <w:r w:rsidRPr="00640820">
        <w:rPr>
          <w:rFonts w:ascii="Times New Roman" w:hAnsi="Times New Roman"/>
          <w:color w:val="000000" w:themeColor="text1"/>
          <w:sz w:val="16"/>
          <w:szCs w:val="16"/>
        </w:rPr>
        <w:t>; самолетные приемоиндикаторы спутниковых навигационных систем; аварийно-спасательные радиостанции</w:t>
      </w:r>
    </w:p>
    <w:p w14:paraId="0309EE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Указу Президента РФ № 1009 от 4.08.2004 г. ОАО вошло в число стратегических оборонных предприятий.</w:t>
      </w:r>
    </w:p>
    <w:p w14:paraId="2F006C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(2002 г.)- 900 чел.</w:t>
      </w:r>
    </w:p>
    <w:p w14:paraId="3E4404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(1951 г.)- Д.Е. Глаголев. Гендиректор (2000-02 г.-)- Ю.С. Горбунов, (2003 г.)- А.Н. Климов.</w:t>
      </w:r>
    </w:p>
    <w:p w14:paraId="526991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(2002 г.)- П.С. Козорез.</w:t>
      </w:r>
    </w:p>
    <w:p w14:paraId="36EE6A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гендиректора (2002 г.)- С.В. Мамонтов; по производству (2002 г.)- В.И. Харитонов; по экономике (2002 г.)- А.А. Червяков.</w:t>
      </w:r>
    </w:p>
    <w:p w14:paraId="7389D4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Коммерческий директор (2002 г.)- С.В. Мамонтов.</w:t>
      </w:r>
      <w:r w:rsidRPr="00640820">
        <w:rPr>
          <w:rFonts w:ascii="Times New Roman" w:hAnsi="Times New Roman"/>
          <w:color w:val="000000" w:themeColor="text1"/>
          <w:sz w:val="16"/>
          <w:szCs w:val="16"/>
          <w:vertAlign w:val="superscript"/>
        </w:rPr>
        <w:t>69</w:t>
      </w:r>
    </w:p>
    <w:p w14:paraId="099EA6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конструкторы: (1943 г.)-  Г.Т. Шитиков (А-7).</w:t>
      </w:r>
    </w:p>
    <w:p w14:paraId="265D04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лабораторий: (-1947 г.)- Б.И. Баранов.</w:t>
      </w:r>
    </w:p>
    <w:p w14:paraId="597030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 радиостанции:</w:t>
      </w:r>
      <w:r w:rsidRPr="00640820">
        <w:rPr>
          <w:rFonts w:ascii="Times New Roman" w:hAnsi="Times New Roman"/>
          <w:color w:val="000000" w:themeColor="text1"/>
          <w:sz w:val="16"/>
          <w:szCs w:val="16"/>
        </w:rPr>
        <w:t xml:space="preserve"> армейские РМ-8 (ВОВ), РБ-У (ВОВ), А-7 (ВОВ); радиополукомпас РПК-10М (1946);</w:t>
      </w:r>
      <w:r w:rsidRPr="00640820">
        <w:rPr>
          <w:rFonts w:ascii="Times New Roman" w:hAnsi="Times New Roman"/>
          <w:iCs/>
          <w:color w:val="000000" w:themeColor="text1"/>
          <w:sz w:val="16"/>
          <w:szCs w:val="16"/>
        </w:rPr>
        <w:t xml:space="preserve"> радиокомпасы</w:t>
      </w:r>
      <w:r w:rsidRPr="00640820">
        <w:rPr>
          <w:rFonts w:ascii="Times New Roman" w:hAnsi="Times New Roman"/>
          <w:color w:val="000000" w:themeColor="text1"/>
          <w:sz w:val="16"/>
          <w:szCs w:val="16"/>
        </w:rPr>
        <w:t>: РПКО-Ю, АРК-5 (1940-е), РК-54 (1946-56), АРК-9, АРК-10, АРК-11;</w:t>
      </w:r>
      <w:r w:rsidRPr="00640820">
        <w:rPr>
          <w:rFonts w:ascii="Times New Roman" w:hAnsi="Times New Roman"/>
          <w:color w:val="000000" w:themeColor="text1"/>
          <w:sz w:val="16"/>
          <w:szCs w:val="16"/>
          <w:vertAlign w:val="superscript"/>
        </w:rPr>
        <w:t>101</w:t>
      </w:r>
      <w:r w:rsidRPr="00640820">
        <w:rPr>
          <w:rFonts w:ascii="Times New Roman" w:hAnsi="Times New Roman"/>
          <w:iCs/>
          <w:color w:val="000000" w:themeColor="text1"/>
          <w:sz w:val="16"/>
          <w:szCs w:val="16"/>
        </w:rPr>
        <w:t xml:space="preserve"> радиоприемники: </w:t>
      </w:r>
      <w:r w:rsidRPr="00640820">
        <w:rPr>
          <w:rFonts w:ascii="Times New Roman" w:hAnsi="Times New Roman"/>
          <w:color w:val="000000" w:themeColor="text1"/>
          <w:sz w:val="16"/>
          <w:szCs w:val="16"/>
        </w:rPr>
        <w:t>«Родина» (1946-), «Москвич-В» (1946-), «Весна» (1946-), «Старт-2» (1963-), «Топаз-2» (1963-), «Сокол» (1964-), «Сокол-308» (1976-);</w:t>
      </w:r>
      <w:r w:rsidRPr="00640820">
        <w:rPr>
          <w:rFonts w:ascii="Times New Roman" w:hAnsi="Times New Roman"/>
          <w:iCs/>
          <w:color w:val="000000" w:themeColor="text1"/>
          <w:sz w:val="16"/>
          <w:szCs w:val="16"/>
        </w:rPr>
        <w:t xml:space="preserve"> телевизоры:</w:t>
      </w:r>
      <w:r w:rsidRPr="00640820">
        <w:rPr>
          <w:rFonts w:ascii="Times New Roman" w:hAnsi="Times New Roman"/>
          <w:color w:val="000000" w:themeColor="text1"/>
          <w:sz w:val="16"/>
          <w:szCs w:val="16"/>
        </w:rPr>
        <w:t xml:space="preserve"> Т-1 «Москвич» (1947-), КВН-49 (1949-), КВН-49М, -49Б (-1954), «Волна», «Темп» (1954-), «Темп-2, -3, -6, -6М (1968-), -6Н, -7, -7М, -209, -209М, -22, -711, -714, -718, -733, -738, Ц-202, Ц- 207, Ц-208, Ц-275, Ц-280, 61ТЦ-343, </w:t>
      </w:r>
      <w:r w:rsidRPr="00640820">
        <w:rPr>
          <w:rFonts w:ascii="Times New Roman" w:hAnsi="Times New Roman"/>
          <w:color w:val="000000" w:themeColor="text1"/>
          <w:sz w:val="16"/>
          <w:szCs w:val="16"/>
          <w:lang w:val="en-US"/>
        </w:rPr>
        <w:t>AV</w:t>
      </w:r>
      <w:r w:rsidRPr="00640820">
        <w:rPr>
          <w:rFonts w:ascii="Times New Roman" w:hAnsi="Times New Roman"/>
          <w:color w:val="000000" w:themeColor="text1"/>
          <w:sz w:val="16"/>
          <w:szCs w:val="16"/>
        </w:rPr>
        <w:t>-330, 61ТЦ-4115, 51ТЦ-5170»; магнитола «Сокол».</w:t>
      </w:r>
    </w:p>
    <w:p w14:paraId="3FF01C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СБ-10</w:t>
      </w:r>
    </w:p>
    <w:p w14:paraId="797C29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Специальное бюро, действовало при заводе в 1946 г. В 1946 г. группа специалистов из СБ-10 была переведена во вновь созданный НИИ-885.</w:t>
      </w:r>
    </w:p>
    <w:p w14:paraId="2B548C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ГУП, ОАО «Московское КБ (МКБ) «Компас» /115184 (113184)  г. Москва ул. Б. Татарская, 35 стр. 5 тел. 953-26-22/</w:t>
      </w:r>
    </w:p>
    <w:p w14:paraId="65B033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Образовано 25.12.1948 г. Разработка радиокомпасов, радиостанций, радиометров, телевизионных приемников.</w:t>
      </w:r>
    </w:p>
    <w:p w14:paraId="33ACCF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 914-396 от 12.08.1959 г. фазовая радионавигационная система (РНС) высокой точности РСВТ-1 пнв ВМФ.</w:t>
      </w:r>
    </w:p>
    <w:p w14:paraId="079FCE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решением ВПК № 62 от 20.02.1991 г. начата разработка радионавигационного оборудования нового поколения, в результате создано унифицированное семейство аппаратуры (А-737).</w:t>
      </w:r>
    </w:p>
    <w:p w14:paraId="18BF80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Работы (2002 г.): разработка: приемоиндикаторов спутниковых систем ГЛОНАСС и </w:t>
      </w:r>
      <w:r w:rsidRPr="00640820">
        <w:rPr>
          <w:rFonts w:ascii="Times New Roman" w:hAnsi="Times New Roman"/>
          <w:color w:val="000000" w:themeColor="text1"/>
          <w:sz w:val="16"/>
          <w:szCs w:val="16"/>
          <w:lang w:val="en-US"/>
        </w:rPr>
        <w:t>GPS</w:t>
      </w:r>
      <w:r w:rsidRPr="00640820">
        <w:rPr>
          <w:rFonts w:ascii="Times New Roman" w:hAnsi="Times New Roman"/>
          <w:color w:val="000000" w:themeColor="text1"/>
          <w:sz w:val="16"/>
          <w:szCs w:val="16"/>
        </w:rPr>
        <w:t>; радиокомпасы для легкомоторных самолетов; средства спасения космонавтов и спускаемых объектов.</w:t>
      </w:r>
    </w:p>
    <w:p w14:paraId="05A1F7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2002 г. - ГУП. По Указу Президента РФ № 1009 от 4.08.2004 г. ОАО вошло в число стратегических оборонных предприятий.</w:t>
      </w:r>
    </w:p>
    <w:p w14:paraId="31A6A0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Руководитель (1948 г.-)- В.Б. Пестряков. Директор (-2000-02 г.-)- А.Н. Зайцев. Гендиректор (2004-05 г.-)- М.Д. Сафин.</w:t>
      </w:r>
    </w:p>
    <w:p w14:paraId="6074B2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(2002 г.)- Е.А. Мосяков,</w:t>
      </w:r>
      <w:r w:rsidRPr="00640820">
        <w:rPr>
          <w:rFonts w:ascii="Times New Roman" w:hAnsi="Times New Roman"/>
          <w:color w:val="000000" w:themeColor="text1"/>
          <w:sz w:val="16"/>
          <w:szCs w:val="16"/>
          <w:vertAlign w:val="superscript"/>
        </w:rPr>
        <w:t>69</w:t>
      </w:r>
      <w:r w:rsidRPr="00640820">
        <w:rPr>
          <w:rFonts w:ascii="Times New Roman" w:hAnsi="Times New Roman"/>
          <w:color w:val="000000" w:themeColor="text1"/>
          <w:sz w:val="16"/>
          <w:szCs w:val="16"/>
        </w:rPr>
        <w:t xml:space="preserve"> (2004-05 г.-&gt;  Г.Е. Карюкин.</w:t>
      </w:r>
      <w:r w:rsidRPr="00640820">
        <w:rPr>
          <w:rFonts w:ascii="Times New Roman" w:hAnsi="Times New Roman"/>
          <w:color w:val="000000" w:themeColor="text1"/>
          <w:sz w:val="16"/>
          <w:szCs w:val="16"/>
          <w:vertAlign w:val="superscript"/>
        </w:rPr>
        <w:t>101</w:t>
      </w:r>
    </w:p>
    <w:p w14:paraId="77F8FE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Создано: радиокомпасы:</w:t>
      </w:r>
      <w:r w:rsidRPr="00640820">
        <w:rPr>
          <w:rFonts w:ascii="Times New Roman" w:hAnsi="Times New Roman"/>
          <w:color w:val="000000" w:themeColor="text1"/>
          <w:sz w:val="16"/>
          <w:szCs w:val="16"/>
        </w:rPr>
        <w:t xml:space="preserve"> АРК-9, АРК-10, АРК-11, АРК-15М, АРК-19, АРК-22, АРК-25 (1970-е), АРК-35-1, АРК-32, АРК-М, АРК-УД, АРК-40; морские (РНС): РСВТ-1 «Луга» (пнв 12.08.1959 г.), РЛ-10 «МАРС-75», БРАС- 3, РС-10 «Кальмар»; бортовые приемоиндикаторы РНС: А-723, РЩ (1970-е), А-737 «Квиток-4С» для систем ГЛОНАСС и </w:t>
      </w:r>
      <w:r w:rsidRPr="00640820">
        <w:rPr>
          <w:rFonts w:ascii="Times New Roman" w:hAnsi="Times New Roman"/>
          <w:color w:val="000000" w:themeColor="text1"/>
          <w:sz w:val="16"/>
          <w:szCs w:val="16"/>
          <w:lang w:val="en-US"/>
        </w:rPr>
        <w:t>GPS</w:t>
      </w:r>
      <w:r w:rsidRPr="00640820">
        <w:rPr>
          <w:rFonts w:ascii="Times New Roman" w:hAnsi="Times New Roman"/>
          <w:color w:val="000000" w:themeColor="text1"/>
          <w:sz w:val="16"/>
          <w:szCs w:val="16"/>
        </w:rPr>
        <w:t xml:space="preserve"> с пультом управления ПУИН (1990-е), «Терминатор», «Странник»; спутниковая навигационная аппаратура ПСН-2001 для КАБ-500 (совместно с ГНПП «Регион»); носимый приемник сигналов систем ГЛОНАСС и </w:t>
      </w:r>
      <w:r w:rsidRPr="00640820">
        <w:rPr>
          <w:rFonts w:ascii="Times New Roman" w:hAnsi="Times New Roman"/>
          <w:color w:val="000000" w:themeColor="text1"/>
          <w:sz w:val="16"/>
          <w:szCs w:val="16"/>
          <w:lang w:val="en-US"/>
        </w:rPr>
        <w:t>GPS</w:t>
      </w:r>
      <w:r w:rsidRPr="00640820">
        <w:rPr>
          <w:rFonts w:ascii="Times New Roman" w:hAnsi="Times New Roman"/>
          <w:color w:val="000000" w:themeColor="text1"/>
          <w:sz w:val="16"/>
          <w:szCs w:val="16"/>
        </w:rPr>
        <w:t xml:space="preserve"> «Навигатор (1995, совместно с НИИ «Научный центр»).</w:t>
      </w:r>
    </w:p>
    <w:p w14:paraId="263C13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радиокомпасы: АРК-35-1, АРК-32, АРК-М, АРК-УД (2004).</w:t>
      </w:r>
    </w:p>
    <w:p w14:paraId="69C64D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СКБ-2 завода № 528 МРП</w:t>
      </w:r>
    </w:p>
    <w:p w14:paraId="7788D2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СКБ-2 создано при заводе №</w:t>
      </w:r>
      <w:r w:rsidRPr="00640820">
        <w:rPr>
          <w:rFonts w:ascii="Times New Roman" w:hAnsi="Times New Roman"/>
          <w:iCs/>
          <w:color w:val="000000" w:themeColor="text1"/>
          <w:sz w:val="16"/>
          <w:szCs w:val="16"/>
        </w:rPr>
        <w:t xml:space="preserve"> 528 в</w:t>
      </w:r>
      <w:r w:rsidRPr="00640820">
        <w:rPr>
          <w:rFonts w:ascii="Times New Roman" w:hAnsi="Times New Roman"/>
          <w:color w:val="000000" w:themeColor="text1"/>
          <w:sz w:val="16"/>
          <w:szCs w:val="16"/>
        </w:rPr>
        <w:t xml:space="preserve"> 1951 г. на базе отдела измерительных устройств. В его составе - две лаборатории, конструкторский отдел. Экспериментальной и производственной базой являлся завод № 528. Создание радиометрических приборов. Разработано и внедрено в серию более 20 типов приборов.</w:t>
      </w:r>
    </w:p>
    <w:p w14:paraId="57038C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Ликвидировано приказом по министерству в 07.1955 г., сотрудники СКВ (23 чел.) переведены с 15.08.1955 г. в ЦКБ-1 МПСС.</w:t>
      </w:r>
    </w:p>
    <w:p w14:paraId="3E3D52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(1954 г.)- 65 чел.</w:t>
      </w:r>
    </w:p>
    <w:p w14:paraId="51A1B4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(1954 г.)- А.А. Володин.</w:t>
      </w:r>
    </w:p>
    <w:p w14:paraId="4385D5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КБ (1950-е)- Д.Д. Сачков.</w:t>
      </w:r>
    </w:p>
    <w:p w14:paraId="006438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Создано: радиометры:</w:t>
      </w:r>
      <w:r w:rsidRPr="00640820">
        <w:rPr>
          <w:rFonts w:ascii="Times New Roman" w:hAnsi="Times New Roman"/>
          <w:color w:val="000000" w:themeColor="text1"/>
          <w:sz w:val="16"/>
          <w:szCs w:val="16"/>
        </w:rPr>
        <w:t xml:space="preserve"> для МО ДП-11А «Сенеж», ДП-11Б «Севан»; поисковые: «Байкал», портативный «Яуза»; рудничные «Долина», «Имандра»; рудосортировочный «Вятка», «Застава», «Свет»; каротажные станции: «Эмба», легкие «Ильмень», «Колыма», «Истра»; тяжелая «Рица»; декадно-счетная установка для МО ДП-100 (1954).</w:t>
      </w:r>
    </w:p>
    <w:p w14:paraId="1FE9A4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Московский Государственный радиозавод «Красный Октябрь», АО «Сокол» /107023  г. Москва ул. Электрозаводская, 24/</w:t>
      </w:r>
    </w:p>
    <w:p w14:paraId="616A2D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Московский Государственный радиозавод «Красный Октябрь» создан в 1949 г. на базе завода металлоизделий. В 1963 г. в качестве филиала вошел в состав завода № 528, далее- в составе ПО «Темп».</w:t>
      </w:r>
    </w:p>
    <w:p w14:paraId="415923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 радиоприемники:</w:t>
      </w:r>
      <w:r w:rsidRPr="00640820">
        <w:rPr>
          <w:rFonts w:ascii="Times New Roman" w:hAnsi="Times New Roman"/>
          <w:color w:val="000000" w:themeColor="text1"/>
          <w:sz w:val="16"/>
          <w:szCs w:val="16"/>
        </w:rPr>
        <w:t xml:space="preserve"> «Комсомолец», «Огонек» (1953-), «Москвич-3», «Заря» (1955-), «Сокол», «Сокол-2, -4, -403, -404, -405, -407, -304, -308, -309, -310, РП-310, РП-311, РП-315, РП-204, РП-210, РП-216, РП- 6312, РП-6313», «Радио-7»; магнитофон «Сокол-мини-стерео»; магнитолы: «Сокол-101С, -109»; радиолы: «Огонек», «Заря», «Садко», «Лира»; абонентские громкоговорители: «Москвич», «Ласточка», «Заря» (11892).</w:t>
      </w:r>
    </w:p>
    <w:p w14:paraId="13C397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18F85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отдельные группы, работающие над реактивными двигателями, были объединены в ЦАГИ в Воздушно-реактивную лабораторию (384,166).</w:t>
      </w:r>
    </w:p>
    <w:p w14:paraId="0A0A82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043C03F" w14:textId="77777777" w:rsidR="00340A71" w:rsidRPr="00640820" w:rsidRDefault="00340A7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досрочно выполнив программу 1941 г.,  завод № 600 в Урумчи получил задание освоить вы</w:t>
      </w:r>
      <w:r w:rsidRPr="00640820">
        <w:rPr>
          <w:rFonts w:ascii="Times New Roman" w:hAnsi="Times New Roman"/>
          <w:color w:val="000000" w:themeColor="text1"/>
          <w:sz w:val="16"/>
          <w:szCs w:val="16"/>
        </w:rPr>
        <w:softHyphen/>
        <w:t>пуск запчастей к И-16, ЛаГГ-3 и Як-7б (хвостовое оперение, туннель маслорадиатора, баки и др. агрегаты). До конца года заводу № 153 отгрузили 92 воздушных винта (15811).</w:t>
      </w:r>
    </w:p>
    <w:p w14:paraId="523320D4" w14:textId="77777777" w:rsidR="00340A71" w:rsidRPr="00640820" w:rsidRDefault="00340A71" w:rsidP="00640820">
      <w:pPr>
        <w:spacing w:after="0" w:line="240" w:lineRule="auto"/>
        <w:jc w:val="both"/>
        <w:rPr>
          <w:rFonts w:ascii="Times New Roman" w:hAnsi="Times New Roman"/>
          <w:color w:val="000000" w:themeColor="text1"/>
          <w:sz w:val="16"/>
          <w:szCs w:val="16"/>
        </w:rPr>
      </w:pPr>
    </w:p>
    <w:p w14:paraId="0E7F4D18" w14:textId="77777777" w:rsidR="00D07FCB" w:rsidRPr="00640820" w:rsidRDefault="00D07F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завод № 600 в Урумчи получил задание освоить выпуск запчастей к И-16, ЛаГГ-3 и Як-7б. В документе от 1 января 1942 г. [5] отмечалось, что завод в короткий срок перестроил свое производство с самолетносборочного на изготовление агрегатов самолета И-16 (рули поворота и высоты, стабилизаторы, кили, капоты и др.) и уже закончил и отправил в Союз первую партию. Одновременно завод принял заказ от завода № 153 на изготовление агрегатов для самолета ЛАГГ-3 и запустил их в производство. Эти агрегаты включали оперение, заливные бачки, пожарные краны, маслофильтры и другие. В конце первого полугодия 1942 г. завод приступил к изготовлению агрегатов для самолёта Як-7Б. В их число входили руль высоты, руль поворота, киль, маслобаки, детали крепления капота, туннель маслорадиатора (19006).</w:t>
      </w:r>
    </w:p>
    <w:p w14:paraId="44BD50A9" w14:textId="77777777" w:rsidR="00D07FCB" w:rsidRPr="00640820" w:rsidRDefault="00D07FCB" w:rsidP="00640820">
      <w:pPr>
        <w:spacing w:after="0" w:line="240" w:lineRule="auto"/>
        <w:jc w:val="both"/>
        <w:rPr>
          <w:rFonts w:ascii="Times New Roman" w:hAnsi="Times New Roman"/>
          <w:color w:val="000000" w:themeColor="text1"/>
          <w:sz w:val="16"/>
          <w:szCs w:val="16"/>
        </w:rPr>
      </w:pPr>
    </w:p>
    <w:p w14:paraId="2DCC2D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П.Н.Горемыкина чуть не арестовали по письма ГУАС КА за то, что прекратилось производство авиационных выстрелов из-за эвакуации. И.В.С. поручил в двухнедельный срок наладить производство в Челябинске (339,124).</w:t>
      </w:r>
    </w:p>
    <w:p w14:paraId="0CE914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4C09499" w14:textId="77777777" w:rsidR="00801ADA" w:rsidRPr="00640820" w:rsidRDefault="00801A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на площадку завода № 384 стало поступать оборудование Балашихинского литейномеханического завода (завод № 219 НКАП), который производил важнейшую продукцию для всех типов авиационной техники – цветное фасонное литье из алюминиевых и магниевых сплавов. В Башкирию прибыли 305 рабочих и специалистов, 192 единицы оборудования, формовочные материалы (19705).</w:t>
      </w:r>
    </w:p>
    <w:p w14:paraId="4B11A1F9" w14:textId="77777777" w:rsidR="00801ADA" w:rsidRPr="00640820" w:rsidRDefault="00801ADA" w:rsidP="00640820">
      <w:pPr>
        <w:spacing w:after="0" w:line="240" w:lineRule="auto"/>
        <w:jc w:val="both"/>
        <w:rPr>
          <w:rFonts w:ascii="Times New Roman" w:hAnsi="Times New Roman"/>
          <w:color w:val="000000" w:themeColor="text1"/>
          <w:sz w:val="16"/>
          <w:szCs w:val="16"/>
        </w:rPr>
      </w:pPr>
    </w:p>
    <w:p w14:paraId="7E7FB8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летчиков НИИ ВВС отозвали с фронта работать. Вышло соответствующее постановление (172,158).</w:t>
      </w:r>
    </w:p>
    <w:p w14:paraId="04E841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D2FA1E4" w14:textId="77777777" w:rsidR="00D9129E" w:rsidRPr="00640820" w:rsidRDefault="00D9129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октября 1941 года производству на московской площадке ГСКБ-47 и в красноармейском цехе были установлены планы по выпуску валовой продукции. Сначала это были мины заграждения, затем крупные партии светящих авиабомб САБ-100–55, впоследствии к ним добавились реактивные фугасные снаряды большой емкости к легендарной «катюше» – М-31 (15794).</w:t>
      </w:r>
    </w:p>
    <w:p w14:paraId="07628FAF" w14:textId="77777777" w:rsidR="00D9129E" w:rsidRPr="00640820" w:rsidRDefault="00D9129E" w:rsidP="00640820">
      <w:pPr>
        <w:spacing w:after="0" w:line="240" w:lineRule="auto"/>
        <w:jc w:val="both"/>
        <w:rPr>
          <w:rFonts w:ascii="Times New Roman" w:hAnsi="Times New Roman"/>
          <w:color w:val="000000" w:themeColor="text1"/>
          <w:sz w:val="16"/>
          <w:szCs w:val="16"/>
        </w:rPr>
      </w:pPr>
    </w:p>
    <w:p w14:paraId="6B2ED69B" w14:textId="77777777" w:rsidR="0033729D" w:rsidRPr="00640820" w:rsidRDefault="0033729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отдельные группы ЦАГИ, работающие над реактивными двигателями, были объединены в Воздушно-реактивную лабораторию (19727).</w:t>
      </w:r>
    </w:p>
    <w:p w14:paraId="7EEBF4B0" w14:textId="77777777" w:rsidR="0033729D" w:rsidRPr="00640820" w:rsidRDefault="0033729D" w:rsidP="00640820">
      <w:pPr>
        <w:spacing w:after="0" w:line="240" w:lineRule="auto"/>
        <w:jc w:val="both"/>
        <w:rPr>
          <w:rFonts w:ascii="Times New Roman" w:hAnsi="Times New Roman"/>
          <w:color w:val="000000" w:themeColor="text1"/>
          <w:sz w:val="16"/>
          <w:szCs w:val="16"/>
        </w:rPr>
      </w:pPr>
    </w:p>
    <w:p w14:paraId="3D16F1DC" w14:textId="77777777" w:rsidR="0033729D" w:rsidRPr="00640820" w:rsidRDefault="0033729D" w:rsidP="00640820">
      <w:pPr>
        <w:pStyle w:val="p1"/>
        <w:spacing w:before="0" w:beforeAutospacing="0" w:after="0" w:afterAutospacing="0"/>
        <w:jc w:val="both"/>
        <w:rPr>
          <w:color w:val="000000" w:themeColor="text1"/>
          <w:sz w:val="16"/>
          <w:szCs w:val="16"/>
        </w:rPr>
      </w:pPr>
      <w:r w:rsidRPr="00640820">
        <w:rPr>
          <w:color w:val="000000" w:themeColor="text1"/>
          <w:sz w:val="16"/>
          <w:szCs w:val="16"/>
        </w:rPr>
        <w:t>В октябре 1941 – А.Г. Костиков решил «прославиться», подготовив двигатель от ракеты РДД-604 (конструкции Л.С. Душкина) к испытанию. Такой опытный двигатель сначала должен был работать как твердотопливный, а затем на азотной кислоте и керосине. Он был изготовлен в мастерских НИИ-3 без консультаций со специалистами по твердотопливным ракетам. Результатом испытаний двигателя был взрыв огромной силы, уничтоживший испытательный стенд на полигоне. После аварии состоялось партийное собрание, где Н.С. Буторин, Л.Э. Шварц и другие сотрудники обвинили А.Г. Костикова в технической безграмотности и неумении руководить. Была принята резолюция обратиться в наркомат боеприпасов с предложением об освобождении А.Г. Костикова от занимаемой должности (19588).</w:t>
      </w:r>
    </w:p>
    <w:p w14:paraId="34494A62" w14:textId="77777777" w:rsidR="0033729D" w:rsidRPr="00640820" w:rsidRDefault="0033729D" w:rsidP="00640820">
      <w:pPr>
        <w:pStyle w:val="p1"/>
        <w:spacing w:before="0" w:beforeAutospacing="0" w:after="0" w:afterAutospacing="0"/>
        <w:jc w:val="both"/>
        <w:rPr>
          <w:color w:val="000000" w:themeColor="text1"/>
          <w:sz w:val="16"/>
          <w:szCs w:val="16"/>
        </w:rPr>
      </w:pPr>
    </w:p>
    <w:p w14:paraId="7AB753AF" w14:textId="77777777" w:rsidR="0033729D" w:rsidRPr="00640820" w:rsidRDefault="0033729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начальник 10-го ГУ ВВС бригинженер Я Л Бибиков, обращаясь к П А Воронину, попросил дать указания Сухому передать заводу № 135 чертежи на установку под РС-82 с внесенными в них изменениями по результатам полигонных испытаний, а директору харьковского завода Кузину - с 1 ноября внедрить ракетное вооружение на сериинои продукции (19102).</w:t>
      </w:r>
    </w:p>
    <w:p w14:paraId="661268B8" w14:textId="77777777" w:rsidR="0033729D" w:rsidRPr="00640820" w:rsidRDefault="0033729D" w:rsidP="00640820">
      <w:pPr>
        <w:spacing w:after="0" w:line="240" w:lineRule="auto"/>
        <w:jc w:val="both"/>
        <w:rPr>
          <w:rFonts w:ascii="Times New Roman" w:hAnsi="Times New Roman"/>
          <w:color w:val="000000" w:themeColor="text1"/>
          <w:sz w:val="16"/>
          <w:szCs w:val="16"/>
        </w:rPr>
      </w:pPr>
    </w:p>
    <w:p w14:paraId="6B4836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на заводе Компрессор в Москве была закончена разработка 24-зарядной установки БМ-8-24 на базе Т-60. Ее приняли в серию и производили на нескольких заводах (3547).</w:t>
      </w:r>
    </w:p>
    <w:p w14:paraId="4C592C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40936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группа В.М.Васильева сдала на вооружение 16 зарядную установку на базе трактора СТЗ-5-НАТИ, так как проходимость установок на автомобильном шасси оказалась низкой. Однако, низкая маневренность трактора привела к тому, что такие установки не прижились (384,195).</w:t>
      </w:r>
    </w:p>
    <w:p w14:paraId="408ADF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AAC3CB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СКБ московского завода "Компрес</w:t>
      </w:r>
      <w:r w:rsidRPr="00640820">
        <w:rPr>
          <w:rFonts w:ascii="Times New Roman" w:hAnsi="Times New Roman"/>
          <w:color w:val="000000" w:themeColor="text1"/>
          <w:sz w:val="16"/>
          <w:szCs w:val="16"/>
        </w:rPr>
        <w:softHyphen/>
        <w:t>сор" и бригадой специалистов НИИ-3 в Москве при непосредственном участии главного конструктора В.П. Бармина была разработана Боевая реактивная установка БМ-8-24 на базе танка Т-40С (Т-60). Ведущим инженером ма</w:t>
      </w:r>
      <w:r w:rsidRPr="00640820">
        <w:rPr>
          <w:rFonts w:ascii="Times New Roman" w:hAnsi="Times New Roman"/>
          <w:color w:val="000000" w:themeColor="text1"/>
          <w:sz w:val="16"/>
          <w:szCs w:val="16"/>
        </w:rPr>
        <w:softHyphen/>
        <w:t>шины был В.А. Тимофеев. Машина была принята на вооружение и нахо</w:t>
      </w:r>
      <w:r w:rsidRPr="00640820">
        <w:rPr>
          <w:rFonts w:ascii="Times New Roman" w:hAnsi="Times New Roman"/>
          <w:color w:val="000000" w:themeColor="text1"/>
          <w:sz w:val="16"/>
          <w:szCs w:val="16"/>
        </w:rPr>
        <w:softHyphen/>
        <w:t>дилась в серийном производстве до конца 1941 г. на заводе "Компрессор" и на Горьковском заводе фрезерных станков. Первые три серийные уста</w:t>
      </w:r>
      <w:r w:rsidRPr="00640820">
        <w:rPr>
          <w:rFonts w:ascii="Times New Roman" w:hAnsi="Times New Roman"/>
          <w:color w:val="000000" w:themeColor="text1"/>
          <w:sz w:val="16"/>
          <w:szCs w:val="16"/>
        </w:rPr>
        <w:softHyphen/>
        <w:t>новки были изготовлены к 1 ноября 1941 г. Всего на базе танка Т-40С было выпущено 44 машины и еще 20 машин - на базе танка Т-60. Боевая установка с успехом принимала участие в боях под Москвой, в Крыму, в боях под Сталинградом, на Северо-Западном и Волховском фронтах в первой половине Великой Отечественной войны. Машина находилась на вооружении гвардейских минометных дивизионов и полков. Машина БМ-8-24 была создана в результате работ по улучшению кучности стрельбы опытной установки БМ-8, созданной на базе малого плавающего танка Т-40, и по разработке 24-зарядной пусковой установ</w:t>
      </w:r>
      <w:r w:rsidRPr="00640820">
        <w:rPr>
          <w:rFonts w:ascii="Times New Roman" w:hAnsi="Times New Roman"/>
          <w:color w:val="000000" w:themeColor="text1"/>
          <w:sz w:val="16"/>
          <w:szCs w:val="16"/>
        </w:rPr>
        <w:softHyphen/>
        <w:t>ки для 82-мм реактивных снарядов. В ходе проведения работ с целью улучшения кучности стрельбы, направляющая типа "Флейта" была за</w:t>
      </w:r>
      <w:r w:rsidRPr="00640820">
        <w:rPr>
          <w:rFonts w:ascii="Times New Roman" w:hAnsi="Times New Roman"/>
          <w:color w:val="000000" w:themeColor="text1"/>
          <w:sz w:val="16"/>
          <w:szCs w:val="16"/>
        </w:rPr>
        <w:softHyphen/>
        <w:t>менена на направляющую типа "Балка" с пиропистолетом для зажига</w:t>
      </w:r>
      <w:r w:rsidRPr="00640820">
        <w:rPr>
          <w:rFonts w:ascii="Times New Roman" w:hAnsi="Times New Roman"/>
          <w:color w:val="000000" w:themeColor="text1"/>
          <w:sz w:val="16"/>
          <w:szCs w:val="16"/>
        </w:rPr>
        <w:softHyphen/>
        <w:t>ния пороховой массы ракетного двигателя пиропатроном через сопло снаряда. Кроме того, была увеличена длина направляющей, что позво</w:t>
      </w:r>
      <w:r w:rsidRPr="00640820">
        <w:rPr>
          <w:rFonts w:ascii="Times New Roman" w:hAnsi="Times New Roman"/>
          <w:color w:val="000000" w:themeColor="text1"/>
          <w:sz w:val="16"/>
          <w:szCs w:val="16"/>
        </w:rPr>
        <w:softHyphen/>
        <w:t>лило повысить скорость снаряда на сходе и тем самым уменьшить рас</w:t>
      </w:r>
      <w:r w:rsidRPr="00640820">
        <w:rPr>
          <w:rFonts w:ascii="Times New Roman" w:hAnsi="Times New Roman"/>
          <w:color w:val="000000" w:themeColor="text1"/>
          <w:sz w:val="16"/>
          <w:szCs w:val="16"/>
        </w:rPr>
        <w:softHyphen/>
        <w:t>сеивание снарядов. После изготовления и испытаний опытных образ</w:t>
      </w:r>
      <w:r w:rsidRPr="00640820">
        <w:rPr>
          <w:rFonts w:ascii="Times New Roman" w:hAnsi="Times New Roman"/>
          <w:color w:val="000000" w:themeColor="text1"/>
          <w:sz w:val="16"/>
          <w:szCs w:val="16"/>
        </w:rPr>
        <w:softHyphen/>
        <w:t>цов боевая установка БМ-8-24 на базе танка Т-40С (Т-60) была приня</w:t>
      </w:r>
      <w:r w:rsidRPr="00640820">
        <w:rPr>
          <w:rFonts w:ascii="Times New Roman" w:hAnsi="Times New Roman"/>
          <w:color w:val="000000" w:themeColor="text1"/>
          <w:sz w:val="16"/>
          <w:szCs w:val="16"/>
        </w:rPr>
        <w:softHyphen/>
        <w:t>та на вооружение под индексом 52-ТР-392. Реактивная установка представляла собой артиллерийскую часть, смонтированную на корпусе танка Т-40С (Т-60) вместо башни. Боевой расчет из двух человек размещался в корпусе танка (10703).</w:t>
      </w:r>
    </w:p>
    <w:p w14:paraId="2CA0FEF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61E0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октябре 1941 г. завод был за 17 суток эвакуирован. Все технологические оборудование, необходимое для организации производства порохов на новом месте, было демонтировано, погружено на платформы и в вагоны и вывезено в основном на Урал. </w:t>
      </w:r>
    </w:p>
    <w:p w14:paraId="40F75D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этими же эшелонами выехали инженерно-технические работники и квалифицированные рабочие. Все производственные здания и сооружения (котельная, водонапорная башня, коммуникации и др.) были взорваны. </w:t>
      </w:r>
    </w:p>
    <w:p w14:paraId="6CBA4E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начале осени 1941 г, в связи с эвакуацией южноукраинского завода производство ракетных зарядов для PC в стране прекратилось. Потребности фронта в реактивных снарядах M-13 и М-8 не обеспечивались, в том числе и из-за недостатка ракетных зарядов. В своих воспоминаниях, относящихся к этому периоду, Г.К.Жуков писал, что из-за отсутствия боеприпасов для реактивной артиллерии ее пришлось частично отводить в тыл. </w:t>
      </w:r>
    </w:p>
    <w:p w14:paraId="425088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Однако перерыв в производстве ракетных зарядов не превышал полутора-двух месяцев. После вывода из строя южноукраинского завода основную тяжесть обеспечения потребностей Советской Армии в ракетных зарядах для PC всех калибров принял на себя средне-уральский завод (11209).</w:t>
      </w:r>
    </w:p>
    <w:p w14:paraId="2694A9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040FA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на испытания поступили светящиеся авиабомбы САБ-50-15 с опытными парашютами з-в № 1 и 2 НКЛП квадратной и круглой формы из миткаля и шифона. Прошли удовлетворительно (7453, 562).</w:t>
      </w:r>
    </w:p>
    <w:p w14:paraId="47DB97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E589E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после того, как с началом Великой Отечественной войны потребность в осветительных авиабомбах резко возросла, а перкаль и батист высших сортов для парашютов стали крайне дефицитными, на испытания поступили авиабомбы САБ-100-55 и САБ-50-15 с опытными парашютами заводов № 1 и № 2 Наркомата легкой промышленности с куполами квадратной п круглой формы из менее дефицитных шифона и миткаля. Испытания показали удовлетворительные результаты, и парашюты запустили в серийное производство (7453).</w:t>
      </w:r>
    </w:p>
    <w:p w14:paraId="38D79F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311EAE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из-за отсутствия компонентов резко сократился выпуск тротила, и БЧ реактивных снарядов пришлось снаряжать суррогатированными ВВ, что не лучшим образом отразилось на боевых качествах РС. Этой проблеме вполне можно было бы найти достойное решение, ес</w:t>
      </w:r>
      <w:r w:rsidRPr="00640820">
        <w:rPr>
          <w:rFonts w:ascii="Times New Roman" w:hAnsi="Times New Roman"/>
          <w:color w:val="000000" w:themeColor="text1"/>
          <w:sz w:val="16"/>
          <w:szCs w:val="16"/>
        </w:rPr>
        <w:softHyphen/>
        <w:t>ли бы накануне войны в стране больше внимания уделяли исследовани</w:t>
      </w:r>
      <w:r w:rsidRPr="00640820">
        <w:rPr>
          <w:rFonts w:ascii="Times New Roman" w:hAnsi="Times New Roman"/>
          <w:color w:val="000000" w:themeColor="text1"/>
          <w:sz w:val="16"/>
          <w:szCs w:val="16"/>
        </w:rPr>
        <w:softHyphen/>
        <w:t>ям бризантности боеприпасов. Тогда и при условии снаряжания суррога</w:t>
      </w:r>
      <w:r w:rsidRPr="00640820">
        <w:rPr>
          <w:rFonts w:ascii="Times New Roman" w:hAnsi="Times New Roman"/>
          <w:color w:val="000000" w:themeColor="text1"/>
          <w:sz w:val="16"/>
          <w:szCs w:val="16"/>
        </w:rPr>
        <w:softHyphen/>
        <w:t>тированными ВВ, без большого труда можно было подобрать марку ста</w:t>
      </w:r>
      <w:r w:rsidRPr="00640820">
        <w:rPr>
          <w:rFonts w:ascii="Times New Roman" w:hAnsi="Times New Roman"/>
          <w:color w:val="000000" w:themeColor="text1"/>
          <w:sz w:val="16"/>
          <w:szCs w:val="16"/>
        </w:rPr>
        <w:softHyphen/>
        <w:t>ли для изготовления корпусов БЧ ракетных боеприпасов, чтобы не ухуд</w:t>
      </w:r>
      <w:r w:rsidRPr="00640820">
        <w:rPr>
          <w:rFonts w:ascii="Times New Roman" w:hAnsi="Times New Roman"/>
          <w:color w:val="000000" w:themeColor="text1"/>
          <w:sz w:val="16"/>
          <w:szCs w:val="16"/>
        </w:rPr>
        <w:softHyphen/>
        <w:t>шать характеристик их осколочности. В отсутствие тротила те же самые корпуса снаряжали аммонитами и аммонпеками, а вместо тетриловых промежуточных детонаторов использовали «усиленные» мелинитовые. В итоге огневая мощь эрзац-</w:t>
      </w:r>
      <w:r w:rsidRPr="00640820">
        <w:rPr>
          <w:rFonts w:ascii="Times New Roman" w:hAnsi="Times New Roman"/>
          <w:color w:val="000000" w:themeColor="text1"/>
          <w:sz w:val="16"/>
          <w:szCs w:val="16"/>
        </w:rPr>
        <w:lastRenderedPageBreak/>
        <w:t>вариантов РС М-8 снизилась настолько, что руководство ГМЧ однажды возвратило всю их партию с фронта и затре</w:t>
      </w:r>
      <w:r w:rsidRPr="00640820">
        <w:rPr>
          <w:rFonts w:ascii="Times New Roman" w:hAnsi="Times New Roman"/>
          <w:color w:val="000000" w:themeColor="text1"/>
          <w:sz w:val="16"/>
          <w:szCs w:val="16"/>
        </w:rPr>
        <w:softHyphen/>
        <w:t>бовало хотя бы приблизить этот показатель к уровню тротилового экви</w:t>
      </w:r>
      <w:r w:rsidRPr="00640820">
        <w:rPr>
          <w:rFonts w:ascii="Times New Roman" w:hAnsi="Times New Roman"/>
          <w:color w:val="000000" w:themeColor="text1"/>
          <w:sz w:val="16"/>
          <w:szCs w:val="16"/>
        </w:rPr>
        <w:softHyphen/>
        <w:t>валента (11402).</w:t>
      </w:r>
    </w:p>
    <w:p w14:paraId="216D563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9256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октябре 1941 г. после ознакомления с конструкцией английской мины А-1-4 наши специалисты приступили к созданию аналогичных отечественных мин АМД-500 и АМД- 1000. При этом широко использовались уже существующие узлы и конструкции: в качестве корпуса - боевые зарядные отделения 450-мм и 533-мм торпед, аппаратура от МИРАБ, индукционная катушка по типу А-1- 4. Все это позволило завершить конструирование в течение всего 14 месяцев. В конце 1942 г. мины были выставлены на госиспытания и 18.12.1942 приняты на вооружение. Первоначально в каче стве основного недостатка отмечалась малая скорость самолета при минометании (не более 200 км/ч), но впоследствии парашютная система была доработана. </w:t>
      </w:r>
      <w:r w:rsidRPr="00640820">
        <w:rPr>
          <w:rFonts w:ascii="Times New Roman" w:hAnsi="Times New Roman"/>
          <w:color w:val="000000" w:themeColor="text1"/>
          <w:sz w:val="16"/>
          <w:szCs w:val="16"/>
          <w:lang w:val="en-US"/>
        </w:rPr>
        <w:t>lIB</w:t>
      </w:r>
      <w:r w:rsidRPr="00640820">
        <w:rPr>
          <w:rFonts w:ascii="Times New Roman" w:hAnsi="Times New Roman"/>
          <w:color w:val="000000" w:themeColor="text1"/>
          <w:sz w:val="16"/>
          <w:szCs w:val="16"/>
        </w:rPr>
        <w:t xml:space="preserve"> Также повысили чувствительность взрывателя. Освоение промышленностью мин и ликвидация "детских болезней" несколько затянулись, в результате чего первые АМД-500 были выставлены на Черном море в октябре 1943 г., на Балтике - в январе 1944 г. (на Севере из-за больших глубин донные мины не применялись вовсе). АМД-1000 применялись только на Балтийском море начиная с июля 1944 г. В ходе производства новые мины получили приборы срочности и кратности, существенно улучшавшие их противотральные свойства. Ил-4 мог нести до трех АМД-500 или одну АМД-1000, "Бостон" - две мины независимо от калибра. Количество произведенных мин несколько разнится в документах и составляет для АМД-500 1080 штук, для АМД-1000 - 625 штук (по другим данным, до октября 1945 г. произвели 2066 мин обоих типов) (12002).</w:t>
      </w:r>
    </w:p>
    <w:p w14:paraId="5B0B50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C09AC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месяце 1941 МТА КБФ и ЧФ начала применение британских донных магнитных мин А-5. В Англии они производились с 1940 г. с использованием конструктивных узлов от 1000-фунтовой авиационной бомбы. Несмотря на более скромные по сравнению с А-1-4 габариты и вес (490 против 680 кг), новая мина обладала практически таким же весом ВВ (318 против 340 кг), а следовательно, и боевыми возможностями. Ее взрыватель также был индукционного типа Ил-4 поднимал три, а "Бостон" две А-5. В общей сложности за годы войны СССР получил по ленд-лизу 2996 неконтактных мин типов А-1-4 и А-5 (12002).</w:t>
      </w:r>
    </w:p>
    <w:p w14:paraId="7A25DF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68E7E3D" w14:textId="77777777" w:rsidR="00C857C6" w:rsidRPr="00640820" w:rsidRDefault="00C857C6"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На октябрь 1941 года Осоавиахим имел 1.593 годных тренировочных парашютов. По распоряжению Совнаркома ЦС Осоавиахима передал воздушно-десантным войскам 687 парашютов. Кроме того, предназначенные Осоавиахиму 550 парашютов также были переданы ВДВ. Осоавиахим получил 150 парашютов, с учетом которых Общество имело в наличии 1.056 годных и 157 требующих ремонта тренировочных парашютов, 326 годных и 46 требующих ремонта парашютов летчика. Были также 145 парашютов других типов. Кроме указанного количества парашютов в начале войны Осоавиахим передал армии и фронту 2.397 самолетов У-2, 3256 моторов М-11, 50 аэродромов (ГАРФ. Ф.Р – 8355. Оп. 5. Д. 43. Л. 85, 131.). В 1942 году Общество дало фронту 2.177.575 различных специалистов, в том числе 113.500 авиаспециалистов, включая 13.000 бойцов-парашютистов (ГАРФ. Ф.Р – 8355. Оп. 5. Д. 43. Л. 35-36) (21402).</w:t>
      </w:r>
    </w:p>
    <w:p w14:paraId="438DAA86" w14:textId="77777777" w:rsidR="00C857C6" w:rsidRPr="00640820" w:rsidRDefault="00C857C6" w:rsidP="00640820">
      <w:pPr>
        <w:spacing w:after="0" w:line="240" w:lineRule="auto"/>
        <w:jc w:val="both"/>
        <w:rPr>
          <w:rFonts w:ascii="Times New Roman" w:hAnsi="Times New Roman"/>
          <w:color w:val="0070C0"/>
          <w:sz w:val="16"/>
          <w:szCs w:val="16"/>
        </w:rPr>
      </w:pPr>
    </w:p>
    <w:p w14:paraId="733BAE8D" w14:textId="77777777" w:rsidR="00C857C6" w:rsidRPr="00640820" w:rsidRDefault="00C857C6"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октябре 1941 г. по ходатайству началь</w:t>
      </w:r>
      <w:r w:rsidRPr="00640820">
        <w:rPr>
          <w:rFonts w:ascii="Times New Roman" w:hAnsi="Times New Roman"/>
          <w:color w:val="0070C0"/>
          <w:sz w:val="16"/>
          <w:szCs w:val="16"/>
        </w:rPr>
        <w:softHyphen/>
        <w:t>ника ГУ ГМС КА генерала Е.К. Фёдорова в его подчинение перевели из ПВО командира зве</w:t>
      </w:r>
      <w:r w:rsidRPr="00640820">
        <w:rPr>
          <w:rFonts w:ascii="Times New Roman" w:hAnsi="Times New Roman"/>
          <w:color w:val="0070C0"/>
          <w:sz w:val="16"/>
          <w:szCs w:val="16"/>
        </w:rPr>
        <w:softHyphen/>
        <w:t>на аэростатов заграждения пилота-аэронавта I класса старшего лейтенанта Г.И. Голышева, назначенного начальником аэрологической об</w:t>
      </w:r>
      <w:r w:rsidRPr="00640820">
        <w:rPr>
          <w:rFonts w:ascii="Times New Roman" w:hAnsi="Times New Roman"/>
          <w:color w:val="0070C0"/>
          <w:sz w:val="16"/>
          <w:szCs w:val="16"/>
        </w:rPr>
        <w:softHyphen/>
        <w:t>серватории ЦИП. После преобразования по</w:t>
      </w:r>
      <w:r w:rsidRPr="00640820">
        <w:rPr>
          <w:rFonts w:ascii="Times New Roman" w:hAnsi="Times New Roman"/>
          <w:color w:val="0070C0"/>
          <w:sz w:val="16"/>
          <w:szCs w:val="16"/>
        </w:rPr>
        <w:softHyphen/>
        <w:t>следней в 1943 г. в Центральную аэрологиче</w:t>
      </w:r>
      <w:r w:rsidRPr="00640820">
        <w:rPr>
          <w:rFonts w:ascii="Times New Roman" w:hAnsi="Times New Roman"/>
          <w:color w:val="0070C0"/>
          <w:sz w:val="16"/>
          <w:szCs w:val="16"/>
        </w:rPr>
        <w:softHyphen/>
        <w:t>скую обсерваторию (ЦАО) встал вопрос о под</w:t>
      </w:r>
      <w:r w:rsidRPr="00640820">
        <w:rPr>
          <w:rFonts w:ascii="Times New Roman" w:hAnsi="Times New Roman"/>
          <w:color w:val="0070C0"/>
          <w:sz w:val="16"/>
          <w:szCs w:val="16"/>
        </w:rPr>
        <w:softHyphen/>
        <w:t>готовке средств воздухоплавания к проведению научно-исследовательских работ и возвращении лётно-подъёмного и технического состава возду</w:t>
      </w:r>
      <w:r w:rsidRPr="00640820">
        <w:rPr>
          <w:rFonts w:ascii="Times New Roman" w:hAnsi="Times New Roman"/>
          <w:color w:val="0070C0"/>
          <w:sz w:val="16"/>
          <w:szCs w:val="16"/>
        </w:rPr>
        <w:softHyphen/>
        <w:t>хоплавателей к месту прежней службы. По пред</w:t>
      </w:r>
      <w:r w:rsidRPr="00640820">
        <w:rPr>
          <w:rFonts w:ascii="Times New Roman" w:hAnsi="Times New Roman"/>
          <w:color w:val="0070C0"/>
          <w:sz w:val="16"/>
          <w:szCs w:val="16"/>
        </w:rPr>
        <w:softHyphen/>
        <w:t>ставлению Г.И. Голышева Е.К. Фёдоров добился перевода ряда военных воздухоплавателей — в прошлом пилотов ОВГ ГВФ — из Действующей армии в ЦАО. Первым 15 ноября 1944 г. прибыл и был назначен начальником лётного отдела ЦАО пилот-аэронавт ГВФ I класса подполков</w:t>
      </w:r>
      <w:r w:rsidRPr="00640820">
        <w:rPr>
          <w:rFonts w:ascii="Times New Roman" w:hAnsi="Times New Roman"/>
          <w:color w:val="0070C0"/>
          <w:sz w:val="16"/>
          <w:szCs w:val="16"/>
        </w:rPr>
        <w:softHyphen/>
        <w:t>ник П.П. Полосухин. С апреля 1945 г. стали прибывать другие бывшие работники ОВГ ГВФ. 1 декабря 1945 г. начальником штаба лётного отдела ЦАО назначили стратонавта А.Ф. Кри</w:t>
      </w:r>
      <w:r w:rsidRPr="00640820">
        <w:rPr>
          <w:rFonts w:ascii="Times New Roman" w:hAnsi="Times New Roman"/>
          <w:color w:val="0070C0"/>
          <w:sz w:val="16"/>
          <w:szCs w:val="16"/>
        </w:rPr>
        <w:softHyphen/>
        <w:t>куна, испытавшего все тяготы фашистского плена и нашедшего в себе силы бежать из него. В 1946 г. в распоряжение ЦАО прибыли пилоты ОВГ ГВФ А.И. Кобзев, С.И. Семин, К.С. Фадее</w:t>
      </w:r>
      <w:r w:rsidRPr="00640820">
        <w:rPr>
          <w:rFonts w:ascii="Times New Roman" w:hAnsi="Times New Roman"/>
          <w:color w:val="0070C0"/>
          <w:sz w:val="16"/>
          <w:szCs w:val="16"/>
        </w:rPr>
        <w:softHyphen/>
        <w:t>ва, но всё равно лётных кадров не хватало, по</w:t>
      </w:r>
      <w:r w:rsidRPr="00640820">
        <w:rPr>
          <w:rFonts w:ascii="Times New Roman" w:hAnsi="Times New Roman"/>
          <w:color w:val="0070C0"/>
          <w:sz w:val="16"/>
          <w:szCs w:val="16"/>
        </w:rPr>
        <w:softHyphen/>
        <w:t>этому в том же году в ЦАО приняли на переу</w:t>
      </w:r>
      <w:r w:rsidRPr="00640820">
        <w:rPr>
          <w:rFonts w:ascii="Times New Roman" w:hAnsi="Times New Roman"/>
          <w:color w:val="0070C0"/>
          <w:sz w:val="16"/>
          <w:szCs w:val="16"/>
        </w:rPr>
        <w:softHyphen/>
        <w:t>чивание демобилизованных военных летчиков А.Н. Новодережкина, П.Г. Дральщикова и воен</w:t>
      </w:r>
      <w:r w:rsidRPr="00640820">
        <w:rPr>
          <w:rFonts w:ascii="Times New Roman" w:hAnsi="Times New Roman"/>
          <w:color w:val="0070C0"/>
          <w:sz w:val="16"/>
          <w:szCs w:val="16"/>
        </w:rPr>
        <w:softHyphen/>
        <w:t>ного авиаштурмана И.П. Выбрика. Уже в начале 1947 г. А.Н. Новодережкин и П.Г. Дральщиков стали летать самостоятельно или помощниками командиров аэростатов. И.П. Выбрик принял ру</w:t>
      </w:r>
      <w:r w:rsidRPr="00640820">
        <w:rPr>
          <w:rFonts w:ascii="Times New Roman" w:hAnsi="Times New Roman"/>
          <w:color w:val="0070C0"/>
          <w:sz w:val="16"/>
          <w:szCs w:val="16"/>
        </w:rPr>
        <w:softHyphen/>
        <w:t>ководство штабом лётного отдела от А.Ф. Кри</w:t>
      </w:r>
      <w:r w:rsidRPr="00640820">
        <w:rPr>
          <w:rFonts w:ascii="Times New Roman" w:hAnsi="Times New Roman"/>
          <w:color w:val="0070C0"/>
          <w:sz w:val="16"/>
          <w:szCs w:val="16"/>
        </w:rPr>
        <w:softHyphen/>
        <w:t>куна, ставшего в ряд пилотов-высотников (20120).</w:t>
      </w:r>
    </w:p>
    <w:p w14:paraId="53A44D75" w14:textId="77777777" w:rsidR="00C857C6" w:rsidRPr="00640820" w:rsidRDefault="00C857C6" w:rsidP="00640820">
      <w:pPr>
        <w:spacing w:after="0" w:line="240" w:lineRule="auto"/>
        <w:jc w:val="both"/>
        <w:rPr>
          <w:rFonts w:ascii="Times New Roman" w:hAnsi="Times New Roman"/>
          <w:color w:val="0070C0"/>
          <w:sz w:val="16"/>
          <w:szCs w:val="16"/>
        </w:rPr>
      </w:pPr>
    </w:p>
    <w:p w14:paraId="613C739E" w14:textId="77777777" w:rsidR="00C857C6" w:rsidRPr="00640820" w:rsidRDefault="00C857C6"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октябре 1941 г. в Ленинграде два триплетных аэростатных поста подняли в воздух, причём к самому верхнему аэростату прикрепили радио</w:t>
      </w:r>
      <w:r w:rsidRPr="00640820">
        <w:rPr>
          <w:rFonts w:ascii="Times New Roman" w:hAnsi="Times New Roman"/>
          <w:color w:val="0070C0"/>
          <w:sz w:val="16"/>
          <w:szCs w:val="16"/>
        </w:rPr>
        <w:softHyphen/>
        <w:t>метеорограф, по сигналам которого начальник полковой метеостанции В. Катуничев определил, что верхний аэростат достиг высоты 6300 м. Эти сведения по полевому телефону передали на КП 2-го корпуса ПВО открытым текстом, в расчё</w:t>
      </w:r>
      <w:r w:rsidRPr="00640820">
        <w:rPr>
          <w:rFonts w:ascii="Times New Roman" w:hAnsi="Times New Roman"/>
          <w:color w:val="0070C0"/>
          <w:sz w:val="16"/>
          <w:szCs w:val="16"/>
        </w:rPr>
        <w:softHyphen/>
        <w:t>те на то, что они станут известны противнику. Вскоре противник и сам убедился, что в Ленин</w:t>
      </w:r>
      <w:r w:rsidRPr="00640820">
        <w:rPr>
          <w:rFonts w:ascii="Times New Roman" w:hAnsi="Times New Roman"/>
          <w:color w:val="0070C0"/>
          <w:sz w:val="16"/>
          <w:szCs w:val="16"/>
        </w:rPr>
        <w:softHyphen/>
        <w:t>граде действительно поднимаются аэростаты на высоту 6000 м. Самолёты стали летать выше, чего и добивались защитники города. Хотя триплеты не годились для массовой эксплуатации во фрон</w:t>
      </w:r>
      <w:r w:rsidRPr="00640820">
        <w:rPr>
          <w:rFonts w:ascii="Times New Roman" w:hAnsi="Times New Roman"/>
          <w:color w:val="0070C0"/>
          <w:sz w:val="16"/>
          <w:szCs w:val="16"/>
        </w:rPr>
        <w:softHyphen/>
        <w:t>товых условиях из-за громоздкости конструк</w:t>
      </w:r>
      <w:r w:rsidRPr="00640820">
        <w:rPr>
          <w:rFonts w:ascii="Times New Roman" w:hAnsi="Times New Roman"/>
          <w:color w:val="0070C0"/>
          <w:sz w:val="16"/>
          <w:szCs w:val="16"/>
        </w:rPr>
        <w:softHyphen/>
        <w:t>ции, сложности процессов подъёма и спуска, два комплекта их всё же пробыли в небе около года, сыграв свою роль в обороне Ленинграда (20120).</w:t>
      </w:r>
    </w:p>
    <w:p w14:paraId="672C66BD" w14:textId="77777777" w:rsidR="00C857C6" w:rsidRPr="00640820" w:rsidRDefault="00C857C6" w:rsidP="00640820">
      <w:pPr>
        <w:spacing w:after="0" w:line="240" w:lineRule="auto"/>
        <w:jc w:val="both"/>
        <w:rPr>
          <w:rFonts w:ascii="Times New Roman" w:hAnsi="Times New Roman"/>
          <w:color w:val="0070C0"/>
          <w:sz w:val="16"/>
          <w:szCs w:val="16"/>
        </w:rPr>
      </w:pPr>
    </w:p>
    <w:p w14:paraId="2631189A" w14:textId="77777777" w:rsidR="00C857C6" w:rsidRPr="00640820" w:rsidRDefault="00C857C6"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октябре 1941 г. из Москвы в Куйбышев пе</w:t>
      </w:r>
      <w:r w:rsidRPr="00640820">
        <w:rPr>
          <w:rFonts w:ascii="Times New Roman" w:hAnsi="Times New Roman"/>
          <w:color w:val="0070C0"/>
          <w:sz w:val="16"/>
          <w:szCs w:val="16"/>
        </w:rPr>
        <w:softHyphen/>
        <w:t>реехала часть советского правительства, ЦК ВКП (б), дипломатический корпус. После этого была усилена ПВО города и примыкавших к нему районов. В декабре 1942 г. на ст. Безымянка, не</w:t>
      </w:r>
      <w:r w:rsidRPr="00640820">
        <w:rPr>
          <w:rFonts w:ascii="Times New Roman" w:hAnsi="Times New Roman"/>
          <w:color w:val="0070C0"/>
          <w:sz w:val="16"/>
          <w:szCs w:val="16"/>
        </w:rPr>
        <w:softHyphen/>
        <w:t>далеко от Куйбышева, сформировали 2-й ООАЗ, которому впоследствии было суждено пройти фронтовыми дорогами от Волги до нефтяных промыслов г. Плоешти (Румыния).</w:t>
      </w:r>
    </w:p>
    <w:p w14:paraId="44899D78" w14:textId="77777777" w:rsidR="00C857C6" w:rsidRPr="00640820" w:rsidRDefault="00C857C6"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После укомплектования 2-го ООАЗ коман</w:t>
      </w:r>
      <w:r w:rsidRPr="00640820">
        <w:rPr>
          <w:rFonts w:ascii="Times New Roman" w:hAnsi="Times New Roman"/>
          <w:color w:val="0070C0"/>
          <w:sz w:val="16"/>
          <w:szCs w:val="16"/>
        </w:rPr>
        <w:softHyphen/>
        <w:t>дование Куйбышевского дивизионного района ПВО приняло меры по приведению его в боевую готовность в сжатые сроки. Обучение молодых бойцов, преимущественно девушек, велось днём и ночью. Чтобы доставить водород на боевые позиции аэростатов заграждения бойцам прихо</w:t>
      </w:r>
      <w:r w:rsidRPr="00640820">
        <w:rPr>
          <w:rFonts w:ascii="Times New Roman" w:hAnsi="Times New Roman"/>
          <w:color w:val="0070C0"/>
          <w:sz w:val="16"/>
          <w:szCs w:val="16"/>
        </w:rPr>
        <w:softHyphen/>
        <w:t>дилось проделывать путь длиной в 70 км. Водо</w:t>
      </w:r>
      <w:r w:rsidRPr="00640820">
        <w:rPr>
          <w:rFonts w:ascii="Times New Roman" w:hAnsi="Times New Roman"/>
          <w:color w:val="0070C0"/>
          <w:sz w:val="16"/>
          <w:szCs w:val="16"/>
        </w:rPr>
        <w:softHyphen/>
        <w:t>рода в Куйбышевском районе ПВО не хватало, не было в достаточном количестве и лебёдок. По этой причине отряд при штате 27 выставлял всего 15 аэростатных постов, размещавшихся на окраине города и прикрывавших оборонные за</w:t>
      </w:r>
      <w:r w:rsidRPr="00640820">
        <w:rPr>
          <w:rFonts w:ascii="Times New Roman" w:hAnsi="Times New Roman"/>
          <w:color w:val="0070C0"/>
          <w:sz w:val="16"/>
          <w:szCs w:val="16"/>
        </w:rPr>
        <w:softHyphen/>
        <w:t>воды. Налётов на город не было, но аэростаты заграждения 59 раз поднимались в ночное небо Куйбышева (20120).</w:t>
      </w:r>
    </w:p>
    <w:p w14:paraId="6E6AD00B" w14:textId="77777777" w:rsidR="00C857C6" w:rsidRPr="00640820" w:rsidRDefault="00C857C6" w:rsidP="00640820">
      <w:pPr>
        <w:spacing w:after="0" w:line="240" w:lineRule="auto"/>
        <w:jc w:val="both"/>
        <w:rPr>
          <w:rFonts w:ascii="Times New Roman" w:hAnsi="Times New Roman"/>
          <w:color w:val="0070C0"/>
          <w:sz w:val="16"/>
          <w:szCs w:val="16"/>
        </w:rPr>
      </w:pPr>
    </w:p>
    <w:p w14:paraId="19EAADD9"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5B1C1341"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F1B9202" w14:textId="77777777" w:rsidR="00D07FCB" w:rsidRPr="00640820" w:rsidRDefault="00D07F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южноукраинский завод (вероятно Каменский 101) был за 17 суток эвакуирован. Все технологические оборудование, необходимое для организации производства порохов на новом месте, было демонтировано, погружено на платформы и в вагоны и вывезено в основном на Урал.</w:t>
      </w:r>
    </w:p>
    <w:p w14:paraId="3FBD380F" w14:textId="77777777" w:rsidR="00D07FCB" w:rsidRPr="00640820" w:rsidRDefault="00D07F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этими же эшелонами выехали инженерно-технические работники и квалифицированные рабочие. Все производственные здания и сооружения (котельная, водонапорная башня, коммуникации и др.) были взорваны.</w:t>
      </w:r>
    </w:p>
    <w:p w14:paraId="591C6F6A" w14:textId="77777777" w:rsidR="00D07FCB" w:rsidRPr="00640820" w:rsidRDefault="00D07F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осени 1941 г, в связи с эвакуацией южноукраинского завода производство ракетных зарядов для PC в стране прекратилось. Потребности фронта в реактивных снарядах M-13 и М-8 не обеспечивались, в том числе и из-за недостатка ракетных зарядов. В своих воспоминаниях, относящихся к этому периоду, Г.К.Жуков писал, что из-за отсутствия боеприпасов для реактивной артиллерии ее пришлось частично отводить в тыл.</w:t>
      </w:r>
    </w:p>
    <w:p w14:paraId="32EB18CA" w14:textId="77777777" w:rsidR="00D07FCB" w:rsidRPr="00640820" w:rsidRDefault="00D07F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Однако перерыв в производстве ракетных зарядов не превышал полутора-двух месяцев. После вывода из строя южноукраинского завода основную тяжесть обеспечения потребностей Советской Армии в ракетных зарядах для PC всех калибров принял на себя средне-уральский завод (пермский 98 им. Кирова). Остановлюсь подробнее на его работе. Площадка для строительства завода была выбрана еще в 1930 г. при участии А.С.Бакаева. Затем было начато проектирование и строительство завода. Однако у началу Великой Отечественной войны к выпуску порохов, в том числе и ракетных, завод не был готов — предстояло выполнить еще большой объем строительно-монтажных работ.</w:t>
      </w:r>
    </w:p>
    <w:p w14:paraId="0022CAB7" w14:textId="77777777" w:rsidR="00D07FCB" w:rsidRPr="00640820" w:rsidRDefault="00D07F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 вот в начале июля 1941 г. Государственный комитет обороны поставил перед руководством завода боевую задачу: в течение июля-октября закончить первую очередь строительства завода, разместить на его площадках эвакуированное оборудование, необходимое для выпуска нитроглицериновых баллиститных порохов и зарядов из них и начать их производство. Эта труднейшая задача была выполнена.</w:t>
      </w:r>
    </w:p>
    <w:p w14:paraId="51C76CFA" w14:textId="77777777" w:rsidR="00D07FCB" w:rsidRPr="00640820" w:rsidRDefault="00D07F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строительство первой очереди завода было завершено и в этом же месяце была выдана первая партия ракетных зарядов. Перерыв в изготовлении и поставке ракетных зарядов был ликвидирован /17,18/.</w:t>
      </w:r>
    </w:p>
    <w:p w14:paraId="6AAC89E3" w14:textId="77777777" w:rsidR="00D07FCB" w:rsidRPr="00640820" w:rsidRDefault="00D07F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Более года среднеуральский завод оставался единственным в стране крупным заводом, выпускавшим ракетные нитроглицериновые баллиститные пороха. Огромную роль в деятельности завода играл командный состав. Директором был Д.Г.Бидинский, главным инженером — Д.Е.Горбачев, главным технологом — А.Г.Каллистов. Начальниками цехов работали А.И.Соколов, И.В.Крыжановский, B.C.Бондарь, Д.Я. Орлов и др.</w:t>
      </w:r>
    </w:p>
    <w:p w14:paraId="7832B43C" w14:textId="77777777" w:rsidR="00D07FCB" w:rsidRPr="00640820" w:rsidRDefault="00D07F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Самым трудным было лето 1942 г., когда завод обязали увеличить выпуск зарядов для реактивной и крупнокалиберной артиллерии за три месяца в несколько раз против первоначально намеченного. Был разработан план-график круглосуточного ведения работ по строительству второй очереди завода. Намеченные темпы работ в довоенное время сочли бы фантастикой.</w:t>
      </w:r>
    </w:p>
    <w:p w14:paraId="4C395BC8" w14:textId="77777777" w:rsidR="00D07FCB" w:rsidRPr="00640820" w:rsidRDefault="00D07F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Строители еще только заканчивали кладку стен, а монтажники уже устанавливали оборудование. Были выделены дополнительно продовольствие, обувь, одежда, большой премиальный фонд.</w:t>
      </w:r>
    </w:p>
    <w:p w14:paraId="4F82D668" w14:textId="77777777" w:rsidR="00D07FCB" w:rsidRPr="00640820" w:rsidRDefault="00D07F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Задание Государственного комитета обороны было выполнено за два с половиной месяца. Страна высоко оценила этот подвиг. Более 1000 человек были награждены орденами и медалями /19, с.313-322/.</w:t>
      </w:r>
    </w:p>
    <w:p w14:paraId="696829F2" w14:textId="77777777" w:rsidR="00D07FCB" w:rsidRPr="00640820" w:rsidRDefault="00D07F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Огромное значение для страны имели завершенные на средне-уральском заводе во время войны работы по созданию новой более производительной технологии изготовления ниртоглицериновых порохов на основе применения системы аппаратов непрерывного действия. Эти работы были начаты в предвоенный период. Еще </w:t>
      </w:r>
      <w:r w:rsidRPr="00640820">
        <w:rPr>
          <w:rFonts w:ascii="Times New Roman" w:hAnsi="Times New Roman"/>
          <w:color w:val="000000" w:themeColor="text1"/>
          <w:sz w:val="16"/>
          <w:szCs w:val="16"/>
        </w:rPr>
        <w:lastRenderedPageBreak/>
        <w:t>в ноябре 1940 г. результаты предварительных испытаний лабораторных установок непрерывного действия рассматривались НКБ СССР и получили положительную оценку /20/. После этого были изготовлены укрупненные полузаводские аппараты, позволившие провести широкие технологические исследования, которые показали, что новая технология, кроме несравненно более высокой производительности, имеет ряд существенных преимуществ перед гидропрессовой технологией. Она обеспечивала: улучшение качества пороха; менее опасные условия работы для обслуживающего персонала; возможность использования женского труда, что в условиях войны имело исключительно важное значение; резкое, в 15-20 раз, снижение количества возвратного брака; уменьшение примерно в три раза расхода пара и электроэнергии на тонну пороха.</w:t>
      </w:r>
    </w:p>
    <w:p w14:paraId="5C1E24C5" w14:textId="77777777" w:rsidR="00D07FCB" w:rsidRPr="00640820" w:rsidRDefault="00D07F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Полученные результаты были в начале 1942 г. рассмотрены и одобрены Коллегией НКБ СССР. По ее представлению Государственный комитет обороны принял Постановление от 18 мая 1942 г. о строительстве на среднеуральском заводе производственной линии на большую мощность.</w:t>
      </w:r>
    </w:p>
    <w:p w14:paraId="0B757D13" w14:textId="77777777" w:rsidR="00D07FCB" w:rsidRPr="00640820" w:rsidRDefault="00D07F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апреля 1943 г. строительство производственной линии по новой технологии коллективом среднеуральского завода было завершено. Таким образом, огромный объем работы в тяжелых условиях военного был выполнен менее чем за один год.</w:t>
      </w:r>
    </w:p>
    <w:p w14:paraId="354BFDC5" w14:textId="77777777" w:rsidR="00D07FCB" w:rsidRPr="00640820" w:rsidRDefault="00D07F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апреле 1943 г. по новой технологии были изготовлены три становочно-валовые партии зарядов для M-13 по 3 тыс. штук в партии. Особым техническим бюро завода параллельно велись всесторонние исследования пороха, изготовляемого по новой технологии, прежде всего его баллистических характеристик. Было установлено, что скорость его горения примерно на 9% выше, чем у пороха, изготовленного по гидропрессовой технологии, а потому для обеспечения требований по максимальному давлению газа в двигателе, калорийность пороха, изготовляемого по новой технологии, была снижена на 4%.</w:t>
      </w:r>
    </w:p>
    <w:p w14:paraId="3F534D6D" w14:textId="77777777" w:rsidR="00D07FCB" w:rsidRPr="00640820" w:rsidRDefault="00D07F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Изготовленные заряды были подвергнуты стендовым и стрельбовым испытаниям во всем интервале эксплуатационных температур.</w:t>
      </w:r>
    </w:p>
    <w:p w14:paraId="79CE26C9" w14:textId="77777777" w:rsidR="00D07FCB" w:rsidRPr="00640820" w:rsidRDefault="00D07F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Результаты испытаний открыли широкую дорогу новой технологии изготовления зарядов. Все работы по ее созданию проводились под научным руководством А.С. Бакаева, техническим руководителем разработки аппаратуры и внедрения ее в производство был инженер А.Э. Спориус. Ведущими инженерами основных узлов — Ф.М. Хритинин, Б.А. Парфенов и др. /21;22;23/.</w:t>
      </w:r>
    </w:p>
    <w:p w14:paraId="74B2E534" w14:textId="77777777" w:rsidR="00D07FCB" w:rsidRPr="00640820" w:rsidRDefault="00D07F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трудностей, типичных для работы всей промышленности в тяжелейших условиях войны, не раз возникали в ходе изготовления порохов и зарядов серьезные технические проблемы, специфичные для порохового производства. Многие из этих проблем требовали для правильного и быстрого решения глубокого научного подхода и широких научно-технических исследований. Огромную помощь заводу в преодолении этих трудностей оказало Особое бюро, переведенное в начале войны из Московского порохового института на среднеуральский завод.</w:t>
      </w:r>
    </w:p>
    <w:p w14:paraId="0E0FE338" w14:textId="77777777" w:rsidR="00D07FCB" w:rsidRPr="00640820" w:rsidRDefault="00D07F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Особое бюро, научно-техническая деятельность которого возглавлялась главным инженером А.С.Бакаевым, было возложено не только научно-техническое обеспечение текущего производства, но и проведение работ по совершенствованию порохов и зарядов, а также по повышению производительности основных фаз технологического процесса /24;25;26/.</w:t>
      </w:r>
    </w:p>
    <w:p w14:paraId="128CA168" w14:textId="77777777" w:rsidR="00D07FCB" w:rsidRPr="00640820" w:rsidRDefault="00D07F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Приведу несколько примеров, характеризующих научно-техническую деятельность Особого бюро в период Великой Отечественной Войны.</w:t>
      </w:r>
    </w:p>
    <w:p w14:paraId="3818BFE4" w14:textId="77777777" w:rsidR="00D07FCB" w:rsidRPr="00640820" w:rsidRDefault="00D07F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Вопросы обеспечения сырьем для изготовления нигроглицериновых порохов в условиях военного времени приобрели особую остроту. Отсутствие любого из компонентов пороха ставило под угрозу возможность производства ракетных зарядов. Поэтому исключительную важность имели работы по изысканию заменителей, прежде всего централита. Централит, вводимый в состав пороха в качестве стабилизатора химической стойкости, и до войны был самым дорогим и дефицитным компонентом нитроглицериновых порохов, что объяснялось сложностью изготовления как его самого, так и основного сырья для него.</w:t>
      </w:r>
    </w:p>
    <w:p w14:paraId="28864EA5" w14:textId="77777777" w:rsidR="00D07FCB" w:rsidRPr="00640820" w:rsidRDefault="00D07F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эвакуации из Москвы Дорогомиловского химзавода, единственного в тот период производителя централита, выпуск его в стране был прекращен. В середине 1942 г. запасы централита на среднеуральском заводе иссякали. Производство зарядов для PC вот-вот должно было остановиться. Однако выход был найден. В связи с отсутствием централита возникла идея вводить в качестве стабилизатора химической стойкости пороха окись магния, являющуюся слабым основанием. На этом порохе, получившем наименование НМ-2, были изготовлены опытные партии зарядов к М-8 и M-13.</w:t>
      </w:r>
    </w:p>
    <w:p w14:paraId="4383C7FD" w14:textId="77777777" w:rsidR="00D07FCB" w:rsidRPr="00640820" w:rsidRDefault="00D07F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Широкие стендовые проверки, а также контрольные стрельбовые испытания, проведенные на полигоне, прошли с положительными результатами. При этих испытаниях было установлено, что если заряды, изготовленные из пороха Н, не всегда нормально работали при температурах минус 30°С и ниже, то заряды из пороха, содержавшего окись магния, устойчиво работали во всем диапазоне возможных температур боевого применения РС, давая одновременно более низкий уровень давлений при максимальной положительной температуре заряда.</w:t>
      </w:r>
    </w:p>
    <w:p w14:paraId="319C09A8" w14:textId="77777777" w:rsidR="00D07FCB" w:rsidRPr="00640820" w:rsidRDefault="00D07F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Оказалось, что окись магния, введенная только как стабилизатор химической стойкости пороха, заметно улучшила и баллистические качества его. Работы Особого бюро в этом направлении положили начало исследованиям каталитических процессов при горении порохов, поискам наиболее эффективных катализаторов горения и т.д.</w:t>
      </w:r>
    </w:p>
    <w:p w14:paraId="4A2B3637" w14:textId="77777777" w:rsidR="00D07FCB" w:rsidRPr="00640820" w:rsidRDefault="00D07F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сентября 1942 г., в связи с полным израсходованием запасов централита, порох с окисью магния был введен в производство. Всего три дня потребовалось заводу, чтобы наладить его внедрение и перейти к массовому изготовлению зарядов. За четыре месяца (по 1 января 1943 г.) среднеуральским заводом было изготовлено более 3000 т пороха НМ-2 для M-13 и М-8. Невозможно переоценить важность этих работ для обеспечения непрерывных поставок зарядов для нужд фронта.</w:t>
      </w:r>
    </w:p>
    <w:p w14:paraId="76CBC10E" w14:textId="77777777" w:rsidR="00D07FCB" w:rsidRPr="00640820" w:rsidRDefault="00D07F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Еще один пример. В феврале 1942 г. пороховому заводу грозила полная остановка из-за отсутствия вазелина. Особое бюро в результате напряженных исследований предложило заменить вазелин менее дефицитным трансформаторным маслом. Проведенные эксперименты подтвердили не только возможность, но и целесообразность такой замены, так как жидкое трансформаторное масло вводить в пороховую массу значительно удобнее, чем густой и вязкий вазелин. Остановка работы завода была предотвращена.</w:t>
      </w:r>
    </w:p>
    <w:p w14:paraId="01BA3791" w14:textId="77777777" w:rsidR="00D07FCB" w:rsidRPr="00640820" w:rsidRDefault="00D07F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Особым бюро были выполнены и другие, направленные на ликвидацию помех производству зарядов, работы, из которых упомянем следующие. Еще в конце 1941 г. при стендовых испытаниях ряда парий зарядов к M-13 и М-8 были получены в ракетных камерах давления газов, уровень которых превышал требования технической документации, причем по химическому составу и прочим показателям партии зарядов удовлетворяли требованиям ТУ. Приемка ракетных зарядов была приостановлена. В связи с этим сотрудники Особого бюро провели детальное исследование причин, вызывающих некондиционность изготовляемых заводом зарядов и выявили важное влияние калорийности пороховой массы на их баллистические характеристики.</w:t>
      </w:r>
    </w:p>
    <w:p w14:paraId="5FF2645B" w14:textId="77777777" w:rsidR="00D07FCB" w:rsidRPr="00640820" w:rsidRDefault="00D07F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Итогом работы являлось установление и введение в техническую документацию нормы на калорийность пороха, а также разработка и внедрение в производство уточненного дозирования компонентов пороха при варке пороховой массы.</w:t>
      </w:r>
    </w:p>
    <w:p w14:paraId="7100D71E" w14:textId="77777777" w:rsidR="00D07FCB" w:rsidRPr="00640820" w:rsidRDefault="00D07F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Одновременно были улучшены условия вальцевания и прессования пороха. Реализация этих мероприятий обеспечила уже с января 1942 г. стабильный выпуск зарядов, полностью удовлетворяющих требованиям документации.</w:t>
      </w:r>
    </w:p>
    <w:p w14:paraId="4849857F" w14:textId="77777777" w:rsidR="00D07FCB" w:rsidRPr="00640820" w:rsidRDefault="00D07F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Существенная помощь со стороны Особого бюро была оказана заводу по выяснению причин брака, получавшегося при прессовании пороховых шашек на прессах Круппа. Так, например, в феврале 1942 г. брак на фазе прессования зарядов М-8 и M-13 составлял в среднем 30-35%, доходя в отдельные дни до 55-60%. Бригада Особого бюро тщательно проанализирована причины брака и дала точные и конкретные рекомендации. В настоящее время нет необходимости перечислять все рекомендации, но нельзя не дать высокой оценки методической стороне работы Особого бюро, серьезности подхода к поискам причин трудностей, убедительности и доказательности рекомендаций. Достаточно сказать, что после разработки рекомендаций очередное изготовление зарядов круглосуточно во всех сменах проводилось под непосредственным и непрерывным контролем работников Особого бюро. В результате брак на фазе прессования был резко уменьшен, а по воздушным включениям ликвидирован полностью.</w:t>
      </w:r>
    </w:p>
    <w:p w14:paraId="47932CAE" w14:textId="77777777" w:rsidR="00D07FCB" w:rsidRPr="00640820" w:rsidRDefault="00D07F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концу 1944 г. объем продукции завода вырос в десятки раз по сравнению с 1942 г., и хотя к этому времени уже работали на полную мощность другие пороховые заводы, построенные за это время, темпы работы среднеуральского завода непрерывно нарастали (18646).</w:t>
      </w:r>
    </w:p>
    <w:p w14:paraId="7425FD5A" w14:textId="77777777" w:rsidR="00D07FCB" w:rsidRPr="00640820" w:rsidRDefault="00D07FCB" w:rsidP="00640820">
      <w:pPr>
        <w:spacing w:after="0" w:line="240" w:lineRule="auto"/>
        <w:jc w:val="both"/>
        <w:rPr>
          <w:rFonts w:ascii="Times New Roman" w:hAnsi="Times New Roman"/>
          <w:color w:val="000000" w:themeColor="text1"/>
          <w:sz w:val="16"/>
          <w:szCs w:val="16"/>
        </w:rPr>
      </w:pPr>
    </w:p>
    <w:p w14:paraId="70756658" w14:textId="77777777" w:rsidR="00D07FCB" w:rsidRPr="00640820" w:rsidRDefault="00D07F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завод №2 в Коврове выпустил первые 522 ПТРД, причем использовались заготовки стволов, полученные в 1940 г. для производства ПТР Рукавишникова. Постановлением ГКО от 4 ноября заводу увеличили план, а также было принято решение о производстве ПТРД и на заводе №74 в Ижевске. Документацию из Коврова в Ижевск и заготовки стволов в обратном направлении распорядились срочно перебросить самолетами. Постановление ГКО от 9 ноября обязывало увеличить производство ПТРС на заводе №614 в Саратове и организовать дополнительно их выпуск на заводе №54 в Златоусте, куда была эвакуирована основная часть завода №66 из Тулы (не было выполнено). Кроме того, этим постановлением ПТРС запускались в производство и на заводе №74 в Ижевске, но без ущерба для производства на нем ПТРД. Завод в Ижевске 6 ноября получил задание на производство ПТРД, а 11 ноября — ПТРС. Из-за отсутствия свободных площадей изготовление деталей было распределено по цехам основного производства за счет их уплотнения. Позже производство ПТ ружей было переведено во вновь выстроенные деревянные бараки. В ноябре завод №74 выпустил первые 36 ПТРД, а в декабре — 2 ПТРС. В Саратове в том же месяце сделали первые 75 ПТРС, хотя его освоение шло с 1 октября, а выпуск 7,92-мм ПТР так и не был налажен (18538).</w:t>
      </w:r>
    </w:p>
    <w:p w14:paraId="62E43986" w14:textId="77777777" w:rsidR="00D07FCB" w:rsidRPr="00640820" w:rsidRDefault="00D07FCB" w:rsidP="00640820">
      <w:pPr>
        <w:spacing w:after="0" w:line="240" w:lineRule="auto"/>
        <w:jc w:val="both"/>
        <w:rPr>
          <w:rFonts w:ascii="Times New Roman" w:hAnsi="Times New Roman"/>
          <w:color w:val="000000" w:themeColor="text1"/>
          <w:sz w:val="16"/>
          <w:szCs w:val="16"/>
        </w:rPr>
      </w:pPr>
    </w:p>
    <w:p w14:paraId="687FB7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во многих частях под Москвой к 76-мм полковым пушкам обр. 1927 г. выдали какие-то странные снаряды с индексом БПК. Опять же было не до расспросов, откуда да зачем. Тем более что снаряды БПК исправно поражали немцев и даже имели несколько большую дальность, чем штатные (12091).</w:t>
      </w:r>
    </w:p>
    <w:p w14:paraId="06B914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543CF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на площадку Ижевского литейного завода завода эвакуирован Харьковский завод подъемно-транспортного оборудования и они объединены в один завод, который в 1943 г. получил № 46 в ведении НКВ (Завод № 46 ИМ. В.И. Ленина НКВ, Ижевскнй завод строительного и дорожного машиностроения, Ижевский опытно-показательный редукторный завод, Ижевский редукторный завод им. В.И. Ленина, ОАО «Редуктор» /Удмуртия 426008  г. Ижевск ул. Кирова, 172/). Начато производство деталей для танков Т-34 и стрелкового оружия. С 1944 г. начат выпуск редукторов.</w:t>
      </w:r>
    </w:p>
    <w:p w14:paraId="1586EB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В 1965 г. Ижевский завод строительного и дорожного машиностроения переименован в Ижевский Опытно- показательный редукторный завод. Он становится крупнейшим заводом страны и обеспечивает 75% ее потребности в цилиндрических редукторах. С 1965 по 1985 г. завод выполнял заказы </w:t>
      </w:r>
      <w:r w:rsidRPr="00640820">
        <w:rPr>
          <w:rFonts w:ascii="Times New Roman" w:hAnsi="Times New Roman"/>
          <w:color w:val="000000" w:themeColor="text1"/>
          <w:sz w:val="16"/>
          <w:szCs w:val="16"/>
          <w:lang w:val="en-US"/>
        </w:rPr>
        <w:t>MOM</w:t>
      </w:r>
      <w:r w:rsidRPr="00640820">
        <w:rPr>
          <w:rFonts w:ascii="Times New Roman" w:hAnsi="Times New Roman"/>
          <w:color w:val="000000" w:themeColor="text1"/>
          <w:sz w:val="16"/>
          <w:szCs w:val="16"/>
        </w:rPr>
        <w:t xml:space="preserve"> по производству редукторов для РКТ. Параллельно выпускались редукторы для народного хозяйства.</w:t>
      </w:r>
    </w:p>
    <w:p w14:paraId="741676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4.12.1992 г. завод был акционирован и преобразован в ОАО «Редуктор».</w:t>
      </w:r>
    </w:p>
    <w:p w14:paraId="1CDC93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(2000-е): редукторы для общего машиностроения, для нефтедобывающей отрасли.</w:t>
      </w:r>
    </w:p>
    <w:p w14:paraId="5521B9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Имелись производства (2000-е): чугунолитейное, механообрабатывающее, сборочное, термообработка, гальваническое, сварочное, кузнечно-прессовое, инструментальное, ремонтное, цех нестандартного оборудования.</w:t>
      </w:r>
    </w:p>
    <w:p w14:paraId="09E703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имел филиалы (2000-е): ООО «Центральный торговый дом «Редуктор»«  г. Москва; ТД «Редукторнефтьсервис»  г. Кореновск; ООО «Торговый дом «Аскент»  г. Челябинск; ЗАО «НТЦ Приводная техника»  г. Иркутск; ООО «Промэлектросервис»  г. Пермь; ООО «Редуктор НН»  г. Нижний Новгород; ЗАО «РДР- Холдинг»  г. Чебоксары.</w:t>
      </w:r>
    </w:p>
    <w:p w14:paraId="7E8030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(2000 г.)-1600 чел.</w:t>
      </w:r>
    </w:p>
    <w:p w14:paraId="16D0CC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Гендиректор (-2000-06 г.-)- С. М. Молчанов.</w:t>
      </w:r>
    </w:p>
    <w:p w14:paraId="63547B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гендиректора: по финансам (2000 г.)- М. П. Соловьева; по экономическим и правовым вопросам (2005 г.)- Р. В. Смаева; по снабжению и сбыту (2000 г.)- А. В. Цой; по маркетингу (2000 г.)- С. В. Самойлов.</w:t>
      </w:r>
    </w:p>
    <w:p w14:paraId="3B0148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Технический директор (2005 г.)- Ю. Голованов. Коммерческий директор (2006 г.)- А. В. Цой.</w:t>
      </w:r>
    </w:p>
    <w:p w14:paraId="3B3D0D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(2000 г.)- А. А. Скопин.</w:t>
      </w:r>
    </w:p>
    <w:p w14:paraId="303E89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(2000 г.)- И.  Г. Ившин.</w:t>
      </w:r>
    </w:p>
    <w:p w14:paraId="6A3A8A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гидропривод для зенитного орудия 2М-3 (конец 1940-х); редукторы: Р-3, Р-5, Р-10 (1940-е), РМ (1950-е), зубчатые (1960-е), для механизмов стартовых комплексов космодромов, для космических тренажеров, для механизмов запуска ракет, ПТ 58Р для телескопа «РАТАН-600», для шлюзов Куйбышевской и Волгоградской ГЭС, для лифтов Кремлевского дворца Съездов; лебедки и наводки Драгляйна для экскаваторов Э 1003 и Э 305 (1940-е), лебедки для добычи соли (11982).</w:t>
      </w:r>
    </w:p>
    <w:p w14:paraId="62E0D77F" w14:textId="77777777" w:rsidR="00D9129E" w:rsidRPr="00640820" w:rsidRDefault="00D9129E" w:rsidP="00640820">
      <w:pPr>
        <w:autoSpaceDE w:val="0"/>
        <w:autoSpaceDN w:val="0"/>
        <w:adjustRightInd w:val="0"/>
        <w:spacing w:after="0" w:line="240" w:lineRule="auto"/>
        <w:jc w:val="both"/>
        <w:rPr>
          <w:rFonts w:ascii="Times New Roman" w:hAnsi="Times New Roman"/>
          <w:color w:val="000000" w:themeColor="text1"/>
          <w:sz w:val="16"/>
          <w:szCs w:val="16"/>
        </w:rPr>
      </w:pPr>
    </w:p>
    <w:p w14:paraId="66B812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мощность производства Завода № 561 НКБ /г. Москва ст. Лианозово/ (перед эвакуацией): корпуса: 120-мм мин - 72 тыс. шт. в год; МДШ - 65 тыс. шт.; ДШ-100 - 7 тыс. шт.; МЯДШ - 84 тыс. шт.</w:t>
      </w:r>
    </w:p>
    <w:p w14:paraId="3EA6EF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после начала войны завод № 561 4ГУ НКБ был эвакуирован: основная часть - в Миасс на площадку завода № 316 (производство ФАБ-50, -100, МДШ, ДШ-100, МЯДШ, всего 240 ед. оборудования); производство 120-мм мин (81 ед. оборудования, 1407 чел.) - в Златоуст на завод № 259; 93 чел. эвакуировано на завод № 78.</w:t>
      </w:r>
    </w:p>
    <w:p w14:paraId="253F0B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24.02.1942 г. вышло постановление ГКО № 1345 о возврате части эвакуированного оборудования и кадров завода № 561 НКБ, в соответствии с ним возвращено оборудование по МДШ, ДШ-100 и МЯДШ. Затем возвращен весь эвакуированный личный состав.</w:t>
      </w:r>
    </w:p>
    <w:p w14:paraId="7EB816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(09.1941 г.)- 3200 чел (11982).</w:t>
      </w:r>
    </w:p>
    <w:p w14:paraId="774308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1A37F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на завод в челябинске (Завод № 541 НКВ /г. Челябинск/) эвакуирована часть завода № 60 НКВ,</w:t>
      </w:r>
      <w:r w:rsidRPr="00640820">
        <w:rPr>
          <w:rFonts w:ascii="Times New Roman" w:hAnsi="Times New Roman"/>
          <w:color w:val="000000" w:themeColor="text1"/>
          <w:sz w:val="16"/>
          <w:szCs w:val="16"/>
          <w:vertAlign w:val="superscript"/>
        </w:rPr>
        <w:t>92</w:t>
      </w:r>
      <w:r w:rsidRPr="00640820">
        <w:rPr>
          <w:rFonts w:ascii="Times New Roman" w:hAnsi="Times New Roman"/>
          <w:color w:val="000000" w:themeColor="text1"/>
          <w:sz w:val="16"/>
          <w:szCs w:val="16"/>
        </w:rPr>
        <w:t xml:space="preserve"> и, возможно, завод № 541 из Харькова. Размещены в помещениях Челябинского педагогического университета и института механизации сельского хозяйства.</w:t>
      </w:r>
    </w:p>
    <w:p w14:paraId="586968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05.1945 г. завод ликвидирован, оборудование и кадры переведены на другие заводы (11982).</w:t>
      </w:r>
    </w:p>
    <w:p w14:paraId="5EE58DAE" w14:textId="77777777" w:rsidR="00D9129E" w:rsidRPr="00640820" w:rsidRDefault="00D9129E" w:rsidP="00640820">
      <w:pPr>
        <w:autoSpaceDE w:val="0"/>
        <w:autoSpaceDN w:val="0"/>
        <w:adjustRightInd w:val="0"/>
        <w:spacing w:after="0" w:line="240" w:lineRule="auto"/>
        <w:jc w:val="both"/>
        <w:rPr>
          <w:rFonts w:ascii="Times New Roman" w:hAnsi="Times New Roman"/>
          <w:color w:val="000000" w:themeColor="text1"/>
          <w:sz w:val="16"/>
          <w:szCs w:val="16"/>
        </w:rPr>
      </w:pPr>
    </w:p>
    <w:p w14:paraId="277941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мощность производства Завода № 567 НКБ /г. Рязань/(перед эвакуацией): корпуса 85-мм дистанционных гранат, АО-Ю - 120 тыс. шт. в год.</w:t>
      </w:r>
    </w:p>
    <w:p w14:paraId="71E2E2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после начала войны завод № 567 4ГУ НКБ (производство 85-мм дистанционных гранат, АО-Ю, 353 ед. оборудования, 990 чел.) был эвакуирован в Невьянск на площадку завода № 68 НКБ. Затем оборудование по АО-10 возвращено на завод.</w:t>
      </w:r>
    </w:p>
    <w:p w14:paraId="280FE5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(07.1941 г.)- 2300 чел. (11982).</w:t>
      </w:r>
    </w:p>
    <w:p w14:paraId="04E0AD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A676F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часть цехов завода (Завод № 711 им. Ухтомского НКМВ, НКСХМ, Люберецкий завод сельскохозяйственного машиностроения им. А.В. Ухтомского, Люберецкий завод им. А.В. Ухтомского НКМВ, ОАО «ПО «Завод им. Ухтомского» /г. Люберцы Московской обл. ул. Транспортная/) с оборудованием были эвакуированы в Красноярск, где был создан завод № 703 НКБ; часть оборудования - в Курган, где был создан завод № 707 НКМВ.</w:t>
      </w:r>
    </w:p>
    <w:p w14:paraId="2D2B5E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 </w:t>
      </w:r>
    </w:p>
    <w:p w14:paraId="73C6D9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E866E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после начала войны завод № 589 (Завод № 589 НКВ /г. Калуга/) эвакуирован из Калуги (по другой информации, завод находился в Коломне) в Красноярск на площадку завода № 586 НКВ. По пр. НКВ от 6.11.1941 г. заводы № 4, № 586 и № 589 объединены в единый завод № 4 им. Ворошилова (11982).</w:t>
      </w:r>
    </w:p>
    <w:p w14:paraId="763FDA5F" w14:textId="77777777" w:rsidR="00D9129E" w:rsidRPr="00640820" w:rsidRDefault="00D9129E" w:rsidP="00640820">
      <w:pPr>
        <w:autoSpaceDE w:val="0"/>
        <w:autoSpaceDN w:val="0"/>
        <w:adjustRightInd w:val="0"/>
        <w:spacing w:after="0" w:line="240" w:lineRule="auto"/>
        <w:jc w:val="both"/>
        <w:rPr>
          <w:rFonts w:ascii="Times New Roman" w:hAnsi="Times New Roman"/>
          <w:color w:val="000000" w:themeColor="text1"/>
          <w:sz w:val="16"/>
          <w:szCs w:val="16"/>
        </w:rPr>
      </w:pPr>
    </w:p>
    <w:p w14:paraId="0AA961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завод № 260 2ГУ (Завод № 260 НКБ, Владимирский завод портативных граммофонов, п/я 334, Пермский велосипедный завод, ОАО «Велта» Росбоеприпаса /г. Владимир;  г. Молотов, 10 п/я 334 «Автомат» (1943 г.)/ /614010  г. Пермь ул. Героев Хасана, 105 тел. (3422) 68-10-08/) полностью (производство М-50, ЗТН, К-20, МД-5, МГ-8, 1096 ед. оборудования, 1535 чел.) эвакуирован в Молотов, где продолжил действовать под своим номером; последний эшелон прибыл в 12.1941 г. В 03.1942 г. завод выдал первую продукцию на новом месте. В годы войны выпускал взрыватели для сухопутной и морской артиллерии, авиационных пушек, минометных мин и авиабомб, в т.ч. для противотанковой кумулятивной.</w:t>
      </w:r>
    </w:p>
    <w:p w14:paraId="1F1DAA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3.01.1942 г. вышло постановление СНК «О прекращении эвакуации и возобновлении работы ГСЗ № 260 во Владимире». 24.02.1942 г. вышло постановление ГКО № 1345 о возврате части эвакуированного оборудования и кадров завода № 260. По приказу НКБ в 04.1942 г. на старом месте во Владимире образован завод, которому присвоено наименование ГЗ № 521. В 12.1942-09.1944 г. завод № 260 - в ведении 2ГУ НКБ. Имел обозначение «п/я 334» (1943 г.).</w:t>
      </w:r>
    </w:p>
    <w:p w14:paraId="5019DA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завода цехи (1943 г.): основные: корпуса: литейный № 7, прокатный № 6, № 1; вспомогательные: заготовительный. Количество оборудования- 856 ед.</w:t>
      </w:r>
    </w:p>
    <w:p w14:paraId="0AD6CA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21.04.1944 г. вышло распоряжение ГКО № 5698 о мерах по обеспечению увеличения производства на заводе взрывателей для артснарядов.</w:t>
      </w:r>
    </w:p>
    <w:p w14:paraId="6D2377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 СМ СССР от 20.10.1961 г. завод определен головным по производству неконтактных взрывателей для УРВБ.</w:t>
      </w:r>
    </w:p>
    <w:p w14:paraId="049927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Далее- это Пермский велосипедный завод. В 2003 г. ОАО «Велта»- в ведении Росбоеприпаса.</w:t>
      </w:r>
    </w:p>
    <w:p w14:paraId="028A2D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(2000 г.): механические взрыватели, вышибные устройства для 23- и 30-мм авиационных снарядов; ударно-дистанционные взрыватели к гранатам (ручным, для гранатометов) и капсулам огнеметов; электромеханические взрыватели для ПЛ торпед, снарядов, реактивных мин; системы контактных датчиков и предохранительно-исполнительных механизмов для УРВБ и УРВП; предконтактные взрывателыше устройства яяя ПЛ ракет; неконтактные взрыватели для УРВБ и противотанковых мин; велосипеды: дорожные, универсальные, снегокаты, велотренажеры.</w:t>
      </w:r>
    </w:p>
    <w:p w14:paraId="0A0B19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(1943 г.): производственная- 16080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вспомогательная- 3750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66DBB7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(09.1941 г.)- 4880 чел., (12.1942 г.)- 3191 чел.</w:t>
      </w:r>
    </w:p>
    <w:p w14:paraId="162DDD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(1933 г.-)- К.Ф. Гроднер, (1940-04.1943 г.-)- А.П. Баталин.</w:t>
      </w:r>
      <w:r w:rsidRPr="00640820">
        <w:rPr>
          <w:rFonts w:ascii="Times New Roman" w:hAnsi="Times New Roman"/>
          <w:color w:val="000000" w:themeColor="text1"/>
          <w:sz w:val="16"/>
          <w:szCs w:val="16"/>
          <w:vertAlign w:val="superscript"/>
        </w:rPr>
        <w:t>101</w:t>
      </w:r>
      <w:r w:rsidRPr="00640820">
        <w:rPr>
          <w:rFonts w:ascii="Times New Roman" w:hAnsi="Times New Roman"/>
          <w:color w:val="000000" w:themeColor="text1"/>
          <w:sz w:val="16"/>
          <w:szCs w:val="16"/>
        </w:rPr>
        <w:t xml:space="preserve"> Гендиректор (2000 г.)- С. Семенов.</w:t>
      </w:r>
    </w:p>
    <w:p w14:paraId="78A7E8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гендиректора (2000 г.)- И. Кожевников.</w:t>
      </w:r>
    </w:p>
    <w:p w14:paraId="5C8F45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(ВОВ)- В.Я. Далингер.</w:t>
      </w:r>
    </w:p>
    <w:p w14:paraId="7F71BD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технолог (1943 г.-)- В.Ф. Маркелов. (с 1951 г. назначен гл. инженером родственного завода, а затем зам. директора по научной части крупного НИИ; на этой должности работал 27 лет). Гл. механик (04.1943 г.)- Яковлев.</w:t>
      </w:r>
    </w:p>
    <w:p w14:paraId="4987FF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цехов: (ВОВ)- В.Ф. Маркелов.</w:t>
      </w:r>
    </w:p>
    <w:p w14:paraId="0164B2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мобилизационно-планового (04.1943 г.)- Груздев.</w:t>
      </w:r>
    </w:p>
    <w:p w14:paraId="0F1CC0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взрыватели: М-50, МД-5, К-20 (11982).</w:t>
      </w:r>
    </w:p>
    <w:p w14:paraId="5D12F434" w14:textId="77777777" w:rsidR="00D9129E" w:rsidRPr="00640820" w:rsidRDefault="00D9129E" w:rsidP="00640820">
      <w:pPr>
        <w:autoSpaceDE w:val="0"/>
        <w:autoSpaceDN w:val="0"/>
        <w:adjustRightInd w:val="0"/>
        <w:spacing w:after="0" w:line="240" w:lineRule="auto"/>
        <w:jc w:val="both"/>
        <w:rPr>
          <w:rFonts w:ascii="Times New Roman" w:hAnsi="Times New Roman"/>
          <w:color w:val="000000" w:themeColor="text1"/>
          <w:sz w:val="16"/>
          <w:szCs w:val="16"/>
        </w:rPr>
      </w:pPr>
    </w:p>
    <w:p w14:paraId="3B2F49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на базе эвакуированного из Воронежа завода «Электросигнал» был создан Завод № 590 НКЭП, МПСС, Завод, ЗАО «Электросигнал», п/я 14, п/я 83, В-8145, ООО, ОАО «Корпорация «Новосибирский завод «Электросигнал» /630009  г. Новосибирск ул. Добролюбова, 31 тел. 266-06-42/. 24.12.1941 г. выпущена первая партия радиостанций (этот день считается днем рождения завода). 15.04.1944 г. вышло распоряжение ГКО № 5634 о мерах помощи строительству завода.</w:t>
      </w:r>
    </w:p>
    <w:p w14:paraId="2018AE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годы войны выпускал армейские, самолетные и танковые радиостанции. После войны освоен выпуск бытовой радиоаппаратуры.</w:t>
      </w:r>
    </w:p>
    <w:p w14:paraId="6DF3F7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имел наименования «п/я 14», «п/я 83» (1952 г.), «п/я В-8145». В 1952 г.- в ведении МПСС, в 1960-е  г.- в ведении Управления радиотехнической и электронной промышленности Западно-Сибирского совнархоза.</w:t>
      </w:r>
    </w:p>
    <w:p w14:paraId="435993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1952 г. по решению МПСС производство аэродромных радиостанций передано на новый завод № 920.</w:t>
      </w:r>
    </w:p>
    <w:p w14:paraId="5E813C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12.1999 г. предприятие преобразовано в ОАО «Корпорацию «Новосибирский завод «Электросигнал». По решению правительства № 22-р от 9.01.2004 г. вошло в перечень стратегических предприятий.</w:t>
      </w:r>
    </w:p>
    <w:p w14:paraId="1EEDE5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Имелось дочернее предприятие ЗАО «Электросигнал-сбыт» (директор (2002 г.)- В.В. Семенов).</w:t>
      </w:r>
    </w:p>
    <w:p w14:paraId="2783D2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Работы (2005 г.): разработка и производство: РЭ аппаратуры для авиации, железных дорог, промышленности и силовых структур; производство: авиационных радиостанций, комплекс средств аэродромной радиосвязи.</w:t>
      </w:r>
    </w:p>
    <w:p w14:paraId="071E5D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(2002 г.)- более 2000 чел.</w:t>
      </w:r>
    </w:p>
    <w:p w14:paraId="32FC49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Гендиректор (2005 г.)- Н.Н. Рычков.</w:t>
      </w:r>
    </w:p>
    <w:p w14:paraId="13931E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гендиректора по коммерции и НТР (2005 г.)- А.И. Волкодав. Директор по сбыту (2005 г.)- В.А. Сечкин.</w:t>
      </w:r>
    </w:p>
    <w:p w14:paraId="0DF97C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(2002 г.)- А.И. Волкодав.</w:t>
      </w:r>
    </w:p>
    <w:p w14:paraId="37370B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лабораторий: (1952 г.)- П.П. Полищук.</w:t>
      </w:r>
    </w:p>
    <w:p w14:paraId="55BE9E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конструкторы: (1952 г.)- П.П. Полищук («Лилия», «Ястребок»).</w:t>
      </w:r>
    </w:p>
    <w:p w14:paraId="0CD48E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аппараты связи (ВОВ)- 161 тыс.; радиостанции: самолетные РСИ-6МУ (</w:t>
      </w:r>
      <w:r w:rsidRPr="00640820">
        <w:rPr>
          <w:rFonts w:ascii="Times New Roman" w:hAnsi="Times New Roman"/>
          <w:color w:val="000000" w:themeColor="text1"/>
          <w:sz w:val="16"/>
          <w:szCs w:val="16"/>
          <w:lang w:val="en-US"/>
        </w:rPr>
        <w:t>BOB</w:t>
      </w:r>
      <w:r w:rsidRPr="00640820">
        <w:rPr>
          <w:rFonts w:ascii="Times New Roman" w:hAnsi="Times New Roman"/>
          <w:color w:val="000000" w:themeColor="text1"/>
          <w:sz w:val="16"/>
          <w:szCs w:val="16"/>
        </w:rPr>
        <w:t xml:space="preserve">), </w:t>
      </w:r>
      <w:r w:rsidRPr="00640820">
        <w:rPr>
          <w:rFonts w:ascii="Times New Roman" w:hAnsi="Times New Roman"/>
          <w:color w:val="000000" w:themeColor="text1"/>
          <w:sz w:val="16"/>
          <w:szCs w:val="16"/>
          <w:lang w:val="en-US"/>
        </w:rPr>
        <w:t>P</w:t>
      </w:r>
      <w:r w:rsidRPr="00640820">
        <w:rPr>
          <w:rFonts w:ascii="Times New Roman" w:hAnsi="Times New Roman"/>
          <w:color w:val="000000" w:themeColor="text1"/>
          <w:sz w:val="16"/>
          <w:szCs w:val="16"/>
        </w:rPr>
        <w:t>-800</w:t>
      </w:r>
      <w:r w:rsidRPr="00640820">
        <w:rPr>
          <w:rFonts w:ascii="Times New Roman" w:hAnsi="Times New Roman"/>
          <w:color w:val="000000" w:themeColor="text1"/>
          <w:sz w:val="16"/>
          <w:szCs w:val="16"/>
          <w:lang w:val="en-US"/>
        </w:rPr>
        <w:t>JI</w:t>
      </w:r>
      <w:r w:rsidRPr="00640820">
        <w:rPr>
          <w:rFonts w:ascii="Times New Roman" w:hAnsi="Times New Roman"/>
          <w:color w:val="000000" w:themeColor="text1"/>
          <w:sz w:val="16"/>
          <w:szCs w:val="16"/>
        </w:rPr>
        <w:t xml:space="preserve"> (1982-), Р-833Б (2004-), Р-853В, Р-999 (2004-); УКВ- «Баклан-5», «Баклан-20», «Орлан-85, -85СТ» (1999-); для самолетов малой авиации: «Близ»; УКВ- «Юрок», «Сигнал-802», «Сигнал-803»; аэродромные: стационарная «Лилия», мобильная «Ястребок» (-1952); наземные: «Полет» для внутриаэродромной связи (1960-е); для связи между объектами ВВС, ВМФ, судами: «Графит», «Дебаркадер»; цифро-аналоговые с маскированием связи «Альфа»;</w:t>
      </w:r>
      <w:r w:rsidRPr="00640820">
        <w:rPr>
          <w:rFonts w:ascii="Times New Roman" w:hAnsi="Times New Roman"/>
          <w:color w:val="000000" w:themeColor="text1"/>
          <w:sz w:val="16"/>
          <w:szCs w:val="16"/>
          <w:vertAlign w:val="superscript"/>
        </w:rPr>
        <w:t xml:space="preserve">69 </w:t>
      </w:r>
      <w:r w:rsidRPr="00640820">
        <w:rPr>
          <w:rFonts w:ascii="Times New Roman" w:hAnsi="Times New Roman"/>
          <w:color w:val="000000" w:themeColor="text1"/>
          <w:sz w:val="16"/>
          <w:szCs w:val="16"/>
        </w:rPr>
        <w:t>УС-ЗС (ВОВ), РБ-М (ВОВ), Р-625, Р-809М2, Р-859, Р-860, Р-862, Р-870, Р-870М, Р-871, «Ландыш»; передатчик «Полет-1А», приемник «Полет»; радиоприемники: 6Н-25 (1945-), 7Н-27 «Восток» (1945-), «Москвич», «Рекорд- 59»; радиолы: «Чайка» (1953-), «Арфа», «Восток Р-48 (1948-), -49, -57 (1957-)», «Факел», «Факел-М»; телевизоры: УНТ-47 «Изумруд» (1962-), «Изумруд-202, -204, -205, -206, -207, -208, -209, -210, Ц-276 (1987-), 61ТЦ-ЗП, 61ТЦ-411» (11982).</w:t>
      </w:r>
    </w:p>
    <w:p w14:paraId="517A7F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37053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года на базе немецких кумулятивных снарядов в НИИ-6 под руководством Васильева М.Я. было начато проектирование отечественных кумулятивных снарядов. 76-мм кумулятивные снаряды изготавливались серийно с мая 1942 года. 76-мм кумулятивные снаряды пробивали по нормали (90) броню до 100 мм и под углом встречи 60 60 мм. За годы войны промышленность поставила около 1,1 млн. 76-мм кумулятивных снарядов. Правда, подавляющее большинство их пошло на комплектацию выстрелов 76-мм полевых пушек. В послевоенные годы для ЗИС-3 и танковых пушек был принят на вооружение кумулятивный невращающийся снаряд БК-354 со стальной воронкой и БК-354М, имевший единственное отличие в виде медной воронки (3861).</w:t>
      </w:r>
    </w:p>
    <w:p w14:paraId="6731D8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E3E2E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октябре 1941 г. строительство первой очереди среднеуральского завода (98 им. Кирова, Пермь) было завершено и в этом же месяце была выдана первая партия ракетных зарядов. Перерыв в изготовлении и поставке ракетных зарядов был ликвидирован. </w:t>
      </w:r>
    </w:p>
    <w:p w14:paraId="329378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Более года среднеуральский завод оставался единственным в стране крупным заводом, выпускавшим ракетные нитроглицериновые баллиститные пороха. Огромную роль в деятельности завода играл командный состав. Директором был Д.Г.Бидинский, главным инженером — Д.Е.Горбачев, главным технологом — А.Г.Каллистов. Начальниками цехов работали А.И.Соколов, И.В.Крыжановский, B.C.Бондарь, Д.Я. Орлов и др. </w:t>
      </w:r>
    </w:p>
    <w:p w14:paraId="5E7911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Самым трудным было лето 1942 г., когда завод обязали увеличить выпуск зарядов для реактивной и крупнокалиберной артиллерии за три месяца в несколько раз против первоначально намеченного. Был разработан план-график круглосуточного ведения работ по строительству второй очереди завода. Намеченные темпы работ в довоенное время сочли бы фантастикой. </w:t>
      </w:r>
    </w:p>
    <w:p w14:paraId="65A63A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Строители еще только заканчивали кладку стен, а монтажники уже устанавливали оборудование. Были выделены дополнительно продовольствие, обувь, одежда, большой премиальный фонд. </w:t>
      </w:r>
    </w:p>
    <w:p w14:paraId="3516D2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Задание Государственного комитета обороны было выполнено за два с половиной месяца. Страна высоко оценила этот подвиг. Более 1000 человек были награждены орденами и медалями.</w:t>
      </w:r>
    </w:p>
    <w:p w14:paraId="479518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Огромное значение для страны имели завершенные на средне-уральском заводе во время войны работы по созданию новой более производительной технологии изготовления ниртоглицериновых порохов на основе применения системы аппаратов непрерывного действия. Эти работы были начаты в предвоенный период. Еще в ноябре 1940 г. результаты предварительных испытаний лабораторных установок непрерывного действия рассматривались НКБ СССР и получили положительную оценку /20/. После этого были изготовлены укрупненные полузаводские аппараты, позволившие провести широкие технологические исследования, которые показали, что новая технология, кроме несравненно более высокой производительности, имеет ряд существенных преимуществ перед гидропрессовой технологией. Она обеспечивала: улучшение качества пороха; менее опасные условия работы для обслуживающего персонала; возможность использования женского труда, что в условиях войны имело исключительно важное значение; резкое, в 15-20 раз, снижение количества возвратного брака; уменьшение примерно в три раза расхода пара и электроэнергии на тонну пороха. </w:t>
      </w:r>
    </w:p>
    <w:p w14:paraId="3DCCE3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Полученные результаты были в начале 1942 г. рассмотрены и одобрены Коллегией НКБ СССР. По ее представлению Государственный комитет обороны принял Постановление от 18 мая 1942 г. о строительстве на среднеуральском заводе производственной линии на большую мощность. </w:t>
      </w:r>
    </w:p>
    <w:p w14:paraId="78420E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5 апреля 1943 г. строительство производственной линии по новой технологии коллективом среднеуральского завода было завершено. Таким образом, огромный объем работы в тяжелых условиях военного был выполнен менее чем за один год. </w:t>
      </w:r>
    </w:p>
    <w:p w14:paraId="19382D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апреле 1943 г. по новой технологии были изготовлены три становочно-валовые партии зарядов для M-13 по 3 тыс. штук в партии. Особым техническим бюро завода параллельно велись всесторонние исследования пороха, изготовляемого по новой технологии, прежде всего его баллистических характеристик. Было установлено, что скорость его горения примерно на 9% выше, чем у пороха, изготовленного по гидропрессовой технологии, а потому для обеспечения требований по максимальному давлению газа в двигателе, калорийность пороха, изготовляемого по новой технологии, была снижена на 4%. </w:t>
      </w:r>
    </w:p>
    <w:p w14:paraId="1B2706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Изготовленные заряды были подвергнуты стендовым и стрельбовым испытаниям во всем интервале эксплуатационных температур. </w:t>
      </w:r>
    </w:p>
    <w:p w14:paraId="433518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Результаты испытаний открыли широкую дорогу новой технологии изготовления зарядов. Все работы по ее созданию проводились под научным руководством А.С. Бакаева, техническим руководителем разработки аппаратуры и внедрения ее в производство был инженер А.Э. Спориус. Ведущими инженерами основных узлов — Ф.М. Хритинин, Б.А. Парфенов и др. /21;22;23/. </w:t>
      </w:r>
    </w:p>
    <w:p w14:paraId="6701E4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Кроме трудностей, типичных для работы всей промышленности в тяжелейших условиях войны, не раз возникали в ходе изготовления порохов и зарядов серьезные технические проблемы, специфичные для порохового производства. Многие из этих проблем требовали для правильного и быстрого решения глубокого научного подхода и широких научно-технических исследований. Огромную помощь заводу в преодолении этих трудностей оказало Особое бюро, переведенное в начале войны из Московского порохового института на среднеуральский завод. </w:t>
      </w:r>
    </w:p>
    <w:p w14:paraId="4EBACD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Особое бюро, научно-техническая деятельность которого возглавлялась главным инженером А.С.Бакаевым, было возложено не только научно-техническое обеспечение текущего производства, но и проведение работ по совершенствованию порохов и зарядов, а также по повышению производительности основных фаз технологического процесса. </w:t>
      </w:r>
    </w:p>
    <w:p w14:paraId="6F5DF6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Приведу несколько примеров, характеризующих научно-техническую деятельность Особого бюро в период Великой Отечественной Войны. </w:t>
      </w:r>
    </w:p>
    <w:p w14:paraId="02BB5E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Вопросы обеспечения сырьем для изготовления нигроглицериновых порохов в условиях военного времени приобрели особую остроту. Отсутствие любого из компонентов пороха ставило под угрозу возможность производства ракетных зарядов. Поэтому исключительную важность имели работы по изысканию заменителей, прежде всего централита. Централит, вводимый в состав пороха в качестве стабилизатора химической стойкости, и до войны был самым дорогим и дефицитным компонентом нитроглицериновых порохов, что объяснялось сложностью изготовления как его самого, так и основного сырья для него. </w:t>
      </w:r>
    </w:p>
    <w:p w14:paraId="692B93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После эвакуации из Москвы Дорогомиловского химзавода, единственного в тот период производителя централита, выпуск его в стране был прекращен. В середине 1942 г. запасы централита на среднеуральском заводе иссякали. Производство зарядов для PC вот-вот должно было остановиться. Однако выход был найден. В связи с отсутствием централита возникла идея вводить в качестве стабилизатора химической стойкости пороха окись магния, являющуюся слабым основанием. На этом порохе, получившем наименование НМ-2, были изготовлены опытные партии зарядов к М-8 и M-13. </w:t>
      </w:r>
    </w:p>
    <w:p w14:paraId="47B608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Широкие стендовые проверки, а также контрольные стрельбовые испытания, проведенные на полигоне, прошли с положительными результатами. При этих испытаниях было установлено, что если заряды, изготовленные из пороха Н, не всегда нормально работали при температурах минус 30°С и ниже, то заряды из пороха, содержавшего окись магния, устойчиво работали во всем диапазоне возможных температур боевого применения РС, давая одновременно более низкий уровень давлений при максимальной положительной температуре заряда. </w:t>
      </w:r>
    </w:p>
    <w:p w14:paraId="2D68B4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Оказалось, что окись магния, введенная только как стабилизатор химической стойкости пороха, заметно улучшила и баллистические качества его. Работы Особого бюро в этом направлении положили начало исследованиям каталитических процессов при горении порохов, поискам наиболее эффективных катализаторов горения и т.д. </w:t>
      </w:r>
    </w:p>
    <w:p w14:paraId="24EE20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7 сентября 1942 г., в связи с полным израсходованием запасов централита, порох с окисью магния был введен в производство. Всего три дня потребовалось заводу, чтобы наладить его внедрение и перейти к массовому изготовлению зарядов. За четыре месяца (по 1 января 1943 г.) среднеуральским заводом было изготовлено более 3000 т пороха НМ-2 для M-13 и М-8. Невозможно переоценить важность этих работ для обеспечения непрерывных поставок зарядов для нужд фронта. </w:t>
      </w:r>
    </w:p>
    <w:p w14:paraId="5E6E29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Еще один пример. В феврале 1942 г. пороховому заводу грозила полная остановка из-за отсутствия вазелина. Особое бюро в результате напряженных исследований предложило заменить вазелин менее дефицитным трансформаторным маслом. Проведенные эксперименты подтвердили не только возможность, но и целесообразность такой замены, так как жидкое трансформаторное масло вводить в пороховую массу значительно удобнее, чем густой и вязкий вазелин. Остановка работы завода была предотвращена. </w:t>
      </w:r>
    </w:p>
    <w:p w14:paraId="433AEE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Особым бюро были выполнены и другие, направленные на ликвидацию помех производству зарядов, работы, из которых упомянем следующие. Еще в конце 1941 г. при стендовых испытаниях ряда парий зарядов к M-13 и М-8 были получены в ракетных камерах давления газов, уровень которых превышал требования технической документации, причем по химическому составу и прочим показателям партии зарядов удовлетворяли требованиям ТУ. Приемка ракетных зарядов была приостановлена. В связи с этим сотрудники Особого бюро провели детальное исследование причин, вызывающих некондиционность изготовляемых заводом зарядов и выявили важное влияние калорийности пороховой массы на их баллистические характеристики. </w:t>
      </w:r>
    </w:p>
    <w:p w14:paraId="46CCB2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Итогом работы являлось установление и введение в техническую документацию нормы на калорийность пороха, а также разработка и внедрение в производство уточненного дозирования компонентов пороха при варке пороховой массы. </w:t>
      </w:r>
    </w:p>
    <w:p w14:paraId="35FB44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Одновременно были улучшены условия вальцевания и прессования пороха. Реализация этих мероприятий обеспечила уже с января 1942 г. стабильный выпуск зарядов, полностью удовлетворяющих требованиям документации. </w:t>
      </w:r>
    </w:p>
    <w:p w14:paraId="036FF8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Существенная помощь со стороны Особого бюро была оказана заводу по выяснению причин брака, получавшегося при прессовании пороховых шашек на прессах Круппа. Так, например, в феврале 1942 г. брак на фазе прессования зарядов М-8 и M-13 составлял в среднем 30-35%, доходя в отдельные дни до 55-60%. Бригада Особого бюро тщательно проанализирована причины брака и дала точные и конкретные рекомендации. В настоящее время нет необходимости перечислять все рекомендации, но нельзя не дать высокой оценки методической стороне работы Особого бюро, серьезности подхода к поискам причин трудностей, убедительности и доказательности рекомендаций. Достаточно сказать, что после разработки рекомендаций очередное изготовление зарядов круглосуточно во всех сменах проводилось под непосредственным и непрерывным контролем работников Особого бюро. В результате брак на фазе прессования был резко уменьшен, а по воздушным включениям ликвидирован полностью. </w:t>
      </w:r>
    </w:p>
    <w:p w14:paraId="79967D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концу 1944 г. объем продукции завода вырос в десятки раз по сравнению с 1942 г., и хотя к этому времени уже работали на полную мощность другие пороховые заводы, построенные за это время, темпы работы среднеуральского завода непрерывно нарастали (11209).</w:t>
      </w:r>
    </w:p>
    <w:p w14:paraId="1D562F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E6D67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в дер. Пенгино, расположенной в 10 км от  г. Вятки, организована мастерская по производству боеприпасов. В 11.1941 г. была собрана первая партия гранат Ф-1. В конце 1941 г. мастерская преобразована в ГС завод № 608 НКБ (ГС завод № 608 НКБ, МСХМ, Нововятский механический завод, ФГУП, ОАО «Нововятский механический завод» Росбоеприпаса /дер. Пенгино Кировской обл.;  г. Нововятск Кировской обл./ /610008  г. Киров ул. Советская, 51/2 тел. 31-80-00/). В 12.1942 г. - в ведении 6ГУ НКБ.</w:t>
      </w:r>
    </w:p>
    <w:p w14:paraId="16203F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07.1943 г. в состав завода № 608 влит завод № 609 НКБ, расположенный в дер. Сапожнята Слободского р-на.</w:t>
      </w:r>
    </w:p>
    <w:p w14:paraId="6E3B6A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концу 1943 г. действовало 7 цехов, котельная, созданы транспортный цех и конный парк, железнодорожное хозяйство. В годы войны освоен выпуск запалов, взрывателей, корпусов ручных гранат.</w:t>
      </w:r>
    </w:p>
    <w:p w14:paraId="7862DC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1946-50 г. налажен выпуск сельхозтехники, ТНП, с 1957 г. выпускаются автоматические воздушные выключатели, насосы. С 1974 г. по итальянской лицензии начат выпуск кухонных электроплит.</w:t>
      </w:r>
    </w:p>
    <w:p w14:paraId="03C1B2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9.07.1996 г. завод вошел во вновь созданную ФПГ «Оборонметхимпром». По Указу Президента РФ № 1009 от 4.08.2004 г. ОАО вошло в число стратегических оборонных предприятий.</w:t>
      </w:r>
    </w:p>
    <w:p w14:paraId="38ECD3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(12.1942 г.)- 479 чел.</w:t>
      </w:r>
      <w:r w:rsidRPr="00640820">
        <w:rPr>
          <w:rFonts w:ascii="Times New Roman" w:hAnsi="Times New Roman"/>
          <w:color w:val="000000" w:themeColor="text1"/>
          <w:sz w:val="16"/>
          <w:szCs w:val="16"/>
          <w:vertAlign w:val="superscript"/>
        </w:rPr>
        <w:t>132</w:t>
      </w:r>
    </w:p>
    <w:p w14:paraId="706E1F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(10.1941-10.1942 г.)- К.И. Бубнов, (10.1942-03.1946 г.)- А. Г. Оганезов, (03.1946-01.1947 г.)- И. Г. Наракашвили, (01-07.1947 г.)- Д.П. Вайцеховский, (07.1947-02.1949 г.)- А.А. Шибаев, (02.1949-11.1955 г.)- И.П. Канатов, (11.1955-12.1956 г.)- А.И. Пастухов, (12.1956-07.1959 г.)- М.В. Парфенов, (07.1959-07.1977 г.)- Л.С. Гусаков, (07.1977-09.1985 г.)- А.С. Лицарев, (09.1985-10.1988; 07.1997-2005 г.-)- М.К. Сафонов, (10.1988- 07.1997 г.)- Н.Е. Видлацкий.</w:t>
      </w:r>
    </w:p>
    <w:p w14:paraId="4BA9BD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гранаты Ф-1 (1941-), РГ-42 (1942-); насосы: центробежный Н-403, шестеренные (1957-); электроплиты: «Электра-1001» (1980-е), «Электра-1002», «Ново-Вятка» (2000); электроплитка «Искорка» (1986-), газовые плиты, автоматический выключатель ВА 09-33 (2000-е).</w:t>
      </w:r>
      <w:r w:rsidRPr="00640820">
        <w:rPr>
          <w:rFonts w:ascii="Times New Roman" w:hAnsi="Times New Roman"/>
          <w:color w:val="000000" w:themeColor="text1"/>
          <w:sz w:val="16"/>
          <w:szCs w:val="16"/>
          <w:vertAlign w:val="superscript"/>
        </w:rPr>
        <w:t>101</w:t>
      </w:r>
    </w:p>
    <w:p w14:paraId="49DB26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ОАО «Ново-Вятка» /610008  г. Киров ул. Советская, 51/2 тел. 31-80-00/</w:t>
      </w:r>
    </w:p>
    <w:p w14:paraId="776270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в 2000-е  г. По Указу Президента РФ № 1009 от 4.08.2004 г. вошло в число стратегических оборонных предприятий (11982).</w:t>
      </w:r>
    </w:p>
    <w:p w14:paraId="167FB5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C61E5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октябре 1941 г. часть завода № 314 (Завод № 314 НКВ /г. Тула;  г. Медногорск Оренбургской обл./) эвакуирована в Ижевск на завод № 74, а часть - в Медногорск, где в соответствии с пост. ГКО № 632 от 4.09.1941 г. велось строительство Медногорского оружейного завода НКВ. Здесь </w:t>
      </w:r>
    </w:p>
    <w:p w14:paraId="12BBE8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26 ноября 1941 г. г. Медногорск Оренбургской обл. завод № 314 продолжил действовать под прежним номером, эвакуированный из Тулы Выпускал винтовки, авиационные пушки. 26.04.1942 г. вышло постановление ГКО № 1655 об обеспечении на заводе плана по выпуску 55 тыс. СВТ в месяц. За годы войны выпущено 626.687 винтовок и 16.738 пушек. С 08.1945 г. завод полностью прекратил выпуск оборонной продукции.</w:t>
      </w:r>
    </w:p>
    <w:p w14:paraId="4DE311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12.1945 г. завод № 314 передан из НКВ в НКЭП и, возможно, переименован в завод № 621 (либо переименование произошло раньше, в 1942-43 г., и завод № 621 до конца 1945 г. действовал в НКВ).</w:t>
      </w:r>
    </w:p>
    <w:p w14:paraId="1B14FA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Туле на месте эвакуированного завода создан завод № 536.</w:t>
      </w:r>
    </w:p>
    <w:p w14:paraId="0EE28B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винтовки снайперские: обр. 1891/ЗО г. (1939-40)- 43.346, СВТ-40 (1941-42)- 52.226;</w:t>
      </w:r>
      <w:r w:rsidRPr="00640820">
        <w:rPr>
          <w:rFonts w:ascii="Times New Roman" w:hAnsi="Times New Roman"/>
          <w:color w:val="000000" w:themeColor="text1"/>
          <w:sz w:val="16"/>
          <w:szCs w:val="16"/>
          <w:vertAlign w:val="superscript"/>
        </w:rPr>
        <w:t>4</w:t>
      </w:r>
      <w:r w:rsidRPr="00640820">
        <w:rPr>
          <w:rFonts w:ascii="Times New Roman" w:hAnsi="Times New Roman"/>
          <w:color w:val="000000" w:themeColor="text1"/>
          <w:sz w:val="16"/>
          <w:szCs w:val="16"/>
        </w:rPr>
        <w:t xml:space="preserve"> пушка авиационная 20-мм ШВАК (11982).</w:t>
      </w:r>
    </w:p>
    <w:p w14:paraId="240CC698" w14:textId="77777777" w:rsidR="00D9129E" w:rsidRPr="00640820" w:rsidRDefault="00D9129E" w:rsidP="00640820">
      <w:pPr>
        <w:autoSpaceDE w:val="0"/>
        <w:autoSpaceDN w:val="0"/>
        <w:adjustRightInd w:val="0"/>
        <w:spacing w:after="0" w:line="240" w:lineRule="auto"/>
        <w:jc w:val="both"/>
        <w:rPr>
          <w:rFonts w:ascii="Times New Roman" w:hAnsi="Times New Roman"/>
          <w:color w:val="000000" w:themeColor="text1"/>
          <w:sz w:val="16"/>
          <w:szCs w:val="16"/>
        </w:rPr>
      </w:pPr>
    </w:p>
    <w:p w14:paraId="192B8C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на площадку завода № 517 (Завод № 517 НКЦМ, Балхашский медеплавильный завод, Балхашский завод по обработке цветных металлов (ОЦМ), ЗАО «Завод ОЦМ« (ЗОЦМ) /Казахстан  г. Балхаш Джезказганской обл./ /Казахстан 478210  г. Балхаш Карагандинской обл. ул. Ленина, 1/) эвакуирован прокатный цех Кольчугинского завода № 7 НКЦМ, и образован завод № 517 НКЦМ. Эвакуация закончилась в 12.1941 г., ауже 4.03.1942 г. был выплавлен первый слиток металла. 25.03.1942 г. вступил в строй головной агрегат- стан горячей прокатки «Трио».</w:t>
      </w:r>
    </w:p>
    <w:p w14:paraId="36C5C8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проведена модернизация производства. В 1964 г. сдан в эксплуатацию цех по выпуску бескислородных медных слитков - вайербарсов для кабельной промышленности. В 1980 г. вступила в строй 1-я очередь прокатного производства на оборудовании фирмы "</w:t>
      </w:r>
      <w:r w:rsidRPr="00640820">
        <w:rPr>
          <w:rFonts w:ascii="Times New Roman" w:hAnsi="Times New Roman"/>
          <w:color w:val="000000" w:themeColor="text1"/>
          <w:sz w:val="16"/>
          <w:szCs w:val="16"/>
          <w:lang w:val="en-US"/>
        </w:rPr>
        <w:t>Skoda</w:t>
      </w:r>
      <w:r w:rsidRPr="00640820">
        <w:rPr>
          <w:rFonts w:ascii="Times New Roman" w:hAnsi="Times New Roman"/>
          <w:color w:val="000000" w:themeColor="text1"/>
          <w:sz w:val="16"/>
          <w:szCs w:val="16"/>
        </w:rPr>
        <w:t>". В 1995 г. закончено строительство цеха медной катанки с оборудованием немецкой фирмы «Маннесманн Демаг Зак» мощностью 30 тыс. т в год. В 1996 г. введен в строй цех по выпуску медного эмальпровода и медной проволоки с оборудованием австрийской фирмы МАГ мощностью 12 тыс. т.</w:t>
      </w:r>
    </w:p>
    <w:p w14:paraId="5C9689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1990-е  г. завод входил в состав ПО «Балхашмедь». 8.05.1998 г. завод преобразован в самостоятельное предприятие- ЗАО «ЗОЦМ», специализирующееся на производстве круглого и плоского проката из цветных сплавов на основе меди.</w:t>
      </w:r>
    </w:p>
    <w:p w14:paraId="163658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2000 г. проведена реорганизация плавильно-волочильного и прокатного цехов, модернизированы технологические линии фрезерования, травления, разрезки, сварки, стана ДУО-Кварто и шестивалковых прокатных станов. В 2002 г. введен в эксплуатацию комплекс отжиговых печей австрийской фирмы «Эбнер». В 2003 г. открыт участок № 2 плавильного производства. Готовилось производство лент из бериллиевой бронзы.</w:t>
      </w:r>
    </w:p>
    <w:p w14:paraId="3DF9E5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Балхашский горно-металлургический комбинат (ГМК) /Казахстан/</w:t>
      </w:r>
    </w:p>
    <w:p w14:paraId="36F492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 ГМК входил Балхашский медеплавильный завод (1950-е  г.). Входит в ОАО «Корпорация «Казахмыс», объединяющую 12 рудников, 8 обогатительных фабрик, Джезказганский медеплавильный завод, Жезкентский ГОК, Восточно-Казахстанский медно-химический комбинат (2004 г.) (11982).</w:t>
      </w:r>
    </w:p>
    <w:p w14:paraId="5FACAC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E5246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завод (Завод № 367 НКВ, Вятско-Полянский механический завод, ОАО «Вятско-Полянский машиностроительный завод «Молот» / г. Загорск Московской обл.;  г. Вятские Поляны/ /612960  г. Вятские Поляны Кировской обл. ул. Ленина, 135 тел. 62-111/) эвакуирован в Вятские Поляны на территорию шпульной фабрики. Сюда же эвакуирован завод из подмосковного поселка Лопасня, выпускавший диски к ППШ. Продолжено производство ППШ, завод являлся головным по его выпуску.</w:t>
      </w:r>
    </w:p>
    <w:p w14:paraId="357876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Загорске на месте эвакуированного завода создан завод № 569, на него вернулась часть коллектива завода № 367.</w:t>
      </w:r>
    </w:p>
    <w:p w14:paraId="697720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второй половине 1950-х  г. начато освоение производства ручного пулемета Калашникова. В 1970-е-80-е  г. освоен выпуск зенитных установок, гранатометов, снаряжательных машинок для снаряжения пулеметных лент, затем начат выпуск носимого ПТРК.</w:t>
      </w:r>
    </w:p>
    <w:p w14:paraId="1A32A6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1990-е  г. открыты новые направления производства - выпуск спортивно-охотничьих ружей и карабинов; станкостроение и оборудование для пищевой промышленности.</w:t>
      </w:r>
    </w:p>
    <w:p w14:paraId="24310F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являлся градообразующим предприятием.</w:t>
      </w:r>
    </w:p>
    <w:p w14:paraId="093B7D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Производство (2009 г.): стрелковое оружие, боеприпасы. С 09.2009 г. завод простаивал из-за отсутствия заказов. В 2010 г. планировалось производство пулеметов и карабинов перевести на ижевские заводы «Ижмаш» и «Ижмет», а на базе завода «Молот» создать СП с итальянской фирмой </w:t>
      </w:r>
      <w:r w:rsidRPr="00640820">
        <w:rPr>
          <w:rFonts w:ascii="Times New Roman" w:hAnsi="Times New Roman"/>
          <w:color w:val="000000" w:themeColor="text1"/>
          <w:sz w:val="16"/>
          <w:szCs w:val="16"/>
          <w:lang w:val="en-US"/>
        </w:rPr>
        <w:t>Beretta</w:t>
      </w:r>
      <w:r w:rsidRPr="00640820">
        <w:rPr>
          <w:rFonts w:ascii="Times New Roman" w:hAnsi="Times New Roman"/>
          <w:color w:val="000000" w:themeColor="text1"/>
          <w:sz w:val="16"/>
          <w:szCs w:val="16"/>
        </w:rPr>
        <w:t xml:space="preserve"> по производству стрелкового оружия мощностью 100 тыс. шт. охотничьего оружия и 60 тыс. пистолетов в год.</w:t>
      </w:r>
    </w:p>
    <w:p w14:paraId="4A5942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2002 г. предприятие акционировано и преобразовано в ОАО. По Указу Президента РФ № 1009 от 4.08.2004 г. вошло в число стратегических оборонных предприятий. С 9.06.1997 г. (и на 2004 г.) входил в ТФПГ «Точность». В 2009 г. входил в состав Концерна «Ижмаш».</w:t>
      </w:r>
    </w:p>
    <w:p w14:paraId="5D4816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(2009 г.)- около 5 тыс. чел.</w:t>
      </w:r>
    </w:p>
    <w:p w14:paraId="31832A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(1940 г.-)- М.П. Бривин. Гендиректор (24.07.2002-05 г.-&gt;  Г.В. Сумков, (2009 г.)- С. Бахмурнов.</w:t>
      </w:r>
    </w:p>
    <w:p w14:paraId="100CA1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гендиректора- В. Бондаренко. Зам. гендиректора (2009 г.)- Д. Насырова.</w:t>
      </w:r>
    </w:p>
    <w:p w14:paraId="4FAD03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(1940 г.-)- С.А. Сигорский, (1950-е)- В.П. Кавер-Камзолов.</w:t>
      </w:r>
    </w:p>
    <w:p w14:paraId="3B6DF4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Гл. конструктор (1941 г.-)-  Г.С. Шпагин.</w:t>
      </w:r>
    </w:p>
    <w:p w14:paraId="0453D4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Зам. начальника цеха: (-1952 г.)- </w:t>
      </w:r>
      <w:r w:rsidRPr="00640820">
        <w:rPr>
          <w:rFonts w:ascii="Times New Roman" w:hAnsi="Times New Roman"/>
          <w:color w:val="000000" w:themeColor="text1"/>
          <w:sz w:val="16"/>
          <w:szCs w:val="16"/>
          <w:lang w:val="en-US"/>
        </w:rPr>
        <w:t>JI</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E</w:t>
      </w:r>
      <w:r w:rsidRPr="00640820">
        <w:rPr>
          <w:rFonts w:ascii="Times New Roman" w:hAnsi="Times New Roman"/>
          <w:color w:val="000000" w:themeColor="text1"/>
          <w:sz w:val="16"/>
          <w:szCs w:val="16"/>
        </w:rPr>
        <w:t>. Панасюк.</w:t>
      </w:r>
    </w:p>
    <w:p w14:paraId="1EFAD0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пистолет-пулемет ППШ-41 (1941-)- более 2 млн.; пулеметы РПК (1959-2004-), РПК-74, РПК- М, НСВ «Корд» (2004); гранатомет АГС-17 «Пламя» (6Г10), РПГ-29 «Вампир» (6Г20) (2004); ПТУР «Метис-М» (2004);</w:t>
      </w:r>
      <w:r w:rsidRPr="00640820">
        <w:rPr>
          <w:rFonts w:ascii="Times New Roman" w:hAnsi="Times New Roman"/>
          <w:iCs/>
          <w:color w:val="000000" w:themeColor="text1"/>
          <w:sz w:val="16"/>
          <w:szCs w:val="16"/>
        </w:rPr>
        <w:t xml:space="preserve"> охотничье оружие:</w:t>
      </w:r>
      <w:r w:rsidRPr="00640820">
        <w:rPr>
          <w:rFonts w:ascii="Times New Roman" w:hAnsi="Times New Roman"/>
          <w:color w:val="000000" w:themeColor="text1"/>
          <w:sz w:val="16"/>
          <w:szCs w:val="16"/>
        </w:rPr>
        <w:t xml:space="preserve"> карабин «Вепрь», «Вепрь-Хантер», ВПО-Ю6 (2000-е); ружье «Бекас» (2004); снаряжательные машинки 6429, 6Ю13, 56ЮЛЧ28А (2004);</w:t>
      </w:r>
    </w:p>
    <w:p w14:paraId="171196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патефоны (1945-55); газовые отопительные котлы АОГВ, АКГВ, АРГО, газовые горелки; боковые прицепы к мотоциклам ИЖ БП-62, БП-63 «Спутник» (1955-); мотороллеры «Вятка» (1956-), МГ-150, «Стриж» (1999-); прицепы к легковым автомобилям; двухтактные двигатели внутреннего сгорания; автоматы для фасовки и упаковки пищевых продуктов(1989-); деревообрабатывающие станки: комбинированный ДКС (1991-), продольно-фрезерный ПФС 13-15-4 (1991-) (11982).</w:t>
      </w:r>
    </w:p>
    <w:p w14:paraId="18CC8C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A363D65" w14:textId="77777777" w:rsidR="00FF1134" w:rsidRPr="00640820" w:rsidRDefault="00FF1134"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в Иркутск поступило оборудование, приехали мастера, рабочие и ИТР с семьями Тульской швейной фабрики «Ревтруд», которые разместились на площадях Иркутской швейной фабрики № 1 (15223).</w:t>
      </w:r>
    </w:p>
    <w:p w14:paraId="0DDE4F6B" w14:textId="77777777" w:rsidR="00FF1134" w:rsidRPr="00640820" w:rsidRDefault="00FF1134" w:rsidP="00640820">
      <w:pPr>
        <w:shd w:val="clear" w:color="auto" w:fill="FFFFFF"/>
        <w:spacing w:after="0" w:line="240" w:lineRule="auto"/>
        <w:jc w:val="both"/>
        <w:rPr>
          <w:rFonts w:ascii="Times New Roman" w:hAnsi="Times New Roman"/>
          <w:color w:val="000000" w:themeColor="text1"/>
          <w:sz w:val="16"/>
          <w:szCs w:val="16"/>
        </w:rPr>
      </w:pPr>
    </w:p>
    <w:p w14:paraId="24997BF0" w14:textId="77777777" w:rsidR="00BA069A" w:rsidRPr="00640820" w:rsidRDefault="00BA069A"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том же месяце на территории «Гинзолото» в Иркутске (ул. Вузовская Набережная, № 38 – ныне бульвар им. Ю.А. Гагарина) разместился эвакуированный завод № 172 по производству лития и некоторых других редких металлов (15223).</w:t>
      </w:r>
    </w:p>
    <w:p w14:paraId="2F346547" w14:textId="77777777" w:rsidR="00BA069A" w:rsidRPr="00640820" w:rsidRDefault="00BA069A" w:rsidP="00640820">
      <w:pPr>
        <w:shd w:val="clear" w:color="auto" w:fill="FFFFFF"/>
        <w:spacing w:after="0" w:line="240" w:lineRule="auto"/>
        <w:jc w:val="both"/>
        <w:rPr>
          <w:rFonts w:ascii="Times New Roman" w:hAnsi="Times New Roman"/>
          <w:color w:val="000000" w:themeColor="text1"/>
          <w:sz w:val="16"/>
          <w:szCs w:val="16"/>
        </w:rPr>
      </w:pPr>
    </w:p>
    <w:p w14:paraId="081E2C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Прилукский завод противопожарного оборудования (ППО) им. Войкова ММиП /Украина пос. Ладан Прилукского р-на Черниговской обл. «Огнетушитель» (1948г.)/, на котором с 1941г. действовал цех № 1 по производству авиационных взрывателей, был эвакуирован в Шадринск на площадку Мотороремонтного завода; производство ЗАБ-50 эвакуировано в Свердловск на площадку завода № 612 НКБ.</w:t>
      </w:r>
    </w:p>
    <w:p w14:paraId="089992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Затем завод был восстановлен в Прилуках. В 1947-48г. завод - в ведении ГлавУППО ММиП.</w:t>
      </w:r>
    </w:p>
    <w:p w14:paraId="06925B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предприятия (1947г.) цехи: основные: огнетушительный, механический, литейный, сборочный пожарных машин, деревообделочный; вспомогательные: ремонтный, инструментальный, сантехнический.</w:t>
      </w:r>
    </w:p>
    <w:p w14:paraId="37C74E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(1939г.)- 110 ед., (1946г.)- 128 ед, (1947г.)- 246 ед.</w:t>
      </w:r>
    </w:p>
    <w:p w14:paraId="742251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территории (1947г.)- 21,65 га; застройки (1947г.)- 20474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производственная (1939г.)-</w:t>
      </w:r>
    </w:p>
    <w:p w14:paraId="63AC41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9600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(1946г.)- 9113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(1947г.)- 9767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6264B1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(1939г.)- 1651 чел, (1946г.)- 520 чел, (1947г.)- 594 чел.</w:t>
      </w:r>
    </w:p>
    <w:p w14:paraId="4BF7BB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(1948г.)- Реутов.</w:t>
      </w:r>
    </w:p>
    <w:p w14:paraId="79CDDA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(1948г.)- Бурко.</w:t>
      </w:r>
    </w:p>
    <w:p w14:paraId="693F53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авиационные взрыватели «АМБ б/в» (-1941); автонасосы ПМГ-3, огнетушители ОП-3, ОП-1, спринклерная головка 2СП, дренчлерная головка (1947) (11982).</w:t>
      </w:r>
      <w:r w:rsidRPr="00640820">
        <w:rPr>
          <w:rFonts w:ascii="Times New Roman" w:hAnsi="Times New Roman"/>
          <w:color w:val="000000" w:themeColor="text1"/>
          <w:sz w:val="16"/>
          <w:szCs w:val="16"/>
          <w:vertAlign w:val="superscript"/>
        </w:rPr>
        <w:t>129</w:t>
      </w:r>
    </w:p>
    <w:p w14:paraId="3D73C3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D106F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часть завода (Завод № 742 ИМ. КИМ НКМВ, Кунцевский игольно-платиновый завод им. КИМ, Кунцевский завод им. КИМ ММиП, ПО, ОАО «Мосточлегмаш» /г. Кунцево Московской обл. ул. Фабричная, 10 «Зубило» (1948 г.)/ /121354  г. Москва ул. Дорогобужская, 14 тел. 448-94-61/) эвакуирована в  г. Орск, где организован самостоятельный завод игольно-платиновых изделий № 728 НКМВ.</w:t>
      </w:r>
    </w:p>
    <w:p w14:paraId="1A88A3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06.1942 г. завод им. КИМ - в ведении Главсельмаша НКМВ. В 07.1942 г. завод № 742 им. КИМ - в ведении 5ГУ НКМВ.</w:t>
      </w:r>
    </w:p>
    <w:p w14:paraId="06F7F0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1947 г. Кунцевский завод им. КИМ - в ведении Главтекстильлегмаша ММиП.</w:t>
      </w:r>
    </w:p>
    <w:p w14:paraId="70C4F9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завода (1947 г.) цехи: основные: язычковых игл крупнотиражный № 1, язычковых игл мелкотиражный № 2, язычковых игл № 3, безъязычковых игл № 4, бегунковый № 5, концеточильный № 6, платино-штамповочный № 7, язычков автом. № 8, термический № 10, филлеров № 16, полировочный № 17; вспомогательные: инструментальный № 11, ремонтно-механический № 12, энергоцех № 13, ремонтно- строительный № 14, парокотельная.</w:t>
      </w:r>
    </w:p>
    <w:p w14:paraId="4FA010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оборудования для легкой промышленности (2000 г.).</w:t>
      </w:r>
    </w:p>
    <w:p w14:paraId="4A9488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(1939 г.)- 1487 ед., (1946 г.)- 1328 ед., (1947 г.)- 1744 ед.</w:t>
      </w:r>
    </w:p>
    <w:p w14:paraId="3F44B4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территории (1947 г.)- 8,32 га; застройки (1947 г.)- 8883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производственная (1939 г.)- 9416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(1946 г.)-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(1947 г.)- 9416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49D2EF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(1938 г.)- 2741 чел., (1939 г.)- 3300 чел., (1946 г.)- 1537 чел., (1947 г.)- 1748 чел.</w:t>
      </w:r>
    </w:p>
    <w:p w14:paraId="3C30D4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Директор (06.1942 г.)- Туев, (1948 г.)- А. Круглушин. Гендиректор (2000 г.)-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Родионов.</w:t>
      </w:r>
    </w:p>
    <w:p w14:paraId="384499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(1948 г.)- И. Элиасбер г.</w:t>
      </w:r>
    </w:p>
    <w:p w14:paraId="3ABC9B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детали для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 xml:space="preserve"> М-13 (1942); иглы: язычковые, безъязычковые, гребенчатые, Нобль, патефонные; платины, бегунки, ламели, узловязатели, глазки (1947) (11982).</w:t>
      </w:r>
    </w:p>
    <w:p w14:paraId="70A228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vertAlign w:val="superscript"/>
        </w:rPr>
      </w:pPr>
    </w:p>
    <w:p w14:paraId="18086D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после начала войны завод № 482 (Завод № 482 НКМВ, Коломенский патефонный завод /г. Коломна Московской обл./) эвакуирован в Белово, где на его базе создан завод № 842 НКЭП.</w:t>
      </w:r>
    </w:p>
    <w:p w14:paraId="166A29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Затем Патефонный завод восстановлен в Коломне (или часть завода осталась при эвакуации), далее это- завод № 819 НКМВ (11982).</w:t>
      </w:r>
    </w:p>
    <w:p w14:paraId="01BA37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FF304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часть завода (Завод № 353 им. Дзержинского НКВ, Изюмский завод оптического стекла (ИЗОС) им. тов. Дзержинского ВСНХ, НКТП, НКОП, НКВ, Изюмский приборостроительный завод /Украина  г. Изюм Харьковской обл.; г. Томск; г. Изюм/.) (4 эшелона с оборудованием и кадрами) эвакуирована на завод № 354 в Никольск; основная часть завода- в Томск, где продолжил действовать под прежним номером. В 1943 г. влит в состав завода № 355 НКВ.</w:t>
      </w:r>
    </w:p>
    <w:p w14:paraId="08F703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освобождения города от фашистов завод № 353 был восстановлен на прежнем месте. Далее- Изюмский приборостроительный завод.</w:t>
      </w:r>
    </w:p>
    <w:p w14:paraId="074038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(1930 г.)- 521 чел., (1931 г.)- 734 чел., (1935 г.)- 330 чел.</w:t>
      </w:r>
    </w:p>
    <w:p w14:paraId="45B7BD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(-01-9.11.1935 г.)-  Г. Г. Лакнер, (9.11.1935-05.1938 г.-&gt; И.П. Васильев, В.Л. Безкорсый. Гендиректор (2007 г.)- В. Мануйлов.</w:t>
      </w:r>
    </w:p>
    <w:p w14:paraId="34E94A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И.О. технического директора (9.01.1934 г.-)- И.И. Назаров. Технический директор (01.1935 г.)- И.И. Назаров.</w:t>
      </w:r>
    </w:p>
    <w:p w14:paraId="74E720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(7.09.1938 г.-)- И.И. Назаров.</w:t>
      </w:r>
    </w:p>
    <w:p w14:paraId="61DE03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механик (01.1935 г.)- И.И. Птицин.</w:t>
      </w:r>
      <w:r w:rsidRPr="00640820">
        <w:rPr>
          <w:rFonts w:ascii="Times New Roman" w:hAnsi="Times New Roman"/>
          <w:color w:val="000000" w:themeColor="text1"/>
          <w:sz w:val="16"/>
          <w:szCs w:val="16"/>
          <w:vertAlign w:val="superscript"/>
        </w:rPr>
        <w:t>139</w:t>
      </w:r>
    </w:p>
    <w:p w14:paraId="1D2851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ППО (12.1934 г.)- Ермолаев.</w:t>
      </w:r>
    </w:p>
    <w:p w14:paraId="2ED91E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оптическое стекло, очковые заготовки, конденсоры (1932) (11982).</w:t>
      </w:r>
    </w:p>
    <w:p w14:paraId="5A7867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83A57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в Пензу на площадку Бисквитной фабрики эвакуирован Харьковский завод текстильных машин им. Шевченко (оборудование и 30% кадров). На его базе создан «Пензмашзавод» НКМВ. На новом месте налажено производство боеприпасов и вооружения. Первая продукция выпущена в середине декабря 1941 г., а с 01.1942 г. завод ежемесячно выпускал 30 ПУ реактивных минометов БМ-13, 100-120 полковых и 1000 ротных минометов, 300 тыс. мин и 5-6 тыс. авиабомб. По приказу НКМВ № 228сс от 27.06.1942 г. для обеспечения производства в 09.1942 г. 1000 шт. 82-мм минометов на завод передано 23 станка. Пост. ГКО № 1962сс от 4.07.1942 г. и приказом НКМВ № 237сс от 7.07.1942 г. заводу установлен план выпуска на 3-й квартал 1942 г. 82- мм минометов- 400 шт.</w:t>
      </w:r>
    </w:p>
    <w:p w14:paraId="514A66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06.1942 г. завод № 740 (Завод № 740 НКМВ, Пензенский машиностроительный завод («Пензмашзавод») НКМВ, ММиП, АО «Пензмаш» /440052  г. Пенза ул. Баумана, 30 «Машзавод»/) - в ведении Главтекстильмаша НКМВ, в 07.1942 г. - в ведении ЗГУ.</w:t>
      </w:r>
    </w:p>
    <w:p w14:paraId="2E4817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освобождения Харькова в 08.1943 г. эвакуированные специалисты начали возвращаться обратно, на старом месте был создан завод № 285.</w:t>
      </w:r>
    </w:p>
    <w:p w14:paraId="1EBE24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1947 г. «Пензмашзавод» - в ведении Главтекстильлегмаша ММиП, в 01.1954 г. - в ведении Главлегмаша ММ.</w:t>
      </w:r>
    </w:p>
    <w:p w14:paraId="7F9197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завода (1947 г.) цехи: основные: кузнечное отделение инструментального цеха, заготовительно- штамповочный, литейный, ватерно-механический, рифленых цилиндров и ватерных колец, сборочный, ремонтно- механический, деревообрабатывающий; вспомогательные: котельная, дизельная. (1953 г.): основные: кузнечно- термический № 1, штамповочный № 2, литейный № 3, механические № 5, 6, 21, сборочный № 7, рифцилиндров № 8, деревообрабатывающий № 18; вспомогательные: ремонтно-механический, инструментальный, котельный.</w:t>
      </w:r>
    </w:p>
    <w:p w14:paraId="0F5BB8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завод был специализирован на производстве пневмомеханических прядильных машин для текстильной промышленности, со временем остался единственным в стране по данному виду продукции.</w:t>
      </w:r>
    </w:p>
    <w:p w14:paraId="4CBDAD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1992 г. завод был преобразован в АО «Пензмаш».</w:t>
      </w:r>
    </w:p>
    <w:p w14:paraId="23C3F9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(1946 г.)- 429 ед., (1947 г.)- 650 ед., (1953 г.)-1154 ед.</w:t>
      </w:r>
    </w:p>
    <w:p w14:paraId="305364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территории (1947 г.)- 12,7 га, (1953 г.)- 24,62 га; застройки (1947 г.)- 22701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(1953 г.)- 55900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производственная (1946 г.)- 14298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(1947 г.)- 14298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(1953 г.)- 32980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0A32F9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(1946 г.)- 1494 чел., (1947 г.)- 1487 чел., (1953 г.)- 3206 чел.</w:t>
      </w:r>
    </w:p>
    <w:p w14:paraId="609F6F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(06.1942 г.)- Рубанов, (1948 г.)- Шилин. Гендиректор -(2003-05 г.-)- С.Р. Мкртчян.</w:t>
      </w:r>
    </w:p>
    <w:p w14:paraId="5F7EBB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(1948 г.)- Похил.</w:t>
      </w:r>
    </w:p>
    <w:p w14:paraId="1BDFF9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Ведущий технолог (ВОВ)- А.С. Белашов.</w:t>
      </w:r>
    </w:p>
    <w:p w14:paraId="7A8008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ПУ для реактивных минометов БМ-13, минометы: полковые, 82-мм батальонные, 50-мм ротные (1942); 50-мм мина (1942); ватеры ВВ-83, ВКС-83, ВКМ-83, рифленые цилиндры, сепараторы, станок рихтовочный (1947); машины: прядильная П-83, П-88; крутильная К-83, КМ-83 (1953) (11982).</w:t>
      </w:r>
    </w:p>
    <w:p w14:paraId="1CC8FE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5CFB5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1-й Государственный часовой завод им. С.М. Кирова эвакуирован в Златоуст, где вначале действовал как «1-й часовой завод в Златоусте», затем на его базе создан завод № 834 НКМВ (Завод № 845 ИМ. С.М. Кирова НКМВ, 1-й Государственный часовой завод им. С.М. Кирова, 1-й часовой завод НКМВ, 1-й Московский часовой завод им. С.М. Кирова ММиП, ОАО «1-й часовой завод» /г. Москва, 4 ул. Воронцовская, 35А «Минута» (1948г.)/ /109147 г. Москва ул. Марксистская, 34 тел. 276-47-07/).</w:t>
      </w:r>
    </w:p>
    <w:p w14:paraId="6C8007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Часть завода продолжила действовать в Москве, как «1-й часовой завод в Москве». Выпускал детали для ППШ, взрыватели «МП» (1942г.). В 1942г. в Москве организовано производство спецдеталей и начата подготовка к выпуску часов. По приказу НКМВ № 203сс от 7.06.1942г. с Златоустовского часового завода в Москву на 1-й и 2-й часовые заводы возвращено 30 станков. В 1943г. возобновлен выпуск АЧХ, АВРМ. В 1945г. начата подготовка к производству часов «Победа». С 1947г. выпускались также часы с секундомером из трофейного незавершенного производства и морские хронометры.</w:t>
      </w:r>
    </w:p>
    <w:p w14:paraId="06A5A5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06.1942г. завод - в ведении Главприбора НКМВ. В соответствии с пост. СНК № 837-430сс от 3.06.1942г. и приказом НКМВ № 250с от 7.07.1942г. 1-й часовой завод в Москве НКМВ переименован в завод № 845 в ведении 5ГУ.</w:t>
      </w:r>
      <w:r w:rsidRPr="00640820">
        <w:rPr>
          <w:rFonts w:ascii="Times New Roman" w:hAnsi="Times New Roman"/>
          <w:color w:val="000000" w:themeColor="text1"/>
          <w:sz w:val="16"/>
          <w:szCs w:val="16"/>
          <w:vertAlign w:val="superscript"/>
        </w:rPr>
        <w:t>129</w:t>
      </w:r>
    </w:p>
    <w:p w14:paraId="1BBEF8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1947-48г. 1-й московский часовой завод им. Кирова - в ведении Главчаспрома ММиП.</w:t>
      </w:r>
    </w:p>
    <w:p w14:paraId="085147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предприятия цехи (1947г.): основные: 1-й и 2-й сборочный, 1-й и 2-й механический, мелких серий, автоматный, гальванический, прессовый, платино-корпусной, ходовой, станкостроения, ширпотреба; вспомогательные: строительный, заготовительный, инструментальный, ремонтный.</w:t>
      </w:r>
    </w:p>
    <w:p w14:paraId="31415D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ОАО было в 2005г. К 2010г. завод прекратил существование.</w:t>
      </w:r>
    </w:p>
    <w:p w14:paraId="339CF6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(2002г.): хронометры и запчасти к ним.</w:t>
      </w:r>
    </w:p>
    <w:p w14:paraId="27B6C5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(1939г.)- 1416 ед., (1946г.)- 1270 ед., (1947г.)- 1640 ед.</w:t>
      </w:r>
    </w:p>
    <w:p w14:paraId="29B895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территории (1947г.)- 17,5 га; застройки (1947г.)- 5905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производственная (1939-47г.)- 14072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2948D3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(1939г.)- 3515 чел., (1946г.)- 1906 чел., (1947г.)- 2199 чел., (2002г.)- 1800 чел.</w:t>
      </w:r>
    </w:p>
    <w:p w14:paraId="69E502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(06.1942г.)- Кочнев, (1948г.)- Матвеев. Гендиректор (-2000-05г.-)- С.Б. Ксенофонтов.</w:t>
      </w:r>
    </w:p>
    <w:p w14:paraId="118D73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(1948г.)- Калганов, (2002г.)- М.В. Бакланов.</w:t>
      </w:r>
      <w:r w:rsidRPr="00640820">
        <w:rPr>
          <w:rFonts w:ascii="Times New Roman" w:hAnsi="Times New Roman"/>
          <w:color w:val="000000" w:themeColor="text1"/>
          <w:sz w:val="16"/>
          <w:szCs w:val="16"/>
          <w:vertAlign w:val="superscript"/>
        </w:rPr>
        <w:t>69</w:t>
      </w:r>
    </w:p>
    <w:p w14:paraId="7A88BB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 часы:</w:t>
      </w:r>
      <w:r w:rsidRPr="00640820">
        <w:rPr>
          <w:rFonts w:ascii="Times New Roman" w:hAnsi="Times New Roman"/>
          <w:color w:val="000000" w:themeColor="text1"/>
          <w:sz w:val="16"/>
          <w:szCs w:val="16"/>
        </w:rPr>
        <w:t xml:space="preserve"> авиационные: АЧХ (1934-41; 1943-), АВР (-1935-42-), АЧ, АЧО, АЧХО (-1936-47-), АЧБ (1936), АВРМ (1943-47-), АЧХОП (1947); ЧСМ (1939), ручные АНЧС, «Победа» (1947-), карманные, каминные, автомобильные 1ЧТ, Ч2Т, морской хронометр </w:t>
      </w:r>
      <w:r w:rsidRPr="00640820">
        <w:rPr>
          <w:rFonts w:ascii="Times New Roman" w:hAnsi="Times New Roman"/>
          <w:color w:val="000000" w:themeColor="text1"/>
          <w:sz w:val="16"/>
          <w:szCs w:val="16"/>
          <w:lang w:val="en-US"/>
        </w:rPr>
        <w:t>MX</w:t>
      </w:r>
      <w:r w:rsidRPr="00640820">
        <w:rPr>
          <w:rFonts w:ascii="Times New Roman" w:hAnsi="Times New Roman"/>
          <w:color w:val="000000" w:themeColor="text1"/>
          <w:sz w:val="16"/>
          <w:szCs w:val="16"/>
        </w:rPr>
        <w:t xml:space="preserve"> (1947); секундомеры (1942); тахометр «Хаслер» (1938); взрыватели «МП», детали для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 xml:space="preserve"> М-13 (1942); газовый счетчик (1947) (11982).</w:t>
      </w:r>
      <w:r w:rsidRPr="00640820">
        <w:rPr>
          <w:rFonts w:ascii="Times New Roman" w:hAnsi="Times New Roman"/>
          <w:color w:val="000000" w:themeColor="text1"/>
          <w:sz w:val="16"/>
          <w:szCs w:val="16"/>
          <w:vertAlign w:val="superscript"/>
        </w:rPr>
        <w:t>129</w:t>
      </w:r>
    </w:p>
    <w:p w14:paraId="6A90C6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F21BCD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года выпуск танков на СТЗ упал - вместо положенных по плану 220 машин удалось сдать только 124. Связано это было прежде всего с эвакуацией харьковских заводов № 183 и 75, с которых в Сталинград поставляли бронекорпуса с башнями и дизели В-2. Для того чтобы как-то выйти из создавшегося положения, еще в сентябре 1941 года на СТЗ началось производство собственных дизельных двигателей, но быстро и в нужных количествах это естественно не удалось сделать (12217).</w:t>
      </w:r>
    </w:p>
    <w:p w14:paraId="5C55C16B"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60EA0CB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октября 1941-го и до весны 1942 года СТЗ остается единственным предприятием, производившим танки Т-34 в значительных количествах - и эвакуированный в Нижний Тагил завод № 183, и подключенный к выпуску тридцатьчетверок «Красное Сормово» в это время еще не могли выдавать продукцию в нужном количестве. Поэтому для увеличения сборки Т-34 на СТЗ на совещании, прошедшем 10 октября 1941 года с участием представителей ГАБТУ КА и недавно созданного наркомата танковой промышленности, разрешили сталинградцам вносить в конструкцию танка изменения, упрощающие производство. Несмотря на это все нововведения должны были утверждаться головным заводом № 183 и заказчиком - ГАБТУ КА (12217).</w:t>
      </w:r>
    </w:p>
    <w:p w14:paraId="0DF7E44A"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79FDA9B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года темпы производства завода № 183 снижались с каждым днем, так как предприятие спешными темпами эвакуировалось. Тем не менее, за первую декаду октября харьковчане сдали армии 41 тридцатьчетверку. В последнем извещении об отправке Т-34 с завода, датированном 12 октября 1941 года, военинженер 2-го ранга Д. Козырев сообщал в ГАББТУ КА:</w:t>
      </w:r>
    </w:p>
    <w:p w14:paraId="1365ED7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«Извещение на отправленные танки Т-34:</w:t>
      </w:r>
    </w:p>
    <w:p w14:paraId="4852AEA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5/Х-41 г. Владимир 22танка: 9/Х-41 г. Кубинка 22 танка:</w:t>
      </w:r>
    </w:p>
    <w:p w14:paraId="270291F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12/Х-г. Харьков 19 танков.</w:t>
      </w:r>
    </w:p>
    <w:p w14:paraId="28A64FA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Последние 19 танков отданы Начальнику АБТВ ЮЗФ по приказанию Заместителя Командующего ЮЗФ генерал-майора тов. Темручи.</w:t>
      </w:r>
    </w:p>
    <w:p w14:paraId="0F4B7A5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Танков на заводе больше нет. Производство приостановлено, завод эвакуировался».</w:t>
      </w:r>
    </w:p>
    <w:p w14:paraId="5DA2057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Таким образом, за 1941 год завод № 183 в Харькове изготовил и передал Красной Армии 1556 танков Т-34.</w:t>
      </w:r>
    </w:p>
    <w:p w14:paraId="2BB7C11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заключение главы о производстве тридцатьчетверок в Харькове в 1941 году, небезынтересно немного рассказать о проектировании на базе Т-34 других боевых машин-тягачей и самоходных установок, тем более что об этом мало что известно (12217).</w:t>
      </w:r>
    </w:p>
    <w:p w14:paraId="4376EDDD"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449009B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года часть инженерно-технических работников и рабочих Ижорского завода была откомандирована в город Саратов для организации бронекорпусного производства на базе Саратовского паровозовагоноремонтного завода, совершенно не приспособленного для этого. Новое предприятие получило № 180 и вошло в состав НКТП. Наряду с организацией выпуска продукции на новом месте пришлось провести большую работу по реконструкции цехов.</w:t>
      </w:r>
    </w:p>
    <w:p w14:paraId="64D1371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Сначала на заводе № 180 началось производство корпусов и башен танка Т-50. Правда, всего их изготовили всего нескольких штук, после чего перешли на выпуск корпусов и башен для Т-60, а позже и для Т-70 и СУ-76.</w:t>
      </w:r>
    </w:p>
    <w:p w14:paraId="493BABD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Постановлением ГКО № 2866 от 10 февраля 1943 года (инициатива принятия этого документа исходила от В. Молотова) завод № 180 переключался на капитальный ремонт корпусов и башен поврежденных в боях танков Т-34.</w:t>
      </w:r>
    </w:p>
    <w:p w14:paraId="113B8D2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результатам изучения 450 танков Т-34, поступивших со Сталинградского, Донского и Западного фронтов с марта по июль 1943 года, КБ завода № 180 сделало следующие выводы:</w:t>
      </w:r>
    </w:p>
    <w:p w14:paraId="34A2E04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Основной причиной вывода танков из строя являются снарядные поражения корпуса и башни, главным образом снарядами калибра 42-50 мм. Значительный процент поражений (до 36%) приходится на башню.</w:t>
      </w:r>
    </w:p>
    <w:p w14:paraId="67836FE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Пожары и взрывы в танках, вызываемые главным образом снарядными поражениями, явление массово - до 60 % всех пораженных танков. Имеется высокий процент машин с сорванной крышкой механика-водителя (16%).</w:t>
      </w:r>
    </w:p>
    <w:p w14:paraId="3868651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ремонте корпусов для усиления прочности поврежденных деталей использовались экраны толщиной 16 и 10 мм (10 мм для бортов в местах, где большая толщина экрана может помешать монтажу ходовой части танка). В 1943 году отремонтировано: Корпусов - 528 Башен - 470</w:t>
      </w:r>
    </w:p>
    <w:p w14:paraId="17FA95A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Заметное снижение выпуска из ремонта корпусов и башен во втором полугодии 1943 г ода объясняется тем, что значительное количество поступающих на заводе корпусов не отвечало техусловиям на их приемку в ремонт заводами НКТП от НКО. В 1944 году: Корпусов - 526 Башен - 405</w:t>
      </w:r>
    </w:p>
    <w:p w14:paraId="034BAB9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1945 году корпусов - 280. Всего было отремонтировано 1334 корпуса и 875 башен, что, по отчету завода № 180 было « эквивалентно выпуску 950 новых танков» (12217).</w:t>
      </w:r>
    </w:p>
    <w:p w14:paraId="09019E3D"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1E20455C" w14:textId="77777777" w:rsidR="0042350C" w:rsidRPr="00640820" w:rsidRDefault="0042350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В октябре 1941 ГАЗ сдал 215 Т-60 по сравнению с 3 Т-60 в сентабре, а всего за 1941 год ГАЗ им. Молотова выпустил 1314 танков. Из этого числа 137 штук представляли собой шасси, на базе которых монтировались </w:t>
      </w:r>
      <w:hyperlink r:id="rId49" w:history="1">
        <w:r w:rsidRPr="00640820">
          <w:rPr>
            <w:rFonts w:ascii="Times New Roman" w:eastAsia="Times New Roman" w:hAnsi="Times New Roman"/>
            <w:color w:val="000000" w:themeColor="text1"/>
            <w:sz w:val="16"/>
            <w:szCs w:val="16"/>
            <w:lang w:eastAsia="ru-RU"/>
          </w:rPr>
          <w:t>системы залпового огня</w:t>
        </w:r>
      </w:hyperlink>
      <w:r w:rsidRPr="00640820">
        <w:rPr>
          <w:rFonts w:ascii="Times New Roman" w:eastAsia="Times New Roman" w:hAnsi="Times New Roman"/>
          <w:color w:val="000000" w:themeColor="text1"/>
          <w:sz w:val="16"/>
          <w:szCs w:val="16"/>
          <w:lang w:eastAsia="ru-RU"/>
        </w:rPr>
        <w:t xml:space="preserve"> М-8. Из завода-смежника ГАЗ им. Молотова превратился в одного из крупнейших производителей танков не только в СССР, но в мире.</w:t>
      </w:r>
    </w:p>
    <w:p w14:paraId="5711918F" w14:textId="77777777" w:rsidR="0042350C" w:rsidRPr="00640820" w:rsidRDefault="0042350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Из-за наличия проблем, связанных с зимней эксплуатацией танков, на заводе проводился ряд опытных работ. Разрабатывались траки с увеличенным шагом и длиной, а также съёмные шпоры для гусениц. Прорабатывался вопрос об изменении ходовой части: предлагалось уменьшить диаметр опорных катков и довести их число с 8 до 16 (по 8 на борт). Данное решение было продиктовано желанием более равномерно распределить удельное давление на грунт.</w:t>
      </w:r>
    </w:p>
    <w:p w14:paraId="5809FFEA" w14:textId="77777777" w:rsidR="0042350C" w:rsidRPr="00640820" w:rsidRDefault="0042350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Также в опытном порядке конструкторское бюро ГАЗ разработало рессорную подвеску для Т-60 на случай возникновения перебоев с поставкой торсионов. А на случай перебоев с поставкой бандажей прорабатывался вопрос о замене резины на деревянные накладки. Пришлось отказаться и от установки на Т-60 радиостанций. В результате эта машина оказалась единственным советским танком военного периода, на котором радиостанций не устанавливалось в принципе. Упрощать пришлось и остальное электрооборудование.</w:t>
      </w:r>
    </w:p>
    <w:p w14:paraId="12AB97D1" w14:textId="77777777" w:rsidR="0042350C" w:rsidRPr="00640820" w:rsidRDefault="0042350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Несмотря на то что постановление ГКО №222сс ГАЗ им. Молотова так выполнить и не смог, ценой невероятных усилий горьковчане смогли запустить полноценное производство столь необходимых танков (17659).</w:t>
      </w:r>
    </w:p>
    <w:p w14:paraId="5BEBDE4D" w14:textId="77777777" w:rsidR="0042350C" w:rsidRPr="00640820" w:rsidRDefault="0042350C" w:rsidP="00640820">
      <w:pPr>
        <w:spacing w:after="0" w:line="240" w:lineRule="auto"/>
        <w:jc w:val="both"/>
        <w:rPr>
          <w:rFonts w:ascii="Times New Roman" w:eastAsia="Times New Roman" w:hAnsi="Times New Roman"/>
          <w:color w:val="000000" w:themeColor="text1"/>
          <w:sz w:val="16"/>
          <w:szCs w:val="16"/>
          <w:lang w:eastAsia="ru-RU"/>
        </w:rPr>
      </w:pPr>
    </w:p>
    <w:p w14:paraId="02BC24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октябре 1941 года на заводе №174 была изготовлена и испытана легкая САУ на базе танка Т-26. Испытания прошли удовлетворительно и по их результатам Военный Совет Ленфронта обязал завод №174 наладить выпуск этих САУ. Новое орудие получило обозначение СУ-76 (начиная с 1943 года эта САУ была переименована в СУ-76П "полковая", чтобы не возникало путаницы с новой серийной машиной под тем же индексом).</w:t>
      </w:r>
    </w:p>
    <w:p w14:paraId="06D933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5A54FF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в ходе эвакуации завода, был разработан и принят к производству упрощенный корпус Т-50 из гомогенной брони вы</w:t>
      </w:r>
      <w:r w:rsidRPr="00640820">
        <w:rPr>
          <w:rFonts w:ascii="Times New Roman" w:hAnsi="Times New Roman"/>
          <w:color w:val="000000" w:themeColor="text1"/>
          <w:sz w:val="16"/>
          <w:szCs w:val="16"/>
        </w:rPr>
        <w:softHyphen/>
        <w:t>сокой твердости толщиной 40 мм. Его конструкция в 1942-м была оптимизирована под соединение бронелистов сваркой при помощи полуавтоматов Е. Патона. Была разработана и литая башня с толщиной стенок 50 мм. При этом, несмотря на то, что масса машины выросла до 17,8-18,2 т, упростилось положение с бронепрокатом. Все это позволило еще до кон</w:t>
      </w:r>
      <w:r w:rsidRPr="00640820">
        <w:rPr>
          <w:rFonts w:ascii="Times New Roman" w:hAnsi="Times New Roman"/>
          <w:color w:val="000000" w:themeColor="text1"/>
          <w:sz w:val="16"/>
          <w:szCs w:val="16"/>
        </w:rPr>
        <w:softHyphen/>
        <w:t>ца 1941 г. снизить стоимость танка в среднем на 25—29%. В 1942-м выпуск танка был возобновлен, но в сентябре 1941 г. прекратились поставки наблюдательных приборов из-за недостатка оптического стекла. Поэтому в конце де</w:t>
      </w:r>
      <w:r w:rsidRPr="00640820">
        <w:rPr>
          <w:rFonts w:ascii="Times New Roman" w:hAnsi="Times New Roman"/>
          <w:color w:val="000000" w:themeColor="text1"/>
          <w:sz w:val="16"/>
          <w:szCs w:val="16"/>
        </w:rPr>
        <w:softHyphen/>
        <w:t>кабря для упрощения производства в конструкции Т-50 бы</w:t>
      </w:r>
      <w:r w:rsidRPr="00640820">
        <w:rPr>
          <w:rFonts w:ascii="Times New Roman" w:hAnsi="Times New Roman"/>
          <w:color w:val="000000" w:themeColor="text1"/>
          <w:sz w:val="16"/>
          <w:szCs w:val="16"/>
        </w:rPr>
        <w:softHyphen/>
        <w:t>ла исключена командирская башенка и триплекс механика-водителя, вместо которых применены поворотные башен</w:t>
      </w:r>
      <w:r w:rsidRPr="00640820">
        <w:rPr>
          <w:rFonts w:ascii="Times New Roman" w:hAnsi="Times New Roman"/>
          <w:color w:val="000000" w:themeColor="text1"/>
          <w:sz w:val="16"/>
          <w:szCs w:val="16"/>
        </w:rPr>
        <w:softHyphen/>
        <w:t>ный и водительский перископические наблюдательные приборы, унифицированные с таковыми у танка Т-70 (10782).</w:t>
      </w:r>
    </w:p>
    <w:p w14:paraId="41F87C7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CB2343" w14:textId="77777777" w:rsidR="0042350C" w:rsidRPr="00640820" w:rsidRDefault="0042350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октябре 1941 Завод №2 в Коврове выпустил первые 522 ПТРД, причем использовались заготовки стволов, полученные в 1940 г. для производства ПТР Рукавишникова. Постановлением ГКО от 4 ноября заводу увеличили план, а также было принято решение о производстве ПТРД и на заводе №74 в Ижевске. Документацию из Коврова в Ижевск и заготовки стволов в обратном направлении распорядились срочно перебросить самолетами. Постановление ГКО от 9 ноября обязывало увеличить производство ПТРС на заводе №614 в Саратове и организовать дополнительно их выпуск на заводе №54 в Златоусте, куда была эвакуирована основная часть завода №66 из Тулы (не было выполнено). Кроме того, этим постановлением ПТРС запускались в производство и на заводе №74 в Ижевске, но без ущерба для производства на нем ПТРД. Завод в Ижевске б ноября получил задание на производство ПТРД, а 11 ноября – ПТРС. Из-за отсутствия свободных площадей изготовление деталей было распределено по цехам основного производства за счет их уплотнения. Позже производство ПТ ружей было переведено во вновь выстроенные деревянные бараки. В ноябре завод №74 выпустил первые 36 ПТРД, а в декабре – 2 ПТРС. В Саратове в том же месяце сделали первые 75 ПТРС, хотя его освоение шло с 1 октября, а выпуск 7,92-мм ПТР так и не был налажен.</w:t>
      </w:r>
    </w:p>
    <w:p w14:paraId="3014B93A" w14:textId="77777777" w:rsidR="0042350C" w:rsidRPr="00640820" w:rsidRDefault="0042350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Зимой 1941-1942 гг. с фронтов на ПТ ружья особых нареканий не поступало, но с наступлением тепла и появлением пыли пошли массовые претензии на тугую работу затвора, затрудненную экстракцию гильз и другие недостатки ружей. В начале мая 1942 г. на НИПСВО были проведены испытания ПТРД и ПТРС, выпущенных всеми заводами-изготовителями, подтвердившие обоснованность жалоб из войск. Большие претензии были и к качеству патронов. На заводе №17 в Барнауле из-за раздутия стенки гильзы при стрельбе из ПТРС забраковали весь месячный выпуск 14,5-мм патронов, примерно 400 тыс. штук. Всю партию направили на оружейные заводы для использования на испытательных стрельбах. На заводах пришлось форсировать конструкторскую и технологическую доработку обоих ПТР, которая велась и до этого. Например, на ПТРС отказались от наплечника на прикладе и поставили новую сошку (17498).</w:t>
      </w:r>
    </w:p>
    <w:p w14:paraId="2612B186" w14:textId="77777777" w:rsidR="0042350C" w:rsidRPr="00640820" w:rsidRDefault="0042350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631382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НКТП было дано задание о вооружении легкого танка 45-мм тан</w:t>
      </w:r>
      <w:r w:rsidRPr="00640820">
        <w:rPr>
          <w:rFonts w:ascii="Times New Roman" w:hAnsi="Times New Roman"/>
          <w:color w:val="000000" w:themeColor="text1"/>
          <w:sz w:val="16"/>
          <w:szCs w:val="16"/>
        </w:rPr>
        <w:softHyphen/>
        <w:t>ковой пушкой вместо 20-мм авиапушки и введениии в со</w:t>
      </w:r>
      <w:r w:rsidRPr="00640820">
        <w:rPr>
          <w:rFonts w:ascii="Times New Roman" w:hAnsi="Times New Roman"/>
          <w:color w:val="000000" w:themeColor="text1"/>
          <w:sz w:val="16"/>
          <w:szCs w:val="16"/>
        </w:rPr>
        <w:softHyphen/>
        <w:t>став его экипажа третьего члена, однако на пути его реализации лежа</w:t>
      </w:r>
      <w:r w:rsidRPr="00640820">
        <w:rPr>
          <w:rFonts w:ascii="Times New Roman" w:hAnsi="Times New Roman"/>
          <w:color w:val="000000" w:themeColor="text1"/>
          <w:sz w:val="16"/>
          <w:szCs w:val="16"/>
        </w:rPr>
        <w:softHyphen/>
        <w:t>ло отсутствие для него двигателя достаточной мощности. В 1941 г. в ОКБ-37 просматривались два воз</w:t>
      </w:r>
      <w:r w:rsidRPr="00640820">
        <w:rPr>
          <w:rFonts w:ascii="Times New Roman" w:hAnsi="Times New Roman"/>
          <w:color w:val="000000" w:themeColor="text1"/>
          <w:sz w:val="16"/>
          <w:szCs w:val="16"/>
        </w:rPr>
        <w:softHyphen/>
        <w:t>можных решения - установка более мощного форсиро</w:t>
      </w:r>
      <w:r w:rsidRPr="00640820">
        <w:rPr>
          <w:rFonts w:ascii="Times New Roman" w:hAnsi="Times New Roman"/>
          <w:color w:val="000000" w:themeColor="text1"/>
          <w:sz w:val="16"/>
          <w:szCs w:val="16"/>
        </w:rPr>
        <w:softHyphen/>
        <w:t>ванного автомобильного двигателя ЗИС (танк «045»), ли</w:t>
      </w:r>
      <w:r w:rsidRPr="00640820">
        <w:rPr>
          <w:rFonts w:ascii="Times New Roman" w:hAnsi="Times New Roman"/>
          <w:color w:val="000000" w:themeColor="text1"/>
          <w:sz w:val="16"/>
          <w:szCs w:val="16"/>
        </w:rPr>
        <w:softHyphen/>
        <w:t>бо переход к спарке двигателей ГАЗ-М-1, или ГАЗ-202 на одном общем валу, или параллельно (танк «070»). Вполне естественно, что, оказавшись в Горьком, Н. Астров активно развернул работы по спешной модерни</w:t>
      </w:r>
      <w:r w:rsidRPr="00640820">
        <w:rPr>
          <w:rFonts w:ascii="Times New Roman" w:hAnsi="Times New Roman"/>
          <w:color w:val="000000" w:themeColor="text1"/>
          <w:sz w:val="16"/>
          <w:szCs w:val="16"/>
        </w:rPr>
        <w:softHyphen/>
        <w:t>зации «шестидесятки». А поскольку производственная база вместе с мощным опытным цехом ГАЗа была у него, что на</w:t>
      </w:r>
      <w:r w:rsidRPr="00640820">
        <w:rPr>
          <w:rFonts w:ascii="Times New Roman" w:hAnsi="Times New Roman"/>
          <w:color w:val="000000" w:themeColor="text1"/>
          <w:sz w:val="16"/>
          <w:szCs w:val="16"/>
        </w:rPr>
        <w:softHyphen/>
        <w:t>зывается «под руками», им было избрано второе направле</w:t>
      </w:r>
      <w:r w:rsidRPr="00640820">
        <w:rPr>
          <w:rFonts w:ascii="Times New Roman" w:hAnsi="Times New Roman"/>
          <w:color w:val="000000" w:themeColor="text1"/>
          <w:sz w:val="16"/>
          <w:szCs w:val="16"/>
        </w:rPr>
        <w:softHyphen/>
        <w:t>ние улучшения боевых характеристик Т-60 (10782).</w:t>
      </w:r>
    </w:p>
    <w:p w14:paraId="1943D4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A47DC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новый вариант танка Т-60 или Т-60Ш (с пушкой ШВАК), получив заводской индекс «060», поступил на фронт. Первые кадры с изображением этих танков мы видим в хронике парада 7 ноября 1941 г. Бронекорпус танка сваривался из листов гомогенной брони толщиной 20—35 мм в лобовой части, до 25 мм в бор</w:t>
      </w:r>
      <w:r w:rsidRPr="00640820">
        <w:rPr>
          <w:rFonts w:ascii="Times New Roman" w:hAnsi="Times New Roman"/>
          <w:color w:val="000000" w:themeColor="text1"/>
          <w:sz w:val="16"/>
          <w:szCs w:val="16"/>
        </w:rPr>
        <w:softHyphen/>
        <w:t>тах, и 15—25 мм в корме. Несмотря на то что бронирование танка было противопульным, с лобовой проекции при обли-ческом движении он мог парировать также попадания 37-мм ПТП РаК-35/36. Однако броневая защита танка была все-таки недоста</w:t>
      </w:r>
      <w:r w:rsidRPr="00640820">
        <w:rPr>
          <w:rFonts w:ascii="Times New Roman" w:hAnsi="Times New Roman"/>
          <w:color w:val="000000" w:themeColor="text1"/>
          <w:sz w:val="16"/>
          <w:szCs w:val="16"/>
        </w:rPr>
        <w:softHyphen/>
        <w:t>точной, и потому в ноябре 1941 г. она усиливалась наваркой дополнительных экранов из брони высокой твердости тол</w:t>
      </w:r>
      <w:r w:rsidRPr="00640820">
        <w:rPr>
          <w:rFonts w:ascii="Times New Roman" w:hAnsi="Times New Roman"/>
          <w:color w:val="000000" w:themeColor="text1"/>
          <w:sz w:val="16"/>
          <w:szCs w:val="16"/>
        </w:rPr>
        <w:softHyphen/>
        <w:t>щиной 10-мм на лоб корпуса, а также лоб и борта башни. При этом масса танка возросла с 5,8 до 6,45 т. Верхние листы корпуса: кормовой, подбашенный и над-моторный были съемными для удобства доступа к узлам и агрегатам двигателя и трансмиссии. Справа в надмоторном листе находился воздухоприток, имевший броневое при</w:t>
      </w:r>
      <w:r w:rsidRPr="00640820">
        <w:rPr>
          <w:rFonts w:ascii="Times New Roman" w:hAnsi="Times New Roman"/>
          <w:color w:val="000000" w:themeColor="text1"/>
          <w:sz w:val="16"/>
          <w:szCs w:val="16"/>
        </w:rPr>
        <w:softHyphen/>
        <w:t>крытие, за ним отверстие для вывода выхлопной трубы. В верхнем кормовом листе справа были установлены жалю</w:t>
      </w:r>
      <w:r w:rsidRPr="00640820">
        <w:rPr>
          <w:rFonts w:ascii="Times New Roman" w:hAnsi="Times New Roman"/>
          <w:color w:val="000000" w:themeColor="text1"/>
          <w:sz w:val="16"/>
          <w:szCs w:val="16"/>
        </w:rPr>
        <w:softHyphen/>
        <w:t>зи для выхода нагретого воздуха от радиатора, слева — лючок доя доступа к заправочной горловине топливных баков. Для обслуживания агрегатов танка в днище его корпуса также имелись лючки: под двигателем для слива масла и воды из системы охлаждения, а также два лючка под топливными баками для слива остатков топлива. Для обеспечения водо</w:t>
      </w:r>
      <w:r w:rsidRPr="00640820">
        <w:rPr>
          <w:rFonts w:ascii="Times New Roman" w:hAnsi="Times New Roman"/>
          <w:color w:val="000000" w:themeColor="text1"/>
          <w:sz w:val="16"/>
          <w:szCs w:val="16"/>
        </w:rPr>
        <w:softHyphen/>
        <w:t>непроницаемости корпуса под крышками лючков днища были установлены резиновые прокладки, а болты головок были герметизированы (10782).</w:t>
      </w:r>
    </w:p>
    <w:p w14:paraId="11D834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E528D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года поскольку силовых агрегатов ГАЗ-202 катастрофически не хватало нарком танковой промышленности В.А. Малышев разрешил ставить на Т-60 любые подходящие по мощности и габаритам двигатели (3862).</w:t>
      </w:r>
    </w:p>
    <w:p w14:paraId="3011F8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C7121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пушка ШВАКтанковая проходила испытания в башне танка Т-60 («030»). Второй экземпляр был установлен в башне танка Т-38, но орудие в нем вышло из строя, и он был снят с испытаний (10782).</w:t>
      </w:r>
    </w:p>
    <w:p w14:paraId="5B16B4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122062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совместно ОКБ-15 и ОКБ-16 под общим ру</w:t>
      </w:r>
      <w:r w:rsidRPr="00640820">
        <w:rPr>
          <w:rFonts w:ascii="Times New Roman" w:hAnsi="Times New Roman"/>
          <w:color w:val="000000" w:themeColor="text1"/>
          <w:sz w:val="16"/>
          <w:szCs w:val="16"/>
        </w:rPr>
        <w:softHyphen/>
        <w:t>ководством А.Э. Нудельмана с целью усиления вооружения оставав</w:t>
      </w:r>
      <w:r w:rsidRPr="00640820">
        <w:rPr>
          <w:rFonts w:ascii="Times New Roman" w:hAnsi="Times New Roman"/>
          <w:color w:val="000000" w:themeColor="text1"/>
          <w:sz w:val="16"/>
          <w:szCs w:val="16"/>
        </w:rPr>
        <w:softHyphen/>
        <w:t>шихся в действующей армии танков Т-38 была раз</w:t>
      </w:r>
      <w:r w:rsidRPr="00640820">
        <w:rPr>
          <w:rFonts w:ascii="Times New Roman" w:hAnsi="Times New Roman"/>
          <w:color w:val="000000" w:themeColor="text1"/>
          <w:sz w:val="16"/>
          <w:szCs w:val="16"/>
        </w:rPr>
        <w:softHyphen/>
        <w:t>работана Установка 20-мм пушки ТНШ вместо 7,62-мм пулемета ДТ в башню танка Т-38. Ведущим инженером по ма</w:t>
      </w:r>
      <w:r w:rsidRPr="00640820">
        <w:rPr>
          <w:rFonts w:ascii="Times New Roman" w:hAnsi="Times New Roman"/>
          <w:color w:val="000000" w:themeColor="text1"/>
          <w:sz w:val="16"/>
          <w:szCs w:val="16"/>
        </w:rPr>
        <w:softHyphen/>
        <w:t>шине от ОКБ-16 являлся Суранов. Было перевооружено два танка Т-38, один из которых прошел полигонные испытания вместе с танками Т-60 и Т-30 на НИБТ полигоне. На вооружение танк не принимался и в се</w:t>
      </w:r>
      <w:r w:rsidRPr="00640820">
        <w:rPr>
          <w:rFonts w:ascii="Times New Roman" w:hAnsi="Times New Roman"/>
          <w:color w:val="000000" w:themeColor="text1"/>
          <w:sz w:val="16"/>
          <w:szCs w:val="16"/>
        </w:rPr>
        <w:softHyphen/>
        <w:t>рийном производстве не состоял. Компоновочная схема машины предусматривала кормовое разме</w:t>
      </w:r>
      <w:r w:rsidRPr="00640820">
        <w:rPr>
          <w:rFonts w:ascii="Times New Roman" w:hAnsi="Times New Roman"/>
          <w:color w:val="000000" w:themeColor="text1"/>
          <w:sz w:val="16"/>
          <w:szCs w:val="16"/>
        </w:rPr>
        <w:softHyphen/>
        <w:t>щение двигателя вдоль продольной оси корпуса и переднее расположе</w:t>
      </w:r>
      <w:r w:rsidRPr="00640820">
        <w:rPr>
          <w:rFonts w:ascii="Times New Roman" w:hAnsi="Times New Roman"/>
          <w:color w:val="000000" w:themeColor="text1"/>
          <w:sz w:val="16"/>
          <w:szCs w:val="16"/>
        </w:rPr>
        <w:softHyphen/>
        <w:t>ние ведущих колес. Башня была смещена к левому борту. Боевое отде</w:t>
      </w:r>
      <w:r w:rsidRPr="00640820">
        <w:rPr>
          <w:rFonts w:ascii="Times New Roman" w:hAnsi="Times New Roman"/>
          <w:color w:val="000000" w:themeColor="text1"/>
          <w:sz w:val="16"/>
          <w:szCs w:val="16"/>
        </w:rPr>
        <w:softHyphen/>
        <w:t>ление и отделение управления были объединены. В состав экипажа вхо</w:t>
      </w:r>
      <w:r w:rsidRPr="00640820">
        <w:rPr>
          <w:rFonts w:ascii="Times New Roman" w:hAnsi="Times New Roman"/>
          <w:color w:val="000000" w:themeColor="text1"/>
          <w:sz w:val="16"/>
          <w:szCs w:val="16"/>
        </w:rPr>
        <w:softHyphen/>
        <w:t>дили два человека. Механик-водитель располагался у правого борта. Основным оружием танка была 20-мм крыльевая авиационной ав</w:t>
      </w:r>
      <w:r w:rsidRPr="00640820">
        <w:rPr>
          <w:rFonts w:ascii="Times New Roman" w:hAnsi="Times New Roman"/>
          <w:color w:val="000000" w:themeColor="text1"/>
          <w:sz w:val="16"/>
          <w:szCs w:val="16"/>
        </w:rPr>
        <w:softHyphen/>
        <w:t>томатическая пушка ТНШ, доработанная под установку в штатной башне машины в удлиненной маске. В результате проведенной доработ</w:t>
      </w:r>
      <w:r w:rsidRPr="00640820">
        <w:rPr>
          <w:rFonts w:ascii="Times New Roman" w:hAnsi="Times New Roman"/>
          <w:color w:val="000000" w:themeColor="text1"/>
          <w:sz w:val="16"/>
          <w:szCs w:val="16"/>
        </w:rPr>
        <w:softHyphen/>
        <w:t>ки пушки были введены: ручной спусковой рычаг на пистолетной руко</w:t>
      </w:r>
      <w:r w:rsidRPr="00640820">
        <w:rPr>
          <w:rFonts w:ascii="Times New Roman" w:hAnsi="Times New Roman"/>
          <w:color w:val="000000" w:themeColor="text1"/>
          <w:sz w:val="16"/>
          <w:szCs w:val="16"/>
        </w:rPr>
        <w:softHyphen/>
        <w:t>ятке, рычаг ручной перезарядки затвора в случае возникновения задер</w:t>
      </w:r>
      <w:r w:rsidRPr="00640820">
        <w:rPr>
          <w:rFonts w:ascii="Times New Roman" w:hAnsi="Times New Roman"/>
          <w:color w:val="000000" w:themeColor="text1"/>
          <w:sz w:val="16"/>
          <w:szCs w:val="16"/>
        </w:rPr>
        <w:softHyphen/>
        <w:t>жек в стрельбе и разобщитель для возможности ведения одиночной стрельбы. При стрельбе использовался телескопический прицел ТМФП-1. Углы наводки пушки по вертикали находились в пределах от -7 до +20°. В боекомплект пушки входили 154 выстрела (10703).</w:t>
      </w:r>
    </w:p>
    <w:p w14:paraId="61536B3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454E1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были предприняты попытки по усилению вооружения оставшихся в действующей армии малых плавающих танков за счет установки 20-мм авиационной автоматической пушки ШВАК вместо его 7,62-мм пулемета ДТ. Установка 20-мм автоматической пушки с удлиненной маской в стандартной башне танка Т-38 была выполнена совместно ОКБ-15 и ОКБ-16 под общим руководством А.Э. Нудельмана. Опытный образец машины, получивший обозначение Т-38Ш, прошел полигонные испытания вместе с танками Т-60 и Т-30 на НИБТ полигоне. В ходе проведения испытаний были выявлены различные недостатки, самым важным из которых было отсутствие 7,62-мм спаренного пулемета ДТ. Это обстоятельство приводило к нерациональному расходованию дорогостоящих крупнокалиберных патронов при ведении огня по живой силе противника. Была также отмечена сильная вибрация при стрельбе очередями, что приводило к снижению точности гврельбы на дальности более 300 м. Несмотря на выявленные недостатки, опыт перевооружения танка Т-38 20-мм пушкой ШВАК был при</w:t>
      </w:r>
      <w:r w:rsidRPr="00640820">
        <w:rPr>
          <w:rFonts w:ascii="Times New Roman" w:hAnsi="Times New Roman"/>
          <w:color w:val="000000" w:themeColor="text1"/>
          <w:sz w:val="16"/>
          <w:szCs w:val="16"/>
        </w:rPr>
        <w:softHyphen/>
        <w:t>пиши положительным. Отмеченные недостатки специалисты НИБТ полигона попытались устранить при перевооружении второго танка Т-38. Однако дальнейшие работы по указанию наркома НКТП В.А. Малышева 1 октября 1941 г. были прекращены. Машины были отправлены на склад, где находились до конца войны в распоряжении ОГК НКТП. 'Один из танков Т-38Ш в настоящее время находится в экспозиции ЦМВС РФ в Москве (10703).</w:t>
      </w:r>
    </w:p>
    <w:p w14:paraId="75D2714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51446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в стране остался лишь один произ</w:t>
      </w:r>
      <w:r w:rsidRPr="00640820">
        <w:rPr>
          <w:rFonts w:ascii="Times New Roman" w:hAnsi="Times New Roman"/>
          <w:color w:val="000000" w:themeColor="text1"/>
          <w:sz w:val="16"/>
          <w:szCs w:val="16"/>
        </w:rPr>
        <w:softHyphen/>
        <w:t>водитель танковых дизелей для Т-34 — СТЗ. Здесь с произ</w:t>
      </w:r>
      <w:r w:rsidRPr="00640820">
        <w:rPr>
          <w:rFonts w:ascii="Times New Roman" w:hAnsi="Times New Roman"/>
          <w:color w:val="000000" w:themeColor="text1"/>
          <w:sz w:val="16"/>
          <w:szCs w:val="16"/>
        </w:rPr>
        <w:softHyphen/>
        <w:t>водством своих двигателей еще были проблемы. Одна из главных была в том, что рубашка дизеля и его картер изго</w:t>
      </w:r>
      <w:r w:rsidRPr="00640820">
        <w:rPr>
          <w:rFonts w:ascii="Times New Roman" w:hAnsi="Times New Roman"/>
          <w:color w:val="000000" w:themeColor="text1"/>
          <w:sz w:val="16"/>
          <w:szCs w:val="16"/>
        </w:rPr>
        <w:softHyphen/>
        <w:t>тавливались из алюминия, которого с августа (с потерей Днепропетровска и Днепрогэс) вдруг стало остро недоста</w:t>
      </w:r>
      <w:r w:rsidRPr="00640820">
        <w:rPr>
          <w:rFonts w:ascii="Times New Roman" w:hAnsi="Times New Roman"/>
          <w:color w:val="000000" w:themeColor="text1"/>
          <w:sz w:val="16"/>
          <w:szCs w:val="16"/>
        </w:rPr>
        <w:softHyphen/>
        <w:t>вать всем. Вопрос о замене дефицитного алюминия при производстве танковых двигателей был поставлен на сове</w:t>
      </w:r>
      <w:r w:rsidRPr="00640820">
        <w:rPr>
          <w:rFonts w:ascii="Times New Roman" w:hAnsi="Times New Roman"/>
          <w:color w:val="000000" w:themeColor="text1"/>
          <w:sz w:val="16"/>
          <w:szCs w:val="16"/>
        </w:rPr>
        <w:softHyphen/>
        <w:t>щании у В. Молотова в сентябре 1941 г. Разработку дизеля В-2 с чугунными картером и гильзами СТЗ вел с 1 октября, а в январе 1942 г. такой двигатель был принят в серию. Не</w:t>
      </w:r>
      <w:r w:rsidRPr="00640820">
        <w:rPr>
          <w:rFonts w:ascii="Times New Roman" w:hAnsi="Times New Roman"/>
          <w:color w:val="000000" w:themeColor="text1"/>
          <w:sz w:val="16"/>
          <w:szCs w:val="16"/>
        </w:rPr>
        <w:softHyphen/>
        <w:t>смотря на то что его ресурс снизился, увеличился вес дви</w:t>
      </w:r>
      <w:r w:rsidRPr="00640820">
        <w:rPr>
          <w:rFonts w:ascii="Times New Roman" w:hAnsi="Times New Roman"/>
          <w:color w:val="000000" w:themeColor="text1"/>
          <w:sz w:val="16"/>
          <w:szCs w:val="16"/>
        </w:rPr>
        <w:softHyphen/>
        <w:t>гателя и танка, появились течи при подрывах на минах, это решение в то время было единственно правильным, так как позволило не только не остановить, но и несколько увели</w:t>
      </w:r>
      <w:r w:rsidRPr="00640820">
        <w:rPr>
          <w:rFonts w:ascii="Times New Roman" w:hAnsi="Times New Roman"/>
          <w:color w:val="000000" w:themeColor="text1"/>
          <w:sz w:val="16"/>
          <w:szCs w:val="16"/>
        </w:rPr>
        <w:softHyphen/>
        <w:t>чить выпуск В-2. Однако их все равно не хватало. Еще до войны, разрабатывая возможную замену дизеля В-2, по Наркомату среднего машиностроения разрешалось использовать танковый мотор М-17Т.или авиационный М-17Ф. Поэтому приказом по НКТП № 15сс от 18 сентября 1941 г. завод № 183 должен был в пятидневный срок отрабо</w:t>
      </w:r>
      <w:r w:rsidRPr="00640820">
        <w:rPr>
          <w:rFonts w:ascii="Times New Roman" w:hAnsi="Times New Roman"/>
          <w:color w:val="000000" w:themeColor="text1"/>
          <w:sz w:val="16"/>
          <w:szCs w:val="16"/>
        </w:rPr>
        <w:softHyphen/>
        <w:t>тать установку авиамотора М-17 на танк Т-34 и обеспечить заводы СТЗ и № 112 необходимыми чертежами и техдоку</w:t>
      </w:r>
      <w:r w:rsidRPr="00640820">
        <w:rPr>
          <w:rFonts w:ascii="Times New Roman" w:hAnsi="Times New Roman"/>
          <w:color w:val="000000" w:themeColor="text1"/>
          <w:sz w:val="16"/>
          <w:szCs w:val="16"/>
        </w:rPr>
        <w:softHyphen/>
        <w:t>ментацией. Однако завод № 183 в то время находился «на ко</w:t>
      </w:r>
      <w:r w:rsidRPr="00640820">
        <w:rPr>
          <w:rFonts w:ascii="Times New Roman" w:hAnsi="Times New Roman"/>
          <w:color w:val="000000" w:themeColor="text1"/>
          <w:sz w:val="16"/>
          <w:szCs w:val="16"/>
        </w:rPr>
        <w:softHyphen/>
        <w:t>лесах» и закончить работу во время не смог. 4 октября 1941 г. на заседании ГКО слушался вопрос об установке танковых и авиамоторов М-17Т и М-17Ф на танки Т-34 и КВ взамен ди</w:t>
      </w:r>
      <w:r w:rsidRPr="00640820">
        <w:rPr>
          <w:rFonts w:ascii="Times New Roman" w:hAnsi="Times New Roman"/>
          <w:color w:val="000000" w:themeColor="text1"/>
          <w:sz w:val="16"/>
          <w:szCs w:val="16"/>
        </w:rPr>
        <w:softHyphen/>
        <w:t>зель-мотора В-2. Тогда же эта замена была одобрена (10782).</w:t>
      </w:r>
    </w:p>
    <w:p w14:paraId="39B91A1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2A26C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заводом №112 было сдано заказчику 20 танков Т-34. Причем все машины имели корпуса, изготовленные еще по старой технологии. На всех машинах были установлены башни, полученные в порядке технической помощи с завода № 183 и карбюраторные двигате</w:t>
      </w:r>
      <w:r w:rsidRPr="00640820">
        <w:rPr>
          <w:rFonts w:ascii="Times New Roman" w:hAnsi="Times New Roman"/>
          <w:color w:val="000000" w:themeColor="text1"/>
          <w:sz w:val="16"/>
          <w:szCs w:val="16"/>
        </w:rPr>
        <w:softHyphen/>
        <w:t>ли М-17Т. Горьковским заводом № 112 было выпущено наибольшее ко</w:t>
      </w:r>
      <w:r w:rsidRPr="00640820">
        <w:rPr>
          <w:rFonts w:ascii="Times New Roman" w:hAnsi="Times New Roman"/>
          <w:color w:val="000000" w:themeColor="text1"/>
          <w:sz w:val="16"/>
          <w:szCs w:val="16"/>
        </w:rPr>
        <w:softHyphen/>
        <w:t>личество танков Т-34, оснащенных двигателями М-17. В 1941 г. на этом заводе было изготовлено 156 танков Т-34 с карбюраторными двигателя</w:t>
      </w:r>
      <w:r w:rsidRPr="00640820">
        <w:rPr>
          <w:rFonts w:ascii="Times New Roman" w:hAnsi="Times New Roman"/>
          <w:color w:val="000000" w:themeColor="text1"/>
          <w:sz w:val="16"/>
          <w:szCs w:val="16"/>
        </w:rPr>
        <w:softHyphen/>
        <w:t>ми, а до мяя 1942 г, военными представителями было принято еще 540 боевых машин с такими двигателями (10703).</w:t>
      </w:r>
    </w:p>
    <w:p w14:paraId="251DFB3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3AD71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по результатам испытаний пушка ЗИС-5 (Ф-34) была принята на вооружение для танка КВ-1 обр. 1941 г. Опытный образец машины был создан на базе опытного танка КВ-1 с пушкой ЗИС-5 (Ф-22) и отличался от него установкой новой пушки. Вооружение танка состояло из 76,2-мм пушки ЗИС-5 (Ф-34) и трех 7,62-мм пулеметов ДТ. Один пулемет был спарен с пушкой, второй ус</w:t>
      </w:r>
      <w:r w:rsidRPr="00640820">
        <w:rPr>
          <w:rFonts w:ascii="Times New Roman" w:hAnsi="Times New Roman"/>
          <w:color w:val="000000" w:themeColor="text1"/>
          <w:sz w:val="16"/>
          <w:szCs w:val="16"/>
        </w:rPr>
        <w:softHyphen/>
        <w:t>танавливался в шаровой опоре в кормовом листе башни, третий - запас</w:t>
      </w:r>
      <w:r w:rsidRPr="00640820">
        <w:rPr>
          <w:rFonts w:ascii="Times New Roman" w:hAnsi="Times New Roman"/>
          <w:color w:val="000000" w:themeColor="text1"/>
          <w:sz w:val="16"/>
          <w:szCs w:val="16"/>
        </w:rPr>
        <w:softHyphen/>
        <w:t>ной, укладывался в боевом отделении (10703).</w:t>
      </w:r>
    </w:p>
    <w:p w14:paraId="0E5AD8C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3B76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завод 112 выпустил первые Т-34 и до конца 1941 изготовил 173 (4404).</w:t>
      </w:r>
    </w:p>
    <w:p w14:paraId="5A488F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CB142F9" w14:textId="77777777" w:rsidR="004A61E5" w:rsidRPr="00640820" w:rsidRDefault="004A61E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октябре 1941 года появилось предложение установить экраны по бортам Т-34. На наклонные борта предлагалось ставить экраны толщиной 15 мм, а ходовую часть прикрыть экранами толщиной 25 мм. Также во фронтальной и боковой проекциях предлагалось ставить защиту для погона, тем самым предотвратив его заклинивание. Для компенсации увеличившейся массы танка предлагалось разработать катки с внутренней амортизацией и меньшим диаметром.На практике работы по экранировке пошли в ином направлении. Производство А-43 к осени 1941 года превратилось в призрачную мечту, поэтому было решено усиливать уже имеющуюся конструкцию. Несмотря на то, что результаты обстрела говорили о необходимости усиления прежде всего бортов корпуса, основным «приёмником» вражеских снарядов оставалась лобовая часть машины. Именно её и было решено усиливать (18883).</w:t>
      </w:r>
    </w:p>
    <w:p w14:paraId="27630FEB" w14:textId="77777777" w:rsidR="004A61E5" w:rsidRPr="00640820" w:rsidRDefault="004A61E5" w:rsidP="00640820">
      <w:pPr>
        <w:spacing w:after="0" w:line="240" w:lineRule="auto"/>
        <w:jc w:val="both"/>
        <w:rPr>
          <w:rFonts w:ascii="Times New Roman" w:eastAsia="Times New Roman" w:hAnsi="Times New Roman"/>
          <w:color w:val="000000" w:themeColor="text1"/>
          <w:sz w:val="16"/>
          <w:szCs w:val="16"/>
          <w:lang w:eastAsia="ru-RU"/>
        </w:rPr>
      </w:pPr>
    </w:p>
    <w:p w14:paraId="1E666C7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началось производство дизелей типа В-2 на заводе № 76, в ноябре первый дизель выпустил СТЗ, в декабре - ЧКЗ. Всего в период с октября по декабрь 1941 г. включительно было собрано 574 дви</w:t>
      </w:r>
      <w:r w:rsidRPr="00640820">
        <w:rPr>
          <w:rFonts w:ascii="Times New Roman" w:hAnsi="Times New Roman"/>
          <w:color w:val="000000" w:themeColor="text1"/>
          <w:sz w:val="16"/>
          <w:szCs w:val="16"/>
        </w:rPr>
        <w:softHyphen/>
        <w:t>гателя. Первый дизель завод № 77, построенный в Барнауле в 1942 г., вы</w:t>
      </w:r>
      <w:r w:rsidRPr="00640820">
        <w:rPr>
          <w:rFonts w:ascii="Times New Roman" w:hAnsi="Times New Roman"/>
          <w:color w:val="000000" w:themeColor="text1"/>
          <w:sz w:val="16"/>
          <w:szCs w:val="16"/>
        </w:rPr>
        <w:softHyphen/>
        <w:t>пустил в ноябре 1942 г. (10703).</w:t>
      </w:r>
    </w:p>
    <w:p w14:paraId="5A5BA64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0719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к выпуску дизелей В-2 приступил Уральский турбинный завод (Свердловск) и в декабре 1941 получил номер 76 (4405).</w:t>
      </w:r>
    </w:p>
    <w:p w14:paraId="707AB0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DCD48D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коллективу СТЗ удалось нала</w:t>
      </w:r>
      <w:r w:rsidRPr="00640820">
        <w:rPr>
          <w:rFonts w:ascii="Times New Roman" w:hAnsi="Times New Roman"/>
          <w:color w:val="000000" w:themeColor="text1"/>
          <w:sz w:val="16"/>
          <w:szCs w:val="16"/>
        </w:rPr>
        <w:softHyphen/>
        <w:t>дить серийный выпуск дизеля В-2 на своем заводе, 25 собранных к кон</w:t>
      </w:r>
      <w:r w:rsidRPr="00640820">
        <w:rPr>
          <w:rFonts w:ascii="Times New Roman" w:hAnsi="Times New Roman"/>
          <w:color w:val="000000" w:themeColor="text1"/>
          <w:sz w:val="16"/>
          <w:szCs w:val="16"/>
        </w:rPr>
        <w:softHyphen/>
        <w:t>цу месяца двигателей было явно недостаточно для обеспечения ритмич</w:t>
      </w:r>
      <w:r w:rsidRPr="00640820">
        <w:rPr>
          <w:rFonts w:ascii="Times New Roman" w:hAnsi="Times New Roman"/>
          <w:color w:val="000000" w:themeColor="text1"/>
          <w:sz w:val="16"/>
          <w:szCs w:val="16"/>
        </w:rPr>
        <w:softHyphen/>
        <w:t>ной работы сборочного цеха. Только 124 танка Т-34 удалось передать военным представителям в октябре 1941 г. (10703).</w:t>
      </w:r>
    </w:p>
    <w:p w14:paraId="376F29C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A3A0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октября 1941 гибкий по своим возможностям завод тяжелого машиностроения и кораблестроения "Красное Сормово", основанный в 1849 г. и производящий различные локомотивы, суда на подводных крыльях, подводные лодки и др., начал серийный выпуск Т-34 (4018).</w:t>
      </w:r>
    </w:p>
    <w:p w14:paraId="264962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8678C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"Коломенский паровозостроительный завод", основанный в 1863 г., приступил и выпуску танковых башен. Но вскоре из-за немецкого наступления заводу пришлось эвакуироваться. Часть оборудования и персонала была направлена в Свердловск, как завод № 37. “Коломенский паровозостроительный завод" был перевезён в Киров на 750 километров к северо-востоку от Москвы, где под № 38 он выпускал легкие танки, а с 1943 г. - легкие САУ (4018).</w:t>
      </w:r>
    </w:p>
    <w:p w14:paraId="67946F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47615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сормовские танки стали поступать в войска. (3862).</w:t>
      </w:r>
    </w:p>
    <w:p w14:paraId="01311F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4A143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СТЗ получил от УС РККА и УС ВВС 80 М-17Т и М-17Ф. Требовали ремонта и выпустили только 15. Затем: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644"/>
        <w:gridCol w:w="4536"/>
      </w:tblGrid>
      <w:tr w:rsidR="00643896" w:rsidRPr="00640820" w14:paraId="5F94CB00" w14:textId="77777777" w:rsidTr="000D3BCB">
        <w:tc>
          <w:tcPr>
            <w:tcW w:w="4644" w:type="dxa"/>
            <w:tcBorders>
              <w:top w:val="single" w:sz="12" w:space="0" w:color="auto"/>
            </w:tcBorders>
          </w:tcPr>
          <w:p w14:paraId="49A923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октябрь</w:t>
            </w:r>
          </w:p>
        </w:tc>
        <w:tc>
          <w:tcPr>
            <w:tcW w:w="4536" w:type="dxa"/>
            <w:tcBorders>
              <w:top w:val="single" w:sz="12" w:space="0" w:color="auto"/>
            </w:tcBorders>
          </w:tcPr>
          <w:p w14:paraId="78D35C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r>
      <w:tr w:rsidR="00643896" w:rsidRPr="00640820" w14:paraId="5ADD3AB0" w14:textId="77777777" w:rsidTr="000D3BCB">
        <w:tc>
          <w:tcPr>
            <w:tcW w:w="4644" w:type="dxa"/>
          </w:tcPr>
          <w:p w14:paraId="6A3CA2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ноябрь</w:t>
            </w:r>
          </w:p>
        </w:tc>
        <w:tc>
          <w:tcPr>
            <w:tcW w:w="4536" w:type="dxa"/>
          </w:tcPr>
          <w:p w14:paraId="333031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85</w:t>
            </w:r>
          </w:p>
        </w:tc>
      </w:tr>
      <w:tr w:rsidR="00643896" w:rsidRPr="00640820" w14:paraId="63F6CC25" w14:textId="77777777" w:rsidTr="000D3BCB">
        <w:tc>
          <w:tcPr>
            <w:tcW w:w="4644" w:type="dxa"/>
          </w:tcPr>
          <w:p w14:paraId="742149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декабрь</w:t>
            </w:r>
          </w:p>
        </w:tc>
        <w:tc>
          <w:tcPr>
            <w:tcW w:w="4536" w:type="dxa"/>
          </w:tcPr>
          <w:p w14:paraId="3C1746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97</w:t>
            </w:r>
          </w:p>
        </w:tc>
      </w:tr>
      <w:tr w:rsidR="00643896" w:rsidRPr="00640820" w14:paraId="3C9A81F7" w14:textId="77777777" w:rsidTr="000D3BCB">
        <w:tc>
          <w:tcPr>
            <w:tcW w:w="4644" w:type="dxa"/>
          </w:tcPr>
          <w:p w14:paraId="0E0298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январь</w:t>
            </w:r>
          </w:p>
        </w:tc>
        <w:tc>
          <w:tcPr>
            <w:tcW w:w="4536" w:type="dxa"/>
          </w:tcPr>
          <w:p w14:paraId="14AFF0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134</w:t>
            </w:r>
          </w:p>
        </w:tc>
      </w:tr>
      <w:tr w:rsidR="00643896" w:rsidRPr="00640820" w14:paraId="6962D830" w14:textId="77777777" w:rsidTr="000D3BCB">
        <w:tc>
          <w:tcPr>
            <w:tcW w:w="4644" w:type="dxa"/>
          </w:tcPr>
          <w:p w14:paraId="0E78B1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февраль</w:t>
            </w:r>
          </w:p>
        </w:tc>
        <w:tc>
          <w:tcPr>
            <w:tcW w:w="4536" w:type="dxa"/>
          </w:tcPr>
          <w:p w14:paraId="474CD3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135</w:t>
            </w:r>
          </w:p>
        </w:tc>
      </w:tr>
      <w:tr w:rsidR="00643896" w:rsidRPr="00640820" w14:paraId="7F099505" w14:textId="77777777" w:rsidTr="000D3BCB">
        <w:tc>
          <w:tcPr>
            <w:tcW w:w="4644" w:type="dxa"/>
          </w:tcPr>
          <w:p w14:paraId="100C98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март</w:t>
            </w:r>
          </w:p>
        </w:tc>
        <w:tc>
          <w:tcPr>
            <w:tcW w:w="4536" w:type="dxa"/>
          </w:tcPr>
          <w:p w14:paraId="4E53C7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95</w:t>
            </w:r>
          </w:p>
        </w:tc>
      </w:tr>
      <w:tr w:rsidR="00643896" w:rsidRPr="00640820" w14:paraId="66100991" w14:textId="77777777" w:rsidTr="000D3BCB">
        <w:tc>
          <w:tcPr>
            <w:tcW w:w="4644" w:type="dxa"/>
            <w:tcBorders>
              <w:bottom w:val="single" w:sz="12" w:space="0" w:color="auto"/>
            </w:tcBorders>
          </w:tcPr>
          <w:p w14:paraId="2DA6CE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апрель</w:t>
            </w:r>
          </w:p>
        </w:tc>
        <w:tc>
          <w:tcPr>
            <w:tcW w:w="4536" w:type="dxa"/>
            <w:tcBorders>
              <w:bottom w:val="single" w:sz="12" w:space="0" w:color="auto"/>
            </w:tcBorders>
          </w:tcPr>
          <w:p w14:paraId="73502E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r>
    </w:tbl>
    <w:p w14:paraId="104BE0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9F8623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на СТЗ было передано от УС (управление снабжением) РККА и УС ВВС 80 моторов М-17Т и М-17Ф. Львиная доля этих моторов требовала ремонта, и только 15 машин с М-17Т убыли в октябре в войсковые части. В ноябре 1941 г. завод получил уже 120 М-17 всех разновидностей, которыми оснастили еще 85 машин, убывших в войска. В ноябре с завода на фронт убыли также 5 танков с М-17 и устройством питания керосином инже</w:t>
      </w:r>
      <w:r w:rsidRPr="00640820">
        <w:rPr>
          <w:rFonts w:ascii="Times New Roman" w:hAnsi="Times New Roman"/>
          <w:color w:val="000000" w:themeColor="text1"/>
          <w:sz w:val="16"/>
          <w:szCs w:val="16"/>
        </w:rPr>
        <w:softHyphen/>
        <w:t>нера Я. Воронина. Принцип работы его устройства заклю</w:t>
      </w:r>
      <w:r w:rsidRPr="00640820">
        <w:rPr>
          <w:rFonts w:ascii="Times New Roman" w:hAnsi="Times New Roman"/>
          <w:color w:val="000000" w:themeColor="text1"/>
          <w:sz w:val="16"/>
          <w:szCs w:val="16"/>
        </w:rPr>
        <w:softHyphen/>
        <w:t>чалась в том, что бензин применялся для питания М-17 только при запуске и прогреве двигателя, после чего в ход вступал керосин. Это позволяло сократить объем перевози</w:t>
      </w:r>
      <w:r w:rsidRPr="00640820">
        <w:rPr>
          <w:rFonts w:ascii="Times New Roman" w:hAnsi="Times New Roman"/>
          <w:color w:val="000000" w:themeColor="text1"/>
          <w:sz w:val="16"/>
          <w:szCs w:val="16"/>
        </w:rPr>
        <w:softHyphen/>
        <w:t>мого бензина не свыше 100 л, керосин же был менее пожа</w:t>
      </w:r>
      <w:r w:rsidRPr="00640820">
        <w:rPr>
          <w:rFonts w:ascii="Times New Roman" w:hAnsi="Times New Roman"/>
          <w:color w:val="000000" w:themeColor="text1"/>
          <w:sz w:val="16"/>
          <w:szCs w:val="16"/>
        </w:rPr>
        <w:softHyphen/>
        <w:t>роопасен, что считалось достоинством устройства. Однако в условиях холодного времени года завести эти танки ока</w:t>
      </w:r>
      <w:r w:rsidRPr="00640820">
        <w:rPr>
          <w:rFonts w:ascii="Times New Roman" w:hAnsi="Times New Roman"/>
          <w:color w:val="000000" w:themeColor="text1"/>
          <w:sz w:val="16"/>
          <w:szCs w:val="16"/>
        </w:rPr>
        <w:softHyphen/>
        <w:t>залось почти невозможно. Двигатель работал на керосине неустойчиво, и потому устройства Я. Воронина с них были демонтированы. Таким образом, распоряжением по нарко</w:t>
      </w:r>
      <w:r w:rsidRPr="00640820">
        <w:rPr>
          <w:rFonts w:ascii="Times New Roman" w:hAnsi="Times New Roman"/>
          <w:color w:val="000000" w:themeColor="text1"/>
          <w:sz w:val="16"/>
          <w:szCs w:val="16"/>
        </w:rPr>
        <w:softHyphen/>
        <w:t>мату в январе 1942 г. велся выпуск танков Т-34 с двигателем М-17Т без устройства питания тяжелым топливом. Общее количество Т-34 с мотором М-17, выпущенных СТЗ в 1941-42 гг., составило: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88"/>
        <w:gridCol w:w="2988"/>
      </w:tblGrid>
      <w:tr w:rsidR="00643896" w:rsidRPr="00640820" w14:paraId="4195C2E3" w14:textId="77777777" w:rsidTr="000D3BCB">
        <w:tc>
          <w:tcPr>
            <w:tcW w:w="2988" w:type="dxa"/>
            <w:tcBorders>
              <w:top w:val="single" w:sz="12" w:space="0" w:color="auto"/>
            </w:tcBorders>
          </w:tcPr>
          <w:p w14:paraId="58DC7F0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октябрь</w:t>
            </w:r>
          </w:p>
        </w:tc>
        <w:tc>
          <w:tcPr>
            <w:tcW w:w="2988" w:type="dxa"/>
            <w:tcBorders>
              <w:top w:val="single" w:sz="12" w:space="0" w:color="auto"/>
            </w:tcBorders>
          </w:tcPr>
          <w:p w14:paraId="1E01AEA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r>
      <w:tr w:rsidR="00643896" w:rsidRPr="00640820" w14:paraId="242999DB" w14:textId="77777777" w:rsidTr="000D3BCB">
        <w:tc>
          <w:tcPr>
            <w:tcW w:w="2988" w:type="dxa"/>
          </w:tcPr>
          <w:p w14:paraId="29625B3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ноябрь</w:t>
            </w:r>
          </w:p>
        </w:tc>
        <w:tc>
          <w:tcPr>
            <w:tcW w:w="2988" w:type="dxa"/>
          </w:tcPr>
          <w:p w14:paraId="3D5294F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85</w:t>
            </w:r>
          </w:p>
        </w:tc>
      </w:tr>
      <w:tr w:rsidR="00643896" w:rsidRPr="00640820" w14:paraId="40D92EB8" w14:textId="77777777" w:rsidTr="000D3BCB">
        <w:tc>
          <w:tcPr>
            <w:tcW w:w="2988" w:type="dxa"/>
          </w:tcPr>
          <w:p w14:paraId="6B001D0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декабрь</w:t>
            </w:r>
          </w:p>
        </w:tc>
        <w:tc>
          <w:tcPr>
            <w:tcW w:w="2988" w:type="dxa"/>
          </w:tcPr>
          <w:p w14:paraId="7E6697C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97</w:t>
            </w:r>
          </w:p>
        </w:tc>
      </w:tr>
      <w:tr w:rsidR="00643896" w:rsidRPr="00640820" w14:paraId="3F8A29E4" w14:textId="77777777" w:rsidTr="000D3BCB">
        <w:tc>
          <w:tcPr>
            <w:tcW w:w="2988" w:type="dxa"/>
          </w:tcPr>
          <w:p w14:paraId="66E20DB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январь</w:t>
            </w:r>
          </w:p>
        </w:tc>
        <w:tc>
          <w:tcPr>
            <w:tcW w:w="2988" w:type="dxa"/>
          </w:tcPr>
          <w:p w14:paraId="0934897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134</w:t>
            </w:r>
          </w:p>
        </w:tc>
      </w:tr>
      <w:tr w:rsidR="00643896" w:rsidRPr="00640820" w14:paraId="00476738" w14:textId="77777777" w:rsidTr="000D3BCB">
        <w:tc>
          <w:tcPr>
            <w:tcW w:w="2988" w:type="dxa"/>
          </w:tcPr>
          <w:p w14:paraId="3275E83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февраль</w:t>
            </w:r>
          </w:p>
        </w:tc>
        <w:tc>
          <w:tcPr>
            <w:tcW w:w="2988" w:type="dxa"/>
          </w:tcPr>
          <w:p w14:paraId="705B793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135</w:t>
            </w:r>
          </w:p>
        </w:tc>
      </w:tr>
      <w:tr w:rsidR="00643896" w:rsidRPr="00640820" w14:paraId="664EC742" w14:textId="77777777" w:rsidTr="000D3BCB">
        <w:tc>
          <w:tcPr>
            <w:tcW w:w="2988" w:type="dxa"/>
          </w:tcPr>
          <w:p w14:paraId="4E4F703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март ..</w:t>
            </w:r>
          </w:p>
        </w:tc>
        <w:tc>
          <w:tcPr>
            <w:tcW w:w="2988" w:type="dxa"/>
          </w:tcPr>
          <w:p w14:paraId="5891A40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95</w:t>
            </w:r>
          </w:p>
        </w:tc>
      </w:tr>
      <w:tr w:rsidR="00643896" w:rsidRPr="00640820" w14:paraId="53F19FA0" w14:textId="77777777" w:rsidTr="000D3BCB">
        <w:tc>
          <w:tcPr>
            <w:tcW w:w="2988" w:type="dxa"/>
            <w:tcBorders>
              <w:bottom w:val="single" w:sz="12" w:space="0" w:color="auto"/>
            </w:tcBorders>
          </w:tcPr>
          <w:p w14:paraId="773F0E9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апрель</w:t>
            </w:r>
          </w:p>
        </w:tc>
        <w:tc>
          <w:tcPr>
            <w:tcW w:w="2988" w:type="dxa"/>
            <w:tcBorders>
              <w:bottom w:val="single" w:sz="12" w:space="0" w:color="auto"/>
            </w:tcBorders>
          </w:tcPr>
          <w:p w14:paraId="491F61A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r>
    </w:tbl>
    <w:p w14:paraId="7785AF2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(10782).</w:t>
      </w:r>
    </w:p>
    <w:p w14:paraId="5E9DC9A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4D0A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года Завод № 176 был эвакуирован из Тулы в Орск. В течение ноября и декабря 1941 года оставшийся персонал завода производил ремонт танков и автомашин для КА. Согласно постановления ГКО от 3 января 1942 года за № 1091сс завод приступил к восстановительным работам по монтажу оборудования основных цехов завода (9997).</w:t>
      </w:r>
    </w:p>
    <w:p w14:paraId="349B37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1B8156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октября 1941 г. на ЧКЗ по мере возможности стали упрощать технологию производства узлов и агрега</w:t>
      </w:r>
      <w:r w:rsidRPr="00640820">
        <w:rPr>
          <w:rFonts w:ascii="Times New Roman" w:hAnsi="Times New Roman"/>
          <w:color w:val="000000" w:themeColor="text1"/>
          <w:sz w:val="16"/>
          <w:szCs w:val="16"/>
        </w:rPr>
        <w:softHyphen/>
        <w:t>тов танков КВ. Например, балансиры для ходовой части танка сначала ковали, а потом обрабатывали на металло</w:t>
      </w:r>
      <w:r w:rsidRPr="00640820">
        <w:rPr>
          <w:rFonts w:ascii="Times New Roman" w:hAnsi="Times New Roman"/>
          <w:color w:val="000000" w:themeColor="text1"/>
          <w:sz w:val="16"/>
          <w:szCs w:val="16"/>
        </w:rPr>
        <w:softHyphen/>
        <w:t>режущих станках. С ноября их стали изготавливать при помощи горячей штамповки, после которой оставалось лишь просверлить необходимые отверстия. Подобно Т-50 и Т-34 в конструкцию КВ начали широко вводиться ли</w:t>
      </w:r>
      <w:r w:rsidRPr="00640820">
        <w:rPr>
          <w:rFonts w:ascii="Times New Roman" w:hAnsi="Times New Roman"/>
          <w:color w:val="000000" w:themeColor="text1"/>
          <w:sz w:val="16"/>
          <w:szCs w:val="16"/>
        </w:rPr>
        <w:softHyphen/>
        <w:t>тые детали вместо точеных, нарезка резьб в броневых лис</w:t>
      </w:r>
      <w:r w:rsidRPr="00640820">
        <w:rPr>
          <w:rFonts w:ascii="Times New Roman" w:hAnsi="Times New Roman"/>
          <w:color w:val="000000" w:themeColor="text1"/>
          <w:sz w:val="16"/>
          <w:szCs w:val="16"/>
        </w:rPr>
        <w:softHyphen/>
        <w:t>тах уступила место наварке бонок из конструкционной стали с резьбой внутри них (10782).</w:t>
      </w:r>
    </w:p>
    <w:p w14:paraId="4E1AD6A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A9BF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ГКО принял постановление о создании в системе Наркомстанкопрома комбината по производству КВ, в который вошли Кировский завод в Челябинске, танковые цеха Ижорского завода на Уралмаше и ряда других. Решение о строительстве на ЧТЗ танкового цеха было принято ГКО еще в июле (424,11).</w:t>
      </w:r>
    </w:p>
    <w:p w14:paraId="692939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D98CE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на ЧТЗ начинаются конструкторские работы СКБ-2 по созданию новых образцов тяжелых тан</w:t>
      </w:r>
      <w:r w:rsidRPr="00640820">
        <w:rPr>
          <w:rFonts w:ascii="Times New Roman" w:hAnsi="Times New Roman"/>
          <w:color w:val="000000" w:themeColor="text1"/>
          <w:sz w:val="16"/>
          <w:szCs w:val="16"/>
        </w:rPr>
        <w:softHyphen/>
        <w:t>ков. Во-первых, ввиду трудностей с созданием башен, не</w:t>
      </w:r>
      <w:r w:rsidRPr="00640820">
        <w:rPr>
          <w:rFonts w:ascii="Times New Roman" w:hAnsi="Times New Roman"/>
          <w:color w:val="000000" w:themeColor="text1"/>
          <w:sz w:val="16"/>
          <w:szCs w:val="16"/>
        </w:rPr>
        <w:softHyphen/>
        <w:t>хваткой электромоторов и для снижения трудоемкости из</w:t>
      </w:r>
      <w:r w:rsidRPr="00640820">
        <w:rPr>
          <w:rFonts w:ascii="Times New Roman" w:hAnsi="Times New Roman"/>
          <w:color w:val="000000" w:themeColor="text1"/>
          <w:sz w:val="16"/>
          <w:szCs w:val="16"/>
        </w:rPr>
        <w:softHyphen/>
        <w:t>готовления тяжелого танка группа под руководством Г. Москвина предложила на суд ГАБТУ и ГКО два опытных образца тяжелого штурмового танка КВ-7, предназначенного «успешно подавлять артбатареи и разрушать оборони</w:t>
      </w:r>
      <w:r w:rsidRPr="00640820">
        <w:rPr>
          <w:rFonts w:ascii="Times New Roman" w:hAnsi="Times New Roman"/>
          <w:color w:val="000000" w:themeColor="text1"/>
          <w:sz w:val="16"/>
          <w:szCs w:val="16"/>
        </w:rPr>
        <w:softHyphen/>
        <w:t>тельные сооружения противника». Этот танк был построен на шасси серийной машины, взятом без переделок с установленной в его передней части невращающейся броневой рубки. Вооружение танка состояло из одной 76,2-мм и двух 45-мм пушкек в единой рамке, имеющих единый прицел и единый механизм гори</w:t>
      </w:r>
      <w:r w:rsidRPr="00640820">
        <w:rPr>
          <w:rFonts w:ascii="Times New Roman" w:hAnsi="Times New Roman"/>
          <w:color w:val="000000" w:themeColor="text1"/>
          <w:sz w:val="16"/>
          <w:szCs w:val="16"/>
        </w:rPr>
        <w:softHyphen/>
        <w:t>зонтального и вертикального наведения. Рамочная уста</w:t>
      </w:r>
      <w:r w:rsidRPr="00640820">
        <w:rPr>
          <w:rFonts w:ascii="Times New Roman" w:hAnsi="Times New Roman"/>
          <w:color w:val="000000" w:themeColor="text1"/>
          <w:sz w:val="16"/>
          <w:szCs w:val="16"/>
        </w:rPr>
        <w:softHyphen/>
        <w:t>новка артиллерийских систем разработана под руководст</w:t>
      </w:r>
      <w:r w:rsidRPr="00640820">
        <w:rPr>
          <w:rFonts w:ascii="Times New Roman" w:hAnsi="Times New Roman"/>
          <w:color w:val="000000" w:themeColor="text1"/>
          <w:sz w:val="16"/>
          <w:szCs w:val="16"/>
        </w:rPr>
        <w:softHyphen/>
        <w:t>вом Л. Горлицкого. Спусковой механизм позволял осуществлять как по</w:t>
      </w:r>
      <w:r w:rsidRPr="00640820">
        <w:rPr>
          <w:rFonts w:ascii="Times New Roman" w:hAnsi="Times New Roman"/>
          <w:color w:val="000000" w:themeColor="text1"/>
          <w:sz w:val="16"/>
          <w:szCs w:val="16"/>
        </w:rPr>
        <w:softHyphen/>
        <w:t>очередный спуск каждого из орудий, так и залп всех пушек одновременно (10782).</w:t>
      </w:r>
    </w:p>
    <w:p w14:paraId="1A3B5D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288DE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октябре 1941 танк КВ-3 (Объект 150), выпущенный в начале октября 1940 и после полигонных испытаний в марте по постановлению СНК и ЦК ВКП(б) запущеный в серийное производство, но не строящийся, принимал участие в боях на Ленинградском фронте в составе 123 ТБ (9527,173).</w:t>
      </w:r>
    </w:p>
    <w:p w14:paraId="07BC6F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317BB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два опытных КВ-220 (объект 220), разработанных СКБ-2 ЛКЗ для замены КВ-1 в январе 1941 без утвержденных ГАБТУ ТТТ и вооруженного 85 мм пушкой Ф-30, в составе 124 тб использовались на ЛФ. При отправке на фронт Ф-30 заменили на 76 мм Ф-32 (9527,174)</w:t>
      </w:r>
    </w:p>
    <w:p w14:paraId="20733C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года завод № 260 был эвакуирован из Владимира в Молотов. Эвакуация завода была полностью закончена 25 декабря 1941 года.</w:t>
      </w:r>
    </w:p>
    <w:p w14:paraId="7FDA69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время ВОВ завод выпускал исключительно элементы боеприпасов, освоив их массовое производство.</w:t>
      </w:r>
    </w:p>
    <w:p w14:paraId="79081A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окончания ВОВ завод сократил производство элементов боеприпасов и начал освоение производства граммофона и граммофонной иглы.</w:t>
      </w:r>
    </w:p>
    <w:p w14:paraId="46ED8F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Согласно Постановлению СМ № 920 от 7 июля 1956 года заводу № 260 было передано велопроизводство с Горьковского автозавода (9580).</w:t>
      </w:r>
    </w:p>
    <w:p w14:paraId="22B708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2BED69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для увеличения выпуска танков трак</w:t>
      </w:r>
      <w:r w:rsidRPr="00640820">
        <w:rPr>
          <w:rFonts w:ascii="Times New Roman" w:hAnsi="Times New Roman"/>
          <w:color w:val="000000" w:themeColor="text1"/>
          <w:sz w:val="16"/>
          <w:szCs w:val="16"/>
        </w:rPr>
        <w:softHyphen/>
        <w:t>торное производство на ЧТЗ было заморожено, а все силы были переключены на выпуск танков. Кроме того, ско</w:t>
      </w:r>
      <w:r w:rsidRPr="00640820">
        <w:rPr>
          <w:rFonts w:ascii="Times New Roman" w:hAnsi="Times New Roman"/>
          <w:color w:val="000000" w:themeColor="text1"/>
          <w:sz w:val="16"/>
          <w:szCs w:val="16"/>
        </w:rPr>
        <w:softHyphen/>
        <w:t>ростными методами велось строительство новых произ</w:t>
      </w:r>
      <w:r w:rsidRPr="00640820">
        <w:rPr>
          <w:rFonts w:ascii="Times New Roman" w:hAnsi="Times New Roman"/>
          <w:color w:val="000000" w:themeColor="text1"/>
          <w:sz w:val="16"/>
          <w:szCs w:val="16"/>
        </w:rPr>
        <w:softHyphen/>
        <w:t>водственных корпусов, существующие расширялись спешным возведением пристроек. Это позволило размес</w:t>
      </w:r>
      <w:r w:rsidRPr="00640820">
        <w:rPr>
          <w:rFonts w:ascii="Times New Roman" w:hAnsi="Times New Roman"/>
          <w:color w:val="000000" w:themeColor="text1"/>
          <w:sz w:val="16"/>
          <w:szCs w:val="16"/>
        </w:rPr>
        <w:softHyphen/>
        <w:t>тить на территории ЧКЗ оборудования двигательного за</w:t>
      </w:r>
      <w:r w:rsidRPr="00640820">
        <w:rPr>
          <w:rFonts w:ascii="Times New Roman" w:hAnsi="Times New Roman"/>
          <w:color w:val="000000" w:themeColor="text1"/>
          <w:sz w:val="16"/>
          <w:szCs w:val="16"/>
        </w:rPr>
        <w:softHyphen/>
        <w:t>вода № 75 и станкостроительного завода им. Молотова, эвакуированных из Харькова, завода «Красный пролета</w:t>
      </w:r>
      <w:r w:rsidRPr="00640820">
        <w:rPr>
          <w:rFonts w:ascii="Times New Roman" w:hAnsi="Times New Roman"/>
          <w:color w:val="000000" w:themeColor="text1"/>
          <w:sz w:val="16"/>
          <w:szCs w:val="16"/>
        </w:rPr>
        <w:softHyphen/>
        <w:t>рий» и Московского завода шлифовальных станков, при</w:t>
      </w:r>
      <w:r w:rsidRPr="00640820">
        <w:rPr>
          <w:rFonts w:ascii="Times New Roman" w:hAnsi="Times New Roman"/>
          <w:color w:val="000000" w:themeColor="text1"/>
          <w:sz w:val="16"/>
          <w:szCs w:val="16"/>
        </w:rPr>
        <w:softHyphen/>
        <w:t>бывших из Москвы. Одна из проблем, проявившихся осенью 1941 г., была в недостатке дизелей, так как запас их к концу октября был исчерпан, а производство новых завод № 76 еще не начал. «Танкоград» задыхался. Сборочный участок был забит тя</w:t>
      </w:r>
      <w:r w:rsidRPr="00640820">
        <w:rPr>
          <w:rFonts w:ascii="Times New Roman" w:hAnsi="Times New Roman"/>
          <w:color w:val="000000" w:themeColor="text1"/>
          <w:sz w:val="16"/>
          <w:szCs w:val="16"/>
        </w:rPr>
        <w:softHyphen/>
        <w:t>желыми танками, двигателей к которым не бьшо. Для вы</w:t>
      </w:r>
      <w:r w:rsidRPr="00640820">
        <w:rPr>
          <w:rFonts w:ascii="Times New Roman" w:hAnsi="Times New Roman"/>
          <w:color w:val="000000" w:themeColor="text1"/>
          <w:sz w:val="16"/>
          <w:szCs w:val="16"/>
        </w:rPr>
        <w:softHyphen/>
        <w:t>полнения плана отгрузки заводу № 76, только начинающе</w:t>
      </w:r>
      <w:r w:rsidRPr="00640820">
        <w:rPr>
          <w:rFonts w:ascii="Times New Roman" w:hAnsi="Times New Roman"/>
          <w:color w:val="000000" w:themeColor="text1"/>
          <w:sz w:val="16"/>
          <w:szCs w:val="16"/>
        </w:rPr>
        <w:softHyphen/>
        <w:t>му свою работу, не хватало многих комплектующих, в том числе поршней, шатунов, форсунок. Взять их в обозримое время бьшо неоткуда. Поэтому распоряжением директора ЧКЗ все двигатели В-4, эвакуированные сюда из Ленингра</w:t>
      </w:r>
      <w:r w:rsidRPr="00640820">
        <w:rPr>
          <w:rFonts w:ascii="Times New Roman" w:hAnsi="Times New Roman"/>
          <w:color w:val="000000" w:themeColor="text1"/>
          <w:sz w:val="16"/>
          <w:szCs w:val="16"/>
        </w:rPr>
        <w:softHyphen/>
        <w:t>да вместе с имуществом завода № 174, были разукомплек</w:t>
      </w:r>
      <w:r w:rsidRPr="00640820">
        <w:rPr>
          <w:rFonts w:ascii="Times New Roman" w:hAnsi="Times New Roman"/>
          <w:color w:val="000000" w:themeColor="text1"/>
          <w:sz w:val="16"/>
          <w:szCs w:val="16"/>
        </w:rPr>
        <w:softHyphen/>
        <w:t>тованы с целью выполнения программы выпуска КВ. Это вызвало словесные баталии между руководством ЧТЗ и за</w:t>
      </w:r>
      <w:r w:rsidRPr="00640820">
        <w:rPr>
          <w:rFonts w:ascii="Times New Roman" w:hAnsi="Times New Roman"/>
          <w:color w:val="000000" w:themeColor="text1"/>
          <w:sz w:val="16"/>
          <w:szCs w:val="16"/>
        </w:rPr>
        <w:softHyphen/>
        <w:t>вода № 174, перемещавшегося в Чкалов, но победителей не судят. Т-50 еще только предстояло организовать производ</w:t>
      </w:r>
      <w:r w:rsidRPr="00640820">
        <w:rPr>
          <w:rFonts w:ascii="Times New Roman" w:hAnsi="Times New Roman"/>
          <w:color w:val="000000" w:themeColor="text1"/>
          <w:sz w:val="16"/>
          <w:szCs w:val="16"/>
        </w:rPr>
        <w:softHyphen/>
        <w:t>ство, КВ же требовались «уже вчера», и потому никаких санкций ГКО к «агрессорам» не последовало (10782).</w:t>
      </w:r>
    </w:p>
    <w:p w14:paraId="4E3A3B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B0CCB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года прекратили выпуск КВ-2. Всего было выпущено 334 танка КВ-2..</w:t>
      </w:r>
    </w:p>
    <w:p w14:paraId="24DC37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сожалению, все технические проблемы связанные с ходовой частью и трансмиссией танков КВ в полной мере коснулись и КВ-2. Это, а также плохая подготовка танкистов сказалось на огромных потерях танков КВ-2 в первые месяцы ВОВ. Так же, танковые части были практически не укомплектованы боеприпасами. Часто, единственным оружием танкистов становились гусеницы. (3862).</w:t>
      </w:r>
    </w:p>
    <w:p w14:paraId="2F5C1A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42523A8" w14:textId="77777777" w:rsidR="006E31FE" w:rsidRPr="00640820" w:rsidRDefault="006E31FE" w:rsidP="00640820">
      <w:pPr>
        <w:shd w:val="clear" w:color="auto" w:fill="FFFFFF"/>
        <w:spacing w:after="0" w:line="240" w:lineRule="auto"/>
        <w:jc w:val="both"/>
        <w:rPr>
          <w:rFonts w:ascii="Times New Roman" w:eastAsia="Times New Roman" w:hAnsi="Times New Roman"/>
          <w:color w:val="0070C0"/>
          <w:sz w:val="16"/>
          <w:szCs w:val="16"/>
          <w:lang w:eastAsia="ru-RU"/>
        </w:rPr>
      </w:pPr>
      <w:r w:rsidRPr="00640820">
        <w:rPr>
          <w:rFonts w:ascii="Times New Roman" w:eastAsia="Times New Roman" w:hAnsi="Times New Roman"/>
          <w:color w:val="0070C0"/>
          <w:sz w:val="16"/>
          <w:szCs w:val="16"/>
          <w:lang w:eastAsia="ru-RU"/>
        </w:rPr>
        <w:t xml:space="preserve">За октябрь 1941 ЧТЗ (уже ЧКЗ) сдал еще 62 танка, остаток орудий на заводе к 1 ноябрю составил 76 штук. Казалось бы, запас есть, но не всё так просто. Завод №92 обеспечивал орудиями Ф-34 три завода, производящие Т-34, плюс ЧКЗ. Объемы всё росли и росли (20860). </w:t>
      </w:r>
    </w:p>
    <w:p w14:paraId="3FD5B867" w14:textId="77777777" w:rsidR="006E31FE" w:rsidRPr="00640820" w:rsidRDefault="006E31FE" w:rsidP="00640820">
      <w:pPr>
        <w:shd w:val="clear" w:color="auto" w:fill="FFFFFF"/>
        <w:spacing w:after="0" w:line="240" w:lineRule="auto"/>
        <w:jc w:val="both"/>
        <w:rPr>
          <w:rFonts w:ascii="Times New Roman" w:eastAsia="Times New Roman" w:hAnsi="Times New Roman"/>
          <w:color w:val="0070C0"/>
          <w:sz w:val="16"/>
          <w:szCs w:val="16"/>
          <w:lang w:eastAsia="ru-RU"/>
        </w:rPr>
      </w:pPr>
    </w:p>
    <w:p w14:paraId="7B63598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пушка ЗИС-5 (Ф-34) была принята на вооружение и она стала устанавливаться в серийные танки КВ-1 (10703).</w:t>
      </w:r>
    </w:p>
    <w:p w14:paraId="2D6F4FD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56A7E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по результатам испытаний пушка ЗИС-5 (Ф-34) была принята на вооружение для танка КВ-1 обр. 1941 г. Опытный образец машины был создан на базе опытного танка КВ-1 с пушкой ЗИС-5 (Ф-22) и отличался от него установкой новой пушки. Вооружение танка состояло из 76,2-мм пушки ЗИС-5 (Ф-34) и трех 7,62-мм пулеметов ДТ. Один пулемет был спарен с пушкой, второй ус</w:t>
      </w:r>
      <w:r w:rsidRPr="00640820">
        <w:rPr>
          <w:rFonts w:ascii="Times New Roman" w:hAnsi="Times New Roman"/>
          <w:color w:val="000000" w:themeColor="text1"/>
          <w:sz w:val="16"/>
          <w:szCs w:val="16"/>
        </w:rPr>
        <w:softHyphen/>
        <w:t>танавливался в шаровой опоре в кормовом листе башни, третий - запас</w:t>
      </w:r>
      <w:r w:rsidRPr="00640820">
        <w:rPr>
          <w:rFonts w:ascii="Times New Roman" w:hAnsi="Times New Roman"/>
          <w:color w:val="000000" w:themeColor="text1"/>
          <w:sz w:val="16"/>
          <w:szCs w:val="16"/>
        </w:rPr>
        <w:softHyphen/>
        <w:t>ной, укладывался в боевом отделении (10703).</w:t>
      </w:r>
    </w:p>
    <w:p w14:paraId="7172FBC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315B4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из-за необхо</w:t>
      </w:r>
      <w:r w:rsidRPr="00640820">
        <w:rPr>
          <w:rFonts w:ascii="Times New Roman" w:hAnsi="Times New Roman"/>
          <w:color w:val="000000" w:themeColor="text1"/>
          <w:sz w:val="16"/>
          <w:szCs w:val="16"/>
        </w:rPr>
        <w:softHyphen/>
        <w:t>димости эвакуации кузнечного оборудования на Урал, литые траки для танка КВ-1 были пущены в массовое производство. Первые литые тра</w:t>
      </w:r>
      <w:r w:rsidRPr="00640820">
        <w:rPr>
          <w:rFonts w:ascii="Times New Roman" w:hAnsi="Times New Roman"/>
          <w:color w:val="000000" w:themeColor="text1"/>
          <w:sz w:val="16"/>
          <w:szCs w:val="16"/>
        </w:rPr>
        <w:softHyphen/>
        <w:t>ки по своей долговечности намного уступали штампованным тракам. Однако это был первый опыт применения литых траков для тяжелых машин, который в дальнейшем послужил отправной точкой и был раз</w:t>
      </w:r>
      <w:r w:rsidRPr="00640820">
        <w:rPr>
          <w:rFonts w:ascii="Times New Roman" w:hAnsi="Times New Roman"/>
          <w:color w:val="000000" w:themeColor="text1"/>
          <w:sz w:val="16"/>
          <w:szCs w:val="16"/>
        </w:rPr>
        <w:softHyphen/>
        <w:t>вит на ЧКЗ. В целях обеспечения танку большего запаса хода были вве</w:t>
      </w:r>
      <w:r w:rsidRPr="00640820">
        <w:rPr>
          <w:rFonts w:ascii="Times New Roman" w:hAnsi="Times New Roman"/>
          <w:color w:val="000000" w:themeColor="text1"/>
          <w:sz w:val="16"/>
          <w:szCs w:val="16"/>
        </w:rPr>
        <w:softHyphen/>
        <w:t>дены дополнительные наружные топливные и масляный баки (10703).</w:t>
      </w:r>
    </w:p>
    <w:p w14:paraId="778895B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E4EAF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октября 1941 г. новое объединенное предприятие (ЧКЗ) стало единственным заводом-изготовителем тяжелых танков. По указанию ГКО с начала октября 1941 г. производство тракторов на ЧКЗ было по</w:t>
      </w:r>
      <w:r w:rsidRPr="00640820">
        <w:rPr>
          <w:rFonts w:ascii="Times New Roman" w:hAnsi="Times New Roman"/>
          <w:color w:val="000000" w:themeColor="text1"/>
          <w:sz w:val="16"/>
          <w:szCs w:val="16"/>
        </w:rPr>
        <w:softHyphen/>
        <w:t>степенно свернуто, а летом 1942 г. тракторный конвейер был переделан для сборки танков Т-34-76 (10703). Производство серийных танков КВ в годы Великой Отечественной войны</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682"/>
        <w:gridCol w:w="710"/>
        <w:gridCol w:w="586"/>
        <w:gridCol w:w="557"/>
        <w:gridCol w:w="566"/>
        <w:gridCol w:w="586"/>
        <w:gridCol w:w="557"/>
        <w:gridCol w:w="566"/>
        <w:gridCol w:w="586"/>
        <w:gridCol w:w="662"/>
        <w:gridCol w:w="624"/>
        <w:gridCol w:w="605"/>
        <w:gridCol w:w="576"/>
        <w:gridCol w:w="499"/>
        <w:gridCol w:w="1037"/>
      </w:tblGrid>
      <w:tr w:rsidR="00643896" w:rsidRPr="00640820" w14:paraId="27450689" w14:textId="77777777" w:rsidTr="000D3BCB">
        <w:trPr>
          <w:trHeight w:val="576"/>
        </w:trPr>
        <w:tc>
          <w:tcPr>
            <w:tcW w:w="682" w:type="dxa"/>
            <w:tcBorders>
              <w:top w:val="single" w:sz="12" w:space="0" w:color="auto"/>
            </w:tcBorders>
          </w:tcPr>
          <w:p w14:paraId="6217033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Год</w:t>
            </w:r>
          </w:p>
        </w:tc>
        <w:tc>
          <w:tcPr>
            <w:tcW w:w="710" w:type="dxa"/>
            <w:tcBorders>
              <w:top w:val="single" w:sz="12" w:space="0" w:color="auto"/>
            </w:tcBorders>
          </w:tcPr>
          <w:p w14:paraId="27E3F82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Марка танка (завод)</w:t>
            </w:r>
          </w:p>
        </w:tc>
        <w:tc>
          <w:tcPr>
            <w:tcW w:w="6970" w:type="dxa"/>
            <w:gridSpan w:val="12"/>
            <w:tcBorders>
              <w:top w:val="single" w:sz="12" w:space="0" w:color="auto"/>
            </w:tcBorders>
          </w:tcPr>
          <w:p w14:paraId="6FB3C47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Месяцы</w:t>
            </w:r>
          </w:p>
        </w:tc>
        <w:tc>
          <w:tcPr>
            <w:tcW w:w="1037" w:type="dxa"/>
            <w:tcBorders>
              <w:top w:val="single" w:sz="12" w:space="0" w:color="auto"/>
            </w:tcBorders>
          </w:tcPr>
          <w:p w14:paraId="5E84C9F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w:t>
            </w:r>
          </w:p>
        </w:tc>
      </w:tr>
      <w:tr w:rsidR="00643896" w:rsidRPr="00640820" w14:paraId="32F8F14B" w14:textId="77777777" w:rsidTr="000D3BCB">
        <w:trPr>
          <w:trHeight w:val="336"/>
        </w:trPr>
        <w:tc>
          <w:tcPr>
            <w:tcW w:w="682" w:type="dxa"/>
          </w:tcPr>
          <w:p w14:paraId="1E188E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2F24C7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30F419C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w:t>
            </w:r>
          </w:p>
        </w:tc>
        <w:tc>
          <w:tcPr>
            <w:tcW w:w="557" w:type="dxa"/>
          </w:tcPr>
          <w:p w14:paraId="1F8DD70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II</w:t>
            </w:r>
          </w:p>
        </w:tc>
        <w:tc>
          <w:tcPr>
            <w:tcW w:w="566" w:type="dxa"/>
          </w:tcPr>
          <w:p w14:paraId="1F7E614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III</w:t>
            </w:r>
          </w:p>
        </w:tc>
        <w:tc>
          <w:tcPr>
            <w:tcW w:w="586" w:type="dxa"/>
          </w:tcPr>
          <w:p w14:paraId="4E6612A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IV</w:t>
            </w:r>
          </w:p>
        </w:tc>
        <w:tc>
          <w:tcPr>
            <w:tcW w:w="557" w:type="dxa"/>
          </w:tcPr>
          <w:p w14:paraId="3CE60C7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V</w:t>
            </w:r>
          </w:p>
        </w:tc>
        <w:tc>
          <w:tcPr>
            <w:tcW w:w="566" w:type="dxa"/>
          </w:tcPr>
          <w:p w14:paraId="6079513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VI</w:t>
            </w:r>
          </w:p>
        </w:tc>
        <w:tc>
          <w:tcPr>
            <w:tcW w:w="586" w:type="dxa"/>
          </w:tcPr>
          <w:p w14:paraId="292D0A2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VII</w:t>
            </w:r>
          </w:p>
        </w:tc>
        <w:tc>
          <w:tcPr>
            <w:tcW w:w="662" w:type="dxa"/>
          </w:tcPr>
          <w:p w14:paraId="3FEBB1A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VIII</w:t>
            </w:r>
          </w:p>
        </w:tc>
        <w:tc>
          <w:tcPr>
            <w:tcW w:w="624" w:type="dxa"/>
          </w:tcPr>
          <w:p w14:paraId="500BC0B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IX</w:t>
            </w:r>
          </w:p>
        </w:tc>
        <w:tc>
          <w:tcPr>
            <w:tcW w:w="605" w:type="dxa"/>
          </w:tcPr>
          <w:p w14:paraId="6DEE07C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X</w:t>
            </w:r>
          </w:p>
        </w:tc>
        <w:tc>
          <w:tcPr>
            <w:tcW w:w="576" w:type="dxa"/>
          </w:tcPr>
          <w:p w14:paraId="5FAD0D1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XI</w:t>
            </w:r>
          </w:p>
        </w:tc>
        <w:tc>
          <w:tcPr>
            <w:tcW w:w="499" w:type="dxa"/>
          </w:tcPr>
          <w:p w14:paraId="0CDC4DB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XII</w:t>
            </w:r>
          </w:p>
        </w:tc>
        <w:tc>
          <w:tcPr>
            <w:tcW w:w="1037" w:type="dxa"/>
          </w:tcPr>
          <w:p w14:paraId="7A9EA3A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1FD1B34" w14:textId="77777777" w:rsidTr="000D3BCB">
        <w:trPr>
          <w:trHeight w:val="739"/>
        </w:trPr>
        <w:tc>
          <w:tcPr>
            <w:tcW w:w="682" w:type="dxa"/>
          </w:tcPr>
          <w:p w14:paraId="134DA9E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w:t>
            </w:r>
          </w:p>
        </w:tc>
        <w:tc>
          <w:tcPr>
            <w:tcW w:w="710" w:type="dxa"/>
          </w:tcPr>
          <w:p w14:paraId="257CE79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КВ-1 (ЛКЗ) КВ-1 (ЧКЗ)</w:t>
            </w:r>
          </w:p>
        </w:tc>
        <w:tc>
          <w:tcPr>
            <w:tcW w:w="586" w:type="dxa"/>
          </w:tcPr>
          <w:p w14:paraId="43CCE39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57" w:type="dxa"/>
          </w:tcPr>
          <w:p w14:paraId="26450FD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6" w:type="dxa"/>
          </w:tcPr>
          <w:p w14:paraId="427DBD7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86" w:type="dxa"/>
          </w:tcPr>
          <w:p w14:paraId="6CD9681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57" w:type="dxa"/>
          </w:tcPr>
          <w:p w14:paraId="6B7A7A7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6" w:type="dxa"/>
          </w:tcPr>
          <w:p w14:paraId="54B81D4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86" w:type="dxa"/>
          </w:tcPr>
          <w:p w14:paraId="36486A7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153</w:t>
            </w:r>
          </w:p>
          <w:p w14:paraId="13281A4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84527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w:t>
            </w:r>
          </w:p>
        </w:tc>
        <w:tc>
          <w:tcPr>
            <w:tcW w:w="662" w:type="dxa"/>
          </w:tcPr>
          <w:p w14:paraId="635B3AD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180</w:t>
            </w:r>
          </w:p>
          <w:p w14:paraId="3DED7E7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19305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w:t>
            </w:r>
          </w:p>
        </w:tc>
        <w:tc>
          <w:tcPr>
            <w:tcW w:w="624" w:type="dxa"/>
          </w:tcPr>
          <w:p w14:paraId="70611BC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81</w:t>
            </w:r>
          </w:p>
          <w:p w14:paraId="5874744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9D4B0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w:t>
            </w:r>
          </w:p>
        </w:tc>
        <w:tc>
          <w:tcPr>
            <w:tcW w:w="605" w:type="dxa"/>
          </w:tcPr>
          <w:p w14:paraId="5B53AB0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p w14:paraId="33D4E57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73C95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62</w:t>
            </w:r>
          </w:p>
        </w:tc>
        <w:tc>
          <w:tcPr>
            <w:tcW w:w="576" w:type="dxa"/>
          </w:tcPr>
          <w:p w14:paraId="3A00EB6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156</w:t>
            </w:r>
          </w:p>
        </w:tc>
        <w:tc>
          <w:tcPr>
            <w:tcW w:w="499" w:type="dxa"/>
          </w:tcPr>
          <w:p w14:paraId="5053702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190</w:t>
            </w:r>
          </w:p>
        </w:tc>
        <w:tc>
          <w:tcPr>
            <w:tcW w:w="1037" w:type="dxa"/>
          </w:tcPr>
          <w:p w14:paraId="2C01BE8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444</w:t>
            </w:r>
          </w:p>
          <w:p w14:paraId="59F6929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626D0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486</w:t>
            </w:r>
          </w:p>
        </w:tc>
      </w:tr>
      <w:tr w:rsidR="00643896" w:rsidRPr="00640820" w14:paraId="63908E34" w14:textId="77777777" w:rsidTr="000D3BCB">
        <w:trPr>
          <w:trHeight w:val="442"/>
        </w:trPr>
        <w:tc>
          <w:tcPr>
            <w:tcW w:w="682" w:type="dxa"/>
          </w:tcPr>
          <w:p w14:paraId="7609712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1942</w:t>
            </w:r>
          </w:p>
        </w:tc>
        <w:tc>
          <w:tcPr>
            <w:tcW w:w="710" w:type="dxa"/>
          </w:tcPr>
          <w:p w14:paraId="6347E30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КВ-1 (ЧКЗ)</w:t>
            </w:r>
          </w:p>
        </w:tc>
        <w:tc>
          <w:tcPr>
            <w:tcW w:w="586" w:type="dxa"/>
          </w:tcPr>
          <w:p w14:paraId="57DC696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216</w:t>
            </w:r>
          </w:p>
        </w:tc>
        <w:tc>
          <w:tcPr>
            <w:tcW w:w="557" w:type="dxa"/>
          </w:tcPr>
          <w:p w14:paraId="3DC4EF5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262/2</w:t>
            </w:r>
          </w:p>
        </w:tc>
        <w:tc>
          <w:tcPr>
            <w:tcW w:w="566" w:type="dxa"/>
          </w:tcPr>
          <w:p w14:paraId="471F6CD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250</w:t>
            </w:r>
          </w:p>
        </w:tc>
        <w:tc>
          <w:tcPr>
            <w:tcW w:w="586" w:type="dxa"/>
          </w:tcPr>
          <w:p w14:paraId="1B9E8A4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260/22</w:t>
            </w:r>
          </w:p>
        </w:tc>
        <w:tc>
          <w:tcPr>
            <w:tcW w:w="557" w:type="dxa"/>
          </w:tcPr>
          <w:p w14:paraId="2C2CC04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325/26</w:t>
            </w:r>
          </w:p>
        </w:tc>
        <w:tc>
          <w:tcPr>
            <w:tcW w:w="566" w:type="dxa"/>
          </w:tcPr>
          <w:p w14:paraId="4BD8695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287/13</w:t>
            </w:r>
          </w:p>
        </w:tc>
        <w:tc>
          <w:tcPr>
            <w:tcW w:w="586" w:type="dxa"/>
          </w:tcPr>
          <w:p w14:paraId="484ECFE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132/18</w:t>
            </w:r>
          </w:p>
        </w:tc>
        <w:tc>
          <w:tcPr>
            <w:tcW w:w="662" w:type="dxa"/>
          </w:tcPr>
          <w:p w14:paraId="128AB6D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70/21</w:t>
            </w:r>
          </w:p>
        </w:tc>
        <w:tc>
          <w:tcPr>
            <w:tcW w:w="624" w:type="dxa"/>
          </w:tcPr>
          <w:p w14:paraId="6E94715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05" w:type="dxa"/>
          </w:tcPr>
          <w:p w14:paraId="4FCC719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76" w:type="dxa"/>
          </w:tcPr>
          <w:p w14:paraId="712E922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499" w:type="dxa"/>
          </w:tcPr>
          <w:p w14:paraId="22AAF73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037" w:type="dxa"/>
          </w:tcPr>
          <w:p w14:paraId="13DB6A7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1802/102</w:t>
            </w:r>
          </w:p>
        </w:tc>
      </w:tr>
      <w:tr w:rsidR="00643896" w:rsidRPr="00640820" w14:paraId="1C109223" w14:textId="77777777" w:rsidTr="000D3BCB">
        <w:trPr>
          <w:trHeight w:val="422"/>
        </w:trPr>
        <w:tc>
          <w:tcPr>
            <w:tcW w:w="682" w:type="dxa"/>
          </w:tcPr>
          <w:p w14:paraId="3BAC50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5C97841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КВ-1 С (ЧКЗ)</w:t>
            </w:r>
          </w:p>
        </w:tc>
        <w:tc>
          <w:tcPr>
            <w:tcW w:w="586" w:type="dxa"/>
          </w:tcPr>
          <w:p w14:paraId="3BB3ACF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57" w:type="dxa"/>
          </w:tcPr>
          <w:p w14:paraId="7700540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6" w:type="dxa"/>
          </w:tcPr>
          <w:p w14:paraId="62A5775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86" w:type="dxa"/>
          </w:tcPr>
          <w:p w14:paraId="00E1731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57" w:type="dxa"/>
          </w:tcPr>
          <w:p w14:paraId="6408412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6" w:type="dxa"/>
          </w:tcPr>
          <w:p w14:paraId="2BB9015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86" w:type="dxa"/>
          </w:tcPr>
          <w:p w14:paraId="7375291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62" w:type="dxa"/>
          </w:tcPr>
          <w:p w14:paraId="70B54F6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34</w:t>
            </w:r>
          </w:p>
        </w:tc>
        <w:tc>
          <w:tcPr>
            <w:tcW w:w="624" w:type="dxa"/>
          </w:tcPr>
          <w:p w14:paraId="76B542A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174/6</w:t>
            </w:r>
          </w:p>
        </w:tc>
        <w:tc>
          <w:tcPr>
            <w:tcW w:w="605" w:type="dxa"/>
          </w:tcPr>
          <w:p w14:paraId="22CA8E6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166/9</w:t>
            </w:r>
          </w:p>
        </w:tc>
        <w:tc>
          <w:tcPr>
            <w:tcW w:w="576" w:type="dxa"/>
          </w:tcPr>
          <w:p w14:paraId="4FC5025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125/10</w:t>
            </w:r>
          </w:p>
        </w:tc>
        <w:tc>
          <w:tcPr>
            <w:tcW w:w="499" w:type="dxa"/>
          </w:tcPr>
          <w:p w14:paraId="53F8B5E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125</w:t>
            </w:r>
          </w:p>
        </w:tc>
        <w:tc>
          <w:tcPr>
            <w:tcW w:w="1037" w:type="dxa"/>
          </w:tcPr>
          <w:p w14:paraId="07672C0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624/25</w:t>
            </w:r>
          </w:p>
        </w:tc>
      </w:tr>
      <w:tr w:rsidR="00643896" w:rsidRPr="00640820" w14:paraId="250F8F5F" w14:textId="77777777" w:rsidTr="000D3BCB">
        <w:trPr>
          <w:trHeight w:val="384"/>
        </w:trPr>
        <w:tc>
          <w:tcPr>
            <w:tcW w:w="682" w:type="dxa"/>
          </w:tcPr>
          <w:p w14:paraId="42C305C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1943</w:t>
            </w:r>
          </w:p>
        </w:tc>
        <w:tc>
          <w:tcPr>
            <w:tcW w:w="710" w:type="dxa"/>
          </w:tcPr>
          <w:p w14:paraId="4EC1A4E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КВ-1 С (ЧКЗ)</w:t>
            </w:r>
          </w:p>
        </w:tc>
        <w:tc>
          <w:tcPr>
            <w:tcW w:w="586" w:type="dxa"/>
          </w:tcPr>
          <w:p w14:paraId="75E0AE5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93/7</w:t>
            </w:r>
          </w:p>
        </w:tc>
        <w:tc>
          <w:tcPr>
            <w:tcW w:w="557" w:type="dxa"/>
          </w:tcPr>
          <w:p w14:paraId="478D8A8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72/3</w:t>
            </w:r>
          </w:p>
        </w:tc>
        <w:tc>
          <w:tcPr>
            <w:tcW w:w="566" w:type="dxa"/>
          </w:tcPr>
          <w:p w14:paraId="1C0798F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53</w:t>
            </w:r>
          </w:p>
        </w:tc>
        <w:tc>
          <w:tcPr>
            <w:tcW w:w="586" w:type="dxa"/>
          </w:tcPr>
          <w:p w14:paraId="6A82DE6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w:t>
            </w:r>
          </w:p>
        </w:tc>
        <w:tc>
          <w:tcPr>
            <w:tcW w:w="557" w:type="dxa"/>
          </w:tcPr>
          <w:p w14:paraId="399A8CC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75</w:t>
            </w:r>
          </w:p>
        </w:tc>
        <w:tc>
          <w:tcPr>
            <w:tcW w:w="566" w:type="dxa"/>
          </w:tcPr>
          <w:p w14:paraId="7918729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c>
          <w:tcPr>
            <w:tcW w:w="586" w:type="dxa"/>
          </w:tcPr>
          <w:p w14:paraId="39F09D5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52</w:t>
            </w:r>
          </w:p>
        </w:tc>
        <w:tc>
          <w:tcPr>
            <w:tcW w:w="662" w:type="dxa"/>
          </w:tcPr>
          <w:p w14:paraId="5ED1CD8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w:t>
            </w:r>
          </w:p>
        </w:tc>
        <w:tc>
          <w:tcPr>
            <w:tcW w:w="624" w:type="dxa"/>
          </w:tcPr>
          <w:p w14:paraId="31C69E9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05" w:type="dxa"/>
          </w:tcPr>
          <w:p w14:paraId="2BBEEBE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76" w:type="dxa"/>
          </w:tcPr>
          <w:p w14:paraId="566E0AF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56A66E3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Pr>
          <w:p w14:paraId="49DFAD7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459/10</w:t>
            </w:r>
          </w:p>
        </w:tc>
      </w:tr>
      <w:tr w:rsidR="00643896" w:rsidRPr="00640820" w14:paraId="1F52A88B" w14:textId="77777777" w:rsidTr="000D3BCB">
        <w:trPr>
          <w:trHeight w:val="374"/>
        </w:trPr>
        <w:tc>
          <w:tcPr>
            <w:tcW w:w="682" w:type="dxa"/>
          </w:tcPr>
          <w:p w14:paraId="60FBE5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3AAA30C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КВ-85 (ЧКЗ)</w:t>
            </w:r>
          </w:p>
        </w:tc>
        <w:tc>
          <w:tcPr>
            <w:tcW w:w="586" w:type="dxa"/>
          </w:tcPr>
          <w:p w14:paraId="2E1EDC7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57" w:type="dxa"/>
          </w:tcPr>
          <w:p w14:paraId="70FCEA0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6" w:type="dxa"/>
          </w:tcPr>
          <w:p w14:paraId="31AB8AE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86" w:type="dxa"/>
          </w:tcPr>
          <w:p w14:paraId="1CFC90C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57" w:type="dxa"/>
          </w:tcPr>
          <w:p w14:paraId="204A88A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6" w:type="dxa"/>
          </w:tcPr>
          <w:p w14:paraId="6669DD5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86" w:type="dxa"/>
          </w:tcPr>
          <w:p w14:paraId="065C341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62" w:type="dxa"/>
          </w:tcPr>
          <w:p w14:paraId="1A45EFC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w:t>
            </w:r>
          </w:p>
        </w:tc>
        <w:tc>
          <w:tcPr>
            <w:tcW w:w="624" w:type="dxa"/>
          </w:tcPr>
          <w:p w14:paraId="080D68D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63</w:t>
            </w:r>
          </w:p>
        </w:tc>
        <w:tc>
          <w:tcPr>
            <w:tcW w:w="605" w:type="dxa"/>
          </w:tcPr>
          <w:p w14:paraId="057B99A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63</w:t>
            </w:r>
          </w:p>
        </w:tc>
        <w:tc>
          <w:tcPr>
            <w:tcW w:w="576" w:type="dxa"/>
          </w:tcPr>
          <w:p w14:paraId="71C2998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499" w:type="dxa"/>
          </w:tcPr>
          <w:p w14:paraId="51896FB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037" w:type="dxa"/>
          </w:tcPr>
          <w:p w14:paraId="208EBF6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148</w:t>
            </w:r>
          </w:p>
        </w:tc>
      </w:tr>
      <w:tr w:rsidR="00643896" w:rsidRPr="00640820" w14:paraId="150119FE" w14:textId="77777777" w:rsidTr="000D3BCB">
        <w:trPr>
          <w:trHeight w:val="221"/>
        </w:trPr>
        <w:tc>
          <w:tcPr>
            <w:tcW w:w="1392" w:type="dxa"/>
            <w:gridSpan w:val="2"/>
            <w:tcBorders>
              <w:bottom w:val="single" w:sz="12" w:space="0" w:color="auto"/>
            </w:tcBorders>
          </w:tcPr>
          <w:p w14:paraId="41189E3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Итого</w:t>
            </w:r>
          </w:p>
        </w:tc>
        <w:tc>
          <w:tcPr>
            <w:tcW w:w="6970" w:type="dxa"/>
            <w:gridSpan w:val="12"/>
            <w:tcBorders>
              <w:bottom w:val="single" w:sz="12" w:space="0" w:color="auto"/>
            </w:tcBorders>
          </w:tcPr>
          <w:p w14:paraId="687A3C8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bottom w:val="single" w:sz="12" w:space="0" w:color="auto"/>
            </w:tcBorders>
          </w:tcPr>
          <w:p w14:paraId="3472039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3963/137</w:t>
            </w:r>
          </w:p>
        </w:tc>
      </w:tr>
    </w:tbl>
    <w:p w14:paraId="664EE01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(10703).</w:t>
      </w:r>
    </w:p>
    <w:p w14:paraId="7AF7C2B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F704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И.В. Сталин обратился к коллективу Уралмаша:</w:t>
      </w:r>
    </w:p>
    <w:p w14:paraId="58842B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Прошу вас честно и в срок выполнять заказы на поставку корпусов для танка КВ. Сейчас я прошу и надеюсь, что вы выполните свой долг перед Родиной (9715).</w:t>
      </w:r>
    </w:p>
    <w:p w14:paraId="617DD5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373A57A" w14:textId="77777777" w:rsidR="00D9129E" w:rsidRPr="00640820" w:rsidRDefault="00D9129E" w:rsidP="00640820">
      <w:pPr>
        <w:widowControl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октябре </w:t>
      </w:r>
      <w:smartTag w:uri="urn:schemas-microsoft-com:office:smarttags" w:element="metricconverter">
        <w:smartTagPr>
          <w:attr w:name="ProductID" w:val="1945 г"/>
        </w:smartTagPr>
        <w:r w:rsidRPr="00640820">
          <w:rPr>
            <w:rFonts w:ascii="Times New Roman" w:hAnsi="Times New Roman"/>
            <w:color w:val="000000" w:themeColor="text1"/>
            <w:sz w:val="16"/>
            <w:szCs w:val="16"/>
          </w:rPr>
          <w:t>1941 г</w:t>
        </w:r>
      </w:smartTag>
      <w:r w:rsidRPr="00640820">
        <w:rPr>
          <w:rFonts w:ascii="Times New Roman" w:hAnsi="Times New Roman"/>
          <w:color w:val="000000" w:themeColor="text1"/>
          <w:sz w:val="16"/>
          <w:szCs w:val="16"/>
        </w:rPr>
        <w:t>. ОГК Наркомата танковой промышленности (НКТП) дало задание о вооружении легкого танка 45-мм танковой пушкой вместо 20-мм авиапушки и введении в состав его экипажа третьего члена. Однако на пути его реализации лежало отсутствие для танка двигателя достаточной мощности. В ОКБ-37 в 1941 году просматривались два возможных решения – установка более мощного форсированного автомобильного двигателя ЗИС (танк «045») либо переход к спарке двигателей ГАЗ-М-1 или ГАЗ-202 на общем валу или параллельно (танк «070»). Вполне естественно, что, оказавшись в Горьком, Н.А. Астров активно развернул работы по спешной модернизации «шестидесятки». А поскольку производственная база вместе с мощным опытным цехом ГАЗа была у него, что называется, «под руками», им было избрано второе направление улучшения боевых характеристик Т-60 (15218).</w:t>
      </w:r>
    </w:p>
    <w:p w14:paraId="76A01255" w14:textId="77777777" w:rsidR="00D9129E" w:rsidRPr="00640820" w:rsidRDefault="00D9129E" w:rsidP="00640820">
      <w:pPr>
        <w:widowControl w:val="0"/>
        <w:spacing w:after="0" w:line="240" w:lineRule="auto"/>
        <w:jc w:val="both"/>
        <w:rPr>
          <w:rFonts w:ascii="Times New Roman" w:hAnsi="Times New Roman"/>
          <w:color w:val="000000" w:themeColor="text1"/>
          <w:sz w:val="16"/>
          <w:szCs w:val="16"/>
        </w:rPr>
      </w:pPr>
    </w:p>
    <w:p w14:paraId="75EC3EFC" w14:textId="77777777" w:rsidR="00AE1A6D" w:rsidRPr="00640820" w:rsidRDefault="00AE1A6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года на ГАЗ началось реальное производство Т-60. За первые пять дней месяца вместо 15 машин было сдано всего 5 танков, к 20 октября сдали 69 Т-60. Все еще имели место за</w:t>
      </w:r>
      <w:r w:rsidRPr="00640820">
        <w:rPr>
          <w:rFonts w:ascii="Times New Roman" w:hAnsi="Times New Roman"/>
          <w:color w:val="000000" w:themeColor="text1"/>
          <w:sz w:val="16"/>
          <w:szCs w:val="16"/>
        </w:rPr>
        <w:softHyphen/>
        <w:t>держки с поставками корпусов и в особенности с башнями. По ходу производства планы по выпуску Т-60 пришлось корректировать. Пре</w:t>
      </w:r>
      <w:r w:rsidRPr="00640820">
        <w:rPr>
          <w:rFonts w:ascii="Times New Roman" w:hAnsi="Times New Roman"/>
          <w:color w:val="000000" w:themeColor="text1"/>
          <w:sz w:val="16"/>
          <w:szCs w:val="16"/>
        </w:rPr>
        <w:softHyphen/>
        <w:t>жде всего было принято решение отказаться от выпуска радийных танков, поскольку на заводе отсутствовало необходимое количество радиостанций, а имевшиеся в заделе 80 раций 71-ТК-З отправили на другие предприятия. Кроме того, в октябре поддерживающие катки с обрезинкой заменили на цельнометаллические, это ускорило их про</w:t>
      </w:r>
      <w:r w:rsidRPr="00640820">
        <w:rPr>
          <w:rFonts w:ascii="Times New Roman" w:hAnsi="Times New Roman"/>
          <w:color w:val="000000" w:themeColor="text1"/>
          <w:sz w:val="16"/>
          <w:szCs w:val="16"/>
        </w:rPr>
        <w:softHyphen/>
        <w:t>изводство и сократило использование резины (17485).</w:t>
      </w:r>
    </w:p>
    <w:p w14:paraId="03395059" w14:textId="77777777" w:rsidR="00AE1A6D" w:rsidRPr="00640820" w:rsidRDefault="00AE1A6D" w:rsidP="00640820">
      <w:pPr>
        <w:spacing w:after="0" w:line="240" w:lineRule="auto"/>
        <w:jc w:val="both"/>
        <w:rPr>
          <w:rFonts w:ascii="Times New Roman" w:hAnsi="Times New Roman"/>
          <w:color w:val="000000" w:themeColor="text1"/>
          <w:sz w:val="16"/>
          <w:szCs w:val="16"/>
        </w:rPr>
      </w:pPr>
    </w:p>
    <w:p w14:paraId="48CC111E" w14:textId="77777777" w:rsidR="00E34734" w:rsidRPr="00640820" w:rsidRDefault="00E3473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года самым массовым танком, выпускавшимся на советских заводах, стал Т-60. Ещё более интересной ситуация выглядит в том ключе, что производившийся заводом № 37 малый танк Т-30 был примерно равнозначен Т-60. Если приплюсовать и его производство (формально Т-30 стали сдавать с сентября 1941 года), то картина выпуска выглядит следующим образом:</w:t>
      </w:r>
    </w:p>
    <w:p w14:paraId="57B97AE0" w14:textId="77777777" w:rsidR="00E34734" w:rsidRPr="00640820" w:rsidRDefault="00E3473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сентябрь 1941 года — 200 Т-30 производства завода №37, 7 Т-60 производства ХТЗ, 3 Т-60 производства ГАЗ;</w:t>
      </w:r>
    </w:p>
    <w:p w14:paraId="01ABBF17" w14:textId="77777777" w:rsidR="00E34734" w:rsidRPr="00640820" w:rsidRDefault="00E3473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октябрь 1941 года — 140 Т-30 производства завода №37, 215 Т-60 производства ГАЗ (20 без башен);</w:t>
      </w:r>
    </w:p>
    <w:p w14:paraId="34CE956C" w14:textId="77777777" w:rsidR="00E34734" w:rsidRPr="00640820" w:rsidRDefault="00E3473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ноябрь 1941 года — 480 Т-60 производства ГАЗ (35 без башен);</w:t>
      </w:r>
    </w:p>
    <w:p w14:paraId="74470F53" w14:textId="77777777" w:rsidR="00E34734" w:rsidRPr="00640820" w:rsidRDefault="00E3473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декабрь 1941 года — 20 Т-30 производства завода №37 (Свердловск), 671 Т-60 производства ГАЗ (82 без башни), 45 Т-60 производства завода №264.</w:t>
      </w:r>
    </w:p>
    <w:p w14:paraId="6523D1BF" w14:textId="77777777" w:rsidR="00E34734" w:rsidRPr="00640820" w:rsidRDefault="00E3473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Половина выпуска Т-60 пришлась на заводы, которые никогда никакие тягачи или бронетранспортёры не делали. Например, на заводе №264 делали бронекатера</w:t>
      </w:r>
    </w:p>
    <w:p w14:paraId="2A326A20" w14:textId="77777777" w:rsidR="00E34734" w:rsidRPr="00640820" w:rsidRDefault="00E3473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Исключая 3 шасси Т-30, а также 137 шасси Т-60, пошедшие на выпуск БМ-8-24, получается 1650 единиц Т-60 и Т-30. За тот же период Т-34 было изготовлено 1163 штуки, при этом только в сентябре шло превышение выпуска в сравнении с Т-60/Т-30. Пик производство малых танков пришёлся на начало 1942 года: в январе было сдано 876 Т-60 и Т-30, в феврале — 815, а в марте — 725. Лишь в апреле 1942 года Т-34, наконец, обогнал выпуск «шестидесяток», и то за счёт начала подготовки на ГАЗ и заводе №38 производства более совершенной машины — Т-70. Дальнейший высокий темп (примерно по 650 машин в мае и июне 1942 года) обеспечивался заводами, которые иных танков, нежели Т-60, выпускать попросту не могли. Речь идёт о заводе №37 и заводе № 264. Завод №37 в июле 1942 года переключили сначала на выпуск Т-70, а потом быстро перепрофилировали в завод №50, выпускавший Т-34, а затем и самоходные артиллерийские установки. Что же касается завода №264, то в июле 1942 года он и вовсе перестал делать танки, полностью сконцентрировавшись на корпусном производстве для Т-34. Одним словом, выпуск Т-60 проходил ровно в тот момент, когда иных альтернатив ему попросту не было. Как только появилась достойная замена, машина ушла с конвейера. Со стороны ГАБТУ КА и НКТП это более чем разумное решение (19802).</w:t>
      </w:r>
    </w:p>
    <w:p w14:paraId="6B1E0A04" w14:textId="77777777" w:rsidR="00E34734" w:rsidRPr="00640820" w:rsidRDefault="00E34734" w:rsidP="00640820">
      <w:pPr>
        <w:spacing w:after="0" w:line="240" w:lineRule="auto"/>
        <w:jc w:val="both"/>
        <w:rPr>
          <w:rFonts w:ascii="Times New Roman" w:hAnsi="Times New Roman"/>
          <w:color w:val="000000" w:themeColor="text1"/>
          <w:sz w:val="16"/>
          <w:szCs w:val="16"/>
        </w:rPr>
      </w:pPr>
    </w:p>
    <w:p w14:paraId="7A7324B9" w14:textId="77777777" w:rsidR="0042350C" w:rsidRPr="00640820" w:rsidRDefault="0042350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октябре 1941 года машина ЧТЗ, получившая обозначение СУ С2, прошла заводские испытания. На этом, впрочем, её история и закончилась. Армии требовались не эрзац-САУ с туманными перспективами, а КВ-1. Осенью 1941 года ЧТЗ оказался единственным производителем тяжёлых танков. Ради КВ-1 тягачи ЧТЗ-65 и С-2 были сняты с производства.</w:t>
      </w:r>
    </w:p>
    <w:p w14:paraId="2E54D55A" w14:textId="77777777" w:rsidR="0042350C" w:rsidRPr="00640820" w:rsidRDefault="0042350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Тем не менее эвакуированные из Ленинграда инженеры СКБ-2 Кировского завода продолжали работу над различными проектами. Например, конструктор Н. Ф. Шашмурин проектировал двухместную танкетку «Злоба Народная» с боевой массой 2,5 тонны, броней толщиной 20–25 мм и силовой установкой в виде двух пусковых двигателей от трактора С-65. Также СКБ-2 спроектировало «Рейдовую машину», представлявшую собой облегчённый танк на базе Т-34, имевший расчётную скорость 70 км/ч и увеличенный запас хода. Эти проекты также отправились в корзину (17666).</w:t>
      </w:r>
    </w:p>
    <w:p w14:paraId="0789B930" w14:textId="77777777" w:rsidR="0042350C" w:rsidRPr="00640820" w:rsidRDefault="0042350C" w:rsidP="00640820">
      <w:pPr>
        <w:spacing w:after="0" w:line="240" w:lineRule="auto"/>
        <w:jc w:val="both"/>
        <w:rPr>
          <w:rFonts w:ascii="Times New Roman" w:eastAsia="Times New Roman" w:hAnsi="Times New Roman"/>
          <w:color w:val="000000" w:themeColor="text1"/>
          <w:sz w:val="16"/>
          <w:szCs w:val="16"/>
          <w:lang w:eastAsia="ru-RU"/>
        </w:rPr>
      </w:pPr>
    </w:p>
    <w:p w14:paraId="3D666D31" w14:textId="77777777" w:rsidR="006E31FE" w:rsidRPr="00640820" w:rsidRDefault="006E31FE" w:rsidP="00640820">
      <w:pPr>
        <w:spacing w:after="0" w:line="240" w:lineRule="auto"/>
        <w:jc w:val="both"/>
        <w:rPr>
          <w:rFonts w:ascii="Times New Roman" w:hAnsi="Times New Roman"/>
          <w:color w:val="0070C0"/>
          <w:sz w:val="16"/>
          <w:szCs w:val="16"/>
          <w:shd w:val="clear" w:color="auto" w:fill="FFFFFF"/>
        </w:rPr>
      </w:pPr>
      <w:r w:rsidRPr="00640820">
        <w:rPr>
          <w:rFonts w:ascii="Times New Roman" w:hAnsi="Times New Roman"/>
          <w:color w:val="0070C0"/>
          <w:sz w:val="16"/>
          <w:szCs w:val="16"/>
          <w:shd w:val="clear" w:color="auto" w:fill="FFFFFF"/>
        </w:rPr>
        <w:t>В октябре 1941 года СУ-С2 была изготовлена, тогда же провели ее испытания. Вряд ли они кончились чем-то хорошим, вместе с тем, на этом шасси С-2 в покое не оставили. 3 ноября 1941 года на ЧКЗ был издан приказ об организации производства легкого танка на агрегатах тягача С-2. Разработка машины сваливалась на СКБ-2 во главе с Ж.Я. Котиным, которое уже было укомплектовано как местными кадрами, так и прибывшими из Ленинграда конструкторами. К 7 ноября предполагалось получить комплект чертежей корпуса и других агрегатов. Выпускать танк собирались на линии, задействованной в производстве тягача. Впрочем, про эту разработку и вовсе ничего неизвестно. Даже нет информации, что предполагалось получить, единственное, что известно - это силовая установка. Ей должен был стать 160-сильный дизельный мотор Д-11. Впрочем, уже в ноябре ЧКЗ сконцентрировался на выпуске КВ-1, за этот месяц он сдал 156 танков (20288).</w:t>
      </w:r>
    </w:p>
    <w:p w14:paraId="1D77BECE" w14:textId="77777777" w:rsidR="006E31FE" w:rsidRPr="00640820" w:rsidRDefault="006E31FE" w:rsidP="00640820">
      <w:pPr>
        <w:spacing w:after="0" w:line="240" w:lineRule="auto"/>
        <w:jc w:val="both"/>
        <w:rPr>
          <w:rFonts w:ascii="Times New Roman" w:hAnsi="Times New Roman"/>
          <w:color w:val="0070C0"/>
          <w:sz w:val="16"/>
          <w:szCs w:val="16"/>
          <w:shd w:val="clear" w:color="auto" w:fill="FFFFFF"/>
        </w:rPr>
      </w:pPr>
    </w:p>
    <w:p w14:paraId="30F2DDF4" w14:textId="77777777" w:rsidR="006E31FE" w:rsidRPr="00640820" w:rsidRDefault="006E31FE" w:rsidP="00640820">
      <w:pPr>
        <w:shd w:val="clear" w:color="auto" w:fill="FFFFFF"/>
        <w:spacing w:after="0" w:line="240" w:lineRule="auto"/>
        <w:jc w:val="both"/>
        <w:rPr>
          <w:rFonts w:ascii="Times New Roman" w:eastAsia="Times New Roman" w:hAnsi="Times New Roman"/>
          <w:color w:val="0070C0"/>
          <w:sz w:val="16"/>
          <w:szCs w:val="16"/>
          <w:lang w:eastAsia="ru-RU"/>
        </w:rPr>
      </w:pPr>
      <w:r w:rsidRPr="00640820">
        <w:rPr>
          <w:rFonts w:ascii="Times New Roman" w:hAnsi="Times New Roman"/>
          <w:color w:val="0070C0"/>
          <w:sz w:val="16"/>
          <w:szCs w:val="16"/>
          <w:shd w:val="clear" w:color="auto" w:fill="FFFFFF"/>
        </w:rPr>
        <w:t>В октябре 1941 года начался крупномасштабный выпуск Т-60, за ноябрь ГАЗ им. Молотова сдал 471 танк, а в декабре 625 штук. Кроме того, осенью 1941 года начались работы по модернизации танка. Было очевидно, что 20 мм брони явно мало, но сначала требовалось запустить хоть что-то. Тем не менее, уже в ноябре 1941 года пошли работы по усилению броневой защиты. Сначала речь шла про экранировку корпуса с башней, но практически сразу подняли вопрос об утолщенных деталях. Самые первые Т-60 с утолщенной бронёй пошли в серию с начала февраля 1942 года (23032).</w:t>
      </w:r>
    </w:p>
    <w:p w14:paraId="70399E7F" w14:textId="77777777" w:rsidR="006E31FE" w:rsidRPr="00640820" w:rsidRDefault="006E31FE" w:rsidP="00640820">
      <w:pPr>
        <w:shd w:val="clear" w:color="auto" w:fill="FFFFFF"/>
        <w:spacing w:after="0" w:line="240" w:lineRule="auto"/>
        <w:jc w:val="both"/>
        <w:rPr>
          <w:rFonts w:ascii="Times New Roman" w:eastAsia="Times New Roman" w:hAnsi="Times New Roman"/>
          <w:color w:val="0070C0"/>
          <w:sz w:val="16"/>
          <w:szCs w:val="16"/>
          <w:lang w:eastAsia="ru-RU"/>
        </w:rPr>
      </w:pPr>
    </w:p>
    <w:p w14:paraId="6D826B90" w14:textId="77777777" w:rsidR="006E31FE" w:rsidRPr="00640820" w:rsidRDefault="006E31FE" w:rsidP="00640820">
      <w:pPr>
        <w:pStyle w:val="article-renderblock"/>
        <w:shd w:val="clear" w:color="auto" w:fill="FFFFFF"/>
        <w:spacing w:before="0" w:beforeAutospacing="0" w:after="0" w:afterAutospacing="0"/>
        <w:jc w:val="both"/>
        <w:rPr>
          <w:color w:val="0070C0"/>
          <w:sz w:val="16"/>
          <w:szCs w:val="16"/>
        </w:rPr>
      </w:pPr>
      <w:r w:rsidRPr="00640820">
        <w:rPr>
          <w:color w:val="0070C0"/>
          <w:sz w:val="16"/>
          <w:szCs w:val="16"/>
        </w:rPr>
        <w:t>За октябрь 1941 года ГАЗ смог сдать всего 33 машины ГАЗ-61-416, ибо время вышло. Теперь главной продукцией завода стал Т-60. В ноябре завод покинул эталонный образец, который посчитали серийной машиной. Также оттуда уехал и первый опытный образец. Вторая же машина так и осталась на заводе. Все серийные ГАЗ-61-416 шли на завод №92 (21375).</w:t>
      </w:r>
    </w:p>
    <w:p w14:paraId="3F657636" w14:textId="77777777" w:rsidR="006E31FE" w:rsidRPr="00640820" w:rsidRDefault="006E31FE" w:rsidP="00640820">
      <w:pPr>
        <w:spacing w:after="0" w:line="240" w:lineRule="auto"/>
        <w:jc w:val="both"/>
        <w:rPr>
          <w:rFonts w:ascii="Times New Roman" w:hAnsi="Times New Roman"/>
          <w:color w:val="0070C0"/>
          <w:sz w:val="16"/>
          <w:szCs w:val="16"/>
        </w:rPr>
      </w:pPr>
    </w:p>
    <w:p w14:paraId="49921199" w14:textId="77777777" w:rsidR="00AE1A6D" w:rsidRPr="00640820" w:rsidRDefault="00AE1A6D" w:rsidP="00640820">
      <w:pPr>
        <w:pStyle w:val="162"/>
        <w:shd w:val="clear" w:color="auto" w:fill="auto"/>
        <w:spacing w:line="240" w:lineRule="auto"/>
        <w:jc w:val="both"/>
        <w:rPr>
          <w:color w:val="000000" w:themeColor="text1"/>
          <w:sz w:val="16"/>
          <w:szCs w:val="16"/>
        </w:rPr>
      </w:pPr>
      <w:r w:rsidRPr="00640820">
        <w:rPr>
          <w:rFonts w:eastAsia="Calibri"/>
          <w:color w:val="000000" w:themeColor="text1"/>
          <w:sz w:val="16"/>
          <w:szCs w:val="16"/>
        </w:rPr>
        <w:t>В октябре 1841, согласно постановлению ГКО № 752сс, началась частич</w:t>
      </w:r>
      <w:r w:rsidRPr="00640820">
        <w:rPr>
          <w:rFonts w:eastAsia="Calibri"/>
          <w:color w:val="000000" w:themeColor="text1"/>
          <w:sz w:val="16"/>
          <w:szCs w:val="16"/>
        </w:rPr>
        <w:softHyphen/>
        <w:t>ная эвакуация Коломенского машиностроительного завода; в качестве новой базы выступал Кировский машиностроительный завод НКСП им. 1-го Мая. Вместе с производственными площадями и рабочими эвакуировалось заводское КБ, а также руководство. Территория пред</w:t>
      </w:r>
      <w:r w:rsidRPr="00640820">
        <w:rPr>
          <w:rFonts w:eastAsia="Calibri"/>
          <w:color w:val="000000" w:themeColor="text1"/>
          <w:sz w:val="16"/>
          <w:szCs w:val="16"/>
        </w:rPr>
        <w:softHyphen/>
        <w:t>приятия, которое до войны занималось выпуском железнодорожных кранов и другого подъемно-транспортного оборудования, явно не со</w:t>
      </w:r>
      <w:r w:rsidRPr="00640820">
        <w:rPr>
          <w:rFonts w:eastAsia="Calibri"/>
          <w:color w:val="000000" w:themeColor="text1"/>
          <w:sz w:val="16"/>
          <w:szCs w:val="16"/>
        </w:rPr>
        <w:softHyphen/>
        <w:t>ответствовала объему вывезенного из Коломны оборудования. Сразу по прибытии в Киров начались масштабные работы по расширению территории: в дополнение к имевшимся цехам стали строить времен</w:t>
      </w:r>
      <w:r w:rsidRPr="00640820">
        <w:rPr>
          <w:rFonts w:eastAsia="Calibri"/>
          <w:color w:val="000000" w:themeColor="text1"/>
          <w:sz w:val="16"/>
          <w:szCs w:val="16"/>
        </w:rPr>
        <w:softHyphen/>
        <w:t>ные деревянные помещения, позднее по мере возможности их заменя</w:t>
      </w:r>
      <w:r w:rsidRPr="00640820">
        <w:rPr>
          <w:rFonts w:eastAsia="Calibri"/>
          <w:color w:val="000000" w:themeColor="text1"/>
          <w:sz w:val="16"/>
          <w:szCs w:val="16"/>
        </w:rPr>
        <w:softHyphen/>
        <w:t>ли на капитальные. Весь ноябрь и декабрь ушли на организацию про</w:t>
      </w:r>
      <w:r w:rsidRPr="00640820">
        <w:rPr>
          <w:rFonts w:eastAsia="Calibri"/>
          <w:color w:val="000000" w:themeColor="text1"/>
          <w:sz w:val="16"/>
          <w:szCs w:val="16"/>
        </w:rPr>
        <w:softHyphen/>
        <w:t>изводства на новом месте, новое предприятие получило обозначение «Завод № 38 им. Куйбышева», его первым директором стал Е. Э. Рубинчик, возглавлявший до войны Коломенский машиностроитель</w:t>
      </w:r>
      <w:r w:rsidRPr="00640820">
        <w:rPr>
          <w:rFonts w:eastAsia="Calibri"/>
          <w:color w:val="000000" w:themeColor="text1"/>
          <w:sz w:val="16"/>
          <w:szCs w:val="16"/>
        </w:rPr>
        <w:softHyphen/>
        <w:t>ный завод. Должность главного инженера занял К. К. Яковлев, после перевода Рубинчика в мае 1942 года на завод № 112 (он стал его дирек</w:t>
      </w:r>
      <w:r w:rsidRPr="00640820">
        <w:rPr>
          <w:rFonts w:eastAsia="Calibri"/>
          <w:color w:val="000000" w:themeColor="text1"/>
          <w:sz w:val="16"/>
          <w:szCs w:val="16"/>
        </w:rPr>
        <w:softHyphen/>
        <w:t>тором), Константин Константинович возглавил завод № 38. Щукин на новом месте возглавил заводское КБ. Стоит отметить, что Миха</w:t>
      </w:r>
      <w:r w:rsidRPr="00640820">
        <w:rPr>
          <w:rFonts w:eastAsia="Calibri"/>
          <w:color w:val="000000" w:themeColor="text1"/>
          <w:sz w:val="16"/>
          <w:szCs w:val="16"/>
        </w:rPr>
        <w:softHyphen/>
        <w:t>ил Николаевич являлся потомственным паровозостроителем, под его руководством было создано немало образцов паровозов и тепловозов. С присущей ему энергией Щукин занялся новым делом, за годы войны под его руководством было создано несколько образцов бронетехники, в том числе знаменитая СУ-76, самая массовая САУ Второй мировой войны (17485).</w:t>
      </w:r>
    </w:p>
    <w:p w14:paraId="03B9E60A" w14:textId="77777777" w:rsidR="00AE1A6D" w:rsidRPr="00640820" w:rsidRDefault="00AE1A6D" w:rsidP="00640820">
      <w:pPr>
        <w:spacing w:after="0" w:line="240" w:lineRule="auto"/>
        <w:jc w:val="both"/>
        <w:rPr>
          <w:rFonts w:ascii="Times New Roman" w:hAnsi="Times New Roman"/>
          <w:color w:val="000000" w:themeColor="text1"/>
          <w:sz w:val="16"/>
          <w:szCs w:val="16"/>
        </w:rPr>
      </w:pPr>
    </w:p>
    <w:p w14:paraId="0DBABDBD" w14:textId="77777777" w:rsidR="0042350C" w:rsidRPr="00640820" w:rsidRDefault="0042350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октябре 1941 года информационным отделом Разведывательного управления Генерального штаба Красной армии была подготовлена справка, согласно которой, англичане с весны 1941 года начали производство тяжёлого пехотного танка МК-IV, также называвшегося «Черчилль». В более поздних советских документах эта машина также известна как MK-IV. Справка содержала вполне соответствующие реальности характеристики танка, к примеру, информацию о боевой массе и вооружении. Более того, уже тогда у советской разведки имелись сведения о том, что вместо 2-фунтовой (40-мм) пушки на «Черчилль» планируется ставить орудие калибром в 57 мм. Вполне достоверно в справке оценивались и объёмы выпуска танков данного типа. Что явно не соответствовало реальности, так это максимальная скорость, которую авторы документа оценивали в 35–38 км/ч. До такой скорости Churchill мог разогнаться разве что с крутой горки.</w:t>
      </w:r>
    </w:p>
    <w:p w14:paraId="500DC6AA" w14:textId="77777777" w:rsidR="0042350C" w:rsidRPr="00640820" w:rsidRDefault="0042350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Кроме информации о «Черчилле», в справке фигурируют сведения о некоем английском 70-тонном тяжёлом танке, имевшем вооружение из 3 пушек и 6 пулемётов, а также экипаж численностью 11 человек. Здесь угадываются отголоски разработки английского тяжёлого танка TOG.</w:t>
      </w:r>
    </w:p>
    <w:p w14:paraId="3B8B3AC7" w14:textId="77777777" w:rsidR="0042350C" w:rsidRPr="00640820" w:rsidRDefault="0042350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Вопрос поставки танков Churchill в СССР не поднимался вплоть до весны 1942 года. Вместе с тем по поводу этих машин шла довольно активная переписка. Кроме того, советские военные представители осматривали заводы, на которых производились такие танки. В частности, в январе 1942 года советская военная комиссия посетила завод Old Park Works Wednesbury в Бирмингеме. Заводэтотвходилвсостав </w:t>
      </w:r>
      <w:r w:rsidRPr="00640820">
        <w:rPr>
          <w:rFonts w:ascii="Times New Roman" w:eastAsia="Times New Roman" w:hAnsi="Times New Roman"/>
          <w:color w:val="000000" w:themeColor="text1"/>
          <w:sz w:val="16"/>
          <w:szCs w:val="16"/>
          <w:lang w:val="en-US" w:eastAsia="ru-RU"/>
        </w:rPr>
        <w:t>Midland</w:t>
      </w:r>
      <w:r w:rsidRPr="00640820">
        <w:rPr>
          <w:rFonts w:ascii="Times New Roman" w:eastAsia="Times New Roman" w:hAnsi="Times New Roman"/>
          <w:color w:val="000000" w:themeColor="text1"/>
          <w:sz w:val="16"/>
          <w:szCs w:val="16"/>
          <w:lang w:eastAsia="ru-RU"/>
        </w:rPr>
        <w:t xml:space="preserve"> </w:t>
      </w:r>
      <w:r w:rsidRPr="00640820">
        <w:rPr>
          <w:rFonts w:ascii="Times New Roman" w:eastAsia="Times New Roman" w:hAnsi="Times New Roman"/>
          <w:color w:val="000000" w:themeColor="text1"/>
          <w:sz w:val="16"/>
          <w:szCs w:val="16"/>
          <w:lang w:val="en-US" w:eastAsia="ru-RU"/>
        </w:rPr>
        <w:t>Railway</w:t>
      </w:r>
      <w:r w:rsidRPr="00640820">
        <w:rPr>
          <w:rFonts w:ascii="Times New Roman" w:eastAsia="Times New Roman" w:hAnsi="Times New Roman"/>
          <w:color w:val="000000" w:themeColor="text1"/>
          <w:sz w:val="16"/>
          <w:szCs w:val="16"/>
          <w:lang w:eastAsia="ru-RU"/>
        </w:rPr>
        <w:t xml:space="preserve"> </w:t>
      </w:r>
      <w:r w:rsidRPr="00640820">
        <w:rPr>
          <w:rFonts w:ascii="Times New Roman" w:eastAsia="Times New Roman" w:hAnsi="Times New Roman"/>
          <w:color w:val="000000" w:themeColor="text1"/>
          <w:sz w:val="16"/>
          <w:szCs w:val="16"/>
          <w:lang w:val="en-US" w:eastAsia="ru-RU"/>
        </w:rPr>
        <w:t>Carriage</w:t>
      </w:r>
      <w:r w:rsidRPr="00640820">
        <w:rPr>
          <w:rFonts w:ascii="Times New Roman" w:eastAsia="Times New Roman" w:hAnsi="Times New Roman"/>
          <w:color w:val="000000" w:themeColor="text1"/>
          <w:sz w:val="16"/>
          <w:szCs w:val="16"/>
          <w:lang w:eastAsia="ru-RU"/>
        </w:rPr>
        <w:t xml:space="preserve"> </w:t>
      </w:r>
      <w:r w:rsidRPr="00640820">
        <w:rPr>
          <w:rFonts w:ascii="Times New Roman" w:eastAsia="Times New Roman" w:hAnsi="Times New Roman"/>
          <w:color w:val="000000" w:themeColor="text1"/>
          <w:sz w:val="16"/>
          <w:szCs w:val="16"/>
          <w:lang w:val="en-US" w:eastAsia="ru-RU"/>
        </w:rPr>
        <w:t>and</w:t>
      </w:r>
      <w:r w:rsidRPr="00640820">
        <w:rPr>
          <w:rFonts w:ascii="Times New Roman" w:eastAsia="Times New Roman" w:hAnsi="Times New Roman"/>
          <w:color w:val="000000" w:themeColor="text1"/>
          <w:sz w:val="16"/>
          <w:szCs w:val="16"/>
          <w:lang w:eastAsia="ru-RU"/>
        </w:rPr>
        <w:t xml:space="preserve"> </w:t>
      </w:r>
      <w:r w:rsidRPr="00640820">
        <w:rPr>
          <w:rFonts w:ascii="Times New Roman" w:eastAsia="Times New Roman" w:hAnsi="Times New Roman"/>
          <w:color w:val="000000" w:themeColor="text1"/>
          <w:sz w:val="16"/>
          <w:szCs w:val="16"/>
          <w:lang w:val="en-US" w:eastAsia="ru-RU"/>
        </w:rPr>
        <w:t>Wagon</w:t>
      </w:r>
      <w:r w:rsidRPr="00640820">
        <w:rPr>
          <w:rFonts w:ascii="Times New Roman" w:eastAsia="Times New Roman" w:hAnsi="Times New Roman"/>
          <w:color w:val="000000" w:themeColor="text1"/>
          <w:sz w:val="16"/>
          <w:szCs w:val="16"/>
          <w:lang w:eastAsia="ru-RU"/>
        </w:rPr>
        <w:t xml:space="preserve"> </w:t>
      </w:r>
      <w:r w:rsidRPr="00640820">
        <w:rPr>
          <w:rFonts w:ascii="Times New Roman" w:eastAsia="Times New Roman" w:hAnsi="Times New Roman"/>
          <w:color w:val="000000" w:themeColor="text1"/>
          <w:sz w:val="16"/>
          <w:szCs w:val="16"/>
          <w:lang w:val="en-US" w:eastAsia="ru-RU"/>
        </w:rPr>
        <w:t>Company</w:t>
      </w:r>
      <w:r w:rsidRPr="00640820">
        <w:rPr>
          <w:rFonts w:ascii="Times New Roman" w:eastAsia="Times New Roman" w:hAnsi="Times New Roman"/>
          <w:color w:val="000000" w:themeColor="text1"/>
          <w:sz w:val="16"/>
          <w:szCs w:val="16"/>
          <w:lang w:eastAsia="ru-RU"/>
        </w:rPr>
        <w:t>. Согласно данным комиссии, за неделю на нём выпускалось по 6–7 танков Churchill. В феврале советские военные попали за завод Vauxhall, который был головным разработчиком и производителем Churchill. На тот момент здесь выпускалось по 10 танков этого типа в неделю. 28–30 апреля года комиссия попала на завод Leyland, также задействованный в программе производства Churchill. По оценке комиссии, здесь производилось 7 танков в неделю.</w:t>
      </w:r>
    </w:p>
    <w:p w14:paraId="675AC805" w14:textId="77777777" w:rsidR="0042350C" w:rsidRPr="00640820" w:rsidRDefault="0042350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Таким образом, советские военные представители смогли попасть на три из четырёх заводов, на которых выпускались Churchill. Кроме того, им удалось поприсутствовать на испытаниях Churchill IV, производство которых на тот момент только осваивалось на предприятиях (17691).</w:t>
      </w:r>
    </w:p>
    <w:p w14:paraId="20B85EF4" w14:textId="77777777" w:rsidR="0042350C" w:rsidRPr="00640820" w:rsidRDefault="0042350C" w:rsidP="00640820">
      <w:pPr>
        <w:pStyle w:val="129"/>
        <w:shd w:val="clear" w:color="auto" w:fill="auto"/>
        <w:spacing w:after="0" w:line="240" w:lineRule="auto"/>
        <w:jc w:val="both"/>
        <w:rPr>
          <w:color w:val="000000" w:themeColor="text1"/>
          <w:sz w:val="16"/>
          <w:szCs w:val="16"/>
        </w:rPr>
      </w:pPr>
    </w:p>
    <w:p w14:paraId="5C1F8923" w14:textId="77777777" w:rsidR="00AE1A6D" w:rsidRPr="00640820" w:rsidRDefault="00AE1A6D" w:rsidP="00640820">
      <w:pPr>
        <w:spacing w:after="0" w:line="240" w:lineRule="auto"/>
        <w:jc w:val="both"/>
        <w:rPr>
          <w:rStyle w:val="6a"/>
          <w:rFonts w:ascii="Times New Roman" w:hAnsi="Times New Roman" w:cs="Times New Roman"/>
          <w:color w:val="000000" w:themeColor="text1"/>
          <w:sz w:val="16"/>
          <w:szCs w:val="16"/>
        </w:rPr>
      </w:pPr>
      <w:r w:rsidRPr="00640820">
        <w:rPr>
          <w:rFonts w:ascii="Times New Roman" w:hAnsi="Times New Roman"/>
          <w:color w:val="000000" w:themeColor="text1"/>
          <w:sz w:val="16"/>
          <w:szCs w:val="16"/>
        </w:rPr>
        <w:t>В октябре 1941 года первые 20 шасси для БМ были изготовлены на ГАЗ, еще 35 в ноябре и 82 в декабре. За январь 1942 года было изготовлено 35 шас</w:t>
      </w:r>
      <w:r w:rsidRPr="00640820">
        <w:rPr>
          <w:rFonts w:ascii="Times New Roman" w:hAnsi="Times New Roman"/>
          <w:color w:val="000000" w:themeColor="text1"/>
          <w:sz w:val="16"/>
          <w:szCs w:val="16"/>
        </w:rPr>
        <w:softHyphen/>
        <w:t>си, 32 в феврале, 20 в марте и 14 в апреле. Что касается завода № 113, то он изготовил первые 8 М-8 на шасси Т-60 в ноябре 1941 года, еще две системы были переданы для установки на бронепоезда. В декабре было изготовлено 107 установок. В январе 1942 года завод № 113 из</w:t>
      </w:r>
      <w:r w:rsidRPr="00640820">
        <w:rPr>
          <w:rFonts w:ascii="Times New Roman" w:hAnsi="Times New Roman"/>
          <w:color w:val="000000" w:themeColor="text1"/>
          <w:sz w:val="16"/>
          <w:szCs w:val="16"/>
        </w:rPr>
        <w:softHyphen/>
        <w:t>готовил 113 М-8, но лишь 54 из них оказались установлены на Т-60. Производство было лимитировано числом имеющихся шасси, кроме того, ввиду недопоставок со стороны завода № 69, все установки ока</w:t>
      </w:r>
      <w:r w:rsidRPr="00640820">
        <w:rPr>
          <w:rFonts w:ascii="Times New Roman" w:hAnsi="Times New Roman"/>
          <w:color w:val="000000" w:themeColor="text1"/>
          <w:sz w:val="16"/>
          <w:szCs w:val="16"/>
        </w:rPr>
        <w:softHyphen/>
        <w:t>зались без прицелов. В феврале выпуск вновь оказался лимитирован числом поставленных шасси, а в марте производство встало, поскольку ни одного Т-60 с ГАЗ не прибыло (оставшиеся шасси прибыли в тече</w:t>
      </w:r>
      <w:r w:rsidRPr="00640820">
        <w:rPr>
          <w:rFonts w:ascii="Times New Roman" w:hAnsi="Times New Roman"/>
          <w:color w:val="000000" w:themeColor="text1"/>
          <w:sz w:val="16"/>
          <w:szCs w:val="16"/>
        </w:rPr>
        <w:softHyphen/>
        <w:t>ние апреля-мая). Сколько точно М-8 на шасси Т-60 было изготовлено</w:t>
      </w:r>
      <w:r w:rsidRPr="00640820">
        <w:rPr>
          <w:rStyle w:val="6a"/>
          <w:rFonts w:ascii="Times New Roman" w:hAnsi="Times New Roman" w:cs="Times New Roman"/>
          <w:color w:val="000000" w:themeColor="text1"/>
          <w:sz w:val="16"/>
          <w:szCs w:val="16"/>
        </w:rPr>
        <w:t>заводом № 113, неизвестно, судить можно лишь по числу шасси. В по</w:t>
      </w:r>
      <w:r w:rsidRPr="00640820">
        <w:rPr>
          <w:rStyle w:val="6a"/>
          <w:rFonts w:ascii="Times New Roman" w:hAnsi="Times New Roman" w:cs="Times New Roman"/>
          <w:color w:val="000000" w:themeColor="text1"/>
          <w:sz w:val="16"/>
          <w:szCs w:val="16"/>
        </w:rPr>
        <w:softHyphen/>
        <w:t>следний раз сводки о М-8 на базе Т-60 проходят в августе. 9 числа на</w:t>
      </w:r>
      <w:r w:rsidRPr="00640820">
        <w:rPr>
          <w:rStyle w:val="6a"/>
          <w:rFonts w:ascii="Times New Roman" w:hAnsi="Times New Roman" w:cs="Times New Roman"/>
          <w:color w:val="000000" w:themeColor="text1"/>
          <w:sz w:val="16"/>
          <w:szCs w:val="16"/>
        </w:rPr>
        <w:softHyphen/>
        <w:t>родному комиссару станкостроения А. И. Ефремову поступила жалобана завод № 113, что он, игнорируя программу по выпуску установок наимпортных шасси, в июле 1942 года изготовил 18 М-8 на танках.</w:t>
      </w:r>
    </w:p>
    <w:p w14:paraId="40DCDD08" w14:textId="77777777" w:rsidR="00AE1A6D" w:rsidRPr="00640820" w:rsidRDefault="00AE1A6D" w:rsidP="00640820">
      <w:pPr>
        <w:spacing w:after="0" w:line="240" w:lineRule="auto"/>
        <w:jc w:val="both"/>
        <w:rPr>
          <w:rFonts w:ascii="Times New Roman" w:hAnsi="Times New Roman"/>
          <w:color w:val="000000" w:themeColor="text1"/>
          <w:sz w:val="16"/>
          <w:szCs w:val="16"/>
        </w:rPr>
      </w:pPr>
      <w:r w:rsidRPr="00640820">
        <w:rPr>
          <w:rStyle w:val="6a"/>
          <w:rFonts w:ascii="Times New Roman" w:hAnsi="Times New Roman" w:cs="Times New Roman"/>
          <w:color w:val="000000" w:themeColor="text1"/>
          <w:sz w:val="16"/>
          <w:szCs w:val="16"/>
        </w:rPr>
        <w:t xml:space="preserve">Отдельной строкой стоит упомянуть завод № 38. Согласно отчету заиюнь, завод выпустил 10 танков под установку М-8. Делал ли он этиустановки сам, или направлял шасси на завод № 113, неизвестно, покрайней мере, с июля на Киров была спущена программа по выпуску </w:t>
      </w:r>
      <w:r w:rsidRPr="00640820">
        <w:rPr>
          <w:rFonts w:ascii="Times New Roman" w:hAnsi="Times New Roman"/>
          <w:color w:val="000000" w:themeColor="text1"/>
          <w:sz w:val="16"/>
          <w:szCs w:val="16"/>
        </w:rPr>
        <w:t>установок М-8 на импортных шасси. Зато можно со всей уверенно</w:t>
      </w:r>
      <w:r w:rsidRPr="00640820">
        <w:rPr>
          <w:rFonts w:ascii="Times New Roman" w:hAnsi="Times New Roman"/>
          <w:color w:val="000000" w:themeColor="text1"/>
          <w:sz w:val="16"/>
          <w:szCs w:val="16"/>
        </w:rPr>
        <w:softHyphen/>
        <w:t>стью говорить, что наиболее известными являются М-8 на шасси за</w:t>
      </w:r>
      <w:r w:rsidRPr="00640820">
        <w:rPr>
          <w:rFonts w:ascii="Times New Roman" w:hAnsi="Times New Roman"/>
          <w:color w:val="000000" w:themeColor="text1"/>
          <w:sz w:val="16"/>
          <w:szCs w:val="16"/>
        </w:rPr>
        <w:softHyphen/>
        <w:t>вода № 38. К сожалению, при испытаниях опытных установок фото</w:t>
      </w:r>
      <w:r w:rsidRPr="00640820">
        <w:rPr>
          <w:rFonts w:ascii="Times New Roman" w:hAnsi="Times New Roman"/>
          <w:color w:val="000000" w:themeColor="text1"/>
          <w:sz w:val="16"/>
          <w:szCs w:val="16"/>
        </w:rPr>
        <w:softHyphen/>
        <w:t>графирование не велось, поэтому большинство известных фотографий М-8 на Т-60 — это машины, подбитые в боях летом-осенью 1942 года. Даже в официальных справочниках приводятся фотографии подби</w:t>
      </w:r>
      <w:r w:rsidRPr="00640820">
        <w:rPr>
          <w:rFonts w:ascii="Times New Roman" w:hAnsi="Times New Roman"/>
          <w:color w:val="000000" w:themeColor="text1"/>
          <w:sz w:val="16"/>
          <w:szCs w:val="16"/>
        </w:rPr>
        <w:softHyphen/>
        <w:t>той М-8. Суммируя число поставленных на завод № 113 шасси с ГАЗ, а также 10 шасси с завода № 38, общий объем выпуска М-8 на шасси Т-60 составляет не менее 248 штук</w:t>
      </w:r>
      <w:r w:rsidRPr="00640820">
        <w:rPr>
          <w:rStyle w:val="6a"/>
          <w:rFonts w:ascii="Times New Roman" w:hAnsi="Times New Roman" w:cs="Times New Roman"/>
          <w:color w:val="000000" w:themeColor="text1"/>
          <w:sz w:val="16"/>
          <w:szCs w:val="16"/>
        </w:rPr>
        <w:t xml:space="preserve"> (17485).</w:t>
      </w:r>
    </w:p>
    <w:p w14:paraId="74184329" w14:textId="77777777" w:rsidR="00AE1A6D" w:rsidRPr="00640820" w:rsidRDefault="00AE1A6D" w:rsidP="00640820">
      <w:pPr>
        <w:spacing w:after="0" w:line="240" w:lineRule="auto"/>
        <w:jc w:val="both"/>
        <w:rPr>
          <w:rFonts w:ascii="Times New Roman" w:hAnsi="Times New Roman"/>
          <w:color w:val="000000" w:themeColor="text1"/>
          <w:sz w:val="16"/>
          <w:szCs w:val="16"/>
        </w:rPr>
      </w:pPr>
    </w:p>
    <w:p w14:paraId="61D5722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первым директором ор</w:t>
      </w:r>
      <w:r w:rsidRPr="00640820">
        <w:rPr>
          <w:rFonts w:ascii="Times New Roman" w:hAnsi="Times New Roman"/>
          <w:color w:val="000000" w:themeColor="text1"/>
          <w:sz w:val="16"/>
          <w:szCs w:val="16"/>
        </w:rPr>
        <w:softHyphen/>
        <w:t>ганизованного на новом месте предприятия, названного Ирбитским государственным мотоциклетным заводом (ИМЗ), назначили Ф.М. Ломанова. На этой должности он трудился до середины янва</w:t>
      </w:r>
      <w:r w:rsidRPr="00640820">
        <w:rPr>
          <w:rFonts w:ascii="Times New Roman" w:hAnsi="Times New Roman"/>
          <w:color w:val="000000" w:themeColor="text1"/>
          <w:sz w:val="16"/>
          <w:szCs w:val="16"/>
        </w:rPr>
        <w:softHyphen/>
        <w:t>ря 1942 г. [5.15]. Прибывших размещали в пустовавших помещени</w:t>
      </w:r>
      <w:r w:rsidRPr="00640820">
        <w:rPr>
          <w:rFonts w:ascii="Times New Roman" w:hAnsi="Times New Roman"/>
          <w:color w:val="000000" w:themeColor="text1"/>
          <w:sz w:val="16"/>
          <w:szCs w:val="16"/>
        </w:rPr>
        <w:softHyphen/>
        <w:t xml:space="preserve">ях второго этажа </w:t>
      </w:r>
      <w:r w:rsidRPr="00640820">
        <w:rPr>
          <w:rFonts w:ascii="Times New Roman" w:hAnsi="Times New Roman"/>
          <w:color w:val="000000" w:themeColor="text1"/>
          <w:sz w:val="16"/>
          <w:szCs w:val="16"/>
        </w:rPr>
        <w:lastRenderedPageBreak/>
        <w:t>бывших торговых рядов, а приезжавших позже - в зрительном зале и подсобных комнатах кинотеатра «Луч» [5.16]. Постепенно всех расселили в частном жилищном секторе города. Производственное оборудование и материалы везли по же</w:t>
      </w:r>
      <w:r w:rsidRPr="00640820">
        <w:rPr>
          <w:rFonts w:ascii="Times New Roman" w:hAnsi="Times New Roman"/>
          <w:color w:val="000000" w:themeColor="text1"/>
          <w:sz w:val="16"/>
          <w:szCs w:val="16"/>
        </w:rPr>
        <w:softHyphen/>
        <w:t>лезной дороге больше месяца, и доставили в Ирбит лишь в дека</w:t>
      </w:r>
      <w:r w:rsidRPr="00640820">
        <w:rPr>
          <w:rFonts w:ascii="Times New Roman" w:hAnsi="Times New Roman"/>
          <w:color w:val="000000" w:themeColor="text1"/>
          <w:sz w:val="16"/>
          <w:szCs w:val="16"/>
        </w:rPr>
        <w:softHyphen/>
        <w:t>бре 1941 г. Уже стояли лютые морозы. Предстояло развернуть производство мотоциклов на площадях бывшего пивзавода. И ес</w:t>
      </w:r>
      <w:r w:rsidRPr="00640820">
        <w:rPr>
          <w:rFonts w:ascii="Times New Roman" w:hAnsi="Times New Roman"/>
          <w:color w:val="000000" w:themeColor="text1"/>
          <w:sz w:val="16"/>
          <w:szCs w:val="16"/>
        </w:rPr>
        <w:softHyphen/>
        <w:t>ли в Москве оборудование грузили с помощью подъёмных кра</w:t>
      </w:r>
      <w:r w:rsidRPr="00640820">
        <w:rPr>
          <w:rFonts w:ascii="Times New Roman" w:hAnsi="Times New Roman"/>
          <w:color w:val="000000" w:themeColor="text1"/>
          <w:sz w:val="16"/>
          <w:szCs w:val="16"/>
        </w:rPr>
        <w:softHyphen/>
        <w:t>нов и транспортёров, то в Ирбите станки, механизмы, энергети</w:t>
      </w:r>
      <w:r w:rsidRPr="00640820">
        <w:rPr>
          <w:rFonts w:ascii="Times New Roman" w:hAnsi="Times New Roman"/>
          <w:color w:val="000000" w:themeColor="text1"/>
          <w:sz w:val="16"/>
          <w:szCs w:val="16"/>
        </w:rPr>
        <w:softHyphen/>
        <w:t>ческое оборудование и «незавершенку» сгружали вручную по</w:t>
      </w:r>
      <w:r w:rsidRPr="00640820">
        <w:rPr>
          <w:rFonts w:ascii="Times New Roman" w:hAnsi="Times New Roman"/>
          <w:color w:val="000000" w:themeColor="text1"/>
          <w:sz w:val="16"/>
          <w:szCs w:val="16"/>
        </w:rPr>
        <w:softHyphen/>
        <w:t>скольку не было даже лебёдок [5.17]. Несмотря на все старания и упорство прибывших и местных жителей, привлечённых к работе на новом заводе, выпуск мото</w:t>
      </w:r>
      <w:r w:rsidRPr="00640820">
        <w:rPr>
          <w:rFonts w:ascii="Times New Roman" w:hAnsi="Times New Roman"/>
          <w:color w:val="000000" w:themeColor="text1"/>
          <w:sz w:val="16"/>
          <w:szCs w:val="16"/>
        </w:rPr>
        <w:softHyphen/>
        <w:t>циклов в 1941 г. освоить не удалось. Тем не менее, об организации ИМЗ уже знали далеко за пределами Свердловской области, и, как могли, помогали. Когда, согласно Постановлению государст</w:t>
      </w:r>
      <w:r w:rsidRPr="00640820">
        <w:rPr>
          <w:rFonts w:ascii="Times New Roman" w:hAnsi="Times New Roman"/>
          <w:color w:val="000000" w:themeColor="text1"/>
          <w:sz w:val="16"/>
          <w:szCs w:val="16"/>
        </w:rPr>
        <w:softHyphen/>
        <w:t>венного комитета обороны (ГКО) от 23 ноября 1941 г., ИжМЗ перевели в Народный комиссариат вооружения (НКВ), ему при</w:t>
      </w:r>
      <w:r w:rsidRPr="00640820">
        <w:rPr>
          <w:rFonts w:ascii="Times New Roman" w:hAnsi="Times New Roman"/>
          <w:color w:val="000000" w:themeColor="text1"/>
          <w:sz w:val="16"/>
          <w:szCs w:val="16"/>
        </w:rPr>
        <w:softHyphen/>
        <w:t>своили номер 524, и поручили организовать выпуск станковых пулемётов типа «Максим», руководство завода, узнав об ИМЗ, оказало ему техническую помощь. Всё имевшееся мотоциклет</w:t>
      </w:r>
      <w:r w:rsidRPr="00640820">
        <w:rPr>
          <w:rFonts w:ascii="Times New Roman" w:hAnsi="Times New Roman"/>
          <w:color w:val="000000" w:themeColor="text1"/>
          <w:sz w:val="16"/>
          <w:szCs w:val="16"/>
        </w:rPr>
        <w:softHyphen/>
        <w:t>ное технологическое оборудование, вместе с доставленной из Ки</w:t>
      </w:r>
      <w:r w:rsidRPr="00640820">
        <w:rPr>
          <w:rFonts w:ascii="Times New Roman" w:hAnsi="Times New Roman"/>
          <w:color w:val="000000" w:themeColor="text1"/>
          <w:sz w:val="16"/>
          <w:szCs w:val="16"/>
        </w:rPr>
        <w:softHyphen/>
        <w:t>ева в Ижевск с КМЗ аналогичной техникой, отправили на ИМЗ. При этом мотоциклостроение в Ижевске не исчезло. На основе технологического оборудования по выпуску мотоцепей, приве</w:t>
      </w:r>
      <w:r w:rsidRPr="00640820">
        <w:rPr>
          <w:rFonts w:ascii="Times New Roman" w:hAnsi="Times New Roman"/>
          <w:color w:val="000000" w:themeColor="text1"/>
          <w:sz w:val="16"/>
          <w:szCs w:val="16"/>
        </w:rPr>
        <w:softHyphen/>
        <w:t>зённого 4-6 октября 1941 г. с ХМЗ создали Ижевский завод мото</w:t>
      </w:r>
      <w:r w:rsidRPr="00640820">
        <w:rPr>
          <w:rFonts w:ascii="Times New Roman" w:hAnsi="Times New Roman"/>
          <w:color w:val="000000" w:themeColor="text1"/>
          <w:sz w:val="16"/>
          <w:szCs w:val="16"/>
        </w:rPr>
        <w:softHyphen/>
        <w:t>циклетных цепей (ИжЗМЦ), который развернули в недостроен</w:t>
      </w:r>
      <w:r w:rsidRPr="00640820">
        <w:rPr>
          <w:rFonts w:ascii="Times New Roman" w:hAnsi="Times New Roman"/>
          <w:color w:val="000000" w:themeColor="text1"/>
          <w:sz w:val="16"/>
          <w:szCs w:val="16"/>
        </w:rPr>
        <w:softHyphen/>
        <w:t>ном здании универмага на углу улиц К. Марка и Труда [5.18]. Это небольшое предприятие вступило в строй в начале 1942 года (11429).</w:t>
      </w:r>
    </w:p>
    <w:p w14:paraId="54884E1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292D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октябре 1941 г. основной состав людей и большинство оборудования Серпуховского мотозавода были эвакуированы на восток. Сразу после разгрома фашистов под Москвой завод начал восстанавливаться и ремонтировать трофейные мотоциклы, а также собирать мотоциклы из США "Харлей" и "Индиан" с колясками из Ирбита для М-72. С 1944 по 19446 гг. кроме этого выпускались и запчасти к мотоциклам АМ-600. </w:t>
      </w:r>
    </w:p>
    <w:p w14:paraId="22CE58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период с 1946 по 1951 гг. завод находился в подчинении ЦКБ мотоциклостроения на правах опытного цеха. Выпускались специальные опытные двигатели внутреннего сгорания. </w:t>
      </w:r>
    </w:p>
    <w:p w14:paraId="61356A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1951 г. началась подготовка к выпуску мотоколяски С1Л для инвалидов ВОВ и труда. Конструкция была разработана силами ЦКБ мотоциклостроения (ныне ВНИИмотопром). </w:t>
      </w:r>
    </w:p>
    <w:p w14:paraId="594120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1953 г. был создан конструкторский отдел СМЗ для решения вопросов текущего производства, модернизации отдельных узлов и улучшения мотоколяски в целом. </w:t>
      </w:r>
    </w:p>
    <w:p w14:paraId="328227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1954-1955 г. ОГК совместно с ЦКБ разработана С3Л (освоена в 1957 г.). </w:t>
      </w:r>
    </w:p>
    <w:p w14:paraId="4643BB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1957 г. совместно в НАМИ разработана С3А (освоена в 1958 г.). </w:t>
      </w:r>
    </w:p>
    <w:p w14:paraId="2F8FDE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1959 г. ОГК приступил к изготовлению нового образца мотоколяски С4Б, уровень которого показал, что заводские конструкторы способны создавать хорошие машины. Позднее, в 1960-1962 гг., совместно с конструкторами НАМИ, ЗИЛа и АЗЛК велась разработка вполне современного микроавтомобиля "Спутник". </w:t>
      </w:r>
    </w:p>
    <w:p w14:paraId="3D6655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1 апреля 1967 г. началась подготовка производства новой мотоколяски С3Д с цельнометаллическим кузовом и отопителем, которая выпускалась с 1970 г. и выпускается поныне. </w:t>
      </w:r>
    </w:p>
    <w:p w14:paraId="19E147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того же 1970 г. начался выпуск детского велосипеда "Мотылек", с 1978 г. - "Кроха", с 1986 г. - "Колибри". </w:t>
      </w:r>
    </w:p>
    <w:p w14:paraId="727640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1977 г. ведутся опытные работы над конструкцией микроавтомобиля для инвалидов - образец "Спутник" с измененным кузовом и роторно-поршневым двигателем (ВНИИ МП), совместно с НАМИ, - 0204 с 2-х тактным двигателем; - 0219 с двигателем "ФИАТ-126П"; - 0231 с двигателем "ФИАТ-126П" - получивший название - "ОКА", который был непосредственным предшественником автомобиля ВАЗ-1111 "ОКА". В разработке конструкции кузова 0231-го принимали участие кузовщики ЗИЛа. Образцы 0231-го изучали конструкторы ВАЗа, когда с 1982 г. ОГК СМЗ совместно с конструкторами ВАЗа, а затем с 1983 г. и с конструкторами КамАЗа приступили к созданию "молодежного" автомобиля ( в т.ч. для инвалидов), который получил обозначение ВАЗ-1111 и название "ОКА". Первый опытный автомобиль I серии был получен с ВАЗа осенью 1984 г., а в августе 1985 г. был изготовлен кузов и собран первый автомобиль I серии с приводами для инвалидов в экспериментальном цехе ОГК. В 1986 г. собрано 2 автомобиля II серии опытных образцов на СМЗ, в 1987 г. - 3 автомобиля III серии и т.д. </w:t>
      </w:r>
    </w:p>
    <w:p w14:paraId="3DA001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1985 г. было принято Постановление СовМина "О постановке на производство автомобиля особо малого класса…". В 1987 г. Серпуховский мотозавод был переименован в автозавод и вошел в объединение АвтоВАЗ. </w:t>
      </w:r>
    </w:p>
    <w:p w14:paraId="3E7160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1989 г. на СеАЗе были собраны первые товарные автомобили (30 шт.) на старых площадях, в сборочном цехе мотоколясок. </w:t>
      </w:r>
    </w:p>
    <w:p w14:paraId="1E9597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эти же годы, 1986-1989 - на СеАЗе разработан и запущен в производство прицеп с тормозами для легковых автомобилей - 1829, который послужил основой для целой гаммы прицепов для легковых автомобилей (двухосный, прицепы для перевозки ульев, автовозы, для перевозки лодок, длинномерных грузов, прицеп-павильон, прицеп-холодильник и т.д.). </w:t>
      </w:r>
    </w:p>
    <w:p w14:paraId="6BF3F2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1993 г. построен новый корпус лако-краски и сборки под производство "ОКИ", запущена окраска в 1995 г., сборка в 1994 г. </w:t>
      </w:r>
    </w:p>
    <w:p w14:paraId="08B8E6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1995 г. пущен в производство новый сварочный цех для сварки кузовов "ОКИ". До освоения этих производств с 1990 г. СеАЗ собирал автомобили по временным техпроцессам на других площадях из кузовов сварки и окраски ВАЗа, позднее и КамАЗа. </w:t>
      </w:r>
    </w:p>
    <w:p w14:paraId="386010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1995 г. СеАЗ сам варит и красит кузов и собирает автомобили, а также изготавливает детали и узлы приводов для инвалидов и собирает автомобили для инвалидов 10-ти различных комплектаций (11229).</w:t>
      </w:r>
    </w:p>
    <w:p w14:paraId="5863A4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19F40F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начальник 7-го Управ</w:t>
      </w:r>
      <w:r w:rsidRPr="00640820">
        <w:rPr>
          <w:rFonts w:ascii="Times New Roman" w:hAnsi="Times New Roman"/>
          <w:color w:val="000000" w:themeColor="text1"/>
          <w:sz w:val="16"/>
          <w:szCs w:val="16"/>
        </w:rPr>
        <w:softHyphen/>
        <w:t>ления ГАБТУ военинженер 1 -го ранга Смир</w:t>
      </w:r>
      <w:r w:rsidRPr="00640820">
        <w:rPr>
          <w:rFonts w:ascii="Times New Roman" w:hAnsi="Times New Roman"/>
          <w:color w:val="000000" w:themeColor="text1"/>
          <w:sz w:val="16"/>
          <w:szCs w:val="16"/>
        </w:rPr>
        <w:softHyphen/>
        <w:t>нов утвердил ТТТ на легкие аэросани. В чис</w:t>
      </w:r>
      <w:r w:rsidRPr="00640820">
        <w:rPr>
          <w:rFonts w:ascii="Times New Roman" w:hAnsi="Times New Roman"/>
          <w:color w:val="000000" w:themeColor="text1"/>
          <w:sz w:val="16"/>
          <w:szCs w:val="16"/>
        </w:rPr>
        <w:softHyphen/>
        <w:t>ле прочего предусматривалась установка на одноместных аэросанях с мотоциклетным мотором пулемета с боекомплектом и запа</w:t>
      </w:r>
      <w:r w:rsidRPr="00640820">
        <w:rPr>
          <w:rFonts w:ascii="Times New Roman" w:hAnsi="Times New Roman"/>
          <w:color w:val="000000" w:themeColor="text1"/>
          <w:sz w:val="16"/>
          <w:szCs w:val="16"/>
        </w:rPr>
        <w:softHyphen/>
        <w:t>сом гранат. Указывалось, что «расположение места водителя, педалей управления и вооружения должно быть запроектировано так, чтобы водитель при движении мог вести на</w:t>
      </w:r>
      <w:r w:rsidRPr="00640820">
        <w:rPr>
          <w:rFonts w:ascii="Times New Roman" w:hAnsi="Times New Roman"/>
          <w:color w:val="000000" w:themeColor="text1"/>
          <w:sz w:val="16"/>
          <w:szCs w:val="16"/>
        </w:rPr>
        <w:softHyphen/>
        <w:t>блюдение за впереди лежащей местностью, управлять санями и вести огонь в случае на</w:t>
      </w:r>
      <w:r w:rsidRPr="00640820">
        <w:rPr>
          <w:rFonts w:ascii="Times New Roman" w:hAnsi="Times New Roman"/>
          <w:color w:val="000000" w:themeColor="text1"/>
          <w:sz w:val="16"/>
          <w:szCs w:val="16"/>
        </w:rPr>
        <w:softHyphen/>
        <w:t>добности как с хода, так и с места». Разработка аэросаней поручалась ОКБ НКРФ, в дальнейшем к тематике легких сне</w:t>
      </w:r>
      <w:r w:rsidRPr="00640820">
        <w:rPr>
          <w:rFonts w:ascii="Times New Roman" w:hAnsi="Times New Roman"/>
          <w:color w:val="000000" w:themeColor="text1"/>
          <w:sz w:val="16"/>
          <w:szCs w:val="16"/>
        </w:rPr>
        <w:softHyphen/>
        <w:t>гоходов подключились НАМИ, ЦКБ ГСДП, Академия БТиМВ и Ирбитский мотозавод. ОКБ НКРФ было поставлено перед очень трудной задачей - создать легкие аэросани с тем же вооружением, что и у тяжелых ма</w:t>
      </w:r>
      <w:r w:rsidRPr="00640820">
        <w:rPr>
          <w:rFonts w:ascii="Times New Roman" w:hAnsi="Times New Roman"/>
          <w:color w:val="000000" w:themeColor="text1"/>
          <w:sz w:val="16"/>
          <w:szCs w:val="16"/>
        </w:rPr>
        <w:softHyphen/>
        <w:t>шин, и с сопоставимым радиусом действия. Работы по созданию легких аэросаней, получивших обозначение РФ-7, были разби</w:t>
      </w:r>
      <w:r w:rsidRPr="00640820">
        <w:rPr>
          <w:rFonts w:ascii="Times New Roman" w:hAnsi="Times New Roman"/>
          <w:color w:val="000000" w:themeColor="text1"/>
          <w:sz w:val="16"/>
          <w:szCs w:val="16"/>
        </w:rPr>
        <w:softHyphen/>
        <w:t>ты на два основных этапа: создание винто</w:t>
      </w:r>
      <w:r w:rsidRPr="00640820">
        <w:rPr>
          <w:rFonts w:ascii="Times New Roman" w:hAnsi="Times New Roman"/>
          <w:color w:val="000000" w:themeColor="text1"/>
          <w:sz w:val="16"/>
          <w:szCs w:val="16"/>
        </w:rPr>
        <w:softHyphen/>
        <w:t>моторной группы (ВМГ) и проектирование собственно аэросаней. Предполагалась установка многообо</w:t>
      </w:r>
      <w:r w:rsidRPr="00640820">
        <w:rPr>
          <w:rFonts w:ascii="Times New Roman" w:hAnsi="Times New Roman"/>
          <w:color w:val="000000" w:themeColor="text1"/>
          <w:sz w:val="16"/>
          <w:szCs w:val="16"/>
        </w:rPr>
        <w:softHyphen/>
        <w:t>ротного двигателя М-72, но в этом случае исключалась непосредственная посадка пропеллера на коленчатый вал, поэтому был использован редуктор. При этом с це</w:t>
      </w:r>
      <w:r w:rsidRPr="00640820">
        <w:rPr>
          <w:rFonts w:ascii="Times New Roman" w:hAnsi="Times New Roman"/>
          <w:color w:val="000000" w:themeColor="text1"/>
          <w:sz w:val="16"/>
          <w:szCs w:val="16"/>
        </w:rPr>
        <w:softHyphen/>
        <w:t>лью снижения веса сняли коробку передач, сцепление и маховик. В качестве переда</w:t>
      </w:r>
      <w:r w:rsidRPr="00640820">
        <w:rPr>
          <w:rFonts w:ascii="Times New Roman" w:hAnsi="Times New Roman"/>
          <w:color w:val="000000" w:themeColor="text1"/>
          <w:sz w:val="16"/>
          <w:szCs w:val="16"/>
        </w:rPr>
        <w:softHyphen/>
        <w:t>чи использовались шестерни с внутренним зацеплением, хорошо компонующиеся в картере. Питание бензином осуществля</w:t>
      </w:r>
      <w:r w:rsidRPr="00640820">
        <w:rPr>
          <w:rFonts w:ascii="Times New Roman" w:hAnsi="Times New Roman"/>
          <w:color w:val="000000" w:themeColor="text1"/>
          <w:sz w:val="16"/>
          <w:szCs w:val="16"/>
        </w:rPr>
        <w:softHyphen/>
        <w:t>лось под давлением. Корпус аэросаней был деревянный, с набором из лонжеронов, шпангоутов и фа</w:t>
      </w:r>
      <w:r w:rsidRPr="00640820">
        <w:rPr>
          <w:rFonts w:ascii="Times New Roman" w:hAnsi="Times New Roman"/>
          <w:color w:val="000000" w:themeColor="text1"/>
          <w:sz w:val="16"/>
          <w:szCs w:val="16"/>
        </w:rPr>
        <w:softHyphen/>
        <w:t>нерной обшивкой. Подвеска - четырехлыж-ная. Кабаны лыж - пружинные, с продоль</w:t>
      </w:r>
      <w:r w:rsidRPr="00640820">
        <w:rPr>
          <w:rFonts w:ascii="Times New Roman" w:hAnsi="Times New Roman"/>
          <w:color w:val="000000" w:themeColor="text1"/>
          <w:sz w:val="16"/>
          <w:szCs w:val="16"/>
        </w:rPr>
        <w:softHyphen/>
        <w:t>ными рессорами</w:t>
      </w:r>
      <w:r w:rsidRPr="00640820">
        <w:rPr>
          <w:rFonts w:ascii="Times New Roman" w:hAnsi="Times New Roman"/>
          <w:color w:val="000000" w:themeColor="text1"/>
          <w:sz w:val="16"/>
          <w:szCs w:val="16"/>
          <w:vertAlign w:val="superscript"/>
        </w:rPr>
        <w:t>3</w:t>
      </w:r>
      <w:r w:rsidRPr="00640820">
        <w:rPr>
          <w:rFonts w:ascii="Times New Roman" w:hAnsi="Times New Roman"/>
          <w:color w:val="000000" w:themeColor="text1"/>
          <w:sz w:val="16"/>
          <w:szCs w:val="16"/>
        </w:rPr>
        <w:t>. Оси подвески - деревян</w:t>
      </w:r>
      <w:r w:rsidRPr="00640820">
        <w:rPr>
          <w:rFonts w:ascii="Times New Roman" w:hAnsi="Times New Roman"/>
          <w:color w:val="000000" w:themeColor="text1"/>
          <w:sz w:val="16"/>
          <w:szCs w:val="16"/>
        </w:rPr>
        <w:softHyphen/>
        <w:t>ные. Тормоза лыж - штырьевые на задних лыжах. Передние лыжи были выполнены уп</w:t>
      </w:r>
      <w:r w:rsidRPr="00640820">
        <w:rPr>
          <w:rFonts w:ascii="Times New Roman" w:hAnsi="Times New Roman"/>
          <w:color w:val="000000" w:themeColor="text1"/>
          <w:sz w:val="16"/>
          <w:szCs w:val="16"/>
        </w:rPr>
        <w:softHyphen/>
        <w:t>равляемыми. При испытании ВМГ наблюдались зна</w:t>
      </w:r>
      <w:r w:rsidRPr="00640820">
        <w:rPr>
          <w:rFonts w:ascii="Times New Roman" w:hAnsi="Times New Roman"/>
          <w:color w:val="000000" w:themeColor="text1"/>
          <w:sz w:val="16"/>
          <w:szCs w:val="16"/>
        </w:rPr>
        <w:softHyphen/>
        <w:t>чительные вибрации от инерционных на</w:t>
      </w:r>
      <w:r w:rsidRPr="00640820">
        <w:rPr>
          <w:rFonts w:ascii="Times New Roman" w:hAnsi="Times New Roman"/>
          <w:color w:val="000000" w:themeColor="text1"/>
          <w:sz w:val="16"/>
          <w:szCs w:val="16"/>
        </w:rPr>
        <w:softHyphen/>
        <w:t>грузок, вызванные низкой точностью обра</w:t>
      </w:r>
      <w:r w:rsidRPr="00640820">
        <w:rPr>
          <w:rFonts w:ascii="Times New Roman" w:hAnsi="Times New Roman"/>
          <w:color w:val="000000" w:themeColor="text1"/>
          <w:sz w:val="16"/>
          <w:szCs w:val="16"/>
        </w:rPr>
        <w:softHyphen/>
        <w:t>ботки шестерен передачи. Ввиду приме</w:t>
      </w:r>
      <w:r w:rsidRPr="00640820">
        <w:rPr>
          <w:rFonts w:ascii="Times New Roman" w:hAnsi="Times New Roman"/>
          <w:color w:val="000000" w:themeColor="text1"/>
          <w:sz w:val="16"/>
          <w:szCs w:val="16"/>
        </w:rPr>
        <w:softHyphen/>
        <w:t>нения внутреннего зацепления пришлось отказаться от шлифовки зубьев, кроме того, шестерни имели неравномерный люфт, хотя и были изготовлены на Станкозаводе. Люфты и низкое качество обработки повер</w:t>
      </w:r>
      <w:r w:rsidRPr="00640820">
        <w:rPr>
          <w:rFonts w:ascii="Times New Roman" w:hAnsi="Times New Roman"/>
          <w:color w:val="000000" w:themeColor="text1"/>
          <w:sz w:val="16"/>
          <w:szCs w:val="16"/>
        </w:rPr>
        <w:softHyphen/>
        <w:t>хности шестерен вызывали значительные вибрации конструкции, усугублявшиеся отсутствием маховика, поэтому в ходе ис</w:t>
      </w:r>
      <w:r w:rsidRPr="00640820">
        <w:rPr>
          <w:rFonts w:ascii="Times New Roman" w:hAnsi="Times New Roman"/>
          <w:color w:val="000000" w:themeColor="text1"/>
          <w:sz w:val="16"/>
          <w:szCs w:val="16"/>
        </w:rPr>
        <w:softHyphen/>
        <w:t>пытаний произошло пять поломок вала мотора. Подача топлива под давлением также оказалась неудачной, так как имело место переливание бензина. В то же время ходовые качества аэроса</w:t>
      </w:r>
      <w:r w:rsidRPr="00640820">
        <w:rPr>
          <w:rFonts w:ascii="Times New Roman" w:hAnsi="Times New Roman"/>
          <w:color w:val="000000" w:themeColor="text1"/>
          <w:sz w:val="16"/>
          <w:szCs w:val="16"/>
        </w:rPr>
        <w:softHyphen/>
        <w:t>ней РФ-7 были признаны удовлетворитель</w:t>
      </w:r>
      <w:r w:rsidRPr="00640820">
        <w:rPr>
          <w:rFonts w:ascii="Times New Roman" w:hAnsi="Times New Roman"/>
          <w:color w:val="000000" w:themeColor="text1"/>
          <w:sz w:val="16"/>
          <w:szCs w:val="16"/>
        </w:rPr>
        <w:softHyphen/>
        <w:t>ными (11855).</w:t>
      </w:r>
    </w:p>
    <w:p w14:paraId="558C616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80A6AD" w14:textId="77777777" w:rsidR="00D07FCB" w:rsidRPr="00640820" w:rsidRDefault="00D07F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начальник 7-го Управления ГАБТУ военинженер 1-го ранга Смирнов утвердил ТТТ на легкие аэросани. В числе прочего предусматривалась установка на одноместных аэросанях с мотоциклетным мотором пулемета с боекомплектом и запасом гранат. Указывалось, что «расположение места водителя, педалей управления и вооружения должно быть запроектировано так, чтобы водитель при движении мог вести наблюдение за впереди лежащей местностью, управлять санями и вести огонь в случае надобности как с хода, так и с места». Разработка аэросаней первоначально поручалась ОКБ НКРФ, в дальнейшем к тематике легких снегоходов подключились НАМИ, ЦКБ ГСДП, Академия БТиМВ и Ирбитский мотозавод. ОКБ НКРФ было поставлено перед очень трудной задачей — создать легкие аэросани с тем же вооружением, что и у тяжелых машин, и с сопоставимым радиусом действия. Работы по созданию легких аэросаней конструкции ОКБ НКРФ, получивших обозначение РФ-7, были разбиты на два основных этапа: создание винтомоторной группы (ВМГ) и проектирование собственно аэросаней. Предполагалась установка многооборотного двигателя М-72, но в этом случае исключалась непосредственная посадка пропеллера на коленчатый вал, поэтому был использован редуктор. При этом с целью снижения веса сняли коробку передач, сцепление и маховик. В качестве передачи использовались шестерни с внутренним зацеплением, хорошо компонующиеся в картере. Питание бензином осуществлялось под давлением. Корпус аэросаней был деревянный, с набором из лонжеронов, шпангоутов и фанерной обшивкой. Подвеска — четырехлыжная. Кабаны лыж — пружинные, с продольными рессорами. Оси подвески — деревянные. Тормоза лыж — штырьевые на задних лыжах. Передние лыжи были выполнены управляемыми. При испытании ВМГ наблюдались значительные вибрации от инерционных нагрузок, вызванные низкой точностью обработки шестерен передачи, не прошедших шлифовку, и кроме того, имевших неравномерный люфт. Люфты и вибрации конструкции усугублялись отсутствием маховика, поэтому в ходе испытаний произошло пять поломок вала мотора. Подача топлива под давлением также оказалась неудачной, так как имело место переливание бензина. В то же время ходовые качества аэросаней РФ-7 были признаны удовлетворительными. Эксплуатация РФ-7 зимой 1941–1942 гг. показала, что в условиях слабой производственной базы существующая конструкция ВМГ неприемлема. Карбюратор двигателя не допускал подачи топлива под давлением. К январю 1943 г. спроектировали и установили привод от мотора к винту мотоциклетной цепью. На валу мотора были размещены маховик и пружинная эластичная муфта. Подача топлива теперь производилась самотеком. Усовершенствованная силовая установка была испытана сначала на аэросанях РФ7, а летом опробована на глиссере. В результате проведенных мероприятий работа ВМГ стала значительно более стабильной. Хотя после доработки аэросани РФ-7 в целом соответствовали ТТТ ГАБТУ, в ОКБ НКРФ пришли к выводу о неприемлемости традиционных конструктивных схем и решений для постройки маломощных аэросаней. Главными принципами при создании новых аэросаней, названных РФ-12, стали снижение веса и поиск новой конструктивной схемы (19776).</w:t>
      </w:r>
    </w:p>
    <w:p w14:paraId="3386F106" w14:textId="77777777" w:rsidR="00D07FCB" w:rsidRPr="00640820" w:rsidRDefault="00D07FCB" w:rsidP="00640820">
      <w:pPr>
        <w:spacing w:after="0" w:line="240" w:lineRule="auto"/>
        <w:jc w:val="both"/>
        <w:rPr>
          <w:rFonts w:ascii="Times New Roman" w:hAnsi="Times New Roman"/>
          <w:color w:val="000000" w:themeColor="text1"/>
          <w:sz w:val="16"/>
          <w:szCs w:val="16"/>
        </w:rPr>
      </w:pPr>
    </w:p>
    <w:p w14:paraId="5AD9332B" w14:textId="77777777" w:rsidR="0042350C" w:rsidRPr="00640820" w:rsidRDefault="0042350C" w:rsidP="00640820">
      <w:pPr>
        <w:pStyle w:val="Bodytext1"/>
        <w:shd w:val="clear" w:color="auto" w:fill="auto"/>
        <w:spacing w:line="240" w:lineRule="auto"/>
        <w:ind w:firstLine="0"/>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В октябре 1941 г. от М.Д. Кошелева и В.И. Гуляева поступило предложение по «бо</w:t>
      </w:r>
      <w:r w:rsidRPr="00640820">
        <w:rPr>
          <w:rFonts w:ascii="Times New Roman" w:hAnsi="Times New Roman" w:cs="Times New Roman"/>
          <w:color w:val="000000" w:themeColor="text1"/>
          <w:sz w:val="16"/>
          <w:szCs w:val="16"/>
        </w:rPr>
        <w:softHyphen/>
        <w:t>евой торпеде» с ракетным двигателем с це</w:t>
      </w:r>
      <w:r w:rsidRPr="00640820">
        <w:rPr>
          <w:rFonts w:ascii="Times New Roman" w:hAnsi="Times New Roman" w:cs="Times New Roman"/>
          <w:color w:val="000000" w:themeColor="text1"/>
          <w:sz w:val="16"/>
          <w:szCs w:val="16"/>
        </w:rPr>
        <w:softHyphen/>
        <w:t>лью применения не только на суше, но и на флоте и в авиации. Реализацию данной идеи отложили «до лучших</w:t>
      </w:r>
      <w:r w:rsidRPr="00640820">
        <w:rPr>
          <w:rStyle w:val="BodytextItalic8"/>
          <w:rFonts w:ascii="Times New Roman" w:eastAsiaTheme="minorHAnsi" w:hAnsi="Times New Roman" w:cs="Times New Roman"/>
          <w:i w:val="0"/>
          <w:color w:val="000000" w:themeColor="text1"/>
          <w:sz w:val="16"/>
          <w:szCs w:val="16"/>
        </w:rPr>
        <w:t xml:space="preserve"> времен</w:t>
      </w:r>
      <w:r w:rsidRPr="00640820">
        <w:rPr>
          <w:rFonts w:ascii="Times New Roman" w:hAnsi="Times New Roman" w:cs="Times New Roman"/>
          <w:color w:val="000000" w:themeColor="text1"/>
          <w:sz w:val="16"/>
          <w:szCs w:val="16"/>
        </w:rPr>
        <w:t>», однако реко</w:t>
      </w:r>
      <w:r w:rsidRPr="00640820">
        <w:rPr>
          <w:rFonts w:ascii="Times New Roman" w:hAnsi="Times New Roman" w:cs="Times New Roman"/>
          <w:color w:val="000000" w:themeColor="text1"/>
          <w:sz w:val="16"/>
          <w:szCs w:val="16"/>
        </w:rPr>
        <w:softHyphen/>
        <w:t>мендовали авторам обратиться в НИМТИ для уточнения требований, предъявляемых к тор</w:t>
      </w:r>
      <w:r w:rsidRPr="00640820">
        <w:rPr>
          <w:rFonts w:ascii="Times New Roman" w:hAnsi="Times New Roman" w:cs="Times New Roman"/>
          <w:color w:val="000000" w:themeColor="text1"/>
          <w:sz w:val="16"/>
          <w:szCs w:val="16"/>
        </w:rPr>
        <w:softHyphen/>
        <w:t>педному оружию (17745).</w:t>
      </w:r>
    </w:p>
    <w:p w14:paraId="598CD71B" w14:textId="77777777" w:rsidR="0042350C" w:rsidRPr="00640820" w:rsidRDefault="0042350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B2502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года для решения всех вопросов по строительству, формированию и боевой подготовке при Начальнике Главного автобронетанкового управления (ГАБТУ) Красной Армии в системе аппарата НКПС были созданы специальные отделы бронепоездов (9642).</w:t>
      </w:r>
    </w:p>
    <w:p w14:paraId="25DE8E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616F4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встал вопрос о типе бронепоезда, так как опыт первых месяцев войны показал, что БП-35 и НКПС-42 с двумя четырехосными бронеплощадками имеют ряд существенных недостатков. Во-первых, их бронеплощадки были слишком громоздки, тяжелы и высоки, представляли собой хорошо видимую цель, во-вторых, они имели слабое бронирование, а в случае поражения одной из них бронепоезд терял половину вооружения. В связи с этим ГАБТУ приказало строить бронепоезда с двухосными бронеплощадками. Однако на них не имелось ни чертежей, ни технических условий. Для их разработки была создана конструкторская группа,которая в срочном порядке разработала проект двухосной бронеплощадни ОБ-3 (облегченная, вариант 3). Срочность постройки бронепоездов не давала возможности детально разработать ее чертежи. Поэтому после выбора конструкции бронекорпуса и башни общий вид бронеплощадни в перспективном изображении с основными размерами для раскроя листов брони был передан на пункты строительства фототелеграммой. В дальнейшем, по мере готовности, высылались общие виды и узловые чертежи площадки, а также схематические чертежи внутреннего оборудования и орудийных установок.</w:t>
      </w:r>
    </w:p>
    <w:p w14:paraId="19ADC3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Изготовление бронепоездов типа ОБ-3 велось одновременно на 9 заводах НКПС и в 43 железнодорожных депо. Необходимые для строительства материалы, за исключением брони и вооружения, использовались те, что имелись на местах. Броневые детали поставлялись с ближайших металлургических и танковых заводов. На большинстве бронепоездов ОБ-3 броневое покрытие ставилось из незакаленных листов, так как предприятия НКПС термическую обработку проводить не могли. Там, где строительство велось рядом с заводами, могущими провести термообработку брони, удалось покрытие бронепоездов сделать из термически обработанных деталей.</w:t>
      </w:r>
    </w:p>
    <w:p w14:paraId="3A41A8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Правда, таких поездов было мало ("Лунинец", "Омский железнодорожник", "Енисей", "Красноярец"). Часть бронепоездов вообще изготовили не из броневой, а из обычной стали: ее листы устанавливались с зазором, в который заливался цементный раствор.</w:t>
      </w:r>
    </w:p>
    <w:p w14:paraId="03E7FF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Подвижной состав - паровозы и платформы - выделялся на месте и после ремонта подавался под бронировку. Материалы и аппаратура внутренней связи и электрооборудование использовались железнодорожного типа из запасов депо и заводов. В целом же строительство бронепоездов в вопросах снабжения материалами было ориентировано на обеспечение из местных ресурсов.</w:t>
      </w:r>
    </w:p>
    <w:p w14:paraId="763BBC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вооружения бронепоездов ГАУ Красной Армии в этот период смогло выделить только пушки старых отечественных или иностранных образцов: 76-мм обр.1902 г., 76-мм обр.1927 г., 76-мм обр.1927/32 г., 76-мм зенитные обр.1914 г., 76-мм танковые Л-10, 75-мм французские и польские, а также в незначительном количестве 76-мм полевые Ф-22 и танковые Ф-34. Пулеметное вооружение было отпущено трех образцов: 7,62-мм "Максим" и ДТ и 7,92-мм "Браунинг". Артсистемы и пулеметы, как правило, отпускались без запасных частей, а иностранные образцы частично в неисправном состоянии. Артиллерийские приборы были выделены в незначительных количествах.</w:t>
      </w:r>
    </w:p>
    <w:p w14:paraId="6CB458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Одновременно со строительством бронепоездов велось формирование их команд, а руководство оборудованием боевых составов осуществлялось под контролем командира дивизиона. Команды принимали активное участие в строительстве, а по готовности принимали бронепоезда.</w:t>
      </w:r>
    </w:p>
    <w:p w14:paraId="5DA4AD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Каждый бронепоезд типа ОБ-3 состоял из четырех однотипных двухосных бронеплощадок и бронепаровоза.</w:t>
      </w:r>
    </w:p>
    <w:p w14:paraId="11AE0D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Паровоз серии Ов или Ок располагался посередине состава. Толщина брони на нем составляла от 30 до 50 мм. На паровозе находилась рубка командира бронепоезда, оборудованная для наблюдения за полем боя большой стереотрубой "БСТ" или танковой панорамой "ПТК" и смотровыми отверстиями. Для внешней связи там же устанавливалась радиостанция - 71-ТК-1, 71-ТК-З или английская № 9. На тендере располагалась башня ПВО с пулеметами ДШК, "Максим" или "Браунинг". Для броневагонов использовались двухосные 20-тонные платформы с толщиной брони от 30 до 80 мм (часто бронирование было многослойным). Для увеличения снарядостойности борта бронеплощадок устанавливались под наклоном до 30°. Броневые листы нашивались на каркас из швеллеров и уголков и соединялись при помощи заклепок или болтов. Каждая бронеплощадка вооружалась орудием, установленным во вращающейся башне шестигранной формы, и пятью пулеметами (один в башне и четыре по бортам). Штатный боекомплект площадки состоял из 180 снарядов и 6300 патронов, уложенных в специальные стеллажи. Никаких оптических приборов, кроме орудийного прицела, на площадках не было. Наблюдение осуществлялось через смотровые щели. Экипаж бронеплощадки состоял из 12 человек. Для связи между вагонами и паровозом весь состав оборудовался телефоном и переговорными трубами корабельного типа. Электроэнергия для освещения вырабатывалась турбогенератором, установленным на паровозе, а для отопления состава в холодное время имелась система труб с подачей пара от котла. Вообще следует отметить, что каждый бронепоезд типа ОБ-3 имел свои особенности как по внутреннему оборудованию, так и по внешнему виду.</w:t>
      </w:r>
    </w:p>
    <w:p w14:paraId="5D4B1B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Почти все изготовленные бронепоезда с пунктов строительства приходили на Московский железнодорожный узел, где подвергались осмотру и доделкам. Осмотр производился представителями Управления бронепоездов ГАБТУ и НКПС с целью выявить готовность материальной части к выполнению боевых задач. Ввиду того, что ОБ-3 строились с минимальным количеством чертежей и людьми, впервые участвовавшими в подобном строительстве, вполне естественно, что на них после осмотра выявлялся целый ряд недоделок, которые перед отправкой на фронт требовалось устранить. После осмотра боевые составы с актами проведения необходимых работ поступали на ремонтные пункты Московского железнодорожного узла.</w:t>
      </w:r>
    </w:p>
    <w:p w14:paraId="2577C8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Благодаря устранению всех недостатков бронепоезда отправлялись на фронт качественными, укомплектованными и вполне пригодными для выполнения боевых задач.</w:t>
      </w:r>
    </w:p>
    <w:p w14:paraId="7F4EA0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Ввиду того, что на многих пунктах не было материалов, соответствующих чертежам, и вместо них использовались те, что были в наличии, а также часто из-за желания строителей сделать броневые корпуса как можно прочнее, масса бронеплощадок оказывалась завышенной, и в результате в Москве приходилось усиливать ходовые части платформ и даже устанавливать под бронеплощадни третью, дополнительную ось. Во многих местах чертежей придерживались только для ориентировки и бронировали (особенно паровозы) по месту. В результате многие бронепоезда имели поперечные размеры больше предусмотренных чертежами. При этих завышенных габаритных размерах они тем не менее свободно пропускались по сети железных дорог СССР. В 1944-1945 годах, когда встал вопрос о пропуске бронепоездов по западноевропейским железным дорогам, на этих боевых составах были проведены работы по уменьшению габаритов (9642).</w:t>
      </w:r>
    </w:p>
    <w:p w14:paraId="065D28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EF0ED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из Москвы в Йошкар-Олу был эвакуирован Московский прожекторный завод. Годовая программа на 1942 г. состояла из зарядно-осветительных и поражающих станций. План был выполнен на 69,5 %. Во втором полугодии завод работал при полном отсутствии электроэнергии, в IV квартале стоял. К началу 1943 г. строительные работы дали возможность создать нормальные производственные условия в части обеспечения выполнения программы завода производственными площадями и электроэнергией. На 1943 г. заводу была установлена новая номенклатура изделий - производство низковольтной аппаратуры и осветительного прибора "Луч". За 1943 г. план был выполнен на 110 %. За 1944 г. план был реализован на 117 % : изделий "Луч" выпущено 45 тыс. шт. вместо 38 тыс. шт. В 1945 г. выпуск производства на заводе составил 77,5 % к плану. Невыполнение плана было связано со снижением спроса на военную продукцию завода (9707).</w:t>
      </w:r>
    </w:p>
    <w:p w14:paraId="3BE341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8459D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года был организован завод № 525 на базе предприятий стрелкового вооружения на основании Постановления ГКО:</w:t>
      </w:r>
    </w:p>
    <w:p w14:paraId="41BCBD6B" w14:textId="77777777" w:rsidR="00165A9C" w:rsidRPr="00640820" w:rsidRDefault="00165A9C" w:rsidP="0064082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Венюковского завода № 507 по производству 12,7 мм пулемета ДШК с универсальным станком УС;</w:t>
      </w:r>
    </w:p>
    <w:p w14:paraId="00BB97DA" w14:textId="77777777" w:rsidR="00165A9C" w:rsidRPr="00640820" w:rsidRDefault="00165A9C" w:rsidP="0064082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цеха Тульского завода № 66 по производству авиационного пулемета ШКАС, крыльевого, синхронного и турельного;</w:t>
      </w:r>
    </w:p>
    <w:p w14:paraId="37BD41D7" w14:textId="77777777" w:rsidR="00165A9C" w:rsidRPr="00640820" w:rsidRDefault="00165A9C" w:rsidP="0064082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цеха Ковровского завода № 2 по производству крупно-калиберного пулемета ШВАК.</w:t>
      </w:r>
    </w:p>
    <w:p w14:paraId="72939F0F" w14:textId="77777777" w:rsidR="00165A9C" w:rsidRPr="00640820" w:rsidRDefault="00165A9C" w:rsidP="00640820">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Оборудование указанных предприятий перебазировано на площадку строившегося в тот период компрессорно-долотного завода. После перебазирования было сразу же организовано массово-поточное производство авиационного пулемета ШКАС, крыльевого, синхронного и турельного.</w:t>
      </w:r>
    </w:p>
    <w:p w14:paraId="2449F278" w14:textId="77777777" w:rsidR="00165A9C" w:rsidRPr="00640820" w:rsidRDefault="00165A9C" w:rsidP="00640820">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решению ГКО крупнокалиберный пулемет ШВАК в 1942 году с производства снят. Изготовление этого изделия на заводе не производилось.</w:t>
      </w:r>
    </w:p>
    <w:p w14:paraId="43E7AE59" w14:textId="77777777" w:rsidR="00165A9C" w:rsidRPr="00640820" w:rsidRDefault="00165A9C" w:rsidP="00640820">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время ВОВ завод освоил и наладил выпуск новых изделий:</w:t>
      </w:r>
    </w:p>
    <w:p w14:paraId="2A18747C" w14:textId="77777777" w:rsidR="00165A9C" w:rsidRPr="00640820" w:rsidRDefault="00165A9C" w:rsidP="0064082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морских спаренных турельных установок “2УКТ” с комплектом 12,7 мм пулеметов ДШК;</w:t>
      </w:r>
    </w:p>
    <w:p w14:paraId="07397EF5" w14:textId="77777777" w:rsidR="00165A9C" w:rsidRPr="00640820" w:rsidRDefault="00165A9C" w:rsidP="0064082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зенитных прицелов и пулеметов ДШК на универсальном станке.</w:t>
      </w:r>
    </w:p>
    <w:p w14:paraId="43C842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Куйбышев</w:t>
      </w:r>
    </w:p>
    <w:p w14:paraId="74AD71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 Комиссаров (9918).</w:t>
      </w:r>
    </w:p>
    <w:p w14:paraId="3CDC1C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32EC704" w14:textId="77777777" w:rsidR="00BA069A" w:rsidRPr="00640820" w:rsidRDefault="00BA069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октябре 1941 года железнодорожниками, рабочими паровозных и вагонных депо города Горького был построен Бронепоезд «Козьма Минин». В те же месяцы железнодорожниками города Мурома по чертежам, которыми пользовались горьковчане, был построен «Илья Муромец». Оба бронепоезда вошли в состав 31-го Отдельного Особого Горьковского дивизиона бронепоездов. Кроме того, для обеспечения вспомогательных служб дивизиону были приданы черный паровоз С-179, бронедрезина БД-39, две бронемашины БА-20, три мотоцикла М-72 и ИЖ-9, шесть грузовых автомашин ГАЗ-АА, две машины М-1, две – ГАЗ-64, специальные вагоны: штабной, медпункт, мастерская, кухня, баня, жилые. Личный состав дивизиона вместе с десантно-минометной ротой – 335 человек. В боевое формирование бронепоезда «Козьма Минин» входили бронепаровоз «Ов», две крытые и две открытые артиллерийские бронеплощадки и четыре двухосные контрольные платформы. </w:t>
      </w:r>
      <w:r w:rsidRPr="00640820">
        <w:rPr>
          <w:rFonts w:ascii="Times New Roman" w:hAnsi="Times New Roman"/>
          <w:color w:val="000000" w:themeColor="text1"/>
          <w:sz w:val="16"/>
          <w:szCs w:val="16"/>
        </w:rPr>
        <w:lastRenderedPageBreak/>
        <w:t xml:space="preserve">Командир бронепоезда наблюдал за противником и управлял огнем из командирской рубки, расположенной в верхней передней части тендера бронепаровоза и соединенной с будкой машиниста бронированной дверцей. Командиры бронеплощадок вели наблюдение из своих рубок через смотровые щели с триплексами, имели слуховую, звуковую и телефонную связь с рубкой командира и машинистом. Благодаря хорошему вооружению «Козьма Минин», к примеру, мог обеспечить большую концентрацию огня и вести прицельную стрельбу до </w:t>
      </w:r>
      <w:smartTag w:uri="urn:schemas-microsoft-com:office:smarttags" w:element="metricconverter">
        <w:smartTagPr>
          <w:attr w:name="ProductID" w:val="1945 г"/>
        </w:smartTagPr>
        <w:r w:rsidRPr="00640820">
          <w:rPr>
            <w:rFonts w:ascii="Times New Roman" w:hAnsi="Times New Roman"/>
            <w:color w:val="000000" w:themeColor="text1"/>
            <w:sz w:val="16"/>
            <w:szCs w:val="16"/>
          </w:rPr>
          <w:t>12 км</w:t>
        </w:r>
      </w:smartTag>
      <w:r w:rsidRPr="00640820">
        <w:rPr>
          <w:rFonts w:ascii="Times New Roman" w:hAnsi="Times New Roman"/>
          <w:color w:val="000000" w:themeColor="text1"/>
          <w:sz w:val="16"/>
          <w:szCs w:val="16"/>
        </w:rPr>
        <w:t xml:space="preserve">, то есть круговая зона обстрела доходила до </w:t>
      </w:r>
      <w:smartTag w:uri="urn:schemas-microsoft-com:office:smarttags" w:element="metricconverter">
        <w:smartTagPr>
          <w:attr w:name="ProductID" w:val="1945 г"/>
        </w:smartTagPr>
        <w:r w:rsidRPr="00640820">
          <w:rPr>
            <w:rFonts w:ascii="Times New Roman" w:hAnsi="Times New Roman"/>
            <w:color w:val="000000" w:themeColor="text1"/>
            <w:sz w:val="16"/>
            <w:szCs w:val="16"/>
          </w:rPr>
          <w:t>24 км</w:t>
        </w:r>
      </w:smartTag>
      <w:r w:rsidRPr="00640820">
        <w:rPr>
          <w:rFonts w:ascii="Times New Roman" w:hAnsi="Times New Roman"/>
          <w:color w:val="000000" w:themeColor="text1"/>
          <w:sz w:val="16"/>
          <w:szCs w:val="16"/>
        </w:rPr>
        <w:t xml:space="preserve">. Эти особенности бронепоезда хорошо дополнялись возможностью возить с собой большой боезапас. Для борьбы с авиацией противника на контрольные платформы дополнительно устанавливались крупнокалиберные пулеметы системы ДШК и трехспареные зенитные пулеметы ПВ-1. Для защиты расчетов от осколков бомб и снарядов вдоль бортов из рельсов и шпал укладывались штабеля. Бронепаровоз «Ов» имел толщину брони: на будке машиниста, цилиндрах, рубке командира – </w:t>
      </w:r>
      <w:smartTag w:uri="urn:schemas-microsoft-com:office:smarttags" w:element="metricconverter">
        <w:smartTagPr>
          <w:attr w:name="ProductID" w:val="1945 г"/>
        </w:smartTagPr>
        <w:r w:rsidRPr="00640820">
          <w:rPr>
            <w:rFonts w:ascii="Times New Roman" w:hAnsi="Times New Roman"/>
            <w:color w:val="000000" w:themeColor="text1"/>
            <w:sz w:val="16"/>
            <w:szCs w:val="16"/>
          </w:rPr>
          <w:t>45 мм</w:t>
        </w:r>
      </w:smartTag>
      <w:r w:rsidRPr="00640820">
        <w:rPr>
          <w:rFonts w:ascii="Times New Roman" w:hAnsi="Times New Roman"/>
          <w:color w:val="000000" w:themeColor="text1"/>
          <w:sz w:val="16"/>
          <w:szCs w:val="16"/>
        </w:rPr>
        <w:t xml:space="preserve">; на тендере, котле, сухопарнике, ходовой части – </w:t>
      </w:r>
      <w:smartTag w:uri="urn:schemas-microsoft-com:office:smarttags" w:element="metricconverter">
        <w:smartTagPr>
          <w:attr w:name="ProductID" w:val="1945 г"/>
        </w:smartTagPr>
        <w:r w:rsidRPr="00640820">
          <w:rPr>
            <w:rFonts w:ascii="Times New Roman" w:hAnsi="Times New Roman"/>
            <w:color w:val="000000" w:themeColor="text1"/>
            <w:sz w:val="16"/>
            <w:szCs w:val="16"/>
          </w:rPr>
          <w:t>30 мм</w:t>
        </w:r>
      </w:smartTag>
      <w:r w:rsidRPr="00640820">
        <w:rPr>
          <w:rFonts w:ascii="Times New Roman" w:hAnsi="Times New Roman"/>
          <w:color w:val="000000" w:themeColor="text1"/>
          <w:sz w:val="16"/>
          <w:szCs w:val="16"/>
        </w:rPr>
        <w:t xml:space="preserve">. На открытой артиллерийской бронеплощадке с боковой броней </w:t>
      </w:r>
      <w:smartTag w:uri="urn:schemas-microsoft-com:office:smarttags" w:element="metricconverter">
        <w:smartTagPr>
          <w:attr w:name="ProductID" w:val="1945 г"/>
        </w:smartTagPr>
        <w:r w:rsidRPr="00640820">
          <w:rPr>
            <w:rFonts w:ascii="Times New Roman" w:hAnsi="Times New Roman"/>
            <w:color w:val="000000" w:themeColor="text1"/>
            <w:sz w:val="16"/>
            <w:szCs w:val="16"/>
          </w:rPr>
          <w:t>45 мм</w:t>
        </w:r>
      </w:smartTag>
      <w:r w:rsidRPr="00640820">
        <w:rPr>
          <w:rFonts w:ascii="Times New Roman" w:hAnsi="Times New Roman"/>
          <w:color w:val="000000" w:themeColor="text1"/>
          <w:sz w:val="16"/>
          <w:szCs w:val="16"/>
        </w:rPr>
        <w:t xml:space="preserve"> устанавливались 25-мм и 37-мм полуавтоматические зенитные пушки. Посредине бронеплощадок реактивные установки М-8 (15218).</w:t>
      </w:r>
    </w:p>
    <w:p w14:paraId="1495DFCA" w14:textId="77777777" w:rsidR="00BA069A" w:rsidRPr="00640820" w:rsidRDefault="00BA069A" w:rsidP="00640820">
      <w:pPr>
        <w:spacing w:after="0" w:line="240" w:lineRule="auto"/>
        <w:jc w:val="both"/>
        <w:rPr>
          <w:rFonts w:ascii="Times New Roman" w:hAnsi="Times New Roman"/>
          <w:color w:val="000000" w:themeColor="text1"/>
          <w:sz w:val="16"/>
          <w:szCs w:val="16"/>
        </w:rPr>
      </w:pPr>
    </w:p>
    <w:p w14:paraId="54B6FB1C" w14:textId="77777777" w:rsidR="00165A9C" w:rsidRPr="00640820" w:rsidRDefault="00165A9C" w:rsidP="00640820">
      <w:pPr>
        <w:tabs>
          <w:tab w:val="left" w:pos="1408"/>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на площадку недостроенного ликеро-водочного завода недалеко от станции Красноярск был эвакуирован Запорожский комбайновый завод «Коммунар» и несколько цехов с оборудованием Люберецкого завода им. Ухтомского. На их базе был организован новый завод «Сельмага». Уже 11.10.1941 г. во временных цехах начат выпуск мин и снарядов для фронта, в 03.1942 г. первая партия боеприпасов отправлена на фронт. По приказу НКМВ № 203сс от 7.06.1942 г. на завод направлено 100 заключенных. В 06.1942 г. завод № 703 (Завод № 703 НКМВ , Красноярский завод «Сельмаш» НКМВ, Красноярский завод комбайнов НКМВ, ОАО «ПО «Красноярский завод комбайнов» /660049  г. Красноярск ул. Профсоюзов, 3/) - в ведении Главсельмаша НКМВ, приказом НКМВ № 250с от 7.07.1942 г. завод № 703 передан в ведение 1ГУ.</w:t>
      </w:r>
    </w:p>
    <w:p w14:paraId="0ACC39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12.1943 г. начато освоение производства зерноуборочных комбайнов, которое после войны стало основным для завода. 11.08.1944 г. вышло постановление ГКО № 6370 об ускорении строительства и ввода в действие в 1944 г. 1-й очереди Красноярского завода комбайнов НКМВ.</w:t>
      </w:r>
    </w:p>
    <w:p w14:paraId="57D595B3" w14:textId="77777777" w:rsidR="00165A9C" w:rsidRPr="00640820" w:rsidRDefault="00165A9C" w:rsidP="00640820">
      <w:pPr>
        <w:tabs>
          <w:tab w:val="left" w:pos="1115"/>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конца 1950-х  г. начат выпуск ТНП: мясорубок, зонтов, стиральных машин. В 1969 г. разработана собственная модель комбайна «Сибиряк». В 1950-е  г. завод выпускал до 4 тыс. комбайнов в год, в конце 1960-х - до 18 тыс. в год. В начале 1990-х  г. производство резко сократилось (в 1992 г. выпущено 400, а в 1998 г. - 294</w:t>
      </w:r>
    </w:p>
    <w:p w14:paraId="37DCE4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комбайна). Но уже к 2000 г. производство увеличено до 3000 машин в год. К началу 2000-х  г. всего построено около 700 тыс. комбайнов.</w:t>
      </w:r>
    </w:p>
    <w:p w14:paraId="304507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2000 г. на базе Красноярского завода комбайнов создан «Сибирский машиностроительный холдинг» («Сибмашхолдинг»), В 01.2003 г. на базе завода создано ПО «Красноярский завод комбайнов», в состав которого вошли также Назаровский машиностроительный завод и Красноярский ССЗ. В 03.2003 г. Красноярский завод комбайнов вошел в состав машиностроительной корпорации «Агромашхолдинг». Входил в Концерн «Тракторные заводы» (2006 г.).</w:t>
      </w:r>
    </w:p>
    <w:p w14:paraId="634212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(03.1946 г.)- 4345 чел., (1980 г.)- около 12 тыс. чел.</w:t>
      </w:r>
    </w:p>
    <w:p w14:paraId="78D0DF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(06.1942 г.)- Сосин. Гендиректор (-2003-08.2004 г.)- О. Кириллов (с 02.2004 г. одновременно- президент «Агромашхолдинга»), (08.2004 г.-)- А. Климашин.</w:t>
      </w:r>
    </w:p>
    <w:p w14:paraId="000EF93A" w14:textId="77777777" w:rsidR="00165A9C" w:rsidRPr="00640820" w:rsidRDefault="00165A9C" w:rsidP="00640820">
      <w:pPr>
        <w:tabs>
          <w:tab w:val="left" w:pos="1427"/>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начальника цеха: литейного (ВОВ)- И.И. Высочин. -</w:t>
      </w:r>
      <w:r w:rsidRPr="00640820">
        <w:rPr>
          <w:rFonts w:ascii="Times New Roman" w:hAnsi="Times New Roman"/>
          <w:color w:val="000000" w:themeColor="text1"/>
          <w:sz w:val="16"/>
          <w:szCs w:val="16"/>
          <w:lang w:val="en-US"/>
        </w:rPr>
        <w:t>J</w:t>
      </w:r>
      <w:r w:rsidRPr="00640820">
        <w:rPr>
          <w:rFonts w:ascii="Times New Roman" w:hAnsi="Times New Roman"/>
          <w:iCs/>
          <w:color w:val="000000" w:themeColor="text1"/>
          <w:sz w:val="16"/>
          <w:szCs w:val="16"/>
        </w:rPr>
        <w:tab/>
        <w:t>Производство:</w:t>
      </w:r>
      <w:r w:rsidRPr="00640820">
        <w:rPr>
          <w:rFonts w:ascii="Times New Roman" w:hAnsi="Times New Roman"/>
          <w:color w:val="000000" w:themeColor="text1"/>
          <w:sz w:val="16"/>
          <w:szCs w:val="16"/>
        </w:rPr>
        <w:t xml:space="preserve"> корпуса 82-мм мин, снаряды 45-мм, 76-мм (1942);</w:t>
      </w:r>
      <w:r w:rsidRPr="00640820">
        <w:rPr>
          <w:rFonts w:ascii="Times New Roman" w:hAnsi="Times New Roman"/>
          <w:iCs/>
          <w:color w:val="000000" w:themeColor="text1"/>
          <w:sz w:val="16"/>
          <w:szCs w:val="16"/>
        </w:rPr>
        <w:t xml:space="preserve"> комбайны:</w:t>
      </w:r>
      <w:r w:rsidRPr="00640820">
        <w:rPr>
          <w:rFonts w:ascii="Times New Roman" w:hAnsi="Times New Roman"/>
          <w:color w:val="000000" w:themeColor="text1"/>
          <w:sz w:val="16"/>
          <w:szCs w:val="16"/>
        </w:rPr>
        <w:t xml:space="preserve"> прицепной зерноуборочный</w:t>
      </w:r>
    </w:p>
    <w:p w14:paraId="597BCF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«Коммунар» (1944-), самоходные: С-4 (1947-), С-4М (1950-е), СК-3 (1959-), СКГ-3 (1959-), СК-4 (1965-), СКД-5 (1969-), «Сибиряк» (1969-), СКД-6 (1981-), «Енисей-1200 (1984-), -1200НМ (1994-), 1200У («Руслан», 2000-)».</w:t>
      </w:r>
    </w:p>
    <w:p w14:paraId="7DE5B2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Назаровский машиностроительный завод /г. Назарово Красноярского кр./</w:t>
      </w:r>
    </w:p>
    <w:p w14:paraId="6FEDD3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01.2003 г. завод вошел в состав ПО «Красноярский завод комбайнов». Входил в «Агромашхолдинг» (2004 г.) (11982).</w:t>
      </w:r>
    </w:p>
    <w:p w14:paraId="11D4E9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01EB6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произошел взрыв корпуса в цехе производства стойкого ОВ кожно-нарывного действия - иприта - на заводе № 96 в Дзержинске (Горьковская область), нынешнем ПО "Капролактам" (9067).</w:t>
      </w:r>
    </w:p>
    <w:p w14:paraId="255806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CF4CA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были созданы первые формирования НКПС - Военно-эксплуатационные управления (ВЭУ) и Военно-эксплуатационные отделения (ВЭО) (9090).</w:t>
      </w:r>
    </w:p>
    <w:p w14:paraId="16057C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B7D85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в г. Чернушка Пермской обл. эвакуирован завод № 14 НКС из Харькова, размещен в помещении училища механизации. Выпускал полевые телефонные аппараты и коммутаторы (Завод № 648 НКС /г. Чернушка Пермской обл./).</w:t>
      </w:r>
    </w:p>
    <w:p w14:paraId="498064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1945 г. реэвакуирован в Харьков и Одессу. Завод № 648 ликвидирован 28.05.1946 г.</w:t>
      </w:r>
    </w:p>
    <w:p w14:paraId="5D92B4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(1941 г.)- М.Е. Маневич.</w:t>
      </w:r>
    </w:p>
    <w:p w14:paraId="6032F0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(ВОВ)- Олив.</w:t>
      </w:r>
    </w:p>
    <w:p w14:paraId="1D52EE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цехов: механического (ВОВ)- П.П. Носик; монтажно-сборочного (ВОВ)- Л.И. Гуревич; столярного (ВОВ)- Л.И. Гуревич.</w:t>
      </w:r>
    </w:p>
    <w:p w14:paraId="119661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ОКС (</w:t>
      </w:r>
      <w:r w:rsidRPr="00640820">
        <w:rPr>
          <w:rFonts w:ascii="Times New Roman" w:hAnsi="Times New Roman"/>
          <w:color w:val="000000" w:themeColor="text1"/>
          <w:sz w:val="16"/>
          <w:szCs w:val="16"/>
          <w:lang w:val="en-US"/>
        </w:rPr>
        <w:t>BOB</w:t>
      </w:r>
      <w:r w:rsidRPr="00640820">
        <w:rPr>
          <w:rFonts w:ascii="Times New Roman" w:hAnsi="Times New Roman"/>
          <w:color w:val="000000" w:themeColor="text1"/>
          <w:sz w:val="16"/>
          <w:szCs w:val="16"/>
        </w:rPr>
        <w:t xml:space="preserve">)- </w:t>
      </w:r>
      <w:r w:rsidRPr="00640820">
        <w:rPr>
          <w:rFonts w:ascii="Times New Roman" w:hAnsi="Times New Roman"/>
          <w:color w:val="000000" w:themeColor="text1"/>
          <w:sz w:val="16"/>
          <w:szCs w:val="16"/>
          <w:lang w:val="en-US"/>
        </w:rPr>
        <w:t>P</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Шарлот (11982).</w:t>
      </w:r>
    </w:p>
    <w:p w14:paraId="511DBF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D52DB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года, когда была выпущена первая товарная продукция, Завод № 253, который строился с 1939 и получил частично эвакуирован из Ленинграда в июле-августе 1941 года завод № 5, был фактически пущен в эксплуатацию.</w:t>
      </w:r>
    </w:p>
    <w:p w14:paraId="6EBBD6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 времени окончания ВОВ завод выпускал различные виды капсюльных и др. изделий.</w:t>
      </w:r>
    </w:p>
    <w:p w14:paraId="371289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Муром Владимирской области, п/я 17</w:t>
      </w:r>
    </w:p>
    <w:p w14:paraId="5D441B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И.о. директора – Деричев (10031).</w:t>
      </w:r>
    </w:p>
    <w:p w14:paraId="18DFFB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3D297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в Усть-Катав прибыл завод № 13 из Брянска на площадку УКВЗ.</w:t>
      </w:r>
    </w:p>
    <w:p w14:paraId="20F91F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УКВЗ основан в 1758 г. как железоделательный завод. В конце XIX в. преобразован в вагоностроительный завод. С начала 1950-х г. начались работы по РКТ.</w:t>
      </w:r>
    </w:p>
    <w:p w14:paraId="10429B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1965 г. Вагонзавод передан из системы СНХ в подчинение 2ГУ МОМ и по приказу от 6.03.1966 г. переименован в УКВЗ.</w:t>
      </w:r>
    </w:p>
    <w:p w14:paraId="665281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Принимал участие в программах: «Союз», «Космос», «Энергия-Буран», «Ресурс», «Салют», «Мир», «Союз-Аполлон», «Вега», «Фобос», МКС, GSLV.</w:t>
      </w:r>
    </w:p>
    <w:p w14:paraId="063201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ЖРД разработки КБХА.50 Производство трамваев (1990-е-2004 г.-).</w:t>
      </w:r>
    </w:p>
    <w:p w14:paraId="477BCB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7331FF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(1967 г.-)- В.Х. Догужиев, Ю.А. Кирилычев. Гендиректор (2002 г.)- В.Н. Сазонов.</w:t>
      </w:r>
    </w:p>
    <w:p w14:paraId="60348D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(2002 г.)- В.С. Миранцов.</w:t>
      </w:r>
    </w:p>
    <w:p w14:paraId="5B1CB6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по спецтехнике (2002 г.)- Ю.Н. Цыганов.</w:t>
      </w:r>
    </w:p>
    <w:p w14:paraId="779736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Производство: ЖРД: первый отечественный кислородно-водородный КВД-1.69 </w:t>
      </w:r>
    </w:p>
    <w:p w14:paraId="7F138C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13 НКВ</w:t>
      </w:r>
    </w:p>
    <w:p w14:paraId="2BF15C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Усть-Катав</w:t>
      </w:r>
    </w:p>
    <w:p w14:paraId="658376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Усть-Катавский вагоностроительный завод (УКВЗ) им. С.М. Кирова МОМ, Вагонзавод СНХ, ФГУП УКВЗ</w:t>
      </w:r>
    </w:p>
    <w:p w14:paraId="7F754A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456040 г. Усть-Катав Челябинской обл. ул. Заводская, 1 тел. 26-541 (10776).</w:t>
      </w:r>
    </w:p>
    <w:p w14:paraId="51C138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C944E5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1941завод № 37 из подмосковного Черкизо</w:t>
      </w:r>
      <w:r w:rsidRPr="00640820">
        <w:rPr>
          <w:rFonts w:ascii="Times New Roman" w:hAnsi="Times New Roman"/>
          <w:color w:val="000000" w:themeColor="text1"/>
          <w:sz w:val="16"/>
          <w:szCs w:val="16"/>
        </w:rPr>
        <w:softHyphen/>
        <w:t>ва отбыл в Свердловск, на территорию вагоноре</w:t>
      </w:r>
      <w:r w:rsidRPr="00640820">
        <w:rPr>
          <w:rFonts w:ascii="Times New Roman" w:hAnsi="Times New Roman"/>
          <w:color w:val="000000" w:themeColor="text1"/>
          <w:sz w:val="16"/>
          <w:szCs w:val="16"/>
        </w:rPr>
        <w:softHyphen/>
        <w:t>монтного завода имени Воеводина. Перевозка оборудования велась недолго, с 28 октября по 6 ноября, а уже 10 ноября вместе с частью эвакуированного туда завода «КИМ» здесь был образован новый танковый за</w:t>
      </w:r>
      <w:r w:rsidRPr="00640820">
        <w:rPr>
          <w:rFonts w:ascii="Times New Roman" w:hAnsi="Times New Roman"/>
          <w:color w:val="000000" w:themeColor="text1"/>
          <w:sz w:val="16"/>
          <w:szCs w:val="16"/>
        </w:rPr>
        <w:softHyphen/>
        <w:t>вод № 37 (главный конструктор Г. Суренян), и 1 января 1942 г. первые 20 танков Т-60Ш, собранные из привезенных Деталей, прошли по улицам Свердловска и отбыли на фронт. За первый квартал 1942 г. здесь было выпущено свыше 500 танков, а всего за 1942 г. - 1639 машин (10782).</w:t>
      </w:r>
    </w:p>
    <w:p w14:paraId="608E4A7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CB1EE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завод № 38 эвакуировался в Киров, на территорию завода Имени 1 мая, где начало свою деятель</w:t>
      </w:r>
      <w:r w:rsidRPr="00640820">
        <w:rPr>
          <w:rFonts w:ascii="Times New Roman" w:hAnsi="Times New Roman"/>
          <w:color w:val="000000" w:themeColor="text1"/>
          <w:sz w:val="16"/>
          <w:szCs w:val="16"/>
        </w:rPr>
        <w:softHyphen/>
        <w:t>ность не только бронекорпусное, но уже и танковое произ</w:t>
      </w:r>
      <w:r w:rsidRPr="00640820">
        <w:rPr>
          <w:rFonts w:ascii="Times New Roman" w:hAnsi="Times New Roman"/>
          <w:color w:val="000000" w:themeColor="text1"/>
          <w:sz w:val="16"/>
          <w:szCs w:val="16"/>
        </w:rPr>
        <w:softHyphen/>
        <w:t>водство (главный конструктор - М.Н. Щукин) Первые пять Т-60 были сданы в Кирове уже в январе 1942 г., за I квартал 1942 г. здесь изготовили 241 машину, а по июнь — 535 (10782).</w:t>
      </w:r>
    </w:p>
    <w:p w14:paraId="046C764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035C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года завод № 38 был эвакуирован из Тулы на Урал в Юрюзань, а прокатный цех в Нытву Пермской области. В начале 1942 года завод после быстрого проведения восстановительных работ, стал обеспечивать фронт боеприпасами. В этот период заводу был присвоен № 539 (10252).</w:t>
      </w:r>
    </w:p>
    <w:p w14:paraId="2C05AB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0A1DE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на площадку завода (Завод № 46 ИМ. В.И. Ленина НКВ, Ижевскнй завод строительного и дорожного машиностроения, Ижевский опытно-показательный редукторный завод, Ижевский редукторный завод им. В.И. Ленина, ОАО «Редуктор» /Удмуртия 426008  г. Ижевск ул. Кирова, 172/) эвакуирован Харьковский завод подъемно-транспортного оборудования и они объединены в один завод, который в 1943 г. получил № 46 в ведении НКВ. Начато производство деталей для танков Т-34 и стрелкового оружия. С 1944 г. начат выпуск редукторов.</w:t>
      </w:r>
    </w:p>
    <w:p w14:paraId="0CD02D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В 1965 г. Ижевский завод строительного и дорожного машиностроения переименован в Ижевский Опытно- показательный редукторный завод. Он становится крупнейшим заводом страны и обеспечивает 75% ее потребности в цилиндрических редукторах. С 1965 по 1985 г. завод выполнял заказы </w:t>
      </w:r>
      <w:r w:rsidRPr="00640820">
        <w:rPr>
          <w:rFonts w:ascii="Times New Roman" w:hAnsi="Times New Roman"/>
          <w:color w:val="000000" w:themeColor="text1"/>
          <w:sz w:val="16"/>
          <w:szCs w:val="16"/>
          <w:lang w:val="en-US"/>
        </w:rPr>
        <w:t>MOM</w:t>
      </w:r>
      <w:r w:rsidRPr="00640820">
        <w:rPr>
          <w:rFonts w:ascii="Times New Roman" w:hAnsi="Times New Roman"/>
          <w:color w:val="000000" w:themeColor="text1"/>
          <w:sz w:val="16"/>
          <w:szCs w:val="16"/>
        </w:rPr>
        <w:t xml:space="preserve"> по производству редукторов для РКТ. Параллельно выпускались редукторы для народного хозяйства.</w:t>
      </w:r>
    </w:p>
    <w:p w14:paraId="2964E7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4.12.1992 г. завод был акционирован и преобразован в ОАО «Редуктор».</w:t>
      </w:r>
    </w:p>
    <w:p w14:paraId="1F1BF2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(2000-е): редукторы для общего машиностроения, для нефтедобывающей отрасли.</w:t>
      </w:r>
    </w:p>
    <w:p w14:paraId="0E3F00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Имелись производства (2000-е): чугунолитейное, механообрабатывающее, сборочное, термообработка, гальваническое, сварочное, кузнечно-прессовое, инструментальное, ремонтное, цех нестандартного оборудования.</w:t>
      </w:r>
    </w:p>
    <w:p w14:paraId="220836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имел филиалы (2000-е): ООО «Центральный торговый дом «Редуктор»«  г. Москва; ТД «Редукторнефтьсервис»  г. Кореновск; ООО «Торговый дом «Аскент»  г. Челябинск; ЗАО «НТЦ Приводная техника»  г. Иркутск; ООО «Промэлектросервис»  г. Пермь; ООО «Редуктор НН»  г. Нижний Новгород; ЗАО «РДР- Холдинг»  г. Чебоксары.</w:t>
      </w:r>
    </w:p>
    <w:p w14:paraId="3019B2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(2000 г.)-1600 чел.</w:t>
      </w:r>
    </w:p>
    <w:p w14:paraId="64E56F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Гендиректор (-2000-06 г.-)- С. М. Молчанов.</w:t>
      </w:r>
    </w:p>
    <w:p w14:paraId="50E9B1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гендиректора: по финансам (2000 г.)- М. П. Соловьева; по экономическим и правовым вопросам (2005 г.)- Р. В. Смаева; по снабжению и сбыту (2000 г.)- А. В. Цой; по маркетингу (2000 г.)- С. В. Самойлов.</w:t>
      </w:r>
    </w:p>
    <w:p w14:paraId="305157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Технический директор (2005 г.)- Ю. Голованов. Коммерческий директор (2006 г.)- А. В. Цой.</w:t>
      </w:r>
    </w:p>
    <w:p w14:paraId="3BA3BC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(2000 г.)- А. А. Скопин.</w:t>
      </w:r>
    </w:p>
    <w:p w14:paraId="138FF6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(2000 г.)- И.  Г. Ившин.</w:t>
      </w:r>
    </w:p>
    <w:p w14:paraId="14E3B1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гидропривод для зенитного орудия 2М-3 (конец 1940-х); редукторы: Р-3, Р-5, Р-10 (1940-е), РМ (1950-е), зубчатые (1960-е), для механизмов стартовых комплексов космодромов, для космических тренажеров, для механизмов запуска ракет, ПТ 58Р для телескопа «РАТАН-600», для шлюзов Куйбышевской и Волгоградской ГЭС, для лифтов Кремлевского дворца Съездов; лебедки и наводки Драгляйна для экскаваторов Э 1003 и Э 305 (1940-е), лебедки для добычи соли (11982).</w:t>
      </w:r>
    </w:p>
    <w:p w14:paraId="7E2517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FFC38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года в радиоотделение, эвакуированное в г. Свердловск, вливается и радиолаборатория, эвакуированная из Ленинграда. Таким образом, в 4 спецотдел НКВД попадают все три радиолаборатории, созданные в 1929 – 1931 годах для обеспечения оперативной техникой подразделений органов безопасности:</w:t>
      </w:r>
    </w:p>
    <w:p w14:paraId="3A1031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1.Радиолаборатория в поселке Кучино, занимавшаяся разработкой и изготовлением радиопеленгаторных, радиоприемных и звукозаписывающих устройств со штатом 210 человек.</w:t>
      </w:r>
    </w:p>
    <w:p w14:paraId="1A3F8C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Радиолаборатория в г. Москве (Спиридоновка 13), занимавшаяся разработкой и изготовлением агентурных приемо-передающих станций и аппаратурой для служб литер «Н» и «М» со штатом 110 человек.</w:t>
      </w:r>
    </w:p>
    <w:p w14:paraId="130088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 Радиолаборатория в г. Ленинграде, занимавшаяся той же тематикой, что и лаборатории в Кучино и на Спиридоновке со штатом 36 человек. </w:t>
      </w:r>
    </w:p>
    <w:p w14:paraId="1689BF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 в 4 Спецотдел НКВД СССР было передано 356 человек со всем лабораторным оборудованием.</w:t>
      </w:r>
    </w:p>
    <w:p w14:paraId="3D91F3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Лаборатории вскоре были объединены в единую Центральную Радиолабораторию (7 отделение 4 спецотдела НКВД). </w:t>
      </w:r>
    </w:p>
    <w:p w14:paraId="232BBF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Главную роль в организации объединения сначала двух московских лабораторий в Кучино, их эвакуации в г. Свердловск, объединении их в Свердловске с ленинградской лабораторией, реэвакуации объединенных лабораторий в Кучино, становлении и развитии ЦРЛ сыграл начальник лаборатории Железов Ф.Ф. (11711)</w:t>
      </w:r>
    </w:p>
    <w:p w14:paraId="606502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E2379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октяюре 1941 г. часть завода № 151 НКРП эвакуирована в Уфу на площадку пивоваренного завода. На новом месте был освоен выпуск аэростатов заграждения, хирургических перчаток. По приказу НКРП № 23 от 17.03.1942 г. на базе эвакуированных заводов № 150 и № 151 НКРП организован новый завод № 688 НКРП.</w:t>
      </w:r>
    </w:p>
    <w:p w14:paraId="520BB7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ГКО № 1198 от 23.01.1942 г. о восстановлении завода № 151 оборудование завода реэвакуировано на старое место, где было восстановлено производство. Имел наименование «п/я 1201».</w:t>
      </w:r>
    </w:p>
    <w:p w14:paraId="267952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налажен выпуск резинового клея, перчаток, прорезиненной ткани, клеенки медицинской, резиновой обуви, футбольных камер, приводных ремней. С 1953 г. проведена реконструкция завода, в 1965 г. - вторая реконструкция. В 1975 г. было принято решение о переносе на завод мощностей Ярославского завода РТИ, но это не было выполнено.</w:t>
      </w:r>
    </w:p>
    <w:p w14:paraId="175AD8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18.12.1992 г. завод преобразован в АООТ, а затем - в ОАО «Ярославрезинотехншеа». Входил в «НТМ- холдинг» (2002 г.).</w:t>
      </w:r>
    </w:p>
    <w:p w14:paraId="1322A2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завода (2008 г.): корпус № 8 (построен в 1940 г.), № 8А (1969 г.), цех № 36 (1987 г.), всего 11 производственных зданий общей площадью 47515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32C809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2008-09 г. предприятие являлось банкротом, имущество выставлено на торги.</w:t>
      </w:r>
    </w:p>
    <w:p w14:paraId="3F32FB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Гендиректор - А. Крутиков, (-2003-05 г.-)- Б.В. Котусенко. Конкурсный управляющий (2008 г.)- Е.Я. Рынденко.</w:t>
      </w:r>
    </w:p>
    <w:p w14:paraId="21F6CF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Производство: лодки надувные резиновые: </w:t>
      </w:r>
      <w:r w:rsidRPr="00640820">
        <w:rPr>
          <w:rFonts w:ascii="Times New Roman" w:hAnsi="Times New Roman"/>
          <w:color w:val="000000" w:themeColor="text1"/>
          <w:sz w:val="16"/>
          <w:szCs w:val="16"/>
          <w:lang w:val="en-US"/>
        </w:rPr>
        <w:t>JIAC</w:t>
      </w:r>
      <w:r w:rsidRPr="00640820">
        <w:rPr>
          <w:rFonts w:ascii="Times New Roman" w:hAnsi="Times New Roman"/>
          <w:color w:val="000000" w:themeColor="text1"/>
          <w:sz w:val="16"/>
          <w:szCs w:val="16"/>
        </w:rPr>
        <w:t xml:space="preserve">, </w:t>
      </w:r>
      <w:r w:rsidRPr="00640820">
        <w:rPr>
          <w:rFonts w:ascii="Times New Roman" w:hAnsi="Times New Roman"/>
          <w:color w:val="000000" w:themeColor="text1"/>
          <w:sz w:val="16"/>
          <w:szCs w:val="16"/>
          <w:lang w:val="en-US"/>
        </w:rPr>
        <w:t>JIH</w:t>
      </w:r>
      <w:r w:rsidRPr="00640820">
        <w:rPr>
          <w:rFonts w:ascii="Times New Roman" w:hAnsi="Times New Roman"/>
          <w:color w:val="000000" w:themeColor="text1"/>
          <w:sz w:val="16"/>
          <w:szCs w:val="16"/>
        </w:rPr>
        <w:t xml:space="preserve"> (1930-е), «Нырок» (1960-е); лодка моторная «Орион» (1970-е) (11982).</w:t>
      </w:r>
    </w:p>
    <w:p w14:paraId="14810BED" w14:textId="77777777" w:rsidR="00D9129E" w:rsidRPr="00640820" w:rsidRDefault="00D9129E" w:rsidP="00640820">
      <w:pPr>
        <w:autoSpaceDE w:val="0"/>
        <w:autoSpaceDN w:val="0"/>
        <w:adjustRightInd w:val="0"/>
        <w:spacing w:after="0" w:line="240" w:lineRule="auto"/>
        <w:jc w:val="both"/>
        <w:rPr>
          <w:rFonts w:ascii="Times New Roman" w:hAnsi="Times New Roman"/>
          <w:color w:val="000000" w:themeColor="text1"/>
          <w:sz w:val="16"/>
          <w:szCs w:val="16"/>
        </w:rPr>
      </w:pPr>
    </w:p>
    <w:p w14:paraId="35B34F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после начала войны московский завод «Динамо» был эвакуирован в Миасс (115 чел., 80 вагонов с оборудованием и материалами) и в Челябинск на площадку ЧТЗ. В Миасс эшелоны прибыли в начале декабря 1941 г. Оборудование размещено в 4-этажном кирпичном здании, построенном в 1909 г. купцом Поликарповым. Здесь были организованы цехи: механический, сборки установочной аппаратуры, инструментальный, ремонтно- механический; ОГМ, ЦИС, лаборатория. В другом каменном здании, одноэтажном размещены прессовый цех, кузница и гальваническая мастерская. В деревянных зданиях разместили моторный цех и ремонтно-строительный цех с тарным производством. Вначале завод имел две площадки: в Миассе и в Челябинске. Первую продукцию завод (цех в Челябинске) дал 15.01.1942 г. (этот день считается днем рождения завода). Начат выпуск кенонов для самолетов (Миасс) и электроаппаратов для танков (Челябинск).</w:t>
      </w:r>
    </w:p>
    <w:p w14:paraId="3B0A2B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НКЭП от 24.03.1942 г. Миасский завод электрооборудования переименован в ГС завод № 657 (ГС Завод № 657 НКЭП, Завод «Миассэлектроаппарат», АООТ «Миассэлектроаппарат», АООТ «Миассэлектро», ОАО «Миассэлектроаппарат» /456306  г. Миасс Челябинской обл. ул. Готвальда, 1/1/). В середине 1943 г. часть московского коллектива из Челябинска переведена в Миасс. В 1947 г. завод № 657 переименован в «Миассэлектроаппарат».</w:t>
      </w:r>
    </w:p>
    <w:p w14:paraId="103352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1948 г. начат выпуск трубчатых нагревателей. С 1957 г. в машинном цехе начат выпуск электродвигателей для пылесосов, а позднее- преобразователей.</w:t>
      </w:r>
    </w:p>
    <w:p w14:paraId="1BEEB8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11.1992 г. завод преобразован в АООТ «Миассэлектроаппарат». В 1998 г. на предприятии введено внешнее управление, оно продолжалось до 1.01.2005 г. Затем предприятие было преобразовано в АООТ «Миассэлектро», а 25.04.2000 г. - в ОАО «Миассэлектроаппарат».</w:t>
      </w:r>
    </w:p>
    <w:p w14:paraId="303485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Директор- </w:t>
      </w:r>
      <w:r w:rsidRPr="00640820">
        <w:rPr>
          <w:rFonts w:ascii="Times New Roman" w:hAnsi="Times New Roman"/>
          <w:color w:val="000000" w:themeColor="text1"/>
          <w:sz w:val="16"/>
          <w:szCs w:val="16"/>
          <w:lang w:val="en-US"/>
        </w:rPr>
        <w:t>JI</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Каневский, Н. Г. Пивоваров, (1968-87 г.)- В.А. Бусс. Внешний управляющий (1998 г.-)- В.Н. Ковалев.</w:t>
      </w:r>
    </w:p>
    <w:p w14:paraId="69E182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Исполнительный директор- В. Г. Ардабьевский.</w:t>
      </w:r>
    </w:p>
    <w:p w14:paraId="0B5AC0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трубчатые нагреватели ЭТ (1948-); электродвигатели: для пылесоса УВ-051пс (1957-); пылесос «Урал ПР-1».</w:t>
      </w:r>
    </w:p>
    <w:p w14:paraId="339DA7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«Динамо» им. С.М. Кирова НКМ, НКЭП, АЭК «Динамо» /г. Москва/</w:t>
      </w:r>
    </w:p>
    <w:p w14:paraId="4231A0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Был в 1916 г.</w:t>
      </w:r>
    </w:p>
    <w:p w14:paraId="04F06E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12.1938 г. завод «Динамо» - в ведении НКМ. В 1941 г. после начала войны завод «Динамо» им. С.М. Кирова был эвакуирован в Миасс и в Челябинск на площадку ЧТЗ. В Миасс эшелоны прибыли в начале декабря 1941 г.</w:t>
      </w:r>
    </w:p>
    <w:p w14:paraId="16D261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2.03.1942 г. вышло постановление ГКО № 1369 о возврате эвакуированного оборудования завода «Динамо» в Москву. Завод «Динамо» восстановлен после войны, был в 1975 г.</w:t>
      </w:r>
    </w:p>
    <w:p w14:paraId="1FE7BB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1944 г. была изготовлена электромеханическая трансмиссия для опытного тяжелого танка ИС-6. В 04.1945 г. работы по опытным образцам электротрансмиссий тяжелых танков продолжались.</w:t>
      </w:r>
    </w:p>
    <w:p w14:paraId="181196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2000 г. - АЭК «Динамо». В составе АЭК - ВНИИПКТИ Кранового и тягового электрооборудования (ВНИПТИ АЭК «Динамо»).</w:t>
      </w:r>
    </w:p>
    <w:p w14:paraId="75C9E3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(1940-41 г.)- И. Г. Кабанов, (07.1942 г.)- Бриль, (1955-56 г.)- С.В. Скориков.</w:t>
      </w:r>
    </w:p>
    <w:p w14:paraId="5D27F4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(-1940 г.)- И. Г. Кабанов.</w:t>
      </w:r>
    </w:p>
    <w:p w14:paraId="60E8C7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начальника цеха: тяговых моторов (1932 г.-)- И. Г. Кабанов.</w:t>
      </w:r>
    </w:p>
    <w:p w14:paraId="5D33B8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технического (-1937 г.)- И. Г. Кабанов.</w:t>
      </w:r>
    </w:p>
    <w:p w14:paraId="243D08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лабораторий: ЦЗЛ (1930-е)- И. Г. Кабанов.</w:t>
      </w:r>
    </w:p>
    <w:p w14:paraId="547C88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центробежные помпы и электродвигатели рулевых приводов для ПЛ (1916); вагоны для метро (1934); индукционная катушка для речной мины «Ремин» (1939); детали для минометов (1942).</w:t>
      </w:r>
    </w:p>
    <w:p w14:paraId="488864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ВНИИПКТИ Кранового и тягового электрооборудования (ВНИПТИ АЭК «Динамо») /г. Москва ул. Мастеркова, 4 тел. 275-61-66/</w:t>
      </w:r>
    </w:p>
    <w:p w14:paraId="3392C0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Гендиректор (2000 г.)- Ю.И. Фельдман (11982).</w:t>
      </w:r>
    </w:p>
    <w:p w14:paraId="1FE990B7" w14:textId="77777777" w:rsidR="00D9129E" w:rsidRPr="00640820" w:rsidRDefault="00D9129E" w:rsidP="00640820">
      <w:pPr>
        <w:autoSpaceDE w:val="0"/>
        <w:autoSpaceDN w:val="0"/>
        <w:adjustRightInd w:val="0"/>
        <w:spacing w:after="0" w:line="240" w:lineRule="auto"/>
        <w:jc w:val="both"/>
        <w:rPr>
          <w:rFonts w:ascii="Times New Roman" w:hAnsi="Times New Roman"/>
          <w:color w:val="000000" w:themeColor="text1"/>
          <w:sz w:val="16"/>
          <w:szCs w:val="16"/>
        </w:rPr>
      </w:pPr>
    </w:p>
    <w:p w14:paraId="5E617E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октябре 1941 г. основная часть Харьковского завод текстильных машин им. Т. Г. Шевченко (Завод № 285, п/я 409, Завод им. Т. Г. Шевченко НКМ, СНХ, Харьковский завод текстильных машин им. Т. Г. Шевченко, Завод текстильного машиностроения им. Т. Г. Шевченко ММиП, Харьковский приборный завод (ХПЗ) им. Т. Г. Шевченко </w:t>
      </w:r>
      <w:r w:rsidRPr="00640820">
        <w:rPr>
          <w:rFonts w:ascii="Times New Roman" w:hAnsi="Times New Roman"/>
          <w:color w:val="000000" w:themeColor="text1"/>
          <w:sz w:val="16"/>
          <w:szCs w:val="16"/>
          <w:lang w:val="en-US"/>
        </w:rPr>
        <w:t>MOM</w:t>
      </w:r>
      <w:r w:rsidRPr="00640820">
        <w:rPr>
          <w:rFonts w:ascii="Times New Roman" w:hAnsi="Times New Roman"/>
          <w:color w:val="000000" w:themeColor="text1"/>
          <w:sz w:val="16"/>
          <w:szCs w:val="16"/>
        </w:rPr>
        <w:t xml:space="preserve">, ГП «ХПЗ им. Т. Г. Шевченко» /Украина  г. Харьков ул. Шевченко, 1 «Завод им. Т. Г. Шевченко» (1948 г.)/ /Украина 61004  г. Харьков ул. Октябрьской </w:t>
      </w:r>
      <w:r w:rsidRPr="00640820">
        <w:rPr>
          <w:rFonts w:ascii="Times New Roman" w:hAnsi="Times New Roman"/>
          <w:color w:val="000000" w:themeColor="text1"/>
          <w:sz w:val="16"/>
          <w:szCs w:val="16"/>
        </w:rPr>
        <w:lastRenderedPageBreak/>
        <w:t>революции, 99/) эвакуирована в Пензу, где на его базе создан завод № 740 НКМВ; часть завода (производство корпусов 76-мм снарядов) - в Свердловск на завод № 612 НКБ, далее оборудование подлежало переотправке на другие заводы.</w:t>
      </w:r>
    </w:p>
    <w:p w14:paraId="5D3BA2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освобождения Харькова (23.08.1943 г.) завод реэвакуирован на прежнее место, в 09-10.1943 г. начато восстановление производства. В 1944 г. восстановлен как завод № 285. Имел наименование- «п/я 409». В 1947 г. Харьковский завод текстильного машиностроения им. Шевченко - в ведении ММиП.</w:t>
      </w:r>
    </w:p>
    <w:p w14:paraId="53DE2A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завода (1947 г.) цехи: основные: ватерных колец, механосборочный, литейный; вспомогательные: инструментальный, ремонтный.</w:t>
      </w:r>
    </w:p>
    <w:p w14:paraId="0D034A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После войны возобновлен выпуск текстильных машин и запчастей. Затем завод перепрофилирован на производство радиоаппаратуры. Выпускал аппаратуру слепой посадки для самолетов, аппаратуру КП, диспетчерских </w:t>
      </w:r>
      <w:r w:rsidRPr="00640820">
        <w:rPr>
          <w:rFonts w:ascii="Times New Roman" w:hAnsi="Times New Roman"/>
          <w:color w:val="000000" w:themeColor="text1"/>
          <w:sz w:val="16"/>
          <w:szCs w:val="16"/>
          <w:lang w:val="en-US"/>
        </w:rPr>
        <w:t>PJIC</w:t>
      </w:r>
      <w:r w:rsidRPr="00640820">
        <w:rPr>
          <w:rFonts w:ascii="Times New Roman" w:hAnsi="Times New Roman"/>
          <w:color w:val="000000" w:themeColor="text1"/>
          <w:sz w:val="16"/>
          <w:szCs w:val="16"/>
        </w:rPr>
        <w:t>, специальную для РКТ. С 1957 г.- производство аппаратуры управления для БР Р-7, ИСЗ, с 1960 г. - аппаратуры автономного управления Р-12, УР-100, затем Р-16. В 1970-е  г. - цифровая аппаратура для ракетных комплексов Челомея.</w:t>
      </w:r>
    </w:p>
    <w:p w14:paraId="524EA6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1954 г. - освоение бытовой радиоааппаратуры.</w:t>
      </w:r>
    </w:p>
    <w:p w14:paraId="2E66F7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Завод (№ 285) им. Т. Г. Шевченко передан из системы СНХ в подчинение 5ГУ </w:t>
      </w:r>
      <w:r w:rsidRPr="00640820">
        <w:rPr>
          <w:rFonts w:ascii="Times New Roman" w:hAnsi="Times New Roman"/>
          <w:color w:val="000000" w:themeColor="text1"/>
          <w:sz w:val="16"/>
          <w:szCs w:val="16"/>
          <w:lang w:val="en-US"/>
        </w:rPr>
        <w:t>MOM</w:t>
      </w:r>
      <w:r w:rsidRPr="00640820">
        <w:rPr>
          <w:rFonts w:ascii="Times New Roman" w:hAnsi="Times New Roman"/>
          <w:color w:val="000000" w:themeColor="text1"/>
          <w:sz w:val="16"/>
          <w:szCs w:val="16"/>
        </w:rPr>
        <w:t xml:space="preserve"> и по приказу от 6.03.1966 г. переименован в Харьковский приборный завод им. Т. Г. Шевченко. В 1975 г. на базе завода создано ПО «Монолит».</w:t>
      </w:r>
    </w:p>
    <w:p w14:paraId="3F3BE4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1970-е  г. построен новый цех по производству микросхем и печатных плат.</w:t>
      </w:r>
    </w:p>
    <w:p w14:paraId="77CC55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1980-е  г. - производство информационно-вычислительного комплекса для КА «Альтаир», аппаратуры комплекса предстартовой подготовки и пуска РН «Энергия». С 1992 г. освоен выпуск электронных приборов для бронетехники.</w:t>
      </w:r>
    </w:p>
    <w:p w14:paraId="74FF24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(1939 г.)-1148 ед., (1946 г.)- 221 ед., (1947 г.)- 282 ед.</w:t>
      </w:r>
    </w:p>
    <w:p w14:paraId="7B279F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территории (1947 г.)- 13,3 га; застройки (1947 г.)- 27889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производственная (1939 г.)- 14594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(1946 г.)- 435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(1947 г.)- 7297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3A0DDF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(1939 г.)- 2875 чел., (1946 г.)- 416 чел., (1947 г.)- 378 чел.</w:t>
      </w:r>
    </w:p>
    <w:p w14:paraId="41474E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(1948 г.)- Макрущенко, (1957 г.)- С.И. Оврах, (1960 г.-)- В.П. Лысов, (1972-75 г.)- О.Д. Бакланов.</w:t>
      </w:r>
    </w:p>
    <w:p w14:paraId="67AC38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(1948 г.)- Молокошер, (1958 г.)- ГЛ. Винников, (1963 г.-)- О.Д. Бакланов.</w:t>
      </w:r>
    </w:p>
    <w:p w14:paraId="54EE8B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инженера (1962 г.-)- О.Д. Бакланов.</w:t>
      </w:r>
    </w:p>
    <w:p w14:paraId="5E7841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ватеры прядильные; печное литье (1947); маркер МРП-56П; командно-траекторная радиолиния: «Астра» (1960-е), «Графит», ее наземная часть «Ветер-ЗН» (1970-е); аппаратура «Рефрактометр» для навигационной системы ГЛОНАСС (1970-); бортовая телеметрическая аппаратура «Сириус» для РН; БЦВМ «Салют-ЗМ» для орбитальной станции «Мир» (1970-е);</w:t>
      </w:r>
      <w:r w:rsidRPr="00640820">
        <w:rPr>
          <w:rFonts w:ascii="Times New Roman" w:hAnsi="Times New Roman"/>
          <w:color w:val="000000" w:themeColor="text1"/>
          <w:sz w:val="16"/>
          <w:szCs w:val="16"/>
          <w:vertAlign w:val="superscript"/>
        </w:rPr>
        <w:t>77</w:t>
      </w:r>
      <w:r w:rsidRPr="00640820">
        <w:rPr>
          <w:rFonts w:ascii="Times New Roman" w:hAnsi="Times New Roman"/>
          <w:iCs/>
          <w:color w:val="000000" w:themeColor="text1"/>
          <w:sz w:val="16"/>
          <w:szCs w:val="16"/>
        </w:rPr>
        <w:t xml:space="preserve"> радиоприемники:</w:t>
      </w:r>
      <w:r w:rsidRPr="00640820">
        <w:rPr>
          <w:rFonts w:ascii="Times New Roman" w:hAnsi="Times New Roman"/>
          <w:color w:val="000000" w:themeColor="text1"/>
          <w:sz w:val="16"/>
          <w:szCs w:val="16"/>
        </w:rPr>
        <w:t xml:space="preserve"> «Балтика» (1954-), «Романтика РП- 320, РП-230»; радиола «Харьков» (1954-); магниторадиолы: «Харьков-61, -63», «Романтика», «Романтика-М, - 103, -104С, 105, -106, -108С, -109С, -116С»; магнитофоны: «Романтика-220С, -221С, -6601, МП-220С, МП-221С, МДП-225С»; магнитола «Романтика РМ-232СА»; магнитоэлектрофон «Романтика-115С»; музыкальные центры: «Романтика-201 С, -112С, -120С, -001С, -002С»; усилители: «Романтика 15У-202С, 15У-120С, 50У-220С»; тюнер «Романтика Т-120С»; электрофон «Романтика-301С»; репродуктор «Романтика».</w:t>
      </w:r>
    </w:p>
    <w:p w14:paraId="467794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завода, Харьковское КБЭ</w:t>
      </w:r>
    </w:p>
    <w:p w14:paraId="7492F5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Освоение производства аппаратуры боковой радиокоррекции (1950-е). Было в 1966 г.</w:t>
      </w:r>
    </w:p>
    <w:p w14:paraId="44D48E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(1957 г.)- К.К. Зыков,  Г.А. Барановский, (1959 г.)- Б.Н. Бальзамов, (-1960 г.)- Б.М. Коноплев, (1960 г.-)- В. Г. Сергеев.</w:t>
      </w:r>
    </w:p>
    <w:p w14:paraId="2961EB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Создано:</w:t>
      </w:r>
      <w:r w:rsidRPr="00640820">
        <w:rPr>
          <w:rFonts w:ascii="Times New Roman" w:hAnsi="Times New Roman"/>
          <w:color w:val="000000" w:themeColor="text1"/>
          <w:sz w:val="16"/>
          <w:szCs w:val="16"/>
        </w:rPr>
        <w:t xml:space="preserve"> аппаратура «Рефрактометр» для навигационной системы ГЛОНАСС (1970).</w:t>
      </w:r>
    </w:p>
    <w:p w14:paraId="2C83BF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«Монолит»</w:t>
      </w:r>
    </w:p>
    <w:p w14:paraId="555265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в 1975 г. на базе Харьковского приборного завода. В него также вошли ОКБ, завод «Электроприбор» ( г. Приволжье), СМУ-31.</w:t>
      </w:r>
    </w:p>
    <w:p w14:paraId="55192B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Гендиректор (1975-76 г.)- О.Д. Бакланов (11982).</w:t>
      </w:r>
    </w:p>
    <w:p w14:paraId="419BB5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D8DAA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в начале ВОВ цех коммутационной аппаратуры ХЭМЗ был эвакуирован в Уфу в здание дворца соцкультуры. Далее цех преобразован в завод № 656 НКЭП (Завод № 656 НКЭП, Завод, ПО «Электроаппарат», ОАО «Уфимский завод «Электроаппарат» /Башкортостан 450014  г. Уфа ул. Воровского, 77/). В 12.1941 г. завод выдал первую продукцию.</w:t>
      </w:r>
    </w:p>
    <w:p w14:paraId="0ECAAF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продолжено производство низковольтной аппаратуры.</w:t>
      </w:r>
    </w:p>
    <w:p w14:paraId="10C43A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1977 г. на базе завода «Электроаппарат» создано ПО, в состав которого вошел также завод низковольтной электроаппаратуры ( г. Октябрьский). В 1987 г. завод вновь стал самостоятельным.</w:t>
      </w:r>
    </w:p>
    <w:p w14:paraId="52F3E9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1990-е  г. был освоен выпуск ТНП - бытовой электроаппаратуры. С 1995 г. начато освоение выпуска вакуумных выключателей, со следующего года завод стал специализироваться на их выпуске.</w:t>
      </w:r>
    </w:p>
    <w:p w14:paraId="7251B9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коммутационной аппаратуры управления и защиты для металлургических, машиностроительных предприятий и шахт (2004 г.).</w:t>
      </w:r>
    </w:p>
    <w:p w14:paraId="4436FF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2004 г. ОАО вошло в состав ХК «Электрозавод».</w:t>
      </w:r>
    </w:p>
    <w:p w14:paraId="0D06D2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Гендиректор (1991-95 г.)- М.Р. Кальметьев, (-2004-07 г.-)- В.Н. Трофимов.</w:t>
      </w:r>
    </w:p>
    <w:p w14:paraId="59B6A6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(1996 г.)- В.Н. Трофимов.</w:t>
      </w:r>
    </w:p>
    <w:p w14:paraId="4F0B52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ШР для самолетов ЗМ, М-4 (1956); шлифовальные машинки, электронасос «Инзер», электромясорубки, вибромассажеры (1990-е).</w:t>
      </w:r>
    </w:p>
    <w:p w14:paraId="006AAB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Русско-Балтийский электротехнический завод, Российская электрическая компания "</w:t>
      </w:r>
      <w:r w:rsidRPr="00640820">
        <w:rPr>
          <w:rFonts w:ascii="Times New Roman" w:hAnsi="Times New Roman"/>
          <w:color w:val="000000" w:themeColor="text1"/>
          <w:sz w:val="16"/>
          <w:szCs w:val="16"/>
          <w:lang w:val="en-US"/>
        </w:rPr>
        <w:t>Union</w:t>
      </w:r>
      <w:r w:rsidRPr="00640820">
        <w:rPr>
          <w:rFonts w:ascii="Times New Roman" w:hAnsi="Times New Roman"/>
          <w:color w:val="000000" w:themeColor="text1"/>
          <w:sz w:val="16"/>
          <w:szCs w:val="16"/>
        </w:rPr>
        <w:t>", Российское АО «Всеобщая компания электричества "</w:t>
      </w:r>
      <w:r w:rsidRPr="00640820">
        <w:rPr>
          <w:rFonts w:ascii="Times New Roman" w:hAnsi="Times New Roman"/>
          <w:color w:val="000000" w:themeColor="text1"/>
          <w:sz w:val="16"/>
          <w:szCs w:val="16"/>
          <w:lang w:val="en-US"/>
        </w:rPr>
        <w:t>Union</w:t>
      </w:r>
      <w:r w:rsidRPr="00640820">
        <w:rPr>
          <w:rFonts w:ascii="Times New Roman" w:hAnsi="Times New Roman"/>
          <w:color w:val="000000" w:themeColor="text1"/>
          <w:sz w:val="16"/>
          <w:szCs w:val="16"/>
        </w:rPr>
        <w:t>"», «Электросила-1»,</w:t>
      </w:r>
    </w:p>
    <w:p w14:paraId="173155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Харьковский электромеханический завод (ХЭМЗ) им. Сталина ВСНХ, НКТП, НКЭП, МЭТП, Харьковский электро-турбогенераторный завод (ХЭТЗ) НКМ, НПО «Электромеханический завод», ОАО «ХЭМЗ» /г. Рига;  г. Харьков Чугуевское ш. (1935 г.); пр. Сталина, 199 (1939 г.)/ /Украина 310037  г. Харьков Московский пр., 199/</w:t>
      </w:r>
    </w:p>
    <w:p w14:paraId="5AA48E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1888 г. купец  Г. Детман на участке в 1200 кв. саженей у Псковского шоссе основал Русско-Балтийский электротехнический завод. Здесь было изготовлено оборудование для электротехнической лаборатории Рижского политехникума, первая динамомашина для цементной фабрики. В 1896 г. построено первое здание- заводоуправления, в 1898-1914 г. построено еще 4 производственных корпуса. В 1898 г. на базе завода основана Российская электрическая компания "</w:t>
      </w:r>
      <w:r w:rsidRPr="00640820">
        <w:rPr>
          <w:rFonts w:ascii="Times New Roman" w:hAnsi="Times New Roman"/>
          <w:color w:val="000000" w:themeColor="text1"/>
          <w:sz w:val="16"/>
          <w:szCs w:val="16"/>
          <w:lang w:val="en-US"/>
        </w:rPr>
        <w:t>Union</w:t>
      </w:r>
      <w:r w:rsidRPr="00640820">
        <w:rPr>
          <w:rFonts w:ascii="Times New Roman" w:hAnsi="Times New Roman"/>
          <w:color w:val="000000" w:themeColor="text1"/>
          <w:sz w:val="16"/>
          <w:szCs w:val="16"/>
        </w:rPr>
        <w:t xml:space="preserve">" с правлением в Санкт-Петербурге. Выпускалось электротехническое оборудование для военно-морского флота. С 1904 г. - германская фирма </w:t>
      </w:r>
      <w:r w:rsidRPr="00640820">
        <w:rPr>
          <w:rFonts w:ascii="Times New Roman" w:hAnsi="Times New Roman"/>
          <w:color w:val="000000" w:themeColor="text1"/>
          <w:sz w:val="16"/>
          <w:szCs w:val="16"/>
          <w:lang w:val="en-US"/>
        </w:rPr>
        <w:t>AEG</w:t>
      </w:r>
      <w:r w:rsidRPr="00640820">
        <w:rPr>
          <w:rFonts w:ascii="Times New Roman" w:hAnsi="Times New Roman"/>
          <w:color w:val="000000" w:themeColor="text1"/>
          <w:sz w:val="16"/>
          <w:szCs w:val="16"/>
        </w:rPr>
        <w:t>, с 1905 г. - Российское АО «Всеобщая компания электричества (ВКЭ) "</w:t>
      </w:r>
      <w:r w:rsidRPr="00640820">
        <w:rPr>
          <w:rFonts w:ascii="Times New Roman" w:hAnsi="Times New Roman"/>
          <w:color w:val="000000" w:themeColor="text1"/>
          <w:sz w:val="16"/>
          <w:szCs w:val="16"/>
          <w:lang w:val="en-US"/>
        </w:rPr>
        <w:t>Union</w:t>
      </w:r>
      <w:r w:rsidRPr="00640820">
        <w:rPr>
          <w:rFonts w:ascii="Times New Roman" w:hAnsi="Times New Roman"/>
          <w:color w:val="000000" w:themeColor="text1"/>
          <w:sz w:val="16"/>
          <w:szCs w:val="16"/>
        </w:rPr>
        <w:t>"». В 07.1915 г. оборудование и работники предприятия эвакуированы (всего 1470 вагонов): небольшая часть оборудования- в Петроград и Москву, а основная часть завода (около 3000 работников)- в Харьков на площадку бывшего немецкого завода сельскохозяйственных машин "</w:t>
      </w:r>
      <w:r w:rsidRPr="00640820">
        <w:rPr>
          <w:rFonts w:ascii="Times New Roman" w:hAnsi="Times New Roman"/>
          <w:color w:val="000000" w:themeColor="text1"/>
          <w:sz w:val="16"/>
          <w:szCs w:val="16"/>
          <w:lang w:val="en-US"/>
        </w:rPr>
        <w:t>Helferich</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Sade</w:t>
      </w:r>
      <w:r w:rsidRPr="00640820">
        <w:rPr>
          <w:rFonts w:ascii="Times New Roman" w:hAnsi="Times New Roman"/>
          <w:color w:val="000000" w:themeColor="text1"/>
          <w:sz w:val="16"/>
          <w:szCs w:val="16"/>
        </w:rPr>
        <w:t>". С 1 октября начат выпуск военной продукции на новом месте. К концу 1915 г. в Харьков переведены оборудование и персонал из Москвы и Петрограда. На окраине Харькова на участке в 20 десятин у Чугуевского шоссе начато строительство нового корпуса завода ВКЭ. 20.11.1916 г. новый завод сдан в эксплуатацию.</w:t>
      </w:r>
    </w:p>
    <w:p w14:paraId="75F6EA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20.12.1917 г. завод ВКЭ переименован в завод «Электросила-1». С 1925 г.- Харьковский электромеханический завод (ХЭМЗ) ВСНХ. В 1930 г. - в ведении ГЭТ ВСНХ, с 1932 г. - НКТП. В 12.1937- 05.1938 г. ХЭТЗ - в ведении Главэнергопрома НКМ, в 1940 г. - в ведении НКЭП.</w:t>
      </w:r>
    </w:p>
    <w:p w14:paraId="1C7DEF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01.1937 г. в состав завода влит Харьковский турбинный завод, и объединенный завод получил название Харьковский электро-турбогенераторный завод (ХЭТЗ) им. Сталина. Перед войной завод имел филиал - завод № 332 НКЭП.</w:t>
      </w:r>
    </w:p>
    <w:p w14:paraId="266962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 НКТП № 12сс от 1937 г. ХЭТЗ к 1.03.1937 г. должен был сдать: 2 главных судовых турбины (сдана 1), 4 турбо-циркуляционных конденсатных насоса (не сдано). В соответствии с пост, правительства № 87сс от 13/15.08.1937 г. и пр. НКОП/НКМ № 00282/47сс от 25.12.1937 г. заводу поручено проектирование и изготовление электрооборудования для 356-мм и 100-мм артиллерийских башен линкора типа «Б»; приказом НКОП/НКМ/НКВМФ № 118/86/050сс от 31.03.1938 г. -электрооборудования для артвооружения крейсеров пр. 64, 68 и 69. По пр. НКОП/НКМ/НКВМФ № 245сс/161 от 13.07.1938 г. было необходимо изготовить к 15.07.1938 г. комплект опытной силовой синхронной передачи (ССП) по схеме профессора Костенко для управления постами наводки крейсера «Киров»; построить на заводе в 1938-39 г. специальную лабораторию по автоматизации и синхронизации управления артиллерийским электроприводом. Этим же приказом завод определен ведущим заводом и производственной базой по разработке и изготовлению машинной ССП и других автоматических схем силового артиллерийского электропривода.</w:t>
      </w:r>
    </w:p>
    <w:p w14:paraId="33F21D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 НКОП № 256с от 21.07.1938 г. на завод были переданы все материалы по «авиатурбине бинарного цикла» и работы по доводке опытного двигателя ликвидированного ОКБ-МАИ.</w:t>
      </w:r>
    </w:p>
    <w:p w14:paraId="6A5A2E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Перед войной велась разработка и производство приборов управления стрельбой корабельной артиллерии.</w:t>
      </w:r>
      <w:r w:rsidRPr="00640820">
        <w:rPr>
          <w:rFonts w:ascii="Times New Roman" w:hAnsi="Times New Roman"/>
          <w:color w:val="000000" w:themeColor="text1"/>
          <w:sz w:val="16"/>
          <w:szCs w:val="16"/>
          <w:vertAlign w:val="superscript"/>
        </w:rPr>
        <w:t xml:space="preserve">115 </w:t>
      </w:r>
      <w:r w:rsidRPr="00640820">
        <w:rPr>
          <w:rFonts w:ascii="Times New Roman" w:hAnsi="Times New Roman"/>
          <w:color w:val="000000" w:themeColor="text1"/>
          <w:sz w:val="16"/>
          <w:szCs w:val="16"/>
        </w:rPr>
        <w:t xml:space="preserve">В 1939-41 г. снаряжал 76-мм снаряды и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 xml:space="preserve"> М-8.</w:t>
      </w:r>
    </w:p>
    <w:p w14:paraId="20BC41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ВОВ ХЭМЗ им. Сталина НКЭП эвакуирован: часть завода - в Томск; часть - в Прокопьевск в помещения электротехнического училища и гаража, где по приказу НКЭП от 23.10.1941 г. создан завод № 651; часть (производство электромоторов, в 11.1941 г.) - в Кемерово в помещения универмага, гаража и трамвайно- автобусного парка, где в 12.1941 г. создан завод № 652; часть (в 11.1941 г.) - в Чебоксары, где создан завод № 654. Электроаппаратный цех эвакуирован в Ульяновск в помещения нескольких небольших магазинов и преобразован в завод № 650 НКЭП. Цех коммутационной аппаратуры эвакуирован в Уфу в здание дворца соцкультуры и преобразован в завод № 656.</w:t>
      </w:r>
      <w:r w:rsidRPr="00640820">
        <w:rPr>
          <w:rFonts w:ascii="Times New Roman" w:hAnsi="Times New Roman"/>
          <w:color w:val="000000" w:themeColor="text1"/>
          <w:sz w:val="16"/>
          <w:szCs w:val="16"/>
          <w:vertAlign w:val="superscript"/>
        </w:rPr>
        <w:t>121</w:t>
      </w:r>
    </w:p>
    <w:p w14:paraId="71283D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ГКО № 4087 от 11.09.1943 г. начато восстановление ХЭМЗ им. Сталина НКЭП; 4.12.1943 г. - новое постановление ГКО № 4721 о мероприятиях по восстановлению завода; 5.03.1944 г. - постановление ГКО № 5317 о мерах неотложной помощи по восстановлению завода. В 1946 г. завод - в ведении МЭТП.</w:t>
      </w:r>
    </w:p>
    <w:p w14:paraId="2FD339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разработан главный турбозубчатый агрегат ТВ-7 для крейсеров пр. 68бис. К 1953 г. были разработаны и начато изготовление ГТЗА ТВ-4 для тяжелых крейсеров пр. 82, в 1955 г. работы прекращены.</w:t>
      </w:r>
    </w:p>
    <w:p w14:paraId="554026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1976 г. завод преобразован в НПО «ЭМЗ». В 1990-е  г. преобразован в ОАО «ХЭМЗ».</w:t>
      </w:r>
    </w:p>
    <w:p w14:paraId="190460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Шибакин, (-12.1936-39 г.)- И.И. Лисин, (1939-40 г.)- И.Т. Скиданенко, (1940 г.)- А.И. Бертинов, (1960-е  г.)- И.В. Верба, (1990-е  г.)- В.В. Григорьев, (2003 г.)- А.В. Карпенко.</w:t>
      </w:r>
    </w:p>
    <w:p w14:paraId="5800F4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(1937 г.)- Шевченко.</w:t>
      </w:r>
    </w:p>
    <w:p w14:paraId="37AA0C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(1960-е  г.)- М.Н. Курочкин.</w:t>
      </w:r>
    </w:p>
    <w:p w14:paraId="119CA7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цехов: Шевченко.</w:t>
      </w:r>
    </w:p>
    <w:p w14:paraId="41C2CD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(08.1938 г.)-Л.И. Шнее.</w:t>
      </w:r>
    </w:p>
    <w:p w14:paraId="6950F2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электрооборудование для командно-дальномерного поста КДП</w:t>
      </w:r>
      <w:r w:rsidRPr="00640820">
        <w:rPr>
          <w:rFonts w:ascii="Times New Roman" w:hAnsi="Times New Roman"/>
          <w:color w:val="000000" w:themeColor="text1"/>
          <w:sz w:val="16"/>
          <w:szCs w:val="16"/>
          <w:vertAlign w:val="subscript"/>
        </w:rPr>
        <w:t>3</w:t>
      </w:r>
      <w:r w:rsidRPr="00640820">
        <w:rPr>
          <w:rFonts w:ascii="Times New Roman" w:hAnsi="Times New Roman"/>
          <w:color w:val="000000" w:themeColor="text1"/>
          <w:sz w:val="16"/>
          <w:szCs w:val="16"/>
        </w:rPr>
        <w:t>-6 крейсера «Киров»; электродвигатели: УТ, постоянного тока ПН-20, -32 (1938);</w:t>
      </w:r>
      <w:r w:rsidRPr="00640820">
        <w:rPr>
          <w:rFonts w:ascii="Times New Roman" w:hAnsi="Times New Roman"/>
          <w:color w:val="000000" w:themeColor="text1"/>
          <w:sz w:val="16"/>
          <w:szCs w:val="16"/>
          <w:vertAlign w:val="superscript"/>
        </w:rPr>
        <w:t>139</w:t>
      </w:r>
      <w:r w:rsidRPr="00640820">
        <w:rPr>
          <w:rFonts w:ascii="Times New Roman" w:hAnsi="Times New Roman"/>
          <w:color w:val="000000" w:themeColor="text1"/>
          <w:sz w:val="16"/>
          <w:szCs w:val="16"/>
        </w:rPr>
        <w:t xml:space="preserve"> ГТЗА ТВ-7 (1940-е).</w:t>
      </w:r>
    </w:p>
    <w:p w14:paraId="618228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Харьковский турбинный, турбогенераторный завод им. Кирова НКТМ /г. Харьков/</w:t>
      </w:r>
    </w:p>
    <w:p w14:paraId="59469E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СТО от 11.07.1933 г. завод переориентирован на выпуск судовых энергетических установок.</w:t>
      </w:r>
      <w:r w:rsidRPr="00640820">
        <w:rPr>
          <w:rFonts w:ascii="Times New Roman" w:hAnsi="Times New Roman"/>
          <w:color w:val="000000" w:themeColor="text1"/>
          <w:sz w:val="16"/>
          <w:szCs w:val="16"/>
          <w:vertAlign w:val="superscript"/>
        </w:rPr>
        <w:t>92</w:t>
      </w:r>
      <w:r w:rsidRPr="00640820">
        <w:rPr>
          <w:rFonts w:ascii="Times New Roman" w:hAnsi="Times New Roman"/>
          <w:color w:val="000000" w:themeColor="text1"/>
          <w:sz w:val="16"/>
          <w:szCs w:val="16"/>
        </w:rPr>
        <w:t xml:space="preserve"> В конце 1930-х  г. строились самые мощные в мире главные механизмы для линкоров пр. 23.</w:t>
      </w:r>
    </w:p>
    <w:p w14:paraId="0540A3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01.1936 г. директор завода снят за невыполнение плана по сдаче турбин для кораблей ВМФ.</w:t>
      </w:r>
    </w:p>
    <w:p w14:paraId="1BDFF3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01.1937 г. завод влит в состав ХЭМЗ, объединенный завод получил название ХЭТЗ.</w:t>
      </w:r>
    </w:p>
    <w:p w14:paraId="7989B6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после начала войны эвакуирован на площадку Уральского турбинного завода.</w:t>
      </w:r>
    </w:p>
    <w:p w14:paraId="331BA4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ГКО № 4821 от 21.12.1943 г. начато восстановление Харьковского турбогенераторного завода им. Кирова; распоряжением ГКО № 4931 от 11.01.1944 г. на восстановление направлено 1500 военнообязанных, не годных к строевой службе.</w:t>
      </w:r>
    </w:p>
    <w:p w14:paraId="467C6D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ГКО № 5810 от 4.05.1944 г. при заводе организовано КБ по проектированию главных турбозубчатых агрегатов (ГТЗА) для кораблей ВМФ.</w:t>
      </w:r>
    </w:p>
    <w:p w14:paraId="2E83B3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(-01.1936 г.)- Шибакин (снят), (01.1936 г.-)- Ицхакин.</w:t>
      </w:r>
    </w:p>
    <w:p w14:paraId="0D7CE5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(1936 г.-)- Девьятков (репрессирован), (1936 г.-)- Флаум.</w:t>
      </w:r>
    </w:p>
    <w:p w14:paraId="0B8946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Технический директор (-1937 г.)- Зак.</w:t>
      </w:r>
      <w:r w:rsidRPr="00640820">
        <w:rPr>
          <w:rFonts w:ascii="Times New Roman" w:hAnsi="Times New Roman"/>
          <w:color w:val="000000" w:themeColor="text1"/>
          <w:sz w:val="16"/>
          <w:szCs w:val="16"/>
          <w:vertAlign w:val="superscript"/>
        </w:rPr>
        <w:t>139</w:t>
      </w:r>
    </w:p>
    <w:p w14:paraId="2C51A4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ГТЗА: для эсминцев пр. 7 (1930-е), для крейсеров пр. 26 «Ворошилов» (1936), пр. 26бис (1937) для линкоров пр. 23 (1938-40-).</w:t>
      </w:r>
    </w:p>
    <w:p w14:paraId="530FC1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Октябрьский завод низковольтной аппаратуры /Башкирия  г. Октябрьский/</w:t>
      </w:r>
    </w:p>
    <w:p w14:paraId="1E8E3D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Был в 1960-е  г., в 1977 г. вошел в состав ПО «Электроаппарат». В 1987 г. завод перешел на выпуск оборонной продукции и вновь стал самостоятельным (11982).</w:t>
      </w:r>
    </w:p>
    <w:p w14:paraId="51ECFD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BD595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года после прорыва немецко-фашистских войск в Крым началась эвакуация из Камыш-Буруна (Керчь) заво</w:t>
      </w:r>
      <w:r w:rsidRPr="00640820">
        <w:rPr>
          <w:rFonts w:ascii="Times New Roman" w:hAnsi="Times New Roman"/>
          <w:color w:val="000000" w:themeColor="text1"/>
          <w:sz w:val="16"/>
          <w:szCs w:val="16"/>
        </w:rPr>
        <w:softHyphen/>
        <w:t>да 532. Она проводилась тремя этапами. 27 октября на Кавказ на борту парохода "Лепсе" было доставлено основное оборудование и секции находившихся в постройке торпедных катеров. 1 ноября с завода ушел на буксире недостроенный крейсер "Куйбышев" (ранее прибуксированный сюда из Николаева) с оборудованием и завод</w:t>
      </w:r>
      <w:r w:rsidRPr="00640820">
        <w:rPr>
          <w:rFonts w:ascii="Times New Roman" w:hAnsi="Times New Roman"/>
          <w:color w:val="000000" w:themeColor="text1"/>
          <w:sz w:val="16"/>
          <w:szCs w:val="16"/>
        </w:rPr>
        <w:softHyphen/>
        <w:t>скими специалистами на борту и 3 ноября — недостроенный эсми</w:t>
      </w:r>
      <w:r w:rsidRPr="00640820">
        <w:rPr>
          <w:rFonts w:ascii="Times New Roman" w:hAnsi="Times New Roman"/>
          <w:color w:val="000000" w:themeColor="text1"/>
          <w:sz w:val="16"/>
          <w:szCs w:val="16"/>
        </w:rPr>
        <w:softHyphen/>
        <w:t>нец "Озорной", также николаевской постройки. В портах Кавказа (главным образом, в Новороссийске) оборудование, секции и выве</w:t>
      </w:r>
      <w:r w:rsidRPr="00640820">
        <w:rPr>
          <w:rFonts w:ascii="Times New Roman" w:hAnsi="Times New Roman"/>
          <w:color w:val="000000" w:themeColor="text1"/>
          <w:sz w:val="16"/>
          <w:szCs w:val="16"/>
        </w:rPr>
        <w:softHyphen/>
        <w:t>зенные материалы перегружались в железнодорожные эшелоны и следовали далее к месту назначения (3898).</w:t>
      </w:r>
    </w:p>
    <w:p w14:paraId="1BE0E8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E4799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1941г. после начала войны Феодосийская пристрелочная станция эвакуирована в Тюмень на площадку завода № 639. Затем в Феодосии на старом месте был образован новый судостроительный завод № 831.</w:t>
      </w:r>
    </w:p>
    <w:p w14:paraId="3BE37E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заводе действовали филиалы: завода № 5 МСП (1958г.); Зеленодольского ЦКБ (1980-е).</w:t>
      </w:r>
    </w:p>
    <w:p w14:paraId="2189FC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03.1963г. заводу поручено строительство командирского катера пр. 1390, в 1971г. производство катера со всей документацией передано на Батумский ССЗ.</w:t>
      </w:r>
    </w:p>
    <w:p w14:paraId="45A20A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1964г. на заводе освоена технология изготовления малых катеров и шлюпок из стеклопластика.</w:t>
      </w:r>
    </w:p>
    <w:p w14:paraId="747488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1970-х г. на базе Феодосийского ССЗ создано Феодосийское ПО «Море», в состав которого вошел также завод «Новинка». В 1980-е г. - ПО им. </w:t>
      </w:r>
      <w:r w:rsidRPr="00640820">
        <w:rPr>
          <w:rFonts w:ascii="Times New Roman" w:hAnsi="Times New Roman"/>
          <w:color w:val="000000" w:themeColor="text1"/>
          <w:sz w:val="16"/>
          <w:szCs w:val="16"/>
          <w:lang w:val="en-US"/>
        </w:rPr>
        <w:t>XXVI</w:t>
      </w:r>
      <w:r w:rsidRPr="00640820">
        <w:rPr>
          <w:rFonts w:ascii="Times New Roman" w:hAnsi="Times New Roman"/>
          <w:color w:val="000000" w:themeColor="text1"/>
          <w:sz w:val="16"/>
          <w:szCs w:val="16"/>
        </w:rPr>
        <w:t xml:space="preserve"> съезда КПСС.</w:t>
      </w:r>
    </w:p>
    <w:p w14:paraId="35A738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1980-е г. на заводе начато строительство эллинга длиной 192 м и шириной 96 м для постройки экранопланов, закончено не было.</w:t>
      </w:r>
    </w:p>
    <w:p w14:paraId="6B3DD7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(1954г.)- 1500 чел.</w:t>
      </w:r>
    </w:p>
    <w:p w14:paraId="3E7943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 катера: торпедные:</w:t>
      </w:r>
      <w:r w:rsidRPr="00640820">
        <w:rPr>
          <w:rFonts w:ascii="Times New Roman" w:hAnsi="Times New Roman"/>
          <w:color w:val="000000" w:themeColor="text1"/>
          <w:sz w:val="16"/>
          <w:szCs w:val="16"/>
        </w:rPr>
        <w:t xml:space="preserve"> пр. М-123бис (1949-51)- 50; пр. 123К (1950-55)- 205; малый пр. 184 (1955-56)- 2; малые пр. 125 (</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960)- 2, пр. 125А (1964-66)- 16; рабочий пр. 337 (1965-);</w:t>
      </w:r>
      <w:r w:rsidRPr="00640820">
        <w:rPr>
          <w:rFonts w:ascii="Times New Roman" w:hAnsi="Times New Roman"/>
          <w:iCs/>
          <w:color w:val="000000" w:themeColor="text1"/>
          <w:sz w:val="16"/>
          <w:szCs w:val="16"/>
        </w:rPr>
        <w:t xml:space="preserve"> командирские:</w:t>
      </w:r>
      <w:r w:rsidRPr="00640820">
        <w:rPr>
          <w:rFonts w:ascii="Times New Roman" w:hAnsi="Times New Roman"/>
          <w:color w:val="000000" w:themeColor="text1"/>
          <w:sz w:val="16"/>
          <w:szCs w:val="16"/>
        </w:rPr>
        <w:t xml:space="preserve"> пр. 339 (1960, опытный), алюминиевые пр. 339Б (1962-), пр. 1390 (1964-74), стеклопластиковый пр. 338П (1964-); сторожевой на ПК пр. 133 «Антарес» (1979-90)- 16; пограничные: речные пр. 1398 (1960-е), </w:t>
      </w:r>
      <w:r w:rsidRPr="00640820">
        <w:rPr>
          <w:rFonts w:ascii="Times New Roman" w:hAnsi="Times New Roman"/>
          <w:color w:val="000000" w:themeColor="text1"/>
          <w:sz w:val="16"/>
          <w:szCs w:val="16"/>
          <w:lang w:val="en-US"/>
        </w:rPr>
        <w:t>rip</w:t>
      </w:r>
      <w:r w:rsidRPr="00640820">
        <w:rPr>
          <w:rFonts w:ascii="Times New Roman" w:hAnsi="Times New Roman"/>
          <w:color w:val="000000" w:themeColor="text1"/>
          <w:sz w:val="16"/>
          <w:szCs w:val="16"/>
        </w:rPr>
        <w:t>. 1398Б</w:t>
      </w:r>
    </w:p>
    <w:p w14:paraId="4D3248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(1970-), сторожевые пр. 1400, пр. 1400М, экспортный пр. 1400МЭ (1970-91)- всего более 200 (вместе с заводами 5 и Батумским); малый ПЛК пр. 11451 (1987-90)- 2; спасательная лодка пр. 347А «Фрегат» (1965-68)- около 50;</w:t>
      </w:r>
      <w:r w:rsidRPr="00640820">
        <w:rPr>
          <w:rFonts w:ascii="Times New Roman" w:hAnsi="Times New Roman"/>
          <w:iCs/>
          <w:color w:val="000000" w:themeColor="text1"/>
          <w:sz w:val="16"/>
          <w:szCs w:val="16"/>
        </w:rPr>
        <w:t xml:space="preserve"> СВП:</w:t>
      </w:r>
      <w:r w:rsidRPr="00640820">
        <w:rPr>
          <w:rFonts w:ascii="Times New Roman" w:hAnsi="Times New Roman"/>
          <w:color w:val="000000" w:themeColor="text1"/>
          <w:sz w:val="16"/>
          <w:szCs w:val="16"/>
        </w:rPr>
        <w:t xml:space="preserve"> десантно-штурмовые пр. 1205 «Скат» (1969-76)- 27 (вместе с заводами 340 и 5), пр. 1209 «Омар» (1979-80)- 2; пр. 1206 «Кальмар» (1972-85)- около 18, огневой поддержки пр. 1238 «Косатка» (1982-85)- 1; тральщик пр. 1206Т (1984-85)- 2; МДК пр. 12322 «Зубр» (1988-2000)- 5; пассажирские СПК: пр. 340 «Ракета» (-1976), «Комета» (-1981), пр. 03520 «Восход-2» (-1990)- 140; переоборудование катеров пр. 123К в радиоуправляемые цели пр. 123Ц (1950-е).</w:t>
      </w:r>
      <w:r w:rsidRPr="00640820">
        <w:rPr>
          <w:rFonts w:ascii="Times New Roman" w:hAnsi="Times New Roman"/>
          <w:color w:val="000000" w:themeColor="text1"/>
          <w:sz w:val="16"/>
          <w:szCs w:val="16"/>
          <w:vertAlign w:val="superscript"/>
        </w:rPr>
        <w:t>ш</w:t>
      </w:r>
    </w:p>
    <w:p w14:paraId="1D23B9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Феодосийское конструкторско-технологическое бюро</w:t>
      </w:r>
    </w:p>
    <w:p w14:paraId="7E9A1A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03.1963г. сюда передана документация на стеклопластиковый катер пр. 338П для подготовки его серийного производства на заводе. Разработана более технологичная модификация пр. 338ПК. В 1973г. разработан модернизированный пр. 338М.</w:t>
      </w:r>
      <w:r w:rsidRPr="00640820">
        <w:rPr>
          <w:rFonts w:ascii="Times New Roman" w:hAnsi="Times New Roman"/>
          <w:color w:val="000000" w:themeColor="text1"/>
          <w:sz w:val="16"/>
          <w:szCs w:val="16"/>
          <w:vertAlign w:val="superscript"/>
        </w:rPr>
        <w:t>Ш</w:t>
      </w:r>
    </w:p>
    <w:p w14:paraId="78EEBE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Феодосийское ПО (ФПО) «Море», ФПО им. </w:t>
      </w:r>
      <w:r w:rsidRPr="00640820">
        <w:rPr>
          <w:rFonts w:ascii="Times New Roman" w:hAnsi="Times New Roman"/>
          <w:color w:val="000000" w:themeColor="text1"/>
          <w:sz w:val="16"/>
          <w:szCs w:val="16"/>
          <w:lang w:val="en-US"/>
        </w:rPr>
        <w:t>XXVI</w:t>
      </w:r>
      <w:r w:rsidRPr="00640820">
        <w:rPr>
          <w:rFonts w:ascii="Times New Roman" w:hAnsi="Times New Roman"/>
          <w:color w:val="000000" w:themeColor="text1"/>
          <w:sz w:val="16"/>
          <w:szCs w:val="16"/>
        </w:rPr>
        <w:t xml:space="preserve"> съезда КПСС, НПО «Море»</w:t>
      </w:r>
    </w:p>
    <w:p w14:paraId="7A05A0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1970-х г. на базе Феодосийского ССЗ создано Феодосийское ПО «Море», в состав которого вошел также завод «Новинка». В 1980-е г. - ПО им. </w:t>
      </w:r>
      <w:r w:rsidRPr="00640820">
        <w:rPr>
          <w:rFonts w:ascii="Times New Roman" w:hAnsi="Times New Roman"/>
          <w:color w:val="000000" w:themeColor="text1"/>
          <w:sz w:val="16"/>
          <w:szCs w:val="16"/>
          <w:lang w:val="en-US"/>
        </w:rPr>
        <w:t>XXVI</w:t>
      </w:r>
      <w:r w:rsidRPr="00640820">
        <w:rPr>
          <w:rFonts w:ascii="Times New Roman" w:hAnsi="Times New Roman"/>
          <w:color w:val="000000" w:themeColor="text1"/>
          <w:sz w:val="16"/>
          <w:szCs w:val="16"/>
        </w:rPr>
        <w:t xml:space="preserve"> съезда КПСС.</w:t>
      </w:r>
    </w:p>
    <w:p w14:paraId="44F4B7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Гендиректор- </w:t>
      </w:r>
      <w:r w:rsidRPr="00640820">
        <w:rPr>
          <w:rFonts w:ascii="Times New Roman" w:hAnsi="Times New Roman"/>
          <w:color w:val="000000" w:themeColor="text1"/>
          <w:sz w:val="16"/>
          <w:szCs w:val="16"/>
          <w:lang w:val="en-US"/>
        </w:rPr>
        <w:t>JI</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Астахов.</w:t>
      </w:r>
    </w:p>
    <w:p w14:paraId="7B24E4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В.А. Олейник.</w:t>
      </w:r>
    </w:p>
    <w:p w14:paraId="514F01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«Новинка»</w:t>
      </w:r>
    </w:p>
    <w:p w14:paraId="5EFB44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/Крым г. Феодосия/</w:t>
      </w:r>
    </w:p>
    <w:p w14:paraId="688E50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малых катеров и шлюпок из стеклопластика.</w:t>
      </w:r>
    </w:p>
    <w:p w14:paraId="36B69D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1970-е г. вошел в состав ПО «Море».</w:t>
      </w:r>
    </w:p>
    <w:p w14:paraId="16C240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Феодосийская судостроительная компания (ФСК), ОАО «ФСК «Море» /Феодосия ул. Десантников, 1/</w:t>
      </w:r>
    </w:p>
    <w:p w14:paraId="351E45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(2000-е): скоростные корабли и суда с динамическими принципами поддержания (на подводных крыльях, на воздушной подушке, на воздушной каверне, глиссирующих) для береговой охраны, флота, спорта и отдыха.</w:t>
      </w:r>
    </w:p>
    <w:p w14:paraId="655553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2006г. на предприятии начата процедура банкротства.</w:t>
      </w:r>
    </w:p>
    <w:p w14:paraId="157B7A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Руководитель (2006г.)- Б. Козлов.</w:t>
      </w:r>
    </w:p>
    <w:p w14:paraId="3D0E6A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патрульные катера для погранслужбы Туркменистана «Калкан-М» (1991-93)- 4, «Гриф-Т» (05.2004-06-)- 10, экспортный вариант - «Кондор»; пассажирские суда на Ж: для Голландии «Восход-2М» (2002)- 3, «Олимпия» (2000-е) (11982).</w:t>
      </w:r>
    </w:p>
    <w:p w14:paraId="6D14DA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4055A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и апреле 1942 г. на Черном море завод 198 соответственно сдал Л-23 и Л-24, выведенные из Николаева в Поти (3898).</w:t>
      </w:r>
    </w:p>
    <w:p w14:paraId="6C7897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96B2C2F"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4F8AE34F"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E3F3E8B" w14:textId="77777777" w:rsidR="00D9129E" w:rsidRPr="00640820" w:rsidRDefault="00D9129E" w:rsidP="00640820">
      <w:pPr>
        <w:pStyle w:val="35"/>
        <w:shd w:val="clear" w:color="auto" w:fill="auto"/>
        <w:spacing w:after="0" w:line="240" w:lineRule="auto"/>
        <w:jc w:val="both"/>
        <w:rPr>
          <w:rFonts w:ascii="Times New Roman" w:cs="Times New Roman"/>
          <w:color w:val="000000" w:themeColor="text1"/>
          <w:spacing w:val="0"/>
          <w:sz w:val="16"/>
          <w:szCs w:val="16"/>
        </w:rPr>
      </w:pPr>
      <w:r w:rsidRPr="00640820">
        <w:rPr>
          <w:rFonts w:ascii="Times New Roman" w:cs="Times New Roman"/>
          <w:color w:val="000000" w:themeColor="text1"/>
          <w:spacing w:val="0"/>
          <w:sz w:val="16"/>
          <w:szCs w:val="16"/>
        </w:rPr>
        <w:t>В октябре 1941 г. в штаты стрелкового полка и отдельной стрел</w:t>
      </w:r>
      <w:r w:rsidRPr="00640820">
        <w:rPr>
          <w:rFonts w:ascii="Times New Roman" w:cs="Times New Roman"/>
          <w:color w:val="000000" w:themeColor="text1"/>
          <w:spacing w:val="0"/>
          <w:sz w:val="16"/>
          <w:szCs w:val="16"/>
        </w:rPr>
        <w:softHyphen/>
        <w:t>ковой бригады ввели роту автоматчиков. Ха</w:t>
      </w:r>
      <w:r w:rsidRPr="00640820">
        <w:rPr>
          <w:rFonts w:ascii="Times New Roman" w:cs="Times New Roman"/>
          <w:color w:val="000000" w:themeColor="text1"/>
          <w:spacing w:val="0"/>
          <w:sz w:val="16"/>
          <w:szCs w:val="16"/>
        </w:rPr>
        <w:softHyphen/>
        <w:t>рактерный пример: в проекте приказа Ставки ВГК о формировании 1-го и 2-го гвардейских стрелковых корпусов (подписан 31 декабря 1941 г.) указывалось, что в каждой гвардейской стрелковой дивизии должно быть</w:t>
      </w:r>
      <w:r w:rsidRPr="00640820">
        <w:rPr>
          <w:rStyle w:val="aff5"/>
          <w:rFonts w:ascii="Times New Roman" w:eastAsia="Arial Narrow" w:hAnsi="Times New Roman" w:cs="Times New Roman"/>
          <w:i w:val="0"/>
          <w:color w:val="000000" w:themeColor="text1"/>
          <w:spacing w:val="0"/>
        </w:rPr>
        <w:t xml:space="preserve"> «ППД - 875», </w:t>
      </w:r>
      <w:r w:rsidRPr="00640820">
        <w:rPr>
          <w:rFonts w:ascii="Times New Roman" w:cs="Times New Roman"/>
          <w:color w:val="000000" w:themeColor="text1"/>
          <w:spacing w:val="0"/>
          <w:sz w:val="16"/>
          <w:szCs w:val="16"/>
        </w:rPr>
        <w:t>в каждом полку - рота автоматчиков</w:t>
      </w:r>
      <w:r w:rsidRPr="00640820">
        <w:rPr>
          <w:rStyle w:val="aff5"/>
          <w:rFonts w:ascii="Times New Roman" w:eastAsia="Arial Narrow" w:hAnsi="Times New Roman" w:cs="Times New Roman"/>
          <w:i w:val="0"/>
          <w:color w:val="000000" w:themeColor="text1"/>
          <w:spacing w:val="0"/>
        </w:rPr>
        <w:t xml:space="preserve"> «100 ППД на роту».</w:t>
      </w:r>
      <w:r w:rsidRPr="00640820">
        <w:rPr>
          <w:rFonts w:ascii="Times New Roman" w:cs="Times New Roman"/>
          <w:color w:val="000000" w:themeColor="text1"/>
          <w:spacing w:val="0"/>
          <w:sz w:val="16"/>
          <w:szCs w:val="16"/>
        </w:rPr>
        <w:t xml:space="preserve"> И.В. Сталин лично вычеркнул «ППД» и вписал «ППШ». С другой стороны, пистоле</w:t>
      </w:r>
      <w:r w:rsidRPr="00640820">
        <w:rPr>
          <w:rFonts w:ascii="Times New Roman" w:cs="Times New Roman"/>
          <w:color w:val="000000" w:themeColor="text1"/>
          <w:spacing w:val="0"/>
          <w:sz w:val="16"/>
          <w:szCs w:val="16"/>
        </w:rPr>
        <w:softHyphen/>
        <w:t>ты-пулеметы оказывались наиболее удобным оружием для разведчиков, танкистов, расчетов истребительно-противотанковой артиллерии, мотоциклистов, нашли широкое применение в диверсионных и партизанских отрядах (15779).</w:t>
      </w:r>
    </w:p>
    <w:p w14:paraId="7B4F2319" w14:textId="77777777" w:rsidR="00D9129E" w:rsidRPr="00640820" w:rsidRDefault="00D9129E" w:rsidP="00640820">
      <w:pPr>
        <w:pStyle w:val="35"/>
        <w:shd w:val="clear" w:color="auto" w:fill="auto"/>
        <w:spacing w:after="0" w:line="240" w:lineRule="auto"/>
        <w:jc w:val="both"/>
        <w:rPr>
          <w:rFonts w:ascii="Times New Roman" w:cs="Times New Roman"/>
          <w:color w:val="000000" w:themeColor="text1"/>
          <w:spacing w:val="0"/>
          <w:sz w:val="16"/>
          <w:szCs w:val="16"/>
        </w:rPr>
      </w:pPr>
    </w:p>
    <w:p w14:paraId="260276A9" w14:textId="77777777" w:rsidR="00D9129E" w:rsidRPr="00640820" w:rsidRDefault="00D9129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года на Ленинградский фронт был командирован один из конструкторов противопехотной мины ОЗМ-2 Б. М. Ульянов – для инструктажа саперов. Противопехотные мины в огромном количестве готовились в осажденном Ленинграде, ими были буквально засеяны все подступы к городу на случай попытки его штурма. Позже на фронт был командирован Ф. А. Турахин.</w:t>
      </w:r>
    </w:p>
    <w:p w14:paraId="478EFF8B" w14:textId="77777777" w:rsidR="00D9129E" w:rsidRPr="00640820" w:rsidRDefault="00D9129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Стало известно, что немцы для защиты хвостовой части своих самолетов от нападения истребителей применяют небольшие бомбочки, прозванные лягушками. Нашим же летчикам в подобной ситуации защищаться было нечем. К счастью были сохранены рабочие чертежи авиационных гранат АГ-2 и кассет к ним, разработанные А. Ф. Турахиным перед войной.</w:t>
      </w:r>
    </w:p>
    <w:p w14:paraId="53EE62A5" w14:textId="77777777" w:rsidR="00D9129E" w:rsidRPr="00640820" w:rsidRDefault="00D9129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Руководство ГСКБ-47 на свой страх и риск отдало распоряжение срочно изготовить и снарядить 500 штук АГ-2 и несколько кассет и отправить их на автомашинах на Калининский фронт в распоряжение командующего ВВС М. М. Громова. С маши нами поехали старший военпред при ГСКБ-47 полковник Н. И. Цыганов и А. Ф. Тура- хин. Груз был направлен в полк самолетов Пе-2.</w:t>
      </w:r>
    </w:p>
    <w:p w14:paraId="7B4B2409" w14:textId="77777777" w:rsidR="00D9129E" w:rsidRPr="00640820" w:rsidRDefault="00D9129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Летчики встретили новый боеприпас весьма скептически, считая, что он будет только загромождать подвесную систему самолетов.</w:t>
      </w:r>
    </w:p>
    <w:p w14:paraId="0CB27425" w14:textId="77777777" w:rsidR="00D9129E" w:rsidRPr="00640820" w:rsidRDefault="00D9129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Ф. Турахин рассказал собравшимся в столовой пилотам и штурманам об устройстве гранат, правилах обращения с ними, их действии и применении в воздушном бою.</w:t>
      </w:r>
    </w:p>
    <w:p w14:paraId="351E611F" w14:textId="77777777" w:rsidR="00D9129E" w:rsidRPr="00640820" w:rsidRDefault="00D9129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установки кассет на трех самолетах и испытательного полета над аэродромом звено вылетело на бомбометание.</w:t>
      </w:r>
    </w:p>
    <w:p w14:paraId="6980A625" w14:textId="77777777" w:rsidR="00D9129E" w:rsidRPr="00640820" w:rsidRDefault="00D9129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Когда самолеты возвратились – летчики еще заруливали машины на стоянки, а штурманы уже бежали к КП. Командиру полка было доложено, что на обратном пути за звеном увязался «мессершмит», заходя в мертвый конус обстрела хвостовых пулеметов одной из боковых машин. Тогда штурман сбросил короткую серию из трех гранат. Появилось облако разрывов. Истребитель резко накренился на крыло, отваливая в сторону, и попал в зону обстрела крупнокалиберного пулемета. Прошитый очередью, «мессершмит» пошел к земле, не выходя из крена и оставляя за собой хвост черного дыма. После этого АГ-2 была принята на вооружение, и в течение войны изготавливалась десятками тысяч (15794).</w:t>
      </w:r>
    </w:p>
    <w:p w14:paraId="0772C903" w14:textId="77777777" w:rsidR="00D9129E" w:rsidRPr="00640820" w:rsidRDefault="00D9129E" w:rsidP="00640820">
      <w:pPr>
        <w:spacing w:after="0" w:line="240" w:lineRule="auto"/>
        <w:jc w:val="both"/>
        <w:rPr>
          <w:rFonts w:ascii="Times New Roman" w:hAnsi="Times New Roman"/>
          <w:color w:val="000000" w:themeColor="text1"/>
          <w:sz w:val="16"/>
          <w:szCs w:val="16"/>
        </w:rPr>
      </w:pPr>
    </w:p>
    <w:p w14:paraId="59963D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Согласно М.Маслову, по воспоминаниям ветеранов подольские курсанты были посланы под Тулу и совершили свой подвиг в октябре 1941 прежде всего для того, чтобы дать возможность заводу им. Орджоникидзе закончить перед эвакуацией большую партию бронекорпусов для Ил-2.</w:t>
      </w:r>
    </w:p>
    <w:p w14:paraId="73BB6C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845D6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в окрестностях Подольска совершили вынужденную 4 Ил-2. Командир послал т-л В.Н.Янусова уничтожить их. Янус уничтожил 3 и стал переплывать речку, чтобы уничтожить четвертый, которому приближались немцы. Во время переправы был ранен в руку. Подбежал, нашел ФАБ-100, поставил взрыватель на макс. замедление и бросился в строну. Немцы решили, что взорвался вместе с машиной. Позже приземлилось 2 Ме-109. Л одного - ушел в деревню, а другой - стал осматривать мотор. Янусов, находившийся в воронке, застрелил его и имея опыт пилотирования У-2 улетел на Ме-109 на свой аэродром (438,824).</w:t>
      </w:r>
    </w:p>
    <w:p w14:paraId="2A4E9D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50259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октябре 1941 г. Старший сержант 299-го </w:t>
      </w:r>
      <w:r w:rsidRPr="00640820">
        <w:rPr>
          <w:rFonts w:ascii="Times New Roman" w:hAnsi="Times New Roman"/>
          <w:iCs/>
          <w:color w:val="000000" w:themeColor="text1"/>
          <w:sz w:val="16"/>
          <w:szCs w:val="16"/>
        </w:rPr>
        <w:t>шап</w:t>
      </w:r>
      <w:r w:rsidRPr="00640820">
        <w:rPr>
          <w:rFonts w:ascii="Times New Roman" w:hAnsi="Times New Roman"/>
          <w:color w:val="000000" w:themeColor="text1"/>
          <w:sz w:val="16"/>
          <w:szCs w:val="16"/>
        </w:rPr>
        <w:t xml:space="preserve"> В.Я.Рябошапка из состава 6-й Резервной авиа</w:t>
      </w:r>
      <w:r w:rsidRPr="00640820">
        <w:rPr>
          <w:rFonts w:ascii="Times New Roman" w:hAnsi="Times New Roman"/>
          <w:color w:val="000000" w:themeColor="text1"/>
          <w:sz w:val="16"/>
          <w:szCs w:val="16"/>
        </w:rPr>
        <w:softHyphen/>
        <w:t>группы Ставки ВГК (Брянский фронт) предложил производить построение групп Ил-2, атакующих назем</w:t>
      </w:r>
      <w:r w:rsidRPr="00640820">
        <w:rPr>
          <w:rFonts w:ascii="Times New Roman" w:hAnsi="Times New Roman"/>
          <w:color w:val="000000" w:themeColor="text1"/>
          <w:sz w:val="16"/>
          <w:szCs w:val="16"/>
        </w:rPr>
        <w:softHyphen/>
        <w:t>ные цели, в два яруса: нижний ярус "Ильюшиных" штурмует цель, а "Илы", летя</w:t>
      </w:r>
      <w:r w:rsidRPr="00640820">
        <w:rPr>
          <w:rFonts w:ascii="Times New Roman" w:hAnsi="Times New Roman"/>
          <w:color w:val="000000" w:themeColor="text1"/>
          <w:sz w:val="16"/>
          <w:szCs w:val="16"/>
        </w:rPr>
        <w:softHyphen/>
        <w:t>щие сзади и выше метров на 300-400, охраняют и защищают товарищей от атак немецких истребителей. Затем при повторной атаке обе группы штурмови</w:t>
      </w:r>
      <w:r w:rsidRPr="00640820">
        <w:rPr>
          <w:rFonts w:ascii="Times New Roman" w:hAnsi="Times New Roman"/>
          <w:color w:val="000000" w:themeColor="text1"/>
          <w:sz w:val="16"/>
          <w:szCs w:val="16"/>
        </w:rPr>
        <w:softHyphen/>
        <w:t>ков меняются местами. Применяя этот прием, 299-й штурмовой авиаполк до</w:t>
      </w:r>
      <w:r w:rsidRPr="00640820">
        <w:rPr>
          <w:rFonts w:ascii="Times New Roman" w:hAnsi="Times New Roman"/>
          <w:color w:val="000000" w:themeColor="text1"/>
          <w:sz w:val="16"/>
          <w:szCs w:val="16"/>
        </w:rPr>
        <w:softHyphen/>
        <w:t>бился заметных успехов. Потери полка снизились. Сам же Рябошапка, защищая таким способом товарищей, лично сбил 4 истребителя противника и по праву стал первым в полку Героем Советско</w:t>
      </w:r>
      <w:r w:rsidRPr="00640820">
        <w:rPr>
          <w:rFonts w:ascii="Times New Roman" w:hAnsi="Times New Roman"/>
          <w:color w:val="000000" w:themeColor="text1"/>
          <w:sz w:val="16"/>
          <w:szCs w:val="16"/>
        </w:rPr>
        <w:softHyphen/>
        <w:t>го Союза (с 21.07.42 г.).</w:t>
      </w:r>
    </w:p>
    <w:p w14:paraId="662A6A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44D08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советс</w:t>
      </w:r>
      <w:r w:rsidRPr="00640820">
        <w:rPr>
          <w:rFonts w:ascii="Times New Roman" w:hAnsi="Times New Roman"/>
          <w:color w:val="000000" w:themeColor="text1"/>
          <w:sz w:val="16"/>
          <w:szCs w:val="16"/>
        </w:rPr>
        <w:softHyphen/>
        <w:t>кие штурмовики большинство бо</w:t>
      </w:r>
      <w:r w:rsidRPr="00640820">
        <w:rPr>
          <w:rFonts w:ascii="Times New Roman" w:hAnsi="Times New Roman"/>
          <w:color w:val="000000" w:themeColor="text1"/>
          <w:sz w:val="16"/>
          <w:szCs w:val="16"/>
        </w:rPr>
        <w:softHyphen/>
        <w:t>евых вылетов выполнили в крайне неблагоприятных погодных условиях, в то время как немецкие войска защиты от Люфтваффе не получали. Требование поднимать самолеты независимо от по</w:t>
      </w:r>
      <w:r w:rsidRPr="00640820">
        <w:rPr>
          <w:rFonts w:ascii="Times New Roman" w:hAnsi="Times New Roman"/>
          <w:color w:val="000000" w:themeColor="text1"/>
          <w:sz w:val="16"/>
          <w:szCs w:val="16"/>
        </w:rPr>
        <w:softHyphen/>
        <w:t>годных условий было характерным ат</w:t>
      </w:r>
      <w:r w:rsidRPr="00640820">
        <w:rPr>
          <w:rFonts w:ascii="Times New Roman" w:hAnsi="Times New Roman"/>
          <w:color w:val="000000" w:themeColor="text1"/>
          <w:sz w:val="16"/>
          <w:szCs w:val="16"/>
        </w:rPr>
        <w:softHyphen/>
        <w:t>рибутом почти всех приказов этого пе</w:t>
      </w:r>
      <w:r w:rsidRPr="00640820">
        <w:rPr>
          <w:rFonts w:ascii="Times New Roman" w:hAnsi="Times New Roman"/>
          <w:color w:val="000000" w:themeColor="text1"/>
          <w:sz w:val="16"/>
          <w:szCs w:val="16"/>
        </w:rPr>
        <w:softHyphen/>
        <w:t>риода (6467).</w:t>
      </w:r>
    </w:p>
    <w:p w14:paraId="1A4495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4159D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звено самолетов К-37 (Гу-37) с пушкой Ш-37 впервые использовалось в боях на московском направлении в составе 43-й авиадивизии. Тогда мощное вооружение этих машин не удалось использовать в полной мере из- за многочисленных конструктивных и производственных дефектов пушечной установки. Тем не менее, конструктор пушки Шпитальный посчитал, что применение нового оружия прошло успешно, и доложил Сталину об уничтожении пяти средних танков. Однако он промолчал, что в этом же месяце звено фактически перестало существовать - все его истребители были выведены из строя (11983).</w:t>
      </w:r>
    </w:p>
    <w:p w14:paraId="5C56C2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76B4C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с появлением ночных легкобомбардировочных полков фронтовая авиация была подразделена на дневную и ночную (2606,35).</w:t>
      </w:r>
    </w:p>
    <w:p w14:paraId="3A6CD3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BE83C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был 31 налет на Москву с участием от 10 до 50 машин. К городу прорвалось 72 (341,72).</w:t>
      </w:r>
    </w:p>
    <w:p w14:paraId="1758C6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3C287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М.Раскова в Энгельсе сформировала 3 чисто женских авиационных соединения. Они получили номера 500: 586 иап, 587 бпа и 588 нбап (2875).</w:t>
      </w:r>
    </w:p>
    <w:p w14:paraId="18D4B2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2CF09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угрожающее положение под Москвой, заставило пойти на отчаянный шаг. Вместо испытательного полета “сырую” машину пришлось перегнать в Казань “своим ходом”. Перелет, к счастью, прошел успешно (4476).</w:t>
      </w:r>
    </w:p>
    <w:p w14:paraId="4BAC22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5B67E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октября 1941 года ТБ-7 базировались на аэродромах поблизости от Москвы и продолжали использовать пушкинский аэродром. Было выполнено несколько налетов на Берлин и Кенигсберг. С приближением немцев к Москве и Ленинграду от этих аэродромов пришлось отказаться, и ТБ-7 перебазировались на аэродром города Коврова Владимирской области, с которого ТБ-7 проводили боевые вылеты осенью-зимой 1941-1942 годов. Поскольку дизеля в боевой эксплуатации зарекомендовали себя не лучшим образом, на самолеты ТБ-7 выпуска конца 1941 года их почти не устанавливали, серийные машины выходили с АМ-35А, в эксплуатации на нескольких самолетах дизели заменили на АМ-35А. Тем не менее в частях оставалось еще достаточно машин с дизелями. Причем наиболее удаленные цели были как раз доступны именно им, так как ТБ-7 с АМ-35А имели несколько меньшую дальность полета. Особенностью силовой установки ТБ-7 с М-40Ф был чрезмерный расход масла, а при полетах по дальним целям на территории Германии самолеты находились в воздухе до 15 часов. Для таких полетов емкости штатных маслобаков ТБ-7 4М-40Ф, как выяснилось было недостаточно. Непосредственным поводом к этой модернизации стал приказ Сталина в октябре 1941 года о срочном проведении налета на Берлин тремя ТБ-7 (опять ТБ-74АМ-35). На завод № 124 приехали Голованов и Главный инженер И.В.Марков и дали на изготовление новых агрегатов масляной системы всего 20 часов. ОКБ и завод за 22 часа выполнили эту работу. Предварительные конструктивные решения в ОКБ были, ведь проблема с дизелями стояла не первый день. Для решения проблемы дизельных ТБ-7 необходимо было на них установить дополнительный маслобак на 400 л, из которого масло должно было перекачиваться на обратном пути, после выполнения задания на большие дальности полета. Была максимально использована имевшаяся на заводе арматура, готовые краны, а также старые маслобаки меньшей емкости, чем штатные, стоявшие на ТБ-7. Через 22 часа все это было погружено на самолет и вместе с заводской бригадой вылетело на аэродром базирования ТБ-7 (7685).</w:t>
      </w:r>
    </w:p>
    <w:p w14:paraId="651151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474D2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Октябрь 1941 оказался последним месяцем эксплуатации Ер-2 в 420-м дб/авиаполку. Совершив 154 боевых самолето-вылета (6 в августе, 81 в сентябре и 67 в октябре), полк понес серьезные потери, утратив 30 машин из имевшихся у него 40. По категориям они распределились следующим образом: 11 самолетов были потеряны в боевых вылетах (четыре сбиты истребителями, два - зенитной артиллерией, пять - не вернулись с задания) и 19 бомбардировщиков - в авариях (15 случаев) и катастрофах (четыре случая). Погибли 11 летчиков, восемь штурманов, девять стрелков-радистов и 13 воздушных стрелков. Экипажи сбросили на противника около 200 т бомб и доложили об уничтожении трех истребителей противника. Оставшуюся матчасть с 5 ноября 1941 новодрановский полк начал передавать в 421-й ап. В декабре 1941 на базе 420-го и 212-го авиаполков был сформирован новый - 748-й (впоследствии преобразованный во 2-й гв. ап ДД, а затем - в 37-й гв. бап). Он получил на вооружение бомбардировщики ДБ-3Ф. В гусевском полку дела складывались несколько удачнее. По состоянию на 16 октября 1941 в его боевом составе насчитывалось 20 самолетов, из них 14 исправных. Спустя 10 дней после описанных выше событий 18 октября часть располагала 14 машинами, в том числе девятью исправными. Чаще других в 421 -м полку на боевые задания в октябре летали капитаны И.Ф.Галинский (11 вылетов на голубой "З") и И.Т.Щербатенко (девять вылетов, самолет с желтой "1 ") (3322,23).</w:t>
      </w:r>
    </w:p>
    <w:p w14:paraId="70BD14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0B636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отражения начавшегося в октябре 1941 г. вражеского наступления на Москву от Красной Армии, в том числе от авиации, требовалось величайшее мужество и героизм. Люфтваффе по-прежнему имели превосходство в силах, особенно в дневных бомбардировщиках. Каждый Пе-2 был на счету, и для их лучшего использования новые самолеты стали сводить в новые формирования - авиагруппы. К началу оборонительных боев в составе ВВС Западного фронта имелось 95 Пе-2, т. е. 19% всей фронтовой бомбардировочной авиации. В битве под Москвой перед бомбардировщиками Петлякова ставились наиболее важные задачи, а в ходе боев родились новые приемы применения. Ухудшение штурманской подготовки летного состава в совокупности с типично осенней непогодой приводили к частым случаям потери ориентиров. Перед хорошо подготовленными летчиками и штурманами 9-го бап, базировавшегося в центре Москвы, была поставлена задача лидирования вновь прибывающих на фронт частей и подразделений истребителей и штурмовиков. Широкое применение получили под Москвой Пе-2 с реактивными снарядами. Иногда их устанавливали необычно для стрельбы, в сторону, противоположную направлению полета. Учитывая уязвимость бомбардировщиков при атаке сзади, техник А.Помазанский предложил устанавливать таким образом несколько реактивных орудий РО-82. Внезапный пуск снарядов, по замыслу изобретателя, мог сорвать атаку вражеских истребителей. Основное же применение реактивные снаряды нашли при борьбе с танками противника. Пуск производился парой или четверкой снарядов с пологого пикирования. Инициатива в разработке методики применения PC-132 по бронетехнике принадлежала инспектору по технике пилотирования ВВС Московского военного округа майору Г.Карпенко (3542).</w:t>
      </w:r>
    </w:p>
    <w:p w14:paraId="0967AD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97C8B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на СФ поступили первые 40 Харрикейнов (1085,149).</w:t>
      </w:r>
    </w:p>
    <w:p w14:paraId="69F9AB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A33FC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два Звена СПБ - 11 И-5 и 8 И-153 - наносили удар в районе Казак-Сарая. На фронтах было так трудно, что мобилизовали и старье (191,30).</w:t>
      </w:r>
    </w:p>
    <w:p w14:paraId="2779E9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AFB28AD" w14:textId="77777777" w:rsidR="00D07FCB" w:rsidRPr="00640820" w:rsidRDefault="00D07FCB" w:rsidP="00640820">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lastRenderedPageBreak/>
        <w:t>В октябре 1941 г. по огневым позициями артиллерии противнака было со</w:t>
      </w:r>
      <w:r w:rsidRPr="00640820">
        <w:rPr>
          <w:rFonts w:ascii="Times New Roman" w:hAnsi="Times New Roman" w:cs="Times New Roman"/>
          <w:color w:val="000000" w:themeColor="text1"/>
          <w:sz w:val="16"/>
          <w:szCs w:val="16"/>
        </w:rPr>
        <w:softHyphen/>
        <w:t>вершено 22 самолето-вылета «Звеньев-СПБ». После выхода немецких войск к Пе</w:t>
      </w:r>
      <w:r w:rsidRPr="00640820">
        <w:rPr>
          <w:rFonts w:ascii="Times New Roman" w:hAnsi="Times New Roman" w:cs="Times New Roman"/>
          <w:color w:val="000000" w:themeColor="text1"/>
          <w:sz w:val="16"/>
          <w:szCs w:val="16"/>
        </w:rPr>
        <w:softHyphen/>
        <w:t>рекопу истребителям-бомбардировщикам И-16 пришлось освоить новую «специ</w:t>
      </w:r>
      <w:r w:rsidRPr="00640820">
        <w:rPr>
          <w:rFonts w:ascii="Times New Roman" w:hAnsi="Times New Roman" w:cs="Times New Roman"/>
          <w:color w:val="000000" w:themeColor="text1"/>
          <w:sz w:val="16"/>
          <w:szCs w:val="16"/>
        </w:rPr>
        <w:softHyphen/>
        <w:t>альность». Теперь они наносили удары по огневым позициям немецкой полевой и зенитной артиллерии. При этом самолеты- носители ТБ-3 зачастую использовались лишь для подъема нагруженных бомбами И-16 в воздух. Сами «ишачки» с двумя под</w:t>
      </w:r>
      <w:r w:rsidRPr="00640820">
        <w:rPr>
          <w:rFonts w:ascii="Times New Roman" w:hAnsi="Times New Roman" w:cs="Times New Roman"/>
          <w:color w:val="000000" w:themeColor="text1"/>
          <w:sz w:val="16"/>
          <w:szCs w:val="16"/>
        </w:rPr>
        <w:softHyphen/>
        <w:t>вешенными ФАБ-250 взлететь не могли. 3,5,17 и 18 октября было совершено по два самолето</w:t>
      </w:r>
      <w:r w:rsidRPr="00640820">
        <w:rPr>
          <w:rFonts w:ascii="Times New Roman" w:hAnsi="Times New Roman" w:cs="Times New Roman"/>
          <w:color w:val="000000" w:themeColor="text1"/>
          <w:sz w:val="16"/>
          <w:szCs w:val="16"/>
        </w:rPr>
        <w:softHyphen/>
        <w:t>вылета, а 6 и 20 числа - по четыре. 7 ок</w:t>
      </w:r>
      <w:r w:rsidRPr="00640820">
        <w:rPr>
          <w:rFonts w:ascii="Times New Roman" w:hAnsi="Times New Roman" w:cs="Times New Roman"/>
          <w:color w:val="000000" w:themeColor="text1"/>
          <w:sz w:val="16"/>
          <w:szCs w:val="16"/>
        </w:rPr>
        <w:softHyphen/>
        <w:t>тября пара старший лейтенант Б.И. Фили</w:t>
      </w:r>
      <w:r w:rsidRPr="00640820">
        <w:rPr>
          <w:rFonts w:ascii="Times New Roman" w:hAnsi="Times New Roman" w:cs="Times New Roman"/>
          <w:color w:val="000000" w:themeColor="text1"/>
          <w:sz w:val="16"/>
          <w:szCs w:val="16"/>
        </w:rPr>
        <w:softHyphen/>
        <w:t>монов - лейтенант П.Г. Данилин атаковала позиции зенитной артиллерии. У самолета Филимонова был поврежден двигатель, и он вынужденно сел в районе Кадыш. Пилот не пострадал, а «ишачок» удалось эвакуировать на аэродром Тагайлы (19112).</w:t>
      </w:r>
    </w:p>
    <w:p w14:paraId="605420AE" w14:textId="77777777" w:rsidR="00D07FCB" w:rsidRPr="00640820" w:rsidRDefault="00D07FCB" w:rsidP="00640820">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167697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ввели жесткие лимиты на расход боеприпасов (177,403).</w:t>
      </w:r>
    </w:p>
    <w:p w14:paraId="5E8C4C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753E8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были введены твердые лимиты расхода боеприпасов, а позже - горючего (338,58).</w:t>
      </w:r>
    </w:p>
    <w:p w14:paraId="790CCF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B8D95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Харьков был захвачен, в том же месяце угроза нависла над Москвой (4018).</w:t>
      </w:r>
    </w:p>
    <w:p w14:paraId="01A8D8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58A3322" w14:textId="77777777" w:rsidR="00D9129E" w:rsidRPr="00640820" w:rsidRDefault="00D9129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у Тихвина «юнкерсы» уничтожили бронепоезд №51 из состава 2-й дивизии НКВД по охране железных дорог. Еще один чекистский бронепоезд – №82, поврежденный авиацией и попавший в окружение под Волховым, был взорван своей командой (15218).</w:t>
      </w:r>
    </w:p>
    <w:p w14:paraId="61D8791D" w14:textId="77777777" w:rsidR="00D9129E" w:rsidRPr="00640820" w:rsidRDefault="00D9129E" w:rsidP="00640820">
      <w:pPr>
        <w:spacing w:after="0" w:line="240" w:lineRule="auto"/>
        <w:jc w:val="both"/>
        <w:rPr>
          <w:rFonts w:ascii="Times New Roman" w:hAnsi="Times New Roman"/>
          <w:color w:val="000000" w:themeColor="text1"/>
          <w:sz w:val="16"/>
          <w:szCs w:val="16"/>
        </w:rPr>
      </w:pPr>
    </w:p>
    <w:p w14:paraId="48AB4A11" w14:textId="77777777" w:rsidR="00D9129E" w:rsidRPr="00640820" w:rsidRDefault="00D9129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года на южном фланге советско-германского фронта, под Таганрогом, за три дня боев был полностью уничтожен 8-й отдельный дивизион бронепоездов. Три бронепоезда – №14, 45 и бронепоезд НКВД №59 были разбиты немецкими танками и авиацией, рвавшимися к Ростову (15218).</w:t>
      </w:r>
    </w:p>
    <w:p w14:paraId="6E4543AB" w14:textId="77777777" w:rsidR="00D9129E" w:rsidRPr="00640820" w:rsidRDefault="00D9129E" w:rsidP="00640820">
      <w:pPr>
        <w:spacing w:after="0" w:line="240" w:lineRule="auto"/>
        <w:jc w:val="both"/>
        <w:rPr>
          <w:rFonts w:ascii="Times New Roman" w:hAnsi="Times New Roman"/>
          <w:color w:val="000000" w:themeColor="text1"/>
          <w:sz w:val="16"/>
          <w:szCs w:val="16"/>
        </w:rPr>
      </w:pPr>
    </w:p>
    <w:p w14:paraId="7241DA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в стык 30-й и 19-й армий Западного фронта, оборонявшийся 45-й кавалерийской дивизией генерал-майора Дреера, немцы бросили 12 полноценных дивизий и почти всю авиацию. Это обеспечило немцам подавляющее превосходство в живой силе и боевой технике на участке прорыва - на каждые 4 км фронта прорыва в среднем приходилось две полевые дивизии, до 50-60 танков и 25-30 самолетов против двух стрелковых батальонов, 6 танков, 6 противотанковых и 18 76-мм орудий Красной Армии. Сдержать немецкий "таран" было невозможно (8907).</w:t>
      </w:r>
    </w:p>
    <w:p w14:paraId="636D0E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9CC97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года на базе отделения 4 спецотдела НКВД СССР создан Отдел правительственной ВЧ-связи НКВД СССР (8983).</w:t>
      </w:r>
    </w:p>
    <w:p w14:paraId="68EFCA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235D2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Создание подвижных узлов, поездов и отдельных дивизионов связи РВГК. Применение в частях связи МВД модернизированной аппаратуры ВЧ телефонирования на один канал ВЧ (МВЧТ) для обеспечения правительственной связи Генеральный штаб — фронт—армия (11072).</w:t>
      </w:r>
    </w:p>
    <w:p w14:paraId="75C717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1EBFB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морскую оборону Ленинграда и озерного района переформировали в Ленинградскую военно-морскую базу, а с перебазированием флота в Кронштадт и Ленинград Кронштадт стал главной базой КБФ (359,190).</w:t>
      </w:r>
    </w:p>
    <w:p w14:paraId="051EA1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32C2B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Ю-87, пилотируемый о-л Гансом Ульрихом Руделем из III/ST.G.2 тяжело повредил линкор Марат, который получив прямое попадание был затоплен на рейде в Кронштадте. Тяжелые повреждения получил и линкор Октябрьская революция и другие корабли (347,9).</w:t>
      </w:r>
    </w:p>
    <w:p w14:paraId="50806C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9DAFB6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года совершила боевой поход П-2 под командованием капитан-лейтенанта И. П. Попова: она прибыла в Нарвский залив для обстрела занятого противником побережья. Два месяца спустя в сложных ледовых условиях подлодка доставила из Кронштадта в Ленинград 700 т топлива для электростанции, принятого в цистерны главного балласта. Задание было выполнено, но лодка за время перехода получила 14 пробоин от вражеских снарядов. После осмотра повреждений ее ремонт признали нецелесообразным. С субмарины сняли вооружение и все ценные приборы и поставили ее на консервацию. После войны бывшая “Звезда” некоторое время использовалась как опытовая лодка, а затем была сдана на слом (12718).</w:t>
      </w:r>
    </w:p>
    <w:p w14:paraId="10EC2DE3"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4FA91429" w14:textId="77777777" w:rsidR="00D07FCB" w:rsidRPr="00640820" w:rsidRDefault="00D07FC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года с аэродрома Киркинес был выполнен полёт специально подготовленного FW-200, пилотируемого лётчиком «Люфтганзы» флюг-капитаном Вальтером Майром. Самолёт благополучно долетел до Японии, однако продолжения полёты не получили. Японцы опасались, что, если в СССР узнают о рейсах немецких самолётов через советское воздушное пространство, это может быть использовано Москвой в качестве повода для объявления войны Японии (19672).</w:t>
      </w:r>
    </w:p>
    <w:p w14:paraId="247759AA" w14:textId="77777777" w:rsidR="00D07FCB" w:rsidRPr="00640820" w:rsidRDefault="00D07FCB" w:rsidP="00640820">
      <w:pPr>
        <w:spacing w:after="0" w:line="240" w:lineRule="auto"/>
        <w:jc w:val="both"/>
        <w:rPr>
          <w:rFonts w:ascii="Times New Roman" w:hAnsi="Times New Roman"/>
          <w:color w:val="000000" w:themeColor="text1"/>
          <w:sz w:val="16"/>
          <w:szCs w:val="16"/>
        </w:rPr>
      </w:pPr>
    </w:p>
    <w:p w14:paraId="11B79066"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4A2B5107"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AD047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ввели налог на холостых и бездетных с освобождением для военнослужащих (1070,131).</w:t>
      </w:r>
    </w:p>
    <w:p w14:paraId="234CDD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6CAC67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в Ленинграде районные бюро выдали взамен утерянных 4800 новых карточек, то в ноябре — уже около 13 000. В Ленинграде каждый день гремели взрывы и полыхали пожары, выли сирены воздушной тревоги. Поэтому у людей появились вполне уважительные причины по «утере» карточек: «Спасаясь от обстрела, утерял», «Карточки остались в квартире, а дом разрушен», «Украли в суматохе» и т. п. То, что прокатило у кого-то одного, быстро становилось достоянием общества, и «мода» на потерянные карточки стала расти, как снежный ком. В декабре предприимчивые питерцы «утеряли» уже 24 тысячи карточек. В итоге государство отреагировало тоже по-русски: повторную выдачу карточек просто запретили. Сделать это можно было лишь в редких случаях, да и то чуть ли не после личного приказа Жданова. Кроме того, вводилась практика прикрепления граждан к определенным магазинам, а на карточках появились дополнительные штампы типа «Продмаг № 31». Безусловно, все эти меры несколько сократили и усложнили незаконное получение карточек. Но наиболее предприимчивые люди за осенние месяцы успели создать некоторый запас продовольствия, который позволил многим из них пережить гибельную блокадную зиму. Так что больше всего пострадали как раз честные граждане, всецело доверившие свою судьбу государству (11741).</w:t>
      </w:r>
    </w:p>
    <w:p w14:paraId="3C2DDBB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53C730"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170D5B00"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668CB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на Московской конференции США и Англия подписали протокол о поставке в СССР сырья и вооружений (572,40).</w:t>
      </w:r>
    </w:p>
    <w:p w14:paraId="2D4CC4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5241F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по постановлению ГКО N 739с начали изыскания и строительство Северо-Сибирской воздушной трассы для перегона самолетов с Аляски (572,40).</w:t>
      </w:r>
    </w:p>
    <w:p w14:paraId="05E34F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C7D6F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октября 1941 из американских портов начали уходить в нашу страну пароходы с боевыми самолетами (3457,57).</w:t>
      </w:r>
    </w:p>
    <w:p w14:paraId="733E2E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3908C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в ответ на ноту советского и британского правительств афганское руководство приняло решение выдворить из страны всех представителей Германии и ее союзников по "оси", за исключением дипломатов (3871).</w:t>
      </w:r>
    </w:p>
    <w:p w14:paraId="4B63DC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11151AF"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20778A75"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50762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на четвертом опытном Ме-163AV1, взлетевшем за самолетом-буксировщиком, Дитар смог достигнуть скорость 1008 км/час (3973,20).</w:t>
      </w:r>
    </w:p>
    <w:p w14:paraId="27680F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75CD4D9" w14:textId="77777777" w:rsidR="00DD6711" w:rsidRPr="00640820" w:rsidRDefault="00DD671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октябре 1941 года, менее чем за два месяца до вступления Америки в войну, выкатили первый PBY-5А. Эти амфибии строили до января 1945 года, их сдали 805 штук. Выпуск «модели 28» «Консолидейтед» завершил в январе-мае 1945 года, сдав последний из 175 машин версии PBY-6А для ВМС, параллельно 75 таких амфибий было выпущено для ВВС Армии США, но последние не имели бомбардировочного вооружения. Главное отличие «шестерки» заключалось в штатной установке РЛС (до того радары ставились по спецзаказу) (22816).</w:t>
      </w:r>
    </w:p>
    <w:p w14:paraId="1F5E6C90" w14:textId="77777777" w:rsidR="00DD6711" w:rsidRPr="00640820" w:rsidRDefault="00DD6711" w:rsidP="00640820">
      <w:pPr>
        <w:spacing w:after="0" w:line="240" w:lineRule="auto"/>
        <w:jc w:val="both"/>
        <w:rPr>
          <w:rFonts w:ascii="Times New Roman" w:hAnsi="Times New Roman"/>
          <w:color w:val="0070C0"/>
          <w:sz w:val="16"/>
          <w:szCs w:val="16"/>
        </w:rPr>
      </w:pPr>
    </w:p>
    <w:p w14:paraId="0477A117" w14:textId="77777777" w:rsidR="00DD6711" w:rsidRPr="00640820" w:rsidRDefault="00DD671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октябре 1941 г. в преддверии массового серийного выпуска Ме-210, Bf-110 был снят с производства. Однако когда попытка заменить «110-й» новым самолетом с треском провалилась, ничего не оставалось как спешно возвращать на конвейеры Bf-110, выпуск которых в феврале 1942 г. был возобновлен снова (22894).</w:t>
      </w:r>
    </w:p>
    <w:p w14:paraId="7C6B9B7C" w14:textId="77777777" w:rsidR="00DD6711" w:rsidRPr="00640820" w:rsidRDefault="00DD6711" w:rsidP="00640820">
      <w:pPr>
        <w:spacing w:after="0" w:line="240" w:lineRule="auto"/>
        <w:jc w:val="both"/>
        <w:rPr>
          <w:rFonts w:ascii="Times New Roman" w:hAnsi="Times New Roman"/>
          <w:color w:val="0070C0"/>
          <w:sz w:val="16"/>
          <w:szCs w:val="16"/>
        </w:rPr>
      </w:pPr>
    </w:p>
    <w:p w14:paraId="5E2588D7" w14:textId="77777777" w:rsidR="00BA069A" w:rsidRPr="00640820" w:rsidRDefault="00BA069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октябре 1941 г. поступил заказ на оснащение "Харрикейна" ракетами. Первые три опытных "двойки" получили балки под три ракеты под каждым крылом. После оснащения реактивными снарядами ценность "Харрикейна" IIС как штурмовика возросла. Он стал первым британским одноместным истребителем, получившим подобное оружие. Самолет нес восемь ракет типа ИР. Предназначали их, в первую очередь, для поражения небольших судов. Ракета ИР была весьма примитивна - </w:t>
      </w:r>
      <w:r w:rsidRPr="00640820">
        <w:rPr>
          <w:rFonts w:ascii="Times New Roman" w:hAnsi="Times New Roman"/>
          <w:color w:val="000000" w:themeColor="text1"/>
          <w:sz w:val="16"/>
          <w:szCs w:val="16"/>
        </w:rPr>
        <w:lastRenderedPageBreak/>
        <w:t>просто труба, наполненная твердым топливом. Шашка имела внутри продольный канал и зажигалась с переднего конца (от боеголовки). В хвосте имелись три треугольных киля. Первый "Харрикейн" IIА с подвеской ракет поднял в воздух К.Уоррен 23 февраля 1942 г. Уже на следующий день эта машина приступила к стрельбам в Боскомб-Даун. Хотя из за плохих баллистических характеристик точность оказалась невысокой, простота и дешевизна ракетного оружия привели к его массовому производству и применению. Массу боеголовки в процессе доводки увеличили с 18 кг до 27 кг, а число ракет на истребителе - до восьми. Стабилизаторов стало четыре и они получили прямоугольную форму. Выпускали три варианта ракет: бронебойные, фугасные и учебные. Фугасными стреляли с дистанции 300-400 м, бронебойными с 200м. А вот другой вид ракетной системы, испытывавшийся на "Харрикейне", так и остался в опытных образцах. Речь идет об одном из первых снарядов класса "воздух-воздух". Правда, для "Харрикейна" оно не предназначалось, а лишь опробовалось на нем. Этими ракетами собирались отпугивать истребители немцев, осыпавшие сверху строй бомбардировщиков мелкими бомбами. Ракета выпускалась, как из миномета, из трубы, наклонно стоявшей за кабиной самолета. Вместо крупных бомб по 113 или 227 кг под крыльями истребителя можно было подвесить контейнеры для мелких бомб 5ВС. В гнезда этого контейнера обычно укладывали осколочные или учебные бомбы. Испытывали англичане и собственно противосамолетные бомбы. "Харрикейн" нес две такие бомбы по 113 кг. Взрыватель был фотоэлектрического типа и срабатывал от тени самолета-цели. При использовании традиционных типов бомб "Харрикейны" летали парами, а чаще четверками. Бомбили с пикирования, осуществляя сброс с высоты 1500-3000 м. Радиус действия с бомбами был около 240 км. Вместо бомб на бомбодержателях крепились дымовые приборы 5С1, по одному с каждой стороны фюзеляжа. " Харрикейны" - дымозавесчики использовались в ряде операций в Европе в 1943-1944 годах (15129).</w:t>
      </w:r>
    </w:p>
    <w:p w14:paraId="60FF86AE" w14:textId="77777777" w:rsidR="00BA069A" w:rsidRPr="00640820" w:rsidRDefault="00BA069A" w:rsidP="00640820">
      <w:pPr>
        <w:spacing w:after="0" w:line="240" w:lineRule="auto"/>
        <w:jc w:val="both"/>
        <w:rPr>
          <w:rFonts w:ascii="Times New Roman" w:hAnsi="Times New Roman"/>
          <w:color w:val="000000" w:themeColor="text1"/>
          <w:sz w:val="16"/>
          <w:szCs w:val="16"/>
        </w:rPr>
      </w:pPr>
    </w:p>
    <w:p w14:paraId="39EA8DE7" w14:textId="77777777" w:rsidR="00DD6711" w:rsidRPr="00640820" w:rsidRDefault="00DD671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Октябрь 1941 самолеты с британского авианосца HMS Victorious наносит удар по Гломфьорду, Норвегия, потопив два торговых корабля и потеряв два Fairey Albacores (20794).</w:t>
      </w:r>
    </w:p>
    <w:p w14:paraId="7652B0E7" w14:textId="77777777" w:rsidR="00DD6711" w:rsidRPr="00640820" w:rsidRDefault="00DD6711" w:rsidP="00640820">
      <w:pPr>
        <w:spacing w:after="0" w:line="240" w:lineRule="auto"/>
        <w:jc w:val="both"/>
        <w:rPr>
          <w:rFonts w:ascii="Times New Roman" w:hAnsi="Times New Roman"/>
          <w:color w:val="0070C0"/>
          <w:sz w:val="16"/>
          <w:szCs w:val="16"/>
        </w:rPr>
      </w:pPr>
    </w:p>
    <w:p w14:paraId="45DEB49A"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0BC3474C"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D92EF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октябре-ноябре 1941 в частях силами ПАРМ или наземным составом полков дорабатывали и усиливали вооружение Пе-3. Штурману поставили БТ на шкворне ФТ. а в носу - ШВАК, а второй БК поставили вместо ШКАС + ДАГ-10 с 10 АГ-2 и до 8 РС-82 или 4-6 РС 132. Спереди поставили бронеплиту (2475,9).</w:t>
      </w:r>
    </w:p>
    <w:p w14:paraId="69063F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FD200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октябре-ноябре 1941 г. к уже привычным для военного времени трудностям (нехватке материалов, электроэнергии и квалифицированной рабочей силы) добавилась еще одна - эвакуация основных заводов- производителей Пе-2 на Восток. Москва в это время подвергалась налетам германской авиации. В результате одного из них в августе на летном поле Тушинского аэродрома противник сжег три "свежеиспеченных" самолета Пе-2 выпуска завода № 22.</w:t>
      </w:r>
    </w:p>
    <w:p w14:paraId="265C2B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Московский завод № 39, с осени 1941 г. занимавшийся преимущественно изготовлением истребительного варианта "пешки" Пе-3, эвакуировали в Иркутск, где он вскоре объединился с размещенным там заводом № 125. Другой московский завод, № 22, переместился в Казань, и к концу года "поглотил" местный завод № 124. Конструкторское бюро Петлякова, именовавшееся в это время опытно-конструкторским отделом завода № 22 (ОКО-22), также переехало в Казань. Естественно, что эвакуация не могла не привести к потерям в объеме выпуска пикировщиков (12042).</w:t>
      </w:r>
    </w:p>
    <w:p w14:paraId="38EFB1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E60DFCC" w14:textId="77777777" w:rsidR="00DD6711" w:rsidRPr="00640820" w:rsidRDefault="00DD671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октябре-ноябре 1941 г. эвакуируется из Москвы в Иркутск на территорию завода № 125 и второй производитель Пе-2 — завод № 39. Как и в первом случае, предприятия объединяются под «московским» 39-м номером. До этого момента сам иркутский авиазавод успел сдать 144 серийных Пе-2, в том числе 142 — в III и IV кварталах 1941 г., а 39-й завод за тот же период сделал только девять Пе-2, но еще 197 тяжелых истребителей и многоцелевых самолетов Пе-3, а также 44 дальних бомбардировщика Ил-4. Всего за 1941 г. заводы № 39 и 125 сделали 886 и 144 пикировщика Петлякова соответственно, а общий выпуск Пе-2 за этот год по всем заводам составил 1 671 машину (22827).</w:t>
      </w:r>
    </w:p>
    <w:p w14:paraId="357659D2" w14:textId="77777777" w:rsidR="00DD6711" w:rsidRPr="00640820" w:rsidRDefault="00DD6711" w:rsidP="00640820">
      <w:pPr>
        <w:spacing w:after="0" w:line="240" w:lineRule="auto"/>
        <w:jc w:val="both"/>
        <w:rPr>
          <w:rFonts w:ascii="Times New Roman" w:hAnsi="Times New Roman"/>
          <w:color w:val="0070C0"/>
          <w:sz w:val="16"/>
          <w:szCs w:val="16"/>
        </w:rPr>
      </w:pPr>
    </w:p>
    <w:p w14:paraId="5E6D3F40" w14:textId="77777777" w:rsidR="00FF1134" w:rsidRPr="00640820" w:rsidRDefault="00FF1134" w:rsidP="00640820">
      <w:pPr>
        <w:pStyle w:val="rteindent11"/>
        <w:shd w:val="clear" w:color="auto" w:fill="FFFFFF"/>
        <w:spacing w:before="0" w:beforeAutospacing="0" w:after="0"/>
        <w:ind w:left="0" w:firstLine="0"/>
        <w:rPr>
          <w:rStyle w:val="a7"/>
          <w:b w:val="0"/>
          <w:color w:val="000000" w:themeColor="text1"/>
          <w:sz w:val="16"/>
          <w:szCs w:val="16"/>
        </w:rPr>
      </w:pPr>
      <w:r w:rsidRPr="00640820">
        <w:rPr>
          <w:rStyle w:val="a7"/>
          <w:b w:val="0"/>
          <w:color w:val="000000" w:themeColor="text1"/>
          <w:sz w:val="16"/>
          <w:szCs w:val="16"/>
        </w:rPr>
        <w:t>В октябре и ноябре 1941 года завод № 125 изготовил 35 и 31 бомбардировщик Пе-2 соответственно, и, наверстывая отставание от плана, усиленно наращивал объемы их дальнейшего производства (15223).</w:t>
      </w:r>
    </w:p>
    <w:p w14:paraId="202058A9" w14:textId="77777777" w:rsidR="00FF1134" w:rsidRPr="00640820" w:rsidRDefault="00FF1134" w:rsidP="00640820">
      <w:pPr>
        <w:pStyle w:val="rteindent11"/>
        <w:shd w:val="clear" w:color="auto" w:fill="FFFFFF"/>
        <w:spacing w:before="0" w:beforeAutospacing="0" w:after="0"/>
        <w:ind w:left="0" w:firstLine="0"/>
        <w:rPr>
          <w:rStyle w:val="a7"/>
          <w:b w:val="0"/>
          <w:color w:val="000000" w:themeColor="text1"/>
          <w:sz w:val="16"/>
          <w:szCs w:val="16"/>
        </w:rPr>
      </w:pPr>
    </w:p>
    <w:p w14:paraId="13F620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период октябрь-ноябрь 1941 года Технический проект завода №337 был прокорректирован на крупно-серийный выпуск авиационных моторов типа АМ35-А с последующими модификациями.</w:t>
      </w:r>
    </w:p>
    <w:p w14:paraId="643BC9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расположен северо-восточнее Куйбышева, вблизи ст. Безымянка, в северо-восточной части района “Пятилетка”. Площадка завода граничит с северо-запада с заводом НКСП им. Куйбышева, с северо-востока с Безымянской ТЭЦ и с юго-востока с Кабельным заводом.</w:t>
      </w:r>
    </w:p>
    <w:p w14:paraId="64A4F4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Расстояние от завода до центра Куйбышева – 29 км. Ближайшая ж/д станция Безымянка на расстоянии от завода 2,5 км (9480).</w:t>
      </w:r>
    </w:p>
    <w:p w14:paraId="274187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80AA3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октябрь 1941 г. — ян</w:t>
      </w:r>
      <w:r w:rsidRPr="00640820">
        <w:rPr>
          <w:rFonts w:ascii="Times New Roman" w:hAnsi="Times New Roman"/>
          <w:color w:val="000000" w:themeColor="text1"/>
          <w:sz w:val="16"/>
          <w:szCs w:val="16"/>
        </w:rPr>
        <w:softHyphen/>
        <w:t>варь 1942 г. пришелся второй этап эвакуации авиапромышленности. В этот период осуществляется перебазирование крупнейших заводов, имевших определяющее значение для авиавыпуска. ГКО настаивало, чтобы в крупнейшие центры сосредоточения эвакуируемых оборонных предприятий деле</w:t>
      </w:r>
      <w:r w:rsidRPr="00640820">
        <w:rPr>
          <w:rFonts w:ascii="Times New Roman" w:hAnsi="Times New Roman"/>
          <w:color w:val="000000" w:themeColor="text1"/>
          <w:sz w:val="16"/>
          <w:szCs w:val="16"/>
        </w:rPr>
        <w:softHyphen/>
        <w:t>гировались заместители профильных наркомов с небольшим аппаратом, которые должны были руководить воссозданием оборонных производств. Известно, что таким представите</w:t>
      </w:r>
      <w:r w:rsidRPr="00640820">
        <w:rPr>
          <w:rFonts w:ascii="Times New Roman" w:hAnsi="Times New Roman"/>
          <w:color w:val="000000" w:themeColor="text1"/>
          <w:sz w:val="16"/>
          <w:szCs w:val="16"/>
        </w:rPr>
        <w:softHyphen/>
        <w:t xml:space="preserve">лем НКАП в Новосибирске был А.С. Яковлев (РГАЭ. Ф. 8044. </w:t>
      </w:r>
      <w:r w:rsidRPr="00640820">
        <w:rPr>
          <w:rFonts w:ascii="Times New Roman" w:hAnsi="Times New Roman"/>
          <w:color w:val="000000" w:themeColor="text1"/>
          <w:sz w:val="16"/>
          <w:szCs w:val="16"/>
          <w:lang w:val="en-US"/>
        </w:rPr>
        <w:t>On</w:t>
      </w:r>
      <w:r w:rsidRPr="00640820">
        <w:rPr>
          <w:rFonts w:ascii="Times New Roman" w:hAnsi="Times New Roman"/>
          <w:color w:val="000000" w:themeColor="text1"/>
          <w:sz w:val="16"/>
          <w:szCs w:val="16"/>
        </w:rPr>
        <w:t>. 1. Д. 4191. Л. 38—39.) (12011).</w:t>
      </w:r>
    </w:p>
    <w:p w14:paraId="6B32B7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3C660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 ноябре 1941 г. большинство ученых ЦАГИ с соответствующим оборудованием прибыли в Новосибирск и разместились в здании авиационного техникума. В то время только в Новосибирске были сконцентрированы научные кадры, знавшие состояние мировой авиационной техники, во главе с Героем Социалистического Труда, академиком АН СССР С.А. Чаплыгиным. Строительство и монтаж оборудования предприятий Наркомата авиационной промышленности осуществлял крупный специализированный трест № 7 и эвакуированный из Москвы трест № 19 этого же Наркомата. Правительство стремилось создать в Новосибирске крупный научно-производственный центр предприятий и организаций, который бы обеспечивал не только выпуск военной авиационной техники, но и дальнейшее ее совершенствование, испытание по всем параметрам самолетов и прямой доставки их на фронт (9932).</w:t>
      </w:r>
    </w:p>
    <w:p w14:paraId="3C74D0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874A4C6" w14:textId="77777777" w:rsidR="00E34734" w:rsidRPr="00640820" w:rsidRDefault="00E3473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октябре—ноябре 1941 г. из Москвы в Новосибирск были эвакуированы около 500 ученых, инженеров и рабочих ЦАГИ, доставлены часть демонтированного оборудования и техническая документация на первоочередные сооружения. В филиал № 2 пое - хали академик С. А. Чаплыгин, профессора В. П. Вет - чинкин, Г. М. Мусинянц, Г. Х. Сабинин. В Новоси - бирске жизнь была значительно легче, чем в Казани, удалось решить сложнейшие проблемы строительства лабораторий (аэродинамической и прочности), организации научной работы и вопросы быта. Людей разместили в авиационном техникуме на Красном проспекте. Для строительства стратегически важного в условиях войны научного центра уже была подготовлена территория в центре города — на месте нынешнего Нарымского сквера. Однако от этой идеи пришлось отказаться, поскольку требовался постоянный контакт с промышленностью, и филиал стали строить рядом с авиационным заводом. За основу был взят один из проектов ЦАГИ, по нему возводили корпус № 1. В начале 1942 г. началось проектирование корпуса лаборатории прочности с залами статических и динамических испытаний и лабораторными помещениями. Строительство и монтаж оборудования осуществлял специализированный трест № 7 и эвакуированный из Москвы трест № 19 НКАП. В 1943 г. часть корпуса № 1 построили, там разместили аэродинамическую трубу Т-203, в конце года провели в ней первые эксперименты, а 12 июня 1944 г. сдали в промышленную эксплуатацию. Одно - временно вышел приказ об организации коллектива для проведения исследований по аэродинамике самолета. В 1941—1942 гг. научным руководителем филиала был С. А. Чаплыгин, начальником филиа - ла — В. И. Поликовский. В 1942—1943 гг. работой филиала руководил Д. Ю. Панов, с 1943 по 1946 г. — С. А. Каплан (19727).</w:t>
      </w:r>
    </w:p>
    <w:p w14:paraId="5DE23C89" w14:textId="77777777" w:rsidR="00E34734" w:rsidRPr="00640820" w:rsidRDefault="00E34734" w:rsidP="00640820">
      <w:pPr>
        <w:spacing w:after="0" w:line="240" w:lineRule="auto"/>
        <w:jc w:val="both"/>
        <w:rPr>
          <w:rFonts w:ascii="Times New Roman" w:hAnsi="Times New Roman"/>
          <w:color w:val="000000" w:themeColor="text1"/>
          <w:sz w:val="16"/>
          <w:szCs w:val="16"/>
        </w:rPr>
      </w:pPr>
    </w:p>
    <w:p w14:paraId="4B39303B"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6BFC26D1"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36A0288" w14:textId="77777777" w:rsidR="00FF1134" w:rsidRPr="00640820" w:rsidRDefault="00FF113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октябре-ноябре 1941 г. районе подмосковной деревни Зюзино имелось специальное зенитное подразделение, созданное на основе техники и специалистов полигона Главного артиллерийского управления (ГАУ). В состав этой батареи, впоследствии развернутой в дивизион, была включена радиолокационная станция. Сначала – опытный образец отечественного радиоискателя Б-3 («Луна»), а несколько позднее – полученная из Англии станция орудийной наводки (СОН) GL-MkII. Расход боеприпасов составил здесь почти в тридцать раз меньше, чем по Московской зоне ПВО в целом! Начальник ГАУ Н.Д. Яковлев, получив эти впечатляющие данные, уже в ноябре 1941 года внес предложение в Государственный комитет обороны включить в план поставок из Англии по ленд-лизу станций орудийной наводки GL-MkII (15736).</w:t>
      </w:r>
    </w:p>
    <w:p w14:paraId="54EFF6BE" w14:textId="77777777" w:rsidR="00FF1134" w:rsidRPr="00640820" w:rsidRDefault="00FF1134" w:rsidP="00640820">
      <w:pPr>
        <w:spacing w:after="0" w:line="240" w:lineRule="auto"/>
        <w:jc w:val="both"/>
        <w:rPr>
          <w:rFonts w:ascii="Times New Roman" w:hAnsi="Times New Roman"/>
          <w:color w:val="000000" w:themeColor="text1"/>
          <w:sz w:val="16"/>
          <w:szCs w:val="16"/>
        </w:rPr>
      </w:pPr>
    </w:p>
    <w:p w14:paraId="14D9C0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октябре-ноябре 1941 г. завод № 176 5ГУ (ГС завод № 176 НКОП, НКБ, Приокского СНХ, «Тульские меднопрокатные и патронные заводы», Тульский патронный завод (ТПЗ) ВСНХ, НКТП, Тульский патронный завод № 10 НКТП, Завод «Штамп» им. Б.Л. Ванникова, ФГУП «Машиностроительный завод «Штамп» им. Б.Л. Ванникова» Росбоеприпаса /г. Тула мест. Чулково (1926 г.);  г. Тула п/о 14 «Штамп» (1943 г.)/ /300004  г. Тула Веневское ш., 4 тел. 46-52-32/) эвакуирован: основная часть (производство 57-, -76-, 85-, 100-, 102-, 107-, 122- и 152-мм орудийных гильз, всего 829 ед. оборудования, 1190 чел.) - в Орск на площадку завода № 257 НКБ; </w:t>
      </w:r>
      <w:r w:rsidRPr="00640820">
        <w:rPr>
          <w:rFonts w:ascii="Times New Roman" w:hAnsi="Times New Roman"/>
          <w:color w:val="000000" w:themeColor="text1"/>
          <w:sz w:val="16"/>
          <w:szCs w:val="16"/>
        </w:rPr>
        <w:lastRenderedPageBreak/>
        <w:t>литье и прокат латуни (62 ед. оборудования) - в Новосибирск на прокатный завод НКЧМ; производство биметалла (20 ед. оборудования) - на Нытвенский металлургический завод.</w:t>
      </w:r>
    </w:p>
    <w:p w14:paraId="00CCE4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на площадке эвакуированного завода начаты работы по ремонту военной техники: танков, орудий, автомашин, «Катюш». Изготавливались минометные стволы, противотанковые ежи. В 01.1942 г. началось восстановление завода на старом месте, к концу года восстановлено производство гильз. В 12.1942-09.1944 г. завод № 176 - в ведении 5ГУ НКБ.</w:t>
      </w:r>
    </w:p>
    <w:p w14:paraId="4F5981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составе завода основные цехи (1943 г.): электролитейный № 1, прокатный № 2, прессовые </w:t>
      </w:r>
      <w:r w:rsidRPr="00640820">
        <w:rPr>
          <w:rFonts w:ascii="Times New Roman" w:hAnsi="Times New Roman"/>
          <w:color w:val="000000" w:themeColor="text1"/>
          <w:sz w:val="16"/>
          <w:szCs w:val="16"/>
          <w:lang w:val="en-US"/>
        </w:rPr>
        <w:t>N</w:t>
      </w:r>
      <w:r w:rsidRPr="00640820">
        <w:rPr>
          <w:rFonts w:ascii="Times New Roman" w:hAnsi="Times New Roman"/>
          <w:color w:val="000000" w:themeColor="text1"/>
          <w:sz w:val="16"/>
          <w:szCs w:val="16"/>
        </w:rPr>
        <w:t>° 3, № 4, примусный № 5, ремонтно-механический № 7, фасонно-литейный № 9, инструментальный № 14, самоварный № 17.</w:t>
      </w:r>
    </w:p>
    <w:p w14:paraId="37D8B3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освоен выпуск гражданской продукции, С середины 1950-х  г. начато производство стиральных машин.</w:t>
      </w:r>
    </w:p>
    <w:p w14:paraId="0F6B89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1963 г. начато освоение производства гильз для РСЗО «Град».</w:t>
      </w:r>
    </w:p>
    <w:p w14:paraId="2B96FA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Крупнейший в стране производитель самоваров. На 2004 г. завод был остановлен, готовилось его банкротство. По Указу Президента РФ № 1009 от 4.08.2004 г. вошел в число стратегических оборонных предприятий.</w:t>
      </w:r>
    </w:p>
    <w:p w14:paraId="5A1C88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(1943 г.)- 518 ед.</w:t>
      </w:r>
    </w:p>
    <w:p w14:paraId="13A60C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(1943 г.): производственная- 14269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вспомогательная- 20468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64282D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(1917 г.)- около 15 тыс. чел., (10.1941 г.)- 9349 чел., (12.1942 г.)- 3195 чел., (2002 г.)- 3100 чел.</w:t>
      </w:r>
    </w:p>
    <w:p w14:paraId="74629F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(начало 1930-х  г.)- Н.В. Мартынов, (-15.02.1937 г.)- Б.С. Северный (снят), (15.02.1937-26.07.1938 г.)- И.А. Венецкий (снят); и.о. (17.07-09.1938 г.)-  Г.С. Шарков; (28.09.1938 г.-&gt;  Г.С. Шарков, (1941-04.1943 г.-)- С.Н. Лялин, (2002-04 г.-&gt; А. Хван.</w:t>
      </w:r>
    </w:p>
    <w:p w14:paraId="068D34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(-11.03.1937 г.)- Д.В. Кац, (11.03.1937-21.11.1938 г.)- Ф.А. Шелихов (снят). Помощник директора по найму и увольнению (-11.07.1937 г.)- В.Ф. Иконников, (8.03.1938 г.-)- М.Н. Олимпиев.</w:t>
      </w:r>
    </w:p>
    <w:p w14:paraId="72215E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Коммерческий директор (1938 г.)- Коробаев.</w:t>
      </w:r>
    </w:p>
    <w:p w14:paraId="053F3F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(03.1926 г.)- Д.В. Кап, (начало 1930-х  г.)- М.И. Железнов, (-11.03.1937 г.)- Д.В. Кац, (11.03.1937 г.-&gt; (11.03.1937-21.И.1938 г.)- Ф.А. Шелихов (снят), (1.10.1938</w:t>
      </w:r>
      <w:r w:rsidRPr="00640820">
        <w:rPr>
          <w:rFonts w:ascii="Times New Roman" w:hAnsi="Times New Roman"/>
          <w:color w:val="000000" w:themeColor="text1"/>
          <w:sz w:val="16"/>
          <w:szCs w:val="16"/>
          <w:lang w:val="en-US"/>
        </w:rPr>
        <w:t>r</w:t>
      </w:r>
      <w:r w:rsidRPr="00640820">
        <w:rPr>
          <w:rFonts w:ascii="Times New Roman" w:hAnsi="Times New Roman"/>
          <w:color w:val="000000" w:themeColor="text1"/>
          <w:sz w:val="16"/>
          <w:szCs w:val="16"/>
        </w:rPr>
        <w:t>.-)- В.М. Мачинский, (1941 г.)- И.В. Большаков.</w:t>
      </w:r>
    </w:p>
    <w:p w14:paraId="666A9D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Заведующие мастерскими: пушечно-гильзовой (03.1926 г.)- Э.А. Кремарж. Начальник производства деталей «Ж» (10.1938 г.)-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Кудрявцев.</w:t>
      </w:r>
    </w:p>
    <w:p w14:paraId="233548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планового (04.1943 г.)- Глебов.</w:t>
      </w:r>
      <w:r w:rsidRPr="00640820">
        <w:rPr>
          <w:rFonts w:ascii="Times New Roman" w:hAnsi="Times New Roman"/>
          <w:color w:val="000000" w:themeColor="text1"/>
          <w:sz w:val="16"/>
          <w:szCs w:val="16"/>
          <w:vertAlign w:val="superscript"/>
        </w:rPr>
        <w:t>132</w:t>
      </w:r>
    </w:p>
    <w:p w14:paraId="4E3592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НУР 9М22 для РСЗО «Град» (1964-89); латунь Л68 (1930-е) пушечная, гильзовая (1943); стиральная машина «Тула», «Тула-1», «Тула-2» (1950-е), «Тула-3» (1960-е); электропшцеварочные котлы (1960- е); самовары; огнетушители, газовые баллоны, электрорадиаторы, светильники, газовые плиты, изделия из пластмасс (1989-).</w:t>
      </w:r>
      <w:r w:rsidRPr="00640820">
        <w:rPr>
          <w:rFonts w:ascii="Times New Roman" w:hAnsi="Times New Roman"/>
          <w:color w:val="000000" w:themeColor="text1"/>
          <w:sz w:val="16"/>
          <w:szCs w:val="16"/>
          <w:vertAlign w:val="superscript"/>
        </w:rPr>
        <w:t>101</w:t>
      </w:r>
    </w:p>
    <w:p w14:paraId="783C1F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Бюро опытных работ по железным гильзам при заводе № 176</w:t>
      </w:r>
    </w:p>
    <w:p w14:paraId="359409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Бюро опытных работ по железным гильзам образовано временно по пр. № 00252 от 28.11.1937 г. с подчинением директору завода. Бюро поручено разработать и внедрить на производстве техпроцесс изготовления железных гильз, разработать техдокументацию. В Бюро переведены специалисты: Кудрявцев, Наумов и Богачева из Гипроспеца; Серегин, Пастухов и Серова с завода № 176; два инженера с завода № 187. Этим же приказом предписано к 1.02.1938 г. создать при заводе № 187 КБ по орудийным гильзам, первичной организацией которого должно являться создаваемое Бюро опытных работ.</w:t>
      </w:r>
    </w:p>
    <w:p w14:paraId="0B3FDE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(11.1937 г.)- Серов (11982).</w:t>
      </w:r>
    </w:p>
    <w:p w14:paraId="2C40665A" w14:textId="77777777" w:rsidR="00FF1134" w:rsidRPr="00640820" w:rsidRDefault="00FF1134" w:rsidP="00640820">
      <w:pPr>
        <w:autoSpaceDE w:val="0"/>
        <w:autoSpaceDN w:val="0"/>
        <w:adjustRightInd w:val="0"/>
        <w:spacing w:after="0" w:line="240" w:lineRule="auto"/>
        <w:jc w:val="both"/>
        <w:rPr>
          <w:rFonts w:ascii="Times New Roman" w:hAnsi="Times New Roman"/>
          <w:color w:val="000000" w:themeColor="text1"/>
          <w:sz w:val="16"/>
          <w:szCs w:val="16"/>
        </w:rPr>
      </w:pPr>
    </w:p>
    <w:p w14:paraId="3DA342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 ноябре 1941г. 2-й Московский часовой завод эвакуирован в г. Чистополь (Татария), где сначала действовал как «2-й часовой завод в Чистополе», затем на его базе создан завод № 835 НКМВ (Завод № 853 НКМВ, 2-й Московский часовой завод ММиП, Второй Государственный часовой завод (ВЧЗ), завод «Слава», Московское ОАО (МОАО) «Слава» /г. Москва, 40 Ленинградское ш., 10 «Мосчасдва» (1948г.)/ /125040 г. Москва Ленинградский пр., 8 тел. 251-29-37/ /производство № 1: г. Москва Научный пр-д, 20 стр. 1-9 тел. 332-83-11 (2002г.)/). Оборудование находилось в Чистополе и в 1948г.</w:t>
      </w:r>
    </w:p>
    <w:p w14:paraId="3B3BA8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ГКО № 1183 от 23.01.1942г. часть эвакуированного оборудования (производство карманных часов К-43) 2-го часового завода возвращена в Москву на старое место, где был организован и действовал сначала как «2-й часовой завод в Москве». В 06.1942г. завод - в ведении Главприбора НКМВ. В соответствии с пост. СНК № 837-430сс от 3.06.1942г. и приказом НКМВ № 250с от 7.07.1942г. 2-й часовой завод в Москве НКМВ переименован в завод № 853 в ведении 5ГУ.</w:t>
      </w:r>
      <w:r w:rsidRPr="00640820">
        <w:rPr>
          <w:rFonts w:ascii="Times New Roman" w:hAnsi="Times New Roman"/>
          <w:color w:val="000000" w:themeColor="text1"/>
          <w:sz w:val="16"/>
          <w:szCs w:val="16"/>
          <w:vertAlign w:val="superscript"/>
        </w:rPr>
        <w:t>129</w:t>
      </w:r>
    </w:p>
    <w:p w14:paraId="7AAED7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НКМВ № 203сс от 7.06.1942г. с Златоустовского часового завода в Москву на 1-й и 2-й часовые заводы возвращено 30 станков. Пост. ГКО № 1962сс от 4.07.1942г. и приказом НКМВ № 237сс от 7.07.1942г. заводу установлен план выпуска на 3-й квартал 1942г.: прицелов к 50-мм минометам- 12 тыс. шт.; угломеров- квадрантов к 82-мм минометам- 7800 шт. В годы войны в Москве налажен выпуск часов К-43, выпускалось по 3000-3500 шт. в год. Решением ГКО в 1945г. заводу поручено освоение карманных часов «Салют», выпуск К-43 прекращен.</w:t>
      </w:r>
    </w:p>
    <w:p w14:paraId="207DFE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1947-48г. 2-й московский часовой завод - в ведении Главчаспрома ММиП.</w:t>
      </w:r>
    </w:p>
    <w:p w14:paraId="1C8E90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предприятия (1947г.) цехи: будильников, прессовый, станкостроительный, гальванический, маятников часов, автоматный, 1-й, 2-й, 3-й, 4-й, 5-й механический, 2-й и 14-й сборочный, опытный; вспомогательные: ширпотреба, ремонтный, электроремонтный, инструментальный.</w:t>
      </w:r>
    </w:p>
    <w:p w14:paraId="243DBC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вновь налажен выпуск часов: карманных, женских наручных, настольных. Во второй половине 1950-х г. освоено производство женских наручных часов «Слава», малогабаритных будильников, секундомеров, электронно-механических часов и наручных камертонных. Затем освоен выпуск мужских наручных часов с одинарным и двойным календарем, автоподзаводом. В начале 1970-х г. созданы первые советские кварцевые часы.</w:t>
      </w:r>
    </w:p>
    <w:p w14:paraId="6F6437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часов (2005г.): механических и кварцевых будильников, мужских механических наручных «Слава»; настенных, настольных и сувенирных.</w:t>
      </w:r>
    </w:p>
    <w:p w14:paraId="72A9A8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ОАО «Слава» было в 2004г. Завод имел производственный корпус площадью 80 тыс.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xml:space="preserve"> на Ленинградском пр. и площадку в 2,8 га на Научном пр. (производство № 1; площадь- 8500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 2005г. планировалось все производственные мощности с Ленинградского пр. перевести на Научный пр., производство часов прекратить. 13.02.2008г. вышло распоряжение правительства Москвы № 276-РП «О мероприятиях по освобождению от производственного использования и градостроительной реабилитации территории МО АО «Слава».</w:t>
      </w:r>
    </w:p>
    <w:p w14:paraId="71C3BD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(1946г.)- 1048 ед., (1947г.)- 1546 ед.</w:t>
      </w:r>
    </w:p>
    <w:p w14:paraId="7D3AA9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территории (1948г.)- 2,089 га; застройки (1948г.)- 11528 (в т.ч. жилые здания 1734м)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производственная (1946-47г.)- 19150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4E8A19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(1939г.)- 3534 чел., (1946г.)- 2015 чел., (1947г.)- 2401 чел.</w:t>
      </w:r>
    </w:p>
    <w:p w14:paraId="2300E3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(06.1942г.)- Виноградов, (1948г.)- Буторин. Гендиректор (-2000-02г.-)- В.М. Королев.</w:t>
      </w:r>
    </w:p>
    <w:p w14:paraId="742FC7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гендиректора- С.Б. Ривкин.</w:t>
      </w:r>
    </w:p>
    <w:p w14:paraId="680925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(1948г.)- Галлай.</w:t>
      </w:r>
    </w:p>
    <w:p w14:paraId="41E32A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 часы:</w:t>
      </w:r>
      <w:r w:rsidRPr="00640820">
        <w:rPr>
          <w:rFonts w:ascii="Times New Roman" w:hAnsi="Times New Roman"/>
          <w:color w:val="000000" w:themeColor="text1"/>
          <w:sz w:val="16"/>
          <w:szCs w:val="16"/>
        </w:rPr>
        <w:t xml:space="preserve"> карманные К-46 (1935-), К-43 (1936-41; 1942-45), «Салют» (1945-47-); «Победа» (1940- е); женские наручные «Эра» (1940-е), «Слава» (1950-е); будильники Б-6, Б-8; стенные М; настольные НЧ-5, -8, 6; шахматные ШЧ (1947);</w:t>
      </w:r>
      <w:r w:rsidRPr="00640820">
        <w:rPr>
          <w:rFonts w:ascii="Times New Roman" w:hAnsi="Times New Roman"/>
          <w:color w:val="000000" w:themeColor="text1"/>
          <w:sz w:val="16"/>
          <w:szCs w:val="16"/>
          <w:vertAlign w:val="superscript"/>
        </w:rPr>
        <w:t>129</w:t>
      </w:r>
      <w:r w:rsidRPr="00640820">
        <w:rPr>
          <w:rFonts w:ascii="Times New Roman" w:hAnsi="Times New Roman"/>
          <w:color w:val="000000" w:themeColor="text1"/>
          <w:sz w:val="16"/>
          <w:szCs w:val="16"/>
        </w:rPr>
        <w:t xml:space="preserve"> часовые механизмы для мин и глубинных бомб (1939); детали для ППШ, для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 xml:space="preserve"> М-13, взрыватели «МП», прицелы к 50-мм минометам, угломеры-квадранты к 82-мм минометам (1942).</w:t>
      </w:r>
    </w:p>
    <w:p w14:paraId="42E808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СКБ часового станкостроения</w:t>
      </w:r>
    </w:p>
    <w:p w14:paraId="5A8FB4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Москва Научный пр-д, 20 тел. 332-88-66/</w:t>
      </w:r>
    </w:p>
    <w:p w14:paraId="56046F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Разработка станков и технологических линий для часовой промышленности. В 1990-х г. - разработка автоматизированных линий по розливу напитков.</w:t>
      </w:r>
    </w:p>
    <w:p w14:paraId="032F80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Руководитель (2000г.)- А.А. Струков. Гендиректор (-30.09.2005г.)- Е. Вайсман (убит) (11982).</w:t>
      </w:r>
    </w:p>
    <w:p w14:paraId="50737E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9C1A33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 ноябре 1941 г. изготовленный заводом № 92 один опытный образец установки ЗИС-41, прошел заводские испытания. Однако прекращение производст</w:t>
      </w:r>
      <w:r w:rsidRPr="00640820">
        <w:rPr>
          <w:rFonts w:ascii="Times New Roman" w:hAnsi="Times New Roman"/>
          <w:color w:val="000000" w:themeColor="text1"/>
          <w:sz w:val="16"/>
          <w:szCs w:val="16"/>
        </w:rPr>
        <w:softHyphen/>
        <w:t>ва 57-мм пушек ЗИС-2 и эвакуация автозавода ЗИС в конце ноября 1941 г. создали определенные трудности в производстве установки ЗИС-41 и все работы по ней были приостановлены. Позже, в марте -июле 1942 г. изготовленный опытный образец установки ЗИС-41 был подвергнут полигонным испытаниям, которые показали, что полугусе</w:t>
      </w:r>
      <w:r w:rsidRPr="00640820">
        <w:rPr>
          <w:rFonts w:ascii="Times New Roman" w:hAnsi="Times New Roman"/>
          <w:color w:val="000000" w:themeColor="text1"/>
          <w:sz w:val="16"/>
          <w:szCs w:val="16"/>
        </w:rPr>
        <w:softHyphen/>
        <w:t>ничный вездеход ЗИС-22 обладает неудовлетворительной проходимос</w:t>
      </w:r>
      <w:r w:rsidRPr="00640820">
        <w:rPr>
          <w:rFonts w:ascii="Times New Roman" w:hAnsi="Times New Roman"/>
          <w:color w:val="000000" w:themeColor="text1"/>
          <w:sz w:val="16"/>
          <w:szCs w:val="16"/>
        </w:rPr>
        <w:softHyphen/>
        <w:t>тью, особенно в условиях снежных заносов и весенней распутицы. Кро</w:t>
      </w:r>
      <w:r w:rsidRPr="00640820">
        <w:rPr>
          <w:rFonts w:ascii="Times New Roman" w:hAnsi="Times New Roman"/>
          <w:color w:val="000000" w:themeColor="text1"/>
          <w:sz w:val="16"/>
          <w:szCs w:val="16"/>
        </w:rPr>
        <w:softHyphen/>
        <w:t>ме того, установка имела ряд конструктивных недостатков, поэтому бы</w:t>
      </w:r>
      <w:r w:rsidRPr="00640820">
        <w:rPr>
          <w:rFonts w:ascii="Times New Roman" w:hAnsi="Times New Roman"/>
          <w:color w:val="000000" w:themeColor="text1"/>
          <w:sz w:val="16"/>
          <w:szCs w:val="16"/>
        </w:rPr>
        <w:softHyphen/>
        <w:t>ло принято решение дальнейшие работы в этом направлении прекра</w:t>
      </w:r>
      <w:r w:rsidRPr="00640820">
        <w:rPr>
          <w:rFonts w:ascii="Times New Roman" w:hAnsi="Times New Roman"/>
          <w:color w:val="000000" w:themeColor="text1"/>
          <w:sz w:val="16"/>
          <w:szCs w:val="16"/>
        </w:rPr>
        <w:softHyphen/>
        <w:t>тить и развернуть работы по созданию самоходных артиллерийских ус</w:t>
      </w:r>
      <w:r w:rsidRPr="00640820">
        <w:rPr>
          <w:rFonts w:ascii="Times New Roman" w:hAnsi="Times New Roman"/>
          <w:color w:val="000000" w:themeColor="text1"/>
          <w:sz w:val="16"/>
          <w:szCs w:val="16"/>
        </w:rPr>
        <w:softHyphen/>
        <w:t>тановок только на базе гусеничных машин (10703).</w:t>
      </w:r>
    </w:p>
    <w:p w14:paraId="149EA7B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9580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 ноябре 1941 года выпуск средних и тяжелых танков упал до катастрофического уровня, т.к. почти все танковые заводы были в то время "на колесах" - в пути на Восток. Поэтому роль Т-60 в Московской битве оказалась велика (3862).</w:t>
      </w:r>
    </w:p>
    <w:p w14:paraId="736CF1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5779B6D" w14:textId="77777777" w:rsidR="0042350C" w:rsidRPr="00640820" w:rsidRDefault="0042350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октябре-ноябре 1941 года на базе мартеновского и литейного цехов Уральского вагонного завода, сборочно-заготовительных цехов эвакуированного Харьковского завода № 183 и броневого производства Мариупольского завода имени Ильича начало создаваться броневое производство завода №183 в Нижнем Тагиле. При организации бронекорпусного производства в Нижнем Тагиле применили новые технологические принципы обработки бронедеталей, что значительно снизило трудоемкость.</w:t>
      </w:r>
    </w:p>
    <w:p w14:paraId="4892658F" w14:textId="77777777" w:rsidR="0042350C" w:rsidRPr="00640820" w:rsidRDefault="0042350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Например, вместо ранее применявшейся строжки кромок бронедеталей на станках стали применять огневую резку, упростили термообработку (загрузка в печь большими партиями), увеличили допуска на коробление деталей, расширили допуск на зазоры под сварку. В результате, при значительно меньших площадях и рабочих в Нижнем Тагиле (по сравнению с Мариуполем) броневое производство в короткие сроки обеспечило выпуск большего количества корпусов и башен (12217).</w:t>
      </w:r>
    </w:p>
    <w:p w14:paraId="334F0B4C" w14:textId="77777777" w:rsidR="0042350C" w:rsidRPr="00640820" w:rsidRDefault="0042350C" w:rsidP="00640820">
      <w:pPr>
        <w:spacing w:after="0" w:line="240" w:lineRule="auto"/>
        <w:jc w:val="both"/>
        <w:rPr>
          <w:rFonts w:ascii="Times New Roman" w:hAnsi="Times New Roman"/>
          <w:color w:val="000000" w:themeColor="text1"/>
          <w:sz w:val="16"/>
          <w:szCs w:val="16"/>
        </w:rPr>
      </w:pPr>
    </w:p>
    <w:p w14:paraId="7A712F1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октябре-ноябре 1941 испыта</w:t>
      </w:r>
      <w:r w:rsidRPr="00640820">
        <w:rPr>
          <w:rFonts w:ascii="Times New Roman" w:hAnsi="Times New Roman"/>
          <w:color w:val="000000" w:themeColor="text1"/>
          <w:sz w:val="16"/>
          <w:szCs w:val="16"/>
        </w:rPr>
        <w:softHyphen/>
        <w:t>ния самоходной установки с пушкой ЗИС-2 на базе ЗИС-22М (ЗИС-42) выявили незначительные дефекты кон</w:t>
      </w:r>
      <w:r w:rsidRPr="00640820">
        <w:rPr>
          <w:rFonts w:ascii="Times New Roman" w:hAnsi="Times New Roman"/>
          <w:color w:val="000000" w:themeColor="text1"/>
          <w:sz w:val="16"/>
          <w:szCs w:val="16"/>
        </w:rPr>
        <w:softHyphen/>
        <w:t>струкции. Из-за прекращения производства 57-мм пушек ЗИС-2 и эвакуации московского завода ЗИС работы по ЗИС-41 были приоста</w:t>
      </w:r>
      <w:r w:rsidRPr="00640820">
        <w:rPr>
          <w:rFonts w:ascii="Times New Roman" w:hAnsi="Times New Roman"/>
          <w:color w:val="000000" w:themeColor="text1"/>
          <w:sz w:val="16"/>
          <w:szCs w:val="16"/>
        </w:rPr>
        <w:softHyphen/>
        <w:t>новлены. Но весной 1942 г., в связи с предпо</w:t>
      </w:r>
      <w:r w:rsidRPr="00640820">
        <w:rPr>
          <w:rFonts w:ascii="Times New Roman" w:hAnsi="Times New Roman"/>
          <w:color w:val="000000" w:themeColor="text1"/>
          <w:sz w:val="16"/>
          <w:szCs w:val="16"/>
        </w:rPr>
        <w:softHyphen/>
        <w:t>лагавшимся возобновлением производства базовой машины, состоялись повторные испытания ЗИС-41 как в варианте САУ, так и в варианте полубронированного тягача (12729).</w:t>
      </w:r>
    </w:p>
    <w:p w14:paraId="63293078"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3E3549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 ноябре 1941 года большая часть оборудования и рабочих завода № 592 (завод находился в подмосковных Мытищах, сейчас это Мытищинский машиностроительный завод) была эвакуирована (9695).</w:t>
      </w:r>
    </w:p>
    <w:p w14:paraId="1D567D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A232D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октябре-ноябре 1941 года на базе эвакуированного Ногинского завода № 510 на площадях бывш. Кемеровского механического завода комбината “Кузбассуголь” Министерства угольной промышленности был организован завод № 606.</w:t>
      </w:r>
    </w:p>
    <w:p w14:paraId="52A4DA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период ВОВ завод изготовлял изделия военной техники (10041).</w:t>
      </w:r>
    </w:p>
    <w:p w14:paraId="1950C3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A7B63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октябре-ноябре 1941 года в районе подмосковной деревни Зюзино имелась батарея ПВО, впоследствии развернутая в дивизион, пушки которой вели практически только прицельный огонь. Это было специальное зенитное подразделение, созданное на основе техники и специалистов полигона Главного артиллерийского управления (ГАУ). В составе батареи была трехкоординатная радиолокационная станция. Сначала - опытный отечественный образец радиоискателя Б-3, а несколько позднее - полученная из Англии станция орудийной наводки (СОН) GL-MkII. Вскоре радиолокационная станция сделалась опорной точкой всей зенитной артиллерии в этом районе. Более 80 процентов из 127 бомбардировщиков, пытавшихся прорваться через зону огня батареи, были вынуждены повернуть обратно. Средний расход снарядов на каждый отраженный самолет составил здесь 98 штук - почти в тридцать раз меньше, чем по Московской зоне ПВО в целом! (9921).</w:t>
      </w:r>
    </w:p>
    <w:p w14:paraId="7AA608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EA9F434"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690A5BE9"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D74DE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октябре-ноябре 1941, когда формировали легкобомбардировочную авиацию, в ее состав включили не только У-2, но и Р-5 и Р-Z. Из Р-Z было сформировано 5 полков, а Р-5 - 27 (1805,13).</w:t>
      </w:r>
    </w:p>
    <w:p w14:paraId="17889A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EA3F3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октябре-ноябре 1941 г. большую часть боевых вылетов самолеты 9-го ббап выполнили для нанесения бомбо-штурмовых ударов по наступающим немецким войскам. Другой важной задачей стало прикрытие участков железной дороги Москва-Загорск и Москва-Дмитров. За период с октября 1941 по февраль 1942 г. экипажи полка заявили об 11 сбитых вражеских самолетах, включая шесть Bf 109. За эти же 5 месяцев дальние истребители 9-го ббап выполнили 130 боевых вылетов на разведку (4476).</w:t>
      </w:r>
    </w:p>
    <w:p w14:paraId="22B44A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9A786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октябре-ноябре 1941 г. по приказу наркома обороны началось формирование восьми авиадивизий ПВО. На их укомплектование было выделено более 400 истребителей, и среди них около 90 МиГ-3. Все дивизии ПВО имели множество устаревших истребителей, включая первые И-15, им не хватало приданных наземных частей и опытных специалистов. Так, в развернутую для прикрытия Воронежа 101-й иад до конца осени входили три полка, не полностью укомплектованные.</w:t>
      </w:r>
    </w:p>
    <w:p w14:paraId="2AD619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487 и 573-м иап, которые в январе 1942 г. входили в это соединение, эксплуатировались МиГи разных серий (от 4-й до 29-й), но преимущественно имелись машины, оборудованные предкрылками и имевшие сокращенный запас горючего. На многих истребителях силами техсостава смонтировали направляющие для пуска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 Обычно летный состав "щадил" двигатели (практически не использовал форсажа, менее резко переходил с режима на режим), стараясь обеспечить им долгую жизнь, чем нередко пренебрегали коллеги из фронтовых частей. Это позволило многим моторам МиГов, принадлежавших полкам ПВО, полностью выработать 100-часовой ресурс.</w:t>
      </w:r>
    </w:p>
    <w:p w14:paraId="72AD30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Начало 1942 г. прошло в непрерывной учебе. Командование добивалось организации более четкого управления истребителями, надежной связи и уверенного наведения на самолеты противника. При этом отмечалось, что летный состав был очень неоднороден. В 487-м иап, например, наряду с опытными бойцами, многие из которых прошли хорошую школу в полках ПВО Москвы и Ленинграда, действовали молодые летчики, не налетавшие на МиГах и полутора часов (12045).</w:t>
      </w:r>
    </w:p>
    <w:p w14:paraId="791B26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1ECA26B" w14:textId="77777777" w:rsidR="00DD6711" w:rsidRPr="00640820" w:rsidRDefault="00DD671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октябре-ноябре 1941 под Москвой из-за ветров участились слу</w:t>
      </w:r>
      <w:r w:rsidRPr="00640820">
        <w:rPr>
          <w:rFonts w:ascii="Times New Roman" w:hAnsi="Times New Roman"/>
          <w:color w:val="0070C0"/>
          <w:sz w:val="16"/>
          <w:szCs w:val="16"/>
        </w:rPr>
        <w:softHyphen/>
        <w:t>чаи обрывов троса. В одну из ночей в начале ок</w:t>
      </w:r>
      <w:r w:rsidRPr="00640820">
        <w:rPr>
          <w:rFonts w:ascii="Times New Roman" w:hAnsi="Times New Roman"/>
          <w:color w:val="0070C0"/>
          <w:sz w:val="16"/>
          <w:szCs w:val="16"/>
        </w:rPr>
        <w:softHyphen/>
        <w:t>тября в 9-м полку улетело свыше 40 аэростатов, а в 1-м — около 50. Почти всех их нашли.</w:t>
      </w:r>
    </w:p>
    <w:p w14:paraId="7E1FC805" w14:textId="77777777" w:rsidR="00DD6711" w:rsidRPr="00640820" w:rsidRDefault="00DD671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Для борьбы со срывами аэростатов загражде</w:t>
      </w:r>
      <w:r w:rsidRPr="00640820">
        <w:rPr>
          <w:rFonts w:ascii="Times New Roman" w:hAnsi="Times New Roman"/>
          <w:color w:val="0070C0"/>
          <w:sz w:val="16"/>
          <w:szCs w:val="16"/>
        </w:rPr>
        <w:softHyphen/>
        <w:t>ния командиров постов стали инструктировать, как правильно устанавливать угол атаки аэро</w:t>
      </w:r>
      <w:r w:rsidRPr="00640820">
        <w:rPr>
          <w:rFonts w:ascii="Times New Roman" w:hAnsi="Times New Roman"/>
          <w:color w:val="0070C0"/>
          <w:sz w:val="16"/>
          <w:szCs w:val="16"/>
        </w:rPr>
        <w:softHyphen/>
        <w:t>стата перед подъёмом в воздух, проверять на ле</w:t>
      </w:r>
      <w:r w:rsidRPr="00640820">
        <w:rPr>
          <w:rFonts w:ascii="Times New Roman" w:hAnsi="Times New Roman"/>
          <w:color w:val="0070C0"/>
          <w:sz w:val="16"/>
          <w:szCs w:val="16"/>
        </w:rPr>
        <w:softHyphen/>
        <w:t>бёдках приборы; все мотористы обязаны были немедленно докладывать о возрастании натяже</w:t>
      </w:r>
      <w:r w:rsidRPr="00640820">
        <w:rPr>
          <w:rFonts w:ascii="Times New Roman" w:hAnsi="Times New Roman"/>
          <w:color w:val="0070C0"/>
          <w:sz w:val="16"/>
          <w:szCs w:val="16"/>
        </w:rPr>
        <w:softHyphen/>
        <w:t>ния троса. В полку организовали контрольные метеорологические посты, в задачу которых вхо</w:t>
      </w:r>
      <w:r w:rsidRPr="00640820">
        <w:rPr>
          <w:rFonts w:ascii="Times New Roman" w:hAnsi="Times New Roman"/>
          <w:color w:val="0070C0"/>
          <w:sz w:val="16"/>
          <w:szCs w:val="16"/>
        </w:rPr>
        <w:softHyphen/>
        <w:t>дила разведка атмосферных условий радиомете</w:t>
      </w:r>
      <w:r w:rsidRPr="00640820">
        <w:rPr>
          <w:rFonts w:ascii="Times New Roman" w:hAnsi="Times New Roman"/>
          <w:color w:val="0070C0"/>
          <w:sz w:val="16"/>
          <w:szCs w:val="16"/>
        </w:rPr>
        <w:softHyphen/>
        <w:t>орографом, который поднимали на аэростате на высоту подъёма заграждения. Каждые 15 минут они передавали данные о температуре, давлении и скорости ветра. Впоследствии такие посты ста</w:t>
      </w:r>
      <w:r w:rsidRPr="00640820">
        <w:rPr>
          <w:rFonts w:ascii="Times New Roman" w:hAnsi="Times New Roman"/>
          <w:color w:val="0070C0"/>
          <w:sz w:val="16"/>
          <w:szCs w:val="16"/>
        </w:rPr>
        <w:softHyphen/>
        <w:t>ли создаваться и в дивизионах (20120).</w:t>
      </w:r>
    </w:p>
    <w:p w14:paraId="24497043" w14:textId="77777777" w:rsidR="00DD6711" w:rsidRPr="00640820" w:rsidRDefault="00DD6711" w:rsidP="00640820">
      <w:pPr>
        <w:spacing w:after="0" w:line="240" w:lineRule="auto"/>
        <w:jc w:val="both"/>
        <w:rPr>
          <w:rFonts w:ascii="Times New Roman" w:hAnsi="Times New Roman"/>
          <w:color w:val="0070C0"/>
          <w:sz w:val="16"/>
          <w:szCs w:val="16"/>
        </w:rPr>
      </w:pPr>
    </w:p>
    <w:p w14:paraId="219604FE"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134A453D"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34EFB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 декабре 1941 г., согласно Командованию 18-й армии было следующее положение в ленинградской военной промышленности:</w:t>
      </w:r>
    </w:p>
    <w:p w14:paraId="280586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октября 1941 г.</w:t>
      </w:r>
    </w:p>
    <w:p w14:paraId="7716B6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 Заводы:</w:t>
      </w:r>
    </w:p>
    <w:p w14:paraId="3D7180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литографический завод — ул. Мира д.3, Петроградский район На участке Ленинград — Кексгольм у станции Девяткино находится завод по производству боеприпасов. Завод по производству синтетического каучука расположен на углу проспекта Огородникова и Гап-сальской улицы. Заводы в районе 614 расширили производство, включая изготовление гильз и боеприпасов. В районе между Володарским мостом и нас. пунктом Мурзинка находится завод им. Ворошилова, на котором делают танки (не подтверждено).</w:t>
      </w:r>
    </w:p>
    <w:p w14:paraId="46699C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Маленький авиазавод расположен на Волновской улице (Московский район).</w:t>
      </w:r>
    </w:p>
    <w:p w14:paraId="5CB875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Национальный Архив США. Командование 18-й армии. Отдел 1с. Микрофильм. Т-312/1579 — 944-950 (11814).</w:t>
      </w:r>
    </w:p>
    <w:p w14:paraId="2B8700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октября 1941 г.</w:t>
      </w:r>
    </w:p>
    <w:p w14:paraId="751FB7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 Заводы.</w:t>
      </w:r>
    </w:p>
    <w:p w14:paraId="5CE22A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установления полной блокады города дальнейшая эвакуация предприятий стала невозможной, поэтому оставшиеся заводы пытаются полностью задействовать для производства вооружений. Для этой цели используются не только собственно оборонные предприятия, а также ряд других, которые в последнее время были переоборудованы для военных целей. Наибольшее значение придается изготовлению танков всех видов. Так, на Ижорском заводе существенно увеличена продолжительность рабочего дня и увеличена производительность по производству корпусов боевых машин. В самом Петербурге главными производителями танков являются Кировский завод, завод «Большевик», завод им. Ворошилова и завод им. Ленина. Следует учитывать, что производственные мощности Кировского завода, на котором работают 45 тыс. человек, остаются все еще большими, нежели Ижорского завода. То же самое относится и к заводу «Большевик», которому был нанесен серьезный ущерб в результате бомбардировок. В своей работе эти заводы очень сильно зависят друг от друга, поскольку существует узкая специализация отдельных цехов по выпуску деталей.</w:t>
      </w:r>
    </w:p>
    <w:p w14:paraId="6B8040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 Ворошилова, на котором до недавнего времени выпускался танк Т 26, в настоящее время производит танки наиболее тяжелых типов.</w:t>
      </w:r>
    </w:p>
    <w:p w14:paraId="323DEF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Большая часть предприятий, переоборудованных для выпуска вооружений, занимается изготовлением ручных гранат, как, например, завод «Металлист»...</w:t>
      </w:r>
    </w:p>
    <w:p w14:paraId="0D0FA8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«Красный Химик» (район 4 852) занимается изготовлением боевых отравляющих веществ.</w:t>
      </w:r>
    </w:p>
    <w:p w14:paraId="2CB605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заводе по производству боеприпасов «Красное знамя» (К 9 398) работает 20 тыс. человек. Перебежчик выразил удивление по поводу того, что это предприятие ни разу не бомбили.</w:t>
      </w:r>
    </w:p>
    <w:p w14:paraId="5DEBA1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«МОПР» (I 8 256) выпускает мины и гранаты.</w:t>
      </w:r>
    </w:p>
    <w:p w14:paraId="3399E2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«Красный Октябрь» переименован в завод № 134 (Н 7 396). На нем изготовляются корпуса для танков и автомобили. К настоящему времени пострадали следующие предприятия: завод им. Ленина, Кировский завод, завод им. Марти или верфи (тяжелые танки).</w:t>
      </w:r>
    </w:p>
    <w:p w14:paraId="318B46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разрушены или повреждены некоторые продовольственные склады и предприятия, в частности, мясокомбинат, хлебозавод, Ба-даевские склады, завод по производству маргарина и т.д.</w:t>
      </w:r>
    </w:p>
    <w:p w14:paraId="472E44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Национальный Архив США. Командование 18-й армии. Отдел 1с. Микро-фильм.Т-312/1579 — 908-12 (11814).</w:t>
      </w:r>
    </w:p>
    <w:p w14:paraId="55161D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7 октября 1941 г.</w:t>
      </w:r>
    </w:p>
    <w:p w14:paraId="4C6BDC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 заводы</w:t>
      </w:r>
    </w:p>
    <w:p w14:paraId="60ECE3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Большинство оборонных предприятий еще продолжает работу, хотя и на полную мощность. Например, на Кировском заводе в середине сентября работал только цех по производству танков. На «Красном треугольнике» в довоенное время трудилось 35 тыс. человек. В настоящее время их всего 12 тыс. Причинами этого являются нехватка материалов, призыв рабочих в армию, отсутствие необходимого напряжения в электросети.</w:t>
      </w:r>
    </w:p>
    <w:p w14:paraId="7ADCDF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Верфи:</w:t>
      </w:r>
    </w:p>
    <w:p w14:paraId="0665E0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 Жданова — производство малых боевых машин. Завод им. Марти — на стапелях — 4 тяжелых крейсера (см. распоряжение ГОКО о выводе из Ленинграда всех судов)</w:t>
      </w:r>
    </w:p>
    <w:p w14:paraId="0D623B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Заводу «Большевик» нанесен ущерб в результате бомбардировки. На Балтийском заводе на стапелях находятся два военных корабля, водоизмещением по 35 тыс. тонн каждый. Часть Кировского завода, которая подвергается сильным обстрелам, переведена на завод «Прометей» (К11 № 479).</w:t>
      </w:r>
    </w:p>
    <w:p w14:paraId="0C9E30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имеющимся данным, самым крупным заводом по производству боеприпасов (численность рабочих достигает 25 тыс. человек) является «Ржевка» (G 16 № 402).</w:t>
      </w:r>
    </w:p>
    <w:p w14:paraId="2BA801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Эвакуация крупных предприятий началась в конце августа. В результате большое количество оборудования из-за нарушения коммуникаций в тыловой части России осталось в Петербурге и хранится отчасти на вокзалах, отчасти на самих предприятиях.</w:t>
      </w:r>
    </w:p>
    <w:p w14:paraId="674024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Национальный Архив США. Командование 18-й армии. Отдел 1с. Микрофильм. Т-312/1579 — 898-901 (11814).</w:t>
      </w:r>
    </w:p>
    <w:p w14:paraId="22D2C5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9 октября 1941 г. </w:t>
      </w:r>
    </w:p>
    <w:p w14:paraId="0AF133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Оборонная промышленность.</w:t>
      </w:r>
    </w:p>
    <w:p w14:paraId="62430C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Отмечен переход ряда предприятий на выпуск военной продукции. Каков объем работы этих предприятий, пока неизвестно.</w:t>
      </w:r>
    </w:p>
    <w:p w14:paraId="415659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Балтийский завод производит авиабомбы. На пивоваренном заводе (К 3 № 841) находится цех по производству авиабомб.</w:t>
      </w:r>
    </w:p>
    <w:p w14:paraId="28A997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 Сталина (К 10 № 466) очень сильно охраняется. Работающие там прошли специальную политическую проверку. Можно сделать вывод о том, что речь идет о предприятии военного назначения.</w:t>
      </w:r>
    </w:p>
    <w:p w14:paraId="0D1B7C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73 (вероятно, завод им. Карла Маркса) (Н 7 № 468) также охраняется очень строго. На нем производят артиллерийские снаряды, а также внезапно появившиеся на фронте ракетные установки («Катюши» — Н.Л.)</w:t>
      </w:r>
    </w:p>
    <w:p w14:paraId="728E25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заводе № 218 (К № 569) воспроизводят (копируют) бортовые приборы с подбитых немецких самолетов. Кроме того, на этом предприятии изготавливают орудия калибра 82 мм.</w:t>
      </w:r>
    </w:p>
    <w:p w14:paraId="524FBE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«Судомехе» (N 7 № 524) делают детали для самолетов.</w:t>
      </w:r>
    </w:p>
    <w:p w14:paraId="584ACF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верфи № 527 (N 11) помимо тральщиков выпускают авиационные бомбы. Работы над одним достаточно большим тральщиком почти завершены.</w:t>
      </w:r>
    </w:p>
    <w:p w14:paraId="48F998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«Светлана» (Е 7 № 558) на 70 токарных станках и 180 автоматах выпускает ежедневно 40-50 тяжелых противотанковых ружей. Большая часть завода, включая оборудование и специалистов, эвакуирована.</w:t>
      </w:r>
    </w:p>
    <w:p w14:paraId="2A50F3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берегу р. Невки, ограниченный с юга р. Смоленкой и на севере Уральской улицей (L 4), находится завод по производству патронов, на котором работают 3 000 — 3 500 человек.</w:t>
      </w:r>
    </w:p>
    <w:p w14:paraId="7EABDB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Авиационные бомбы также изготовляются на заводе «Красный металлист» (М 3 № 476), а также на заводе № 651 (L 4) и заводе им. Марти ( N 4 № 521).</w:t>
      </w:r>
    </w:p>
    <w:p w14:paraId="221124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Между Балтийским и Варшавским вокзалами в квадрате Q 5 находится завод, на котором производится понтонное и иное инженерное оборудование...</w:t>
      </w:r>
    </w:p>
    <w:p w14:paraId="06BDC2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мастерских Оптического института на Биржевой линии (М 5) производятся стекла для фар.</w:t>
      </w:r>
    </w:p>
    <w:p w14:paraId="38CF6C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верфи в Усть-Ижоре, расположенной в 1,5 км северо-западнее станции Усть-Ижора, находится предприятие, приспособленное для производства металлических корпусов для бомб.</w:t>
      </w:r>
    </w:p>
    <w:p w14:paraId="088711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Национальный Архив США. Командование 18-й армии. Отдел 1с. Микрофильм.Т-312/1579 — 866-70 (11814).</w:t>
      </w:r>
    </w:p>
    <w:p w14:paraId="40A486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октября 1941 г.</w:t>
      </w:r>
    </w:p>
    <w:p w14:paraId="02CC3B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заводе им. Карла Маркса, по показаниям одного русского инженера, производят ракетное оружие для стрельбы 16 ракетами калибра 132 мм. Ожидается использование этого оружия на фронте в больших размерах.</w:t>
      </w:r>
    </w:p>
    <w:p w14:paraId="700AE6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сентября из Москвы через Ладожское озеро проследовало 50 новых самолетов. Из них 9 истребителей ЛАГ сели на аэродроме в Манушкино, 18 истребителей Лаг — в Углово и 10 истребителей типа И-16 — в Новой деревне.</w:t>
      </w:r>
    </w:p>
    <w:p w14:paraId="6D307F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заводе Марти (О. 4) находятся два больших военных судна. Одно из них достраивается. В то время как с другого снимают броневые листы с тем, чтобы использовать их для танков. В середине июля верфь покинули в направлении Кронштадта 15 почти готовых подводных лодок. Кроме того, с того времени со стапелей было спущено еще 10 подлодок, строительство которых было завершено не полностью.</w:t>
      </w:r>
    </w:p>
    <w:p w14:paraId="7898E0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Национальный Архив США. Командование 18-й армии. Отдел 1с. Микрофильм. Т-312/1579 -761-64 (11814).</w:t>
      </w:r>
    </w:p>
    <w:p w14:paraId="1BE441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 октября 1941 г.</w:t>
      </w:r>
    </w:p>
    <w:p w14:paraId="1EC106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Военная промышленность.</w:t>
      </w:r>
    </w:p>
    <w:p w14:paraId="6E353F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боеприпасов на заводе «Вулкан» № 466 (К 4) (крупный калибр).</w:t>
      </w:r>
    </w:p>
    <w:p w14:paraId="0BE2F7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маленьком цеху на мясокомбинате изготовляют артиллерийские снаряды.</w:t>
      </w:r>
    </w:p>
    <w:p w14:paraId="1D368E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заводе «Электросила» № 501 ( S 6) в Петербурге , а также на двух маленьких предприятиях на Лиговском проспекте неподалеку от заводов № 731 и 643 (R/S 7) выпускаются артиллерийские снаряды.</w:t>
      </w:r>
    </w:p>
    <w:p w14:paraId="50F863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заводе 407 (S 5) производят детали для самолетов.</w:t>
      </w:r>
    </w:p>
    <w:p w14:paraId="63FCF7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северу от Каменной, в середине деревни под прикрытием кустарника находится склад боеприпасов для пехотных частей, а также мины.</w:t>
      </w:r>
    </w:p>
    <w:p w14:paraId="7AB7E2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парке к северу от склада боеприпасов № 284 (E 15/16) в штабеля складируются боеприпасы.</w:t>
      </w:r>
    </w:p>
    <w:p w14:paraId="7B8B4C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заводе № 7 (№ 598) в мирное время работало 25 тыс. человек. На нем выпускались 76-мм зенитные орудия, 76-мм полевые орудия, а также длинноствольные орудия того же калибра. С весны 1940 г. 5-й цех выпускал новый вид вооружений — «бомбомет» (&lt;&gt;) , предназначенный для стрельбы ракетами, в объеме 200 единиц в месяц, но в настоящее время эвакуирован на Урал. По неподтвержденным данным, в 1-м цехе изготовляются орудия со спаренным пулеметом. С1 сентября на территории завода находится один из цехов Кировского завода.</w:t>
      </w:r>
    </w:p>
    <w:p w14:paraId="2A0F9A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Кировский завод.</w:t>
      </w:r>
    </w:p>
    <w:p w14:paraId="33AB50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1940 г., по некоторым данным, на заводе было выпущено 40 турбин для двухтурбинных эсминцев. Турбины были направлены частично на завод им. Жданова, частично на Балтийский завод, частично — в Николаев (Черное море), а также в Комсомольск (Дальний Восток). Кроме этого, завод производил танки, бронемашины, танкетки, наземные мины, артиллерийские боеприпасы, орудия, пулеметы и танки-амфибии. Танки и орудия проходили испытания на самом заводе. В середине сентября ежедневно производилось еще 700-1000 м танковых гусениц и 700 артиллерийских снарядов.</w:t>
      </w:r>
    </w:p>
    <w:p w14:paraId="4E29F1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того, как танки и орудия проходили на заводе испытания, они, как правило, немедленно вывозились под прикрытием ночи.</w:t>
      </w:r>
    </w:p>
    <w:p w14:paraId="3A3446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Балтийский завод.</w:t>
      </w:r>
    </w:p>
    <w:p w14:paraId="0290F2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Ведутся лихорадочные работы на крейсере «Чапаев», который еще находится в доке, поскольку корабль в скором времени должен быть спущен на воду. Крейсер «Чкалов» уже сошел со стапелей, не будучи, однако, полностью оснащенным вооружением. В доках еще находятся два больших судна, на которых продолжается работа.</w:t>
      </w:r>
    </w:p>
    <w:p w14:paraId="0DAB1F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Разрушения</w:t>
      </w:r>
    </w:p>
    <w:p w14:paraId="78E63F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 разрушениях на Кировском заводе имеется одно сообщение. В соответствии с ним, наиболее тяжелый урон нанесен следующим подразделениям, которые выведены из строя: металлолитейный цех, сверлильный цех, рессорный цех, штамповочный цех, 2-й механический цех. Бывший тракторный цех серьезно пострадал от пожаров. Временно были выведены из строя: 3-й механический цех, в котором изготовлялись корпуса для танков; цех по производству турбин, на котором в последнее время выпускали башни для танков, а также кузнечный цех.</w:t>
      </w:r>
    </w:p>
    <w:p w14:paraId="342FB1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Менее значительные повреждения были нанесены местной электростанции и цеху по производству орудий.</w:t>
      </w:r>
    </w:p>
    <w:p w14:paraId="24AFE7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Ижорский завод в Колпино, который уже в начале сентября перебазировал ряд цехов на различные военные заводы, должен встать 10 октября, потому что идущая из Ленинграда железная дорога обеспечивает движение поездов пока только до Обухово.</w:t>
      </w:r>
    </w:p>
    <w:p w14:paraId="0B4383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Мост лейтенанта Шмидта разрушен в результате бомбовых ударов.</w:t>
      </w:r>
    </w:p>
    <w:p w14:paraId="380B74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верфи «Петрозавод» № 527 полностью сгорели два больших ангара.</w:t>
      </w:r>
    </w:p>
    <w:p w14:paraId="2A6E99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Сообщают, кроме того, о больших разрушениях Московского вокзала, учреждений, расположенных на набережной Невы, Путиловского завода.: он уже проходил под названием Кировский (Н.Л), а также завода «Красный Выборжец» (К 9).</w:t>
      </w:r>
    </w:p>
    <w:p w14:paraId="6FF6C6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Национальный Архив США. Командование 18-й армии. Отдел 1с. Микрофильм. Т-312/1579 — 651-60 (11814).</w:t>
      </w:r>
    </w:p>
    <w:p w14:paraId="69310D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ноября 1941 г.</w:t>
      </w:r>
    </w:p>
    <w:p w14:paraId="19CD9D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Разрушения</w:t>
      </w:r>
    </w:p>
    <w:p w14:paraId="0017C7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Завод «Электросила» (S 6) частично разрушен, так что работу может продолжать не в полном объеме. 1-я электростанция (Р 7 № 141) и газовый завод (Р 7 № 151), как сообщают, разрушены полностью. Нарушено газо-и электроснабжение в Московском районе. Завод по производству сыра и растительного масла жирокомбината </w:t>
      </w:r>
      <w:r w:rsidRPr="00640820">
        <w:rPr>
          <w:rFonts w:ascii="Times New Roman" w:hAnsi="Times New Roman"/>
          <w:color w:val="000000" w:themeColor="text1"/>
          <w:sz w:val="16"/>
          <w:szCs w:val="16"/>
        </w:rPr>
        <w:lastRenderedPageBreak/>
        <w:t>(Р 7 № 836) и склады с его запасами на Обводном канале выгорели, как и Ленмолзавод (Р 6 № 941) и еще одно молочное предприятие. Частично разрушен асбестовый завод (К 7 № 643). Большие разрушения имеются на Кировском заводе (№ 461) и на «Красном Треугольнике» (№ 581). Сообщают, что подвижной состав, находящийся на путях, разрушен. Замечено много сгоревших и разрушенных товарных и пассажирских вагонов. Значительны разрушения вокруг Балтийского вокзала.. В результате воздушного налета полностью разрушен большой хлебный завод (Р 6 № 819). Завод по производству линолеума и клеенки (S 6) более не работает, так как частично разрушен и большая часть рабочих призвана в ополчение. Завод им. Молотова горел. Вследствие пожаров сильно пострадал завод им. Сталина. Военный завод «Прогресс», расположенный у Финляндского вокзала, а также завод «Красное Знамя» (К 9 № 398), по имеющимся данным, получили многочисленные повреждения. В Смольнинском районе и на Васильевском острове разрушения особенно очевидны.</w:t>
      </w:r>
    </w:p>
    <w:p w14:paraId="2B5C75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Мост лейтенанта Шмидта, о котором содержалось упоминание в последнем сообщении, снова восстановлен.</w:t>
      </w:r>
    </w:p>
    <w:p w14:paraId="152322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Национальный Архив США. Командование 18-й армии. Отдел 1с. Микрофильм.Т-312/1579 — 563-7 (11814).</w:t>
      </w:r>
    </w:p>
    <w:p w14:paraId="7FFC5B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декабря 1941 г</w:t>
      </w:r>
    </w:p>
    <w:p w14:paraId="0F3C51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Разрушения на военных предприятиях</w:t>
      </w:r>
    </w:p>
    <w:p w14:paraId="181B7C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«Севкабель» (563 № 2) получил серьезные повреждения в результате бомбежки,</w:t>
      </w:r>
    </w:p>
    <w:p w14:paraId="718799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Трамвайный парк им. Блохина (9377 к 7) пострадал в результате пожара,</w:t>
      </w:r>
    </w:p>
    <w:p w14:paraId="7A18AB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«Ленинградская Правда». Разрушения, о которых шла речь в донесении № 8, устранены, поскольку газета не выходила всего в течение 5 дней,</w:t>
      </w:r>
    </w:p>
    <w:p w14:paraId="1F868B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«Московская Правда» не выходила в течение нескольких дней и сейчас издается в том же формате, что и «Ленинградская Правда», из чего можно сделать вывод, что типография также была разрушена.</w:t>
      </w:r>
    </w:p>
    <w:p w14:paraId="07996F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Военная промышленность</w:t>
      </w:r>
    </w:p>
    <w:p w14:paraId="246757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бывшей фабрике по производству лыж, расположенной к северу от железнодорожных путей между станциями Волковская и Цветочная, как сообщают, выпускаются детали для самолетов (R S 6/7).</w:t>
      </w:r>
    </w:p>
    <w:p w14:paraId="2B90B3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Национальный Архив США. Командование 18-й армии. Отдел 1с. Микрофильм. Т-312/ 1580, 176-82 (11814).</w:t>
      </w:r>
    </w:p>
    <w:p w14:paraId="693F5D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F04CD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 ноябре 1941 согласно сводкам о событиях в СССР Начальника полиции безопасности и СД наблюдалось в военной промышленности Ленинграда:</w:t>
      </w:r>
    </w:p>
    <w:p w14:paraId="365EFC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октября 1941 г. Сводка № 11625</w:t>
      </w:r>
    </w:p>
    <w:p w14:paraId="7510B1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Выявление военных и военно-промышленных объектов в Петербурге поставлено вермахтом в качестве первоочередных. Эти объекты заносятся на военную карту.</w:t>
      </w:r>
    </w:p>
    <w:p w14:paraId="1C8957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Национальный архив США. Сводки о положении в СССР начальника полиции безопасности и СД. № 116. Микрофильм. Т-175/233. С.3 (11814).</w:t>
      </w:r>
    </w:p>
    <w:p w14:paraId="5BDF8E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октября 1941 г. Сводка о событиях в СССР № 123</w:t>
      </w:r>
    </w:p>
    <w:p w14:paraId="2A5C9A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Подтверждается, что на верфях завода им. Марти строятся два боевых корабля, которые по своим размерам не имели аналогов в России. В то время как одно судно уже сошло со стапелей и его оснастка продолжается, со второго еще неготового судна сняли 100-мм броневые листы и на том же заводе переделывают их в броню для тяжелых танков. До недавнего времени эти танки производились на Кировском заводе.</w:t>
      </w:r>
    </w:p>
    <w:p w14:paraId="3DA791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середине июля 15 почти готовых подводных лодок покинули верфь и двинулись в направлении Кронштадта. Позднее с верфей завода Марти было спущено на воду еще 10 подводных лодок, готовность которых, однако, нельзя принимать в расчет до истечения нескольких месяцев.</w:t>
      </w:r>
    </w:p>
    <w:p w14:paraId="6086D3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сентября 1941 г. из Москвы доставлено 50 новых самолетов, в том числе 9 истребителей ЛАГ на аэродром в Манушкино, 18 истребителей ЛАГ-3 — в Углово и 10 истребителей ЛАГ-16 — в Новую деревню. Они проследовали над Ладожским озером. На выезде из города, особенно в окраинных районах можно видеть много танков... На подступах к гавани установлены оборонительные сооружения, состоящие из противотанковых рвов, проволочных заграждений, пулеметных и стрелковых гнезд. С одной точки можно было обнаружить 4 замаскированных пулеметных гнезда. Однако точно известно, что позиция, простирающаяся вплоть до Варшавского вокзала, а, вероятно, и дальше на восток, не была укреплена.</w:t>
      </w:r>
    </w:p>
    <w:p w14:paraId="2F668E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данным заслуживающего доверие инженера, ряд высотных зданий на Международном проспекте снабжен взрывными зарядами. Подтверждается намерение забаррикадировать город в случае входа немецких войск путем взрыва этих зданий.</w:t>
      </w:r>
    </w:p>
    <w:p w14:paraId="0C7B01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ноября 1941 г. Сводка о событиях в СССР № 137</w:t>
      </w:r>
    </w:p>
    <w:p w14:paraId="660294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Разрушения.</w:t>
      </w:r>
    </w:p>
    <w:p w14:paraId="0BFE8B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Сгорел завод им. Молотова на пр. Огородникова. Сообщается о ряде попаданий бомб и снарядов и большом количестве раненых. В результате сильных пожаров пострадали «заводы Сталина».</w:t>
      </w:r>
    </w:p>
    <w:p w14:paraId="3F2E50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11-й хлебозавод сгорел вместе со всеми запасами. Снабжение населения в настоящее время осуществляется главным образом мельницами Ленина. Оборонный завод «Прогресс» у Финляндского вокзала пострадал от многочисленных попаданий. Сгорел большой склад продовольствия у Витебского вокзала. Рельсовые пути у Варшавского вокзала также разрушены, само здание вокзала не пострадало, хотя уничтожена расположенная рядом консервная фабрика и разрушено высотное здание прежних гостиниц Варшавского вокзала. Хотя сам Балтийский вокзал не пострадал, вновь восстанавливаются разрушенные там пути.</w:t>
      </w:r>
    </w:p>
    <w:p w14:paraId="6ED07B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Национальный архив США. Сводки о положении в СССР начальника полиции безопасности и СД. № 191. Микрофильм. Т-175/235. Сс.7—14 (11814).</w:t>
      </w:r>
    </w:p>
    <w:p w14:paraId="4F1736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8808A87"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064F2AAC"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624C2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начало IV квартала 1941 года основными видами продукции завода № 264 являлись: танкостроение Т-60, бронекорпуса Т-34 и ИЛ-2, заказы судостроения были приостановлены. К концу 1941 года бывшая полукустарная верфь речного судостроения преобразовалась в крупнейший бронетанковый завод (8850).</w:t>
      </w:r>
    </w:p>
    <w:p w14:paraId="6B5412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348CCF7" w14:textId="77777777" w:rsidR="00BA069A"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6AEBEA22" w14:textId="77777777" w:rsidR="00BA069A" w:rsidRPr="00640820" w:rsidRDefault="00BA069A"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7820259" w14:textId="77777777" w:rsidR="00BA069A" w:rsidRPr="00640820" w:rsidRDefault="00BA069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Уже в октябре-декабре 1941 г. на Харрикейн "двойках" летали 57 эскадрилий в метрополии и еще 25 на других театрах. При этом учитывались части только собственно британских  ВВС . Две трети машин за рубежом оснащались тропическими фильтрами. В различных частях применялись либо только IIС, либо смесь пушечных и пулеметных истребителей. "Харрикейны" IIС строились параллельно со штурмовиками типов IIС и IV. Именно IIС, получивший имя "Ласт оф зе мэни" - "Последний из многих", стал последним, 12875-м "Харрикейном", изготовленным в Великобритании. Это произошло в августе 1944 г. В ходе серийного производства "Харрикейн" IIС мало изменился. На поздних сериях немного усовершенствовали лафеты пушек (внешне это отразилось в перемещении амортизационных пружин). Делались попытки улучшить обзор назад, на который шли справедливые нарекания летчиков. Еще в октябре 1940 г. на модификации 1 опробовали фонарь кабины с боковыми выштамповками прозрачных панелей по образцу "Спитфайров" разведчиков. Позднее такой фонарь установили на опытном "Харрикейне" II, добавив два зеркала по бокам. Изображение сильно искажалось. В форму выштамповок последовательно внесли несколько изменений, но это не помогло. В ряде эскадрилий в метрополии над козырьком ставили большое зеркальце от автомобиля. На этом попытки улучшить обзор кончились (15129).</w:t>
      </w:r>
    </w:p>
    <w:p w14:paraId="51A11507" w14:textId="77777777" w:rsidR="00BA069A" w:rsidRPr="00640820" w:rsidRDefault="00BA069A" w:rsidP="00640820">
      <w:pPr>
        <w:spacing w:after="0" w:line="240" w:lineRule="auto"/>
        <w:jc w:val="both"/>
        <w:rPr>
          <w:rFonts w:ascii="Times New Roman" w:hAnsi="Times New Roman"/>
          <w:color w:val="000000" w:themeColor="text1"/>
          <w:sz w:val="16"/>
          <w:szCs w:val="16"/>
        </w:rPr>
      </w:pPr>
    </w:p>
    <w:p w14:paraId="2BB0A1C2"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323A5EC0"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451CC56" w14:textId="77777777" w:rsidR="00E34734" w:rsidRPr="00640820" w:rsidRDefault="00E34734" w:rsidP="00640820">
      <w:pPr>
        <w:spacing w:after="0" w:line="240" w:lineRule="auto"/>
        <w:jc w:val="both"/>
        <w:rPr>
          <w:rFonts w:ascii="Times New Roman" w:hAnsi="Times New Roman"/>
          <w:color w:val="000000" w:themeColor="text1"/>
          <w:sz w:val="16"/>
          <w:szCs w:val="16"/>
          <w:shd w:val="clear" w:color="auto" w:fill="FFFFFF"/>
        </w:rPr>
      </w:pPr>
      <w:r w:rsidRPr="00640820">
        <w:rPr>
          <w:rFonts w:ascii="Times New Roman" w:hAnsi="Times New Roman"/>
          <w:color w:val="000000" w:themeColor="text1"/>
          <w:sz w:val="16"/>
          <w:szCs w:val="16"/>
          <w:shd w:val="clear" w:color="auto" w:fill="FFFFFF"/>
        </w:rPr>
        <w:t>До ноября 1941г авиазаводом №18 было выпушено 1464 штурмовика Ил-2. Если удалось выполнить распоряжение о вооружение пушками ВЯ-23, то с пушками ШВАК было выпущено не менее 1287 самолетов. До 9 серии все Илы шли с пушками ШВАК, расположенными с внутренней стороны. С 10 – 11 серии могли появиться самолеты с пушками ВЯ-23.</w:t>
      </w:r>
    </w:p>
    <w:p w14:paraId="5118B7E3" w14:textId="77777777" w:rsidR="00E34734" w:rsidRPr="00640820" w:rsidRDefault="00E3473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shd w:val="clear" w:color="auto" w:fill="FFFFFF"/>
        </w:rPr>
        <w:t>Учитывая потери материальной части и личного состава в 1941г, штурмовиков Ил-2 завода №18 первых выпусков к концу 1942г уже почти не осталось (19205).</w:t>
      </w:r>
    </w:p>
    <w:p w14:paraId="3C536598" w14:textId="77777777" w:rsidR="00E34734" w:rsidRPr="00640820" w:rsidRDefault="00E34734" w:rsidP="00640820">
      <w:pPr>
        <w:spacing w:after="0" w:line="240" w:lineRule="auto"/>
        <w:jc w:val="both"/>
        <w:rPr>
          <w:rFonts w:ascii="Times New Roman" w:hAnsi="Times New Roman"/>
          <w:color w:val="000000" w:themeColor="text1"/>
          <w:sz w:val="16"/>
          <w:szCs w:val="16"/>
        </w:rPr>
      </w:pPr>
    </w:p>
    <w:p w14:paraId="666D41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ноябрю 1941 103В 2М-82А (по КБ - АНТ-60) был построен (1835,17).</w:t>
      </w:r>
    </w:p>
    <w:p w14:paraId="088217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1C04B6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 ноябрю 1941 г. были потеряны мощности, на которых до войны производилось 60% всего алюминия, а общее недопроизводство алюминия в военные годы за счет мощностей на территориях, подвергавшихся оккупации, достигло 136 тыс. т. Учитывая данные о потерях мощностей по добыче угля — 63% и стали — 58% и о натуральном выражении суммарных потерь этих видов продукции — 307 млн. т каменного угля и 38 млн. т стали, приведенные Н. А. Вознесенским, а также сведения о производстве в 1940 г. — 165,9 млн. т угля и 18,3 млн. т стали,{35} можно получить соотношение между общей суммой потерь и годовым уровнем производства 1940 г. Для угля это соотношение будет 2,0 : 1, для стали — 2,1 : 1. Для алюминия этот показатель можно принять средним между этими двумя величинами — 2,05 : 1, учитывая, что доля потерь по алюминию также занимает промежуточное положение между соответствующими показателями по стали и углю. В этом случае производство алюминия в 1940 г. можно оценить в 66 тыс. т. Тогда падение производства во второй половине 1941 г. можно оценить по крайней мере в 60% от средне-квартального производства 1940 г., или в 10 тыс. т. Годовое производство алюминия в 1941 г. следует оценить в 56 тыс. т, а во втором полугодии 1941 г. — в 23 тыс. т. Известно, что в 1942г. мощности по производству алюминия в СССР возросли на 18,5 тыс. т.{36} По нашей оценке, за 1941 г. были утрачены или временно выведены из строя мощности по производству алюминия примерно в 40 тыс. т, так что с учетом ввода новых мощностей выпуск алюминия в 1942 г. все равно должен был быть ниже уровня 1940 г. примерно на 21 тыс. т и составил, вероятно, около 45 тыс. т. В 1943 г. производство алюминия в СССР на 4% превысило довоенный уровень{37} </w:t>
      </w:r>
      <w:r w:rsidRPr="00640820">
        <w:rPr>
          <w:rFonts w:ascii="Times New Roman" w:hAnsi="Times New Roman"/>
          <w:color w:val="000000" w:themeColor="text1"/>
          <w:sz w:val="16"/>
          <w:szCs w:val="16"/>
        </w:rPr>
        <w:lastRenderedPageBreak/>
        <w:t xml:space="preserve">и может быть оценено в 69 тыс. т. В таком случае оценки М. Харрисона относительно производства алюминия в СССР в 1944 и 1945 гг. выглядят близкими к действительности (соответственно 82,7 и 86,3 тыс. т) — рост по отношению к 1943 г. составляет для 1944 г. — 13,7 тыс. т, а для 1945 г. — 17,3 тыс. т, что близко к показателю роста мощностей в 1942 г. — 18,5 тыс. т. Суммарное производство алюминия за 1941-1945 гг. мы оцениваем в 339 тыс. т, а с середины 1941 г. до середины 1945 г. — в 263 тыс. т. Из США в СССР в годы войны было поставлено 189,2 тыс. коротких тонн первичного и 71,9 тыс. коротких тонн вторичного алюминия. Принимая 1 т вторичного алюминия эквивалентной 1,3 т первичного алюминия и переведя все показатели в метрические тонны, получим, что ленд-лиз из США в СССР был эквивалентен 256,4 тыс. т первичного алюминия. Кроме того, в СССР поступило 35,4 тыс. т алюминия из Великобритании и 36,3 тыс. т алюминия из Канады, так что суммарные западные поставки алюминия в СССР в 1941-1945 гг. составили 328,1 тыс. т, что в 1,25 раза превышает нашу оценку советского производства алюминия в период с середины 1941 г. по середину 1945 г. Советская авиационная промышленность — основной потребитель алюминия, работала главным образом за счет западных поставок. Отметим также, что алюминий использовался и в производстве моторов для знаменитых советских танков Т-34. </w:t>
      </w:r>
    </w:p>
    <w:p w14:paraId="491891E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Общее количество алюминия, поступившее для нужд советской экономики в период с середины 1941 г. до середины 1945 г., — около 591 тыс. т делает совершенно нереальными официальные данные о производстве самолетов в СССР в период войны. Советский Союз будто бы произвел с июля 1941 г. по август 1945 г. 112,1 тыс. т боевых самолетов. Между тем Германия в 1941-1945 гг. произвела 84 420 боевых самолетов. Алюминия же германская промышленность в 1941-1944 гг. получила около 1 704 тыс. т (из них 1466 тыс. т произведено в Германии), причем уже в 1943 г. непосредственно для военных нужд было использовано 80,3% всего алюминия. Совершенно загадочным остается, как советская промышленность, располагая почти втрое меньшими ресурсами алюминия, смогла произвести в 1,3 раза больше боевых самолетов, чем Германия, если структура производства самолетов в двух странах была весьма похожей. Ни СССР, ни Германия почти не строили тяжелых бомбардировщиков, а взлетный вес аналогичных типов самолетов (истребителей, штурмовиков и легких бомбардировщиков), производимых в этих странах, отличался весьма незначительно. Правда, в СССР в кризисные 1941-1942 гг. для замены ряда алюминиевых деталей использовалось дерево и специальный брезент (поставлявшийся, кстати, по ленд-лизу), но и этот фактор не мог бы в такой мере сократить потребление алюминия, который использовался главным образом для нужд самолетостроения. Скорее всего, дело здесь в том, что советское производство самолетов в годы войны завышено минимум в два раза за счет сознательного завышения отчетности еще в военные годы. Есть основания полагать, что подобное же явление имело место и в случае с советским танковым производством. Эта мысль косвенно подтверждается данными о резком падении трудозатрат на выпуск единицы основных типов самолетов и танков в СССР в 1941-1943 гг.</w:t>
      </w:r>
    </w:p>
    <w:p w14:paraId="4EA1C6E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оценке Д. Б. Шимкина, за 1941-1944 гг. в СССР было произведено 315 тыс. т алюминия. М. Харрисон оценивает советское производство алюминия следующим образом (в тыс. т): 1942 г. - 51,7, 1943 г. — 62,3, 1944 г. — 82,7, 1945 г. — 86,3. Если принять производство алюминия в 1941 г. приблизительно равным производству 1942 г., то общее производство алюминия в 1941-1945 гг., базируясь на цифрах М. Харрисона, можно определить в 335 тыс. т, а в 1941-1944 гг. — в 249 тыс. т. Таким образом, оценка М. Харрисона оказывается значительно ниже, чем оценка Д. Б. Шимкина (12247)</w:t>
      </w:r>
    </w:p>
    <w:p w14:paraId="2F575133"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43D2D27E" w14:textId="77777777" w:rsidR="00E34734" w:rsidRPr="00640820" w:rsidRDefault="00E3473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09E1F1C3" w14:textId="77777777" w:rsidR="00E34734" w:rsidRPr="00640820" w:rsidRDefault="00E34734"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C046BFB" w14:textId="77777777" w:rsidR="00E34734" w:rsidRPr="00640820" w:rsidRDefault="00E3473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ноябрю 1941 г. в зоне оккупации оказалась большая часть западных, наиболее развитых в экономическом отношении районов страны. В итоге были потеряны крупные источники доходов, которые прежде поступали в бюджет из этих регионов. Достаточно отметить, что на территории, оккупированной в 1941 г., находились 40% всего населения СССР, 32% рабочих и служащих и 33% основных фондов предприятий; производилось 33% валовой продукции всей промышленности страны, в том числе чугуна - 68%, стали - 58%, проката - 57%, кокса - 74%, железной руды - 71%, марганцевой руды - 35%, угля - 63%, электроэнергии - 42%, тракторов - 57%, цемента - 52%, сахара - 87%. До войны в этих районах собиралось 38% валовой продукции зерна, 53% льна-долгунца, выращивалось 60% поголовья свиней и 38% поголовья крупного рогатого скота. Протяженность железнодорожных путей на советской территории, подвергшейся оккупации, в ноябре 1941 г. равнялась 44,2 тыс. км, что составляло 41% длины всех железнодорожных линий СССР (18390).</w:t>
      </w:r>
    </w:p>
    <w:p w14:paraId="10AF411F" w14:textId="77777777" w:rsidR="00E34734" w:rsidRPr="00640820" w:rsidRDefault="00E34734" w:rsidP="00640820">
      <w:pPr>
        <w:spacing w:after="0" w:line="240" w:lineRule="auto"/>
        <w:jc w:val="both"/>
        <w:rPr>
          <w:rFonts w:ascii="Times New Roman" w:hAnsi="Times New Roman"/>
          <w:color w:val="000000" w:themeColor="text1"/>
          <w:sz w:val="16"/>
          <w:szCs w:val="16"/>
        </w:rPr>
      </w:pPr>
    </w:p>
    <w:p w14:paraId="2E61F9EF"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7FBE1E16"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B9531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ноября 1941 года за начальника ГУ ВВС бригинженер Бибиков, военный комиссар ГУ ВВС бригадный комиссар Руденко писали письмо N 211620сс Шахурину.</w:t>
      </w:r>
    </w:p>
    <w:p w14:paraId="658B3B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настоящее время действующие на фронте самолеты Ил-2 не обеспечены боеприпасами к 23 мм пушкам Волкова-Ярцева.</w:t>
      </w:r>
    </w:p>
    <w:p w14:paraId="297EF5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Имеющиеся на складах ГУ ВВС около 800 тысяч штук патрон не укомплектованы звеньями и поэтому не могут быть использованы.</w:t>
      </w:r>
    </w:p>
    <w:p w14:paraId="069E4D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Единственным поставщиком металлических звеньев к 23 мм патронам являлся завод N 187 Н.К.Б., который 16.Х.41 г. прекратил производство звеньев по причине его эвакуации.</w:t>
      </w:r>
    </w:p>
    <w:p w14:paraId="0214F0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Таким образом создалась реальная угроза срыва боевой работы самолетов Ил-2 на решающих участках фронта.</w:t>
      </w:r>
    </w:p>
    <w:p w14:paraId="785D53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Ввиду того, что Н.К.Б. СССР не сможет обеспечить в ближайшее время потребность в звеньях к 23 мм патронам, имеется единственная возможность в кратчайший срок изготовить их на заводе N 337 НКАП, где для этого имеются все возможности. Техническую помощь и техдокументацию полностью обеспечит ГУ ВВС.</w:t>
      </w:r>
    </w:p>
    <w:p w14:paraId="2F6B4F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Прошу Вашего неотложного решения (2637,50).</w:t>
      </w:r>
    </w:p>
    <w:p w14:paraId="42E41B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40BF9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 по 11 ноября 1941 г. заводом №124 было собрано всего 11 Пе-2 (5764,38).</w:t>
      </w:r>
    </w:p>
    <w:p w14:paraId="1A7AA4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E07C42F" w14:textId="77777777" w:rsidR="0065540E" w:rsidRPr="00640820" w:rsidRDefault="0065540E" w:rsidP="00640820">
      <w:pPr>
        <w:pStyle w:val="a3"/>
        <w:rPr>
          <w:color w:val="000000" w:themeColor="text1"/>
          <w:lang w:val="ru-RU"/>
        </w:rPr>
      </w:pPr>
      <w:r w:rsidRPr="00640820">
        <w:rPr>
          <w:color w:val="000000" w:themeColor="text1"/>
          <w:lang w:val="ru-RU"/>
        </w:rPr>
        <w:t>К 1 ноября 1941 в основном завершили эвакуацию авиазавода № 1. В Москве к этому дню не отправленными остались только три МиГ-3, которые ремонтировались в организованных на территории завода ремонтных мастерских ВВС Западного фронта. Всего в Куйбышев отправи</w:t>
      </w:r>
      <w:r w:rsidRPr="00640820">
        <w:rPr>
          <w:color w:val="000000" w:themeColor="text1"/>
          <w:lang w:val="ru-RU"/>
        </w:rPr>
        <w:softHyphen/>
        <w:t>ли 21 эшелон с оборудованием и имуществом и 10 эшелонов с людьми (15976).</w:t>
      </w:r>
    </w:p>
    <w:p w14:paraId="3AFE2ECB" w14:textId="77777777" w:rsidR="0065540E" w:rsidRPr="00640820" w:rsidRDefault="0065540E" w:rsidP="00640820">
      <w:pPr>
        <w:pStyle w:val="a3"/>
        <w:rPr>
          <w:color w:val="000000" w:themeColor="text1"/>
          <w:lang w:val="ru-RU"/>
        </w:rPr>
      </w:pPr>
    </w:p>
    <w:p w14:paraId="4455F4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ноября 1941 помошник С.А.Л. П.Г.Питерин закончил поездку на С-ЗФ для ознакомления с боевым применением ЛаГГ-3 и техпомощи, которая шла с 6 октября. По отчету в основном занимались штурмовкой передовых позиций (колонн пехоты, автомашин, танков), аэродромов и колонн на тыловых дорогах. Попутно нападали на бомбардировщики и вступали в бои с истребителями (1648,41).</w:t>
      </w:r>
    </w:p>
    <w:p w14:paraId="30A4868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 Т Ч Е Т</w:t>
      </w:r>
    </w:p>
    <w:p w14:paraId="32CA6D4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прм. главного конструктора ПИТЕРИНА П.Г. о поездке с 6/Х по 1/Х1-1941 г.в части Северо-Западного фронта для ознакомления с боевым применением самолетов ЛАГГ-3 и техническо помощи.</w:t>
      </w:r>
    </w:p>
    <w:p w14:paraId="1ACEC3B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указанный период побывал с следующих частях: штаб ВВС западного фронта, 21 ИАП, 272 ИПП, 429 ИАП и УВВС КА. Вышеперечисленные части имели и имеют самолеты ЛАГГ-3 от 3 до 8 серии, снабжены четырьмя огневыми точками и пяти бензобаками. Следует отметить,что разницы в боевых качествах между самолетами 3-й и 8-й серии - нет.</w:t>
      </w:r>
    </w:p>
    <w:p w14:paraId="093605B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течении 1,5-2 м-цев, т.е. с начала боевых действий, примерно одна третья часть самолетов потеряна в бою и при вынужденных посадках, часть самолетов полностью выработали ресурсы, т.к. в 21 ИАП"е - 10 самолетов выработали ресурсы, отправлены для замены моторов.</w:t>
      </w:r>
    </w:p>
    <w:p w14:paraId="7885071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настояций момент полки имеют от 2 до 5 самолетов к томку же сильно изношенные. При посещении частей проводились групповые собеседования с летчиками,техниками и индивидуальные беседы с летчиками после каждого боевого вылета.</w:t>
      </w:r>
    </w:p>
    <w:p w14:paraId="226E6C4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каждой части на аэродроме прибывал в течении 3-х дней, ведя наблюдение за каадым боевым вылетом и возвращением самолетов.Каждая часть ежедневно производили по 3-4 боевых вылета.</w:t>
      </w:r>
    </w:p>
    <w:p w14:paraId="013DA98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всего времени полки по своему назначению, в основном занимались штурмоваой передовых позиций противника (колонны пехоты, автомашин, танков и пр.), аэродромов и тыловым дорогам противника. Кроме того попутно нападали на бомбардировщики и вступали в бой с истребителями.</w:t>
      </w:r>
    </w:p>
    <w:p w14:paraId="359E6F6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результате 1,5-2 месячной боевой деятельности пол</w:t>
      </w:r>
      <w:r w:rsidRPr="00640820">
        <w:rPr>
          <w:rFonts w:ascii="Times New Roman" w:hAnsi="Times New Roman"/>
          <w:color w:val="000000" w:themeColor="text1"/>
          <w:sz w:val="16"/>
          <w:szCs w:val="16"/>
        </w:rPr>
        <w:softHyphen/>
        <w:t>ков помимо уничтожения большого количества живой силы про тивника, автомашин, цистерн с горючим, были сбиты самолеты противника:</w:t>
      </w:r>
    </w:p>
    <w:p w14:paraId="1A255CF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ИАП"ом - 28 шт.</w:t>
      </w:r>
    </w:p>
    <w:p w14:paraId="266CA07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272 " - 7 шт.</w:t>
      </w:r>
    </w:p>
    <w:p w14:paraId="3055A1B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429 " - 8 шт.</w:t>
      </w:r>
    </w:p>
    <w:p w14:paraId="6028EBA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 сбито немецких самолетов - 43 штуки.</w:t>
      </w:r>
    </w:p>
    <w:p w14:paraId="1CE626A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Потеряли в воздушных боях и при штурмовке:</w:t>
      </w:r>
    </w:p>
    <w:p w14:paraId="446600E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ИАП - 7 самолетов</w:t>
      </w:r>
    </w:p>
    <w:p w14:paraId="183E74A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272 " - 12 "</w:t>
      </w:r>
    </w:p>
    <w:p w14:paraId="2F0D8AA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429 " - 9 "</w:t>
      </w:r>
    </w:p>
    <w:p w14:paraId="358DD32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них: 5 самолетов разбились при неудачных посадках.</w:t>
      </w:r>
    </w:p>
    <w:p w14:paraId="1CEB7EB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 потеряли в воздухных боях и при штурмовке - 23 с-та</w:t>
      </w:r>
    </w:p>
    <w:p w14:paraId="1169787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Погибло летчиков:</w:t>
      </w:r>
    </w:p>
    <w:p w14:paraId="163E5CD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21 ИАП"е - 6</w:t>
      </w:r>
    </w:p>
    <w:p w14:paraId="717CA37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272 " - 10</w:t>
      </w:r>
    </w:p>
    <w:p w14:paraId="55989DC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429 " - 3 </w:t>
      </w:r>
    </w:p>
    <w:p w14:paraId="5AEA552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Летчик 429 ИАП тов. РОМАНОВ при помощи "тарана" сбил самолет "Юнкерс-88", при этом самолет тов. РОМАНОВА также разбился,сам остался жив.</w:t>
      </w:r>
    </w:p>
    <w:p w14:paraId="6AD296C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Бой как с истребителями, так и с бомбардировщиками в большинстве происходит на высотах до 3000 метров, штурмов</w:t>
      </w:r>
      <w:r w:rsidRPr="00640820">
        <w:rPr>
          <w:rFonts w:ascii="Times New Roman" w:hAnsi="Times New Roman"/>
          <w:color w:val="000000" w:themeColor="text1"/>
          <w:sz w:val="16"/>
          <w:szCs w:val="16"/>
        </w:rPr>
        <w:softHyphen/>
        <w:t>ка бреющим полетом на высотах 50-100 метров.</w:t>
      </w:r>
    </w:p>
    <w:p w14:paraId="2BEF650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Самолет ЛАГГ-3 хорошо справляется с задачей штурмовки и нападением на бомбардировщиков, но слаб против немец</w:t>
      </w:r>
      <w:r w:rsidRPr="00640820">
        <w:rPr>
          <w:rFonts w:ascii="Times New Roman" w:hAnsi="Times New Roman"/>
          <w:color w:val="000000" w:themeColor="text1"/>
          <w:sz w:val="16"/>
          <w:szCs w:val="16"/>
        </w:rPr>
        <w:softHyphen/>
        <w:t>ких истребителей, особенно, против "Хенкель-113" в силу слабой своей маневренности и скоропод"емности.</w:t>
      </w:r>
    </w:p>
    <w:p w14:paraId="1A03867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Один ЛАГГ- против двух "Хенкель-113" активно бой вести не может.</w:t>
      </w:r>
    </w:p>
    <w:p w14:paraId="1449B98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период с 16/Х. по 22/Х - машины возвращались из боя со следующими повреждениями:...</w:t>
      </w:r>
    </w:p>
    <w:p w14:paraId="6B5E478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ОТЗЫВЫ ЛЕТЧИКОВ О МАШИНЕ.</w:t>
      </w:r>
    </w:p>
    <w:p w14:paraId="1AEAF2B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ПОЛОЖИТЕЛЬНЫЕ.</w:t>
      </w:r>
    </w:p>
    <w:p w14:paraId="426D327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Машина сильна вооружением. По вооружению эта маши</w:t>
      </w:r>
      <w:r w:rsidRPr="00640820">
        <w:rPr>
          <w:rFonts w:ascii="Times New Roman" w:hAnsi="Times New Roman"/>
          <w:color w:val="000000" w:themeColor="text1"/>
          <w:sz w:val="16"/>
          <w:szCs w:val="16"/>
        </w:rPr>
        <w:softHyphen/>
        <w:t>на на первом месте среди всех остальных самолетов. Воору</w:t>
      </w:r>
      <w:r w:rsidRPr="00640820">
        <w:rPr>
          <w:rFonts w:ascii="Times New Roman" w:hAnsi="Times New Roman"/>
          <w:color w:val="000000" w:themeColor="text1"/>
          <w:sz w:val="16"/>
          <w:szCs w:val="16"/>
        </w:rPr>
        <w:softHyphen/>
        <w:t>жение работает безотказно. Воздуха на вооружение достаточ</w:t>
      </w:r>
      <w:r w:rsidRPr="00640820">
        <w:rPr>
          <w:rFonts w:ascii="Times New Roman" w:hAnsi="Times New Roman"/>
          <w:color w:val="000000" w:themeColor="text1"/>
          <w:sz w:val="16"/>
          <w:szCs w:val="16"/>
        </w:rPr>
        <w:softHyphen/>
        <w:t>но.</w:t>
      </w:r>
    </w:p>
    <w:p w14:paraId="7235C19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Машина живуча - не горит, при наличии большого ко</w:t>
      </w:r>
      <w:r w:rsidRPr="00640820">
        <w:rPr>
          <w:rFonts w:ascii="Times New Roman" w:hAnsi="Times New Roman"/>
          <w:color w:val="000000" w:themeColor="text1"/>
          <w:sz w:val="16"/>
          <w:szCs w:val="16"/>
        </w:rPr>
        <w:softHyphen/>
        <w:t>личества пробоин в конструкции - прочность сохраняется.</w:t>
      </w:r>
    </w:p>
    <w:p w14:paraId="1351A1B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Машина имеет большой об"ем бензина, в этом ее особая ценность.</w:t>
      </w:r>
    </w:p>
    <w:p w14:paraId="3DB4CE4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Машина не трудна в посадке.</w:t>
      </w:r>
    </w:p>
    <w:p w14:paraId="5C5B595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Амортизация шасси и костыля одна из лучших.Шасси прочно.</w:t>
      </w:r>
    </w:p>
    <w:p w14:paraId="377FDBC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Наличие люка в фюзеляже дает возможность перево</w:t>
      </w:r>
      <w:r w:rsidRPr="00640820">
        <w:rPr>
          <w:rFonts w:ascii="Times New Roman" w:hAnsi="Times New Roman"/>
          <w:color w:val="000000" w:themeColor="text1"/>
          <w:sz w:val="16"/>
          <w:szCs w:val="16"/>
        </w:rPr>
        <w:softHyphen/>
        <w:t>зить на самолете по одному человеку из обслуживающего технического персонала.</w:t>
      </w:r>
    </w:p>
    <w:p w14:paraId="3F1FA52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ОТРИЦАТЕЛЬНЫЕ.</w:t>
      </w:r>
    </w:p>
    <w:p w14:paraId="3C0FC20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Машина тяжела - мала скоропод"емность и слабо обладает маневром по сравнению с 110 и "Хенкаль-113".</w:t>
      </w:r>
    </w:p>
    <w:p w14:paraId="43935FD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На многих машинах пониженная горизонтальная скорость, особенно после 20-30 часов работы мотора, скорость самолете снижается приблизительно на 20 км/час.</w:t>
      </w:r>
    </w:p>
    <w:p w14:paraId="07D1422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ТРЕБОВАНИЕ ЛЕТНОГО СОСТАВА ЧАСТЕЙ</w:t>
      </w:r>
    </w:p>
    <w:p w14:paraId="01E4AE9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 На машине должно быть обязательно три огневых точки: одна пушка и два "БС".</w:t>
      </w:r>
    </w:p>
    <w:p w14:paraId="3D0A7C1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 летчики выразили негодование и возмущение про</w:t>
      </w:r>
      <w:r w:rsidRPr="00640820">
        <w:rPr>
          <w:rFonts w:ascii="Times New Roman" w:hAnsi="Times New Roman"/>
          <w:color w:val="000000" w:themeColor="text1"/>
          <w:sz w:val="16"/>
          <w:szCs w:val="16"/>
        </w:rPr>
        <w:softHyphen/>
        <w:t>тив двухточечного варианта, т.е.одной пушки и одного БС, Даже при налиии "РС". Летчики говорят: "мы ставим под сомнение мероприятия двух-точечного варианта - это не в интересах фронта”</w:t>
      </w:r>
    </w:p>
    <w:p w14:paraId="5647892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Все. машины довести до 3000 кг.только не за счет сокращения огня и бензина, а за счет снятия лишнего обо</w:t>
      </w:r>
      <w:r w:rsidRPr="00640820">
        <w:rPr>
          <w:rFonts w:ascii="Times New Roman" w:hAnsi="Times New Roman"/>
          <w:color w:val="000000" w:themeColor="text1"/>
          <w:sz w:val="16"/>
          <w:szCs w:val="16"/>
        </w:rPr>
        <w:softHyphen/>
        <w:t>рудования, ликвидации консервации ВИАМ-БЗ и облегчения отдельных частей конструкции.</w:t>
      </w:r>
    </w:p>
    <w:p w14:paraId="11646A6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Сущее твущий на машиных до 8 серии об"ем бензи</w:t>
      </w:r>
      <w:r w:rsidRPr="00640820">
        <w:rPr>
          <w:rFonts w:ascii="Times New Roman" w:hAnsi="Times New Roman"/>
          <w:color w:val="000000" w:themeColor="text1"/>
          <w:sz w:val="16"/>
          <w:szCs w:val="16"/>
        </w:rPr>
        <w:softHyphen/>
        <w:t>на сохранить.</w:t>
      </w:r>
    </w:p>
    <w:p w14:paraId="5452490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Обязательно ставить РС.</w:t>
      </w:r>
    </w:p>
    <w:p w14:paraId="73C8956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Обязательно оборудовать самолет предкрылками. Обвиняют главного конструктора и директора завода в нежелании ставить предкрылки.</w:t>
      </w:r>
    </w:p>
    <w:p w14:paraId="7118F7B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ОБОРУДОВАНИЕ.ПРИБОРЫ И ДЕТАЛИ, ПОДЛЕЖАЩИЕ СНЯТИЮ С САМОЛЕТА.</w:t>
      </w:r>
    </w:p>
    <w:p w14:paraId="65E4438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Летчики и техники, исходя из практики боевой работы на самолете ЛАГГ-3, предложили снять с самолета как лиш</w:t>
      </w:r>
      <w:r w:rsidRPr="00640820">
        <w:rPr>
          <w:rFonts w:ascii="Times New Roman" w:hAnsi="Times New Roman"/>
          <w:color w:val="000000" w:themeColor="text1"/>
          <w:sz w:val="16"/>
          <w:szCs w:val="16"/>
        </w:rPr>
        <w:softHyphen/>
        <w:t>нее и ненужное оборудование и приботы следующие: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2610"/>
      </w:tblGrid>
      <w:tr w:rsidR="00643896" w:rsidRPr="00640820" w14:paraId="350AAF57" w14:textId="77777777" w:rsidTr="000D3BCB">
        <w:tc>
          <w:tcPr>
            <w:tcW w:w="4788" w:type="dxa"/>
            <w:tcBorders>
              <w:top w:val="single" w:sz="12" w:space="0" w:color="auto"/>
            </w:tcBorders>
          </w:tcPr>
          <w:p w14:paraId="0100863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Манометр шасси</w:t>
            </w:r>
          </w:p>
        </w:tc>
        <w:tc>
          <w:tcPr>
            <w:tcW w:w="2610" w:type="dxa"/>
            <w:tcBorders>
              <w:top w:val="single" w:sz="12" w:space="0" w:color="auto"/>
            </w:tcBorders>
          </w:tcPr>
          <w:p w14:paraId="0C29A77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 я т ь</w:t>
            </w:r>
          </w:p>
        </w:tc>
      </w:tr>
      <w:tr w:rsidR="00643896" w:rsidRPr="00640820" w14:paraId="530A1307" w14:textId="77777777" w:rsidTr="000D3BCB">
        <w:tc>
          <w:tcPr>
            <w:tcW w:w="4788" w:type="dxa"/>
          </w:tcPr>
          <w:p w14:paraId="75F56E8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Вольтметр</w:t>
            </w:r>
          </w:p>
        </w:tc>
        <w:tc>
          <w:tcPr>
            <w:tcW w:w="2610" w:type="dxa"/>
          </w:tcPr>
          <w:p w14:paraId="639E82B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 я т ь</w:t>
            </w:r>
          </w:p>
        </w:tc>
      </w:tr>
      <w:tr w:rsidR="00643896" w:rsidRPr="00640820" w14:paraId="36E03A38" w14:textId="77777777" w:rsidTr="000D3BCB">
        <w:tc>
          <w:tcPr>
            <w:tcW w:w="4788" w:type="dxa"/>
          </w:tcPr>
          <w:p w14:paraId="4488DE3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Заливной бачек</w:t>
            </w:r>
          </w:p>
        </w:tc>
        <w:tc>
          <w:tcPr>
            <w:tcW w:w="2610" w:type="dxa"/>
          </w:tcPr>
          <w:p w14:paraId="51C2BD2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 я т ь</w:t>
            </w:r>
          </w:p>
        </w:tc>
      </w:tr>
      <w:tr w:rsidR="00643896" w:rsidRPr="00640820" w14:paraId="6352DEAE" w14:textId="77777777" w:rsidTr="000D3BCB">
        <w:tc>
          <w:tcPr>
            <w:tcW w:w="4788" w:type="dxa"/>
          </w:tcPr>
          <w:p w14:paraId="53264C2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Альвейер (бензонасос)</w:t>
            </w:r>
          </w:p>
        </w:tc>
        <w:tc>
          <w:tcPr>
            <w:tcW w:w="2610" w:type="dxa"/>
          </w:tcPr>
          <w:p w14:paraId="7F43B3B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заменить простым насосом</w:t>
            </w:r>
          </w:p>
        </w:tc>
      </w:tr>
      <w:tr w:rsidR="00643896" w:rsidRPr="00640820" w14:paraId="125D019D" w14:textId="77777777" w:rsidTr="000D3BCB">
        <w:tc>
          <w:tcPr>
            <w:tcW w:w="4788" w:type="dxa"/>
          </w:tcPr>
          <w:p w14:paraId="7D3599A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Вентиляцию кабины</w:t>
            </w:r>
          </w:p>
        </w:tc>
        <w:tc>
          <w:tcPr>
            <w:tcW w:w="2610" w:type="dxa"/>
          </w:tcPr>
          <w:p w14:paraId="0C54200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 я т ь</w:t>
            </w:r>
          </w:p>
        </w:tc>
      </w:tr>
      <w:tr w:rsidR="00643896" w:rsidRPr="00640820" w14:paraId="49884436" w14:textId="77777777" w:rsidTr="000D3BCB">
        <w:tc>
          <w:tcPr>
            <w:tcW w:w="4788" w:type="dxa"/>
          </w:tcPr>
          <w:p w14:paraId="1513947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Компрессор (воздушный)</w:t>
            </w:r>
          </w:p>
        </w:tc>
        <w:tc>
          <w:tcPr>
            <w:tcW w:w="2610" w:type="dxa"/>
          </w:tcPr>
          <w:p w14:paraId="2B32739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 я т ь</w:t>
            </w:r>
          </w:p>
        </w:tc>
      </w:tr>
      <w:tr w:rsidR="00643896" w:rsidRPr="00640820" w14:paraId="696CB61E" w14:textId="77777777" w:rsidTr="000D3BCB">
        <w:tc>
          <w:tcPr>
            <w:tcW w:w="4788" w:type="dxa"/>
          </w:tcPr>
          <w:p w14:paraId="0BADB0D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Заливной насос ("ВЛЕТ")</w:t>
            </w:r>
          </w:p>
        </w:tc>
        <w:tc>
          <w:tcPr>
            <w:tcW w:w="2610" w:type="dxa"/>
          </w:tcPr>
          <w:p w14:paraId="2166378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заменить насосом по типу с-та "ЯК"</w:t>
            </w:r>
          </w:p>
        </w:tc>
      </w:tr>
      <w:tr w:rsidR="00643896" w:rsidRPr="00640820" w14:paraId="59DDC819" w14:textId="77777777" w:rsidTr="000D3BCB">
        <w:tc>
          <w:tcPr>
            <w:tcW w:w="4788" w:type="dxa"/>
          </w:tcPr>
          <w:p w14:paraId="0A937DB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Задний обзор</w:t>
            </w:r>
          </w:p>
        </w:tc>
        <w:tc>
          <w:tcPr>
            <w:tcW w:w="2610" w:type="dxa"/>
          </w:tcPr>
          <w:p w14:paraId="574A564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 я т ь</w:t>
            </w:r>
          </w:p>
        </w:tc>
      </w:tr>
      <w:tr w:rsidR="00643896" w:rsidRPr="00640820" w14:paraId="71AFFC46" w14:textId="77777777" w:rsidTr="000D3BCB">
        <w:tc>
          <w:tcPr>
            <w:tcW w:w="4788" w:type="dxa"/>
          </w:tcPr>
          <w:p w14:paraId="2C52582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Ракетный пистолет</w:t>
            </w:r>
          </w:p>
        </w:tc>
        <w:tc>
          <w:tcPr>
            <w:tcW w:w="2610" w:type="dxa"/>
          </w:tcPr>
          <w:p w14:paraId="6E0C875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 я т ь</w:t>
            </w:r>
          </w:p>
        </w:tc>
      </w:tr>
      <w:tr w:rsidR="00643896" w:rsidRPr="00640820" w14:paraId="73B5AE3F" w14:textId="77777777" w:rsidTr="000D3BCB">
        <w:tc>
          <w:tcPr>
            <w:tcW w:w="4788" w:type="dxa"/>
          </w:tcPr>
          <w:p w14:paraId="076DFF2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Ручная помпа шасси</w:t>
            </w:r>
          </w:p>
        </w:tc>
        <w:tc>
          <w:tcPr>
            <w:tcW w:w="2610" w:type="dxa"/>
          </w:tcPr>
          <w:p w14:paraId="21E1EFB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поставить воздушно-аварийный</w:t>
            </w:r>
          </w:p>
        </w:tc>
      </w:tr>
      <w:tr w:rsidR="00643896" w:rsidRPr="00640820" w14:paraId="2A20F852" w14:textId="77777777" w:rsidTr="000D3BCB">
        <w:tc>
          <w:tcPr>
            <w:tcW w:w="4788" w:type="dxa"/>
          </w:tcPr>
          <w:p w14:paraId="1BEA894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Аптечка</w:t>
            </w:r>
          </w:p>
        </w:tc>
        <w:tc>
          <w:tcPr>
            <w:tcW w:w="2610" w:type="dxa"/>
          </w:tcPr>
          <w:p w14:paraId="0FA0E29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перенести в фюзеляж</w:t>
            </w:r>
          </w:p>
        </w:tc>
      </w:tr>
      <w:tr w:rsidR="00643896" w:rsidRPr="00640820" w14:paraId="68945BE7" w14:textId="77777777" w:rsidTr="000D3BCB">
        <w:tc>
          <w:tcPr>
            <w:tcW w:w="4788" w:type="dxa"/>
          </w:tcPr>
          <w:p w14:paraId="4DE3303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Манометр воздуха на 40 атм. (на доске приборов)</w:t>
            </w:r>
          </w:p>
        </w:tc>
        <w:tc>
          <w:tcPr>
            <w:tcW w:w="2610" w:type="dxa"/>
          </w:tcPr>
          <w:p w14:paraId="1FBE74D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 я т ь</w:t>
            </w:r>
          </w:p>
        </w:tc>
      </w:tr>
      <w:tr w:rsidR="00643896" w:rsidRPr="00640820" w14:paraId="443AAB47" w14:textId="77777777" w:rsidTr="000D3BCB">
        <w:tc>
          <w:tcPr>
            <w:tcW w:w="4788" w:type="dxa"/>
          </w:tcPr>
          <w:p w14:paraId="1E968EE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Редуктор на 25 атм. в системе перезарядки пушки</w:t>
            </w:r>
          </w:p>
        </w:tc>
        <w:tc>
          <w:tcPr>
            <w:tcW w:w="2610" w:type="dxa"/>
          </w:tcPr>
          <w:p w14:paraId="10F5E40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 я т ь</w:t>
            </w:r>
          </w:p>
        </w:tc>
      </w:tr>
      <w:tr w:rsidR="00643896" w:rsidRPr="00640820" w14:paraId="6713AB68" w14:textId="77777777" w:rsidTr="000D3BCB">
        <w:tc>
          <w:tcPr>
            <w:tcW w:w="4788" w:type="dxa"/>
          </w:tcPr>
          <w:p w14:paraId="19C9937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Щиток над генератором</w:t>
            </w:r>
          </w:p>
        </w:tc>
        <w:tc>
          <w:tcPr>
            <w:tcW w:w="2610" w:type="dxa"/>
          </w:tcPr>
          <w:p w14:paraId="652C144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 я т ь</w:t>
            </w:r>
          </w:p>
        </w:tc>
      </w:tr>
      <w:tr w:rsidR="00643896" w:rsidRPr="00640820" w14:paraId="63690C78" w14:textId="77777777" w:rsidTr="000D3BCB">
        <w:tc>
          <w:tcPr>
            <w:tcW w:w="4788" w:type="dxa"/>
          </w:tcPr>
          <w:p w14:paraId="78A3A20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Пожарный кран</w:t>
            </w:r>
          </w:p>
        </w:tc>
        <w:tc>
          <w:tcPr>
            <w:tcW w:w="2610" w:type="dxa"/>
          </w:tcPr>
          <w:p w14:paraId="388BB9F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 я т ь</w:t>
            </w:r>
          </w:p>
        </w:tc>
      </w:tr>
      <w:tr w:rsidR="00643896" w:rsidRPr="00640820" w14:paraId="3B57C32D" w14:textId="77777777" w:rsidTr="000D3BCB">
        <w:tc>
          <w:tcPr>
            <w:tcW w:w="4788" w:type="dxa"/>
          </w:tcPr>
          <w:p w14:paraId="5010411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Боченки, соединяющие водяные трубки</w:t>
            </w:r>
          </w:p>
        </w:tc>
        <w:tc>
          <w:tcPr>
            <w:tcW w:w="2610" w:type="dxa"/>
          </w:tcPr>
          <w:p w14:paraId="1A9E05F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 я т ь</w:t>
            </w:r>
          </w:p>
        </w:tc>
      </w:tr>
      <w:tr w:rsidR="00643896" w:rsidRPr="00640820" w14:paraId="4495DC36" w14:textId="77777777" w:rsidTr="000D3BCB">
        <w:tc>
          <w:tcPr>
            <w:tcW w:w="4788" w:type="dxa"/>
          </w:tcPr>
          <w:p w14:paraId="30E7652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Насос для подкачки колес</w:t>
            </w:r>
          </w:p>
        </w:tc>
        <w:tc>
          <w:tcPr>
            <w:tcW w:w="2610" w:type="dxa"/>
          </w:tcPr>
          <w:p w14:paraId="3820277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 шт.на 10 машин</w:t>
            </w:r>
          </w:p>
        </w:tc>
      </w:tr>
      <w:tr w:rsidR="00643896" w:rsidRPr="00640820" w14:paraId="765E1EFA" w14:textId="77777777" w:rsidTr="000D3BCB">
        <w:tc>
          <w:tcPr>
            <w:tcW w:w="4788" w:type="dxa"/>
          </w:tcPr>
          <w:p w14:paraId="442DEC5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Патронные ящики</w:t>
            </w:r>
          </w:p>
        </w:tc>
        <w:tc>
          <w:tcPr>
            <w:tcW w:w="2610" w:type="dxa"/>
          </w:tcPr>
          <w:p w14:paraId="30D1A97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 комл.на 10 маш.</w:t>
            </w:r>
          </w:p>
        </w:tc>
      </w:tr>
      <w:tr w:rsidR="00643896" w:rsidRPr="00640820" w14:paraId="2C7AC893" w14:textId="77777777" w:rsidTr="000D3BCB">
        <w:tc>
          <w:tcPr>
            <w:tcW w:w="4788" w:type="dxa"/>
            <w:tcBorders>
              <w:bottom w:val="single" w:sz="12" w:space="0" w:color="auto"/>
            </w:tcBorders>
          </w:tcPr>
          <w:p w14:paraId="13D74F3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Килородное оборудование</w:t>
            </w:r>
          </w:p>
        </w:tc>
        <w:tc>
          <w:tcPr>
            <w:tcW w:w="2610" w:type="dxa"/>
            <w:tcBorders>
              <w:bottom w:val="single" w:sz="12" w:space="0" w:color="auto"/>
            </w:tcBorders>
          </w:tcPr>
          <w:p w14:paraId="460798B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частях ни когда не пользовались</w:t>
            </w:r>
          </w:p>
        </w:tc>
      </w:tr>
    </w:tbl>
    <w:p w14:paraId="7D6D814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ПРЕДЛОЖЕНИЯ ЛЕТНОГО СОСТАВА И ТЕХНИЧЕСКОГО- ЧАСТЕЙ</w:t>
      </w:r>
    </w:p>
    <w:p w14:paraId="6D062EE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Установить зеркало в кабине для заднего обзора.</w:t>
      </w:r>
    </w:p>
    <w:p w14:paraId="21423C2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Необходимо ставить бронещиток под сиденье, особен</w:t>
      </w:r>
      <w:r w:rsidRPr="00640820">
        <w:rPr>
          <w:rFonts w:ascii="Times New Roman" w:hAnsi="Times New Roman"/>
          <w:color w:val="000000" w:themeColor="text1"/>
          <w:sz w:val="16"/>
          <w:szCs w:val="16"/>
        </w:rPr>
        <w:softHyphen/>
        <w:t>но важно при штурмовках.</w:t>
      </w:r>
    </w:p>
    <w:p w14:paraId="050A246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Желательно установить планшетку для карты.</w:t>
      </w:r>
    </w:p>
    <w:p w14:paraId="7122FF1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Желательно иметь с"емный бронещиток на нижней части водорадиатора (для штурмовок).</w:t>
      </w:r>
    </w:p>
    <w:p w14:paraId="66A0413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Желательно по одному РО с каждой стороны направить назад.</w:t>
      </w:r>
    </w:p>
    <w:p w14:paraId="2CF28F3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Защита кабины от пороховых газов не обязательна.</w:t>
      </w:r>
    </w:p>
    <w:p w14:paraId="706CAEE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Обязательно поставить бронестекло у козырька.</w:t>
      </w:r>
    </w:p>
    <w:p w14:paraId="147DEAA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В комплект - правых консолей давать больше,т.к. большинство ломаются правые консоли.</w:t>
      </w:r>
    </w:p>
    <w:p w14:paraId="3D9F8DF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Сливную пробку у водяной трубы (между куполами шасси) заменить самоварным краном.</w:t>
      </w:r>
    </w:p>
    <w:p w14:paraId="2D16F8C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Необходимо изменить форму спинной брони - развить 5 бок.а, ИЬ над головную часть.</w:t>
      </w:r>
    </w:p>
    <w:p w14:paraId="6552CA4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Сообщение о нижеперечисленных нововведениях на машине летчиками и техниками встречено одобрительно:</w:t>
      </w:r>
    </w:p>
    <w:p w14:paraId="3426D36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предкрылки,</w:t>
      </w:r>
    </w:p>
    <w:p w14:paraId="5089909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Р.С.</w:t>
      </w:r>
    </w:p>
    <w:p w14:paraId="487D50E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Лыжи (1648,42).</w:t>
      </w:r>
    </w:p>
    <w:p w14:paraId="0A9518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4E1EE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ноября 1941 г. по приказу № 1089с ОКБ-31 НКАП гл. конструктора А.С. Москалева, которое было эвакуировано с завода №18 НКАП в Тюменскую обл. на площадку Тюменских ремонтных мастерских НКАП, куда же были эвакуированы из  г. Голицыно Московской обл. Голицынские планерные мастерские ЦС Осоавиахима (перед эвакуацией начавшие освоение выпуска планеров УС-6), были объединены в единый завод № 499 в системе 11ГУ НКАП (Завод № 499 НКАП /пос. Заводоуковск Тюменской обл./). Далее в соответствии с решением правительства и приказом № 1177с от 31.12.1941 г. местом эвакуации завода определен пос. Заводоуковск, где и расположился завод на площадке бывшего зернохранилища и мельницы.</w:t>
      </w:r>
    </w:p>
    <w:p w14:paraId="3A935C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Заводу поручено продолжить выпуск десантных кабин для Ил-4.</w:t>
      </w:r>
    </w:p>
    <w:p w14:paraId="424625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76сс от 26.02.1945 г. завод № 499 в 04.1945 г. был переведен в Ленинград и влит в состав завода № 273 НКАП. С 1946 г. Москалёв перешёл работать в ОКБ Четверикова, а с 1948 г.- на преподавательской работе. Площади в Заводоуковке, часть кадров и оборудования переданы в ведение НК совхозов для организации мотороремонтного предприятия.</w:t>
      </w:r>
    </w:p>
    <w:p w14:paraId="182869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(-05.1942-05.1945 г.-)- А.С. Москалев.</w:t>
      </w:r>
    </w:p>
    <w:p w14:paraId="6159C8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(-05.1942-05.1945 г.-)- А.С. Москалев.</w:t>
      </w:r>
    </w:p>
    <w:p w14:paraId="4C6485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десантные кабины для Ил-4; планеры: тренировочный УС-6 (А-2) (1942-), десантный РФ-8 (А- 7) (-1944), десантный </w:t>
      </w:r>
      <w:r w:rsidRPr="00640820">
        <w:rPr>
          <w:rFonts w:ascii="Times New Roman" w:hAnsi="Times New Roman"/>
          <w:color w:val="000000" w:themeColor="text1"/>
          <w:sz w:val="16"/>
          <w:szCs w:val="16"/>
          <w:lang w:val="en-US"/>
        </w:rPr>
        <w:t>AM</w:t>
      </w:r>
      <w:r w:rsidRPr="00640820">
        <w:rPr>
          <w:rFonts w:ascii="Times New Roman" w:hAnsi="Times New Roman"/>
          <w:color w:val="000000" w:themeColor="text1"/>
          <w:sz w:val="16"/>
          <w:szCs w:val="16"/>
        </w:rPr>
        <w:t>-14 (1944).</w:t>
      </w:r>
    </w:p>
    <w:p w14:paraId="475A1E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завода № 499 НКАП</w:t>
      </w:r>
    </w:p>
    <w:p w14:paraId="674885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Образовано по приказу № 484с от 12.08.1943 г. для проектирования и постройки опытных десантных планеров легкого и среднего классов. Первым заданием было постройка планера на 15 мест и модификация планера А-7. В 1943-45 г. Москалевым разработаны опытные планеры АМ-14 на базе А-7, САМ-23. Работы по десантным планерам САМ-22 (М14-М), САМ-24, САМ-28; проект самолета РМ-1 с ЖРД Душкина (1944-45 г.).</w:t>
      </w:r>
    </w:p>
    <w:p w14:paraId="642515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Новозаимовский механический завод, Тюменский завод сельскохозяйственных машин («Тюменьсельмаш»), Заводоуковский машиностроительный завод (ЗМЗ) Минхиммаша, ОАО «ЗМЗ» /627144  г. Заводоуковск Тюменской обл. ул. Заводская, 1А/</w:t>
      </w:r>
    </w:p>
    <w:p w14:paraId="7DC3DC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1945 г. площади в Заводоуковке, часть кадров и оборудования реэвакуированного завода № 499 НКАП переданы в ведение НК совхозов, и организован мотороремонтный Новозаимовский механический завод. По распоряжению Тюменского СНХ от 3.06.1958 г. он переименован в Тюменский завод сельскохозяйственных машин («Тюменьсельмаш»).</w:t>
      </w:r>
    </w:p>
    <w:p w14:paraId="5DE778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1958-73 г. завод выпуска» передвижные ремонтные мастерские, трактора для буртования торфа, тракторные самосвальные прицепы, сельхозмашины и запчасти для них. До 1992 г. для МО выпускалось до 15 модификаций кузовов-фургонов на атомобильном и прицепном шасси.</w:t>
      </w:r>
    </w:p>
    <w:p w14:paraId="13FB0A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Минхиммаша № 320 от 1.12.1989 г. предприятие переименовано в ЗМЗ.</w:t>
      </w:r>
    </w:p>
    <w:p w14:paraId="20D579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09.1992 г. на базе военного изделия 2603Б налажен выпуск жилых мобильных зданий типа «Кедр». К 2000 г. их выпускалось более 280 модификаций.</w:t>
      </w:r>
    </w:p>
    <w:p w14:paraId="38B5FB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территории (1973 г.)- 29,3 га.</w:t>
      </w:r>
    </w:p>
    <w:p w14:paraId="38873B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(1973 г.)- 1840 чел.</w:t>
      </w:r>
    </w:p>
    <w:p w14:paraId="370E25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кузова-фургоны: на шасси КамАЗ-4310 (1980-е); навесная жатка ЖН-4, зерноочистительная машина ОВВ-20, разбрасыватель удобрений КСА-3, машина для внесения удобрений МХА-7 (1980-е) (11982).</w:t>
      </w:r>
    </w:p>
    <w:p w14:paraId="34CFEC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7B57F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ноября 1941 года По приказу НКАП за № 1091сс завод № 82 был выделен из системы завода № 27 в самостоятельную единицу и директором назначен Дубов.</w:t>
      </w:r>
    </w:p>
    <w:p w14:paraId="78E2A5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площадке после эвакуации завода № 82 была размещена разделочная база № 453, которая работала по использованию металла, трофейных моторов, самолетов и прочей военной техники. База существовала до возвращения завода № 82 из эвакуации. В 1942 году решением от 24 января КО обязал НКАП организовать производство дизельных моторов М-30 на площадях эвакуированного завода № 82 в Тушино, для чего к 1 марта 1942 года должен был вернуться завод № 82 со всем оборудованием.</w:t>
      </w:r>
    </w:p>
    <w:p w14:paraId="29E51D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реэвакуации завода № 82 в Тушино во исполнение Постановления ГОКО от 14 марта 1942 года за № 1440с, приказом НКАП от 16 марта за № 206сс, завод № 82 был ликвидирован с передачей всех кадров и оборудования заводу № 45, а опытные образцы дизеоя М-30, техдокументацию, конструкторские кадры передать в ЦИАМ.</w:t>
      </w:r>
    </w:p>
    <w:p w14:paraId="559976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Постановлением ГОКО от 4 июня 1942 года на площадях бывш. завода № 82 организован опытный завод № 500 по доводке и производству мелких серийных моторов М-30. Завод начал свою деятельность в июне 1942 года. Постановлением ГОКО от 4 июня 1942 года кадры конструкторов, работающие над разными дизелями (КБ Тулупова, группа Яковлева, дизельная группа 4-го спецотдела НКВД) были объединены в одно КБ завода № 500, на которое возлагалась задача быстрейшей доводки мотора М-30. Директором завода был назначен Вовк, гл. конструктором Чаромский. 4 июля 1942 года на основании решения ГОКО и приказа МАП за № 444с на территории бывш. завода № 82 НКАП в Тушино Московской области был организован завод № 500 авиамоторного профиля производства (авиадизелей). В 1943 году по решению Правительства из Ульяновска на завод № 500 был переведен завод № 25 со всем людским составом и оборудованием. По приказу НКАП от 19 марта 1943 года за № 159с заводу № 500 была передана разделочная база завода № 463 (промплощадка № 2). В феврале 1944 года Постановлением ГОКО № 5202с заводу № 500 присоединена территория завода № 10 НК легкой промышленности (территория № 3). В 1944 году директором завода был назначен Петров.</w:t>
      </w:r>
    </w:p>
    <w:p w14:paraId="7B6354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окончании ВОВ производство военной техники значительно сократилось. В 1945 году директором завода был назначен Кононенко. В 1946 году был освоен и изготовлен опытный реактивный двигатель конструкции Душкина. В 1945 году заводом совместно с конструктором Костиным была проведена работа по приспособлению авиадизеля завода для использования на танке ТД-30, которые были успешно опробированы в эксплуатации на Кировском заводе в Ленинграде. В 1947 году директором завода был назначен Чернышев В.В. Основной задачей завода в этот период была подготовка к серийному выпуску реактивного двигателя РД-500. В 1951-1953 гг. основной задачей являлось – выпуск серийных двигателей турбореактивного двигателя ВК-1.</w:t>
      </w:r>
    </w:p>
    <w:p w14:paraId="2CA605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ОКБ-1 на заводе № 500 было организовано в 1942 году согласно приказа НКАП № 444сс от 13 января 1942 года, гл. конструктором которого был Чаромский, затем Яковлев. В 1955 году приказом МАП за № 377сс от 31 мая 1955 года ОКБ-1 было передано заводу № 165 на правах филиала. В 1946 году на основании Постановления СМ от 9 июня 1946 года за № 1499-660сс было организовано ОКБ-2 под руководством гл. конструктора Баландина. Профиль ОКБ-2 – конструирование поршневого мотора М-127. В 1951 году на основании Постановления СМ за № 3022-1420сс от 7 августа 1951 года и приказа МАП № 8120сс от 24 августа 1951 года ОКБ-2 было ликвидировано.</w:t>
      </w:r>
    </w:p>
    <w:p w14:paraId="782775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Тушино. Производственный профиль – авиамоторный (9861).</w:t>
      </w:r>
    </w:p>
    <w:p w14:paraId="1CCDF7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4AF1C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ноября 1941 г. по приказам № 1091с и № 1145сс от 20.11.1941 г. производство авиадизеля М-30 выделено вновь в самостоятельное производство на мощностях бывшего завода № 82 и под тем же номером действовало в Казани, хотя завод № 82 был влит в состав завода № 27.</w:t>
      </w:r>
    </w:p>
    <w:p w14:paraId="6CE307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связи с возобновлением производства М-30 на старой площадке завода в Тушино, в соответствии с пост. ГКО № 1207сс от 24.01.1942 г. и приказом № 74с от 26.01.1942 г. завод № 82 к 03.1942 г. был переведен обратно в Тушино со всем оборудованием и личным составом и должен был выпустить к 1.05.1942 г. серийный мотор М-30. Вскоре по прибытии для обеспечения быстрейшей организации в Москве завода-дублера по производству АМ-38 в соответствии с пост. ГКО № 1440сс от 14.03.1942 г. и приказом № 206сс от 16.03.1942 г. завод № 82 ликвидирован, все оборудование и основная часть личного состава переданы заводу № 45 НКАП. Выпуск М-30 временно приостановлен, а задел по нему передан в ЦИАМ.</w:t>
      </w:r>
    </w:p>
    <w:p w14:paraId="5C9421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239с от 30.03.1942 г. на площадке бывшего завода № 82 образован в системе Главремуправления завод по ремонту моторов «Мерлин» и «Аллисон». Выпуск запчастей к авиамоторам.</w:t>
      </w:r>
    </w:p>
    <w:p w14:paraId="39C5AB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287с от 16.04.1942 г. новый завод получил наименование ГС завод № 453 НКАП при 6ГУ. В соответствии с пост. ГКО от 4.04.1942 г. и приказом № 268с от 10.04.1942 г. на площадке эвакуированного завода № 82 НКАП в Тушино организован филиал ЦИАМ. Затем в соответствии с пост. ГКО № 1866сс от 4.06.1942 г. и приказом № 444сс от 13.06.1942 г. на этом месте организован опытный двигателестроительный завод № 500 8ГУ НКАП.</w:t>
      </w:r>
    </w:p>
    <w:p w14:paraId="6F4D25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Директор (1932-35 г.)- С.Е. Киселев, (1936 г.)-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Войтов, (1937 г.)- А.С. Черняков, (1938-41 г.)- С.Н. Жилин, (1941-42 г.-)- В.Н. Дубов.</w:t>
      </w:r>
      <w:r w:rsidRPr="00640820">
        <w:rPr>
          <w:rFonts w:ascii="Times New Roman" w:hAnsi="Times New Roman"/>
          <w:color w:val="000000" w:themeColor="text1"/>
          <w:sz w:val="16"/>
          <w:szCs w:val="16"/>
          <w:vertAlign w:val="superscript"/>
        </w:rPr>
        <w:t>49</w:t>
      </w:r>
    </w:p>
    <w:p w14:paraId="7D98D1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(конец 1930-х)- А. Г. Таканаев.</w:t>
      </w:r>
    </w:p>
    <w:p w14:paraId="6AA5EE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конструкторы: (1942 г.)- Ф.Я. Тулупов (М-30) (11982).</w:t>
      </w:r>
    </w:p>
    <w:p w14:paraId="7AC04F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EB151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1 ноября 1941 г. на заводе № 166 было 5625 человек. Это, прежде всего, рабо</w:t>
      </w:r>
      <w:r w:rsidRPr="00640820">
        <w:rPr>
          <w:rFonts w:ascii="Times New Roman" w:hAnsi="Times New Roman"/>
          <w:color w:val="000000" w:themeColor="text1"/>
          <w:sz w:val="16"/>
          <w:szCs w:val="16"/>
        </w:rPr>
        <w:softHyphen/>
        <w:t>чие и 2323 ИТР, причем из них 212 человек находились на опытном производстве. Также в этот период завод принял учеников в коли</w:t>
      </w:r>
      <w:r w:rsidRPr="00640820">
        <w:rPr>
          <w:rFonts w:ascii="Times New Roman" w:hAnsi="Times New Roman"/>
          <w:color w:val="000000" w:themeColor="text1"/>
          <w:sz w:val="16"/>
          <w:szCs w:val="16"/>
        </w:rPr>
        <w:softHyphen/>
        <w:t>честве 500 человек. По рабочей силе завод должен был иметь среднеквартальное коли</w:t>
      </w:r>
      <w:r w:rsidRPr="00640820">
        <w:rPr>
          <w:rFonts w:ascii="Times New Roman" w:hAnsi="Times New Roman"/>
          <w:color w:val="000000" w:themeColor="text1"/>
          <w:sz w:val="16"/>
          <w:szCs w:val="16"/>
        </w:rPr>
        <w:softHyphen/>
        <w:t>чество производственных рабочих по основ</w:t>
      </w:r>
      <w:r w:rsidRPr="00640820">
        <w:rPr>
          <w:rFonts w:ascii="Times New Roman" w:hAnsi="Times New Roman"/>
          <w:color w:val="000000" w:themeColor="text1"/>
          <w:sz w:val="16"/>
          <w:szCs w:val="16"/>
        </w:rPr>
        <w:softHyphen/>
        <w:t>ному производству для выполнения програм</w:t>
      </w:r>
      <w:r w:rsidRPr="00640820">
        <w:rPr>
          <w:rFonts w:ascii="Times New Roman" w:hAnsi="Times New Roman"/>
          <w:color w:val="000000" w:themeColor="text1"/>
          <w:sz w:val="16"/>
          <w:szCs w:val="16"/>
        </w:rPr>
        <w:softHyphen/>
        <w:t>мы четвертого квартала 1941 г. – 4150 чел. И вспомогательных рабочих – 3780 чел. Всего необходимо было для успешного выполнения программы – 7930 человек (Демидов, Ю. А. Вклад тюменской промыш</w:t>
      </w:r>
      <w:r w:rsidRPr="00640820">
        <w:rPr>
          <w:rFonts w:ascii="Times New Roman" w:hAnsi="Times New Roman"/>
          <w:color w:val="000000" w:themeColor="text1"/>
          <w:sz w:val="16"/>
          <w:szCs w:val="16"/>
        </w:rPr>
        <w:softHyphen/>
        <w:t>ленности в дело Великой Победы. С. 29.). завод № 81 на момент эвакуации располагал производственными и вспомога</w:t>
      </w:r>
      <w:r w:rsidRPr="00640820">
        <w:rPr>
          <w:rFonts w:ascii="Times New Roman" w:hAnsi="Times New Roman"/>
          <w:color w:val="000000" w:themeColor="text1"/>
          <w:sz w:val="16"/>
          <w:szCs w:val="16"/>
        </w:rPr>
        <w:softHyphen/>
        <w:t>тельными рабочими в количестве 5782 чело</w:t>
      </w:r>
      <w:r w:rsidRPr="00640820">
        <w:rPr>
          <w:rFonts w:ascii="Times New Roman" w:hAnsi="Times New Roman"/>
          <w:color w:val="000000" w:themeColor="text1"/>
          <w:sz w:val="16"/>
          <w:szCs w:val="16"/>
        </w:rPr>
        <w:softHyphen/>
        <w:t>века и инженерно-техническими работника</w:t>
      </w:r>
      <w:r w:rsidRPr="00640820">
        <w:rPr>
          <w:rFonts w:ascii="Times New Roman" w:hAnsi="Times New Roman"/>
          <w:color w:val="000000" w:themeColor="text1"/>
          <w:sz w:val="16"/>
          <w:szCs w:val="16"/>
        </w:rPr>
        <w:softHyphen/>
        <w:t>ми – 1157 чел. Завод № 156 – 2257 человек и инженерно-технических работников – 2354 чел. (11896).</w:t>
      </w:r>
    </w:p>
    <w:p w14:paraId="3380C3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DC8F3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ноября 1941 г. по приказу № 1088сс планировалось влить завод № 445 (Завод № 445 НКСП, НКАП /г. Тушино Московской обл.;  г. Алапаевск Свердловской обл./) в состав завода № 471. Но затем по приказу № 1179с от 31.12.1941 г. завод эвакуирован в Алапаевск на площадку деревообрабатывающего комбината НКЧМ. Здесь в его состав влит завод № 493 НКАП. С начала 1942 г. освоен выпуск десантного планера А-7. Завод № 445 действовал в системе 11 ГУ. Налажено также производство крыльев самолета Ил-2 для завода № 381 НКАП.</w:t>
      </w:r>
    </w:p>
    <w:p w14:paraId="513C78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площадке эвакуированного завода в Тушино образовался филиал завода № 445. Сюда реэвакуирован из Тюмени завод № 464 НКАП и в результате слияния образован единый завод № 464.</w:t>
      </w:r>
    </w:p>
    <w:p w14:paraId="17EF44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ГКО № 3028сс от 12.03.1943 г. и приказом № 174с от 27.03.1943 г. завод № 445 был реэвакуирован в Москву и выбыл из состава действующих. Заводу № 81 НКАП были переданы кадры и оборудование по деревообработке, остальной личный состав, оборудование и материалы переданы заводу № 464 НКАП.</w:t>
      </w:r>
    </w:p>
    <w:p w14:paraId="51208B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(1941-05.1942 г.-)- П.П. Перовский.</w:t>
      </w:r>
    </w:p>
    <w:p w14:paraId="688509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Гл. конструктор (09.1941 г.-)- </w:t>
      </w:r>
      <w:r w:rsidRPr="00640820">
        <w:rPr>
          <w:rFonts w:ascii="Times New Roman" w:hAnsi="Times New Roman"/>
          <w:color w:val="000000" w:themeColor="text1"/>
          <w:sz w:val="16"/>
          <w:szCs w:val="16"/>
          <w:lang w:val="en-US"/>
        </w:rPr>
        <w:t>O</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K</w:t>
      </w:r>
      <w:r w:rsidRPr="00640820">
        <w:rPr>
          <w:rFonts w:ascii="Times New Roman" w:hAnsi="Times New Roman"/>
          <w:color w:val="000000" w:themeColor="text1"/>
          <w:sz w:val="16"/>
          <w:szCs w:val="16"/>
        </w:rPr>
        <w:t>. Антонов.</w:t>
      </w:r>
    </w:p>
    <w:p w14:paraId="52D722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(1942 г.)- В.И. Левков.</w:t>
      </w:r>
    </w:p>
    <w:p w14:paraId="225BCD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ЦКБ-1 гл. конструктора В.И. Левкова НКСП, НКАП</w:t>
      </w:r>
    </w:p>
    <w:p w14:paraId="36F02D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Профессор В.И. Левков начал работы по судам на воздушной подушке (СВП) в 1927 г. в Новочеркасском политехническом институте, затем руководил ОТБ при МАИ. ОТБ имело производственную базу на заводе № 84. В 1938 г. ОКБ базировалось на заводе № 84. Созданы катера: Л-1 (1934 г.); Л-5 (1937 г.), пнв как ТКЛ-1 (торпедный катер Левкова) в 1939 г. и стал первым в мире боевым СВП.</w:t>
      </w:r>
    </w:p>
    <w:p w14:paraId="36FEA1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НКСП от 11.03.1939 г. Левков назначен начальником/ гл. конструктором самостоятельного ЦКБ-1 с производственной базой - заводом № 445 НКСП. Продолжены работы по созданию аппаратов на воздушной подушке и воздушных торпед. Созданы катера: Л-9 (1939 г.), Л-11, Л-13 (1941 г.).</w:t>
      </w:r>
    </w:p>
    <w:p w14:paraId="617348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По приказу № 1179с от 31.12.1941 г. ЦКБ-1 вместе с заводом эвакуировано в Алапаевск на площадку деревообрабатывающего комбината. Левков назначен гл. инженером завода. В 1942-43 г. Левков разработал проект торпедного катера на воздушной подушке, пр. 171. В 01.1944 г. проект был утвержден в НКСП, но дальше работы не пошли.</w:t>
      </w:r>
    </w:p>
    <w:p w14:paraId="1EA101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(11.03.1939-44 г.-)- В.И. Левков {-2.01.1954} (11982).</w:t>
      </w:r>
    </w:p>
    <w:p w14:paraId="21B9FA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6C12D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1 но</w:t>
      </w:r>
      <w:r w:rsidRPr="00640820">
        <w:rPr>
          <w:rFonts w:ascii="Times New Roman" w:hAnsi="Times New Roman"/>
          <w:color w:val="000000" w:themeColor="text1"/>
          <w:sz w:val="16"/>
          <w:szCs w:val="16"/>
        </w:rPr>
        <w:softHyphen/>
        <w:t>ября 1941 завод №19 выпустил уже около 100 серийных моторов М-82 (10686).</w:t>
      </w:r>
    </w:p>
    <w:p w14:paraId="6C08F9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F59C1A1" w14:textId="77777777" w:rsidR="00F83CF9" w:rsidRPr="00640820" w:rsidRDefault="00F83CF9" w:rsidP="00640820">
      <w:pPr>
        <w:pStyle w:val="a3"/>
        <w:rPr>
          <w:color w:val="000000" w:themeColor="text1"/>
          <w:lang w:val="ru-RU"/>
        </w:rPr>
      </w:pPr>
      <w:r w:rsidRPr="00640820">
        <w:rPr>
          <w:color w:val="000000" w:themeColor="text1"/>
          <w:lang w:val="ru-RU"/>
        </w:rPr>
        <w:t>На 1 ноября 1941 завод № 19 выпустил уже около 100 серийных моторов. Однако в ноябре остро встал вопрос об увеличении производства более нужных для фронта штурмовиков Ил-2 и усилению их обороноспособности. В результате 19 ноября 1941 г. вышло постановление ГКО № 916 «О постановке производства самолёта Ил-2 с мотором М-82 на заводе 135» вместо Су-2 и одновременно постановление № 915 «О по</w:t>
      </w:r>
      <w:r w:rsidRPr="00640820">
        <w:rPr>
          <w:color w:val="000000" w:themeColor="text1"/>
          <w:lang w:val="ru-RU"/>
        </w:rPr>
        <w:softHyphen/>
        <w:t>становке моторов М-82 на самолётах ТБ-7, 103, Ил-2 и ДБ-ЗФ» (15788).</w:t>
      </w:r>
    </w:p>
    <w:p w14:paraId="216614A2" w14:textId="77777777" w:rsidR="00F83CF9" w:rsidRPr="00640820" w:rsidRDefault="00F83CF9" w:rsidP="00640820">
      <w:pPr>
        <w:pStyle w:val="a3"/>
        <w:rPr>
          <w:color w:val="000000" w:themeColor="text1"/>
          <w:lang w:val="ru-RU"/>
        </w:rPr>
      </w:pPr>
    </w:p>
    <w:p w14:paraId="643247D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1 ноября 1941 г, на две недели раньше срока, в жес</w:t>
      </w:r>
      <w:r w:rsidRPr="00640820">
        <w:rPr>
          <w:rFonts w:ascii="Times New Roman" w:hAnsi="Times New Roman"/>
          <w:color w:val="000000" w:themeColor="text1"/>
          <w:sz w:val="16"/>
          <w:szCs w:val="16"/>
        </w:rPr>
        <w:softHyphen/>
        <w:t>токие морозы за 4 месяца сдали первую очередь строительства завода № 98. Несмотря на то, что площадку для строительства выбрали еще в 1930 г. при участии Бакаева, к началу войны предстояло выполнить еще большой объем строительно-монтажных работ.В этом же месяце установили эвакуированное оборудова</w:t>
      </w:r>
      <w:r w:rsidRPr="00640820">
        <w:rPr>
          <w:rFonts w:ascii="Times New Roman" w:hAnsi="Times New Roman"/>
          <w:color w:val="000000" w:themeColor="text1"/>
          <w:sz w:val="16"/>
          <w:szCs w:val="16"/>
        </w:rPr>
        <w:softHyphen/>
        <w:t>ние и выдали первую партию РЗ. Перерыв в их изготовлении и центра</w:t>
      </w:r>
      <w:r w:rsidRPr="00640820">
        <w:rPr>
          <w:rFonts w:ascii="Times New Roman" w:hAnsi="Times New Roman"/>
          <w:color w:val="000000" w:themeColor="text1"/>
          <w:sz w:val="16"/>
          <w:szCs w:val="16"/>
        </w:rPr>
        <w:softHyphen/>
        <w:t>лизованных поставках был ликвидирован.</w:t>
      </w:r>
    </w:p>
    <w:p w14:paraId="77FAFDC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Более года это предприятие оставалось единственным в стране круп</w:t>
      </w:r>
      <w:r w:rsidRPr="00640820">
        <w:rPr>
          <w:rFonts w:ascii="Times New Roman" w:hAnsi="Times New Roman"/>
          <w:color w:val="000000" w:themeColor="text1"/>
          <w:sz w:val="16"/>
          <w:szCs w:val="16"/>
        </w:rPr>
        <w:softHyphen/>
        <w:t>ным заводом, выпускающим нитроглицериновые баллиститные пороха. Как и многие другие оборонные предприятия, завод перевели на воен</w:t>
      </w:r>
      <w:r w:rsidRPr="00640820">
        <w:rPr>
          <w:rFonts w:ascii="Times New Roman" w:hAnsi="Times New Roman"/>
          <w:color w:val="000000" w:themeColor="text1"/>
          <w:sz w:val="16"/>
          <w:szCs w:val="16"/>
        </w:rPr>
        <w:softHyphen/>
        <w:t>ное положение. Командирам производства присвоили воинские звания. Порядок и дисциплина на предприятии были образцовыми. Самым трудным в истории завода было лето 1942 г., когда на правительственном уровне потребовали за три месяца увеличить выпуск зарядов для реак</w:t>
      </w:r>
      <w:r w:rsidRPr="00640820">
        <w:rPr>
          <w:rFonts w:ascii="Times New Roman" w:hAnsi="Times New Roman"/>
          <w:color w:val="000000" w:themeColor="text1"/>
          <w:sz w:val="16"/>
          <w:szCs w:val="16"/>
        </w:rPr>
        <w:softHyphen/>
        <w:t xml:space="preserve">тивной и крупнокалиберной артиллерии в несколько раз относительно запланированного. Намеченные темпы работ в мирное время сочли бы фантастикой. Никто из строителей и рабочих в течение двух месяцев не </w:t>
      </w:r>
      <w:r w:rsidRPr="00640820">
        <w:rPr>
          <w:rFonts w:ascii="Times New Roman" w:hAnsi="Times New Roman"/>
          <w:smallCaps/>
          <w:color w:val="000000" w:themeColor="text1"/>
          <w:sz w:val="16"/>
          <w:szCs w:val="16"/>
        </w:rPr>
        <w:t xml:space="preserve">уходил </w:t>
      </w:r>
      <w:r w:rsidRPr="00640820">
        <w:rPr>
          <w:rFonts w:ascii="Times New Roman" w:hAnsi="Times New Roman"/>
          <w:color w:val="000000" w:themeColor="text1"/>
          <w:sz w:val="16"/>
          <w:szCs w:val="16"/>
        </w:rPr>
        <w:t>с работы.</w:t>
      </w:r>
    </w:p>
    <w:p w14:paraId="72E608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1941-1942 гг. из баллиститных порохов вырабатывали преимущест</w:t>
      </w:r>
      <w:r w:rsidRPr="00640820">
        <w:rPr>
          <w:rFonts w:ascii="Times New Roman" w:hAnsi="Times New Roman"/>
          <w:color w:val="000000" w:themeColor="text1"/>
          <w:sz w:val="16"/>
          <w:szCs w:val="16"/>
        </w:rPr>
        <w:softHyphen/>
        <w:t>венно шашки для «катюш». Но пришла новая беда - к середине 1942 г. ис</w:t>
      </w:r>
      <w:r w:rsidRPr="00640820">
        <w:rPr>
          <w:rFonts w:ascii="Times New Roman" w:hAnsi="Times New Roman"/>
          <w:color w:val="000000" w:themeColor="text1"/>
          <w:sz w:val="16"/>
          <w:szCs w:val="16"/>
        </w:rPr>
        <w:softHyphen/>
        <w:t>сякли запасы централита. Дорогомиловский завод в Москве, который его вырабатывал, эвакуировался. На новом месте это производство соз</w:t>
      </w:r>
      <w:r w:rsidRPr="00640820">
        <w:rPr>
          <w:rFonts w:ascii="Times New Roman" w:hAnsi="Times New Roman"/>
          <w:color w:val="000000" w:themeColor="text1"/>
          <w:sz w:val="16"/>
          <w:szCs w:val="16"/>
        </w:rPr>
        <w:softHyphen/>
        <w:t>дать не успели. Возникла идея вводить в качестве стабилизатора химиче</w:t>
      </w:r>
      <w:r w:rsidRPr="00640820">
        <w:rPr>
          <w:rFonts w:ascii="Times New Roman" w:hAnsi="Times New Roman"/>
          <w:color w:val="000000" w:themeColor="text1"/>
          <w:sz w:val="16"/>
          <w:szCs w:val="16"/>
        </w:rPr>
        <w:softHyphen/>
        <w:t>ской стойкости пороха оксид магния. Согласились на аптечном препара</w:t>
      </w:r>
      <w:r w:rsidRPr="00640820">
        <w:rPr>
          <w:rFonts w:ascii="Times New Roman" w:hAnsi="Times New Roman"/>
          <w:color w:val="000000" w:themeColor="text1"/>
          <w:sz w:val="16"/>
          <w:szCs w:val="16"/>
        </w:rPr>
        <w:softHyphen/>
        <w:t>те - жженой магнезии - белоснежной чистой пудре. Попробовали - получилось хорошо и в технологическом смысле, и по показателям химиче</w:t>
      </w:r>
      <w:r w:rsidRPr="00640820">
        <w:rPr>
          <w:rFonts w:ascii="Times New Roman" w:hAnsi="Times New Roman"/>
          <w:color w:val="000000" w:themeColor="text1"/>
          <w:sz w:val="16"/>
          <w:szCs w:val="16"/>
        </w:rPr>
        <w:softHyphen/>
        <w:t>ской стойкости пороха. Однако, скоро не стало и ее.</w:t>
      </w:r>
    </w:p>
    <w:p w14:paraId="7DF1DCF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Проблему решили случайно, благодаря двум рабочим саткинского завода «Магнезит», где вырабатывали оксид магния для изготовления ог</w:t>
      </w:r>
      <w:r w:rsidRPr="00640820">
        <w:rPr>
          <w:rFonts w:ascii="Times New Roman" w:hAnsi="Times New Roman"/>
          <w:color w:val="000000" w:themeColor="text1"/>
          <w:sz w:val="16"/>
          <w:szCs w:val="16"/>
        </w:rPr>
        <w:softHyphen/>
        <w:t>неупорных кирпичей. Рабочие привезли из Сатки несколько мешков ок</w:t>
      </w:r>
      <w:r w:rsidRPr="00640820">
        <w:rPr>
          <w:rFonts w:ascii="Times New Roman" w:hAnsi="Times New Roman"/>
          <w:color w:val="000000" w:themeColor="text1"/>
          <w:sz w:val="16"/>
          <w:szCs w:val="16"/>
        </w:rPr>
        <w:softHyphen/>
        <w:t>сида магния. С первого взгляда на продукт инженеров-пороховиков бро</w:t>
      </w:r>
      <w:r w:rsidRPr="00640820">
        <w:rPr>
          <w:rFonts w:ascii="Times New Roman" w:hAnsi="Times New Roman"/>
          <w:color w:val="000000" w:themeColor="text1"/>
          <w:sz w:val="16"/>
          <w:szCs w:val="16"/>
        </w:rPr>
        <w:softHyphen/>
        <w:t>сило в дрожь - серый, не очень дисперсный порошок содержал до 10% видимых примесей. Теоретически, использовать его в составе пороховой массы - значит обеспечить обилие вспышек на вальцах. Между тем. ос</w:t>
      </w:r>
      <w:r w:rsidRPr="00640820">
        <w:rPr>
          <w:rFonts w:ascii="Times New Roman" w:hAnsi="Times New Roman"/>
          <w:color w:val="000000" w:themeColor="text1"/>
          <w:sz w:val="16"/>
          <w:szCs w:val="16"/>
        </w:rPr>
        <w:softHyphen/>
        <w:t>торожное вальцевание прошло гладко, а химическая стойкость пороха и технологические качества пороховой массы вполне удовлетворяли. ГАУ разрешило использовать такой магнезит. Таким образом, с лета 1942 г. порох рецептуры Н для РС заменили на магниевый порох НМ2 не только на этом заводе, но и на других, которые были заново построены на востоке страны и запушены к этому времени (11402).</w:t>
      </w:r>
    </w:p>
    <w:p w14:paraId="42B7D53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7B69D6"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1 ноября 1941:</w:t>
      </w:r>
    </w:p>
    <w:p w14:paraId="1697FBD4"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обобщённой ведомости Выпуска заводами боевых машин М-13 и М-8 по состоянию на 01.11.1941г. указаны следующие данные:</w:t>
      </w:r>
    </w:p>
    <w:tbl>
      <w:tblPr>
        <w:tblW w:w="5000" w:type="pct"/>
        <w:tblCellSpacing w:w="7"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4813"/>
        <w:gridCol w:w="2096"/>
        <w:gridCol w:w="1461"/>
        <w:gridCol w:w="1519"/>
        <w:gridCol w:w="1433"/>
      </w:tblGrid>
      <w:tr w:rsidR="00643896" w:rsidRPr="00640820" w14:paraId="6A3CC221" w14:textId="77777777" w:rsidTr="00F22E3E">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A4B99F"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D71FF26"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Наименование машин</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29562E59"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Выполнено за период</w:t>
            </w:r>
          </w:p>
        </w:tc>
      </w:tr>
      <w:tr w:rsidR="00643896" w:rsidRPr="00640820" w14:paraId="69A8383F" w14:textId="77777777" w:rsidTr="00F22E3E">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F055DD"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A1ACC04"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1168EF"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01.09.1941г.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3F34422"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сентябрь 1941г.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689A5BF"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октябрь 1941г.</w:t>
            </w:r>
          </w:p>
        </w:tc>
      </w:tr>
      <w:tr w:rsidR="00643896" w:rsidRPr="00640820" w14:paraId="133E814C" w14:textId="77777777" w:rsidTr="00F22E3E">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82BB00"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"Коминтерн"</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CE157"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М-13 на ЗИС-6</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DA7A4"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178</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4FAAC"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165E4"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w:t>
            </w:r>
          </w:p>
        </w:tc>
      </w:tr>
      <w:tr w:rsidR="00643896" w:rsidRPr="00640820" w14:paraId="14BC09FB" w14:textId="77777777" w:rsidTr="00F22E3E">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F2ED31"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5824D91"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М-13 на СТЗ-5</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66234"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25D61"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D508B5"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r>
      <w:tr w:rsidR="00643896" w:rsidRPr="00640820" w14:paraId="62ECA927" w14:textId="77777777" w:rsidTr="00F22E3E">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D7B056"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9949807"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49914A4"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FB9B816"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7FC08"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r>
      <w:tr w:rsidR="00643896" w:rsidRPr="00640820" w14:paraId="7BD10A89" w14:textId="77777777" w:rsidTr="00F22E3E">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222CE3"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Компрессор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620D3A3"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М-13 на ЗИС-6</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3DF85"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2682B9D9"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00208D15"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w:t>
            </w:r>
          </w:p>
        </w:tc>
      </w:tr>
      <w:tr w:rsidR="00643896" w:rsidRPr="00640820" w14:paraId="7E102B5E" w14:textId="77777777" w:rsidTr="00F22E3E">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8E148C"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6FA93"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М-13 на СТЗ-5</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7D0AF"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CDD05F"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F9DA9"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r>
      <w:tr w:rsidR="00643896" w:rsidRPr="00640820" w14:paraId="74851513" w14:textId="77777777" w:rsidTr="00F22E3E">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5CA038"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B73E9"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М-8 на ЗИС-6</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A9D3E"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F2712"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107</w:t>
            </w:r>
          </w:p>
        </w:tc>
        <w:tc>
          <w:tcPr>
            <w:tcW w:w="0" w:type="auto"/>
            <w:tcBorders>
              <w:top w:val="outset" w:sz="6" w:space="0" w:color="auto"/>
              <w:left w:val="outset" w:sz="6" w:space="0" w:color="auto"/>
              <w:bottom w:val="outset" w:sz="6" w:space="0" w:color="auto"/>
              <w:right w:val="outset" w:sz="6" w:space="0" w:color="auto"/>
            </w:tcBorders>
            <w:vAlign w:val="center"/>
            <w:hideMark/>
          </w:tcPr>
          <w:p w14:paraId="145AA553"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tc>
      </w:tr>
      <w:tr w:rsidR="00643896" w:rsidRPr="00640820" w14:paraId="13B65CE6" w14:textId="77777777" w:rsidTr="00F22E3E">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867563"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15217A1"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М-8 на Т-40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14BF6"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ABF95A"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9DB7F"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r>
      <w:tr w:rsidR="00643896" w:rsidRPr="00640820" w14:paraId="64980743" w14:textId="77777777" w:rsidTr="00F22E3E">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169B27"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C4AF877"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ACA25"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9A9E9"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181987"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r>
      <w:tr w:rsidR="00643896" w:rsidRPr="00640820" w14:paraId="5BADF7F5" w14:textId="77777777" w:rsidTr="00F22E3E">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5B9086"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Машиностроительный завод “Красная Пресня” [47]</w:t>
            </w:r>
          </w:p>
        </w:tc>
        <w:tc>
          <w:tcPr>
            <w:tcW w:w="0" w:type="auto"/>
            <w:tcBorders>
              <w:top w:val="outset" w:sz="6" w:space="0" w:color="auto"/>
              <w:left w:val="outset" w:sz="6" w:space="0" w:color="auto"/>
              <w:bottom w:val="outset" w:sz="6" w:space="0" w:color="auto"/>
              <w:right w:val="outset" w:sz="6" w:space="0" w:color="auto"/>
            </w:tcBorders>
            <w:vAlign w:val="center"/>
            <w:hideMark/>
          </w:tcPr>
          <w:p w14:paraId="4EC42FD5"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М-8 на ЗИС-6</w:t>
            </w:r>
          </w:p>
        </w:tc>
        <w:tc>
          <w:tcPr>
            <w:tcW w:w="0" w:type="auto"/>
            <w:tcBorders>
              <w:top w:val="outset" w:sz="6" w:space="0" w:color="auto"/>
              <w:left w:val="outset" w:sz="6" w:space="0" w:color="auto"/>
              <w:bottom w:val="outset" w:sz="6" w:space="0" w:color="auto"/>
              <w:right w:val="outset" w:sz="6" w:space="0" w:color="auto"/>
            </w:tcBorders>
            <w:vAlign w:val="center"/>
            <w:hideMark/>
          </w:tcPr>
          <w:p w14:paraId="576BDF56"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6063C1BA"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BF474"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w:t>
            </w:r>
          </w:p>
        </w:tc>
      </w:tr>
      <w:tr w:rsidR="00643896" w:rsidRPr="00640820" w14:paraId="69874C16" w14:textId="77777777" w:rsidTr="00F22E3E">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0E488C"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1F4D6"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1A5E47"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F9FADE6"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F1DCE"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r>
      <w:tr w:rsidR="00643896" w:rsidRPr="00640820" w14:paraId="3F56DD6C" w14:textId="77777777" w:rsidTr="00F22E3E">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7EE9B2"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Карла Маркса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DD81540"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М-13 на ЗИС-6</w:t>
            </w:r>
          </w:p>
        </w:tc>
        <w:tc>
          <w:tcPr>
            <w:tcW w:w="0" w:type="auto"/>
            <w:tcBorders>
              <w:top w:val="outset" w:sz="6" w:space="0" w:color="auto"/>
              <w:left w:val="outset" w:sz="6" w:space="0" w:color="auto"/>
              <w:bottom w:val="outset" w:sz="6" w:space="0" w:color="auto"/>
              <w:right w:val="outset" w:sz="6" w:space="0" w:color="auto"/>
            </w:tcBorders>
            <w:vAlign w:val="center"/>
            <w:hideMark/>
          </w:tcPr>
          <w:p w14:paraId="75B40BF1"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3B18A3"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2CD0E6"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3D456E2B" w14:textId="77777777" w:rsidTr="00F22E3E">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795839"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43A29F9"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668EFD4"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2C57598"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3D0DC1"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r>
      <w:tr w:rsidR="00643896" w:rsidRPr="00640820" w14:paraId="515E8B79" w14:textId="77777777" w:rsidTr="00F22E3E">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A04548"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Шевченко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E8EB6F2"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М-13 на ЗИС-6</w:t>
            </w:r>
          </w:p>
        </w:tc>
        <w:tc>
          <w:tcPr>
            <w:tcW w:w="0" w:type="auto"/>
            <w:tcBorders>
              <w:top w:val="outset" w:sz="6" w:space="0" w:color="auto"/>
              <w:left w:val="outset" w:sz="6" w:space="0" w:color="auto"/>
              <w:bottom w:val="outset" w:sz="6" w:space="0" w:color="auto"/>
              <w:right w:val="outset" w:sz="6" w:space="0" w:color="auto"/>
            </w:tcBorders>
            <w:vAlign w:val="center"/>
            <w:hideMark/>
          </w:tcPr>
          <w:p w14:paraId="040D28F3"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E8AD40"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044B21DB"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2[48]</w:t>
            </w:r>
          </w:p>
        </w:tc>
      </w:tr>
    </w:tbl>
    <w:p w14:paraId="331994A6"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(15981).</w:t>
      </w:r>
    </w:p>
    <w:p w14:paraId="77686929"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Согласно отечественному послевоенному документу – Справка о среднемесячном производстве боевых машин БМ-13 и БМ-31-12 (датирован 4 июня 1948 года) – было произведено следующее количество установок в 1942-1944 годах [49]:</w:t>
      </w:r>
    </w:p>
    <w:tbl>
      <w:tblPr>
        <w:tblW w:w="5000" w:type="pct"/>
        <w:tblCellSpacing w:w="7"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306"/>
        <w:gridCol w:w="5107"/>
        <w:gridCol w:w="1634"/>
        <w:gridCol w:w="1634"/>
        <w:gridCol w:w="1641"/>
      </w:tblGrid>
      <w:tr w:rsidR="00643896" w:rsidRPr="00640820" w14:paraId="13285251" w14:textId="77777777" w:rsidTr="00F22E3E">
        <w:trPr>
          <w:tblCellSpacing w:w="7"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B974752"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п/п</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59817B0"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Завод</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6D1A15D"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Изготовление установок по годам</w:t>
            </w:r>
          </w:p>
        </w:tc>
      </w:tr>
      <w:tr w:rsidR="00643896" w:rsidRPr="00640820" w14:paraId="75E905F7" w14:textId="77777777" w:rsidTr="00F22E3E">
        <w:trPr>
          <w:tblCellSpacing w:w="7"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CEAA5A0" w14:textId="77777777" w:rsidR="00F83CF9" w:rsidRPr="00640820" w:rsidRDefault="00F83CF9" w:rsidP="00640820">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0E0A772" w14:textId="77777777" w:rsidR="00F83CF9" w:rsidRPr="00640820" w:rsidRDefault="00F83CF9" w:rsidP="00640820">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847C5B"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1942</w:t>
            </w:r>
          </w:p>
        </w:tc>
        <w:tc>
          <w:tcPr>
            <w:tcW w:w="0" w:type="auto"/>
            <w:tcBorders>
              <w:top w:val="outset" w:sz="6" w:space="0" w:color="auto"/>
              <w:left w:val="outset" w:sz="6" w:space="0" w:color="auto"/>
              <w:bottom w:val="outset" w:sz="6" w:space="0" w:color="auto"/>
              <w:right w:val="outset" w:sz="6" w:space="0" w:color="auto"/>
            </w:tcBorders>
            <w:vAlign w:val="center"/>
            <w:hideMark/>
          </w:tcPr>
          <w:p w14:paraId="26A394E3"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1943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C939C88"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1944</w:t>
            </w:r>
          </w:p>
        </w:tc>
      </w:tr>
      <w:tr w:rsidR="00643896" w:rsidRPr="00640820" w14:paraId="3172A701" w14:textId="77777777" w:rsidTr="00F22E3E">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96B89D"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51775"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“Компрессор”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BD1B4BA"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1026</w:t>
            </w:r>
          </w:p>
        </w:tc>
        <w:tc>
          <w:tcPr>
            <w:tcW w:w="0" w:type="auto"/>
            <w:tcBorders>
              <w:top w:val="outset" w:sz="6" w:space="0" w:color="auto"/>
              <w:left w:val="outset" w:sz="6" w:space="0" w:color="auto"/>
              <w:bottom w:val="outset" w:sz="6" w:space="0" w:color="auto"/>
              <w:right w:val="outset" w:sz="6" w:space="0" w:color="auto"/>
            </w:tcBorders>
            <w:vAlign w:val="center"/>
            <w:hideMark/>
          </w:tcPr>
          <w:p w14:paraId="170F1984"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1099</w:t>
            </w:r>
          </w:p>
        </w:tc>
        <w:tc>
          <w:tcPr>
            <w:tcW w:w="0" w:type="auto"/>
            <w:tcBorders>
              <w:top w:val="outset" w:sz="6" w:space="0" w:color="auto"/>
              <w:left w:val="outset" w:sz="6" w:space="0" w:color="auto"/>
              <w:bottom w:val="outset" w:sz="6" w:space="0" w:color="auto"/>
              <w:right w:val="outset" w:sz="6" w:space="0" w:color="auto"/>
            </w:tcBorders>
            <w:vAlign w:val="center"/>
            <w:hideMark/>
          </w:tcPr>
          <w:p w14:paraId="39529D8B"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787</w:t>
            </w:r>
          </w:p>
        </w:tc>
      </w:tr>
      <w:tr w:rsidR="00643896" w:rsidRPr="00640820" w14:paraId="2CFF2DF9" w14:textId="77777777" w:rsidTr="00F22E3E">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7D8C1C"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4D13B"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“Уралэлектроаппарат” (б.№659)</w:t>
            </w:r>
          </w:p>
        </w:tc>
        <w:tc>
          <w:tcPr>
            <w:tcW w:w="0" w:type="auto"/>
            <w:tcBorders>
              <w:top w:val="outset" w:sz="6" w:space="0" w:color="auto"/>
              <w:left w:val="outset" w:sz="6" w:space="0" w:color="auto"/>
              <w:bottom w:val="outset" w:sz="6" w:space="0" w:color="auto"/>
              <w:right w:val="outset" w:sz="6" w:space="0" w:color="auto"/>
            </w:tcBorders>
            <w:vAlign w:val="center"/>
            <w:hideMark/>
          </w:tcPr>
          <w:p w14:paraId="418BB414"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82F78"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704</w:t>
            </w:r>
          </w:p>
        </w:tc>
        <w:tc>
          <w:tcPr>
            <w:tcW w:w="0" w:type="auto"/>
            <w:tcBorders>
              <w:top w:val="outset" w:sz="6" w:space="0" w:color="auto"/>
              <w:left w:val="outset" w:sz="6" w:space="0" w:color="auto"/>
              <w:bottom w:val="outset" w:sz="6" w:space="0" w:color="auto"/>
              <w:right w:val="outset" w:sz="6" w:space="0" w:color="auto"/>
            </w:tcBorders>
            <w:vAlign w:val="center"/>
            <w:hideMark/>
          </w:tcPr>
          <w:p w14:paraId="2E91DE05"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382</w:t>
            </w:r>
          </w:p>
        </w:tc>
      </w:tr>
      <w:tr w:rsidR="00643896" w:rsidRPr="00640820" w14:paraId="6FA27B25" w14:textId="77777777" w:rsidTr="00F22E3E">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938039"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AF196"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Кировский им. 1 Мая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2CA07"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657</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D53C5"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695</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395B1"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466</w:t>
            </w:r>
          </w:p>
        </w:tc>
      </w:tr>
      <w:tr w:rsidR="00643896" w:rsidRPr="00640820" w14:paraId="7A188724" w14:textId="77777777" w:rsidTr="00F22E3E">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5B1E19"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D9E6F0A"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 Колющенко         (б. №701-721)</w:t>
            </w:r>
          </w:p>
        </w:tc>
        <w:tc>
          <w:tcPr>
            <w:tcW w:w="0" w:type="auto"/>
            <w:tcBorders>
              <w:top w:val="outset" w:sz="6" w:space="0" w:color="auto"/>
              <w:left w:val="outset" w:sz="6" w:space="0" w:color="auto"/>
              <w:bottom w:val="outset" w:sz="6" w:space="0" w:color="auto"/>
              <w:right w:val="outset" w:sz="6" w:space="0" w:color="auto"/>
            </w:tcBorders>
            <w:vAlign w:val="center"/>
            <w:hideMark/>
          </w:tcPr>
          <w:p w14:paraId="121690D4"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213</w:t>
            </w:r>
          </w:p>
        </w:tc>
        <w:tc>
          <w:tcPr>
            <w:tcW w:w="0" w:type="auto"/>
            <w:tcBorders>
              <w:top w:val="outset" w:sz="6" w:space="0" w:color="auto"/>
              <w:left w:val="outset" w:sz="6" w:space="0" w:color="auto"/>
              <w:bottom w:val="outset" w:sz="6" w:space="0" w:color="auto"/>
              <w:right w:val="outset" w:sz="6" w:space="0" w:color="auto"/>
            </w:tcBorders>
            <w:vAlign w:val="center"/>
            <w:hideMark/>
          </w:tcPr>
          <w:p w14:paraId="06BEBF5B"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BFAB39"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338</w:t>
            </w:r>
          </w:p>
        </w:tc>
      </w:tr>
    </w:tbl>
    <w:p w14:paraId="1A055D54"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(15981).</w:t>
      </w:r>
    </w:p>
    <w:p w14:paraId="5ADA0CB2" w14:textId="77777777" w:rsidR="00F83CF9" w:rsidRPr="00640820" w:rsidRDefault="00F83CF9" w:rsidP="00640820">
      <w:pPr>
        <w:spacing w:after="0" w:line="240" w:lineRule="auto"/>
        <w:jc w:val="both"/>
        <w:rPr>
          <w:rFonts w:ascii="Times New Roman" w:hAnsi="Times New Roman"/>
          <w:color w:val="000000" w:themeColor="text1"/>
          <w:sz w:val="16"/>
          <w:szCs w:val="16"/>
        </w:rPr>
      </w:pPr>
    </w:p>
    <w:p w14:paraId="7A25F6CE"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1D7A3D7E"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595B9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ноября 1941 г. завод № 320 НКБ (Завод № 320 ИМ. В.И. Чапаева НКБ, п/я 12, Чебоксарское ПО им. В.И. Чапаева ММ, ФГУП «Чебоксарское ПО им. В.И. Чапаева» Росбоеприпаса /пос. Чапаевский,  г. Чебоксары п/я 12 «Стрела» (1943 г.)/ /Чувашия 428006  г. Чебоксары ул. Социалистическая, 1 тел. 69-62-10/) принят Госкомиссией в эксплуатацию. Осенью 1941 г. на площадку завода эвакуирована часть завода № 11 НКБ (снаряжение 26-мм патронов, ЗАБ-100, -500, ФОТАБ; всего 53 ед. оборудования, 239 чел.), к 30.12.1941 г. все оборудование прибыло, часть его смонтирована и введена в строй, к 30.01.1942 г. восстановлено производство по снаряжению 26-мм сигнальных патронов мощностью 15 мл. шт. в год. В конце 1941 г. введена в строй ремонтно-механическая мастерская. В 1942 г. введена в строй 2-я очередь завода.</w:t>
      </w:r>
    </w:p>
    <w:p w14:paraId="0BFE36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Сюда в начале ВОВ при эвакуации перебазировалась часть ОГБ-6 из НИИ-6. Позже ОТБ было переведено с завода № 320 в Сергиев Посад, где преобразовано в НИИ-862. Здесь также в 11.1941 г. по приказу НКБ № 660 от 1.12.1941 г. образован пиротехнический филиал № 1 НИИ-6 (переведена пиротехническая лаборатория института). Филиал действовал по 05.1943 г. Далее- это опять пиротехническая лаборатория НИИ-6.</w:t>
      </w:r>
      <w:r w:rsidRPr="00640820">
        <w:rPr>
          <w:rFonts w:ascii="Times New Roman" w:hAnsi="Times New Roman"/>
          <w:color w:val="000000" w:themeColor="text1"/>
          <w:sz w:val="16"/>
          <w:szCs w:val="16"/>
          <w:vertAlign w:val="superscript"/>
        </w:rPr>
        <w:t>56</w:t>
      </w:r>
    </w:p>
    <w:p w14:paraId="328E87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12.1942-04.1943 г. - в ведении 6ГУ НКБ. Имел обозначение «п/я 12» (1943 г.).</w:t>
      </w:r>
    </w:p>
    <w:p w14:paraId="210086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продолжал строиться в 1943 г. В составе завода основные цехи (1943 г.): № 1, 2, 3. Строились в 1943 г.: ЦЗЛ, ремонтно-механический, инструментальный цехи, электроподстанция. 26.07.1944 г. вышло распоряжение ГКО № 6256 о строительстве складов пиротехнического сырья и ВВ на заводе.</w:t>
      </w:r>
    </w:p>
    <w:p w14:paraId="2C2C38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производственные мощности завода состояли из 15 производственных зданий, котельной, подстанции, складов материалов, комплектующих и готовых изделий. С 1946 г. освоен выпуск специального инструмента для массового выпуска ширпотреба из пластмассы; обувного крема, стеариновых свечей, лаков. Производство (1950-е): пиротехнические изделия (дымовые гранаты, дымовые шашки, осветительные, фотоосветительные, зажигательные и сигнальные изделия); заряды для авиационных боеприпасов.</w:t>
      </w:r>
    </w:p>
    <w:p w14:paraId="376FE2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1958 г. создано СКТБ завода, в 1963 г. - опытная база СКТБ.</w:t>
      </w:r>
    </w:p>
    <w:p w14:paraId="5A4012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1953 г. налажено производство стиральных машин, с 1958 г. - пластмассовых деталей. В 1958 г. в ремонтно- механическом цехе создан участок по изготовлению нестандартного оборудования, далее он преобразован в цех. В 1959 г. производство боеприпасов сократилось, расширено производство гражданской продукции- стиральных машин, фейерверков. Построены также тарный цех и новая мастерская площадью 3500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С 1965 г. освоен выпуск шифера. На базе резервных площадей спецпроизводства, тарного цеха и цеха бумажных гильз создано производство резинотехнических изделий (РТИ), освоен выпуск резиновых игрушек и мячей, бездорновых рукавов. ДалеЬ построен корпус по производству РТИ площадью 6000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xml:space="preserve"> с участками резиновой обуви, цветного литья, ремонта крупногабаритных электродвигателей и цехом нестандартного оборудования. На его базе к 1970 г. создан завод РТИ. К 2000-м  г. завод стал крупнейшим в России по выпуску резиновых мячей.</w:t>
      </w:r>
    </w:p>
    <w:p w14:paraId="6722A7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1969 г. освоен выпуск противоградовых изделий, затем ПО стало головным в России по разработке и производству средств активного воздействия на метеорологические процессы (самолетных пиропатронов, наземных пиротехнических генераторов, аэрозолей, противоградовых ракет). В 11.1970 г. на базе участка по производству пластмассы организовано самостоятельное подразделение, где выпускались полусферы для салютов, детали для противоградовых изделий «Алазань», детали из цветных металлов. В 1970-е  г. в КБ завода разработана первая в стране автоматическая стиральная машина «Волга-10». Организовано КБ по стиральным машинам. В 1970-е  г. ПО являлось одним из градообразующих предприятий Чувашии.</w:t>
      </w:r>
    </w:p>
    <w:p w14:paraId="377DC3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1970-80 г. освоен выпуск более 200 наименований пиротехнических изделий: осветительные парашютные снаряды трех калибров, поколение термостойких изделий, новое поколение ФОТАБ, реактивные осветительные снаряды, зажигательные изделия на основе твердых составов и вязких огнесмесей.</w:t>
      </w:r>
    </w:p>
    <w:p w14:paraId="6EB6B4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заводе созданы проектно-конструкторские бюро, отделы: промышленной электроники, техдокументации, подготовки производства.</w:t>
      </w:r>
    </w:p>
    <w:p w14:paraId="723584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1990-х  г. имелось три производственных направления: основное- пиротехнические изделия военного и гражданского направления; резинотехническое производство- приготовление резиновых смесей, изготовление формовых и неформовых изделий; машиностроение.</w:t>
      </w:r>
    </w:p>
    <w:p w14:paraId="0A30E1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1969 г.- Чебоксарское ПО, в 1976 г. - в ведении ММ. По Указу Президента РФ № 1009 от 4.08.2004 г. вошло в число стратегических оборонных предприятий. Затем на предприятии введено внешнее управление.</w:t>
      </w:r>
    </w:p>
    <w:p w14:paraId="1034C7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(1943 г.): производственная-29172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вспомогательная- 1576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53DDB3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(12.1942 г.)- 2741 чел.</w:t>
      </w:r>
    </w:p>
    <w:p w14:paraId="7B3A67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(1939-42 г.)- Н.С. Шишов, (1942-04.1943 г.-)- И.П. Канатов. Начальник (09.1943 г.)- И.П. Канатов. Директор (-1947 г.)- И.П. Канатов, (1947-70 г.)- И.А. Захарцев, (1970-74 г.)- Н.А. Белоконь, (1974-9В г.)-  Г.И. Хорошев, (1998-2003 г.)- В.И. Пейве. Гендиректор (2003-05 г.-&gt; М.С. Резников.</w:t>
      </w:r>
    </w:p>
    <w:p w14:paraId="0A9D6A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Начальник строительства (09.1938 г.)- Сергеев, (15.10.1938 г.-)- И.П. Кукин. Зам. директора (1941 г.)-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Фурсов; по коммерческим вопросам (1959 г.)- Р. Г. Садриев.</w:t>
      </w:r>
    </w:p>
    <w:p w14:paraId="53F879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Гл. инженер (1939 г.-)- А.Е. Пивоваров, (-1941-04.1943 г.-)- И.А. Челноков, И.М. Токарев, (-1959-73 г.)-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Куприянов, (1973-83 г.)- В.И. Данилов, (1983-98 г.)- В.В. Шалыгин, (199&amp;-2005 г.-)- И.П. Шакиров.</w:t>
      </w:r>
    </w:p>
    <w:p w14:paraId="7E65E5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инженера (1959 г.)- В.П. Совенко.</w:t>
      </w:r>
    </w:p>
    <w:p w14:paraId="2610D7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технолог (1939-41 г.-&gt; И.М. Токарев, (ВОВ)- Н.А. Бильдюкевич. Гл. энергетик (1939 г.)- П.Н. Тараканов. Гл. механик (ВОВ)- М.Н. Жандаров, (1960-е)-  Г.А. Ильенко.</w:t>
      </w:r>
    </w:p>
    <w:p w14:paraId="6F394F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цехов: нестандартного оборудования- К.Д. Данилов; (ВОВ)-  Г.М. Гольдман, (ВОВ)- А.А. Давыдова, (ВОВ)- А.А. Плешаков.</w:t>
      </w:r>
    </w:p>
    <w:p w14:paraId="04BE2D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оборудования (1959 г.)-  Г.М. Правосудов; ПЭО (1939 г.)- Кунаков; мобилизационно- планового (04.1943 г.)- Бахтин. Начальник ЦЗЛ (</w:t>
      </w:r>
      <w:r w:rsidRPr="00640820">
        <w:rPr>
          <w:rFonts w:ascii="Times New Roman" w:hAnsi="Times New Roman"/>
          <w:color w:val="000000" w:themeColor="text1"/>
          <w:sz w:val="16"/>
          <w:szCs w:val="16"/>
          <w:lang w:val="en-US"/>
        </w:rPr>
        <w:t>BOB</w:t>
      </w:r>
      <w:r w:rsidRPr="00640820">
        <w:rPr>
          <w:rFonts w:ascii="Times New Roman" w:hAnsi="Times New Roman"/>
          <w:color w:val="000000" w:themeColor="text1"/>
          <w:sz w:val="16"/>
          <w:szCs w:val="16"/>
        </w:rPr>
        <w:t xml:space="preserve">)-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Дубровская. Начальник ремонтно-механической мастерской (1941 г.-)- А.А. Макаров.</w:t>
      </w:r>
    </w:p>
    <w:p w14:paraId="0EEBD385" w14:textId="77777777" w:rsidR="00F83CF9"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авиабомбы: ЗАБ-ТГ-50, -100-ЦК (-1941-43-), -2,5, -500 (1943); ФОТАБ-35 (1941-43-); САБ- 100-55, САБ-50-15 (1943); ТЗП, ПР-4, ПР-8, сигнальные патроны 26-мм (1943);</w:t>
      </w:r>
      <w:r w:rsidRPr="00640820">
        <w:rPr>
          <w:rFonts w:ascii="Times New Roman" w:hAnsi="Times New Roman"/>
          <w:color w:val="000000" w:themeColor="text1"/>
          <w:sz w:val="16"/>
          <w:szCs w:val="16"/>
          <w:vertAlign w:val="superscript"/>
        </w:rPr>
        <w:t>ш</w:t>
      </w:r>
      <w:r w:rsidRPr="00640820">
        <w:rPr>
          <w:rFonts w:ascii="Times New Roman" w:hAnsi="Times New Roman"/>
          <w:color w:val="000000" w:themeColor="text1"/>
          <w:sz w:val="16"/>
          <w:szCs w:val="16"/>
        </w:rPr>
        <w:t xml:space="preserve"> 45-мм осколочно- трассирующий снаряд (1941-); пороховые заряды (</w:t>
      </w:r>
      <w:r w:rsidRPr="00640820">
        <w:rPr>
          <w:rFonts w:ascii="Times New Roman" w:hAnsi="Times New Roman"/>
          <w:color w:val="000000" w:themeColor="text1"/>
          <w:sz w:val="16"/>
          <w:szCs w:val="16"/>
          <w:lang w:val="en-US"/>
        </w:rPr>
        <w:t>BOB</w:t>
      </w:r>
      <w:r w:rsidRPr="00640820">
        <w:rPr>
          <w:rFonts w:ascii="Times New Roman" w:hAnsi="Times New Roman"/>
          <w:color w:val="000000" w:themeColor="text1"/>
          <w:sz w:val="16"/>
          <w:szCs w:val="16"/>
        </w:rPr>
        <w:t xml:space="preserve">);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 осветительный «Вал», противоградовые ракеты «Алазань», «Кристалл»; авиабомбы, инженерные боеприпасы, фейерверки (2002 г.); стиральные машины «Волга-6 (1955-), -7, -8, -11» (1987-), СМА-10 «Волга-10» (1975-77)- всего 300 тыс.; варочные котлы для пищевой промышленности (1987-).</w:t>
      </w:r>
      <w:r w:rsidRPr="00640820">
        <w:rPr>
          <w:rFonts w:ascii="Times New Roman" w:hAnsi="Times New Roman"/>
          <w:color w:val="000000" w:themeColor="text1"/>
          <w:sz w:val="16"/>
          <w:szCs w:val="16"/>
          <w:vertAlign w:val="superscript"/>
        </w:rPr>
        <w:t>101</w:t>
      </w:r>
    </w:p>
    <w:p w14:paraId="081E3E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ОТБ-320 НКВД</w:t>
      </w:r>
    </w:p>
    <w:p w14:paraId="0B4617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Существовало в 1939 г.</w:t>
      </w:r>
      <w:r w:rsidRPr="00640820">
        <w:rPr>
          <w:rFonts w:ascii="Times New Roman" w:hAnsi="Times New Roman"/>
          <w:color w:val="000000" w:themeColor="text1"/>
          <w:sz w:val="16"/>
          <w:szCs w:val="16"/>
          <w:vertAlign w:val="superscript"/>
        </w:rPr>
        <w:t>3</w:t>
      </w:r>
    </w:p>
    <w:p w14:paraId="1B0640AE" w14:textId="77777777" w:rsidR="00F83CF9"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(1941 г.-)- А.И. Флегонтов.</w:t>
      </w:r>
    </w:p>
    <w:p w14:paraId="59EC12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СКТБ завода № 320</w:t>
      </w:r>
    </w:p>
    <w:p w14:paraId="50A0CA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в 1958 г., в 1963 г. построена опытная база. Основной задачей стала разработка технолога изготовления осваиваемых в серии изделий.</w:t>
      </w:r>
      <w:r w:rsidRPr="00640820">
        <w:rPr>
          <w:rFonts w:ascii="Times New Roman" w:hAnsi="Times New Roman"/>
          <w:color w:val="000000" w:themeColor="text1"/>
          <w:sz w:val="16"/>
          <w:szCs w:val="16"/>
          <w:vertAlign w:val="superscript"/>
        </w:rPr>
        <w:t>101</w:t>
      </w:r>
      <w:r w:rsidRPr="00640820">
        <w:rPr>
          <w:rFonts w:ascii="Times New Roman" w:hAnsi="Times New Roman"/>
          <w:color w:val="000000" w:themeColor="text1"/>
          <w:sz w:val="16"/>
          <w:szCs w:val="16"/>
        </w:rPr>
        <w:t xml:space="preserve"> В составе СКТБ имелись несколько лабораторий и конструкторско-технологических бюро по направлениям, опытно-производственный и испытательный отделы (11982).</w:t>
      </w:r>
    </w:p>
    <w:p w14:paraId="438193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CF63E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Все оставшееся на 1 ноября 1941 г. после эвакуации оборудование и имущество НИИ-6 (НИИ-6 НКОП, НКБ, МСХМ, ММ, МОП, </w:t>
      </w:r>
      <w:r w:rsidRPr="00640820">
        <w:rPr>
          <w:rFonts w:ascii="Times New Roman" w:hAnsi="Times New Roman"/>
          <w:color w:val="000000" w:themeColor="text1"/>
          <w:sz w:val="16"/>
          <w:szCs w:val="16"/>
          <w:lang w:val="en-US"/>
        </w:rPr>
        <w:t>MOM</w:t>
      </w:r>
      <w:r w:rsidRPr="00640820">
        <w:rPr>
          <w:rFonts w:ascii="Times New Roman" w:hAnsi="Times New Roman"/>
          <w:color w:val="000000" w:themeColor="text1"/>
          <w:sz w:val="16"/>
          <w:szCs w:val="16"/>
        </w:rPr>
        <w:t>, ГКОТ, Военно -химический НИИ (ВХНИИ) НКТП, НИИ химических материалов (НИИХМ), ФГУП ГНЦ «ЦНИИ химии и механики» (ЦНИИХМ) Росбоеприпаса /115487 г. Москва ул. Нагатинская, 16Ател. 111-87-13/) было передано заводу № 575 НКБ, расположенному рядом. На заводе работала оперативная группа НИИ-6, организованная 28.10.1941 г., под руководством М.З. Полеванова. В 1942 г. группа преобразована в Московский филиал. Группой велись работы: отработка бронепрожигающих снарядов и мин; разработка гранаты, выстреливаемой из ракетницы, ручной кумулятивной противотанковой гранаты РПГ-6; снаряжение запалов.</w:t>
      </w:r>
    </w:p>
    <w:p w14:paraId="6DC08C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 на базе опытных мастерских НИИ-6 организовали боеприпасное производство, являвшееся филиалом завода № 575. Приказом НКБ № 35 от 26.11.1941 г. оно выделено в самостоятельное предприятие- ГСЗ НИИ № 6. В 04.1942г. ему присвоили название ГСЗ № 562 НКБ. По распоряжению СНК СССР от 21.06.1945г. завод № 562 был ликвидирован, его правопреемником стал НИИ-6, куда были переведены основные кадры.</w:t>
      </w:r>
    </w:p>
    <w:p w14:paraId="0EEA42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после эвакуации был издан приказ об организации филиалов института: филиал № 1 при заводе № 580 (г. Красноярск); филиал № 2 при заводе № 98 (г. Молотов); филиал № 3 при заводе № 635 (г. Новосибирск); филиал № 4 при заводе № 320 (г. Чебоксары). Затем вышел приказ НКБ № 660 от 1.12.1941 г., отменявший предыдущее решение. В соответствии с ним был организован лишь филиал № 1 на заводе № 320. В Кемерово и Чебоксарах НИИ-6 размещался по 05,1943г., затем реэвакуирован на старое место в Москву.</w:t>
      </w:r>
    </w:p>
    <w:p w14:paraId="4C09C8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 руководством М.Я. Васильева в НИИ-6 начаты исследования по противотанковым кумулятивным боеприпасам. В годы войны созданы первые кумулятивные снаряды и гранаты, мощные кумулятивные инженерные боеприпасы, вязкие зажигательные огнесмеси.</w:t>
      </w:r>
    </w:p>
    <w:p w14:paraId="2E6D90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годы войны была решена проблема применения импортных пироксилиновых порохов для отечественных боеприпасов. До конца войны институт был единственным в стране комплексным научно-исследовательским учреждением по порохам, ВВ, пиротехническим и зажигательным средствам, по снаряжению боеприпасов и средств инициирования.</w:t>
      </w:r>
    </w:p>
    <w:p w14:paraId="3C5F83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войны создана лаборатория вязких опнесмесей. В начале 1942г. в НИИ-6 организовано СТБ (специальное техническое бюро) для работ по механизации производства зарядов. В СТБ НИИ-6 разработана конструкция гранатомета ПГ-6 (1944г.) под РПГ-6. В соответствии с пост. ГКО № 4388 от 21.10.1943г. граната РПГ-6 запущена в производство.</w:t>
      </w:r>
    </w:p>
    <w:p w14:paraId="374DB6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годы войны были созданы: заряд для 82-мм миномета из пористого пороха П45 (совместно с заводом № 40); заряды для 107-мм и 120-мм минометов из пороха ВТМ; жидкая взрывчатая смесь КД; способ бездымной стрельбы из торпедных аппаратов ПЛ.</w:t>
      </w:r>
    </w:p>
    <w:p w14:paraId="3B71CC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ВОВ при НИИ-6 создано СКБ по созданию БЧ для УР. Исследования по воздействию осколков на планер самолета.</w:t>
      </w:r>
    </w:p>
    <w:p w14:paraId="17C978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03.1948г. институту поручена отработка РДТТ для снаряда М-24. Для него созданы пороха НС, ФСГ.</w:t>
      </w:r>
    </w:p>
    <w:p w14:paraId="2725BB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ВОВ: снаряжение ВВ для первой атомной бомбы. Работы по снарядам дня зенитной артиллерии.</w:t>
      </w:r>
    </w:p>
    <w:p w14:paraId="6D8CEB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1955г. начаты работы по БЧ для противоракет систем ПРО. В 1960 г. этим занимался отдел А.В. Воронова в составе 3-х лабораторий. В начале 1960-х г. создано два типа БЧ для космического истребителя спутников ИС (К.Н. Шамшев).</w:t>
      </w:r>
    </w:p>
    <w:p w14:paraId="52364D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1950-х г. впервые в отрасли начаты исследования и ОКР в области смесевых твердых ракетных топлив, отработка технологий их переработки в заряды. Создано большое количество пороховых и твердотопливных зарядов для ствольной артиллерии и ракет, в т.ч. С-300. Были созданы и внедрены в отрасли программно-целевые методы прогнозирования развития боеприпасов и средств новой техники.</w:t>
      </w:r>
    </w:p>
    <w:p w14:paraId="0839C6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1949г. НИИ-6 - в ведении МСХМ, в 1956г. - ММ, в 1959г. - ГКОТ, с 1964г. - НИИХМ (химматериалов) ММ, с осени 1969г. - ЦНИИХМ (химии и механики).</w:t>
      </w:r>
    </w:p>
    <w:p w14:paraId="2B6EC8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ГКОТ № 38 от 4.03.1959г. образована отраслевая лаборатория технической безопасности. Затем вошла в состав ЦИК Б.</w:t>
      </w:r>
    </w:p>
    <w:p w14:paraId="541339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СМ № 578-236 от 30.05.1960 г. институту поручена разработка твердотопливного заряда для РСЗО «Град». В соответствии с пост. СМ от 7.07.1967г. велась разработка пороха РСИ-12МП для РСЗО «Град». Пост. СМ от 12.02.1971 г. задана разработка пороха РСИ-МБП для РСЗО «Град».</w:t>
      </w:r>
    </w:p>
    <w:p w14:paraId="0094B6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 316-137 от 4.04.1961 г. институт привлечен к разработке высокоэнергетических смесевых твердых топлив для малогабаритной ракеты с РДТТ.</w:t>
      </w:r>
    </w:p>
    <w:p w14:paraId="643CC1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МОП № 24 от 15.04.1965г. институту поручена разработка заряда для 3-й ступени МБР «Темп- 2С». Принимал участие в программе создания ОК «Буран».</w:t>
      </w:r>
    </w:p>
    <w:p w14:paraId="09DF0B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Институт имел филиал - бывшее СКТБ-80, который в 1965г. преобразован в самостоятельный НИИ-5. По приказу МОП от 23.11.1966г. в составе института образовано ЦНКБ путем слияния конструкторских подразделений НИИ-6 и ВНИИНСМ.</w:t>
      </w:r>
    </w:p>
    <w:p w14:paraId="4CD38E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соответствии с Указом Президента РФ № 939 от 22.06.1993г. и пост. Правительства № 816 от 11.07.1994г. институту присвоен статус ГНЦ РФ. В 2004г.- ФГУП ЦНИИХМ. По Указу Президента РФ № 1009 от 4.08.2004г. вошел в число стратегических оборонных предприятий. Площадь: территории (06.1939г.)- 51,56 га. Численность персонала (06.1939г.)- 1541 чел.</w:t>
      </w:r>
    </w:p>
    <w:p w14:paraId="6B1D59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(1931-33г.)- М.А. Никитин, (1933-36г.)- Зайденберг, (1936-5.01.1938г.)- Я.Л. Березницкий, (5.01.1938-41 г.)- Н.И. Иконников, (14.07.1941-04.1948г.)- А.П. Закощиков, (1948-53г.-)- Т.И. Агафин, (1956г.)-</w:t>
      </w:r>
    </w:p>
    <w:p w14:paraId="600A13CA" w14:textId="77777777" w:rsidR="00165A9C" w:rsidRPr="00640820" w:rsidRDefault="00165A9C" w:rsidP="00640820">
      <w:pPr>
        <w:tabs>
          <w:tab w:val="left" w:pos="452"/>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 А. Сухих, (1962-70 г.)- И.И. Вернидуб, (1970 г.-)- Н.Н. Афонский, (-1984-90-е)- Ю.И. Краснощеков, (-2000-02г.-&gt;</w:t>
      </w:r>
    </w:p>
    <w:p w14:paraId="7DA606D1" w14:textId="77777777" w:rsidR="00165A9C" w:rsidRPr="00640820" w:rsidRDefault="00165A9C" w:rsidP="00640820">
      <w:pPr>
        <w:tabs>
          <w:tab w:val="left" w:pos="438"/>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С. Фокин.</w:t>
      </w:r>
      <w:r w:rsidRPr="00640820">
        <w:rPr>
          <w:rFonts w:ascii="Times New Roman" w:hAnsi="Times New Roman"/>
          <w:color w:val="000000" w:themeColor="text1"/>
          <w:sz w:val="16"/>
          <w:szCs w:val="16"/>
          <w:vertAlign w:val="superscript"/>
        </w:rPr>
        <w:t>69</w:t>
      </w:r>
    </w:p>
    <w:p w14:paraId="656089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директора (1970-84г.)- И.И. Вернидуб.</w:t>
      </w:r>
      <w:r w:rsidRPr="00640820">
        <w:rPr>
          <w:rFonts w:ascii="Times New Roman" w:hAnsi="Times New Roman"/>
          <w:color w:val="000000" w:themeColor="text1"/>
          <w:sz w:val="16"/>
          <w:szCs w:val="16"/>
          <w:vertAlign w:val="superscript"/>
        </w:rPr>
        <w:t>56</w:t>
      </w:r>
      <w:r w:rsidRPr="00640820">
        <w:rPr>
          <w:rFonts w:ascii="Times New Roman" w:hAnsi="Times New Roman"/>
          <w:color w:val="000000" w:themeColor="text1"/>
          <w:sz w:val="16"/>
          <w:szCs w:val="16"/>
        </w:rPr>
        <w:t xml:space="preserve"> Зам. директора: по научной части (1941 г.)- Т.И. Яковлев; по МПВО (1941 г.)- В.А. Салтыков. Помощник директора: по найму и увольнению (1.09.1938г.-)- А.И. Чернов; (1937г.)- Николин.</w:t>
      </w:r>
    </w:p>
    <w:p w14:paraId="4381D3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по порохам (1941 г.)- Т.И. Яковлев, Г.К. Клименко, А.К. Вострухин; по ВВ, снаряжению и пиротехнике- Е.М. Адаскин, В.З. Смоляницкий.</w:t>
      </w:r>
    </w:p>
    <w:p w14:paraId="66AB24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филиалов: № 1 (1941 г.-)- А.А. Иванов, (12.1941 г.-)- Н.Ф. Ус; № 2 (1941 г.-)- И.Г. Лопук; № 3 (1941 г.-)- В.З. Смоляницкий; № 4 (1941 г.-)- А.П. Ионов.</w:t>
      </w:r>
    </w:p>
    <w:p w14:paraId="4E93E0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4-го (1937г.)- Широков; баллистического (20.11.1925г.-)- В.В. Хожев; порохового- В.В. Хожев; ОТК (1941 г.)- В.Г. Раздрогин; (02.1937г.)- Вигский, (1960 г.)- А.В. Воронов. Зам. начальников отделов: порохового- В.В. Хожев; (1960 г.)- В.И. Комков.</w:t>
      </w:r>
    </w:p>
    <w:p w14:paraId="1A2A4B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лабораторий: № 15 (1941 г.)- Н.Ф. Жиров; № 16 (1940 г.)- С.И. Беленький; целлюлозного сырья для порохов (193 8-41 г.)- А.П. Закощиков; кумулятивных боеприпасов (</w:t>
      </w:r>
      <w:r w:rsidRPr="00640820">
        <w:rPr>
          <w:rFonts w:ascii="Times New Roman" w:hAnsi="Times New Roman"/>
          <w:color w:val="000000" w:themeColor="text1"/>
          <w:sz w:val="16"/>
          <w:szCs w:val="16"/>
          <w:lang w:val="en-US"/>
        </w:rPr>
        <w:t>BOB</w:t>
      </w:r>
      <w:r w:rsidRPr="00640820">
        <w:rPr>
          <w:rFonts w:ascii="Times New Roman" w:hAnsi="Times New Roman"/>
          <w:color w:val="000000" w:themeColor="text1"/>
          <w:sz w:val="16"/>
          <w:szCs w:val="16"/>
        </w:rPr>
        <w:t xml:space="preserve">)-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Ломова; вязких огнесмесей (ВОВ)- А.П. Ионов; пороховой- В.В. Хожев; БЧ противоракет (-1960-67г.)- В.И. Комков, (1967г.-)- Ю.Н. Лазинцев; баллиститных порохов (-1934-37г.-)- Б.П. Фомин (порох «Н»); (1941 г.)- Б.П. Жуков, Е.З. Плюшкин, (09.1945г.-)- К.И. Козорезов, (1948г.)- М.П. Дынкин (РДТТ), С.Т. Мудрак (РДТТ), (1960 г.)- Б.М. Богданов, (1960 г.)- Н.И. Попов, (1980 г.)- М.М. Растопшин (противотанковое вооружение).</w:t>
      </w:r>
    </w:p>
    <w:p w14:paraId="639CA3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Научный руководитель лаборатории баллиститных порохов (1934-13.12.1937г.)- А.С. Бакаев (репрессирован). Зам. начальника лаборатории: № 16 (06.1940-41 г.-)- И.И. Вернидуб. Гл. конструкторы: (1955г.-)- А.В. Воронов (БЧ противоракет).</w:t>
      </w:r>
    </w:p>
    <w:p w14:paraId="0B4434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мастерских: противотанковых мин (1941 г.-)- К. Хильмончик; зажигательного состава (1941 г.-)- А.Н. Рабинович; лаборатории № 5 (1941 г.)- Г.К. Клименко; тэна (1941 г.)- Т.А. Вагжанова; корпусов: УФ (1941 г.)- Я.Т. Данишевский. Начальник испытательной станции- В.В. Хожев. Зам. начальника корпуса № 18 (1941 г.)- Е.З. Плюшкин.</w:t>
      </w:r>
    </w:p>
    <w:p w14:paraId="529674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бюро: СТБ (1942г.-)- И.М. Найман; зарядного- В.В. Хожев, (ВОВ)- И.Г. Лопук; СКБ (1940-е)- М.И. Воротвов.</w:t>
      </w:r>
    </w:p>
    <w:p w14:paraId="7111F4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пороха: «Н» (1930-е), НЦ-10, НФ (1938), ПС (пироксилино-селитренный, 1941), ПК (пироксилино- канифолышй, ВОВ); пороховое снаряжение БЧ и шашки двигателей для РС-132, пороховые заряды 9</w:t>
      </w:r>
      <w:r w:rsidRPr="00640820">
        <w:rPr>
          <w:rFonts w:ascii="Times New Roman" w:hAnsi="Times New Roman"/>
          <w:color w:val="000000" w:themeColor="text1"/>
          <w:sz w:val="16"/>
          <w:szCs w:val="16"/>
          <w:lang w:val="en-US"/>
        </w:rPr>
        <w:t>X</w:t>
      </w:r>
      <w:r w:rsidRPr="00640820">
        <w:rPr>
          <w:rFonts w:ascii="Times New Roman" w:hAnsi="Times New Roman"/>
          <w:color w:val="000000" w:themeColor="text1"/>
          <w:sz w:val="16"/>
          <w:szCs w:val="16"/>
        </w:rPr>
        <w:t>111, 9Х111М2 (1972) для НУР М-21-ОФ, заряды для системы динамической защиты танков; зажигательно- трассирующая пуля «ЗТ» для 7,62-мм патрона (1938); разрывные заряды для авиационных снарядов; жидкий зажигательный состав «нефос» (1940), загуститель нафтенат алюминия ОП-2 (1939); БЧ: для Р-112 (1949), для ЗУР «Даль» (1955), 4Г15 для П-15 (1955-60), 4Г48 для П-6 (1959), 4Г70 для П-25 (1961-62), для П-70 «Аметист» (1960), УРВВ, ПТУР; противотанковая кумулятивная граната РПГ-6 (1943).</w:t>
      </w:r>
    </w:p>
    <w:p w14:paraId="58D086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2D28827" w14:textId="77777777" w:rsidR="00165A9C" w:rsidRPr="00640820" w:rsidRDefault="00165A9C" w:rsidP="00640820">
      <w:pPr>
        <w:pStyle w:val="ae"/>
        <w:spacing w:before="0" w:after="0"/>
        <w:jc w:val="both"/>
        <w:rPr>
          <w:color w:val="000000" w:themeColor="text1"/>
          <w:sz w:val="16"/>
          <w:szCs w:val="16"/>
        </w:rPr>
      </w:pPr>
      <w:r w:rsidRPr="00640820">
        <w:rPr>
          <w:color w:val="000000" w:themeColor="text1"/>
          <w:sz w:val="16"/>
          <w:szCs w:val="16"/>
        </w:rPr>
        <w:t>2 ноября 1941 директор Ковровского завода выпустил распоряжение об изготовлении и оборудовании вооружения бронепоезда «Ковровский большевик». Были назначены ответственные исполнители. Монтаж установок проводился под руководством инженеров ОГК Васильева и Лещинского, разработка макета бронепоезда и площадок возлагалась на инженера Чернышева, ответственность за вооружение объектов - на зам.главного конструктора Попова, а ответственным за всю работу был назначен главный инженер КБ-2 Буфов.</w:t>
      </w:r>
    </w:p>
    <w:p w14:paraId="71BE1F06" w14:textId="77777777" w:rsidR="00165A9C" w:rsidRPr="00640820" w:rsidRDefault="00165A9C" w:rsidP="00640820">
      <w:pPr>
        <w:pStyle w:val="ae"/>
        <w:spacing w:before="0" w:after="0"/>
        <w:jc w:val="both"/>
        <w:rPr>
          <w:color w:val="000000" w:themeColor="text1"/>
          <w:sz w:val="16"/>
          <w:szCs w:val="16"/>
        </w:rPr>
      </w:pPr>
      <w:r w:rsidRPr="00640820">
        <w:rPr>
          <w:color w:val="000000" w:themeColor="text1"/>
          <w:sz w:val="16"/>
          <w:szCs w:val="16"/>
        </w:rPr>
        <w:t>Инженер Ивашутин произвел расчет железнодорожных габаритов: насколько можно выдвинуть пушки, поднять зенитные пулеметы.,Для их крепления использовали шаровые установки Шпагина для танков. ШВАКи установили и на морские тумбы, к БС приладили специальные рукоятки. Много труда вложили в эту работу Н.И. Лебедев, В.А. Рожков, В.Ф. Голубев и другие. Бронепоезд «Ковровский большевик» 18 декабря был отправлен в действующую армию.</w:t>
      </w:r>
    </w:p>
    <w:p w14:paraId="25B927BC" w14:textId="77777777" w:rsidR="00165A9C" w:rsidRPr="00640820" w:rsidRDefault="00165A9C" w:rsidP="00640820">
      <w:pPr>
        <w:pStyle w:val="ae"/>
        <w:spacing w:before="0" w:after="0"/>
        <w:jc w:val="both"/>
        <w:rPr>
          <w:color w:val="000000" w:themeColor="text1"/>
          <w:sz w:val="16"/>
          <w:szCs w:val="16"/>
        </w:rPr>
      </w:pPr>
      <w:r w:rsidRPr="00640820">
        <w:rPr>
          <w:color w:val="000000" w:themeColor="text1"/>
          <w:sz w:val="16"/>
          <w:szCs w:val="16"/>
        </w:rPr>
        <w:t>Нарезы стволов скорострельных пушек, автоматов, пулеметов выполнялись одним методом - дорнованием. 0а внедрение этого метода инженер-изобретатель М.С. Лазарев награжден орденом Ленина.</w:t>
      </w:r>
    </w:p>
    <w:p w14:paraId="4B362931" w14:textId="77777777" w:rsidR="00165A9C" w:rsidRPr="00640820" w:rsidRDefault="00165A9C" w:rsidP="00640820">
      <w:pPr>
        <w:pStyle w:val="ae"/>
        <w:spacing w:before="0" w:after="0"/>
        <w:jc w:val="both"/>
        <w:rPr>
          <w:color w:val="000000" w:themeColor="text1"/>
          <w:sz w:val="16"/>
          <w:szCs w:val="16"/>
        </w:rPr>
      </w:pPr>
      <w:r w:rsidRPr="00640820">
        <w:rPr>
          <w:color w:val="000000" w:themeColor="text1"/>
          <w:sz w:val="16"/>
          <w:szCs w:val="16"/>
        </w:rPr>
        <w:t>Г.С. Шпагину за ППШ была присуждена Государственная премия I. степени, ему вручили орден Ленина. </w:t>
      </w:r>
    </w:p>
    <w:p w14:paraId="77D72B18" w14:textId="77777777" w:rsidR="00165A9C" w:rsidRPr="00640820" w:rsidRDefault="00165A9C" w:rsidP="00640820">
      <w:pPr>
        <w:pStyle w:val="ae"/>
        <w:spacing w:before="0" w:after="0"/>
        <w:jc w:val="both"/>
        <w:rPr>
          <w:color w:val="000000" w:themeColor="text1"/>
          <w:sz w:val="16"/>
          <w:szCs w:val="16"/>
        </w:rPr>
      </w:pPr>
      <w:r w:rsidRPr="00640820">
        <w:rPr>
          <w:color w:val="000000" w:themeColor="text1"/>
          <w:sz w:val="16"/>
          <w:szCs w:val="16"/>
        </w:rPr>
        <w:t>Программа 1941 хозяйственного года'была выполнена досрочно. Этому в значительной степени способствовала ударная: работа инструментального производства (12221).</w:t>
      </w:r>
    </w:p>
    <w:p w14:paraId="149D1FF2" w14:textId="77777777" w:rsidR="00165A9C" w:rsidRPr="00640820" w:rsidRDefault="00165A9C" w:rsidP="00640820">
      <w:pPr>
        <w:pStyle w:val="ae"/>
        <w:spacing w:before="0" w:after="0"/>
        <w:jc w:val="both"/>
        <w:rPr>
          <w:color w:val="000000" w:themeColor="text1"/>
          <w:sz w:val="16"/>
          <w:szCs w:val="16"/>
        </w:rPr>
      </w:pPr>
    </w:p>
    <w:p w14:paraId="6ADF53D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1 ноября 1941 г. Первые три серийные уста</w:t>
      </w:r>
      <w:r w:rsidRPr="00640820">
        <w:rPr>
          <w:rFonts w:ascii="Times New Roman" w:hAnsi="Times New Roman"/>
          <w:color w:val="000000" w:themeColor="text1"/>
          <w:sz w:val="16"/>
          <w:szCs w:val="16"/>
        </w:rPr>
        <w:softHyphen/>
        <w:t>новки БМ-8-24 были изготовлены. Всего на базе танка Т-40С было выпущено 44 машины и еще 20 машин - на базе танка Т-60. Боевая установка с успехом принимала участие в боях под Москвой, в Крыму, в боях под Сталинградом, на Северо-Западном и Волховском фронтах в первой половине Великой Отечественной войны. Машина находилась на вооружении гвардейских минометных дивизионов и полков. Машина БМ-8-24 была создана в результате работ по улучшению кучности стрельбы опытной установки БМ-8, созданной на базе малого плавающего танка Т-40, и по разработке 24-зарядной пусковой установ</w:t>
      </w:r>
      <w:r w:rsidRPr="00640820">
        <w:rPr>
          <w:rFonts w:ascii="Times New Roman" w:hAnsi="Times New Roman"/>
          <w:color w:val="000000" w:themeColor="text1"/>
          <w:sz w:val="16"/>
          <w:szCs w:val="16"/>
        </w:rPr>
        <w:softHyphen/>
        <w:t>ки для 82-мм реактивных снарядов. В ходе проведения работ с целью улучшения кучности стрельбы, направляющая типа "Флейта" была за</w:t>
      </w:r>
      <w:r w:rsidRPr="00640820">
        <w:rPr>
          <w:rFonts w:ascii="Times New Roman" w:hAnsi="Times New Roman"/>
          <w:color w:val="000000" w:themeColor="text1"/>
          <w:sz w:val="16"/>
          <w:szCs w:val="16"/>
        </w:rPr>
        <w:softHyphen/>
        <w:t>менена на направляющую типа "Балка" с пиропистолетом для зажига</w:t>
      </w:r>
      <w:r w:rsidRPr="00640820">
        <w:rPr>
          <w:rFonts w:ascii="Times New Roman" w:hAnsi="Times New Roman"/>
          <w:color w:val="000000" w:themeColor="text1"/>
          <w:sz w:val="16"/>
          <w:szCs w:val="16"/>
        </w:rPr>
        <w:softHyphen/>
        <w:t>ния пороховой массы ракетного двигателя пиропатроном через сопло снаряда. Кроме того, была увеличена длина направляющей, что позво</w:t>
      </w:r>
      <w:r w:rsidRPr="00640820">
        <w:rPr>
          <w:rFonts w:ascii="Times New Roman" w:hAnsi="Times New Roman"/>
          <w:color w:val="000000" w:themeColor="text1"/>
          <w:sz w:val="16"/>
          <w:szCs w:val="16"/>
        </w:rPr>
        <w:softHyphen/>
        <w:t>лило повысить скорость снаряда на сходе и тем самым уменьшить рас</w:t>
      </w:r>
      <w:r w:rsidRPr="00640820">
        <w:rPr>
          <w:rFonts w:ascii="Times New Roman" w:hAnsi="Times New Roman"/>
          <w:color w:val="000000" w:themeColor="text1"/>
          <w:sz w:val="16"/>
          <w:szCs w:val="16"/>
        </w:rPr>
        <w:softHyphen/>
        <w:t>сеивание снарядов. После изготовления и испытаний опытных образ</w:t>
      </w:r>
      <w:r w:rsidRPr="00640820">
        <w:rPr>
          <w:rFonts w:ascii="Times New Roman" w:hAnsi="Times New Roman"/>
          <w:color w:val="000000" w:themeColor="text1"/>
          <w:sz w:val="16"/>
          <w:szCs w:val="16"/>
        </w:rPr>
        <w:softHyphen/>
        <w:t>цов боевая установка БМ-8-24 на базе танка Т-40С (Т-60) была приня</w:t>
      </w:r>
      <w:r w:rsidRPr="00640820">
        <w:rPr>
          <w:rFonts w:ascii="Times New Roman" w:hAnsi="Times New Roman"/>
          <w:color w:val="000000" w:themeColor="text1"/>
          <w:sz w:val="16"/>
          <w:szCs w:val="16"/>
        </w:rPr>
        <w:softHyphen/>
        <w:t>та на вооружение под индексом 52-ТР-392. Реактивная установка представляла собой артиллерийскую часть, смонтированную на корпусе танка Т-40С (Т-60) вместо башни. Боевой расчет из двух человек размещался в корпусе танка (10703).</w:t>
      </w:r>
    </w:p>
    <w:p w14:paraId="14A1340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55DC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ноября 1941 года в Чкалове (</w:t>
      </w:r>
      <w:r w:rsidR="00F83CF9" w:rsidRPr="00640820">
        <w:rPr>
          <w:rFonts w:ascii="Times New Roman" w:hAnsi="Times New Roman"/>
          <w:color w:val="000000" w:themeColor="text1"/>
          <w:sz w:val="16"/>
          <w:szCs w:val="16"/>
        </w:rPr>
        <w:t>О</w:t>
      </w:r>
      <w:r w:rsidRPr="00640820">
        <w:rPr>
          <w:rFonts w:ascii="Times New Roman" w:hAnsi="Times New Roman"/>
          <w:color w:val="000000" w:themeColor="text1"/>
          <w:sz w:val="16"/>
          <w:szCs w:val="16"/>
        </w:rPr>
        <w:t>ренбурге) был пущен завод “Автозапчасть” (ныне Оренбургский радиатор) (9686).</w:t>
      </w:r>
    </w:p>
    <w:p w14:paraId="03F3C4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9BC1394" w14:textId="77777777" w:rsidR="00F83CF9" w:rsidRPr="00640820" w:rsidRDefault="00F83CF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Получив 1 ноября 1941 года приказ о строительстве бронепоезда, руководители и специалисты Пермского паровозного депо немедленно приступили к его исполнению, имея под рукой только местные резервы. Под бронепаровоз взяли только что вышедшую из среднего ремонта «овечку», к ней добавили четыре двухосные платформы. Поскольку броневая сталь отсутствовала и взять ее было негде (армии все же в первую очередь нужны были танки), для бронирования паровоза и платформ пустили «сырую», то есть термически не обработанную сталь. Это сразу создало массу проблем. Часть стальных листов сразу испортили сваркой: в местах прихваток с каркасом броня закаливалась и становилась хрупкой, неоднородной со всем листом. После этого решили крепить ее на болты. Но сразу возникла новая проблема: сверла стальные листы не брали, отверстия под болты пришлось вырезать автогеном. Работа в результате затягивалась. Цилиндрическую часть котла, бак тендера, зенитную башню на тендере закрыли броней толщиной </w:t>
      </w:r>
      <w:smartTag w:uri="urn:schemas-microsoft-com:office:smarttags" w:element="metricconverter">
        <w:smartTagPr>
          <w:attr w:name="ProductID" w:val="1945 г"/>
        </w:smartTagPr>
        <w:r w:rsidRPr="00640820">
          <w:rPr>
            <w:rFonts w:ascii="Times New Roman" w:hAnsi="Times New Roman"/>
            <w:color w:val="000000" w:themeColor="text1"/>
            <w:sz w:val="16"/>
            <w:szCs w:val="16"/>
          </w:rPr>
          <w:t>30 мм</w:t>
        </w:r>
      </w:smartTag>
      <w:r w:rsidRPr="00640820">
        <w:rPr>
          <w:rFonts w:ascii="Times New Roman" w:hAnsi="Times New Roman"/>
          <w:color w:val="000000" w:themeColor="text1"/>
          <w:sz w:val="16"/>
          <w:szCs w:val="16"/>
        </w:rPr>
        <w:t>. Бронеплощадки и цилиндрические башни на них покрыли листами 15-мм стали, но в два слоя с воздушной прослойкой 70-</w:t>
      </w:r>
      <w:smartTag w:uri="urn:schemas-microsoft-com:office:smarttags" w:element="metricconverter">
        <w:smartTagPr>
          <w:attr w:name="ProductID" w:val="1945 г"/>
        </w:smartTagPr>
        <w:r w:rsidRPr="00640820">
          <w:rPr>
            <w:rFonts w:ascii="Times New Roman" w:hAnsi="Times New Roman"/>
            <w:color w:val="000000" w:themeColor="text1"/>
            <w:sz w:val="16"/>
            <w:szCs w:val="16"/>
          </w:rPr>
          <w:t>75 мм</w:t>
        </w:r>
      </w:smartTag>
      <w:r w:rsidRPr="00640820">
        <w:rPr>
          <w:rFonts w:ascii="Times New Roman" w:hAnsi="Times New Roman"/>
          <w:color w:val="000000" w:themeColor="text1"/>
          <w:sz w:val="16"/>
          <w:szCs w:val="16"/>
        </w:rPr>
        <w:t>. На потолок бронебашни поставили 20-мм броню, палубу тендера застлали 15-мм листами, командирскую рубку обшили 40-мм сталью, а будку машиниста – 45-мм. Для вооружения строящегося бронепоезда Главное артиллерийское управление РККА, больше озабоченное снабжением фронта, прислало сплошной антиквариат: 4 зенитные пушки образца 1914 года, 16 станковых пулеметов «браунинг» и 4 ручных пулемета ДТ. Станковые пулеметы монтировались по четыре на каждой бронеплощадке; ручные – по одному в шаровых установках на бронебашнях. 2 декабря 1941 года первый уральский бронепоезд «Пермский рабочий» отправился на фронт. За первым бронепоездом «Пермский рабочий» из ворот дело вышли еще два – «Котовский» и «Щорс». Они тоже были покрыты термически необработанной сталью. Из них был сформирован 44-й отдельный дивизион бронепоездов. Позже в его состав решили включить еще один состав – «Чусовской рабочий». В отличие от других он уже имел бронирование из листов закаленной стали. Сначала «Чусовской рабочий» ввели в состав дивизиона вместо «Котовского» и соответственно назвали «Котовским». Затем руководство депо решило, что «Котовский» все-таки удовлетворяет требованиям, и оставило его в дивизионе, исключив «Щорс». «Чусовской рабочий», он же «Котовский», еще раз сменил имя и стал называться «Щорс». У этого уникального в своем роде бронепоезда на борту было три надписи – сверху «Чусовской рабочий», ниже «Котовский», еще ниже – «Щёрс» (через ё). Под последним именем он и отправился на фронт. Стоимость бронепоезда в ценах того времени составила 867 693 рубля. В состав дивизиона бронепоездов были также включены: два четырехосных штабных вагона с кабинетом для командования, помещением для штаба и жилым помещением для комсостава; три вагона-кухни; санитарный вагон, вагон-баня, вагон-клуб и вагон-мастерская. В 1942 году в Пермском депо были построены еще два бронепоезда – «Александр Невский» и «Александр Суворов», составивших 26-й отдельный дивизион. Эти бронепоезда относились к серии типа ОБ-3, производство которых началось в годы войны. В их состав входили четыре однобашенные артиллерийские площадки и площадки ПВО. Такая конструкция обеспечивала большую живучесть, поскольку, если раньше при поражении площадки бронепоезд терял половину своей артиллерии, то теперь только четверть (15218).</w:t>
      </w:r>
    </w:p>
    <w:p w14:paraId="7F47F02D" w14:textId="77777777" w:rsidR="00F83CF9" w:rsidRPr="00640820" w:rsidRDefault="00F83CF9" w:rsidP="00640820">
      <w:pPr>
        <w:spacing w:after="0" w:line="240" w:lineRule="auto"/>
        <w:jc w:val="both"/>
        <w:rPr>
          <w:rFonts w:ascii="Times New Roman" w:hAnsi="Times New Roman"/>
          <w:color w:val="000000" w:themeColor="text1"/>
          <w:sz w:val="16"/>
          <w:szCs w:val="16"/>
        </w:rPr>
      </w:pPr>
    </w:p>
    <w:p w14:paraId="05D5DF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1 ноября 1941 г., по данным только 15 эвакуированных заводов, одного НИИ и трех строительных трестов оборонной промышленности, в Новосибирск прибыло 25843 человека рабочих, служащих и членов их семей (см. табл. 1), тогда как население других учреждений и организаций, эвакуированных в город, составляло всего 5580 человек.</w:t>
      </w:r>
    </w:p>
    <w:p w14:paraId="78E303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Население, прибывшее в Новосибирск в составе эвакуированных оборонных предприятий и организаций, по данным на 1 ноября 1941 г.</w:t>
      </w:r>
      <w:r w:rsidRPr="00640820">
        <w:rPr>
          <w:rFonts w:ascii="Times New Roman" w:hAnsi="Times New Roman"/>
          <w:color w:val="000000" w:themeColor="text1"/>
          <w:sz w:val="16"/>
          <w:szCs w:val="16"/>
          <w:vertAlign w:val="superscript"/>
        </w:rPr>
        <w:t>*</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617"/>
        <w:gridCol w:w="3417"/>
        <w:gridCol w:w="2136"/>
      </w:tblGrid>
      <w:tr w:rsidR="00643896" w:rsidRPr="00640820" w14:paraId="021FB3C8" w14:textId="77777777" w:rsidTr="000D3BCB">
        <w:trPr>
          <w:jc w:val="center"/>
        </w:trPr>
        <w:tc>
          <w:tcPr>
            <w:tcW w:w="4617" w:type="dxa"/>
            <w:tcBorders>
              <w:top w:val="single" w:sz="12" w:space="0" w:color="auto"/>
            </w:tcBorders>
          </w:tcPr>
          <w:p w14:paraId="380470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Название предприятий и организаций</w:t>
            </w:r>
          </w:p>
        </w:tc>
        <w:tc>
          <w:tcPr>
            <w:tcW w:w="3417" w:type="dxa"/>
            <w:tcBorders>
              <w:top w:val="single" w:sz="12" w:space="0" w:color="auto"/>
            </w:tcBorders>
          </w:tcPr>
          <w:p w14:paraId="1D668D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Откуда эвакуированы</w:t>
            </w:r>
          </w:p>
        </w:tc>
        <w:tc>
          <w:tcPr>
            <w:tcW w:w="2136" w:type="dxa"/>
            <w:tcBorders>
              <w:top w:val="single" w:sz="12" w:space="0" w:color="auto"/>
            </w:tcBorders>
          </w:tcPr>
          <w:p w14:paraId="023D3B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Прибыло, чел.</w:t>
            </w:r>
          </w:p>
        </w:tc>
      </w:tr>
      <w:tr w:rsidR="00643896" w:rsidRPr="00640820" w14:paraId="4EF2C096" w14:textId="77777777" w:rsidTr="000D3BCB">
        <w:trPr>
          <w:jc w:val="center"/>
        </w:trPr>
        <w:tc>
          <w:tcPr>
            <w:tcW w:w="4617" w:type="dxa"/>
          </w:tcPr>
          <w:p w14:paraId="1540A7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23 НКАП</w:t>
            </w:r>
          </w:p>
        </w:tc>
        <w:tc>
          <w:tcPr>
            <w:tcW w:w="3417" w:type="dxa"/>
          </w:tcPr>
          <w:p w14:paraId="6C72FB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Ленинград</w:t>
            </w:r>
          </w:p>
        </w:tc>
        <w:tc>
          <w:tcPr>
            <w:tcW w:w="2136" w:type="dxa"/>
          </w:tcPr>
          <w:p w14:paraId="122921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7951</w:t>
            </w:r>
          </w:p>
        </w:tc>
      </w:tr>
      <w:tr w:rsidR="00643896" w:rsidRPr="00640820" w14:paraId="5E985E4A" w14:textId="77777777" w:rsidTr="000D3BCB">
        <w:trPr>
          <w:jc w:val="center"/>
        </w:trPr>
        <w:tc>
          <w:tcPr>
            <w:tcW w:w="4617" w:type="dxa"/>
          </w:tcPr>
          <w:p w14:paraId="51D30A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Завод № 388 НКАП</w:t>
            </w:r>
          </w:p>
        </w:tc>
        <w:tc>
          <w:tcPr>
            <w:tcW w:w="3417" w:type="dxa"/>
          </w:tcPr>
          <w:p w14:paraId="284183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 ?</w:t>
            </w:r>
          </w:p>
        </w:tc>
        <w:tc>
          <w:tcPr>
            <w:tcW w:w="2136" w:type="dxa"/>
          </w:tcPr>
          <w:p w14:paraId="746841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1195</w:t>
            </w:r>
          </w:p>
        </w:tc>
      </w:tr>
      <w:tr w:rsidR="00643896" w:rsidRPr="00640820" w14:paraId="7F2E8CCE" w14:textId="77777777" w:rsidTr="000D3BCB">
        <w:trPr>
          <w:jc w:val="center"/>
        </w:trPr>
        <w:tc>
          <w:tcPr>
            <w:tcW w:w="4617" w:type="dxa"/>
          </w:tcPr>
          <w:p w14:paraId="166637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350 НКВ</w:t>
            </w:r>
          </w:p>
        </w:tc>
        <w:tc>
          <w:tcPr>
            <w:tcW w:w="3417" w:type="dxa"/>
          </w:tcPr>
          <w:p w14:paraId="6A5C51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 ?</w:t>
            </w:r>
          </w:p>
        </w:tc>
        <w:tc>
          <w:tcPr>
            <w:tcW w:w="2136" w:type="dxa"/>
          </w:tcPr>
          <w:p w14:paraId="729CA9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2467</w:t>
            </w:r>
          </w:p>
        </w:tc>
      </w:tr>
      <w:tr w:rsidR="00643896" w:rsidRPr="00640820" w14:paraId="478D5A41" w14:textId="77777777" w:rsidTr="000D3BCB">
        <w:trPr>
          <w:jc w:val="center"/>
        </w:trPr>
        <w:tc>
          <w:tcPr>
            <w:tcW w:w="4617" w:type="dxa"/>
          </w:tcPr>
          <w:p w14:paraId="37DCBA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208 НКЭП</w:t>
            </w:r>
          </w:p>
        </w:tc>
        <w:tc>
          <w:tcPr>
            <w:tcW w:w="3417" w:type="dxa"/>
          </w:tcPr>
          <w:p w14:paraId="29DDC1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 ?</w:t>
            </w:r>
          </w:p>
        </w:tc>
        <w:tc>
          <w:tcPr>
            <w:tcW w:w="2136" w:type="dxa"/>
          </w:tcPr>
          <w:p w14:paraId="3B65B2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1991</w:t>
            </w:r>
          </w:p>
        </w:tc>
      </w:tr>
      <w:tr w:rsidR="00643896" w:rsidRPr="00640820" w14:paraId="221C4075" w14:textId="77777777" w:rsidTr="000D3BCB">
        <w:trPr>
          <w:jc w:val="center"/>
        </w:trPr>
        <w:tc>
          <w:tcPr>
            <w:tcW w:w="4617" w:type="dxa"/>
          </w:tcPr>
          <w:p w14:paraId="14CC3F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211 НКЭП</w:t>
            </w:r>
          </w:p>
        </w:tc>
        <w:tc>
          <w:tcPr>
            <w:tcW w:w="3417" w:type="dxa"/>
          </w:tcPr>
          <w:p w14:paraId="7AB229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 ?</w:t>
            </w:r>
          </w:p>
        </w:tc>
        <w:tc>
          <w:tcPr>
            <w:tcW w:w="2136" w:type="dxa"/>
          </w:tcPr>
          <w:p w14:paraId="1FF8AD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976</w:t>
            </w:r>
          </w:p>
        </w:tc>
      </w:tr>
      <w:tr w:rsidR="00643896" w:rsidRPr="00640820" w14:paraId="0B9931BD" w14:textId="77777777" w:rsidTr="000D3BCB">
        <w:trPr>
          <w:jc w:val="center"/>
        </w:trPr>
        <w:tc>
          <w:tcPr>
            <w:tcW w:w="4617" w:type="dxa"/>
          </w:tcPr>
          <w:p w14:paraId="30E17C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 Воскова НКТП</w:t>
            </w:r>
          </w:p>
        </w:tc>
        <w:tc>
          <w:tcPr>
            <w:tcW w:w="3417" w:type="dxa"/>
          </w:tcPr>
          <w:p w14:paraId="557DBC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 ?</w:t>
            </w:r>
          </w:p>
        </w:tc>
        <w:tc>
          <w:tcPr>
            <w:tcW w:w="2136" w:type="dxa"/>
          </w:tcPr>
          <w:p w14:paraId="53B2C0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1433</w:t>
            </w:r>
          </w:p>
        </w:tc>
      </w:tr>
      <w:tr w:rsidR="00643896" w:rsidRPr="00640820" w14:paraId="5BDE3C26" w14:textId="77777777" w:rsidTr="000D3BCB">
        <w:trPr>
          <w:jc w:val="center"/>
        </w:trPr>
        <w:tc>
          <w:tcPr>
            <w:tcW w:w="4617" w:type="dxa"/>
          </w:tcPr>
          <w:p w14:paraId="0F15C4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43 НКАП</w:t>
            </w:r>
          </w:p>
        </w:tc>
        <w:tc>
          <w:tcPr>
            <w:tcW w:w="3417" w:type="dxa"/>
          </w:tcPr>
          <w:p w14:paraId="5126F0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Киев</w:t>
            </w:r>
          </w:p>
        </w:tc>
        <w:tc>
          <w:tcPr>
            <w:tcW w:w="2136" w:type="dxa"/>
          </w:tcPr>
          <w:p w14:paraId="5DDF55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3747</w:t>
            </w:r>
          </w:p>
        </w:tc>
      </w:tr>
      <w:tr w:rsidR="00643896" w:rsidRPr="00640820" w14:paraId="6893CDFD" w14:textId="77777777" w:rsidTr="000D3BCB">
        <w:trPr>
          <w:jc w:val="center"/>
        </w:trPr>
        <w:tc>
          <w:tcPr>
            <w:tcW w:w="4617" w:type="dxa"/>
          </w:tcPr>
          <w:p w14:paraId="77B665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Трест № 19 НКАП</w:t>
            </w:r>
          </w:p>
        </w:tc>
        <w:tc>
          <w:tcPr>
            <w:tcW w:w="3417" w:type="dxa"/>
          </w:tcPr>
          <w:p w14:paraId="2B4FAF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c>
          <w:tcPr>
            <w:tcW w:w="2136" w:type="dxa"/>
          </w:tcPr>
          <w:p w14:paraId="2B0B38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516</w:t>
            </w:r>
          </w:p>
        </w:tc>
      </w:tr>
      <w:tr w:rsidR="00643896" w:rsidRPr="00640820" w14:paraId="74CD7514" w14:textId="77777777" w:rsidTr="000D3BCB">
        <w:trPr>
          <w:jc w:val="center"/>
        </w:trPr>
        <w:tc>
          <w:tcPr>
            <w:tcW w:w="4617" w:type="dxa"/>
          </w:tcPr>
          <w:p w14:paraId="095240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171 НКЦМ</w:t>
            </w:r>
          </w:p>
        </w:tc>
        <w:tc>
          <w:tcPr>
            <w:tcW w:w="3417" w:type="dxa"/>
          </w:tcPr>
          <w:p w14:paraId="337B5D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 ?</w:t>
            </w:r>
          </w:p>
        </w:tc>
        <w:tc>
          <w:tcPr>
            <w:tcW w:w="2136" w:type="dxa"/>
          </w:tcPr>
          <w:p w14:paraId="1EB3DA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577</w:t>
            </w:r>
          </w:p>
        </w:tc>
      </w:tr>
      <w:tr w:rsidR="00643896" w:rsidRPr="00640820" w14:paraId="1FA53F5C" w14:textId="77777777" w:rsidTr="000D3BCB">
        <w:trPr>
          <w:jc w:val="center"/>
        </w:trPr>
        <w:tc>
          <w:tcPr>
            <w:tcW w:w="4617" w:type="dxa"/>
          </w:tcPr>
          <w:p w14:paraId="091189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ЦАГИ НКАП</w:t>
            </w:r>
          </w:p>
        </w:tc>
        <w:tc>
          <w:tcPr>
            <w:tcW w:w="3417" w:type="dxa"/>
          </w:tcPr>
          <w:p w14:paraId="00C7BE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 ?</w:t>
            </w:r>
          </w:p>
        </w:tc>
        <w:tc>
          <w:tcPr>
            <w:tcW w:w="2136" w:type="dxa"/>
          </w:tcPr>
          <w:p w14:paraId="09DDDE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790</w:t>
            </w:r>
          </w:p>
        </w:tc>
      </w:tr>
      <w:tr w:rsidR="00643896" w:rsidRPr="00640820" w14:paraId="2B75F193" w14:textId="77777777" w:rsidTr="000D3BCB">
        <w:trPr>
          <w:jc w:val="center"/>
        </w:trPr>
        <w:tc>
          <w:tcPr>
            <w:tcW w:w="4617" w:type="dxa"/>
          </w:tcPr>
          <w:p w14:paraId="217C6B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Трест № 26 НКБ</w:t>
            </w:r>
          </w:p>
        </w:tc>
        <w:tc>
          <w:tcPr>
            <w:tcW w:w="3417" w:type="dxa"/>
          </w:tcPr>
          <w:p w14:paraId="3D2868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Харьков</w:t>
            </w:r>
          </w:p>
        </w:tc>
        <w:tc>
          <w:tcPr>
            <w:tcW w:w="2136" w:type="dxa"/>
          </w:tcPr>
          <w:p w14:paraId="5247E7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186</w:t>
            </w:r>
          </w:p>
        </w:tc>
      </w:tr>
      <w:tr w:rsidR="00643896" w:rsidRPr="00640820" w14:paraId="2122C285" w14:textId="77777777" w:rsidTr="000D3BCB">
        <w:trPr>
          <w:jc w:val="center"/>
        </w:trPr>
        <w:tc>
          <w:tcPr>
            <w:tcW w:w="4617" w:type="dxa"/>
          </w:tcPr>
          <w:p w14:paraId="66C150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Трест Союзстанкострой</w:t>
            </w:r>
          </w:p>
        </w:tc>
        <w:tc>
          <w:tcPr>
            <w:tcW w:w="3417" w:type="dxa"/>
          </w:tcPr>
          <w:p w14:paraId="213CC5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 ?</w:t>
            </w:r>
          </w:p>
        </w:tc>
        <w:tc>
          <w:tcPr>
            <w:tcW w:w="2136" w:type="dxa"/>
          </w:tcPr>
          <w:p w14:paraId="336E14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290</w:t>
            </w:r>
          </w:p>
        </w:tc>
      </w:tr>
      <w:tr w:rsidR="00643896" w:rsidRPr="00640820" w14:paraId="6993DCF1" w14:textId="77777777" w:rsidTr="000D3BCB">
        <w:trPr>
          <w:jc w:val="center"/>
        </w:trPr>
        <w:tc>
          <w:tcPr>
            <w:tcW w:w="4617" w:type="dxa"/>
          </w:tcPr>
          <w:p w14:paraId="4D8D1B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55 НКБ</w:t>
            </w:r>
          </w:p>
        </w:tc>
        <w:tc>
          <w:tcPr>
            <w:tcW w:w="3417" w:type="dxa"/>
          </w:tcPr>
          <w:p w14:paraId="39590D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Павлоград</w:t>
            </w:r>
          </w:p>
        </w:tc>
        <w:tc>
          <w:tcPr>
            <w:tcW w:w="2136" w:type="dxa"/>
          </w:tcPr>
          <w:p w14:paraId="2865EF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373</w:t>
            </w:r>
          </w:p>
        </w:tc>
      </w:tr>
      <w:tr w:rsidR="00643896" w:rsidRPr="00640820" w14:paraId="5219B2BF" w14:textId="77777777" w:rsidTr="000D3BCB">
        <w:trPr>
          <w:jc w:val="center"/>
        </w:trPr>
        <w:tc>
          <w:tcPr>
            <w:tcW w:w="4617" w:type="dxa"/>
          </w:tcPr>
          <w:p w14:paraId="688FF1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188 НКВ</w:t>
            </w:r>
          </w:p>
        </w:tc>
        <w:tc>
          <w:tcPr>
            <w:tcW w:w="3417" w:type="dxa"/>
          </w:tcPr>
          <w:p w14:paraId="752FAC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c>
          <w:tcPr>
            <w:tcW w:w="2136" w:type="dxa"/>
          </w:tcPr>
          <w:p w14:paraId="4100AD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540</w:t>
            </w:r>
          </w:p>
        </w:tc>
      </w:tr>
      <w:tr w:rsidR="00643896" w:rsidRPr="00640820" w14:paraId="310D8586" w14:textId="77777777" w:rsidTr="000D3BCB">
        <w:trPr>
          <w:jc w:val="center"/>
        </w:trPr>
        <w:tc>
          <w:tcPr>
            <w:tcW w:w="4617" w:type="dxa"/>
          </w:tcPr>
          <w:p w14:paraId="3EEB38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301 НКАП</w:t>
            </w:r>
          </w:p>
        </w:tc>
        <w:tc>
          <w:tcPr>
            <w:tcW w:w="3417" w:type="dxa"/>
          </w:tcPr>
          <w:p w14:paraId="60E674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 ?</w:t>
            </w:r>
          </w:p>
        </w:tc>
        <w:tc>
          <w:tcPr>
            <w:tcW w:w="2136" w:type="dxa"/>
          </w:tcPr>
          <w:p w14:paraId="041EEA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1462</w:t>
            </w:r>
          </w:p>
        </w:tc>
      </w:tr>
      <w:tr w:rsidR="00643896" w:rsidRPr="00640820" w14:paraId="0A8F5A1F" w14:textId="77777777" w:rsidTr="000D3BCB">
        <w:trPr>
          <w:jc w:val="center"/>
        </w:trPr>
        <w:tc>
          <w:tcPr>
            <w:tcW w:w="4617" w:type="dxa"/>
          </w:tcPr>
          <w:p w14:paraId="6EC82B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69 им. Ленина НКВ</w:t>
            </w:r>
          </w:p>
        </w:tc>
        <w:tc>
          <w:tcPr>
            <w:tcW w:w="3417" w:type="dxa"/>
          </w:tcPr>
          <w:p w14:paraId="102EA6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Красногорск Московской области</w:t>
            </w:r>
          </w:p>
        </w:tc>
        <w:tc>
          <w:tcPr>
            <w:tcW w:w="2136" w:type="dxa"/>
          </w:tcPr>
          <w:p w14:paraId="68A485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118</w:t>
            </w:r>
          </w:p>
        </w:tc>
      </w:tr>
      <w:tr w:rsidR="00643896" w:rsidRPr="00640820" w14:paraId="1E45A310" w14:textId="77777777" w:rsidTr="000D3BCB">
        <w:trPr>
          <w:jc w:val="center"/>
        </w:trPr>
        <w:tc>
          <w:tcPr>
            <w:tcW w:w="4617" w:type="dxa"/>
          </w:tcPr>
          <w:p w14:paraId="38811A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512 НКБ</w:t>
            </w:r>
          </w:p>
        </w:tc>
        <w:tc>
          <w:tcPr>
            <w:tcW w:w="3417" w:type="dxa"/>
          </w:tcPr>
          <w:p w14:paraId="4BD5EB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c>
          <w:tcPr>
            <w:tcW w:w="2136" w:type="dxa"/>
          </w:tcPr>
          <w:p w14:paraId="68BFB9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269</w:t>
            </w:r>
          </w:p>
        </w:tc>
      </w:tr>
      <w:tr w:rsidR="00643896" w:rsidRPr="00640820" w14:paraId="58F38825" w14:textId="77777777" w:rsidTr="000D3BCB">
        <w:trPr>
          <w:jc w:val="center"/>
        </w:trPr>
        <w:tc>
          <w:tcPr>
            <w:tcW w:w="4617" w:type="dxa"/>
          </w:tcPr>
          <w:p w14:paraId="708D6C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"Электросигнал" НКЭП</w:t>
            </w:r>
          </w:p>
        </w:tc>
        <w:tc>
          <w:tcPr>
            <w:tcW w:w="3417" w:type="dxa"/>
          </w:tcPr>
          <w:p w14:paraId="7C7588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Воронеж</w:t>
            </w:r>
          </w:p>
        </w:tc>
        <w:tc>
          <w:tcPr>
            <w:tcW w:w="2136" w:type="dxa"/>
          </w:tcPr>
          <w:p w14:paraId="440A44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486</w:t>
            </w:r>
          </w:p>
        </w:tc>
      </w:tr>
      <w:tr w:rsidR="00643896" w:rsidRPr="00640820" w14:paraId="33975E65" w14:textId="77777777" w:rsidTr="000D3BCB">
        <w:trPr>
          <w:jc w:val="center"/>
        </w:trPr>
        <w:tc>
          <w:tcPr>
            <w:tcW w:w="4617" w:type="dxa"/>
          </w:tcPr>
          <w:p w14:paraId="11BAC7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513 НКБ</w:t>
            </w:r>
          </w:p>
        </w:tc>
        <w:tc>
          <w:tcPr>
            <w:tcW w:w="3417" w:type="dxa"/>
          </w:tcPr>
          <w:p w14:paraId="4584BE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Ростов-на-Дону</w:t>
            </w:r>
          </w:p>
        </w:tc>
        <w:tc>
          <w:tcPr>
            <w:tcW w:w="2136" w:type="dxa"/>
          </w:tcPr>
          <w:p w14:paraId="109808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476</w:t>
            </w:r>
          </w:p>
        </w:tc>
      </w:tr>
      <w:tr w:rsidR="00643896" w:rsidRPr="00640820" w14:paraId="0BE5393D" w14:textId="77777777" w:rsidTr="000D3BCB">
        <w:trPr>
          <w:jc w:val="center"/>
        </w:trPr>
        <w:tc>
          <w:tcPr>
            <w:tcW w:w="4617" w:type="dxa"/>
            <w:tcBorders>
              <w:bottom w:val="single" w:sz="12" w:space="0" w:color="auto"/>
            </w:tcBorders>
          </w:tcPr>
          <w:p w14:paraId="510D17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Итого </w:t>
            </w:r>
          </w:p>
        </w:tc>
        <w:tc>
          <w:tcPr>
            <w:tcW w:w="3417" w:type="dxa"/>
            <w:tcBorders>
              <w:bottom w:val="single" w:sz="12" w:space="0" w:color="auto"/>
            </w:tcBorders>
          </w:tcPr>
          <w:p w14:paraId="7E3AC0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36" w:type="dxa"/>
            <w:tcBorders>
              <w:bottom w:val="single" w:sz="12" w:space="0" w:color="auto"/>
            </w:tcBorders>
          </w:tcPr>
          <w:p w14:paraId="2F05C8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25843</w:t>
            </w:r>
          </w:p>
        </w:tc>
      </w:tr>
    </w:tbl>
    <w:p w14:paraId="73D180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(9932)</w:t>
      </w:r>
    </w:p>
    <w:p w14:paraId="4732D03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6B0F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ноября 1941 г. Об организации и проведении Сталинских вахт по управлению Норильским комбинатом и лагерем</w:t>
      </w:r>
    </w:p>
    <w:p w14:paraId="3D5081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постановления собрания партийной организации Управления Норильского комбината</w:t>
      </w:r>
    </w:p>
    <w:p w14:paraId="54794E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Норильск 1 ноября 1941 г.</w:t>
      </w:r>
    </w:p>
    <w:p w14:paraId="4CD00C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обстановке Великой Отечественной войны советского народа против своего злейшего врага – германского фашизма, несущего смерть, порабощение и неисчислимые страдания для народов Советского Союза, в условиях грозной опасности, нависшей над нашей страной, когда враг угрожает сердцу нашей родины – Москве, празднование 24-й годовщины Великой Октябрьской Социалистической Революции в СССР будет проходить под лозунгом еще большей мобилизации всех сил и энергии советского народа на всемерную помощь фронту, на нанесение сокрушительного удара по кровавым полчищам фашистских людоедов.</w:t>
      </w:r>
    </w:p>
    <w:p w14:paraId="647E32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этой обстановке, дни Октябрьских торжеств должны быть днями самой напряженной, самой высокопроизводительной работы всех трудящихся Советского Союза.</w:t>
      </w:r>
    </w:p>
    <w:p w14:paraId="5852D2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Каждый трудящийся, где бы он не работал, должен быть готовым до конца защищать свою Родину, конкретными, практическими делами помогать фронту, Красной Армии, общими усилиями громить и уничтожать врага.</w:t>
      </w:r>
    </w:p>
    <w:p w14:paraId="7C5D62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целях наилучшей организации и проведения Сталинских вахт в дни 7 и 8 ноября 1941 г., партийное собрание постановляет:</w:t>
      </w:r>
    </w:p>
    <w:p w14:paraId="2596AA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Сотрудники Управления комбината и лагеря, должны все один в дни 7, 8, 9 ноября с.г. вступить на Сталинские вахты и, как никогда, в эти дни показать образцы своей работы и сплоченности вокруг Коммунистической партии большевиков.</w:t>
      </w:r>
    </w:p>
    <w:p w14:paraId="20213A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Провести отчисление двухдневного заработка в Фонд Обороны.</w:t>
      </w:r>
    </w:p>
    <w:p w14:paraId="35D2F2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Отработанные дни 7, 8 и 9 ноября, на Сталинских вахтах не включать в табель работы.</w:t>
      </w:r>
    </w:p>
    <w:p w14:paraId="78B890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3/ХI-[19]41 г. провести митинги по отделам, с обсуждением на них вопросов об организации и проведению Сталинских вахт, со взятием конкретных обязательств. Секретарю партбюро т. Астахову наметить ответственных за проведение митингов.</w:t>
      </w:r>
    </w:p>
    <w:p w14:paraId="5B8432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5-6 ноября провести общие собрания о 24-й годовщине Октябрьской социалистической революции, по следующим отделам:</w:t>
      </w:r>
    </w:p>
    <w:p w14:paraId="798344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проектный, коммунхоз, САНО, Управление комбината, Управление лагеря. […]</w:t>
      </w:r>
    </w:p>
    <w:p w14:paraId="3BD84A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Обязать руководителя агитколлектива т. Комарова, провести по отделам и домам, прикрепленным к парторганизации, широкую агитационную работу с тем, чтобы ни одного трудящегося не осталось вне участия в Сталинских вахтах.</w:t>
      </w:r>
    </w:p>
    <w:p w14:paraId="73ACEF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Обязать секретаря комитета комсомола тов. Якубова провести разъяснительную работу с комсомольцами, с тем, чтобы они были застрельщиками в проведении Сталинских вахт и показали образцы своей работы в дни 7, 8 и 9 ноября.</w:t>
      </w:r>
    </w:p>
    <w:p w14:paraId="4C7947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8) Наряду с подготовкой к проведению Сталинских вахт, коммунисты и комсомольцы не должны забывать вопросов усиления революционной бдительности; начальникам отделов и в первую очередь коммунистам и комсомольцам, как никогда в дни Сталинских вахт проводить проверку хранения секретных документов и наблюдать за настроением з/к, работающих в отделах. </w:t>
      </w:r>
    </w:p>
    <w:p w14:paraId="63B99973" w14:textId="77777777" w:rsidR="00165A9C" w:rsidRPr="00640820" w:rsidRDefault="00165A9C" w:rsidP="00640820">
      <w:pPr>
        <w:widowControl w:val="0"/>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Каждый коммунист и комсомолец обязаны быть впереди этого важнейшего политического мероприятия, обеспечить привлечение всех без исключения рабочих и служащих Норильского комбината к активному участию в несении Сталинской вахты 7, 8 и 9 ноября в дни 24-[й] годовщины Великой Октябрьской Социалистической революции</w:t>
      </w:r>
    </w:p>
    <w:p w14:paraId="6240AC57" w14:textId="77777777" w:rsidR="00165A9C" w:rsidRPr="00640820" w:rsidRDefault="00165A9C" w:rsidP="00640820">
      <w:pPr>
        <w:widowControl w:val="0"/>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Подпись</w:t>
      </w:r>
    </w:p>
    <w:p w14:paraId="66205E18" w14:textId="77777777" w:rsidR="00165A9C" w:rsidRPr="00640820" w:rsidRDefault="00165A9C" w:rsidP="0064082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ГАКК. Ф.П.-4620. Оп.1. Д.272. Л.196,197. Подлинник с рукописной вставкой. Машинопись.</w:t>
      </w:r>
    </w:p>
    <w:p w14:paraId="02C6AC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AD135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ноября 1941 с завода № 532 ушел на буксире недостроенный крейсер "Куйбышев" (ранее прибуксированный сюда из Николаева) с оборудованием и завод</w:t>
      </w:r>
      <w:r w:rsidRPr="00640820">
        <w:rPr>
          <w:rFonts w:ascii="Times New Roman" w:hAnsi="Times New Roman"/>
          <w:color w:val="000000" w:themeColor="text1"/>
          <w:sz w:val="16"/>
          <w:szCs w:val="16"/>
        </w:rPr>
        <w:softHyphen/>
        <w:t>скими специалистами на борту и 3 ноября — недостроенный эсми</w:t>
      </w:r>
      <w:r w:rsidRPr="00640820">
        <w:rPr>
          <w:rFonts w:ascii="Times New Roman" w:hAnsi="Times New Roman"/>
          <w:color w:val="000000" w:themeColor="text1"/>
          <w:sz w:val="16"/>
          <w:szCs w:val="16"/>
        </w:rPr>
        <w:softHyphen/>
        <w:t>нец "Озорной", также николаевской постройки. В портах Кавказа (главным образом, в Новороссийске) оборудование, секции и выве</w:t>
      </w:r>
      <w:r w:rsidRPr="00640820">
        <w:rPr>
          <w:rFonts w:ascii="Times New Roman" w:hAnsi="Times New Roman"/>
          <w:color w:val="000000" w:themeColor="text1"/>
          <w:sz w:val="16"/>
          <w:szCs w:val="16"/>
        </w:rPr>
        <w:softHyphen/>
        <w:t>зенные материалы перегружались в железнодорожные эшелоны и следовали далее к месту назначения (3898).</w:t>
      </w:r>
    </w:p>
    <w:p w14:paraId="66F885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71A0B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ноября 1941 передана флоту во временную эксплуатацию ПЛ К-51. Балтийцы начали текущий ремонт ПЛ Щ-308; завершен 13 ноября (10671).</w:t>
      </w:r>
    </w:p>
    <w:p w14:paraId="6D29CD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7BE7407"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6076358A"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1F0D8DC" w14:textId="77777777" w:rsidR="00F22E3E" w:rsidRPr="00640820" w:rsidRDefault="00F22E3E"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 ноября </w:t>
      </w:r>
      <w:r w:rsidRPr="00640820">
        <w:rPr>
          <w:rFonts w:ascii="Times New Roman" w:hAnsi="Times New Roman"/>
          <w:color w:val="000000" w:themeColor="text1"/>
          <w:sz w:val="16"/>
          <w:szCs w:val="16"/>
        </w:rPr>
        <w:t>в 1941 году утреннее сообщение Совинформбюро:</w:t>
      </w:r>
    </w:p>
    <w:p w14:paraId="7FBC2EB5" w14:textId="77777777" w:rsidR="00F22E3E" w:rsidRPr="00640820" w:rsidRDefault="00F22E3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1 ноября наши войска вели бои с противником на всех фронтах.</w:t>
      </w:r>
    </w:p>
    <w:p w14:paraId="7158DE32" w14:textId="77777777" w:rsidR="00F22E3E" w:rsidRPr="00640820" w:rsidRDefault="00F22E3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участков Западного фронта артиллерийское подразделение комиссара тов. Немирова отбило атаку противника, уничтожив 59 вражеских танков, 2 немецких самолёта и около 600 автоматчиков противника.</w:t>
      </w:r>
    </w:p>
    <w:p w14:paraId="79511B86" w14:textId="77777777" w:rsidR="00F22E3E" w:rsidRPr="00640820" w:rsidRDefault="00F22E3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октября часть тов. Копрова, действующая на Волоколамском направлении, отбила три ожесточённые атаки противника. В одной из атак младший лейтенант тов. Шарматов подпустил наступающих фашистов на 250-300 метров и, открыв из пулемёта ураганный огонь, уничтожил до 50 фашистских солдат и офицеров.</w:t>
      </w:r>
    </w:p>
    <w:p w14:paraId="3799CB28" w14:textId="77777777" w:rsidR="00F22E3E" w:rsidRPr="00640820" w:rsidRDefault="00F22E3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Смело нападают на врага партизаны Каменец-Подольской области. 10 октября командир партизанского отряда, оперирующего в районе города Д., узнал о том, что на территории одной машинно-тракторной станции немцы поставили колонну своих автомашин, так как у них не оказалось горючего. Командир решил уничтожить автомобили. Глухой ночью отряд пробрался на территорию МТС. Сняв двух часовых, партизаны обложили сухой соломой 22 грузовые и легковые машины, 6 мотоциклов и 1 бронемашину. Облив солому керосином, партизаны подожгли её. Через полчаса от машин и мотоциклов остались одни остовы. Партизанский отряд, где командиром тов. Б., ликвидировал близ города К. большой склад с продовольствием. Во время перестрелки на помощь солдатам, охранявшим склад, прибыли на мотоциклах 15 немецких солдат из города. Разведка во-время сообщила командиру о приближении врага. Мотоциклисты были встречены дружным ружейным и пулемётным огнём. Перебив всех немцев, советские патриоты захватили 9 исправных машин и исчезли.</w:t>
      </w:r>
    </w:p>
    <w:p w14:paraId="22139187" w14:textId="77777777" w:rsidR="00F22E3E" w:rsidRPr="00640820" w:rsidRDefault="00F22E3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Народное возмущение против фашистских оккупантов в Норвегии принимает всё более острые формы. В середине октября норвежские патриоты совершили ряд крупных диверсий на химических заводах, выполняющих заказы для германской армии.</w:t>
      </w:r>
    </w:p>
    <w:p w14:paraId="63C2B345" w14:textId="77777777" w:rsidR="00F22E3E" w:rsidRPr="00640820" w:rsidRDefault="00F22E3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заводах в городах Арендаль, Лиллестрем, Нотодден произошли пожары и взрывы. В городе Арендаль в результате сильного взрыва на складе готовой продукции вспыхнул пожар, уничтоживший склад и три цеха завода. 11 октября в порту этого города от неизвестных причин затонул пароход с грузом для германской армии. Германские власти производят аресты среди рабочих химических заводов.» (14817).</w:t>
      </w:r>
    </w:p>
    <w:p w14:paraId="3F6445FE" w14:textId="77777777" w:rsidR="00F22E3E" w:rsidRPr="00640820" w:rsidRDefault="00F22E3E" w:rsidP="00640820">
      <w:pPr>
        <w:spacing w:after="0" w:line="240" w:lineRule="auto"/>
        <w:jc w:val="both"/>
        <w:rPr>
          <w:rFonts w:ascii="Times New Roman" w:hAnsi="Times New Roman"/>
          <w:color w:val="000000" w:themeColor="text1"/>
          <w:sz w:val="16"/>
          <w:szCs w:val="16"/>
        </w:rPr>
      </w:pPr>
    </w:p>
    <w:p w14:paraId="04DDF8A5" w14:textId="77777777" w:rsidR="00F22E3E" w:rsidRPr="00640820" w:rsidRDefault="00F22E3E"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 ноября </w:t>
      </w:r>
      <w:r w:rsidRPr="00640820">
        <w:rPr>
          <w:rFonts w:ascii="Times New Roman" w:hAnsi="Times New Roman"/>
          <w:color w:val="000000" w:themeColor="text1"/>
          <w:sz w:val="16"/>
          <w:szCs w:val="16"/>
        </w:rPr>
        <w:t>в 1941 году вечернее сообщение Совинформбюро:</w:t>
      </w:r>
    </w:p>
    <w:p w14:paraId="52987D79" w14:textId="77777777" w:rsidR="00F22E3E" w:rsidRPr="00640820" w:rsidRDefault="00F22E3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1 ноября наши войска вели бои с противником на всех фронтах.</w:t>
      </w:r>
    </w:p>
    <w:p w14:paraId="3F127940" w14:textId="77777777" w:rsidR="00F22E3E" w:rsidRPr="00640820" w:rsidRDefault="00F22E3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 ноября под Москвой сбито 5 немецких самолётов.</w:t>
      </w:r>
    </w:p>
    <w:p w14:paraId="42C2747A" w14:textId="77777777" w:rsidR="00F22E3E" w:rsidRPr="00640820" w:rsidRDefault="00F22E3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Наши авиачасти, действующие на Западном и Южном фронтах, в течение 31 октября уничтожили свыше 40 немецких танков, более 10 танкеток, до 400 автомашин с пехотой и военными грузами, 30 полевых орудий и несколько десятков пулемётных точек. Действиями этих авиачастей 31 октября был сожжён штаб танкового соединения противника. Взорван склад с боеприпасами, рассеяны и уничтожены 2 полка вражеской пехоты и 2 каввзвода.</w:t>
      </w:r>
    </w:p>
    <w:p w14:paraId="38FB3933" w14:textId="77777777" w:rsidR="00F22E3E" w:rsidRPr="00640820" w:rsidRDefault="00F22E3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Артиллерийская часть капитана Зайцева, действующая на Южном фронте, за один день боевых действий уничтожила 2 батальона немецкой пехоты и один артдивизион противника.</w:t>
      </w:r>
    </w:p>
    <w:p w14:paraId="18CE1AF1" w14:textId="77777777" w:rsidR="00F22E3E" w:rsidRPr="00640820" w:rsidRDefault="00F22E3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Северо-Западном направлении фронта в наши руки попал приказ командира 32 германской пехотной дивизии генерал-лейтенанта Бонштедта, предназначенный только для офицеров. Генерал указывает на большие потери в его дивизии. Он сокрушается, что «поступающее пополнение в отношении поведения и дисциплины очень невыгодно отличается от старых солдат». Генерал отмечает также серьёзные затруднения немецких войск, с приобретением продовольствия, «на подвоз которого нельзя рассчитывать ни в коем случае». Пленные немецкие солдаты из 32 дивизии подтверждают большие потери и затруднения германских войск. Ефрейтор Эрих Вендт из 11 роты 96 пехотного полка говорит:</w:t>
      </w:r>
    </w:p>
    <w:p w14:paraId="35EC58FB" w14:textId="77777777" w:rsidR="00F22E3E" w:rsidRPr="00640820" w:rsidRDefault="00F22E3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полутораста человек наша рота потеряла около 80. Из четырёх офицеров лейтенантов, находившихся в нашей роте, двое убито, один ранен. Солдаты других рот нашего полка говорили мне, что в их ротах потери такие же большие».</w:t>
      </w:r>
    </w:p>
    <w:p w14:paraId="471E6F52" w14:textId="77777777" w:rsidR="00F22E3E" w:rsidRPr="00640820" w:rsidRDefault="00F22E3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Ефрейтор той же роты Гельмут Линденблат подтвердил сказанное Вендтом и заявил: «С начала войны и до 15 октября нам только раз сменили бельё. Солдаты сильно завшивели. Даже у командира нашего батальона майора Рихтера вши. Солдаты мёрзнут в блиндажах. Очень сыро. Солдаты с ужасом думают о приближающейся зиме».</w:t>
      </w:r>
    </w:p>
    <w:p w14:paraId="75A18A55" w14:textId="77777777" w:rsidR="00F22E3E" w:rsidRPr="00640820" w:rsidRDefault="00F22E3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Героически действуют советские партизаны в городах, оккупированных немецко-фашистскими полчищами. На окраинах города Николаева каждое утро находят убитых немецких и румынских солдат и офицеров. В начале октября в окно ресторана, где шёл кутёж фашистских офицеров, была брошена бомба необычайной разрушительной силы. Взрывом бомбы убито восемь офицеров. В Киеве сгорели большие немецкие военные склады. 7 октября на Крещатике в момент прохождения колонны немецких войск с крыши здания универмага была брошена бомба; убито и ранено до 25 солдат и офицеров. В Кривом Роге действует отважная группа партизан под командованием председателя рудкома товарища Ш. Немецкие инженеры подготовили к пуску один из рудников Криворожского бассейна. Во время открытия рудника раздалось несколько взрывов, уничтоживших компрессорную установку, подъёмные и другие механизмы. Многие из присутствовавших на открытии рудника фашистов были убиты и ранены. В эту же ночь партизаны напали на усиленный немецкий отряд, присланный для охраны рудников. Разведчики незаметно сняли часовых, разрушили электрическую сеть, а затем забросали караульное помещение немецких солдат гранатами. Прибывшее к немцам подкрепление партизаны встретили огнём из автоматов. Попытки немцев организовать в отдельных городах производство различного снаряжения для армии встречают непреодолимые препятствия, чинимые советскими патриотами. В цехах происходят взрывы и пожары, в подшипниках механизмов обнаруживается песок. Каждую ночь во многих городах, захваченных немцами, нарушается связь, прекращается подача электроэнергии.</w:t>
      </w:r>
    </w:p>
    <w:p w14:paraId="5144CE26" w14:textId="77777777" w:rsidR="00F22E3E" w:rsidRPr="00640820" w:rsidRDefault="00F22E3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всей Словакии ширится массовое антигерманское движение. События в Чехии и Моравии вызвали новую волну антифашистских выступлений, в которых участвуют все слои словацкого населения. В городе Бормеи-Свети-Микулаш и Ружомберок несколько дней тому назад состоялись демонстрации солидарности с братским чешским народом, стонущим под ярмом фашистских бандитов. Во всех городах и деревнях распространяется листовка, призывающая словацкий народ к антифашистским выступлениям в знак протеста против кровавого террора в Чехии и Моравии. В Братиславе и других промышленных центрах Словакии антигерманский саботаж принял в последние дни массовые размеры. Близ Братиславы был неделю тому назад подожжён лесопильный завод, выполняющий заказ германского командования. 14 октября в Восточной Словакии в одну ночь были пущены под откос три воинских поезда, направлявшихся на Восточный фронт.» (14817).</w:t>
      </w:r>
    </w:p>
    <w:p w14:paraId="57A5579A" w14:textId="77777777" w:rsidR="00F22E3E" w:rsidRPr="00640820" w:rsidRDefault="00F22E3E" w:rsidP="00640820">
      <w:pPr>
        <w:spacing w:after="0" w:line="240" w:lineRule="auto"/>
        <w:jc w:val="both"/>
        <w:rPr>
          <w:rFonts w:ascii="Times New Roman" w:hAnsi="Times New Roman"/>
          <w:color w:val="000000" w:themeColor="text1"/>
          <w:sz w:val="16"/>
          <w:szCs w:val="16"/>
        </w:rPr>
      </w:pPr>
    </w:p>
    <w:p w14:paraId="7D1E99F1" w14:textId="77777777" w:rsidR="00B97A93" w:rsidRPr="00640820" w:rsidRDefault="00B97A93" w:rsidP="00640820">
      <w:pPr>
        <w:pStyle w:val="ae"/>
        <w:spacing w:before="0" w:after="0"/>
        <w:jc w:val="both"/>
        <w:textAlignment w:val="baseline"/>
        <w:rPr>
          <w:color w:val="000000" w:themeColor="text1"/>
          <w:sz w:val="16"/>
          <w:szCs w:val="16"/>
        </w:rPr>
      </w:pPr>
      <w:r w:rsidRPr="00640820">
        <w:rPr>
          <w:color w:val="000000" w:themeColor="text1"/>
          <w:sz w:val="16"/>
          <w:szCs w:val="16"/>
        </w:rPr>
        <w:t>1 ноября 1941 ВВС Юго-Западного фронта, который поздней осенью-зимой 1941 г. действовал юго-восточнее Орла, восточнее Курска, Белгорода и Харькова было выполнено 86 самолето-вылетов, в том числе тридцать пять на атаку войск противника. Штурмовики, истребители и ближние бомбардировщики Су-2 </w:t>
      </w:r>
      <w:r w:rsidRPr="00640820">
        <w:rPr>
          <w:iCs/>
          <w:color w:val="000000" w:themeColor="text1"/>
          <w:sz w:val="16"/>
          <w:szCs w:val="16"/>
        </w:rPr>
        <w:t>«атаковали мотомехвойска противника на дорогах Харьков — ст. Салтов (до 100 автомашин), Белгород — Короча (до 100 автомашин), Грязное — Веселая Лопань (до 50 автомашин), Гремячее (до 50 автомашин), Лизогубовка». </w:t>
      </w:r>
      <w:r w:rsidRPr="00640820">
        <w:rPr>
          <w:color w:val="000000" w:themeColor="text1"/>
          <w:sz w:val="16"/>
          <w:szCs w:val="16"/>
        </w:rPr>
        <w:t> Всего было сброшено 5 тонн бомб и, по донесениям летчиков, уничтожено </w:t>
      </w:r>
      <w:r w:rsidRPr="00640820">
        <w:rPr>
          <w:iCs/>
          <w:color w:val="000000" w:themeColor="text1"/>
          <w:sz w:val="16"/>
          <w:szCs w:val="16"/>
        </w:rPr>
        <w:t>«до 100 автомашин с пехотой и грузами». </w:t>
      </w:r>
      <w:r w:rsidRPr="00640820">
        <w:rPr>
          <w:color w:val="000000" w:themeColor="text1"/>
          <w:sz w:val="16"/>
          <w:szCs w:val="16"/>
        </w:rPr>
        <w:t> Еще 34 самолето-вылета было произведено на прикрытие ударных самолетов и 17 — на разведку. Потери ВВС фронта составили одну машину (Су-2) (19522).</w:t>
      </w:r>
    </w:p>
    <w:p w14:paraId="1A049B14" w14:textId="77777777" w:rsidR="00B97A93" w:rsidRPr="00640820" w:rsidRDefault="00B97A93" w:rsidP="00640820">
      <w:pPr>
        <w:pStyle w:val="ae"/>
        <w:spacing w:before="0" w:after="0"/>
        <w:jc w:val="both"/>
        <w:textAlignment w:val="baseline"/>
        <w:rPr>
          <w:color w:val="000000" w:themeColor="text1"/>
          <w:sz w:val="16"/>
          <w:szCs w:val="16"/>
        </w:rPr>
      </w:pPr>
    </w:p>
    <w:p w14:paraId="3DBE10BA" w14:textId="77777777" w:rsidR="00F22E3E" w:rsidRPr="00640820" w:rsidRDefault="00F22E3E"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 ноября </w:t>
      </w:r>
      <w:r w:rsidRPr="00640820">
        <w:rPr>
          <w:rFonts w:ascii="Times New Roman" w:hAnsi="Times New Roman"/>
          <w:color w:val="000000" w:themeColor="text1"/>
          <w:sz w:val="16"/>
          <w:szCs w:val="16"/>
        </w:rPr>
        <w:t>в 1941 году 4-я армия Ленинградского фронта нанесла контрудар в направлении Будогощь, Грузине (восстановить оборону на рубеже реки Волхов не смогла) (14817).</w:t>
      </w:r>
    </w:p>
    <w:p w14:paraId="3F948DD5" w14:textId="77777777" w:rsidR="00F22E3E" w:rsidRPr="00640820" w:rsidRDefault="00F22E3E" w:rsidP="00640820">
      <w:pPr>
        <w:spacing w:after="0" w:line="240" w:lineRule="auto"/>
        <w:jc w:val="both"/>
        <w:rPr>
          <w:rFonts w:ascii="Times New Roman" w:hAnsi="Times New Roman"/>
          <w:color w:val="000000" w:themeColor="text1"/>
          <w:sz w:val="16"/>
          <w:szCs w:val="16"/>
        </w:rPr>
      </w:pPr>
    </w:p>
    <w:p w14:paraId="4111EB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ноября 1941 вышло Постановление ГКО № 858 О формировании авиаполков. РГАНИР, Фонд ГКО, д. 13, лл. 171-172 (11012).</w:t>
      </w:r>
    </w:p>
    <w:p w14:paraId="67785C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F8F6E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 ноября 1941 г. вышло ПОСТАНОВЛЕНИЕ № ГКО-858сс Москва, Кремль </w:t>
      </w:r>
    </w:p>
    <w:p w14:paraId="0C935F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 формировании авиаполков</w:t>
      </w:r>
    </w:p>
    <w:p w14:paraId="0CB7B2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 Обязать Командующего ВВС КА тов. Жигарева провести формирование и подготовку к боевым действиям в плохих метеорологических условиях 100 авиационных полков из расчета: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4" w:type="dxa"/>
          <w:right w:w="24" w:type="dxa"/>
        </w:tblCellMar>
        <w:tblLook w:val="0000" w:firstRow="0" w:lastRow="0" w:firstColumn="0" w:lastColumn="0" w:noHBand="0" w:noVBand="0"/>
      </w:tblPr>
      <w:tblGrid>
        <w:gridCol w:w="1262"/>
        <w:gridCol w:w="1262"/>
        <w:gridCol w:w="1450"/>
        <w:gridCol w:w="1074"/>
        <w:gridCol w:w="1450"/>
        <w:gridCol w:w="1450"/>
        <w:gridCol w:w="1638"/>
      </w:tblGrid>
      <w:tr w:rsidR="00643896" w:rsidRPr="00640820" w14:paraId="65F8ABBA" w14:textId="77777777" w:rsidTr="000D3BCB">
        <w:trPr>
          <w:jc w:val="center"/>
        </w:trPr>
        <w:tc>
          <w:tcPr>
            <w:tcW w:w="1262" w:type="dxa"/>
            <w:tcBorders>
              <w:top w:val="single" w:sz="12" w:space="0" w:color="auto"/>
            </w:tcBorders>
          </w:tcPr>
          <w:p w14:paraId="7E4F0C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У-2</w:t>
            </w:r>
          </w:p>
        </w:tc>
        <w:tc>
          <w:tcPr>
            <w:tcW w:w="1262" w:type="dxa"/>
            <w:tcBorders>
              <w:top w:val="single" w:sz="12" w:space="0" w:color="auto"/>
            </w:tcBorders>
          </w:tcPr>
          <w:p w14:paraId="39A3B4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Р-5</w:t>
            </w:r>
          </w:p>
        </w:tc>
        <w:tc>
          <w:tcPr>
            <w:tcW w:w="1450" w:type="dxa"/>
            <w:tcBorders>
              <w:top w:val="single" w:sz="12" w:space="0" w:color="auto"/>
            </w:tcBorders>
          </w:tcPr>
          <w:p w14:paraId="584FBD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РЗет</w:t>
            </w:r>
          </w:p>
        </w:tc>
        <w:tc>
          <w:tcPr>
            <w:tcW w:w="1074" w:type="dxa"/>
            <w:tcBorders>
              <w:top w:val="single" w:sz="12" w:space="0" w:color="auto"/>
            </w:tcBorders>
          </w:tcPr>
          <w:p w14:paraId="0629C4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СБ</w:t>
            </w:r>
          </w:p>
        </w:tc>
        <w:tc>
          <w:tcPr>
            <w:tcW w:w="1450" w:type="dxa"/>
            <w:tcBorders>
              <w:top w:val="single" w:sz="12" w:space="0" w:color="auto"/>
            </w:tcBorders>
          </w:tcPr>
          <w:p w14:paraId="0B723F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И-15</w:t>
            </w:r>
          </w:p>
        </w:tc>
        <w:tc>
          <w:tcPr>
            <w:tcW w:w="1450" w:type="dxa"/>
            <w:tcBorders>
              <w:top w:val="single" w:sz="12" w:space="0" w:color="auto"/>
            </w:tcBorders>
          </w:tcPr>
          <w:p w14:paraId="38EDB8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И-16</w:t>
            </w:r>
          </w:p>
        </w:tc>
        <w:tc>
          <w:tcPr>
            <w:tcW w:w="1638" w:type="dxa"/>
            <w:tcBorders>
              <w:top w:val="single" w:sz="12" w:space="0" w:color="auto"/>
            </w:tcBorders>
          </w:tcPr>
          <w:p w14:paraId="12C9E2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w:t>
            </w:r>
          </w:p>
        </w:tc>
      </w:tr>
      <w:tr w:rsidR="00643896" w:rsidRPr="00640820" w14:paraId="0F95C291" w14:textId="77777777" w:rsidTr="000D3BCB">
        <w:trPr>
          <w:jc w:val="center"/>
        </w:trPr>
        <w:tc>
          <w:tcPr>
            <w:tcW w:w="1262" w:type="dxa"/>
            <w:tcBorders>
              <w:bottom w:val="single" w:sz="12" w:space="0" w:color="auto"/>
            </w:tcBorders>
          </w:tcPr>
          <w:p w14:paraId="0FE0E4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65</w:t>
            </w:r>
          </w:p>
        </w:tc>
        <w:tc>
          <w:tcPr>
            <w:tcW w:w="1262" w:type="dxa"/>
            <w:tcBorders>
              <w:bottom w:val="single" w:sz="12" w:space="0" w:color="auto"/>
            </w:tcBorders>
          </w:tcPr>
          <w:p w14:paraId="41ACB0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1450" w:type="dxa"/>
            <w:tcBorders>
              <w:bottom w:val="single" w:sz="12" w:space="0" w:color="auto"/>
            </w:tcBorders>
          </w:tcPr>
          <w:p w14:paraId="1909FE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1074" w:type="dxa"/>
            <w:tcBorders>
              <w:bottom w:val="single" w:sz="12" w:space="0" w:color="auto"/>
            </w:tcBorders>
          </w:tcPr>
          <w:p w14:paraId="2F793E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1450" w:type="dxa"/>
            <w:tcBorders>
              <w:bottom w:val="single" w:sz="12" w:space="0" w:color="auto"/>
            </w:tcBorders>
          </w:tcPr>
          <w:p w14:paraId="595F85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1450" w:type="dxa"/>
            <w:tcBorders>
              <w:bottom w:val="single" w:sz="12" w:space="0" w:color="auto"/>
            </w:tcBorders>
          </w:tcPr>
          <w:p w14:paraId="4085C1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1638" w:type="dxa"/>
            <w:tcBorders>
              <w:bottom w:val="single" w:sz="12" w:space="0" w:color="auto"/>
            </w:tcBorders>
          </w:tcPr>
          <w:p w14:paraId="664C13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w:t>
            </w:r>
          </w:p>
        </w:tc>
      </w:tr>
    </w:tbl>
    <w:p w14:paraId="7F55E1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9" w:type="dxa"/>
          <w:right w:w="39" w:type="dxa"/>
        </w:tblCellMar>
        <w:tblLook w:val="0000" w:firstRow="0" w:lastRow="0" w:firstColumn="0" w:lastColumn="0" w:noHBand="0" w:noVBand="0"/>
      </w:tblPr>
      <w:tblGrid>
        <w:gridCol w:w="5646"/>
        <w:gridCol w:w="354"/>
        <w:gridCol w:w="1547"/>
        <w:gridCol w:w="1248"/>
        <w:gridCol w:w="801"/>
      </w:tblGrid>
      <w:tr w:rsidR="00643896" w:rsidRPr="00640820" w14:paraId="3F20E246" w14:textId="77777777" w:rsidTr="000D3BCB">
        <w:trPr>
          <w:jc w:val="center"/>
        </w:trPr>
        <w:tc>
          <w:tcPr>
            <w:tcW w:w="5646" w:type="dxa"/>
            <w:tcBorders>
              <w:top w:val="single" w:sz="12" w:space="0" w:color="auto"/>
            </w:tcBorders>
          </w:tcPr>
          <w:p w14:paraId="1CC0BC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10 ноября 1941 г. –</w:t>
            </w:r>
          </w:p>
        </w:tc>
        <w:tc>
          <w:tcPr>
            <w:tcW w:w="354" w:type="dxa"/>
            <w:tcBorders>
              <w:top w:val="single" w:sz="12" w:space="0" w:color="auto"/>
            </w:tcBorders>
          </w:tcPr>
          <w:p w14:paraId="291E0B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1547" w:type="dxa"/>
            <w:tcBorders>
              <w:top w:val="single" w:sz="12" w:space="0" w:color="auto"/>
            </w:tcBorders>
          </w:tcPr>
          <w:p w14:paraId="00BB4A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авиаполков</w:t>
            </w:r>
          </w:p>
        </w:tc>
        <w:tc>
          <w:tcPr>
            <w:tcW w:w="1248" w:type="dxa"/>
            <w:tcBorders>
              <w:top w:val="single" w:sz="12" w:space="0" w:color="auto"/>
            </w:tcBorders>
          </w:tcPr>
          <w:p w14:paraId="2C362D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с-тах</w:t>
            </w:r>
          </w:p>
        </w:tc>
        <w:tc>
          <w:tcPr>
            <w:tcW w:w="801" w:type="dxa"/>
            <w:tcBorders>
              <w:top w:val="single" w:sz="12" w:space="0" w:color="auto"/>
            </w:tcBorders>
          </w:tcPr>
          <w:p w14:paraId="35880B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У-2</w:t>
            </w:r>
          </w:p>
        </w:tc>
      </w:tr>
      <w:tr w:rsidR="00643896" w:rsidRPr="00640820" w14:paraId="392AE8A7" w14:textId="77777777" w:rsidTr="000D3BCB">
        <w:trPr>
          <w:jc w:val="center"/>
        </w:trPr>
        <w:tc>
          <w:tcPr>
            <w:tcW w:w="5646" w:type="dxa"/>
          </w:tcPr>
          <w:p w14:paraId="6B9566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354" w:type="dxa"/>
          </w:tcPr>
          <w:p w14:paraId="5D8668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1547" w:type="dxa"/>
          </w:tcPr>
          <w:p w14:paraId="086372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48" w:type="dxa"/>
          </w:tcPr>
          <w:p w14:paraId="6A3ECC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01" w:type="dxa"/>
          </w:tcPr>
          <w:p w14:paraId="0634F8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Р-5</w:t>
            </w:r>
          </w:p>
        </w:tc>
      </w:tr>
      <w:tr w:rsidR="00643896" w:rsidRPr="00640820" w14:paraId="16BE7ECC" w14:textId="77777777" w:rsidTr="000D3BCB">
        <w:trPr>
          <w:jc w:val="center"/>
        </w:trPr>
        <w:tc>
          <w:tcPr>
            <w:tcW w:w="5646" w:type="dxa"/>
          </w:tcPr>
          <w:p w14:paraId="3E2C28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354" w:type="dxa"/>
          </w:tcPr>
          <w:p w14:paraId="3F2C14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1547" w:type="dxa"/>
          </w:tcPr>
          <w:p w14:paraId="190CD0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48" w:type="dxa"/>
          </w:tcPr>
          <w:p w14:paraId="1B9F77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01" w:type="dxa"/>
          </w:tcPr>
          <w:p w14:paraId="4FB2BB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 Зет</w:t>
            </w:r>
          </w:p>
        </w:tc>
      </w:tr>
      <w:tr w:rsidR="00643896" w:rsidRPr="00640820" w14:paraId="23EB9C0C" w14:textId="77777777" w:rsidTr="000D3BCB">
        <w:trPr>
          <w:jc w:val="center"/>
        </w:trPr>
        <w:tc>
          <w:tcPr>
            <w:tcW w:w="5646" w:type="dxa"/>
          </w:tcPr>
          <w:p w14:paraId="25131D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354" w:type="dxa"/>
          </w:tcPr>
          <w:p w14:paraId="696DAB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1547" w:type="dxa"/>
          </w:tcPr>
          <w:p w14:paraId="2F5D50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48" w:type="dxa"/>
          </w:tcPr>
          <w:p w14:paraId="29F817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01" w:type="dxa"/>
          </w:tcPr>
          <w:p w14:paraId="2D9764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СБ</w:t>
            </w:r>
          </w:p>
        </w:tc>
      </w:tr>
      <w:tr w:rsidR="00643896" w:rsidRPr="00640820" w14:paraId="69D8C371" w14:textId="77777777" w:rsidTr="000D3BCB">
        <w:trPr>
          <w:jc w:val="center"/>
        </w:trPr>
        <w:tc>
          <w:tcPr>
            <w:tcW w:w="5646" w:type="dxa"/>
          </w:tcPr>
          <w:p w14:paraId="20CE2F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354" w:type="dxa"/>
          </w:tcPr>
          <w:p w14:paraId="21043B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1547" w:type="dxa"/>
          </w:tcPr>
          <w:p w14:paraId="3A7CA4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48" w:type="dxa"/>
          </w:tcPr>
          <w:p w14:paraId="5ABCF0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01" w:type="dxa"/>
          </w:tcPr>
          <w:p w14:paraId="1D7342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И-15</w:t>
            </w:r>
          </w:p>
        </w:tc>
      </w:tr>
      <w:tr w:rsidR="00643896" w:rsidRPr="00640820" w14:paraId="09DD0D26" w14:textId="77777777" w:rsidTr="000D3BCB">
        <w:trPr>
          <w:jc w:val="center"/>
        </w:trPr>
        <w:tc>
          <w:tcPr>
            <w:tcW w:w="5646" w:type="dxa"/>
          </w:tcPr>
          <w:p w14:paraId="3BCEB7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354" w:type="dxa"/>
          </w:tcPr>
          <w:p w14:paraId="047096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1547" w:type="dxa"/>
          </w:tcPr>
          <w:p w14:paraId="6E3BC7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48" w:type="dxa"/>
          </w:tcPr>
          <w:p w14:paraId="0670BB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01" w:type="dxa"/>
          </w:tcPr>
          <w:p w14:paraId="2DE6C9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И-16</w:t>
            </w:r>
          </w:p>
        </w:tc>
      </w:tr>
      <w:tr w:rsidR="00643896" w:rsidRPr="00640820" w14:paraId="22C3F505" w14:textId="77777777" w:rsidTr="000D3BCB">
        <w:trPr>
          <w:jc w:val="center"/>
        </w:trPr>
        <w:tc>
          <w:tcPr>
            <w:tcW w:w="5646" w:type="dxa"/>
          </w:tcPr>
          <w:p w14:paraId="004E16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ИТОГО:</w:t>
            </w:r>
          </w:p>
        </w:tc>
        <w:tc>
          <w:tcPr>
            <w:tcW w:w="354" w:type="dxa"/>
          </w:tcPr>
          <w:p w14:paraId="0848F2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w:t>
            </w:r>
          </w:p>
        </w:tc>
        <w:tc>
          <w:tcPr>
            <w:tcW w:w="1547" w:type="dxa"/>
          </w:tcPr>
          <w:p w14:paraId="717D6D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авиаполков</w:t>
            </w:r>
          </w:p>
        </w:tc>
        <w:tc>
          <w:tcPr>
            <w:tcW w:w="1248" w:type="dxa"/>
          </w:tcPr>
          <w:p w14:paraId="73DF74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01" w:type="dxa"/>
          </w:tcPr>
          <w:p w14:paraId="5E84AB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w:t>
            </w:r>
          </w:p>
        </w:tc>
      </w:tr>
      <w:tr w:rsidR="00643896" w:rsidRPr="00640820" w14:paraId="3A2CA380" w14:textId="77777777" w:rsidTr="000D3BCB">
        <w:trPr>
          <w:jc w:val="center"/>
        </w:trPr>
        <w:tc>
          <w:tcPr>
            <w:tcW w:w="5646" w:type="dxa"/>
          </w:tcPr>
          <w:p w14:paraId="529B7F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20 ноября 1941 г. –</w:t>
            </w:r>
          </w:p>
        </w:tc>
        <w:tc>
          <w:tcPr>
            <w:tcW w:w="354" w:type="dxa"/>
          </w:tcPr>
          <w:p w14:paraId="32757F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w:t>
            </w:r>
          </w:p>
        </w:tc>
        <w:tc>
          <w:tcPr>
            <w:tcW w:w="1547" w:type="dxa"/>
          </w:tcPr>
          <w:p w14:paraId="60AEDC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авиаполков</w:t>
            </w:r>
          </w:p>
        </w:tc>
        <w:tc>
          <w:tcPr>
            <w:tcW w:w="1248" w:type="dxa"/>
          </w:tcPr>
          <w:p w14:paraId="2F4CC7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с-тах</w:t>
            </w:r>
          </w:p>
        </w:tc>
        <w:tc>
          <w:tcPr>
            <w:tcW w:w="801" w:type="dxa"/>
          </w:tcPr>
          <w:p w14:paraId="2F85C6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У-2</w:t>
            </w:r>
          </w:p>
        </w:tc>
      </w:tr>
      <w:tr w:rsidR="00643896" w:rsidRPr="00640820" w14:paraId="0D6B1778" w14:textId="77777777" w:rsidTr="000D3BCB">
        <w:trPr>
          <w:jc w:val="center"/>
        </w:trPr>
        <w:tc>
          <w:tcPr>
            <w:tcW w:w="5646" w:type="dxa"/>
          </w:tcPr>
          <w:p w14:paraId="5D892A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354" w:type="dxa"/>
          </w:tcPr>
          <w:p w14:paraId="723382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1547" w:type="dxa"/>
          </w:tcPr>
          <w:p w14:paraId="3D12EF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48" w:type="dxa"/>
          </w:tcPr>
          <w:p w14:paraId="1A79A8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01" w:type="dxa"/>
          </w:tcPr>
          <w:p w14:paraId="4833FC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Р-5</w:t>
            </w:r>
          </w:p>
        </w:tc>
      </w:tr>
      <w:tr w:rsidR="00643896" w:rsidRPr="00640820" w14:paraId="58CEC30A" w14:textId="77777777" w:rsidTr="000D3BCB">
        <w:trPr>
          <w:jc w:val="center"/>
        </w:trPr>
        <w:tc>
          <w:tcPr>
            <w:tcW w:w="5646" w:type="dxa"/>
          </w:tcPr>
          <w:p w14:paraId="606FFC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354" w:type="dxa"/>
          </w:tcPr>
          <w:p w14:paraId="43481C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1547" w:type="dxa"/>
          </w:tcPr>
          <w:p w14:paraId="40875C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48" w:type="dxa"/>
          </w:tcPr>
          <w:p w14:paraId="23E6AA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01" w:type="dxa"/>
          </w:tcPr>
          <w:p w14:paraId="63268B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 Зет</w:t>
            </w:r>
          </w:p>
        </w:tc>
      </w:tr>
      <w:tr w:rsidR="00643896" w:rsidRPr="00640820" w14:paraId="70D8276D" w14:textId="77777777" w:rsidTr="000D3BCB">
        <w:trPr>
          <w:jc w:val="center"/>
        </w:trPr>
        <w:tc>
          <w:tcPr>
            <w:tcW w:w="5646" w:type="dxa"/>
          </w:tcPr>
          <w:p w14:paraId="0F1D48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354" w:type="dxa"/>
          </w:tcPr>
          <w:p w14:paraId="718559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1547" w:type="dxa"/>
          </w:tcPr>
          <w:p w14:paraId="23C133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48" w:type="dxa"/>
          </w:tcPr>
          <w:p w14:paraId="45D328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01" w:type="dxa"/>
          </w:tcPr>
          <w:p w14:paraId="50BCAA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СБ</w:t>
            </w:r>
          </w:p>
        </w:tc>
      </w:tr>
      <w:tr w:rsidR="00643896" w:rsidRPr="00640820" w14:paraId="0F6ADE97" w14:textId="77777777" w:rsidTr="000D3BCB">
        <w:trPr>
          <w:jc w:val="center"/>
        </w:trPr>
        <w:tc>
          <w:tcPr>
            <w:tcW w:w="5646" w:type="dxa"/>
          </w:tcPr>
          <w:p w14:paraId="2F6D86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354" w:type="dxa"/>
          </w:tcPr>
          <w:p w14:paraId="17D060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1547" w:type="dxa"/>
          </w:tcPr>
          <w:p w14:paraId="3006E0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48" w:type="dxa"/>
          </w:tcPr>
          <w:p w14:paraId="12DC07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01" w:type="dxa"/>
          </w:tcPr>
          <w:p w14:paraId="1E0DB8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И-15</w:t>
            </w:r>
          </w:p>
        </w:tc>
      </w:tr>
      <w:tr w:rsidR="00643896" w:rsidRPr="00640820" w14:paraId="4DFF8D8F" w14:textId="77777777" w:rsidTr="000D3BCB">
        <w:trPr>
          <w:jc w:val="center"/>
        </w:trPr>
        <w:tc>
          <w:tcPr>
            <w:tcW w:w="5646" w:type="dxa"/>
          </w:tcPr>
          <w:p w14:paraId="11E9F8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354" w:type="dxa"/>
          </w:tcPr>
          <w:p w14:paraId="57E204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1547" w:type="dxa"/>
          </w:tcPr>
          <w:p w14:paraId="14CBDB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48" w:type="dxa"/>
          </w:tcPr>
          <w:p w14:paraId="6BBB71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01" w:type="dxa"/>
          </w:tcPr>
          <w:p w14:paraId="10F97B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И-16</w:t>
            </w:r>
          </w:p>
        </w:tc>
      </w:tr>
      <w:tr w:rsidR="00643896" w:rsidRPr="00640820" w14:paraId="32650ABF" w14:textId="77777777" w:rsidTr="000D3BCB">
        <w:trPr>
          <w:jc w:val="center"/>
        </w:trPr>
        <w:tc>
          <w:tcPr>
            <w:tcW w:w="5646" w:type="dxa"/>
          </w:tcPr>
          <w:p w14:paraId="5FE685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ИТОГО:</w:t>
            </w:r>
          </w:p>
        </w:tc>
        <w:tc>
          <w:tcPr>
            <w:tcW w:w="354" w:type="dxa"/>
          </w:tcPr>
          <w:p w14:paraId="29A82E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w:t>
            </w:r>
          </w:p>
        </w:tc>
        <w:tc>
          <w:tcPr>
            <w:tcW w:w="1547" w:type="dxa"/>
          </w:tcPr>
          <w:p w14:paraId="340884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авиаполков</w:t>
            </w:r>
          </w:p>
        </w:tc>
        <w:tc>
          <w:tcPr>
            <w:tcW w:w="1248" w:type="dxa"/>
          </w:tcPr>
          <w:p w14:paraId="45C28D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01" w:type="dxa"/>
          </w:tcPr>
          <w:p w14:paraId="53AD17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w:t>
            </w:r>
          </w:p>
        </w:tc>
      </w:tr>
      <w:tr w:rsidR="00643896" w:rsidRPr="00640820" w14:paraId="65BED6CD" w14:textId="77777777" w:rsidTr="000D3BCB">
        <w:trPr>
          <w:jc w:val="center"/>
        </w:trPr>
        <w:tc>
          <w:tcPr>
            <w:tcW w:w="5646" w:type="dxa"/>
          </w:tcPr>
          <w:p w14:paraId="695A06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30 ноября 1941 г. –</w:t>
            </w:r>
          </w:p>
        </w:tc>
        <w:tc>
          <w:tcPr>
            <w:tcW w:w="354" w:type="dxa"/>
          </w:tcPr>
          <w:p w14:paraId="3DB155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c>
          <w:tcPr>
            <w:tcW w:w="1547" w:type="dxa"/>
          </w:tcPr>
          <w:p w14:paraId="573657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авиаполков</w:t>
            </w:r>
          </w:p>
        </w:tc>
        <w:tc>
          <w:tcPr>
            <w:tcW w:w="1248" w:type="dxa"/>
          </w:tcPr>
          <w:p w14:paraId="5AD7AB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с-тах</w:t>
            </w:r>
          </w:p>
        </w:tc>
        <w:tc>
          <w:tcPr>
            <w:tcW w:w="801" w:type="dxa"/>
          </w:tcPr>
          <w:p w14:paraId="1ECE27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У-2</w:t>
            </w:r>
          </w:p>
        </w:tc>
      </w:tr>
      <w:tr w:rsidR="00643896" w:rsidRPr="00640820" w14:paraId="1CAD1138" w14:textId="77777777" w:rsidTr="000D3BCB">
        <w:trPr>
          <w:jc w:val="center"/>
        </w:trPr>
        <w:tc>
          <w:tcPr>
            <w:tcW w:w="5646" w:type="dxa"/>
          </w:tcPr>
          <w:p w14:paraId="654365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354" w:type="dxa"/>
          </w:tcPr>
          <w:p w14:paraId="65A5D9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1547" w:type="dxa"/>
          </w:tcPr>
          <w:p w14:paraId="269A62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48" w:type="dxa"/>
          </w:tcPr>
          <w:p w14:paraId="0BBA37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01" w:type="dxa"/>
          </w:tcPr>
          <w:p w14:paraId="01EA82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Р-5</w:t>
            </w:r>
          </w:p>
        </w:tc>
      </w:tr>
      <w:tr w:rsidR="00643896" w:rsidRPr="00640820" w14:paraId="330E8F41" w14:textId="77777777" w:rsidTr="000D3BCB">
        <w:trPr>
          <w:jc w:val="center"/>
        </w:trPr>
        <w:tc>
          <w:tcPr>
            <w:tcW w:w="5646" w:type="dxa"/>
          </w:tcPr>
          <w:p w14:paraId="367A4C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354" w:type="dxa"/>
          </w:tcPr>
          <w:p w14:paraId="0CD167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1547" w:type="dxa"/>
          </w:tcPr>
          <w:p w14:paraId="588BDF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48" w:type="dxa"/>
          </w:tcPr>
          <w:p w14:paraId="08F744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01" w:type="dxa"/>
          </w:tcPr>
          <w:p w14:paraId="111022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 Зет</w:t>
            </w:r>
          </w:p>
        </w:tc>
      </w:tr>
      <w:tr w:rsidR="00643896" w:rsidRPr="00640820" w14:paraId="79F74DA1" w14:textId="77777777" w:rsidTr="000D3BCB">
        <w:trPr>
          <w:jc w:val="center"/>
        </w:trPr>
        <w:tc>
          <w:tcPr>
            <w:tcW w:w="5646" w:type="dxa"/>
          </w:tcPr>
          <w:p w14:paraId="509A6C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354" w:type="dxa"/>
          </w:tcPr>
          <w:p w14:paraId="4F4649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1547" w:type="dxa"/>
          </w:tcPr>
          <w:p w14:paraId="567645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48" w:type="dxa"/>
          </w:tcPr>
          <w:p w14:paraId="1253DF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01" w:type="dxa"/>
          </w:tcPr>
          <w:p w14:paraId="36A52E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СБ</w:t>
            </w:r>
          </w:p>
        </w:tc>
      </w:tr>
      <w:tr w:rsidR="00643896" w:rsidRPr="00640820" w14:paraId="18411D37" w14:textId="77777777" w:rsidTr="000D3BCB">
        <w:trPr>
          <w:jc w:val="center"/>
        </w:trPr>
        <w:tc>
          <w:tcPr>
            <w:tcW w:w="5646" w:type="dxa"/>
          </w:tcPr>
          <w:p w14:paraId="1F6A10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354" w:type="dxa"/>
          </w:tcPr>
          <w:p w14:paraId="42F87D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1547" w:type="dxa"/>
          </w:tcPr>
          <w:p w14:paraId="51F753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48" w:type="dxa"/>
          </w:tcPr>
          <w:p w14:paraId="185353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01" w:type="dxa"/>
          </w:tcPr>
          <w:p w14:paraId="4FCA20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И-15</w:t>
            </w:r>
          </w:p>
        </w:tc>
      </w:tr>
      <w:tr w:rsidR="00643896" w:rsidRPr="00640820" w14:paraId="639A4D7A" w14:textId="77777777" w:rsidTr="000D3BCB">
        <w:trPr>
          <w:jc w:val="center"/>
        </w:trPr>
        <w:tc>
          <w:tcPr>
            <w:tcW w:w="5646" w:type="dxa"/>
          </w:tcPr>
          <w:p w14:paraId="150A89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354" w:type="dxa"/>
          </w:tcPr>
          <w:p w14:paraId="505031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1547" w:type="dxa"/>
          </w:tcPr>
          <w:p w14:paraId="2F980B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48" w:type="dxa"/>
          </w:tcPr>
          <w:p w14:paraId="76FFA1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01" w:type="dxa"/>
          </w:tcPr>
          <w:p w14:paraId="47D223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И-16</w:t>
            </w:r>
          </w:p>
        </w:tc>
      </w:tr>
      <w:tr w:rsidR="00643896" w:rsidRPr="00640820" w14:paraId="06A3A0FB" w14:textId="77777777" w:rsidTr="000D3BCB">
        <w:trPr>
          <w:jc w:val="center"/>
        </w:trPr>
        <w:tc>
          <w:tcPr>
            <w:tcW w:w="5646" w:type="dxa"/>
            <w:tcBorders>
              <w:bottom w:val="single" w:sz="12" w:space="0" w:color="auto"/>
            </w:tcBorders>
          </w:tcPr>
          <w:p w14:paraId="319B2C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ИТОГО:</w:t>
            </w:r>
          </w:p>
        </w:tc>
        <w:tc>
          <w:tcPr>
            <w:tcW w:w="354" w:type="dxa"/>
            <w:tcBorders>
              <w:bottom w:val="single" w:sz="12" w:space="0" w:color="auto"/>
            </w:tcBorders>
          </w:tcPr>
          <w:p w14:paraId="291147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43</w:t>
            </w:r>
          </w:p>
        </w:tc>
        <w:tc>
          <w:tcPr>
            <w:tcW w:w="1547" w:type="dxa"/>
            <w:tcBorders>
              <w:bottom w:val="single" w:sz="12" w:space="0" w:color="auto"/>
            </w:tcBorders>
          </w:tcPr>
          <w:p w14:paraId="16E459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авиаполка</w:t>
            </w:r>
          </w:p>
        </w:tc>
        <w:tc>
          <w:tcPr>
            <w:tcW w:w="1248" w:type="dxa"/>
            <w:tcBorders>
              <w:bottom w:val="single" w:sz="12" w:space="0" w:color="auto"/>
            </w:tcBorders>
          </w:tcPr>
          <w:p w14:paraId="51456B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01" w:type="dxa"/>
            <w:tcBorders>
              <w:bottom w:val="single" w:sz="12" w:space="0" w:color="auto"/>
            </w:tcBorders>
          </w:tcPr>
          <w:p w14:paraId="6F28AD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bl>
    <w:p w14:paraId="4E6363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Разрешить тов. Жигареву отобрать на формирование авиаполков из авиационных школ ВВС КА, не снижая качества подготовки курсантов:</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9" w:type="dxa"/>
          <w:right w:w="39" w:type="dxa"/>
        </w:tblCellMar>
        <w:tblLook w:val="0000" w:firstRow="0" w:lastRow="0" w:firstColumn="0" w:lastColumn="0" w:noHBand="0" w:noVBand="0"/>
      </w:tblPr>
      <w:tblGrid>
        <w:gridCol w:w="5645"/>
        <w:gridCol w:w="931"/>
        <w:gridCol w:w="254"/>
        <w:gridCol w:w="706"/>
        <w:gridCol w:w="2060"/>
      </w:tblGrid>
      <w:tr w:rsidR="00643896" w:rsidRPr="00640820" w14:paraId="2AC4BDE0" w14:textId="77777777" w:rsidTr="000D3BCB">
        <w:trPr>
          <w:jc w:val="center"/>
        </w:trPr>
        <w:tc>
          <w:tcPr>
            <w:tcW w:w="5645" w:type="dxa"/>
            <w:tcBorders>
              <w:top w:val="single" w:sz="12" w:space="0" w:color="auto"/>
            </w:tcBorders>
          </w:tcPr>
          <w:p w14:paraId="55F1AB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типа</w:t>
            </w:r>
          </w:p>
        </w:tc>
        <w:tc>
          <w:tcPr>
            <w:tcW w:w="931" w:type="dxa"/>
            <w:tcBorders>
              <w:top w:val="single" w:sz="12" w:space="0" w:color="auto"/>
            </w:tcBorders>
          </w:tcPr>
          <w:p w14:paraId="334FCD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Р-5</w:t>
            </w:r>
          </w:p>
        </w:tc>
        <w:tc>
          <w:tcPr>
            <w:tcW w:w="254" w:type="dxa"/>
            <w:tcBorders>
              <w:top w:val="single" w:sz="12" w:space="0" w:color="auto"/>
            </w:tcBorders>
          </w:tcPr>
          <w:p w14:paraId="178EF3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06" w:type="dxa"/>
            <w:tcBorders>
              <w:top w:val="single" w:sz="12" w:space="0" w:color="auto"/>
            </w:tcBorders>
          </w:tcPr>
          <w:p w14:paraId="6224E5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w:t>
            </w:r>
          </w:p>
        </w:tc>
        <w:tc>
          <w:tcPr>
            <w:tcW w:w="2060" w:type="dxa"/>
            <w:tcBorders>
              <w:top w:val="single" w:sz="12" w:space="0" w:color="auto"/>
            </w:tcBorders>
          </w:tcPr>
          <w:p w14:paraId="3C83E3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самолетов</w:t>
            </w:r>
          </w:p>
        </w:tc>
      </w:tr>
      <w:tr w:rsidR="00643896" w:rsidRPr="00640820" w14:paraId="4BE73644" w14:textId="77777777" w:rsidTr="000D3BCB">
        <w:trPr>
          <w:jc w:val="center"/>
        </w:trPr>
        <w:tc>
          <w:tcPr>
            <w:tcW w:w="5645" w:type="dxa"/>
          </w:tcPr>
          <w:p w14:paraId="58B509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31" w:type="dxa"/>
          </w:tcPr>
          <w:p w14:paraId="344005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РЗет</w:t>
            </w:r>
          </w:p>
        </w:tc>
        <w:tc>
          <w:tcPr>
            <w:tcW w:w="254" w:type="dxa"/>
          </w:tcPr>
          <w:p w14:paraId="172EB4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06" w:type="dxa"/>
          </w:tcPr>
          <w:p w14:paraId="75CE6C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w:t>
            </w:r>
          </w:p>
        </w:tc>
        <w:tc>
          <w:tcPr>
            <w:tcW w:w="2060" w:type="dxa"/>
          </w:tcPr>
          <w:p w14:paraId="0B1551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7BDDF6C1" w14:textId="77777777" w:rsidTr="000D3BCB">
        <w:trPr>
          <w:jc w:val="center"/>
        </w:trPr>
        <w:tc>
          <w:tcPr>
            <w:tcW w:w="5645" w:type="dxa"/>
          </w:tcPr>
          <w:p w14:paraId="00199B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31" w:type="dxa"/>
          </w:tcPr>
          <w:p w14:paraId="717264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СБ</w:t>
            </w:r>
          </w:p>
        </w:tc>
        <w:tc>
          <w:tcPr>
            <w:tcW w:w="254" w:type="dxa"/>
          </w:tcPr>
          <w:p w14:paraId="4C87F1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06" w:type="dxa"/>
          </w:tcPr>
          <w:p w14:paraId="1658F9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w:t>
            </w:r>
          </w:p>
        </w:tc>
        <w:tc>
          <w:tcPr>
            <w:tcW w:w="2060" w:type="dxa"/>
          </w:tcPr>
          <w:p w14:paraId="6E5632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72E0E1A0" w14:textId="77777777" w:rsidTr="000D3BCB">
        <w:trPr>
          <w:jc w:val="center"/>
        </w:trPr>
        <w:tc>
          <w:tcPr>
            <w:tcW w:w="5645" w:type="dxa"/>
          </w:tcPr>
          <w:p w14:paraId="0D5038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31" w:type="dxa"/>
          </w:tcPr>
          <w:p w14:paraId="5993B5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И-15</w:t>
            </w:r>
          </w:p>
        </w:tc>
        <w:tc>
          <w:tcPr>
            <w:tcW w:w="254" w:type="dxa"/>
          </w:tcPr>
          <w:p w14:paraId="12B821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06" w:type="dxa"/>
          </w:tcPr>
          <w:p w14:paraId="3CE4D0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w:t>
            </w:r>
          </w:p>
        </w:tc>
        <w:tc>
          <w:tcPr>
            <w:tcW w:w="2060" w:type="dxa"/>
          </w:tcPr>
          <w:p w14:paraId="312BA8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207CC38E" w14:textId="77777777" w:rsidTr="000D3BCB">
        <w:trPr>
          <w:jc w:val="center"/>
        </w:trPr>
        <w:tc>
          <w:tcPr>
            <w:tcW w:w="5645" w:type="dxa"/>
          </w:tcPr>
          <w:p w14:paraId="383CB8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31" w:type="dxa"/>
          </w:tcPr>
          <w:p w14:paraId="0C7741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И-16</w:t>
            </w:r>
          </w:p>
        </w:tc>
        <w:tc>
          <w:tcPr>
            <w:tcW w:w="254" w:type="dxa"/>
          </w:tcPr>
          <w:p w14:paraId="5618E2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06" w:type="dxa"/>
          </w:tcPr>
          <w:p w14:paraId="13B282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w:t>
            </w:r>
          </w:p>
        </w:tc>
        <w:tc>
          <w:tcPr>
            <w:tcW w:w="2060" w:type="dxa"/>
          </w:tcPr>
          <w:p w14:paraId="4253B6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015BFFD3" w14:textId="77777777" w:rsidTr="000D3BCB">
        <w:trPr>
          <w:jc w:val="center"/>
        </w:trPr>
        <w:tc>
          <w:tcPr>
            <w:tcW w:w="5645" w:type="dxa"/>
            <w:tcBorders>
              <w:bottom w:val="single" w:sz="12" w:space="0" w:color="auto"/>
            </w:tcBorders>
          </w:tcPr>
          <w:p w14:paraId="6D66F1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31" w:type="dxa"/>
            <w:tcBorders>
              <w:bottom w:val="single" w:sz="12" w:space="0" w:color="auto"/>
            </w:tcBorders>
          </w:tcPr>
          <w:p w14:paraId="2149EB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У-2</w:t>
            </w:r>
          </w:p>
        </w:tc>
        <w:tc>
          <w:tcPr>
            <w:tcW w:w="254" w:type="dxa"/>
            <w:tcBorders>
              <w:bottom w:val="single" w:sz="12" w:space="0" w:color="auto"/>
            </w:tcBorders>
          </w:tcPr>
          <w:p w14:paraId="2BD49B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06" w:type="dxa"/>
            <w:tcBorders>
              <w:bottom w:val="single" w:sz="12" w:space="0" w:color="auto"/>
            </w:tcBorders>
          </w:tcPr>
          <w:p w14:paraId="1665FA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w:t>
            </w:r>
          </w:p>
        </w:tc>
        <w:tc>
          <w:tcPr>
            <w:tcW w:w="2060" w:type="dxa"/>
            <w:tcBorders>
              <w:bottom w:val="single" w:sz="12" w:space="0" w:color="auto"/>
            </w:tcBorders>
          </w:tcPr>
          <w:p w14:paraId="615127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bl>
    <w:p w14:paraId="4171E3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3. Обязать Центральный Совет Осоавиахима передать ГУЦ ВВС КА 1000 самолетов У-2 частично с летным составом, по указанию тов. Жигарева. Передаваемые самолеты должны быть в полной исправности с лыжами и иметь самолеторесурс и моторесурс не менее 50%. Передачу закончить не позднее 15 ноября 1941 года. </w:t>
      </w:r>
    </w:p>
    <w:p w14:paraId="4940A2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4. Народному Комиссару Авиационной Промышленности т. Шахурину в срок до 1 декабря 1941 года обеспечить самолеты формируемых авиаполков стрелковым и бомбардировочным вооружением и ночным оборудованием. </w:t>
      </w:r>
    </w:p>
    <w:p w14:paraId="4FA349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5. Для проведения формирования авиаполков 15 школ первоначального обучения ВВС КА переформировать в запасные авиационные полки, в том числе в Московском военном округе два полка, в Приволжском военном округе четыре полка, в Уральском военном округе четыре полка, в Сибирском военном округе два полка, в Средне-Азиатском военном округе два полка, в Северо-Кавказском военном округе один полк. </w:t>
      </w:r>
    </w:p>
    <w:p w14:paraId="46438A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Ответственность за формирование запасных авиаполков и проводимые в них формирования возложить на Военные Советы округов. </w:t>
      </w:r>
    </w:p>
    <w:p w14:paraId="283180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6. Кроме 100 полков создать дополнительно 5 полков Р-5. </w:t>
      </w:r>
    </w:p>
    <w:p w14:paraId="0E09F3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ПРЕДСЕДАТЕЛЬ ГОСУДАРСТВЕННОГО КОМИТЕТА ОБОРОНЫ И. СТАЛИН </w:t>
      </w:r>
    </w:p>
    <w:p w14:paraId="2EBFDC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Выписки посланы: т.т. Жигареву, Шахурину - все; ЦС Осоавиахима - 3, Военным Советам МВО, ПРИВО, УРВО, СибВО, САВО - 5 (11434).</w:t>
      </w:r>
    </w:p>
    <w:p w14:paraId="117718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0F328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ноября 1941 вышло постановление ГКО об изъятии и использовании для боевых целей У-2, Р-5, Р-зет, И-15 и др. (505,202). Доля нбба в общем числе было 28% в 1942, 17% в 1943 и 7% в 1945. На ее долю пришлось 65% общего числа вылетов фронтовой бомбардировочной авиации (505,203).</w:t>
      </w:r>
    </w:p>
    <w:p w14:paraId="2B5E41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A0A88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ноября 1941 года на аэродромах в Севастополе базировались 24 истребителя из 8-го ИАП, 20 И-5 из 11-го ШАП, 18 Ил-2 из 18-го ШАП, а также 31 летающая лодка. Однако численность парка постоянно менялась, например, спустя несколько дней 8 Илов и три И-15 перебросили под Керчь (2691).</w:t>
      </w:r>
    </w:p>
    <w:p w14:paraId="611149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этом районе действовала боевая группа в составе: 8-й ИАП (24 И-16), эскадрилья 32-го ИАП (7 Як-1), 94-я ОИАЭ (4 И-15бис), штурмовая эскадрилья (6 Ил-2) и четыре эскадры гидросамолетов: 7-я, 70-я, 80-я и 82-я (несколько МБР-2 и ГСТ, 2 МТБ-2). Кроме того, в Одессе базировался известный 69-й ИАП Льва Шетсакова. Поддержку защитникам Одессы также оказывали 9-й ИАП (база в Николаеве), 2-й ИАП и 40-й БАП (базы в Крыму). По мере продвижения противника старые части вывели из Одессы, а их место заняли: 1-я эскдрилья 8-го ИАП, 46-я ОШАЭ (Ил-2, вооруженные РС-82), а также несколько Як-1 и И-15 из 94-й ОИАЭ. За время 73-дневной обороны Одессы морская авиация совершила 4644 боевых вылета (в том числе 624 ночью), сбив в боях 80 немецких и румынских самолетов, потеряв 47 своих машин (2691).</w:t>
      </w:r>
    </w:p>
    <w:p w14:paraId="6F4C5F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FE6A0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ноября 1941 немцы взяли Симферополь (2260).</w:t>
      </w:r>
    </w:p>
    <w:p w14:paraId="2DA387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58F206F" w14:textId="77777777" w:rsidR="00F22E3E" w:rsidRPr="00640820" w:rsidRDefault="00F22E3E"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 ноября </w:t>
      </w:r>
      <w:r w:rsidRPr="00640820">
        <w:rPr>
          <w:rFonts w:ascii="Times New Roman" w:hAnsi="Times New Roman"/>
          <w:color w:val="000000" w:themeColor="text1"/>
          <w:sz w:val="16"/>
          <w:szCs w:val="16"/>
        </w:rPr>
        <w:t>в 1941 году немецко-фашистские войска оккупировали Симферополь (14817).</w:t>
      </w:r>
    </w:p>
    <w:p w14:paraId="0EDC393D" w14:textId="77777777" w:rsidR="00F22E3E" w:rsidRPr="00640820" w:rsidRDefault="00F22E3E" w:rsidP="00640820">
      <w:pPr>
        <w:spacing w:after="0" w:line="240" w:lineRule="auto"/>
        <w:jc w:val="both"/>
        <w:rPr>
          <w:rFonts w:ascii="Times New Roman" w:hAnsi="Times New Roman"/>
          <w:color w:val="000000" w:themeColor="text1"/>
          <w:sz w:val="16"/>
          <w:szCs w:val="16"/>
        </w:rPr>
      </w:pPr>
    </w:p>
    <w:p w14:paraId="318C96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ноября 1941 м Шапошников был назначен начальником Генштаба (2260).</w:t>
      </w:r>
    </w:p>
    <w:p w14:paraId="798309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30890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ноября 1941 в 14.40 по местному времени группа немецких самолетов совершила первый налет на Сталинград. По воспоминаниям очевидцев, три бомбардировщика шли на город с западного направления на небольшой высоте, не встречая никакого противодействия. Посты ВНОС либо прозевали, либо не успели сообщить о них в городской штаб МПВО, в результате воздушную тревогу не объявили. Бомбардировке и пулеметному обстрелу подверглись СталГРЭС и поселок Бекетовка, расположенный в Кировском районе Сталинграда. Воспитательница детсада Валентина Кусмарцева вспоминала:  «В тот трагичный день я была с детишками в детском саду станцииБекетовская. Когда увидела, как летят самолеты, побежала со двора в группу. Детки не пострадали, но вот люди, шедшие с поездов мимо детского садика и на перроне… Куски растерзанных людей, кровь, горе – трагедия войны». Всего в ходе налета погибли 72 человека, в том числе 12 детей (11774).</w:t>
      </w:r>
    </w:p>
    <w:p w14:paraId="6AAEEE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3FDFED3"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5225D113"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FD299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 ноября 1941 года нормированное снабжение хлебом, сахаром и кондитерскими изделиями установлено во всех городах и рабочих поселках страны. Всего по Мурманской области в ноябре было выдано 86110 карточек, в том числе первой категории рабочим 35791, служащим 6491, второй категории рабочим 14638, служащим второй категории, иждивенцам и детям 29190 (Там же, ф. Р-808, оп. 2, д. 5, л. 163, 177.).</w:t>
      </w:r>
    </w:p>
    <w:p w14:paraId="1D52B8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Расширялась свободная торговля хлебом по повышенным ценам. 9 ноября 1941 года облисполком разрешил торговлю коммерческим хлебом в открытых столовых городов Кандалакши, Кировска, Мончегорска и рабочих поселков Лесного, Колы и Териберки, а также розничную торговлю коммерческим хлебом в одном магазине в Кандалакше (Там же, ф. Р-405, оп. 1, д. 186, л. 95, 96.).</w:t>
      </w:r>
    </w:p>
    <w:p w14:paraId="098416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сельской местности карточки на хлеб не вводились. В целях упорядочения продажи и экономии хлеба в тех населенных пунктах, где не были введены карточки на хлеб, решением облисполкома от 24 декабря 1941 года устанавливалась продажа хлеба по спискам. Составление списков было возложено на исполкомы сельских советов. Отпуск хлеба в одни руки не мог превышать норм, установленных для городского населения (Там же, ф. Р-405, оп. 1, д. 186, л. 137, 138.).</w:t>
      </w:r>
    </w:p>
    <w:p w14:paraId="2B5A29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Отоварить продуктовые карточки было не так-то просто. Хлеб населению продавался по соответствующим талонам карточки на каждый день. Разрешалось продавать хлеб на один день вперед, а вот просроченные талоны пропадали (Там же, ф. Р-808, оп. 1, д. 96, л. 322 об.). Утерянные карточки не возобновлялись. Когда весной 1942 года Кировский и Мончегорский райисполкомы разрешили выдать ряду лиц хлебные и столовые карточки взамен утерянных, Мурманский облисполком 4 июня 1942 года отменил их решения, как противоречащие утвержденным правилам, и разъяснил председателям райисполкомов, что в случае повторения подобных фактов они будут привлечены к ответственности (Там же, ф. Р-405, оп. 1, д. 281, л. 159.) (11911).</w:t>
      </w:r>
    </w:p>
    <w:p w14:paraId="3CE6A8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7D928DA" w14:textId="77777777" w:rsidR="00F22E3E" w:rsidRPr="00640820" w:rsidRDefault="00F22E3E"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 ноября </w:t>
      </w:r>
      <w:r w:rsidRPr="00640820">
        <w:rPr>
          <w:rFonts w:ascii="Times New Roman" w:hAnsi="Times New Roman"/>
          <w:color w:val="000000" w:themeColor="text1"/>
          <w:sz w:val="16"/>
          <w:szCs w:val="16"/>
        </w:rPr>
        <w:t>в 1941 году по данным наркома финансов СССР, к 1 ноября в Фонд обороны поступило около 1 млрд. рублей деньгами, около 1300 млн. рубей облигациями, много иностранной валюты, платины, золота, серебра и драгоценностей (14817).</w:t>
      </w:r>
    </w:p>
    <w:p w14:paraId="610134AB" w14:textId="77777777" w:rsidR="00F22E3E" w:rsidRPr="00640820" w:rsidRDefault="00F22E3E" w:rsidP="00640820">
      <w:pPr>
        <w:spacing w:after="0" w:line="240" w:lineRule="auto"/>
        <w:jc w:val="both"/>
        <w:rPr>
          <w:rFonts w:ascii="Times New Roman" w:hAnsi="Times New Roman"/>
          <w:color w:val="000000" w:themeColor="text1"/>
          <w:sz w:val="16"/>
          <w:szCs w:val="16"/>
        </w:rPr>
      </w:pPr>
    </w:p>
    <w:p w14:paraId="064E7F88" w14:textId="77777777" w:rsidR="00955055" w:rsidRPr="00640820" w:rsidRDefault="00955055" w:rsidP="00640820">
      <w:pPr>
        <w:pStyle w:val="ae"/>
        <w:shd w:val="clear" w:color="auto" w:fill="FFFFFF"/>
        <w:spacing w:before="0" w:after="0"/>
        <w:jc w:val="both"/>
        <w:rPr>
          <w:color w:val="000000" w:themeColor="text1"/>
          <w:sz w:val="16"/>
          <w:szCs w:val="16"/>
        </w:rPr>
      </w:pPr>
      <w:r w:rsidRPr="00640820">
        <w:rPr>
          <w:color w:val="000000" w:themeColor="text1"/>
          <w:sz w:val="16"/>
          <w:szCs w:val="16"/>
        </w:rPr>
        <w:t>1 ноября 1941 года в Куйбышевской области была введена карточная система. Специальной инструкцией были установлены жесткие нормы отпуска продуктов в граммах. Работникам оборонных предприятий по списку, утвержденному облисполкомом, полагалось в месяц мяса и рыбы вместе взятых - 2200, масла и жиров вместе взятых – 600, круп и макаронных изделий – 1500.</w:t>
      </w:r>
    </w:p>
    <w:p w14:paraId="0C7F3E1B" w14:textId="77777777" w:rsidR="00955055" w:rsidRPr="00640820" w:rsidRDefault="00955055" w:rsidP="00640820">
      <w:pPr>
        <w:pStyle w:val="ae"/>
        <w:shd w:val="clear" w:color="auto" w:fill="FFFFFF"/>
        <w:spacing w:before="0" w:after="0"/>
        <w:jc w:val="both"/>
        <w:rPr>
          <w:color w:val="000000" w:themeColor="text1"/>
          <w:sz w:val="16"/>
          <w:szCs w:val="16"/>
        </w:rPr>
      </w:pPr>
      <w:r w:rsidRPr="00640820">
        <w:rPr>
          <w:color w:val="000000" w:themeColor="text1"/>
          <w:sz w:val="16"/>
          <w:szCs w:val="16"/>
        </w:rPr>
        <w:t>Рабочим и ИТР других предприятий промышленности, транспорта и связи эта норма уменьшалась на 300-400 граммов. Служащие получали еще на 200-300 граммов меньше, а иждивенцам и детям полагалась только треть нормы от первого списка.</w:t>
      </w:r>
    </w:p>
    <w:p w14:paraId="087E400B" w14:textId="77777777" w:rsidR="00955055" w:rsidRPr="00640820" w:rsidRDefault="00955055" w:rsidP="00640820">
      <w:pPr>
        <w:pStyle w:val="ae"/>
        <w:shd w:val="clear" w:color="auto" w:fill="FFFFFF"/>
        <w:spacing w:before="0" w:after="0"/>
        <w:jc w:val="both"/>
        <w:rPr>
          <w:color w:val="000000" w:themeColor="text1"/>
          <w:sz w:val="16"/>
          <w:szCs w:val="16"/>
        </w:rPr>
      </w:pPr>
      <w:r w:rsidRPr="00640820">
        <w:rPr>
          <w:color w:val="000000" w:themeColor="text1"/>
          <w:sz w:val="16"/>
          <w:szCs w:val="16"/>
        </w:rPr>
        <w:t>Молоко и молочные продукты засчитывались в норму жиров. Отпуск яиц производился только детям и нуждающимся в диетическом питании - по разовым талонам. При печатании карточек на мясо, рыбу и жиры месячную норму рекомендовалось разбить на 50-граммовые талоны.</w:t>
      </w:r>
    </w:p>
    <w:p w14:paraId="6E6B9C3E" w14:textId="77777777" w:rsidR="00955055" w:rsidRPr="00640820" w:rsidRDefault="00955055" w:rsidP="00640820">
      <w:pPr>
        <w:pStyle w:val="ae"/>
        <w:shd w:val="clear" w:color="auto" w:fill="FFFFFF"/>
        <w:spacing w:before="0" w:after="0"/>
        <w:jc w:val="both"/>
        <w:rPr>
          <w:color w:val="000000" w:themeColor="text1"/>
          <w:sz w:val="16"/>
          <w:szCs w:val="16"/>
        </w:rPr>
      </w:pPr>
      <w:r w:rsidRPr="00640820">
        <w:rPr>
          <w:color w:val="000000" w:themeColor="text1"/>
          <w:sz w:val="16"/>
          <w:szCs w:val="16"/>
        </w:rPr>
        <w:t>Отпуск мясных и рыбных блюд в столовых предприятий и учреждений производился в счет установленных норм мяса и рыбы. Отпуск мясных и рыбных блюд в ресторанах, открытых столовых, железнодорожных буфетах производился без карточек, но с наценкой 200 процентов. Облисполкому было разрешено ввести в Куйбышеве продажу населению по карточкам картофеля и овощей по нормам, устанавливаемым на месте, исходя из имеющихся ресурсов. </w:t>
      </w:r>
      <w:r w:rsidRPr="00640820">
        <w:rPr>
          <w:rStyle w:val="af0"/>
          <w:rFonts w:eastAsiaTheme="majorEastAsia"/>
          <w:color w:val="000000" w:themeColor="text1"/>
          <w:sz w:val="16"/>
          <w:szCs w:val="16"/>
        </w:rPr>
        <w:t>(ГАСО.Ф.3954.Оп.1Д.19.Л.16.)</w:t>
      </w:r>
    </w:p>
    <w:p w14:paraId="3155E3D8" w14:textId="77777777" w:rsidR="00955055" w:rsidRPr="00640820" w:rsidRDefault="00955055" w:rsidP="00640820">
      <w:pPr>
        <w:pStyle w:val="ae"/>
        <w:shd w:val="clear" w:color="auto" w:fill="FFFFFF"/>
        <w:spacing w:before="0" w:after="0"/>
        <w:jc w:val="both"/>
        <w:rPr>
          <w:color w:val="000000" w:themeColor="text1"/>
          <w:sz w:val="16"/>
          <w:szCs w:val="16"/>
        </w:rPr>
      </w:pPr>
      <w:r w:rsidRPr="00640820">
        <w:rPr>
          <w:color w:val="000000" w:themeColor="text1"/>
          <w:sz w:val="16"/>
          <w:szCs w:val="16"/>
        </w:rPr>
        <w:t>Имеющихся ресурсов, как правило, не хватало. Из-за постоянного дефицита продуктов куйбышевцы получали обычно в полтора-два раза меньше объявленной нормы, особенно в первый год войны. Даже работникам авиационного завода № 1, который был на особом положении, в январе 1942 года было недодано по карточкам 50,4% хлебобулочных изделий, 11,5% макарон и круп, 16% мяса, 3,2% сахара. </w:t>
      </w:r>
      <w:r w:rsidRPr="00640820">
        <w:rPr>
          <w:rStyle w:val="af0"/>
          <w:rFonts w:eastAsiaTheme="majorEastAsia"/>
          <w:color w:val="000000" w:themeColor="text1"/>
          <w:sz w:val="16"/>
          <w:szCs w:val="16"/>
        </w:rPr>
        <w:t>(РГАСПИ, Ф.17.Оп 121. Д 212. Л.2).</w:t>
      </w:r>
    </w:p>
    <w:p w14:paraId="4712AFE8" w14:textId="77777777" w:rsidR="00955055" w:rsidRPr="00640820" w:rsidRDefault="00955055" w:rsidP="00640820">
      <w:pPr>
        <w:pStyle w:val="ae"/>
        <w:shd w:val="clear" w:color="auto" w:fill="FFFFFF"/>
        <w:spacing w:before="0" w:after="0"/>
        <w:jc w:val="both"/>
        <w:rPr>
          <w:color w:val="000000" w:themeColor="text1"/>
          <w:sz w:val="16"/>
          <w:szCs w:val="16"/>
        </w:rPr>
      </w:pPr>
      <w:r w:rsidRPr="00640820">
        <w:rPr>
          <w:color w:val="000000" w:themeColor="text1"/>
          <w:sz w:val="16"/>
          <w:szCs w:val="16"/>
        </w:rPr>
        <w:t>Хлеба работникам военных заводов полагалось по карточкам 800 граммов в день, остальным от 400 до 600 граммов. Иждивенцы получали по карточкам 250 граммов. Но и это считалось почти роскошью, потому что по карточкам буханка ржаного хлеба стоила 15 рублей, а на рынке - около 300. Литр молока стоил 38 рублей. Овощи - картошка, морковь, лук - около 30 рублей за килограмм. Баранина – около 200 рублей килограмм, говядина 180 рублей, а свинина 260 рублей килограмм. Махорка продавалась на рынке по цене 50 рублей стакан. Пол-литровая бутылка водки в 1942 году стоила на рынке 500 рублей. Это была месячная зарплата учителя. Уборщица получала 200 рублей в месяц. Эвакуированным полагалось пособие 100-150 рублей на человека. По праздникам на многих предприятиях водку выдавали рабочим как премию в разлив. В большинстве случаев она уже на другой день оказывалась на рынке: люди предпочитали лучше поесть, чем выпить.</w:t>
      </w:r>
    </w:p>
    <w:p w14:paraId="32F33A56" w14:textId="77777777" w:rsidR="00955055" w:rsidRPr="00640820" w:rsidRDefault="00955055" w:rsidP="00640820">
      <w:pPr>
        <w:pStyle w:val="ae"/>
        <w:shd w:val="clear" w:color="auto" w:fill="FFFFFF"/>
        <w:spacing w:before="0" w:after="0"/>
        <w:jc w:val="both"/>
        <w:rPr>
          <w:color w:val="000000" w:themeColor="text1"/>
          <w:sz w:val="16"/>
          <w:szCs w:val="16"/>
        </w:rPr>
      </w:pPr>
      <w:r w:rsidRPr="00640820">
        <w:rPr>
          <w:color w:val="000000" w:themeColor="text1"/>
          <w:sz w:val="16"/>
          <w:szCs w:val="16"/>
        </w:rPr>
        <w:t>Появившиеся в январе 1942 года заводские столовые практиковали в то время двух-трех разовую выварку костей и этот отвар вторично использовали для приготовления супов, соусов и прочего. В пищу шли овсяные и ржаные отруби, отходы картофеля, щавель, свекловичный сироп и даже чешуя мелкой рыбы.</w:t>
      </w:r>
    </w:p>
    <w:p w14:paraId="3811D407" w14:textId="77777777" w:rsidR="00955055" w:rsidRPr="00640820" w:rsidRDefault="00955055" w:rsidP="00640820">
      <w:pPr>
        <w:pStyle w:val="ae"/>
        <w:shd w:val="clear" w:color="auto" w:fill="FFFFFF"/>
        <w:spacing w:before="0" w:after="0"/>
        <w:jc w:val="both"/>
        <w:rPr>
          <w:color w:val="000000" w:themeColor="text1"/>
          <w:sz w:val="16"/>
          <w:szCs w:val="16"/>
          <w:lang w:val="en-US"/>
        </w:rPr>
      </w:pPr>
      <w:r w:rsidRPr="00640820">
        <w:rPr>
          <w:color w:val="000000" w:themeColor="text1"/>
          <w:sz w:val="16"/>
          <w:szCs w:val="16"/>
        </w:rPr>
        <w:t>Основной пищей в годы войны была картошка и овощи, собранные на личных огородах. По статистическим данным число огородников в области весной 1942 года увеличилось с довоенных 20 тысяч до 211 тысяч человек. Хорошим</w:t>
      </w:r>
      <w:r w:rsidRPr="00640820">
        <w:rPr>
          <w:color w:val="000000" w:themeColor="text1"/>
          <w:sz w:val="16"/>
          <w:szCs w:val="16"/>
          <w:lang w:val="en-US"/>
        </w:rPr>
        <w:t xml:space="preserve"> </w:t>
      </w:r>
      <w:r w:rsidRPr="00640820">
        <w:rPr>
          <w:color w:val="000000" w:themeColor="text1"/>
          <w:sz w:val="16"/>
          <w:szCs w:val="16"/>
        </w:rPr>
        <w:t>подспорьем</w:t>
      </w:r>
      <w:r w:rsidRPr="00640820">
        <w:rPr>
          <w:color w:val="000000" w:themeColor="text1"/>
          <w:sz w:val="16"/>
          <w:szCs w:val="16"/>
          <w:lang w:val="en-US"/>
        </w:rPr>
        <w:t xml:space="preserve"> </w:t>
      </w:r>
      <w:r w:rsidRPr="00640820">
        <w:rPr>
          <w:color w:val="000000" w:themeColor="text1"/>
          <w:sz w:val="16"/>
          <w:szCs w:val="16"/>
        </w:rPr>
        <w:t>была</w:t>
      </w:r>
      <w:r w:rsidRPr="00640820">
        <w:rPr>
          <w:color w:val="000000" w:themeColor="text1"/>
          <w:sz w:val="16"/>
          <w:szCs w:val="16"/>
          <w:lang w:val="en-US"/>
        </w:rPr>
        <w:t xml:space="preserve"> </w:t>
      </w:r>
      <w:r w:rsidRPr="00640820">
        <w:rPr>
          <w:color w:val="000000" w:themeColor="text1"/>
          <w:sz w:val="16"/>
          <w:szCs w:val="16"/>
        </w:rPr>
        <w:t>волжская</w:t>
      </w:r>
      <w:r w:rsidRPr="00640820">
        <w:rPr>
          <w:color w:val="000000" w:themeColor="text1"/>
          <w:sz w:val="16"/>
          <w:szCs w:val="16"/>
          <w:lang w:val="en-US"/>
        </w:rPr>
        <w:t xml:space="preserve"> </w:t>
      </w:r>
      <w:r w:rsidRPr="00640820">
        <w:rPr>
          <w:color w:val="000000" w:themeColor="text1"/>
          <w:sz w:val="16"/>
          <w:szCs w:val="16"/>
        </w:rPr>
        <w:t>рыба</w:t>
      </w:r>
      <w:r w:rsidRPr="00640820">
        <w:rPr>
          <w:color w:val="000000" w:themeColor="text1"/>
          <w:sz w:val="16"/>
          <w:szCs w:val="16"/>
          <w:lang w:val="en-US"/>
        </w:rPr>
        <w:t xml:space="preserve"> (19827).</w:t>
      </w:r>
    </w:p>
    <w:p w14:paraId="1EFFE1C5" w14:textId="77777777" w:rsidR="00955055" w:rsidRPr="00640820" w:rsidRDefault="00955055" w:rsidP="00640820">
      <w:pPr>
        <w:pStyle w:val="ae"/>
        <w:shd w:val="clear" w:color="auto" w:fill="FFFFFF"/>
        <w:spacing w:before="0" w:after="0"/>
        <w:jc w:val="both"/>
        <w:rPr>
          <w:color w:val="000000" w:themeColor="text1"/>
          <w:sz w:val="16"/>
          <w:szCs w:val="16"/>
          <w:lang w:val="en-US"/>
        </w:rPr>
      </w:pPr>
    </w:p>
    <w:p w14:paraId="5984F225"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lang w:val="en-US"/>
        </w:rPr>
      </w:pPr>
      <w:r w:rsidRPr="00640820">
        <w:rPr>
          <w:rFonts w:ascii="Times New Roman" w:hAnsi="Times New Roman"/>
          <w:i/>
          <w:iCs/>
          <w:color w:val="000000" w:themeColor="text1"/>
          <w:sz w:val="16"/>
          <w:szCs w:val="16"/>
        </w:rPr>
        <w:t>За</w:t>
      </w:r>
      <w:r w:rsidRPr="00640820">
        <w:rPr>
          <w:rFonts w:ascii="Times New Roman" w:hAnsi="Times New Roman"/>
          <w:i/>
          <w:iCs/>
          <w:color w:val="000000" w:themeColor="text1"/>
          <w:sz w:val="16"/>
          <w:szCs w:val="16"/>
          <w:lang w:val="en-US"/>
        </w:rPr>
        <w:t xml:space="preserve"> </w:t>
      </w:r>
      <w:r w:rsidRPr="00640820">
        <w:rPr>
          <w:rFonts w:ascii="Times New Roman" w:hAnsi="Times New Roman"/>
          <w:i/>
          <w:iCs/>
          <w:color w:val="000000" w:themeColor="text1"/>
          <w:sz w:val="16"/>
          <w:szCs w:val="16"/>
        </w:rPr>
        <w:t>рубежом</w:t>
      </w:r>
      <w:r w:rsidRPr="00640820">
        <w:rPr>
          <w:rFonts w:ascii="Times New Roman" w:hAnsi="Times New Roman"/>
          <w:i/>
          <w:iCs/>
          <w:color w:val="000000" w:themeColor="text1"/>
          <w:sz w:val="16"/>
          <w:szCs w:val="16"/>
          <w:lang w:val="en-US"/>
        </w:rPr>
        <w:t>:</w:t>
      </w:r>
    </w:p>
    <w:p w14:paraId="5C4A5C64"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2BC758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lastRenderedPageBreak/>
        <w:t>November 1, 1941: The German government issues a statement denying the charges made by President Roosevelt that the US destroyers Greer and Kearney were attacked by German submarines without any provocation; that the exact opposite was true in that the U-boats fired torpedoes only after they were tracked and depth-charged for hours by these US vessels. In the East, units if 11.Armee (von Manstein) capture Simferopol in the Crimea (3819).</w:t>
      </w:r>
    </w:p>
    <w:p w14:paraId="198F57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2B13DB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ноября 1941 Германия заявила о том, что эсминцы США были атакованы только после того, как они атаковали немецкие п/л (3819).</w:t>
      </w:r>
    </w:p>
    <w:p w14:paraId="33D83A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937F74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ноября 1941 посол США в Японии Джозеф Грю предупредил правительство США о готовящемся нападении Японии (4962).</w:t>
      </w:r>
    </w:p>
    <w:p w14:paraId="4316A14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371BD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ноября 1941 на Ниагарском водопаде открыт Радужный мост между Канадой и США (4962).</w:t>
      </w:r>
    </w:p>
    <w:p w14:paraId="1B34775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D29207"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1738FF72"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0AC7748" w14:textId="77777777" w:rsidR="00BE64C4" w:rsidRPr="00640820" w:rsidRDefault="00BE64C4" w:rsidP="00640820">
      <w:pPr>
        <w:pStyle w:val="ae"/>
        <w:shd w:val="clear" w:color="auto" w:fill="FFFFFF"/>
        <w:spacing w:before="0" w:after="0"/>
        <w:jc w:val="both"/>
        <w:rPr>
          <w:color w:val="000000" w:themeColor="text1"/>
          <w:sz w:val="16"/>
          <w:szCs w:val="16"/>
        </w:rPr>
      </w:pPr>
      <w:r w:rsidRPr="00640820">
        <w:rPr>
          <w:color w:val="000000" w:themeColor="text1"/>
          <w:sz w:val="16"/>
          <w:szCs w:val="16"/>
        </w:rPr>
        <w:t>2 ноября 1941 авиационные, зенитные и прожекторные полки, оборонявшие город Куйбышев, были сведены в 5-ю дивизию ПВО под командованием полковника Н.Курьянова. 4 ноября было создано 6 районов местной противовоздушной обороны. 10 ноября началась тщательная светомаскировка областного центра.</w:t>
      </w:r>
    </w:p>
    <w:p w14:paraId="7368C7D7" w14:textId="77777777" w:rsidR="00BE64C4" w:rsidRPr="00640820" w:rsidRDefault="00BE64C4" w:rsidP="00640820">
      <w:pPr>
        <w:pStyle w:val="ae"/>
        <w:shd w:val="clear" w:color="auto" w:fill="FFFFFF"/>
        <w:spacing w:before="0" w:after="0"/>
        <w:jc w:val="both"/>
        <w:rPr>
          <w:color w:val="000000" w:themeColor="text1"/>
          <w:sz w:val="16"/>
          <w:szCs w:val="16"/>
        </w:rPr>
      </w:pPr>
      <w:r w:rsidRPr="00640820">
        <w:rPr>
          <w:color w:val="000000" w:themeColor="text1"/>
          <w:sz w:val="16"/>
          <w:szCs w:val="16"/>
        </w:rPr>
        <w:t>За годы Великой Отечественной войны на Куйбышев не упала ни одна немецкая бомба. Но воздушные тревоги здесь объявлялись дважды. Первый раз – в ночь с 8 на 9 июля 1942 года, когда над территорией области была отмечена активизация действий вражеской авиации. Второй раз ночью 28 июня 1943 года, когда фашистские самолеты явно пытались нанести бомбовый удар по городу. Однако силы ПВО открыли настолько плотный заградительный огонь, что бомбардировщики не смогли сбросить свой смертоносный груз и повернули вспять. Отбой воздушной тревоги дали через полтора часа, но в ту ночь город не спал, опасаясь повторного налета.</w:t>
      </w:r>
    </w:p>
    <w:p w14:paraId="15C77646" w14:textId="77777777" w:rsidR="00BE64C4" w:rsidRPr="00640820" w:rsidRDefault="00BE64C4" w:rsidP="00640820">
      <w:pPr>
        <w:pStyle w:val="ae"/>
        <w:shd w:val="clear" w:color="auto" w:fill="FFFFFF"/>
        <w:spacing w:before="0" w:after="0"/>
        <w:jc w:val="both"/>
        <w:rPr>
          <w:color w:val="000000" w:themeColor="text1"/>
          <w:sz w:val="16"/>
          <w:szCs w:val="16"/>
        </w:rPr>
      </w:pPr>
      <w:r w:rsidRPr="00640820">
        <w:rPr>
          <w:color w:val="000000" w:themeColor="text1"/>
          <w:sz w:val="16"/>
          <w:szCs w:val="16"/>
        </w:rPr>
        <w:t>Областной штаб МПВО был создан еще в самом начале войны, 30 июня 1941 года. Уже на первом его заседании местные руководители получили задания осуществить ряд важных мероприятий. Обеспечить светомаскировку жилых домов, учреждений и организаций, наземного и водного транспорта. Установить дежурства у всех выключателей электроэнергии. Освободить подвальные помещения домов и оборудовать их под бомбоубежища. Ознакомить население с сигналами МПВО «Воздушная тревога», «Химическая тревога», «Пожарная тревога» и «Отбой воздушной тревоги».</w:t>
      </w:r>
    </w:p>
    <w:p w14:paraId="2011217D" w14:textId="77777777" w:rsidR="00BE64C4" w:rsidRPr="00640820" w:rsidRDefault="00BE64C4" w:rsidP="00640820">
      <w:pPr>
        <w:pStyle w:val="ae"/>
        <w:shd w:val="clear" w:color="auto" w:fill="FFFFFF"/>
        <w:spacing w:before="0" w:after="0"/>
        <w:jc w:val="both"/>
        <w:rPr>
          <w:color w:val="000000" w:themeColor="text1"/>
          <w:sz w:val="16"/>
          <w:szCs w:val="16"/>
        </w:rPr>
      </w:pPr>
      <w:r w:rsidRPr="00640820">
        <w:rPr>
          <w:color w:val="000000" w:themeColor="text1"/>
          <w:sz w:val="16"/>
          <w:szCs w:val="16"/>
        </w:rPr>
        <w:t>Председателям исполкомов и горрайсоветов вменялось в обязанность сформировать команды МПВО и организовать с ними практические занятия не менее 6 часов в неделю без отрыва от производства. Работники исполкомов были обязаны обучить население правилам поведения во время воздушной тревоги. Предписывалось также взять на учет все старые противогазы и привести их в боеготовность (19827).</w:t>
      </w:r>
    </w:p>
    <w:p w14:paraId="4C3E8BE1" w14:textId="77777777" w:rsidR="00BE64C4" w:rsidRPr="00640820" w:rsidRDefault="00BE64C4" w:rsidP="00640820">
      <w:pPr>
        <w:pStyle w:val="ae"/>
        <w:shd w:val="clear" w:color="auto" w:fill="FFFFFF"/>
        <w:spacing w:before="0" w:after="0"/>
        <w:jc w:val="both"/>
        <w:rPr>
          <w:color w:val="000000" w:themeColor="text1"/>
          <w:sz w:val="16"/>
          <w:szCs w:val="16"/>
        </w:rPr>
      </w:pPr>
    </w:p>
    <w:p w14:paraId="16891D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ноября 1941 вышло Постановление ГКО № 860 О выпуске самолетов и авиационных моторов в ноябре 1941 г. РГАНИР, Фонд ГКО, д. 13, лл. 174-175, 176-178 (11012).</w:t>
      </w:r>
    </w:p>
    <w:p w14:paraId="254D78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81175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и 9 ноября заводу № 292 постановлениями ГКО определялся повышенный план на ноябрь - 210, и декабрь - 290 самолетов. Во исполнение постановлений приказами наркома от 4 и 11 ноября 1941 г. заводу предписывалось с 10 ноября выпускать по 10 машин в сутки, а к концу месяца довести суточный выпуск до 12 самолетов.</w:t>
      </w:r>
    </w:p>
    <w:p w14:paraId="40D9F2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Выпуск самолетов Як-1 заводом № 292 в 1941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00"/>
        <w:gridCol w:w="800"/>
        <w:gridCol w:w="800"/>
        <w:gridCol w:w="800"/>
        <w:gridCol w:w="800"/>
        <w:gridCol w:w="800"/>
        <w:gridCol w:w="800"/>
        <w:gridCol w:w="800"/>
        <w:gridCol w:w="800"/>
        <w:gridCol w:w="988"/>
        <w:gridCol w:w="851"/>
        <w:gridCol w:w="722"/>
        <w:gridCol w:w="722"/>
        <w:gridCol w:w="722"/>
      </w:tblGrid>
      <w:tr w:rsidR="00643896" w:rsidRPr="00640820" w14:paraId="5EEC85A9" w14:textId="77777777" w:rsidTr="000D3BCB">
        <w:tc>
          <w:tcPr>
            <w:tcW w:w="800" w:type="dxa"/>
            <w:tcBorders>
              <w:top w:val="single" w:sz="12" w:space="0" w:color="auto"/>
            </w:tcBorders>
          </w:tcPr>
          <w:p w14:paraId="043C23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Borders>
              <w:top w:val="single" w:sz="12" w:space="0" w:color="auto"/>
            </w:tcBorders>
          </w:tcPr>
          <w:p w14:paraId="121F83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Январь</w:t>
            </w:r>
          </w:p>
        </w:tc>
        <w:tc>
          <w:tcPr>
            <w:tcW w:w="800" w:type="dxa"/>
            <w:tcBorders>
              <w:top w:val="single" w:sz="12" w:space="0" w:color="auto"/>
            </w:tcBorders>
          </w:tcPr>
          <w:p w14:paraId="5DFF82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Февраль</w:t>
            </w:r>
          </w:p>
        </w:tc>
        <w:tc>
          <w:tcPr>
            <w:tcW w:w="800" w:type="dxa"/>
            <w:tcBorders>
              <w:top w:val="single" w:sz="12" w:space="0" w:color="auto"/>
            </w:tcBorders>
          </w:tcPr>
          <w:p w14:paraId="2E3271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Март</w:t>
            </w:r>
          </w:p>
        </w:tc>
        <w:tc>
          <w:tcPr>
            <w:tcW w:w="800" w:type="dxa"/>
            <w:tcBorders>
              <w:top w:val="single" w:sz="12" w:space="0" w:color="auto"/>
            </w:tcBorders>
          </w:tcPr>
          <w:p w14:paraId="6046D9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Апрель</w:t>
            </w:r>
          </w:p>
        </w:tc>
        <w:tc>
          <w:tcPr>
            <w:tcW w:w="800" w:type="dxa"/>
            <w:tcBorders>
              <w:top w:val="single" w:sz="12" w:space="0" w:color="auto"/>
            </w:tcBorders>
          </w:tcPr>
          <w:p w14:paraId="191379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Май</w:t>
            </w:r>
          </w:p>
        </w:tc>
        <w:tc>
          <w:tcPr>
            <w:tcW w:w="800" w:type="dxa"/>
            <w:tcBorders>
              <w:top w:val="single" w:sz="12" w:space="0" w:color="auto"/>
            </w:tcBorders>
          </w:tcPr>
          <w:p w14:paraId="1B2B76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Июнь</w:t>
            </w:r>
          </w:p>
        </w:tc>
        <w:tc>
          <w:tcPr>
            <w:tcW w:w="800" w:type="dxa"/>
            <w:tcBorders>
              <w:top w:val="single" w:sz="12" w:space="0" w:color="auto"/>
            </w:tcBorders>
          </w:tcPr>
          <w:p w14:paraId="6D72FF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Июль</w:t>
            </w:r>
          </w:p>
        </w:tc>
        <w:tc>
          <w:tcPr>
            <w:tcW w:w="800" w:type="dxa"/>
            <w:tcBorders>
              <w:top w:val="single" w:sz="12" w:space="0" w:color="auto"/>
            </w:tcBorders>
          </w:tcPr>
          <w:p w14:paraId="6FB5BD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Август</w:t>
            </w:r>
          </w:p>
        </w:tc>
        <w:tc>
          <w:tcPr>
            <w:tcW w:w="988" w:type="dxa"/>
            <w:tcBorders>
              <w:top w:val="single" w:sz="12" w:space="0" w:color="auto"/>
            </w:tcBorders>
          </w:tcPr>
          <w:p w14:paraId="2A2318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Сентябрь</w:t>
            </w:r>
          </w:p>
        </w:tc>
        <w:tc>
          <w:tcPr>
            <w:tcW w:w="851" w:type="dxa"/>
            <w:tcBorders>
              <w:top w:val="single" w:sz="12" w:space="0" w:color="auto"/>
            </w:tcBorders>
          </w:tcPr>
          <w:p w14:paraId="1F628E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Октябрь</w:t>
            </w:r>
          </w:p>
        </w:tc>
        <w:tc>
          <w:tcPr>
            <w:tcW w:w="722" w:type="dxa"/>
            <w:tcBorders>
              <w:top w:val="single" w:sz="12" w:space="0" w:color="auto"/>
            </w:tcBorders>
          </w:tcPr>
          <w:p w14:paraId="22FEA1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Ноябрь</w:t>
            </w:r>
          </w:p>
        </w:tc>
        <w:tc>
          <w:tcPr>
            <w:tcW w:w="722" w:type="dxa"/>
            <w:tcBorders>
              <w:top w:val="single" w:sz="12" w:space="0" w:color="auto"/>
            </w:tcBorders>
          </w:tcPr>
          <w:p w14:paraId="1D8849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Декабрь</w:t>
            </w:r>
          </w:p>
        </w:tc>
        <w:tc>
          <w:tcPr>
            <w:tcW w:w="722" w:type="dxa"/>
            <w:tcBorders>
              <w:top w:val="single" w:sz="12" w:space="0" w:color="auto"/>
            </w:tcBorders>
          </w:tcPr>
          <w:p w14:paraId="107120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Асего</w:t>
            </w:r>
          </w:p>
        </w:tc>
      </w:tr>
      <w:tr w:rsidR="00643896" w:rsidRPr="00640820" w14:paraId="270DD09E" w14:textId="77777777" w:rsidTr="000D3BCB">
        <w:tc>
          <w:tcPr>
            <w:tcW w:w="800" w:type="dxa"/>
          </w:tcPr>
          <w:p w14:paraId="32D095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06FFCD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1E7BC6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 квартал</w:t>
            </w:r>
          </w:p>
        </w:tc>
        <w:tc>
          <w:tcPr>
            <w:tcW w:w="800" w:type="dxa"/>
          </w:tcPr>
          <w:p w14:paraId="0D6F61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04F976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714BA4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 квартал</w:t>
            </w:r>
          </w:p>
        </w:tc>
        <w:tc>
          <w:tcPr>
            <w:tcW w:w="800" w:type="dxa"/>
          </w:tcPr>
          <w:p w14:paraId="7DF80B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2FEAC5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5CAFE7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 квартал</w:t>
            </w:r>
          </w:p>
        </w:tc>
        <w:tc>
          <w:tcPr>
            <w:tcW w:w="988" w:type="dxa"/>
          </w:tcPr>
          <w:p w14:paraId="63511A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51" w:type="dxa"/>
          </w:tcPr>
          <w:p w14:paraId="39737E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1ECE2C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 квартал</w:t>
            </w:r>
          </w:p>
        </w:tc>
        <w:tc>
          <w:tcPr>
            <w:tcW w:w="722" w:type="dxa"/>
          </w:tcPr>
          <w:p w14:paraId="667ACE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104AF7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20F409A4" w14:textId="77777777" w:rsidTr="000D3BCB">
        <w:tc>
          <w:tcPr>
            <w:tcW w:w="800" w:type="dxa"/>
          </w:tcPr>
          <w:p w14:paraId="58090C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6E3243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194DAE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220</w:t>
            </w:r>
          </w:p>
        </w:tc>
        <w:tc>
          <w:tcPr>
            <w:tcW w:w="800" w:type="dxa"/>
          </w:tcPr>
          <w:p w14:paraId="54288A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326744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3EBAB8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270</w:t>
            </w:r>
          </w:p>
        </w:tc>
        <w:tc>
          <w:tcPr>
            <w:tcW w:w="800" w:type="dxa"/>
          </w:tcPr>
          <w:p w14:paraId="1C4A27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63DAFF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637B02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290</w:t>
            </w:r>
          </w:p>
        </w:tc>
        <w:tc>
          <w:tcPr>
            <w:tcW w:w="988" w:type="dxa"/>
          </w:tcPr>
          <w:p w14:paraId="011C2D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51" w:type="dxa"/>
          </w:tcPr>
          <w:p w14:paraId="31155B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1B7085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320</w:t>
            </w:r>
          </w:p>
        </w:tc>
        <w:tc>
          <w:tcPr>
            <w:tcW w:w="722" w:type="dxa"/>
          </w:tcPr>
          <w:p w14:paraId="46BA4D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743E9C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1100</w:t>
            </w:r>
          </w:p>
        </w:tc>
      </w:tr>
      <w:tr w:rsidR="00643896" w:rsidRPr="00640820" w14:paraId="3E75F07A" w14:textId="77777777" w:rsidTr="000D3BCB">
        <w:tc>
          <w:tcPr>
            <w:tcW w:w="800" w:type="dxa"/>
          </w:tcPr>
          <w:p w14:paraId="4D2297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Новый план'</w:t>
            </w:r>
          </w:p>
        </w:tc>
        <w:tc>
          <w:tcPr>
            <w:tcW w:w="800" w:type="dxa"/>
          </w:tcPr>
          <w:p w14:paraId="4318B3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259BB9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w:t>
            </w:r>
          </w:p>
        </w:tc>
        <w:tc>
          <w:tcPr>
            <w:tcW w:w="800" w:type="dxa"/>
          </w:tcPr>
          <w:p w14:paraId="621E86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40</w:t>
            </w:r>
          </w:p>
        </w:tc>
        <w:tc>
          <w:tcPr>
            <w:tcW w:w="800" w:type="dxa"/>
          </w:tcPr>
          <w:p w14:paraId="482228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66</w:t>
            </w:r>
          </w:p>
        </w:tc>
        <w:tc>
          <w:tcPr>
            <w:tcW w:w="800" w:type="dxa"/>
          </w:tcPr>
          <w:p w14:paraId="616D9F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74</w:t>
            </w:r>
          </w:p>
        </w:tc>
        <w:tc>
          <w:tcPr>
            <w:tcW w:w="800" w:type="dxa"/>
          </w:tcPr>
          <w:p w14:paraId="45962D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100</w:t>
            </w:r>
          </w:p>
        </w:tc>
        <w:tc>
          <w:tcPr>
            <w:tcW w:w="800" w:type="dxa"/>
          </w:tcPr>
          <w:p w14:paraId="2D4CA8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115</w:t>
            </w:r>
          </w:p>
        </w:tc>
        <w:tc>
          <w:tcPr>
            <w:tcW w:w="800" w:type="dxa"/>
          </w:tcPr>
          <w:p w14:paraId="70F71A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130</w:t>
            </w:r>
          </w:p>
        </w:tc>
        <w:tc>
          <w:tcPr>
            <w:tcW w:w="988" w:type="dxa"/>
          </w:tcPr>
          <w:p w14:paraId="52C06F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156</w:t>
            </w:r>
          </w:p>
        </w:tc>
        <w:tc>
          <w:tcPr>
            <w:tcW w:w="851" w:type="dxa"/>
          </w:tcPr>
          <w:p w14:paraId="3B8CDF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189</w:t>
            </w:r>
          </w:p>
        </w:tc>
        <w:tc>
          <w:tcPr>
            <w:tcW w:w="722" w:type="dxa"/>
          </w:tcPr>
          <w:p w14:paraId="266D43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184</w:t>
            </w:r>
          </w:p>
        </w:tc>
        <w:tc>
          <w:tcPr>
            <w:tcW w:w="722" w:type="dxa"/>
          </w:tcPr>
          <w:p w14:paraId="48BD3E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260</w:t>
            </w:r>
          </w:p>
        </w:tc>
        <w:tc>
          <w:tcPr>
            <w:tcW w:w="722" w:type="dxa"/>
          </w:tcPr>
          <w:p w14:paraId="1F1332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1350</w:t>
            </w:r>
          </w:p>
        </w:tc>
      </w:tr>
      <w:tr w:rsidR="00643896" w:rsidRPr="00640820" w14:paraId="677DADE3" w14:textId="77777777" w:rsidTr="000D3BCB">
        <w:tc>
          <w:tcPr>
            <w:tcW w:w="800" w:type="dxa"/>
          </w:tcPr>
          <w:p w14:paraId="4D975A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Изготовлено</w:t>
            </w:r>
          </w:p>
        </w:tc>
        <w:tc>
          <w:tcPr>
            <w:tcW w:w="800" w:type="dxa"/>
          </w:tcPr>
          <w:p w14:paraId="428251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p w14:paraId="1C84E5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3164E5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w:t>
            </w:r>
          </w:p>
        </w:tc>
        <w:tc>
          <w:tcPr>
            <w:tcW w:w="800" w:type="dxa"/>
          </w:tcPr>
          <w:p w14:paraId="06CDA0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40</w:t>
            </w:r>
          </w:p>
        </w:tc>
        <w:tc>
          <w:tcPr>
            <w:tcW w:w="800" w:type="dxa"/>
          </w:tcPr>
          <w:p w14:paraId="19972F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68</w:t>
            </w:r>
          </w:p>
        </w:tc>
        <w:tc>
          <w:tcPr>
            <w:tcW w:w="800" w:type="dxa"/>
          </w:tcPr>
          <w:p w14:paraId="57FAB0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73</w:t>
            </w:r>
          </w:p>
        </w:tc>
        <w:tc>
          <w:tcPr>
            <w:tcW w:w="800" w:type="dxa"/>
          </w:tcPr>
          <w:p w14:paraId="473F3F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101</w:t>
            </w:r>
          </w:p>
        </w:tc>
        <w:tc>
          <w:tcPr>
            <w:tcW w:w="800" w:type="dxa"/>
          </w:tcPr>
          <w:p w14:paraId="608442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135</w:t>
            </w:r>
          </w:p>
        </w:tc>
        <w:tc>
          <w:tcPr>
            <w:tcW w:w="800" w:type="dxa"/>
          </w:tcPr>
          <w:p w14:paraId="4D09A5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150</w:t>
            </w:r>
          </w:p>
        </w:tc>
        <w:tc>
          <w:tcPr>
            <w:tcW w:w="988" w:type="dxa"/>
          </w:tcPr>
          <w:p w14:paraId="0619E4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168</w:t>
            </w:r>
          </w:p>
        </w:tc>
        <w:tc>
          <w:tcPr>
            <w:tcW w:w="851" w:type="dxa"/>
          </w:tcPr>
          <w:p w14:paraId="2A5A75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185</w:t>
            </w:r>
          </w:p>
        </w:tc>
        <w:tc>
          <w:tcPr>
            <w:tcW w:w="722" w:type="dxa"/>
          </w:tcPr>
          <w:p w14:paraId="6B6499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104</w:t>
            </w:r>
          </w:p>
        </w:tc>
        <w:tc>
          <w:tcPr>
            <w:tcW w:w="722" w:type="dxa"/>
          </w:tcPr>
          <w:p w14:paraId="0D6561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152</w:t>
            </w:r>
          </w:p>
        </w:tc>
        <w:tc>
          <w:tcPr>
            <w:tcW w:w="722" w:type="dxa"/>
          </w:tcPr>
          <w:p w14:paraId="0560A3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1212 3</w:t>
            </w:r>
          </w:p>
        </w:tc>
      </w:tr>
      <w:tr w:rsidR="00643896" w:rsidRPr="00640820" w14:paraId="0C8D5E1F" w14:textId="77777777" w:rsidTr="000D3BCB">
        <w:tc>
          <w:tcPr>
            <w:tcW w:w="800" w:type="dxa"/>
          </w:tcPr>
          <w:p w14:paraId="5B84C1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0F0B6A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17 2)</w:t>
            </w:r>
          </w:p>
        </w:tc>
        <w:tc>
          <w:tcPr>
            <w:tcW w:w="800" w:type="dxa"/>
          </w:tcPr>
          <w:p w14:paraId="4410F7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25 2)</w:t>
            </w:r>
          </w:p>
        </w:tc>
        <w:tc>
          <w:tcPr>
            <w:tcW w:w="800" w:type="dxa"/>
          </w:tcPr>
          <w:p w14:paraId="59FF9C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34 2)</w:t>
            </w:r>
          </w:p>
        </w:tc>
        <w:tc>
          <w:tcPr>
            <w:tcW w:w="800" w:type="dxa"/>
          </w:tcPr>
          <w:p w14:paraId="3E241F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0AC787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239764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01F6DA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761788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988" w:type="dxa"/>
          </w:tcPr>
          <w:p w14:paraId="7FCFF8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51" w:type="dxa"/>
          </w:tcPr>
          <w:p w14:paraId="687647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1CAC0C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0F601D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755658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2E69946D" w14:textId="77777777" w:rsidTr="000D3BCB">
        <w:tc>
          <w:tcPr>
            <w:tcW w:w="800" w:type="dxa"/>
          </w:tcPr>
          <w:p w14:paraId="266093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Принято военпредом</w:t>
            </w:r>
          </w:p>
        </w:tc>
        <w:tc>
          <w:tcPr>
            <w:tcW w:w="800" w:type="dxa"/>
          </w:tcPr>
          <w:p w14:paraId="620446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5916C2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5920D5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5BA203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717A38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78C923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575D54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328991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988" w:type="dxa"/>
          </w:tcPr>
          <w:p w14:paraId="629D2B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51" w:type="dxa"/>
          </w:tcPr>
          <w:p w14:paraId="42AB5D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43212E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6B0D70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7DB1F0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70E100E3" w14:textId="77777777" w:rsidTr="000D3BCB">
        <w:tc>
          <w:tcPr>
            <w:tcW w:w="800" w:type="dxa"/>
          </w:tcPr>
          <w:p w14:paraId="236FF3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для ГУ ВВС КА</w:t>
            </w:r>
          </w:p>
        </w:tc>
        <w:tc>
          <w:tcPr>
            <w:tcW w:w="800" w:type="dxa"/>
          </w:tcPr>
          <w:p w14:paraId="18CF61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w:t>
            </w:r>
          </w:p>
        </w:tc>
        <w:tc>
          <w:tcPr>
            <w:tcW w:w="800" w:type="dxa"/>
          </w:tcPr>
          <w:p w14:paraId="66EAB8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w:t>
            </w:r>
          </w:p>
        </w:tc>
        <w:tc>
          <w:tcPr>
            <w:tcW w:w="800" w:type="dxa"/>
          </w:tcPr>
          <w:p w14:paraId="55AB3B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40</w:t>
            </w:r>
          </w:p>
        </w:tc>
        <w:tc>
          <w:tcPr>
            <w:tcW w:w="800" w:type="dxa"/>
          </w:tcPr>
          <w:p w14:paraId="2528BF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68</w:t>
            </w:r>
          </w:p>
        </w:tc>
        <w:tc>
          <w:tcPr>
            <w:tcW w:w="800" w:type="dxa"/>
          </w:tcPr>
          <w:p w14:paraId="274D88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66</w:t>
            </w:r>
          </w:p>
        </w:tc>
        <w:tc>
          <w:tcPr>
            <w:tcW w:w="800" w:type="dxa"/>
          </w:tcPr>
          <w:p w14:paraId="6469CD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58</w:t>
            </w:r>
          </w:p>
        </w:tc>
        <w:tc>
          <w:tcPr>
            <w:tcW w:w="800" w:type="dxa"/>
          </w:tcPr>
          <w:p w14:paraId="4A0001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117</w:t>
            </w:r>
          </w:p>
        </w:tc>
        <w:tc>
          <w:tcPr>
            <w:tcW w:w="800" w:type="dxa"/>
          </w:tcPr>
          <w:p w14:paraId="7D55C6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153</w:t>
            </w:r>
          </w:p>
        </w:tc>
        <w:tc>
          <w:tcPr>
            <w:tcW w:w="988" w:type="dxa"/>
          </w:tcPr>
          <w:p w14:paraId="5EB380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151</w:t>
            </w:r>
          </w:p>
        </w:tc>
        <w:tc>
          <w:tcPr>
            <w:tcW w:w="851" w:type="dxa"/>
          </w:tcPr>
          <w:p w14:paraId="27540F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171</w:t>
            </w:r>
          </w:p>
        </w:tc>
        <w:tc>
          <w:tcPr>
            <w:tcW w:w="722" w:type="dxa"/>
          </w:tcPr>
          <w:p w14:paraId="5EF2CD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68</w:t>
            </w:r>
          </w:p>
        </w:tc>
        <w:tc>
          <w:tcPr>
            <w:tcW w:w="722" w:type="dxa"/>
          </w:tcPr>
          <w:p w14:paraId="23AFB9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143</w:t>
            </w:r>
          </w:p>
        </w:tc>
        <w:tc>
          <w:tcPr>
            <w:tcW w:w="722" w:type="dxa"/>
          </w:tcPr>
          <w:p w14:paraId="276BE2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1070</w:t>
            </w:r>
          </w:p>
        </w:tc>
      </w:tr>
      <w:tr w:rsidR="00643896" w:rsidRPr="00640820" w14:paraId="6A8A27E4" w14:textId="77777777" w:rsidTr="000D3BCB">
        <w:tc>
          <w:tcPr>
            <w:tcW w:w="800" w:type="dxa"/>
          </w:tcPr>
          <w:p w14:paraId="02EC07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для УА ВМФ</w:t>
            </w:r>
          </w:p>
        </w:tc>
        <w:tc>
          <w:tcPr>
            <w:tcW w:w="800" w:type="dxa"/>
          </w:tcPr>
          <w:p w14:paraId="33EC00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7FEB57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028D0D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7850D3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4FCAB7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w:t>
            </w:r>
          </w:p>
        </w:tc>
        <w:tc>
          <w:tcPr>
            <w:tcW w:w="800" w:type="dxa"/>
          </w:tcPr>
          <w:p w14:paraId="2EFB7E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41</w:t>
            </w:r>
          </w:p>
        </w:tc>
        <w:tc>
          <w:tcPr>
            <w:tcW w:w="800" w:type="dxa"/>
          </w:tcPr>
          <w:p w14:paraId="0121CB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087CFA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988" w:type="dxa"/>
          </w:tcPr>
          <w:p w14:paraId="3DA404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w:t>
            </w:r>
          </w:p>
        </w:tc>
        <w:tc>
          <w:tcPr>
            <w:tcW w:w="851" w:type="dxa"/>
          </w:tcPr>
          <w:p w14:paraId="584136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w:t>
            </w:r>
          </w:p>
        </w:tc>
        <w:tc>
          <w:tcPr>
            <w:tcW w:w="722" w:type="dxa"/>
          </w:tcPr>
          <w:p w14:paraId="58DCA5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w:t>
            </w:r>
          </w:p>
        </w:tc>
        <w:tc>
          <w:tcPr>
            <w:tcW w:w="722" w:type="dxa"/>
          </w:tcPr>
          <w:p w14:paraId="23CFBB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20</w:t>
            </w:r>
          </w:p>
        </w:tc>
        <w:tc>
          <w:tcPr>
            <w:tcW w:w="722" w:type="dxa"/>
          </w:tcPr>
          <w:p w14:paraId="7356F8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121</w:t>
            </w:r>
          </w:p>
        </w:tc>
      </w:tr>
      <w:tr w:rsidR="00643896" w:rsidRPr="00640820" w14:paraId="6287AFB4" w14:textId="77777777" w:rsidTr="000D3BCB">
        <w:tc>
          <w:tcPr>
            <w:tcW w:w="800" w:type="dxa"/>
          </w:tcPr>
          <w:p w14:paraId="51293A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Отправлено всего</w:t>
            </w:r>
          </w:p>
        </w:tc>
        <w:tc>
          <w:tcPr>
            <w:tcW w:w="800" w:type="dxa"/>
          </w:tcPr>
          <w:p w14:paraId="35BA31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43199D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48AF7F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30</w:t>
            </w:r>
          </w:p>
        </w:tc>
        <w:tc>
          <w:tcPr>
            <w:tcW w:w="800" w:type="dxa"/>
          </w:tcPr>
          <w:p w14:paraId="0FBCDA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45</w:t>
            </w:r>
          </w:p>
        </w:tc>
        <w:tc>
          <w:tcPr>
            <w:tcW w:w="800" w:type="dxa"/>
          </w:tcPr>
          <w:p w14:paraId="5B0AD2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45</w:t>
            </w:r>
          </w:p>
        </w:tc>
        <w:tc>
          <w:tcPr>
            <w:tcW w:w="800" w:type="dxa"/>
          </w:tcPr>
          <w:p w14:paraId="494036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66</w:t>
            </w:r>
          </w:p>
        </w:tc>
        <w:tc>
          <w:tcPr>
            <w:tcW w:w="800" w:type="dxa"/>
          </w:tcPr>
          <w:p w14:paraId="3F777A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192</w:t>
            </w:r>
          </w:p>
        </w:tc>
        <w:tc>
          <w:tcPr>
            <w:tcW w:w="800" w:type="dxa"/>
          </w:tcPr>
          <w:p w14:paraId="659815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150</w:t>
            </w:r>
          </w:p>
        </w:tc>
        <w:tc>
          <w:tcPr>
            <w:tcW w:w="988" w:type="dxa"/>
          </w:tcPr>
          <w:p w14:paraId="167BC0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155</w:t>
            </w:r>
          </w:p>
        </w:tc>
        <w:tc>
          <w:tcPr>
            <w:tcW w:w="851" w:type="dxa"/>
          </w:tcPr>
          <w:p w14:paraId="2497EB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153</w:t>
            </w:r>
          </w:p>
        </w:tc>
        <w:tc>
          <w:tcPr>
            <w:tcW w:w="722" w:type="dxa"/>
          </w:tcPr>
          <w:p w14:paraId="734098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123</w:t>
            </w:r>
          </w:p>
        </w:tc>
        <w:tc>
          <w:tcPr>
            <w:tcW w:w="722" w:type="dxa"/>
          </w:tcPr>
          <w:p w14:paraId="1022E7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136</w:t>
            </w:r>
          </w:p>
        </w:tc>
        <w:tc>
          <w:tcPr>
            <w:tcW w:w="722" w:type="dxa"/>
          </w:tcPr>
          <w:p w14:paraId="261DDB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1125</w:t>
            </w:r>
          </w:p>
        </w:tc>
      </w:tr>
      <w:tr w:rsidR="00643896" w:rsidRPr="00640820" w14:paraId="5BEB585A" w14:textId="77777777" w:rsidTr="000D3BCB">
        <w:tc>
          <w:tcPr>
            <w:tcW w:w="800" w:type="dxa"/>
          </w:tcPr>
          <w:p w14:paraId="0A6C7C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 т.ч. ВВС КА</w:t>
            </w:r>
          </w:p>
        </w:tc>
        <w:tc>
          <w:tcPr>
            <w:tcW w:w="800" w:type="dxa"/>
          </w:tcPr>
          <w:p w14:paraId="7EE211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41C028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03D5CE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30</w:t>
            </w:r>
          </w:p>
        </w:tc>
        <w:tc>
          <w:tcPr>
            <w:tcW w:w="800" w:type="dxa"/>
          </w:tcPr>
          <w:p w14:paraId="3C4E09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45</w:t>
            </w:r>
          </w:p>
        </w:tc>
        <w:tc>
          <w:tcPr>
            <w:tcW w:w="800" w:type="dxa"/>
          </w:tcPr>
          <w:p w14:paraId="18CEA8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42</w:t>
            </w:r>
          </w:p>
        </w:tc>
        <w:tc>
          <w:tcPr>
            <w:tcW w:w="800" w:type="dxa"/>
          </w:tcPr>
          <w:p w14:paraId="4B1771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58</w:t>
            </w:r>
          </w:p>
        </w:tc>
        <w:tc>
          <w:tcPr>
            <w:tcW w:w="800" w:type="dxa"/>
          </w:tcPr>
          <w:p w14:paraId="5D62DA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138</w:t>
            </w:r>
          </w:p>
        </w:tc>
        <w:tc>
          <w:tcPr>
            <w:tcW w:w="800" w:type="dxa"/>
          </w:tcPr>
          <w:p w14:paraId="345837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150</w:t>
            </w:r>
          </w:p>
        </w:tc>
        <w:tc>
          <w:tcPr>
            <w:tcW w:w="988" w:type="dxa"/>
          </w:tcPr>
          <w:p w14:paraId="375242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138</w:t>
            </w:r>
          </w:p>
        </w:tc>
        <w:tc>
          <w:tcPr>
            <w:tcW w:w="851" w:type="dxa"/>
          </w:tcPr>
          <w:p w14:paraId="69CC6C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149</w:t>
            </w:r>
          </w:p>
        </w:tc>
        <w:tc>
          <w:tcPr>
            <w:tcW w:w="722" w:type="dxa"/>
          </w:tcPr>
          <w:p w14:paraId="6274F1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102</w:t>
            </w:r>
          </w:p>
        </w:tc>
        <w:tc>
          <w:tcPr>
            <w:tcW w:w="722" w:type="dxa"/>
          </w:tcPr>
          <w:p w14:paraId="3B5A9C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128</w:t>
            </w:r>
          </w:p>
        </w:tc>
        <w:tc>
          <w:tcPr>
            <w:tcW w:w="722" w:type="dxa"/>
          </w:tcPr>
          <w:p w14:paraId="1E2065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1010</w:t>
            </w:r>
          </w:p>
        </w:tc>
      </w:tr>
      <w:tr w:rsidR="00643896" w:rsidRPr="00640820" w14:paraId="41532458" w14:textId="77777777" w:rsidTr="000D3BCB">
        <w:tc>
          <w:tcPr>
            <w:tcW w:w="800" w:type="dxa"/>
          </w:tcPr>
          <w:p w14:paraId="6EA94E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 т.ч. ВВС ВМФ</w:t>
            </w:r>
          </w:p>
        </w:tc>
        <w:tc>
          <w:tcPr>
            <w:tcW w:w="800" w:type="dxa"/>
          </w:tcPr>
          <w:p w14:paraId="7047EE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129BD6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7F8BAD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2C8E77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709041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692694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w:t>
            </w:r>
          </w:p>
        </w:tc>
        <w:tc>
          <w:tcPr>
            <w:tcW w:w="800" w:type="dxa"/>
          </w:tcPr>
          <w:p w14:paraId="081B9E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54</w:t>
            </w:r>
          </w:p>
        </w:tc>
        <w:tc>
          <w:tcPr>
            <w:tcW w:w="800" w:type="dxa"/>
          </w:tcPr>
          <w:p w14:paraId="269BC6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988" w:type="dxa"/>
          </w:tcPr>
          <w:p w14:paraId="411813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w:t>
            </w:r>
          </w:p>
        </w:tc>
        <w:tc>
          <w:tcPr>
            <w:tcW w:w="851" w:type="dxa"/>
          </w:tcPr>
          <w:p w14:paraId="53A175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w:t>
            </w:r>
          </w:p>
        </w:tc>
        <w:tc>
          <w:tcPr>
            <w:tcW w:w="722" w:type="dxa"/>
          </w:tcPr>
          <w:p w14:paraId="741A44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w:t>
            </w:r>
          </w:p>
        </w:tc>
        <w:tc>
          <w:tcPr>
            <w:tcW w:w="722" w:type="dxa"/>
          </w:tcPr>
          <w:p w14:paraId="2ED212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w:t>
            </w:r>
          </w:p>
        </w:tc>
        <w:tc>
          <w:tcPr>
            <w:tcW w:w="722" w:type="dxa"/>
          </w:tcPr>
          <w:p w14:paraId="4C284E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99</w:t>
            </w:r>
          </w:p>
        </w:tc>
      </w:tr>
      <w:tr w:rsidR="00643896" w:rsidRPr="00640820" w14:paraId="6186D7A5" w14:textId="77777777" w:rsidTr="000D3BCB">
        <w:tc>
          <w:tcPr>
            <w:tcW w:w="800" w:type="dxa"/>
          </w:tcPr>
          <w:p w14:paraId="2DA626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т.ч. другие не принятые</w:t>
            </w:r>
          </w:p>
        </w:tc>
        <w:tc>
          <w:tcPr>
            <w:tcW w:w="800" w:type="dxa"/>
          </w:tcPr>
          <w:p w14:paraId="5A2590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6E2996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4C7F80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527433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4EE428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З4</w:t>
            </w:r>
          </w:p>
        </w:tc>
        <w:tc>
          <w:tcPr>
            <w:tcW w:w="800" w:type="dxa"/>
          </w:tcPr>
          <w:p w14:paraId="21EC87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0A15D5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02B4C6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988" w:type="dxa"/>
          </w:tcPr>
          <w:p w14:paraId="6C2F90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w:t>
            </w:r>
          </w:p>
        </w:tc>
        <w:tc>
          <w:tcPr>
            <w:tcW w:w="851" w:type="dxa"/>
          </w:tcPr>
          <w:p w14:paraId="77CD88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22" w:type="dxa"/>
          </w:tcPr>
          <w:p w14:paraId="2304FB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w:t>
            </w:r>
          </w:p>
        </w:tc>
        <w:tc>
          <w:tcPr>
            <w:tcW w:w="722" w:type="dxa"/>
          </w:tcPr>
          <w:p w14:paraId="113358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22" w:type="dxa"/>
          </w:tcPr>
          <w:p w14:paraId="79D7A9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w:t>
            </w:r>
          </w:p>
        </w:tc>
      </w:tr>
      <w:tr w:rsidR="00643896" w:rsidRPr="00640820" w14:paraId="23DF1D44" w14:textId="77777777" w:rsidTr="000D3BCB">
        <w:tc>
          <w:tcPr>
            <w:tcW w:w="800" w:type="dxa"/>
          </w:tcPr>
          <w:p w14:paraId="0D0BCB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Осталось на заводе</w:t>
            </w:r>
          </w:p>
        </w:tc>
        <w:tc>
          <w:tcPr>
            <w:tcW w:w="800" w:type="dxa"/>
          </w:tcPr>
          <w:p w14:paraId="18928E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w:t>
            </w:r>
          </w:p>
        </w:tc>
        <w:tc>
          <w:tcPr>
            <w:tcW w:w="800" w:type="dxa"/>
          </w:tcPr>
          <w:p w14:paraId="496E19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w:t>
            </w:r>
          </w:p>
        </w:tc>
        <w:tc>
          <w:tcPr>
            <w:tcW w:w="800" w:type="dxa"/>
          </w:tcPr>
          <w:p w14:paraId="1FDCD3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32</w:t>
            </w:r>
          </w:p>
        </w:tc>
        <w:tc>
          <w:tcPr>
            <w:tcW w:w="800" w:type="dxa"/>
          </w:tcPr>
          <w:p w14:paraId="75B534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55</w:t>
            </w:r>
          </w:p>
        </w:tc>
        <w:tc>
          <w:tcPr>
            <w:tcW w:w="800" w:type="dxa"/>
          </w:tcPr>
          <w:p w14:paraId="43A886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83</w:t>
            </w:r>
          </w:p>
        </w:tc>
        <w:tc>
          <w:tcPr>
            <w:tcW w:w="800" w:type="dxa"/>
          </w:tcPr>
          <w:p w14:paraId="332B55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118</w:t>
            </w:r>
          </w:p>
        </w:tc>
        <w:tc>
          <w:tcPr>
            <w:tcW w:w="800" w:type="dxa"/>
          </w:tcPr>
          <w:p w14:paraId="2077F8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61</w:t>
            </w:r>
          </w:p>
        </w:tc>
        <w:tc>
          <w:tcPr>
            <w:tcW w:w="800" w:type="dxa"/>
          </w:tcPr>
          <w:p w14:paraId="3576EE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61</w:t>
            </w:r>
          </w:p>
        </w:tc>
        <w:tc>
          <w:tcPr>
            <w:tcW w:w="988" w:type="dxa"/>
          </w:tcPr>
          <w:p w14:paraId="2E9BBB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74</w:t>
            </w:r>
          </w:p>
        </w:tc>
        <w:tc>
          <w:tcPr>
            <w:tcW w:w="851" w:type="dxa"/>
          </w:tcPr>
          <w:p w14:paraId="278207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106</w:t>
            </w:r>
          </w:p>
        </w:tc>
        <w:tc>
          <w:tcPr>
            <w:tcW w:w="722" w:type="dxa"/>
          </w:tcPr>
          <w:p w14:paraId="425C8A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87</w:t>
            </w:r>
          </w:p>
        </w:tc>
        <w:tc>
          <w:tcPr>
            <w:tcW w:w="722" w:type="dxa"/>
          </w:tcPr>
          <w:p w14:paraId="7342B3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ЮЗ8</w:t>
            </w:r>
          </w:p>
        </w:tc>
        <w:tc>
          <w:tcPr>
            <w:tcW w:w="722" w:type="dxa"/>
          </w:tcPr>
          <w:p w14:paraId="60F4A1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r>
      <w:tr w:rsidR="00643896" w:rsidRPr="00640820" w14:paraId="541CC00A" w14:textId="77777777" w:rsidTr="000D3BCB">
        <w:tc>
          <w:tcPr>
            <w:tcW w:w="800" w:type="dxa"/>
          </w:tcPr>
          <w:p w14:paraId="417281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 т.ч. принятых</w:t>
            </w:r>
          </w:p>
        </w:tc>
        <w:tc>
          <w:tcPr>
            <w:tcW w:w="800" w:type="dxa"/>
          </w:tcPr>
          <w:p w14:paraId="60D2CC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1209AC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w:t>
            </w:r>
          </w:p>
        </w:tc>
        <w:tc>
          <w:tcPr>
            <w:tcW w:w="800" w:type="dxa"/>
          </w:tcPr>
          <w:p w14:paraId="1836F3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31</w:t>
            </w:r>
          </w:p>
        </w:tc>
        <w:tc>
          <w:tcPr>
            <w:tcW w:w="800" w:type="dxa"/>
          </w:tcPr>
          <w:p w14:paraId="0F2D92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54</w:t>
            </w:r>
          </w:p>
        </w:tc>
        <w:tc>
          <w:tcPr>
            <w:tcW w:w="800" w:type="dxa"/>
          </w:tcPr>
          <w:p w14:paraId="626498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83</w:t>
            </w:r>
          </w:p>
        </w:tc>
        <w:tc>
          <w:tcPr>
            <w:tcW w:w="800" w:type="dxa"/>
          </w:tcPr>
          <w:p w14:paraId="483F7A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117</w:t>
            </w:r>
          </w:p>
        </w:tc>
        <w:tc>
          <w:tcPr>
            <w:tcW w:w="800" w:type="dxa"/>
          </w:tcPr>
          <w:p w14:paraId="465DAE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57</w:t>
            </w:r>
          </w:p>
        </w:tc>
        <w:tc>
          <w:tcPr>
            <w:tcW w:w="800" w:type="dxa"/>
          </w:tcPr>
          <w:p w14:paraId="1301EA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60</w:t>
            </w:r>
          </w:p>
        </w:tc>
        <w:tc>
          <w:tcPr>
            <w:tcW w:w="988" w:type="dxa"/>
          </w:tcPr>
          <w:p w14:paraId="4B8937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73</w:t>
            </w:r>
          </w:p>
        </w:tc>
        <w:tc>
          <w:tcPr>
            <w:tcW w:w="851" w:type="dxa"/>
          </w:tcPr>
          <w:p w14:paraId="6A1291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98</w:t>
            </w:r>
          </w:p>
        </w:tc>
        <w:tc>
          <w:tcPr>
            <w:tcW w:w="722" w:type="dxa"/>
          </w:tcPr>
          <w:p w14:paraId="655EB4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71</w:t>
            </w:r>
          </w:p>
        </w:tc>
        <w:tc>
          <w:tcPr>
            <w:tcW w:w="722" w:type="dxa"/>
          </w:tcPr>
          <w:p w14:paraId="7D4778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98</w:t>
            </w:r>
          </w:p>
        </w:tc>
        <w:tc>
          <w:tcPr>
            <w:tcW w:w="722" w:type="dxa"/>
          </w:tcPr>
          <w:p w14:paraId="39E653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r>
      <w:tr w:rsidR="00643896" w:rsidRPr="00640820" w14:paraId="45939B20" w14:textId="77777777" w:rsidTr="000D3BCB">
        <w:tc>
          <w:tcPr>
            <w:tcW w:w="800" w:type="dxa"/>
            <w:tcBorders>
              <w:bottom w:val="single" w:sz="12" w:space="0" w:color="auto"/>
            </w:tcBorders>
          </w:tcPr>
          <w:p w14:paraId="6E0028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 т.ч. облетанных</w:t>
            </w:r>
          </w:p>
        </w:tc>
        <w:tc>
          <w:tcPr>
            <w:tcW w:w="800" w:type="dxa"/>
            <w:tcBorders>
              <w:bottom w:val="single" w:sz="12" w:space="0" w:color="auto"/>
            </w:tcBorders>
          </w:tcPr>
          <w:p w14:paraId="17144F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Borders>
              <w:bottom w:val="single" w:sz="12" w:space="0" w:color="auto"/>
            </w:tcBorders>
          </w:tcPr>
          <w:p w14:paraId="012D5E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Borders>
              <w:bottom w:val="single" w:sz="12" w:space="0" w:color="auto"/>
            </w:tcBorders>
          </w:tcPr>
          <w:p w14:paraId="448BDA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w:t>
            </w:r>
          </w:p>
        </w:tc>
        <w:tc>
          <w:tcPr>
            <w:tcW w:w="800" w:type="dxa"/>
            <w:tcBorders>
              <w:bottom w:val="single" w:sz="12" w:space="0" w:color="auto"/>
            </w:tcBorders>
          </w:tcPr>
          <w:p w14:paraId="4454EF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Borders>
              <w:bottom w:val="single" w:sz="12" w:space="0" w:color="auto"/>
            </w:tcBorders>
          </w:tcPr>
          <w:p w14:paraId="09643E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Borders>
              <w:bottom w:val="single" w:sz="12" w:space="0" w:color="auto"/>
            </w:tcBorders>
          </w:tcPr>
          <w:p w14:paraId="65B557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Borders>
              <w:bottom w:val="single" w:sz="12" w:space="0" w:color="auto"/>
            </w:tcBorders>
          </w:tcPr>
          <w:p w14:paraId="78DA39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w:t>
            </w:r>
          </w:p>
        </w:tc>
        <w:tc>
          <w:tcPr>
            <w:tcW w:w="800" w:type="dxa"/>
            <w:tcBorders>
              <w:bottom w:val="single" w:sz="12" w:space="0" w:color="auto"/>
            </w:tcBorders>
          </w:tcPr>
          <w:p w14:paraId="66D766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59</w:t>
            </w:r>
          </w:p>
        </w:tc>
        <w:tc>
          <w:tcPr>
            <w:tcW w:w="988" w:type="dxa"/>
            <w:tcBorders>
              <w:bottom w:val="single" w:sz="12" w:space="0" w:color="auto"/>
            </w:tcBorders>
          </w:tcPr>
          <w:p w14:paraId="70925A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60</w:t>
            </w:r>
          </w:p>
        </w:tc>
        <w:tc>
          <w:tcPr>
            <w:tcW w:w="851" w:type="dxa"/>
            <w:tcBorders>
              <w:bottom w:val="single" w:sz="12" w:space="0" w:color="auto"/>
            </w:tcBorders>
          </w:tcPr>
          <w:p w14:paraId="39B7B8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Borders>
              <w:bottom w:val="single" w:sz="12" w:space="0" w:color="auto"/>
            </w:tcBorders>
          </w:tcPr>
          <w:p w14:paraId="583D38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59</w:t>
            </w:r>
          </w:p>
        </w:tc>
        <w:tc>
          <w:tcPr>
            <w:tcW w:w="722" w:type="dxa"/>
            <w:tcBorders>
              <w:bottom w:val="single" w:sz="12" w:space="0" w:color="auto"/>
            </w:tcBorders>
          </w:tcPr>
          <w:p w14:paraId="3FA8BF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48</w:t>
            </w:r>
          </w:p>
        </w:tc>
        <w:tc>
          <w:tcPr>
            <w:tcW w:w="722" w:type="dxa"/>
            <w:tcBorders>
              <w:bottom w:val="single" w:sz="12" w:space="0" w:color="auto"/>
            </w:tcBorders>
          </w:tcPr>
          <w:p w14:paraId="47C758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r>
    </w:tbl>
    <w:p w14:paraId="4AB2FE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План, установленный приказом наркома авиапромышленности № 568сс от 24 июня 194</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 xml:space="preserve"> г. в изменение приказа № 702сс от 9 декабря 1940 г.</w:t>
      </w:r>
    </w:p>
    <w:p w14:paraId="4FEBB8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Приведены данные по РГАЭ ф.8040 оп.1 д.886 л.9.</w:t>
      </w:r>
    </w:p>
    <w:p w14:paraId="211D42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 Из этого числа в деталях и агрегатах (или как тогда говорили "россыпью") пять Як-1, которые были отправлены 14.01.42 г. на завод № 30 для организации производства. На этом заводе к сборке самолетов так и не приступили. Задел деталей был передан 20 февраля на завод № 23, а затем 6 мая 1942 г. на завод № 301. Машины №№ 1749, 2549, 2749, 2949, 3349 "увидели свет" только в 1943 году. Причем летная жизнь самолетов № 2749 и 3349 оказалась недолгой (меньше одного часа!). При перелете в часть после взлета с заводского аэродрома оба были разбиты при вынужденной посадке из-за отказа мотора. А также </w:t>
      </w:r>
      <w:r w:rsidRPr="00640820">
        <w:rPr>
          <w:rFonts w:ascii="Times New Roman" w:hAnsi="Times New Roman"/>
          <w:color w:val="000000" w:themeColor="text1"/>
          <w:sz w:val="16"/>
          <w:szCs w:val="16"/>
          <w:lang w:val="en-US"/>
        </w:rPr>
        <w:t>II</w:t>
      </w:r>
      <w:r w:rsidRPr="00640820">
        <w:rPr>
          <w:rFonts w:ascii="Times New Roman" w:hAnsi="Times New Roman"/>
          <w:color w:val="000000" w:themeColor="text1"/>
          <w:sz w:val="16"/>
          <w:szCs w:val="16"/>
        </w:rPr>
        <w:t xml:space="preserve"> Як-1, отправленные россыпью для организации производства на заводе № 47. Там в начале 1942 г. собрали всего две машины (№ 4844 и № 4944, которые поступили с моторами). Остальные машины (три в расстыкованном состоянии) и агрегаты еще на шесть самолетов россыпью вернули на завод № 292 в июне 1942 г.</w:t>
      </w:r>
    </w:p>
    <w:p w14:paraId="7A79D6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В это число входят Як-1 не подлежавшие военной приемке № 1111 (отправлен на завод № 115), № 1811 (отправлен в ЛИИ НКАП) и Як-1 № 1314 (проходивий эксплуатационные испытания на заводе)</w:t>
      </w:r>
    </w:p>
    <w:p w14:paraId="2F1F8C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5. Як-1 № 0915 не подлежавший военной приемке, отправленный в ЛИИ НКАП.</w:t>
      </w:r>
    </w:p>
    <w:p w14:paraId="685E42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Як-1 № 0130 отправленый на завод № 26</w:t>
      </w:r>
    </w:p>
    <w:p w14:paraId="031C8D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11 Як-1 россыпью на завод № 47.</w:t>
      </w:r>
    </w:p>
    <w:p w14:paraId="7967EF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8. В том числе 76 для ГУ </w:t>
      </w:r>
      <w:r w:rsidRPr="00640820">
        <w:rPr>
          <w:rFonts w:ascii="Times New Roman" w:hAnsi="Times New Roman"/>
          <w:color w:val="000000" w:themeColor="text1"/>
          <w:sz w:val="16"/>
          <w:szCs w:val="16"/>
          <w:lang w:val="en-US"/>
        </w:rPr>
        <w:t>BBC</w:t>
      </w:r>
      <w:r w:rsidRPr="00640820">
        <w:rPr>
          <w:rFonts w:ascii="Times New Roman" w:hAnsi="Times New Roman"/>
          <w:color w:val="000000" w:themeColor="text1"/>
          <w:sz w:val="16"/>
          <w:szCs w:val="16"/>
        </w:rPr>
        <w:t xml:space="preserve"> КА, 22 для УА ВМФ, пять Як-1 россыпью для завода № 30 (12048).</w:t>
      </w:r>
    </w:p>
    <w:p w14:paraId="2353E7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4D81BC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ноября 1941 г. первый эшелон с хозяйством завода № 51 прибыл в Но</w:t>
      </w:r>
      <w:r w:rsidRPr="00640820">
        <w:rPr>
          <w:rFonts w:ascii="Times New Roman" w:hAnsi="Times New Roman"/>
          <w:color w:val="000000" w:themeColor="text1"/>
          <w:sz w:val="16"/>
          <w:szCs w:val="16"/>
        </w:rPr>
        <w:softHyphen/>
        <w:t>восибирск, где для поликарповского коллекти</w:t>
      </w:r>
      <w:r w:rsidRPr="00640820">
        <w:rPr>
          <w:rFonts w:ascii="Times New Roman" w:hAnsi="Times New Roman"/>
          <w:color w:val="000000" w:themeColor="text1"/>
          <w:sz w:val="16"/>
          <w:szCs w:val="16"/>
        </w:rPr>
        <w:softHyphen/>
        <w:t>ва отвели помещение городского цирка и аэроклубовский аэродром. До конца года в услови</w:t>
      </w:r>
      <w:r w:rsidRPr="00640820">
        <w:rPr>
          <w:rFonts w:ascii="Times New Roman" w:hAnsi="Times New Roman"/>
          <w:color w:val="000000" w:themeColor="text1"/>
          <w:sz w:val="16"/>
          <w:szCs w:val="16"/>
        </w:rPr>
        <w:softHyphen/>
        <w:t>ях холодной зимы велось оборудование произ</w:t>
      </w:r>
      <w:r w:rsidRPr="00640820">
        <w:rPr>
          <w:rFonts w:ascii="Times New Roman" w:hAnsi="Times New Roman"/>
          <w:color w:val="000000" w:themeColor="text1"/>
          <w:sz w:val="16"/>
          <w:szCs w:val="16"/>
        </w:rPr>
        <w:softHyphen/>
        <w:t>водственных помещений, позволившее с начала 1942 г. прежде всего возобновить деятель</w:t>
      </w:r>
      <w:r w:rsidRPr="00640820">
        <w:rPr>
          <w:rFonts w:ascii="Times New Roman" w:hAnsi="Times New Roman"/>
          <w:color w:val="000000" w:themeColor="text1"/>
          <w:sz w:val="16"/>
          <w:szCs w:val="16"/>
        </w:rPr>
        <w:softHyphen/>
        <w:t>ность по подготовке построенных опытных са</w:t>
      </w:r>
      <w:r w:rsidRPr="00640820">
        <w:rPr>
          <w:rFonts w:ascii="Times New Roman" w:hAnsi="Times New Roman"/>
          <w:color w:val="000000" w:themeColor="text1"/>
          <w:sz w:val="16"/>
          <w:szCs w:val="16"/>
        </w:rPr>
        <w:softHyphen/>
        <w:t>молетов к продолжению летных испытаний (9979).</w:t>
      </w:r>
    </w:p>
    <w:p w14:paraId="51AECC9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EB2C72" w14:textId="77777777" w:rsidR="00F22E3E" w:rsidRPr="00640820" w:rsidRDefault="00F22E3E"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2 ноября 1941 г. первый эшелон с людьми, обору</w:t>
      </w:r>
      <w:r w:rsidRPr="00640820">
        <w:rPr>
          <w:rFonts w:ascii="Times New Roman" w:cs="Times New Roman"/>
          <w:color w:val="000000" w:themeColor="text1"/>
          <w:spacing w:val="0"/>
        </w:rPr>
        <w:softHyphen/>
        <w:t>дованием и материалами завода №51 и ОКБ Поликарпова прибыл в Новоси</w:t>
      </w:r>
      <w:r w:rsidRPr="00640820">
        <w:rPr>
          <w:rFonts w:ascii="Times New Roman" w:cs="Times New Roman"/>
          <w:color w:val="000000" w:themeColor="text1"/>
          <w:spacing w:val="0"/>
        </w:rPr>
        <w:softHyphen/>
        <w:t>бирск, а последний - лишь в конце января 1942 г.</w:t>
      </w:r>
    </w:p>
    <w:p w14:paraId="0E14F3B9" w14:textId="77777777" w:rsidR="00F22E3E" w:rsidRPr="00640820" w:rsidRDefault="00F22E3E"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В Новосибирске завод №51 и ОКБ в качестве производственной площадки получили гараж Облтранса. Летной ба</w:t>
      </w:r>
      <w:r w:rsidRPr="00640820">
        <w:rPr>
          <w:rFonts w:ascii="Times New Roman" w:cs="Times New Roman"/>
          <w:color w:val="000000" w:themeColor="text1"/>
          <w:spacing w:val="0"/>
        </w:rPr>
        <w:softHyphen/>
        <w:t>зой стал аэродром Толмачево.</w:t>
      </w:r>
    </w:p>
    <w:p w14:paraId="54D6BFAC" w14:textId="77777777" w:rsidR="00F22E3E" w:rsidRPr="00640820" w:rsidRDefault="00F22E3E" w:rsidP="00640820">
      <w:pPr>
        <w:pStyle w:val="45"/>
        <w:shd w:val="clear" w:color="auto" w:fill="auto"/>
        <w:spacing w:before="0" w:line="240" w:lineRule="auto"/>
        <w:jc w:val="both"/>
        <w:rPr>
          <w:rFonts w:ascii="Times New Roman" w:cs="Times New Roman"/>
          <w:color w:val="000000" w:themeColor="text1"/>
          <w:sz w:val="16"/>
          <w:szCs w:val="16"/>
        </w:rPr>
      </w:pPr>
      <w:r w:rsidRPr="00640820">
        <w:rPr>
          <w:rStyle w:val="4f0"/>
          <w:rFonts w:ascii="Times New Roman" w:hAnsi="Times New Roman" w:cs="Times New Roman"/>
          <w:i w:val="0"/>
          <w:color w:val="000000" w:themeColor="text1"/>
          <w:sz w:val="16"/>
          <w:szCs w:val="16"/>
        </w:rPr>
        <w:t>Как указывалось в отчетных доку</w:t>
      </w:r>
      <w:r w:rsidRPr="00640820">
        <w:rPr>
          <w:rStyle w:val="4f0"/>
          <w:rFonts w:ascii="Times New Roman" w:hAnsi="Times New Roman" w:cs="Times New Roman"/>
          <w:i w:val="0"/>
          <w:color w:val="000000" w:themeColor="text1"/>
          <w:sz w:val="16"/>
          <w:szCs w:val="16"/>
        </w:rPr>
        <w:softHyphen/>
        <w:t>ментах завода:</w:t>
      </w:r>
      <w:r w:rsidRPr="00640820">
        <w:rPr>
          <w:rFonts w:ascii="Times New Roman" w:cs="Times New Roman"/>
          <w:color w:val="000000" w:themeColor="text1"/>
          <w:sz w:val="16"/>
          <w:szCs w:val="16"/>
        </w:rPr>
        <w:t xml:space="preserve"> «Отведенное помеще</w:t>
      </w:r>
      <w:r w:rsidRPr="00640820">
        <w:rPr>
          <w:rFonts w:ascii="Times New Roman" w:cs="Times New Roman"/>
          <w:color w:val="000000" w:themeColor="text1"/>
          <w:sz w:val="16"/>
          <w:szCs w:val="16"/>
        </w:rPr>
        <w:softHyphen/>
        <w:t>ние под завод (бывший гараж Облтран</w:t>
      </w:r>
      <w:r w:rsidRPr="00640820">
        <w:rPr>
          <w:rFonts w:ascii="Times New Roman" w:cs="Times New Roman"/>
          <w:color w:val="000000" w:themeColor="text1"/>
          <w:sz w:val="16"/>
          <w:szCs w:val="16"/>
        </w:rPr>
        <w:softHyphen/>
        <w:t>са) совершенно не приспособлено для производства самолетостроения, как- то: не имеет ввода для нормально</w:t>
      </w:r>
      <w:r w:rsidRPr="00640820">
        <w:rPr>
          <w:rFonts w:ascii="Times New Roman" w:cs="Times New Roman"/>
          <w:color w:val="000000" w:themeColor="text1"/>
          <w:sz w:val="16"/>
          <w:szCs w:val="16"/>
        </w:rPr>
        <w:softHyphen/>
        <w:t>го электропитания, нет водоснабжения и полное отсутствие подсобных поме</w:t>
      </w:r>
      <w:r w:rsidRPr="00640820">
        <w:rPr>
          <w:rFonts w:ascii="Times New Roman" w:cs="Times New Roman"/>
          <w:color w:val="000000" w:themeColor="text1"/>
          <w:sz w:val="16"/>
          <w:szCs w:val="16"/>
        </w:rPr>
        <w:softHyphen/>
        <w:t>щений, мастерских. Можно сказать, что имеются лишь стены и крыша».</w:t>
      </w:r>
    </w:p>
    <w:p w14:paraId="4D83FD8E" w14:textId="77777777" w:rsidR="00F22E3E" w:rsidRPr="00640820" w:rsidRDefault="00F22E3E"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Для нормальной работы завода тре</w:t>
      </w:r>
      <w:r w:rsidRPr="00640820">
        <w:rPr>
          <w:rFonts w:ascii="Times New Roman" w:cs="Times New Roman"/>
          <w:color w:val="000000" w:themeColor="text1"/>
          <w:spacing w:val="0"/>
        </w:rPr>
        <w:softHyphen/>
        <w:t>бовалось построить и пустить в экс</w:t>
      </w:r>
      <w:r w:rsidRPr="00640820">
        <w:rPr>
          <w:rFonts w:ascii="Times New Roman" w:cs="Times New Roman"/>
          <w:color w:val="000000" w:themeColor="text1"/>
          <w:spacing w:val="0"/>
        </w:rPr>
        <w:softHyphen/>
        <w:t>плуатацию: электроподстанцию, меха</w:t>
      </w:r>
      <w:r w:rsidRPr="00640820">
        <w:rPr>
          <w:rFonts w:ascii="Times New Roman" w:cs="Times New Roman"/>
          <w:color w:val="000000" w:themeColor="text1"/>
          <w:spacing w:val="0"/>
        </w:rPr>
        <w:softHyphen/>
        <w:t>нический, литейный и кузнечный цеха, мастерские по сварке, гальванике, тер</w:t>
      </w:r>
      <w:r w:rsidRPr="00640820">
        <w:rPr>
          <w:rFonts w:ascii="Times New Roman" w:cs="Times New Roman"/>
          <w:color w:val="000000" w:themeColor="text1"/>
          <w:spacing w:val="0"/>
        </w:rPr>
        <w:softHyphen/>
        <w:t>мической обработке черных и цветных металлов.</w:t>
      </w:r>
    </w:p>
    <w:p w14:paraId="5BA302C8" w14:textId="77777777" w:rsidR="00F22E3E" w:rsidRPr="00640820" w:rsidRDefault="00F22E3E"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Отметим, что по первоначальным планам ОКБ Поликарпова и завод №51 в Новосибирске должны были «призем</w:t>
      </w:r>
      <w:r w:rsidRPr="00640820">
        <w:rPr>
          <w:rFonts w:ascii="Times New Roman" w:cs="Times New Roman"/>
          <w:color w:val="000000" w:themeColor="text1"/>
          <w:spacing w:val="0"/>
        </w:rPr>
        <w:softHyphen/>
        <w:t>литься» на территорию завода №153. Но его облюбовал замнаркома А.С. Яков</w:t>
      </w:r>
      <w:r w:rsidRPr="00640820">
        <w:rPr>
          <w:rFonts w:ascii="Times New Roman" w:cs="Times New Roman"/>
          <w:color w:val="000000" w:themeColor="text1"/>
          <w:spacing w:val="0"/>
        </w:rPr>
        <w:softHyphen/>
        <w:t>лев. Как известно, в соответствии с по</w:t>
      </w:r>
      <w:r w:rsidRPr="00640820">
        <w:rPr>
          <w:rFonts w:ascii="Times New Roman" w:cs="Times New Roman"/>
          <w:color w:val="000000" w:themeColor="text1"/>
          <w:spacing w:val="0"/>
        </w:rPr>
        <w:softHyphen/>
        <w:t>становлениями ГКО от 14 и 23 августа 1941 г. завод №153 параллельно выпу</w:t>
      </w:r>
      <w:r w:rsidRPr="00640820">
        <w:rPr>
          <w:rFonts w:ascii="Times New Roman" w:cs="Times New Roman"/>
          <w:color w:val="000000" w:themeColor="text1"/>
          <w:spacing w:val="0"/>
        </w:rPr>
        <w:softHyphen/>
        <w:t>скал истребители ЛаГГ-3 и Як-7. В де</w:t>
      </w:r>
      <w:r w:rsidRPr="00640820">
        <w:rPr>
          <w:rFonts w:ascii="Times New Roman" w:cs="Times New Roman"/>
          <w:color w:val="000000" w:themeColor="text1"/>
          <w:spacing w:val="0"/>
        </w:rPr>
        <w:softHyphen/>
        <w:t>кабре 1941 г. решением ГКО произ</w:t>
      </w:r>
      <w:r w:rsidRPr="00640820">
        <w:rPr>
          <w:rFonts w:ascii="Times New Roman" w:cs="Times New Roman"/>
          <w:color w:val="000000" w:themeColor="text1"/>
          <w:spacing w:val="0"/>
        </w:rPr>
        <w:softHyphen/>
        <w:t>водство ЛаГГ-3 в Новосибирске было свернуто в пользу Як-7 (15755).</w:t>
      </w:r>
    </w:p>
    <w:p w14:paraId="17AE9677" w14:textId="77777777" w:rsidR="00F22E3E" w:rsidRPr="00640820" w:rsidRDefault="00F22E3E" w:rsidP="00640820">
      <w:pPr>
        <w:spacing w:after="0" w:line="240" w:lineRule="auto"/>
        <w:jc w:val="both"/>
        <w:rPr>
          <w:rFonts w:ascii="Times New Roman" w:hAnsi="Times New Roman"/>
          <w:color w:val="000000" w:themeColor="text1"/>
          <w:sz w:val="16"/>
          <w:szCs w:val="16"/>
        </w:rPr>
      </w:pPr>
    </w:p>
    <w:p w14:paraId="1FCF049C" w14:textId="77777777" w:rsidR="00112F2A" w:rsidRPr="00640820" w:rsidRDefault="00112F2A"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 ноября 1941 пришло указание о перегоне части самолетов ОКБ ННП в Новосибирск своим ходом, заодно проведя замеры дальности. Оно коснулось и И-185 М-71 №6202. Пролетев менее 200 км, летчик Попельнушенко был вынужден садиться на фюзеляж у Шатуры из-за отказа М-71. Эвакуировать И-185 возможности не было, и он пролежал в снегу до января 1942 г., пока не был вывезен в Москву. Ремонт поручили заводу №482, но тот с незнакомым изделием ничего не мог сделать и 12 мая И-185 передали московскому филиалу завода №51, который вернул его в строй лишь 18 марта 1943 г. (17736)</w:t>
      </w:r>
    </w:p>
    <w:p w14:paraId="63F0A30C" w14:textId="77777777" w:rsidR="00112F2A" w:rsidRPr="00640820" w:rsidRDefault="00112F2A" w:rsidP="00640820">
      <w:pPr>
        <w:pStyle w:val="129"/>
        <w:shd w:val="clear" w:color="auto" w:fill="auto"/>
        <w:spacing w:after="0" w:line="240" w:lineRule="auto"/>
        <w:jc w:val="both"/>
        <w:rPr>
          <w:color w:val="000000" w:themeColor="text1"/>
          <w:sz w:val="16"/>
          <w:szCs w:val="16"/>
        </w:rPr>
      </w:pPr>
    </w:p>
    <w:p w14:paraId="21ABDD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ноября 1941 года организованные 27 октября 1941 года на оставшихся после эвакуации завода площадях завода 134, фронтовые мастерские по ремонту радиаторов, являвшиеся филиалом эвакуированного завода № 34, получил для ремонта первую партию радиаторов (9433).</w:t>
      </w:r>
    </w:p>
    <w:p w14:paraId="594BFF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3940D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 2 ноября 1941 г. (размещение закончено 17.11.1941 г.) ОКБ завода № 20</w:t>
      </w:r>
    </w:p>
    <w:p w14:paraId="71C8C5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20 ВСНХ, НКТП, НКОП, НКАП, Омский агрегатный завод им. В.В. Куйбышева МАП, Омское НПО «Агрегат», АООТ, ОАО «Омский агрегатный завод», ОАО «Акционерная компания (АК) «Омскагрегат» / г. Москва Старопетровский пр., 41;  г. Омск/ /644007  г. Омск ул. Герцена, 48 тел. 25-05-88,25-12-97/), эвакуированного в Омск, стало ОКБ-20 НКАП (ОКБ завода № 20 НКАП, ОКБ-20 НКАП, МАП, Омское машиностроительное КБ (ОМКБ), АООТ, ОАО «ОМКБ» / г. Москва;  г. Омск ул. Герцена, 74 (1947 г.)/ /644116  г. Омск ул. Герцена, 312 тел. 68-17-03/).</w:t>
      </w:r>
    </w:p>
    <w:p w14:paraId="3E41BB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136с от 8.03.1943 г. часть оборудования и специалистов ОКБ были переданы для укрепления в ОКБ завода № 315 НКАП.</w:t>
      </w:r>
    </w:p>
    <w:p w14:paraId="7AC6AB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453с от 30.07.1943 г. на площадке завода № 451 НКАП организован филиал ОКБ завода № 20 по разработке и выпуску опытных агрегатов. Для этого в Москву переведено необходимое оборудование и 50 работников ОКБ из Омска. Далее филиал преобразован в ОКБ-451.</w:t>
      </w:r>
    </w:p>
    <w:p w14:paraId="32AD71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143с от 19.03.1946 г. ОКБ-451 стало головным, а ОКБ завода № 20 получило статус его филиала. По приказу № 299с от 15.05.1946 г. начальником филиала назначен Н.И. Топорский.</w:t>
      </w:r>
    </w:p>
    <w:p w14:paraId="42F31F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МАП № 436с от 5.07.1947 г. филиал преобразован в ОКБ-20 МАП при 8ГУ. В 08.1957 г.- в ведении ЗГУ МАП.</w:t>
      </w:r>
    </w:p>
    <w:p w14:paraId="04116E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Разработка топливных насосов (1947-56 г.), систем топливопитания и регулирования ГТД: для ГТД-ЗФ (1961 г.), АИ-25, Д-36, Д-136, Д-18, АИ-24, подъемных двигателей, АИ-336 и АИ-22 (1990-е  г.). Разработка агрегатов системы смазки для РД-012. Струйные насосы (с 1963 г.). Агрегаты и системы для ВСУ: ТА-4ФА, ТА- 6А, ТА-8, ТА-12, ВСУ-10.</w:t>
      </w:r>
    </w:p>
    <w:p w14:paraId="2BB9DC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(2002 г.): разработка топливорегулирующей аппаратуры для ГТД, насосов различного назначения, гидравлического инструмента; промышленные счетчики газа.</w:t>
      </w:r>
    </w:p>
    <w:p w14:paraId="145FFE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41B902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(10.1940-02.1944 г.-)- П.Н. Тарасов, (07.1947-51 г.)- А.Н. Мельников, (1951-52 г.)- Н.И. Серяков, (1952-69 г.)- М.М. Тимофеев, (1969-74 г.)- П.Н. Мощенко, (1974-80 г.)- В.Ф. Березкин, (1980-2002 г.-)- А.А. Кульков,</w:t>
      </w:r>
      <w:r w:rsidRPr="00640820">
        <w:rPr>
          <w:rFonts w:ascii="Times New Roman" w:hAnsi="Times New Roman"/>
          <w:color w:val="000000" w:themeColor="text1"/>
          <w:sz w:val="16"/>
          <w:szCs w:val="16"/>
          <w:vertAlign w:val="superscript"/>
        </w:rPr>
        <w:t>49</w:t>
      </w:r>
      <w:r w:rsidRPr="00640820">
        <w:rPr>
          <w:rFonts w:ascii="Times New Roman" w:hAnsi="Times New Roman"/>
          <w:color w:val="000000" w:themeColor="text1"/>
          <w:sz w:val="16"/>
          <w:szCs w:val="16"/>
        </w:rPr>
        <w:t xml:space="preserve"> (2003-06 г.-)- Л. Г. Штеренберг {13.04.1946-}.</w:t>
      </w:r>
    </w:p>
    <w:p w14:paraId="7197D9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Гендиректор (1982-90 г.; 1992-2002 г.-&gt; А.А. Кульков, (2003-06 г.-)- Л. Г. Штеренбер г.</w:t>
      </w:r>
    </w:p>
    <w:p w14:paraId="697F8F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гл. конструктора (1975 г.-)- А.А. Кульков. Зам. гл. конструктора (-10.1940 г.)- А.Н. Мельников, (1943 г.)- С.Я. Ясинский, (2002 г.)- Ю.Н. Сушков, (2002 г.)- А.Б. Каплан.</w:t>
      </w:r>
    </w:p>
    <w:p w14:paraId="5DBEEA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Гл. инженер (2002 г.)- </w:t>
      </w:r>
      <w:r w:rsidRPr="00640820">
        <w:rPr>
          <w:rFonts w:ascii="Times New Roman" w:hAnsi="Times New Roman"/>
          <w:color w:val="000000" w:themeColor="text1"/>
          <w:sz w:val="16"/>
          <w:szCs w:val="16"/>
          <w:lang w:val="en-US"/>
        </w:rPr>
        <w:t>JI</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 Куров.</w:t>
      </w:r>
    </w:p>
    <w:p w14:paraId="0026BE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гендиректора: по экономике (-2002-03 г.)- Л. Г. Штеренбер г.</w:t>
      </w:r>
      <w:r w:rsidRPr="00640820">
        <w:rPr>
          <w:rFonts w:ascii="Times New Roman" w:hAnsi="Times New Roman"/>
          <w:color w:val="000000" w:themeColor="text1"/>
          <w:sz w:val="16"/>
          <w:szCs w:val="16"/>
          <w:vertAlign w:val="superscript"/>
        </w:rPr>
        <w:t>69</w:t>
      </w:r>
    </w:p>
    <w:p w14:paraId="6957FE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филиала (1943 г.-)- С.Я. Ясинский.</w:t>
      </w:r>
    </w:p>
    <w:p w14:paraId="6FCC70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КО- Л. Г. Штеренбер г.</w:t>
      </w:r>
    </w:p>
    <w:p w14:paraId="11006B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бригады- Л. Г. Штеренбер (11982).</w:t>
      </w:r>
    </w:p>
    <w:p w14:paraId="5817602F" w14:textId="77777777" w:rsidR="00F22E3E" w:rsidRPr="00640820" w:rsidRDefault="00F22E3E"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3D1C717"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71CF72ED"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E78E9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ноября 1941 вышло Постановление ГКО № 861 О программе производства танков в ноябре месяце 1941 г. РГАНИР, Фонд ГКО, д. 13, лл. 179-180 (11012).</w:t>
      </w:r>
    </w:p>
    <w:p w14:paraId="3F9FFA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8AC84B5" w14:textId="77777777" w:rsidR="00DD6711" w:rsidRPr="00640820" w:rsidRDefault="00DD6711" w:rsidP="00640820">
      <w:pPr>
        <w:shd w:val="clear" w:color="auto" w:fill="FFFFFF"/>
        <w:spacing w:after="0" w:line="240" w:lineRule="auto"/>
        <w:jc w:val="both"/>
        <w:rPr>
          <w:rFonts w:ascii="Times New Roman" w:eastAsia="Times New Roman" w:hAnsi="Times New Roman"/>
          <w:color w:val="0070C0"/>
          <w:sz w:val="16"/>
          <w:szCs w:val="16"/>
          <w:lang w:eastAsia="ru-RU"/>
        </w:rPr>
      </w:pPr>
      <w:r w:rsidRPr="00640820">
        <w:rPr>
          <w:rFonts w:ascii="Times New Roman" w:eastAsia="Times New Roman" w:hAnsi="Times New Roman"/>
          <w:color w:val="0070C0"/>
          <w:sz w:val="16"/>
          <w:szCs w:val="16"/>
          <w:lang w:eastAsia="ru-RU"/>
        </w:rPr>
        <w:t>2 ноября 1941 года Сталин подписал постановление ГКО №861сс "О программе производства танков в ноябре 1941 г". Согласно ему, от ЧТЗ ждали в ноябре 200 танков, причем цифру эту далее увеличили до 220. В таких условиях возникал реальный риск остаться без орудий. По этой причине 11 ноября 1941 года вышел приказ НКТП №22. Согласно ему, к 15 ноября ожидалось получение рабочих чертежей на "установку М-30 в башне КВ", а к 15 декабря планировалось изготовить опытный образец такого орудия. Также к 20 ноября предполагалось получить чертежи установки в башне КВ еще одной систему - 85-мм зенитной пушки 52-К. Исполнителем работ являлся Ижорский Завод, так в то время именовался УЗТМ (20860).</w:t>
      </w:r>
    </w:p>
    <w:p w14:paraId="0D6C14A2" w14:textId="77777777" w:rsidR="00DD6711" w:rsidRPr="00640820" w:rsidRDefault="00DD6711" w:rsidP="00640820">
      <w:pPr>
        <w:shd w:val="clear" w:color="auto" w:fill="FFFFFF"/>
        <w:spacing w:after="0" w:line="240" w:lineRule="auto"/>
        <w:jc w:val="both"/>
        <w:rPr>
          <w:rFonts w:ascii="Times New Roman" w:eastAsia="Times New Roman" w:hAnsi="Times New Roman"/>
          <w:color w:val="0070C0"/>
          <w:sz w:val="16"/>
          <w:szCs w:val="16"/>
          <w:lang w:eastAsia="ru-RU"/>
        </w:rPr>
      </w:pPr>
    </w:p>
    <w:p w14:paraId="774E5D2D"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145981B5"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8D1C80E" w14:textId="77777777" w:rsidR="003B58AD" w:rsidRPr="00640820" w:rsidRDefault="003B58AD"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2 ноября </w:t>
      </w:r>
      <w:r w:rsidRPr="00640820">
        <w:rPr>
          <w:rFonts w:ascii="Times New Roman" w:hAnsi="Times New Roman"/>
          <w:color w:val="000000" w:themeColor="text1"/>
          <w:sz w:val="16"/>
          <w:szCs w:val="16"/>
        </w:rPr>
        <w:t>в 1941 году утреннее сообщение Совинформбюро:</w:t>
      </w:r>
    </w:p>
    <w:p w14:paraId="32F4AFFB" w14:textId="77777777" w:rsidR="003B58AD" w:rsidRPr="00640820" w:rsidRDefault="003B58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2 ноября наши войска вели бои с противником на всех фронтах.</w:t>
      </w:r>
    </w:p>
    <w:p w14:paraId="7010036D" w14:textId="77777777" w:rsidR="003B58AD" w:rsidRPr="00640820" w:rsidRDefault="003B58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 наша часть, действующая на Западном фронте, 1 ноября уничтожила батальон немецкой пехоты, 11 противотанковых орудий, захватила более 20 пулемётов и большое количество снарядов и патронов.</w:t>
      </w:r>
    </w:p>
    <w:p w14:paraId="3160653C" w14:textId="77777777" w:rsidR="003B58AD" w:rsidRPr="00640820" w:rsidRDefault="003B58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Лётчики авиачасти тов. Вершинина, действующие на Южном фронте, уничтожили 16 вражеских танков, более 100 немецких автомашин с боеприпасами, 9 зенитных орудий и несколько зенитных пулемётов, свыше 700 человек пехоты противника.</w:t>
      </w:r>
    </w:p>
    <w:p w14:paraId="5A18735B" w14:textId="77777777" w:rsidR="003B58AD" w:rsidRPr="00640820" w:rsidRDefault="003B58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Образец мужества и отваги проявил красноармеец части майора Пустена тов. Костюшко. Во время обстрела неприятелем одного из участков нашей обороны вражеский снаряд попал в блиндаж, где находились боеприпасы. Начался пожар, грозивший уничтожить все снаряды. Красноармеец Костюшко бросился в блиндаж и стал засыпать горящие ящики песком. Мужественный боец, несмотря на ранение, с честью выполнил свой долг. Пожар был ликвидирован.</w:t>
      </w:r>
    </w:p>
    <w:p w14:paraId="770E4B9D" w14:textId="77777777" w:rsidR="003B58AD" w:rsidRPr="00640820" w:rsidRDefault="003B58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оккупированных фашистами районах Карело-Финской ССР партизаны каждый день совершают нападения на фашистские подразделения, на коммуникации и транспорты противника. Партизанский отряд под командованием тов. В. внезапно напал на обоз белофиннов. Уничтожив 15 белофинских солдат, партизаны захватили полевую почту, две повозки с обмундированием для солдат и офицеров. Партизаны неоднократно перерезали телефонно-кабельную линию. Отряд под командованием тов. П. на днях уничтожил в бою свыше 100 солдат противника. Рота белофиннов, двигавшаяся пешим порядком по направлению к фронту, устроила привал в лесу. Партизаны окружили белофиннов и открыли по ним огонь в тот момент, когда солдаты выстроились в очереди за обедом у полевой кухни. Этот же отряд во второй половине октября взорвал 2 базы горючего, склад с боеприпасами и поджёг склад с зимним обмундированием. Партизаны усиленно готовятся к борьбе в зимних условиях. Они заготовляют тёплую одежду, утепляют лагерь, запасают лыжи.</w:t>
      </w:r>
    </w:p>
    <w:p w14:paraId="7A77B2E7" w14:textId="77777777" w:rsidR="003B58AD" w:rsidRPr="00640820" w:rsidRDefault="003B58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С большим подъёмом проходит предоктябрьское соревнование в колхозах Горно-Бадахшанской автономной области (Памир). Досрочно выполнив годовой план доставок хлеба, овощей, картофеля, мяса, масла, брынзы, шерсти, кожсырья, сена, колхозы приступили к продаже государству излишков хлеба и других продуктов сельского хозяйства. Сотни тонн овощей и фуража проданы колхозами только по одному Шугнанскому району. Колхоз имени Сталина продал 120 тонн картофеля, колхоз имени Карла Маркса - 30 тонн. Многие колхозы деньги, полученные от продажи, вносят в фонд обороны страны.</w:t>
      </w:r>
    </w:p>
    <w:p w14:paraId="5D174546" w14:textId="77777777" w:rsidR="003B58AD" w:rsidRPr="00640820" w:rsidRDefault="003B58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Колхозы Горного Бадахшана полностью закончили озимый сев. В Рушане площадь озимых расширена на 150 гектаров, в Ванче — на 170. Впервые посеяна озимь в высокогорных кишлаках Андробского и Коздынского советов, Ишкашимского района. Состояние озимых в области отличное. Отмечается дружное кущение озимой пшеницы. Закончив полевые работы, десятки колхозов приступили к ремонту ирригационной сети и дорог.» (14818).</w:t>
      </w:r>
    </w:p>
    <w:p w14:paraId="60C963EC" w14:textId="77777777" w:rsidR="003B58AD" w:rsidRPr="00640820" w:rsidRDefault="003B58AD" w:rsidP="00640820">
      <w:pPr>
        <w:spacing w:after="0" w:line="240" w:lineRule="auto"/>
        <w:jc w:val="both"/>
        <w:rPr>
          <w:rFonts w:ascii="Times New Roman" w:hAnsi="Times New Roman"/>
          <w:color w:val="000000" w:themeColor="text1"/>
          <w:sz w:val="16"/>
          <w:szCs w:val="16"/>
        </w:rPr>
      </w:pPr>
    </w:p>
    <w:p w14:paraId="290B383E" w14:textId="77777777" w:rsidR="003B58AD" w:rsidRPr="00640820" w:rsidRDefault="003B58AD"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2 ноября </w:t>
      </w:r>
      <w:r w:rsidRPr="00640820">
        <w:rPr>
          <w:rFonts w:ascii="Times New Roman" w:hAnsi="Times New Roman"/>
          <w:color w:val="000000" w:themeColor="text1"/>
          <w:sz w:val="16"/>
          <w:szCs w:val="16"/>
        </w:rPr>
        <w:t>в 1941 году вечернее сообщение Совинформбюро:</w:t>
      </w:r>
    </w:p>
    <w:p w14:paraId="2E795E64" w14:textId="77777777" w:rsidR="003B58AD" w:rsidRPr="00640820" w:rsidRDefault="003B58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2 ноября наши войска вели бои с противником на всех фронтах. Особенно ожесточённые бои происходили на Крымском участке фронта.</w:t>
      </w:r>
    </w:p>
    <w:p w14:paraId="01270131" w14:textId="77777777" w:rsidR="003B58AD" w:rsidRPr="00640820" w:rsidRDefault="003B58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 ноября уничтожено 23 немецких самолёта. Наши потери — 8 самолётов.</w:t>
      </w:r>
    </w:p>
    <w:p w14:paraId="506566A1" w14:textId="77777777" w:rsidR="003B58AD" w:rsidRPr="00640820" w:rsidRDefault="003B58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 ноября под Москвой сбито 4 немецких самолёта.</w:t>
      </w:r>
    </w:p>
    <w:p w14:paraId="5D1F004F" w14:textId="77777777" w:rsidR="003B58AD" w:rsidRPr="00640820" w:rsidRDefault="003B58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 октября наша авиация уничтожила 80 немецких танков, 535 автомашин с боеприпасами и пехотой противника, около 30 орудий, более 20 зенитных точек, рассеяла и уничтожила более 2 полков немецкой пехоты.</w:t>
      </w:r>
    </w:p>
    <w:p w14:paraId="095BC97E" w14:textId="77777777" w:rsidR="003B58AD" w:rsidRPr="00640820" w:rsidRDefault="003B58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Западном и Южном фронтах 1 ноября нашей авиацией уничтожено 25 немецких танков, 10 бронемашин, 350 автомашин с пехотой и военными грузами, несколько штабных фургонов и более двух батальонов пехоты.</w:t>
      </w:r>
    </w:p>
    <w:p w14:paraId="214DA4BE" w14:textId="77777777" w:rsidR="003B58AD" w:rsidRPr="00640820" w:rsidRDefault="003B58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Героический поступок совершил красноармеец Энской части, действующей на Северо-Западном фронте, Лазарев. Он был окружён группой немецких солдат, просочившихся на нашу территорию. Лазарев храбро сопротивлялся. Однако немцы обезоружили его, и повели в расположение своей части. По пути они подошли к участку, заминированному нашими сапёрами. Лазарев знал о грозящей опасности, но ничего не сказал врагам, решив погибнуть сам и погубить фашистов. Раздался сильный взрыв. Через некоторое время раненый Лазарев очнулся и увидел нескольких немецких солдат, лежащих без движения. Превозмогая боль, Лазарев ползком добрался к месту нахождения своей части.</w:t>
      </w:r>
    </w:p>
    <w:p w14:paraId="3AB5C8D1" w14:textId="77777777" w:rsidR="003B58AD" w:rsidRPr="00640820" w:rsidRDefault="003B58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Успешно борются с фашистскими захватчиками партизаны Смоленской области. По неполным данным, за сентябрь и октябрь месяцы партизанами в боях с фашистами убито 287 немецких солдат и офицеров, уничтожено 8 вражеских танков, 10 самолётов, 6 орудий, 7 миномётов, 18 цистерн с горючим, 40 автомашин с боеприпасами. За это же время партизаны захватили 3 легковые машины, 22 мотоцикла, 46 велосипедов, взорвали и сожгли 7 складов с горючим и боеприпасами, 17 мостов, 4 зимних барака, 2 немецких штаба, 2 радиотелефонные станции и на 26 участках порвали провода связи.</w:t>
      </w:r>
    </w:p>
    <w:p w14:paraId="6AE5D1D0" w14:textId="77777777" w:rsidR="003B58AD" w:rsidRPr="00640820" w:rsidRDefault="003B58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каждым днём всё более обостряется борьба французского народа против фашистских оккупантов. Во всех городах Франции, оккупированных немцами, учащаются случаи убийств немецких солдат и офицеров французскими патриотами. Германские власти усиливают террор. В городах Виме и Понтье фашисты арестовали 28 человек. В Париже за последние дни брошено в тюрьмы свыше 3.000 человек. Сотни французских граждан приговорены немцами к смертной казни. Сейчас немцы пу стались на новую провокацию, объявив, что казнь заложников может быть отменена, если французы выдадут участников нападения на немецких офицеров. Французы не выдали участников покушения. Не помогли также немцам и обещания денежных наград. Недавно стало известно о следующем акте террора немцев: фашистские солдаты окружили 200 забастовавших рабочих, загнали их во двор фабрики, обнесённый колючей проволокой, а затем зверски избили.»</w:t>
      </w:r>
    </w:p>
    <w:p w14:paraId="0DAF1B3E" w14:textId="77777777" w:rsidR="003B58AD" w:rsidRPr="00640820" w:rsidRDefault="003B58AD" w:rsidP="00640820">
      <w:pPr>
        <w:spacing w:after="0" w:line="240" w:lineRule="auto"/>
        <w:jc w:val="both"/>
        <w:rPr>
          <w:rFonts w:ascii="Times New Roman" w:hAnsi="Times New Roman"/>
          <w:color w:val="000000" w:themeColor="text1"/>
          <w:sz w:val="16"/>
          <w:szCs w:val="16"/>
        </w:rPr>
      </w:pPr>
    </w:p>
    <w:p w14:paraId="11B4C49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ноября 1941 вышло Постановление ГКО № 859 [О передаче в Распоряжение ГКО Особой Западной авиагруппы ГУГВФ 150 самолетов У-2 из Осоавиахима.] (7014, 173).</w:t>
      </w:r>
    </w:p>
    <w:p w14:paraId="5EE7592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542E1E" w14:textId="77777777" w:rsidR="00165A9C" w:rsidRPr="00640820" w:rsidRDefault="00165A9C" w:rsidP="00640820">
      <w:pPr>
        <w:widowControl w:val="0"/>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ноября 1941 Распоряжением ГКО от предус</w:t>
      </w:r>
      <w:r w:rsidRPr="00640820">
        <w:rPr>
          <w:rFonts w:ascii="Times New Roman" w:hAnsi="Times New Roman"/>
          <w:color w:val="000000" w:themeColor="text1"/>
          <w:sz w:val="16"/>
          <w:szCs w:val="16"/>
        </w:rPr>
        <w:softHyphen/>
        <w:t>матривалось формирование уже 60 полков на Р-5. Боевых машин для этого не хватало, поэто</w:t>
      </w:r>
      <w:r w:rsidRPr="00640820">
        <w:rPr>
          <w:rFonts w:ascii="Times New Roman" w:hAnsi="Times New Roman"/>
          <w:color w:val="000000" w:themeColor="text1"/>
          <w:sz w:val="16"/>
          <w:szCs w:val="16"/>
        </w:rPr>
        <w:softHyphen/>
        <w:t>му в список включили и У-2. Взятые из школ и гражданской авиации самолеты, как пра</w:t>
      </w:r>
      <w:r w:rsidRPr="00640820">
        <w:rPr>
          <w:rFonts w:ascii="Times New Roman" w:hAnsi="Times New Roman"/>
          <w:color w:val="000000" w:themeColor="text1"/>
          <w:sz w:val="16"/>
          <w:szCs w:val="16"/>
        </w:rPr>
        <w:softHyphen/>
        <w:t>вило, вооружения не имели. Его собирали на различных складах, а у промышленности в ноябре затребовали 800 пулеметов, 1200 комплектов бомбового вооружения.</w:t>
      </w:r>
    </w:p>
    <w:p w14:paraId="747A25E3" w14:textId="77777777" w:rsidR="00165A9C" w:rsidRPr="00640820" w:rsidRDefault="00165A9C" w:rsidP="00640820">
      <w:pPr>
        <w:widowControl w:val="0"/>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Переброска на фронт такого значитель</w:t>
      </w:r>
      <w:r w:rsidRPr="00640820">
        <w:rPr>
          <w:rFonts w:ascii="Times New Roman" w:hAnsi="Times New Roman"/>
          <w:color w:val="000000" w:themeColor="text1"/>
          <w:sz w:val="16"/>
          <w:szCs w:val="16"/>
        </w:rPr>
        <w:softHyphen/>
        <w:t>ного количества техники позволила сущест</w:t>
      </w:r>
      <w:r w:rsidRPr="00640820">
        <w:rPr>
          <w:rFonts w:ascii="Times New Roman" w:hAnsi="Times New Roman"/>
          <w:color w:val="000000" w:themeColor="text1"/>
          <w:sz w:val="16"/>
          <w:szCs w:val="16"/>
        </w:rPr>
        <w:softHyphen/>
        <w:t>венно усилить ВВС, частично возместить потери и общую нехватку бомбардиров</w:t>
      </w:r>
      <w:r w:rsidRPr="00640820">
        <w:rPr>
          <w:rFonts w:ascii="Times New Roman" w:hAnsi="Times New Roman"/>
          <w:color w:val="000000" w:themeColor="text1"/>
          <w:sz w:val="16"/>
          <w:szCs w:val="16"/>
        </w:rPr>
        <w:softHyphen/>
        <w:t>щиков современных типов. Большую роль сыграли ночные полки в битве под Москвой. Еще в октябре на Западном фронте поя</w:t>
      </w:r>
      <w:r w:rsidRPr="00640820">
        <w:rPr>
          <w:rFonts w:ascii="Times New Roman" w:hAnsi="Times New Roman"/>
          <w:color w:val="000000" w:themeColor="text1"/>
          <w:sz w:val="16"/>
          <w:szCs w:val="16"/>
        </w:rPr>
        <w:softHyphen/>
        <w:t>вился 606-й НЛБАП п-ка Н.С. Виноградова. Он действовал на Юхновском направлении. В первую же ночь его самолеты бросили бомбить мосты и переправы через Угру, Оку и Протву. За месяц боев полк совершил более 800 боевых вылетов, сбросил свыше 7000 бомб. Кроме переправ, целями Р-5 яв</w:t>
      </w:r>
      <w:r w:rsidRPr="00640820">
        <w:rPr>
          <w:rFonts w:ascii="Times New Roman" w:hAnsi="Times New Roman"/>
          <w:color w:val="000000" w:themeColor="text1"/>
          <w:sz w:val="16"/>
          <w:szCs w:val="16"/>
        </w:rPr>
        <w:softHyphen/>
        <w:t>лялись аэродромы, узлы железных и шос</w:t>
      </w:r>
      <w:r w:rsidRPr="00640820">
        <w:rPr>
          <w:rFonts w:ascii="Times New Roman" w:hAnsi="Times New Roman"/>
          <w:color w:val="000000" w:themeColor="text1"/>
          <w:sz w:val="16"/>
          <w:szCs w:val="16"/>
        </w:rPr>
        <w:softHyphen/>
        <w:t>сейных дорог, населенные пункты, где отме</w:t>
      </w:r>
      <w:r w:rsidRPr="00640820">
        <w:rPr>
          <w:rFonts w:ascii="Times New Roman" w:hAnsi="Times New Roman"/>
          <w:color w:val="000000" w:themeColor="text1"/>
          <w:sz w:val="16"/>
          <w:szCs w:val="16"/>
        </w:rPr>
        <w:softHyphen/>
        <w:t>чалось скопление войск. По советским дан</w:t>
      </w:r>
      <w:r w:rsidRPr="00640820">
        <w:rPr>
          <w:rFonts w:ascii="Times New Roman" w:hAnsi="Times New Roman"/>
          <w:color w:val="000000" w:themeColor="text1"/>
          <w:sz w:val="16"/>
          <w:szCs w:val="16"/>
        </w:rPr>
        <w:softHyphen/>
        <w:t>ным, только этот полк уничтожил 4 моста, 9 переправ, 7 железнодорожных составов, 3 артиллерийские батареи, до 90 автомоби</w:t>
      </w:r>
      <w:r w:rsidRPr="00640820">
        <w:rPr>
          <w:rFonts w:ascii="Times New Roman" w:hAnsi="Times New Roman"/>
          <w:color w:val="000000" w:themeColor="text1"/>
          <w:sz w:val="16"/>
          <w:szCs w:val="16"/>
        </w:rPr>
        <w:softHyphen/>
        <w:t xml:space="preserve">лей и 2 самолета на земле. Третий был сбит в воздухе: 7 октября мл. л-т И.С. Денисов таранил немецкий разведчик </w:t>
      </w:r>
      <w:r w:rsidRPr="00640820">
        <w:rPr>
          <w:rFonts w:ascii="Times New Roman" w:hAnsi="Times New Roman"/>
          <w:color w:val="000000" w:themeColor="text1"/>
          <w:sz w:val="16"/>
          <w:szCs w:val="16"/>
          <w:lang w:val="en-US"/>
        </w:rPr>
        <w:t>Hs</w:t>
      </w:r>
      <w:r w:rsidRPr="00640820">
        <w:rPr>
          <w:rFonts w:ascii="Times New Roman" w:hAnsi="Times New Roman"/>
          <w:color w:val="000000" w:themeColor="text1"/>
          <w:sz w:val="16"/>
          <w:szCs w:val="16"/>
        </w:rPr>
        <w:t xml:space="preserve"> 126. Не</w:t>
      </w:r>
      <w:r w:rsidRPr="00640820">
        <w:rPr>
          <w:rFonts w:ascii="Times New Roman" w:hAnsi="Times New Roman"/>
          <w:color w:val="000000" w:themeColor="text1"/>
          <w:sz w:val="16"/>
          <w:szCs w:val="16"/>
        </w:rPr>
        <w:softHyphen/>
        <w:t>сколько позже в бой вступили 615-й и 687-й НЛБАП. На 14 ноября под Москвой из 239 фронтовых бомбардировщиков 157 были легкими ночниками (У-2, Р-5 и Р-Зет), т.е. более 65%.</w:t>
      </w:r>
    </w:p>
    <w:p w14:paraId="0D0C7260" w14:textId="77777777" w:rsidR="00165A9C" w:rsidRPr="00640820" w:rsidRDefault="00165A9C" w:rsidP="00640820">
      <w:pPr>
        <w:widowControl w:val="0"/>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общей сложности в битее под Москвой, на Западном и Калининском фронтах прини</w:t>
      </w:r>
      <w:r w:rsidRPr="00640820">
        <w:rPr>
          <w:rFonts w:ascii="Times New Roman" w:hAnsi="Times New Roman"/>
          <w:color w:val="000000" w:themeColor="text1"/>
          <w:sz w:val="16"/>
          <w:szCs w:val="16"/>
        </w:rPr>
        <w:softHyphen/>
        <w:t>мали участие 8 полков на Р-5. В качестве легкого бомбардировщика Р-5 имел ряд преимуществ перед У-2. Во-первых, даль</w:t>
      </w:r>
      <w:r w:rsidRPr="00640820">
        <w:rPr>
          <w:rFonts w:ascii="Times New Roman" w:hAnsi="Times New Roman"/>
          <w:color w:val="000000" w:themeColor="text1"/>
          <w:sz w:val="16"/>
          <w:szCs w:val="16"/>
        </w:rPr>
        <w:softHyphen/>
        <w:t>ность. Радиус действия Р-5 с бомбовой на</w:t>
      </w:r>
      <w:r w:rsidRPr="00640820">
        <w:rPr>
          <w:rFonts w:ascii="Times New Roman" w:hAnsi="Times New Roman"/>
          <w:color w:val="000000" w:themeColor="text1"/>
          <w:sz w:val="16"/>
          <w:szCs w:val="16"/>
        </w:rPr>
        <w:softHyphen/>
        <w:t>грузкой 400 кг превышал 300 км (У-2 с на</w:t>
      </w:r>
      <w:r w:rsidRPr="00640820">
        <w:rPr>
          <w:rFonts w:ascii="Times New Roman" w:hAnsi="Times New Roman"/>
          <w:color w:val="000000" w:themeColor="text1"/>
          <w:sz w:val="16"/>
          <w:szCs w:val="16"/>
        </w:rPr>
        <w:softHyphen/>
        <w:t>грузкой 350 кг — около 220 км). Во-вторых, Р-5 почти в 2 раза превосходил У-2 по скоро</w:t>
      </w:r>
      <w:r w:rsidRPr="00640820">
        <w:rPr>
          <w:rFonts w:ascii="Times New Roman" w:hAnsi="Times New Roman"/>
          <w:color w:val="000000" w:themeColor="text1"/>
          <w:sz w:val="16"/>
          <w:szCs w:val="16"/>
        </w:rPr>
        <w:softHyphen/>
        <w:t>сти. В-третьих, он имел штатное стрелковое вооружение, которое частенько пускали в ход и для защиты от немецких ночных истре</w:t>
      </w:r>
      <w:r w:rsidRPr="00640820">
        <w:rPr>
          <w:rFonts w:ascii="Times New Roman" w:hAnsi="Times New Roman"/>
          <w:color w:val="000000" w:themeColor="text1"/>
          <w:sz w:val="16"/>
          <w:szCs w:val="16"/>
        </w:rPr>
        <w:softHyphen/>
        <w:t>бителей, и для обстрела наземных целей. Так, осенью 1941 г. под Ростовом штурманА. Холостых из 719-го НЛБАП, отстрелива</w:t>
      </w:r>
      <w:r w:rsidRPr="00640820">
        <w:rPr>
          <w:rFonts w:ascii="Times New Roman" w:hAnsi="Times New Roman"/>
          <w:color w:val="000000" w:themeColor="text1"/>
          <w:sz w:val="16"/>
          <w:szCs w:val="16"/>
        </w:rPr>
        <w:softHyphen/>
        <w:t xml:space="preserve">ясь, сбил </w:t>
      </w:r>
      <w:r w:rsidRPr="00640820">
        <w:rPr>
          <w:rFonts w:ascii="Times New Roman" w:hAnsi="Times New Roman"/>
          <w:color w:val="000000" w:themeColor="text1"/>
          <w:sz w:val="16"/>
          <w:szCs w:val="16"/>
          <w:lang w:val="en-US"/>
        </w:rPr>
        <w:t>Bf</w:t>
      </w:r>
      <w:r w:rsidRPr="00640820">
        <w:rPr>
          <w:rFonts w:ascii="Times New Roman" w:hAnsi="Times New Roman"/>
          <w:color w:val="000000" w:themeColor="text1"/>
          <w:sz w:val="16"/>
          <w:szCs w:val="16"/>
        </w:rPr>
        <w:t xml:space="preserve"> 109 (11936).</w:t>
      </w:r>
    </w:p>
    <w:p w14:paraId="318C788F" w14:textId="77777777" w:rsidR="00165A9C" w:rsidRPr="00640820" w:rsidRDefault="00165A9C" w:rsidP="0064082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F9DB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ноября 1941 появилось постановление ГКО о формировании уже 60 ночных легкобомбардировочных полков (нлбап). Большей их части предстояло летать на У-2, некоторым - на Р-5, и уж совсем немногим - на Р-Зет.</w:t>
      </w:r>
    </w:p>
    <w:p w14:paraId="3072C0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Полки создавались, как правило, на базе лётных школ и училищ и собирались очень поспешно. Личный состав комплектовался курсантами и инструкторами школ, оттуда же бралась техника. Зачастую восстанавливались законсервированные или даже списанные бипланы - из двух-трёх машин собирали одну. В сентябре 1941 г. в Харьковской школе лётчиков самолётами Р-5 и </w:t>
      </w:r>
      <w:r w:rsidRPr="00640820">
        <w:rPr>
          <w:rFonts w:ascii="Times New Roman" w:hAnsi="Times New Roman"/>
          <w:color w:val="000000" w:themeColor="text1"/>
          <w:sz w:val="16"/>
          <w:szCs w:val="16"/>
          <w:lang w:val="en-US"/>
        </w:rPr>
        <w:t>P</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Z</w:t>
      </w:r>
      <w:r w:rsidRPr="00640820">
        <w:rPr>
          <w:rFonts w:ascii="Times New Roman" w:hAnsi="Times New Roman"/>
          <w:color w:val="000000" w:themeColor="text1"/>
          <w:sz w:val="16"/>
          <w:szCs w:val="16"/>
        </w:rPr>
        <w:t xml:space="preserve"> укомплектовали 719-й полк. Первый боевой вылет он совершил в ночь на 29 сентября на Юго-Западном фронте, а в ноябре участвовал в разгроме танковой группы Клейста под Ростовом. За первый год войны экипажи этой части совершили 2800 боевых вылетов, уничтожили 108 автомашин, 22 артиллерийские и миномётные батареи, 14 зенитных установок, 27 складов, 8 эшелонов, свыше 8000 солдат и офицеров.</w:t>
      </w:r>
    </w:p>
    <w:p w14:paraId="3D5F78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Челябинской школе стрелков-бомбардиров сформировали сразу три полка - 658-й (командир подполковник В.Н. Кулаков-Павлов), 686-й (майор П.Д. Бон- даренко) и 688-й (капитан К.В. Яровой). Эти части укомплектовали Р-5, ССС и </w:t>
      </w:r>
      <w:r w:rsidRPr="00640820">
        <w:rPr>
          <w:rFonts w:ascii="Times New Roman" w:hAnsi="Times New Roman"/>
          <w:color w:val="000000" w:themeColor="text1"/>
          <w:sz w:val="16"/>
          <w:szCs w:val="16"/>
          <w:lang w:val="en-US"/>
        </w:rPr>
        <w:t>P</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Z</w:t>
      </w:r>
      <w:r w:rsidRPr="00640820">
        <w:rPr>
          <w:rFonts w:ascii="Times New Roman" w:hAnsi="Times New Roman"/>
          <w:color w:val="000000" w:themeColor="text1"/>
          <w:sz w:val="16"/>
          <w:szCs w:val="16"/>
        </w:rPr>
        <w:t xml:space="preserve">. Всего за короткий срок ВВС пополнились 27 полками на Р-5 и ССС и пятью на </w:t>
      </w:r>
      <w:r w:rsidRPr="00640820">
        <w:rPr>
          <w:rFonts w:ascii="Times New Roman" w:hAnsi="Times New Roman"/>
          <w:color w:val="000000" w:themeColor="text1"/>
          <w:sz w:val="16"/>
          <w:szCs w:val="16"/>
          <w:lang w:val="en-US"/>
        </w:rPr>
        <w:t>P</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Z</w:t>
      </w:r>
      <w:r w:rsidRPr="00640820">
        <w:rPr>
          <w:rFonts w:ascii="Times New Roman" w:hAnsi="Times New Roman"/>
          <w:color w:val="000000" w:themeColor="text1"/>
          <w:sz w:val="16"/>
          <w:szCs w:val="16"/>
        </w:rPr>
        <w:t>.</w:t>
      </w:r>
    </w:p>
    <w:p w14:paraId="1298AF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Подготовка экипажей в этих частях была довольно слабой. Недоученные курсанты перед отправкой на фронт совершали всего по несколько самостоятельных ночных полётов. Сроки подготовки новых полков были весьма сжатыми. Так, 688-й полк отправился на Западный фронт менее чем через месяц после приказа о его формировании, и уже в день прибытия на передовую машины совершили свой первый боевой вылет. </w:t>
      </w:r>
    </w:p>
    <w:p w14:paraId="06981B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Тем не менее переброска на фронт такого значительного количества техники позволила существенно усилить ВВС фронтов и армий, частично возместить потери и общую нехватку бомбардировщиков современных типов.</w:t>
      </w:r>
    </w:p>
    <w:p w14:paraId="1474F1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Большую роль сыграли ночные полки в битве под Москвой. Ночники атаковали свои цели поодиночно с высоты 600 - 800 м, с различных направлений с интервалом 3 - 5 минут. На подходе лётчик убирал газ и планировал до момента сброса бомб. За ночь совершали до пяти-шести вылетов.</w:t>
      </w:r>
    </w:p>
    <w:p w14:paraId="655512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качестве лёгкого бомбардировщика </w:t>
      </w:r>
      <w:r w:rsidRPr="00640820">
        <w:rPr>
          <w:rFonts w:ascii="Times New Roman" w:hAnsi="Times New Roman"/>
          <w:color w:val="000000" w:themeColor="text1"/>
          <w:sz w:val="16"/>
          <w:szCs w:val="16"/>
          <w:lang w:val="en-US"/>
        </w:rPr>
        <w:t>P</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Z</w:t>
      </w:r>
      <w:r w:rsidRPr="00640820">
        <w:rPr>
          <w:rFonts w:ascii="Times New Roman" w:hAnsi="Times New Roman"/>
          <w:color w:val="000000" w:themeColor="text1"/>
          <w:sz w:val="16"/>
          <w:szCs w:val="16"/>
        </w:rPr>
        <w:t xml:space="preserve"> имел ряд преимуществ перед более распространённым У-2. Это, во-первых, дальность. Радиус действия с бомбовой нагрузкой 400 кг у него превышал 300 км. Обычно брали четыре бомбы по 100 кг, или восемь по 50 кг плюс осветительные, или две "сотки" и две кассеты с мелкими осколочными бомбами (по 25 - 30 штук в каждой). Во-вторых, существенно превосходил У-2 по скорости. В-треть- их, имел штатное стрелковое вооружение, которое частенько пускалось в ход и для защиты от немецких ночных истребителей, и для обстрела наземных целей. Так, осенью 1941 г. под Ростовом штурман А. Холостых из 719-го полка, отстреливаясь, сбил истребитель </w:t>
      </w:r>
      <w:r w:rsidRPr="00640820">
        <w:rPr>
          <w:rFonts w:ascii="Times New Roman" w:hAnsi="Times New Roman"/>
          <w:color w:val="000000" w:themeColor="text1"/>
          <w:sz w:val="16"/>
          <w:szCs w:val="16"/>
          <w:lang w:val="en-US"/>
        </w:rPr>
        <w:t>Bf</w:t>
      </w:r>
      <w:r w:rsidRPr="00640820">
        <w:rPr>
          <w:rFonts w:ascii="Times New Roman" w:hAnsi="Times New Roman"/>
          <w:color w:val="000000" w:themeColor="text1"/>
          <w:sz w:val="16"/>
          <w:szCs w:val="16"/>
        </w:rPr>
        <w:t xml:space="preserve"> 109 (11995).</w:t>
      </w:r>
    </w:p>
    <w:p w14:paraId="0BA654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7161F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ноября 1940 Распоряжением ГКО предусматривалось формирование уже 60 полков лю. Боевых машин для этого хватить не могло, поэтому в список включили и У-2. Взятые из школ и гражданской авиации самолеты, как правило, вооружения не имели. Его собирали на различных складах. У промышленности в ноябре затребовали 800 пулеметов, 1200 комплектов бомбового вооружения. Считая, что противник может применить химию, заводу № 145 заказали переделку выливных приборов ВАП-4м для подвески под Р-5. Они и без переделки годились для бипланов выпуска 1935 г. и позже, но в школах было много машин старых серий. Однако похоже, что на самолеты выливные приборы так и не подвесили.</w:t>
      </w:r>
    </w:p>
    <w:p w14:paraId="76BCE2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Подготовка экипажей в этих частях была довольно слабой. Недоученные курсанты совершали всего по несколько самостоятельных полетов ночью перед отправкой на фронт. Сроки подготовки новых полков были весьма сжатыми. Так, 688-й нлбап отправился на Западный фронт менее чем через месяц после приказа о его формировании, а уже вдень прибытия на передовую выпустил машины в первый боевой полет.</w:t>
      </w:r>
    </w:p>
    <w:p w14:paraId="47384B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Тем не менее переброска на фронт такого значительного количества техники позволила существенно усилить ВВС фронтов и армий, частично возместить потери и общую нехватку бомбардировщиков современных типов. Большую роль сыграли ночные полки в битве под Москвой. Еще в октябре на Западном фронте появился 606-й нлбап полковника Н.С. Виноградова. Он действовал на Юхновском направлении с аэродрома Анютино. В первую же ночь его самолеты бросили бомбить мосты </w:t>
      </w:r>
      <w:r w:rsidRPr="00640820">
        <w:rPr>
          <w:rFonts w:ascii="Times New Roman" w:hAnsi="Times New Roman"/>
          <w:color w:val="000000" w:themeColor="text1"/>
          <w:sz w:val="16"/>
          <w:szCs w:val="16"/>
        </w:rPr>
        <w:lastRenderedPageBreak/>
        <w:t xml:space="preserve">и переправы через Угру, Оку и Протву. За первый месяц боев полк совершил более 800 боевых вылетов, сбросил более 7000 бомб. Целями Р-5 являлись мосты и переправы, аэродромы, узлы железных и шоссейных дорог, населенные пункты, где отмечалось скопление немецких войск. По советским данным, только этот полк уничтожил четыре моста, девять переправ, семь железнодорожных составов, три артиллерийские батареи, до 90 автомобилей и два самолета на земле. Третий был сбит в воздухе: 7 октября младший лейтенант И.С. Денисов таранил немецкий разведчик </w:t>
      </w:r>
      <w:r w:rsidRPr="00640820">
        <w:rPr>
          <w:rFonts w:ascii="Times New Roman" w:hAnsi="Times New Roman"/>
          <w:color w:val="000000" w:themeColor="text1"/>
          <w:sz w:val="16"/>
          <w:szCs w:val="16"/>
          <w:lang w:val="en-US"/>
        </w:rPr>
        <w:t>Hs</w:t>
      </w:r>
      <w:r w:rsidRPr="00640820">
        <w:rPr>
          <w:rFonts w:ascii="Times New Roman" w:hAnsi="Times New Roman"/>
          <w:color w:val="000000" w:themeColor="text1"/>
          <w:sz w:val="16"/>
          <w:szCs w:val="16"/>
        </w:rPr>
        <w:t xml:space="preserve"> 126. Несколько позже в бой вступили 615-й и 687-й нлбап.</w:t>
      </w:r>
    </w:p>
    <w:p w14:paraId="55A840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593-й нлбап начал боевые операции, не успев толком ознакомиться с районом. Во втором вылете, в ночь на 27 ноября, потеряли сразу три машины. Одну сбили немецкие зенитчики, другая потерпела аварию, третья просто пропала, возможно, заблудилась. Вскоре этот полк пришлось отвести в тыл (12034).</w:t>
      </w:r>
    </w:p>
    <w:p w14:paraId="32B6E2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D1EE1C4" w14:textId="77777777" w:rsidR="003B58AD" w:rsidRPr="00640820" w:rsidRDefault="003B58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ноября 1941 береговая батарея № 30 включилась в активную защиту Севастополя, обстреляв скопление немецких войск на сухопутном фронте в районе Бахчисарая. С этого времени батарея постоянно вела огонь по скоплениям немецких войск. Стрельба отличалась большой меткостью. В период с 1 по 7 ноября 1941 г. батарея стреляла очень интенсивно, проводя в день от пяти до одиннадцати стрельб и выпуская от 20 до 75 снарядов.</w:t>
      </w:r>
    </w:p>
    <w:p w14:paraId="14C7F72B" w14:textId="77777777" w:rsidR="003B58AD" w:rsidRPr="00640820" w:rsidRDefault="003B58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период второго штурма Севастополя (с 17 декабря) батарея стреляла также интенсивно, как и во время первого. В день проводилось от четырёх до четырнадцати стрельб и выпускалось от 8 до 96 снарядов. Немцы принимали меры для подавления батареи. За два дня, 18 и 19 декабря, по ней было выпущено более 200 снарядов только калибра 203 мм и более.</w:t>
      </w:r>
    </w:p>
    <w:p w14:paraId="5661F3BA" w14:textId="77777777" w:rsidR="003B58AD" w:rsidRPr="00640820" w:rsidRDefault="003B58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декабря 1941 г. немецкая 356-мм батарея накрыла батарею № 30 и вывела из строя одно орудие.</w:t>
      </w:r>
    </w:p>
    <w:p w14:paraId="06D00EE0" w14:textId="77777777" w:rsidR="003B58AD" w:rsidRPr="00640820" w:rsidRDefault="003B58A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декабря 1941 противник подошёл почти вплотную к батарее. Только стрельбой других советских батарей по площади 30-й батареи и ударом морской пехоты удалось ликвидировать угрозу уничтожения батареи. По данным журнала боевых действий 1-го отдельного артиллерийского дивизиона береговой обороны Главной военно-морской базы Черноморского флота «Севастополь» батарея № 30 к концу 1941 г. выпустила по противнику от 1034 до 1234 снаряда. Стволы были полностью расстреляны. Требовалось срочно скрытно заменить стволы. Сложность замены стволов заключалась в том, что батарея находилась всего в 1,5 км от переднего края и была отлично видна со стороны противника, поэтому был разработан план работ по смене стволов без использования крана, вручную (вес ствола с затвором 50,7 т) с использованием домкратов и талей. Большую помощь в разработке этого плана оказал мастер С. И. Прокуда с завода «Большевик». Согласно плану работами в одной башне руководил мастер С. И. Прокуда со своей бригадой с завода «Большевик», а в другой - работала бригада с ЛМЗ. Работы начались 25 января 1942 г. Использовать имеющийся на батарее 100 т кран было невозможно, так как он был сильно повреждён, к тому же его использование привело бы к нарушению скрытности работ, решено было проводить их только ночью или в условиях плохой видимости. Ночью 30 января паровозом подтянули первое орудие к башням. Когда паровоз, толкавший впереди себя платформу с телом орудия, вышел на возвышенность, где располагались башни, просматривавшиеся противником, тендер паровоза въехал на засыпанную снарядом воронку, сошёл с рельсов и стал погружаться в размокший от дождей грунт. Личный состав батареи подтянул вручную платформу с орудием к башне и разгрузил её. В это время под обстрелом противника бригада во главе с инженером дивизиона И. В. Андриенко к рассвету поставила тендер на рельсы и восстановила путь. Утром ещё в темноте паровоз ушёл в Севастополь за другим орудием, так и не обнаруженный противником (15132).</w:t>
      </w:r>
    </w:p>
    <w:p w14:paraId="76D754DA" w14:textId="77777777" w:rsidR="003B58AD" w:rsidRPr="00640820" w:rsidRDefault="003B58AD" w:rsidP="00640820">
      <w:pPr>
        <w:spacing w:after="0" w:line="240" w:lineRule="auto"/>
        <w:jc w:val="both"/>
        <w:rPr>
          <w:rFonts w:ascii="Times New Roman" w:hAnsi="Times New Roman"/>
          <w:color w:val="000000" w:themeColor="text1"/>
          <w:sz w:val="16"/>
          <w:szCs w:val="16"/>
        </w:rPr>
      </w:pPr>
    </w:p>
    <w:p w14:paraId="3DDF39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ноября 1941 М-171 под командованием к3р Старикова прорвалась в Петсамо и атаковала два транспорта у причалов. Еле ушли (355,24).</w:t>
      </w:r>
    </w:p>
    <w:p w14:paraId="37A2BC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9370160"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4E3CB6EF"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A30B4FA" w14:textId="77777777" w:rsidR="00DD6711" w:rsidRPr="00640820" w:rsidRDefault="00DD671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 ноября 1941 года в Ульяновске открылся Музей-мемориал В.И. Ленина (21191).</w:t>
      </w:r>
    </w:p>
    <w:p w14:paraId="399BCC90" w14:textId="77777777" w:rsidR="00DD6711" w:rsidRPr="00640820" w:rsidRDefault="00DD6711" w:rsidP="00640820">
      <w:pPr>
        <w:spacing w:after="0" w:line="240" w:lineRule="auto"/>
        <w:jc w:val="both"/>
        <w:rPr>
          <w:rFonts w:ascii="Times New Roman" w:hAnsi="Times New Roman"/>
          <w:color w:val="0070C0"/>
          <w:sz w:val="16"/>
          <w:szCs w:val="16"/>
        </w:rPr>
      </w:pPr>
    </w:p>
    <w:p w14:paraId="0A42E0C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ноября 1941 в Москве начала работу радиостанция “Радянська Украина” (4962).</w:t>
      </w:r>
    </w:p>
    <w:p w14:paraId="42B689C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D0CD24" w14:textId="77777777" w:rsidR="003B58AD" w:rsidRPr="00640820" w:rsidRDefault="003B58AD"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2 ноября </w:t>
      </w:r>
      <w:r w:rsidRPr="00640820">
        <w:rPr>
          <w:rFonts w:ascii="Times New Roman" w:hAnsi="Times New Roman"/>
          <w:color w:val="000000" w:themeColor="text1"/>
          <w:sz w:val="16"/>
          <w:szCs w:val="16"/>
        </w:rPr>
        <w:t>в 1941 году распоряжение СНК СССР о выселении немцев из Калмыцкой АССР (14818).</w:t>
      </w:r>
    </w:p>
    <w:p w14:paraId="385AD836" w14:textId="77777777" w:rsidR="003B58AD" w:rsidRPr="00640820" w:rsidRDefault="003B58AD" w:rsidP="00640820">
      <w:pPr>
        <w:spacing w:after="0" w:line="240" w:lineRule="auto"/>
        <w:jc w:val="both"/>
        <w:rPr>
          <w:rFonts w:ascii="Times New Roman" w:hAnsi="Times New Roman"/>
          <w:color w:val="000000" w:themeColor="text1"/>
          <w:sz w:val="16"/>
          <w:szCs w:val="16"/>
        </w:rPr>
      </w:pPr>
    </w:p>
    <w:p w14:paraId="10256C75"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06BE7A02"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45B46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ноября 1941 года была подготовлена:</w:t>
      </w:r>
    </w:p>
    <w:p w14:paraId="4CA73A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ПАМЯТНАЯ ЗАПИСКА,</w:t>
      </w:r>
    </w:p>
    <w:p w14:paraId="468F20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врученная Послом США г-ном Штейнгардтом А. Я. Вышинскому</w:t>
      </w:r>
    </w:p>
    <w:p w14:paraId="7BF0F6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личном послании г-ну Сталину Президент Рузвельт заявляет:</w:t>
      </w:r>
    </w:p>
    <w:p w14:paraId="66306A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Что он ознакомился с Протоколом Конференции Трех Держав в Москве 3 и обсудил с членами американской миссии изложенные в нем данные;</w:t>
      </w:r>
    </w:p>
    <w:p w14:paraId="6A7FF4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Что он одобрил все списки военного снаряжения и вооружения и отдал распоряжение, чтобы сырьевые материалы были предоставлены по мере возможности и как можно скорее;</w:t>
      </w:r>
    </w:p>
    <w:p w14:paraId="49C096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Что он дал распоряжение начать поставки немедленно и продолжать производить их в возможно наибольшем объеме;</w:t>
      </w:r>
    </w:p>
    <w:p w14:paraId="7C65A7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Чтобы избежать финансовых затруднений, он отдал распоряжение о немедленном проведении мероприятий, при которых поставки могут производиться согласно закону о передаче вооружения взаймы или в аренду</w:t>
      </w:r>
      <w:r w:rsidRPr="00640820">
        <w:rPr>
          <w:rFonts w:ascii="Times New Roman" w:hAnsi="Times New Roman"/>
          <w:color w:val="000000" w:themeColor="text1"/>
          <w:sz w:val="16"/>
          <w:szCs w:val="16"/>
          <w:vertAlign w:val="superscript"/>
        </w:rPr>
        <w:t>4</w:t>
      </w:r>
      <w:r w:rsidRPr="00640820">
        <w:rPr>
          <w:rFonts w:ascii="Times New Roman" w:hAnsi="Times New Roman"/>
          <w:color w:val="000000" w:themeColor="text1"/>
          <w:sz w:val="16"/>
          <w:szCs w:val="16"/>
        </w:rPr>
        <w:t xml:space="preserve"> на сумму до 1000000000 долларов;</w:t>
      </w:r>
    </w:p>
    <w:p w14:paraId="62DFD3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Он предлагает, если Советское Правительство это одобрит, чтобы Соединенные Штаты не взыскивали процентов с задолженности, которая может возникнуть у Советского Правительства и которая вытекает из этих поставок, и чтобы платежи по этой задолженности начались только спустя пять лет после окончания войны и производились в течение десяти лет после истечения этого пятилетнего периода;</w:t>
      </w:r>
    </w:p>
    <w:p w14:paraId="3FB8FC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Президент надеется, что Советское Правительство приложит особые усилия, чтобы продать Соединенным Штатам те товары и сырье, которые имеются в его распоряжении и в которых могут нуждаться Соединенные Штаты, причем выручка от поставок Соединенным Штатам будет зачисляться на счет Правительства Советского Союза;</w:t>
      </w:r>
    </w:p>
    <w:p w14:paraId="36BA71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Президент пользуется случаем, чтобы выразить Советскому Правительству благодарность за быстроту, с которой г-н Сталин и его коллеги провели Конференцию Трех Держав в Москве, и заверяет его, что постановления этой Конференции будут выполнены в максимальной степени;</w:t>
      </w:r>
    </w:p>
    <w:p w14:paraId="29AE34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Президент выражает надежду, что г-н Сталин не замедлит войти в контакт непосредственно с ним, если этого потребуют обстоятельства (7430).</w:t>
      </w:r>
    </w:p>
    <w:p w14:paraId="1B2796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8B5772C"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44A9C121"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F62E9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ноября 1941 начались стычки между четниками Михайловича и партизанами И.Б.Т. (2238,8).</w:t>
      </w:r>
    </w:p>
    <w:p w14:paraId="509C1D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0345AAD" w14:textId="77777777" w:rsidR="00B97A93" w:rsidRPr="00640820" w:rsidRDefault="00B97A93"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438748F5" w14:textId="77777777" w:rsidR="00B97A93" w:rsidRPr="00640820" w:rsidRDefault="00B97A93"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806BBFE" w14:textId="77777777" w:rsidR="00B97A93" w:rsidRPr="00640820" w:rsidRDefault="00B97A9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ноября 1941 г. Распоряжение № 15221-сэ Совета по эвакуации об эвакуации завода № 145 из Москвы в г. Куйбышев на площади завода № 455 НКАП и завода № 487 из Москвы в г. Куйбышев на площади завода № 454 НКАП.</w:t>
      </w:r>
    </w:p>
    <w:p w14:paraId="7566C2B5" w14:textId="77777777" w:rsidR="00B97A93" w:rsidRPr="00640820" w:rsidRDefault="00B97A9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 копия (рассекречено).</w:t>
      </w:r>
    </w:p>
    <w:p w14:paraId="024885E1" w14:textId="77777777" w:rsidR="00B97A93" w:rsidRPr="00640820" w:rsidRDefault="00B97A9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РГАЭ ф. 1884, оп. 49, д. 4174, л. 205. (18959).</w:t>
      </w:r>
    </w:p>
    <w:p w14:paraId="3344C069" w14:textId="77777777" w:rsidR="00B97A93" w:rsidRPr="00640820" w:rsidRDefault="00B97A93" w:rsidP="00640820">
      <w:pPr>
        <w:spacing w:after="0" w:line="240" w:lineRule="auto"/>
        <w:jc w:val="both"/>
        <w:rPr>
          <w:rFonts w:ascii="Times New Roman" w:hAnsi="Times New Roman"/>
          <w:color w:val="000000" w:themeColor="text1"/>
          <w:sz w:val="16"/>
          <w:szCs w:val="16"/>
        </w:rPr>
      </w:pPr>
    </w:p>
    <w:p w14:paraId="6F965469"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75312FEF"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B08E45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ноября 1941 года вышел приказ № 70/9с НКВ</w:t>
      </w:r>
    </w:p>
    <w:p w14:paraId="1F2C31C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Организовать в Свердловске на базе фабрики им. Ленина и эвакуированного туда завода № 46 – завод № 46 по производству пиротехнических патронов 7,62 и 12,7 мм калибра.</w:t>
      </w:r>
    </w:p>
    <w:p w14:paraId="7D7E48E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Организовать в городе Новая Ляля на базе бумажно-целлюлозного комбината и эвакуированной туда части завода № 46 – завод № 529 НКВ по производству пиротехнических патронов 7,62 мм калибра (6286, 25).</w:t>
      </w:r>
    </w:p>
    <w:p w14:paraId="70BEB24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CB6121" w14:textId="77777777" w:rsidR="00090D02" w:rsidRPr="00640820" w:rsidRDefault="00090D02"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ноября 1941 г. эшелон с основной частью коллектива ОКБ-16 прибыл в г. Нытву. Для ОКБ-16 было предоставлено здание ремесленного училища, расформированного с началом войны, а сотрудников с их семьями разместили в домах местных жителей. В Москве оставался филиал ОКБ-16 (ФОКБ-16).  (15979).</w:t>
      </w:r>
    </w:p>
    <w:p w14:paraId="3B5A2680" w14:textId="77777777" w:rsidR="00090D02" w:rsidRPr="00640820" w:rsidRDefault="00090D02" w:rsidP="00640820">
      <w:pPr>
        <w:widowControl w:val="0"/>
        <w:tabs>
          <w:tab w:val="left" w:pos="11199"/>
        </w:tabs>
        <w:spacing w:after="0" w:line="240" w:lineRule="auto"/>
        <w:jc w:val="both"/>
        <w:rPr>
          <w:rFonts w:ascii="Times New Roman" w:hAnsi="Times New Roman"/>
          <w:color w:val="000000" w:themeColor="text1"/>
          <w:sz w:val="16"/>
          <w:szCs w:val="16"/>
        </w:rPr>
      </w:pPr>
    </w:p>
    <w:p w14:paraId="171D20F1" w14:textId="77777777" w:rsidR="00794B7F" w:rsidRPr="00640820" w:rsidRDefault="00794B7F" w:rsidP="00640820">
      <w:pPr>
        <w:spacing w:after="0" w:line="240" w:lineRule="auto"/>
        <w:jc w:val="both"/>
        <w:rPr>
          <w:rFonts w:ascii="Times New Roman" w:hAnsi="Times New Roman"/>
          <w:color w:val="0070C0"/>
          <w:sz w:val="16"/>
          <w:szCs w:val="16"/>
          <w:shd w:val="clear" w:color="auto" w:fill="FFFFFF"/>
        </w:rPr>
      </w:pPr>
      <w:r w:rsidRPr="00640820">
        <w:rPr>
          <w:rFonts w:ascii="Times New Roman" w:hAnsi="Times New Roman"/>
          <w:color w:val="0070C0"/>
          <w:sz w:val="16"/>
          <w:szCs w:val="16"/>
          <w:shd w:val="clear" w:color="auto" w:fill="FFFFFF"/>
        </w:rPr>
        <w:t xml:space="preserve">3 ноября 1941 года на ЧКЗ был издан приказ об организации производства легкого танка на агрегатах тягача С-2. Разработка машины сваливалась на СКБ-2 во главе с Ж.Я. Котиным, которое уже было укомплектовано как местными кадрами, так и прибывшими из Ленинграда конструкторами. К 7 ноября предполагалось получить комплект чертежей корпуса и других агрегатов. Выпускать танк собирались на линии, задействованной в производстве тягача. Впрочем, про эту разработку и вовсе </w:t>
      </w:r>
      <w:r w:rsidRPr="00640820">
        <w:rPr>
          <w:rFonts w:ascii="Times New Roman" w:hAnsi="Times New Roman"/>
          <w:color w:val="0070C0"/>
          <w:sz w:val="16"/>
          <w:szCs w:val="16"/>
          <w:shd w:val="clear" w:color="auto" w:fill="FFFFFF"/>
        </w:rPr>
        <w:lastRenderedPageBreak/>
        <w:t>ничего неизвестно. Даже нет информации, что предполагалось получить, единственное, что известно - это силовая установка. Ей должен был стать 160-сильный дизельный мотор Д-11. Впрочем, уже в ноябре ЧКЗ сконцентрировался на выпуске КВ-1, за этот месяц он сдал 156 танков (20288).</w:t>
      </w:r>
    </w:p>
    <w:p w14:paraId="5385815C" w14:textId="77777777" w:rsidR="00794B7F" w:rsidRPr="00640820" w:rsidRDefault="00794B7F" w:rsidP="00640820">
      <w:pPr>
        <w:spacing w:after="0" w:line="240" w:lineRule="auto"/>
        <w:jc w:val="both"/>
        <w:rPr>
          <w:rFonts w:ascii="Times New Roman" w:hAnsi="Times New Roman"/>
          <w:color w:val="0070C0"/>
          <w:sz w:val="16"/>
          <w:szCs w:val="16"/>
          <w:shd w:val="clear" w:color="auto" w:fill="FFFFFF"/>
        </w:rPr>
      </w:pPr>
    </w:p>
    <w:p w14:paraId="0C83CB7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ноября 1941 г. Приказом № 36сс Глав</w:t>
      </w:r>
      <w:r w:rsidRPr="00640820">
        <w:rPr>
          <w:rFonts w:ascii="Times New Roman" w:hAnsi="Times New Roman"/>
          <w:color w:val="000000" w:themeColor="text1"/>
          <w:sz w:val="16"/>
          <w:szCs w:val="16"/>
        </w:rPr>
        <w:softHyphen/>
        <w:t>мотовелопрома предписывалось перевести на ГМЗ с ГАЗ работы по мотоциклу М-72, а с ТМЗ - эвакуирован</w:t>
      </w:r>
      <w:r w:rsidRPr="00640820">
        <w:rPr>
          <w:rFonts w:ascii="Times New Roman" w:hAnsi="Times New Roman"/>
          <w:color w:val="000000" w:themeColor="text1"/>
          <w:sz w:val="16"/>
          <w:szCs w:val="16"/>
        </w:rPr>
        <w:softHyphen/>
        <w:t>ное с заводов ЗИС, КИМ, и КЗММ и № 524 (бывшего завода «Красный Октябрь») оборудование для изготовления моторов, КП и мотоциклов [5.21]. А приказом № М-39 НКСМ от 18 февра</w:t>
      </w:r>
      <w:r w:rsidRPr="00640820">
        <w:rPr>
          <w:rFonts w:ascii="Times New Roman" w:hAnsi="Times New Roman"/>
          <w:color w:val="000000" w:themeColor="text1"/>
          <w:sz w:val="16"/>
          <w:szCs w:val="16"/>
        </w:rPr>
        <w:softHyphen/>
        <w:t>ля 1942 г. предписывалось вывести ГМЗ из состава завода «Крас</w:t>
      </w:r>
      <w:r w:rsidRPr="00640820">
        <w:rPr>
          <w:rFonts w:ascii="Times New Roman" w:hAnsi="Times New Roman"/>
          <w:color w:val="000000" w:themeColor="text1"/>
          <w:sz w:val="16"/>
          <w:szCs w:val="16"/>
        </w:rPr>
        <w:softHyphen/>
        <w:t>ная Этна», выделить его в самостоятельное предприятие, назна</w:t>
      </w:r>
      <w:r w:rsidRPr="00640820">
        <w:rPr>
          <w:rFonts w:ascii="Times New Roman" w:hAnsi="Times New Roman"/>
          <w:color w:val="000000" w:themeColor="text1"/>
          <w:sz w:val="16"/>
          <w:szCs w:val="16"/>
        </w:rPr>
        <w:softHyphen/>
        <w:t>чить директором М.Г. Соловьёва, - бывшего директора ЛМЗ [5.22], и перевести с ГАЗа на ГМЗ всех работников, эвакуирован</w:t>
      </w:r>
      <w:r w:rsidRPr="00640820">
        <w:rPr>
          <w:rFonts w:ascii="Times New Roman" w:hAnsi="Times New Roman"/>
          <w:color w:val="000000" w:themeColor="text1"/>
          <w:sz w:val="16"/>
          <w:szCs w:val="16"/>
        </w:rPr>
        <w:softHyphen/>
        <w:t>ных с мотозаводов других городов [5.23] (11429).</w:t>
      </w:r>
    </w:p>
    <w:p w14:paraId="3721CC0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9D18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ноября 1941 с завода № 532 ушел на буксире недостроенный эсми</w:t>
      </w:r>
      <w:r w:rsidRPr="00640820">
        <w:rPr>
          <w:rFonts w:ascii="Times New Roman" w:hAnsi="Times New Roman"/>
          <w:color w:val="000000" w:themeColor="text1"/>
          <w:sz w:val="16"/>
          <w:szCs w:val="16"/>
        </w:rPr>
        <w:softHyphen/>
        <w:t>нец "Озорной", также николаевской постройки. В портах Кавказа (главным образом, в Новороссийске) оборудование, секции и выве</w:t>
      </w:r>
      <w:r w:rsidRPr="00640820">
        <w:rPr>
          <w:rFonts w:ascii="Times New Roman" w:hAnsi="Times New Roman"/>
          <w:color w:val="000000" w:themeColor="text1"/>
          <w:sz w:val="16"/>
          <w:szCs w:val="16"/>
        </w:rPr>
        <w:softHyphen/>
        <w:t>зенные материалы перегружались в железнодорожные эшелоны и следовали далее к месту назначения (3898).</w:t>
      </w:r>
    </w:p>
    <w:p w14:paraId="73AFF5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0795039"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09076244"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B519015"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3 ноября </w:t>
      </w:r>
      <w:r w:rsidRPr="00640820">
        <w:rPr>
          <w:rFonts w:ascii="Times New Roman" w:hAnsi="Times New Roman"/>
          <w:color w:val="000000" w:themeColor="text1"/>
          <w:sz w:val="16"/>
          <w:szCs w:val="16"/>
        </w:rPr>
        <w:t>в 1941 году утреннее сообщение Совинформбюро:</w:t>
      </w:r>
    </w:p>
    <w:p w14:paraId="03117D7A"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3 ноября наши войска вели бои с противником на всех фронтах.</w:t>
      </w:r>
    </w:p>
    <w:p w14:paraId="510770EF"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части, действующие на одном из участков Тульского направления фронта, в течение ночи на 2 ноября уничтожили 40 немецких танков и не менее 500 фашистских солдат и офицеров.</w:t>
      </w:r>
    </w:p>
    <w:p w14:paraId="258462D6"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Части тов. Провалова и Харитонова, действующие на Южном фронте, за один день боевых действий уничтожили 12 фашистских танков, 15 автомашин с военными грузами и два батальона немецкой пехоты, захватили 16 немецких танков и свыше 10 орудий и миномётов.</w:t>
      </w:r>
    </w:p>
    <w:p w14:paraId="62D06656"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ноября наша авиачасть, действующая на Калининском фронте, рассеяла крупную колонну вражеской мотопехоты, уничтожила до 35 автомашин с пехотой противника, 2 цистерны с горючим и свыше 200 немецких солдат.</w:t>
      </w:r>
    </w:p>
    <w:p w14:paraId="6FF2CCBA"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расположение наших частей пробрался со специальным поручением участник партизанского отряда, действующего в Киевской области, товарищ Ж. Тов. Ж. рассказал о борьбе крестьян против изменников родины, ставленников фашистских бандитов. В селении Горловка немцами был поставлен старшиной сын местного кулака Перебейнос. Он захватил обширные участки земель, забрал у крестьян имущество и скот. Однажды крестьяне поймали предателя в лесу. Состоялся короткий суд. Крестьяне повесили изменника на дереве. В деревне Покровское выстрелом в окно был убит Сербиченко, назначенный немцами начальником местного полицейского отряда, составленного из уголовников. В селе Ивановка за короткий срок были убиты один за другим три предателя, согласившиеся быть старшинами села и ревностно выполнявшие приказы фашистов. После этого во всей округе не нашлось ни одного человека, который бы согласился быть старшиной. Крестьяне поджигают дома предателей, уничтожают их скот и имущество.</w:t>
      </w:r>
    </w:p>
    <w:p w14:paraId="50A4F374"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датском городе Ольбортге на сахарном заводе и текстильной фабрике, выполняющих заказы германской армии, вспыхнули забастовки. Попытки немецкой полиции удалить бастующих с предприятий не увенчались успехом. В результате кровавой стычки убито и ранено 9 немцев и несколько десятков рабочих. Как сейчас стало известно, в течение октября состоялись забастовки и на многих других предприятиях, выполняющих заказы Германии. Датские патриоты всячески препятствуют мероприятиям немецких властей, стремящихся выкачать из страны все продукты питания. В октябре на крупных рафинадных заводах в Одензе и Копенгагене выпуск продукции снизился по сравнению с сентябрём на 15 процентов. На спиртовом заводе в Оргунсе и на проволочном в Мидльфарте — на 20 процентов. Недалеко от города Падборга произошло крушение поезда, направлявшегося в Германию. Причина крушения — умышленная порча железнодорожного полотна. Уничтожено 27 вагонов с консервами и живым скотом.</w:t>
      </w:r>
    </w:p>
    <w:p w14:paraId="631C9AF4"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Темпами военного времени работают коллективы заводов и фабрик Советской страны, изготовляя продукцию для фронта. Все цехи Петровско-Забайкальского металлургического завода, намного перевыполнившие сентябрьское задание, добились в октябре ещё больших успехов. Литейный цех выполнил годовую программу к 26 октября. Число двухсотников в цехе увеличилось в полтора раза. Один из машиностроительных заводов Мордовской АССР до войны был в числе отстающих. Теперь, получив военные заказы, коллектив завода вдвое перевыполняет программу. На Ширингушской суконной фабрике подавляющее большинство рабочих перевыполняет нормы. Ткачи обслуживают по два-три станка, показывая образцы стахановского труда. За последние два месяца фабрика получила около 300 тысяч рублей экономии. Консервный и мясной комбинаты освоили новый ассортимент продукции, необходимой для снабжения армии. Мясокомбинат уже дал продукции на 240 процентов больше, чем в прошлом году.» (14819).</w:t>
      </w:r>
    </w:p>
    <w:p w14:paraId="5B717F78" w14:textId="77777777" w:rsidR="00090D02" w:rsidRPr="00640820" w:rsidRDefault="00090D02" w:rsidP="00640820">
      <w:pPr>
        <w:spacing w:after="0" w:line="240" w:lineRule="auto"/>
        <w:jc w:val="both"/>
        <w:rPr>
          <w:rFonts w:ascii="Times New Roman" w:hAnsi="Times New Roman"/>
          <w:color w:val="000000" w:themeColor="text1"/>
          <w:sz w:val="16"/>
          <w:szCs w:val="16"/>
        </w:rPr>
      </w:pPr>
    </w:p>
    <w:p w14:paraId="2C340FF6"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3 ноября </w:t>
      </w:r>
      <w:r w:rsidRPr="00640820">
        <w:rPr>
          <w:rFonts w:ascii="Times New Roman" w:hAnsi="Times New Roman"/>
          <w:color w:val="000000" w:themeColor="text1"/>
          <w:sz w:val="16"/>
          <w:szCs w:val="16"/>
        </w:rPr>
        <w:t>в 1941 году вечернее сообщение Совинформбюро:</w:t>
      </w:r>
    </w:p>
    <w:p w14:paraId="64552363"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3 ноября наши войска вели бои с противником на всех фронтах. Особенно ожесточённые бои происходили на Крымском и Калининском участках фронта.</w:t>
      </w:r>
    </w:p>
    <w:p w14:paraId="313B70B2"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 ноября уничтожено 13 немецких самолётов. Наши потери - 3 самолёта.</w:t>
      </w:r>
    </w:p>
    <w:p w14:paraId="505F2D70"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3 ноября под Москвой сбито 2 немецких самолёта.</w:t>
      </w:r>
    </w:p>
    <w:p w14:paraId="6E5EF42E"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авиачасти, действующие на Западном и Южном фронтах, нанесли немецко-фашистским войскам большой урон.</w:t>
      </w:r>
    </w:p>
    <w:p w14:paraId="4BCA8863"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Удачными бомбардировками 2 ноября наши лётчики уничтожили 30 немецких танков, 280 автомашин с войсками и грузом, несколько бронемашин и полевых орудий, много мотоциклов, более ста повозок с боеприпасами, 6 вагонов со снарядами, рассеяли и уничтожили более 2 батальонов пехоты.</w:t>
      </w:r>
    </w:p>
    <w:p w14:paraId="33DF2B96"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участков Калининского фронта 2 ноября наша артиллерия подвергла успешному обстрелу вражеский аэродром. Артиллерийским огнём уничтожено 11 немецких самолётов и 9 самолётов повреждено.</w:t>
      </w:r>
    </w:p>
    <w:p w14:paraId="1397E95E"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Немецко-фашистские мерзавцы продолжают грабить и убивать мирных жителей в оккупированных районах. Захватив село Акимовка, фашисты в первый же день расстреляли Николая Михайлова, Ефтея Ушакова, его 12-летнюю дочь и инвалида Бурцева. Несколько дней спустя оккупанты расстреляли большую группу колхозников: семидесятилетних стариков Якова Романенко и Прохора Торгашёва, шестидесятилетнюю Александру Ковалёву, Анну Мускову и других. Зверски надругались фашистские мерзавцы над Агафоновой: они её изнасиловали, а потом подвергли мучительнейшим пыткам, отрезали груди, искололи всё тело. Фашистские изверги не пощадили даже малолетних детей Агафоновой: собравшись уходить, гитлеровские бандиты убили её четырёхлетнего сына Васю и двухлетнюю дочку Шуру. В селе Братолюбовка немцы и румыны устраивают повальные обыски с целью грабежа.</w:t>
      </w:r>
    </w:p>
    <w:p w14:paraId="45E086C0"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Грабеж и издевательства немецких фашистов над финским населением вызывают всё большее возмущение финских рабочих, служащих, крестьян. Порой ненависть к немцам выливается в открытые выступления. Пленные финские солдаты сообщают, что недавно в Хельсинки произошла вооружённая стычка между немцами и финнами, в результате которой было убито два немецких солдата.</w:t>
      </w:r>
    </w:p>
    <w:p w14:paraId="519E5827"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финских солдат всё чаще можно услышать такие заявления: «Пора уже выгнать немцев из Финляндии. Они распоряжаются у нас, как у себя дома. Сами они никогда не уйдут».</w:t>
      </w:r>
    </w:p>
    <w:p w14:paraId="42A8B94B"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время Отечественной войны на заводы и фабрики, шахты и железные дороги пришли десятки тысяч женщин, заменивших своих мужей и братьев, призванных в Красную Армию. Женщины успешно овладевают новыми для них профессиями.</w:t>
      </w:r>
    </w:p>
    <w:p w14:paraId="5DD94604"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Сотнями домохозяек пополнился коллектив Кузнецкого металлургического комбината. Женщины овладели профессиями машинистов электрокранов и постов управления, помощников машинистов паровозов, шофёров, электриков и т. д. Раньше машинистами постов управления работали главным образом мужчины. Сейчас с этой работой успешно справляются десятки женщин — Портнягина, Захарова, Мочачина, Никитина и многие другие. Среди машинистов паровых турбин до войны не было ни одной женщины. Новые работницы Ермакова, Грохотова и другие успешно освоили эту квалификацию и отлично справляются с обязанностями машинистов. Десятки женщин, вчерашних домохозяек, выполняют по две нормы в смену и больше.» (14819).</w:t>
      </w:r>
    </w:p>
    <w:p w14:paraId="735FE423" w14:textId="77777777" w:rsidR="00090D02" w:rsidRPr="00640820" w:rsidRDefault="00090D02" w:rsidP="00640820">
      <w:pPr>
        <w:spacing w:after="0" w:line="240" w:lineRule="auto"/>
        <w:jc w:val="both"/>
        <w:rPr>
          <w:rFonts w:ascii="Times New Roman" w:hAnsi="Times New Roman"/>
          <w:color w:val="000000" w:themeColor="text1"/>
          <w:sz w:val="16"/>
          <w:szCs w:val="16"/>
        </w:rPr>
      </w:pPr>
    </w:p>
    <w:p w14:paraId="40C00701" w14:textId="77777777" w:rsidR="00B97A93" w:rsidRPr="00640820" w:rsidRDefault="00B97A93" w:rsidP="00640820">
      <w:pPr>
        <w:pStyle w:val="319"/>
        <w:shd w:val="clear" w:color="auto" w:fill="auto"/>
        <w:spacing w:after="0" w:line="240" w:lineRule="auto"/>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В ночь с 3 на 4 ноября 1941 ТБ-7 № 42015 совершил вылет на бомбежку города Данцига:</w:t>
      </w:r>
    </w:p>
    <w:p w14:paraId="21D9879C" w14:textId="77777777" w:rsidR="00B97A93" w:rsidRPr="00640820" w:rsidRDefault="00B97A93"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Самолет № 42015, командир корабля ст. лейтенант Пусэп, в 17 час 25 мин 3.11.41 г. стартовал с аэродрома Раменское на бомбардирование г. Данциг.</w:t>
      </w:r>
    </w:p>
    <w:p w14:paraId="313421C5" w14:textId="77777777" w:rsidR="00B97A93" w:rsidRPr="00640820" w:rsidRDefault="00B97A93"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В 22 час 17 мин с высоты 8000 м на цель сброшены ФАБ-100 -16 шт., ЗАБ-50 - 8 шт. Цель закрыта сплошной облачностью, бомбы сброшены по расчету времени. Экипаж наблюдал на фоне облаков отблески разрывов бомб. Результаты бомбометания неизвестны.</w:t>
      </w:r>
    </w:p>
    <w:p w14:paraId="380061F3" w14:textId="77777777" w:rsidR="00B97A93" w:rsidRPr="00640820" w:rsidRDefault="00B97A93"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Противодействие ПВО: Над целью ЗА вела огонь по самолету, наблюдали свыше 15 разрывов снарядов ниже и выше самолета. Видны были на облаках отблески лучей, работавших четырех мощных прожекторов.</w:t>
      </w:r>
    </w:p>
    <w:p w14:paraId="01BA89E3" w14:textId="77777777" w:rsidR="00B97A93" w:rsidRPr="00640820" w:rsidRDefault="00B97A93"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Метеоусловия: На маршруте сплошная 3-х слойная облачность, нижний слой высота 300 м, верхний слой высота 7000 метров. Весь полет выполнялся вне видимости земных ориентиров. Цель была закрыта сплошной облачностью. При наборе высоты самолет вошел в облачность второго яруса, высота 800-2000 м, где при температуре воздуха -7° наблюдалось интенсивное обледенение, в результате обледенения оборвалась антенна самолетной рации, экипаж лишен был возможности держать связь с землей. После выполнения задания экипаж в 2 час 47 мин 4.11.41 г. произвел благополучную посадку на своем аэродроме Ковров (19105).</w:t>
      </w:r>
    </w:p>
    <w:p w14:paraId="6C487E70" w14:textId="77777777" w:rsidR="00B97A93" w:rsidRPr="00640820" w:rsidRDefault="00B97A93" w:rsidP="00640820">
      <w:pPr>
        <w:pStyle w:val="108"/>
        <w:shd w:val="clear" w:color="auto" w:fill="auto"/>
        <w:spacing w:line="240" w:lineRule="auto"/>
        <w:rPr>
          <w:rFonts w:ascii="Times New Roman" w:hAnsi="Times New Roman" w:cs="Times New Roman"/>
          <w:color w:val="000000" w:themeColor="text1"/>
        </w:rPr>
      </w:pPr>
    </w:p>
    <w:p w14:paraId="342778A4"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ноября 1941 г. возможно миной БеМи взорвали исторический памятник мирового значения — Успенский собор Киево-Печерской лавры, построенный еще в XI веке» (15117).</w:t>
      </w:r>
    </w:p>
    <w:p w14:paraId="694BEFFC" w14:textId="77777777" w:rsidR="00090D02" w:rsidRPr="00640820" w:rsidRDefault="00090D02" w:rsidP="00640820">
      <w:pPr>
        <w:spacing w:after="0" w:line="240" w:lineRule="auto"/>
        <w:jc w:val="both"/>
        <w:rPr>
          <w:rFonts w:ascii="Times New Roman" w:hAnsi="Times New Roman"/>
          <w:color w:val="000000" w:themeColor="text1"/>
          <w:sz w:val="16"/>
          <w:szCs w:val="16"/>
        </w:rPr>
      </w:pPr>
    </w:p>
    <w:p w14:paraId="21429088"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lastRenderedPageBreak/>
        <w:t xml:space="preserve">3 ноября </w:t>
      </w:r>
      <w:r w:rsidRPr="00640820">
        <w:rPr>
          <w:rFonts w:ascii="Times New Roman" w:hAnsi="Times New Roman"/>
          <w:color w:val="000000" w:themeColor="text1"/>
          <w:sz w:val="16"/>
          <w:szCs w:val="16"/>
        </w:rPr>
        <w:t>в 1941 году начало действия телефонной связи осажденного Ленинграда со страной по подводному кабелю, проложенному через Ладожское озеро по линии Осиновец - Новая Ладога (14819).</w:t>
      </w:r>
    </w:p>
    <w:p w14:paraId="11AF8029" w14:textId="77777777" w:rsidR="00090D02" w:rsidRPr="00640820" w:rsidRDefault="00090D02" w:rsidP="00640820">
      <w:pPr>
        <w:spacing w:after="0" w:line="240" w:lineRule="auto"/>
        <w:jc w:val="both"/>
        <w:rPr>
          <w:rFonts w:ascii="Times New Roman" w:hAnsi="Times New Roman"/>
          <w:color w:val="000000" w:themeColor="text1"/>
          <w:sz w:val="16"/>
          <w:szCs w:val="16"/>
        </w:rPr>
      </w:pPr>
    </w:p>
    <w:p w14:paraId="14D454B4"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3 ноября </w:t>
      </w:r>
      <w:r w:rsidRPr="00640820">
        <w:rPr>
          <w:rFonts w:ascii="Times New Roman" w:hAnsi="Times New Roman"/>
          <w:color w:val="000000" w:themeColor="text1"/>
          <w:sz w:val="16"/>
          <w:szCs w:val="16"/>
        </w:rPr>
        <w:t>в 1941 году начальник Генштаба германской сухопутной армии генерал Франц Гальдер записал в дневнике: "Я думаю, что противник в районе Ленинграда проводит эвакуацию и пытается отвести войска в направлении Рыбинска, чтобы сосредоточить все свои силы в районе Москвы и удержать этот район. Этими мероприятиями противник стремится сохранить возможность снова перейти в наступление армией, восстановленной за счет сил, оснащенных с помощью промышленной базы Урала. Возможно, это контрнаступление последует не в 1942 году, а позже". В сроках советского контрнаступления Гальдер ошибся. Оно последовало всего через месяц, 5 декабря (14819).</w:t>
      </w:r>
    </w:p>
    <w:p w14:paraId="30C22C86" w14:textId="77777777" w:rsidR="00090D02" w:rsidRPr="00640820" w:rsidRDefault="00090D02" w:rsidP="00640820">
      <w:pPr>
        <w:spacing w:after="0" w:line="240" w:lineRule="auto"/>
        <w:jc w:val="both"/>
        <w:rPr>
          <w:rFonts w:ascii="Times New Roman" w:hAnsi="Times New Roman"/>
          <w:color w:val="000000" w:themeColor="text1"/>
          <w:sz w:val="16"/>
          <w:szCs w:val="16"/>
        </w:rPr>
      </w:pPr>
    </w:p>
    <w:p w14:paraId="2432CDD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rPr>
        <w:t xml:space="preserve">3 ноября 1941 вышло Постановление ГКО № 862 О городских комитетах обороны [в г.г. Александров, Гусь-Хрустальный, Темрюк]. </w:t>
      </w:r>
      <w:r w:rsidRPr="00640820">
        <w:rPr>
          <w:rFonts w:ascii="Times New Roman" w:hAnsi="Times New Roman"/>
          <w:color w:val="000000" w:themeColor="text1"/>
          <w:sz w:val="16"/>
          <w:szCs w:val="16"/>
          <w:lang w:val="en-US"/>
        </w:rPr>
        <w:t>(7014, 181).</w:t>
      </w:r>
    </w:p>
    <w:p w14:paraId="4C0ED38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6FD5742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3 </w:t>
      </w:r>
      <w:r w:rsidRPr="00640820">
        <w:rPr>
          <w:rFonts w:ascii="Times New Roman" w:hAnsi="Times New Roman"/>
          <w:color w:val="000000" w:themeColor="text1"/>
          <w:sz w:val="16"/>
          <w:szCs w:val="16"/>
        </w:rPr>
        <w:t>ноября</w:t>
      </w:r>
      <w:r w:rsidRPr="00640820">
        <w:rPr>
          <w:rFonts w:ascii="Times New Roman" w:hAnsi="Times New Roman"/>
          <w:color w:val="000000" w:themeColor="text1"/>
          <w:sz w:val="16"/>
          <w:szCs w:val="16"/>
          <w:lang w:val="en-US"/>
        </w:rPr>
        <w:t xml:space="preserve"> 1941 </w:t>
      </w:r>
      <w:r w:rsidRPr="00640820">
        <w:rPr>
          <w:rFonts w:ascii="Times New Roman" w:hAnsi="Times New Roman"/>
          <w:color w:val="000000" w:themeColor="text1"/>
          <w:sz w:val="16"/>
          <w:szCs w:val="16"/>
        </w:rPr>
        <w:t>фашистамизахваченКурск</w:t>
      </w:r>
      <w:r w:rsidRPr="00640820">
        <w:rPr>
          <w:rFonts w:ascii="Times New Roman" w:hAnsi="Times New Roman"/>
          <w:color w:val="000000" w:themeColor="text1"/>
          <w:sz w:val="16"/>
          <w:szCs w:val="16"/>
          <w:lang w:val="en-US"/>
        </w:rPr>
        <w:t xml:space="preserve"> (4962).</w:t>
      </w:r>
    </w:p>
    <w:p w14:paraId="6AD6BA8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4ABF12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November 3, 1941: Units of Panzergruppe 2 (Guderian) of Heeresgruppe Mitte (von Bock) capture Kursk (3819).</w:t>
      </w:r>
    </w:p>
    <w:p w14:paraId="1F2384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30AECD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ноября 1941 немцы захватили Курск (2260).</w:t>
      </w:r>
    </w:p>
    <w:p w14:paraId="3D1B79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21ED512"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3 ноября </w:t>
      </w:r>
      <w:r w:rsidRPr="00640820">
        <w:rPr>
          <w:rFonts w:ascii="Times New Roman" w:hAnsi="Times New Roman"/>
          <w:color w:val="000000" w:themeColor="text1"/>
          <w:sz w:val="16"/>
          <w:szCs w:val="16"/>
        </w:rPr>
        <w:t>в 1941 году немцы берут Курск (14819).</w:t>
      </w:r>
    </w:p>
    <w:p w14:paraId="53E0FFCF" w14:textId="77777777" w:rsidR="00090D02" w:rsidRPr="00640820" w:rsidRDefault="00090D02" w:rsidP="00640820">
      <w:pPr>
        <w:spacing w:after="0" w:line="240" w:lineRule="auto"/>
        <w:jc w:val="both"/>
        <w:rPr>
          <w:rFonts w:ascii="Times New Roman" w:hAnsi="Times New Roman"/>
          <w:color w:val="000000" w:themeColor="text1"/>
          <w:sz w:val="16"/>
          <w:szCs w:val="16"/>
        </w:rPr>
      </w:pPr>
    </w:p>
    <w:p w14:paraId="79C29418"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38B84C23"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14DB8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ноября 1941 накануне октябрьских праздников, был взорван до основания величественный Успенский собор Киево-Печерской лавры (10675).</w:t>
      </w:r>
    </w:p>
    <w:p w14:paraId="6DA9F6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C63A8AF"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064AFCFF"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5D877B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ноября 1941 вышло Постановление ГКО № 863 О Польской армии на территории СССР. (7014, 182-183).</w:t>
      </w:r>
    </w:p>
    <w:p w14:paraId="5C74657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66625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ноября 1941 вышло Постановление ГКО № 865 О расселении польских граждан. (7014, 185).</w:t>
      </w:r>
    </w:p>
    <w:p w14:paraId="0AD7C66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E41233"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529AF6C2"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DF94E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ноября 1941 был одобрен план Ямомото по нападению на Перл Харбор (2260).</w:t>
      </w:r>
    </w:p>
    <w:p w14:paraId="003A50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82A35C9"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665E41BA"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90C5F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ноября 1941 года за начальника ГУ ВВС бригинженер Бибиков, военный комиссар бригадный комиссар Руденко писал письмо N 211653сс Шахурину.</w:t>
      </w:r>
    </w:p>
    <w:p w14:paraId="7AB4BC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Согласно распоряжению ГКО N 858 от 2.XI.41 г. ГУ ВВС обязано в ноябре с.г. сформировать 60 бомбардировочных авиаполков, состоящих из самолетов Р-5, У-2, И-16, И-15, Р-зет, а НКАП обязан их вооружить. Самолеты должны быть полностью вооружены и приспособлены для бомбометания днем и ночью.</w:t>
      </w:r>
    </w:p>
    <w:p w14:paraId="02A88D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вооружения указанных самолетов срочно требуется изготовление деталей вооружения, согласно прилагаемого списка.</w:t>
      </w:r>
    </w:p>
    <w:p w14:paraId="173D8C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Прошу Вас обязать соответствующие главки и заводы НКАП приступить к изготовлению указанного вооружения и поставить для ГУ ВВС в сроки, указанные решением Правительства.</w:t>
      </w:r>
    </w:p>
    <w:p w14:paraId="2F32ED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Приложение: Список на 1 листе (2637,51).</w:t>
      </w:r>
    </w:p>
    <w:p w14:paraId="4FD0ED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D42A3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ноября 1941 292 заводу поручили делать машины с лыжами со второй половины ноября (198,42).</w:t>
      </w:r>
    </w:p>
    <w:p w14:paraId="20888D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1ACDD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ноября 1941 г. на основании исследований в ЦАГИ выбрали оптимальную, с точки зрения как аэродинамики, так и производства, форму лыж и, согласно приказу наркома, завод № 292 во второй половине ноября приступил к их изготовлению. Установка лыж массово на самолеты началась с 43 серии (ГАСО ф.Р-1261 оп.4 д.218). Как и ожидалось, летные данные машины с лыжным шасси ухудшились. Контрольные испытания серийного самолета Як-1 № 3855 с лыжами, проведенные в НИИ ВВС КА с 7 марта по 2 апреля 1942 г., показали снижение максимальной скорости на 27 км/ч (до 532 км/ч), по сравнению с прошедшим ранее контрольные испытания однотипным серийным самолетом с колесным шасси (12048).</w:t>
      </w:r>
    </w:p>
    <w:p w14:paraId="4FB4BD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3D408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и 11 ноября 1941 приказами НКАП во исполнение постановлений ГКО от 2 и 9 ноября, заводу № 292 определялся повышенный план на ноябрь - 210, и декабрь - 290 самолетов. Во исполнение постановлений приказами наркома от 4 и 11 ноября 1941 г. заводу предписывалось с 10 ноября выпускать по 10 машин в сутки, а к концу месяца довести суточный выпуск до 12 самолетов.</w:t>
      </w:r>
    </w:p>
    <w:p w14:paraId="5863FE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Выпуск самолетов Як-1 заводом № 292 в 1941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00"/>
        <w:gridCol w:w="800"/>
        <w:gridCol w:w="800"/>
        <w:gridCol w:w="800"/>
        <w:gridCol w:w="800"/>
        <w:gridCol w:w="800"/>
        <w:gridCol w:w="800"/>
        <w:gridCol w:w="800"/>
        <w:gridCol w:w="800"/>
        <w:gridCol w:w="988"/>
        <w:gridCol w:w="851"/>
        <w:gridCol w:w="722"/>
        <w:gridCol w:w="722"/>
        <w:gridCol w:w="722"/>
      </w:tblGrid>
      <w:tr w:rsidR="00643896" w:rsidRPr="00640820" w14:paraId="5514D78D" w14:textId="77777777" w:rsidTr="000D3BCB">
        <w:tc>
          <w:tcPr>
            <w:tcW w:w="800" w:type="dxa"/>
            <w:tcBorders>
              <w:top w:val="single" w:sz="12" w:space="0" w:color="auto"/>
            </w:tcBorders>
          </w:tcPr>
          <w:p w14:paraId="0F3362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Borders>
              <w:top w:val="single" w:sz="12" w:space="0" w:color="auto"/>
            </w:tcBorders>
          </w:tcPr>
          <w:p w14:paraId="414A58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Январь</w:t>
            </w:r>
          </w:p>
        </w:tc>
        <w:tc>
          <w:tcPr>
            <w:tcW w:w="800" w:type="dxa"/>
            <w:tcBorders>
              <w:top w:val="single" w:sz="12" w:space="0" w:color="auto"/>
            </w:tcBorders>
          </w:tcPr>
          <w:p w14:paraId="5C3C8A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Февраль</w:t>
            </w:r>
          </w:p>
        </w:tc>
        <w:tc>
          <w:tcPr>
            <w:tcW w:w="800" w:type="dxa"/>
            <w:tcBorders>
              <w:top w:val="single" w:sz="12" w:space="0" w:color="auto"/>
            </w:tcBorders>
          </w:tcPr>
          <w:p w14:paraId="199A6A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Март</w:t>
            </w:r>
          </w:p>
        </w:tc>
        <w:tc>
          <w:tcPr>
            <w:tcW w:w="800" w:type="dxa"/>
            <w:tcBorders>
              <w:top w:val="single" w:sz="12" w:space="0" w:color="auto"/>
            </w:tcBorders>
          </w:tcPr>
          <w:p w14:paraId="53EB0E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Апрель</w:t>
            </w:r>
          </w:p>
        </w:tc>
        <w:tc>
          <w:tcPr>
            <w:tcW w:w="800" w:type="dxa"/>
            <w:tcBorders>
              <w:top w:val="single" w:sz="12" w:space="0" w:color="auto"/>
            </w:tcBorders>
          </w:tcPr>
          <w:p w14:paraId="7BA9DA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Май</w:t>
            </w:r>
          </w:p>
        </w:tc>
        <w:tc>
          <w:tcPr>
            <w:tcW w:w="800" w:type="dxa"/>
            <w:tcBorders>
              <w:top w:val="single" w:sz="12" w:space="0" w:color="auto"/>
            </w:tcBorders>
          </w:tcPr>
          <w:p w14:paraId="3E4044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Июнь</w:t>
            </w:r>
          </w:p>
        </w:tc>
        <w:tc>
          <w:tcPr>
            <w:tcW w:w="800" w:type="dxa"/>
            <w:tcBorders>
              <w:top w:val="single" w:sz="12" w:space="0" w:color="auto"/>
            </w:tcBorders>
          </w:tcPr>
          <w:p w14:paraId="42877E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Июль</w:t>
            </w:r>
          </w:p>
        </w:tc>
        <w:tc>
          <w:tcPr>
            <w:tcW w:w="800" w:type="dxa"/>
            <w:tcBorders>
              <w:top w:val="single" w:sz="12" w:space="0" w:color="auto"/>
            </w:tcBorders>
          </w:tcPr>
          <w:p w14:paraId="630EDA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Август</w:t>
            </w:r>
          </w:p>
        </w:tc>
        <w:tc>
          <w:tcPr>
            <w:tcW w:w="988" w:type="dxa"/>
            <w:tcBorders>
              <w:top w:val="single" w:sz="12" w:space="0" w:color="auto"/>
            </w:tcBorders>
          </w:tcPr>
          <w:p w14:paraId="4BE588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Сентябрь</w:t>
            </w:r>
          </w:p>
        </w:tc>
        <w:tc>
          <w:tcPr>
            <w:tcW w:w="851" w:type="dxa"/>
            <w:tcBorders>
              <w:top w:val="single" w:sz="12" w:space="0" w:color="auto"/>
            </w:tcBorders>
          </w:tcPr>
          <w:p w14:paraId="3FADFF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Октябрь</w:t>
            </w:r>
          </w:p>
        </w:tc>
        <w:tc>
          <w:tcPr>
            <w:tcW w:w="722" w:type="dxa"/>
            <w:tcBorders>
              <w:top w:val="single" w:sz="12" w:space="0" w:color="auto"/>
            </w:tcBorders>
          </w:tcPr>
          <w:p w14:paraId="112256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Ноябрь</w:t>
            </w:r>
          </w:p>
        </w:tc>
        <w:tc>
          <w:tcPr>
            <w:tcW w:w="722" w:type="dxa"/>
            <w:tcBorders>
              <w:top w:val="single" w:sz="12" w:space="0" w:color="auto"/>
            </w:tcBorders>
          </w:tcPr>
          <w:p w14:paraId="6D4C3D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Декабрь</w:t>
            </w:r>
          </w:p>
        </w:tc>
        <w:tc>
          <w:tcPr>
            <w:tcW w:w="722" w:type="dxa"/>
            <w:tcBorders>
              <w:top w:val="single" w:sz="12" w:space="0" w:color="auto"/>
            </w:tcBorders>
          </w:tcPr>
          <w:p w14:paraId="20E38F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Асего</w:t>
            </w:r>
          </w:p>
        </w:tc>
      </w:tr>
      <w:tr w:rsidR="00643896" w:rsidRPr="00640820" w14:paraId="276DD015" w14:textId="77777777" w:rsidTr="000D3BCB">
        <w:tc>
          <w:tcPr>
            <w:tcW w:w="800" w:type="dxa"/>
          </w:tcPr>
          <w:p w14:paraId="1B9E2A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1DCC32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3DB7C7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 квартал</w:t>
            </w:r>
          </w:p>
        </w:tc>
        <w:tc>
          <w:tcPr>
            <w:tcW w:w="800" w:type="dxa"/>
          </w:tcPr>
          <w:p w14:paraId="4E7910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1588BE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3A0AF5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 квартал</w:t>
            </w:r>
          </w:p>
        </w:tc>
        <w:tc>
          <w:tcPr>
            <w:tcW w:w="800" w:type="dxa"/>
          </w:tcPr>
          <w:p w14:paraId="517799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744EFA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14FB67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 квартал</w:t>
            </w:r>
          </w:p>
        </w:tc>
        <w:tc>
          <w:tcPr>
            <w:tcW w:w="988" w:type="dxa"/>
          </w:tcPr>
          <w:p w14:paraId="0BC60F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51" w:type="dxa"/>
          </w:tcPr>
          <w:p w14:paraId="484C7F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39CFDC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 квартал</w:t>
            </w:r>
          </w:p>
        </w:tc>
        <w:tc>
          <w:tcPr>
            <w:tcW w:w="722" w:type="dxa"/>
          </w:tcPr>
          <w:p w14:paraId="76480C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4509E3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05C47765" w14:textId="77777777" w:rsidTr="000D3BCB">
        <w:tc>
          <w:tcPr>
            <w:tcW w:w="800" w:type="dxa"/>
          </w:tcPr>
          <w:p w14:paraId="3AD48B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06F867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0298DD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220</w:t>
            </w:r>
          </w:p>
        </w:tc>
        <w:tc>
          <w:tcPr>
            <w:tcW w:w="800" w:type="dxa"/>
          </w:tcPr>
          <w:p w14:paraId="3D852E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394A21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6BE524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270</w:t>
            </w:r>
          </w:p>
        </w:tc>
        <w:tc>
          <w:tcPr>
            <w:tcW w:w="800" w:type="dxa"/>
          </w:tcPr>
          <w:p w14:paraId="50A53B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6DD829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18C9B9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290</w:t>
            </w:r>
          </w:p>
        </w:tc>
        <w:tc>
          <w:tcPr>
            <w:tcW w:w="988" w:type="dxa"/>
          </w:tcPr>
          <w:p w14:paraId="0DE6FD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51" w:type="dxa"/>
          </w:tcPr>
          <w:p w14:paraId="7193E9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5282FC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320</w:t>
            </w:r>
          </w:p>
        </w:tc>
        <w:tc>
          <w:tcPr>
            <w:tcW w:w="722" w:type="dxa"/>
          </w:tcPr>
          <w:p w14:paraId="061B94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6B1453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1100</w:t>
            </w:r>
          </w:p>
        </w:tc>
      </w:tr>
      <w:tr w:rsidR="00643896" w:rsidRPr="00640820" w14:paraId="0994C922" w14:textId="77777777" w:rsidTr="000D3BCB">
        <w:tc>
          <w:tcPr>
            <w:tcW w:w="800" w:type="dxa"/>
          </w:tcPr>
          <w:p w14:paraId="5D250F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Новый план'</w:t>
            </w:r>
          </w:p>
        </w:tc>
        <w:tc>
          <w:tcPr>
            <w:tcW w:w="800" w:type="dxa"/>
          </w:tcPr>
          <w:p w14:paraId="71D6F2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5E3080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w:t>
            </w:r>
          </w:p>
        </w:tc>
        <w:tc>
          <w:tcPr>
            <w:tcW w:w="800" w:type="dxa"/>
          </w:tcPr>
          <w:p w14:paraId="05CAE5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40</w:t>
            </w:r>
          </w:p>
        </w:tc>
        <w:tc>
          <w:tcPr>
            <w:tcW w:w="800" w:type="dxa"/>
          </w:tcPr>
          <w:p w14:paraId="53D1AC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66</w:t>
            </w:r>
          </w:p>
        </w:tc>
        <w:tc>
          <w:tcPr>
            <w:tcW w:w="800" w:type="dxa"/>
          </w:tcPr>
          <w:p w14:paraId="2DCB9D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74</w:t>
            </w:r>
          </w:p>
        </w:tc>
        <w:tc>
          <w:tcPr>
            <w:tcW w:w="800" w:type="dxa"/>
          </w:tcPr>
          <w:p w14:paraId="7768F2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100</w:t>
            </w:r>
          </w:p>
        </w:tc>
        <w:tc>
          <w:tcPr>
            <w:tcW w:w="800" w:type="dxa"/>
          </w:tcPr>
          <w:p w14:paraId="102E2F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115</w:t>
            </w:r>
          </w:p>
        </w:tc>
        <w:tc>
          <w:tcPr>
            <w:tcW w:w="800" w:type="dxa"/>
          </w:tcPr>
          <w:p w14:paraId="56EE27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130</w:t>
            </w:r>
          </w:p>
        </w:tc>
        <w:tc>
          <w:tcPr>
            <w:tcW w:w="988" w:type="dxa"/>
          </w:tcPr>
          <w:p w14:paraId="096DE5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156</w:t>
            </w:r>
          </w:p>
        </w:tc>
        <w:tc>
          <w:tcPr>
            <w:tcW w:w="851" w:type="dxa"/>
          </w:tcPr>
          <w:p w14:paraId="57FE49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189</w:t>
            </w:r>
          </w:p>
        </w:tc>
        <w:tc>
          <w:tcPr>
            <w:tcW w:w="722" w:type="dxa"/>
          </w:tcPr>
          <w:p w14:paraId="5149AB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184</w:t>
            </w:r>
          </w:p>
        </w:tc>
        <w:tc>
          <w:tcPr>
            <w:tcW w:w="722" w:type="dxa"/>
          </w:tcPr>
          <w:p w14:paraId="123A70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260</w:t>
            </w:r>
          </w:p>
        </w:tc>
        <w:tc>
          <w:tcPr>
            <w:tcW w:w="722" w:type="dxa"/>
          </w:tcPr>
          <w:p w14:paraId="6706C3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1350</w:t>
            </w:r>
          </w:p>
        </w:tc>
      </w:tr>
      <w:tr w:rsidR="00643896" w:rsidRPr="00640820" w14:paraId="0E4BFCC6" w14:textId="77777777" w:rsidTr="000D3BCB">
        <w:tc>
          <w:tcPr>
            <w:tcW w:w="800" w:type="dxa"/>
          </w:tcPr>
          <w:p w14:paraId="2BF4DA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Изготовлено</w:t>
            </w:r>
          </w:p>
        </w:tc>
        <w:tc>
          <w:tcPr>
            <w:tcW w:w="800" w:type="dxa"/>
          </w:tcPr>
          <w:p w14:paraId="6B74B5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p w14:paraId="776D37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33E3FA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w:t>
            </w:r>
          </w:p>
        </w:tc>
        <w:tc>
          <w:tcPr>
            <w:tcW w:w="800" w:type="dxa"/>
          </w:tcPr>
          <w:p w14:paraId="4C064D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40</w:t>
            </w:r>
          </w:p>
        </w:tc>
        <w:tc>
          <w:tcPr>
            <w:tcW w:w="800" w:type="dxa"/>
          </w:tcPr>
          <w:p w14:paraId="28CC15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68</w:t>
            </w:r>
          </w:p>
        </w:tc>
        <w:tc>
          <w:tcPr>
            <w:tcW w:w="800" w:type="dxa"/>
          </w:tcPr>
          <w:p w14:paraId="38706B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73</w:t>
            </w:r>
          </w:p>
        </w:tc>
        <w:tc>
          <w:tcPr>
            <w:tcW w:w="800" w:type="dxa"/>
          </w:tcPr>
          <w:p w14:paraId="4BC887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101</w:t>
            </w:r>
          </w:p>
        </w:tc>
        <w:tc>
          <w:tcPr>
            <w:tcW w:w="800" w:type="dxa"/>
          </w:tcPr>
          <w:p w14:paraId="671368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135</w:t>
            </w:r>
          </w:p>
        </w:tc>
        <w:tc>
          <w:tcPr>
            <w:tcW w:w="800" w:type="dxa"/>
          </w:tcPr>
          <w:p w14:paraId="6EA211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150</w:t>
            </w:r>
          </w:p>
        </w:tc>
        <w:tc>
          <w:tcPr>
            <w:tcW w:w="988" w:type="dxa"/>
          </w:tcPr>
          <w:p w14:paraId="5A8179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168</w:t>
            </w:r>
          </w:p>
        </w:tc>
        <w:tc>
          <w:tcPr>
            <w:tcW w:w="851" w:type="dxa"/>
          </w:tcPr>
          <w:p w14:paraId="342887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185</w:t>
            </w:r>
          </w:p>
        </w:tc>
        <w:tc>
          <w:tcPr>
            <w:tcW w:w="722" w:type="dxa"/>
          </w:tcPr>
          <w:p w14:paraId="11E50D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104</w:t>
            </w:r>
          </w:p>
        </w:tc>
        <w:tc>
          <w:tcPr>
            <w:tcW w:w="722" w:type="dxa"/>
          </w:tcPr>
          <w:p w14:paraId="1B31B9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152</w:t>
            </w:r>
          </w:p>
        </w:tc>
        <w:tc>
          <w:tcPr>
            <w:tcW w:w="722" w:type="dxa"/>
          </w:tcPr>
          <w:p w14:paraId="5DA497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1212 3</w:t>
            </w:r>
          </w:p>
        </w:tc>
      </w:tr>
      <w:tr w:rsidR="00643896" w:rsidRPr="00640820" w14:paraId="790E6466" w14:textId="77777777" w:rsidTr="000D3BCB">
        <w:tc>
          <w:tcPr>
            <w:tcW w:w="800" w:type="dxa"/>
          </w:tcPr>
          <w:p w14:paraId="142CEF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1ADCA0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17 2)</w:t>
            </w:r>
          </w:p>
        </w:tc>
        <w:tc>
          <w:tcPr>
            <w:tcW w:w="800" w:type="dxa"/>
          </w:tcPr>
          <w:p w14:paraId="1CF76E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25 2)</w:t>
            </w:r>
          </w:p>
        </w:tc>
        <w:tc>
          <w:tcPr>
            <w:tcW w:w="800" w:type="dxa"/>
          </w:tcPr>
          <w:p w14:paraId="5B4A6E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34 2)</w:t>
            </w:r>
          </w:p>
        </w:tc>
        <w:tc>
          <w:tcPr>
            <w:tcW w:w="800" w:type="dxa"/>
          </w:tcPr>
          <w:p w14:paraId="51808F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4C1512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5F7B4C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1844AE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1DDA8C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988" w:type="dxa"/>
          </w:tcPr>
          <w:p w14:paraId="645D29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51" w:type="dxa"/>
          </w:tcPr>
          <w:p w14:paraId="651799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5573E1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59AF31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310A73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1539F74B" w14:textId="77777777" w:rsidTr="000D3BCB">
        <w:tc>
          <w:tcPr>
            <w:tcW w:w="800" w:type="dxa"/>
          </w:tcPr>
          <w:p w14:paraId="382E8F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Принято военпредом</w:t>
            </w:r>
          </w:p>
        </w:tc>
        <w:tc>
          <w:tcPr>
            <w:tcW w:w="800" w:type="dxa"/>
          </w:tcPr>
          <w:p w14:paraId="6D3D16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5B9FAF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182C02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6B5815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2D303D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2EC2A9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7CFE6E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47D47B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988" w:type="dxa"/>
          </w:tcPr>
          <w:p w14:paraId="3D8CF3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51" w:type="dxa"/>
          </w:tcPr>
          <w:p w14:paraId="636849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32D7C4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1AA12E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348609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1D918980" w14:textId="77777777" w:rsidTr="000D3BCB">
        <w:tc>
          <w:tcPr>
            <w:tcW w:w="800" w:type="dxa"/>
          </w:tcPr>
          <w:p w14:paraId="6BD0BD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для ГУ ВВС КА</w:t>
            </w:r>
          </w:p>
        </w:tc>
        <w:tc>
          <w:tcPr>
            <w:tcW w:w="800" w:type="dxa"/>
          </w:tcPr>
          <w:p w14:paraId="4204CB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w:t>
            </w:r>
          </w:p>
        </w:tc>
        <w:tc>
          <w:tcPr>
            <w:tcW w:w="800" w:type="dxa"/>
          </w:tcPr>
          <w:p w14:paraId="4CF068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w:t>
            </w:r>
          </w:p>
        </w:tc>
        <w:tc>
          <w:tcPr>
            <w:tcW w:w="800" w:type="dxa"/>
          </w:tcPr>
          <w:p w14:paraId="3DD6AE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40</w:t>
            </w:r>
          </w:p>
        </w:tc>
        <w:tc>
          <w:tcPr>
            <w:tcW w:w="800" w:type="dxa"/>
          </w:tcPr>
          <w:p w14:paraId="6FF029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68</w:t>
            </w:r>
          </w:p>
        </w:tc>
        <w:tc>
          <w:tcPr>
            <w:tcW w:w="800" w:type="dxa"/>
          </w:tcPr>
          <w:p w14:paraId="6B76FF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66</w:t>
            </w:r>
          </w:p>
        </w:tc>
        <w:tc>
          <w:tcPr>
            <w:tcW w:w="800" w:type="dxa"/>
          </w:tcPr>
          <w:p w14:paraId="4F21C2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58</w:t>
            </w:r>
          </w:p>
        </w:tc>
        <w:tc>
          <w:tcPr>
            <w:tcW w:w="800" w:type="dxa"/>
          </w:tcPr>
          <w:p w14:paraId="5D1F1E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117</w:t>
            </w:r>
          </w:p>
        </w:tc>
        <w:tc>
          <w:tcPr>
            <w:tcW w:w="800" w:type="dxa"/>
          </w:tcPr>
          <w:p w14:paraId="0DDC5F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153</w:t>
            </w:r>
          </w:p>
        </w:tc>
        <w:tc>
          <w:tcPr>
            <w:tcW w:w="988" w:type="dxa"/>
          </w:tcPr>
          <w:p w14:paraId="5A4989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151</w:t>
            </w:r>
          </w:p>
        </w:tc>
        <w:tc>
          <w:tcPr>
            <w:tcW w:w="851" w:type="dxa"/>
          </w:tcPr>
          <w:p w14:paraId="521B64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171</w:t>
            </w:r>
          </w:p>
        </w:tc>
        <w:tc>
          <w:tcPr>
            <w:tcW w:w="722" w:type="dxa"/>
          </w:tcPr>
          <w:p w14:paraId="7FE6C0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68</w:t>
            </w:r>
          </w:p>
        </w:tc>
        <w:tc>
          <w:tcPr>
            <w:tcW w:w="722" w:type="dxa"/>
          </w:tcPr>
          <w:p w14:paraId="5285BA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143</w:t>
            </w:r>
          </w:p>
        </w:tc>
        <w:tc>
          <w:tcPr>
            <w:tcW w:w="722" w:type="dxa"/>
          </w:tcPr>
          <w:p w14:paraId="6F5EA9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1070</w:t>
            </w:r>
          </w:p>
        </w:tc>
      </w:tr>
      <w:tr w:rsidR="00643896" w:rsidRPr="00640820" w14:paraId="4D5760C3" w14:textId="77777777" w:rsidTr="000D3BCB">
        <w:tc>
          <w:tcPr>
            <w:tcW w:w="800" w:type="dxa"/>
          </w:tcPr>
          <w:p w14:paraId="7354B2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для УА ВМФ</w:t>
            </w:r>
          </w:p>
        </w:tc>
        <w:tc>
          <w:tcPr>
            <w:tcW w:w="800" w:type="dxa"/>
          </w:tcPr>
          <w:p w14:paraId="135702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0C00C0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13DC6D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0A6F48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6A2F88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w:t>
            </w:r>
          </w:p>
        </w:tc>
        <w:tc>
          <w:tcPr>
            <w:tcW w:w="800" w:type="dxa"/>
          </w:tcPr>
          <w:p w14:paraId="3C8B3D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41</w:t>
            </w:r>
          </w:p>
        </w:tc>
        <w:tc>
          <w:tcPr>
            <w:tcW w:w="800" w:type="dxa"/>
          </w:tcPr>
          <w:p w14:paraId="44C2EB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04DA40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988" w:type="dxa"/>
          </w:tcPr>
          <w:p w14:paraId="43E640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w:t>
            </w:r>
          </w:p>
        </w:tc>
        <w:tc>
          <w:tcPr>
            <w:tcW w:w="851" w:type="dxa"/>
          </w:tcPr>
          <w:p w14:paraId="734F1D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w:t>
            </w:r>
          </w:p>
        </w:tc>
        <w:tc>
          <w:tcPr>
            <w:tcW w:w="722" w:type="dxa"/>
          </w:tcPr>
          <w:p w14:paraId="3D3C09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w:t>
            </w:r>
          </w:p>
        </w:tc>
        <w:tc>
          <w:tcPr>
            <w:tcW w:w="722" w:type="dxa"/>
          </w:tcPr>
          <w:p w14:paraId="4355BA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20</w:t>
            </w:r>
          </w:p>
        </w:tc>
        <w:tc>
          <w:tcPr>
            <w:tcW w:w="722" w:type="dxa"/>
          </w:tcPr>
          <w:p w14:paraId="4AE4F9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121</w:t>
            </w:r>
          </w:p>
        </w:tc>
      </w:tr>
      <w:tr w:rsidR="00643896" w:rsidRPr="00640820" w14:paraId="547F8BAC" w14:textId="77777777" w:rsidTr="000D3BCB">
        <w:tc>
          <w:tcPr>
            <w:tcW w:w="800" w:type="dxa"/>
          </w:tcPr>
          <w:p w14:paraId="2C27EA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Отправлено всего</w:t>
            </w:r>
          </w:p>
        </w:tc>
        <w:tc>
          <w:tcPr>
            <w:tcW w:w="800" w:type="dxa"/>
          </w:tcPr>
          <w:p w14:paraId="1256BD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24A6A3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27E022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30</w:t>
            </w:r>
          </w:p>
        </w:tc>
        <w:tc>
          <w:tcPr>
            <w:tcW w:w="800" w:type="dxa"/>
          </w:tcPr>
          <w:p w14:paraId="5C980E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45</w:t>
            </w:r>
          </w:p>
        </w:tc>
        <w:tc>
          <w:tcPr>
            <w:tcW w:w="800" w:type="dxa"/>
          </w:tcPr>
          <w:p w14:paraId="507C65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45</w:t>
            </w:r>
          </w:p>
        </w:tc>
        <w:tc>
          <w:tcPr>
            <w:tcW w:w="800" w:type="dxa"/>
          </w:tcPr>
          <w:p w14:paraId="4F4DCA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66</w:t>
            </w:r>
          </w:p>
        </w:tc>
        <w:tc>
          <w:tcPr>
            <w:tcW w:w="800" w:type="dxa"/>
          </w:tcPr>
          <w:p w14:paraId="764ECD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192</w:t>
            </w:r>
          </w:p>
        </w:tc>
        <w:tc>
          <w:tcPr>
            <w:tcW w:w="800" w:type="dxa"/>
          </w:tcPr>
          <w:p w14:paraId="482390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150</w:t>
            </w:r>
          </w:p>
        </w:tc>
        <w:tc>
          <w:tcPr>
            <w:tcW w:w="988" w:type="dxa"/>
          </w:tcPr>
          <w:p w14:paraId="17637A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155</w:t>
            </w:r>
          </w:p>
        </w:tc>
        <w:tc>
          <w:tcPr>
            <w:tcW w:w="851" w:type="dxa"/>
          </w:tcPr>
          <w:p w14:paraId="5E6D66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153</w:t>
            </w:r>
          </w:p>
        </w:tc>
        <w:tc>
          <w:tcPr>
            <w:tcW w:w="722" w:type="dxa"/>
          </w:tcPr>
          <w:p w14:paraId="2602EE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123</w:t>
            </w:r>
          </w:p>
        </w:tc>
        <w:tc>
          <w:tcPr>
            <w:tcW w:w="722" w:type="dxa"/>
          </w:tcPr>
          <w:p w14:paraId="597C24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136</w:t>
            </w:r>
          </w:p>
        </w:tc>
        <w:tc>
          <w:tcPr>
            <w:tcW w:w="722" w:type="dxa"/>
          </w:tcPr>
          <w:p w14:paraId="0A936B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1125</w:t>
            </w:r>
          </w:p>
        </w:tc>
      </w:tr>
      <w:tr w:rsidR="00643896" w:rsidRPr="00640820" w14:paraId="5B52986A" w14:textId="77777777" w:rsidTr="000D3BCB">
        <w:tc>
          <w:tcPr>
            <w:tcW w:w="800" w:type="dxa"/>
          </w:tcPr>
          <w:p w14:paraId="3C1E22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 т.ч. ВВС КА</w:t>
            </w:r>
          </w:p>
        </w:tc>
        <w:tc>
          <w:tcPr>
            <w:tcW w:w="800" w:type="dxa"/>
          </w:tcPr>
          <w:p w14:paraId="6B11BF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22FC23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3DF998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30</w:t>
            </w:r>
          </w:p>
        </w:tc>
        <w:tc>
          <w:tcPr>
            <w:tcW w:w="800" w:type="dxa"/>
          </w:tcPr>
          <w:p w14:paraId="2B491E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45</w:t>
            </w:r>
          </w:p>
        </w:tc>
        <w:tc>
          <w:tcPr>
            <w:tcW w:w="800" w:type="dxa"/>
          </w:tcPr>
          <w:p w14:paraId="2F1E41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42</w:t>
            </w:r>
          </w:p>
        </w:tc>
        <w:tc>
          <w:tcPr>
            <w:tcW w:w="800" w:type="dxa"/>
          </w:tcPr>
          <w:p w14:paraId="36B75D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58</w:t>
            </w:r>
          </w:p>
        </w:tc>
        <w:tc>
          <w:tcPr>
            <w:tcW w:w="800" w:type="dxa"/>
          </w:tcPr>
          <w:p w14:paraId="3387DE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138</w:t>
            </w:r>
          </w:p>
        </w:tc>
        <w:tc>
          <w:tcPr>
            <w:tcW w:w="800" w:type="dxa"/>
          </w:tcPr>
          <w:p w14:paraId="7E75DE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150</w:t>
            </w:r>
          </w:p>
        </w:tc>
        <w:tc>
          <w:tcPr>
            <w:tcW w:w="988" w:type="dxa"/>
          </w:tcPr>
          <w:p w14:paraId="0AF302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138</w:t>
            </w:r>
          </w:p>
        </w:tc>
        <w:tc>
          <w:tcPr>
            <w:tcW w:w="851" w:type="dxa"/>
          </w:tcPr>
          <w:p w14:paraId="27B0D0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149</w:t>
            </w:r>
          </w:p>
        </w:tc>
        <w:tc>
          <w:tcPr>
            <w:tcW w:w="722" w:type="dxa"/>
          </w:tcPr>
          <w:p w14:paraId="452CAB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102</w:t>
            </w:r>
          </w:p>
        </w:tc>
        <w:tc>
          <w:tcPr>
            <w:tcW w:w="722" w:type="dxa"/>
          </w:tcPr>
          <w:p w14:paraId="5DABB6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128</w:t>
            </w:r>
          </w:p>
        </w:tc>
        <w:tc>
          <w:tcPr>
            <w:tcW w:w="722" w:type="dxa"/>
          </w:tcPr>
          <w:p w14:paraId="1F8F66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1010</w:t>
            </w:r>
          </w:p>
        </w:tc>
      </w:tr>
      <w:tr w:rsidR="00643896" w:rsidRPr="00640820" w14:paraId="7D096CC2" w14:textId="77777777" w:rsidTr="000D3BCB">
        <w:tc>
          <w:tcPr>
            <w:tcW w:w="800" w:type="dxa"/>
          </w:tcPr>
          <w:p w14:paraId="0AADFB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 т.ч. ВВС ВМФ</w:t>
            </w:r>
          </w:p>
        </w:tc>
        <w:tc>
          <w:tcPr>
            <w:tcW w:w="800" w:type="dxa"/>
          </w:tcPr>
          <w:p w14:paraId="4F8F1F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40CA93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368CAC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4DB6D7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7A7CD5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221F03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w:t>
            </w:r>
          </w:p>
        </w:tc>
        <w:tc>
          <w:tcPr>
            <w:tcW w:w="800" w:type="dxa"/>
          </w:tcPr>
          <w:p w14:paraId="1ACE81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54</w:t>
            </w:r>
          </w:p>
        </w:tc>
        <w:tc>
          <w:tcPr>
            <w:tcW w:w="800" w:type="dxa"/>
          </w:tcPr>
          <w:p w14:paraId="7F52C3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988" w:type="dxa"/>
          </w:tcPr>
          <w:p w14:paraId="251C98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w:t>
            </w:r>
          </w:p>
        </w:tc>
        <w:tc>
          <w:tcPr>
            <w:tcW w:w="851" w:type="dxa"/>
          </w:tcPr>
          <w:p w14:paraId="5504F4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w:t>
            </w:r>
          </w:p>
        </w:tc>
        <w:tc>
          <w:tcPr>
            <w:tcW w:w="722" w:type="dxa"/>
          </w:tcPr>
          <w:p w14:paraId="3A2088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w:t>
            </w:r>
          </w:p>
        </w:tc>
        <w:tc>
          <w:tcPr>
            <w:tcW w:w="722" w:type="dxa"/>
          </w:tcPr>
          <w:p w14:paraId="0D1ADC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w:t>
            </w:r>
          </w:p>
        </w:tc>
        <w:tc>
          <w:tcPr>
            <w:tcW w:w="722" w:type="dxa"/>
          </w:tcPr>
          <w:p w14:paraId="5A9764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99</w:t>
            </w:r>
          </w:p>
        </w:tc>
      </w:tr>
      <w:tr w:rsidR="00643896" w:rsidRPr="00640820" w14:paraId="4D3EE1FC" w14:textId="77777777" w:rsidTr="000D3BCB">
        <w:tc>
          <w:tcPr>
            <w:tcW w:w="800" w:type="dxa"/>
          </w:tcPr>
          <w:p w14:paraId="6D9E59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т.ч. другие </w:t>
            </w:r>
            <w:r w:rsidRPr="00640820">
              <w:rPr>
                <w:rFonts w:ascii="Times New Roman" w:hAnsi="Times New Roman"/>
                <w:color w:val="000000" w:themeColor="text1"/>
                <w:sz w:val="16"/>
                <w:szCs w:val="16"/>
              </w:rPr>
              <w:lastRenderedPageBreak/>
              <w:t>не принятые</w:t>
            </w:r>
          </w:p>
        </w:tc>
        <w:tc>
          <w:tcPr>
            <w:tcW w:w="800" w:type="dxa"/>
          </w:tcPr>
          <w:p w14:paraId="6EDE08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lastRenderedPageBreak/>
              <w:t>-</w:t>
            </w:r>
          </w:p>
        </w:tc>
        <w:tc>
          <w:tcPr>
            <w:tcW w:w="800" w:type="dxa"/>
          </w:tcPr>
          <w:p w14:paraId="56EAC3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076302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7C5DD3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367533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З4</w:t>
            </w:r>
          </w:p>
        </w:tc>
        <w:tc>
          <w:tcPr>
            <w:tcW w:w="800" w:type="dxa"/>
          </w:tcPr>
          <w:p w14:paraId="494A15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3A1F3F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5BDAA5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988" w:type="dxa"/>
          </w:tcPr>
          <w:p w14:paraId="6E0B9D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w:t>
            </w:r>
          </w:p>
        </w:tc>
        <w:tc>
          <w:tcPr>
            <w:tcW w:w="851" w:type="dxa"/>
          </w:tcPr>
          <w:p w14:paraId="4EB38E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22" w:type="dxa"/>
          </w:tcPr>
          <w:p w14:paraId="596280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w:t>
            </w:r>
          </w:p>
        </w:tc>
        <w:tc>
          <w:tcPr>
            <w:tcW w:w="722" w:type="dxa"/>
          </w:tcPr>
          <w:p w14:paraId="32F26A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22" w:type="dxa"/>
          </w:tcPr>
          <w:p w14:paraId="18F014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w:t>
            </w:r>
          </w:p>
        </w:tc>
      </w:tr>
      <w:tr w:rsidR="00643896" w:rsidRPr="00640820" w14:paraId="6CBBC8C4" w14:textId="77777777" w:rsidTr="000D3BCB">
        <w:tc>
          <w:tcPr>
            <w:tcW w:w="800" w:type="dxa"/>
          </w:tcPr>
          <w:p w14:paraId="00706C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Осталось на заводе</w:t>
            </w:r>
          </w:p>
        </w:tc>
        <w:tc>
          <w:tcPr>
            <w:tcW w:w="800" w:type="dxa"/>
          </w:tcPr>
          <w:p w14:paraId="73FFFA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w:t>
            </w:r>
          </w:p>
        </w:tc>
        <w:tc>
          <w:tcPr>
            <w:tcW w:w="800" w:type="dxa"/>
          </w:tcPr>
          <w:p w14:paraId="3E33B5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w:t>
            </w:r>
          </w:p>
        </w:tc>
        <w:tc>
          <w:tcPr>
            <w:tcW w:w="800" w:type="dxa"/>
          </w:tcPr>
          <w:p w14:paraId="60B934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32</w:t>
            </w:r>
          </w:p>
        </w:tc>
        <w:tc>
          <w:tcPr>
            <w:tcW w:w="800" w:type="dxa"/>
          </w:tcPr>
          <w:p w14:paraId="3C1511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55</w:t>
            </w:r>
          </w:p>
        </w:tc>
        <w:tc>
          <w:tcPr>
            <w:tcW w:w="800" w:type="dxa"/>
          </w:tcPr>
          <w:p w14:paraId="0F57B3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83</w:t>
            </w:r>
          </w:p>
        </w:tc>
        <w:tc>
          <w:tcPr>
            <w:tcW w:w="800" w:type="dxa"/>
          </w:tcPr>
          <w:p w14:paraId="327D80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118</w:t>
            </w:r>
          </w:p>
        </w:tc>
        <w:tc>
          <w:tcPr>
            <w:tcW w:w="800" w:type="dxa"/>
          </w:tcPr>
          <w:p w14:paraId="13C002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61</w:t>
            </w:r>
          </w:p>
        </w:tc>
        <w:tc>
          <w:tcPr>
            <w:tcW w:w="800" w:type="dxa"/>
          </w:tcPr>
          <w:p w14:paraId="481DE2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61</w:t>
            </w:r>
          </w:p>
        </w:tc>
        <w:tc>
          <w:tcPr>
            <w:tcW w:w="988" w:type="dxa"/>
          </w:tcPr>
          <w:p w14:paraId="3D7DE2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74</w:t>
            </w:r>
          </w:p>
        </w:tc>
        <w:tc>
          <w:tcPr>
            <w:tcW w:w="851" w:type="dxa"/>
          </w:tcPr>
          <w:p w14:paraId="21542D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106</w:t>
            </w:r>
          </w:p>
        </w:tc>
        <w:tc>
          <w:tcPr>
            <w:tcW w:w="722" w:type="dxa"/>
          </w:tcPr>
          <w:p w14:paraId="354F8E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87</w:t>
            </w:r>
          </w:p>
        </w:tc>
        <w:tc>
          <w:tcPr>
            <w:tcW w:w="722" w:type="dxa"/>
          </w:tcPr>
          <w:p w14:paraId="480B56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ЮЗ8</w:t>
            </w:r>
          </w:p>
        </w:tc>
        <w:tc>
          <w:tcPr>
            <w:tcW w:w="722" w:type="dxa"/>
          </w:tcPr>
          <w:p w14:paraId="75F901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r>
      <w:tr w:rsidR="00643896" w:rsidRPr="00640820" w14:paraId="76BF138F" w14:textId="77777777" w:rsidTr="000D3BCB">
        <w:tc>
          <w:tcPr>
            <w:tcW w:w="800" w:type="dxa"/>
          </w:tcPr>
          <w:p w14:paraId="7B1200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 т.ч. принятых</w:t>
            </w:r>
          </w:p>
        </w:tc>
        <w:tc>
          <w:tcPr>
            <w:tcW w:w="800" w:type="dxa"/>
          </w:tcPr>
          <w:p w14:paraId="7CB5FD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6CDA9F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w:t>
            </w:r>
          </w:p>
        </w:tc>
        <w:tc>
          <w:tcPr>
            <w:tcW w:w="800" w:type="dxa"/>
          </w:tcPr>
          <w:p w14:paraId="1A1658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31</w:t>
            </w:r>
          </w:p>
        </w:tc>
        <w:tc>
          <w:tcPr>
            <w:tcW w:w="800" w:type="dxa"/>
          </w:tcPr>
          <w:p w14:paraId="6652C4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54</w:t>
            </w:r>
          </w:p>
        </w:tc>
        <w:tc>
          <w:tcPr>
            <w:tcW w:w="800" w:type="dxa"/>
          </w:tcPr>
          <w:p w14:paraId="103CA1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83</w:t>
            </w:r>
          </w:p>
        </w:tc>
        <w:tc>
          <w:tcPr>
            <w:tcW w:w="800" w:type="dxa"/>
          </w:tcPr>
          <w:p w14:paraId="011A08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117</w:t>
            </w:r>
          </w:p>
        </w:tc>
        <w:tc>
          <w:tcPr>
            <w:tcW w:w="800" w:type="dxa"/>
          </w:tcPr>
          <w:p w14:paraId="5EB89A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57</w:t>
            </w:r>
          </w:p>
        </w:tc>
        <w:tc>
          <w:tcPr>
            <w:tcW w:w="800" w:type="dxa"/>
          </w:tcPr>
          <w:p w14:paraId="6B05B5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60</w:t>
            </w:r>
          </w:p>
        </w:tc>
        <w:tc>
          <w:tcPr>
            <w:tcW w:w="988" w:type="dxa"/>
          </w:tcPr>
          <w:p w14:paraId="552309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73</w:t>
            </w:r>
          </w:p>
        </w:tc>
        <w:tc>
          <w:tcPr>
            <w:tcW w:w="851" w:type="dxa"/>
          </w:tcPr>
          <w:p w14:paraId="3C3E5F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98</w:t>
            </w:r>
          </w:p>
        </w:tc>
        <w:tc>
          <w:tcPr>
            <w:tcW w:w="722" w:type="dxa"/>
          </w:tcPr>
          <w:p w14:paraId="3FE60A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71</w:t>
            </w:r>
          </w:p>
        </w:tc>
        <w:tc>
          <w:tcPr>
            <w:tcW w:w="722" w:type="dxa"/>
          </w:tcPr>
          <w:p w14:paraId="773970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98</w:t>
            </w:r>
          </w:p>
        </w:tc>
        <w:tc>
          <w:tcPr>
            <w:tcW w:w="722" w:type="dxa"/>
          </w:tcPr>
          <w:p w14:paraId="71A58A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r>
      <w:tr w:rsidR="00643896" w:rsidRPr="00640820" w14:paraId="1D7E8668" w14:textId="77777777" w:rsidTr="000D3BCB">
        <w:tc>
          <w:tcPr>
            <w:tcW w:w="800" w:type="dxa"/>
            <w:tcBorders>
              <w:bottom w:val="single" w:sz="12" w:space="0" w:color="auto"/>
            </w:tcBorders>
          </w:tcPr>
          <w:p w14:paraId="1B5E44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 т.ч. облетанных</w:t>
            </w:r>
          </w:p>
        </w:tc>
        <w:tc>
          <w:tcPr>
            <w:tcW w:w="800" w:type="dxa"/>
            <w:tcBorders>
              <w:bottom w:val="single" w:sz="12" w:space="0" w:color="auto"/>
            </w:tcBorders>
          </w:tcPr>
          <w:p w14:paraId="0A7D27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Borders>
              <w:bottom w:val="single" w:sz="12" w:space="0" w:color="auto"/>
            </w:tcBorders>
          </w:tcPr>
          <w:p w14:paraId="7E5C13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Borders>
              <w:bottom w:val="single" w:sz="12" w:space="0" w:color="auto"/>
            </w:tcBorders>
          </w:tcPr>
          <w:p w14:paraId="2D61DA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w:t>
            </w:r>
          </w:p>
        </w:tc>
        <w:tc>
          <w:tcPr>
            <w:tcW w:w="800" w:type="dxa"/>
            <w:tcBorders>
              <w:bottom w:val="single" w:sz="12" w:space="0" w:color="auto"/>
            </w:tcBorders>
          </w:tcPr>
          <w:p w14:paraId="1E0DBF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Borders>
              <w:bottom w:val="single" w:sz="12" w:space="0" w:color="auto"/>
            </w:tcBorders>
          </w:tcPr>
          <w:p w14:paraId="107DA5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Borders>
              <w:bottom w:val="single" w:sz="12" w:space="0" w:color="auto"/>
            </w:tcBorders>
          </w:tcPr>
          <w:p w14:paraId="3F5393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Borders>
              <w:bottom w:val="single" w:sz="12" w:space="0" w:color="auto"/>
            </w:tcBorders>
          </w:tcPr>
          <w:p w14:paraId="045CA7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w:t>
            </w:r>
          </w:p>
        </w:tc>
        <w:tc>
          <w:tcPr>
            <w:tcW w:w="800" w:type="dxa"/>
            <w:tcBorders>
              <w:bottom w:val="single" w:sz="12" w:space="0" w:color="auto"/>
            </w:tcBorders>
          </w:tcPr>
          <w:p w14:paraId="71A142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59</w:t>
            </w:r>
          </w:p>
        </w:tc>
        <w:tc>
          <w:tcPr>
            <w:tcW w:w="988" w:type="dxa"/>
            <w:tcBorders>
              <w:bottom w:val="single" w:sz="12" w:space="0" w:color="auto"/>
            </w:tcBorders>
          </w:tcPr>
          <w:p w14:paraId="528980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60</w:t>
            </w:r>
          </w:p>
        </w:tc>
        <w:tc>
          <w:tcPr>
            <w:tcW w:w="851" w:type="dxa"/>
            <w:tcBorders>
              <w:bottom w:val="single" w:sz="12" w:space="0" w:color="auto"/>
            </w:tcBorders>
          </w:tcPr>
          <w:p w14:paraId="00204C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Borders>
              <w:bottom w:val="single" w:sz="12" w:space="0" w:color="auto"/>
            </w:tcBorders>
          </w:tcPr>
          <w:p w14:paraId="7214BB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59</w:t>
            </w:r>
          </w:p>
        </w:tc>
        <w:tc>
          <w:tcPr>
            <w:tcW w:w="722" w:type="dxa"/>
            <w:tcBorders>
              <w:bottom w:val="single" w:sz="12" w:space="0" w:color="auto"/>
            </w:tcBorders>
          </w:tcPr>
          <w:p w14:paraId="205B4B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48</w:t>
            </w:r>
          </w:p>
        </w:tc>
        <w:tc>
          <w:tcPr>
            <w:tcW w:w="722" w:type="dxa"/>
            <w:tcBorders>
              <w:bottom w:val="single" w:sz="12" w:space="0" w:color="auto"/>
            </w:tcBorders>
          </w:tcPr>
          <w:p w14:paraId="697736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r>
    </w:tbl>
    <w:p w14:paraId="19F70A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План, установленный приказом наркома авиапромышленности № 568сс от 24 июня 194</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 xml:space="preserve"> г. в изменение приказа № 702сс от 9 декабря 1940 г.</w:t>
      </w:r>
    </w:p>
    <w:p w14:paraId="354CD0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Приведены данные по РГАЭ ф.8040 оп.1 д.886 л.9.</w:t>
      </w:r>
    </w:p>
    <w:p w14:paraId="5ED6A6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 Из этого числа в деталях и агрегатах (или как тогда говорили "россыпью") пять Як-1, которые были отправлены 14.01.42 г. на завод № 30 для организации производства. На этом заводе к сборке самолетов так и не приступили. Задел деталей был передан 20 февраля на завод № 23, а затем 6 мая 1942 г. на завод № 301. Машины №№ 1749, 2549, 2749, 2949, 3349 "увидели свет" только в 1943 году. Причем летная жизнь самолетов № 2749 и 3349 оказалась недолгой (меньше одного часа!). При перелете в часть после взлета с заводского аэродрома оба были разбиты при вынужденной посадке из-за отказа мотора. А также </w:t>
      </w:r>
      <w:r w:rsidRPr="00640820">
        <w:rPr>
          <w:rFonts w:ascii="Times New Roman" w:hAnsi="Times New Roman"/>
          <w:color w:val="000000" w:themeColor="text1"/>
          <w:sz w:val="16"/>
          <w:szCs w:val="16"/>
          <w:lang w:val="en-US"/>
        </w:rPr>
        <w:t>II</w:t>
      </w:r>
      <w:r w:rsidRPr="00640820">
        <w:rPr>
          <w:rFonts w:ascii="Times New Roman" w:hAnsi="Times New Roman"/>
          <w:color w:val="000000" w:themeColor="text1"/>
          <w:sz w:val="16"/>
          <w:szCs w:val="16"/>
        </w:rPr>
        <w:t xml:space="preserve"> Як-1, отправленные россыпью для организации производства на заводе № 47. Там в начале 1942 г. собрали всего две машины (№ 4844 и № 4944, которые поступили с моторами). Остальные машины (три в расстыкованном состоянии) и агрегаты еще на шесть самолетов россыпью вернули на завод № 292 в июне 1942 г.</w:t>
      </w:r>
    </w:p>
    <w:p w14:paraId="6BB092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В это число входят Як-1 не подлежавшие военной приемке № 1111 (отправлен на завод № 115), № 1811 (отправлен в ЛИИ НКАП) и Як-1 № 1314 (проходивий эксплуатационные испытания на заводе)</w:t>
      </w:r>
    </w:p>
    <w:p w14:paraId="7003BA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Як-1 № 0915 не подлежавший военной приемке, отправленный в ЛИИ НКАП.</w:t>
      </w:r>
    </w:p>
    <w:p w14:paraId="5A1931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Як-1 № 0130 отправленый на завод № 26</w:t>
      </w:r>
    </w:p>
    <w:p w14:paraId="1390D4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11 Як-1 россыпью на завод № 47.</w:t>
      </w:r>
    </w:p>
    <w:p w14:paraId="363756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8. В том числе 76 для ГУ </w:t>
      </w:r>
      <w:r w:rsidRPr="00640820">
        <w:rPr>
          <w:rFonts w:ascii="Times New Roman" w:hAnsi="Times New Roman"/>
          <w:color w:val="000000" w:themeColor="text1"/>
          <w:sz w:val="16"/>
          <w:szCs w:val="16"/>
          <w:lang w:val="en-US"/>
        </w:rPr>
        <w:t>BBC</w:t>
      </w:r>
      <w:r w:rsidRPr="00640820">
        <w:rPr>
          <w:rFonts w:ascii="Times New Roman" w:hAnsi="Times New Roman"/>
          <w:color w:val="000000" w:themeColor="text1"/>
          <w:sz w:val="16"/>
          <w:szCs w:val="16"/>
        </w:rPr>
        <w:t xml:space="preserve"> КА, 22 для УА ВМФ, пять Як-1 россыпью для завода № 30 (12048).</w:t>
      </w:r>
    </w:p>
    <w:p w14:paraId="03F2E4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824AF48" w14:textId="77777777" w:rsidR="00B97A93" w:rsidRPr="00640820" w:rsidRDefault="00B97A93"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color w:val="000000" w:themeColor="text1"/>
          <w:sz w:val="16"/>
          <w:szCs w:val="16"/>
        </w:rPr>
        <w:t xml:space="preserve">4 ноября 1941 года на площади КАРЗа прибыл в Красноярск первый эшелон завода№ 477 Народного комиссариата авиационной промышленности (НКАПа) из Тульской области (ст. Лаптево). Первый эшелон прибыл </w:t>
      </w:r>
    </w:p>
    <w:p w14:paraId="526512BB" w14:textId="77777777" w:rsidR="00B97A93" w:rsidRPr="00640820" w:rsidRDefault="00B97A93"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"Приказ КАРЗ № 197 от 4.11.1941 г.</w:t>
      </w:r>
    </w:p>
    <w:p w14:paraId="0A8C64E8" w14:textId="77777777" w:rsidR="00B97A93" w:rsidRPr="00640820" w:rsidRDefault="00B97A93"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На КАРЗ прибыли кадры завода № 477 с оборудованием и материалами. Прибыли эшелоном на ст. Злобино."</w:t>
      </w:r>
    </w:p>
    <w:p w14:paraId="4707CB02" w14:textId="77777777" w:rsidR="00B97A93" w:rsidRPr="00640820" w:rsidRDefault="00B97A93" w:rsidP="00640820">
      <w:pPr>
        <w:autoSpaceDE w:val="0"/>
        <w:autoSpaceDN w:val="0"/>
        <w:adjustRightInd w:val="0"/>
        <w:spacing w:after="0" w:line="240" w:lineRule="auto"/>
        <w:jc w:val="both"/>
        <w:rPr>
          <w:rFonts w:ascii="Times New Roman" w:eastAsia="TimesNewRomanPSMT" w:hAnsi="Times New Roman"/>
          <w:color w:val="000000" w:themeColor="text1"/>
          <w:sz w:val="16"/>
          <w:szCs w:val="16"/>
        </w:rPr>
      </w:pPr>
      <w:r w:rsidRPr="00640820">
        <w:rPr>
          <w:rFonts w:ascii="Times New Roman" w:eastAsia="TimesNewRomanPSMT" w:hAnsi="Times New Roman"/>
          <w:color w:val="000000" w:themeColor="text1"/>
          <w:sz w:val="16"/>
          <w:szCs w:val="16"/>
        </w:rPr>
        <w:t>Эвакуированный завод № 477 НКАП в прошлом именовался «Красный плуг» и выпускал сельхозинвентарь. Перед войной выпускал узлы и запасные части для самолетов СБ.</w:t>
      </w:r>
    </w:p>
    <w:p w14:paraId="1103E472" w14:textId="77777777" w:rsidR="00B97A93" w:rsidRPr="00640820" w:rsidRDefault="00B97A93" w:rsidP="00640820">
      <w:pPr>
        <w:autoSpaceDE w:val="0"/>
        <w:autoSpaceDN w:val="0"/>
        <w:adjustRightInd w:val="0"/>
        <w:spacing w:after="0" w:line="240" w:lineRule="auto"/>
        <w:jc w:val="both"/>
        <w:rPr>
          <w:rFonts w:ascii="Times New Roman" w:eastAsia="TimesNewRomanPSMT" w:hAnsi="Times New Roman"/>
          <w:color w:val="000000" w:themeColor="text1"/>
          <w:sz w:val="16"/>
          <w:szCs w:val="16"/>
        </w:rPr>
      </w:pPr>
      <w:r w:rsidRPr="00640820">
        <w:rPr>
          <w:rFonts w:ascii="Times New Roman" w:eastAsia="TimesNewRomanPSMT" w:hAnsi="Times New Roman"/>
          <w:color w:val="000000" w:themeColor="text1"/>
          <w:sz w:val="16"/>
          <w:szCs w:val="16"/>
        </w:rPr>
        <w:t>Завод № 477 после эвакуации в г. Красноярск установил во вновь организованных цехах оборудование, приступил к производственной деятельности на новом месте 10 декабря 1941 года (19799).</w:t>
      </w:r>
    </w:p>
    <w:p w14:paraId="5D5F9F49" w14:textId="77777777" w:rsidR="00B97A93" w:rsidRPr="00640820" w:rsidRDefault="00B97A93" w:rsidP="00640820">
      <w:pPr>
        <w:autoSpaceDE w:val="0"/>
        <w:autoSpaceDN w:val="0"/>
        <w:adjustRightInd w:val="0"/>
        <w:spacing w:after="0" w:line="240" w:lineRule="auto"/>
        <w:jc w:val="both"/>
        <w:rPr>
          <w:rFonts w:ascii="Times New Roman" w:eastAsia="TimesNewRomanPSMT" w:hAnsi="Times New Roman"/>
          <w:color w:val="000000" w:themeColor="text1"/>
          <w:sz w:val="16"/>
          <w:szCs w:val="16"/>
        </w:rPr>
      </w:pPr>
    </w:p>
    <w:p w14:paraId="386EA4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ноября 1941 г. приказом № 1093с завод № 20 (Завод № 20 ВСНХ, НКТП, НКОП, НКАП, Омский агрегатный завод им. В.В. Куйбышева МАП, Омское НПО «Агрегат», АООТ, ОАО «Омский агрегатный завод», ОАО «Акционерная компания (АК) «Омскагрегат» / г. Москва Старопетровский пр., 41;  г. Омск/ /644007  г. Омск ул. Герцена, 48 тел. 25-05-88,25-12-97/) в Омске объединен с заводом № 495 НКАП в единый завод № 20 НКАП. Часть завода планировалось перевести на площадку завода № 283 НКАП в Ульяновск. Производство клапанов было эвакуировано на моторные заводы (в т.ч. на завод № 24).</w:t>
      </w:r>
    </w:p>
    <w:p w14:paraId="07A44C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годы ВОВ производство: бензонасосов БНК-6, БНК-10, БНК-12; маслонасосов МШ-3, МШ-5, МШ-8, МНМ- 11; регуляторов оборотов Р-2, Р-7, Р-10.</w:t>
      </w:r>
    </w:p>
    <w:p w14:paraId="451372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площадке эвакуированного завода в Москве по приказу № 46с от 17.01.1942 г. образованы Агрегатные ремонтные мастерские. В 04.1942 г. на их базе организован новый агрегатный завод № 451 НКАП при 4ГУ, переведенный позже на площадку бывшего завода № 132 НКАП. По приказу № 424с от 7.06.1942 г. на площадку завода № 20 со всем оборудованием, материалами и личным составом был переведен завод № 41 НКАП. Одновременно помещения лесотарного завода (Старопетровский пр., 3) переданы обратно в НКПП для налаживания производства корпусов авиабомб.</w:t>
      </w:r>
    </w:p>
    <w:p w14:paraId="161E0C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03.1946 г. начато освоение производства насосов непосредственного впрыска НВ-21.</w:t>
      </w:r>
    </w:p>
    <w:p w14:paraId="19D801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1953 г. завод переведен из 4ГУ во 2ГУ, с 1.05.1956 г.- в ЗГУ. В соответствии с пост. СМ СССР № 713-342 от 26.06.1957 г. передан в ведение управления агрегатостроения Западно-Сибирского СНХ РСФСР (и в 1962 г.).</w:t>
      </w:r>
    </w:p>
    <w:p w14:paraId="0EAE9F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 1980-м  г. завод стал крупнейшим в стране по изготовлению топливной автоматики для авиадвигателей и гидросистем </w:t>
      </w:r>
      <w:r w:rsidRPr="00640820">
        <w:rPr>
          <w:rFonts w:ascii="Times New Roman" w:hAnsi="Times New Roman"/>
          <w:color w:val="000000" w:themeColor="text1"/>
          <w:sz w:val="16"/>
          <w:szCs w:val="16"/>
          <w:lang w:val="en-US"/>
        </w:rPr>
        <w:t>JIA</w:t>
      </w:r>
      <w:r w:rsidRPr="00640820">
        <w:rPr>
          <w:rFonts w:ascii="Times New Roman" w:hAnsi="Times New Roman"/>
          <w:color w:val="000000" w:themeColor="text1"/>
          <w:sz w:val="16"/>
          <w:szCs w:val="16"/>
        </w:rPr>
        <w:t>.</w:t>
      </w:r>
    </w:p>
    <w:p w14:paraId="5C2805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066D89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(2004 г.): топливных многофункциональных регуляторов, насосов шестеренчатых, плунжерных, центробежных, коловратных, гидроусилителей, дозаторов, различных клапанов; компрессоров к холодильникам; насосов для гидросистем тракторов, дорожных и подъемных машин, грузовых автомобилей и автобусов, гидроаппаратуры к зерновым комбайнам, для пищевой промышленности.</w:t>
      </w:r>
    </w:p>
    <w:p w14:paraId="333ADF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(1964 г.)- 7025 чел., (1.01.2001 г.)- 5500 чел.</w:t>
      </w:r>
    </w:p>
    <w:p w14:paraId="749230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Директор (1930 г.)- Бжезинский, (-06.1937-15.06.1938 г.)-  Г.З. Алмазов (снят за выпуск брака), (15.06- 12.1938 г.-)- Д.М. Соколов, (20.01.1939-41 г.)- И.Т. Борисов, (-06.1942-07.1943 г.-)-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Ивайкин, (09.1943 г.)- Ермоленко, (-12.1943-02.1944 г.-)- Н.Н. Кругленин, (1946 г.)- Сибиркин, (1979 г.)- Иванов. Гендиректор (1988-90 г.)- А.А. Кульков, (-1992-2002 г.-)- Е. Г. Руденко, (-10.2004-06 г.-&gt; С.А. Морев.</w:t>
      </w:r>
    </w:p>
    <w:p w14:paraId="275D56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Помощник директора: по техчасти (1930 г.)- Е.Н. Дмитревский; по найму и увольнению (-06.1937-7.12.1938 г.)- А.П. Гусев, (7.12.1938 г.-)- И.А. Уваров.</w:t>
      </w:r>
    </w:p>
    <w:p w14:paraId="42CA9A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(10.1940-46 г.-)- П.Н. Тарасов, (1988-90 г.)- А.А. Кульков.</w:t>
      </w:r>
    </w:p>
    <w:p w14:paraId="7184AC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конструктора (-10.1940 г.)- А.Н. Мельников (затем- нач. КО завода № 456), (11.1941 г.-)- Н. Г. Гладченко (бывший и.о. директора завода №495, с 12.1942 г.- гл. конструктор ОКБ-315).</w:t>
      </w:r>
    </w:p>
    <w:p w14:paraId="09DAAB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(12.1937 г.)- Боцковский, (1941 г.)- Ф.С. Деменюк.</w:t>
      </w:r>
    </w:p>
    <w:p w14:paraId="24E4CC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(1941 г.)- Ф.С. Деменюк; по МФВ (1941 г.)-  Г.С. Телегин. Зам. гендиректора по производству (1990-е)- В.Ф. Беляев, М.А. Пыхаев; (2006 г.)- С.К. Малиновский.</w:t>
      </w:r>
    </w:p>
    <w:p w14:paraId="7880D3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производства (1941 г.)- Н.Н. Кругленин. Исполнительный директор (2002 г.)- С. А. Морев.</w:t>
      </w:r>
      <w:r w:rsidRPr="00640820">
        <w:rPr>
          <w:rFonts w:ascii="Times New Roman" w:hAnsi="Times New Roman"/>
          <w:color w:val="000000" w:themeColor="text1"/>
          <w:sz w:val="16"/>
          <w:szCs w:val="16"/>
          <w:vertAlign w:val="superscript"/>
        </w:rPr>
        <w:t>69</w:t>
      </w:r>
    </w:p>
    <w:p w14:paraId="013B7C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инструментального (-07.1938 г.)- М.И. Горячев; перспективного развития (10.2004 г.)- Н.А. Раат.</w:t>
      </w:r>
    </w:p>
    <w:p w14:paraId="621974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Производство: детали для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 xml:space="preserve"> М-13 (1942) (11982).</w:t>
      </w:r>
    </w:p>
    <w:p w14:paraId="058976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58D2D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ноября 1941 г. Приказом № 1093с Омский завод № 495 НКАП (Завод № 495 НКАП, Омский завод сельскохозяйственных машин им. Куйбышева /г. Омск/), на площадку которого эвакуирован завод № 20 НКАП из Москвы, объединен с ним в единый завод № 20 НКАП.</w:t>
      </w:r>
    </w:p>
    <w:p w14:paraId="1404A4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495 НКАП, Омский завод сельскохозяйственных машин им. Куйбышева /г. Омск/</w:t>
      </w:r>
    </w:p>
    <w:p w14:paraId="111F2F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08.1904 г. образованы мастерские по сельскохозяйственному инструменту и изготовлению плугов. Затем они преобразованы в Омский завод сельскохозяйственных машин им. Куйбышева.</w:t>
      </w:r>
    </w:p>
    <w:p w14:paraId="748071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Перед войной- изготовление деталей ракет М-13.</w:t>
      </w:r>
    </w:p>
    <w:p w14:paraId="7E8184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ГКО № 99сс от 11.07.1941 г. на площадку завода им. Куйбышева НКОМ эвакуирована часть завода № 7 НКВ из Ленинграда.</w:t>
      </w:r>
    </w:p>
    <w:p w14:paraId="49D006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И.О. директора (-11.1941 г.)- Н. Г. Гладченко (затем- зам. гл. конструктора завода № 20) (11982).</w:t>
      </w:r>
    </w:p>
    <w:p w14:paraId="4C845A37" w14:textId="77777777" w:rsidR="00090D02" w:rsidRPr="00640820" w:rsidRDefault="00090D02"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85CCB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ноября 1941 г. Приказом наркома обороны ССЧ'Р на базе опытно-ис</w:t>
      </w:r>
      <w:r w:rsidRPr="00640820">
        <w:rPr>
          <w:rFonts w:ascii="Times New Roman" w:hAnsi="Times New Roman"/>
          <w:color w:val="000000" w:themeColor="text1"/>
          <w:sz w:val="16"/>
          <w:szCs w:val="16"/>
        </w:rPr>
        <w:softHyphen/>
        <w:t>пытательной эскадрильи в Саратоне сформировали летно-испытательный отряд, а в деревне Медвежьи Озера - летно-испытательный поли</w:t>
      </w:r>
      <w:r w:rsidRPr="00640820">
        <w:rPr>
          <w:rFonts w:ascii="Times New Roman" w:hAnsi="Times New Roman"/>
          <w:color w:val="000000" w:themeColor="text1"/>
          <w:sz w:val="16"/>
          <w:szCs w:val="16"/>
        </w:rPr>
        <w:softHyphen/>
        <w:t>гон (в дальнейшем полигон передали заводу №468) для испытаний десантного имущества (11752).</w:t>
      </w:r>
    </w:p>
    <w:p w14:paraId="040C69E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482E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ноября 1941 г. на базе части Московского прожекторного завода, эвакуированного в Йошкар-Олу на площадку завода № 297 был создан завод № 298 (Завод № 298, п/я 43, Завод «Изотоп», ПО «Изотоп», В-2472, Ю-9535, ФГУП, ОАО «Завод полупроводниковых приборов» /Марий Эл 424003  г. Йошкар-Ола ул. Суворова, 26/). Первый эшелон прибыл 21.09.1941 г., в 12.1941 г. завод выпустил первую продукцию. Имел наименование «п/я 43», далее - завод «Изотоп». ПО «Изотоп» имело наименования «п/я В- 2472, Ю-9535».</w:t>
      </w:r>
    </w:p>
    <w:p w14:paraId="4B2C74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По решению правительства № 22-р от 9.01.2004 г. вошло в перечень стратегических предприятий.</w:t>
      </w:r>
    </w:p>
    <w:p w14:paraId="038260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Гендиректор (1986-2003 г.)- Р.И. Никитин.</w:t>
      </w:r>
    </w:p>
    <w:p w14:paraId="3BC115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(1982-86 г.)- Р.И. Никитин (11982).</w:t>
      </w:r>
    </w:p>
    <w:p w14:paraId="79680D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7E131D7"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0541BAFC"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5AEF9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ноября 1941 вышло Постановление ГКО № 866 Об увеличении производства 14,5 мм противотанкового ружья Дегтярева. РГАНИР, Фонд ГКО, д. 13, лл. 186-186об. (11012).</w:t>
      </w:r>
    </w:p>
    <w:p w14:paraId="64ACB7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10345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4 ноября 1941 г. заводу ИНЗ-2 (Инструментальный завод № 2 (ИНЗ-2) им. К.О. Киркиж ВСНХ, НКТП, Ковровский пулеметный завод ГУВП ВСНХ, ГС завод № 2 им. К.О. Киркиж НКОП, ГС Ордена Ленина и ордена Трудового Красного Знамени завод № 2 им. К.О. Киркижа НКВ, Завод № 2 им. В.А. Дегтярева </w:t>
      </w:r>
      <w:r w:rsidRPr="00640820">
        <w:rPr>
          <w:rFonts w:ascii="Times New Roman" w:hAnsi="Times New Roman"/>
          <w:color w:val="000000" w:themeColor="text1"/>
          <w:sz w:val="16"/>
          <w:szCs w:val="16"/>
          <w:lang w:val="en-US"/>
        </w:rPr>
        <w:t>MB</w:t>
      </w:r>
      <w:r w:rsidRPr="00640820">
        <w:rPr>
          <w:rFonts w:ascii="Times New Roman" w:hAnsi="Times New Roman"/>
          <w:color w:val="000000" w:themeColor="text1"/>
          <w:sz w:val="16"/>
          <w:szCs w:val="16"/>
        </w:rPr>
        <w:t>, А-7393, ПО, ГП, АООТ, ОАО «Завод им. В.А. Дегтярева» (ЗиД) /г. Ковров Нижегородской ж/д/ /601900 г. Ковров Владимирской обл. ул. Труда, 4 тел. 303-89, 326-90) был установлен план по выпуску противотанковых ружей Дегтярева: на 11.1941 г. - 5 тыс. шт., на 12.1941 г. - 10 тыс. шт. Пост. ГКО № 1019 от 12.12.1941 г. заводу поручен выпуск магазинов к пулеметам ДП и ДТ (11982).</w:t>
      </w:r>
    </w:p>
    <w:p w14:paraId="057ADF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5CF9F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ноября 1941 вышло Постановление ГКО № 867 Об увеличении производства в ноябре месяце 1941 г. 76 мм полковых пушек образца 1927 года. РГАНИР, Фонд ГКО, д. 13, лл. 187-187об. (11012).</w:t>
      </w:r>
    </w:p>
    <w:p w14:paraId="193823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9BFEA2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ноября 1941 года вышел Приказ по НКБ и НКАП № 12</w:t>
      </w:r>
    </w:p>
    <w:p w14:paraId="72874BA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Согласно Постановления ГКО от 26 ноября 1941 года за № 841 передать НКБ помещение завода № 482 для организации снаряжения боеприпасов в Москве (5679, 36).</w:t>
      </w:r>
    </w:p>
    <w:p w14:paraId="4B6E7CA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B08F4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ноября 1941 года вышел Приказ НКБ № 13</w:t>
      </w:r>
    </w:p>
    <w:p w14:paraId="587629C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Начальнику филиала завода № 58 организовать производство запалов и снаряжение гранат РГД-33 на заводе № 482 (5679, 37).</w:t>
      </w:r>
    </w:p>
    <w:p w14:paraId="482DA8F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B7ADE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ноября 1941 вышло Постановление ГКО № 868 [О распределении рабочей силы и оборудования между заводами НКТП.] (7014, 188).</w:t>
      </w:r>
    </w:p>
    <w:p w14:paraId="139723C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4541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ноября 1941 года бюро областного комитета КП(6)К и исполнительный комитет Кустанайского областного совета депутатов трудящихся утвердили мероприятия и приняли по этому решению постановление, которым устанавливалось:</w:t>
      </w:r>
    </w:p>
    <w:p w14:paraId="03F800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 Разместить Егорьевский станкостроительный завод "Комсомолец" в здании Кустанайского зерносовхоза: </w:t>
      </w:r>
    </w:p>
    <w:p w14:paraId="5C4365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Обязать начальника облземотдела т. Ратченко, директоров Госселекционной станции Каз. Н. К.З. гл. Макарова, школ механизации сельского хозяйства Каз Н.К.З. т. Подгорного.</w:t>
      </w:r>
    </w:p>
    <w:p w14:paraId="20A285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в трехдневный срок освободить занимаемые здания на центральной усадьбе Кустанайского зерносовхоза и передать их в распоряжение дирекции завода ''Комсомолец".</w:t>
      </w:r>
    </w:p>
    <w:p w14:paraId="15EF60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имущество и оборудование Госселекционной станции, также обслуживающий персонал разместить В помещении Веренского сельисполкома (клуб, контора, контрольно-семенная лаборатория, квартира медфельдшера), райсвязи и колхоза имени Буденного.</w:t>
      </w:r>
    </w:p>
    <w:p w14:paraId="1B5F2E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Обязать директора треста совхозов т. Власенко, директоров Кустанайского зерносовхоза т Яковлева, учкомбината и техникума наркомсовхозов т. Волкова в пятидневный срок передать В распоряжение дирекции завода "Комсомолец" все производственные здании, складские и жилые помещения, отводимые под размещение оборудования и расселение работников этого завода,</w:t>
      </w:r>
    </w:p>
    <w:p w14:paraId="2D8861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Выделить сроком на 10 дней в распоряжение дирекции завода транспортные средства для перевозки эвакооборудования со станции Тогузак на центральную усадьбу зерносовхоза за счет следующих организаций.</w:t>
      </w:r>
    </w:p>
    <w:p w14:paraId="640FA7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Актюбинский зерносовхоз - три трактора ЧТЗ,</w:t>
      </w:r>
    </w:p>
    <w:p w14:paraId="47A2B6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Кустанайский зерносовхоз - пять тракторов ЧТЗ,</w:t>
      </w:r>
    </w:p>
    <w:p w14:paraId="4832F4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Бурлинская МТС - два трактора ЧТЗ,</w:t>
      </w:r>
    </w:p>
    <w:p w14:paraId="65E32F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Станционная МТС - два трактора ЧТЗ,</w:t>
      </w:r>
    </w:p>
    <w:p w14:paraId="579006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Пешковская МТС - два трактора ЧТЗ, 3 автомашины ГАЗ АЛ.</w:t>
      </w:r>
    </w:p>
    <w:p w14:paraId="4B645E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Обязать облторг организовать питание пребывающих рабочих, техперсонала завода "Комсомолец," через столовую, магазины и ларьки на территории зерносовхоза и на станции Тогузак.</w:t>
      </w:r>
    </w:p>
    <w:p w14:paraId="649D29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Обязать директора облконторы "Заготконь" выдать наряд заводу на покупку 12 лошадей;</w:t>
      </w:r>
    </w:p>
    <w:p w14:paraId="7C400F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Обязать управляющего госбанка т. Басмакова открыть на центральной усадьбе Кустанайского зерносовхоза отделение госбанка для обслуживания производственных нужд завода "Комсомолец" и других организаций Карабалыкского района;</w:t>
      </w:r>
    </w:p>
    <w:p w14:paraId="408CC4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Обязать Карабалыкский райком КП (б)К, исполком райсовета оказать всемерную помощь дирекции завода "Комсомолец" в быстрейшей перевозке оборудования на территорию зерносовхоза. Выделить за счет колхозов района в распоряжение завода на период установки оборудования и переоборудования помещений тридцать плотников, десять каменщиков, шесть штукатуров, пять печников, пять столяров и восемьдесят разнорабочих (11609).</w:t>
      </w:r>
    </w:p>
    <w:p w14:paraId="734CD7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605FE7D"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Утром 4 ноября 1941 г. пилот самолета Не-111 сбросил на Горьковский радиозавод им. Ленина, выпускавший в годы войны полевые радиостанции, 1000-кг мину ВМ-1000. Мина разрушила главный четырехэтажный корпус, где находился сборочный цех. Погибли 96 работников завода, в том числе его директор Кузьмин (15137).</w:t>
      </w:r>
    </w:p>
    <w:p w14:paraId="0F00E0A6" w14:textId="77777777" w:rsidR="00090D02" w:rsidRPr="00640820" w:rsidRDefault="00090D02" w:rsidP="00640820">
      <w:pPr>
        <w:spacing w:after="0" w:line="240" w:lineRule="auto"/>
        <w:jc w:val="both"/>
        <w:rPr>
          <w:rFonts w:ascii="Times New Roman" w:hAnsi="Times New Roman"/>
          <w:color w:val="000000" w:themeColor="text1"/>
          <w:sz w:val="16"/>
          <w:szCs w:val="16"/>
        </w:rPr>
      </w:pPr>
    </w:p>
    <w:p w14:paraId="2FB6EE9D"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4 ноября</w:t>
      </w:r>
      <w:r w:rsidRPr="00640820">
        <w:rPr>
          <w:rFonts w:ascii="Times New Roman" w:hAnsi="Times New Roman"/>
          <w:color w:val="000000" w:themeColor="text1"/>
          <w:sz w:val="16"/>
          <w:szCs w:val="16"/>
        </w:rPr>
        <w:t xml:space="preserve"> в 1941 году эвакуированного московского прожекторного завода образовано ОАО "Завод полупроводниковых приборов". Основное направление деятельности ОАО «ЗПП» - производство и разработка металлокерамических корпусов повышенной сложности для комплектования ИС, БИС, СБИС, ССИС (14820).</w:t>
      </w:r>
    </w:p>
    <w:p w14:paraId="17ECBA41" w14:textId="77777777" w:rsidR="00090D02" w:rsidRPr="00640820" w:rsidRDefault="00090D02" w:rsidP="00640820">
      <w:pPr>
        <w:spacing w:after="0" w:line="240" w:lineRule="auto"/>
        <w:jc w:val="both"/>
        <w:rPr>
          <w:rFonts w:ascii="Times New Roman" w:hAnsi="Times New Roman"/>
          <w:color w:val="000000" w:themeColor="text1"/>
          <w:sz w:val="16"/>
          <w:szCs w:val="16"/>
        </w:rPr>
      </w:pPr>
    </w:p>
    <w:p w14:paraId="6FB21272"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1D7AA085"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46CC099"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4 ноября</w:t>
      </w:r>
      <w:r w:rsidRPr="00640820">
        <w:rPr>
          <w:rFonts w:ascii="Times New Roman" w:hAnsi="Times New Roman"/>
          <w:color w:val="000000" w:themeColor="text1"/>
          <w:sz w:val="16"/>
          <w:szCs w:val="16"/>
        </w:rPr>
        <w:t xml:space="preserve"> в 1941 году утреннее сообщение Совинформбюро:</w:t>
      </w:r>
    </w:p>
    <w:p w14:paraId="5B255C7C"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4 ноября наши войска вели бои с противником на всех фронтах.</w:t>
      </w:r>
    </w:p>
    <w:p w14:paraId="4359F603"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Часть тов. Гончарова, действующая на Южном фронте, за один день боевых действий уничтожила 20 немецких танков и свыше 3 батальонов вражеской пехоты.</w:t>
      </w:r>
    </w:p>
    <w:p w14:paraId="6D3F9951"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 наша часть, действующая на Карельском фронте, прорвалась в тыл противника и ударила по наступающим белофинским частям. В коротком бою было уничтожено, более 2 рот пехоты противника. Захвачены большие трофеи, в том числе несколько орудий, 4 рации, 15 подвод с боеприпасами, 50 велосипедов и несколько грузовиков.</w:t>
      </w:r>
    </w:p>
    <w:p w14:paraId="3BE9BC86"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Дикие зверства и насилия чинят немецко-фашистские мерзавцы в захваченных ими районах. В селе Теренино, Смоленской области, немецкий офицер собрал всех крестьян и объявил, что каждый двор должен поставить для германской армии определённое количество продовольствия. Крестьяне заявили офицеру, что все продукты уже отняты побывавшим у них фашистским отрядом. Тогда немцы отобрали из числа присутствовавших на собрании четырёх стариков, привязали их к столбам и начали на глазах у всех жителей села пытать их огнём и колоть тесаками. Через несколько часов все четыре крестьянина скончались, не вынеся пыток.</w:t>
      </w:r>
    </w:p>
    <w:p w14:paraId="10F24383"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деревне Берёзовка этой же области немецкие солдаты ограбили все дома, захватив даже поношенное бельё. Вечером фашисты перепились и стали насиловать женщин и девушек. На утро отряд уехал и забрал с собой всех женщин от 16 до 30 лет. В ответ на просьбы и слезы родителей солдаты открыли огонь из винтовок и пистолетов. Пьяная банда оставила после себя разгромленную деревню и груду трупов расстрелянных жителей. В деревне Колпино, Смоленской области, фашисты погнали всех крестьян строить мосты, бараки и блиндажи для германских частей. Ни один из мобилизованных обратно в деревню не вернулся. Все крестьяне по окончании строительства укреплённых точек были расстреляны.</w:t>
      </w:r>
    </w:p>
    <w:p w14:paraId="3914C278"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Чехословакии с каждым днём все сильнее развёртывается борьба против немецко-фашистских оккупантов. Кровавый террор, установленный фашистами в стране, лишь усиливает ненависть народа к немцам. Чехословацкие патриоты распространяют листовки, в которых призывают население ответить на кровавую расправу палача Гейдриха новыми актами диверсий и саботажа. На железных дорогах Чехословакии не прекращаются крушения и аварии. 27 октября на линии Брно—Свитави произошло 2 крупных крушения эшелонов с танками и орудиями. Разбито 25 танков и 40 орудий. 26 октября на военном заводе в городе Страконице вспыхнул пожар, во время которого сгорела значительная часть готовой продукции.» (14820).</w:t>
      </w:r>
    </w:p>
    <w:p w14:paraId="6C75532D" w14:textId="77777777" w:rsidR="00090D02" w:rsidRPr="00640820" w:rsidRDefault="00090D02" w:rsidP="00640820">
      <w:pPr>
        <w:spacing w:after="0" w:line="240" w:lineRule="auto"/>
        <w:jc w:val="both"/>
        <w:rPr>
          <w:rFonts w:ascii="Times New Roman" w:hAnsi="Times New Roman"/>
          <w:color w:val="000000" w:themeColor="text1"/>
          <w:sz w:val="16"/>
          <w:szCs w:val="16"/>
        </w:rPr>
      </w:pPr>
    </w:p>
    <w:p w14:paraId="6C04E087"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4 ноября</w:t>
      </w:r>
      <w:r w:rsidRPr="00640820">
        <w:rPr>
          <w:rFonts w:ascii="Times New Roman" w:hAnsi="Times New Roman"/>
          <w:color w:val="000000" w:themeColor="text1"/>
          <w:sz w:val="16"/>
          <w:szCs w:val="16"/>
        </w:rPr>
        <w:t xml:space="preserve"> в 1941 году вечернее сообщение Совинформбюро:</w:t>
      </w:r>
    </w:p>
    <w:p w14:paraId="12268C90"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течение 4 ноября наши войска вели бои с противником на всех фронтах. Особенно ожесточённые бои происходили на Крымском, Можайском и Калининском участках фронта.</w:t>
      </w:r>
    </w:p>
    <w:p w14:paraId="6BEB2AFB"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3 ноября уничтожено 5 немецких самолётов.</w:t>
      </w:r>
    </w:p>
    <w:p w14:paraId="37DCC1A4"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4 ноября под Москвой уничтожено 11 немецких самолётов.</w:t>
      </w:r>
    </w:p>
    <w:p w14:paraId="2AFD7E21"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авиачасти, действующие на Западном и Южном фронтах, продолжают наносить врагу большой урон. 3 ноября в результате успешных налётов нашей авиации на войска противника было уничтожено 22 танка, 250 автомашин с пехотой и военными грузами, 15 полевых орудий, много зенитных пулемётов, боеприпасов и несколько складов с военным снаряжением.</w:t>
      </w:r>
    </w:p>
    <w:p w14:paraId="59DC91C0"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Лётчики одной из наших авиачастей, действующей на Южном фронте, за последние 2 дня боевых действий уничтожили 14 немецких танков, 260 автомашин с военным снаряжением, 16 орудий различных калибров, много мотоциклов, повозок и другого военного снаряжения. Наши лётчики рассеяли и уничтожили более 1.500 фашистских солдат и офицеров.</w:t>
      </w:r>
    </w:p>
    <w:p w14:paraId="7DD063D0"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Лётчики тов. Куцевалова, действующие на Калининском фронте, за 3 дня боевых действий уничтожили до 8 рот вражеской пехоты, более 300 автомашин с вооружением, 7 цистерн с горючим и 6 орудий.</w:t>
      </w:r>
    </w:p>
    <w:p w14:paraId="3E922670"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Пленные немецкие солдаты и офицеры рассказывают об ухудшении физического и морального состояния немецко-фашистских войск. Пленный немецкий ефрейтор Курт Нейман на допросе показал следующее: «Воевать солдатам надоело. Все стремятся домой. С наступлением холодов настроение солдат ещё более понизилось». Солдат 7 роты 19 пехотного полка Вильгельм Эльман показал: «Сопротивление русских всё увеличивается, и мы несём всё большие и большие потери. Солдатам война надоела. Солдаты с нетерпением ждут конца войны. Они хотят одного — домой».</w:t>
      </w:r>
    </w:p>
    <w:p w14:paraId="07D9648B"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Немецкий солдат Реймунд Хейн 25 октября 1941 года писал своей жене: «Я могу только сказать, что лучше 10 лет воевать во Франции, чем один год в России». Солдат Симон Баумер 24 октября писал родным: «Наше продвижение к Москве стоит нам огромного количества убитых и раненых. Русские оказывают дьявольское сопротивление. Только в походе мы узнали, что нет врага более упорного, чем русские. Если пройдёт ещё полгода — мы пропали».</w:t>
      </w:r>
    </w:p>
    <w:p w14:paraId="39F2D168"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Новым мощным подъёмом стахановского движения встречают трудящиеся нашей страны XXIV годовщину Великой Октябрьской социалистической революции. Бригада штукатура т. Дименина на Амурстальстрое с начала войны систематически перевыполняла нормы. Включившись в предоктябрьское социалистическое соревнование, бригада стала выполнять по пяти норм. Бригада тов. Мартынова, которая состоит из выпускников школы ФЗО, выполняет нормы на 300-400 проц. На машиностроительном заводе в г. Комсомольске-на-Амуре бригада т. Тарабарко даёт в смену не менее 8 норм. В дни предоктябрьского соревнования ряды двухсотников на мясокомбинате г. Иркутска увеличились в два раза. В одном из депо дороги имени Куйбышева слесарь тов. Туло выполняет последовательно работу арматурщика, поршневика и экипажника. Он поднял выработку до 600 проц. Свыше пяти норм в смену дают слесари этого депо тт. Щекатуров, Двойнико, Швец и др.» (14820).</w:t>
      </w:r>
    </w:p>
    <w:p w14:paraId="3358635D" w14:textId="77777777" w:rsidR="00090D02" w:rsidRPr="00640820" w:rsidRDefault="00090D02" w:rsidP="00640820">
      <w:pPr>
        <w:spacing w:after="0" w:line="240" w:lineRule="auto"/>
        <w:jc w:val="both"/>
        <w:rPr>
          <w:rFonts w:ascii="Times New Roman" w:hAnsi="Times New Roman"/>
          <w:color w:val="000000" w:themeColor="text1"/>
          <w:sz w:val="16"/>
          <w:szCs w:val="16"/>
        </w:rPr>
      </w:pPr>
    </w:p>
    <w:p w14:paraId="63B9C8AA" w14:textId="77777777" w:rsidR="00216F30" w:rsidRPr="00640820" w:rsidRDefault="00216F3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4–6 ноября 1941 бомбардировщики люфтваффе совершили серию налетов на города Поволжья – Горький, Ярославль, Чебоксары и др. В итоге серьезные повреждения получили Горьковский и Ярославский автозаводы, минометный завод «Двигатель революции» и радиотелефонный завод № 197 им. Ленина, также находившиеся в Горьком, и другие предприятия. Были убиты и ранены сотни жителей. Одновременно с этим немецкие самолеты продолжали бомбить Москву (23199).</w:t>
      </w:r>
    </w:p>
    <w:p w14:paraId="6953FAD8" w14:textId="77777777" w:rsidR="00216F30" w:rsidRPr="00640820" w:rsidRDefault="00216F30" w:rsidP="00640820">
      <w:pPr>
        <w:spacing w:after="0" w:line="240" w:lineRule="auto"/>
        <w:jc w:val="both"/>
        <w:rPr>
          <w:rFonts w:ascii="Times New Roman" w:hAnsi="Times New Roman"/>
          <w:color w:val="0070C0"/>
          <w:sz w:val="16"/>
          <w:szCs w:val="16"/>
        </w:rPr>
      </w:pPr>
    </w:p>
    <w:p w14:paraId="60E8C5CB"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4 ноября</w:t>
      </w:r>
      <w:r w:rsidRPr="00640820">
        <w:rPr>
          <w:rFonts w:ascii="Times New Roman" w:hAnsi="Times New Roman"/>
          <w:color w:val="000000" w:themeColor="text1"/>
          <w:sz w:val="16"/>
          <w:szCs w:val="16"/>
        </w:rPr>
        <w:t xml:space="preserve"> в 1941 году оккупирован Курск. Войска противника вышли на подступы к Ростову-на-Дону и овладели юго-западной частью Донбасса. Завершилась Донбасская операция советских войск (14820).</w:t>
      </w:r>
    </w:p>
    <w:p w14:paraId="5CF8E2DF" w14:textId="77777777" w:rsidR="00090D02" w:rsidRPr="00640820" w:rsidRDefault="00090D02" w:rsidP="00640820">
      <w:pPr>
        <w:spacing w:after="0" w:line="240" w:lineRule="auto"/>
        <w:jc w:val="both"/>
        <w:rPr>
          <w:rFonts w:ascii="Times New Roman" w:hAnsi="Times New Roman"/>
          <w:color w:val="000000" w:themeColor="text1"/>
          <w:sz w:val="16"/>
          <w:szCs w:val="16"/>
        </w:rPr>
      </w:pPr>
    </w:p>
    <w:p w14:paraId="532474F4"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4 ноября</w:t>
      </w:r>
      <w:r w:rsidRPr="00640820">
        <w:rPr>
          <w:rFonts w:ascii="Times New Roman" w:hAnsi="Times New Roman"/>
          <w:color w:val="000000" w:themeColor="text1"/>
          <w:sz w:val="16"/>
          <w:szCs w:val="16"/>
        </w:rPr>
        <w:t xml:space="preserve"> в 1941 году фашисты захватывают Феодосию (14820).</w:t>
      </w:r>
    </w:p>
    <w:p w14:paraId="38A79CB7" w14:textId="77777777" w:rsidR="00090D02" w:rsidRPr="00640820" w:rsidRDefault="00090D02" w:rsidP="00640820">
      <w:pPr>
        <w:spacing w:after="0" w:line="240" w:lineRule="auto"/>
        <w:jc w:val="both"/>
        <w:rPr>
          <w:rFonts w:ascii="Times New Roman" w:hAnsi="Times New Roman"/>
          <w:color w:val="000000" w:themeColor="text1"/>
          <w:sz w:val="16"/>
          <w:szCs w:val="16"/>
        </w:rPr>
      </w:pPr>
    </w:p>
    <w:p w14:paraId="1133FD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ноября 1941 вышла директива ставки ВГК о создании Севастопольского оборонительного района (3186).</w:t>
      </w:r>
    </w:p>
    <w:p w14:paraId="129BD1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EC7A286"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4 ноября</w:t>
      </w:r>
      <w:r w:rsidRPr="00640820">
        <w:rPr>
          <w:rFonts w:ascii="Times New Roman" w:hAnsi="Times New Roman"/>
          <w:color w:val="000000" w:themeColor="text1"/>
          <w:sz w:val="16"/>
          <w:szCs w:val="16"/>
        </w:rPr>
        <w:t xml:space="preserve"> в 1941 году Ставка ВГК образовала Севастопольский оборонительный район из войск Отдельной Приморской армии, кораблей и авиации Черноморского флота и частей Севастопольской военно-морской базы. Периодически в Севастополе находились линейный корабль, крейсеры и др. корабли (основные силы флота в начале ноября перебазировались в порты Кавказского побережья). Севастопольский оборонительный район включал 4 сектора обороны. Командующий - вице-адмирал Ф. С. Октябрьский (ноябрь 1941 - июнь 1942; его замевтитель по сухопутной обороне - генерал-майор И.Е.Петров), генерал-майор П.Г.Новиков (июль 1942) (14820).</w:t>
      </w:r>
    </w:p>
    <w:p w14:paraId="4BB2F639" w14:textId="77777777" w:rsidR="00090D02" w:rsidRPr="00640820" w:rsidRDefault="00090D02" w:rsidP="00640820">
      <w:pPr>
        <w:spacing w:after="0" w:line="240" w:lineRule="auto"/>
        <w:jc w:val="both"/>
        <w:rPr>
          <w:rFonts w:ascii="Times New Roman" w:hAnsi="Times New Roman"/>
          <w:color w:val="000000" w:themeColor="text1"/>
          <w:sz w:val="16"/>
          <w:szCs w:val="16"/>
        </w:rPr>
      </w:pPr>
    </w:p>
    <w:p w14:paraId="2B9CD9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November 4, 1941: Advancing in the Crimea, units of 11.Armee capture Feodosia. Finnish forces capture the Baltic naval base of Hango that Finland was compelled to lease to the Soviets in 1940 (3819).</w:t>
      </w:r>
    </w:p>
    <w:p w14:paraId="3B445F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490F93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ноября 1941 наступая в Крыму части 11А захватили Феодосию. Финские части захватили базу на о Хонко (3819).</w:t>
      </w:r>
    </w:p>
    <w:p w14:paraId="75A505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6D3886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ноября 1941 фашистами захвачена Феодосия (4962).</w:t>
      </w:r>
    </w:p>
    <w:p w14:paraId="0C25CE7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6D56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ноября 1941 немецкие самолеты вновь появились в небе Сталинградской области, атакуя различные объекты на железной дороге. В результате бомбардировок и обстрелов там были разбиты четыре паровоза, сгорели 44 цистерны с горючим, взорвались 14 вагонов с боеприпасами. Погибли и получили ранения 58 человек (11772).</w:t>
      </w:r>
    </w:p>
    <w:p w14:paraId="7A99BF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756A5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ноября 1941 в 01.40 по местному времени три мощных взрыва сотрясли ГАЗ. Одна бомба упала в моторный цех № 2 на линию коленчатых валов, вторая взорвалась снаружи, еще одна фугаска угодила в угол расположенного напротив колесного цеха, где находились электродный участок и гараж. При этом никаких сигналов воздушной тревоги, никакой зенитной стрельбы! Но дальше завод превратился в потревоженный муравейник. Из цехов в панике выбегали рабочие, одни п онеслись к щелям, другие – прямо к проходным, третьи – вообще неизвестно куда. Мимо них, вооружившись лопатами и ведрами с песком, мчались на свои посты унитарные команды. Потом, звеня колокольчиками, в сторону горящих цехов, объезжая обезумевших от страха людей, поехали пожарные автонасосы. На фоне этого где-то вдалеке послышались глухие выстрелы зениток. А над моторным цехом все сильнее разгоралось пламя, зловеще освещая соседние здания. Начальство бросилось к телефонам, дабы поскорее сообщить о бомбежке в обком. А тем временем к городу с юго-запада приближался второй бомбардировщик, из-за облачной погоды снова оставшийся незамеченным для постов ВНОС. В 02.15 «Хейнкель» вышел на цель, которую уже отчетливо обозначало яркое пламя пожара. Немецкий пилот метил в новокузовной корпус, где собирались легкие танки Т-60. Когда темно-серая громада здания показалась в перекрестье прицела, штурман нажал на кнопку сброса и две 500-кг бомбы с воем устремились вниз. Однако расчет на сей раз оказался неверным. Одна бомба упала с недолетом, а вторая – с перелетом, уже на трамвайной остановке за заводом. Мощной взрывной волной вышибло стекла в колесном цехе, отделе запчастей, КЭО и других зданиях. При этом погибла только одна работница ОТК, оказавшаяся в момент бомбежки на улице. Грохот взрывов был слышен на большом расстоянии, и многие жители города, проснувшись, выбежали на улицу, где их глазам предстало яркое зарево пожара на автозаводе. Когда ближе к утру были потушены пожары, рабочие и бойцы МПВО занялись осмотром повреждений. Оказалось, что в моторном цехе № 2 были разрушены и уничтожены пожаром кровля на площади 1700 кв. м, фонарное и стеновое остекление площадью 7700 кв. м, проломлены большие участки пола. Внутри цеха взрыв разрушил закалочную печь, повредил отпускную печь закалочной машины, а также моечную машину, были разбиты четыре калорифера и четыре мотора к ним. Перебило разводки мазута, газа, воздуха высокого давления и отопления. Большие повреждения причинило и тушение пожара, водой залило весь подвал, вышли из строя 27 единиц оборудования и 350 станков. Погибли 27 человек, еще 40 получили ранения и контузии. В колесном цехе от взрыва обвалилась часть кровли, был проломлен пол, частично выбито стеновое и фонарное остекление. Кроме того, бомба перебила одну ферму и одну железобетонную арку. Вышли из строя паропровод, водопровод и отопление. Пострадало оборудование на участках электродной, сварочной и термической мастерских. В гараже взрывом разбило две грузовые автомашины. Потери этого цеха составили 11 человек ранеными и один человек был убит. Впоследствии в больнице умер от ран еще один рабочий. Бомба, разорвавшаяся на улице между моторным и колесным цехами, повредила газопровод (11774).</w:t>
      </w:r>
    </w:p>
    <w:p w14:paraId="521C82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Около 16.10 над Окой, со стороны Дзержинска, из облаков внезапно появился двухмоторный самолет. Пройдя над поселком Стригино, он направился к расположенному на высоком правом берегу реки Ворошиловскому району. Это был Не-111, под фюзеляжем которого висел почти трехметровый сигарообразный предмет – 1000-кг мина ВМ-1000. Он не был обнаружен постами ВНОС, и городской штаб МПВО опять не объявил тревогу. Когда же вышковой наблюдатель на заводе № 197 им. Ленина увидел быстро приближающийся самолет, было уже поздно…Мина упала прямо на главный четырехэтажный корпус завода. Вслед за этим прогремел мощнейший взрыв, от которого обрушилась большая часть здания. Только после этого в разных местах города протяжно завыли гудки воздушной тревоги, а из района Тобольских казарм начали палить зенитки. Анатолий Иванович Курмаев, находившийся в это время в Канавино, около сквера на Окской набережной, впоследствии вспоминал:  «Сначала я увидел на небечерные облачка разрывов зенитных снарядов. Затем обратил внимание на высокий столб черного дыма, огня и пыли, поднимавшийся в нагорной части города над заводом им. Ленина. Причем после первого взрыва вскоре можно было разглядеть еще несколько, выбросивших в небо новые столбы пламени и дыма. Только после этого послышались отдаленные сигналы воздушной тревоги». В ходе бомбежки были полностью уничтожены </w:t>
      </w:r>
      <w:r w:rsidRPr="00640820">
        <w:rPr>
          <w:rFonts w:ascii="Times New Roman" w:hAnsi="Times New Roman"/>
          <w:color w:val="000000" w:themeColor="text1"/>
          <w:sz w:val="16"/>
          <w:szCs w:val="16"/>
        </w:rPr>
        <w:lastRenderedPageBreak/>
        <w:t xml:space="preserve">сборочный и деревообделочный цеха, два соседних цеха, расположенных в торцах корпуса, получили сильнейшие повреждения. От сильной взрывной волны частично разрушилась электроподстанция № 3 и вышли из строя несколько силовых трансформаторов. Эхо взрыва пронеслось по всему Ворошиловскому району Горького. На расположенном напротив пострадавшего предприятия заводе радиоаппаратуры № 3 26 им. Фрунзе во всех цехах вылетели стекла и осыпалась штукатурка. Многие рабочие в панике бросили работу и побежали к проходным, часть людей полезла прямо через высокий заводской забор. Всеми овладело лишь одно желание – убраться подальше от места трагедии. Паника от увиденного охватила также и соседнюю железнодорожную станцию Мыза. Дежурная по станции Давыдова и ее помощник Сулимов, напуганные бомбежкой, оставили свой пост. В итоге возникла жуткая неразбериха. Раненые, находившиеся в стоявшем перед семафором эшелоне, стали выпрыгивать из вагонов и разбредаться по местности. Пилот же «Хейнкеля» спокойно повел самолет к центру города, попутно осматривая местные достопримечательности. Над нижегородским Кремлем он сделал своеобразный «круг почета», демонстрируя свою полную безнаказанность. Работник обкома ВКП(б) Анна Александровна Коробова вспоминала:  «Во время перерыва между заседаниями мы вышли на улицу и к своему ужасу увидели черный самолет со свастикой, описывающий круг над Кремлем. При этом летчик высунулся из кабины и даже помахал нам рукой! После этого мы вернулись в здание и нам сообщили – только что разбомбили завод им. Ленина, его директор Кузьмин погиб…» Тем временем к городу приближались еще два бомбардировщика. Пройдя над окрестными деревнями и наведя страх на колхозников, они около 16.20 на предельно малой высоте появились над Автозаводским районом. Самолеты с ревом пролетали над головами людей, направляясь в сторону завода. Один бомбардировщик шел над проспектом Молодежным, второй – в четырехстах метрах левее, над проспектом Молотова (проспект Октября).  Рафаил Ривин в этот момент выходил из здания Автозаводской поликлиники [59] , находившейся недалеко от завода. Об увиденном он вспоминал:  «Вдруг я увидел самолет, летящий на очень малой высотепрямо над забором поликлиники. Когда он со страшным ревом пронесся мимо меня, я отчетливо разглядел фигуру летчика в шлемофоне, а потом фашистские знаки. После этого я начал размахивать руками, привлекая внимание прохожих, и закричал: „Самолет, самолет!“ Бомбардировщик прошел в сторону завода, а на улице началась паника. Помню, как одна женщина в длинном платье полезла через высокий забор поликлиники и застряла наверху». Анна Сорокина в это время тоже находилась на улице и также видела идущие над домами «Хейн-кели»:  «Они летели, как на параде, едва не задевая брюхами крыши ипечные трубы». В эти самые секунды Н. В. Надёжкина, находившаяся на своем посту на крыше заводоуправления ГАЗа, тоже отчетливо видела на фоне сумеречного неба два самолета, на малой высоте приближавшихся с запада. Девушка нервно перебирала лежавшие перед ней фотографии, пытаясь сравнить их с увеличивающимися в размерах оригиналами. Одновременно второй боец поста по телефону дрожащим голосом сообщал в штаб МПВО ГАЗа о грозящей опасности. Когда самолеты полетели уже над заводской территорией, Надёжкина еще надеялась, что, может быть, это свои, но тут ее глазам предстало пугающее зрелище. От одного из них отделились четыре бомбы, с воем устремившиеся вниз, прямо на ремонтно-механический цех. А еще через мгновение все вокруг сотряс грохот взрывов и в небо взметнулись столбы огня и дыма. Как потом оказалось, три 250-кг бомбы попали в середину корпуса, четвертая взорвалась на улице между РМЦ и электроподстанцией монтажно-штамповального цеха. В цехе рухнули перекрытия на площади 800 кв. м, полностью обрушилась восточная торцевая стена. Внутри здания вышибло почти все перегородки. Одна из бомб разорвалась прямо в столовой, и все находившиеся внутри рабочие были разорваны в клочья. Второй «Хейнкель» сбросил бомбы на Автозаводскую ТЭЦ. Одна взорвалась в строившейся западной части здания, полностью разрушив ее, вторая проломила крышу, но застряла в стропилах и, повиснув над котлами, не взорвалась. Это произошло из-за слишком малой высоты сброса, вследствие чего полутонная фугаска не успела набрать соответствующую скорость. На заводе поднялась паника, и многие рабочие, покинув цеха, побежали к проходным. Тем временем один самолет сделал круг над заводом, при этом бортстрелок дал одну задругой три пулеметные очереди по проходной и по бегущим к ней людям. Надёжкина вспоминала:  «Спускаясь в укрытие чердачного помещения, я видела, как рядом выкрашивается штукатурка от потока пуль, и слышала ихсмертоносное жужжание…» Уходя на запад, бомбардировщики обстреляли улицы Автозаводского района, а также ехавшие по ним автомобили и конные подводы. Между тем в 16.40 появился еще один «Хейнкель». Бомбардировщик шел с южного направления, со стороны деревни Анкудиновка, и летел низко над железной дорогой. Жители Ворошиловского района, еще не успевшие оправиться от первого удара, теперь со страхом увидели, как двухмоторная махина с ревом пронеслась над станцией Мыза. Некоторым даже удалось разглядеть подвешенную под фюзеляжем огромную бомбу. Неожиданно вынырнув из-за гористого берега, самолет пролетел над Окой и с пологого пикирования сбросил мину ВМ1000 на завод «Двигатель революции». Сильнейший взрыв прогремел в здании силовой станции предприятия, в котором находились паровые котлы, дизельная, компрессорная и трансформаторная подстанции. Рабочие, находившиеся в соседних цехах, от сотрясения повалились на пол, затем сверху на них посыпался настоящий дождь из осколков стекла световых фонарей. В сборочном отделении цеха № 6 вспыхнул сильный пожар, впоследствии охвативший также крышу склада черных металлов. Был полностью уничтожен заводской штаб МПВО. Ударной волной и осколками были повреждены линии электропередач, в частности, на соседнем станкозаводе отключились малый фидер № 620 и распределительный киоск № 251 Горсетей, из-за чего часть Ленинского района осталась без электричества. После этого паника охватила уже почти весь город. Многие жители видели летящие над домами немецкие самолеты и поднимающиеся столбы дыма, дополняемые грохотом взрывов и пулеметными очередями. Пассажиры на ходу выпрыгивали из трамваев, шофера бросали автомашины прямо на дороге и убегали, толпы людей сломя голову бежали к укрытиям. На самом ГАЗе обстановка стала критической. На центральной проходной вахтеры отказались открыть ворота, тогда десятки людей полезли прямо через заборы, стремясь как можно быстрее убраться подальше от цехов. Не надеясь на защиту со стороны летчиков и зенитчиков, заводской штаб МПВО приказал бойцам истребительного батальона брать винтовки, лезть на крыши корпусов и «отражать налет». Среди них был и Рафаил Ривин:  «После первой бомбежки я сразу же схватилвинтовку (это был польский карабин) и побежал на свой пост. Другие бойцы истребительного батальона притащили ящики с патронами и, набив ими карманы, полезли на крыши цехов отражать налет тем, что у нас было». Теперь уже повсюду тревожно гудели электро-сирены, где-то вдалеке отрывисто палили зенитки, по улицам, звоня в колокольчики, мчались пожарные машины. Пришли в движение и силы ПВО. С аэродромов Сейма и Арзамас были подняты истребители, в район автозавода прибыло и дежурное звено авиаотряда майора Алифанова. Но немецкие самолеты больше не появлялись. Последствия дневного налета оказались ужасными. В Ворошиловском районе, на радиотелефонном заводе им. Ленина, погиб 101 человек, в т.ч. почти весь руководящий аппарат. Еще 190 рабочих получили ранения и контузии. Многие другие оказались под завалами. В подвале разрушенного главного корпуса были засыпаны члены штаба МПВО во главе с секретарем парткома П. П. Шумским. Спасательные работы начались почти сразу после взрыва, но затем растянулись на несколько дней. К счастью, вскоре в завале удалось проделать небольшое отверстие, через которое пострадавшим подавали воду и пищу. На ГАЗе дела обстояли не лучше. Если ТЭЦ чудом уцелела в ходе бомбежки, то ремонтно-механический цех, выпускавший 82-мм минометы, представлял печальное зрелище. Взрывной волной вышибло все остекление производственной части корпуса и соседней кузницы № 2, в нескольких местах был проломлен пол, обрушились около 400 кв. м внутрицеховых перегородок, были уничтожены 45 единиц оборудования, а также инструменты, материалы, полуфабрикаты, готовые минометы, техническая документация и запчасти. Непосредственно над местами взрывов обвалились железобетонные плиты перекрытий. Повсюду среди обломков валялись изуродованные трупы рабочих, части тел и окровавленные ошметки спецодежды. Кроме того, была разрушена силовая электроподстанция, во многих местах порван силовой кабель. Пострадало и расположенное неподалеку здание главного магазина (склада) смежных деталей. Руководству завода № 718 «Двигатель революции» сразу после налета стало ясно, что в результате бомбежки предприятие выведено из строя. Вследствие полного разрушения силовой станции прекратилась подача электроэнергии и отопления. Вместе с этим взрывная волна выбила практически все стекла во всех световых переплетах и фонарях, что при стоящей минусовой температуре на улице грозило замерзанием и разрывом труб. Поэтому пришлось срочно отдать приказ о спуске всей воды из отопительной системы. Во время бомбежки на территории завода погибли 17 человек, еще 46 получили ранения. Среди погибших оказались начальник цеха № 8 Зуев и помощник начальника 2-го механического цеха Сидоров. Прошло полчаса. В Горьком стало быстро темнеть, но пламя от пожаров ярко освещало заречную часть города. И тут, в 17.12 по местному времени, начался новый, уже четвертый задень налет. С юго-запада появились два «Хейнкеля» и вновь атаковали автозавод им. Молотова. Однако темнота и дым от пожаров затруднили штурманам бомбардировщиков прицеливание. В итоге большинство сброшенных ими бомб упали на пустырях между заводскими корпусами. Три сильных взрыва прогремели между моторным цехом № 1, КЭО и колесным цехом, выбив стекла и оконные рамы в этих зданиях. Возле деревообделочного цеха № 1 взорвались девять фугасных и осколочных бомб разных калибров. В результате обвалилась часть светового фонаря корпуса, в трех местах было разрушено шоссе, а также траверсный путь на протяжении 15 м. Около здания загорелся бак с двумя тоннами растворителя, разбило три трансформатора. Рядом с механическим цехом № 3 упала одна бомба SC50. Она повредила три метра рельсов и паропровод. При этом вышибло почти все стекла с восточной стороны здания. На этот раз эффекта внезапности уже не было и немцам не удалось действовать беспрепятственно. Подходящие к городу и возвращающиеся на запад бомбардировщики были атакованы истребителями. В бой смело ринулись и три ЛаГГ-3 авиаотряда майора Алифанова. Однако все их атаки оказались безуспешными, в то же время бортстрелки «Хейнкелей» сбили один и повредили два самолета. ЛаГГ-3 с заводским номером №31217-71 совершил вынужденную посадку на брюхо в районе г. Богородска. У него были прострелены лопасти винта, крылья, фюзеляж и даже топливный бак. Всего механики насчитали в чудом приземлившемся самолете около 50 отверстий от пуль. В Дзержинске тоже постоянно выли гудки воздушной тревоги, защищавшие город зенитки вели заградительный огонь. Поначалу жители видели лишь самолеты, пролетавшие в сторону Горького и обратно, но ближе к вечеру один из «Хейнкелей» внезапно изменил курс и сбросил две фугасных бомбы на химический завод № 96. После этого он прошел на бреющем полете над позициями зенитных батарей в районе поселка Игумново и обстрелял их из пулеметов. В результате был убит командир батареи 583-го ЗенАП лейтенант Васильев. В 17.30 жители Автозаводского района опять увидели в темнеющем небе уже знакомый силуэт немецкого самолета, летящего в сторону ГАЗа. Пройдя над горящим заводом, он сбросил три 70-кг бомбы на монтажный цех. Две из них взорвались рядом с корпусом, выбив почти все остекление и разрушив часть железнодорожного пути, третья попала в отходы металла. После этого «Хейнкель» развернулся и со второго захода отбомбился по «Двигателю революции». Одна фугасная бомба взорвалась на железнодорожных путях между литейным цехом и силовой станцией, три – в юго-западной части завода у щелей укрытия. Четыре взрыва прогремели около станкозавода на ул. Шоссейной (ныне ул. Баумана). Еще четыре неразорвавшиеся фугаски были позднее обнаружены у нефтяных баков, около амбулатории и в поселке Карповка. Через 20 минут над Горьким появился еще один самолет, сбросивший на автозавод очередную 1000-кг бомбу. Однако немецким летчикам вновь не удалось добиться прямого попадания. Мощнейший взрыв прогремел между ковочным цехом и цехом паровых молотов кузнечно-рессорного корпуса. Были разрушены двадцать метров железной дороги и выбита треть остекления здания. В 18.00 для жителей города наступило долгожданное затишье. Сотни людей бросили </w:t>
      </w:r>
      <w:r w:rsidRPr="00640820">
        <w:rPr>
          <w:rFonts w:ascii="Times New Roman" w:hAnsi="Times New Roman"/>
          <w:color w:val="000000" w:themeColor="text1"/>
          <w:sz w:val="16"/>
          <w:szCs w:val="16"/>
        </w:rPr>
        <w:lastRenderedPageBreak/>
        <w:t>работу и устремились к своим домам, дабы убедиться в том, что их родственники живы, а имущество не пострадало. Между тем милиция во время бомбежки в соответствии с имеющейся инструкцией перекрыла движение по Окскому мосту. А он являлся единственной коммуникацией, связывавшей заречную часть города с нагорной. В итоге на обеих сторонах скопились огромные толпы народа, жаждавшие перебраться на другой берег. Милиционеры же на все вопросы отвечали: «Пустим, когда отменят тревогу». К вечеру количество волнующихся и кричащих людей достигло таких размеров, что удерживать эту массу стало попросту невозможно. В итоге проход пришлось открыть, и две огромные лавины ринулись навстречу друг другу. Самое страшное произошло когда толпы горьковчан достигли середины моста, высоко вздыбленной над рекой. Началась жуткая давка, многие стали падать, остальные не обращали на это никакого внимания и шли прямо по людям. Милиционеры же лишь пассивно наблюдали за происходящим со своих постов. Точное число пострадавших в этой давке осталось неизвестным. Но наиболее ужасающая картина наблюдалась на улицах Автозаводского района. Работница ОТК цеха №23 ГАЗа Александра Требущук вспоминала:  «После конца смены мы с другими работницамивышли с завода и отправились к своему бараку, который находился возле овощехранилища. Повсюду около завода лежали убитые лошади, трупы людей, осколки стекла. Вскоре мы увидели, что наш барак сгорел от зажигалок. В огне погибли старик и ребенок, не сумевшие выбраться». В 21.07 по местному времени в Горьком вновь началась бомбежка. Это был уже пятый за сутки налет на Горьковский автозавод. На сей раз одиночный Не-111 сбросил четыре бомбы на литейный цех № 2. Одна взорвалась в недостроенной части цеха, еще две – рядом со зданием. Наибольшие повреждения причинила четвертая фугаска, угодившая в обрубное отделение, занятое под склад металла. От сильного взрыва в здании обрушились все перекрытия, вышибло все остекление стен и фонарей. Через три минуты второй самолет сбросил на Ленинский район десять фугасных бомб, которые упали между станкостроительным заводом № 113 и Первомайской водокачкой. Были повреждены фидеры электросетей и оборваны провода, различные повреждения получили жилые дома на ул. Баумана (11774).</w:t>
      </w:r>
    </w:p>
    <w:p w14:paraId="2AB8FC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5C877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ноября 1941 в полночь на 5 ноября немецкие бомбардировщики произвели налет на Москву. «Хейнкели» сбросили девять фугасных бомб, упавших на жилые кварталы города. От взрывов и пожаров погибли пятеро москвичей и один был ранен (11774).</w:t>
      </w:r>
    </w:p>
    <w:p w14:paraId="469201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A4E60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ноября 1941 стал самым запоминающимся за всю войну для Чебоксар. Маленький город на правом берегу Волги осенью 1941 г. находился в глубоком тылу. От линии фронта его отделяли примерно 650 км. Крупных военных предприятий здесь не было, стратегически важные линии железных дорог пролегали намного южнее. В октябре в Чебоксары прибыл эвакуированный из Харькова электромеханический завод (ХЭМЗ) и ряд других предприятий. Но все они еще только возводились и обустраивались на новом месте. Поэтому жители города меньше всего опасались ударов германской авиации. Хотя на территории Чувашии еще в конце августа были построены три оперативных аэродрома, затем в сентябре – еще три, никаких самолетов на них не было, и вообще какая-либо ПВО начисто отсутствовала. Не соблюдался и режим светомаскировки, поэтому даже с наступлением темноты жилые кварталы Чебоксар были хорошо видны с большого расстояния. И вот тихий вечер внезапно нарушил грохот взрывов. Один из очевидцев позднее вспоминал:  «Гром, не гром, ничего не поняли. Ночьюбыло дело, и все мы выбежали на улицу. Два раза грохот раздался. Толком ничего не могли понять. Ни разу такого не слышали. Народ высыпал на улицу. Никто ничего не знает, что такое…» Тем временем Не-111, сбросив серию из девяти бомб SC50 на центр города, выполнил отворот влево и со второго захода отбомбился по поселку Сосновка, расположенному на северном берегу Волги, и его окрестностям. Как потом оказалось, немцы накрыли цыганский табор, который жег костры и тем самым, видимо, привлек внимание летчиков. После этого «Хейнкель» взял курс на запад, покинув чувашское небо. Жители города не сразу осознали, какой опасности подвергались. Только утром, выйдя на центральные улицы, они увидели воронки от бомб, а также разрушенные и покосившиеся от взрывной волны дома. Как потом оказалось, одна бомба упала на двухэтажное здание народного суда на ул. Плеханова. От взрыва правая половина здания полностью обрушилась. Взрывная волна вышибла окна и разрушила сени расположенного неподалеку дома № 45. В доме № 6 на ул. Ворошилова также вылетели окна, и рассыпалась печь. Еще одна 50-кг бомба упала между домами № 33 и 35 на ул. Ленина, разрушив сени и выбив оконные рамы. Были частично разрушены дома № 25 и 38. Две бомбы также упали на ул. Заводской, одна взорвалась в огороде дома № 18, другая – на мостовой. Еще одна фугаска упала в речку Чебоксарку, протекающую через центр города. В результате налета погибли два человека, в т.ч. трехлетняя девочка, еще 18 получили ранения. Кроме того, на шоссейной дороге Ипшеи – Чебоксары были обнаружены немецкие листовки с призывом оказывать посильную помощь Вермахту и переходить на его сторону. Собирать и уничтожать листовки были направлены учащиеся Чапаевского поселка. На пути к Чебоксарам немецкие бомбардировщики также нанесли бомбовые удары и обстреляли из пулеметов поселок Юрино в устье р. Ветлуга, поселок Козьмодемьянск и даже глухую, забытую Богом деревню Усмань. Хотя эти удары и не имели стратегического значения, они повергли в шок местное население. Жители захолустных поселков, до того слышавшие о далеких боях на фронте лишь по радио, вдруг воочию увидели не только немецкие бомбардировщики с крестами и свастиками, но и лица летчиков. В Чувашии сразу после бомбежки был введен режим полной светомаскировки, было спешно отключено все наружное освещение, водителям автомашин запретили ездить с включенными фарами (11774).</w:t>
      </w:r>
    </w:p>
    <w:p w14:paraId="5BD568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516AD80" w14:textId="77777777" w:rsidR="00B97A93" w:rsidRPr="00640820" w:rsidRDefault="00B97A93" w:rsidP="00640820">
      <w:pPr>
        <w:pStyle w:val="ae"/>
        <w:spacing w:before="0" w:after="0"/>
        <w:jc w:val="both"/>
        <w:textAlignment w:val="baseline"/>
        <w:rPr>
          <w:color w:val="000000" w:themeColor="text1"/>
          <w:sz w:val="16"/>
          <w:szCs w:val="16"/>
        </w:rPr>
      </w:pPr>
      <w:r w:rsidRPr="00640820">
        <w:rPr>
          <w:color w:val="000000" w:themeColor="text1"/>
          <w:sz w:val="16"/>
          <w:szCs w:val="16"/>
        </w:rPr>
        <w:t>В течение 4–6 ноября 1941 на Ленинград (ныне Санкт-Петербург), уже два месяца живший в условиях блокады и налетов бомбардировщиков, были сброшены немецкие листовки, призывавшие жителей «помыться и ложиться в гробы». В них также сообщалось, что в «годовщину революции» небо станет белым от осветительных бомб. Из всего этого городское руководство во главе со Ждановым и командование ВВС Ленинградского фронта сделали нехитрый логический вывод, что на 6–7 ноября немцы наметили массированный налет на город. Было решено предотвратить его внезапным и массированным ударом по авиабазам люфтваффе.</w:t>
      </w:r>
    </w:p>
    <w:p w14:paraId="720AC769" w14:textId="77777777" w:rsidR="00B97A93" w:rsidRPr="00640820" w:rsidRDefault="00B97A93" w:rsidP="00640820">
      <w:pPr>
        <w:pStyle w:val="ae"/>
        <w:spacing w:before="0" w:after="0"/>
        <w:jc w:val="both"/>
        <w:textAlignment w:val="baseline"/>
        <w:rPr>
          <w:color w:val="000000" w:themeColor="text1"/>
          <w:sz w:val="16"/>
          <w:szCs w:val="16"/>
        </w:rPr>
      </w:pPr>
      <w:r w:rsidRPr="00640820">
        <w:rPr>
          <w:color w:val="000000" w:themeColor="text1"/>
          <w:sz w:val="16"/>
          <w:szCs w:val="16"/>
        </w:rPr>
        <w:t>Советский самолет-разведчик, чудом вернувшийся невредимым, зафиксировал, что наибольшее число двухмоторных бомбардировщиков сосредоточено на аэродроме около станции Сиверская, в 67 километрах к югу от Ленинграда. По данным авиаразведки, там стояло около сорока Ju-88, 31 Bf-109 и 4 Ju-52. Для удара по немецкой авиабазе собрали все, что было, в том числе решили задействовать даже истребители ПВО.</w:t>
      </w:r>
    </w:p>
    <w:p w14:paraId="22910507" w14:textId="77777777" w:rsidR="00B97A93" w:rsidRPr="00640820" w:rsidRDefault="00B97A93" w:rsidP="00640820">
      <w:pPr>
        <w:pStyle w:val="ae"/>
        <w:spacing w:before="0" w:after="0"/>
        <w:jc w:val="both"/>
        <w:textAlignment w:val="baseline"/>
        <w:rPr>
          <w:color w:val="000000" w:themeColor="text1"/>
          <w:sz w:val="16"/>
          <w:szCs w:val="16"/>
        </w:rPr>
      </w:pPr>
      <w:r w:rsidRPr="00640820">
        <w:rPr>
          <w:color w:val="000000" w:themeColor="text1"/>
          <w:sz w:val="16"/>
          <w:szCs w:val="16"/>
        </w:rPr>
        <w:t>В 11.25 6 ноября семь Пе-2 из 125-го ближнебомбардировочного авиаполка (ббап) во главе с майором В. А. Сандаловым в сопровождении 10 МиГ-3 с высоты 2500 метров сбросили бомбы на аэродром. Затем Сиверскую с малой высоты атаковали шесть Ил-2 из 174-го шап во главе с капитаном Сергеем Поляковым и 10 бипланов И-153 «Чайка». После этого в 14.30 аэродром бомбили еще семь Пе-2 под командованием капитана А. И. Резвых.</w:t>
      </w:r>
    </w:p>
    <w:p w14:paraId="307A9704" w14:textId="77777777" w:rsidR="00B97A93" w:rsidRPr="00640820" w:rsidRDefault="00B97A93" w:rsidP="00640820">
      <w:pPr>
        <w:pStyle w:val="ae"/>
        <w:spacing w:before="0" w:after="0"/>
        <w:jc w:val="both"/>
        <w:textAlignment w:val="baseline"/>
        <w:rPr>
          <w:color w:val="000000" w:themeColor="text1"/>
          <w:sz w:val="16"/>
          <w:szCs w:val="16"/>
        </w:rPr>
      </w:pPr>
      <w:r w:rsidRPr="00640820">
        <w:rPr>
          <w:color w:val="000000" w:themeColor="text1"/>
          <w:sz w:val="16"/>
          <w:szCs w:val="16"/>
        </w:rPr>
        <w:t>По советским данным, на земле было уничтожено 11 самолетов, при этом большая часть из них пилотами Илов. По сведениям же 1-го воздушного флота люфтваффе, в ходе трех воздушных ударов по аэродрому Сиверская было потеряно семь Ju-88A из KG77 и KGr.806, а также сгорела большая часть запасов горючего. Однако потери нападавших составили 10 машин, которые все стали жертвами «Мессершмиттов» из JG54 «Грюнхерц». Среди них оказался и Ил-2 младшего лейтенанта А. Я. Панфилова из 174-го шап. Летчик успел выпрыгнуть на парашюте, после чего уже на земле погиб в перестрелке с немецкими солдатами, пытавшимися взять его в плен.</w:t>
      </w:r>
    </w:p>
    <w:p w14:paraId="6A003424" w14:textId="77777777" w:rsidR="00B97A93" w:rsidRPr="00640820" w:rsidRDefault="00B97A93" w:rsidP="00640820">
      <w:pPr>
        <w:pStyle w:val="ae"/>
        <w:spacing w:before="0" w:after="0"/>
        <w:jc w:val="both"/>
        <w:textAlignment w:val="baseline"/>
        <w:rPr>
          <w:color w:val="000000" w:themeColor="text1"/>
          <w:sz w:val="16"/>
          <w:szCs w:val="16"/>
        </w:rPr>
      </w:pPr>
      <w:r w:rsidRPr="00640820">
        <w:rPr>
          <w:color w:val="000000" w:themeColor="text1"/>
          <w:sz w:val="16"/>
          <w:szCs w:val="16"/>
        </w:rPr>
        <w:t>В тот же день штурмовке подвергся и аэродром Красногвардейск. Ночью в налетах на германские аэродромы участвовало несколько ДБ-3Ф и даже летающие лодки МБР-2, сбрасывавшие по две 100-кг бомбы! Однако сорвать «фашистскую акцию» все же не удалось. Вечером 7 ноября немцы произвели массированный налет на центр Ленинграда, причинивший большие разрушения. Особенно сильно пострадал Финляндский вокзал.</w:t>
      </w:r>
    </w:p>
    <w:p w14:paraId="24DD320E" w14:textId="77777777" w:rsidR="00B97A93" w:rsidRPr="00640820" w:rsidRDefault="00B97A93" w:rsidP="00640820">
      <w:pPr>
        <w:pStyle w:val="ae"/>
        <w:spacing w:before="0" w:after="0"/>
        <w:jc w:val="both"/>
        <w:textAlignment w:val="baseline"/>
        <w:rPr>
          <w:color w:val="000000" w:themeColor="text1"/>
          <w:sz w:val="16"/>
          <w:szCs w:val="16"/>
        </w:rPr>
      </w:pPr>
      <w:r w:rsidRPr="00640820">
        <w:rPr>
          <w:color w:val="000000" w:themeColor="text1"/>
          <w:sz w:val="16"/>
          <w:szCs w:val="16"/>
        </w:rPr>
        <w:t>Одновременно бомбардировщики люфтваффе 4–6 ноября совершили серию налетов на города Поволжья — Горький, Ярославль, Чебоксары и др. В итоге серьезные повреждения получили Горьковский и Ярославский автозаводы, минометный завод «Двигатель революции» и радиотелефонный завод № 197 им. Ленина, также находившиеся в Горьком, и другие предприятия. Были убиты и ранены сотни жителей. Одновременно с этим немецкие самолеты продолжали бомбить Москву (19522).</w:t>
      </w:r>
    </w:p>
    <w:p w14:paraId="54D608EB" w14:textId="77777777" w:rsidR="00B97A93" w:rsidRPr="00640820" w:rsidRDefault="00B97A93" w:rsidP="00640820">
      <w:pPr>
        <w:pStyle w:val="ae"/>
        <w:spacing w:before="0" w:after="0"/>
        <w:jc w:val="both"/>
        <w:textAlignment w:val="baseline"/>
        <w:rPr>
          <w:color w:val="000000" w:themeColor="text1"/>
          <w:sz w:val="16"/>
          <w:szCs w:val="16"/>
        </w:rPr>
      </w:pPr>
    </w:p>
    <w:p w14:paraId="3221044D"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37AECB26"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7B44E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ноября 1941 года</w:t>
      </w:r>
    </w:p>
    <w:p w14:paraId="6B24A7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 В. СТАЛИН Ф. РУЗВЕЛЬТУ *</w:t>
      </w:r>
    </w:p>
    <w:p w14:paraId="784100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Господин Президент,</w:t>
      </w:r>
    </w:p>
    <w:p w14:paraId="70B902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Хотя текста Вашего послания я еще не получил, Посол Соединенных Штатов Америки г-н Штейнгардт передал мне через г-на Вышинского 2 ноября с. г. памятную записку с изложением содержания Вашего послания на мое имя.</w:t>
      </w:r>
    </w:p>
    <w:p w14:paraId="049735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связи с этим позвольте мне прежде всего выразить полное согласие с Вашей оценкой работ Конференции Трех Держав в Москве </w:t>
      </w:r>
      <w:r w:rsidRPr="00640820">
        <w:rPr>
          <w:rFonts w:ascii="Times New Roman" w:hAnsi="Times New Roman"/>
          <w:color w:val="000000" w:themeColor="text1"/>
          <w:sz w:val="16"/>
          <w:szCs w:val="16"/>
          <w:vertAlign w:val="superscript"/>
        </w:rPr>
        <w:t>3</w:t>
      </w:r>
      <w:r w:rsidRPr="00640820">
        <w:rPr>
          <w:rFonts w:ascii="Times New Roman" w:hAnsi="Times New Roman"/>
          <w:color w:val="000000" w:themeColor="text1"/>
          <w:sz w:val="16"/>
          <w:szCs w:val="16"/>
        </w:rPr>
        <w:t>, что следует отнести в наибольшей мере к заслугам г-на Гарримана, а также г-на Бивербрука, сделавших все возможное для успешного завершения работ Конференции в кратчайший срок. За Ваше заявление о том, что постановления Конференции будут максимально выполнены, Советское Правительство выражает свою глубокую признательность.</w:t>
      </w:r>
    </w:p>
    <w:p w14:paraId="37E58B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Ваше решение, г-н Президент, о том, чтобы предоставить Советскому Союзу беспроцентный заем на сумму в 1 миллиард долларов на оплату поставок вооружения и сырьевых материалов Советскому Союзу, Советское Правительство принимает с искренней благодарность, как исключительно серьезную поддержку Советского Союза в его громадной и трудной борьбе с нашим общим врагом, с кровавым гитлеризмом.</w:t>
      </w:r>
    </w:p>
    <w:p w14:paraId="7C1D83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поручению Правительства СССР я выражаю полное согласие с изложенными Вами условиями предоставления Советскому Союзу этого займа, платежи по которому должны начаться спустя 5 лет после окончания войны и будут производиться в течение 10 лет после истечения этого пятилетнего периода.</w:t>
      </w:r>
    </w:p>
    <w:p w14:paraId="1347DB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Правительство СССР готово сделать все необходимое, чтобы поставлять Соединенным Штатам Америки те товары и сырье, которые имеются в его распоряжении и в которых могут нуждаться Соединенные Штаты.</w:t>
      </w:r>
    </w:p>
    <w:p w14:paraId="46CAA3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Что касается выраженного Вами, г-н Президент, пожелания, чтобы между Вами и мною был бы незамедлительно установлен личный непосредственный контакт, если этого потребуют обстоятельства, то я с удовольствием присоединяюсь к этому Вашему пожеланию и готов со своей стороны сделать все возможное для осуществления этого.</w:t>
      </w:r>
    </w:p>
    <w:p w14:paraId="66ED37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С искренним уважением</w:t>
      </w:r>
    </w:p>
    <w:p w14:paraId="35739F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 СТАЛИН (7430).</w:t>
      </w:r>
    </w:p>
    <w:p w14:paraId="2FC14B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58881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ноября 1941 вышло Распоряжение ГКО № 864 О выдаче аванса в 4 млн. руб. для Польской армии в счет предоставляемого Польскому правительству кредита. РГАНИР, Фонд ГКО, д. 13, лл. 184 (11012).</w:t>
      </w:r>
    </w:p>
    <w:p w14:paraId="00D558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3A7F4C2"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2D6577F7"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8B81A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ноября 1941 в Бельгии был создан Фронт независимости (3186).</w:t>
      </w:r>
    </w:p>
    <w:p w14:paraId="39E277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0020180"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28006411"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FBDB616" w14:textId="77777777" w:rsidR="00794B7F" w:rsidRPr="00640820" w:rsidRDefault="00794B7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5 ноября 1941 г. последний штурмо</w:t>
      </w:r>
      <w:r w:rsidRPr="00640820">
        <w:rPr>
          <w:rFonts w:ascii="Times New Roman" w:hAnsi="Times New Roman"/>
          <w:color w:val="0070C0"/>
          <w:sz w:val="16"/>
          <w:szCs w:val="16"/>
        </w:rPr>
        <w:softHyphen/>
        <w:t>вик Ил-2 взлетел с заводского аэродрома в Воронеже (21520).</w:t>
      </w:r>
    </w:p>
    <w:p w14:paraId="5BFF6399" w14:textId="77777777" w:rsidR="00794B7F" w:rsidRPr="00640820" w:rsidRDefault="00794B7F" w:rsidP="00640820">
      <w:pPr>
        <w:spacing w:after="0" w:line="240" w:lineRule="auto"/>
        <w:jc w:val="both"/>
        <w:rPr>
          <w:rFonts w:ascii="Times New Roman" w:hAnsi="Times New Roman"/>
          <w:color w:val="0070C0"/>
          <w:sz w:val="16"/>
          <w:szCs w:val="16"/>
        </w:rPr>
      </w:pPr>
    </w:p>
    <w:p w14:paraId="10E89F73" w14:textId="77777777" w:rsidR="00794B7F" w:rsidRPr="00640820" w:rsidRDefault="00794B7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5 ноября 1941 – протокол Политбюро</w:t>
      </w:r>
    </w:p>
    <w:p w14:paraId="4739A9A3" w14:textId="77777777" w:rsidR="00794B7F" w:rsidRPr="00640820" w:rsidRDefault="00794B7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ПБ 05.11.41 г.</w:t>
      </w:r>
    </w:p>
    <w:p w14:paraId="0A2DA829" w14:textId="77777777" w:rsidR="00794B7F" w:rsidRPr="00640820" w:rsidRDefault="00794B7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4. О производстве моторов 107 на заводе № 451 Наркомавиапрома (постановление СНК СССР и ЦК ВКП(б)). — ОП (20431).</w:t>
      </w:r>
    </w:p>
    <w:p w14:paraId="1498ED7C" w14:textId="77777777" w:rsidR="00794B7F" w:rsidRPr="00640820" w:rsidRDefault="00794B7F" w:rsidP="00640820">
      <w:pPr>
        <w:spacing w:after="0" w:line="240" w:lineRule="auto"/>
        <w:jc w:val="both"/>
        <w:rPr>
          <w:rFonts w:ascii="Times New Roman" w:hAnsi="Times New Roman"/>
          <w:color w:val="0070C0"/>
          <w:sz w:val="16"/>
          <w:szCs w:val="16"/>
        </w:rPr>
      </w:pPr>
    </w:p>
    <w:p w14:paraId="320BAE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ноября 1941 А.Кузнецов писал письмо N 36/7436 Зам. НКО и Нач. ВВС г-л Жигареву о том, что для увеличения выпуска боевых самолетов НКАП приказано дир. завода 47 (Чкалов) организовать производство Як-1 с началом выпуска в январе 1942 и просил дать ПС-84, принадлежащий ВВА им. Жуковского (2708,84).</w:t>
      </w:r>
    </w:p>
    <w:p w14:paraId="0531510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ЗАМЕСТИТЕЛЮ НАРКОМА ОБОРОНЫ И ШЧАЛЬНИКУ ВВС г.л.а. тов. Жигареву</w:t>
      </w:r>
    </w:p>
    <w:p w14:paraId="4FFEDAD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увеличения выпуска боевых самолетов Народам Комиссариа</w:t>
      </w:r>
      <w:r w:rsidRPr="00640820">
        <w:rPr>
          <w:rFonts w:ascii="Times New Roman" w:hAnsi="Times New Roman"/>
          <w:color w:val="000000" w:themeColor="text1"/>
          <w:sz w:val="16"/>
          <w:szCs w:val="16"/>
        </w:rPr>
        <w:softHyphen/>
        <w:t>том Авиационной Промышденяюотк СССР прикавано директору завода № 47 (гор. Чкалов) организовать производство самолетов Як-1 с началом выпуска в январе 1942 года.</w:t>
      </w:r>
    </w:p>
    <w:p w14:paraId="7F1EBE7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Успешная работа завода № 47 по подготовке нового для него сложного производства в условиях затруднительного снабжения в значителъвой мере находится в зависимости от наличия в распоряжении завода необходимых транспортных средств.</w:t>
      </w:r>
    </w:p>
    <w:p w14:paraId="597D392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Учитывая вою сложность поставленной задания прошу Вашего распоряжения о передаче ааводу № 47 самолнта ПС-84, принадлежащего Академии ВВС имени Жуковского.</w:t>
      </w:r>
    </w:p>
    <w:p w14:paraId="3405DB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Данный самолет Академией совершенно не используется. О Вашем решении прошу поставить меня в известность (2708,84).</w:t>
      </w:r>
    </w:p>
    <w:p w14:paraId="5FB6BA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0260F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ноября 1941 года приказом зам. наркома за № 10960с заводы №№ 266, 476 (эвакуированные из Москвы) и завод № 461 были объединены в один завод с присвоением ему № 266.</w:t>
      </w:r>
    </w:p>
    <w:p w14:paraId="4F2C34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Площадей для размещения объединенного завода в корпусах на основной площадке оказалось недостаточно, поэтому заводу были переданы два фабричных участка (фабрики гармонии и обуви), на которых были размещены два филиала завода № 266.</w:t>
      </w:r>
    </w:p>
    <w:p w14:paraId="6DDE5E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Киров, Октябрьский пр.</w:t>
      </w:r>
    </w:p>
    <w:p w14:paraId="06E728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266 с 1941 года в основном выпускает электроагрегаты для самолетов и моторов.</w:t>
      </w:r>
    </w:p>
    <w:p w14:paraId="6D15FE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передачи (в 1942-1943 гг.) с завода № 266 значительного парка оборудования и рабочей силы заводам дублерам в Сарапуле, заводу № 140 и № 476 (реэвакуированному в Москву) филиал № 1 был ликвидирован.</w:t>
      </w:r>
    </w:p>
    <w:p w14:paraId="7FCD37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1944 году производство агрегатов “Заря” было передано в Сарапул заводу № 307, был ликвидирован второй филиал (9596).</w:t>
      </w:r>
    </w:p>
    <w:p w14:paraId="7EC661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B84A83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ноября 1941 г. образовано предприятие "Лепсе". В 1975 году было создано Кировское машиностроительное производственное объединение им. Лепсе в составе Кировского ЭМСЗ им. Лепсе и Кирово-Чепецкого машиностроительного завода. В 1992 г. предприятие получило нынешнее наименование. Сегодня ОАО "Лепсе" - одно из ведущих предприятий в системе авиационной промышленности и оборонного комплекса страны в целом. Здесь выпускаются электродвигатели мощностью от 1 вт до 3 квт, электрогенераторы мощностью до 120 киловольтампер, исполнительные механизмы вращательного, качательного и поступательного действия, предназначенные для привода различных устройств и агрегатов, коммутационная аппаратура, различная аппаратура пуска, регулирования и преобразования энергии. На заводе изготавливается широкая гамма товаров народного потребления (6935).</w:t>
      </w:r>
    </w:p>
    <w:p w14:paraId="4B358CF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6D8A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5 ноября 1941 г. по приказу № 1096с в результате слияния заводов № 266 (Завод № 266 ИМ. И.И. </w:t>
      </w:r>
      <w:r w:rsidRPr="00640820">
        <w:rPr>
          <w:rFonts w:ascii="Times New Roman" w:hAnsi="Times New Roman"/>
          <w:color w:val="000000" w:themeColor="text1"/>
          <w:sz w:val="16"/>
          <w:szCs w:val="16"/>
          <w:lang w:val="en-US"/>
        </w:rPr>
        <w:t>Jlence</w:t>
      </w:r>
      <w:r w:rsidRPr="00640820">
        <w:rPr>
          <w:rFonts w:ascii="Times New Roman" w:hAnsi="Times New Roman"/>
          <w:color w:val="000000" w:themeColor="text1"/>
          <w:sz w:val="16"/>
          <w:szCs w:val="16"/>
        </w:rPr>
        <w:t xml:space="preserve"> НКАП, МАП, Электромоторный завод им. Лепсе НКЭП, НКЭС, Кировский электромашиностроительный завод им. И.И. Лепсе, Кировское электромашиностроительное ПО (КЭМПО) «Лепсе», ОАО «Электромашиностроительный завод (ЭМСЗ) «Лепсе» РАКА, ФАП /г. Москва ул. Ткацкая, 15 ст. Черкизово (1940 г.);  г. Киров Филейское ш. (1942 г.)/ /610006  г. Киров пр. Октябрьский, 24 тел. 23-74-47/ /Московское представительство: ул. Б. Садовая, 8/), № 461 и № 476, также эвакуированного из Москвы, образован объединенный завод № 266 НКАП.</w:t>
      </w:r>
    </w:p>
    <w:p w14:paraId="6564D9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площадке эвакуированного завода в Москве по приказу № 46с от 17.01.1942 г. образованы Агрегатные ремонтные мастерские № 266. Далее по приказу № 459с от 22.06.1942 г. мастерские преобразованы в филиал завода № 266 НКАП по электромашинам (директор- Доценко). По приказу № 198с от 8.04.1943 г. на базе филиала образован самостоятельный завод № 140 НКАП.</w:t>
      </w:r>
    </w:p>
    <w:p w14:paraId="68E7DD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206сс от 21.03.1944 г. с завода № 266 переведено большое количество станков, рабочих и ИТР для укрепления производства на завод № 451 НКАП. В начале 1944 г. часть специалистов завода была переведена на завод № 487 для освоения выпуска топливных агрегатов.</w:t>
      </w:r>
    </w:p>
    <w:p w14:paraId="2220DB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годы войны продолжено производство электрооборудования для Пе-2 и Ла-5, магнето БСМ-14. Кроме того, выпускались литые корпуса гранат, системы освещения «Заря» и запчасти к ним по заказам ГАУ и НКВМФ (с 09.1944 г. эти работы переданы на завод № 307 НКАП). По приказу № 280с от 7.05.1946 г. завод передан го 4ГУ во 2ГУ.</w:t>
      </w:r>
    </w:p>
    <w:p w14:paraId="61A161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1957 г. завод как серийный передан в ведение СНХ.</w:t>
      </w:r>
    </w:p>
    <w:p w14:paraId="073195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заводе с 08.1955 г. действовал филиал ОКБ-476 по доводке электроагрегатов. Затем- это самостоятельное АО «Электропривод».</w:t>
      </w:r>
    </w:p>
    <w:p w14:paraId="142EA6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20.04.1972 г. создан филиал завода в Кирово-Чепецке (затем- ВЭЛКОНТ).</w:t>
      </w:r>
    </w:p>
    <w:p w14:paraId="5CB093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1998-99 г. ЭМСЗ «Лепсе»- в ведении Департамента авиакосмической промышленности Минэкономики, в 2003 г.- в ведении РАКА. По решению правительства № 22-р от 9.01.2004 г. вошло в перечень стратегических предприятий.</w:t>
      </w:r>
    </w:p>
    <w:p w14:paraId="7D210A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2002 г. выпускалось более 600 типов авиационных электроагрегатов.</w:t>
      </w:r>
    </w:p>
    <w:p w14:paraId="779939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(2004 г.): авиационное электрическое (электродвигатели, генераторы, реле, электромеханизмы), электротепловое, электромагнитное оборудование, радиотехнические приборы; (2006 г.): программа освоения лицензионного производства Су-27СК в Китае и Су-ЗОМКИ в Индии.</w:t>
      </w:r>
    </w:p>
    <w:p w14:paraId="4C504C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2005 г. входило в состав Научно-производственного холдинга «Аэроэлектромаш».</w:t>
      </w:r>
    </w:p>
    <w:p w14:paraId="3FA42E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(2000-е)- около 8000 чел.</w:t>
      </w:r>
    </w:p>
    <w:p w14:paraId="18A5A2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(-1940-45 г.-&gt; И.А. Дикарев, (10.1942 г.)- Доченко, (03.1946 г.)- Н.М. Клюкин, (1966 г.)- А.С. Болынев, Шабалин. Гендиректор (1997-2007 г.-)-  Г.А. Мамаев.</w:t>
      </w:r>
    </w:p>
    <w:p w14:paraId="255A01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(ВОВ)- Н.А. Головчинов. Зам. гендиректора (2007 г.)- С. Лаптев, (2007 г.)- Б. Карпман.</w:t>
      </w:r>
    </w:p>
    <w:p w14:paraId="08E9CC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производства (ВОВ)- К.Т. Шармазанов. Директор по ВЭС и маркетингу (-2005-06 г.-)- В.А. Альгин.</w:t>
      </w:r>
    </w:p>
    <w:p w14:paraId="0C54DE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(ВОВ)- Н.А. Головчинов.</w:t>
      </w:r>
    </w:p>
    <w:p w14:paraId="2EDB1C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(-03.1941 г.)- А.К. Голдобенков, (05.1941 г.-)- Ф.И. Голгофский (по умформерам, генераторам и морским радиомашинам), (11.1941 г.-)- А.А. Енгибарян.</w:t>
      </w:r>
    </w:p>
    <w:p w14:paraId="26D35D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Шеф-электрик (06.1937 г.)- А.К. Голдобенков. Гл. технолог (ВОВ)- М.Е. Едидович.</w:t>
      </w:r>
    </w:p>
    <w:p w14:paraId="15BFA1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СКО (ВОВ)- В. Г. Могилевский; ОКО (ВОВ)- С.Л. Маневич.</w:t>
      </w:r>
    </w:p>
    <w:p w14:paraId="73AF31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динамо-машины ДСФ-500, -650, ДСФИ-1000 (1937); генераторы ГС-500, -850, -1500 (1937), ДОС-1, ДОС-2, ГС-10-350, -20-650, -30-1000, ДСФ-500 (1930-е), ГС-32-1000, ГТ-500 (ВОВ); электромоторы: для бензопомпы МП 24/225 (1937), МУ-30, -50, -100, -1000 (ВОВ); распределительная коробка РК-34 (1937); магнето БСМ-14 (ВОВ); радиоумформеры: РМ-2, -3, -5, -7, -8, РУН-10, РУК-300 (1930-е), РУ-11Б, РУ-45Б (ВОВ); механизмы дистанционного управления: АП-1, ГРШ-1, УН-1, УР-2, УС-1, УТ-1, УТ-3 (ВОВ); крановые электромеханизмы МПК-31А, МПК-34Б, МПК-40, МВД-4Е6К для Ил-114, Ил-96, Су-30МКИ; исполнительные электромеханизмы привода рулей ИМПР-80 для Су-80, МПР-172 (2005); электрооборудование для газовой и нефтедобывающей отраслей (2005); электростеклоподъемники для ВАЗ (2006); магнитофоны: «Электроника- 003С», «Олимп-ООЗС, -004С, МПК-004С, МПК-005С, -006С, -700, -701, -702, А-400»; усилитель «Олимп ДУ-005» (11982).</w:t>
      </w:r>
    </w:p>
    <w:p w14:paraId="230FC6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F3F14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5 ноября 1941 г. в Кирове завод № 476 (Завод № 476 НКАП, Сущевский механический завод им. Дзержинского Моссредпрома, Завод счетных машин им. Дзержинского НКОМ /г. Москва ул. Сущевская, 22 (1940 г.)/) вместе с заводом № 461 влит по приказу № 1096с в состав объединенного завода № 266. Выбыл из числа действующих с 11.1941 г.</w:t>
      </w:r>
    </w:p>
    <w:p w14:paraId="220685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площадке эвакуированного завода по приказу № 46с от 17.01.1942 г. образованы Агрегатные ремонтные мастерские. Затем по приказу № 239с от 30.03.1942 г. на базе мастерских планировалось организовать Ремонтный завод при Главремуправлении по ремонту свечей и магнето. Однако, вскоре здесь был создан новый агрегатный завод № 476 при 4ГУ НКАП.</w:t>
      </w:r>
    </w:p>
    <w:p w14:paraId="6F2A4E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(12.1940-41 г.)- А.О. Казанский.</w:t>
      </w:r>
    </w:p>
    <w:p w14:paraId="44FF95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(12.1940 г.-)- М. Г. Ишпаков.</w:t>
      </w:r>
    </w:p>
    <w:p w14:paraId="1C0C4D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(12.1940 г.-)- М. Г. Иншаков (11982).</w:t>
      </w:r>
    </w:p>
    <w:p w14:paraId="1F117D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D120524"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5 ноября</w:t>
      </w:r>
      <w:r w:rsidRPr="00640820">
        <w:rPr>
          <w:rFonts w:ascii="Times New Roman" w:hAnsi="Times New Roman"/>
          <w:color w:val="000000" w:themeColor="text1"/>
          <w:sz w:val="16"/>
          <w:szCs w:val="16"/>
        </w:rPr>
        <w:t xml:space="preserve"> в 1941 году основано ОАО «Электромашиностроительный завод ЛЕПСЕ». ОАО «Электромашиностроительный завод ЛЕПСЕ» считает датой своего основания 5 ноября 1941 г., когда на территории города Кирова сформировалось объединение двух эвакуированных московских заводов и кировского агрегатного завода Наркомата авиационной промышленности. Для расширения производственной базы в начале 1970-х годов в городе Кирово-Чепецке Кировской области был создан филиал, который в 1972 г. был переименован в Кирово-Чепецкий электромашиностроительный завод. В 1976 г. на базе двух заводов образовано Кировское электромашиностроительное производственное объединение имени Лепсе (КЭМПО имени Лепсе). В 1996 г. завод переименовывается в ОАО «Электромашиностроительный завод ЛЕПСЕ». Коллектив предприятия отмечен высокими государственными наградами - орденом Ленине (1945 г.) и Трудового Красного Знамени (1976 г.). Основные направления деятельности: авиационные изделия, агрегаты систем автоматики и энергетики: аппаратура запуска авиационных двигателей; изделия систем защиты, включения, регулирования источников питания и потребителей электроэнергии; исполнительные механизмы вращательного, качательного и поступательного действия; микровыключатели, реле, контакторы; пульты наземного контроля бортового оборудования; системы автоматики и управления;- электрогенераторы и электродвигатели; преобразователи электрического тока (14821).</w:t>
      </w:r>
    </w:p>
    <w:p w14:paraId="375C207A" w14:textId="77777777" w:rsidR="00090D02" w:rsidRPr="00640820" w:rsidRDefault="00090D02" w:rsidP="00640820">
      <w:pPr>
        <w:spacing w:after="0" w:line="240" w:lineRule="auto"/>
        <w:jc w:val="both"/>
        <w:rPr>
          <w:rFonts w:ascii="Times New Roman" w:hAnsi="Times New Roman"/>
          <w:color w:val="000000" w:themeColor="text1"/>
          <w:sz w:val="16"/>
          <w:szCs w:val="16"/>
        </w:rPr>
      </w:pPr>
    </w:p>
    <w:p w14:paraId="6456BF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ноября 1941 г. по приказу № 1097с завод № 132 НКТП, НКОП, НКАП, Завод № 1 УВВС, нктп, Симский механический завод («Симза»), Симское агрегатное ПО, АООТ, ОАО «Агрегат» /г. Москва ул. Бутырская, 58/ /456020  г. Сим Инжерского р-на Челябинской обл. ул. Пушкина, 1 тел. 35-89-90/), эвакуированный в  г. Сим Челябинской обл. на площадку арматурного завода, где к тому времени уже расположился эвакуированный из Москвы завод № 444 НКАП, объединяется в единый завод № 132 НКАП (Симский механический завод).</w:t>
      </w:r>
    </w:p>
    <w:p w14:paraId="6EFBF5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площадке эвакуированного завода в Москве по приказу № 46с от 17.01.1942 г. образованы Агрегатные ремонтно-механические мастерские № 132. По приказу № 281с от 14.04.1942 г. они получили статус филиала завода № 132 НКАП. Ремонт изделий, выпускаемых заводом № 132. В середине 1942 г. сюда переведен агрегатный завод №451.</w:t>
      </w:r>
    </w:p>
    <w:p w14:paraId="52FB60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206сс от 21.03.1944 г. с завода № 132 переведено большое количество станков, рабочих и ИТР для укрепления производства на завод № 451 НКАП. В начале 1944 г. часть специалистов завода была переведена на завод № 487 для освоения выпуска топливных агрегатов.</w:t>
      </w:r>
    </w:p>
    <w:p w14:paraId="109EC7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СМ СССР № 713-342 от 26.06.1957 г. передан в ведение СНХ РСФСР.</w:t>
      </w:r>
    </w:p>
    <w:p w14:paraId="364BE7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02.1981 г. на базе Симского механического завода создано Симское агрегатное ПО (САПО).</w:t>
      </w:r>
    </w:p>
    <w:p w14:paraId="1906D2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01.1993 г. САПО преобразовано в АООТ «Агрегат», в 1996 г.- в ОАО. По решению правительства № 22-р от 9.01.2004 г. вошло в перечень стратегических предприятий. В 2005 г. ОАО «Агрегат» входило в состав ММПП «Салют».</w:t>
      </w:r>
    </w:p>
    <w:p w14:paraId="35BB98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(2002 г.): авиационные агрегаты: антиюзовые автоматы торможения, гидроагрегаты (клапаны, реле давления, фильтры, выключатели и редукторы), агрегаты запуска двигателей, регуляторы в/винтов, регуляторы сопла и форсажа, регуляторы расхода топлива, пневморегуляторы, насосы: плунжерные, шестеренные; аврийно-спасательный инструмент для МЧС; автозапчасти; шаровые краны.</w:t>
      </w:r>
    </w:p>
    <w:p w14:paraId="78E547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(2002 г.)- 3500 чел.</w:t>
      </w:r>
    </w:p>
    <w:p w14:paraId="0F046A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Директор (-05.1937-15.06.1938 г.)- Д.М. Соколов, (4.08-22.10.1938 г.)- М.И. Белгородский, (22.10.1938- 04.1942 г.)-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xml:space="preserve">. Ивайкин, (1942-44 г.)-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Лурье, (03.1946 г.)- Антонов. Гендиректор (1982-87 г.)- И.А. Пудовкин, (1987-94 г.)- В.Ф. Давыдов, (-2002-05 г.-)- В.Д. Изюмов.</w:t>
      </w:r>
    </w:p>
    <w:p w14:paraId="377279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Зам. директора: (06.1937 г.)- Д.Л. Авербах; по МФВ (-1942 г.)-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Лурье.</w:t>
      </w:r>
    </w:p>
    <w:p w14:paraId="3DB501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технический (2002 г.)- В.П. Станинов; коммерческий (2002 г.)- А.И. Мотошков.</w:t>
      </w:r>
    </w:p>
    <w:p w14:paraId="6401D4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(06.1937 г.)- Д.Л. Авербах, (1941 г.)- А.А. Мышленков.</w:t>
      </w:r>
    </w:p>
    <w:p w14:paraId="3547E7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Гл. конструктор (-04.1940 г.)-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Груничев, (24.12.1940 г.-)- А.Н. Петелин.</w:t>
      </w:r>
    </w:p>
    <w:p w14:paraId="22807C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производства (1941 г.)- М.Н. Вишневский.</w:t>
      </w:r>
    </w:p>
    <w:p w14:paraId="36263E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ОТК (05.1938 г.)- Авраменко; маркетинго-сбытового (2002 г.)- С.А. Арсеньев.</w:t>
      </w:r>
    </w:p>
    <w:p w14:paraId="7447D9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регуляторы оборотов в/винта: Р-2 к мотору АМ-35А (1940), Р-7 (ВОВ), Р7Ф, Р9СМ2 (1946-), Р68А (1957-), Р68ДК-24 для АИ-24 (1975), Р90 (1975); самопуск (инерционный стартер) РИМ-У-24 для М-71 (1940); электролебедки; компрессоры; подогреватель мотора ПБП-2 (1940); переносная лампа АПЛ; автомат давления АД-50 (ВОВ); насос ПН-1 (ВОВ); магнето (ВОВ); агрегаты управления створками сопла и форсажной камеры: для Ту-16 (1950), РСФ55Б (1975), РСФ59А, РСФ31Б, РСФ85 для МиГ-29 и Су-27; агрегаты автоматического торможения колес, инерционные датчики для Ту-16 (1950-); агрегаты АКП-5, АКП-7 для Ил-Кб (1953); автомат регулирования подачи топлива РПТ1А для ПРД (1962-); регулятор расхода РР3048М (1980-е); плунжерный насос НП92А для Ми-8 (1975); гидромашина ГП16 для Ту-144 (1975); рулевые машинки ТА-41Б, ТА-42Б для ракеты А-350 (1975), газовая рулевая машинка ФАП-4В (1975); блок автоматики БУМ235С, маслоагрегат МА222, гидроаккумулятор ГА222 (2000-е); гидрораспределители и редукционные клапаны для Ил- 96, Як-130, МиГ-АТ, Ту-204, Ту-334, Бе-200 (2000-е); насосы шестеренные для наземной техники НШ-4, НШ-10, НШ-32, НШ-50, НШ-100 (2002); бытовая швейная машина «Бежа» (2002).</w:t>
      </w:r>
    </w:p>
    <w:p w14:paraId="03754B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Симский арматурный завод /г. Сим Челябинской обл./</w:t>
      </w:r>
    </w:p>
    <w:p w14:paraId="45DDA4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указу императрицы Елизаветы 29.03.1759 г. купцами Иваном Твердышевым и Иваном Мясниковым был основан металлургический завод. В 1898 г. в составе завода имелась мартеновская фабрика. Был разработан проект мартеновской фабрики с двумя печами для Лысьвенского завода.</w:t>
      </w:r>
    </w:p>
    <w:p w14:paraId="630BBE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1910 г. завод перешел на выпуск военных повозок-кухонь, санитарных двуколок, автоприцепов.</w:t>
      </w:r>
    </w:p>
    <w:p w14:paraId="549E08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07-10.1941 г. на площадку завода были эвакуированы завода № 444 НКАП и № 132 НКАП. По приказу № 1097с от 5.11.1941  г. заводы объединены в единый завод № 132 НКАП.</w:t>
      </w:r>
    </w:p>
    <w:p w14:paraId="4DAE60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Смотритель мартеновской фабрики (1898 г.)- С.Ю. Вериго (11982).</w:t>
      </w:r>
    </w:p>
    <w:p w14:paraId="35C0A5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AA3476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ноября 1941 горьковский судоремонтный завод им. 25 октября изготовил первый экз. аэросаней РФ-6 - боевых аэросаней с автодвигателем М-1. Разработано КБ Веселовского, восстановленного в октябре 19412 как ОКБ НКРФ. Сначала ОКБ сидело на заводе, а затем - перебралось в ИИВТ (8285,17).</w:t>
      </w:r>
    </w:p>
    <w:p w14:paraId="24F660E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EF6F42"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6E8BF072"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9942B7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ноября 1941 года вышел Приказ НКБ № 14</w:t>
      </w:r>
    </w:p>
    <w:p w14:paraId="14545D5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постановлением ГКО № 841 об обеспечении Москвы боеприпасами и на основании распоряжения зам. наркома вооружения № НВ/143 от 3 ноября 1941 года о передаче завода № 356 (завод б. Геодезия) в ведение НКБ:</w:t>
      </w:r>
    </w:p>
    <w:p w14:paraId="038E3FD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Организовать производство взрывателей и снаряжения в соответствии с заданием ГКО № 841 от 26 октября 1941 года, для чего слить завод № 358 с вновь принятым заводом (б. Геодезия). Присвоить вновь организуемому в Москве заводу № 398 с сохранением устава бывшего завода № 398 (5679, 39).</w:t>
      </w:r>
    </w:p>
    <w:p w14:paraId="033384B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76BB5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ноября 1941 года вышел Приказ НКБ № 15</w:t>
      </w:r>
    </w:p>
    <w:p w14:paraId="67FCE8A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ГСКБ № 47 спроектирована, изготовлена и испытана конструкция противотанковых мин.</w:t>
      </w:r>
    </w:p>
    <w:p w14:paraId="6C76DB9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обеспечения выпуска противотанковых мин конструкции ГСКБ-47 организовать в Московском филиале ГСКБ-47 производство по изготовлению корпусов мин и их снаряжению (5679, 43).</w:t>
      </w:r>
    </w:p>
    <w:p w14:paraId="26D2DFD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E0EB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и 15 ноября 1941 в Кемерово прибыли два эшелона ленинградского завода «Красный металлист». И уже 18 ноября 1942 г. было принято решение создать Военно-подковный завод №1 Наркомата обороны СССР. Станки и другое оборудование стали размещать и монтировать в зданиях бывших школы, райкома и конюшен артдивизиона в центре города.</w:t>
      </w:r>
    </w:p>
    <w:p w14:paraId="09BC5A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Ленинграда прибыли вместе с оборудованием всего 28 человек. Поэтому производственный персонал пришлось набирать в марте 1943 г. путем мобилизации трудящихся в Тонкинском, Юргинском и Мариинском районах уже в созданной Кемеровской области. Так был сформирован трудовой коллектив в 320 человек. Жилье для рабочих начала строить строительная организация Главвоенстроя в Сибирском военном округе.</w:t>
      </w:r>
    </w:p>
    <w:p w14:paraId="19F25A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1 мая 1943 г. была отравлена на фронт первая партия подков, шипов к ним и гвоздей. Завод стал главным поставщиком подков практически для всей кавалерии Красной Армии. В послевоенное время он был передан местной промышленности, стал электротехническим, а затем преобразован в закрытое акционерное общество «ЗЭТА»4 (11511).</w:t>
      </w:r>
    </w:p>
    <w:p w14:paraId="018FA6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EFCAA6A"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5 ноября</w:t>
      </w:r>
      <w:r w:rsidRPr="00640820">
        <w:rPr>
          <w:rFonts w:ascii="Times New Roman" w:hAnsi="Times New Roman"/>
          <w:color w:val="000000" w:themeColor="text1"/>
          <w:sz w:val="16"/>
          <w:szCs w:val="16"/>
        </w:rPr>
        <w:t xml:space="preserve"> в 1941 году образовано ФГУП "Уральское конструкторское бюро транспортного машиностроения", город Нижний Тагил. Отдел 520 был создан 5 ноября 1941 года приказом директора Уральского танкового завода на базе эвакуированного из Харькова танкового конструкторского бюро. 13 ноября 1971 года приказом министра оборонной промышленности на основе отдела 520 и его опытного производства создано единое предприятие - ФГУП "Уральское конструкторское бюро транспортного машиностроения", город Нижний Тагил. 17 ноября 1972 Главным конструктором по вагоностроению назначен В.А.Двухглавов. Основные направления деятельности предприятия: Военные: Ракетно-пушечные танки «Т-72С», «Т-90С»; Боевая машина разминирования «БМР-3М»; Инженерная машина разграждения «ИМР-3М»; Боевая ремонтно-эвакуационная машина БРЭМ-1; Танковый мостоукладчик «МТУ-72»; Танковый бульдозер-снегоочиститель «ТБС-86»; Ремонт, модернизация запасные части. Гражданские: Грузовые магистральные вагоны, платформы, тележки, комплектующие узлы; Железнодорожные цистерны для перевозки светлых и вязких нефтепродуктов; Гусеничные и колесные экскаваторы; Универсальные малогабаритные погрузчики; Бытовые электроприборы; Оборудование для ТЭК (14821).</w:t>
      </w:r>
    </w:p>
    <w:p w14:paraId="3E228F78" w14:textId="77777777" w:rsidR="00090D02" w:rsidRPr="00640820" w:rsidRDefault="00090D02" w:rsidP="00640820">
      <w:pPr>
        <w:spacing w:after="0" w:line="240" w:lineRule="auto"/>
        <w:jc w:val="both"/>
        <w:rPr>
          <w:rFonts w:ascii="Times New Roman" w:hAnsi="Times New Roman"/>
          <w:color w:val="000000" w:themeColor="text1"/>
          <w:sz w:val="16"/>
          <w:szCs w:val="16"/>
        </w:rPr>
      </w:pPr>
    </w:p>
    <w:p w14:paraId="4EE6CC07"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072E15CB"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E06B9C8"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5 ноября</w:t>
      </w:r>
      <w:r w:rsidRPr="00640820">
        <w:rPr>
          <w:rFonts w:ascii="Times New Roman" w:hAnsi="Times New Roman"/>
          <w:color w:val="000000" w:themeColor="text1"/>
          <w:sz w:val="16"/>
          <w:szCs w:val="16"/>
        </w:rPr>
        <w:t xml:space="preserve"> в 1941 году утреннее сообщение Совинформбюро:</w:t>
      </w:r>
    </w:p>
    <w:p w14:paraId="3311E781"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5 ноября наши войска вели бои с противником на всех фронтах.</w:t>
      </w:r>
    </w:p>
    <w:p w14:paraId="50EAFC08"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 наша часть, действующая на Калининском фронте, за один деть боёв уничтожила 15 немецких танков, 10 бронемашин, 13 орудий, несколько миномётных батарей и около 600 солдат и офицеров противника.</w:t>
      </w:r>
    </w:p>
    <w:p w14:paraId="61D39346"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Танкисты части тов. Кузнецова, действующие на Южном фронте, за один день боёв 1 ноября уничтожили 15 немецких танков, 2 орудия ПТО и более 450 солдат противника.</w:t>
      </w:r>
    </w:p>
    <w:p w14:paraId="0CC5D281"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Три месяца действует в тылу немецко-румынских войск на территории Молдавской ССР партизанский отряд тов. К. За этот срок отряд настолько вырос, что отдельные его группы превратились в самостоятельно действующие единицы, поддерживающие между собой тесную связь.</w:t>
      </w:r>
    </w:p>
    <w:p w14:paraId="1C294BD3"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Вот несколько выдержек из дневника командира отряда.</w:t>
      </w:r>
    </w:p>
    <w:p w14:paraId="774E9087"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июля. Мы в тылу у проклятых захватчиков. Сидим у реки в кустах. Мимо проходят румынские и немецкие части. Нас 5 человек и всего две винтовки.</w:t>
      </w:r>
    </w:p>
    <w:p w14:paraId="1C0B71B2"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августа. Ночью встретили отставших солдат. Короткий бой. Двое румын убиты. Добыли 2 винтовки, патроны, ручные гранаты. Теперь мы вооружены.</w:t>
      </w:r>
    </w:p>
    <w:p w14:paraId="7E158DCE"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августа.За десять дней отряд вырос в три раза. Из соседнего села П. пришёл председатель колхоза тов. Г. с сыновьями. Ночью остановили две румынские повозки. Наше вооружение становится богаче.</w:t>
      </w:r>
    </w:p>
    <w:p w14:paraId="1BEE175E"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августа.В отряде уже 39 человек. За пять дней в боях перебили ещё 40 румынских и немецких солдат. Вчера захватили два пулемёта и три грузовые машины.</w:t>
      </w:r>
    </w:p>
    <w:p w14:paraId="18032A9F"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сентября. Прошёл месяц. Четыре человека, которые были со мной первыми партизанами, сейчас являются командирами групп. Оружия у нас столько, что можем снабдить ещё пять таких же отрядов. Особенное внимание уделяем разведке. Разведчиков у нас 25 человек, все вооружены автоматами и пистолетами. Практика первых дней показала, что в отряде нужна группа подрывников для взрыва мостов, дорог и зданий. Выделили семь человек, обучаем их пользоваться румынскими и немецкими минами. За месяц уничтожили 259 румынских и немецких солдат, 17 офицеров, 4 танка, 7 бронемашин, 9 орудий 10 автомашин, 2 радиостанции, 91 конную повозку, подбили один самолёт.</w:t>
      </w:r>
    </w:p>
    <w:p w14:paraId="4C86D573"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октября. В нашей местности уже оперируют пять отрядов. Часто предпринимаем совместные выступления. Проклятые захватчики повесили трёх наших бойцов и разорили наши сёла. 15 октября разбили крупный карательный отряд, посланный немцами против нас. Пощады не даём никому: уничтожили 76 солдат, остальные бежали».</w:t>
      </w:r>
    </w:p>
    <w:p w14:paraId="6BB785C0"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городе Ньиредьхаза (Венгрия) вспыхнуло восстание среди венгерских солдат, узнавших, что их отправляют на Восточный фронт. Солдаты забаррикадировались в казармах. Между восставшими и прибывшими на усмирение жандармами произошло кровавое столкновение, во время которого убито с обеих сторон до 50 человек. В городе в связи с этим произошли демонстрации. Население города поддержало солдат, забрасывая жандармов камнями. Население Венгрии настроено враждебно против Германии, втянувшей венгров в войну. Немцы, прибывающие в Венгрию, опасаются ходить вечером по улицам городов.» (14821).</w:t>
      </w:r>
    </w:p>
    <w:p w14:paraId="7A9302F1" w14:textId="77777777" w:rsidR="00090D02" w:rsidRPr="00640820" w:rsidRDefault="00090D02" w:rsidP="00640820">
      <w:pPr>
        <w:spacing w:after="0" w:line="240" w:lineRule="auto"/>
        <w:jc w:val="both"/>
        <w:rPr>
          <w:rFonts w:ascii="Times New Roman" w:hAnsi="Times New Roman"/>
          <w:color w:val="000000" w:themeColor="text1"/>
          <w:sz w:val="16"/>
          <w:szCs w:val="16"/>
        </w:rPr>
      </w:pPr>
    </w:p>
    <w:p w14:paraId="74E4E2D7"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5 ноября</w:t>
      </w:r>
      <w:r w:rsidRPr="00640820">
        <w:rPr>
          <w:rFonts w:ascii="Times New Roman" w:hAnsi="Times New Roman"/>
          <w:color w:val="000000" w:themeColor="text1"/>
          <w:sz w:val="16"/>
          <w:szCs w:val="16"/>
        </w:rPr>
        <w:t xml:space="preserve"> в 1941 году вечернее сообщение Совинформбюро:</w:t>
      </w:r>
    </w:p>
    <w:p w14:paraId="0BDF45B9"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5 ноября наши войска вели бои с противником на всех фронтах.</w:t>
      </w:r>
    </w:p>
    <w:p w14:paraId="0F82882D"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4 ноября уничтожено 30 немецких самолётов. Наши потери — 11 самолётов.</w:t>
      </w:r>
    </w:p>
    <w:p w14:paraId="1DAEE225"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5 ноября под Москвой уничтожено 27 немецких самолётов.</w:t>
      </w:r>
    </w:p>
    <w:p w14:paraId="592656F8"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ноября наши авиачасти уничтожили и вывели из строя 80 вражеских танков, 350 автомашин с пехотой и вооружением, 15 цистерн с горючим, 13 полевых орудий, 7 батарей зенитной артиллерии, обоз из 130 повозок с военным снаряжением и до полка немецкой пехоты.</w:t>
      </w:r>
    </w:p>
    <w:p w14:paraId="2EE34468"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Частями Красной Армии и нашей авиацией, действующей на Западном фронте, в боях 2-4 ноября в районе Д. уничтожено 97 немецких танков, 184 автомашины с пехотой и военными грузами, 18 орудий, 7 цистерн с горючим и до батальона пехоты противника.</w:t>
      </w:r>
    </w:p>
    <w:p w14:paraId="5FC41B3A"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Советские партизаны наносят врагу серьёзные потери, нарушают коммуникации, прерывают связь, уничтожают живую силу противника, танки, автомашины и боеприпасы. Фашисты вынуждены охранять свой тыл крупными воинскими отрядами. В руки наших частей попал приказ командующего 11 германской армией, в котором говорится: «Партизанские группы действуют в ночное время, перед рассветом, когда внимание ослаблено. Действуют внезапно из засад. Партизаны уничтожают холодным оружием часовых, устраивают засады обозам, открывая по ним неожиданный огонь. Стреляют по самолётам вблизи от посадочных площадок в момент взлёта или посадки машин. Стреляют по лошадям артиллерии, чтобы задержать её, а затем атаковать». Вынужденное признание врага, лишний раз показывает, какой силой стало народное партизанское движение против фашистских захватчиков.</w:t>
      </w:r>
    </w:p>
    <w:p w14:paraId="01556AEC"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Наглое хозяйничанье немцев в Италии усиливает недовольство широких масс населения политикой Муссолини. Это недовольство всё чаще выражается в забастовках рабочих. 28 октября горняки Аости разгромили помещение жандармерии, убили 8 жандармов и организовали демонстрацию под лозунгами: «Долой войну! Вон немцев из Италии».</w:t>
      </w:r>
    </w:p>
    <w:p w14:paraId="44F393F6"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итальянских городах Биелла и Клузоне произошли кровавые стычки между рабочими и жандармерией.</w:t>
      </w:r>
    </w:p>
    <w:p w14:paraId="4F800EFF"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Советский народ готовит могучие боевые резервы Красной Армии. Миллионы рабочих, колхозников, служащих успешно закончили первый месяц всевобуча. Во многих районах Горьковской области по инициативе самих обучающихся количество часов военных занятий увеличено. В результате многие подразделения досрочно закончили октябрьскую программу. Сейчас бойцы изучают станковый и ручной пулемёты, успешно овладевают искусством ближнего боя.</w:t>
      </w:r>
    </w:p>
    <w:p w14:paraId="7ECC2EA4"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Всё мужское население советского Забайкалья, способное носить оружие, обучается военному делу и усиленно готовится к защите любимой родины. В городах и сёлах, на рудниках и золотых приисках оборудованы учебные городки, полигоны. С большим подъёмом проходит всевобуч на Читинском паровозоремонтном заводе имени Ворошилова. Все бойцы снабжены учебными винтовками, гранатами. Сейчас началась подготовка к лыжным походам.</w:t>
      </w:r>
    </w:p>
    <w:p w14:paraId="7A2639E4"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Успешно овладевают военными знаниями трудящиеся Приморья. В учебном отряде Ленинского района г. Владивостока бойцы хорошо изучили материальную часть винтовки и гранаты и успешно осваивают ручной и станковый пулемёты.» (14821).</w:t>
      </w:r>
    </w:p>
    <w:p w14:paraId="2787EAD2" w14:textId="77777777" w:rsidR="00090D02" w:rsidRPr="00640820" w:rsidRDefault="00090D02" w:rsidP="00640820">
      <w:pPr>
        <w:spacing w:after="0" w:line="240" w:lineRule="auto"/>
        <w:jc w:val="both"/>
        <w:rPr>
          <w:rFonts w:ascii="Times New Roman" w:hAnsi="Times New Roman"/>
          <w:color w:val="000000" w:themeColor="text1"/>
          <w:sz w:val="16"/>
          <w:szCs w:val="16"/>
        </w:rPr>
      </w:pPr>
    </w:p>
    <w:p w14:paraId="24485208" w14:textId="77777777" w:rsidR="008D3ECC" w:rsidRPr="00640820" w:rsidRDefault="008D3ECC" w:rsidP="00640820">
      <w:pPr>
        <w:pStyle w:val="ae"/>
        <w:spacing w:before="0" w:after="0"/>
        <w:jc w:val="both"/>
        <w:textAlignment w:val="baseline"/>
        <w:rPr>
          <w:color w:val="000000" w:themeColor="text1"/>
          <w:sz w:val="16"/>
          <w:szCs w:val="16"/>
        </w:rPr>
      </w:pPr>
      <w:r w:rsidRPr="00640820">
        <w:rPr>
          <w:color w:val="000000" w:themeColor="text1"/>
          <w:sz w:val="16"/>
          <w:szCs w:val="16"/>
        </w:rPr>
        <w:t>5 ноября 1941 утром был нанесен удар сразу по тринадцати немецким аэродромам, а затем в течение последующих двух дней — по пятнадцати. Потом 8 ноября в силу плохой погоды и понесенных потерь операция была приостановлена, но 12-го числа она снова возобновилась. Последние вылеты в ее рамках были произведены 15 ноября, когда ударам подверглись девятнадцать аэродромов, в том числе в Смоленске, Сещинской и Шаталове. Всего за этот период советские летчики совершили около 600 самолето-вылетов и отчитались о ста уничтоженных на земле самолетах! Еще 61 самолет якобы удалось сбить в воздушных боях. Позднее было объявлено, что в результате ударов «немецкое командование отказалось от проведения намечавшихся налетов».</w:t>
      </w:r>
    </w:p>
    <w:p w14:paraId="057FCB49" w14:textId="77777777" w:rsidR="008D3ECC" w:rsidRPr="00640820" w:rsidRDefault="008D3ECC" w:rsidP="00640820">
      <w:pPr>
        <w:pStyle w:val="ae"/>
        <w:spacing w:before="0" w:after="0"/>
        <w:jc w:val="both"/>
        <w:textAlignment w:val="baseline"/>
        <w:rPr>
          <w:color w:val="000000" w:themeColor="text1"/>
          <w:sz w:val="16"/>
          <w:szCs w:val="16"/>
        </w:rPr>
      </w:pPr>
      <w:r w:rsidRPr="00640820">
        <w:rPr>
          <w:color w:val="000000" w:themeColor="text1"/>
          <w:sz w:val="16"/>
          <w:szCs w:val="16"/>
        </w:rPr>
        <w:t>Фактически тогда бомбардировки городов в основном выполняли III./KG26, KGr.100 и I./KG28. При этом на начало ноября в первых двух группах имелось всего двадцать исправных Не-111. Поскольку все они базировались на аэродроме около железнодорожной станции Сещинская, северо-западнее Брянска, то есть в глубоком тылу, советские истребители и штурмовики просто не могли «достать» их, ну а точность ударов бомбардировщиков была еще на порядок ниже. В итоге эти три группы никаких потерь от «успешных» налетов не понесли и продолжали выполнение заданий (19522).</w:t>
      </w:r>
    </w:p>
    <w:p w14:paraId="12A662D9" w14:textId="77777777" w:rsidR="008D3ECC" w:rsidRPr="00640820" w:rsidRDefault="008D3ECC" w:rsidP="00640820">
      <w:pPr>
        <w:pStyle w:val="ae"/>
        <w:spacing w:before="0" w:after="0"/>
        <w:jc w:val="both"/>
        <w:textAlignment w:val="baseline"/>
        <w:rPr>
          <w:color w:val="000000" w:themeColor="text1"/>
          <w:sz w:val="16"/>
          <w:szCs w:val="16"/>
        </w:rPr>
      </w:pPr>
      <w:r w:rsidRPr="00640820">
        <w:rPr>
          <w:color w:val="000000" w:themeColor="text1"/>
          <w:sz w:val="16"/>
          <w:szCs w:val="16"/>
        </w:rPr>
        <w:t>11 ноября 1941 днем в ходе очередной бомбежки Москвы были убиты и ранены 94 человека. Днем 12-го, в ночь на 13-е, а также днем 14 ноября «Хейнкели» вновь совершили налеты на столицу, причем они сбрасывали тяжелые фугасные бомбы весом 1000–1800 кг. Грохот их взрывов был слышен за многие километры и производил ужасающее впечатление на москвичей. Многие впали в оцепенение, боялись ложиться спать, часами отсиживались в подвалах. Затем после однодневной паузы 16 ноября бомбежки возобновились. Днем 17 ноября московская служба МПВО зафиксировала падение на город 51 фугасной и около восьмисот зажигательных бомб.</w:t>
      </w:r>
    </w:p>
    <w:p w14:paraId="142AE292" w14:textId="77777777" w:rsidR="008D3ECC" w:rsidRPr="00640820" w:rsidRDefault="008D3ECC" w:rsidP="00640820">
      <w:pPr>
        <w:pStyle w:val="ae"/>
        <w:spacing w:before="0" w:after="0"/>
        <w:jc w:val="both"/>
        <w:textAlignment w:val="baseline"/>
        <w:rPr>
          <w:color w:val="000000" w:themeColor="text1"/>
          <w:sz w:val="16"/>
          <w:szCs w:val="16"/>
        </w:rPr>
      </w:pPr>
      <w:r w:rsidRPr="00640820">
        <w:rPr>
          <w:color w:val="000000" w:themeColor="text1"/>
          <w:sz w:val="16"/>
          <w:szCs w:val="16"/>
        </w:rPr>
        <w:t xml:space="preserve">После этого немецкие налеты действительно пошли на убыль. Но советские удары по аэродромам не имели к этому никакого отношения. В начале ноября </w:t>
      </w:r>
      <w:r w:rsidRPr="00640820">
        <w:rPr>
          <w:color w:val="000000" w:themeColor="text1"/>
          <w:sz w:val="16"/>
          <w:szCs w:val="16"/>
        </w:rPr>
        <w:lastRenderedPageBreak/>
        <w:t>командование люфтваффе приняло решение о переброске с Восточного фронта на Сицилию штабов и управлений 2-го воздушного флота и 2-го авиакорпуса. Одновременно с этим в первые две недели ноября в Германию и Францию были выведены восемь бомбардировочных авиагрупп, в том числе KGr.100, игравшая главную роль в налетах на Москву и Горький (19522).</w:t>
      </w:r>
    </w:p>
    <w:p w14:paraId="4C42B64F" w14:textId="77777777" w:rsidR="008D3ECC" w:rsidRPr="00640820" w:rsidRDefault="008D3ECC" w:rsidP="00640820">
      <w:pPr>
        <w:pStyle w:val="ae"/>
        <w:spacing w:before="0" w:after="0"/>
        <w:jc w:val="both"/>
        <w:textAlignment w:val="baseline"/>
        <w:rPr>
          <w:color w:val="000000" w:themeColor="text1"/>
          <w:sz w:val="16"/>
          <w:szCs w:val="16"/>
        </w:rPr>
      </w:pPr>
    </w:p>
    <w:p w14:paraId="61B01C4B" w14:textId="77777777" w:rsidR="00216F30" w:rsidRPr="00640820" w:rsidRDefault="00216F3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5 ноября 1941 утром был нанесен удар сразу по тринадцати немецким аэродромам, а затем в течение последующих двух дней – по пятнадцати. Потом 8 ноября в силу плохой погоды и понесенных потерь операция была приостановлена, но 12</w:t>
      </w:r>
      <w:r w:rsidRPr="00640820">
        <w:rPr>
          <w:rFonts w:ascii="Times New Roman" w:hAnsi="Times New Roman"/>
          <w:color w:val="0070C0"/>
          <w:sz w:val="16"/>
          <w:szCs w:val="16"/>
        </w:rPr>
        <w:noBreakHyphen/>
        <w:t>го числа она снова возобновилась. Последние вылеты в ее рамках были произведены 15 ноября, когда ударам подверглись девятнадцать аэродромов, в том числе в Смоленске, Сещинской и Шаталове. Всего за этот период советские летчики совершили около 600 самолето</w:t>
      </w:r>
      <w:r w:rsidRPr="00640820">
        <w:rPr>
          <w:rFonts w:ascii="Times New Roman" w:hAnsi="Times New Roman"/>
          <w:color w:val="0070C0"/>
          <w:sz w:val="16"/>
          <w:szCs w:val="16"/>
        </w:rPr>
        <w:noBreakHyphen/>
        <w:t>вылетов и отчитались о ста уничтоженных на земле самолетах! Еще 61 самолет якобы удалось сбить в воздушных боях. Позднее было объявлено, что в результате ударов «немецкое командование отказалось от проведения намечавшихся налетов».</w:t>
      </w:r>
    </w:p>
    <w:p w14:paraId="3C3A5106" w14:textId="77777777" w:rsidR="00216F30" w:rsidRPr="00640820" w:rsidRDefault="00216F3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Фактически тогда бомбардировки городов в основном выполняли III./KG26, KGr.100 и I./KG28. При этом на начало ноября в первых двух группах имелось всего двадцать исправных Не</w:t>
      </w:r>
      <w:r w:rsidRPr="00640820">
        <w:rPr>
          <w:rFonts w:ascii="Times New Roman" w:hAnsi="Times New Roman"/>
          <w:color w:val="0070C0"/>
          <w:sz w:val="16"/>
          <w:szCs w:val="16"/>
        </w:rPr>
        <w:noBreakHyphen/>
        <w:t>111. Поскольку все они базировались на аэродроме около железнодорожной станции Сещинская, северо</w:t>
      </w:r>
      <w:r w:rsidRPr="00640820">
        <w:rPr>
          <w:rFonts w:ascii="Times New Roman" w:hAnsi="Times New Roman"/>
          <w:color w:val="0070C0"/>
          <w:sz w:val="16"/>
          <w:szCs w:val="16"/>
        </w:rPr>
        <w:noBreakHyphen/>
        <w:t>западнее Брянска, то есть в глубоком тылу, советские истребители и штурмовики просто не могли «достать» их, ну а точность ударов бомбардировщиков была еще на порядок ниже. В итоге эти три группы никаких потерь от «успешных» налетов не понесли и продолжали выполнение заданий (23199).</w:t>
      </w:r>
    </w:p>
    <w:p w14:paraId="24431C9D" w14:textId="77777777" w:rsidR="00216F30" w:rsidRPr="00640820" w:rsidRDefault="00216F30" w:rsidP="00640820">
      <w:pPr>
        <w:spacing w:after="0" w:line="240" w:lineRule="auto"/>
        <w:jc w:val="both"/>
        <w:rPr>
          <w:rFonts w:ascii="Times New Roman" w:hAnsi="Times New Roman"/>
          <w:color w:val="0070C0"/>
          <w:sz w:val="16"/>
          <w:szCs w:val="16"/>
        </w:rPr>
      </w:pPr>
    </w:p>
    <w:p w14:paraId="3658C22D"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5 ноября</w:t>
      </w:r>
      <w:r w:rsidRPr="00640820">
        <w:rPr>
          <w:rFonts w:ascii="Times New Roman" w:hAnsi="Times New Roman"/>
          <w:color w:val="000000" w:themeColor="text1"/>
          <w:sz w:val="16"/>
          <w:szCs w:val="16"/>
        </w:rPr>
        <w:t xml:space="preserve"> в 1941 году немецко-фашистские войска возобновили наступление на тихвинском направлении под Ленинградом. Началась Ростовская оборонительная операция войск Южного фронта (генерал-полковник Я.Т.Черевиченко) и 56-й отдельной армии, продолжавшаяся до 16 ноября (14821).</w:t>
      </w:r>
    </w:p>
    <w:p w14:paraId="061E0B26" w14:textId="77777777" w:rsidR="00090D02" w:rsidRPr="00640820" w:rsidRDefault="00090D02" w:rsidP="00640820">
      <w:pPr>
        <w:spacing w:after="0" w:line="240" w:lineRule="auto"/>
        <w:jc w:val="both"/>
        <w:rPr>
          <w:rFonts w:ascii="Times New Roman" w:hAnsi="Times New Roman"/>
          <w:color w:val="000000" w:themeColor="text1"/>
          <w:sz w:val="16"/>
          <w:szCs w:val="16"/>
        </w:rPr>
      </w:pPr>
    </w:p>
    <w:p w14:paraId="499E594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период с 5 по 8 ноября 1941 авиасилы Кали</w:t>
      </w:r>
      <w:r w:rsidRPr="00640820">
        <w:rPr>
          <w:rFonts w:ascii="Times New Roman" w:hAnsi="Times New Roman"/>
          <w:color w:val="000000" w:themeColor="text1"/>
          <w:sz w:val="16"/>
          <w:szCs w:val="16"/>
        </w:rPr>
        <w:softHyphen/>
        <w:t>нинского, Западного и Брян</w:t>
      </w:r>
      <w:r w:rsidRPr="00640820">
        <w:rPr>
          <w:rFonts w:ascii="Times New Roman" w:hAnsi="Times New Roman"/>
          <w:color w:val="000000" w:themeColor="text1"/>
          <w:sz w:val="16"/>
          <w:szCs w:val="16"/>
        </w:rPr>
        <w:softHyphen/>
        <w:t>ского фронтов, а также ВВС МВО и 81 -я авиадивизия ДБА нанесли удары по 28 аэро</w:t>
      </w:r>
      <w:r w:rsidRPr="00640820">
        <w:rPr>
          <w:rFonts w:ascii="Times New Roman" w:hAnsi="Times New Roman"/>
          <w:color w:val="000000" w:themeColor="text1"/>
          <w:sz w:val="16"/>
          <w:szCs w:val="16"/>
        </w:rPr>
        <w:softHyphen/>
        <w:t>дромам. Повторные удары по 19 немецким аэродромам на</w:t>
      </w:r>
      <w:r w:rsidRPr="00640820">
        <w:rPr>
          <w:rFonts w:ascii="Times New Roman" w:hAnsi="Times New Roman"/>
          <w:color w:val="000000" w:themeColor="text1"/>
          <w:sz w:val="16"/>
          <w:szCs w:val="16"/>
        </w:rPr>
        <w:softHyphen/>
        <w:t>носились 12 и 15 ноября. Все</w:t>
      </w:r>
      <w:r w:rsidRPr="00640820">
        <w:rPr>
          <w:rFonts w:ascii="Times New Roman" w:hAnsi="Times New Roman"/>
          <w:color w:val="000000" w:themeColor="text1"/>
          <w:sz w:val="16"/>
          <w:szCs w:val="16"/>
        </w:rPr>
        <w:softHyphen/>
        <w:t>го было выполнено около 600 с амолпто-вылетов (10783).</w:t>
      </w:r>
    </w:p>
    <w:p w14:paraId="5AD362D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83A3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5-8 ноября 1941 опять провели операцию по уничтожению авиации на аэродромах чтобы предотвратить массированный налет на Москву и предотвратить завоевание господства в воздухе. Задействовали до 300 самолетов для удара по 19 аэродромам. 5 ноября бомбили 13, а 6 и 7 - 15. Повторили 12 и 15 ноября. Всего сделали 600 самолето-вылетов и уничтожили до 100 и сбили 61 (340,62).</w:t>
      </w:r>
    </w:p>
    <w:p w14:paraId="272363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3A17A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ноября 1941 12 У-2 западной авиагруппы под управлением л ГВФ бомбили Дорохово и это было первым боевым применением У-2 на ЗФ (4543, 22).</w:t>
      </w:r>
    </w:p>
    <w:p w14:paraId="34DE20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88966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ноября 1941 11 шап ЧМФ (у ЧМФ из 44 истребителей почти половину составляли И-5) двумя группами в сумме 20 И-5 штурмовали скопление техники и склады в сажах Бельбекской долины у Байдарских ворот. Прикрывало 6 И-16. Сбили один Ме-109 (7498, 33).</w:t>
      </w:r>
    </w:p>
    <w:p w14:paraId="5A2CA3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D9578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ночь на 5 ноября 1941 г. отправился в боевой вылет на Ленинград и не вернулся Не 111 Н-5 (w/n 3816, борт 5J+DM) из 1./KG 4 “Генерал Вефер”. Его сбил на И-153 командир звена 26-го ИАП мл. л-т Севастьянов Алексей Тихонович. Он атаковал противника в лучах прожекторов на высоте около 5000 м и, когда закончился боезапас, врезался в правую плоскость бомбардировщика, который рухнул в Таврическом саду. Советский летчик спасся на парашюте, вражеский экипаж также избежал гибели и попал в плен. Севастьянов погиб в воздушном бою над “Дорогой жизни” 23 апреля 1942 г. и посмертно был удостоен звания Героя Советского Союза (10205).</w:t>
      </w:r>
    </w:p>
    <w:p w14:paraId="6A47E4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323689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ноября 1941 г. капитан Н.Т.Хрусталев штурмо-вал танки и пехоту немцев в Бельбекской долине на И-5. Когда его машину подожгли, он направил ее на скопление не</w:t>
      </w:r>
      <w:r w:rsidRPr="00640820">
        <w:rPr>
          <w:rFonts w:ascii="Times New Roman" w:hAnsi="Times New Roman"/>
          <w:color w:val="000000" w:themeColor="text1"/>
          <w:sz w:val="16"/>
          <w:szCs w:val="16"/>
        </w:rPr>
        <w:softHyphen/>
        <w:t>мецкой техники (10667).</w:t>
      </w:r>
    </w:p>
    <w:p w14:paraId="6071650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3E23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ноября 1941 началось наступление немцев на Ростов (512,160).</w:t>
      </w:r>
    </w:p>
    <w:p w14:paraId="5FD92A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9519A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5 по 16 ноября 1941 была ростовская оборонительная операция. Не позволили прорваться на Кавказ (2443,82).</w:t>
      </w:r>
    </w:p>
    <w:p w14:paraId="3AAC5A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1272A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ноября 1941 мы оставили Ханко (512,58).</w:t>
      </w:r>
    </w:p>
    <w:p w14:paraId="568CC2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10111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ноября 1941 в 01.05 автозаводцы услышали уже хорошо знакомое завывание падающих бомб. Не заставили себя ждать и новые взрывы. Две полутонные фугаски упали с южной стороны завода. Была разрушена контора бензосклада, расположенные там бараки получили многочисленные повреждения. Бомба SC250 взорвалась у гаража в районе щелей ремонтно-механического цеха, повредив парк автотягачей и склад резины. Еще одна фугасная бомба крупного калибра угодила в восточную половину электроцеха ТЭЦ, полностью разрушив ее. От взрывной волны в соседнем цехе № 7 и 10-м отделе вылетели все стекла. Взрывная волна также накрыла южную сторону кузнечно-рессорного корпуса, выбив все стекла и повредив стены. В 01.20 по местному времени в небе над Горьким вновь послышался узнаваемый гул моторов, и вскоре автозавод сотряс еще один мощный взрыв. На сей раз бомба SC1000 упала во дворе хозутиль-цеха. Сильная взрывная волна прокатилась по всему заводу. Были уничтожены бытовые постройки уже пострадавшего днем ремонтно-механического цеха, уничтожены пять газогенераторных автомашин, разрушен сарай и жилой барак. Сильные повреждения также получил профтехкомбинат. И, что самое печальное, вновь пополнился список убитых и раненых автозаводцев. Спустя час очередная бомба крупного калибра разорвалась в литейном корпусе, нанеся ему крупные разрушения. Обвалился северо-восточный угол земледелки, были уничтожены конвейер № 1 и стержневое отделение. Остальные конвейеры получили различные повреждения. Кроме того, в здании выбило все стекла, разнесло промразводки и оборвало кабели. Пострадал и жилой сектор Автозаводского района. В Американском поселке прямым попаданием бомбы был уничтожен дом № 5. Еще пять фугасок разорвались на ул. Октябрьской, были частично разрушены фабрика-кухня и жилой дом. Еще семь фугасных бомб упали в районе поселков Гнилицы и Нагулино. На Стахановский поселок немецкие самолеты сбросили около 250 зажигательных бомб, но все они упали в поле, не причинив серьезного вреда. Больше всех досталось киноконцертному залу на шоссе Энтузиастов. От близких разрывов восьми 50-кг бомб в здании были выбиты все стекла вместе с оконными рамами, выведена из строя электропроводка, частично обрушились стены. Казалось, налетам и жертвам не будет конца, что немцы решили последовательно разрушать цех за цехом. И действительно, за прошедшие сутки различные повреждения уже получили 14 объектов завода. Напуганные жители Автозаводского района и большинство рабочих отсиживались в щелях и бомбоубежищах, у многих от страха уже началась истерика. Но следующие часы прошли спокойно, и бомбежки прекратились (11774).</w:t>
      </w:r>
    </w:p>
    <w:p w14:paraId="50F754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 в течение суток, с 01.40 4 ноября по 02.15 5 ноября, бомбардировщики из KGr. 100, III./KG26 и I./KG28 совершили восемь налетов на Горький, сбросив на него около 80 фугасных бомб разных калибров и мин. В результате были серьезно повреждены три предприятия, причем радиотелефонный завод им. Ленина и минометный завод № 718 «Двигатель революции» были полностью выведены из строя на неопределенный срок. Точное число жертв из-за халатного и откровенно наплевательского отношения к их учету так и осталось неизвестным, но на основании различных обрывочных данных можно предположить, что тогда погибли не менее 300 человек. Зенитные батареи за прошедшие сутки выпустили свыше 13 тыс. снарядов, в т.ч. 6691 шт. кал. 85-мм, 6043 шт. кал. 76-мм и 342 шт. малого калибра, пулеметчики всадили в небо 4620 пуль. Однако огонь велся беспорядочно и хаотично, не принеся бомбардировщикам никакого вреда. Потери имелись и в частях зенитной артиллерии. Пулеметным огнем с бомбардировщиков в 196-м ЗенАП были ранены два средних командира и семь бойцов. Истребительная авиация произвела в общей сложности 44 самолето-вылета, но и летчики не сбили ни одного вражеского самолета. Поутру начальник штаба Горьковского бригадного района ПВО подполковник Савко, видимо, боясь ответственности за безнаказанное разрушение немцами ряда производственных объектов, составил откровенно лживую и фантастическую оперативно-разведывательную сводку № 71, в которой «с потолка» указал немыслимое количество якобы участвовавших в налетах бомбардировщиков: «В течение второй половины 4ив ночь на 5ноября противник вел разведывательные и бомбардировочные действия группами от 3 до 12 самолетов и одиночными самолетами типаХе-111, Ю-88. Бомбардировке подверглись Горький, Дзержинск, Козьмодеменск, д. Козине, д. Усмань, д. Юрино. В результате огня ЗА и боя ИА на Горький прорвались 11 самолетов из 150—160. Сброшено 100 ФАБ и 20 ЗАБ, большая часть на подступахк автозаводу и заводу № 21. Среди гражданского населения убито 35 чел., ранено 230 человек… Разрушено несколько жилых зданий, моторный и ремонтно-механический цеха на автозаводе и несколько цехов других заводов Горького».</w:t>
      </w:r>
    </w:p>
    <w:p w14:paraId="3B6E78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действительности же Сещинская группировка Люфтваффе совершила за сутки на бомбардировку Горького 13 самолето-вылетов и еще два – для атаки городов и поселков восточнее города. Утром 5 ноября собралось на экстренное совещание бюро Горьковского обкома ВКП(б). После выяснения общих результатов вчерашних налетов было принято постановление о ликвидации последствий бомбардировки на радиотелефонном заводе им. Ленина и ГАЗе. Начальнику МПВО Горького поручили выступить по радио с информационным сообщением. Утренние газеты же вышли без единого намека на трагические события. Так, «Горьковская коммуна», ни слова не сообщая о продолжавшихся в течение суток налетах на город, поместила огромную статью «В фонд обороны Родины», в которой говорилось, как  «горьковчанка М. П. Панфилова сдала в фонд обороны рояль, рабочий товарищ Мальцев – персональную легковую автомашину М-1, полученную в качестве премии от наркомата, учительница школы № Зг.Богородска Е.И. Ичина – золотое кольцо итри ложки. Член колхоза „Красный металлист“ Больше-Болдинского района М.Д. Ямцева сдала упитанного барана» и т.п. Рабочие завода «Двигатель революции» занялись раскопками силовой станции. Поначалу казалось, что на месте здания </w:t>
      </w:r>
      <w:r w:rsidRPr="00640820">
        <w:rPr>
          <w:rFonts w:ascii="Times New Roman" w:hAnsi="Times New Roman"/>
          <w:color w:val="000000" w:themeColor="text1"/>
          <w:sz w:val="16"/>
          <w:szCs w:val="16"/>
        </w:rPr>
        <w:lastRenderedPageBreak/>
        <w:t>осталась лишь груда обломков, но потом оказалось, что частично уцелели компрессоры, которые по внешнему осмотру показались пригодными для ремонта. Временное питание цехов энергией было решено обеспечить от уцелевшей подстанции термического цеха. Исключением был литейный цех, к нему надо было вести новую линию. Питание постоянным током можно было в какой-то мере обеспечить от двух быстроходных дизелей по 130 л. с, соединенных последовательно. Одновременно с этим рабочие простаивавших цехов весь день забивали оконные проемы и световые фонари досками, а затем делали примитивное утепление. Поскольку целых стекол нигде не осталось, пришлось заколотить все окна. Подсчет убытков, причиненных бомбежками, составил весьма печальную картину. Всего взрывами и пожарами были уничтожены шестнадцать электромоторов, девять генераторов, одиннадцать трансформаторов, десять компрессоров, гидравлический пресс, три сверлильных станка, четыре мостовых крана, четыре котла, четыре паровых насоса. Общая мощность выведенных из строя генераторов составила 1250 кВт, мощность уничтоженных дизель-генераторов – 1730 л. с. Кроме того, были пробиты четыре водяных и один нефтяной трубопроводы, воздухопровод и другие коммуникации. Сгорел весь чертежный архив отдела главного механика, что затрудняло ремонт оборудования, имеющего длительные сроки эксплуатации, особенно немецкого производства. Помимо этого, были уничтожены десятки тысяч деталей военной продукции на сумму около 1,5 млн руб., в т.ч. 1300 стабилизаторов, 2289 крышек-сопел и 521 камера для реактивных снарядов М-8,1306 крышек-сопел, 4500 стабилизаторов, 436 камер и 13 010 свечей для реактивных снарядов М-13. Общие же убытки от бомбардировки составили 4,215 млн руб. Возникли и определенные проблемы с рабочей силой. После бомбежки с завода убежали сотни людей, из них 189 – безвозвратно. Вследствие этого отдельные участки цехов попросту опустели. На заводе им. Ленина продолжались спасательные работы на развалинах главного корпуса. Большие глыбы растаскивали «полуторками» и тракторами, а мелкие обломки – вручную. Сварщики резали погнувшуюся и искореженную арматуру.  «Самое неприятноеощущение испытывали, когда, разгребая щебенку, понимали, что лопата упиралась в мякоть женской или мужской ноги», — вспоминал потом Борис Увяткин, работавший тогда ведущим инженером на предприятии. Часть людей по-прежнему оставались под завалами и получали воду и пищу через небольшое отверстие. На ГАЗе весь день тоже прошел в раскопках. Рабочие разбирали завалы и груды обломков, выискивая уцелевшее оборудование. Попутно велся поиск трупов. Наиболее страшная картина наблюдалась в разрушенном ремонтно-механическом цехе. Члены команд МПВО то и дело выносили завернутые в брезент изуродованные человеческие останки, предъявляя их на опознание собравшимся здесь родственникам. Кто-то узнавал своих по оторванной кисти руки с часами, кто-то по куску ноги с ботинком. Многие трупы вообще не подлежали опознанию. Один из очевидцев потом вспоминал:  «Это было страшное зрелище. Вот мать узнает свою дочь по окровавленному платку и сережке. У женщины тут же начинается истерика, ее подхватывают под руки другие рыдающие родственники…» Затем опознанные останки грузили на грузовики и везли на Автозаводское кладбище. Большая же часть завода, несмотря на повреждения, продолжала работать. К счастью, ТЭЦ уцелела и подача электричества и пара в цеха шла без перебоев (11774).</w:t>
      </w:r>
    </w:p>
    <w:p w14:paraId="180207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0F186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5 ноября 1941 ближе к ночи страху добавили завывшие повсюду гудки воздушной тревоги. Большинство свободных от работы жителей, собрав все самые ценные вещи в котомки, тут же отправились в щели и подвалы, но работники предприятий продолжали трудиться. В Балахне, вслед за Горьким, тоже объявили тревогу, но электростанция работала в обычном режиме. В 23.34 по местному времени приборы диспетчерского пункта ГОРЭК (Горьковский энергокомбинат) отметили толчок короткого замыкания, сопровождавшийся снижением напряжения. На Балахнинской ГРЭС автоматически отключились ЛЭП № 105, 107,108, идущие в направлении Горького, и фидер № 608 Горсетей Балахны. Одновременно с этим на подстанции 0-6 отключились ЛЭП №№ 108 и 109. В результате подстанции 0-7 и 0-3 остались без напряжения, и тут же из-за параллельной работы с системой ГОРЭК вышли из строя вся ТЭЦ-8 и один генератор ТЭЦ-10. Вслед за этим из города по телефону передали, что в большинстве районов погас свет, остановились станки и оборудование на предприятиях. Водозаборы на Волге и на Оке сразу же прекратили работу. Со станции немедленно были высланы аварийные команды для разведки, приступившие к работе в полночь. Через час стали поступать первые донесения. Оказалось, что все вышедшие из строя линии имеют такие повреждения, что быстро включить их в работу было невозможно, за исключением ЛЭП №105. На линии № 108 в пролетах между опорами № 152—158 провод в пяти местах был оборван полностью и поврежден еще в 21 месте. В пролетах опор № 2—4 в семи местах были оборваны алюминиевые жилы, а в пяти местах тросы сорвало полностью. Опора № 153 была повалена взрывной волной. Передвигаясь в кромешной тьме с фонариками, ремонтники находили все новые следы разрушений – воронки от бомб и кучи оборванных проводов. При осмотре ЛЭП № 109 оказалось, что в пролетах опор № 21—24 в семи местах провода полностью оборваны. В пролетах между опорами № 216—219 в семи местах тоже был зафиксирован полный обрыв проводов осколками. При этом в одном месте кусок подземного кабеля длиной два метра прямым попаданием бомбы был  «отброшен так, что не найден». Всего под линиями в разных местах аварийные команды обнаружили девять бомбовых воронок. Восстановление линий электропередач началось немедленно, однако отремонтировать первую ЛЭП удалось лишь через 11,5 часа! Тем временем в самом Горьком, погруженном в темноту, царило напряженное ожидание бомбежки. После послышавшейся было стрельбы зениток в полночь опять все стихло. Кто-то даже подумал:  «Неужто отогнали фашистов?» Другие говорили, что помогло, мол, затемнение – немец мимо пролетел. А после часа ночи часть людей, замерзнув в холодных щелях, даже стала возвращаться в свои дома и бараки. Однако успокаиваться было рано. Около 01.30 вновь началась зенитная стрельба, и вскоре в небе послышался зловещий гул немецких самолетов. «Хейнкели» шли на город мелкими группами и поодиночке, ориентируясь по руслу Оки и хорошо просматривавшемуся полотну железной дороги Москва – Горький. Осветительные бомбы не использовались, поэтому штурман каждого самолета должен был распознать цель по близлежащим ориентирам. Основной удар опять наносился по Горьковскому автозаводу. Первые бомбы разорвались в 01.47 в поселке Адмцентр. Через три минуты тяжелая фугасная бомба попала в заготовительный участок прессового цеха, проломила крышу на площади 100 кв. м, ударилась в балку и взорвалась под потолком. Следом две бомбы упали на главный сборочный конвейер, разрушив отделения разделки под дерево и пошивки. При этом рухнула часть капитальной стены, отделяющей прессовый цех. Еще одна тяжелая фугасная бомба взорвалась рядом с главной конторой ГАЗа. Взрывной волной вышибло стекла в здании, а также в завкоме РАП, комитете ВЛКСМ и яслях. В 02.07 бомба SC500 попала в механический цех № 2, разрушив северо-западный угол здания. При этом погибли четыре человека. Вторая фугаска взорвалась в каркасном цехе, разрушив прессовый участок, столярную и малярную мастерские. Еще один мощный взрыв прогремел в здании электроподстанции ремонтно-механического цеха. В нем обрушились перекрытия на площади 80 кв. м, ударной волной были снесены здания конторы отделов архитектора и техники безопасности. Одновременно с этим на юго-западную часть завода посыпались зажигательные бомбы, сразу вызвавшие большое количество пожаров. Несколько десятков зажигалок упало на бытовые помещения РМЦ, здание кузницы № 2, модельный цех, компрессорную станцию и прилегающую территорию. Крыша моторного цеха № 3 была сделана из дерева и утеплена различными горючими материалами. Часть термитных бомб пробила ее и упала на пол цеха, где их быстро потушили бойцы унитарных команд. Однако большинство зажигалок застряли в утеплителе, и крыша быстро загорелась. Через несколько минут вся кровля уже пылала огромным факелом, тушить который не представлялось никакой возможности. Затем пламя перекинулось во внутренние помещения, и весь цех охватил пожар. Сгорели все бытовые помещения, оконные переплеты, столовая и душевые, а также склад готовых моторов, склад деталей и смежных производств, инструментальные кладовые. Сильно обгорело и оборудование цеха. Кузница № 2 и компрессорная станции сгорели полностью, бытовые помещения ремонтно-механического цеха обгорели наполовину.В корпусе кузницы огонь уничтожил 18 молотов, а также всю систему отопления и освещения. Крыша главной конторы тоже была буквально засыпана зажигательными бомбами. Команды МПВО немедленно приступили к тушению, однако удалось обнаружить не все очаги пожаров. Одна бомба В1 удивительным образом попала в вентиляционную шахту и застряла там. Поскольку четырехэтажное здание имело пустотные перекрытия, возникшее в вентиляции пламя постепенно распространилось по верхним этажам, и пожар принял опасные размеры. Тем не менее усилиями подоспевших бойцов ВПЧ № 20 огонь удалось остановить между вторым и третьи этажами. Выгорела лишь верхняя часть здания и крыша. После попадания большого числа зажигательных бомб сильный пожар охватил гараж завода, тушение которого из-за нехватки воды оказалось невозможным. В итоге сгорели размещавшиеся там ремонтная база, материальный склад и весь заводской автопарк, состоявший из 80 различных автомобилей. От близкого разрыва фугасных бомб у главной конторы и хозутильцеха стены дали трещины и покосились. Много зажигалок попали в бараки, расположенные у западного угла автозавода в районе профтехкомбината. В них проживали эвакуированные из Москвы граждане. Опасаясь за свое имущество, во время налета они отказывались идти в укрытия. В ходе возникшего сильнейшего пожара многие из москвичей оказались отрезанными от выходов, прыгали из окон, но многие все же сгорели заживо вместе со своим скарбом. Всего здесь полностью выгорели восемь бараков, а также расположенное неподалеку овощехранилище. Сильно пострадал и цех серого чугуна. В результате попаданий тяжелых фугасных бомб в железобетонных перекрытиях образовались пробоины диаметром 10 м, были проломлены горизонтальные балки, пол, выбиты ворота, выведена из строя система водоснабжения и отопления, разрушен склад готовой продукции. От взрывной волны пострадал и соседний цех № 8. В ликвидации пожаров и последствий налета на автозаводе принимали участие девять автонасосов и один пожарный поезд, а также почти 1800 человек из различных частей, в т.ч. 68 – из участковых команд МПВО ГАЗа, 1500 – из воинских частей, 58 – из райотдела милиции, 30 членов сандружины, 10 бойцов истребительного батальона и 27 бойцов из противопожарной службы города. Одновременно с налетом на ГАЗ германские бомбардировщики нанесли удары и по другим районам Горького. На Сормовский район были сброшены восемь фугасных бомб. Ими был частично разрушен вагоноколесный цех завода «Красное Сормово», производивший снаряды для гаубичной артиллерии, а также заправочная колонка для паровозов. Пострадал и жилой сектор, в частности дом на ул. Калинина. Шесть фугасных бомб упали рядом с авиазаводом № 21 в Кагановичском районе, разрушив жилые бараки и один частный дом. Еще три взрыва прогремели на территории Сормовского парка, расположенного в двухстах метрах от предприятия. И лишь несколько зажигалок упали на здания завода. Здесь, вероятно, сказалась хорошая маскировка производственных корпусов, из-за которой штурманы «Хейнкелей» не смогли четко распознать цель. Одна бомба SC500 попала в кузнечно-прессовый цех артиллерийского завода № 92. Пробив крышу, она угодила в станок, провалившийся от сильного удара в подвал вместе с женщиной, работавшей на нем, но не взорвалась. Еще один Не-111 отбомбился по нагорной части города, сбросив четыре фугаски на Ждановский район, в районе Сенного базара. Всего в ночь на 6 ноября на Горький, по данным службы МПВО, были сброшены 32 тяжелых фугасных и несколько сотен зажигательных бомб. Точное число погибших опять осталось неизвестным, а служба МПВО ГАЗа представила откровенно заниженные данные: пять погибших и 21 раненый. Фактически жертв было по крайней мере в десять раз больше. На этот раз зенитные батареи Горьковского бригадного района ПВО выпустили девять тысяч снарядов, в т.ч. 85-мм – 4341 шт., 76-мм – 3525 шт. и малого калибра – 1399 шт. Истребители из 2-го запасного ИАП и авиаотряда майора Алифанова выполнили 11 самолето-вылетов, однако все бомбардировщики смогли </w:t>
      </w:r>
      <w:r w:rsidRPr="00640820">
        <w:rPr>
          <w:rFonts w:ascii="Times New Roman" w:hAnsi="Times New Roman"/>
          <w:color w:val="000000" w:themeColor="text1"/>
          <w:sz w:val="16"/>
          <w:szCs w:val="16"/>
        </w:rPr>
        <w:lastRenderedPageBreak/>
        <w:t>благополучно вернуться обратно в Сещинскую. Зато один ЛаГГ-3 авиазавода № 21 совершил вынужденную посадку на аэродроме в Сейме. Таким образом, в течение двух суток из девяти самолетов авиаотряда четыре получили различные повреждения и требовали ремонта. А наутро начальник штаба бриграйона подполковник Савко состряпал очередное «донесение» для начальства под названием «Оперативно-разведывательная сводка №72», в которой указал:  «С 20.00 5.11.41 по 2.38 6.11.41 противник произвел разведывательные и бомбардировочные действия группами (3—15) и одиночными самолетами типа Хе-111, Ю-88, и Ю-86. Из 136 самолетов к городу прорвались 14. Сброшено крупных фугасных бомб – 16, малых до 600, зажигательных – 800. В черте города упали 22 бомбы, остальные на дальних и ближних подступах».  Сводка явно составлялась наспех, так сказать, по горячим следам. В ней, помимо Ju-88, за которые еще можно было в темноте принять «Хейнкели», упоминались даже старые бомбардировщики Ju-86, снятые с вооружения бомбардировочных эскадр Люфтваффе еще весной 1939 г. Ясно, что никто толком и не считал точного числа сброшенных бомб и круглые фантастические цифры 600 и 800 были взяты с потолка. В сводке же Главного командования Вермахта сообщалось, что в течение прошлого дня бомбардировщики  «нанесли сильные удары по г. Горький – важному промышленному центру, играющему большую роль в производстве автомобилей и самолетов. В результате прямых попаданий тяжелых авиабомб значительные разрушения причинены автозаводу им. Молотова, судостроительному заводу на берегу Волги, а также железнодорожным коммуникациям. Возникло несколько крупных очагов пожаров».  Таким образом, немцы тоже несколько приукрасили свои успехи. Насчет  «значительных разрушений», причиненных ГАЗу, и  «крупных очагов пожаров» заявления соответствовали действительности, а вот про «Красное Сормово» и железные дороги они явно дофантазировали, видимо, поверив оптимистическим донесениям своих летчиков (11774).</w:t>
      </w:r>
    </w:p>
    <w:p w14:paraId="6CBE1C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предприятиях спешно устраняли последствия первых бомбардировок. Однако из-за нехватки ресурсов полностью восстановить работу заводов уже не представлялось возможным до конца войны. В первую очередь это касалось завода «Двигатель революции», который практически прекратил работу и полностью сорвал выпуск 120-мм минометов и реактивных снарядов для «Катюш».</w:t>
      </w:r>
    </w:p>
    <w:p w14:paraId="544C90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Ситуация усугублялась еще и тем, что, помимо основной продукции, предприятие было одним из поставщиков артиллерийского завода № 92. Несмотря на оказанную последним большую помощь по восстановлению сгоревшего чугунолитейного цеха, тот фактически не работал и литья заводу им. Сталина не давал. При проектной мощности 1200 т в месяц цех и до ноября не справлялся с заданиями и выдавал не более 900 т, а после бомбежки ситуация стала еще хуже. За декабрь артиллерийский завод получил от чугунолитейного цеха № 6 всего 150 т литья. Из-за нехватки изложниц завод № 92 имел большой процент брака высоколегированного металла для орудийных труб, из-за отсутствия приспособлений, станин протяжных станков и станков для заточки протяжек из чугунного литья срывалось проведение большой модернизации, задуманной руководством, и в итоге срывалось увеличение выпуска пушек.</w:t>
      </w:r>
    </w:p>
    <w:p w14:paraId="185F55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Косвенно пострадал от бомбардировки и танковый завод № 112 «Красное Сормово». Выпуск коробок переключения передач для средних танков Т-34 первоначально был поручен также заводу «Двигатель революции». Однако после налета их производство здесь стало невозможным, и оно было спешно передано соседнему станкозаводу № 113, но там к серийному производству КПП оказались не готовы. Это тормозило выпуск средних танков. Так, за 19 дней ноября сормовичи выпускали в среднем полтора танка в сутки, что явно не отвечало потребностям фронта.</w:t>
      </w:r>
    </w:p>
    <w:p w14:paraId="1C6DF3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Производство также лимитировала подача моторов М-17т с ГАЗа, на котором цеха соответствующего профиля тоже пострадали от бомбежки. За указанный период были получены лишь 22 коробки скоростей и 34 мотора. При этом качество последних было очень низким и порой совершенно негодным. На самом автозаводе в результате налетов также возникли трудности с производством грузовиков, легких танков Т-60, минометов и снарядов. Радиотелефонный завод № 197 им. Ленина формально «работал», но продукцию для армии в течение ноября и далее почти не сдавал.</w:t>
      </w:r>
    </w:p>
    <w:p w14:paraId="412BE4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Таким образом, благодаря успешным действиям бомбардировочной авиации Люфтваффе в Горьком значительно затормозилось производство 82-мм и 120-мм минометов, артиллерийских орудий ЗиС-3 и средних танков Т-34, артиллерийских и реактивных снарядов, а также полевых радиостанций и телефонов. В период решающих боев под Москвой это имело огромное стратегическое значение. Всю вину за срыв поставок фронту легче всего было возложить на руководство заводов, пострадавших от бомбежки. Директор завода им. Ленина погиб, посему спросить было не с кого, а вот его коллега с «Двигателя революции» получил по полной программе. 22 ноября постановлением ГКО  «за срыв заданий правительства об организации производства минометов» В. П. Суслов был снят с занимаемой должности и арестован органами НКВД. В январе 1942 г. военным трибуналом г. Горького он был осужден на 10 лет лишения свободы с поражением в правах на 5 лет.</w:t>
      </w:r>
    </w:p>
    <w:p w14:paraId="4BE57E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Восстановл ение Горьковского автозавода им. Молотова было поручено вновь сформированному тресту ОСМЧ «Стройгаз» № 2. В первую очередь рабочие взялись за восстановление механосборочного и литейного корпусов, а также ремонтно-механического цеха. Поскольку в большинстве зданий взрывной волной были выбиты стекла световых фонарей и оконных переплетов, пришлось ударными темпами забить их досками, утеплив при этом опилками. При этом никто не подумал, целесообразно ли использовать для этих целей горючие материалы. Полное восстановление всех пострадавших зданий предполагалось завершить лишь во II квартале 1942 г.</w:t>
      </w:r>
    </w:p>
    <w:p w14:paraId="3E26B1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соседний завод «Двигатель революции» прислали 1-й полк МПВО из Москвы. Чтобы обеспечить хоть какую-то работу, трансформаторный пункт с трансформатором 400 кВт устроили времянкой на месте бывшей центральной подстанции завода, разрушенной бомбардировкой. По своему состоянию он, конечно же, не соответствовал правилам технической эксплуатации. Второй трансформаторный пункт находился в удовлетворительном состоянии, но его трансформатор 1000 кВт печного типа имел нестандартное вторичное напряжение 200 В. Он был установлен в 1940 г. специально для индукционных печей термического цеха, и только после разрушения центральной подстанции его пришлось использовать для освещения и работы моторов. Это создавало большие неудобства, особенно для работы электросварочных аппаратов, которые в большинстве своем пришлось перематывать на пониженное напряжение сети. Все питательные сети в цехах завода также были выполнены по временным схемам (11774).</w:t>
      </w:r>
    </w:p>
    <w:p w14:paraId="6D6919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4103F6A"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2E5DB347"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BB388A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ноября 1941 в Детройте специальный посол Англии лорд Галифакс забросан яйцами в связи с протестами против попыток Англии втянуть США во вторую мировую войну (4962).</w:t>
      </w:r>
    </w:p>
    <w:p w14:paraId="118F458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6BA02A"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5 ноября</w:t>
      </w:r>
      <w:r w:rsidRPr="00640820">
        <w:rPr>
          <w:rFonts w:ascii="Times New Roman" w:hAnsi="Times New Roman"/>
          <w:color w:val="000000" w:themeColor="text1"/>
          <w:sz w:val="16"/>
          <w:szCs w:val="16"/>
        </w:rPr>
        <w:t xml:space="preserve"> в 1941 году меморандум начальника штаба американской армии генерала Дж.Маршалла и начальника штаба американского флота адмирала Г.Старка президенту Рузвельту, предлагавший продолжать политическое маневрирование с целью оттягивания конфликта с Японией (14821).</w:t>
      </w:r>
    </w:p>
    <w:p w14:paraId="7BEC4DB6" w14:textId="77777777" w:rsidR="00090D02" w:rsidRPr="00640820" w:rsidRDefault="00090D02" w:rsidP="00640820">
      <w:pPr>
        <w:spacing w:after="0" w:line="240" w:lineRule="auto"/>
        <w:jc w:val="both"/>
        <w:rPr>
          <w:rFonts w:ascii="Times New Roman" w:hAnsi="Times New Roman"/>
          <w:color w:val="000000" w:themeColor="text1"/>
          <w:sz w:val="16"/>
          <w:szCs w:val="16"/>
        </w:rPr>
      </w:pPr>
    </w:p>
    <w:p w14:paraId="336E32E2" w14:textId="77777777" w:rsidR="00090D02" w:rsidRPr="00640820" w:rsidRDefault="00090D02"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5 ноября</w:t>
      </w:r>
      <w:r w:rsidRPr="00640820">
        <w:rPr>
          <w:rFonts w:ascii="Times New Roman" w:hAnsi="Times New Roman"/>
          <w:color w:val="000000" w:themeColor="text1"/>
          <w:sz w:val="16"/>
          <w:szCs w:val="16"/>
        </w:rPr>
        <w:t xml:space="preserve"> в 1941 году императорская ставка Японии отдала приказы о завершении непосредственной подготовки к нападению на США и Великобританию (14821).</w:t>
      </w:r>
    </w:p>
    <w:p w14:paraId="25A2D401" w14:textId="77777777" w:rsidR="00090D02" w:rsidRPr="00640820" w:rsidRDefault="00090D02" w:rsidP="00640820">
      <w:pPr>
        <w:spacing w:after="0" w:line="240" w:lineRule="auto"/>
        <w:jc w:val="both"/>
        <w:rPr>
          <w:rFonts w:ascii="Times New Roman" w:hAnsi="Times New Roman"/>
          <w:color w:val="000000" w:themeColor="text1"/>
          <w:sz w:val="16"/>
          <w:szCs w:val="16"/>
        </w:rPr>
      </w:pPr>
    </w:p>
    <w:p w14:paraId="72AC044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ноября 1941 японское командование отдало приказ о начале подготовки ВМФ к внезапному нападению на США (4962).</w:t>
      </w:r>
    </w:p>
    <w:p w14:paraId="4C2CF06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10A7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ноября 1941 Императорская конференция Японии приняла решение начать в первых числах декабря военные действия против США (3186).</w:t>
      </w:r>
    </w:p>
    <w:p w14:paraId="60FD20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9DBEA8F"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34C25BFF"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F501CA1" w14:textId="77777777" w:rsidR="00090D02" w:rsidRPr="00640820" w:rsidRDefault="00090D02" w:rsidP="00640820">
      <w:pPr>
        <w:tabs>
          <w:tab w:val="left" w:leader="dot" w:pos="7274"/>
        </w:tabs>
        <w:spacing w:after="0" w:line="240" w:lineRule="auto"/>
        <w:jc w:val="both"/>
        <w:rPr>
          <w:rFonts w:ascii="Times New Roman" w:hAnsi="Times New Roman"/>
          <w:color w:val="000000" w:themeColor="text1"/>
          <w:sz w:val="16"/>
          <w:szCs w:val="16"/>
        </w:rPr>
      </w:pPr>
      <w:r w:rsidRPr="00640820">
        <w:rPr>
          <w:rStyle w:val="4f0"/>
          <w:rFonts w:ascii="Times New Roman" w:hAnsi="Times New Roman" w:cs="Times New Roman"/>
          <w:i w:val="0"/>
          <w:color w:val="000000" w:themeColor="text1"/>
          <w:sz w:val="16"/>
          <w:szCs w:val="16"/>
        </w:rPr>
        <w:t>6 ноября 1941 г. на торжественном собрании в честь годовщины Октябрьской революции И.В. Сталин сказал:</w:t>
      </w:r>
      <w:r w:rsidRPr="00640820">
        <w:rPr>
          <w:rFonts w:ascii="Times New Roman" w:hAnsi="Times New Roman"/>
          <w:color w:val="000000" w:themeColor="text1"/>
          <w:sz w:val="16"/>
          <w:szCs w:val="16"/>
        </w:rPr>
        <w:t xml:space="preserve"> «...Существует только одно средство, необходимое для того, чтобы свести к нулю превосходство немцев в танках и тем самым коренным образом улучшить положение нашей армии. Оно, это средство, состоит не только в том, чтобы увеличить в несколько раз производство танков в нашей стране, но также и в том, чтобы резко увеличить производство противотанковых самолётов...» (15846).</w:t>
      </w:r>
    </w:p>
    <w:p w14:paraId="5F6721E8" w14:textId="77777777" w:rsidR="00090D02" w:rsidRPr="00640820" w:rsidRDefault="00090D02" w:rsidP="00640820">
      <w:pPr>
        <w:pStyle w:val="45"/>
        <w:shd w:val="clear" w:color="auto" w:fill="auto"/>
        <w:tabs>
          <w:tab w:val="left" w:pos="8176"/>
        </w:tabs>
        <w:spacing w:before="0" w:line="240" w:lineRule="auto"/>
        <w:jc w:val="both"/>
        <w:rPr>
          <w:rStyle w:val="4f0"/>
          <w:rFonts w:ascii="Times New Roman" w:hAnsi="Times New Roman" w:cs="Times New Roman"/>
          <w:i w:val="0"/>
          <w:color w:val="000000" w:themeColor="text1"/>
          <w:sz w:val="16"/>
          <w:szCs w:val="16"/>
        </w:rPr>
      </w:pPr>
    </w:p>
    <w:p w14:paraId="128C9DD2" w14:textId="77777777" w:rsidR="00112F2A" w:rsidRPr="00640820" w:rsidRDefault="00112F2A"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6 ноября 1941 г. в речи Сталина на Торжественном собрании говорилось: «Су</w:t>
      </w:r>
      <w:r w:rsidRPr="00640820">
        <w:rPr>
          <w:color w:val="000000" w:themeColor="text1"/>
          <w:sz w:val="16"/>
          <w:szCs w:val="16"/>
        </w:rPr>
        <w:softHyphen/>
        <w:t>ществует только одно средство, необходимое для того, чтобы свести к нулю превосходство немцев в танках и тем самым коренным образом улучшить положение нашей армии. Оно, это средство, состо</w:t>
      </w:r>
      <w:r w:rsidRPr="00640820">
        <w:rPr>
          <w:color w:val="000000" w:themeColor="text1"/>
          <w:sz w:val="16"/>
          <w:szCs w:val="16"/>
        </w:rPr>
        <w:softHyphen/>
        <w:t>ит не только в том, чтобы увеличить в несколько раз производство танков в нашей стране, но также и в том, чтобы резко увеличить производство про</w:t>
      </w:r>
      <w:r w:rsidRPr="00640820">
        <w:rPr>
          <w:color w:val="000000" w:themeColor="text1"/>
          <w:sz w:val="16"/>
          <w:szCs w:val="16"/>
        </w:rPr>
        <w:softHyphen/>
        <w:t>тивотанковых самолетов».</w:t>
      </w:r>
    </w:p>
    <w:p w14:paraId="378F4147" w14:textId="77777777" w:rsidR="00112F2A" w:rsidRPr="00640820" w:rsidRDefault="00112F2A"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Надо полагать, говоря о противотанковых само</w:t>
      </w:r>
      <w:r w:rsidRPr="00640820">
        <w:rPr>
          <w:color w:val="000000" w:themeColor="text1"/>
          <w:sz w:val="16"/>
          <w:szCs w:val="16"/>
        </w:rPr>
        <w:softHyphen/>
        <w:t>летах, Сталин имел в виду Ил-2 и ЛаГГ-3 с пушками Ш-37. Оба самолета к этому времени прошли госу</w:t>
      </w:r>
      <w:r w:rsidRPr="00640820">
        <w:rPr>
          <w:color w:val="000000" w:themeColor="text1"/>
          <w:sz w:val="16"/>
          <w:szCs w:val="16"/>
        </w:rPr>
        <w:softHyphen/>
        <w:t>дарственные испытания, а ЛаГГ-3 еще и войсковые испытания (17500).</w:t>
      </w:r>
    </w:p>
    <w:p w14:paraId="0DC81F48" w14:textId="77777777" w:rsidR="00112F2A" w:rsidRPr="00640820" w:rsidRDefault="00112F2A" w:rsidP="00640820">
      <w:pPr>
        <w:spacing w:after="0" w:line="240" w:lineRule="auto"/>
        <w:jc w:val="both"/>
        <w:rPr>
          <w:rFonts w:ascii="Times New Roman" w:eastAsia="Times New Roman" w:hAnsi="Times New Roman"/>
          <w:color w:val="000000" w:themeColor="text1"/>
          <w:sz w:val="16"/>
          <w:szCs w:val="16"/>
          <w:lang w:eastAsia="ru-RU"/>
        </w:rPr>
      </w:pPr>
    </w:p>
    <w:p w14:paraId="5164C28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color w:val="000000" w:themeColor="text1"/>
          <w:sz w:val="16"/>
          <w:szCs w:val="16"/>
        </w:rPr>
        <w:t>6 ноября 1941 после устранения дефектов по списку №1 (влиявших на безопасность) ЛИИ и ЦАГИ выдали по</w:t>
      </w:r>
      <w:r w:rsidRPr="00640820">
        <w:rPr>
          <w:rFonts w:ascii="Times New Roman" w:hAnsi="Times New Roman"/>
          <w:color w:val="000000" w:themeColor="text1"/>
          <w:sz w:val="16"/>
          <w:szCs w:val="16"/>
        </w:rPr>
        <w:softHyphen/>
        <w:t xml:space="preserve">ложительное заключение по самолету, а 11 ноября Гудков написал письмо Сталину, в котором утверждал: </w:t>
      </w:r>
      <w:r w:rsidRPr="00640820">
        <w:rPr>
          <w:rFonts w:ascii="Times New Roman" w:hAnsi="Times New Roman"/>
          <w:iCs/>
          <w:color w:val="000000" w:themeColor="text1"/>
          <w:sz w:val="16"/>
          <w:szCs w:val="16"/>
        </w:rPr>
        <w:t>«... без смены технологии в кратчайшие сроки ВВС могут получить качественно новый истре</w:t>
      </w:r>
      <w:r w:rsidRPr="00640820">
        <w:rPr>
          <w:rFonts w:ascii="Times New Roman" w:hAnsi="Times New Roman"/>
          <w:iCs/>
          <w:color w:val="000000" w:themeColor="text1"/>
          <w:sz w:val="16"/>
          <w:szCs w:val="16"/>
        </w:rPr>
        <w:softHyphen/>
        <w:t>битель, превосходящий не только ЛаГГ-3, но и Ме- 109Ф!»</w:t>
      </w:r>
    </w:p>
    <w:p w14:paraId="2186B54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EF1BBD" w14:textId="77777777" w:rsidR="00794B7F" w:rsidRPr="00640820" w:rsidRDefault="00794B7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6 ноября 1941 – протокол Политбюро</w:t>
      </w:r>
    </w:p>
    <w:p w14:paraId="09081ECB" w14:textId="77777777" w:rsidR="00794B7F" w:rsidRPr="00640820" w:rsidRDefault="00794B7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06.11.41 г., пр. № 66, п. 415-гс</w:t>
      </w:r>
    </w:p>
    <w:p w14:paraId="17921269" w14:textId="77777777" w:rsidR="00794B7F" w:rsidRPr="00640820" w:rsidRDefault="00794B7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54. О выпуске самолетов УТИ-26 и Як-3 (постановление СНК СССР и ЦК ВКП(б)). — ОП (20432).</w:t>
      </w:r>
    </w:p>
    <w:p w14:paraId="59D9169E" w14:textId="77777777" w:rsidR="00794B7F" w:rsidRPr="00640820" w:rsidRDefault="00794B7F" w:rsidP="00640820">
      <w:pPr>
        <w:spacing w:after="0" w:line="240" w:lineRule="auto"/>
        <w:jc w:val="both"/>
        <w:rPr>
          <w:rFonts w:ascii="Times New Roman" w:hAnsi="Times New Roman"/>
          <w:color w:val="0070C0"/>
          <w:sz w:val="16"/>
          <w:szCs w:val="16"/>
        </w:rPr>
      </w:pPr>
    </w:p>
    <w:p w14:paraId="47E5BD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ночь с 6 на 7 ноября 1941 г. вышел на испытания первый, изготовленный заводом № 29 на новом месте в Омске мотор М-88Б. В Омске предприятие освоило производство двигателя АШ-82ФН мощностью 1850 л.с., разработанного А.Д. Швецовым. Этот двигатель успешно эксплуатировался на истребителях Ла-5 и Ла-7, а также на фронтовом бомбардировщике Ту-2. Всего за годы войны завод изготовил 10512 двигателей М-88Б и 17526 двигателей АШ-82ФН (9031).</w:t>
      </w:r>
    </w:p>
    <w:p w14:paraId="539D63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80BC92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ноября 1941 г. И.В.С. в своей речи на торжественном собрании по случаю годовщины Ок</w:t>
      </w:r>
      <w:r w:rsidRPr="00640820">
        <w:rPr>
          <w:rFonts w:ascii="Times New Roman" w:hAnsi="Times New Roman"/>
          <w:color w:val="000000" w:themeColor="text1"/>
          <w:sz w:val="16"/>
          <w:szCs w:val="16"/>
        </w:rPr>
        <w:softHyphen/>
        <w:t>тябрьской революции: «...Су</w:t>
      </w:r>
      <w:r w:rsidRPr="00640820">
        <w:rPr>
          <w:rFonts w:ascii="Times New Roman" w:hAnsi="Times New Roman"/>
          <w:color w:val="000000" w:themeColor="text1"/>
          <w:sz w:val="16"/>
          <w:szCs w:val="16"/>
        </w:rPr>
        <w:softHyphen/>
        <w:t>ществует только одно средст</w:t>
      </w:r>
      <w:r w:rsidRPr="00640820">
        <w:rPr>
          <w:rFonts w:ascii="Times New Roman" w:hAnsi="Times New Roman"/>
          <w:color w:val="000000" w:themeColor="text1"/>
          <w:sz w:val="16"/>
          <w:szCs w:val="16"/>
        </w:rPr>
        <w:softHyphen/>
        <w:t>во, необходимое для того, чтобы свести к нулю превос</w:t>
      </w:r>
      <w:r w:rsidRPr="00640820">
        <w:rPr>
          <w:rFonts w:ascii="Times New Roman" w:hAnsi="Times New Roman"/>
          <w:color w:val="000000" w:themeColor="text1"/>
          <w:sz w:val="16"/>
          <w:szCs w:val="16"/>
        </w:rPr>
        <w:softHyphen/>
        <w:t>ходство немцев в танках и тем самым коренным образом улучшить положение нашей армии. Оно, это средство, состоит не только в том, чтобы увеличить в несколько раз производство танков в нашей стране, но также и в том, чтобы резко увеличить производство противотанковых самолетов...»</w:t>
      </w:r>
    </w:p>
    <w:p w14:paraId="5731CBA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Надо полагать, И.В. Сталин, говоря о противотанковых са</w:t>
      </w:r>
      <w:r w:rsidRPr="00640820">
        <w:rPr>
          <w:rFonts w:ascii="Times New Roman" w:hAnsi="Times New Roman"/>
          <w:color w:val="000000" w:themeColor="text1"/>
          <w:sz w:val="16"/>
          <w:szCs w:val="16"/>
        </w:rPr>
        <w:softHyphen/>
        <w:t>молетах, имел в виду опытный самолет Ил-2, вооруженный двумя пушками ШФК-37, и противотанковый вариант истре</w:t>
      </w:r>
      <w:r w:rsidRPr="00640820">
        <w:rPr>
          <w:rFonts w:ascii="Times New Roman" w:hAnsi="Times New Roman"/>
          <w:color w:val="000000" w:themeColor="text1"/>
          <w:sz w:val="16"/>
          <w:szCs w:val="16"/>
        </w:rPr>
        <w:softHyphen/>
        <w:t>бителя ЛаГГ-3 с мотор-пушкой Ш-37. Оба самолета к этому времени успешно прошли государственные испытания, а ЛаГГ-3 еще и войсковые испытания в составе 33-го иап 43-й сад на московском направлении.</w:t>
      </w:r>
    </w:p>
    <w:p w14:paraId="2C5E3BE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Как следует из документов, боевое применение «ЛаГГов» вы</w:t>
      </w:r>
      <w:r w:rsidRPr="00640820">
        <w:rPr>
          <w:rFonts w:ascii="Times New Roman" w:hAnsi="Times New Roman"/>
          <w:color w:val="000000" w:themeColor="text1"/>
          <w:sz w:val="16"/>
          <w:szCs w:val="16"/>
        </w:rPr>
        <w:softHyphen/>
        <w:t>явило некоторые конструктивные и производственные дефекты пушечной установки, но летный состав в целом положительно оценил работу пушки, считая ее достаточно мощным и надежным средством борьбы с бронетехникой и самолетами противника. Боекомплект к пушке в 20 снарядов считался вполне достаточ</w:t>
      </w:r>
      <w:r w:rsidRPr="00640820">
        <w:rPr>
          <w:rFonts w:ascii="Times New Roman" w:hAnsi="Times New Roman"/>
          <w:color w:val="000000" w:themeColor="text1"/>
          <w:sz w:val="16"/>
          <w:szCs w:val="16"/>
        </w:rPr>
        <w:softHyphen/>
        <w:t>ным.</w:t>
      </w:r>
    </w:p>
    <w:p w14:paraId="362DDBC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ходе боевых действий один ЛаГГ-3 не вернулся с боевого задания, другой — был разбит на посадке по вине летчика и третий самолет разбит на вынужденной посадке (в обоих слу</w:t>
      </w:r>
      <w:r w:rsidRPr="00640820">
        <w:rPr>
          <w:rFonts w:ascii="Times New Roman" w:hAnsi="Times New Roman"/>
          <w:color w:val="000000" w:themeColor="text1"/>
          <w:sz w:val="16"/>
          <w:szCs w:val="16"/>
        </w:rPr>
        <w:softHyphen/>
        <w:t>чаях произошел излом фюзеляжа).</w:t>
      </w:r>
    </w:p>
    <w:p w14:paraId="18550B4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Несмотря на то что опытное противотанковое звено дейст</w:t>
      </w:r>
      <w:r w:rsidRPr="00640820">
        <w:rPr>
          <w:rFonts w:ascii="Times New Roman" w:hAnsi="Times New Roman"/>
          <w:color w:val="000000" w:themeColor="text1"/>
          <w:sz w:val="16"/>
          <w:szCs w:val="16"/>
        </w:rPr>
        <w:softHyphen/>
        <w:t>вовало исключительно по воздушным целям и, по докладам летчиков, сбило 6—7 немецких самолетов, Б.Г. Шпитальный доложил И.В. Сталину об уничтожении пушечным огнем за короткий срок 5 средних танков противника. Был сделан вы</w:t>
      </w:r>
      <w:r w:rsidRPr="00640820">
        <w:rPr>
          <w:rFonts w:ascii="Times New Roman" w:hAnsi="Times New Roman"/>
          <w:color w:val="000000" w:themeColor="text1"/>
          <w:sz w:val="16"/>
          <w:szCs w:val="16"/>
        </w:rPr>
        <w:softHyphen/>
        <w:t>вод о положительных результатах испытаний и необходимости расширения выпуска ЛаГГ-3 с Ш-37.</w:t>
      </w:r>
    </w:p>
    <w:p w14:paraId="119D8BA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Однако возможности самолетов ЛаГГ-3 с пушкой 37 мм по ряду причин были ограничены. Во-первых, пробитие снаря</w:t>
      </w:r>
      <w:r w:rsidRPr="00640820">
        <w:rPr>
          <w:rFonts w:ascii="Times New Roman" w:hAnsi="Times New Roman"/>
          <w:color w:val="000000" w:themeColor="text1"/>
          <w:sz w:val="16"/>
          <w:szCs w:val="16"/>
        </w:rPr>
        <w:softHyphen/>
        <w:t>дом брони далеко не всегда выводило танк из строя, не говоря уже об его уничтожении. Во-вторых, вероятность попадания в танк была все же невелика. Даже в полигонных условиях при отстреле всего боекомплекта 37-мм пушки с самолета ЛаГГ-3 в среднем можно было рассчитывать только на одно попадание. | Результаты стрельбы в боевых условиях по движущимся тан</w:t>
      </w:r>
      <w:r w:rsidRPr="00640820">
        <w:rPr>
          <w:rFonts w:ascii="Times New Roman" w:hAnsi="Times New Roman"/>
          <w:color w:val="000000" w:themeColor="text1"/>
          <w:sz w:val="16"/>
          <w:szCs w:val="16"/>
        </w:rPr>
        <w:softHyphen/>
        <w:t>кам, очевидно, могли быть только хуже, так как «подавляющая масса летчиков таких целей поражать не в состоянии». При-</w:t>
      </w:r>
      <w:r w:rsidRPr="00640820">
        <w:rPr>
          <w:rFonts w:ascii="Times New Roman" w:hAnsi="Times New Roman"/>
          <w:iCs/>
          <w:color w:val="000000" w:themeColor="text1"/>
          <w:sz w:val="16"/>
          <w:szCs w:val="16"/>
        </w:rPr>
        <w:t xml:space="preserve">I </w:t>
      </w:r>
      <w:r w:rsidRPr="00640820">
        <w:rPr>
          <w:rFonts w:ascii="Times New Roman" w:hAnsi="Times New Roman"/>
          <w:color w:val="000000" w:themeColor="text1"/>
          <w:sz w:val="16"/>
          <w:szCs w:val="16"/>
        </w:rPr>
        <w:t>Цельная стрельба по малоразмерным целям доступна «только Щотлично тренированным летчикам» (11474,329).</w:t>
      </w:r>
    </w:p>
    <w:p w14:paraId="6403C46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93C1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6-7 ноября 1941 немцы бомбили Горький и из Чкаловска Г.М.Бериева отправили в Омск. Приехали в первых числах декабря. Там были А.Н.Т., Д.Л.Томашевич, В.М.Мясищев. С помощью партии - не слился ни с кем и осталось ОКБ МС. Поехал к П.В.Дементьеву. Добился перевода в Красноярск (79,229).</w:t>
      </w:r>
    </w:p>
    <w:p w14:paraId="627AAE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78BAA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ноября 1941 г. по приказу НКАП № 1099с в Саратов на площадку филиала завода № 292 НКАП (бывший завод № 2 Военстроя) эвакуирован завод № 167 6ГУ НКАП, филиал передан в подчинение заводу № 167. По приказу № 306с/203пс от 24.07.1945 г. на площадку Саратовского филиала завода № 292 переведен с площадки Саратовской мебельной фабрики завод № 307 НКАП (10776).</w:t>
      </w:r>
    </w:p>
    <w:p w14:paraId="640FCB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D0CE3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ноября 1941 г. завод № 167 6ГУ НКАП (Завод № 167 НКАП, МАП /г. Химки;  г. Кунцево Московской обл.;  г. Саратов/), созданный в 1936 г. в  г. Химки на площадке завода № 301 для сосредоточения работ по разработке и производства всех видов авиационных лыж и деревянных в/винтов как Опытно-экспериментальный завод № 167 и в соответствии с решением от 1939 г. переведенный в  г. Кунцево в помещение бывшей ЦНИЛХИ, был эвакуирован в Саратов на площадку филиала завода № 292 НКАП (бывший завод № 2 Военстроя), филиал передан в подчинение заводу № 167. Развернуто производство деревянных лопастей винтов и лыж для Як-1. В соответствии с решением СНК № 12441-рс от 5.07.1942 г. и приказом № 531с от 16.07.1942 г. в состав завода № 167 влит завод № 449 6ГУ НКАП, завод № 167 передан в 14ГУ НКАП.</w:t>
      </w:r>
    </w:p>
    <w:p w14:paraId="027A0C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Юс от 3.01.1942 г. на площадке эвакуированного завода № 167 НКАП в Кунцево образован завод № 164 НКАП для разработки и производства авиационных лыж.</w:t>
      </w:r>
    </w:p>
    <w:p w14:paraId="1F2B00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522с от 31.08.1943 г. разработка и производство деревянных винтов с завода снято. В 02.1944 г. поручена организация производства стабилизаторов, килей и нервюр для Як-3. С 04.1944 г. завод передан из ИГУ в 1ГУНКАП.</w:t>
      </w:r>
    </w:p>
    <w:p w14:paraId="4FBEA6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НКАП № 21с от 28.01.1946 г. на площадку завода № 167 переведен завод № 213 НКАП и с 1.01.1946 г. образован единый завод № 213 НКАП. Завод № 167 выбыл из числа действующих.</w:t>
      </w:r>
    </w:p>
    <w:p w14:paraId="601422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(08.1941 г.)- Н.Д. Андреев, Лепилин, (01.1946 г.)- Белов.</w:t>
      </w:r>
    </w:p>
    <w:p w14:paraId="7F7DA8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в/винты: ВИШ-22, АВ-1; лыжи; лонжероны для И-200 (1939), оперение, нервюры для Як-3 (1943); дельтадревесина (11982).</w:t>
      </w:r>
    </w:p>
    <w:p w14:paraId="12BEC1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B22CA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ноября 1941 г. по приказу № 1099с от в Саратов на площадку филиала завода № 292 НКАП (бывший завод № 2 Военстроя) эвакуирован завод № 167 6ГУ НКАП, филиал передан в подчинение заводу № 167. По приказу № 306с/203пс от 24.07.1945 г. на площадку Саратовского филиала завода № 292 переведен с площадки Саратовской мебельной фабрики завод № 307 НКАП (11982).</w:t>
      </w:r>
    </w:p>
    <w:p w14:paraId="40AE92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42F0F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ночь с 6 на 7 ноября 1941 г. был успешно испытан впервые собранный на ом</w:t>
      </w:r>
      <w:r w:rsidRPr="00640820">
        <w:rPr>
          <w:rFonts w:ascii="Times New Roman" w:hAnsi="Times New Roman"/>
          <w:color w:val="000000" w:themeColor="text1"/>
          <w:sz w:val="16"/>
          <w:szCs w:val="16"/>
        </w:rPr>
        <w:softHyphen/>
        <w:t>ской земле авиационный двигатель М-88Б...( http://www.infomsk.ru/media/publish/magcat.php3?catid=14462) (11896). В спешно введенных в эксплуатацию и еще недостроенных цехах началось изготовление производственно-технического задела и по</w:t>
      </w:r>
      <w:r w:rsidRPr="00640820">
        <w:rPr>
          <w:rFonts w:ascii="Times New Roman" w:hAnsi="Times New Roman"/>
          <w:color w:val="000000" w:themeColor="text1"/>
          <w:sz w:val="16"/>
          <w:szCs w:val="16"/>
        </w:rPr>
        <w:softHyphen/>
        <w:t>луфабрикатов, рассчитанных на выпуск до 400–450 авиамоторов «М-88», также доводка мотора «М-89» и модели «М-90» для запуска в серийное производство. Завод № 29 (дирек</w:t>
      </w:r>
      <w:r w:rsidRPr="00640820">
        <w:rPr>
          <w:rFonts w:ascii="Times New Roman" w:hAnsi="Times New Roman"/>
          <w:color w:val="000000" w:themeColor="text1"/>
          <w:sz w:val="16"/>
          <w:szCs w:val="16"/>
        </w:rPr>
        <w:softHyphen/>
        <w:t>торы завода М. М. Лукин, И. Г. Борисов (с 1942 г.)) прибыл в основном в сентябре 1941 г. Завод прибыл на строительную площадку, но до конца года для этого завода были по</w:t>
      </w:r>
      <w:r w:rsidRPr="00640820">
        <w:rPr>
          <w:rFonts w:ascii="Times New Roman" w:hAnsi="Times New Roman"/>
          <w:color w:val="000000" w:themeColor="text1"/>
          <w:sz w:val="16"/>
          <w:szCs w:val="16"/>
        </w:rPr>
        <w:softHyphen/>
        <w:t>строены огромные производственные пло</w:t>
      </w:r>
      <w:r w:rsidRPr="00640820">
        <w:rPr>
          <w:rFonts w:ascii="Times New Roman" w:hAnsi="Times New Roman"/>
          <w:color w:val="000000" w:themeColor="text1"/>
          <w:sz w:val="16"/>
          <w:szCs w:val="16"/>
        </w:rPr>
        <w:softHyphen/>
        <w:t>щади, проведены большие работы по комму</w:t>
      </w:r>
      <w:r w:rsidRPr="00640820">
        <w:rPr>
          <w:rFonts w:ascii="Times New Roman" w:hAnsi="Times New Roman"/>
          <w:color w:val="000000" w:themeColor="text1"/>
          <w:sz w:val="16"/>
          <w:szCs w:val="16"/>
        </w:rPr>
        <w:softHyphen/>
        <w:t>никациям и другим вспомогательным хозяй</w:t>
      </w:r>
      <w:r w:rsidRPr="00640820">
        <w:rPr>
          <w:rFonts w:ascii="Times New Roman" w:hAnsi="Times New Roman"/>
          <w:color w:val="000000" w:themeColor="text1"/>
          <w:sz w:val="16"/>
          <w:szCs w:val="16"/>
        </w:rPr>
        <w:softHyphen/>
        <w:t>ствам. 2 декабря 1941 г. по заводу был издан приказ, положивший начало новому этапу его развития – освоению и производству более экономичных и надежных двигателей, таких как АШ-82 ФН (1850 л. с.) для истребителей и бомбардировщиков. Начал работать завод на выпуск продукции в ноябре месяце, дав за ноябрь – 9,3 %, в декабре – 27,6 % и в январе 1942 г. – 100 % программы (ЦДНИОО. Ф. 17. Оп. 1. Д. 2977. Л. 15.). В мае 1942 г. коллективу завода было при</w:t>
      </w:r>
      <w:r w:rsidRPr="00640820">
        <w:rPr>
          <w:rFonts w:ascii="Times New Roman" w:hAnsi="Times New Roman"/>
          <w:color w:val="000000" w:themeColor="text1"/>
          <w:sz w:val="16"/>
          <w:szCs w:val="16"/>
        </w:rPr>
        <w:softHyphen/>
        <w:t>суждено первое место во Всесоюзном соцсо</w:t>
      </w:r>
      <w:r w:rsidRPr="00640820">
        <w:rPr>
          <w:rFonts w:ascii="Times New Roman" w:hAnsi="Times New Roman"/>
          <w:color w:val="000000" w:themeColor="text1"/>
          <w:sz w:val="16"/>
          <w:szCs w:val="16"/>
        </w:rPr>
        <w:softHyphen/>
        <w:t>ревновании и вручено переходящее Красное знамя ГКО. В первый год работы много сил уходило на обустройство производства и людей. Объекты были разбросаны, другие срочно строились. В 1942 начали возводить горячие цехи. Большая проблема была с алю</w:t>
      </w:r>
      <w:r w:rsidRPr="00640820">
        <w:rPr>
          <w:rFonts w:ascii="Times New Roman" w:hAnsi="Times New Roman"/>
          <w:color w:val="000000" w:themeColor="text1"/>
          <w:sz w:val="16"/>
          <w:szCs w:val="16"/>
        </w:rPr>
        <w:softHyphen/>
        <w:t>миниевым, бронзовым и чугунным литьем (11896).</w:t>
      </w:r>
    </w:p>
    <w:p w14:paraId="1C7FF8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469A2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ноября 1941 г. по приказу № 1100с завод (ГС Завод № 383 НКАП, Завод «Вперед», Московский машиностроительный завод (ММЗ) «Вперед», ЗАО, ОАО «ММЗ «Вперед» /г. Москва;  г. Йошкар-Ола;  г. Москва пр-д Энтузиастов, 1 (1942,47 г.)/ /111024  г. Москва пр-д Энтузиастов, 15 тел. 673-44-27/) был эвакуирован в Йошкар-Олу на площадку мебельной фабрики НКместпрома РСФСР. Продолжено производство деревянных винтов и лыж. По приказу № 218с от 19.03.1942 г. завод передан в 14ГУ НКАП. Затем завод был восстановлен в Москве.</w:t>
      </w:r>
    </w:p>
    <w:p w14:paraId="138402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522с от 31.08.1943 г. на завод № 383 переведен личный состав (6 чел.) ликвидированного ОКБ- 167 НКАП и влит в состав ОКБ-383. По приказу № 306с/ 203пс от 24.07.1945 г. на завод № 383 переведены личный состав и оборудование завода № 162 НКАП, переданного в НКлеса.</w:t>
      </w:r>
    </w:p>
    <w:p w14:paraId="4A5CAC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1946 г. заводу поставлено 193 трофейных металлорежущих станка.</w:t>
      </w:r>
    </w:p>
    <w:p w14:paraId="606361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15.03.1953 г. передан из 14ГУ во 2ГУ. В соответствии с пост. СМ СССР № 713-342 от 26.06.1957 г. передан в ведение СНХ РСФСР.</w:t>
      </w:r>
    </w:p>
    <w:p w14:paraId="5FA553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(2005 г.): лопастей и' рулевых винтов из композиционных материалов для вертолетов; воздушных винтов; агрегатов воздушной системы для ВСУ типа «ТА»; (2006 г.) кроме того: производство ветроэнергетических комплексов.</w:t>
      </w:r>
    </w:p>
    <w:p w14:paraId="6486F2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 По Указу Президента от 29.11.2004 г. исключен из списка стратегических предприятий. В 12.2004 г. завод вошел во вновь образованную Корпорацию «Вертолеты Миля». В 2006 г. имел форму ОАО. В 05.2005 г. вошел в состав холдинга «Оборонпром».</w:t>
      </w:r>
    </w:p>
    <w:p w14:paraId="280A5C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(09.1942 г.)- Каневуский, (-09.1943-03.1944 г.-)- И.А. Шадский, (03.1946 г.)- В.П. Горин. Гендиректор (-1997-2002 г.-&gt;  Г.П. Алещенко,</w:t>
      </w:r>
      <w:r w:rsidRPr="00640820">
        <w:rPr>
          <w:rFonts w:ascii="Times New Roman" w:hAnsi="Times New Roman"/>
          <w:color w:val="000000" w:themeColor="text1"/>
          <w:sz w:val="16"/>
          <w:szCs w:val="16"/>
          <w:vertAlign w:val="superscript"/>
        </w:rPr>
        <w:t>69</w:t>
      </w:r>
      <w:r w:rsidRPr="00640820">
        <w:rPr>
          <w:rFonts w:ascii="Times New Roman" w:hAnsi="Times New Roman"/>
          <w:color w:val="000000" w:themeColor="text1"/>
          <w:sz w:val="16"/>
          <w:szCs w:val="16"/>
        </w:rPr>
        <w:t xml:space="preserve"> (2005 г.)- В.М. Рыбаулин, (2006 г.)- Д.Е. Пальцев.</w:t>
      </w:r>
    </w:p>
    <w:p w14:paraId="308B5C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гендиректора: (2005 г.)- Д.Е. Пальцев; по ВЭС (2002 г.)- В.М. Лебедев; по строительству (2003 г.)- В.М. Лебедев.</w:t>
      </w:r>
    </w:p>
    <w:p w14:paraId="6D7747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(1947 г.-)-  Г.И. Кузьмин.</w:t>
      </w:r>
    </w:p>
    <w:p w14:paraId="1408A8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в/винты: В-8, В-530ТА-Д35 и </w:t>
      </w:r>
      <w:r w:rsidRPr="00640820">
        <w:rPr>
          <w:rFonts w:ascii="Times New Roman" w:hAnsi="Times New Roman"/>
          <w:color w:val="000000" w:themeColor="text1"/>
          <w:sz w:val="16"/>
          <w:szCs w:val="16"/>
          <w:lang w:val="en-US"/>
        </w:rPr>
        <w:t>MTV</w:t>
      </w:r>
      <w:r w:rsidRPr="00640820">
        <w:rPr>
          <w:rFonts w:ascii="Times New Roman" w:hAnsi="Times New Roman"/>
          <w:color w:val="000000" w:themeColor="text1"/>
          <w:sz w:val="16"/>
          <w:szCs w:val="16"/>
        </w:rPr>
        <w:t>-9 для Як-18, Як-50, Як-52, Як-54, Як-55, Су-26, Су-29, Су- 31 (2005); НВ для Ми-1, Ми-4, Ми-6, Ми-10; РВ: 8-3904-000, 246-3901-000, 246-3904-000 для Ми-8 (-2005-09-), Ми-14, Ми-24, Ми-26, «286-1» для Ми-28 (-2005-06-); ветроэнергетическая установка ВЭУ-18, автономные мобильные ветроэнергетические комплексы «ЖАВОРОНОК» и «ФОРВАРД» (2005); нагнетатель высоковязких материалов НВМ-500, электронасосные агрегаты (2005).</w:t>
      </w:r>
      <w:r w:rsidRPr="00640820">
        <w:rPr>
          <w:rFonts w:ascii="Times New Roman" w:hAnsi="Times New Roman"/>
          <w:color w:val="000000" w:themeColor="text1"/>
          <w:sz w:val="16"/>
          <w:szCs w:val="16"/>
          <w:vertAlign w:val="superscript"/>
        </w:rPr>
        <w:t>101</w:t>
      </w:r>
    </w:p>
    <w:p w14:paraId="2B3169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ОКБ завода № 383 НКАП, ГС ОКБ-383 МАП, ГКАТ, Агрегатное КБ (АКБ) «Кристалл», А-5283, ОАО «ОКБ «Кристалл» /111024  г. Москва пр. Энтузиастов, 15 тел. 273-25-33/</w:t>
      </w:r>
    </w:p>
    <w:p w14:paraId="21B5F8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при заводе № 383 образовано по приказу № 774с от 15.10.1942 г. для развития работ по деревянным ВИШ.</w:t>
      </w:r>
    </w:p>
    <w:p w14:paraId="5D00BF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522с от 31.08.1943 г. переведен и влит в состав ОКБ-383 личный состав (6 чел.) ликвидированного ОКБ-167 НКАП.</w:t>
      </w:r>
    </w:p>
    <w:p w14:paraId="00CC24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Из-за плохой организации и постановки работ (до 1946 г. не было сдано в эксплуатацию ни одного винта) Гришин был снят с должности и гл. конструктором назначен  Г.И. Кузьмин.</w:t>
      </w:r>
    </w:p>
    <w:p w14:paraId="329D24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1946 г. КБ поставлено 20 трофейных металлорежущих станков.</w:t>
      </w:r>
    </w:p>
    <w:p w14:paraId="519260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профиль ОКБ изменился: началась разработка топливных агрегатов для РД. Однако, есть упоминание о разработке винтов (1953 г.). В 08.1957 г. ОКБ завода выделено в самостоятельное ГС ОКБ-383 - в ведении ЗГУ МАП.</w:t>
      </w:r>
    </w:p>
    <w:p w14:paraId="7789D5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Принимало участие в программе создания ОК «Буран».</w:t>
      </w:r>
    </w:p>
    <w:p w14:paraId="7DDE00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(1990-е  г.): разработка: турбонасосов для ВСУ; насосов: для систем дозаправки в воздухе, баковых электроприводных, струйных, топливных для двигателей, для САУ ТРД, герметичных с магнитными муфтами; аварийных ветродвигателей для гидросистем, воздушных центробежных компрессоров для бытовых систем Ту- 204 и Ил-96; криогенные насосы для сжиженных газов. Кроме того (2002 г.): гидролопаточные привод- генераторы, турбоприводные агрегаты.</w:t>
      </w:r>
    </w:p>
    <w:p w14:paraId="48D0EA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Имело наименование «п/я А-5283». В 03.1995 г. преобразовано в ОАО «ОКБ «Кристалл». В 2000 г. ОКБ получило государственную аккредитацию как научная организация. Головной разработчик (2005 г.) сложных авиационных агрегатов.</w:t>
      </w:r>
    </w:p>
    <w:p w14:paraId="11CB79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46137A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(10.1942-03.1946 г.)- А.В. Гришин. Директор (1990-е)- Е.П. Жуков. Гендиректор (1999-2007 г.-)- В.П. Родионов.</w:t>
      </w:r>
    </w:p>
    <w:p w14:paraId="743D7B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(10.1942-03.1946 г.)- А.В. Гришин, (03.1946-47 г.-)-  Г.И. Кузьмин, (1949-68 г.)-  Г.М. Заславский, (1968-78 г.)- В.А. Орлов, (1979-99 г.)- Е.П. Жуков. Ген. Конструктор (1999-2005 г.-&gt; В.П. Родионов.</w:t>
      </w:r>
      <w:r w:rsidRPr="00640820">
        <w:rPr>
          <w:rFonts w:ascii="Times New Roman" w:hAnsi="Times New Roman"/>
          <w:color w:val="000000" w:themeColor="text1"/>
          <w:sz w:val="16"/>
          <w:szCs w:val="16"/>
          <w:vertAlign w:val="superscript"/>
        </w:rPr>
        <w:t>101</w:t>
      </w:r>
      <w:r w:rsidRPr="00640820">
        <w:rPr>
          <w:rFonts w:ascii="Times New Roman" w:hAnsi="Times New Roman"/>
          <w:color w:val="000000" w:themeColor="text1"/>
          <w:sz w:val="16"/>
          <w:szCs w:val="16"/>
        </w:rPr>
        <w:t xml:space="preserve"> Гл. конструктор (2007 г.)- В.П. Родионов.</w:t>
      </w:r>
    </w:p>
    <w:p w14:paraId="75BE25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Создано:</w:t>
      </w:r>
      <w:r w:rsidRPr="00640820">
        <w:rPr>
          <w:rFonts w:ascii="Times New Roman" w:hAnsi="Times New Roman"/>
          <w:color w:val="000000" w:themeColor="text1"/>
          <w:sz w:val="16"/>
          <w:szCs w:val="16"/>
        </w:rPr>
        <w:t xml:space="preserve"> топливные насосы: для РД-012, ТНГА для СПВРД ракеты П-700 (проект); турбонасосный агрегат ТНА-150; аварийная гидростанция ВД-004В (2002) (11982).</w:t>
      </w:r>
    </w:p>
    <w:p w14:paraId="1AA39D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1E33BAD"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55751DEF"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90A3B9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6-18 ноября 1941 года вышел приказ № 542 НКВ</w:t>
      </w:r>
    </w:p>
    <w:p w14:paraId="689D84B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связи с окончанием эвакуации основного оборудования с заводов № 4 им. Ворошилова и № 589 на завод № 586:</w:t>
      </w:r>
    </w:p>
    <w:p w14:paraId="7DF977C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 средства производства заводов № 4, № 586 и № 589 считать объединенными в единый завод, которому присвоить № 4 (6287, 36).</w:t>
      </w:r>
    </w:p>
    <w:p w14:paraId="6674436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4B0FC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ноября 1941 года Наркоматом вооружения СССР был издан приказ, в котором говорилось: «В связи с окончанием эвакуации основного оборудования с завода № 4 им. Ворошилова и завода № 589 на завод № 586 все средства производства заводов № 4 им. Ворошилова, № 586 и № 589 считать объединенными в единый завод, которому устанавливаю № 4 с сохранением ранее присвоенного заводу № 4 им. Ворошилова. Директором объединенного завода № 4 им. Ворошилова назначить Шифрина Я. А. Главным инженером объединенного завода № 4 им. Ворошилова назначить А. С. Спиридонова» (12289).</w:t>
      </w:r>
    </w:p>
    <w:p w14:paraId="7BA81535"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7A4297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6 ноября 1941г. по пр. НКВ заводы № 4, № 586 и № 589 эвакуированные на площадку завода № 586 НКВ объединены в единый завод № 4 им. Ворошилова. В 02.1958г. было принято решение о переводе завода на выпуск РКТ и, возможно, он переименован в завод № 1001 (Завод № 1001 ГКОТ, Красноярский машиностроительный завод (КМЗ) СНХ, </w:t>
      </w:r>
      <w:r w:rsidRPr="00640820">
        <w:rPr>
          <w:rFonts w:ascii="Times New Roman" w:hAnsi="Times New Roman"/>
          <w:color w:val="000000" w:themeColor="text1"/>
          <w:sz w:val="16"/>
          <w:szCs w:val="16"/>
          <w:lang w:val="en-US"/>
        </w:rPr>
        <w:t>MOM</w:t>
      </w:r>
      <w:r w:rsidRPr="00640820">
        <w:rPr>
          <w:rFonts w:ascii="Times New Roman" w:hAnsi="Times New Roman"/>
          <w:color w:val="000000" w:themeColor="text1"/>
          <w:sz w:val="16"/>
          <w:szCs w:val="16"/>
        </w:rPr>
        <w:t>, ФГУП, ОАО «КМЗ» («Красмашзавод») ФКА /г. Железногорск Красноярского кр./ /660123 г. Красноярск пр. им. Газеты «Красноярский рабочий», 29 тел. (3912) 64-66-01/). В 1958г. в состав строящегося завода № 1001 включен завод № 946. В 1959-65г. производственные площади предприятия увеличены в 3 раза, численность персонала - в 2 раза, объем валовой продукции - в 3,3 раза.</w:t>
      </w:r>
    </w:p>
    <w:p w14:paraId="67CE1A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Первым образцом новой продукции, освоенной в производстве, стала БР 8К65. В соответствии с ПСМ № 514- 232 от 13.05.1959г. начата подготовка производства Р-14. С 1964г. начато освоение производства РН 11К65.</w:t>
      </w:r>
    </w:p>
    <w:p w14:paraId="68E267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14.09.1959г. создан Красноярский филиал № 5 ОКБ-456 на заводе «Красмаш» (руководитель- А.Я. Китаев) для сопровождения производства ЖРД. В 12.1961г. филиал ликвидирован.</w:t>
      </w:r>
    </w:p>
    <w:p w14:paraId="50ACF8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1960(58)г. на заводе организован Восточный филиал № 2 ОКБ-1 под руководством М.Ф. Решетнева (далее- ОКБ-10, НПО «Прикладная механика»),</w:t>
      </w:r>
    </w:p>
    <w:p w14:paraId="16CBEE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1963г. начата организация производства бытовых холодильников, в 1964г. их выпущено 17 тыс. В 1970-е г. производство холодильников стало самым крупным в стране, годовой выпуск достиг 750 тыс. шт. В 1992г. производство холодильников выделено в самостоятельный завод «Бирюса».</w:t>
      </w:r>
    </w:p>
    <w:p w14:paraId="288DF5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1966-70г. объем промышленной продукции вырос в 2,8 раза.</w:t>
      </w:r>
    </w:p>
    <w:p w14:paraId="69220B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 приказу от 6.03.1966г. КМЗ СНХ передан в подчинение 1ГУ </w:t>
      </w:r>
      <w:r w:rsidRPr="00640820">
        <w:rPr>
          <w:rFonts w:ascii="Times New Roman" w:hAnsi="Times New Roman"/>
          <w:color w:val="000000" w:themeColor="text1"/>
          <w:sz w:val="16"/>
          <w:szCs w:val="16"/>
          <w:lang w:val="en-US"/>
        </w:rPr>
        <w:t>MOM</w:t>
      </w:r>
      <w:r w:rsidRPr="00640820">
        <w:rPr>
          <w:rFonts w:ascii="Times New Roman" w:hAnsi="Times New Roman"/>
          <w:color w:val="000000" w:themeColor="text1"/>
          <w:sz w:val="16"/>
          <w:szCs w:val="16"/>
        </w:rPr>
        <w:t>. В 1977г. завод вместе с ОКБ-10 вошел в НПО ПМ. Производство РКТ.</w:t>
      </w:r>
    </w:p>
    <w:p w14:paraId="5A1B4B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1985г. в рамках конверсии была освоена разработка и производство оборудования: теплообменного, мясоперерабатывающего, для производства кремния; термопластавтоматов, медицинского инструмента.</w:t>
      </w:r>
    </w:p>
    <w:p w14:paraId="642772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2000г.: ОКР «Метанол» по разработке установки блока подачи метанола на газоконденсатных месторождениях; ОКР «Аппарат маловыдвижной» по разработке аппарата обдувки маловыдвижного для очистки поверхностей нагрева котлов от шлаковых отложений.</w:t>
      </w:r>
    </w:p>
    <w:p w14:paraId="5851FD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Имелись производства: металлургическое, средств технологического оборудования, товаров производственно- технического назначения, ТИП. Освоены технологии: сборки и сварки конструкций на поворотных стендах; сборки и испытаний приборных отсеков и агрегатов; изготовление: корпусных деталей на обрабатывающих центрах с ЧПУ; сильфонов; оболочек и деталей из стекло-углепластиков; обечаек методом ротационного выдавливания; шлангов высокого давления; биметаллических переходников; пространственной гибки трубопроводов диаметром до 50 мм; сварки: электроннолучевой спецсталей, медных и алюминиевых сплавов; трубопроводов; крупногабаритных емкостей; трением; высокотемпературная пайка; литье по выплавляемым моделям; изометрическая штамповка; химфрезерование и анодирование оболочек; плазменное напыление тугоплавкими материалами; нанесение покрытий: износостойких на инструмент; алюминиевых и кадмиевых; обработка: электроэрозионная, виброабразивная; лазерный и плазменный раскрой; динамическая балансировка; автоматизированное проектирование техпроцессов, оснастки; испытания: механические, прочностные, гидравлические.</w:t>
      </w:r>
    </w:p>
    <w:p w14:paraId="5C7ED8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Имел филиал (2002-05г.)- Химический завод.</w:t>
      </w:r>
    </w:p>
    <w:p w14:paraId="094684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Указу Президента РФ № 1009 от 4.08.2004г. ФГУП вошло в число стратегических оборонных предприятий.</w:t>
      </w:r>
    </w:p>
    <w:p w14:paraId="714B40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являлся (2000-е) основным производителем в стране БРПЛ, базового модуля разгонного блока для РН «Зенит» и «Протон». В рамках конверсии освоен выпуск: теплообменной аппаратуры и сепараторов, котлового и емкостного оборудования, установок для выращивания кристаллов поликремния.</w:t>
      </w:r>
    </w:p>
    <w:p w14:paraId="6F046D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2005г. планировалось на площадке завода, а также Сосновоборского завода автоприцепов создать предприятие по производству самолетов малой авиации</w:t>
      </w:r>
    </w:p>
    <w:p w14:paraId="17E5B9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2009г. КМЗ - в ведении ФКА. В 10.2009г. ОАО КМЗ вошло в консорциум производителей оборудования для цифрового телевещания (вместе с ОАО «Прима-Телеком», ФГУП «НПП «Радиосвязь», ООО «АКБ «Альфа» и ООО «Телемир»).</w:t>
      </w:r>
    </w:p>
    <w:p w14:paraId="630A16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(1962г.)- 15.000 чел.</w:t>
      </w:r>
    </w:p>
    <w:p w14:paraId="14FDC8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(-1958-07.1966г.)- П.А. Сысоев, (1966-69г.)- Б.Н. Гуров, (1969-74г.)- В.П. Котельников. Гендиректор (1975-2005г.)- В.К. Гупалов, (08.2005г.-)- В.А. Колмыков.</w:t>
      </w:r>
    </w:p>
    <w:p w14:paraId="66F032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(2002г.)- В.Н. Самотик.</w:t>
      </w:r>
    </w:p>
    <w:p w14:paraId="27CD3C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Гендиректора: по экономике и маркетингу (2002г.)- В.А. Колмыков; (2004г.)- М. Лубнин.</w:t>
      </w:r>
    </w:p>
    <w:p w14:paraId="07858E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БР: 8К65;</w:t>
      </w:r>
      <w:r w:rsidRPr="00640820">
        <w:rPr>
          <w:rFonts w:ascii="Times New Roman" w:hAnsi="Times New Roman"/>
          <w:iCs/>
          <w:color w:val="000000" w:themeColor="text1"/>
          <w:sz w:val="16"/>
          <w:szCs w:val="16"/>
        </w:rPr>
        <w:t xml:space="preserve"> БРСД:</w:t>
      </w:r>
      <w:r w:rsidRPr="00640820">
        <w:rPr>
          <w:rFonts w:ascii="Times New Roman" w:hAnsi="Times New Roman"/>
          <w:color w:val="000000" w:themeColor="text1"/>
          <w:sz w:val="16"/>
          <w:szCs w:val="16"/>
        </w:rPr>
        <w:t xml:space="preserve"> Р-14, Р-14У;</w:t>
      </w:r>
      <w:r w:rsidRPr="00640820">
        <w:rPr>
          <w:rFonts w:ascii="Times New Roman" w:hAnsi="Times New Roman"/>
          <w:iCs/>
          <w:color w:val="000000" w:themeColor="text1"/>
          <w:sz w:val="16"/>
          <w:szCs w:val="16"/>
        </w:rPr>
        <w:t xml:space="preserve"> БРИЛ:</w:t>
      </w:r>
      <w:r w:rsidRPr="00640820">
        <w:rPr>
          <w:rFonts w:ascii="Times New Roman" w:hAnsi="Times New Roman"/>
          <w:color w:val="000000" w:themeColor="text1"/>
          <w:sz w:val="16"/>
          <w:szCs w:val="16"/>
        </w:rPr>
        <w:t xml:space="preserve"> Р-27 (1967-), Р-29, Р-29У, -Р, -РЛ, -РМ, РСМ-54 (-1996; 2001-); РН: 11К65 (1964-71), «Космос» (1966), «Космос-1», «Космос-2», «Космос-3», «Штиль-2А, -ЗА»; разгонные блоки ДМ1, ДМ2, ДМЗ, ДМ4 для РН «Протон», ДМ-</w:t>
      </w:r>
      <w:r w:rsidRPr="00640820">
        <w:rPr>
          <w:rFonts w:ascii="Times New Roman" w:hAnsi="Times New Roman"/>
          <w:color w:val="000000" w:themeColor="text1"/>
          <w:sz w:val="16"/>
          <w:szCs w:val="16"/>
          <w:lang w:val="en-US"/>
        </w:rPr>
        <w:t>SL</w:t>
      </w:r>
      <w:r w:rsidRPr="00640820">
        <w:rPr>
          <w:rFonts w:ascii="Times New Roman" w:hAnsi="Times New Roman"/>
          <w:color w:val="000000" w:themeColor="text1"/>
          <w:sz w:val="16"/>
          <w:szCs w:val="16"/>
        </w:rPr>
        <w:t xml:space="preserve"> для РН «Зенит-ЗЯЬ» (1989-);</w:t>
      </w:r>
      <w:r w:rsidRPr="00640820">
        <w:rPr>
          <w:rFonts w:ascii="Times New Roman" w:hAnsi="Times New Roman"/>
          <w:iCs/>
          <w:color w:val="000000" w:themeColor="text1"/>
          <w:sz w:val="16"/>
          <w:szCs w:val="16"/>
        </w:rPr>
        <w:t xml:space="preserve"> ЖРД:</w:t>
      </w:r>
      <w:r w:rsidRPr="00640820">
        <w:rPr>
          <w:rFonts w:ascii="Times New Roman" w:hAnsi="Times New Roman"/>
          <w:color w:val="000000" w:themeColor="text1"/>
          <w:sz w:val="16"/>
          <w:szCs w:val="16"/>
        </w:rPr>
        <w:t xml:space="preserve"> РД-119, РД-215, 11Д49 дляРН «Космос»; корректирующие двигатели 11Д414;</w:t>
      </w:r>
      <w:r w:rsidRPr="00640820">
        <w:rPr>
          <w:rFonts w:ascii="Times New Roman" w:hAnsi="Times New Roman"/>
          <w:color w:val="000000" w:themeColor="text1"/>
          <w:sz w:val="16"/>
          <w:szCs w:val="16"/>
          <w:vertAlign w:val="superscript"/>
        </w:rPr>
        <w:t>69</w:t>
      </w:r>
    </w:p>
    <w:p w14:paraId="29B3AF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ведущие мосты для комбайна СК-3 (1958-61)- более 10 тыс.; холодильник «Бирюса» (1963-).</w:t>
      </w:r>
    </w:p>
    <w:p w14:paraId="6D6364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АО «Красноярский завод</w:t>
      </w:r>
      <w:r w:rsidRPr="00640820">
        <w:rPr>
          <w:rFonts w:ascii="Times New Roman" w:hAnsi="Times New Roman"/>
          <w:smallCaps/>
          <w:color w:val="000000" w:themeColor="text1"/>
          <w:sz w:val="16"/>
          <w:szCs w:val="16"/>
        </w:rPr>
        <w:t xml:space="preserve"> холодильников</w:t>
      </w:r>
      <w:r w:rsidRPr="00640820">
        <w:rPr>
          <w:rFonts w:ascii="Times New Roman" w:hAnsi="Times New Roman"/>
          <w:color w:val="000000" w:themeColor="text1"/>
          <w:sz w:val="16"/>
          <w:szCs w:val="16"/>
        </w:rPr>
        <w:t xml:space="preserve"> «Бирюса»</w:t>
      </w:r>
    </w:p>
    <w:p w14:paraId="191F1A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1992г. производство холодильников выделено из состава «Красмашзавода» в самостоятельный завод холодильников «Бирюса». Был в 2004г.</w:t>
      </w:r>
    </w:p>
    <w:p w14:paraId="595562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Химический завод /662991 пос. Подгорный (г. Железногорск) Красноярского кр. ул. Заводская, 1 тел. 20-162/</w:t>
      </w:r>
    </w:p>
    <w:p w14:paraId="3BA067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Филиал Красмашзавода (2002г.).</w:t>
      </w:r>
    </w:p>
    <w:p w14:paraId="139DD9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(2002г.): огневые испытания ЖРД и агрегатов; климатические испытания РКТ; заправка КА компонентами топлива; утилизация военной и РКТ; переработка гептила.</w:t>
      </w:r>
      <w:r w:rsidRPr="00640820">
        <w:rPr>
          <w:rFonts w:ascii="Times New Roman" w:hAnsi="Times New Roman"/>
          <w:color w:val="000000" w:themeColor="text1"/>
          <w:sz w:val="16"/>
          <w:szCs w:val="16"/>
          <w:vertAlign w:val="superscript"/>
        </w:rPr>
        <w:t>69</w:t>
      </w:r>
    </w:p>
    <w:p w14:paraId="29A643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НИИ-1011 МСМ, ВНИИ приборостроения (ВНИИП) МСМ, Всероссийский Научно- Исследовательский Институт Технической Физики (ВНИИТФ), «Челябинск-70», ФГУП «РФЯЦ-ВНИИТФ им. академика Е.И. Забабахина» Росатома /456770 г. Снежинск Челябинской обл. ул. Васильева, 13 а/я 245 тел. 32-625/</w:t>
      </w:r>
    </w:p>
    <w:p w14:paraId="6A7F22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НИИ-1011 МСМ создан в соответствии с пост. СМ СССР № 1561-701 от 31.07.1954г. и приказом № 252 от 5.04.1955г. как «дублер» «Арзамаса-16» для разработки и испытаний ядерных зарядов. Для него было выбрано место между Свердловском и Челябинском на южном берегу озера Синара. Исходной базой послужил пос. Сокол в 20 км к северу от комбината «Маяк». В поселке с 1946 по 1955г. располагалась лаборатория «Б» МВД, выполнявшая радиационно-биологические исследования. </w:t>
      </w:r>
      <w:r w:rsidRPr="00640820">
        <w:rPr>
          <w:rFonts w:ascii="Times New Roman" w:hAnsi="Times New Roman"/>
          <w:color w:val="000000" w:themeColor="text1"/>
          <w:sz w:val="16"/>
          <w:szCs w:val="16"/>
        </w:rPr>
        <w:lastRenderedPageBreak/>
        <w:t>Часть ее сотрудников вошла в состав нового института. В 08.1955г. прибыли первые научные сотрудники. Указом Президиума ВС СССР от 23.05.1957г. образован г. Снежинск.</w:t>
      </w:r>
    </w:p>
    <w:p w14:paraId="2A5AB2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1966(7)г. переименован во ВНИИП (приборостроения), в 1989г.- во ВНИИТФ (технической физики) (есть упоминания названия- ЦНИИТФ).</w:t>
      </w:r>
      <w:r w:rsidRPr="00640820">
        <w:rPr>
          <w:rFonts w:ascii="Times New Roman" w:hAnsi="Times New Roman"/>
          <w:color w:val="000000" w:themeColor="text1"/>
          <w:sz w:val="16"/>
          <w:szCs w:val="16"/>
          <w:vertAlign w:val="superscript"/>
        </w:rPr>
        <w:t>67</w:t>
      </w:r>
      <w:r w:rsidRPr="00640820">
        <w:rPr>
          <w:rFonts w:ascii="Times New Roman" w:hAnsi="Times New Roman"/>
          <w:color w:val="000000" w:themeColor="text1"/>
          <w:sz w:val="16"/>
          <w:szCs w:val="16"/>
        </w:rPr>
        <w:t xml:space="preserve"> Распоряжением Президента РФ № 88-РПС от 28.02.1992г. институт получил статус Российского федерального ядерного центра (РФЯЦ) ВНИИТФ, в 1998г. ему присвоено имя академика Е.И. Забабахина.</w:t>
      </w:r>
    </w:p>
    <w:p w14:paraId="747845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ВНИИП имел (1961-64г.) Загорский филиал.</w:t>
      </w:r>
      <w:r w:rsidRPr="00640820">
        <w:rPr>
          <w:rFonts w:ascii="Times New Roman" w:hAnsi="Times New Roman"/>
          <w:color w:val="000000" w:themeColor="text1"/>
          <w:sz w:val="16"/>
          <w:szCs w:val="16"/>
          <w:vertAlign w:val="superscript"/>
        </w:rPr>
        <w:t>130</w:t>
      </w:r>
    </w:p>
    <w:p w14:paraId="44FE5D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Разработка конструкции ядерных и термоядерных БЧ стратегических ракет для ВМФ, КР, авиабомб, артиллерии, противоракет. В 1969г. разработка специальных БЧ для противоракет перспективной системы ПРО передана во ВНИИЭФ.</w:t>
      </w:r>
    </w:p>
    <w:p w14:paraId="6D4333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1960г. научный руководитель института являлся и гл. конструктором. В 1960г. было определено два конструкторских направления: разработка ядерных зарядов (ЯЗ) и разработка ядерных боеприпасов (ЯБП).</w:t>
      </w:r>
    </w:p>
    <w:p w14:paraId="46086A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17.08.1961г. вышло постановление СМ СССР № 758-324 «О проведении в 1962г. заводских и зачетных испытаний опытных образцов изделия «Скальп».</w:t>
      </w:r>
    </w:p>
    <w:p w14:paraId="4BFBF8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1966г. разработано 80 ядерных зарядов «повышенной чистоты» для использования в мирных целях (всего в СССР произведено 124 мирных взрыва): сейсмозондирование для разведки полезных ископаемых (22 взрыва); создание подземных емкостей для газа (22 взрыва); интенсификация добычи нефти и газа (16 взрывов); отработка взрывных технологий (6 взрывов); перекрытие скважин (4 взрыва); дробление руды (2 взрыва); захоронение биологически-опасных стоков нефтехимических производств (2 взрыва); создание траншеи-выемки (1 взрыв).</w:t>
      </w:r>
    </w:p>
    <w:p w14:paraId="1C77E7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Созданы: высоковольтный импульсный ускоритель ИГУР-3; лазерная установка «Сокол» для исследования термоядерного синтеза; семейство импульсных ядерных реакторов; установки для исследований гравитационной неустойчивости и турбулентного перемешивания; комплекс радиохимических исследований; установки для взрывных экспериментов.</w:t>
      </w:r>
    </w:p>
    <w:p w14:paraId="3EFF36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1998г.: фундаментальные и прикладные исследования по ядерной физике, физике высоких давлений, гидродинамике; конструкторские и технологические работы по ядерным боеприпасам, системам автоматики и средствам регистрации.</w:t>
      </w:r>
      <w:r w:rsidRPr="00640820">
        <w:rPr>
          <w:rFonts w:ascii="Times New Roman" w:hAnsi="Times New Roman"/>
          <w:color w:val="000000" w:themeColor="text1"/>
          <w:sz w:val="16"/>
          <w:szCs w:val="16"/>
          <w:vertAlign w:val="superscript"/>
        </w:rPr>
        <w:t>75</w:t>
      </w:r>
    </w:p>
    <w:p w14:paraId="5FEC12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Созданы кумулятивные перфораторы для нефтяных скважин; комплекс установок для производства оптического волокна; технологии: взрывной разделки металлов; синтеза и очистки алмазов.</w:t>
      </w:r>
    </w:p>
    <w:p w14:paraId="7E8C77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Направления деятельности (2005г.): работы по созданию: ядерного оружия; систем контроля за безопасностью и сохранностью ядерных материалов и противодействия терроризму; фундаментальные исследования в областях: свойства веществ в широком диапазоне давлений и температур; фазовые переходы; термоядерные реакции; физика плазмы; газодинамические течения; модели прочности и разрушения среды; физика лазеров; астрофизика.</w:t>
      </w:r>
    </w:p>
    <w:p w14:paraId="6DC407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решению правительства № 22-р от 9.01.2004г. вошло в перечень стратегических предприятий. В 2000г. - в ведении Департамента, а в 12.2004г.- Управления разработки и испытаний ядерных боеприпасов Росатома.</w:t>
      </w:r>
    </w:p>
    <w:p w14:paraId="147029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института (2005г.): комплекс теоретических подразделений; отделение экспериментальной физики; два КБ; научно-испытательный комплекс; внутренний полигон для неядерных взрывных экспериментов; два экспериментальных завода; подразделение по ядерным испытаниям на полигонах МО, подразделение по испытаниям ЯБП без ядерных зарядов; технологическое отделение; ВЦ.</w:t>
      </w:r>
    </w:p>
    <w:p w14:paraId="2DE65C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(2005г.)- около 13.000 чел.</w:t>
      </w:r>
    </w:p>
    <w:p w14:paraId="796499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(04.1955-61г.)- Д.Е. Васильев, (1961-64г.)- Б.Н. Леденев, (1964-88г.)- Г.П. Ломинский, (1988-96г.)- В.З. Нечай, (12.1996-12.1998г.)- Е.Н. Аврорин, (1998-2005г.-&gt; Г.Н. Рыкованов.</w:t>
      </w:r>
    </w:p>
    <w:p w14:paraId="2351AB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директора (1998г.)- Г.Н. Рыкованов, (2003г.)- Р. Вознюк.</w:t>
      </w:r>
    </w:p>
    <w:p w14:paraId="0F1DAA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Научный руководитель (04.1955-60г.)- К.И. Щелкин, (1960-84г.)- академик (1968г.) Е.И. Забабахин, (1985- 2006г.-)- академик Е.Н. Аврорин.</w:t>
      </w:r>
    </w:p>
    <w:p w14:paraId="001A81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научного руководителя (1978-97г.)- академик Б.В. Литвинов, (1998г.-)- Г.Н. Рыкованов. Зам. научного руководителя (1957г.)- Г.А. Цырков, (1974г.)- Е.Н. Аврорин, (1997-98г.)- Г.Н. Рыкованов, (1997-2005г.-&gt; академик Б.В. Литвинов.</w:t>
      </w:r>
    </w:p>
    <w:p w14:paraId="13F7E9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(1955-60г.)- К.И. Щелкин. Гл. конструктор по ЯЗ (1960-61г.)- Б.Н. Леденев, (1961-65; 1967- 97г.)-Б.В. Литвинов, (1965-67г.)- А.Д. Захаренков, (1997-2005г.-)- А.Н. Аверин. Гл. конструктор по ЯБП (1960- 65г.)- А.Д. Захаренков (5Ф48), (1965-72г.)- Л.Ф. Клопов (4К10, изд. 202), (1972-81г.)- О.Н. Тиханэ, (1981-89г.)- В.А. Берниковский, (1989-2001г.)- А.Н. Сенькин, (2001-05г.-)- Г.Д. Зеленкин.</w:t>
      </w:r>
    </w:p>
    <w:p w14:paraId="28B52E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конструктора (1957г.)- Г.А. Цырков (изд. 202), (1965-68г.)- Б.В. Литвинов, (2003г.)- А. Васильев.</w:t>
      </w:r>
    </w:p>
    <w:p w14:paraId="49BE5B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(1972г.)- В.А. Берниковский.</w:t>
      </w:r>
    </w:p>
    <w:p w14:paraId="26CC28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Теоретического (1964-74г.)- Е.Н. Аврорин; (1966г.)- П.А. Есин, А.П. Зверев, К.К. Крупников, В.А. Симоненко, А.С. Федоров. Начальники: теоретического отделения (1974г.-)- Е.Н. Аврорин, (1995-98г.-)- Г.Н. Рыкованов; архивно-аналитической лаборатории (1997г.-)- Б.В. Литвинов.</w:t>
      </w:r>
    </w:p>
    <w:p w14:paraId="0143AA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начальника отдела: (2003г.)- Г. Свалов.^</w:t>
      </w:r>
      <w:r w:rsidRPr="00640820">
        <w:rPr>
          <w:rFonts w:ascii="Times New Roman" w:hAnsi="Times New Roman"/>
          <w:color w:val="000000" w:themeColor="text1"/>
          <w:sz w:val="16"/>
          <w:szCs w:val="16"/>
          <w:vertAlign w:val="superscript"/>
          <w:lang w:val="en-US"/>
        </w:rPr>
        <w:t>ch</w:t>
      </w:r>
      <w:r w:rsidRPr="00640820">
        <w:rPr>
          <w:rFonts w:ascii="Times New Roman" w:hAnsi="Times New Roman"/>
          <w:color w:val="000000" w:themeColor="text1"/>
          <w:sz w:val="16"/>
          <w:szCs w:val="16"/>
          <w:vertAlign w:val="superscript"/>
        </w:rPr>
        <w:t xml:space="preserve">70 </w:t>
      </w:r>
      <w:r w:rsidRPr="00640820">
        <w:rPr>
          <w:rFonts w:ascii="Times New Roman" w:hAnsi="Times New Roman"/>
          <w:color w:val="000000" w:themeColor="text1"/>
          <w:sz w:val="16"/>
          <w:szCs w:val="16"/>
          <w:vertAlign w:val="superscript"/>
          <w:lang w:val="en-US"/>
        </w:rPr>
        <w:t>chdsu</w:t>
      </w:r>
    </w:p>
    <w:p w14:paraId="1BF7D5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Создано:</w:t>
      </w:r>
      <w:r w:rsidRPr="00640820">
        <w:rPr>
          <w:rFonts w:ascii="Times New Roman" w:hAnsi="Times New Roman"/>
          <w:color w:val="000000" w:themeColor="text1"/>
          <w:sz w:val="16"/>
          <w:szCs w:val="16"/>
        </w:rPr>
        <w:t xml:space="preserve"> ядерная противолодочная авиационная бомба 5Ф48 «Скальп» (пнв в 1964г.);</w:t>
      </w:r>
      <w:r w:rsidRPr="00640820">
        <w:rPr>
          <w:rFonts w:ascii="Times New Roman" w:hAnsi="Times New Roman"/>
          <w:color w:val="000000" w:themeColor="text1"/>
          <w:sz w:val="16"/>
          <w:szCs w:val="16"/>
          <w:vertAlign w:val="superscript"/>
        </w:rPr>
        <w:t>вшс</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vertAlign w:val="superscript"/>
        </w:rPr>
        <w:t>300806</w:t>
      </w:r>
      <w:r w:rsidRPr="00640820">
        <w:rPr>
          <w:rFonts w:ascii="Times New Roman" w:hAnsi="Times New Roman"/>
          <w:iCs/>
          <w:color w:val="000000" w:themeColor="text1"/>
          <w:sz w:val="16"/>
          <w:szCs w:val="16"/>
        </w:rPr>
        <w:t xml:space="preserve"> БЧ: </w:t>
      </w:r>
      <w:r w:rsidRPr="00640820">
        <w:rPr>
          <w:rFonts w:ascii="Times New Roman" w:hAnsi="Times New Roman"/>
          <w:color w:val="000000" w:themeColor="text1"/>
          <w:sz w:val="16"/>
          <w:szCs w:val="16"/>
        </w:rPr>
        <w:t>термоядерной бомбы «изд. 202» (РН202, «Иван»), МБР Р-13, противоракет В-1000, А-350, КР «Буран-А», термоядерной головной части БР Р-27 (4К10) (1968г.); ядерный артиллерийский снаряд калибра 152 мм; фугас, который предполагалось использовать для перемещения больших объемов грунта при повороте сибирских рек; установка выплавления и гранулирования тротила ВГТ-2ц, Р16К-М26;</w:t>
      </w:r>
    </w:p>
    <w:p w14:paraId="0DB795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комплекс нейтронной терапии онкологических заболеваний, приборы: для лечения мочекаменной болезни, для оксигенации и стерилизации крови (11982).</w:t>
      </w:r>
      <w:r w:rsidRPr="00640820">
        <w:rPr>
          <w:rFonts w:ascii="Times New Roman" w:hAnsi="Times New Roman"/>
          <w:color w:val="000000" w:themeColor="text1"/>
          <w:sz w:val="16"/>
          <w:szCs w:val="16"/>
          <w:vertAlign w:val="superscript"/>
        </w:rPr>
        <w:t>101</w:t>
      </w:r>
    </w:p>
    <w:p w14:paraId="56F6C30A" w14:textId="77777777" w:rsidR="005E5074" w:rsidRPr="00640820" w:rsidRDefault="005E5074" w:rsidP="00640820">
      <w:pPr>
        <w:autoSpaceDE w:val="0"/>
        <w:autoSpaceDN w:val="0"/>
        <w:adjustRightInd w:val="0"/>
        <w:spacing w:after="0" w:line="240" w:lineRule="auto"/>
        <w:jc w:val="both"/>
        <w:rPr>
          <w:rFonts w:ascii="Times New Roman" w:hAnsi="Times New Roman"/>
          <w:color w:val="000000" w:themeColor="text1"/>
          <w:sz w:val="16"/>
          <w:szCs w:val="16"/>
        </w:rPr>
      </w:pPr>
    </w:p>
    <w:p w14:paraId="53A53202" w14:textId="77777777" w:rsidR="005E5074" w:rsidRPr="00640820" w:rsidRDefault="005E507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ноября 1941 года около семи часов вечера на 2-е производство завода № 67 в Красноармейске привезли с механического завода партию заградительных мин около 200 штук. Их нужно было срочно снарядить. Это был предпраздничный день, большую часть людей уже отпустили домой, а жили они в основном в близлежащих деревнях, поэтому для выполнения срочного задания пришлось включить в бригаду тех, кто еще не успел уйти.</w:t>
      </w:r>
    </w:p>
    <w:p w14:paraId="037C50F2" w14:textId="77777777" w:rsidR="005E5074" w:rsidRPr="00640820" w:rsidRDefault="005E507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нее вошли двое рабочих боевого поля, двое бойцов военизированной охраны, рабочий первой мастерской, шофер и мастер ОТК – всего 7 человек.</w:t>
      </w:r>
    </w:p>
    <w:p w14:paraId="5339FBB3" w14:textId="77777777" w:rsidR="005E5074" w:rsidRPr="00640820" w:rsidRDefault="005E507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Работа началась немедленно, как всегда, в овраге, у маленького помещения второй мастерской, где производилась заливка. Мины наполняли взрывчатым веществом, затем собирали и, наконец, мастер ОТК В. В. Волков заканчивал сборку, устанавливая капсюль-детонатор.</w:t>
      </w:r>
    </w:p>
    <w:p w14:paraId="7279ED2C" w14:textId="77777777" w:rsidR="005E5074" w:rsidRPr="00640820" w:rsidRDefault="005E507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втором часу ночи раздался небольшой взрыв, а примерно через полминуты еще один – огромной силы. Когда дежурный по производству № 2 Собко и мастер А. С. Смирнов подбежали к оврагу, то обнаружили на месте мастерской воронку.</w:t>
      </w:r>
    </w:p>
    <w:p w14:paraId="4A8CA772" w14:textId="77777777" w:rsidR="005E5074" w:rsidRPr="00640820" w:rsidRDefault="005E507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Кругом были раскиданы доски от домика. В пятнадцати метрах от места взрыва подобрали тяжелораненого М. И. Клинкова. Он был еще в сознании и успел сказать, что снарядили больше 140 мин и что первый взрыв произошел в руках у Ф. В. Волкова. Через сутки М. И. Клинков скончался.</w:t>
      </w:r>
    </w:p>
    <w:p w14:paraId="1100A100" w14:textId="77777777" w:rsidR="005E5074" w:rsidRPr="00640820" w:rsidRDefault="005E507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Точно не известно, что явилось причиной несчастья: то ли чья-нибудь неосторожность – естественный результат усталости, так как люди проработали без отдыха больше 18 часов, то ли поступившие с завода взрывающие устройства имели дефект. Это возможно, так как заводские рабочие тоже спешили так же, как спешили работник ОТК и военной приемки. Ведь немцы всему миру объявили, что 5 ноября германские войска начинают генеральное наступление на Москву.</w:t>
      </w:r>
    </w:p>
    <w:p w14:paraId="602D35A5" w14:textId="77777777" w:rsidR="005E5074" w:rsidRPr="00640820" w:rsidRDefault="005E507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Семеро рабочих производства № 2 погибли на боевом посту, выполняя свой долг. Вот их имена: Ф. В. Волков, Ф. Г. Петратьев, Е. Ф. Кирейчиков, М. И. Клинков, К. Ф. Миронов, В. И. Трохин, Я. И. Шепеленко.</w:t>
      </w:r>
    </w:p>
    <w:p w14:paraId="416FE112" w14:textId="77777777" w:rsidR="005E5074" w:rsidRPr="00640820" w:rsidRDefault="005E507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Похоронили их на городском кладбище в братской могиле, где незадолго до этого похоронили летчиков с подбитого фашистами самолета, который упал около Красноармейска.</w:t>
      </w:r>
    </w:p>
    <w:p w14:paraId="7C1A391E" w14:textId="77777777" w:rsidR="005E5074" w:rsidRPr="00640820" w:rsidRDefault="005E507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Когда на следующий день после несчастья люди пришли на работу, в мастерских стоял тридцатиградусный мороз, так как взрывом во всех помещениях выбило стекла. Но надо было работать (15794).</w:t>
      </w:r>
    </w:p>
    <w:p w14:paraId="150E1BFA" w14:textId="77777777" w:rsidR="005E5074" w:rsidRPr="00640820" w:rsidRDefault="005E5074" w:rsidP="00640820">
      <w:pPr>
        <w:spacing w:after="0" w:line="240" w:lineRule="auto"/>
        <w:jc w:val="both"/>
        <w:rPr>
          <w:rFonts w:ascii="Times New Roman" w:hAnsi="Times New Roman"/>
          <w:color w:val="000000" w:themeColor="text1"/>
          <w:sz w:val="16"/>
          <w:szCs w:val="16"/>
        </w:rPr>
      </w:pPr>
    </w:p>
    <w:p w14:paraId="595404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ноября 1941 начат ремонт БТЩ "Гак" и минного заградителя "Марти"; закончен в конце ноября (10671).</w:t>
      </w:r>
    </w:p>
    <w:p w14:paraId="074A56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9E018B5"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3520B950"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371F892" w14:textId="77777777" w:rsidR="005E5074" w:rsidRPr="00640820" w:rsidRDefault="005E5074"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6 ноября</w:t>
      </w:r>
      <w:r w:rsidRPr="00640820">
        <w:rPr>
          <w:rFonts w:ascii="Times New Roman" w:hAnsi="Times New Roman"/>
          <w:color w:val="000000" w:themeColor="text1"/>
          <w:sz w:val="16"/>
          <w:szCs w:val="16"/>
        </w:rPr>
        <w:t xml:space="preserve"> в 1941 году утреннее сообщение Совинформбюро:</w:t>
      </w:r>
    </w:p>
    <w:p w14:paraId="0659CFF6" w14:textId="77777777" w:rsidR="005E5074" w:rsidRPr="00640820" w:rsidRDefault="005E507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6 ноября наши войска вели бои с противником на всех фронтах.</w:t>
      </w:r>
    </w:p>
    <w:p w14:paraId="3E8BB874" w14:textId="77777777" w:rsidR="005E5074" w:rsidRPr="00640820" w:rsidRDefault="005E507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Авиачасти Западного фронта за один день боевых действий 4 ноября уничтожили 48 немецких танков, 200 автомашин с пехотой противника и боеприпасами, до 100 повозок с военным грузом, 5 цистерн с горючим, 15 орудий, 4 зенитные точки, 4 вагона с боеприпасами, рассеяли и уничтожили до 2 батальонов пехоты противника.</w:t>
      </w:r>
    </w:p>
    <w:p w14:paraId="11301ACD" w14:textId="77777777" w:rsidR="005E5074" w:rsidRPr="00640820" w:rsidRDefault="005E507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Энская танковая часть, действующая на Южном фронте, в коротком бою с противником уничтожила 6 немецких танков, 20 противотанковых орудий, 4 полевые пушки, 6 автомашин и до 500 солдат противника.</w:t>
      </w:r>
    </w:p>
    <w:p w14:paraId="7D80EA15" w14:textId="77777777" w:rsidR="005E5074" w:rsidRPr="00640820" w:rsidRDefault="005E507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Артиллерийская часть командира Лобанова 1 ноября уничтожила до 80 автомашин с пехотой противника. 2 ноября эта же часть рассеяла и уничтожила 2 батальона вражеской пехоты и подбила несколько немецких танков.</w:t>
      </w:r>
    </w:p>
    <w:p w14:paraId="55A12FFF" w14:textId="77777777" w:rsidR="005E5074" w:rsidRPr="00640820" w:rsidRDefault="005E507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Во многих районах Австрии царит голод. Длительное недоедание резко сказывается на производительности рабочих. Так, на заводах в Вене, Штоккерау, Лизинге и Медлинге производительность труда рабочих за последние два месяца понизилась на 15 процентов. На многих предприятиях, выполняющих военные заказы, в </w:t>
      </w:r>
      <w:r w:rsidRPr="00640820">
        <w:rPr>
          <w:rFonts w:ascii="Times New Roman" w:hAnsi="Times New Roman"/>
          <w:color w:val="000000" w:themeColor="text1"/>
          <w:sz w:val="16"/>
          <w:szCs w:val="16"/>
        </w:rPr>
        <w:lastRenderedPageBreak/>
        <w:t>результате снижения производительности труда и многочисленных актов саботажа выпуск продукции сократился на 20-30 процентов. На заводах резко возросло количество несчастных случаев. Попытки немцев поднять выпуск продукции на предприятиях Австрии ни к чему не привели.</w:t>
      </w:r>
    </w:p>
    <w:p w14:paraId="23BB39F5" w14:textId="77777777" w:rsidR="005E5074" w:rsidRPr="00640820" w:rsidRDefault="005E507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Стахановским трудом крепят рабочие, инженеры и служащие горнорудной промышленности оборонную мощь страны. Успенский рудник Карагандинской области уже выполнил годовой план добычи медной руды. Недавно коллектив Высокогорского железного рудника (Нижний Тагил) взял на себя новые обязательства и призвал всех шахтёров Урала утроить темпы работы. Высокогорские горняки с честью выполнили своё обязательство. 28 октября рудник завершил годовой производственный план. Бурщик-семиволосовец Южаков уже выполнил 18 месячных норм, бурщик Скородумов — 21 норму. Минорский, Евкаджинский и многие другие прииски треста «Джугджурзолото» в Якутии также выполнили годовые планы и добывают золото сверх плана. 30 бригад прииска Юр завершили годовую программу. Годовую программу выполнили передовые предприятия и старательские артели треста «Якут-золото». Шахта «Центральная» рудника «Акжал» в Казахской ССР вдвое перевыполнила годовой план. На рудниках имени Артёма треста «Минусзолото» в Красноярском крае 200 женщин овладели квалификациями забойщика и каталя. Каждая из них вырабатывает полторы и больше норм. Старательская артель, где бригадиром т. Бурган, выполнила годовой план золото добычи на 223 процента.» (14822).</w:t>
      </w:r>
    </w:p>
    <w:p w14:paraId="60AB2A31" w14:textId="77777777" w:rsidR="005E5074" w:rsidRPr="00640820" w:rsidRDefault="005E5074" w:rsidP="00640820">
      <w:pPr>
        <w:spacing w:after="0" w:line="240" w:lineRule="auto"/>
        <w:jc w:val="both"/>
        <w:rPr>
          <w:rFonts w:ascii="Times New Roman" w:hAnsi="Times New Roman"/>
          <w:color w:val="000000" w:themeColor="text1"/>
          <w:sz w:val="16"/>
          <w:szCs w:val="16"/>
        </w:rPr>
      </w:pPr>
    </w:p>
    <w:p w14:paraId="217E90DD" w14:textId="77777777" w:rsidR="005E5074" w:rsidRPr="00640820" w:rsidRDefault="005E5074"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6 ноября</w:t>
      </w:r>
      <w:r w:rsidRPr="00640820">
        <w:rPr>
          <w:rFonts w:ascii="Times New Roman" w:hAnsi="Times New Roman"/>
          <w:color w:val="000000" w:themeColor="text1"/>
          <w:sz w:val="16"/>
          <w:szCs w:val="16"/>
        </w:rPr>
        <w:t xml:space="preserve"> в 1941 году вечернее сообщение Совинформбюро:</w:t>
      </w:r>
    </w:p>
    <w:p w14:paraId="0F8839D1" w14:textId="77777777" w:rsidR="005E5074" w:rsidRPr="00640820" w:rsidRDefault="005E507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6 ноября наши войска вели бои с противником на всех фронтах.</w:t>
      </w:r>
    </w:p>
    <w:p w14:paraId="781EBDFF" w14:textId="77777777" w:rsidR="005E5074" w:rsidRPr="00640820" w:rsidRDefault="005E507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5 ноября уничтожено 56 немецких самолётов. Наши потери — 17 самолётов.</w:t>
      </w:r>
    </w:p>
    <w:p w14:paraId="4E6BCCE2" w14:textId="77777777" w:rsidR="005E5074" w:rsidRPr="00640820" w:rsidRDefault="005E507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6 ноября под Москвой уничтожено 34 немецких самолёта.</w:t>
      </w:r>
    </w:p>
    <w:p w14:paraId="189FCDA6" w14:textId="77777777" w:rsidR="005E5074" w:rsidRPr="00640820" w:rsidRDefault="005E507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ноября наши авиачасти уничтожили и вывели из строя 40 вражеских танков, 350 автомашин с пехотой и вооружением, 13 цистерн с горючим, 10 орудий, 130 повозок с военным снаряжением, взорвали 3 склада и один железнодорожный состав с боеприпасами, рассеяли и уничтожили до полка немецкой пехоты.</w:t>
      </w:r>
    </w:p>
    <w:p w14:paraId="45A12116" w14:textId="77777777" w:rsidR="005E5074" w:rsidRPr="00640820" w:rsidRDefault="005E507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Наша авиация, действующая на Южном фронте, по далеко не полным данным, за октябрь месяц уничтожила около 300 вражеских танков, свыше 12.000 солдат и офицеров противника, около 2.500 автомашин с пехотой и военными грузами, большое количество повозок, около 100 различных орудий. Особенно успешно действовало соединение тов. Голунова. В воздушных боях лётчики тов. Голунова сбили 9 немецких самолётов, уничтожили около 300 автомашин, много танков, 7.000 солдат противника, 30 орудий и 16 цистерн с горючим.</w:t>
      </w:r>
    </w:p>
    <w:p w14:paraId="517F2348" w14:textId="77777777" w:rsidR="005E5074" w:rsidRPr="00640820" w:rsidRDefault="005E507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Каждый день поступают новые сведения о боевых действиях советских партизан против фашистских захватчиков. На железнодорожной линии Плавиняс-Ливани латышские партизаны организовали большое крушение воинского состава с продовольствием для германской армии. Во время крушения разбит служебный вагон, в котором уничтожено 17 германских офицеров. Успешно действует в районе Л. партизанский отряд под командованием начальника цеха одного из рижских заводов тов. Ц. Бойцы этого отряда 23 октября разбили у города Л. карательный отряд немцев, заманив его в болото. Выход из болота был перерезан партизанами. В течение десяти часов прорывались немцы к городу Л. Одна группа партизан зашла противнику в тыл. Немцы очутились под перекрёстным огнём, и все погибли. Партизаны захватили 72 винтовки, 7 автоматов и большое количество боеприпасов. По всей Латвии широко распространяются листовки, которые призывают латышское население уничтожать немецких захватчиков. Большим успехом среди латышского населения пользуются подпольные газеты, выходящие большими тиражами.</w:t>
      </w:r>
    </w:p>
    <w:p w14:paraId="15795647" w14:textId="77777777" w:rsidR="005E5074" w:rsidRPr="00640820" w:rsidRDefault="005E507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ряде городов Германии в конце октября произошли стихийные демонстрации населения. В городе Нейнкирхене многочисленная группа женщин, скопившаяся у пустого продовольственного магазина, ринулась по улицам с возгласами: «Дайте хлеба!», «С нас хватит войны!». Полиция, пытавшаяся разогнать демонстрацию, была смята. Прибывшие штурмовые отряды стали избивать женщин. Около 30 человек получило тяжёлые увечья. Ночью были произведены многочисленные аресты.» (14822).</w:t>
      </w:r>
    </w:p>
    <w:p w14:paraId="6AEFA274" w14:textId="77777777" w:rsidR="005E5074" w:rsidRPr="00640820" w:rsidRDefault="005E5074" w:rsidP="00640820">
      <w:pPr>
        <w:spacing w:after="0" w:line="240" w:lineRule="auto"/>
        <w:jc w:val="both"/>
        <w:rPr>
          <w:rFonts w:ascii="Times New Roman" w:hAnsi="Times New Roman"/>
          <w:color w:val="000000" w:themeColor="text1"/>
          <w:sz w:val="16"/>
          <w:szCs w:val="16"/>
        </w:rPr>
      </w:pPr>
    </w:p>
    <w:p w14:paraId="276E7BA8" w14:textId="77777777" w:rsidR="00216F30" w:rsidRPr="00640820" w:rsidRDefault="00216F3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6 ноября 1941 в 11.25 семь Пе</w:t>
      </w:r>
      <w:r w:rsidRPr="00640820">
        <w:rPr>
          <w:rFonts w:ascii="Times New Roman" w:hAnsi="Times New Roman"/>
          <w:color w:val="0070C0"/>
          <w:sz w:val="16"/>
          <w:szCs w:val="16"/>
        </w:rPr>
        <w:noBreakHyphen/>
        <w:t>2 из 125</w:t>
      </w:r>
      <w:r w:rsidRPr="00640820">
        <w:rPr>
          <w:rFonts w:ascii="Times New Roman" w:hAnsi="Times New Roman"/>
          <w:color w:val="0070C0"/>
          <w:sz w:val="16"/>
          <w:szCs w:val="16"/>
        </w:rPr>
        <w:noBreakHyphen/>
        <w:t>го ближнебомбардировочного авиаполка (ббап) во главе с майором В.А. Сандаловым в сопровождении 10 МиГ</w:t>
      </w:r>
      <w:r w:rsidRPr="00640820">
        <w:rPr>
          <w:rFonts w:ascii="Times New Roman" w:hAnsi="Times New Roman"/>
          <w:color w:val="0070C0"/>
          <w:sz w:val="16"/>
          <w:szCs w:val="16"/>
        </w:rPr>
        <w:noBreakHyphen/>
        <w:t>3 с высоты 2500 метров сбросили бомбы на аэродром около станции Сиверская, в 67 километрах к югу от Ленинграда. По данным авиаразведки, там стояло около сорока Ju</w:t>
      </w:r>
      <w:r w:rsidRPr="00640820">
        <w:rPr>
          <w:rFonts w:ascii="Times New Roman" w:hAnsi="Times New Roman"/>
          <w:color w:val="0070C0"/>
          <w:sz w:val="16"/>
          <w:szCs w:val="16"/>
        </w:rPr>
        <w:noBreakHyphen/>
        <w:t>88, 31 Bf</w:t>
      </w:r>
      <w:r w:rsidRPr="00640820">
        <w:rPr>
          <w:rFonts w:ascii="Times New Roman" w:hAnsi="Times New Roman"/>
          <w:color w:val="0070C0"/>
          <w:sz w:val="16"/>
          <w:szCs w:val="16"/>
        </w:rPr>
        <w:noBreakHyphen/>
        <w:t>109 и 4 Ju</w:t>
      </w:r>
      <w:r w:rsidRPr="00640820">
        <w:rPr>
          <w:rFonts w:ascii="Times New Roman" w:hAnsi="Times New Roman"/>
          <w:color w:val="0070C0"/>
          <w:sz w:val="16"/>
          <w:szCs w:val="16"/>
        </w:rPr>
        <w:noBreakHyphen/>
        <w:t>52. Для удара по немецкой авиабазе собрали все, что было, в том числе решили задействовать даже истребители ПВО. Затем Сиверскую с малой высоты атаковали шесть Ил</w:t>
      </w:r>
      <w:r w:rsidRPr="00640820">
        <w:rPr>
          <w:rFonts w:ascii="Times New Roman" w:hAnsi="Times New Roman"/>
          <w:color w:val="0070C0"/>
          <w:sz w:val="16"/>
          <w:szCs w:val="16"/>
        </w:rPr>
        <w:noBreakHyphen/>
        <w:t>2 из 174</w:t>
      </w:r>
      <w:r w:rsidRPr="00640820">
        <w:rPr>
          <w:rFonts w:ascii="Times New Roman" w:hAnsi="Times New Roman"/>
          <w:color w:val="0070C0"/>
          <w:sz w:val="16"/>
          <w:szCs w:val="16"/>
        </w:rPr>
        <w:noBreakHyphen/>
        <w:t>го шап во главе с капитаном Сергеем Поляковым и 10 бипланов И</w:t>
      </w:r>
      <w:r w:rsidRPr="00640820">
        <w:rPr>
          <w:rFonts w:ascii="Times New Roman" w:hAnsi="Times New Roman"/>
          <w:color w:val="0070C0"/>
          <w:sz w:val="16"/>
          <w:szCs w:val="16"/>
        </w:rPr>
        <w:noBreakHyphen/>
        <w:t>153 «Чайка». После этого в 14.30 аэродром бомбили еще семь Пе</w:t>
      </w:r>
      <w:r w:rsidRPr="00640820">
        <w:rPr>
          <w:rFonts w:ascii="Times New Roman" w:hAnsi="Times New Roman"/>
          <w:color w:val="0070C0"/>
          <w:sz w:val="16"/>
          <w:szCs w:val="16"/>
        </w:rPr>
        <w:noBreakHyphen/>
        <w:t>2 под командованием капитана А. И. Резвых.</w:t>
      </w:r>
    </w:p>
    <w:p w14:paraId="548AB6D8" w14:textId="77777777" w:rsidR="00216F30" w:rsidRPr="00640820" w:rsidRDefault="00216F3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По советским данным, на земле было уничтожено 11 самолетов, при этом большая часть из них пилотами Илов. По сведениям же 1</w:t>
      </w:r>
      <w:r w:rsidRPr="00640820">
        <w:rPr>
          <w:rFonts w:ascii="Times New Roman" w:hAnsi="Times New Roman"/>
          <w:color w:val="0070C0"/>
          <w:sz w:val="16"/>
          <w:szCs w:val="16"/>
        </w:rPr>
        <w:noBreakHyphen/>
        <w:t>го воздушного флота люфтваффе, в ходе трех воздушных ударов по аэродрому Сиверская было потеряно семь Ju</w:t>
      </w:r>
      <w:r w:rsidRPr="00640820">
        <w:rPr>
          <w:rFonts w:ascii="Times New Roman" w:hAnsi="Times New Roman"/>
          <w:color w:val="0070C0"/>
          <w:sz w:val="16"/>
          <w:szCs w:val="16"/>
        </w:rPr>
        <w:noBreakHyphen/>
        <w:t>88A из KG77 и KGr.806, а также сгорела большая часть запасов горючего. Однако потери нападавших составили 10 машин, которые все стали жертвами «Мессершмиттов» из JG54 «Грюнхерц». Среди них оказался и Ил</w:t>
      </w:r>
      <w:r w:rsidRPr="00640820">
        <w:rPr>
          <w:rFonts w:ascii="Times New Roman" w:hAnsi="Times New Roman"/>
          <w:color w:val="0070C0"/>
          <w:sz w:val="16"/>
          <w:szCs w:val="16"/>
        </w:rPr>
        <w:noBreakHyphen/>
        <w:t>2 младшего лейтенанта А.Я. Панфилова из 174</w:t>
      </w:r>
      <w:r w:rsidRPr="00640820">
        <w:rPr>
          <w:rFonts w:ascii="Times New Roman" w:hAnsi="Times New Roman"/>
          <w:color w:val="0070C0"/>
          <w:sz w:val="16"/>
          <w:szCs w:val="16"/>
        </w:rPr>
        <w:noBreakHyphen/>
        <w:t>го шап. Летчик успел выпрыгнуть на парашюте, после чего уже на земле погиб в перестрелке с немецкими солдатами, пытавшимися взять его в плен.</w:t>
      </w:r>
    </w:p>
    <w:p w14:paraId="68955C00" w14:textId="77777777" w:rsidR="00216F30" w:rsidRPr="00640820" w:rsidRDefault="00216F3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тот же день штурмовке подвергся и аэродром Красногвардейск. Ночью в налетах на германские аэродромы участвовало несколько ДБ</w:t>
      </w:r>
      <w:r w:rsidRPr="00640820">
        <w:rPr>
          <w:rFonts w:ascii="Times New Roman" w:hAnsi="Times New Roman"/>
          <w:color w:val="0070C0"/>
          <w:sz w:val="16"/>
          <w:szCs w:val="16"/>
        </w:rPr>
        <w:noBreakHyphen/>
        <w:t>3Ф и даже летающие лодки МБР</w:t>
      </w:r>
      <w:r w:rsidRPr="00640820">
        <w:rPr>
          <w:rFonts w:ascii="Times New Roman" w:hAnsi="Times New Roman"/>
          <w:color w:val="0070C0"/>
          <w:sz w:val="16"/>
          <w:szCs w:val="16"/>
        </w:rPr>
        <w:noBreakHyphen/>
        <w:t>2, сбрасывавшие по две 100</w:t>
      </w:r>
      <w:r w:rsidRPr="00640820">
        <w:rPr>
          <w:rFonts w:ascii="Times New Roman" w:hAnsi="Times New Roman"/>
          <w:color w:val="0070C0"/>
          <w:sz w:val="16"/>
          <w:szCs w:val="16"/>
        </w:rPr>
        <w:noBreakHyphen/>
        <w:t>кг бомбы! Однако сорвать «фашистскую акцию» все же не удалось (23199).</w:t>
      </w:r>
    </w:p>
    <w:p w14:paraId="44F75C8B" w14:textId="77777777" w:rsidR="00216F30" w:rsidRPr="00640820" w:rsidRDefault="00216F30" w:rsidP="00640820">
      <w:pPr>
        <w:spacing w:after="0" w:line="240" w:lineRule="auto"/>
        <w:jc w:val="both"/>
        <w:rPr>
          <w:rFonts w:ascii="Times New Roman" w:hAnsi="Times New Roman"/>
          <w:color w:val="0070C0"/>
          <w:sz w:val="16"/>
          <w:szCs w:val="16"/>
        </w:rPr>
      </w:pPr>
    </w:p>
    <w:p w14:paraId="063832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ночь с 6-го на 7-е ноября 1941 ТБ-7 №42025 экипажа во главе с Пусэпом совершил одиночный налет на Данциг. Цель - электростанция, питавшая город, была уничтожена. При возвращении на базу экипаж из-за навигационной ошибки потерял ориентировку и, пытаясь разобраться на местности, снизился на небольшую высоту и попал под мощный зенитный обстрел. Загорелся четвертый двигатель. Все попытки ликвидировать пожар оказались безрезультатными. Пусэп отдал команду на покидание экипажем самолета. Экипаж благополучно покинул ТБ-7 на парашютах.</w:t>
      </w:r>
    </w:p>
    <w:p w14:paraId="35087D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"беспилотный" ТБ-7 с остановленными двигателями и включенным автопилотом совершил самопосадку в болотистой местности в районе Кашина Калининской области. М-40Ф прекратил гореть еще в воздухе, и машина после всех приключений оказалась практически цела. Вскоре самолет был восстановлен на месте своей удачной посадки и перелетел на свой аэродром. Командир дивизии В.И.Лебедев потом говорил, что это была самая удачная из всех вынужденных посадок, которые он знал (7685).</w:t>
      </w:r>
    </w:p>
    <w:p w14:paraId="21D4F1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13CD3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6-7 ноября 1941, согласно запискам Штепенко:</w:t>
      </w:r>
    </w:p>
    <w:p w14:paraId="159471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6-7.11.41 г. На Данциг.</w:t>
      </w:r>
    </w:p>
    <w:p w14:paraId="7ADF75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Экипаж: Пусэп, Штепенко, Мосалев. Бомбовая нагрузка 16 ФАБ-100, 8 ЗАБ-50. Старт: 17.30, выход на цель и сброс бомб 22.30.</w:t>
      </w:r>
    </w:p>
    <w:p w14:paraId="69BB2A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обратном пути в районе Калинина в 2.10: пожар, прыжок, высота 2000 метров.</w:t>
      </w:r>
    </w:p>
    <w:p w14:paraId="4C6795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 оставались на своих местах. Только командир оказался не на своем месте".</w:t>
      </w:r>
    </w:p>
    <w:p w14:paraId="3CE80B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Другие подробности при описании бомбардировки Данцига в ночь на 7 ноября 1941 г. приводит в своих воспоминаниях Эн- дель Пусэп. Мы приведем здесь его рассказ о заключительной фазе этого полета:</w:t>
      </w:r>
    </w:p>
    <w:p w14:paraId="2CFC4B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"Продолжая по расчетам штурмана снижение на своей территории, я с нетерпением поглядывал на высотомер и поругивал синоптиков, обещавших к утру высоту облачности "метров на триста - шестьсот". До земли по приборам остается 700, затем 600, наконец, 500 метров. А землю все еще не видать... Вот внизу что-то блеснуло...</w:t>
      </w:r>
    </w:p>
    <w:p w14:paraId="65F801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 тут на нас обрушиваются десятки огненных трасс. Справа, слева, спереди, сзади ... Зеленые, красные, желтые... По нам бьют всевозможные виды оружия: пулеметы, скорострельные орудия, автоматы.</w:t>
      </w:r>
    </w:p>
    <w:p w14:paraId="7658DB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Обратно, в облака! - кричит Штепенко, когда мы на полном газу уже снова набираем высоту. Ему лучше, чем летчикам, видно все, что делается кругом. Не дожидаясь команды, открыли огонь стрелки. Но нам это уже не помогает: горит правый крайний мотор ...</w:t>
      </w:r>
    </w:p>
    <w:p w14:paraId="49DFDB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Открыть пожарный кран! - даю команду.</w:t>
      </w:r>
    </w:p>
    <w:p w14:paraId="2C03E2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 длинный хвост огня за мотором не убывает... Что делать? Линия фронта теперь уже позади. Эх! Надо же было нам выскочить из облаков точно над ней. Ошибка в одну минуту после многочасового полета вне видимости земли обошлась нам дорого.</w:t>
      </w:r>
    </w:p>
    <w:p w14:paraId="2C14D0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Надо решать! Мотор горит по-прежнему, а там же рядом бензиновый бак. Прогорит пожарная перегородка, и тогда...</w:t>
      </w:r>
    </w:p>
    <w:p w14:paraId="3598E2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Медлить было нельзя. Все могли решить секунды.</w:t>
      </w:r>
    </w:p>
    <w:p w14:paraId="45274B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Всем покинуть корабль на парашютах, - громко повторил я трижды. И стало сразу легче, как всегда, когда трудное решение принято.</w:t>
      </w:r>
    </w:p>
    <w:p w14:paraId="0F7EB2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Убрал газ моторам и выключил зажигание. Отрегулировал автопилот на планирование и уголком глаза увидел, как в люк кабины штурмана исчез сначала Штепенко, а вслед за ним еше двое. Потянуло сквознячком. Стало быть и второй пилот открыл фонарь своей кабины. Обернувшись назад, успел заметить мелькнувшие уже в воздухе подошвы его меховых унтов.</w:t>
      </w:r>
    </w:p>
    <w:p w14:paraId="0A922F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правой плоскости на меня дохнуло едким угаром дыма... Стало трудно дышать. Наступила пора и мне покинуть горящий самолет. Рывком открыл фонарь, встал на сиденье и резко оттолкнулся ногами.</w:t>
      </w:r>
    </w:p>
    <w:p w14:paraId="254406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Опыт прыжков с парашютом я имел приличный. Я приобрел его еще в учебной эскадрилье авиашколы.</w:t>
      </w:r>
    </w:p>
    <w:p w14:paraId="3DB7AA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Высота, на которой мы выбросились с самолета, была, очевидно, порядочной, уж слишком долго продолжался спуск.</w:t>
      </w:r>
    </w:p>
    <w:p w14:paraId="4A163E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Внизу стала видна земля. Вернее - вода. Широкой серой лентой тянулась подо мной река. И ветер нес меня как раз вдоль нее. Этого мне только и не хватало! Плавать как следует не научился я и по сей день, а тут меня подстерегала реальная возможность купания в меховом обмундировании! Прихватив рукой, часть строп купола, </w:t>
      </w:r>
      <w:r w:rsidRPr="00640820">
        <w:rPr>
          <w:rFonts w:ascii="Times New Roman" w:hAnsi="Times New Roman"/>
          <w:color w:val="000000" w:themeColor="text1"/>
          <w:sz w:val="16"/>
          <w:szCs w:val="16"/>
        </w:rPr>
        <w:lastRenderedPageBreak/>
        <w:t>потянул один край к себе. Помогло! Парашют заскользил вбок и нес меня к левому берегу. Еще хоть немножечко... Ну, еще... еше... Слава богу, внизу зачернела свежевспаханная земля.</w:t>
      </w:r>
    </w:p>
    <w:p w14:paraId="52603B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 этим мои злоключения в ту праздничную ночь еще не кончились. Раньше, чем я сумел сообразить, что земля уже рядом, и подогнуть колени, я сильно ударился о мерзлую пашню и тут же вновь очутился в воздухе. Ночной прыжок оказался совершенно иным, чем дневные ...".</w:t>
      </w:r>
    </w:p>
    <w:p w14:paraId="50CFEF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Постепенно все члены экипажа собрались вместе и с помощью местных жителей добрались до ближайшего госпиталя. Окончание истории Эндель Карлович закончил так:</w:t>
      </w:r>
    </w:p>
    <w:p w14:paraId="542155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когда мы были уже на своем аэродроме и отлеживались в санчасти, пришло сообщение, что восточнее Кашина на болотистой пойме приземлился большой четырехмоторный самолет... с красными звездами на крыльях и руле поворота, но без экипажа! Никто не смог объяснить, потух ли пожар сам по себе (когда прекратился зависимый от скорости движения приток воздуха), или потушили его люди, нашедшие этот "самолетающий" корабль...</w:t>
      </w:r>
    </w:p>
    <w:p w14:paraId="1DE6A4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месту его приземления выехала бригада техников и мотористов во главе с борттехни- ком С.Н.Дмитриевым, залатала обгоревшее крыло, сменила мотор. Когда все было приведено в порядок, самолет подняли в воздух, и вскоре он снова занял свое место на опушке леса под маскировочными сетями".</w:t>
      </w:r>
    </w:p>
    <w:p w14:paraId="343E87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История, которую описал летчик Э.К.Пусэп, впоследствии неоднократно пересказывалась, причем основным ее итогом значилось, что ТБ-7 №4226 впоследствии продолжал эксплуатироваться другими экипажами. Между тем, беспристрастные документы финал истории трактуют иначе.</w:t>
      </w:r>
    </w:p>
    <w:p w14:paraId="5DD279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своем докладе за №033 от 9 ноября 1941 г. на имя командующего 81-й авиадивизией генерал-полковника Голованова командир полка полковник Лебедев докладывал:</w:t>
      </w:r>
    </w:p>
    <w:p w14:paraId="6E8AB5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"...экипаж корабля ст. лейтенанта Пусэп найден весь и перевезен в г. Ковров. Ст. политрук Киселев получил незначительные ушибы ног. стрелок Сафронов невредим.</w:t>
      </w:r>
    </w:p>
    <w:p w14:paraId="5A6E59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Корабль найден в 20 км. восточнее г. Кашина у села Фроловское. Под управлением автопилота корабль сел на пахоту. По заявлению ст. политрука Киселева, руководившего снятием вооружения, у корабля сгорел четвертый мотор, при посадке поврежден третий мотор, деформирована правая плоскость, сорваны радиаторы. Вооружение и основное оборудование с корабля сняты, и перевезены в Ковров. Для уточнения состояния матчасти на место посадки высылаю инженера полка по эксплуатации".</w:t>
      </w:r>
    </w:p>
    <w:p w14:paraId="566EB1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Аварийный акт состояния самолета ТБ-7 №4226 свидетельствовал:</w:t>
      </w:r>
    </w:p>
    <w:p w14:paraId="6F8F9F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"Комиссия в составе председателя вое- нинженера </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 xml:space="preserve"> р(анга) т. Маркова и членов: во- енинженера 3 р(анга) Анурова и воентехника </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 xml:space="preserve"> р(анга) Гусарова 12-го ноября 1941 г. произвели осмотр самолета ТБ-7 №4226, разбитого при вынужденной посадке после выполнения боевого задания 7-го ноября с.г. в районе села Фроловское, Калязинского района, Калининской области.</w:t>
      </w:r>
    </w:p>
    <w:p w14:paraId="73F54B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Самолет ТБ-7 №4226 с моторами АМ-35А №291923, 291924, 291919 и 291922 получен с завода №124 31.9.41 г, имеет налет 53 ч. 20 м. Моторы наработали в воздухе 53 ч. 20 м. и на земле - 8 ч. 5 м.</w:t>
      </w:r>
    </w:p>
    <w:p w14:paraId="246752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Экипажи после получения боевого задания направляются к своим самолетам</w:t>
      </w:r>
    </w:p>
    <w:p w14:paraId="2ADF49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возвращении с боевого задания 7.11.41 г. на 9-м часу полета при нормальных показаниях контрольных приборов загорелся правый крайний мотор. Борттехником самолета был перекрыт пожарный бензиновый кран и включен огнетушитель, но пожар продолжался. Ввиду проникновения пламени и дыма в кабину самолета, летчиком ст. лейтенантом Пусэп был включен автопилот и подана команда "оставить самолет". Самолет, продолжая полет с небольшим углом, сел на пахоту вблизи села Фроловское - после посадки пожар прекратился.</w:t>
      </w:r>
    </w:p>
    <w:p w14:paraId="5323D4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результате аварии самолет имеет следующие повреждения:</w:t>
      </w:r>
    </w:p>
    <w:p w14:paraId="20955C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Сломаны шасси самолета.</w:t>
      </w:r>
    </w:p>
    <w:p w14:paraId="1CFA42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Деформировано правое крыло, лопнули раскосы змейки переднего и заднего лонжеронов.</w:t>
      </w:r>
    </w:p>
    <w:p w14:paraId="47DB12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Деформирована правая сторона центроплана, лопнул раскос змейки лонжерона и погнута моторная нервюра.</w:t>
      </w:r>
    </w:p>
    <w:p w14:paraId="3A6B17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Повреждена нижняя часть Ф-1 и 7-ой шпангоут Ф-3.</w:t>
      </w:r>
    </w:p>
    <w:p w14:paraId="397856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Погнуты лопасти винтов.</w:t>
      </w:r>
    </w:p>
    <w:p w14:paraId="5898D3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Разбиты капюшоны редукторов 2-го и 3-го моторов. На 4-м моторе разбит картер.</w:t>
      </w:r>
    </w:p>
    <w:p w14:paraId="79F923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Оторваны водорадиаторы и повреждены мотогондолы.</w:t>
      </w:r>
    </w:p>
    <w:p w14:paraId="65C3F2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Смят бомбовый отсек центроплана.</w:t>
      </w:r>
    </w:p>
    <w:p w14:paraId="2945E3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осмотре самолета комиссией выявлено, что причиной пожара явился обрыв шатуна 4-го мотора. Обломками картера пробиты масляный и бензиновый супер- флексы. Выливающийся бензин и масло поддерживали интенсивный огонь и дым, прорывавшийся через дверцы пожарной перегородки в крыло. После выключения подачи бензина и включения огнетушителя, пожар прекратился.</w:t>
      </w:r>
    </w:p>
    <w:p w14:paraId="792863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Выводы:</w:t>
      </w:r>
    </w:p>
    <w:p w14:paraId="1D6DBF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Самолет может быть отремонтирован и введен в строй. Для выполнения ремонта самолет разобрать и направить на завод №124 в г. Казань.</w:t>
      </w:r>
    </w:p>
    <w:p w14:paraId="164BCA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Председатель комиссии военинженер </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 xml:space="preserve"> ранга /Марков/.</w:t>
      </w:r>
    </w:p>
    <w:p w14:paraId="74AF45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Члены: военинженер 3 ранга /Ануров/ воентехник 1 ранга /Гусаров/".</w:t>
      </w:r>
    </w:p>
    <w:p w14:paraId="031000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Последующие документы авиадивизии показывают, что ремонт самолета №4226 произвести не удалось и летом 1942 г. данный экземпляр был списан. Об этом свидетельствует следующий доклад:</w:t>
      </w:r>
    </w:p>
    <w:p w14:paraId="17E440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августа 1942 г.</w:t>
      </w:r>
    </w:p>
    <w:p w14:paraId="2A9018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Докладываю по существу вопроса о списании с 45 ад аварийных самолетов: ТБ-7 №4224 (Кашино), 4226 (Иваново) и 42096 (район аэродрома завода №22).</w:t>
      </w:r>
    </w:p>
    <w:p w14:paraId="75046B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Восстановление означенных самолетов заводом № 22 НКАП в данное время осуществлено быть не может, так как ряд основных деталей: крылья, Ф-3, центроплан, а также мелкие детали оборудования самолетов заводом использованы для выпуска серийных машин.</w:t>
      </w:r>
    </w:p>
    <w:p w14:paraId="45A774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 например, на самолет ТБ-7 №42048 установлены крылья и центроплан самолета №42096, Ф-3 с самолета №4226 используется для ремонта самолета №42076. Прошу самолеты ТБ-7 №4224, 4226 и 42096 с 746 Ап 45 АД списать и выслать инспекторское свидетельство.</w:t>
      </w:r>
    </w:p>
    <w:p w14:paraId="44330F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Пом командира 45 аддд по иас инженер-майор Ануров" (12025). </w:t>
      </w:r>
    </w:p>
    <w:p w14:paraId="75F5AD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D03F0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ноября 1941 согласно сообщению Совинформбюро в связи с празднованием Октября немцы форсировали налет на Москву. ПВО отразило налет и сбили 34 самолета (438,825).</w:t>
      </w:r>
    </w:p>
    <w:p w14:paraId="4B2781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58E0ADD" w14:textId="77777777" w:rsidR="005E5074" w:rsidRPr="00640820" w:rsidRDefault="005E5074"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6 ноября</w:t>
      </w:r>
      <w:r w:rsidRPr="00640820">
        <w:rPr>
          <w:rFonts w:ascii="Times New Roman" w:hAnsi="Times New Roman"/>
          <w:color w:val="000000" w:themeColor="text1"/>
          <w:sz w:val="16"/>
          <w:szCs w:val="16"/>
        </w:rPr>
        <w:t xml:space="preserve"> в 1941 году немецкие войска прорвали оборону на Ак-монайских позициях на Керченском полуострове в Крыму и повели наступление на Керчь «на плечах» беспорядочно отходивших советских войск (14822).</w:t>
      </w:r>
    </w:p>
    <w:p w14:paraId="75439CE5" w14:textId="77777777" w:rsidR="005E5074" w:rsidRPr="00640820" w:rsidRDefault="005E5074" w:rsidP="00640820">
      <w:pPr>
        <w:spacing w:after="0" w:line="240" w:lineRule="auto"/>
        <w:jc w:val="both"/>
        <w:rPr>
          <w:rFonts w:ascii="Times New Roman" w:hAnsi="Times New Roman"/>
          <w:color w:val="000000" w:themeColor="text1"/>
          <w:sz w:val="16"/>
          <w:szCs w:val="16"/>
        </w:rPr>
      </w:pPr>
    </w:p>
    <w:p w14:paraId="3DE6EA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ноября 1941 для замены английских п/л, прибывших в августе 1941, прибыла Силайон, а 11 ноября Сивульф. Ушли в декабре потопив 4 судна (3097,57).</w:t>
      </w:r>
    </w:p>
    <w:p w14:paraId="5EBF7E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352B598"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470D8D5E"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DF520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ноября 1941 войска, предназначавшиеся для участия в ноябрьском параде, тренировались у Крымского моста, а не на Ходынке как обычно и даже командиры не знали, зачем (1836,46).</w:t>
      </w:r>
    </w:p>
    <w:p w14:paraId="6FEA92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4FC5C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ноября 1941 И.В.С. выступил на собрании, посвященном годовщине ВОР, которое проходило на ст. Маяковская. Впервые в публичном выступлении дал анализ фашизма как социального и политического явления: "Партия гитлеровцев есть партия империалистов, притом наиболее хищнических и разбойничьих империалистов среди всех империалистов мира" (2070,45).</w:t>
      </w:r>
    </w:p>
    <w:p w14:paraId="3087F9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B7B880D" w14:textId="77777777" w:rsidR="005E5074" w:rsidRPr="00640820" w:rsidRDefault="005E5074"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6 ноября</w:t>
      </w:r>
      <w:r w:rsidRPr="00640820">
        <w:rPr>
          <w:rFonts w:ascii="Times New Roman" w:hAnsi="Times New Roman"/>
          <w:color w:val="000000" w:themeColor="text1"/>
          <w:sz w:val="16"/>
          <w:szCs w:val="16"/>
        </w:rPr>
        <w:t xml:space="preserve"> в 1941 году в Москве на станции метро "Маяковская" состоялось торжественное заседание Моссовета совместно с партийными и общественными организациями города, посвящённое 24-й годовщине Октябрьской революции. Обращение Сталина к советскому народу, доклад на торжественном заседании по случаю 24-й годовщины революции перед парадом войск Красной Армии 7 ноября на Красной площади в Москве (14822).</w:t>
      </w:r>
    </w:p>
    <w:p w14:paraId="7D1F51C8" w14:textId="77777777" w:rsidR="005E5074" w:rsidRPr="00640820" w:rsidRDefault="005E5074" w:rsidP="00640820">
      <w:pPr>
        <w:spacing w:after="0" w:line="240" w:lineRule="auto"/>
        <w:jc w:val="both"/>
        <w:rPr>
          <w:rFonts w:ascii="Times New Roman" w:hAnsi="Times New Roman"/>
          <w:color w:val="000000" w:themeColor="text1"/>
          <w:sz w:val="16"/>
          <w:szCs w:val="16"/>
        </w:rPr>
      </w:pPr>
    </w:p>
    <w:p w14:paraId="359157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Днем 6 ноября 1941 почти на всем пространстве вокруг Москвы было ясно и морозно, что позволило бомбардировщикам нанести серию очередных ударов по железнодорожным станциям и перегонам. Однако уже к вечеру вновь началось потепление и пошел снег. Над столицей сплошной завесой легли тяжелые тучи. Улицы, площади и крыши домов покрылись снегом, а после полуночи разыгралась быстрая пурга. И все же в 19.03 там снова выли сирены и гремели взрывы бомб (11774).</w:t>
      </w:r>
    </w:p>
    <w:p w14:paraId="23DB53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0153B41" w14:textId="77777777" w:rsidR="005E5074" w:rsidRPr="00640820" w:rsidRDefault="005E5074"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6 ноября</w:t>
      </w:r>
      <w:r w:rsidRPr="00640820">
        <w:rPr>
          <w:rFonts w:ascii="Times New Roman" w:hAnsi="Times New Roman"/>
          <w:color w:val="000000" w:themeColor="text1"/>
          <w:sz w:val="16"/>
          <w:szCs w:val="16"/>
        </w:rPr>
        <w:t xml:space="preserve"> в 1941 году около 16 часов вечера у Спасских ворот Кремля одиночный террорист открывает огонь по выезжающим из Кремля правительственным автомобилям. Одна из пуль разбивает фару у машины Микояна, пострадавших нет. Стрелявший, рядовой Московского корпуса ПВО Николай Дмитриев, схватывается охраной. Его приговорят к высшей мере (14822).</w:t>
      </w:r>
    </w:p>
    <w:p w14:paraId="398EFC43" w14:textId="77777777" w:rsidR="005E5074" w:rsidRPr="00640820" w:rsidRDefault="005E5074" w:rsidP="00640820">
      <w:pPr>
        <w:spacing w:after="0" w:line="240" w:lineRule="auto"/>
        <w:jc w:val="both"/>
        <w:rPr>
          <w:rFonts w:ascii="Times New Roman" w:hAnsi="Times New Roman"/>
          <w:color w:val="000000" w:themeColor="text1"/>
          <w:sz w:val="16"/>
          <w:szCs w:val="16"/>
        </w:rPr>
      </w:pPr>
    </w:p>
    <w:p w14:paraId="3D707367" w14:textId="77777777" w:rsidR="005E5074" w:rsidRPr="00640820" w:rsidRDefault="005E5074"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6 ноября</w:t>
      </w:r>
      <w:r w:rsidRPr="00640820">
        <w:rPr>
          <w:rFonts w:ascii="Times New Roman" w:hAnsi="Times New Roman"/>
          <w:color w:val="000000" w:themeColor="text1"/>
          <w:sz w:val="16"/>
          <w:szCs w:val="16"/>
        </w:rPr>
        <w:t xml:space="preserve"> в 1941 году несмотря на то, что враг находился на подступах к Москве, по радио транслировалось торжественное заседание Моссовета, посвященное 24-й годовщине Великого Октября, на котором с докладом выступил председатель ГКО И.В.Сталин (14822).</w:t>
      </w:r>
    </w:p>
    <w:p w14:paraId="1E0800D3" w14:textId="77777777" w:rsidR="005E5074" w:rsidRPr="00640820" w:rsidRDefault="005E5074" w:rsidP="00640820">
      <w:pPr>
        <w:spacing w:after="0" w:line="240" w:lineRule="auto"/>
        <w:jc w:val="both"/>
        <w:rPr>
          <w:rFonts w:ascii="Times New Roman" w:hAnsi="Times New Roman"/>
          <w:color w:val="000000" w:themeColor="text1"/>
          <w:sz w:val="16"/>
          <w:szCs w:val="16"/>
        </w:rPr>
      </w:pPr>
    </w:p>
    <w:p w14:paraId="3414604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ноября 1941 в Куйбышеве состоялась премьера пьесы А. Корнейчука “Партизаны в степях Украины” (4962).</w:t>
      </w:r>
    </w:p>
    <w:p w14:paraId="0CBED53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06931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ноября 1941 фашистами казнен юный советский партизан Александр Чекалин (4962).</w:t>
      </w:r>
    </w:p>
    <w:p w14:paraId="6746D49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55A3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Утро 6 ноября 1941 в Горьком наступило в тревожном напряжении. Над автозаводом поднималось большое облако дыма, перемежающееся с паром, возникшим при тушении пожаров. В Сормове местные жители тоже впервые ощутили на себе, что такое бомбежка. По пути на завод недалеко от ул. Баррикад, на которой в далеком 1905 г. происходили бои первой русской революции, люди увидели необычное зрелище. На месте заправочной колонки зияла большая воронка, рядом с которой паровоз буквально встал «на дыбы», задрав нос в небо. Жители Автозаводского района стали отправлять своих детей к родственникам в нагорную часть города, дабы уберечь от гибели. Газета «Горьковская коммуна» вновь ничего не написала о налетах, словно город жил обычной мирной жизнью. На сей раз, видимо, чтобы отвлечь жителей от бомбежек, на второй странице была на полполосы помещена статья «Гитлеровские кровавые собаки», в которой в подробностях описывались зверства оккупантов в некой деревне Сеневка. Германская же пресса уделила внимание налетам на Горький, в частности, сообщение о них было напечатано в газете «Фёлькишер беобахтер» за 6 ноября 1941 г. Между тем на предприятиях, особенно пострадавших в предыдущие дни от бомбежки, значительная часть рабочих находилась в состоянии паники и истерии. В частности, на радиотелефонном заводе № 197 им. Ленина наблюдались случаи массового нарушения трудовой дисциплины. При малейшем шуме рабочие бросали работу и убегали за ворота завода. После отбоя многочисленных воздушных тревог половина уже не являлась на работу до окончания рабочего дня. Утром 6 ноября среди людей стихийно распространился слух, что в три часа дня завод снова будут бомбить, в связи с чем некоторые рабочие бросили работу и ушли домой. Особая растерянность наблюдалась в цехе № 19, где работали одни женщины. Партийному комитету завода пришлось в срочном порядке принимать меры. Были созваны два совещания секретарей цеховых парторганизаций проведены партийно-комсомольские собрания с обсуждением вопроса о ликвидации последствий (в т.ч. психологических) воздушного нападения. На соседнем заводе радиоаппаратуры № 326 им. Фрунзе также ощущалась сильная нервозность. Основными паникерами здесь выступали начальник планового отдела Комаров и уборщица цеха № 1 Мазина. Комаров каждому встречному признавался, что он чувствует животный страх перед предполагаемой смертью от бомбежки. Налеты немецкой авиации также оказали сильное моральное воздействие на учеников ремесленного училища, расположенного на территории предприятия. Учащиеся из сельской местности почти в полном составе сбежали из города, в результате чего 5 и 6 ноября не явились на учебу более 200 человек. Подача электроэнергии с ГоГРЭС шла с большими перебоями. Только в 11.00 ремонтные бригады, работавшие всю ночь и утро, смогли восстановить одну из ЛЭП. Затем авральными методами постепенно вводились в строй остальные линии, но последнюю удастся починить уже спустя 43 часа после бомбежки. Когда розовое ноябрьское солнце стало клониться к горизонту, весь Горький застыл в нервном ожидании. Люди со страхом посматривали на темнеющий западный горизонт, боясь вновь увидеть знакомые силуэты двухмоторных самолетов с крестами. Приходя домой или на ночную смену, горьковчане старались громко не разговаривать, не включать радио, дабы не прослушать гудки сигнала воздушной тревоги. Однако вечер прошел спокойно. На улицах слышались лишь возгласы людей и урчанье автомобильных моторов. Бомбежка не началась ни поздно вечером, ни после полуночи. «Вроде сегодня не прилетели», – облегченно вздыхали горьковчане, пытаясь наконец заснуть (11774).</w:t>
      </w:r>
    </w:p>
    <w:p w14:paraId="27699E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A00BAAA"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2905C395"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D2CEA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ноября 1941 года Ф. РУЗВЕЛЬТ писал И.В. СТАЛИНУ *</w:t>
      </w:r>
    </w:p>
    <w:p w14:paraId="1F3EFC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 счастлив сообщить Вам, что медицинские материалы по списку, разработанному комиссией медицинского снабжения на Конференции Трех Держав, будут предоставлены, как только эти материалы смогут быть закуплены и отправлены, за исключением той части из них, которая может быть предоставлена англичанами. Условия американского снабжения и производства делают невозможной немедленную закупку больших количеств некоторых требуемых предметов, но 25% всего количества по списку может быть предоставлено в течение 30— 60 дней, а остальная часть поставок — в течение ближайших 8 месяцев.</w:t>
      </w:r>
    </w:p>
    <w:p w14:paraId="4E6F03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Американский Красный Крест готов предоставить приблизительно одну треть материалов, указанных в общем списке, на сумму приблизительно в 5 миллионов долларов в качестве подарка американского народа. В соответствии с моими указаниями Американский Красный Крест приобретет эти материалы за счет фондов, предоставленных в мое распоряжение Конгрессом, а также за счет фондов пожертвований американского народа, созданных для оказания помощи Советскому Союзу. Поскольку Американский Красный Крест должен отчитываться перед Конгрессом и теми, кто внес пожертвования, об использовании этих фондов и материалов, Уордуэлл — председатель делегации Американского Красного Креста — в письме представителю Советского Красного Креста г-ну Колесникову изложил в общих чертах ту организационную форму сотрудничества между обществами Красного Креста обеих наших стран, которая являлась бы желательной. Красный Крест также передает сегодня г-ну Колесникову послание, в котором указывается на важность соответствующего наблюдения со стороны представителя Американского Красного Креста за распределением материалов последнего с учетом, разумеется, соответствующих военных соображений. Я был бы весьма благодарен, если бы Ваше правительство могло заверить меня в том, что желаемые организационные формы приемлемы. Смею указать на то, что процедура, предложенная Американским Красным Крестом, является той же, которой придерживаются при оказании им помощи Великобритании и другим странам.</w:t>
      </w:r>
    </w:p>
    <w:p w14:paraId="13E75E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изложенной выше основе Американский Красный Крест готов рассмотреть вопрос об оказании дальнейшей существенной помощи Советскому Союзу по мере возникновения потребностей и представления заявок (7430).</w:t>
      </w:r>
    </w:p>
    <w:p w14:paraId="2E1138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5A2FE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ноября 1941 США открыл СССР кредитную линию на 1 млрд. долл. (2260).</w:t>
      </w:r>
    </w:p>
    <w:p w14:paraId="38F98E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8EAB96E" w14:textId="77777777" w:rsidR="005E5074" w:rsidRPr="00640820" w:rsidRDefault="005E5074"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6 ноября</w:t>
      </w:r>
      <w:r w:rsidRPr="00640820">
        <w:rPr>
          <w:rFonts w:ascii="Times New Roman" w:hAnsi="Times New Roman"/>
          <w:color w:val="000000" w:themeColor="text1"/>
          <w:sz w:val="16"/>
          <w:szCs w:val="16"/>
        </w:rPr>
        <w:t xml:space="preserve"> в 1941 году президент США Рузвельт сделал заявление, что США предоставляет Советскому Союзу беспроцентный заем в размере 250 миллионов фунтов стерлингов (что составляет 1 миллиард долларов). Заем этот должен быть покрыт в течение 10 лет русским сырьем. Выплата займа начнется через 5 лет после окончания войны (14822).</w:t>
      </w:r>
    </w:p>
    <w:p w14:paraId="3FD8A88C" w14:textId="77777777" w:rsidR="005E5074" w:rsidRPr="00640820" w:rsidRDefault="005E5074" w:rsidP="00640820">
      <w:pPr>
        <w:spacing w:after="0" w:line="240" w:lineRule="auto"/>
        <w:jc w:val="both"/>
        <w:rPr>
          <w:rFonts w:ascii="Times New Roman" w:hAnsi="Times New Roman"/>
          <w:color w:val="000000" w:themeColor="text1"/>
          <w:sz w:val="16"/>
          <w:szCs w:val="16"/>
        </w:rPr>
      </w:pPr>
    </w:p>
    <w:p w14:paraId="75C6D8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ноября 1941 года два первых В-25В погрузили на советский пароход "Декабрист", который с одним из конвоев направился к родным берегам (3457,91).</w:t>
      </w:r>
    </w:p>
    <w:p w14:paraId="687817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2277A40"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1F89D84C"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63B966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ноября 1941 убил себя и свою семью популярный немецкий актер Й. Готтчак накануне ареста гестаповцами его жены-еврейки (4962).</w:t>
      </w:r>
    </w:p>
    <w:p w14:paraId="3706C3F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99AC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ноября 1941 комитет Национальной академии наук США подтвердил, что создание атомной бомбы возможно на основе имеющихся теоретических и экспериментальных исследований и что критическая масса составляет более 2 и менее 100 кг (2220).</w:t>
      </w:r>
    </w:p>
    <w:p w14:paraId="3778EA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4D86BD2"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6DAD3133"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84570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ноября 1941, рассмотрев положение дел в Молотове, оценив “узкие места”, нарком А.И.Шахурин приказал до конца 1941 г. выпустить 70 Су-2 М-82, и выйти в декабре на выпуск трех машин в сутки. Немцы стояли тогда в сотне километров от Москвы, и требовалось как можно быстрее преодолеть кризис, связанный с эвакуацией. Нарком считал возможным к 15 ноября установить и запустить в работу в Перми все вывезенное сюда оборудование. В этих тяжелейших условиях выяснилось, что где-то в пути пропали чертежи ВМГ М-82 для Су-2, и их пришлось спешно восстанавливать. Требовалось также внедрить различные заменители дефицитных материалов, и прежде всего алюминия и меди (5360).</w:t>
      </w:r>
    </w:p>
    <w:p w14:paraId="0AFAE6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Надо иметь в виду, что восстанавливали предприятие, как тогда говорили, “на базе слияния в единую производственно-хозяйственную единицу” заводов №№ 135, 207, филиала завода № 450, фюзеляжного цеха завода “Серп и молот”, а также “Гидропривода”, производственной части ОКБ-289 и деревообделочного цеха. Уже к началу ноября возник гигант, насчитывающий 1763 единицы оборудования, из которых 1114 составляли металлорежущие станки (для сравнения: в Харькове к осени 1941 г. имелось около 800 металлорежущих станков). В то же время рабочих имелось меньше половины от потребного количества (5360).</w:t>
      </w:r>
    </w:p>
    <w:p w14:paraId="567329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B04F2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ноября 1941, рассмотрев положение дел в Молотове, оценив "узкие места", А.И. Шахурин приказал до конца 1941 г. выпустить 70 Су-2 М-82, восстановив в декабре выпуск трех машин в сутки. Немцы стояли тогда в сотне км от Москвы, и требовалось как можно быстрее преодолеть кризис авиапромышленности, связанный с эвакуацией. Нарком считал возможным к 15 ноября установить и запустить в работу на новом месте все вывезенное оборудование.</w:t>
      </w:r>
    </w:p>
    <w:p w14:paraId="27E73F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этих тяжелейших условиях выяснилось, что где-то в пути пропали чертежи ВМГ М-82 для Су-2, и их пришлось восстанавливать. Требовалось также внедрить в конструкцию различные заменители дефицитных материалов, и прежде всего алюминия и меди. Большая переписка велась между разными ведомствами по вопросу: </w:t>
      </w:r>
      <w:r w:rsidRPr="00640820">
        <w:rPr>
          <w:rFonts w:ascii="Times New Roman" w:hAnsi="Times New Roman"/>
          <w:color w:val="000000" w:themeColor="text1"/>
          <w:sz w:val="16"/>
          <w:szCs w:val="16"/>
        </w:rPr>
        <w:lastRenderedPageBreak/>
        <w:t>кто будет изготавливать лыжи для бомбардировщиков Сухого. 18 ноября заместитель начальника ГУ ВВС Я.Л. Бибиков обратился к Шахурину с предложением выпускать каждый пятый самолет в варианте разведчика и корректировщика, "в связи с тем, что ВВС Красной Армии не имеют таких самолетов, а потребность в них для фронта очень большая" (12028).</w:t>
      </w:r>
    </w:p>
    <w:p w14:paraId="6D823B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84453F1" w14:textId="77777777" w:rsidR="006F1376" w:rsidRPr="00640820" w:rsidRDefault="006F137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ноября 1941, рассмотрев положение дел в Молотове, оценив “узкие места”, нарком авиационной промышленности приказал до конца 1941 г. выпустить 70 Су-2 М-82, и выйти в декабре на выпуск трех машин в сутки. В Молотов были эвакуированы несколько заводов. Уже к началу ноября возник гигант, насчитывающий 1763 единицы оборудования, из которых 1114 составляли металлорежущие станки (для сравнения: в Харькове к осени 1941 г. имелось около 800 металлорежущих станков). В то же время рабочих имелось меньше половины от потребного количества. Нарком считал возможным к 15 ноября установить и запустить в работу в Молотове все вывезенное сюда оборудование. Су-2 производил завод № 135.</w:t>
      </w:r>
    </w:p>
    <w:p w14:paraId="30552848" w14:textId="77777777" w:rsidR="006F1376" w:rsidRPr="00640820" w:rsidRDefault="006F1376" w:rsidP="00640820">
      <w:pPr>
        <w:spacing w:after="0" w:line="240" w:lineRule="auto"/>
        <w:jc w:val="both"/>
        <w:rPr>
          <w:rFonts w:ascii="Times New Roman" w:hAnsi="Times New Roman"/>
          <w:color w:val="000000" w:themeColor="text1"/>
          <w:sz w:val="16"/>
          <w:szCs w:val="16"/>
        </w:rPr>
      </w:pPr>
    </w:p>
    <w:p w14:paraId="30CE148D" w14:textId="77777777" w:rsidR="00794B7F" w:rsidRPr="00640820" w:rsidRDefault="00794B7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На начало ноября 1941 г. в Молотове завод №135 на территорию моторостроительного завода №19, которому были переданы мощности завода из подмосковного Долгопрудного, также строившего Су-2, харьковских заводов «Серп и Молот», выпускавшего фюзеляжи Су-2, и «Гидромаш», поставлявшего шасси, а также завода №289, который отрабатывал различные усовершенствования по Су-2 (прежде всего, силовую установку с М-82), имел 1763 единицы оборудования (например, металлорежущих станков стало 1114 , тогда как в Харькове их было 800).</w:t>
      </w:r>
    </w:p>
    <w:p w14:paraId="6CF721B0" w14:textId="77777777" w:rsidR="00794B7F" w:rsidRPr="00640820" w:rsidRDefault="00794B7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При эвакуации были и потери. Погиб под бомбами первый опытный Гр-1, а второй был так поврежден, что восстановить его не удалось. Сгорела конструкторская документация на новую силовую установку Су-2 с мотором М-82, а поставки моторов М-88 из оккупированного Запорожья прекратились. Число рабочих было менее 50% от штата. НКАП установил заводу план выпустить к концу года 70 Су-2 М-82, выйдя в декабре на уровень 3-х машин в сутки. Сборка последнего 785-го Су-2 была закончена в Перми в январе 1942 г., 24-го числа завод №135 был расформирован, а его кадры и оборудование были распределены по другим оборонным заводам (22829).</w:t>
      </w:r>
    </w:p>
    <w:p w14:paraId="5FD44D2E" w14:textId="77777777" w:rsidR="00794B7F" w:rsidRPr="00640820" w:rsidRDefault="00794B7F" w:rsidP="00640820">
      <w:pPr>
        <w:spacing w:after="0" w:line="240" w:lineRule="auto"/>
        <w:jc w:val="both"/>
        <w:rPr>
          <w:rFonts w:ascii="Times New Roman" w:hAnsi="Times New Roman"/>
          <w:color w:val="0070C0"/>
          <w:sz w:val="16"/>
          <w:szCs w:val="16"/>
        </w:rPr>
      </w:pPr>
    </w:p>
    <w:p w14:paraId="4DF722EE" w14:textId="77777777" w:rsidR="00B922CA" w:rsidRPr="00640820" w:rsidRDefault="00B922CA" w:rsidP="00640820">
      <w:pPr>
        <w:pStyle w:val="a3"/>
        <w:rPr>
          <w:color w:val="000000" w:themeColor="text1"/>
          <w:lang w:val="ru-RU"/>
        </w:rPr>
      </w:pPr>
      <w:r w:rsidRPr="00640820">
        <w:rPr>
          <w:color w:val="000000" w:themeColor="text1"/>
          <w:lang w:val="ru-RU"/>
        </w:rPr>
        <w:t>В начале ноября 1941 ББ-3 М-81 перевезли на заводской аэродром, а проектирование ББ-3 М-90 прекратили (15975).</w:t>
      </w:r>
    </w:p>
    <w:p w14:paraId="1D03D6F6" w14:textId="77777777" w:rsidR="00B922CA" w:rsidRPr="00640820" w:rsidRDefault="00B922CA" w:rsidP="00640820">
      <w:pPr>
        <w:pStyle w:val="a3"/>
        <w:rPr>
          <w:color w:val="000000" w:themeColor="text1"/>
          <w:lang w:val="ru-RU"/>
        </w:rPr>
      </w:pPr>
    </w:p>
    <w:p w14:paraId="375A4E52" w14:textId="77777777" w:rsidR="00112F2A" w:rsidRPr="00640820" w:rsidRDefault="00112F2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первых числах ноября 1941 ОПБ Кочеригина оказался на заводе № 135 в Молотове (ныне г. Пермь) на площадке моторного завода № 19, куда эвакуировался завод № 207 (завод был объединен с заводом № 135 и «выбыл из числа действующих предприятий НКАП»). Самолет достроили и начали заводские испытания. Но быстро получить положительный результат не удалось. К тому же постановлением ГКО № 1208 от 24 января 1942 г. завод № 135 расформировывался, а кадры завода и оборудование переводились на укомплектование заводов № 30 и № 381. По этой причине вся нагрузка по доводке ОПБ легла на плечи опытных цехов завода № 19. Темпы работ по самолету резко снизились, а вскоре и вовсе сошли на нет. Как следствие, в апреле 1942 года работы по ОПБ прекратили, а ОКБ Кочеригина, как не имеющее своего самолета в серии, закрыли. Сотрудников распределили по заводам НКАП для усиления серийных конструкторских отделов, а самого Кочеригина вскоре «вытеснили» на весьма почетную и ответственную должность главного редактора БНТ ЦАГИ (17490).</w:t>
      </w:r>
    </w:p>
    <w:p w14:paraId="1E7B670C" w14:textId="77777777" w:rsidR="00112F2A" w:rsidRPr="00640820" w:rsidRDefault="00112F2A" w:rsidP="00640820">
      <w:pPr>
        <w:spacing w:after="0" w:line="240" w:lineRule="auto"/>
        <w:jc w:val="both"/>
        <w:rPr>
          <w:rFonts w:ascii="Times New Roman" w:eastAsia="Times New Roman" w:hAnsi="Times New Roman"/>
          <w:color w:val="000000" w:themeColor="text1"/>
          <w:sz w:val="16"/>
          <w:szCs w:val="16"/>
          <w:lang w:eastAsia="ru-RU"/>
        </w:rPr>
      </w:pPr>
    </w:p>
    <w:p w14:paraId="7F2D07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ноября 1941 в НИИ ВВС А.Г.Кочетков опробовал в ночных полетах Томагаук N АН 975, который испытывался в НИИ ВВС с 24 сентября по 6 октября 1941. Это была машина, которая в числе первых 146 прибыла в Архангельск 1 сентября и которую передали в НИИ ВВС для летных испытаний и подготовки рекомендаций по эксплуатации и боевому применению. Согласно отчета НИИ это был Томагаук I, но по американской классификации машина с 6 пулеметами д.б. называться Томагаук II, промежуточный между В и С. Ви был С.Г.Фролов. Отзыв был отличный, несмотря на незначительное ослепление при стрельбе из крупнокалиберных пулеметов. Отметили подсвет приборной доски, наличие аэронавигационных огней и р/с Р3003 в добавок к обычной, которая позволяла направлять самолет с земли. В ходе испытаний А.Кочетков провел бой с Ме-110 и показал полное превосходство (3805,7).</w:t>
      </w:r>
    </w:p>
    <w:p w14:paraId="7D7B54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F61B1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ноября 1941 на Тушинском аэродроме совершил вынужденную посадку подбитый Bf 109F-1 из JG51 (Jagdgruppe 51, впоследствии ей было присвоено наименование “Мёльдерс”). Самолет получил повреждения системы охлаждения и электропитания, кроме того, оказался простреленным в нескольких местах бензобак. После восстановления техперсоналом 47-й ИАД “Мессершмитт” решили облетать, но на посадке не повезло - сломали левую стойку шасси и повредили законцовку крыла. После аварии о самолете узнали специалисты из НИИ ВВС РККА. Высланная бригада механиков во главе с ведущим инженером А.Розановым вновь починила машину, и летчик института А.Прошаков перегнал ее на аэродром НИИ, где провел летные испытания. На восстановленном “стодевятом” так и не смогли отрегулировать двигатель из-за повреждения гидромуфты, которая должна была автоматически обеспечивать плавное повышение числа оборотов крыльчатки нагнетателя в зависимости от увеличения высоты полета. Поэтому в отчете об испытаниях была сноска: "... При испытании не удалось добиться постоянства давления наддува, оно стремительно падало выше 3000 метров. В результате летные характеристики на больших высотах нуждаются в уточнении. Но на малых и средних высотах сомнений в результатах испытаний не возникает” (8944).</w:t>
      </w:r>
    </w:p>
    <w:p w14:paraId="61E49E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AA444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ноября 1941 года завод № 32 был полностью эвакуирован в Киров, а на его площадях в ноябре и декабре 1941 года были организованы мастерские, которые наладили производство и выпуск винтовочно-шомпольных противотанковых гранат Сердюка ГС-1, гранатометов, ежей для противотанковых заграждений и пистолета-пулемета Шпагина (ППШ).</w:t>
      </w:r>
    </w:p>
    <w:p w14:paraId="2AD52C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Характерными этапами с момента организации завода № 43 можно считать следующие:</w:t>
      </w:r>
    </w:p>
    <w:p w14:paraId="4F1DE325" w14:textId="77777777" w:rsidR="00165A9C" w:rsidRPr="00640820" w:rsidRDefault="00165A9C" w:rsidP="0064082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Работа завода в период ВОВ.</w:t>
      </w:r>
    </w:p>
    <w:p w14:paraId="489FE7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исполнение Постановления ГКО и приказа НКАП за № 1190сс от 27 декабря 1941 года на площадях бывш. завода № 32 был организован завод № 43 по производству агрегатного вооружения. Этим же постановлением ГКО и приказом НКАП была возложена на завод № 43 организация массового выпуска изделий ППШ.</w:t>
      </w:r>
    </w:p>
    <w:p w14:paraId="397914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приближения конструкторов к обслуживанию требований фронта и перевооружения иностранных самолетов в соответствии с приказом НКАП за № 146с от 21 февраля 1942 года на заводе № 43 было организовано ОКБ по бомбардировочным, миннотерпедным и стрелковым установкам.</w:t>
      </w:r>
    </w:p>
    <w:p w14:paraId="752077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конструктором завода № 43 по серийному и опытному производству был назначен гл. конструктор ОКБ-1 завода № 32 Шульгин А.И.</w:t>
      </w:r>
    </w:p>
    <w:p w14:paraId="798ED6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период ВОВ завод создал и выпустил в массовом количестве 34 наименования боевого авиационного вооружения.</w:t>
      </w:r>
    </w:p>
    <w:p w14:paraId="77D3C8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целях сосредоточения основных конструкторских сил в одном месте и создания мощной опытной базы по бомбардировочным и стрелковым установкам авиационного вооружения постановлением ГКО за № 5971 от 30 мая 1944 года и приказом МАП за № 484с от 3 августа 1944 года на базе ОКБ-43 и ОКБ-32 было решено организовать на заводе № 43 объединенное КБ по бомбардировочным и стрелковым установкам авиационного вооружения.</w:t>
      </w:r>
    </w:p>
    <w:p w14:paraId="12CB0E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конструктором ОКБ-43 и завода № 43 по сериному производству был назначен Торопов И.И.</w:t>
      </w:r>
    </w:p>
    <w:p w14:paraId="1305AB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Динамика выпуска оборонной продукции по важнейшим видам изделий в период ВОВ 1941-1945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7"/>
        <w:gridCol w:w="1145"/>
        <w:gridCol w:w="1134"/>
        <w:gridCol w:w="1134"/>
        <w:gridCol w:w="1134"/>
        <w:gridCol w:w="1134"/>
        <w:gridCol w:w="1275"/>
      </w:tblGrid>
      <w:tr w:rsidR="00643896" w:rsidRPr="00640820" w14:paraId="4A57C3BB" w14:textId="77777777" w:rsidTr="000D3BCB">
        <w:tc>
          <w:tcPr>
            <w:tcW w:w="1657" w:type="dxa"/>
          </w:tcPr>
          <w:p w14:paraId="5B9D5C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Наименование изделий</w:t>
            </w:r>
          </w:p>
        </w:tc>
        <w:tc>
          <w:tcPr>
            <w:tcW w:w="1145" w:type="dxa"/>
          </w:tcPr>
          <w:p w14:paraId="3F0493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Единица измерений</w:t>
            </w:r>
          </w:p>
        </w:tc>
        <w:tc>
          <w:tcPr>
            <w:tcW w:w="1134" w:type="dxa"/>
          </w:tcPr>
          <w:p w14:paraId="2D9978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1942 год</w:t>
            </w:r>
          </w:p>
        </w:tc>
        <w:tc>
          <w:tcPr>
            <w:tcW w:w="1134" w:type="dxa"/>
          </w:tcPr>
          <w:p w14:paraId="73A4F2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1943 год</w:t>
            </w:r>
          </w:p>
        </w:tc>
        <w:tc>
          <w:tcPr>
            <w:tcW w:w="1134" w:type="dxa"/>
          </w:tcPr>
          <w:p w14:paraId="19FFA3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1944 год</w:t>
            </w:r>
          </w:p>
        </w:tc>
        <w:tc>
          <w:tcPr>
            <w:tcW w:w="1134" w:type="dxa"/>
          </w:tcPr>
          <w:p w14:paraId="7F2B9E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За1945 год</w:t>
            </w:r>
          </w:p>
        </w:tc>
        <w:tc>
          <w:tcPr>
            <w:tcW w:w="1275" w:type="dxa"/>
          </w:tcPr>
          <w:p w14:paraId="477ABA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w:t>
            </w:r>
          </w:p>
        </w:tc>
      </w:tr>
      <w:tr w:rsidR="00643896" w:rsidRPr="00640820" w14:paraId="2E368508" w14:textId="77777777" w:rsidTr="000D3BCB">
        <w:tc>
          <w:tcPr>
            <w:tcW w:w="1657" w:type="dxa"/>
          </w:tcPr>
          <w:p w14:paraId="23FCAA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Пистолет-пулемет Шпагина</w:t>
            </w:r>
          </w:p>
        </w:tc>
        <w:tc>
          <w:tcPr>
            <w:tcW w:w="1145" w:type="dxa"/>
          </w:tcPr>
          <w:p w14:paraId="2F2DD0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Штук</w:t>
            </w:r>
          </w:p>
        </w:tc>
        <w:tc>
          <w:tcPr>
            <w:tcW w:w="1134" w:type="dxa"/>
          </w:tcPr>
          <w:p w14:paraId="0BA1A3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63741</w:t>
            </w:r>
          </w:p>
        </w:tc>
        <w:tc>
          <w:tcPr>
            <w:tcW w:w="1134" w:type="dxa"/>
          </w:tcPr>
          <w:p w14:paraId="531B0C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99232</w:t>
            </w:r>
          </w:p>
        </w:tc>
        <w:tc>
          <w:tcPr>
            <w:tcW w:w="1134" w:type="dxa"/>
          </w:tcPr>
          <w:p w14:paraId="4FC7BD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128643</w:t>
            </w:r>
          </w:p>
        </w:tc>
        <w:tc>
          <w:tcPr>
            <w:tcW w:w="1134" w:type="dxa"/>
          </w:tcPr>
          <w:p w14:paraId="3CCE7E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44035</w:t>
            </w:r>
          </w:p>
        </w:tc>
        <w:tc>
          <w:tcPr>
            <w:tcW w:w="1275" w:type="dxa"/>
          </w:tcPr>
          <w:p w14:paraId="58D2E8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335651</w:t>
            </w:r>
          </w:p>
        </w:tc>
      </w:tr>
      <w:tr w:rsidR="00643896" w:rsidRPr="00640820" w14:paraId="6A5869F8" w14:textId="77777777" w:rsidTr="000D3BCB">
        <w:tc>
          <w:tcPr>
            <w:tcW w:w="1657" w:type="dxa"/>
          </w:tcPr>
          <w:p w14:paraId="7C9A41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Крыльевой лафет ИЛ-2</w:t>
            </w:r>
          </w:p>
        </w:tc>
        <w:tc>
          <w:tcPr>
            <w:tcW w:w="1145" w:type="dxa"/>
          </w:tcPr>
          <w:p w14:paraId="44CF8A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Комплект</w:t>
            </w:r>
          </w:p>
        </w:tc>
        <w:tc>
          <w:tcPr>
            <w:tcW w:w="1134" w:type="dxa"/>
          </w:tcPr>
          <w:p w14:paraId="690D3A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3856</w:t>
            </w:r>
          </w:p>
        </w:tc>
        <w:tc>
          <w:tcPr>
            <w:tcW w:w="1134" w:type="dxa"/>
          </w:tcPr>
          <w:p w14:paraId="3B7C0B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3888</w:t>
            </w:r>
          </w:p>
        </w:tc>
        <w:tc>
          <w:tcPr>
            <w:tcW w:w="1134" w:type="dxa"/>
          </w:tcPr>
          <w:p w14:paraId="20DBF0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34" w:type="dxa"/>
          </w:tcPr>
          <w:p w14:paraId="30A2CB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75" w:type="dxa"/>
          </w:tcPr>
          <w:p w14:paraId="705E3D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7744</w:t>
            </w:r>
          </w:p>
        </w:tc>
      </w:tr>
      <w:tr w:rsidR="00643896" w:rsidRPr="00640820" w14:paraId="5078CCAC" w14:textId="77777777" w:rsidTr="000D3BCB">
        <w:tc>
          <w:tcPr>
            <w:tcW w:w="1657" w:type="dxa"/>
          </w:tcPr>
          <w:p w14:paraId="5CE637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Крыльевой лафет БС-ЯК-7</w:t>
            </w:r>
          </w:p>
        </w:tc>
        <w:tc>
          <w:tcPr>
            <w:tcW w:w="1145" w:type="dxa"/>
          </w:tcPr>
          <w:p w14:paraId="06FC10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Комплект</w:t>
            </w:r>
          </w:p>
        </w:tc>
        <w:tc>
          <w:tcPr>
            <w:tcW w:w="1134" w:type="dxa"/>
          </w:tcPr>
          <w:p w14:paraId="0F16DD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230</w:t>
            </w:r>
          </w:p>
        </w:tc>
        <w:tc>
          <w:tcPr>
            <w:tcW w:w="1134" w:type="dxa"/>
          </w:tcPr>
          <w:p w14:paraId="7B4268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1029</w:t>
            </w:r>
          </w:p>
        </w:tc>
        <w:tc>
          <w:tcPr>
            <w:tcW w:w="1134" w:type="dxa"/>
          </w:tcPr>
          <w:p w14:paraId="3DBC24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190</w:t>
            </w:r>
          </w:p>
        </w:tc>
        <w:tc>
          <w:tcPr>
            <w:tcW w:w="1134" w:type="dxa"/>
          </w:tcPr>
          <w:p w14:paraId="75D5A3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75" w:type="dxa"/>
          </w:tcPr>
          <w:p w14:paraId="1FF336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1449</w:t>
            </w:r>
          </w:p>
        </w:tc>
      </w:tr>
      <w:tr w:rsidR="00643896" w:rsidRPr="00640820" w14:paraId="12039A25" w14:textId="77777777" w:rsidTr="000D3BCB">
        <w:tc>
          <w:tcPr>
            <w:tcW w:w="1657" w:type="dxa"/>
          </w:tcPr>
          <w:p w14:paraId="4550C2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Носовая установка ИЛ-4</w:t>
            </w:r>
          </w:p>
        </w:tc>
        <w:tc>
          <w:tcPr>
            <w:tcW w:w="1145" w:type="dxa"/>
          </w:tcPr>
          <w:p w14:paraId="4638A3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Штук</w:t>
            </w:r>
          </w:p>
        </w:tc>
        <w:tc>
          <w:tcPr>
            <w:tcW w:w="1134" w:type="dxa"/>
          </w:tcPr>
          <w:p w14:paraId="05E95E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222</w:t>
            </w:r>
          </w:p>
        </w:tc>
        <w:tc>
          <w:tcPr>
            <w:tcW w:w="1134" w:type="dxa"/>
          </w:tcPr>
          <w:p w14:paraId="64D781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686</w:t>
            </w:r>
          </w:p>
        </w:tc>
        <w:tc>
          <w:tcPr>
            <w:tcW w:w="1134" w:type="dxa"/>
          </w:tcPr>
          <w:p w14:paraId="3A85E9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1134" w:type="dxa"/>
          </w:tcPr>
          <w:p w14:paraId="3E5FE7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75" w:type="dxa"/>
          </w:tcPr>
          <w:p w14:paraId="003F28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928</w:t>
            </w:r>
          </w:p>
        </w:tc>
      </w:tr>
      <w:tr w:rsidR="00643896" w:rsidRPr="00640820" w14:paraId="0C0EA991" w14:textId="77777777" w:rsidTr="000D3BCB">
        <w:tc>
          <w:tcPr>
            <w:tcW w:w="1657" w:type="dxa"/>
          </w:tcPr>
          <w:p w14:paraId="2F3D26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Балка РО-82</w:t>
            </w:r>
          </w:p>
        </w:tc>
        <w:tc>
          <w:tcPr>
            <w:tcW w:w="1145" w:type="dxa"/>
          </w:tcPr>
          <w:p w14:paraId="5800B9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Штук</w:t>
            </w:r>
          </w:p>
        </w:tc>
        <w:tc>
          <w:tcPr>
            <w:tcW w:w="1134" w:type="dxa"/>
          </w:tcPr>
          <w:p w14:paraId="2ECAF8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26990</w:t>
            </w:r>
          </w:p>
        </w:tc>
        <w:tc>
          <w:tcPr>
            <w:tcW w:w="1134" w:type="dxa"/>
          </w:tcPr>
          <w:p w14:paraId="3BAF64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104</w:t>
            </w:r>
          </w:p>
        </w:tc>
        <w:tc>
          <w:tcPr>
            <w:tcW w:w="1134" w:type="dxa"/>
          </w:tcPr>
          <w:p w14:paraId="52BF37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34" w:type="dxa"/>
          </w:tcPr>
          <w:p w14:paraId="0CBB69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75" w:type="dxa"/>
          </w:tcPr>
          <w:p w14:paraId="0CC8BD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27094</w:t>
            </w:r>
          </w:p>
        </w:tc>
      </w:tr>
      <w:tr w:rsidR="00643896" w:rsidRPr="00640820" w14:paraId="1BD4673B" w14:textId="77777777" w:rsidTr="000D3BCB">
        <w:tc>
          <w:tcPr>
            <w:tcW w:w="1657" w:type="dxa"/>
          </w:tcPr>
          <w:p w14:paraId="298BCB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Сбрасыватель ЭСБР-3п</w:t>
            </w:r>
          </w:p>
        </w:tc>
        <w:tc>
          <w:tcPr>
            <w:tcW w:w="1145" w:type="dxa"/>
          </w:tcPr>
          <w:p w14:paraId="731C5D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Штук</w:t>
            </w:r>
          </w:p>
        </w:tc>
        <w:tc>
          <w:tcPr>
            <w:tcW w:w="1134" w:type="dxa"/>
          </w:tcPr>
          <w:p w14:paraId="22326B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9093</w:t>
            </w:r>
          </w:p>
        </w:tc>
        <w:tc>
          <w:tcPr>
            <w:tcW w:w="1134" w:type="dxa"/>
          </w:tcPr>
          <w:p w14:paraId="0365BF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8596</w:t>
            </w:r>
          </w:p>
        </w:tc>
        <w:tc>
          <w:tcPr>
            <w:tcW w:w="1134" w:type="dxa"/>
          </w:tcPr>
          <w:p w14:paraId="71827E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34" w:type="dxa"/>
          </w:tcPr>
          <w:p w14:paraId="364E66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75" w:type="dxa"/>
          </w:tcPr>
          <w:p w14:paraId="78D198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17689</w:t>
            </w:r>
          </w:p>
        </w:tc>
      </w:tr>
      <w:tr w:rsidR="00643896" w:rsidRPr="00640820" w14:paraId="6684DE0E" w14:textId="77777777" w:rsidTr="000D3BCB">
        <w:tc>
          <w:tcPr>
            <w:tcW w:w="1657" w:type="dxa"/>
          </w:tcPr>
          <w:p w14:paraId="3E88F8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Граната ГС-1</w:t>
            </w:r>
          </w:p>
        </w:tc>
        <w:tc>
          <w:tcPr>
            <w:tcW w:w="1145" w:type="dxa"/>
          </w:tcPr>
          <w:p w14:paraId="27AAB9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Штук</w:t>
            </w:r>
          </w:p>
        </w:tc>
        <w:tc>
          <w:tcPr>
            <w:tcW w:w="1134" w:type="dxa"/>
          </w:tcPr>
          <w:p w14:paraId="5B8EE2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52140</w:t>
            </w:r>
          </w:p>
        </w:tc>
        <w:tc>
          <w:tcPr>
            <w:tcW w:w="1134" w:type="dxa"/>
          </w:tcPr>
          <w:p w14:paraId="138D17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34" w:type="dxa"/>
          </w:tcPr>
          <w:p w14:paraId="26D0BC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34" w:type="dxa"/>
          </w:tcPr>
          <w:p w14:paraId="30E516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75" w:type="dxa"/>
          </w:tcPr>
          <w:p w14:paraId="5FA560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52140</w:t>
            </w:r>
          </w:p>
        </w:tc>
      </w:tr>
      <w:tr w:rsidR="00643896" w:rsidRPr="00640820" w14:paraId="73627E65" w14:textId="77777777" w:rsidTr="000D3BCB">
        <w:tc>
          <w:tcPr>
            <w:tcW w:w="1657" w:type="dxa"/>
          </w:tcPr>
          <w:p w14:paraId="1247BD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ВАП-6м</w:t>
            </w:r>
          </w:p>
        </w:tc>
        <w:tc>
          <w:tcPr>
            <w:tcW w:w="1145" w:type="dxa"/>
          </w:tcPr>
          <w:p w14:paraId="653D4E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Штук</w:t>
            </w:r>
          </w:p>
        </w:tc>
        <w:tc>
          <w:tcPr>
            <w:tcW w:w="1134" w:type="dxa"/>
          </w:tcPr>
          <w:p w14:paraId="7BFF72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3800</w:t>
            </w:r>
          </w:p>
        </w:tc>
        <w:tc>
          <w:tcPr>
            <w:tcW w:w="1134" w:type="dxa"/>
          </w:tcPr>
          <w:p w14:paraId="11DC43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w:t>
            </w:r>
          </w:p>
        </w:tc>
        <w:tc>
          <w:tcPr>
            <w:tcW w:w="1134" w:type="dxa"/>
          </w:tcPr>
          <w:p w14:paraId="4A0A0F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34" w:type="dxa"/>
          </w:tcPr>
          <w:p w14:paraId="7EF81E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75" w:type="dxa"/>
          </w:tcPr>
          <w:p w14:paraId="0FC0D2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4000</w:t>
            </w:r>
          </w:p>
        </w:tc>
      </w:tr>
      <w:tr w:rsidR="00643896" w:rsidRPr="00640820" w14:paraId="28257D9E" w14:textId="77777777" w:rsidTr="000D3BCB">
        <w:tc>
          <w:tcPr>
            <w:tcW w:w="1657" w:type="dxa"/>
          </w:tcPr>
          <w:p w14:paraId="2497D6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ДАГ-10</w:t>
            </w:r>
          </w:p>
        </w:tc>
        <w:tc>
          <w:tcPr>
            <w:tcW w:w="1145" w:type="dxa"/>
          </w:tcPr>
          <w:p w14:paraId="7013EA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Штук</w:t>
            </w:r>
          </w:p>
        </w:tc>
        <w:tc>
          <w:tcPr>
            <w:tcW w:w="1134" w:type="dxa"/>
          </w:tcPr>
          <w:p w14:paraId="470FF6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1582</w:t>
            </w:r>
          </w:p>
        </w:tc>
        <w:tc>
          <w:tcPr>
            <w:tcW w:w="1134" w:type="dxa"/>
          </w:tcPr>
          <w:p w14:paraId="4A668E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4522</w:t>
            </w:r>
          </w:p>
        </w:tc>
        <w:tc>
          <w:tcPr>
            <w:tcW w:w="1134" w:type="dxa"/>
          </w:tcPr>
          <w:p w14:paraId="5B86E5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6677</w:t>
            </w:r>
          </w:p>
        </w:tc>
        <w:tc>
          <w:tcPr>
            <w:tcW w:w="1134" w:type="dxa"/>
          </w:tcPr>
          <w:p w14:paraId="61280E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1700</w:t>
            </w:r>
          </w:p>
        </w:tc>
        <w:tc>
          <w:tcPr>
            <w:tcW w:w="1275" w:type="dxa"/>
          </w:tcPr>
          <w:p w14:paraId="58C211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14481</w:t>
            </w:r>
          </w:p>
        </w:tc>
      </w:tr>
      <w:tr w:rsidR="00643896" w:rsidRPr="00640820" w14:paraId="28DBBFCF" w14:textId="77777777" w:rsidTr="000D3BCB">
        <w:tc>
          <w:tcPr>
            <w:tcW w:w="1657" w:type="dxa"/>
          </w:tcPr>
          <w:p w14:paraId="4150D9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Замки Дер-21 с п/п</w:t>
            </w:r>
          </w:p>
        </w:tc>
        <w:tc>
          <w:tcPr>
            <w:tcW w:w="1145" w:type="dxa"/>
          </w:tcPr>
          <w:p w14:paraId="55B06D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Комплект</w:t>
            </w:r>
          </w:p>
        </w:tc>
        <w:tc>
          <w:tcPr>
            <w:tcW w:w="1134" w:type="dxa"/>
          </w:tcPr>
          <w:p w14:paraId="6C5D0D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2854</w:t>
            </w:r>
          </w:p>
        </w:tc>
        <w:tc>
          <w:tcPr>
            <w:tcW w:w="1134" w:type="dxa"/>
          </w:tcPr>
          <w:p w14:paraId="48CD06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3125</w:t>
            </w:r>
          </w:p>
        </w:tc>
        <w:tc>
          <w:tcPr>
            <w:tcW w:w="1134" w:type="dxa"/>
          </w:tcPr>
          <w:p w14:paraId="7C9064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34" w:type="dxa"/>
          </w:tcPr>
          <w:p w14:paraId="4A5A52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75" w:type="dxa"/>
          </w:tcPr>
          <w:p w14:paraId="062A89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5979</w:t>
            </w:r>
          </w:p>
        </w:tc>
      </w:tr>
      <w:tr w:rsidR="00643896" w:rsidRPr="00640820" w14:paraId="01D4F6E3" w14:textId="77777777" w:rsidTr="000D3BCB">
        <w:tc>
          <w:tcPr>
            <w:tcW w:w="1657" w:type="dxa"/>
          </w:tcPr>
          <w:p w14:paraId="115A35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Замки Д-3-42</w:t>
            </w:r>
          </w:p>
        </w:tc>
        <w:tc>
          <w:tcPr>
            <w:tcW w:w="1145" w:type="dxa"/>
          </w:tcPr>
          <w:p w14:paraId="4CC720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Комплект</w:t>
            </w:r>
          </w:p>
        </w:tc>
        <w:tc>
          <w:tcPr>
            <w:tcW w:w="1134" w:type="dxa"/>
          </w:tcPr>
          <w:p w14:paraId="0E411E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1352</w:t>
            </w:r>
          </w:p>
        </w:tc>
        <w:tc>
          <w:tcPr>
            <w:tcW w:w="1134" w:type="dxa"/>
          </w:tcPr>
          <w:p w14:paraId="734A54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3945</w:t>
            </w:r>
          </w:p>
        </w:tc>
        <w:tc>
          <w:tcPr>
            <w:tcW w:w="1134" w:type="dxa"/>
          </w:tcPr>
          <w:p w14:paraId="058A97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34" w:type="dxa"/>
          </w:tcPr>
          <w:p w14:paraId="30E70D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75" w:type="dxa"/>
          </w:tcPr>
          <w:p w14:paraId="2B0BE1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5297</w:t>
            </w:r>
          </w:p>
        </w:tc>
      </w:tr>
      <w:tr w:rsidR="00643896" w:rsidRPr="00640820" w14:paraId="63CB3C37" w14:textId="77777777" w:rsidTr="000D3BCB">
        <w:tc>
          <w:tcPr>
            <w:tcW w:w="1657" w:type="dxa"/>
          </w:tcPr>
          <w:p w14:paraId="62100A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Замки Дер-20</w:t>
            </w:r>
          </w:p>
        </w:tc>
        <w:tc>
          <w:tcPr>
            <w:tcW w:w="1145" w:type="dxa"/>
          </w:tcPr>
          <w:p w14:paraId="1C6EC4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Штук</w:t>
            </w:r>
          </w:p>
        </w:tc>
        <w:tc>
          <w:tcPr>
            <w:tcW w:w="1134" w:type="dxa"/>
          </w:tcPr>
          <w:p w14:paraId="606281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34" w:type="dxa"/>
          </w:tcPr>
          <w:p w14:paraId="3E1B7A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296</w:t>
            </w:r>
          </w:p>
        </w:tc>
        <w:tc>
          <w:tcPr>
            <w:tcW w:w="1134" w:type="dxa"/>
          </w:tcPr>
          <w:p w14:paraId="3F3A74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w:t>
            </w:r>
          </w:p>
        </w:tc>
        <w:tc>
          <w:tcPr>
            <w:tcW w:w="1134" w:type="dxa"/>
          </w:tcPr>
          <w:p w14:paraId="409172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1275" w:type="dxa"/>
          </w:tcPr>
          <w:p w14:paraId="26E96B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366</w:t>
            </w:r>
          </w:p>
        </w:tc>
      </w:tr>
      <w:tr w:rsidR="00643896" w:rsidRPr="00640820" w14:paraId="46342F7B" w14:textId="77777777" w:rsidTr="000D3BCB">
        <w:tc>
          <w:tcPr>
            <w:tcW w:w="1657" w:type="dxa"/>
          </w:tcPr>
          <w:p w14:paraId="06D201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Замки Дер-19</w:t>
            </w:r>
          </w:p>
        </w:tc>
        <w:tc>
          <w:tcPr>
            <w:tcW w:w="1145" w:type="dxa"/>
          </w:tcPr>
          <w:p w14:paraId="418A4E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Штук</w:t>
            </w:r>
          </w:p>
        </w:tc>
        <w:tc>
          <w:tcPr>
            <w:tcW w:w="1134" w:type="dxa"/>
          </w:tcPr>
          <w:p w14:paraId="71DF6F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34" w:type="dxa"/>
          </w:tcPr>
          <w:p w14:paraId="23CC2E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410</w:t>
            </w:r>
          </w:p>
        </w:tc>
        <w:tc>
          <w:tcPr>
            <w:tcW w:w="1134" w:type="dxa"/>
          </w:tcPr>
          <w:p w14:paraId="6B2442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107</w:t>
            </w:r>
          </w:p>
        </w:tc>
        <w:tc>
          <w:tcPr>
            <w:tcW w:w="1134" w:type="dxa"/>
          </w:tcPr>
          <w:p w14:paraId="691ECF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c>
          <w:tcPr>
            <w:tcW w:w="1275" w:type="dxa"/>
          </w:tcPr>
          <w:p w14:paraId="5E0378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547</w:t>
            </w:r>
          </w:p>
        </w:tc>
      </w:tr>
      <w:tr w:rsidR="00643896" w:rsidRPr="00640820" w14:paraId="077BC840" w14:textId="77777777" w:rsidTr="000D3BCB">
        <w:tc>
          <w:tcPr>
            <w:tcW w:w="1657" w:type="dxa"/>
          </w:tcPr>
          <w:p w14:paraId="5B0E6A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ВУБ-3</w:t>
            </w:r>
          </w:p>
        </w:tc>
        <w:tc>
          <w:tcPr>
            <w:tcW w:w="1145" w:type="dxa"/>
          </w:tcPr>
          <w:p w14:paraId="53131B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Штук</w:t>
            </w:r>
          </w:p>
        </w:tc>
        <w:tc>
          <w:tcPr>
            <w:tcW w:w="1134" w:type="dxa"/>
          </w:tcPr>
          <w:p w14:paraId="1F1C3D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34" w:type="dxa"/>
          </w:tcPr>
          <w:p w14:paraId="196DBD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4383</w:t>
            </w:r>
          </w:p>
        </w:tc>
        <w:tc>
          <w:tcPr>
            <w:tcW w:w="1134" w:type="dxa"/>
          </w:tcPr>
          <w:p w14:paraId="220684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8339</w:t>
            </w:r>
          </w:p>
        </w:tc>
        <w:tc>
          <w:tcPr>
            <w:tcW w:w="1134" w:type="dxa"/>
          </w:tcPr>
          <w:p w14:paraId="6F08D7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3490</w:t>
            </w:r>
          </w:p>
        </w:tc>
        <w:tc>
          <w:tcPr>
            <w:tcW w:w="1275" w:type="dxa"/>
          </w:tcPr>
          <w:p w14:paraId="414176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16212</w:t>
            </w:r>
          </w:p>
        </w:tc>
      </w:tr>
      <w:tr w:rsidR="00643896" w:rsidRPr="00640820" w14:paraId="6BE4FE83" w14:textId="77777777" w:rsidTr="000D3BCB">
        <w:tc>
          <w:tcPr>
            <w:tcW w:w="1657" w:type="dxa"/>
          </w:tcPr>
          <w:p w14:paraId="32BDFF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ВУБ-2</w:t>
            </w:r>
          </w:p>
        </w:tc>
        <w:tc>
          <w:tcPr>
            <w:tcW w:w="1145" w:type="dxa"/>
          </w:tcPr>
          <w:p w14:paraId="3E0125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Штук</w:t>
            </w:r>
          </w:p>
        </w:tc>
        <w:tc>
          <w:tcPr>
            <w:tcW w:w="1134" w:type="dxa"/>
          </w:tcPr>
          <w:p w14:paraId="4CFA2E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34" w:type="dxa"/>
          </w:tcPr>
          <w:p w14:paraId="34CBDB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34" w:type="dxa"/>
          </w:tcPr>
          <w:p w14:paraId="0BC02A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367</w:t>
            </w:r>
          </w:p>
        </w:tc>
        <w:tc>
          <w:tcPr>
            <w:tcW w:w="1134" w:type="dxa"/>
          </w:tcPr>
          <w:p w14:paraId="6630F4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762</w:t>
            </w:r>
          </w:p>
        </w:tc>
        <w:tc>
          <w:tcPr>
            <w:tcW w:w="1275" w:type="dxa"/>
          </w:tcPr>
          <w:p w14:paraId="7F1536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1129</w:t>
            </w:r>
          </w:p>
        </w:tc>
      </w:tr>
      <w:tr w:rsidR="00643896" w:rsidRPr="00640820" w14:paraId="79EB6770" w14:textId="77777777" w:rsidTr="000D3BCB">
        <w:tc>
          <w:tcPr>
            <w:tcW w:w="1657" w:type="dxa"/>
          </w:tcPr>
          <w:p w14:paraId="4B04DA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Наружная подвеска ИЛ-4</w:t>
            </w:r>
          </w:p>
        </w:tc>
        <w:tc>
          <w:tcPr>
            <w:tcW w:w="1145" w:type="dxa"/>
          </w:tcPr>
          <w:p w14:paraId="144EBE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Комплект</w:t>
            </w:r>
          </w:p>
        </w:tc>
        <w:tc>
          <w:tcPr>
            <w:tcW w:w="1134" w:type="dxa"/>
          </w:tcPr>
          <w:p w14:paraId="2BF824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34" w:type="dxa"/>
          </w:tcPr>
          <w:p w14:paraId="69ADE1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580</w:t>
            </w:r>
          </w:p>
        </w:tc>
        <w:tc>
          <w:tcPr>
            <w:tcW w:w="1134" w:type="dxa"/>
          </w:tcPr>
          <w:p w14:paraId="4EB3D5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230</w:t>
            </w:r>
          </w:p>
        </w:tc>
        <w:tc>
          <w:tcPr>
            <w:tcW w:w="1134" w:type="dxa"/>
          </w:tcPr>
          <w:p w14:paraId="640583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150</w:t>
            </w:r>
          </w:p>
        </w:tc>
        <w:tc>
          <w:tcPr>
            <w:tcW w:w="1275" w:type="dxa"/>
          </w:tcPr>
          <w:p w14:paraId="428EC3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960</w:t>
            </w:r>
          </w:p>
        </w:tc>
      </w:tr>
      <w:tr w:rsidR="00643896" w:rsidRPr="00640820" w14:paraId="1BD081DF" w14:textId="77777777" w:rsidTr="000D3BCB">
        <w:tc>
          <w:tcPr>
            <w:tcW w:w="1657" w:type="dxa"/>
          </w:tcPr>
          <w:p w14:paraId="56EC1A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Наружная подвеска ЛИ-2</w:t>
            </w:r>
          </w:p>
        </w:tc>
        <w:tc>
          <w:tcPr>
            <w:tcW w:w="1145" w:type="dxa"/>
          </w:tcPr>
          <w:p w14:paraId="3ACC8E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Комплект</w:t>
            </w:r>
          </w:p>
        </w:tc>
        <w:tc>
          <w:tcPr>
            <w:tcW w:w="1134" w:type="dxa"/>
          </w:tcPr>
          <w:p w14:paraId="54900D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34" w:type="dxa"/>
          </w:tcPr>
          <w:p w14:paraId="35636B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400</w:t>
            </w:r>
          </w:p>
        </w:tc>
        <w:tc>
          <w:tcPr>
            <w:tcW w:w="1134" w:type="dxa"/>
          </w:tcPr>
          <w:p w14:paraId="421193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525</w:t>
            </w:r>
          </w:p>
        </w:tc>
        <w:tc>
          <w:tcPr>
            <w:tcW w:w="1134" w:type="dxa"/>
          </w:tcPr>
          <w:p w14:paraId="3749E1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225</w:t>
            </w:r>
          </w:p>
        </w:tc>
        <w:tc>
          <w:tcPr>
            <w:tcW w:w="1275" w:type="dxa"/>
          </w:tcPr>
          <w:p w14:paraId="2859E5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1150</w:t>
            </w:r>
          </w:p>
        </w:tc>
      </w:tr>
      <w:tr w:rsidR="00643896" w:rsidRPr="00640820" w14:paraId="3BD210FF" w14:textId="77777777" w:rsidTr="000D3BCB">
        <w:tc>
          <w:tcPr>
            <w:tcW w:w="1657" w:type="dxa"/>
          </w:tcPr>
          <w:p w14:paraId="291310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Торпедодержатель 2Т-18</w:t>
            </w:r>
          </w:p>
        </w:tc>
        <w:tc>
          <w:tcPr>
            <w:tcW w:w="1145" w:type="dxa"/>
          </w:tcPr>
          <w:p w14:paraId="5B6E77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Комплект</w:t>
            </w:r>
          </w:p>
        </w:tc>
        <w:tc>
          <w:tcPr>
            <w:tcW w:w="1134" w:type="dxa"/>
          </w:tcPr>
          <w:p w14:paraId="37F486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34" w:type="dxa"/>
          </w:tcPr>
          <w:p w14:paraId="3AD0D6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212</w:t>
            </w:r>
          </w:p>
        </w:tc>
        <w:tc>
          <w:tcPr>
            <w:tcW w:w="1134" w:type="dxa"/>
          </w:tcPr>
          <w:p w14:paraId="78AF51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270</w:t>
            </w:r>
          </w:p>
        </w:tc>
        <w:tc>
          <w:tcPr>
            <w:tcW w:w="1134" w:type="dxa"/>
          </w:tcPr>
          <w:p w14:paraId="78D404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340</w:t>
            </w:r>
          </w:p>
        </w:tc>
        <w:tc>
          <w:tcPr>
            <w:tcW w:w="1275" w:type="dxa"/>
          </w:tcPr>
          <w:p w14:paraId="78BB12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822</w:t>
            </w:r>
          </w:p>
        </w:tc>
      </w:tr>
      <w:tr w:rsidR="00643896" w:rsidRPr="00640820" w14:paraId="4D21783C" w14:textId="77777777" w:rsidTr="000D3BCB">
        <w:tc>
          <w:tcPr>
            <w:tcW w:w="1657" w:type="dxa"/>
          </w:tcPr>
          <w:p w14:paraId="04E2ED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Лафет ШВАК на ТУ-2</w:t>
            </w:r>
          </w:p>
        </w:tc>
        <w:tc>
          <w:tcPr>
            <w:tcW w:w="1145" w:type="dxa"/>
          </w:tcPr>
          <w:p w14:paraId="10AD64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Комплект</w:t>
            </w:r>
          </w:p>
        </w:tc>
        <w:tc>
          <w:tcPr>
            <w:tcW w:w="1134" w:type="dxa"/>
          </w:tcPr>
          <w:p w14:paraId="66EC5C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34" w:type="dxa"/>
          </w:tcPr>
          <w:p w14:paraId="149D90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61</w:t>
            </w:r>
          </w:p>
        </w:tc>
        <w:tc>
          <w:tcPr>
            <w:tcW w:w="1134" w:type="dxa"/>
          </w:tcPr>
          <w:p w14:paraId="7BABFE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429</w:t>
            </w:r>
          </w:p>
        </w:tc>
        <w:tc>
          <w:tcPr>
            <w:tcW w:w="1134" w:type="dxa"/>
          </w:tcPr>
          <w:p w14:paraId="104746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916</w:t>
            </w:r>
          </w:p>
        </w:tc>
        <w:tc>
          <w:tcPr>
            <w:tcW w:w="1275" w:type="dxa"/>
          </w:tcPr>
          <w:p w14:paraId="195E2E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1406</w:t>
            </w:r>
          </w:p>
        </w:tc>
      </w:tr>
      <w:tr w:rsidR="00643896" w:rsidRPr="00640820" w14:paraId="63CC1082" w14:textId="77777777" w:rsidTr="000D3BCB">
        <w:tc>
          <w:tcPr>
            <w:tcW w:w="1657" w:type="dxa"/>
          </w:tcPr>
          <w:p w14:paraId="180E82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Блистерная установка на ТУ-2</w:t>
            </w:r>
          </w:p>
        </w:tc>
        <w:tc>
          <w:tcPr>
            <w:tcW w:w="1145" w:type="dxa"/>
          </w:tcPr>
          <w:p w14:paraId="7FC330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Штук</w:t>
            </w:r>
          </w:p>
        </w:tc>
        <w:tc>
          <w:tcPr>
            <w:tcW w:w="1134" w:type="dxa"/>
          </w:tcPr>
          <w:p w14:paraId="7E2942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34" w:type="dxa"/>
          </w:tcPr>
          <w:p w14:paraId="0FEE96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w:t>
            </w:r>
          </w:p>
        </w:tc>
        <w:tc>
          <w:tcPr>
            <w:tcW w:w="1134" w:type="dxa"/>
          </w:tcPr>
          <w:p w14:paraId="4F03F4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453</w:t>
            </w:r>
          </w:p>
        </w:tc>
        <w:tc>
          <w:tcPr>
            <w:tcW w:w="1134" w:type="dxa"/>
          </w:tcPr>
          <w:p w14:paraId="65D7BA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898</w:t>
            </w:r>
          </w:p>
        </w:tc>
        <w:tc>
          <w:tcPr>
            <w:tcW w:w="1275" w:type="dxa"/>
          </w:tcPr>
          <w:p w14:paraId="201BC1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1411</w:t>
            </w:r>
          </w:p>
        </w:tc>
      </w:tr>
      <w:tr w:rsidR="00643896" w:rsidRPr="00640820" w14:paraId="746C8F6B" w14:textId="77777777" w:rsidTr="000D3BCB">
        <w:tc>
          <w:tcPr>
            <w:tcW w:w="1657" w:type="dxa"/>
          </w:tcPr>
          <w:p w14:paraId="26A234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Аварийный сбрасыватель на ТУ-2</w:t>
            </w:r>
          </w:p>
        </w:tc>
        <w:tc>
          <w:tcPr>
            <w:tcW w:w="1145" w:type="dxa"/>
          </w:tcPr>
          <w:p w14:paraId="37B3B4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Штук</w:t>
            </w:r>
          </w:p>
        </w:tc>
        <w:tc>
          <w:tcPr>
            <w:tcW w:w="1134" w:type="dxa"/>
          </w:tcPr>
          <w:p w14:paraId="0432EE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34" w:type="dxa"/>
          </w:tcPr>
          <w:p w14:paraId="30EEE5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w:t>
            </w:r>
          </w:p>
        </w:tc>
        <w:tc>
          <w:tcPr>
            <w:tcW w:w="1134" w:type="dxa"/>
          </w:tcPr>
          <w:p w14:paraId="57E6AA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491</w:t>
            </w:r>
          </w:p>
        </w:tc>
        <w:tc>
          <w:tcPr>
            <w:tcW w:w="1134" w:type="dxa"/>
          </w:tcPr>
          <w:p w14:paraId="472307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286</w:t>
            </w:r>
          </w:p>
        </w:tc>
        <w:tc>
          <w:tcPr>
            <w:tcW w:w="1275" w:type="dxa"/>
          </w:tcPr>
          <w:p w14:paraId="25D195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837</w:t>
            </w:r>
          </w:p>
        </w:tc>
      </w:tr>
      <w:tr w:rsidR="00643896" w:rsidRPr="00640820" w14:paraId="41BC7748" w14:textId="77777777" w:rsidTr="000D3BCB">
        <w:tc>
          <w:tcPr>
            <w:tcW w:w="1657" w:type="dxa"/>
          </w:tcPr>
          <w:p w14:paraId="03C6F3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Кассета ПКД-2</w:t>
            </w:r>
          </w:p>
        </w:tc>
        <w:tc>
          <w:tcPr>
            <w:tcW w:w="1145" w:type="dxa"/>
          </w:tcPr>
          <w:p w14:paraId="027F45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Штук</w:t>
            </w:r>
          </w:p>
        </w:tc>
        <w:tc>
          <w:tcPr>
            <w:tcW w:w="1134" w:type="dxa"/>
          </w:tcPr>
          <w:p w14:paraId="678C0A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34" w:type="dxa"/>
          </w:tcPr>
          <w:p w14:paraId="028B53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1134" w:type="dxa"/>
          </w:tcPr>
          <w:p w14:paraId="3601ED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461</w:t>
            </w:r>
          </w:p>
        </w:tc>
        <w:tc>
          <w:tcPr>
            <w:tcW w:w="1134" w:type="dxa"/>
          </w:tcPr>
          <w:p w14:paraId="02F150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880</w:t>
            </w:r>
          </w:p>
        </w:tc>
        <w:tc>
          <w:tcPr>
            <w:tcW w:w="1275" w:type="dxa"/>
          </w:tcPr>
          <w:p w14:paraId="7EB35B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1342</w:t>
            </w:r>
          </w:p>
        </w:tc>
      </w:tr>
      <w:tr w:rsidR="00643896" w:rsidRPr="00640820" w14:paraId="45A5C461" w14:textId="77777777" w:rsidTr="000D3BCB">
        <w:tc>
          <w:tcPr>
            <w:tcW w:w="1657" w:type="dxa"/>
          </w:tcPr>
          <w:p w14:paraId="7638D1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Пиропистолет</w:t>
            </w:r>
          </w:p>
        </w:tc>
        <w:tc>
          <w:tcPr>
            <w:tcW w:w="1145" w:type="dxa"/>
          </w:tcPr>
          <w:p w14:paraId="7CD005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Штук</w:t>
            </w:r>
          </w:p>
        </w:tc>
        <w:tc>
          <w:tcPr>
            <w:tcW w:w="1134" w:type="dxa"/>
          </w:tcPr>
          <w:p w14:paraId="536945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34" w:type="dxa"/>
          </w:tcPr>
          <w:p w14:paraId="089E0A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34" w:type="dxa"/>
          </w:tcPr>
          <w:p w14:paraId="320816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2939</w:t>
            </w:r>
          </w:p>
        </w:tc>
        <w:tc>
          <w:tcPr>
            <w:tcW w:w="1134" w:type="dxa"/>
          </w:tcPr>
          <w:p w14:paraId="7B438F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1692</w:t>
            </w:r>
          </w:p>
        </w:tc>
        <w:tc>
          <w:tcPr>
            <w:tcW w:w="1275" w:type="dxa"/>
          </w:tcPr>
          <w:p w14:paraId="69E9B3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4631</w:t>
            </w:r>
          </w:p>
        </w:tc>
      </w:tr>
    </w:tbl>
    <w:p w14:paraId="036BA5B1" w14:textId="77777777" w:rsidR="00165A9C" w:rsidRPr="00640820" w:rsidRDefault="00165A9C" w:rsidP="0064082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Работа завода в переходный период (май 1945 года – май 1946 года), когда завод в значительных размераз снизил выпуск военной продукции и перешел на производство и выпуск гражданской продукции и изделий широкого потребления.</w:t>
      </w:r>
    </w:p>
    <w:p w14:paraId="53C032B8" w14:textId="77777777" w:rsidR="00165A9C" w:rsidRPr="00640820" w:rsidRDefault="00165A9C" w:rsidP="0064082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Работа завода в период осовения и выпуска нового электрофицированного стрелково-пушечного вооружения и специзделий реактивной техники.</w:t>
      </w:r>
    </w:p>
    <w:p w14:paraId="0F6698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Начиная с мая 1946 года завод получил задание приступить к организации производства по освоению и выпуску электрофицированного дистанционного стрелково-пушечного вооружения СВ-20 на самолет ТУ-4.</w:t>
      </w:r>
    </w:p>
    <w:p w14:paraId="6DEBE6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Постановлением СМ от 14 ноября 1949 года за № 5185-1930сс и приказом МАП от 17 ноября 1949 года за № 914с ОКБ-43 гл. конструктора Торопова И.И. было переведено на новые площади реорганизованного завода № 134.</w:t>
      </w:r>
    </w:p>
    <w:p w14:paraId="0DF7BE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связи с этим ОКБ-43 было реорганизовано в опытный завод по вооружению самолетов с присвоением ему № 134.</w:t>
      </w:r>
    </w:p>
    <w:p w14:paraId="746679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Москва, Д-40, ул. Правды, д. 8</w:t>
      </w:r>
    </w:p>
    <w:p w14:paraId="1A4D27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Производственный профиль – специзделия ракетной техники и стрелково-пушечное вооружение с электроагрегатами (9828).</w:t>
      </w:r>
    </w:p>
    <w:p w14:paraId="1CE049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38312B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ноября 1941 первый эшелон с эвакуированным персоналом завода № 51 при</w:t>
      </w:r>
      <w:r w:rsidRPr="00640820">
        <w:rPr>
          <w:rFonts w:ascii="Times New Roman" w:hAnsi="Times New Roman"/>
          <w:color w:val="000000" w:themeColor="text1"/>
          <w:sz w:val="16"/>
          <w:szCs w:val="16"/>
        </w:rPr>
        <w:softHyphen/>
        <w:t>был в Новосибирск, последний, отправ</w:t>
      </w:r>
      <w:r w:rsidRPr="00640820">
        <w:rPr>
          <w:rFonts w:ascii="Times New Roman" w:hAnsi="Times New Roman"/>
          <w:color w:val="000000" w:themeColor="text1"/>
          <w:sz w:val="16"/>
          <w:szCs w:val="16"/>
        </w:rPr>
        <w:softHyphen/>
        <w:t>ленный в ночь с 17 на 18 октября - 8 ноября. Производственные и жилые площади были уже дав</w:t>
      </w:r>
      <w:r w:rsidRPr="00640820">
        <w:rPr>
          <w:rFonts w:ascii="Times New Roman" w:hAnsi="Times New Roman"/>
          <w:color w:val="000000" w:themeColor="text1"/>
          <w:sz w:val="16"/>
          <w:szCs w:val="16"/>
        </w:rPr>
        <w:softHyphen/>
        <w:t>но заняты. На территорию завода № 153 эвакуировался ленинградский завод № 23, часть ОКБ А.С.Яковлева. Под опытный завод № 51 и ОКБ выделили автобусный парк вблизи Красного проспекта у зоопарка и находя</w:t>
      </w:r>
      <w:r w:rsidRPr="00640820">
        <w:rPr>
          <w:rFonts w:ascii="Times New Roman" w:hAnsi="Times New Roman"/>
          <w:color w:val="000000" w:themeColor="text1"/>
          <w:sz w:val="16"/>
          <w:szCs w:val="16"/>
        </w:rPr>
        <w:softHyphen/>
        <w:t>щиеся неподалеку склады. Здание техникума отвели под общежитие, там же был расположен и отдел кадров. Николай Николаевич по возможности старался лично встречать эшелоны. Людей размещали по частным домам и в быв</w:t>
      </w:r>
      <w:r w:rsidRPr="00640820">
        <w:rPr>
          <w:rFonts w:ascii="Times New Roman" w:hAnsi="Times New Roman"/>
          <w:color w:val="000000" w:themeColor="text1"/>
          <w:sz w:val="16"/>
          <w:szCs w:val="16"/>
        </w:rPr>
        <w:softHyphen/>
        <w:t>шем техникуме. Нельзя сказать, что эвакуация прошла безупречно. По какому-то нелепому распоряжению «сверху» часть семей работников ОКБ и завода № 51 на</w:t>
      </w:r>
      <w:r w:rsidRPr="00640820">
        <w:rPr>
          <w:rFonts w:ascii="Times New Roman" w:hAnsi="Times New Roman"/>
          <w:color w:val="000000" w:themeColor="text1"/>
          <w:sz w:val="16"/>
          <w:szCs w:val="16"/>
        </w:rPr>
        <w:softHyphen/>
        <w:t>правили в Татарию и на Урал. Только в самом начале 1942 г., благодаря усилиям Н.Н.Поликарпова, их уда</w:t>
      </w:r>
      <w:r w:rsidRPr="00640820">
        <w:rPr>
          <w:rFonts w:ascii="Times New Roman" w:hAnsi="Times New Roman"/>
          <w:color w:val="000000" w:themeColor="text1"/>
          <w:sz w:val="16"/>
          <w:szCs w:val="16"/>
        </w:rPr>
        <w:softHyphen/>
        <w:t>лось перевезти в Новосибирск. Николая Николаевича очень беспокоило моральное состояние людей на новом, еще не обжитом месте. Об</w:t>
      </w:r>
      <w:r w:rsidRPr="00640820">
        <w:rPr>
          <w:rFonts w:ascii="Times New Roman" w:hAnsi="Times New Roman"/>
          <w:color w:val="000000" w:themeColor="text1"/>
          <w:sz w:val="16"/>
          <w:szCs w:val="16"/>
        </w:rPr>
        <w:softHyphen/>
        <w:t>ходя помещения, в которых устанавливались станки, оборудование, размещалось конструкторское бюро, он всегда интересовался, как люди устроились, есть ли ка</w:t>
      </w:r>
      <w:r w:rsidRPr="00640820">
        <w:rPr>
          <w:rFonts w:ascii="Times New Roman" w:hAnsi="Times New Roman"/>
          <w:color w:val="000000" w:themeColor="text1"/>
          <w:sz w:val="16"/>
          <w:szCs w:val="16"/>
        </w:rPr>
        <w:softHyphen/>
        <w:t>кие просьбы, делал все возможное, чтобы помочь в ре</w:t>
      </w:r>
      <w:r w:rsidRPr="00640820">
        <w:rPr>
          <w:rFonts w:ascii="Times New Roman" w:hAnsi="Times New Roman"/>
          <w:color w:val="000000" w:themeColor="text1"/>
          <w:sz w:val="16"/>
          <w:szCs w:val="16"/>
        </w:rPr>
        <w:softHyphen/>
        <w:t>шении тех или иных житейских проблем, справедливо полагая, что если каждый конструктор, инженер, рабо</w:t>
      </w:r>
      <w:r w:rsidRPr="00640820">
        <w:rPr>
          <w:rFonts w:ascii="Times New Roman" w:hAnsi="Times New Roman"/>
          <w:color w:val="000000" w:themeColor="text1"/>
          <w:sz w:val="16"/>
          <w:szCs w:val="16"/>
        </w:rPr>
        <w:softHyphen/>
        <w:t>чий будет знать, что дома все в порядке, это неизбежно скажется на производительности труда. Помогал семь</w:t>
      </w:r>
      <w:r w:rsidRPr="00640820">
        <w:rPr>
          <w:rFonts w:ascii="Times New Roman" w:hAnsi="Times New Roman"/>
          <w:color w:val="000000" w:themeColor="text1"/>
          <w:sz w:val="16"/>
          <w:szCs w:val="16"/>
        </w:rPr>
        <w:softHyphen/>
        <w:t>ям тех сотрудников, кто по ряду причин вынужден был остаться в Москве. Сотрудники за это ценили и уважали «папу», но, понимая, что сейчас время тяжелое и всем • трудно, что Николай Николаевич и так до предела за</w:t>
      </w:r>
      <w:r w:rsidRPr="00640820">
        <w:rPr>
          <w:rFonts w:ascii="Times New Roman" w:hAnsi="Times New Roman"/>
          <w:color w:val="000000" w:themeColor="text1"/>
          <w:sz w:val="16"/>
          <w:szCs w:val="16"/>
        </w:rPr>
        <w:softHyphen/>
        <w:t>нят, старались обращаться к нему только в крайнем слу</w:t>
      </w:r>
      <w:r w:rsidRPr="00640820">
        <w:rPr>
          <w:rFonts w:ascii="Times New Roman" w:hAnsi="Times New Roman"/>
          <w:color w:val="000000" w:themeColor="text1"/>
          <w:sz w:val="16"/>
          <w:szCs w:val="16"/>
        </w:rPr>
        <w:softHyphen/>
        <w:t>чае. Работали по 12-14 часов. «Сколько внимания и теплоты к людям проявлял Николай Николаевич в те трудные дни, - свидетельству</w:t>
      </w:r>
      <w:r w:rsidRPr="00640820">
        <w:rPr>
          <w:rFonts w:ascii="Times New Roman" w:hAnsi="Times New Roman"/>
          <w:color w:val="000000" w:themeColor="text1"/>
          <w:sz w:val="16"/>
          <w:szCs w:val="16"/>
        </w:rPr>
        <w:softHyphen/>
        <w:t>ет инженер-конструктор Лосева. - Самого, может быть, гложет тревога, боль, сомнения, а на лице, в словах, в действиях — уверенность в победе, твердость, непоколе</w:t>
      </w:r>
      <w:r w:rsidRPr="00640820">
        <w:rPr>
          <w:rFonts w:ascii="Times New Roman" w:hAnsi="Times New Roman"/>
          <w:color w:val="000000" w:themeColor="text1"/>
          <w:sz w:val="16"/>
          <w:szCs w:val="16"/>
        </w:rPr>
        <w:softHyphen/>
        <w:t>бимая решимость все преодолеть, выстоять, выполнить свой долг до конца. И мы все пошли за «папаней». Заки</w:t>
      </w:r>
      <w:r w:rsidRPr="00640820">
        <w:rPr>
          <w:rFonts w:ascii="Times New Roman" w:hAnsi="Times New Roman"/>
          <w:color w:val="000000" w:themeColor="text1"/>
          <w:sz w:val="16"/>
          <w:szCs w:val="16"/>
        </w:rPr>
        <w:softHyphen/>
        <w:t>пела работа. Удивляешься, откуда брались силы!». Да, в ту нелегкую пору большое значение имела сплоченность коллектива. Может быть поэтому Нико</w:t>
      </w:r>
      <w:r w:rsidRPr="00640820">
        <w:rPr>
          <w:rFonts w:ascii="Times New Roman" w:hAnsi="Times New Roman"/>
          <w:color w:val="000000" w:themeColor="text1"/>
          <w:sz w:val="16"/>
          <w:szCs w:val="16"/>
        </w:rPr>
        <w:softHyphen/>
        <w:t>лай Николаевич так обиделся на М.К.Янгеля, который во время эвакуации бросил поезд, потом под разными предлогами вернулся в Москву и вскоре уволился. Он даже потребовал исключить его из партии. Жена Поликарпова Александра Федоровна устрои</w:t>
      </w:r>
      <w:r w:rsidRPr="00640820">
        <w:rPr>
          <w:rFonts w:ascii="Times New Roman" w:hAnsi="Times New Roman"/>
          <w:color w:val="000000" w:themeColor="text1"/>
          <w:sz w:val="16"/>
          <w:szCs w:val="16"/>
        </w:rPr>
        <w:softHyphen/>
        <w:t>лась в госпиталь, где, не считаясь со временем, занима</w:t>
      </w:r>
      <w:r w:rsidRPr="00640820">
        <w:rPr>
          <w:rFonts w:ascii="Times New Roman" w:hAnsi="Times New Roman"/>
          <w:color w:val="000000" w:themeColor="text1"/>
          <w:sz w:val="16"/>
          <w:szCs w:val="16"/>
        </w:rPr>
        <w:softHyphen/>
        <w:t>лась лечением раненых. К Николаю Николаевичу как к депутату Верховного Совета СССР обращалось много людей за помощью. «Каждый день письма, — вспоминала его секретарь Анна Ивановна Блинникова. - В них горе и слезы....(10667).</w:t>
      </w:r>
    </w:p>
    <w:p w14:paraId="36723CA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8E307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ноября 1941 г. было при</w:t>
      </w:r>
      <w:r w:rsidRPr="00640820">
        <w:rPr>
          <w:rFonts w:ascii="Times New Roman" w:hAnsi="Times New Roman"/>
          <w:color w:val="000000" w:themeColor="text1"/>
          <w:sz w:val="16"/>
          <w:szCs w:val="16"/>
        </w:rPr>
        <w:softHyphen/>
        <w:t>нято решение об организации на б. Заводе № 24 произ</w:t>
      </w:r>
      <w:r w:rsidRPr="00640820">
        <w:rPr>
          <w:rFonts w:ascii="Times New Roman" w:hAnsi="Times New Roman"/>
          <w:color w:val="000000" w:themeColor="text1"/>
          <w:sz w:val="16"/>
          <w:szCs w:val="16"/>
        </w:rPr>
        <w:softHyphen/>
        <w:t>водства 50-мм минометов на произ</w:t>
      </w:r>
      <w:r w:rsidRPr="00640820">
        <w:rPr>
          <w:rFonts w:ascii="Times New Roman" w:hAnsi="Times New Roman"/>
          <w:color w:val="000000" w:themeColor="text1"/>
          <w:sz w:val="16"/>
          <w:szCs w:val="16"/>
        </w:rPr>
        <w:softHyphen/>
        <w:t>водственных площадях ФАРМа. Сам по себе ротный миномет был, конечно, гораздо проще авиационного мотора, но его изготовление требовало осо</w:t>
      </w:r>
      <w:r w:rsidRPr="00640820">
        <w:rPr>
          <w:rFonts w:ascii="Times New Roman" w:hAnsi="Times New Roman"/>
          <w:color w:val="000000" w:themeColor="text1"/>
          <w:sz w:val="16"/>
          <w:szCs w:val="16"/>
        </w:rPr>
        <w:softHyphen/>
        <w:t>бой оснастки и оборудования. А ра</w:t>
      </w:r>
      <w:r w:rsidRPr="00640820">
        <w:rPr>
          <w:rFonts w:ascii="Times New Roman" w:hAnsi="Times New Roman"/>
          <w:color w:val="000000" w:themeColor="text1"/>
          <w:sz w:val="16"/>
          <w:szCs w:val="16"/>
        </w:rPr>
        <w:softHyphen/>
        <w:t>ботать пришлось, главным образом, на станках, изъятых из ремесленных учи</w:t>
      </w:r>
      <w:r w:rsidRPr="00640820">
        <w:rPr>
          <w:rFonts w:ascii="Times New Roman" w:hAnsi="Times New Roman"/>
          <w:color w:val="000000" w:themeColor="text1"/>
          <w:sz w:val="16"/>
          <w:szCs w:val="16"/>
        </w:rPr>
        <w:softHyphen/>
        <w:t>лищ. Преодолев все сложности, к де</w:t>
      </w:r>
      <w:r w:rsidRPr="00640820">
        <w:rPr>
          <w:rFonts w:ascii="Times New Roman" w:hAnsi="Times New Roman"/>
          <w:color w:val="000000" w:themeColor="text1"/>
          <w:sz w:val="16"/>
          <w:szCs w:val="16"/>
        </w:rPr>
        <w:softHyphen/>
        <w:t>кабрю 1941 г. минометный цех давал в сутки до 20-25 единиц, а в январе 1942 г. ежедневно выпускал по 45 миноме</w:t>
      </w:r>
      <w:r w:rsidRPr="00640820">
        <w:rPr>
          <w:rFonts w:ascii="Times New Roman" w:hAnsi="Times New Roman"/>
          <w:color w:val="000000" w:themeColor="text1"/>
          <w:sz w:val="16"/>
          <w:szCs w:val="16"/>
        </w:rPr>
        <w:softHyphen/>
        <w:t>тов (11159).</w:t>
      </w:r>
    </w:p>
    <w:p w14:paraId="04E5C52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C962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ноября 1941 В.М.Малюгин - ли ЦАК получил задание вылететь из слободы Владимировка в Сталинградской области в Среднюю Азию подыскать место для перебазирования эскадрильи ЦАК. Ш был С.Н.Анохин. Получилось не удачно. Машину разбили в 1943 (1143,9).</w:t>
      </w:r>
    </w:p>
    <w:p w14:paraId="31D0DF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50FF3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ноября 1941 г., согласно рассказа летчика-испытателя В. М. Малюгина, бывшего командира отдельной эскадрильи ЦАК им. В. П. Чкалова, я получил задание вылететь из Владимировки в Среднюю Азию с целью подыскать место для перебазирования эскадрильи ЦАК и приказал инженеру В. С. Романенко подготовить самолет САМ-5-2бис. Штурманом взял летчика С. Н. Анохина. Когда я вручал ему вместо аэронавигационной карты карту магнитных склонений с проложенным маршрутом через казахстанские Голодные степи прямо на Актюбинск, Анохин загрустил и предложил, чтобы я уволил его от этой обязанности: «Вы комэск, командир корабля - возьмите на себя работу штурмана, а я гарантирую точно и беспрекословно выполнять Ваши распоряжения». На том и порешили. Приняв доклад о готовности самолета от Романенко, получив бортпайки и попрощавшись с провожавшими нас летчиками и техниками, мы пошли на вылет. Машина была полностью загружена: горючее в основном и крыльевых баках, смазочные масла и продукты - общий вес немалый.</w:t>
      </w:r>
    </w:p>
    <w:p w14:paraId="40053F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Пробег получился довольно длинным. Оторвавшись на границе аэродрома, мы легли на курс. Через 13 минут пересекли железнодорожный путь - первый и последний линейный ориентир до Актюбинска, а через 30 минут вошли в снегопад. Определив по паровозному дыму направление ветра, я решил, что если точно держать заданный курс, то через 4,5 часа мы будем в Актюбинске. Снегопад с каждой минутой усиливался, мы шли на бреющем полете над землей, покрытой снегом. Видимость стремительно ухудшалась. Я предложил Сергею набрать высоту 300 метров, прибавить обороты и держать скорость 180 км/ч. Выполнив мои указания, Анохин успокоился и попросил поесть. Он брал одной рукой кусок жареной баранины, а другой - ломоть хлеба, и тут мне пришлось ежесекундно спрашивать, какой курс. Я наблюдал из-за его спины за картушкой компаса КАИ* 12, которая отклонялась градусов на 10, когда он кусал баранину, и возвращалась в прежнее положение, когда он кусал хлеб. Я кричал: «Сергей, прекрати хождение по курсу!»</w:t>
      </w:r>
    </w:p>
    <w:p w14:paraId="2460BA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более чем три часа в буквальном смысле слепого полета постепенно привыкли к сложным погодным условиям. Потом снегопад стал слабеть, и мы увидели в просвете громадную стаю сайгаков, которая вначале убегала от нас, а затем повернула в обратную сторону. Мы предположили, что впереди жилье. Действительно, минут через тридцать внизу показалась ж.д. Уральск-Мугаджары; самолет развернулся на 90° и оказался над актюбинским аэродромом. Я приказал снижаться и смотреть на указатель ветра. Внизу был глубокий не-укатанный снег. В таких условиях без старта мы садиться не могли. Пришлось сделать три круга, прежде чем на поле выехала старая полуторка, привезшая посадочные знаки. Кроме того, посадка на неукатанную полосу грозила «накатом», потому что наш самолет имел колесное шасси обычного для того времени типа: с хвостовым костылем и колесом малого диаметра. В той ситуации единственным средством предотвратить «накат» было изменение центровки на предельно «заднюю».</w:t>
      </w:r>
    </w:p>
    <w:p w14:paraId="2DEC47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Сергей пошел на посадку, а я стал перетаскивать груз ближе к хвосту. Почувствовав касание нижней части фюзеляжа о снег, я сам переместился назад и приказал летчику выключить зажигание и перекрыть бензобак. Винт остановился, касания колес мы не ощутили. Попытались рулить, но мощи у ГНИД не хватало, а хвостовая часть поднималась. На стоянку нас притащил трактор. Самолет обступили летчики, техники. Пошли расспросы, высказывания. Чувствовалось, что машина всем нравится.</w:t>
      </w:r>
    </w:p>
    <w:p w14:paraId="5C8D8B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диспетчерской встретились с начальником актюбинского порта, который просто остолбенел от удивления, узнав, что мы полностью обеспечены горючим на перелет до Ташкента. Затем он попросил рассказать о нашей замечательной машине летно-техническому составу. Аудитория была очень заинтересована. Поздно вечером, провожая нас на отдых после трудного перелета и проведенной беседы, довольный начальник обещал ночью укатать взлетную полосу и выпустить нас завтра первыми. Так и было сделано. Самолет без нас вытащили трактором на подготовленную взлетную полосу, прогрели мотор и ждали. В моих руках вместо карты магнитных </w:t>
      </w:r>
      <w:r w:rsidRPr="00640820">
        <w:rPr>
          <w:rFonts w:ascii="Times New Roman" w:hAnsi="Times New Roman"/>
          <w:color w:val="000000" w:themeColor="text1"/>
          <w:sz w:val="16"/>
          <w:szCs w:val="16"/>
        </w:rPr>
        <w:lastRenderedPageBreak/>
        <w:t>отклонений оказалась большая склеенная лоция Аэрофлота с проложенным курсом Актюбинск -Ташкент и обратно с подробными отметками запасных промежуточных аэродромов. На обратной стороне стояла дарственная надпись одного из ведущих летчиков 1 - го класса актюбинского порта по фамилии Ким.</w:t>
      </w:r>
    </w:p>
    <w:p w14:paraId="3D2E94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Мы взлетели и сделали прощальный круг, покачав с крыла на крыло в знак благодарности. Поздно вечером без посадки, минуя крупные аэропорты Чел-кар, Джусалы и Туркестан, приземлились в Ташкенте.</w:t>
      </w:r>
    </w:p>
    <w:p w14:paraId="3EFA76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Выполняя задание, пришлось исколесить всю Среднюю Азию. Обратно летели из Фрунзе. На маршруте Фрунзе - Туркестан нас застала пурга, но самолет благополучно приземлился в аэропорту Туркестан. А вот вылетевший перед нами военный экипаж на УТ-2 разбился. Погода и перепуганный катастрофой начальник аэропорта держали нас трое суток. Только на четвертый день нам удалось взлететь с шоссейной дороги, проходящей около аэродрома.</w:t>
      </w:r>
    </w:p>
    <w:p w14:paraId="299294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Погода опять нас не баловала. В бреющем полете над железной дорогой вдруг сдал мотор. Сели, произвели внешний осмотр двигателя и обнаружили, что отсоединилась тяга заслонки карбюратора и заслонка осталась в положении «закрыто». После присоединения тяги нужно было опробовать мотор на предельной мощности. Сергей запустил его, а я попытался удержать самолет за стабилизатор, но не получилось. Тогда я взял две буханки мерзлого хлеба и подложил под колеса - Сергей сразу вывел обороты на полную мощность, и мотор заработал исправно. Убрав буханки в кабину, я едва успел захлопнуть дверь, как самолет взлетел.</w:t>
      </w:r>
    </w:p>
    <w:p w14:paraId="776240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сорок километров до очередной посадки в Челкаре стало падать давление масла. Стрелка манометра стояла на «нуле». Это означало не просто отказ прибора или маслонасоса, а более серьезную поломку- лопнул маслобак или масломагистраль. Из-за плохой погоды мы шли на низкой высоте. Пришлось выключить зажигание, перекрыть пожарный кран и садиться, что называется, «прямо подсобой». Шасси зарылось в глубокий снег, самолет пополз на брюхе и остановился. С трэдом сняв бак, мы обнаружили горизонтальную трещину длиной 10 сантиметров. Что делать? Место нашего приземления называлось разъезд Капотай. Через 40 минут здесь проходил товарный поезд, я остановил его на минуту и на паровозе отправил Сергея с баком в железнодорожное депо в Чел кар. Надеялся, что тамошние мастера если и не смогут клепать и варить дюраль, то хотя оы попытаются чем-нибудь склеить и забинтовать лентой с проволокой.</w:t>
      </w:r>
    </w:p>
    <w:p w14:paraId="0F3F2D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Оставшись на холодном ветру у самолета, я на двух верблюдах подтащил его к железнодорожной насыпи и пошел к дежурному по разъезду обогреться. Дула сильная поземка, и скоро самолет полностью замело снегом. По телефону я связался с секретарем горкома партии г. Челкар, и мне прислали в помощь оперативного уполномоченного НКВД. Молодой казах, проверив мои документы, спросил: «С чего начнем?» Я попросил мобилизовать людей, чтобы утоптать две дорожки для взлета, показал направление и ширину дорожки. В сугроб у самолета воткнули шест с фонарем «летучая мышь», а второй такой шест укрепили на конце взлетной полосы. «Спи хорошо», -сказал мой помощник, а точнее спаситель - «людей мало, работать будут верблюды».</w:t>
      </w:r>
    </w:p>
    <w:p w14:paraId="05B023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Рано утром Анохин привез бак. Лицо Сергея осунулось, было все в копоти, но мучился он не напрасно. Мой напарник поведал замечательную историю о местном умельце, спасшем наш самолет. Дело в том, что в депо помочь не смогли. В аэропорту мастерских не было. Один дежурный моторист с электростанции вспомнил, что до него тут работал дядя Кузя, который, хоть и любил выпить, но был мастером на все руки. Сергей ухватился за это предложение, как утопающий за соломинку. Дядя Кузя оказался во хмелю, однако просьбу выслушал внимательно и коротко бросил: «Покаж!» Осмотрел бак, провел своим затвердевшим большим пальцем по трещине и сказал: «Перекалили дюраль, вот и лопнул от вибрации. Клепать нельзя, так как в нутро не залезешь. Варить не на чем, да и не приходилось. Пайка тут тоже ни к чему». И видя, что у Сергея угасают последние надежды на благополучный исход, улыбнулся и успокоительно произнес: «А ты,паря, чем платить будешь? Деньгами не возьму, а коль спирт есть - завтра улетишь». Сергей с радостью согласился. Проснувшись утром, Анохин увидел бак, на трещине которого возвышался громадный «компресс», обкрученный мягкой проволокой вдоль и поперек. Дядя Кузя ощупал сооружение и деловито сказал: «Сделал неказисто на вид, но лети спокойно-головой ручаюсь». Налил себе стакан спирта из анохинской фляжки, залпом осушил его и пожелал счастливого пути. Тем временем нашего «биса» уже откопали. Снегопад прекратился, ветер был встречный, силой до 15 м/с. Устанавливая бак, мы подложили под ленты его крепления куски валеной шерсти от старого валенка для смягчения вибрации, слили конденсат, наполнили бак маслом и запустили мотор. Места для взлета было мало, и чтобы облегчить машину, Анохин полетел один. Мы с уполномоченным добрались до станции Челкар на попутном поезде. На аэродроме у самолета стояли Сергей и дядя Кузя, в руках у которого была самодельная и довольно вместительная фляжка. Вручив дяде Кузе его сосуд полным по пробку, мы обнялись и стали прощаться. Наш новый знакомый сиял…</w:t>
      </w:r>
    </w:p>
    <w:p w14:paraId="5158DA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Мы убедились, что течи масла нет, давление устойчивое, и через пять минут были уже в воздухе. Мотор работал ровно, нагрузка уменьшалась, настроение было приподнятое. Чтобы побыстрее добраться домой, решили лететь напрямую, через Голодные степи и топкие грязи Хаки, благо горючего хватало. Однако в Красном Куте, пришлось сесть, потому что давление масла опять упало. Отверткой прикрутили проволоку в тех местах, где просачивалось масло, долили свежего и благополучно вернулись на свой аэродром. Просто не верилось, что мы долетели с дырявым маслобаком, заклеенным жидким стеклом и лоскутами брезента (потом бак заменили- взяли от УТ-2, а под ленты крепления подложили губчатую резину).</w:t>
      </w:r>
    </w:p>
    <w:p w14:paraId="58B36D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САМ-5-2бис преодолел в этом полете огромное расстояние и в наших с С. Н. Анохиным сердцах оставил неизгладимый след как машина перспективная, обладающая простотой и легкостью управления. Могу лишь сказать конструктору Александру Сергеевичу Москалеву громадное спасибо за прекрасный самолет. Жаль, что САМ-5-2бис попал, как выражаются летчики, не «в струю», а в период войны и в руки нерадивого хозяина. В 1942 г. ЦАК перевели в Казань. В конце 1943 г. случилась авария, починить самолет как следует не смогли, и при возвращении в Москву бросили наш САМ-5-2бис на краю аэродрома Казанского аэроклуба» (11860).</w:t>
      </w:r>
    </w:p>
    <w:p w14:paraId="767EF2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F2BB8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эвакуация завода 36, который в 1941 г. выпускал аэролаки серии АМТ, авиашпатлевки и другие лаки для наркоматов авиапромышленности, вооружения и боеприпасов и вместе с другими московскими предприятиями подлежал эвакуации на завод-дублер в Челябинск, когда часть техники уже была в пути, была остановлена и, после перерыва в Москве снова начался выпуск продукции для НКАП. Несмотря на то, что план заводу установили в 3 раза меньше довоенного, выполнить его удалось лишь на 84%. Причин было несколько. С начала войны упала дисциплина, обычным явлением стали кражи сырья (растительного масла и этилового спирта, добавляемого во избежание взрыва в коллоксилин при изготовлении нитроэмалей), пьянки, опоздания и прогулы. Но гораздо серьезней был дефицит сырья и тары для розлива готовой продукции. Недефицитного сырья практически не было. Основной задачей заводской лаборатории являлась замена остродефицитного сырья на менее дефицитное. В 1941-1942 г.г. не хватало даже мела, шедшего на изготовление белой смываемой маскировочной краски, не говоря уже о казеине, нитроцеллюлозе, ацетоне, этилацетате, трикрезилфосфате, применявшемся в нитроэмалях в качестве пластификатора и т.п. В качестве основы аэролаков - нитроцеллюлозы, использовался артиллерийский коллоксилин, вылежавший гарантийные сроки хранения. Другим бичом было отсутствие годной тары. Ее катастрофически не хватало. Простой завода из-за тары был больше, чем из-за отсутствия сырья!!! Прохудившейся тарой было забито находящееся поблизости Дорогомиловское кладбище. При регулярном невыполнении месячных планов продукция завода с 1 января по 1 мая 1942 г. составила около 250 тонн (напомним, что не все выпущенное предназначалась НКАПу). Директор завода А. М. Пичугин и главный инженер Белоусов всемерно старались добиться экономии сырья, сократить производственный цикл, найти заменители дефицитных компонентов. С этой целью в первой половине 1942 г. в лаборатории предприятия была разработана нитрошпатлевка, в которой в качестве наполнителя использовался мел; исследовались рецептуры аэролаков АМТ с уменьшенным количеством активных растворителей (ацетона, этилацетата); в декабре того же года велась разработка заменителей шпатлевки АШ-30 и поиск заменителя того же мела в смываемой маскировочной краске МК-7. Ситуация напоминала "тришкин кафтан". На заводе велась и разработка новых лакокрасочных материалов. Весной 1942 г. начался возврат оборудования из Челябинска. Это позволило улучшить качество и увеличить ассортимент выпускаемой продукции. В июне планировалось освоить новый аэролак АМТ-1, выпустить опытные партии негорючих перхлорвиниловых эмалей. "Больше авиалаков и авиаэмалей для фронта и авиации, дадим авиации негорючие аэролаковые покрытия!" - такими были лозунги завода в 1942 г. (3092).</w:t>
      </w:r>
    </w:p>
    <w:p w14:paraId="4B4E35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88D76C8" w14:textId="77777777" w:rsidR="00794B7F" w:rsidRPr="00640820" w:rsidRDefault="00794B7F" w:rsidP="00640820">
      <w:pPr>
        <w:pStyle w:val="ae"/>
        <w:shd w:val="clear" w:color="auto" w:fill="FFFFFF"/>
        <w:spacing w:before="0" w:after="0"/>
        <w:jc w:val="both"/>
        <w:textAlignment w:val="baseline"/>
        <w:rPr>
          <w:color w:val="0070C0"/>
          <w:sz w:val="16"/>
          <w:szCs w:val="16"/>
        </w:rPr>
      </w:pPr>
      <w:r w:rsidRPr="00640820">
        <w:rPr>
          <w:color w:val="0070C0"/>
          <w:sz w:val="16"/>
          <w:szCs w:val="16"/>
        </w:rPr>
        <w:t>В начале ноября 1941 специалисты попытались создать установку для стрельбы реактивными снарядами калибра 82 мм на дистанцию прямой видимости бойца (то есть для непосредственного сопровождения пехоты). Она не имела штатного основания и при испытаниях размещалась на деревянном помосте. Из неё было произведено всего пять выстрелов, которые показали, что установка имеет низкую устойчивость, а для придачи ей начального положения требуется много времени. При последнем выстреле снаряд «клюнул» и разорвался в 20 м. Понятно, что столь небезопасная установка не получила рекомендаций к дальнейшему развитию (19941).</w:t>
      </w:r>
    </w:p>
    <w:p w14:paraId="5612A614" w14:textId="77777777" w:rsidR="00794B7F" w:rsidRPr="00640820" w:rsidRDefault="00794B7F" w:rsidP="00640820">
      <w:pPr>
        <w:pStyle w:val="ae"/>
        <w:shd w:val="clear" w:color="auto" w:fill="FFFFFF"/>
        <w:spacing w:before="0" w:after="0"/>
        <w:jc w:val="both"/>
        <w:textAlignment w:val="baseline"/>
        <w:rPr>
          <w:color w:val="0070C0"/>
          <w:sz w:val="16"/>
          <w:szCs w:val="16"/>
        </w:rPr>
      </w:pPr>
    </w:p>
    <w:p w14:paraId="126C8F8D"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69CBC5D3"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97112E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началу ноября 1941 года на заводе № 183 было всего 11000 чел., включая и бывший персонал Уралвагонзавода. Поэтому в Нижний Тагил переводились дополнительные контингенты рабочих из других городов, а также большое количество людей, не смевших производственной квалификации. Новое предприятие получило наименование Уральский танковый завод № 183 (12217).</w:t>
      </w:r>
    </w:p>
    <w:p w14:paraId="11F02827"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45412507" w14:textId="77777777" w:rsidR="00112F2A" w:rsidRPr="00640820" w:rsidRDefault="00112F2A"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 начала ноября 1941 года заводское КБ ещё работало по теме усиления брони Т-60. Образец танка с экранировкой был испытан 9–11 ноября. Целью испытаний являлось изучение последствий усиления брони Т-60, в результате которого масса машины выросла на 360 кг (общая масса экранированной машины составила 6150 кг). На танке с заводским номером 37790 установили экраны толщиной 10 мм, защищавшие башню по периметру, лобовой лист корпуса, рубку водителя и нижний кормовой лист (17672).</w:t>
      </w:r>
    </w:p>
    <w:p w14:paraId="6F36549B" w14:textId="77777777" w:rsidR="00112F2A" w:rsidRPr="00640820" w:rsidRDefault="00112F2A"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258C110" w14:textId="77777777" w:rsidR="00AE1A6D" w:rsidRPr="00640820" w:rsidRDefault="00AE1A6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начале ноября 1941 года с предложением организовать выпуск Т-60 в Узбекистане выступили секретарь </w:t>
      </w:r>
      <w:r w:rsidRPr="00640820">
        <w:rPr>
          <w:rStyle w:val="Bodytext8ptSmallCaps"/>
          <w:rFonts w:eastAsia="Gungsuh"/>
          <w:color w:val="000000" w:themeColor="text1"/>
          <w:vertAlign w:val="superscript"/>
        </w:rPr>
        <w:t>1</w:t>
      </w:r>
      <w:r w:rsidRPr="00640820">
        <w:rPr>
          <w:rFonts w:ascii="Times New Roman" w:hAnsi="Times New Roman"/>
          <w:color w:val="000000" w:themeColor="text1"/>
          <w:sz w:val="16"/>
          <w:szCs w:val="16"/>
        </w:rPr>
        <w:t>ВКП(б) Узбекистана У. Ю. Юсупов и заместитель командующего войсками САЗО генерал-майор П. С. Курбаткин. В Ташкент, где планировалось организовать производство, в ходе эвакуации было переброшено несколько предприятий. К примеру, с 1942 года там было организовано производство военно-транспорт</w:t>
      </w:r>
      <w:r w:rsidRPr="00640820">
        <w:rPr>
          <w:rFonts w:ascii="Times New Roman" w:hAnsi="Times New Roman"/>
          <w:color w:val="000000" w:themeColor="text1"/>
          <w:sz w:val="16"/>
          <w:szCs w:val="16"/>
        </w:rPr>
        <w:softHyphen/>
        <w:t xml:space="preserve">ных самолетов Ли-2. Кроме того, в Чирчик было эвакуировано </w:t>
      </w:r>
      <w:r w:rsidRPr="00640820">
        <w:rPr>
          <w:rFonts w:ascii="Times New Roman" w:hAnsi="Times New Roman"/>
          <w:color w:val="000000" w:themeColor="text1"/>
          <w:sz w:val="16"/>
          <w:szCs w:val="16"/>
        </w:rPr>
        <w:lastRenderedPageBreak/>
        <w:t>Харь</w:t>
      </w:r>
      <w:r w:rsidRPr="00640820">
        <w:rPr>
          <w:rFonts w:ascii="Times New Roman" w:hAnsi="Times New Roman"/>
          <w:color w:val="000000" w:themeColor="text1"/>
          <w:sz w:val="16"/>
          <w:szCs w:val="16"/>
        </w:rPr>
        <w:softHyphen/>
        <w:t>ковское танковое училище. В Ташкенте находились Ташкентский паровозоремонтный завод имени Л. М. Кагановича (ныне унитарное предприятие «</w:t>
      </w:r>
      <w:r w:rsidRPr="00640820">
        <w:rPr>
          <w:rFonts w:ascii="Times New Roman" w:hAnsi="Times New Roman"/>
          <w:color w:val="000000" w:themeColor="text1"/>
          <w:sz w:val="16"/>
          <w:szCs w:val="16"/>
          <w:lang w:val="en-US"/>
        </w:rPr>
        <w:t>O</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ZTEMIRYO</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LMASHTA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MIR</w:t>
      </w:r>
      <w:r w:rsidRPr="00640820">
        <w:rPr>
          <w:rFonts w:ascii="Times New Roman" w:hAnsi="Times New Roman"/>
          <w:color w:val="000000" w:themeColor="text1"/>
          <w:sz w:val="16"/>
          <w:szCs w:val="16"/>
        </w:rPr>
        <w:t>») и Литейно-механический завод НКПС (ныне Литейно-механический завод ДП), про</w:t>
      </w:r>
      <w:r w:rsidRPr="00640820">
        <w:rPr>
          <w:rFonts w:ascii="Times New Roman" w:hAnsi="Times New Roman"/>
          <w:color w:val="000000" w:themeColor="text1"/>
          <w:sz w:val="16"/>
          <w:szCs w:val="16"/>
        </w:rPr>
        <w:softHyphen/>
        <w:t>изводственные мощности которых потенциально позволяли органи</w:t>
      </w:r>
      <w:r w:rsidRPr="00640820">
        <w:rPr>
          <w:rFonts w:ascii="Times New Roman" w:hAnsi="Times New Roman"/>
          <w:color w:val="000000" w:themeColor="text1"/>
          <w:sz w:val="16"/>
          <w:szCs w:val="16"/>
        </w:rPr>
        <w:softHyphen/>
        <w:t>зовать выпуск танков. Предложением заинтересовались в ГАБТУ (17485).</w:t>
      </w:r>
    </w:p>
    <w:p w14:paraId="71F334F0" w14:textId="77777777" w:rsidR="00AE1A6D" w:rsidRPr="00640820" w:rsidRDefault="00AE1A6D" w:rsidP="00640820">
      <w:pPr>
        <w:spacing w:after="0" w:line="240" w:lineRule="auto"/>
        <w:jc w:val="both"/>
        <w:rPr>
          <w:rFonts w:ascii="Times New Roman" w:hAnsi="Times New Roman"/>
          <w:color w:val="000000" w:themeColor="text1"/>
          <w:sz w:val="16"/>
          <w:szCs w:val="16"/>
        </w:rPr>
      </w:pPr>
    </w:p>
    <w:p w14:paraId="46D68F8D" w14:textId="77777777" w:rsidR="00E0550A" w:rsidRPr="00640820" w:rsidRDefault="00E0550A" w:rsidP="00640820">
      <w:pPr>
        <w:spacing w:after="0" w:line="240" w:lineRule="auto"/>
        <w:jc w:val="both"/>
        <w:rPr>
          <w:rFonts w:ascii="Times New Roman" w:hAnsi="Times New Roman"/>
          <w:color w:val="0070C0"/>
          <w:sz w:val="16"/>
          <w:szCs w:val="16"/>
          <w:shd w:val="clear" w:color="auto" w:fill="FFFFFF"/>
        </w:rPr>
      </w:pPr>
      <w:r w:rsidRPr="00640820">
        <w:rPr>
          <w:rFonts w:ascii="Times New Roman" w:hAnsi="Times New Roman"/>
          <w:color w:val="0070C0"/>
          <w:sz w:val="16"/>
          <w:szCs w:val="16"/>
          <w:shd w:val="clear" w:color="auto" w:fill="FFFFFF"/>
        </w:rPr>
        <w:t>В самом начале ноября 1941 года начались работы по экранировке танка Т-60. Окончательно усиление броневой защиты утвердили 25 декабря 1941 года постановление*м ГКО №1062сс "О танках Т-34 и Т-60". И если в случае с Т-34 экранировка шла недолго, то на Т-60 она стала реально массовым явлением (22726).</w:t>
      </w:r>
    </w:p>
    <w:p w14:paraId="304DE239" w14:textId="77777777" w:rsidR="00E0550A" w:rsidRPr="00640820" w:rsidRDefault="00E0550A" w:rsidP="00640820">
      <w:pPr>
        <w:spacing w:after="0" w:line="240" w:lineRule="auto"/>
        <w:jc w:val="both"/>
        <w:rPr>
          <w:rFonts w:ascii="Times New Roman" w:hAnsi="Times New Roman"/>
          <w:color w:val="0070C0"/>
          <w:sz w:val="16"/>
          <w:szCs w:val="16"/>
          <w:shd w:val="clear" w:color="auto" w:fill="FFFFFF"/>
        </w:rPr>
      </w:pPr>
    </w:p>
    <w:p w14:paraId="36EC81EB" w14:textId="77777777" w:rsidR="00E0550A" w:rsidRPr="00640820" w:rsidRDefault="00E0550A" w:rsidP="00640820">
      <w:pPr>
        <w:spacing w:after="0" w:line="240" w:lineRule="auto"/>
        <w:jc w:val="both"/>
        <w:rPr>
          <w:rFonts w:ascii="Times New Roman" w:hAnsi="Times New Roman"/>
          <w:color w:val="0070C0"/>
          <w:sz w:val="16"/>
          <w:szCs w:val="16"/>
          <w:shd w:val="clear" w:color="auto" w:fill="FFFFFF"/>
        </w:rPr>
      </w:pPr>
      <w:r w:rsidRPr="00640820">
        <w:rPr>
          <w:rFonts w:ascii="Times New Roman" w:hAnsi="Times New Roman"/>
          <w:color w:val="0070C0"/>
          <w:sz w:val="16"/>
          <w:szCs w:val="16"/>
          <w:shd w:val="clear" w:color="auto" w:fill="FFFFFF"/>
        </w:rPr>
        <w:t>В начале ноября 1941 года на ГАЗ провели пробную экранировку серийного танка Т-60. Башня по периметру, лобовая часть корпуса, включая рубку механика-водителя, а также нижний кормовой лист корпуса, получили дополнительные броневые листы толщиной 10 мм. Общая масса дополнительной брони составила 360 кг, по итогам танк потяжелел до 6150 кг. Серийный танк с номером 37790, в период с 9 по 11 ноября, прошел ходовые испытания. Общая дистанция пробега Горький-Выкса-Муром-Горький составила 475 километров, преодолел он их за 46 часов. Проведенные испытания показали, что динамические характеристики, расход топлива и тепловой режим мотора не изменились. При этом одним из полезных результатов пробега стало введение (точнее, возвращение) ветрового щитка. Пробег показал его необходимость, поскольку в открытый проем люка механика-водителя залетал снег и задувал ветер (22716).</w:t>
      </w:r>
    </w:p>
    <w:p w14:paraId="2A40ECB7" w14:textId="77777777" w:rsidR="00E0550A" w:rsidRPr="00640820" w:rsidRDefault="00E0550A" w:rsidP="00640820">
      <w:pPr>
        <w:spacing w:after="0" w:line="240" w:lineRule="auto"/>
        <w:jc w:val="both"/>
        <w:rPr>
          <w:rFonts w:ascii="Times New Roman" w:hAnsi="Times New Roman"/>
          <w:color w:val="0070C0"/>
          <w:sz w:val="16"/>
          <w:szCs w:val="16"/>
          <w:shd w:val="clear" w:color="auto" w:fill="FFFFFF"/>
        </w:rPr>
      </w:pPr>
    </w:p>
    <w:p w14:paraId="211EEADF" w14:textId="77777777" w:rsidR="00E0550A" w:rsidRPr="00640820" w:rsidRDefault="00E0550A" w:rsidP="00640820">
      <w:pPr>
        <w:spacing w:after="0" w:line="240" w:lineRule="auto"/>
        <w:jc w:val="both"/>
        <w:rPr>
          <w:rFonts w:ascii="Times New Roman" w:hAnsi="Times New Roman"/>
          <w:color w:val="0070C0"/>
          <w:sz w:val="16"/>
          <w:szCs w:val="16"/>
          <w:shd w:val="clear" w:color="auto" w:fill="FFFFFF"/>
        </w:rPr>
      </w:pPr>
      <w:r w:rsidRPr="00640820">
        <w:rPr>
          <w:rFonts w:ascii="Times New Roman" w:hAnsi="Times New Roman"/>
          <w:color w:val="0070C0"/>
          <w:sz w:val="16"/>
          <w:szCs w:val="16"/>
          <w:shd w:val="clear" w:color="auto" w:fill="FFFFFF"/>
        </w:rPr>
        <w:t>В начале ноября 1941 года состоялся запуск работ по перевооружению Valentine. Одновременно начались работы по перевооружению пехотного танка Matilda. При этом задача по установке советского вооружения на Valentine выглядела гораздо проще. По советской классификации MК-III проходил как средний танк, но сравнивали его с Т-50. По факту английская машина заменила в войсках "лучший легкий танк Второй мировой войны", который так и не смогли запустить в крупную серию. Вооружался Т-50 той же самой 45-мм пушкой, которая по габаритам соответствовала 2-фунтовому английскому орудию. С точки зрения бронепробития орудия были равнозначны, но у 45-мм пушки имелось одно неоспоримое преимущество. Называлось оно "осколочно-фугасный снаряд". Переход, в 1931 году, с калибра 37 мм на 45 мм был связан именно с этим. Если у осколочного снаряда 53-О-160 для 37-мм пушки 1-К масса взрывчатого вещества составляла всего 22 грамма, то тот же показатель 45-мм снаряда О-240 составлял уже 118 грамм. Для сравнения, это масса ВВ двух "лимонок", или чуть больше 2/3 ВВ гранаты РГД-33. Таким образом, 45-ка, что танковая, что буксируемая, гораздо лучше работала как средство поддержки пехоты (22723).</w:t>
      </w:r>
    </w:p>
    <w:p w14:paraId="3A253611" w14:textId="77777777" w:rsidR="00E0550A" w:rsidRPr="00640820" w:rsidRDefault="00E0550A" w:rsidP="00640820">
      <w:pPr>
        <w:spacing w:after="0" w:line="240" w:lineRule="auto"/>
        <w:jc w:val="both"/>
        <w:rPr>
          <w:rFonts w:ascii="Times New Roman" w:hAnsi="Times New Roman"/>
          <w:color w:val="0070C0"/>
          <w:sz w:val="16"/>
          <w:szCs w:val="16"/>
          <w:shd w:val="clear" w:color="auto" w:fill="FFFFFF"/>
        </w:rPr>
      </w:pPr>
    </w:p>
    <w:p w14:paraId="1A42C8E3" w14:textId="77777777" w:rsidR="00112F2A" w:rsidRPr="00640820" w:rsidRDefault="00112F2A"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начале ноября 1941 года с предложением по развитию танкового производства в Ташкенте опвыступили секретарь ЦК ВКП(б) Узбекистана У. Ю. Юсупов и заместитель командующего войсками Среднеазиатского военного округа генерал-майор П. С. Курбаткин.</w:t>
      </w:r>
    </w:p>
    <w:p w14:paraId="0F215CF2" w14:textId="77777777" w:rsidR="00112F2A" w:rsidRPr="00640820" w:rsidRDefault="00112F2A"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Стоит отметить, что в Ташкент, где планировалось организовать производство, в ходе эвакуации было переброшено несколько предприятий. К примеру, с 1942 года там было организовано производство военно-транспортных самолётов Ли-2. Кроме того, в находящийся неподалёку Чирчик было эвакуировано Харьковское танковое училище. В Ташкенте находились Ташкентский паровозоремонтный завод имени Л. М. Кагановича и литейно-механический завод НКПС, производственные мощности которых потенциально позволяли организовать выпуск танков.</w:t>
      </w:r>
    </w:p>
    <w:p w14:paraId="0DF77766" w14:textId="77777777" w:rsidR="00112F2A" w:rsidRPr="00640820" w:rsidRDefault="00112F2A"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Предложением заинтересовались в ГАБТУ. 10 ноября с ним к наркому танковой промышленности Малышеву обратился начальник ГАБТУ КА Федоренко. В том же месяце был подготовлен проект постановления ГКО об организации производства танков в Ташкенте. В течение месяца шло обсуждения вопроса об организации производства Т-60 в Ташкенте, 16 декабря было принято решение от этой идеи отказаться. Причиной тому стала недостаточная обеспеченность литейно-механического завода, который должен был стать основной производственной площадкой, станочным оборудованием, а также отсутствие необходимого броневого производства. Вместо танков в Ташкенте стали выпускать бронепоезда (17672).</w:t>
      </w:r>
    </w:p>
    <w:p w14:paraId="69AC4278" w14:textId="77777777" w:rsidR="00112F2A" w:rsidRPr="00640820" w:rsidRDefault="00112F2A" w:rsidP="00640820">
      <w:pPr>
        <w:spacing w:after="0" w:line="240" w:lineRule="auto"/>
        <w:jc w:val="both"/>
        <w:rPr>
          <w:rFonts w:ascii="Times New Roman" w:hAnsi="Times New Roman"/>
          <w:color w:val="000000" w:themeColor="text1"/>
          <w:sz w:val="16"/>
          <w:szCs w:val="16"/>
        </w:rPr>
      </w:pPr>
    </w:p>
    <w:p w14:paraId="107EDB33" w14:textId="77777777" w:rsidR="008D3ECC" w:rsidRPr="00640820" w:rsidRDefault="008D3E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ноября 1941 года на Ворошилов-градском паровозостроительном заводе по чертежам технического отдела 28-й отдельной железнодорожной бригады были изготовлены «бронемотовоз и бронедрезина, вооруженные пулеметами». Они поддерживали бронепоезда № 2 «За Родину», 6 и 11 в боях 19-21 ноября 1941 года в боях у Голубовки и станций Водопровод и Сентяновка, но никаких сведений о конструкции, вооружении и дальнейшей судьбе этих машин найти пока не удалось, как и нет пока их изображений. </w:t>
      </w:r>
    </w:p>
    <w:p w14:paraId="6DABF2B0" w14:textId="77777777" w:rsidR="008D3ECC" w:rsidRPr="00640820" w:rsidRDefault="008D3E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Нет никаких данных и о бронедрезине, изготовленной на Харьковском вагоноремонтном заводе, который работал до 18 сентября 1941 года. В отчете о работах предприятия за </w:t>
      </w:r>
    </w:p>
    <w:p w14:paraId="788A4EDB" w14:textId="77777777" w:rsidR="008D3ECC" w:rsidRPr="00640820" w:rsidRDefault="008D3E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 года, направленном в управление вагоноремонтных предприятий НКПС, сказано: «В августе завод получил от командования Юго-Западного фронта задание - построить 4 бронеплощадки и одну моторизированную бронированную дрезину».</w:t>
      </w:r>
    </w:p>
    <w:p w14:paraId="6D0030C0" w14:textId="77777777" w:rsidR="008D3ECC" w:rsidRPr="00640820" w:rsidRDefault="008D3E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Есть фотография бронедрезины бронепоезда «Железняков» (напомню, что он действовал в осажденном Севастополе с осени 1941-го до лета 1942 года), отправляющейся на разведку пути весной 1942 года. Никакой информацией о постройке и эксплуатации этой боевой единицы автор не располагает (18626).</w:t>
      </w:r>
    </w:p>
    <w:p w14:paraId="3B5B2611" w14:textId="77777777" w:rsidR="008D3ECC" w:rsidRPr="00640820" w:rsidRDefault="008D3ECC" w:rsidP="00640820">
      <w:pPr>
        <w:spacing w:after="0" w:line="240" w:lineRule="auto"/>
        <w:jc w:val="both"/>
        <w:rPr>
          <w:rFonts w:ascii="Times New Roman" w:hAnsi="Times New Roman"/>
          <w:color w:val="000000" w:themeColor="text1"/>
          <w:sz w:val="16"/>
          <w:szCs w:val="16"/>
        </w:rPr>
      </w:pPr>
    </w:p>
    <w:p w14:paraId="32D03ECE" w14:textId="77777777" w:rsidR="00B922CA" w:rsidRPr="00640820" w:rsidRDefault="00B922CA" w:rsidP="00640820">
      <w:pPr>
        <w:widowControl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начале ноября 1941 началось изготовление деталей ГАЗ-64-125, а сборка броневика – в начале декабря. 9 января 1942 года новая машина совершила первый пробег. Новый бронеавтомобиль изготавливался на базе полноприводного автомобиля ГАЗ-64, производство которого началось в августе 1941 года. Для установки бронекорпуса шасси пришлось переработать – изменить расположение педалей, рычагов, установить амортизатор от ГАЗ М-1 и торсионный стабилизатор боковой устойчивости на задней подвеске, установить бензобак повышенной емкости, несколько укоротить раму и т.д. Корпус машины сваривался из </w:t>
      </w:r>
      <w:smartTag w:uri="urn:schemas-microsoft-com:office:smarttags" w:element="metricconverter">
        <w:smartTagPr>
          <w:attr w:name="ProductID" w:val="1945 г"/>
        </w:smartTagPr>
        <w:r w:rsidRPr="00640820">
          <w:rPr>
            <w:rFonts w:ascii="Times New Roman" w:hAnsi="Times New Roman"/>
            <w:color w:val="000000" w:themeColor="text1"/>
            <w:sz w:val="16"/>
            <w:szCs w:val="16"/>
          </w:rPr>
          <w:t>15 мм</w:t>
        </w:r>
      </w:smartTag>
      <w:r w:rsidRPr="00640820">
        <w:rPr>
          <w:rFonts w:ascii="Times New Roman" w:hAnsi="Times New Roman"/>
          <w:color w:val="000000" w:themeColor="text1"/>
          <w:sz w:val="16"/>
          <w:szCs w:val="16"/>
        </w:rPr>
        <w:t xml:space="preserve"> бронелистов, установленных под большими углами наклона к вертикали для лучшей пулестойкости. Форма бронекорпуса во многом была заимствована от ЛБ-62 и немецкого броневика </w:t>
      </w:r>
      <w:r w:rsidRPr="00640820">
        <w:rPr>
          <w:rFonts w:ascii="Times New Roman" w:hAnsi="Times New Roman"/>
          <w:color w:val="000000" w:themeColor="text1"/>
          <w:sz w:val="16"/>
          <w:szCs w:val="16"/>
          <w:lang w:val="en-US"/>
        </w:rPr>
        <w:t>Sd</w:t>
      </w:r>
      <w:r w:rsidRPr="00640820">
        <w:rPr>
          <w:rFonts w:ascii="Times New Roman" w:hAnsi="Times New Roman"/>
          <w:color w:val="000000" w:themeColor="text1"/>
          <w:sz w:val="16"/>
          <w:szCs w:val="16"/>
        </w:rPr>
        <w:t xml:space="preserve">. </w:t>
      </w:r>
      <w:r w:rsidRPr="00640820">
        <w:rPr>
          <w:rFonts w:ascii="Times New Roman" w:hAnsi="Times New Roman"/>
          <w:color w:val="000000" w:themeColor="text1"/>
          <w:sz w:val="16"/>
          <w:szCs w:val="16"/>
          <w:lang w:val="en-US"/>
        </w:rPr>
        <w:t>Kfz</w:t>
      </w:r>
      <w:r w:rsidRPr="00640820">
        <w:rPr>
          <w:rFonts w:ascii="Times New Roman" w:hAnsi="Times New Roman"/>
          <w:color w:val="000000" w:themeColor="text1"/>
          <w:sz w:val="16"/>
          <w:szCs w:val="16"/>
        </w:rPr>
        <w:t xml:space="preserve">. 221. Для посадки экипажа (водитель и командир) в бортах корпуса имелись две двери. Наблюдение за дорогой водитель вел через небольшой лючок в лобовом листе корпуса со смотровой щелью, закрытой стеклоблоком «Триплекс» от танка Т-60. Вооружение – пулемет ДТ – размещалось во вращающейся восьмигранной башне, которая крепилась к тумбе, установленной на полу машины. Боекомплект состоял из 20 магазинов к пулемету (1260 патронов). Установка пулемета обеспечивала ведение огня как по наземным, так и по воздушным целям (угол возвышения 75 градусов). Башня не имела крыши, а закрывалась сверху откидными противогранатными сетками (по типу немецких бронемашин </w:t>
      </w:r>
      <w:r w:rsidRPr="00640820">
        <w:rPr>
          <w:rFonts w:ascii="Times New Roman" w:hAnsi="Times New Roman"/>
          <w:color w:val="000000" w:themeColor="text1"/>
          <w:sz w:val="16"/>
          <w:szCs w:val="16"/>
          <w:lang w:val="en-US"/>
        </w:rPr>
        <w:t>Sd</w:t>
      </w:r>
      <w:r w:rsidRPr="00640820">
        <w:rPr>
          <w:rFonts w:ascii="Times New Roman" w:hAnsi="Times New Roman"/>
          <w:color w:val="000000" w:themeColor="text1"/>
          <w:sz w:val="16"/>
          <w:szCs w:val="16"/>
        </w:rPr>
        <w:t xml:space="preserve">. </w:t>
      </w:r>
      <w:r w:rsidRPr="00640820">
        <w:rPr>
          <w:rFonts w:ascii="Times New Roman" w:hAnsi="Times New Roman"/>
          <w:color w:val="000000" w:themeColor="text1"/>
          <w:sz w:val="16"/>
          <w:szCs w:val="16"/>
          <w:lang w:val="en-US"/>
        </w:rPr>
        <w:t>Kfz</w:t>
      </w:r>
      <w:r w:rsidRPr="00640820">
        <w:rPr>
          <w:rFonts w:ascii="Times New Roman" w:hAnsi="Times New Roman"/>
          <w:color w:val="000000" w:themeColor="text1"/>
          <w:sz w:val="16"/>
          <w:szCs w:val="16"/>
        </w:rPr>
        <w:t xml:space="preserve">. 221 и </w:t>
      </w:r>
      <w:r w:rsidRPr="00640820">
        <w:rPr>
          <w:rFonts w:ascii="Times New Roman" w:hAnsi="Times New Roman"/>
          <w:color w:val="000000" w:themeColor="text1"/>
          <w:sz w:val="16"/>
          <w:szCs w:val="16"/>
          <w:lang w:val="en-US"/>
        </w:rPr>
        <w:t>Sd</w:t>
      </w:r>
      <w:r w:rsidRPr="00640820">
        <w:rPr>
          <w:rFonts w:ascii="Times New Roman" w:hAnsi="Times New Roman"/>
          <w:color w:val="000000" w:themeColor="text1"/>
          <w:sz w:val="16"/>
          <w:szCs w:val="16"/>
        </w:rPr>
        <w:t xml:space="preserve">. </w:t>
      </w:r>
      <w:r w:rsidRPr="00640820">
        <w:rPr>
          <w:rFonts w:ascii="Times New Roman" w:hAnsi="Times New Roman"/>
          <w:color w:val="000000" w:themeColor="text1"/>
          <w:sz w:val="16"/>
          <w:szCs w:val="16"/>
          <w:lang w:val="en-US"/>
        </w:rPr>
        <w:t>Kfz</w:t>
      </w:r>
      <w:r w:rsidRPr="00640820">
        <w:rPr>
          <w:rFonts w:ascii="Times New Roman" w:hAnsi="Times New Roman"/>
          <w:color w:val="000000" w:themeColor="text1"/>
          <w:sz w:val="16"/>
          <w:szCs w:val="16"/>
        </w:rPr>
        <w:t xml:space="preserve"> .222). Для наблюдения за полем боя командир, находящийся в башне, имел в своем распоряжении две смотровые щели со стеклами «Триплекс» в правом и левом бортах. Бронеавтомобиль оборудовался радиостанцией РБ со штыревой антенной. Броневик имел характерные черты машины, изготовленной в тяжелое военное время – минимум контрольных приборов на щитке водителя (спидометр и аэротермометр), упрощенное электрооборудование (например, была только одна передняя фара), только самый необходимый ЗИП (15218).</w:t>
      </w:r>
    </w:p>
    <w:p w14:paraId="7A063C80" w14:textId="77777777" w:rsidR="00B922CA" w:rsidRPr="00640820" w:rsidRDefault="00B922CA" w:rsidP="00640820">
      <w:pPr>
        <w:widowControl w:val="0"/>
        <w:spacing w:after="0" w:line="240" w:lineRule="auto"/>
        <w:jc w:val="both"/>
        <w:rPr>
          <w:rFonts w:ascii="Times New Roman" w:hAnsi="Times New Roman"/>
          <w:color w:val="000000" w:themeColor="text1"/>
          <w:sz w:val="16"/>
          <w:szCs w:val="16"/>
        </w:rPr>
      </w:pPr>
    </w:p>
    <w:p w14:paraId="5C4BE845"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671A7CF3"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E3866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ноября 1941 11-й штурмовой полк ВВС Черноморского флота был вынужден перебазироваться на аэродром Байдары близ Севастополя. Из 44 истребителей, которыми располагали ВВС Черноморского флота на то время, И-5 составляли половину. Немцы рвались к Севастополю, и все имевшиеся самолёты были брошены на штурмовку войск противника. Рано утром 5 октября воздушная разведка засекла скопление техники в садах Бельбекской долины, у Бай- дарских ворот. На штурмовку вылетели две группы И-5, в общей сложности 20 машин. Группы вели капитан Н. Хрусталёв и старший лейтенант А. Покалю- хин. Вскоре к штурмовикам пристроилась шестёрка И-16. Танки, бронетранспортёры и грузовики прятались в тени деревьев. Бипланы вошли в пикирование и с высоты 600 - 800 м сбросили бомбы. Внизу вспыхнули пожары. Второй заход сделали на бреющем полёте, поливая врага пулемётным огнём. В этот момент сверху ринулись восемь "мессершмиттов". Прикрытие связало их боем. Но ещё два немецких истребителя подошли снизу и атаковали бипланы. И тут капитан В. Фомин на своём стареньком И-5 ухитрился сбить один из вражеских самолётов! Но и машина комэска Хрусталёва загорелась. Самолёт развернулся вправо и врезался в скопление техники (11997).</w:t>
      </w:r>
    </w:p>
    <w:p w14:paraId="54D319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177C328" w14:textId="77777777" w:rsidR="008D3ECC" w:rsidRPr="00640820" w:rsidRDefault="008D3ECC"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В начале ноября 1941 11-й полк перебазировался на аэродром Байдары близ Севастополя. Из 44 истребителей, которыми располагали на тот момент ВВС Черноморского флота, почти половину составляли И-5! Немцы рвались к Севастополю, и все имевшиеся самолеты были брошены на штурмовку вражеских войск (19176).</w:t>
      </w:r>
    </w:p>
    <w:p w14:paraId="2A86A9E7" w14:textId="77777777" w:rsidR="008D3ECC" w:rsidRPr="00640820" w:rsidRDefault="008D3ECC" w:rsidP="00640820">
      <w:pPr>
        <w:pStyle w:val="ae"/>
        <w:shd w:val="clear" w:color="auto" w:fill="FFFFFF"/>
        <w:spacing w:before="0" w:after="0"/>
        <w:jc w:val="both"/>
        <w:textAlignment w:val="baseline"/>
        <w:rPr>
          <w:color w:val="000000" w:themeColor="text1"/>
          <w:sz w:val="16"/>
          <w:szCs w:val="16"/>
        </w:rPr>
      </w:pPr>
    </w:p>
    <w:p w14:paraId="0B30CAA1"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69DA2F71"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25B01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ноября 1941 ГК завода 21 С.А.Л. писал письмо N 3810 с А.И.Ш., Нач. НИИ ВВС КА, Нач. 10 ГУ ГУВВС КА Бибикову и Ст. военпреду на заводе 21 Шишкину с отчетом по летным испытаниям ЛаГГ-3 N 3121110-62. Сняли все - баки, ШКАС, убрали костыль, хорошо отделали и достигли скорости 580 км/час (2567,230).</w:t>
      </w:r>
    </w:p>
    <w:p w14:paraId="285B4A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13EFF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7 по 25 ноября 1941 цеха окончательной сборки Саратовского авиазавода стояли из-за нехватки моторов. Ценой неимоверных усилий завод налаживал хозяйственные связи, самостоятельно обеспечивая себя материалами, моторами и агрегатами, используя для их доставки все доступные виды транспорта, в том числе и гужевой. Как писал в своем донесении старший военпред завода военинженер 2-го ранга Родин: "...снабжение перешло в формы обеспечения, не поддающиеся учету и планированию" (ЦАМО ф.35 оп.11287 д.265 л.155) (12048).</w:t>
      </w:r>
    </w:p>
    <w:p w14:paraId="78ED4C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2AF6598" w14:textId="5E7E06F3" w:rsidR="008D3ECC" w:rsidRPr="00640820" w:rsidRDefault="008D3E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7 ноября 1941 персонал завода № 293 начал развёртывание производства в посёлке Билимбай в 60 км западнее Свердловска. В декабре 1941 г. доводка самолёта была продолже- на на новом месте. 25 апреля 1942 г. опытный самолёт был пере- базирован на аэродром НИИ ВВС в Кольцово. 30 апреля были осуществлены пробные включения двигателя, 2 мая – пробежка по аэродрому, 13 мая – подлёт длиной около 50 м на высоте около 1 метра. 15 мая 1942 г. самолёт БИ-1 под управлением летчика Г.Я. Бахчиванджи впервые взлетел с использованием ракетного двигателя. Полет продолжался 3 мин 9 сек, за 60 сек работы ЖРД была достигнута высота 840 метров, при максимальной скорости 400 км/ч и максимальной скороподъемности 23 м/с. В 1943 г. было осуществлено ещё шесть полётов на втором (БИ-2) и третьем (БИ-3) экземплярах самолёта. Успешные поле- ты дали основания для спешного начала строительства войско- вой серии машин под наименованием БИ-ВС (ВС-войсковая се- рия). Это серийное производство было развернуто на авиазаводе №381 в Нижнем Тагиле. Между тем испытания истребителя про- должались. Один из полётов выполнял К.А. Груздев, остальные 256 – Г.Я. Бахчиванджи. Задание на полёт 27 марта 1943 г. (седьмой по счёту, шестой в 1943 г.) отличалось от предыдущих. Если ранее са- молёт испытывался на максимальную высоту и скороподъемность, то теперь он должен был испытываться на максимальную скорость полёта. Для этого лётчик-испытатель должен был на постоянной высоте 2 тыс. метров дождаться выключения двигателя по оконча- нию топлива. С точки зрения наблюдателей с земли до момента вы- ключения двигателя полёт проходил по плану, однако потом само- лёт вошёл в пике и, не совершая попыток выйти из него, столкнулся с землёй. Лётчик-испытатель Григорий Бахчиванджи погиб. Эта катастрофа привела к отмене начала производства БИ и уничтожению уже заложенных 50 штук БИ-ВС. Всего на заводе №293 было собрано 6 опытных экземпляров самолета. Еще два готовых планера без двигателей из Нижнего Тагила с завода №381 было доставлено в Москву, так как туда в 1943 г. вернулся завод В.Ф. Болховитинова (№293). На одном из них был установлен двигатель РД-1 конструкции А.М.Исаева. Этот самолет – БИ-7 – выполнил два полета их включением. На втором – БИ-8 – были установлены два ПВРД ДМ-4 конструкции И.А. Меркулова. В такой конфигурации самолет испытывался в режиме планера (19535).</w:t>
      </w:r>
    </w:p>
    <w:p w14:paraId="5DD95068" w14:textId="77777777" w:rsidR="008D3ECC" w:rsidRPr="00640820" w:rsidRDefault="008D3ECC" w:rsidP="00640820">
      <w:pPr>
        <w:spacing w:after="0" w:line="240" w:lineRule="auto"/>
        <w:jc w:val="both"/>
        <w:rPr>
          <w:rFonts w:ascii="Times New Roman" w:hAnsi="Times New Roman"/>
          <w:color w:val="000000" w:themeColor="text1"/>
          <w:sz w:val="16"/>
          <w:szCs w:val="16"/>
        </w:rPr>
      </w:pPr>
    </w:p>
    <w:p w14:paraId="74EE9DF7" w14:textId="77777777" w:rsidR="008D3ECC" w:rsidRPr="00640820" w:rsidRDefault="008D3E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ноября 1941 персонал завода № 293 из подмосковных Химок начал развёртывание производства в посёлке Билимбай в 60 км западнее Свердловска. В декабре 1941 г. доводка самолёта была продолжена на новом месте. 25 апреля 1942 г. опытный самолёт был перебазирован на аэродром НИИ ВВС в Кольцово. 30 апреля были осуществлены пробные включения двигателя, 2 мая – пробежка по аэродрому, 13 мая – подлёт длиной около 50 м на высоте около 1 метра. 15 мая 1942 г. самолёт БИ-1 под управлением летчика Г.Я. Бахчиванджи впервые взлетел с использованием ракетного двигателя. Полет продолжался 3 мин 9 сек, за 60 сек работы ЖРД была достигнута высота 840 метров, при максимальной скорости 400 км/ч и максимальной скороподъемности 23 м/с. В 1943 г. было осуществлено ещё шесть полётов на втором (БИ-2) и третьем (БИ-3) экземплярах самолёта. Успешные полеты дали основания для спешного начала строительства войсковой серии машин под наименованием БИ-ВС (ВС-войсковая серия). Это серийное производство было развернуто на авиазаводе №381 в Нижнем Тагиле. Между тем испытания истребителя продолжались. Один из полётов выполнял К.А. Груздев, остальные 256 – Г.Я. Бахчиванджи (18250).</w:t>
      </w:r>
    </w:p>
    <w:p w14:paraId="012EF410" w14:textId="77777777" w:rsidR="008D3ECC" w:rsidRPr="00640820" w:rsidRDefault="008D3ECC" w:rsidP="00640820">
      <w:pPr>
        <w:spacing w:after="0" w:line="240" w:lineRule="auto"/>
        <w:jc w:val="both"/>
        <w:rPr>
          <w:rFonts w:ascii="Times New Roman" w:hAnsi="Times New Roman"/>
          <w:color w:val="000000" w:themeColor="text1"/>
          <w:sz w:val="16"/>
          <w:szCs w:val="16"/>
        </w:rPr>
      </w:pPr>
    </w:p>
    <w:p w14:paraId="0155A9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ноября 1941 на заводе был собран первый планер Гр-29 В.К.Грибовского (94,62).</w:t>
      </w:r>
    </w:p>
    <w:p w14:paraId="4E54B3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27EA65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ноября 1941 изготовили первый серий</w:t>
      </w:r>
      <w:r w:rsidRPr="00640820">
        <w:rPr>
          <w:rFonts w:ascii="Times New Roman" w:hAnsi="Times New Roman"/>
          <w:color w:val="000000" w:themeColor="text1"/>
          <w:sz w:val="16"/>
          <w:szCs w:val="16"/>
        </w:rPr>
        <w:softHyphen/>
        <w:t>ный экземпляр Г-11. Он немного отли</w:t>
      </w:r>
      <w:r w:rsidRPr="00640820">
        <w:rPr>
          <w:rFonts w:ascii="Times New Roman" w:hAnsi="Times New Roman"/>
          <w:color w:val="000000" w:themeColor="text1"/>
          <w:sz w:val="16"/>
          <w:szCs w:val="16"/>
        </w:rPr>
        <w:softHyphen/>
        <w:t>чался от Гр-29. Крыло для изменения центровки сдвинули немного назад, площадь элеронов увеличили. Шасси получило предусмотренные проектом «ломающиеся» подкосы. Металличес</w:t>
      </w:r>
      <w:r w:rsidRPr="00640820">
        <w:rPr>
          <w:rFonts w:ascii="Times New Roman" w:hAnsi="Times New Roman"/>
          <w:color w:val="000000" w:themeColor="text1"/>
          <w:sz w:val="16"/>
          <w:szCs w:val="16"/>
        </w:rPr>
        <w:softHyphen/>
        <w:t>кий каркас фонаря пилотской кабины заменили деревянным. Теперь при не</w:t>
      </w:r>
      <w:r w:rsidRPr="00640820">
        <w:rPr>
          <w:rFonts w:ascii="Times New Roman" w:hAnsi="Times New Roman"/>
          <w:color w:val="000000" w:themeColor="text1"/>
          <w:sz w:val="16"/>
          <w:szCs w:val="16"/>
        </w:rPr>
        <w:softHyphen/>
        <w:t>обходимости он целиком откидывался назад и сбрасывался. У пилота уста</w:t>
      </w:r>
      <w:r w:rsidRPr="00640820">
        <w:rPr>
          <w:rFonts w:ascii="Times New Roman" w:hAnsi="Times New Roman"/>
          <w:color w:val="000000" w:themeColor="text1"/>
          <w:sz w:val="16"/>
          <w:szCs w:val="16"/>
        </w:rPr>
        <w:softHyphen/>
        <w:t>новили компас. По требованию воен</w:t>
      </w:r>
      <w:r w:rsidRPr="00640820">
        <w:rPr>
          <w:rFonts w:ascii="Times New Roman" w:hAnsi="Times New Roman"/>
          <w:color w:val="000000" w:themeColor="text1"/>
          <w:sz w:val="16"/>
          <w:szCs w:val="16"/>
        </w:rPr>
        <w:softHyphen/>
        <w:t>ных планёр получил комплект элект- роооборудования для полётов ночью: посадочную фару, плафон освещения в грузовой кабине, сигнальную лампу у пилота и аккумулятор 12А-30.</w:t>
      </w:r>
    </w:p>
    <w:p w14:paraId="6FC02DB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Транспортно-десантный планёр Г-11 предназначался для перевозки пилота и 10 десантников с вооружением или груза весом 1100 кг. Это был свобод- нонесущий высокоплан с фюзеляжем коробчатого сечения со скруглёнными углами. Низ фюзеляжа имел килева- тость, в вершине которой размещалась деревянная посадочная лыжа. Планёр изготовлялся, в основном, из дерева. Сталь применялась только в высоко- нагруженных частях, например, в шас</w:t>
      </w:r>
      <w:r w:rsidRPr="00640820">
        <w:rPr>
          <w:rFonts w:ascii="Times New Roman" w:hAnsi="Times New Roman"/>
          <w:color w:val="000000" w:themeColor="text1"/>
          <w:sz w:val="16"/>
          <w:szCs w:val="16"/>
        </w:rPr>
        <w:softHyphen/>
        <w:t>си и в крепеже. Использовались также плексиглас, фанера и полотно.</w:t>
      </w:r>
    </w:p>
    <w:p w14:paraId="3AA5FA8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Крыло состояло из центроплана и двух отъёмных частей. Площадь его - 30 м2, профиль - Р-П. Центроплан - двухлонжеронной конструкции с фа</w:t>
      </w:r>
      <w:r w:rsidRPr="00640820">
        <w:rPr>
          <w:rFonts w:ascii="Times New Roman" w:hAnsi="Times New Roman"/>
          <w:color w:val="000000" w:themeColor="text1"/>
          <w:sz w:val="16"/>
          <w:szCs w:val="16"/>
        </w:rPr>
        <w:softHyphen/>
        <w:t>нерной несущей обшивкой. Консоли имели некоторую стреловидность по передней кромке для обеспечения за</w:t>
      </w:r>
      <w:r w:rsidRPr="00640820">
        <w:rPr>
          <w:rFonts w:ascii="Times New Roman" w:hAnsi="Times New Roman"/>
          <w:color w:val="000000" w:themeColor="text1"/>
          <w:sz w:val="16"/>
          <w:szCs w:val="16"/>
        </w:rPr>
        <w:softHyphen/>
        <w:t>данной центровки. В отъёмных частях</w:t>
      </w:r>
    </w:p>
    <w:p w14:paraId="0C89DAD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крыла основой каркаса являлись лон</w:t>
      </w:r>
      <w:r w:rsidRPr="00640820">
        <w:rPr>
          <w:rFonts w:ascii="Times New Roman" w:hAnsi="Times New Roman"/>
          <w:color w:val="000000" w:themeColor="text1"/>
          <w:sz w:val="16"/>
          <w:szCs w:val="16"/>
        </w:rPr>
        <w:softHyphen/>
        <w:t>жерон и вспомогательная стенка. Об</w:t>
      </w:r>
      <w:r w:rsidRPr="00640820">
        <w:rPr>
          <w:rFonts w:ascii="Times New Roman" w:hAnsi="Times New Roman"/>
          <w:color w:val="000000" w:themeColor="text1"/>
          <w:sz w:val="16"/>
          <w:szCs w:val="16"/>
        </w:rPr>
        <w:softHyphen/>
        <w:t>шивка до лонжерона - фанерная, да</w:t>
      </w:r>
      <w:r w:rsidRPr="00640820">
        <w:rPr>
          <w:rFonts w:ascii="Times New Roman" w:hAnsi="Times New Roman"/>
          <w:color w:val="000000" w:themeColor="text1"/>
          <w:sz w:val="16"/>
          <w:szCs w:val="16"/>
        </w:rPr>
        <w:softHyphen/>
        <w:t>лее - полотно. Место стыковки консоли с центропланом закрывалось алюмини</w:t>
      </w:r>
      <w:r w:rsidRPr="00640820">
        <w:rPr>
          <w:rFonts w:ascii="Times New Roman" w:hAnsi="Times New Roman"/>
          <w:color w:val="000000" w:themeColor="text1"/>
          <w:sz w:val="16"/>
          <w:szCs w:val="16"/>
        </w:rPr>
        <w:softHyphen/>
        <w:t>евой полосой. На стыках центроплана с фюзеляжем на шурупах монтировались зализы, выколоченные из алюминия. Подобные зализы были установлены и в местах сочленения стабилизатора и фюзеляжа. На задней кромке крыла располагались посадочные щитки и элероны. На каждой консоли находил</w:t>
      </w:r>
      <w:r w:rsidRPr="00640820">
        <w:rPr>
          <w:rFonts w:ascii="Times New Roman" w:hAnsi="Times New Roman"/>
          <w:color w:val="000000" w:themeColor="text1"/>
          <w:sz w:val="16"/>
          <w:szCs w:val="16"/>
        </w:rPr>
        <w:softHyphen/>
        <w:t>ся элерон типа Фрайз, разделённый на две секции. Элероны и рули - сходной конструкции, основу которой составля</w:t>
      </w:r>
      <w:r w:rsidRPr="00640820">
        <w:rPr>
          <w:rFonts w:ascii="Times New Roman" w:hAnsi="Times New Roman"/>
          <w:color w:val="000000" w:themeColor="text1"/>
          <w:sz w:val="16"/>
          <w:szCs w:val="16"/>
        </w:rPr>
        <w:softHyphen/>
        <w:t>ли лонжерон и набор нервюр. Обшивка до лонжерона - фанерная, далее - по</w:t>
      </w:r>
      <w:r w:rsidRPr="00640820">
        <w:rPr>
          <w:rFonts w:ascii="Times New Roman" w:hAnsi="Times New Roman"/>
          <w:color w:val="000000" w:themeColor="text1"/>
          <w:sz w:val="16"/>
          <w:szCs w:val="16"/>
        </w:rPr>
        <w:softHyphen/>
        <w:t>лотно. Все рулевые поверхности имели фигурные кронштейны, на которых за</w:t>
      </w:r>
      <w:r w:rsidRPr="00640820">
        <w:rPr>
          <w:rFonts w:ascii="Times New Roman" w:hAnsi="Times New Roman"/>
          <w:color w:val="000000" w:themeColor="text1"/>
          <w:sz w:val="16"/>
          <w:szCs w:val="16"/>
        </w:rPr>
        <w:softHyphen/>
        <w:t>креплялись противофлаттерные грузы. Снизу под левой частью центроплана размещалась фара, закрытая обтекате</w:t>
      </w:r>
      <w:r w:rsidRPr="00640820">
        <w:rPr>
          <w:rFonts w:ascii="Times New Roman" w:hAnsi="Times New Roman"/>
          <w:color w:val="000000" w:themeColor="text1"/>
          <w:sz w:val="16"/>
          <w:szCs w:val="16"/>
        </w:rPr>
        <w:softHyphen/>
        <w:t>лем. На законцовках крыла устанавли</w:t>
      </w:r>
      <w:r w:rsidRPr="00640820">
        <w:rPr>
          <w:rFonts w:ascii="Times New Roman" w:hAnsi="Times New Roman"/>
          <w:color w:val="000000" w:themeColor="text1"/>
          <w:sz w:val="16"/>
          <w:szCs w:val="16"/>
        </w:rPr>
        <w:softHyphen/>
        <w:t>вались аэронавигационные огни.</w:t>
      </w:r>
    </w:p>
    <w:p w14:paraId="1F9D98B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Фюзеляж полумонококовой конструк</w:t>
      </w:r>
      <w:r w:rsidRPr="00640820">
        <w:rPr>
          <w:rFonts w:ascii="Times New Roman" w:hAnsi="Times New Roman"/>
          <w:color w:val="000000" w:themeColor="text1"/>
          <w:sz w:val="16"/>
          <w:szCs w:val="16"/>
        </w:rPr>
        <w:softHyphen/>
        <w:t>ции имел набор из фанерных шпангоу</w:t>
      </w:r>
      <w:r w:rsidRPr="00640820">
        <w:rPr>
          <w:rFonts w:ascii="Times New Roman" w:hAnsi="Times New Roman"/>
          <w:color w:val="000000" w:themeColor="text1"/>
          <w:sz w:val="16"/>
          <w:szCs w:val="16"/>
        </w:rPr>
        <w:softHyphen/>
        <w:t>тов, деревянных стрингеров и несущей фанерной обшивки. Кабина пилота ни</w:t>
      </w:r>
      <w:r w:rsidRPr="00640820">
        <w:rPr>
          <w:rFonts w:ascii="Times New Roman" w:hAnsi="Times New Roman"/>
          <w:color w:val="000000" w:themeColor="text1"/>
          <w:sz w:val="16"/>
          <w:szCs w:val="16"/>
        </w:rPr>
        <w:softHyphen/>
        <w:t>чем не отделялась от грузовой. Там устанавливалось фанерное кресло, стандартный набор органов управле</w:t>
      </w:r>
      <w:r w:rsidRPr="00640820">
        <w:rPr>
          <w:rFonts w:ascii="Times New Roman" w:hAnsi="Times New Roman"/>
          <w:color w:val="000000" w:themeColor="text1"/>
          <w:sz w:val="16"/>
          <w:szCs w:val="16"/>
        </w:rPr>
        <w:softHyphen/>
        <w:t>ния и приборная доска с минимумом приборов. Кабина закрывалась гранё</w:t>
      </w:r>
      <w:r w:rsidRPr="00640820">
        <w:rPr>
          <w:rFonts w:ascii="Times New Roman" w:hAnsi="Times New Roman"/>
          <w:color w:val="000000" w:themeColor="text1"/>
          <w:sz w:val="16"/>
          <w:szCs w:val="16"/>
        </w:rPr>
        <w:softHyphen/>
        <w:t>ным фонарём, который откидывался вверх на шарнирах. В полёте его можно было сбросить.</w:t>
      </w:r>
    </w:p>
    <w:p w14:paraId="7BF77A5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Грузовая кабина имела пол, вдоль бортов устанавливались скамейки для десанта. Бойцы сидели лицом друг к другу. При перевозке грузов скамей</w:t>
      </w:r>
      <w:r w:rsidRPr="00640820">
        <w:rPr>
          <w:rFonts w:ascii="Times New Roman" w:hAnsi="Times New Roman"/>
          <w:color w:val="000000" w:themeColor="text1"/>
          <w:sz w:val="16"/>
          <w:szCs w:val="16"/>
        </w:rPr>
        <w:softHyphen/>
        <w:t>ки могли складываться вниз. Погрузка осуществлялась через дверь размером 1200x700 мм, расположенную по ле</w:t>
      </w:r>
      <w:r w:rsidRPr="00640820">
        <w:rPr>
          <w:rFonts w:ascii="Times New Roman" w:hAnsi="Times New Roman"/>
          <w:color w:val="000000" w:themeColor="text1"/>
          <w:sz w:val="16"/>
          <w:szCs w:val="16"/>
        </w:rPr>
        <w:softHyphen/>
        <w:t>вому борту. Она не откидывалась на петлях, а снималась внутрь фюзеля</w:t>
      </w:r>
      <w:r w:rsidRPr="00640820">
        <w:rPr>
          <w:rFonts w:ascii="Times New Roman" w:hAnsi="Times New Roman"/>
          <w:color w:val="000000" w:themeColor="text1"/>
          <w:sz w:val="16"/>
          <w:szCs w:val="16"/>
        </w:rPr>
        <w:softHyphen/>
        <w:t>жа. В 1944 г. дверь сместили вперёд и увеличили её размер до 1400x1175 мм. Сверху и снизу фюзеляжа были про</w:t>
      </w:r>
      <w:r w:rsidRPr="00640820">
        <w:rPr>
          <w:rFonts w:ascii="Times New Roman" w:hAnsi="Times New Roman"/>
          <w:color w:val="000000" w:themeColor="text1"/>
          <w:sz w:val="16"/>
          <w:szCs w:val="16"/>
        </w:rPr>
        <w:softHyphen/>
        <w:t>резаны аварийные люки размером 520*460 мм. Крышки этих люков, а также прямоугольные иллюминаторы в полёте могли сниматься для стрель</w:t>
      </w:r>
      <w:r w:rsidRPr="00640820">
        <w:rPr>
          <w:rFonts w:ascii="Times New Roman" w:hAnsi="Times New Roman"/>
          <w:color w:val="000000" w:themeColor="text1"/>
          <w:sz w:val="16"/>
          <w:szCs w:val="16"/>
        </w:rPr>
        <w:softHyphen/>
        <w:t>бы по вражеским самолётам из оружия десанта. Как и в случае с английскими планёрами, эту возможность на прак</w:t>
      </w:r>
      <w:r w:rsidRPr="00640820">
        <w:rPr>
          <w:rFonts w:ascii="Times New Roman" w:hAnsi="Times New Roman"/>
          <w:color w:val="000000" w:themeColor="text1"/>
          <w:sz w:val="16"/>
          <w:szCs w:val="16"/>
        </w:rPr>
        <w:softHyphen/>
        <w:t>тике ни разу не использовали.</w:t>
      </w:r>
    </w:p>
    <w:p w14:paraId="601C623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Хвостовое оперение - классической схемы, состояло из киля, выполненно</w:t>
      </w:r>
      <w:r w:rsidRPr="00640820">
        <w:rPr>
          <w:rFonts w:ascii="Times New Roman" w:hAnsi="Times New Roman"/>
          <w:color w:val="000000" w:themeColor="text1"/>
          <w:sz w:val="16"/>
          <w:szCs w:val="16"/>
        </w:rPr>
        <w:softHyphen/>
        <w:t>го заодно с фюзеляжем, и свободно- несущего стабилизатора. Обшивка - фанерная. Конструкция рулей анало</w:t>
      </w:r>
      <w:r w:rsidRPr="00640820">
        <w:rPr>
          <w:rFonts w:ascii="Times New Roman" w:hAnsi="Times New Roman"/>
          <w:color w:val="000000" w:themeColor="text1"/>
          <w:sz w:val="16"/>
          <w:szCs w:val="16"/>
        </w:rPr>
        <w:softHyphen/>
        <w:t>гична конструкции элеронов. На левой половине руля высоты был размещён триммер. Проводка управления всеми рулями - тросовая.</w:t>
      </w:r>
    </w:p>
    <w:p w14:paraId="3BF0F4A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Взлётно-посадочные устройства планёра состояли из двух колёс раз</w:t>
      </w:r>
      <w:r w:rsidRPr="00640820">
        <w:rPr>
          <w:rFonts w:ascii="Times New Roman" w:hAnsi="Times New Roman"/>
          <w:color w:val="000000" w:themeColor="text1"/>
          <w:sz w:val="16"/>
          <w:szCs w:val="16"/>
        </w:rPr>
        <w:softHyphen/>
        <w:t>мером 600x250 мм на металлических стойках и хвостового подпружиненного костыля. На нижней поверхности фю</w:t>
      </w:r>
      <w:r w:rsidRPr="00640820">
        <w:rPr>
          <w:rFonts w:ascii="Times New Roman" w:hAnsi="Times New Roman"/>
          <w:color w:val="000000" w:themeColor="text1"/>
          <w:sz w:val="16"/>
          <w:szCs w:val="16"/>
        </w:rPr>
        <w:softHyphen/>
        <w:t>зеляжа размещалась жёсткая дере</w:t>
      </w:r>
      <w:r w:rsidRPr="00640820">
        <w:rPr>
          <w:rFonts w:ascii="Times New Roman" w:hAnsi="Times New Roman"/>
          <w:color w:val="000000" w:themeColor="text1"/>
          <w:sz w:val="16"/>
          <w:szCs w:val="16"/>
        </w:rPr>
        <w:softHyphen/>
        <w:t>вянная лыжа. Основные стойки имели ломающийся подкос, благодаря которо</w:t>
      </w:r>
      <w:r w:rsidRPr="00640820">
        <w:rPr>
          <w:rFonts w:ascii="Times New Roman" w:hAnsi="Times New Roman"/>
          <w:color w:val="000000" w:themeColor="text1"/>
          <w:sz w:val="16"/>
          <w:szCs w:val="16"/>
        </w:rPr>
        <w:softHyphen/>
        <w:t>му можно было поднять колёса вверх и выполнить посадку на лыжу, резко сократив при этом длину пробега.</w:t>
      </w:r>
    </w:p>
    <w:p w14:paraId="25E6A39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носу фюзеляжа монтировалась длинная штанга с ПВД. С помощью этой штанги также контролировали положе</w:t>
      </w:r>
      <w:r w:rsidRPr="00640820">
        <w:rPr>
          <w:rFonts w:ascii="Times New Roman" w:hAnsi="Times New Roman"/>
          <w:color w:val="000000" w:themeColor="text1"/>
          <w:sz w:val="16"/>
          <w:szCs w:val="16"/>
        </w:rPr>
        <w:softHyphen/>
        <w:t>ние буксировочного троса в полёте.</w:t>
      </w:r>
    </w:p>
    <w:p w14:paraId="1C1F2B3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приборное оборудование планё</w:t>
      </w:r>
      <w:r w:rsidRPr="00640820">
        <w:rPr>
          <w:rFonts w:ascii="Times New Roman" w:hAnsi="Times New Roman"/>
          <w:color w:val="000000" w:themeColor="text1"/>
          <w:sz w:val="16"/>
          <w:szCs w:val="16"/>
        </w:rPr>
        <w:softHyphen/>
        <w:t>ра входили часы, указатели скорости, крена и скольжения, высотомер и ва</w:t>
      </w:r>
      <w:r w:rsidRPr="00640820">
        <w:rPr>
          <w:rFonts w:ascii="Times New Roman" w:hAnsi="Times New Roman"/>
          <w:color w:val="000000" w:themeColor="text1"/>
          <w:sz w:val="16"/>
          <w:szCs w:val="16"/>
        </w:rPr>
        <w:softHyphen/>
        <w:t>риометр.</w:t>
      </w:r>
    </w:p>
    <w:p w14:paraId="72CA399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Электрооборудование включало по</w:t>
      </w:r>
      <w:r w:rsidRPr="00640820">
        <w:rPr>
          <w:rFonts w:ascii="Times New Roman" w:hAnsi="Times New Roman"/>
          <w:color w:val="000000" w:themeColor="text1"/>
          <w:sz w:val="16"/>
          <w:szCs w:val="16"/>
        </w:rPr>
        <w:softHyphen/>
        <w:t>садочную фару, аэронавигационные огни и лампочки освещения кабины. Связь с буксировщиком осуществля</w:t>
      </w:r>
      <w:r w:rsidRPr="00640820">
        <w:rPr>
          <w:rFonts w:ascii="Times New Roman" w:hAnsi="Times New Roman"/>
          <w:color w:val="000000" w:themeColor="text1"/>
          <w:sz w:val="16"/>
          <w:szCs w:val="16"/>
        </w:rPr>
        <w:softHyphen/>
        <w:t>лась путём подачи сигналов с помощью фонарика. Радиостанция отсутствова</w:t>
      </w:r>
      <w:r w:rsidRPr="00640820">
        <w:rPr>
          <w:rFonts w:ascii="Times New Roman" w:hAnsi="Times New Roman"/>
          <w:color w:val="000000" w:themeColor="text1"/>
          <w:sz w:val="16"/>
          <w:szCs w:val="16"/>
        </w:rPr>
        <w:softHyphen/>
        <w:t>ла.ИСТОРИЯ СОЗДАНИЯ</w:t>
      </w:r>
    </w:p>
    <w:p w14:paraId="530F664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Родословная этого самого большого советского серийного планёра военно</w:t>
      </w:r>
      <w:r w:rsidRPr="00640820">
        <w:rPr>
          <w:rFonts w:ascii="Times New Roman" w:hAnsi="Times New Roman"/>
          <w:color w:val="000000" w:themeColor="text1"/>
          <w:sz w:val="16"/>
          <w:szCs w:val="16"/>
        </w:rPr>
        <w:softHyphen/>
        <w:t>го периода идёт от проекта КЦ, разра</w:t>
      </w:r>
      <w:r w:rsidRPr="00640820">
        <w:rPr>
          <w:rFonts w:ascii="Times New Roman" w:hAnsi="Times New Roman"/>
          <w:color w:val="000000" w:themeColor="text1"/>
          <w:sz w:val="16"/>
          <w:szCs w:val="16"/>
        </w:rPr>
        <w:softHyphen/>
        <w:t>ботанного в 1941 г. П.В. Цыбиным и Д.Н. Колесниковым в Военно-воздуш- ной академии им. Н.Е. Жуковского.</w:t>
      </w:r>
    </w:p>
    <w:p w14:paraId="10D3ED0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Задумав сделать аппарат предельно простым и дешёвым, конструкторы в максимальной степени использовали дерево, количество металла в нём было минимальным. КЦ представлял собой свободнонесущий моноплан с верхним расположением крыла и до</w:t>
      </w:r>
      <w:r w:rsidRPr="00640820">
        <w:rPr>
          <w:rFonts w:ascii="Times New Roman" w:hAnsi="Times New Roman"/>
          <w:color w:val="000000" w:themeColor="text1"/>
          <w:sz w:val="16"/>
          <w:szCs w:val="16"/>
        </w:rPr>
        <w:softHyphen/>
        <w:t>вольно просторной грузовой кабиной. Вдоль бортов размещались откидные сиденья для 21 десантника. В конце кабины человеку среднего роста сидеть было неудобно: из-за сужения фюзеля</w:t>
      </w:r>
      <w:r w:rsidRPr="00640820">
        <w:rPr>
          <w:rFonts w:ascii="Times New Roman" w:hAnsi="Times New Roman"/>
          <w:color w:val="000000" w:themeColor="text1"/>
          <w:sz w:val="16"/>
          <w:szCs w:val="16"/>
        </w:rPr>
        <w:softHyphen/>
        <w:t>жа к хвосту ему приходилось упираться головой в потолок. Посадка и высад</w:t>
      </w:r>
      <w:r w:rsidRPr="00640820">
        <w:rPr>
          <w:rFonts w:ascii="Times New Roman" w:hAnsi="Times New Roman"/>
          <w:color w:val="000000" w:themeColor="text1"/>
          <w:sz w:val="16"/>
          <w:szCs w:val="16"/>
        </w:rPr>
        <w:softHyphen/>
        <w:t>ка осуществлялась через две двери: задняя была чуть меньше передней. Фактически это были не двери, а люки - они не поворачивались на петлях, а снимались полностью. С каждого борта имелось по два небольших прямоуголь</w:t>
      </w:r>
      <w:r w:rsidRPr="00640820">
        <w:rPr>
          <w:rFonts w:ascii="Times New Roman" w:hAnsi="Times New Roman"/>
          <w:color w:val="000000" w:themeColor="text1"/>
          <w:sz w:val="16"/>
          <w:szCs w:val="16"/>
        </w:rPr>
        <w:softHyphen/>
        <w:t>ных окна.</w:t>
      </w:r>
    </w:p>
    <w:p w14:paraId="2D396F6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Особенностью проекта КЦ являлось двухкилевое оперение. Это было свя</w:t>
      </w:r>
      <w:r w:rsidRPr="00640820">
        <w:rPr>
          <w:rFonts w:ascii="Times New Roman" w:hAnsi="Times New Roman"/>
          <w:color w:val="000000" w:themeColor="text1"/>
          <w:sz w:val="16"/>
          <w:szCs w:val="16"/>
        </w:rPr>
        <w:softHyphen/>
        <w:t>зано с тем, что авторы планировали установить над фюзеляжем турель с пулемётом ШКАС. Килевые шайбы рас</w:t>
      </w:r>
      <w:r w:rsidRPr="00640820">
        <w:rPr>
          <w:rFonts w:ascii="Times New Roman" w:hAnsi="Times New Roman"/>
          <w:color w:val="000000" w:themeColor="text1"/>
          <w:sz w:val="16"/>
          <w:szCs w:val="16"/>
        </w:rPr>
        <w:softHyphen/>
        <w:t>полагались на концах стабилизатора.</w:t>
      </w:r>
    </w:p>
    <w:p w14:paraId="0F7382E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Взлёт планёра осуществлялся на колёсах - двух основных и хвостовом. Зимой их заменяли лыжами. При глу</w:t>
      </w:r>
      <w:r w:rsidRPr="00640820">
        <w:rPr>
          <w:rFonts w:ascii="Times New Roman" w:hAnsi="Times New Roman"/>
          <w:color w:val="000000" w:themeColor="text1"/>
          <w:sz w:val="16"/>
          <w:szCs w:val="16"/>
        </w:rPr>
        <w:softHyphen/>
        <w:t>боком снежном покрове шасси можно было снять и взлетать и садиться на днище.</w:t>
      </w:r>
    </w:p>
    <w:p w14:paraId="5D72CD5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Опытный планёр КЦ-2 перед взлётом по снегу на днище. Колёса шасси сняты, на костыль установлен лыжонок</w:t>
      </w:r>
    </w:p>
    <w:p w14:paraId="183D27A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Позже, на статических испытаниях в ЦАГИ, выявилась неравнопрочность конструкции. Так, центроплан разру</w:t>
      </w:r>
      <w:r w:rsidRPr="00640820">
        <w:rPr>
          <w:rFonts w:ascii="Times New Roman" w:hAnsi="Times New Roman"/>
          <w:color w:val="000000" w:themeColor="text1"/>
          <w:sz w:val="16"/>
          <w:szCs w:val="16"/>
        </w:rPr>
        <w:softHyphen/>
        <w:t>шался при нагрузке, в 2,5 превышаю</w:t>
      </w:r>
      <w:r w:rsidRPr="00640820">
        <w:rPr>
          <w:rFonts w:ascii="Times New Roman" w:hAnsi="Times New Roman"/>
          <w:color w:val="000000" w:themeColor="text1"/>
          <w:sz w:val="16"/>
          <w:szCs w:val="16"/>
        </w:rPr>
        <w:softHyphen/>
        <w:t>щей расчётную, а хвост ломался при нагрузке в 45% от расчётной. Испра</w:t>
      </w:r>
      <w:r w:rsidRPr="00640820">
        <w:rPr>
          <w:rFonts w:ascii="Times New Roman" w:hAnsi="Times New Roman"/>
          <w:color w:val="000000" w:themeColor="text1"/>
          <w:sz w:val="16"/>
          <w:szCs w:val="16"/>
        </w:rPr>
        <w:softHyphen/>
        <w:t>вить такие ошибки в серии оказалось бы очень трудно.</w:t>
      </w:r>
    </w:p>
    <w:tbl>
      <w:tblPr>
        <w:tblW w:w="0" w:type="auto"/>
        <w:tblInd w:w="-18" w:type="dxa"/>
        <w:tblLayout w:type="fixed"/>
        <w:tblCellMar>
          <w:left w:w="10" w:type="dxa"/>
          <w:right w:w="10" w:type="dxa"/>
        </w:tblCellMar>
        <w:tblLook w:val="0000" w:firstRow="0" w:lastRow="0" w:firstColumn="0" w:lastColumn="0" w:noHBand="0" w:noVBand="0"/>
      </w:tblPr>
      <w:tblGrid>
        <w:gridCol w:w="1868"/>
        <w:gridCol w:w="1048"/>
        <w:gridCol w:w="1051"/>
        <w:gridCol w:w="1051"/>
        <w:gridCol w:w="1055"/>
        <w:gridCol w:w="1073"/>
      </w:tblGrid>
      <w:tr w:rsidR="00643896" w:rsidRPr="00640820" w14:paraId="5A7913DC" w14:textId="77777777" w:rsidTr="000D3BCB">
        <w:trPr>
          <w:trHeight w:val="310"/>
        </w:trPr>
        <w:tc>
          <w:tcPr>
            <w:tcW w:w="7146" w:type="dxa"/>
            <w:gridSpan w:val="6"/>
            <w:tcBorders>
              <w:top w:val="single" w:sz="6" w:space="0" w:color="auto"/>
              <w:left w:val="single" w:sz="6" w:space="0" w:color="auto"/>
              <w:bottom w:val="single" w:sz="6" w:space="0" w:color="auto"/>
              <w:right w:val="single" w:sz="6" w:space="0" w:color="auto"/>
            </w:tcBorders>
            <w:shd w:val="clear" w:color="auto" w:fill="FFFFFF"/>
          </w:tcPr>
          <w:p w14:paraId="7D26F45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Сравнение А-7 и Г-11 с иностранными планёрами</w:t>
            </w:r>
          </w:p>
        </w:tc>
      </w:tr>
      <w:tr w:rsidR="00643896" w:rsidRPr="00640820" w14:paraId="667411CE" w14:textId="77777777" w:rsidTr="000D3BCB">
        <w:trPr>
          <w:trHeight w:val="479"/>
        </w:trPr>
        <w:tc>
          <w:tcPr>
            <w:tcW w:w="1868" w:type="dxa"/>
            <w:tcBorders>
              <w:top w:val="single" w:sz="6" w:space="0" w:color="auto"/>
              <w:left w:val="single" w:sz="6" w:space="0" w:color="auto"/>
              <w:bottom w:val="single" w:sz="6" w:space="0" w:color="auto"/>
              <w:right w:val="single" w:sz="6" w:space="0" w:color="auto"/>
            </w:tcBorders>
            <w:shd w:val="clear" w:color="auto" w:fill="FFFFFF"/>
          </w:tcPr>
          <w:p w14:paraId="71FBBFCD" w14:textId="77777777" w:rsidR="00165A9C" w:rsidRPr="00640820" w:rsidRDefault="00165A9C" w:rsidP="00640820">
            <w:pPr>
              <w:spacing w:after="0" w:line="240" w:lineRule="auto"/>
              <w:jc w:val="both"/>
              <w:rPr>
                <w:rFonts w:ascii="Times New Roman" w:hAnsi="Times New Roman"/>
                <w:color w:val="000000" w:themeColor="text1"/>
                <w:sz w:val="16"/>
                <w:szCs w:val="16"/>
              </w:rPr>
            </w:pPr>
          </w:p>
        </w:tc>
        <w:tc>
          <w:tcPr>
            <w:tcW w:w="1048" w:type="dxa"/>
            <w:tcBorders>
              <w:top w:val="single" w:sz="6" w:space="0" w:color="auto"/>
              <w:left w:val="single" w:sz="6" w:space="0" w:color="auto"/>
              <w:bottom w:val="single" w:sz="6" w:space="0" w:color="auto"/>
              <w:right w:val="single" w:sz="6" w:space="0" w:color="auto"/>
            </w:tcBorders>
            <w:shd w:val="clear" w:color="auto" w:fill="FFFFFF"/>
          </w:tcPr>
          <w:p w14:paraId="61FA165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А-7</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523876B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Г-11</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5B2EA27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«Хоте пэр» II</w:t>
            </w:r>
          </w:p>
        </w:tc>
        <w:tc>
          <w:tcPr>
            <w:tcW w:w="1055" w:type="dxa"/>
            <w:tcBorders>
              <w:top w:val="single" w:sz="6" w:space="0" w:color="auto"/>
              <w:left w:val="single" w:sz="6" w:space="0" w:color="auto"/>
              <w:bottom w:val="single" w:sz="6" w:space="0" w:color="auto"/>
              <w:right w:val="single" w:sz="6" w:space="0" w:color="auto"/>
            </w:tcBorders>
            <w:shd w:val="clear" w:color="auto" w:fill="FFFFFF"/>
          </w:tcPr>
          <w:p w14:paraId="271BAF9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ЭР5 230</w:t>
            </w:r>
          </w:p>
        </w:tc>
        <w:tc>
          <w:tcPr>
            <w:tcW w:w="1073" w:type="dxa"/>
            <w:tcBorders>
              <w:top w:val="single" w:sz="6" w:space="0" w:color="auto"/>
              <w:left w:val="single" w:sz="6" w:space="0" w:color="auto"/>
              <w:bottom w:val="single" w:sz="6" w:space="0" w:color="auto"/>
              <w:right w:val="single" w:sz="6" w:space="0" w:color="auto"/>
            </w:tcBorders>
            <w:shd w:val="clear" w:color="auto" w:fill="FFFFFF"/>
          </w:tcPr>
          <w:p w14:paraId="6C2BC6B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ХСО-7</w:t>
            </w:r>
          </w:p>
        </w:tc>
      </w:tr>
      <w:tr w:rsidR="00643896" w:rsidRPr="00640820" w14:paraId="4D9E3EFB" w14:textId="77777777" w:rsidTr="000D3BCB">
        <w:trPr>
          <w:trHeight w:val="281"/>
        </w:trPr>
        <w:tc>
          <w:tcPr>
            <w:tcW w:w="1868" w:type="dxa"/>
            <w:tcBorders>
              <w:top w:val="single" w:sz="6" w:space="0" w:color="auto"/>
              <w:left w:val="single" w:sz="6" w:space="0" w:color="auto"/>
              <w:bottom w:val="single" w:sz="6" w:space="0" w:color="auto"/>
              <w:right w:val="single" w:sz="6" w:space="0" w:color="auto"/>
            </w:tcBorders>
            <w:shd w:val="clear" w:color="auto" w:fill="FFFFFF"/>
          </w:tcPr>
          <w:p w14:paraId="0DDC014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Страна</w:t>
            </w:r>
          </w:p>
        </w:tc>
        <w:tc>
          <w:tcPr>
            <w:tcW w:w="1048" w:type="dxa"/>
            <w:tcBorders>
              <w:top w:val="single" w:sz="6" w:space="0" w:color="auto"/>
              <w:left w:val="single" w:sz="6" w:space="0" w:color="auto"/>
              <w:bottom w:val="single" w:sz="6" w:space="0" w:color="auto"/>
              <w:right w:val="single" w:sz="6" w:space="0" w:color="auto"/>
            </w:tcBorders>
            <w:shd w:val="clear" w:color="auto" w:fill="FFFFFF"/>
          </w:tcPr>
          <w:p w14:paraId="4C28BFE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СССР</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5257D27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СССР</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0E322A9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Англия</w:t>
            </w:r>
          </w:p>
        </w:tc>
        <w:tc>
          <w:tcPr>
            <w:tcW w:w="1055" w:type="dxa"/>
            <w:tcBorders>
              <w:top w:val="single" w:sz="6" w:space="0" w:color="auto"/>
              <w:left w:val="single" w:sz="6" w:space="0" w:color="auto"/>
              <w:bottom w:val="single" w:sz="6" w:space="0" w:color="auto"/>
              <w:right w:val="single" w:sz="6" w:space="0" w:color="auto"/>
            </w:tcBorders>
            <w:shd w:val="clear" w:color="auto" w:fill="FFFFFF"/>
          </w:tcPr>
          <w:p w14:paraId="359903B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Германия</w:t>
            </w:r>
          </w:p>
        </w:tc>
        <w:tc>
          <w:tcPr>
            <w:tcW w:w="1073" w:type="dxa"/>
            <w:tcBorders>
              <w:top w:val="single" w:sz="6" w:space="0" w:color="auto"/>
              <w:left w:val="single" w:sz="6" w:space="0" w:color="auto"/>
              <w:bottom w:val="single" w:sz="6" w:space="0" w:color="auto"/>
              <w:right w:val="single" w:sz="6" w:space="0" w:color="auto"/>
            </w:tcBorders>
            <w:shd w:val="clear" w:color="auto" w:fill="FFFFFF"/>
          </w:tcPr>
          <w:p w14:paraId="4A30CFB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США</w:t>
            </w:r>
          </w:p>
        </w:tc>
      </w:tr>
      <w:tr w:rsidR="00643896" w:rsidRPr="00640820" w14:paraId="360BD87F" w14:textId="77777777" w:rsidTr="000D3BCB">
        <w:trPr>
          <w:trHeight w:val="277"/>
        </w:trPr>
        <w:tc>
          <w:tcPr>
            <w:tcW w:w="1868" w:type="dxa"/>
            <w:tcBorders>
              <w:top w:val="single" w:sz="6" w:space="0" w:color="auto"/>
              <w:left w:val="single" w:sz="6" w:space="0" w:color="auto"/>
              <w:bottom w:val="single" w:sz="6" w:space="0" w:color="auto"/>
              <w:right w:val="single" w:sz="6" w:space="0" w:color="auto"/>
            </w:tcBorders>
            <w:shd w:val="clear" w:color="auto" w:fill="FFFFFF"/>
          </w:tcPr>
          <w:p w14:paraId="4AE2FB4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Длина, м</w:t>
            </w:r>
          </w:p>
        </w:tc>
        <w:tc>
          <w:tcPr>
            <w:tcW w:w="1048" w:type="dxa"/>
            <w:tcBorders>
              <w:top w:val="single" w:sz="6" w:space="0" w:color="auto"/>
              <w:left w:val="single" w:sz="6" w:space="0" w:color="auto"/>
              <w:bottom w:val="single" w:sz="6" w:space="0" w:color="auto"/>
              <w:right w:val="single" w:sz="6" w:space="0" w:color="auto"/>
            </w:tcBorders>
            <w:shd w:val="clear" w:color="auto" w:fill="FFFFFF"/>
          </w:tcPr>
          <w:p w14:paraId="00CF83D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10,54</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3401211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9,8</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2A5FA80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12,1</w:t>
            </w:r>
          </w:p>
        </w:tc>
        <w:tc>
          <w:tcPr>
            <w:tcW w:w="1055" w:type="dxa"/>
            <w:tcBorders>
              <w:top w:val="single" w:sz="6" w:space="0" w:color="auto"/>
              <w:left w:val="single" w:sz="6" w:space="0" w:color="auto"/>
              <w:bottom w:val="single" w:sz="6" w:space="0" w:color="auto"/>
              <w:right w:val="single" w:sz="6" w:space="0" w:color="auto"/>
            </w:tcBorders>
            <w:shd w:val="clear" w:color="auto" w:fill="FFFFFF"/>
          </w:tcPr>
          <w:p w14:paraId="32BEFC9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11,24</w:t>
            </w:r>
          </w:p>
        </w:tc>
        <w:tc>
          <w:tcPr>
            <w:tcW w:w="1073" w:type="dxa"/>
            <w:tcBorders>
              <w:top w:val="single" w:sz="6" w:space="0" w:color="auto"/>
              <w:left w:val="single" w:sz="6" w:space="0" w:color="auto"/>
              <w:bottom w:val="single" w:sz="6" w:space="0" w:color="auto"/>
              <w:right w:val="single" w:sz="6" w:space="0" w:color="auto"/>
            </w:tcBorders>
            <w:shd w:val="clear" w:color="auto" w:fill="FFFFFF"/>
          </w:tcPr>
          <w:p w14:paraId="63EDD4D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10,97</w:t>
            </w:r>
          </w:p>
        </w:tc>
      </w:tr>
      <w:tr w:rsidR="00643896" w:rsidRPr="00640820" w14:paraId="25BF562C" w14:textId="77777777" w:rsidTr="000D3BCB">
        <w:trPr>
          <w:trHeight w:val="277"/>
        </w:trPr>
        <w:tc>
          <w:tcPr>
            <w:tcW w:w="1868" w:type="dxa"/>
            <w:tcBorders>
              <w:top w:val="single" w:sz="6" w:space="0" w:color="auto"/>
              <w:left w:val="single" w:sz="6" w:space="0" w:color="auto"/>
              <w:bottom w:val="single" w:sz="6" w:space="0" w:color="auto"/>
              <w:right w:val="single" w:sz="6" w:space="0" w:color="auto"/>
            </w:tcBorders>
            <w:shd w:val="clear" w:color="auto" w:fill="FFFFFF"/>
          </w:tcPr>
          <w:p w14:paraId="7F7D56C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Размах, м</w:t>
            </w:r>
          </w:p>
        </w:tc>
        <w:tc>
          <w:tcPr>
            <w:tcW w:w="1048" w:type="dxa"/>
            <w:tcBorders>
              <w:top w:val="single" w:sz="6" w:space="0" w:color="auto"/>
              <w:left w:val="single" w:sz="6" w:space="0" w:color="auto"/>
              <w:bottom w:val="single" w:sz="6" w:space="0" w:color="auto"/>
              <w:right w:val="single" w:sz="6" w:space="0" w:color="auto"/>
            </w:tcBorders>
            <w:shd w:val="clear" w:color="auto" w:fill="FFFFFF"/>
          </w:tcPr>
          <w:p w14:paraId="0676030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18,0</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785FFAF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18,0</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152AB4A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15,21</w:t>
            </w:r>
          </w:p>
        </w:tc>
        <w:tc>
          <w:tcPr>
            <w:tcW w:w="1055" w:type="dxa"/>
            <w:tcBorders>
              <w:top w:val="single" w:sz="6" w:space="0" w:color="auto"/>
              <w:left w:val="single" w:sz="6" w:space="0" w:color="auto"/>
              <w:bottom w:val="single" w:sz="6" w:space="0" w:color="auto"/>
              <w:right w:val="single" w:sz="6" w:space="0" w:color="auto"/>
            </w:tcBorders>
            <w:shd w:val="clear" w:color="auto" w:fill="FFFFFF"/>
          </w:tcPr>
          <w:p w14:paraId="226096F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22,0</w:t>
            </w:r>
          </w:p>
        </w:tc>
        <w:tc>
          <w:tcPr>
            <w:tcW w:w="1073" w:type="dxa"/>
            <w:tcBorders>
              <w:top w:val="single" w:sz="6" w:space="0" w:color="auto"/>
              <w:left w:val="single" w:sz="6" w:space="0" w:color="auto"/>
              <w:bottom w:val="single" w:sz="6" w:space="0" w:color="auto"/>
              <w:right w:val="single" w:sz="6" w:space="0" w:color="auto"/>
            </w:tcBorders>
            <w:shd w:val="clear" w:color="auto" w:fill="FFFFFF"/>
          </w:tcPr>
          <w:p w14:paraId="6E8CAC6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24,38</w:t>
            </w:r>
          </w:p>
        </w:tc>
      </w:tr>
      <w:tr w:rsidR="00643896" w:rsidRPr="00640820" w14:paraId="0FF6DB42" w14:textId="77777777" w:rsidTr="000D3BCB">
        <w:trPr>
          <w:trHeight w:val="277"/>
        </w:trPr>
        <w:tc>
          <w:tcPr>
            <w:tcW w:w="1868" w:type="dxa"/>
            <w:tcBorders>
              <w:top w:val="single" w:sz="6" w:space="0" w:color="auto"/>
              <w:left w:val="single" w:sz="6" w:space="0" w:color="auto"/>
              <w:bottom w:val="single" w:sz="6" w:space="0" w:color="auto"/>
              <w:right w:val="single" w:sz="6" w:space="0" w:color="auto"/>
            </w:tcBorders>
            <w:shd w:val="clear" w:color="auto" w:fill="FFFFFF"/>
          </w:tcPr>
          <w:p w14:paraId="38598C9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Высота, м</w:t>
            </w:r>
          </w:p>
        </w:tc>
        <w:tc>
          <w:tcPr>
            <w:tcW w:w="1048" w:type="dxa"/>
            <w:tcBorders>
              <w:top w:val="single" w:sz="6" w:space="0" w:color="auto"/>
              <w:left w:val="single" w:sz="6" w:space="0" w:color="auto"/>
              <w:bottom w:val="single" w:sz="6" w:space="0" w:color="auto"/>
              <w:right w:val="single" w:sz="6" w:space="0" w:color="auto"/>
            </w:tcBorders>
            <w:shd w:val="clear" w:color="auto" w:fill="FFFFFF"/>
          </w:tcPr>
          <w:p w14:paraId="5E74001B" w14:textId="77777777" w:rsidR="00165A9C" w:rsidRPr="00640820" w:rsidRDefault="00165A9C" w:rsidP="00640820">
            <w:pPr>
              <w:spacing w:after="0" w:line="240" w:lineRule="auto"/>
              <w:jc w:val="both"/>
              <w:rPr>
                <w:rFonts w:ascii="Times New Roman" w:hAnsi="Times New Roman"/>
                <w:color w:val="000000" w:themeColor="text1"/>
                <w:sz w:val="16"/>
                <w:szCs w:val="16"/>
              </w:rPr>
            </w:pP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2334F7E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4218436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3,6</w:t>
            </w:r>
          </w:p>
        </w:tc>
        <w:tc>
          <w:tcPr>
            <w:tcW w:w="1055" w:type="dxa"/>
            <w:tcBorders>
              <w:top w:val="single" w:sz="6" w:space="0" w:color="auto"/>
              <w:left w:val="single" w:sz="6" w:space="0" w:color="auto"/>
              <w:bottom w:val="single" w:sz="6" w:space="0" w:color="auto"/>
              <w:right w:val="single" w:sz="6" w:space="0" w:color="auto"/>
            </w:tcBorders>
            <w:shd w:val="clear" w:color="auto" w:fill="FFFFFF"/>
          </w:tcPr>
          <w:p w14:paraId="37DF578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w:t>
            </w:r>
          </w:p>
        </w:tc>
        <w:tc>
          <w:tcPr>
            <w:tcW w:w="1073" w:type="dxa"/>
            <w:tcBorders>
              <w:top w:val="single" w:sz="6" w:space="0" w:color="auto"/>
              <w:left w:val="single" w:sz="6" w:space="0" w:color="auto"/>
              <w:bottom w:val="single" w:sz="6" w:space="0" w:color="auto"/>
              <w:right w:val="single" w:sz="6" w:space="0" w:color="auto"/>
            </w:tcBorders>
            <w:shd w:val="clear" w:color="auto" w:fill="FFFFFF"/>
          </w:tcPr>
          <w:p w14:paraId="0E2DD952" w14:textId="77777777" w:rsidR="00165A9C" w:rsidRPr="00640820" w:rsidRDefault="00165A9C" w:rsidP="00640820">
            <w:pPr>
              <w:spacing w:after="0" w:line="240" w:lineRule="auto"/>
              <w:jc w:val="both"/>
              <w:rPr>
                <w:rFonts w:ascii="Times New Roman" w:hAnsi="Times New Roman"/>
                <w:color w:val="000000" w:themeColor="text1"/>
                <w:sz w:val="16"/>
                <w:szCs w:val="16"/>
              </w:rPr>
            </w:pPr>
          </w:p>
        </w:tc>
      </w:tr>
      <w:tr w:rsidR="00643896" w:rsidRPr="00640820" w14:paraId="096B77C3" w14:textId="77777777" w:rsidTr="000D3BCB">
        <w:trPr>
          <w:trHeight w:val="277"/>
        </w:trPr>
        <w:tc>
          <w:tcPr>
            <w:tcW w:w="1868" w:type="dxa"/>
            <w:tcBorders>
              <w:top w:val="single" w:sz="6" w:space="0" w:color="auto"/>
              <w:left w:val="single" w:sz="6" w:space="0" w:color="auto"/>
              <w:bottom w:val="single" w:sz="6" w:space="0" w:color="auto"/>
              <w:right w:val="single" w:sz="6" w:space="0" w:color="auto"/>
            </w:tcBorders>
            <w:shd w:val="clear" w:color="auto" w:fill="FFFFFF"/>
          </w:tcPr>
          <w:p w14:paraId="0C463CD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крыла, м2</w:t>
            </w:r>
          </w:p>
        </w:tc>
        <w:tc>
          <w:tcPr>
            <w:tcW w:w="1048" w:type="dxa"/>
            <w:tcBorders>
              <w:top w:val="single" w:sz="6" w:space="0" w:color="auto"/>
              <w:left w:val="single" w:sz="6" w:space="0" w:color="auto"/>
              <w:bottom w:val="single" w:sz="6" w:space="0" w:color="auto"/>
              <w:right w:val="single" w:sz="6" w:space="0" w:color="auto"/>
            </w:tcBorders>
            <w:shd w:val="clear" w:color="auto" w:fill="FFFFFF"/>
          </w:tcPr>
          <w:p w14:paraId="7D997B2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23,2</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04160F4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5D54487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25,2</w:t>
            </w:r>
          </w:p>
        </w:tc>
        <w:tc>
          <w:tcPr>
            <w:tcW w:w="1055" w:type="dxa"/>
            <w:tcBorders>
              <w:top w:val="single" w:sz="6" w:space="0" w:color="auto"/>
              <w:left w:val="single" w:sz="6" w:space="0" w:color="auto"/>
              <w:bottom w:val="single" w:sz="6" w:space="0" w:color="auto"/>
              <w:right w:val="single" w:sz="6" w:space="0" w:color="auto"/>
            </w:tcBorders>
            <w:shd w:val="clear" w:color="auto" w:fill="FFFFFF"/>
          </w:tcPr>
          <w:p w14:paraId="056DEABC" w14:textId="77777777" w:rsidR="00165A9C" w:rsidRPr="00640820" w:rsidRDefault="00165A9C" w:rsidP="00640820">
            <w:pPr>
              <w:spacing w:after="0" w:line="240" w:lineRule="auto"/>
              <w:jc w:val="both"/>
              <w:rPr>
                <w:rFonts w:ascii="Times New Roman" w:hAnsi="Times New Roman"/>
                <w:color w:val="000000" w:themeColor="text1"/>
                <w:sz w:val="16"/>
                <w:szCs w:val="16"/>
              </w:rPr>
            </w:pPr>
          </w:p>
        </w:tc>
        <w:tc>
          <w:tcPr>
            <w:tcW w:w="1073" w:type="dxa"/>
            <w:tcBorders>
              <w:top w:val="single" w:sz="6" w:space="0" w:color="auto"/>
              <w:left w:val="single" w:sz="6" w:space="0" w:color="auto"/>
              <w:bottom w:val="single" w:sz="6" w:space="0" w:color="auto"/>
              <w:right w:val="single" w:sz="6" w:space="0" w:color="auto"/>
            </w:tcBorders>
            <w:shd w:val="clear" w:color="auto" w:fill="FFFFFF"/>
          </w:tcPr>
          <w:p w14:paraId="64D2E36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55,7</w:t>
            </w:r>
          </w:p>
        </w:tc>
      </w:tr>
      <w:tr w:rsidR="00643896" w:rsidRPr="00640820" w14:paraId="62D63AA0" w14:textId="77777777" w:rsidTr="000D3BCB">
        <w:trPr>
          <w:trHeight w:val="893"/>
        </w:trPr>
        <w:tc>
          <w:tcPr>
            <w:tcW w:w="1868" w:type="dxa"/>
            <w:tcBorders>
              <w:top w:val="single" w:sz="6" w:space="0" w:color="auto"/>
              <w:left w:val="single" w:sz="6" w:space="0" w:color="auto"/>
              <w:bottom w:val="single" w:sz="6" w:space="0" w:color="auto"/>
              <w:right w:val="single" w:sz="6" w:space="0" w:color="auto"/>
            </w:tcBorders>
            <w:shd w:val="clear" w:color="auto" w:fill="FFFFFF"/>
          </w:tcPr>
          <w:p w14:paraId="7ADE18E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Вес, кг: пустого</w:t>
            </w:r>
          </w:p>
          <w:p w14:paraId="356F38E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взлётный норм, взлётный макс.</w:t>
            </w:r>
          </w:p>
        </w:tc>
        <w:tc>
          <w:tcPr>
            <w:tcW w:w="1048" w:type="dxa"/>
            <w:tcBorders>
              <w:top w:val="single" w:sz="6" w:space="0" w:color="auto"/>
              <w:left w:val="single" w:sz="6" w:space="0" w:color="auto"/>
              <w:bottom w:val="single" w:sz="6" w:space="0" w:color="auto"/>
              <w:right w:val="single" w:sz="6" w:space="0" w:color="auto"/>
            </w:tcBorders>
            <w:shd w:val="clear" w:color="auto" w:fill="FFFFFF"/>
          </w:tcPr>
          <w:p w14:paraId="06E7CD9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955 1760 1875</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05C7E0F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1200 2400</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600F4BC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796 1648</w:t>
            </w:r>
          </w:p>
        </w:tc>
        <w:tc>
          <w:tcPr>
            <w:tcW w:w="1055" w:type="dxa"/>
            <w:tcBorders>
              <w:top w:val="single" w:sz="6" w:space="0" w:color="auto"/>
              <w:left w:val="single" w:sz="6" w:space="0" w:color="auto"/>
              <w:bottom w:val="single" w:sz="6" w:space="0" w:color="auto"/>
              <w:right w:val="single" w:sz="6" w:space="0" w:color="auto"/>
            </w:tcBorders>
            <w:shd w:val="clear" w:color="auto" w:fill="FFFFFF"/>
          </w:tcPr>
          <w:p w14:paraId="45DA495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860 2100</w:t>
            </w:r>
          </w:p>
        </w:tc>
        <w:tc>
          <w:tcPr>
            <w:tcW w:w="1073" w:type="dxa"/>
            <w:tcBorders>
              <w:top w:val="single" w:sz="6" w:space="0" w:color="auto"/>
              <w:left w:val="single" w:sz="6" w:space="0" w:color="auto"/>
              <w:bottom w:val="single" w:sz="6" w:space="0" w:color="auto"/>
              <w:right w:val="single" w:sz="6" w:space="0" w:color="auto"/>
            </w:tcBorders>
            <w:shd w:val="clear" w:color="auto" w:fill="FFFFFF"/>
          </w:tcPr>
          <w:p w14:paraId="623D403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2268 3175</w:t>
            </w:r>
          </w:p>
        </w:tc>
      </w:tr>
      <w:tr w:rsidR="00643896" w:rsidRPr="00640820" w14:paraId="64302E11" w14:textId="77777777" w:rsidTr="000D3BCB">
        <w:trPr>
          <w:trHeight w:val="479"/>
        </w:trPr>
        <w:tc>
          <w:tcPr>
            <w:tcW w:w="1868" w:type="dxa"/>
            <w:tcBorders>
              <w:top w:val="single" w:sz="6" w:space="0" w:color="auto"/>
              <w:left w:val="single" w:sz="6" w:space="0" w:color="auto"/>
              <w:bottom w:val="single" w:sz="6" w:space="0" w:color="auto"/>
              <w:right w:val="single" w:sz="6" w:space="0" w:color="auto"/>
            </w:tcBorders>
            <w:shd w:val="clear" w:color="auto" w:fill="FFFFFF"/>
          </w:tcPr>
          <w:p w14:paraId="4F93FD7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Нагрузка на крыло, кг/м2</w:t>
            </w:r>
          </w:p>
        </w:tc>
        <w:tc>
          <w:tcPr>
            <w:tcW w:w="1048" w:type="dxa"/>
            <w:tcBorders>
              <w:top w:val="single" w:sz="6" w:space="0" w:color="auto"/>
              <w:left w:val="single" w:sz="6" w:space="0" w:color="auto"/>
              <w:bottom w:val="single" w:sz="6" w:space="0" w:color="auto"/>
              <w:right w:val="single" w:sz="6" w:space="0" w:color="auto"/>
            </w:tcBorders>
            <w:shd w:val="clear" w:color="auto" w:fill="FFFFFF"/>
          </w:tcPr>
          <w:p w14:paraId="7B709DC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75,8</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2A62587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83,0</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19E9112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65,39</w:t>
            </w:r>
          </w:p>
        </w:tc>
        <w:tc>
          <w:tcPr>
            <w:tcW w:w="1055" w:type="dxa"/>
            <w:tcBorders>
              <w:top w:val="single" w:sz="6" w:space="0" w:color="auto"/>
              <w:left w:val="single" w:sz="6" w:space="0" w:color="auto"/>
              <w:bottom w:val="single" w:sz="6" w:space="0" w:color="auto"/>
              <w:right w:val="single" w:sz="6" w:space="0" w:color="auto"/>
            </w:tcBorders>
            <w:shd w:val="clear" w:color="auto" w:fill="FFFFFF"/>
          </w:tcPr>
          <w:p w14:paraId="1D44781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50,9</w:t>
            </w:r>
          </w:p>
        </w:tc>
        <w:tc>
          <w:tcPr>
            <w:tcW w:w="1073" w:type="dxa"/>
            <w:tcBorders>
              <w:top w:val="single" w:sz="6" w:space="0" w:color="auto"/>
              <w:left w:val="single" w:sz="6" w:space="0" w:color="auto"/>
              <w:bottom w:val="single" w:sz="6" w:space="0" w:color="auto"/>
              <w:right w:val="single" w:sz="6" w:space="0" w:color="auto"/>
            </w:tcBorders>
            <w:shd w:val="clear" w:color="auto" w:fill="FFFFFF"/>
          </w:tcPr>
          <w:p w14:paraId="66BFB92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57</w:t>
            </w:r>
          </w:p>
        </w:tc>
      </w:tr>
      <w:tr w:rsidR="00643896" w:rsidRPr="00640820" w14:paraId="385A37EB" w14:textId="77777777" w:rsidTr="000D3BCB">
        <w:trPr>
          <w:trHeight w:val="482"/>
        </w:trPr>
        <w:tc>
          <w:tcPr>
            <w:tcW w:w="1868" w:type="dxa"/>
            <w:tcBorders>
              <w:top w:val="single" w:sz="6" w:space="0" w:color="auto"/>
              <w:left w:val="single" w:sz="6" w:space="0" w:color="auto"/>
              <w:bottom w:val="single" w:sz="6" w:space="0" w:color="auto"/>
              <w:right w:val="single" w:sz="6" w:space="0" w:color="auto"/>
            </w:tcBorders>
            <w:shd w:val="clear" w:color="auto" w:fill="FFFFFF"/>
          </w:tcPr>
          <w:p w14:paraId="276434E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Вместимость, чел. (экипаж + десантники)</w:t>
            </w:r>
          </w:p>
        </w:tc>
        <w:tc>
          <w:tcPr>
            <w:tcW w:w="1048" w:type="dxa"/>
            <w:tcBorders>
              <w:top w:val="single" w:sz="6" w:space="0" w:color="auto"/>
              <w:left w:val="single" w:sz="6" w:space="0" w:color="auto"/>
              <w:bottom w:val="single" w:sz="6" w:space="0" w:color="auto"/>
              <w:right w:val="single" w:sz="6" w:space="0" w:color="auto"/>
            </w:tcBorders>
            <w:shd w:val="clear" w:color="auto" w:fill="FFFFFF"/>
          </w:tcPr>
          <w:p w14:paraId="4A4DEC3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2A6AD3B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+ 10</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5F48EAF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w:t>
            </w:r>
          </w:p>
        </w:tc>
        <w:tc>
          <w:tcPr>
            <w:tcW w:w="1055" w:type="dxa"/>
            <w:tcBorders>
              <w:top w:val="single" w:sz="6" w:space="0" w:color="auto"/>
              <w:left w:val="single" w:sz="6" w:space="0" w:color="auto"/>
              <w:bottom w:val="single" w:sz="6" w:space="0" w:color="auto"/>
              <w:right w:val="single" w:sz="6" w:space="0" w:color="auto"/>
            </w:tcBorders>
            <w:shd w:val="clear" w:color="auto" w:fill="FFFFFF"/>
          </w:tcPr>
          <w:p w14:paraId="0B6C187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w:t>
            </w:r>
          </w:p>
        </w:tc>
        <w:tc>
          <w:tcPr>
            <w:tcW w:w="1073" w:type="dxa"/>
            <w:tcBorders>
              <w:top w:val="single" w:sz="6" w:space="0" w:color="auto"/>
              <w:left w:val="single" w:sz="6" w:space="0" w:color="auto"/>
              <w:bottom w:val="single" w:sz="6" w:space="0" w:color="auto"/>
              <w:right w:val="single" w:sz="6" w:space="0" w:color="auto"/>
            </w:tcBorders>
            <w:shd w:val="clear" w:color="auto" w:fill="FFFFFF"/>
          </w:tcPr>
          <w:p w14:paraId="4CF399A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w:t>
            </w:r>
          </w:p>
        </w:tc>
      </w:tr>
      <w:tr w:rsidR="00643896" w:rsidRPr="00640820" w14:paraId="63630D38" w14:textId="77777777" w:rsidTr="000D3BCB">
        <w:trPr>
          <w:trHeight w:val="1109"/>
        </w:trPr>
        <w:tc>
          <w:tcPr>
            <w:tcW w:w="1868" w:type="dxa"/>
            <w:tcBorders>
              <w:top w:val="single" w:sz="6" w:space="0" w:color="auto"/>
              <w:left w:val="single" w:sz="6" w:space="0" w:color="auto"/>
              <w:bottom w:val="single" w:sz="6" w:space="0" w:color="auto"/>
              <w:right w:val="single" w:sz="6" w:space="0" w:color="auto"/>
            </w:tcBorders>
            <w:shd w:val="clear" w:color="auto" w:fill="FFFFFF"/>
          </w:tcPr>
          <w:p w14:paraId="781FF83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Скорость, км/ч: макс.</w:t>
            </w:r>
          </w:p>
          <w:p w14:paraId="7D81C7D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буксировки</w:t>
            </w:r>
          </w:p>
          <w:p w14:paraId="76DB908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взлётная</w:t>
            </w:r>
          </w:p>
          <w:p w14:paraId="6044E27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посадочная</w:t>
            </w:r>
          </w:p>
        </w:tc>
        <w:tc>
          <w:tcPr>
            <w:tcW w:w="1048" w:type="dxa"/>
            <w:tcBorders>
              <w:top w:val="single" w:sz="6" w:space="0" w:color="auto"/>
              <w:left w:val="single" w:sz="6" w:space="0" w:color="auto"/>
              <w:bottom w:val="single" w:sz="6" w:space="0" w:color="auto"/>
              <w:right w:val="single" w:sz="6" w:space="0" w:color="auto"/>
            </w:tcBorders>
            <w:shd w:val="clear" w:color="auto" w:fill="FFFFFF"/>
          </w:tcPr>
          <w:p w14:paraId="4DB0AB1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400 300 105 80</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0DA0BCF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280</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6A7D41B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240 209</w:t>
            </w:r>
          </w:p>
          <w:p w14:paraId="624FE7D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90</w:t>
            </w:r>
          </w:p>
        </w:tc>
        <w:tc>
          <w:tcPr>
            <w:tcW w:w="1055" w:type="dxa"/>
            <w:tcBorders>
              <w:top w:val="single" w:sz="6" w:space="0" w:color="auto"/>
              <w:left w:val="single" w:sz="6" w:space="0" w:color="auto"/>
              <w:bottom w:val="single" w:sz="6" w:space="0" w:color="auto"/>
              <w:right w:val="single" w:sz="6" w:space="0" w:color="auto"/>
            </w:tcBorders>
            <w:shd w:val="clear" w:color="auto" w:fill="FFFFFF"/>
          </w:tcPr>
          <w:p w14:paraId="2E7E30C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209</w:t>
            </w:r>
          </w:p>
        </w:tc>
        <w:tc>
          <w:tcPr>
            <w:tcW w:w="1073" w:type="dxa"/>
            <w:tcBorders>
              <w:top w:val="single" w:sz="6" w:space="0" w:color="auto"/>
              <w:left w:val="single" w:sz="6" w:space="0" w:color="auto"/>
              <w:bottom w:val="single" w:sz="6" w:space="0" w:color="auto"/>
              <w:right w:val="single" w:sz="6" w:space="0" w:color="auto"/>
            </w:tcBorders>
            <w:shd w:val="clear" w:color="auto" w:fill="FFFFFF"/>
          </w:tcPr>
          <w:p w14:paraId="3A22C81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w:t>
            </w:r>
          </w:p>
        </w:tc>
      </w:tr>
    </w:tbl>
    <w:p w14:paraId="69FF08A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(12266).</w:t>
      </w:r>
    </w:p>
    <w:p w14:paraId="77FB599C"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00A9B44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ноября 1941 в Шумерле здесь собрали первый серийный десантный планер. До конца года завод №471 изготовил 10 серийных аппаратов.</w:t>
      </w:r>
    </w:p>
    <w:p w14:paraId="0976C6E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Г-11 нарастало вплоть до июня 1942 г., когда выяснилось, что военным попросту не нужно такое большое количество десантных плане</w:t>
      </w:r>
      <w:r w:rsidRPr="00640820">
        <w:rPr>
          <w:rFonts w:ascii="Times New Roman" w:hAnsi="Times New Roman"/>
          <w:color w:val="000000" w:themeColor="text1"/>
          <w:sz w:val="16"/>
          <w:szCs w:val="16"/>
        </w:rPr>
        <w:softHyphen/>
        <w:t>ров. Война протекала не так, как это виделось больше</w:t>
      </w:r>
      <w:r w:rsidRPr="00640820">
        <w:rPr>
          <w:rFonts w:ascii="Times New Roman" w:hAnsi="Times New Roman"/>
          <w:color w:val="000000" w:themeColor="text1"/>
          <w:sz w:val="16"/>
          <w:szCs w:val="16"/>
        </w:rPr>
        <w:softHyphen/>
        <w:t>вистским стратегам в предвоенные годы, — Красная Армия терпела поражения на всех фронтах. В общем, было не до планерных десантных операций. А отме</w:t>
      </w:r>
      <w:r w:rsidRPr="00640820">
        <w:rPr>
          <w:rFonts w:ascii="Times New Roman" w:hAnsi="Times New Roman"/>
          <w:color w:val="000000" w:themeColor="text1"/>
          <w:sz w:val="16"/>
          <w:szCs w:val="16"/>
        </w:rPr>
        <w:softHyphen/>
        <w:t>нить ранее принятое решение забыли. В результате деревянные планеры, рассчитанные, по сути, на один боевой вылет, часто зимовали под открытым небом, что приводило их в негод</w:t>
      </w:r>
      <w:r w:rsidRPr="00640820">
        <w:rPr>
          <w:rFonts w:ascii="Times New Roman" w:hAnsi="Times New Roman"/>
          <w:color w:val="000000" w:themeColor="text1"/>
          <w:sz w:val="16"/>
          <w:szCs w:val="16"/>
        </w:rPr>
        <w:softHyphen/>
        <w:t>ность. Не хватало также само</w:t>
      </w:r>
      <w:r w:rsidRPr="00640820">
        <w:rPr>
          <w:rFonts w:ascii="Times New Roman" w:hAnsi="Times New Roman"/>
          <w:color w:val="000000" w:themeColor="text1"/>
          <w:sz w:val="16"/>
          <w:szCs w:val="16"/>
        </w:rPr>
        <w:softHyphen/>
        <w:t>летов-буксировщиков и пилотов-планеристов (12300).</w:t>
      </w:r>
    </w:p>
    <w:p w14:paraId="2CB9C9CA"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6E7F13FF"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ноября 1941 в Шумерле собрали первый головной десантный планер. До конца года завод №471 изготовил 10 серийных аппаратов, которые по количеству перевозимых десантников получили обозначение Г-11.</w:t>
      </w:r>
    </w:p>
    <w:p w14:paraId="1C2F1C61"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Десантный планер Г-11 (использовались также обозначения Гр-11 и Гр-29) представлял собой свободнонесущий высокоплан деревянной конструкции с объемным коробчатым фюзеляжем. Металл использовался в малых количествах только в наиболее нагруженных местах.</w:t>
      </w:r>
    </w:p>
    <w:p w14:paraId="56608556"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Планер имел неубираемое шасси с колесами размером 600×250 мм для взлета и посадочную лыжу для посадки. В случае посадки на лыжу колесное шасси, оборудованное «ломающимся подкосом», сдвигалось назад-вверх.</w:t>
      </w:r>
    </w:p>
    <w:p w14:paraId="4FE814C0"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Носовая часть фюзеляжа представляла собой одноместную кабину летчика с органами управления, минимальным комплектом приборов и сбрасываемым фонарем. За ней располагался десантно-грузовой отсек длиной 3,24 м и шириной 1,36-1,25 м. Десантники сидели на дощатых скамейках, расположенных вдоль бортов фюзеляжа лицом друг к другу.</w:t>
      </w:r>
    </w:p>
    <w:p w14:paraId="1570E1CB"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погрузки планера и его покидания в бортах фюзеляжа имелись сбрасываемые дверцы размером 1,2×0,7м, а в потолке и в полу - также сбрасываемые люки размером 0,51×0,46 м. Кроме того, в каждом борту было по два застекленных прямоугольных окна-иллюминатора, которые могли открываться для ведения стрельбы из личного оружия.</w:t>
      </w:r>
    </w:p>
    <w:p w14:paraId="2692ECA2"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Г-11 нарастало вплоть до июня 1942 г., когда выяснилось, что военные попросту не готовы к приему большого числа десантных планеров. Не хватало самолетов-буксировщиков и пилотов-планеристов. Так как хранение планеров в течение длительного времени не предусматривалось, их нахождение под открытым небом могло привести к снижению прочности и надежности.</w:t>
      </w:r>
    </w:p>
    <w:p w14:paraId="6D8CCC0E"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результате производство Г-11 в 1942 г. прекратили, личный состав ОКБ-28 присоединили к техперсоналу завода №471, переориентированного на производство самолетов Як-6, а Грибовский убыл в распоряжение Наркомага авиапромышленности.</w:t>
      </w:r>
    </w:p>
    <w:p w14:paraId="4D7D20AF"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 до прекращения выпуска в 1942 г. завод №471 выпустил 127 Г-11 (плюс 11 в 1941 г.), а завод №494 -170 планеров. Таким образом, суммарный выпуск к осени 1942 г. составил 308 экземпляров Г-11.</w:t>
      </w:r>
    </w:p>
    <w:p w14:paraId="545BAD1E"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1943 г. производство планеров восстановили на заводе в Рязани, где Грибовского назначили Главным конструктором. Первый «рязанский» Г-11 испытали в марте 1944 г. Планерист-испытатель старший лейтенант Чубуков написал в своем отзыве:</w:t>
      </w:r>
    </w:p>
    <w:p w14:paraId="5C0D460B" w14:textId="77777777" w:rsidR="00165A9C" w:rsidRPr="00640820" w:rsidRDefault="00165A9C" w:rsidP="00640820">
      <w:pPr>
        <w:shd w:val="clear" w:color="auto" w:fill="FFFFFF"/>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«Управляемость планера достаточная. Запас рулей вполне обеспечивает вывод планера из самого тяжелого положения. Управление Г-11 подобрано чрезвычайно удачно, будучи не таким строгим, как у планера А-7, вместе с тем обеспечивает полную управляемость в трудных условиях при любых вариантах загрузки. При выполнении фигур пилотажа - штопора, переворота и бочки планер быстро выходит без запаздывания в нормальное положение. Посадка во всех вариантах загрузки проста и выполняется на малых скоростях».</w:t>
      </w:r>
    </w:p>
    <w:p w14:paraId="0444EE4A"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ходе серийного производства в конструкцию Г-11 вносились изменения. Начиная с экземпляра №21 на левом борту фюзеляжа оборудовали увеличенный грузовой люк шириной 1400 мм, а дверь на правом борту упразднили. С октября 1944 г. выпускались планеры с двойным управлением, амортизацией посадочной лыжи и дополнительными усилениями конструкции. В серии эти аппараты, дополнительным внешним отличием которых стал небольшой форкиль, получили обозначение Г-11У.</w:t>
      </w:r>
    </w:p>
    <w:p w14:paraId="63763BA3"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Г-11У прекратилось в середине 1945 г., однако, спустя год возобновилось и продолжалось вплоть до 1948 г. (точных данных о количестве Г-11, произведенных в этот период, не обнаружено).</w:t>
      </w:r>
    </w:p>
    <w:p w14:paraId="49DAC33E"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Использование Г-11 в период Великой Отечественной войны показало их высокую надежность и достаточную эффективность. Особенно активно планеры использовались для снабжения партизан в 1943-44 гг. В августе 1944-го конструктор Грибовский за доставку грузов планерами Г-11 партизанам Белоруссии был награжден медалью «Партизан Отечественной войны».</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677"/>
        <w:gridCol w:w="6645"/>
      </w:tblGrid>
      <w:tr w:rsidR="00643896" w:rsidRPr="00640820" w14:paraId="1FAEDD90" w14:textId="77777777" w:rsidTr="000D3BCB">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880F1F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Модификация</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5D0A0A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Г-11</w:t>
            </w:r>
          </w:p>
        </w:tc>
      </w:tr>
      <w:tr w:rsidR="00643896" w:rsidRPr="00640820" w14:paraId="71A44ACB" w14:textId="77777777" w:rsidTr="000D3BCB">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276A31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Размах крыла, м</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C5AC77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18.00</w:t>
            </w:r>
          </w:p>
        </w:tc>
      </w:tr>
      <w:tr w:rsidR="00643896" w:rsidRPr="00640820" w14:paraId="2A8166F2" w14:textId="77777777" w:rsidTr="000D3BCB">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6D6511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Длина, м</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6F1EF9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10.84</w:t>
            </w:r>
          </w:p>
        </w:tc>
      </w:tr>
      <w:tr w:rsidR="00643896" w:rsidRPr="00640820" w14:paraId="68926468" w14:textId="77777777" w:rsidTr="000D3BCB">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1572BC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Высота, м</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8365CC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r>
      <w:tr w:rsidR="00643896" w:rsidRPr="00640820" w14:paraId="1D5F32AF" w14:textId="77777777" w:rsidTr="000D3BCB">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322DE5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крыла, м²</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BB9AE4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30.00</w:t>
            </w:r>
          </w:p>
        </w:tc>
      </w:tr>
      <w:tr w:rsidR="00643896" w:rsidRPr="00640820" w14:paraId="046DF497" w14:textId="77777777" w:rsidTr="000D3BCB">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8281E3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Масса, кг</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61D12F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r>
      <w:tr w:rsidR="00643896" w:rsidRPr="00640820" w14:paraId="5995EF0F" w14:textId="77777777" w:rsidTr="000D3BCB">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94CEA5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пустого снаряженного</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6C61EB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960</w:t>
            </w:r>
          </w:p>
        </w:tc>
      </w:tr>
      <w:tr w:rsidR="00643896" w:rsidRPr="00640820" w14:paraId="7C0F6830" w14:textId="77777777" w:rsidTr="000D3BCB">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800E75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максимальная взлетная</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5B7ED1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1660</w:t>
            </w:r>
          </w:p>
        </w:tc>
      </w:tr>
      <w:tr w:rsidR="00643896" w:rsidRPr="00640820" w14:paraId="0DB18D82" w14:textId="77777777" w:rsidTr="000D3BCB">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61CFBA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Максимальная скорость, км/ч</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0EF76E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220</w:t>
            </w:r>
          </w:p>
        </w:tc>
      </w:tr>
      <w:tr w:rsidR="00643896" w:rsidRPr="00640820" w14:paraId="02528F54" w14:textId="77777777" w:rsidTr="000D3BCB">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F8E64E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Полезная нагрузка:</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4C2DAD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11 десантников</w:t>
            </w:r>
          </w:p>
        </w:tc>
      </w:tr>
    </w:tbl>
    <w:p w14:paraId="34512A7C" w14:textId="77777777" w:rsidR="00165A9C" w:rsidRPr="00640820" w:rsidRDefault="00165A9C" w:rsidP="00640820">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(12682).</w:t>
      </w:r>
    </w:p>
    <w:p w14:paraId="28D7ADE5" w14:textId="77777777" w:rsidR="00165A9C" w:rsidRPr="00640820" w:rsidRDefault="00165A9C" w:rsidP="00640820">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p>
    <w:p w14:paraId="23DD8BE5" w14:textId="77777777" w:rsidR="008F7702" w:rsidRPr="00640820" w:rsidRDefault="008F7702"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7 ноября 1941 – протокол Политбюро</w:t>
      </w:r>
    </w:p>
    <w:p w14:paraId="054C8E16" w14:textId="77777777" w:rsidR="008F7702" w:rsidRPr="00640820" w:rsidRDefault="008F7702"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От 07.11.41 г.</w:t>
      </w:r>
    </w:p>
    <w:p w14:paraId="64F396D1" w14:textId="77777777" w:rsidR="008F7702" w:rsidRPr="00640820" w:rsidRDefault="008F7702"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30. О прекращении выпуска моторов 105 с редукцией 0,66 и о выпуске моторов 105 Р с редукцией 0,59 на заводах № 16, 26, 27, 384 НКАП. — ОП</w:t>
      </w:r>
    </w:p>
    <w:p w14:paraId="6FEDABEF" w14:textId="77777777" w:rsidR="008F7702" w:rsidRPr="00640820" w:rsidRDefault="008F7702"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35. Об увеличении выпуска 20 мм снарядов в 1941 г. (постановление СНК СССР и ЦК ВКП(б)). — О Я (20431).</w:t>
      </w:r>
    </w:p>
    <w:p w14:paraId="0BE9F221" w14:textId="77777777" w:rsidR="008F7702" w:rsidRPr="00640820" w:rsidRDefault="008F7702" w:rsidP="00640820">
      <w:pPr>
        <w:spacing w:after="0" w:line="240" w:lineRule="auto"/>
        <w:jc w:val="both"/>
        <w:rPr>
          <w:rFonts w:ascii="Times New Roman" w:hAnsi="Times New Roman"/>
          <w:color w:val="0070C0"/>
          <w:sz w:val="16"/>
          <w:szCs w:val="16"/>
        </w:rPr>
      </w:pPr>
    </w:p>
    <w:p w14:paraId="7536E24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ноября 1941 г. в Омске собрали первый М-88Б, изготовленный из деталей, вывезенных из Запо</w:t>
      </w:r>
      <w:r w:rsidRPr="00640820">
        <w:rPr>
          <w:rFonts w:ascii="Times New Roman" w:hAnsi="Times New Roman"/>
          <w:color w:val="000000" w:themeColor="text1"/>
          <w:sz w:val="16"/>
          <w:szCs w:val="16"/>
        </w:rPr>
        <w:softHyphen/>
        <w:t>рожья. В августе 1941 г. завод № 29 эвакуировали в Омск. Там он продолжил производство двигателей. Этот мотор в больших количествах выпускался до конца Великой Отечественной войны для бомбардировщиков Ил-4 (ДБ-ЗФ). С 1943 г. параллельно с М-88Б на заводе № 29 стали делать М-82 (АШ-82) конструкции А.Д. Швецова. Примерно через год их уже соби</w:t>
      </w:r>
      <w:r w:rsidRPr="00640820">
        <w:rPr>
          <w:rFonts w:ascii="Times New Roman" w:hAnsi="Times New Roman"/>
          <w:color w:val="000000" w:themeColor="text1"/>
          <w:sz w:val="16"/>
          <w:szCs w:val="16"/>
        </w:rPr>
        <w:softHyphen/>
        <w:t>рали больше, чем М-88. Последнему уделялось все меньше внимания. В сущности, до конца войны в двигатель не внесли никаких существен</w:t>
      </w:r>
      <w:r w:rsidRPr="00640820">
        <w:rPr>
          <w:rFonts w:ascii="Times New Roman" w:hAnsi="Times New Roman"/>
          <w:color w:val="000000" w:themeColor="text1"/>
          <w:sz w:val="16"/>
          <w:szCs w:val="16"/>
        </w:rPr>
        <w:softHyphen/>
        <w:t>ных усовершенствований. В мае 1944 г. Урмина перевели в Москву в ОКБ-41, занимавшееся моторами малой мощности. Он занял там должность главного конструктора. В Омске его сменил В.С. Нитченко. который занимался только АШ-82 и моторами на его базе. Обратно в Запорожье предприятие не возвращали, оно так и осталось в Омске вместе с конструкторским бюро. На старой площадке в период немецкой оккупации располагались авиаремонтные мастерские. При от</w:t>
      </w:r>
      <w:r w:rsidRPr="00640820">
        <w:rPr>
          <w:rFonts w:ascii="Times New Roman" w:hAnsi="Times New Roman"/>
          <w:color w:val="000000" w:themeColor="text1"/>
          <w:sz w:val="16"/>
          <w:szCs w:val="16"/>
        </w:rPr>
        <w:softHyphen/>
        <w:t>ступлении немцы вывезли оборудование и взорвали часть зданий. После освобождения Украины в Запорожье организовали новый завод № 478. Там решили восстановить производство М-88Б в дополнение к рабо</w:t>
      </w:r>
      <w:r w:rsidRPr="00640820">
        <w:rPr>
          <w:rFonts w:ascii="Times New Roman" w:hAnsi="Times New Roman"/>
          <w:color w:val="000000" w:themeColor="text1"/>
          <w:sz w:val="16"/>
          <w:szCs w:val="16"/>
        </w:rPr>
        <w:softHyphen/>
        <w:t>тающему в Омске. За первое полугодие 1945 г. там собрали 73 мотора из привозных деталей. После окончания войны с Германией завод загрузили выпуском моторов для мотоциклов, а с 1946 г. там начали осваивать про</w:t>
      </w:r>
      <w:r w:rsidRPr="00640820">
        <w:rPr>
          <w:rFonts w:ascii="Times New Roman" w:hAnsi="Times New Roman"/>
          <w:color w:val="000000" w:themeColor="text1"/>
          <w:sz w:val="16"/>
          <w:szCs w:val="16"/>
        </w:rPr>
        <w:softHyphen/>
        <w:t>изводство двигателей для вертолетов. Производство М-88Б на заводе №29 остановили в 1946 г. Всего было изготовлено 16 087 экз. (11852).</w:t>
      </w:r>
    </w:p>
    <w:p w14:paraId="5594F2C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327C5B"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01D99484"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93DC75F" w14:textId="77777777" w:rsidR="008F7702" w:rsidRPr="00640820" w:rsidRDefault="008F7702" w:rsidP="00640820">
      <w:pPr>
        <w:pStyle w:val="article-renderblock"/>
        <w:shd w:val="clear" w:color="auto" w:fill="FFFFFF"/>
        <w:spacing w:before="0" w:beforeAutospacing="0" w:after="0" w:afterAutospacing="0"/>
        <w:jc w:val="both"/>
        <w:rPr>
          <w:color w:val="0070C0"/>
          <w:sz w:val="16"/>
          <w:szCs w:val="16"/>
        </w:rPr>
      </w:pPr>
      <w:r w:rsidRPr="00640820">
        <w:rPr>
          <w:color w:val="0070C0"/>
          <w:sz w:val="16"/>
          <w:szCs w:val="16"/>
        </w:rPr>
        <w:t>7-8 ноября 1941 года были утверждены тактико-технические требования на разработку опытного образца "самоходного орудия ПТО". По хорошему счету, требования во многом копировали то, о чем речь шла еще летом 1940 года. Но при этом ГАУ КА с самого начала очень сильно вписала в жесткие рамки исполнителя заказа, коим теперь был УЗТМ (в октябре 1941 года завод переименовали в Ижорский Завод). В требованиях четко было указано вооружение - 85-мм зенитное орудие 52-К, которое ставилось без изменения. Такое впечатление, что составители ТТТ плохо представляли, чего получится, если совместить одно с другим. Иногда задается вопрос, были ли в Красной Армии "ПТ-САУ". Так вот, данное задание, которое свалилось на УЗТМ в ноябре 1941 года, являлось именно этим. Правда, при этом стоит упомянуть тот факт, что упомянутые выше А-46 и иже с ними в переписке проходили и как штурмовые самоходные артиллерийские установки. То есть "всё сложно". Не менее сложной была и ситуация вокруг задания на новый истребитель танков. Дело в том, что 27 декабря 1941 года было подписано постановление ГКО №1070сс "О строительстве завода № 8 Наркомата вооружения", в итоге к моменту, когда работы по истребителю танков подошли к финалу, он был уже не УЗТМ-овский. Это во отчасти объясняет, почему проект не попал в исторический формуляр УЗТМ (20877).</w:t>
      </w:r>
    </w:p>
    <w:p w14:paraId="02168997" w14:textId="77777777" w:rsidR="008F7702" w:rsidRPr="00640820" w:rsidRDefault="008F7702" w:rsidP="00640820">
      <w:pPr>
        <w:pStyle w:val="article-renderblock"/>
        <w:shd w:val="clear" w:color="auto" w:fill="FFFFFF"/>
        <w:spacing w:before="0" w:beforeAutospacing="0" w:after="0" w:afterAutospacing="0"/>
        <w:jc w:val="both"/>
        <w:rPr>
          <w:color w:val="0070C0"/>
          <w:sz w:val="16"/>
          <w:szCs w:val="16"/>
        </w:rPr>
      </w:pPr>
    </w:p>
    <w:p w14:paraId="13233D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ноября 1941 года в параде на Красной площади участвовало 48 Т-60, взятых из резерва. После парада все они ушли на фронт. Это были танки московского производства (3862).</w:t>
      </w:r>
    </w:p>
    <w:p w14:paraId="49EEF4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F273E86" w14:textId="77777777" w:rsidR="009A0766" w:rsidRPr="00640820" w:rsidRDefault="009A0766" w:rsidP="00640820">
      <w:pPr>
        <w:widowControl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ночь на 7 ноября </w:t>
      </w:r>
      <w:smartTag w:uri="urn:schemas-microsoft-com:office:smarttags" w:element="metricconverter">
        <w:smartTagPr>
          <w:attr w:name="ProductID" w:val="1945 г"/>
        </w:smartTagPr>
        <w:r w:rsidRPr="00640820">
          <w:rPr>
            <w:rFonts w:ascii="Times New Roman" w:hAnsi="Times New Roman"/>
            <w:color w:val="000000" w:themeColor="text1"/>
            <w:sz w:val="16"/>
            <w:szCs w:val="16"/>
          </w:rPr>
          <w:t>1941 г</w:t>
        </w:r>
      </w:smartTag>
      <w:r w:rsidRPr="00640820">
        <w:rPr>
          <w:rFonts w:ascii="Times New Roman" w:hAnsi="Times New Roman"/>
          <w:color w:val="000000" w:themeColor="text1"/>
          <w:sz w:val="16"/>
          <w:szCs w:val="16"/>
        </w:rPr>
        <w:t xml:space="preserve">. состоялся очередной налет германской авиации на город и автозавод, по которому наносился основной удар. Первые бомбы разорвались в 01.47 в поселке Адмцентр. Через три минуты тяжелая фугасная бомба попала в заготовительный участок прессового цеха, проломила крышу на площади 100 кв.м., ударилась в балку и взорвалась под потолком. Следом две бомбы упали на главный сборочный конвейер, разрушив отделения разделки под дерево и пошивки. При этом рухнула часть капитальной стены, отделяющей прессовый цех. Еще одна тяжелая фугасная бомба взорвалась рядом с главной конторой ГАЗа. Взрывной волной вышибло стекла в здании, а также в завкоме РАП, комитете ВЛКСМ и яслях. В 02.07 бомба </w:t>
      </w:r>
      <w:r w:rsidRPr="00640820">
        <w:rPr>
          <w:rFonts w:ascii="Times New Roman" w:hAnsi="Times New Roman"/>
          <w:color w:val="000000" w:themeColor="text1"/>
          <w:sz w:val="16"/>
          <w:szCs w:val="16"/>
          <w:lang w:val="en-US"/>
        </w:rPr>
        <w:t>SC</w:t>
      </w:r>
      <w:r w:rsidRPr="00640820">
        <w:rPr>
          <w:rFonts w:ascii="Times New Roman" w:hAnsi="Times New Roman"/>
          <w:color w:val="000000" w:themeColor="text1"/>
          <w:sz w:val="16"/>
          <w:szCs w:val="16"/>
        </w:rPr>
        <w:t xml:space="preserve">500 попала в механический цех №2, разрушив северо-западный угол здания. При этом погибли четыре человека. Вторая фугасная бомба взорвалась в каркасном цехе, разрушив прессовый участок, столярную и малярную мастерские. Еще один мощный взрыв прогремел в здании электроподстанции ремонтно-механического цеха. В нем обрушились перекрытия на площади </w:t>
      </w:r>
      <w:smartTag w:uri="urn:schemas-microsoft-com:office:smarttags" w:element="metricconverter">
        <w:smartTagPr>
          <w:attr w:name="ProductID" w:val="1945 г"/>
        </w:smartTagPr>
        <w:r w:rsidRPr="00640820">
          <w:rPr>
            <w:rFonts w:ascii="Times New Roman" w:hAnsi="Times New Roman"/>
            <w:color w:val="000000" w:themeColor="text1"/>
            <w:sz w:val="16"/>
            <w:szCs w:val="16"/>
          </w:rPr>
          <w:t>80 кв. м</w:t>
        </w:r>
      </w:smartTag>
      <w:r w:rsidRPr="00640820">
        <w:rPr>
          <w:rFonts w:ascii="Times New Roman" w:hAnsi="Times New Roman"/>
          <w:color w:val="000000" w:themeColor="text1"/>
          <w:sz w:val="16"/>
          <w:szCs w:val="16"/>
        </w:rPr>
        <w:t xml:space="preserve">., ударной волной были снесены здания конторы отделов архитектора и техники безопасности. Одновременно с этим на юго-западную часть завода посыпались зажигательные бомбы, сразу вызвавшие большое количество пожаров. Несколько десятков зажигалок упало на бытовые помещения РМЦ, здание кузницы №2, модельный цех, компрессорную станцию и прилегающую территорию. Крыша моторного цеха №3 была сделана из дерева и утеплена различными горючими материалами. Часть термитных бомб пробили ее и упали на пол цеха, где их быстро потушили бойцы унитарных команд. Однако большинство зажигалок застряли в утеплителе, и крыша быстро загорелась. Через несколько минут вся кровля уже пылала огромным факелом, тушить который не представлялось никакой возможности. Затем пламя перекинулось во внутренние помещения, и весь цех охватил пожар. Сгорели все бытовые помещения, оконные переплеты, столовая и душевые, а также склад готовых моторов, склад деталей и смежных производств, инструментальные кладовые. Сильно обгорело и оборудование цеха. Кузница №2 и компрессорная станция сгорели полностью, бытовые помещения ремонтно-механического цеха обгорели наполовину. В корпусе кузницы огонь уничтожил 18 молотов, а также всю систему отопления и освещения. Крыша главной конторы тоже была буквально засыпана зажигательными бомбами. Команды МПВО немедленно приступили к тушению, однако удалось обнаружить не все очаги пожаров. Одна бомба удивительным образом попала в вентиляционную шахту и застряла там. Поскольку четырехэтажное здание имело пустотные перекрытия, возникшее в вентиляции пламя постепенно распространилось по верхним этажам, и пожар принял опасные размеры. Тем не менее усилиями подоспевших бойцов ВПЧ №20 огонь удалось остановить между вторым и третьим этажами. Выгорела лишь верхняя часть здания и крыша. После попадания большого числа зажигательных бомб сильный пожар охватил гараж завода, тушение которого из-за нехватки воды оказалось невозможным. В итоге сгорели размещавшиеся там ремонтная база, материальный склад и весь заводской автопарк, состоявший из 80 различных автомобилей. От близкого разрыва фугасных бомб у главной конторы и хозутильцеха стены дали трещину и покосились. Много зажигалок попало в бараки, расположенные у западного угла автозавода в районе профтехкомбината. В них проживали эвакуированные из Москвы граждане. Опасаясь за свое имущество, во время налета они отказывались идти в укрытия. В ходе возникшего сильнейшего пожара многие из москвичей оказались отрезанными от выходов, прыгали из окон, но многие все же сгорели заживо вместе со своим скарбом. Всего здесь полностью выгорели восемь бараков, а также расположенное неподалеку овощехранилище. Сильно пострадал и цех серого чугуна. В результате попаданий тяжелых фугасных бомб в железобетонных перекрытиях образовались пробоины диаметром </w:t>
      </w:r>
      <w:smartTag w:uri="urn:schemas-microsoft-com:office:smarttags" w:element="metricconverter">
        <w:smartTagPr>
          <w:attr w:name="ProductID" w:val="1945 г"/>
        </w:smartTagPr>
        <w:r w:rsidRPr="00640820">
          <w:rPr>
            <w:rFonts w:ascii="Times New Roman" w:hAnsi="Times New Roman"/>
            <w:color w:val="000000" w:themeColor="text1"/>
            <w:sz w:val="16"/>
            <w:szCs w:val="16"/>
          </w:rPr>
          <w:t>10 м</w:t>
        </w:r>
      </w:smartTag>
      <w:r w:rsidRPr="00640820">
        <w:rPr>
          <w:rFonts w:ascii="Times New Roman" w:hAnsi="Times New Roman"/>
          <w:color w:val="000000" w:themeColor="text1"/>
          <w:sz w:val="16"/>
          <w:szCs w:val="16"/>
        </w:rPr>
        <w:t>, были проломлены горизонтальные балки, пол, выбиты ворота, выведена из строя система водоснабжения и отопления, разрушен склад готовой продукции. От взрывной волны пострадал и соседний цех №8 (15218).</w:t>
      </w:r>
    </w:p>
    <w:p w14:paraId="4F967AF6" w14:textId="77777777" w:rsidR="009A0766" w:rsidRPr="00640820" w:rsidRDefault="009A0766" w:rsidP="00640820">
      <w:pPr>
        <w:widowControl w:val="0"/>
        <w:spacing w:after="0" w:line="240" w:lineRule="auto"/>
        <w:jc w:val="both"/>
        <w:rPr>
          <w:rFonts w:ascii="Times New Roman" w:hAnsi="Times New Roman"/>
          <w:color w:val="000000" w:themeColor="text1"/>
          <w:sz w:val="16"/>
          <w:szCs w:val="16"/>
        </w:rPr>
      </w:pPr>
    </w:p>
    <w:p w14:paraId="5AF818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7 ноября 1941 г. часть оборудования и кадров Московского электролампового завода (229 чел.), эвакуированых в Томск и разместившизся в корпусах Томского мединститута и университета, которая в 09.1941 г. стала Томским электроламповым заводом в ведении НКЭП, выдала первую продукцию, а 15.12.1941 г. изготовлена первая 1000 авиационных ламп (этот день стал днем рождения завода). В конце декабря 1941 г. сюда эвакуирован также Запрудненский стекольный завод, в 01.1942 г. электроламповое и стекольное производства объединены. 11.11.1942 г. Томский электроламповый переименован в ГС завод № 660 (Завод № 660 НКЭП, МПСС, </w:t>
      </w:r>
      <w:r w:rsidRPr="00640820">
        <w:rPr>
          <w:rFonts w:ascii="Times New Roman" w:hAnsi="Times New Roman"/>
          <w:color w:val="000000" w:themeColor="text1"/>
          <w:sz w:val="16"/>
          <w:szCs w:val="16"/>
          <w:lang w:val="en-US"/>
        </w:rPr>
        <w:t>MPTTI</w:t>
      </w:r>
      <w:r w:rsidRPr="00640820">
        <w:rPr>
          <w:rFonts w:ascii="Times New Roman" w:hAnsi="Times New Roman"/>
          <w:color w:val="000000" w:themeColor="text1"/>
          <w:sz w:val="16"/>
          <w:szCs w:val="16"/>
        </w:rPr>
        <w:t>, СНХ, п/я 134, Томский электроламповый завод (ТЭЛЗ) МЭТП РСФСР, АОЗТ, ЗАО «ТЭЛЗ» /634034  г. Томск пр. Кирова, 5/). Позднее получил наименование «п/я 134». С 28.06.1946 г. передан в ведете 5ГУ МПСС, с 1.01.1953 г.- 12ГУ МПСС, а с 1954 г.- в ведении МРТП.</w:t>
      </w:r>
    </w:p>
    <w:p w14:paraId="7AE1AC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1945 г. на заводе действовало 8 сборочных линий, а к 1958 г.- 14. В 1964-66 г. построен новый производственный корпус № 2, в котором размещены сборочный и заготовителный цехи.</w:t>
      </w:r>
    </w:p>
    <w:p w14:paraId="3EADC5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1957 г. завод - в ведении Томского СНХ, с 1963 г. - Управления радиотехнической и электронной промышленности Западно-Сибирского СНХ,</w:t>
      </w:r>
      <w:r w:rsidRPr="00640820">
        <w:rPr>
          <w:rFonts w:ascii="Times New Roman" w:hAnsi="Times New Roman"/>
          <w:color w:val="000000" w:themeColor="text1"/>
          <w:sz w:val="16"/>
          <w:szCs w:val="16"/>
          <w:vertAlign w:val="superscript"/>
        </w:rPr>
        <w:t>80</w:t>
      </w:r>
      <w:r w:rsidRPr="00640820">
        <w:rPr>
          <w:rFonts w:ascii="Times New Roman" w:hAnsi="Times New Roman"/>
          <w:color w:val="000000" w:themeColor="text1"/>
          <w:sz w:val="16"/>
          <w:szCs w:val="16"/>
        </w:rPr>
        <w:t xml:space="preserve"> с 1966 г. - в ведении МЭТП РСФСР.</w:t>
      </w:r>
    </w:p>
    <w:p w14:paraId="2B7F9C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1960-е  г. выпускал специальные лампы и колбы для различных приборов и узлов оборонной техники. В 1975 г. завод выпустил 123 млн. ламп, а в 1982 г.- 133 млн. шт. Всего к началу 2000-х  г. выпущено более 4,6 млрд ламп.</w:t>
      </w:r>
    </w:p>
    <w:p w14:paraId="599BB1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1992 г. завод преобразован в АОЗТ ТЭЛЗ. В 2003 г. вошло в состав холдинга В.А.В.С.</w:t>
      </w:r>
    </w:p>
    <w:p w14:paraId="44EEB3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2008 г. предприятие находилось в процессе внешнего наблюдения.</w:t>
      </w:r>
    </w:p>
    <w:p w14:paraId="1461EF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(15.09.1964 г.)- 2668 чел.</w:t>
      </w:r>
      <w:r w:rsidRPr="00640820">
        <w:rPr>
          <w:rFonts w:ascii="Times New Roman" w:hAnsi="Times New Roman"/>
          <w:color w:val="000000" w:themeColor="text1"/>
          <w:sz w:val="16"/>
          <w:szCs w:val="16"/>
          <w:vertAlign w:val="superscript"/>
        </w:rPr>
        <w:t>80</w:t>
      </w:r>
    </w:p>
    <w:p w14:paraId="0C1CFA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(01.1942-70 г.)- А.Т. Иванов. Гендиректор (2005 г.)- М.В. Казаков, (2007 г.-)- В. Голубев (11982).</w:t>
      </w:r>
    </w:p>
    <w:p w14:paraId="4ED50B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E1BC78B"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lastRenderedPageBreak/>
        <w:t>Армия:</w:t>
      </w:r>
    </w:p>
    <w:p w14:paraId="6AC310C9"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867E16F" w14:textId="77777777" w:rsidR="009A0766" w:rsidRPr="00640820" w:rsidRDefault="009A0766"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7 ноября</w:t>
      </w:r>
      <w:r w:rsidRPr="00640820">
        <w:rPr>
          <w:rFonts w:ascii="Times New Roman" w:hAnsi="Times New Roman"/>
          <w:color w:val="000000" w:themeColor="text1"/>
          <w:sz w:val="16"/>
          <w:szCs w:val="16"/>
        </w:rPr>
        <w:t xml:space="preserve"> в 1941 году утреннее сообщение Совинформбюро:</w:t>
      </w:r>
    </w:p>
    <w:p w14:paraId="2440472D" w14:textId="77777777" w:rsidR="009A0766" w:rsidRPr="00640820" w:rsidRDefault="009A076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7 ноября наши войска вели бои с противником на всех фронтах.</w:t>
      </w:r>
    </w:p>
    <w:p w14:paraId="50F759BF" w14:textId="77777777" w:rsidR="009A0766" w:rsidRPr="00640820" w:rsidRDefault="009A076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один день боевых действий части тт. Василенко и Кузьмина, действующие на Южном фронте, уничтожили и подбили 60 немецких танков и более двух батальонов пехоты противника.</w:t>
      </w:r>
    </w:p>
    <w:p w14:paraId="3C3ACA68" w14:textId="77777777" w:rsidR="009A0766" w:rsidRPr="00640820" w:rsidRDefault="009A076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Стрелковое подразделение младшего лейтенанта Румянцева, действующее на Южном фронте, оказалось в окружении 60 вражеских танков. В течение суток бойцы уничтожили ручными гранатами и бутылками с горючей жидкостью 12 танков противника и вышли из окружения.</w:t>
      </w:r>
    </w:p>
    <w:p w14:paraId="3673BF57" w14:textId="77777777" w:rsidR="009A0766" w:rsidRPr="00640820" w:rsidRDefault="009A076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Миномётчики части командира Голубева, действующей на Малоярославецком участке фронта, 5 ноября миномётным огнём рас сеяли и уничтожили батальон вражеской пехоты и батарею немецких миномётов.</w:t>
      </w:r>
    </w:p>
    <w:p w14:paraId="118031FE" w14:textId="77777777" w:rsidR="009A0766" w:rsidRPr="00640820" w:rsidRDefault="009A076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Бойцы партизанского отряда, под командованием товарища С., действующего в Орловской области, проследили, что немцы ежедневно доставляют продовольствие на хутор К. Устроив засаду и подпустив обоз на 20-25 метров, партизаны открыли огонь из винтовок и забросали врага гранатами. Фашисты стали разбегаться. Партизаны бросились в штыки, беспощадно истребляя противника. Немцы потеряли 18 человек убитыми. Взятый в плен фашистский офицер был доставлен в штаб советской части. Партизанский отряд под командованием товарища Г. за 20 дней октября сжёг 3 танка, 7 танкеток, 5 бронемашин и 14 автомашин противника. Убито 14 офицеров и около 50 немецких солдат. Партизаны уничтожили 3 моста, неоднократно разрушали линии связи. Боец отряда товарищ К. вывел из окружения десять командиров Красной Армии.</w:t>
      </w:r>
    </w:p>
    <w:p w14:paraId="7E0A9863" w14:textId="77777777" w:rsidR="009A0766" w:rsidRPr="00640820" w:rsidRDefault="009A076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Самоотверженным трудом готовят советские патриоты разгром гитлеровской Германии. В механическом цехе Уралмашзавода значительная часть рабочих выполняет две нормы и более в смену. Слесарь т. Степанов каждую смену даёт более трёх норм. Бригада т. Залкина изготовляет деталь за 11 часов вместо полагающихся по плану 48 часов. На одном из саратовских заводов пятьсот молодых рабочих выполняют задание на 200 процентов и выше. Револьверщица Грачёва, пришедшая на производство в дни войны, выполняет норму на 250 процентов. Участник предоктябрьского социалистического соревнования токарь Колесов ежедневно вырабатывает более четырёх норм. Непрерывно растут ряды двухсотников на Иркутском заводе имени Куйбышева. Две смены механического цеха ежедневно выполняют план на 200 и больше процентов. Смена т. Юдина в составе 8 человек выпускает столько продукции, сколько до войны давали 24 рабочих.» (14823).</w:t>
      </w:r>
    </w:p>
    <w:p w14:paraId="77851A3A" w14:textId="77777777" w:rsidR="009A0766" w:rsidRPr="00640820" w:rsidRDefault="009A0766" w:rsidP="00640820">
      <w:pPr>
        <w:spacing w:after="0" w:line="240" w:lineRule="auto"/>
        <w:jc w:val="both"/>
        <w:rPr>
          <w:rFonts w:ascii="Times New Roman" w:hAnsi="Times New Roman"/>
          <w:color w:val="000000" w:themeColor="text1"/>
          <w:sz w:val="16"/>
          <w:szCs w:val="16"/>
        </w:rPr>
      </w:pPr>
    </w:p>
    <w:p w14:paraId="484C2479" w14:textId="77777777" w:rsidR="009A0766" w:rsidRPr="00640820" w:rsidRDefault="009A0766"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7 ноября</w:t>
      </w:r>
      <w:r w:rsidRPr="00640820">
        <w:rPr>
          <w:rFonts w:ascii="Times New Roman" w:hAnsi="Times New Roman"/>
          <w:color w:val="000000" w:themeColor="text1"/>
          <w:sz w:val="16"/>
          <w:szCs w:val="16"/>
        </w:rPr>
        <w:t xml:space="preserve"> в 1941 году вечернее сообщение Совинформбюро:</w:t>
      </w:r>
    </w:p>
    <w:p w14:paraId="2C20041C" w14:textId="77777777" w:rsidR="009A0766" w:rsidRPr="00640820" w:rsidRDefault="009A076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7 ноября наши войска вели бои с противником на всех фронтах.</w:t>
      </w:r>
    </w:p>
    <w:p w14:paraId="634A6AF4" w14:textId="77777777" w:rsidR="009A0766" w:rsidRPr="00640820" w:rsidRDefault="009A076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6 ноября уничтожено 55 немецких самолётов. Наши потери — 12 самолётов.</w:t>
      </w:r>
    </w:p>
    <w:p w14:paraId="38F6091A" w14:textId="77777777" w:rsidR="009A0766" w:rsidRPr="00640820" w:rsidRDefault="009A076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ноября наши авиачасти уничтожили и вывели из строя 70 вражеских танков, уничтожили 250 автомашин с пехотой и грузами, 15 орудий, взорвали склад и железнодорожный состав с боеприпасами, 5 цистерн с горючим, много повозок с военным снаряжением и продовольствием, рассеяли и уничтожили до полка немецкой пехоты.</w:t>
      </w:r>
    </w:p>
    <w:p w14:paraId="51C80AF4" w14:textId="77777777" w:rsidR="009A0766" w:rsidRPr="00640820" w:rsidRDefault="009A076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Вся советская страна с огромным вниманием слушала вчера транслировавшийся по радио доклад Председателя Государственного Комитета Обороны товарища И. В. Сталина о XXIV годовщине Великой Октябрьской социалистической революции, произнесённый на торжественном заседании Московского Совета депутатов трудящихся совместно с партийными и общественными организациями гор. Москвы.</w:t>
      </w:r>
    </w:p>
    <w:p w14:paraId="02590AAF" w14:textId="77777777" w:rsidR="009A0766" w:rsidRPr="00640820" w:rsidRDefault="009A076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Коллективное слушание доклада товарища Сталина было организовано на московском автозаводе имени Сталина, на заводе «Серп и молот», на Кировском заводе в Ленинграде, у станкостроителей Новосибирска и на многих других заводах, на кораблях Краснознамённого Балтийского флота, в частях Красной Армии, на торжественных заседаниях в Куйбышеве, Воронеже, Свердловске и в ряде других городов. В городах и сёлах, совхозах и колхозах — всюду народ слушал слова великого Сталина.</w:t>
      </w:r>
    </w:p>
    <w:p w14:paraId="2CFB9F76" w14:textId="77777777" w:rsidR="009A0766" w:rsidRPr="00640820" w:rsidRDefault="009A076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Мудрая, ясная речь товарища Сталина, глубокий анализ созданного войной положения, боевые лозунги, вооружающие народ на разгром немецких оккупантов, ещё более укрепили уверенность советского народа в нашей победе, вдохновили советских воинов на новые героические подвиги, вызвали новый патриотический подъём в стране.</w:t>
      </w:r>
    </w:p>
    <w:p w14:paraId="4C213B13" w14:textId="77777777" w:rsidR="009A0766" w:rsidRPr="00640820" w:rsidRDefault="009A076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«Гитлеровская Германия будет разбита и уничтожена! — сказал вальцовщик Кировского завода тов. Петров. — Неизбежность этого ярко вскрыл в своей речи товарищ Сталин!»</w:t>
      </w:r>
    </w:p>
    <w:p w14:paraId="31E42424" w14:textId="77777777" w:rsidR="009A0766" w:rsidRPr="00640820" w:rsidRDefault="009A076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«Ещё крепче будем биться с врагом. Будем бить фашистских захватчиков до их полного уничтожения. Под руководством товарища Сталина мы победим»,— заявили бойцы подразделения тов. Голубева, занимающие передовые позиции на Западном фронте.</w:t>
      </w:r>
    </w:p>
    <w:p w14:paraId="184B438F" w14:textId="77777777" w:rsidR="009A0766" w:rsidRPr="00640820" w:rsidRDefault="009A076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«Речь любимого вождя вдохновила нас на стахановский труд,— сказал инженер завода «Сибметаллстрой» тов. Исакович. — Рабочие нашего завода вчера встали на сталинскую вахту. В первую же смену в цехе, где начальником тов. Громов, задание было выполнено на 290 проц. Кузнец тов. Шемеров выполнил пять норм. Во всех цехах растёт число стахановцев. Это — наш ответ на речь великого Сталина. Мы будем трудиться по-военному. Дадим фронту всё необходимое, чтобы ускорить победу над фашистскими ордами».</w:t>
      </w:r>
    </w:p>
    <w:p w14:paraId="1A6B8D8F" w14:textId="77777777" w:rsidR="009A0766" w:rsidRPr="00640820" w:rsidRDefault="009A076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многих московских заводах рабочие слушали доклад товарища Сталина у станков, ни на минуту не прерывая работы. Когда закончился доклад, механик одного из заводов тов. Плёнкин оказал:</w:t>
      </w:r>
    </w:p>
    <w:p w14:paraId="2B225ACD" w14:textId="77777777" w:rsidR="009A0766" w:rsidRPr="00640820" w:rsidRDefault="009A076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Враг делает отчаянные попытки прорвать нашу оборону, захватить город Ленина и нашу родную столицу — Москву. Но этому не бывать! Мы приложим все силы для защиты вашей славной столицы Москвы, для изготовления вооружения и боеприпасов, необходимых Красной Армии.</w:t>
      </w:r>
    </w:p>
    <w:p w14:paraId="6002389F" w14:textId="77777777" w:rsidR="009A0766" w:rsidRPr="00640820" w:rsidRDefault="009A076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Мастер прокатного цеха московского завода «Серп и молот» тов. Быков сказал:</w:t>
      </w:r>
    </w:p>
    <w:p w14:paraId="504316E9" w14:textId="77777777" w:rsidR="009A0766" w:rsidRPr="00640820" w:rsidRDefault="009A076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Гитлер, не считаясь ни с какими потерями, шлёт на убой новые и новые полчища. Он рвётся к Москве и Ленинграду. Умножим же, товарищи, счёт немецких потерь, да так умножим, чтобы ни один фашистский мерзавец, пришедший на нашу землю, не остался в живых!» (14823).</w:t>
      </w:r>
    </w:p>
    <w:p w14:paraId="38D2B8BE" w14:textId="77777777" w:rsidR="009A0766" w:rsidRPr="00640820" w:rsidRDefault="009A0766" w:rsidP="00640820">
      <w:pPr>
        <w:spacing w:after="0" w:line="240" w:lineRule="auto"/>
        <w:jc w:val="both"/>
        <w:rPr>
          <w:rFonts w:ascii="Times New Roman" w:hAnsi="Times New Roman"/>
          <w:color w:val="000000" w:themeColor="text1"/>
          <w:sz w:val="16"/>
          <w:szCs w:val="16"/>
        </w:rPr>
      </w:pPr>
    </w:p>
    <w:p w14:paraId="07063189" w14:textId="77777777" w:rsidR="009A0766" w:rsidRPr="00640820" w:rsidRDefault="009A0766"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7 ноября</w:t>
      </w:r>
      <w:r w:rsidRPr="00640820">
        <w:rPr>
          <w:rFonts w:ascii="Times New Roman" w:hAnsi="Times New Roman"/>
          <w:color w:val="000000" w:themeColor="text1"/>
          <w:sz w:val="16"/>
          <w:szCs w:val="16"/>
        </w:rPr>
        <w:t xml:space="preserve"> в 1941 году гибель теплохода «Армения» (1928 года постройки, 5770 брт, 112 м). Санитарный теплоход «Армения» относился к серии 2-х палубных товарно-пассажирских теплоходов, знаменитых «крымчаков». Так называли лайнеры работавшие на Крымско-Кавказской линии в довоенный период. Серия состояла из шести судов; «Грузия», «Крым», «Армения», «Аджария», «Абхазия» и «Украина». «Грузия» и «Крым» строились для СССР в Германии на заводах Круппа, а остальные суда в Ленинграде, на Балтийском судостроительном заводе. С 10 августа 1941 года все шесть судов были переоборудованы в санитарно-транспортные и переданы медицинской службе Черноморского флота. Они могли перевозить до 400 раненых. С самого начала войны на судах стояла эмблема Красного Креста, но после атаки немецкой авиацией санитарных транспортов «Чехов» и «Котовский», все «крымчаки» оборудовали пулеметами, зенитной артиллерией и покрасили в шаровый цвет. В последний рейс «Армения» отправилась 6 ноября 1941 из Севастополя в Новороссийск с заходом в Ялту (с 2 до 8 часов 7 ноября 1941). Корабль сопровождали два сторожевых катера. В 11:25 7 ноября 1941 торпедирован и потоплен (одно попадание в носовую часть) одиночным торпедоносцем «He-111» из 1/KG28 (по другим данным - из 6/KG26). Судно затонуло за 4 минуты. На теплоходе находились несколько тысяч раненых военнослужащих и эвакуируемых граждан. На судно был погружен также персонал главного госпиталя Черноморского флота и ряда других военных гражданских госпиталей (всего 23 госпиталя), руководство пионерлагеря «Артек» и часть партийного руководства Крыма. Погрузка шла в беспорядке, садившихся на теплоход не переписывали по фамилиям, не было даже точно известно их число. На борту судна, которое перевозило раненых из четырех госпиталей Севастополя и Ялты, находилось около 7 тысяч пассажиров, а не 5 тысяч, как считалось ранее. На судне было порядка двух тысяч неучтенных людей, которых, очевидно, взяли на борт по просьбе медперсонала. Уцелели лишь восемь человек, которых подобрал сторожевой катер. По словам очевидцев трагедии, не только по бортам, но и на палубу теплохода был выложен опознавательный знак - красный крест. Но бомбардировщики его проигнорировали. Хотя теплоход с воздуха прикрывали два советских самолета «И-153», корабль от прямых попаданий разломился пополам и пошёл на дно. Жительнице Ялты Анастасии Поповой, находившейся на борту "Армении" в тот роковой день посчастливилось остаться в живых. "6 ноября 1941 года, я по совету знакомых решила эвакуироваться из Ялты. С большим трудом меня взяли на борт, поскольку "Армения" была и так переполнена ранеными и беженцами. Выйдя в море, теплоход был атакован вражеской авиацией. Начался сущий ад. Взрывы бомб, паника, крики людей - все смешалось в неописуемом кошмаре. Люди метались по палубе, не зная, куда укрыться от огня. Я прыгнула в море и поплыла к берегу, теряя сознание. Как оказалась на берегу - даже не помню", - вспоминает Анастасия Попова. Другой очевидец трагедии, находившийся на берегу, вспоминает: "С горных высот - Ялта как на ладони. Мы видели, как 7-го ноября, днем, от пирса ялтинского порта отошел теплоход "Армения" с ранеными. Теплоход еще не успел выйти в открытое море, как налетела группа вражеских самолетов и, несмотря на то, что по бортам теплохода отчетливо были видны санитарные кресты, начали прицельное бомбометание по плавучему госпиталю... До нас доносились не только взрывы бомб, но и голоса людей". В память об этой трагедии, каждый год 9 мая ялтинские портовики выходят в море на место гибели теплохода «Армения», чтобы почтить память погибших в трагедии и возложить венки (14823).</w:t>
      </w:r>
    </w:p>
    <w:p w14:paraId="13A70673" w14:textId="77777777" w:rsidR="009A0766" w:rsidRPr="00640820" w:rsidRDefault="009A0766" w:rsidP="00640820">
      <w:pPr>
        <w:spacing w:after="0" w:line="240" w:lineRule="auto"/>
        <w:jc w:val="both"/>
        <w:rPr>
          <w:rFonts w:ascii="Times New Roman" w:hAnsi="Times New Roman"/>
          <w:color w:val="000000" w:themeColor="text1"/>
          <w:sz w:val="16"/>
          <w:szCs w:val="16"/>
        </w:rPr>
      </w:pPr>
    </w:p>
    <w:p w14:paraId="0AABA039" w14:textId="77777777" w:rsidR="008F7702" w:rsidRPr="00640820" w:rsidRDefault="008F7702"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ночь на 7 ноября 1941 в налете на Данциг смог принять участие только один ТБ-7 (АНТ-42) N 42025 под управлением Э.К.Пуссэпа и уничтожил электростанцию. При возвращении загорелся, экипаж выпрыгнул, а машина с задросселированными моторами и включенным автопилотом долетела до Кашина и мягко села, так что ее потом удалось восстановить на месте (2122).</w:t>
      </w:r>
    </w:p>
    <w:p w14:paraId="752E6A8B" w14:textId="77777777" w:rsidR="008F7702" w:rsidRPr="00640820" w:rsidRDefault="008F7702" w:rsidP="00640820">
      <w:pPr>
        <w:autoSpaceDE w:val="0"/>
        <w:autoSpaceDN w:val="0"/>
        <w:adjustRightInd w:val="0"/>
        <w:spacing w:after="0" w:line="240" w:lineRule="auto"/>
        <w:jc w:val="both"/>
        <w:rPr>
          <w:rFonts w:ascii="Times New Roman" w:hAnsi="Times New Roman"/>
          <w:color w:val="000000" w:themeColor="text1"/>
          <w:sz w:val="16"/>
          <w:szCs w:val="16"/>
        </w:rPr>
      </w:pPr>
    </w:p>
    <w:p w14:paraId="10BA4D69" w14:textId="77777777" w:rsidR="008F7702" w:rsidRPr="00640820" w:rsidRDefault="008F7702"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ноября 1941 Пе-8 бомбили Данциг (1103,227).</w:t>
      </w:r>
    </w:p>
    <w:p w14:paraId="563872CF" w14:textId="77777777" w:rsidR="008F7702" w:rsidRPr="00640820" w:rsidRDefault="008F7702" w:rsidP="00640820">
      <w:pPr>
        <w:autoSpaceDE w:val="0"/>
        <w:autoSpaceDN w:val="0"/>
        <w:adjustRightInd w:val="0"/>
        <w:spacing w:after="0" w:line="240" w:lineRule="auto"/>
        <w:jc w:val="both"/>
        <w:rPr>
          <w:rFonts w:ascii="Times New Roman" w:hAnsi="Times New Roman"/>
          <w:color w:val="000000" w:themeColor="text1"/>
          <w:sz w:val="16"/>
          <w:szCs w:val="16"/>
        </w:rPr>
      </w:pPr>
    </w:p>
    <w:p w14:paraId="0DBCB1B4" w14:textId="77777777" w:rsidR="00216F30" w:rsidRPr="00640820" w:rsidRDefault="00216F3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7 ноября 1941 вечером немцы произвели массированный налет на центр Ленинграда, причинивший большие разрушения. Особенно сильно пострадал Финляндский вокзал (23199).</w:t>
      </w:r>
    </w:p>
    <w:p w14:paraId="1AF9F90B" w14:textId="77777777" w:rsidR="00216F30" w:rsidRPr="00640820" w:rsidRDefault="00216F30" w:rsidP="00640820">
      <w:pPr>
        <w:spacing w:after="0" w:line="240" w:lineRule="auto"/>
        <w:jc w:val="both"/>
        <w:rPr>
          <w:rFonts w:ascii="Times New Roman" w:hAnsi="Times New Roman"/>
          <w:color w:val="0070C0"/>
          <w:sz w:val="16"/>
          <w:szCs w:val="16"/>
        </w:rPr>
      </w:pPr>
    </w:p>
    <w:p w14:paraId="0EC6783D" w14:textId="77777777" w:rsidR="008F7702" w:rsidRPr="00640820" w:rsidRDefault="008F7702"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7 ноября 1941 г. во время исторического парада на Красной площади был круглосуточный подъём аэростатов. Как правило, боевая работа аэростатчиков велась ночью (от захода до восхода солнца) (20120).</w:t>
      </w:r>
    </w:p>
    <w:p w14:paraId="6EFF7028" w14:textId="77777777" w:rsidR="008F7702" w:rsidRPr="00640820" w:rsidRDefault="008F7702" w:rsidP="00640820">
      <w:pPr>
        <w:spacing w:after="0" w:line="240" w:lineRule="auto"/>
        <w:jc w:val="both"/>
        <w:rPr>
          <w:rFonts w:ascii="Times New Roman" w:hAnsi="Times New Roman"/>
          <w:color w:val="0070C0"/>
          <w:sz w:val="16"/>
          <w:szCs w:val="16"/>
        </w:rPr>
      </w:pPr>
    </w:p>
    <w:p w14:paraId="09AF2DAB" w14:textId="77777777" w:rsidR="009A0766" w:rsidRPr="00640820" w:rsidRDefault="009A0766"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7 ноября</w:t>
      </w:r>
      <w:r w:rsidRPr="00640820">
        <w:rPr>
          <w:rFonts w:ascii="Times New Roman" w:hAnsi="Times New Roman"/>
          <w:color w:val="000000" w:themeColor="text1"/>
          <w:sz w:val="16"/>
          <w:szCs w:val="16"/>
        </w:rPr>
        <w:t xml:space="preserve"> в 1941 году в первый боевой рейс вышел бронепоезд "Железняков". Построен на Севморзаводе, экипаж укомплектован моряками. Сыграл большую роль в обороне Севастополя, участвовал в боевых действий вплоть до самых последних дней Обороны (14823).</w:t>
      </w:r>
    </w:p>
    <w:p w14:paraId="20779BF7" w14:textId="77777777" w:rsidR="009A0766" w:rsidRPr="00640820" w:rsidRDefault="009A0766" w:rsidP="00640820">
      <w:pPr>
        <w:spacing w:after="0" w:line="240" w:lineRule="auto"/>
        <w:jc w:val="both"/>
        <w:rPr>
          <w:rFonts w:ascii="Times New Roman" w:hAnsi="Times New Roman"/>
          <w:color w:val="000000" w:themeColor="text1"/>
          <w:sz w:val="16"/>
          <w:szCs w:val="16"/>
        </w:rPr>
      </w:pPr>
    </w:p>
    <w:p w14:paraId="27A717F7" w14:textId="77777777" w:rsidR="009A0766" w:rsidRPr="00640820" w:rsidRDefault="009A0766"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7 ноября</w:t>
      </w:r>
      <w:r w:rsidRPr="00640820">
        <w:rPr>
          <w:rFonts w:ascii="Times New Roman" w:hAnsi="Times New Roman"/>
          <w:color w:val="000000" w:themeColor="text1"/>
          <w:sz w:val="16"/>
          <w:szCs w:val="16"/>
        </w:rPr>
        <w:t xml:space="preserve"> в 1941 году в Севастополе получена телеграмма ВГК с требованием: «Севастополь не сдавать ни в коем случае...» </w:t>
      </w:r>
    </w:p>
    <w:p w14:paraId="504F3246" w14:textId="77777777" w:rsidR="009A0766" w:rsidRPr="00640820" w:rsidRDefault="009A0766" w:rsidP="00640820">
      <w:pPr>
        <w:spacing w:after="0" w:line="240" w:lineRule="auto"/>
        <w:jc w:val="both"/>
        <w:rPr>
          <w:rFonts w:ascii="Times New Roman" w:hAnsi="Times New Roman"/>
          <w:color w:val="000000" w:themeColor="text1"/>
          <w:sz w:val="16"/>
          <w:szCs w:val="16"/>
        </w:rPr>
      </w:pPr>
    </w:p>
    <w:p w14:paraId="27EC98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ноября 1941 г. гибель грузо-пассажирского парохода "Армении" от торпеды самолета-торпедоносца стала крупнейшей в истории Великой Отечественно войны морской катастрофой, в которой погибло 5000 чел. (3898).</w:t>
      </w:r>
    </w:p>
    <w:p w14:paraId="3A9121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CC5E1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Рано утром 7 ноября 1941 двенадцать Не-111 внезапно появились над древним русским городом Ярославлем, нанеся удар по Московскому вокзалу, через который сплошным потоком шли эшелоны с войсками, техникой и боеприпасами на Калининский фронт. Всего, по данным службы МПВО, на город были сброшены 97 фугасных бомб весом 50—250 кг. От мощных взрывов железнодорожные объекты получили большие повреждения, было разрушено депо, на путях сгорели 50 вагонов, причем пожары полыхали несколько часов. Из-за бомбежки создались большие пробки поездов в направлении Москвы. Кроме того, пострадали прилегающие объекты Кагановичского района: сборочный цех автомобильного завода и 17 жилых домов. При этом погибли 80 человек, еще 150 получили ранения (11774).</w:t>
      </w:r>
    </w:p>
    <w:p w14:paraId="7E6BF5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EA32C84"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24EF6EE4"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07DD76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ноября 1941 в осадной Москве состоялся парад на Красной площади (4962).</w:t>
      </w:r>
    </w:p>
    <w:p w14:paraId="46BC60B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D6C9A2" w14:textId="77777777" w:rsidR="009A0766" w:rsidRPr="00640820" w:rsidRDefault="009A0766"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7 ноября</w:t>
      </w:r>
      <w:r w:rsidRPr="00640820">
        <w:rPr>
          <w:rFonts w:ascii="Times New Roman" w:hAnsi="Times New Roman"/>
          <w:color w:val="000000" w:themeColor="text1"/>
          <w:sz w:val="16"/>
          <w:szCs w:val="16"/>
        </w:rPr>
        <w:t xml:space="preserve"> в 1941 году на Красной площади в замаскированной от авиации столице состоялся военный парад в честь 24-й годовщины Октябрьской революции, с которого войска маршем шли на фронт, на передовые позиции. Этот парад по силе воздействия на ход событий приравнивается к важнейшей военной операции. Именно на этот день по случаю запланированного захвата Москвы гитлеровской Германией было назначено торжественное прохождение по Красной площади немецких войск. Военный парад советских войск на Красной площади 7 ноября 1941 года было решено провести для укрепления морального духа. Это была убедительная возможность заявить на весь мир о том, что Москва стоит и будет твердо стоять. 6 ноября, сразу же после торжественного заседания, состоявшегося на станции метро «Маяковская», Сталин объявил членам Политбюро ЦК, секретарям МК и МГК о времени начала парада войск на Красной площади. Командирам частей, участвующих в параде, об этом стало известно в 23 часа, а приглашаемым на Красную площадь представителям трудящихся сообщали о проведении торжества с пяти часов утра 7 ноября. С 5 ноября советские Военно-Воздушные Силы наносили упреждающие удары по аэродромам противника, и в праздничный день на Москву не была сброшена ни одна бомба. В ночь на 7 ноября по указанию Сталина кремлевские звезды были расчехлены и зажжены, от маскировки освобожден мавзолей Ленина. Парад начался ровно в 8 часов утра. Торжественный марш войск на Красной площади открыли курсанты артиллерийского училища.</w:t>
      </w:r>
    </w:p>
    <w:p w14:paraId="22022970" w14:textId="77777777" w:rsidR="009A0766" w:rsidRPr="00640820" w:rsidRDefault="009A0766" w:rsidP="00640820">
      <w:pPr>
        <w:spacing w:after="0" w:line="240" w:lineRule="auto"/>
        <w:jc w:val="both"/>
        <w:rPr>
          <w:rFonts w:ascii="Times New Roman" w:hAnsi="Times New Roman"/>
          <w:bCs/>
          <w:color w:val="000000" w:themeColor="text1"/>
          <w:sz w:val="16"/>
          <w:szCs w:val="16"/>
        </w:rPr>
      </w:pPr>
      <w:r w:rsidRPr="00640820">
        <w:rPr>
          <w:rFonts w:ascii="Times New Roman" w:hAnsi="Times New Roman"/>
          <w:color w:val="000000" w:themeColor="text1"/>
          <w:sz w:val="16"/>
          <w:szCs w:val="16"/>
        </w:rPr>
        <w:t>С развернутыми знаменами, под боевые революционные марши, исполняемые оркестром штаба МВО под управлением Василия Агапкина - автора знаменитого «Прощания славянки», шли по главной площади страны артиллеристы и пехотинцы, зенитчики и моряки. Потом по Красной площади двинулись конница, знаменитые пулеметные тачанки, прошли танки Т-34 и КВ. В параде приняли участие батальоны курсантов Окружного военно-политического училища, Краснознаменного артиллерийского училища, полк 2-й Московской стрелковой дивизии, полк 332-й дивизии имени Фрунзе, стрелковые, кавалерийские и танковые части дивизии имени Дзержинского, Московский флотский экипаж, Особый батальон военного совета МВО и МЗО, батальон бывших красногвардейцев, два батальона Всеобуча, два артиллерийских полка Московской зоны обороны, сводный зенитный полк ПВО, два танковых батальона резерва Ставки, которые к 7 ноября прибыли из Мурманска и Архангельска. Парад на Красной площади проходил торжественно и сурово, им командовал начальник гарнизона столицы генерал-лейтенант Павел Артемьев, принимал парад маршал Советского Союза Семен Буденный.</w:t>
      </w:r>
    </w:p>
    <w:p w14:paraId="47FC8282" w14:textId="77777777" w:rsidR="009A0766" w:rsidRPr="00640820" w:rsidRDefault="009A076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Напутствовал уходящие с парада на фронт войска И.В.Сталин. К 7 ноября 1941 года он уже мог говорить о некоторых успехах в битве под Москвой. На ряде направлений враг был остановлен, наметилась стабилизация положения, противник переходил к обороне. Главные цели операции «Тайфун» достигнуты не были, взять стремительным наступлением столицу немецкой армии не удалось. Пришедшие на Красную площадь убедились в том, что боевой дух армии не сломлен. На трибунах по обе стороны Мавзолея, помимо рабочих и служащих, находились аккредитованные в столице корреспонденты иностранных газет. Так что весть о параде разносилась по всему миру. Между тем 6 и 7 ноября 1941 года советское командование спланировало и осуществило ряд сильных ударов по врагу на Можайском, Волоколамском и Малоярославецком направлениях. Прямо с парада на главной площади страны бойцы Красной Армии отправлялись на фронт, до которого от центра Москвы было всего несколько километров. Одновременно с московским прошел воздушный парад в Куйбышеве, в этом параде участвовало свыше 600 самолетов. По радио передавался репортаж о параде советских войск на Красной площади в Москве. Вели репортаж В.Гончаров, В.Синявский, Н.Потапов, А.Фетисов. Оператор А.Спасский. 5 ноября 1999 г. на Ярославском шоссе у школы № 760 был открыт монумент "Богатыри Земли Российской", посвященный его участникам (14823).</w:t>
      </w:r>
    </w:p>
    <w:p w14:paraId="3D278061" w14:textId="77777777" w:rsidR="009A0766" w:rsidRPr="00640820" w:rsidRDefault="009A0766" w:rsidP="00640820">
      <w:pPr>
        <w:spacing w:after="0" w:line="240" w:lineRule="auto"/>
        <w:jc w:val="both"/>
        <w:rPr>
          <w:rFonts w:ascii="Times New Roman" w:hAnsi="Times New Roman"/>
          <w:color w:val="000000" w:themeColor="text1"/>
          <w:sz w:val="16"/>
          <w:szCs w:val="16"/>
        </w:rPr>
      </w:pPr>
    </w:p>
    <w:p w14:paraId="2F74EA32" w14:textId="77777777" w:rsidR="006F1376" w:rsidRPr="00640820" w:rsidRDefault="006F1376" w:rsidP="00640820">
      <w:pPr>
        <w:pStyle w:val="ae"/>
        <w:shd w:val="clear" w:color="auto" w:fill="FFFFFF"/>
        <w:spacing w:before="0" w:after="0"/>
        <w:jc w:val="both"/>
        <w:rPr>
          <w:color w:val="000000" w:themeColor="text1"/>
          <w:sz w:val="16"/>
          <w:szCs w:val="16"/>
        </w:rPr>
      </w:pPr>
      <w:r w:rsidRPr="00640820">
        <w:rPr>
          <w:color w:val="000000" w:themeColor="text1"/>
          <w:sz w:val="16"/>
          <w:szCs w:val="16"/>
        </w:rPr>
        <w:t>7 ноября 1941 года и предстоящего, но державшегося пока в секрете военного парада, куйбышевские силы ПВО в дополнение к ранее принятым мерам установили ночные дежурства на предприятиях и в жилых домах. С 18 часов вечера и до 6 утра дежурные следили за соблюдением режима светомаскировки и пожарной безопасности. Им вменялось в обязанность не допускать хранение на чердаках легковоспламеняющихся материалов, а в случае появления какой-либо опасности оповещать о ней милицию и пожарных. Граждане, уклоняющиеся от дежурств или не соблюдающие меры безопасности, подвергались штрафу или даже привлекались к уголовной ответственности.</w:t>
      </w:r>
    </w:p>
    <w:p w14:paraId="33495BA7" w14:textId="77777777" w:rsidR="006F1376" w:rsidRPr="00640820" w:rsidRDefault="006F1376" w:rsidP="00640820">
      <w:pPr>
        <w:pStyle w:val="ae"/>
        <w:shd w:val="clear" w:color="auto" w:fill="FFFFFF"/>
        <w:spacing w:before="0" w:after="0"/>
        <w:jc w:val="both"/>
        <w:rPr>
          <w:color w:val="000000" w:themeColor="text1"/>
          <w:sz w:val="16"/>
          <w:szCs w:val="16"/>
        </w:rPr>
      </w:pPr>
      <w:r w:rsidRPr="00640820">
        <w:rPr>
          <w:color w:val="000000" w:themeColor="text1"/>
          <w:sz w:val="16"/>
          <w:szCs w:val="16"/>
        </w:rPr>
        <w:t>По традиции вечером 6 ноября в зале Куйбышевского театра оперы и балета прошло торжественное собрание. В нем участвовали все руководители местных и эвакуированных предприятий, в том числе и главные специалисты завода № 1, областной партийный актив, общественность города. Собрание проходило в полуосвещенном зале, и было коротким. В отличие от прошлых лет многие гости пришли прямо с рабочих мест, в рабочей одежде. После того как они расселись по местам, было объявлено, что сейчас начнется трансляция доклада Сталина с торжественного собрания в Москве. Несмотря на треск и шум репродукторов, зал слушал доклад, затаив дыхание. Люди уходили с собрания окрыленными. Многие шли не домой, а снова на свои рабочие места. А на другой день был парад.</w:t>
      </w:r>
    </w:p>
    <w:p w14:paraId="204DE731" w14:textId="77777777" w:rsidR="006F1376" w:rsidRPr="00640820" w:rsidRDefault="006F1376" w:rsidP="00640820">
      <w:pPr>
        <w:pStyle w:val="ae"/>
        <w:shd w:val="clear" w:color="auto" w:fill="FFFFFF"/>
        <w:spacing w:before="0" w:after="0"/>
        <w:jc w:val="both"/>
        <w:rPr>
          <w:color w:val="000000" w:themeColor="text1"/>
          <w:sz w:val="16"/>
          <w:szCs w:val="16"/>
        </w:rPr>
      </w:pPr>
      <w:r w:rsidRPr="00640820">
        <w:rPr>
          <w:color w:val="000000" w:themeColor="text1"/>
          <w:sz w:val="16"/>
          <w:szCs w:val="16"/>
        </w:rPr>
        <w:t>Для участия в нем в Куйбышев были направлены две пехотных дивизии: 65-я и 237-я. Причем 65-ю сняли прямо с поезда, который следовал на фронт.</w:t>
      </w:r>
    </w:p>
    <w:p w14:paraId="67AB0E40" w14:textId="77777777" w:rsidR="006F1376" w:rsidRPr="00640820" w:rsidRDefault="006F1376" w:rsidP="00640820">
      <w:pPr>
        <w:pStyle w:val="ae"/>
        <w:shd w:val="clear" w:color="auto" w:fill="FFFFFF"/>
        <w:spacing w:before="0" w:after="0"/>
        <w:jc w:val="both"/>
        <w:rPr>
          <w:color w:val="000000" w:themeColor="text1"/>
          <w:sz w:val="16"/>
          <w:szCs w:val="16"/>
        </w:rPr>
      </w:pPr>
      <w:r w:rsidRPr="00640820">
        <w:rPr>
          <w:color w:val="000000" w:themeColor="text1"/>
          <w:sz w:val="16"/>
          <w:szCs w:val="16"/>
        </w:rPr>
        <w:t>Возмущенного командира Петра Кошевого с трудом убедили, что участие в параде – важная политическая задача. Подготовка к торжественному маршу шла на стадионе «Динамо». Однажды сюда приехал маршал Ворошилов. Он заметил командиру дивизии, что экипировка солдат старовата. Кошевой ответил, что другой у них нет. Тогда Ворошилов распорядился найти и выдать участникам парада новое обмундирование.</w:t>
      </w:r>
    </w:p>
    <w:p w14:paraId="284EAA15" w14:textId="77777777" w:rsidR="006F1376" w:rsidRPr="00640820" w:rsidRDefault="006F1376" w:rsidP="00640820">
      <w:pPr>
        <w:pStyle w:val="ae"/>
        <w:shd w:val="clear" w:color="auto" w:fill="FFFFFF"/>
        <w:spacing w:before="0" w:after="0"/>
        <w:jc w:val="both"/>
        <w:rPr>
          <w:color w:val="000000" w:themeColor="text1"/>
          <w:sz w:val="16"/>
          <w:szCs w:val="16"/>
        </w:rPr>
      </w:pPr>
      <w:r w:rsidRPr="00640820">
        <w:rPr>
          <w:color w:val="000000" w:themeColor="text1"/>
          <w:sz w:val="16"/>
          <w:szCs w:val="16"/>
        </w:rPr>
        <w:t>Утро 7 ноября 1941 года было морозным и пасмурным. Шел небольшой снежок. На главной площади Куйбышева выстроились войска, участвующие в параде. На трибуну поднялись руководители партии и правительства: Калинин, Андреев, Шверник, Вознесенский, Шкирятов, Вышинский и другие, а также местные партийные и советские руководители. Рядом с трибуной находились многочисленные гости, среди которых были дипломаты и иностранные корреспонденты.</w:t>
      </w:r>
    </w:p>
    <w:p w14:paraId="6CDFB2A1" w14:textId="77777777" w:rsidR="006F1376" w:rsidRPr="00640820" w:rsidRDefault="006F1376" w:rsidP="00640820">
      <w:pPr>
        <w:pStyle w:val="ae"/>
        <w:shd w:val="clear" w:color="auto" w:fill="FFFFFF"/>
        <w:spacing w:before="0" w:after="0"/>
        <w:jc w:val="both"/>
        <w:rPr>
          <w:color w:val="000000" w:themeColor="text1"/>
          <w:sz w:val="16"/>
          <w:szCs w:val="16"/>
        </w:rPr>
      </w:pPr>
      <w:r w:rsidRPr="00640820">
        <w:rPr>
          <w:color w:val="000000" w:themeColor="text1"/>
          <w:sz w:val="16"/>
          <w:szCs w:val="16"/>
        </w:rPr>
        <w:t>Верхом на коне на площади появился маршал Советского Союза Ворошилов. Навстречу ему, тоже на коне, проследовал командующий парадом генерал-лейтенант Пуркаев и отдал рапорт. Вместе они объехали войска и поздравили их с праздником Великой Октябрьской социалистической революции. В ответ неслось долго не смолкающее «Ура!». Затем Ворошилов поднялся на трибуну и произнес традиционную праздничную речь. В конце ее раздалось сорок артиллерийских залпов.</w:t>
      </w:r>
    </w:p>
    <w:p w14:paraId="5CD4C3DF" w14:textId="77777777" w:rsidR="006F1376" w:rsidRPr="00640820" w:rsidRDefault="006F1376" w:rsidP="00640820">
      <w:pPr>
        <w:pStyle w:val="ae"/>
        <w:shd w:val="clear" w:color="auto" w:fill="FFFFFF"/>
        <w:spacing w:before="0" w:after="0"/>
        <w:jc w:val="both"/>
        <w:rPr>
          <w:color w:val="000000" w:themeColor="text1"/>
          <w:sz w:val="16"/>
          <w:szCs w:val="16"/>
        </w:rPr>
      </w:pPr>
      <w:r w:rsidRPr="00640820">
        <w:rPr>
          <w:color w:val="000000" w:themeColor="text1"/>
          <w:sz w:val="16"/>
          <w:szCs w:val="16"/>
        </w:rPr>
        <w:t>Под звуки фанфар начался военный парад. Чеканя шаг, прошли части пехотных дивизий и подразделений военно-медицинской академии, размещавшейся тогда в Куйбышеве. Затем проследовала мотопехота, тягачи с артиллерий, бронемашины, танки. Проехали зенитные и прожекторные полки. Под звуки авиационного марша и крики «Ура!» волна за волной пролетели истребители, штурмовики, тяжелые бомбардировщики.</w:t>
      </w:r>
    </w:p>
    <w:p w14:paraId="696B25BD" w14:textId="77777777" w:rsidR="006F1376" w:rsidRPr="00640820" w:rsidRDefault="006F1376" w:rsidP="00640820">
      <w:pPr>
        <w:pStyle w:val="ae"/>
        <w:shd w:val="clear" w:color="auto" w:fill="FFFFFF"/>
        <w:spacing w:before="0" w:after="0"/>
        <w:jc w:val="both"/>
        <w:rPr>
          <w:color w:val="000000" w:themeColor="text1"/>
          <w:sz w:val="16"/>
          <w:szCs w:val="16"/>
        </w:rPr>
      </w:pPr>
      <w:r w:rsidRPr="00640820">
        <w:rPr>
          <w:color w:val="000000" w:themeColor="text1"/>
          <w:sz w:val="16"/>
          <w:szCs w:val="16"/>
        </w:rPr>
        <w:t>Парад продолжался полтора часа и произвел огромное впечатление на присутствующих, особенно на иностранцев. Вечером на устроенном в честь праздника Октября приеме они засыпали военных вопросами, откуда в тыловом городе столько военной техники и почему она не на фронте? Им отвечали, что это резервы и их в стране достаточно, чтобы разбить самого сильного врага.</w:t>
      </w:r>
    </w:p>
    <w:p w14:paraId="4E93BACC" w14:textId="77777777" w:rsidR="006F1376" w:rsidRPr="00640820" w:rsidRDefault="006F1376" w:rsidP="00640820">
      <w:pPr>
        <w:pStyle w:val="ae"/>
        <w:shd w:val="clear" w:color="auto" w:fill="FFFFFF"/>
        <w:spacing w:before="0" w:after="0"/>
        <w:jc w:val="both"/>
        <w:rPr>
          <w:color w:val="000000" w:themeColor="text1"/>
          <w:sz w:val="16"/>
          <w:szCs w:val="16"/>
        </w:rPr>
      </w:pPr>
      <w:r w:rsidRPr="00640820">
        <w:rPr>
          <w:color w:val="000000" w:themeColor="text1"/>
          <w:sz w:val="16"/>
          <w:szCs w:val="16"/>
        </w:rPr>
        <w:t>Тем же вечером 7 ноября воины 65-й стрелковой дивизии погрузились на поезд и продолжили свой путь на фронт. Через три дня дивизия уже дралась под Тихвином и за освобождение этого города была награждена орденом Красного знамени, а закончила войну в Германии еще с двумя боевыми наградами. Ее командир Петр Кошевой стал маршалом, дважды Героем Советского Союза.</w:t>
      </w:r>
    </w:p>
    <w:p w14:paraId="1471F69C" w14:textId="77777777" w:rsidR="006F1376" w:rsidRPr="00640820" w:rsidRDefault="006F1376" w:rsidP="00640820">
      <w:pPr>
        <w:pStyle w:val="ae"/>
        <w:shd w:val="clear" w:color="auto" w:fill="FFFFFF"/>
        <w:spacing w:before="0" w:after="0"/>
        <w:jc w:val="both"/>
        <w:rPr>
          <w:color w:val="000000" w:themeColor="text1"/>
          <w:sz w:val="16"/>
          <w:szCs w:val="16"/>
        </w:rPr>
      </w:pPr>
      <w:r w:rsidRPr="00640820">
        <w:rPr>
          <w:color w:val="000000" w:themeColor="text1"/>
          <w:sz w:val="16"/>
          <w:szCs w:val="16"/>
        </w:rPr>
        <w:t>И тем же вечером находившийся в тот день в Куйбышеве нарком Авиапрома СССР А.И.Шахурин собрал у себя дома, в отведенной для его эвакуированной из Москвы семьи двухкомнатной квартире, всех руководителей местных заводов авиационной промышленности, в том числе и дирекцию завода имени Сталина. Вот как об этом вспоминает сам Алексей Иванович.</w:t>
      </w:r>
    </w:p>
    <w:p w14:paraId="730E719F" w14:textId="77777777" w:rsidR="006F1376" w:rsidRPr="00640820" w:rsidRDefault="006F1376" w:rsidP="00640820">
      <w:pPr>
        <w:pStyle w:val="ae"/>
        <w:shd w:val="clear" w:color="auto" w:fill="FFFFFF"/>
        <w:spacing w:before="0" w:after="0"/>
        <w:jc w:val="both"/>
        <w:rPr>
          <w:color w:val="000000" w:themeColor="text1"/>
          <w:sz w:val="16"/>
          <w:szCs w:val="16"/>
        </w:rPr>
      </w:pPr>
      <w:r w:rsidRPr="00640820">
        <w:rPr>
          <w:color w:val="000000" w:themeColor="text1"/>
          <w:sz w:val="16"/>
          <w:szCs w:val="16"/>
        </w:rPr>
        <w:lastRenderedPageBreak/>
        <w:t>«Приехав домой, застал подготовку к приему в самом разгаре. Во дворе нашлись доски. Две табуретки и доска – получилась скамья. Два стула и доска – другая скамья. Козлы и еще несколько досок превратили в стол. Мобилизовали домашние продовольственные ресурсы а также посуду от соседей. Собрались дружно. В двухкомнатной квартире стало так тесно, что, казалось, можно только стоять. Но постепенно все утряслось. Все скромно одеты. Ни крахмальных сорочек, ни белых рубашек. Бросалось в глаза, что все побриты и подтянуты.</w:t>
      </w:r>
    </w:p>
    <w:p w14:paraId="0C29CE63" w14:textId="77777777" w:rsidR="006F1376" w:rsidRPr="00640820" w:rsidRDefault="006F1376" w:rsidP="00640820">
      <w:pPr>
        <w:pStyle w:val="ae"/>
        <w:shd w:val="clear" w:color="auto" w:fill="FFFFFF"/>
        <w:spacing w:before="0" w:after="0"/>
        <w:jc w:val="both"/>
        <w:rPr>
          <w:color w:val="000000" w:themeColor="text1"/>
          <w:sz w:val="16"/>
          <w:szCs w:val="16"/>
        </w:rPr>
      </w:pPr>
      <w:r w:rsidRPr="00640820">
        <w:rPr>
          <w:color w:val="000000" w:themeColor="text1"/>
          <w:sz w:val="16"/>
          <w:szCs w:val="16"/>
        </w:rPr>
        <w:t>Гости – одни мужчины. Шли они, конечно, к своему наркому, но попали в теплую домашнюю обстановку, которой многие из них в эти дни были лишены.</w:t>
      </w:r>
    </w:p>
    <w:p w14:paraId="3ADF558D" w14:textId="77777777" w:rsidR="006F1376" w:rsidRPr="00640820" w:rsidRDefault="006F1376" w:rsidP="00640820">
      <w:pPr>
        <w:pStyle w:val="ae"/>
        <w:shd w:val="clear" w:color="auto" w:fill="FFFFFF"/>
        <w:spacing w:before="0" w:after="0"/>
        <w:jc w:val="both"/>
        <w:rPr>
          <w:color w:val="000000" w:themeColor="text1"/>
          <w:sz w:val="16"/>
          <w:szCs w:val="16"/>
        </w:rPr>
      </w:pPr>
      <w:r w:rsidRPr="00640820">
        <w:rPr>
          <w:color w:val="000000" w:themeColor="text1"/>
          <w:sz w:val="16"/>
          <w:szCs w:val="16"/>
        </w:rPr>
        <w:t>Чувствовалось, что все рады встрече. Собрались директора, главные инженеры, секретари парткомов заводов, которые выпускали в Куйбышеве боевые самолеты, но одни давали для них моторы, другие – шасси, третьи – агрегаты, бронекорпуса, винты, установки вооружения, радиаторы и т.д. Тосты были яркими, горячими. Все понимали, что самолеты нужны немедленно, как можно скорей. Каждый из присутствующих представлял коллектив в тысячи и десятки тысяч человек. Неожиданно празднество вылилось во взаимные обязательства и требования.</w:t>
      </w:r>
    </w:p>
    <w:p w14:paraId="24E1D4CC" w14:textId="77777777" w:rsidR="006F1376" w:rsidRPr="00640820" w:rsidRDefault="006F1376" w:rsidP="00640820">
      <w:pPr>
        <w:pStyle w:val="ae"/>
        <w:shd w:val="clear" w:color="auto" w:fill="FFFFFF"/>
        <w:spacing w:before="0" w:after="0"/>
        <w:jc w:val="both"/>
        <w:rPr>
          <w:color w:val="000000" w:themeColor="text1"/>
          <w:sz w:val="16"/>
          <w:szCs w:val="16"/>
        </w:rPr>
      </w:pPr>
      <w:r w:rsidRPr="00640820">
        <w:rPr>
          <w:color w:val="000000" w:themeColor="text1"/>
          <w:sz w:val="16"/>
          <w:szCs w:val="16"/>
        </w:rPr>
        <w:t>Темпераментный Куинджи, главный инженер моторного завода, горячий человек, но опытный работник говорил, что их завод уже через месяц начнет выпускать двигатели, полностью изготовленные из деталей здешнего производства, и призвал самолетчиков быть готовыми к этому. Самолетчики приняли вызов и в свою очередь обратились к представителям других заводов и строителям.</w:t>
      </w:r>
    </w:p>
    <w:p w14:paraId="06AD5008" w14:textId="77777777" w:rsidR="006F1376" w:rsidRPr="00640820" w:rsidRDefault="006F1376" w:rsidP="00640820">
      <w:pPr>
        <w:pStyle w:val="ae"/>
        <w:shd w:val="clear" w:color="auto" w:fill="FFFFFF"/>
        <w:spacing w:before="0" w:after="0"/>
        <w:jc w:val="both"/>
        <w:rPr>
          <w:color w:val="000000" w:themeColor="text1"/>
          <w:sz w:val="16"/>
          <w:szCs w:val="16"/>
        </w:rPr>
      </w:pPr>
      <w:r w:rsidRPr="00640820">
        <w:rPr>
          <w:color w:val="000000" w:themeColor="text1"/>
          <w:sz w:val="16"/>
          <w:szCs w:val="16"/>
        </w:rPr>
        <w:t>Не скажу, что заранее задумал такой нашу встречу, нет. Она получилась сама собой, как результат, видимо, особой ответственности за судьбу Родины. Все понимали, как велика опасность, нависшая над страной, и не могли думать и говорить иначе. Вот почему сразу же встал вопрос о сроках выпуска боевой техники на новых местах, сроках совершенно невероятных в других условиях. Эти сроки еще не были опробированы коллективным опытом и не подкреплены волей коллективов, но это был уже призыв руководителей и их самообязательств" (19827).</w:t>
      </w:r>
    </w:p>
    <w:p w14:paraId="41E4060B" w14:textId="77777777" w:rsidR="006F1376" w:rsidRPr="00640820" w:rsidRDefault="006F1376" w:rsidP="00640820">
      <w:pPr>
        <w:pStyle w:val="ae"/>
        <w:shd w:val="clear" w:color="auto" w:fill="FFFFFF"/>
        <w:spacing w:before="0" w:after="0"/>
        <w:jc w:val="both"/>
        <w:rPr>
          <w:color w:val="000000" w:themeColor="text1"/>
          <w:sz w:val="16"/>
          <w:szCs w:val="16"/>
        </w:rPr>
      </w:pPr>
    </w:p>
    <w:p w14:paraId="63C8A4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ноября 1941 в Куйбышеве был грандиозный военный парад - демонстрировали дипкорпусу. Участвовало до 700 самолетов и в том числе - много штурмовиков (180,80), которые прошли на низкой высоте и произвели большое впечатление (337,52).</w:t>
      </w:r>
    </w:p>
    <w:p w14:paraId="2351CC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Размещение иностранных посольств и миссий в Куйбышеве в 1941-1942 гг.</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90"/>
        <w:gridCol w:w="2415"/>
        <w:gridCol w:w="3690"/>
        <w:gridCol w:w="2130"/>
      </w:tblGrid>
      <w:tr w:rsidR="00643896" w:rsidRPr="00640820" w14:paraId="4577CE60" w14:textId="77777777" w:rsidTr="000D3BCB">
        <w:tc>
          <w:tcPr>
            <w:tcW w:w="390" w:type="dxa"/>
            <w:tcBorders>
              <w:top w:val="single" w:sz="12" w:space="0" w:color="auto"/>
            </w:tcBorders>
          </w:tcPr>
          <w:p w14:paraId="143115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2415" w:type="dxa"/>
            <w:tcBorders>
              <w:top w:val="single" w:sz="12" w:space="0" w:color="auto"/>
            </w:tcBorders>
          </w:tcPr>
          <w:p w14:paraId="3A21B6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Посольство</w:t>
            </w:r>
          </w:p>
        </w:tc>
        <w:tc>
          <w:tcPr>
            <w:tcW w:w="3690" w:type="dxa"/>
            <w:tcBorders>
              <w:top w:val="single" w:sz="12" w:space="0" w:color="auto"/>
            </w:tcBorders>
          </w:tcPr>
          <w:p w14:paraId="3A6FA5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w:t>
            </w:r>
          </w:p>
        </w:tc>
        <w:tc>
          <w:tcPr>
            <w:tcW w:w="2130" w:type="dxa"/>
            <w:tcBorders>
              <w:top w:val="single" w:sz="12" w:space="0" w:color="auto"/>
            </w:tcBorders>
          </w:tcPr>
          <w:p w14:paraId="682098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Здание</w:t>
            </w:r>
          </w:p>
        </w:tc>
      </w:tr>
      <w:tr w:rsidR="00643896" w:rsidRPr="00640820" w14:paraId="7988CCAB" w14:textId="77777777" w:rsidTr="000D3BCB">
        <w:tc>
          <w:tcPr>
            <w:tcW w:w="390" w:type="dxa"/>
          </w:tcPr>
          <w:p w14:paraId="203503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2415" w:type="dxa"/>
          </w:tcPr>
          <w:p w14:paraId="2CDFC1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Австралии</w:t>
            </w:r>
          </w:p>
        </w:tc>
        <w:tc>
          <w:tcPr>
            <w:tcW w:w="3690" w:type="dxa"/>
          </w:tcPr>
          <w:p w14:paraId="1F1E09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Куйбышева, 110*</w:t>
            </w:r>
          </w:p>
        </w:tc>
        <w:tc>
          <w:tcPr>
            <w:tcW w:w="2130" w:type="dxa"/>
          </w:tcPr>
          <w:p w14:paraId="5E5838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4B27DA1" w14:textId="77777777" w:rsidTr="000D3BCB">
        <w:tc>
          <w:tcPr>
            <w:tcW w:w="390" w:type="dxa"/>
          </w:tcPr>
          <w:p w14:paraId="1020AA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2415" w:type="dxa"/>
          </w:tcPr>
          <w:p w14:paraId="50282D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Афганистана</w:t>
            </w:r>
          </w:p>
        </w:tc>
        <w:tc>
          <w:tcPr>
            <w:tcW w:w="3690" w:type="dxa"/>
          </w:tcPr>
          <w:p w14:paraId="3064A3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Куйбышева, 137*</w:t>
            </w:r>
          </w:p>
        </w:tc>
        <w:tc>
          <w:tcPr>
            <w:tcW w:w="2130" w:type="dxa"/>
          </w:tcPr>
          <w:p w14:paraId="1FE4B9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 сохранилось</w:t>
            </w:r>
          </w:p>
        </w:tc>
      </w:tr>
      <w:tr w:rsidR="00643896" w:rsidRPr="00640820" w14:paraId="162766C9" w14:textId="77777777" w:rsidTr="000D3BCB">
        <w:tc>
          <w:tcPr>
            <w:tcW w:w="390" w:type="dxa"/>
          </w:tcPr>
          <w:p w14:paraId="6E8A54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c>
          <w:tcPr>
            <w:tcW w:w="2415" w:type="dxa"/>
          </w:tcPr>
          <w:p w14:paraId="4BC6F9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Бельгии (с 1.8.1942)</w:t>
            </w:r>
          </w:p>
        </w:tc>
        <w:tc>
          <w:tcPr>
            <w:tcW w:w="3690" w:type="dxa"/>
          </w:tcPr>
          <w:p w14:paraId="2B612C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Садовая, 166 *</w:t>
            </w:r>
          </w:p>
        </w:tc>
        <w:tc>
          <w:tcPr>
            <w:tcW w:w="2130" w:type="dxa"/>
          </w:tcPr>
          <w:p w14:paraId="49ECA2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EF9C9B6" w14:textId="77777777" w:rsidTr="000D3BCB">
        <w:tc>
          <w:tcPr>
            <w:tcW w:w="390" w:type="dxa"/>
          </w:tcPr>
          <w:p w14:paraId="009EE9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2415" w:type="dxa"/>
          </w:tcPr>
          <w:p w14:paraId="6B678A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Болгарии</w:t>
            </w:r>
          </w:p>
        </w:tc>
        <w:tc>
          <w:tcPr>
            <w:tcW w:w="3690" w:type="dxa"/>
          </w:tcPr>
          <w:p w14:paraId="7E3FF8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Молодогвардейская, 119-126*</w:t>
            </w:r>
          </w:p>
        </w:tc>
        <w:tc>
          <w:tcPr>
            <w:tcW w:w="2130" w:type="dxa"/>
          </w:tcPr>
          <w:p w14:paraId="773889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9A9805F" w14:textId="77777777" w:rsidTr="000D3BCB">
        <w:tc>
          <w:tcPr>
            <w:tcW w:w="390" w:type="dxa"/>
          </w:tcPr>
          <w:p w14:paraId="5FBC35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2415" w:type="dxa"/>
          </w:tcPr>
          <w:p w14:paraId="52667F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Великобритании</w:t>
            </w:r>
          </w:p>
        </w:tc>
        <w:tc>
          <w:tcPr>
            <w:tcW w:w="3690" w:type="dxa"/>
          </w:tcPr>
          <w:p w14:paraId="413E19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Куйбышева, 151*</w:t>
            </w:r>
          </w:p>
        </w:tc>
        <w:tc>
          <w:tcPr>
            <w:tcW w:w="2130" w:type="dxa"/>
          </w:tcPr>
          <w:p w14:paraId="066E89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E87C2CC" w14:textId="77777777" w:rsidTr="000D3BCB">
        <w:tc>
          <w:tcPr>
            <w:tcW w:w="390" w:type="dxa"/>
          </w:tcPr>
          <w:p w14:paraId="56AEA2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415" w:type="dxa"/>
          </w:tcPr>
          <w:p w14:paraId="04AAD6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Военная миссия</w:t>
            </w:r>
          </w:p>
        </w:tc>
        <w:tc>
          <w:tcPr>
            <w:tcW w:w="3690" w:type="dxa"/>
          </w:tcPr>
          <w:p w14:paraId="28FE1F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Степана Разина, 106*</w:t>
            </w:r>
          </w:p>
        </w:tc>
        <w:tc>
          <w:tcPr>
            <w:tcW w:w="2130" w:type="dxa"/>
          </w:tcPr>
          <w:p w14:paraId="3802CD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2639204" w14:textId="77777777" w:rsidTr="000D3BCB">
        <w:tc>
          <w:tcPr>
            <w:tcW w:w="390" w:type="dxa"/>
          </w:tcPr>
          <w:p w14:paraId="1948E3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c>
          <w:tcPr>
            <w:tcW w:w="2415" w:type="dxa"/>
          </w:tcPr>
          <w:p w14:paraId="1C5430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Греции</w:t>
            </w:r>
          </w:p>
        </w:tc>
        <w:tc>
          <w:tcPr>
            <w:tcW w:w="3690" w:type="dxa"/>
          </w:tcPr>
          <w:p w14:paraId="64E216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Максима Горького, 126*</w:t>
            </w:r>
          </w:p>
        </w:tc>
        <w:tc>
          <w:tcPr>
            <w:tcW w:w="2130" w:type="dxa"/>
          </w:tcPr>
          <w:p w14:paraId="50972B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E2DEE12" w14:textId="77777777" w:rsidTr="000D3BCB">
        <w:tc>
          <w:tcPr>
            <w:tcW w:w="390" w:type="dxa"/>
          </w:tcPr>
          <w:p w14:paraId="50E573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w:t>
            </w:r>
          </w:p>
        </w:tc>
        <w:tc>
          <w:tcPr>
            <w:tcW w:w="2415" w:type="dxa"/>
          </w:tcPr>
          <w:p w14:paraId="0D9768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Ирана</w:t>
            </w:r>
          </w:p>
        </w:tc>
        <w:tc>
          <w:tcPr>
            <w:tcW w:w="3690" w:type="dxa"/>
          </w:tcPr>
          <w:p w14:paraId="048AC3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Степана Разина, 130*</w:t>
            </w:r>
          </w:p>
        </w:tc>
        <w:tc>
          <w:tcPr>
            <w:tcW w:w="2130" w:type="dxa"/>
          </w:tcPr>
          <w:p w14:paraId="5A807C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3FF99EC" w14:textId="77777777" w:rsidTr="000D3BCB">
        <w:tc>
          <w:tcPr>
            <w:tcW w:w="390" w:type="dxa"/>
          </w:tcPr>
          <w:p w14:paraId="1312D6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w:t>
            </w:r>
          </w:p>
        </w:tc>
        <w:tc>
          <w:tcPr>
            <w:tcW w:w="2415" w:type="dxa"/>
          </w:tcPr>
          <w:p w14:paraId="54B4E0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Канады</w:t>
            </w:r>
          </w:p>
        </w:tc>
        <w:tc>
          <w:tcPr>
            <w:tcW w:w="3690" w:type="dxa"/>
          </w:tcPr>
          <w:p w14:paraId="3A26D0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Чапаевская, 181*</w:t>
            </w:r>
          </w:p>
        </w:tc>
        <w:tc>
          <w:tcPr>
            <w:tcW w:w="2130" w:type="dxa"/>
          </w:tcPr>
          <w:p w14:paraId="7E12D8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A0F19A6" w14:textId="77777777" w:rsidTr="000D3BCB">
        <w:tc>
          <w:tcPr>
            <w:tcW w:w="390" w:type="dxa"/>
          </w:tcPr>
          <w:p w14:paraId="6FC0B7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tc>
        <w:tc>
          <w:tcPr>
            <w:tcW w:w="2415" w:type="dxa"/>
          </w:tcPr>
          <w:p w14:paraId="4F5B98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Китая</w:t>
            </w:r>
          </w:p>
        </w:tc>
        <w:tc>
          <w:tcPr>
            <w:tcW w:w="3690" w:type="dxa"/>
          </w:tcPr>
          <w:p w14:paraId="080089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Степана Разина, 108*</w:t>
            </w:r>
          </w:p>
        </w:tc>
        <w:tc>
          <w:tcPr>
            <w:tcW w:w="2130" w:type="dxa"/>
          </w:tcPr>
          <w:p w14:paraId="17AC5A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9717E17" w14:textId="77777777" w:rsidTr="000D3BCB">
        <w:tc>
          <w:tcPr>
            <w:tcW w:w="390" w:type="dxa"/>
          </w:tcPr>
          <w:p w14:paraId="4057CB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2415" w:type="dxa"/>
          </w:tcPr>
          <w:p w14:paraId="031FF6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Мексики</w:t>
            </w:r>
          </w:p>
        </w:tc>
        <w:tc>
          <w:tcPr>
            <w:tcW w:w="3690" w:type="dxa"/>
          </w:tcPr>
          <w:p w14:paraId="7C4869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2130" w:type="dxa"/>
          </w:tcPr>
          <w:p w14:paraId="010434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36E08F0" w14:textId="77777777" w:rsidTr="000D3BCB">
        <w:tc>
          <w:tcPr>
            <w:tcW w:w="390" w:type="dxa"/>
          </w:tcPr>
          <w:p w14:paraId="31FF0A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111</w:t>
            </w:r>
          </w:p>
        </w:tc>
        <w:tc>
          <w:tcPr>
            <w:tcW w:w="2415" w:type="dxa"/>
          </w:tcPr>
          <w:p w14:paraId="203C12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Монголии</w:t>
            </w:r>
          </w:p>
        </w:tc>
        <w:tc>
          <w:tcPr>
            <w:tcW w:w="3690" w:type="dxa"/>
          </w:tcPr>
          <w:p w14:paraId="3BAE8D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Красноармейская, 84*</w:t>
            </w:r>
          </w:p>
        </w:tc>
        <w:tc>
          <w:tcPr>
            <w:tcW w:w="2130" w:type="dxa"/>
          </w:tcPr>
          <w:p w14:paraId="32813F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4DDF498" w14:textId="77777777" w:rsidTr="000D3BCB">
        <w:tc>
          <w:tcPr>
            <w:tcW w:w="390" w:type="dxa"/>
          </w:tcPr>
          <w:p w14:paraId="4F59A7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w:t>
            </w:r>
          </w:p>
        </w:tc>
        <w:tc>
          <w:tcPr>
            <w:tcW w:w="2415" w:type="dxa"/>
          </w:tcPr>
          <w:p w14:paraId="3D6FF1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Норвегии</w:t>
            </w:r>
          </w:p>
        </w:tc>
        <w:tc>
          <w:tcPr>
            <w:tcW w:w="3690" w:type="dxa"/>
          </w:tcPr>
          <w:p w14:paraId="0AA38C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Чапаевская, 119*</w:t>
            </w:r>
          </w:p>
        </w:tc>
        <w:tc>
          <w:tcPr>
            <w:tcW w:w="2130" w:type="dxa"/>
          </w:tcPr>
          <w:p w14:paraId="3F4DC0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24525D7" w14:textId="77777777" w:rsidTr="000D3BCB">
        <w:tc>
          <w:tcPr>
            <w:tcW w:w="390" w:type="dxa"/>
          </w:tcPr>
          <w:p w14:paraId="71FD30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w:t>
            </w:r>
          </w:p>
        </w:tc>
        <w:tc>
          <w:tcPr>
            <w:tcW w:w="2415" w:type="dxa"/>
          </w:tcPr>
          <w:p w14:paraId="194425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Польши</w:t>
            </w:r>
          </w:p>
        </w:tc>
        <w:tc>
          <w:tcPr>
            <w:tcW w:w="3690" w:type="dxa"/>
          </w:tcPr>
          <w:p w14:paraId="6652C0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Чапаевская, 165*</w:t>
            </w:r>
          </w:p>
        </w:tc>
        <w:tc>
          <w:tcPr>
            <w:tcW w:w="2130" w:type="dxa"/>
          </w:tcPr>
          <w:p w14:paraId="0FAA45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A83A563" w14:textId="77777777" w:rsidTr="000D3BCB">
        <w:tc>
          <w:tcPr>
            <w:tcW w:w="390" w:type="dxa"/>
          </w:tcPr>
          <w:p w14:paraId="01C964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w:t>
            </w:r>
          </w:p>
        </w:tc>
        <w:tc>
          <w:tcPr>
            <w:tcW w:w="2415" w:type="dxa"/>
          </w:tcPr>
          <w:p w14:paraId="261F64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США</w:t>
            </w:r>
          </w:p>
        </w:tc>
        <w:tc>
          <w:tcPr>
            <w:tcW w:w="3690" w:type="dxa"/>
          </w:tcPr>
          <w:p w14:paraId="1D54AD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Некрасовская, 62*</w:t>
            </w:r>
          </w:p>
        </w:tc>
        <w:tc>
          <w:tcPr>
            <w:tcW w:w="2130" w:type="dxa"/>
          </w:tcPr>
          <w:p w14:paraId="548C6E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военная миссия</w:t>
            </w:r>
          </w:p>
        </w:tc>
      </w:tr>
      <w:tr w:rsidR="00643896" w:rsidRPr="00640820" w14:paraId="02994EC5" w14:textId="77777777" w:rsidTr="000D3BCB">
        <w:tc>
          <w:tcPr>
            <w:tcW w:w="390" w:type="dxa"/>
          </w:tcPr>
          <w:p w14:paraId="176C84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2415" w:type="dxa"/>
          </w:tcPr>
          <w:p w14:paraId="392621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Тувы</w:t>
            </w:r>
          </w:p>
        </w:tc>
        <w:tc>
          <w:tcPr>
            <w:tcW w:w="3690" w:type="dxa"/>
          </w:tcPr>
          <w:p w14:paraId="06D6F3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Красноармейская, 34*</w:t>
            </w:r>
          </w:p>
        </w:tc>
        <w:tc>
          <w:tcPr>
            <w:tcW w:w="2130" w:type="dxa"/>
          </w:tcPr>
          <w:p w14:paraId="7F5533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 сохранилось</w:t>
            </w:r>
          </w:p>
        </w:tc>
      </w:tr>
      <w:tr w:rsidR="00643896" w:rsidRPr="00640820" w14:paraId="7BFFB534" w14:textId="77777777" w:rsidTr="000D3BCB">
        <w:tc>
          <w:tcPr>
            <w:tcW w:w="390" w:type="dxa"/>
          </w:tcPr>
          <w:p w14:paraId="4E6F94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w:t>
            </w:r>
          </w:p>
        </w:tc>
        <w:tc>
          <w:tcPr>
            <w:tcW w:w="2415" w:type="dxa"/>
          </w:tcPr>
          <w:p w14:paraId="2992E1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Турции</w:t>
            </w:r>
          </w:p>
        </w:tc>
        <w:tc>
          <w:tcPr>
            <w:tcW w:w="3690" w:type="dxa"/>
          </w:tcPr>
          <w:p w14:paraId="02F033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Фрунзе, 57*</w:t>
            </w:r>
          </w:p>
        </w:tc>
        <w:tc>
          <w:tcPr>
            <w:tcW w:w="2130" w:type="dxa"/>
          </w:tcPr>
          <w:p w14:paraId="53E464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54FAB21" w14:textId="77777777" w:rsidTr="000D3BCB">
        <w:tc>
          <w:tcPr>
            <w:tcW w:w="390" w:type="dxa"/>
          </w:tcPr>
          <w:p w14:paraId="1BD781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w:t>
            </w:r>
          </w:p>
        </w:tc>
        <w:tc>
          <w:tcPr>
            <w:tcW w:w="2415" w:type="dxa"/>
          </w:tcPr>
          <w:p w14:paraId="357FB9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Чехословакии</w:t>
            </w:r>
          </w:p>
        </w:tc>
        <w:tc>
          <w:tcPr>
            <w:tcW w:w="3690" w:type="dxa"/>
          </w:tcPr>
          <w:p w14:paraId="7FF875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Фрунзе, 57-113*</w:t>
            </w:r>
          </w:p>
        </w:tc>
        <w:tc>
          <w:tcPr>
            <w:tcW w:w="2130" w:type="dxa"/>
          </w:tcPr>
          <w:p w14:paraId="79CBAA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9456FE9" w14:textId="77777777" w:rsidTr="000D3BCB">
        <w:tc>
          <w:tcPr>
            <w:tcW w:w="390" w:type="dxa"/>
          </w:tcPr>
          <w:p w14:paraId="2C64BB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w:t>
            </w:r>
          </w:p>
        </w:tc>
        <w:tc>
          <w:tcPr>
            <w:tcW w:w="2415" w:type="dxa"/>
          </w:tcPr>
          <w:p w14:paraId="2F8A29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Швеции</w:t>
            </w:r>
          </w:p>
        </w:tc>
        <w:tc>
          <w:tcPr>
            <w:tcW w:w="3690" w:type="dxa"/>
          </w:tcPr>
          <w:p w14:paraId="626C81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Красноармейская, 15*,</w:t>
            </w:r>
          </w:p>
          <w:p w14:paraId="77BB52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(особняк Курлиной)</w:t>
            </w:r>
          </w:p>
        </w:tc>
        <w:tc>
          <w:tcPr>
            <w:tcW w:w="2130" w:type="dxa"/>
          </w:tcPr>
          <w:p w14:paraId="6864AC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филиал СОИКМ им. Алабина</w:t>
            </w:r>
          </w:p>
        </w:tc>
      </w:tr>
      <w:tr w:rsidR="00643896" w:rsidRPr="00640820" w14:paraId="31EBDEBE" w14:textId="77777777" w:rsidTr="000D3BCB">
        <w:tc>
          <w:tcPr>
            <w:tcW w:w="390" w:type="dxa"/>
          </w:tcPr>
          <w:p w14:paraId="77E336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w:t>
            </w:r>
          </w:p>
        </w:tc>
        <w:tc>
          <w:tcPr>
            <w:tcW w:w="2415" w:type="dxa"/>
          </w:tcPr>
          <w:p w14:paraId="62A06C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Югославии</w:t>
            </w:r>
          </w:p>
        </w:tc>
        <w:tc>
          <w:tcPr>
            <w:tcW w:w="3690" w:type="dxa"/>
          </w:tcPr>
          <w:p w14:paraId="3F7BB6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Фрунзе, 51-54*</w:t>
            </w:r>
          </w:p>
        </w:tc>
        <w:tc>
          <w:tcPr>
            <w:tcW w:w="2130" w:type="dxa"/>
          </w:tcPr>
          <w:p w14:paraId="081893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E7FC796" w14:textId="77777777" w:rsidTr="000D3BCB">
        <w:tc>
          <w:tcPr>
            <w:tcW w:w="390" w:type="dxa"/>
          </w:tcPr>
          <w:p w14:paraId="40CCF7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2415" w:type="dxa"/>
          </w:tcPr>
          <w:p w14:paraId="1248E9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Японии</w:t>
            </w:r>
          </w:p>
        </w:tc>
        <w:tc>
          <w:tcPr>
            <w:tcW w:w="3690" w:type="dxa"/>
          </w:tcPr>
          <w:p w14:paraId="1241E7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Чапаевская, 80*</w:t>
            </w:r>
          </w:p>
        </w:tc>
        <w:tc>
          <w:tcPr>
            <w:tcW w:w="2130" w:type="dxa"/>
          </w:tcPr>
          <w:p w14:paraId="05490C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8551574" w14:textId="77777777" w:rsidTr="000D3BCB">
        <w:tc>
          <w:tcPr>
            <w:tcW w:w="390" w:type="dxa"/>
          </w:tcPr>
          <w:p w14:paraId="6718BA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w:t>
            </w:r>
          </w:p>
        </w:tc>
        <w:tc>
          <w:tcPr>
            <w:tcW w:w="2415" w:type="dxa"/>
          </w:tcPr>
          <w:p w14:paraId="3AA4A3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Французский КНО</w:t>
            </w:r>
          </w:p>
        </w:tc>
        <w:tc>
          <w:tcPr>
            <w:tcW w:w="3690" w:type="dxa"/>
          </w:tcPr>
          <w:p w14:paraId="5921A8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Куйбышевская, 111*</w:t>
            </w:r>
          </w:p>
        </w:tc>
        <w:tc>
          <w:tcPr>
            <w:tcW w:w="2130" w:type="dxa"/>
          </w:tcPr>
          <w:p w14:paraId="7B5148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F01840A" w14:textId="77777777" w:rsidTr="000D3BCB">
        <w:tc>
          <w:tcPr>
            <w:tcW w:w="390" w:type="dxa"/>
            <w:tcBorders>
              <w:bottom w:val="single" w:sz="12" w:space="0" w:color="auto"/>
            </w:tcBorders>
          </w:tcPr>
          <w:p w14:paraId="7324ED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w:t>
            </w:r>
          </w:p>
        </w:tc>
        <w:tc>
          <w:tcPr>
            <w:tcW w:w="2415" w:type="dxa"/>
            <w:tcBorders>
              <w:bottom w:val="single" w:sz="12" w:space="0" w:color="auto"/>
            </w:tcBorders>
          </w:tcPr>
          <w:p w14:paraId="6AB6BE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миссия Кубы</w:t>
            </w:r>
          </w:p>
        </w:tc>
        <w:tc>
          <w:tcPr>
            <w:tcW w:w="3690" w:type="dxa"/>
            <w:tcBorders>
              <w:bottom w:val="single" w:sz="12" w:space="0" w:color="auto"/>
            </w:tcBorders>
          </w:tcPr>
          <w:p w14:paraId="7FB63C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2130" w:type="dxa"/>
            <w:tcBorders>
              <w:bottom w:val="single" w:sz="12" w:space="0" w:color="auto"/>
            </w:tcBorders>
          </w:tcPr>
          <w:p w14:paraId="0D48DA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bl>
    <w:p w14:paraId="383344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(11020).</w:t>
      </w:r>
    </w:p>
    <w:p w14:paraId="21C89C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83401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ноября 1941 50 шт. Ил-2 Воронежской аб приняли участие в параде в Куйбышеве (3846,15).</w:t>
      </w:r>
    </w:p>
    <w:p w14:paraId="6E2C1D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D79145C" w14:textId="77777777" w:rsidR="009A0766" w:rsidRPr="00640820" w:rsidRDefault="009A0766"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7 ноября</w:t>
      </w:r>
      <w:r w:rsidRPr="00640820">
        <w:rPr>
          <w:rFonts w:ascii="Times New Roman" w:hAnsi="Times New Roman"/>
          <w:color w:val="000000" w:themeColor="text1"/>
          <w:sz w:val="16"/>
          <w:szCs w:val="16"/>
        </w:rPr>
        <w:t xml:space="preserve"> в 1941 году на военном параде в Куйбышеве пролетело более 700 самолетов (14823).</w:t>
      </w:r>
    </w:p>
    <w:p w14:paraId="190EDEDF" w14:textId="77777777" w:rsidR="009A0766" w:rsidRPr="00640820" w:rsidRDefault="009A0766" w:rsidP="00640820">
      <w:pPr>
        <w:spacing w:after="0" w:line="240" w:lineRule="auto"/>
        <w:jc w:val="both"/>
        <w:rPr>
          <w:rFonts w:ascii="Times New Roman" w:hAnsi="Times New Roman"/>
          <w:color w:val="000000" w:themeColor="text1"/>
          <w:sz w:val="16"/>
          <w:szCs w:val="16"/>
        </w:rPr>
      </w:pPr>
    </w:p>
    <w:p w14:paraId="6A88D5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Утро 7 ноября 1941 года было морозным и пасмурным. Шел небольшой снежок. На главной площади Куйбышева выстроились войска, участвующие в параде. На трибуну поднялись руководители партии и правительства: Калинин, Андреев, Шверник, Вознесенский, Шкирятов, Вышинский и другие, а также местные партийные и советские руководители. Рядом с трибуной находились многочисленные гости, среди которых были дипломаты и иностранные корреспонденты. Верхом на коне на площади появился маршал Советского Союза Ворошилов. Навстречу ему, тоже на коне, проследовал командующий парадом генерал-лейтенант Пуркаев и отдал рапорт. Вместе они объехали войска и поздравили их с праздником Великой Октябрьской социалистической революции. В ответ неслось долго не смолкающее «Ура!». Затем Ворошилов поднялся на трибуну и произнес традиционную праздничную речь. В конце ее раздалось сорок артиллерийских залпов. Под звуки фанфар начался военный парад. Чеканя шаг, прошли части пехотных дивизий и подразделений военно-медицинской академии, размещавшейся тогда в Куйбышеве. Затем проследовала мотопехота, тягачи с артиллерий, бронемашины, танки. Проехали зенитные и прожекторные полки. Под звуки авиационного марша и крики «Ура!» волна за волной пролетели истребители, штурмовики, тяжелые бомбардировщики. Парад продолжался полтора часа и произвел огромное впечатление на присутствующих, особенно на иностранцев. Вечером на устроенном в честь праздника Октября приеме они засыпали военных вопросами, откуда в тыловом городе столько военной техники и почему она не на фронте? Им отвечали, что это резервы и их в стране достаточно, чтобы разбить самого сильного врага. Тем же вечером находившийся в Куйбышеве нарком Авиапрома СССР А.И.Шахурин собрал у себя дома, в отведенной для его эвакуированной из Москвы семьи двухкомнатной квартире, всех руководителей местных заводов авиационной промышленности. Вот как об этом вспоминает сам Алексей Иванович. </w:t>
      </w:r>
    </w:p>
    <w:p w14:paraId="1E7343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«Приехав домой, застал подготовку к приему в самом разгаре. Во дворе нашлись доски. Две табуретки и доска – получилась скамья. Два стула и доска – другая скамья. Козлы и еще несколько досок превратили в стол. Мобилизовали домашние продовольственные ресурсы а также посуду от соседей. Собрались дружно. В двухкомнатной квартире стало так тесно, что, казалось, можно только стоять. Но постепенно все утряслось. Все скромно одеты. Ни крахмальных сорочек, ни белых рубашек. Бросалось в глаза, что все побриты и подтянуты. Гости – одни мужчины. Шли они, конечно, к своему наркому, но попали в теплую домашнюю обстановку, которой многие из них в эти дни были лишены. Чувствовалось, что все рады встрече. Собрались директора, главные инженеры, секретари парткомов заводов, которые выпускали в Куйбышеве боевые самолеты, но одни давали для них моторы, другие – шасси, третьи – агрегаты, бронекорпуса, винты, установки вооружения, радиаторы и т.д. Тосты были яркими, горячими. Все понимали, что самолеты нужны немедленно, как можно скорей. Каждый из присутствующих представлял коллектив в тысячи и десятки тысяч человек. Неожиданно празднество вылилось во взаимные обязательства и требования. Темпераментный Куинджи, главный инженер моторного завода, горячий человек, но опытный работник говорил, что их завод уже через месяц начнет выпускать двигатели, полностью изготовленные из деталей здешнего производства, и призвал самолетчиков быть готовыми к этому. Самолетчики приняли вызов и в свою очередь обратились к представителям других заводов и строителям. Не скажу, что заранее задумал такой нашу встречу, нет. Она получилась сама собой, как результат, видимо, особой ответственности за судьбу Родины. Все понимали, как велика опасность, нависшая над страной, и не могли думать и говорить иначе. Вот почему сразу же встал вопрос о сроках выпуска боевой техники на новых местах, сроках совершенно невероятных в других условиях. Эти сроки еще не были опробированы коллективным опытом и не подкреплены волей коллективов, но это был уже призыв руководителей и их самообязательства» (11878).</w:t>
      </w:r>
    </w:p>
    <w:p w14:paraId="46FA01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00CD8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преддверии праздника 7 ноября 1941 года и предстоящего, но державшегося пока в секрете военного парада, куйбышевские силы ПВО в дополнение к ранее принятым мерам установили ночные дежурства на предприятиях и в жилых домах. С 18 часов вечера и до 6 утра дежурные следили за соблюдением режима светомаскировки и пожарной безопасности. Им вменялось в обязанность не допускать хранение на чердаках легковоспламеняющихся материалов, а в случае </w:t>
      </w:r>
      <w:r w:rsidRPr="00640820">
        <w:rPr>
          <w:rFonts w:ascii="Times New Roman" w:hAnsi="Times New Roman"/>
          <w:color w:val="000000" w:themeColor="text1"/>
          <w:sz w:val="16"/>
          <w:szCs w:val="16"/>
        </w:rPr>
        <w:lastRenderedPageBreak/>
        <w:t>появления какой-либо опасности оповещать о ней милицию и пожарных. Граждане, уклоняющиеся от дежурств или не соблюдающие меры безопасности, подвергались штрафу или даже привлекались к уголовной ответственности (11878).</w:t>
      </w:r>
    </w:p>
    <w:p w14:paraId="07C9FC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AE8FC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ноября 1941 на параде в Москве два последних КВ у Мавзолея развернулись и пошли назад. Оказалось по рации получили призыв от третьего, который забуксовал и не мог подняться на площадь (575,151).</w:t>
      </w:r>
    </w:p>
    <w:p w14:paraId="072B39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03D14B1" w14:textId="77777777" w:rsidR="00165A9C" w:rsidRPr="00640820" w:rsidRDefault="00165A9C" w:rsidP="00640820">
      <w:pPr>
        <w:pStyle w:val="1f9"/>
        <w:spacing w:before="0" w:after="0"/>
        <w:jc w:val="both"/>
        <w:rPr>
          <w:color w:val="000000" w:themeColor="text1"/>
          <w:sz w:val="16"/>
          <w:szCs w:val="16"/>
        </w:rPr>
      </w:pPr>
      <w:r w:rsidRPr="00640820">
        <w:rPr>
          <w:color w:val="000000" w:themeColor="text1"/>
          <w:sz w:val="16"/>
          <w:szCs w:val="16"/>
        </w:rPr>
        <w:t>7 ноября 1941г. по решению Верховного Главнокомандующего И.В. Сталина в трёх городах страны – Москве на Красной площади, Куйбышеве, куда эвакуировалось советское правительство и Воронеже – одном из главных индустриальных центров страны, состоялись военные парады в честь годовщины Октябрьской революции.</w:t>
      </w:r>
    </w:p>
    <w:p w14:paraId="624F9D9F" w14:textId="77777777" w:rsidR="00165A9C" w:rsidRPr="00640820" w:rsidRDefault="00165A9C" w:rsidP="00640820">
      <w:pPr>
        <w:pStyle w:val="1f9"/>
        <w:spacing w:before="0" w:after="0"/>
        <w:jc w:val="both"/>
        <w:rPr>
          <w:color w:val="000000" w:themeColor="text1"/>
          <w:sz w:val="16"/>
          <w:szCs w:val="16"/>
        </w:rPr>
      </w:pPr>
      <w:r w:rsidRPr="00640820">
        <w:rPr>
          <w:color w:val="000000" w:themeColor="text1"/>
          <w:sz w:val="16"/>
          <w:szCs w:val="16"/>
        </w:rPr>
        <w:t xml:space="preserve">В Воронеже принимал парад заместитель наркома обороны страны, Главнокомандующий войсками Юго-Западного направления маршал Советского Союза С.К. Тимошенко. </w:t>
      </w:r>
    </w:p>
    <w:p w14:paraId="235EB601" w14:textId="77777777" w:rsidR="00165A9C" w:rsidRPr="00640820" w:rsidRDefault="00165A9C" w:rsidP="00640820">
      <w:pPr>
        <w:pStyle w:val="1f9"/>
        <w:spacing w:before="0" w:after="0"/>
        <w:jc w:val="both"/>
        <w:rPr>
          <w:color w:val="000000" w:themeColor="text1"/>
          <w:sz w:val="16"/>
          <w:szCs w:val="16"/>
        </w:rPr>
      </w:pPr>
      <w:r w:rsidRPr="00640820">
        <w:rPr>
          <w:color w:val="000000" w:themeColor="text1"/>
          <w:sz w:val="16"/>
          <w:szCs w:val="16"/>
        </w:rPr>
        <w:t>Командовал парадом заместитель командующего Юго-Западным фронтом генерал-лейтенант Ф.Я. Костенко. Парад войск Воронежского гарнизона проходил на главной городской площади которая в то время носила имя 20-летия Октября, на которой перед началом Великой Отечественной войны 7 ноября 1940г. был торжественно открыт памятник вождю мирового пролетариата В.И. Ленина. Символично, ровно через год шести с половиной метровая статуя весом более 14 тонн работы Н.В. Томского, В.В. Исаева и Н.А. Таурит отлитая на ленинградском заводе «Монументскульптура» стала направляющей силой победоносного удара Красной Армии. В фото архиве ГАВО бережно хранится фотография памятника с повешенной на вытянутой вперед правой руке вождя женщиной и с позирующими перед фотокамерой гитлеровцами. Эти фотографии были отпечатаны с негативов фотопленки, обнаруженной у убитого фашиста, после освобождения города 25 января 1943г.</w:t>
      </w:r>
    </w:p>
    <w:p w14:paraId="037904A8" w14:textId="77777777" w:rsidR="00165A9C" w:rsidRPr="00640820" w:rsidRDefault="00165A9C" w:rsidP="00640820">
      <w:pPr>
        <w:pStyle w:val="1f9"/>
        <w:spacing w:before="0" w:after="0"/>
        <w:jc w:val="both"/>
        <w:rPr>
          <w:color w:val="000000" w:themeColor="text1"/>
          <w:sz w:val="16"/>
          <w:szCs w:val="16"/>
        </w:rPr>
      </w:pPr>
      <w:r w:rsidRPr="00640820">
        <w:rPr>
          <w:color w:val="000000" w:themeColor="text1"/>
          <w:sz w:val="16"/>
          <w:szCs w:val="16"/>
        </w:rPr>
        <w:t>Самая массовая газета советского периода «Известия» за № 265 (7641), воскресенье от 9 ноября 1941г. в статье «100 тысячная демонстрация трудящихся Воронежа» так описывает хронику событий: «…В 11 час. утра на трибуну поднимаются член Военного Совета Юго-Западного направления генерал-майор Н.С. Хрущев, начальник оперативного отдела и заместитель начальника штаба Юго-Западного фронта генерал-майор Х.И. Баграмян, депутаты Верховных Советов Союза ССР и РСФСР, представители командования, писатели Ванда Василевская и Александр Корнейчук, руководители областных и городских партийных и советских организации.</w:t>
      </w:r>
    </w:p>
    <w:p w14:paraId="54B44EA9" w14:textId="77777777" w:rsidR="00165A9C" w:rsidRPr="00640820" w:rsidRDefault="00165A9C" w:rsidP="00640820">
      <w:pPr>
        <w:pStyle w:val="1f9"/>
        <w:spacing w:before="0" w:after="0"/>
        <w:jc w:val="both"/>
        <w:rPr>
          <w:color w:val="000000" w:themeColor="text1"/>
          <w:sz w:val="16"/>
          <w:szCs w:val="16"/>
        </w:rPr>
      </w:pPr>
      <w:r w:rsidRPr="00640820">
        <w:rPr>
          <w:color w:val="000000" w:themeColor="text1"/>
          <w:sz w:val="16"/>
          <w:szCs w:val="16"/>
        </w:rPr>
        <w:t>Командующий парадом генерал-лейтенант Костенко подает команду: «Смирно!» На площадь на своем боевом коне выезжает Герой и Маршал Советского Союза тов. С.К. Тимошенко. Он объезжает войска, здоровается с ними и передает им октябрьский привет. Могучим «ура» отзываются бойцы на приветствие полководца. Затем тов. С.К. Тимошенко поднимается на трибуну. Встреченный горячими рукоплесканиями, он обращается с речью к трудящимся Воронежа и частям Красной Армии. Поздравив бойцов, командиров, комиссаров и политработников, рабочих, работниц, колхозников, колхозниц и советскую интеллигенцию с праздником XXIV годовщины Октябрьской революции….» статья заканчивалась восклицанием «… Смерть гитлеровским кровавым собакам, стремящимся поработить и ограбить народы Советского Союза! – Этот лозунг высоко реет над колонной Ворошиловского к Кагановичского районов, которые открывают демонстрацию. Новый, военный дух имеет праздничная демонстрация. Воронежцы несут алые полотнища, на которых написано: «Задание по созданию оборонительных укреплений города Воронежа выполнено». Октябрьская демонстрация и парад показали, что трудящиеся Воронежа превратили свой город в крепость, о которую разобьют свои головы гитлеровские разбойники…»</w:t>
      </w:r>
    </w:p>
    <w:p w14:paraId="243A9AFD" w14:textId="77777777" w:rsidR="00165A9C" w:rsidRPr="00640820" w:rsidRDefault="00165A9C" w:rsidP="00640820">
      <w:pPr>
        <w:pStyle w:val="1f9"/>
        <w:spacing w:before="0" w:after="0"/>
        <w:jc w:val="both"/>
        <w:rPr>
          <w:color w:val="000000" w:themeColor="text1"/>
          <w:sz w:val="16"/>
          <w:szCs w:val="16"/>
        </w:rPr>
      </w:pPr>
      <w:r w:rsidRPr="00640820">
        <w:rPr>
          <w:color w:val="000000" w:themeColor="text1"/>
          <w:sz w:val="16"/>
          <w:szCs w:val="16"/>
        </w:rPr>
        <w:t>Нарком обороны СССР и представитель Ставки Главного Командования С.К. Тимошенко, обращается с речью к трудящимся Воронежа и частям Красной Армии:</w:t>
      </w:r>
    </w:p>
    <w:p w14:paraId="77589D78" w14:textId="77777777" w:rsidR="00165A9C" w:rsidRPr="00640820" w:rsidRDefault="00165A9C" w:rsidP="00640820">
      <w:pPr>
        <w:pStyle w:val="1f9"/>
        <w:spacing w:before="0" w:after="0"/>
        <w:jc w:val="both"/>
        <w:rPr>
          <w:color w:val="000000" w:themeColor="text1"/>
          <w:sz w:val="16"/>
          <w:szCs w:val="16"/>
        </w:rPr>
      </w:pPr>
      <w:r w:rsidRPr="00640820">
        <w:rPr>
          <w:color w:val="000000" w:themeColor="text1"/>
          <w:sz w:val="16"/>
          <w:szCs w:val="16"/>
        </w:rPr>
        <w:t>Товарищи бойцы, командиры, комиссары и политработники! Товарищи рабочие, работницы, колхозники, колхозницы и советская интеллигенция! Поздравляю вас с XXIV годовщиной Великой Октябрьской социалистической революции!</w:t>
      </w:r>
    </w:p>
    <w:p w14:paraId="1D9E0253" w14:textId="77777777" w:rsidR="00165A9C" w:rsidRPr="00640820" w:rsidRDefault="00165A9C" w:rsidP="00640820">
      <w:pPr>
        <w:pStyle w:val="1f9"/>
        <w:spacing w:before="0" w:after="0"/>
        <w:jc w:val="both"/>
        <w:rPr>
          <w:color w:val="000000" w:themeColor="text1"/>
          <w:sz w:val="16"/>
          <w:szCs w:val="16"/>
        </w:rPr>
      </w:pPr>
      <w:r w:rsidRPr="00640820">
        <w:rPr>
          <w:color w:val="000000" w:themeColor="text1"/>
          <w:sz w:val="16"/>
          <w:szCs w:val="16"/>
        </w:rPr>
        <w:t>Товарищи! 24 года тому назад народы России под руководством нашей великой большевистской партии, под водительством Ленина и Сталина начали строить Советское государство. Народы Советского Союза в результате Октябрьской революции получили невиданные в истории человечества свободы и права. Молодое Советское государство с первых же дней своего существования отстаивало свои права на жизнь в великой ожесточенной борьбе с многочисленными его врагами.</w:t>
      </w:r>
    </w:p>
    <w:p w14:paraId="51CBFC33" w14:textId="77777777" w:rsidR="00165A9C" w:rsidRPr="00640820" w:rsidRDefault="00165A9C" w:rsidP="00640820">
      <w:pPr>
        <w:pStyle w:val="1f9"/>
        <w:spacing w:before="0" w:after="0"/>
        <w:jc w:val="both"/>
        <w:rPr>
          <w:color w:val="000000" w:themeColor="text1"/>
          <w:sz w:val="16"/>
          <w:szCs w:val="16"/>
        </w:rPr>
      </w:pPr>
      <w:r w:rsidRPr="00640820">
        <w:rPr>
          <w:color w:val="000000" w:themeColor="text1"/>
          <w:sz w:val="16"/>
          <w:szCs w:val="16"/>
        </w:rPr>
        <w:t>24 года народы Советской страны упорным тяжелым трудом строили фабрики и заводы, создавали совхозы и колхозы, развивали свою свободную советскую культуру. Под руководством большевистской партии создан великий Советский Союз – могущественное государство, страна прогресса и культуры, социалистическое государство рабочих и крестьян.</w:t>
      </w:r>
    </w:p>
    <w:p w14:paraId="19970666" w14:textId="77777777" w:rsidR="00165A9C" w:rsidRPr="00640820" w:rsidRDefault="00165A9C" w:rsidP="00640820">
      <w:pPr>
        <w:pStyle w:val="1f9"/>
        <w:spacing w:before="0" w:after="0"/>
        <w:jc w:val="both"/>
        <w:rPr>
          <w:color w:val="000000" w:themeColor="text1"/>
          <w:sz w:val="16"/>
          <w:szCs w:val="16"/>
        </w:rPr>
      </w:pPr>
      <w:r w:rsidRPr="00640820">
        <w:rPr>
          <w:color w:val="000000" w:themeColor="text1"/>
          <w:sz w:val="16"/>
          <w:szCs w:val="16"/>
        </w:rPr>
        <w:t>За 24 года в глазах народов всего мира Советский Союз стал могущественной мировой индустриальной страной. Внешняя политика нашего государства была направлена на установление дружественных и добрососедских отношений со всеми государствами, независимо от внутреннего их социального строя. Наше правительство неуклонно проводило в жизнь мирную политику. Подлый враг коварно напал на нашу страну. До зубов вооруженный, используя оружие оккупированных стран, кровавый немецкий фашизм бросил против нашей страны огромное количество танков, самолетов и других видов вооружения. Фашистским бандитам удалось захватить часть нашей территории, где они чинят неслыханные до сих пор насилие и разорение. Стон матерей, надругательства над нашими детьми и сестрами зовут нас к мести, к великой расплате.</w:t>
      </w:r>
    </w:p>
    <w:p w14:paraId="51DD30AC" w14:textId="77777777" w:rsidR="00165A9C" w:rsidRPr="00640820" w:rsidRDefault="00165A9C" w:rsidP="00640820">
      <w:pPr>
        <w:pStyle w:val="1f9"/>
        <w:spacing w:before="0" w:after="0"/>
        <w:jc w:val="both"/>
        <w:rPr>
          <w:color w:val="000000" w:themeColor="text1"/>
          <w:sz w:val="16"/>
          <w:szCs w:val="16"/>
        </w:rPr>
      </w:pPr>
      <w:r w:rsidRPr="00640820">
        <w:rPr>
          <w:color w:val="000000" w:themeColor="text1"/>
          <w:sz w:val="16"/>
          <w:szCs w:val="16"/>
        </w:rPr>
        <w:t>На защиту своих городов и сел. Заводов и колхозов, на защиту Родины и свободы поднялся весь советский народ. Началась Великая Отечественная война. Вот уже четыре с лишним месяца идет ожесточенная война, которая решает вопрос, будет ли паша страна свободной и независимом, пли она превратится в страну рабов немецкою фашизма.</w:t>
      </w:r>
    </w:p>
    <w:p w14:paraId="2DA12A7A" w14:textId="77777777" w:rsidR="00165A9C" w:rsidRPr="00640820" w:rsidRDefault="00165A9C" w:rsidP="00640820">
      <w:pPr>
        <w:pStyle w:val="1f9"/>
        <w:spacing w:before="0" w:after="0"/>
        <w:jc w:val="both"/>
        <w:rPr>
          <w:color w:val="000000" w:themeColor="text1"/>
          <w:sz w:val="16"/>
          <w:szCs w:val="16"/>
        </w:rPr>
      </w:pPr>
      <w:r w:rsidRPr="00640820">
        <w:rPr>
          <w:color w:val="000000" w:themeColor="text1"/>
          <w:sz w:val="16"/>
          <w:szCs w:val="16"/>
        </w:rPr>
        <w:t>Дорогие товарищи! Враг коварен и силен. Методы его борьбы подлы и мерзки, но силы нашего народа, героизм ваших славных бойцов велики и неисчерпаемы. Наш народ непобедим!</w:t>
      </w:r>
    </w:p>
    <w:p w14:paraId="1AE744B1" w14:textId="77777777" w:rsidR="00165A9C" w:rsidRPr="00640820" w:rsidRDefault="00165A9C" w:rsidP="00640820">
      <w:pPr>
        <w:pStyle w:val="1f9"/>
        <w:spacing w:before="0" w:after="0"/>
        <w:jc w:val="both"/>
        <w:rPr>
          <w:color w:val="000000" w:themeColor="text1"/>
          <w:sz w:val="16"/>
          <w:szCs w:val="16"/>
        </w:rPr>
      </w:pPr>
      <w:r w:rsidRPr="00640820">
        <w:rPr>
          <w:color w:val="000000" w:themeColor="text1"/>
          <w:sz w:val="16"/>
          <w:szCs w:val="16"/>
        </w:rPr>
        <w:t>Клич «Смерть за смерть, кровь за кровь» – стал боевым призывом всех советских патриотов к полному и окончательному разгрому кровавого фашизма. 4 месяца войны со всей очевидностью показали всему миру, что так называемая «непобедимая» гитлеровская армия головорезов несет величайшие потери в борьбе с Красной Армией.</w:t>
      </w:r>
    </w:p>
    <w:p w14:paraId="354300E2" w14:textId="77777777" w:rsidR="00165A9C" w:rsidRPr="00640820" w:rsidRDefault="00165A9C" w:rsidP="00640820">
      <w:pPr>
        <w:pStyle w:val="1f9"/>
        <w:spacing w:before="0" w:after="0"/>
        <w:jc w:val="both"/>
        <w:rPr>
          <w:color w:val="000000" w:themeColor="text1"/>
          <w:sz w:val="16"/>
          <w:szCs w:val="16"/>
        </w:rPr>
      </w:pPr>
      <w:r w:rsidRPr="00640820">
        <w:rPr>
          <w:color w:val="000000" w:themeColor="text1"/>
          <w:sz w:val="16"/>
          <w:szCs w:val="16"/>
        </w:rPr>
        <w:t>Попытки молниеносной войны окончилась крахом. Германская армия влезла в длительную, жестокую, смертельную войну, и в этой войне германский фашизм найдет себе могилу. Уничтожив германский фашизм, весь мир, все прогрессивное человечество будет освобождено от опасности рабства, дикости и бесправия.</w:t>
      </w:r>
    </w:p>
    <w:p w14:paraId="6685BBFC" w14:textId="77777777" w:rsidR="00165A9C" w:rsidRPr="00640820" w:rsidRDefault="00165A9C" w:rsidP="00640820">
      <w:pPr>
        <w:pStyle w:val="1f9"/>
        <w:spacing w:before="0" w:after="0"/>
        <w:jc w:val="both"/>
        <w:rPr>
          <w:color w:val="000000" w:themeColor="text1"/>
          <w:sz w:val="16"/>
          <w:szCs w:val="16"/>
        </w:rPr>
      </w:pPr>
      <w:r w:rsidRPr="00640820">
        <w:rPr>
          <w:color w:val="000000" w:themeColor="text1"/>
          <w:sz w:val="16"/>
          <w:szCs w:val="16"/>
        </w:rPr>
        <w:t>Против фашистской Германии объединились все свободолюбивые народы. Героические усилия английского народа. Соединенных Штатов Америки, сила и мощь нашего Советского государства, растущее партизанское движение в Греции, Югославии, Польше и других странах, оккупированных немецкими войсками, – все это, товарищи, направлено на полный и окончательный разгром немецкого фашизма.</w:t>
      </w:r>
    </w:p>
    <w:p w14:paraId="3389A33D" w14:textId="77777777" w:rsidR="00165A9C" w:rsidRPr="00640820" w:rsidRDefault="00165A9C" w:rsidP="00640820">
      <w:pPr>
        <w:pStyle w:val="1f9"/>
        <w:spacing w:before="0" w:after="0"/>
        <w:jc w:val="both"/>
        <w:rPr>
          <w:color w:val="000000" w:themeColor="text1"/>
          <w:sz w:val="16"/>
          <w:szCs w:val="16"/>
        </w:rPr>
      </w:pPr>
      <w:r w:rsidRPr="00640820">
        <w:rPr>
          <w:color w:val="000000" w:themeColor="text1"/>
          <w:sz w:val="16"/>
          <w:szCs w:val="16"/>
        </w:rPr>
        <w:t>И фашизм будет разгромлен. Дело наше, товарищи, правое, победим!</w:t>
      </w:r>
    </w:p>
    <w:p w14:paraId="42483C31" w14:textId="77777777" w:rsidR="00165A9C" w:rsidRPr="00640820" w:rsidRDefault="00165A9C" w:rsidP="00640820">
      <w:pPr>
        <w:pStyle w:val="1f9"/>
        <w:spacing w:before="0" w:after="0"/>
        <w:jc w:val="both"/>
        <w:rPr>
          <w:color w:val="000000" w:themeColor="text1"/>
          <w:sz w:val="16"/>
          <w:szCs w:val="16"/>
        </w:rPr>
      </w:pPr>
      <w:r w:rsidRPr="00640820">
        <w:rPr>
          <w:color w:val="000000" w:themeColor="text1"/>
          <w:sz w:val="16"/>
          <w:szCs w:val="16"/>
        </w:rPr>
        <w:t>Товарищи! Не раз в истории нашей родины были попытки поработить, сделать паши народы рабами захватчиков. Но всегда свободолюбивый русский народ вместе с украинским, белорусским, грузинским и другими народами разбивали своих врагов, еще теснее сплачивались в борьбе с иностранными захватчиками.</w:t>
      </w:r>
    </w:p>
    <w:p w14:paraId="683A0641" w14:textId="77777777" w:rsidR="00165A9C" w:rsidRPr="00640820" w:rsidRDefault="00165A9C" w:rsidP="00640820">
      <w:pPr>
        <w:pStyle w:val="1f9"/>
        <w:spacing w:before="0" w:after="0"/>
        <w:jc w:val="both"/>
        <w:rPr>
          <w:color w:val="000000" w:themeColor="text1"/>
          <w:sz w:val="16"/>
          <w:szCs w:val="16"/>
        </w:rPr>
      </w:pPr>
      <w:r w:rsidRPr="00640820">
        <w:rPr>
          <w:color w:val="000000" w:themeColor="text1"/>
          <w:sz w:val="16"/>
          <w:szCs w:val="16"/>
        </w:rPr>
        <w:t>Товарищи! Сейчас, когда многомиллионная, многонациональная страна объединенная в великий, могущественный Советский Союз, подверглась нападению со стороны кровавой гитлеровской Германии, мы должны все свои силы, всю свою энергию мобилизовать на помощь фронту. Все граждане Советского Союза должны работать для фронта, не покладая рук. Давать больше винтовок, минометов, снарядов, танков и самолетов, больше теплой одежды для наших бойцов.</w:t>
      </w:r>
    </w:p>
    <w:p w14:paraId="150EDF61" w14:textId="77777777" w:rsidR="00165A9C" w:rsidRPr="00640820" w:rsidRDefault="00165A9C" w:rsidP="00640820">
      <w:pPr>
        <w:pStyle w:val="1f9"/>
        <w:spacing w:before="0" w:after="0"/>
        <w:jc w:val="both"/>
        <w:rPr>
          <w:color w:val="000000" w:themeColor="text1"/>
          <w:sz w:val="16"/>
          <w:szCs w:val="16"/>
        </w:rPr>
      </w:pPr>
      <w:r w:rsidRPr="00640820">
        <w:rPr>
          <w:color w:val="000000" w:themeColor="text1"/>
          <w:sz w:val="16"/>
          <w:szCs w:val="16"/>
        </w:rPr>
        <w:t>Товарищи бойцы, командиры и политработники! Нам, Красной АРМИИ И Военно-Морскому Флоту, поручила наша родина, паша большевистская партия, наш великий Сталин разгромить подлого врага – немецкий фашизм. Не щадя своих сил и даже жизни, беспощадно громите, уничтожайте подлых захватчиков! В наших рядах не должно быть места трусам, паникерам, дезертирам, предателям.</w:t>
      </w:r>
    </w:p>
    <w:p w14:paraId="769C5810" w14:textId="77777777" w:rsidR="00165A9C" w:rsidRPr="00640820" w:rsidRDefault="00165A9C" w:rsidP="00640820">
      <w:pPr>
        <w:pStyle w:val="1f9"/>
        <w:spacing w:before="0" w:after="0"/>
        <w:jc w:val="both"/>
        <w:rPr>
          <w:color w:val="000000" w:themeColor="text1"/>
          <w:sz w:val="16"/>
          <w:szCs w:val="16"/>
        </w:rPr>
      </w:pPr>
      <w:r w:rsidRPr="00640820">
        <w:rPr>
          <w:color w:val="000000" w:themeColor="text1"/>
          <w:sz w:val="16"/>
          <w:szCs w:val="16"/>
        </w:rPr>
        <w:t>Беззаветная преданность своей родине, храбрость, героизм, отвага и умение разбить врага во имя родины, во имя свободы нашего народа должны еще сильнее распространиться в массах наших бойцов, командиров и политработников я всех трудящихся нашей страны.</w:t>
      </w:r>
    </w:p>
    <w:p w14:paraId="66EB571F" w14:textId="77777777" w:rsidR="00165A9C" w:rsidRPr="00640820" w:rsidRDefault="00165A9C" w:rsidP="00640820">
      <w:pPr>
        <w:pStyle w:val="1f9"/>
        <w:spacing w:before="0" w:after="0"/>
        <w:jc w:val="both"/>
        <w:rPr>
          <w:color w:val="000000" w:themeColor="text1"/>
          <w:sz w:val="16"/>
          <w:szCs w:val="16"/>
        </w:rPr>
      </w:pPr>
      <w:r w:rsidRPr="00640820">
        <w:rPr>
          <w:color w:val="000000" w:themeColor="text1"/>
          <w:sz w:val="16"/>
          <w:szCs w:val="16"/>
        </w:rPr>
        <w:t>Товарищи! В день XXIV годовщины Великой Октябрьской социалистической революции мы шлем братский привет нашим братьям украинцам, белорусам, молдаванам, временно попавшим под ярмо немецко-фашистских мерзавцев. Мы призываем их еще сильнее крепить партизанское движение, громить тылы вражеских войск, уничтожать немецко-фашистских разбойников. Мы шлем привет советским партизанам и призывав» их еще сильнее развернуть борьбу с немецкими захватчиками.</w:t>
      </w:r>
    </w:p>
    <w:p w14:paraId="6D7A1D18" w14:textId="77777777" w:rsidR="00165A9C" w:rsidRPr="00640820" w:rsidRDefault="00165A9C" w:rsidP="00640820">
      <w:pPr>
        <w:pStyle w:val="1f9"/>
        <w:spacing w:before="0" w:after="0"/>
        <w:jc w:val="both"/>
        <w:rPr>
          <w:color w:val="000000" w:themeColor="text1"/>
          <w:sz w:val="16"/>
          <w:szCs w:val="16"/>
        </w:rPr>
      </w:pPr>
      <w:r w:rsidRPr="00640820">
        <w:rPr>
          <w:color w:val="000000" w:themeColor="text1"/>
          <w:sz w:val="16"/>
          <w:szCs w:val="16"/>
        </w:rPr>
        <w:t>Товарищи партизаны! Беспощадно истребляйте живую силу вражеской армии, уничтожайте немецкие танки и автомашины, взрывайте мосты и дороги, нарушайте пути подвоза боеприпасов и продовольствия, рвите телефонную и телеграфную связь врага, сжигайте склады немецких захватчиков.</w:t>
      </w:r>
    </w:p>
    <w:p w14:paraId="00BB23F3" w14:textId="77777777" w:rsidR="00165A9C" w:rsidRPr="00640820" w:rsidRDefault="00165A9C" w:rsidP="00640820">
      <w:pPr>
        <w:pStyle w:val="1f9"/>
        <w:spacing w:before="0" w:after="0"/>
        <w:jc w:val="both"/>
        <w:rPr>
          <w:color w:val="000000" w:themeColor="text1"/>
          <w:sz w:val="16"/>
          <w:szCs w:val="16"/>
        </w:rPr>
      </w:pPr>
      <w:r w:rsidRPr="00640820">
        <w:rPr>
          <w:color w:val="000000" w:themeColor="text1"/>
          <w:sz w:val="16"/>
          <w:szCs w:val="16"/>
        </w:rPr>
        <w:t>Товарищи! Победа будет за нами! Порукой этому является героизм советского народа, правое дело, за которое мы беремся. Мы победим потому, что нашей борьбой руководит паша большевистская партия, великий стратег революции, полководец нашей доблестной Красной Армии – Народный Комиссар Обороны товарищ Сталин.</w:t>
      </w:r>
    </w:p>
    <w:p w14:paraId="265EC911" w14:textId="77777777" w:rsidR="00165A9C" w:rsidRPr="00640820" w:rsidRDefault="00165A9C" w:rsidP="00640820">
      <w:pPr>
        <w:pStyle w:val="1f9"/>
        <w:spacing w:before="0" w:after="0"/>
        <w:jc w:val="both"/>
        <w:rPr>
          <w:color w:val="000000" w:themeColor="text1"/>
          <w:sz w:val="16"/>
          <w:szCs w:val="16"/>
        </w:rPr>
      </w:pPr>
      <w:r w:rsidRPr="00640820">
        <w:rPr>
          <w:color w:val="000000" w:themeColor="text1"/>
          <w:sz w:val="16"/>
          <w:szCs w:val="16"/>
        </w:rPr>
        <w:t>Да здравствует XXIV годовщина Великой Октябрьской социалистической революции!</w:t>
      </w:r>
    </w:p>
    <w:p w14:paraId="1D5455F7" w14:textId="77777777" w:rsidR="00165A9C" w:rsidRPr="00640820" w:rsidRDefault="00165A9C" w:rsidP="00640820">
      <w:pPr>
        <w:pStyle w:val="1f9"/>
        <w:spacing w:before="0" w:after="0"/>
        <w:jc w:val="both"/>
        <w:rPr>
          <w:color w:val="000000" w:themeColor="text1"/>
          <w:sz w:val="16"/>
          <w:szCs w:val="16"/>
        </w:rPr>
      </w:pPr>
      <w:r w:rsidRPr="00640820">
        <w:rPr>
          <w:color w:val="000000" w:themeColor="text1"/>
          <w:sz w:val="16"/>
          <w:szCs w:val="16"/>
        </w:rPr>
        <w:t>Да здравствует Красная Армия и Военно-Морской Флот, героически защищающие свободу и жизнь народов Советского Союза от немецко-фашистских захватчиков!</w:t>
      </w:r>
    </w:p>
    <w:p w14:paraId="477299F8" w14:textId="77777777" w:rsidR="00165A9C" w:rsidRPr="00640820" w:rsidRDefault="00165A9C" w:rsidP="00640820">
      <w:pPr>
        <w:pStyle w:val="1f9"/>
        <w:spacing w:before="0" w:after="0"/>
        <w:jc w:val="both"/>
        <w:rPr>
          <w:color w:val="000000" w:themeColor="text1"/>
          <w:sz w:val="16"/>
          <w:szCs w:val="16"/>
        </w:rPr>
      </w:pPr>
      <w:r w:rsidRPr="00640820">
        <w:rPr>
          <w:color w:val="000000" w:themeColor="text1"/>
          <w:sz w:val="16"/>
          <w:szCs w:val="16"/>
        </w:rPr>
        <w:t>Да здравствуют трудящиеся Советского Союза, героически работающие на поддержку фронта!</w:t>
      </w:r>
    </w:p>
    <w:p w14:paraId="128987E4" w14:textId="77777777" w:rsidR="00165A9C" w:rsidRPr="00640820" w:rsidRDefault="00165A9C" w:rsidP="00640820">
      <w:pPr>
        <w:pStyle w:val="1f9"/>
        <w:spacing w:before="0" w:after="0"/>
        <w:jc w:val="both"/>
        <w:rPr>
          <w:color w:val="000000" w:themeColor="text1"/>
          <w:sz w:val="16"/>
          <w:szCs w:val="16"/>
        </w:rPr>
      </w:pPr>
      <w:r w:rsidRPr="00640820">
        <w:rPr>
          <w:color w:val="000000" w:themeColor="text1"/>
          <w:sz w:val="16"/>
          <w:szCs w:val="16"/>
        </w:rPr>
        <w:t>Да здравствуют объединенные силы Советского Союза, Великобритании, Соединенных Штатов Америки, направленные против гитлеровской Германии!</w:t>
      </w:r>
    </w:p>
    <w:p w14:paraId="412EE7E1" w14:textId="77777777" w:rsidR="00165A9C" w:rsidRPr="00640820" w:rsidRDefault="00165A9C" w:rsidP="00640820">
      <w:pPr>
        <w:pStyle w:val="1f9"/>
        <w:spacing w:before="0" w:after="0"/>
        <w:jc w:val="both"/>
        <w:rPr>
          <w:color w:val="000000" w:themeColor="text1"/>
          <w:sz w:val="16"/>
          <w:szCs w:val="16"/>
        </w:rPr>
      </w:pPr>
      <w:r w:rsidRPr="00640820">
        <w:rPr>
          <w:color w:val="000000" w:themeColor="text1"/>
          <w:sz w:val="16"/>
          <w:szCs w:val="16"/>
        </w:rPr>
        <w:t>Да здравствует Всесоюзная Коммунистическая партия большевиков, партия Ленина-Сталина, организатор борьбы за победу над немецко-фашистскими варварами!</w:t>
      </w:r>
    </w:p>
    <w:p w14:paraId="3F828977" w14:textId="77777777" w:rsidR="00165A9C" w:rsidRPr="00640820" w:rsidRDefault="00165A9C" w:rsidP="00640820">
      <w:pPr>
        <w:pStyle w:val="1f9"/>
        <w:spacing w:before="0" w:after="0"/>
        <w:jc w:val="both"/>
        <w:rPr>
          <w:color w:val="000000" w:themeColor="text1"/>
          <w:sz w:val="16"/>
          <w:szCs w:val="16"/>
        </w:rPr>
      </w:pPr>
      <w:r w:rsidRPr="00640820">
        <w:rPr>
          <w:color w:val="000000" w:themeColor="text1"/>
          <w:sz w:val="16"/>
          <w:szCs w:val="16"/>
        </w:rPr>
        <w:t>Да здравствует наш вождь – великий Сталин! Ура!</w:t>
      </w:r>
    </w:p>
    <w:p w14:paraId="0DE07532" w14:textId="77777777" w:rsidR="00165A9C" w:rsidRPr="00640820" w:rsidRDefault="00165A9C" w:rsidP="00640820">
      <w:pPr>
        <w:pStyle w:val="1f9"/>
        <w:spacing w:before="0" w:after="0"/>
        <w:jc w:val="both"/>
        <w:rPr>
          <w:color w:val="000000" w:themeColor="text1"/>
          <w:sz w:val="16"/>
          <w:szCs w:val="16"/>
        </w:rPr>
      </w:pPr>
      <w:r w:rsidRPr="00640820">
        <w:rPr>
          <w:color w:val="000000" w:themeColor="text1"/>
          <w:sz w:val="16"/>
          <w:szCs w:val="16"/>
        </w:rPr>
        <w:t>В 11 час. 30 мин. началось прохождение войск мимо трибуны.</w:t>
      </w:r>
    </w:p>
    <w:p w14:paraId="76FCC645" w14:textId="77777777" w:rsidR="00165A9C" w:rsidRPr="00640820" w:rsidRDefault="00165A9C" w:rsidP="00640820">
      <w:pPr>
        <w:pStyle w:val="1f9"/>
        <w:spacing w:before="0" w:after="0"/>
        <w:jc w:val="both"/>
        <w:rPr>
          <w:color w:val="000000" w:themeColor="text1"/>
          <w:sz w:val="16"/>
          <w:szCs w:val="16"/>
        </w:rPr>
      </w:pPr>
      <w:r w:rsidRPr="00640820">
        <w:rPr>
          <w:color w:val="000000" w:themeColor="text1"/>
          <w:sz w:val="16"/>
          <w:szCs w:val="16"/>
        </w:rPr>
        <w:lastRenderedPageBreak/>
        <w:t>Торжественный марш открыла 327-й воронежская стрелковая дивизия под командованием полковника И.М. Антюфеева. Красноармейцы шли в новеньких полушубках, подтянутые, рослые. Вслед за пехотой на площадь вступила артиллерия. Противотанковые орудия, полевые пушки и гаубицы, батарея за батареей проходили мимо трибун. Их сменили отряды мотоциклистов и броневых машин. Завершили парад танки. Затем началась демонстрация трудящихся, в которой приняло участие около ста тысяч жителей города, представителей всех районов области…</w:t>
      </w:r>
    </w:p>
    <w:p w14:paraId="5A4F2D5E" w14:textId="77777777" w:rsidR="00165A9C" w:rsidRPr="00640820" w:rsidRDefault="00165A9C" w:rsidP="00640820">
      <w:pPr>
        <w:pStyle w:val="1f9"/>
        <w:spacing w:before="0" w:after="0"/>
        <w:jc w:val="both"/>
        <w:rPr>
          <w:color w:val="000000" w:themeColor="text1"/>
          <w:sz w:val="16"/>
          <w:szCs w:val="16"/>
        </w:rPr>
      </w:pPr>
      <w:r w:rsidRPr="00640820">
        <w:rPr>
          <w:color w:val="000000" w:themeColor="text1"/>
          <w:sz w:val="16"/>
          <w:szCs w:val="16"/>
        </w:rPr>
        <w:t>Среди участников парада были воронежцы: Арчаков Павел Максимович, Андреанов Александр Иванович, Остапенко Григорий Степанович, Юдин Юрий. Военком железнодорожного военкомата Жуков – привел новобранцев: Черноусова, Агибалова. Они шли под музыку сводного духового оркестра из 300 музыкантов, которым дирижировал К.И. Массалитинов, в ту пору военный музыкант в воинском звании старший лейтенант, а впоследствии известный композитор, основатель и руководитель Воронежского народного хора (11128).</w:t>
      </w:r>
    </w:p>
    <w:p w14:paraId="2A8C42FF" w14:textId="77777777" w:rsidR="00165A9C" w:rsidRPr="00640820" w:rsidRDefault="00165A9C" w:rsidP="00640820">
      <w:pPr>
        <w:pStyle w:val="1f9"/>
        <w:spacing w:before="0" w:after="0"/>
        <w:jc w:val="both"/>
        <w:rPr>
          <w:color w:val="000000" w:themeColor="text1"/>
          <w:sz w:val="16"/>
          <w:szCs w:val="16"/>
        </w:rPr>
      </w:pPr>
    </w:p>
    <w:p w14:paraId="61F2EDED"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3F9E8D44"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09E40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ноября 1941 Рузвельт распространил закон о ленд-лизе на Россию и до конца года поставили на 545 тыс. дол. (512,141).</w:t>
      </w:r>
    </w:p>
    <w:p w14:paraId="121662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FD66A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ноября 1941 года было получено:</w:t>
      </w:r>
    </w:p>
    <w:p w14:paraId="5FC8AC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ЛИЧНОЕ ПОСЛАНИЕ ОТ ПРЕМЬЕР-МИНИСТРА ЧЕРЧИЛЛЯ ПРЕМЬЕРУ СТАЛИНУ</w:t>
      </w:r>
    </w:p>
    <w:p w14:paraId="309233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Чтобы внести в дела ясность и составить планы на будущее, я готов командировать генерала Уэйвелла, главнокомандующего в Индии, Персии и Ираке, для встречи с Вами в Москве, Куйбышеве, Тифлисе или в любом другом месте, где Вы будете находиться. Кроме этого, генерал Пэйджет, наш новый главнокомандующий, назначенный на Дальний Восток, прибудет вместе с генералом Уэйвеллом. Генерал Пэйджет руководил делами здесь, и он знаком с новейшими и авторитетными взглядами нашего верховного командования. Эти два офицера смогут точно обрисовать Вам наше положение, наши возможности и то, что мы считаем благоразумным. Они могут прибыть к Вам приблизительно через две недели. Хотите ли Вы встретиться с ними?</w:t>
      </w:r>
    </w:p>
    <w:p w14:paraId="73CA33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Мы сообщали Вам в моем послании от 6 сентября, что мы готовы объявить войну Финляндии. Прошу Вас, однако, обсудить, будет ли действительно целесообразно объявление Великобританией войны Финляндии, Венгрии и Румынии в настоящий момент. Это было бы лишь формальностью, ибо наша широкая блокада уже действует против них. Мои соображения говорят против этого потому, что, во-первых, у Финляндии много друзей в Соединенных Штатах, и было бы более благоразумным принять во внимание этот факт. Во-вторых, что касается Румынии и Венгрии, то эти страны полны наших друзей; Гитлер подавил их и воспользовался ими как слепым орудием. Но если счастье обратится против этого головореза, то они легко смогут снова перейти на нашу сторону. Объявление войны Великобританией оттолкнуло бы их и вызвало бы впечатление, как будто Гитлер является главой грандиозного европейского союза, сплоченно противостоящего нам. Прошу не подумать, что мы сомневаемся в пользе этого шага из-за недостатка рвения или товарищеского отношения. Наши доминионы, за исключением Австралии, против этого. Тем не менее, если Вы сочтете, что это было бы действительной помощью для Вас и имело бы смысл, я снова поставлю этот вопрос перед кабинетом.</w:t>
      </w:r>
    </w:p>
    <w:p w14:paraId="2F29B4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 надеюсь, что наши поставки вывозятся из Архангельска с такой же быстротой, как они туда поступают. Небольшой грузопоток начинает теперь также идти через Персию. Мы будем перекачивать наши поставки по обоим путям, напрягая до предела все свои усилия. Прошу Вас обеспечить, чтобы наши техники, следующие с танками и самолетами, имели бы полную возможность передать это вооружение Вашим людям при наилучших условиях. В настоящее время наша миссия в Куйбышеве оторвана от этих дел. Она хочет лишь помочь. Мы отправляем это вооружение с риском для себя, и мы весьма желали бы, чтобы оно использовалось самым лучшим образом. Вероятно, необходимо Ваше распоряжение.</w:t>
      </w:r>
    </w:p>
    <w:p w14:paraId="6DEDE1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 не в состоянии сообщить Вам о наших ближайших военных планах более того, что Вы в состоянии сообщить мне о Ваших, но прошу Вас быть уверенным, что мы не будем бездействовать.</w:t>
      </w:r>
    </w:p>
    <w:p w14:paraId="59ECA4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целью удержать Японию в спокойном состоянии мы отправляем в Индийский океан свой новейший линейный корабль “Принц Уэльский”, который может настигнуть и уничтожить любой японский корабль, и создаем там мощную эскадру линейных кораблей. Я настоятельно прошу Президента Рузвельта увеличить свое давление на японцев и держать их в страхе с тем, чтобы не был блокирован владивостокский маршрут.</w:t>
      </w:r>
    </w:p>
    <w:p w14:paraId="667A2C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 не стану тратить слов на комплименты, ибо Вы уже знаете от лорда Бивербрука и. г-на Гарримана то, что мы думаем о Вашей борьбе. Будьте уверенным в нашей неустанной поддержке.</w:t>
      </w:r>
    </w:p>
    <w:p w14:paraId="77F8CC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 был бы рад получить непосредственно от Вас сообщение о том, что Вы получили эту телеграмму (7430).</w:t>
      </w:r>
    </w:p>
    <w:p w14:paraId="1ED126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8CD15FF" w14:textId="77777777" w:rsidR="009A0766" w:rsidRPr="00640820" w:rsidRDefault="009A0766"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7 ноября</w:t>
      </w:r>
      <w:r w:rsidRPr="00640820">
        <w:rPr>
          <w:rFonts w:ascii="Times New Roman" w:hAnsi="Times New Roman"/>
          <w:color w:val="000000" w:themeColor="text1"/>
          <w:sz w:val="16"/>
          <w:szCs w:val="16"/>
        </w:rPr>
        <w:t xml:space="preserve"> в 1941 году Ф.Рузвельт распространил действие закона о передаче взаймы или в аренду оружия и военных материалов (ленд-лиз) на СССР (14823).</w:t>
      </w:r>
    </w:p>
    <w:p w14:paraId="4ED1C16F" w14:textId="77777777" w:rsidR="009A0766" w:rsidRPr="00640820" w:rsidRDefault="009A0766" w:rsidP="00640820">
      <w:pPr>
        <w:spacing w:after="0" w:line="240" w:lineRule="auto"/>
        <w:jc w:val="both"/>
        <w:rPr>
          <w:rFonts w:ascii="Times New Roman" w:hAnsi="Times New Roman"/>
          <w:color w:val="000000" w:themeColor="text1"/>
          <w:sz w:val="16"/>
          <w:szCs w:val="16"/>
        </w:rPr>
      </w:pPr>
    </w:p>
    <w:p w14:paraId="5FF6AB72"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151C1261"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CEDC63F" w14:textId="77777777" w:rsidR="008F7702" w:rsidRPr="00640820" w:rsidRDefault="008F7702"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7–8 ноября (ночь) 1941 392 британских бомбардировщика атакуют Берлин, Кельн и Мангейм, потеряв 36 из своего числа, что составляет 9,2 процента потерь (20794).</w:t>
      </w:r>
    </w:p>
    <w:p w14:paraId="08DB3CA0" w14:textId="77777777" w:rsidR="008F7702" w:rsidRPr="00640820" w:rsidRDefault="008F7702" w:rsidP="00640820">
      <w:pPr>
        <w:spacing w:after="0" w:line="240" w:lineRule="auto"/>
        <w:jc w:val="both"/>
        <w:rPr>
          <w:rFonts w:ascii="Times New Roman" w:hAnsi="Times New Roman"/>
          <w:color w:val="0070C0"/>
          <w:sz w:val="16"/>
          <w:szCs w:val="16"/>
        </w:rPr>
      </w:pPr>
    </w:p>
    <w:p w14:paraId="70F9BE2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ноября 1941 обвиненный в срыве воздушных боев за Британию, покончил с собой немецкий генерал Э. Удет (4962).</w:t>
      </w:r>
    </w:p>
    <w:p w14:paraId="38017AE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D486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ноября 1941 состоялась величайшая за 2 мировую войну британская воздушная операция и 387 бомбардировщиков поразили различные цели, в т.ч. Берлин (2238,8).</w:t>
      </w:r>
    </w:p>
    <w:p w14:paraId="13265E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1F34309"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2C5F8517"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7818E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ноября 1941 ГК завода 21 С.А.Л. направил в НКАП А.И.Ш. (копия ст. военпреду ГУ ВВС на 21 заводе Шишкину) с письмом N 3730 отчет помошника С.А.Л. П.Г.Питерина о поездке с 6 октября по 1 ноября на С-ЗФ для ознакомления с боевым применением ЛаГГ-3 и техпомощи." (1648,41).</w:t>
      </w:r>
    </w:p>
    <w:p w14:paraId="7044F22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 Т Ч Е Т</w:t>
      </w:r>
    </w:p>
    <w:p w14:paraId="200BD09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прм. главного конструктора ПИТЕРИНА П.Г. о поездке с 6/Х по 1/Х1-1941 г.в части Северо-Западного фронта для ознакомления с боевым применением самолетов ЛАГГ-3 и техническо помощи.</w:t>
      </w:r>
    </w:p>
    <w:p w14:paraId="004CF5E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указанный период побывал с следующих частях: штаб ВВС западного фронта, 21 ИАП, 272 ИПП, 429 ИАП и УВВС КА. Вышеперечисленные части имели и имеют самолеты ЛАГГ-3 от 3 до 8 серии, снабжены четырьмя огневыми точками и пяти бензобаками. Следует отметить,что разницы в боевых качествах между самолетами 3-й и 8-й серии - нет.</w:t>
      </w:r>
    </w:p>
    <w:p w14:paraId="2382BE1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течении 1,5-2 м-цев, т.е. с начала боевых действий, примерно одна третья часть самолетов потеряна в бою и при вынужденных посадках, часть самолетов полностью выработали ресурсы, т.к. в 21 ИАП"е - 10 самолетов выработали ресурсы, отправлены для замены моторов.</w:t>
      </w:r>
    </w:p>
    <w:p w14:paraId="69C2648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настояций момент полки имеют от 2 до 5 самолетов к томку же сильно изношенные. При посещении частей проводились групповые собеседования с летчиками,техниками и индивидуальные беседы с летчиками после каждого боевого вылета.</w:t>
      </w:r>
    </w:p>
    <w:p w14:paraId="6197427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каждой части на аэродроме прибывал в течении 3-х дней, ведя наблюдение за каадым боевым вылетом и возвращением самолетов.Каждая часть ежедневно производили по 3-4 боевых вылета.</w:t>
      </w:r>
    </w:p>
    <w:p w14:paraId="02DCDA1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всего времени полки по своему назначению, в основном занимались штурмоваой передовых позиций противника (колонны пехоты, автомашин, танков и пр.), аэродромов и тыловым дорогам противника. Кроме того попутно нападали на бомбардировщики и вступали в бой с истребителями.</w:t>
      </w:r>
    </w:p>
    <w:p w14:paraId="6DA88E6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результате 1,5-2 месячной боевой деятельности пол</w:t>
      </w:r>
      <w:r w:rsidRPr="00640820">
        <w:rPr>
          <w:rFonts w:ascii="Times New Roman" w:hAnsi="Times New Roman"/>
          <w:color w:val="000000" w:themeColor="text1"/>
          <w:sz w:val="16"/>
          <w:szCs w:val="16"/>
        </w:rPr>
        <w:softHyphen/>
        <w:t>ков помимо уничтожения большого количества живой силы про тивника, автомашин, цистерн с горючим, были сбиты самолеты противника:</w:t>
      </w:r>
    </w:p>
    <w:p w14:paraId="766C1FF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ИАП"ом - 28 шт.</w:t>
      </w:r>
    </w:p>
    <w:p w14:paraId="2D145FE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272 " - 7 шт.</w:t>
      </w:r>
    </w:p>
    <w:p w14:paraId="01B06B9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429 " - 8 шт.</w:t>
      </w:r>
    </w:p>
    <w:p w14:paraId="681CB36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 сбито немецких самолетов - 43 штуки.</w:t>
      </w:r>
    </w:p>
    <w:p w14:paraId="301A988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Потеряли в воздушных боях и при штурмовке:</w:t>
      </w:r>
    </w:p>
    <w:p w14:paraId="075A99C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ИАП - 7 самолетов</w:t>
      </w:r>
    </w:p>
    <w:p w14:paraId="39C9871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272 " - 12 "</w:t>
      </w:r>
    </w:p>
    <w:p w14:paraId="0350282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429 " - 9 "</w:t>
      </w:r>
    </w:p>
    <w:p w14:paraId="3520BC0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них: 5 самолетов разбились при неудачных посадках.</w:t>
      </w:r>
    </w:p>
    <w:p w14:paraId="43DB29C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 потеряли в воздухных боях и при штурмовке - 23 с-та</w:t>
      </w:r>
    </w:p>
    <w:p w14:paraId="49DF573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Погибло летчиков:</w:t>
      </w:r>
    </w:p>
    <w:p w14:paraId="1822C11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21 ИАП"е - 6</w:t>
      </w:r>
    </w:p>
    <w:p w14:paraId="0856417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272 " - 10</w:t>
      </w:r>
    </w:p>
    <w:p w14:paraId="701AF96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в 429 " - 3 </w:t>
      </w:r>
    </w:p>
    <w:p w14:paraId="55DDD51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Летчик 429 ИАП тов. РОМАНОВ при помощи "тарана" сбил самолет "Юнкерс-88", при этом самолет тов. РОМАНОВА также разбился,сам остался жив.</w:t>
      </w:r>
    </w:p>
    <w:p w14:paraId="3A444E3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Бой как с истребителями, так и с бомбардировщиками в большинстве происходит на высотах до 3000 метров, штурмов</w:t>
      </w:r>
      <w:r w:rsidRPr="00640820">
        <w:rPr>
          <w:rFonts w:ascii="Times New Roman" w:hAnsi="Times New Roman"/>
          <w:color w:val="000000" w:themeColor="text1"/>
          <w:sz w:val="16"/>
          <w:szCs w:val="16"/>
        </w:rPr>
        <w:softHyphen/>
        <w:t>ка бреющим полетом на высотах 50-100 метров.</w:t>
      </w:r>
    </w:p>
    <w:p w14:paraId="69784CD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Самолет ЛАГГ-3 хорошо справляется с задачей штурмовки и нападением на бомбардировщиков, но слаб против немец</w:t>
      </w:r>
      <w:r w:rsidRPr="00640820">
        <w:rPr>
          <w:rFonts w:ascii="Times New Roman" w:hAnsi="Times New Roman"/>
          <w:color w:val="000000" w:themeColor="text1"/>
          <w:sz w:val="16"/>
          <w:szCs w:val="16"/>
        </w:rPr>
        <w:softHyphen/>
        <w:t>ких истребителей, особенно, против "Хенкель-113" в силу слабой своей маневренности и скоропод"емности.</w:t>
      </w:r>
    </w:p>
    <w:p w14:paraId="4727F5C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Один ЛАГГ- против двух "Хенкель-113" активно бой вести не может.</w:t>
      </w:r>
    </w:p>
    <w:p w14:paraId="630C6C7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период с 16/Х. по 22/Х - машины возвращались из боя со следующими повреждениями:...</w:t>
      </w:r>
    </w:p>
    <w:p w14:paraId="6EAA12A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ОТЗЫВЫ ЛЕТЧИКОВ О МАШИНЕ.</w:t>
      </w:r>
    </w:p>
    <w:p w14:paraId="0D999EE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ПОЛОЖИТЕЛЬНЫЕ.</w:t>
      </w:r>
    </w:p>
    <w:p w14:paraId="5972CE6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Машина сильна вооружением. По вооружению эта маши</w:t>
      </w:r>
      <w:r w:rsidRPr="00640820">
        <w:rPr>
          <w:rFonts w:ascii="Times New Roman" w:hAnsi="Times New Roman"/>
          <w:color w:val="000000" w:themeColor="text1"/>
          <w:sz w:val="16"/>
          <w:szCs w:val="16"/>
        </w:rPr>
        <w:softHyphen/>
        <w:t>на на первом месте среди всех остальных самолетов. Воору</w:t>
      </w:r>
      <w:r w:rsidRPr="00640820">
        <w:rPr>
          <w:rFonts w:ascii="Times New Roman" w:hAnsi="Times New Roman"/>
          <w:color w:val="000000" w:themeColor="text1"/>
          <w:sz w:val="16"/>
          <w:szCs w:val="16"/>
        </w:rPr>
        <w:softHyphen/>
        <w:t>жение работает безотказно. Воздуха на вооружение достаточ</w:t>
      </w:r>
      <w:r w:rsidRPr="00640820">
        <w:rPr>
          <w:rFonts w:ascii="Times New Roman" w:hAnsi="Times New Roman"/>
          <w:color w:val="000000" w:themeColor="text1"/>
          <w:sz w:val="16"/>
          <w:szCs w:val="16"/>
        </w:rPr>
        <w:softHyphen/>
        <w:t>но.</w:t>
      </w:r>
    </w:p>
    <w:p w14:paraId="24660DC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Машина живуча - не горит, при наличии большого ко</w:t>
      </w:r>
      <w:r w:rsidRPr="00640820">
        <w:rPr>
          <w:rFonts w:ascii="Times New Roman" w:hAnsi="Times New Roman"/>
          <w:color w:val="000000" w:themeColor="text1"/>
          <w:sz w:val="16"/>
          <w:szCs w:val="16"/>
        </w:rPr>
        <w:softHyphen/>
        <w:t>личества пробоин в конструкции - прочность сохраняется.</w:t>
      </w:r>
    </w:p>
    <w:p w14:paraId="7A2A7D0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Машина имеет большой об"ем бензина, в этом ее особая ценность.</w:t>
      </w:r>
    </w:p>
    <w:p w14:paraId="4B0A6BA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Машина не трудна в посадке.</w:t>
      </w:r>
    </w:p>
    <w:p w14:paraId="69D19D4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Амортизация шасси и костыля одна из лучших.Шасси прочно.</w:t>
      </w:r>
    </w:p>
    <w:p w14:paraId="298C311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Наличие люка в фюзеляже дает возможность перево</w:t>
      </w:r>
      <w:r w:rsidRPr="00640820">
        <w:rPr>
          <w:rFonts w:ascii="Times New Roman" w:hAnsi="Times New Roman"/>
          <w:color w:val="000000" w:themeColor="text1"/>
          <w:sz w:val="16"/>
          <w:szCs w:val="16"/>
        </w:rPr>
        <w:softHyphen/>
        <w:t>зить на самолете по одному человеку из обслуживающего технического персонала.</w:t>
      </w:r>
    </w:p>
    <w:p w14:paraId="0244405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ОТРИЦАТЕЛЬНЫЕ.</w:t>
      </w:r>
    </w:p>
    <w:p w14:paraId="0F63E15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Машина тяжела - мала скоропод"емность и слабо обладает маневром по сравнению с 110 и "Хенкаль-113".</w:t>
      </w:r>
    </w:p>
    <w:p w14:paraId="05C82A1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На многих машинах пониженная горизонтальная скорость, особенно после 20-30 часов работы мотора, скорость самолете снижается приблизительно на 20 км/час.</w:t>
      </w:r>
    </w:p>
    <w:p w14:paraId="6B026A6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ТРЕБОВАНИЕ ЛЕТНОГО СОСТАВА ЧАСТЕЙ</w:t>
      </w:r>
    </w:p>
    <w:p w14:paraId="56B99D6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 На машине должно быть обязательно три огневых точки: одна пушка и два "БС".</w:t>
      </w:r>
    </w:p>
    <w:p w14:paraId="29D969E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 летчики выразили негодование и возмущение про</w:t>
      </w:r>
      <w:r w:rsidRPr="00640820">
        <w:rPr>
          <w:rFonts w:ascii="Times New Roman" w:hAnsi="Times New Roman"/>
          <w:color w:val="000000" w:themeColor="text1"/>
          <w:sz w:val="16"/>
          <w:szCs w:val="16"/>
        </w:rPr>
        <w:softHyphen/>
        <w:t>тив двухточечного варианта, т.е.одной пушки и одного БС, Даже при налиии "РС". Летчики говорят: "мы ставим под сомнение мероприятия двух-точечного варианта - это не в интересах фронта”</w:t>
      </w:r>
    </w:p>
    <w:p w14:paraId="14C01D0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Все. машины довести до 3000 кг.только не за счет сокращения огня и бензина, а за счет снятия лишнего обо</w:t>
      </w:r>
      <w:r w:rsidRPr="00640820">
        <w:rPr>
          <w:rFonts w:ascii="Times New Roman" w:hAnsi="Times New Roman"/>
          <w:color w:val="000000" w:themeColor="text1"/>
          <w:sz w:val="16"/>
          <w:szCs w:val="16"/>
        </w:rPr>
        <w:softHyphen/>
        <w:t>рудования, ликвидации консервации ВИАМ-БЗ и облегчения отдельных частей конструкции.</w:t>
      </w:r>
    </w:p>
    <w:p w14:paraId="29258CA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Сущее твущий на машиных до 8 серии об"ем бензи</w:t>
      </w:r>
      <w:r w:rsidRPr="00640820">
        <w:rPr>
          <w:rFonts w:ascii="Times New Roman" w:hAnsi="Times New Roman"/>
          <w:color w:val="000000" w:themeColor="text1"/>
          <w:sz w:val="16"/>
          <w:szCs w:val="16"/>
        </w:rPr>
        <w:softHyphen/>
        <w:t>на сохранить.</w:t>
      </w:r>
    </w:p>
    <w:p w14:paraId="20919B9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Обязательно ставить РС.</w:t>
      </w:r>
    </w:p>
    <w:p w14:paraId="0D0BB1A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Обязательно оборудовать самолет предкрылками. Обвиняют главного конструктора и директора завода в нежелании ставить предкрылки.</w:t>
      </w:r>
    </w:p>
    <w:p w14:paraId="14ABF2F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ОБОРУДОВАНИЕ.ПРИБОРЫ И ДЕТАЛИ, ПОДЛЕЖАЩИЕ СНЯТИЮ С САМОЛЕТА.</w:t>
      </w:r>
    </w:p>
    <w:p w14:paraId="2393F12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Летчики и техники, исходя из практики боевой работы на самолете ЛАГГ-3, предложили снять с самолета как лиш</w:t>
      </w:r>
      <w:r w:rsidRPr="00640820">
        <w:rPr>
          <w:rFonts w:ascii="Times New Roman" w:hAnsi="Times New Roman"/>
          <w:color w:val="000000" w:themeColor="text1"/>
          <w:sz w:val="16"/>
          <w:szCs w:val="16"/>
        </w:rPr>
        <w:softHyphen/>
        <w:t>нее и ненужное оборудование и приботы следующие: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2610"/>
      </w:tblGrid>
      <w:tr w:rsidR="00643896" w:rsidRPr="00640820" w14:paraId="3A2C8D36" w14:textId="77777777" w:rsidTr="000D3BCB">
        <w:tc>
          <w:tcPr>
            <w:tcW w:w="4788" w:type="dxa"/>
            <w:tcBorders>
              <w:top w:val="single" w:sz="12" w:space="0" w:color="auto"/>
            </w:tcBorders>
          </w:tcPr>
          <w:p w14:paraId="7D962FD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Манометр шасси</w:t>
            </w:r>
          </w:p>
        </w:tc>
        <w:tc>
          <w:tcPr>
            <w:tcW w:w="2610" w:type="dxa"/>
            <w:tcBorders>
              <w:top w:val="single" w:sz="12" w:space="0" w:color="auto"/>
            </w:tcBorders>
          </w:tcPr>
          <w:p w14:paraId="05B6356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 я т ь</w:t>
            </w:r>
          </w:p>
        </w:tc>
      </w:tr>
      <w:tr w:rsidR="00643896" w:rsidRPr="00640820" w14:paraId="0FAB3BA7" w14:textId="77777777" w:rsidTr="000D3BCB">
        <w:tc>
          <w:tcPr>
            <w:tcW w:w="4788" w:type="dxa"/>
          </w:tcPr>
          <w:p w14:paraId="5A3218B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Вольтметр</w:t>
            </w:r>
          </w:p>
        </w:tc>
        <w:tc>
          <w:tcPr>
            <w:tcW w:w="2610" w:type="dxa"/>
          </w:tcPr>
          <w:p w14:paraId="4EEA5AD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 я т ь</w:t>
            </w:r>
          </w:p>
        </w:tc>
      </w:tr>
      <w:tr w:rsidR="00643896" w:rsidRPr="00640820" w14:paraId="3ED53E7F" w14:textId="77777777" w:rsidTr="000D3BCB">
        <w:tc>
          <w:tcPr>
            <w:tcW w:w="4788" w:type="dxa"/>
          </w:tcPr>
          <w:p w14:paraId="371C37D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Заливной бачек</w:t>
            </w:r>
          </w:p>
        </w:tc>
        <w:tc>
          <w:tcPr>
            <w:tcW w:w="2610" w:type="dxa"/>
          </w:tcPr>
          <w:p w14:paraId="5096A8C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 я т ь</w:t>
            </w:r>
          </w:p>
        </w:tc>
      </w:tr>
      <w:tr w:rsidR="00643896" w:rsidRPr="00640820" w14:paraId="5B1671EB" w14:textId="77777777" w:rsidTr="000D3BCB">
        <w:tc>
          <w:tcPr>
            <w:tcW w:w="4788" w:type="dxa"/>
          </w:tcPr>
          <w:p w14:paraId="15CB591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Альвейер (бензонасос)</w:t>
            </w:r>
          </w:p>
        </w:tc>
        <w:tc>
          <w:tcPr>
            <w:tcW w:w="2610" w:type="dxa"/>
          </w:tcPr>
          <w:p w14:paraId="3524AD3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заменить простым насосом</w:t>
            </w:r>
          </w:p>
        </w:tc>
      </w:tr>
      <w:tr w:rsidR="00643896" w:rsidRPr="00640820" w14:paraId="4974CD11" w14:textId="77777777" w:rsidTr="000D3BCB">
        <w:tc>
          <w:tcPr>
            <w:tcW w:w="4788" w:type="dxa"/>
          </w:tcPr>
          <w:p w14:paraId="071D3B2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Вентиляцию кабины</w:t>
            </w:r>
          </w:p>
        </w:tc>
        <w:tc>
          <w:tcPr>
            <w:tcW w:w="2610" w:type="dxa"/>
          </w:tcPr>
          <w:p w14:paraId="07725D5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 я т ь</w:t>
            </w:r>
          </w:p>
        </w:tc>
      </w:tr>
      <w:tr w:rsidR="00643896" w:rsidRPr="00640820" w14:paraId="3E6576E2" w14:textId="77777777" w:rsidTr="000D3BCB">
        <w:tc>
          <w:tcPr>
            <w:tcW w:w="4788" w:type="dxa"/>
          </w:tcPr>
          <w:p w14:paraId="20EBF0E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Компрессор (воздушный)</w:t>
            </w:r>
          </w:p>
        </w:tc>
        <w:tc>
          <w:tcPr>
            <w:tcW w:w="2610" w:type="dxa"/>
          </w:tcPr>
          <w:p w14:paraId="16866F3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 я т ь</w:t>
            </w:r>
          </w:p>
        </w:tc>
      </w:tr>
      <w:tr w:rsidR="00643896" w:rsidRPr="00640820" w14:paraId="3FB0D259" w14:textId="77777777" w:rsidTr="000D3BCB">
        <w:tc>
          <w:tcPr>
            <w:tcW w:w="4788" w:type="dxa"/>
          </w:tcPr>
          <w:p w14:paraId="558E972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Заливной насос ("ВЛЕТ")</w:t>
            </w:r>
          </w:p>
        </w:tc>
        <w:tc>
          <w:tcPr>
            <w:tcW w:w="2610" w:type="dxa"/>
          </w:tcPr>
          <w:p w14:paraId="5A490E2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заменить насосом по типу с-та "ЯК"</w:t>
            </w:r>
          </w:p>
        </w:tc>
      </w:tr>
      <w:tr w:rsidR="00643896" w:rsidRPr="00640820" w14:paraId="69ABEFB2" w14:textId="77777777" w:rsidTr="000D3BCB">
        <w:tc>
          <w:tcPr>
            <w:tcW w:w="4788" w:type="dxa"/>
          </w:tcPr>
          <w:p w14:paraId="7D82748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Задний обзор</w:t>
            </w:r>
          </w:p>
        </w:tc>
        <w:tc>
          <w:tcPr>
            <w:tcW w:w="2610" w:type="dxa"/>
          </w:tcPr>
          <w:p w14:paraId="10BE255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 я т ь</w:t>
            </w:r>
          </w:p>
        </w:tc>
      </w:tr>
      <w:tr w:rsidR="00643896" w:rsidRPr="00640820" w14:paraId="641E15F5" w14:textId="77777777" w:rsidTr="000D3BCB">
        <w:tc>
          <w:tcPr>
            <w:tcW w:w="4788" w:type="dxa"/>
          </w:tcPr>
          <w:p w14:paraId="04175F2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Ракетный пистолет</w:t>
            </w:r>
          </w:p>
        </w:tc>
        <w:tc>
          <w:tcPr>
            <w:tcW w:w="2610" w:type="dxa"/>
          </w:tcPr>
          <w:p w14:paraId="0FA911D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 я т ь</w:t>
            </w:r>
          </w:p>
        </w:tc>
      </w:tr>
      <w:tr w:rsidR="00643896" w:rsidRPr="00640820" w14:paraId="19582791" w14:textId="77777777" w:rsidTr="000D3BCB">
        <w:tc>
          <w:tcPr>
            <w:tcW w:w="4788" w:type="dxa"/>
          </w:tcPr>
          <w:p w14:paraId="713D425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Ручная помпа шасси</w:t>
            </w:r>
          </w:p>
        </w:tc>
        <w:tc>
          <w:tcPr>
            <w:tcW w:w="2610" w:type="dxa"/>
          </w:tcPr>
          <w:p w14:paraId="562660B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поставить воздушно-аварийный</w:t>
            </w:r>
          </w:p>
        </w:tc>
      </w:tr>
      <w:tr w:rsidR="00643896" w:rsidRPr="00640820" w14:paraId="1AE7D9CC" w14:textId="77777777" w:rsidTr="000D3BCB">
        <w:tc>
          <w:tcPr>
            <w:tcW w:w="4788" w:type="dxa"/>
          </w:tcPr>
          <w:p w14:paraId="65F2A12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Аптечка</w:t>
            </w:r>
          </w:p>
        </w:tc>
        <w:tc>
          <w:tcPr>
            <w:tcW w:w="2610" w:type="dxa"/>
          </w:tcPr>
          <w:p w14:paraId="281DD10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перенести в фюзеляж</w:t>
            </w:r>
          </w:p>
        </w:tc>
      </w:tr>
      <w:tr w:rsidR="00643896" w:rsidRPr="00640820" w14:paraId="29AC591A" w14:textId="77777777" w:rsidTr="000D3BCB">
        <w:tc>
          <w:tcPr>
            <w:tcW w:w="4788" w:type="dxa"/>
          </w:tcPr>
          <w:p w14:paraId="4B9B370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Манометр воздуха на 40 атм. (на доске приборов)</w:t>
            </w:r>
          </w:p>
        </w:tc>
        <w:tc>
          <w:tcPr>
            <w:tcW w:w="2610" w:type="dxa"/>
          </w:tcPr>
          <w:p w14:paraId="1C9C0D0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 я т ь</w:t>
            </w:r>
          </w:p>
        </w:tc>
      </w:tr>
      <w:tr w:rsidR="00643896" w:rsidRPr="00640820" w14:paraId="63390A51" w14:textId="77777777" w:rsidTr="000D3BCB">
        <w:tc>
          <w:tcPr>
            <w:tcW w:w="4788" w:type="dxa"/>
          </w:tcPr>
          <w:p w14:paraId="53E2FD9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Редуктор на 25 атм. в системе перезарядки пушки</w:t>
            </w:r>
          </w:p>
        </w:tc>
        <w:tc>
          <w:tcPr>
            <w:tcW w:w="2610" w:type="dxa"/>
          </w:tcPr>
          <w:p w14:paraId="46270D6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 я т ь</w:t>
            </w:r>
          </w:p>
        </w:tc>
      </w:tr>
      <w:tr w:rsidR="00643896" w:rsidRPr="00640820" w14:paraId="6B1027EF" w14:textId="77777777" w:rsidTr="000D3BCB">
        <w:tc>
          <w:tcPr>
            <w:tcW w:w="4788" w:type="dxa"/>
          </w:tcPr>
          <w:p w14:paraId="1E4DBB9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Щиток над генератором</w:t>
            </w:r>
          </w:p>
        </w:tc>
        <w:tc>
          <w:tcPr>
            <w:tcW w:w="2610" w:type="dxa"/>
          </w:tcPr>
          <w:p w14:paraId="2722547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 я т ь</w:t>
            </w:r>
          </w:p>
        </w:tc>
      </w:tr>
      <w:tr w:rsidR="00643896" w:rsidRPr="00640820" w14:paraId="576AE155" w14:textId="77777777" w:rsidTr="000D3BCB">
        <w:tc>
          <w:tcPr>
            <w:tcW w:w="4788" w:type="dxa"/>
          </w:tcPr>
          <w:p w14:paraId="65D8E49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Пожарный кран</w:t>
            </w:r>
          </w:p>
        </w:tc>
        <w:tc>
          <w:tcPr>
            <w:tcW w:w="2610" w:type="dxa"/>
          </w:tcPr>
          <w:p w14:paraId="4CC5B2D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 я т ь</w:t>
            </w:r>
          </w:p>
        </w:tc>
      </w:tr>
      <w:tr w:rsidR="00643896" w:rsidRPr="00640820" w14:paraId="1C4E4C82" w14:textId="77777777" w:rsidTr="000D3BCB">
        <w:tc>
          <w:tcPr>
            <w:tcW w:w="4788" w:type="dxa"/>
          </w:tcPr>
          <w:p w14:paraId="3A53640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Боченки, соединяющие водяные трубки</w:t>
            </w:r>
          </w:p>
        </w:tc>
        <w:tc>
          <w:tcPr>
            <w:tcW w:w="2610" w:type="dxa"/>
          </w:tcPr>
          <w:p w14:paraId="2C322F5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 я т ь</w:t>
            </w:r>
          </w:p>
        </w:tc>
      </w:tr>
      <w:tr w:rsidR="00643896" w:rsidRPr="00640820" w14:paraId="54208FF4" w14:textId="77777777" w:rsidTr="000D3BCB">
        <w:tc>
          <w:tcPr>
            <w:tcW w:w="4788" w:type="dxa"/>
          </w:tcPr>
          <w:p w14:paraId="02D9EA6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Насос для подкачки колес</w:t>
            </w:r>
          </w:p>
        </w:tc>
        <w:tc>
          <w:tcPr>
            <w:tcW w:w="2610" w:type="dxa"/>
          </w:tcPr>
          <w:p w14:paraId="7D02165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 шт.на 10 машин</w:t>
            </w:r>
          </w:p>
        </w:tc>
      </w:tr>
      <w:tr w:rsidR="00643896" w:rsidRPr="00640820" w14:paraId="39E0C165" w14:textId="77777777" w:rsidTr="000D3BCB">
        <w:tc>
          <w:tcPr>
            <w:tcW w:w="4788" w:type="dxa"/>
          </w:tcPr>
          <w:p w14:paraId="003F6DF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Патронные ящики</w:t>
            </w:r>
          </w:p>
        </w:tc>
        <w:tc>
          <w:tcPr>
            <w:tcW w:w="2610" w:type="dxa"/>
          </w:tcPr>
          <w:p w14:paraId="1C6A6CE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 комл.на 10 маш.</w:t>
            </w:r>
          </w:p>
        </w:tc>
      </w:tr>
      <w:tr w:rsidR="00643896" w:rsidRPr="00640820" w14:paraId="51F6BE60" w14:textId="77777777" w:rsidTr="000D3BCB">
        <w:tc>
          <w:tcPr>
            <w:tcW w:w="4788" w:type="dxa"/>
            <w:tcBorders>
              <w:bottom w:val="single" w:sz="12" w:space="0" w:color="auto"/>
            </w:tcBorders>
          </w:tcPr>
          <w:p w14:paraId="7E6821F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Килородное оборудование</w:t>
            </w:r>
          </w:p>
        </w:tc>
        <w:tc>
          <w:tcPr>
            <w:tcW w:w="2610" w:type="dxa"/>
            <w:tcBorders>
              <w:bottom w:val="single" w:sz="12" w:space="0" w:color="auto"/>
            </w:tcBorders>
          </w:tcPr>
          <w:p w14:paraId="7BED197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частях ни когда не пользовались</w:t>
            </w:r>
          </w:p>
        </w:tc>
      </w:tr>
    </w:tbl>
    <w:p w14:paraId="01F2421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ПРЕДЛОЖЕНИЯ ЛЕТНОГО СОСТАВА И ТЕХНИЧЕСКОГО- ЧАСТЕЙ</w:t>
      </w:r>
    </w:p>
    <w:p w14:paraId="45DF393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Установить зеркало в кабине для заднего обзора.</w:t>
      </w:r>
    </w:p>
    <w:p w14:paraId="1FA1BA7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Необходимо ставить бронещиток под сиденье, особен</w:t>
      </w:r>
      <w:r w:rsidRPr="00640820">
        <w:rPr>
          <w:rFonts w:ascii="Times New Roman" w:hAnsi="Times New Roman"/>
          <w:color w:val="000000" w:themeColor="text1"/>
          <w:sz w:val="16"/>
          <w:szCs w:val="16"/>
        </w:rPr>
        <w:softHyphen/>
        <w:t>но важно при штурмовках.</w:t>
      </w:r>
    </w:p>
    <w:p w14:paraId="1A7A168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Желательно установить планшетку для карты.</w:t>
      </w:r>
    </w:p>
    <w:p w14:paraId="58C0247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Желательно иметь с"емный бронещиток на нижней части водорадиатора (для штурмовок).</w:t>
      </w:r>
    </w:p>
    <w:p w14:paraId="5E43019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Желательно по одному РО с каждой стороны направить назад.</w:t>
      </w:r>
    </w:p>
    <w:p w14:paraId="4BA1692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Защита кабины от пороховых газов не обязательна.</w:t>
      </w:r>
    </w:p>
    <w:p w14:paraId="0A4AFE5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Обязательно поставить бронестекло у козырька.</w:t>
      </w:r>
    </w:p>
    <w:p w14:paraId="7A0B2F6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В комплект - правых консолей давать больше,т.к. большинство ломаются правые консоли.</w:t>
      </w:r>
    </w:p>
    <w:p w14:paraId="1A269BA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Сливную пробку у водяной трубы (между куполами шасси) заменить самоварным краном.</w:t>
      </w:r>
    </w:p>
    <w:p w14:paraId="562DF45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Необходимо изменить форму спинной брони - развить 5 бок.а, ИЬ над головную часть.</w:t>
      </w:r>
    </w:p>
    <w:p w14:paraId="3C02861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Сообщение о нижеперечисленных нов о-введениях на машине,летчиками и техниками встречено одобрительно:</w:t>
      </w:r>
    </w:p>
    <w:p w14:paraId="47DE0E5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предкрылки,</w:t>
      </w:r>
    </w:p>
    <w:p w14:paraId="2CD838F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Р.С.</w:t>
      </w:r>
    </w:p>
    <w:p w14:paraId="7E0DC85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Лыжи (1648,42).</w:t>
      </w:r>
    </w:p>
    <w:p w14:paraId="71CAF0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17051EC"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1D038FE5"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CB410C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ноября 1941 года вышел приказ № 70/12с НКВ</w:t>
      </w:r>
    </w:p>
    <w:p w14:paraId="12F4217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связи с тем, что на заводе № 17 (старая база) эвакуировано все оборудование:</w:t>
      </w:r>
    </w:p>
    <w:p w14:paraId="3AB4D28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Организовать в Барнауле на базе филиала завода № 17 (плательно-бельевой комбинат) и эвакуированного туда завода № 17 – завод № 17 (6286, 27).</w:t>
      </w:r>
    </w:p>
    <w:p w14:paraId="45FC9DD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4122E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8-9 ноября 1941 г. ИЗ ПОСТАНОВЛЕНИЯ БЮРО НОВОСИБИРСКОГО ОБКОМА ВКП(б) «О ВЫПОЛНЕНИИ УКАЗАНИЙ И.В. СТАЛИНА ПО УСИЛЕНИЮ ПРОИЗВОДСТВА СРЕДСТВ ВООРУЖЕНИЯ И БОЕПРИПАСОВ ДЛЯ КРАСНОЙ АРМИИ</w:t>
      </w:r>
    </w:p>
    <w:p w14:paraId="68E55FF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указаниями товарища Сталина об усилении производства всех видов вооружения и боеприпасов в массовых размерах, бюро обкома ВКП(б) ПОСТАНОВЛЯЕТ:</w:t>
      </w:r>
    </w:p>
    <w:p w14:paraId="429F9BB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Обязать секретарей горкомов и райкомов ВКП(б), директоров предприятий области в трехдневный срок установить каждому предприятию, каждому цеху и мастерской, независимо от их ведомственной подчиненности, дополнительные задания по производству средств вооружения и боеприпасов для Красной Армии, переключив каждый станок и все имеющееся оборудование на круглосуточную работу.</w:t>
      </w:r>
    </w:p>
    <w:p w14:paraId="00248CA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 Установить, что в каждом городе, на предприятии нужно немедленно покончить с кустарщиной в производстве вооружения и боеприпасов, ликвидировать практику изготовления лишь отдельных образцов оружия и боеприпасов кустарными приемами работы. Секретари горкомов ВКП(б), директора заводов должны без промедления создать базы по обеспечению массового производства каждого вида оружия и боеприпасов, давать их в больших количествах, привлечь все имеющиеся </w:t>
      </w:r>
      <w:r w:rsidRPr="00640820">
        <w:rPr>
          <w:rFonts w:ascii="Times New Roman" w:hAnsi="Times New Roman"/>
          <w:color w:val="000000" w:themeColor="text1"/>
          <w:sz w:val="16"/>
          <w:szCs w:val="16"/>
        </w:rPr>
        <w:lastRenderedPageBreak/>
        <w:t>мастерские, цеха, предприятия к серийному изготовлению средств вооружения и боеприпасов и деталей их, используя все ресурсы для изготовления комплектной, годной для фронта, продукции.</w:t>
      </w:r>
    </w:p>
    <w:p w14:paraId="1535853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 усилении базы по производству снарядов М-8</w:t>
      </w:r>
    </w:p>
    <w:p w14:paraId="41455E7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Для обеспечения выполнения задания ГКО по производству снарядов М-8 в количествах, установленных для Новосибирской области: Новосибирскому горкому ВКП(б), директору комбината № 179, директорам заводов «Труд», имени 16 партсъезда, имени Воскова, № 208, № 615, № 350, начальнику Томской железной дороги немедленно принять исчерпывающие меры к изготовлению и сдаче деталей и снарядов ежесуточно в количествах, установленных им бюро обкома ВКП(б) на ноябрь месяц и без промедления выполнить все необходимые работы для значительного увеличения производства на декабрь месяц; Киселевскому горкому ВКП(б), директору завода № 605 осуществить чрезвычайные меры, обеспечивающие развертывание производства снарядов М-8 немедленно и в количествах, установленных заводу на ноябрь месяц.</w:t>
      </w:r>
    </w:p>
    <w:p w14:paraId="1D44B86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Прибывающее оборудование завода № 70 и кадры рабочих и инженеров немедленно поставить на выпуск снарядов М-8, восстановив полностью производство снарядов М-8 завода № 70 не позднее 10-дневного срока после прибытия в Киселевск.</w:t>
      </w:r>
    </w:p>
    <w:p w14:paraId="7062F89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Новосибирскому горкому ВКП(б), директору комбината № 179 в 15-дневный срок восстановить производство бронебойных снарядов завода № 65; создать базу по производству авиабомб из бракованных снарядов комбината № 179.</w:t>
      </w:r>
    </w:p>
    <w:p w14:paraId="1FE6D8E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Кемеровскому, Новосибирскому, Томскому горкомам ВКП(б) принять срочные меры к массовому выпуску и отправке на фронт противотанковых бутылок с горючей жидкостью.</w:t>
      </w:r>
    </w:p>
    <w:p w14:paraId="761AC92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Новосибирскому, Сталинскому горкомам ВКП(б), директорам комбинатов тт. Новикову и Белану принять все меры к срочному восстановлению производства орудийных гильз на Кузнецком металлургическом и комбинате № 179.</w:t>
      </w:r>
    </w:p>
    <w:p w14:paraId="7CA333A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Начальнику Томской железной дороги т. Пушкову, начальнику ПОДОРА т. Мощук, секретарям горкомов ВКП(б) Новосибирского, Сталинского, Томского, Беловского, Ленинского, Прокопьевского и Чулымского, Топкинского райкомов ВКП(б) обеспечить оборудование бронепоездов, бронемашин силами и средствами депо, предприятий, гаражей городов.</w:t>
      </w:r>
    </w:p>
    <w:p w14:paraId="1C019C4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 массовом производстве минометов, автоматических пистолетов, патронов к пистолетам, мнннгранат</w:t>
      </w:r>
    </w:p>
    <w:p w14:paraId="04D45CE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Горкомам ВКП(б) организовать массовое, серийное производство минометов, мин, пистолетов «П.Ш.», усилить базы по производству этих средств вооружения необходимым оборудованием, привлечь к изготовлению отдельных деталей мелкие мастерские, отдельные цеха и соответствующие заводы, построить их работу по технологии поточного производства.</w:t>
      </w:r>
    </w:p>
    <w:p w14:paraId="61FDDED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Новосибирскому горкому обеспечить развертывание производства патронов к пистолетам-автоматам «П.Ш.» на заводах № 513 и № 524.</w:t>
      </w:r>
    </w:p>
    <w:p w14:paraId="635AC9C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 увеличении производства самолетов и авиационного выстрела</w:t>
      </w:r>
    </w:p>
    <w:p w14:paraId="2CFBB1C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Обязать директора завода № 153 т. Романова, парторга ЦК ВКП(б) т. Милова, Новосибирский горком ВКП(б) и отдел оборонной промышленности обкома ВКП(б) внести на рассмотрение бюро обкома ВКП(б) мероприятия по увеличению в декабре производства самолетов в три раза против количества самолетов, выпускаемых в настоящее время.</w:t>
      </w:r>
    </w:p>
    <w:p w14:paraId="4EE115D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Создать на заводах №№ 510, 513, 524 мощную базу по обеспечению авиавыстрела. Новосибирскому и Кемеровскому горкомам ВКП(б) осуществить особые меры по восстановлению производства авиавыстрела на указанных заводах немедленно.</w:t>
      </w:r>
    </w:p>
    <w:p w14:paraId="2C10739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 обеспечении порохом, взрывателями и снаряжениями снарядов М-Я, мин, авнавыстрелов, бомб и гранат</w:t>
      </w:r>
    </w:p>
    <w:p w14:paraId="0E2F131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Новосибирскому горкому ВКП(б), директору завода № 635 ускорить работу по вводу в действие снаряжательных мастерских для снаряжения снарядов М-8, мин, 20 мм снарядов, бомб и гранат.</w:t>
      </w:r>
    </w:p>
    <w:p w14:paraId="3EFC2BC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Создать на заводе № 2 комбината № 179 базу по производству взрывателей к снарядам М-8, минам, авиабомбам и запалов к гранатам.</w:t>
      </w:r>
    </w:p>
    <w:p w14:paraId="6B2843A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Новосибирскому горкому ВКП(б) внести на рассмотрение бюро обкома ВКП(б) предложение о производстве капсюлей на заводе № 386.</w:t>
      </w:r>
    </w:p>
    <w:p w14:paraId="02B7B5F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 восстановлении и увеличении производства артиллерийских приборов</w:t>
      </w:r>
    </w:p>
    <w:p w14:paraId="5CCC47A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Возложить на секретарей Новосибирского, Сталинского и Томского горкомов ВКП(б), Новосибирского райкома ВКП(б) наряду с директорами заводов персональную ответственность за немедленное восстановление и увеличение производства артиллерийских приборов на заводах №№ 350, 69, 296.</w:t>
      </w:r>
    </w:p>
    <w:p w14:paraId="23E5AEB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Отделам обкома ВКЩб) по строительству и металлургической промышленности внести на бюро обкома ВКЩб) предложения об обеспечении черными металлами производства снарядов М-8, мин, минометов, автоматов-пистолетов, снарядов и бомб, об использовании лома черных металлов.</w:t>
      </w:r>
    </w:p>
    <w:p w14:paraId="3D6D1D5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Отделу металлургической промышленности разработать предложение о срочном производстве в области олова с использованием эвакуированных заводов и строительных организаций области.</w:t>
      </w:r>
    </w:p>
    <w:p w14:paraId="1E0B718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Просить Военный совет СибВО принять немедленные меры, чтобы на все виды вооружения и боеприпасов была получена техническая документация.</w:t>
      </w:r>
    </w:p>
    <w:p w14:paraId="380F9A4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Поручить парторгу ЦК ВКП(б) тов. Бабичу и отделу оборонной промышленности обкома ВКЩб) внести предложения о привлечении к ответственности работников, виновных в невыполнении задания ГКО по производству снарядов на заводах №№ 1, 2 и 4-а комбината № 179.</w:t>
      </w:r>
    </w:p>
    <w:p w14:paraId="499EFCF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В целях упорядочения оперативного руководства и сосредоточения работы областных организаций по усилению производства средств вооружения и боеприпасов:</w:t>
      </w:r>
    </w:p>
    <w:p w14:paraId="735AB79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переключить для работы в отделе оборонной промышленности обкома ВКП(б) всех работников отделов металлургической промышленности, транспортного отдела и работников по заводам электропромышленности, горнорудного отдела обкома ВКЩб), а также ответственных работников: от НКВД - т. Митрофанова, от облпрокуратуры — т. Плаксина, от облисполкома — т. Хайновского, от управления Томской железной дороги — т. Кривенко, от СибВО — тт. Борисова и Шепетуха, управления и транспортного отдела НКВД — т.т.Чайченко и Гурова;</w:t>
      </w:r>
    </w:p>
    <w:p w14:paraId="7A42EAD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обязать директоров заводов командировать сроком на два месяца для работы в отделе оборонной промышленности обкома ВКП(б) тт. Дро-ботова (завод № 524), Балуева (комбинат № 179), Землянского и Парнева (завод № 153).</w:t>
      </w:r>
    </w:p>
    <w:p w14:paraId="7438D84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Поручить отделу оборонной промышленности обкома ВКП(б) обеспечить строжайший контроль за выполнением этого решения.</w:t>
      </w:r>
    </w:p>
    <w:p w14:paraId="43CD29D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Обязать горкомы и райкомы ВКП(б) довести глубоко до сознания каждого трудящегося доклад и речь товарища Сталина, сочетая политико-разъяснительную работу с мобилизацией каждого трудящегося на усиление производства средств вооружения и боеприпасов, на усиление хлебозаготовок и выполнение заданий по снабжению фронта всем необходимым.</w:t>
      </w:r>
    </w:p>
    <w:p w14:paraId="30CA795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Бюро обкома ВКП(б) обязывает горкомы и райкомы ВКП(б), все парторганизации области внести изменения в программу занятий по всеобщему военному обучению и добиться того, чтобы каждый трудящийся был практически обучен тому, как истреблять вражеские танки, владеть противотанковой бутылкой с горючим, противотанковым оружием, гранатой, как строить противотанковые препятствия.</w:t>
      </w:r>
    </w:p>
    <w:p w14:paraId="629ECC5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Обком ВКП(б) предупреждает руководителей партийных и хозяйственных организаций области, что о работе каждого из них обком ВКП(б) будет судить в ближайшее время прежде всего по тому, в каких количествах и в какой срок будет дополнительно развернуто массовое производство средств вооружения и боеприпасов для снабжения Красной Армии, что практически будет сделано дополнительно по оказанию помощи фронту.</w:t>
      </w:r>
    </w:p>
    <w:p w14:paraId="0111DA2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Секретарь Новосибирского обкома ВКП(б) М. Кулагин</w:t>
      </w:r>
    </w:p>
    <w:p w14:paraId="24EA0A7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ГАНО. Ф. П-4. Оп. 33. Д. 503.г.. Л. 93-101. Подлинник.</w:t>
      </w:r>
    </w:p>
    <w:p w14:paraId="41A149D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Правленый экземпляр. Опущены разделы, касающиеся работы партийных органов и предприятий Кемерова. Томска, Сталински и других городов (12159).</w:t>
      </w:r>
    </w:p>
    <w:p w14:paraId="639A4F59"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31E2FF1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8 ноября 1941 года было письмо Е. И. Рубинчика И. В. Сталину: «Из общего количества направленных нами в город Киров 26 эшелонов на 7-е ноября к месту назначения в город Киров прибыло всего 3 эшелона, причём, эшелоны №№ 22741, 22742, 22743, 22744, 22745 находятся в пути свыше 20 дней. В пути следования мы получаем бесконечное количество телеграмм о простоях эшелонов по 3-5 дней ... Кадры завода в эшелонах с перебоями получают продовольствие и длительно находятся в пути, вместо того, чтобы работать на новом месте. Несмотря на то, что эвакуация далеко не закончена и невзирая на неоднократные решения о выделении нам вагонов, НКПС и Ленинская железная дорога за последние 8 дней по существу прекратили подачу вагонов на погрузку оборудования и материалов, в результате чего мы до сих пор не можем отправить значительную часть кузнечно-прессового, литейного, энергетического оборудования и части материалов, без чего, конечно, нельзя начать танковое производство в городе Кирове. НКПС (тов. Архангельский) до сих пор тянет с передачей завода 1 -го мая в Кирове Коломзаводу вопреки решению ГКО от 9/1Х о немедленной передаче завода нам. Кировский обком тов. Лукьянов обязывался решением ГКО подготовить к 25 октября квартир для рабочих и инженерно-технических работников завода на 10000 человек. Это решение так и не выполнено, размещение даже незначительной части прибывших людей не обеспечено ... Всё это привело к тому, ЧТО В СТОЛЬ ОТВЕТСТВЕННЫЙ ДЛЯ РОДИНЫ МОМЕНТ, КОГДА СТРАНЕ БОЛЬШЕ ВСЕГО И РАНЬШЕ ВСЕГО НУЖНЫ ТАНКИ ... ТАКОЙ МОЩНЫЙ ПРОМЫШЛЕННЫЙ ГИГАНТ, КАК КОЛОМЕНСКИЙ ЗАВОД ПО СУЩЕСТВУ ВЫНУЖДЕН В ТЕЧЕНИЕ МЕСЯЦА БЕЗДЕЙСТВОВАТЬ, А 2500 ЕДИНИЦ ОБОРУДОВАНИЯ И ТЫСЯЧИ КВАЛИФИЦИРОВАННЫХ РАБОЧИХ ПРОСТАИВАЮТ БЕЗ ДЕЛА. Наши неоднократные обращения во все без исключения партийные, советские и хозяйственные организации в Москве и Куйбышеве, от которых зависит обеспечение выполнения постановления Государственного Комитета Обороны, оказались, к сожалению, безрезультатными. Все признают справедливость наших требований, важность нашего завода в деле выпуска танков и боеприпасов, все обещают помочь, но дело с места не двигается». Далее Е. И. Рубинчик просил И. В. Сталина обязать наркома путей сообщения Л. М. Кагановича, в шестидневный срок доставить в Киров эшелоны, отправленные до 2-го ноября, и подать заводу во второй декаде ноября ещё 1200 вагонов для завершения эвакуации. Кроме того, Е. И. Рубинчик просил передать заводу квартиры на 22.000 человек в Кирове, как для нынешнего персонала, так и для предполагавшегося в будущем увеличения числа работников завода, в том числе, 100 благоустроенных квартир для руководства завода. Также он просил </w:t>
      </w:r>
      <w:r w:rsidRPr="00640820">
        <w:rPr>
          <w:rFonts w:ascii="Times New Roman" w:hAnsi="Times New Roman"/>
          <w:color w:val="000000" w:themeColor="text1"/>
          <w:sz w:val="16"/>
          <w:szCs w:val="16"/>
        </w:rPr>
        <w:lastRenderedPageBreak/>
        <w:t>организовать усиленное питание для рабочих и провести на завод правительственную связь. К письму приложена сводка, в которой указано местоположение всех эшелонов с оборудованием завода, что свидетельствует о том, что директор Коломенского завода, в отличие от многих других руководителей предприятий, сохранил контроль над их передвижением (12290).</w:t>
      </w:r>
    </w:p>
    <w:p w14:paraId="6C62106A"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091CAFA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ноября 1941 г. в соответствии с при</w:t>
      </w:r>
      <w:r w:rsidRPr="00640820">
        <w:rPr>
          <w:rFonts w:ascii="Times New Roman" w:hAnsi="Times New Roman"/>
          <w:color w:val="000000" w:themeColor="text1"/>
          <w:sz w:val="16"/>
          <w:szCs w:val="16"/>
        </w:rPr>
        <w:softHyphen/>
        <w:t>казом НКСМ № 621 на Горьковский мотоциклетный завод эвакуировали ХМЗ «Серп и Молот», имя которого присвоили ГМЗ и установили следующий план выпуска М-72 на конец 1941 г.: ноябрь - 150, де</w:t>
      </w:r>
      <w:r w:rsidRPr="00640820">
        <w:rPr>
          <w:rFonts w:ascii="Times New Roman" w:hAnsi="Times New Roman"/>
          <w:color w:val="000000" w:themeColor="text1"/>
          <w:sz w:val="16"/>
          <w:szCs w:val="16"/>
        </w:rPr>
        <w:softHyphen/>
        <w:t>кабрь - 300, с условием подготовки мощностей завода для изгото</w:t>
      </w:r>
      <w:r w:rsidRPr="00640820">
        <w:rPr>
          <w:rFonts w:ascii="Times New Roman" w:hAnsi="Times New Roman"/>
          <w:color w:val="000000" w:themeColor="text1"/>
          <w:sz w:val="16"/>
          <w:szCs w:val="16"/>
        </w:rPr>
        <w:softHyphen/>
        <w:t>вления 600 мотоциклов в месяц, то есть 7200 в год [5.9]. В соответ</w:t>
      </w:r>
      <w:r w:rsidRPr="00640820">
        <w:rPr>
          <w:rFonts w:ascii="Times New Roman" w:hAnsi="Times New Roman"/>
          <w:color w:val="000000" w:themeColor="text1"/>
          <w:sz w:val="16"/>
          <w:szCs w:val="16"/>
        </w:rPr>
        <w:softHyphen/>
        <w:t>ствии с приказом № 556с от 20 октября 1941 г. оборудование, дос</w:t>
      </w:r>
      <w:r w:rsidRPr="00640820">
        <w:rPr>
          <w:rFonts w:ascii="Times New Roman" w:hAnsi="Times New Roman"/>
          <w:color w:val="000000" w:themeColor="text1"/>
          <w:sz w:val="16"/>
          <w:szCs w:val="16"/>
        </w:rPr>
        <w:softHyphen/>
        <w:t>тавленное с ЛМЗ и ХМЗ, разместили в инструментально-ремонт</w:t>
      </w:r>
      <w:r w:rsidRPr="00640820">
        <w:rPr>
          <w:rFonts w:ascii="Times New Roman" w:hAnsi="Times New Roman"/>
          <w:color w:val="000000" w:themeColor="text1"/>
          <w:sz w:val="16"/>
          <w:szCs w:val="16"/>
        </w:rPr>
        <w:softHyphen/>
        <w:t>ном цехе завода «Красная Этна», директора которого, Романова, обязали оказывать ГМЗ необходимую помощь [5.10] (11429).</w:t>
      </w:r>
    </w:p>
    <w:p w14:paraId="2C8AE73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D605FF" w14:textId="77777777" w:rsidR="002801A3" w:rsidRPr="00640820" w:rsidRDefault="002801A3"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8 ноября</w:t>
      </w:r>
      <w:r w:rsidRPr="00640820">
        <w:rPr>
          <w:rFonts w:ascii="Times New Roman" w:hAnsi="Times New Roman"/>
          <w:color w:val="000000" w:themeColor="text1"/>
          <w:sz w:val="16"/>
          <w:szCs w:val="16"/>
        </w:rPr>
        <w:t xml:space="preserve"> в 1941 году в Кемерове на базе оборудования эвакуированного Харьковского электромеханического предприятия был основан завод «Кузбассэлектромотор» (ныне ОАО) – один из крупнейших в СНГ производителей промышленных электродвигателей для добывающих отраслей и химической промышленности. Заводской праздник по установившейся традиции отмечается 8 ноября (14824).</w:t>
      </w:r>
    </w:p>
    <w:p w14:paraId="18B0E4A0" w14:textId="77777777" w:rsidR="002801A3" w:rsidRPr="00640820" w:rsidRDefault="002801A3" w:rsidP="00640820">
      <w:pPr>
        <w:spacing w:after="0" w:line="240" w:lineRule="auto"/>
        <w:jc w:val="both"/>
        <w:rPr>
          <w:rFonts w:ascii="Times New Roman" w:hAnsi="Times New Roman"/>
          <w:color w:val="000000" w:themeColor="text1"/>
          <w:sz w:val="16"/>
          <w:szCs w:val="16"/>
        </w:rPr>
      </w:pPr>
    </w:p>
    <w:p w14:paraId="553F91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ноября 1941 вышло Постановление ГКО № 869 О тов. Фурт П.С. РГАНИР, Фонд ГКО, д. 14, лл. 1 (11012).</w:t>
      </w:r>
    </w:p>
    <w:p w14:paraId="02C007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BDC1B80"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6617CECC"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A655C06" w14:textId="77777777" w:rsidR="00B922CA" w:rsidRPr="00640820" w:rsidRDefault="00B922CA"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8 ноября</w:t>
      </w:r>
      <w:r w:rsidRPr="00640820">
        <w:rPr>
          <w:rFonts w:ascii="Times New Roman" w:hAnsi="Times New Roman"/>
          <w:color w:val="000000" w:themeColor="text1"/>
          <w:sz w:val="16"/>
          <w:szCs w:val="16"/>
        </w:rPr>
        <w:t xml:space="preserve"> в 1941 году утреннее сообщение Совинформбюро:</w:t>
      </w:r>
    </w:p>
    <w:p w14:paraId="5D882BF1" w14:textId="77777777" w:rsidR="00B922CA" w:rsidRPr="00640820" w:rsidRDefault="00B922C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8 ноября наши войска вели бои с противником на всех фронтах.</w:t>
      </w:r>
    </w:p>
    <w:p w14:paraId="4C0AAD9E" w14:textId="77777777" w:rsidR="00B922CA" w:rsidRPr="00640820" w:rsidRDefault="00B922C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авиачасти, действующие на Западном фронте, 5 ноября сбили 6 немецких самолётов, уничтожили 42 танка, 124 автомашины с пехотой и военными грузами. 80 повозок и до 2 батальонов пехоты противника. Особенно отличились за этот день авиаподразделения под командованием старшего лейтенанта Мокрусова и лейтенанта Немятого, уничтожив в районе Д. и М. 25 немецких танков, 65 автомашин, 10 орудий и до 500 солдат и офицеров противника.</w:t>
      </w:r>
    </w:p>
    <w:p w14:paraId="50B363E9" w14:textId="77777777" w:rsidR="00B922CA" w:rsidRPr="00640820" w:rsidRDefault="00B922C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Авиачасть тов. Топоркова, действующая на Ленинградском фронте, за последние 6 дней уничтожила 10 немецких танков и 165 автомашин с боеприпасами и пехотой противника. Подразделение лейтенанта Панфилова рассеяло крупную немецкую автоколонну, уничтожив 20 автомашин и 2 цистерны с горючим.</w:t>
      </w:r>
    </w:p>
    <w:p w14:paraId="0D0CAF80" w14:textId="77777777" w:rsidR="00B922CA" w:rsidRPr="00640820" w:rsidRDefault="00B922C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Доклад товарища Сталина о XXIV годовщине Великой Октябрьской социалистической революции и его речь на параде Красной Армии 7 ноября 1941 года на Красной площади в Москве вызвали огромный патриотический подъём в стране. Доклад вождя выразил мысли, чувства и чаяния всего народа. Рабочие, служащие, колхозники клянутся выполнить указания товарища Сталина, удесятерить свои усилия в Великой Отечественной войне против немецко-фашистских захватчиков, ещё самоотверженнее помогать доблестной Красной Армии и Военно-Морскому Флоту.</w:t>
      </w:r>
    </w:p>
    <w:p w14:paraId="3AB56A69" w14:textId="77777777" w:rsidR="00B922CA" w:rsidRPr="00640820" w:rsidRDefault="00B922C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Тысячи трудящихся столицы Узбекистана слушали радиотрансляцию доклада товарища Сталина. Общее мнение всего коллектива рабочих ташкентской фабрики «Красная заря», слушавших выступление товарища Сталина, выразил тов. Фахретдин Баратов:</w:t>
      </w:r>
    </w:p>
    <w:p w14:paraId="5CC01EBA" w14:textId="77777777" w:rsidR="00B922CA" w:rsidRPr="00640820" w:rsidRDefault="00B922C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Товарищ Сталин сказал народу, в чём сейчас наша главная задача. Наши рабочие и служащие, мужчины и женщины будут работать день и ночь, чтобы Красная Армия получала с каждым днём всё больше и больше вооружения и боеприпасов.</w:t>
      </w:r>
    </w:p>
    <w:p w14:paraId="5167A494" w14:textId="77777777" w:rsidR="00B922CA" w:rsidRPr="00640820" w:rsidRDefault="00B922C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Доклад товарища Сталина вызвал новый производственный подъём на предприятиях Ташкента. В депо станции Ташкент-товарная прибыл для текущего ремонта паровоз. Машинист Ростопов произвёл ремонтные работы за 20 минут вместо 70 минут по норме. Другой паровоз был отремонтирован в 45 минут вместо 180 минут по норме.</w:t>
      </w:r>
    </w:p>
    <w:p w14:paraId="1021A7E5" w14:textId="77777777" w:rsidR="00B922CA" w:rsidRPr="00640820" w:rsidRDefault="00B922C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Многотысячный митинг трудящихся состоялся в Комсомольске-на-Амуре. Участники митинга послали товарищу Сталину приветствие, в котором заявляют, что трудящиеся города будут работать, не покладая рук, чтобы добиться победы над немецкими захватчиками.</w:t>
      </w:r>
    </w:p>
    <w:p w14:paraId="7632C5C5" w14:textId="77777777" w:rsidR="00B922CA" w:rsidRPr="00640820" w:rsidRDefault="00B922C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Многолюдные митинги состоялись во всех городах и районах Читинской области. Стахановцы шубного завода, мясокомбината и железнодорожного узла заявили: «Наш народ даст всё для фронта, всё для победы над врагом».</w:t>
      </w:r>
    </w:p>
    <w:p w14:paraId="14D9FEA5" w14:textId="77777777" w:rsidR="00B922CA" w:rsidRPr="00640820" w:rsidRDefault="00B922C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Колхозники сельхозартели имени XVII съезда ВКП(б), Читинского района, обязались в два дня закончить хлебопоставки и в ответ на речь товарища Сталина организуют красные обозы с хлебом.</w:t>
      </w:r>
    </w:p>
    <w:p w14:paraId="0A0ABEF6" w14:textId="77777777" w:rsidR="00B922CA" w:rsidRPr="00640820" w:rsidRDefault="00B922C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Слушатели командного факультета Военно-командной штурманской академии Военно-Воздушных Сил Красной Армии, прослушав по радио доклад товарища Сталина, выразили свои чувства в приветствии, которое они единодушно решили послать товарищу Сталину. В этом приветствии они пишут:</w:t>
      </w:r>
    </w:p>
    <w:p w14:paraId="594C8DA0" w14:textId="77777777" w:rsidR="00B922CA" w:rsidRPr="00640820" w:rsidRDefault="00B922C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Не запугать нас фашистским собакам! Нас не согнуть и не поставить на колени! Не впервые советскому народу приходится переживать тяжёлые дни и не впервые нашему народу под руководством большевистской партии и под вашим руководством, товарищ Сталин, выходить победителем из тяжёлой борьбы. Не топтать фашистскому сапогу нашей священной земли! Победа будет за нами!» (14824).</w:t>
      </w:r>
    </w:p>
    <w:p w14:paraId="68E21E0C" w14:textId="77777777" w:rsidR="00B922CA" w:rsidRPr="00640820" w:rsidRDefault="00B922CA" w:rsidP="00640820">
      <w:pPr>
        <w:spacing w:after="0" w:line="240" w:lineRule="auto"/>
        <w:jc w:val="both"/>
        <w:rPr>
          <w:rFonts w:ascii="Times New Roman" w:hAnsi="Times New Roman"/>
          <w:color w:val="000000" w:themeColor="text1"/>
          <w:sz w:val="16"/>
          <w:szCs w:val="16"/>
        </w:rPr>
      </w:pPr>
    </w:p>
    <w:p w14:paraId="45A793EA" w14:textId="77777777" w:rsidR="00B922CA" w:rsidRPr="00640820" w:rsidRDefault="00B922CA"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8 ноября</w:t>
      </w:r>
      <w:r w:rsidRPr="00640820">
        <w:rPr>
          <w:rFonts w:ascii="Times New Roman" w:hAnsi="Times New Roman"/>
          <w:color w:val="000000" w:themeColor="text1"/>
          <w:sz w:val="16"/>
          <w:szCs w:val="16"/>
        </w:rPr>
        <w:t xml:space="preserve"> в 1941 году вечернее сообщение Совинформбюро:</w:t>
      </w:r>
    </w:p>
    <w:p w14:paraId="48E264E1" w14:textId="77777777" w:rsidR="00B922CA" w:rsidRPr="00640820" w:rsidRDefault="00B922C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8 ноября наши войска вели бои с противником на всех фронтах. Особенно ожесточённые бои происходили на Крымском участке фронта.</w:t>
      </w:r>
    </w:p>
    <w:p w14:paraId="3044E2A8" w14:textId="77777777" w:rsidR="00B922CA" w:rsidRPr="00640820" w:rsidRDefault="00B922C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уточнённым данным, за 6 ноября в воздушных боях и на аэродромах противника уничтожено не 55 немецких самолётов, как об этом сообщалось ранее, а 104 немецких самолёта.</w:t>
      </w:r>
    </w:p>
    <w:p w14:paraId="5DB8157B" w14:textId="77777777" w:rsidR="00B922CA" w:rsidRPr="00640820" w:rsidRDefault="00B922C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7 ноября уничтожено 29 немецких самолётов. Наши потери — 1 самолёт.</w:t>
      </w:r>
    </w:p>
    <w:p w14:paraId="7A1CF056" w14:textId="77777777" w:rsidR="00B922CA" w:rsidRPr="00640820" w:rsidRDefault="00B922C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авиачасти, действующие на Ленинградском и Северо-Западном участках фронта, 6 ноября уничтожили более 240 автомашин с пехотой и военными грузами, несколько орудий, миномётную батарею, рассеяли и уничтожили более батальона немецкой пехоты.</w:t>
      </w:r>
    </w:p>
    <w:p w14:paraId="433D1F95" w14:textId="77777777" w:rsidR="00B922CA" w:rsidRPr="00640820" w:rsidRDefault="00B922C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ответ на доклад товарища Сталина на торжественном заседании Московского совета и его речь на параде Красной Армии 7 ноября на Красной площади трудящиеся советской страны берут новые обязательства по увеличению выпуска продукции — всего, что нужно фронту.</w:t>
      </w:r>
    </w:p>
    <w:p w14:paraId="1AF17936" w14:textId="77777777" w:rsidR="00B922CA" w:rsidRPr="00640820" w:rsidRDefault="00B922C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Стахановка-прядильщица московской фабрики «Освобождённый труд» тов. Колчина заявила: «Речь товарища Сталина еще более укрепила нашу уверенность в победе над заклятым врагом. Мы будем работать ещё лучше и отдадим фронту все свои силы».</w:t>
      </w:r>
    </w:p>
    <w:p w14:paraId="3CC3DD8A" w14:textId="77777777" w:rsidR="00B922CA" w:rsidRPr="00640820" w:rsidRDefault="00B922C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«Товарищ Сталин выразил ваши думы, наши чаяния»,— единодушно говорят рабочие московского завода «Проводник». С горячим призывом к своим товарищам по цеху обратился стахановец тов. Годовиков. При всеобщем одобрении он заявил: «На доклад и речь товарища Сталина мы должны ответить удесятерённым стахановским трудом. Будем, товарищи, работать так, чтобы наша Красная Армия, доблестные защитники Москвы получали продукции столько, сколько им требуется». На московском заводе «Аремз» рабочие и инженерно-технические работники ответили на выступления вождя новыми стахановскими обязательствами. «Я выполняю сейчас норму на 250 проц.,— заявил стахановец тов. Канашков,— но в сегодняшней обстановке этого мало. Чтобы помочь Красной Армии скорее уничтожить, фашистских захватчиков, все мы должны работать ещё лучше и производительнее. Я обязуюсь до конца войны выполнять норму не меньше, чем на 350 процентов».</w:t>
      </w:r>
    </w:p>
    <w:p w14:paraId="4116D791" w14:textId="77777777" w:rsidR="00B922CA" w:rsidRPr="00640820" w:rsidRDefault="00B922C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Обязательством работать ещё лучше, самоотверженно помогая Красной Армии, ответили на доклад и речь товарища Сталина трудящиеся Мордовской АССР. Рабочие Саранского консервного комбината, пенькокомбината, махорочной, швейной фабрик и других предприятий берут обязательства увеличить выпуск продукции на своих заводах. Стахановка швейной фабрики тов. Лазарева, муж которой пал на фронте смертью храбрых, заявила: «Мы, жены и матери бойцов Красной Армии, будем, как призывает товарищ Сталин, работать, не покладая рук, чтобы дать фронту всё, что ему нужно, чтобы помочь Красной Армии скорее разгромить озверелых фашистов. Наш стахановский труд поможет победе великого правого дела, за которое мужественно борется весь советский народ».</w:t>
      </w:r>
    </w:p>
    <w:p w14:paraId="2458A6C0" w14:textId="77777777" w:rsidR="00B922CA" w:rsidRPr="00640820" w:rsidRDefault="00B922C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Очередная фальшивка агентства «Гавас-ОФИ»:</w:t>
      </w:r>
    </w:p>
    <w:p w14:paraId="7801DBC1" w14:textId="77777777" w:rsidR="00B922CA" w:rsidRPr="00640820" w:rsidRDefault="00B922C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«Агентство «Гавас-ОФИ» передаёт из Стамбула, что там получены сведения о потоплении якобы советской подводной лодкой турецкого торгового судна, следовавшего с грузом из Стамбула в Варну. При этом агентство с такой подозрительной подробностью расписывает потопление турецкого судна, точно уполномоченные агентства находились на самом судне и были непосредственными свидетелями всего происходившего.</w:t>
      </w:r>
    </w:p>
    <w:p w14:paraId="7A586A4E" w14:textId="77777777" w:rsidR="00B922CA" w:rsidRPr="00640820" w:rsidRDefault="00B922C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Нет необходимости доказывать, что заявление агентства «Гавас-ОФИ» о том, что турецкое судно потоплено советской подводной лодкой, является самой подлой провокацией, целиком и полностью состряпанной по прямому заданию немецко-фашистской агентуры. Лживость заявления агентства «Гавас-ОФИ» тем более очевидна, что, как заявляет само агентство, команда погибшего турецкого парохода ещё в Стамбул не прибыла и, стало быть, информировать агентство «Гавас-ОФИ» никто не мог.</w:t>
      </w:r>
    </w:p>
    <w:p w14:paraId="2CF32175" w14:textId="77777777" w:rsidR="00B922CA" w:rsidRPr="00640820" w:rsidRDefault="00B922C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последнее время в связи с тем, что германская пропаганда обанкротилась и целиком скомпрометировала себя в глазах всего мира, гитлеровская шайка стала усиленно использовать для нужд германской пропаганды целый ряд иностранных агентств и других организаций, хотя и не имеющих немецкой марки, но целиком зависимых от немцев. Агентству «Гавас-ОФИ» гитлеровцы отводят в этих планах одно из первых мест.» (14824).</w:t>
      </w:r>
    </w:p>
    <w:p w14:paraId="0657475F" w14:textId="77777777" w:rsidR="00B922CA" w:rsidRPr="00640820" w:rsidRDefault="00B922CA" w:rsidP="00640820">
      <w:pPr>
        <w:spacing w:after="0" w:line="240" w:lineRule="auto"/>
        <w:jc w:val="both"/>
        <w:rPr>
          <w:rFonts w:ascii="Times New Roman" w:hAnsi="Times New Roman"/>
          <w:color w:val="000000" w:themeColor="text1"/>
          <w:sz w:val="16"/>
          <w:szCs w:val="16"/>
        </w:rPr>
      </w:pPr>
    </w:p>
    <w:p w14:paraId="5D59AE06" w14:textId="77777777" w:rsidR="00B922CA" w:rsidRPr="00640820" w:rsidRDefault="00B922C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8 ноября 1941 г. батарея № 35 произвела первую стрельбу по противнику в ВОВ. 17 декабря 1941 г. вторая башня батареи вела огонь по противнику. Стрельба велась залпами через 1,5-2 минуты. В 16 час. 17 мин. во время заряжания для выстрела десятого снаряда левым орудием произошёл взрыв порохового заряда, так как замок не успел закрыть канал ствола. В результате взрыва погибли 35 человек личного состава боевого, рабочего и перегрузочного отделений. Вероятной причиной взрыва </w:t>
      </w:r>
      <w:r w:rsidRPr="00640820">
        <w:rPr>
          <w:rFonts w:ascii="Times New Roman" w:hAnsi="Times New Roman"/>
          <w:color w:val="000000" w:themeColor="text1"/>
          <w:sz w:val="16"/>
          <w:szCs w:val="16"/>
        </w:rPr>
        <w:lastRenderedPageBreak/>
        <w:t>могло быть то, что поршень замка не был очищен от тлеющих остатков предыдущего заряда. Башня была полностью выведена из строя. При восстановлении башни были заменены расстрелянные стволы. Только 3 апреля 1942 г. батарея была полностью введена в строй. На 35-й батарее был организован запасной КП обороны города. 29 июня 1942 г. на него перешли руководители обороны крепости (15132).</w:t>
      </w:r>
    </w:p>
    <w:p w14:paraId="547603F4" w14:textId="77777777" w:rsidR="00B922CA" w:rsidRPr="00640820" w:rsidRDefault="00B922CA" w:rsidP="00640820">
      <w:pPr>
        <w:spacing w:after="0" w:line="240" w:lineRule="auto"/>
        <w:jc w:val="both"/>
        <w:rPr>
          <w:rFonts w:ascii="Times New Roman" w:hAnsi="Times New Roman"/>
          <w:color w:val="000000" w:themeColor="text1"/>
          <w:sz w:val="16"/>
          <w:szCs w:val="16"/>
        </w:rPr>
      </w:pPr>
    </w:p>
    <w:p w14:paraId="4E82976F" w14:textId="77777777" w:rsidR="00B922CA" w:rsidRPr="00640820" w:rsidRDefault="00B922CA"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8 ноября</w:t>
      </w:r>
      <w:r w:rsidRPr="00640820">
        <w:rPr>
          <w:rFonts w:ascii="Times New Roman" w:hAnsi="Times New Roman"/>
          <w:color w:val="000000" w:themeColor="text1"/>
          <w:sz w:val="16"/>
          <w:szCs w:val="16"/>
        </w:rPr>
        <w:t xml:space="preserve"> в 1941 году немецко-фашистские войска овладели Тихвином и перерезали единственную железную дорогу, по которой шли грузы к Ладожскому озеру для снабжения Ленинграда (14824).</w:t>
      </w:r>
    </w:p>
    <w:p w14:paraId="02F85778" w14:textId="77777777" w:rsidR="00B922CA" w:rsidRPr="00640820" w:rsidRDefault="00B922CA" w:rsidP="00640820">
      <w:pPr>
        <w:spacing w:after="0" w:line="240" w:lineRule="auto"/>
        <w:jc w:val="both"/>
        <w:rPr>
          <w:rFonts w:ascii="Times New Roman" w:hAnsi="Times New Roman"/>
          <w:color w:val="000000" w:themeColor="text1"/>
          <w:sz w:val="16"/>
          <w:szCs w:val="16"/>
        </w:rPr>
      </w:pPr>
    </w:p>
    <w:p w14:paraId="0C40376A" w14:textId="77777777" w:rsidR="00B922CA" w:rsidRPr="00640820" w:rsidRDefault="00B922CA"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8 ноября</w:t>
      </w:r>
      <w:r w:rsidRPr="00640820">
        <w:rPr>
          <w:rFonts w:ascii="Times New Roman" w:hAnsi="Times New Roman"/>
          <w:color w:val="000000" w:themeColor="text1"/>
          <w:sz w:val="16"/>
          <w:szCs w:val="16"/>
        </w:rPr>
        <w:t xml:space="preserve"> в 1941 году произошло первое сокращение продовольственных норм для войск Ленинградского фронта: для войск первой линии норма хлеба уменьшилась с 800 до 600 г в день, для тыловых частей - с 600 до 400 г (14824).</w:t>
      </w:r>
    </w:p>
    <w:p w14:paraId="169AA66B" w14:textId="77777777" w:rsidR="00B922CA" w:rsidRPr="00640820" w:rsidRDefault="00B922CA" w:rsidP="00640820">
      <w:pPr>
        <w:spacing w:after="0" w:line="240" w:lineRule="auto"/>
        <w:jc w:val="both"/>
        <w:rPr>
          <w:rFonts w:ascii="Times New Roman" w:hAnsi="Times New Roman"/>
          <w:color w:val="000000" w:themeColor="text1"/>
          <w:sz w:val="16"/>
          <w:szCs w:val="16"/>
        </w:rPr>
      </w:pPr>
    </w:p>
    <w:p w14:paraId="45EF17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ноября 1941 в ночном бою под Ленинградом л А.Севастьянов произвел второй после Талалихина ночной таран (271,205).</w:t>
      </w:r>
    </w:p>
    <w:p w14:paraId="005AD7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81515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November 8, 1941: On the Leningrad front, units of Heeresgruppe Nord (von Leeb) advance across the Volchov river and capture Tichvin (3819).</w:t>
      </w:r>
    </w:p>
    <w:p w14:paraId="1BEF8D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500EF6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ноября 1941 Группа север (фон Лееб) переправилась через Волхов и захватила Тихвин (3819).</w:t>
      </w:r>
    </w:p>
    <w:p w14:paraId="690A3B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88B7C8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ноября 1941 фашистами захвачены Ялта и Тихвин (4962).</w:t>
      </w:r>
    </w:p>
    <w:p w14:paraId="2A35974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F90370" w14:textId="77777777" w:rsidR="002801A3" w:rsidRPr="00640820" w:rsidRDefault="002801A3"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8 ноября</w:t>
      </w:r>
      <w:r w:rsidRPr="00640820">
        <w:rPr>
          <w:rFonts w:ascii="Times New Roman" w:hAnsi="Times New Roman"/>
          <w:color w:val="000000" w:themeColor="text1"/>
          <w:sz w:val="16"/>
          <w:szCs w:val="16"/>
        </w:rPr>
        <w:t xml:space="preserve"> в 1941 году фашисты захватывают Ялту и Тихвин (14824).</w:t>
      </w:r>
    </w:p>
    <w:p w14:paraId="4005C391" w14:textId="77777777" w:rsidR="002801A3" w:rsidRPr="00640820" w:rsidRDefault="002801A3" w:rsidP="00640820">
      <w:pPr>
        <w:spacing w:after="0" w:line="240" w:lineRule="auto"/>
        <w:jc w:val="both"/>
        <w:rPr>
          <w:rFonts w:ascii="Times New Roman" w:hAnsi="Times New Roman"/>
          <w:color w:val="000000" w:themeColor="text1"/>
          <w:sz w:val="16"/>
          <w:szCs w:val="16"/>
        </w:rPr>
      </w:pPr>
    </w:p>
    <w:p w14:paraId="382C70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ноября 1941 температура в основном установилась на уровне 0°, местами шел мокрый снег. Тем не менее немецкие самолеты-разведчики поднимались в воздух, чтобы сфотографировать результаты налетов на Горький. В 15.20 в городе была объявлена воздушная тревога, и вскоре над ним на большой высоте прошел одиночный Ju-88D. В следующие дни, невзирая на плохую погоду, немцы совершили еще несколько налетов на Горький одиночными самолетами и даже попытались разбомбить Окский мост, однако промахнулись (11774).</w:t>
      </w:r>
    </w:p>
    <w:p w14:paraId="1BE050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7724E69"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4736D25C"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D30E0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ноября 1941 года было отправлено:</w:t>
      </w:r>
    </w:p>
    <w:p w14:paraId="771F6B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ЛИЧНОЕ ПОСЛАНИЕ ПРЕМЬЕРА СТАЛИНА ПРЕМЬЕРУ ЧЕРЧИЛЛЮ</w:t>
      </w:r>
    </w:p>
    <w:p w14:paraId="0B5D92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Ваше послание я получил 7 ноября.</w:t>
      </w:r>
    </w:p>
    <w:p w14:paraId="1FBDA3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Я согласен с Вами, что нужно внести ясность, которой сейчас не существует во взаимоотношениях между СССР и Великобританией. Эта неясность есть следствие двух обстоятельств: первое — не существует определенной договоренности между нашими странами о целях войны и о планах организации дела мира после войны; и второе — не существует договора между СССР и Великобританией о военной взаимопомощи в Европе против Гитлера. Пока не будет договоренности по этим двум главным вопросам, не только не будет ясности в англосоветских взаимоотношениях, но, если говорить совершенно откровенно, не обеспечено и взаимное доверие. Конечно, имеющаяся договоренность по вопросу о военном снабжении Советского Союза имеет большое положительное значение, но это не решает дела и далеко не исчерпывает вопроса о взаимоотношениях между нашими странами.</w:t>
      </w:r>
    </w:p>
    <w:p w14:paraId="4931DB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Если генерал Уэйвелл и генерал Пэйджет, о которых говорится в Вашем послании, приедут в Москву для заключения соглашений по указанным основным вопросам, то, разумеется, я готов с ними встретиться и рассмотреть эти вопросы. Если же миссия названных генералов ограничивается делом информации и рассмотрения второстепенных вопросов, то я не вижу необходимости отрывать генералов от их дел и сам не смогу выделить время для таких бесед.</w:t>
      </w:r>
    </w:p>
    <w:p w14:paraId="18ACF2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Относительно объявления войны Финляндии, Венгрии и Румынии со стороны Великобритании создалось, мне кажется, нетерпимое положение. Советское Правительство поставило этот вопрос перед Правительством Великобритании в секретном дипломатическом порядке. Неожиданно для СССР весь этот вопрос, начиная от обращения Советского Правительства к Правительству Великобритании вплоть до рассмотрения этого вопроса Правительством США, вынесен в печать и обсуждается в печати, дружественной и вражеской, вкривь и вкось. И после всего этого Правительство Великобритании заявляет о своем отрицательном отношении к нашему предложению. Для чего все это делается? Неужели для того, чтобы демонстрировать разлад между СССР и Великобританией?</w:t>
      </w:r>
    </w:p>
    <w:p w14:paraId="3DEBE9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Можете не сомневаться, что нами принимаются все меры к тому, чтобы поступающее из Англии в Архангельск вооружение своевременно доставлялось по месту назначения. То же будет сделано и в отношении Ирана. Нельзя, однако, не сказать, хотя это и мелочь, что танки, артиллерия и авиация приходят в плохой упаковке, отдельные части артиллерии приходят в разных кораблях, а самолеты настолько плохо упакованы, что мы получаем их в разбитом виде (7430).</w:t>
      </w:r>
    </w:p>
    <w:p w14:paraId="1E747D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60A89F1" w14:textId="77777777" w:rsidR="008D3ECC" w:rsidRPr="00640820" w:rsidRDefault="008D3E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ноября 1941 г. Сталин в письме к Черчиллю сокрушался по поводу того то, что «самолеты настолько плохо упакованы, что мы получаем их в разбитом виде». А за весь период действия первого соглашения американцы выполнили свои обязательства по поставкам бомбардировщиков на 29,7%, а истребителей — на 30,9% (18305).</w:t>
      </w:r>
    </w:p>
    <w:p w14:paraId="0D5AE168" w14:textId="77777777" w:rsidR="008D3ECC" w:rsidRPr="00640820" w:rsidRDefault="008D3ECC" w:rsidP="00640820">
      <w:pPr>
        <w:spacing w:after="0" w:line="240" w:lineRule="auto"/>
        <w:jc w:val="both"/>
        <w:rPr>
          <w:rFonts w:ascii="Times New Roman" w:hAnsi="Times New Roman"/>
          <w:color w:val="000000" w:themeColor="text1"/>
          <w:sz w:val="16"/>
          <w:szCs w:val="16"/>
        </w:rPr>
      </w:pPr>
    </w:p>
    <w:p w14:paraId="72861A2F"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1DA78140"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E16379C" w14:textId="77777777" w:rsidR="002801A3" w:rsidRPr="00640820" w:rsidRDefault="002801A3"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8 ноября</w:t>
      </w:r>
      <w:r w:rsidRPr="00640820">
        <w:rPr>
          <w:rFonts w:ascii="Times New Roman" w:hAnsi="Times New Roman"/>
          <w:color w:val="000000" w:themeColor="text1"/>
          <w:sz w:val="16"/>
          <w:szCs w:val="16"/>
        </w:rPr>
        <w:t xml:space="preserve"> в 1941 году бомбардировка английскими ВВС Берлина, Рура, Мангейма и Кельна. Из 400 бомбардировщиков, участвовавших в налете, сбито 37 (в том числе в районе Берлина – 21) (14824).</w:t>
      </w:r>
    </w:p>
    <w:p w14:paraId="756040D2" w14:textId="77777777" w:rsidR="002801A3" w:rsidRPr="00640820" w:rsidRDefault="002801A3" w:rsidP="00640820">
      <w:pPr>
        <w:spacing w:after="0" w:line="240" w:lineRule="auto"/>
        <w:jc w:val="both"/>
        <w:rPr>
          <w:rFonts w:ascii="Times New Roman" w:hAnsi="Times New Roman"/>
          <w:color w:val="000000" w:themeColor="text1"/>
          <w:sz w:val="16"/>
          <w:szCs w:val="16"/>
        </w:rPr>
      </w:pPr>
    </w:p>
    <w:p w14:paraId="08A3C0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ноября 1941 была образована КП Албании (3186).</w:t>
      </w:r>
    </w:p>
    <w:p w14:paraId="0D25BD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BDBCD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ноября 1941 Создана Компартия Албании (КПА), секретарем которой стал Э.Ходжа (1908-1985), бывший учитель, получивший образование на Западе. 1942.03 На территории Албании стали создаваться национально-освободительные подпольные советы (7594).</w:t>
      </w:r>
    </w:p>
    <w:p w14:paraId="3A6D26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8617A70"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1EA2C09B"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4C3AA56" w14:textId="77777777" w:rsidR="009E3071" w:rsidRPr="00640820" w:rsidRDefault="009E3071" w:rsidP="00640820">
      <w:pPr>
        <w:pStyle w:val="afffff5"/>
        <w:shd w:val="clear" w:color="auto" w:fill="FFFFFF"/>
        <w:spacing w:before="0" w:beforeAutospacing="0" w:after="0" w:afterAutospacing="0"/>
        <w:jc w:val="both"/>
        <w:rPr>
          <w:color w:val="000000" w:themeColor="text1"/>
          <w:sz w:val="16"/>
          <w:szCs w:val="16"/>
        </w:rPr>
      </w:pPr>
      <w:r w:rsidRPr="00640820">
        <w:rPr>
          <w:color w:val="000000" w:themeColor="text1"/>
          <w:sz w:val="16"/>
          <w:szCs w:val="16"/>
        </w:rPr>
        <w:t>В ночь с 9 на 10 ноября 1941 года последний эшелон с оборудованием ЛИС, ценными материалами, спецодеждой был отправлен с завода №18 в Куйбышев (19822).</w:t>
      </w:r>
    </w:p>
    <w:p w14:paraId="416A8FA4" w14:textId="77777777" w:rsidR="009E3071" w:rsidRPr="00640820" w:rsidRDefault="009E3071" w:rsidP="00640820">
      <w:pPr>
        <w:pStyle w:val="afffff5"/>
        <w:shd w:val="clear" w:color="auto" w:fill="FFFFFF"/>
        <w:spacing w:before="0" w:beforeAutospacing="0" w:after="0" w:afterAutospacing="0"/>
        <w:jc w:val="both"/>
        <w:rPr>
          <w:color w:val="000000" w:themeColor="text1"/>
          <w:sz w:val="16"/>
          <w:szCs w:val="16"/>
        </w:rPr>
      </w:pPr>
    </w:p>
    <w:p w14:paraId="30155D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ноября 1941 вышло Постановление ГКО № 872 О восстановлении авиационных заводов, эвакуированных на Волгу, Урал и в Сибирь. РГАНИР, Фонд ГКО, д. 14, лл. 4-7 (11012).</w:t>
      </w:r>
    </w:p>
    <w:p w14:paraId="3EB93F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3BA5BD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ноября 1941 г. вышло ПОСТАНОВЛЕНИЕ № ГКО-872сс О восстановлении авиационных заводов, эвакуированных на Волгу, Урал и в Сибирь</w:t>
      </w:r>
    </w:p>
    <w:p w14:paraId="7F616E6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ноября 1941 г. Москва, Кремль</w:t>
      </w:r>
    </w:p>
    <w:p w14:paraId="57D4C9C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 Обязать Наркома Авиационной Промышленности т. Шахурина обеспечить выпуск на заводах Наркомавиапрома: </w:t>
      </w:r>
    </w:p>
    <w:p w14:paraId="194D638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а) к концу декабря 1941 г. ежесуточно 73 боевых самолетов и 109 авиационных моторов для боевых самолетов, в том числе: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38"/>
        <w:gridCol w:w="2374"/>
        <w:gridCol w:w="282"/>
        <w:gridCol w:w="194"/>
        <w:gridCol w:w="223"/>
        <w:gridCol w:w="31"/>
        <w:gridCol w:w="16"/>
        <w:gridCol w:w="237"/>
        <w:gridCol w:w="138"/>
        <w:gridCol w:w="363"/>
        <w:gridCol w:w="207"/>
        <w:gridCol w:w="130"/>
        <w:gridCol w:w="2969"/>
      </w:tblGrid>
      <w:tr w:rsidR="00643896" w:rsidRPr="00640820" w14:paraId="1D0433D8" w14:textId="77777777" w:rsidTr="000D3BCB">
        <w:tc>
          <w:tcPr>
            <w:tcW w:w="8800" w:type="dxa"/>
            <w:gridSpan w:val="13"/>
            <w:shd w:val="clear" w:color="auto" w:fill="auto"/>
          </w:tcPr>
          <w:p w14:paraId="48EF3D01"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u w:val="single"/>
                <w:lang w:eastAsia="ru-RU"/>
              </w:rPr>
              <w:t>истребителей</w:t>
            </w:r>
          </w:p>
        </w:tc>
      </w:tr>
      <w:tr w:rsidR="00643896" w:rsidRPr="00640820" w14:paraId="268966DD" w14:textId="77777777" w:rsidTr="000D3BCB">
        <w:tc>
          <w:tcPr>
            <w:tcW w:w="4012" w:type="dxa"/>
            <w:gridSpan w:val="2"/>
            <w:shd w:val="clear" w:color="auto" w:fill="auto"/>
          </w:tcPr>
          <w:p w14:paraId="4545AF33"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Миг-3 с АМ-35А</w:t>
            </w:r>
          </w:p>
        </w:tc>
        <w:tc>
          <w:tcPr>
            <w:tcW w:w="282" w:type="dxa"/>
            <w:shd w:val="clear" w:color="auto" w:fill="auto"/>
          </w:tcPr>
          <w:p w14:paraId="1D5F072E"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839" w:type="dxa"/>
            <w:gridSpan w:val="6"/>
            <w:shd w:val="clear" w:color="auto" w:fill="auto"/>
          </w:tcPr>
          <w:p w14:paraId="61A32668"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6</w:t>
            </w:r>
          </w:p>
        </w:tc>
        <w:tc>
          <w:tcPr>
            <w:tcW w:w="3667" w:type="dxa"/>
            <w:gridSpan w:val="4"/>
            <w:shd w:val="clear" w:color="auto" w:fill="auto"/>
          </w:tcPr>
          <w:p w14:paraId="4B05548C"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самолетов</w:t>
            </w:r>
          </w:p>
        </w:tc>
      </w:tr>
      <w:tr w:rsidR="00643896" w:rsidRPr="00640820" w14:paraId="19F71B43" w14:textId="77777777" w:rsidTr="000D3BCB">
        <w:tc>
          <w:tcPr>
            <w:tcW w:w="4012" w:type="dxa"/>
            <w:gridSpan w:val="2"/>
            <w:shd w:val="clear" w:color="auto" w:fill="auto"/>
          </w:tcPr>
          <w:p w14:paraId="003BE443"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Лагг-3 с М-105П</w:t>
            </w:r>
          </w:p>
        </w:tc>
        <w:tc>
          <w:tcPr>
            <w:tcW w:w="282" w:type="dxa"/>
            <w:shd w:val="clear" w:color="auto" w:fill="auto"/>
          </w:tcPr>
          <w:p w14:paraId="14B085C1"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839" w:type="dxa"/>
            <w:gridSpan w:val="6"/>
            <w:shd w:val="clear" w:color="auto" w:fill="auto"/>
          </w:tcPr>
          <w:p w14:paraId="5308056B"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24</w:t>
            </w:r>
          </w:p>
        </w:tc>
        <w:tc>
          <w:tcPr>
            <w:tcW w:w="3667" w:type="dxa"/>
            <w:gridSpan w:val="4"/>
            <w:shd w:val="clear" w:color="auto" w:fill="auto"/>
          </w:tcPr>
          <w:p w14:paraId="75C4CCF0"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1D3FC9C3" w14:textId="77777777" w:rsidTr="000D3BCB">
        <w:tc>
          <w:tcPr>
            <w:tcW w:w="4012" w:type="dxa"/>
            <w:gridSpan w:val="2"/>
            <w:shd w:val="clear" w:color="auto" w:fill="auto"/>
          </w:tcPr>
          <w:p w14:paraId="37DD876C"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Як-1 с М-105П</w:t>
            </w:r>
          </w:p>
        </w:tc>
        <w:tc>
          <w:tcPr>
            <w:tcW w:w="282" w:type="dxa"/>
            <w:shd w:val="clear" w:color="auto" w:fill="auto"/>
          </w:tcPr>
          <w:p w14:paraId="48A108E9"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839" w:type="dxa"/>
            <w:gridSpan w:val="6"/>
            <w:shd w:val="clear" w:color="auto" w:fill="auto"/>
          </w:tcPr>
          <w:p w14:paraId="64DFA1D8"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12</w:t>
            </w:r>
          </w:p>
        </w:tc>
        <w:tc>
          <w:tcPr>
            <w:tcW w:w="3667" w:type="dxa"/>
            <w:gridSpan w:val="4"/>
            <w:shd w:val="clear" w:color="auto" w:fill="auto"/>
          </w:tcPr>
          <w:p w14:paraId="7250B515"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39A16D68" w14:textId="77777777" w:rsidTr="000D3BCB">
        <w:tc>
          <w:tcPr>
            <w:tcW w:w="8800" w:type="dxa"/>
            <w:gridSpan w:val="13"/>
            <w:shd w:val="clear" w:color="auto" w:fill="auto"/>
          </w:tcPr>
          <w:p w14:paraId="332BFD4E"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5839B5A3" w14:textId="77777777" w:rsidTr="000D3BCB">
        <w:tc>
          <w:tcPr>
            <w:tcW w:w="4294" w:type="dxa"/>
            <w:gridSpan w:val="3"/>
            <w:shd w:val="clear" w:color="auto" w:fill="auto"/>
          </w:tcPr>
          <w:p w14:paraId="00EF00FB"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Итого:</w:t>
            </w:r>
          </w:p>
        </w:tc>
        <w:tc>
          <w:tcPr>
            <w:tcW w:w="839" w:type="dxa"/>
            <w:gridSpan w:val="6"/>
            <w:shd w:val="clear" w:color="auto" w:fill="auto"/>
          </w:tcPr>
          <w:p w14:paraId="6C055A9F"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42</w:t>
            </w:r>
          </w:p>
        </w:tc>
        <w:tc>
          <w:tcPr>
            <w:tcW w:w="3667" w:type="dxa"/>
            <w:gridSpan w:val="4"/>
            <w:shd w:val="clear" w:color="auto" w:fill="auto"/>
          </w:tcPr>
          <w:p w14:paraId="247283DF"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самолета</w:t>
            </w:r>
          </w:p>
        </w:tc>
      </w:tr>
      <w:tr w:rsidR="00643896" w:rsidRPr="00640820" w14:paraId="6BF128CC" w14:textId="77777777" w:rsidTr="000D3BCB">
        <w:tc>
          <w:tcPr>
            <w:tcW w:w="8800" w:type="dxa"/>
            <w:gridSpan w:val="13"/>
            <w:shd w:val="clear" w:color="auto" w:fill="auto"/>
          </w:tcPr>
          <w:p w14:paraId="38FA0DD3"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u w:val="single"/>
                <w:lang w:eastAsia="ru-RU"/>
              </w:rPr>
              <w:t>бомбардировщиков</w:t>
            </w:r>
          </w:p>
        </w:tc>
      </w:tr>
      <w:tr w:rsidR="00643896" w:rsidRPr="00640820" w14:paraId="45E59DE9" w14:textId="77777777" w:rsidTr="000D3BCB">
        <w:tc>
          <w:tcPr>
            <w:tcW w:w="4758" w:type="dxa"/>
            <w:gridSpan w:val="7"/>
            <w:shd w:val="clear" w:color="auto" w:fill="auto"/>
          </w:tcPr>
          <w:p w14:paraId="1DB70F73"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Пе-2 с 2М-105Р</w:t>
            </w:r>
          </w:p>
        </w:tc>
        <w:tc>
          <w:tcPr>
            <w:tcW w:w="237" w:type="dxa"/>
            <w:shd w:val="clear" w:color="auto" w:fill="auto"/>
          </w:tcPr>
          <w:p w14:paraId="12D873A4"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708" w:type="dxa"/>
            <w:gridSpan w:val="3"/>
            <w:shd w:val="clear" w:color="auto" w:fill="auto"/>
          </w:tcPr>
          <w:p w14:paraId="14D90B49"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12</w:t>
            </w:r>
          </w:p>
        </w:tc>
        <w:tc>
          <w:tcPr>
            <w:tcW w:w="3097" w:type="dxa"/>
            <w:gridSpan w:val="2"/>
            <w:shd w:val="clear" w:color="auto" w:fill="auto"/>
          </w:tcPr>
          <w:p w14:paraId="6592A58A"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самолетов</w:t>
            </w:r>
          </w:p>
        </w:tc>
      </w:tr>
      <w:tr w:rsidR="00643896" w:rsidRPr="00640820" w14:paraId="76D0A865" w14:textId="77777777" w:rsidTr="000D3BCB">
        <w:tc>
          <w:tcPr>
            <w:tcW w:w="4758" w:type="dxa"/>
            <w:gridSpan w:val="7"/>
            <w:shd w:val="clear" w:color="auto" w:fill="auto"/>
          </w:tcPr>
          <w:p w14:paraId="14E7DA60"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ДБ-3ф с 2М-88</w:t>
            </w:r>
          </w:p>
        </w:tc>
        <w:tc>
          <w:tcPr>
            <w:tcW w:w="237" w:type="dxa"/>
            <w:shd w:val="clear" w:color="auto" w:fill="auto"/>
          </w:tcPr>
          <w:p w14:paraId="1DB1497A"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708" w:type="dxa"/>
            <w:gridSpan w:val="3"/>
            <w:shd w:val="clear" w:color="auto" w:fill="auto"/>
          </w:tcPr>
          <w:p w14:paraId="355C946E"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w:t>
            </w:r>
          </w:p>
        </w:tc>
        <w:tc>
          <w:tcPr>
            <w:tcW w:w="3097" w:type="dxa"/>
            <w:gridSpan w:val="2"/>
            <w:shd w:val="clear" w:color="auto" w:fill="auto"/>
          </w:tcPr>
          <w:p w14:paraId="3BB701E6"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30E94C66" w14:textId="77777777" w:rsidTr="000D3BCB">
        <w:tc>
          <w:tcPr>
            <w:tcW w:w="4758" w:type="dxa"/>
            <w:gridSpan w:val="7"/>
            <w:shd w:val="clear" w:color="auto" w:fill="auto"/>
          </w:tcPr>
          <w:p w14:paraId="3DD934B6"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Су-2 с М-82</w:t>
            </w:r>
          </w:p>
        </w:tc>
        <w:tc>
          <w:tcPr>
            <w:tcW w:w="237" w:type="dxa"/>
            <w:shd w:val="clear" w:color="auto" w:fill="auto"/>
          </w:tcPr>
          <w:p w14:paraId="50C7F412"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708" w:type="dxa"/>
            <w:gridSpan w:val="3"/>
            <w:shd w:val="clear" w:color="auto" w:fill="auto"/>
          </w:tcPr>
          <w:p w14:paraId="21EB3B18"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3</w:t>
            </w:r>
          </w:p>
        </w:tc>
        <w:tc>
          <w:tcPr>
            <w:tcW w:w="3097" w:type="dxa"/>
            <w:gridSpan w:val="2"/>
            <w:shd w:val="clear" w:color="auto" w:fill="auto"/>
          </w:tcPr>
          <w:p w14:paraId="5846D86A"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7A4622A7" w14:textId="77777777" w:rsidTr="000D3BCB">
        <w:tc>
          <w:tcPr>
            <w:tcW w:w="8800" w:type="dxa"/>
            <w:gridSpan w:val="13"/>
            <w:shd w:val="clear" w:color="auto" w:fill="auto"/>
          </w:tcPr>
          <w:p w14:paraId="0124C27F"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25086371" w14:textId="77777777" w:rsidTr="000D3BCB">
        <w:tc>
          <w:tcPr>
            <w:tcW w:w="4995" w:type="dxa"/>
            <w:gridSpan w:val="8"/>
            <w:shd w:val="clear" w:color="auto" w:fill="auto"/>
          </w:tcPr>
          <w:p w14:paraId="6FAC5A6D"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Итого:</w:t>
            </w:r>
          </w:p>
        </w:tc>
        <w:tc>
          <w:tcPr>
            <w:tcW w:w="708" w:type="dxa"/>
            <w:gridSpan w:val="3"/>
            <w:shd w:val="clear" w:color="auto" w:fill="auto"/>
          </w:tcPr>
          <w:p w14:paraId="4215F36B"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17</w:t>
            </w:r>
          </w:p>
        </w:tc>
        <w:tc>
          <w:tcPr>
            <w:tcW w:w="3097" w:type="dxa"/>
            <w:gridSpan w:val="2"/>
            <w:shd w:val="clear" w:color="auto" w:fill="auto"/>
          </w:tcPr>
          <w:p w14:paraId="5F283865"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самолетов</w:t>
            </w:r>
          </w:p>
        </w:tc>
      </w:tr>
      <w:tr w:rsidR="00643896" w:rsidRPr="00640820" w14:paraId="01FBA3E7" w14:textId="77777777" w:rsidTr="000D3BCB">
        <w:tc>
          <w:tcPr>
            <w:tcW w:w="8800" w:type="dxa"/>
            <w:gridSpan w:val="13"/>
            <w:shd w:val="clear" w:color="auto" w:fill="auto"/>
          </w:tcPr>
          <w:p w14:paraId="4DDBBD57"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u w:val="single"/>
                <w:lang w:eastAsia="ru-RU"/>
              </w:rPr>
              <w:lastRenderedPageBreak/>
              <w:t>штурмовиков</w:t>
            </w:r>
          </w:p>
        </w:tc>
      </w:tr>
      <w:tr w:rsidR="00643896" w:rsidRPr="00640820" w14:paraId="19557CB2" w14:textId="77777777" w:rsidTr="000D3BCB">
        <w:tc>
          <w:tcPr>
            <w:tcW w:w="4488" w:type="dxa"/>
            <w:gridSpan w:val="4"/>
            <w:shd w:val="clear" w:color="auto" w:fill="auto"/>
          </w:tcPr>
          <w:p w14:paraId="2DCB7A9C"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Ил-2 с АМ-38</w:t>
            </w:r>
          </w:p>
        </w:tc>
        <w:tc>
          <w:tcPr>
            <w:tcW w:w="254" w:type="dxa"/>
            <w:gridSpan w:val="2"/>
            <w:shd w:val="clear" w:color="auto" w:fill="auto"/>
          </w:tcPr>
          <w:p w14:paraId="722B7429"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754" w:type="dxa"/>
            <w:gridSpan w:val="4"/>
            <w:shd w:val="clear" w:color="auto" w:fill="auto"/>
          </w:tcPr>
          <w:p w14:paraId="0814304D"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14</w:t>
            </w:r>
          </w:p>
        </w:tc>
        <w:tc>
          <w:tcPr>
            <w:tcW w:w="3304" w:type="dxa"/>
            <w:gridSpan w:val="3"/>
            <w:shd w:val="clear" w:color="auto" w:fill="auto"/>
          </w:tcPr>
          <w:p w14:paraId="098DA090"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самолетов</w:t>
            </w:r>
          </w:p>
        </w:tc>
      </w:tr>
      <w:tr w:rsidR="00643896" w:rsidRPr="00640820" w14:paraId="57F693F8" w14:textId="77777777" w:rsidTr="000D3BCB">
        <w:tc>
          <w:tcPr>
            <w:tcW w:w="8800" w:type="dxa"/>
            <w:gridSpan w:val="13"/>
            <w:shd w:val="clear" w:color="auto" w:fill="auto"/>
          </w:tcPr>
          <w:p w14:paraId="7F9D7DF8"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u w:val="single"/>
                <w:lang w:eastAsia="ru-RU"/>
              </w:rPr>
              <w:t>авиационных моторов</w:t>
            </w:r>
          </w:p>
        </w:tc>
      </w:tr>
      <w:tr w:rsidR="00643896" w:rsidRPr="00640820" w14:paraId="04CBEC10" w14:textId="77777777" w:rsidTr="000D3BCB">
        <w:tc>
          <w:tcPr>
            <w:tcW w:w="1638" w:type="dxa"/>
            <w:shd w:val="clear" w:color="auto" w:fill="auto"/>
          </w:tcPr>
          <w:p w14:paraId="29977B1E"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типа</w:t>
            </w:r>
          </w:p>
        </w:tc>
        <w:tc>
          <w:tcPr>
            <w:tcW w:w="3073" w:type="dxa"/>
            <w:gridSpan w:val="4"/>
            <w:shd w:val="clear" w:color="auto" w:fill="auto"/>
          </w:tcPr>
          <w:p w14:paraId="335B0890"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АМ-35А</w:t>
            </w:r>
          </w:p>
        </w:tc>
        <w:tc>
          <w:tcPr>
            <w:tcW w:w="282" w:type="dxa"/>
            <w:gridSpan w:val="3"/>
            <w:shd w:val="clear" w:color="auto" w:fill="auto"/>
          </w:tcPr>
          <w:p w14:paraId="46644DE9"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838" w:type="dxa"/>
            <w:gridSpan w:val="4"/>
            <w:shd w:val="clear" w:color="auto" w:fill="auto"/>
          </w:tcPr>
          <w:p w14:paraId="110DB612"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6</w:t>
            </w:r>
          </w:p>
        </w:tc>
        <w:tc>
          <w:tcPr>
            <w:tcW w:w="2969" w:type="dxa"/>
            <w:shd w:val="clear" w:color="auto" w:fill="auto"/>
          </w:tcPr>
          <w:p w14:paraId="560E7C85"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моторов</w:t>
            </w:r>
          </w:p>
        </w:tc>
      </w:tr>
      <w:tr w:rsidR="00643896" w:rsidRPr="00640820" w14:paraId="37BEB16D" w14:textId="77777777" w:rsidTr="000D3BCB">
        <w:tc>
          <w:tcPr>
            <w:tcW w:w="1638" w:type="dxa"/>
            <w:shd w:val="clear" w:color="auto" w:fill="auto"/>
          </w:tcPr>
          <w:p w14:paraId="1E2BCAF3"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3073" w:type="dxa"/>
            <w:gridSpan w:val="4"/>
            <w:shd w:val="clear" w:color="auto" w:fill="auto"/>
          </w:tcPr>
          <w:p w14:paraId="11159B68"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АМ-37</w:t>
            </w:r>
          </w:p>
        </w:tc>
        <w:tc>
          <w:tcPr>
            <w:tcW w:w="282" w:type="dxa"/>
            <w:gridSpan w:val="3"/>
            <w:shd w:val="clear" w:color="auto" w:fill="auto"/>
          </w:tcPr>
          <w:p w14:paraId="04F79111"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838" w:type="dxa"/>
            <w:gridSpan w:val="4"/>
            <w:shd w:val="clear" w:color="auto" w:fill="auto"/>
          </w:tcPr>
          <w:p w14:paraId="2884FA11"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w:t>
            </w:r>
          </w:p>
        </w:tc>
        <w:tc>
          <w:tcPr>
            <w:tcW w:w="2969" w:type="dxa"/>
            <w:shd w:val="clear" w:color="auto" w:fill="auto"/>
          </w:tcPr>
          <w:p w14:paraId="107A1D32"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19542F44" w14:textId="77777777" w:rsidTr="000D3BCB">
        <w:tc>
          <w:tcPr>
            <w:tcW w:w="1638" w:type="dxa"/>
            <w:shd w:val="clear" w:color="auto" w:fill="auto"/>
          </w:tcPr>
          <w:p w14:paraId="29A96729"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3073" w:type="dxa"/>
            <w:gridSpan w:val="4"/>
            <w:shd w:val="clear" w:color="auto" w:fill="auto"/>
          </w:tcPr>
          <w:p w14:paraId="62E74B16"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АМ-38</w:t>
            </w:r>
          </w:p>
        </w:tc>
        <w:tc>
          <w:tcPr>
            <w:tcW w:w="282" w:type="dxa"/>
            <w:gridSpan w:val="3"/>
            <w:shd w:val="clear" w:color="auto" w:fill="auto"/>
          </w:tcPr>
          <w:p w14:paraId="5E3877DD"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838" w:type="dxa"/>
            <w:gridSpan w:val="4"/>
            <w:shd w:val="clear" w:color="auto" w:fill="auto"/>
          </w:tcPr>
          <w:p w14:paraId="375B3034"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16</w:t>
            </w:r>
          </w:p>
        </w:tc>
        <w:tc>
          <w:tcPr>
            <w:tcW w:w="2969" w:type="dxa"/>
            <w:shd w:val="clear" w:color="auto" w:fill="auto"/>
          </w:tcPr>
          <w:p w14:paraId="40550957"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0FCB3346" w14:textId="77777777" w:rsidTr="000D3BCB">
        <w:tc>
          <w:tcPr>
            <w:tcW w:w="1638" w:type="dxa"/>
            <w:shd w:val="clear" w:color="auto" w:fill="auto"/>
          </w:tcPr>
          <w:p w14:paraId="4DA60351"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3073" w:type="dxa"/>
            <w:gridSpan w:val="4"/>
            <w:shd w:val="clear" w:color="auto" w:fill="auto"/>
          </w:tcPr>
          <w:p w14:paraId="74DA1C6E"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М-105П</w:t>
            </w:r>
          </w:p>
        </w:tc>
        <w:tc>
          <w:tcPr>
            <w:tcW w:w="282" w:type="dxa"/>
            <w:gridSpan w:val="3"/>
            <w:shd w:val="clear" w:color="auto" w:fill="auto"/>
          </w:tcPr>
          <w:p w14:paraId="6E819847"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838" w:type="dxa"/>
            <w:gridSpan w:val="4"/>
            <w:shd w:val="clear" w:color="auto" w:fill="auto"/>
          </w:tcPr>
          <w:p w14:paraId="7CBBC06B"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40</w:t>
            </w:r>
          </w:p>
        </w:tc>
        <w:tc>
          <w:tcPr>
            <w:tcW w:w="2969" w:type="dxa"/>
            <w:shd w:val="clear" w:color="auto" w:fill="auto"/>
          </w:tcPr>
          <w:p w14:paraId="49D1C6FA"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6725A88B" w14:textId="77777777" w:rsidTr="000D3BCB">
        <w:tc>
          <w:tcPr>
            <w:tcW w:w="1638" w:type="dxa"/>
            <w:shd w:val="clear" w:color="auto" w:fill="auto"/>
          </w:tcPr>
          <w:p w14:paraId="017ABEBA"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3073" w:type="dxa"/>
            <w:gridSpan w:val="4"/>
            <w:shd w:val="clear" w:color="auto" w:fill="auto"/>
          </w:tcPr>
          <w:p w14:paraId="5CF3A52F"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М-105Р</w:t>
            </w:r>
          </w:p>
        </w:tc>
        <w:tc>
          <w:tcPr>
            <w:tcW w:w="282" w:type="dxa"/>
            <w:gridSpan w:val="3"/>
            <w:shd w:val="clear" w:color="auto" w:fill="auto"/>
          </w:tcPr>
          <w:p w14:paraId="0A14DE16"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838" w:type="dxa"/>
            <w:gridSpan w:val="4"/>
            <w:shd w:val="clear" w:color="auto" w:fill="auto"/>
          </w:tcPr>
          <w:p w14:paraId="5D98A10C"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15</w:t>
            </w:r>
          </w:p>
        </w:tc>
        <w:tc>
          <w:tcPr>
            <w:tcW w:w="2969" w:type="dxa"/>
            <w:shd w:val="clear" w:color="auto" w:fill="auto"/>
          </w:tcPr>
          <w:p w14:paraId="436725E5"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07F71ED3" w14:textId="77777777" w:rsidTr="000D3BCB">
        <w:tc>
          <w:tcPr>
            <w:tcW w:w="1638" w:type="dxa"/>
            <w:shd w:val="clear" w:color="auto" w:fill="auto"/>
          </w:tcPr>
          <w:p w14:paraId="2ABFBAFB"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3073" w:type="dxa"/>
            <w:gridSpan w:val="4"/>
            <w:shd w:val="clear" w:color="auto" w:fill="auto"/>
          </w:tcPr>
          <w:p w14:paraId="18750AE6"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М-82</w:t>
            </w:r>
          </w:p>
        </w:tc>
        <w:tc>
          <w:tcPr>
            <w:tcW w:w="282" w:type="dxa"/>
            <w:gridSpan w:val="3"/>
            <w:shd w:val="clear" w:color="auto" w:fill="auto"/>
          </w:tcPr>
          <w:p w14:paraId="5D2FD99E"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838" w:type="dxa"/>
            <w:gridSpan w:val="4"/>
            <w:shd w:val="clear" w:color="auto" w:fill="auto"/>
          </w:tcPr>
          <w:p w14:paraId="0FBC67DB"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17</w:t>
            </w:r>
          </w:p>
        </w:tc>
        <w:tc>
          <w:tcPr>
            <w:tcW w:w="2969" w:type="dxa"/>
            <w:shd w:val="clear" w:color="auto" w:fill="auto"/>
          </w:tcPr>
          <w:p w14:paraId="49E8EDC9"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75C86173" w14:textId="77777777" w:rsidTr="000D3BCB">
        <w:tc>
          <w:tcPr>
            <w:tcW w:w="1638" w:type="dxa"/>
            <w:shd w:val="clear" w:color="auto" w:fill="auto"/>
          </w:tcPr>
          <w:p w14:paraId="2E664039"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3073" w:type="dxa"/>
            <w:gridSpan w:val="4"/>
            <w:shd w:val="clear" w:color="auto" w:fill="auto"/>
          </w:tcPr>
          <w:p w14:paraId="23BA8DB2"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М-88</w:t>
            </w:r>
          </w:p>
        </w:tc>
        <w:tc>
          <w:tcPr>
            <w:tcW w:w="282" w:type="dxa"/>
            <w:gridSpan w:val="3"/>
            <w:shd w:val="clear" w:color="auto" w:fill="auto"/>
          </w:tcPr>
          <w:p w14:paraId="46DAA7FA"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838" w:type="dxa"/>
            <w:gridSpan w:val="4"/>
            <w:shd w:val="clear" w:color="auto" w:fill="auto"/>
          </w:tcPr>
          <w:p w14:paraId="4D6AF225"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14</w:t>
            </w:r>
          </w:p>
        </w:tc>
        <w:tc>
          <w:tcPr>
            <w:tcW w:w="2969" w:type="dxa"/>
            <w:shd w:val="clear" w:color="auto" w:fill="auto"/>
          </w:tcPr>
          <w:p w14:paraId="1AD8447E"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bl>
    <w:p w14:paraId="234F6427" w14:textId="77777777" w:rsidR="00165A9C" w:rsidRPr="00640820" w:rsidRDefault="00165A9C" w:rsidP="00640820">
      <w:pPr>
        <w:spacing w:after="0" w:line="240" w:lineRule="auto"/>
        <w:jc w:val="both"/>
        <w:rPr>
          <w:rFonts w:ascii="Times New Roman" w:hAnsi="Times New Roman"/>
          <w:vanish/>
          <w:color w:val="000000" w:themeColor="text1"/>
          <w:sz w:val="16"/>
          <w:szCs w:val="16"/>
        </w:rPr>
      </w:pPr>
      <w:r w:rsidRPr="00640820">
        <w:rPr>
          <w:rFonts w:ascii="Times New Roman" w:hAnsi="Times New Roman"/>
          <w:color w:val="000000" w:themeColor="text1"/>
          <w:sz w:val="16"/>
          <w:szCs w:val="16"/>
        </w:rPr>
        <w:t>б) в декабре 1941 г. 2228 самолетов, из них боевых 1917 самолетов и 3205 авиационных моторов, в том числе:</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54"/>
        <w:gridCol w:w="1841"/>
        <w:gridCol w:w="179"/>
        <w:gridCol w:w="11"/>
        <w:gridCol w:w="166"/>
        <w:gridCol w:w="63"/>
        <w:gridCol w:w="81"/>
        <w:gridCol w:w="1042"/>
        <w:gridCol w:w="99"/>
        <w:gridCol w:w="401"/>
        <w:gridCol w:w="123"/>
        <w:gridCol w:w="34"/>
        <w:gridCol w:w="9"/>
        <w:gridCol w:w="1097"/>
        <w:gridCol w:w="45"/>
        <w:gridCol w:w="41"/>
        <w:gridCol w:w="29"/>
        <w:gridCol w:w="121"/>
        <w:gridCol w:w="45"/>
        <w:gridCol w:w="41"/>
        <w:gridCol w:w="29"/>
        <w:gridCol w:w="279"/>
        <w:gridCol w:w="236"/>
        <w:gridCol w:w="70"/>
        <w:gridCol w:w="69"/>
        <w:gridCol w:w="18"/>
        <w:gridCol w:w="109"/>
        <w:gridCol w:w="109"/>
        <w:gridCol w:w="236"/>
        <w:gridCol w:w="161"/>
        <w:gridCol w:w="1340"/>
        <w:gridCol w:w="9"/>
        <w:gridCol w:w="6"/>
        <w:gridCol w:w="13"/>
        <w:gridCol w:w="65"/>
      </w:tblGrid>
      <w:tr w:rsidR="00643896" w:rsidRPr="00640820" w14:paraId="255CBB37" w14:textId="77777777" w:rsidTr="000D3BCB">
        <w:trPr>
          <w:gridAfter w:val="2"/>
          <w:wAfter w:w="78" w:type="dxa"/>
        </w:trPr>
        <w:tc>
          <w:tcPr>
            <w:tcW w:w="8893" w:type="dxa"/>
            <w:gridSpan w:val="33"/>
            <w:shd w:val="clear" w:color="auto" w:fill="auto"/>
          </w:tcPr>
          <w:p w14:paraId="37C1EAE2"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u w:val="single"/>
                <w:lang w:eastAsia="ru-RU"/>
              </w:rPr>
              <w:t>истребителей</w:t>
            </w:r>
          </w:p>
        </w:tc>
      </w:tr>
      <w:tr w:rsidR="00643896" w:rsidRPr="00640820" w14:paraId="22B8F79C" w14:textId="77777777" w:rsidTr="000D3BCB">
        <w:trPr>
          <w:gridAfter w:val="2"/>
          <w:wAfter w:w="78" w:type="dxa"/>
        </w:trPr>
        <w:tc>
          <w:tcPr>
            <w:tcW w:w="3095" w:type="dxa"/>
            <w:gridSpan w:val="7"/>
            <w:shd w:val="clear" w:color="auto" w:fill="auto"/>
          </w:tcPr>
          <w:p w14:paraId="71870205"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Миг-3 с АМ-35А</w:t>
            </w:r>
          </w:p>
        </w:tc>
        <w:tc>
          <w:tcPr>
            <w:tcW w:w="1699" w:type="dxa"/>
            <w:gridSpan w:val="5"/>
            <w:shd w:val="clear" w:color="auto" w:fill="auto"/>
          </w:tcPr>
          <w:p w14:paraId="6365803C"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на заводе</w:t>
            </w:r>
          </w:p>
        </w:tc>
        <w:tc>
          <w:tcPr>
            <w:tcW w:w="1151" w:type="dxa"/>
            <w:gridSpan w:val="3"/>
            <w:shd w:val="clear" w:color="auto" w:fill="auto"/>
          </w:tcPr>
          <w:p w14:paraId="47F578E7"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1</w:t>
            </w:r>
          </w:p>
        </w:tc>
        <w:tc>
          <w:tcPr>
            <w:tcW w:w="236" w:type="dxa"/>
            <w:gridSpan w:val="4"/>
            <w:shd w:val="clear" w:color="auto" w:fill="auto"/>
          </w:tcPr>
          <w:p w14:paraId="2F2C2078"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851" w:type="dxa"/>
            <w:gridSpan w:val="8"/>
            <w:shd w:val="clear" w:color="auto" w:fill="auto"/>
          </w:tcPr>
          <w:p w14:paraId="4AE65A4F"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174</w:t>
            </w:r>
          </w:p>
        </w:tc>
        <w:tc>
          <w:tcPr>
            <w:tcW w:w="1861" w:type="dxa"/>
            <w:gridSpan w:val="6"/>
            <w:shd w:val="clear" w:color="auto" w:fill="auto"/>
          </w:tcPr>
          <w:p w14:paraId="022363D1"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самолета</w:t>
            </w:r>
          </w:p>
        </w:tc>
      </w:tr>
      <w:tr w:rsidR="00643896" w:rsidRPr="00640820" w14:paraId="0D83FC56" w14:textId="77777777" w:rsidTr="000D3BCB">
        <w:trPr>
          <w:gridAfter w:val="2"/>
          <w:wAfter w:w="78" w:type="dxa"/>
        </w:trPr>
        <w:tc>
          <w:tcPr>
            <w:tcW w:w="3095" w:type="dxa"/>
            <w:gridSpan w:val="7"/>
            <w:shd w:val="clear" w:color="auto" w:fill="auto"/>
          </w:tcPr>
          <w:p w14:paraId="2CFFD55F"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Лагг-3 с М-105П</w:t>
            </w:r>
          </w:p>
        </w:tc>
        <w:tc>
          <w:tcPr>
            <w:tcW w:w="1699" w:type="dxa"/>
            <w:gridSpan w:val="5"/>
            <w:shd w:val="clear" w:color="auto" w:fill="auto"/>
          </w:tcPr>
          <w:p w14:paraId="6DA962BE"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1151" w:type="dxa"/>
            <w:gridSpan w:val="3"/>
            <w:shd w:val="clear" w:color="auto" w:fill="auto"/>
          </w:tcPr>
          <w:p w14:paraId="163E0CEF"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21</w:t>
            </w:r>
          </w:p>
        </w:tc>
        <w:tc>
          <w:tcPr>
            <w:tcW w:w="236" w:type="dxa"/>
            <w:gridSpan w:val="4"/>
            <w:shd w:val="clear" w:color="auto" w:fill="auto"/>
          </w:tcPr>
          <w:p w14:paraId="6582F4AE"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851" w:type="dxa"/>
            <w:gridSpan w:val="8"/>
            <w:shd w:val="clear" w:color="auto" w:fill="auto"/>
          </w:tcPr>
          <w:p w14:paraId="6BF19877"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383</w:t>
            </w:r>
          </w:p>
        </w:tc>
        <w:tc>
          <w:tcPr>
            <w:tcW w:w="1861" w:type="dxa"/>
            <w:gridSpan w:val="6"/>
            <w:shd w:val="clear" w:color="auto" w:fill="auto"/>
          </w:tcPr>
          <w:p w14:paraId="2E730498"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6490A003" w14:textId="77777777" w:rsidTr="000D3BCB">
        <w:trPr>
          <w:gridAfter w:val="2"/>
          <w:wAfter w:w="78" w:type="dxa"/>
        </w:trPr>
        <w:tc>
          <w:tcPr>
            <w:tcW w:w="3095" w:type="dxa"/>
            <w:gridSpan w:val="7"/>
            <w:shd w:val="clear" w:color="auto" w:fill="auto"/>
          </w:tcPr>
          <w:p w14:paraId="1B741CCD"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Лагг-3 с М-105П</w:t>
            </w:r>
          </w:p>
        </w:tc>
        <w:tc>
          <w:tcPr>
            <w:tcW w:w="1699" w:type="dxa"/>
            <w:gridSpan w:val="5"/>
            <w:shd w:val="clear" w:color="auto" w:fill="auto"/>
          </w:tcPr>
          <w:p w14:paraId="5081A8BB"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1151" w:type="dxa"/>
            <w:gridSpan w:val="3"/>
            <w:shd w:val="clear" w:color="auto" w:fill="auto"/>
          </w:tcPr>
          <w:p w14:paraId="1932F9FC"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31</w:t>
            </w:r>
          </w:p>
        </w:tc>
        <w:tc>
          <w:tcPr>
            <w:tcW w:w="236" w:type="dxa"/>
            <w:gridSpan w:val="4"/>
            <w:shd w:val="clear" w:color="auto" w:fill="auto"/>
          </w:tcPr>
          <w:p w14:paraId="53ACE92D"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851" w:type="dxa"/>
            <w:gridSpan w:val="8"/>
            <w:shd w:val="clear" w:color="auto" w:fill="auto"/>
          </w:tcPr>
          <w:p w14:paraId="2B7A38C4"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70</w:t>
            </w:r>
          </w:p>
        </w:tc>
        <w:tc>
          <w:tcPr>
            <w:tcW w:w="1861" w:type="dxa"/>
            <w:gridSpan w:val="6"/>
            <w:shd w:val="clear" w:color="auto" w:fill="auto"/>
          </w:tcPr>
          <w:p w14:paraId="0AE093BE"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4B1768D8" w14:textId="77777777" w:rsidTr="000D3BCB">
        <w:trPr>
          <w:gridAfter w:val="2"/>
          <w:wAfter w:w="78" w:type="dxa"/>
        </w:trPr>
        <w:tc>
          <w:tcPr>
            <w:tcW w:w="3095" w:type="dxa"/>
            <w:gridSpan w:val="7"/>
            <w:shd w:val="clear" w:color="auto" w:fill="auto"/>
          </w:tcPr>
          <w:p w14:paraId="1B577194"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Лагг-3 с М-105П</w:t>
            </w:r>
          </w:p>
        </w:tc>
        <w:tc>
          <w:tcPr>
            <w:tcW w:w="1699" w:type="dxa"/>
            <w:gridSpan w:val="5"/>
            <w:shd w:val="clear" w:color="auto" w:fill="auto"/>
          </w:tcPr>
          <w:p w14:paraId="04ACF01E"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1151" w:type="dxa"/>
            <w:gridSpan w:val="3"/>
            <w:shd w:val="clear" w:color="auto" w:fill="auto"/>
          </w:tcPr>
          <w:p w14:paraId="79846EF5"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153</w:t>
            </w:r>
          </w:p>
        </w:tc>
        <w:tc>
          <w:tcPr>
            <w:tcW w:w="236" w:type="dxa"/>
            <w:gridSpan w:val="4"/>
            <w:shd w:val="clear" w:color="auto" w:fill="auto"/>
          </w:tcPr>
          <w:p w14:paraId="68A1B8D1"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851" w:type="dxa"/>
            <w:gridSpan w:val="8"/>
            <w:shd w:val="clear" w:color="auto" w:fill="auto"/>
          </w:tcPr>
          <w:p w14:paraId="1F3C2808"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176</w:t>
            </w:r>
          </w:p>
        </w:tc>
        <w:tc>
          <w:tcPr>
            <w:tcW w:w="1861" w:type="dxa"/>
            <w:gridSpan w:val="6"/>
            <w:shd w:val="clear" w:color="auto" w:fill="auto"/>
          </w:tcPr>
          <w:p w14:paraId="61D88948"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7CA32179" w14:textId="77777777" w:rsidTr="000D3BCB">
        <w:trPr>
          <w:gridAfter w:val="2"/>
          <w:wAfter w:w="78" w:type="dxa"/>
        </w:trPr>
        <w:tc>
          <w:tcPr>
            <w:tcW w:w="3095" w:type="dxa"/>
            <w:gridSpan w:val="7"/>
            <w:shd w:val="clear" w:color="auto" w:fill="auto"/>
          </w:tcPr>
          <w:p w14:paraId="5C1E1091"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Як-1 с М-105П</w:t>
            </w:r>
          </w:p>
        </w:tc>
        <w:tc>
          <w:tcPr>
            <w:tcW w:w="1699" w:type="dxa"/>
            <w:gridSpan w:val="5"/>
            <w:shd w:val="clear" w:color="auto" w:fill="auto"/>
          </w:tcPr>
          <w:p w14:paraId="086E6C50"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1151" w:type="dxa"/>
            <w:gridSpan w:val="3"/>
            <w:shd w:val="clear" w:color="auto" w:fill="auto"/>
          </w:tcPr>
          <w:p w14:paraId="0F3DE02E"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236" w:type="dxa"/>
            <w:gridSpan w:val="4"/>
            <w:shd w:val="clear" w:color="auto" w:fill="auto"/>
          </w:tcPr>
          <w:p w14:paraId="53CDF124"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851" w:type="dxa"/>
            <w:gridSpan w:val="8"/>
            <w:shd w:val="clear" w:color="auto" w:fill="auto"/>
          </w:tcPr>
          <w:p w14:paraId="1EA8E745"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32</w:t>
            </w:r>
          </w:p>
        </w:tc>
        <w:tc>
          <w:tcPr>
            <w:tcW w:w="1861" w:type="dxa"/>
            <w:gridSpan w:val="6"/>
            <w:shd w:val="clear" w:color="auto" w:fill="auto"/>
          </w:tcPr>
          <w:p w14:paraId="50BCF8D7"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0394659B" w14:textId="77777777" w:rsidTr="000D3BCB">
        <w:trPr>
          <w:gridAfter w:val="2"/>
          <w:wAfter w:w="78" w:type="dxa"/>
        </w:trPr>
        <w:tc>
          <w:tcPr>
            <w:tcW w:w="3095" w:type="dxa"/>
            <w:gridSpan w:val="7"/>
            <w:shd w:val="clear" w:color="auto" w:fill="auto"/>
          </w:tcPr>
          <w:p w14:paraId="19482934"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Як-1 с М-105П</w:t>
            </w:r>
          </w:p>
        </w:tc>
        <w:tc>
          <w:tcPr>
            <w:tcW w:w="1699" w:type="dxa"/>
            <w:gridSpan w:val="5"/>
            <w:shd w:val="clear" w:color="auto" w:fill="auto"/>
          </w:tcPr>
          <w:p w14:paraId="00616851"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1151" w:type="dxa"/>
            <w:gridSpan w:val="3"/>
            <w:shd w:val="clear" w:color="auto" w:fill="auto"/>
          </w:tcPr>
          <w:p w14:paraId="33EB9649"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292</w:t>
            </w:r>
          </w:p>
        </w:tc>
        <w:tc>
          <w:tcPr>
            <w:tcW w:w="236" w:type="dxa"/>
            <w:gridSpan w:val="4"/>
            <w:shd w:val="clear" w:color="auto" w:fill="auto"/>
          </w:tcPr>
          <w:p w14:paraId="6FF14476"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851" w:type="dxa"/>
            <w:gridSpan w:val="8"/>
            <w:shd w:val="clear" w:color="auto" w:fill="auto"/>
          </w:tcPr>
          <w:p w14:paraId="15DC5835"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290</w:t>
            </w:r>
          </w:p>
        </w:tc>
        <w:tc>
          <w:tcPr>
            <w:tcW w:w="1861" w:type="dxa"/>
            <w:gridSpan w:val="6"/>
            <w:shd w:val="clear" w:color="auto" w:fill="auto"/>
          </w:tcPr>
          <w:p w14:paraId="4130AE1D"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05DC124C" w14:textId="77777777" w:rsidTr="000D3BCB">
        <w:trPr>
          <w:gridAfter w:val="2"/>
          <w:wAfter w:w="78" w:type="dxa"/>
        </w:trPr>
        <w:tc>
          <w:tcPr>
            <w:tcW w:w="8893" w:type="dxa"/>
            <w:gridSpan w:val="33"/>
            <w:shd w:val="clear" w:color="auto" w:fill="auto"/>
          </w:tcPr>
          <w:p w14:paraId="6F0AA154"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09FF73E9" w14:textId="77777777" w:rsidTr="000D3BCB">
        <w:trPr>
          <w:gridAfter w:val="2"/>
          <w:wAfter w:w="78" w:type="dxa"/>
        </w:trPr>
        <w:tc>
          <w:tcPr>
            <w:tcW w:w="6181" w:type="dxa"/>
            <w:gridSpan w:val="19"/>
            <w:shd w:val="clear" w:color="auto" w:fill="auto"/>
          </w:tcPr>
          <w:p w14:paraId="66B6ADF9"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Итого:</w:t>
            </w:r>
          </w:p>
        </w:tc>
        <w:tc>
          <w:tcPr>
            <w:tcW w:w="851" w:type="dxa"/>
            <w:gridSpan w:val="8"/>
            <w:shd w:val="clear" w:color="auto" w:fill="auto"/>
          </w:tcPr>
          <w:p w14:paraId="093D046C"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1125</w:t>
            </w:r>
          </w:p>
        </w:tc>
        <w:tc>
          <w:tcPr>
            <w:tcW w:w="1861" w:type="dxa"/>
            <w:gridSpan w:val="6"/>
            <w:shd w:val="clear" w:color="auto" w:fill="auto"/>
          </w:tcPr>
          <w:p w14:paraId="04DF6A58"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самолетов</w:t>
            </w:r>
          </w:p>
        </w:tc>
      </w:tr>
      <w:tr w:rsidR="00643896" w:rsidRPr="00640820" w14:paraId="4A643248" w14:textId="77777777" w:rsidTr="000D3BCB">
        <w:trPr>
          <w:gridAfter w:val="3"/>
          <w:wAfter w:w="84" w:type="dxa"/>
        </w:trPr>
        <w:tc>
          <w:tcPr>
            <w:tcW w:w="8887" w:type="dxa"/>
            <w:gridSpan w:val="32"/>
            <w:shd w:val="clear" w:color="auto" w:fill="auto"/>
          </w:tcPr>
          <w:p w14:paraId="280E5F21"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u w:val="single"/>
                <w:lang w:eastAsia="ru-RU"/>
              </w:rPr>
              <w:t>бомбардировщиков</w:t>
            </w:r>
          </w:p>
        </w:tc>
      </w:tr>
      <w:tr w:rsidR="00643896" w:rsidRPr="00640820" w14:paraId="4A701C06" w14:textId="77777777" w:rsidTr="000D3BCB">
        <w:trPr>
          <w:gridAfter w:val="3"/>
          <w:wAfter w:w="84" w:type="dxa"/>
        </w:trPr>
        <w:tc>
          <w:tcPr>
            <w:tcW w:w="3014" w:type="dxa"/>
            <w:gridSpan w:val="6"/>
            <w:shd w:val="clear" w:color="auto" w:fill="auto"/>
          </w:tcPr>
          <w:p w14:paraId="00E9BDF7"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Пе-2 с 2М-105Р</w:t>
            </w:r>
          </w:p>
        </w:tc>
        <w:tc>
          <w:tcPr>
            <w:tcW w:w="1789" w:type="dxa"/>
            <w:gridSpan w:val="7"/>
            <w:shd w:val="clear" w:color="auto" w:fill="auto"/>
          </w:tcPr>
          <w:p w14:paraId="22295CFD"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на заводе</w:t>
            </w:r>
          </w:p>
        </w:tc>
        <w:tc>
          <w:tcPr>
            <w:tcW w:w="1212" w:type="dxa"/>
            <w:gridSpan w:val="4"/>
            <w:shd w:val="clear" w:color="auto" w:fill="auto"/>
          </w:tcPr>
          <w:p w14:paraId="27E1087D"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22</w:t>
            </w:r>
          </w:p>
        </w:tc>
        <w:tc>
          <w:tcPr>
            <w:tcW w:w="236" w:type="dxa"/>
            <w:gridSpan w:val="4"/>
            <w:shd w:val="clear" w:color="auto" w:fill="auto"/>
          </w:tcPr>
          <w:p w14:paraId="7F0F79B0"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672" w:type="dxa"/>
            <w:gridSpan w:val="5"/>
            <w:shd w:val="clear" w:color="auto" w:fill="auto"/>
          </w:tcPr>
          <w:p w14:paraId="0FBC4811"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194</w:t>
            </w:r>
          </w:p>
        </w:tc>
        <w:tc>
          <w:tcPr>
            <w:tcW w:w="1964" w:type="dxa"/>
            <w:gridSpan w:val="6"/>
            <w:shd w:val="clear" w:color="auto" w:fill="auto"/>
          </w:tcPr>
          <w:p w14:paraId="45257E6E"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самолета</w:t>
            </w:r>
          </w:p>
        </w:tc>
      </w:tr>
      <w:tr w:rsidR="00643896" w:rsidRPr="00640820" w14:paraId="06F292C7" w14:textId="77777777" w:rsidTr="000D3BCB">
        <w:trPr>
          <w:gridAfter w:val="3"/>
          <w:wAfter w:w="84" w:type="dxa"/>
        </w:trPr>
        <w:tc>
          <w:tcPr>
            <w:tcW w:w="3014" w:type="dxa"/>
            <w:gridSpan w:val="6"/>
            <w:shd w:val="clear" w:color="auto" w:fill="auto"/>
          </w:tcPr>
          <w:p w14:paraId="49EFF8C2"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Пе-2 с 2М-105Р</w:t>
            </w:r>
          </w:p>
        </w:tc>
        <w:tc>
          <w:tcPr>
            <w:tcW w:w="1789" w:type="dxa"/>
            <w:gridSpan w:val="7"/>
            <w:shd w:val="clear" w:color="auto" w:fill="auto"/>
          </w:tcPr>
          <w:p w14:paraId="1626F781"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1212" w:type="dxa"/>
            <w:gridSpan w:val="4"/>
            <w:shd w:val="clear" w:color="auto" w:fill="auto"/>
          </w:tcPr>
          <w:p w14:paraId="6FF1DF36"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125</w:t>
            </w:r>
          </w:p>
        </w:tc>
        <w:tc>
          <w:tcPr>
            <w:tcW w:w="236" w:type="dxa"/>
            <w:gridSpan w:val="4"/>
            <w:shd w:val="clear" w:color="auto" w:fill="auto"/>
          </w:tcPr>
          <w:p w14:paraId="2D0D022B"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672" w:type="dxa"/>
            <w:gridSpan w:val="5"/>
            <w:shd w:val="clear" w:color="auto" w:fill="auto"/>
          </w:tcPr>
          <w:p w14:paraId="671906A8"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100</w:t>
            </w:r>
          </w:p>
        </w:tc>
        <w:tc>
          <w:tcPr>
            <w:tcW w:w="1964" w:type="dxa"/>
            <w:gridSpan w:val="6"/>
            <w:shd w:val="clear" w:color="auto" w:fill="auto"/>
          </w:tcPr>
          <w:p w14:paraId="46214F78"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38E2D6E6" w14:textId="77777777" w:rsidTr="000D3BCB">
        <w:trPr>
          <w:gridAfter w:val="3"/>
          <w:wAfter w:w="84" w:type="dxa"/>
        </w:trPr>
        <w:tc>
          <w:tcPr>
            <w:tcW w:w="3014" w:type="dxa"/>
            <w:gridSpan w:val="6"/>
            <w:shd w:val="clear" w:color="auto" w:fill="auto"/>
          </w:tcPr>
          <w:p w14:paraId="22F58A27"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ДБ-3Ф с 2М-88</w:t>
            </w:r>
          </w:p>
        </w:tc>
        <w:tc>
          <w:tcPr>
            <w:tcW w:w="1789" w:type="dxa"/>
            <w:gridSpan w:val="7"/>
            <w:shd w:val="clear" w:color="auto" w:fill="auto"/>
          </w:tcPr>
          <w:p w14:paraId="40C1B3F0"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1212" w:type="dxa"/>
            <w:gridSpan w:val="4"/>
            <w:shd w:val="clear" w:color="auto" w:fill="auto"/>
          </w:tcPr>
          <w:p w14:paraId="6220D9C0"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126</w:t>
            </w:r>
          </w:p>
        </w:tc>
        <w:tc>
          <w:tcPr>
            <w:tcW w:w="236" w:type="dxa"/>
            <w:gridSpan w:val="4"/>
            <w:shd w:val="clear" w:color="auto" w:fill="auto"/>
          </w:tcPr>
          <w:p w14:paraId="214E733E"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672" w:type="dxa"/>
            <w:gridSpan w:val="5"/>
            <w:shd w:val="clear" w:color="auto" w:fill="auto"/>
          </w:tcPr>
          <w:p w14:paraId="59A7D8DB"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58</w:t>
            </w:r>
          </w:p>
        </w:tc>
        <w:tc>
          <w:tcPr>
            <w:tcW w:w="1964" w:type="dxa"/>
            <w:gridSpan w:val="6"/>
            <w:shd w:val="clear" w:color="auto" w:fill="auto"/>
          </w:tcPr>
          <w:p w14:paraId="17372067"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678B0F87" w14:textId="77777777" w:rsidTr="000D3BCB">
        <w:trPr>
          <w:gridAfter w:val="3"/>
          <w:wAfter w:w="84" w:type="dxa"/>
        </w:trPr>
        <w:tc>
          <w:tcPr>
            <w:tcW w:w="3014" w:type="dxa"/>
            <w:gridSpan w:val="6"/>
            <w:shd w:val="clear" w:color="auto" w:fill="auto"/>
          </w:tcPr>
          <w:p w14:paraId="715B1A55"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ТБ-7 с 4М-30</w:t>
            </w:r>
          </w:p>
        </w:tc>
        <w:tc>
          <w:tcPr>
            <w:tcW w:w="1789" w:type="dxa"/>
            <w:gridSpan w:val="7"/>
            <w:shd w:val="clear" w:color="auto" w:fill="auto"/>
          </w:tcPr>
          <w:p w14:paraId="4F0E147B"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1212" w:type="dxa"/>
            <w:gridSpan w:val="4"/>
            <w:shd w:val="clear" w:color="auto" w:fill="auto"/>
          </w:tcPr>
          <w:p w14:paraId="6A349836"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124</w:t>
            </w:r>
          </w:p>
        </w:tc>
        <w:tc>
          <w:tcPr>
            <w:tcW w:w="236" w:type="dxa"/>
            <w:gridSpan w:val="4"/>
            <w:shd w:val="clear" w:color="auto" w:fill="auto"/>
          </w:tcPr>
          <w:p w14:paraId="7EC02E2C"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672" w:type="dxa"/>
            <w:gridSpan w:val="5"/>
            <w:shd w:val="clear" w:color="auto" w:fill="auto"/>
          </w:tcPr>
          <w:p w14:paraId="2DB85708"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5</w:t>
            </w:r>
          </w:p>
        </w:tc>
        <w:tc>
          <w:tcPr>
            <w:tcW w:w="1964" w:type="dxa"/>
            <w:gridSpan w:val="6"/>
            <w:shd w:val="clear" w:color="auto" w:fill="auto"/>
          </w:tcPr>
          <w:p w14:paraId="13EF89ED"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3F462803" w14:textId="77777777" w:rsidTr="000D3BCB">
        <w:trPr>
          <w:gridAfter w:val="3"/>
          <w:wAfter w:w="84" w:type="dxa"/>
        </w:trPr>
        <w:tc>
          <w:tcPr>
            <w:tcW w:w="3014" w:type="dxa"/>
            <w:gridSpan w:val="6"/>
            <w:shd w:val="clear" w:color="auto" w:fill="auto"/>
          </w:tcPr>
          <w:p w14:paraId="5CDFA45A"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Су-2 с М-82</w:t>
            </w:r>
          </w:p>
        </w:tc>
        <w:tc>
          <w:tcPr>
            <w:tcW w:w="1789" w:type="dxa"/>
            <w:gridSpan w:val="7"/>
            <w:shd w:val="clear" w:color="auto" w:fill="auto"/>
          </w:tcPr>
          <w:p w14:paraId="0AB109A2"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1212" w:type="dxa"/>
            <w:gridSpan w:val="4"/>
            <w:shd w:val="clear" w:color="auto" w:fill="auto"/>
          </w:tcPr>
          <w:p w14:paraId="44CB45C5"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135</w:t>
            </w:r>
          </w:p>
        </w:tc>
        <w:tc>
          <w:tcPr>
            <w:tcW w:w="236" w:type="dxa"/>
            <w:gridSpan w:val="4"/>
            <w:shd w:val="clear" w:color="auto" w:fill="auto"/>
          </w:tcPr>
          <w:p w14:paraId="45408011"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672" w:type="dxa"/>
            <w:gridSpan w:val="5"/>
            <w:shd w:val="clear" w:color="auto" w:fill="auto"/>
          </w:tcPr>
          <w:p w14:paraId="567DDC6C"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70</w:t>
            </w:r>
          </w:p>
        </w:tc>
        <w:tc>
          <w:tcPr>
            <w:tcW w:w="1964" w:type="dxa"/>
            <w:gridSpan w:val="6"/>
            <w:shd w:val="clear" w:color="auto" w:fill="auto"/>
          </w:tcPr>
          <w:p w14:paraId="357E09AE"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7E0BB6CC" w14:textId="77777777" w:rsidTr="000D3BCB">
        <w:trPr>
          <w:gridAfter w:val="3"/>
          <w:wAfter w:w="84" w:type="dxa"/>
        </w:trPr>
        <w:tc>
          <w:tcPr>
            <w:tcW w:w="3014" w:type="dxa"/>
            <w:gridSpan w:val="6"/>
            <w:shd w:val="clear" w:color="auto" w:fill="auto"/>
          </w:tcPr>
          <w:p w14:paraId="0179BFBA"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103у с 2АМ-37</w:t>
            </w:r>
          </w:p>
        </w:tc>
        <w:tc>
          <w:tcPr>
            <w:tcW w:w="1789" w:type="dxa"/>
            <w:gridSpan w:val="7"/>
            <w:shd w:val="clear" w:color="auto" w:fill="auto"/>
          </w:tcPr>
          <w:p w14:paraId="36BD04BC"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1212" w:type="dxa"/>
            <w:gridSpan w:val="4"/>
            <w:shd w:val="clear" w:color="auto" w:fill="auto"/>
          </w:tcPr>
          <w:p w14:paraId="0C6B62B0"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166</w:t>
            </w:r>
          </w:p>
        </w:tc>
        <w:tc>
          <w:tcPr>
            <w:tcW w:w="236" w:type="dxa"/>
            <w:gridSpan w:val="4"/>
            <w:shd w:val="clear" w:color="auto" w:fill="auto"/>
          </w:tcPr>
          <w:p w14:paraId="0EB5B655"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672" w:type="dxa"/>
            <w:gridSpan w:val="5"/>
            <w:shd w:val="clear" w:color="auto" w:fill="auto"/>
          </w:tcPr>
          <w:p w14:paraId="6C209DCA"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10</w:t>
            </w:r>
          </w:p>
        </w:tc>
        <w:tc>
          <w:tcPr>
            <w:tcW w:w="1964" w:type="dxa"/>
            <w:gridSpan w:val="6"/>
            <w:shd w:val="clear" w:color="auto" w:fill="auto"/>
          </w:tcPr>
          <w:p w14:paraId="3A523017"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567C7227" w14:textId="77777777" w:rsidTr="000D3BCB">
        <w:trPr>
          <w:gridAfter w:val="3"/>
          <w:wAfter w:w="84" w:type="dxa"/>
        </w:trPr>
        <w:tc>
          <w:tcPr>
            <w:tcW w:w="8887" w:type="dxa"/>
            <w:gridSpan w:val="32"/>
            <w:shd w:val="clear" w:color="auto" w:fill="auto"/>
          </w:tcPr>
          <w:p w14:paraId="2270A526"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11498C9F" w14:textId="77777777" w:rsidTr="000D3BCB">
        <w:trPr>
          <w:gridAfter w:val="3"/>
          <w:wAfter w:w="84" w:type="dxa"/>
        </w:trPr>
        <w:tc>
          <w:tcPr>
            <w:tcW w:w="6251" w:type="dxa"/>
            <w:gridSpan w:val="21"/>
            <w:shd w:val="clear" w:color="auto" w:fill="auto"/>
          </w:tcPr>
          <w:p w14:paraId="7F3429B7"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Итого:</w:t>
            </w:r>
          </w:p>
        </w:tc>
        <w:tc>
          <w:tcPr>
            <w:tcW w:w="672" w:type="dxa"/>
            <w:gridSpan w:val="5"/>
            <w:shd w:val="clear" w:color="auto" w:fill="auto"/>
          </w:tcPr>
          <w:p w14:paraId="0F3152BC"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437</w:t>
            </w:r>
          </w:p>
        </w:tc>
        <w:tc>
          <w:tcPr>
            <w:tcW w:w="1964" w:type="dxa"/>
            <w:gridSpan w:val="6"/>
            <w:shd w:val="clear" w:color="auto" w:fill="auto"/>
          </w:tcPr>
          <w:p w14:paraId="723FB682"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самолетов</w:t>
            </w:r>
          </w:p>
        </w:tc>
      </w:tr>
      <w:tr w:rsidR="00643896" w:rsidRPr="00640820" w14:paraId="34ED7EF0" w14:textId="77777777" w:rsidTr="000D3BCB">
        <w:trPr>
          <w:gridAfter w:val="4"/>
          <w:wAfter w:w="93" w:type="dxa"/>
        </w:trPr>
        <w:tc>
          <w:tcPr>
            <w:tcW w:w="8878" w:type="dxa"/>
            <w:gridSpan w:val="31"/>
            <w:shd w:val="clear" w:color="auto" w:fill="auto"/>
          </w:tcPr>
          <w:p w14:paraId="4DA458BF"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u w:val="single"/>
                <w:lang w:eastAsia="ru-RU"/>
              </w:rPr>
              <w:t>штурмовиков</w:t>
            </w:r>
          </w:p>
        </w:tc>
      </w:tr>
      <w:tr w:rsidR="00643896" w:rsidRPr="00640820" w14:paraId="068FFA18" w14:textId="77777777" w:rsidTr="000D3BCB">
        <w:trPr>
          <w:gridAfter w:val="4"/>
          <w:wAfter w:w="93" w:type="dxa"/>
        </w:trPr>
        <w:tc>
          <w:tcPr>
            <w:tcW w:w="2774" w:type="dxa"/>
            <w:gridSpan w:val="3"/>
            <w:shd w:val="clear" w:color="auto" w:fill="auto"/>
          </w:tcPr>
          <w:p w14:paraId="162B9814"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Ил-2 с АМ-38</w:t>
            </w:r>
          </w:p>
        </w:tc>
        <w:tc>
          <w:tcPr>
            <w:tcW w:w="1863" w:type="dxa"/>
            <w:gridSpan w:val="7"/>
            <w:shd w:val="clear" w:color="auto" w:fill="auto"/>
          </w:tcPr>
          <w:p w14:paraId="2175F768"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на заводе</w:t>
            </w:r>
          </w:p>
        </w:tc>
        <w:tc>
          <w:tcPr>
            <w:tcW w:w="1263" w:type="dxa"/>
            <w:gridSpan w:val="4"/>
            <w:shd w:val="clear" w:color="auto" w:fill="auto"/>
          </w:tcPr>
          <w:p w14:paraId="45A116D7"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1</w:t>
            </w:r>
          </w:p>
        </w:tc>
        <w:tc>
          <w:tcPr>
            <w:tcW w:w="236" w:type="dxa"/>
            <w:gridSpan w:val="4"/>
            <w:shd w:val="clear" w:color="auto" w:fill="auto"/>
          </w:tcPr>
          <w:p w14:paraId="4FF60993"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700" w:type="dxa"/>
            <w:gridSpan w:val="6"/>
            <w:shd w:val="clear" w:color="auto" w:fill="auto"/>
          </w:tcPr>
          <w:p w14:paraId="2CDA3395"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100</w:t>
            </w:r>
          </w:p>
        </w:tc>
        <w:tc>
          <w:tcPr>
            <w:tcW w:w="2042" w:type="dxa"/>
            <w:gridSpan w:val="7"/>
            <w:shd w:val="clear" w:color="auto" w:fill="auto"/>
          </w:tcPr>
          <w:p w14:paraId="49F9932D"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самолетов</w:t>
            </w:r>
          </w:p>
        </w:tc>
      </w:tr>
      <w:tr w:rsidR="00643896" w:rsidRPr="00640820" w14:paraId="2B55FD93" w14:textId="77777777" w:rsidTr="000D3BCB">
        <w:trPr>
          <w:gridAfter w:val="4"/>
          <w:wAfter w:w="93" w:type="dxa"/>
        </w:trPr>
        <w:tc>
          <w:tcPr>
            <w:tcW w:w="2774" w:type="dxa"/>
            <w:gridSpan w:val="3"/>
            <w:shd w:val="clear" w:color="auto" w:fill="auto"/>
          </w:tcPr>
          <w:p w14:paraId="5C7A2EE7"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Ил-2 с АМ-38</w:t>
            </w:r>
          </w:p>
        </w:tc>
        <w:tc>
          <w:tcPr>
            <w:tcW w:w="1863" w:type="dxa"/>
            <w:gridSpan w:val="7"/>
            <w:shd w:val="clear" w:color="auto" w:fill="auto"/>
          </w:tcPr>
          <w:p w14:paraId="566638FF"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1263" w:type="dxa"/>
            <w:gridSpan w:val="4"/>
            <w:shd w:val="clear" w:color="auto" w:fill="auto"/>
          </w:tcPr>
          <w:p w14:paraId="2AA569C0"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18</w:t>
            </w:r>
          </w:p>
        </w:tc>
        <w:tc>
          <w:tcPr>
            <w:tcW w:w="236" w:type="dxa"/>
            <w:gridSpan w:val="4"/>
            <w:shd w:val="clear" w:color="auto" w:fill="auto"/>
          </w:tcPr>
          <w:p w14:paraId="26D6BFCC"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700" w:type="dxa"/>
            <w:gridSpan w:val="6"/>
            <w:shd w:val="clear" w:color="auto" w:fill="auto"/>
          </w:tcPr>
          <w:p w14:paraId="1788AECF"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190</w:t>
            </w:r>
          </w:p>
        </w:tc>
        <w:tc>
          <w:tcPr>
            <w:tcW w:w="2042" w:type="dxa"/>
            <w:gridSpan w:val="7"/>
            <w:shd w:val="clear" w:color="auto" w:fill="auto"/>
          </w:tcPr>
          <w:p w14:paraId="71A6E96D"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05270162" w14:textId="77777777" w:rsidTr="000D3BCB">
        <w:trPr>
          <w:gridAfter w:val="4"/>
          <w:wAfter w:w="93" w:type="dxa"/>
        </w:trPr>
        <w:tc>
          <w:tcPr>
            <w:tcW w:w="2774" w:type="dxa"/>
            <w:gridSpan w:val="3"/>
            <w:shd w:val="clear" w:color="auto" w:fill="auto"/>
          </w:tcPr>
          <w:p w14:paraId="1CEDB75D"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Ил-2 с АМ-38</w:t>
            </w:r>
          </w:p>
        </w:tc>
        <w:tc>
          <w:tcPr>
            <w:tcW w:w="1863" w:type="dxa"/>
            <w:gridSpan w:val="7"/>
            <w:shd w:val="clear" w:color="auto" w:fill="auto"/>
          </w:tcPr>
          <w:p w14:paraId="66A01EC9"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1263" w:type="dxa"/>
            <w:gridSpan w:val="4"/>
            <w:shd w:val="clear" w:color="auto" w:fill="auto"/>
          </w:tcPr>
          <w:p w14:paraId="27C9E11C"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381</w:t>
            </w:r>
          </w:p>
        </w:tc>
        <w:tc>
          <w:tcPr>
            <w:tcW w:w="236" w:type="dxa"/>
            <w:gridSpan w:val="4"/>
            <w:shd w:val="clear" w:color="auto" w:fill="auto"/>
          </w:tcPr>
          <w:p w14:paraId="06CDABB8"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700" w:type="dxa"/>
            <w:gridSpan w:val="6"/>
            <w:shd w:val="clear" w:color="auto" w:fill="auto"/>
          </w:tcPr>
          <w:p w14:paraId="1B415C55"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65</w:t>
            </w:r>
          </w:p>
        </w:tc>
        <w:tc>
          <w:tcPr>
            <w:tcW w:w="2042" w:type="dxa"/>
            <w:gridSpan w:val="7"/>
            <w:shd w:val="clear" w:color="auto" w:fill="auto"/>
          </w:tcPr>
          <w:p w14:paraId="357FDBFB"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1857105E" w14:textId="77777777" w:rsidTr="000D3BCB">
        <w:trPr>
          <w:gridAfter w:val="4"/>
          <w:wAfter w:w="93" w:type="dxa"/>
        </w:trPr>
        <w:tc>
          <w:tcPr>
            <w:tcW w:w="8878" w:type="dxa"/>
            <w:gridSpan w:val="31"/>
            <w:shd w:val="clear" w:color="auto" w:fill="auto"/>
          </w:tcPr>
          <w:p w14:paraId="446CADDF"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7B9EF540" w14:textId="77777777" w:rsidTr="000D3BCB">
        <w:trPr>
          <w:gridAfter w:val="4"/>
          <w:wAfter w:w="93" w:type="dxa"/>
        </w:trPr>
        <w:tc>
          <w:tcPr>
            <w:tcW w:w="6136" w:type="dxa"/>
            <w:gridSpan w:val="18"/>
            <w:shd w:val="clear" w:color="auto" w:fill="auto"/>
          </w:tcPr>
          <w:p w14:paraId="5F1B9D25"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Итого:</w:t>
            </w:r>
          </w:p>
        </w:tc>
        <w:tc>
          <w:tcPr>
            <w:tcW w:w="700" w:type="dxa"/>
            <w:gridSpan w:val="6"/>
            <w:shd w:val="clear" w:color="auto" w:fill="auto"/>
          </w:tcPr>
          <w:p w14:paraId="41687AB8"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355</w:t>
            </w:r>
          </w:p>
        </w:tc>
        <w:tc>
          <w:tcPr>
            <w:tcW w:w="2042" w:type="dxa"/>
            <w:gridSpan w:val="7"/>
            <w:shd w:val="clear" w:color="auto" w:fill="auto"/>
          </w:tcPr>
          <w:p w14:paraId="6038BC5C"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самолетов</w:t>
            </w:r>
          </w:p>
        </w:tc>
      </w:tr>
      <w:tr w:rsidR="00643896" w:rsidRPr="00640820" w14:paraId="0440F6E3" w14:textId="77777777" w:rsidTr="000D3BCB">
        <w:tc>
          <w:tcPr>
            <w:tcW w:w="8971" w:type="dxa"/>
            <w:gridSpan w:val="35"/>
            <w:shd w:val="clear" w:color="auto" w:fill="auto"/>
          </w:tcPr>
          <w:p w14:paraId="1C33A4AB"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u w:val="single"/>
                <w:lang w:eastAsia="ru-RU"/>
              </w:rPr>
              <w:t>транспортных</w:t>
            </w:r>
          </w:p>
        </w:tc>
      </w:tr>
      <w:tr w:rsidR="00643896" w:rsidRPr="00640820" w14:paraId="58B93058" w14:textId="77777777" w:rsidTr="000D3BCB">
        <w:tc>
          <w:tcPr>
            <w:tcW w:w="2785" w:type="dxa"/>
            <w:gridSpan w:val="4"/>
            <w:shd w:val="clear" w:color="auto" w:fill="auto"/>
          </w:tcPr>
          <w:p w14:paraId="4B4C0FDF"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ПС-84 с 2М-62ИР</w:t>
            </w:r>
          </w:p>
        </w:tc>
        <w:tc>
          <w:tcPr>
            <w:tcW w:w="1451" w:type="dxa"/>
            <w:gridSpan w:val="5"/>
            <w:shd w:val="clear" w:color="auto" w:fill="auto"/>
          </w:tcPr>
          <w:p w14:paraId="4009BAB3"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на заводе</w:t>
            </w:r>
          </w:p>
        </w:tc>
        <w:tc>
          <w:tcPr>
            <w:tcW w:w="2669" w:type="dxa"/>
            <w:gridSpan w:val="16"/>
            <w:shd w:val="clear" w:color="auto" w:fill="auto"/>
          </w:tcPr>
          <w:p w14:paraId="504C32F4"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84 в Ташкенте</w:t>
            </w:r>
          </w:p>
        </w:tc>
        <w:tc>
          <w:tcPr>
            <w:tcW w:w="236" w:type="dxa"/>
            <w:gridSpan w:val="3"/>
            <w:shd w:val="clear" w:color="auto" w:fill="auto"/>
          </w:tcPr>
          <w:p w14:paraId="164B90E3"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236" w:type="dxa"/>
            <w:shd w:val="clear" w:color="auto" w:fill="auto"/>
          </w:tcPr>
          <w:p w14:paraId="6C020A90"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5</w:t>
            </w:r>
          </w:p>
        </w:tc>
        <w:tc>
          <w:tcPr>
            <w:tcW w:w="1594" w:type="dxa"/>
            <w:gridSpan w:val="6"/>
            <w:shd w:val="clear" w:color="auto" w:fill="auto"/>
          </w:tcPr>
          <w:p w14:paraId="255C15B3"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самолетов</w:t>
            </w:r>
          </w:p>
        </w:tc>
      </w:tr>
      <w:tr w:rsidR="00643896" w:rsidRPr="00640820" w14:paraId="04129D43" w14:textId="77777777" w:rsidTr="000D3BCB">
        <w:trPr>
          <w:gridAfter w:val="3"/>
          <w:wAfter w:w="84" w:type="dxa"/>
        </w:trPr>
        <w:tc>
          <w:tcPr>
            <w:tcW w:w="8887" w:type="dxa"/>
            <w:gridSpan w:val="32"/>
            <w:shd w:val="clear" w:color="auto" w:fill="auto"/>
          </w:tcPr>
          <w:p w14:paraId="53808246"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u w:val="single"/>
                <w:lang w:eastAsia="ru-RU"/>
              </w:rPr>
              <w:t>учебных</w:t>
            </w:r>
          </w:p>
        </w:tc>
      </w:tr>
      <w:tr w:rsidR="00643896" w:rsidRPr="00640820" w14:paraId="71DCE0A7" w14:textId="77777777" w:rsidTr="000D3BCB">
        <w:trPr>
          <w:gridAfter w:val="3"/>
          <w:wAfter w:w="84" w:type="dxa"/>
        </w:trPr>
        <w:tc>
          <w:tcPr>
            <w:tcW w:w="2951" w:type="dxa"/>
            <w:gridSpan w:val="5"/>
            <w:shd w:val="clear" w:color="auto" w:fill="auto"/>
          </w:tcPr>
          <w:p w14:paraId="5927C10B"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УТ-2 с М-11</w:t>
            </w:r>
          </w:p>
        </w:tc>
        <w:tc>
          <w:tcPr>
            <w:tcW w:w="1809" w:type="dxa"/>
            <w:gridSpan w:val="6"/>
            <w:shd w:val="clear" w:color="auto" w:fill="auto"/>
          </w:tcPr>
          <w:p w14:paraId="6525BB8E"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на заводе</w:t>
            </w:r>
          </w:p>
        </w:tc>
        <w:tc>
          <w:tcPr>
            <w:tcW w:w="1226" w:type="dxa"/>
            <w:gridSpan w:val="5"/>
            <w:shd w:val="clear" w:color="auto" w:fill="auto"/>
          </w:tcPr>
          <w:p w14:paraId="73991A63"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47</w:t>
            </w:r>
          </w:p>
        </w:tc>
        <w:tc>
          <w:tcPr>
            <w:tcW w:w="236" w:type="dxa"/>
            <w:gridSpan w:val="4"/>
            <w:shd w:val="clear" w:color="auto" w:fill="auto"/>
          </w:tcPr>
          <w:p w14:paraId="53964611"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683" w:type="dxa"/>
            <w:gridSpan w:val="5"/>
            <w:shd w:val="clear" w:color="auto" w:fill="auto"/>
          </w:tcPr>
          <w:p w14:paraId="470AEEFD"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75</w:t>
            </w:r>
          </w:p>
        </w:tc>
        <w:tc>
          <w:tcPr>
            <w:tcW w:w="1982" w:type="dxa"/>
            <w:gridSpan w:val="7"/>
            <w:shd w:val="clear" w:color="auto" w:fill="auto"/>
          </w:tcPr>
          <w:p w14:paraId="097F4092"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самолетов</w:t>
            </w:r>
          </w:p>
        </w:tc>
      </w:tr>
      <w:tr w:rsidR="00643896" w:rsidRPr="00640820" w14:paraId="3C8DC5C7" w14:textId="77777777" w:rsidTr="000D3BCB">
        <w:trPr>
          <w:gridAfter w:val="3"/>
          <w:wAfter w:w="84" w:type="dxa"/>
        </w:trPr>
        <w:tc>
          <w:tcPr>
            <w:tcW w:w="2951" w:type="dxa"/>
            <w:gridSpan w:val="5"/>
            <w:shd w:val="clear" w:color="auto" w:fill="auto"/>
          </w:tcPr>
          <w:p w14:paraId="41A348AD"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УТ-2 с М-11</w:t>
            </w:r>
          </w:p>
        </w:tc>
        <w:tc>
          <w:tcPr>
            <w:tcW w:w="1809" w:type="dxa"/>
            <w:gridSpan w:val="6"/>
            <w:shd w:val="clear" w:color="auto" w:fill="auto"/>
          </w:tcPr>
          <w:p w14:paraId="3027DECE"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1226" w:type="dxa"/>
            <w:gridSpan w:val="5"/>
            <w:shd w:val="clear" w:color="auto" w:fill="auto"/>
          </w:tcPr>
          <w:p w14:paraId="049B4308"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116</w:t>
            </w:r>
          </w:p>
        </w:tc>
        <w:tc>
          <w:tcPr>
            <w:tcW w:w="236" w:type="dxa"/>
            <w:gridSpan w:val="4"/>
            <w:shd w:val="clear" w:color="auto" w:fill="auto"/>
          </w:tcPr>
          <w:p w14:paraId="5367343D"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683" w:type="dxa"/>
            <w:gridSpan w:val="5"/>
            <w:shd w:val="clear" w:color="auto" w:fill="auto"/>
          </w:tcPr>
          <w:p w14:paraId="394BFA0D"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56</w:t>
            </w:r>
          </w:p>
        </w:tc>
        <w:tc>
          <w:tcPr>
            <w:tcW w:w="1982" w:type="dxa"/>
            <w:gridSpan w:val="7"/>
            <w:shd w:val="clear" w:color="auto" w:fill="auto"/>
          </w:tcPr>
          <w:p w14:paraId="32C4A229"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6643637C" w14:textId="77777777" w:rsidTr="000D3BCB">
        <w:trPr>
          <w:gridAfter w:val="3"/>
          <w:wAfter w:w="84" w:type="dxa"/>
        </w:trPr>
        <w:tc>
          <w:tcPr>
            <w:tcW w:w="2951" w:type="dxa"/>
            <w:gridSpan w:val="5"/>
            <w:shd w:val="clear" w:color="auto" w:fill="auto"/>
          </w:tcPr>
          <w:p w14:paraId="25E936B1"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У-2 с М-11</w:t>
            </w:r>
          </w:p>
        </w:tc>
        <w:tc>
          <w:tcPr>
            <w:tcW w:w="1809" w:type="dxa"/>
            <w:gridSpan w:val="6"/>
            <w:shd w:val="clear" w:color="auto" w:fill="auto"/>
          </w:tcPr>
          <w:p w14:paraId="7EE3DE24"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1226" w:type="dxa"/>
            <w:gridSpan w:val="5"/>
            <w:shd w:val="clear" w:color="auto" w:fill="auto"/>
          </w:tcPr>
          <w:p w14:paraId="06CE13FA"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387</w:t>
            </w:r>
          </w:p>
        </w:tc>
        <w:tc>
          <w:tcPr>
            <w:tcW w:w="236" w:type="dxa"/>
            <w:gridSpan w:val="4"/>
            <w:shd w:val="clear" w:color="auto" w:fill="auto"/>
          </w:tcPr>
          <w:p w14:paraId="2AE10BE7"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683" w:type="dxa"/>
            <w:gridSpan w:val="5"/>
            <w:shd w:val="clear" w:color="auto" w:fill="auto"/>
          </w:tcPr>
          <w:p w14:paraId="16926B98"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150</w:t>
            </w:r>
          </w:p>
        </w:tc>
        <w:tc>
          <w:tcPr>
            <w:tcW w:w="1982" w:type="dxa"/>
            <w:gridSpan w:val="7"/>
            <w:shd w:val="clear" w:color="auto" w:fill="auto"/>
          </w:tcPr>
          <w:p w14:paraId="0A36756C"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290D7E91" w14:textId="77777777" w:rsidTr="000D3BCB">
        <w:trPr>
          <w:gridAfter w:val="3"/>
          <w:wAfter w:w="84" w:type="dxa"/>
        </w:trPr>
        <w:tc>
          <w:tcPr>
            <w:tcW w:w="2951" w:type="dxa"/>
            <w:gridSpan w:val="5"/>
            <w:shd w:val="clear" w:color="auto" w:fill="auto"/>
          </w:tcPr>
          <w:p w14:paraId="424C6F2D"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УТИ-4 с М-25в</w:t>
            </w:r>
          </w:p>
        </w:tc>
        <w:tc>
          <w:tcPr>
            <w:tcW w:w="1809" w:type="dxa"/>
            <w:gridSpan w:val="6"/>
            <w:shd w:val="clear" w:color="auto" w:fill="auto"/>
          </w:tcPr>
          <w:p w14:paraId="0951F71B"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1226" w:type="dxa"/>
            <w:gridSpan w:val="5"/>
            <w:shd w:val="clear" w:color="auto" w:fill="auto"/>
          </w:tcPr>
          <w:p w14:paraId="28816D8C"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458</w:t>
            </w:r>
          </w:p>
        </w:tc>
        <w:tc>
          <w:tcPr>
            <w:tcW w:w="236" w:type="dxa"/>
            <w:gridSpan w:val="4"/>
            <w:shd w:val="clear" w:color="auto" w:fill="auto"/>
          </w:tcPr>
          <w:p w14:paraId="08546A2E"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683" w:type="dxa"/>
            <w:gridSpan w:val="5"/>
            <w:shd w:val="clear" w:color="auto" w:fill="auto"/>
          </w:tcPr>
          <w:p w14:paraId="297A23C7"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30</w:t>
            </w:r>
          </w:p>
        </w:tc>
        <w:tc>
          <w:tcPr>
            <w:tcW w:w="1982" w:type="dxa"/>
            <w:gridSpan w:val="7"/>
            <w:shd w:val="clear" w:color="auto" w:fill="auto"/>
          </w:tcPr>
          <w:p w14:paraId="4DBB648E"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4BF8AF1E" w14:textId="77777777" w:rsidTr="000D3BCB">
        <w:trPr>
          <w:gridAfter w:val="3"/>
          <w:wAfter w:w="84" w:type="dxa"/>
        </w:trPr>
        <w:tc>
          <w:tcPr>
            <w:tcW w:w="8887" w:type="dxa"/>
            <w:gridSpan w:val="32"/>
            <w:shd w:val="clear" w:color="auto" w:fill="auto"/>
          </w:tcPr>
          <w:p w14:paraId="05BD587F"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2310A2BC" w14:textId="77777777" w:rsidTr="000D3BCB">
        <w:trPr>
          <w:gridAfter w:val="3"/>
          <w:wAfter w:w="84" w:type="dxa"/>
        </w:trPr>
        <w:tc>
          <w:tcPr>
            <w:tcW w:w="6222" w:type="dxa"/>
            <w:gridSpan w:val="20"/>
            <w:shd w:val="clear" w:color="auto" w:fill="auto"/>
          </w:tcPr>
          <w:p w14:paraId="1E62E778"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Итого:</w:t>
            </w:r>
          </w:p>
        </w:tc>
        <w:tc>
          <w:tcPr>
            <w:tcW w:w="683" w:type="dxa"/>
            <w:gridSpan w:val="5"/>
            <w:shd w:val="clear" w:color="auto" w:fill="auto"/>
          </w:tcPr>
          <w:p w14:paraId="5356AAB4"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311</w:t>
            </w:r>
          </w:p>
        </w:tc>
        <w:tc>
          <w:tcPr>
            <w:tcW w:w="1982" w:type="dxa"/>
            <w:gridSpan w:val="7"/>
            <w:shd w:val="clear" w:color="auto" w:fill="auto"/>
          </w:tcPr>
          <w:p w14:paraId="3EDF9980"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самолетов</w:t>
            </w:r>
          </w:p>
        </w:tc>
      </w:tr>
      <w:tr w:rsidR="00643896" w:rsidRPr="00640820" w14:paraId="3CC01950" w14:textId="77777777" w:rsidTr="000D3BCB">
        <w:trPr>
          <w:gridAfter w:val="1"/>
          <w:wAfter w:w="65" w:type="dxa"/>
        </w:trPr>
        <w:tc>
          <w:tcPr>
            <w:tcW w:w="8906" w:type="dxa"/>
            <w:gridSpan w:val="34"/>
            <w:shd w:val="clear" w:color="auto" w:fill="auto"/>
          </w:tcPr>
          <w:p w14:paraId="503FDAF7"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u w:val="single"/>
                <w:lang w:eastAsia="ru-RU"/>
              </w:rPr>
              <w:t>авиационных моторов</w:t>
            </w:r>
          </w:p>
        </w:tc>
      </w:tr>
      <w:tr w:rsidR="00643896" w:rsidRPr="00640820" w14:paraId="2A32C12B" w14:textId="77777777" w:rsidTr="000D3BCB">
        <w:trPr>
          <w:gridAfter w:val="1"/>
          <w:wAfter w:w="65" w:type="dxa"/>
        </w:trPr>
        <w:tc>
          <w:tcPr>
            <w:tcW w:w="754" w:type="dxa"/>
            <w:shd w:val="clear" w:color="auto" w:fill="auto"/>
          </w:tcPr>
          <w:p w14:paraId="3097D4E6"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типа</w:t>
            </w:r>
          </w:p>
        </w:tc>
        <w:tc>
          <w:tcPr>
            <w:tcW w:w="1841" w:type="dxa"/>
            <w:shd w:val="clear" w:color="auto" w:fill="auto"/>
          </w:tcPr>
          <w:p w14:paraId="4BCF564B"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М-105Р</w:t>
            </w:r>
          </w:p>
        </w:tc>
        <w:tc>
          <w:tcPr>
            <w:tcW w:w="1542" w:type="dxa"/>
            <w:gridSpan w:val="6"/>
            <w:shd w:val="clear" w:color="auto" w:fill="auto"/>
          </w:tcPr>
          <w:p w14:paraId="6C2E53CF"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на заводе</w:t>
            </w:r>
          </w:p>
        </w:tc>
        <w:tc>
          <w:tcPr>
            <w:tcW w:w="2393" w:type="dxa"/>
            <w:gridSpan w:val="14"/>
            <w:shd w:val="clear" w:color="auto" w:fill="auto"/>
          </w:tcPr>
          <w:p w14:paraId="485220DD"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16 в Казани</w:t>
            </w:r>
          </w:p>
        </w:tc>
        <w:tc>
          <w:tcPr>
            <w:tcW w:w="236" w:type="dxa"/>
            <w:shd w:val="clear" w:color="auto" w:fill="auto"/>
          </w:tcPr>
          <w:p w14:paraId="11C39116"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772" w:type="dxa"/>
            <w:gridSpan w:val="7"/>
            <w:shd w:val="clear" w:color="auto" w:fill="auto"/>
          </w:tcPr>
          <w:p w14:paraId="16A1A175"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435</w:t>
            </w:r>
          </w:p>
        </w:tc>
        <w:tc>
          <w:tcPr>
            <w:tcW w:w="1368" w:type="dxa"/>
            <w:gridSpan w:val="4"/>
            <w:shd w:val="clear" w:color="auto" w:fill="auto"/>
          </w:tcPr>
          <w:p w14:paraId="51BBBC47"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моторов</w:t>
            </w:r>
          </w:p>
        </w:tc>
      </w:tr>
      <w:tr w:rsidR="00643896" w:rsidRPr="00640820" w14:paraId="486CD427" w14:textId="77777777" w:rsidTr="000D3BCB">
        <w:trPr>
          <w:gridAfter w:val="1"/>
          <w:wAfter w:w="65" w:type="dxa"/>
        </w:trPr>
        <w:tc>
          <w:tcPr>
            <w:tcW w:w="754" w:type="dxa"/>
            <w:shd w:val="clear" w:color="auto" w:fill="auto"/>
          </w:tcPr>
          <w:p w14:paraId="78294C22"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1841" w:type="dxa"/>
            <w:shd w:val="clear" w:color="auto" w:fill="auto"/>
          </w:tcPr>
          <w:p w14:paraId="635AB96C"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М-30</w:t>
            </w:r>
          </w:p>
        </w:tc>
        <w:tc>
          <w:tcPr>
            <w:tcW w:w="1542" w:type="dxa"/>
            <w:gridSpan w:val="6"/>
            <w:shd w:val="clear" w:color="auto" w:fill="auto"/>
          </w:tcPr>
          <w:p w14:paraId="2A8854DA"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2393" w:type="dxa"/>
            <w:gridSpan w:val="14"/>
            <w:shd w:val="clear" w:color="auto" w:fill="auto"/>
          </w:tcPr>
          <w:p w14:paraId="4B2C0942"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236" w:type="dxa"/>
            <w:shd w:val="clear" w:color="auto" w:fill="auto"/>
          </w:tcPr>
          <w:p w14:paraId="736C0F8D"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772" w:type="dxa"/>
            <w:gridSpan w:val="7"/>
            <w:shd w:val="clear" w:color="auto" w:fill="auto"/>
          </w:tcPr>
          <w:p w14:paraId="139D879E"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30</w:t>
            </w:r>
          </w:p>
        </w:tc>
        <w:tc>
          <w:tcPr>
            <w:tcW w:w="1368" w:type="dxa"/>
            <w:gridSpan w:val="4"/>
            <w:shd w:val="clear" w:color="auto" w:fill="auto"/>
          </w:tcPr>
          <w:p w14:paraId="1D686163"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5F2CCEE6" w14:textId="77777777" w:rsidTr="000D3BCB">
        <w:trPr>
          <w:gridAfter w:val="1"/>
          <w:wAfter w:w="65" w:type="dxa"/>
        </w:trPr>
        <w:tc>
          <w:tcPr>
            <w:tcW w:w="754" w:type="dxa"/>
            <w:shd w:val="clear" w:color="auto" w:fill="auto"/>
          </w:tcPr>
          <w:p w14:paraId="1213B70F"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1841" w:type="dxa"/>
            <w:shd w:val="clear" w:color="auto" w:fill="auto"/>
          </w:tcPr>
          <w:p w14:paraId="19627A97"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М-105П</w:t>
            </w:r>
          </w:p>
        </w:tc>
        <w:tc>
          <w:tcPr>
            <w:tcW w:w="1542" w:type="dxa"/>
            <w:gridSpan w:val="6"/>
            <w:shd w:val="clear" w:color="auto" w:fill="auto"/>
          </w:tcPr>
          <w:p w14:paraId="7205B8E9"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на заводе</w:t>
            </w:r>
          </w:p>
        </w:tc>
        <w:tc>
          <w:tcPr>
            <w:tcW w:w="2393" w:type="dxa"/>
            <w:gridSpan w:val="14"/>
            <w:shd w:val="clear" w:color="auto" w:fill="auto"/>
          </w:tcPr>
          <w:p w14:paraId="6093BC7A"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26 и 384</w:t>
            </w:r>
          </w:p>
        </w:tc>
        <w:tc>
          <w:tcPr>
            <w:tcW w:w="236" w:type="dxa"/>
            <w:shd w:val="clear" w:color="auto" w:fill="auto"/>
          </w:tcPr>
          <w:p w14:paraId="1EB27BA6"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772" w:type="dxa"/>
            <w:gridSpan w:val="7"/>
            <w:shd w:val="clear" w:color="auto" w:fill="auto"/>
          </w:tcPr>
          <w:p w14:paraId="403E554A"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1000</w:t>
            </w:r>
          </w:p>
        </w:tc>
        <w:tc>
          <w:tcPr>
            <w:tcW w:w="1368" w:type="dxa"/>
            <w:gridSpan w:val="4"/>
            <w:shd w:val="clear" w:color="auto" w:fill="auto"/>
          </w:tcPr>
          <w:p w14:paraId="325AC463"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355F95A3" w14:textId="77777777" w:rsidTr="000D3BCB">
        <w:trPr>
          <w:gridAfter w:val="1"/>
          <w:wAfter w:w="65" w:type="dxa"/>
        </w:trPr>
        <w:tc>
          <w:tcPr>
            <w:tcW w:w="754" w:type="dxa"/>
            <w:shd w:val="clear" w:color="auto" w:fill="auto"/>
          </w:tcPr>
          <w:p w14:paraId="550A2B97"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1841" w:type="dxa"/>
            <w:shd w:val="clear" w:color="auto" w:fill="auto"/>
          </w:tcPr>
          <w:p w14:paraId="02371820"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АМ-35А</w:t>
            </w:r>
          </w:p>
        </w:tc>
        <w:tc>
          <w:tcPr>
            <w:tcW w:w="1542" w:type="dxa"/>
            <w:gridSpan w:val="6"/>
            <w:shd w:val="clear" w:color="auto" w:fill="auto"/>
          </w:tcPr>
          <w:p w14:paraId="16A5360E"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2393" w:type="dxa"/>
            <w:gridSpan w:val="14"/>
            <w:shd w:val="clear" w:color="auto" w:fill="auto"/>
          </w:tcPr>
          <w:p w14:paraId="5B1773EE"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24</w:t>
            </w:r>
          </w:p>
        </w:tc>
        <w:tc>
          <w:tcPr>
            <w:tcW w:w="236" w:type="dxa"/>
            <w:shd w:val="clear" w:color="auto" w:fill="auto"/>
          </w:tcPr>
          <w:p w14:paraId="2DC74ED3"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772" w:type="dxa"/>
            <w:gridSpan w:val="7"/>
            <w:shd w:val="clear" w:color="auto" w:fill="auto"/>
          </w:tcPr>
          <w:p w14:paraId="5227B491"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150</w:t>
            </w:r>
          </w:p>
        </w:tc>
        <w:tc>
          <w:tcPr>
            <w:tcW w:w="1368" w:type="dxa"/>
            <w:gridSpan w:val="4"/>
            <w:shd w:val="clear" w:color="auto" w:fill="auto"/>
          </w:tcPr>
          <w:p w14:paraId="5846F631"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09624A65" w14:textId="77777777" w:rsidTr="000D3BCB">
        <w:trPr>
          <w:gridAfter w:val="1"/>
          <w:wAfter w:w="65" w:type="dxa"/>
        </w:trPr>
        <w:tc>
          <w:tcPr>
            <w:tcW w:w="754" w:type="dxa"/>
            <w:shd w:val="clear" w:color="auto" w:fill="auto"/>
          </w:tcPr>
          <w:p w14:paraId="2EFC4DE8"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1841" w:type="dxa"/>
            <w:shd w:val="clear" w:color="auto" w:fill="auto"/>
          </w:tcPr>
          <w:p w14:paraId="20457FE5"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АМ-37</w:t>
            </w:r>
          </w:p>
        </w:tc>
        <w:tc>
          <w:tcPr>
            <w:tcW w:w="1542" w:type="dxa"/>
            <w:gridSpan w:val="6"/>
            <w:shd w:val="clear" w:color="auto" w:fill="auto"/>
          </w:tcPr>
          <w:p w14:paraId="25483A07"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2393" w:type="dxa"/>
            <w:gridSpan w:val="14"/>
            <w:shd w:val="clear" w:color="auto" w:fill="auto"/>
          </w:tcPr>
          <w:p w14:paraId="5EE6DD1B"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236" w:type="dxa"/>
            <w:shd w:val="clear" w:color="auto" w:fill="auto"/>
          </w:tcPr>
          <w:p w14:paraId="59BD4859"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772" w:type="dxa"/>
            <w:gridSpan w:val="7"/>
            <w:shd w:val="clear" w:color="auto" w:fill="auto"/>
          </w:tcPr>
          <w:p w14:paraId="4D8D5B9E"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30</w:t>
            </w:r>
          </w:p>
        </w:tc>
        <w:tc>
          <w:tcPr>
            <w:tcW w:w="1368" w:type="dxa"/>
            <w:gridSpan w:val="4"/>
            <w:shd w:val="clear" w:color="auto" w:fill="auto"/>
          </w:tcPr>
          <w:p w14:paraId="43009BB5"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2FAB170A" w14:textId="77777777" w:rsidTr="000D3BCB">
        <w:trPr>
          <w:gridAfter w:val="1"/>
          <w:wAfter w:w="65" w:type="dxa"/>
        </w:trPr>
        <w:tc>
          <w:tcPr>
            <w:tcW w:w="754" w:type="dxa"/>
            <w:shd w:val="clear" w:color="auto" w:fill="auto"/>
          </w:tcPr>
          <w:p w14:paraId="1ACCBDCA"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1841" w:type="dxa"/>
            <w:shd w:val="clear" w:color="auto" w:fill="auto"/>
          </w:tcPr>
          <w:p w14:paraId="3B99B198"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АМ-38</w:t>
            </w:r>
          </w:p>
        </w:tc>
        <w:tc>
          <w:tcPr>
            <w:tcW w:w="1542" w:type="dxa"/>
            <w:gridSpan w:val="6"/>
            <w:shd w:val="clear" w:color="auto" w:fill="auto"/>
          </w:tcPr>
          <w:p w14:paraId="123EEB70"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2393" w:type="dxa"/>
            <w:gridSpan w:val="14"/>
            <w:shd w:val="clear" w:color="auto" w:fill="auto"/>
          </w:tcPr>
          <w:p w14:paraId="12DAEBA7"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236" w:type="dxa"/>
            <w:shd w:val="clear" w:color="auto" w:fill="auto"/>
          </w:tcPr>
          <w:p w14:paraId="738F0F7A"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772" w:type="dxa"/>
            <w:gridSpan w:val="7"/>
            <w:shd w:val="clear" w:color="auto" w:fill="auto"/>
          </w:tcPr>
          <w:p w14:paraId="5251A2CC"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400</w:t>
            </w:r>
          </w:p>
        </w:tc>
        <w:tc>
          <w:tcPr>
            <w:tcW w:w="1368" w:type="dxa"/>
            <w:gridSpan w:val="4"/>
            <w:shd w:val="clear" w:color="auto" w:fill="auto"/>
          </w:tcPr>
          <w:p w14:paraId="20DF401B"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79054E9D" w14:textId="77777777" w:rsidTr="000D3BCB">
        <w:trPr>
          <w:gridAfter w:val="1"/>
          <w:wAfter w:w="65" w:type="dxa"/>
        </w:trPr>
        <w:tc>
          <w:tcPr>
            <w:tcW w:w="754" w:type="dxa"/>
            <w:shd w:val="clear" w:color="auto" w:fill="auto"/>
          </w:tcPr>
          <w:p w14:paraId="519F9C32"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1841" w:type="dxa"/>
            <w:shd w:val="clear" w:color="auto" w:fill="auto"/>
          </w:tcPr>
          <w:p w14:paraId="73380187"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ГАМ-БС34</w:t>
            </w:r>
          </w:p>
        </w:tc>
        <w:tc>
          <w:tcPr>
            <w:tcW w:w="1542" w:type="dxa"/>
            <w:gridSpan w:val="6"/>
            <w:shd w:val="clear" w:color="auto" w:fill="auto"/>
          </w:tcPr>
          <w:p w14:paraId="469F904E"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2393" w:type="dxa"/>
            <w:gridSpan w:val="14"/>
            <w:shd w:val="clear" w:color="auto" w:fill="auto"/>
          </w:tcPr>
          <w:p w14:paraId="726FC857"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236" w:type="dxa"/>
            <w:shd w:val="clear" w:color="auto" w:fill="auto"/>
          </w:tcPr>
          <w:p w14:paraId="4565A0CD"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772" w:type="dxa"/>
            <w:gridSpan w:val="7"/>
            <w:shd w:val="clear" w:color="auto" w:fill="auto"/>
          </w:tcPr>
          <w:p w14:paraId="66D6A13A"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20</w:t>
            </w:r>
          </w:p>
        </w:tc>
        <w:tc>
          <w:tcPr>
            <w:tcW w:w="1368" w:type="dxa"/>
            <w:gridSpan w:val="4"/>
            <w:shd w:val="clear" w:color="auto" w:fill="auto"/>
          </w:tcPr>
          <w:p w14:paraId="52F41638"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5E83B063" w14:textId="77777777" w:rsidTr="000D3BCB">
        <w:trPr>
          <w:gridAfter w:val="1"/>
          <w:wAfter w:w="65" w:type="dxa"/>
        </w:trPr>
        <w:tc>
          <w:tcPr>
            <w:tcW w:w="754" w:type="dxa"/>
            <w:shd w:val="clear" w:color="auto" w:fill="auto"/>
          </w:tcPr>
          <w:p w14:paraId="5BA5C8EE"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1841" w:type="dxa"/>
            <w:shd w:val="clear" w:color="auto" w:fill="auto"/>
          </w:tcPr>
          <w:p w14:paraId="021A41E2"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М-82</w:t>
            </w:r>
          </w:p>
        </w:tc>
        <w:tc>
          <w:tcPr>
            <w:tcW w:w="1542" w:type="dxa"/>
            <w:gridSpan w:val="6"/>
            <w:shd w:val="clear" w:color="auto" w:fill="auto"/>
          </w:tcPr>
          <w:p w14:paraId="445E3266"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2393" w:type="dxa"/>
            <w:gridSpan w:val="14"/>
            <w:shd w:val="clear" w:color="auto" w:fill="auto"/>
          </w:tcPr>
          <w:p w14:paraId="6CC04ED7"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19</w:t>
            </w:r>
          </w:p>
        </w:tc>
        <w:tc>
          <w:tcPr>
            <w:tcW w:w="236" w:type="dxa"/>
            <w:shd w:val="clear" w:color="auto" w:fill="auto"/>
          </w:tcPr>
          <w:p w14:paraId="289D9281"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772" w:type="dxa"/>
            <w:gridSpan w:val="7"/>
            <w:shd w:val="clear" w:color="auto" w:fill="auto"/>
          </w:tcPr>
          <w:p w14:paraId="400A3734"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420</w:t>
            </w:r>
          </w:p>
        </w:tc>
        <w:tc>
          <w:tcPr>
            <w:tcW w:w="1368" w:type="dxa"/>
            <w:gridSpan w:val="4"/>
            <w:shd w:val="clear" w:color="auto" w:fill="auto"/>
          </w:tcPr>
          <w:p w14:paraId="62F4A5A6"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675CF659" w14:textId="77777777" w:rsidTr="000D3BCB">
        <w:trPr>
          <w:gridAfter w:val="1"/>
          <w:wAfter w:w="65" w:type="dxa"/>
        </w:trPr>
        <w:tc>
          <w:tcPr>
            <w:tcW w:w="754" w:type="dxa"/>
            <w:shd w:val="clear" w:color="auto" w:fill="auto"/>
          </w:tcPr>
          <w:p w14:paraId="7D12B30F"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1841" w:type="dxa"/>
            <w:shd w:val="clear" w:color="auto" w:fill="auto"/>
          </w:tcPr>
          <w:p w14:paraId="516C3245"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М-62ИР</w:t>
            </w:r>
          </w:p>
        </w:tc>
        <w:tc>
          <w:tcPr>
            <w:tcW w:w="1542" w:type="dxa"/>
            <w:gridSpan w:val="6"/>
            <w:shd w:val="clear" w:color="auto" w:fill="auto"/>
          </w:tcPr>
          <w:p w14:paraId="3ED16997"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2393" w:type="dxa"/>
            <w:gridSpan w:val="14"/>
            <w:shd w:val="clear" w:color="auto" w:fill="auto"/>
          </w:tcPr>
          <w:p w14:paraId="02CCAE9C"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236" w:type="dxa"/>
            <w:shd w:val="clear" w:color="auto" w:fill="auto"/>
          </w:tcPr>
          <w:p w14:paraId="0153479B"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772" w:type="dxa"/>
            <w:gridSpan w:val="7"/>
            <w:shd w:val="clear" w:color="auto" w:fill="auto"/>
          </w:tcPr>
          <w:p w14:paraId="72EEA9E0"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125</w:t>
            </w:r>
          </w:p>
        </w:tc>
        <w:tc>
          <w:tcPr>
            <w:tcW w:w="1368" w:type="dxa"/>
            <w:gridSpan w:val="4"/>
            <w:shd w:val="clear" w:color="auto" w:fill="auto"/>
          </w:tcPr>
          <w:p w14:paraId="48F7D96D"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28D78C36" w14:textId="77777777" w:rsidTr="000D3BCB">
        <w:trPr>
          <w:gridAfter w:val="1"/>
          <w:wAfter w:w="65" w:type="dxa"/>
        </w:trPr>
        <w:tc>
          <w:tcPr>
            <w:tcW w:w="754" w:type="dxa"/>
            <w:shd w:val="clear" w:color="auto" w:fill="auto"/>
          </w:tcPr>
          <w:p w14:paraId="7463A6AB"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1841" w:type="dxa"/>
            <w:shd w:val="clear" w:color="auto" w:fill="auto"/>
          </w:tcPr>
          <w:p w14:paraId="2DFDF55E"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М-25в</w:t>
            </w:r>
          </w:p>
        </w:tc>
        <w:tc>
          <w:tcPr>
            <w:tcW w:w="1542" w:type="dxa"/>
            <w:gridSpan w:val="6"/>
            <w:shd w:val="clear" w:color="auto" w:fill="auto"/>
          </w:tcPr>
          <w:p w14:paraId="02BAEBBF"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2393" w:type="dxa"/>
            <w:gridSpan w:val="14"/>
            <w:shd w:val="clear" w:color="auto" w:fill="auto"/>
          </w:tcPr>
          <w:p w14:paraId="57F2B4A2"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236" w:type="dxa"/>
            <w:shd w:val="clear" w:color="auto" w:fill="auto"/>
          </w:tcPr>
          <w:p w14:paraId="1508982D"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772" w:type="dxa"/>
            <w:gridSpan w:val="7"/>
            <w:shd w:val="clear" w:color="auto" w:fill="auto"/>
          </w:tcPr>
          <w:p w14:paraId="05C2C15B"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75</w:t>
            </w:r>
          </w:p>
        </w:tc>
        <w:tc>
          <w:tcPr>
            <w:tcW w:w="1368" w:type="dxa"/>
            <w:gridSpan w:val="4"/>
            <w:shd w:val="clear" w:color="auto" w:fill="auto"/>
          </w:tcPr>
          <w:p w14:paraId="1B806CB8"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0857AA38" w14:textId="77777777" w:rsidTr="000D3BCB">
        <w:trPr>
          <w:gridAfter w:val="1"/>
          <w:wAfter w:w="65" w:type="dxa"/>
        </w:trPr>
        <w:tc>
          <w:tcPr>
            <w:tcW w:w="754" w:type="dxa"/>
            <w:shd w:val="clear" w:color="auto" w:fill="auto"/>
          </w:tcPr>
          <w:p w14:paraId="702AC463"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1841" w:type="dxa"/>
            <w:shd w:val="clear" w:color="auto" w:fill="auto"/>
          </w:tcPr>
          <w:p w14:paraId="33BD02D3"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М-88</w:t>
            </w:r>
          </w:p>
        </w:tc>
        <w:tc>
          <w:tcPr>
            <w:tcW w:w="1542" w:type="dxa"/>
            <w:gridSpan w:val="6"/>
            <w:shd w:val="clear" w:color="auto" w:fill="auto"/>
          </w:tcPr>
          <w:p w14:paraId="7522320A"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2393" w:type="dxa"/>
            <w:gridSpan w:val="14"/>
            <w:shd w:val="clear" w:color="auto" w:fill="auto"/>
          </w:tcPr>
          <w:p w14:paraId="3BE69E39"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29</w:t>
            </w:r>
          </w:p>
        </w:tc>
        <w:tc>
          <w:tcPr>
            <w:tcW w:w="236" w:type="dxa"/>
            <w:shd w:val="clear" w:color="auto" w:fill="auto"/>
          </w:tcPr>
          <w:p w14:paraId="1950BC76"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772" w:type="dxa"/>
            <w:gridSpan w:val="7"/>
            <w:shd w:val="clear" w:color="auto" w:fill="auto"/>
          </w:tcPr>
          <w:p w14:paraId="495AC6D8"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370</w:t>
            </w:r>
          </w:p>
        </w:tc>
        <w:tc>
          <w:tcPr>
            <w:tcW w:w="1368" w:type="dxa"/>
            <w:gridSpan w:val="4"/>
            <w:shd w:val="clear" w:color="auto" w:fill="auto"/>
          </w:tcPr>
          <w:p w14:paraId="3A8B2D5A"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73724FC6" w14:textId="77777777" w:rsidTr="000D3BCB">
        <w:trPr>
          <w:gridAfter w:val="1"/>
          <w:wAfter w:w="65" w:type="dxa"/>
        </w:trPr>
        <w:tc>
          <w:tcPr>
            <w:tcW w:w="754" w:type="dxa"/>
            <w:shd w:val="clear" w:color="auto" w:fill="auto"/>
          </w:tcPr>
          <w:p w14:paraId="2629D5A0"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1841" w:type="dxa"/>
            <w:shd w:val="clear" w:color="auto" w:fill="auto"/>
          </w:tcPr>
          <w:p w14:paraId="2DF52634"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М-11</w:t>
            </w:r>
          </w:p>
        </w:tc>
        <w:tc>
          <w:tcPr>
            <w:tcW w:w="1542" w:type="dxa"/>
            <w:gridSpan w:val="6"/>
            <w:shd w:val="clear" w:color="auto" w:fill="auto"/>
          </w:tcPr>
          <w:p w14:paraId="30C772E1"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2393" w:type="dxa"/>
            <w:gridSpan w:val="14"/>
            <w:shd w:val="clear" w:color="auto" w:fill="auto"/>
          </w:tcPr>
          <w:p w14:paraId="6E8F0158"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154</w:t>
            </w:r>
          </w:p>
        </w:tc>
        <w:tc>
          <w:tcPr>
            <w:tcW w:w="236" w:type="dxa"/>
            <w:shd w:val="clear" w:color="auto" w:fill="auto"/>
          </w:tcPr>
          <w:p w14:paraId="7F33847A"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c>
          <w:tcPr>
            <w:tcW w:w="772" w:type="dxa"/>
            <w:gridSpan w:val="7"/>
            <w:shd w:val="clear" w:color="auto" w:fill="auto"/>
          </w:tcPr>
          <w:p w14:paraId="766E31BB"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150</w:t>
            </w:r>
          </w:p>
        </w:tc>
        <w:tc>
          <w:tcPr>
            <w:tcW w:w="1368" w:type="dxa"/>
            <w:gridSpan w:val="4"/>
            <w:shd w:val="clear" w:color="auto" w:fill="auto"/>
          </w:tcPr>
          <w:p w14:paraId="7C76C50C"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458A1700" w14:textId="77777777" w:rsidTr="000D3BCB">
        <w:trPr>
          <w:gridAfter w:val="1"/>
          <w:wAfter w:w="65" w:type="dxa"/>
        </w:trPr>
        <w:tc>
          <w:tcPr>
            <w:tcW w:w="8906" w:type="dxa"/>
            <w:gridSpan w:val="34"/>
            <w:shd w:val="clear" w:color="auto" w:fill="auto"/>
          </w:tcPr>
          <w:p w14:paraId="036B46DC"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11F0292B" w14:textId="77777777" w:rsidTr="000D3BCB">
        <w:trPr>
          <w:gridAfter w:val="1"/>
          <w:wAfter w:w="65" w:type="dxa"/>
        </w:trPr>
        <w:tc>
          <w:tcPr>
            <w:tcW w:w="6766" w:type="dxa"/>
            <w:gridSpan w:val="23"/>
            <w:shd w:val="clear" w:color="auto" w:fill="auto"/>
          </w:tcPr>
          <w:p w14:paraId="5DA133DD"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Итого:</w:t>
            </w:r>
          </w:p>
        </w:tc>
        <w:tc>
          <w:tcPr>
            <w:tcW w:w="772" w:type="dxa"/>
            <w:gridSpan w:val="7"/>
            <w:shd w:val="clear" w:color="auto" w:fill="auto"/>
          </w:tcPr>
          <w:p w14:paraId="0C4F8F76"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3205</w:t>
            </w:r>
          </w:p>
        </w:tc>
        <w:tc>
          <w:tcPr>
            <w:tcW w:w="1368" w:type="dxa"/>
            <w:gridSpan w:val="4"/>
            <w:shd w:val="clear" w:color="auto" w:fill="auto"/>
          </w:tcPr>
          <w:p w14:paraId="633F641A" w14:textId="77777777" w:rsidR="00165A9C" w:rsidRPr="00640820" w:rsidRDefault="00165A9C"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моторов</w:t>
            </w:r>
          </w:p>
        </w:tc>
      </w:tr>
    </w:tbl>
    <w:p w14:paraId="4568036E" w14:textId="77777777" w:rsidR="00165A9C" w:rsidRPr="00640820" w:rsidRDefault="00165A9C" w:rsidP="00640820">
      <w:pPr>
        <w:spacing w:after="0" w:line="240" w:lineRule="auto"/>
        <w:jc w:val="both"/>
        <w:rPr>
          <w:rFonts w:ascii="Times New Roman" w:hAnsi="Times New Roman"/>
          <w:vanish/>
          <w:color w:val="000000" w:themeColor="text1"/>
          <w:sz w:val="16"/>
          <w:szCs w:val="16"/>
        </w:rPr>
      </w:pPr>
      <w:r w:rsidRPr="00640820">
        <w:rPr>
          <w:rFonts w:ascii="Times New Roman" w:hAnsi="Times New Roman"/>
          <w:color w:val="000000" w:themeColor="text1"/>
          <w:sz w:val="16"/>
          <w:szCs w:val="16"/>
        </w:rPr>
        <w:t>2. Для обеспечения установленного выпуска боевых самолетов и авиационных моторов обязать Наркомавиапром том. Шахурина восстановить самолетные, авиамоторные, агрегатные и прокатные заводы, эвакуированные на Волгу, Урал и в Сибирь, в следующие сроки:</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2791"/>
        <w:gridCol w:w="2396"/>
        <w:gridCol w:w="1131"/>
        <w:gridCol w:w="907"/>
        <w:gridCol w:w="1679"/>
        <w:gridCol w:w="1164"/>
        <w:gridCol w:w="1274"/>
      </w:tblGrid>
      <w:tr w:rsidR="00643896" w:rsidRPr="00640820" w14:paraId="706F328D" w14:textId="77777777" w:rsidTr="000D3BCB">
        <w:trPr>
          <w:jc w:val="center"/>
        </w:trPr>
        <w:tc>
          <w:tcPr>
            <w:tcW w:w="2791" w:type="dxa"/>
          </w:tcPr>
          <w:p w14:paraId="42585E4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Наименование заводов</w:t>
            </w:r>
          </w:p>
        </w:tc>
        <w:tc>
          <w:tcPr>
            <w:tcW w:w="2396" w:type="dxa"/>
          </w:tcPr>
          <w:p w14:paraId="53251F3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Наименование</w:t>
            </w:r>
            <w:r w:rsidRPr="00640820">
              <w:rPr>
                <w:rFonts w:ascii="Times New Roman" w:hAnsi="Times New Roman"/>
                <w:color w:val="000000" w:themeColor="text1"/>
                <w:sz w:val="16"/>
                <w:szCs w:val="16"/>
              </w:rPr>
              <w:br/>
              <w:t>продукции</w:t>
            </w:r>
          </w:p>
        </w:tc>
        <w:tc>
          <w:tcPr>
            <w:tcW w:w="1131" w:type="dxa"/>
          </w:tcPr>
          <w:p w14:paraId="522C140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Срок</w:t>
            </w:r>
            <w:r w:rsidRPr="00640820">
              <w:rPr>
                <w:rFonts w:ascii="Times New Roman" w:hAnsi="Times New Roman"/>
                <w:color w:val="000000" w:themeColor="text1"/>
                <w:sz w:val="16"/>
                <w:szCs w:val="16"/>
              </w:rPr>
              <w:br/>
              <w:t>установки</w:t>
            </w:r>
            <w:r w:rsidRPr="00640820">
              <w:rPr>
                <w:rFonts w:ascii="Times New Roman" w:hAnsi="Times New Roman"/>
                <w:color w:val="000000" w:themeColor="text1"/>
                <w:sz w:val="16"/>
                <w:szCs w:val="16"/>
              </w:rPr>
              <w:br/>
              <w:t>оборудования</w:t>
            </w:r>
          </w:p>
        </w:tc>
        <w:tc>
          <w:tcPr>
            <w:tcW w:w="907" w:type="dxa"/>
          </w:tcPr>
          <w:p w14:paraId="0009BC4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Начало</w:t>
            </w:r>
            <w:r w:rsidRPr="00640820">
              <w:rPr>
                <w:rFonts w:ascii="Times New Roman" w:hAnsi="Times New Roman"/>
                <w:color w:val="000000" w:themeColor="text1"/>
                <w:sz w:val="16"/>
                <w:szCs w:val="16"/>
              </w:rPr>
              <w:br/>
              <w:t>выпуска</w:t>
            </w:r>
            <w:r w:rsidRPr="00640820">
              <w:rPr>
                <w:rFonts w:ascii="Times New Roman" w:hAnsi="Times New Roman"/>
                <w:color w:val="000000" w:themeColor="text1"/>
                <w:sz w:val="16"/>
                <w:szCs w:val="16"/>
              </w:rPr>
              <w:br/>
              <w:t>продукции</w:t>
            </w:r>
          </w:p>
        </w:tc>
        <w:tc>
          <w:tcPr>
            <w:tcW w:w="1679" w:type="dxa"/>
          </w:tcPr>
          <w:p w14:paraId="1088677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 на</w:t>
            </w:r>
            <w:r w:rsidRPr="00640820">
              <w:rPr>
                <w:rFonts w:ascii="Times New Roman" w:hAnsi="Times New Roman"/>
                <w:color w:val="000000" w:themeColor="text1"/>
                <w:sz w:val="16"/>
                <w:szCs w:val="16"/>
              </w:rPr>
              <w:br/>
              <w:t>ноябрь</w:t>
            </w:r>
            <w:r w:rsidRPr="00640820">
              <w:rPr>
                <w:rFonts w:ascii="Times New Roman" w:hAnsi="Times New Roman"/>
                <w:color w:val="000000" w:themeColor="text1"/>
                <w:sz w:val="16"/>
                <w:szCs w:val="16"/>
              </w:rPr>
              <w:br/>
              <w:t>1941 г.</w:t>
            </w:r>
          </w:p>
        </w:tc>
        <w:tc>
          <w:tcPr>
            <w:tcW w:w="1164" w:type="dxa"/>
          </w:tcPr>
          <w:p w14:paraId="5BF686F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Ежесуточный</w:t>
            </w:r>
            <w:r w:rsidRPr="00640820">
              <w:rPr>
                <w:rFonts w:ascii="Times New Roman" w:hAnsi="Times New Roman"/>
                <w:color w:val="000000" w:themeColor="text1"/>
                <w:sz w:val="16"/>
                <w:szCs w:val="16"/>
              </w:rPr>
              <w:br/>
              <w:t>выпуск на III</w:t>
            </w:r>
            <w:r w:rsidRPr="00640820">
              <w:rPr>
                <w:rFonts w:ascii="Times New Roman" w:hAnsi="Times New Roman"/>
                <w:color w:val="000000" w:themeColor="text1"/>
                <w:sz w:val="16"/>
                <w:szCs w:val="16"/>
              </w:rPr>
              <w:br/>
              <w:t>декаду декабря</w:t>
            </w:r>
          </w:p>
        </w:tc>
        <w:tc>
          <w:tcPr>
            <w:tcW w:w="1274" w:type="dxa"/>
          </w:tcPr>
          <w:p w14:paraId="1BA3A7F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Срок полного</w:t>
            </w:r>
            <w:r w:rsidRPr="00640820">
              <w:rPr>
                <w:rFonts w:ascii="Times New Roman" w:hAnsi="Times New Roman"/>
                <w:color w:val="000000" w:themeColor="text1"/>
                <w:sz w:val="16"/>
                <w:szCs w:val="16"/>
              </w:rPr>
              <w:br/>
              <w:t>восстановления</w:t>
            </w:r>
            <w:r w:rsidRPr="00640820">
              <w:rPr>
                <w:rFonts w:ascii="Times New Roman" w:hAnsi="Times New Roman"/>
                <w:color w:val="000000" w:themeColor="text1"/>
                <w:sz w:val="16"/>
                <w:szCs w:val="16"/>
              </w:rPr>
              <w:br/>
              <w:t>производства</w:t>
            </w:r>
          </w:p>
        </w:tc>
      </w:tr>
      <w:tr w:rsidR="00643896" w:rsidRPr="00640820" w14:paraId="3065B72D" w14:textId="77777777" w:rsidTr="000D3BCB">
        <w:trPr>
          <w:jc w:val="center"/>
        </w:trPr>
        <w:tc>
          <w:tcPr>
            <w:tcW w:w="11342" w:type="dxa"/>
            <w:gridSpan w:val="7"/>
          </w:tcPr>
          <w:p w14:paraId="74F32F2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а) </w:t>
            </w:r>
            <w:r w:rsidRPr="00640820">
              <w:rPr>
                <w:rFonts w:ascii="Times New Roman" w:hAnsi="Times New Roman"/>
                <w:color w:val="000000" w:themeColor="text1"/>
                <w:sz w:val="16"/>
                <w:szCs w:val="16"/>
                <w:u w:val="single"/>
              </w:rPr>
              <w:t>по самолетам</w:t>
            </w:r>
          </w:p>
        </w:tc>
      </w:tr>
      <w:tr w:rsidR="00643896" w:rsidRPr="00640820" w14:paraId="05DC118F" w14:textId="77777777" w:rsidTr="000D3BCB">
        <w:trPr>
          <w:jc w:val="center"/>
        </w:trPr>
        <w:tc>
          <w:tcPr>
            <w:tcW w:w="2791" w:type="dxa"/>
          </w:tcPr>
          <w:p w14:paraId="49310D7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 (Куйбышев)</w:t>
            </w:r>
          </w:p>
        </w:tc>
        <w:tc>
          <w:tcPr>
            <w:tcW w:w="2396" w:type="dxa"/>
          </w:tcPr>
          <w:p w14:paraId="79DF73E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Миг-3</w:t>
            </w:r>
          </w:p>
        </w:tc>
        <w:tc>
          <w:tcPr>
            <w:tcW w:w="1131" w:type="dxa"/>
          </w:tcPr>
          <w:p w14:paraId="0C6F9DE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25.XI</w:t>
            </w:r>
          </w:p>
        </w:tc>
        <w:tc>
          <w:tcPr>
            <w:tcW w:w="907" w:type="dxa"/>
          </w:tcPr>
          <w:p w14:paraId="31084C3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10.XI</w:t>
            </w:r>
          </w:p>
        </w:tc>
        <w:tc>
          <w:tcPr>
            <w:tcW w:w="1679" w:type="dxa"/>
          </w:tcPr>
          <w:p w14:paraId="266038B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80</w:t>
            </w:r>
          </w:p>
        </w:tc>
        <w:tc>
          <w:tcPr>
            <w:tcW w:w="1164" w:type="dxa"/>
          </w:tcPr>
          <w:p w14:paraId="546C857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c>
          <w:tcPr>
            <w:tcW w:w="1274" w:type="dxa"/>
          </w:tcPr>
          <w:p w14:paraId="62482C6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декабрь</w:t>
            </w:r>
          </w:p>
        </w:tc>
      </w:tr>
      <w:tr w:rsidR="00643896" w:rsidRPr="00640820" w14:paraId="5F90A26E" w14:textId="77777777" w:rsidTr="000D3BCB">
        <w:trPr>
          <w:jc w:val="center"/>
        </w:trPr>
        <w:tc>
          <w:tcPr>
            <w:tcW w:w="2791" w:type="dxa"/>
          </w:tcPr>
          <w:p w14:paraId="669A5FE2" w14:textId="77777777" w:rsidR="00165A9C" w:rsidRPr="00640820" w:rsidRDefault="00165A9C" w:rsidP="00640820">
            <w:pPr>
              <w:spacing w:after="0" w:line="240" w:lineRule="auto"/>
              <w:jc w:val="both"/>
              <w:rPr>
                <w:rFonts w:ascii="Times New Roman" w:hAnsi="Times New Roman"/>
                <w:color w:val="000000" w:themeColor="text1"/>
                <w:sz w:val="16"/>
                <w:szCs w:val="16"/>
              </w:rPr>
            </w:pPr>
          </w:p>
        </w:tc>
        <w:tc>
          <w:tcPr>
            <w:tcW w:w="2396" w:type="dxa"/>
          </w:tcPr>
          <w:p w14:paraId="4B5D3F2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Ил-2</w:t>
            </w:r>
          </w:p>
        </w:tc>
        <w:tc>
          <w:tcPr>
            <w:tcW w:w="1131" w:type="dxa"/>
          </w:tcPr>
          <w:p w14:paraId="534BF9F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07" w:type="dxa"/>
          </w:tcPr>
          <w:p w14:paraId="24C1EAFA" w14:textId="77777777" w:rsidR="00165A9C" w:rsidRPr="00640820" w:rsidRDefault="00165A9C" w:rsidP="00640820">
            <w:pPr>
              <w:spacing w:after="0" w:line="240" w:lineRule="auto"/>
              <w:jc w:val="both"/>
              <w:rPr>
                <w:rFonts w:ascii="Times New Roman" w:hAnsi="Times New Roman"/>
                <w:color w:val="000000" w:themeColor="text1"/>
                <w:sz w:val="16"/>
                <w:szCs w:val="16"/>
              </w:rPr>
            </w:pPr>
          </w:p>
        </w:tc>
        <w:tc>
          <w:tcPr>
            <w:tcW w:w="1679" w:type="dxa"/>
          </w:tcPr>
          <w:p w14:paraId="3E6035A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1164" w:type="dxa"/>
          </w:tcPr>
          <w:p w14:paraId="0BF7811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1274" w:type="dxa"/>
          </w:tcPr>
          <w:p w14:paraId="312124E1" w14:textId="77777777" w:rsidR="00165A9C" w:rsidRPr="00640820" w:rsidRDefault="00165A9C" w:rsidP="00640820">
            <w:pPr>
              <w:spacing w:after="0" w:line="240" w:lineRule="auto"/>
              <w:jc w:val="both"/>
              <w:rPr>
                <w:rFonts w:ascii="Times New Roman" w:hAnsi="Times New Roman"/>
                <w:color w:val="000000" w:themeColor="text1"/>
                <w:sz w:val="16"/>
                <w:szCs w:val="16"/>
              </w:rPr>
            </w:pPr>
          </w:p>
        </w:tc>
      </w:tr>
      <w:tr w:rsidR="00643896" w:rsidRPr="00640820" w14:paraId="1E2FC1BC" w14:textId="77777777" w:rsidTr="000D3BCB">
        <w:trPr>
          <w:jc w:val="center"/>
        </w:trPr>
        <w:tc>
          <w:tcPr>
            <w:tcW w:w="2791" w:type="dxa"/>
          </w:tcPr>
          <w:p w14:paraId="4AB435D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18 (Куйбышев)</w:t>
            </w:r>
          </w:p>
        </w:tc>
        <w:tc>
          <w:tcPr>
            <w:tcW w:w="2396" w:type="dxa"/>
          </w:tcPr>
          <w:p w14:paraId="7E8372A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Ил-2</w:t>
            </w:r>
          </w:p>
        </w:tc>
        <w:tc>
          <w:tcPr>
            <w:tcW w:w="1131" w:type="dxa"/>
          </w:tcPr>
          <w:p w14:paraId="13D2EEF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5.XII</w:t>
            </w:r>
          </w:p>
        </w:tc>
        <w:tc>
          <w:tcPr>
            <w:tcW w:w="907" w:type="dxa"/>
          </w:tcPr>
          <w:p w14:paraId="1E26B32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10.XI</w:t>
            </w:r>
          </w:p>
        </w:tc>
        <w:tc>
          <w:tcPr>
            <w:tcW w:w="1679" w:type="dxa"/>
          </w:tcPr>
          <w:p w14:paraId="4DB4B4B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80</w:t>
            </w:r>
          </w:p>
        </w:tc>
        <w:tc>
          <w:tcPr>
            <w:tcW w:w="1164" w:type="dxa"/>
          </w:tcPr>
          <w:p w14:paraId="2884C0F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w:t>
            </w:r>
          </w:p>
        </w:tc>
        <w:tc>
          <w:tcPr>
            <w:tcW w:w="1274" w:type="dxa"/>
          </w:tcPr>
          <w:p w14:paraId="07ECB02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47859F9F" w14:textId="77777777" w:rsidTr="000D3BCB">
        <w:trPr>
          <w:jc w:val="center"/>
        </w:trPr>
        <w:tc>
          <w:tcPr>
            <w:tcW w:w="2791" w:type="dxa"/>
          </w:tcPr>
          <w:p w14:paraId="292807C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22 (Казань, з-д № 124)</w:t>
            </w:r>
          </w:p>
        </w:tc>
        <w:tc>
          <w:tcPr>
            <w:tcW w:w="2396" w:type="dxa"/>
          </w:tcPr>
          <w:p w14:paraId="7FBF969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Пе-2</w:t>
            </w:r>
          </w:p>
        </w:tc>
        <w:tc>
          <w:tcPr>
            <w:tcW w:w="1131" w:type="dxa"/>
          </w:tcPr>
          <w:p w14:paraId="7401004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1.XII</w:t>
            </w:r>
          </w:p>
        </w:tc>
        <w:tc>
          <w:tcPr>
            <w:tcW w:w="907" w:type="dxa"/>
          </w:tcPr>
          <w:p w14:paraId="6573E94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15.XI</w:t>
            </w:r>
          </w:p>
        </w:tc>
        <w:tc>
          <w:tcPr>
            <w:tcW w:w="1679" w:type="dxa"/>
          </w:tcPr>
          <w:p w14:paraId="2AC901A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125</w:t>
            </w:r>
          </w:p>
        </w:tc>
        <w:tc>
          <w:tcPr>
            <w:tcW w:w="1164" w:type="dxa"/>
          </w:tcPr>
          <w:p w14:paraId="7C51AB6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w:t>
            </w:r>
          </w:p>
        </w:tc>
        <w:tc>
          <w:tcPr>
            <w:tcW w:w="1274" w:type="dxa"/>
          </w:tcPr>
          <w:p w14:paraId="642A582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6E8A1FDE" w14:textId="77777777" w:rsidTr="000D3BCB">
        <w:trPr>
          <w:jc w:val="center"/>
        </w:trPr>
        <w:tc>
          <w:tcPr>
            <w:tcW w:w="2791" w:type="dxa"/>
          </w:tcPr>
          <w:p w14:paraId="6C49787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31 (Тбилиси)</w:t>
            </w:r>
          </w:p>
        </w:tc>
        <w:tc>
          <w:tcPr>
            <w:tcW w:w="2396" w:type="dxa"/>
          </w:tcPr>
          <w:p w14:paraId="599F680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Лагг-3</w:t>
            </w:r>
          </w:p>
        </w:tc>
        <w:tc>
          <w:tcPr>
            <w:tcW w:w="1131" w:type="dxa"/>
          </w:tcPr>
          <w:p w14:paraId="5367166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25.XI</w:t>
            </w:r>
          </w:p>
        </w:tc>
        <w:tc>
          <w:tcPr>
            <w:tcW w:w="907" w:type="dxa"/>
          </w:tcPr>
          <w:p w14:paraId="34D283C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24.XI</w:t>
            </w:r>
          </w:p>
        </w:tc>
        <w:tc>
          <w:tcPr>
            <w:tcW w:w="1679" w:type="dxa"/>
          </w:tcPr>
          <w:p w14:paraId="0B15F21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1164" w:type="dxa"/>
          </w:tcPr>
          <w:p w14:paraId="63F40CF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c>
          <w:tcPr>
            <w:tcW w:w="1274" w:type="dxa"/>
          </w:tcPr>
          <w:p w14:paraId="24A1CEE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10BC7C23" w14:textId="77777777" w:rsidTr="000D3BCB">
        <w:trPr>
          <w:jc w:val="center"/>
        </w:trPr>
        <w:tc>
          <w:tcPr>
            <w:tcW w:w="2791" w:type="dxa"/>
          </w:tcPr>
          <w:p w14:paraId="43F5863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39 (Иркутск, з-д № 125)</w:t>
            </w:r>
          </w:p>
        </w:tc>
        <w:tc>
          <w:tcPr>
            <w:tcW w:w="2396" w:type="dxa"/>
          </w:tcPr>
          <w:p w14:paraId="3D2A4AC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Пе-2</w:t>
            </w:r>
          </w:p>
        </w:tc>
        <w:tc>
          <w:tcPr>
            <w:tcW w:w="1131" w:type="dxa"/>
          </w:tcPr>
          <w:p w14:paraId="1A83EF5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15.XII</w:t>
            </w:r>
          </w:p>
        </w:tc>
        <w:tc>
          <w:tcPr>
            <w:tcW w:w="907" w:type="dxa"/>
          </w:tcPr>
          <w:p w14:paraId="5280B84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1.XII</w:t>
            </w:r>
          </w:p>
        </w:tc>
        <w:tc>
          <w:tcPr>
            <w:tcW w:w="1679" w:type="dxa"/>
          </w:tcPr>
          <w:p w14:paraId="2F2ABBC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72</w:t>
            </w:r>
          </w:p>
        </w:tc>
        <w:tc>
          <w:tcPr>
            <w:tcW w:w="1164" w:type="dxa"/>
          </w:tcPr>
          <w:p w14:paraId="1571E94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1274" w:type="dxa"/>
          </w:tcPr>
          <w:p w14:paraId="4E0E2C0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январь 1942 г.</w:t>
            </w:r>
          </w:p>
        </w:tc>
      </w:tr>
      <w:tr w:rsidR="00643896" w:rsidRPr="00640820" w14:paraId="55EACD33" w14:textId="77777777" w:rsidTr="000D3BCB">
        <w:trPr>
          <w:jc w:val="center"/>
        </w:trPr>
        <w:tc>
          <w:tcPr>
            <w:tcW w:w="2791" w:type="dxa"/>
          </w:tcPr>
          <w:p w14:paraId="29F311E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135 (Молотов)</w:t>
            </w:r>
          </w:p>
        </w:tc>
        <w:tc>
          <w:tcPr>
            <w:tcW w:w="2396" w:type="dxa"/>
          </w:tcPr>
          <w:p w14:paraId="6D026D7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Су-2</w:t>
            </w:r>
          </w:p>
        </w:tc>
        <w:tc>
          <w:tcPr>
            <w:tcW w:w="1131" w:type="dxa"/>
          </w:tcPr>
          <w:p w14:paraId="112E179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15.XI</w:t>
            </w:r>
          </w:p>
        </w:tc>
        <w:tc>
          <w:tcPr>
            <w:tcW w:w="907" w:type="dxa"/>
          </w:tcPr>
          <w:p w14:paraId="304BDFE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14.XI</w:t>
            </w:r>
          </w:p>
        </w:tc>
        <w:tc>
          <w:tcPr>
            <w:tcW w:w="1679" w:type="dxa"/>
          </w:tcPr>
          <w:p w14:paraId="69D8CDB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w:t>
            </w:r>
          </w:p>
        </w:tc>
        <w:tc>
          <w:tcPr>
            <w:tcW w:w="1164" w:type="dxa"/>
          </w:tcPr>
          <w:p w14:paraId="3D5A00C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c>
          <w:tcPr>
            <w:tcW w:w="1274" w:type="dxa"/>
          </w:tcPr>
          <w:p w14:paraId="40DC13A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декабрь</w:t>
            </w:r>
          </w:p>
        </w:tc>
      </w:tr>
      <w:tr w:rsidR="00643896" w:rsidRPr="00640820" w14:paraId="682035C2" w14:textId="77777777" w:rsidTr="000D3BCB">
        <w:trPr>
          <w:jc w:val="center"/>
        </w:trPr>
        <w:tc>
          <w:tcPr>
            <w:tcW w:w="2791" w:type="dxa"/>
          </w:tcPr>
          <w:p w14:paraId="2BCF0E1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301 (Новосибирск, в составе з-да № 153)</w:t>
            </w:r>
          </w:p>
        </w:tc>
        <w:tc>
          <w:tcPr>
            <w:tcW w:w="2396" w:type="dxa"/>
          </w:tcPr>
          <w:p w14:paraId="415B9BA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Як-1</w:t>
            </w:r>
          </w:p>
        </w:tc>
        <w:tc>
          <w:tcPr>
            <w:tcW w:w="1131" w:type="dxa"/>
          </w:tcPr>
          <w:p w14:paraId="726E808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25.XI</w:t>
            </w:r>
          </w:p>
        </w:tc>
        <w:tc>
          <w:tcPr>
            <w:tcW w:w="907" w:type="dxa"/>
          </w:tcPr>
          <w:p w14:paraId="14466DE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21.XI</w:t>
            </w:r>
          </w:p>
        </w:tc>
        <w:tc>
          <w:tcPr>
            <w:tcW w:w="1679" w:type="dxa"/>
          </w:tcPr>
          <w:p w14:paraId="6CF1FD5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1164" w:type="dxa"/>
          </w:tcPr>
          <w:p w14:paraId="1A900F8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1274" w:type="dxa"/>
          </w:tcPr>
          <w:p w14:paraId="23B1694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4320BDD3" w14:textId="77777777" w:rsidTr="000D3BCB">
        <w:trPr>
          <w:jc w:val="center"/>
        </w:trPr>
        <w:tc>
          <w:tcPr>
            <w:tcW w:w="2791" w:type="dxa"/>
          </w:tcPr>
          <w:p w14:paraId="36BB4E6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84 (Ташкент)</w:t>
            </w:r>
          </w:p>
        </w:tc>
        <w:tc>
          <w:tcPr>
            <w:tcW w:w="2396" w:type="dxa"/>
          </w:tcPr>
          <w:p w14:paraId="4ABCD4E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ПС-84</w:t>
            </w:r>
          </w:p>
        </w:tc>
        <w:tc>
          <w:tcPr>
            <w:tcW w:w="1131" w:type="dxa"/>
          </w:tcPr>
          <w:p w14:paraId="4941C22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15.XII</w:t>
            </w:r>
          </w:p>
        </w:tc>
        <w:tc>
          <w:tcPr>
            <w:tcW w:w="907" w:type="dxa"/>
          </w:tcPr>
          <w:p w14:paraId="7AC1DFC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20.XII</w:t>
            </w:r>
          </w:p>
        </w:tc>
        <w:tc>
          <w:tcPr>
            <w:tcW w:w="1679" w:type="dxa"/>
          </w:tcPr>
          <w:p w14:paraId="7AB3BDE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64" w:type="dxa"/>
          </w:tcPr>
          <w:p w14:paraId="5C89E9B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декаду 5</w:t>
            </w:r>
          </w:p>
        </w:tc>
        <w:tc>
          <w:tcPr>
            <w:tcW w:w="1274" w:type="dxa"/>
          </w:tcPr>
          <w:p w14:paraId="31D7E95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январь 1942 г.</w:t>
            </w:r>
          </w:p>
        </w:tc>
      </w:tr>
      <w:tr w:rsidR="00643896" w:rsidRPr="00640820" w14:paraId="7698FEB8" w14:textId="77777777" w:rsidTr="000D3BCB">
        <w:trPr>
          <w:jc w:val="center"/>
        </w:trPr>
        <w:tc>
          <w:tcPr>
            <w:tcW w:w="2791" w:type="dxa"/>
          </w:tcPr>
          <w:p w14:paraId="5A1F191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458 (Баку)</w:t>
            </w:r>
          </w:p>
        </w:tc>
        <w:tc>
          <w:tcPr>
            <w:tcW w:w="2396" w:type="dxa"/>
          </w:tcPr>
          <w:p w14:paraId="7612BEE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УТИ-4</w:t>
            </w:r>
          </w:p>
        </w:tc>
        <w:tc>
          <w:tcPr>
            <w:tcW w:w="1131" w:type="dxa"/>
          </w:tcPr>
          <w:p w14:paraId="48338B0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1.XII</w:t>
            </w:r>
          </w:p>
        </w:tc>
        <w:tc>
          <w:tcPr>
            <w:tcW w:w="907" w:type="dxa"/>
          </w:tcPr>
          <w:p w14:paraId="7C6A3C6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21.XI</w:t>
            </w:r>
          </w:p>
        </w:tc>
        <w:tc>
          <w:tcPr>
            <w:tcW w:w="1679" w:type="dxa"/>
          </w:tcPr>
          <w:p w14:paraId="129CFF1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1164" w:type="dxa"/>
          </w:tcPr>
          <w:p w14:paraId="2BF3A30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1274" w:type="dxa"/>
          </w:tcPr>
          <w:p w14:paraId="3CC1EC7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1309CA1C" w14:textId="77777777" w:rsidTr="000D3BCB">
        <w:trPr>
          <w:jc w:val="center"/>
        </w:trPr>
        <w:tc>
          <w:tcPr>
            <w:tcW w:w="11342" w:type="dxa"/>
            <w:gridSpan w:val="7"/>
          </w:tcPr>
          <w:p w14:paraId="6670DE3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б) </w:t>
            </w:r>
            <w:r w:rsidRPr="00640820">
              <w:rPr>
                <w:rFonts w:ascii="Times New Roman" w:hAnsi="Times New Roman"/>
                <w:color w:val="000000" w:themeColor="text1"/>
                <w:sz w:val="16"/>
                <w:szCs w:val="16"/>
                <w:u w:val="single"/>
              </w:rPr>
              <w:t>по моторам</w:t>
            </w:r>
          </w:p>
        </w:tc>
      </w:tr>
      <w:tr w:rsidR="00643896" w:rsidRPr="00640820" w14:paraId="6F3FCF3E" w14:textId="77777777" w:rsidTr="000D3BCB">
        <w:trPr>
          <w:jc w:val="center"/>
        </w:trPr>
        <w:tc>
          <w:tcPr>
            <w:tcW w:w="2791" w:type="dxa"/>
          </w:tcPr>
          <w:p w14:paraId="799B5DC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16 (Казань, з-д № 27)</w:t>
            </w:r>
          </w:p>
        </w:tc>
        <w:tc>
          <w:tcPr>
            <w:tcW w:w="2396" w:type="dxa"/>
          </w:tcPr>
          <w:p w14:paraId="586876D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М-105Р</w:t>
            </w:r>
          </w:p>
        </w:tc>
        <w:tc>
          <w:tcPr>
            <w:tcW w:w="1131" w:type="dxa"/>
          </w:tcPr>
          <w:p w14:paraId="3AA3620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1.XII</w:t>
            </w:r>
          </w:p>
        </w:tc>
        <w:tc>
          <w:tcPr>
            <w:tcW w:w="907" w:type="dxa"/>
          </w:tcPr>
          <w:p w14:paraId="28F49D8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10.XI</w:t>
            </w:r>
          </w:p>
        </w:tc>
        <w:tc>
          <w:tcPr>
            <w:tcW w:w="1679" w:type="dxa"/>
          </w:tcPr>
          <w:p w14:paraId="4B4C2EF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355</w:t>
            </w:r>
          </w:p>
        </w:tc>
        <w:tc>
          <w:tcPr>
            <w:tcW w:w="1164" w:type="dxa"/>
          </w:tcPr>
          <w:p w14:paraId="44B29B4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1274" w:type="dxa"/>
          </w:tcPr>
          <w:p w14:paraId="12FC2C6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декабрь</w:t>
            </w:r>
          </w:p>
        </w:tc>
      </w:tr>
      <w:tr w:rsidR="00643896" w:rsidRPr="00640820" w14:paraId="000FA44F" w14:textId="77777777" w:rsidTr="000D3BCB">
        <w:trPr>
          <w:jc w:val="center"/>
        </w:trPr>
        <w:tc>
          <w:tcPr>
            <w:tcW w:w="2791" w:type="dxa"/>
          </w:tcPr>
          <w:p w14:paraId="7DFE725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24 (Куйбышев)</w:t>
            </w:r>
          </w:p>
        </w:tc>
        <w:tc>
          <w:tcPr>
            <w:tcW w:w="2396" w:type="dxa"/>
          </w:tcPr>
          <w:p w14:paraId="25752DF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АМ-35А</w:t>
            </w:r>
          </w:p>
        </w:tc>
        <w:tc>
          <w:tcPr>
            <w:tcW w:w="1131" w:type="dxa"/>
          </w:tcPr>
          <w:p w14:paraId="1B71967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1.XII</w:t>
            </w:r>
          </w:p>
        </w:tc>
        <w:tc>
          <w:tcPr>
            <w:tcW w:w="907" w:type="dxa"/>
          </w:tcPr>
          <w:p w14:paraId="6FA6AB2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ноябрь</w:t>
            </w:r>
          </w:p>
        </w:tc>
        <w:tc>
          <w:tcPr>
            <w:tcW w:w="1679" w:type="dxa"/>
          </w:tcPr>
          <w:p w14:paraId="6801A38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105</w:t>
            </w:r>
          </w:p>
        </w:tc>
        <w:tc>
          <w:tcPr>
            <w:tcW w:w="1164" w:type="dxa"/>
          </w:tcPr>
          <w:p w14:paraId="21EC601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c>
          <w:tcPr>
            <w:tcW w:w="1274" w:type="dxa"/>
          </w:tcPr>
          <w:p w14:paraId="042E521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январь 1942 г.</w:t>
            </w:r>
          </w:p>
        </w:tc>
      </w:tr>
      <w:tr w:rsidR="00643896" w:rsidRPr="00640820" w14:paraId="7068B131" w14:textId="77777777" w:rsidTr="000D3BCB">
        <w:trPr>
          <w:jc w:val="center"/>
        </w:trPr>
        <w:tc>
          <w:tcPr>
            <w:tcW w:w="2791" w:type="dxa"/>
          </w:tcPr>
          <w:p w14:paraId="731F1269" w14:textId="77777777" w:rsidR="00165A9C" w:rsidRPr="00640820" w:rsidRDefault="00165A9C" w:rsidP="00640820">
            <w:pPr>
              <w:spacing w:after="0" w:line="240" w:lineRule="auto"/>
              <w:jc w:val="both"/>
              <w:rPr>
                <w:rFonts w:ascii="Times New Roman" w:hAnsi="Times New Roman"/>
                <w:color w:val="000000" w:themeColor="text1"/>
                <w:sz w:val="16"/>
                <w:szCs w:val="16"/>
              </w:rPr>
            </w:pPr>
          </w:p>
        </w:tc>
        <w:tc>
          <w:tcPr>
            <w:tcW w:w="2396" w:type="dxa"/>
          </w:tcPr>
          <w:p w14:paraId="0A122A5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АМ-37</w:t>
            </w:r>
          </w:p>
        </w:tc>
        <w:tc>
          <w:tcPr>
            <w:tcW w:w="1131" w:type="dxa"/>
          </w:tcPr>
          <w:p w14:paraId="75EE9415" w14:textId="77777777" w:rsidR="00165A9C" w:rsidRPr="00640820" w:rsidRDefault="00165A9C" w:rsidP="00640820">
            <w:pPr>
              <w:spacing w:after="0" w:line="240" w:lineRule="auto"/>
              <w:jc w:val="both"/>
              <w:rPr>
                <w:rFonts w:ascii="Times New Roman" w:hAnsi="Times New Roman"/>
                <w:color w:val="000000" w:themeColor="text1"/>
                <w:sz w:val="16"/>
                <w:szCs w:val="16"/>
              </w:rPr>
            </w:pPr>
          </w:p>
        </w:tc>
        <w:tc>
          <w:tcPr>
            <w:tcW w:w="907" w:type="dxa"/>
          </w:tcPr>
          <w:p w14:paraId="5CB3D2FA" w14:textId="77777777" w:rsidR="00165A9C" w:rsidRPr="00640820" w:rsidRDefault="00165A9C" w:rsidP="00640820">
            <w:pPr>
              <w:spacing w:after="0" w:line="240" w:lineRule="auto"/>
              <w:jc w:val="both"/>
              <w:rPr>
                <w:rFonts w:ascii="Times New Roman" w:hAnsi="Times New Roman"/>
                <w:color w:val="000000" w:themeColor="text1"/>
                <w:sz w:val="16"/>
                <w:szCs w:val="16"/>
              </w:rPr>
            </w:pPr>
          </w:p>
        </w:tc>
        <w:tc>
          <w:tcPr>
            <w:tcW w:w="1679" w:type="dxa"/>
          </w:tcPr>
          <w:p w14:paraId="79B1A9A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64" w:type="dxa"/>
          </w:tcPr>
          <w:p w14:paraId="2FC5FD3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1274" w:type="dxa"/>
          </w:tcPr>
          <w:p w14:paraId="598F7AD9" w14:textId="77777777" w:rsidR="00165A9C" w:rsidRPr="00640820" w:rsidRDefault="00165A9C" w:rsidP="00640820">
            <w:pPr>
              <w:spacing w:after="0" w:line="240" w:lineRule="auto"/>
              <w:jc w:val="both"/>
              <w:rPr>
                <w:rFonts w:ascii="Times New Roman" w:hAnsi="Times New Roman"/>
                <w:color w:val="000000" w:themeColor="text1"/>
                <w:sz w:val="16"/>
                <w:szCs w:val="16"/>
              </w:rPr>
            </w:pPr>
          </w:p>
        </w:tc>
      </w:tr>
      <w:tr w:rsidR="00643896" w:rsidRPr="00640820" w14:paraId="22CA0C0F" w14:textId="77777777" w:rsidTr="000D3BCB">
        <w:trPr>
          <w:jc w:val="center"/>
        </w:trPr>
        <w:tc>
          <w:tcPr>
            <w:tcW w:w="2791" w:type="dxa"/>
          </w:tcPr>
          <w:p w14:paraId="7B62A73F" w14:textId="77777777" w:rsidR="00165A9C" w:rsidRPr="00640820" w:rsidRDefault="00165A9C" w:rsidP="00640820">
            <w:pPr>
              <w:spacing w:after="0" w:line="240" w:lineRule="auto"/>
              <w:jc w:val="both"/>
              <w:rPr>
                <w:rFonts w:ascii="Times New Roman" w:hAnsi="Times New Roman"/>
                <w:color w:val="000000" w:themeColor="text1"/>
                <w:sz w:val="16"/>
                <w:szCs w:val="16"/>
              </w:rPr>
            </w:pPr>
          </w:p>
        </w:tc>
        <w:tc>
          <w:tcPr>
            <w:tcW w:w="2396" w:type="dxa"/>
          </w:tcPr>
          <w:p w14:paraId="12B7253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АМ-38</w:t>
            </w:r>
          </w:p>
        </w:tc>
        <w:tc>
          <w:tcPr>
            <w:tcW w:w="1131" w:type="dxa"/>
          </w:tcPr>
          <w:p w14:paraId="171C2054" w14:textId="77777777" w:rsidR="00165A9C" w:rsidRPr="00640820" w:rsidRDefault="00165A9C" w:rsidP="00640820">
            <w:pPr>
              <w:spacing w:after="0" w:line="240" w:lineRule="auto"/>
              <w:jc w:val="both"/>
              <w:rPr>
                <w:rFonts w:ascii="Times New Roman" w:hAnsi="Times New Roman"/>
                <w:color w:val="000000" w:themeColor="text1"/>
                <w:sz w:val="16"/>
                <w:szCs w:val="16"/>
              </w:rPr>
            </w:pPr>
          </w:p>
        </w:tc>
        <w:tc>
          <w:tcPr>
            <w:tcW w:w="907" w:type="dxa"/>
          </w:tcPr>
          <w:p w14:paraId="2D10EC77" w14:textId="77777777" w:rsidR="00165A9C" w:rsidRPr="00640820" w:rsidRDefault="00165A9C" w:rsidP="00640820">
            <w:pPr>
              <w:spacing w:after="0" w:line="240" w:lineRule="auto"/>
              <w:jc w:val="both"/>
              <w:rPr>
                <w:rFonts w:ascii="Times New Roman" w:hAnsi="Times New Roman"/>
                <w:color w:val="000000" w:themeColor="text1"/>
                <w:sz w:val="16"/>
                <w:szCs w:val="16"/>
              </w:rPr>
            </w:pPr>
          </w:p>
        </w:tc>
        <w:tc>
          <w:tcPr>
            <w:tcW w:w="1679" w:type="dxa"/>
          </w:tcPr>
          <w:p w14:paraId="7D4C62A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210</w:t>
            </w:r>
          </w:p>
        </w:tc>
        <w:tc>
          <w:tcPr>
            <w:tcW w:w="1164" w:type="dxa"/>
          </w:tcPr>
          <w:p w14:paraId="767271B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w:t>
            </w:r>
          </w:p>
        </w:tc>
        <w:tc>
          <w:tcPr>
            <w:tcW w:w="1274" w:type="dxa"/>
          </w:tcPr>
          <w:p w14:paraId="1F809468" w14:textId="77777777" w:rsidR="00165A9C" w:rsidRPr="00640820" w:rsidRDefault="00165A9C" w:rsidP="00640820">
            <w:pPr>
              <w:spacing w:after="0" w:line="240" w:lineRule="auto"/>
              <w:jc w:val="both"/>
              <w:rPr>
                <w:rFonts w:ascii="Times New Roman" w:hAnsi="Times New Roman"/>
                <w:color w:val="000000" w:themeColor="text1"/>
                <w:sz w:val="16"/>
                <w:szCs w:val="16"/>
              </w:rPr>
            </w:pPr>
          </w:p>
        </w:tc>
      </w:tr>
      <w:tr w:rsidR="00643896" w:rsidRPr="00640820" w14:paraId="5E706E2A" w14:textId="77777777" w:rsidTr="000D3BCB">
        <w:trPr>
          <w:jc w:val="center"/>
        </w:trPr>
        <w:tc>
          <w:tcPr>
            <w:tcW w:w="2791" w:type="dxa"/>
          </w:tcPr>
          <w:p w14:paraId="3C3D70B8" w14:textId="77777777" w:rsidR="00165A9C" w:rsidRPr="00640820" w:rsidRDefault="00165A9C" w:rsidP="00640820">
            <w:pPr>
              <w:spacing w:after="0" w:line="240" w:lineRule="auto"/>
              <w:jc w:val="both"/>
              <w:rPr>
                <w:rFonts w:ascii="Times New Roman" w:hAnsi="Times New Roman"/>
                <w:color w:val="000000" w:themeColor="text1"/>
                <w:sz w:val="16"/>
                <w:szCs w:val="16"/>
              </w:rPr>
            </w:pPr>
          </w:p>
        </w:tc>
        <w:tc>
          <w:tcPr>
            <w:tcW w:w="2396" w:type="dxa"/>
          </w:tcPr>
          <w:p w14:paraId="1C1A117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ГАМ</w:t>
            </w:r>
          </w:p>
        </w:tc>
        <w:tc>
          <w:tcPr>
            <w:tcW w:w="1131" w:type="dxa"/>
          </w:tcPr>
          <w:p w14:paraId="2F1C0AA5" w14:textId="77777777" w:rsidR="00165A9C" w:rsidRPr="00640820" w:rsidRDefault="00165A9C" w:rsidP="00640820">
            <w:pPr>
              <w:spacing w:after="0" w:line="240" w:lineRule="auto"/>
              <w:jc w:val="both"/>
              <w:rPr>
                <w:rFonts w:ascii="Times New Roman" w:hAnsi="Times New Roman"/>
                <w:color w:val="000000" w:themeColor="text1"/>
                <w:sz w:val="16"/>
                <w:szCs w:val="16"/>
              </w:rPr>
            </w:pPr>
          </w:p>
        </w:tc>
        <w:tc>
          <w:tcPr>
            <w:tcW w:w="907" w:type="dxa"/>
          </w:tcPr>
          <w:p w14:paraId="61D139AD" w14:textId="77777777" w:rsidR="00165A9C" w:rsidRPr="00640820" w:rsidRDefault="00165A9C" w:rsidP="00640820">
            <w:pPr>
              <w:spacing w:after="0" w:line="240" w:lineRule="auto"/>
              <w:jc w:val="both"/>
              <w:rPr>
                <w:rFonts w:ascii="Times New Roman" w:hAnsi="Times New Roman"/>
                <w:color w:val="000000" w:themeColor="text1"/>
                <w:sz w:val="16"/>
                <w:szCs w:val="16"/>
              </w:rPr>
            </w:pPr>
          </w:p>
        </w:tc>
        <w:tc>
          <w:tcPr>
            <w:tcW w:w="1679" w:type="dxa"/>
          </w:tcPr>
          <w:p w14:paraId="329E849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1164" w:type="dxa"/>
          </w:tcPr>
          <w:p w14:paraId="0651F13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1274" w:type="dxa"/>
          </w:tcPr>
          <w:p w14:paraId="109FD30E" w14:textId="77777777" w:rsidR="00165A9C" w:rsidRPr="00640820" w:rsidRDefault="00165A9C" w:rsidP="00640820">
            <w:pPr>
              <w:spacing w:after="0" w:line="240" w:lineRule="auto"/>
              <w:jc w:val="both"/>
              <w:rPr>
                <w:rFonts w:ascii="Times New Roman" w:hAnsi="Times New Roman"/>
                <w:color w:val="000000" w:themeColor="text1"/>
                <w:sz w:val="16"/>
                <w:szCs w:val="16"/>
              </w:rPr>
            </w:pPr>
          </w:p>
        </w:tc>
      </w:tr>
      <w:tr w:rsidR="00643896" w:rsidRPr="00640820" w14:paraId="7734508A" w14:textId="77777777" w:rsidTr="000D3BCB">
        <w:trPr>
          <w:jc w:val="center"/>
        </w:trPr>
        <w:tc>
          <w:tcPr>
            <w:tcW w:w="2791" w:type="dxa"/>
          </w:tcPr>
          <w:p w14:paraId="1A3F364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26 (Уфа)</w:t>
            </w:r>
          </w:p>
        </w:tc>
        <w:tc>
          <w:tcPr>
            <w:tcW w:w="2396" w:type="dxa"/>
          </w:tcPr>
          <w:p w14:paraId="0612D0D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М-105П</w:t>
            </w:r>
          </w:p>
        </w:tc>
        <w:tc>
          <w:tcPr>
            <w:tcW w:w="1131" w:type="dxa"/>
          </w:tcPr>
          <w:p w14:paraId="1AE16ED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15.I-42г.</w:t>
            </w:r>
          </w:p>
        </w:tc>
        <w:tc>
          <w:tcPr>
            <w:tcW w:w="907" w:type="dxa"/>
          </w:tcPr>
          <w:p w14:paraId="556504B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янв.42г.</w:t>
            </w:r>
          </w:p>
        </w:tc>
        <w:tc>
          <w:tcPr>
            <w:tcW w:w="1679" w:type="dxa"/>
          </w:tcPr>
          <w:p w14:paraId="1F71E00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500 (совместно с заводом № 384)</w:t>
            </w:r>
          </w:p>
        </w:tc>
        <w:tc>
          <w:tcPr>
            <w:tcW w:w="1164" w:type="dxa"/>
          </w:tcPr>
          <w:p w14:paraId="6EAD462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w:t>
            </w:r>
          </w:p>
        </w:tc>
        <w:tc>
          <w:tcPr>
            <w:tcW w:w="1274" w:type="dxa"/>
          </w:tcPr>
          <w:p w14:paraId="086A75C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февр.42г.</w:t>
            </w:r>
          </w:p>
        </w:tc>
      </w:tr>
      <w:tr w:rsidR="00643896" w:rsidRPr="00640820" w14:paraId="5D39AA4F" w14:textId="77777777" w:rsidTr="000D3BCB">
        <w:trPr>
          <w:jc w:val="center"/>
        </w:trPr>
        <w:tc>
          <w:tcPr>
            <w:tcW w:w="2791" w:type="dxa"/>
          </w:tcPr>
          <w:p w14:paraId="2D02BFC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29 (Омск)</w:t>
            </w:r>
          </w:p>
        </w:tc>
        <w:tc>
          <w:tcPr>
            <w:tcW w:w="2396" w:type="dxa"/>
          </w:tcPr>
          <w:p w14:paraId="5D83589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М-88</w:t>
            </w:r>
          </w:p>
        </w:tc>
        <w:tc>
          <w:tcPr>
            <w:tcW w:w="1131" w:type="dxa"/>
          </w:tcPr>
          <w:p w14:paraId="12EB181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20.XI</w:t>
            </w:r>
          </w:p>
        </w:tc>
        <w:tc>
          <w:tcPr>
            <w:tcW w:w="907" w:type="dxa"/>
          </w:tcPr>
          <w:p w14:paraId="6006EAE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ноябрь</w:t>
            </w:r>
          </w:p>
        </w:tc>
        <w:tc>
          <w:tcPr>
            <w:tcW w:w="1679" w:type="dxa"/>
          </w:tcPr>
          <w:p w14:paraId="046EE95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150</w:t>
            </w:r>
          </w:p>
        </w:tc>
        <w:tc>
          <w:tcPr>
            <w:tcW w:w="1164" w:type="dxa"/>
          </w:tcPr>
          <w:p w14:paraId="2DF9F89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w:t>
            </w:r>
          </w:p>
        </w:tc>
        <w:tc>
          <w:tcPr>
            <w:tcW w:w="1274" w:type="dxa"/>
          </w:tcPr>
          <w:p w14:paraId="69C2476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декабрь</w:t>
            </w:r>
          </w:p>
        </w:tc>
      </w:tr>
      <w:tr w:rsidR="00643896" w:rsidRPr="00640820" w14:paraId="0880CBAD" w14:textId="77777777" w:rsidTr="000D3BCB">
        <w:trPr>
          <w:jc w:val="center"/>
        </w:trPr>
        <w:tc>
          <w:tcPr>
            <w:tcW w:w="2791" w:type="dxa"/>
          </w:tcPr>
          <w:p w14:paraId="08477085" w14:textId="77777777" w:rsidR="00165A9C" w:rsidRPr="00640820" w:rsidRDefault="00165A9C" w:rsidP="00640820">
            <w:pPr>
              <w:spacing w:after="0" w:line="240" w:lineRule="auto"/>
              <w:jc w:val="both"/>
              <w:rPr>
                <w:rFonts w:ascii="Times New Roman" w:hAnsi="Times New Roman"/>
                <w:color w:val="000000" w:themeColor="text1"/>
                <w:sz w:val="16"/>
                <w:szCs w:val="16"/>
              </w:rPr>
            </w:pPr>
          </w:p>
        </w:tc>
        <w:tc>
          <w:tcPr>
            <w:tcW w:w="2396" w:type="dxa"/>
          </w:tcPr>
          <w:p w14:paraId="37B44D4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М-89</w:t>
            </w:r>
          </w:p>
        </w:tc>
        <w:tc>
          <w:tcPr>
            <w:tcW w:w="1131" w:type="dxa"/>
          </w:tcPr>
          <w:p w14:paraId="1B06322E" w14:textId="77777777" w:rsidR="00165A9C" w:rsidRPr="00640820" w:rsidRDefault="00165A9C" w:rsidP="00640820">
            <w:pPr>
              <w:spacing w:after="0" w:line="240" w:lineRule="auto"/>
              <w:jc w:val="both"/>
              <w:rPr>
                <w:rFonts w:ascii="Times New Roman" w:hAnsi="Times New Roman"/>
                <w:color w:val="000000" w:themeColor="text1"/>
                <w:sz w:val="16"/>
                <w:szCs w:val="16"/>
              </w:rPr>
            </w:pPr>
          </w:p>
        </w:tc>
        <w:tc>
          <w:tcPr>
            <w:tcW w:w="907" w:type="dxa"/>
          </w:tcPr>
          <w:p w14:paraId="57BFD2D2" w14:textId="77777777" w:rsidR="00165A9C" w:rsidRPr="00640820" w:rsidRDefault="00165A9C" w:rsidP="00640820">
            <w:pPr>
              <w:spacing w:after="0" w:line="240" w:lineRule="auto"/>
              <w:jc w:val="both"/>
              <w:rPr>
                <w:rFonts w:ascii="Times New Roman" w:hAnsi="Times New Roman"/>
                <w:color w:val="000000" w:themeColor="text1"/>
                <w:sz w:val="16"/>
                <w:szCs w:val="16"/>
              </w:rPr>
            </w:pPr>
          </w:p>
        </w:tc>
        <w:tc>
          <w:tcPr>
            <w:tcW w:w="1679" w:type="dxa"/>
          </w:tcPr>
          <w:p w14:paraId="7507A06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64" w:type="dxa"/>
          </w:tcPr>
          <w:p w14:paraId="40A1484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74" w:type="dxa"/>
          </w:tcPr>
          <w:p w14:paraId="065F13A1" w14:textId="77777777" w:rsidR="00165A9C" w:rsidRPr="00640820" w:rsidRDefault="00165A9C" w:rsidP="00640820">
            <w:pPr>
              <w:spacing w:after="0" w:line="240" w:lineRule="auto"/>
              <w:jc w:val="both"/>
              <w:rPr>
                <w:rFonts w:ascii="Times New Roman" w:hAnsi="Times New Roman"/>
                <w:color w:val="000000" w:themeColor="text1"/>
                <w:sz w:val="16"/>
                <w:szCs w:val="16"/>
              </w:rPr>
            </w:pPr>
          </w:p>
        </w:tc>
      </w:tr>
      <w:tr w:rsidR="00643896" w:rsidRPr="00640820" w14:paraId="0D2CC60D" w14:textId="77777777" w:rsidTr="000D3BCB">
        <w:trPr>
          <w:jc w:val="center"/>
        </w:trPr>
        <w:tc>
          <w:tcPr>
            <w:tcW w:w="2791" w:type="dxa"/>
          </w:tcPr>
          <w:p w14:paraId="50126A9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154 (Андижан)</w:t>
            </w:r>
          </w:p>
        </w:tc>
        <w:tc>
          <w:tcPr>
            <w:tcW w:w="2396" w:type="dxa"/>
          </w:tcPr>
          <w:p w14:paraId="6D8EF16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М-11</w:t>
            </w:r>
          </w:p>
        </w:tc>
        <w:tc>
          <w:tcPr>
            <w:tcW w:w="1131" w:type="dxa"/>
          </w:tcPr>
          <w:p w14:paraId="1FD0B7A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1.I-42г.</w:t>
            </w:r>
          </w:p>
        </w:tc>
        <w:tc>
          <w:tcPr>
            <w:tcW w:w="907" w:type="dxa"/>
          </w:tcPr>
          <w:p w14:paraId="2521EEB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679" w:type="dxa"/>
          </w:tcPr>
          <w:p w14:paraId="21CF97A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75</w:t>
            </w:r>
          </w:p>
        </w:tc>
        <w:tc>
          <w:tcPr>
            <w:tcW w:w="1164" w:type="dxa"/>
          </w:tcPr>
          <w:p w14:paraId="33FAC6B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150</w:t>
            </w:r>
          </w:p>
        </w:tc>
        <w:tc>
          <w:tcPr>
            <w:tcW w:w="1274" w:type="dxa"/>
          </w:tcPr>
          <w:p w14:paraId="36A5AEB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1.II-42г.</w:t>
            </w:r>
          </w:p>
        </w:tc>
      </w:tr>
      <w:tr w:rsidR="00643896" w:rsidRPr="00640820" w14:paraId="3F5FB7AB" w14:textId="77777777" w:rsidTr="000D3BCB">
        <w:trPr>
          <w:jc w:val="center"/>
        </w:trPr>
        <w:tc>
          <w:tcPr>
            <w:tcW w:w="11342" w:type="dxa"/>
            <w:gridSpan w:val="7"/>
          </w:tcPr>
          <w:p w14:paraId="09B6A83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w:t>
            </w:r>
            <w:r w:rsidRPr="00640820">
              <w:rPr>
                <w:rFonts w:ascii="Times New Roman" w:hAnsi="Times New Roman"/>
                <w:color w:val="000000" w:themeColor="text1"/>
                <w:sz w:val="16"/>
                <w:szCs w:val="16"/>
                <w:u w:val="single"/>
              </w:rPr>
              <w:t>по агрегатам и авиавооружению</w:t>
            </w:r>
          </w:p>
        </w:tc>
      </w:tr>
      <w:tr w:rsidR="00643896" w:rsidRPr="00640820" w14:paraId="19F51C63" w14:textId="77777777" w:rsidTr="000D3BCB">
        <w:trPr>
          <w:jc w:val="center"/>
        </w:trPr>
        <w:tc>
          <w:tcPr>
            <w:tcW w:w="2791" w:type="dxa"/>
          </w:tcPr>
          <w:p w14:paraId="561600B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28 (Свердловск, з-д № 493)</w:t>
            </w:r>
          </w:p>
        </w:tc>
        <w:tc>
          <w:tcPr>
            <w:tcW w:w="2396" w:type="dxa"/>
          </w:tcPr>
          <w:p w14:paraId="25269EB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Винты</w:t>
            </w:r>
          </w:p>
        </w:tc>
        <w:tc>
          <w:tcPr>
            <w:tcW w:w="1131" w:type="dxa"/>
          </w:tcPr>
          <w:p w14:paraId="55A470D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10.XII</w:t>
            </w:r>
          </w:p>
        </w:tc>
        <w:tc>
          <w:tcPr>
            <w:tcW w:w="907" w:type="dxa"/>
          </w:tcPr>
          <w:p w14:paraId="208A643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16.XI</w:t>
            </w:r>
          </w:p>
        </w:tc>
        <w:tc>
          <w:tcPr>
            <w:tcW w:w="1679" w:type="dxa"/>
          </w:tcPr>
          <w:p w14:paraId="78345A7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64" w:type="dxa"/>
          </w:tcPr>
          <w:p w14:paraId="0B7F6D1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74" w:type="dxa"/>
          </w:tcPr>
          <w:p w14:paraId="3287AC9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1.I-42г.</w:t>
            </w:r>
          </w:p>
        </w:tc>
      </w:tr>
      <w:tr w:rsidR="00643896" w:rsidRPr="00640820" w14:paraId="21A99EAE" w14:textId="77777777" w:rsidTr="000D3BCB">
        <w:trPr>
          <w:jc w:val="center"/>
        </w:trPr>
        <w:tc>
          <w:tcPr>
            <w:tcW w:w="2791" w:type="dxa"/>
          </w:tcPr>
          <w:p w14:paraId="6B4EBB4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35 (Куйбышев)</w:t>
            </w:r>
          </w:p>
        </w:tc>
        <w:tc>
          <w:tcPr>
            <w:tcW w:w="2396" w:type="dxa"/>
          </w:tcPr>
          <w:p w14:paraId="4673B7A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Винты</w:t>
            </w:r>
          </w:p>
        </w:tc>
        <w:tc>
          <w:tcPr>
            <w:tcW w:w="1131" w:type="dxa"/>
          </w:tcPr>
          <w:p w14:paraId="6058B31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5.XII</w:t>
            </w:r>
          </w:p>
        </w:tc>
        <w:tc>
          <w:tcPr>
            <w:tcW w:w="907" w:type="dxa"/>
          </w:tcPr>
          <w:p w14:paraId="45DA7E9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16.XI</w:t>
            </w:r>
          </w:p>
        </w:tc>
        <w:tc>
          <w:tcPr>
            <w:tcW w:w="1679" w:type="dxa"/>
          </w:tcPr>
          <w:p w14:paraId="6A3885B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64" w:type="dxa"/>
          </w:tcPr>
          <w:p w14:paraId="156F4D5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74" w:type="dxa"/>
          </w:tcPr>
          <w:p w14:paraId="69F61C5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7C67FBAA" w14:textId="77777777" w:rsidTr="000D3BCB">
        <w:trPr>
          <w:jc w:val="center"/>
        </w:trPr>
        <w:tc>
          <w:tcPr>
            <w:tcW w:w="2791" w:type="dxa"/>
          </w:tcPr>
          <w:p w14:paraId="03393CB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32 (Киров, з-д № 315)</w:t>
            </w:r>
          </w:p>
        </w:tc>
        <w:tc>
          <w:tcPr>
            <w:tcW w:w="2396" w:type="dxa"/>
          </w:tcPr>
          <w:p w14:paraId="45DB51E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Стрелковое и бомбардировочное вооружение</w:t>
            </w:r>
          </w:p>
        </w:tc>
        <w:tc>
          <w:tcPr>
            <w:tcW w:w="1131" w:type="dxa"/>
          </w:tcPr>
          <w:p w14:paraId="09E317A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1.XII</w:t>
            </w:r>
          </w:p>
        </w:tc>
        <w:tc>
          <w:tcPr>
            <w:tcW w:w="907" w:type="dxa"/>
          </w:tcPr>
          <w:p w14:paraId="680FBD6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10.XI</w:t>
            </w:r>
          </w:p>
        </w:tc>
        <w:tc>
          <w:tcPr>
            <w:tcW w:w="1679" w:type="dxa"/>
          </w:tcPr>
          <w:p w14:paraId="3EE31BA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64" w:type="dxa"/>
          </w:tcPr>
          <w:p w14:paraId="29A87E5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74" w:type="dxa"/>
          </w:tcPr>
          <w:p w14:paraId="400434B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15.XII</w:t>
            </w:r>
          </w:p>
        </w:tc>
      </w:tr>
      <w:tr w:rsidR="00643896" w:rsidRPr="00640820" w14:paraId="41079921" w14:textId="77777777" w:rsidTr="000D3BCB">
        <w:trPr>
          <w:jc w:val="center"/>
        </w:trPr>
        <w:tc>
          <w:tcPr>
            <w:tcW w:w="2791" w:type="dxa"/>
          </w:tcPr>
          <w:p w14:paraId="3C2EB42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487 (Сызрань, з-д № 481)</w:t>
            </w:r>
          </w:p>
        </w:tc>
        <w:tc>
          <w:tcPr>
            <w:tcW w:w="2396" w:type="dxa"/>
          </w:tcPr>
          <w:p w14:paraId="66C103C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 же</w:t>
            </w:r>
          </w:p>
        </w:tc>
        <w:tc>
          <w:tcPr>
            <w:tcW w:w="1131" w:type="dxa"/>
          </w:tcPr>
          <w:p w14:paraId="15BA75B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15.XII</w:t>
            </w:r>
          </w:p>
        </w:tc>
        <w:tc>
          <w:tcPr>
            <w:tcW w:w="907" w:type="dxa"/>
          </w:tcPr>
          <w:p w14:paraId="2D43669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10.XI</w:t>
            </w:r>
          </w:p>
        </w:tc>
        <w:tc>
          <w:tcPr>
            <w:tcW w:w="1679" w:type="dxa"/>
          </w:tcPr>
          <w:p w14:paraId="0DC4938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64" w:type="dxa"/>
          </w:tcPr>
          <w:p w14:paraId="495BF9C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74" w:type="dxa"/>
          </w:tcPr>
          <w:p w14:paraId="688B3F4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1.XII</w:t>
            </w:r>
          </w:p>
        </w:tc>
      </w:tr>
      <w:tr w:rsidR="00643896" w:rsidRPr="00640820" w14:paraId="05260DE0" w14:textId="77777777" w:rsidTr="000D3BCB">
        <w:trPr>
          <w:jc w:val="center"/>
        </w:trPr>
        <w:tc>
          <w:tcPr>
            <w:tcW w:w="2791" w:type="dxa"/>
          </w:tcPr>
          <w:p w14:paraId="5B8A570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34 (Троицк)</w:t>
            </w:r>
          </w:p>
        </w:tc>
        <w:tc>
          <w:tcPr>
            <w:tcW w:w="2396" w:type="dxa"/>
          </w:tcPr>
          <w:p w14:paraId="6538E7A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Радиаторы</w:t>
            </w:r>
          </w:p>
        </w:tc>
        <w:tc>
          <w:tcPr>
            <w:tcW w:w="1131" w:type="dxa"/>
          </w:tcPr>
          <w:p w14:paraId="531AE7A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25.XII</w:t>
            </w:r>
          </w:p>
        </w:tc>
        <w:tc>
          <w:tcPr>
            <w:tcW w:w="907" w:type="dxa"/>
          </w:tcPr>
          <w:p w14:paraId="4A35B52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25.XI</w:t>
            </w:r>
          </w:p>
        </w:tc>
        <w:tc>
          <w:tcPr>
            <w:tcW w:w="1679" w:type="dxa"/>
          </w:tcPr>
          <w:p w14:paraId="0974727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64" w:type="dxa"/>
          </w:tcPr>
          <w:p w14:paraId="53570C8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74" w:type="dxa"/>
          </w:tcPr>
          <w:p w14:paraId="4D8868B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15.XII</w:t>
            </w:r>
          </w:p>
        </w:tc>
      </w:tr>
      <w:tr w:rsidR="00643896" w:rsidRPr="00640820" w14:paraId="1D667328" w14:textId="77777777" w:rsidTr="000D3BCB">
        <w:trPr>
          <w:jc w:val="center"/>
        </w:trPr>
        <w:tc>
          <w:tcPr>
            <w:tcW w:w="2791" w:type="dxa"/>
          </w:tcPr>
          <w:p w14:paraId="1FEEF23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469 (Горький, з-д № 285)</w:t>
            </w:r>
          </w:p>
        </w:tc>
        <w:tc>
          <w:tcPr>
            <w:tcW w:w="2396" w:type="dxa"/>
          </w:tcPr>
          <w:p w14:paraId="2CCFD9E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 же</w:t>
            </w:r>
          </w:p>
        </w:tc>
        <w:tc>
          <w:tcPr>
            <w:tcW w:w="1131" w:type="dxa"/>
          </w:tcPr>
          <w:p w14:paraId="3CE7B1F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10.XI</w:t>
            </w:r>
          </w:p>
        </w:tc>
        <w:tc>
          <w:tcPr>
            <w:tcW w:w="907" w:type="dxa"/>
          </w:tcPr>
          <w:p w14:paraId="1FA3F16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10.XI</w:t>
            </w:r>
          </w:p>
        </w:tc>
        <w:tc>
          <w:tcPr>
            <w:tcW w:w="1679" w:type="dxa"/>
          </w:tcPr>
          <w:p w14:paraId="6F71DD7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64" w:type="dxa"/>
          </w:tcPr>
          <w:p w14:paraId="7E4A8D5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74" w:type="dxa"/>
          </w:tcPr>
          <w:p w14:paraId="0D1C9AA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1.XII</w:t>
            </w:r>
          </w:p>
        </w:tc>
      </w:tr>
      <w:tr w:rsidR="00643896" w:rsidRPr="00640820" w14:paraId="144EA9A3" w14:textId="77777777" w:rsidTr="000D3BCB">
        <w:trPr>
          <w:jc w:val="center"/>
        </w:trPr>
        <w:tc>
          <w:tcPr>
            <w:tcW w:w="2791" w:type="dxa"/>
          </w:tcPr>
          <w:p w14:paraId="7E5C819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472 (Кузнецк)</w:t>
            </w:r>
          </w:p>
        </w:tc>
        <w:tc>
          <w:tcPr>
            <w:tcW w:w="2396" w:type="dxa"/>
          </w:tcPr>
          <w:p w14:paraId="3DE5A48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 же</w:t>
            </w:r>
          </w:p>
        </w:tc>
        <w:tc>
          <w:tcPr>
            <w:tcW w:w="1131" w:type="dxa"/>
          </w:tcPr>
          <w:p w14:paraId="2DE59AF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15.XI</w:t>
            </w:r>
          </w:p>
        </w:tc>
        <w:tc>
          <w:tcPr>
            <w:tcW w:w="907" w:type="dxa"/>
          </w:tcPr>
          <w:p w14:paraId="5C760FD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ноябрь</w:t>
            </w:r>
          </w:p>
        </w:tc>
        <w:tc>
          <w:tcPr>
            <w:tcW w:w="1679" w:type="dxa"/>
          </w:tcPr>
          <w:p w14:paraId="384A10A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64" w:type="dxa"/>
          </w:tcPr>
          <w:p w14:paraId="0C6DD24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74" w:type="dxa"/>
          </w:tcPr>
          <w:p w14:paraId="6C29A29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1.XII</w:t>
            </w:r>
          </w:p>
        </w:tc>
      </w:tr>
      <w:tr w:rsidR="00643896" w:rsidRPr="00640820" w14:paraId="5ED1E3ED" w14:textId="77777777" w:rsidTr="000D3BCB">
        <w:trPr>
          <w:jc w:val="center"/>
        </w:trPr>
        <w:tc>
          <w:tcPr>
            <w:tcW w:w="2791" w:type="dxa"/>
          </w:tcPr>
          <w:p w14:paraId="28CE899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120 (Каменск, з-д № 286)</w:t>
            </w:r>
          </w:p>
        </w:tc>
        <w:tc>
          <w:tcPr>
            <w:tcW w:w="2396" w:type="dxa"/>
          </w:tcPr>
          <w:p w14:paraId="1681224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Авиаколеса</w:t>
            </w:r>
          </w:p>
        </w:tc>
        <w:tc>
          <w:tcPr>
            <w:tcW w:w="1131" w:type="dxa"/>
          </w:tcPr>
          <w:p w14:paraId="730BB42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20.XII</w:t>
            </w:r>
          </w:p>
        </w:tc>
        <w:tc>
          <w:tcPr>
            <w:tcW w:w="907" w:type="dxa"/>
          </w:tcPr>
          <w:p w14:paraId="230B6A9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ноябрь</w:t>
            </w:r>
          </w:p>
        </w:tc>
        <w:tc>
          <w:tcPr>
            <w:tcW w:w="1679" w:type="dxa"/>
          </w:tcPr>
          <w:p w14:paraId="08056A6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64" w:type="dxa"/>
          </w:tcPr>
          <w:p w14:paraId="52CF4D0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74" w:type="dxa"/>
          </w:tcPr>
          <w:p w14:paraId="75C9EE8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1.I-42г.</w:t>
            </w:r>
          </w:p>
        </w:tc>
      </w:tr>
      <w:tr w:rsidR="00643896" w:rsidRPr="00640820" w14:paraId="0FDF3D15" w14:textId="77777777" w:rsidTr="000D3BCB">
        <w:trPr>
          <w:jc w:val="center"/>
        </w:trPr>
        <w:tc>
          <w:tcPr>
            <w:tcW w:w="2791" w:type="dxa"/>
          </w:tcPr>
          <w:p w14:paraId="3521DE3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20 (Омск)</w:t>
            </w:r>
          </w:p>
        </w:tc>
        <w:tc>
          <w:tcPr>
            <w:tcW w:w="2396" w:type="dxa"/>
          </w:tcPr>
          <w:p w14:paraId="6F573CD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Моторные агрегаты</w:t>
            </w:r>
          </w:p>
        </w:tc>
        <w:tc>
          <w:tcPr>
            <w:tcW w:w="1131" w:type="dxa"/>
          </w:tcPr>
          <w:p w14:paraId="00C537C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25.XI</w:t>
            </w:r>
          </w:p>
        </w:tc>
        <w:tc>
          <w:tcPr>
            <w:tcW w:w="907" w:type="dxa"/>
          </w:tcPr>
          <w:p w14:paraId="28F8BD8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15.XI</w:t>
            </w:r>
          </w:p>
        </w:tc>
        <w:tc>
          <w:tcPr>
            <w:tcW w:w="1679" w:type="dxa"/>
          </w:tcPr>
          <w:p w14:paraId="698AE84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64" w:type="dxa"/>
          </w:tcPr>
          <w:p w14:paraId="10FD34F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74" w:type="dxa"/>
          </w:tcPr>
          <w:p w14:paraId="5CE6733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15.XII</w:t>
            </w:r>
          </w:p>
        </w:tc>
      </w:tr>
      <w:tr w:rsidR="00643896" w:rsidRPr="00640820" w14:paraId="059B9A86" w14:textId="77777777" w:rsidTr="000D3BCB">
        <w:trPr>
          <w:jc w:val="center"/>
        </w:trPr>
        <w:tc>
          <w:tcPr>
            <w:tcW w:w="2791" w:type="dxa"/>
          </w:tcPr>
          <w:p w14:paraId="02370D4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33 (Молотов, з-д № 339)</w:t>
            </w:r>
          </w:p>
        </w:tc>
        <w:tc>
          <w:tcPr>
            <w:tcW w:w="2396" w:type="dxa"/>
          </w:tcPr>
          <w:p w14:paraId="1504E43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Карбюраторы</w:t>
            </w:r>
          </w:p>
        </w:tc>
        <w:tc>
          <w:tcPr>
            <w:tcW w:w="1131" w:type="dxa"/>
          </w:tcPr>
          <w:p w14:paraId="77B3C4C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8.XI</w:t>
            </w:r>
          </w:p>
        </w:tc>
        <w:tc>
          <w:tcPr>
            <w:tcW w:w="907" w:type="dxa"/>
          </w:tcPr>
          <w:p w14:paraId="4691235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15.XI</w:t>
            </w:r>
          </w:p>
        </w:tc>
        <w:tc>
          <w:tcPr>
            <w:tcW w:w="1679" w:type="dxa"/>
          </w:tcPr>
          <w:p w14:paraId="4905B60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64" w:type="dxa"/>
          </w:tcPr>
          <w:p w14:paraId="7B24A97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74" w:type="dxa"/>
          </w:tcPr>
          <w:p w14:paraId="4887322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1.XII</w:t>
            </w:r>
          </w:p>
        </w:tc>
      </w:tr>
      <w:tr w:rsidR="00643896" w:rsidRPr="00640820" w14:paraId="01BA4002" w14:textId="77777777" w:rsidTr="000D3BCB">
        <w:trPr>
          <w:jc w:val="center"/>
        </w:trPr>
        <w:tc>
          <w:tcPr>
            <w:tcW w:w="11342" w:type="dxa"/>
            <w:gridSpan w:val="7"/>
          </w:tcPr>
          <w:p w14:paraId="3D83BB6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w:t>
            </w:r>
            <w:r w:rsidRPr="00640820">
              <w:rPr>
                <w:rFonts w:ascii="Times New Roman" w:hAnsi="Times New Roman"/>
                <w:color w:val="000000" w:themeColor="text1"/>
                <w:sz w:val="16"/>
                <w:szCs w:val="16"/>
                <w:u w:val="single"/>
              </w:rPr>
              <w:t>по прокату и штамповке</w:t>
            </w:r>
          </w:p>
        </w:tc>
      </w:tr>
      <w:tr w:rsidR="00643896" w:rsidRPr="00640820" w14:paraId="2E8BA1F0" w14:textId="77777777" w:rsidTr="000D3BCB">
        <w:trPr>
          <w:jc w:val="center"/>
        </w:trPr>
        <w:tc>
          <w:tcPr>
            <w:tcW w:w="2791" w:type="dxa"/>
          </w:tcPr>
          <w:p w14:paraId="6136466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95 (Верх.Салд., з-д № 491)</w:t>
            </w:r>
          </w:p>
        </w:tc>
        <w:tc>
          <w:tcPr>
            <w:tcW w:w="2396" w:type="dxa"/>
          </w:tcPr>
          <w:p w14:paraId="7A3871D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Прокат и штамповка</w:t>
            </w:r>
          </w:p>
        </w:tc>
        <w:tc>
          <w:tcPr>
            <w:tcW w:w="1131" w:type="dxa"/>
          </w:tcPr>
          <w:p w14:paraId="6273C5A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15.XII</w:t>
            </w:r>
          </w:p>
        </w:tc>
        <w:tc>
          <w:tcPr>
            <w:tcW w:w="907" w:type="dxa"/>
          </w:tcPr>
          <w:p w14:paraId="0E7195D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ноябрь</w:t>
            </w:r>
          </w:p>
        </w:tc>
        <w:tc>
          <w:tcPr>
            <w:tcW w:w="1679" w:type="dxa"/>
          </w:tcPr>
          <w:p w14:paraId="368D551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64" w:type="dxa"/>
          </w:tcPr>
          <w:p w14:paraId="6705DE8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74" w:type="dxa"/>
          </w:tcPr>
          <w:p w14:paraId="673670A0"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1.I-42г.</w:t>
            </w:r>
          </w:p>
        </w:tc>
      </w:tr>
      <w:tr w:rsidR="00643896" w:rsidRPr="00640820" w14:paraId="462A19C4" w14:textId="77777777" w:rsidTr="000D3BCB">
        <w:trPr>
          <w:jc w:val="center"/>
        </w:trPr>
        <w:tc>
          <w:tcPr>
            <w:tcW w:w="2791" w:type="dxa"/>
          </w:tcPr>
          <w:p w14:paraId="3DD038A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150 (Каменск)</w:t>
            </w:r>
          </w:p>
        </w:tc>
        <w:tc>
          <w:tcPr>
            <w:tcW w:w="2396" w:type="dxa"/>
          </w:tcPr>
          <w:p w14:paraId="781AF91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 же</w:t>
            </w:r>
          </w:p>
        </w:tc>
        <w:tc>
          <w:tcPr>
            <w:tcW w:w="1131" w:type="dxa"/>
          </w:tcPr>
          <w:p w14:paraId="3DD2188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15.II-42г.</w:t>
            </w:r>
          </w:p>
        </w:tc>
        <w:tc>
          <w:tcPr>
            <w:tcW w:w="907" w:type="dxa"/>
          </w:tcPr>
          <w:p w14:paraId="4003EFF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1.II-42г.</w:t>
            </w:r>
          </w:p>
        </w:tc>
        <w:tc>
          <w:tcPr>
            <w:tcW w:w="1679" w:type="dxa"/>
          </w:tcPr>
          <w:p w14:paraId="72190F3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64" w:type="dxa"/>
          </w:tcPr>
          <w:p w14:paraId="466AD92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74" w:type="dxa"/>
          </w:tcPr>
          <w:p w14:paraId="0C196AF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1.III-42г.</w:t>
            </w:r>
          </w:p>
        </w:tc>
      </w:tr>
    </w:tbl>
    <w:p w14:paraId="582B545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 Обязать Госплан СССР тов. Сабурова М.З. совместно с наркоматами-поставщиками и Наркомавиапромом в пятидневный срок проработать и представить на утверждение Совнаркома СССР план обеспечения потребностей Наркомавиапрома в материалах, полуфабрикатах и всех видах кооперированных изделий на декабрь 1941 г. </w:t>
      </w:r>
    </w:p>
    <w:p w14:paraId="114F42C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4. Обязать НКПС тов. Кагановича Л.М. обеспечить перевозку всех грузов, идущих в адрес заводов Наркомавиапрома, наравне с воинскими перевозками в течение ноября 1941 года. </w:t>
      </w:r>
    </w:p>
    <w:p w14:paraId="28C2B154"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5. Обязать Наркомавиапром тов. Шахурина представлять в Совнарком СССР через каждые 5 дней отчет о ходе восстановления эвакуированных предприятий Наркомавиапрома. </w:t>
      </w:r>
    </w:p>
    <w:p w14:paraId="5019AAD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Возложить на Госконтроль - тов. Попова контроль за ходом выполнения настоящего постановления.</w:t>
      </w:r>
    </w:p>
    <w:p w14:paraId="03BC1DA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Выписки посланы: т.т. Вознесенскому, Шахурину, Жигареву, Сабурову, Попову, Чадаеву - все; Кагановичу - п. 4 (12122).</w:t>
      </w:r>
    </w:p>
    <w:p w14:paraId="62CB3D54"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29FCA4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ноября 1941 ГКО утвердил график восстановления и пуска эвакуированных авиационных (а также танковых, промышленности боеприпасов и черной металлургии - 512,106) заводов и план производства на декабрь - январь (74,247).</w:t>
      </w:r>
    </w:p>
    <w:p w14:paraId="5C37B6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Программа по самолетам и танкам исходила из 22-25 тыс. и 22 тыс. в год (512,106).</w:t>
      </w:r>
    </w:p>
    <w:p w14:paraId="606E88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B720FFC" w14:textId="77777777" w:rsidR="006A3215" w:rsidRPr="00640820" w:rsidRDefault="006A3215"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9-го ноября 1941 года Государственный Комитет Обороны утвердил своим Постановлением Графики восстановления и пуска заводов наркомата авиационной промышленности, эвакуированных на Волгу, Урал и Сибирь. Была поставлена задача не только возобновления выпуска самолетов, но и значительного увеличения их количества и качества (15223).</w:t>
      </w:r>
    </w:p>
    <w:p w14:paraId="31DBF2DE" w14:textId="77777777" w:rsidR="006A3215" w:rsidRPr="00640820" w:rsidRDefault="006A3215" w:rsidP="00640820">
      <w:pPr>
        <w:shd w:val="clear" w:color="auto" w:fill="FFFFFF"/>
        <w:spacing w:after="0" w:line="240" w:lineRule="auto"/>
        <w:jc w:val="both"/>
        <w:rPr>
          <w:rFonts w:ascii="Times New Roman" w:hAnsi="Times New Roman"/>
          <w:color w:val="000000" w:themeColor="text1"/>
          <w:sz w:val="16"/>
          <w:szCs w:val="16"/>
        </w:rPr>
      </w:pPr>
    </w:p>
    <w:p w14:paraId="5E00EA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и 2 ноября 1941 заводу № 292 постановлениями ГКО определялся повышенный план на ноябрь - 210, и декабрь - 290 самолетов. Во исполнение постановлений приказами наркома от 4 и 11 ноября 1941 г. заводу предписывалось с 10 ноября выпускать по 10 машин в сутки, а к концу месяца довести суточный выпуск до 12 самолетов.</w:t>
      </w:r>
    </w:p>
    <w:p w14:paraId="643488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Выпуск самолетов Як-1 заводом № 292 в 1941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00"/>
        <w:gridCol w:w="800"/>
        <w:gridCol w:w="800"/>
        <w:gridCol w:w="800"/>
        <w:gridCol w:w="800"/>
        <w:gridCol w:w="800"/>
        <w:gridCol w:w="800"/>
        <w:gridCol w:w="800"/>
        <w:gridCol w:w="800"/>
        <w:gridCol w:w="988"/>
        <w:gridCol w:w="851"/>
        <w:gridCol w:w="722"/>
        <w:gridCol w:w="722"/>
        <w:gridCol w:w="722"/>
      </w:tblGrid>
      <w:tr w:rsidR="00643896" w:rsidRPr="00640820" w14:paraId="22F46F42" w14:textId="77777777" w:rsidTr="000D3BCB">
        <w:tc>
          <w:tcPr>
            <w:tcW w:w="800" w:type="dxa"/>
            <w:tcBorders>
              <w:top w:val="single" w:sz="12" w:space="0" w:color="auto"/>
            </w:tcBorders>
          </w:tcPr>
          <w:p w14:paraId="4E6C75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Borders>
              <w:top w:val="single" w:sz="12" w:space="0" w:color="auto"/>
            </w:tcBorders>
          </w:tcPr>
          <w:p w14:paraId="31EA0D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Январь</w:t>
            </w:r>
          </w:p>
        </w:tc>
        <w:tc>
          <w:tcPr>
            <w:tcW w:w="800" w:type="dxa"/>
            <w:tcBorders>
              <w:top w:val="single" w:sz="12" w:space="0" w:color="auto"/>
            </w:tcBorders>
          </w:tcPr>
          <w:p w14:paraId="7B06DB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Февраль</w:t>
            </w:r>
          </w:p>
        </w:tc>
        <w:tc>
          <w:tcPr>
            <w:tcW w:w="800" w:type="dxa"/>
            <w:tcBorders>
              <w:top w:val="single" w:sz="12" w:space="0" w:color="auto"/>
            </w:tcBorders>
          </w:tcPr>
          <w:p w14:paraId="512055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Март</w:t>
            </w:r>
          </w:p>
        </w:tc>
        <w:tc>
          <w:tcPr>
            <w:tcW w:w="800" w:type="dxa"/>
            <w:tcBorders>
              <w:top w:val="single" w:sz="12" w:space="0" w:color="auto"/>
            </w:tcBorders>
          </w:tcPr>
          <w:p w14:paraId="606BEE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Апрель</w:t>
            </w:r>
          </w:p>
        </w:tc>
        <w:tc>
          <w:tcPr>
            <w:tcW w:w="800" w:type="dxa"/>
            <w:tcBorders>
              <w:top w:val="single" w:sz="12" w:space="0" w:color="auto"/>
            </w:tcBorders>
          </w:tcPr>
          <w:p w14:paraId="27B8CE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Май</w:t>
            </w:r>
          </w:p>
        </w:tc>
        <w:tc>
          <w:tcPr>
            <w:tcW w:w="800" w:type="dxa"/>
            <w:tcBorders>
              <w:top w:val="single" w:sz="12" w:space="0" w:color="auto"/>
            </w:tcBorders>
          </w:tcPr>
          <w:p w14:paraId="77CBD3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Июнь</w:t>
            </w:r>
          </w:p>
        </w:tc>
        <w:tc>
          <w:tcPr>
            <w:tcW w:w="800" w:type="dxa"/>
            <w:tcBorders>
              <w:top w:val="single" w:sz="12" w:space="0" w:color="auto"/>
            </w:tcBorders>
          </w:tcPr>
          <w:p w14:paraId="618150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Июль</w:t>
            </w:r>
          </w:p>
        </w:tc>
        <w:tc>
          <w:tcPr>
            <w:tcW w:w="800" w:type="dxa"/>
            <w:tcBorders>
              <w:top w:val="single" w:sz="12" w:space="0" w:color="auto"/>
            </w:tcBorders>
          </w:tcPr>
          <w:p w14:paraId="38EF8B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Август</w:t>
            </w:r>
          </w:p>
        </w:tc>
        <w:tc>
          <w:tcPr>
            <w:tcW w:w="988" w:type="dxa"/>
            <w:tcBorders>
              <w:top w:val="single" w:sz="12" w:space="0" w:color="auto"/>
            </w:tcBorders>
          </w:tcPr>
          <w:p w14:paraId="58B549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Сентябрь</w:t>
            </w:r>
          </w:p>
        </w:tc>
        <w:tc>
          <w:tcPr>
            <w:tcW w:w="851" w:type="dxa"/>
            <w:tcBorders>
              <w:top w:val="single" w:sz="12" w:space="0" w:color="auto"/>
            </w:tcBorders>
          </w:tcPr>
          <w:p w14:paraId="3DDA81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Октябрь</w:t>
            </w:r>
          </w:p>
        </w:tc>
        <w:tc>
          <w:tcPr>
            <w:tcW w:w="722" w:type="dxa"/>
            <w:tcBorders>
              <w:top w:val="single" w:sz="12" w:space="0" w:color="auto"/>
            </w:tcBorders>
          </w:tcPr>
          <w:p w14:paraId="02B9DF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Ноябрь</w:t>
            </w:r>
          </w:p>
        </w:tc>
        <w:tc>
          <w:tcPr>
            <w:tcW w:w="722" w:type="dxa"/>
            <w:tcBorders>
              <w:top w:val="single" w:sz="12" w:space="0" w:color="auto"/>
            </w:tcBorders>
          </w:tcPr>
          <w:p w14:paraId="2FB32B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Декабрь</w:t>
            </w:r>
          </w:p>
        </w:tc>
        <w:tc>
          <w:tcPr>
            <w:tcW w:w="722" w:type="dxa"/>
            <w:tcBorders>
              <w:top w:val="single" w:sz="12" w:space="0" w:color="auto"/>
            </w:tcBorders>
          </w:tcPr>
          <w:p w14:paraId="07A012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Асего</w:t>
            </w:r>
          </w:p>
        </w:tc>
      </w:tr>
      <w:tr w:rsidR="00643896" w:rsidRPr="00640820" w14:paraId="7E94ED2B" w14:textId="77777777" w:rsidTr="000D3BCB">
        <w:tc>
          <w:tcPr>
            <w:tcW w:w="800" w:type="dxa"/>
          </w:tcPr>
          <w:p w14:paraId="165D0E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0AF378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395929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 квартал</w:t>
            </w:r>
          </w:p>
        </w:tc>
        <w:tc>
          <w:tcPr>
            <w:tcW w:w="800" w:type="dxa"/>
          </w:tcPr>
          <w:p w14:paraId="2CA990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0014D7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3A8A99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 квартал</w:t>
            </w:r>
          </w:p>
        </w:tc>
        <w:tc>
          <w:tcPr>
            <w:tcW w:w="800" w:type="dxa"/>
          </w:tcPr>
          <w:p w14:paraId="723D77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3B0EC9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416687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 квартал</w:t>
            </w:r>
          </w:p>
        </w:tc>
        <w:tc>
          <w:tcPr>
            <w:tcW w:w="988" w:type="dxa"/>
          </w:tcPr>
          <w:p w14:paraId="1572E9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51" w:type="dxa"/>
          </w:tcPr>
          <w:p w14:paraId="7472E8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773C02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 квартал</w:t>
            </w:r>
          </w:p>
        </w:tc>
        <w:tc>
          <w:tcPr>
            <w:tcW w:w="722" w:type="dxa"/>
          </w:tcPr>
          <w:p w14:paraId="544062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45162B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673552A7" w14:textId="77777777" w:rsidTr="000D3BCB">
        <w:tc>
          <w:tcPr>
            <w:tcW w:w="800" w:type="dxa"/>
          </w:tcPr>
          <w:p w14:paraId="325B8C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7D28CF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21AF4D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220</w:t>
            </w:r>
          </w:p>
        </w:tc>
        <w:tc>
          <w:tcPr>
            <w:tcW w:w="800" w:type="dxa"/>
          </w:tcPr>
          <w:p w14:paraId="5D2A18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32EA5C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63E305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270</w:t>
            </w:r>
          </w:p>
        </w:tc>
        <w:tc>
          <w:tcPr>
            <w:tcW w:w="800" w:type="dxa"/>
          </w:tcPr>
          <w:p w14:paraId="175CCD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5E374A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0A2587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290</w:t>
            </w:r>
          </w:p>
        </w:tc>
        <w:tc>
          <w:tcPr>
            <w:tcW w:w="988" w:type="dxa"/>
          </w:tcPr>
          <w:p w14:paraId="5CCFDD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51" w:type="dxa"/>
          </w:tcPr>
          <w:p w14:paraId="2D82F6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144A32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320</w:t>
            </w:r>
          </w:p>
        </w:tc>
        <w:tc>
          <w:tcPr>
            <w:tcW w:w="722" w:type="dxa"/>
          </w:tcPr>
          <w:p w14:paraId="7D8CF6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23EA1B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1100</w:t>
            </w:r>
          </w:p>
        </w:tc>
      </w:tr>
      <w:tr w:rsidR="00643896" w:rsidRPr="00640820" w14:paraId="44E84775" w14:textId="77777777" w:rsidTr="000D3BCB">
        <w:tc>
          <w:tcPr>
            <w:tcW w:w="800" w:type="dxa"/>
          </w:tcPr>
          <w:p w14:paraId="03B0CC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Новый план'</w:t>
            </w:r>
          </w:p>
        </w:tc>
        <w:tc>
          <w:tcPr>
            <w:tcW w:w="800" w:type="dxa"/>
          </w:tcPr>
          <w:p w14:paraId="30A034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0D03C7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w:t>
            </w:r>
          </w:p>
        </w:tc>
        <w:tc>
          <w:tcPr>
            <w:tcW w:w="800" w:type="dxa"/>
          </w:tcPr>
          <w:p w14:paraId="65060B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40</w:t>
            </w:r>
          </w:p>
        </w:tc>
        <w:tc>
          <w:tcPr>
            <w:tcW w:w="800" w:type="dxa"/>
          </w:tcPr>
          <w:p w14:paraId="3406EA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66</w:t>
            </w:r>
          </w:p>
        </w:tc>
        <w:tc>
          <w:tcPr>
            <w:tcW w:w="800" w:type="dxa"/>
          </w:tcPr>
          <w:p w14:paraId="0871AB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74</w:t>
            </w:r>
          </w:p>
        </w:tc>
        <w:tc>
          <w:tcPr>
            <w:tcW w:w="800" w:type="dxa"/>
          </w:tcPr>
          <w:p w14:paraId="0BDF54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100</w:t>
            </w:r>
          </w:p>
        </w:tc>
        <w:tc>
          <w:tcPr>
            <w:tcW w:w="800" w:type="dxa"/>
          </w:tcPr>
          <w:p w14:paraId="11C946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115</w:t>
            </w:r>
          </w:p>
        </w:tc>
        <w:tc>
          <w:tcPr>
            <w:tcW w:w="800" w:type="dxa"/>
          </w:tcPr>
          <w:p w14:paraId="719852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130</w:t>
            </w:r>
          </w:p>
        </w:tc>
        <w:tc>
          <w:tcPr>
            <w:tcW w:w="988" w:type="dxa"/>
          </w:tcPr>
          <w:p w14:paraId="7BA599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156</w:t>
            </w:r>
          </w:p>
        </w:tc>
        <w:tc>
          <w:tcPr>
            <w:tcW w:w="851" w:type="dxa"/>
          </w:tcPr>
          <w:p w14:paraId="1AFF20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189</w:t>
            </w:r>
          </w:p>
        </w:tc>
        <w:tc>
          <w:tcPr>
            <w:tcW w:w="722" w:type="dxa"/>
          </w:tcPr>
          <w:p w14:paraId="487C02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184</w:t>
            </w:r>
          </w:p>
        </w:tc>
        <w:tc>
          <w:tcPr>
            <w:tcW w:w="722" w:type="dxa"/>
          </w:tcPr>
          <w:p w14:paraId="588492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260</w:t>
            </w:r>
          </w:p>
        </w:tc>
        <w:tc>
          <w:tcPr>
            <w:tcW w:w="722" w:type="dxa"/>
          </w:tcPr>
          <w:p w14:paraId="70F011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1350</w:t>
            </w:r>
          </w:p>
        </w:tc>
      </w:tr>
      <w:tr w:rsidR="00643896" w:rsidRPr="00640820" w14:paraId="21D0F007" w14:textId="77777777" w:rsidTr="000D3BCB">
        <w:tc>
          <w:tcPr>
            <w:tcW w:w="800" w:type="dxa"/>
          </w:tcPr>
          <w:p w14:paraId="1E0A26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Изготовлено</w:t>
            </w:r>
          </w:p>
        </w:tc>
        <w:tc>
          <w:tcPr>
            <w:tcW w:w="800" w:type="dxa"/>
          </w:tcPr>
          <w:p w14:paraId="067D66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p w14:paraId="13BFB8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3D194C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w:t>
            </w:r>
          </w:p>
        </w:tc>
        <w:tc>
          <w:tcPr>
            <w:tcW w:w="800" w:type="dxa"/>
          </w:tcPr>
          <w:p w14:paraId="0E97B3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40</w:t>
            </w:r>
          </w:p>
        </w:tc>
        <w:tc>
          <w:tcPr>
            <w:tcW w:w="800" w:type="dxa"/>
          </w:tcPr>
          <w:p w14:paraId="6CBD8F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68</w:t>
            </w:r>
          </w:p>
        </w:tc>
        <w:tc>
          <w:tcPr>
            <w:tcW w:w="800" w:type="dxa"/>
          </w:tcPr>
          <w:p w14:paraId="3F3EE8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73</w:t>
            </w:r>
          </w:p>
        </w:tc>
        <w:tc>
          <w:tcPr>
            <w:tcW w:w="800" w:type="dxa"/>
          </w:tcPr>
          <w:p w14:paraId="6B609C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101</w:t>
            </w:r>
          </w:p>
        </w:tc>
        <w:tc>
          <w:tcPr>
            <w:tcW w:w="800" w:type="dxa"/>
          </w:tcPr>
          <w:p w14:paraId="745F6A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135</w:t>
            </w:r>
          </w:p>
        </w:tc>
        <w:tc>
          <w:tcPr>
            <w:tcW w:w="800" w:type="dxa"/>
          </w:tcPr>
          <w:p w14:paraId="0B82D8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150</w:t>
            </w:r>
          </w:p>
        </w:tc>
        <w:tc>
          <w:tcPr>
            <w:tcW w:w="988" w:type="dxa"/>
          </w:tcPr>
          <w:p w14:paraId="35C023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168</w:t>
            </w:r>
          </w:p>
        </w:tc>
        <w:tc>
          <w:tcPr>
            <w:tcW w:w="851" w:type="dxa"/>
          </w:tcPr>
          <w:p w14:paraId="27252C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185</w:t>
            </w:r>
          </w:p>
        </w:tc>
        <w:tc>
          <w:tcPr>
            <w:tcW w:w="722" w:type="dxa"/>
          </w:tcPr>
          <w:p w14:paraId="5824C6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104</w:t>
            </w:r>
          </w:p>
        </w:tc>
        <w:tc>
          <w:tcPr>
            <w:tcW w:w="722" w:type="dxa"/>
          </w:tcPr>
          <w:p w14:paraId="15F060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152</w:t>
            </w:r>
          </w:p>
        </w:tc>
        <w:tc>
          <w:tcPr>
            <w:tcW w:w="722" w:type="dxa"/>
          </w:tcPr>
          <w:p w14:paraId="41BA44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1212 3</w:t>
            </w:r>
          </w:p>
        </w:tc>
      </w:tr>
      <w:tr w:rsidR="00643896" w:rsidRPr="00640820" w14:paraId="37D639AC" w14:textId="77777777" w:rsidTr="000D3BCB">
        <w:tc>
          <w:tcPr>
            <w:tcW w:w="800" w:type="dxa"/>
          </w:tcPr>
          <w:p w14:paraId="6794FF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5A18E6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17 2)</w:t>
            </w:r>
          </w:p>
        </w:tc>
        <w:tc>
          <w:tcPr>
            <w:tcW w:w="800" w:type="dxa"/>
          </w:tcPr>
          <w:p w14:paraId="085CE7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25 2)</w:t>
            </w:r>
          </w:p>
        </w:tc>
        <w:tc>
          <w:tcPr>
            <w:tcW w:w="800" w:type="dxa"/>
          </w:tcPr>
          <w:p w14:paraId="6F215D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34 2)</w:t>
            </w:r>
          </w:p>
        </w:tc>
        <w:tc>
          <w:tcPr>
            <w:tcW w:w="800" w:type="dxa"/>
          </w:tcPr>
          <w:p w14:paraId="6E0B93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4D31AC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05B108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739FD8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564A94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988" w:type="dxa"/>
          </w:tcPr>
          <w:p w14:paraId="061D30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51" w:type="dxa"/>
          </w:tcPr>
          <w:p w14:paraId="28E215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0457EF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3C8756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2F0397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16017074" w14:textId="77777777" w:rsidTr="000D3BCB">
        <w:tc>
          <w:tcPr>
            <w:tcW w:w="800" w:type="dxa"/>
          </w:tcPr>
          <w:p w14:paraId="306F50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Принято военпредом</w:t>
            </w:r>
          </w:p>
        </w:tc>
        <w:tc>
          <w:tcPr>
            <w:tcW w:w="800" w:type="dxa"/>
          </w:tcPr>
          <w:p w14:paraId="39826A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5B35D4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3B2192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11FC91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2155BE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717144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21599C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05DC65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988" w:type="dxa"/>
          </w:tcPr>
          <w:p w14:paraId="732EB2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51" w:type="dxa"/>
          </w:tcPr>
          <w:p w14:paraId="617DBC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2FADD5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3AE18F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7A43CC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7E8C077F" w14:textId="77777777" w:rsidTr="000D3BCB">
        <w:tc>
          <w:tcPr>
            <w:tcW w:w="800" w:type="dxa"/>
          </w:tcPr>
          <w:p w14:paraId="5043DA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для ГУ ВВС КА</w:t>
            </w:r>
          </w:p>
        </w:tc>
        <w:tc>
          <w:tcPr>
            <w:tcW w:w="800" w:type="dxa"/>
          </w:tcPr>
          <w:p w14:paraId="56316B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w:t>
            </w:r>
          </w:p>
        </w:tc>
        <w:tc>
          <w:tcPr>
            <w:tcW w:w="800" w:type="dxa"/>
          </w:tcPr>
          <w:p w14:paraId="40EFD4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w:t>
            </w:r>
          </w:p>
        </w:tc>
        <w:tc>
          <w:tcPr>
            <w:tcW w:w="800" w:type="dxa"/>
          </w:tcPr>
          <w:p w14:paraId="4BC681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40</w:t>
            </w:r>
          </w:p>
        </w:tc>
        <w:tc>
          <w:tcPr>
            <w:tcW w:w="800" w:type="dxa"/>
          </w:tcPr>
          <w:p w14:paraId="195A23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68</w:t>
            </w:r>
          </w:p>
        </w:tc>
        <w:tc>
          <w:tcPr>
            <w:tcW w:w="800" w:type="dxa"/>
          </w:tcPr>
          <w:p w14:paraId="321029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66</w:t>
            </w:r>
          </w:p>
        </w:tc>
        <w:tc>
          <w:tcPr>
            <w:tcW w:w="800" w:type="dxa"/>
          </w:tcPr>
          <w:p w14:paraId="311CE0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58</w:t>
            </w:r>
          </w:p>
        </w:tc>
        <w:tc>
          <w:tcPr>
            <w:tcW w:w="800" w:type="dxa"/>
          </w:tcPr>
          <w:p w14:paraId="3BDEFB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117</w:t>
            </w:r>
          </w:p>
        </w:tc>
        <w:tc>
          <w:tcPr>
            <w:tcW w:w="800" w:type="dxa"/>
          </w:tcPr>
          <w:p w14:paraId="74644B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153</w:t>
            </w:r>
          </w:p>
        </w:tc>
        <w:tc>
          <w:tcPr>
            <w:tcW w:w="988" w:type="dxa"/>
          </w:tcPr>
          <w:p w14:paraId="46AC79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151</w:t>
            </w:r>
          </w:p>
        </w:tc>
        <w:tc>
          <w:tcPr>
            <w:tcW w:w="851" w:type="dxa"/>
          </w:tcPr>
          <w:p w14:paraId="61CB10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171</w:t>
            </w:r>
          </w:p>
        </w:tc>
        <w:tc>
          <w:tcPr>
            <w:tcW w:w="722" w:type="dxa"/>
          </w:tcPr>
          <w:p w14:paraId="464633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68</w:t>
            </w:r>
          </w:p>
        </w:tc>
        <w:tc>
          <w:tcPr>
            <w:tcW w:w="722" w:type="dxa"/>
          </w:tcPr>
          <w:p w14:paraId="0E209C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143</w:t>
            </w:r>
          </w:p>
        </w:tc>
        <w:tc>
          <w:tcPr>
            <w:tcW w:w="722" w:type="dxa"/>
          </w:tcPr>
          <w:p w14:paraId="142F88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1070</w:t>
            </w:r>
          </w:p>
        </w:tc>
      </w:tr>
      <w:tr w:rsidR="00643896" w:rsidRPr="00640820" w14:paraId="0BF2172B" w14:textId="77777777" w:rsidTr="000D3BCB">
        <w:tc>
          <w:tcPr>
            <w:tcW w:w="800" w:type="dxa"/>
          </w:tcPr>
          <w:p w14:paraId="5D088F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для УА ВМФ</w:t>
            </w:r>
          </w:p>
        </w:tc>
        <w:tc>
          <w:tcPr>
            <w:tcW w:w="800" w:type="dxa"/>
          </w:tcPr>
          <w:p w14:paraId="2C6569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4998A3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7FB80C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52C546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751F09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w:t>
            </w:r>
          </w:p>
        </w:tc>
        <w:tc>
          <w:tcPr>
            <w:tcW w:w="800" w:type="dxa"/>
          </w:tcPr>
          <w:p w14:paraId="42C0D8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41</w:t>
            </w:r>
          </w:p>
        </w:tc>
        <w:tc>
          <w:tcPr>
            <w:tcW w:w="800" w:type="dxa"/>
          </w:tcPr>
          <w:p w14:paraId="7B481C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1875C5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988" w:type="dxa"/>
          </w:tcPr>
          <w:p w14:paraId="791D06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w:t>
            </w:r>
          </w:p>
        </w:tc>
        <w:tc>
          <w:tcPr>
            <w:tcW w:w="851" w:type="dxa"/>
          </w:tcPr>
          <w:p w14:paraId="699276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w:t>
            </w:r>
          </w:p>
        </w:tc>
        <w:tc>
          <w:tcPr>
            <w:tcW w:w="722" w:type="dxa"/>
          </w:tcPr>
          <w:p w14:paraId="32CFFD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w:t>
            </w:r>
          </w:p>
        </w:tc>
        <w:tc>
          <w:tcPr>
            <w:tcW w:w="722" w:type="dxa"/>
          </w:tcPr>
          <w:p w14:paraId="703DC9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20</w:t>
            </w:r>
          </w:p>
        </w:tc>
        <w:tc>
          <w:tcPr>
            <w:tcW w:w="722" w:type="dxa"/>
          </w:tcPr>
          <w:p w14:paraId="0D7992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121</w:t>
            </w:r>
          </w:p>
        </w:tc>
      </w:tr>
      <w:tr w:rsidR="00643896" w:rsidRPr="00640820" w14:paraId="6DB5DAF8" w14:textId="77777777" w:rsidTr="000D3BCB">
        <w:tc>
          <w:tcPr>
            <w:tcW w:w="800" w:type="dxa"/>
          </w:tcPr>
          <w:p w14:paraId="616F84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Отправлено всего</w:t>
            </w:r>
          </w:p>
        </w:tc>
        <w:tc>
          <w:tcPr>
            <w:tcW w:w="800" w:type="dxa"/>
          </w:tcPr>
          <w:p w14:paraId="0E35E9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454729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56071F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30</w:t>
            </w:r>
          </w:p>
        </w:tc>
        <w:tc>
          <w:tcPr>
            <w:tcW w:w="800" w:type="dxa"/>
          </w:tcPr>
          <w:p w14:paraId="6A55E6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45</w:t>
            </w:r>
          </w:p>
        </w:tc>
        <w:tc>
          <w:tcPr>
            <w:tcW w:w="800" w:type="dxa"/>
          </w:tcPr>
          <w:p w14:paraId="7C6ACD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45</w:t>
            </w:r>
          </w:p>
        </w:tc>
        <w:tc>
          <w:tcPr>
            <w:tcW w:w="800" w:type="dxa"/>
          </w:tcPr>
          <w:p w14:paraId="2866A3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66</w:t>
            </w:r>
          </w:p>
        </w:tc>
        <w:tc>
          <w:tcPr>
            <w:tcW w:w="800" w:type="dxa"/>
          </w:tcPr>
          <w:p w14:paraId="049AE7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192</w:t>
            </w:r>
          </w:p>
        </w:tc>
        <w:tc>
          <w:tcPr>
            <w:tcW w:w="800" w:type="dxa"/>
          </w:tcPr>
          <w:p w14:paraId="45A556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150</w:t>
            </w:r>
          </w:p>
        </w:tc>
        <w:tc>
          <w:tcPr>
            <w:tcW w:w="988" w:type="dxa"/>
          </w:tcPr>
          <w:p w14:paraId="72EF13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155</w:t>
            </w:r>
          </w:p>
        </w:tc>
        <w:tc>
          <w:tcPr>
            <w:tcW w:w="851" w:type="dxa"/>
          </w:tcPr>
          <w:p w14:paraId="58D601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153</w:t>
            </w:r>
          </w:p>
        </w:tc>
        <w:tc>
          <w:tcPr>
            <w:tcW w:w="722" w:type="dxa"/>
          </w:tcPr>
          <w:p w14:paraId="2511AB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123</w:t>
            </w:r>
          </w:p>
        </w:tc>
        <w:tc>
          <w:tcPr>
            <w:tcW w:w="722" w:type="dxa"/>
          </w:tcPr>
          <w:p w14:paraId="31F822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136</w:t>
            </w:r>
          </w:p>
        </w:tc>
        <w:tc>
          <w:tcPr>
            <w:tcW w:w="722" w:type="dxa"/>
          </w:tcPr>
          <w:p w14:paraId="175332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1125</w:t>
            </w:r>
          </w:p>
        </w:tc>
      </w:tr>
      <w:tr w:rsidR="00643896" w:rsidRPr="00640820" w14:paraId="5103BFF2" w14:textId="77777777" w:rsidTr="000D3BCB">
        <w:tc>
          <w:tcPr>
            <w:tcW w:w="800" w:type="dxa"/>
          </w:tcPr>
          <w:p w14:paraId="749E5F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 т.ч. ВВС КА</w:t>
            </w:r>
          </w:p>
        </w:tc>
        <w:tc>
          <w:tcPr>
            <w:tcW w:w="800" w:type="dxa"/>
          </w:tcPr>
          <w:p w14:paraId="7AD19B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5639DB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049CBC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30</w:t>
            </w:r>
          </w:p>
        </w:tc>
        <w:tc>
          <w:tcPr>
            <w:tcW w:w="800" w:type="dxa"/>
          </w:tcPr>
          <w:p w14:paraId="0BFE38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45</w:t>
            </w:r>
          </w:p>
        </w:tc>
        <w:tc>
          <w:tcPr>
            <w:tcW w:w="800" w:type="dxa"/>
          </w:tcPr>
          <w:p w14:paraId="32C754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42</w:t>
            </w:r>
          </w:p>
        </w:tc>
        <w:tc>
          <w:tcPr>
            <w:tcW w:w="800" w:type="dxa"/>
          </w:tcPr>
          <w:p w14:paraId="23FB3D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58</w:t>
            </w:r>
          </w:p>
        </w:tc>
        <w:tc>
          <w:tcPr>
            <w:tcW w:w="800" w:type="dxa"/>
          </w:tcPr>
          <w:p w14:paraId="78757A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138</w:t>
            </w:r>
          </w:p>
        </w:tc>
        <w:tc>
          <w:tcPr>
            <w:tcW w:w="800" w:type="dxa"/>
          </w:tcPr>
          <w:p w14:paraId="4DE4B6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150</w:t>
            </w:r>
          </w:p>
        </w:tc>
        <w:tc>
          <w:tcPr>
            <w:tcW w:w="988" w:type="dxa"/>
          </w:tcPr>
          <w:p w14:paraId="5A3A2F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138</w:t>
            </w:r>
          </w:p>
        </w:tc>
        <w:tc>
          <w:tcPr>
            <w:tcW w:w="851" w:type="dxa"/>
          </w:tcPr>
          <w:p w14:paraId="054219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149</w:t>
            </w:r>
          </w:p>
        </w:tc>
        <w:tc>
          <w:tcPr>
            <w:tcW w:w="722" w:type="dxa"/>
          </w:tcPr>
          <w:p w14:paraId="53CF2C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102</w:t>
            </w:r>
          </w:p>
        </w:tc>
        <w:tc>
          <w:tcPr>
            <w:tcW w:w="722" w:type="dxa"/>
          </w:tcPr>
          <w:p w14:paraId="4DEFCC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128</w:t>
            </w:r>
          </w:p>
        </w:tc>
        <w:tc>
          <w:tcPr>
            <w:tcW w:w="722" w:type="dxa"/>
          </w:tcPr>
          <w:p w14:paraId="0382EE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1010</w:t>
            </w:r>
          </w:p>
        </w:tc>
      </w:tr>
      <w:tr w:rsidR="00643896" w:rsidRPr="00640820" w14:paraId="25CA12D0" w14:textId="77777777" w:rsidTr="000D3BCB">
        <w:tc>
          <w:tcPr>
            <w:tcW w:w="800" w:type="dxa"/>
          </w:tcPr>
          <w:p w14:paraId="17E789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 т.ч. ВВС ВМФ</w:t>
            </w:r>
          </w:p>
        </w:tc>
        <w:tc>
          <w:tcPr>
            <w:tcW w:w="800" w:type="dxa"/>
          </w:tcPr>
          <w:p w14:paraId="28A1EE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673498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67BAC0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0268B6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0625C6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7233FD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w:t>
            </w:r>
          </w:p>
        </w:tc>
        <w:tc>
          <w:tcPr>
            <w:tcW w:w="800" w:type="dxa"/>
          </w:tcPr>
          <w:p w14:paraId="4FA1CB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54</w:t>
            </w:r>
          </w:p>
        </w:tc>
        <w:tc>
          <w:tcPr>
            <w:tcW w:w="800" w:type="dxa"/>
          </w:tcPr>
          <w:p w14:paraId="0D1635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988" w:type="dxa"/>
          </w:tcPr>
          <w:p w14:paraId="280F38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w:t>
            </w:r>
          </w:p>
        </w:tc>
        <w:tc>
          <w:tcPr>
            <w:tcW w:w="851" w:type="dxa"/>
          </w:tcPr>
          <w:p w14:paraId="6AE55E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w:t>
            </w:r>
          </w:p>
        </w:tc>
        <w:tc>
          <w:tcPr>
            <w:tcW w:w="722" w:type="dxa"/>
          </w:tcPr>
          <w:p w14:paraId="7C59D0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w:t>
            </w:r>
          </w:p>
        </w:tc>
        <w:tc>
          <w:tcPr>
            <w:tcW w:w="722" w:type="dxa"/>
          </w:tcPr>
          <w:p w14:paraId="1C9E43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w:t>
            </w:r>
          </w:p>
        </w:tc>
        <w:tc>
          <w:tcPr>
            <w:tcW w:w="722" w:type="dxa"/>
          </w:tcPr>
          <w:p w14:paraId="7E9499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99</w:t>
            </w:r>
          </w:p>
        </w:tc>
      </w:tr>
      <w:tr w:rsidR="00643896" w:rsidRPr="00640820" w14:paraId="49CC536A" w14:textId="77777777" w:rsidTr="000D3BCB">
        <w:tc>
          <w:tcPr>
            <w:tcW w:w="800" w:type="dxa"/>
          </w:tcPr>
          <w:p w14:paraId="544088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т.ч. другие не принятые</w:t>
            </w:r>
          </w:p>
        </w:tc>
        <w:tc>
          <w:tcPr>
            <w:tcW w:w="800" w:type="dxa"/>
          </w:tcPr>
          <w:p w14:paraId="4AC1BF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05EF21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41F0AD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494E6C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60B24F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З4</w:t>
            </w:r>
          </w:p>
        </w:tc>
        <w:tc>
          <w:tcPr>
            <w:tcW w:w="800" w:type="dxa"/>
          </w:tcPr>
          <w:p w14:paraId="33B2AB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685A94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761046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988" w:type="dxa"/>
          </w:tcPr>
          <w:p w14:paraId="697906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w:t>
            </w:r>
          </w:p>
        </w:tc>
        <w:tc>
          <w:tcPr>
            <w:tcW w:w="851" w:type="dxa"/>
          </w:tcPr>
          <w:p w14:paraId="62F0E4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22" w:type="dxa"/>
          </w:tcPr>
          <w:p w14:paraId="4E8148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w:t>
            </w:r>
          </w:p>
        </w:tc>
        <w:tc>
          <w:tcPr>
            <w:tcW w:w="722" w:type="dxa"/>
          </w:tcPr>
          <w:p w14:paraId="50D250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22" w:type="dxa"/>
          </w:tcPr>
          <w:p w14:paraId="2F78D6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w:t>
            </w:r>
          </w:p>
        </w:tc>
      </w:tr>
      <w:tr w:rsidR="00643896" w:rsidRPr="00640820" w14:paraId="535E5195" w14:textId="77777777" w:rsidTr="000D3BCB">
        <w:tc>
          <w:tcPr>
            <w:tcW w:w="800" w:type="dxa"/>
          </w:tcPr>
          <w:p w14:paraId="3EA8E2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Осталось на заводе</w:t>
            </w:r>
          </w:p>
        </w:tc>
        <w:tc>
          <w:tcPr>
            <w:tcW w:w="800" w:type="dxa"/>
          </w:tcPr>
          <w:p w14:paraId="6FF5C1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w:t>
            </w:r>
          </w:p>
        </w:tc>
        <w:tc>
          <w:tcPr>
            <w:tcW w:w="800" w:type="dxa"/>
          </w:tcPr>
          <w:p w14:paraId="4201BA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w:t>
            </w:r>
          </w:p>
        </w:tc>
        <w:tc>
          <w:tcPr>
            <w:tcW w:w="800" w:type="dxa"/>
          </w:tcPr>
          <w:p w14:paraId="5760E0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32</w:t>
            </w:r>
          </w:p>
        </w:tc>
        <w:tc>
          <w:tcPr>
            <w:tcW w:w="800" w:type="dxa"/>
          </w:tcPr>
          <w:p w14:paraId="3AA06C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55</w:t>
            </w:r>
          </w:p>
        </w:tc>
        <w:tc>
          <w:tcPr>
            <w:tcW w:w="800" w:type="dxa"/>
          </w:tcPr>
          <w:p w14:paraId="375F58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83</w:t>
            </w:r>
          </w:p>
        </w:tc>
        <w:tc>
          <w:tcPr>
            <w:tcW w:w="800" w:type="dxa"/>
          </w:tcPr>
          <w:p w14:paraId="5FE5C9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118</w:t>
            </w:r>
          </w:p>
        </w:tc>
        <w:tc>
          <w:tcPr>
            <w:tcW w:w="800" w:type="dxa"/>
          </w:tcPr>
          <w:p w14:paraId="0D68CF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61</w:t>
            </w:r>
          </w:p>
        </w:tc>
        <w:tc>
          <w:tcPr>
            <w:tcW w:w="800" w:type="dxa"/>
          </w:tcPr>
          <w:p w14:paraId="08DA94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61</w:t>
            </w:r>
          </w:p>
        </w:tc>
        <w:tc>
          <w:tcPr>
            <w:tcW w:w="988" w:type="dxa"/>
          </w:tcPr>
          <w:p w14:paraId="448C9B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74</w:t>
            </w:r>
          </w:p>
        </w:tc>
        <w:tc>
          <w:tcPr>
            <w:tcW w:w="851" w:type="dxa"/>
          </w:tcPr>
          <w:p w14:paraId="61251C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106</w:t>
            </w:r>
          </w:p>
        </w:tc>
        <w:tc>
          <w:tcPr>
            <w:tcW w:w="722" w:type="dxa"/>
          </w:tcPr>
          <w:p w14:paraId="67B913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87</w:t>
            </w:r>
          </w:p>
        </w:tc>
        <w:tc>
          <w:tcPr>
            <w:tcW w:w="722" w:type="dxa"/>
          </w:tcPr>
          <w:p w14:paraId="423A39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ЮЗ8</w:t>
            </w:r>
          </w:p>
        </w:tc>
        <w:tc>
          <w:tcPr>
            <w:tcW w:w="722" w:type="dxa"/>
          </w:tcPr>
          <w:p w14:paraId="4ECE17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r>
      <w:tr w:rsidR="00643896" w:rsidRPr="00640820" w14:paraId="3214542B" w14:textId="77777777" w:rsidTr="000D3BCB">
        <w:tc>
          <w:tcPr>
            <w:tcW w:w="800" w:type="dxa"/>
          </w:tcPr>
          <w:p w14:paraId="646C93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 т.ч. принятых</w:t>
            </w:r>
          </w:p>
        </w:tc>
        <w:tc>
          <w:tcPr>
            <w:tcW w:w="800" w:type="dxa"/>
          </w:tcPr>
          <w:p w14:paraId="34627A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4109F4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w:t>
            </w:r>
          </w:p>
        </w:tc>
        <w:tc>
          <w:tcPr>
            <w:tcW w:w="800" w:type="dxa"/>
          </w:tcPr>
          <w:p w14:paraId="35F6AE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31</w:t>
            </w:r>
          </w:p>
        </w:tc>
        <w:tc>
          <w:tcPr>
            <w:tcW w:w="800" w:type="dxa"/>
          </w:tcPr>
          <w:p w14:paraId="53847A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54</w:t>
            </w:r>
          </w:p>
        </w:tc>
        <w:tc>
          <w:tcPr>
            <w:tcW w:w="800" w:type="dxa"/>
          </w:tcPr>
          <w:p w14:paraId="1C5369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83</w:t>
            </w:r>
          </w:p>
        </w:tc>
        <w:tc>
          <w:tcPr>
            <w:tcW w:w="800" w:type="dxa"/>
          </w:tcPr>
          <w:p w14:paraId="47149B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117</w:t>
            </w:r>
          </w:p>
        </w:tc>
        <w:tc>
          <w:tcPr>
            <w:tcW w:w="800" w:type="dxa"/>
          </w:tcPr>
          <w:p w14:paraId="7C8BDF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57</w:t>
            </w:r>
          </w:p>
        </w:tc>
        <w:tc>
          <w:tcPr>
            <w:tcW w:w="800" w:type="dxa"/>
          </w:tcPr>
          <w:p w14:paraId="1D07B6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60</w:t>
            </w:r>
          </w:p>
        </w:tc>
        <w:tc>
          <w:tcPr>
            <w:tcW w:w="988" w:type="dxa"/>
          </w:tcPr>
          <w:p w14:paraId="4BF560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73</w:t>
            </w:r>
          </w:p>
        </w:tc>
        <w:tc>
          <w:tcPr>
            <w:tcW w:w="851" w:type="dxa"/>
          </w:tcPr>
          <w:p w14:paraId="1F7C5D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98</w:t>
            </w:r>
          </w:p>
        </w:tc>
        <w:tc>
          <w:tcPr>
            <w:tcW w:w="722" w:type="dxa"/>
          </w:tcPr>
          <w:p w14:paraId="0127C7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71</w:t>
            </w:r>
          </w:p>
        </w:tc>
        <w:tc>
          <w:tcPr>
            <w:tcW w:w="722" w:type="dxa"/>
          </w:tcPr>
          <w:p w14:paraId="6E17E3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98</w:t>
            </w:r>
          </w:p>
        </w:tc>
        <w:tc>
          <w:tcPr>
            <w:tcW w:w="722" w:type="dxa"/>
          </w:tcPr>
          <w:p w14:paraId="2575C5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r>
      <w:tr w:rsidR="00643896" w:rsidRPr="00640820" w14:paraId="6BF02CE6" w14:textId="77777777" w:rsidTr="000D3BCB">
        <w:tc>
          <w:tcPr>
            <w:tcW w:w="800" w:type="dxa"/>
            <w:tcBorders>
              <w:bottom w:val="single" w:sz="12" w:space="0" w:color="auto"/>
            </w:tcBorders>
          </w:tcPr>
          <w:p w14:paraId="50EDB9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lastRenderedPageBreak/>
              <w:t>в т.ч. облетанных</w:t>
            </w:r>
          </w:p>
        </w:tc>
        <w:tc>
          <w:tcPr>
            <w:tcW w:w="800" w:type="dxa"/>
            <w:tcBorders>
              <w:bottom w:val="single" w:sz="12" w:space="0" w:color="auto"/>
            </w:tcBorders>
          </w:tcPr>
          <w:p w14:paraId="4AE13A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Borders>
              <w:bottom w:val="single" w:sz="12" w:space="0" w:color="auto"/>
            </w:tcBorders>
          </w:tcPr>
          <w:p w14:paraId="3D82E1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Borders>
              <w:bottom w:val="single" w:sz="12" w:space="0" w:color="auto"/>
            </w:tcBorders>
          </w:tcPr>
          <w:p w14:paraId="6106CC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w:t>
            </w:r>
          </w:p>
        </w:tc>
        <w:tc>
          <w:tcPr>
            <w:tcW w:w="800" w:type="dxa"/>
            <w:tcBorders>
              <w:bottom w:val="single" w:sz="12" w:space="0" w:color="auto"/>
            </w:tcBorders>
          </w:tcPr>
          <w:p w14:paraId="5CD79C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Borders>
              <w:bottom w:val="single" w:sz="12" w:space="0" w:color="auto"/>
            </w:tcBorders>
          </w:tcPr>
          <w:p w14:paraId="56A388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Borders>
              <w:bottom w:val="single" w:sz="12" w:space="0" w:color="auto"/>
            </w:tcBorders>
          </w:tcPr>
          <w:p w14:paraId="5AADBC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Borders>
              <w:bottom w:val="single" w:sz="12" w:space="0" w:color="auto"/>
            </w:tcBorders>
          </w:tcPr>
          <w:p w14:paraId="5628A4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w:t>
            </w:r>
          </w:p>
        </w:tc>
        <w:tc>
          <w:tcPr>
            <w:tcW w:w="800" w:type="dxa"/>
            <w:tcBorders>
              <w:bottom w:val="single" w:sz="12" w:space="0" w:color="auto"/>
            </w:tcBorders>
          </w:tcPr>
          <w:p w14:paraId="702B68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59</w:t>
            </w:r>
          </w:p>
        </w:tc>
        <w:tc>
          <w:tcPr>
            <w:tcW w:w="988" w:type="dxa"/>
            <w:tcBorders>
              <w:bottom w:val="single" w:sz="12" w:space="0" w:color="auto"/>
            </w:tcBorders>
          </w:tcPr>
          <w:p w14:paraId="4C44DF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60</w:t>
            </w:r>
          </w:p>
        </w:tc>
        <w:tc>
          <w:tcPr>
            <w:tcW w:w="851" w:type="dxa"/>
            <w:tcBorders>
              <w:bottom w:val="single" w:sz="12" w:space="0" w:color="auto"/>
            </w:tcBorders>
          </w:tcPr>
          <w:p w14:paraId="09316F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Borders>
              <w:bottom w:val="single" w:sz="12" w:space="0" w:color="auto"/>
            </w:tcBorders>
          </w:tcPr>
          <w:p w14:paraId="488E57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59</w:t>
            </w:r>
          </w:p>
        </w:tc>
        <w:tc>
          <w:tcPr>
            <w:tcW w:w="722" w:type="dxa"/>
            <w:tcBorders>
              <w:bottom w:val="single" w:sz="12" w:space="0" w:color="auto"/>
            </w:tcBorders>
          </w:tcPr>
          <w:p w14:paraId="17BC4A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48</w:t>
            </w:r>
          </w:p>
        </w:tc>
        <w:tc>
          <w:tcPr>
            <w:tcW w:w="722" w:type="dxa"/>
            <w:tcBorders>
              <w:bottom w:val="single" w:sz="12" w:space="0" w:color="auto"/>
            </w:tcBorders>
          </w:tcPr>
          <w:p w14:paraId="2D9298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r>
    </w:tbl>
    <w:p w14:paraId="77F776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План, установленный приказом наркома авиапромышленности № 568сс от 24 июня 194</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 xml:space="preserve"> г. в изменение приказа № 702сс от 9 декабря 1940 г.</w:t>
      </w:r>
    </w:p>
    <w:p w14:paraId="6B90C6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Приведены данные по РГАЭ ф.8040 оп.1 д.886 л.9.</w:t>
      </w:r>
    </w:p>
    <w:p w14:paraId="2C128B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 Из этого числа в деталях и агрегатах (или как тогда говорили "россыпью") пять Як-1, которые были отправлены 14.01.42 г. на завод № 30 для организации производства. На этом заводе к сборке самолетов так и не приступили. Задел деталей был передан 20 февраля на завод № 23, а затем 6 мая 1942 г. на завод № 301. Машины №№ 1749, 2549, 2749, 2949, 3349 "увидели свет" только в 1943 году. Причем летная жизнь самолетов № 2749 и 3349 оказалась недолгой (меньше одного часа!). При перелете в часть после взлета с заводского аэродрома оба были разбиты при вынужденной посадке из-за отказа мотора. А также </w:t>
      </w:r>
      <w:r w:rsidRPr="00640820">
        <w:rPr>
          <w:rFonts w:ascii="Times New Roman" w:hAnsi="Times New Roman"/>
          <w:color w:val="000000" w:themeColor="text1"/>
          <w:sz w:val="16"/>
          <w:szCs w:val="16"/>
          <w:lang w:val="en-US"/>
        </w:rPr>
        <w:t>II</w:t>
      </w:r>
      <w:r w:rsidRPr="00640820">
        <w:rPr>
          <w:rFonts w:ascii="Times New Roman" w:hAnsi="Times New Roman"/>
          <w:color w:val="000000" w:themeColor="text1"/>
          <w:sz w:val="16"/>
          <w:szCs w:val="16"/>
        </w:rPr>
        <w:t xml:space="preserve"> Як-1, отправленные россыпью для организации производства на заводе № 47. Там в начале 1942 г. собрали всего две машины (№ 4844 и № 4944, которые поступили с моторами). Остальные машины (три в расстыкованном состоянии) и агрегаты еще на шесть самолетов россыпью вернули на завод № 292 в июне 1942 г.</w:t>
      </w:r>
    </w:p>
    <w:p w14:paraId="5E87FA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В это число входят Як-1 не подлежавшие военной приемке № 1111 (отправлен на завод № 115), № 1811 (отправлен в ЛИИ НКАП) и Як-1 № 1314 (проходивий эксплуатационные испытания на заводе)</w:t>
      </w:r>
    </w:p>
    <w:p w14:paraId="218F97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Як-1 № 0915 не подлежавший военной приемке, отправленный в ЛИИ НКАП.</w:t>
      </w:r>
    </w:p>
    <w:p w14:paraId="1CB931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Як-1 № 0130 отправленый на завод № 26</w:t>
      </w:r>
    </w:p>
    <w:p w14:paraId="07B7E9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11 Як-1 россыпью на завод № 47.</w:t>
      </w:r>
    </w:p>
    <w:p w14:paraId="35897C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8. В том числе 76 для ГУ </w:t>
      </w:r>
      <w:r w:rsidRPr="00640820">
        <w:rPr>
          <w:rFonts w:ascii="Times New Roman" w:hAnsi="Times New Roman"/>
          <w:color w:val="000000" w:themeColor="text1"/>
          <w:sz w:val="16"/>
          <w:szCs w:val="16"/>
          <w:lang w:val="en-US"/>
        </w:rPr>
        <w:t>BBC</w:t>
      </w:r>
      <w:r w:rsidRPr="00640820">
        <w:rPr>
          <w:rFonts w:ascii="Times New Roman" w:hAnsi="Times New Roman"/>
          <w:color w:val="000000" w:themeColor="text1"/>
          <w:sz w:val="16"/>
          <w:szCs w:val="16"/>
        </w:rPr>
        <w:t xml:space="preserve"> КА, 22 для УА ВМФ, пять Як-1 россыпью для завода № 30 (12048).</w:t>
      </w:r>
    </w:p>
    <w:p w14:paraId="7689A0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8DD69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ноября 1941 вышел приказ НКАП № 1103с:</w:t>
      </w:r>
    </w:p>
    <w:p w14:paraId="0129A6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З-д № 480 6 ГУ эвакуированный по решению ГКО на общую площадку с з-м № 135 передать з-ду № 135 1 ГУ,</w:t>
      </w:r>
    </w:p>
    <w:p w14:paraId="35E13B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связи с указанным з-д № 480 исключить из числа действующих предприятий НКАП. Объединенному з-ду присвоить № 135.</w:t>
      </w:r>
    </w:p>
    <w:p w14:paraId="1CC48E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Кузнецов (1341, 4).</w:t>
      </w:r>
    </w:p>
    <w:p w14:paraId="3B93DC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27CA4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ноября 1941 г. по приказу № 1103с завод № 480 НКАП, эвакуированный в Молотов на площадку строящегося завода № 19, был влит в состав завода № 135 НКАП.</w:t>
      </w:r>
    </w:p>
    <w:p w14:paraId="72D01C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(11.1941 г.)- Савельев (11982).</w:t>
      </w:r>
    </w:p>
    <w:p w14:paraId="34D0CD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95C28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ноября 1941 г. пер</w:t>
      </w:r>
      <w:r w:rsidRPr="00640820">
        <w:rPr>
          <w:rFonts w:ascii="Times New Roman" w:hAnsi="Times New Roman"/>
          <w:color w:val="000000" w:themeColor="text1"/>
          <w:sz w:val="16"/>
          <w:szCs w:val="16"/>
        </w:rPr>
        <w:softHyphen/>
        <w:t>вые эшелоны с оборудованием московского планерного завода № 241 прибыли в Тюмень, позже планерные мастерские из г. Голицино Московской об</w:t>
      </w:r>
      <w:r w:rsidRPr="00640820">
        <w:rPr>
          <w:rFonts w:ascii="Times New Roman" w:hAnsi="Times New Roman"/>
          <w:color w:val="000000" w:themeColor="text1"/>
          <w:sz w:val="16"/>
          <w:szCs w:val="16"/>
        </w:rPr>
        <w:softHyphen/>
        <w:t>ласти и ОКБ-31 из Воронежа. Конструкторы О. Антонов и А. Эскин разработали особый проект гибрида танка и десантного планера. Работы над планером, получивший индекс «А-40», начались в декабре 1941 г. Он стал именоваться «КТ-60» («Крылья танка»). Для испытаний использовался серийный легкий танк «Т-60». По расчетам конструкторов, его ходовая часть должна была выдерживать на</w:t>
      </w:r>
      <w:r w:rsidRPr="00640820">
        <w:rPr>
          <w:rFonts w:ascii="Times New Roman" w:hAnsi="Times New Roman"/>
          <w:color w:val="000000" w:themeColor="text1"/>
          <w:sz w:val="16"/>
          <w:szCs w:val="16"/>
        </w:rPr>
        <w:softHyphen/>
        <w:t>грузки при взлете. Предполагалось, что танк будет отцепляться от буксировщика за 20–30 км от места посадки, проделывая оставшийся путь как планер. Планер построили в апреле 1942 г., после чего перевезли для испытаний в подмосковный Жуковский. Проводил их летчик-испытатель С. Анохин. В качестве буксировщика использовали бомбардиров</w:t>
      </w:r>
      <w:r w:rsidRPr="00640820">
        <w:rPr>
          <w:rFonts w:ascii="Times New Roman" w:hAnsi="Times New Roman"/>
          <w:color w:val="000000" w:themeColor="text1"/>
          <w:sz w:val="16"/>
          <w:szCs w:val="16"/>
        </w:rPr>
        <w:softHyphen/>
        <w:t>щик «ТБ-3». Ввиду отсутствия более мощного буксировщика и прекращения выпуска танков типа «Т-60» испытания были прерваны. И за</w:t>
      </w:r>
      <w:r w:rsidRPr="00640820">
        <w:rPr>
          <w:rFonts w:ascii="Times New Roman" w:hAnsi="Times New Roman"/>
          <w:color w:val="000000" w:themeColor="text1"/>
          <w:sz w:val="16"/>
          <w:szCs w:val="16"/>
        </w:rPr>
        <w:softHyphen/>
        <w:t>вод № 241 сосредоточил свои усилия на выпу</w:t>
      </w:r>
      <w:r w:rsidRPr="00640820">
        <w:rPr>
          <w:rFonts w:ascii="Times New Roman" w:hAnsi="Times New Roman"/>
          <w:color w:val="000000" w:themeColor="text1"/>
          <w:sz w:val="16"/>
          <w:szCs w:val="16"/>
        </w:rPr>
        <w:softHyphen/>
        <w:t>ске десантных планеров типа «А-7» (Тыл – это половина Победы. Тюмень : Тю</w:t>
      </w:r>
      <w:r w:rsidRPr="00640820">
        <w:rPr>
          <w:rFonts w:ascii="Times New Roman" w:hAnsi="Times New Roman"/>
          <w:color w:val="000000" w:themeColor="text1"/>
          <w:sz w:val="16"/>
          <w:szCs w:val="16"/>
        </w:rPr>
        <w:softHyphen/>
        <w:t>мен. дом печати, 2006. С. 39.). Во вто</w:t>
      </w:r>
      <w:r w:rsidRPr="00640820">
        <w:rPr>
          <w:rFonts w:ascii="Times New Roman" w:hAnsi="Times New Roman"/>
          <w:color w:val="000000" w:themeColor="text1"/>
          <w:sz w:val="16"/>
          <w:szCs w:val="16"/>
        </w:rPr>
        <w:softHyphen/>
        <w:t>рой половине 1942 г. завод № 241 был реэва</w:t>
      </w:r>
      <w:r w:rsidRPr="00640820">
        <w:rPr>
          <w:rFonts w:ascii="Times New Roman" w:hAnsi="Times New Roman"/>
          <w:color w:val="000000" w:themeColor="text1"/>
          <w:sz w:val="16"/>
          <w:szCs w:val="16"/>
        </w:rPr>
        <w:softHyphen/>
        <w:t>куирован (Шуранов, Н. П. Создание оборонной про</w:t>
      </w:r>
      <w:r w:rsidRPr="00640820">
        <w:rPr>
          <w:rFonts w:ascii="Times New Roman" w:hAnsi="Times New Roman"/>
          <w:color w:val="000000" w:themeColor="text1"/>
          <w:sz w:val="16"/>
          <w:szCs w:val="16"/>
        </w:rPr>
        <w:softHyphen/>
        <w:t>мышленности в Западной Сибири в годы Ве</w:t>
      </w:r>
      <w:r w:rsidRPr="00640820">
        <w:rPr>
          <w:rFonts w:ascii="Times New Roman" w:hAnsi="Times New Roman"/>
          <w:color w:val="000000" w:themeColor="text1"/>
          <w:sz w:val="16"/>
          <w:szCs w:val="16"/>
        </w:rPr>
        <w:softHyphen/>
        <w:t>ликой Отечественной войны : монография. Кемерово : ФГУИПП «Кузбасс», 2004. С. 47.). Но, к сожалению, в книге-альбоме «Тыл – это половины победы», посвященной поколению военного времени г. Тюмени, есть неточность. Авторы утверждают, что планеро</w:t>
      </w:r>
      <w:r w:rsidRPr="00640820">
        <w:rPr>
          <w:rFonts w:ascii="Times New Roman" w:hAnsi="Times New Roman"/>
          <w:color w:val="000000" w:themeColor="text1"/>
          <w:sz w:val="16"/>
          <w:szCs w:val="16"/>
        </w:rPr>
        <w:softHyphen/>
        <w:t>строители работали в Тюмени до 1944 г., затем завод был переведен в Саратов и в Рязань (Тыл – это половина Победы. Тюмень : Тю</w:t>
      </w:r>
      <w:r w:rsidRPr="00640820">
        <w:rPr>
          <w:rFonts w:ascii="Times New Roman" w:hAnsi="Times New Roman"/>
          <w:color w:val="000000" w:themeColor="text1"/>
          <w:sz w:val="16"/>
          <w:szCs w:val="16"/>
        </w:rPr>
        <w:softHyphen/>
        <w:t>мен. дом печати, 2006. С. 39.). Завод № 241 не мог производить планеры до 1944 г., так как по решению ГКО был переве</w:t>
      </w:r>
      <w:r w:rsidRPr="00640820">
        <w:rPr>
          <w:rFonts w:ascii="Times New Roman" w:hAnsi="Times New Roman"/>
          <w:color w:val="000000" w:themeColor="text1"/>
          <w:sz w:val="16"/>
          <w:szCs w:val="16"/>
        </w:rPr>
        <w:softHyphen/>
        <w:t>ден в другой город (11896).</w:t>
      </w:r>
    </w:p>
    <w:p w14:paraId="6F9887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98931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ноября 1941 вышел приказ НКАП № 1104с:</w:t>
      </w:r>
    </w:p>
    <w:p w14:paraId="2F2A11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Д-ру з-да 47 Шаройко нав базе принятого з-да № 478 организовать пр-во запчастей к с-м,</w:t>
      </w:r>
    </w:p>
    <w:p w14:paraId="7BF55F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связи с указанным з-д № 478 исключить из числа действующих предприятий НКАП. Объелиненному з-ду присвоить № 47.</w:t>
      </w:r>
    </w:p>
    <w:p w14:paraId="0F581E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Кузнецов (1341, 9).</w:t>
      </w:r>
    </w:p>
    <w:p w14:paraId="42A137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DC891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ноября 1941 г. по приказу № 1104 завод № 478 6ГУ НКАП (ГС Завод № 478 ИМ. Тельмана НКАП, Завод «Сельмаш», Завод «Металлист», Калужский весовой завод, Весовой завод им. Тельмана НКОМ /г. Калуга/) со всем оборудованием и личным составом влит в состав завода № 47 НКАП. Выбыл из числа действующих, (есть информация, что завод № 478 (возможно, другая его часть) эвакуирован в Ташкент и влит в состав завода № 84 НКАП).</w:t>
      </w:r>
    </w:p>
    <w:p w14:paraId="527A68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распоряжению СНК № 2264р от 11.02.1942 г. площадка в Калуге передана в НКПС для организации производства запчастей и механизмов для восстановления ж/д транспорта, где образован Литейно-механический завод.</w:t>
      </w:r>
    </w:p>
    <w:p w14:paraId="3D08AF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(-11.1941 г.)- Антонов.</w:t>
      </w:r>
    </w:p>
    <w:p w14:paraId="114949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Литейно-механический завод НКПС, Калужский завод транспортного машиностроения («Калугатрансмаш»), АООТ, ОАО «Калугатрансмаш» /248634  г. Калуга ул. Московская, 250/</w:t>
      </w:r>
    </w:p>
    <w:p w14:paraId="439F68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распоряжению СНК № 2264р от 11.02.1942 г. площадка эвакуированного завода № 478 НКАП передана в НКПС и на ней организован Литейно-механический завод для производства запчастей и механизмов для восстановления ж/д транспорта. В 1957 г. Литейно-механический завод переименован в Калужский завод транспортного машиностроения. В 1993 г. завод акционирован и преобразован в АООТ, а с 1996 г.- ОАО «Калугатрансмаш».</w:t>
      </w:r>
    </w:p>
    <w:p w14:paraId="556F31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Гендиректор (1995-2004 г.)- В.Д. Ермаков, (2004 г.-)- В.П. Злобин (11982).</w:t>
      </w:r>
    </w:p>
    <w:p w14:paraId="25D445B4" w14:textId="77777777" w:rsidR="006A3215" w:rsidRPr="00640820" w:rsidRDefault="006A3215" w:rsidP="00640820">
      <w:pPr>
        <w:autoSpaceDE w:val="0"/>
        <w:autoSpaceDN w:val="0"/>
        <w:adjustRightInd w:val="0"/>
        <w:spacing w:after="0" w:line="240" w:lineRule="auto"/>
        <w:jc w:val="both"/>
        <w:rPr>
          <w:rFonts w:ascii="Times New Roman" w:hAnsi="Times New Roman"/>
          <w:color w:val="000000" w:themeColor="text1"/>
          <w:sz w:val="16"/>
          <w:szCs w:val="16"/>
        </w:rPr>
      </w:pPr>
    </w:p>
    <w:p w14:paraId="5B82D1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ноября 1941 вышел приказ НКАП №1104, в соответствии с которым в конце 1941 г. завод №47 в г.Чкалове был объединен с эвакуированным заводом №478 НКАП в единый завод №47 НКАП.</w:t>
      </w:r>
    </w:p>
    <w:p w14:paraId="44B19D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Директора единого завода в г.Чкалове: Я.Е.Шаройко, В.С.Котов, А.А.Евтеев. </w:t>
      </w:r>
    </w:p>
    <w:p w14:paraId="6CE7B9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г.Чкалове по прибытии началась организация производства самолетов УТ-2 (производство до 1942 г.), Як-1 (построено мало), Як-6 (в 1942-43гг.). </w:t>
      </w:r>
    </w:p>
    <w:p w14:paraId="10BD16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1943 г. гл.к. завода был утвержден А.Я.Щербаков (приказ №573 от 25.9.43 г.). Тем же приказом был переведен с завода №482 на новое место коллектив КБ А.Я.Щербакова. Здесь образовано ОКБ-47. Это КБ действовало в период с 1943 г. по 1946 г. В эти годы доработан и пущен в производство на заводе транспортный самолет Ще-2, проведена его модернизация в пассажирский, санитарный и с/х варианты (в 1944 г.). Был проект (1946 г.) истребителя "ВСИ" с 2-мя поворотными ТРД. Велись работы по гермокабинам первых самолетов с ТРД (1946 г.). С .3.46 г. по приказу НКАП №93 от 6.3.46 г. ОКБ-47 ликвидировано, а часть штата была объединена с ОКБ завода №30 НКАП (г.Москва). </w:t>
      </w:r>
    </w:p>
    <w:p w14:paraId="4113BC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заводе в последние годы ВОВ и после войны осуществлялось производство самолетов Ще-2 (в 1944-46гг.) и По-2 (1949 г.). Производились планеры десантные Ц-25 (в 1947-49гг.), учебные А-2 (в 1947-48гг.) и Як-14 (в 1950-52гг.). </w:t>
      </w:r>
    </w:p>
    <w:p w14:paraId="2D2DC2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1951 г. завод передан из 11ГУ в 10ГУ МАП. Гл.к. завода (на 47 г.) - Кривов. </w:t>
      </w:r>
    </w:p>
    <w:p w14:paraId="4F981B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Позже на заводе вновь строились самолеты - выпущена партия штурмовиков Ил-10М (1953-54гг.). В 1955-58гг. в производстве находился вертолет Ми-1. </w:t>
      </w:r>
    </w:p>
    <w:p w14:paraId="196B96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период с конца 1950-х гг по 1980-е гг. завод выполнял серийное изготовление ракетной и беспилотной авиационной техники. Строился самолет-снаряд С-2 ("КСС") в 1958-61гг., самолет-мишень Ла-17М (с 1962 г.) и Ла-17ММ. Кроме того строились баллистические ракеты 8К11, 8К63, 8К84. Противокорабельные ракеты П-5, П-6, П-35, «Малахит», «Базальт», «Вулкан», «Гранит». Сопровождение серийного производства обеспечивал оренбургский филиал ЦКБМ (с середины 1970-х - КБ «Орион»). Шла работа над заказами по изготовлению блоков автоматических станций, идущих к Луне, Марсу, Венере. </w:t>
      </w:r>
    </w:p>
    <w:p w14:paraId="4F7277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.04.1986 г. завод преобразовывается в Федеральное Государственное Предприятие «Производственное Объединение «Стрела», в составе которых находились пять специализированных производств. </w:t>
      </w:r>
    </w:p>
    <w:p w14:paraId="7565B7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1987-1990 гг. ПО «Стрела» наладило производство оборудования для агропромышленного комплекса. После вынужденной конверсии с 1990 г. ПО «Стрела» начинает выпускать совместно с ОАО «Камов» многоцелевые гражданские вертолеты Ка-226, развивает внешнеэкономические связи. </w:t>
      </w:r>
    </w:p>
    <w:p w14:paraId="5A40AE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предприятии осваивается производство ПКР «Яхонт», ПО «Стрела» является участником совместного российско-индийского проекта по производству крылатых ракет PJ-10 «Brahmos» на базе комплексов «Яхонт». Проводит изготовление комплекса воздушной мишени «Дань». </w:t>
      </w:r>
    </w:p>
    <w:p w14:paraId="7E73BA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Генеральный директор - Д.А.Тараков (в 1976-2001гг), далее - Грачев Сергей Иванович (с 2001 г. по нвст. вр.). </w:t>
      </w:r>
    </w:p>
    <w:p w14:paraId="38BDCB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Стрела, ПО, ФГУП </w:t>
      </w:r>
    </w:p>
    <w:p w14:paraId="642FE1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Ранее - Завод №47 </w:t>
      </w:r>
    </w:p>
    <w:p w14:paraId="1BE49A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460005, г.Оренбург, ул.Шевченко, 26 т. (3532)35-72-09, 35-61-74, http://www.pa-strela.ru (10777).</w:t>
      </w:r>
    </w:p>
    <w:p w14:paraId="2C0EB1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AAAD6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9 ноября 1941 г. по приказу ЕКАП № 1104 в состав завода №47 (Завод № 47 НКВМ, ВСНХ, НКТП, Государственный опытный завод № 47 НКОП, Завод «Ремвоздух» УВВС РККА, ВСНХ, Завод № 47 НКАП, МАП, Оренбургский вертолетный завод, Оренбургский машиностроительный завод (ОрМЗ) СНХ, </w:t>
      </w:r>
      <w:r w:rsidRPr="00640820">
        <w:rPr>
          <w:rFonts w:ascii="Times New Roman" w:hAnsi="Times New Roman"/>
          <w:color w:val="000000" w:themeColor="text1"/>
          <w:sz w:val="16"/>
          <w:szCs w:val="16"/>
          <w:lang w:val="en-US"/>
        </w:rPr>
        <w:t>MOM</w:t>
      </w:r>
      <w:r w:rsidRPr="00640820">
        <w:rPr>
          <w:rFonts w:ascii="Times New Roman" w:hAnsi="Times New Roman"/>
          <w:color w:val="000000" w:themeColor="text1"/>
          <w:sz w:val="16"/>
          <w:szCs w:val="16"/>
        </w:rPr>
        <w:t>, ПО «Стрела», ФГУП «ПО «Стрела» ФКА / г. Ленинград; г, Чкалов ул. Авиационная/ /460005  г. Оренбург ул. Шевченко, 26 тел. 35-72-09, 65-71-00/) влит эвакуированный завод № 478 НКАП.</w:t>
      </w:r>
    </w:p>
    <w:p w14:paraId="16FF4E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1943-46 г. ОКБ на заводе возглавлял А.Я. Щербаков.</w:t>
      </w:r>
    </w:p>
    <w:p w14:paraId="5B6862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05.1944 г. на старом месте в Ленинграде (и на площадке завода № 387 НКАП) образовался завод № 273 НКАП.</w:t>
      </w:r>
    </w:p>
    <w:p w14:paraId="4E9216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1951 г. завод передан из 11ГУ в 10ГУ. В соответствии с пост. СМ СССР № 713-342 от 26.06.1957 г. передан в ведение СНХ РСФСР.</w:t>
      </w:r>
    </w:p>
    <w:p w14:paraId="557F87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Позднее назывался Оренбургский вертолетный завод, в 10.1961 г. переименован в Оренбургский машиностроительный завод. В 04.1986 г. завод был преобразован в ПО «Стрела», в состав котрого вошли 5 производств.</w:t>
      </w:r>
    </w:p>
    <w:p w14:paraId="187D81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1958 г. завод перешел на производство ракетной и беспилотной авиатехники. По приказу от 6.03.1966 г. ОМЗ из системы СНХ передан в подчинение 1ГУ </w:t>
      </w:r>
      <w:r w:rsidRPr="00640820">
        <w:rPr>
          <w:rFonts w:ascii="Times New Roman" w:hAnsi="Times New Roman"/>
          <w:color w:val="000000" w:themeColor="text1"/>
          <w:sz w:val="16"/>
          <w:szCs w:val="16"/>
          <w:lang w:val="en-US"/>
        </w:rPr>
        <w:t>MOM</w:t>
      </w:r>
      <w:r w:rsidRPr="00640820">
        <w:rPr>
          <w:rFonts w:ascii="Times New Roman" w:hAnsi="Times New Roman"/>
          <w:color w:val="000000" w:themeColor="text1"/>
          <w:sz w:val="16"/>
          <w:szCs w:val="16"/>
        </w:rPr>
        <w:t>.</w:t>
      </w:r>
    </w:p>
    <w:p w14:paraId="21E4BD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1990 г. начата подготовка к производству Ка-226.</w:t>
      </w:r>
    </w:p>
    <w:p w14:paraId="5F4DDB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2000-е  г. принимало участие в совместном российско-индийском проекте по производству КР «БраМос».</w:t>
      </w:r>
    </w:p>
    <w:p w14:paraId="48F38A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 В 10.2004 г. вошло в ОАО «ВПК «НПО машиностроения».</w:t>
      </w:r>
    </w:p>
    <w:p w14:paraId="4206A4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(11.1940 г.)- 144 металлорежущих станков.</w:t>
      </w:r>
    </w:p>
    <w:p w14:paraId="13DDAE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Директор (-1933 г.)- И.И. Лебедев, (1934 г.-)- М.Н. Симанович, (-06.1937-29.08.1938 г.)- В.П. Воронин; и.о. (29.08.1938 г.-)- П.С. Брылин; (15.10.1938-12.1940 г.-)- П.П. Скарандаев, (1939;-1941-06.1942 г.-)- Я.Е. Шаройко, (1942-09.1943 г.-)-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xml:space="preserve">. Котов, (1943-47 г.)- А.А. Евтеев, (1947-55 г.)- М. Г. Анисимов, (1955-72 г.)- Л.А. Гуськов, (1972-75 г.)-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xml:space="preserve">. Сизов. Гендиректор (01.1976-03.2001 г.)-Д.А. Тараков, (03.2001-03 г.)- С.И. Грачев,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Маркман.</w:t>
      </w:r>
    </w:p>
    <w:p w14:paraId="3A796F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1-й зам. Гендиректора (2002 г.)-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Маркман.</w:t>
      </w:r>
    </w:p>
    <w:p w14:paraId="5FB67A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технический (-26.01.1937 г.)- К.Н. Лицкевич, (26.01.1937 г.-)- П.С. Брылин.</w:t>
      </w:r>
    </w:p>
    <w:p w14:paraId="76744F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Гл. инженер (-21.11.1938 г.)- П.С. Брылин, (21.11.1938 г.-)- Я.Е. Шаройко, (2002 г.)-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Маркман.</w:t>
      </w:r>
    </w:p>
    <w:p w14:paraId="670DB1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(1934 г.)- А.С. Яковлев, (1943-46 г.)- А.Я. Щербаков, (1947 г.)- Кривов.</w:t>
      </w:r>
    </w:p>
    <w:p w14:paraId="1370EA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цехов:  Г.М. Чернявский.</w:t>
      </w:r>
    </w:p>
    <w:p w14:paraId="6DE9E2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самолеты: АИР-6 (1934-35)- 40, УТ-1 (1937-40)- 982, УТ-2 (1939-42)- 1151, УТ-3 (1940-), Як-1 (1942)- 2, Як-6 (1942-43)- 249, Ще-2 (1944-46)- 550, планер Ц-25 (1947-49), планер А-2 (1947-48), По-2 (1949), планер Як-14 (1950-52), Ил-10М (1953-54), вертолеты: Ми-1 (1954-58), Ка-226 (1999-);</w:t>
      </w:r>
    </w:p>
    <w:p w14:paraId="40B258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 С-2 (КСС, 1958-61), К-10, П-5 (1958-), П-35, П-6, «Базальт», «Аметист», «Малахит», «Гранит», «Яхонт» ЗМ55Э (1990-е), 4К85,4К80, ЗМ70, ЗМ45; мишени Ла-17 (1952-), Ла-17М (1962-64), Ла-17ММ, Ла-17К (1978-93), «Дань» (1990-); БР: Р-11, Р-12, УР-100, УР-ЮОУТТХ, УР-100К, УР-100К УТТХ, 8К63, 8К84; специальная ГЧ 15Б99 для ракеты 15А11 (1970-е), управляемый ББ 15Ф178 для ракеты 15А18М (1980-е); блоки и агрегаты «Луна», «Марс», «Венера», ОС «Буран»; теплообменники, котлы отопительные, стиральная машина-автомат «Орь», пылесос «Орь» (2000- антенны: САШО, АТП-7.10, АШ-7.11.</w:t>
      </w:r>
    </w:p>
    <w:p w14:paraId="150033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Заводской №: 01147 (11982).</w:t>
      </w:r>
    </w:p>
    <w:p w14:paraId="43CEE7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38F53C5"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5C8D9D1B"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FD10E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ноября 1941 вышло Постановление ГКО № 873 О восстановлении заводов вооружения, эвакуированных на Волгу, Урал и Сибирь. РГАНИР, Фонд ГКО, д. 14, лл. 8-11 (11012).</w:t>
      </w:r>
    </w:p>
    <w:p w14:paraId="5222F1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189DCD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ноября 1941 вышло Постановление ГКО № 875а О строительстве железнодорожной ветки от станции Исакогорка до района Экономия Архангельского порта. (7015, 20-21.).</w:t>
      </w:r>
    </w:p>
    <w:p w14:paraId="40EA6AD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10A2A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ноября 1941 вышло Постановление ГКО № 875 [О мерах по разгрузке и отправке импортных грузов из Архангельского порта.] (7015, 18-19).</w:t>
      </w:r>
    </w:p>
    <w:p w14:paraId="253D9D0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BD78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ноября 1941 вышло Постановление ГКО№ 876 О восстановлении танковых заводов, эвакуированных из Харькова, Москвы и Ленинграда. РГАНИР, Фонд ГКО, д. 14, лл. 22-23 (11012).</w:t>
      </w:r>
    </w:p>
    <w:p w14:paraId="4AB522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1EC58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ноября 1941 вышло Постановление ГКО № 877 О восстановлении заводов боеприпасов, эвакуированных на Волгу, Урал и Сибирь. РГАНИР, Фонд ГКО, д. 14, лл. 24-35 (11012).</w:t>
      </w:r>
    </w:p>
    <w:p w14:paraId="031AB5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2B9D8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ноября 1941 вышло Постановление ГКО № 878 О восстановлении производства предприятий черной металлургии, эвакуированных на Урал и Сибирь и о наращении мощностей за счет ввода в действие новых агрегатов в ноябре-декабре 1941 г. и в январе 1942 г. РГАНИР, Фонд ГКО, д. 14, лл. 36-38, 39-41 (11012).</w:t>
      </w:r>
    </w:p>
    <w:p w14:paraId="1EAA77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CBE29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ноября 1941 вышло Постановление ГКО № 879 Об увеличении производства 14,5 мм противотанкового ружья Симонова. РГАНИР, Фонд ГКО, д. 14, лл. 42-43 (11012).</w:t>
      </w:r>
    </w:p>
    <w:p w14:paraId="765B29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246EF59" w14:textId="77777777" w:rsidR="008D3ECC" w:rsidRPr="00640820" w:rsidRDefault="008D3E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ноября 1941 Постановление ГКО обязывало увеличить производство ПТРС на заводе №614 в Саратове и организовать дополнительно их выпуск на заводе №54 в Златоусте, куда была эвакуирована основная часть завода №66 из Тулы (не было выполнено). Кроме того, этим постановлением ПТРС запускались в производство и на заводе №74 в Ижевске, но без ущерба для производства на нем ПТРД. Завод в Ижевске 6 ноября получил задание на производство ПТРД, а 11 ноября — ПТРС. Из-за отсутствия свободных площадей изготовление деталей было распределено по цехам основного производства за счет их уплотнения. Позже производство ПТ ружей было переведено во вновь выстроенные деревянные бараки. В ноябре завод №74 выпустил первые 36 ПТРД, а в декабре — 2 ПТРС. В Саратове в том же месяце сделали первые 75 ПТРС, хотя его освоение шло с 1 октября, а выпуск 7,92-мм ПТР так и не был налажен (18538).</w:t>
      </w:r>
    </w:p>
    <w:p w14:paraId="16590113" w14:textId="77777777" w:rsidR="008D3ECC" w:rsidRPr="00640820" w:rsidRDefault="008D3ECC" w:rsidP="00640820">
      <w:pPr>
        <w:spacing w:after="0" w:line="240" w:lineRule="auto"/>
        <w:jc w:val="both"/>
        <w:rPr>
          <w:rFonts w:ascii="Times New Roman" w:hAnsi="Times New Roman"/>
          <w:color w:val="000000" w:themeColor="text1"/>
          <w:sz w:val="16"/>
          <w:szCs w:val="16"/>
        </w:rPr>
      </w:pPr>
    </w:p>
    <w:p w14:paraId="6F8B044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ноября 1941 года приказом директора завода № 183 Ю.Е.Максарева за №117 создается отдел 520 – новое конструкторское бюро по танкостроению. На это, понесшее во время эвакуации большие кадровые потери (при отсутствии их полноценной замены), и от того весьма малочисленное КБ свалилось сразу несколько задач:</w:t>
      </w:r>
    </w:p>
    <w:p w14:paraId="432FF17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Почти на пустом месте организовать производство такого технически сложного изделия, как танк Т-34.</w:t>
      </w:r>
    </w:p>
    <w:p w14:paraId="214FE5D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Требовалось максимально приспособить конструкцию танка Т-34 к требованиям мобилизационного производства – радикально упростить его конструкцию и технологию.</w:t>
      </w:r>
    </w:p>
    <w:p w14:paraId="1131EB2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Пользуясь тем, что танковое производство в Нижнем Тагиле разворачивалось с нуля, недавно назначенный главный конструктор А.А.Морозов надеялся сразу запустить в серию «свой» танк – Т-34М, спешной доработкой которого занималась конструкторская группа И.С.Бер – В.М.Дорошенко под непосредственным руководством А.А.Морозова. Формально это желание подкреплялось «Предложениями по развертыванию производства на 1942-1945 г.», разработанными ГАБТУ КА в самом начале войны. Согласно данному документу, завод №183 должен был вести проектирование, изготовление и испытания танка Т-34-Т (он же Т-34М, он же Т-60, он же А-43 в различных вариациях) из расчета начала его серийного выпуска с 01.01.1942 года (12627).</w:t>
      </w:r>
    </w:p>
    <w:p w14:paraId="43174D40"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6FFB636B" w14:textId="77777777" w:rsidR="00AE1A6D" w:rsidRPr="00640820" w:rsidRDefault="00AE1A6D" w:rsidP="00640820">
      <w:pPr>
        <w:pStyle w:val="162"/>
        <w:shd w:val="clear" w:color="auto" w:fill="auto"/>
        <w:spacing w:line="240" w:lineRule="auto"/>
        <w:jc w:val="both"/>
        <w:rPr>
          <w:color w:val="000000" w:themeColor="text1"/>
          <w:sz w:val="16"/>
          <w:szCs w:val="16"/>
        </w:rPr>
      </w:pPr>
      <w:r w:rsidRPr="00640820">
        <w:rPr>
          <w:color w:val="000000" w:themeColor="text1"/>
          <w:sz w:val="16"/>
          <w:szCs w:val="16"/>
        </w:rPr>
        <w:t>С 9 по 11 ноября 1941 проводились испытания танка Т-60 с целью являлось изучение последствий экранировки Т-60, в результате которой масса машины выросла на 360 кг (общая масса экранированной машины составила 6150 кг). На танке с заводским номером 37 790 были установлены экраны толщиной 10 мм, защищавшие башню по периме</w:t>
      </w:r>
      <w:r w:rsidRPr="00640820">
        <w:rPr>
          <w:color w:val="000000" w:themeColor="text1"/>
          <w:sz w:val="16"/>
          <w:szCs w:val="16"/>
        </w:rPr>
        <w:softHyphen/>
        <w:t>тру, лобовой лист корпуса, рубку водителя и нижний кормовой лист.</w:t>
      </w:r>
    </w:p>
    <w:p w14:paraId="1A21F18A" w14:textId="77777777" w:rsidR="00AE1A6D" w:rsidRPr="00640820" w:rsidRDefault="00AE1A6D" w:rsidP="00640820">
      <w:pPr>
        <w:pStyle w:val="162"/>
        <w:shd w:val="clear" w:color="auto" w:fill="auto"/>
        <w:spacing w:line="240" w:lineRule="auto"/>
        <w:jc w:val="both"/>
        <w:rPr>
          <w:color w:val="000000" w:themeColor="text1"/>
          <w:sz w:val="16"/>
          <w:szCs w:val="16"/>
        </w:rPr>
      </w:pPr>
      <w:r w:rsidRPr="00640820">
        <w:rPr>
          <w:color w:val="000000" w:themeColor="text1"/>
          <w:sz w:val="16"/>
          <w:szCs w:val="16"/>
        </w:rPr>
        <w:t>В ходе испытаний танк совершил пробег Горький—Выкса—Муром- Горький, общая протяженность маршрута составила 457 км. По резуль</w:t>
      </w:r>
      <w:r w:rsidRPr="00640820">
        <w:rPr>
          <w:color w:val="000000" w:themeColor="text1"/>
          <w:sz w:val="16"/>
          <w:szCs w:val="16"/>
        </w:rPr>
        <w:softHyphen/>
        <w:t>татам пробега выяснилось, что танк с экранировкой показал динамиче</w:t>
      </w:r>
      <w:r w:rsidRPr="00640820">
        <w:rPr>
          <w:color w:val="000000" w:themeColor="text1"/>
          <w:sz w:val="16"/>
          <w:szCs w:val="16"/>
        </w:rPr>
        <w:softHyphen/>
        <w:t>ские характеристики на уровне обычного Т-60, при этом расход топлива, а также температура масла и воды не выходили за допустимые пределы.</w:t>
      </w:r>
    </w:p>
    <w:p w14:paraId="233C03BE" w14:textId="77777777" w:rsidR="00AE1A6D" w:rsidRPr="00640820" w:rsidRDefault="00AE1A6D" w:rsidP="00640820">
      <w:pPr>
        <w:pStyle w:val="162"/>
        <w:shd w:val="clear" w:color="auto" w:fill="auto"/>
        <w:spacing w:line="240" w:lineRule="auto"/>
        <w:jc w:val="both"/>
        <w:rPr>
          <w:color w:val="000000" w:themeColor="text1"/>
          <w:sz w:val="16"/>
          <w:szCs w:val="16"/>
        </w:rPr>
      </w:pPr>
      <w:r w:rsidRPr="00640820">
        <w:rPr>
          <w:color w:val="000000" w:themeColor="text1"/>
          <w:sz w:val="16"/>
          <w:szCs w:val="16"/>
        </w:rPr>
        <w:t>Нагрузки на торсионы оказались в допустимых пределах, остальные узлы и агрегаты работали в пределах нормы. В заключении было указа</w:t>
      </w:r>
      <w:r w:rsidRPr="00640820">
        <w:rPr>
          <w:color w:val="000000" w:themeColor="text1"/>
          <w:sz w:val="16"/>
          <w:szCs w:val="16"/>
        </w:rPr>
        <w:softHyphen/>
        <w:t>но, что «экранировка корпуса и башни танка Т-60 листом 10 мм в вы</w:t>
      </w:r>
      <w:r w:rsidRPr="00640820">
        <w:rPr>
          <w:color w:val="000000" w:themeColor="text1"/>
          <w:sz w:val="16"/>
          <w:szCs w:val="16"/>
        </w:rPr>
        <w:softHyphen/>
        <w:t>шеуказанных частях допустима и рекомендуется к вводу в серию» (17485).</w:t>
      </w:r>
    </w:p>
    <w:p w14:paraId="506843E0" w14:textId="77777777" w:rsidR="00AE1A6D" w:rsidRPr="00640820" w:rsidRDefault="00AE1A6D" w:rsidP="00640820">
      <w:pPr>
        <w:spacing w:after="0" w:line="240" w:lineRule="auto"/>
        <w:jc w:val="both"/>
        <w:rPr>
          <w:rFonts w:ascii="Times New Roman" w:hAnsi="Times New Roman"/>
          <w:color w:val="000000" w:themeColor="text1"/>
          <w:sz w:val="16"/>
          <w:szCs w:val="16"/>
        </w:rPr>
      </w:pPr>
    </w:p>
    <w:p w14:paraId="582E9A50" w14:textId="77777777" w:rsidR="008F7702" w:rsidRPr="00640820" w:rsidRDefault="008F7702" w:rsidP="00640820">
      <w:pPr>
        <w:spacing w:after="0" w:line="240" w:lineRule="auto"/>
        <w:jc w:val="both"/>
        <w:rPr>
          <w:rFonts w:ascii="Times New Roman" w:hAnsi="Times New Roman"/>
          <w:color w:val="0070C0"/>
          <w:sz w:val="16"/>
          <w:szCs w:val="16"/>
          <w:shd w:val="clear" w:color="auto" w:fill="FFFFFF"/>
        </w:rPr>
      </w:pPr>
      <w:r w:rsidRPr="00640820">
        <w:rPr>
          <w:rFonts w:ascii="Times New Roman" w:hAnsi="Times New Roman"/>
          <w:color w:val="0070C0"/>
          <w:sz w:val="16"/>
          <w:szCs w:val="16"/>
          <w:shd w:val="clear" w:color="auto" w:fill="FFFFFF"/>
        </w:rPr>
        <w:t>В период с 9 по 11 ноября 1941 экранированный дополнительной броней ны ГАЗ серийный танка Т-60 с номером 37790 прошел ходовые испытания. Общая дистанция пробега Горький-Выкса-Муром-Горький составила 475 километров, преодолел он их за 46 часов. Проведенные испытания показали, что динамические характеристики, расход топлива и тепловой режим мотора не изменились. При этом одним из полезных результатов пробега стало введение (точнее, возвращение) ветрового щитка. Пробег показал его необходимость, поскольку в открытый проем люка механика-водителя залетал снег и задувал ветер.</w:t>
      </w:r>
    </w:p>
    <w:p w14:paraId="0EE2C48F" w14:textId="77777777" w:rsidR="008F7702" w:rsidRPr="00640820" w:rsidRDefault="008F7702" w:rsidP="00640820">
      <w:pPr>
        <w:spacing w:after="0" w:line="240" w:lineRule="auto"/>
        <w:jc w:val="both"/>
        <w:rPr>
          <w:rFonts w:ascii="Times New Roman" w:hAnsi="Times New Roman"/>
          <w:color w:val="0070C0"/>
          <w:sz w:val="16"/>
          <w:szCs w:val="16"/>
          <w:shd w:val="clear" w:color="auto" w:fill="FFFFFF"/>
        </w:rPr>
      </w:pPr>
      <w:r w:rsidRPr="00640820">
        <w:rPr>
          <w:rFonts w:ascii="Times New Roman" w:hAnsi="Times New Roman"/>
          <w:color w:val="0070C0"/>
          <w:sz w:val="16"/>
          <w:szCs w:val="16"/>
          <w:shd w:val="clear" w:color="auto" w:fill="FFFFFF"/>
        </w:rPr>
        <w:lastRenderedPageBreak/>
        <w:t>Экранировалась башня по периметру, лобовая часть корпуса, включая рубку механика-водителя, а также нижний кормовой лист корпуса, которые получили дополнительные броневые листы толщиной 10 мм. Общая масса дополнительной брони составила 360 кг, по итогам танк потяжелел до 6150 кг. Главным итогом испытаний стало то, что танк можно было усиливать по броневой защите без ущерба для надежности (22716).</w:t>
      </w:r>
    </w:p>
    <w:p w14:paraId="2C9B5F18" w14:textId="77777777" w:rsidR="008F7702" w:rsidRPr="00640820" w:rsidRDefault="008F7702" w:rsidP="00640820">
      <w:pPr>
        <w:spacing w:after="0" w:line="240" w:lineRule="auto"/>
        <w:jc w:val="both"/>
        <w:rPr>
          <w:rFonts w:ascii="Times New Roman" w:hAnsi="Times New Roman"/>
          <w:color w:val="0070C0"/>
          <w:sz w:val="16"/>
          <w:szCs w:val="16"/>
        </w:rPr>
      </w:pPr>
    </w:p>
    <w:p w14:paraId="4B00B686" w14:textId="77777777" w:rsidR="004673CC" w:rsidRPr="00640820" w:rsidRDefault="004673C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9–11 ноября 1941 был испытан образец танка с экранировкой. Целью испытаний являлось изучение последствий усиления брони Т-60, в результате которого масса машины выросла на 360 кг (общая масса экранированной машины составила 6150 кг). На танке с заводским номером 37790 установили экраны толщиной 10 мм, защищавшие башню по периметру, лобовой лист корпуса, рубку водителя и нижний кормовой лист.</w:t>
      </w:r>
    </w:p>
    <w:p w14:paraId="75671DD3" w14:textId="77777777" w:rsidR="004673CC" w:rsidRPr="00640820" w:rsidRDefault="004673C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ходе испытаний танк совершил пробег Горький — Выкса — Муром — Горький, общая протяжённость которого составила 457 км. По результатам пробега выяснилось, что танк с экранировкой показал динамические характеристики на уровне обычного Т-60, при этом расход топлива, а также температура масла и воды не выходили за допустимые пределы. Нагрузки на торсионы тоже оказались в допустимых пределах, остальные узлы и агрегаты работали в пределах нормы. Вердикт по итогам испытаний оказался следующим:</w:t>
      </w:r>
    </w:p>
    <w:p w14:paraId="0FF01E1E" w14:textId="77777777" w:rsidR="004673CC" w:rsidRPr="00640820" w:rsidRDefault="004673C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iCs/>
          <w:color w:val="000000" w:themeColor="text1"/>
          <w:sz w:val="16"/>
          <w:szCs w:val="16"/>
          <w:lang w:eastAsia="ru-RU"/>
        </w:rPr>
        <w:t>«Экранировка корпуса и башни танка Т-60 листом 10 мм в выше указанных частях допустима и рекомендуется к вводу в серию».</w:t>
      </w:r>
    </w:p>
    <w:p w14:paraId="09C01F1F" w14:textId="77777777" w:rsidR="004673CC" w:rsidRPr="00640820" w:rsidRDefault="004673C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Параллельно с работами по экранировке Т-60 заводское КБ разработало модернизированный вариант танка, который отличался утолщённой броней. Данный проект создавался с учётом списка упрощений, которые планировалось ввести в конструкцию танков Горьковского автозавода со второй половины ноября 1941 года. Для танка было разработано литое ведущее колесо без крепления венца на болтах, а также ленивец без обрезинивания.</w:t>
      </w:r>
    </w:p>
    <w:p w14:paraId="2A76A0E9" w14:textId="77777777" w:rsidR="004673CC" w:rsidRPr="00640820" w:rsidRDefault="004673C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Помимо усиления бронирования, модернизированная машина отличалась и переработанной конструкцией башни. С её лобовой части был убран воздухоприток, который конструкторы перенесли на башенный люк, что улучшило защищённость башни с фронтальной стороны. Этот проект так и остался опытным, но некоторые его элементы в несколько изменённом виде позже были внедрены на других заводах (17672).</w:t>
      </w:r>
    </w:p>
    <w:p w14:paraId="2407CA69" w14:textId="77777777" w:rsidR="004673CC" w:rsidRPr="00640820" w:rsidRDefault="004673CC" w:rsidP="00640820">
      <w:pPr>
        <w:spacing w:after="0" w:line="240" w:lineRule="auto"/>
        <w:jc w:val="both"/>
        <w:rPr>
          <w:rFonts w:ascii="Times New Roman" w:eastAsia="Times New Roman" w:hAnsi="Times New Roman"/>
          <w:color w:val="000000" w:themeColor="text1"/>
          <w:sz w:val="16"/>
          <w:szCs w:val="16"/>
          <w:lang w:eastAsia="ru-RU"/>
        </w:rPr>
      </w:pPr>
    </w:p>
    <w:p w14:paraId="59ECE7B9" w14:textId="77777777" w:rsidR="00AE1A6D" w:rsidRPr="00640820" w:rsidRDefault="00AE1A6D" w:rsidP="00640820">
      <w:pPr>
        <w:pStyle w:val="162"/>
        <w:shd w:val="clear" w:color="auto" w:fill="auto"/>
        <w:spacing w:line="240" w:lineRule="auto"/>
        <w:jc w:val="both"/>
        <w:rPr>
          <w:color w:val="000000" w:themeColor="text1"/>
          <w:sz w:val="16"/>
          <w:szCs w:val="16"/>
        </w:rPr>
      </w:pPr>
      <w:r w:rsidRPr="00640820">
        <w:rPr>
          <w:rFonts w:eastAsia="Calibri"/>
          <w:color w:val="000000" w:themeColor="text1"/>
          <w:sz w:val="16"/>
          <w:szCs w:val="16"/>
        </w:rPr>
        <w:t>9 ноября 1941 вышло постановление ГКО № 876сс «О восстановлении танковых заводов, эвакуированных из Харькова, Москвы и Ленин</w:t>
      </w:r>
      <w:r w:rsidRPr="00640820">
        <w:rPr>
          <w:rFonts w:eastAsia="Calibri"/>
          <w:color w:val="000000" w:themeColor="text1"/>
          <w:sz w:val="16"/>
          <w:szCs w:val="16"/>
        </w:rPr>
        <w:softHyphen/>
        <w:t>града». Согласно постановлению установка оборудования на заводе № 264 должна была закончиться к 1 декабря, при этом уже в ноябре планировалась поставка первых 30 Т-60, а в декабре — 150. С 15 января 1942 года планировался переход завода на выпуск 10 танков ежеднев</w:t>
      </w:r>
      <w:r w:rsidRPr="00640820">
        <w:rPr>
          <w:rFonts w:eastAsia="Calibri"/>
          <w:color w:val="000000" w:themeColor="text1"/>
          <w:sz w:val="16"/>
          <w:szCs w:val="16"/>
        </w:rPr>
        <w:softHyphen/>
        <w:t>но. К декабрю, несмотря на ряд проблем, подготовка к производству Т-60 частично была закончена, но ни одного танка завод № 264 в ноя</w:t>
      </w:r>
      <w:r w:rsidRPr="00640820">
        <w:rPr>
          <w:rFonts w:eastAsia="Calibri"/>
          <w:color w:val="000000" w:themeColor="text1"/>
          <w:sz w:val="16"/>
          <w:szCs w:val="16"/>
        </w:rPr>
        <w:softHyphen/>
        <w:t>бре не выпустил. Главной причиной срыва сроков стало то, что первые три мотора прибыли на завод лишь 29 ноября.</w:t>
      </w:r>
    </w:p>
    <w:p w14:paraId="70828C48" w14:textId="77777777" w:rsidR="00AE1A6D" w:rsidRPr="00640820" w:rsidRDefault="00AE1A6D" w:rsidP="00640820">
      <w:pPr>
        <w:pStyle w:val="162"/>
        <w:shd w:val="clear" w:color="auto" w:fill="auto"/>
        <w:spacing w:line="240" w:lineRule="auto"/>
        <w:jc w:val="both"/>
        <w:rPr>
          <w:color w:val="000000" w:themeColor="text1"/>
          <w:sz w:val="16"/>
          <w:szCs w:val="16"/>
        </w:rPr>
      </w:pPr>
      <w:r w:rsidRPr="00640820">
        <w:rPr>
          <w:rFonts w:eastAsia="Calibri"/>
          <w:color w:val="000000" w:themeColor="text1"/>
          <w:sz w:val="16"/>
          <w:szCs w:val="16"/>
        </w:rPr>
        <w:t>Для компенсации срыва поставок объем выпуска на декабрь уве</w:t>
      </w:r>
      <w:r w:rsidRPr="00640820">
        <w:rPr>
          <w:rFonts w:eastAsia="Calibri"/>
          <w:color w:val="000000" w:themeColor="text1"/>
          <w:sz w:val="16"/>
          <w:szCs w:val="16"/>
        </w:rPr>
        <w:softHyphen/>
        <w:t>личили до 200 танков, но в итоге за этот месяц завод смог выпустить лишь 45 Т-60. Одной из главных проблем стал острый дефицит корпу</w:t>
      </w:r>
      <w:r w:rsidRPr="00640820">
        <w:rPr>
          <w:rFonts w:eastAsia="Calibri"/>
          <w:color w:val="000000" w:themeColor="text1"/>
          <w:sz w:val="16"/>
          <w:szCs w:val="16"/>
        </w:rPr>
        <w:softHyphen/>
        <w:t>сов и башен. К началу производства на заводе № 264 находилось лишь 37 комплектов корпусов и башен. Кроме того, имелось 13 корпусов, изготовленных Ворошиловградским заводом им. Октябрьской революции, не имевших башен. Данные корпуса, изготовленные с тол</w:t>
      </w:r>
      <w:r w:rsidRPr="00640820">
        <w:rPr>
          <w:rFonts w:eastAsia="Calibri"/>
          <w:color w:val="000000" w:themeColor="text1"/>
          <w:sz w:val="16"/>
          <w:szCs w:val="16"/>
        </w:rPr>
        <w:softHyphen/>
        <w:t>щиной брони 20 мм, были экранированы силами завода № 264. По плану, с завода «Красный Октябрь» в декабре должно было поступить 100 корпусов и башен, по факту же их получили лишь 7 комплектов. Из этого количества один корпус «Красного Октября» оказался за</w:t>
      </w:r>
      <w:r w:rsidRPr="00640820">
        <w:rPr>
          <w:rFonts w:eastAsia="Calibri"/>
          <w:color w:val="000000" w:themeColor="text1"/>
          <w:sz w:val="16"/>
          <w:szCs w:val="16"/>
        </w:rPr>
        <w:softHyphen/>
        <w:t>бракован, а остальные пришлось доделывать на заводе № 264. Не ме</w:t>
      </w:r>
      <w:r w:rsidRPr="00640820">
        <w:rPr>
          <w:rFonts w:eastAsia="Calibri"/>
          <w:color w:val="000000" w:themeColor="text1"/>
          <w:sz w:val="16"/>
          <w:szCs w:val="16"/>
        </w:rPr>
        <w:softHyphen/>
        <w:t>нее серьезные проблемы имелись и с поставками деталей с СТЗ. За декабрь было поставлено всего 39 радиаторов и 91 бензобак, имелись большие задержки по тракам и другим деталям. Кроме того, на заводе № 264 часть деталей ввиду неготовности производства пришлось вы</w:t>
      </w:r>
      <w:r w:rsidRPr="00640820">
        <w:rPr>
          <w:rFonts w:eastAsia="Calibri"/>
          <w:color w:val="000000" w:themeColor="text1"/>
          <w:sz w:val="16"/>
          <w:szCs w:val="16"/>
        </w:rPr>
        <w:softHyphen/>
        <w:t>пускать по обходным технологиям. Несмотря на все проблемы, 8 дека</w:t>
      </w:r>
      <w:r w:rsidRPr="00640820">
        <w:rPr>
          <w:rFonts w:eastAsia="Calibri"/>
          <w:color w:val="000000" w:themeColor="text1"/>
          <w:sz w:val="16"/>
          <w:szCs w:val="16"/>
        </w:rPr>
        <w:softHyphen/>
        <w:t>бря завод своим ходом покинули первые 5 Т-60, ушедших в21-йи22-й запасные учебные танковые полки. Завод № 264 стал вторым после ГАЗ предприятием, запустившим столь нужный армии танк в круп</w:t>
      </w:r>
      <w:r w:rsidRPr="00640820">
        <w:rPr>
          <w:rFonts w:eastAsia="Calibri"/>
          <w:color w:val="000000" w:themeColor="text1"/>
          <w:sz w:val="16"/>
          <w:szCs w:val="16"/>
        </w:rPr>
        <w:softHyphen/>
        <w:t>ную серию (17485).</w:t>
      </w:r>
    </w:p>
    <w:p w14:paraId="5B4C8B75" w14:textId="77777777" w:rsidR="00AE1A6D" w:rsidRPr="00640820" w:rsidRDefault="00AE1A6D" w:rsidP="00640820">
      <w:pPr>
        <w:spacing w:after="0" w:line="240" w:lineRule="auto"/>
        <w:jc w:val="both"/>
        <w:rPr>
          <w:rFonts w:ascii="Times New Roman" w:hAnsi="Times New Roman"/>
          <w:color w:val="000000" w:themeColor="text1"/>
          <w:sz w:val="16"/>
          <w:szCs w:val="16"/>
        </w:rPr>
      </w:pPr>
    </w:p>
    <w:p w14:paraId="228EF786" w14:textId="77777777" w:rsidR="004673CC" w:rsidRPr="00640820" w:rsidRDefault="004673C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9 ноября 1941 вышло постановление ГКО № 876сс «О восстановлении танковых заводов, эвакуированных из Харькова, Москвы и Ленинграда». Согласно этому документу, установка оборудования на заводе № 264 должна была закончиться к 1 декабря. При этом в ноябре планировалась поставка первых тридцати Т-60, а уже в декабре — 150. С 15 января 1942 года планировался выпуск 10 танков ежедневно. К декабрю, несмотря на ряд проблем, подготовка к производству Т-60 в основном была закончена, но за ноябрь ни одного танка завод № 264 так и не выпустил. Главной причиной срыва планов стало то, что первые три двигателя прибыли на завод лишь 29 ноября.</w:t>
      </w:r>
    </w:p>
    <w:p w14:paraId="61BA985C" w14:textId="77777777" w:rsidR="004673CC" w:rsidRPr="00640820" w:rsidRDefault="004673C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Тому, что в качестве места сборки была выбрана судоверфь, удивляться не следует. Ещё первые советские танки строились в 1920 году на мощностях судоверфи «Красное Сормово», а в 1941 году там же был организован завод № 112. В мировой практике примеров использования судостроительных предприятий для выпуска танков предостаточно.</w:t>
      </w:r>
    </w:p>
    <w:p w14:paraId="4E73E29A" w14:textId="77777777" w:rsidR="004673CC" w:rsidRPr="00640820" w:rsidRDefault="004673C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Другое дело, каким именно образом на заводе было поставлено корпусное производство. Как ни парадоксально это прозвучит, завод № 264, обеспечивавший СТЗ корпусами и башнями для Т-34, корпусное производство Т-60 у себя не организовал. Смежником завода № 264 по линии корпусов и башен для Т-60 оказался металлургический завод «Красный Октябрь». Расстояние между двумя предприятиями составляло больше 35 километров, и выглядит подобное решение с точки зрения логистики довольно странно.</w:t>
      </w:r>
    </w:p>
    <w:p w14:paraId="4EC91E56" w14:textId="77777777" w:rsidR="004673CC" w:rsidRPr="00640820" w:rsidRDefault="004673C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 началу производства Т-60 на заводе № 264 находилось 37 комплектов корпусов и башен. Кроме того, имелось 13 корпусов производства Ворошиловградского завода им. Октябрьской революции, не имевших башен. Эти корпуса, изготовленные с толщиной брони 20 мм, были экранированы силами завода № 264. По плану, с завода «Красный Октябрь» за декабрь должно было поступить 100 корпусов и башен, по факту же получили лишь 7 комплектов. Из этого количества один корпус «Красного Октября» оказался забракован, а остальные пришлось доделывать своими силами.</w:t>
      </w:r>
    </w:p>
    <w:p w14:paraId="149DB4C4" w14:textId="77777777" w:rsidR="004673CC" w:rsidRPr="00640820" w:rsidRDefault="004673C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Не менее серьёзные проблемы имелись и с поставками деталей с СТЗ. За декабрь оттуда было получено всего 39 радиаторов и 91 бензобак, имелись большие задержки по тракам и другим деталям. Кроме того, на заводе № 264 часть деталей из-за неготовности производства пришлось выпускать с использованием различных обходных способов (17677).</w:t>
      </w:r>
    </w:p>
    <w:p w14:paraId="012C8FC9" w14:textId="77777777" w:rsidR="004673CC" w:rsidRPr="00640820" w:rsidRDefault="004673CC" w:rsidP="00640820">
      <w:pPr>
        <w:spacing w:after="0" w:line="240" w:lineRule="auto"/>
        <w:jc w:val="both"/>
        <w:rPr>
          <w:rFonts w:ascii="Times New Roman" w:eastAsia="Times New Roman" w:hAnsi="Times New Roman"/>
          <w:color w:val="000000" w:themeColor="text1"/>
          <w:sz w:val="16"/>
          <w:szCs w:val="16"/>
          <w:lang w:eastAsia="ru-RU"/>
        </w:rPr>
      </w:pPr>
    </w:p>
    <w:p w14:paraId="2594B790" w14:textId="77777777" w:rsidR="00165A9C" w:rsidRPr="00640820" w:rsidRDefault="006A3215"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9 </w:t>
      </w:r>
      <w:r w:rsidR="00165A9C" w:rsidRPr="00640820">
        <w:rPr>
          <w:rFonts w:ascii="Times New Roman" w:hAnsi="Times New Roman"/>
          <w:color w:val="000000" w:themeColor="text1"/>
          <w:sz w:val="16"/>
          <w:szCs w:val="16"/>
        </w:rPr>
        <w:t xml:space="preserve">ноября 1941 года Из письма Народного комиссара местной промышленности РСФСР Смиряева председателю СНК Башкирской АССР Вагапову о передаче филиалу Ленинградского института керамики лаборатории стройматериалов в Уфе. </w:t>
      </w:r>
    </w:p>
    <w:p w14:paraId="5552C2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«Предприятия Главфарфора НКМП РСФСР заняты производством фарфорофаянсовых и других керамических изделий различного назначения. В связи с потребностями военного времени указанные заводы в значительной степени переключились на выпуск технического фарфора (изоляторы для линий связи) и специальной керамики, имеющей чрезвычайное оборонное значение. Организация этих производств и проведение соответствующих научно-исследовательских работ были осуществлены Ленинградским научно-исследовательским керамическим институтом, входящим в систему нашего наркомата и являющимся старейшим и единственным в Союзе институтом в области тонкой керамики. </w:t>
      </w:r>
    </w:p>
    <w:p w14:paraId="630A7C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настоящее время в связи с прекращением деятельности большинства фарфорофаянсовых заводов, находящихся в западной и северо-западной частях Союза, возникла необходимость в срочной организации указанного производства в восточной части Союза, в частности в Башкирии с использованием местного сырья, взамен ранее применявшегося дальнепривозного (главным образом с Украины). </w:t>
      </w:r>
    </w:p>
    <w:p w14:paraId="245445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целях лучшего и скорейшего выполнения обширной программы исследовательских проектных работ, связанных с организацией указанных производств и использования новых видов местного сырья, в Уфе организован филиал Ленинградского керамического института в составе эвакуированных из Ленинграда высококвалифицированных инженеров и научных работников. </w:t>
      </w:r>
    </w:p>
    <w:p w14:paraId="4FFD17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Вновь организованному филиалу ГИКИ, помимо указанного, поручено в кратчайший срок разработать и организовать выпуск графитовых тиглей для Уфимского моторного завода, огнеупоров для Главнефти и спецфарфора для завода № 1161. </w:t>
      </w:r>
    </w:p>
    <w:p w14:paraId="3B8ABF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Выполнение институтом всех этих многочисленных работ, имеющих исключительно оборонное значение, упирается в отсутствие соответствующего помещения для размещения филиала ГИКИ. </w:t>
      </w:r>
    </w:p>
    <w:p w14:paraId="54D030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Подходящим местом для проведения необходимых научно-исследовательских работ в смысле помещения и оборудования является лаборатория стройматериалов Управления стройматериалов Баш. СНК (ул. Карла Маркса, корпус № 8). В связи с изложенным НКМП РСФСР просит передать ему указанную лабораторию для размещения в ней филиала ГИКИ, при этом все обязательства этой лаборатории, равно и последующие работы в области стройматериалов, филиал ГИКИ принимает на себя. </w:t>
      </w:r>
    </w:p>
    <w:p w14:paraId="51D477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Массовый выпуск особо сложных по технологии производства керамических изделий специального назначения, бактериальных фильтров и радиодеталей, целесообразно сосредоточить также при филиале ГИКИ. Для этой цели в качестве производственной базы, должны быть организованы экспериментальные мастерские филиала института. Наиболее подходящим местом для такой производственной базы является помещение по Силикатной улице № 17 площадью около 400 кв. м, намечавшееся в свое время под камнерезную мастерскую, но не используемое по прямому назначению. Следует указать, что, благодаря наличию у нас соответствующего эвакуированного оборудования, представляется возможным в течение 2-хмесячного срока оснастить здание камнерезной мастерской и начать регулярный выпуск указанных выше изделий спецназначения». 9 ноября 1941 года (11819).</w:t>
      </w:r>
    </w:p>
    <w:p w14:paraId="5F0A84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1792B09"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1074CE37"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C17D491" w14:textId="77777777" w:rsidR="006A3215" w:rsidRPr="00640820" w:rsidRDefault="006A3215"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9 ноября </w:t>
      </w:r>
      <w:r w:rsidRPr="00640820">
        <w:rPr>
          <w:rFonts w:ascii="Times New Roman" w:hAnsi="Times New Roman"/>
          <w:color w:val="000000" w:themeColor="text1"/>
          <w:sz w:val="16"/>
          <w:szCs w:val="16"/>
        </w:rPr>
        <w:t>в 1941 году утреннее сообщение Совинформбюро:</w:t>
      </w:r>
    </w:p>
    <w:p w14:paraId="6942AE8B" w14:textId="77777777" w:rsidR="006A3215" w:rsidRPr="00640820" w:rsidRDefault="006A321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течение ночи на 9 ноября наши войска вели бои с противником на всех фронтах.</w:t>
      </w:r>
    </w:p>
    <w:p w14:paraId="3E2EEBAE" w14:textId="77777777" w:rsidR="006A3215" w:rsidRPr="00640820" w:rsidRDefault="006A321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 наша кавалерийская часть, действующая на Западном фронте, в результате успешной атаки уничтожила более двух рот пехоты противника и захватила 7 орудий противотанковой обороны, 6 пулемётов, 5 миномётов, много патронов, винтовок, лошадей, повозок и продовольствия. На другом участке фронта группа наших бойцов под командованием политрука Яковенко окружила и уничтожила роту немецких солдат.</w:t>
      </w:r>
    </w:p>
    <w:p w14:paraId="29143C3E" w14:textId="77777777" w:rsidR="006A3215" w:rsidRPr="00640820" w:rsidRDefault="006A321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Отважно действуют советские артиллеристы, беспощадно громя врага метким огнём своих орудий. Расчёт командира орудия сержанта Злобина 6 ноября, отражая танковую атаку противника на одном из участков Западного фронта, уничтожил 8 вражеских танков. На другом участке Западного фронта расчёт командира орудия Корцукова 7 ноября уничтожил 6 немецких танков. Инструктор политотдела дивизии Дорохов при появлении вражеских танков выкатил противотанковую пушку на открытую позицию и в упор расстрелял 3 немецких танка.</w:t>
      </w:r>
    </w:p>
    <w:p w14:paraId="0857DBB0" w14:textId="77777777" w:rsidR="006A3215" w:rsidRPr="00640820" w:rsidRDefault="006A321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Успешно борются против фашистских захватчиков партизаны Карело-Финской ССР. Недавно партизанский отряд под командованием тов. Р. ворвался в деревню, где расположилась вражеская автоколонна, и забросал автомашины гранатами и бутылками с горючей жидкостью. Партизаны уничтожили 18 вражеских автомашин и до 20 мотоциклов. Среди солдат началась паника. Партизаны пристрелили не менее 30 солдат и, захватив с собой 8 автоматов и 25 винтовок, скрылись.</w:t>
      </w:r>
    </w:p>
    <w:p w14:paraId="2D939527" w14:textId="77777777" w:rsidR="006A3215" w:rsidRPr="00640820" w:rsidRDefault="006A321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этот же день партизанская разведка сообщила командиру отряда, что по направлению к фронту идёт отряд белофиннов. Партизаны организовали засаду. На пути движения белофиннов заложили много мин, захваченных у немцев. На минированной дороге взорвались бронемашины и две автомашины с финскими солдатами. Огнём партизан финский отряд был рассеян. Карело-финские партизаны широко используют трофейные мины в борьбе против захватчиков. Они часто минирую мосты, дороги, отдельные дома. За один лишь октябрь месяц на минах, заложенных партизанами, взорвано 9 вражеских броневиков, до 60 автомашин и уничтожено свыше 280 немецких и бело-финских солдат и офицеров.</w:t>
      </w:r>
    </w:p>
    <w:p w14:paraId="11CDC513" w14:textId="77777777" w:rsidR="006A3215" w:rsidRPr="00640820" w:rsidRDefault="006A321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каждым днём растёт число актов саботажа и диверсий на фабриках, заводах, железнодорожном и водном транспорте Голландии. На текстильных фабриках в городе Алмело 30 октября и 3 ноября произошли пожары, во время которых сгорели сотни тысяч метров ткани, изготовленной для германской армии. В порту Хук-Ван-Холланд в результате взрыва, организованного патриотами, выбыло из строя несколько мощных зенитных установок и прожекторов, тщательно замаскированных немцами. Здесь же 2 ноября затонула баржа с боеприпасами и военным снаряжением. Голландские патриоты распространяют среди населения большое количество листовок с призывом всюду вредить немцам (14825).</w:t>
      </w:r>
    </w:p>
    <w:p w14:paraId="1E0E1D75" w14:textId="77777777" w:rsidR="006A3215" w:rsidRPr="00640820" w:rsidRDefault="006A3215" w:rsidP="00640820">
      <w:pPr>
        <w:spacing w:after="0" w:line="240" w:lineRule="auto"/>
        <w:jc w:val="both"/>
        <w:rPr>
          <w:rFonts w:ascii="Times New Roman" w:hAnsi="Times New Roman"/>
          <w:color w:val="000000" w:themeColor="text1"/>
          <w:sz w:val="16"/>
          <w:szCs w:val="16"/>
        </w:rPr>
      </w:pPr>
    </w:p>
    <w:p w14:paraId="1E8CC3C8" w14:textId="77777777" w:rsidR="006A3215" w:rsidRPr="00640820" w:rsidRDefault="006A3215"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9 ноября </w:t>
      </w:r>
      <w:r w:rsidRPr="00640820">
        <w:rPr>
          <w:rFonts w:ascii="Times New Roman" w:hAnsi="Times New Roman"/>
          <w:color w:val="000000" w:themeColor="text1"/>
          <w:sz w:val="16"/>
          <w:szCs w:val="16"/>
        </w:rPr>
        <w:t>в 1941 году вечернее сообщение Совинформбюро:</w:t>
      </w:r>
    </w:p>
    <w:p w14:paraId="193FA4ED" w14:textId="77777777" w:rsidR="006A3215" w:rsidRPr="00640820" w:rsidRDefault="006A321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9 ноября наши войска вели бои с противником на всех фронтах. Особенно ожесточённые бои происходили на Крымском участке фронта.</w:t>
      </w:r>
    </w:p>
    <w:p w14:paraId="39A6E6B3" w14:textId="77777777" w:rsidR="006A3215" w:rsidRPr="00640820" w:rsidRDefault="006A321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неполным данным, за 8 ноября уничтожено 10 немецких самолётов. Наши потери — 2 самолёта.</w:t>
      </w:r>
    </w:p>
    <w:p w14:paraId="52ED2942" w14:textId="77777777" w:rsidR="006A3215" w:rsidRPr="00640820" w:rsidRDefault="006A321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9 ноября под Москвой сбито 6 немецких самолётов.</w:t>
      </w:r>
    </w:p>
    <w:p w14:paraId="6F54A6B6" w14:textId="77777777" w:rsidR="006A3215" w:rsidRPr="00640820" w:rsidRDefault="006A321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8 ноября наши авиачасти, действующие на Западном и Южном фронтах, уничтожили и вывели из строя 30 вражеских танков, до 30 полевых орудий, 350 автомашин с пехотой и вооружением, более 80 мотоциклов, несколько штабных автобусов, 30 цистерн с горючим, 50 повозок, рассеяли и уничтожили до 2 батальонов пехоты противника.</w:t>
      </w:r>
    </w:p>
    <w:p w14:paraId="1D8C76E0" w14:textId="77777777" w:rsidR="006A3215" w:rsidRPr="00640820" w:rsidRDefault="006A321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Танковая часть тов. Кузнецова, действующая на Южном фронте, за 2 дня боевых действий 6 и 7 ноября уничтожила 60 вражеских танков и более 2 батальонов мотопехоты противника.</w:t>
      </w:r>
    </w:p>
    <w:p w14:paraId="30B93270" w14:textId="77777777" w:rsidR="006A3215" w:rsidRPr="00640820" w:rsidRDefault="006A321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Авиачасть тов. Ухова, действующая на Западном направлении фронта, с 1 по 8 ноября уничтожила 232 автомашины, 9 бронемашин, 25 автоцистерн с горючим, 25 вагонов с боеприпасами, 6 железнодорожных цистерн с горючим, 7 зенитных батарей. 5 танков, 4 прожекторные установки, 80 мотоциклов и 950 солдат и офицеров противника.</w:t>
      </w:r>
    </w:p>
    <w:p w14:paraId="4BD0BBF8" w14:textId="77777777" w:rsidR="006A3215" w:rsidRPr="00640820" w:rsidRDefault="006A321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Доклад товарища Сталина о XXIV годовщине Великой Октябрьской социалистической революции и его речь на параде Красной Армии 7 ноября на Красной площади вдохновили бойцов и командиров Красной Армии и Военно-Морского Флота на новые героические подвиги в борьбе против немецко-фашистских захватчиков. «Доклад товарища Сталина подымает боевой дух советских воинов и всего нашего народа,— говорит младший лейтенант Лихеев.— Выступление товарища Сталина ещё больше укрепляет нашу уверенность в победе над империалистическими полчищами гитлеровцев». Танкисты, лётчики, артиллеристы, пехотинцы — все советские бойцы и командиры клянутся, не щадя своей жизни, истреблять немецких оккупантов, вступивших на нашу родную землю. Лётчик лейтенант Челпанов заявил: «Будем с честью выполнять всё то, что от нас потребовал товарищ Сталин в своей речи, будем беспощадно уничтожать фашистских гадов». Лётчик сержант Кочура И.П. заявил: «Я молодой лётчик, но от моих пуль и снарядов не уйти врагу». Командир роты старший лейтенант Кузнецов М.К., заявил: «Я клянусь строжайше выполнять указания товарища Сталина о беспощадном уничтожении немецких захватчиков, пробравшихся на нашу территорию. У нас есть всё необходимое, чтобы уничтожить фашистское зверьё». Зам. политрука Клязев А.Е. сказал: «Товарищ Сталин указал, как наш народ должен добиться победы над немецкими захватчиками. Выступление товарища Сталина воодушевляет бойцов и командиров Красной Армии на беспощадную борьбу с фашистами. Я обязуюсь драться с немецкими бандитами, не щадя своей жизни».</w:t>
      </w:r>
    </w:p>
    <w:p w14:paraId="21C7E54C" w14:textId="77777777" w:rsidR="006A3215" w:rsidRPr="00640820" w:rsidRDefault="006A321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Разведчики Ушаков, Шукенин и Давыденко, прослушав речь товарища Сталина, заявили: «Мы сейчас идём в разведку выполнять боевое задание. Речь товарища Сталина удесятерила наши силы и уверенность для выполнения поставленной перед нами боевой задачи. Мы не пощадим своей жизни для разгрома фашизма». Разведчики выполнили своё обещание. Они перешли вброд реку, проникли в окопы немцев и захватили одного немецкого солдата. В это время поблизости в блиндаже послышалось тревожное движение среди немецких солдат. Разведчик Давыденко бросил в блиндаж противника гранату, в результате чего группа немцев в количестве 10 человек была уничтожена.</w:t>
      </w:r>
    </w:p>
    <w:p w14:paraId="0CB46409" w14:textId="77777777" w:rsidR="006A3215" w:rsidRPr="00640820" w:rsidRDefault="006A321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Полковник тов. Белявцев заявил: «В выступлении товарища Сталина пленяет железная логика, простота, неиссякаемая вера в творческие способности народа. Доводы товарища Сталина в отношении исхода Великой Отечественной войны неопровержимы: война приведёт фашистскую Германию к гигантской катастрофе. Выступления товарища Сталина вселяют в каждого из нас свежую энергию, стремление работать ещё лучше и упорнее, чтобы общими и напряжёнными усилиями ускорить победу» (14825).</w:t>
      </w:r>
    </w:p>
    <w:p w14:paraId="7F6E756C" w14:textId="77777777" w:rsidR="006A3215" w:rsidRPr="00640820" w:rsidRDefault="006A3215" w:rsidP="00640820">
      <w:pPr>
        <w:spacing w:after="0" w:line="240" w:lineRule="auto"/>
        <w:jc w:val="both"/>
        <w:rPr>
          <w:rFonts w:ascii="Times New Roman" w:hAnsi="Times New Roman"/>
          <w:color w:val="000000" w:themeColor="text1"/>
          <w:sz w:val="16"/>
          <w:szCs w:val="16"/>
        </w:rPr>
      </w:pPr>
    </w:p>
    <w:p w14:paraId="4B9BAD5D" w14:textId="77777777" w:rsidR="006A3215" w:rsidRPr="00640820" w:rsidRDefault="006A3215"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9 ноября </w:t>
      </w:r>
      <w:r w:rsidRPr="00640820">
        <w:rPr>
          <w:rFonts w:ascii="Times New Roman" w:hAnsi="Times New Roman"/>
          <w:color w:val="000000" w:themeColor="text1"/>
          <w:sz w:val="16"/>
          <w:szCs w:val="16"/>
        </w:rPr>
        <w:t>в 1941 году Начало немецкого наступления южнее Волоколамского шоссе. 9-й и 7-й армейские корпуса атаковали войска 5-й армии генерала Л.А.Говорова. Овладев рядом населенных пунктов, немецкие войска вышли к Звенигороду, прорвавшись севернее его в район Павловской Слободы (14825).</w:t>
      </w:r>
    </w:p>
    <w:p w14:paraId="2E56AFD0" w14:textId="77777777" w:rsidR="006A3215" w:rsidRPr="00640820" w:rsidRDefault="006A3215" w:rsidP="00640820">
      <w:pPr>
        <w:spacing w:after="0" w:line="240" w:lineRule="auto"/>
        <w:jc w:val="both"/>
        <w:rPr>
          <w:rFonts w:ascii="Times New Roman" w:hAnsi="Times New Roman"/>
          <w:color w:val="000000" w:themeColor="text1"/>
          <w:sz w:val="16"/>
          <w:szCs w:val="16"/>
        </w:rPr>
      </w:pPr>
    </w:p>
    <w:p w14:paraId="4EA38F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ноября 1941 согласно сообщению Совинформбюро авиачасти уничтожили и повредили до 70 танков, 23 орудия, 4 зенитных точки, 450 а/м с пехотой и грузами, 17 бронемашин, 50 мотоциклов, полк пехоты, два эскадрона кавалерии и сбили 12 самолет (438,825).</w:t>
      </w:r>
    </w:p>
    <w:p w14:paraId="73B329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B428C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ноября 1941:</w:t>
      </w:r>
    </w:p>
    <w:p w14:paraId="031184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“УТВЕРЖДАЮ”</w:t>
      </w:r>
    </w:p>
    <w:p w14:paraId="520C02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Командующий Военно-воздушными силами Красной Армии</w:t>
      </w:r>
    </w:p>
    <w:p w14:paraId="31CF050F"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color w:val="000000" w:themeColor="text1"/>
          <w:sz w:val="16"/>
          <w:szCs w:val="16"/>
        </w:rPr>
        <w:t>генерал-полковник авиации Жигарев</w:t>
      </w:r>
    </w:p>
    <w:p w14:paraId="6E01DD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Член Военного Совета Военно-воздушных сил Красной Армии</w:t>
      </w:r>
    </w:p>
    <w:p w14:paraId="58AE7F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армейский комиссар 2-го ранга Степанов</w:t>
      </w:r>
    </w:p>
    <w:p w14:paraId="39684D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ноября 1941 г.</w:t>
      </w:r>
    </w:p>
    <w:p w14:paraId="7160FD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p w14:paraId="30EB36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УНИЧТОЖЕНИЯ АВИАЦИИ ПРОТИВНИКА НА ЕГО АЭРОДРОМАХ</w:t>
      </w:r>
    </w:p>
    <w:p w14:paraId="4A91F7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ПЕРИОД С 11 ПО 16 НОЯБРЯ 1941 г.</w:t>
      </w:r>
    </w:p>
    <w:tbl>
      <w:tblPr>
        <w:tblW w:w="0" w:type="auto"/>
        <w:jc w:val="center"/>
        <w:tblLayout w:type="fixed"/>
        <w:tblCellMar>
          <w:left w:w="37" w:type="dxa"/>
          <w:right w:w="37" w:type="dxa"/>
        </w:tblCellMar>
        <w:tblLook w:val="0000" w:firstRow="0" w:lastRow="0" w:firstColumn="0" w:lastColumn="0" w:noHBand="0" w:noVBand="0"/>
      </w:tblPr>
      <w:tblGrid>
        <w:gridCol w:w="1984"/>
        <w:gridCol w:w="1843"/>
        <w:gridCol w:w="1592"/>
        <w:gridCol w:w="2386"/>
        <w:gridCol w:w="1591"/>
      </w:tblGrid>
      <w:tr w:rsidR="00643896" w:rsidRPr="00640820" w14:paraId="029A26A3" w14:textId="77777777" w:rsidTr="000D3BCB">
        <w:trPr>
          <w:cantSplit/>
          <w:trHeight w:val="390"/>
          <w:jc w:val="center"/>
        </w:trPr>
        <w:tc>
          <w:tcPr>
            <w:tcW w:w="1984" w:type="dxa"/>
            <w:tcBorders>
              <w:top w:val="nil"/>
              <w:left w:val="nil"/>
              <w:bottom w:val="nil"/>
              <w:right w:val="nil"/>
            </w:tcBorders>
          </w:tcPr>
          <w:p w14:paraId="5CCA7E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какие части возлагается уничтожение противника</w:t>
            </w:r>
          </w:p>
        </w:tc>
        <w:tc>
          <w:tcPr>
            <w:tcW w:w="1843" w:type="dxa"/>
            <w:gridSpan w:val="4"/>
            <w:tcBorders>
              <w:top w:val="nil"/>
              <w:left w:val="nil"/>
              <w:bottom w:val="nil"/>
              <w:right w:val="nil"/>
            </w:tcBorders>
            <w:shd w:val="clear" w:color="FFFFFF" w:fill="FFFFFF"/>
          </w:tcPr>
          <w:p w14:paraId="5F6D63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Наименование аэродромов</w:t>
            </w:r>
          </w:p>
        </w:tc>
      </w:tr>
      <w:tr w:rsidR="00643896" w:rsidRPr="00640820" w14:paraId="29BEF836" w14:textId="77777777" w:rsidTr="000D3BCB">
        <w:trPr>
          <w:cantSplit/>
          <w:trHeight w:val="540"/>
          <w:jc w:val="center"/>
        </w:trPr>
        <w:tc>
          <w:tcPr>
            <w:tcW w:w="1984" w:type="dxa"/>
            <w:tcBorders>
              <w:top w:val="single" w:sz="12" w:space="0" w:color="auto"/>
              <w:left w:val="single" w:sz="12" w:space="0" w:color="auto"/>
              <w:bottom w:val="single" w:sz="6" w:space="0" w:color="auto"/>
              <w:right w:val="single" w:sz="6" w:space="0" w:color="auto"/>
            </w:tcBorders>
          </w:tcPr>
          <w:p w14:paraId="6EC8DE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gridSpan w:val="2"/>
            <w:tcBorders>
              <w:top w:val="single" w:sz="12" w:space="0" w:color="auto"/>
              <w:left w:val="single" w:sz="6" w:space="0" w:color="auto"/>
              <w:bottom w:val="single" w:sz="6" w:space="0" w:color="auto"/>
              <w:right w:val="single" w:sz="6" w:space="0" w:color="auto"/>
            </w:tcBorders>
            <w:shd w:val="clear" w:color="FFFFFF" w:fill="FFFFFF"/>
          </w:tcPr>
          <w:p w14:paraId="2AFBAA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12.11.41 г. </w:t>
            </w:r>
          </w:p>
        </w:tc>
        <w:tc>
          <w:tcPr>
            <w:tcW w:w="2386" w:type="dxa"/>
            <w:gridSpan w:val="2"/>
            <w:tcBorders>
              <w:top w:val="single" w:sz="12" w:space="0" w:color="auto"/>
              <w:left w:val="single" w:sz="6" w:space="0" w:color="auto"/>
              <w:bottom w:val="single" w:sz="6" w:space="0" w:color="auto"/>
              <w:right w:val="single" w:sz="12" w:space="0" w:color="auto"/>
            </w:tcBorders>
            <w:shd w:val="clear" w:color="FFFFFF" w:fill="FFFFFF"/>
          </w:tcPr>
          <w:p w14:paraId="13CFE6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15.11.41 г.</w:t>
            </w:r>
          </w:p>
        </w:tc>
      </w:tr>
      <w:tr w:rsidR="00643896" w:rsidRPr="00640820" w14:paraId="798FB3E0" w14:textId="77777777" w:rsidTr="000D3BCB">
        <w:trPr>
          <w:cantSplit/>
          <w:trHeight w:val="540"/>
          <w:jc w:val="center"/>
        </w:trPr>
        <w:tc>
          <w:tcPr>
            <w:tcW w:w="1984" w:type="dxa"/>
            <w:tcBorders>
              <w:top w:val="single" w:sz="6" w:space="0" w:color="auto"/>
              <w:left w:val="single" w:sz="12" w:space="0" w:color="auto"/>
              <w:bottom w:val="single" w:sz="6" w:space="0" w:color="auto"/>
              <w:right w:val="single" w:sz="6" w:space="0" w:color="auto"/>
            </w:tcBorders>
          </w:tcPr>
          <w:p w14:paraId="1E4506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shd w:val="clear" w:color="FFFFFF" w:fill="FFFFFF"/>
          </w:tcPr>
          <w:p w14:paraId="591B64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Наименование аэродромов</w:t>
            </w:r>
          </w:p>
        </w:tc>
        <w:tc>
          <w:tcPr>
            <w:tcW w:w="1592" w:type="dxa"/>
            <w:tcBorders>
              <w:top w:val="single" w:sz="6" w:space="0" w:color="auto"/>
              <w:left w:val="single" w:sz="6" w:space="0" w:color="auto"/>
              <w:bottom w:val="single" w:sz="6" w:space="0" w:color="auto"/>
              <w:right w:val="single" w:sz="6" w:space="0" w:color="auto"/>
            </w:tcBorders>
            <w:shd w:val="clear" w:color="FFFFFF" w:fill="FFFFFF"/>
          </w:tcPr>
          <w:p w14:paraId="0ADBA2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Наряд самолетов</w:t>
            </w:r>
          </w:p>
        </w:tc>
        <w:tc>
          <w:tcPr>
            <w:tcW w:w="2386" w:type="dxa"/>
            <w:tcBorders>
              <w:top w:val="single" w:sz="6" w:space="0" w:color="auto"/>
              <w:left w:val="single" w:sz="6" w:space="0" w:color="auto"/>
              <w:bottom w:val="single" w:sz="6" w:space="0" w:color="auto"/>
              <w:right w:val="single" w:sz="6" w:space="0" w:color="auto"/>
            </w:tcBorders>
            <w:shd w:val="clear" w:color="FFFFFF" w:fill="FFFFFF"/>
          </w:tcPr>
          <w:p w14:paraId="2704EB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Наименование аэродромов</w:t>
            </w:r>
          </w:p>
        </w:tc>
        <w:tc>
          <w:tcPr>
            <w:tcW w:w="1591" w:type="dxa"/>
            <w:tcBorders>
              <w:top w:val="single" w:sz="6" w:space="0" w:color="auto"/>
              <w:left w:val="single" w:sz="6" w:space="0" w:color="auto"/>
              <w:bottom w:val="single" w:sz="6" w:space="0" w:color="auto"/>
              <w:right w:val="single" w:sz="12" w:space="0" w:color="auto"/>
            </w:tcBorders>
            <w:shd w:val="clear" w:color="FFFFFF" w:fill="FFFFFF"/>
          </w:tcPr>
          <w:p w14:paraId="02BF22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Наряд самолетов</w:t>
            </w:r>
          </w:p>
        </w:tc>
      </w:tr>
      <w:tr w:rsidR="00643896" w:rsidRPr="00640820" w14:paraId="09EA44A4" w14:textId="77777777" w:rsidTr="000D3BCB">
        <w:trPr>
          <w:cantSplit/>
          <w:trHeight w:val="390"/>
          <w:jc w:val="center"/>
        </w:trPr>
        <w:tc>
          <w:tcPr>
            <w:tcW w:w="1984" w:type="dxa"/>
            <w:tcBorders>
              <w:top w:val="single" w:sz="6" w:space="0" w:color="auto"/>
              <w:left w:val="single" w:sz="12" w:space="0" w:color="auto"/>
              <w:bottom w:val="single" w:sz="6" w:space="0" w:color="auto"/>
              <w:right w:val="single" w:sz="6" w:space="0" w:color="auto"/>
            </w:tcBorders>
          </w:tcPr>
          <w:p w14:paraId="18F47E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Калининский фронт </w:t>
            </w:r>
          </w:p>
        </w:tc>
        <w:tc>
          <w:tcPr>
            <w:tcW w:w="1843" w:type="dxa"/>
            <w:tcBorders>
              <w:top w:val="single" w:sz="6" w:space="0" w:color="auto"/>
              <w:left w:val="single" w:sz="6" w:space="0" w:color="auto"/>
              <w:bottom w:val="single" w:sz="6" w:space="0" w:color="auto"/>
              <w:right w:val="single" w:sz="6" w:space="0" w:color="auto"/>
            </w:tcBorders>
            <w:shd w:val="clear" w:color="FFFFFF" w:fill="FFFFFF"/>
          </w:tcPr>
          <w:p w14:paraId="76B17A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Калинин</w:t>
            </w:r>
          </w:p>
        </w:tc>
        <w:tc>
          <w:tcPr>
            <w:tcW w:w="1592" w:type="dxa"/>
            <w:tcBorders>
              <w:top w:val="single" w:sz="6" w:space="0" w:color="auto"/>
              <w:left w:val="single" w:sz="6" w:space="0" w:color="auto"/>
              <w:bottom w:val="single" w:sz="6" w:space="0" w:color="auto"/>
              <w:right w:val="single" w:sz="6" w:space="0" w:color="auto"/>
            </w:tcBorders>
            <w:shd w:val="clear" w:color="FFFFFF" w:fill="FFFFFF"/>
          </w:tcPr>
          <w:p w14:paraId="11C5CA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c>
          <w:tcPr>
            <w:tcW w:w="2386" w:type="dxa"/>
            <w:tcBorders>
              <w:top w:val="single" w:sz="6" w:space="0" w:color="auto"/>
              <w:left w:val="single" w:sz="6" w:space="0" w:color="auto"/>
              <w:bottom w:val="single" w:sz="6" w:space="0" w:color="auto"/>
              <w:right w:val="single" w:sz="6" w:space="0" w:color="auto"/>
            </w:tcBorders>
            <w:shd w:val="clear" w:color="FFFFFF" w:fill="FFFFFF"/>
          </w:tcPr>
          <w:p w14:paraId="6C090D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Калинин</w:t>
            </w:r>
          </w:p>
        </w:tc>
        <w:tc>
          <w:tcPr>
            <w:tcW w:w="1591" w:type="dxa"/>
            <w:tcBorders>
              <w:top w:val="single" w:sz="6" w:space="0" w:color="auto"/>
              <w:left w:val="single" w:sz="6" w:space="0" w:color="auto"/>
              <w:bottom w:val="single" w:sz="6" w:space="0" w:color="auto"/>
              <w:right w:val="single" w:sz="12" w:space="0" w:color="auto"/>
            </w:tcBorders>
            <w:shd w:val="clear" w:color="FFFFFF" w:fill="FFFFFF"/>
          </w:tcPr>
          <w:p w14:paraId="324B32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r>
      <w:tr w:rsidR="00643896" w:rsidRPr="00640820" w14:paraId="281B4EE4" w14:textId="77777777" w:rsidTr="000D3BCB">
        <w:trPr>
          <w:cantSplit/>
          <w:trHeight w:val="390"/>
          <w:jc w:val="center"/>
        </w:trPr>
        <w:tc>
          <w:tcPr>
            <w:tcW w:w="1984" w:type="dxa"/>
            <w:tcBorders>
              <w:top w:val="single" w:sz="6" w:space="0" w:color="auto"/>
              <w:left w:val="single" w:sz="12" w:space="0" w:color="auto"/>
              <w:bottom w:val="single" w:sz="6" w:space="0" w:color="auto"/>
              <w:right w:val="single" w:sz="6" w:space="0" w:color="auto"/>
            </w:tcBorders>
          </w:tcPr>
          <w:p w14:paraId="7B57F5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shd w:val="clear" w:color="FFFFFF" w:fill="FFFFFF"/>
          </w:tcPr>
          <w:p w14:paraId="787543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Старица</w:t>
            </w:r>
          </w:p>
        </w:tc>
        <w:tc>
          <w:tcPr>
            <w:tcW w:w="1592" w:type="dxa"/>
            <w:tcBorders>
              <w:top w:val="single" w:sz="6" w:space="0" w:color="auto"/>
              <w:left w:val="single" w:sz="6" w:space="0" w:color="auto"/>
              <w:bottom w:val="single" w:sz="6" w:space="0" w:color="auto"/>
              <w:right w:val="single" w:sz="6" w:space="0" w:color="auto"/>
            </w:tcBorders>
            <w:shd w:val="clear" w:color="FFFFFF" w:fill="FFFFFF"/>
          </w:tcPr>
          <w:p w14:paraId="459FCE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2386" w:type="dxa"/>
            <w:tcBorders>
              <w:top w:val="single" w:sz="6" w:space="0" w:color="auto"/>
              <w:left w:val="single" w:sz="6" w:space="0" w:color="auto"/>
              <w:bottom w:val="single" w:sz="6" w:space="0" w:color="auto"/>
              <w:right w:val="single" w:sz="6" w:space="0" w:color="auto"/>
            </w:tcBorders>
            <w:shd w:val="clear" w:color="FFFFFF" w:fill="FFFFFF"/>
          </w:tcPr>
          <w:p w14:paraId="1ED214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Старица</w:t>
            </w:r>
          </w:p>
        </w:tc>
        <w:tc>
          <w:tcPr>
            <w:tcW w:w="1591" w:type="dxa"/>
            <w:tcBorders>
              <w:top w:val="single" w:sz="6" w:space="0" w:color="auto"/>
              <w:left w:val="single" w:sz="6" w:space="0" w:color="auto"/>
              <w:bottom w:val="single" w:sz="6" w:space="0" w:color="auto"/>
              <w:right w:val="single" w:sz="12" w:space="0" w:color="auto"/>
            </w:tcBorders>
            <w:shd w:val="clear" w:color="FFFFFF" w:fill="FFFFFF"/>
          </w:tcPr>
          <w:p w14:paraId="7C56C6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r>
      <w:tr w:rsidR="00643896" w:rsidRPr="00640820" w14:paraId="084FCB66" w14:textId="77777777" w:rsidTr="000D3BCB">
        <w:trPr>
          <w:cantSplit/>
          <w:trHeight w:val="390"/>
          <w:jc w:val="center"/>
        </w:trPr>
        <w:tc>
          <w:tcPr>
            <w:tcW w:w="1984" w:type="dxa"/>
            <w:tcBorders>
              <w:top w:val="single" w:sz="6" w:space="0" w:color="auto"/>
              <w:left w:val="single" w:sz="12" w:space="0" w:color="auto"/>
              <w:bottom w:val="single" w:sz="6" w:space="0" w:color="auto"/>
              <w:right w:val="single" w:sz="6" w:space="0" w:color="auto"/>
            </w:tcBorders>
          </w:tcPr>
          <w:p w14:paraId="3AAE48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shd w:val="clear" w:color="FFFFFF" w:fill="FFFFFF"/>
          </w:tcPr>
          <w:p w14:paraId="4B32C2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Даниловское</w:t>
            </w:r>
          </w:p>
        </w:tc>
        <w:tc>
          <w:tcPr>
            <w:tcW w:w="1592" w:type="dxa"/>
            <w:tcBorders>
              <w:top w:val="single" w:sz="6" w:space="0" w:color="auto"/>
              <w:left w:val="single" w:sz="6" w:space="0" w:color="auto"/>
              <w:bottom w:val="single" w:sz="6" w:space="0" w:color="auto"/>
              <w:right w:val="single" w:sz="6" w:space="0" w:color="auto"/>
            </w:tcBorders>
            <w:shd w:val="clear" w:color="FFFFFF" w:fill="FFFFFF"/>
          </w:tcPr>
          <w:p w14:paraId="75555D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2386" w:type="dxa"/>
            <w:tcBorders>
              <w:top w:val="single" w:sz="6" w:space="0" w:color="auto"/>
              <w:left w:val="single" w:sz="6" w:space="0" w:color="auto"/>
              <w:bottom w:val="single" w:sz="6" w:space="0" w:color="auto"/>
              <w:right w:val="single" w:sz="6" w:space="0" w:color="auto"/>
            </w:tcBorders>
            <w:shd w:val="clear" w:color="FFFFFF" w:fill="FFFFFF"/>
          </w:tcPr>
          <w:p w14:paraId="6701A9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Даниловское</w:t>
            </w:r>
          </w:p>
        </w:tc>
        <w:tc>
          <w:tcPr>
            <w:tcW w:w="1591" w:type="dxa"/>
            <w:tcBorders>
              <w:top w:val="single" w:sz="6" w:space="0" w:color="auto"/>
              <w:left w:val="single" w:sz="6" w:space="0" w:color="auto"/>
              <w:bottom w:val="single" w:sz="6" w:space="0" w:color="auto"/>
              <w:right w:val="single" w:sz="12" w:space="0" w:color="auto"/>
            </w:tcBorders>
            <w:shd w:val="clear" w:color="FFFFFF" w:fill="FFFFFF"/>
          </w:tcPr>
          <w:p w14:paraId="45C096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r>
      <w:tr w:rsidR="00643896" w:rsidRPr="00640820" w14:paraId="04A86216" w14:textId="77777777" w:rsidTr="000D3BCB">
        <w:trPr>
          <w:cantSplit/>
          <w:trHeight w:val="390"/>
          <w:jc w:val="center"/>
        </w:trPr>
        <w:tc>
          <w:tcPr>
            <w:tcW w:w="1984" w:type="dxa"/>
            <w:tcBorders>
              <w:top w:val="single" w:sz="6" w:space="0" w:color="auto"/>
              <w:left w:val="single" w:sz="12" w:space="0" w:color="auto"/>
              <w:bottom w:val="single" w:sz="6" w:space="0" w:color="auto"/>
              <w:right w:val="single" w:sz="6" w:space="0" w:color="auto"/>
            </w:tcBorders>
          </w:tcPr>
          <w:p w14:paraId="783AAE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Западный фронт</w:t>
            </w:r>
          </w:p>
        </w:tc>
        <w:tc>
          <w:tcPr>
            <w:tcW w:w="1843" w:type="dxa"/>
            <w:tcBorders>
              <w:top w:val="single" w:sz="6" w:space="0" w:color="auto"/>
              <w:left w:val="single" w:sz="6" w:space="0" w:color="auto"/>
              <w:bottom w:val="single" w:sz="6" w:space="0" w:color="auto"/>
              <w:right w:val="single" w:sz="6" w:space="0" w:color="auto"/>
            </w:tcBorders>
            <w:shd w:val="clear" w:color="FFFFFF" w:fill="FFFFFF"/>
          </w:tcPr>
          <w:p w14:paraId="7E44F8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Боровск</w:t>
            </w:r>
          </w:p>
        </w:tc>
        <w:tc>
          <w:tcPr>
            <w:tcW w:w="1592" w:type="dxa"/>
            <w:tcBorders>
              <w:top w:val="single" w:sz="6" w:space="0" w:color="auto"/>
              <w:left w:val="single" w:sz="6" w:space="0" w:color="auto"/>
              <w:bottom w:val="single" w:sz="6" w:space="0" w:color="auto"/>
              <w:right w:val="single" w:sz="6" w:space="0" w:color="auto"/>
            </w:tcBorders>
            <w:shd w:val="clear" w:color="FFFFFF" w:fill="FFFFFF"/>
          </w:tcPr>
          <w:p w14:paraId="370139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c>
          <w:tcPr>
            <w:tcW w:w="2386" w:type="dxa"/>
            <w:tcBorders>
              <w:top w:val="single" w:sz="6" w:space="0" w:color="auto"/>
              <w:left w:val="single" w:sz="6" w:space="0" w:color="auto"/>
              <w:bottom w:val="single" w:sz="6" w:space="0" w:color="auto"/>
              <w:right w:val="single" w:sz="6" w:space="0" w:color="auto"/>
            </w:tcBorders>
            <w:shd w:val="clear" w:color="FFFFFF" w:fill="FFFFFF"/>
          </w:tcPr>
          <w:p w14:paraId="450EA2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Синявино</w:t>
            </w:r>
          </w:p>
        </w:tc>
        <w:tc>
          <w:tcPr>
            <w:tcW w:w="1591" w:type="dxa"/>
            <w:tcBorders>
              <w:top w:val="single" w:sz="6" w:space="0" w:color="auto"/>
              <w:left w:val="single" w:sz="6" w:space="0" w:color="auto"/>
              <w:bottom w:val="single" w:sz="6" w:space="0" w:color="auto"/>
              <w:right w:val="single" w:sz="12" w:space="0" w:color="auto"/>
            </w:tcBorders>
            <w:shd w:val="clear" w:color="FFFFFF" w:fill="FFFFFF"/>
          </w:tcPr>
          <w:p w14:paraId="5D6B9E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r>
      <w:tr w:rsidR="00643896" w:rsidRPr="00640820" w14:paraId="1E818679" w14:textId="77777777" w:rsidTr="000D3BCB">
        <w:trPr>
          <w:cantSplit/>
          <w:trHeight w:val="390"/>
          <w:jc w:val="center"/>
        </w:trPr>
        <w:tc>
          <w:tcPr>
            <w:tcW w:w="1984" w:type="dxa"/>
            <w:tcBorders>
              <w:top w:val="single" w:sz="6" w:space="0" w:color="auto"/>
              <w:left w:val="single" w:sz="12" w:space="0" w:color="auto"/>
              <w:bottom w:val="single" w:sz="6" w:space="0" w:color="auto"/>
              <w:right w:val="single" w:sz="6" w:space="0" w:color="auto"/>
            </w:tcBorders>
          </w:tcPr>
          <w:p w14:paraId="4AC78D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shd w:val="clear" w:color="FFFFFF" w:fill="FFFFFF"/>
          </w:tcPr>
          <w:p w14:paraId="6499D6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Калуга</w:t>
            </w:r>
          </w:p>
        </w:tc>
        <w:tc>
          <w:tcPr>
            <w:tcW w:w="1592" w:type="dxa"/>
            <w:tcBorders>
              <w:top w:val="single" w:sz="6" w:space="0" w:color="auto"/>
              <w:left w:val="single" w:sz="6" w:space="0" w:color="auto"/>
              <w:bottom w:val="single" w:sz="6" w:space="0" w:color="auto"/>
              <w:right w:val="single" w:sz="6" w:space="0" w:color="auto"/>
            </w:tcBorders>
            <w:shd w:val="clear" w:color="FFFFFF" w:fill="FFFFFF"/>
          </w:tcPr>
          <w:p w14:paraId="7CBF87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c>
          <w:tcPr>
            <w:tcW w:w="2386" w:type="dxa"/>
            <w:tcBorders>
              <w:top w:val="single" w:sz="6" w:space="0" w:color="auto"/>
              <w:left w:val="single" w:sz="6" w:space="0" w:color="auto"/>
              <w:bottom w:val="single" w:sz="6" w:space="0" w:color="auto"/>
              <w:right w:val="single" w:sz="6" w:space="0" w:color="auto"/>
            </w:tcBorders>
            <w:shd w:val="clear" w:color="FFFFFF" w:fill="FFFFFF"/>
          </w:tcPr>
          <w:p w14:paraId="5AAC6B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Калуга</w:t>
            </w:r>
          </w:p>
        </w:tc>
        <w:tc>
          <w:tcPr>
            <w:tcW w:w="1591" w:type="dxa"/>
            <w:tcBorders>
              <w:top w:val="single" w:sz="6" w:space="0" w:color="auto"/>
              <w:left w:val="single" w:sz="6" w:space="0" w:color="auto"/>
              <w:bottom w:val="single" w:sz="6" w:space="0" w:color="auto"/>
              <w:right w:val="single" w:sz="12" w:space="0" w:color="auto"/>
            </w:tcBorders>
            <w:shd w:val="clear" w:color="FFFFFF" w:fill="FFFFFF"/>
          </w:tcPr>
          <w:p w14:paraId="23A57B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r>
      <w:tr w:rsidR="00643896" w:rsidRPr="00640820" w14:paraId="3B791A71" w14:textId="77777777" w:rsidTr="000D3BCB">
        <w:trPr>
          <w:cantSplit/>
          <w:trHeight w:val="390"/>
          <w:jc w:val="center"/>
        </w:trPr>
        <w:tc>
          <w:tcPr>
            <w:tcW w:w="1984" w:type="dxa"/>
            <w:tcBorders>
              <w:top w:val="single" w:sz="6" w:space="0" w:color="auto"/>
              <w:left w:val="single" w:sz="12" w:space="0" w:color="auto"/>
              <w:bottom w:val="single" w:sz="6" w:space="0" w:color="auto"/>
              <w:right w:val="single" w:sz="6" w:space="0" w:color="auto"/>
            </w:tcBorders>
          </w:tcPr>
          <w:p w14:paraId="6A1096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shd w:val="clear" w:color="FFFFFF" w:fill="FFFFFF"/>
          </w:tcPr>
          <w:p w14:paraId="197A69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Малоярославец</w:t>
            </w:r>
          </w:p>
        </w:tc>
        <w:tc>
          <w:tcPr>
            <w:tcW w:w="1592" w:type="dxa"/>
            <w:tcBorders>
              <w:top w:val="single" w:sz="6" w:space="0" w:color="auto"/>
              <w:left w:val="single" w:sz="6" w:space="0" w:color="auto"/>
              <w:bottom w:val="single" w:sz="6" w:space="0" w:color="auto"/>
              <w:right w:val="single" w:sz="6" w:space="0" w:color="auto"/>
            </w:tcBorders>
            <w:shd w:val="clear" w:color="FFFFFF" w:fill="FFFFFF"/>
          </w:tcPr>
          <w:p w14:paraId="08293D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c>
          <w:tcPr>
            <w:tcW w:w="2386" w:type="dxa"/>
            <w:tcBorders>
              <w:top w:val="single" w:sz="6" w:space="0" w:color="auto"/>
              <w:left w:val="single" w:sz="6" w:space="0" w:color="auto"/>
              <w:bottom w:val="single" w:sz="6" w:space="0" w:color="auto"/>
              <w:right w:val="single" w:sz="6" w:space="0" w:color="auto"/>
            </w:tcBorders>
            <w:shd w:val="clear" w:color="FFFFFF" w:fill="FFFFFF"/>
          </w:tcPr>
          <w:p w14:paraId="312CF9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Недельное</w:t>
            </w:r>
          </w:p>
        </w:tc>
        <w:tc>
          <w:tcPr>
            <w:tcW w:w="1591" w:type="dxa"/>
            <w:tcBorders>
              <w:top w:val="single" w:sz="6" w:space="0" w:color="auto"/>
              <w:left w:val="single" w:sz="6" w:space="0" w:color="auto"/>
              <w:bottom w:val="single" w:sz="6" w:space="0" w:color="auto"/>
              <w:right w:val="single" w:sz="12" w:space="0" w:color="auto"/>
            </w:tcBorders>
            <w:shd w:val="clear" w:color="FFFFFF" w:fill="FFFFFF"/>
          </w:tcPr>
          <w:p w14:paraId="256C01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r>
      <w:tr w:rsidR="00643896" w:rsidRPr="00640820" w14:paraId="73A3759F" w14:textId="77777777" w:rsidTr="000D3BCB">
        <w:trPr>
          <w:cantSplit/>
          <w:trHeight w:val="390"/>
          <w:jc w:val="center"/>
        </w:trPr>
        <w:tc>
          <w:tcPr>
            <w:tcW w:w="1984" w:type="dxa"/>
            <w:tcBorders>
              <w:top w:val="single" w:sz="6" w:space="0" w:color="auto"/>
              <w:left w:val="single" w:sz="12" w:space="0" w:color="auto"/>
              <w:bottom w:val="single" w:sz="6" w:space="0" w:color="auto"/>
              <w:right w:val="single" w:sz="6" w:space="0" w:color="auto"/>
            </w:tcBorders>
          </w:tcPr>
          <w:p w14:paraId="2FF836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shd w:val="clear" w:color="FFFFFF" w:fill="FFFFFF"/>
          </w:tcPr>
          <w:p w14:paraId="6045D6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Медынь</w:t>
            </w:r>
          </w:p>
        </w:tc>
        <w:tc>
          <w:tcPr>
            <w:tcW w:w="1592" w:type="dxa"/>
            <w:tcBorders>
              <w:top w:val="single" w:sz="6" w:space="0" w:color="auto"/>
              <w:left w:val="single" w:sz="6" w:space="0" w:color="auto"/>
              <w:bottom w:val="single" w:sz="6" w:space="0" w:color="auto"/>
              <w:right w:val="single" w:sz="6" w:space="0" w:color="auto"/>
            </w:tcBorders>
            <w:shd w:val="clear" w:color="FFFFFF" w:fill="FFFFFF"/>
          </w:tcPr>
          <w:p w14:paraId="724378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2386" w:type="dxa"/>
            <w:tcBorders>
              <w:top w:val="single" w:sz="6" w:space="0" w:color="auto"/>
              <w:left w:val="single" w:sz="6" w:space="0" w:color="auto"/>
              <w:bottom w:val="single" w:sz="6" w:space="0" w:color="auto"/>
              <w:right w:val="single" w:sz="6" w:space="0" w:color="auto"/>
            </w:tcBorders>
            <w:shd w:val="clear" w:color="FFFFFF" w:fill="FFFFFF"/>
          </w:tcPr>
          <w:p w14:paraId="217915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Слобода</w:t>
            </w:r>
          </w:p>
        </w:tc>
        <w:tc>
          <w:tcPr>
            <w:tcW w:w="1591" w:type="dxa"/>
            <w:tcBorders>
              <w:top w:val="single" w:sz="6" w:space="0" w:color="auto"/>
              <w:left w:val="single" w:sz="6" w:space="0" w:color="auto"/>
              <w:bottom w:val="single" w:sz="6" w:space="0" w:color="auto"/>
              <w:right w:val="single" w:sz="12" w:space="0" w:color="auto"/>
            </w:tcBorders>
            <w:shd w:val="clear" w:color="FFFFFF" w:fill="FFFFFF"/>
          </w:tcPr>
          <w:p w14:paraId="3D39F6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r>
      <w:tr w:rsidR="00643896" w:rsidRPr="00640820" w14:paraId="40AB01D9" w14:textId="77777777" w:rsidTr="000D3BCB">
        <w:trPr>
          <w:cantSplit/>
          <w:trHeight w:val="390"/>
          <w:jc w:val="center"/>
        </w:trPr>
        <w:tc>
          <w:tcPr>
            <w:tcW w:w="1984" w:type="dxa"/>
            <w:tcBorders>
              <w:top w:val="single" w:sz="6" w:space="0" w:color="auto"/>
              <w:left w:val="single" w:sz="12" w:space="0" w:color="auto"/>
              <w:bottom w:val="single" w:sz="6" w:space="0" w:color="auto"/>
              <w:right w:val="single" w:sz="6" w:space="0" w:color="auto"/>
            </w:tcBorders>
          </w:tcPr>
          <w:p w14:paraId="60E452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Военно-воздушные силы Московского военного округа</w:t>
            </w:r>
          </w:p>
        </w:tc>
        <w:tc>
          <w:tcPr>
            <w:tcW w:w="1843" w:type="dxa"/>
            <w:tcBorders>
              <w:top w:val="single" w:sz="6" w:space="0" w:color="auto"/>
              <w:left w:val="single" w:sz="6" w:space="0" w:color="auto"/>
              <w:bottom w:val="single" w:sz="6" w:space="0" w:color="auto"/>
              <w:right w:val="single" w:sz="6" w:space="0" w:color="auto"/>
            </w:tcBorders>
            <w:shd w:val="clear" w:color="FFFFFF" w:fill="FFFFFF"/>
          </w:tcPr>
          <w:p w14:paraId="32461D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Угодский завод</w:t>
            </w:r>
          </w:p>
        </w:tc>
        <w:tc>
          <w:tcPr>
            <w:tcW w:w="1592" w:type="dxa"/>
            <w:tcBorders>
              <w:top w:val="single" w:sz="6" w:space="0" w:color="auto"/>
              <w:left w:val="single" w:sz="6" w:space="0" w:color="auto"/>
              <w:bottom w:val="single" w:sz="6" w:space="0" w:color="auto"/>
              <w:right w:val="single" w:sz="6" w:space="0" w:color="auto"/>
            </w:tcBorders>
            <w:shd w:val="clear" w:color="FFFFFF" w:fill="FFFFFF"/>
          </w:tcPr>
          <w:p w14:paraId="46E114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c>
          <w:tcPr>
            <w:tcW w:w="2386" w:type="dxa"/>
            <w:tcBorders>
              <w:top w:val="single" w:sz="6" w:space="0" w:color="auto"/>
              <w:left w:val="single" w:sz="6" w:space="0" w:color="auto"/>
              <w:bottom w:val="single" w:sz="6" w:space="0" w:color="auto"/>
              <w:right w:val="single" w:sz="6" w:space="0" w:color="auto"/>
            </w:tcBorders>
            <w:shd w:val="clear" w:color="FFFFFF" w:fill="FFFFFF"/>
          </w:tcPr>
          <w:p w14:paraId="43EDE0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Боровск</w:t>
            </w:r>
          </w:p>
        </w:tc>
        <w:tc>
          <w:tcPr>
            <w:tcW w:w="1591" w:type="dxa"/>
            <w:tcBorders>
              <w:top w:val="single" w:sz="6" w:space="0" w:color="auto"/>
              <w:left w:val="single" w:sz="6" w:space="0" w:color="auto"/>
              <w:bottom w:val="single" w:sz="6" w:space="0" w:color="auto"/>
              <w:right w:val="single" w:sz="12" w:space="0" w:color="auto"/>
            </w:tcBorders>
            <w:shd w:val="clear" w:color="FFFFFF" w:fill="FFFFFF"/>
          </w:tcPr>
          <w:p w14:paraId="17C020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r>
      <w:tr w:rsidR="00643896" w:rsidRPr="00640820" w14:paraId="62070BA1" w14:textId="77777777" w:rsidTr="000D3BCB">
        <w:trPr>
          <w:cantSplit/>
          <w:trHeight w:val="390"/>
          <w:jc w:val="center"/>
        </w:trPr>
        <w:tc>
          <w:tcPr>
            <w:tcW w:w="1984" w:type="dxa"/>
            <w:tcBorders>
              <w:top w:val="single" w:sz="6" w:space="0" w:color="auto"/>
              <w:left w:val="single" w:sz="12" w:space="0" w:color="auto"/>
              <w:bottom w:val="single" w:sz="6" w:space="0" w:color="auto"/>
              <w:right w:val="single" w:sz="6" w:space="0" w:color="auto"/>
            </w:tcBorders>
          </w:tcPr>
          <w:p w14:paraId="7B72C2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shd w:val="clear" w:color="FFFFFF" w:fill="FFFFFF"/>
          </w:tcPr>
          <w:p w14:paraId="7CA1DB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Петрищево</w:t>
            </w:r>
          </w:p>
        </w:tc>
        <w:tc>
          <w:tcPr>
            <w:tcW w:w="1592" w:type="dxa"/>
            <w:tcBorders>
              <w:top w:val="single" w:sz="6" w:space="0" w:color="auto"/>
              <w:left w:val="single" w:sz="6" w:space="0" w:color="auto"/>
              <w:bottom w:val="single" w:sz="6" w:space="0" w:color="auto"/>
              <w:right w:val="single" w:sz="6" w:space="0" w:color="auto"/>
            </w:tcBorders>
            <w:shd w:val="clear" w:color="FFFFFF" w:fill="FFFFFF"/>
          </w:tcPr>
          <w:p w14:paraId="68605A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2386" w:type="dxa"/>
            <w:tcBorders>
              <w:top w:val="single" w:sz="6" w:space="0" w:color="auto"/>
              <w:left w:val="single" w:sz="6" w:space="0" w:color="auto"/>
              <w:bottom w:val="single" w:sz="6" w:space="0" w:color="auto"/>
              <w:right w:val="single" w:sz="6" w:space="0" w:color="auto"/>
            </w:tcBorders>
            <w:shd w:val="clear" w:color="FFFFFF" w:fill="FFFFFF"/>
          </w:tcPr>
          <w:p w14:paraId="538948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Малоярославец</w:t>
            </w:r>
          </w:p>
        </w:tc>
        <w:tc>
          <w:tcPr>
            <w:tcW w:w="1591" w:type="dxa"/>
            <w:tcBorders>
              <w:top w:val="single" w:sz="6" w:space="0" w:color="auto"/>
              <w:left w:val="single" w:sz="6" w:space="0" w:color="auto"/>
              <w:bottom w:val="single" w:sz="6" w:space="0" w:color="auto"/>
              <w:right w:val="single" w:sz="12" w:space="0" w:color="auto"/>
            </w:tcBorders>
            <w:shd w:val="clear" w:color="FFFFFF" w:fill="FFFFFF"/>
          </w:tcPr>
          <w:p w14:paraId="54B941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r>
      <w:tr w:rsidR="00643896" w:rsidRPr="00640820" w14:paraId="2D9173FE" w14:textId="77777777" w:rsidTr="000D3BCB">
        <w:trPr>
          <w:cantSplit/>
          <w:jc w:val="center"/>
        </w:trPr>
        <w:tc>
          <w:tcPr>
            <w:tcW w:w="1984" w:type="dxa"/>
            <w:tcBorders>
              <w:top w:val="single" w:sz="6" w:space="0" w:color="auto"/>
              <w:left w:val="single" w:sz="12" w:space="0" w:color="auto"/>
              <w:bottom w:val="single" w:sz="6" w:space="0" w:color="auto"/>
              <w:right w:val="single" w:sz="6" w:space="0" w:color="auto"/>
            </w:tcBorders>
          </w:tcPr>
          <w:p w14:paraId="435611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shd w:val="clear" w:color="FFFFFF" w:fill="FFFFFF"/>
          </w:tcPr>
          <w:p w14:paraId="57FC92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Прудня (10 км северо-западнее Можайска)</w:t>
            </w:r>
          </w:p>
        </w:tc>
        <w:tc>
          <w:tcPr>
            <w:tcW w:w="1592" w:type="dxa"/>
            <w:tcBorders>
              <w:top w:val="single" w:sz="6" w:space="0" w:color="auto"/>
              <w:left w:val="single" w:sz="6" w:space="0" w:color="auto"/>
              <w:bottom w:val="single" w:sz="6" w:space="0" w:color="auto"/>
              <w:right w:val="single" w:sz="6" w:space="0" w:color="auto"/>
            </w:tcBorders>
            <w:shd w:val="clear" w:color="FFFFFF" w:fill="FFFFFF"/>
          </w:tcPr>
          <w:p w14:paraId="0F9269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2386" w:type="dxa"/>
            <w:tcBorders>
              <w:top w:val="single" w:sz="6" w:space="0" w:color="auto"/>
              <w:left w:val="single" w:sz="6" w:space="0" w:color="auto"/>
              <w:bottom w:val="single" w:sz="6" w:space="0" w:color="auto"/>
              <w:right w:val="single" w:sz="6" w:space="0" w:color="auto"/>
            </w:tcBorders>
            <w:shd w:val="clear" w:color="FFFFFF" w:fill="FFFFFF"/>
          </w:tcPr>
          <w:p w14:paraId="7EF3CC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Сашкино</w:t>
            </w:r>
          </w:p>
        </w:tc>
        <w:tc>
          <w:tcPr>
            <w:tcW w:w="1591" w:type="dxa"/>
            <w:tcBorders>
              <w:top w:val="single" w:sz="6" w:space="0" w:color="auto"/>
              <w:left w:val="single" w:sz="6" w:space="0" w:color="auto"/>
              <w:bottom w:val="single" w:sz="6" w:space="0" w:color="auto"/>
              <w:right w:val="single" w:sz="12" w:space="0" w:color="auto"/>
            </w:tcBorders>
            <w:shd w:val="clear" w:color="FFFFFF" w:fill="FFFFFF"/>
          </w:tcPr>
          <w:p w14:paraId="6A0A70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r>
      <w:tr w:rsidR="00643896" w:rsidRPr="00640820" w14:paraId="69FE79BE" w14:textId="77777777" w:rsidTr="000D3BCB">
        <w:trPr>
          <w:cantSplit/>
          <w:trHeight w:val="390"/>
          <w:jc w:val="center"/>
        </w:trPr>
        <w:tc>
          <w:tcPr>
            <w:tcW w:w="1984" w:type="dxa"/>
            <w:tcBorders>
              <w:top w:val="single" w:sz="6" w:space="0" w:color="auto"/>
              <w:left w:val="single" w:sz="12" w:space="0" w:color="auto"/>
              <w:bottom w:val="single" w:sz="6" w:space="0" w:color="auto"/>
              <w:right w:val="single" w:sz="6" w:space="0" w:color="auto"/>
            </w:tcBorders>
          </w:tcPr>
          <w:p w14:paraId="401B94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Брянский фронт</w:t>
            </w:r>
          </w:p>
        </w:tc>
        <w:tc>
          <w:tcPr>
            <w:tcW w:w="1843" w:type="dxa"/>
            <w:tcBorders>
              <w:top w:val="single" w:sz="6" w:space="0" w:color="auto"/>
              <w:left w:val="single" w:sz="6" w:space="0" w:color="auto"/>
              <w:bottom w:val="single" w:sz="6" w:space="0" w:color="auto"/>
              <w:right w:val="single" w:sz="6" w:space="0" w:color="auto"/>
            </w:tcBorders>
            <w:shd w:val="clear" w:color="FFFFFF" w:fill="FFFFFF"/>
          </w:tcPr>
          <w:p w14:paraId="7D13C8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Орел</w:t>
            </w:r>
          </w:p>
        </w:tc>
        <w:tc>
          <w:tcPr>
            <w:tcW w:w="1592" w:type="dxa"/>
            <w:tcBorders>
              <w:top w:val="single" w:sz="6" w:space="0" w:color="auto"/>
              <w:left w:val="single" w:sz="6" w:space="0" w:color="auto"/>
              <w:bottom w:val="single" w:sz="6" w:space="0" w:color="auto"/>
              <w:right w:val="single" w:sz="6" w:space="0" w:color="auto"/>
            </w:tcBorders>
            <w:shd w:val="clear" w:color="FFFFFF" w:fill="FFFFFF"/>
          </w:tcPr>
          <w:p w14:paraId="7B12C5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2386" w:type="dxa"/>
            <w:tcBorders>
              <w:top w:val="single" w:sz="6" w:space="0" w:color="auto"/>
              <w:left w:val="single" w:sz="6" w:space="0" w:color="auto"/>
              <w:bottom w:val="single" w:sz="6" w:space="0" w:color="auto"/>
              <w:right w:val="single" w:sz="6" w:space="0" w:color="auto"/>
            </w:tcBorders>
            <w:shd w:val="clear" w:color="FFFFFF" w:fill="FFFFFF"/>
          </w:tcPr>
          <w:p w14:paraId="1A38BB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Орел</w:t>
            </w:r>
          </w:p>
        </w:tc>
        <w:tc>
          <w:tcPr>
            <w:tcW w:w="1591" w:type="dxa"/>
            <w:tcBorders>
              <w:top w:val="single" w:sz="6" w:space="0" w:color="auto"/>
              <w:left w:val="single" w:sz="6" w:space="0" w:color="auto"/>
              <w:bottom w:val="single" w:sz="6" w:space="0" w:color="auto"/>
              <w:right w:val="single" w:sz="12" w:space="0" w:color="auto"/>
            </w:tcBorders>
            <w:shd w:val="clear" w:color="FFFFFF" w:fill="FFFFFF"/>
          </w:tcPr>
          <w:p w14:paraId="0D6EAD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r>
      <w:tr w:rsidR="00643896" w:rsidRPr="00640820" w14:paraId="5AD74F35" w14:textId="77777777" w:rsidTr="000D3BCB">
        <w:trPr>
          <w:cantSplit/>
          <w:trHeight w:val="390"/>
          <w:jc w:val="center"/>
        </w:trPr>
        <w:tc>
          <w:tcPr>
            <w:tcW w:w="1984" w:type="dxa"/>
            <w:tcBorders>
              <w:top w:val="single" w:sz="6" w:space="0" w:color="auto"/>
              <w:left w:val="single" w:sz="12" w:space="0" w:color="auto"/>
              <w:bottom w:val="single" w:sz="6" w:space="0" w:color="auto"/>
              <w:right w:val="single" w:sz="6" w:space="0" w:color="auto"/>
            </w:tcBorders>
          </w:tcPr>
          <w:p w14:paraId="629152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shd w:val="clear" w:color="FFFFFF" w:fill="FFFFFF"/>
          </w:tcPr>
          <w:p w14:paraId="7C16E8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Мценск</w:t>
            </w:r>
          </w:p>
        </w:tc>
        <w:tc>
          <w:tcPr>
            <w:tcW w:w="1592" w:type="dxa"/>
            <w:tcBorders>
              <w:top w:val="single" w:sz="6" w:space="0" w:color="auto"/>
              <w:left w:val="single" w:sz="6" w:space="0" w:color="auto"/>
              <w:bottom w:val="single" w:sz="6" w:space="0" w:color="auto"/>
              <w:right w:val="single" w:sz="6" w:space="0" w:color="auto"/>
            </w:tcBorders>
            <w:shd w:val="clear" w:color="FFFFFF" w:fill="FFFFFF"/>
          </w:tcPr>
          <w:p w14:paraId="15E5DE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2386" w:type="dxa"/>
            <w:tcBorders>
              <w:top w:val="single" w:sz="6" w:space="0" w:color="auto"/>
              <w:left w:val="single" w:sz="6" w:space="0" w:color="auto"/>
              <w:bottom w:val="single" w:sz="6" w:space="0" w:color="auto"/>
              <w:right w:val="single" w:sz="6" w:space="0" w:color="auto"/>
            </w:tcBorders>
            <w:shd w:val="clear" w:color="FFFFFF" w:fill="FFFFFF"/>
          </w:tcPr>
          <w:p w14:paraId="2EA3C7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Мценск</w:t>
            </w:r>
          </w:p>
        </w:tc>
        <w:tc>
          <w:tcPr>
            <w:tcW w:w="1591" w:type="dxa"/>
            <w:tcBorders>
              <w:top w:val="single" w:sz="6" w:space="0" w:color="auto"/>
              <w:left w:val="single" w:sz="6" w:space="0" w:color="auto"/>
              <w:bottom w:val="single" w:sz="6" w:space="0" w:color="auto"/>
              <w:right w:val="single" w:sz="12" w:space="0" w:color="auto"/>
            </w:tcBorders>
            <w:shd w:val="clear" w:color="FFFFFF" w:fill="FFFFFF"/>
          </w:tcPr>
          <w:p w14:paraId="5C343B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r>
      <w:tr w:rsidR="00643896" w:rsidRPr="00640820" w14:paraId="133F4E25" w14:textId="77777777" w:rsidTr="000D3BCB">
        <w:trPr>
          <w:cantSplit/>
          <w:trHeight w:val="390"/>
          <w:jc w:val="center"/>
        </w:trPr>
        <w:tc>
          <w:tcPr>
            <w:tcW w:w="1984" w:type="dxa"/>
            <w:tcBorders>
              <w:top w:val="single" w:sz="6" w:space="0" w:color="auto"/>
              <w:left w:val="single" w:sz="12" w:space="0" w:color="auto"/>
              <w:bottom w:val="single" w:sz="6" w:space="0" w:color="auto"/>
              <w:right w:val="single" w:sz="6" w:space="0" w:color="auto"/>
            </w:tcBorders>
          </w:tcPr>
          <w:p w14:paraId="110682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shd w:val="clear" w:color="FFFFFF" w:fill="FFFFFF"/>
          </w:tcPr>
          <w:p w14:paraId="41DB07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92" w:type="dxa"/>
            <w:tcBorders>
              <w:top w:val="single" w:sz="6" w:space="0" w:color="auto"/>
              <w:left w:val="single" w:sz="6" w:space="0" w:color="auto"/>
              <w:bottom w:val="single" w:sz="6" w:space="0" w:color="auto"/>
              <w:right w:val="single" w:sz="6" w:space="0" w:color="auto"/>
            </w:tcBorders>
            <w:shd w:val="clear" w:color="FFFFFF" w:fill="FFFFFF"/>
          </w:tcPr>
          <w:p w14:paraId="0ACE28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386" w:type="dxa"/>
            <w:tcBorders>
              <w:top w:val="single" w:sz="6" w:space="0" w:color="auto"/>
              <w:left w:val="single" w:sz="6" w:space="0" w:color="auto"/>
              <w:bottom w:val="single" w:sz="6" w:space="0" w:color="auto"/>
              <w:right w:val="single" w:sz="6" w:space="0" w:color="auto"/>
            </w:tcBorders>
            <w:shd w:val="clear" w:color="FFFFFF" w:fill="FFFFFF"/>
          </w:tcPr>
          <w:p w14:paraId="21F8CF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Чернь</w:t>
            </w:r>
          </w:p>
        </w:tc>
        <w:tc>
          <w:tcPr>
            <w:tcW w:w="1591" w:type="dxa"/>
            <w:tcBorders>
              <w:top w:val="single" w:sz="6" w:space="0" w:color="auto"/>
              <w:left w:val="single" w:sz="6" w:space="0" w:color="auto"/>
              <w:bottom w:val="single" w:sz="6" w:space="0" w:color="auto"/>
              <w:right w:val="single" w:sz="12" w:space="0" w:color="auto"/>
            </w:tcBorders>
            <w:shd w:val="clear" w:color="FFFFFF" w:fill="FFFFFF"/>
          </w:tcPr>
          <w:p w14:paraId="613397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r>
      <w:tr w:rsidR="00643896" w:rsidRPr="00640820" w14:paraId="5D238AA5" w14:textId="77777777" w:rsidTr="000D3BCB">
        <w:trPr>
          <w:cantSplit/>
          <w:trHeight w:val="390"/>
          <w:jc w:val="center"/>
        </w:trPr>
        <w:tc>
          <w:tcPr>
            <w:tcW w:w="1984" w:type="dxa"/>
            <w:tcBorders>
              <w:top w:val="single" w:sz="6" w:space="0" w:color="auto"/>
              <w:left w:val="single" w:sz="12" w:space="0" w:color="auto"/>
              <w:bottom w:val="single" w:sz="6" w:space="0" w:color="auto"/>
              <w:right w:val="single" w:sz="6" w:space="0" w:color="auto"/>
            </w:tcBorders>
          </w:tcPr>
          <w:p w14:paraId="7EA5A2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Дальне-бомбардировочная авиация</w:t>
            </w:r>
          </w:p>
        </w:tc>
        <w:tc>
          <w:tcPr>
            <w:tcW w:w="1843" w:type="dxa"/>
            <w:tcBorders>
              <w:top w:val="single" w:sz="6" w:space="0" w:color="auto"/>
              <w:left w:val="single" w:sz="6" w:space="0" w:color="auto"/>
              <w:bottom w:val="single" w:sz="6" w:space="0" w:color="auto"/>
              <w:right w:val="single" w:sz="6" w:space="0" w:color="auto"/>
            </w:tcBorders>
            <w:shd w:val="clear" w:color="FFFFFF" w:fill="FFFFFF"/>
          </w:tcPr>
          <w:p w14:paraId="335CD5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Шаталово</w:t>
            </w:r>
          </w:p>
        </w:tc>
        <w:tc>
          <w:tcPr>
            <w:tcW w:w="1592" w:type="dxa"/>
            <w:tcBorders>
              <w:top w:val="single" w:sz="6" w:space="0" w:color="auto"/>
              <w:left w:val="single" w:sz="6" w:space="0" w:color="auto"/>
              <w:bottom w:val="single" w:sz="6" w:space="0" w:color="auto"/>
              <w:right w:val="single" w:sz="6" w:space="0" w:color="auto"/>
            </w:tcBorders>
            <w:shd w:val="clear" w:color="FFFFFF" w:fill="FFFFFF"/>
          </w:tcPr>
          <w:p w14:paraId="0B72AA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2386" w:type="dxa"/>
            <w:tcBorders>
              <w:top w:val="single" w:sz="6" w:space="0" w:color="auto"/>
              <w:left w:val="single" w:sz="6" w:space="0" w:color="auto"/>
              <w:bottom w:val="single" w:sz="6" w:space="0" w:color="auto"/>
              <w:right w:val="single" w:sz="6" w:space="0" w:color="auto"/>
            </w:tcBorders>
            <w:shd w:val="clear" w:color="FFFFFF" w:fill="FFFFFF"/>
          </w:tcPr>
          <w:p w14:paraId="4901F1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Смоленск</w:t>
            </w:r>
          </w:p>
        </w:tc>
        <w:tc>
          <w:tcPr>
            <w:tcW w:w="1591" w:type="dxa"/>
            <w:tcBorders>
              <w:top w:val="single" w:sz="6" w:space="0" w:color="auto"/>
              <w:left w:val="single" w:sz="6" w:space="0" w:color="auto"/>
              <w:bottom w:val="single" w:sz="6" w:space="0" w:color="auto"/>
              <w:right w:val="single" w:sz="12" w:space="0" w:color="auto"/>
            </w:tcBorders>
            <w:shd w:val="clear" w:color="FFFFFF" w:fill="FFFFFF"/>
          </w:tcPr>
          <w:p w14:paraId="6A8DCD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r>
      <w:tr w:rsidR="00643896" w:rsidRPr="00640820" w14:paraId="71CCC7D9" w14:textId="77777777" w:rsidTr="000D3BCB">
        <w:trPr>
          <w:cantSplit/>
          <w:trHeight w:val="390"/>
          <w:jc w:val="center"/>
        </w:trPr>
        <w:tc>
          <w:tcPr>
            <w:tcW w:w="1984" w:type="dxa"/>
            <w:tcBorders>
              <w:top w:val="single" w:sz="6" w:space="0" w:color="auto"/>
              <w:left w:val="single" w:sz="12" w:space="0" w:color="auto"/>
              <w:bottom w:val="single" w:sz="6" w:space="0" w:color="auto"/>
              <w:right w:val="single" w:sz="6" w:space="0" w:color="auto"/>
            </w:tcBorders>
          </w:tcPr>
          <w:p w14:paraId="378AB6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shd w:val="clear" w:color="FFFFFF" w:fill="FFFFFF"/>
          </w:tcPr>
          <w:p w14:paraId="5F94C9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Боровское</w:t>
            </w:r>
          </w:p>
        </w:tc>
        <w:tc>
          <w:tcPr>
            <w:tcW w:w="1592" w:type="dxa"/>
            <w:tcBorders>
              <w:top w:val="single" w:sz="6" w:space="0" w:color="auto"/>
              <w:left w:val="single" w:sz="6" w:space="0" w:color="auto"/>
              <w:bottom w:val="single" w:sz="6" w:space="0" w:color="auto"/>
              <w:right w:val="single" w:sz="6" w:space="0" w:color="auto"/>
            </w:tcBorders>
            <w:shd w:val="clear" w:color="FFFFFF" w:fill="FFFFFF"/>
          </w:tcPr>
          <w:p w14:paraId="6A03B9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2386" w:type="dxa"/>
            <w:tcBorders>
              <w:top w:val="single" w:sz="6" w:space="0" w:color="auto"/>
              <w:left w:val="single" w:sz="6" w:space="0" w:color="auto"/>
              <w:bottom w:val="single" w:sz="6" w:space="0" w:color="auto"/>
              <w:right w:val="single" w:sz="6" w:space="0" w:color="auto"/>
            </w:tcBorders>
            <w:shd w:val="clear" w:color="FFFFFF" w:fill="FFFFFF"/>
          </w:tcPr>
          <w:p w14:paraId="2BEB6B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Шайковка</w:t>
            </w:r>
          </w:p>
        </w:tc>
        <w:tc>
          <w:tcPr>
            <w:tcW w:w="1591" w:type="dxa"/>
            <w:tcBorders>
              <w:top w:val="single" w:sz="6" w:space="0" w:color="auto"/>
              <w:left w:val="single" w:sz="6" w:space="0" w:color="auto"/>
              <w:bottom w:val="single" w:sz="6" w:space="0" w:color="auto"/>
              <w:right w:val="single" w:sz="12" w:space="0" w:color="auto"/>
            </w:tcBorders>
            <w:shd w:val="clear" w:color="FFFFFF" w:fill="FFFFFF"/>
          </w:tcPr>
          <w:p w14:paraId="0181F6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r>
      <w:tr w:rsidR="00643896" w:rsidRPr="00640820" w14:paraId="5338C9E4" w14:textId="77777777" w:rsidTr="000D3BCB">
        <w:trPr>
          <w:cantSplit/>
          <w:trHeight w:val="390"/>
          <w:jc w:val="center"/>
        </w:trPr>
        <w:tc>
          <w:tcPr>
            <w:tcW w:w="1984" w:type="dxa"/>
            <w:tcBorders>
              <w:top w:val="single" w:sz="6" w:space="0" w:color="auto"/>
              <w:left w:val="single" w:sz="12" w:space="0" w:color="auto"/>
              <w:bottom w:val="single" w:sz="6" w:space="0" w:color="auto"/>
              <w:right w:val="single" w:sz="6" w:space="0" w:color="auto"/>
            </w:tcBorders>
          </w:tcPr>
          <w:p w14:paraId="581BCA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shd w:val="clear" w:color="FFFFFF" w:fill="FFFFFF"/>
          </w:tcPr>
          <w:p w14:paraId="3D454F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Сеща</w:t>
            </w:r>
          </w:p>
        </w:tc>
        <w:tc>
          <w:tcPr>
            <w:tcW w:w="1592" w:type="dxa"/>
            <w:tcBorders>
              <w:top w:val="single" w:sz="6" w:space="0" w:color="auto"/>
              <w:left w:val="single" w:sz="6" w:space="0" w:color="auto"/>
              <w:bottom w:val="single" w:sz="6" w:space="0" w:color="auto"/>
              <w:right w:val="single" w:sz="6" w:space="0" w:color="auto"/>
            </w:tcBorders>
            <w:shd w:val="clear" w:color="FFFFFF" w:fill="FFFFFF"/>
          </w:tcPr>
          <w:p w14:paraId="2701F4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2386" w:type="dxa"/>
            <w:tcBorders>
              <w:top w:val="single" w:sz="6" w:space="0" w:color="auto"/>
              <w:left w:val="single" w:sz="6" w:space="0" w:color="auto"/>
              <w:bottom w:val="single" w:sz="6" w:space="0" w:color="auto"/>
              <w:right w:val="single" w:sz="6" w:space="0" w:color="auto"/>
            </w:tcBorders>
            <w:shd w:val="clear" w:color="FFFFFF" w:fill="FFFFFF"/>
          </w:tcPr>
          <w:p w14:paraId="110723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Сухиничи</w:t>
            </w:r>
          </w:p>
        </w:tc>
        <w:tc>
          <w:tcPr>
            <w:tcW w:w="1591" w:type="dxa"/>
            <w:tcBorders>
              <w:top w:val="single" w:sz="6" w:space="0" w:color="auto"/>
              <w:left w:val="single" w:sz="6" w:space="0" w:color="auto"/>
              <w:bottom w:val="single" w:sz="6" w:space="0" w:color="auto"/>
              <w:right w:val="single" w:sz="12" w:space="0" w:color="auto"/>
            </w:tcBorders>
            <w:shd w:val="clear" w:color="FFFFFF" w:fill="FFFFFF"/>
          </w:tcPr>
          <w:p w14:paraId="59D81F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r>
      <w:tr w:rsidR="00643896" w:rsidRPr="00640820" w14:paraId="5C6E4A07" w14:textId="77777777" w:rsidTr="000D3BCB">
        <w:trPr>
          <w:cantSplit/>
          <w:trHeight w:val="390"/>
          <w:jc w:val="center"/>
        </w:trPr>
        <w:tc>
          <w:tcPr>
            <w:tcW w:w="1984" w:type="dxa"/>
            <w:tcBorders>
              <w:top w:val="single" w:sz="6" w:space="0" w:color="auto"/>
              <w:left w:val="single" w:sz="12" w:space="0" w:color="auto"/>
              <w:bottom w:val="single" w:sz="6" w:space="0" w:color="auto"/>
              <w:right w:val="single" w:sz="6" w:space="0" w:color="auto"/>
            </w:tcBorders>
          </w:tcPr>
          <w:p w14:paraId="44A621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shd w:val="clear" w:color="FFFFFF" w:fill="FFFFFF"/>
          </w:tcPr>
          <w:p w14:paraId="34516E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Брянск</w:t>
            </w:r>
          </w:p>
        </w:tc>
        <w:tc>
          <w:tcPr>
            <w:tcW w:w="1592" w:type="dxa"/>
            <w:tcBorders>
              <w:top w:val="single" w:sz="6" w:space="0" w:color="auto"/>
              <w:left w:val="single" w:sz="6" w:space="0" w:color="auto"/>
              <w:bottom w:val="single" w:sz="6" w:space="0" w:color="auto"/>
              <w:right w:val="single" w:sz="6" w:space="0" w:color="auto"/>
            </w:tcBorders>
            <w:shd w:val="clear" w:color="FFFFFF" w:fill="FFFFFF"/>
          </w:tcPr>
          <w:p w14:paraId="3301DA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2386" w:type="dxa"/>
            <w:tcBorders>
              <w:top w:val="single" w:sz="6" w:space="0" w:color="auto"/>
              <w:left w:val="single" w:sz="6" w:space="0" w:color="auto"/>
              <w:bottom w:val="single" w:sz="6" w:space="0" w:color="auto"/>
              <w:right w:val="single" w:sz="6" w:space="0" w:color="auto"/>
            </w:tcBorders>
            <w:shd w:val="clear" w:color="FFFFFF" w:fill="FFFFFF"/>
          </w:tcPr>
          <w:p w14:paraId="693813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Двоевка</w:t>
            </w:r>
          </w:p>
        </w:tc>
        <w:tc>
          <w:tcPr>
            <w:tcW w:w="1591" w:type="dxa"/>
            <w:tcBorders>
              <w:top w:val="single" w:sz="6" w:space="0" w:color="auto"/>
              <w:left w:val="single" w:sz="6" w:space="0" w:color="auto"/>
              <w:bottom w:val="single" w:sz="6" w:space="0" w:color="auto"/>
              <w:right w:val="single" w:sz="12" w:space="0" w:color="auto"/>
            </w:tcBorders>
            <w:shd w:val="clear" w:color="FFFFFF" w:fill="FFFFFF"/>
          </w:tcPr>
          <w:p w14:paraId="274D52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r>
      <w:tr w:rsidR="00643896" w:rsidRPr="00640820" w14:paraId="4363E65F" w14:textId="77777777" w:rsidTr="000D3BCB">
        <w:trPr>
          <w:cantSplit/>
          <w:trHeight w:val="390"/>
          <w:jc w:val="center"/>
        </w:trPr>
        <w:tc>
          <w:tcPr>
            <w:tcW w:w="1984" w:type="dxa"/>
            <w:tcBorders>
              <w:top w:val="single" w:sz="6" w:space="0" w:color="auto"/>
              <w:left w:val="single" w:sz="12" w:space="0" w:color="auto"/>
              <w:bottom w:val="single" w:sz="6" w:space="0" w:color="auto"/>
              <w:right w:val="single" w:sz="6" w:space="0" w:color="auto"/>
            </w:tcBorders>
          </w:tcPr>
          <w:p w14:paraId="0E1ADA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81-я авиационная дивизия</w:t>
            </w:r>
          </w:p>
        </w:tc>
        <w:tc>
          <w:tcPr>
            <w:tcW w:w="1843" w:type="dxa"/>
            <w:tcBorders>
              <w:top w:val="single" w:sz="6" w:space="0" w:color="auto"/>
              <w:left w:val="single" w:sz="6" w:space="0" w:color="auto"/>
              <w:bottom w:val="single" w:sz="6" w:space="0" w:color="auto"/>
              <w:right w:val="single" w:sz="6" w:space="0" w:color="auto"/>
            </w:tcBorders>
            <w:shd w:val="clear" w:color="FFFFFF" w:fill="FFFFFF"/>
          </w:tcPr>
          <w:p w14:paraId="37352A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Ржев</w:t>
            </w:r>
          </w:p>
        </w:tc>
        <w:tc>
          <w:tcPr>
            <w:tcW w:w="1592" w:type="dxa"/>
            <w:tcBorders>
              <w:top w:val="single" w:sz="6" w:space="0" w:color="auto"/>
              <w:left w:val="single" w:sz="6" w:space="0" w:color="auto"/>
              <w:bottom w:val="single" w:sz="6" w:space="0" w:color="auto"/>
              <w:right w:val="single" w:sz="6" w:space="0" w:color="auto"/>
            </w:tcBorders>
            <w:shd w:val="clear" w:color="FFFFFF" w:fill="FFFFFF"/>
          </w:tcPr>
          <w:p w14:paraId="0DA717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tc>
        <w:tc>
          <w:tcPr>
            <w:tcW w:w="2386" w:type="dxa"/>
            <w:tcBorders>
              <w:top w:val="single" w:sz="6" w:space="0" w:color="auto"/>
              <w:left w:val="single" w:sz="6" w:space="0" w:color="auto"/>
              <w:bottom w:val="single" w:sz="6" w:space="0" w:color="auto"/>
              <w:right w:val="single" w:sz="6" w:space="0" w:color="auto"/>
            </w:tcBorders>
            <w:shd w:val="clear" w:color="FFFFFF" w:fill="FFFFFF"/>
          </w:tcPr>
          <w:p w14:paraId="5E4495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Боровское</w:t>
            </w:r>
          </w:p>
        </w:tc>
        <w:tc>
          <w:tcPr>
            <w:tcW w:w="1591" w:type="dxa"/>
            <w:tcBorders>
              <w:top w:val="single" w:sz="6" w:space="0" w:color="auto"/>
              <w:left w:val="single" w:sz="6" w:space="0" w:color="auto"/>
              <w:bottom w:val="single" w:sz="6" w:space="0" w:color="auto"/>
              <w:right w:val="single" w:sz="12" w:space="0" w:color="auto"/>
            </w:tcBorders>
            <w:shd w:val="clear" w:color="FFFFFF" w:fill="FFFFFF"/>
          </w:tcPr>
          <w:p w14:paraId="083A65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tc>
      </w:tr>
      <w:tr w:rsidR="00643896" w:rsidRPr="00640820" w14:paraId="6CB19A57" w14:textId="77777777" w:rsidTr="000D3BCB">
        <w:trPr>
          <w:cantSplit/>
          <w:trHeight w:val="390"/>
          <w:jc w:val="center"/>
        </w:trPr>
        <w:tc>
          <w:tcPr>
            <w:tcW w:w="1984" w:type="dxa"/>
            <w:tcBorders>
              <w:top w:val="single" w:sz="6" w:space="0" w:color="auto"/>
              <w:left w:val="single" w:sz="12" w:space="0" w:color="auto"/>
              <w:bottom w:val="single" w:sz="6" w:space="0" w:color="auto"/>
              <w:right w:val="single" w:sz="6" w:space="0" w:color="auto"/>
            </w:tcBorders>
          </w:tcPr>
          <w:p w14:paraId="6A899E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shd w:val="clear" w:color="FFFFFF" w:fill="FFFFFF"/>
          </w:tcPr>
          <w:p w14:paraId="3C9B4C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Гжатск</w:t>
            </w:r>
          </w:p>
        </w:tc>
        <w:tc>
          <w:tcPr>
            <w:tcW w:w="1592" w:type="dxa"/>
            <w:tcBorders>
              <w:top w:val="single" w:sz="6" w:space="0" w:color="auto"/>
              <w:left w:val="single" w:sz="6" w:space="0" w:color="auto"/>
              <w:bottom w:val="single" w:sz="6" w:space="0" w:color="auto"/>
              <w:right w:val="single" w:sz="6" w:space="0" w:color="auto"/>
            </w:tcBorders>
            <w:shd w:val="clear" w:color="FFFFFF" w:fill="FFFFFF"/>
          </w:tcPr>
          <w:p w14:paraId="2CC203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tc>
        <w:tc>
          <w:tcPr>
            <w:tcW w:w="2386" w:type="dxa"/>
            <w:tcBorders>
              <w:top w:val="single" w:sz="6" w:space="0" w:color="auto"/>
              <w:left w:val="single" w:sz="6" w:space="0" w:color="auto"/>
              <w:bottom w:val="single" w:sz="6" w:space="0" w:color="auto"/>
              <w:right w:val="single" w:sz="6" w:space="0" w:color="auto"/>
            </w:tcBorders>
            <w:shd w:val="clear" w:color="FFFFFF" w:fill="FFFFFF"/>
          </w:tcPr>
          <w:p w14:paraId="2A1642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Шаталово</w:t>
            </w:r>
          </w:p>
        </w:tc>
        <w:tc>
          <w:tcPr>
            <w:tcW w:w="1591" w:type="dxa"/>
            <w:tcBorders>
              <w:top w:val="single" w:sz="6" w:space="0" w:color="auto"/>
              <w:left w:val="single" w:sz="6" w:space="0" w:color="auto"/>
              <w:bottom w:val="single" w:sz="6" w:space="0" w:color="auto"/>
              <w:right w:val="single" w:sz="12" w:space="0" w:color="auto"/>
            </w:tcBorders>
            <w:shd w:val="clear" w:color="FFFFFF" w:fill="FFFFFF"/>
          </w:tcPr>
          <w:p w14:paraId="32F499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tc>
      </w:tr>
      <w:tr w:rsidR="00643896" w:rsidRPr="00640820" w14:paraId="008ACE40" w14:textId="77777777" w:rsidTr="000D3BCB">
        <w:trPr>
          <w:cantSplit/>
          <w:trHeight w:val="390"/>
          <w:jc w:val="center"/>
        </w:trPr>
        <w:tc>
          <w:tcPr>
            <w:tcW w:w="1984" w:type="dxa"/>
            <w:tcBorders>
              <w:top w:val="single" w:sz="6" w:space="0" w:color="auto"/>
              <w:left w:val="single" w:sz="12" w:space="0" w:color="auto"/>
              <w:bottom w:val="single" w:sz="6" w:space="0" w:color="auto"/>
              <w:right w:val="single" w:sz="6" w:space="0" w:color="auto"/>
            </w:tcBorders>
          </w:tcPr>
          <w:p w14:paraId="747AE9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shd w:val="clear" w:color="FFFFFF" w:fill="FFFFFF"/>
          </w:tcPr>
          <w:p w14:paraId="2A5AC5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Кулешовка</w:t>
            </w:r>
          </w:p>
        </w:tc>
        <w:tc>
          <w:tcPr>
            <w:tcW w:w="1592" w:type="dxa"/>
            <w:tcBorders>
              <w:top w:val="single" w:sz="6" w:space="0" w:color="auto"/>
              <w:left w:val="single" w:sz="6" w:space="0" w:color="auto"/>
              <w:bottom w:val="single" w:sz="6" w:space="0" w:color="auto"/>
              <w:right w:val="single" w:sz="6" w:space="0" w:color="auto"/>
            </w:tcBorders>
            <w:shd w:val="clear" w:color="FFFFFF" w:fill="FFFFFF"/>
          </w:tcPr>
          <w:p w14:paraId="775F7E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tc>
        <w:tc>
          <w:tcPr>
            <w:tcW w:w="2386" w:type="dxa"/>
            <w:tcBorders>
              <w:top w:val="single" w:sz="6" w:space="0" w:color="auto"/>
              <w:left w:val="single" w:sz="6" w:space="0" w:color="auto"/>
              <w:bottom w:val="single" w:sz="6" w:space="0" w:color="auto"/>
              <w:right w:val="single" w:sz="6" w:space="0" w:color="auto"/>
            </w:tcBorders>
            <w:shd w:val="clear" w:color="FFFFFF" w:fill="FFFFFF"/>
          </w:tcPr>
          <w:p w14:paraId="2571D0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Сеща</w:t>
            </w:r>
          </w:p>
        </w:tc>
        <w:tc>
          <w:tcPr>
            <w:tcW w:w="1591" w:type="dxa"/>
            <w:tcBorders>
              <w:top w:val="single" w:sz="6" w:space="0" w:color="auto"/>
              <w:left w:val="single" w:sz="6" w:space="0" w:color="auto"/>
              <w:bottom w:val="single" w:sz="6" w:space="0" w:color="auto"/>
              <w:right w:val="single" w:sz="12" w:space="0" w:color="auto"/>
            </w:tcBorders>
            <w:shd w:val="clear" w:color="FFFFFF" w:fill="FFFFFF"/>
          </w:tcPr>
          <w:p w14:paraId="1A5D18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tc>
      </w:tr>
      <w:tr w:rsidR="00643896" w:rsidRPr="00640820" w14:paraId="771459E4" w14:textId="77777777" w:rsidTr="000D3BCB">
        <w:trPr>
          <w:cantSplit/>
          <w:trHeight w:val="390"/>
          <w:jc w:val="center"/>
        </w:trPr>
        <w:tc>
          <w:tcPr>
            <w:tcW w:w="1984" w:type="dxa"/>
            <w:tcBorders>
              <w:top w:val="single" w:sz="6" w:space="0" w:color="auto"/>
              <w:left w:val="single" w:sz="12" w:space="0" w:color="auto"/>
              <w:bottom w:val="single" w:sz="12" w:space="0" w:color="auto"/>
              <w:right w:val="single" w:sz="6" w:space="0" w:color="auto"/>
            </w:tcBorders>
          </w:tcPr>
          <w:p w14:paraId="68171A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Итого</w:t>
            </w:r>
          </w:p>
        </w:tc>
        <w:tc>
          <w:tcPr>
            <w:tcW w:w="1843" w:type="dxa"/>
            <w:tcBorders>
              <w:top w:val="single" w:sz="6" w:space="0" w:color="auto"/>
              <w:left w:val="single" w:sz="6" w:space="0" w:color="auto"/>
              <w:bottom w:val="single" w:sz="12" w:space="0" w:color="auto"/>
              <w:right w:val="single" w:sz="6" w:space="0" w:color="auto"/>
            </w:tcBorders>
            <w:shd w:val="clear" w:color="FFFFFF" w:fill="FFFFFF"/>
          </w:tcPr>
          <w:p w14:paraId="59639B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аэродромов</w:t>
            </w:r>
          </w:p>
        </w:tc>
        <w:tc>
          <w:tcPr>
            <w:tcW w:w="1592" w:type="dxa"/>
            <w:tcBorders>
              <w:top w:val="single" w:sz="6" w:space="0" w:color="auto"/>
              <w:left w:val="single" w:sz="6" w:space="0" w:color="auto"/>
              <w:bottom w:val="single" w:sz="12" w:space="0" w:color="auto"/>
              <w:right w:val="single" w:sz="6" w:space="0" w:color="auto"/>
            </w:tcBorders>
            <w:shd w:val="clear" w:color="FFFFFF" w:fill="FFFFFF"/>
          </w:tcPr>
          <w:p w14:paraId="5D5EB1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147</w:t>
            </w:r>
          </w:p>
        </w:tc>
        <w:tc>
          <w:tcPr>
            <w:tcW w:w="2386" w:type="dxa"/>
            <w:tcBorders>
              <w:top w:val="single" w:sz="6" w:space="0" w:color="auto"/>
              <w:left w:val="single" w:sz="6" w:space="0" w:color="auto"/>
              <w:bottom w:val="single" w:sz="12" w:space="0" w:color="auto"/>
              <w:right w:val="single" w:sz="6" w:space="0" w:color="auto"/>
            </w:tcBorders>
            <w:shd w:val="clear" w:color="FFFFFF" w:fill="FFFFFF"/>
          </w:tcPr>
          <w:p w14:paraId="14C64A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аэродромов</w:t>
            </w:r>
          </w:p>
        </w:tc>
        <w:tc>
          <w:tcPr>
            <w:tcW w:w="1591" w:type="dxa"/>
            <w:tcBorders>
              <w:top w:val="single" w:sz="6" w:space="0" w:color="auto"/>
              <w:left w:val="single" w:sz="6" w:space="0" w:color="auto"/>
              <w:bottom w:val="single" w:sz="12" w:space="0" w:color="auto"/>
              <w:right w:val="single" w:sz="12" w:space="0" w:color="auto"/>
            </w:tcBorders>
            <w:shd w:val="clear" w:color="FFFFFF" w:fill="FFFFFF"/>
          </w:tcPr>
          <w:p w14:paraId="163129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153</w:t>
            </w:r>
          </w:p>
        </w:tc>
      </w:tr>
    </w:tbl>
    <w:p w14:paraId="62C985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Примечания:</w:t>
      </w:r>
    </w:p>
    <w:p w14:paraId="6807DB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Удары по указанным аэродромам производить по данным авиационной разведки на себя.</w:t>
      </w:r>
    </w:p>
    <w:p w14:paraId="108285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Запасные цели на каждый вылет назначаются командующими военно-воздушными силами фронтов в зависимости от данных авиационной разведки.</w:t>
      </w:r>
    </w:p>
    <w:p w14:paraId="7A4C99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штаба Военно-воздушных сил Красной, Армии</w:t>
      </w:r>
    </w:p>
    <w:p w14:paraId="67B319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генерал-лейтенант авиации ВОРОЖЕЙКИН</w:t>
      </w:r>
    </w:p>
    <w:p w14:paraId="5CED64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ноября 1941 г. (7751)</w:t>
      </w:r>
    </w:p>
    <w:p w14:paraId="1A46D3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ноября 1941 года Государственный Комитет Обороны принял постановление № 874 “Об усилении и укреплении противовоздушной обороны территории Советского Союза”. В самом начале Великой Отечественной войны главное управление ПВО возглавлял генерал-полковник артиллерии Николай Воронов. С июля по ноябрь 1941 года – генерал майор артиллерии Алексей Осипов. Первым командующим войсками ПВО территории страны 9 ноября 1941 года был назначен генерал-лейтенант Михаил Громадин (10109).</w:t>
      </w:r>
    </w:p>
    <w:p w14:paraId="2A33C1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E9CF98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ноября 1941 был выдан [Мандат Ворошилова К.Е. - уполномоченного ГКО по проверке и контролю формирования и обучения войск 10, 26, 60, 61 А, отдельных бригад ПриВО и УрВО.] № 870 (7015, 2).</w:t>
      </w:r>
    </w:p>
    <w:p w14:paraId="071CB56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67638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ноября 1941 вышло Постановление ГКО № 874 Об усилении и укреплении противовоздушной обороны территории Союза. (7015, 12-15,16-17).</w:t>
      </w:r>
    </w:p>
    <w:p w14:paraId="6062976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56FE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ноября 1941 в соответствии с Постановлением ГКО N 874 в СССР были созданы войска ПВО территории страны как самостоятельный вид ВС (М.С.Громадин) (3398,388).</w:t>
      </w:r>
    </w:p>
    <w:p w14:paraId="415CCB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FFBCA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ноября 1941 г. вышло ПОСТАНОВЛЕНИЕ № ГКО-874сс</w:t>
      </w:r>
    </w:p>
    <w:p w14:paraId="1992B9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Москва, Кремль </w:t>
      </w:r>
    </w:p>
    <w:p w14:paraId="2CE268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 усилении и укреплении противовоздушной обороны территории Союза</w:t>
      </w:r>
    </w:p>
    <w:p w14:paraId="04CBB3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целях усиления и укрепления противовоздушной обороны территории Страны Государственный Комитет Обороны постановляет: </w:t>
      </w:r>
    </w:p>
    <w:p w14:paraId="15BE63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 Войска противовоздушной обороны территории страны из подчинения Военным Советам округов изъять и подчинить Народному Комиссару Обороны. </w:t>
      </w:r>
    </w:p>
    <w:p w14:paraId="440C06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Для непосредственного управления ими ввести должность Заместителя Народного Комиссара Обороны по противовоздушной обороне - он же Командующий Войсками ПВО территории страны. </w:t>
      </w:r>
    </w:p>
    <w:p w14:paraId="1C5075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 Существующие зоны противовоздушной обороны на европейской части территории Союза расформировать. </w:t>
      </w:r>
    </w:p>
    <w:p w14:paraId="55A6DE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Закавказскую, Средне-Азиатскую, Забайкальскую и Дальневосточную зоны ПВО сохранить в существующем составе; командующих этих зон изъять из подчинения Военных Советов округов и подчинить во всех отношениях Командующему войсками ПВО территории страны. </w:t>
      </w:r>
    </w:p>
    <w:p w14:paraId="7DB07E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 Образовать следующие дивизионные районы противовоздушной обороны территории страны: Архангельский, Череповецко-Вологодский, Рыбинско-Ярославский, Горьковский, Ряжско-Тамбовский, Воронежско-Борисоглебский, Казанский, Пензенский, Куйбышевский, Саратовско-Балашовский, Сталинградский, Краснодарский и Грозненский. </w:t>
      </w:r>
    </w:p>
    <w:p w14:paraId="76FC57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Московский корпусной район ПВО сохранить в существующем составе и изъять из подчинения Военного Совета МВО. Ленинградский корпусной район временно оставить в подчинении Ленинградского фронта, сохранив в нынешнем его составе. </w:t>
      </w:r>
    </w:p>
    <w:p w14:paraId="49A5A2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Границы дивизионных и корпусных районов ПВО - согласно приложению. </w:t>
      </w:r>
    </w:p>
    <w:p w14:paraId="7265B0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4. Для Управления системой ПВО в дивизионных районах сформировать Управления дивизионных районов ПВО во главе с командующими дивизионными районами ПВО. </w:t>
      </w:r>
    </w:p>
    <w:p w14:paraId="423EA0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Командующих дивизионными районами и Московским корпусным районом ПВО подчинить во всех отношениях командующему войсками ПВО. </w:t>
      </w:r>
    </w:p>
    <w:p w14:paraId="77A880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5. Существующие Управления командующих бригадными районами ПВО расформировать, разрешив Командующему войсками ПВО сохранить необходимое количество этих Управлений для обеспечения руководства системой ПВО на стыках между дивизионными районами ПВО и на отдельных направлениях, не охваченных дивизионными районами ПВО. </w:t>
      </w:r>
    </w:p>
    <w:p w14:paraId="165DFB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6. Усиление средствами ПВО дивизионных районов произвести в следующей очередности: </w:t>
      </w:r>
    </w:p>
    <w:p w14:paraId="2E9706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а) Первая очередь - Горьковский, Куйбышевский и Сталинградский дивизионные районы ПВО; </w:t>
      </w:r>
    </w:p>
    <w:p w14:paraId="72F152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б) Вторая очередь - Рыбинско-Ярославский, Череповецко-Вологодский дивизионные районы ПВО; </w:t>
      </w:r>
    </w:p>
    <w:p w14:paraId="2EEFCB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Третья очередь - Саратовско-Балашовский, Ряжско-Тамбовский и Воронежско-Борисоглебский дивизионные районы ПВО; </w:t>
      </w:r>
    </w:p>
    <w:p w14:paraId="405786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Четвертая очередь - Архангельский, Казанский, Пензенский, Краснодарский и Грозненский дивизионные районы ПВО. </w:t>
      </w:r>
    </w:p>
    <w:p w14:paraId="78CE6B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7. Для противовоздушной обороны выделить в первую очередь: </w:t>
      </w:r>
    </w:p>
    <w:p w14:paraId="21F494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а) г. Горького и Горьковского дивизионного района ПВО - 300 орудий среднего и малого калибра, 150-200 крупно-калиберных пулеметов и 250 самолетов истребительной авиации; </w:t>
      </w:r>
    </w:p>
    <w:p w14:paraId="3EFC17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б) г. Сталинграда и Сталинградского дивизионного района ПВО - 200 орудий среднего и малого калибра, 100 крупно-калиберных зенитных пулеметов, 120 самолетов истребительной авиации и 50 зенитных прожекторов. </w:t>
      </w:r>
    </w:p>
    <w:p w14:paraId="681B33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8. Пополнение в указанных выше первоочередных дивизионных районах ПВО недостающей материальной частью зенитной артиллерии, зенитных пулеметов и зенитных прожекторов произвести за счет выделения: </w:t>
      </w:r>
    </w:p>
    <w:p w14:paraId="7685F3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а) для г. Горького и Горьковского дивизионного района ПВО к 10 ноября 1941 г. - до 150 орудий среднего и малого калибра и до 110 крупно-калиберных зенитных пулеметов - за счет перегруппировки средств Московской Зоны ПВО (исключая г. Москву); </w:t>
      </w:r>
    </w:p>
    <w:p w14:paraId="0BC90C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б) для г. Сталинграда и Сталинградского дивизионного района ПВО - к 12 ноября 1941 г. - до 120 орудий среднего и малого калибра, до 90 крупно-калиберных зенитных пулеметов и до 40 зенитных прожекторов - за счет переброски в г. Сталинград из числа пунктовых частей ПВО: </w:t>
      </w:r>
    </w:p>
    <w:p w14:paraId="3AE573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четырех дивизионов ПВО из состава Южного фронта; </w:t>
      </w:r>
    </w:p>
    <w:p w14:paraId="0F8F4B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двух дивизионов ПВО и одного дивизиона аэростатов заграждения из состава Юго-Западного фронта; </w:t>
      </w:r>
    </w:p>
    <w:p w14:paraId="0746E4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одного дивизиона ПВО из состава Московской Зоны ПВО; </w:t>
      </w:r>
    </w:p>
    <w:p w14:paraId="45C019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одного дивизиона МЗА из состава средств ПВО г. Воронежа; </w:t>
      </w:r>
    </w:p>
    <w:p w14:paraId="759529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одного батальона 1-го прожполка 5-й дивизии ПВО из состава средств ПВО г. Куйбышева. </w:t>
      </w:r>
    </w:p>
    <w:p w14:paraId="765992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Остальное недостающее количество материальной части пополнить в дальнейшем за счет поступления от промышленности и высвобождения ее на фронтах из числа пунктовых средств ПВО. </w:t>
      </w:r>
    </w:p>
    <w:p w14:paraId="6551E7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Командующему ВВС Красной Армии, в соответствии с настоящим постановлением, немедленно приступить к выделению истребительной авиации для ПВО Горьковского и Сталинградского дивизионных районов ПВО с тем, чтобы довести количество авиации для Горьковского дивизионного района к 10 ноября 1941 г. до 140 самолетов; для Сталинградского дивизионного района к 10 ноября 1941 г. до 60 самолетов, а к 12 ноября 1941 г. - до 100 самолетов. </w:t>
      </w:r>
    </w:p>
    <w:p w14:paraId="123116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9. Командующему ВВС, Начальнику ГАУ Красной Армии и Командующему Войсками ПВО территории страны в 7-ми дневный срок разработать план полного обеспечения средствами ПВО (истребительной авиацией, зенитной артиллерией, зенитными пулеметами, зенитными прожекторами) дивизионных районов ПВО и представить его на утверждение Государственного Комитета Обороны. </w:t>
      </w:r>
    </w:p>
    <w:p w14:paraId="00368A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10. Начальнику Генерального штаба Красной Армии совместно с Заместителями Народного Комиссара Обороны по ВВС и ПВО в 3-х дневный срок определить части и соединения ПВО, передаваемые в систему противовоздушной обороны территории страны, и представить на утверждение Государственного Комитета Обороны. </w:t>
      </w:r>
    </w:p>
    <w:p w14:paraId="476EF2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11. Для усиления службы ВНОС дивизионных районов ПВО дополнительно к существующим частям ВНОС сформировать десять отдельных батальонов ВНОС 4-х ротного состава, из них: </w:t>
      </w:r>
    </w:p>
    <w:p w14:paraId="065E0F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а) для Архангельского района - один батальон к 20.XI.41 г.; </w:t>
      </w:r>
    </w:p>
    <w:p w14:paraId="619519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б) для Череповецко-Вологодского района - один батальон к 18.XI.41 г.; </w:t>
      </w:r>
    </w:p>
    <w:p w14:paraId="2FF515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для Ярославско-Рыбинского района - один батальон к 20.XI.41 г.; </w:t>
      </w:r>
    </w:p>
    <w:p w14:paraId="68588D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для Горьковского района - один батальон к 15.XI.41 г.; </w:t>
      </w:r>
    </w:p>
    <w:p w14:paraId="28359F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 для Казанского района - один батальон к 25.XI.41 г.; </w:t>
      </w:r>
    </w:p>
    <w:p w14:paraId="2C259D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е) для Ульяновско-Сызранского района - один батальон к 18.XI.41 г.; </w:t>
      </w:r>
    </w:p>
    <w:p w14:paraId="3A25CC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ж) для Саратовско-Балашовского района - один батальон к 18.XI.41 г.; </w:t>
      </w:r>
    </w:p>
    <w:p w14:paraId="5726F4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 для Куйбышевского района - один батальон к 18.XI.41 г. </w:t>
      </w:r>
    </w:p>
    <w:p w14:paraId="0C9019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Формирование указанных батальонов ВНОС поручить Военным Советам соответствующих Военных Округов. </w:t>
      </w:r>
    </w:p>
    <w:p w14:paraId="0F34A3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12. Для усиления ПВО г. Сталинграда выделить из состава средств ПВО г. Арзамас два стационарных комплекта приборов обнаружения «РУС-2»; для обслуживания приборов сформировать к 15.XI.41 г. отдельную радио-роту ВНОС. </w:t>
      </w:r>
    </w:p>
    <w:p w14:paraId="71615C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13. Истребительную авиацию, выделяемую для противовоздушной обороны пунктов, районов и зон территории страны, подчинить в оперативном отношении органам ПВО. </w:t>
      </w:r>
    </w:p>
    <w:p w14:paraId="3F194A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14. Зам. Народного Комиссара Обороны тов. Пересыпкину совместно с Заместителем Народного Комиссара Обороны по ПВО разработать и к 15.XI.41 г. представить на утверждение Государственного Комитета Обороны план обеспечения связью новых районов ПВО. </w:t>
      </w:r>
    </w:p>
    <w:p w14:paraId="4840F8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15. Обеспечение всеми видами довольствия войск ПВО территории страны возложить на Центральные довольствующие Управления НКО на общих основаниях через довольствующие отделы соответствующих Округов, на территории которых дислоцируются войска ПВО территории страны. </w:t>
      </w:r>
    </w:p>
    <w:p w14:paraId="7F7D81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16. Планирование зенитно-артиллерийского вооружения для частей ПВО, планирование строительства связи для системы ПВО территории страны, планирование строительства командных пунктов и позиций средств ПВО, а также планирование аэродромного строительства для ИА ПВО - возложить на Командующего Войсками ПВО территории страны совместно с начальниками соответствующих Управлений и Командующим ВВС Красной Армии. </w:t>
      </w:r>
    </w:p>
    <w:p w14:paraId="0CE9A3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Финансирование и непосредственное осуществление строительства связи, инженерного и аэродромного строительства возложить соответственно на Начальников: Главного Управления Связи, Главного Военно-Инженерного Управления и Командующего ВВС Красной Армии. </w:t>
      </w:r>
    </w:p>
    <w:p w14:paraId="7A2548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17. Все запасные части ПВО передать в ведение Командующего Войсками ПВО территории страны. </w:t>
      </w:r>
    </w:p>
    <w:p w14:paraId="03541E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Пополнение частей армейских ПВО из этих запасных частей производить по нарядам Главного Управления по формированию и Комплектованию Войск Красной Армии через Командующего Войсками ПВО территории страны. </w:t>
      </w:r>
    </w:p>
    <w:p w14:paraId="4D321E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18. При Командующем войсками ПВО территории страны создать: </w:t>
      </w:r>
    </w:p>
    <w:p w14:paraId="16C99A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 Военный Совет ПВО территории страны; </w:t>
      </w:r>
    </w:p>
    <w:p w14:paraId="4F315F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 Штаб Противовоздушной Обороны территории страны в составе отделов: Оперативного, Разведывательного, по Формированию и Комплектованию, Изучения и использования опыта войны, Шифровального, Топографического, Общего и Узла Связи. </w:t>
      </w:r>
    </w:p>
    <w:p w14:paraId="3428AD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 Управление Истребительной Авиации ПВО; </w:t>
      </w:r>
    </w:p>
    <w:p w14:paraId="1796D9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4) Главное Управление ПВО территории страны в составе: </w:t>
      </w:r>
    </w:p>
    <w:p w14:paraId="1112D2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а) Управления Боевой Подготовки; </w:t>
      </w:r>
    </w:p>
    <w:p w14:paraId="1A2E94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б) Управления Кадров; </w:t>
      </w:r>
    </w:p>
    <w:p w14:paraId="07F4DD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Управления ВУЗ'ов и запасных частей; </w:t>
      </w:r>
    </w:p>
    <w:p w14:paraId="57E23D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Управления Вооружения; </w:t>
      </w:r>
    </w:p>
    <w:p w14:paraId="1D5D8A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 Управления материально-технического обеспечения; </w:t>
      </w:r>
    </w:p>
    <w:p w14:paraId="289908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е) Управления ВНОС и Связи; </w:t>
      </w:r>
    </w:p>
    <w:p w14:paraId="11DAC4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ж) Инженерного Отдела; </w:t>
      </w:r>
    </w:p>
    <w:p w14:paraId="10B3C6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 Отдела Перевозок; </w:t>
      </w:r>
    </w:p>
    <w:p w14:paraId="5BE3E4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и) Хозяйственного отдела и гаража; </w:t>
      </w:r>
    </w:p>
    <w:p w14:paraId="50BBC0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 Финансового отдела; </w:t>
      </w:r>
    </w:p>
    <w:p w14:paraId="4DE0B1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л) Научно-Исследовательского отдела; </w:t>
      </w:r>
    </w:p>
    <w:p w14:paraId="401673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 Общего отдела; </w:t>
      </w:r>
    </w:p>
    <w:p w14:paraId="38620A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 Комендатуры. </w:t>
      </w:r>
    </w:p>
    <w:p w14:paraId="242D19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19. Заместителем Народного Комиссара Обороны по ПВО - Командующим Войсками ПВО на территории страны назначить генерала-лейтенанта т. Громадина М.С. </w:t>
      </w:r>
    </w:p>
    <w:p w14:paraId="71472C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20. Командующему Войсками ПВО территории страны, в соответствии с настоящим постановлением, в 7-ми дневный срок разработать и представить на утверждение Народного Комиссара Обороны проекты штатов и положений об органах ПВО территории страны. </w:t>
      </w:r>
    </w:p>
    <w:p w14:paraId="529065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21. Переход на новую организацию ПВО территории страны закончить к концу ноября 1941 г. </w:t>
      </w:r>
    </w:p>
    <w:p w14:paraId="0899D7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ПРЕДСЕДАТЕЛЬ ГОСУДАРСТВЕННОГО КОМИТЕТА ОБОРОНЫ И. СТАЛИН </w:t>
      </w:r>
    </w:p>
    <w:p w14:paraId="10E547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Выписки посланы: т.т. Шапошникову, Громадину, Берия, Жигареву, Яковлеву - все; Пересыпкину - 14, 15, 16, Котляр - 16, Щаденко - 17, Чадаеву - 19. </w:t>
      </w:r>
    </w:p>
    <w:p w14:paraId="46F842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Сов. секретно </w:t>
      </w:r>
    </w:p>
    <w:p w14:paraId="3D1DD4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Приложение </w:t>
      </w:r>
    </w:p>
    <w:p w14:paraId="3C7850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 постановлению ГКО № 874сс от 9.XI.41 г. </w:t>
      </w:r>
    </w:p>
    <w:p w14:paraId="6EAA7F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ГРАНИЦЫ ДИВИЗИОННЫХ И КОРПУСНЫХ РАЙОНОВ ПВО И ДИСЛОКАЦИЯ УПРАВЛЕНИЙ РАЙОНАМИ. </w:t>
      </w:r>
    </w:p>
    <w:p w14:paraId="1DEC7D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КАРТА 1 : 2.500.000. </w:t>
      </w:r>
    </w:p>
    <w:p w14:paraId="149838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 АРХАНГЕЛЬСКИЙ ДИВИЗИОННЫЙ РАЙОН ПВО. </w:t>
      </w:r>
    </w:p>
    <w:p w14:paraId="2EC7D0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Койда, Ниж. Золотица, Онега, Кожпоселок, Добровка, Емецк, Пинега.</w:t>
      </w:r>
    </w:p>
    <w:p w14:paraId="4283DE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Штаб района - Архангельск. </w:t>
      </w:r>
    </w:p>
    <w:p w14:paraId="57ED66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 ЧЕРЕПОВЕЦКО-ВОЛОГОДСКИЙ ДИВИЗИОННЫЙ РАЙОН ПВО. </w:t>
      </w:r>
    </w:p>
    <w:p w14:paraId="497157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Вытегра, Кадуй, (иск.) Весьегонск, Грязовец, (иск.) Солигалич, Усть-Шеноша, Охтома, Няндома. </w:t>
      </w:r>
    </w:p>
    <w:p w14:paraId="1C497F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Штаб района - Вологда. </w:t>
      </w:r>
    </w:p>
    <w:p w14:paraId="4AACE4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 МОСКОВСКИЙ КОРПУСНОЙ РАЙОН ПВО. </w:t>
      </w:r>
    </w:p>
    <w:p w14:paraId="65D673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Кашин, Московское море, Клин, Звенигород, Серпухов, Тула, Сталиногорск, (иск.) Рязань, (иск.) Касимов, (иск.) Ковров, Юрьев-Польский.</w:t>
      </w:r>
    </w:p>
    <w:p w14:paraId="6F26FD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Штаб района - Москва. </w:t>
      </w:r>
    </w:p>
    <w:p w14:paraId="45E98D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4. РЫБИНСКО-ЯРОСЛАВСКИЙ ДИВИЗИОННЫЙ РАЙОН ПВО. </w:t>
      </w:r>
    </w:p>
    <w:p w14:paraId="2BEDE2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Весьегонск, (иск.) Кашин, (иск.) Юрьев-Польский, (иск.) Ковров, (иск.) Шуя, Кинешма, (иск.) Юрьевец, (иск.) Урень, Ветлуга, Кологрив, Солигалич, (иск.) Грязовец. </w:t>
      </w:r>
    </w:p>
    <w:p w14:paraId="60254C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Штаб района - Ярославль. </w:t>
      </w:r>
    </w:p>
    <w:p w14:paraId="11F462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5. ГОРЬКОВСКИЙ ДИВИЗИОННЫЙ РАЙОН ПВО. </w:t>
      </w:r>
    </w:p>
    <w:p w14:paraId="6775A0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(Иск.) Кинешма, Шуя, Ковров, (иск.) Касимов, (иск.) Троицк, Починки, Успенское, Урень, Юрьевец.</w:t>
      </w:r>
    </w:p>
    <w:p w14:paraId="26A7A4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Штаб района - Горький. </w:t>
      </w:r>
    </w:p>
    <w:p w14:paraId="085257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6. РЯЖСКО-ТАМБОВСКИЙ ДИВИЗИОННЫЙ РАЙОН ПВО. </w:t>
      </w:r>
    </w:p>
    <w:p w14:paraId="59EAD4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(Иск.) Сталиногорск, Богородицк, Ефремов, Елец, Грязи, Сампур, Красивка, (иск.) Чембар, (иск.) Ниж. Ломов, Троицк, Касимов, Рязань.</w:t>
      </w:r>
    </w:p>
    <w:p w14:paraId="20F085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Штаб района - Тамбов. </w:t>
      </w:r>
    </w:p>
    <w:p w14:paraId="4645BD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7. ВОРОНЕЖСКО-БОРИСОГЛЕБСКИЙ ДИВИЗИОННЫЙ РАЙОН ПВО. </w:t>
      </w:r>
    </w:p>
    <w:p w14:paraId="7C756F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(Иск.) Елец, Касторная, Алексеевка, Россошь, (иск.) Казанская, (иск.) Елань, (иск.) Романовка, (иск.) Красивка, (иск.) Сампур, (иск.) Грязи.</w:t>
      </w:r>
    </w:p>
    <w:p w14:paraId="403264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Штаб района - Воронеж. </w:t>
      </w:r>
    </w:p>
    <w:p w14:paraId="684BF1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8. КАЗАНСКИЙ ДИВИЗИОННЫЙ РАЙОН ПВО. </w:t>
      </w:r>
    </w:p>
    <w:p w14:paraId="4488E4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(Иск.) Успенское, (иск.) Починки, (иск.) Ардатов, (иск.) Буинск, Куйбышев (85 км юго-восточнее Казань), Чистополь, Мамадыш, Малмыж, Сернур.</w:t>
      </w:r>
    </w:p>
    <w:p w14:paraId="529F9E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Штаб района - Казань. </w:t>
      </w:r>
    </w:p>
    <w:p w14:paraId="5086FD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9. ПЕНЗЕНСКИЙ ДИВИЗИОННЫЙ РАЙОН ПВО. </w:t>
      </w:r>
    </w:p>
    <w:p w14:paraId="65BEBC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(Иск.) Починки, Ниж. Ломов, (иск.) Чембар, (иск.) Калышлей, (иск.) Покровское, (иск.) Кузоватово, (иск.) Мелекесс, Тетюши, Алатарь.</w:t>
      </w:r>
    </w:p>
    <w:p w14:paraId="614F6E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Штаб района - Пенза. </w:t>
      </w:r>
    </w:p>
    <w:p w14:paraId="3F53BF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10. КУЙБЫШЕВСКИЙ ДИВИЗИОННЫЙ РАЙОН ПВО. </w:t>
      </w:r>
    </w:p>
    <w:p w14:paraId="0AE56C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Мелекесс, Кузоватово, (иск.) Покровское, (иск.) Пугачев, (иск.) Балаши, Уральск, Сорочинск, Белебей, Нурлат.</w:t>
      </w:r>
    </w:p>
    <w:p w14:paraId="1E8092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Штаб района - Куйбышев. </w:t>
      </w:r>
    </w:p>
    <w:p w14:paraId="457249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11. САРАТОВСКО-БАЛАШОВСКИЙ ДИВИЗИОННЫЙ РАЙОН ПВО. </w:t>
      </w:r>
    </w:p>
    <w:p w14:paraId="4C68CA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(Иск.) Чембар, Романовка, (иск.) Елань, (иск.) Палласовка, Новоузенск, Балаши, Пугачев, Покровское, Калышлей.</w:t>
      </w:r>
    </w:p>
    <w:p w14:paraId="6B34BB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Штаб района - Саратов. </w:t>
      </w:r>
    </w:p>
    <w:p w14:paraId="61145B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12. СТАЛИНГРАДСКИЙ ДИВИЗИОННЫЙ РАЙОН ПВО. </w:t>
      </w:r>
    </w:p>
    <w:p w14:paraId="651066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Казанская, Тацинская, Зимовники, Оз. Баскунчак, Палласовка, Елань.</w:t>
      </w:r>
    </w:p>
    <w:p w14:paraId="413964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Штаб района - Сталинград. </w:t>
      </w:r>
    </w:p>
    <w:p w14:paraId="51E231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13. КРАСНОДАРСКИЙ ДИВИЗИОННЫЙ РАЙОН ПВО. </w:t>
      </w:r>
    </w:p>
    <w:p w14:paraId="6D9639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Ейск, Темрюк, Новороссийск, Таупсе, Сочи, (иск.) Тегенегли, (иск.) Ессентуки, (иск.) Минеральные Воды, Петровское, (иск.) Башанта, Белая глина, Павловская.</w:t>
      </w:r>
    </w:p>
    <w:p w14:paraId="372848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Штаб района - Краснодарск. </w:t>
      </w:r>
    </w:p>
    <w:p w14:paraId="1F5F0E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14. ГРОЗНЕНСКИЙ ДИВИЗИОННЫЙ РАЙОН ПВО. </w:t>
      </w:r>
    </w:p>
    <w:p w14:paraId="1CCA90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Минеральные Воды, Ессентуки, Тегенегли, Алагир, (иск.) Ботлих, Хасаврют, Лопатин, Брянское, Буденновск.</w:t>
      </w:r>
    </w:p>
    <w:p w14:paraId="220DB2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Штаб района - Грозный. </w:t>
      </w:r>
    </w:p>
    <w:p w14:paraId="028BC0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Верно: Сухова (11434).</w:t>
      </w:r>
    </w:p>
    <w:p w14:paraId="4654B2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A4E06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ноября 1941 вышло постановление ГКО № 874сс «Об усилении и укреплении противовоздушной обороны территории страны». В этом документе была изложена принципиально новая организация ПВО территории страны и ее структура. Согласно ему войска противовоздушной обороны территории страны были изъяты из подчинения военных советов округов и подчинены лично товарищу Сталину. Для непосредственного управления ими была введена должность заместителя народного комиссара обороны по ПВО – он же командующий войсками ПВО территории страны. Существовавшие ранее зоны противовоздушной обороны на европейской части СССР расформировывались, и лишь Закавказская, Среднеазиатская, Забайкальская и Дальневосточная зоны были сохранены в существующем составе. Были образованы дивизионные районы ПВО территории страны: Архангельский, Череповецко-Вологодский, Рыбинско-Ярославский, Горьковский, Воронежско-Борисоглебский, Ряжско-Тамбовский, Казанский, Пензенский, Куйбышевский, Саратовско-Балашовский, Сталинградский, Краснодарский и Грозненский. Размеры и границы районов определялись размещением объектов и коммуникаций, а также удобствами организации борьбы с авиацией противника и применения средств противовоздушной обороны. Часть бригадных районов была расформирована, часть сохранена для обеспечения руководства системой ПВО на стыках между диврайонами и на отдельных направлениях, не охваченных последними. Московский корпусной район ПВО сохранился в существующем составе, но был изъят из подчинения военного совета МВО. В дивизионных районах формировались управления диврайонов ПВО во главе с командующими дивизионными районами ПВО. Кроме того, предполагалось существенное усиление техникой дивизионных районов. В общей сложности им передавались 39 истребительных авиаполков. Однако, хотя штатная численность этих соединений должна была составлять свыше 1500 истребителей все авиачасти, расположенные в районе тыловых объектов, в дальнейшем так и остались недоукомплектованными. Истребительная авиация ПВО отныне была в оперативном отношении подчинена непосредственно командованию противовоздушной обороны.</w:t>
      </w:r>
    </w:p>
    <w:p w14:paraId="5E6698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В постановлении № 874сс определялась и очередность усиления созданных дивизионных районов вооружением и техникой:</w:t>
      </w:r>
    </w:p>
    <w:p w14:paraId="20E6AD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1-я очередь – Горьковский, Куйбышевский и Сталинградский диврайоны ПВО;</w:t>
      </w:r>
    </w:p>
    <w:p w14:paraId="4CAC81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2-я очередь – Рыбинско-Ярославский, Череповецко-Вологодский диврайоны;</w:t>
      </w:r>
    </w:p>
    <w:p w14:paraId="11000B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3-я очередь – Саратовско-Балашовский и др.</w:t>
      </w:r>
    </w:p>
    <w:p w14:paraId="49CAE6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Таким образом, противовоздушная оборона Горького, как важнейшего тылового промышленного центра, стояла на первом месте. Для ее усиления было намечено выделить 300 зенитных орудий всех калибров, 150—200 зенитных пулеметов и 250 истребителей. Для Сталинграда были отписаны 200 зенитных орудий, 100 пулеметов, 120 истребителей и 130 прожекторов. Усиление Горьковского дивизионного района матчастью предполагалось осуществить за счет Московской зоны ПВО, правда, за исключением самой столицы, и только частично поставками от промышленности. Сразу видно, что из-за нехватки ресурсов принцип «тришкиного кафтана» продолжал активно использоваться. Для Сталинграда техника должна была поступить с Южного и Юго-Западного фронтов, что было совершенно беспрецедентным решением. Оружие для защиты тыла изыскивать на фронте, а не наоборот! Командующему ВВС РККА предписывалось немедленно приступить к выделению истребителей для противовоздушной обороны Горького и Сталинграда. К 10 ноября (!), т.е. за один день, Горьковский диврайон должен был получить уже 140 самолетов, а Сталинградский – 60! Видимо, товарищ Сталин совершенно неадекватно оценивал обстановку и дал большую волю фантазии, подписывая заведомо невыполнимые приказы. Дальше – больше. Командующий ВВС, начальник Главного артуправления и командующий войсками ПВО должны были в семидневный срок разработать план полного (!) обеспечения средствами противовоздушной обороны (истребителями, зенитками, пулеметами и прожекторами) всех дивизионных районов. Для усиления службы воздушного наблюдения этих районов нужно было срочно сформировать 10 батальонов ВНОС, в т.ч. по батальону для Ярославско-Рыбинского, Горьковского, Саратовско-Балашовского и Куйбышевского. Для Сталинграда было решено выделить две РЛС РУС-2 из состава средств ПВО Арзамаса, которые прикрывали расположение Генштаба. Тем не менее, несмотря на очевидную нереальность всех этих планов, понятно, что до ума руководителей страны дошло-таки, что победа на фронте невозможна без бесперебойной работы промышленных предприятий в тылу. Таким образом, войска противовоздушной обороны были впервые преобразованы в самостоятельный род войск РККА, подчиненный Сталину. Для организации управления при командующем войсками ПВО создавались:</w:t>
      </w:r>
    </w:p>
    <w:p w14:paraId="07F49D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Военный совет ПВО;</w:t>
      </w:r>
    </w:p>
    <w:p w14:paraId="4E5AAD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штаб ПВО с соответствующими отделами;</w:t>
      </w:r>
    </w:p>
    <w:p w14:paraId="07BE76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Управление истребительной авиации ПВО.</w:t>
      </w:r>
    </w:p>
    <w:p w14:paraId="30E5CF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При этом сохранялось и Главное управление ПВО, функции которого были сильно урезаны. В его составе находились: управление боевой подготовки, управление кадров, управление ВВУЗ и запасных частей, управление вооружения, управление материально-технического обеспечения, управление ВНОС и связи, инженерный отдел, отдел перевозок, хозяйственный и финансовый отделы. Командующим войсками ПВО территории страны был назначен генерал-майор М. С .Громадин, а ГУ ПВО возглавил генерал-майор А. А. Осипов.</w:t>
      </w:r>
    </w:p>
    <w:p w14:paraId="7B6658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Спустя некоторое время после нового назначения Громадин издал свой первый приказ: «Об упорядочении оповещения о воздушном противнике на территории страны», в котором требовал в кратчайший срок пересмотреть существующие схемы оповещения о появлении вражеских самолетов на всей территории районов и зон ПВО, включив в них и оповещение соседей. В приказе обращалось особое внимание на улучшение всех видов радиосвязи. Громадин потребовал более эффективно использовать батальонные и ротные радиостанции постов ВНОС. Опыт первого полугодия войны показал, что применение общегосударственной сети проводной связи в целях оповещения оказалось малоэффективным ввиду ее малой надежности. Реорганизованная система ПВО позволяла с большей надежностью прикрыть от ударов немецкой авиации не только города и заводы, но и основные гидротехнические сооружения. Однако одно дело написать приказ, и другое дело его выполнить, исходя из имеющихся ресурсов (11774).</w:t>
      </w:r>
    </w:p>
    <w:p w14:paraId="205BBA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A09A7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ноября 1941 немцы захватили Ялту и Тихвин (2260).</w:t>
      </w:r>
    </w:p>
    <w:p w14:paraId="5F7557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3A6DE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ноября 1941 вышла директива ставки ВГК о формировании Брянского фронта (3186).</w:t>
      </w:r>
    </w:p>
    <w:p w14:paraId="23B513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4B90F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ноября 1941 первая попытка прорваться в Ханко окончилась безре­зультатно — поход наспех сформированно­го отряда был подготовлен из рук вон пло­хо, командир отряда перед выходом не про­инструктировал командиров тральщиков, обстановка на море и метеоусловия выяс­нены не были. На переходе, по указанию М.З.Моска­ленко, базовые тральщики шли строем ус­тупа, а остальные корабли — кильватерной колонной за тралами. Сложная гидромете­орологическая обстановка — сильный по­рывистый остовый ветер, низкая облачность и высокая волна — существенно затрудняли работу противоминных кораблей и не да­вали им возможность соблюдать заданный строй. Чтобы исключить выходы кораблей из протраленной полосы, отряду было при­казано включить кильватерные огни. В 16 ч 40 мин корабли прошли остров Гогланд. Ветер усилился до 7 баллов, види­мость ухудшилась и корабли потеряли друг друга из виду. В самом опасном районе — при форсировании минных полей — базо­вые тральщики лишились параванов. В тем­ноте при маневрировании тральщики Т-204 и Т-21 8 столкнулись и получили поврежде­ния. Кораблям стало трудно держаться в протраленной полосе, походный ордер на­рушился. В 19 ч 30 мин в районе маяка Родшер командир отряда разрешил поврежден­ным тральщикам вернуться к Гогланду, а остальным кораблям прекратить движение и стать на якорь. С рассветом 10 ноября отряд вернулся на рейд Гогланда, уничто­жив по пути три мины. Тем не менее, задачу по эвакуации не­обходимо было выполнять и 11 ноября с наступлением сумерек отряд вновь начал движение к Ханко. Тральщики с трудом про­кладывали путь отряду. Погодные условия еще более ухудшились: усилился боковой нордовый ветер, поднялась большая волна, видимость снизилась. Из-за ветра и волн, тральщики не смогли идти строем уступа и практически шли в кильватер. Протрален­ная полоса сузилась до 60 м, что сводило почти на нет все меры противоминного обес­печения идущих за тральщиками кораблей. К северу от мыса Юминда, откуда до Ханко оставалось лишь 65 миль, корабли отряда оказались на минном поле, где на­чали взрываться мины в тралах. Идущие впе­реди корабли, не обращая внимания на взрывы, оторвались от лидера и транспор­та «Жданов». В 22 ч 30 мин в левом пара­ван-охранителе лидера, вышедшего за пре­делы протраленной полосы, на расстоянии 10 м от борта взорвалась мина. Существен­ных повреждений корабль не получил и про­должал движение. Однако после полуночи, в 0 ч 23 мин 12 ноября, в том же левом параване в 5 м от борта лидера взорва­лась еще одна мина. От второго взрыва вышел из строя ле­вый ГТЗА, в наружной обшивке корпуса (в носовом машинном отделении, централь­ном артиллерийском посту и четвертом артпогребе) появились трещины и вмятины. От поступления забортной воды было затопле­но семь нефтяных цистерн, вышли из строя лаги гирокомпас. Личный состав корабля с трудом справ­лялся с откачкой воды. Через пробоины ли­дер терял драгоценное топливо и самостоя­тельно, по мнению командира, двигаться не мог. Лидер стал на якорь, чтобы устранить повреждения в носовом машинном отделе­нии и в корпусе корабля. Шедший за ним транспорт «Жданов» и три малых охотника остались с лидером. В 1 ч 01 мин командир лидера Г.М.Гор­бачев передал по радио донесение коман­диру отряда: «Дважды подорвался на ми­нах. Пробоина в первом котельном отделении, провизионке, центральном и гиропостах. Самостоятельно идти не могу, нуждаюсь в помощи. Стал на якорь». Как посчитал ко­мандующий КБФ В.Ф.Трибуц, давая такую телеграмму, командир лидера не проверил, насколько серьезны повреждения. Если бы он их уточнил, то, возможно, не стал бы под­нимать тревогу, так как, по мнению комфлота, серьезных оснований для нее не было. Поспешные действия командира лидера привели к неправильной оценке обстановки командиром отряда, а в последствии — и к потерям. Получив эту радиограмму, М.З.Моска­ленко, находившийся на эсминце уже в 55 ми­лях от Ханко, приказал всему отряду лечь на обратный курс и идти на помощь повреж­денному кораблю. В 2 ч 04 мин корабли по­вернули обратно. Оценивая действия коман­дира отряда, В.Ф.Трибуц признал его реше­ние неправильным, поскольку в подобных условиях ни в коем случае нельзя было ме­нять курс, так как это, по существу, означа­ло уклонение от выполнения основного за­дания. Командующий посчитал, что можно было поручить аварийно-спасательному отряду, базировавшемуся на рейдах ост­рова Гогланд, оказать помощь поврежден­ному лидеру. Дальше события развивались весьма драматично. Два тральщика, направлявши­еся к лидеру для оказания ему помощи, от взрывов мин лишились тралов, к тому же они потеряли ориентировку и не смогли найти «Ленинград». Не имея сообщений от М.З.Москаленко и не дождавшись подхода отряда, Г.М.Гор­бачев решил идти к Гогланду самостоятель­но. Он дал команду сняться с якоря, но, так как навигационные приборы лидера вышли из строя, то приказал капитану транспорта «Андрей Жданов» идти головным. По оцен­ке В.Ф.Трибуца, и это решение Г.М.Горбаче­ва было ошибочным: если лидер при ходе на запад с параван-охранителями созда­вал некоторое противоминное прикрытие для имеющего глубокую осадку транспор­та, то теперь капитан «Андрея Жданова», не располагавшего никакими средствами защиты от мин, мог надеяться только на сча­стливый случай. Однако чуда не произошло. В 5 ч тран­спорт подорвался на мине и через 8 мин затонул. Всю его команду, кроме одного человека, спасли малые охотники. Пони­мая, что теперь самостоятельно пробиться через минное поле невозможно, Г.М.Горба­чев снова приказал стать на якорь. Подо­шедший вскоре тральщик Т-211, определив­ший место лидера по взрыву, встал голов­ным и провел поврежденный корабль к Гогланду. При следовании кораблей в тра­лах тральщика взорвались три мины и од­на—в параване лидера. Между тем, отряд под командованием М.З.Москаленко, повернувший на обратный курс почти с траверза Таллина, попал на плотное минное заграждение. Базовые тральщики начали подсекать мины. Кораб­ли отряда растянулись, его управление на­рушилось. Так или иначе, но уже к середине дня 1 2 ноября отряд снова сосредоточился у Гогланда, на рейде Северной деревни. Здесь на лидер передали 100 тонн мазута и в тот же день «Ленинград» и эсминец «Стой­кий» получили разрешение вернуться в Крон­штадт. В отчете по эвакуации военно-морской базы Ханко, командованием флотом была дана следующая оценка этому походу: «Из-за низких волевых качеств и неумения оце­нивать обстановку, командир "Ленинграда" своими просьбами о помощи сорвал выпол­нение задачи и отряд возвратился в бухту Суурикюля» (11866).</w:t>
      </w:r>
    </w:p>
    <w:p w14:paraId="7A8171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2EB4689" w14:textId="77777777" w:rsidR="006A3215" w:rsidRPr="00640820" w:rsidRDefault="006A3215"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9 ноября </w:t>
      </w:r>
      <w:r w:rsidRPr="00640820">
        <w:rPr>
          <w:rFonts w:ascii="Times New Roman" w:hAnsi="Times New Roman"/>
          <w:color w:val="000000" w:themeColor="text1"/>
          <w:sz w:val="16"/>
          <w:szCs w:val="16"/>
        </w:rPr>
        <w:t>в 1941 году в соответствии с Постановлением ГКО № 874 сс от 9 ноября 1941 года войска ПВО выделены в самостоятельный вид Вооруженных Сил - Войска ПВО территории страны. Первым командующим и одновременно заместителем наркома обороны по ПВО стал генерал-лейтенант М.С.Громадин (до 1943 г.), руководивший до этого Московской зоной ПВО (14825).</w:t>
      </w:r>
    </w:p>
    <w:p w14:paraId="26FDE14B" w14:textId="77777777" w:rsidR="006A3215" w:rsidRPr="00640820" w:rsidRDefault="006A3215" w:rsidP="00640820">
      <w:pPr>
        <w:spacing w:after="0" w:line="240" w:lineRule="auto"/>
        <w:jc w:val="both"/>
        <w:rPr>
          <w:rFonts w:ascii="Times New Roman" w:hAnsi="Times New Roman"/>
          <w:color w:val="000000" w:themeColor="text1"/>
          <w:sz w:val="16"/>
          <w:szCs w:val="16"/>
        </w:rPr>
      </w:pPr>
    </w:p>
    <w:p w14:paraId="74B8C6D2"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6FB0588D"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B42199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ноября 1941 вышло Постановление ГКО № 871 [Об усилении доставки авиацией продовольствия в Ленинград и вывозе обратно ценных грузов.] (7015, 3).</w:t>
      </w:r>
    </w:p>
    <w:p w14:paraId="11DBFC1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62B0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ноября 1941 г. вышло ПОСТАНОВЛЕНИЕ № ГКО-871сс</w:t>
      </w:r>
    </w:p>
    <w:p w14:paraId="480AED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Москва, Кремль </w:t>
      </w:r>
    </w:p>
    <w:p w14:paraId="6633EA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 Обязать ГУГВФ (т. Картушева), начиная с утра 10 ноября с.г. до 14 ноября включительно (т. е. в течение 5 дней), выделить 24 транспортных «Дугласа» дополнительно к 26-ти работающим на Ленинградской линии с тем, чтобы ежедневно по доставке продовольствия в Ленинград и вывозу обратно ценных грузов работали 50 «Дугласов», с условием, чтобы каждый самолет делал в день в среднем не менее полутора оборотов. </w:t>
      </w:r>
    </w:p>
    <w:p w14:paraId="70BCE8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 Обязать ВВС (т. Жигарева): </w:t>
      </w:r>
    </w:p>
    <w:p w14:paraId="1A20D7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а) выделить 10 самолетов ТБ-3, начиная с утра 10 ноября с. г. до 14 ноября включительно (т. е. в течение 5 дней), для транспортировки продовольствия в Ленинград и ценных грузов из Ленинграда, при условии ежедневного оборота каждого самолета не менее одного оборота в день; </w:t>
      </w:r>
    </w:p>
    <w:p w14:paraId="78E900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б) организовать прикрытие с воздуха истребительной авиацией, выделив дополнительно к имеющимся истребителям один полк истребителей. </w:t>
      </w:r>
    </w:p>
    <w:p w14:paraId="1DBF32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 Установить на 5 дней план перевозки в Ленинград продовольствия в количестве не менее 200 тонн в день следующих продуктов: </w:t>
      </w:r>
    </w:p>
    <w:p w14:paraId="4B00F5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 концентратов - каша пшенная и суп гороховый - 135 тонн; </w:t>
      </w:r>
    </w:p>
    <w:p w14:paraId="7EE26D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 колбаса копченая, свинина копченая - 20 тонн; </w:t>
      </w:r>
    </w:p>
    <w:p w14:paraId="4F9A16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 сухое молоко, яичный порошок - 10 тонн; </w:t>
      </w:r>
    </w:p>
    <w:p w14:paraId="655F0B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4) масло сливочное - 15 тонн; </w:t>
      </w:r>
    </w:p>
    <w:p w14:paraId="0A4A86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5) комбижир, сало топленое - 20 тонн. </w:t>
      </w:r>
    </w:p>
    <w:p w14:paraId="6814B1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4. Ответственность за подачу в пункты погрузки указанных продуктов возложить на начальника продовольственного управления Главного Интендантского Управления генерал-майора т. Белоусова. </w:t>
      </w:r>
    </w:p>
    <w:p w14:paraId="7CD876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5. Ответственность за организацию перевозок по линии Гражданского воздушного флота возложить на Зам. Нач. ГУГВФ т. Картушева. </w:t>
      </w:r>
    </w:p>
    <w:p w14:paraId="173935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6. Ответственность за организацию перевозок по линии ВВС Красной Армии возложить на т. Жигарева. </w:t>
      </w:r>
    </w:p>
    <w:p w14:paraId="08B4CB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7. Обязать Военный совет Ленинградского фронта обеспечить быструю разгрузку прибывающих самолетов и быструю погрузку их для отправки обратно. </w:t>
      </w:r>
    </w:p>
    <w:p w14:paraId="1AEED1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ПРЕДСЕДАТЕЛЬ ГОСУДАРСТВЕННОГО КОМИТЕТА ОБОРОНЫ И. СТАЛИН </w:t>
      </w:r>
    </w:p>
    <w:p w14:paraId="56D6AF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Выписки посланы: т.т. Микояну, Хрулеву, Картушеву, Жигареву, Белоусову, Шапошникову; Военному совету Ленинградского фронта (11434).</w:t>
      </w:r>
    </w:p>
    <w:p w14:paraId="0512AC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8734DCF"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3A7CBFD6"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ED8531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ноября 1941 в Средиземном море английским крейсером “Аврора” затоплены два итальянских конвоира (4962).</w:t>
      </w:r>
    </w:p>
    <w:p w14:paraId="2BF7F40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5A12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ноября 1941 Королевский флот разгромил два итальянских конвоя (2260).</w:t>
      </w:r>
    </w:p>
    <w:p w14:paraId="347CF8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95CE37C" w14:textId="77777777" w:rsidR="006A3215"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3B8FCF55" w14:textId="77777777" w:rsidR="006A3215" w:rsidRPr="00640820" w:rsidRDefault="006A3215"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7BDF7CE"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10 НОЯБРЯ 1941 ГОДА</w:t>
      </w:r>
    </w:p>
    <w:p w14:paraId="6DD8680F"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СТЕНОГРАММА ТЕХНОЛОГИЧЕСКОЙ КОНФЕРЕНЦИИ ЗАВОДА</w:t>
      </w:r>
    </w:p>
    <w:p w14:paraId="221CF991"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ИМЕНИ С. ОРДЖОНИКИДЗЕ 10 НОЯБРЯ 1941 ГОДА</w:t>
      </w:r>
    </w:p>
    <w:p w14:paraId="4C9EFBBA"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сокращении)</w:t>
      </w:r>
    </w:p>
    <w:p w14:paraId="0A2BF66D"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Конференцию открывает директор завода тов. Г остинцев:</w:t>
      </w:r>
    </w:p>
    <w:p w14:paraId="53995DA2"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Сегодняшнее технологическое совещание созвано нами с целью подвести итоги проделанной нами работе.</w:t>
      </w:r>
    </w:p>
    <w:p w14:paraId="3DA9E5DF"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(Л. 2) Если взять один вопрос о замене цветного металла, то мы можем получить огромнейшее количество тонн цветного металла экономии, заменив этот цветной металл простой деревянной фанерой. На примере мероприятия по замене дюралевых баков мы получаем колоссальную экономию.</w:t>
      </w:r>
    </w:p>
    <w:p w14:paraId="39E46392"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Следовательно, от нас с Вами зависит и конкретно от коллектива 110-го цеха, чтобы начатое дело было выполнено как можно быстрее и чтобы мы на полпути не останавливались.</w:t>
      </w:r>
    </w:p>
    <w:p w14:paraId="09CC9D6D"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Мы еще не полностью заменили эти баки. Наряду с заменой дюралевых баков деревянными, мы еще продолжаем расходовать весьма дорогой, весьма дефицитный, весьма нужный стране дюраль (Л. 3).</w:t>
      </w:r>
    </w:p>
    <w:p w14:paraId="09C019B8"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Выступление тов. С.Е. Зайчик. О технологических мероприятиях по уменьшению трудоемкости, сокращению цикла производства и экономии материалов:</w:t>
      </w:r>
    </w:p>
    <w:p w14:paraId="29A76762"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xml:space="preserve">В порядке уточнения чертежей улучшения конструкции нам пришлось провести свыше 10 000 изменений по машине. В итоге самолет освоен и стал лучше - уменьшилось число производственных дефектов, </w:t>
      </w:r>
    </w:p>
    <w:p w14:paraId="1635F5A4"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Бюро цехового контроля</w:t>
      </w:r>
    </w:p>
    <w:p w14:paraId="2F1D62A8"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самолет снабжен сейчас новым видом вооружения, подвесными бензобаками и др. (Л. 7).</w:t>
      </w:r>
    </w:p>
    <w:p w14:paraId="155E84DA"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За дни войны нормы выработки рабочих увеличились на 50 %, количество не выполняющих нормы, несмотря на большой набор новых рабочих, уменьшилось на 15% (с 24% до 9%). (Л. 8).</w:t>
      </w:r>
    </w:p>
    <w:p w14:paraId="661B4D0D"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Примерами могут служить работа стахановца токаря Здыренкова, применяющего большое количество комбинированных резцов своей конструкции, тоже стахановского участка тов. Смирнова и работа цеха № 25, занявшего 1-е место в предоктябрьском социалистическом соревновании (Л. 9).</w:t>
      </w:r>
    </w:p>
    <w:p w14:paraId="4067CBDB"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Применение дельта-древесины, обладающей высокими механическими качествами (врем, сопротивление на разрыв порядка 2500 кг/см2), поставило нас перед трудностями механической её обработки.</w:t>
      </w:r>
    </w:p>
    <w:p w14:paraId="69046C1E"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Находящийся в пакетах дельты клей и, в особенности, зацементированные его частицы, сжигают и портят режущую кромку инструмента. Частично вопрос повышения стойкости инструмента был решен применением заменителя ЭИ 290. Это дало повышение стойкости инструмента в 5 раз. В итоге исследовательской работы ГИИ [имени] Жданова совместно с заводом, были применены победитовые ножи при фрезеровке, что увеличило их стойкость в 15 раз.</w:t>
      </w:r>
    </w:p>
    <w:p w14:paraId="69B4B9C0"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Институтом также была предложена поверхностная закалка токами высокой частоты циркульных и ленточных пил, что дало также повышение их стойкости в 5-6 раз. Но быстрорежущая стать ЭИ 290 и победитовые пластинки очень дороги и дефицитны (Л. 11).</w:t>
      </w:r>
    </w:p>
    <w:p w14:paraId="5546E872"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Сейчас мы продолжаем работы совместно с НИИ МОД над внедрением менее дефицитной стали ЭХ 12, а также над улучшением геометрии инструмента и установлением наивыгоднейших режимов резания и над техническим переоснащением станков.</w:t>
      </w:r>
    </w:p>
    <w:p w14:paraId="1C503442"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Б. Снижение трудоемкости.</w:t>
      </w:r>
    </w:p>
    <w:p w14:paraId="4BF18F75"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За время войны снижена трудоемкость по машине свыше 30 %. Важным моментом, предопределившим успех быстрого освоения машины, было внедрение на заводе постоянных норм. В первый месяц войны рабочим были объявлены постоянные декабрьские нормы и установлена доплата за досрочное их выполнение. Это явилось большим стимулом к быстрому освоению норм. Но главным и решающим было оснащение производства» (Л. 12).</w:t>
      </w:r>
    </w:p>
    <w:p w14:paraId="0D196049"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Возьмем вопрос механизации выклейки скорлупы: выклейку скорлупы фюзеляжа мы производили вначале ручным способом, на что требовалось 640 часов, с внедрением прессов тратится только 20 часов (Л. 19).</w:t>
      </w:r>
    </w:p>
    <w:p w14:paraId="218F8FC3"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Громадные резервы мы имеем в росте квалификации рабочих. Преобладающее количество рабочих имеют 3-4 разряд, а 68% работ по машине тарифицируются 4-5 разрядами. Велик еще у нас процент ручных и подгоночных работ. По цеху 20 мы имеем на сегодня с последним нововведением 46 % ручных работ. Имея много ручных работ по цеху 40, связанных с головками, по ряду причин, по причине отсутствия взаимозаменяемости ряда агрегатов, в связи с тем, что не в полной мере применяем плазовошаблонный метод, и еще нарушаем технологическую дисциплину и комплексность подач (Л. 22).</w:t>
      </w:r>
    </w:p>
    <w:p w14:paraId="1B8AEB02"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Рационализаторское движение</w:t>
      </w:r>
    </w:p>
    <w:p w14:paraId="3B6663EC"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 Предложение стахановца т. Филиппова, дающее возможность увеличить производственную мощность цеха вдвое на старых площадях при старом оборудовании.</w:t>
      </w:r>
    </w:p>
    <w:p w14:paraId="6214376A"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 Предложение начальника цеха т. Раевского, предложившего изменить технологию изготовления пустотелых болтов. Мероприятия, предложенные им, освободили 10 станков, сократило трудоемкость машины и дало большую экономию на инструменте.</w:t>
      </w:r>
    </w:p>
    <w:p w14:paraId="3C9EBFD0"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3. Стахановец т. Филипюк изменил технологический процесс резки трубочек, что увеличило производительность труда в 14 раз и много др[угих] предложений (Л. 36).</w:t>
      </w:r>
    </w:p>
    <w:p w14:paraId="31317464"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xml:space="preserve">В цехе № 10 за 5 месяцев индивидуальным шефством обучено около 700 человек. Все эти товарищи после этого встали в ряды квалифицированных рабочих, стали намного перевыполнять установленные нормы выработки. </w:t>
      </w:r>
    </w:p>
    <w:p w14:paraId="514AF466"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Тов. Шарбин в данное время выполняет норму на 200-300% (Л. 47).</w:t>
      </w:r>
    </w:p>
    <w:p w14:paraId="438EBF40"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За 3-й кв[артал] 1941 года было проведено 270 стахановских школ с охватом 1500 чел[овек]. В предоктябрьском социалистическом соревновании мы провели 179 стахановских школ с охватом 739 человек. В стахановские школы подбираются передовые стахановцы, а консультантами в эти школы подбираются лучшие ИТР.</w:t>
      </w:r>
    </w:p>
    <w:p w14:paraId="564BDE0E"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Помимо стахановских школ для оказания практической помощи по выполнению норм выработки имеется хорошо продуманный метод – это производственный инструктаж. Производственный инструктаж ставит своей задачей привить элементарные навыки рабочим, правильно использовать инструмент, приспособления, правильно вести заточку резца (Л. 47).</w:t>
      </w:r>
    </w:p>
    <w:p w14:paraId="379296D4"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За 3-й квартал проведено 92 групповых инструктажа с охватом 248 человек. За 9 месяцев проведено 200 групповых инструктажей с охватом 600 человек. В результате повседневной помощи товарищам, не выполняющим нормы, мы имеем реальные результаты по снижению их количества.</w:t>
      </w:r>
    </w:p>
    <w:p w14:paraId="0DB11165"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Если в июне мы имели 24% невыполняющих нормы, то в июле уже 16%, а в августе 17%, в сентябре 9%, и в октябре значительно меньше 3%.</w:t>
      </w:r>
    </w:p>
    <w:p w14:paraId="5CF50304"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За последнее время в области соцсоревнования появилось новое движение, которое зародилось в цехе № 10: работать за двоих. В цехе № 10 на участке т. Зыбова 11 человек выполняют работы на которых ранее работали 22 чел[овека] (Л. 48).</w:t>
      </w:r>
    </w:p>
    <w:p w14:paraId="3E819A8D"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Наряду с этим необходимо отметить недостатки в работе по освоению вторых профессий. Несмотря на приказ директора, который обязывает начальников цехов и отделов исключительно заниматься вопросом создания резервных кадров, из обслуживающего персонала, чернорабочих, служащих, ИТР, это движение также не нашло широкого применения.</w:t>
      </w:r>
    </w:p>
    <w:p w14:paraId="0D12F4DC"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инструментальном отделе среди служащих осваивают вторые профессии 21 человек. Плохо обстоит дело в цехе 110, 210, 20. В цехе 245 сами служащие проявили инициативу в этом вопросе, как например, расчетчица Губова, Панова, учетчица Быстрова, Зинина и многие другие изъявили желание овладеть профессией токаря, слесаря, разметчика. Но это желание так и осталось желанием. Руководители цеха не подхватили, этой инициативы, не поняли важности этого дела, и это движение зачахло при своем зарождении.</w:t>
      </w:r>
    </w:p>
    <w:p w14:paraId="2B484309"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xml:space="preserve">Например, есть такие курьезные казусы. 15 отдел потребовал от начальников цехов списки товарищей, которых можно переквалифицировать или обучить вторым профессиям. Князев, бывший нач[альник] цеха 200, составляет списки чернорабочих и пишет свое мнение: считаю, что таких товарищей обучать не стоит ввиду преклонного возраста и слабого развития и ограниченных способностей. Вот отношение наших руководителей.... </w:t>
      </w:r>
    </w:p>
    <w:p w14:paraId="0E408312"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xml:space="preserve">Плохо дело у нас в современных условиях с технической пропагандой. </w:t>
      </w:r>
    </w:p>
    <w:p w14:paraId="5BF0F200"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Состояние технической пропаганды очень слабо развито на заводе.</w:t>
      </w:r>
    </w:p>
    <w:p w14:paraId="4580C723"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lastRenderedPageBreak/>
        <w:t>Бюро технической (Л. 49) информации завода мало уделяет внимания этому важнейшему вопросу... (Л. 50).</w:t>
      </w:r>
    </w:p>
    <w:p w14:paraId="78645B15"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Тов. Лавочкин - глГавный! конструктор: (Л. 55)</w:t>
      </w:r>
    </w:p>
    <w:p w14:paraId="3D073EDF"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Вам известно хорошо, что гидравлика наша очень долго не работала, очень много мучились с ней на аэродроме и в частях. Так ведь в конструкции ничего не применили, счете, но после того, как стали правильно делать пружины, гидравлика стала работать хорошо.</w:t>
      </w:r>
    </w:p>
    <w:p w14:paraId="5A03CFCB"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Я могу привести несколько примеров, которые, к сожалению, не являются признаком достижения, а примеры, на которые нужно обратить внимание, чтобы исправить имеющиеся недочеты.</w:t>
      </w:r>
    </w:p>
    <w:p w14:paraId="5F479654"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Если с гидравликой - путем предположим, более правильного построения технологического процесса, нам, в конце концов, удалось избавиться от всех неприятностей, то есть вещи, которые продолжают желать лучшего. Так, например: по капоту, когда посмотрите на стыки, то они сделаны так, что обязательно одна крышка не является продолжением другой, и тогда получается волна. Обязательно подколачивается та кромка, которая отстает от капота. Здесь, видимо, имеется недоработка в технологии, этим мы портим конструкцию, портим капот, который вообще должен быть гладким. Воздух должен обтекать машину, а когда имеются ступеньки, уменьшается скорость, это ухудшает машину и за это нас ругают. Если бы мы соблюдали ту форму фюзеляжа, которая имеется в чертеже, то мы выиграли [бы] 5-10 километров в скорости (Л. 56). Я могу прямо привести пример, когда я был в ЛИИ в Москве по поводу жалобы на максимальную скорость машины, один слесарь за 2 часа аккуратно его загладил (Л. 57) и машина выиграла 12 км скорости.</w:t>
      </w:r>
    </w:p>
    <w:p w14:paraId="585F10D2"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Крыло. Есть чертежи, есть профиль, его требуется выдержать. Современная наука требует, того, чтобы это было сделано точно. Имеется лонжерон, там имеется стык фанеры - он плохо делается у нас на производстве, здесь с точки зрения технологии обшивка получается с горбом. Я уже не говорю о больших впадинах, которые имеются в крыле вообще.</w:t>
      </w:r>
    </w:p>
    <w:p w14:paraId="52152F3D"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чем дело? Товарищи, мы - конструкторы настаиваем на том, чтобы вы - технологи потрудились изжить горбы. Вы, во-первых, с этими горбами крадете скорость. Во-вторых, вы делаете обтекание крыла не такое, какое задумано, т.е. получается, что летчик фактически имеет дело не с то машиной, которая запроектирована. Нам известны примеры, когда самолеты, у которых профиль крыла сделан хуже, чем у нас, и они не могли взлететь, потому что крыло было сильно испорчено, горбинок много, а потому и нет подъемной силы.</w:t>
      </w:r>
    </w:p>
    <w:p w14:paraId="11C22708"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Мы пока не дошли до такого положения, но все-таки не безупречны в том деле. Нужна какая-то лучшая технология, какие-то лучшие приспособления, которые бы этот недостаток изживали.</w:t>
      </w:r>
    </w:p>
    <w:p w14:paraId="606018A6"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Если бы мы дали еще километров 10, то вряд ли кто нас за то поругал.</w:t>
      </w:r>
    </w:p>
    <w:p w14:paraId="619E81BA"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Покрытие. Машина сейчас покрывается быстро, это хорошо, но плохо, что на поверхности вы можете видеть какие-то полосы значительной толщины, идущие в самых разнообразных местах по машине.</w:t>
      </w:r>
    </w:p>
    <w:p w14:paraId="18E3AC37"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(Л. 58) Нужно построить технологию так, чтобы зачищать хотя бы эти вещи шкуркой и чтобы крыло получалось остаточно гладким.</w:t>
      </w:r>
    </w:p>
    <w:p w14:paraId="7152862E"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Собирается управление в цехе 40, собирается по чертежам. И вот однажды был интересный случай, когда летчик, кажется, Глезер, взлетел, испугался, почувствовав, что машина необычайно легка. (Л. 59) Поторопился сесть, решив, что что-то забыли соединить - в управлении машина подозрительно легка. После осмотра оказалось все в порядке, просто было хорошо собрано управление. Случайно хорошо собрано управление (смех) трения в шарнирах было очень мало, машина была приятна в управлении, и летчик был крайне доволен.</w:t>
      </w:r>
    </w:p>
    <w:p w14:paraId="05F28881"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то же самое время при плохой сборке управления мы имеем отзывы летчиков о машинах: дубовая, тяжелая, неприятная. Вы думаете, это от веса, это только от реакции на ручку летчика, т.к. от органов управления.</w:t>
      </w:r>
    </w:p>
    <w:p w14:paraId="446B5EA8"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Дело в том, что сила трения в управлении при плохой сборке примерно в два-три раза больше, чем воздушная нагрузка на рули, получается, что летчик имеет совершенно неверное мнение о машине. Необходимо все это как-то доработать. Вы видите, что при очень небольшой доработке буквально может быть изменено впечатление о самолете. Человек может говорить, что на этой машине никак нельзя или трудно сделать фигуру, и на той же машине при правильной сборке можно создать впечатление прекрасное.</w:t>
      </w:r>
    </w:p>
    <w:p w14:paraId="661B29CC"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(Л. 60) Далее, я хотел бы сделать такое замечание, что, по-видимому, нужно, чтобы технологи сидели частично у главного конструктора, или прямо рядом с ним. По-видимому, нужно сделать так, чтобы конструкция еще до попадания в цех просматривалась технологом, и чтобы этот технолог индивидуально - хорош он или плох - представлял себе, когда мы чертим, как он будет строить данный агрегат. Пусть будет даже так, что конструкция хороша, но плох технолог — технологи у нас вообще товарищи хорошие, но мы предпочтем изменить даже хорошую конструкцию, лишь бы технолог умело ее сделал.</w:t>
      </w:r>
    </w:p>
    <w:p w14:paraId="3B1F5DFD"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xml:space="preserve">Я полагаю, надо просить директора сделать кое-какую реорганизацию с тем, чтобы технолог сидел рядом с конструктором. И мы готовы подстраиваться под умение технолога при проведении той или иной работы. </w:t>
      </w:r>
    </w:p>
    <w:p w14:paraId="3D657572"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Это мероприятие я считаю весьма важным.</w:t>
      </w:r>
    </w:p>
    <w:p w14:paraId="78577BA4"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Лавочкин.</w:t>
      </w:r>
    </w:p>
    <w:p w14:paraId="4F2F2BA1"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(Судя по пометкам, машинописный текст был просмотрен С.А. Лавочкиным, который правил его и внес коррективы. — Сост.).</w:t>
      </w:r>
    </w:p>
    <w:p w14:paraId="5FA98C70"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(Л. 63) Тов. Ильин: Только от этого мероприятия - это с переводом на горячую штамповку деталей нам удалось снизить трудоемкость на 149 час[ов]. В переводе на горячую штамповку деталей нам во многом помогАлександр Федорович. Он горячо взялся за это дело, и нашему коллективу в этой части сильно помог. Нам удалось большое количество деталей перевести на штамповку.</w:t>
      </w:r>
    </w:p>
    <w:p w14:paraId="067D936F"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(Л. 77) Тов. Васильев (филиал № 2):</w:t>
      </w:r>
    </w:p>
    <w:p w14:paraId="1A8DCEA3"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Цех № 2 изготавливает боеприпасы. В цехе № 2 была чрезвычайно узкая операция - это чистовая расточка камеры снарядов.</w:t>
      </w:r>
    </w:p>
    <w:p w14:paraId="4D3CF75D"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(Л. 78). Применение другого копировального устройства другого режущего инструмента позволило выполнить суточный график, сделало эту операцию не узкой, и свело труд рабочих к менее квалифицированному.</w:t>
      </w:r>
    </w:p>
    <w:p w14:paraId="36EA94CF"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Эта операция была сложна еще тем, что подготовка рабочих кадров проходила очень долго. Эту подготовку при упрощении этой операции в связи с новым усовершенствованием и переоборудованием приспособлений удалось сократить в 5-6 раз. Другая операция - чистовая обработка верха - требовала большого рабочего навыка, весьма квалифицированного труда.</w:t>
      </w:r>
    </w:p>
    <w:p w14:paraId="605BA3DC"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Изменение копировального устройства - сделали перевернутый односторонний копир, приблизили его к оси станины - позволило в значительной степени упростить эту операцию, сделать контур изделия весьма точным, и дело свелось к тому, что вместо квалифицированных старых рабочих с большим опытом на этой операции у нас работают молодые девушки. В этом цехе удалось почти совершенно сократить внутреннюю шлифовку, а в связи с этим сократить расход абразивов примерно до 60%.</w:t>
      </w:r>
    </w:p>
    <w:p w14:paraId="36AA26E2"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Таким образом, работа коллектива цеха и работа технологов, конструкторов и рабочих филиалов позволила с большим напряжением обеспечить успешное выполнение и перевыполнением правительственного задания, в данное время цех № 2 встал на твердые ноги.</w:t>
      </w:r>
    </w:p>
    <w:p w14:paraId="38A27E86"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Наши литейщики и металлурги освоили с моей точки зрения весьма ценную работу, особенно в условиях военного времени, условиях недостатка литейного антрацита и литейного (Л. 79) кокса. У нас на филиале освоена плавка в вагранке на торфе. Правда, мы плавку на торфе производили не полностью, но на 50%, что дает значительную экономию литейного антрацита и литейного кокса».</w:t>
      </w:r>
    </w:p>
    <w:p w14:paraId="4CDCAD07"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Освоено производство высококачественного антифрикционного чугуна, который полностью, особенно как замена быстро изнашивавшихся частей в оборудовании, заменяет бронзу. Если к этому вопросу грамотно подойти, подобрать марку антифрикционного чугуна, подобрать определенные параметры скоростей, удельное давление и т.д., — то этот антифрикционный чугун прекрасно работает.</w:t>
      </w:r>
    </w:p>
    <w:p w14:paraId="48E6B0EC"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ЦАНО. Ф. 2066. Оп. 6. Д. 551. Л. 2-60.</w:t>
      </w:r>
    </w:p>
    <w:p w14:paraId="551E1D3B" w14:textId="77777777" w:rsidR="00CB3F2E" w:rsidRPr="00640820" w:rsidRDefault="00CB3F2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Подлинник. Машинопись (21047).</w:t>
      </w:r>
    </w:p>
    <w:p w14:paraId="7F5455EB" w14:textId="77777777" w:rsidR="00CB3F2E" w:rsidRPr="00640820" w:rsidRDefault="00CB3F2E" w:rsidP="00640820">
      <w:pPr>
        <w:spacing w:after="0" w:line="240" w:lineRule="auto"/>
        <w:jc w:val="both"/>
        <w:rPr>
          <w:rFonts w:ascii="Times New Roman" w:hAnsi="Times New Roman"/>
          <w:color w:val="0070C0"/>
          <w:sz w:val="16"/>
          <w:szCs w:val="16"/>
        </w:rPr>
      </w:pPr>
    </w:p>
    <w:p w14:paraId="1711CE11" w14:textId="77777777" w:rsidR="006A3215" w:rsidRPr="00640820" w:rsidRDefault="006A3215"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ноября 1941 вышло Постановление ГКО № 887 О снаряжении авиабомб ФАБ - 100, ФАБ - 250 и ФАБ - 500 рецептурой ТГА. РГАНИР, Фонд ГКО, д. 14, лл. 52 (11012).</w:t>
      </w:r>
    </w:p>
    <w:p w14:paraId="211B2204" w14:textId="77777777" w:rsidR="006A3215" w:rsidRPr="00640820" w:rsidRDefault="006A3215" w:rsidP="00640820">
      <w:pPr>
        <w:autoSpaceDE w:val="0"/>
        <w:autoSpaceDN w:val="0"/>
        <w:adjustRightInd w:val="0"/>
        <w:spacing w:after="0" w:line="240" w:lineRule="auto"/>
        <w:jc w:val="both"/>
        <w:rPr>
          <w:rFonts w:ascii="Times New Roman" w:hAnsi="Times New Roman"/>
          <w:color w:val="000000" w:themeColor="text1"/>
          <w:sz w:val="16"/>
          <w:szCs w:val="16"/>
        </w:rPr>
      </w:pPr>
    </w:p>
    <w:p w14:paraId="28F4C401" w14:textId="77777777" w:rsidR="006A3215" w:rsidRPr="00640820" w:rsidRDefault="006A3215" w:rsidP="00640820">
      <w:pPr>
        <w:spacing w:after="0" w:line="240" w:lineRule="auto"/>
        <w:jc w:val="both"/>
        <w:rPr>
          <w:rStyle w:val="ucoz-forum-post"/>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10 ноября 1941 года</w:t>
      </w:r>
      <w:r w:rsidRPr="00640820">
        <w:rPr>
          <w:rStyle w:val="ucoz-forum-post"/>
          <w:rFonts w:ascii="Times New Roman" w:hAnsi="Times New Roman"/>
          <w:color w:val="000000" w:themeColor="text1"/>
          <w:sz w:val="16"/>
          <w:szCs w:val="16"/>
        </w:rPr>
        <w:t xml:space="preserve"> Постановление Государственного Комитета Обороны № 887 « О снаряжении авиабомб ФАБ - 100, ФАБ - 250 и ФАБ - 500 рецептурой ТГА».</w:t>
      </w:r>
    </w:p>
    <w:p w14:paraId="511017F4" w14:textId="77777777" w:rsidR="006A3215" w:rsidRPr="00640820" w:rsidRDefault="006A3215" w:rsidP="00640820">
      <w:pPr>
        <w:spacing w:after="0" w:line="240" w:lineRule="auto"/>
        <w:jc w:val="both"/>
        <w:rPr>
          <w:rStyle w:val="ucoz-forum-post"/>
          <w:rFonts w:ascii="Times New Roman" w:hAnsi="Times New Roman"/>
          <w:color w:val="000000" w:themeColor="text1"/>
          <w:sz w:val="16"/>
          <w:szCs w:val="16"/>
        </w:rPr>
      </w:pPr>
      <w:r w:rsidRPr="00640820">
        <w:rPr>
          <w:rStyle w:val="ucoz-forum-post"/>
          <w:rFonts w:ascii="Times New Roman" w:hAnsi="Times New Roman"/>
          <w:color w:val="000000" w:themeColor="text1"/>
          <w:sz w:val="16"/>
          <w:szCs w:val="16"/>
        </w:rPr>
        <w:t>Смесь ТГА-12: (50 %Тротила + 40 % Гексогена + 10 % Алюминиевой пудры).</w:t>
      </w:r>
    </w:p>
    <w:p w14:paraId="7173D151" w14:textId="77777777" w:rsidR="006A3215" w:rsidRPr="00640820" w:rsidRDefault="006A3215" w:rsidP="00640820">
      <w:pPr>
        <w:spacing w:after="0" w:line="240" w:lineRule="auto"/>
        <w:jc w:val="both"/>
        <w:rPr>
          <w:rStyle w:val="ucoz-forum-post"/>
          <w:rFonts w:ascii="Times New Roman" w:hAnsi="Times New Roman"/>
          <w:color w:val="000000" w:themeColor="text1"/>
          <w:sz w:val="16"/>
          <w:szCs w:val="16"/>
        </w:rPr>
      </w:pPr>
      <w:r w:rsidRPr="00640820">
        <w:rPr>
          <w:rStyle w:val="ucoz-forum-post"/>
          <w:rFonts w:ascii="Times New Roman" w:hAnsi="Times New Roman"/>
          <w:color w:val="000000" w:themeColor="text1"/>
          <w:sz w:val="16"/>
          <w:szCs w:val="16"/>
        </w:rPr>
        <w:t>Цитата: «Начальник 1-го ГУ НКБ Г.Н.Кожевников и главный инженер снаряжательного завода А.Я.Мальский предложили применить для ФАБ-100, ФАБ-250 и ФАБ-500 мощное взрывчатое вещество ТГА. При испытаниях подрывом в грунте ФАБ-100 с новым снаряжением превзошли по фугасности свои аналоги, снаряженные сухим аммотолом, в 1,84 раза. Спустя несколько дней бомбардировщики авиации дальнего действия применили авиабомбы повышенной мощности по важным объектам в глубоком тылу немецких войск, после чего ФАБ приняли на вооружение ВВС, а на предприятиях НКБ организовали массовое производство таких боеприпасов. В дальнейшем ТГА снаряжали НЕКОТОРЫЕ партии ФАБ-1000М43, ФАБ-2000св и все ФАБ-5000» (14826).</w:t>
      </w:r>
    </w:p>
    <w:p w14:paraId="0331FCED" w14:textId="77777777" w:rsidR="006A3215" w:rsidRPr="00640820" w:rsidRDefault="006A3215" w:rsidP="00640820">
      <w:pPr>
        <w:spacing w:after="0" w:line="240" w:lineRule="auto"/>
        <w:jc w:val="both"/>
        <w:rPr>
          <w:rStyle w:val="ucoz-forum-post"/>
          <w:rFonts w:ascii="Times New Roman" w:hAnsi="Times New Roman"/>
          <w:color w:val="000000" w:themeColor="text1"/>
          <w:sz w:val="16"/>
          <w:szCs w:val="16"/>
        </w:rPr>
      </w:pPr>
    </w:p>
    <w:p w14:paraId="2FC0C42D"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1132AF0C"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07208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10 ноября 1941 г. часть завода № 571 (Завод № 571 НКБ, МСХМ, Завод пластмасс, и/я 4219, НИИ-571 /г. Москва п/я 4219 «Массы» (1943 г.)/ / г. Москва ул. Нововокзальная (?)/) (прессование шашек мелкого и среднего калибра, 23 пресса) эвакуирована в Нижний Тагил на завод № 56, часть продолжила работу в Москве. </w:t>
      </w:r>
      <w:r w:rsidRPr="00640820">
        <w:rPr>
          <w:rFonts w:ascii="Times New Roman" w:hAnsi="Times New Roman"/>
          <w:color w:val="000000" w:themeColor="text1"/>
          <w:sz w:val="16"/>
          <w:szCs w:val="16"/>
        </w:rPr>
        <w:lastRenderedPageBreak/>
        <w:t>В 01-03.1942 г. эвакуированная часть завода вернулась в Москву. В 02-03.1942 г. проведена подготовка к выпуску новой продукции - элементов выстрелов из пластмасс. В начале 04.1942 г. выпущены первые пластмассовые детали. В 1943 г. строился монтажно-калильный цех. В 12.1942-09.1944 г. - в ведении 2ГУ НКБ. Имел обозначение «п/я 4219» (1943 г.). После войны велись работы по изучению и воспроизводству систем подрыва БЧ немецких ракет.</w:t>
      </w:r>
      <w:r w:rsidRPr="00640820">
        <w:rPr>
          <w:rFonts w:ascii="Times New Roman" w:hAnsi="Times New Roman"/>
          <w:color w:val="000000" w:themeColor="text1"/>
          <w:sz w:val="16"/>
          <w:szCs w:val="16"/>
          <w:vertAlign w:val="superscript"/>
        </w:rPr>
        <w:t xml:space="preserve">92 </w:t>
      </w:r>
      <w:r w:rsidRPr="00640820">
        <w:rPr>
          <w:rFonts w:ascii="Times New Roman" w:hAnsi="Times New Roman"/>
          <w:color w:val="000000" w:themeColor="text1"/>
          <w:sz w:val="16"/>
          <w:szCs w:val="16"/>
        </w:rPr>
        <w:t>После ВОВ (в ~1946-47 г.) на заводе образован НИИ-571 для разработки конструкций взрывателей. В НИИ-571 разработан радиовзрыватель «Аист-М» для ракеты К-40. НИИ-571 был в 1960 г. Площадь (1943 г.): производственная- 2913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вспомогательная- 2060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Численность персонала (12.1942 г.)- 1276 чел.</w:t>
      </w:r>
    </w:p>
    <w:p w14:paraId="11B9DF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С.Ф. Аксенов, (-11.1941 г.)- П.В. Лактионов, (-05.1942-04.1943 г.-)- С. Г. Бахшинов.</w:t>
      </w:r>
    </w:p>
    <w:p w14:paraId="22BBD6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(05.1942 г.)- Большаков.</w:t>
      </w:r>
    </w:p>
    <w:p w14:paraId="1B113D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планового (04.1943 г.)- Шатенштейн.</w:t>
      </w:r>
    </w:p>
    <w:p w14:paraId="7F74D9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взрыватель МП.</w:t>
      </w:r>
      <w:r w:rsidRPr="00640820">
        <w:rPr>
          <w:rFonts w:ascii="Times New Roman" w:hAnsi="Times New Roman"/>
          <w:color w:val="000000" w:themeColor="text1"/>
          <w:sz w:val="16"/>
          <w:szCs w:val="16"/>
          <w:vertAlign w:val="superscript"/>
        </w:rPr>
        <w:t>132</w:t>
      </w:r>
    </w:p>
    <w:p w14:paraId="40BA39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В.П. Рюмина</w:t>
      </w:r>
    </w:p>
    <w:p w14:paraId="432E69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Разработан (совместно с ГНИИ-22) и испытан взрыватель АВ-508 для самолета-снаряда Фау-1 (11982).</w:t>
      </w:r>
    </w:p>
    <w:p w14:paraId="669BBE85" w14:textId="77777777" w:rsidR="006A3215" w:rsidRPr="00640820" w:rsidRDefault="006A3215" w:rsidP="00640820">
      <w:pPr>
        <w:autoSpaceDE w:val="0"/>
        <w:autoSpaceDN w:val="0"/>
        <w:adjustRightInd w:val="0"/>
        <w:spacing w:after="0" w:line="240" w:lineRule="auto"/>
        <w:jc w:val="both"/>
        <w:rPr>
          <w:rFonts w:ascii="Times New Roman" w:hAnsi="Times New Roman"/>
          <w:color w:val="000000" w:themeColor="text1"/>
          <w:sz w:val="16"/>
          <w:szCs w:val="16"/>
        </w:rPr>
      </w:pPr>
    </w:p>
    <w:p w14:paraId="7FE8D100" w14:textId="77777777" w:rsidR="00AE1A6D" w:rsidRPr="00640820" w:rsidRDefault="00AE1A6D" w:rsidP="00640820">
      <w:pPr>
        <w:pStyle w:val="162"/>
        <w:shd w:val="clear" w:color="auto" w:fill="auto"/>
        <w:spacing w:line="240" w:lineRule="auto"/>
        <w:jc w:val="both"/>
        <w:rPr>
          <w:color w:val="000000" w:themeColor="text1"/>
          <w:sz w:val="16"/>
          <w:szCs w:val="16"/>
        </w:rPr>
      </w:pPr>
      <w:r w:rsidRPr="00640820">
        <w:rPr>
          <w:rFonts w:eastAsia="Calibri"/>
          <w:color w:val="000000" w:themeColor="text1"/>
          <w:sz w:val="16"/>
          <w:szCs w:val="16"/>
        </w:rPr>
        <w:t>10 ноября 1941 с предло</w:t>
      </w:r>
      <w:r w:rsidRPr="00640820">
        <w:rPr>
          <w:rFonts w:eastAsia="Calibri"/>
          <w:color w:val="000000" w:themeColor="text1"/>
          <w:sz w:val="16"/>
          <w:szCs w:val="16"/>
        </w:rPr>
        <w:softHyphen/>
        <w:t>жением об организации производства Т-60 к наркому танковой про</w:t>
      </w:r>
      <w:r w:rsidRPr="00640820">
        <w:rPr>
          <w:rFonts w:eastAsia="Calibri"/>
          <w:color w:val="000000" w:themeColor="text1"/>
          <w:sz w:val="16"/>
          <w:szCs w:val="16"/>
        </w:rPr>
        <w:softHyphen/>
        <w:t>мышленности Малышеву обратился начальник ГАБТУ КА Федоренко. В том же месяце был подготовлен проект постановления ГКО об орга</w:t>
      </w:r>
      <w:r w:rsidRPr="00640820">
        <w:rPr>
          <w:rFonts w:eastAsia="Calibri"/>
          <w:color w:val="000000" w:themeColor="text1"/>
          <w:sz w:val="16"/>
          <w:szCs w:val="16"/>
        </w:rPr>
        <w:softHyphen/>
        <w:t>низации производства танков в Ташкенте:</w:t>
      </w:r>
    </w:p>
    <w:p w14:paraId="21A6E14A" w14:textId="77777777" w:rsidR="00AE1A6D" w:rsidRPr="00640820" w:rsidRDefault="00AE1A6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Поддерживая инициативу Узбекской ССР об организации производ</w:t>
      </w:r>
      <w:r w:rsidRPr="00640820">
        <w:rPr>
          <w:rFonts w:ascii="Times New Roman" w:hAnsi="Times New Roman"/>
          <w:color w:val="000000" w:themeColor="text1"/>
          <w:sz w:val="16"/>
          <w:szCs w:val="16"/>
        </w:rPr>
        <w:softHyphen/>
        <w:t>ства танков в г. Ташкенте, Государственный Комитет Обороны СССР постановляет:</w:t>
      </w:r>
    </w:p>
    <w:p w14:paraId="1A1DAA21" w14:textId="77777777" w:rsidR="00AE1A6D" w:rsidRPr="00640820" w:rsidRDefault="00AE1A6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Организовать производство танков Т-60 на Литейно-механинеском заводе (НКПС) в г. Ташкенте, утвердив ему следующую программу:</w:t>
      </w:r>
    </w:p>
    <w:p w14:paraId="7F146A15" w14:textId="77777777" w:rsidR="00AE1A6D" w:rsidRPr="00640820" w:rsidRDefault="00AE1A6D" w:rsidP="00640820">
      <w:pPr>
        <w:tabs>
          <w:tab w:val="left" w:pos="946"/>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квартал — 10</w:t>
      </w:r>
    </w:p>
    <w:p w14:paraId="4D36AD60" w14:textId="77777777" w:rsidR="00AE1A6D" w:rsidRPr="00640820" w:rsidRDefault="00AE1A6D" w:rsidP="00640820">
      <w:pPr>
        <w:tabs>
          <w:tab w:val="left" w:pos="965"/>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2-й квартал — 60</w:t>
      </w:r>
    </w:p>
    <w:p w14:paraId="45A61E8E" w14:textId="77777777" w:rsidR="00AE1A6D" w:rsidRPr="00640820" w:rsidRDefault="00AE1A6D" w:rsidP="00640820">
      <w:pPr>
        <w:tabs>
          <w:tab w:val="left" w:pos="577"/>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Площади, оборудование, за исключением специального станочного оборудования Литейно-механического завода, передать из НКПС в веде</w:t>
      </w:r>
      <w:r w:rsidRPr="00640820">
        <w:rPr>
          <w:rFonts w:ascii="Times New Roman" w:hAnsi="Times New Roman"/>
          <w:color w:val="000000" w:themeColor="text1"/>
          <w:sz w:val="16"/>
          <w:szCs w:val="16"/>
        </w:rPr>
        <w:softHyphen/>
        <w:t>ние Наркомтанкопрома.</w:t>
      </w:r>
    </w:p>
    <w:p w14:paraId="10EF0FE5" w14:textId="77777777" w:rsidR="00AE1A6D" w:rsidRPr="00640820" w:rsidRDefault="00AE1A6D" w:rsidP="00640820">
      <w:pPr>
        <w:tabs>
          <w:tab w:val="left" w:pos="577"/>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Выделить пристройку паровозного цеха на заводе им. Кагановича НКПС и передать таковую Наркомтанкопрому для организации произ</w:t>
      </w:r>
      <w:r w:rsidRPr="00640820">
        <w:rPr>
          <w:rFonts w:ascii="Times New Roman" w:hAnsi="Times New Roman"/>
          <w:color w:val="000000" w:themeColor="text1"/>
          <w:sz w:val="16"/>
          <w:szCs w:val="16"/>
        </w:rPr>
        <w:softHyphen/>
        <w:t>водства бронекорпусов и башен Т-60 на базе эвакуированного бронекор- пусного цеха завода «Красный Котельщик» НКТМ.</w:t>
      </w:r>
    </w:p>
    <w:p w14:paraId="3E4183A8" w14:textId="77777777" w:rsidR="00AE1A6D" w:rsidRPr="00640820" w:rsidRDefault="00AE1A6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Спецоборудование бронекорпусного завода «Красный Котельщик» пере</w:t>
      </w:r>
      <w:r w:rsidRPr="00640820">
        <w:rPr>
          <w:rFonts w:ascii="Times New Roman" w:hAnsi="Times New Roman"/>
          <w:color w:val="000000" w:themeColor="text1"/>
          <w:sz w:val="16"/>
          <w:szCs w:val="16"/>
        </w:rPr>
        <w:softHyphen/>
        <w:t>адресовать в адрес Наркомтанкопрома (г. Ташкент).</w:t>
      </w:r>
    </w:p>
    <w:p w14:paraId="72649819" w14:textId="77777777" w:rsidR="00AE1A6D" w:rsidRPr="00640820" w:rsidRDefault="00AE1A6D" w:rsidP="00640820">
      <w:pPr>
        <w:tabs>
          <w:tab w:val="left" w:pos="630"/>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Разрешить НКТМ передать рабочих и инженерно-технических работников, эвакуированных с бронекорпусным производством завода «Красный Котельщик», в адрес Наркомтанкопрома (г. Ташкент).</w:t>
      </w:r>
    </w:p>
    <w:p w14:paraId="182BEFA5" w14:textId="77777777" w:rsidR="00AE1A6D" w:rsidRPr="00640820" w:rsidRDefault="00AE1A6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В порядке производственной кооперации привлечь следующие заводы Ташкента:</w:t>
      </w:r>
    </w:p>
    <w:p w14:paraId="68954A75" w14:textId="77777777" w:rsidR="00AE1A6D" w:rsidRPr="00640820" w:rsidRDefault="00AE1A6D" w:rsidP="00640820">
      <w:pPr>
        <w:tabs>
          <w:tab w:val="left" w:pos="806"/>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Им. Кагановича (НКПС)</w:t>
      </w:r>
    </w:p>
    <w:p w14:paraId="42564937" w14:textId="77777777" w:rsidR="00AE1A6D" w:rsidRPr="00640820" w:rsidRDefault="00AE1A6D" w:rsidP="00640820">
      <w:pPr>
        <w:tabs>
          <w:tab w:val="left" w:pos="826"/>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Им. Фрунзе (НКМВ)</w:t>
      </w:r>
    </w:p>
    <w:p w14:paraId="03438D3D" w14:textId="77777777" w:rsidR="00AE1A6D" w:rsidRPr="00640820" w:rsidRDefault="00AE1A6D" w:rsidP="00640820">
      <w:pPr>
        <w:tabs>
          <w:tab w:val="left" w:pos="835"/>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Ростсельмаш (НКМВ)</w:t>
      </w:r>
    </w:p>
    <w:p w14:paraId="518E10DC" w14:textId="77777777" w:rsidR="00AE1A6D" w:rsidRPr="00640820" w:rsidRDefault="00AE1A6D" w:rsidP="00640820">
      <w:pPr>
        <w:tabs>
          <w:tab w:val="left" w:pos="840"/>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Ташсельмаш (НКМВ)</w:t>
      </w:r>
    </w:p>
    <w:p w14:paraId="5229AE80" w14:textId="77777777" w:rsidR="00AE1A6D" w:rsidRPr="00640820" w:rsidRDefault="00AE1A6D" w:rsidP="00640820">
      <w:pPr>
        <w:tabs>
          <w:tab w:val="left" w:pos="821"/>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Им. Энгельса (НКМВ)</w:t>
      </w:r>
    </w:p>
    <w:p w14:paraId="24184888" w14:textId="77777777" w:rsidR="00AE1A6D" w:rsidRPr="00640820" w:rsidRDefault="00AE1A6D" w:rsidP="00640820">
      <w:pPr>
        <w:tabs>
          <w:tab w:val="left" w:pos="826"/>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САРЭЗ(НКМВ)</w:t>
      </w:r>
    </w:p>
    <w:p w14:paraId="52A34FB0" w14:textId="77777777" w:rsidR="00AE1A6D" w:rsidRPr="00640820" w:rsidRDefault="00AE1A6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«Вулкан» (НКМВ)</w:t>
      </w:r>
    </w:p>
    <w:p w14:paraId="5E34FB50" w14:textId="77777777" w:rsidR="00AE1A6D" w:rsidRPr="00640820" w:rsidRDefault="00AE1A6D" w:rsidP="00640820">
      <w:pPr>
        <w:tabs>
          <w:tab w:val="left" w:pos="549"/>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обеспечить вы</w:t>
      </w:r>
      <w:r w:rsidRPr="00640820">
        <w:rPr>
          <w:rFonts w:ascii="Times New Roman" w:hAnsi="Times New Roman"/>
          <w:color w:val="000000" w:themeColor="text1"/>
          <w:sz w:val="16"/>
          <w:szCs w:val="16"/>
        </w:rPr>
        <w:softHyphen/>
        <w:t>полнение следующих мероприятий:</w:t>
      </w:r>
    </w:p>
    <w:p w14:paraId="319A06E0" w14:textId="77777777" w:rsidR="00AE1A6D" w:rsidRPr="00640820" w:rsidRDefault="00AE1A6D" w:rsidP="00640820">
      <w:pPr>
        <w:tabs>
          <w:tab w:val="left" w:pos="762"/>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Передать техническую документацию (чертежи, технические условия, инструкции) не позднее 15 февраля.</w:t>
      </w:r>
    </w:p>
    <w:p w14:paraId="7D069EE8" w14:textId="77777777" w:rsidR="00AE1A6D" w:rsidRPr="00640820" w:rsidRDefault="00AE1A6D" w:rsidP="00640820">
      <w:pPr>
        <w:tabs>
          <w:tab w:val="left" w:pos="719"/>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Поставить в первом квартале 10 комплектов агрегатов в сборе узлов и деталей танка Т-60, в том числе и покупных, а также 10 комплектов бронекорпусов и башен.</w:t>
      </w:r>
    </w:p>
    <w:p w14:paraId="020B1AD4" w14:textId="77777777" w:rsidR="00AE1A6D" w:rsidRPr="00640820" w:rsidRDefault="00AE1A6D" w:rsidP="00640820">
      <w:pPr>
        <w:tabs>
          <w:tab w:val="left" w:pos="573"/>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Обязать Наркомтанкопром представить список недостающего обо</w:t>
      </w:r>
      <w:r w:rsidRPr="00640820">
        <w:rPr>
          <w:rFonts w:ascii="Times New Roman" w:hAnsi="Times New Roman"/>
          <w:color w:val="000000" w:themeColor="text1"/>
          <w:sz w:val="16"/>
          <w:szCs w:val="16"/>
        </w:rPr>
        <w:softHyphen/>
        <w:t>рудования для производства танков Т-60 к февралю 1942 года.</w:t>
      </w:r>
    </w:p>
    <w:p w14:paraId="7F10E3E5" w14:textId="77777777" w:rsidR="00AE1A6D" w:rsidRPr="00640820" w:rsidRDefault="00AE1A6D" w:rsidP="00640820">
      <w:pPr>
        <w:tabs>
          <w:tab w:val="left" w:pos="554"/>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Директору Горьковского автозавода т. Лоскутову обеспечить по</w:t>
      </w:r>
      <w:r w:rsidRPr="00640820">
        <w:rPr>
          <w:rFonts w:ascii="Times New Roman" w:hAnsi="Times New Roman"/>
          <w:color w:val="000000" w:themeColor="text1"/>
          <w:sz w:val="16"/>
          <w:szCs w:val="16"/>
        </w:rPr>
        <w:softHyphen/>
        <w:t>ставку двигателей ГАЗ-202Литейно-механическому заводу (г. Ташкент):</w:t>
      </w:r>
    </w:p>
    <w:p w14:paraId="4603C0D4" w14:textId="77777777" w:rsidR="00AE1A6D" w:rsidRPr="00640820" w:rsidRDefault="00AE1A6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1-м квартале — 15</w:t>
      </w:r>
    </w:p>
    <w:p w14:paraId="19096081" w14:textId="77777777" w:rsidR="00AE1A6D" w:rsidRPr="00640820" w:rsidRDefault="00AE1A6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2-м квартале — 65</w:t>
      </w:r>
    </w:p>
    <w:p w14:paraId="17C80663" w14:textId="77777777" w:rsidR="00AE1A6D" w:rsidRPr="00640820" w:rsidRDefault="00AE1A6D" w:rsidP="00640820">
      <w:pPr>
        <w:tabs>
          <w:tab w:val="left" w:pos="606"/>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Обязать Наркомчермет подавать комплект броневого листа для Т-60 с доставкой их на завод им. Кагановича (г. Ташкент) в первом квар</w:t>
      </w:r>
      <w:r w:rsidRPr="00640820">
        <w:rPr>
          <w:rFonts w:ascii="Times New Roman" w:hAnsi="Times New Roman"/>
          <w:color w:val="000000" w:themeColor="text1"/>
          <w:sz w:val="16"/>
          <w:szCs w:val="16"/>
        </w:rPr>
        <w:softHyphen/>
        <w:t>тале на 15 машин, во втором квартале на 70машин.</w:t>
      </w:r>
    </w:p>
    <w:p w14:paraId="6FA9CF6A" w14:textId="77777777" w:rsidR="00AE1A6D" w:rsidRPr="00640820" w:rsidRDefault="00AE1A6D" w:rsidP="00640820">
      <w:pPr>
        <w:tabs>
          <w:tab w:val="left" w:pos="678"/>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Н</w:t>
      </w:r>
      <w:r w:rsidRPr="00640820">
        <w:rPr>
          <w:rFonts w:ascii="Times New Roman" w:hAnsi="Times New Roman"/>
          <w:color w:val="000000" w:themeColor="text1"/>
          <w:sz w:val="16"/>
          <w:szCs w:val="16"/>
          <w:lang w:val="en-US"/>
        </w:rPr>
        <w:t>KB</w:t>
      </w:r>
      <w:r w:rsidRPr="00640820">
        <w:rPr>
          <w:rFonts w:ascii="Times New Roman" w:hAnsi="Times New Roman"/>
          <w:color w:val="000000" w:themeColor="text1"/>
          <w:sz w:val="16"/>
          <w:szCs w:val="16"/>
        </w:rPr>
        <w:t xml:space="preserve"> тов. Устинову, начальнику ТАУКА тов. Яковлеву обеспечить поставку предметов вооружения и оптику для Литейно-механического завода (г. Ташкент).</w:t>
      </w:r>
    </w:p>
    <w:tbl>
      <w:tblPr>
        <w:tblW w:w="0" w:type="auto"/>
        <w:tblLayout w:type="fixed"/>
        <w:tblCellMar>
          <w:left w:w="10" w:type="dxa"/>
          <w:right w:w="10" w:type="dxa"/>
        </w:tblCellMar>
        <w:tblLook w:val="04A0" w:firstRow="1" w:lastRow="0" w:firstColumn="1" w:lastColumn="0" w:noHBand="0" w:noVBand="1"/>
      </w:tblPr>
      <w:tblGrid>
        <w:gridCol w:w="3072"/>
        <w:gridCol w:w="1464"/>
        <w:gridCol w:w="2616"/>
      </w:tblGrid>
      <w:tr w:rsidR="00643896" w:rsidRPr="00640820" w14:paraId="76EB92CF" w14:textId="77777777" w:rsidTr="00C46E94">
        <w:trPr>
          <w:trHeight w:val="461"/>
        </w:trPr>
        <w:tc>
          <w:tcPr>
            <w:tcW w:w="3072" w:type="dxa"/>
            <w:tcBorders>
              <w:top w:val="single" w:sz="4" w:space="0" w:color="auto"/>
              <w:bottom w:val="single" w:sz="4" w:space="0" w:color="auto"/>
            </w:tcBorders>
            <w:shd w:val="clear" w:color="auto" w:fill="FFFFFF"/>
          </w:tcPr>
          <w:p w14:paraId="60871256" w14:textId="77777777" w:rsidR="00AE1A6D" w:rsidRPr="00640820" w:rsidRDefault="00AE1A6D" w:rsidP="00640820">
            <w:pPr>
              <w:spacing w:after="0" w:line="240" w:lineRule="auto"/>
              <w:jc w:val="both"/>
              <w:rPr>
                <w:rFonts w:ascii="Times New Roman" w:hAnsi="Times New Roman"/>
                <w:color w:val="000000" w:themeColor="text1"/>
                <w:sz w:val="16"/>
                <w:szCs w:val="16"/>
              </w:rPr>
            </w:pPr>
            <w:r w:rsidRPr="00640820">
              <w:rPr>
                <w:rStyle w:val="Bodytext3"/>
                <w:rFonts w:ascii="Times New Roman" w:hAnsi="Times New Roman"/>
                <w:color w:val="000000" w:themeColor="text1"/>
                <w:sz w:val="16"/>
                <w:szCs w:val="16"/>
              </w:rPr>
              <w:t>Квартал</w:t>
            </w:r>
          </w:p>
        </w:tc>
        <w:tc>
          <w:tcPr>
            <w:tcW w:w="1464" w:type="dxa"/>
            <w:tcBorders>
              <w:top w:val="single" w:sz="4" w:space="0" w:color="auto"/>
              <w:bottom w:val="single" w:sz="4" w:space="0" w:color="auto"/>
            </w:tcBorders>
            <w:shd w:val="clear" w:color="auto" w:fill="FFFFFF"/>
          </w:tcPr>
          <w:p w14:paraId="38D75EC2" w14:textId="77777777" w:rsidR="00AE1A6D" w:rsidRPr="00640820" w:rsidRDefault="00AE1A6D" w:rsidP="00640820">
            <w:pPr>
              <w:spacing w:after="0" w:line="240" w:lineRule="auto"/>
              <w:jc w:val="both"/>
              <w:rPr>
                <w:rFonts w:ascii="Times New Roman" w:hAnsi="Times New Roman"/>
                <w:color w:val="000000" w:themeColor="text1"/>
                <w:sz w:val="16"/>
                <w:szCs w:val="16"/>
              </w:rPr>
            </w:pPr>
            <w:r w:rsidRPr="00640820">
              <w:rPr>
                <w:rStyle w:val="Bodytext5"/>
                <w:color w:val="000000" w:themeColor="text1"/>
                <w:sz w:val="16"/>
                <w:szCs w:val="16"/>
              </w:rPr>
              <w:t>I</w:t>
            </w:r>
          </w:p>
        </w:tc>
        <w:tc>
          <w:tcPr>
            <w:tcW w:w="2616" w:type="dxa"/>
            <w:tcBorders>
              <w:top w:val="single" w:sz="4" w:space="0" w:color="auto"/>
              <w:bottom w:val="single" w:sz="4" w:space="0" w:color="auto"/>
            </w:tcBorders>
            <w:shd w:val="clear" w:color="auto" w:fill="FFFFFF"/>
          </w:tcPr>
          <w:p w14:paraId="395B196F" w14:textId="77777777" w:rsidR="00AE1A6D" w:rsidRPr="00640820" w:rsidRDefault="00AE1A6D" w:rsidP="00640820">
            <w:pPr>
              <w:spacing w:after="0" w:line="240" w:lineRule="auto"/>
              <w:jc w:val="both"/>
              <w:rPr>
                <w:rFonts w:ascii="Times New Roman" w:hAnsi="Times New Roman"/>
                <w:color w:val="000000" w:themeColor="text1"/>
                <w:sz w:val="16"/>
                <w:szCs w:val="16"/>
              </w:rPr>
            </w:pPr>
            <w:r w:rsidRPr="00640820">
              <w:rPr>
                <w:rStyle w:val="Bodytext5"/>
                <w:color w:val="000000" w:themeColor="text1"/>
                <w:sz w:val="16"/>
                <w:szCs w:val="16"/>
              </w:rPr>
              <w:t>II</w:t>
            </w:r>
          </w:p>
        </w:tc>
      </w:tr>
      <w:tr w:rsidR="00643896" w:rsidRPr="00640820" w14:paraId="3A203A1B" w14:textId="77777777" w:rsidTr="00C46E94">
        <w:trPr>
          <w:trHeight w:val="456"/>
        </w:trPr>
        <w:tc>
          <w:tcPr>
            <w:tcW w:w="3072" w:type="dxa"/>
            <w:tcBorders>
              <w:top w:val="single" w:sz="4" w:space="0" w:color="auto"/>
              <w:bottom w:val="single" w:sz="4" w:space="0" w:color="auto"/>
            </w:tcBorders>
            <w:shd w:val="clear" w:color="auto" w:fill="FFFFFF"/>
          </w:tcPr>
          <w:p w14:paraId="466C0716" w14:textId="77777777" w:rsidR="00AE1A6D" w:rsidRPr="00640820" w:rsidRDefault="00AE1A6D" w:rsidP="00640820">
            <w:pPr>
              <w:spacing w:after="0" w:line="240" w:lineRule="auto"/>
              <w:jc w:val="both"/>
              <w:rPr>
                <w:rFonts w:ascii="Times New Roman" w:hAnsi="Times New Roman"/>
                <w:color w:val="000000" w:themeColor="text1"/>
                <w:sz w:val="16"/>
                <w:szCs w:val="16"/>
              </w:rPr>
            </w:pPr>
            <w:r w:rsidRPr="00640820">
              <w:rPr>
                <w:rStyle w:val="Bodytext5"/>
                <w:rFonts w:eastAsia="Gungsuh"/>
                <w:color w:val="000000" w:themeColor="text1"/>
                <w:sz w:val="16"/>
                <w:szCs w:val="16"/>
              </w:rPr>
              <w:t>20-мм пушка ШВАК</w:t>
            </w:r>
          </w:p>
        </w:tc>
        <w:tc>
          <w:tcPr>
            <w:tcW w:w="1464" w:type="dxa"/>
            <w:tcBorders>
              <w:top w:val="single" w:sz="4" w:space="0" w:color="auto"/>
              <w:bottom w:val="single" w:sz="4" w:space="0" w:color="auto"/>
            </w:tcBorders>
            <w:shd w:val="clear" w:color="auto" w:fill="FFFFFF"/>
          </w:tcPr>
          <w:p w14:paraId="3958A272" w14:textId="77777777" w:rsidR="00AE1A6D" w:rsidRPr="00640820" w:rsidRDefault="00AE1A6D" w:rsidP="00640820">
            <w:pPr>
              <w:spacing w:after="0" w:line="240" w:lineRule="auto"/>
              <w:jc w:val="both"/>
              <w:rPr>
                <w:rFonts w:ascii="Times New Roman" w:hAnsi="Times New Roman"/>
                <w:color w:val="000000" w:themeColor="text1"/>
                <w:sz w:val="16"/>
                <w:szCs w:val="16"/>
              </w:rPr>
            </w:pPr>
            <w:r w:rsidRPr="00640820">
              <w:rPr>
                <w:rStyle w:val="Bodytext5"/>
                <w:rFonts w:eastAsia="Gungsuh"/>
                <w:color w:val="000000" w:themeColor="text1"/>
                <w:sz w:val="16"/>
                <w:szCs w:val="16"/>
              </w:rPr>
              <w:t>13</w:t>
            </w:r>
          </w:p>
        </w:tc>
        <w:tc>
          <w:tcPr>
            <w:tcW w:w="2616" w:type="dxa"/>
            <w:tcBorders>
              <w:top w:val="single" w:sz="4" w:space="0" w:color="auto"/>
              <w:bottom w:val="single" w:sz="4" w:space="0" w:color="auto"/>
            </w:tcBorders>
            <w:shd w:val="clear" w:color="auto" w:fill="FFFFFF"/>
          </w:tcPr>
          <w:p w14:paraId="185CC5E2" w14:textId="77777777" w:rsidR="00AE1A6D" w:rsidRPr="00640820" w:rsidRDefault="00AE1A6D" w:rsidP="00640820">
            <w:pPr>
              <w:spacing w:after="0" w:line="240" w:lineRule="auto"/>
              <w:jc w:val="both"/>
              <w:rPr>
                <w:rFonts w:ascii="Times New Roman" w:hAnsi="Times New Roman"/>
                <w:color w:val="000000" w:themeColor="text1"/>
                <w:sz w:val="16"/>
                <w:szCs w:val="16"/>
              </w:rPr>
            </w:pPr>
            <w:r w:rsidRPr="00640820">
              <w:rPr>
                <w:rStyle w:val="Bodytext5"/>
                <w:rFonts w:eastAsia="Gungsuh"/>
                <w:color w:val="000000" w:themeColor="text1"/>
                <w:sz w:val="16"/>
                <w:szCs w:val="16"/>
              </w:rPr>
              <w:t>64</w:t>
            </w:r>
          </w:p>
        </w:tc>
      </w:tr>
      <w:tr w:rsidR="00643896" w:rsidRPr="00640820" w14:paraId="20424AE5" w14:textId="77777777" w:rsidTr="00C46E94">
        <w:trPr>
          <w:trHeight w:val="451"/>
        </w:trPr>
        <w:tc>
          <w:tcPr>
            <w:tcW w:w="3072" w:type="dxa"/>
            <w:tcBorders>
              <w:top w:val="single" w:sz="4" w:space="0" w:color="auto"/>
              <w:bottom w:val="single" w:sz="4" w:space="0" w:color="auto"/>
            </w:tcBorders>
            <w:shd w:val="clear" w:color="auto" w:fill="FFFFFF"/>
          </w:tcPr>
          <w:p w14:paraId="0161F0D5" w14:textId="77777777" w:rsidR="00AE1A6D" w:rsidRPr="00640820" w:rsidRDefault="00AE1A6D" w:rsidP="00640820">
            <w:pPr>
              <w:spacing w:after="0" w:line="240" w:lineRule="auto"/>
              <w:jc w:val="both"/>
              <w:rPr>
                <w:rFonts w:ascii="Times New Roman" w:hAnsi="Times New Roman"/>
                <w:color w:val="000000" w:themeColor="text1"/>
                <w:sz w:val="16"/>
                <w:szCs w:val="16"/>
              </w:rPr>
            </w:pPr>
            <w:r w:rsidRPr="00640820">
              <w:rPr>
                <w:rStyle w:val="Bodytext5"/>
                <w:rFonts w:eastAsia="Gungsuh"/>
                <w:color w:val="000000" w:themeColor="text1"/>
                <w:sz w:val="16"/>
                <w:szCs w:val="16"/>
              </w:rPr>
              <w:t>Прицел ТМФП</w:t>
            </w:r>
          </w:p>
        </w:tc>
        <w:tc>
          <w:tcPr>
            <w:tcW w:w="1464" w:type="dxa"/>
            <w:tcBorders>
              <w:top w:val="single" w:sz="4" w:space="0" w:color="auto"/>
              <w:bottom w:val="single" w:sz="4" w:space="0" w:color="auto"/>
            </w:tcBorders>
            <w:shd w:val="clear" w:color="auto" w:fill="FFFFFF"/>
          </w:tcPr>
          <w:p w14:paraId="2560D8BF" w14:textId="77777777" w:rsidR="00AE1A6D" w:rsidRPr="00640820" w:rsidRDefault="00AE1A6D" w:rsidP="00640820">
            <w:pPr>
              <w:spacing w:after="0" w:line="240" w:lineRule="auto"/>
              <w:jc w:val="both"/>
              <w:rPr>
                <w:rFonts w:ascii="Times New Roman" w:hAnsi="Times New Roman"/>
                <w:color w:val="000000" w:themeColor="text1"/>
                <w:sz w:val="16"/>
                <w:szCs w:val="16"/>
              </w:rPr>
            </w:pPr>
            <w:r w:rsidRPr="00640820">
              <w:rPr>
                <w:rStyle w:val="Bodytext5"/>
                <w:rFonts w:eastAsia="Gungsuh"/>
                <w:color w:val="000000" w:themeColor="text1"/>
                <w:sz w:val="16"/>
                <w:szCs w:val="16"/>
              </w:rPr>
              <w:t>13</w:t>
            </w:r>
          </w:p>
        </w:tc>
        <w:tc>
          <w:tcPr>
            <w:tcW w:w="2616" w:type="dxa"/>
            <w:tcBorders>
              <w:top w:val="single" w:sz="4" w:space="0" w:color="auto"/>
              <w:bottom w:val="single" w:sz="4" w:space="0" w:color="auto"/>
            </w:tcBorders>
            <w:shd w:val="clear" w:color="auto" w:fill="FFFFFF"/>
          </w:tcPr>
          <w:p w14:paraId="0F67E82A" w14:textId="77777777" w:rsidR="00AE1A6D" w:rsidRPr="00640820" w:rsidRDefault="00AE1A6D" w:rsidP="00640820">
            <w:pPr>
              <w:spacing w:after="0" w:line="240" w:lineRule="auto"/>
              <w:jc w:val="both"/>
              <w:rPr>
                <w:rFonts w:ascii="Times New Roman" w:hAnsi="Times New Roman"/>
                <w:color w:val="000000" w:themeColor="text1"/>
                <w:sz w:val="16"/>
                <w:szCs w:val="16"/>
              </w:rPr>
            </w:pPr>
            <w:r w:rsidRPr="00640820">
              <w:rPr>
                <w:rStyle w:val="Bodytext5"/>
                <w:rFonts w:eastAsia="Gungsuh"/>
                <w:color w:val="000000" w:themeColor="text1"/>
                <w:sz w:val="16"/>
                <w:szCs w:val="16"/>
              </w:rPr>
              <w:t>64</w:t>
            </w:r>
          </w:p>
        </w:tc>
      </w:tr>
      <w:tr w:rsidR="00643896" w:rsidRPr="00640820" w14:paraId="66446332" w14:textId="77777777" w:rsidTr="00C46E94">
        <w:trPr>
          <w:trHeight w:val="466"/>
        </w:trPr>
        <w:tc>
          <w:tcPr>
            <w:tcW w:w="3072" w:type="dxa"/>
            <w:tcBorders>
              <w:top w:val="single" w:sz="4" w:space="0" w:color="auto"/>
              <w:bottom w:val="single" w:sz="4" w:space="0" w:color="auto"/>
            </w:tcBorders>
            <w:shd w:val="clear" w:color="auto" w:fill="FFFFFF"/>
          </w:tcPr>
          <w:p w14:paraId="2A3FF4CB" w14:textId="77777777" w:rsidR="00AE1A6D" w:rsidRPr="00640820" w:rsidRDefault="00AE1A6D" w:rsidP="00640820">
            <w:pPr>
              <w:spacing w:after="0" w:line="240" w:lineRule="auto"/>
              <w:jc w:val="both"/>
              <w:rPr>
                <w:rFonts w:ascii="Times New Roman" w:hAnsi="Times New Roman"/>
                <w:color w:val="000000" w:themeColor="text1"/>
                <w:sz w:val="16"/>
                <w:szCs w:val="16"/>
              </w:rPr>
            </w:pPr>
            <w:r w:rsidRPr="00640820">
              <w:rPr>
                <w:rStyle w:val="Bodytext5"/>
                <w:rFonts w:eastAsia="Gungsuh"/>
                <w:color w:val="000000" w:themeColor="text1"/>
                <w:sz w:val="16"/>
                <w:szCs w:val="16"/>
              </w:rPr>
              <w:t>Трубка холодной пристрелки</w:t>
            </w:r>
          </w:p>
        </w:tc>
        <w:tc>
          <w:tcPr>
            <w:tcW w:w="1464" w:type="dxa"/>
            <w:tcBorders>
              <w:top w:val="single" w:sz="4" w:space="0" w:color="auto"/>
              <w:bottom w:val="single" w:sz="4" w:space="0" w:color="auto"/>
            </w:tcBorders>
            <w:shd w:val="clear" w:color="auto" w:fill="FFFFFF"/>
          </w:tcPr>
          <w:p w14:paraId="729ED76A" w14:textId="77777777" w:rsidR="00AE1A6D" w:rsidRPr="00640820" w:rsidRDefault="00AE1A6D" w:rsidP="00640820">
            <w:pPr>
              <w:spacing w:after="0" w:line="240" w:lineRule="auto"/>
              <w:jc w:val="both"/>
              <w:rPr>
                <w:rFonts w:ascii="Times New Roman" w:hAnsi="Times New Roman"/>
                <w:color w:val="000000" w:themeColor="text1"/>
                <w:sz w:val="16"/>
                <w:szCs w:val="16"/>
              </w:rPr>
            </w:pPr>
            <w:r w:rsidRPr="00640820">
              <w:rPr>
                <w:rStyle w:val="Bodytext5"/>
                <w:rFonts w:eastAsia="Gungsuh"/>
                <w:color w:val="000000" w:themeColor="text1"/>
                <w:sz w:val="16"/>
                <w:szCs w:val="16"/>
              </w:rPr>
              <w:t>5</w:t>
            </w:r>
          </w:p>
        </w:tc>
        <w:tc>
          <w:tcPr>
            <w:tcW w:w="2616" w:type="dxa"/>
            <w:tcBorders>
              <w:top w:val="single" w:sz="4" w:space="0" w:color="auto"/>
              <w:bottom w:val="single" w:sz="4" w:space="0" w:color="auto"/>
            </w:tcBorders>
            <w:shd w:val="clear" w:color="auto" w:fill="FFFFFF"/>
          </w:tcPr>
          <w:p w14:paraId="52BAE086" w14:textId="77777777" w:rsidR="00AE1A6D" w:rsidRPr="00640820" w:rsidRDefault="00AE1A6D" w:rsidP="00640820">
            <w:pPr>
              <w:spacing w:after="0" w:line="240" w:lineRule="auto"/>
              <w:jc w:val="both"/>
              <w:rPr>
                <w:rFonts w:ascii="Times New Roman" w:hAnsi="Times New Roman"/>
                <w:color w:val="000000" w:themeColor="text1"/>
                <w:sz w:val="16"/>
                <w:szCs w:val="16"/>
              </w:rPr>
            </w:pPr>
            <w:r w:rsidRPr="00640820">
              <w:rPr>
                <w:rStyle w:val="Bodytext5"/>
                <w:rFonts w:eastAsia="Gungsuh"/>
                <w:color w:val="000000" w:themeColor="text1"/>
                <w:sz w:val="16"/>
                <w:szCs w:val="16"/>
              </w:rPr>
              <w:t>15</w:t>
            </w:r>
          </w:p>
        </w:tc>
      </w:tr>
    </w:tbl>
    <w:p w14:paraId="689E724B" w14:textId="77777777" w:rsidR="00AE1A6D" w:rsidRPr="00640820" w:rsidRDefault="00AE1A6D" w:rsidP="00640820">
      <w:pPr>
        <w:tabs>
          <w:tab w:val="left" w:pos="784"/>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Наркомсредмашу обеспечить поставку электрооборудования Т-60 для Литейно-механического завода (г. Ташкент):</w:t>
      </w:r>
    </w:p>
    <w:p w14:paraId="21938E20" w14:textId="77777777" w:rsidR="00AE1A6D" w:rsidRPr="00640820" w:rsidRDefault="00AE1A6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1-м квартале — 15 комплектов во 2-м квартале — 65 комплектов.</w:t>
      </w:r>
    </w:p>
    <w:p w14:paraId="34C0242A" w14:textId="77777777" w:rsidR="00AE1A6D" w:rsidRPr="00640820" w:rsidRDefault="00AE1A6D" w:rsidP="00640820">
      <w:pPr>
        <w:tabs>
          <w:tab w:val="left" w:pos="688"/>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Наркомэлектропрому обеспечить поставку радиостанции 71-ТК- 3 для Литейно-механического завода (г. Ташкент):</w:t>
      </w:r>
    </w:p>
    <w:p w14:paraId="4A381E1F" w14:textId="77777777" w:rsidR="00AE1A6D" w:rsidRPr="00640820" w:rsidRDefault="00AE1A6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1-м квартале — 0</w:t>
      </w:r>
    </w:p>
    <w:p w14:paraId="65E8744F" w14:textId="77777777" w:rsidR="00AE1A6D" w:rsidRPr="00640820" w:rsidRDefault="00AE1A6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2-м квартале — 15</w:t>
      </w:r>
    </w:p>
    <w:p w14:paraId="21C2EDDE" w14:textId="77777777" w:rsidR="00AE1A6D" w:rsidRPr="00640820" w:rsidRDefault="00AE1A6D" w:rsidP="00640820">
      <w:pPr>
        <w:tabs>
          <w:tab w:val="left" w:pos="707"/>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Обязать Наркомтанкопром не позднее 5 дней после решения ГКО представить спецификации на потребные металлы черные и цветные, материалы и покупные изделия, исходя из утвержденной программы по танкам Т-60.</w:t>
      </w:r>
    </w:p>
    <w:p w14:paraId="4E2C1818" w14:textId="77777777" w:rsidR="00AE1A6D" w:rsidRPr="00640820" w:rsidRDefault="00AE1A6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К1 февраля представить проект капитального строительства по рас</w:t>
      </w:r>
      <w:r w:rsidRPr="00640820">
        <w:rPr>
          <w:rFonts w:ascii="Times New Roman" w:hAnsi="Times New Roman"/>
          <w:color w:val="000000" w:themeColor="text1"/>
          <w:sz w:val="16"/>
          <w:szCs w:val="16"/>
        </w:rPr>
        <w:softHyphen/>
        <w:t>ширению базы танкостроения на Литейно-механическом заводе (г. Таш</w:t>
      </w:r>
      <w:r w:rsidRPr="00640820">
        <w:rPr>
          <w:rFonts w:ascii="Times New Roman" w:hAnsi="Times New Roman"/>
          <w:color w:val="000000" w:themeColor="text1"/>
          <w:sz w:val="16"/>
          <w:szCs w:val="16"/>
        </w:rPr>
        <w:softHyphen/>
        <w:t>кент).</w:t>
      </w:r>
    </w:p>
    <w:p w14:paraId="0CA51E46" w14:textId="77777777" w:rsidR="00AE1A6D" w:rsidRPr="00640820" w:rsidRDefault="00AE1A6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Данное постановление так и осталось проектом. В течение месяца шло обсуждение вопроса об организации производства Т-60 в Ташкен</w:t>
      </w:r>
      <w:r w:rsidRPr="00640820">
        <w:rPr>
          <w:rFonts w:ascii="Times New Roman" w:hAnsi="Times New Roman"/>
          <w:color w:val="000000" w:themeColor="text1"/>
          <w:sz w:val="16"/>
          <w:szCs w:val="16"/>
        </w:rPr>
        <w:softHyphen/>
        <w:t>те, в итоге было принято решение отказаться от этой идеи (17485).»</w:t>
      </w:r>
    </w:p>
    <w:p w14:paraId="358716D5" w14:textId="77777777" w:rsidR="00AE1A6D" w:rsidRPr="00640820" w:rsidRDefault="00AE1A6D" w:rsidP="00640820">
      <w:pPr>
        <w:spacing w:after="0" w:line="240" w:lineRule="auto"/>
        <w:jc w:val="both"/>
        <w:rPr>
          <w:rFonts w:ascii="Times New Roman" w:hAnsi="Times New Roman"/>
          <w:color w:val="000000" w:themeColor="text1"/>
          <w:sz w:val="16"/>
          <w:szCs w:val="16"/>
        </w:rPr>
      </w:pPr>
    </w:p>
    <w:p w14:paraId="1A83B4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ноября 1941 г. на базе эвакуированных в Свердловск заводов № 37 и КИМ образован единый завод № 37 (Завод № 37 им.  Г.К. Орджоникидзе НКТП, НКОП, НКСМ, НКТП, Авторемонтный завод, 4-й Государственный авторемонтный завод ВСНХ, 2-й автобронетанковый ремонтный завод, 2-й автосборочный завод ВАТО, НКТП, Опытный завод № 37, Опытный завод НИРТИ, НИИДАР / г. Черкизов Московской обл.;  г. Свердловск;  г. Москва Преображенская застава/ /107258  г. Москва 1-я ул. Бухвостова, 12/11/).Продолжено производство танков: 1.01.1942 г. выпущены первые 20 Т-60Ш. В соответствии с пост. ГКО № 1417 от 9.03.1942 г. начато производство танка Т-70. 12.04.1942 г. вышло постановление ГКО № 1581 о выпуске танков Т-60 на заводе № 37 НКТП.</w:t>
      </w:r>
    </w:p>
    <w:p w14:paraId="49A067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площадке эвакуированного завода в Москве образован Авторемонтный завод № 6 (АРЗ-6). 7.01.1942 г. АРЗ-6 преобразован в филиал завода № 37.</w:t>
      </w:r>
    </w:p>
    <w:p w14:paraId="29A19D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находился в ведении НКТП, НКСМ. В середине 1942 г. завод № 37 в Свердловске влит в состав завода «Большевик» (завод № 50), а филиал в Москве преобразован в новый завод № 37. 28.07.1942 г. вышло постановление ГКО № 2120 об организации на заводе производства Т-34.</w:t>
      </w:r>
    </w:p>
    <w:p w14:paraId="383482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1949 г. завод перепрофилирован на производство радиотехнической продукции. В 1950 г. начинается освоение производства </w:t>
      </w:r>
      <w:r w:rsidRPr="00640820">
        <w:rPr>
          <w:rFonts w:ascii="Times New Roman" w:hAnsi="Times New Roman"/>
          <w:color w:val="000000" w:themeColor="text1"/>
          <w:sz w:val="16"/>
          <w:szCs w:val="16"/>
          <w:lang w:val="en-US"/>
        </w:rPr>
        <w:t>PJIC</w:t>
      </w:r>
      <w:r w:rsidRPr="00640820">
        <w:rPr>
          <w:rFonts w:ascii="Times New Roman" w:hAnsi="Times New Roman"/>
          <w:color w:val="000000" w:themeColor="text1"/>
          <w:sz w:val="16"/>
          <w:szCs w:val="16"/>
        </w:rPr>
        <w:t xml:space="preserve"> П-20 и П-50.</w:t>
      </w:r>
    </w:p>
    <w:p w14:paraId="518846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1949 г. при заводе образовано ОКБ.</w:t>
      </w:r>
    </w:p>
    <w:p w14:paraId="741404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30.07.1959 г. образован филиал НИИ-108, который был размещен на территории ОКБ. В 05.1960 г. филиал преобразован в НИИ-37, а завод преобразован в его Опытный завод № 37. 15.01.1970 г. вошел в состав ЦНПО «Вымпел».</w:t>
      </w:r>
      <w:r w:rsidRPr="00640820">
        <w:rPr>
          <w:rFonts w:ascii="Times New Roman" w:hAnsi="Times New Roman"/>
          <w:color w:val="000000" w:themeColor="text1"/>
          <w:sz w:val="16"/>
          <w:szCs w:val="16"/>
          <w:vertAlign w:val="superscript"/>
        </w:rPr>
        <w:t>104</w:t>
      </w:r>
    </w:p>
    <w:p w14:paraId="3F06F9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1960 г. завод был головным по изготовлению </w:t>
      </w:r>
      <w:r w:rsidRPr="00640820">
        <w:rPr>
          <w:rFonts w:ascii="Times New Roman" w:hAnsi="Times New Roman"/>
          <w:color w:val="000000" w:themeColor="text1"/>
          <w:sz w:val="16"/>
          <w:szCs w:val="16"/>
          <w:lang w:val="en-US"/>
        </w:rPr>
        <w:t>PJIC</w:t>
      </w:r>
      <w:r w:rsidRPr="00640820">
        <w:rPr>
          <w:rFonts w:ascii="Times New Roman" w:hAnsi="Times New Roman"/>
          <w:color w:val="000000" w:themeColor="text1"/>
          <w:sz w:val="16"/>
          <w:szCs w:val="16"/>
        </w:rPr>
        <w:t xml:space="preserve"> «Дунай-3». В начале 1980-х  г. изготовлен экспериментальный образец ЭВМ М-13 для </w:t>
      </w:r>
      <w:r w:rsidRPr="00640820">
        <w:rPr>
          <w:rFonts w:ascii="Times New Roman" w:hAnsi="Times New Roman"/>
          <w:color w:val="000000" w:themeColor="text1"/>
          <w:sz w:val="16"/>
          <w:szCs w:val="16"/>
          <w:lang w:val="en-US"/>
        </w:rPr>
        <w:t>PJIC</w:t>
      </w:r>
      <w:r w:rsidRPr="00640820">
        <w:rPr>
          <w:rFonts w:ascii="Times New Roman" w:hAnsi="Times New Roman"/>
          <w:color w:val="000000" w:themeColor="text1"/>
          <w:sz w:val="16"/>
          <w:szCs w:val="16"/>
        </w:rPr>
        <w:t xml:space="preserve"> «Дарьял-У».</w:t>
      </w:r>
    </w:p>
    <w:p w14:paraId="099F06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завода: цехи: монтажно-сборочный (1950-е), № 1 (1980-е-90-е).</w:t>
      </w:r>
    </w:p>
    <w:p w14:paraId="34CD57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(1930 г.)- С. Иванов, (1934-29.08.1937 г.)- Б.К. Гутнов, (29.08.1937-38 г.-)- М.И. Шор, (1946-52 г.)- Н.А. Богородицкий, (1955 г.)- П.И. Кузнецов, (1956-59; 1960-61 г.)- С.В. Скориков, (1961-78 г.)- В.И. Малышев, (1978 г.-)- А.А. Трухманов.</w:t>
      </w:r>
    </w:p>
    <w:p w14:paraId="449CF8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по новой технике (-1961 г.)- В.И. Малышев; (16.09.1937 г.-)- Н.Н. Козырев, (1938 г.)- М.С. Свердлов. Помощник директора по найму и увольнению (10.07.1938 г.-)- А.Ф. Сигунов.</w:t>
      </w:r>
    </w:p>
    <w:p w14:paraId="550499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технический (-1.02.1937 г.)- В.О. Аранович.</w:t>
      </w:r>
    </w:p>
    <w:p w14:paraId="2C8BDF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(16.09.1937-38 г.-)- Н.Н. Козырев.</w:t>
      </w:r>
    </w:p>
    <w:p w14:paraId="0D12AF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инженера (1950-51 г.)- А.А. Форштер, (1954 г.-)- В.И. Малышев.</w:t>
      </w:r>
    </w:p>
    <w:p w14:paraId="20D610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(1936 г.)- Н.А. Астров (Т-38, Т-40), (11.1941 г.)-  Г. Суренян.</w:t>
      </w:r>
    </w:p>
    <w:p w14:paraId="4F4BC9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И.О. зам. гл. конструктора (1948 г.)- А.И. Талейсник.</w:t>
      </w:r>
    </w:p>
    <w:p w14:paraId="29847D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технолог (-1978 г.)- Я.И. Гаврилов.</w:t>
      </w:r>
    </w:p>
    <w:p w14:paraId="5AD977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конструкторы: (1932 г.-)- Н. Козырев, (1942 г.)- Н.А. Астров (Т-70), (1948-70 г.)- О.М. Федоров.</w:t>
      </w:r>
    </w:p>
    <w:p w14:paraId="63BB3B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цехов: (1949-52 г.)- Я.И. Гаврилов.</w:t>
      </w:r>
    </w:p>
    <w:p w14:paraId="20F0E3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Помощник начальника цеха: № 14 (-11.1937 г.)- С.А. Алабин.</w:t>
      </w:r>
    </w:p>
    <w:p w14:paraId="544779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конструкторского отделения- А.И. Талейсник, (1970-73 г.)- О.М. Федоров.</w:t>
      </w:r>
    </w:p>
    <w:p w14:paraId="5511F8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2-го (-08.1938 г.)- Е.Н. Фергман; производственного (1952 г.-)- ЯМ. Гаврилов, (1964-86 г.)- В.Д. Вдовин; технического- О.М. Федоров. Начальник технологической станции (-11.1937 г.)- Д.В. Чеботарев.</w:t>
      </w:r>
    </w:p>
    <w:p w14:paraId="2D6D4B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Руководитель конструкторской группы: (1965 г.)- А.И. Талейсник.</w:t>
      </w:r>
    </w:p>
    <w:p w14:paraId="5501B2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танки Т-38 (1936), Т-40 (1939), Т-60 (1941).</w:t>
      </w:r>
    </w:p>
    <w:p w14:paraId="3D35D0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бронеавтомобиль БА-27 на шасси «Форд-АА» (1930)- 1, «Комсомолец» (1938); попки: Т-23 (1930)- 5, Т-27 (1931-33),Т-41 (1932-33-), Т-37А (1933-36)- 2552,</w:t>
      </w:r>
      <w:r w:rsidRPr="00640820">
        <w:rPr>
          <w:rFonts w:ascii="Times New Roman" w:hAnsi="Times New Roman"/>
          <w:color w:val="000000" w:themeColor="text1"/>
          <w:sz w:val="16"/>
          <w:szCs w:val="16"/>
          <w:vertAlign w:val="superscript"/>
        </w:rPr>
        <w:t>124</w:t>
      </w:r>
      <w:r w:rsidRPr="00640820">
        <w:rPr>
          <w:rFonts w:ascii="Times New Roman" w:hAnsi="Times New Roman"/>
          <w:color w:val="000000" w:themeColor="text1"/>
          <w:sz w:val="16"/>
          <w:szCs w:val="16"/>
        </w:rPr>
        <w:t xml:space="preserve"> Т-43 (1934), Т-38 (1937-39), Т-38М (1939-), Т- 40 (1940-41-)- 192 (на 1.06.1941), Т-60 (-1941-42-)- 1639 (1942), Т-70 (1942-), Т-34 (1942-), Т-80 (ВОВ); РЛС: П-20, П-50 (1950-), П-30, П-30М, П-35 (-1958)- всего около 800; «Дунай-3» (1960-е); узлы РЛС А-100 системы ПВО С- 25; аппаратура РЛС «Дунай-ЗУ», «Крона», «Волга»; приемно-анализирующая аппаратура и ВК для ЗГРЛС «Дуга» (1970-е); спецвычислители К-340А для РЛС «Волга» (1980-е);</w:t>
      </w:r>
      <w:r w:rsidRPr="00640820">
        <w:rPr>
          <w:rFonts w:ascii="Times New Roman" w:hAnsi="Times New Roman"/>
          <w:color w:val="000000" w:themeColor="text1"/>
          <w:sz w:val="16"/>
          <w:szCs w:val="16"/>
          <w:vertAlign w:val="superscript"/>
        </w:rPr>
        <w:t>104</w:t>
      </w:r>
      <w:r w:rsidRPr="00640820">
        <w:rPr>
          <w:rFonts w:ascii="Times New Roman" w:hAnsi="Times New Roman"/>
          <w:color w:val="000000" w:themeColor="text1"/>
          <w:sz w:val="16"/>
          <w:szCs w:val="16"/>
        </w:rPr>
        <w:t xml:space="preserve"> электропроигрыватели: «Эпос-001С, - 006С» (11982).</w:t>
      </w:r>
    </w:p>
    <w:p w14:paraId="54879B2F" w14:textId="77777777" w:rsidR="006A3215" w:rsidRPr="00640820" w:rsidRDefault="006A3215" w:rsidP="00640820">
      <w:pPr>
        <w:autoSpaceDE w:val="0"/>
        <w:autoSpaceDN w:val="0"/>
        <w:adjustRightInd w:val="0"/>
        <w:spacing w:after="0" w:line="240" w:lineRule="auto"/>
        <w:jc w:val="both"/>
        <w:rPr>
          <w:rFonts w:ascii="Times New Roman" w:hAnsi="Times New Roman"/>
          <w:color w:val="000000" w:themeColor="text1"/>
          <w:sz w:val="16"/>
          <w:szCs w:val="16"/>
        </w:rPr>
      </w:pPr>
    </w:p>
    <w:p w14:paraId="71594FA2" w14:textId="77777777" w:rsidR="004673CC" w:rsidRPr="00640820" w:rsidRDefault="004673C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10 ноября 1942 с предложением по организации танкового производства в Ташкенте к наркому танковой промышленности Малышеву обратился начальник ГАБТУ КА Федоренко. В том же месяце был подготовлен проект постановления ГКО об организации производства танков в Ташкенте. В течение месяца шло обсуждения вопроса об организации производства Т-60 в Ташкенте, 16 декабря было принято решение от этой идеи отказаться. Причиной тому стала недостаточная обеспеченность литейно-механического завода, который должен был стать основной производственной площадкой, станочным оборудованием, а также отсутствие необходимого броневого производства. Вместо танков в Ташкенте стали выпускать бронепоезда (17672).</w:t>
      </w:r>
    </w:p>
    <w:p w14:paraId="0A50F9D5" w14:textId="77777777" w:rsidR="004673CC" w:rsidRPr="00640820" w:rsidRDefault="004673CC" w:rsidP="00640820">
      <w:pPr>
        <w:spacing w:after="0" w:line="240" w:lineRule="auto"/>
        <w:jc w:val="both"/>
        <w:rPr>
          <w:rFonts w:ascii="Times New Roman" w:hAnsi="Times New Roman"/>
          <w:color w:val="000000" w:themeColor="text1"/>
          <w:sz w:val="16"/>
          <w:szCs w:val="16"/>
        </w:rPr>
      </w:pPr>
    </w:p>
    <w:p w14:paraId="5F8D1D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10 ноября 1941 г. основная часть завода (Московский ГС завод № 203 им.  Г.К. Орджоникидзе НКОП, НКАП, НКЭП, МПСС, МРТП, Московский телеграфный завод, 1-й Государственный электротехнический завод, Московский электротехнический завод «Мосэлектрик», Московский электромеханический завод им. С. Орджоникидзе НКОП, ГС Ордена Ленина и Ордена Трудового Красного Знамени завод им.  Г.К. Орджоникидзе (ЗиО), Сарапульский радиозавод (СРЗ) им. Серго Орджоникидзе, Г-4391, ОАО «СРЗ», ОАО «СРЗ-холдинг» /г. Москва;  г. Сарапул/ /Удмуртия 427960 (427900) была эвакуирована в Сарапул, где завод продолжил действовать под прежним номером; часть - в Горький; часть завода, вероятно, эвакуирована в Томск (где образован завод № 625).</w:t>
      </w:r>
    </w:p>
    <w:p w14:paraId="43A3FA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Небольшая часть завода, в т.ч. конструкторский коллектив Е.Н. Геништы, осталась в Москве. На ее базе организованы мастерские по ремонту войсковой радиоаппаратуры. В 1942 г. они преобразованы в завод № 528 НКЭП.</w:t>
      </w:r>
    </w:p>
    <w:p w14:paraId="04C21D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годы войны в Сарапуле продолжено производство танковых и самолетных радиостанций, радиополукомпасов.</w:t>
      </w:r>
    </w:p>
    <w:p w14:paraId="25E990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17 от 27.01.1946 г. завод, наряду с выпуском радиоаппратуры для армии, начал освоение гражданской продукции. При заводе организовано КБ, в котором разрабатывалась бытовая радиоаппаратура.</w:t>
      </w:r>
    </w:p>
    <w:p w14:paraId="0C46F3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Назывался ГС Завод им.  Г.К. Орджоникидзе (ЗиО), в 1952 г.- в ведении МПСС, в 1953 г.- в МРШ, в 1963 г.- в ведении Западно-Уральского СНХ. Имел наименование «п/я Г-4391».</w:t>
      </w:r>
    </w:p>
    <w:p w14:paraId="18EE93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1992 г. предприятие акционировано и преобразовано в ОАО СРЗ. В начале 1990-х  г. выпуск радиотехники был практически прекращен, лишь в конце 1998 г. вновь начат выпуск автомагнитол. В 1998 г. проведена реструктуризация производства; предприятие преобразовано в ОАО «Сарапульский радиозавод-холдинг» с выделением дочерних предприятий: ОАО СРЗ (выпуск специзделий), ОАО «СРЗ-Микрон» (инструментальное производство), ОАО «СРЗ-ЭМУ» (водотеплоэнергоснабжение).</w:t>
      </w:r>
    </w:p>
    <w:p w14:paraId="138FFB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(2005 г.): комплексы связи для бронетехники; изделия радиотелефонии, средства коммуникации и связи, устройства мультиплексной системы электрооборудования автомобилей, электронные устройства для станкостроения, медицинская техника.</w:t>
      </w:r>
    </w:p>
    <w:p w14:paraId="15BB25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заводе имелся Конструкторский отдел, который проводил НИОКР по созданию перспективной техники связи; КБ (2005 г.). Имелись производства: механообработка, сборочное, литье под давлением изделий из пластмасс и резины, изготовление печатных плат, гальванических и лакокрасочных покрытий, испытательная станция.</w:t>
      </w:r>
    </w:p>
    <w:p w14:paraId="47A758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Директор (-14.02.1937 г.)- М.В. Ясвойн, (11.02-7.09.1937 г.)- А.А. Нудэ, (7.09.1937-05.1938 г.-)- Б.П. Осипов, (1940 г.)- Воронцов, Д.И. Тимин, Б.С. Тамаркин, М.А. Иванов, (1960-75 г.)- И.А. Романенко, (1982-92 г.)-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Полусмак. Гендиректор (1992-98 г.)- А.М. Полусмак.</w:t>
      </w:r>
    </w:p>
    <w:p w14:paraId="79EB19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(3.10.1937 г.-)- А.А. Шамараков; по ПВО и охране (5.11.1938 г.-)- К.С. Князев. Зам. гендиректора: по науке- А.К. Андреев; по производству (-1992 г.)- А.А. Гадельгареев; по ВЭС- А.К. Андреев; по качеству- В.М. Козырев; (1990-е)- А.А. Гадельгареев, В.М. Козырев.</w:t>
      </w:r>
    </w:p>
    <w:p w14:paraId="4B406D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(-16.02.1937 г.)- В.Н. Котельников, (17.05.1937-17.12.1938 г.)- В.В. Альбицкий, (17.12.1938 г.-)- Н.В. Сафонов, (1958 г.)- А. Личнов, (-1976 г.)- И.Л. Лазебник, В.М. Козырев.</w:t>
      </w:r>
    </w:p>
    <w:p w14:paraId="01B2A6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производства (1990-е)- А.А. Гадельгареев. Гл. технолог- И.Л. Лазебник. Гл. контролер- В.М. Козырев.</w:t>
      </w:r>
    </w:p>
    <w:p w14:paraId="3DA73D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управлений: экономики, учета и финансов- А.А. Гадельгареев; качеством- В.М. Козырев; научно- производственного комплекса спецтехники и радиотелефонии (-1998 г.)- А.А. Гадельгареев.</w:t>
      </w:r>
    </w:p>
    <w:p w14:paraId="53DED2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конструкторы: (1930-е)- Е.Н. Геништа (ЭЧС-2, БИ-234, СИ-235, РПК-2, РПК-10); направления: В.М. Лихарев; по САПР и АСУП (2006 г.)- А. Подкин.</w:t>
      </w:r>
    </w:p>
    <w:p w14:paraId="263C80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цехов: № 5 (-1938 г.)- Я.К. Кирштейн; А.А. Гадельгареев.</w:t>
      </w:r>
    </w:p>
    <w:p w14:paraId="7A2388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начальника цеха: В.М. Козырев.</w:t>
      </w:r>
    </w:p>
    <w:p w14:paraId="404819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НТО (1938 г.)- Н.Ф. Сафонов; ОТК- В.М. Козырев; А.К. Андреев, А.А. Гадельгареев, Е.М. Пластов.</w:t>
      </w:r>
    </w:p>
    <w:p w14:paraId="290B03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лабораторий: И.Л. Лазебник; и.о.- А.К. Белопашцев.</w:t>
      </w:r>
    </w:p>
    <w:p w14:paraId="268DA9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секторов: А.К. Андреев, В.М. Лихарев.</w:t>
      </w:r>
    </w:p>
    <w:p w14:paraId="23B270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бюро: КТБ пресс-форм и форм литья- А.А. Гадельгареев; (2007 г.)- В.М. Лихарев.</w:t>
      </w:r>
    </w:p>
    <w:p w14:paraId="0F9ED3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Руководители групп: автоматов- А.К. Белопашцев; В.М. Лихарев.</w:t>
      </w:r>
    </w:p>
    <w:p w14:paraId="5B172E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Производство: радиостанции: авиационные РСИ (-1935-36-), РСИА (1937), РСР, РСРМ (1937), РРД (радиорекорд дальности, 1930-е), «Сокол-Орел» (1930-е), «Сокол», «Орел», «Чайка» (1930-е); танковые 9Р «Тапир» (1930-е-40-е), 9РМ «Тапир-М», 9РС «Тур» (1930-е-40-е), десантная 6ПК (1937), Р-113, Р-123, Р-123М, Р- 173; «Кугуар» (1938), РБ (ВОВ); аварийно-спасательные «Шлюп», «Плот»; специальные аэростатные; </w:t>
      </w:r>
      <w:r w:rsidRPr="00640820">
        <w:rPr>
          <w:rFonts w:ascii="Times New Roman" w:hAnsi="Times New Roman"/>
          <w:color w:val="000000" w:themeColor="text1"/>
          <w:sz w:val="16"/>
          <w:szCs w:val="16"/>
          <w:lang w:val="en-US"/>
        </w:rPr>
        <w:t>KB</w:t>
      </w:r>
      <w:r w:rsidRPr="00640820">
        <w:rPr>
          <w:rFonts w:ascii="Times New Roman" w:hAnsi="Times New Roman"/>
          <w:color w:val="000000" w:themeColor="text1"/>
          <w:sz w:val="16"/>
          <w:szCs w:val="16"/>
        </w:rPr>
        <w:t xml:space="preserve"> Р- 394КМ, портативная </w:t>
      </w:r>
      <w:r w:rsidRPr="00640820">
        <w:rPr>
          <w:rFonts w:ascii="Times New Roman" w:hAnsi="Times New Roman"/>
          <w:color w:val="000000" w:themeColor="text1"/>
          <w:sz w:val="16"/>
          <w:szCs w:val="16"/>
          <w:lang w:val="en-US"/>
        </w:rPr>
        <w:t>KB</w:t>
      </w:r>
      <w:r w:rsidRPr="00640820">
        <w:rPr>
          <w:rFonts w:ascii="Times New Roman" w:hAnsi="Times New Roman"/>
          <w:color w:val="000000" w:themeColor="text1"/>
          <w:sz w:val="16"/>
          <w:szCs w:val="16"/>
        </w:rPr>
        <w:t xml:space="preserve"> «Северок-К» (2000-е); передатчики РСИ-3 «Орел», РСИ-ЗМ, РСИ-4 (ВОВ); радиокомпас «Москит-М» (1930-е), радиополукомпасы: РПК-2 «Чайка», РПК-10 «Чаенок» (1930-е), РПКО-Ю «Пчела», РПК-2 «Чайка», РГОС-2С, РПКО-2 «Москит» (ВОВ); приемники УС, АИ (1938); комплексы связи для бронетехники: «Арбалет» (радиостанция Р-163-50У, приемник Р-163УП), «Акведук» (станции Р-163-5УВ, Р-168-25У, Р-168- 100У, приемник Р-168УП) (2000-е);</w:t>
      </w:r>
    </w:p>
    <w:p w14:paraId="23693C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репродукторы «Рекорд» (1934-), «Зорька» (1934-); радиоприемники: П-2 (1926-), П-3, Р-2, П-6 (1927-), П-7, РПЛ-1 (1927-), РПЛ-2, ПЛ-1 (1929-), ПЛ-2, ЭЧС (1930-), ЭЧС-2 (1932-), ЭЧС-3 (1933-), БИ-234 (1934-), СИ-235 (1935-), автомобильный АИ (1930-е), «Весна», «Луч» (1951-), «Родина», «Москвич-В», «Матрешка», «Селена», «Лунник», «Аленушка», миниатюрные «Космос», «Космос-М, -602», Т-7 «Алмаз», «Рубин», «Рубин-2», «Орленок» (1967-), «Орленок-М, -605», автомобильные «Урал-авто» (1968-), «Урал-Авто-2, -202», «Урал-301, - 302, РП-306, РП-340А»; радиолы. «Урал-47 (1947-), -49, -50 (1951-), -52, -53, -57, -1 (1963-), -2, -5, -6 (1968-), -7 («Иоланта», 1969-), -8, -110 (1970-), -111 (1973-), -112, -114 (1978-), -208С, -210С, -320, -322», «Кама» (1951-), «Кама-61, -62», «Рапсодия» (1964-), «Рубин», «Италмас», «Комета» (1960-е); автомагнитолы: «Урал-233С, РМ- 235С, РМ-260С, РМ-261С, РМ-262С, РМ-285С, РМ-292С, РМ-293С (2000-е), РМ-ЗЗЗС, РМ-334С», РМ-206СА, РМК-210СА; «Урал-293»;</w:t>
      </w:r>
      <w:r w:rsidRPr="00640820">
        <w:rPr>
          <w:rFonts w:ascii="Times New Roman" w:hAnsi="Times New Roman"/>
          <w:color w:val="000000" w:themeColor="text1"/>
          <w:sz w:val="16"/>
          <w:szCs w:val="16"/>
          <w:vertAlign w:val="superscript"/>
        </w:rPr>
        <w:t>101</w:t>
      </w:r>
      <w:r w:rsidRPr="00640820">
        <w:rPr>
          <w:rFonts w:ascii="Times New Roman" w:hAnsi="Times New Roman"/>
          <w:color w:val="000000" w:themeColor="text1"/>
          <w:sz w:val="16"/>
          <w:szCs w:val="16"/>
        </w:rPr>
        <w:t xml:space="preserve"> телевизоры: Т-1 «Москвич» (1947), «Темп», «Темп-2, -3, -4, -5»; антенны: АР-105, АА-ЗА, АА-5А, АШ-1А, АШ-4А; выпрямитель для питания радиоламп «Микро» (1927-); сопротивления Каминского, конденсаторы постоянной емкости, детекторы (1937) (11982).</w:t>
      </w:r>
    </w:p>
    <w:p w14:paraId="173C9F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BB0D64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ноября 1941 вышло Постановление ГКО № 881 О строительстве железнодорожной линии Коноша-Котлас. (7015, 45-46).</w:t>
      </w:r>
    </w:p>
    <w:p w14:paraId="1A194B3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676C9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ноября 1941 вышло Постановление ГКО № 882 О передаче в систему Наркомата вооружения Харченского стекольного завода Наркомлегпрома. (7015, 47).</w:t>
      </w:r>
    </w:p>
    <w:p w14:paraId="35BF025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C91F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ноября 1941 г. вышло Постановление ГКО № 883 «О консервации производства морских мин на заводе № 586 Наркомвооружения» (Д. 25. Л. 44–45).</w:t>
      </w:r>
    </w:p>
    <w:p w14:paraId="6DDB28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BB57E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ноября 1941 вышло Постановление ГКО № 884 Об организации производства на заводе Ташсельмаш Наркомобщмаша передков к 45 мм противотанковым пушкам и 76 мм дивизионным пушкам образца 1939 года (УСВ). РГАНИР, Фонд ГКО, д. 14, лл. 49 (11012).</w:t>
      </w:r>
    </w:p>
    <w:p w14:paraId="4CC67B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56ED9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10 ноября 1941 г. в соответствии с пост. ГКО № 884 на заводе «Ташсельмаш» НКОМ организовано производство передков для 45-мм противотанковых пушек и 76-мм дивизионных пушек. 17.04.1942 г. вышло постановление ГКО № 1609 об обеспечении производства артиллерийских передков на заводе «Ташсельмаш» НКМВ. Пост. ГКО № 1962сс от 4.07.1942 г. и приказом НКМВ № 237сс от 7.07.1942 г. заводу установлен план выпуска на 3-й квартал 1942 г. 82-мм минометов- 2700 шт.; пост. ГКО № 1961сс от 4.07.1942 г. и приказом № 239сс от 7.07.1942 г. план выпуска на 3-й квартал передков к 45-мм пушкам- 2200 шт., к 76-мм пушкам- 1500 шт.</w:t>
      </w:r>
    </w:p>
    <w:p w14:paraId="389965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(06.1942 г.)- Каненгисер.</w:t>
      </w:r>
    </w:p>
    <w:p w14:paraId="6FD1ED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(07.1942 г.)- Волков.</w:t>
      </w:r>
    </w:p>
    <w:p w14:paraId="6389D1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82-мм минометы; корпуса 82-мм мин, 76-мм снаряды, детали для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 xml:space="preserve"> М-8; передки к пушкам (1942); ремонт танков Т-26, БТ, танковых моторов (1942) (11982).</w:t>
      </w:r>
    </w:p>
    <w:p w14:paraId="393ED6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ABFC2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ноября 1941 вышло Постановление ГКО № 885 О производстве 120 мм минометов на паровозоремонтном заводе НКПС в г. Улан-Удэ. РГАНИР, Фонд ГКО, д. 14, лл. 50 (11012).</w:t>
      </w:r>
    </w:p>
    <w:p w14:paraId="698E21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CA4119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ноября 1941 вышло Постановление ГКО № 886 Об увеличении производства в ноябре 1941 г. 57 мм противотанковых пушек ЗИС - 2. (7015, 51).</w:t>
      </w:r>
    </w:p>
    <w:p w14:paraId="0D435E9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8FA78E"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5E1BEC58"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046CC40" w14:textId="77777777" w:rsidR="006A3215" w:rsidRPr="00640820" w:rsidRDefault="006A3215"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10 ноября </w:t>
      </w:r>
      <w:r w:rsidRPr="00640820">
        <w:rPr>
          <w:rFonts w:ascii="Times New Roman" w:hAnsi="Times New Roman"/>
          <w:color w:val="000000" w:themeColor="text1"/>
          <w:sz w:val="16"/>
          <w:szCs w:val="16"/>
        </w:rPr>
        <w:t>в 1941 году утреннее сообщение Совинформбюро:</w:t>
      </w:r>
    </w:p>
    <w:p w14:paraId="67169CBF" w14:textId="77777777" w:rsidR="006A3215" w:rsidRPr="00640820" w:rsidRDefault="006A321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10 ноября наши войска вели бои с противником на всех фронтах.</w:t>
      </w:r>
    </w:p>
    <w:p w14:paraId="698841FF" w14:textId="77777777" w:rsidR="006A3215" w:rsidRPr="00640820" w:rsidRDefault="006A321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авиачасти, действующие на Ленинградском фронте, за два дня боевых действий 6 и 7 ноября уничтожили 50 фашистских самолётов.</w:t>
      </w:r>
    </w:p>
    <w:p w14:paraId="2B58C215" w14:textId="77777777" w:rsidR="006A3215" w:rsidRPr="00640820" w:rsidRDefault="006A321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Два наших танка под командованием лейтенанта Данилова на одном из участков Ленинградского фронта прорвались в глубь расположения противника и уничтожили роту немецких солдат.</w:t>
      </w:r>
    </w:p>
    <w:p w14:paraId="071A6F6E" w14:textId="77777777" w:rsidR="006A3215" w:rsidRPr="00640820" w:rsidRDefault="006A321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далеко не полным данным, за последние 2 месяца партизанами, действующими в захваченных немцами районах Орловской области, уничтожено 39 вражеских грузовых автомашин с боеприпасами, 2 танка, 2 самолёта, 17 бронемашин, 9 мотоциклов, 11 мостов, продовольственная база, убито 517 солдат, и 20 офицеров противника. Особенно успешно действуют партизанские отряды в районе К. Партизанский отряд под командованием тов. Т. взорвал мост, прервав движение немецких колонн. Этот же отряд обстрелял немецкий самолёт, который, получив повреждения, пошёл на посадку и был уничтожен вместе с командой. Немцы бросили для уничтожения партизанского отряда большую группу белофиннов в количестве 200 человек на мотоциклах и велосипедах. Ночью партизаны устроили в лесу засаду и открыли огонь по белофиннам при их приближении. 8 белофинских солдат было убито и несколько ранено. Остальные бежали. Этой же ночью 3 другие группы этого отряда разрушили несколько мостов и уничтожили паром на реке. В результате на значительное время было задержано продвижение колонны противника.</w:t>
      </w:r>
    </w:p>
    <w:p w14:paraId="1C319399" w14:textId="77777777" w:rsidR="006A3215" w:rsidRPr="00640820" w:rsidRDefault="006A321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Другой отряд под командованием тов. Д. совершил налёт на немецкую штабную машину. Гранатами и бронебойными пулями уничтожены машина и 5 немцев. Группа партизан этого же отряда в районе К. связками гранат вывела из строя 2 немецких бронемашины, убив при этом 4 немцев.</w:t>
      </w:r>
    </w:p>
    <w:p w14:paraId="34F816BF" w14:textId="77777777" w:rsidR="006A3215" w:rsidRPr="00640820" w:rsidRDefault="006A321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Недавно в Орле в ресторане «Коммуналь» командование немецкого гарнизона устроило вечер для офицеров. Партизаны проникли в город и забросали помещение ресторана гранатами и бутылками с горючей жидкостью. Взрывами и пожаром было уничтожено около 150 фашистских офицеров.</w:t>
      </w:r>
    </w:p>
    <w:p w14:paraId="2C8D5FC6" w14:textId="77777777" w:rsidR="006A3215" w:rsidRPr="00640820" w:rsidRDefault="006A321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Письма, захваченные у немецких солдат, дают представление о жизни и настроениях германского тыла. Письма из городов и сёл Германии проникнуты тревогой и глубоким пессимизмом. Солдату Иосифу К. сообщает жена из Мюльдорфа. «Из наших уже многие пали на Востоке. А сколько ещё будет новых жертв. Усли останетесь там на зиму, вы все пропадёте». Старая мать с беспокойством пишет сыну Генриху Бойеру: «Вы теперь так далеко забрались в Россию, удастся ли вам выбраться оттуда обратно?» Немецкий солдат Михаэль Штамм недавно получил письмо от матери, в котором она пишет, что война всем опостылела. Мать советует ему переменить адрес, чтобы сохранить жизнь. Штамм воспринял эти слова, как совет матери сдаться в плен, и выполнил его. Солдату Г.Шиманеку сообщает его отец: «Сын Хенфеля погиб и муж Марты Вретшнейдер тоже. Это очень печально: где же конец? Когда кончится эта война?» Жена Ганса Б. из Эрлинга жалуется: «...с продовольствием в городе очень плохо. По карточкам ничего не выдают». Виктору Пачковскому пишут о том же: «...купить нечего. Буквально ничего нет...» Унтер-офицеру Вернеру Крегеру сообщают: «В Дрездене голод. Все ждут, что война скоро кончится. Напиши, что говорят у вас об этом? Когда будет конец всем нашим мученьям?» (14826).</w:t>
      </w:r>
    </w:p>
    <w:p w14:paraId="46A00639" w14:textId="77777777" w:rsidR="006A3215" w:rsidRPr="00640820" w:rsidRDefault="006A3215" w:rsidP="00640820">
      <w:pPr>
        <w:spacing w:after="0" w:line="240" w:lineRule="auto"/>
        <w:jc w:val="both"/>
        <w:rPr>
          <w:rFonts w:ascii="Times New Roman" w:hAnsi="Times New Roman"/>
          <w:color w:val="000000" w:themeColor="text1"/>
          <w:sz w:val="16"/>
          <w:szCs w:val="16"/>
        </w:rPr>
      </w:pPr>
    </w:p>
    <w:p w14:paraId="041B83A4" w14:textId="77777777" w:rsidR="006A3215" w:rsidRPr="00640820" w:rsidRDefault="006A3215"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10 ноября </w:t>
      </w:r>
      <w:r w:rsidRPr="00640820">
        <w:rPr>
          <w:rFonts w:ascii="Times New Roman" w:hAnsi="Times New Roman"/>
          <w:color w:val="000000" w:themeColor="text1"/>
          <w:sz w:val="16"/>
          <w:szCs w:val="16"/>
        </w:rPr>
        <w:t>в 1941 году вечернее сообщение Совинформбюро:</w:t>
      </w:r>
    </w:p>
    <w:p w14:paraId="2E95D045" w14:textId="77777777" w:rsidR="006A3215" w:rsidRPr="00640820" w:rsidRDefault="006A321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10 ноября наши войска вели бои с противником на всех фронтах. Особенно ожесточённые бои происходили на КРЫМСКОМ и ТУЛЬСКОМ участках фронта.</w:t>
      </w:r>
    </w:p>
    <w:p w14:paraId="4463A88E" w14:textId="77777777" w:rsidR="006A3215" w:rsidRPr="00640820" w:rsidRDefault="006A321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9 ноября в воздушных боях сбито 12 немецких самолётов, наши потери — 5 самолётов.</w:t>
      </w:r>
    </w:p>
    <w:p w14:paraId="3E461FFC" w14:textId="77777777" w:rsidR="006A3215" w:rsidRPr="00640820" w:rsidRDefault="006A321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9 ноября наши авиачасти уничтожили и вывели из строя 70 вражеских танков, 23 орудия, 4 зенитные точки, 450 автомашин с пехотой и военными грузами, 17 бронемашин, до 50 мотоциклов, много повозок с боеприпасами, рассеяли и уничтожили до полка пехоты противника и 2 эскадрона конницы.</w:t>
      </w:r>
    </w:p>
    <w:p w14:paraId="2345DC91" w14:textId="77777777" w:rsidR="006A3215" w:rsidRPr="00640820" w:rsidRDefault="006A321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Немецко-фашистские мерзавцы продолжают насилия и зверства во временно оккупированных ими районах. В селе Семёновка, Кировоградской области, немцы приказали крестьянам сдать весь хлеб и скот германской армии. Крестьяне отказались выполнить это приказание. Тогда немцы схватили группу крестьян и жестоко избили, а 5 человек расстреляли на глазах у всех. Дома расстрелянных крестьян фашисты сожгли. В 5 километрах от села Анастасьевка немцы нашли в канаве трупы двух немецких солдат и одного офицера. В этот же день все жители этого села были арестованы, а дома их сожжены. В городе Дно, Ленинградской области, немцы устроили на базарной площади виселицу на 15 петель. Недавно фашистские бандиты повесили 10 рабочих. Ежедневно гитлеровские палачи вешают на площади 8-10 жителей города и его окрестностей.</w:t>
      </w:r>
    </w:p>
    <w:p w14:paraId="4A2B6E3B" w14:textId="77777777" w:rsidR="006A3215" w:rsidRPr="00640820" w:rsidRDefault="006A321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Советский народ ознаменовал XXIV годовщину Великой Октябрьской социалистической революции новыми победами на фронте труда. Таджикская республика к 7 ноября досрочно выполнила государственный план сдачи хлопка. Сдача хлопка государству продолжается.</w:t>
      </w:r>
    </w:p>
    <w:p w14:paraId="7F30B92D" w14:textId="77777777" w:rsidR="006A3215" w:rsidRPr="00640820" w:rsidRDefault="006A321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Коллектив «Грознефтекомбината» завершил годовой план добычи нефти. Рабочие и инженеры «Малгобекнефти» перевыполнили годовой план на 22 процента. Трест «Майкаинзолото» к 7 ноября выполнил двенадцатимесячную программу золотодобычи. С начала этого года коллектив дал стране в полтора раза больше золота, чем за тот же период прошлого года.</w:t>
      </w:r>
    </w:p>
    <w:p w14:paraId="0B3CFB32" w14:textId="77777777" w:rsidR="006A3215" w:rsidRPr="00640820" w:rsidRDefault="006A321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Успешно выполнил свои предоктябрьские обязательства коллектив Джетыгаринского металлургического завода, к 7 ноября завершивший годовой план выпуска продукции. Накануне великого праздника ряд шахт Караганды закончил годовой план добычи угля. Многие рабочие шахты имени Горького за десять месяцев дали полторы-две годовые нормы. В Нижнем Тагиле горняки рудника имени Третьего Интернационала уже выполнили годовой производственный план.» (14826).</w:t>
      </w:r>
    </w:p>
    <w:p w14:paraId="3D7D6CC7" w14:textId="77777777" w:rsidR="006A3215" w:rsidRPr="00640820" w:rsidRDefault="006A3215" w:rsidP="00640820">
      <w:pPr>
        <w:spacing w:after="0" w:line="240" w:lineRule="auto"/>
        <w:jc w:val="both"/>
        <w:rPr>
          <w:rFonts w:ascii="Times New Roman" w:hAnsi="Times New Roman"/>
          <w:color w:val="000000" w:themeColor="text1"/>
          <w:sz w:val="16"/>
          <w:szCs w:val="16"/>
        </w:rPr>
      </w:pPr>
    </w:p>
    <w:p w14:paraId="0FC2F04D" w14:textId="77777777" w:rsidR="006A3215" w:rsidRPr="00640820" w:rsidRDefault="006A3215"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10 ноября </w:t>
      </w:r>
      <w:r w:rsidRPr="00640820">
        <w:rPr>
          <w:rFonts w:ascii="Times New Roman" w:hAnsi="Times New Roman"/>
          <w:color w:val="000000" w:themeColor="text1"/>
          <w:sz w:val="16"/>
          <w:szCs w:val="16"/>
        </w:rPr>
        <w:t>в 1941 году началась Тихвинская наступательная операция войск 54-й армии Ленинградского фронта, 4-й и 52-й отдельной армий (17 декабря объединены в Волховский фронт; генерал армии К.А.Мерецков) при содействии войск Северо-Западного фронта, продолжавшаяся до 30 декабря (14826).</w:t>
      </w:r>
    </w:p>
    <w:p w14:paraId="448983ED" w14:textId="77777777" w:rsidR="006A3215" w:rsidRPr="00640820" w:rsidRDefault="006A3215" w:rsidP="00640820">
      <w:pPr>
        <w:spacing w:after="0" w:line="240" w:lineRule="auto"/>
        <w:jc w:val="both"/>
        <w:rPr>
          <w:rFonts w:ascii="Times New Roman" w:hAnsi="Times New Roman"/>
          <w:color w:val="000000" w:themeColor="text1"/>
          <w:sz w:val="16"/>
          <w:szCs w:val="16"/>
        </w:rPr>
      </w:pPr>
    </w:p>
    <w:p w14:paraId="6A96FF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ноября 1941 Р.И.Капрелян и Г.М.Авалиани летали на ПС-84 с дополнительными баками разбрасывать листовки с речью И.В.С. из Воронежа в Варшаву, а оттуда - в Москву (438,825).</w:t>
      </w:r>
    </w:p>
    <w:p w14:paraId="3DDA7A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19533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ноября 1941 л московской группы ГВФ Р.И.Капрелян и Г.М.М.Авалиани на ПС-84, оборудованном дополнительными баками, совершили беспосадочный полет Воронеж - Варшава - Москва продолжительностью свыше 10 час. для разбрасывания листовок с речью И.В.С. по случаю 24 годовщины Октября (438,825).</w:t>
      </w:r>
    </w:p>
    <w:p w14:paraId="53EC51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BF724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ноября 1941 г. командую</w:t>
      </w:r>
      <w:r w:rsidRPr="00640820">
        <w:rPr>
          <w:rFonts w:ascii="Times New Roman" w:hAnsi="Times New Roman"/>
          <w:color w:val="000000" w:themeColor="text1"/>
          <w:sz w:val="16"/>
          <w:szCs w:val="16"/>
        </w:rPr>
        <w:softHyphen/>
        <w:t>щий ВВС Черноморского флота генерал Н.А. Остряков приказал оборудовать вооружением из двух ШКАС и двух PC-82 сосредоточенные под Севастопо</w:t>
      </w:r>
      <w:r w:rsidRPr="00640820">
        <w:rPr>
          <w:rFonts w:ascii="Times New Roman" w:hAnsi="Times New Roman"/>
          <w:color w:val="000000" w:themeColor="text1"/>
          <w:sz w:val="16"/>
          <w:szCs w:val="16"/>
        </w:rPr>
        <w:softHyphen/>
        <w:t>лем УТ-1, ранее принадлежавшие лет</w:t>
      </w:r>
      <w:r w:rsidRPr="00640820">
        <w:rPr>
          <w:rFonts w:ascii="Times New Roman" w:hAnsi="Times New Roman"/>
          <w:color w:val="000000" w:themeColor="text1"/>
          <w:sz w:val="16"/>
          <w:szCs w:val="16"/>
        </w:rPr>
        <w:softHyphen/>
        <w:t>ным школам, аэроклубам и истреби</w:t>
      </w:r>
      <w:r w:rsidRPr="00640820">
        <w:rPr>
          <w:rFonts w:ascii="Times New Roman" w:hAnsi="Times New Roman"/>
          <w:color w:val="000000" w:themeColor="text1"/>
          <w:sz w:val="16"/>
          <w:szCs w:val="16"/>
        </w:rPr>
        <w:softHyphen/>
        <w:t>тельным авиаполкам. Самолеты требо</w:t>
      </w:r>
      <w:r w:rsidRPr="00640820">
        <w:rPr>
          <w:rFonts w:ascii="Times New Roman" w:hAnsi="Times New Roman"/>
          <w:color w:val="000000" w:themeColor="text1"/>
          <w:sz w:val="16"/>
          <w:szCs w:val="16"/>
        </w:rPr>
        <w:softHyphen/>
        <w:t>вались для обороны севастопольского укрепрайона. Работу поручили мастер</w:t>
      </w:r>
      <w:r w:rsidRPr="00640820">
        <w:rPr>
          <w:rFonts w:ascii="Times New Roman" w:hAnsi="Times New Roman"/>
          <w:color w:val="000000" w:themeColor="text1"/>
          <w:sz w:val="16"/>
          <w:szCs w:val="16"/>
        </w:rPr>
        <w:softHyphen/>
        <w:t>ским Ейского авиационного училища им. Сталина. Проект вооружения УТ-1 разработали техники Н.А. Рожнев и Г.0. Кряченко под руководством старшего инженера мас</w:t>
      </w:r>
      <w:r w:rsidRPr="00640820">
        <w:rPr>
          <w:rFonts w:ascii="Times New Roman" w:hAnsi="Times New Roman"/>
          <w:color w:val="000000" w:themeColor="text1"/>
          <w:sz w:val="16"/>
          <w:szCs w:val="16"/>
        </w:rPr>
        <w:softHyphen/>
        <w:t>терских Н.Ф. Романенко. Рабочие чер</w:t>
      </w:r>
      <w:r w:rsidRPr="00640820">
        <w:rPr>
          <w:rFonts w:ascii="Times New Roman" w:hAnsi="Times New Roman"/>
          <w:color w:val="000000" w:themeColor="text1"/>
          <w:sz w:val="16"/>
          <w:szCs w:val="16"/>
        </w:rPr>
        <w:softHyphen/>
        <w:t>тежи закончили в январе 1942 г.; тогда же приступили к переделке самолетов (3955).</w:t>
      </w:r>
    </w:p>
    <w:p w14:paraId="433C62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E9315FB" w14:textId="77777777" w:rsidR="006A3215" w:rsidRPr="00640820" w:rsidRDefault="006A3215"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ночь на 10 ноября 1941 Сталин по телефону дает Кулику приказ: "Помогите командованию 51-й армии не допустить противника форсировать Керченский пролив, овладеть Таманским полуостровом и выйти на Северный Кавказ со стороны Крыма". Кулику дополнительно давалась одна горная дивизия и приказ выехать в Керчь. Кулик выезжает в Керчь, на Таманском полуострове встречает стрелковые части 51-й армии, которые уже переправились через Керченский пролив и бегут. Останавливает их, разворачивает, назначает участки обороны на Таманском полуострове. Переправляется 12 ноября в Керчь и видит следующее. Немцы вокруг Керчи захватили все высоты, чуть больше взвода немецких автоматчиков захватила крепость, разогнав защищавший ее батальон нашей морской пехоты. Город забит артиллерийскими и техническими частями, тылами и базами. Управление войсками утеряно, стрелковых подразделений, для отбития у немцев высот практически нет, хотя Кулик и организовывает такие попытки. Было очевидно, что как только немцы подтянут артиллерию, то уничтожат с высот наши войска так, что наши войска не смогут нанести немцам никаких ответных потерь (3573).</w:t>
      </w:r>
    </w:p>
    <w:p w14:paraId="6BBF365E" w14:textId="77777777" w:rsidR="006A3215" w:rsidRPr="00640820" w:rsidRDefault="006A3215" w:rsidP="00640820">
      <w:pPr>
        <w:autoSpaceDE w:val="0"/>
        <w:autoSpaceDN w:val="0"/>
        <w:adjustRightInd w:val="0"/>
        <w:spacing w:after="0" w:line="240" w:lineRule="auto"/>
        <w:jc w:val="both"/>
        <w:rPr>
          <w:rFonts w:ascii="Times New Roman" w:hAnsi="Times New Roman"/>
          <w:color w:val="000000" w:themeColor="text1"/>
          <w:sz w:val="16"/>
          <w:szCs w:val="16"/>
        </w:rPr>
      </w:pPr>
    </w:p>
    <w:p w14:paraId="21959B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10 ноября по 30 декабря 1941 была Тихвинская наступательная операция - контрнаступление. 20 ноября взяли М.Вишеры, а 9 декабря - Тихвин и продвинулись на 100-120 км (2443,188).</w:t>
      </w:r>
    </w:p>
    <w:p w14:paraId="037A5D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85D25B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ноября 1941 советские войска начали контрнаступление под Тихвином (у Ленинграда) (4962).</w:t>
      </w:r>
    </w:p>
    <w:p w14:paraId="787C77E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11C3DF" w14:textId="77777777" w:rsidR="006A3215" w:rsidRPr="00640820" w:rsidRDefault="006A3215"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10 ноября </w:t>
      </w:r>
      <w:r w:rsidRPr="00640820">
        <w:rPr>
          <w:rFonts w:ascii="Times New Roman" w:hAnsi="Times New Roman"/>
          <w:color w:val="000000" w:themeColor="text1"/>
          <w:sz w:val="16"/>
          <w:szCs w:val="16"/>
        </w:rPr>
        <w:t>в 1941 году севернее Новгорода перешла в наступление (успеха не имело) Новгородская армейская группа (14826).</w:t>
      </w:r>
    </w:p>
    <w:p w14:paraId="769416C1" w14:textId="77777777" w:rsidR="006A3215" w:rsidRPr="00640820" w:rsidRDefault="006A3215" w:rsidP="00640820">
      <w:pPr>
        <w:spacing w:after="0" w:line="240" w:lineRule="auto"/>
        <w:jc w:val="both"/>
        <w:rPr>
          <w:rFonts w:ascii="Times New Roman" w:hAnsi="Times New Roman"/>
          <w:color w:val="000000" w:themeColor="text1"/>
          <w:sz w:val="16"/>
          <w:szCs w:val="16"/>
        </w:rPr>
      </w:pPr>
    </w:p>
    <w:p w14:paraId="2A39D4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ноября 1941 БФ был расформирован и его войска были переданы ЮЗФ (341,72).</w:t>
      </w:r>
    </w:p>
    <w:p w14:paraId="07A03C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94288D0"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7887605C"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C88B09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ноября 1941 вышло Постановление ГКО № 880 Об эвакуации части трамвайных вагонов и автобусов из г. Москвы. (7015, 44).</w:t>
      </w:r>
    </w:p>
    <w:p w14:paraId="22EB84C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515368"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0AF98E75"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2DAD18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ноября 1941 Черчилль заявил, что в случае нападения Японии на США правительство Англии объявит войну Японии через час (4962).</w:t>
      </w:r>
    </w:p>
    <w:p w14:paraId="3FA51CA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483E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ноября 1941 Черчиль заявил, что Англия поддержит США в случае нападения японцев (2100) и что достигнут паритет в Германией в воздухе (2260).</w:t>
      </w:r>
    </w:p>
    <w:p w14:paraId="3A968C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C90AD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(11 - 2100) ноября 1940 итальянский флот был разгромлен английскими торпедоносцами в Таранто в Италии (1797).</w:t>
      </w:r>
    </w:p>
    <w:p w14:paraId="15591C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6B7F8D5"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2AD1CE75"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DEA38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ноября 1941 вышел приказ НКАП N 1108а сс "Обеспечить в декабре 1941 выпуск: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tblGrid>
      <w:tr w:rsidR="00643896" w:rsidRPr="00640820" w14:paraId="352F445D" w14:textId="77777777" w:rsidTr="000D3BCB">
        <w:tc>
          <w:tcPr>
            <w:tcW w:w="1878" w:type="dxa"/>
            <w:tcBorders>
              <w:top w:val="single" w:sz="12" w:space="0" w:color="auto"/>
            </w:tcBorders>
          </w:tcPr>
          <w:p w14:paraId="2D8619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ДБ-3Ф</w:t>
            </w:r>
          </w:p>
        </w:tc>
        <w:tc>
          <w:tcPr>
            <w:tcW w:w="1878" w:type="dxa"/>
            <w:tcBorders>
              <w:top w:val="single" w:sz="12" w:space="0" w:color="auto"/>
            </w:tcBorders>
          </w:tcPr>
          <w:p w14:paraId="0C8895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2М88 на заводе</w:t>
            </w:r>
          </w:p>
        </w:tc>
        <w:tc>
          <w:tcPr>
            <w:tcW w:w="1878" w:type="dxa"/>
            <w:tcBorders>
              <w:top w:val="single" w:sz="12" w:space="0" w:color="auto"/>
            </w:tcBorders>
          </w:tcPr>
          <w:p w14:paraId="6EE5B5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126</w:t>
            </w:r>
          </w:p>
        </w:tc>
        <w:tc>
          <w:tcPr>
            <w:tcW w:w="1878" w:type="dxa"/>
            <w:tcBorders>
              <w:top w:val="single" w:sz="12" w:space="0" w:color="auto"/>
            </w:tcBorders>
          </w:tcPr>
          <w:p w14:paraId="7D7965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58</w:t>
            </w:r>
          </w:p>
        </w:tc>
      </w:tr>
      <w:tr w:rsidR="00643896" w:rsidRPr="00640820" w14:paraId="1EDDBB5F" w14:textId="77777777" w:rsidTr="000D3BCB">
        <w:tc>
          <w:tcPr>
            <w:tcW w:w="1878" w:type="dxa"/>
          </w:tcPr>
          <w:p w14:paraId="715E69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Ил-2</w:t>
            </w:r>
          </w:p>
        </w:tc>
        <w:tc>
          <w:tcPr>
            <w:tcW w:w="1878" w:type="dxa"/>
          </w:tcPr>
          <w:p w14:paraId="4DF298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АМ-38</w:t>
            </w:r>
          </w:p>
        </w:tc>
        <w:tc>
          <w:tcPr>
            <w:tcW w:w="1878" w:type="dxa"/>
          </w:tcPr>
          <w:p w14:paraId="6EC6F9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1878" w:type="dxa"/>
          </w:tcPr>
          <w:p w14:paraId="625CD8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w:t>
            </w:r>
          </w:p>
        </w:tc>
      </w:tr>
      <w:tr w:rsidR="00643896" w:rsidRPr="00640820" w14:paraId="1144576E" w14:textId="77777777" w:rsidTr="000D3BCB">
        <w:tc>
          <w:tcPr>
            <w:tcW w:w="1878" w:type="dxa"/>
          </w:tcPr>
          <w:p w14:paraId="3B69E5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Ил-2</w:t>
            </w:r>
          </w:p>
        </w:tc>
        <w:tc>
          <w:tcPr>
            <w:tcW w:w="1878" w:type="dxa"/>
          </w:tcPr>
          <w:p w14:paraId="689676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АМ-38</w:t>
            </w:r>
          </w:p>
        </w:tc>
        <w:tc>
          <w:tcPr>
            <w:tcW w:w="1878" w:type="dxa"/>
          </w:tcPr>
          <w:p w14:paraId="6F4667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w:t>
            </w:r>
          </w:p>
        </w:tc>
        <w:tc>
          <w:tcPr>
            <w:tcW w:w="1878" w:type="dxa"/>
          </w:tcPr>
          <w:p w14:paraId="7AEA80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190</w:t>
            </w:r>
          </w:p>
        </w:tc>
      </w:tr>
      <w:tr w:rsidR="00643896" w:rsidRPr="00640820" w14:paraId="338F05D9" w14:textId="77777777" w:rsidTr="000D3BCB">
        <w:tc>
          <w:tcPr>
            <w:tcW w:w="1878" w:type="dxa"/>
            <w:tcBorders>
              <w:bottom w:val="single" w:sz="12" w:space="0" w:color="auto"/>
            </w:tcBorders>
          </w:tcPr>
          <w:p w14:paraId="05DACE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Ил-2</w:t>
            </w:r>
          </w:p>
        </w:tc>
        <w:tc>
          <w:tcPr>
            <w:tcW w:w="1878" w:type="dxa"/>
            <w:tcBorders>
              <w:bottom w:val="single" w:sz="12" w:space="0" w:color="auto"/>
            </w:tcBorders>
          </w:tcPr>
          <w:p w14:paraId="361EF6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АМ-38</w:t>
            </w:r>
          </w:p>
        </w:tc>
        <w:tc>
          <w:tcPr>
            <w:tcW w:w="1878" w:type="dxa"/>
            <w:tcBorders>
              <w:bottom w:val="single" w:sz="12" w:space="0" w:color="auto"/>
            </w:tcBorders>
          </w:tcPr>
          <w:p w14:paraId="5CD609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381</w:t>
            </w:r>
          </w:p>
        </w:tc>
        <w:tc>
          <w:tcPr>
            <w:tcW w:w="1878" w:type="dxa"/>
            <w:tcBorders>
              <w:bottom w:val="single" w:sz="12" w:space="0" w:color="auto"/>
            </w:tcBorders>
          </w:tcPr>
          <w:p w14:paraId="1A39B9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65 (1341,41)</w:t>
            </w:r>
          </w:p>
        </w:tc>
      </w:tr>
    </w:tbl>
    <w:p w14:paraId="10E02A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2BFD49A" w14:textId="77777777" w:rsidR="00D61714" w:rsidRPr="00640820" w:rsidRDefault="00D61714"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11-го ноября 1941 года в приказе НКАП заводу № 39 им. Менжинского были определены конкретные сроки поэтапного восстановления производства и план выпуска Пе-2 (Приказы и распоряжения по НКАП и ПГУ 1941г. Центральный архив ИАЗ. Дело № 1, ч. 2. лист 126):</w:t>
      </w:r>
    </w:p>
    <w:p w14:paraId="144BC4E8" w14:textId="77777777" w:rsidR="00D61714" w:rsidRPr="00640820" w:rsidRDefault="00D61714"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 установка оборудования -15 декабря;</w:t>
      </w:r>
    </w:p>
    <w:p w14:paraId="39CDAB29" w14:textId="77777777" w:rsidR="00D61714" w:rsidRPr="00640820" w:rsidRDefault="00D61714" w:rsidP="00640820">
      <w:pPr>
        <w:pStyle w:val="rteindent11"/>
        <w:shd w:val="clear" w:color="auto" w:fill="FFFFFF"/>
        <w:spacing w:before="0" w:beforeAutospacing="0" w:after="0"/>
        <w:ind w:left="0" w:firstLine="0"/>
        <w:rPr>
          <w:rStyle w:val="af0"/>
          <w:i w:val="0"/>
          <w:color w:val="000000" w:themeColor="text1"/>
          <w:sz w:val="16"/>
          <w:szCs w:val="16"/>
        </w:rPr>
      </w:pPr>
      <w:r w:rsidRPr="00640820">
        <w:rPr>
          <w:rStyle w:val="af0"/>
          <w:i w:val="0"/>
          <w:color w:val="000000" w:themeColor="text1"/>
          <w:sz w:val="16"/>
          <w:szCs w:val="16"/>
        </w:rPr>
        <w:t>- начало выпуска продукции – 1 декабря;</w:t>
      </w:r>
    </w:p>
    <w:p w14:paraId="222C1B30" w14:textId="77777777" w:rsidR="00D61714" w:rsidRPr="00640820" w:rsidRDefault="00D61714"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 план выпуска на декабрь - 72 самолета;</w:t>
      </w:r>
    </w:p>
    <w:p w14:paraId="111BCB5E" w14:textId="77777777" w:rsidR="00D61714" w:rsidRPr="00640820" w:rsidRDefault="00D61714" w:rsidP="00640820">
      <w:pPr>
        <w:pStyle w:val="rteindent11"/>
        <w:shd w:val="clear" w:color="auto" w:fill="FFFFFF"/>
        <w:spacing w:before="0" w:beforeAutospacing="0" w:after="0"/>
        <w:ind w:left="0" w:firstLine="0"/>
        <w:rPr>
          <w:rStyle w:val="af0"/>
          <w:i w:val="0"/>
          <w:color w:val="000000" w:themeColor="text1"/>
          <w:sz w:val="16"/>
          <w:szCs w:val="16"/>
        </w:rPr>
      </w:pPr>
      <w:r w:rsidRPr="00640820">
        <w:rPr>
          <w:rStyle w:val="af0"/>
          <w:i w:val="0"/>
          <w:color w:val="000000" w:themeColor="text1"/>
          <w:sz w:val="16"/>
          <w:szCs w:val="16"/>
        </w:rPr>
        <w:t>- ежесуточный выпуск на III декаду декабря – 4 самолета;</w:t>
      </w:r>
    </w:p>
    <w:p w14:paraId="7255A133" w14:textId="77777777" w:rsidR="00D61714" w:rsidRPr="00640820" w:rsidRDefault="00D61714"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 срок полного восстановления производства – январь 1942 г.</w:t>
      </w:r>
    </w:p>
    <w:p w14:paraId="5A160960" w14:textId="77777777" w:rsidR="00D61714" w:rsidRPr="00640820" w:rsidRDefault="00D61714"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Этим же приказом Нарком обязывает начальников главков и директоров эвакуированных заводов «через каждые пять дней представлять телеграфные отчеты о ходе восстановления заводов. Первый отчет представить немедленно по состоянию на 10 ХI с.г.».</w:t>
      </w:r>
    </w:p>
    <w:p w14:paraId="1A729ECA" w14:textId="77777777" w:rsidR="00D61714" w:rsidRPr="00640820" w:rsidRDefault="00D61714" w:rsidP="00640820">
      <w:pPr>
        <w:shd w:val="clear" w:color="auto" w:fill="FFFFFF"/>
        <w:spacing w:after="0" w:line="240" w:lineRule="auto"/>
        <w:jc w:val="both"/>
        <w:rPr>
          <w:rStyle w:val="af0"/>
          <w:rFonts w:ascii="Times New Roman" w:hAnsi="Times New Roman"/>
          <w:i w:val="0"/>
          <w:color w:val="000000" w:themeColor="text1"/>
          <w:sz w:val="16"/>
          <w:szCs w:val="16"/>
        </w:rPr>
      </w:pPr>
      <w:r w:rsidRPr="00640820">
        <w:rPr>
          <w:rFonts w:ascii="Times New Roman" w:hAnsi="Times New Roman"/>
          <w:color w:val="000000" w:themeColor="text1"/>
          <w:sz w:val="16"/>
          <w:szCs w:val="16"/>
        </w:rPr>
        <w:t xml:space="preserve">Одновременно А.И. Шахурин ставит задачу заводу № 125: </w:t>
      </w:r>
      <w:r w:rsidRPr="00640820">
        <w:rPr>
          <w:rStyle w:val="af0"/>
          <w:rFonts w:ascii="Times New Roman" w:hAnsi="Times New Roman"/>
          <w:i w:val="0"/>
          <w:color w:val="000000" w:themeColor="text1"/>
          <w:sz w:val="16"/>
          <w:szCs w:val="16"/>
        </w:rPr>
        <w:t>выпустить в декабре 100 самолетов Пе-2 с двигателями 2М105Р (15223).</w:t>
      </w:r>
    </w:p>
    <w:p w14:paraId="3A4268F9" w14:textId="77777777" w:rsidR="00D61714" w:rsidRPr="00640820" w:rsidRDefault="00D61714" w:rsidP="00640820">
      <w:pPr>
        <w:shd w:val="clear" w:color="auto" w:fill="FFFFFF"/>
        <w:spacing w:after="0" w:line="240" w:lineRule="auto"/>
        <w:jc w:val="both"/>
        <w:rPr>
          <w:rStyle w:val="af0"/>
          <w:rFonts w:ascii="Times New Roman" w:hAnsi="Times New Roman"/>
          <w:i w:val="0"/>
          <w:color w:val="000000" w:themeColor="text1"/>
          <w:sz w:val="16"/>
          <w:szCs w:val="16"/>
        </w:rPr>
      </w:pPr>
    </w:p>
    <w:p w14:paraId="20C1FE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ноября 1941 г. после очередного рассмотрения вопроса о снабжении действующей армии Шахурин подписал приказ № 1108а, требовавший от авиапредприятий наркомата до конца года перейти на ежесуточный выпуск 73 самолетов и 109 моторов. Согласно этому документу, в Куйбышеве на всех заводах должны были изготавливать в день 6 МиГ-3, 14 Ил-2, 6 АМ-35А, 16 АМ-38 и 1 АМ-37. Плановое задание по производству МиГ-3 на декабрь 1941 г. предусматривало выпуск 174 машин.</w:t>
      </w:r>
    </w:p>
    <w:p w14:paraId="4D3F4A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Вскоре стали поступать сообщения, свидетельствующие о том, что люди столкнулись с трудностями, которые превзошли все ожидания. Отгрузка на фронт авиационной техники почти полностью прекратилась. Особенно мало выпускалось штурмовиков Ил-2, считавшихся весьма эффективным средством борьбы против мотомеханизированных соединений неприятеля, его легких и средних танков. Между тем, у командования ВВС КА не было возможности ни пополнить полки Илов, ни сформировать новые части: в ноябре авиапромышленность сумела сдать только три "ильюшина".</w:t>
      </w:r>
    </w:p>
    <w:p w14:paraId="102741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этой ситуации было принято решение сократить номенклатуру выпускаемых самолетов и моторов. "Пострадавшими" оказались самолеты МиГ-3 и Су-2, которыми пришлось пожертвовать. 26 ноября 1941 г. в Куйбышев директору объединенного завода № 1 пришла правительственная телеграмма:</w:t>
      </w:r>
    </w:p>
    <w:p w14:paraId="4CFFD7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целях обеспечения быстрейшего освоения и максимального выпуска самолетов Ил-2 на заводе № 1 приказываю:</w:t>
      </w:r>
    </w:p>
    <w:p w14:paraId="0DEC9F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Директору завода № 1 Третьякову немедленно прекратить выполнение задания по самолету МиГ-3 по всем цехам, выпустив самолеты МиГ-3, только имеющиеся в сборочном цехе.</w:t>
      </w:r>
    </w:p>
    <w:p w14:paraId="499E60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Директору завода № 1 Третьякову принять все меры к быстрейшему максимальному выпуску самолетов Ил-2. Станочный парк всех цехов немедленно направить на изготовление деталей самолета Ил-2.</w:t>
      </w:r>
    </w:p>
    <w:p w14:paraId="5BEC0A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 мерах исполнения доложить немедленно. Шахурин".</w:t>
      </w:r>
    </w:p>
    <w:p w14:paraId="094B3B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документе стояла резолюция: "Утверждаю. Сталин".</w:t>
      </w:r>
    </w:p>
    <w:p w14:paraId="26361A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Строительная площадка куйбышевского самолетостроительного завода размешалась на так называемой Безымянке. Места для проживания большинства эвакуированных рабочих были сосредоточены в 13 км от завода. Помимо трамваев для доставки людей использовали заводские автобусы, но в пургу и метель транспорт замирал, приходилось идти пешком. По воспоминаниям одного из ветеранов ОКБ С. Лю- шина, эвакуированные жили с постоянным чувством беспокойства из-за соседства с большим количеством заключенных, которые работали на строительстве завода: стоило только отвернуться, как чья-то вещь буквально исчезала в воздухе. Наладить ритмичную работу в таких условиях было непросто.</w:t>
      </w:r>
    </w:p>
    <w:p w14:paraId="049AF6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Никакие приказы, даже самые строгие, не могли мгновенно исправить положение с выпуском самолетов. В середине декабря почти все стены заводских корпусов были обнесены строительными лесами, строительная техника местами скрылась под сугробами. Люди продолжали вручную перемещать станки с железнодорожных платформ в еще недостроенные цеха завода № 1. Ни один из них до конца года так и не получил крыши. Редактор газеты "Все для фронта" А.С. Магид тогда писал:</w:t>
      </w:r>
    </w:p>
    <w:p w14:paraId="47FEBE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декабря. В цехах у Третьякова вырыли ямы, в них наложили дров, полили мазутом и зажгли, рабочие по очереди подходят к кострам, греются. Из цехов никуда не уходят. Здесь же и живут. Столовых еще нет. Где-то есть раздаточная, выдают что-то похожее на суп..." (12041).</w:t>
      </w:r>
    </w:p>
    <w:p w14:paraId="12F16C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2DADD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ноября 1941 года начальник 10 гл. управления Тарасевич писал письмо в N 2903 сопровождение Приложения к проекту постановления СНК об экономии алюминия и внедрения его заменителей в авиационной промышленности.</w:t>
      </w:r>
    </w:p>
    <w:p w14:paraId="316DBA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Замечания 10 гл. управления НКАП к проекту постановления об экономии алюминия и внедрения его заменителей в авиационной промышленности.</w:t>
      </w:r>
    </w:p>
    <w:p w14:paraId="59A21F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связи с эвакуацией ведущих заводов и перебазировки серийного производства агрегатов из заменителей - намеченные сроки перехода на заменители должны быть изменены.</w:t>
      </w:r>
    </w:p>
    <w:p w14:paraId="3BAEDE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Хвостовая часть фюзеляжа самолета Пе-2</w:t>
      </w:r>
    </w:p>
    <w:p w14:paraId="3E8959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организуется в Казани).</w:t>
      </w:r>
    </w:p>
    <w:p w14:paraId="36313B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статиспытания деревянного хвоста закончить к 15.XI.41 г.</w:t>
      </w:r>
    </w:p>
    <w:p w14:paraId="19CC00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изготовить головную серию в 5 машин - к 15.XII.41 г.</w:t>
      </w:r>
    </w:p>
    <w:p w14:paraId="424B13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серийное производство на заводах NN 124 и 22 - с 1 января 42 г.</w:t>
      </w:r>
    </w:p>
    <w:p w14:paraId="55466B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Стабилизатор деревянный самолета Пе-2</w:t>
      </w:r>
    </w:p>
    <w:p w14:paraId="09986D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организуется в Казани).</w:t>
      </w:r>
    </w:p>
    <w:p w14:paraId="37BE84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статиспытания закончить к 10.XI.41 г.</w:t>
      </w:r>
    </w:p>
    <w:p w14:paraId="22DEB3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изготовить головную серию в 5 машин к 1.XII.41 г.</w:t>
      </w:r>
    </w:p>
    <w:p w14:paraId="548DE9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серийное производство на заводах 124 и 22 - с 15.XII.41 г.</w:t>
      </w:r>
    </w:p>
    <w:p w14:paraId="633CCC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3. Деревянные консоли крыла самолета Ил-2.</w:t>
      </w:r>
    </w:p>
    <w:p w14:paraId="2E7673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на заводе N 381 - серийное производство с 1.XII.41 г.</w:t>
      </w:r>
    </w:p>
    <w:p w14:paraId="114634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на заводе N 18 - (на новом месте) - с 1 января 1941 г.</w:t>
      </w:r>
    </w:p>
    <w:p w14:paraId="4D6948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Бензобаки фибровые</w:t>
      </w:r>
    </w:p>
    <w:p w14:paraId="5B161A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для самолета Пе-2 - 4 крыльевых бака по программам заводов NN 22, 39 и 124 - переход с 15.XI.41 г. Параллельно с производством фибровых баков на заводе N 156 организуется производство в Казани.</w:t>
      </w:r>
    </w:p>
    <w:p w14:paraId="79F8BC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для самолета Ил-2 - 3 бака. Серийное производство на заводе N 381 - с 1.XII.41 г. и на заводе N 18 (на новом месте) - с 15.XII.41 г. Завод N 156 для отладки технологии производства баков для этой машины изготовит 50 комплектов.</w:t>
      </w:r>
    </w:p>
    <w:p w14:paraId="566337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для самолета Пе-2 - меньший центропланный бак в серийное производство на заводах NN 22, 124, 39 с 15.XII.41 г. (1520).</w:t>
      </w:r>
    </w:p>
    <w:p w14:paraId="37566A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953858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11 ноября 1941 Гудков написал письмо Сталину, в котором утверждал: </w:t>
      </w:r>
      <w:r w:rsidRPr="00640820">
        <w:rPr>
          <w:rFonts w:ascii="Times New Roman" w:hAnsi="Times New Roman"/>
          <w:iCs/>
          <w:color w:val="000000" w:themeColor="text1"/>
          <w:sz w:val="16"/>
          <w:szCs w:val="16"/>
        </w:rPr>
        <w:t>«... без смены технологии в кратчайшие сроки ВВС могут получить качественно новый истре</w:t>
      </w:r>
      <w:r w:rsidRPr="00640820">
        <w:rPr>
          <w:rFonts w:ascii="Times New Roman" w:hAnsi="Times New Roman"/>
          <w:iCs/>
          <w:color w:val="000000" w:themeColor="text1"/>
          <w:sz w:val="16"/>
          <w:szCs w:val="16"/>
        </w:rPr>
        <w:softHyphen/>
        <w:t>битель, превосходящий не только ЛаГГ-3, но и Ме- 109Ф!». З</w:t>
      </w:r>
      <w:r w:rsidRPr="00640820">
        <w:rPr>
          <w:rFonts w:ascii="Times New Roman" w:hAnsi="Times New Roman"/>
          <w:color w:val="000000" w:themeColor="text1"/>
          <w:sz w:val="16"/>
          <w:szCs w:val="16"/>
        </w:rPr>
        <w:t>авод № 301 эвакуировали в Новосибирск. На предприятии было решено развернуть выпуск Як-7, и любые работы, кроме этой, ста</w:t>
      </w:r>
      <w:r w:rsidRPr="00640820">
        <w:rPr>
          <w:rFonts w:ascii="Times New Roman" w:hAnsi="Times New Roman"/>
          <w:color w:val="000000" w:themeColor="text1"/>
          <w:sz w:val="16"/>
          <w:szCs w:val="16"/>
        </w:rPr>
        <w:softHyphen/>
        <w:t xml:space="preserve">ли отсекать. С трудом Гудкову удавалось продолжить доводку Гу-82 и своего </w:t>
      </w:r>
      <w:r w:rsidRPr="00640820">
        <w:rPr>
          <w:rFonts w:ascii="Times New Roman" w:hAnsi="Times New Roman"/>
          <w:iCs/>
          <w:color w:val="000000" w:themeColor="text1"/>
          <w:sz w:val="16"/>
          <w:szCs w:val="16"/>
        </w:rPr>
        <w:t xml:space="preserve">«истребителя типа Аэрокобра с мотором АМ-37». </w:t>
      </w:r>
      <w:r w:rsidRPr="00640820">
        <w:rPr>
          <w:rFonts w:ascii="Times New Roman" w:hAnsi="Times New Roman"/>
          <w:color w:val="000000" w:themeColor="text1"/>
          <w:sz w:val="16"/>
          <w:szCs w:val="16"/>
        </w:rPr>
        <w:t>Шахурин пытался ему помочь и направил 27 января 1942 г. Сталину справку, подтверждавшую высокие данные ЛаГГ-3 М-82 (Гу-82) и надеж</w:t>
      </w:r>
      <w:r w:rsidRPr="00640820">
        <w:rPr>
          <w:rFonts w:ascii="Times New Roman" w:hAnsi="Times New Roman"/>
          <w:color w:val="000000" w:themeColor="text1"/>
          <w:sz w:val="16"/>
          <w:szCs w:val="16"/>
        </w:rPr>
        <w:softHyphen/>
        <w:t>ность его мотора. К ней прилагался проект постановления ГКО о постройке малой серии для войсковых испытаний. На это и на воз</w:t>
      </w:r>
      <w:r w:rsidRPr="00640820">
        <w:rPr>
          <w:rFonts w:ascii="Times New Roman" w:hAnsi="Times New Roman"/>
          <w:color w:val="000000" w:themeColor="text1"/>
          <w:sz w:val="16"/>
          <w:szCs w:val="16"/>
        </w:rPr>
        <w:softHyphen/>
        <w:t>вращение ОКБ Гудкова в Москву Шахурин испрашивал 9 млн. руб. Самолет еще не поступил на Госиспытания в НИИ ВВС, но воен</w:t>
      </w:r>
      <w:r w:rsidRPr="00640820">
        <w:rPr>
          <w:rFonts w:ascii="Times New Roman" w:hAnsi="Times New Roman"/>
          <w:color w:val="000000" w:themeColor="text1"/>
          <w:sz w:val="16"/>
          <w:szCs w:val="16"/>
        </w:rPr>
        <w:softHyphen/>
        <w:t>ные им очень интересовались. К февралю 1942 г. удалось постро</w:t>
      </w:r>
      <w:r w:rsidRPr="00640820">
        <w:rPr>
          <w:rFonts w:ascii="Times New Roman" w:hAnsi="Times New Roman"/>
          <w:color w:val="000000" w:themeColor="text1"/>
          <w:sz w:val="16"/>
          <w:szCs w:val="16"/>
        </w:rPr>
        <w:softHyphen/>
        <w:t>ить планер «дублера», но для него не было ни мотора, ни вооружения. Наркомавиапром приказом № 145с от 21.02.42 г. обязал ОКБ-301 в кратчайшие сроки закончить работы по двум экземпля</w:t>
      </w:r>
      <w:r w:rsidRPr="00640820">
        <w:rPr>
          <w:rFonts w:ascii="Times New Roman" w:hAnsi="Times New Roman"/>
          <w:color w:val="000000" w:themeColor="text1"/>
          <w:sz w:val="16"/>
          <w:szCs w:val="16"/>
        </w:rPr>
        <w:softHyphen/>
        <w:t>рам Гу-82 и передать их на ГСИ. Это давало возможность быстро получить недостающее, но успеху Гудкова помешали возникшие конкуренты, которыми стали бывшие коллеги (11123).</w:t>
      </w:r>
    </w:p>
    <w:p w14:paraId="6435DA5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0711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ноября 1941 года конструктор М. Гудков писал письмо N0181с Сталину.</w:t>
      </w:r>
    </w:p>
    <w:p w14:paraId="073A34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Дорогой Иосиф Виссарионович!</w:t>
      </w:r>
    </w:p>
    <w:p w14:paraId="5F0C6F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настоящее время мною спроектирован и построен истребитель с воздушным мотором М-82. Самолет построен на конструктивной базе самолета ЛАГГ с сохранением всех агрегатов серийного самолета, кроме винтомоторной группы.</w:t>
      </w:r>
    </w:p>
    <w:p w14:paraId="7B1CFC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настоящее время самолет проходит испытание в ЛИИ НКАП. По предварительно снятым летным характеристикам самолет ГУ-82... имеет следующие данные:</w:t>
      </w:r>
    </w:p>
    <w:p w14:paraId="2214D7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Максимальная горизонтальная скорость на 6400 метров - 580 км/час, скороподъемность на 5000 метров - 7-7.5 мин.</w:t>
      </w:r>
    </w:p>
    <w:p w14:paraId="14A0E9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Серийные самолеты ЛАГГ имеют максимальную скорость 554 км/час, скороподъемность на 5000 метров - 8,5-9 мин.</w:t>
      </w:r>
    </w:p>
    <w:p w14:paraId="7C38D4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Таким образом взятая мною серийная машина с завода после установки мотора М-82 - имеет преимущество по скорости 25 км/час и по скороподъемности на 5000 метров на 1-1,5 мин. При этом машина имеет в наличии все те грубые погрешности и дефекты серийного производства Горьковского завода, из-за которых серийный ЛАГГ против опытной машины потерял 45-55 км/час. Следовательно, если исправить и устранить дефекты серийной машины, будем иметь максимальную скорость с мотором М-82 615-... км/час.</w:t>
      </w:r>
    </w:p>
    <w:p w14:paraId="2B3167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настоящее время мною проводятся целый ряд работ которые дают мне основания предполагать, что мне удастся увеличить скорость моей машины с мотором М-82 до 600 км/час, это без учета устранения дефектов серийного производства.</w:t>
      </w:r>
    </w:p>
    <w:p w14:paraId="215290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Иосиф Виссарионович! После моего пребывания на фронте я совершенно отчетливо себе представляю, что нам необходимо иметь на вооружении самолет с мотором воздушного охлаждения, так как использование истребителей с моторами жидкостного охлаждения как в воздушных боях и в особенности при штурмовке наземных частей противника приносит большой % потерь в летном составе и материальной части из-за большой уязвимости водяной системы мотора и радиатора так например: достаточно попадания одной пули в блок мотора или радиатор чтобы вывести машину из строя. Имея же истребитель с мотором воздушного охлаждения мы таких потерь иметь не будем, так живучесть мотора воздушного охлаждения в 9 раз (по данным НИИ ВВС) больше мотора жидкостного охлаждения. Причем это не только мне выражали свои мнения о необходимости иметь на вооружении самолет с воздушным мотором.</w:t>
      </w:r>
    </w:p>
    <w:p w14:paraId="778672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Исходя из этих соображений, прошу Вас в целях выигрыша во времени не дожидаясь окончания испытания машины, разрешить мне внедрить мой самолет с мотором М-82 на одном из серийных заводов выпускающие самолеты ЛАГГ, причем затруднений в перестройке производства на эти самолеты мы не встретим, так как все основные агрегаты серийного самолета ЛАГГ остаются без конструктивных изменений, следовательно серийную оснастку менять не придется (2160,28).</w:t>
      </w:r>
    </w:p>
    <w:p w14:paraId="7BD537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DCF5424" w14:textId="77777777" w:rsidR="004673CC" w:rsidRPr="00640820" w:rsidRDefault="004673CC"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11 ноября 1941 комиссар ГУ ВВС КА бри</w:t>
      </w:r>
      <w:r w:rsidRPr="00640820">
        <w:rPr>
          <w:color w:val="000000" w:themeColor="text1"/>
          <w:sz w:val="16"/>
          <w:szCs w:val="16"/>
        </w:rPr>
        <w:softHyphen/>
        <w:t>гадный комиссар С. А. Руденко разговаривал по вопросу о необходимости выпуска ЛаГГ-3 с пушкой ВЯ и двумя пулеметами БС с наркомом ави</w:t>
      </w:r>
      <w:r w:rsidRPr="00640820">
        <w:rPr>
          <w:color w:val="000000" w:themeColor="text1"/>
          <w:sz w:val="16"/>
          <w:szCs w:val="16"/>
        </w:rPr>
        <w:softHyphen/>
        <w:t>апромышленности А. И. Шахуриным и тот дал по телефону указание П. В. Дементьеву «доложить по этому вопросу тов. Сталину». Одновременно с этим же вопросом к Сталину должен был обратиться командующий ВВС КА генерал-полковник П. Ф. Жи- гарев.</w:t>
      </w:r>
    </w:p>
    <w:p w14:paraId="55DBC936" w14:textId="77777777" w:rsidR="004673CC" w:rsidRPr="00640820" w:rsidRDefault="004673CC"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После того как к обсуждению этой инициати</w:t>
      </w:r>
      <w:r w:rsidRPr="00640820">
        <w:rPr>
          <w:color w:val="000000" w:themeColor="text1"/>
          <w:sz w:val="16"/>
          <w:szCs w:val="16"/>
        </w:rPr>
        <w:softHyphen/>
        <w:t>вы «подключился» главный конструктор ОКБ-15 Б. Г. Шпитальный, в Государственном Комитете Обо</w:t>
      </w:r>
      <w:r w:rsidRPr="00640820">
        <w:rPr>
          <w:color w:val="000000" w:themeColor="text1"/>
          <w:sz w:val="16"/>
          <w:szCs w:val="16"/>
        </w:rPr>
        <w:softHyphen/>
        <w:t>роны возобладало мнение, что для борьбы с танка</w:t>
      </w:r>
      <w:r w:rsidRPr="00640820">
        <w:rPr>
          <w:color w:val="000000" w:themeColor="text1"/>
          <w:sz w:val="16"/>
          <w:szCs w:val="16"/>
        </w:rPr>
        <w:softHyphen/>
        <w:t>ми и бомбардировщиками все же лучше использо</w:t>
      </w:r>
      <w:r w:rsidRPr="00640820">
        <w:rPr>
          <w:color w:val="000000" w:themeColor="text1"/>
          <w:sz w:val="16"/>
          <w:szCs w:val="16"/>
        </w:rPr>
        <w:softHyphen/>
        <w:t>вать ЛаГГ-3 с пушкой Ш-37 калибра 37 мм. Письмо Ильюшина о постройке противо</w:t>
      </w:r>
      <w:r w:rsidRPr="00640820">
        <w:rPr>
          <w:color w:val="000000" w:themeColor="text1"/>
          <w:sz w:val="16"/>
          <w:szCs w:val="16"/>
        </w:rPr>
        <w:softHyphen/>
        <w:t>танковых штурмовиков Ил-2 с пуш</w:t>
      </w:r>
      <w:r w:rsidRPr="00640820">
        <w:rPr>
          <w:color w:val="000000" w:themeColor="text1"/>
          <w:sz w:val="16"/>
          <w:szCs w:val="16"/>
        </w:rPr>
        <w:softHyphen/>
        <w:t>ками Ш-37 пришлось как нельзя кстати. Выпуск ЛаГГ-3 с пушкой ВЯ отложили до лучших времен.</w:t>
      </w:r>
    </w:p>
    <w:p w14:paraId="6BC2F82D" w14:textId="77777777" w:rsidR="004673CC" w:rsidRPr="00640820" w:rsidRDefault="004673CC"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Однако ВВС при активной под</w:t>
      </w:r>
      <w:r w:rsidRPr="00640820">
        <w:rPr>
          <w:color w:val="000000" w:themeColor="text1"/>
          <w:sz w:val="16"/>
          <w:szCs w:val="16"/>
        </w:rPr>
        <w:softHyphen/>
        <w:t>держке наркомата вооружения уда</w:t>
      </w:r>
      <w:r w:rsidRPr="00640820">
        <w:rPr>
          <w:color w:val="000000" w:themeColor="text1"/>
          <w:sz w:val="16"/>
          <w:szCs w:val="16"/>
        </w:rPr>
        <w:softHyphen/>
        <w:t>лось убедить руководство страны повременить с постановкой на во</w:t>
      </w:r>
      <w:r w:rsidRPr="00640820">
        <w:rPr>
          <w:color w:val="000000" w:themeColor="text1"/>
          <w:sz w:val="16"/>
          <w:szCs w:val="16"/>
        </w:rPr>
        <w:softHyphen/>
        <w:t>оружение пушки Ш-37 и провести дополнительные войсковые испы</w:t>
      </w:r>
      <w:r w:rsidRPr="00640820">
        <w:rPr>
          <w:color w:val="000000" w:themeColor="text1"/>
          <w:sz w:val="16"/>
          <w:szCs w:val="16"/>
        </w:rPr>
        <w:softHyphen/>
        <w:t>тания ЛаГГ-3 с пушкой Ш-37, а также проверить в бою штурмовики Ил-2 с двумя такими пушками. При этом до получения результатов войско</w:t>
      </w:r>
      <w:r w:rsidRPr="00640820">
        <w:rPr>
          <w:color w:val="000000" w:themeColor="text1"/>
          <w:sz w:val="16"/>
          <w:szCs w:val="16"/>
        </w:rPr>
        <w:softHyphen/>
        <w:t>вых испытаний и обобщения бое</w:t>
      </w:r>
      <w:r w:rsidRPr="00640820">
        <w:rPr>
          <w:color w:val="000000" w:themeColor="text1"/>
          <w:sz w:val="16"/>
          <w:szCs w:val="16"/>
        </w:rPr>
        <w:softHyphen/>
        <w:t>вого опыта пушку Ш-37 следовало изготавливать небольшой опытной серией.</w:t>
      </w:r>
    </w:p>
    <w:p w14:paraId="31B7D534" w14:textId="77777777" w:rsidR="004673CC" w:rsidRPr="00640820" w:rsidRDefault="004673CC"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Основанием для такого шага, помимо особо</w:t>
      </w:r>
      <w:r w:rsidRPr="00640820">
        <w:rPr>
          <w:color w:val="000000" w:themeColor="text1"/>
          <w:sz w:val="16"/>
          <w:szCs w:val="16"/>
        </w:rPr>
        <w:softHyphen/>
        <w:t>го мнения командования ВВС КА, обусловленного итогами испытаний ЛаГГ-3 с Ш-37 в 33-й иап и роли в них Шпитального, послужило следующее обстоя</w:t>
      </w:r>
      <w:r w:rsidRPr="00640820">
        <w:rPr>
          <w:color w:val="000000" w:themeColor="text1"/>
          <w:sz w:val="16"/>
          <w:szCs w:val="16"/>
        </w:rPr>
        <w:softHyphen/>
        <w:t>тельство.</w:t>
      </w:r>
    </w:p>
    <w:p w14:paraId="747AF34B" w14:textId="77777777" w:rsidR="004673CC" w:rsidRPr="00640820" w:rsidRDefault="004673CC"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Дело в том, что при освоении производства пушки Ш-37 на заводе № 74 НКВ в Ижевске вы</w:t>
      </w:r>
      <w:r w:rsidRPr="00640820">
        <w:rPr>
          <w:color w:val="000000" w:themeColor="text1"/>
          <w:sz w:val="16"/>
          <w:szCs w:val="16"/>
        </w:rPr>
        <w:softHyphen/>
        <w:t>явились серьезнейшие недостатки ее конструкции. Пушка оказалась нетехнологичной и очень матери- алоемкой для крупносерийного производства. Тре</w:t>
      </w:r>
      <w:r w:rsidRPr="00640820">
        <w:rPr>
          <w:color w:val="000000" w:themeColor="text1"/>
          <w:sz w:val="16"/>
          <w:szCs w:val="16"/>
        </w:rPr>
        <w:softHyphen/>
        <w:t>бовалось необычайно большое количество оснаст</w:t>
      </w:r>
      <w:r w:rsidRPr="00640820">
        <w:rPr>
          <w:color w:val="000000" w:themeColor="text1"/>
          <w:sz w:val="16"/>
          <w:szCs w:val="16"/>
        </w:rPr>
        <w:softHyphen/>
        <w:t>ки. Так, только один кожух пушки (наиболее круп</w:t>
      </w:r>
      <w:r w:rsidRPr="00640820">
        <w:rPr>
          <w:color w:val="000000" w:themeColor="text1"/>
          <w:sz w:val="16"/>
          <w:szCs w:val="16"/>
        </w:rPr>
        <w:softHyphen/>
        <w:t>ная деталь) весил 70 кг, а его обработка требовала выполнения около 200 операций. К тому же запор затвора (заперетка) был не только сложным и тру</w:t>
      </w:r>
      <w:r w:rsidRPr="00640820">
        <w:rPr>
          <w:color w:val="000000" w:themeColor="text1"/>
          <w:sz w:val="16"/>
          <w:szCs w:val="16"/>
        </w:rPr>
        <w:softHyphen/>
        <w:t>доемким в изготовлении, но и весьма небезопас</w:t>
      </w:r>
      <w:r w:rsidRPr="00640820">
        <w:rPr>
          <w:color w:val="000000" w:themeColor="text1"/>
          <w:sz w:val="16"/>
          <w:szCs w:val="16"/>
        </w:rPr>
        <w:softHyphen/>
        <w:t>ным при эксплуатации. Изменения, которые могли бы несколько упростить изготовление, Б. Г. Шпи- тальный и его представители на заводе принимали неохотно, с мнением заводских технологов и кон</w:t>
      </w:r>
      <w:r w:rsidRPr="00640820">
        <w:rPr>
          <w:color w:val="000000" w:themeColor="text1"/>
          <w:sz w:val="16"/>
          <w:szCs w:val="16"/>
        </w:rPr>
        <w:softHyphen/>
        <w:t>структоров считались мало. Все это создавало не</w:t>
      </w:r>
      <w:r w:rsidRPr="00640820">
        <w:rPr>
          <w:color w:val="000000" w:themeColor="text1"/>
          <w:sz w:val="16"/>
          <w:szCs w:val="16"/>
        </w:rPr>
        <w:softHyphen/>
        <w:t>рвозную и нездоровую обстановку.</w:t>
      </w:r>
    </w:p>
    <w:p w14:paraId="2BD4886C" w14:textId="77777777" w:rsidR="004673CC" w:rsidRPr="00640820" w:rsidRDefault="004673CC"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После всестороннего изучения этого вопро</w:t>
      </w:r>
      <w:r w:rsidRPr="00640820">
        <w:rPr>
          <w:color w:val="000000" w:themeColor="text1"/>
          <w:sz w:val="16"/>
          <w:szCs w:val="16"/>
        </w:rPr>
        <w:softHyphen/>
        <w:t>са нарком вооружения Д. Ф. Устинов и егозаме</w:t>
      </w:r>
      <w:r w:rsidRPr="00640820">
        <w:rPr>
          <w:color w:val="000000" w:themeColor="text1"/>
          <w:sz w:val="16"/>
          <w:szCs w:val="16"/>
        </w:rPr>
        <w:softHyphen/>
        <w:t>ститель В. Н. Новиков пришли к выводу, что пушку Б. Г. Шпитального необходимо снимать с произ</w:t>
      </w:r>
      <w:r w:rsidRPr="00640820">
        <w:rPr>
          <w:color w:val="000000" w:themeColor="text1"/>
          <w:sz w:val="16"/>
          <w:szCs w:val="16"/>
        </w:rPr>
        <w:softHyphen/>
        <w:t>водства, но только после отработки более техно</w:t>
      </w:r>
      <w:r w:rsidRPr="00640820">
        <w:rPr>
          <w:color w:val="000000" w:themeColor="text1"/>
          <w:sz w:val="16"/>
          <w:szCs w:val="16"/>
        </w:rPr>
        <w:softHyphen/>
        <w:t>логичного образца, каковым являлся 37-мм авто</w:t>
      </w:r>
      <w:r w:rsidRPr="00640820">
        <w:rPr>
          <w:color w:val="000000" w:themeColor="text1"/>
          <w:sz w:val="16"/>
          <w:szCs w:val="16"/>
        </w:rPr>
        <w:softHyphen/>
        <w:t>мат ОКБ-16. В этой связи следует оказать дополни тельную помощь и поддержку коллективу ОКБ-16, а выпуск пушки Ш-37 продолжить в ограниченном количестве. Интересы ВВС и НКВ по этому вопросу сошлись (17500).</w:t>
      </w:r>
    </w:p>
    <w:p w14:paraId="13825A99" w14:textId="77777777" w:rsidR="004673CC" w:rsidRPr="00640820" w:rsidRDefault="004673CC" w:rsidP="00640820">
      <w:pPr>
        <w:spacing w:after="0" w:line="240" w:lineRule="auto"/>
        <w:jc w:val="both"/>
        <w:rPr>
          <w:rFonts w:ascii="Times New Roman" w:eastAsia="Times New Roman" w:hAnsi="Times New Roman"/>
          <w:color w:val="000000" w:themeColor="text1"/>
          <w:sz w:val="16"/>
          <w:szCs w:val="16"/>
          <w:lang w:eastAsia="ru-RU"/>
        </w:rPr>
      </w:pPr>
    </w:p>
    <w:p w14:paraId="0ADA5E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ноября 1941 г. по приказу № 1110сс завод № 30 был направлен  г. Омск на площадку складов УГМР, переданных заводу № 29 НКАП (планировалась эвакуация в  г. Чкаловск Горьковской обл. на Судоремонтный завод им. Ульянова- Ленина НКречфлота). Часть оборудования и личного состава в конце 1941 г. переданы заводу № 25 НКАП. В 11.1941 г. эшелоны направлены в Москву. В результате коллектив и мощности завода постоянно были на колесах, и завод так и не вступил в строй. По приказу № 1170сс от 18.12.1941 г. мощности и личный состав завода переданы для формирования нового завода № 23 НКАП и № 30 НКАП, По приказу № 277с от 14.04.1942 г. часть несмонтированного оборудования завода № 30 передана филиалу завода № 145 в Болшево.</w:t>
      </w:r>
    </w:p>
    <w:p w14:paraId="766344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старой площадке в Иваньково по приказу НКАП № 372с от 11.05.1942 г. образован новый опытный завод морского самолетостроения № 458 в системе 7ГУ НКАП.</w:t>
      </w:r>
    </w:p>
    <w:p w14:paraId="594B4C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(1938 г.)- А.П. Свердлов, (1939-08.1940 г.)- И. Г. Загайнов, (08.1940-10.1941 г.)- Я.К. Руденко, (10.1941 г.-)- И.Н. Смирнов.</w:t>
      </w:r>
    </w:p>
    <w:p w14:paraId="38B4E1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строительства (8.10.1937-46 г.)- Е.Т. Ястребилов.</w:t>
      </w:r>
    </w:p>
    <w:p w14:paraId="0E3C2F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(1939-40 г.)- А.П. Голубков, (01-10.1941 г.)- И.В. Четвериков.</w:t>
      </w:r>
    </w:p>
    <w:p w14:paraId="35FD54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технолог (1939-42 г.)- Б.Д. Иванов. Начальник производства (-12.1940 г.)- С.П. Литвиненко (затем- директор завода № 465).</w:t>
      </w:r>
    </w:p>
    <w:p w14:paraId="52A9AC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гидросамолеты: МТБ-2 (1939)- 1, Че-2, МДР-5, Бе-4, МДР-7 (11982).</w:t>
      </w:r>
    </w:p>
    <w:p w14:paraId="52399E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77034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ноября 1941 вышел приказ НКАП N 1111а сс "В целях обеспечения эксплуатации самолетов в зимних условиях на период войны, согласно постановлению ГКО от 2 сентября 1941 N 620сс:</w:t>
      </w:r>
    </w:p>
    <w:p w14:paraId="769466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Начальнику ремонтного отдела Ленкину В.И. организовать производство металлических деталей к авиалыжам (кабаны, амортизатор) на заводах:</w:t>
      </w:r>
    </w:p>
    <w:p w14:paraId="363818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156 - Ил-2 (1341,94).</w:t>
      </w:r>
    </w:p>
    <w:p w14:paraId="2120B8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F500B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ноября 1941 вышло постановление Совета по эвакуации № СЭ-186сс:</w:t>
      </w:r>
    </w:p>
    <w:p w14:paraId="3CCCBE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 размещении з-в 168, 241, 445, 490, 493 НКАП</w:t>
      </w:r>
    </w:p>
    <w:p w14:paraId="15BF2C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Принять предложение Свердловского обкома ВКП(б) о размещении эвакуированного оборудования з-в 445 и 493 на площадях Алапаевского деревообделочного комбината НКРФ</w:t>
      </w:r>
    </w:p>
    <w:p w14:paraId="6213BA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Эвакуированное оборудование з-да 168 разместить на площадях Лопатинского деревообделочного комбината НКЛеса с сохранием полностью катушечного про-вп, а с з-да 241 (планерное производство) на площадях двух крытых рынков в Тюмени</w:t>
      </w:r>
    </w:p>
    <w:p w14:paraId="29F9C2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Разрешить НКАП произвести частичную эвакуацию оборудования с з-в 490 из Сталинграда в Уфу и разместить его на площадях деревообделочного комбината 3-го Стройтреста НКАП.</w:t>
      </w:r>
    </w:p>
    <w:p w14:paraId="6DB4BC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 СЭ Шверник (1209).</w:t>
      </w:r>
    </w:p>
    <w:p w14:paraId="49A1E1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2520F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ноября 1941 вышел приказ НКАП № 1109сс:</w:t>
      </w:r>
    </w:p>
    <w:p w14:paraId="012F59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распоряжением Совета по эвакуации № 15221-СЭ от 3 ноября и в изменение приказов НКАП №№ 1050сс от 8 октября с.г. и № 1057сс от 10 октября 1941 в части, касающейся з-в № 145 и № 487:</w:t>
      </w:r>
    </w:p>
    <w:p w14:paraId="108C49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 2 ГУ и д-ру з-да № 145 изменить направление эвакуации з-да № 145 и эвакуировать его в г. Куйбышев на площадку з-да № 455,</w:t>
      </w:r>
    </w:p>
    <w:p w14:paraId="70E999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 2 ГУ и д-ру з-да № 487 изменить направление эвакуации з-да № 487 и эвакуировать его на площади з-в № 454 в г. Куйбышев и № 481 в г. Сызрань.</w:t>
      </w:r>
    </w:p>
    <w:p w14:paraId="4CA2D9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Кузнецов (1341, 62).</w:t>
      </w:r>
    </w:p>
    <w:p w14:paraId="1E6E2A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373B5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ноября 1941 вышел приказ НКАП № 1110сс:</w:t>
      </w:r>
    </w:p>
    <w:p w14:paraId="091252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распоряжением Совета по эвакуации № 15238-СЭ от 6 ноября и в изменение приказов НКАП №№ 1057сс от 10 октября с.г. в части, касающейся з-в № 30 и № 288:</w:t>
      </w:r>
    </w:p>
    <w:p w14:paraId="1EF077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 7 ГУ и д-рам з-дов № 30 и 288 изменить направление эвакуации этих з-дов и эвакуировать их в Омск на площади бывших складов ГУМР, переданных согласно приказа НКАП № 851сс от 13 сентября 1941 з-ду 29.</w:t>
      </w:r>
    </w:p>
    <w:p w14:paraId="0A1D10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Кузнецов (1341, 67).</w:t>
      </w:r>
    </w:p>
    <w:p w14:paraId="17FB99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A456A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и 4 ноября 1941 приказами НКАП во исполнение постановлений ГКО от 2 и 9 ноября, заводу № 292 определялся повышенный план на ноябрь - 210, и декабрь - 290 самолетов. Во исполнение постановлений приказами наркома от 4 и 11 ноября 1941 г. заводу предписывалось с 10 ноября выпускать по 10 машин в сутки, а к концу месяца довести суточный выпуск до 12 самолетов.</w:t>
      </w:r>
    </w:p>
    <w:p w14:paraId="4416B3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Выпуск самолетов Як-1 заводом № 292 в 1941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00"/>
        <w:gridCol w:w="800"/>
        <w:gridCol w:w="800"/>
        <w:gridCol w:w="800"/>
        <w:gridCol w:w="800"/>
        <w:gridCol w:w="800"/>
        <w:gridCol w:w="800"/>
        <w:gridCol w:w="800"/>
        <w:gridCol w:w="800"/>
        <w:gridCol w:w="988"/>
        <w:gridCol w:w="851"/>
        <w:gridCol w:w="722"/>
        <w:gridCol w:w="722"/>
        <w:gridCol w:w="722"/>
      </w:tblGrid>
      <w:tr w:rsidR="00643896" w:rsidRPr="00640820" w14:paraId="713B278C" w14:textId="77777777" w:rsidTr="000D3BCB">
        <w:tc>
          <w:tcPr>
            <w:tcW w:w="800" w:type="dxa"/>
            <w:tcBorders>
              <w:top w:val="single" w:sz="12" w:space="0" w:color="auto"/>
            </w:tcBorders>
          </w:tcPr>
          <w:p w14:paraId="35E529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Borders>
              <w:top w:val="single" w:sz="12" w:space="0" w:color="auto"/>
            </w:tcBorders>
          </w:tcPr>
          <w:p w14:paraId="336A97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Январь</w:t>
            </w:r>
          </w:p>
        </w:tc>
        <w:tc>
          <w:tcPr>
            <w:tcW w:w="800" w:type="dxa"/>
            <w:tcBorders>
              <w:top w:val="single" w:sz="12" w:space="0" w:color="auto"/>
            </w:tcBorders>
          </w:tcPr>
          <w:p w14:paraId="1B51E4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Февраль</w:t>
            </w:r>
          </w:p>
        </w:tc>
        <w:tc>
          <w:tcPr>
            <w:tcW w:w="800" w:type="dxa"/>
            <w:tcBorders>
              <w:top w:val="single" w:sz="12" w:space="0" w:color="auto"/>
            </w:tcBorders>
          </w:tcPr>
          <w:p w14:paraId="2FAAED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Март</w:t>
            </w:r>
          </w:p>
        </w:tc>
        <w:tc>
          <w:tcPr>
            <w:tcW w:w="800" w:type="dxa"/>
            <w:tcBorders>
              <w:top w:val="single" w:sz="12" w:space="0" w:color="auto"/>
            </w:tcBorders>
          </w:tcPr>
          <w:p w14:paraId="4B543A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Апрель</w:t>
            </w:r>
          </w:p>
        </w:tc>
        <w:tc>
          <w:tcPr>
            <w:tcW w:w="800" w:type="dxa"/>
            <w:tcBorders>
              <w:top w:val="single" w:sz="12" w:space="0" w:color="auto"/>
            </w:tcBorders>
          </w:tcPr>
          <w:p w14:paraId="7957FE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Май</w:t>
            </w:r>
          </w:p>
        </w:tc>
        <w:tc>
          <w:tcPr>
            <w:tcW w:w="800" w:type="dxa"/>
            <w:tcBorders>
              <w:top w:val="single" w:sz="12" w:space="0" w:color="auto"/>
            </w:tcBorders>
          </w:tcPr>
          <w:p w14:paraId="3FBC30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Июнь</w:t>
            </w:r>
          </w:p>
        </w:tc>
        <w:tc>
          <w:tcPr>
            <w:tcW w:w="800" w:type="dxa"/>
            <w:tcBorders>
              <w:top w:val="single" w:sz="12" w:space="0" w:color="auto"/>
            </w:tcBorders>
          </w:tcPr>
          <w:p w14:paraId="319B48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Июль</w:t>
            </w:r>
          </w:p>
        </w:tc>
        <w:tc>
          <w:tcPr>
            <w:tcW w:w="800" w:type="dxa"/>
            <w:tcBorders>
              <w:top w:val="single" w:sz="12" w:space="0" w:color="auto"/>
            </w:tcBorders>
          </w:tcPr>
          <w:p w14:paraId="2D43B9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Август</w:t>
            </w:r>
          </w:p>
        </w:tc>
        <w:tc>
          <w:tcPr>
            <w:tcW w:w="988" w:type="dxa"/>
            <w:tcBorders>
              <w:top w:val="single" w:sz="12" w:space="0" w:color="auto"/>
            </w:tcBorders>
          </w:tcPr>
          <w:p w14:paraId="1A203C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Сентябрь</w:t>
            </w:r>
          </w:p>
        </w:tc>
        <w:tc>
          <w:tcPr>
            <w:tcW w:w="851" w:type="dxa"/>
            <w:tcBorders>
              <w:top w:val="single" w:sz="12" w:space="0" w:color="auto"/>
            </w:tcBorders>
          </w:tcPr>
          <w:p w14:paraId="61C5E3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Октябрь</w:t>
            </w:r>
          </w:p>
        </w:tc>
        <w:tc>
          <w:tcPr>
            <w:tcW w:w="722" w:type="dxa"/>
            <w:tcBorders>
              <w:top w:val="single" w:sz="12" w:space="0" w:color="auto"/>
            </w:tcBorders>
          </w:tcPr>
          <w:p w14:paraId="7FA3D7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Ноябрь</w:t>
            </w:r>
          </w:p>
        </w:tc>
        <w:tc>
          <w:tcPr>
            <w:tcW w:w="722" w:type="dxa"/>
            <w:tcBorders>
              <w:top w:val="single" w:sz="12" w:space="0" w:color="auto"/>
            </w:tcBorders>
          </w:tcPr>
          <w:p w14:paraId="4B7E78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Декабрь</w:t>
            </w:r>
          </w:p>
        </w:tc>
        <w:tc>
          <w:tcPr>
            <w:tcW w:w="722" w:type="dxa"/>
            <w:tcBorders>
              <w:top w:val="single" w:sz="12" w:space="0" w:color="auto"/>
            </w:tcBorders>
          </w:tcPr>
          <w:p w14:paraId="4DD7F7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Асего</w:t>
            </w:r>
          </w:p>
        </w:tc>
      </w:tr>
      <w:tr w:rsidR="00643896" w:rsidRPr="00640820" w14:paraId="705A6B1B" w14:textId="77777777" w:rsidTr="000D3BCB">
        <w:tc>
          <w:tcPr>
            <w:tcW w:w="800" w:type="dxa"/>
          </w:tcPr>
          <w:p w14:paraId="05690C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2A1A71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537850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 квартал</w:t>
            </w:r>
          </w:p>
        </w:tc>
        <w:tc>
          <w:tcPr>
            <w:tcW w:w="800" w:type="dxa"/>
          </w:tcPr>
          <w:p w14:paraId="49ABFF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666CC7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762472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 квартал</w:t>
            </w:r>
          </w:p>
        </w:tc>
        <w:tc>
          <w:tcPr>
            <w:tcW w:w="800" w:type="dxa"/>
          </w:tcPr>
          <w:p w14:paraId="6F554E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36B1AC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594179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 квартал</w:t>
            </w:r>
          </w:p>
        </w:tc>
        <w:tc>
          <w:tcPr>
            <w:tcW w:w="988" w:type="dxa"/>
          </w:tcPr>
          <w:p w14:paraId="3FEB37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51" w:type="dxa"/>
          </w:tcPr>
          <w:p w14:paraId="3DBBC9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68354F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 квартал</w:t>
            </w:r>
          </w:p>
        </w:tc>
        <w:tc>
          <w:tcPr>
            <w:tcW w:w="722" w:type="dxa"/>
          </w:tcPr>
          <w:p w14:paraId="603CEC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1C57D3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0EDD43AD" w14:textId="77777777" w:rsidTr="000D3BCB">
        <w:tc>
          <w:tcPr>
            <w:tcW w:w="800" w:type="dxa"/>
          </w:tcPr>
          <w:p w14:paraId="57CBEA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44E405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7AA7BC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220</w:t>
            </w:r>
          </w:p>
        </w:tc>
        <w:tc>
          <w:tcPr>
            <w:tcW w:w="800" w:type="dxa"/>
          </w:tcPr>
          <w:p w14:paraId="0FF4B8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3A5420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4862BA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270</w:t>
            </w:r>
          </w:p>
        </w:tc>
        <w:tc>
          <w:tcPr>
            <w:tcW w:w="800" w:type="dxa"/>
          </w:tcPr>
          <w:p w14:paraId="0EA093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415043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3F4210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290</w:t>
            </w:r>
          </w:p>
        </w:tc>
        <w:tc>
          <w:tcPr>
            <w:tcW w:w="988" w:type="dxa"/>
          </w:tcPr>
          <w:p w14:paraId="648F56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51" w:type="dxa"/>
          </w:tcPr>
          <w:p w14:paraId="6A0275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7B5542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320</w:t>
            </w:r>
          </w:p>
        </w:tc>
        <w:tc>
          <w:tcPr>
            <w:tcW w:w="722" w:type="dxa"/>
          </w:tcPr>
          <w:p w14:paraId="10DA2B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1CB60B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1100</w:t>
            </w:r>
          </w:p>
        </w:tc>
      </w:tr>
      <w:tr w:rsidR="00643896" w:rsidRPr="00640820" w14:paraId="52EE6A65" w14:textId="77777777" w:rsidTr="000D3BCB">
        <w:tc>
          <w:tcPr>
            <w:tcW w:w="800" w:type="dxa"/>
          </w:tcPr>
          <w:p w14:paraId="5979F3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Новый план'</w:t>
            </w:r>
          </w:p>
        </w:tc>
        <w:tc>
          <w:tcPr>
            <w:tcW w:w="800" w:type="dxa"/>
          </w:tcPr>
          <w:p w14:paraId="367104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28B5DA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w:t>
            </w:r>
          </w:p>
        </w:tc>
        <w:tc>
          <w:tcPr>
            <w:tcW w:w="800" w:type="dxa"/>
          </w:tcPr>
          <w:p w14:paraId="637F5C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40</w:t>
            </w:r>
          </w:p>
        </w:tc>
        <w:tc>
          <w:tcPr>
            <w:tcW w:w="800" w:type="dxa"/>
          </w:tcPr>
          <w:p w14:paraId="281A81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66</w:t>
            </w:r>
          </w:p>
        </w:tc>
        <w:tc>
          <w:tcPr>
            <w:tcW w:w="800" w:type="dxa"/>
          </w:tcPr>
          <w:p w14:paraId="1BF23E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74</w:t>
            </w:r>
          </w:p>
        </w:tc>
        <w:tc>
          <w:tcPr>
            <w:tcW w:w="800" w:type="dxa"/>
          </w:tcPr>
          <w:p w14:paraId="374496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100</w:t>
            </w:r>
          </w:p>
        </w:tc>
        <w:tc>
          <w:tcPr>
            <w:tcW w:w="800" w:type="dxa"/>
          </w:tcPr>
          <w:p w14:paraId="5D5640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115</w:t>
            </w:r>
          </w:p>
        </w:tc>
        <w:tc>
          <w:tcPr>
            <w:tcW w:w="800" w:type="dxa"/>
          </w:tcPr>
          <w:p w14:paraId="50F612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130</w:t>
            </w:r>
          </w:p>
        </w:tc>
        <w:tc>
          <w:tcPr>
            <w:tcW w:w="988" w:type="dxa"/>
          </w:tcPr>
          <w:p w14:paraId="0B41A5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156</w:t>
            </w:r>
          </w:p>
        </w:tc>
        <w:tc>
          <w:tcPr>
            <w:tcW w:w="851" w:type="dxa"/>
          </w:tcPr>
          <w:p w14:paraId="707A0C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189</w:t>
            </w:r>
          </w:p>
        </w:tc>
        <w:tc>
          <w:tcPr>
            <w:tcW w:w="722" w:type="dxa"/>
          </w:tcPr>
          <w:p w14:paraId="153FC1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184</w:t>
            </w:r>
          </w:p>
        </w:tc>
        <w:tc>
          <w:tcPr>
            <w:tcW w:w="722" w:type="dxa"/>
          </w:tcPr>
          <w:p w14:paraId="49F234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260</w:t>
            </w:r>
          </w:p>
        </w:tc>
        <w:tc>
          <w:tcPr>
            <w:tcW w:w="722" w:type="dxa"/>
          </w:tcPr>
          <w:p w14:paraId="6BD484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1350</w:t>
            </w:r>
          </w:p>
        </w:tc>
      </w:tr>
      <w:tr w:rsidR="00643896" w:rsidRPr="00640820" w14:paraId="795B7702" w14:textId="77777777" w:rsidTr="000D3BCB">
        <w:tc>
          <w:tcPr>
            <w:tcW w:w="800" w:type="dxa"/>
          </w:tcPr>
          <w:p w14:paraId="1F7475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Изготовлено</w:t>
            </w:r>
          </w:p>
        </w:tc>
        <w:tc>
          <w:tcPr>
            <w:tcW w:w="800" w:type="dxa"/>
          </w:tcPr>
          <w:p w14:paraId="51D3C8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p w14:paraId="44B97E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1B38FC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w:t>
            </w:r>
          </w:p>
        </w:tc>
        <w:tc>
          <w:tcPr>
            <w:tcW w:w="800" w:type="dxa"/>
          </w:tcPr>
          <w:p w14:paraId="74350E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40</w:t>
            </w:r>
          </w:p>
        </w:tc>
        <w:tc>
          <w:tcPr>
            <w:tcW w:w="800" w:type="dxa"/>
          </w:tcPr>
          <w:p w14:paraId="326E21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68</w:t>
            </w:r>
          </w:p>
        </w:tc>
        <w:tc>
          <w:tcPr>
            <w:tcW w:w="800" w:type="dxa"/>
          </w:tcPr>
          <w:p w14:paraId="461951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73</w:t>
            </w:r>
          </w:p>
        </w:tc>
        <w:tc>
          <w:tcPr>
            <w:tcW w:w="800" w:type="dxa"/>
          </w:tcPr>
          <w:p w14:paraId="5450D1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101</w:t>
            </w:r>
          </w:p>
        </w:tc>
        <w:tc>
          <w:tcPr>
            <w:tcW w:w="800" w:type="dxa"/>
          </w:tcPr>
          <w:p w14:paraId="3B872B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135</w:t>
            </w:r>
          </w:p>
        </w:tc>
        <w:tc>
          <w:tcPr>
            <w:tcW w:w="800" w:type="dxa"/>
          </w:tcPr>
          <w:p w14:paraId="4BA89C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150</w:t>
            </w:r>
          </w:p>
        </w:tc>
        <w:tc>
          <w:tcPr>
            <w:tcW w:w="988" w:type="dxa"/>
          </w:tcPr>
          <w:p w14:paraId="1E9B41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168</w:t>
            </w:r>
          </w:p>
        </w:tc>
        <w:tc>
          <w:tcPr>
            <w:tcW w:w="851" w:type="dxa"/>
          </w:tcPr>
          <w:p w14:paraId="453BB9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185</w:t>
            </w:r>
          </w:p>
        </w:tc>
        <w:tc>
          <w:tcPr>
            <w:tcW w:w="722" w:type="dxa"/>
          </w:tcPr>
          <w:p w14:paraId="1F4AE5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104</w:t>
            </w:r>
          </w:p>
        </w:tc>
        <w:tc>
          <w:tcPr>
            <w:tcW w:w="722" w:type="dxa"/>
          </w:tcPr>
          <w:p w14:paraId="1754AE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152</w:t>
            </w:r>
          </w:p>
        </w:tc>
        <w:tc>
          <w:tcPr>
            <w:tcW w:w="722" w:type="dxa"/>
          </w:tcPr>
          <w:p w14:paraId="26ADEC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1212 3</w:t>
            </w:r>
          </w:p>
        </w:tc>
      </w:tr>
      <w:tr w:rsidR="00643896" w:rsidRPr="00640820" w14:paraId="4C0B1F91" w14:textId="77777777" w:rsidTr="000D3BCB">
        <w:tc>
          <w:tcPr>
            <w:tcW w:w="800" w:type="dxa"/>
          </w:tcPr>
          <w:p w14:paraId="44F193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02B333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17 2)</w:t>
            </w:r>
          </w:p>
        </w:tc>
        <w:tc>
          <w:tcPr>
            <w:tcW w:w="800" w:type="dxa"/>
          </w:tcPr>
          <w:p w14:paraId="2FC38F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25 2)</w:t>
            </w:r>
          </w:p>
        </w:tc>
        <w:tc>
          <w:tcPr>
            <w:tcW w:w="800" w:type="dxa"/>
          </w:tcPr>
          <w:p w14:paraId="7C6F7C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34 2)</w:t>
            </w:r>
          </w:p>
        </w:tc>
        <w:tc>
          <w:tcPr>
            <w:tcW w:w="800" w:type="dxa"/>
          </w:tcPr>
          <w:p w14:paraId="5C0300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7A2523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7DD665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250024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118091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988" w:type="dxa"/>
          </w:tcPr>
          <w:p w14:paraId="0C58DE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51" w:type="dxa"/>
          </w:tcPr>
          <w:p w14:paraId="485969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292176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03C6B3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78F0E1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5385C98B" w14:textId="77777777" w:rsidTr="000D3BCB">
        <w:tc>
          <w:tcPr>
            <w:tcW w:w="800" w:type="dxa"/>
          </w:tcPr>
          <w:p w14:paraId="61C6E3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Принято военпредом</w:t>
            </w:r>
          </w:p>
        </w:tc>
        <w:tc>
          <w:tcPr>
            <w:tcW w:w="800" w:type="dxa"/>
          </w:tcPr>
          <w:p w14:paraId="260160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1DE7EA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6522D0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03A1EC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75F2A9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7968EB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492F9D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42B8CB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988" w:type="dxa"/>
          </w:tcPr>
          <w:p w14:paraId="465A3B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51" w:type="dxa"/>
          </w:tcPr>
          <w:p w14:paraId="0E9A41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4EBD17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474931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5E0A7D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6A248042" w14:textId="77777777" w:rsidTr="000D3BCB">
        <w:tc>
          <w:tcPr>
            <w:tcW w:w="800" w:type="dxa"/>
          </w:tcPr>
          <w:p w14:paraId="4E91C1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для ГУ ВВС КА</w:t>
            </w:r>
          </w:p>
        </w:tc>
        <w:tc>
          <w:tcPr>
            <w:tcW w:w="800" w:type="dxa"/>
          </w:tcPr>
          <w:p w14:paraId="48AD83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w:t>
            </w:r>
          </w:p>
        </w:tc>
        <w:tc>
          <w:tcPr>
            <w:tcW w:w="800" w:type="dxa"/>
          </w:tcPr>
          <w:p w14:paraId="43AD5F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w:t>
            </w:r>
          </w:p>
        </w:tc>
        <w:tc>
          <w:tcPr>
            <w:tcW w:w="800" w:type="dxa"/>
          </w:tcPr>
          <w:p w14:paraId="6D28E1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40</w:t>
            </w:r>
          </w:p>
        </w:tc>
        <w:tc>
          <w:tcPr>
            <w:tcW w:w="800" w:type="dxa"/>
          </w:tcPr>
          <w:p w14:paraId="546AF5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68</w:t>
            </w:r>
          </w:p>
        </w:tc>
        <w:tc>
          <w:tcPr>
            <w:tcW w:w="800" w:type="dxa"/>
          </w:tcPr>
          <w:p w14:paraId="264C7D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66</w:t>
            </w:r>
          </w:p>
        </w:tc>
        <w:tc>
          <w:tcPr>
            <w:tcW w:w="800" w:type="dxa"/>
          </w:tcPr>
          <w:p w14:paraId="5F7048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58</w:t>
            </w:r>
          </w:p>
        </w:tc>
        <w:tc>
          <w:tcPr>
            <w:tcW w:w="800" w:type="dxa"/>
          </w:tcPr>
          <w:p w14:paraId="718F64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117</w:t>
            </w:r>
          </w:p>
        </w:tc>
        <w:tc>
          <w:tcPr>
            <w:tcW w:w="800" w:type="dxa"/>
          </w:tcPr>
          <w:p w14:paraId="25052E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153</w:t>
            </w:r>
          </w:p>
        </w:tc>
        <w:tc>
          <w:tcPr>
            <w:tcW w:w="988" w:type="dxa"/>
          </w:tcPr>
          <w:p w14:paraId="52C6B9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151</w:t>
            </w:r>
          </w:p>
        </w:tc>
        <w:tc>
          <w:tcPr>
            <w:tcW w:w="851" w:type="dxa"/>
          </w:tcPr>
          <w:p w14:paraId="2CCBCD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171</w:t>
            </w:r>
          </w:p>
        </w:tc>
        <w:tc>
          <w:tcPr>
            <w:tcW w:w="722" w:type="dxa"/>
          </w:tcPr>
          <w:p w14:paraId="218DC4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68</w:t>
            </w:r>
          </w:p>
        </w:tc>
        <w:tc>
          <w:tcPr>
            <w:tcW w:w="722" w:type="dxa"/>
          </w:tcPr>
          <w:p w14:paraId="56B746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143</w:t>
            </w:r>
          </w:p>
        </w:tc>
        <w:tc>
          <w:tcPr>
            <w:tcW w:w="722" w:type="dxa"/>
          </w:tcPr>
          <w:p w14:paraId="5029AE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1070</w:t>
            </w:r>
          </w:p>
        </w:tc>
      </w:tr>
      <w:tr w:rsidR="00643896" w:rsidRPr="00640820" w14:paraId="74A4C1B3" w14:textId="77777777" w:rsidTr="000D3BCB">
        <w:tc>
          <w:tcPr>
            <w:tcW w:w="800" w:type="dxa"/>
          </w:tcPr>
          <w:p w14:paraId="155959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для УА ВМФ</w:t>
            </w:r>
          </w:p>
        </w:tc>
        <w:tc>
          <w:tcPr>
            <w:tcW w:w="800" w:type="dxa"/>
          </w:tcPr>
          <w:p w14:paraId="1FC15D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5823C6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6F9462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2AA2C6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41A153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w:t>
            </w:r>
          </w:p>
        </w:tc>
        <w:tc>
          <w:tcPr>
            <w:tcW w:w="800" w:type="dxa"/>
          </w:tcPr>
          <w:p w14:paraId="65067A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41</w:t>
            </w:r>
          </w:p>
        </w:tc>
        <w:tc>
          <w:tcPr>
            <w:tcW w:w="800" w:type="dxa"/>
          </w:tcPr>
          <w:p w14:paraId="448562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4C18D7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988" w:type="dxa"/>
          </w:tcPr>
          <w:p w14:paraId="6FFFC9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w:t>
            </w:r>
          </w:p>
        </w:tc>
        <w:tc>
          <w:tcPr>
            <w:tcW w:w="851" w:type="dxa"/>
          </w:tcPr>
          <w:p w14:paraId="42D28B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w:t>
            </w:r>
          </w:p>
        </w:tc>
        <w:tc>
          <w:tcPr>
            <w:tcW w:w="722" w:type="dxa"/>
          </w:tcPr>
          <w:p w14:paraId="2246B7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w:t>
            </w:r>
          </w:p>
        </w:tc>
        <w:tc>
          <w:tcPr>
            <w:tcW w:w="722" w:type="dxa"/>
          </w:tcPr>
          <w:p w14:paraId="0E0743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20</w:t>
            </w:r>
          </w:p>
        </w:tc>
        <w:tc>
          <w:tcPr>
            <w:tcW w:w="722" w:type="dxa"/>
          </w:tcPr>
          <w:p w14:paraId="47BE8F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121</w:t>
            </w:r>
          </w:p>
        </w:tc>
      </w:tr>
      <w:tr w:rsidR="00643896" w:rsidRPr="00640820" w14:paraId="6B013D02" w14:textId="77777777" w:rsidTr="000D3BCB">
        <w:tc>
          <w:tcPr>
            <w:tcW w:w="800" w:type="dxa"/>
          </w:tcPr>
          <w:p w14:paraId="6FA7F6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Отправлено всего</w:t>
            </w:r>
          </w:p>
        </w:tc>
        <w:tc>
          <w:tcPr>
            <w:tcW w:w="800" w:type="dxa"/>
          </w:tcPr>
          <w:p w14:paraId="199DCE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5614B1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72E65E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30</w:t>
            </w:r>
          </w:p>
        </w:tc>
        <w:tc>
          <w:tcPr>
            <w:tcW w:w="800" w:type="dxa"/>
          </w:tcPr>
          <w:p w14:paraId="0ACD33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45</w:t>
            </w:r>
          </w:p>
        </w:tc>
        <w:tc>
          <w:tcPr>
            <w:tcW w:w="800" w:type="dxa"/>
          </w:tcPr>
          <w:p w14:paraId="7D3CBF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45</w:t>
            </w:r>
          </w:p>
        </w:tc>
        <w:tc>
          <w:tcPr>
            <w:tcW w:w="800" w:type="dxa"/>
          </w:tcPr>
          <w:p w14:paraId="1E9674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66</w:t>
            </w:r>
          </w:p>
        </w:tc>
        <w:tc>
          <w:tcPr>
            <w:tcW w:w="800" w:type="dxa"/>
          </w:tcPr>
          <w:p w14:paraId="0D008E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192</w:t>
            </w:r>
          </w:p>
        </w:tc>
        <w:tc>
          <w:tcPr>
            <w:tcW w:w="800" w:type="dxa"/>
          </w:tcPr>
          <w:p w14:paraId="69562E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150</w:t>
            </w:r>
          </w:p>
        </w:tc>
        <w:tc>
          <w:tcPr>
            <w:tcW w:w="988" w:type="dxa"/>
          </w:tcPr>
          <w:p w14:paraId="2A47F9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155</w:t>
            </w:r>
          </w:p>
        </w:tc>
        <w:tc>
          <w:tcPr>
            <w:tcW w:w="851" w:type="dxa"/>
          </w:tcPr>
          <w:p w14:paraId="263F99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153</w:t>
            </w:r>
          </w:p>
        </w:tc>
        <w:tc>
          <w:tcPr>
            <w:tcW w:w="722" w:type="dxa"/>
          </w:tcPr>
          <w:p w14:paraId="70F88B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123</w:t>
            </w:r>
          </w:p>
        </w:tc>
        <w:tc>
          <w:tcPr>
            <w:tcW w:w="722" w:type="dxa"/>
          </w:tcPr>
          <w:p w14:paraId="0A1BB3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136</w:t>
            </w:r>
          </w:p>
        </w:tc>
        <w:tc>
          <w:tcPr>
            <w:tcW w:w="722" w:type="dxa"/>
          </w:tcPr>
          <w:p w14:paraId="63C3D6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1125</w:t>
            </w:r>
          </w:p>
        </w:tc>
      </w:tr>
      <w:tr w:rsidR="00643896" w:rsidRPr="00640820" w14:paraId="10C230E0" w14:textId="77777777" w:rsidTr="000D3BCB">
        <w:tc>
          <w:tcPr>
            <w:tcW w:w="800" w:type="dxa"/>
          </w:tcPr>
          <w:p w14:paraId="298E6B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 т.ч. ВВС КА</w:t>
            </w:r>
          </w:p>
        </w:tc>
        <w:tc>
          <w:tcPr>
            <w:tcW w:w="800" w:type="dxa"/>
          </w:tcPr>
          <w:p w14:paraId="57B6CF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1B45FE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673366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30</w:t>
            </w:r>
          </w:p>
        </w:tc>
        <w:tc>
          <w:tcPr>
            <w:tcW w:w="800" w:type="dxa"/>
          </w:tcPr>
          <w:p w14:paraId="39EA31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45</w:t>
            </w:r>
          </w:p>
        </w:tc>
        <w:tc>
          <w:tcPr>
            <w:tcW w:w="800" w:type="dxa"/>
          </w:tcPr>
          <w:p w14:paraId="6885A4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42</w:t>
            </w:r>
          </w:p>
        </w:tc>
        <w:tc>
          <w:tcPr>
            <w:tcW w:w="800" w:type="dxa"/>
          </w:tcPr>
          <w:p w14:paraId="6A1799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58</w:t>
            </w:r>
          </w:p>
        </w:tc>
        <w:tc>
          <w:tcPr>
            <w:tcW w:w="800" w:type="dxa"/>
          </w:tcPr>
          <w:p w14:paraId="266721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138</w:t>
            </w:r>
          </w:p>
        </w:tc>
        <w:tc>
          <w:tcPr>
            <w:tcW w:w="800" w:type="dxa"/>
          </w:tcPr>
          <w:p w14:paraId="5D69F4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150</w:t>
            </w:r>
          </w:p>
        </w:tc>
        <w:tc>
          <w:tcPr>
            <w:tcW w:w="988" w:type="dxa"/>
          </w:tcPr>
          <w:p w14:paraId="44DEB4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138</w:t>
            </w:r>
          </w:p>
        </w:tc>
        <w:tc>
          <w:tcPr>
            <w:tcW w:w="851" w:type="dxa"/>
          </w:tcPr>
          <w:p w14:paraId="2EB301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149</w:t>
            </w:r>
          </w:p>
        </w:tc>
        <w:tc>
          <w:tcPr>
            <w:tcW w:w="722" w:type="dxa"/>
          </w:tcPr>
          <w:p w14:paraId="243C66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102</w:t>
            </w:r>
          </w:p>
        </w:tc>
        <w:tc>
          <w:tcPr>
            <w:tcW w:w="722" w:type="dxa"/>
          </w:tcPr>
          <w:p w14:paraId="3C3CE1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128</w:t>
            </w:r>
          </w:p>
        </w:tc>
        <w:tc>
          <w:tcPr>
            <w:tcW w:w="722" w:type="dxa"/>
          </w:tcPr>
          <w:p w14:paraId="06A205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1010</w:t>
            </w:r>
          </w:p>
        </w:tc>
      </w:tr>
      <w:tr w:rsidR="00643896" w:rsidRPr="00640820" w14:paraId="57A22B5C" w14:textId="77777777" w:rsidTr="000D3BCB">
        <w:tc>
          <w:tcPr>
            <w:tcW w:w="800" w:type="dxa"/>
          </w:tcPr>
          <w:p w14:paraId="04D9AA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 т.ч. ВВС ВМФ</w:t>
            </w:r>
          </w:p>
        </w:tc>
        <w:tc>
          <w:tcPr>
            <w:tcW w:w="800" w:type="dxa"/>
          </w:tcPr>
          <w:p w14:paraId="2D6972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416C95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7DAA37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061EE3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69F7E3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65F29B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w:t>
            </w:r>
          </w:p>
        </w:tc>
        <w:tc>
          <w:tcPr>
            <w:tcW w:w="800" w:type="dxa"/>
          </w:tcPr>
          <w:p w14:paraId="274F21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54</w:t>
            </w:r>
          </w:p>
        </w:tc>
        <w:tc>
          <w:tcPr>
            <w:tcW w:w="800" w:type="dxa"/>
          </w:tcPr>
          <w:p w14:paraId="21D616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988" w:type="dxa"/>
          </w:tcPr>
          <w:p w14:paraId="2D1817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w:t>
            </w:r>
          </w:p>
        </w:tc>
        <w:tc>
          <w:tcPr>
            <w:tcW w:w="851" w:type="dxa"/>
          </w:tcPr>
          <w:p w14:paraId="105AFC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w:t>
            </w:r>
          </w:p>
        </w:tc>
        <w:tc>
          <w:tcPr>
            <w:tcW w:w="722" w:type="dxa"/>
          </w:tcPr>
          <w:p w14:paraId="0D8DCC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w:t>
            </w:r>
          </w:p>
        </w:tc>
        <w:tc>
          <w:tcPr>
            <w:tcW w:w="722" w:type="dxa"/>
          </w:tcPr>
          <w:p w14:paraId="13EECD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w:t>
            </w:r>
          </w:p>
        </w:tc>
        <w:tc>
          <w:tcPr>
            <w:tcW w:w="722" w:type="dxa"/>
          </w:tcPr>
          <w:p w14:paraId="4B3BFE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99</w:t>
            </w:r>
          </w:p>
        </w:tc>
      </w:tr>
      <w:tr w:rsidR="00643896" w:rsidRPr="00640820" w14:paraId="42187D2A" w14:textId="77777777" w:rsidTr="000D3BCB">
        <w:tc>
          <w:tcPr>
            <w:tcW w:w="800" w:type="dxa"/>
          </w:tcPr>
          <w:p w14:paraId="036660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т.ч. другие не принятые</w:t>
            </w:r>
          </w:p>
        </w:tc>
        <w:tc>
          <w:tcPr>
            <w:tcW w:w="800" w:type="dxa"/>
          </w:tcPr>
          <w:p w14:paraId="0980E2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307FAA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2CCE8F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0B6831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373685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З4</w:t>
            </w:r>
          </w:p>
        </w:tc>
        <w:tc>
          <w:tcPr>
            <w:tcW w:w="800" w:type="dxa"/>
          </w:tcPr>
          <w:p w14:paraId="41B7AE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3EA521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5FFB3C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988" w:type="dxa"/>
          </w:tcPr>
          <w:p w14:paraId="443D5C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w:t>
            </w:r>
          </w:p>
        </w:tc>
        <w:tc>
          <w:tcPr>
            <w:tcW w:w="851" w:type="dxa"/>
          </w:tcPr>
          <w:p w14:paraId="011671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22" w:type="dxa"/>
          </w:tcPr>
          <w:p w14:paraId="55171C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w:t>
            </w:r>
          </w:p>
        </w:tc>
        <w:tc>
          <w:tcPr>
            <w:tcW w:w="722" w:type="dxa"/>
          </w:tcPr>
          <w:p w14:paraId="72A5CD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22" w:type="dxa"/>
          </w:tcPr>
          <w:p w14:paraId="5DD150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w:t>
            </w:r>
          </w:p>
        </w:tc>
      </w:tr>
      <w:tr w:rsidR="00643896" w:rsidRPr="00640820" w14:paraId="40B72033" w14:textId="77777777" w:rsidTr="000D3BCB">
        <w:tc>
          <w:tcPr>
            <w:tcW w:w="800" w:type="dxa"/>
          </w:tcPr>
          <w:p w14:paraId="40867B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Осталось на заводе</w:t>
            </w:r>
          </w:p>
        </w:tc>
        <w:tc>
          <w:tcPr>
            <w:tcW w:w="800" w:type="dxa"/>
          </w:tcPr>
          <w:p w14:paraId="0234A7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w:t>
            </w:r>
          </w:p>
        </w:tc>
        <w:tc>
          <w:tcPr>
            <w:tcW w:w="800" w:type="dxa"/>
          </w:tcPr>
          <w:p w14:paraId="38FFC0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w:t>
            </w:r>
          </w:p>
        </w:tc>
        <w:tc>
          <w:tcPr>
            <w:tcW w:w="800" w:type="dxa"/>
          </w:tcPr>
          <w:p w14:paraId="4699E7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32</w:t>
            </w:r>
          </w:p>
        </w:tc>
        <w:tc>
          <w:tcPr>
            <w:tcW w:w="800" w:type="dxa"/>
          </w:tcPr>
          <w:p w14:paraId="19474D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55</w:t>
            </w:r>
          </w:p>
        </w:tc>
        <w:tc>
          <w:tcPr>
            <w:tcW w:w="800" w:type="dxa"/>
          </w:tcPr>
          <w:p w14:paraId="5F74BC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83</w:t>
            </w:r>
          </w:p>
        </w:tc>
        <w:tc>
          <w:tcPr>
            <w:tcW w:w="800" w:type="dxa"/>
          </w:tcPr>
          <w:p w14:paraId="1C80CE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118</w:t>
            </w:r>
          </w:p>
        </w:tc>
        <w:tc>
          <w:tcPr>
            <w:tcW w:w="800" w:type="dxa"/>
          </w:tcPr>
          <w:p w14:paraId="14792F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61</w:t>
            </w:r>
          </w:p>
        </w:tc>
        <w:tc>
          <w:tcPr>
            <w:tcW w:w="800" w:type="dxa"/>
          </w:tcPr>
          <w:p w14:paraId="080D31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61</w:t>
            </w:r>
          </w:p>
        </w:tc>
        <w:tc>
          <w:tcPr>
            <w:tcW w:w="988" w:type="dxa"/>
          </w:tcPr>
          <w:p w14:paraId="7D244F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74</w:t>
            </w:r>
          </w:p>
        </w:tc>
        <w:tc>
          <w:tcPr>
            <w:tcW w:w="851" w:type="dxa"/>
          </w:tcPr>
          <w:p w14:paraId="751778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106</w:t>
            </w:r>
          </w:p>
        </w:tc>
        <w:tc>
          <w:tcPr>
            <w:tcW w:w="722" w:type="dxa"/>
          </w:tcPr>
          <w:p w14:paraId="20888C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87</w:t>
            </w:r>
          </w:p>
        </w:tc>
        <w:tc>
          <w:tcPr>
            <w:tcW w:w="722" w:type="dxa"/>
          </w:tcPr>
          <w:p w14:paraId="318E4B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ЮЗ8</w:t>
            </w:r>
          </w:p>
        </w:tc>
        <w:tc>
          <w:tcPr>
            <w:tcW w:w="722" w:type="dxa"/>
          </w:tcPr>
          <w:p w14:paraId="3AFAC0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r>
      <w:tr w:rsidR="00643896" w:rsidRPr="00640820" w14:paraId="49B45D7E" w14:textId="77777777" w:rsidTr="000D3BCB">
        <w:tc>
          <w:tcPr>
            <w:tcW w:w="800" w:type="dxa"/>
          </w:tcPr>
          <w:p w14:paraId="4C5B25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 т.ч. принятых</w:t>
            </w:r>
          </w:p>
        </w:tc>
        <w:tc>
          <w:tcPr>
            <w:tcW w:w="800" w:type="dxa"/>
          </w:tcPr>
          <w:p w14:paraId="5FB9E1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790E16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w:t>
            </w:r>
          </w:p>
        </w:tc>
        <w:tc>
          <w:tcPr>
            <w:tcW w:w="800" w:type="dxa"/>
          </w:tcPr>
          <w:p w14:paraId="2C7A06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31</w:t>
            </w:r>
          </w:p>
        </w:tc>
        <w:tc>
          <w:tcPr>
            <w:tcW w:w="800" w:type="dxa"/>
          </w:tcPr>
          <w:p w14:paraId="605FD7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54</w:t>
            </w:r>
          </w:p>
        </w:tc>
        <w:tc>
          <w:tcPr>
            <w:tcW w:w="800" w:type="dxa"/>
          </w:tcPr>
          <w:p w14:paraId="57DDCE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83</w:t>
            </w:r>
          </w:p>
        </w:tc>
        <w:tc>
          <w:tcPr>
            <w:tcW w:w="800" w:type="dxa"/>
          </w:tcPr>
          <w:p w14:paraId="733517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117</w:t>
            </w:r>
          </w:p>
        </w:tc>
        <w:tc>
          <w:tcPr>
            <w:tcW w:w="800" w:type="dxa"/>
          </w:tcPr>
          <w:p w14:paraId="56E629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57</w:t>
            </w:r>
          </w:p>
        </w:tc>
        <w:tc>
          <w:tcPr>
            <w:tcW w:w="800" w:type="dxa"/>
          </w:tcPr>
          <w:p w14:paraId="56C04B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60</w:t>
            </w:r>
          </w:p>
        </w:tc>
        <w:tc>
          <w:tcPr>
            <w:tcW w:w="988" w:type="dxa"/>
          </w:tcPr>
          <w:p w14:paraId="2A251C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73</w:t>
            </w:r>
          </w:p>
        </w:tc>
        <w:tc>
          <w:tcPr>
            <w:tcW w:w="851" w:type="dxa"/>
          </w:tcPr>
          <w:p w14:paraId="6CC8C1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98</w:t>
            </w:r>
          </w:p>
        </w:tc>
        <w:tc>
          <w:tcPr>
            <w:tcW w:w="722" w:type="dxa"/>
          </w:tcPr>
          <w:p w14:paraId="6CA5EA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71</w:t>
            </w:r>
          </w:p>
        </w:tc>
        <w:tc>
          <w:tcPr>
            <w:tcW w:w="722" w:type="dxa"/>
          </w:tcPr>
          <w:p w14:paraId="34353A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98</w:t>
            </w:r>
          </w:p>
        </w:tc>
        <w:tc>
          <w:tcPr>
            <w:tcW w:w="722" w:type="dxa"/>
          </w:tcPr>
          <w:p w14:paraId="7922DE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r>
      <w:tr w:rsidR="00643896" w:rsidRPr="00640820" w14:paraId="44C74512" w14:textId="77777777" w:rsidTr="000D3BCB">
        <w:tc>
          <w:tcPr>
            <w:tcW w:w="800" w:type="dxa"/>
            <w:tcBorders>
              <w:bottom w:val="single" w:sz="12" w:space="0" w:color="auto"/>
            </w:tcBorders>
          </w:tcPr>
          <w:p w14:paraId="27737F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 т.ч. облетанных</w:t>
            </w:r>
          </w:p>
        </w:tc>
        <w:tc>
          <w:tcPr>
            <w:tcW w:w="800" w:type="dxa"/>
            <w:tcBorders>
              <w:bottom w:val="single" w:sz="12" w:space="0" w:color="auto"/>
            </w:tcBorders>
          </w:tcPr>
          <w:p w14:paraId="14EFD5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Borders>
              <w:bottom w:val="single" w:sz="12" w:space="0" w:color="auto"/>
            </w:tcBorders>
          </w:tcPr>
          <w:p w14:paraId="4FDE74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Borders>
              <w:bottom w:val="single" w:sz="12" w:space="0" w:color="auto"/>
            </w:tcBorders>
          </w:tcPr>
          <w:p w14:paraId="242B2C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w:t>
            </w:r>
          </w:p>
        </w:tc>
        <w:tc>
          <w:tcPr>
            <w:tcW w:w="800" w:type="dxa"/>
            <w:tcBorders>
              <w:bottom w:val="single" w:sz="12" w:space="0" w:color="auto"/>
            </w:tcBorders>
          </w:tcPr>
          <w:p w14:paraId="276588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Borders>
              <w:bottom w:val="single" w:sz="12" w:space="0" w:color="auto"/>
            </w:tcBorders>
          </w:tcPr>
          <w:p w14:paraId="7D3D40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Borders>
              <w:bottom w:val="single" w:sz="12" w:space="0" w:color="auto"/>
            </w:tcBorders>
          </w:tcPr>
          <w:p w14:paraId="31E881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Borders>
              <w:bottom w:val="single" w:sz="12" w:space="0" w:color="auto"/>
            </w:tcBorders>
          </w:tcPr>
          <w:p w14:paraId="3FAC92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w:t>
            </w:r>
          </w:p>
        </w:tc>
        <w:tc>
          <w:tcPr>
            <w:tcW w:w="800" w:type="dxa"/>
            <w:tcBorders>
              <w:bottom w:val="single" w:sz="12" w:space="0" w:color="auto"/>
            </w:tcBorders>
          </w:tcPr>
          <w:p w14:paraId="5A8078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59</w:t>
            </w:r>
          </w:p>
        </w:tc>
        <w:tc>
          <w:tcPr>
            <w:tcW w:w="988" w:type="dxa"/>
            <w:tcBorders>
              <w:bottom w:val="single" w:sz="12" w:space="0" w:color="auto"/>
            </w:tcBorders>
          </w:tcPr>
          <w:p w14:paraId="0DA666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60</w:t>
            </w:r>
          </w:p>
        </w:tc>
        <w:tc>
          <w:tcPr>
            <w:tcW w:w="851" w:type="dxa"/>
            <w:tcBorders>
              <w:bottom w:val="single" w:sz="12" w:space="0" w:color="auto"/>
            </w:tcBorders>
          </w:tcPr>
          <w:p w14:paraId="43C662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Borders>
              <w:bottom w:val="single" w:sz="12" w:space="0" w:color="auto"/>
            </w:tcBorders>
          </w:tcPr>
          <w:p w14:paraId="2CAB12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59</w:t>
            </w:r>
          </w:p>
        </w:tc>
        <w:tc>
          <w:tcPr>
            <w:tcW w:w="722" w:type="dxa"/>
            <w:tcBorders>
              <w:bottom w:val="single" w:sz="12" w:space="0" w:color="auto"/>
            </w:tcBorders>
          </w:tcPr>
          <w:p w14:paraId="39FE7E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48</w:t>
            </w:r>
          </w:p>
        </w:tc>
        <w:tc>
          <w:tcPr>
            <w:tcW w:w="722" w:type="dxa"/>
            <w:tcBorders>
              <w:bottom w:val="single" w:sz="12" w:space="0" w:color="auto"/>
            </w:tcBorders>
          </w:tcPr>
          <w:p w14:paraId="7341F7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r>
    </w:tbl>
    <w:p w14:paraId="2BB197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План, установленный приказом наркома авиапромышленности № 568сс от 24 июня 194</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 xml:space="preserve"> г. в изменение приказа № 702сс от 9 декабря 1940 г.</w:t>
      </w:r>
    </w:p>
    <w:p w14:paraId="57096E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Приведены данные по РГАЭ ф.8040 оп.1 д.886 л.9.</w:t>
      </w:r>
    </w:p>
    <w:p w14:paraId="1FD7A3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 Из этого числа в деталях и агрегатах (или как тогда говорили "россыпью") пять Як-1, которые были отправлены 14.01.42 г. на завод № 30 для организации производства. На этом заводе к сборке самолетов так и не приступили. Задел деталей был передан 20 февраля на завод № 23, а затем 6 мая 1942 г. на завод № 301. Машины №№ 1749, 2549, 2749, 2949, 3349 "увидели свет" только в 1943 году. Причем летная жизнь самолетов № 2749 и 3349 оказалась недолгой (меньше одного часа!). При перелете в часть после взлета с заводского аэродрома оба были разбиты при вынужденной посадке из-за отказа мотора. А также </w:t>
      </w:r>
      <w:r w:rsidRPr="00640820">
        <w:rPr>
          <w:rFonts w:ascii="Times New Roman" w:hAnsi="Times New Roman"/>
          <w:color w:val="000000" w:themeColor="text1"/>
          <w:sz w:val="16"/>
          <w:szCs w:val="16"/>
          <w:lang w:val="en-US"/>
        </w:rPr>
        <w:t>II</w:t>
      </w:r>
      <w:r w:rsidRPr="00640820">
        <w:rPr>
          <w:rFonts w:ascii="Times New Roman" w:hAnsi="Times New Roman"/>
          <w:color w:val="000000" w:themeColor="text1"/>
          <w:sz w:val="16"/>
          <w:szCs w:val="16"/>
        </w:rPr>
        <w:t xml:space="preserve"> Як-1, отправленные россыпью для организации производства на заводе № 47. Там в начале 1942 г. собрали всего две машины (№ 4844 и № 4944, которые поступили с моторами). Остальные машины (три в расстыкованном состоянии) и агрегаты еще на шесть самолетов россыпью вернули на завод № 292 в июне 1942 г.</w:t>
      </w:r>
    </w:p>
    <w:p w14:paraId="2EB306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В это число входят Як-1 не подлежавшие военной приемке № 1111 (отправлен на завод № 115), № 1811 (отправлен в ЛИИ НКАП) и Як-1 № 1314 (проходивий эксплуатационные испытания на заводе)</w:t>
      </w:r>
    </w:p>
    <w:p w14:paraId="250484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Як-1 № 0915 не подлежавший военной приемке, отправленный в ЛИИ НКАП.</w:t>
      </w:r>
    </w:p>
    <w:p w14:paraId="3956FB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Як-1 № 0130 отправленый на завод № 26</w:t>
      </w:r>
    </w:p>
    <w:p w14:paraId="58F32A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11 Як-1 россыпью на завод № 47.</w:t>
      </w:r>
    </w:p>
    <w:p w14:paraId="03ACFB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8. В том числе 76 для ГУ </w:t>
      </w:r>
      <w:r w:rsidRPr="00640820">
        <w:rPr>
          <w:rFonts w:ascii="Times New Roman" w:hAnsi="Times New Roman"/>
          <w:color w:val="000000" w:themeColor="text1"/>
          <w:sz w:val="16"/>
          <w:szCs w:val="16"/>
          <w:lang w:val="en-US"/>
        </w:rPr>
        <w:t>BBC</w:t>
      </w:r>
      <w:r w:rsidRPr="00640820">
        <w:rPr>
          <w:rFonts w:ascii="Times New Roman" w:hAnsi="Times New Roman"/>
          <w:color w:val="000000" w:themeColor="text1"/>
          <w:sz w:val="16"/>
          <w:szCs w:val="16"/>
        </w:rPr>
        <w:t xml:space="preserve"> КА, 22 для УА ВМФ, пять Як-1 россыпью для завода № 30 (12048).</w:t>
      </w:r>
    </w:p>
    <w:p w14:paraId="1E39C6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984DF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11 ноября 1941 в приказе №611, подписанном директорами заводов № 124 и № 22 Окуловым и Лещенко записано: “С 11 ноября 1941 г заводы имени Серго Орджоникидзе и имени Горбунова начинают работать самостоятельно. Начальники цехов и отделов каждого из заводов несут ответственность за программу и график своего цеха и отдела”. В связи с организацией двух заводов, производственные площади были разделены между ними в соответствии с необходимостью для каждого производства. Разделение площадей утвердил заместитель Наркома Авиапромышленности П.В. Деменьтьев. Причём для того, чтобы не допустить демонтажа станочного оборудования, принадлежащего заводу №124 и установленного на территории, отводимой по планировке заводу №22, было принято решение об обмене оборудованием. Таким образом, значительная часть московского оборудования (865 единиц) была установлено на новых производственных площадях завода №124. При разделении площадей завод №22 получил 79950 м в главном корпусе и 8500 м в отдельных зданиях. Надо отметить, что заводу №22 были предоставлены удобные и объемные площади в основном корпусе завода, а 124-му достались вспомогательные цеха и гараж. Это сразу же вызвало всплеск негодования среди рабочих завода №124 и в один из ноябрьских дней на заводе произошла массовая драка между казанцами и москвичами. Как вспоминал один из участников этой потасовки: “До приезда москвичей у нас было всё и всё работало, когда они сюда приехали, нас просто выгнали со своих рабочих мест и лучшие территории отдали им. Представьте себе сборку агрегатов и узлов Пе-2 в гараже. Ну мы и не выдержали...” Руководству двух заводов с трудом удалось остановить драку, припугнув рабочих трибуналом. После смены волна драк прокатилась по рабочим поселкам завода, одной из причин было очень плотное подселение, приводившее к постоянным ссорам и склокам; в драках приняли участие женщины и дети. После принятия соответствующих мер массовые драки прекратились, дрались “один на один” только самые непримиримые (5764,38).</w:t>
      </w:r>
    </w:p>
    <w:p w14:paraId="696C1A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3334BF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ноября 1941 Шахурин подписал приказ № 1108а, требовавший до конца года перейти на ежесуточный выпуск 73 самолетов и 109 моторов. Согласно этому документу, тогда в Куйбышеве на всех предприятиях должны были изготавливать в день 6 МиГ—3, 14 Ил-2, 6 АМ-35А, 16 АМ-38 и 1 АМ-37. У ру</w:t>
      </w:r>
      <w:r w:rsidRPr="00640820">
        <w:rPr>
          <w:rFonts w:ascii="Times New Roman" w:hAnsi="Times New Roman"/>
          <w:color w:val="000000" w:themeColor="text1"/>
          <w:sz w:val="16"/>
          <w:szCs w:val="16"/>
        </w:rPr>
        <w:softHyphen/>
        <w:t>ководства еще оставались надежды, что плановое за</w:t>
      </w:r>
      <w:r w:rsidRPr="00640820">
        <w:rPr>
          <w:rFonts w:ascii="Times New Roman" w:hAnsi="Times New Roman"/>
          <w:color w:val="000000" w:themeColor="text1"/>
          <w:sz w:val="16"/>
          <w:szCs w:val="16"/>
        </w:rPr>
        <w:softHyphen/>
        <w:t>дание по производству 174 МиГ—3 в декабре 1941 г. удастся выполнить. Вскоре стали поступать сообщения, свидетельст</w:t>
      </w:r>
      <w:r w:rsidRPr="00640820">
        <w:rPr>
          <w:rFonts w:ascii="Times New Roman" w:hAnsi="Times New Roman"/>
          <w:color w:val="000000" w:themeColor="text1"/>
          <w:sz w:val="16"/>
          <w:szCs w:val="16"/>
        </w:rPr>
        <w:softHyphen/>
        <w:t>вующие о том, что люди столкнулись с трудностями, которые превзошли все ожидания. Отгрузка на фронт авиационной техники почти полностью пре</w:t>
      </w:r>
      <w:r w:rsidRPr="00640820">
        <w:rPr>
          <w:rFonts w:ascii="Times New Roman" w:hAnsi="Times New Roman"/>
          <w:color w:val="000000" w:themeColor="text1"/>
          <w:sz w:val="16"/>
          <w:szCs w:val="16"/>
        </w:rPr>
        <w:softHyphen/>
        <w:t>кратилась. Особенно мало выпускалось штурмови</w:t>
      </w:r>
      <w:r w:rsidRPr="00640820">
        <w:rPr>
          <w:rFonts w:ascii="Times New Roman" w:hAnsi="Times New Roman"/>
          <w:color w:val="000000" w:themeColor="text1"/>
          <w:sz w:val="16"/>
          <w:szCs w:val="16"/>
        </w:rPr>
        <w:softHyphen/>
        <w:t>ков Ил—2, оказавшихся весьма эффективным сред</w:t>
      </w:r>
      <w:r w:rsidRPr="00640820">
        <w:rPr>
          <w:rFonts w:ascii="Times New Roman" w:hAnsi="Times New Roman"/>
          <w:color w:val="000000" w:themeColor="text1"/>
          <w:sz w:val="16"/>
          <w:szCs w:val="16"/>
        </w:rPr>
        <w:softHyphen/>
        <w:t>ством борьбы против мотомеханизированных соединений неприятеля, его легких и средних тан</w:t>
      </w:r>
      <w:r w:rsidRPr="00640820">
        <w:rPr>
          <w:rFonts w:ascii="Times New Roman" w:hAnsi="Times New Roman"/>
          <w:color w:val="000000" w:themeColor="text1"/>
          <w:sz w:val="16"/>
          <w:szCs w:val="16"/>
        </w:rPr>
        <w:softHyphen/>
        <w:t>ков. С фронта поступали доклады об успехах тех или иных штурмовых полков, отличившихся в ходе Мос</w:t>
      </w:r>
      <w:r w:rsidRPr="00640820">
        <w:rPr>
          <w:rFonts w:ascii="Times New Roman" w:hAnsi="Times New Roman"/>
          <w:color w:val="000000" w:themeColor="text1"/>
          <w:sz w:val="16"/>
          <w:szCs w:val="16"/>
        </w:rPr>
        <w:softHyphen/>
        <w:t>ковской битвы, а у командования не было возможно</w:t>
      </w:r>
      <w:r w:rsidRPr="00640820">
        <w:rPr>
          <w:rFonts w:ascii="Times New Roman" w:hAnsi="Times New Roman"/>
          <w:color w:val="000000" w:themeColor="text1"/>
          <w:sz w:val="16"/>
          <w:szCs w:val="16"/>
        </w:rPr>
        <w:softHyphen/>
        <w:t>стей их пополнить, сформировать новые части. Ведь в ноябре все три авиазавода собрали только три «ильюшина» (9984).</w:t>
      </w:r>
    </w:p>
    <w:p w14:paraId="11F7073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DDC9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ноября 1941 г. завод № 145 2ГУ НКАП (Завод № 145 НКТП, НКОП, НКАП, МАП им С.М. Кирова, Завод № 2 МАП, Государственный Опытный союзный завод № 2 МАП /г. Москва 1 -й Павелецкий пр.; ст. Безымянка пос. Красная Глинка,  г. Куйбышев) вместе с КБ эвакуирован в Куйбышев ст. Безымянка на территорию Лаборатории Куйбышевского гидроузла в двух км от берега Волги и в 6 км от ст. Красная Глинка. Здесь по приказу № 1121сс от 15.11.1941 г. завод объединен с эвакуированным ранее на эту же площадку заводом № 455 НКАП в единый завод № 145 НКАП. Часть завода была эвакуирована в Свердловск, где затем на этой базе создан Свердловский завод эбонитовых изделий (далее- ЗАО «Уралэластотехника»). Поселки Красная Глинка и Управленческий в годы ВОВ включены в состав  г. Куйбышева.</w:t>
      </w:r>
    </w:p>
    <w:p w14:paraId="739126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Площадка эвакуированного завода со всеми сооружениями, остатками оборудования и кадров по приказу № 134м/ 84мс от 31.12.1941 г. передана заводу № 221 НКТП. Однако здесь некоторое время продолжал действовать филиал ОКБ завода № 145. Затем по приказу № 277с от 14.04.1942 г. филиал был переведен и влит в состав филиала завода № 145 в Болшево.</w:t>
      </w:r>
    </w:p>
    <w:p w14:paraId="228F7F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1942 г. часть оборудования была передана на новый завод № 455 НКАП.</w:t>
      </w:r>
    </w:p>
    <w:p w14:paraId="761797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735с от 8.12.1943 г. с завода № 145 переведена группа специалистов для усиления ОКБ завода №219 НКАП.</w:t>
      </w:r>
    </w:p>
    <w:p w14:paraId="0229E6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 СМ СССР № 874-366сс от 17.04.1946 г. и приказом МАП № 228сс от 19.04.1946 г. завод № 145 МАП передан из 2ГУ в непосредственное ведение министра и переименован в опытный завод № 2 МАП.</w:t>
      </w:r>
    </w:p>
    <w:p w14:paraId="1C7803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Имел вторую производственную площадку в 3,5 га в двух км от основной на территории бывших авторемонтных мастерских УОС МВД. Разработка авиационных и ракетных двигателей. В 07.1946 г. завод передан в Особое управление и преобразован в опытный. В 1946-47 г. проведена коренная реконструкция производства, заводу выделено 1064 вагона трофейного оборудования и имущества. В 1948 г. начато строительство наземной испытательной станции. В связи с упразднением Особого управления с 15.06.1949 г. завод передан в 8ГУ (приказ № 422сс от 4.06.1949 г.).</w:t>
      </w:r>
    </w:p>
    <w:p w14:paraId="431A3E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Работали специалисты из моторных ОТБ-1 и ОТБ-2, переведенных из Германии. Из немецких специалистов образовано 4 ОКБ. После 05.1949 г. все ОКБ объединены в одно, его начальником стал Квасов, зам. начальника- Брандлер.</w:t>
      </w:r>
    </w:p>
    <w:p w14:paraId="60EBF6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1950 г. из ОКБ-16 МАП на завод переведен немецкий специалист М. Христиан для участия в создании ТВ-2. К 1953 г. все немцы отправлены в ГДР.</w:t>
      </w:r>
    </w:p>
    <w:p w14:paraId="575639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Согласно постановления правительства от 11.07.1951 г. на заводе началась разработка двигателя ТВ-2. После катастрофы самолета «95-1» во время испытаний с двигателями 2ТВ-2Ф работы по ним были прекращены, задел по ним передан ОКБ-478 и ОКБ-19.</w:t>
      </w:r>
    </w:p>
    <w:p w14:paraId="21FA11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постановлению СМ СССР от 29.03.1952 г. и приказу МАП от 1.04.1952 г. началась разработка ТВД ТВ-16 на базе ТВ-12.</w:t>
      </w:r>
      <w:r w:rsidRPr="00640820">
        <w:rPr>
          <w:rFonts w:ascii="Times New Roman" w:hAnsi="Times New Roman"/>
          <w:color w:val="000000" w:themeColor="text1"/>
          <w:sz w:val="16"/>
          <w:szCs w:val="16"/>
          <w:vertAlign w:val="superscript"/>
        </w:rPr>
        <w:t>30</w:t>
      </w:r>
    </w:p>
    <w:p w14:paraId="116BBC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работ по опытному двигателестроению, на заводе до 1952 г. продолжалось производство разовых химических бомб УХАП-500, а с 1952 г. планировалось начать выпуск РВП-200.</w:t>
      </w:r>
    </w:p>
    <w:p w14:paraId="6D243E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Пост. СМ № 533-271 от 19.02.1953 г. предписывалось передать завод в подчинение КБ-1 «для усиления работ по заказам ТГУ при СМ СССР», но это не было выполнено. В 06.1953 г. завод № 2 переименован в завод № 276 </w:t>
      </w:r>
      <w:r w:rsidRPr="00640820">
        <w:rPr>
          <w:rFonts w:ascii="Times New Roman" w:hAnsi="Times New Roman"/>
          <w:color w:val="000000" w:themeColor="text1"/>
          <w:sz w:val="16"/>
          <w:szCs w:val="16"/>
          <w:lang w:val="en-US"/>
        </w:rPr>
        <w:t>MAII</w:t>
      </w:r>
      <w:r w:rsidRPr="00640820">
        <w:rPr>
          <w:rFonts w:ascii="Times New Roman" w:hAnsi="Times New Roman"/>
          <w:color w:val="000000" w:themeColor="text1"/>
          <w:sz w:val="16"/>
          <w:szCs w:val="16"/>
        </w:rPr>
        <w:t>.</w:t>
      </w:r>
    </w:p>
    <w:p w14:paraId="228079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территории (1948 г.)-14,03 га; застройки (1948 г.)- 28344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производственная (1948 г.)- 16563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35D020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(19.01-14.07.1937 г.)- И.П. Тюкин-Косой, (14.07.1937-01.1944 г.-)- В.И. Крупнов, (-01-06.1945 г.-)- Данилевич, (1946-47 г.-)- Н.М. Олехнович. Ответственный руководитель (22.05.1950-53 г.)- Н.Д. Кузнецов.</w:t>
      </w:r>
    </w:p>
    <w:p w14:paraId="0C8DDC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(-10.1940 г.)- Е.А. Рогов, (12.1940 г.-)-  Г.Т. Бучнев.</w:t>
      </w:r>
    </w:p>
    <w:p w14:paraId="395C97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Технический директор (16.04.1937 г.-)- Д.Д. Коротчаев (Каратчаев).</w:t>
      </w:r>
    </w:p>
    <w:p w14:paraId="3026A9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(-16.04.1937 г.)- В.А. Клименов, (-16.09.1937 г.)- Д.Д. Коротчаев, (31.10.1938-; 12.1940 г.-)-  Г.Т. Бучнев.</w:t>
      </w:r>
    </w:p>
    <w:p w14:paraId="5642F1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(02.1937 г.)- М.Н. Родионов, (1937-41 г.-)- И.И. Картуков, (15.04.1949-53 г.)- Н.Д. Кузнецов.</w:t>
      </w:r>
      <w:r w:rsidRPr="00640820">
        <w:rPr>
          <w:rFonts w:ascii="Times New Roman" w:hAnsi="Times New Roman"/>
          <w:color w:val="000000" w:themeColor="text1"/>
          <w:sz w:val="16"/>
          <w:szCs w:val="16"/>
          <w:vertAlign w:val="superscript"/>
        </w:rPr>
        <w:t>101</w:t>
      </w:r>
    </w:p>
    <w:p w14:paraId="612AD6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ТВД: ТВ-2,2ТВ-2Ф (1950-51), ТВ-12 (1951-53).</w:t>
      </w:r>
    </w:p>
    <w:p w14:paraId="43829B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(ВОВ) выливные авиаприборы: ВАП-1000, ВАП-500, ВАП-250 (8-В-121м), ВАП-200 (8-В- 131), УХАП-250, УХАП-200, ХАРП, ЗАП; ампульные бомбовые кассеты: АБК-1, КМБ-2 («17-1»), КМБ-Ер-2 (АБК-2), КМБ-Пе-2, АБК-3 (8-А-159), АБК-240, АБКП-500 (8-А-161), АБКП-100; ампульные кассеты: АК-1, АК- 2; противотанковый ампуломет «37-1»; авиационные механические прицелы КП-5, КПТ-5, МК-4, МФ-5; замки- держатели Д-2, Дер-31 (У-7-Ш-711), Дер-32; балки для ВАП-250, БП-50; торпедодержатели Т-18, минодержатели МД-39 (11982).</w:t>
      </w:r>
    </w:p>
    <w:p w14:paraId="048AEF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11F11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ноября 1941 г. по приказу № 1110сс эшелоны ГС Завода № 288 НКАП /пос. Савелово,  г. Кимры Калининской обл.;  г. Омск Куломзино/ из Чкаловска (площадка Судоремонтного завода) переориентировали дальше - в Куломзино, г. Омск, на площадку складов УГМР, переданных заводу № 29 НКАП. Часть оборудования и личного состава размещена на площадке завода № 166 НКАП и была влита в его состав. Вскоре по приказу № 7 от 20.12.1941 г. завод и ОКБ-288 были размещены на площадке Куломзинского филиала завода № 166 (бывшие авиаремонтные мастерские ГВФ). Этим же приказом филиал со всем оборудованием и личным составом передан в распоряжение завода № 288. Здесь же разместились конструкторские группы В.М. Мясищева и Томашевича.</w:t>
      </w:r>
    </w:p>
    <w:p w14:paraId="7FF4D6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площадке эвакуированного завода в Кимрах по приказу № 149с от 21.02.1942 г. образованы Ремонтные мастерские для переоборудования иностранных самолетов (начальник- З.Б. Ценципер). Далее они преобразованы в Савеловские фронтовые мастерские (директор- Поленов). С 06.1943 г. здесь разместился завод № 491.</w:t>
      </w:r>
    </w:p>
    <w:p w14:paraId="6ECD85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новом месте в Омске достраивалась онытная серия КОР-2, оказывалась помощь заводу № 166 в производстве Ту-2. Проектировался и строился самолет «110» «Пегас» конструкции Томашевича.</w:t>
      </w:r>
    </w:p>
    <w:p w14:paraId="5D7C48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НКАП от 03.05.1943 г. ОКБ-288 переведено в Красноярск на завод № 477.</w:t>
      </w:r>
    </w:p>
    <w:p w14:paraId="03FA09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приказом № 367сс от 22.06.1943 г. конструкторская группа В.М. Мясищева переведена в Казань и влита в состав ОКБ-22, которое возглавил Мясщцев.</w:t>
      </w:r>
    </w:p>
    <w:p w14:paraId="2A50E6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 469с от 3.08.1943 г. все сооружения завода № 288 НКАП (кроме ЛИС и территории, временно закрепленной за ОКБ А.Н. Туполева по приказу № 430сс от 20.07.1943 г.) переданы заводу № 29 НКАП.</w:t>
      </w:r>
    </w:p>
    <w:p w14:paraId="7CAD0A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(05.1940-04.1941 г.-)- Н.И. Чеблуков. И.О. директора (12.1941-03.1942 г.)- А.В. Ляпидевский. Директор (03.1942-08.1943 г.-)- Г .Я. Кутепов.</w:t>
      </w:r>
    </w:p>
    <w:p w14:paraId="1574EF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завода (-01.1941 г.)- П.Д. Самсонов, (01.1941 г.-)-  Г.М. Бериев.</w:t>
      </w:r>
    </w:p>
    <w:p w14:paraId="421BAD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 самолетКОР-2</w:t>
      </w:r>
      <w:r w:rsidRPr="00640820">
        <w:rPr>
          <w:rFonts w:ascii="Times New Roman" w:hAnsi="Times New Roman"/>
          <w:color w:val="000000" w:themeColor="text1"/>
          <w:sz w:val="16"/>
          <w:szCs w:val="16"/>
        </w:rPr>
        <w:t xml:space="preserve"> (1941-42)-6.</w:t>
      </w:r>
    </w:p>
    <w:p w14:paraId="3ACF24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Заводской №:</w:t>
      </w:r>
      <w:r w:rsidRPr="00640820">
        <w:rPr>
          <w:rFonts w:ascii="Times New Roman" w:hAnsi="Times New Roman"/>
          <w:color w:val="000000" w:themeColor="text1"/>
          <w:sz w:val="16"/>
          <w:szCs w:val="16"/>
        </w:rPr>
        <w:t xml:space="preserve"> 28801 (11982).</w:t>
      </w:r>
    </w:p>
    <w:p w14:paraId="37CAB3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65A30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ноября 1941 г. при эвакуации по приказу № 1109сс в состав завода № 454 в Куйбышеве (ГС Завод № 454 НКАП, МАП, Куйбышевский завод аэродромного оборудования, АООТ, ОАО «Старт», ЗАО «Завод аэродромного оборудования» /г. Киев;  г. Куйбышев ст. Безымянка (1953 г.)/ /443022  г. Самара Заводское ш., 14 тел. 992-07-62/) эвакуирован в Куйбышев (ст. Безымянка) влита часть завода № 487 НКАП (-30%).</w:t>
      </w:r>
    </w:p>
    <w:p w14:paraId="7D0D53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07.1943 г. на завод передано с завода № 165 НКАП производство лафетов для пушки «ВЯ».</w:t>
      </w:r>
    </w:p>
    <w:p w14:paraId="034270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площадке эвакуированного завода № 454 в Киеве в начале 1944 г. организованы Ремонтные мастерские, а затем на их базе- Завод № 483 НКАП.</w:t>
      </w:r>
    </w:p>
    <w:p w14:paraId="26EA12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263 от 18.07.1945 г. в состав завода № 454 НКАП 2ГУ влит завод № 53 НКАП.</w:t>
      </w:r>
    </w:p>
    <w:p w14:paraId="7CD602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1952 г. началось освоение производства средств наземного обслуживания самолетов. С 07.1952 г. завод передан из 2ГУ в 1ГУ, с 1.01.1953 г. передан из 1ГУ в 10ГУ. В соответствии с пост. СМ СССР № 713-342 от 26.06.1957 г. передан в ведение СНХ РСФСР.</w:t>
      </w:r>
    </w:p>
    <w:p w14:paraId="392F20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конце 1990-х - начале 2000-х  г. «Старт» - ведущее предприятие России по проектированию, производству и ремонту средств наземного обслуживания </w:t>
      </w:r>
      <w:r w:rsidRPr="00640820">
        <w:rPr>
          <w:rFonts w:ascii="Times New Roman" w:hAnsi="Times New Roman"/>
          <w:color w:val="000000" w:themeColor="text1"/>
          <w:sz w:val="16"/>
          <w:szCs w:val="16"/>
          <w:lang w:val="en-US"/>
        </w:rPr>
        <w:t>J</w:t>
      </w:r>
      <w:r w:rsidRPr="00640820">
        <w:rPr>
          <w:rFonts w:ascii="Times New Roman" w:hAnsi="Times New Roman"/>
          <w:color w:val="000000" w:themeColor="text1"/>
          <w:sz w:val="16"/>
          <w:szCs w:val="16"/>
        </w:rPr>
        <w:t>1</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 xml:space="preserve"> (гидроподъемники, домкраты, передвижные контрольно- ремонтные лаборатории и мастерские; оборудование по обеспечению систем </w:t>
      </w:r>
      <w:r w:rsidRPr="00640820">
        <w:rPr>
          <w:rFonts w:ascii="Times New Roman" w:hAnsi="Times New Roman"/>
          <w:color w:val="000000" w:themeColor="text1"/>
          <w:sz w:val="16"/>
          <w:szCs w:val="16"/>
          <w:lang w:val="en-US"/>
        </w:rPr>
        <w:t>JIA</w:t>
      </w:r>
      <w:r w:rsidRPr="00640820">
        <w:rPr>
          <w:rFonts w:ascii="Times New Roman" w:hAnsi="Times New Roman"/>
          <w:color w:val="000000" w:themeColor="text1"/>
          <w:sz w:val="16"/>
          <w:szCs w:val="16"/>
        </w:rPr>
        <w:t xml:space="preserve"> электроэнергией, газами и жидкостями; стремянки, самоходные площадки обслуживания, тележки кабельные, средства управления ракетной техникой, средства буксировки и удержания самолетов).</w:t>
      </w:r>
    </w:p>
    <w:p w14:paraId="60042B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(2000-е  г.): освоение производства самоходной площадки СПО-18 и установки для нанесния противообледенительного покрытия на крыло самолетов.</w:t>
      </w:r>
    </w:p>
    <w:p w14:paraId="1AF5E0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01.2003 г. начата процедура банкротства ОАО «Старт». В ходе реструктуризации производственные мощности выделены в отдельное предприятие- ЗАО «Завод аэродромного оборудования», образованного в 2002 г.</w:t>
      </w:r>
    </w:p>
    <w:p w14:paraId="65ABE1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(10.1940-06.1945 г.-)- МЛ. Горелик, И.С. Фишман. Гендиректор (1989-98 г.)- В.И. Доронин, (2002 г.)- В.П. Бондаренко, (2003 г.)- А. Митлин, (2006 г.)- С.В. Невесенко.</w:t>
      </w:r>
    </w:p>
    <w:p w14:paraId="0DFA26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(11.1940 г.-)- В.И. Муратов.</w:t>
      </w:r>
    </w:p>
    <w:p w14:paraId="50B676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(11.1940 г.-)- В.И. Муратов, (-1987 г.)- В.И. Доронин.</w:t>
      </w:r>
    </w:p>
    <w:p w14:paraId="02E074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(11.1941 г.-)- И.П. Шебанов.</w:t>
      </w:r>
    </w:p>
    <w:p w14:paraId="77CF84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Коммерческий директор (2002 г.)- С.В. Невесенко, (-2004-06 г.-)- И.А. Обухов. Технический директор (2002 г.)- А.М. Митлин.</w:t>
      </w:r>
      <w:r w:rsidRPr="00640820">
        <w:rPr>
          <w:rFonts w:ascii="Times New Roman" w:hAnsi="Times New Roman"/>
          <w:color w:val="000000" w:themeColor="text1"/>
          <w:sz w:val="16"/>
          <w:szCs w:val="16"/>
          <w:vertAlign w:val="superscript"/>
        </w:rPr>
        <w:t>69</w:t>
      </w:r>
    </w:p>
    <w:p w14:paraId="6F28C9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коммерческого директора: по маркетингу (2002 г.)- О.А. Чернышов; по сбыту (2004 г.)- А.И. Копылов.</w:t>
      </w:r>
    </w:p>
    <w:p w14:paraId="0AD00B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(ВОВ) пулеметные установки: Тур-ТАТ, ТУМ-3, КЭБ, НЭБ, УТК-1, ШАУ-К; ракетное оружие РО-82, балки для РС-82; замки МД-3-40, Дер-21, балки к ФАБ-25 для самолета У-2, крыльевые стрелковые установки для У-2, лафеты для «ВЯ» (1943-); лебедки БЛ-4; свеклоуборочные машины (1950-е); универсальная подвижная гидроустановка УПГ-100, заправщик спецжидкостями «Садко» (2004).</w:t>
      </w:r>
    </w:p>
    <w:p w14:paraId="6A5F0E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завода № 454 НКАП гл. конструктора И.П. Шебанова, ОКБ-454 НКАП</w:t>
      </w:r>
    </w:p>
    <w:p w14:paraId="5BB951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территорию завода № 454 в Куйбышев эвакуировано с завода № 487 НКАП КБ гл. конструктора И.П. Шебанова. По приказу № 1306/106к от 20.11.1941 г. И.П. Шебанов назначен гл. конструктором завода № 454.</w:t>
      </w:r>
    </w:p>
    <w:p w14:paraId="6F72B6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КБ продолжены работы по пулеметным установкам для самолетов: Тур-ТАТ, ТУМ-3, КЭБ, НЭБ, УТК-1, ШАУ-К, опытная УБШ под пулемет УБТ для Ил-2 (03.1943 г.) и др.</w:t>
      </w:r>
    </w:p>
    <w:p w14:paraId="1EDB86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375с от 14.05.1942 г. образован филиал ОКБ завода № 454 НКАП при филиале завода № 481 на площадях, ранее занимаемых ОКБ-487. Для этого из Куйбышева переведена группа сотрудников ОКБ завода № 454 (25 чел., начальник филиала- В.И. Ермилов).</w:t>
      </w:r>
    </w:p>
    <w:p w14:paraId="66C0E7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272с от 6.05.1943 г. ОКБ-454 НКАП переведено из Куйбышева на завод № 487 НКАГ1 в Москву, и на его базе вновь образовалось ОКБ-487 НКАП.</w:t>
      </w:r>
    </w:p>
    <w:p w14:paraId="116BD2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(11.1941 г.-)- И.П. Шебанов.</w:t>
      </w:r>
    </w:p>
    <w:p w14:paraId="70830B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конструктора (1942 г.)- В.И. Ермилов (11982).</w:t>
      </w:r>
    </w:p>
    <w:p w14:paraId="6E6928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34CD6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ноября 1941 г. по приказу № 1109сс в состав завода 481 (ГС завод № 481 НКАП, МАП, МСХМ /Украина  г. Днепропетровск;  г. Сызрань Куйбышевской обл./), который был эвакуирован в Сызрань на площадку завода № 164 НКАП, где по приказу № 1068с от 14.10.1941 г. в результате слияния двух заводов образован единый завод № 481 в системе 2ГУ, был влита часть (70 %) эвакуированного завода № 487 НКАП.</w:t>
      </w:r>
    </w:p>
    <w:p w14:paraId="45C8A9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Москвы на территорию завода № 481 в Сызрань по приказу № 878сс от 20.08.1941 г. эвакуировано КБ-3 завода № 32 НКАП гл. конструктора И.И.Торопова. По приказу № 484с от 3.08.1944 г. КБ переведено на завод № 43 (возможно, перед этим оно уже было в Кирове на заводе № 32).</w:t>
      </w:r>
    </w:p>
    <w:p w14:paraId="3E269B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Здания и сооружения завода № 481 в Днепропетровске по приказу № 780с от 28/30.12.1943 г. переданы из 2ГУ в 5ГУ НКАП.</w:t>
      </w:r>
    </w:p>
    <w:p w14:paraId="6A34C7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277с от 14.04.1942 г. часть оборудования завода передана филиалу завода № 145 НКАП в Болшево.</w:t>
      </w:r>
    </w:p>
    <w:p w14:paraId="05DBBE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07.1943 г. на завод передано производство лафетов для пушки «ВЯ» с завода № 165 НКАП.</w:t>
      </w:r>
    </w:p>
    <w:p w14:paraId="5A1C08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1.01.1947 г. завод передан из 2ГУ в ИГУ. В соответствии с пост. СМ № 2118-814с от 25.05.1949 г. и приказом № 414с от 2.06.1949 г. завод № 481 с 1.01.1949 г. передан в МСХМ.</w:t>
      </w:r>
    </w:p>
    <w:p w14:paraId="008231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(-10.1941 г.)- Кравцов, (10.1941-)- Н.В. Климовицкий, (-04.1942-06.1945 г.-)- Гулай.</w:t>
      </w:r>
    </w:p>
    <w:p w14:paraId="1DB08D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(10.1941 г.-)- А.И. Хвостюк.</w:t>
      </w:r>
    </w:p>
    <w:p w14:paraId="1929B2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(ВОВ) агрегаты вооружения: ухваты к Дер-31, АСИ-140, АСТ-141, блоки РО-82, балки для РС-82, петрофлексы, электропуски, синхронные установки для Як-1, лафеты УБС для ЛаГГ-3, лафеты ШВАК для Пе-3, элементы вооружения для Ту-2, бомбовые кассеты АБКП-100; лыжи для Ил-2, запчасти для И-153, Р-5.</w:t>
      </w:r>
    </w:p>
    <w:p w14:paraId="6FB06F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Филиал завода № 481 НКАП /г. Москва/</w:t>
      </w:r>
    </w:p>
    <w:p w14:paraId="5EAD02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Филиал образован по приказу № 116с от 11.02.1942 г. на площадке эвакуированного завода № 487 НКАП для ремонта стрелкового и бомбардировочного вооружения. Начальник- Э.И. Озарский. Сразу после образования филиал получил задание на производство агрегатов вооружения: балок для РС-82,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-132, подкрыльевых кассет АБКП-500 для Ил-4, ампулометов.</w:t>
      </w:r>
    </w:p>
    <w:p w14:paraId="2E4ED4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375с от 14.05.1942 г. при филиале образован филиал ОКБ завода № 454 НКАП на площадях, ранее занимаемых ОКБ-487. Для этого из Куйбышева переведена группа сотрудников ОКБ завода № 454 (25 чел., начальник филиала- В.И. Ермилов).</w:t>
      </w:r>
    </w:p>
    <w:p w14:paraId="213BAD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02.1943 г. филиал был преобразован в самостоятельный завод с прежним наименованием- завод № 487 НКАП.</w:t>
      </w:r>
    </w:p>
    <w:p w14:paraId="0970C1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КБ гл. конструктора И.И. Торопова при заводе № 481 НКАП /г. Сызрань Куйбышевской обл./</w:t>
      </w:r>
    </w:p>
    <w:p w14:paraId="45C08B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878сс от 20.08.1941 г. на территорию завода № 481 в'Сызрань было эвакуировано со всем личным составом, тех. документацией и материалами КБ-3 завода № 32 гл. конструктора И.И. Торопова. Здесь КБ работало по турели для 12,7-мм пулемета для Пе-2 и «103у», установке ВУБ-3 для Ил-2. Торопов оставался гл. конструктором завода № 32.</w:t>
      </w:r>
    </w:p>
    <w:p w14:paraId="06B214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484с от 3.08.1944 г. КБ переведено на завод № 43 (возможно, перед этим оно уже было в Кирове на заводе № 32) (11092).</w:t>
      </w:r>
    </w:p>
    <w:p w14:paraId="78CE9FF5" w14:textId="77777777" w:rsidR="00D61714" w:rsidRPr="00640820" w:rsidRDefault="00D61714" w:rsidP="00640820">
      <w:pPr>
        <w:autoSpaceDE w:val="0"/>
        <w:autoSpaceDN w:val="0"/>
        <w:adjustRightInd w:val="0"/>
        <w:spacing w:after="0" w:line="240" w:lineRule="auto"/>
        <w:jc w:val="both"/>
        <w:rPr>
          <w:rFonts w:ascii="Times New Roman" w:hAnsi="Times New Roman"/>
          <w:color w:val="000000" w:themeColor="text1"/>
          <w:sz w:val="16"/>
          <w:szCs w:val="16"/>
        </w:rPr>
      </w:pPr>
    </w:p>
    <w:p w14:paraId="29DB65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ноября 1941 г. по приказу № 1109сс  часть завода № 487 (ГС Завод № 487 НКАП им. Коммунистической партии Германии (КПГ), Завод им. КПГ НКОМ /г. Москва/) (около 30 %) эвакуирована в Куйбышев и (70 %) в Сызрань. В Сызрани завод был влит в состав эвакуированного туда же завода № 481 НКАП, а в Куйбышеве- в состав завода № 454 НКАП. Завод № 487 выбыл из числа действующих.</w:t>
      </w:r>
    </w:p>
    <w:p w14:paraId="60D878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площадке эвакуированного завода № 487 в начале 1942 г. образован Московский филиал завода № 481 НКАП, далее вновь преобразованный в самостоятельный завод № 487 НКАП.</w:t>
      </w:r>
    </w:p>
    <w:p w14:paraId="6B912B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(04.1941 г.-&gt; Самсонов, (06.1941 г.-)- Степанов, (08.1941 г.)- М.П. Озимков (с 01.1942 г.- начальник Реммастерских на месте завода № 207).</w:t>
      </w:r>
    </w:p>
    <w:p w14:paraId="3B3798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(1941 г.)- И.П. Шебанов.</w:t>
      </w:r>
    </w:p>
    <w:p w14:paraId="5EF43423" w14:textId="77777777" w:rsidR="00D61714"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(1940-41 г.) стрелковые башни М-42, установки ШВАК для ТБ-7, бомбовые кассеты КМБ-2, лафеты пушек для Су-2 и Ил-2, балки РО-132 (2РУ-322), РО-82 (2РУ-223), электроспуски М-10, аварийные бомбосбрасыватели для Су-2.</w:t>
      </w:r>
    </w:p>
    <w:p w14:paraId="59811E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завода № 487 НКАП, ОКБ-487 НКАП гл. конструктора И.П. Шебанова</w:t>
      </w:r>
    </w:p>
    <w:p w14:paraId="498D09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280сс от 10.06.1940 г. на заводе им. КПГ был образован Опытный отдел по проектированию и изготовлению опытных образцов установок стрелкового вооружения. Сюда в. полном составе переведена с завода № 32 бригада КБ-3 гл. конструктора И.П. Шебанова, а также часть оборудования с завода № 32, и образовано КБ при заводе под его руководством (ОКБ-487). Начальник опытного цеха- А.А. Ляпин, его зам.- К.А. Бацын.</w:t>
      </w:r>
    </w:p>
    <w:p w14:paraId="42C18A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по установкам вооружения: установка ШКАС для Пе-2 и «103».</w:t>
      </w:r>
    </w:p>
    <w:p w14:paraId="15DEE7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32/35 от 13.10.1941 г. ОКБ-487 7ГУ гл. конструктора И.П. Шебанова вместе с частью завода эвакуировано на территорию завода № 454 НКАП в Куйбышев и продолжило работу под названием ОКБ-454 (11982).</w:t>
      </w:r>
    </w:p>
    <w:p w14:paraId="2361C700" w14:textId="77777777" w:rsidR="00D61714" w:rsidRPr="00640820" w:rsidRDefault="00D61714"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91C0285"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42999902"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98FC2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ноября 1941 вышло Постановление ГКО № 888 О подготовке к эвакуации завода № 221 НКВ. РГАНИР, Фонд ГКО, д. 14, лл. 53 (11012).</w:t>
      </w:r>
    </w:p>
    <w:p w14:paraId="3B2F6E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5BF943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ноября 1941 года вышел Приказ НКБ № 20</w:t>
      </w:r>
    </w:p>
    <w:p w14:paraId="41A640E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обеспечение обороны Москвы боеприпасами и руководства эвакуацией заводов устанавливаю следующую структуру и штат Московской группы НКБ:</w:t>
      </w:r>
    </w:p>
    <w:p w14:paraId="22148A8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управление производством боеприпасов в Москве со штатом 29 человек и с отделами:</w:t>
      </w:r>
    </w:p>
    <w:p w14:paraId="09122D4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отдел, руководящий механическими заводами НКБ</w:t>
      </w:r>
    </w:p>
    <w:p w14:paraId="195F383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2-й отдел по руководству снаряжательными отделами</w:t>
      </w:r>
    </w:p>
    <w:p w14:paraId="74FD27E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3-й отдел по руководству производством средств воспламенения и пиротехники</w:t>
      </w:r>
    </w:p>
    <w:p w14:paraId="2EF13F3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4-й отдел – комплектации выстрела………………………….(5679, 53-55).</w:t>
      </w:r>
    </w:p>
    <w:p w14:paraId="7812B03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FE1CC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ноября 1941 года вышел приказ № 21 НКТП</w:t>
      </w:r>
    </w:p>
    <w:p w14:paraId="52A28AC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 передаче завода “Лесопил” Сталинградского Облисполкома заводу № 264 (6034, 59).</w:t>
      </w:r>
    </w:p>
    <w:p w14:paraId="40B3E79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C75A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11 ноября 1941 г. вышло постановление ГКО № 888 о подготовке эвакуации завода (Завод № 221 НКОП, </w:t>
      </w:r>
      <w:r w:rsidRPr="00640820">
        <w:rPr>
          <w:rFonts w:ascii="Times New Roman" w:hAnsi="Times New Roman"/>
          <w:color w:val="000000" w:themeColor="text1"/>
          <w:sz w:val="16"/>
          <w:szCs w:val="16"/>
          <w:lang w:val="en-US"/>
        </w:rPr>
        <w:t>HKB</w:t>
      </w:r>
      <w:r w:rsidRPr="00640820">
        <w:rPr>
          <w:rFonts w:ascii="Times New Roman" w:hAnsi="Times New Roman"/>
          <w:color w:val="000000" w:themeColor="text1"/>
          <w:sz w:val="16"/>
          <w:szCs w:val="16"/>
        </w:rPr>
        <w:t>, МОП , Царицынский орудийный завод, Сталинградский орудийный завод ВСНХ, ГС завод «Баррикады» ВСНХ, НКТП, НКОП, п/я 113, ПО «Баррикады» Сталинградского СНХ, ГП, ФГУП «ПО «Баррикады» /г. Царицын, Сталинград п/я 113 «Баррикады» (1937 г.)/ /400071  г. Волгоград пр. Ленина тел. 78-19-00, 75-85-16/). В соответствии с распоряжением ГКО № 901 от 15.11.1941 г. на завод с завода № 264 передана часть станков для увеличения производства артиллерии и минометов. Сюда также была передана часть оборудования с ХТЗ, 29.12.1941 г. вышло постановление ГКО № 1084 об уменьшении количества передаваемых станков. 1.02.1942 г. вышло постановление ГКО № 1226 о передаче оборудования эвакуированного завода № 352 НКВ заводу № 221. 16.02.1942 г. вышло постановление ГКО № 1301 об отмене постановления № 888 о частичной эвакуации завода, но затем в 1942 г. завод № 221 НКВ эвакуирован в  г. Юргу Кемеровской обл. 3.06.1942 г. вышло постановление ГКО № 1843 об увеличении выпуска на заводе пушек УСВ.</w:t>
      </w:r>
    </w:p>
    <w:p w14:paraId="0ADF1C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имел свой артиллерийский полигон (1942 г.).</w:t>
      </w:r>
    </w:p>
    <w:p w14:paraId="2C648B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ГКО № 3582 от 15.06.1943 г. начато восстановление завода на прежнем месте. 27.12.1944 г. вышло постановление ГКО № 7213 о мероприятиях по оказанию помощи заводу.</w:t>
      </w:r>
    </w:p>
    <w:p w14:paraId="285624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ГКО № 7849 от 16.03.1945 г. начато серийное производство морской артустановки МУ-1.</w:t>
      </w:r>
    </w:p>
    <w:p w14:paraId="0BBF67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1944 г. завод № 221 - в ведении НКВ, в 1953 г. - МОП. Имел наименование «п/я 113» (1937-53 г.).</w:t>
      </w:r>
    </w:p>
    <w:p w14:paraId="48E20D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1950-х  г. разработаны и изготовлены винтовые насосы объемного действия для транспортирования ртути для завода № 12.</w:t>
      </w:r>
    </w:p>
    <w:p w14:paraId="2334AF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1991 г. начата подготовка к производству ПУ доя РК «Курьер».</w:t>
      </w:r>
    </w:p>
    <w:p w14:paraId="3738A8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(2002 г.): мобильных артиллерийских и ракетных систем; ядерных силовых установок; турбогенераторов. Работы (2005 г.): подготовка к производству мобильного БРК «Тополь-М», освоение выпуска ОТРК «Искандер»; организация производства прогрессивных ствольных заготовок.</w:t>
      </w:r>
    </w:p>
    <w:p w14:paraId="13A334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 В 2006 г. предотвращено банкротство предприятия, оно было продано. По указу № 526 от 11.05.2009 г. предприятие исключено из перечня стратегических.</w:t>
      </w:r>
    </w:p>
    <w:p w14:paraId="7731FF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Имело собственное металлургическое производство, которое в 2007 г. дложно было войти в холдинг «Русспецсталь». В рамках конверсии создан производственный комплекс площадью 9 тыс.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xml:space="preserve"> по выпуску крупногабаритных модульных металлоконструкций.</w:t>
      </w:r>
    </w:p>
    <w:p w14:paraId="543117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(1936 г.)- 11267 чел., (1937 г.)- 12504 чел.</w:t>
      </w:r>
      <w:r w:rsidRPr="00640820">
        <w:rPr>
          <w:rFonts w:ascii="Times New Roman" w:hAnsi="Times New Roman"/>
          <w:color w:val="000000" w:themeColor="text1"/>
          <w:sz w:val="16"/>
          <w:szCs w:val="16"/>
          <w:vertAlign w:val="superscript"/>
        </w:rPr>
        <w:t>145</w:t>
      </w:r>
    </w:p>
    <w:p w14:paraId="7A6FAE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(-02-23.07.1937 г.)- Д.Ф. Будняк (снят); и.о. (23.07-29.08.1937 г.)-  Г. Г. Слободчиков; (29.08.1937- 17.12.1938 г.)- П.В. Быстров, (17.12.1938-42 г.-&gt; Л.Р. Гонор. Управляющий (2002 г.)- Н.И. Аксенов. Гендиректор (2000-е)- Е.А. Майданов, Ю. Валов (осужден).</w:t>
      </w:r>
    </w:p>
    <w:p w14:paraId="298FB2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гендиректора (2000-е)- А.И. Патер. Зам. директора, гендиректора (3.11.1937 г.-)- П.Ф. Цуриков, (2009 г.)- Ю. Горбатков.</w:t>
      </w:r>
    </w:p>
    <w:p w14:paraId="08BDB0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(07.1937 г.)- Слободчиков, (3.11.1937-11.09.1938 г.)- П.Ф. Цуриков.</w:t>
      </w:r>
    </w:p>
    <w:p w14:paraId="70227C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инженера (05.1937 г.)-  Г. Г. Слободчиков.</w:t>
      </w:r>
    </w:p>
    <w:p w14:paraId="760D44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металлург (-27.05.1937 г.)- С.П. Моисеев, (27.05-25.09.1937 г.)- В.Д. Гурьянов (снят), (-10.1938-01.1939 г.-)- Струсельба. Гл. энергетик (06.1938 г.)- Антонов. Диспетчер (06.1938 г.)- Афанасьев.</w:t>
      </w:r>
    </w:p>
    <w:p w14:paraId="75FF80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управления: договоров и маркетинга (2000-е)- В.В. Коновалов; кадров (2000-е)- С.А. Чаркин.</w:t>
      </w:r>
    </w:p>
    <w:p w14:paraId="65ED91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управления по договорам: гражданской продукции и маркетингу (2000-е)- К.В. Сусленков; экспортной продукции и сбыту (2000-е)- В.В. Княжеченко; государственного оборонного заказа- И.О. (2000-е)- Р.В. Лежнев.</w:t>
      </w:r>
    </w:p>
    <w:p w14:paraId="65EE5B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цехов: № 9 (29.05.1937 г.-)- А.П. Решетников; № 11 (-5.03.1938 г.)- А.И. Михалев (снят); № 12 (- 29.05.1937 г.)- Р.И. Максимов, (29.05.1937 г.-)- М.В. Смирнов.</w:t>
      </w:r>
    </w:p>
    <w:p w14:paraId="042D99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5-го и.о. (07.1937 г.)- Сокольский; планового (1930-е)- Яковлев; ОСП (1938 г.)- Молоканов; ОКС- Микшун, (12.1937 г.)- Клапер-Казовский; сбыта (12.1937 г.)- Селезнев; ОТК (-02.1937 г.)-  Г. Г. Слабодчиков, и.о. (02.1937 г.-)- Хохлов. Начальник службы маркетинга (2000-е)- А.А. Резников.</w:t>
      </w:r>
    </w:p>
    <w:p w14:paraId="64586C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 артиллерийские орудия:</w:t>
      </w:r>
      <w:r w:rsidRPr="00640820">
        <w:rPr>
          <w:rFonts w:ascii="Times New Roman" w:hAnsi="Times New Roman"/>
          <w:color w:val="000000" w:themeColor="text1"/>
          <w:sz w:val="16"/>
          <w:szCs w:val="16"/>
        </w:rPr>
        <w:t xml:space="preserve"> 152-мм, 305-мм (1937-), 406-мм Б-37 для линкоров пр. 23 (1939-41)- 12 стволов;</w:t>
      </w:r>
      <w:r w:rsidRPr="00640820">
        <w:rPr>
          <w:rFonts w:ascii="Times New Roman" w:hAnsi="Times New Roman"/>
          <w:iCs/>
          <w:color w:val="000000" w:themeColor="text1"/>
          <w:sz w:val="16"/>
          <w:szCs w:val="16"/>
        </w:rPr>
        <w:t xml:space="preserve"> пушки:</w:t>
      </w:r>
      <w:r w:rsidRPr="00640820">
        <w:rPr>
          <w:rFonts w:ascii="Times New Roman" w:hAnsi="Times New Roman"/>
          <w:color w:val="000000" w:themeColor="text1"/>
          <w:sz w:val="16"/>
          <w:szCs w:val="16"/>
        </w:rPr>
        <w:t xml:space="preserve"> буксируемые: УСВ (1942), 57-мм противотанковая ЗИС-2 (-1942); 122-мм корпусная А-19 (1937), 152-мм пушка БР-2 (1937-), 152-мм пушка-гаубица Д-20 (1950-е), пушка С-23 (1960-е); танковые (ВОВ), 2АЗЗ для САУ «Акация», 2А46 для танков Т-72, Т-80; СМ-54 (2АЗ) на самоходном шасси для стрельбы ядерными боеприпасами «Конденсатор» (1957)- 4 шт.;</w:t>
      </w:r>
      <w:r w:rsidRPr="00640820">
        <w:rPr>
          <w:rFonts w:ascii="Times New Roman" w:hAnsi="Times New Roman"/>
          <w:iCs/>
          <w:color w:val="000000" w:themeColor="text1"/>
          <w:sz w:val="16"/>
          <w:szCs w:val="16"/>
        </w:rPr>
        <w:t xml:space="preserve"> гаубицы:</w:t>
      </w:r>
      <w:r w:rsidRPr="00640820">
        <w:rPr>
          <w:rFonts w:ascii="Times New Roman" w:hAnsi="Times New Roman"/>
          <w:color w:val="000000" w:themeColor="text1"/>
          <w:sz w:val="16"/>
          <w:szCs w:val="16"/>
        </w:rPr>
        <w:t xml:space="preserve"> 203-мм Б-4 (1937-); качающиеся части: железнодорожных установок ТП-1 и ТГ-1 (1939)- 2, морской 180-мм артустановки МУ-1 (1947)- 12, баллистический ствол 220-мм СМ-Э77 для СМ-40 (1953)- 1, морской 305-мм пушки СМ-33 (1951-53)- 12; СУ-122 (1955-61); башенная корабельная артиллерийская установка ЗИФ-67;</w:t>
      </w:r>
      <w:r w:rsidRPr="00640820">
        <w:rPr>
          <w:rFonts w:ascii="Times New Roman" w:hAnsi="Times New Roman"/>
          <w:iCs/>
          <w:color w:val="000000" w:themeColor="text1"/>
          <w:sz w:val="16"/>
          <w:szCs w:val="16"/>
        </w:rPr>
        <w:t xml:space="preserve"> самоходные ПУ:</w:t>
      </w:r>
      <w:r w:rsidRPr="00640820">
        <w:rPr>
          <w:rFonts w:ascii="Times New Roman" w:hAnsi="Times New Roman"/>
          <w:color w:val="000000" w:themeColor="text1"/>
          <w:sz w:val="16"/>
          <w:szCs w:val="16"/>
        </w:rPr>
        <w:t xml:space="preserve"> для ОТРК: 2П2 (1957-58)- 25 и транспортно- заряжаютцая машина 2ПЗ для «Марс» (1957-58)- 25, 2П16 для «Луна» (1959-64)- 432, «Темп-С», «Точка», «Точка- У», «Пионер», «Пионер-2», «Пионер-3», «Пионер УТТХ», для МБР: «Темп-2С», «Тополь», «Тополь-М», «Искандер»; железнодорожная ПУ для МБР РТ-23УТТХ (1980-е);</w:t>
      </w:r>
      <w:r w:rsidRPr="00640820">
        <w:rPr>
          <w:rFonts w:ascii="Times New Roman" w:hAnsi="Times New Roman"/>
          <w:color w:val="000000" w:themeColor="text1"/>
          <w:sz w:val="16"/>
          <w:szCs w:val="16"/>
          <w:vertAlign w:val="superscript"/>
        </w:rPr>
        <w:t>58</w:t>
      </w:r>
      <w:r w:rsidRPr="00640820">
        <w:rPr>
          <w:rFonts w:ascii="Times New Roman" w:hAnsi="Times New Roman"/>
          <w:color w:val="000000" w:themeColor="text1"/>
          <w:sz w:val="16"/>
          <w:szCs w:val="16"/>
        </w:rPr>
        <w:t xml:space="preserve"> палубная ПУ для ЗРК «Волна-М» (1970-е-80- е), установка ЗС90 для ЗРК «Ураган» (1980-2000-);</w:t>
      </w:r>
      <w:r w:rsidRPr="00640820">
        <w:rPr>
          <w:rFonts w:ascii="Times New Roman" w:hAnsi="Times New Roman"/>
          <w:color w:val="000000" w:themeColor="text1"/>
          <w:sz w:val="16"/>
          <w:szCs w:val="16"/>
          <w:vertAlign w:val="superscript"/>
        </w:rPr>
        <w:t>101</w:t>
      </w:r>
      <w:r w:rsidRPr="00640820">
        <w:rPr>
          <w:rFonts w:ascii="Times New Roman" w:hAnsi="Times New Roman"/>
          <w:color w:val="000000" w:themeColor="text1"/>
          <w:sz w:val="16"/>
          <w:szCs w:val="16"/>
        </w:rPr>
        <w:t xml:space="preserve"> корабельный ЗРК «Штиль» (2000-е); детали для минометов (1942);</w:t>
      </w:r>
    </w:p>
    <w:p w14:paraId="2F47E2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буровые установки для нефтегазовой промышленности (1960-е);</w:t>
      </w:r>
      <w:r w:rsidRPr="00640820">
        <w:rPr>
          <w:rFonts w:ascii="Times New Roman" w:hAnsi="Times New Roman"/>
          <w:color w:val="000000" w:themeColor="text1"/>
          <w:sz w:val="16"/>
          <w:szCs w:val="16"/>
          <w:vertAlign w:val="superscript"/>
        </w:rPr>
        <w:t>69</w:t>
      </w:r>
      <w:r w:rsidRPr="00640820">
        <w:rPr>
          <w:rFonts w:ascii="Times New Roman" w:hAnsi="Times New Roman"/>
          <w:color w:val="000000" w:themeColor="text1"/>
          <w:sz w:val="16"/>
          <w:szCs w:val="16"/>
        </w:rPr>
        <w:t xml:space="preserve"> плашечные превенторы ППР-180, ППГ-180, ППР2-180, ППГ2-180 (2000-е); передвижные автомобильные газозаправщики ПАГЗ-2000/25, ПАГЗ-ЗООО/25 на шасси КамАЗ (2000-</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vertAlign w:val="superscript"/>
          <w:lang w:val="en-US"/>
        </w:rPr>
        <w:t>wwwbarncadyru</w:t>
      </w:r>
      <w:r w:rsidRPr="00640820">
        <w:rPr>
          <w:rFonts w:ascii="Times New Roman" w:hAnsi="Times New Roman"/>
          <w:color w:val="000000" w:themeColor="text1"/>
          <w:sz w:val="16"/>
          <w:szCs w:val="16"/>
        </w:rPr>
        <w:t xml:space="preserve"> горно-шахтное и гидравлическое оборудование; агрегаты для атомной энергетики (11982).</w:t>
      </w:r>
    </w:p>
    <w:p w14:paraId="73C99E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84D6973" w14:textId="77777777" w:rsidR="00CB3F2E" w:rsidRPr="00640820" w:rsidRDefault="00CB3F2E" w:rsidP="00640820">
      <w:pPr>
        <w:shd w:val="clear" w:color="auto" w:fill="FFFFFF"/>
        <w:spacing w:after="0" w:line="240" w:lineRule="auto"/>
        <w:jc w:val="both"/>
        <w:rPr>
          <w:rFonts w:ascii="Times New Roman" w:eastAsia="Times New Roman" w:hAnsi="Times New Roman"/>
          <w:color w:val="0070C0"/>
          <w:sz w:val="16"/>
          <w:szCs w:val="16"/>
          <w:lang w:eastAsia="ru-RU"/>
        </w:rPr>
      </w:pPr>
      <w:r w:rsidRPr="00640820">
        <w:rPr>
          <w:rFonts w:ascii="Times New Roman" w:eastAsia="Times New Roman" w:hAnsi="Times New Roman"/>
          <w:color w:val="0070C0"/>
          <w:sz w:val="16"/>
          <w:szCs w:val="16"/>
          <w:lang w:eastAsia="ru-RU"/>
        </w:rPr>
        <w:t xml:space="preserve">11 ноября 1941 года вышел приказ НКТП №22. Согласно ему, к 15 ноября ожидалось получение рабочих чертежей на "установку М-30 в башне КВ", а к 15 декабря планировалось изготовить опытный образец такого орудия. Также к 20 ноября предполагалось получить чертежи установки в башне КВ еще одной систему - 85-мм зенитной пушки 52-К. Исполнителем работ являлся Ижорский Завод, так в то время именовался УЗТМ. </w:t>
      </w:r>
    </w:p>
    <w:p w14:paraId="1CD312AF" w14:textId="77777777" w:rsidR="00CB3F2E" w:rsidRPr="00640820" w:rsidRDefault="00CB3F2E" w:rsidP="00640820">
      <w:pPr>
        <w:shd w:val="clear" w:color="auto" w:fill="FFFFFF"/>
        <w:spacing w:after="0" w:line="240" w:lineRule="auto"/>
        <w:jc w:val="both"/>
        <w:rPr>
          <w:rFonts w:ascii="Times New Roman" w:eastAsia="Times New Roman" w:hAnsi="Times New Roman"/>
          <w:color w:val="0070C0"/>
          <w:sz w:val="16"/>
          <w:szCs w:val="16"/>
          <w:lang w:eastAsia="ru-RU"/>
        </w:rPr>
      </w:pPr>
      <w:r w:rsidRPr="00640820">
        <w:rPr>
          <w:rFonts w:ascii="Times New Roman" w:eastAsia="Times New Roman" w:hAnsi="Times New Roman"/>
          <w:color w:val="0070C0"/>
          <w:sz w:val="16"/>
          <w:szCs w:val="16"/>
          <w:lang w:eastAsia="ru-RU"/>
        </w:rPr>
        <w:t>Может показаться странным, почему Котин выбрал такие орудия. Если с 52-К всё понятно, ведь в башню КВ зенитку пытались вписать (неудачно) еще с 1940 года, то 122-мм дивизионная гаубица М-30 на танковое орудие не тянула. Ответ прозаичен, и никаким образом не связан с довоенными разработками. Дело в том, что на УЗТМ с 1940 года развернули выпуск гаубиц М-30. Для организации выпуска гаубицы в Свердловск направили ее автора - конструктора Ф.Ф. Петрова. Туда же из Свердловска направили и А.Н. Булашева, которого Котин, в ноябре 1941 года, назначил ответственным за разработку орудий. На новом месте Петров стал начальником ОКБ-3 УЗТМ, там же оказался и Булашев (20860).</w:t>
      </w:r>
    </w:p>
    <w:p w14:paraId="68807600" w14:textId="77777777" w:rsidR="00CB3F2E" w:rsidRPr="00640820" w:rsidRDefault="00CB3F2E" w:rsidP="00640820">
      <w:pPr>
        <w:shd w:val="clear" w:color="auto" w:fill="FFFFFF"/>
        <w:spacing w:after="0" w:line="240" w:lineRule="auto"/>
        <w:jc w:val="both"/>
        <w:rPr>
          <w:rFonts w:ascii="Times New Roman" w:eastAsia="Times New Roman" w:hAnsi="Times New Roman"/>
          <w:color w:val="0070C0"/>
          <w:sz w:val="16"/>
          <w:szCs w:val="16"/>
          <w:lang w:eastAsia="ru-RU"/>
        </w:rPr>
      </w:pPr>
    </w:p>
    <w:p w14:paraId="35F60F5A" w14:textId="77777777" w:rsidR="00CB3F2E" w:rsidRPr="00640820" w:rsidRDefault="00CB3F2E" w:rsidP="00640820">
      <w:pPr>
        <w:spacing w:after="0" w:line="240" w:lineRule="auto"/>
        <w:jc w:val="both"/>
        <w:rPr>
          <w:rFonts w:ascii="Times New Roman" w:hAnsi="Times New Roman"/>
          <w:color w:val="0070C0"/>
          <w:sz w:val="16"/>
          <w:szCs w:val="16"/>
          <w:shd w:val="clear" w:color="auto" w:fill="FFFFFF"/>
        </w:rPr>
      </w:pPr>
      <w:r w:rsidRPr="00640820">
        <w:rPr>
          <w:rFonts w:ascii="Times New Roman" w:hAnsi="Times New Roman"/>
          <w:color w:val="0070C0"/>
          <w:sz w:val="16"/>
          <w:szCs w:val="16"/>
          <w:shd w:val="clear" w:color="auto" w:fill="FFFFFF"/>
        </w:rPr>
        <w:t>11 ноября 1941 года в Горьком прошло Совещание упрощения конструкции Т-60. Всего утвердили 37 пунктов упрощений, часть из них скорее являлось крайней мерой. Стоит отметить, что от подавляющего большинства упрощений конструкции старались отказаться при первой же возможности (23932).</w:t>
      </w:r>
    </w:p>
    <w:p w14:paraId="3BB7B65A" w14:textId="77777777" w:rsidR="00CB3F2E" w:rsidRPr="00640820" w:rsidRDefault="00CB3F2E" w:rsidP="00640820">
      <w:pPr>
        <w:spacing w:after="0" w:line="240" w:lineRule="auto"/>
        <w:jc w:val="both"/>
        <w:rPr>
          <w:rFonts w:ascii="Times New Roman" w:hAnsi="Times New Roman"/>
          <w:color w:val="0070C0"/>
          <w:sz w:val="16"/>
          <w:szCs w:val="16"/>
          <w:shd w:val="clear" w:color="auto" w:fill="FFFFFF"/>
        </w:rPr>
      </w:pPr>
    </w:p>
    <w:p w14:paraId="18C99F60" w14:textId="77777777" w:rsidR="00AE1A6D" w:rsidRPr="00640820" w:rsidRDefault="00AE1A6D" w:rsidP="00640820">
      <w:pPr>
        <w:pStyle w:val="162"/>
        <w:shd w:val="clear" w:color="auto" w:fill="auto"/>
        <w:spacing w:line="240" w:lineRule="auto"/>
        <w:jc w:val="both"/>
        <w:rPr>
          <w:color w:val="000000" w:themeColor="text1"/>
          <w:sz w:val="16"/>
          <w:szCs w:val="16"/>
        </w:rPr>
      </w:pPr>
      <w:r w:rsidRPr="00640820">
        <w:rPr>
          <w:color w:val="000000" w:themeColor="text1"/>
          <w:sz w:val="16"/>
          <w:szCs w:val="16"/>
        </w:rPr>
        <w:t>11 ноября 1941 года состоялось совещание руководства завода и КБ ГАЗ, основной повесткой которого стало упрощение танка. По итогам совещания было принято следующее решение:</w:t>
      </w:r>
    </w:p>
    <w:p w14:paraId="09F3E558" w14:textId="77777777" w:rsidR="00AE1A6D" w:rsidRPr="00640820" w:rsidRDefault="00AE1A6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обеспечения бесперебойного выпуска танков мод. «060» в военное время разрешается:</w:t>
      </w:r>
    </w:p>
    <w:p w14:paraId="6CB20EAC" w14:textId="77777777" w:rsidR="00AE1A6D" w:rsidRPr="00640820" w:rsidRDefault="00AE1A6D" w:rsidP="00640820">
      <w:pPr>
        <w:tabs>
          <w:tab w:val="left" w:pos="558"/>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Замена марок и наименований материалов, видов и характера по</w:t>
      </w:r>
      <w:r w:rsidRPr="00640820">
        <w:rPr>
          <w:rFonts w:ascii="Times New Roman" w:hAnsi="Times New Roman"/>
          <w:color w:val="000000" w:themeColor="text1"/>
          <w:sz w:val="16"/>
          <w:szCs w:val="16"/>
        </w:rPr>
        <w:softHyphen/>
        <w:t>крытий по усмотрению под ответственность завода.</w:t>
      </w:r>
    </w:p>
    <w:p w14:paraId="05E9D50C" w14:textId="77777777" w:rsidR="00AE1A6D" w:rsidRPr="00640820" w:rsidRDefault="00AE1A6D" w:rsidP="00640820">
      <w:pPr>
        <w:tabs>
          <w:tab w:val="left" w:pos="558"/>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Возможность маневрирования с использованием смежных деталей, а также и нормалей, при которой будет допускаться замена одних смеж</w:t>
      </w:r>
      <w:r w:rsidRPr="00640820">
        <w:rPr>
          <w:rFonts w:ascii="Times New Roman" w:hAnsi="Times New Roman"/>
          <w:color w:val="000000" w:themeColor="text1"/>
          <w:sz w:val="16"/>
          <w:szCs w:val="16"/>
        </w:rPr>
        <w:softHyphen/>
        <w:t>ных деталей и нормалей другими.</w:t>
      </w:r>
    </w:p>
    <w:p w14:paraId="769EEADF" w14:textId="77777777" w:rsidR="00AE1A6D" w:rsidRPr="00640820" w:rsidRDefault="00AE1A6D" w:rsidP="00640820">
      <w:pPr>
        <w:tabs>
          <w:tab w:val="left" w:pos="529"/>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Изменения по пунктам 1 и 2 вводятся в жизнь с уведомлением стар</w:t>
      </w:r>
      <w:r w:rsidRPr="00640820">
        <w:rPr>
          <w:rFonts w:ascii="Times New Roman" w:hAnsi="Times New Roman"/>
          <w:color w:val="000000" w:themeColor="text1"/>
          <w:sz w:val="16"/>
          <w:szCs w:val="16"/>
        </w:rPr>
        <w:softHyphen/>
        <w:t>шего Военпреда ГАБТУКА по танковому производству.</w:t>
      </w:r>
    </w:p>
    <w:p w14:paraId="49A57216" w14:textId="77777777" w:rsidR="00AE1A6D" w:rsidRPr="00640820" w:rsidRDefault="00AE1A6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разрешается:</w:t>
      </w:r>
    </w:p>
    <w:p w14:paraId="6B16803E" w14:textId="77777777" w:rsidR="00AE1A6D" w:rsidRPr="00640820" w:rsidRDefault="00AE1A6D" w:rsidP="00640820">
      <w:pPr>
        <w:tabs>
          <w:tab w:val="left" w:pos="512"/>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Применять сотовые радиаторы с трубками от 7 до 11 мм диаметром.</w:t>
      </w:r>
    </w:p>
    <w:p w14:paraId="5942CAF3" w14:textId="77777777" w:rsidR="00AE1A6D" w:rsidRPr="00640820" w:rsidRDefault="00AE1A6D" w:rsidP="00640820">
      <w:pPr>
        <w:tabs>
          <w:tab w:val="left" w:pos="546"/>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Замена сотового радиатора трубчато-пластинчатым.</w:t>
      </w:r>
    </w:p>
    <w:p w14:paraId="7270B300" w14:textId="77777777" w:rsidR="00AE1A6D" w:rsidRPr="00640820" w:rsidRDefault="00AE1A6D" w:rsidP="00640820">
      <w:pPr>
        <w:tabs>
          <w:tab w:val="left" w:pos="543"/>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Замена трубок бензино- и маслопровода, изготовляющихся из крас</w:t>
      </w:r>
      <w:r w:rsidRPr="00640820">
        <w:rPr>
          <w:rFonts w:ascii="Times New Roman" w:hAnsi="Times New Roman"/>
          <w:color w:val="000000" w:themeColor="text1"/>
          <w:sz w:val="16"/>
          <w:szCs w:val="16"/>
        </w:rPr>
        <w:softHyphen/>
        <w:t>ной меди, на трубки из латуни и стали.</w:t>
      </w:r>
    </w:p>
    <w:p w14:paraId="68900853" w14:textId="77777777" w:rsidR="00AE1A6D" w:rsidRPr="00640820" w:rsidRDefault="00AE1A6D" w:rsidP="00640820">
      <w:pPr>
        <w:tabs>
          <w:tab w:val="left" w:pos="562"/>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Замена литых, точеных пробок радиатора и бензинового бака на штампованные принятого на заводе типа.</w:t>
      </w:r>
    </w:p>
    <w:p w14:paraId="789C45C5" w14:textId="77777777" w:rsidR="00AE1A6D" w:rsidRPr="00640820" w:rsidRDefault="00AE1A6D" w:rsidP="00640820">
      <w:pPr>
        <w:tabs>
          <w:tab w:val="left" w:pos="543"/>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Замена литого алюминиевого вентилятора с дюралюминиевыми ло</w:t>
      </w:r>
      <w:r w:rsidRPr="00640820">
        <w:rPr>
          <w:rFonts w:ascii="Times New Roman" w:hAnsi="Times New Roman"/>
          <w:color w:val="000000" w:themeColor="text1"/>
          <w:sz w:val="16"/>
          <w:szCs w:val="16"/>
        </w:rPr>
        <w:softHyphen/>
        <w:t>пастями на стальной штампованный.</w:t>
      </w:r>
    </w:p>
    <w:p w14:paraId="1E2D8CCE" w14:textId="77777777" w:rsidR="00AE1A6D" w:rsidRPr="00640820" w:rsidRDefault="00AE1A6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Заменять принятый карбюратор МК-3—6МГна другие карбюрато</w:t>
      </w:r>
      <w:r w:rsidRPr="00640820">
        <w:rPr>
          <w:rFonts w:ascii="Times New Roman" w:hAnsi="Times New Roman"/>
          <w:color w:val="000000" w:themeColor="text1"/>
          <w:sz w:val="16"/>
          <w:szCs w:val="16"/>
        </w:rPr>
        <w:softHyphen/>
        <w:t>ры в зависимости от наличия баз снабжения (К-23, М-1 и другие)</w:t>
      </w:r>
    </w:p>
    <w:p w14:paraId="547F8696" w14:textId="77777777" w:rsidR="00AE1A6D" w:rsidRPr="00640820" w:rsidRDefault="00AE1A6D" w:rsidP="00640820">
      <w:pPr>
        <w:tabs>
          <w:tab w:val="left" w:pos="634"/>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Замена в случае крайней необходимости освинцованного оцинкован</w:t>
      </w:r>
      <w:r w:rsidRPr="00640820">
        <w:rPr>
          <w:rFonts w:ascii="Times New Roman" w:hAnsi="Times New Roman"/>
          <w:color w:val="000000" w:themeColor="text1"/>
          <w:sz w:val="16"/>
          <w:szCs w:val="16"/>
        </w:rPr>
        <w:softHyphen/>
        <w:t>ного листа бензиновых баков черным листом без дополнительной анти</w:t>
      </w:r>
      <w:r w:rsidRPr="00640820">
        <w:rPr>
          <w:rFonts w:ascii="Times New Roman" w:hAnsi="Times New Roman"/>
          <w:color w:val="000000" w:themeColor="text1"/>
          <w:sz w:val="16"/>
          <w:szCs w:val="16"/>
        </w:rPr>
        <w:softHyphen/>
        <w:t>коррозийной защиты.</w:t>
      </w:r>
    </w:p>
    <w:p w14:paraId="3B5B1AD5" w14:textId="77777777" w:rsidR="00AE1A6D" w:rsidRPr="00640820" w:rsidRDefault="00AE1A6D" w:rsidP="00640820">
      <w:pPr>
        <w:tabs>
          <w:tab w:val="left" w:pos="668"/>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Отменить амперметр и вольтметр с заменой первого контрольной лампой.</w:t>
      </w:r>
    </w:p>
    <w:p w14:paraId="31213E43" w14:textId="77777777" w:rsidR="00AE1A6D" w:rsidRPr="00640820" w:rsidRDefault="00AE1A6D" w:rsidP="00640820">
      <w:pPr>
        <w:tabs>
          <w:tab w:val="left" w:pos="644"/>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Отменить внутреннюю сигнализацию и ВКУ, заменив двумя розет</w:t>
      </w:r>
      <w:r w:rsidRPr="00640820">
        <w:rPr>
          <w:rFonts w:ascii="Times New Roman" w:hAnsi="Times New Roman"/>
          <w:color w:val="000000" w:themeColor="text1"/>
          <w:sz w:val="16"/>
          <w:szCs w:val="16"/>
        </w:rPr>
        <w:softHyphen/>
        <w:t>ками на подбашенном листе для ламп плафона и прицела.</w:t>
      </w:r>
    </w:p>
    <w:p w14:paraId="635E64DB" w14:textId="77777777" w:rsidR="00AE1A6D" w:rsidRPr="00640820" w:rsidRDefault="00AE1A6D" w:rsidP="00640820">
      <w:pPr>
        <w:tabs>
          <w:tab w:val="left" w:pos="711"/>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10. Отменить экранировку электрооборудования и проводов, кроме экранирующей коробки на линейных машинах.</w:t>
      </w:r>
    </w:p>
    <w:p w14:paraId="37502191" w14:textId="77777777" w:rsidR="00AE1A6D" w:rsidRPr="00640820" w:rsidRDefault="00AE1A6D" w:rsidP="00640820">
      <w:pPr>
        <w:tabs>
          <w:tab w:val="left" w:pos="649"/>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Замена заднего фонаря, плафона, переносной лампы, лампы щитка прибора на стандартные, принятые на автомобилях.</w:t>
      </w:r>
    </w:p>
    <w:p w14:paraId="182482C2" w14:textId="77777777" w:rsidR="00AE1A6D" w:rsidRPr="00640820" w:rsidRDefault="00AE1A6D" w:rsidP="00640820">
      <w:pPr>
        <w:tabs>
          <w:tab w:val="left" w:pos="634"/>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Отмена самостоятельных предохранителей в цепях, а также упро</w:t>
      </w:r>
      <w:r w:rsidRPr="00640820">
        <w:rPr>
          <w:rFonts w:ascii="Times New Roman" w:hAnsi="Times New Roman"/>
          <w:color w:val="000000" w:themeColor="text1"/>
          <w:sz w:val="16"/>
          <w:szCs w:val="16"/>
        </w:rPr>
        <w:softHyphen/>
        <w:t>щение и удешевление их конструкции.</w:t>
      </w:r>
    </w:p>
    <w:p w14:paraId="4BB9001A" w14:textId="77777777" w:rsidR="00AE1A6D" w:rsidRPr="00640820" w:rsidRDefault="00AE1A6D" w:rsidP="00640820">
      <w:pPr>
        <w:tabs>
          <w:tab w:val="left" w:pos="663"/>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Замена эбонитовых баков аккумуляторов на баки из пластмассы в случае крайней необходимости.</w:t>
      </w:r>
    </w:p>
    <w:p w14:paraId="1345C50F" w14:textId="77777777" w:rsidR="00AE1A6D" w:rsidRPr="00640820" w:rsidRDefault="00AE1A6D" w:rsidP="00640820">
      <w:pPr>
        <w:tabs>
          <w:tab w:val="left" w:pos="666"/>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Отмена звукового сигнала в случае крайней необходимости.</w:t>
      </w:r>
    </w:p>
    <w:p w14:paraId="76A57B3B" w14:textId="77777777" w:rsidR="00AE1A6D" w:rsidRPr="00640820" w:rsidRDefault="00AE1A6D" w:rsidP="00640820">
      <w:pPr>
        <w:tabs>
          <w:tab w:val="left" w:pos="639"/>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Заменять типы генераторов и реле в зависимости от наличия и баз снабжения.</w:t>
      </w:r>
    </w:p>
    <w:p w14:paraId="45757BC5" w14:textId="77777777" w:rsidR="00AE1A6D" w:rsidRPr="00640820" w:rsidRDefault="00AE1A6D" w:rsidP="00640820">
      <w:pPr>
        <w:tabs>
          <w:tab w:val="left" w:pos="654"/>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Пересмотр и сокращение номенклатуры шоферского инструмента с согласия Военпреда ГАБТУ КА.</w:t>
      </w:r>
    </w:p>
    <w:p w14:paraId="471A1FCA" w14:textId="77777777" w:rsidR="00AE1A6D" w:rsidRPr="00640820" w:rsidRDefault="00AE1A6D" w:rsidP="00640820">
      <w:pPr>
        <w:tabs>
          <w:tab w:val="left" w:pos="662"/>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Отменить в случае крайней необходимости часы.</w:t>
      </w:r>
    </w:p>
    <w:p w14:paraId="50425F73" w14:textId="77777777" w:rsidR="00AE1A6D" w:rsidRPr="00640820" w:rsidRDefault="00AE1A6D" w:rsidP="00640820">
      <w:pPr>
        <w:tabs>
          <w:tab w:val="left" w:pos="678"/>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Заменить типы и числа свечей ламп, употребляемых в различных местах машин (включая прицел).</w:t>
      </w:r>
    </w:p>
    <w:p w14:paraId="1D549B2B" w14:textId="77777777" w:rsidR="00AE1A6D" w:rsidRPr="00640820" w:rsidRDefault="00AE1A6D" w:rsidP="00640820">
      <w:pPr>
        <w:tabs>
          <w:tab w:val="left" w:pos="662"/>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Отменить в случае крайней необходимости выключатель массы.</w:t>
      </w:r>
    </w:p>
    <w:p w14:paraId="51D172AC" w14:textId="77777777" w:rsidR="00AE1A6D" w:rsidRPr="00640820" w:rsidRDefault="00AE1A6D" w:rsidP="00640820">
      <w:pPr>
        <w:tabs>
          <w:tab w:val="left" w:pos="687"/>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Упрощение конструкции тепловой защиты выхлопного устрой</w:t>
      </w:r>
      <w:r w:rsidRPr="00640820">
        <w:rPr>
          <w:rFonts w:ascii="Times New Roman" w:hAnsi="Times New Roman"/>
          <w:color w:val="000000" w:themeColor="text1"/>
          <w:sz w:val="16"/>
          <w:szCs w:val="16"/>
        </w:rPr>
        <w:softHyphen/>
        <w:t>ства.</w:t>
      </w:r>
    </w:p>
    <w:p w14:paraId="6B291735" w14:textId="77777777" w:rsidR="00AE1A6D" w:rsidRPr="00640820" w:rsidRDefault="00AE1A6D" w:rsidP="00640820">
      <w:pPr>
        <w:tabs>
          <w:tab w:val="left" w:pos="686"/>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Отменить на зимнее время установку масляного радиатора.</w:t>
      </w:r>
    </w:p>
    <w:p w14:paraId="226C4D95" w14:textId="77777777" w:rsidR="00AE1A6D" w:rsidRPr="00640820" w:rsidRDefault="00AE1A6D" w:rsidP="00640820">
      <w:pPr>
        <w:tabs>
          <w:tab w:val="left" w:pos="649"/>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Отменить на зимнее время вентиляцию картера двигателя (соеди</w:t>
      </w:r>
      <w:r w:rsidRPr="00640820">
        <w:rPr>
          <w:rFonts w:ascii="Times New Roman" w:hAnsi="Times New Roman"/>
          <w:color w:val="000000" w:themeColor="text1"/>
          <w:sz w:val="16"/>
          <w:szCs w:val="16"/>
        </w:rPr>
        <w:softHyphen/>
        <w:t>ненную с системой подачи топлива).</w:t>
      </w:r>
    </w:p>
    <w:p w14:paraId="2FE91463" w14:textId="77777777" w:rsidR="00AE1A6D" w:rsidRPr="00640820" w:rsidRDefault="00AE1A6D" w:rsidP="00640820">
      <w:pPr>
        <w:tabs>
          <w:tab w:val="left" w:pos="686"/>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Отменить окантовку лаза башни в случае крайней необходимости.</w:t>
      </w:r>
    </w:p>
    <w:p w14:paraId="1BBFE9D7" w14:textId="77777777" w:rsidR="00AE1A6D" w:rsidRPr="00640820" w:rsidRDefault="00AE1A6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Отменить резиновые подушки под двигателем, перейдя на жесткие опоры</w:t>
      </w:r>
    </w:p>
    <w:p w14:paraId="2C7AA8B6" w14:textId="77777777" w:rsidR="00AE1A6D" w:rsidRPr="00640820" w:rsidRDefault="00AE1A6D" w:rsidP="00640820">
      <w:pPr>
        <w:tabs>
          <w:tab w:val="left" w:pos="3830"/>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Допустить выпуск танков без оптического прицела — только с ме</w:t>
      </w:r>
      <w:r w:rsidRPr="00640820">
        <w:rPr>
          <w:rFonts w:ascii="Times New Roman" w:hAnsi="Times New Roman"/>
          <w:color w:val="000000" w:themeColor="text1"/>
          <w:sz w:val="16"/>
          <w:szCs w:val="16"/>
        </w:rPr>
        <w:softHyphen/>
        <w:t>ханическим прицелом (в случае отсутствия оптики), с упрощенным кре</w:t>
      </w:r>
      <w:r w:rsidRPr="00640820">
        <w:rPr>
          <w:rFonts w:ascii="Times New Roman" w:hAnsi="Times New Roman"/>
          <w:color w:val="000000" w:themeColor="text1"/>
          <w:sz w:val="16"/>
          <w:szCs w:val="16"/>
        </w:rPr>
        <w:softHyphen/>
        <w:t>плением оптического прицела и жесткой мушкой.</w:t>
      </w:r>
    </w:p>
    <w:p w14:paraId="78A70C28" w14:textId="77777777" w:rsidR="00AE1A6D" w:rsidRPr="00640820" w:rsidRDefault="00AE1A6D" w:rsidP="00640820">
      <w:pPr>
        <w:tabs>
          <w:tab w:val="left" w:pos="3841"/>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Отменить установку термосов.</w:t>
      </w:r>
    </w:p>
    <w:p w14:paraId="3B8A43A8" w14:textId="77777777" w:rsidR="00AE1A6D" w:rsidRPr="00640820" w:rsidRDefault="00AE1A6D" w:rsidP="00640820">
      <w:pPr>
        <w:tabs>
          <w:tab w:val="left" w:pos="3868"/>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Отменить установку внутреннего сальника, кронштейна ходовой части и канавок на малой втулке оси балансира, в связи с чем: отменить обработку заднего торца кронштейна, сверловку дыр и нарезку резьбы в нем, втулку в оси балансира, кольцо, удерживающее сальник и болты к нему, обработку оси балансира под посадку втулки.</w:t>
      </w:r>
    </w:p>
    <w:p w14:paraId="425257E0" w14:textId="77777777" w:rsidR="00AE1A6D" w:rsidRPr="00640820" w:rsidRDefault="00AE1A6D" w:rsidP="00640820">
      <w:pPr>
        <w:tabs>
          <w:tab w:val="left" w:pos="3849"/>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Ввести новое крепление торсиона, в связи с чем аннулировать резь</w:t>
      </w:r>
      <w:r w:rsidRPr="00640820">
        <w:rPr>
          <w:rFonts w:ascii="Times New Roman" w:hAnsi="Times New Roman"/>
          <w:color w:val="000000" w:themeColor="text1"/>
          <w:sz w:val="16"/>
          <w:szCs w:val="16"/>
        </w:rPr>
        <w:softHyphen/>
        <w:t>бу в оси балансира, гайку и болт с мертвой шайбой, введя проточку в оси балансира, две штамповки (шайбы) и нормальный болт.</w:t>
      </w:r>
    </w:p>
    <w:p w14:paraId="6C021007" w14:textId="77777777" w:rsidR="00AE1A6D" w:rsidRPr="00640820" w:rsidRDefault="00AE1A6D" w:rsidP="00640820">
      <w:pPr>
        <w:tabs>
          <w:tab w:val="left" w:pos="638"/>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Отменить 5 отверстий по низу кронштейна подвески и две дырки по борту (56 заклепок на машину).</w:t>
      </w:r>
    </w:p>
    <w:p w14:paraId="262DCCB6" w14:textId="77777777" w:rsidR="00AE1A6D" w:rsidRPr="00640820" w:rsidRDefault="00AE1A6D" w:rsidP="00640820">
      <w:pPr>
        <w:tabs>
          <w:tab w:val="left" w:pos="677"/>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Снять обрезинивание с ленивца, использовав отливку катков или дисковый каток с утолщенными до 3,5 мм дисками, как необрезиненный ленивец с гладкой обработкой обода.</w:t>
      </w:r>
    </w:p>
    <w:p w14:paraId="461338CF" w14:textId="77777777" w:rsidR="00AE1A6D" w:rsidRPr="00640820" w:rsidRDefault="00AE1A6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 Ведущее колесо гусеницы сделать литым (без штампованного ли</w:t>
      </w:r>
      <w:r w:rsidRPr="00640820">
        <w:rPr>
          <w:rFonts w:ascii="Times New Roman" w:hAnsi="Times New Roman"/>
          <w:color w:val="000000" w:themeColor="text1"/>
          <w:sz w:val="16"/>
          <w:szCs w:val="16"/>
        </w:rPr>
        <w:softHyphen/>
        <w:t>ста и 16 болтов крепления венца).</w:t>
      </w:r>
    </w:p>
    <w:p w14:paraId="6A773D1B" w14:textId="77777777" w:rsidR="00AE1A6D" w:rsidRPr="00640820" w:rsidRDefault="00AE1A6D" w:rsidP="00640820">
      <w:pPr>
        <w:tabs>
          <w:tab w:val="left" w:pos="644"/>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 Аннулировать пол боевого отделения (группа 46) полностью без за</w:t>
      </w:r>
      <w:r w:rsidRPr="00640820">
        <w:rPr>
          <w:rFonts w:ascii="Times New Roman" w:hAnsi="Times New Roman"/>
          <w:color w:val="000000" w:themeColor="text1"/>
          <w:sz w:val="16"/>
          <w:szCs w:val="16"/>
        </w:rPr>
        <w:softHyphen/>
        <w:t>мены.</w:t>
      </w:r>
    </w:p>
    <w:p w14:paraId="7B7021D3" w14:textId="77777777" w:rsidR="00AE1A6D" w:rsidRPr="00640820" w:rsidRDefault="00AE1A6D" w:rsidP="00640820">
      <w:pPr>
        <w:tabs>
          <w:tab w:val="left" w:pos="639"/>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33. Перейти на радиальные подшипники катков (со штампованным ла</w:t>
      </w:r>
      <w:r w:rsidRPr="00640820">
        <w:rPr>
          <w:rFonts w:ascii="Times New Roman" w:hAnsi="Times New Roman"/>
          <w:color w:val="000000" w:themeColor="text1"/>
          <w:sz w:val="16"/>
          <w:szCs w:val="16"/>
        </w:rPr>
        <w:softHyphen/>
        <w:t>биринтом).</w:t>
      </w:r>
    </w:p>
    <w:p w14:paraId="17CEA6DF" w14:textId="77777777" w:rsidR="00AE1A6D" w:rsidRPr="00640820" w:rsidRDefault="00AE1A6D" w:rsidP="00640820">
      <w:pPr>
        <w:tabs>
          <w:tab w:val="left" w:pos="650"/>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34. Отменить установку воздушной заслонки воздухопритока башни.</w:t>
      </w:r>
    </w:p>
    <w:p w14:paraId="6DE47F5E" w14:textId="77777777" w:rsidR="00AE1A6D" w:rsidRPr="00640820" w:rsidRDefault="00AE1A6D" w:rsidP="00640820">
      <w:pPr>
        <w:tabs>
          <w:tab w:val="left" w:pos="678"/>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 Пересмотреть ведомость индивидуального и ротного комплекта ЗИП в соответствии с настоящим протоколом.</w:t>
      </w:r>
    </w:p>
    <w:p w14:paraId="71F7287D" w14:textId="77777777" w:rsidR="00AE1A6D" w:rsidRPr="00640820" w:rsidRDefault="00AE1A6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исключить из ведомости индивидуального и ротного ком</w:t>
      </w:r>
      <w:r w:rsidRPr="00640820">
        <w:rPr>
          <w:rFonts w:ascii="Times New Roman" w:hAnsi="Times New Roman"/>
          <w:color w:val="000000" w:themeColor="text1"/>
          <w:sz w:val="16"/>
          <w:szCs w:val="16"/>
        </w:rPr>
        <w:softHyphen/>
        <w:t>плекта ЗИП:</w:t>
      </w:r>
    </w:p>
    <w:p w14:paraId="31D9409E" w14:textId="77777777" w:rsidR="00AE1A6D" w:rsidRPr="00640820" w:rsidRDefault="00AE1A6D" w:rsidP="00640820">
      <w:pPr>
        <w:tabs>
          <w:tab w:val="left" w:pos="530"/>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010—28—003 ключ 78—85мм для круглых гаек.</w:t>
      </w:r>
    </w:p>
    <w:p w14:paraId="7690B4F4" w14:textId="77777777" w:rsidR="00AE1A6D" w:rsidRPr="00640820" w:rsidRDefault="00AE1A6D" w:rsidP="00640820">
      <w:pPr>
        <w:tabs>
          <w:tab w:val="left" w:pos="530"/>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Асбест шнуровой.</w:t>
      </w:r>
    </w:p>
    <w:p w14:paraId="287AE064" w14:textId="77777777" w:rsidR="00AE1A6D" w:rsidRPr="00640820" w:rsidRDefault="00AE1A6D" w:rsidP="00640820">
      <w:pPr>
        <w:tabs>
          <w:tab w:val="left" w:pos="553"/>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Поршень двигателя в сборе с кольцами, пальцем, шатуном и вклады</w:t>
      </w:r>
      <w:r w:rsidRPr="00640820">
        <w:rPr>
          <w:rFonts w:ascii="Times New Roman" w:hAnsi="Times New Roman"/>
          <w:color w:val="000000" w:themeColor="text1"/>
          <w:sz w:val="16"/>
          <w:szCs w:val="16"/>
        </w:rPr>
        <w:softHyphen/>
        <w:t>шем шатуна давать в количестве 12 штук в ротный комплект (исключив примечание — «на каждую машину»).</w:t>
      </w:r>
    </w:p>
    <w:p w14:paraId="0CFF179A" w14:textId="77777777" w:rsidR="00AE1A6D" w:rsidRPr="00640820" w:rsidRDefault="00AE1A6D" w:rsidP="00640820">
      <w:pPr>
        <w:tabs>
          <w:tab w:val="left" w:pos="634"/>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36. Пересмотреть ротные комплекты ЗИП, максимально сократив их. Сокращенные комплекты согласовать со старшим Военпредом ГАБТУКА на ГАЗе по танковому производству.</w:t>
      </w:r>
    </w:p>
    <w:p w14:paraId="3139160F" w14:textId="77777777" w:rsidR="00AE1A6D" w:rsidRPr="00640820" w:rsidRDefault="00AE1A6D" w:rsidP="00640820">
      <w:pPr>
        <w:tabs>
          <w:tab w:val="left" w:pos="644"/>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37. Допустить увеличение вертикального люфта подъемного механиз</w:t>
      </w:r>
      <w:r w:rsidRPr="00640820">
        <w:rPr>
          <w:rFonts w:ascii="Times New Roman" w:hAnsi="Times New Roman"/>
          <w:color w:val="000000" w:themeColor="text1"/>
          <w:sz w:val="16"/>
          <w:szCs w:val="16"/>
        </w:rPr>
        <w:softHyphen/>
        <w:t>ма от 2% до 3% дистанции и горизонтального люфта башни до +/— 3% дистанции».</w:t>
      </w:r>
    </w:p>
    <w:p w14:paraId="7610103E" w14:textId="77777777" w:rsidR="00AE1A6D" w:rsidRPr="00640820" w:rsidRDefault="00AE1A6D" w:rsidP="00640820">
      <w:pPr>
        <w:pStyle w:val="162"/>
        <w:shd w:val="clear" w:color="auto" w:fill="auto"/>
        <w:spacing w:line="240" w:lineRule="auto"/>
        <w:jc w:val="both"/>
        <w:rPr>
          <w:color w:val="000000" w:themeColor="text1"/>
          <w:sz w:val="16"/>
          <w:szCs w:val="16"/>
        </w:rPr>
      </w:pPr>
      <w:r w:rsidRPr="00640820">
        <w:rPr>
          <w:color w:val="000000" w:themeColor="text1"/>
          <w:sz w:val="16"/>
          <w:szCs w:val="16"/>
        </w:rPr>
        <w:t>Данное совещание по факту легализовало упрощения, которые были введены еще в конце октября 1941 года. Крайне тяжелая ситуация с электроприборами привела к тому, что уже в октябре значительная часть танков не имела передней фары. Поскольку от установки радио</w:t>
      </w:r>
      <w:r w:rsidRPr="00640820">
        <w:rPr>
          <w:color w:val="000000" w:themeColor="text1"/>
          <w:sz w:val="16"/>
          <w:szCs w:val="16"/>
        </w:rPr>
        <w:softHyphen/>
        <w:t>станций отказались, смысл в экранировке проводов пропал. Трубчатые радиаторы, разработанные непосредственно на ГАЗ, появились ввиду того, что завод № 34 (г. Москва, ныне НПО «Наука») прекратил отгрузку сотовых радиаторов. После цикла испытаний радиаторы но</w:t>
      </w:r>
      <w:r w:rsidRPr="00640820">
        <w:rPr>
          <w:color w:val="000000" w:themeColor="text1"/>
          <w:sz w:val="16"/>
          <w:szCs w:val="16"/>
        </w:rPr>
        <w:softHyphen/>
        <w:t>вой конструкции запустили в серию. Кроме того, вместо подъемного механизма был разработан плечевой упор, запущенный в серийное производство. Стоит отметить, что от подавляющего большинства упрощений конструкции старались отказаться при первой же возмож</w:t>
      </w:r>
      <w:r w:rsidRPr="00640820">
        <w:rPr>
          <w:color w:val="000000" w:themeColor="text1"/>
          <w:sz w:val="16"/>
          <w:szCs w:val="16"/>
        </w:rPr>
        <w:softHyphen/>
        <w:t>ности, скажем, уже к февралю 1942 года на танки ставился полный на</w:t>
      </w:r>
      <w:r w:rsidRPr="00640820">
        <w:rPr>
          <w:color w:val="000000" w:themeColor="text1"/>
          <w:sz w:val="16"/>
          <w:szCs w:val="16"/>
        </w:rPr>
        <w:softHyphen/>
        <w:t>бор оптики и приборов.</w:t>
      </w:r>
    </w:p>
    <w:p w14:paraId="614C0FB6" w14:textId="77777777" w:rsidR="00AE1A6D" w:rsidRPr="00640820" w:rsidRDefault="00AE1A6D" w:rsidP="00640820">
      <w:pPr>
        <w:pStyle w:val="162"/>
        <w:shd w:val="clear" w:color="auto" w:fill="auto"/>
        <w:spacing w:line="240" w:lineRule="auto"/>
        <w:jc w:val="both"/>
        <w:rPr>
          <w:color w:val="000000" w:themeColor="text1"/>
          <w:sz w:val="16"/>
          <w:szCs w:val="16"/>
        </w:rPr>
      </w:pPr>
      <w:r w:rsidRPr="00640820">
        <w:rPr>
          <w:color w:val="000000" w:themeColor="text1"/>
          <w:sz w:val="16"/>
          <w:szCs w:val="16"/>
        </w:rPr>
        <w:t>Ввиду ряда проблем, связанных с зимней эксплуатацией танков, на заводе проводился ряд опытных работ. Разрабатывались траки с уве</w:t>
      </w:r>
      <w:r w:rsidRPr="00640820">
        <w:rPr>
          <w:color w:val="000000" w:themeColor="text1"/>
          <w:sz w:val="16"/>
          <w:szCs w:val="16"/>
        </w:rPr>
        <w:softHyphen/>
        <w:t>личенным шагом и длиной, а также съемные шпоры. Прорабатывался вопрос о замене ходовой части: вместо 8 опорных катков предлагалось уменьшить их диаметр и довести их число до 16 (по 8 на борт). Данное решение было продиктовано желанием более равномерно распреде</w:t>
      </w:r>
      <w:r w:rsidRPr="00640820">
        <w:rPr>
          <w:color w:val="000000" w:themeColor="text1"/>
          <w:sz w:val="16"/>
          <w:szCs w:val="16"/>
        </w:rPr>
        <w:softHyphen/>
        <w:t>лить удельное давление на грунт. Также в опытном порядке КБ ГАЗ разработало рессорную подвеску для Т-60 на случай перебоев с постав</w:t>
      </w:r>
      <w:r w:rsidRPr="00640820">
        <w:rPr>
          <w:color w:val="000000" w:themeColor="text1"/>
          <w:sz w:val="16"/>
          <w:szCs w:val="16"/>
        </w:rPr>
        <w:softHyphen/>
        <w:t>кой торсионов. Помимо этого, на случай перебоев с поставкой банда</w:t>
      </w:r>
      <w:r w:rsidRPr="00640820">
        <w:rPr>
          <w:color w:val="000000" w:themeColor="text1"/>
          <w:sz w:val="16"/>
          <w:szCs w:val="16"/>
        </w:rPr>
        <w:softHyphen/>
        <w:t>жей прорабатывался вопрос о замене резины на деревянные накладки (17485).</w:t>
      </w:r>
    </w:p>
    <w:p w14:paraId="3E039641" w14:textId="77777777" w:rsidR="00AE1A6D" w:rsidRPr="00640820" w:rsidRDefault="00AE1A6D" w:rsidP="00640820">
      <w:pPr>
        <w:spacing w:after="0" w:line="240" w:lineRule="auto"/>
        <w:jc w:val="both"/>
        <w:rPr>
          <w:rFonts w:ascii="Times New Roman" w:hAnsi="Times New Roman"/>
          <w:color w:val="000000" w:themeColor="text1"/>
          <w:sz w:val="16"/>
          <w:szCs w:val="16"/>
        </w:rPr>
      </w:pPr>
    </w:p>
    <w:p w14:paraId="2AA80CFD" w14:textId="77777777" w:rsidR="00D61714" w:rsidRPr="00640820" w:rsidRDefault="00D61714" w:rsidP="00640820">
      <w:pPr>
        <w:widowControl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ноября 1941 года вышел приказ по заводу об организации сборки автомашин из привозных частей в сборочном цехе, а 6 декабря того же года – приказ о начале сборки с 9.12.</w:t>
      </w:r>
      <w:smartTag w:uri="urn:schemas-microsoft-com:office:smarttags" w:element="metricconverter">
        <w:smartTagPr>
          <w:attr w:name="ProductID" w:val="1945 г"/>
        </w:smartTagPr>
        <w:r w:rsidRPr="00640820">
          <w:rPr>
            <w:rFonts w:ascii="Times New Roman" w:hAnsi="Times New Roman"/>
            <w:color w:val="000000" w:themeColor="text1"/>
            <w:sz w:val="16"/>
            <w:szCs w:val="16"/>
          </w:rPr>
          <w:t>1941 г</w:t>
        </w:r>
      </w:smartTag>
      <w:r w:rsidRPr="00640820">
        <w:rPr>
          <w:rFonts w:ascii="Times New Roman" w:hAnsi="Times New Roman"/>
          <w:color w:val="000000" w:themeColor="text1"/>
          <w:sz w:val="16"/>
          <w:szCs w:val="16"/>
        </w:rPr>
        <w:t xml:space="preserve">. машин «Мормон-Херрингтон». Грузовик типа </w:t>
      </w:r>
      <w:r w:rsidRPr="00640820">
        <w:rPr>
          <w:rFonts w:ascii="Times New Roman" w:hAnsi="Times New Roman"/>
          <w:color w:val="000000" w:themeColor="text1"/>
          <w:sz w:val="16"/>
          <w:szCs w:val="16"/>
          <w:lang w:val="en-US"/>
        </w:rPr>
        <w:t>Ford</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Marmon</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HarringtonHH</w:t>
      </w:r>
      <w:r w:rsidRPr="00640820">
        <w:rPr>
          <w:rFonts w:ascii="Times New Roman" w:hAnsi="Times New Roman"/>
          <w:color w:val="000000" w:themeColor="text1"/>
          <w:sz w:val="16"/>
          <w:szCs w:val="16"/>
        </w:rPr>
        <w:t xml:space="preserve">-6 </w:t>
      </w:r>
      <w:r w:rsidRPr="00640820">
        <w:rPr>
          <w:rFonts w:ascii="Times New Roman" w:hAnsi="Times New Roman"/>
          <w:color w:val="000000" w:themeColor="text1"/>
          <w:sz w:val="16"/>
          <w:szCs w:val="16"/>
          <w:lang w:val="en-US"/>
        </w:rPr>
        <w:t>COE</w:t>
      </w:r>
      <w:r w:rsidRPr="00640820">
        <w:rPr>
          <w:rFonts w:ascii="Times New Roman" w:hAnsi="Times New Roman"/>
          <w:color w:val="000000" w:themeColor="text1"/>
          <w:sz w:val="16"/>
          <w:szCs w:val="16"/>
        </w:rPr>
        <w:t>-4 (у нас эту машину называли короче – «Форд-Мармон») – один из немногих грузовых автомобилей ленд-лиза с кабиной над двигателем. Кабина и кузов у этой машины были цельнометаллическими. Ветровое стекло разделалось вертикальной стойкой пополам, причем каждое из стекол могло откидываться независимо. Двигатель был изолирован от пола тремя стальными крышками с плотными прокладками – одной центральной и двумя боковыми, обеспечивающими легкий доступ к агрегатам двигателя, требовавшим регулировки (15218).</w:t>
      </w:r>
    </w:p>
    <w:p w14:paraId="0C07036E" w14:textId="77777777" w:rsidR="00D61714" w:rsidRPr="00640820" w:rsidRDefault="00D61714" w:rsidP="00640820">
      <w:pPr>
        <w:widowControl w:val="0"/>
        <w:spacing w:after="0" w:line="240" w:lineRule="auto"/>
        <w:jc w:val="both"/>
        <w:rPr>
          <w:rFonts w:ascii="Times New Roman" w:hAnsi="Times New Roman"/>
          <w:color w:val="000000" w:themeColor="text1"/>
          <w:sz w:val="16"/>
          <w:szCs w:val="16"/>
        </w:rPr>
      </w:pPr>
    </w:p>
    <w:p w14:paraId="041B4B50"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ноября 1941 года на заседании бюро Чувашского обкома ВКП (б) было решено «одобрить инициативу первичных комсомольских организаций и отдельных райкомов ВЛКСМ об организации сбора средств на строительство бронепоезда». 16 ноября 1941 года в газете «Красная Чувашия» было опубликовано обращение комсомольцев артели «Большевик» ко всем трудящимся республики, в котором прозвучал призыв: «Построим бронепоезд «Комсомол Чуваши». К концу ноября было собрано 500 тысяч рублей. Общая сумма сбора достигла 1341 тысяч рублей. На собранные средства из сэкономленного металла в сверхурочное время рабочие Канашского завода построили и оборудовали два бронепоезда. В марте 1942 года бронепоезда, укомплектованные в основном жителями Чувашии, были направлены в район Северного Кавказа и приняли активное участие в боях летом 1942 года (15218).</w:t>
      </w:r>
    </w:p>
    <w:p w14:paraId="2624DFF4" w14:textId="77777777" w:rsidR="00D70A78" w:rsidRPr="00640820" w:rsidRDefault="00D70A78" w:rsidP="00640820">
      <w:pPr>
        <w:spacing w:after="0" w:line="240" w:lineRule="auto"/>
        <w:jc w:val="both"/>
        <w:rPr>
          <w:rFonts w:ascii="Times New Roman" w:hAnsi="Times New Roman"/>
          <w:color w:val="000000" w:themeColor="text1"/>
          <w:sz w:val="16"/>
          <w:szCs w:val="16"/>
        </w:rPr>
      </w:pPr>
    </w:p>
    <w:p w14:paraId="6FB06DB4" w14:textId="77777777" w:rsidR="008D3ECC" w:rsidRPr="00640820" w:rsidRDefault="008D3EC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ноября 1941 г.</w:t>
      </w:r>
    </w:p>
    <w:p w14:paraId="5E6D78F7" w14:textId="77777777" w:rsidR="008D3ECC" w:rsidRPr="00640820" w:rsidRDefault="008D3EC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ПРОТОКОЛ № 48</w:t>
      </w:r>
    </w:p>
    <w:p w14:paraId="28C68F32" w14:textId="77777777" w:rsidR="008D3ECC" w:rsidRPr="00640820" w:rsidRDefault="008D3EC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заседания бюро Ленинградского городского комитета ВКП(б) от 11 ноября 1941 г.</w:t>
      </w:r>
    </w:p>
    <w:p w14:paraId="6470477B" w14:textId="77777777" w:rsidR="008D3ECC" w:rsidRPr="00640820" w:rsidRDefault="008D3EC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ПРИСУТСТВОВАЛИ:</w:t>
      </w:r>
    </w:p>
    <w:p w14:paraId="42731D1D" w14:textId="77777777" w:rsidR="008D3ECC" w:rsidRPr="00640820" w:rsidRDefault="008D3EC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Члены бюро</w:t>
      </w:r>
    </w:p>
    <w:p w14:paraId="5530BCCC" w14:textId="77777777" w:rsidR="008D3ECC" w:rsidRPr="00640820" w:rsidRDefault="008D3EC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ГК ВКП(б): т.т. Антюфеев, Капустин, Кузнецов, Попков.</w:t>
      </w:r>
    </w:p>
    <w:p w14:paraId="49C7C117" w14:textId="77777777" w:rsidR="008D3ECC" w:rsidRPr="00640820" w:rsidRDefault="008D3EC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Канд.</w:t>
      </w:r>
    </w:p>
    <w:p w14:paraId="0F47672D" w14:textId="77777777" w:rsidR="008D3ECC" w:rsidRPr="00640820" w:rsidRDefault="008D3EC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члены бюро ГК</w:t>
      </w:r>
    </w:p>
    <w:p w14:paraId="414DD854" w14:textId="77777777" w:rsidR="008D3ECC" w:rsidRPr="00640820" w:rsidRDefault="008D3EC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ВКП(б): т.т. Бадаев, Шумилов.</w:t>
      </w:r>
    </w:p>
    <w:p w14:paraId="6270E415" w14:textId="77777777" w:rsidR="008D3ECC" w:rsidRPr="00640820" w:rsidRDefault="008D3EC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Секретари</w:t>
      </w:r>
    </w:p>
    <w:p w14:paraId="1FEAE41B" w14:textId="77777777" w:rsidR="008D3ECC" w:rsidRPr="00640820" w:rsidRDefault="008D3EC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ГК ВКП(б): т.т. Басов, Гуторов, Лазутин, Лысенко, Сердобинцев, Сухомехов, Талюш.</w:t>
      </w:r>
    </w:p>
    <w:p w14:paraId="113D978F" w14:textId="77777777" w:rsidR="008D3ECC" w:rsidRPr="00640820" w:rsidRDefault="008D3EC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Члены и канд.</w:t>
      </w:r>
    </w:p>
    <w:p w14:paraId="02EC01D3" w14:textId="77777777" w:rsidR="008D3ECC" w:rsidRPr="00640820" w:rsidRDefault="008D3EC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члены ГК</w:t>
      </w:r>
    </w:p>
    <w:p w14:paraId="330EA9F6" w14:textId="77777777" w:rsidR="008D3ECC" w:rsidRPr="00640820" w:rsidRDefault="008D3EC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ВКП(б): т.т. Агапов, Андреенко, Григорьев, Ефремов, Кассиров, Кедров, Левин, Лизунов,</w:t>
      </w:r>
    </w:p>
    <w:p w14:paraId="549AFF96" w14:textId="77777777" w:rsidR="008D3ECC" w:rsidRPr="00640820" w:rsidRDefault="008D3EC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Манаков, Мотылев, Никитин, Пономарев, Харитонов, Шишмарев.</w:t>
      </w:r>
    </w:p>
    <w:p w14:paraId="594BF754" w14:textId="77777777" w:rsidR="008D3ECC" w:rsidRPr="00640820" w:rsidRDefault="008D3EC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Секретари</w:t>
      </w:r>
    </w:p>
    <w:p w14:paraId="525C498D" w14:textId="77777777" w:rsidR="008D3ECC" w:rsidRPr="00640820" w:rsidRDefault="008D3EC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РК ВКП(б): т.т. Жигальский, Иванов, Кузьменко, Мартынов, Турко.</w:t>
      </w:r>
    </w:p>
    <w:p w14:paraId="397E7F9D" w14:textId="77777777" w:rsidR="008D3ECC" w:rsidRPr="00640820" w:rsidRDefault="008D3EC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Секретарь</w:t>
      </w:r>
    </w:p>
    <w:p w14:paraId="44F27843" w14:textId="77777777" w:rsidR="008D3ECC" w:rsidRPr="00640820" w:rsidRDefault="008D3EC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 и ГК</w:t>
      </w:r>
    </w:p>
    <w:p w14:paraId="24FC6E18" w14:textId="77777777" w:rsidR="008D3ECC" w:rsidRPr="00640820" w:rsidRDefault="008D3EC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ВЛКСМ тов. Иванов</w:t>
      </w:r>
    </w:p>
    <w:p w14:paraId="03185AB3" w14:textId="77777777" w:rsidR="008D3ECC" w:rsidRPr="00640820" w:rsidRDefault="008D3EC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 УНКВД тов. Кубаткин</w:t>
      </w:r>
    </w:p>
    <w:p w14:paraId="585C3F8C" w14:textId="77777777" w:rsidR="008D3ECC" w:rsidRPr="00640820" w:rsidRDefault="008D3EC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По вопросу: О нормах продажи по продовольственным карточкам печеного хлеба (особая папка)</w:t>
      </w:r>
    </w:p>
    <w:p w14:paraId="65FEB261" w14:textId="77777777" w:rsidR="008D3ECC" w:rsidRPr="00640820" w:rsidRDefault="008D3EC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 С. З. исполкома Ленинградского городского Совета депутатов трудящихся и бюро горкома ВКП(б)).</w:t>
      </w:r>
    </w:p>
    <w:p w14:paraId="770E1FE2" w14:textId="77777777" w:rsidR="008D3ECC" w:rsidRPr="00640820" w:rsidRDefault="008D3EC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Установить с 13 ноября 1941 г. нижеследующие суточные нормы продажи печеного хлеба:</w:t>
      </w:r>
    </w:p>
    <w:p w14:paraId="73EA0979" w14:textId="77777777" w:rsidR="008D3ECC" w:rsidRPr="00640820" w:rsidRDefault="008D3EC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рабочим и ИТР............300 грамм,</w:t>
      </w:r>
    </w:p>
    <w:p w14:paraId="747A6835" w14:textId="77777777" w:rsidR="008D3ECC" w:rsidRPr="00640820" w:rsidRDefault="008D3EC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служащим.....................150 “ “</w:t>
      </w:r>
    </w:p>
    <w:p w14:paraId="16FC9FD5" w14:textId="77777777" w:rsidR="008D3ECC" w:rsidRPr="00640820" w:rsidRDefault="008D3EC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иждивенцам.................150 “ “</w:t>
      </w:r>
    </w:p>
    <w:p w14:paraId="748C7B7A" w14:textId="77777777" w:rsidR="008D3ECC" w:rsidRPr="00640820" w:rsidRDefault="008D3EC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детям до 12 лет............150 “ “</w:t>
      </w:r>
    </w:p>
    <w:p w14:paraId="4C69F400" w14:textId="77777777" w:rsidR="008D3ECC" w:rsidRPr="00640820" w:rsidRDefault="008D3EC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Выдать дополнительно сверх нормы в третьей декаде ноября 1941 года рабочим и ИТР 285 грамм масла животного, детям до 12 лет 190 грамм масла животного, служащим 100 грамм шоколада, иждивенцам 100 гр. шоколада.</w:t>
      </w:r>
    </w:p>
    <w:p w14:paraId="17C2876F" w14:textId="77777777" w:rsidR="008D3ECC" w:rsidRPr="00640820" w:rsidRDefault="008D3EC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Считать необходимым использовать для пищевых целей имеющуюся целлюлозу на бумажных фабриках, поручив т. ЛАЗУТИНУ П. Г. и т. АНДРЕЕНКО И. А. представить в суточный срок практические предложения по данному вопросу.</w:t>
      </w:r>
    </w:p>
    <w:p w14:paraId="1CD2623A" w14:textId="77777777" w:rsidR="008D3ECC" w:rsidRPr="00640820" w:rsidRDefault="008D3EC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Обязать секретарей РК ВКП(б) и председателей Исполкомов Районных советов депутатов трудящихся провести разъяснительную работу среди населения по измененным нормам продажи печеного хлеба.</w:t>
      </w:r>
    </w:p>
    <w:p w14:paraId="4E0F07B0" w14:textId="77777777" w:rsidR="008D3ECC" w:rsidRPr="00640820" w:rsidRDefault="008D3EC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Подписи — Кузнецов, Попков.</w:t>
      </w:r>
    </w:p>
    <w:p w14:paraId="31A6C2C1" w14:textId="77777777" w:rsidR="008D3ECC" w:rsidRPr="00640820" w:rsidRDefault="008D3EC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ЦГАИПД СПб. Ф. 25. Оп. 2а. Д. 158. Л. 11. Оригинал, машинопись. Подписи — автографы (19720).</w:t>
      </w:r>
    </w:p>
    <w:p w14:paraId="658A3B74" w14:textId="77777777" w:rsidR="008D3ECC" w:rsidRPr="00640820" w:rsidRDefault="008D3ECC" w:rsidP="00640820">
      <w:pPr>
        <w:autoSpaceDE w:val="0"/>
        <w:autoSpaceDN w:val="0"/>
        <w:adjustRightInd w:val="0"/>
        <w:spacing w:after="0" w:line="240" w:lineRule="auto"/>
        <w:jc w:val="both"/>
        <w:rPr>
          <w:rFonts w:ascii="Times New Roman" w:hAnsi="Times New Roman"/>
          <w:color w:val="000000" w:themeColor="text1"/>
          <w:sz w:val="16"/>
          <w:szCs w:val="16"/>
        </w:rPr>
      </w:pPr>
    </w:p>
    <w:p w14:paraId="0317CD13"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43231603"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4104F34"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11 ноября </w:t>
      </w:r>
      <w:r w:rsidRPr="00640820">
        <w:rPr>
          <w:rFonts w:ascii="Times New Roman" w:hAnsi="Times New Roman"/>
          <w:color w:val="000000" w:themeColor="text1"/>
          <w:sz w:val="16"/>
          <w:szCs w:val="16"/>
        </w:rPr>
        <w:t>в 1941 году утреннее сообщение Совинформбюро:</w:t>
      </w:r>
    </w:p>
    <w:p w14:paraId="70BB4DC3"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11 ноября наши войска вели бои с противником на всех фронтах.</w:t>
      </w:r>
    </w:p>
    <w:p w14:paraId="5CA323CE"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авиачасти, действующие на Тульском участке фронта, 9 ноября уничтожили и вывели из строя 21 немецкий танк, 80 автомашин с военными грузами, рассеяли и уничтожили до полка мотопехоты противника.</w:t>
      </w:r>
    </w:p>
    <w:p w14:paraId="79A17A50"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два дня боёв части тов. Харитонова, действующие на Южном фронте, уничтожили и вывели из строя 70 немецких танков, 200 автомашин с пехотой и боеприпасами, 2 штабных автобуса, рассеяли и уничтожили 2 батальона пехоты противника.</w:t>
      </w:r>
    </w:p>
    <w:p w14:paraId="42DE3F28"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Бойцы тов. Коротеева на одном участке Южного фронта 8 ноября уничтожили 750 итальянских солдат; около 1.500 итальянских солдат выведено из строя вследствие ранений.</w:t>
      </w:r>
    </w:p>
    <w:p w14:paraId="6329B12E"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последние дни на Западном фронте нашими частями взята в плен большая группа немецких солдат. Показания пленных свидетельствуют о дальнейшем упадке морального и физического состояния немецких солдат. Все пленные солдаты имеют измождённый вид. Все они в грязном, лёгком и истрёпанном обмундировании, вшивые и страшно грязные. Бельё превратилось в лохмотья землистого цвета.</w:t>
      </w:r>
    </w:p>
    <w:p w14:paraId="517F0EC5"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Ефрейтор 12 роты 3 батальона 487 пехотного полка Бернгорт Ан-Лосиус на допросе показал следующее: «Настроение солдат весьма плохое. Голод, недоедание, усталость, антисанитария, огромные потери подрывают веру немецкого солдата в своё командование и в успех войны. В бане не были уже давно. Всё тело искусано вшами. Каждый день солдаты только и думают о том, как бы скорее кончилась война».</w:t>
      </w:r>
    </w:p>
    <w:p w14:paraId="12668C56"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 дальнейшем ухудшении морального состояния немецких солдат говорят также и письма из Германии.</w:t>
      </w:r>
    </w:p>
    <w:p w14:paraId="032280E2"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Солдату Герману Штайнеру пишет его приятель из Мюнхена: «Здесь, в Мюнхене, купить нечего».</w:t>
      </w:r>
    </w:p>
    <w:p w14:paraId="5DB71612"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письме к своему мужу жена обер-ефрейтора Франца Зайболда спрашивает: «Когда же этой войне будет конец? У меня такое чувство, что если вы и зимой будете ещё на Востоке, то вы уже никогда не вернётесь домой». У одного убитого немца найдено письмо его жены, в котором она пишет: «Ты пишешь, что охваченных военным пылом становится всё меньше и меньше. Но теперь это не принесёт пользы. Надо было думать об этом 8 лет назад» (14827).</w:t>
      </w:r>
    </w:p>
    <w:p w14:paraId="53D6A4AE" w14:textId="77777777" w:rsidR="00D70A78" w:rsidRPr="00640820" w:rsidRDefault="00D70A78" w:rsidP="00640820">
      <w:pPr>
        <w:spacing w:after="0" w:line="240" w:lineRule="auto"/>
        <w:jc w:val="both"/>
        <w:rPr>
          <w:rFonts w:ascii="Times New Roman" w:hAnsi="Times New Roman"/>
          <w:color w:val="000000" w:themeColor="text1"/>
          <w:sz w:val="16"/>
          <w:szCs w:val="16"/>
        </w:rPr>
      </w:pPr>
    </w:p>
    <w:p w14:paraId="6C788684"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11 ноября </w:t>
      </w:r>
      <w:r w:rsidRPr="00640820">
        <w:rPr>
          <w:rFonts w:ascii="Times New Roman" w:hAnsi="Times New Roman"/>
          <w:color w:val="000000" w:themeColor="text1"/>
          <w:sz w:val="16"/>
          <w:szCs w:val="16"/>
        </w:rPr>
        <w:t>в 1941 году вечернее сообщение Совинформбюро:</w:t>
      </w:r>
    </w:p>
    <w:p w14:paraId="66CD77F4"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11 ноября наши войска вели бои с противником на всех фронтах.</w:t>
      </w:r>
    </w:p>
    <w:p w14:paraId="737FAB2C"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10 ноября уничтожено 4 немецких самолёта, наши потери — 2 самолёта.</w:t>
      </w:r>
    </w:p>
    <w:p w14:paraId="03D6A788"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ноября под Москвой сбито 4 немецких самолёта.</w:t>
      </w:r>
    </w:p>
    <w:p w14:paraId="5CE5B949"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10 ноября нашими авиачастями, действующими на Западном и Южном фронтах, уничтожено 16 немецких танков, 60 автомашин с пехотой и военными грузами, 55 повозок с боеприпасами, 25 мотоциклов, до батальона пехоты противника и кавалерийский взвод.</w:t>
      </w:r>
    </w:p>
    <w:p w14:paraId="74021E27"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Части командира Миронова, действующие на Тульском участке фронта, за последние 4 дня истребили более 1.000 немецких солдат и офицеров, захватили 7 орудий, 19 миномётов, 300 ящиков мин, 38 пулемётов, более 200 винтовок, большое количество патронов и гранат, 2 радиостанции, более 100 лошадей и много другого военного снаряжения.</w:t>
      </w:r>
    </w:p>
    <w:p w14:paraId="104BA8F2"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Немецкие солдаты и офицеры, захваченные в плен на Южном фронте, рассказывают, что германские войска несут огромные потери в технике и живой силе. Пленный немецкий лейтенант Рудольф Бауле заявил: «В 9 немецкой танковой дивизии из 140 танков уцелело не больше 50 машин. В каждом полку потери убитыми и ранеными составляют более тысячи солдат». Старший ефрейтор 33 мотомехполка Фридрих Гер берт на допросе сообщил следующее: «Солдаты всё чаще выражают недовольство войной. В частях дивизии резко упала дисциплина. Солдаты вступают в пререкания с офицерами. Участились случаи невыполнения приказов командиров. Солдаты считают советских бойцов самыми мужественными и упорными из всех тех, с кем они до сих пор встречались».</w:t>
      </w:r>
    </w:p>
    <w:p w14:paraId="419CF93F"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Передовые машинно-тракторные станции успешно заканчивают сельскохозяйственный год и готовятся к весне. В Ярославской области большинство МТС намного перевыполнило годовой план тракторных работ. В Судиславской МТС каждый 15-сильный трактор в среднем выработал 320 с лишним гектаров. Бригада тов. Артамонова подняла выработку до 400 гектаров на машину. На Алтае Буланихинская МТС подняла 6.500 гектаров зяби, выполнив план на 125 процентов. Тракторист Резцов вспахал 230 гектаров зяби, тракторист Алуспов вспахал под зябь 60 гектаров сверх задания. Селантьевская МТС в Казахстане превысила годовой план тракторных работ на 2,600 гектаров и сэкономила 8 с лишним тонн горючего. Трактористы Семиозерной МТС Жеребцов и Шинкаренко выполнили более двух годовых норм тракторных работ и сэкономили 2.5ОО килограммов горючего.» (14827).</w:t>
      </w:r>
    </w:p>
    <w:p w14:paraId="3E12BB9B" w14:textId="77777777" w:rsidR="00D70A78" w:rsidRPr="00640820" w:rsidRDefault="00D70A78" w:rsidP="00640820">
      <w:pPr>
        <w:spacing w:after="0" w:line="240" w:lineRule="auto"/>
        <w:jc w:val="both"/>
        <w:rPr>
          <w:rFonts w:ascii="Times New Roman" w:hAnsi="Times New Roman"/>
          <w:color w:val="000000" w:themeColor="text1"/>
          <w:sz w:val="16"/>
          <w:szCs w:val="16"/>
        </w:rPr>
      </w:pPr>
    </w:p>
    <w:p w14:paraId="6FB3FB5A"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11 ноября </w:t>
      </w:r>
      <w:r w:rsidRPr="00640820">
        <w:rPr>
          <w:rFonts w:ascii="Times New Roman" w:hAnsi="Times New Roman"/>
          <w:color w:val="000000" w:themeColor="text1"/>
          <w:sz w:val="16"/>
          <w:szCs w:val="16"/>
        </w:rPr>
        <w:t>в 1941 году немецкие войска заняли Малоархангельск (14827).</w:t>
      </w:r>
    </w:p>
    <w:p w14:paraId="66BEA7ED" w14:textId="77777777" w:rsidR="00D70A78" w:rsidRPr="00640820" w:rsidRDefault="00D70A78" w:rsidP="00640820">
      <w:pPr>
        <w:spacing w:after="0" w:line="240" w:lineRule="auto"/>
        <w:jc w:val="both"/>
        <w:rPr>
          <w:rFonts w:ascii="Times New Roman" w:hAnsi="Times New Roman"/>
          <w:color w:val="000000" w:themeColor="text1"/>
          <w:sz w:val="16"/>
          <w:szCs w:val="16"/>
        </w:rPr>
      </w:pPr>
    </w:p>
    <w:p w14:paraId="3B3D0F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Оставшиеся в городе москвичи запомнили день 11 ноября 1941, когда один из летчиков 312 ШАП, базирующегося на Тушинском аэродроме, - Г.Светличный при возвращении с боевого задания был вынужден на Ил-2 сесть на улицу Горького, недалеко от Белорусского вокзала (24,263) (452).</w:t>
      </w:r>
    </w:p>
    <w:p w14:paraId="307E25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8157FDE" w14:textId="77777777" w:rsidR="00E533AD" w:rsidRPr="00640820" w:rsidRDefault="00E533A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11 ноября 1941 днем в ходе очередной бомбежки Москвы были убиты и ранены 94 человека. Днем 12</w:t>
      </w:r>
      <w:r w:rsidRPr="00640820">
        <w:rPr>
          <w:rFonts w:ascii="Times New Roman" w:hAnsi="Times New Roman"/>
          <w:color w:val="0070C0"/>
          <w:sz w:val="16"/>
          <w:szCs w:val="16"/>
        </w:rPr>
        <w:noBreakHyphen/>
        <w:t>го, в ночь на 13</w:t>
      </w:r>
      <w:r w:rsidRPr="00640820">
        <w:rPr>
          <w:rFonts w:ascii="Times New Roman" w:hAnsi="Times New Roman"/>
          <w:color w:val="0070C0"/>
          <w:sz w:val="16"/>
          <w:szCs w:val="16"/>
        </w:rPr>
        <w:noBreakHyphen/>
        <w:t>е, а также днем 14 ноября «Хейнкели» вновь совершили налеты на столицу, причем они сбрасывали тяжелые фугасные бомбы весом 1000–1800 кг. Грохот их взрывов был слышен за многие километры и производил ужасающее впечатление на москвичей. Многие впали в оцепенение, боялись ложиться спать, часами отсиживались в подвалах. Затем после однодневной паузы 16 ноября бомбежки возобновились. Днем 17 ноября московская служба МПВО зафиксировала падение на город 51 фугасной и около восьмисот зажигательных бомб.</w:t>
      </w:r>
    </w:p>
    <w:p w14:paraId="5BD74130" w14:textId="77777777" w:rsidR="00E533AD" w:rsidRPr="00640820" w:rsidRDefault="00E533A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После этого немецкие налеты действительно пошли на убыль. Но советские удары по аэродромам не имели к этому никакого отношения. В начале ноября командование люфтваффе приняло решение о переброске с Восточного фронта на Сицилию штабов и управлений 2</w:t>
      </w:r>
      <w:r w:rsidRPr="00640820">
        <w:rPr>
          <w:rFonts w:ascii="Times New Roman" w:hAnsi="Times New Roman"/>
          <w:color w:val="0070C0"/>
          <w:sz w:val="16"/>
          <w:szCs w:val="16"/>
        </w:rPr>
        <w:noBreakHyphen/>
        <w:t>го воздушного флота и 2</w:t>
      </w:r>
      <w:r w:rsidRPr="00640820">
        <w:rPr>
          <w:rFonts w:ascii="Times New Roman" w:hAnsi="Times New Roman"/>
          <w:color w:val="0070C0"/>
          <w:sz w:val="16"/>
          <w:szCs w:val="16"/>
        </w:rPr>
        <w:noBreakHyphen/>
        <w:t>го авиакорпуса. Одновременно с этим в первые две недели ноября в Германию и Францию были выведены восемь бомбардировочных авиагрупп, в том числе KGr.100, игравшая главную роль в налетах на Москву и Горький (23199).</w:t>
      </w:r>
    </w:p>
    <w:p w14:paraId="6BECAA99" w14:textId="77777777" w:rsidR="00E533AD" w:rsidRPr="00640820" w:rsidRDefault="00E533AD" w:rsidP="00640820">
      <w:pPr>
        <w:spacing w:after="0" w:line="240" w:lineRule="auto"/>
        <w:jc w:val="both"/>
        <w:rPr>
          <w:rFonts w:ascii="Times New Roman" w:hAnsi="Times New Roman"/>
          <w:color w:val="0070C0"/>
          <w:sz w:val="16"/>
          <w:szCs w:val="16"/>
        </w:rPr>
      </w:pPr>
    </w:p>
    <w:p w14:paraId="728480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ноября 1941 года звено ДБ-3Ф из 1-го МТАП Балтийского флота, возглавляемое И. Гарбузом, получило приказ перелететь на север. Эти три машины вошли в состав 72-го САП и стали основой минно-торпедной авиации Северного флота. Тем не менее, лишь во второй половине 1942 года эскадрилья начала действовать в соответствии со своим названием (2691).</w:t>
      </w:r>
    </w:p>
    <w:p w14:paraId="603439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E87D5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11-21 ноября 1941 состоялось отражение первого немецкого наступления на Севастополь (3186).</w:t>
      </w:r>
    </w:p>
    <w:p w14:paraId="4C1B6F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38AF4A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и 15 ноября 1941 наносились повторные удары по 19 немецким аэродромам. Все</w:t>
      </w:r>
      <w:r w:rsidRPr="00640820">
        <w:rPr>
          <w:rFonts w:ascii="Times New Roman" w:hAnsi="Times New Roman"/>
          <w:color w:val="000000" w:themeColor="text1"/>
          <w:sz w:val="16"/>
          <w:szCs w:val="16"/>
        </w:rPr>
        <w:softHyphen/>
        <w:t>го было выполнено около 600 с амолпто-вылетов (10783).</w:t>
      </w:r>
    </w:p>
    <w:p w14:paraId="14D8B6A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E34A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ноября 1941 вышло Постановление ГКО № 889 О формировании минометных частей. РГАНИР, Фонд ГКО, д. 14, лл. 54-55, 56-76 (11012).</w:t>
      </w:r>
    </w:p>
    <w:p w14:paraId="22A949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380F9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11 ноября 1944 с наступлением сумерек отряд вновь начал движение к Ханко. Тральщики с трудом про­кладывали путь отряду. Погодные условия еще более ухудшились: усилился боковой нордовый ветер, поднялась большая волна, видимость снизилась. Из-за ветра и волн, тральщики не смогли идти строем уступа и практически шли в кильватер. Протрален­ная полоса сузилась до 60 м, что сводило почти на нет все меры противоминного обес­печения идущих за тральщиками кораблей. К северу от мыса Юминда, откуда до Ханко оставалось лишь 65 миль, корабли отряда оказались на минном поле, где на­чали взрываться мины в тралах. Идущие впе­реди корабли, не обращая внимания на взрывы, оторвались от лидера и транспор­та «Жданов». В 22 ч 30 мин в левом пара­ван-охранителе лидера, вышедшего за пре­делы протраленной полосы, на расстоянии 10 м от борта взорвалась мина. Существен­ных повреждений корабль не получил и про­должал движение. Однако после полуночи, в 0 ч 23 мин 12 ноября, в том же левом параване в 5 м от борта лидера взорва­лась еще одна мина. От второго взрыва вышел из строя ле­вый ГТЗА, в наружной обшивке корпуса (в носовом машинном отделении, централь­ном артиллерийском посту и четвертом артпогребе) появились трещины и вмятины. От поступления забортной воды было затопле­но семь нефтяных цистерн, вышли из строя лаги гирокомпас. Личный состав корабля с трудом справ­лялся с откачкой воды. Через пробоины ли­дер терял драгоценное топливо и самостоя­тельно, по мнению командира, двигаться не мог. Лидер стал на якорь, чтобы устранить повреждения в носовом машинном отделе­нии и в корпусе корабля. Шедший за ним транспорт «Жданов» и три малых охотника остались с лидером. В 1 ч 01 мин командир лидера Г.М.Гор­бачев передал по радио донесение коман­диру отряда: «Дважды подорвался на ми­нах. Пробоина в первом котельном отделении, провизионке, центральном и гиропостах. Самостоятельно идти не могу, нуждаюсь в помощи. Стал на якорь». Как посчитал ко­мандующий КБФ В.Ф.Трибуц, давая такую телеграмму, командир лидера не проверил, насколько серьезны повреждения. Если бы он их уточнил, то, возможно, не стал бы под­нимать тревогу, так как, по мнению комфлота, серьезных оснований для нее не было. Поспешные действия командира лидера привели к неправильной оценке обстановки командиром отряда, а в последствии — и к потерям. Получив эту радиограмму, М.З.Моска­ленко, находившийся на эсминце уже в 55 ми­лях от Ханко, приказал всему отряду лечь на обратный курс и идти на помощь повреж­денному кораблю. В 2 ч 04 мин корабли по­вернули обратно. Оценивая действия коман­дира отряда, В.Ф.Трибуц признал его реше­ние неправильным, поскольку в подобных условиях ни в коем случае нельзя было ме­нять курс, так как это, по существу, означа­ло уклонение от выполнения основного за­дания. Командующий посчитал, что можно было поручить аварийно-спасательному отряду, базировавшемуся на рейдах ост­рова Гогланд, оказать помощь поврежден­ному лидеру. Дальше события развивались весьма драматично. Два тральщика, направлявши­еся к лидеру для оказания ему помощи, от взрывов мин лишились тралов, к тому же они потеряли ориентировку и не смогли найти «Ленинград». Не имея сообщений от М.З.Москаленко и не дождавшись подхода отряда, Г.М.Гор­бачев решил идти к Гогланду самостоятель­но. Он дал команду сняться с якоря, но, так как навигационные приборы лидера вышли из строя, то приказал капитану транспорта «Андрей Жданов» идти головным. По оцен­ке В.Ф.Трибуца, и это решение Г.М.Горбаче­ва было ошибочным: если лидер при ходе на запад с параван-охранителями созда­вал некоторое противоминное прикрытие для имеющего глубокую осадку транспор­та, то теперь капитан «Андрея Жданова», не располагавшего никакими средствами защиты от мин, мог надеяться только на сча­стливый случай. Однако чуда не произошло. В 5 ч тран­спорт подорвался на мине и через 8 мин затонул. Всю его команду, кроме одного человека, спасли малые охотники. Пони­мая, что теперь самостоятельно пробиться через минное поле невозможно, Г.М.Горба­чев снова приказал стать на якорь. Подо­шедший вскоре тральщик Т-211, определив­ший место лидера по взрыву, встал голов­ным и провел поврежденный корабль к Гогланду. При следовании кораблей в тра­лах тральщика взорвались три мины и од­на—в параване лидера. Между тем, отряд под командованием М.З.Москаленко, повернувший на обратный курс почти с траверза Таллина, попал на плотное минное заграждение. Базовые тральщики начали подсекать мины. Кораб­ли отряда растянулись, его управление на­рушилось. Так или иначе, но уже к середине дня 1 2 ноября отряд снова сосредоточился у Гогланда, на рейде Северной деревни. Здесь на лидер передали 100 тонн мазута и в тот же день «Ленинград» и эсминец «Стой­кий» получили разрешение вернуться в Крон­штадт. В отчете по эвакуации военно-морской базы Ханко, командованием флотом была дана следующая оценка этому походу: «Из-за низких волевых качеств и неумения оце­нивать обстановку, командир "Ленинграда" своими просьбами о помощи сорвал выпол­нение задачи и отряд возвратился в бухту Суурикюля» (11866).</w:t>
      </w:r>
    </w:p>
    <w:p w14:paraId="15FB9C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0B6F1C3"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3565C046"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B8E0F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ноября 1941 г. за № 292 вышел ПРИКАЗ НАЧАЛЬНИКА МЕТРОПОЛИТЕНА ИМ. Л. М. КАГАНОВИЧА И. С. НОВИКОВА О ВВЕДЕНИИ НА МЕТРОПОЛИТЕНЕ РЕЖИМА ДИСЦИПЛИНЫ ВОЕННОГО ВРЕМЕНИ № 292 11 ноября 1941 г. Военная обстановка сейчас как никогда требует железной военной дисциплины, беспощадной борьбы со всякой расхлябанностью и безответственностью. Это требование в первую очередь относится к рабочим, служащим и командирам Метрополитена, который в условиях вражеских воздушных нападений является не только средством передвижения, но и средством защиты. Ответственность каждого командира, каждого работника Метрополитена в связи с военной обстановкой неизмеримо возросла, и эта ответственность абсолютным большинством работников понята правильно. Коллектив работников Метрополитена показывает образцы самоотверженной работы, образцы социалистического труда. Однако среди крепкого, боевого коллектива имеются еще отдельные лица, которые в результате распущенности и беспечности не только не принимают решительных мер, не ведут беспощадной борьбы с дезорганизаторами, но и сами своими действиями и поведением дают повод возникновению недопустимых фактов. В службе движения, например, за последнее время ослабла дисциплина среди командиров, вскрыт ряд случаев появления отдельных лиц в нетрезвом виде, в отдельных служебных помещениях обнаруживается антисанитария. В ночь с 30 на 31 октября 1941 г. в служебном помещении ст. Курская начальником станции Соловьевым была допущена выпивка, в которой участвовали машинист Песков, ныне уволенный с работы, и заместитель начальника радиуса т. Богомолов. Начальник службы движения т. Долгошеин, зная о всех перечисленных фактах, до настоящего времени не принял решительных мер к их устранению и постановке в службе железной военной дисциплины. Приказываю: 1. Начальника станции Курская т. Соловьева за допущение в станционном служебном помещении распития спиртных напитков с работы начальника станции снять и использовать в должности пом. ДСП. 2. Заместитель начальника радиуса т. Богомолов за участие в выпивке на ст. Курская заслуживает увольнения и предания суду. Учитывая, однако, что до этого случая т. Богомолов на протяжении длительного времени работал без замечаний, ограничиться снятием т. Богомолова с работы зам. начальника радиуса. Тов. Богомолова использовать на работе в должности ДСП. 3. Начальнику службы движения т. Долгошеину за непринятие должных мер к дезорганизаторам и ослабление дисциплины на отдельных участках объявить выговор. Предупреждаю всех командиров, что если они будут допускать послабление в вопросах дисциплины и не будут обеспечивать беспощадной борьбы с отдельными дезорганизаторами производства, - к этим командирам будут приниматься самые суровые меры административного воздействия вплоть до предания суду по условиям военного времени. Начальник Метрополитена им. Л. М. Кагановича Новиков (10069).</w:t>
      </w:r>
    </w:p>
    <w:p w14:paraId="340010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18C65FD"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023143AD"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6FDF0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ноября 1941 Сталин направил резкое послание Черчиллю, в котором указывал, что четкого взаимопонимания относительно целей войны и послевоенного урегулирования достигнуто не было, как не было заключено и соглашения о совместном военном противостоянии Гитлеру в Европе. Черчилль в ответ пообещал направить в Москву министра иностранных дел Идена (3871).</w:t>
      </w:r>
    </w:p>
    <w:p w14:paraId="46F214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01273B8"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6EEE4A9C"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097CADB" w14:textId="77777777" w:rsidR="00320058" w:rsidRPr="00640820" w:rsidRDefault="0032005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xml:space="preserve">12 ноября 1941 – протокол Политбюро </w:t>
      </w:r>
    </w:p>
    <w:p w14:paraId="4A4E0DFF" w14:textId="77777777" w:rsidR="00320058" w:rsidRPr="00640820" w:rsidRDefault="0032005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От 12.11.41 г.</w:t>
      </w:r>
    </w:p>
    <w:p w14:paraId="2F7BD2B1" w14:textId="77777777" w:rsidR="00320058" w:rsidRPr="00640820" w:rsidRDefault="0032005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56. О снятии с производства самолета Як-4 и постановке на производство Ил-2 на заводе № 380 (постановление СНК СССР И ЦК ВКП(б)). — ОП.</w:t>
      </w:r>
    </w:p>
    <w:p w14:paraId="3C4EAF16" w14:textId="77777777" w:rsidR="00320058" w:rsidRPr="00640820" w:rsidRDefault="0032005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57. Об усилении стрелкового вооружения на самолете Пе-2 (постановление СНК СССР и ЦК ВКП(б)). — ОП.</w:t>
      </w:r>
    </w:p>
    <w:p w14:paraId="319FB037" w14:textId="77777777" w:rsidR="00320058" w:rsidRPr="00640820" w:rsidRDefault="0032005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58. О вооружении самолета Ил-2 (постановление СНК СССР и ЦК ВКП(б)). — ОП.</w:t>
      </w:r>
    </w:p>
    <w:p w14:paraId="563803EC" w14:textId="77777777" w:rsidR="00320058" w:rsidRPr="00640820" w:rsidRDefault="0032005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59. О выполнении решения ЦК ВКП(б) и СНК СССР о вооружении самолета Миг-3 пятью точками (постановление СНК СССР и ЦК ВКП(б)). — ОП (20432).</w:t>
      </w:r>
    </w:p>
    <w:p w14:paraId="3DFB5BB0" w14:textId="77777777" w:rsidR="00320058" w:rsidRPr="00640820" w:rsidRDefault="00320058" w:rsidP="00640820">
      <w:pPr>
        <w:spacing w:after="0" w:line="240" w:lineRule="auto"/>
        <w:jc w:val="both"/>
        <w:rPr>
          <w:rFonts w:ascii="Times New Roman" w:hAnsi="Times New Roman"/>
          <w:color w:val="0070C0"/>
          <w:sz w:val="16"/>
          <w:szCs w:val="16"/>
        </w:rPr>
      </w:pPr>
    </w:p>
    <w:p w14:paraId="46B12A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ноября 1941 вышел приказ НКАП N 1115с "В целях обеспечения установленного правительством плана выпуска самолетных лыж для нужд заводов и ГУВВС:</w:t>
      </w:r>
    </w:p>
    <w:p w14:paraId="15BEE6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Директору завода 387 Федину из имеющегося задела изготовить 100 комплектов авиалыж для ДБ-3Ф с обязательной сдачей по разнарядке 10 ГУ к 15 декабря 1941</w:t>
      </w:r>
    </w:p>
    <w:p w14:paraId="57A9D4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Директору завода 124 Окулову изготовить к 21 ноября 1941 недостающий металл для завода 387 по лыжам ДБ-3Ф. Подписал Кузнецов (1340,30).</w:t>
      </w:r>
    </w:p>
    <w:p w14:paraId="293958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8044B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12 по 18 ноября 1941 производство Пе-2 на эвакуированном заводе № 22 было приостановлено, т.к. в это время силы обоих заводов были сосредоточены на переоборудовании цехов (5764,39).</w:t>
      </w:r>
    </w:p>
    <w:p w14:paraId="77CCF3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CAA1E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ноября 1941 вышел приказ по заводу 166 N 8/15 о назначении экипажа для проведения летных испытаний в составе л-и М.П.Васякина, ш Н.М.Панченко и ви от завода Е.К.Стомана (1835,18).</w:t>
      </w:r>
    </w:p>
    <w:p w14:paraId="75569B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6A2A2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ноября 1941 и.о. Нач. 3 ГУ Фофанов подготовил Справку № 2408 для зам. НКАП Кузнецова:</w:t>
      </w:r>
    </w:p>
    <w:p w14:paraId="783AD2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З-д 28 эвакуируется из Москвы в Свердловск. Погрузка начата 16 октября</w:t>
      </w:r>
    </w:p>
    <w:p w14:paraId="03A76B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З-д 154 эвакуируется из г. Воронеж в г. Андижан. Погрузка начата 10 октября. По состоянию на 11 ноября эвакуация в основном закончена (1377, 6-7).</w:t>
      </w:r>
    </w:p>
    <w:p w14:paraId="48E246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BC777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ноября 1941 года со ст. Химки ушел последний эшелон завода № 84, а эвакуация завода началась14 октября 1941 (9461).</w:t>
      </w:r>
    </w:p>
    <w:p w14:paraId="1E3A39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ACADD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ноября 1941 закончилась полная эвакуация завода № 22, за это время было отправлено свыше 3000 двухосных вагонов и платформ разного рода заводского имущества. Вместе с отправкой на восток последнего вагона прекратилось существование московского завода №22 (5764,38).</w:t>
      </w:r>
    </w:p>
    <w:p w14:paraId="13AA02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C298E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ноября 1941 г. на основании постановления Государственного Комитета Обороны №916 и приказа Наркома Авиапромышленности №146сс, на площадях завода №124 были организованы два самостоятельных завода:</w:t>
      </w:r>
    </w:p>
    <w:p w14:paraId="613AF0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№22 по производству самолётов Пе-2</w:t>
      </w:r>
    </w:p>
    <w:p w14:paraId="2D3584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№124 по производству самолётов ТБ-7 (5764,38).</w:t>
      </w:r>
    </w:p>
    <w:p w14:paraId="792439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DC97E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ноября 1941 г. приказом № 1116с/102 в соответствии с распоряжением СНК № 2330-рс от 11.07.1941 г. в связи с эвакуацией часть завода № 241 (Завод № 241 ГВФ, НКАП /ст. Быково Московской обл.;  г. Тюмень/) по производству планеров со всем оборудованием и личным составом передана из ГВФ в НКАП. Оставшаяся часть была задействована в производстве деталей для снарядов М-13, ремонте моторов, легких самолетов и приборов в системе ГВФ. По приказу № 94с от 2.02.1942 г. на базе планерных мощностей завода № 241 организован самостоятельный планерный ГС завод № 241 11ГУ НКАП.</w:t>
      </w:r>
    </w:p>
    <w:p w14:paraId="3606F4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При заводе действовало ОКБ </w:t>
      </w:r>
      <w:r w:rsidRPr="00640820">
        <w:rPr>
          <w:rFonts w:ascii="Times New Roman" w:hAnsi="Times New Roman"/>
          <w:color w:val="000000" w:themeColor="text1"/>
          <w:sz w:val="16"/>
          <w:szCs w:val="16"/>
          <w:lang w:val="en-US"/>
        </w:rPr>
        <w:t>O</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K</w:t>
      </w:r>
      <w:r w:rsidRPr="00640820">
        <w:rPr>
          <w:rFonts w:ascii="Times New Roman" w:hAnsi="Times New Roman"/>
          <w:color w:val="000000" w:themeColor="text1"/>
          <w:sz w:val="16"/>
          <w:szCs w:val="16"/>
        </w:rPr>
        <w:t>. Антонова.</w:t>
      </w:r>
    </w:p>
    <w:p w14:paraId="43DAEF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707с от 16.09.1942 г. завод № 241 НКАП к 10.1942 г. переведен на площадку завода № 463 НКАП и влит в его состав.</w:t>
      </w:r>
    </w:p>
    <w:p w14:paraId="4128CA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1947 г. в Москве действовал завод № 241.</w:t>
      </w:r>
      <w:r w:rsidRPr="00640820">
        <w:rPr>
          <w:rFonts w:ascii="Times New Roman" w:hAnsi="Times New Roman"/>
          <w:color w:val="000000" w:themeColor="text1"/>
          <w:sz w:val="16"/>
          <w:szCs w:val="16"/>
          <w:vertAlign w:val="superscript"/>
        </w:rPr>
        <w:t>129</w:t>
      </w:r>
    </w:p>
    <w:p w14:paraId="54EDCC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(1942 г.-)- А.Н. Рафаэлянц.</w:t>
      </w:r>
    </w:p>
    <w:p w14:paraId="41BF74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(-1942 г.)- А.Н. Рафаэлянц.</w:t>
      </w:r>
    </w:p>
    <w:p w14:paraId="68E07B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планеры: КЦ-2 (1941)- 2, А-7.</w:t>
      </w:r>
    </w:p>
    <w:p w14:paraId="06EA70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ОКБ гл. конструктора </w:t>
      </w:r>
      <w:r w:rsidRPr="00640820">
        <w:rPr>
          <w:rFonts w:ascii="Times New Roman" w:hAnsi="Times New Roman"/>
          <w:color w:val="000000" w:themeColor="text1"/>
          <w:sz w:val="16"/>
          <w:szCs w:val="16"/>
          <w:lang w:val="en-US"/>
        </w:rPr>
        <w:t>O</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K</w:t>
      </w:r>
      <w:r w:rsidRPr="00640820">
        <w:rPr>
          <w:rFonts w:ascii="Times New Roman" w:hAnsi="Times New Roman"/>
          <w:color w:val="000000" w:themeColor="text1"/>
          <w:sz w:val="16"/>
          <w:szCs w:val="16"/>
        </w:rPr>
        <w:t>. Антонова при заводе № 241 НКАП</w:t>
      </w:r>
    </w:p>
    <w:p w14:paraId="6ADBD8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по модификации планеров А-7, А-2.</w:t>
      </w:r>
    </w:p>
    <w:p w14:paraId="0F129F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618с от 12.08.1942 г. ОКБ Антонова переведено с завода № 241 в Тушино на завод № 464 НКАП для продолжения работ по планерам (11982).</w:t>
      </w:r>
    </w:p>
    <w:p w14:paraId="587864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DB2ED1E"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743F611A"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20CC722" w14:textId="77777777" w:rsidR="00320058" w:rsidRPr="00640820" w:rsidRDefault="0032005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12 ноября 1941 г.</w:t>
      </w:r>
    </w:p>
    <w:p w14:paraId="7F4038C4" w14:textId="77777777" w:rsidR="00320058" w:rsidRPr="00640820" w:rsidRDefault="0032005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Письмо директора НИИ-13 НКВ П. П. Шипулина секретарю Молотовского обкома ВКП(б)</w:t>
      </w:r>
    </w:p>
    <w:p w14:paraId="5DCEC591" w14:textId="77777777" w:rsidR="00320058" w:rsidRPr="00640820" w:rsidRDefault="0032005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 И. Гусарову о возможности организации производства минометов на заводе «Коммунар»</w:t>
      </w:r>
    </w:p>
    <w:p w14:paraId="607E2A02" w14:textId="77777777" w:rsidR="00320058" w:rsidRPr="00640820" w:rsidRDefault="0032005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12 ноября 1941 г.</w:t>
      </w:r>
    </w:p>
    <w:p w14:paraId="631E82DD" w14:textId="77777777" w:rsidR="00320058" w:rsidRPr="00640820" w:rsidRDefault="0032005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г. Молотов</w:t>
      </w:r>
    </w:p>
    <w:p w14:paraId="248F46F5" w14:textId="77777777" w:rsidR="00320058" w:rsidRPr="00640820" w:rsidRDefault="0032005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Опыт борьбы с фашистской Германией со всей неопровержимостью доказал большую роль, выполняемую минометами в современном бою. На основании этого опыта представляется необходимым срочное создание и отработка более современных образцов минометного вооружения и модернизация существующих минометов. С целью сокращения затрат на их производство.</w:t>
      </w:r>
    </w:p>
    <w:p w14:paraId="27A1E359" w14:textId="77777777" w:rsidR="00320058" w:rsidRPr="00640820" w:rsidRDefault="0032005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гор. Молотове (в НИИ-13) находится Центральное конструкторское бюро по минометному производству, во главе с основным конструктором в этой области т. Шавыриным. Согласно указания Председателя Государственного комитета обороны СССР т. Сталина, Минометно-конструкторское бюро должно быть в ближайший срок обеспечено производственной базой для изготовления новых и усовершенствованных образцов минометов.</w:t>
      </w:r>
    </w:p>
    <w:p w14:paraId="089B859B" w14:textId="77777777" w:rsidR="00320058" w:rsidRPr="00640820" w:rsidRDefault="0032005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При выполнении Вашего задания по обследованию мелких предприятий Молотовской области, с целью выявления дополнительных мощностей для производства оружия и боеприпасов НИИ-13, установлено, что в условиях Молотовской области может быть с успехом выполнено указание тов. Сталина.</w:t>
      </w:r>
    </w:p>
    <w:p w14:paraId="51614E98" w14:textId="77777777" w:rsidR="00320058" w:rsidRPr="00640820" w:rsidRDefault="0032005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Из числа обследованных мелких предприятий области подходящей базой для изготовления минометов может явиться завод «Коммунар» Наркомлеспрома, находящийся в гор. Молотове.</w:t>
      </w:r>
    </w:p>
    <w:p w14:paraId="1D10FB68" w14:textId="77777777" w:rsidR="00320058" w:rsidRPr="00640820" w:rsidRDefault="0032005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На этом заводе имеются небольшие цеха: механический, чугунно-литейный, штамповочный, кузнечный и электросварочный, которые после небольшого доукомплектования будут вполне достаточными для изготовления минометов.</w:t>
      </w:r>
    </w:p>
    <w:p w14:paraId="2F89849F" w14:textId="77777777" w:rsidR="00320058" w:rsidRPr="00640820" w:rsidRDefault="0032005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настоящее время завод «Коммунар» не имеет четко установленного профиля и еще не нашел себе применения в области изготовления оружия и боеприпасов для фронта. Чугунно-литейный з-д работает далеко не полной мощностью, электросварочный цех не работает, остальные цеха используются также неэффективно.</w:t>
      </w:r>
    </w:p>
    <w:p w14:paraId="49B1984F" w14:textId="77777777" w:rsidR="00320058" w:rsidRPr="00640820" w:rsidRDefault="0032005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Намечаемое Наркомлеспромом использование з-да «Коммунар» для производства авиасаней является нерациональным, т. к. этот завод не приспособлен для такого производства.</w:t>
      </w:r>
    </w:p>
    <w:p w14:paraId="3D2CF2A7" w14:textId="77777777" w:rsidR="00320058" w:rsidRPr="00640820" w:rsidRDefault="0032005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Значительно более целесообразным является использование з-да «Коммунар» как базы для изготовления минометов, причем в этом случае, наряду с изготовлением новых и усовершенствованных объектов минометного вооружения, на з-де, после его небольшого дооборудования, может быть организовано валовое производство следующих изделий:</w:t>
      </w:r>
    </w:p>
    <w:p w14:paraId="0065D65A" w14:textId="77777777" w:rsidR="00320058" w:rsidRPr="00640820" w:rsidRDefault="0032005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82 мм батальонных минометов  ковкого чугуна для изготовления деталей минометного вооружения</w:t>
      </w:r>
      <w:r w:rsidRPr="00640820">
        <w:rPr>
          <w:rFonts w:ascii="Times New Roman" w:hAnsi="Times New Roman"/>
          <w:color w:val="0070C0"/>
          <w:sz w:val="16"/>
          <w:szCs w:val="16"/>
        </w:rPr>
        <w:tab/>
        <w:t>до 100  в потреб.кол[ичест]ве</w:t>
      </w:r>
      <w:r w:rsidRPr="00640820">
        <w:rPr>
          <w:rFonts w:ascii="Times New Roman" w:hAnsi="Times New Roman"/>
          <w:color w:val="0070C0"/>
          <w:sz w:val="16"/>
          <w:szCs w:val="16"/>
        </w:rPr>
        <w:tab/>
        <w:t>шт[ук]</w:t>
      </w:r>
      <w:r w:rsidRPr="00640820">
        <w:rPr>
          <w:rFonts w:ascii="Times New Roman" w:hAnsi="Times New Roman"/>
          <w:color w:val="0070C0"/>
          <w:sz w:val="16"/>
          <w:szCs w:val="16"/>
        </w:rPr>
        <w:tab/>
        <w:t>в м[еся]ц</w:t>
      </w:r>
    </w:p>
    <w:p w14:paraId="5DDCDA77" w14:textId="77777777" w:rsidR="00320058" w:rsidRPr="00640820" w:rsidRDefault="0032005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корпусов в 50 мм мин</w:t>
      </w:r>
      <w:r w:rsidRPr="00640820">
        <w:rPr>
          <w:rFonts w:ascii="Times New Roman" w:hAnsi="Times New Roman"/>
          <w:color w:val="0070C0"/>
          <w:sz w:val="16"/>
          <w:szCs w:val="16"/>
        </w:rPr>
        <w:tab/>
        <w:t>30 000</w:t>
      </w:r>
      <w:r w:rsidRPr="00640820">
        <w:rPr>
          <w:rFonts w:ascii="Times New Roman" w:hAnsi="Times New Roman"/>
          <w:color w:val="0070C0"/>
          <w:sz w:val="16"/>
          <w:szCs w:val="16"/>
        </w:rPr>
        <w:tab/>
        <w:t>штук</w:t>
      </w:r>
      <w:r w:rsidRPr="00640820">
        <w:rPr>
          <w:rFonts w:ascii="Times New Roman" w:hAnsi="Times New Roman"/>
          <w:color w:val="0070C0"/>
          <w:sz w:val="16"/>
          <w:szCs w:val="16"/>
        </w:rPr>
        <w:tab/>
        <w:t>в месяц</w:t>
      </w:r>
    </w:p>
    <w:p w14:paraId="7CB5E1AB" w14:textId="77777777" w:rsidR="00320058" w:rsidRPr="00640820" w:rsidRDefault="0032005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стабилизаторов для 37 и 50 мм. Мин</w:t>
      </w:r>
      <w:r w:rsidRPr="00640820">
        <w:rPr>
          <w:rFonts w:ascii="Times New Roman" w:hAnsi="Times New Roman"/>
          <w:color w:val="0070C0"/>
          <w:sz w:val="16"/>
          <w:szCs w:val="16"/>
        </w:rPr>
        <w:tab/>
        <w:t>180 000</w:t>
      </w:r>
      <w:r w:rsidRPr="00640820">
        <w:rPr>
          <w:rFonts w:ascii="Times New Roman" w:hAnsi="Times New Roman"/>
          <w:color w:val="0070C0"/>
          <w:sz w:val="16"/>
          <w:szCs w:val="16"/>
        </w:rPr>
        <w:tab/>
        <w:t>-//-</w:t>
      </w:r>
      <w:r w:rsidRPr="00640820">
        <w:rPr>
          <w:rFonts w:ascii="Times New Roman" w:hAnsi="Times New Roman"/>
          <w:color w:val="0070C0"/>
          <w:sz w:val="16"/>
          <w:szCs w:val="16"/>
        </w:rPr>
        <w:tab/>
      </w:r>
    </w:p>
    <w:p w14:paraId="689F4E8F" w14:textId="77777777" w:rsidR="00320058" w:rsidRPr="00640820" w:rsidRDefault="0032005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листовых штамповок для 37 мм миномета гаек и крепежных метизов</w:t>
      </w:r>
      <w:r w:rsidRPr="00640820">
        <w:rPr>
          <w:rFonts w:ascii="Times New Roman" w:hAnsi="Times New Roman"/>
          <w:color w:val="0070C0"/>
          <w:sz w:val="16"/>
          <w:szCs w:val="16"/>
        </w:rPr>
        <w:tab/>
        <w:t>2500  в потреб, количестве</w:t>
      </w:r>
      <w:r w:rsidRPr="00640820">
        <w:rPr>
          <w:rFonts w:ascii="Times New Roman" w:hAnsi="Times New Roman"/>
          <w:color w:val="0070C0"/>
          <w:sz w:val="16"/>
          <w:szCs w:val="16"/>
        </w:rPr>
        <w:tab/>
        <w:t>комплектов</w:t>
      </w:r>
      <w:r w:rsidRPr="00640820">
        <w:rPr>
          <w:rFonts w:ascii="Times New Roman" w:hAnsi="Times New Roman"/>
          <w:color w:val="0070C0"/>
          <w:sz w:val="16"/>
          <w:szCs w:val="16"/>
        </w:rPr>
        <w:tab/>
        <w:t>в месяц</w:t>
      </w:r>
    </w:p>
    <w:p w14:paraId="4295C474" w14:textId="77777777" w:rsidR="00320058" w:rsidRPr="00640820" w:rsidRDefault="0032005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Исходя из вышеизложенного, просим Вас принять зависящие от Вас меры к использованию завода «Коммунар» как базы для производства новых и усовершенствованных минометов и передаче этого завода из Наркомлеспрома в ведение НИИ-13 НКВ.</w:t>
      </w:r>
    </w:p>
    <w:p w14:paraId="069E5D54" w14:textId="77777777" w:rsidR="00320058" w:rsidRPr="00640820" w:rsidRDefault="0032005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Считаю необходимым отменить, что руководство завода «Коммунар» (директор и главный инженер) целиком разделяют изложенную постановку вопроса.</w:t>
      </w:r>
    </w:p>
    <w:p w14:paraId="046F0210" w14:textId="77777777" w:rsidR="00320058" w:rsidRPr="00640820" w:rsidRDefault="0032005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Директор НИИ - 13 НКВ Шипулин</w:t>
      </w:r>
    </w:p>
    <w:p w14:paraId="31AEC92D" w14:textId="77777777" w:rsidR="00320058" w:rsidRPr="00640820" w:rsidRDefault="0032005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Зам. парторга ЦК ВКП(б) при НИИ - 13 Мартынов</w:t>
      </w:r>
    </w:p>
    <w:p w14:paraId="19688104" w14:textId="77777777" w:rsidR="00320058" w:rsidRPr="00640820" w:rsidRDefault="0032005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1-я резолюция в правом верхнем углу: т. Субботину 13/XI-41 г.</w:t>
      </w:r>
    </w:p>
    <w:p w14:paraId="592A3CBC" w14:textId="77777777" w:rsidR="00320058" w:rsidRPr="00640820" w:rsidRDefault="0032005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2-я резолюция в правом верхнем углу: Отказать. Субботин. 13/XI-41 г.</w:t>
      </w:r>
    </w:p>
    <w:p w14:paraId="4468E0AC" w14:textId="77777777" w:rsidR="00320058" w:rsidRPr="00640820" w:rsidRDefault="0032005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ПермГАСПИ. Ф. 105. Оп. 7. Д. 58. Л. 111. Подлинник. Машинопись (20659).</w:t>
      </w:r>
    </w:p>
    <w:p w14:paraId="0680014D" w14:textId="77777777" w:rsidR="00320058" w:rsidRPr="00640820" w:rsidRDefault="00320058" w:rsidP="00640820">
      <w:pPr>
        <w:spacing w:after="0" w:line="240" w:lineRule="auto"/>
        <w:jc w:val="both"/>
        <w:rPr>
          <w:rFonts w:ascii="Times New Roman" w:hAnsi="Times New Roman"/>
          <w:color w:val="0070C0"/>
          <w:sz w:val="16"/>
          <w:szCs w:val="16"/>
        </w:rPr>
      </w:pPr>
    </w:p>
    <w:p w14:paraId="3E7D0E0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ноября 1941 года вышел Приказ НКБ № 19</w:t>
      </w:r>
    </w:p>
    <w:p w14:paraId="5E908F8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Распоряжением № 14819 сэ Совет по эвакуации обязал Наркомбоеприпасов эвакуировать завод № 71 (филиал завода № 70) в Челябинск на площади завода № 78 НКБ (5679, 52).</w:t>
      </w:r>
    </w:p>
    <w:p w14:paraId="6ADF8F4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8871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12 ноября по 17 декабря 1941 г. (по датам отправки судов из Сева</w:t>
      </w:r>
      <w:r w:rsidRPr="00640820">
        <w:rPr>
          <w:rFonts w:ascii="Times New Roman" w:hAnsi="Times New Roman"/>
          <w:color w:val="000000" w:themeColor="text1"/>
          <w:sz w:val="16"/>
          <w:szCs w:val="16"/>
        </w:rPr>
        <w:softHyphen/>
        <w:t>стополя) продолжалась эвакуация завода № 201 из Севастополя. Кроме оборудования и специалистов с семьями, которые вывозились в основном транспортными судами, сделавшими семь рейсов, в порты Кавказа были отбуксированы практически все на</w:t>
      </w:r>
      <w:r w:rsidRPr="00640820">
        <w:rPr>
          <w:rFonts w:ascii="Times New Roman" w:hAnsi="Times New Roman"/>
          <w:color w:val="000000" w:themeColor="text1"/>
          <w:sz w:val="16"/>
          <w:szCs w:val="16"/>
        </w:rPr>
        <w:softHyphen/>
        <w:t>ходящиеся на плаву строящиеся или ремонтируемые на заводе ко</w:t>
      </w:r>
      <w:r w:rsidRPr="00640820">
        <w:rPr>
          <w:rFonts w:ascii="Times New Roman" w:hAnsi="Times New Roman"/>
          <w:color w:val="000000" w:themeColor="text1"/>
          <w:sz w:val="16"/>
          <w:szCs w:val="16"/>
        </w:rPr>
        <w:softHyphen/>
        <w:t>рабли и суда, включая доставленные ранее из Николаева. (3898).</w:t>
      </w:r>
    </w:p>
    <w:p w14:paraId="166707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9A3F14A" w14:textId="77777777" w:rsidR="00D70A78" w:rsidRPr="00640820" w:rsidRDefault="00D70A78"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12-го ноября 1941 в Иркутск прибыло 15 вагонов оборудования Старо-Краматорского завода им. С. Орджоникидзе и часть Ново-Краматорского завода им. И.В. Сталина по выпуску горно-шахтного оборудования. В сжатые сроки все было размещено в цехах и на свободных площадках Иркутского завода тяжелого машиностроения им.В. Куйбышева. В декабре была выдана первая продукция для фронта (15223).</w:t>
      </w:r>
    </w:p>
    <w:p w14:paraId="716C49DE" w14:textId="77777777" w:rsidR="00D70A78" w:rsidRPr="00640820" w:rsidRDefault="00D70A78" w:rsidP="00640820">
      <w:pPr>
        <w:shd w:val="clear" w:color="auto" w:fill="FFFFFF"/>
        <w:spacing w:after="0" w:line="240" w:lineRule="auto"/>
        <w:jc w:val="both"/>
        <w:rPr>
          <w:rFonts w:ascii="Times New Roman" w:hAnsi="Times New Roman"/>
          <w:color w:val="000000" w:themeColor="text1"/>
          <w:sz w:val="16"/>
          <w:szCs w:val="16"/>
        </w:rPr>
      </w:pPr>
    </w:p>
    <w:p w14:paraId="625ACD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12 ноября по 17 декабря 1941 г. основная часть завода (Краснознаменный завод № 201 им. С. Орджоникидзе НКОП, НКСП, Севастопольское адмиралтейство, Лазаревское адмиралтейство, Верфь Русского общества пароходства и торговли (РОПиТ), Севастопольский судостроительный завод, Севастопольский морской завод (Севморзавод) им. С. Орджоникидзе НК по морским делам, ВСНХ, НКТП, Потийский судоремонтный завод Минрыбпрома, Потийский судоремонтно-судостроительный завод /г. Севастополь п/я 69 «Вал» (1938 г.);  г. Туапсе;  г. Батуми;  г. Поти/) (4500 чел.) эвакуирована: на завод № 638 в Астрахань; в Поти на территорию порта со складами и в мастерские ГРЭС, в 12.1941 г. здесь создан филиал завода № 201, из НКМФ ему передан плавдок на 5000 т; часть завода - в Туапсе на территорию СРЗ им. Ф.Э. Дзержинского НКМФ и на территорию эвакуированного котлостроительного завода, где продолжала действовать как завод № 201. В Туапсе заводу также были переданы судоремонтные мастерские Охраны водного района. Были построены кислородная станция, ацетиленовая, компрессорная. Производился ремонт кораблей. В 08.1942 г. завод № 201 вновь эвакуирован из Туапсе в Поти и Батуми на площадки своих филиалов.</w:t>
      </w:r>
    </w:p>
    <w:p w14:paraId="50859B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Оставшаяся в Севастополе часть завода, ставшая филиалом, продолжала выпуск продукции для фронта. В Ново-Троицкой штольне был создан «Спецкомбинат № 1», где смонтированы котельная, компрессорная, автономная электростанция для завода. Вплоть до оставления города нашими войсками ремонтировались суда на плаву и на продольном слипе.</w:t>
      </w:r>
    </w:p>
    <w:p w14:paraId="30BC2B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12.1941 г. создан филиал завода № 201 в Батуми на базе завода им. Берии и складов Заготзерна (по другой информации в Батуми завод размещен на территории фабрики по переработке чайного листа с причалом</w:t>
      </w:r>
      <w:r w:rsidRPr="00640820">
        <w:rPr>
          <w:rFonts w:ascii="Times New Roman" w:hAnsi="Times New Roman"/>
          <w:color w:val="000000" w:themeColor="text1"/>
          <w:sz w:val="16"/>
          <w:szCs w:val="16"/>
          <w:vertAlign w:val="superscript"/>
        </w:rPr>
        <w:t>115</w:t>
      </w:r>
      <w:r w:rsidRPr="00640820">
        <w:rPr>
          <w:rFonts w:ascii="Times New Roman" w:hAnsi="Times New Roman"/>
          <w:color w:val="000000" w:themeColor="text1"/>
          <w:sz w:val="16"/>
          <w:szCs w:val="16"/>
        </w:rPr>
        <w:t>). С 08.1942 г. завод № 201 действовал в Батуми. 25.12.1942 г. вышло распоряжение ГКО № 2656 о поставке заводу № 201 НКСП оборудования материалов и топлива. Был в 1946 г.</w:t>
      </w:r>
    </w:p>
    <w:p w14:paraId="3DE30A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1943 г. на заводе организован филиал ЦКБ-17.</w:t>
      </w:r>
    </w:p>
    <w:p w14:paraId="4A09FA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освобождения Севастополя в 05.1944 г. на старом месте был восстановлен судостроительный завод № 497, далее- Севастопольский морской завод.</w:t>
      </w:r>
    </w:p>
    <w:p w14:paraId="7BD8E3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Поти в 1946-50г, проведена модернизация тральщиков пр. 3, 53, 58, 53У. Завод № 201 действовал в Поти в 1950-е  г. и далее; затем - Потийский СРЗ.</w:t>
      </w:r>
      <w:r w:rsidRPr="00640820">
        <w:rPr>
          <w:rFonts w:ascii="Times New Roman" w:hAnsi="Times New Roman"/>
          <w:color w:val="000000" w:themeColor="text1"/>
          <w:sz w:val="16"/>
          <w:szCs w:val="16"/>
          <w:vertAlign w:val="superscript"/>
        </w:rPr>
        <w:t>116</w:t>
      </w:r>
    </w:p>
    <w:p w14:paraId="4A8FAB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(1818 г.)- более 800 чел., (1924 г.)- около 3000 чел., (1937 г.)- 6767 чел., (06.1941 г.)- 6937 чел.</w:t>
      </w:r>
    </w:p>
    <w:p w14:paraId="04B742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Заведующий (1880-е)- Л. Г. Конкевич. Директор (1925 г.-)- Н.И. Антонов, (-3.08.1937 г.)- А.Л., Токарев; и.о. (3.08.1937 г.-)- С.Н.(П) Задорожный; (16.09.1937-12.1938 г.-)- С.Н. Задорожный, в Севастополе (1942 г.)- Н.К. Костенко, в Туапсе (1941 г.)- С.О. Шрайбер; М.Н. Сургучев.</w:t>
      </w:r>
    </w:p>
    <w:p w14:paraId="0570F0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(1920-е)- И.П. Морозов, (-21.01.1937 г.)- В.Ф. Попов, (3.10.1937 г.-)- А.К. Шишунов; по коммерческой части (15.06.1938 г.-)- П.Т. Варюхов. Помощник директора по найму и увольнению (-8.10.1937 г.)- ДЛ. Эвадис, (8.10.1937 г.-)- И.В. Чепак.</w:t>
      </w:r>
    </w:p>
    <w:p w14:paraId="58CB7D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(-21.01.1937 г.)- В.Ф. Попов, (3.10.1937-12.1938 г.-)- А.К. Шишунов, Т.Н. Хазарадзе.</w:t>
      </w:r>
    </w:p>
    <w:p w14:paraId="11A793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филиала в Поти (12.1941 г.-)- С.М. Щеголь.</w:t>
      </w:r>
    </w:p>
    <w:p w14:paraId="64E19C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Корабельный мастер (1819 г.)- И .Я. Осьминин. Строители кораблей: (-1901-04 г.-)- Н.И. Янковский. Гл. строители (1925 г.)- Н.Д. Звягин.</w:t>
      </w:r>
    </w:p>
    <w:p w14:paraId="3E3E7C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бюро: ПЭБ (02.1938 г.)- Мурин.</w:t>
      </w:r>
    </w:p>
    <w:p w14:paraId="7E3A05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Производство: корветы: 18-пушечный «Крым» (12.1808-01.1810), 20-пушечные «Менелай» (1839-41), «Ариадна» (1848-51), 24-пушечный «Месемврия» (1832-34), «Язон» (1814-15), «Оливуца»; бриги: «Мингрелия» (1813), «Меркурий» (1819), 12-пушечные «Аргонавт» (1837-37), «Язон» (1848-50), 20-пушечный «Пегас» (1825-); шхуны: (1794-)-2, 12-пушечная «Флора» (1815-18), (1838-40)- 2; тендеры: 8-пушечный (1817-), 12-пушечные (1832-39)- 3; транспорты (1819-23-)- 3, «Днепр» (1836-38), (1840-48-)- 2, «Аккерман» (-1849); 12-пушечные катера (1820)- 1, «Жаворонок» (1825); 18-пушечный шлюп «Диана» (1821-23); яхта «Голубка» (1821-22); люгер «Стрела» (1822); фрегаты: 36-пушечный «Рафаил» (1825-28), 44-пушечный «Браилов» (1835-36), 54-пушечный «Сизополь» (1838-41); бригантина «Нарцисс» (1827-29); землечерпательная машина (1826); боты (1836)- 2; миноноски типа «Щегленок» (1877-78)- 3; канонерские лодки: «Кубанец», «Терец», «Уралец» (1886-87), «Черноморец»; броненосцы «Иоанн Златоуст» (31.10.1904-30.04.1906), «Чесма»; крейсер «Очаков» (08.1901- 09.1902); тральщики: пр. 3 «Трал» (Т-401), «Минреп» (Т-402), «Груз» (Т-403), «Щит» (Т-404) (1933-35), пр. 53 Т- 405 «Взрыватель», Т-406 «Искатель», Т-407 «Мина», Т-411 «Защитник», Т-7 «Веха», Т-8 «Чека» (зак. 180, 08.1936-11.1938), </w:t>
      </w:r>
      <w:r w:rsidRPr="00640820">
        <w:rPr>
          <w:rFonts w:ascii="Times New Roman" w:hAnsi="Times New Roman"/>
          <w:color w:val="000000" w:themeColor="text1"/>
          <w:sz w:val="16"/>
          <w:szCs w:val="16"/>
          <w:lang w:val="en-US"/>
        </w:rPr>
        <w:t>IV</w:t>
      </w:r>
      <w:r w:rsidRPr="00640820">
        <w:rPr>
          <w:rFonts w:ascii="Times New Roman" w:hAnsi="Times New Roman"/>
          <w:color w:val="000000" w:themeColor="text1"/>
          <w:sz w:val="16"/>
          <w:szCs w:val="16"/>
        </w:rPr>
        <w:t xml:space="preserve"> серии пр. 58 Т-5 «Параван» (зак. 187, 1938), Т-6 «Капсюль» (зак. 188, 1938), Т-408 «Якорь» (зак. 189, 1938), Т-409 «Гарпун» (зак. 190, 1938), Т-410 «Взрыв», Т-412 «Арсений Расскин», Т-413 (03.1937- 04.1941), Т-414, Т-415 (01.1941-, не достроены); пр. 59 Т-450 («Павел Головин»), Т-451 («Иван Борисов»), Т-452 («Сергей Шувалов»), Т-453 («Семен Рошаль»), Т-454 («Иван Сладков») (-1941); искатель мин пр. 257М (1959-60, не достроен); эсминцы: пр. 7у (1941)- 1, достройка «Огневой» (-03.1945); сборка ПЛ завода 112 </w:t>
      </w:r>
      <w:r w:rsidRPr="00640820">
        <w:rPr>
          <w:rFonts w:ascii="Times New Roman" w:hAnsi="Times New Roman"/>
          <w:color w:val="000000" w:themeColor="text1"/>
          <w:sz w:val="16"/>
          <w:szCs w:val="16"/>
          <w:lang w:val="en-US"/>
        </w:rPr>
        <w:t>XII</w:t>
      </w:r>
      <w:r w:rsidRPr="00640820">
        <w:rPr>
          <w:rFonts w:ascii="Times New Roman" w:hAnsi="Times New Roman"/>
          <w:color w:val="000000" w:themeColor="text1"/>
          <w:sz w:val="16"/>
          <w:szCs w:val="16"/>
        </w:rPr>
        <w:t xml:space="preserve"> серии (ВОВ); грузопассажирское судно «Св. Николай», пассажирское «Проворный» (1892-93); буксирно-пассажирские пароходы «Волга», «Теща», «Вестник», «Тесть» (1881-83); лесовоз </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 xml:space="preserve"> серии «Михаил Фрунзе» (11.1925-06.1927); сухогрузы: типа «Ногин» «Ногин», «Анри Барбюс» (1929-34); типа «Сихали» «Сихали» («Рыбинск»), «Сызрань» (1932-36), «Вольск», «Молога» (не достроены), «Камышин» (1930-е, достроен после войны); типа «Пионер» «Пионер», «Земляк», «Работник», «Батрак» («Тракторист»), «Местком», «Судком» (1928-33); грузопассажирские «Дельфин», «Чайка» (1928-31); траулеры типа РТ-308 «Красный онежанин» (1930-33)- 4; буксиры: речные 150 л.с. (1928)- 2, 250 л.с. «Колхозник», «Красный Октябрь», «Кимовец» (1928-31); морской спасательный 800 л.с. типа «СП» пр.135 (зак 102, 1938), (-1941)- 12; буксирный ледокол 300 л.с. «Байкал» (1932); водолазные боты морские и речные (1930-е); кольцевой судоподъемный понтон грузоподъемностью 1100 т (1930-е); СПК пр. 342МТ «Комета» (1961-); артиллерийский щит 3-секционный (1938)- 3;</w:t>
      </w:r>
    </w:p>
    <w:p w14:paraId="12FF32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восстановление крейсера «Коминтерн» (1922-23); разборка 7 броненосцев, плавдока (1920-е); модернизация: линкора «Парижская Коммуна» (1934-38; 1939-40); ремонт коммерческих судов (1930-е); переоборудование: опытного судна «Тосно» (1937); грузовых судов типа «Пионер» в транспортные (ВОВ); ремонт крейсеров «Красный Кавказ», «Молотов», эсминца «Способный» (ВОВ) (11982).</w:t>
      </w:r>
    </w:p>
    <w:p w14:paraId="633386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ACA9D50"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5A01E0A6"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514314D"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12 ноября </w:t>
      </w:r>
      <w:r w:rsidRPr="00640820">
        <w:rPr>
          <w:rFonts w:ascii="Times New Roman" w:hAnsi="Times New Roman"/>
          <w:color w:val="000000" w:themeColor="text1"/>
          <w:sz w:val="16"/>
          <w:szCs w:val="16"/>
        </w:rPr>
        <w:t>в 1941 году утреннее сообщение Совинформбюро:</w:t>
      </w:r>
    </w:p>
    <w:p w14:paraId="42B40727"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12 ноября наши войска вели бои с противником на всех фронтах.</w:t>
      </w:r>
    </w:p>
    <w:p w14:paraId="0F833525"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Лётчики авиачасти тов. Вершинина, действующие на Южном фронте, за один день боевых действий 8 ноября уничтожили 6 немецких танков, более 150 автомашин с военными грузами, 14 зенитных пулемётов и до 300 солдат и офицеров противника.</w:t>
      </w:r>
    </w:p>
    <w:p w14:paraId="379A74FA"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время атаки вражеских танков на одном из участков Южного фронта бойцы подразделения, где политруком тов. Усенко, поползли навстречу вражеским машинам и бутылками с горючей жидкостью сожгли 2 немецких танка. Смело отбила танковую атаку часть тов. Никитенко. Старший лейтенант Верещагин организовал три группы истребителей, которые гранатами и бутылками с горючей жидкостью уничтожили 7 танков противника, остальные машины врага отступили. Красноармейцы Лопатин и Сердюков бутылками с горючей жидкостью уничтожили два немецких танка.</w:t>
      </w:r>
    </w:p>
    <w:p w14:paraId="3B867EED"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всех районах Белоруссии с каждым даём всё более усиливается борьба советских партизан против немецких захватчиков. Приводим выписки из дневника командира партизанского отряда инженера тов. Ш. о боевых действиях отряда в октябре месяце:</w:t>
      </w:r>
    </w:p>
    <w:p w14:paraId="31C0175A"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октября. Ликвидирован ставленник фашистов в деревне В.</w:t>
      </w:r>
    </w:p>
    <w:p w14:paraId="314C9596"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октября.. Организовали засаду на опушке леса у железнодорожной насыпи. Обстреляли поезд с цистернами.</w:t>
      </w:r>
    </w:p>
    <w:p w14:paraId="621376AE"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октября.. На дороге в деревню подстерегли карательный отряд. Уничтожили две грузовые и одну легковую машину. Отправили на тот свет 17 немецких солдат, двух унтер-офицеров и одного лейтенанта. Всё оружие фашистов, захваченное нами, оказалось в полной исправности.</w:t>
      </w:r>
    </w:p>
    <w:p w14:paraId="1FBCCD3A"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октября.. Целый день вели перестрелку с крупным отрядом немцев. Убито 22 солдата и один унтер-офицер. Вечером похоронили своих героев тов. Г. и тов. У. Вечная слава боевым товарищам!</w:t>
      </w:r>
    </w:p>
    <w:p w14:paraId="2919DFA5"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октября.. Под утро совершили нападение на станцию Д. Захватили продовольствие, уничтожили 13 немецких солдат и 2 офицеров.</w:t>
      </w:r>
    </w:p>
    <w:p w14:paraId="60A591E9"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октября.. Взорвали мост. У немцев будет много хлопот. Вброд не проехать: грязь непролазная. К вечеру у реки скопилась сотня машин. Сообщили капитану С. Пусть прилетит в гости.</w:t>
      </w:r>
    </w:p>
    <w:p w14:paraId="4ADB70BC"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 октября.. Под утро наши бомбили немцев у реки. Убито много фашистских мерзавцев. У реки настоящее кладбище из машин и повозок».</w:t>
      </w:r>
    </w:p>
    <w:p w14:paraId="5F80B503"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различных городах Италии всё чаще происходят стычки между итальянскими и немецкими солдатами. 4 ноября в городе Кастелламмаре группа итальянских стрелков избила двух немецких офицеров и трёх солдат. Немцы пустили в ход оружие и ранили четырёх итальянцев. Сбежавшиеся к месту драки жители пришли на помощь итальянским солдатам и забросали немцев камнями. В связи с убийством немцев в городе произведены многочисленные аресты. В городе Салерно неизвестные лица произвели нападение на группу немецких офицеров, сидевших в ресторане. Через раскрытые окна в офицеров полетели камни. Три офицера получили серьёзные ранения.» (14828).</w:t>
      </w:r>
    </w:p>
    <w:p w14:paraId="67AD1053" w14:textId="77777777" w:rsidR="00D70A78" w:rsidRPr="00640820" w:rsidRDefault="00D70A78" w:rsidP="00640820">
      <w:pPr>
        <w:spacing w:after="0" w:line="240" w:lineRule="auto"/>
        <w:jc w:val="both"/>
        <w:rPr>
          <w:rFonts w:ascii="Times New Roman" w:hAnsi="Times New Roman"/>
          <w:color w:val="000000" w:themeColor="text1"/>
          <w:sz w:val="16"/>
          <w:szCs w:val="16"/>
        </w:rPr>
      </w:pPr>
    </w:p>
    <w:p w14:paraId="755830FE"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12 ноября </w:t>
      </w:r>
      <w:r w:rsidRPr="00640820">
        <w:rPr>
          <w:rFonts w:ascii="Times New Roman" w:hAnsi="Times New Roman"/>
          <w:color w:val="000000" w:themeColor="text1"/>
          <w:sz w:val="16"/>
          <w:szCs w:val="16"/>
        </w:rPr>
        <w:t>в 1941 году вечернее сообщение Совинформбюро:</w:t>
      </w:r>
    </w:p>
    <w:p w14:paraId="535C6F3E"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12 ноября наши войска вели бои с противником на всех фронтах.</w:t>
      </w:r>
    </w:p>
    <w:p w14:paraId="1C2477D1"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11 ноября уничтожено 25 немецких самолётов. Наши потери — 5 самолётов.</w:t>
      </w:r>
    </w:p>
    <w:p w14:paraId="3E153BAE"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12 ноября под Москвой сбито 5 немецких самолётов.</w:t>
      </w:r>
    </w:p>
    <w:p w14:paraId="4F9F693D"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11 ноября нашей авиацией уничтожено и выведено из строя 50 немецких танков, 200 автомашин с пехотой и военными грузами, 5 тяжёлых орудий, более 10 зенитных точек, 20 мотоциклов, рассеяно и уничтожено более полка пехоты противника.</w:t>
      </w:r>
    </w:p>
    <w:p w14:paraId="319519A2"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Беспощадно истребляют живую силу и вооружение немецких войск партизанские отряды Калининской области. Партизаны активно помогают Красной Армии громить врага. 2 ноября партизанский отряд под руководством тов. И. в течение ночи взорвал два моста на дороге, по которой направлялись к фронту резервы противника. В ожидании переправы на берегу реки С. скопилось большое количество немецких автомашин и повозок. Партизаны сообщили об этом командиру одной из частей Красной Армии. К переправе были посланы лётчики штурмовой авиации. На головы фашистов посыпались бомбы и свинцовый ливень из пулемётов. Немецкие солдаты бросились бежать и наткнулись на засаду партизан. Совместными действиями лётчиков и партизан был разгромлен немецкий батальон. В руки партизан попало много различного оружия. Партизанский отряд, где командиром начальник цеха текстильной фабрики тов. К., минировал дорогу, по которой противник перебрасывал к фронту боеприпасы и горючее. В течение дня на минах взорвались 3 вражеских грузовика со снарядами и 4 автоцистерны. Немцы вынуждены были организовать перевозку снарядов и горючего окружным путём. Отряд тов. К. за 1, 2 и 3 ноября уничтожил 12 немецких грузовых автомашин с различным военным снаряжением, 8 цистерн с горючим и больше 100 немецких солдат и офицеров.</w:t>
      </w:r>
    </w:p>
    <w:p w14:paraId="400538D7"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Озлобление населения Румынии против хозяйничанья немцев в стране принимает всё более острые формы. В районе Плоешти пущен под откос нефтеналивной поезд из 32 цистерн, В результате крушения и возникшего пожара нефть, направлявшаяся в Германию, уничтожена. Сейчас стало известно, что в первых числах ноября на </w:t>
      </w:r>
      <w:r w:rsidRPr="00640820">
        <w:rPr>
          <w:rFonts w:ascii="Times New Roman" w:hAnsi="Times New Roman"/>
          <w:color w:val="000000" w:themeColor="text1"/>
          <w:sz w:val="16"/>
          <w:szCs w:val="16"/>
        </w:rPr>
        <w:lastRenderedPageBreak/>
        <w:t>нефтеперегонном заводе в Бузау произошёл взрыв и большой пожар. Огнём уничтожено значительное количество готовой продукции. В Тыргул-Окна на нефтепромыслах в течение нескольких дней продолжался пожар, во время которого сгорело до тысячи тонн нефти. Акты диверсии и саботажа на нефтепромыслах и заводах Румынии привели к тому, что германская армия за последнее время получает нефтепродуктов на 15-20 процентов меньше, чем намечалось.» (14828).</w:t>
      </w:r>
    </w:p>
    <w:p w14:paraId="2362538B" w14:textId="77777777" w:rsidR="00D70A78" w:rsidRPr="00640820" w:rsidRDefault="00D70A78" w:rsidP="00640820">
      <w:pPr>
        <w:spacing w:after="0" w:line="240" w:lineRule="auto"/>
        <w:jc w:val="both"/>
        <w:rPr>
          <w:rFonts w:ascii="Times New Roman" w:hAnsi="Times New Roman"/>
          <w:color w:val="000000" w:themeColor="text1"/>
          <w:sz w:val="16"/>
          <w:szCs w:val="16"/>
        </w:rPr>
      </w:pPr>
    </w:p>
    <w:p w14:paraId="0E2BC142"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12 ноября </w:t>
      </w:r>
      <w:r w:rsidRPr="00640820">
        <w:rPr>
          <w:rFonts w:ascii="Times New Roman" w:hAnsi="Times New Roman"/>
          <w:color w:val="000000" w:themeColor="text1"/>
          <w:sz w:val="16"/>
          <w:szCs w:val="16"/>
        </w:rPr>
        <w:t>в 1941 году начало «страшных морозов» (−12 °С) в Подмосковье, на которые фон Боком списано поражение группы армий «Центр» (14828).</w:t>
      </w:r>
    </w:p>
    <w:p w14:paraId="3FA1B893" w14:textId="77777777" w:rsidR="00D70A78" w:rsidRPr="00640820" w:rsidRDefault="00D70A78" w:rsidP="00640820">
      <w:pPr>
        <w:spacing w:after="0" w:line="240" w:lineRule="auto"/>
        <w:jc w:val="both"/>
        <w:rPr>
          <w:rFonts w:ascii="Times New Roman" w:hAnsi="Times New Roman"/>
          <w:color w:val="000000" w:themeColor="text1"/>
          <w:sz w:val="16"/>
          <w:szCs w:val="16"/>
        </w:rPr>
      </w:pPr>
    </w:p>
    <w:p w14:paraId="3A32B0B3"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12 ноября </w:t>
      </w:r>
      <w:r w:rsidRPr="00640820">
        <w:rPr>
          <w:rFonts w:ascii="Times New Roman" w:hAnsi="Times New Roman"/>
          <w:color w:val="000000" w:themeColor="text1"/>
          <w:sz w:val="16"/>
          <w:szCs w:val="16"/>
        </w:rPr>
        <w:t>в 1941 году на совещании немецкого генералитета в Орше разработан план взятия фашистами Москвы (14828).</w:t>
      </w:r>
    </w:p>
    <w:p w14:paraId="45B19FF0" w14:textId="77777777" w:rsidR="00D70A78" w:rsidRPr="00640820" w:rsidRDefault="00D70A78" w:rsidP="00640820">
      <w:pPr>
        <w:spacing w:after="0" w:line="240" w:lineRule="auto"/>
        <w:jc w:val="both"/>
        <w:rPr>
          <w:rFonts w:ascii="Times New Roman" w:hAnsi="Times New Roman"/>
          <w:color w:val="000000" w:themeColor="text1"/>
          <w:sz w:val="16"/>
          <w:szCs w:val="16"/>
        </w:rPr>
      </w:pPr>
    </w:p>
    <w:p w14:paraId="4A519D05"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12 ноября </w:t>
      </w:r>
      <w:r w:rsidRPr="00640820">
        <w:rPr>
          <w:rFonts w:ascii="Times New Roman" w:hAnsi="Times New Roman"/>
          <w:color w:val="000000" w:themeColor="text1"/>
          <w:sz w:val="16"/>
          <w:szCs w:val="16"/>
        </w:rPr>
        <w:t xml:space="preserve">в 1941 году у Севастополя немецкими "юнкерсами" уничтожается крейсер "Червона Украина" (единственный советский крейсер, погибший в годы второй мировой войны) </w:t>
      </w:r>
    </w:p>
    <w:p w14:paraId="380192B2" w14:textId="77777777" w:rsidR="00D70A78" w:rsidRPr="00640820" w:rsidRDefault="00D70A78" w:rsidP="00640820">
      <w:pPr>
        <w:spacing w:after="0" w:line="240" w:lineRule="auto"/>
        <w:jc w:val="both"/>
        <w:rPr>
          <w:rFonts w:ascii="Times New Roman" w:hAnsi="Times New Roman"/>
          <w:color w:val="000000" w:themeColor="text1"/>
          <w:sz w:val="16"/>
          <w:szCs w:val="16"/>
        </w:rPr>
      </w:pPr>
    </w:p>
    <w:p w14:paraId="37416F69" w14:textId="77777777" w:rsidR="00320058" w:rsidRPr="00640820" w:rsidRDefault="0032005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12 ноября 1941 - Около Севастополя немецкими бомбардировщиками потоплен крейсер «Червона Украина» (22309).</w:t>
      </w:r>
    </w:p>
    <w:p w14:paraId="645BE2C3" w14:textId="77777777" w:rsidR="00320058" w:rsidRPr="00640820" w:rsidRDefault="00320058" w:rsidP="00640820">
      <w:pPr>
        <w:spacing w:after="0" w:line="240" w:lineRule="auto"/>
        <w:jc w:val="both"/>
        <w:rPr>
          <w:rFonts w:ascii="Times New Roman" w:hAnsi="Times New Roman"/>
          <w:color w:val="0070C0"/>
          <w:sz w:val="16"/>
          <w:szCs w:val="16"/>
        </w:rPr>
      </w:pPr>
    </w:p>
    <w:p w14:paraId="2F659440"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12 ноября </w:t>
      </w:r>
      <w:r w:rsidRPr="00640820">
        <w:rPr>
          <w:rFonts w:ascii="Times New Roman" w:hAnsi="Times New Roman"/>
          <w:color w:val="000000" w:themeColor="text1"/>
          <w:sz w:val="16"/>
          <w:szCs w:val="16"/>
        </w:rPr>
        <w:t>в 1941 году во время Великой Отечественной войны войсками Ленинградского (генерал-лейтенант М.С.Хозин) и Волховского (генерал армии К.А.Мерецков) фронтов при поддержке Северо-Западного (генерал-лейтенант П.А.Курочкин) фронта началась Тихвинская наступательная операция. В ходе операции, завершившейся 30 декабря, советские войска продвинулись на 100 км и нанесли значительный урон 10 вражеским дивизиям группы армий «Север». Был сорван план полного окружения Ленинграда, силы противника были скованы на севере, что не позволило перебросить часть их под Москву (14828).</w:t>
      </w:r>
    </w:p>
    <w:p w14:paraId="66F53011" w14:textId="77777777" w:rsidR="00D70A78" w:rsidRPr="00640820" w:rsidRDefault="00D70A78" w:rsidP="00640820">
      <w:pPr>
        <w:spacing w:after="0" w:line="240" w:lineRule="auto"/>
        <w:jc w:val="both"/>
        <w:rPr>
          <w:rFonts w:ascii="Times New Roman" w:hAnsi="Times New Roman"/>
          <w:color w:val="000000" w:themeColor="text1"/>
          <w:sz w:val="16"/>
          <w:szCs w:val="16"/>
        </w:rPr>
      </w:pPr>
    </w:p>
    <w:p w14:paraId="6741EDB1"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12 ноября </w:t>
      </w:r>
      <w:r w:rsidRPr="00640820">
        <w:rPr>
          <w:rFonts w:ascii="Times New Roman" w:hAnsi="Times New Roman"/>
          <w:color w:val="000000" w:themeColor="text1"/>
          <w:sz w:val="16"/>
          <w:szCs w:val="16"/>
        </w:rPr>
        <w:t>в 1941 году (12-13 ноября) после доклада командующего советскими войсками на Керченском полуострове Левченко Сталину о сложившемся тяжелом положении (войска деморализованы, небоеспособны и не в состоянии удержать Керченский полуостров) в Керчь прибыл маршал Г.И.Кулик с поручением Ставки оказать помощь командованию 51-й армии, не допустить форсирования вермахтом Керченского пролива и выхода его на Северный Кавказ со стороны Крыма. На Таманском полуострове не имелось ни одной воинской части, кроме пограничников, полностью отсутствовали полевые укрепления, кроме одиночных ячеек горного полка, который уже перебросили с Тамани в Керчь; никаких препятствий для высадки десанта не было. В сложившейся ситуации Кулик принял единственно правильное решение эвакуировать войска из Керчи на Тамань – 11,5 тысяч человек, около 2000 орудий. Эвакуацию Кулик поручил потерявшему реальное командование Левченко, оборону Керчи – Батову и ЧВС Николаеву и 13 ноября убыл из Керчи (14828).</w:t>
      </w:r>
    </w:p>
    <w:p w14:paraId="67488042" w14:textId="77777777" w:rsidR="00D70A78" w:rsidRPr="00640820" w:rsidRDefault="00D70A78" w:rsidP="00640820">
      <w:pPr>
        <w:spacing w:after="0" w:line="240" w:lineRule="auto"/>
        <w:jc w:val="both"/>
        <w:rPr>
          <w:rFonts w:ascii="Times New Roman" w:hAnsi="Times New Roman"/>
          <w:color w:val="000000" w:themeColor="text1"/>
          <w:sz w:val="16"/>
          <w:szCs w:val="16"/>
        </w:rPr>
      </w:pPr>
    </w:p>
    <w:p w14:paraId="636D3F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ноября 1941 года немцы нанесли массированный бомбовый удар по Севастополю. Рано утром 23 Ю-88 потопили крейсер "Червона Украина" и повредили два эсминца: "Совершенный" и "Беспощадный". В 16:00 налет повторили 36 Ю-88 и Не-111. Немцы потеряли 4 машины: одну сбили зенитчики, две - истребители, а четвертую таранил на МиГ-3 младший лейтенант Ю. Иванов. Четыре дня спустя Иванов погиб, совершая очередной таран (2691).</w:t>
      </w:r>
    </w:p>
    <w:p w14:paraId="712889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B397C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ноября 1941 л В.К.Гречишкин на Р-5 вылетел за линию фронта и пригнал оттуда ДБ-3Ф после вынужденной посадки, который затем вошел в строй. 20 февраля 1942 стал ГСС (3105,37).</w:t>
      </w:r>
    </w:p>
    <w:p w14:paraId="276C9D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CD83F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и 15 ноября 1941 вновь нанесли удары по аэродромам в ходе самостоятельной воздушной операции. В 300 самолето-вылетах уничтожили 47 машин (518,74).</w:t>
      </w:r>
    </w:p>
    <w:p w14:paraId="5F01D5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461B5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C 12 ноября по 28 (30 - 3398,394) декабря 1941 было контрнаступление КА под Тихвином (3186) - ЛФ, ВФ и СЗФ. продвинулись на 100 км и нанесли потери 10 дивизиям группы Север. Сорвали план полного окружения, оттянули силы от Москвы (3398,394).</w:t>
      </w:r>
    </w:p>
    <w:p w14:paraId="137372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EF1FF5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ноября 1941 на совещании немецкого генералитета в Орше разработан план взятия фашистами Москвы (4962).</w:t>
      </w:r>
    </w:p>
    <w:p w14:paraId="34DCEE5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B05B9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ноября 1941 у Севастополя немецкими “юнкерсами” уничтожен крейсер “Червона Украина” (единственный советский крейсер, погибший в годы второй мировой войны) (4962).</w:t>
      </w:r>
    </w:p>
    <w:p w14:paraId="7AB7985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5BF035"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121B20DC"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5C858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ноября 1941 циркуляром НКВД № 288 за подписью зам. наркома Чернышова разрешался “прием добровольных взносов и отчислений заключенными личных средств, облигаций госзаймов и других материальных ценностей в фонд обороны страны. Не допускать никакой массовой кампанейской работы вокруг этого мероприятия, сохраняя принцип полной добровольности и личной инициативы самих заключенных” (7560).</w:t>
      </w:r>
    </w:p>
    <w:p w14:paraId="61EFC3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62B3327"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02564779"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3AEE4F1" w14:textId="77777777" w:rsidR="00320058" w:rsidRPr="00640820" w:rsidRDefault="0032005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12 ноября 1941 британский авианосец HMS Ark Royal затонул в Средиземном на восток от Гибралтара в результате атаки немецкой подводной лодки U-81 (20794).</w:t>
      </w:r>
    </w:p>
    <w:p w14:paraId="0791A5EE" w14:textId="77777777" w:rsidR="00320058" w:rsidRPr="00640820" w:rsidRDefault="00320058" w:rsidP="00640820">
      <w:pPr>
        <w:spacing w:after="0" w:line="240" w:lineRule="auto"/>
        <w:jc w:val="both"/>
        <w:rPr>
          <w:rFonts w:ascii="Times New Roman" w:hAnsi="Times New Roman"/>
          <w:color w:val="0070C0"/>
          <w:sz w:val="16"/>
          <w:szCs w:val="16"/>
        </w:rPr>
      </w:pPr>
    </w:p>
    <w:p w14:paraId="43009A7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ноября 1941 в районе Нима в авиакатастрофе погиб военный министр вишистского правительства Франции генерал Ханцигер (4962).</w:t>
      </w:r>
    </w:p>
    <w:p w14:paraId="09319E5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9476C7"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0D9D7DD9"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DF1A1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ноября 1941 была кончена постройка 103В с М-82, которая велась с 1 августа 1941 и 15 декабря начались гос. испытания (4,179).</w:t>
      </w:r>
    </w:p>
    <w:p w14:paraId="69C345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34E1D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ноября 1941 г на заводе №124 произошла катастрофа - она будет первой в истории завода. ТБ-7 (зав. №42056) уходил в испытательный полёт. Задание было не сложным - на маршруте “обкатать” новые дизельные двигатели М-40, с начала ноября установленные на этот бомбардировщик. Командиром экипажа был заводской лётчик-испытатель Людвиг Ойгенович Немет, венгр, революционным вихрем занесенный в Россию. Закончив Борисоглебскую лётную школу. Высшую школу воздушного боя, он служил в ВВС РККА. С 1935 г Немет работал на авиазаводе №124, где испытывал ТБ-3, ДБ-А, АНТ-42, Пе-2. В экипаж входили второй пилот Л. Сумцов, штурман Н. Журавлев, борттехник Шевченко - все из 433 полка Дальней авиации. После испытаний на этом бомбардировщике они должны были улететь на фронт. От завода в составе экипажа летели ведущий инженер ЛИСа Я.С. Осокин, бортмеханики И.В. Шитов и С. Шарипов, радист С.В. Блинов, представитель военной приемки В.И. Григоренко и представитель ЦИА-Ма А.Ф. Лапко. Всего 10 человек. Взлет задержался на 1 ч. 45 мин. Штурман полка Рогозеев из-за отсутствия лётного обмундирования не явился к полёту и его заменили Н. Журавлёвым. Взлетели в 11.45. Первый этап полёта - взлет, набор высоты 2000 м. Второй -подъем до 4000 м по направлению на Чистополь и возвращение к Казани. Третий этап - полёт на Йошкар-Олу на высоте 5000 м с выходом на Канаш, а затем возвращение на заводской аэродром. При прохождении Казани радист передал, что на борту все в порядке, посадку планируют в 16.20. Время 15.00. В районе Канаша, когда экипаж готовился к повороту домой, после внезапного удара двигатель №2 остановился и из крыла в фюзеляж потянуло дымом, а потом ворвалось пламя. Немет приказал всем прыгать, а сам из-за густого и едкого дыма (не была даже видна приборная панель) привстал на педали и выставил голову в наружный поток воздуха. Лётчик ввёл бомбардировщик в глубокую спираль для того, чтобы быстрее сблизиться с землёй и совершить аварийную посадку. Пятерым членам экипажа удалось благополучно покинуть горящую машину на парашютах, трое - Шевченко, Шарипов, Лалко - погибли. На выводе из спирали бомбардировщик стал разваливаться, Немет прыгнул последним на высоте 600 метров. На нем горела одежда и, скорее всего пламя повредило парашют- купол раскрылся и тут же, обмякнув, ушел в сторону, Немет погиб. Удивительна судьба военпреда Григоренко. Понимая, что сквозь пламя ему не выпрыгнуть, он собрал все брезентовые чехлы с двигателей, перебрался в самый хвост самолёта, завернулся в них и при ударе самолёта о землю остался жив, получив незначительные ушибы! Комиссия возглавляемая И.Ф. Незвалем быстро нашла причину катастрофы - обрыв одного из шатунов двигателя. Отдельной строкой в акте указали о низкой надежности и работоспособности дизельного двигателя М-40. Немета и его товарищей похоронили на Арском кладбище в Казани, несмотря на тяжелое военное время похороны прошли очень торжественно - это был первый лётный экипаж, похороненный на этом кладбище (5764,39).</w:t>
      </w:r>
    </w:p>
    <w:p w14:paraId="66BEA9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B855B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ноября 1941 года экипаж заводского летчика-испытателя Л.О.Немета проводил сдаточный полет на заводском аэродроме на ТБ-7 №42056 после замены на нем двигателей. На третьем часу полета, когда самолет находился в районе Казани, за час до предполагавшейся посадки, началась сильнейшая вибрация второго двигателя. Вскоре всю машину трясло как в лихорадке, начали самопроизвольно открываться люки и двери. М-40Ф горел, дым начал проникать в кабину Когда открыли дверку ведущую в крыло, то увидели мощный поток пламени от второго двигателя в шассийную стрелковую установку Постепенно пламя охватило и фюзеляж. Выключение топливной системы не помогло - огонь стал проникать в кабину Немет дал команду экипажу покинуть самолет. Первая четверка благополучно покинула горящий ТБ-</w:t>
      </w:r>
      <w:r w:rsidRPr="00640820">
        <w:rPr>
          <w:rFonts w:ascii="Times New Roman" w:hAnsi="Times New Roman"/>
          <w:color w:val="000000" w:themeColor="text1"/>
          <w:sz w:val="16"/>
          <w:szCs w:val="16"/>
        </w:rPr>
        <w:lastRenderedPageBreak/>
        <w:t>7, что было само по себе уже небезопасно. Выбираться из машины приходилось между языками пламени. Немет, по мнению И.Ф.Незваля, находясь под впечатлением только что происшедшего ''чуда" с самолетом Пусэпа, продолжал вести машину к земле, пытаясь спасти машину и выполнить аварийную посадку Он выпрыгнул из самолета на высоте 600 м, когда самолет уже начал разрушаться. В акте по катастрофе было записано:"Летчик Немет покинул самолет с большим запозданием, руководствуясь стремлением спасти самолет. В момент выброса из самолета последний был охвачен пламенем, которое охватило летчика и пои спуске пережгло стропы парашюта. Парашют летчика Немета был найден в 11,5 км от места падения гела". В разбившемся самолете погибли еще три члена экипажа. При этом крупно повезло военпреду, находившемуся в составе экипажа в задней кабине-. Он остался жив, отделавшись легкими ушибами, хотя рядом находившиеся три бортмеханика погибли. Первопричиной вибрациии и пожара М-40Ф, а затем и катастрофы ТБ-7 стало задирание шейки коленчатого вала двигателя из-за отсутствия смазки и последующего обрыва одного из шатунов двигателя, приведшего к разрушению М-40Ф. Это установила аварийная комиссия во главе с И.Ф.Незвалем. Эта катастрофа наложила еще большую тень на дизеля (7685).</w:t>
      </w:r>
    </w:p>
    <w:p w14:paraId="061C73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C8588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ноября 1941 г. экипаж заводского испытателя Л.О. Немета проводил сдаточный полёт на ТБ-7, после замены на нём двигателей на М-40Ф. За час до предполагавшейся посадки началась сильнейшая вибрация второго дизеля. Вскоре всю машину трясло как в лихорадке, стали самопроизвольно открываться люки и двери. В кабине появился дым. Когда открыли дверку, ведущую в крыло, то увидели мощный поток пламени от двигателя в кабину стрелка в мотогондоле. Постепенно оно охватило и фюзеляж, стало проникать в кабину пилотов. Немет отдал команду покинуть самолёт. Четыре члена экипажа благополучно выпрыгнули с парашютами. Лётчик же продолжал вести горящую машину к земле, пытаясь выполнить аварийную посадку. Он покинул самолёт на высоте 600 м, когда ТБ-7 уже начал разрушаться. Пламя охватило пилота и при спуске пережгло стропы парашюта - шансов выжить у него не было. В задней кабине оставались ещё четверо. Три бортмеханика погибли, а военпред остался жив, отделавшись лёгкими ушибами. Причиной пожара сочли задирание шейки коленчатого вала двигателя из-за отсутствия смазки и последующий обрыв одного из шатунов. Эта катастрофа наложила ещё большую тень на репутацию дизелей.</w:t>
      </w:r>
    </w:p>
    <w:p w14:paraId="79D15C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1941 г. сумели выпустить 17 ТБ-7, из них три - с М-40Ф и 11 - с М-30. Последние три машины опять получили более надёжные АМ-35А. Под них же переоборудовали несколько бомбардировщиков, изготовленных ранее (11996).</w:t>
      </w:r>
    </w:p>
    <w:p w14:paraId="6FCEE7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F9C2720" w14:textId="77777777" w:rsidR="00A633F1" w:rsidRPr="00640820" w:rsidRDefault="00A633F1"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13 ноября </w:t>
      </w:r>
      <w:r w:rsidRPr="00640820">
        <w:rPr>
          <w:rFonts w:ascii="Times New Roman" w:hAnsi="Times New Roman"/>
          <w:color w:val="000000" w:themeColor="text1"/>
          <w:sz w:val="16"/>
          <w:szCs w:val="16"/>
        </w:rPr>
        <w:t>в 1941 году в катастрофе «ТБ-7» («Пе-8»), заводской №42056, погиб экипаж Л.О.Немета (14829).</w:t>
      </w:r>
    </w:p>
    <w:p w14:paraId="5495FA20" w14:textId="77777777" w:rsidR="00A633F1" w:rsidRPr="00640820" w:rsidRDefault="00A633F1" w:rsidP="00640820">
      <w:pPr>
        <w:spacing w:after="0" w:line="240" w:lineRule="auto"/>
        <w:jc w:val="both"/>
        <w:rPr>
          <w:rFonts w:ascii="Times New Roman" w:hAnsi="Times New Roman"/>
          <w:color w:val="000000" w:themeColor="text1"/>
          <w:sz w:val="16"/>
          <w:szCs w:val="16"/>
        </w:rPr>
      </w:pPr>
    </w:p>
    <w:p w14:paraId="18A96F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ноября 1941 г. разбился самолет ТБ-7 № 42056 с моторами М-40Ф. Пилотировал машину Немет Л.О. В результате пожара и разрушения второго мотора оторвалось крыло, и самолет упал в районе Канаша (Чувашская АССР). Погибло четыре человек из девяти, в том числе и летчик-испытатель. Кстати, приведем пример, характеризующий то время и наш народ. В акте военного следователя о работе комиссии по расследованию причин катастрофы говорится о том, как «группы посторонних граждан разбирали, кто как мог, отдельные части самолета, а некоторые из них разносили в бутылках горючее, сохранившееся в баках». Через пятнадцать лет эта картина повторится под Казанью после катастрофы Ту-16. Надо еще заметить, что один двигатель от ТБ-7 Немета так и не нашли (12049).</w:t>
      </w:r>
    </w:p>
    <w:p w14:paraId="3716F0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610E08F"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50837237"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DC17E8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ноября 1941 г. для расширения производства бронекорпусов танков КВ постановлением ГКО от № 892сс «на базе цехов завода № 78 им. Орджоникидзе в Челябинске» был создан «броневой завод с присвоением ему № 200 и вклю</w:t>
      </w:r>
      <w:r w:rsidRPr="00640820">
        <w:rPr>
          <w:rFonts w:ascii="Times New Roman" w:hAnsi="Times New Roman"/>
          <w:color w:val="000000" w:themeColor="text1"/>
          <w:sz w:val="16"/>
          <w:szCs w:val="16"/>
        </w:rPr>
        <w:softHyphen/>
        <w:t>чением в комбинат тяжелых танков». Директором завода был назначен М. Попов, до этого возглавлявший Ижор-ский завод в Ленинграде (10782).</w:t>
      </w:r>
    </w:p>
    <w:p w14:paraId="631FACA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2F51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ноября 1941 г. в соответствии с пост. ГКО № 892сс был создан Металлургический броневой завод № 200 путем выделения нескольких цехов из состава завода № 78, вошел в состав Уральского комбината по производству тяжелых танков КВ. В 12.1941 г. освоено производство литых башен для танка КВ. В начале 1943 г. изготовлена башня для опытного танка КВ-13, в 1943 г.- корпуса опытных ИС, с 06.1944 г. выпускал корпуса ИС-2. В 1952 г. изготовлена башня опытной САУ СУ-100.</w:t>
      </w:r>
      <w:r w:rsidRPr="00640820">
        <w:rPr>
          <w:rFonts w:ascii="Times New Roman" w:hAnsi="Times New Roman"/>
          <w:color w:val="000000" w:themeColor="text1"/>
          <w:sz w:val="16"/>
          <w:szCs w:val="16"/>
          <w:vertAlign w:val="superscript"/>
        </w:rPr>
        <w:t>128</w:t>
      </w:r>
    </w:p>
    <w:p w14:paraId="1F590B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распоряжению ГКО № 4466 от 30.10.1943 г. завалочный кран с завода был временно передан на ЧТПЗ. 20.04.1944 г. вышло постановление ГКО № 5692 об установке на заводе кислородных колонок.</w:t>
      </w:r>
    </w:p>
    <w:p w14:paraId="3625C4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(03.1944 г.)- Щербаков (11982).</w:t>
      </w:r>
    </w:p>
    <w:p w14:paraId="61FFDC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FBC4EF5" w14:textId="77777777" w:rsidR="00AE1A6D" w:rsidRPr="00640820" w:rsidRDefault="00AE1A6D" w:rsidP="00640820">
      <w:pPr>
        <w:pStyle w:val="162"/>
        <w:shd w:val="clear" w:color="auto" w:fill="auto"/>
        <w:spacing w:line="240" w:lineRule="auto"/>
        <w:jc w:val="both"/>
        <w:rPr>
          <w:color w:val="000000" w:themeColor="text1"/>
          <w:sz w:val="16"/>
          <w:szCs w:val="16"/>
        </w:rPr>
      </w:pPr>
      <w:r w:rsidRPr="00640820">
        <w:rPr>
          <w:color w:val="000000" w:themeColor="text1"/>
          <w:sz w:val="16"/>
          <w:szCs w:val="16"/>
        </w:rPr>
        <w:t>13 ноября 1941 года постановление ГКО № 893, помимо расширения производства танков на ГАЗ, обязывало завод разработать утолщенный корпус и башню. 16 ноября на заво</w:t>
      </w:r>
      <w:r w:rsidRPr="00640820">
        <w:rPr>
          <w:color w:val="000000" w:themeColor="text1"/>
          <w:sz w:val="16"/>
          <w:szCs w:val="16"/>
        </w:rPr>
        <w:softHyphen/>
        <w:t>де состоялось совещание, в котором, помимо руководства ГАЗ и КБ, принял участие начальник БТУ (Бронетанковое управление) ГАБТУ КА военинженер первого ранга Б. М. Коробков. По результатам сове</w:t>
      </w:r>
      <w:r w:rsidRPr="00640820">
        <w:rPr>
          <w:color w:val="000000" w:themeColor="text1"/>
          <w:sz w:val="16"/>
          <w:szCs w:val="16"/>
        </w:rPr>
        <w:softHyphen/>
        <w:t>щания было принято решение увеличить толщину лобовых листов до 35 мм, рубку механика-водителя и корму до 25 мм, до той же толщины вырастала толщина брони башни.</w:t>
      </w:r>
    </w:p>
    <w:p w14:paraId="662DE904" w14:textId="77777777" w:rsidR="00AE1A6D" w:rsidRPr="00640820" w:rsidRDefault="00AE1A6D" w:rsidP="00640820">
      <w:pPr>
        <w:pStyle w:val="162"/>
        <w:shd w:val="clear" w:color="auto" w:fill="auto"/>
        <w:spacing w:line="240" w:lineRule="auto"/>
        <w:jc w:val="both"/>
        <w:rPr>
          <w:color w:val="000000" w:themeColor="text1"/>
          <w:sz w:val="16"/>
          <w:szCs w:val="16"/>
        </w:rPr>
      </w:pPr>
      <w:r w:rsidRPr="00640820">
        <w:rPr>
          <w:color w:val="000000" w:themeColor="text1"/>
          <w:sz w:val="16"/>
          <w:szCs w:val="16"/>
        </w:rPr>
        <w:t>Еще за неделю до правительственного решения об увеличении толщи</w:t>
      </w:r>
      <w:r w:rsidRPr="00640820">
        <w:rPr>
          <w:color w:val="000000" w:themeColor="text1"/>
          <w:sz w:val="16"/>
          <w:szCs w:val="16"/>
        </w:rPr>
        <w:softHyphen/>
        <w:t>ны брони на Т-60, на ГАЗ был испытан образец танка с экранированным корпусом и башней. Испытания танка проводились с 9 по 11 ноября, их целью являлось изучение последствий экранировки Т-60, в результате которой масса машины выросла на 360 кг (общая масса экранированной машины составила 6150 кг). На танке с заводским номером 37 790 были установлены экраны толщиной 10 мм, защищавшие башню по периме</w:t>
      </w:r>
      <w:r w:rsidRPr="00640820">
        <w:rPr>
          <w:color w:val="000000" w:themeColor="text1"/>
          <w:sz w:val="16"/>
          <w:szCs w:val="16"/>
        </w:rPr>
        <w:softHyphen/>
        <w:t>тру, лобовой лист корпуса, рубку водителя и нижний кормовой лист (17485).</w:t>
      </w:r>
    </w:p>
    <w:p w14:paraId="0A511A65" w14:textId="77777777" w:rsidR="00AE1A6D" w:rsidRPr="00640820" w:rsidRDefault="00AE1A6D" w:rsidP="00640820">
      <w:pPr>
        <w:spacing w:after="0" w:line="240" w:lineRule="auto"/>
        <w:jc w:val="both"/>
        <w:rPr>
          <w:rFonts w:ascii="Times New Roman" w:hAnsi="Times New Roman"/>
          <w:color w:val="000000" w:themeColor="text1"/>
          <w:sz w:val="16"/>
          <w:szCs w:val="16"/>
        </w:rPr>
      </w:pPr>
    </w:p>
    <w:p w14:paraId="646E434B" w14:textId="77777777" w:rsidR="00310884" w:rsidRPr="00640820" w:rsidRDefault="00310884" w:rsidP="00640820">
      <w:pPr>
        <w:widowControl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13 ноября </w:t>
      </w:r>
      <w:smartTag w:uri="urn:schemas-microsoft-com:office:smarttags" w:element="metricconverter">
        <w:smartTagPr>
          <w:attr w:name="ProductID" w:val="1945 г"/>
        </w:smartTagPr>
        <w:r w:rsidRPr="00640820">
          <w:rPr>
            <w:rFonts w:ascii="Times New Roman" w:hAnsi="Times New Roman"/>
            <w:color w:val="000000" w:themeColor="text1"/>
            <w:sz w:val="16"/>
            <w:szCs w:val="16"/>
          </w:rPr>
          <w:t>1941 г</w:t>
        </w:r>
      </w:smartTag>
      <w:r w:rsidRPr="00640820">
        <w:rPr>
          <w:rFonts w:ascii="Times New Roman" w:hAnsi="Times New Roman"/>
          <w:color w:val="000000" w:themeColor="text1"/>
          <w:sz w:val="16"/>
          <w:szCs w:val="16"/>
        </w:rPr>
        <w:t>. Горьковский городкой комитет обороны (ГГКО) принял постановление №51-с «О производстве корпусов Т-60», в котором «в целях перевыполнения заданий Государственного Комитета Обороны» обязал директоров заводов:</w:t>
      </w:r>
    </w:p>
    <w:p w14:paraId="751893B2" w14:textId="77777777" w:rsidR="00310884" w:rsidRPr="00640820" w:rsidRDefault="00310884" w:rsidP="00640820">
      <w:pPr>
        <w:widowControl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ПРЗ – Федотова, ДРО Волкова и Кулебакского металлургического Скиба довести выпуск корпусов к 1 декабря по ПРЗ – до 15 штук в сутки, по ДРО до 8 штук в сутки, по Кулебакскому металлургическому заводу до 4 штук в сутки.</w:t>
      </w:r>
    </w:p>
    <w:p w14:paraId="4AE712BE" w14:textId="77777777" w:rsidR="00310884" w:rsidRPr="00640820" w:rsidRDefault="00310884" w:rsidP="00640820">
      <w:pPr>
        <w:widowControl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ГГКО обязал директора ГАЗ Лоскутова организовать на заводе штамповку (горячую и холодную) наиболее трудоемких деталей по договорам с заводами ПРЗ, ДРО и Кулебакским металлургическим, начав поставку штампованных деталей не позднее 27 ноября, а также пересмотреть конструкцию корпуса в целях максимального сокращения трудоемкости в изготовлении, в особенности по сверлильным и строгальным операциям (15218).</w:t>
      </w:r>
    </w:p>
    <w:p w14:paraId="1DC6DF43" w14:textId="77777777" w:rsidR="00310884" w:rsidRPr="00640820" w:rsidRDefault="00310884" w:rsidP="00640820">
      <w:pPr>
        <w:widowControl w:val="0"/>
        <w:spacing w:after="0" w:line="240" w:lineRule="auto"/>
        <w:jc w:val="both"/>
        <w:rPr>
          <w:rFonts w:ascii="Times New Roman" w:hAnsi="Times New Roman"/>
          <w:color w:val="000000" w:themeColor="text1"/>
          <w:sz w:val="16"/>
          <w:szCs w:val="16"/>
        </w:rPr>
      </w:pPr>
    </w:p>
    <w:p w14:paraId="716FD7D1" w14:textId="77777777" w:rsidR="004673CC" w:rsidRPr="00640820" w:rsidRDefault="004673C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13 ноября 1941 года Сталин подписал постановление ГКО №893 «Об увеличении выпуска танков Т-60 на Горьковском автозаводе им. Молотова». Согласно ему, к 25 декабря завод должен был производить до 30 танков в сутки. В уже готовый текст документа Сталин своей рукой внёс коррективу: «с утолщённой бронёй (до 35 мм лобовая часть и передняя часть башни)».</w:t>
      </w:r>
    </w:p>
    <w:p w14:paraId="6AB75BE4" w14:textId="77777777" w:rsidR="004673CC" w:rsidRPr="00640820" w:rsidRDefault="004673C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Появилась такая корректива не случайно: заводское КБ ещё с начала ноября 1941 года работало по теме усиления брони Т-60. Образец танка с экранировкой был испытан 9–11 ноября. Целью испытаний являлось изучение последствий усиления брони Т-60, в результате которого масса машины выросла на 360 кг (общая масса экранированной машины составила 6150 кг). На танке с заводским номером 37790 установили экраны толщиной 10 мм, защищавшие башню по периметру, лобовой лист корпуса, рубку водителя и нижний кормовой лист (17672).</w:t>
      </w:r>
    </w:p>
    <w:p w14:paraId="174D3A7C" w14:textId="77777777" w:rsidR="004673CC" w:rsidRPr="00640820" w:rsidRDefault="004673CC" w:rsidP="00640820">
      <w:pPr>
        <w:spacing w:after="0" w:line="240" w:lineRule="auto"/>
        <w:jc w:val="both"/>
        <w:rPr>
          <w:rFonts w:ascii="Times New Roman" w:eastAsia="Times New Roman" w:hAnsi="Times New Roman"/>
          <w:color w:val="000000" w:themeColor="text1"/>
          <w:sz w:val="16"/>
          <w:szCs w:val="16"/>
          <w:lang w:eastAsia="ru-RU"/>
        </w:rPr>
      </w:pPr>
    </w:p>
    <w:p w14:paraId="5FFC897C" w14:textId="77777777" w:rsidR="00D15EDB" w:rsidRPr="00640820" w:rsidRDefault="00D15EDB" w:rsidP="00640820">
      <w:pPr>
        <w:spacing w:after="0" w:line="240" w:lineRule="auto"/>
        <w:jc w:val="both"/>
        <w:rPr>
          <w:rFonts w:ascii="Times New Roman" w:hAnsi="Times New Roman"/>
          <w:color w:val="0070C0"/>
          <w:sz w:val="16"/>
          <w:szCs w:val="16"/>
          <w:shd w:val="clear" w:color="auto" w:fill="FFFFFF"/>
        </w:rPr>
      </w:pPr>
      <w:r w:rsidRPr="00640820">
        <w:rPr>
          <w:rFonts w:ascii="Times New Roman" w:hAnsi="Times New Roman"/>
          <w:color w:val="0070C0"/>
          <w:sz w:val="16"/>
          <w:szCs w:val="16"/>
          <w:shd w:val="clear" w:color="auto" w:fill="FFFFFF"/>
        </w:rPr>
        <w:t>Постановление ГКО №893 от 13 ноября 1941 года принималось с учетом этих испытаний первого экранированного Т-60 9-11 ноября. Правда, в тексте постановления толщина лобовой брони прописывалась в 35 мм. 16 ноября на заводе состоялось совещание, в котором, помимо руководства ГАЗ и КБ, принял участие начальник БТУ ГАБТУ КА военинженер первого ранга Б.М. Коробков. По результатам совещания было принято решение увеличить толщину лобовых листов до 35 мм (20 мм +15 мм), рубку механика-водителя и корму до 25 мм (15 мм + 10 мм), до той же толщины вырастала толщина брони башни.</w:t>
      </w:r>
    </w:p>
    <w:p w14:paraId="76333BAD" w14:textId="77777777" w:rsidR="00D15EDB" w:rsidRPr="00640820" w:rsidRDefault="00D15E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shd w:val="clear" w:color="auto" w:fill="FFFFFF"/>
        </w:rPr>
        <w:t>Критичными лишние 5 мм брони уже не были, поскольку масса танка возросла незначительно - до 6200 кг. При этом КОЭ ГАЗ им. Молотова сразу же начала работы по модернизации танка. Она предусматривала монолитную броню, которая была явно крепче приварных дополнительных листов, также воздухоприток переносился с лба башни на створку люка. Главный вопрос заключался в том, что для внедрения утолщенной брони требовалось куда больше времени, чем экранировка. Поэтому в ГКО действовали последовательно. Постановление ГКО №1062сс предусматривало, что сначала танки переходят на экранированные корпуса, а уже потом, спустя месяц, запускать работы по утолщенной броне (22726).</w:t>
      </w:r>
    </w:p>
    <w:p w14:paraId="26854FB0" w14:textId="77777777" w:rsidR="00D15EDB" w:rsidRPr="00640820" w:rsidRDefault="00D15EDB" w:rsidP="00640820">
      <w:pPr>
        <w:spacing w:after="0" w:line="240" w:lineRule="auto"/>
        <w:jc w:val="both"/>
        <w:rPr>
          <w:rFonts w:ascii="Times New Roman" w:hAnsi="Times New Roman"/>
          <w:color w:val="0070C0"/>
          <w:sz w:val="16"/>
          <w:szCs w:val="16"/>
        </w:rPr>
      </w:pPr>
    </w:p>
    <w:p w14:paraId="08C955CE" w14:textId="77777777" w:rsidR="005D108D" w:rsidRPr="00640820" w:rsidRDefault="005D108D"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ноября 1941 года в Советском Союзе были получены реальные характеристики Light Tank M3. Озвучил их заместителю наркома внешней торговли А. Д. Крутикову полковник Файмоновилл (Philip R. Faymonville), сотрудник посольства США в Москве. Файмоновилл, к слову, сыграл важную роль в истории поставок американской бронетанковой техники в СССР, позже он дослужился до бригадного генерала (17465).</w:t>
      </w:r>
    </w:p>
    <w:p w14:paraId="2EED8080" w14:textId="77777777" w:rsidR="005D108D" w:rsidRPr="00640820" w:rsidRDefault="005D108D" w:rsidP="00640820">
      <w:pPr>
        <w:shd w:val="clear" w:color="auto" w:fill="FFFFFF"/>
        <w:spacing w:after="0" w:line="240" w:lineRule="auto"/>
        <w:jc w:val="both"/>
        <w:rPr>
          <w:rFonts w:ascii="Times New Roman" w:hAnsi="Times New Roman"/>
          <w:color w:val="000000" w:themeColor="text1"/>
          <w:sz w:val="16"/>
          <w:szCs w:val="16"/>
        </w:rPr>
      </w:pPr>
    </w:p>
    <w:p w14:paraId="68677EF9"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ноября 1941 было письмо Председателю Государственного Комитета Обороны СССР товарищу СТАЛИНУ</w:t>
      </w:r>
    </w:p>
    <w:p w14:paraId="657EF371"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Вниманию Вашего гениального ума я предлагаю мысль и конструкцию, способную дать Родине оружие НЕВИДАННОЙ, всепобеждающей силы.</w:t>
      </w:r>
    </w:p>
    <w:p w14:paraId="524E1FD9"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Сила, способная уничтожить любое число любых </w:t>
      </w:r>
      <w:hyperlink r:id="rId50" w:tgtFrame="_blank" w:history="1">
        <w:r w:rsidRPr="00640820">
          <w:rPr>
            <w:rFonts w:ascii="Times New Roman" w:hAnsi="Times New Roman"/>
            <w:color w:val="000000" w:themeColor="text1"/>
            <w:sz w:val="16"/>
            <w:szCs w:val="16"/>
          </w:rPr>
          <w:t>танк</w:t>
        </w:r>
      </w:hyperlink>
      <w:r w:rsidRPr="00640820">
        <w:rPr>
          <w:rFonts w:ascii="Times New Roman" w:hAnsi="Times New Roman"/>
          <w:color w:val="000000" w:themeColor="text1"/>
          <w:sz w:val="16"/>
          <w:szCs w:val="16"/>
        </w:rPr>
        <w:t>ов, самолетов, орудий, морских судов, крепостей, кавалерии и пехоты может быть получена через предлагаемую мною мысль и конструкцию.</w:t>
      </w:r>
    </w:p>
    <w:p w14:paraId="1A28B3F5"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Сила эта может быть локализована в одном бронированном вездеходе и требует для обслуживания лишь водителя и "оператора-наводчика".</w:t>
      </w:r>
    </w:p>
    <w:p w14:paraId="268C759A"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данное время на свете нет ничего важнее этой мысли, так как в ней возможность власти Родины над миром.</w:t>
      </w:r>
    </w:p>
    <w:p w14:paraId="7588663D"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Ваша гениальная прозорливость в технике и во всем легко подскажет Вам необходимость реализовать эту мысль в сверхсрочном, особо секретном, опытном порядке.</w:t>
      </w:r>
    </w:p>
    <w:p w14:paraId="0CC73570"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 не пишу много и не вычеркиваю в данном письме формальных чертежей, так как дело тут не в количестве слов и не в количестве чертежей.</w:t>
      </w:r>
    </w:p>
    <w:p w14:paraId="5159C627"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 поймете меня и все остальное будет при реализации - это самое главное.</w:t>
      </w:r>
    </w:p>
    <w:p w14:paraId="7C13B668"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Питаю надежду, что Вы лично прочтете это и дадите указание, кому над моим руководством изготовить образец и провести опыты.</w:t>
      </w:r>
    </w:p>
    <w:p w14:paraId="1B49B7BC"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Мысль</w:t>
      </w:r>
    </w:p>
    <w:p w14:paraId="761A55D3"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Мысль состоит в следующем:</w:t>
      </w:r>
    </w:p>
    <w:p w14:paraId="6B5B7822"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Температура выше 20000 градусов создается и передается на расстоянии от 0.001 км до 50 км, сжигая мгновенно все на своем пути (тела, ткань, топливо, металл, броню, бетон, камни, боеприпасы, суда, орудия и т.п.).</w:t>
      </w:r>
    </w:p>
    <w:p w14:paraId="2F1CB38D"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Создание температуры выше 20000 градусов</w:t>
      </w:r>
    </w:p>
    <w:p w14:paraId="7B210428"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Вообразим себе паяльную лампу, обычно дающую на острие языка пламени температуру порядка 700-1000 градусов. Известно, что с повышением воздушного давления, конструктивно упрочив лампу, мы можем длину языка ее пламени довести до длины языка пламени огнемета.</w:t>
      </w:r>
    </w:p>
    <w:p w14:paraId="3CA96DDD"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Вообразим теперь, что вместо паяльных ламп, мы имеем спецсопла, выбрасывающие далеко язык пламени.</w:t>
      </w:r>
    </w:p>
    <w:p w14:paraId="4AE89086"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вообразим, что таких сопел у нас 100 они размещены наглухо на одном диске так, что острия пламени каждого сопла стремятся в одно место (грубо говоря, в точку).</w:t>
      </w:r>
    </w:p>
    <w:p w14:paraId="56FD4B55"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В такой "точке" (месте) - от одного сопла, выбрасывающего язык пламени, будет 700-1000 градусов, от двух - почти в 2 раза больше (1100-2000 градусов), от трех почти в 2,5 раза больше итд.</w:t>
      </w:r>
    </w:p>
    <w:p w14:paraId="4E3FCFDF"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 От концентрации в "точке" языков пламени 100 сопел - температура в "точке" их слияния (как это бывает со слиянием тела, собираемого 100 линзами) больше, чем у одного языка пламени минус потери на теплоотдачу и рассеивание.</w:t>
      </w:r>
    </w:p>
    <w:p w14:paraId="01168F9B"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 Известно, что тепловой луч, проходя миллионы километров, теряет очень мало. Известно, что в точке слияния тепла, собираемого многими линзами, тепло почти равно сумме тепла от всех линз. Известно, что сам воздух слабо отбирает тепло и на высоте гор солнце дает тепла больше, а воздух - холоден, так как нагревается он не от лучей, а от нагретых поверхностей земли непосредственным касанием их с молекулами воздуха.</w:t>
      </w:r>
    </w:p>
    <w:p w14:paraId="598FEEDF"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ж) Все это говорит, что в "точке" слияния языков пламени 100 сопел температура будет минимум 20.000 градусов и максимум - около 100.000 градусов.</w:t>
      </w:r>
    </w:p>
    <w:p w14:paraId="01CBB862"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(x.100)-y = z,</w:t>
      </w:r>
    </w:p>
    <w:p w14:paraId="7F6D3E98"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где x = температура языка пламени одного сопла</w:t>
      </w:r>
    </w:p>
    <w:p w14:paraId="1D0759DD"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 = 100 сопел</w:t>
      </w:r>
    </w:p>
    <w:p w14:paraId="3E0F3B71"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y = число потерь (от 0% до 80% тепла)</w:t>
      </w:r>
    </w:p>
    <w:p w14:paraId="696834D1"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z = 20.000 градусов - 100.000 граудсов</w:t>
      </w:r>
    </w:p>
    <w:p w14:paraId="5DBF1CCD"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Передача тепла на расстояние до 50 км</w:t>
      </w:r>
    </w:p>
    <w:p w14:paraId="07C0CD60"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Нет вещества в природа, могущего не сгореть при температуре 20.000 градусов, но можно сосредоточить это тепло в металлической трубке, не давая ей не только сгореть, но и нагреваться свыше 100 градусов.</w:t>
      </w:r>
    </w:p>
    <w:p w14:paraId="0A939ABE"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Способ этот основан на всем известном опыте, когда в бумажной или тонкой жестяной посуде, сгорающей даже от пламени свечи, можно греть воду на пламени в 1000 градусов, если в эту посуду налить воду.</w:t>
      </w:r>
    </w:p>
    <w:p w14:paraId="5BA42DB5"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Основываясь на этом, я помечаю трубке, принимающей слияние языков пламени сопел, дать обтекание быстро идущей на охлаждение водой.</w:t>
      </w:r>
    </w:p>
    <w:p w14:paraId="447A6BEB"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Трубка заключена в прочный ребристый, металлический кожух, внутри которого быстро проходит охлаждаемая вода.</w:t>
      </w:r>
    </w:p>
    <w:p w14:paraId="278AF72E"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Внутренняя поверхность трубки, собирающей пламя в языках - зеркально отполирована для отражения тепловых лучей.</w:t>
      </w:r>
    </w:p>
    <w:p w14:paraId="19396D44"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 Угол сужения трубки для направления тепла лучом вдаль на десятки километров = от 1/1000 до 1/10000 градуса.</w:t>
      </w:r>
    </w:p>
    <w:p w14:paraId="4B217D1B"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Длина трубки = 1 метр</w:t>
      </w:r>
    </w:p>
    <w:p w14:paraId="5EC93F83"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Диаметр трубки = 5 (10) см</w:t>
      </w:r>
    </w:p>
    <w:p w14:paraId="69966219"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13.11.1941</w:t>
      </w:r>
    </w:p>
    <w:p w14:paraId="493E4D4C"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гор. Москва, ВСХВ, ОВПО НКВД</w:t>
      </w:r>
    </w:p>
    <w:p w14:paraId="76282BE1" w14:textId="77777777" w:rsidR="00D70A78" w:rsidRPr="00640820" w:rsidRDefault="00D70A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Батальонный комиссар Щекин М.В. (15635)</w:t>
      </w:r>
    </w:p>
    <w:p w14:paraId="7E285DAE" w14:textId="77777777" w:rsidR="00D70A78" w:rsidRPr="00640820" w:rsidRDefault="00D70A78" w:rsidP="00640820">
      <w:pPr>
        <w:spacing w:after="0" w:line="240" w:lineRule="auto"/>
        <w:jc w:val="both"/>
        <w:rPr>
          <w:rFonts w:ascii="Times New Roman" w:hAnsi="Times New Roman"/>
          <w:color w:val="000000" w:themeColor="text1"/>
          <w:sz w:val="16"/>
          <w:szCs w:val="16"/>
        </w:rPr>
      </w:pPr>
    </w:p>
    <w:p w14:paraId="6D9EE1A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ноября 1941 вышло Постановление ГКО № 890 О привлечении к судебной ответственности агентов [работников] железных дорог за нарушение установленных норм приема поездов и за незаконный прием поездов. (7015, 77).</w:t>
      </w:r>
    </w:p>
    <w:p w14:paraId="0343D73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A3B2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ноября 1941 вышло Постановление ГКО № 892 Об обеспечении выпуска на Кировском заводе в январе месяце 1942 года 20 танков КВ в день. РГАНИР, Фонд ГКО, д. 14, лл. 79-82 (11012).</w:t>
      </w:r>
    </w:p>
    <w:p w14:paraId="0EFF91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D829C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ноября 1941 вышло Постановление ГКО № 893 Об увеличении выпуска танков Т-60 на Горьковском автозаводе им. Молотова. РГАНИР, Фонд ГКО, д. 14, лл. 83-84 (11012).</w:t>
      </w:r>
    </w:p>
    <w:p w14:paraId="16ADC6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3A350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ноября 1941 вышло Постановление ГКО № 895 Об организации производства 50 мм минометов и пистолета-пулемета Шпагина на заводе № 182 НКСП (г. Махачкала). РГАНИР, Фонд ГКО, д. 14, лл. 86 (11012).</w:t>
      </w:r>
    </w:p>
    <w:p w14:paraId="4B4851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07AC63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ноября 1941 вышло Постановление ГКО № 896 О плане производства на ноябрь и декабрь месяцы 1941 года 50 мм минометов по предприятиям г. Москвы. (7015, 87-88).</w:t>
      </w:r>
    </w:p>
    <w:p w14:paraId="7111ECE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BA9FCD"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2D9170BD"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F9EC067" w14:textId="77777777" w:rsidR="00224956" w:rsidRPr="00640820" w:rsidRDefault="00224956"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13 ноября </w:t>
      </w:r>
      <w:r w:rsidRPr="00640820">
        <w:rPr>
          <w:rFonts w:ascii="Times New Roman" w:hAnsi="Times New Roman"/>
          <w:color w:val="000000" w:themeColor="text1"/>
          <w:sz w:val="16"/>
          <w:szCs w:val="16"/>
        </w:rPr>
        <w:t>в 1941 году утреннее сообщение Совинформбюро:</w:t>
      </w:r>
    </w:p>
    <w:p w14:paraId="4847FCAB" w14:textId="77777777" w:rsidR="00224956" w:rsidRPr="00640820" w:rsidRDefault="002249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13 ноября наши войска вели бои с противником на всех фронтах.</w:t>
      </w:r>
    </w:p>
    <w:p w14:paraId="0CB51061" w14:textId="77777777" w:rsidR="00224956" w:rsidRPr="00640820" w:rsidRDefault="002249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Лётчики штурмовой авиации, действующей на Ленинградском фронте, за один день уничтожили 5 немецких танков, 27 грузовых автомашин с пехотой и военными грузами, 3 цистерны с горючим, более 150 немецких солдат и взвод кавалерии.</w:t>
      </w:r>
    </w:p>
    <w:p w14:paraId="19420E11" w14:textId="77777777" w:rsidR="00224956" w:rsidRPr="00640820" w:rsidRDefault="002249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Партизанские отряды, действующие в оккупированных немцами районах Ленинградской области, за 4 дня боевых действий — с 1 по 5 ноября — уничтожили 5 немецких самолётов 11 танков, 6 бронемашин, 163 автомашины с боеприпасами и пехотой противника, 19 цистерн с горючим, 16 легковых автомобилей, свыше 100 мотоциклов, 13 раций и 2 склада с боеприпасами. За эти же дни партизанскими отрядами взорвано 43 моста, в том числе 7 железнодорожных, в 59 местах нарушены линии связи и пущен под откос железнодорожный состав с боеприпасами. За последнее время в боях с фашистами партизаны уничтожили 28 немецких офицеров и 1.663 солдата.</w:t>
      </w:r>
    </w:p>
    <w:p w14:paraId="162257D4" w14:textId="77777777" w:rsidR="00224956" w:rsidRPr="00640820" w:rsidRDefault="002249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Пленные немецкие солдаты в своих показаниях сообщают о падении дисциплины в германской армии. Пленный Карл Ауфентхоф рассказывает: «Нашу 4 танковую дивизию очень сильно потрепали. Потери танков и живой силы в частях составляют 60 и более процентов. Несколько месяцев нам обещали отдых, но мы так и не дождались его. Это вызвало всеобщее недовольство солдат. В нашем полку два солдата отказались выполнить приказ лейтенанта». Пленный солдат велоэскадрона 176 разведывательного отряда А. Ганевальд говорит: «В частях есть случаи скрытого саботажа. Недавно нас послали в разведку. Один за другим солдаты стали останавливаться. Унтер-офицер спросил: «Почему вы остановились?». Последовал ответ: «Шины испортились». Начали ремонтировать. Провозились очень долго и дотянули до вечера, а потом возвратились. Задание не было выполнено». Пленный Фальц на допросе показал следующее: «Солдат нашей роты Шмеллер бросил свою винтовку на землю и заявил унтер-офицеру Сайферту: «Стреляйте в меня, но я не буду лежать в окопах без шинели». Чтобы не поднимать шума, унтер-офицер вызвал его и уговорил поднять винтовку и пойти в окоп. На другой день Шмеллер был найден мертвым. Солдаты поговаривали, что офицер убил Шмеллера выстрелом в спину». Пленные солдаты 228 немецкого полка сообщают следующий факт: «Получив приказ начать наступление на одном из участков фронта, лейтенант Гаузер воскликнул: «К черту всех этих свиней и собак, которые заставляют нас без конца воевать». В тот же день Гаузер бесследно исчез, и с тех пор о его судьбе ничего неизвестно».</w:t>
      </w:r>
    </w:p>
    <w:p w14:paraId="3E901597" w14:textId="77777777" w:rsidR="00224956" w:rsidRPr="00640820" w:rsidRDefault="002249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Трудящиеся гор. Сталинска провели 8 и 9 ноября сталинскую вахту в фонд обороны родины. Металлургический завод имени Сталина в дни вахты дал стране продукции значительно больше, чем в обычные дни. Сталеплавильщики первого мартеновского цеха выпустили сотни тонн стали сверх плана. Сталевары печи № 3 тт. Попов, Кривецкий и Наумов 8 ноября выплавили 400 тонн стали сверх программы. Хорошо работали рельсобалочный и листопрокатный цехи. В дни вахты они </w:t>
      </w:r>
      <w:r w:rsidRPr="00640820">
        <w:rPr>
          <w:rFonts w:ascii="Times New Roman" w:hAnsi="Times New Roman"/>
          <w:color w:val="000000" w:themeColor="text1"/>
          <w:sz w:val="16"/>
          <w:szCs w:val="16"/>
        </w:rPr>
        <w:lastRenderedPageBreak/>
        <w:t>выполнили план на 110-150 процентов. Третья молодёжная бригада рельсобалочного цеха 8 ноября выполнила задание на 163 процента, 9-го — на 207 процентов. Листопрокатчики 9 ноября превысили план в полтора раза.» (14829).</w:t>
      </w:r>
    </w:p>
    <w:p w14:paraId="389916D3" w14:textId="77777777" w:rsidR="00224956" w:rsidRPr="00640820" w:rsidRDefault="00224956" w:rsidP="00640820">
      <w:pPr>
        <w:spacing w:after="0" w:line="240" w:lineRule="auto"/>
        <w:jc w:val="both"/>
        <w:rPr>
          <w:rFonts w:ascii="Times New Roman" w:hAnsi="Times New Roman"/>
          <w:color w:val="000000" w:themeColor="text1"/>
          <w:sz w:val="16"/>
          <w:szCs w:val="16"/>
        </w:rPr>
      </w:pPr>
    </w:p>
    <w:p w14:paraId="640D75BD" w14:textId="77777777" w:rsidR="00224956" w:rsidRPr="00640820" w:rsidRDefault="00224956"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13 ноября </w:t>
      </w:r>
      <w:r w:rsidRPr="00640820">
        <w:rPr>
          <w:rFonts w:ascii="Times New Roman" w:hAnsi="Times New Roman"/>
          <w:color w:val="000000" w:themeColor="text1"/>
          <w:sz w:val="16"/>
          <w:szCs w:val="16"/>
        </w:rPr>
        <w:t>в 1941 году вечернее сообщение Совинформбюро:</w:t>
      </w:r>
    </w:p>
    <w:p w14:paraId="736AD2BC" w14:textId="77777777" w:rsidR="00224956" w:rsidRPr="00640820" w:rsidRDefault="002249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13 ноября наши войска вели бои с противником на всех фронтах.</w:t>
      </w:r>
    </w:p>
    <w:p w14:paraId="642378E5" w14:textId="77777777" w:rsidR="00224956" w:rsidRPr="00640820" w:rsidRDefault="002249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уточнённым данным, за 11 ноября сбито не 25 немецких самолётов, как сообщалось ранее, а 36 немецких самолётов.</w:t>
      </w:r>
    </w:p>
    <w:p w14:paraId="3FE1DA1C" w14:textId="77777777" w:rsidR="00224956" w:rsidRPr="00640820" w:rsidRDefault="002249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12 ноября уничтожено 20 немецких самолётов. Наши потери — 5 самолётов.</w:t>
      </w:r>
    </w:p>
    <w:p w14:paraId="567933BF" w14:textId="77777777" w:rsidR="00224956" w:rsidRPr="00640820" w:rsidRDefault="002249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13 ноября под Москвой сбито 2 немецких самолёта.</w:t>
      </w:r>
    </w:p>
    <w:p w14:paraId="02C2FC7C" w14:textId="77777777" w:rsidR="00224956" w:rsidRPr="00640820" w:rsidRDefault="002249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5 по 10 ноября в Баренцевом море нашими кораблями потоплены два транспорта противника общим водоизмещением 9.000 тонн. В Балтийском море нашими кораблями потоплены три транспорта противника общим водоизмещением 13.000 тонн.</w:t>
      </w:r>
    </w:p>
    <w:p w14:paraId="0D5CC936" w14:textId="77777777" w:rsidR="00224956" w:rsidRPr="00640820" w:rsidRDefault="002249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12 ноября нашей авиацией уничтожено 47 немецких танков, 11 танкеток и бронемашин, 300 автомашин с пехотой и военными грузами, 29 орудий разных калибров и до полка пехоты противника.</w:t>
      </w:r>
    </w:p>
    <w:p w14:paraId="3B9FDDE2" w14:textId="77777777" w:rsidR="00224956" w:rsidRPr="00640820" w:rsidRDefault="002249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два дня боевых действий авиацией Черноморского флота уничтожено 48 вражеских самолётов, 20 автомашин с пехотой противника и военными грузами, много повозок и несколько зенитных установок.</w:t>
      </w:r>
    </w:p>
    <w:p w14:paraId="7F0FF998" w14:textId="77777777" w:rsidR="00224956" w:rsidRPr="00640820" w:rsidRDefault="002249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Танковая часть тов. Барышникова, действующая на одном из участков Ленинградского фронта, в течение месяца уничтожила 8 немецких танков, 48 противотанковых орудий, 36 миномётов, 12 станковых пулемётов и до батальона, вражеской пехоты. Танкисты захватили 5 танков, 5 орудий, 8 пулемётов и другие трофеи.</w:t>
      </w:r>
    </w:p>
    <w:p w14:paraId="22E73BE6" w14:textId="77777777" w:rsidR="00224956" w:rsidRPr="00640820" w:rsidRDefault="002249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Партизанские отряды Орловской области совершают смелые налёты на немецкие войска. Недавно бойцы партизанского отряда, где командиром тов. 3., обстреляли роту немецких солдат уничтожив не менее 20 фашистов. В районе Г. немцы устроили склад обмундирования. Партизаны проникли на территорию склада одновременно с нескольких сторон и забросали складские помещения бутылками с горючей жидкостью. Пожаром уничтожено большое количество различного обмундирования. В схватке с партизанами немцы потеряли убитыми и ранеными до 40 солдат. Этот же партизанский отряд 30 октября сжёг в районе Д. большую партию лыж, доставленных немцами из Норвегии и Финляндии. Много хлопот причиняют фашистским захватчикам организованные в партизанских отрядах Орловской области специальные группы подрывников. Подрывники из партизанского отряда железнодорожников за несколько дней ноября взорвали 2 моста, 7 немецких автомашин с боеприпасами и организовали крушение поезда с фашистскими солдатами.» (14829).</w:t>
      </w:r>
    </w:p>
    <w:p w14:paraId="1BF1ADD0" w14:textId="77777777" w:rsidR="00224956" w:rsidRPr="00640820" w:rsidRDefault="00224956" w:rsidP="00640820">
      <w:pPr>
        <w:spacing w:after="0" w:line="240" w:lineRule="auto"/>
        <w:jc w:val="both"/>
        <w:rPr>
          <w:rFonts w:ascii="Times New Roman" w:hAnsi="Times New Roman"/>
          <w:color w:val="000000" w:themeColor="text1"/>
          <w:sz w:val="16"/>
          <w:szCs w:val="16"/>
        </w:rPr>
      </w:pPr>
    </w:p>
    <w:p w14:paraId="21A5D470" w14:textId="77777777" w:rsidR="008D3ECC" w:rsidRPr="00640820" w:rsidRDefault="008D3ECC" w:rsidP="00640820">
      <w:pPr>
        <w:pStyle w:val="319"/>
        <w:shd w:val="clear" w:color="auto" w:fill="auto"/>
        <w:spacing w:after="0" w:line="240" w:lineRule="auto"/>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В ночь с 13 на 14 ноября 1941 ТБ-7 № 42015 со своим первым командиром вылетал на бомбежку Данцига, но погода внесла коррективы:</w:t>
      </w:r>
    </w:p>
    <w:p w14:paraId="71D3984A" w14:textId="77777777" w:rsidR="008D3ECC" w:rsidRPr="00640820" w:rsidRDefault="008D3E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Самолет № 42015, командир корабля полковник Алексеев, в 16 час 22 мин 13.11.41 г. стартовал с аэродрома Раменское на бомбардирование г. Данциг. Ввиду того, что от восточного побережья Балтийского моря погода резко ухудшилась и город Данциг мог быть закрыт сплошной облачностью, командир корабля принял решение бомбить запасную цель -</w:t>
      </w:r>
      <w:r w:rsidRPr="00640820">
        <w:rPr>
          <w:rStyle w:val="109"/>
          <w:rFonts w:ascii="Times New Roman" w:hAnsi="Times New Roman" w:cs="Times New Roman"/>
          <w:i w:val="0"/>
          <w:color w:val="000000" w:themeColor="text1"/>
          <w:sz w:val="16"/>
          <w:szCs w:val="16"/>
        </w:rPr>
        <w:t xml:space="preserve"> г. Кенигсберг,</w:t>
      </w:r>
      <w:r w:rsidRPr="00640820">
        <w:rPr>
          <w:rFonts w:ascii="Times New Roman" w:hAnsi="Times New Roman"/>
          <w:color w:val="000000" w:themeColor="text1"/>
          <w:sz w:val="16"/>
          <w:szCs w:val="16"/>
        </w:rPr>
        <w:t xml:space="preserve"> который был открыт и освещен.</w:t>
      </w:r>
    </w:p>
    <w:p w14:paraId="5D863349" w14:textId="77777777" w:rsidR="008D3ECC" w:rsidRPr="00640820" w:rsidRDefault="008D3ECC"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В 20 час 00 мин с высоты 8000 м на Кенигсберг сброшены: ФАБ- 250 - 8 шт. Бомбы сброшены прицельно серией в один заход. Экипаж наблюдал разрывы всех сброшенных бомб в городе, в результате бомбометания возникло два очага пожара.</w:t>
      </w:r>
    </w:p>
    <w:p w14:paraId="006A60A6" w14:textId="77777777" w:rsidR="008D3ECC" w:rsidRPr="00640820" w:rsidRDefault="008D3ECC" w:rsidP="00640820">
      <w:pPr>
        <w:pStyle w:val="108"/>
        <w:shd w:val="clear" w:color="auto" w:fill="auto"/>
        <w:tabs>
          <w:tab w:val="left" w:pos="463"/>
        </w:tabs>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2. Противодействие ПВО: Над целью ЗА до 12 орудий вела огонь по самолету, разрывы снарядов наблюдали на уровне самолета, ниже и выше самолета.</w:t>
      </w:r>
    </w:p>
    <w:p w14:paraId="0C0A6DB7" w14:textId="77777777" w:rsidR="008D3ECC" w:rsidRPr="00640820" w:rsidRDefault="008D3ECC" w:rsidP="00640820">
      <w:pPr>
        <w:pStyle w:val="108"/>
        <w:shd w:val="clear" w:color="auto" w:fill="auto"/>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При отходе от цели с побережья залива Куриш-Гаф ЗА вела интенсивный огонь по самолету.</w:t>
      </w:r>
    </w:p>
    <w:p w14:paraId="071FBBCF" w14:textId="77777777" w:rsidR="008D3ECC" w:rsidRPr="00640820" w:rsidRDefault="008D3ECC" w:rsidP="00640820">
      <w:pPr>
        <w:pStyle w:val="108"/>
        <w:shd w:val="clear" w:color="auto" w:fill="auto"/>
        <w:tabs>
          <w:tab w:val="left" w:pos="482"/>
        </w:tabs>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3. Повреждений самолета и потерь экипажа нет.</w:t>
      </w:r>
    </w:p>
    <w:p w14:paraId="6774A743" w14:textId="77777777" w:rsidR="008D3ECC" w:rsidRPr="00640820" w:rsidRDefault="008D3ECC" w:rsidP="00640820">
      <w:pPr>
        <w:pStyle w:val="108"/>
        <w:shd w:val="clear" w:color="auto" w:fill="auto"/>
        <w:tabs>
          <w:tab w:val="left" w:pos="474"/>
        </w:tabs>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4. Метеоусловия: При полете к цели у Старица - ясная погода. Цель Кенигсберг была открыта, далее на запад к г. Данциг не пошли ввиду плохой погоды. При полете обратно от г. Кенигсберг - резкое ухудшение погоды у г. Калинин, сплошная облачность, высота 200 м, временами шли на высоте 200 м вслепую, наблюдали незначительное обледенение. На свой аэродром пришли на высоте 250 м. При обратном полете шли против сильного ветра, что значительно увеличило время полета.</w:t>
      </w:r>
    </w:p>
    <w:p w14:paraId="01419A3C" w14:textId="77777777" w:rsidR="008D3ECC" w:rsidRPr="00640820" w:rsidRDefault="008D3ECC" w:rsidP="00640820">
      <w:pPr>
        <w:pStyle w:val="108"/>
        <w:shd w:val="clear" w:color="auto" w:fill="auto"/>
        <w:tabs>
          <w:tab w:val="left" w:pos="482"/>
        </w:tabs>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5. Состояние матчасти самолета - исправно.</w:t>
      </w:r>
    </w:p>
    <w:p w14:paraId="4CC6A658" w14:textId="77777777" w:rsidR="008D3ECC" w:rsidRPr="00640820" w:rsidRDefault="008D3ECC" w:rsidP="00640820">
      <w:pPr>
        <w:pStyle w:val="108"/>
        <w:shd w:val="clear" w:color="auto" w:fill="auto"/>
        <w:tabs>
          <w:tab w:val="left" w:pos="466"/>
        </w:tabs>
        <w:spacing w:line="240" w:lineRule="auto"/>
        <w:rPr>
          <w:rFonts w:ascii="Times New Roman" w:hAnsi="Times New Roman" w:cs="Times New Roman"/>
          <w:color w:val="000000" w:themeColor="text1"/>
        </w:rPr>
      </w:pPr>
      <w:r w:rsidRPr="00640820">
        <w:rPr>
          <w:rFonts w:ascii="Times New Roman" w:hAnsi="Times New Roman" w:cs="Times New Roman"/>
          <w:color w:val="000000" w:themeColor="text1"/>
        </w:rPr>
        <w:t>6. После выполнения задания экипаж в 2 час 30 мин 14.11.41 г. благополучно произвел посадку на своем аэродроме.</w:t>
      </w:r>
    </w:p>
    <w:p w14:paraId="7BE860CC" w14:textId="77777777" w:rsidR="008D3ECC" w:rsidRPr="00640820" w:rsidRDefault="008D3ECC" w:rsidP="00640820">
      <w:pPr>
        <w:pStyle w:val="319"/>
        <w:shd w:val="clear" w:color="auto" w:fill="auto"/>
        <w:spacing w:after="0" w:line="240" w:lineRule="auto"/>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Данный полет был освещен прессой. В тот день на аэродром прибыли корреспонденты для снятия репортажа. Существуют фотографии корабля и его экипажа перед и после этого вылета.</w:t>
      </w:r>
    </w:p>
    <w:p w14:paraId="1CD66DD2" w14:textId="77777777" w:rsidR="008D3ECC" w:rsidRPr="00640820" w:rsidRDefault="008D3ECC" w:rsidP="00640820">
      <w:pPr>
        <w:pStyle w:val="319"/>
        <w:shd w:val="clear" w:color="auto" w:fill="auto"/>
        <w:spacing w:after="0" w:line="240" w:lineRule="auto"/>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Это был крайний вылет 432-й ДБАП (дальнебомбардировочный авиаполк в 1941 году. Всего полк выполнил 60 боевых вылетов за 1941 год. Самолет № 42015 выполнил 9 боевых вылетов, из них один неудачный, когда он вернулся, не выполнив задания по причине отказа двигателя (19105).</w:t>
      </w:r>
    </w:p>
    <w:p w14:paraId="693FC091" w14:textId="77777777" w:rsidR="008D3ECC" w:rsidRPr="00640820" w:rsidRDefault="008D3ECC" w:rsidP="00640820">
      <w:pPr>
        <w:pStyle w:val="319"/>
        <w:shd w:val="clear" w:color="auto" w:fill="auto"/>
        <w:spacing w:after="0" w:line="240" w:lineRule="auto"/>
        <w:jc w:val="both"/>
        <w:rPr>
          <w:rFonts w:ascii="Times New Roman" w:hAnsi="Times New Roman" w:cs="Times New Roman"/>
          <w:color w:val="000000" w:themeColor="text1"/>
          <w:sz w:val="16"/>
          <w:szCs w:val="16"/>
        </w:rPr>
      </w:pPr>
    </w:p>
    <w:p w14:paraId="4DCB6C1E" w14:textId="77777777" w:rsidR="00224956" w:rsidRPr="00640820" w:rsidRDefault="00224956"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13 ноября </w:t>
      </w:r>
      <w:r w:rsidRPr="00640820">
        <w:rPr>
          <w:rFonts w:ascii="Times New Roman" w:hAnsi="Times New Roman"/>
          <w:color w:val="000000" w:themeColor="text1"/>
          <w:sz w:val="16"/>
          <w:szCs w:val="16"/>
        </w:rPr>
        <w:t>в 1941 году немецкие войска заняли Новосиль (14829).</w:t>
      </w:r>
    </w:p>
    <w:p w14:paraId="0FFF94E4" w14:textId="77777777" w:rsidR="00224956" w:rsidRPr="00640820" w:rsidRDefault="00224956" w:rsidP="00640820">
      <w:pPr>
        <w:spacing w:after="0" w:line="240" w:lineRule="auto"/>
        <w:jc w:val="both"/>
        <w:rPr>
          <w:rFonts w:ascii="Times New Roman" w:hAnsi="Times New Roman"/>
          <w:color w:val="000000" w:themeColor="text1"/>
          <w:sz w:val="16"/>
          <w:szCs w:val="16"/>
        </w:rPr>
      </w:pPr>
    </w:p>
    <w:p w14:paraId="5AFFA8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ноября 1941 Кулику удается связаться с Москвой и передать в Генштаб обстановку. Кулик предлагает, пока не поздно, эвакуировать Керчь. Москва и не подтвердила Кулику оборону Керчи, и не разрешила эвакуацию. Связь с Москвой пропала на несколько дней. И Кулик, вопреки ранее полученному приказу Сталина, эвакуирует Керчь, спасая людей и, кстати, около 2 тыс. стволов артиллерии. Начинает организовывать оборону Таманского полуострова (3573).</w:t>
      </w:r>
    </w:p>
    <w:p w14:paraId="1CDFB2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CBE6BB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ноября 1941 года Константин Самохин, сослуживец Лавриненко по 1-й гвардейской танковой бригаде, со своим экипажем на Т-34 только в бою за деревню Козлово подбил 6 танков, 4 орудия и 2 миномета. Погиб Константин Самохин в феврале 1942 года, имея на своем счету более 30 вражеских танков (12217).</w:t>
      </w:r>
    </w:p>
    <w:p w14:paraId="403676BD"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0475F9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ноября 1941 вышло Постановление ГКО № 894 О формировании национальных войсковых соединений. РГАНИР, Фонд ГКО, д. 14, лл. 85 (11012).</w:t>
      </w:r>
    </w:p>
    <w:p w14:paraId="3CFC9F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26D0D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ноября 1941 в 4:20 радиостанция из Воронежа передала кодированный сигнал и взорвала здание по ул. Дзержинского в Харькове, куда въехал нач. гарнизона Харькова г-м фон Браун с штабом (5484,572).</w:t>
      </w:r>
    </w:p>
    <w:p w14:paraId="6CB592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CD0C5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ноября 1941 г. в 4 час 20 мин в Харькове было взорва</w:t>
      </w:r>
      <w:r w:rsidRPr="00640820">
        <w:rPr>
          <w:rFonts w:ascii="Times New Roman" w:hAnsi="Times New Roman"/>
          <w:color w:val="000000" w:themeColor="text1"/>
          <w:sz w:val="16"/>
          <w:szCs w:val="16"/>
        </w:rPr>
        <w:softHyphen/>
        <w:t>но несколько фугасов ББМИ. На воздух взлетело несколько зданий, под обломками которых оказались погребенными де</w:t>
      </w:r>
      <w:r w:rsidRPr="00640820">
        <w:rPr>
          <w:rFonts w:ascii="Times New Roman" w:hAnsi="Times New Roman"/>
          <w:color w:val="000000" w:themeColor="text1"/>
          <w:sz w:val="16"/>
          <w:szCs w:val="16"/>
        </w:rPr>
        <w:softHyphen/>
        <w:t>сятки офицеров и важных чинов немецкой администрации. Были взорваны здания, которые до этого тщательно проверя</w:t>
      </w:r>
      <w:r w:rsidRPr="00640820">
        <w:rPr>
          <w:rFonts w:ascii="Times New Roman" w:hAnsi="Times New Roman"/>
          <w:color w:val="000000" w:themeColor="text1"/>
          <w:sz w:val="16"/>
          <w:szCs w:val="16"/>
        </w:rPr>
        <w:softHyphen/>
        <w:t>лись саперами с целью выявления возможно заложенных фу</w:t>
      </w:r>
      <w:r w:rsidRPr="00640820">
        <w:rPr>
          <w:rFonts w:ascii="Times New Roman" w:hAnsi="Times New Roman"/>
          <w:color w:val="000000" w:themeColor="text1"/>
          <w:sz w:val="16"/>
          <w:szCs w:val="16"/>
        </w:rPr>
        <w:softHyphen/>
        <w:t>гасов, после чего так охранялись, что, казалось, мышь не мог</w:t>
      </w:r>
      <w:r w:rsidRPr="00640820">
        <w:rPr>
          <w:rFonts w:ascii="Times New Roman" w:hAnsi="Times New Roman"/>
          <w:color w:val="000000" w:themeColor="text1"/>
          <w:sz w:val="16"/>
          <w:szCs w:val="16"/>
        </w:rPr>
        <w:softHyphen/>
        <w:t>ла проскочить (10675).</w:t>
      </w:r>
    </w:p>
    <w:p w14:paraId="404565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14EAC4D" w14:textId="77777777" w:rsidR="00A633F1" w:rsidRPr="00640820" w:rsidRDefault="00A633F1"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13 ноября </w:t>
      </w:r>
      <w:r w:rsidRPr="00640820">
        <w:rPr>
          <w:rFonts w:ascii="Times New Roman" w:hAnsi="Times New Roman"/>
          <w:color w:val="000000" w:themeColor="text1"/>
          <w:sz w:val="16"/>
          <w:szCs w:val="16"/>
        </w:rPr>
        <w:t>в 1941 году в Севастополе, после осущественных накануне атак авиации противника, перевернулся и затонул крейсер "Червона Украина" (14829).</w:t>
      </w:r>
    </w:p>
    <w:p w14:paraId="0234E80F" w14:textId="77777777" w:rsidR="00A633F1" w:rsidRPr="00640820" w:rsidRDefault="00A633F1" w:rsidP="00640820">
      <w:pPr>
        <w:spacing w:after="0" w:line="240" w:lineRule="auto"/>
        <w:jc w:val="both"/>
        <w:rPr>
          <w:rFonts w:ascii="Times New Roman" w:hAnsi="Times New Roman"/>
          <w:color w:val="000000" w:themeColor="text1"/>
          <w:sz w:val="16"/>
          <w:szCs w:val="16"/>
        </w:rPr>
      </w:pPr>
    </w:p>
    <w:p w14:paraId="42B73202" w14:textId="77777777" w:rsidR="00224956" w:rsidRPr="00640820" w:rsidRDefault="0022495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ноября 1941 г. в 4 ч. 20 мин. в Харькове было взорвано несколько фугасов Ф-10. На воздух взлетело несколько зданий, под обломками которых оказались погребенными десятки офицеров и важных чинов немецкой администрации. Были взорваны здания, которые до этого тщательно проверялись саперами с целью выявления возможно заложенных фугасов, после чего так охранялись, что, казалось, мышь не могла проскочить. 24 сентября 1941 г. полковник Старинов, который в это время в качестве представителя Инженерного управления РККА контролировал оборудование оборонительных рубежей под Вязьмой, был вызван в Москву к начальнику Инженерного управления РККА генерал-майору Л.З. Котляру. 27 сентября Старинов прибыл в Москву и получил от генерала Котляра приказ сформировать инженерную оперативную группу Юго-Западного фронта с задачей создать «харьковский узел заграждений». В подчинение Старинова выделялось 15 офицеров инженерных войск, 5 специалистов из ОУЦ (оперативный учебный центр) и спецрота РГК под командованием военинженера 2-го ранга В.П. Ястребова. 29 сентября 1941 г. Старинов с пятнадцатью офицерами выехали на нескольких автомашинах из Москвы в направлении на Орел, куда прибыли во второй половине дня. Там к ним присоединились пятеро специалистов ОУЦа. Из Орла автоколонна направилась в направлении на Курск и далее на Харьков. 1 октября к середине дня Старинов с офицерами были уже в Харькове. К этому времени часть роты спецминирования, которая выехала из Москвы поездом, уже находилась в Харькове. Командир роты спецминирования В.П. Ястребов выехал с автоколонной роты из Москвы на сутки позже, 30 сентября. Из имеющихся документов следует, что его задержало получение 30 штук радиоаппаратов Ф-10 и питания к ним. Фронт смог выделить группе около 100 т взрывчатки (а требовалось 300 т) и 30 тысяч противотанковых и противопехотных мин. Рота спецминирования получила в Москве 30 радиоуправляемых объектных мин Ф-10, около 1000 инерционных замыкателей, 2000 электрохимических замыкателей ЭХЗ и электрохимических взрывателей ЭХВ, а также 1200 различных взрывателей и замыкателей замедленного действия (химические взрыватели замедленного действия ВЗДХ, 10-суточных часовые замыкатели, 35-суточные часовые замыкатели, 30-суточные маятниковые замыкатели). Сейчас краеведы и историки спорят, какие объекты в Харькове были взорваны радиофугасами Ф-10, а какие иными средствами. Считается доказанным гибель от Ф-10 коменданта Харькова генерал-лейтенант фон Брауна (кстати, близкого родственника известного ученого Вернера фон Брауна, изобретателя ракет ФАУ-2) в помещении бывшего штаба военного округа на улице Руднева (15117).</w:t>
      </w:r>
    </w:p>
    <w:p w14:paraId="0906572A" w14:textId="77777777" w:rsidR="00224956" w:rsidRPr="00640820" w:rsidRDefault="00224956" w:rsidP="00640820">
      <w:pPr>
        <w:spacing w:after="0" w:line="240" w:lineRule="auto"/>
        <w:jc w:val="both"/>
        <w:rPr>
          <w:rFonts w:ascii="Times New Roman" w:hAnsi="Times New Roman"/>
          <w:color w:val="000000" w:themeColor="text1"/>
          <w:sz w:val="16"/>
          <w:szCs w:val="16"/>
        </w:rPr>
      </w:pPr>
    </w:p>
    <w:p w14:paraId="7B5FBC7E" w14:textId="77777777" w:rsidR="007C1BF9" w:rsidRPr="00640820" w:rsidRDefault="007C1BF9" w:rsidP="00640820">
      <w:pPr>
        <w:spacing w:after="0" w:line="240" w:lineRule="auto"/>
        <w:jc w:val="both"/>
        <w:rPr>
          <w:rFonts w:ascii="Times New Roman" w:hAnsi="Times New Roman"/>
          <w:color w:val="0070C0"/>
          <w:sz w:val="16"/>
          <w:szCs w:val="16"/>
          <w:shd w:val="clear" w:color="auto" w:fill="FFFFFF"/>
        </w:rPr>
      </w:pPr>
      <w:r w:rsidRPr="00640820">
        <w:rPr>
          <w:rFonts w:ascii="Times New Roman" w:hAnsi="Times New Roman"/>
          <w:color w:val="0070C0"/>
          <w:sz w:val="16"/>
          <w:szCs w:val="16"/>
          <w:shd w:val="clear" w:color="auto" w:fill="FFFFFF"/>
        </w:rPr>
        <w:t xml:space="preserve">Ночью с 13 на 14 ноября 1941 года, согласно воспоминаниям Старинова: «Поздней генерал Невский, начальник отдела инженерного управления фронта майор Чернов и я, взяв строго засекреченные шифры, поехали на воронежскую радиостанцию широкого вещания. Там нас ждали. В предстоящей операции кроме военных участвовали гражданские лица: старший инженер воронежской радиостанции Аркадий Владимирович Беспамятов и начальник радиостанции Федор Семенович </w:t>
      </w:r>
      <w:r w:rsidRPr="00640820">
        <w:rPr>
          <w:rFonts w:ascii="Times New Roman" w:hAnsi="Times New Roman"/>
          <w:color w:val="0070C0"/>
          <w:sz w:val="16"/>
          <w:szCs w:val="16"/>
          <w:shd w:val="clear" w:color="auto" w:fill="FFFFFF"/>
        </w:rPr>
        <w:lastRenderedPageBreak/>
        <w:t>Коржев. Их посвятили в отдельные детали операции. Конструкция здешнего радиопередатчика была старой, но перед войной его реконструировали, улучшили, и он обладал достаточной мощностью.</w:t>
      </w:r>
    </w:p>
    <w:p w14:paraId="22CF35B2" w14:textId="77777777" w:rsidR="007C1BF9" w:rsidRPr="00640820" w:rsidRDefault="007C1BF9" w:rsidP="00640820">
      <w:pPr>
        <w:spacing w:after="0" w:line="240" w:lineRule="auto"/>
        <w:jc w:val="both"/>
        <w:rPr>
          <w:rFonts w:ascii="Times New Roman" w:hAnsi="Times New Roman"/>
          <w:color w:val="0070C0"/>
          <w:sz w:val="16"/>
          <w:szCs w:val="16"/>
          <w:shd w:val="clear" w:color="auto" w:fill="FFFFFF"/>
        </w:rPr>
      </w:pPr>
      <w:r w:rsidRPr="00640820">
        <w:rPr>
          <w:rFonts w:ascii="Times New Roman" w:hAnsi="Times New Roman"/>
          <w:color w:val="0070C0"/>
          <w:sz w:val="16"/>
          <w:szCs w:val="16"/>
          <w:shd w:val="clear" w:color="auto" w:fill="FFFFFF"/>
        </w:rPr>
        <w:t>Удалив из помещения всех, кто не имел отношения к делу, мы в 3 часа 15 минут 14 ноября послали радиоминам первый сигнал. В дальнейшем, на разных волнах, разными шифрами подали еще несколько сигналов. Последний – в шесть часов утра.</w:t>
      </w:r>
    </w:p>
    <w:p w14:paraId="024BB453" w14:textId="77777777" w:rsidR="007C1BF9" w:rsidRPr="00640820" w:rsidRDefault="007C1BF9" w:rsidP="00640820">
      <w:pPr>
        <w:spacing w:after="0" w:line="240" w:lineRule="auto"/>
        <w:jc w:val="both"/>
        <w:rPr>
          <w:rFonts w:ascii="Times New Roman" w:hAnsi="Times New Roman"/>
          <w:color w:val="0070C0"/>
          <w:sz w:val="16"/>
          <w:szCs w:val="16"/>
          <w:shd w:val="clear" w:color="auto" w:fill="FFFFFF"/>
        </w:rPr>
      </w:pPr>
      <w:r w:rsidRPr="00640820">
        <w:rPr>
          <w:rFonts w:ascii="Times New Roman" w:hAnsi="Times New Roman"/>
          <w:color w:val="0070C0"/>
          <w:sz w:val="16"/>
          <w:szCs w:val="16"/>
          <w:shd w:val="clear" w:color="auto" w:fill="FFFFFF"/>
        </w:rPr>
        <w:t>Контрольный прием сигналов, осуществляемый вблизи Воронежа, показал, что они сильные. Но достаточной ли оказалась их мощность для Харькова?</w:t>
      </w:r>
    </w:p>
    <w:p w14:paraId="2D5192A5" w14:textId="77777777" w:rsidR="007C1BF9" w:rsidRPr="00640820" w:rsidRDefault="007C1BF9" w:rsidP="00640820">
      <w:pPr>
        <w:spacing w:after="0" w:line="240" w:lineRule="auto"/>
        <w:jc w:val="both"/>
        <w:rPr>
          <w:rFonts w:ascii="Times New Roman" w:hAnsi="Times New Roman"/>
          <w:color w:val="0070C0"/>
          <w:sz w:val="16"/>
          <w:szCs w:val="16"/>
          <w:shd w:val="clear" w:color="auto" w:fill="FFFFFF"/>
        </w:rPr>
      </w:pPr>
      <w:r w:rsidRPr="00640820">
        <w:rPr>
          <w:rFonts w:ascii="Times New Roman" w:hAnsi="Times New Roman"/>
          <w:color w:val="0070C0"/>
          <w:sz w:val="16"/>
          <w:szCs w:val="16"/>
          <w:shd w:val="clear" w:color="auto" w:fill="FFFFFF"/>
        </w:rPr>
        <w:t>Успешно ли завершилась операция? Этого мы не знали.</w:t>
      </w:r>
    </w:p>
    <w:p w14:paraId="2D738A27" w14:textId="77777777" w:rsidR="007C1BF9" w:rsidRPr="00640820" w:rsidRDefault="007C1BF9" w:rsidP="00640820">
      <w:pPr>
        <w:spacing w:after="0" w:line="240" w:lineRule="auto"/>
        <w:jc w:val="both"/>
        <w:rPr>
          <w:rFonts w:ascii="Times New Roman" w:hAnsi="Times New Roman"/>
          <w:color w:val="0070C0"/>
          <w:sz w:val="16"/>
          <w:szCs w:val="16"/>
          <w:shd w:val="clear" w:color="auto" w:fill="FFFFFF"/>
        </w:rPr>
      </w:pPr>
      <w:r w:rsidRPr="00640820">
        <w:rPr>
          <w:rFonts w:ascii="Times New Roman" w:hAnsi="Times New Roman"/>
          <w:color w:val="0070C0"/>
          <w:sz w:val="16"/>
          <w:szCs w:val="16"/>
          <w:shd w:val="clear" w:color="auto" w:fill="FFFFFF"/>
        </w:rPr>
        <w:t>Посланный 14 ноября на разведку самолет сфотографировал интересующие военный совет районы Харькова. Снимки подтвердили, что по меньшей мере часть радиомин взорвалась с большим эффектом. К сожалению, район улицы Дзержинского в объектив авиационного фотоаппарата не попал. Определить, взорвалась ли радиомина в доме № 17, оказалось невозможно».</w:t>
      </w:r>
    </w:p>
    <w:p w14:paraId="4487CC37" w14:textId="77777777" w:rsidR="007C1BF9" w:rsidRPr="00640820" w:rsidRDefault="007C1BF9"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shd w:val="clear" w:color="auto" w:fill="FFFFFF"/>
        </w:rPr>
        <w:t>Дом на улице Дзержинского взлетел на воздух. Под его обломками нашли свою могилу командующий гарнизоном командир 68-й пехотной дивизии генерал фон Браун и несколько десятков офицеров штаба этой дивизии (22290).</w:t>
      </w:r>
    </w:p>
    <w:p w14:paraId="28B22FDA" w14:textId="77777777" w:rsidR="007C1BF9" w:rsidRPr="00640820" w:rsidRDefault="007C1BF9" w:rsidP="00640820">
      <w:pPr>
        <w:spacing w:after="0" w:line="240" w:lineRule="auto"/>
        <w:jc w:val="both"/>
        <w:rPr>
          <w:rFonts w:ascii="Times New Roman" w:hAnsi="Times New Roman"/>
          <w:color w:val="0070C0"/>
          <w:sz w:val="16"/>
          <w:szCs w:val="16"/>
        </w:rPr>
      </w:pPr>
    </w:p>
    <w:p w14:paraId="534AA7F8" w14:textId="77777777" w:rsidR="00A633F1" w:rsidRPr="00640820" w:rsidRDefault="00A633F1"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13 ноября </w:t>
      </w:r>
      <w:r w:rsidRPr="00640820">
        <w:rPr>
          <w:rFonts w:ascii="Times New Roman" w:hAnsi="Times New Roman"/>
          <w:color w:val="000000" w:themeColor="text1"/>
          <w:sz w:val="16"/>
          <w:szCs w:val="16"/>
        </w:rPr>
        <w:t>в 1941 году приостановлено освобождение из немецкого плена советских военнослужащих ряда национальностей. До этого срока было освобождено 318 770 человек (в том числе 277 761 украинец) (14829).</w:t>
      </w:r>
    </w:p>
    <w:p w14:paraId="721ABA65" w14:textId="77777777" w:rsidR="00A633F1" w:rsidRPr="00640820" w:rsidRDefault="00A633F1" w:rsidP="00640820">
      <w:pPr>
        <w:spacing w:after="0" w:line="240" w:lineRule="auto"/>
        <w:jc w:val="both"/>
        <w:rPr>
          <w:rFonts w:ascii="Times New Roman" w:hAnsi="Times New Roman"/>
          <w:color w:val="000000" w:themeColor="text1"/>
          <w:sz w:val="16"/>
          <w:szCs w:val="16"/>
        </w:rPr>
      </w:pPr>
    </w:p>
    <w:p w14:paraId="066DA4B7"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3754A2E0"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4F92D29" w14:textId="77777777" w:rsidR="00A633F1" w:rsidRPr="00640820" w:rsidRDefault="00A633F1"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13 ноября </w:t>
      </w:r>
      <w:r w:rsidRPr="00640820">
        <w:rPr>
          <w:rFonts w:ascii="Times New Roman" w:hAnsi="Times New Roman"/>
          <w:color w:val="000000" w:themeColor="text1"/>
          <w:sz w:val="16"/>
          <w:szCs w:val="16"/>
        </w:rPr>
        <w:t>в 1941 году в Ленинграде произведено четвертое снижение продовольственных норм по карточкам: трудящиеся стали получать по рабочей карточке 300 г хлеба в день, по карточкам остальных категорий — 150 г (14829).</w:t>
      </w:r>
    </w:p>
    <w:p w14:paraId="26466A2B" w14:textId="77777777" w:rsidR="00A633F1" w:rsidRPr="00640820" w:rsidRDefault="00A633F1" w:rsidP="00640820">
      <w:pPr>
        <w:spacing w:after="0" w:line="240" w:lineRule="auto"/>
        <w:jc w:val="both"/>
        <w:rPr>
          <w:rFonts w:ascii="Times New Roman" w:hAnsi="Times New Roman"/>
          <w:color w:val="000000" w:themeColor="text1"/>
          <w:sz w:val="16"/>
          <w:szCs w:val="16"/>
        </w:rPr>
      </w:pPr>
    </w:p>
    <w:p w14:paraId="7663B9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ноября 1941 вышло Постановление ГКО № 891 О выработке мероприятий по организации демонтажа нефтепроводных линий и перекаченных станций. РГАНИР, Фонд ГКО, д. 14, лл. 78 (11012).</w:t>
      </w:r>
    </w:p>
    <w:p w14:paraId="6AC2FC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560E43A"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012067D4"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33BF2E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ноября 1941 у Гибралтара немецкой подлодкой потоплен английский авианосец “Арк Ройал” (4962).</w:t>
      </w:r>
    </w:p>
    <w:p w14:paraId="3DE34FC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7971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November 13 1941 British ship Ark Roy sunk off Gibraltar by U-boat (1050).</w:t>
      </w:r>
    </w:p>
    <w:p w14:paraId="520D73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690351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ноября 1941 английский авианосец Арк Ройял был потоплен недалеко от Гибралтара немецкой подводной лодкой (1050), а по другим данным - атакован и затонул только на следующий день (3481).</w:t>
      </w:r>
    </w:p>
    <w:p w14:paraId="3F67DE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ECBF6D4" w14:textId="77777777" w:rsidR="00A633F1" w:rsidRPr="00640820" w:rsidRDefault="00A633F1"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13 ноября </w:t>
      </w:r>
      <w:r w:rsidRPr="00640820">
        <w:rPr>
          <w:rFonts w:ascii="Times New Roman" w:hAnsi="Times New Roman"/>
          <w:color w:val="000000" w:themeColor="text1"/>
          <w:sz w:val="16"/>
          <w:szCs w:val="16"/>
        </w:rPr>
        <w:t>в 1941 году первый крупный авианосец специальной постройки “Арк ройял” торпедирован немецкой подводной лодкой U-81 у Гибралтара и затонул через 14 часов (14829).</w:t>
      </w:r>
    </w:p>
    <w:p w14:paraId="41C8DB96" w14:textId="77777777" w:rsidR="00A633F1" w:rsidRPr="00640820" w:rsidRDefault="00A633F1" w:rsidP="00640820">
      <w:pPr>
        <w:spacing w:after="0" w:line="240" w:lineRule="auto"/>
        <w:jc w:val="both"/>
        <w:rPr>
          <w:rFonts w:ascii="Times New Roman" w:hAnsi="Times New Roman"/>
          <w:color w:val="000000" w:themeColor="text1"/>
          <w:sz w:val="16"/>
          <w:szCs w:val="16"/>
        </w:rPr>
      </w:pPr>
    </w:p>
    <w:p w14:paraId="519CE8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 November 1941 (13-18-November) USA reverses her neutrality and arms her merchant ships (270).</w:t>
      </w:r>
    </w:p>
    <w:p w14:paraId="0B961C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18CB29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13 по 18 ноября 1941 США отказались от нейтралитета и вооружили торговые суда (270) - было голосаование по принятию поправки к закону о нейтралитете в Конгрессе (3481).</w:t>
      </w:r>
    </w:p>
    <w:p w14:paraId="451152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49CD54B" w14:textId="77777777" w:rsidR="00A633F1" w:rsidRPr="00640820" w:rsidRDefault="00A633F1"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13 ноября </w:t>
      </w:r>
      <w:r w:rsidRPr="00640820">
        <w:rPr>
          <w:rFonts w:ascii="Times New Roman" w:hAnsi="Times New Roman"/>
          <w:color w:val="000000" w:themeColor="text1"/>
          <w:sz w:val="16"/>
          <w:szCs w:val="16"/>
        </w:rPr>
        <w:t>в 1941 году конгресс США снял запрет на вход американских кораблей в зоны военных действий и разрешил вооружать торговые суда (14829).</w:t>
      </w:r>
    </w:p>
    <w:p w14:paraId="4FAF650D" w14:textId="77777777" w:rsidR="00A633F1" w:rsidRPr="00640820" w:rsidRDefault="00A633F1" w:rsidP="00640820">
      <w:pPr>
        <w:spacing w:after="0" w:line="240" w:lineRule="auto"/>
        <w:jc w:val="both"/>
        <w:rPr>
          <w:rFonts w:ascii="Times New Roman" w:hAnsi="Times New Roman"/>
          <w:color w:val="000000" w:themeColor="text1"/>
          <w:sz w:val="16"/>
          <w:szCs w:val="16"/>
        </w:rPr>
      </w:pPr>
    </w:p>
    <w:p w14:paraId="16C49684" w14:textId="77777777" w:rsidR="00A633F1" w:rsidRPr="00640820" w:rsidRDefault="00A633F1"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13 ноября </w:t>
      </w:r>
      <w:r w:rsidRPr="00640820">
        <w:rPr>
          <w:rFonts w:ascii="Times New Roman" w:hAnsi="Times New Roman"/>
          <w:color w:val="000000" w:themeColor="text1"/>
          <w:sz w:val="16"/>
          <w:szCs w:val="16"/>
        </w:rPr>
        <w:t>в 1941 году конгресс США голосует за принятие поправки к Закону о нейтралитете, позволяющую вооружать американские торговые суда, которые могут оказаться в районе боевых действий (14829).</w:t>
      </w:r>
    </w:p>
    <w:p w14:paraId="0ECF03EC" w14:textId="77777777" w:rsidR="00A633F1" w:rsidRPr="00640820" w:rsidRDefault="00A633F1" w:rsidP="00640820">
      <w:pPr>
        <w:spacing w:after="0" w:line="240" w:lineRule="auto"/>
        <w:jc w:val="both"/>
        <w:rPr>
          <w:rFonts w:ascii="Times New Roman" w:hAnsi="Times New Roman"/>
          <w:color w:val="000000" w:themeColor="text1"/>
          <w:sz w:val="16"/>
          <w:szCs w:val="16"/>
        </w:rPr>
      </w:pPr>
    </w:p>
    <w:p w14:paraId="36D63087"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521082EF"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E7BE7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ноября 1941 в НИИ ВВС закончились гос. испытания Як-1 N 20-29, которые проходили с 27 сентября 1941 (796,3).</w:t>
      </w:r>
    </w:p>
    <w:p w14:paraId="525EFB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другим данным эта машина только поступила на гос. испытания в ноябре 1941 (65,47).</w:t>
      </w:r>
    </w:p>
    <w:p w14:paraId="20D63E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631D9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ноября 1941 Нач. штаба НИИ ВВС Вахрушев писал НКАП А.И.Ш., НКВТ и Нач. ГУ ВВС КА письмо N 3/0225 с Отчетом по испытаниям одноместного одномоторного истребителя Томагаук 1 с Аллисон 4-1710-С-15. НИИ ВВС (Шишкин) при утверждении написал, что необходимо испытать в ночных условиях, радиооборудования, вооружения, зимой и дать инструкции (2567,176).</w:t>
      </w:r>
    </w:p>
    <w:p w14:paraId="517626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CB61E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ноября 1941 вышел приказ НКАП № 1120сс:</w:t>
      </w:r>
    </w:p>
    <w:p w14:paraId="31B541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связи с эвакуацией з-в 155, 214, 382 в Свердловск на площадь клуба им. Профинтерна, согласно постановлению ГКО № 681сс от 16 сентября 1941 и Совета по эвакуации № СЭ-130сс от 8 октября 1941:</w:t>
      </w:r>
    </w:p>
    <w:p w14:paraId="11AFAF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Объединить з-ды № 155, 214 и 382 в один з-д, присвоив объединенному з-ду № 214,</w:t>
      </w:r>
    </w:p>
    <w:p w14:paraId="1BF8A2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основании эказанного з-ды № 155 и 382 исключить из числа действующих з-в,</w:t>
      </w:r>
    </w:p>
    <w:p w14:paraId="2C8547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Директором з-да 214 назначить Гоцеридзе.</w:t>
      </w:r>
    </w:p>
    <w:p w14:paraId="100FEB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Кузнецов (1339, 4).</w:t>
      </w:r>
    </w:p>
    <w:p w14:paraId="4DD499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00D6D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ноября 1941 была подготовлена Справка:</w:t>
      </w:r>
    </w:p>
    <w:p w14:paraId="4E287E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основании приказа НКАП № 1116 от 12 октября с.г. приемка Голицинских планерно-ремонтных мастерских 9ст. Голицино, белорусской ж.д.) и Тюменских ремонтных мастерских ЦС Осоавиахим произведена в октябре с.г.</w:t>
      </w:r>
    </w:p>
    <w:p w14:paraId="028B6F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НКАП № 1089с от 1 ноября с.г. указанным мастерским присвоен “ 499.</w:t>
      </w:r>
    </w:p>
    <w:p w14:paraId="3A42E1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 11 ГУ Баринов (1340, 30).</w:t>
      </w:r>
    </w:p>
    <w:p w14:paraId="32C5E9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D97BB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ноября 1941 вышел приказ НКАП № 1118сс:</w:t>
      </w:r>
    </w:p>
    <w:p w14:paraId="70F983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связи с эвакуацией з-да 458 на площадь з-да 446 согласно постановлению ГКО № 1741сс от 8 октября с.г.:</w:t>
      </w:r>
    </w:p>
    <w:p w14:paraId="2F3A13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Объединить з-д № 446 с з-м № 458, присвоив объединенному з-ду № 458,</w:t>
      </w:r>
    </w:p>
    <w:p w14:paraId="61FF28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З-д № 446 исключить из числа действующих з-в.</w:t>
      </w:r>
    </w:p>
    <w:p w14:paraId="14CE01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Кузнецов (1340, 80).</w:t>
      </w:r>
    </w:p>
    <w:p w14:paraId="3E1552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2F882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ноября 1941 вышел приказ НКАП № 1119сс:</w:t>
      </w:r>
    </w:p>
    <w:p w14:paraId="22B720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связи с эвакуацией з-да 33 на площади з-да 339 согласно постановлению ГКО № 1741сс от 8 октября с.г.:</w:t>
      </w:r>
    </w:p>
    <w:p w14:paraId="665EA8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Объединить з-д № 33 с з-м № 339, присвоив объединенному з-ду № 339,</w:t>
      </w:r>
    </w:p>
    <w:p w14:paraId="5877D1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З-д № 33 исключить из числа действующих з-в НКАП.</w:t>
      </w:r>
    </w:p>
    <w:p w14:paraId="07B1B6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Кузнецов (1340, 86).</w:t>
      </w:r>
    </w:p>
    <w:p w14:paraId="47A987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DCF43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ноября 1941 вышел приказ НКАП № 1119ас:</w:t>
      </w:r>
    </w:p>
    <w:p w14:paraId="235B2B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целях обеспечения выпусак авиалыж к с-м МиГ-3:</w:t>
      </w:r>
    </w:p>
    <w:p w14:paraId="7B9DEB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учебно-производственные мастерские Московского авиатехникума передать в ведение 6 ГУ НКАП</w:t>
      </w:r>
    </w:p>
    <w:p w14:paraId="74639E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Присвоить вывшим учебно-производственным мастерским Московского авиатехникума им. Годовикова Н.И. наименование з-д № 45</w:t>
      </w:r>
    </w:p>
    <w:p w14:paraId="2CB33A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Директором з-да назначить Сакина Евгения Алексеевича.</w:t>
      </w:r>
    </w:p>
    <w:p w14:paraId="72D282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Дементьев (1340, 93).</w:t>
      </w:r>
    </w:p>
    <w:p w14:paraId="10E974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724B7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ноября 1941 г. на базе мастерских Московского авиатехникума им. Н.И. Годовикова (МАВИАТ) в Москве был образован завод № 45 НКАП. По приказу № 13с от 15.01.1942 г. с 03.1942 г. корпус № 6 завода (сборочный цех лыж) передан Московскому заводу «САМ» НКМВ под производство ППЩ. Далее по приказам № 39с от 15.01.1942 г. и № 154с от 27.02.1942 г. завод со всем оборудованием и кадрами влит в состав завода № 169 НКАП и выбыл из состава действующих.</w:t>
      </w:r>
    </w:p>
    <w:p w14:paraId="06A214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лыж для МиГ-3, Ил-2 и др.</w:t>
      </w:r>
    </w:p>
    <w:p w14:paraId="12FC5D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(1941 г.)- Е.А. Сакин.</w:t>
      </w:r>
    </w:p>
    <w:p w14:paraId="76A4EB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(1941 г.)- Горбунов (11982).</w:t>
      </w:r>
    </w:p>
    <w:p w14:paraId="2FF272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3109E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ноября 1941 г. по приказу № 1118сс заводы № 458 и № 446 слиты с образованием единого завода № 458 в Баку.</w:t>
      </w:r>
    </w:p>
    <w:p w14:paraId="2FA7DC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Директор/начальник строительства (09.1940 г.-)- А.А. Аванесов.</w:t>
      </w:r>
    </w:p>
    <w:p w14:paraId="55BF70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Гл. инженер (09.1940 г.-)- </w:t>
      </w:r>
      <w:r w:rsidRPr="00640820">
        <w:rPr>
          <w:rFonts w:ascii="Times New Roman" w:hAnsi="Times New Roman"/>
          <w:color w:val="000000" w:themeColor="text1"/>
          <w:sz w:val="16"/>
          <w:szCs w:val="16"/>
          <w:lang w:val="en-US"/>
        </w:rPr>
        <w:t>JI</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Минский (11982).</w:t>
      </w:r>
    </w:p>
    <w:p w14:paraId="2C5566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35BFD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ноября 1941 г. по приказу № 1118сс завод № 457 2ГУ влит в состав завода № 458 с образованием единого завода № 458. Выбыл из состава действующих в 1941 г.</w:t>
      </w:r>
    </w:p>
    <w:p w14:paraId="5B0C93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284с от 26.04.1944 г. площадка бывшего завода № 457 со всеми сооружениями возвращена Днепрострою.</w:t>
      </w:r>
    </w:p>
    <w:p w14:paraId="0C7C80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(12.1940 г.-)- И.Ф. Антипов.</w:t>
      </w:r>
    </w:p>
    <w:p w14:paraId="1F6685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(12.1940 г.-)- А.И. Хвоспок.</w:t>
      </w:r>
    </w:p>
    <w:p w14:paraId="3B0D12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(12.1940 г.-)- А.И. Хвостюк (11982).</w:t>
      </w:r>
    </w:p>
    <w:p w14:paraId="7F8FAE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61A0D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ноября 1941 г. по приказу № 1118сс заводы № 458 и № 446 слиты с образованием единого завода № 458.</w:t>
      </w:r>
    </w:p>
    <w:p w14:paraId="70904B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1942 г. выпускал бензобаки для «СБ», амортизаторы для ТБ-3, детали для ППШ, «Катюши» и др.</w:t>
      </w:r>
    </w:p>
    <w:p w14:paraId="6AA60D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1942 г. на площадке эвакуированного завода в Ростове образовался завод № 87 НКАП.</w:t>
      </w:r>
    </w:p>
    <w:p w14:paraId="7F69BE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ГКО № 1398сс от 6.03.1942 г. и приказом № 227сс от 21.03.1942 г. завод № 458 был переведен к 05.1942 г. из Баку со всем оборудованием и личным составом в Москву на завод № 23 (планировалось сначала на завод № 81) и влит в его состав. Часть оборудования передана другим заводам 1ГУ, ЮГУ и заводу № 7 ОАП НКАП. Выбыл из числа действующих.</w:t>
      </w:r>
    </w:p>
    <w:p w14:paraId="16CAF3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месте завода № 458 в Баку далее создано Бакинское АПО им. 50-летия Азербайджана.</w:t>
      </w:r>
      <w:r w:rsidRPr="00640820">
        <w:rPr>
          <w:rFonts w:ascii="Times New Roman" w:hAnsi="Times New Roman"/>
          <w:color w:val="000000" w:themeColor="text1"/>
          <w:sz w:val="16"/>
          <w:szCs w:val="16"/>
          <w:vertAlign w:val="superscript"/>
        </w:rPr>
        <w:t>30</w:t>
      </w:r>
    </w:p>
    <w:p w14:paraId="02FBCE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(10.1940-03.1942 г.-)- А.П. Бугров.</w:t>
      </w:r>
    </w:p>
    <w:p w14:paraId="113ECE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(10.1940 г.-)- А.А. Евтеев.</w:t>
      </w:r>
    </w:p>
    <w:p w14:paraId="3179E5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(10.1940 г.-)- А.А. Евтеев.</w:t>
      </w:r>
    </w:p>
    <w:p w14:paraId="2C6948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самолет УТИ-4 (1941-42)- 439.</w:t>
      </w:r>
    </w:p>
    <w:p w14:paraId="5E0349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Бакинское Агрегатное ПО (БАПО) им. 50-летня Азербайджана, БАПО «Иглим» /Азербайджан/</w:t>
      </w:r>
    </w:p>
    <w:p w14:paraId="3F1776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Бакинское АПО создано на месте переведенного в Москву завода № 458 НКАП. Далее - БАПО «Иглим».</w:t>
      </w:r>
      <w:r w:rsidRPr="00640820">
        <w:rPr>
          <w:rFonts w:ascii="Times New Roman" w:hAnsi="Times New Roman"/>
          <w:color w:val="000000" w:themeColor="text1"/>
          <w:sz w:val="16"/>
          <w:szCs w:val="16"/>
          <w:vertAlign w:val="superscript"/>
        </w:rPr>
        <w:t>30</w:t>
      </w:r>
    </w:p>
    <w:p w14:paraId="023698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агрегатов бытового оборудования и систем кондиционирования ЛА (2003 г.) (11982).</w:t>
      </w:r>
    </w:p>
    <w:p w14:paraId="0390DE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7C78D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ноября 1941 г. по приказу № 1120сс три завода - № 382, № 214 и № 155 5ГУ НКАП объединены в единый завод №214 НКАП. Завод № 382 выбыл из числа действующих.</w:t>
      </w:r>
    </w:p>
    <w:p w14:paraId="6D7AB6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площадке эвакуированного завода № 382 по приказу НКАП № 483с от 13.12.1944 г. образован завод № 89 НКАП.</w:t>
      </w:r>
    </w:p>
    <w:p w14:paraId="17B843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Москве на площадке эвакуированного завода «Точизмеритель» им. Молотова с конца 1941 г. действовал его филиал. На его базе в соответствии с решением ГКО № 1543сс от 5.04.1942 г. и приказом № 269сс от 10.04.1942 г. образован новый завод № 382 НКАП для,возобновления производства авиационных стекол и термометров.</w:t>
      </w:r>
    </w:p>
    <w:p w14:paraId="12FEF7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605сс от 23.10.1944 г. передан из 5ГУ в 17ГУ НКАП с 1.10.1944 г. Начался выпуск электровакуумных приборов, в т.ч. для РПБ «Кобальт», магнетронов. Далее опять в 5ГУ, с 1.01.1950 г. передан из 5ГУ в 17ГУ. С 1.10.1950 г. в соответствии с пост. СМ № 4244-1907сс от 11.10.1950 г. и приказом № 836сс от 19.10.1950 г. завод № 382 передан в МПСС.</w:t>
      </w:r>
    </w:p>
    <w:p w14:paraId="5A5D3F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1947 г. начат выпуск СВЧ-приборов. В 1972 г. освоен выпуск бытовых микроволновых печей.</w:t>
      </w:r>
    </w:p>
    <w:p w14:paraId="465EEB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«Измеритель» в 1960 г. - в ведении ГКЭТ. В 1972 г. переименован в завод «Плутон» МЭП, имел наименование «п/я В-2239», ПО «Плутон» имело наименование «п/я Ю-9395».</w:t>
      </w:r>
    </w:p>
    <w:p w14:paraId="428B58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1992 г. ГП «Плутон» преобразовано в АООТ (зарегистрировано 30.04.1993 г.), а затем - в ОАО «Плутон».</w:t>
      </w:r>
    </w:p>
    <w:p w14:paraId="76BF96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2F01F5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(2000-е): электровакуумные приборы СВЧ для аппаратуры связи и управления.</w:t>
      </w:r>
    </w:p>
    <w:p w14:paraId="793702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Директор (-08.1942-10.1943 г.-)- И.А. Живописцев. Гендиректор (1990-е)-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Лобачев. Внешний управляющий (2000 г.)- В.П. Минаев.</w:t>
      </w:r>
    </w:p>
    <w:p w14:paraId="4E54FF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(1946 г.)- В.А. Абрамович.</w:t>
      </w:r>
    </w:p>
    <w:p w14:paraId="2DD557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Научный руководитель (1962-95 г.)- </w:t>
      </w:r>
      <w:r w:rsidRPr="00640820">
        <w:rPr>
          <w:rFonts w:ascii="Times New Roman" w:hAnsi="Times New Roman"/>
          <w:color w:val="000000" w:themeColor="text1"/>
          <w:sz w:val="16"/>
          <w:szCs w:val="16"/>
          <w:lang w:val="en-US"/>
        </w:rPr>
        <w:t>JI</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 Семенов.</w:t>
      </w:r>
    </w:p>
    <w:p w14:paraId="6C84AC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Начальники отделов: (1961-62 г.)- </w:t>
      </w:r>
      <w:r w:rsidRPr="00640820">
        <w:rPr>
          <w:rFonts w:ascii="Times New Roman" w:hAnsi="Times New Roman"/>
          <w:color w:val="000000" w:themeColor="text1"/>
          <w:sz w:val="16"/>
          <w:szCs w:val="16"/>
          <w:lang w:val="en-US"/>
        </w:rPr>
        <w:t>JI</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 Семенов.</w:t>
      </w:r>
    </w:p>
    <w:p w14:paraId="38DB7D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Начальники лабораторий: (1960-61 г.)- </w:t>
      </w:r>
      <w:r w:rsidRPr="00640820">
        <w:rPr>
          <w:rFonts w:ascii="Times New Roman" w:hAnsi="Times New Roman"/>
          <w:color w:val="000000" w:themeColor="text1"/>
          <w:sz w:val="16"/>
          <w:szCs w:val="16"/>
          <w:lang w:val="en-US"/>
        </w:rPr>
        <w:t>JI</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 Семенов.</w:t>
      </w:r>
    </w:p>
    <w:p w14:paraId="576C61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термометры (1942-46-), оптические приборы (1942-); запал ГИА-2 для зажигательных бутылок (ВОВ).</w:t>
      </w:r>
    </w:p>
    <w:p w14:paraId="73DA50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ОКБ-382 НКАП, МАП, МПСС /г. Москва/</w:t>
      </w:r>
    </w:p>
    <w:p w14:paraId="194B35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Особое КБ-382 вновь образовалось в системе 17ГУ при заводе № 382 МАП по приказу № 247с от 26.04.1946 г. Работы по созданию электровакуумных приборов (магнетроны, элементная база).</w:t>
      </w:r>
    </w:p>
    <w:p w14:paraId="7553C8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1949 г. передано в 5ГУ МАП, с 1.01.1950 г. передано обратно из 5ГУ в 17ГУ МАП. В соответствии с пост. СМ № 4244-1907сс от 11.10.1950 г. и приказом МАП № 836сс от 19.10.1950 г. ОКБ с 1.10.1950 г. передано в систему МПСС. Было в 1960 г.</w:t>
      </w:r>
    </w:p>
    <w:p w14:paraId="2A3757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(04.1946 г.-)- А.И. Симаков.</w:t>
      </w:r>
    </w:p>
    <w:p w14:paraId="2828D3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А.И. Симаков (11982).</w:t>
      </w:r>
    </w:p>
    <w:p w14:paraId="414357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F8F52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ноября 1941 в Алма-Ате возобновил занятия МАИ (294,18).</w:t>
      </w:r>
    </w:p>
    <w:p w14:paraId="4867F9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7DAC550"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7ED081E6"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0144DB7" w14:textId="77777777" w:rsidR="00BA42ED" w:rsidRPr="00640820" w:rsidRDefault="00BA42E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ноября 1941 г. в докладной записке секретаря Нижнетагильского горкома ВКП(б) в ГКО обращалось внимание на совершенно дезорганизующую работу снарядного завода № 63 практику управления им со стороны 4-го Главного Управления Наркомата боеприпасов. «В течение сентября-октября месяцев 1941 г., – говорится в записке, – заводом было получено 15 противоречащих друг другу указаний, парализующих нормальную работу завода. План по снарядам несколько раз то увеличивался, то сокращался, что не давало заводу возможности заняться усовершенствованием технологии и подъемом производительности труда. Массовое производство снарядов требует огромной работы по переоснащению и переоборудованию станков, расстановки их по потоку в соответствии с технологическим процессом, а также времени, необходимого рабочим-станочникам для освоения каждого нового типа изделия. Так как номенклатура изделий в результате противоречивых указаний НКБ не определилась, станочное оборудование по нескольку раз переставлялось с места на место, а значит, простаивало.</w:t>
      </w:r>
    </w:p>
    <w:p w14:paraId="45F63461" w14:textId="77777777" w:rsidR="00BA42ED" w:rsidRPr="00640820" w:rsidRDefault="00BA42E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настоящий момент завод имеет задание по выпуску 15 типов изделий, большинство из которых запланировано производить мелкими сериями, что совершенно недопустимо для предприятия, спроектированного под массовое поточное производство» (18677).</w:t>
      </w:r>
    </w:p>
    <w:p w14:paraId="11445158" w14:textId="77777777" w:rsidR="00BA42ED" w:rsidRPr="00640820" w:rsidRDefault="00BA42ED" w:rsidP="00640820">
      <w:pPr>
        <w:spacing w:after="0" w:line="240" w:lineRule="auto"/>
        <w:jc w:val="both"/>
        <w:rPr>
          <w:rFonts w:ascii="Times New Roman" w:hAnsi="Times New Roman"/>
          <w:color w:val="000000" w:themeColor="text1"/>
          <w:sz w:val="16"/>
          <w:szCs w:val="16"/>
        </w:rPr>
      </w:pPr>
    </w:p>
    <w:p w14:paraId="04F16A39" w14:textId="77777777" w:rsidR="00BA42ED" w:rsidRPr="00640820" w:rsidRDefault="00BA42E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14 ноября 1941 г. в докладной записке секретаря Нижне-Тагильского горкома ВКП(б) в ГКО обращалось внимание на совершенно дезорганизующую работу снарядного завода № 63 практику управления им со стороны 4-го Главного Управления Наркомата боеприпасов: «В течение сентября-октября месяцев 1941 г. заводом было получено 15 противоречащих друг другу указаний, парализующих нормальную работу завода. План по снарядам несколько раз то увеличивался, то сокращался, что не давало заводу возможности заняться усовершенствованием технологии и подъемом производительности труда. Массовое производство снарядов требует огромной работы по переоснащению и переоборудованию станков, расстановки их по потоку в соответствии с технологическим процессом, а также времени, необходимого рабочим-станочникам для освоения каждого нового типа изделия. Так как номенклатура изделий в результате противоречивых указаний НКБ не определилась, станочное оборудование по нескольку раз переставлялось с места на место, а значит, простаивало. В настоящий момент завод имеет задание по выпуску </w:t>
      </w:r>
      <w:r w:rsidRPr="00640820">
        <w:rPr>
          <w:rFonts w:ascii="Times New Roman" w:hAnsi="Times New Roman"/>
          <w:color w:val="000000" w:themeColor="text1"/>
          <w:sz w:val="16"/>
          <w:szCs w:val="16"/>
        </w:rPr>
        <w:lastRenderedPageBreak/>
        <w:t>15 типов изделий, большинство из которых запланировано производить мелкими сериями, что совершенно недопустимо для предприятия, спроектированного под массовое поточное производство» (18406).</w:t>
      </w:r>
    </w:p>
    <w:p w14:paraId="3C84CA99" w14:textId="77777777" w:rsidR="00BA42ED" w:rsidRPr="00640820" w:rsidRDefault="00BA42ED" w:rsidP="00640820">
      <w:pPr>
        <w:spacing w:after="0" w:line="240" w:lineRule="auto"/>
        <w:jc w:val="both"/>
        <w:rPr>
          <w:rFonts w:ascii="Times New Roman" w:hAnsi="Times New Roman"/>
          <w:color w:val="000000" w:themeColor="text1"/>
          <w:sz w:val="16"/>
          <w:szCs w:val="16"/>
        </w:rPr>
      </w:pPr>
    </w:p>
    <w:p w14:paraId="54A702C5" w14:textId="77777777" w:rsidR="0065114D" w:rsidRPr="00640820" w:rsidRDefault="0065114D" w:rsidP="00640820">
      <w:pPr>
        <w:pStyle w:val="229"/>
        <w:shd w:val="clear" w:color="auto" w:fill="auto"/>
        <w:spacing w:line="240" w:lineRule="auto"/>
        <w:jc w:val="both"/>
        <w:rPr>
          <w:rFonts w:ascii="Times New Roman" w:hAnsi="Times New Roman" w:cs="Times New Roman"/>
          <w:color w:val="0070C0"/>
          <w:sz w:val="16"/>
          <w:szCs w:val="16"/>
          <w:lang w:val="ru-RU"/>
        </w:rPr>
      </w:pPr>
      <w:r w:rsidRPr="00640820">
        <w:rPr>
          <w:rFonts w:ascii="Times New Roman" w:hAnsi="Times New Roman" w:cs="Times New Roman"/>
          <w:color w:val="0070C0"/>
          <w:sz w:val="16"/>
          <w:szCs w:val="16"/>
        </w:rPr>
        <w:t xml:space="preserve">14 ноября </w:t>
      </w:r>
      <w:r w:rsidRPr="00640820">
        <w:rPr>
          <w:rFonts w:ascii="Times New Roman" w:hAnsi="Times New Roman" w:cs="Times New Roman"/>
          <w:color w:val="0070C0"/>
          <w:sz w:val="16"/>
          <w:szCs w:val="16"/>
          <w:lang w:val="ru-RU"/>
        </w:rPr>
        <w:t xml:space="preserve">1941 </w:t>
      </w:r>
      <w:r w:rsidRPr="00640820">
        <w:rPr>
          <w:rFonts w:ascii="Times New Roman" w:hAnsi="Times New Roman" w:cs="Times New Roman"/>
          <w:color w:val="0070C0"/>
          <w:sz w:val="16"/>
          <w:szCs w:val="16"/>
        </w:rPr>
        <w:t>проходит заседание бюро Томского горкома ВКП(б), на котором рассматривался вопрос о пуске завода № 353, выдержки из протокола которого приведены ниже</w:t>
      </w:r>
      <w:r w:rsidRPr="00640820">
        <w:rPr>
          <w:rFonts w:ascii="Times New Roman" w:hAnsi="Times New Roman" w:cs="Times New Roman"/>
          <w:color w:val="0070C0"/>
          <w:sz w:val="16"/>
          <w:szCs w:val="16"/>
          <w:lang w:val="ru-RU"/>
        </w:rPr>
        <w:t>:</w:t>
      </w:r>
    </w:p>
    <w:p w14:paraId="262214B0" w14:textId="77777777" w:rsidR="0065114D" w:rsidRPr="00640820" w:rsidRDefault="0065114D" w:rsidP="00640820">
      <w:pPr>
        <w:pStyle w:val="229"/>
        <w:shd w:val="clear" w:color="auto" w:fill="auto"/>
        <w:spacing w:line="240" w:lineRule="auto"/>
        <w:jc w:val="both"/>
        <w:rPr>
          <w:rFonts w:ascii="Times New Roman" w:hAnsi="Times New Roman" w:cs="Times New Roman"/>
          <w:color w:val="0070C0"/>
          <w:sz w:val="16"/>
          <w:szCs w:val="16"/>
        </w:rPr>
      </w:pPr>
      <w:r w:rsidRPr="00640820">
        <w:rPr>
          <w:rFonts w:ascii="Times New Roman" w:hAnsi="Times New Roman" w:cs="Times New Roman"/>
          <w:color w:val="0070C0"/>
          <w:sz w:val="16"/>
          <w:szCs w:val="16"/>
        </w:rPr>
        <w:t>«1) Обязать директора завода №  353 тов. Дунаевского обеспечить пуск завода к 10 декабря 1941 г., начав выпуск незавершенной продукции приборов Б-6 с 15 ноября 1941 г.</w:t>
      </w:r>
    </w:p>
    <w:p w14:paraId="0480649B" w14:textId="77777777" w:rsidR="0065114D" w:rsidRPr="00640820" w:rsidRDefault="0065114D" w:rsidP="00640820">
      <w:pPr>
        <w:pStyle w:val="229"/>
        <w:shd w:val="clear" w:color="auto" w:fill="auto"/>
        <w:spacing w:line="240" w:lineRule="auto"/>
        <w:jc w:val="both"/>
        <w:rPr>
          <w:rFonts w:ascii="Times New Roman" w:hAnsi="Times New Roman" w:cs="Times New Roman"/>
          <w:color w:val="0070C0"/>
          <w:sz w:val="16"/>
          <w:szCs w:val="16"/>
        </w:rPr>
      </w:pPr>
      <w:r w:rsidRPr="00640820">
        <w:rPr>
          <w:rFonts w:ascii="Times New Roman" w:hAnsi="Times New Roman" w:cs="Times New Roman"/>
          <w:color w:val="0070C0"/>
          <w:sz w:val="16"/>
          <w:szCs w:val="16"/>
        </w:rPr>
        <w:t>2) Для пуска завода №  353 к 10 декабря 1941 г. установить следующие сроки окончания монтажа и пуска отдельных цехов завода:</w:t>
      </w:r>
    </w:p>
    <w:p w14:paraId="4CA0386B" w14:textId="77777777" w:rsidR="0065114D" w:rsidRPr="00640820" w:rsidRDefault="0065114D" w:rsidP="00640820">
      <w:pPr>
        <w:pStyle w:val="229"/>
        <w:shd w:val="clear" w:color="auto" w:fill="auto"/>
        <w:spacing w:line="240" w:lineRule="auto"/>
        <w:jc w:val="both"/>
        <w:rPr>
          <w:rFonts w:ascii="Times New Roman" w:hAnsi="Times New Roman" w:cs="Times New Roman"/>
          <w:color w:val="0070C0"/>
          <w:sz w:val="16"/>
          <w:szCs w:val="16"/>
        </w:rPr>
      </w:pPr>
      <w:r w:rsidRPr="00640820">
        <w:rPr>
          <w:rFonts w:ascii="Times New Roman" w:hAnsi="Times New Roman" w:cs="Times New Roman"/>
          <w:color w:val="0070C0"/>
          <w:sz w:val="16"/>
          <w:szCs w:val="16"/>
        </w:rPr>
        <w:t xml:space="preserve">а) Обеспечить пуск сборочного цеха №  18 в целом 25 ноября с.  г. </w:t>
      </w:r>
    </w:p>
    <w:p w14:paraId="39A13DDC" w14:textId="77777777" w:rsidR="0065114D" w:rsidRPr="00640820" w:rsidRDefault="0065114D" w:rsidP="00640820">
      <w:pPr>
        <w:pStyle w:val="229"/>
        <w:shd w:val="clear" w:color="auto" w:fill="auto"/>
        <w:spacing w:line="240" w:lineRule="auto"/>
        <w:jc w:val="both"/>
        <w:rPr>
          <w:rFonts w:ascii="Times New Roman" w:hAnsi="Times New Roman" w:cs="Times New Roman"/>
          <w:color w:val="0070C0"/>
          <w:sz w:val="16"/>
          <w:szCs w:val="16"/>
        </w:rPr>
      </w:pPr>
      <w:r w:rsidRPr="00640820">
        <w:rPr>
          <w:rFonts w:ascii="Times New Roman" w:hAnsi="Times New Roman" w:cs="Times New Roman"/>
          <w:color w:val="0070C0"/>
          <w:sz w:val="16"/>
          <w:szCs w:val="16"/>
        </w:rPr>
        <w:t>… в) Обеспечить пуск в эксплуатацию к 5/XII оборудования мастерских шлифовки и полировки цеха №  15. К 22/XI-с.  г. установить оборудование обдирочной мастерской, согласно планировке цеха.</w:t>
      </w:r>
    </w:p>
    <w:p w14:paraId="79CEE45B" w14:textId="77777777" w:rsidR="0065114D" w:rsidRPr="00640820" w:rsidRDefault="0065114D" w:rsidP="00640820">
      <w:pPr>
        <w:pStyle w:val="229"/>
        <w:shd w:val="clear" w:color="auto" w:fill="auto"/>
        <w:spacing w:line="240" w:lineRule="auto"/>
        <w:jc w:val="both"/>
        <w:rPr>
          <w:rFonts w:ascii="Times New Roman" w:hAnsi="Times New Roman" w:cs="Times New Roman"/>
          <w:color w:val="0070C0"/>
          <w:sz w:val="16"/>
          <w:szCs w:val="16"/>
        </w:rPr>
      </w:pPr>
      <w:r w:rsidRPr="00640820">
        <w:rPr>
          <w:rFonts w:ascii="Times New Roman" w:hAnsi="Times New Roman" w:cs="Times New Roman"/>
          <w:color w:val="0070C0"/>
          <w:sz w:val="16"/>
          <w:szCs w:val="16"/>
        </w:rPr>
        <w:t>…. 6) Учитывая возможные затруднения заводов в получении оптического стекла, поручить Комитету ученых изучить вопрос о возможности выработки оптического стекла на базе существующих стеклозаводов из местного сырья»</w:t>
      </w:r>
      <w:r w:rsidRPr="00640820">
        <w:rPr>
          <w:rFonts w:ascii="Times New Roman" w:hAnsi="Times New Roman" w:cs="Times New Roman"/>
          <w:color w:val="0070C0"/>
          <w:sz w:val="16"/>
          <w:szCs w:val="16"/>
          <w:lang w:val="ru-RU"/>
        </w:rPr>
        <w:t xml:space="preserve"> </w:t>
      </w:r>
      <w:r w:rsidRPr="00640820">
        <w:rPr>
          <w:rFonts w:ascii="Times New Roman" w:hAnsi="Times New Roman" w:cs="Times New Roman"/>
          <w:color w:val="0070C0"/>
          <w:sz w:val="16"/>
          <w:szCs w:val="16"/>
        </w:rPr>
        <w:t>(22791).</w:t>
      </w:r>
    </w:p>
    <w:p w14:paraId="111B632F" w14:textId="77777777" w:rsidR="0065114D" w:rsidRPr="00640820" w:rsidRDefault="0065114D" w:rsidP="00640820">
      <w:pPr>
        <w:spacing w:after="0" w:line="240" w:lineRule="auto"/>
        <w:jc w:val="both"/>
        <w:rPr>
          <w:rFonts w:ascii="Times New Roman" w:hAnsi="Times New Roman"/>
          <w:color w:val="0070C0"/>
          <w:sz w:val="16"/>
          <w:szCs w:val="16"/>
        </w:rPr>
      </w:pPr>
    </w:p>
    <w:p w14:paraId="4D5D2A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ноября 1941 вышло Постановление ГКО № 897 О т.т. Дубровском Г.РГАНИР, Фонд ГКО, д. , Фоминых А.Я., Боброве А.Ф., Диброве П.А., Рязанове А.П. и Колобякове А.Ф. . РГАНИР, Фонд ГКО, д. 14, лл. 90 (11012).</w:t>
      </w:r>
    </w:p>
    <w:p w14:paraId="0A3EA3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01640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ноября 1941 вышло Постановление ГКО № 898 О т.т. Кузине А.С., Шабалове С.И., Кириленко А.П., Гольденштейне Я.В., Доронине Я.А. . РГАНИР, Фонд ГКО, д. 14, лл. 91 (11012).</w:t>
      </w:r>
    </w:p>
    <w:p w14:paraId="10BD0E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7A9E851" w14:textId="77777777" w:rsidR="0065114D" w:rsidRPr="00640820" w:rsidRDefault="0065114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14 но</w:t>
      </w:r>
      <w:r w:rsidRPr="00640820">
        <w:rPr>
          <w:rFonts w:ascii="Times New Roman" w:hAnsi="Times New Roman"/>
          <w:color w:val="0070C0"/>
          <w:sz w:val="16"/>
          <w:szCs w:val="16"/>
        </w:rPr>
        <w:softHyphen/>
        <w:t>ября 1941 г. [15, оп.1, д.14, л.92-07] в целях скорейшего восполнения потерь бронетанковых войск и усиления ударной мощи Красной армии постановлением ГКО Наркомат станкостроения СССР (НКСС) был слит «на вре</w:t>
      </w:r>
      <w:r w:rsidRPr="00640820">
        <w:rPr>
          <w:rFonts w:ascii="Times New Roman" w:hAnsi="Times New Roman"/>
          <w:color w:val="0070C0"/>
          <w:sz w:val="16"/>
          <w:szCs w:val="16"/>
        </w:rPr>
        <w:softHyphen/>
        <w:t>мя войны» с Народным комиссариатом танковой промышленности СССР. Последнему для произ</w:t>
      </w:r>
      <w:r w:rsidRPr="00640820">
        <w:rPr>
          <w:rFonts w:ascii="Times New Roman" w:hAnsi="Times New Roman"/>
          <w:color w:val="0070C0"/>
          <w:sz w:val="16"/>
          <w:szCs w:val="16"/>
        </w:rPr>
        <w:softHyphen/>
        <w:t>водства танков и их узлов были переданы заводы НКСС (вместе с программой по боеприпасам). Приказом В.А. Малышева от 18 ноября в систему НКТП были включены 52 предприятия бывшего НКСС [3, c. 106-107] (21521).</w:t>
      </w:r>
    </w:p>
    <w:p w14:paraId="3C423994" w14:textId="77777777" w:rsidR="0065114D" w:rsidRPr="00640820" w:rsidRDefault="0065114D" w:rsidP="00640820">
      <w:pPr>
        <w:spacing w:after="0" w:line="240" w:lineRule="auto"/>
        <w:jc w:val="both"/>
        <w:rPr>
          <w:rFonts w:ascii="Times New Roman" w:hAnsi="Times New Roman"/>
          <w:color w:val="0070C0"/>
          <w:sz w:val="16"/>
          <w:szCs w:val="16"/>
        </w:rPr>
      </w:pPr>
    </w:p>
    <w:p w14:paraId="3FDCB8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ноября 1941 вышло Постановление ГКО № 899 Об увеличении выпуска танков до 140 машин в сутки. РГАНИР, Фонд ГКО, д. 14, лл. 92-97 (11012).</w:t>
      </w:r>
    </w:p>
    <w:p w14:paraId="119F52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82556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ноября 1941 г. было принято постановление ГКО, согласно которому нужно было производить до 140 танков в сутки. При этом уже к последней декаде января 1942 г. необходимо было ежедневно выпускать по 114 танков, что оказалось нереальным (РГАЭ, ф. 8798, оп. 4, д. 17, л. 283.). Всего в 1942 г. было произведено 24719 танков и САУ (РГАЭ, ф. 8798, оп. 4, д. 17, л. 283.). Это было значительное достижение по сравнению с предыдущим, 1941 г., когда было произведено 6 590 танков, в том числе 4 915 во втором полугодии. Однако плановое задание (примерно 50 тыс. танков в год) выполнено не было. Достаточно сказать, что в 1 квартале 1942 г. было произведено лишь 63% от запланированного количества (РГАЭ, ф. 8798, оп. 4, д. 17, л. 283.). Тем не менее сейчас, по прошествии достаточно долгого времени, можно оценить работу НКТП как очень успешную. Но в 1942 г. Сталину казалось, что другой человек на посту наркома мог бы сделать больше, чем Малышев. В результате его место занял заместитель наркома Зальцман. Вот что записал Малышев в своем дневнике: "1 июля 1942 г. Позвонил по телефону т. Сталин и крепко ругался за то, что не выполняется план по танкам Т-34. Я ответил т. Сталину, что много трудностей у заводов с людьми и оборудованием и что, хотя план не выполняется, но выпуск танков Т-34 из месяца в месяц растет, но тов. Сталин опять крепко выругал меня и повесил трубку. Через полчаса позвонил Молотов и сказал: «Мы решили освободить Вас от работы наркома танковой промышленности за невыполнения плана по танкам Т-34 и назначили наркомом И.М. Зальцмана». Мне, конечно, после 2-х лет работы по танкам очень и очень тяжело переносить такое решение, но решение ЦК есть закон и направлено к улучшению дела. А это самое главное. Я же буду работать там, куда пошлет партия, и буду стараться работать лучше, чем работал в танкопроме" (Источник. 1997. № 5. С. 119.). Впоследствии Сталин более объективно оценил деятельность Малышева на посту наркома. Во многом этому способствовало то, что Зальцман тоже не смог добиться запланированного роста объемов производства. В 1943 г. Сталин вернул опальному бывшему наркому прежнюю должность. Позже Малышев получил звание генерал-полковника и был награжден многочисленными правительственными наградами, в том числе и за работу в 1941-1942 гг. После войны он был министром среднего машиностроения СССР и принял участие в работе над советским "атомным проектом". Несмотря на то, что общий промышленный потенциал СССР был в 1941-1942 гг. значительно ниже, чем у Германии, в распоряжении которой была промышленность всех завоеванных ею европейских стран, а СССР только начинал получать первые поставки из США и Великобритании по ленд-лизу, в 1942 г. выпуск вооружения и военной техники в СССР значительно превысил аналогичные показатели в Германии. В СССР в 1942 г. было произведено 24 504 танка и САУ, а в Германии - только 6 189, боевых самолетов - соответственно 21 681 и 11 408, артиллерийских орудий калибром от 75 мм и выше - 33 111 и 14 316. Между тем в Германии было выплавлено 28.7 млн т стали (31.1 млн т с учетом оккупированных стран), а в СССР - только 8.1 млн т. Электроэнергии было произведено в Германии 43.4 млрд кВч., а в СССР - 29.1 млрд кВч. Те мероприятия, которые были проведены в первый период войны, предопределили последующую успешную работу советской военной промышленности. В СССР было произведено танков и САУ: в 1943 г. 24 006 (в Германии 10.7 тыс.), в 1944 г. - 28 983 (в Германии 18.3 тыс.), в первом полугодии 1945 г. - 15 422 (в Германии только 4.4 тыс.) (РГАЭ, ф. 8752, оп. 4, д. 728, л. 158-164; История Второй мировой войны. Т. 12. М., 1978. С. 200.). Это тем более удивительно, что почти до самого конца войны общие объемы производства основных видов промышленной продукции в Германии были выше, чем в СССР. На примере работы советской танковой промышленности можно видеть, как этот успех достигался. Прежде всего он стал возможен благодаря максимальному сосредоточению всех ресурсов страны для достижения главной цели - разгрома врага. Успех обеспечила и возможность добиться рационального использования этих ресурсов в процессе производства. Немалое значение имела также работа наших конструкторов. Нельзя забывать и о том, что рабочие и служащие НКТП на всех уровнях самоотверженно выполняли свой долг в любых условиях, работая по 10 и более часов в сутки. Большое значение имело и то, что руководство страны рассматривало танковую промышленность как одну из приоритетных отраслей и оказывало ей всю возможную в тех условиях помощь. Несмотря на все трудности, НКТП в целом продемонстрировал способность оперативно, эффективно и грамотно решать стоявшие перед ним задачи (11786).</w:t>
      </w:r>
    </w:p>
    <w:p w14:paraId="3B770F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1A919B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ноября 1941 года постановлением ГКО № 899сс (РГАСПИ. Ф. 644. Оп. 1. Д. 14. Л. 92-97), а также принятым на основании этого постановления 17 ноября 1941 года приказом Наркома танковой промышленности №27 постановленв задача довести производство танков до 140 штук в сутки, в том числе 113 штук на предприятиях НКТП (РГАЭ. Ф. 8752. Оп. 4. Д. 4. Л. 87). К концу января 1942 года предполагалось производить в сутки по 20 КВ на Кировском заводе, 20 Т-34 на заводе № 183, 14 Т-34 на СТЗ, 10 Т-34 на заводе № 112, 15 Т-60 на заводе № 37, 12 Т-60 на заводе № 264, 12 Т-60 на Коломенском заводе, 10 Т-50 на заводе № 174. Были определены соответствующие этим цифрам объёмы производства бронекорпусов и двигателей на предприятиях НКТП, размер поставок танковых орудий с заводов Наркомата вооружения, бронелиста с предприятий НКЧМ. НКПС должен был в течение 10 дней установить местонахождение всех утерянных эшелонов эвакуированных предприятий танковой промышленности. Для выполнения производственной программы НКТП должен был получить 10.000 квалифицированных рабочих с предприятий Наркомтяжмаша, Наркомсредмаша, Наркомэлектропрома, Наркомобщмаша СССР и Наркомместпрома РСФСР. Большую часть этих рабочих (6000 человек) должен был получить завод № 183, 3000 рабочих предполагалось передать заводу № 37, а 1000 человек - заводу № 180. Кроме того, В. А. Малышеву давалось право изъять неиспользуемое оборудование эвакуируемых заводов других наркоматов, кроме военно-промышленных и НКЧМ, в том числе, 1000 станков. В. А. Малышев мог взять для танкового производства с этих заводов до 10.000 квалифицированных рабочих и ИТР. Для строительных работ на заводах предусматривалось передать из НКО 5 рабочих батальонов. Наркомат танковой промышленности получил права на внеочередное получение всех видов материального снабжения для танкового производства. Срыв поставок предприятиям НКТП был приравнен к государственному преступлению.</w:t>
      </w:r>
    </w:p>
    <w:p w14:paraId="2F4C0EF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Задача довести выпуск танков до указанной в этом постановлении величины стало важнейшей целью НКТП. Но, как показали последующие события, эта цифра была основана на оторванных от действительности предположениях о возможностях танковой промышленности. Срывы поставок материалов заводам НКТП продолжались, несмотря на данные Наркомату привилегии и угрозы обвинения в государственном преступлении. Установленное количество рабочих и ИТР передано не было. Большую часть утерянных грузов так и не удалось отыскать. Поэтому суточный объём производства танков, указанный в постановлении ГКО, так и не был достигнут ни в январе 1942 года, никогда-либо ещё (12290).</w:t>
      </w:r>
    </w:p>
    <w:p w14:paraId="13E70E3F"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221A4BA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ноября 1941 г. в докладной записке секретаря Нижне-Тагильского горкома ВКП(б) в ГКО обращалось внимание на совершенно дезорганизующую работу снарядного завода № 63 практику управления им со стороны 4-го Главного Управления Наркомата боеприпасов. «В течение сентября-октяб</w:t>
      </w:r>
      <w:r w:rsidRPr="00640820">
        <w:rPr>
          <w:rFonts w:ascii="Times New Roman" w:hAnsi="Times New Roman"/>
          <w:color w:val="000000" w:themeColor="text1"/>
          <w:sz w:val="16"/>
          <w:szCs w:val="16"/>
        </w:rPr>
        <w:softHyphen/>
        <w:t>ря месяцев 1941 г., — говорится в записке, — заводом было получено 15 противоречащих друг другу указаний, парализую</w:t>
      </w:r>
      <w:r w:rsidRPr="00640820">
        <w:rPr>
          <w:rFonts w:ascii="Times New Roman" w:hAnsi="Times New Roman"/>
          <w:color w:val="000000" w:themeColor="text1"/>
          <w:sz w:val="16"/>
          <w:szCs w:val="16"/>
        </w:rPr>
        <w:softHyphen/>
        <w:t>щих нормальную работу завода. План по снарядам несколько раз то увеличивался, то сокращался, что не давало заводу возможности заняться усовершенствованием технологии и подъемом про</w:t>
      </w:r>
      <w:r w:rsidRPr="00640820">
        <w:rPr>
          <w:rFonts w:ascii="Times New Roman" w:hAnsi="Times New Roman"/>
          <w:color w:val="000000" w:themeColor="text1"/>
          <w:sz w:val="16"/>
          <w:szCs w:val="16"/>
        </w:rPr>
        <w:softHyphen/>
        <w:t>изводительности труда. Массовое производство снарядов требует огромной работы по переоснащению и переоборудованию стан</w:t>
      </w:r>
      <w:r w:rsidRPr="00640820">
        <w:rPr>
          <w:rFonts w:ascii="Times New Roman" w:hAnsi="Times New Roman"/>
          <w:color w:val="000000" w:themeColor="text1"/>
          <w:sz w:val="16"/>
          <w:szCs w:val="16"/>
        </w:rPr>
        <w:softHyphen/>
        <w:t>ков, расстановки их по потоку в соответствии с технологическим процессом, а также времени, необходимого рабочим-станочникам для освоения каждого нового типа изделия. Так как номенклату</w:t>
      </w:r>
      <w:r w:rsidRPr="00640820">
        <w:rPr>
          <w:rFonts w:ascii="Times New Roman" w:hAnsi="Times New Roman"/>
          <w:color w:val="000000" w:themeColor="text1"/>
          <w:sz w:val="16"/>
          <w:szCs w:val="16"/>
        </w:rPr>
        <w:softHyphen/>
        <w:t>ра изделий в результате противоречивых указаний НКБ не опре</w:t>
      </w:r>
      <w:r w:rsidRPr="00640820">
        <w:rPr>
          <w:rFonts w:ascii="Times New Roman" w:hAnsi="Times New Roman"/>
          <w:color w:val="000000" w:themeColor="text1"/>
          <w:sz w:val="16"/>
          <w:szCs w:val="16"/>
        </w:rPr>
        <w:softHyphen/>
        <w:t>делилась, станочное оборудование по нескольку раз переставля</w:t>
      </w:r>
      <w:r w:rsidRPr="00640820">
        <w:rPr>
          <w:rFonts w:ascii="Times New Roman" w:hAnsi="Times New Roman"/>
          <w:color w:val="000000" w:themeColor="text1"/>
          <w:sz w:val="16"/>
          <w:szCs w:val="16"/>
        </w:rPr>
        <w:softHyphen/>
        <w:t>лось с места на место, а значит, простаивало.</w:t>
      </w:r>
    </w:p>
    <w:p w14:paraId="65D5D59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настоящий момент завод имеет задание по выпуску 15 типов изделий, большинство из которых запланировано производить мелкими сериями, что совершенно недопустимо для предприятия, спроектированного под массовое поточное производство» (ГАРФ ф 8006, оп. 1, д. 4, л. 4) (1566).</w:t>
      </w:r>
    </w:p>
    <w:p w14:paraId="576F95A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CC66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ноября 1941 года вышел приказ зам. наркома общего машиностроения и 26 ноября 1941 года приказ Главлегмаша за № 12 о передаче завода трикотажных машин Главлегмаша на правах филиала формового завода № 3</w:t>
      </w:r>
    </w:p>
    <w:p w14:paraId="327BB5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Московский завод трикотажных машин после эвакуации был закрыт (эвакуирован в г. Очер). Во второй половине ноября 1941 года из оставшегося оборудования было организовано новое производство, выполняющее заказы НКМВ и райкома ВКП(б).</w:t>
      </w:r>
    </w:p>
    <w:p w14:paraId="4EFCA8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завода трикотажных машин: Москва, Калужский пер., 4 (8659,1).</w:t>
      </w:r>
    </w:p>
    <w:p w14:paraId="4DDE6E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94B87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ноября 1941 В Томск прибыл эвакуированный из Москвы завод "Фрезер", на основе которого возник завод режущих инструментов (11858).</w:t>
      </w:r>
    </w:p>
    <w:p w14:paraId="1188EC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CEA3CA5"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51255836"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0B5FA64" w14:textId="77777777" w:rsidR="00A633F1" w:rsidRPr="00640820" w:rsidRDefault="00A633F1"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14 ноября</w:t>
      </w:r>
      <w:r w:rsidRPr="00640820">
        <w:rPr>
          <w:rFonts w:ascii="Times New Roman" w:hAnsi="Times New Roman"/>
          <w:color w:val="000000" w:themeColor="text1"/>
          <w:sz w:val="16"/>
          <w:szCs w:val="16"/>
        </w:rPr>
        <w:t xml:space="preserve"> в 1941 году утреннее сообщение Совинформбюро:</w:t>
      </w:r>
    </w:p>
    <w:p w14:paraId="0053A1F4" w14:textId="77777777" w:rsidR="00A633F1" w:rsidRPr="00640820" w:rsidRDefault="00A633F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14 ноября наши войска вели бои с противником на всех фронтах.</w:t>
      </w:r>
    </w:p>
    <w:p w14:paraId="2378B607" w14:textId="77777777" w:rsidR="00A633F1" w:rsidRPr="00640820" w:rsidRDefault="00A633F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Часть тов. Павловича, действующая на одном из участков Северо-Западного направления фронта, после упорного боя с немцами овладела селением К. Наши войска захватили 19 автомашин, 32 орудия, склад боеприпасов, много винтовок и автоматов противника.</w:t>
      </w:r>
    </w:p>
    <w:p w14:paraId="68EC00B6" w14:textId="77777777" w:rsidR="00A633F1" w:rsidRPr="00640820" w:rsidRDefault="00A633F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Артиллеристы части тов. Лушникова, действующей на одном из участков Ленинградского фронта, за два дня боёв разрушили 10 дерево-земляных укреплений немцев, уничтожили 17 пулемётов и 13 миномётов противника.</w:t>
      </w:r>
    </w:p>
    <w:p w14:paraId="40E429FF" w14:textId="77777777" w:rsidR="00A633F1" w:rsidRPr="00640820" w:rsidRDefault="00A633F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Письма, найденные у убитых и пленных немецких солдат, показывают, что в Германии нарастает недовольство гитлеровской авантюристической политикой захватнических войн. Ефрейтору Адольфу Рилю пишет его отец: «...Когда я читаю твои письма, сердце моё обливается кровью. Мать плачет горькими слезами и проклинает злосчастную войну. Мы не смыкаем глаз и всё думаем о тебе. Доведётся ли нам увидеться... Мы, старые, простые люди, никак не можем понять, зачем и куда вас гонят. Ради чего теперь льётся немецкая кровь?»</w:t>
      </w:r>
    </w:p>
    <w:p w14:paraId="0C2BFA59" w14:textId="77777777" w:rsidR="00A633F1" w:rsidRPr="00640820" w:rsidRDefault="00A633F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Ефрейтор Рихард Фельстер получил от жены письмо следующего содержания: «...Мне ещё никогда не жилось так тяжело, как теперь. Проклятая жизнь. Я бессильна что-либо сделать для облегчения страданий наших маленьких детей. Все с нетерпением ждут окончания безумной войны». Матильда Галерт жалуется мужу Гансу: «Нам велят терпеть и молчать. Очень тяжело терпеть без конца такие лишения, но ещё труднее молчать, когда хочется кричать и выть».</w:t>
      </w:r>
    </w:p>
    <w:p w14:paraId="0E2FF297" w14:textId="77777777" w:rsidR="00A633F1" w:rsidRPr="00640820" w:rsidRDefault="00A633F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Родители солдата Вельберфа пишут сыну: «...Только бы ты вернулся здоровый. Зачем убивают так много людей? Каждый день печатаются длинные списки убитых... У нас тоже есть жертвы. Можно было бы печатать довольно длинные списки. Английские летчики часто посещают нас. Тётя Минна пишет, что в Бохуме положе-ние скверное, а в Мюнстере все разрушено. В Кельне тоже очень плохо. В Эссене и Бремене то же самое...»</w:t>
      </w:r>
    </w:p>
    <w:p w14:paraId="607A3E8E" w14:textId="77777777" w:rsidR="00A633F1" w:rsidRPr="00640820" w:rsidRDefault="00A633F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Новыми производственными победами ознаменовали трудящиеся XXIV годовщину Великой Октябрьской социалистической революции. 7 ноября коллектив третьего промысла треста Сталиннефть (Баку) увеличил добычу нефти на 20 тонн. Бригада мастера шестого промысла тов. Алекпер Заде успешно закончила восстановление скважины, бездействовавшей более десяти лет. 9 ноября из скважин получены первые тонны нефти. Крупными производственными успехами отметили выступление товарища Сталина токари, строгальщики, литейщики Бакинского машиностроительного завода имени Берия. 6 ноября, прослушав по радио доклад товарища Сталина, токарь Василий Ермаков встал на сталинскую вахту. За три дня он выполнил 12 норм. Молодёжная бригада, руководимая одним из лучших стахановцев завода тов. Андриасовым, выполнила три нормы. 9 ноября коллектив завода, выполняя срочный заказ для фронта, работал темпами, в пятнадцать раз превышающими темпы работы в октябре. Сейчас завод получил новый срочный заказ. Рабочие обещают в шесть раз сократить сроки выполнения этого заказа.» (14830).</w:t>
      </w:r>
    </w:p>
    <w:p w14:paraId="4CBEB42A" w14:textId="77777777" w:rsidR="00A633F1" w:rsidRPr="00640820" w:rsidRDefault="00A633F1" w:rsidP="00640820">
      <w:pPr>
        <w:spacing w:after="0" w:line="240" w:lineRule="auto"/>
        <w:jc w:val="both"/>
        <w:rPr>
          <w:rFonts w:ascii="Times New Roman" w:hAnsi="Times New Roman"/>
          <w:color w:val="000000" w:themeColor="text1"/>
          <w:sz w:val="16"/>
          <w:szCs w:val="16"/>
        </w:rPr>
      </w:pPr>
    </w:p>
    <w:p w14:paraId="4B127C49" w14:textId="77777777" w:rsidR="00A633F1" w:rsidRPr="00640820" w:rsidRDefault="00A633F1"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14 ноября</w:t>
      </w:r>
      <w:r w:rsidRPr="00640820">
        <w:rPr>
          <w:rFonts w:ascii="Times New Roman" w:hAnsi="Times New Roman"/>
          <w:color w:val="000000" w:themeColor="text1"/>
          <w:sz w:val="16"/>
          <w:szCs w:val="16"/>
        </w:rPr>
        <w:t xml:space="preserve"> в 1941 году вечернее сообщение Совинформбюро:</w:t>
      </w:r>
    </w:p>
    <w:p w14:paraId="1F36CBDF" w14:textId="77777777" w:rsidR="00A633F1" w:rsidRPr="00640820" w:rsidRDefault="00A633F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14 ноября наши войска вели бои с противником на всех фронтах.</w:t>
      </w:r>
    </w:p>
    <w:p w14:paraId="1437EB34" w14:textId="77777777" w:rsidR="00A633F1" w:rsidRPr="00640820" w:rsidRDefault="00A633F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13 ноября уничтожено 38 немецких самолётов. Наши потери — 16 самолётов.</w:t>
      </w:r>
    </w:p>
    <w:p w14:paraId="4046DE6A" w14:textId="77777777" w:rsidR="00A633F1" w:rsidRPr="00640820" w:rsidRDefault="00A633F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10 по 12 ноября в Балтийском море нашими кораблями потоплено 4 транспорта противника с военным грузом, общим водоизмещением в 36 тысяч тонн. В Финском заливе на наших минах взорвалась и затонула подводная лодка противника.</w:t>
      </w:r>
    </w:p>
    <w:p w14:paraId="79CF6F02" w14:textId="77777777" w:rsidR="00A633F1" w:rsidRPr="00640820" w:rsidRDefault="00A633F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13 ноября частями нашей авиации, действующей на Западном и Южном фронтах, уничтожено 25 немецких танков, 5 бронемашин, более 300 автомашин с пехотой и военными грузами, 15 полевых орудий и 25 зенитных точек, 4 автоцистерны с горючим и до полка пехоты противника.</w:t>
      </w:r>
    </w:p>
    <w:p w14:paraId="25E28C26" w14:textId="77777777" w:rsidR="00A633F1" w:rsidRPr="00640820" w:rsidRDefault="00A633F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Лётчики одной нашей авиачасти, действующей на Южном фронте, за два дня боевых действий уничтожили 97 немецких автомашин с пехотой и военными грузами, 12 бронемашин, 3 пулемётные точки и до 600 солдат противника.</w:t>
      </w:r>
    </w:p>
    <w:p w14:paraId="7F276159" w14:textId="77777777" w:rsidR="00A633F1" w:rsidRPr="00640820" w:rsidRDefault="00A633F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Бесстрашно громят врага партизаны Смоленской области. Только за последние 5 дней партизанские отряды, действующие в районе города В., уничтожили свыше 300 солдат и офицеров, сожгли два склада с горючим, подбили 3 танка и 2 бронемашины. Бойцы отряда под командованием тов. Я. проникли на окраины города В. и уничтожили большой немецкий обоз. Партизаны из отряда товарища Б. разрушили железнодорожный мост через реку Д. В течение 7 часов происходил бой между партизанами и немецким отрядом, сопровождавшим обоз с боеприпасами. В этом бою партизаны взорвали бронемашину, 14 немецких автомашин и уничтожили около 50 солдат.</w:t>
      </w:r>
    </w:p>
    <w:p w14:paraId="24CE817B" w14:textId="77777777" w:rsidR="00A633F1" w:rsidRPr="00640820" w:rsidRDefault="00A633F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Чудовищные зверства чинят немецко-фашистские мерзавцы над жителями захваченных ими районов. В селении Починки, Калининской области, занятом немцами, фашисты запретили крестьянам выходить из деревни.</w:t>
      </w:r>
    </w:p>
    <w:p w14:paraId="2149FFC3" w14:textId="77777777" w:rsidR="00A633F1" w:rsidRPr="00640820" w:rsidRDefault="00A633F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Недавно гитлеровцы застрелили 3 подростков, возвращавшихся из леса с хворостом. Старик-крестьянин Федулов и крестьянка Тихонова умоляли немцев пощадить ребят, но были жестоко избиты и брошены раздетыми в холодный сарай. Вечером пьяные солдаты обложили сарай соломой и подожгли его. В деревне Ивановка фашистский офицер созвал крестьян на сход и потребовал, чтобы они немедленно доставили германской армии 30 тонн картофеля, 5 коров и 20 овец. Крестьяне не могли выполнить этого требования, так как ранее побывавшие в деревне немцы отняли у населения всё продовольствие и скот. Вскоре в деревню прибыл фашистский карательный отряд. Согнав всех жителей на площадь, немцы расстреляли каждого пятого, включая женщин и детей. Затем, подпалив со всех сторон деревню, отряд увёл оставшихся в живых крестьян в концентрационный лагерь.</w:t>
      </w:r>
    </w:p>
    <w:p w14:paraId="2EE59888" w14:textId="77777777" w:rsidR="00A633F1" w:rsidRPr="00640820" w:rsidRDefault="00A633F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ряде городов Норвегии немцы занимают под госпитали все новые здания ввиду увеличивающегося потока раненых с Восточного фронта. В городах Тронхейм и Намсус для госпиталей реквизировано несколько десятков частных домов. Германские власти начали массовые изъятия у жителей кроватей, одеял и подушек. Среди раненых немцев, прибывших за последние дни в Норвегию, немало солдат с обмороженными руками и ногами.» (14830).</w:t>
      </w:r>
    </w:p>
    <w:p w14:paraId="39197831" w14:textId="77777777" w:rsidR="00A633F1" w:rsidRPr="00640820" w:rsidRDefault="00A633F1" w:rsidP="00640820">
      <w:pPr>
        <w:spacing w:after="0" w:line="240" w:lineRule="auto"/>
        <w:jc w:val="both"/>
        <w:rPr>
          <w:rFonts w:ascii="Times New Roman" w:hAnsi="Times New Roman"/>
          <w:color w:val="000000" w:themeColor="text1"/>
          <w:sz w:val="16"/>
          <w:szCs w:val="16"/>
        </w:rPr>
      </w:pPr>
    </w:p>
    <w:p w14:paraId="2124C106" w14:textId="77777777" w:rsidR="00BA42ED" w:rsidRPr="00640820" w:rsidRDefault="00BA42ED" w:rsidP="00640820">
      <w:pPr>
        <w:pStyle w:val="ae"/>
        <w:spacing w:before="0" w:after="0"/>
        <w:jc w:val="both"/>
        <w:textAlignment w:val="baseline"/>
        <w:rPr>
          <w:color w:val="000000" w:themeColor="text1"/>
          <w:sz w:val="16"/>
          <w:szCs w:val="16"/>
        </w:rPr>
      </w:pPr>
      <w:r w:rsidRPr="00640820">
        <w:rPr>
          <w:color w:val="000000" w:themeColor="text1"/>
          <w:sz w:val="16"/>
          <w:szCs w:val="16"/>
        </w:rPr>
        <w:t>В середине ноября 1941 боевой состав ВВС Западного фронта был реорганизован и состоял из пяти авиадивизий: 43, 47, 77, 146 и 23-й ночной. В общей сложности в их составе насчитывался 181 самолет, в том числе 81 истребитель (Як-1, ЛаГГ-3 и МиГ-3), 80 бомбардировщиков Пе-2 и 20 штурмовиков Ил-2.</w:t>
      </w:r>
    </w:p>
    <w:p w14:paraId="1A0DD920" w14:textId="77777777" w:rsidR="00BA42ED" w:rsidRPr="00640820" w:rsidRDefault="00BA42ED" w:rsidP="00640820">
      <w:pPr>
        <w:pStyle w:val="ae"/>
        <w:spacing w:before="0" w:after="0"/>
        <w:jc w:val="both"/>
        <w:textAlignment w:val="baseline"/>
        <w:rPr>
          <w:color w:val="000000" w:themeColor="text1"/>
          <w:sz w:val="16"/>
          <w:szCs w:val="16"/>
        </w:rPr>
      </w:pPr>
      <w:r w:rsidRPr="00640820">
        <w:rPr>
          <w:color w:val="000000" w:themeColor="text1"/>
          <w:sz w:val="16"/>
          <w:szCs w:val="16"/>
        </w:rPr>
        <w:t>Ил-2, то они были разбросаны по трем частям и, естественно, не могли существенно влиять на ход боевых действий. Штурмовики, как правило, действовали парами, иногда четверками, по сути нанося разрозненные точечные удары по противнику. Территориально 47-я ад базировалась в районе Тушино к северо-западу от Москвы, 77-я ад к югу от столицы на аэродромах Власьево, Подольск и Степыгино. «Части» 43-й и 146-й авиадивизий находились соответственно в Раменском и Егорьевске, а ночные бомбардировщики 23-й ад в Тейково, Борисовском и Добрынинском к востоку от Москвы. Следовательно, 12 Ил-2 действовали непосредственно на фронте перед столицей, остальные восемь против наступающей с юга 2-й танковой армии Гудериана.</w:t>
      </w:r>
    </w:p>
    <w:p w14:paraId="204F6137" w14:textId="77777777" w:rsidR="00BA42ED" w:rsidRPr="00640820" w:rsidRDefault="00BA42ED" w:rsidP="00640820">
      <w:pPr>
        <w:pStyle w:val="ae"/>
        <w:spacing w:before="0" w:after="0"/>
        <w:jc w:val="both"/>
        <w:textAlignment w:val="baseline"/>
        <w:rPr>
          <w:color w:val="000000" w:themeColor="text1"/>
          <w:sz w:val="16"/>
          <w:szCs w:val="16"/>
        </w:rPr>
      </w:pPr>
      <w:r w:rsidRPr="00640820">
        <w:rPr>
          <w:color w:val="000000" w:themeColor="text1"/>
          <w:sz w:val="16"/>
          <w:szCs w:val="16"/>
        </w:rPr>
        <w:t>Основными целями авиаударов были автоколонны, мотомехколонны, обозы (повозки), пехота и аэродромы люфтваффе. Учитывая ограниченное количество ударных самолетов, командование ВВС практиковало совместные действия бомбардировщиков и штурмовиков по одной и той же цели с интервалом в 3–5 минут. При этом первыми сбрасывали бомбы Пе-2, затем уже на небольшой высоте появлялись Илы. Типичной операцией такого рода стал удар по немецкой танковой колонне в районе Солнечногорска 25 ноября. По донесениям летчиков, в результате комбинированного удара было выведено из строя и уничтожено до 25 танков, 60 автомашин, 5 орудий, 10 повозок с боеприпасами, 12 мотоциклов и до роты пехоты.</w:t>
      </w:r>
    </w:p>
    <w:p w14:paraId="2051447D" w14:textId="77777777" w:rsidR="00BA42ED" w:rsidRPr="00640820" w:rsidRDefault="00BA42ED" w:rsidP="00640820">
      <w:pPr>
        <w:pStyle w:val="ae"/>
        <w:spacing w:before="0" w:after="0"/>
        <w:jc w:val="both"/>
        <w:textAlignment w:val="baseline"/>
        <w:rPr>
          <w:iCs/>
          <w:color w:val="000000" w:themeColor="text1"/>
          <w:sz w:val="16"/>
          <w:szCs w:val="16"/>
          <w:bdr w:val="none" w:sz="0" w:space="0" w:color="auto" w:frame="1"/>
        </w:rPr>
      </w:pPr>
      <w:r w:rsidRPr="00640820">
        <w:rPr>
          <w:iCs/>
          <w:color w:val="000000" w:themeColor="text1"/>
          <w:sz w:val="16"/>
          <w:szCs w:val="16"/>
          <w:bdr w:val="none" w:sz="0" w:space="0" w:color="auto" w:frame="1"/>
        </w:rPr>
        <w:t>«Кроме действий по наземным войскам противника, на авиацию фронта возлагалась задача, совместными действиями с авиацией Главного командования и ПВО города Москвы нейтрализовать действия авиации противника, добиваясь при этом полного господства в воздухе, — сообщалось в отчете о боевых действиях ВВС ЗФ . — Для осуществления этой задачи был разработан план уничтожения авиации противника на ее аэродромах и в воздухе… Только за ноябрь авиацией фронта в процессе выполнения этой задачи на аэродромах противника было уничтожено до 50 самолетов различных систем»[30].</w:t>
      </w:r>
    </w:p>
    <w:p w14:paraId="68BD2A27" w14:textId="77777777" w:rsidR="00BA42ED" w:rsidRPr="00640820" w:rsidRDefault="00BA42ED" w:rsidP="00640820">
      <w:pPr>
        <w:pStyle w:val="ae"/>
        <w:spacing w:before="0" w:after="0"/>
        <w:jc w:val="both"/>
        <w:textAlignment w:val="baseline"/>
        <w:rPr>
          <w:color w:val="000000" w:themeColor="text1"/>
          <w:sz w:val="16"/>
          <w:szCs w:val="16"/>
        </w:rPr>
      </w:pPr>
      <w:r w:rsidRPr="00640820">
        <w:rPr>
          <w:color w:val="000000" w:themeColor="text1"/>
          <w:sz w:val="16"/>
          <w:szCs w:val="16"/>
        </w:rPr>
        <w:t>К началу декабря активность люфтваффе на Московском направлении действительно заметно снизилась. Однако связано это было по большей части с отводом ряда подразделений в тыл на отдых и переформирование, а также с неблагоприятными погодными условиями. Ежедневно постами наблюдения отмечалось не более 50 самолето-пролетов вражеской авиации. Всего до начала декабря было потеряно три Ил-2 (19522).</w:t>
      </w:r>
    </w:p>
    <w:p w14:paraId="3C070398" w14:textId="77777777" w:rsidR="00BA42ED" w:rsidRPr="00640820" w:rsidRDefault="00BA42ED" w:rsidP="00640820">
      <w:pPr>
        <w:pStyle w:val="ae"/>
        <w:spacing w:before="0" w:after="0"/>
        <w:jc w:val="both"/>
        <w:textAlignment w:val="baseline"/>
        <w:rPr>
          <w:color w:val="000000" w:themeColor="text1"/>
          <w:sz w:val="16"/>
          <w:szCs w:val="16"/>
        </w:rPr>
      </w:pPr>
    </w:p>
    <w:p w14:paraId="7421A7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C 1 по 14 ноября ВВС под Москвой выполнили 9400 вылетов в районе Калинина, на Волоколамском, Можайском, тульском и ефремовском направлениях и для прикрытия Москвы (341,74).</w:t>
      </w:r>
    </w:p>
    <w:p w14:paraId="4A23A5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498B9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ноября 1941 ли 32 ап ВВС ЧМФ Я.М.Иванов, защищая Севастополь, на И-16 сбил два Не-111, таранив одного из них. Через три дня совершил второй таран, но погиб. Стал ГСС (438,826).</w:t>
      </w:r>
    </w:p>
    <w:p w14:paraId="02202E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7B619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14 ноября 1941 г. под Москвой из 239 фронтовых бомбардировщиков было 157 легких ночников (У-2, Р-5 и Р-Зет), то есть более 65%. Свои цели ночники атаковали поодиночно с высоты 600-800 м с различных направлений с интервалом три - пять минут. На подходе летчик убирал газ и планировал до момента сброса бомб. За ночь совершали до пяти-шеети вылетов. Дабы упорядочить применение легких ночных бомбардировщиков, командующий ВВС Западного фронта 18 ноября утвердил указания "О ведении боевых действий на самолетах У-2, Р-5 и И -15". Кроме уже привычных приемов в них упоминались ночные штурмовые действия И-15 с лидерами Р-5. </w:t>
      </w:r>
    </w:p>
    <w:p w14:paraId="0FF4EC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обшей сложности в битве под Москвой на Западном и Калининском фронтах принимали участие восемь полков на Р-5. В качестве легкого бомбардировщика Р-5 имел ряд преимуществ перед более распространенным У-2. Это, во-первых, дальность. Радиус действия Р-5 с бомбовой нагрузкой 400 кг превышал 300 км. Обычно брали четыре бомбы по 100 кг, или восемь по 50 кг плюс осветительные, или две "сотки" и две кассеты с мелкими осколочными бомбами (по 25-30 штук в каждой). Во-вторых, Р-5 существенно превосходил У-2 по скорости. В-третьих, в отличие от У-2, он имел штатное стрелковое вооружение, которое частенько пускали в ход и для защиты от немецких ночных истребителей, и для обстрела наземных целей. Так, осенью 1941 г. под Ростовом штурман А. Холостых из 719-го нлбап, отстреливаясь, сбил ВГ 109. 3 ноября того же года П-5 пилота Н.Я. Максимова был атакован сразу тремя ВГ 109 и подожжен. Ответным огнем техник Толокнов сбил один из немецких истребителей. Нашему летчику удалось посадить горящий биплан. Был даже случай, когда Р-5 сам атаковал пару бомбардировщиков </w:t>
      </w:r>
      <w:r w:rsidRPr="00640820">
        <w:rPr>
          <w:rFonts w:ascii="Times New Roman" w:hAnsi="Times New Roman"/>
          <w:color w:val="000000" w:themeColor="text1"/>
          <w:sz w:val="16"/>
          <w:szCs w:val="16"/>
          <w:lang w:val="en-US"/>
        </w:rPr>
        <w:t>Ju</w:t>
      </w:r>
      <w:r w:rsidRPr="00640820">
        <w:rPr>
          <w:rFonts w:ascii="Times New Roman" w:hAnsi="Times New Roman"/>
          <w:color w:val="000000" w:themeColor="text1"/>
          <w:sz w:val="16"/>
          <w:szCs w:val="16"/>
        </w:rPr>
        <w:t xml:space="preserve"> 88. заходивших на эшелон, стоявший на путях станции Хитровск. Это произошло в августе 1941 г. Один "Юнкере" ушел с горящим мотором, второй также отказался от бомбометания и последовал за ним.</w:t>
      </w:r>
    </w:p>
    <w:p w14:paraId="422C3D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Из-за недостатка современной техники Р-5 вынужденно продолжали использовать как ближние разведчики, стараясь выпускать их только в плохую погоду или по ночам. Такие полеты совершались в Карелии, а также во время битвы под Москвой в районах Малоярославца, Можайска. Волоколамска, Калуги. Подобным образом трофейные Р-5 применялись и немцами. В сентябре 1941 г. поступали сообщения о ведении ими разведки под покровом ночи или при густой облачности (12034).</w:t>
      </w:r>
    </w:p>
    <w:p w14:paraId="36515A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4ECB121" w14:textId="77777777" w:rsidR="0065114D" w:rsidRPr="00640820" w:rsidRDefault="0065114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ночь на 14 ноября 1941 бомбежка Ленинграда продолжалась более 14 часов. В ночь на 19 ноября немцы сбросили более 500 фугасных и 1500 за</w:t>
      </w:r>
      <w:r w:rsidRPr="00640820">
        <w:rPr>
          <w:rFonts w:ascii="Times New Roman" w:hAnsi="Times New Roman"/>
          <w:color w:val="0070C0"/>
          <w:sz w:val="16"/>
          <w:szCs w:val="16"/>
        </w:rPr>
        <w:softHyphen/>
        <w:t>жигательных бомб. Налёты производились выше потолка боевого подъёма аэростатов загражде</w:t>
      </w:r>
      <w:r w:rsidRPr="00640820">
        <w:rPr>
          <w:rFonts w:ascii="Times New Roman" w:hAnsi="Times New Roman"/>
          <w:color w:val="0070C0"/>
          <w:sz w:val="16"/>
          <w:szCs w:val="16"/>
        </w:rPr>
        <w:softHyphen/>
        <w:t>ния на высоте 5000-6000 м (20120).</w:t>
      </w:r>
    </w:p>
    <w:p w14:paraId="5753E8A6" w14:textId="77777777" w:rsidR="0065114D" w:rsidRPr="00640820" w:rsidRDefault="0065114D" w:rsidP="00640820">
      <w:pPr>
        <w:spacing w:after="0" w:line="240" w:lineRule="auto"/>
        <w:jc w:val="both"/>
        <w:rPr>
          <w:rFonts w:ascii="Times New Roman" w:hAnsi="Times New Roman"/>
          <w:color w:val="0070C0"/>
          <w:sz w:val="16"/>
          <w:szCs w:val="16"/>
        </w:rPr>
      </w:pPr>
    </w:p>
    <w:p w14:paraId="491101D8" w14:textId="77777777" w:rsidR="0065114D" w:rsidRPr="00640820" w:rsidRDefault="0065114D" w:rsidP="00640820">
      <w:pPr>
        <w:pStyle w:val="ae"/>
        <w:shd w:val="clear" w:color="auto" w:fill="FFFFFF"/>
        <w:spacing w:before="0" w:after="0"/>
        <w:jc w:val="both"/>
        <w:textAlignment w:val="baseline"/>
        <w:rPr>
          <w:color w:val="0070C0"/>
          <w:sz w:val="16"/>
          <w:szCs w:val="16"/>
        </w:rPr>
      </w:pPr>
      <w:r w:rsidRPr="00640820">
        <w:rPr>
          <w:color w:val="0070C0"/>
          <w:sz w:val="16"/>
          <w:szCs w:val="16"/>
        </w:rPr>
        <w:t>14 ноября 1941 года — под деревней Сарожа (недалеко от Тихвина) при защите штаба Северной группы 4-й армии были впервые применены «зенитки» Баранова - 12-зарядную установку основе штатных авиационных установок типа «Флейта». В качестве снарядов применялись штатные М-8. В результате был сбит немецкий бомбардировщик, причём наводчиком одной из установок выступил сам изобретатель (19941).</w:t>
      </w:r>
    </w:p>
    <w:p w14:paraId="2C8097A2" w14:textId="77777777" w:rsidR="0065114D" w:rsidRPr="00640820" w:rsidRDefault="0065114D" w:rsidP="00640820">
      <w:pPr>
        <w:pStyle w:val="ae"/>
        <w:shd w:val="clear" w:color="auto" w:fill="FFFFFF"/>
        <w:spacing w:before="0" w:after="0"/>
        <w:jc w:val="both"/>
        <w:textAlignment w:val="baseline"/>
        <w:rPr>
          <w:color w:val="0070C0"/>
          <w:sz w:val="16"/>
          <w:szCs w:val="16"/>
        </w:rPr>
      </w:pPr>
    </w:p>
    <w:p w14:paraId="6A1689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ноября 1941 КА контратаковала под Москвой (2260).</w:t>
      </w:r>
    </w:p>
    <w:p w14:paraId="7D9772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6015B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ноября 1941 в Харькове в д. N 17 по ул. Дзержинского по радиокоманде, поданной с Воронежской радиостанции, взорвали радиофугас, установленные диверсионной группой п И.Г.Старинова. Убили Нач. гарнизона г-м фон Браун и около 20 солдат и офицеров. Это было одно из первых применений радиофугасов (3397,398).</w:t>
      </w:r>
    </w:p>
    <w:p w14:paraId="6D2830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9CC3C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ноября 1941 г. Л-2, посланная коман</w:t>
      </w:r>
      <w:r w:rsidRPr="00640820">
        <w:rPr>
          <w:rFonts w:ascii="Times New Roman" w:hAnsi="Times New Roman"/>
          <w:color w:val="000000" w:themeColor="text1"/>
          <w:sz w:val="16"/>
          <w:szCs w:val="16"/>
        </w:rPr>
        <w:softHyphen/>
        <w:t>дованием КБФ форсировать Финский залив в надводном положе</w:t>
      </w:r>
      <w:r w:rsidRPr="00640820">
        <w:rPr>
          <w:rFonts w:ascii="Times New Roman" w:hAnsi="Times New Roman"/>
          <w:color w:val="000000" w:themeColor="text1"/>
          <w:sz w:val="16"/>
          <w:szCs w:val="16"/>
        </w:rPr>
        <w:softHyphen/>
        <w:t>нии погибла в первом же боевом походе. Гибель лодки, очевидно наступила только после третьего подрыва на мине. Из ее героического экипажа спаслись всего три человека (3898).</w:t>
      </w:r>
    </w:p>
    <w:p w14:paraId="6B3DEA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15F515F" w14:textId="77777777" w:rsidR="00A633F1" w:rsidRPr="00640820" w:rsidRDefault="00A633F1"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14 ноября</w:t>
      </w:r>
      <w:r w:rsidRPr="00640820">
        <w:rPr>
          <w:rFonts w:ascii="Times New Roman" w:hAnsi="Times New Roman"/>
          <w:color w:val="000000" w:themeColor="text1"/>
          <w:sz w:val="16"/>
          <w:szCs w:val="16"/>
        </w:rPr>
        <w:t xml:space="preserve"> в 1941 году в оккупированном немцами Харькове в доме № 17 по улице Ф.Э.Дзержинского по радиокоманде, поданной с Воронежской радиовещательной станции, взорван радиофугас, установленный диверсионной группой полковника И.Г.Старинова. Техническую часть операции обеспечивали инженеры А.В.Беспамятнов и Ф.С.Коржов. В результате взрыва убит начальник гарнизона генерал-майор фон Браун и около 20 солдат и офицеров. Одно из первых применений радиофугасов (14830).</w:t>
      </w:r>
    </w:p>
    <w:p w14:paraId="00C1818F" w14:textId="77777777" w:rsidR="00A633F1" w:rsidRPr="00640820" w:rsidRDefault="00A633F1" w:rsidP="00640820">
      <w:pPr>
        <w:spacing w:after="0" w:line="240" w:lineRule="auto"/>
        <w:jc w:val="both"/>
        <w:rPr>
          <w:rFonts w:ascii="Times New Roman" w:hAnsi="Times New Roman"/>
          <w:color w:val="000000" w:themeColor="text1"/>
          <w:sz w:val="16"/>
          <w:szCs w:val="16"/>
        </w:rPr>
      </w:pPr>
    </w:p>
    <w:p w14:paraId="1A93E879"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374A332A"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499A2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ноября 1941 года было отправлено ЛИЧНОЕ ПОСЛАНИЕ И. СТАЛИНА г-ну РУЗВЕЛЬТУ</w:t>
      </w:r>
    </w:p>
    <w:p w14:paraId="050ECC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Ваше послание с сообщением о благоприятном разрешении вопроса о поставках медицинских материалов Американским Красным Крестом получено мною 11 ноября.</w:t>
      </w:r>
    </w:p>
    <w:p w14:paraId="23C56F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вопросу об установлении организационных форм сотрудничества между обществами Красного Креста обеих наших стран у Советского Правительства нет возражений, при этом имеется в виду, что это сотрудничество будет организовано в соответствии с обменом писем, текст которых был согласован в начале ноября между представителями Красного Креста обеих стран в г. Куйбышеве.</w:t>
      </w:r>
    </w:p>
    <w:p w14:paraId="6860DA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СТАЛИН (7430).</w:t>
      </w:r>
    </w:p>
    <w:p w14:paraId="66AB7E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C277755"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7119D277"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6AC103A" w14:textId="77777777" w:rsidR="00A633F1" w:rsidRPr="00640820" w:rsidRDefault="00A633F1"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14 ноября</w:t>
      </w:r>
      <w:r w:rsidRPr="00640820">
        <w:rPr>
          <w:rFonts w:ascii="Times New Roman" w:hAnsi="Times New Roman"/>
          <w:color w:val="000000" w:themeColor="text1"/>
          <w:sz w:val="16"/>
          <w:szCs w:val="16"/>
        </w:rPr>
        <w:t xml:space="preserve"> в 1941 году в Средиземном море немецкой подлодкой U-81 был потоплен британский авианосец "Арк Роял" (14830).</w:t>
      </w:r>
    </w:p>
    <w:p w14:paraId="11F73141" w14:textId="77777777" w:rsidR="00A633F1" w:rsidRPr="00640820" w:rsidRDefault="00A633F1" w:rsidP="00640820">
      <w:pPr>
        <w:spacing w:after="0" w:line="240" w:lineRule="auto"/>
        <w:jc w:val="both"/>
        <w:rPr>
          <w:rFonts w:ascii="Times New Roman" w:hAnsi="Times New Roman"/>
          <w:color w:val="000000" w:themeColor="text1"/>
          <w:sz w:val="16"/>
          <w:szCs w:val="16"/>
        </w:rPr>
      </w:pPr>
    </w:p>
    <w:p w14:paraId="5329363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ноября 1941 английские десантники совершили неудачную попытку захвата немецкого генерала Э. Роммеля в его штабе в Ливии (в момент операции Роммель был в Риме) (4962).</w:t>
      </w:r>
    </w:p>
    <w:p w14:paraId="6F11F79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54D9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ноября 1941 в Вашингтоне начались американо-японские переговоры (2238,8).</w:t>
      </w:r>
    </w:p>
    <w:p w14:paraId="152584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B62EABB"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7CD3E31E"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7BCF8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ноября 1941 Нач. 10 ГУ ГУ ВВС Бибиков писал Зам. НКАП П.Воронину письмо N 198474с о том, что по заключению НИП АВ ВВС ракетная установка под РС-82 с возможностью перехода под РС-132 на Су-2 полигонные испытания выдержала и предложил внедрить их (1635,127).</w:t>
      </w:r>
    </w:p>
    <w:p w14:paraId="578D715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заключению НИИ АВ ВВС Красной Армии ракетная установка под РС-82 с возможностью перехода на РС-132 на самолете Су-2, полигонные испытания вадержала.</w:t>
      </w:r>
    </w:p>
    <w:p w14:paraId="6842F81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результате испытаний ракетного вооружения самолета Су-2 установлено:</w:t>
      </w:r>
    </w:p>
    <w:p w14:paraId="6C356FF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Стрельба ракетными снарядами калибра 82 мм и 132 мм с с-та Су-2 возможна как с горизонтального полета, так и с планирования под углами до 30°.</w:t>
      </w:r>
    </w:p>
    <w:p w14:paraId="591615A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Прочность узлов крепящих РО к самоле</w:t>
      </w:r>
      <w:r w:rsidRPr="00640820">
        <w:rPr>
          <w:rFonts w:ascii="Times New Roman" w:hAnsi="Times New Roman"/>
          <w:color w:val="000000" w:themeColor="text1"/>
          <w:sz w:val="16"/>
          <w:szCs w:val="16"/>
        </w:rPr>
        <w:softHyphen/>
        <w:t>ту вполне достаточная.</w:t>
      </w:r>
    </w:p>
    <w:p w14:paraId="3F48775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Газовая струя, выходящая из сопла ра</w:t>
      </w:r>
      <w:r w:rsidRPr="00640820">
        <w:rPr>
          <w:rFonts w:ascii="Times New Roman" w:hAnsi="Times New Roman"/>
          <w:color w:val="000000" w:themeColor="text1"/>
          <w:sz w:val="16"/>
          <w:szCs w:val="16"/>
        </w:rPr>
        <w:softHyphen/>
        <w:t>кетного снаряда разрушительного действия на плоскости, рули управления самолева не произво</w:t>
      </w:r>
      <w:r w:rsidRPr="00640820">
        <w:rPr>
          <w:rFonts w:ascii="Times New Roman" w:hAnsi="Times New Roman"/>
          <w:color w:val="000000" w:themeColor="text1"/>
          <w:sz w:val="16"/>
          <w:szCs w:val="16"/>
        </w:rPr>
        <w:softHyphen/>
        <w:t>дит.</w:t>
      </w:r>
    </w:p>
    <w:p w14:paraId="5A17F54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целях усиления огневой мощи самолета Су-2 прошу Вас дать указание:</w:t>
      </w:r>
    </w:p>
    <w:p w14:paraId="6428FA4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 Главному конструктору завода № 289 тов. СУХОМУ передать заводу № 135 чертеки на ра</w:t>
      </w:r>
      <w:r w:rsidRPr="00640820">
        <w:rPr>
          <w:rFonts w:ascii="Times New Roman" w:hAnsi="Times New Roman"/>
          <w:color w:val="000000" w:themeColor="text1"/>
          <w:sz w:val="16"/>
          <w:szCs w:val="16"/>
        </w:rPr>
        <w:softHyphen/>
        <w:t>кетную уст шов ку под РС-82 с внесенными в них изменениями по резул ьтамам полигонных испытаний.</w:t>
      </w:r>
    </w:p>
    <w:p w14:paraId="131782E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Директору завода № 135 тов. КУЗИНУ - с 1 ноября с.г. ввести ракетную установку под РС-82 в серию и выпускать все самолеты Су-2 оборудованные этими установками.</w:t>
      </w:r>
    </w:p>
    <w:p w14:paraId="0806192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 Вашем решении по этому вопросу прошу сообщить (1635,127).</w:t>
      </w:r>
    </w:p>
    <w:p w14:paraId="6CFFFEA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DA29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ноября 1941 г. тов. Исаев через бригинженера тов. Селезнева передал мне по прямому проводу из Москвы следующее: "По прибытии самолетов в войсковую часть, инженерно-технический состав дивизии и полка к испытаниям привлечен не был.</w:t>
      </w:r>
    </w:p>
    <w:p w14:paraId="536F9C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личной беседы с командиром и комиссаром дивизии и инженером по эксплуатации и вооружению выяснил:</w:t>
      </w:r>
    </w:p>
    <w:p w14:paraId="7BCB5529" w14:textId="77777777" w:rsidR="00165A9C" w:rsidRPr="00640820" w:rsidRDefault="00165A9C" w:rsidP="00640820">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Первый самолет ЛаГГ-3, выходя из воздушного боя, вошел в крутое пикирование и при посадке на аэродром развалился, произошел излом фюзеляжа по кабине летчика. Мотор и самолет отправлены в Москву на ремонт, пушка - в ОКБ-15. </w:t>
      </w:r>
    </w:p>
    <w:p w14:paraId="428F1263" w14:textId="77777777" w:rsidR="00165A9C" w:rsidRPr="00640820" w:rsidRDefault="00165A9C" w:rsidP="00640820">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Второй самолет не вернулся с боевого задания 10.10.1941 г. Данных о судьбе самолета и летчика нет. </w:t>
      </w:r>
    </w:p>
    <w:p w14:paraId="05C129A0" w14:textId="77777777" w:rsidR="00165A9C" w:rsidRPr="00640820" w:rsidRDefault="00165A9C" w:rsidP="00640820">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Третий самолет после воздушного боя садился вне аэродрома. При посадке произошел излом фюзеляжа и носовой части. Мотор и пушка доставлены на завод № 24, где находятся и сейчас; планер уничтожен. </w:t>
      </w:r>
    </w:p>
    <w:p w14:paraId="5E668171" w14:textId="77777777" w:rsidR="00165A9C" w:rsidRPr="00640820" w:rsidRDefault="00165A9C" w:rsidP="00640820">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Группа Шпитального, проводившая испытания пушек, выехала из соединения после того, как не вернулся второй самолет (10.10.1941 г.). </w:t>
      </w:r>
    </w:p>
    <w:p w14:paraId="1D80AD3C" w14:textId="77777777" w:rsidR="00165A9C" w:rsidRPr="00640820" w:rsidRDefault="00165A9C" w:rsidP="00640820">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Самолеты использовались только по воздушным целям, в общей сложности этой группой сбито 6-7 самолетов противника. </w:t>
      </w:r>
    </w:p>
    <w:p w14:paraId="6C82A0D3" w14:textId="77777777" w:rsidR="00165A9C" w:rsidRPr="00640820" w:rsidRDefault="00165A9C" w:rsidP="00640820">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отзыву командования, боекомплект 20 снарядов вполне достаточен, серьезных отказов в работе пушки не было, в эксплуатации она не сложна, жалоб и особых замечаний от летного состава не было".</w:t>
      </w:r>
    </w:p>
    <w:p w14:paraId="6A60AA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Судя по этому докладу, группа, испытывавшая пушки, должна была выдать материал командованию ВВС не позднее 30 октября (через 20 дней после окончания испытаний), но этого не сделала. Командование полка об окончании испытаний также не доложило. Такое положение задерживает принятие решения о серийном производстве 37-мм пушек Шпитального для ЛаГГ-3.</w:t>
      </w:r>
    </w:p>
    <w:p w14:paraId="196D4D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Прошу Вашего ходатайства перед командующим ВВС КА генерал-полковником Жигаревым о вызове Шпитального в Военный Совет ВВС КА для доклада о войсковых испытаниях" (11148).</w:t>
      </w:r>
    </w:p>
    <w:p w14:paraId="112FCB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1ACFFCD" w14:textId="77777777" w:rsidR="004673CC" w:rsidRPr="00640820" w:rsidRDefault="004673CC"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15 ноября 1941 г. Во</w:t>
      </w:r>
      <w:r w:rsidRPr="00640820">
        <w:rPr>
          <w:color w:val="000000" w:themeColor="text1"/>
          <w:sz w:val="16"/>
          <w:szCs w:val="16"/>
        </w:rPr>
        <w:softHyphen/>
        <w:t>енинженер 2-го ранга Исаев, выяснявший результа</w:t>
      </w:r>
      <w:r w:rsidRPr="00640820">
        <w:rPr>
          <w:color w:val="000000" w:themeColor="text1"/>
          <w:sz w:val="16"/>
          <w:szCs w:val="16"/>
        </w:rPr>
        <w:softHyphen/>
        <w:t>ты боевого применения пушек Ш-37 на самолетах ЛаГГ-3, в своем докладе замести</w:t>
      </w:r>
      <w:r w:rsidRPr="00640820">
        <w:rPr>
          <w:color w:val="000000" w:themeColor="text1"/>
          <w:sz w:val="16"/>
          <w:szCs w:val="16"/>
        </w:rPr>
        <w:softHyphen/>
        <w:t>телю командующего ВВС КА бригадному комисса</w:t>
      </w:r>
      <w:r w:rsidRPr="00640820">
        <w:rPr>
          <w:color w:val="000000" w:themeColor="text1"/>
          <w:sz w:val="16"/>
          <w:szCs w:val="16"/>
        </w:rPr>
        <w:softHyphen/>
        <w:t>ру Руденко отмечал, что «по прибытии самолетов в войсковую часть инженерно-технический состав дивизии и полка к испытаниям привлечен не был, по категорическому приказанию генерала тов. За</w:t>
      </w:r>
      <w:r w:rsidRPr="00640820">
        <w:rPr>
          <w:color w:val="000000" w:themeColor="text1"/>
          <w:sz w:val="16"/>
          <w:szCs w:val="16"/>
        </w:rPr>
        <w:softHyphen/>
        <w:t>харова никого из них к самолетам с этими пушками не допускали, поэтому ни инженер дивизии, ни ин</w:t>
      </w:r>
      <w:r w:rsidRPr="00640820">
        <w:rPr>
          <w:color w:val="000000" w:themeColor="text1"/>
          <w:sz w:val="16"/>
          <w:szCs w:val="16"/>
        </w:rPr>
        <w:softHyphen/>
        <w:t>женер по вооружению в испытаниях не участвова</w:t>
      </w:r>
      <w:r w:rsidRPr="00640820">
        <w:rPr>
          <w:color w:val="000000" w:themeColor="text1"/>
          <w:sz w:val="16"/>
          <w:szCs w:val="16"/>
        </w:rPr>
        <w:softHyphen/>
        <w:t>ли. Летчикам, проводившим испытание, также было дано указание никаких сведений об эксплуатации никому не давать, кроме одного Шпитального. По</w:t>
      </w:r>
      <w:r w:rsidRPr="00640820">
        <w:rPr>
          <w:color w:val="000000" w:themeColor="text1"/>
          <w:sz w:val="16"/>
          <w:szCs w:val="16"/>
        </w:rPr>
        <w:softHyphen/>
        <w:t>этому официальных документов об эксплуатации в дивизии не имеется, все эти материалы увезены группой Шпитального, проводившей испытания пу</w:t>
      </w:r>
      <w:r w:rsidRPr="00640820">
        <w:rPr>
          <w:color w:val="000000" w:themeColor="text1"/>
          <w:sz w:val="16"/>
          <w:szCs w:val="16"/>
        </w:rPr>
        <w:softHyphen/>
        <w:t>шек». По заявлению командования 43-й сад, ЛаГГ-3 с Ш-37 действовали главным образом по воздуш</w:t>
      </w:r>
      <w:r w:rsidRPr="00640820">
        <w:rPr>
          <w:color w:val="000000" w:themeColor="text1"/>
          <w:sz w:val="16"/>
          <w:szCs w:val="16"/>
        </w:rPr>
        <w:softHyphen/>
        <w:t>ным целям и сбили, по докладам летчиков, 6—7 самолетов противника, «боевой комплект в 20 пат</w:t>
      </w:r>
      <w:r w:rsidRPr="00640820">
        <w:rPr>
          <w:color w:val="000000" w:themeColor="text1"/>
          <w:sz w:val="16"/>
          <w:szCs w:val="16"/>
        </w:rPr>
        <w:softHyphen/>
        <w:t>ронов вполне достаточен, серьезных отказов в ра</w:t>
      </w:r>
      <w:r w:rsidRPr="00640820">
        <w:rPr>
          <w:color w:val="000000" w:themeColor="text1"/>
          <w:sz w:val="16"/>
          <w:szCs w:val="16"/>
        </w:rPr>
        <w:softHyphen/>
        <w:t>боте пушки не было, в эксплуатации она не сложна, жалоб и особых замечаний от летного состава нет» (17500).</w:t>
      </w:r>
    </w:p>
    <w:p w14:paraId="14DE5ADB" w14:textId="77777777" w:rsidR="004673CC" w:rsidRPr="00640820" w:rsidRDefault="004673C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1502EF1" w14:textId="77777777" w:rsidR="008B6AB5" w:rsidRPr="00640820" w:rsidRDefault="008B6AB5"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15 ноября </w:t>
      </w:r>
      <w:r w:rsidRPr="00640820">
        <w:rPr>
          <w:rFonts w:ascii="Times New Roman" w:hAnsi="Times New Roman"/>
          <w:color w:val="000000" w:themeColor="text1"/>
          <w:sz w:val="16"/>
          <w:szCs w:val="16"/>
        </w:rPr>
        <w:t>в 1941 году в авиакатастрофе на «СБ» погибли летчик-испытатель Н.Ф.Момот, бортмеханик П.И.Толстопятов и 4 пассажира (14831).</w:t>
      </w:r>
    </w:p>
    <w:p w14:paraId="6C25B3E8" w14:textId="77777777" w:rsidR="008B6AB5" w:rsidRPr="00640820" w:rsidRDefault="008B6AB5" w:rsidP="00640820">
      <w:pPr>
        <w:spacing w:after="0" w:line="240" w:lineRule="auto"/>
        <w:jc w:val="both"/>
        <w:rPr>
          <w:rFonts w:ascii="Times New Roman" w:hAnsi="Times New Roman"/>
          <w:color w:val="000000" w:themeColor="text1"/>
          <w:sz w:val="16"/>
          <w:szCs w:val="16"/>
        </w:rPr>
      </w:pPr>
    </w:p>
    <w:p w14:paraId="7D73BB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ноября 1941 Нач. штаба НИИ ВВС Вахрушев писал НКАП А.И.Ш. письмо N 3/0242 с Отчетом по ночным испытаниям Томагаук 1. Решили, что хорошо подходит (2567,176).</w:t>
      </w:r>
    </w:p>
    <w:p w14:paraId="5BF680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ABDE0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ноября 1941 вышел приказ НКАП № 1121сс:</w:t>
      </w:r>
    </w:p>
    <w:p w14:paraId="014C94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связи с эвакуацией з-да № 145 на площадь з-да № 455 согласно распоряжению Совета по эвакуации № 15221-СЭ от 3 ноября 1941:</w:t>
      </w:r>
    </w:p>
    <w:p w14:paraId="71DE61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Объединить з-ды № 455 с з-м № 145, присвоив объединенному з-ду № 145,</w:t>
      </w:r>
    </w:p>
    <w:p w14:paraId="7B50AC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З-д № 455 из числа действующих з-в исключить.</w:t>
      </w:r>
    </w:p>
    <w:p w14:paraId="60E42C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Кузнецов (1339, 9).</w:t>
      </w:r>
    </w:p>
    <w:p w14:paraId="2C94F7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9F8DB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ноября 1941 вышел приказ НКАП № 1121асс:</w:t>
      </w:r>
    </w:p>
    <w:p w14:paraId="0B1BD0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связи с эвакуацией з-да № 119:</w:t>
      </w:r>
    </w:p>
    <w:p w14:paraId="451002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З-д 119 эвакуированный в г. Горький на площади з-да 21 и Авиатехникума подчинить з-ду № 21 на правах самостоятельного филиала,</w:t>
      </w:r>
    </w:p>
    <w:p w14:paraId="1244B8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д-ру з-да № 21 Гостинцеву и д-ру филиала (з-д 119) Попову немедленно развернуть пр-во шасси на филиале в полном соответствии с ранее утвержденной программой з-ду 119.</w:t>
      </w:r>
    </w:p>
    <w:p w14:paraId="715718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Дементьев (1339, 14).</w:t>
      </w:r>
    </w:p>
    <w:p w14:paraId="354598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9FE49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ноября 1941 г. по приказу № 1121с завод № 119 (Завод № 119 НКОП, Завод № 119 им. Г.М. Маленкова НКАП, АО «П. Ильин», Московский военно-автомобильный завод ВСНХ, Завод автомобильных запчастей «Спартак», Горьковское ПО «Гидромаш», Р-6328, Нижегородское ОАО «Гидромаш» /г. Москва ул. Пименовская, 2 (1920г.); ул. Краснопролетарская; 1-й Щемиловский пер., 16; г. Горький Сталинский р-н, ул. Интернациональная, 85/ /603022 г. Нижний Новгород пр. Гагарина, 22 тел. 78-84-44/) был подчинен заводу № 21 на правах филиала. Директор филиала- А.Ф. Попов. По приказу № 277с от 14.04.1942 г. часть несмонтированного оборудования завода № 119 передана филиалу завода № 145 в Болшево.</w:t>
      </w:r>
    </w:p>
    <w:p w14:paraId="3B626F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территории «а» в Москве был образован завод № 282 НКАП по термоизмерительным приборам.</w:t>
      </w:r>
    </w:p>
    <w:p w14:paraId="4A67F1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территория «б» сначала оставался филиал завода № 119, затем она была передана в распоряжение МАТИ для организации лабораторий и мастерских. В соответствии с пост. ГКО № 3919с от 13.08.1943 г. и приказом НКАП № 532с от 3.09.1943 г. на площадке по 1-му Щемиловскому пер., 16 в 10.1943 г. организован филиал завода № 149 НКАП. В соответствии с распоряжением правительства № 17703рс от 1.09.1944 г. и приказом НКАП № 570с от 20.09.1944 г. филиал преобразован в самостоятельный завод № 295 НКАП. С 1952 г. на площадке образован завод № 914 МАП.</w:t>
      </w:r>
    </w:p>
    <w:p w14:paraId="10956B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26с от 11.01.1942 г. филиал завода № 21 получил статус самостоятельного завода № 119 НКАП в системе 2ГУ. В распоряжение завода передана площадка филиала № 1 завода № 21 НКАП.</w:t>
      </w:r>
    </w:p>
    <w:p w14:paraId="4F4C2F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Продолжено производство шасси.</w:t>
      </w:r>
    </w:p>
    <w:p w14:paraId="38CC15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19с от 25.01.1946 г. площадка бывшего завод им. Воробьева (филиала № 1 завода № 21) освобождена заводом № 119 и передана НКМВ.</w:t>
      </w:r>
    </w:p>
    <w:p w14:paraId="086CF2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280с от 7.05.1946 г. завод передан из 2ГУ в 1ГУ, с 1951 г.- в 14ГУ, с 1953 г.- из 14ГУ во 2ГУ, с 1.05.1956 г.- из 2ГУ в 1ГУ. В соответствии с пост. СМ СССР № 713-342 от 26.06.1957 г. передан в ведение СНХ РСФСР.</w:t>
      </w:r>
    </w:p>
    <w:p w14:paraId="56A2C5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были построены производственные корпуса, начался серийный выпуск агрегатов шасси.</w:t>
      </w:r>
    </w:p>
    <w:p w14:paraId="3D7E85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1972 г. в состав завода вошло КБ «Автоприбор», проектирующее шасси.</w:t>
      </w:r>
    </w:p>
    <w:p w14:paraId="39C70C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1993 г. предприятие совместно с немецкой МВВ выиграло конкурс на создание шасси для европейского многоразового космического корабля «Гермес». В 2000-е  г. изготавливало титановые блоки для системы управления спойлерами А-380. Была проведена подготовка производства передней опоры шасси для А-350. Для этого был куплен станок глубокого сверления ТВТ (ФРГ). Для концерна «Либхерр» изготовлялись компоненты самолетов </w:t>
      </w:r>
      <w:r w:rsidRPr="00640820">
        <w:rPr>
          <w:rFonts w:ascii="Times New Roman" w:hAnsi="Times New Roman"/>
          <w:color w:val="000000" w:themeColor="text1"/>
          <w:sz w:val="16"/>
          <w:szCs w:val="16"/>
          <w:lang w:val="en-US"/>
        </w:rPr>
        <w:t>Embraer</w:t>
      </w:r>
      <w:r w:rsidRPr="00640820">
        <w:rPr>
          <w:rFonts w:ascii="Times New Roman" w:hAnsi="Times New Roman"/>
          <w:color w:val="000000" w:themeColor="text1"/>
          <w:sz w:val="16"/>
          <w:szCs w:val="16"/>
        </w:rPr>
        <w:t>-135/145, -170/175, -190; для компаний Глобал Экспресс и Агуста - АВ-139; для французской «Месье Даути» - А-340 и АТР-42.</w:t>
      </w:r>
    </w:p>
    <w:p w14:paraId="244984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2000-05 г. были приобретены: обрабатывающие центры фирм </w:t>
      </w:r>
      <w:r w:rsidRPr="00640820">
        <w:rPr>
          <w:rFonts w:ascii="Times New Roman" w:hAnsi="Times New Roman"/>
          <w:color w:val="000000" w:themeColor="text1"/>
          <w:sz w:val="16"/>
          <w:szCs w:val="16"/>
          <w:lang w:val="en-US"/>
        </w:rPr>
        <w:t>Hermle</w:t>
      </w:r>
      <w:r w:rsidRPr="00640820">
        <w:rPr>
          <w:rFonts w:ascii="Times New Roman" w:hAnsi="Times New Roman"/>
          <w:color w:val="000000" w:themeColor="text1"/>
          <w:sz w:val="16"/>
          <w:szCs w:val="16"/>
        </w:rPr>
        <w:t xml:space="preserve"> и </w:t>
      </w:r>
      <w:r w:rsidRPr="00640820">
        <w:rPr>
          <w:rFonts w:ascii="Times New Roman" w:hAnsi="Times New Roman"/>
          <w:color w:val="000000" w:themeColor="text1"/>
          <w:sz w:val="16"/>
          <w:szCs w:val="16"/>
          <w:lang w:val="en-US"/>
        </w:rPr>
        <w:t>Index</w:t>
      </w:r>
      <w:r w:rsidRPr="00640820">
        <w:rPr>
          <w:rFonts w:ascii="Times New Roman" w:hAnsi="Times New Roman"/>
          <w:color w:val="000000" w:themeColor="text1"/>
          <w:sz w:val="16"/>
          <w:szCs w:val="16"/>
        </w:rPr>
        <w:t xml:space="preserve"> (Германия), </w:t>
      </w:r>
      <w:r w:rsidRPr="00640820">
        <w:rPr>
          <w:rFonts w:ascii="Times New Roman" w:hAnsi="Times New Roman"/>
          <w:color w:val="000000" w:themeColor="text1"/>
          <w:sz w:val="16"/>
          <w:szCs w:val="16"/>
          <w:lang w:val="en-US"/>
        </w:rPr>
        <w:t>Mandelly</w:t>
      </w:r>
      <w:r w:rsidRPr="00640820">
        <w:rPr>
          <w:rFonts w:ascii="Times New Roman" w:hAnsi="Times New Roman"/>
          <w:color w:val="000000" w:themeColor="text1"/>
          <w:sz w:val="16"/>
          <w:szCs w:val="16"/>
        </w:rPr>
        <w:t xml:space="preserve"> (Италия); шлифовальный программный станок </w:t>
      </w:r>
      <w:r w:rsidRPr="00640820">
        <w:rPr>
          <w:rFonts w:ascii="Times New Roman" w:hAnsi="Times New Roman"/>
          <w:color w:val="000000" w:themeColor="text1"/>
          <w:sz w:val="16"/>
          <w:szCs w:val="16"/>
          <w:lang w:val="en-US"/>
        </w:rPr>
        <w:t>ShaudPF</w:t>
      </w:r>
      <w:r w:rsidRPr="00640820">
        <w:rPr>
          <w:rFonts w:ascii="Times New Roman" w:hAnsi="Times New Roman"/>
          <w:color w:val="000000" w:themeColor="text1"/>
          <w:sz w:val="16"/>
          <w:szCs w:val="16"/>
        </w:rPr>
        <w:t xml:space="preserve">-61 (Германия), заточной станок </w:t>
      </w:r>
      <w:r w:rsidRPr="00640820">
        <w:rPr>
          <w:rFonts w:ascii="Times New Roman" w:hAnsi="Times New Roman"/>
          <w:color w:val="000000" w:themeColor="text1"/>
          <w:sz w:val="16"/>
          <w:szCs w:val="16"/>
          <w:lang w:val="en-US"/>
        </w:rPr>
        <w:t>Walter</w:t>
      </w:r>
      <w:r w:rsidRPr="00640820">
        <w:rPr>
          <w:rFonts w:ascii="Times New Roman" w:hAnsi="Times New Roman"/>
          <w:color w:val="000000" w:themeColor="text1"/>
          <w:sz w:val="16"/>
          <w:szCs w:val="16"/>
        </w:rPr>
        <w:t xml:space="preserve"> (Германия). Термический комплекс завода оснащен шахтными печами </w:t>
      </w:r>
      <w:r w:rsidRPr="00640820">
        <w:rPr>
          <w:rFonts w:ascii="Times New Roman" w:hAnsi="Times New Roman"/>
          <w:color w:val="000000" w:themeColor="text1"/>
          <w:sz w:val="16"/>
          <w:szCs w:val="16"/>
          <w:lang w:val="en-US"/>
        </w:rPr>
        <w:t>Pegat</w:t>
      </w:r>
      <w:r w:rsidRPr="00640820">
        <w:rPr>
          <w:rFonts w:ascii="Times New Roman" w:hAnsi="Times New Roman"/>
          <w:color w:val="000000" w:themeColor="text1"/>
          <w:sz w:val="16"/>
          <w:szCs w:val="16"/>
        </w:rPr>
        <w:t xml:space="preserve"> (Польша), вакуумной печью </w:t>
      </w:r>
      <w:r w:rsidRPr="00640820">
        <w:rPr>
          <w:rFonts w:ascii="Times New Roman" w:hAnsi="Times New Roman"/>
          <w:color w:val="000000" w:themeColor="text1"/>
          <w:sz w:val="16"/>
          <w:szCs w:val="16"/>
          <w:lang w:val="en-US"/>
        </w:rPr>
        <w:t>Elterma</w:t>
      </w:r>
      <w:r w:rsidRPr="00640820">
        <w:rPr>
          <w:rFonts w:ascii="Times New Roman" w:hAnsi="Times New Roman"/>
          <w:color w:val="000000" w:themeColor="text1"/>
          <w:sz w:val="16"/>
          <w:szCs w:val="16"/>
        </w:rPr>
        <w:t xml:space="preserve"> (Польша), холодильной камерой </w:t>
      </w:r>
      <w:r w:rsidRPr="00640820">
        <w:rPr>
          <w:rFonts w:ascii="Times New Roman" w:hAnsi="Times New Roman"/>
          <w:color w:val="000000" w:themeColor="text1"/>
          <w:sz w:val="16"/>
          <w:szCs w:val="16"/>
          <w:lang w:val="en-US"/>
        </w:rPr>
        <w:t>Messer</w:t>
      </w:r>
      <w:r w:rsidRPr="00640820">
        <w:rPr>
          <w:rFonts w:ascii="Times New Roman" w:hAnsi="Times New Roman"/>
          <w:color w:val="000000" w:themeColor="text1"/>
          <w:sz w:val="16"/>
          <w:szCs w:val="16"/>
        </w:rPr>
        <w:t xml:space="preserve"> (ФРГ)</w:t>
      </w:r>
    </w:p>
    <w:p w14:paraId="336166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1989 г. имело наименование- предприятие п/я Р-6328. В 1992 г. ПО «Гидромаш» акционировано. По решению правительства № 22-р от 9.01.2004 г. вошло в перечень стратегических предприятий.</w:t>
      </w:r>
    </w:p>
    <w:p w14:paraId="3AB585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Работы (2004 г.): проектирование и изготовление взлетно-посадочных устройств </w:t>
      </w:r>
      <w:r w:rsidRPr="00640820">
        <w:rPr>
          <w:rFonts w:ascii="Times New Roman" w:hAnsi="Times New Roman"/>
          <w:color w:val="000000" w:themeColor="text1"/>
          <w:sz w:val="16"/>
          <w:szCs w:val="16"/>
          <w:lang w:val="en-US"/>
        </w:rPr>
        <w:t>JIA</w:t>
      </w:r>
      <w:r w:rsidRPr="00640820">
        <w:rPr>
          <w:rFonts w:ascii="Times New Roman" w:hAnsi="Times New Roman"/>
          <w:color w:val="000000" w:themeColor="text1"/>
          <w:sz w:val="16"/>
          <w:szCs w:val="16"/>
        </w:rPr>
        <w:t xml:space="preserve"> (шасси и гидроагрегаты); стиральные машины.</w:t>
      </w:r>
    </w:p>
    <w:p w14:paraId="60D375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(1.01.2001 г.)- 3175 чел., (2002 г.)- 4000 чел.</w:t>
      </w:r>
    </w:p>
    <w:p w14:paraId="2B4BF8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(-06-10.12.1937 г.)- А.А. Еленин, (10.12.1937-09.1938 г.-)- П.А. Антонов, (1939 г.)- А. Качеров, (12.1940-41 г.)- А.Ф. Попов, (-01.1943-06.1944 г.-)- Григорьев, (01.1946 г.)- В.А. Солонин, (50-е  г.)- А.А. Волков, (1969 г.-)- В.И. Лузянин. Гендиректор (1999 г.)- В.И. Лузянин, (-2002-10.2004 г.-)- Е.А. Живулин.</w:t>
      </w:r>
    </w:p>
    <w:p w14:paraId="1C85C7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гендиректора (2006 г.)- А.В. Лузянин. Зам. директора (06.1937 г.)- А.С. Покрас. Зам. гендиректора по маркетингу (2006 г.)- С.В. Касаткин.</w:t>
      </w:r>
    </w:p>
    <w:p w14:paraId="5355E1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(-06.1937-19.07.1938 г.)- С.А. Покрас, (19.07.1938 г.-)- А.Я. Качеров.</w:t>
      </w:r>
      <w:r w:rsidRPr="00640820">
        <w:rPr>
          <w:rFonts w:ascii="Times New Roman" w:hAnsi="Times New Roman"/>
          <w:color w:val="000000" w:themeColor="text1"/>
          <w:sz w:val="16"/>
          <w:szCs w:val="16"/>
          <w:vertAlign w:val="superscript"/>
        </w:rPr>
        <w:t>139</w:t>
      </w:r>
    </w:p>
    <w:p w14:paraId="20B2BB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автомобили НАМИ-1, «Форд-АА-НАМИ»; шасси для самолетов И-16, УТИ-4, И-29, ДБ-3, Пе- 2, И-180, УТ-3, ПС-84, Ер-2, Ил-2, ЛаГГ-3, И-240, ОКО-6, «302» (1942), ОК «Буран» (1988) (11982).</w:t>
      </w:r>
    </w:p>
    <w:p w14:paraId="03DB37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BFBAA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ноября 1941 И.о. Нач. 11 ГУ Баринов писал Зам. НКАП Кузнецову справку № 2728:</w:t>
      </w:r>
    </w:p>
    <w:p w14:paraId="50C7C7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з-д 168 (за исключением цеха, изготавливающего винты для аэросаней) эвакуируется на з-д 494. Цех размещен на з-де № 471,</w:t>
      </w:r>
    </w:p>
    <w:p w14:paraId="1B4A3B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з-д 445 прибыл на з-д 493,</w:t>
      </w:r>
    </w:p>
    <w:p w14:paraId="09D79B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голицинские планерные ремонтные мастерские, планерные ОКБ-31 и планерный цех з-да 341 ГВФ прибыли в г. Тюмень на базу Осоавиахимовских мастерских,</w:t>
      </w:r>
    </w:p>
    <w:p w14:paraId="2F714B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 ОКБ-28 прибыло и влилось в з-д 471 (1377, 23).</w:t>
      </w:r>
    </w:p>
    <w:p w14:paraId="287411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7D780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ноября 1941 года Гл. конструктором ОКБ-250, созданном в октябре 1941 на базе КБ-2, эвакуированного из Воронежа (с завода 16), был назначен Добрынин В.А., который в настоящее время является генеральным конструктором ОКБ-36.</w:t>
      </w:r>
    </w:p>
    <w:p w14:paraId="7162E5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С конца 1941 года до сентября 1943 года ОКБ-250 занималось оборудованием цехов для изготовления и сборки двигателя, постройкой испытательных стендов, изготовлением деталей и узлов и доводкой двигателя. В виду недостаточной производственной базы ОКБ-250, изготовление двигателей производилось с помощью завода № 26.</w:t>
      </w:r>
    </w:p>
    <w:p w14:paraId="7A1936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это время был отработан запуск двигателя, сняты стендовые характеристики и начата доводка двигателя на прочность, при этом на двигателе были получены все заявленные данные.</w:t>
      </w:r>
    </w:p>
    <w:p w14:paraId="34598A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Доводку двигателя сильно тормозили недостаточное количество двигателей и недостаточная производственная база ОКБ.</w:t>
      </w:r>
    </w:p>
    <w:p w14:paraId="6A2DE8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расширения производственной базы с целью ускорения изготовления двигателя и его доводки, приказом НКАП за № 538сс от 6 сентября 1943 года ОКБ было переведено в город Рыбинск на завод № 36 (на площади занимаемые в корпусах №№ 43 и 44 до эвакуации ОКБ завода № 26).</w:t>
      </w:r>
    </w:p>
    <w:p w14:paraId="7E4911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приказом МАП за № 139сс от 19 марта 1945 года были значительно увеличены штаты, производственные площади и количество оборудования ОКБ, что позволило довести двигатель М-250 до 50 часового ресурса в первом полугодии 1946 года.</w:t>
      </w:r>
    </w:p>
    <w:p w14:paraId="5443C0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решением СМ за № 2418-1025с от 3 ноября 1946 года ОКБ занималось с конца 1946 года созданием на базе двигателя М-250 более мощного двигателя М-251ТК. Работы по двигателю М-250 во втором полугодии 1946 года были прекращены.</w:t>
      </w:r>
    </w:p>
    <w:p w14:paraId="46425A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Этот двигатель имел максимальную мощность равную 3500 л.с. ………….</w:t>
      </w:r>
    </w:p>
    <w:p w14:paraId="7A97A5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Двигатель был построен и доведен в сравнительно короткие сроки.</w:t>
      </w:r>
    </w:p>
    <w:p w14:paraId="26BC37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1947 года были проведены совместные 100-часовые заводские испытания, а в октябре 1949 года – государственные 100-часовые стендовые испытания, после госиспытаний постановлением СМ № 356-122сс от 28 января 1949 года и приказом МАП № 99сс от 7 февраля 1949 года двигателю присвоен индекс ВД-3ТК.</w:t>
      </w:r>
    </w:p>
    <w:p w14:paraId="1D9950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Двигатель ВД-3ТК успешно прошел летные испытания на самолете ТУ-4. Для обеспечения летных испытаний была изготовлена совместно с заводом № 36 малая серия двигателей в количестве 20 шт. (постановление СМ № 131-29сс от 10 января 1949 года и приказ МАП № 25сс от 13 января 1949 года).</w:t>
      </w:r>
    </w:p>
    <w:p w14:paraId="1DBEC4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решением СМ № 3929-1608 от 16 сентября 1949 года ОКБ занималось с сентября 1949 года созданием на базе двигателя ВД-3ТК еще более мощного комбинированного двигателя М-253К для дальнего высотного бомбардировщика ТУ-85 конструкции гл. конструктора Туполева А.Н.</w:t>
      </w:r>
    </w:p>
    <w:p w14:paraId="3A7454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Первый образец двигателя был собран в январе 1950 года.</w:t>
      </w:r>
    </w:p>
    <w:p w14:paraId="1BDF94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феврале 1951 года двигатель прошел государственные 100 часовые стендовые испытания и был рекомендован для запуска в малую серию.</w:t>
      </w:r>
    </w:p>
    <w:p w14:paraId="6B5F67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госиспытаний двигателю М-253К был присвоен индекс ВД-4К.</w:t>
      </w:r>
    </w:p>
    <w:p w14:paraId="460941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Одновременно с доводкой двигателя на стенде производились испытания двигателя на летающей лаборатории и на самолете ТУ-85. В процессе летных испытаний самолет ТУ-85 с двигателями ВД-4К показал рекордные по тому времени дальность и высоту полета. Двигатели показали высокие эксплуатационные качества и надежность, обеспечили длительный беспосадочный полет продолжительностью 22 часа.</w:t>
      </w:r>
    </w:p>
    <w:p w14:paraId="6C32A0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постановлением СМ № 1549-542сс от 29 марта 1952 года и приказом МАП № 356сс/ОВ от 1 апреля 1952 года ОКБ с апреля 1952 года занималось созданием мощного турбореактивного двигателя ВД-5 для дальнего высотного бомбардировщика конструкции гл. конструктора Мясищева В.М.</w:t>
      </w:r>
    </w:p>
    <w:p w14:paraId="6D4137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период с марта 1952 года по июнь 1954 года была разработана конструкция двигателя, выпущены чертежи ………….. и проведена доводка его до наработки отдельных двигателей до 100 часов.</w:t>
      </w:r>
    </w:p>
    <w:p w14:paraId="79EB17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июне 1954 года работы по двигателю ВД-5 были прекращены в виду прекращения работ по самолету, для которого он проектировался.</w:t>
      </w:r>
    </w:p>
    <w:p w14:paraId="4AF2ED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1954 года ОКБ занималось созданием следующих двигателей:</w:t>
      </w:r>
    </w:p>
    <w:p w14:paraId="64812A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постановлением СМ № 1428-642сс от 6 июля 1954 года и приказом МАП № 438 от 17 июля 1954 года ОКБ с июня 1954 года занималось созданием на базе двигателя ВД-5, нового турбореактивного двигателя ВД-7 для дальнего бомбардировщика конструкции Мясищева В.М.</w:t>
      </w:r>
    </w:p>
    <w:p w14:paraId="4A4CB8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апреле 1957 года двигатель прошел государственные 100-часовые стендовые испытания (акт комиссии от 22 июля 1957 года) и передан в серийное производство заводу № 36.</w:t>
      </w:r>
    </w:p>
    <w:p w14:paraId="7C4A37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постановлением СМ № 1605-726сс от 30 июля 1954 года и приказом МАП № 489сс/ов от 10 августа 1954 года было проведено в конце 1954 года форсирование турбореактивного двигателя ВД-5 с изменением его индекса на ВД-5Ф.</w:t>
      </w:r>
    </w:p>
    <w:p w14:paraId="465085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постановлением СМ № 1606-727сс от 30 июля 1954 года и приказом МАП № 490сс/ов от 10 августа 1954 года был произведен в конце 1954 года газодинамический расчет и разработан технический проект турбореактивного двигателя ВД-5М.</w:t>
      </w:r>
    </w:p>
    <w:p w14:paraId="1A1954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по двигателям ВД-5Ф и ВД-5М в связи с получением нового более актуального задания по созданию двигателя ВД-7М в соответствии с приказом МАП № 478сс от 25 июля 1955 года были прекращены.</w:t>
      </w:r>
    </w:p>
    <w:p w14:paraId="58BEDA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постановлением СМ № 16007-728сс от 30 июля 1954 года и приказом МАП № 468сс/ов от 10 августа 1954 года был произведен газодинамический расчет турбореактивного двигателя ВД-9.</w:t>
      </w:r>
    </w:p>
    <w:p w14:paraId="2CD040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Постановлением СМ № 1317-752сс от 19 июля 1955 года и приказом МАП № 476сс/ов от 25 июля 1955 года ОКБ было поручено создание, на базе двигателя ВД-7, мощного форсированного турбореактивного двигателя ВД-7М для самолета гл. конструктора Туполева А.Н.</w:t>
      </w:r>
    </w:p>
    <w:p w14:paraId="4C485C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1955 году была разработана конструкция, выпущены чертежи, изготовлен первый образец и начата доводка на прочность.</w:t>
      </w:r>
    </w:p>
    <w:p w14:paraId="0F0F86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настоящее время продолжается доводка двигателя на прочность на стендах ОКБ и проводятся летные испытания на летающей лаборатории и на самолете ТУ-105.</w:t>
      </w:r>
    </w:p>
    <w:p w14:paraId="61AFD3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Постановлением СМ № 713-342 от 26 июля 1957 года ОКБ при заводе № 36 реорганизовано в самостоятельную уставную организацию и наименовано: Государственное союзное ОКБ № 36 (9382).</w:t>
      </w:r>
    </w:p>
    <w:p w14:paraId="314918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C3D8179" w14:textId="77777777" w:rsidR="00165A9C" w:rsidRPr="00640820" w:rsidRDefault="00165A9C" w:rsidP="00640820">
      <w:pPr>
        <w:tabs>
          <w:tab w:val="left" w:pos="10700"/>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ноября 1941 г. в  г. Уфе на площадке завода № 384 НКАП, куда 10 октября 1941 было эвакуировано ОКБ завода № 16 гл. конструктора В.А. Добрынина и опытное производство было образовано самостоятельное ОКБ-250 НКАП под руководством В.А. Добрынина (ОКБ получило номер вне принятой системы обозначений предприятий- по марке разрабатываемого двигателя). Работы по двигателю М-250. ОКБ базировалось на части территории Протезного завода, который являлся одной из площадок объединенного завода № 26 НКАП.</w:t>
      </w:r>
    </w:p>
    <w:p w14:paraId="3E9CE7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НКАП № 538с от 6.09.1943 г. ОКБ-250 в полном составе с 1.09.1943 г. переведено в Рыбинск на завод № 36 НКАП для обеспечения доводки двигателя М-250. Размещение шло в 10.1943 г. на площадях бывшего ОКБ завода № 26. По приказу № 13с от 5.01.1944 г. ОКБ введено в состав завода № 36.</w:t>
      </w:r>
    </w:p>
    <w:p w14:paraId="2474C1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25.06.1946 г. получило название ОКБ-36-1 при заводе № 36. С 1947 г. получило название Щербаковское предприятие п/я 106 - ОКБ-36 МАП, с 1957 г.- Рыбинское предприятие п/я 106 - ОКБ-36 МАП. В 08.1957 г.- в ведении ЗГУ МАП.</w:t>
      </w:r>
    </w:p>
    <w:p w14:paraId="2E401B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 правительства от 1.04.1952 г. ОКБ выдано задание на разработку ВД-5. Пост, от 6.07.1952 г. выдано задание на разработку ВД-7. Пост. СМ СССР от 30.07.1954 г. задавалось создание на базе ВД-5 двигателей ВД-5М и ВД-5Ф, пост, от 07.1955 г. их разработка прекращена в пользу ВД-7.</w:t>
      </w:r>
    </w:p>
    <w:p w14:paraId="6C5F80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1.10.1966 г.- РКБМ (по приказу от 30.04.1966 г.), А-7970 (А-7470) (1967-69 г.), в 1984-89г,- Андроповское КБМ (АКБМ). С 1.12.1992 г.- АООТ «РКБМ», с 1996 г.- ОАО. 28.02.1997 г. влилось в ОАО «Рыбинские моторы». Численность работников (весна 1952 г.)- 1500 чел.</w:t>
      </w:r>
    </w:p>
    <w:p w14:paraId="26C3A3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(11.1941-56 г.)- В.А. Добрынин {28.05.1895-78 г.}, (1960-84 г.)- П.А. Колесов {1915-}, (1984- 88 г.)- В.И. Галигузов, (1988-97 г.)- А.С. Новиков, М.Л. Кузменко. Ген. конструктор (12.1956-60 г.)- В.А. Добрынин {28.05.1895-78 г.}, (1966 г.-)- С.А. Гаврилов {1914-83 г.}.</w:t>
      </w:r>
    </w:p>
    <w:p w14:paraId="3A52BF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Ответственный руководитель (1943-60 г.)- В.А. Добрынин, (1960-84 г.)- П.А. Колесов, (1984-88 г.)- В.И. Галигузов. Гендиректор (1994-98 г.)- А.С. Новиков.</w:t>
      </w:r>
    </w:p>
    <w:p w14:paraId="137EF2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гл. конструктора (1986 г.-)- А.С. Новиков. Зам. гл. конструктора (1944-46 г.)-  Г.С. Скубачевский, (1950- е)- Е.М. Бермант; по расчетно-исследовательским работам (1984 г.-)- А.С. Новиков. Гл. конструкторы: (1962-66 г.)- С.А. Гаврилов, (1979 г.)- А.Л. Дынкин (РД-38). Начальник КО (1950-е  г.)- В.Н. Кувыркин.</w:t>
      </w:r>
    </w:p>
    <w:p w14:paraId="083A6C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Создано: авиационные двигатели ВД-ЗТК (М-251ТК, 1948), ВД-4К (М-253К, 1952), ВД-5 (1954), ВД-7 (1957), ВД-7М (1960), ВД-19 (1963), РД-7М2 (1963), РД36-35 (1964), РД36-41 (1968), РД36-51 (1969), РД-38 для Як-38 (1980), РД-41 (1982), РД-43, РД-51, РД-600В (1988), ТВД-1500 (1991), </w:t>
      </w:r>
      <w:r w:rsidRPr="00640820">
        <w:rPr>
          <w:rFonts w:ascii="Times New Roman" w:hAnsi="Times New Roman"/>
          <w:color w:val="000000" w:themeColor="text1"/>
          <w:sz w:val="16"/>
          <w:szCs w:val="16"/>
          <w:lang w:val="en-US"/>
        </w:rPr>
        <w:t>PM</w:t>
      </w:r>
      <w:r w:rsidRPr="00640820">
        <w:rPr>
          <w:rFonts w:ascii="Times New Roman" w:hAnsi="Times New Roman"/>
          <w:color w:val="000000" w:themeColor="text1"/>
          <w:sz w:val="16"/>
          <w:szCs w:val="16"/>
        </w:rPr>
        <w:t>3-320; ТРДЦ для БПЛА 36, 36МТ (2001); судовой дизель Д65А-С, дизели для экскаваторов Д65П, Д75П; маломощный авиационный дизель ДН-200 (1991) (11982).</w:t>
      </w:r>
    </w:p>
    <w:p w14:paraId="446714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189E6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15 ноября 1941 в связи с отсутствием у обоих заводов подъемных устройств людям приходилось прилагать нечеловеческие усилия при разгрузке тяжеловесного оборудования из коробок-гондол - борта вагонов имели высоту более двух метров. С первых дней прибытия на завод в Казань вся рабочая сила завода №22 и значительная часть рабочих завода №124 использовалась на разгрузке, перевозке, установке и монтаже оборудования. Это не замедлило сказаться на темпах выпуска самолётов. С 1 по 11 ноября 1941 г. заводом №124 было собрано всего 11 Пе-2 (5764,38).</w:t>
      </w:r>
    </w:p>
    <w:p w14:paraId="6265A6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0B6D4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ноября 1941 г. по приказу № 1121сс завод (Завод № 145 НКТП, НКОП, НКАП, МАП им С.М. Кирова, Завод № 2 МАП, Государственный Опытный союзный завод № 2 МАП /г. Москва 1 -й Павелецкий пр.; ст. Безымянка пос. Красная Глинка,  г. Куйбышев) объединен с эвакуированным ранее на эту же площадку заводом № 455 НКАП в единый завод № 145 НКАП. Часть завода была эвакуирована в Свердловск, где затем на этой базе создан Свердловский завод эбонитовых изделий (далее- ЗАО «Уралэластотехника»). Поселки Красная Глинка и Управленческий в годы ВОВ включены в состав  г. Куйбышева.</w:t>
      </w:r>
    </w:p>
    <w:p w14:paraId="3100DE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Площадка эвакуированного завода со всеми сооружениями, остатками оборудования и кадров по приказу № 134м/ 84мс от 31.12.1941 г. передана заводу № 221 НКТП. Однако здесь некоторое время продолжал действовать филиал ОКБ завода № 145. Затем по приказу № 277с от 14.04.1942 г. филиал был переведен и влит в состав филиала завода № 145 в Болшево.</w:t>
      </w:r>
    </w:p>
    <w:p w14:paraId="095EDA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1942 г. часть оборудования была передана на новый завод № 455 НКАП.</w:t>
      </w:r>
    </w:p>
    <w:p w14:paraId="16EC20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По приказу № 735с от 8.12.1943 г. с завода № 145 переведена группа специалистов для усиления ОКБ завода №219 НКАП.</w:t>
      </w:r>
    </w:p>
    <w:p w14:paraId="7BA45B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 СМ СССР № 874-366сс от 17.04.1946 г. и приказом МАП № 228сс от 19.04.1946 г. завод № 145 МАП передан из 2ГУ в непосредственное ведение министра и переименован в опытный завод № 2 МАП.</w:t>
      </w:r>
    </w:p>
    <w:p w14:paraId="6B4F55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Имел вторую производственную площадку в 3,5 га в двух км от основной на территории бывших авторемонтных мастерских УОС МВД. Разработка авиационных и ракетных двигателей. В 07.1946 г. завод передан в Особое управление и преобразован в опытный. В 1946-47 г. проведена коренная реконструкция производства, заводу выделено 1064 вагона трофейного оборудования и имущества. В 1948 г. начато строительство наземной испытательной станции. В связи с упразднением Особого управления с 15.06.1949 г. завод передан в 8ГУ (приказ № 422сс от 4.06.1949 г.).</w:t>
      </w:r>
    </w:p>
    <w:p w14:paraId="5D9BF9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Работали специалисты из моторных ОТБ-1 и ОТБ-2, переведенных из Германии. Из немецких специалистов образовано 4 ОКБ. После 05.1949 г. все ОКБ объединены в одно, его начальником стал Квасов, зам. начальника- Брандлер.</w:t>
      </w:r>
    </w:p>
    <w:p w14:paraId="43B72E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1950 г. из ОКБ-16 МАП на завод переведен немецкий специалист М. Христиан для участия в создании ТВ-2. К 1953 г. все немцы отправлены в ГДР.</w:t>
      </w:r>
    </w:p>
    <w:p w14:paraId="65829B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Согласно постановления правительства от 11.07.1951 г. на заводе началась разработка двигателя ТВ-2. После катастрофы самолета «95-1» во время испытаний с двигателями 2ТВ-2Ф работы по ним были прекращены, задел по ним передан ОКБ-478 и ОКБ-19.</w:t>
      </w:r>
    </w:p>
    <w:p w14:paraId="5E8390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постановлению СМ СССР от 29.03.1952 г. и приказу МАП от 1.04.1952 г. началась разработка ТВД ТВ-16 на базе ТВ-12.</w:t>
      </w:r>
      <w:r w:rsidRPr="00640820">
        <w:rPr>
          <w:rFonts w:ascii="Times New Roman" w:hAnsi="Times New Roman"/>
          <w:color w:val="000000" w:themeColor="text1"/>
          <w:sz w:val="16"/>
          <w:szCs w:val="16"/>
          <w:vertAlign w:val="superscript"/>
        </w:rPr>
        <w:t>30</w:t>
      </w:r>
    </w:p>
    <w:p w14:paraId="784F2A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работ по опытному двигателестроению, на заводе до 1952 г. продолжалось производство разовых химических бомб УХАП-500, а с 1952 г. планировалось начать выпуск РВП-200.</w:t>
      </w:r>
    </w:p>
    <w:p w14:paraId="10309A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Пост. СМ № 533-271 от 19.02.1953 г. предписывалось передать завод в подчинение КБ-1 «для усиления работ по заказам ТГУ при СМ СССР», но это не было выполнено. В 06.1953 г. завод № 2 переименован в завод № 276 </w:t>
      </w:r>
      <w:r w:rsidRPr="00640820">
        <w:rPr>
          <w:rFonts w:ascii="Times New Roman" w:hAnsi="Times New Roman"/>
          <w:color w:val="000000" w:themeColor="text1"/>
          <w:sz w:val="16"/>
          <w:szCs w:val="16"/>
          <w:lang w:val="en-US"/>
        </w:rPr>
        <w:t>MAII</w:t>
      </w:r>
      <w:r w:rsidRPr="00640820">
        <w:rPr>
          <w:rFonts w:ascii="Times New Roman" w:hAnsi="Times New Roman"/>
          <w:color w:val="000000" w:themeColor="text1"/>
          <w:sz w:val="16"/>
          <w:szCs w:val="16"/>
        </w:rPr>
        <w:t>.</w:t>
      </w:r>
    </w:p>
    <w:p w14:paraId="3396A2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территории (1948 г.)-14,03 га; застройки (1948 г.)- 28344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производственная (1948 г.)- 16563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34D9B5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(19.01-14.07.1937 г.)- И.П. Тюкин-Косой, (14.07.1937-01.1944 г.-)- В.И. Крупнов, (-01-06.1945 г.-)- Данилевич, (1946-47 г.-)- Н.М. Олехнович. Ответственный руководитель (22.05.1950-53 г.)- Н.Д. Кузнецов.</w:t>
      </w:r>
    </w:p>
    <w:p w14:paraId="1F14DF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(-10.1940 г.)- Е.А. Рогов, (12.1940 г.-)-  Г.Т. Бучнев.</w:t>
      </w:r>
    </w:p>
    <w:p w14:paraId="7EBE7A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Технический директор (16.04.1937 г.-)- Д.Д. Коротчаев (Каратчаев).</w:t>
      </w:r>
    </w:p>
    <w:p w14:paraId="6C78D1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(-16.04.1937 г.)- В.А. Клименов, (-16.09.1937 г.)- Д.Д. Коротчаев, (31.10.1938-; 12.1940 г.-)-  Г.Т. Бучнев.</w:t>
      </w:r>
    </w:p>
    <w:p w14:paraId="7208FD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(02.1937 г.)- М.Н. Родионов, (1937-41 г.-)- И.И. Картуков, (15.04.1949-53 г.)- Н.Д. Кузнецов.</w:t>
      </w:r>
      <w:r w:rsidRPr="00640820">
        <w:rPr>
          <w:rFonts w:ascii="Times New Roman" w:hAnsi="Times New Roman"/>
          <w:color w:val="000000" w:themeColor="text1"/>
          <w:sz w:val="16"/>
          <w:szCs w:val="16"/>
          <w:vertAlign w:val="superscript"/>
        </w:rPr>
        <w:t>101</w:t>
      </w:r>
    </w:p>
    <w:p w14:paraId="5DE588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ТВД: ТВ-2,2ТВ-2Ф (1950-51), ТВ-12 (1951-53).</w:t>
      </w:r>
    </w:p>
    <w:p w14:paraId="49B953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(ВОВ) выливные авиаприборы: ВАП-1000, ВАП-500, ВАП-250 (8-В-121м), ВАП-200 (8-В- 131), УХАП-250, УХАП-200, ХАРП, ЗАП; ампульные бомбовые кассеты: АБК-1, КМБ-2 («17-1»), КМБ-Ер-2 (АБК-2), КМБ-Пе-2, АБК-3 (8-А-159), АБК-240, АБКП-500 (8-А-161), АБКП-100; ампульные кассеты: АК-1, АК- 2; противотанковый ампуломет «37-1»; авиационные механические прицелы КП-5, КПТ-5, МК-4, МФ-5; замки- держатели Д-2, Дер-31 (У-7-Ш-711), Дер-32; балки для ВАП-250, БП-50; торпедодержатели Т-18, минодержатели МД-39 (11982).</w:t>
      </w:r>
    </w:p>
    <w:p w14:paraId="65BBA8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B3BFFB4"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77CD87FC"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2E6C8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ноября 1941 г. завод № 317 (Завод № 317 ИМ. ОГПУ НКБ, Мелитопольский станкостроительный завод, п/я 57, Акмолинский насосный завод, Целиноградский насосный завод, ПК «Насосный завод» / г. Мелитополь Запорожской обл.; Казахстан  г. Акмолинск п/я 57 «Поршень» (1943-44 г.),  г. Целиноград,  г. Акмола/ /Казахстан  г. Астана ул. 50 лет Октября, 111/ (оборудование и 165 чел.) выдал первую партию боеприпасов. В 12.1942-04.1943 г. - в ведении 4ГУ НКБ, в 08.1943-09.1944 г. - в ведении 8ГУ. Имел обозначение «п/я 57» (1943 г.).</w:t>
      </w:r>
    </w:p>
    <w:p w14:paraId="0AA4F8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завода основные цехи (1944 г.): станкостроения, литейный; вспомогательные: инструментальный.</w:t>
      </w:r>
    </w:p>
    <w:p w14:paraId="75D8C2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технологического оборудования для заводов отрасли (ВОВ). В 1945 г. завод перепрофилирован на производство вакуумных насосов. В 1959 г. переименован в Акмолинский насосный завод.</w:t>
      </w:r>
    </w:p>
    <w:p w14:paraId="17B15E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(1943 г.)- 133 ед., (1944 г.)-146 ед.</w:t>
      </w:r>
    </w:p>
    <w:p w14:paraId="0A77FE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производственная (1943 г.)- 891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(1944 г.)- 2017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вспомогательная (1943 г.)- 1518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(1944 г.)- 1144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38741F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(12.1942 г.)- 723 чел.</w:t>
      </w:r>
    </w:p>
    <w:p w14:paraId="59F6D8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(-1941-04.1944 г.-)- Н.А. Муравьев.</w:t>
      </w:r>
    </w:p>
    <w:p w14:paraId="6DE8B5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механик (04.1944 г.)- Коваленко.</w:t>
      </w:r>
    </w:p>
    <w:p w14:paraId="1399E8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ППО (-04.1943-04.1944 г.-)- Лотов.</w:t>
      </w:r>
    </w:p>
    <w:p w14:paraId="127759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45-мм осколочная граната (1943), корпуса 37-мм снарядов (1944) (11982).</w:t>
      </w:r>
    </w:p>
    <w:p w14:paraId="07A88F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898B645" w14:textId="77777777" w:rsidR="00E14D28" w:rsidRPr="00640820" w:rsidRDefault="00E14D2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ноября  1941  г. Телеграмма из Новосибирского обкома ВКП(б) Томскому горкому ВКП(б)  о приостановке приема завода «Манометр»</w:t>
      </w:r>
    </w:p>
    <w:p w14:paraId="459553ED" w14:textId="77777777" w:rsidR="00E14D28" w:rsidRPr="00640820" w:rsidRDefault="00E14D2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Без решения правительства завод «Манометр» не принимать. Обкомпарт. Эльман.</w:t>
      </w:r>
    </w:p>
    <w:p w14:paraId="0CC1834B" w14:textId="77777777" w:rsidR="00E14D28" w:rsidRPr="00640820" w:rsidRDefault="00E14D2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ЦДНИ ТО. Ф.80. Оп.3 Д. 88л. Л. 85. Помета на бланке «См. Чернышев» (15485).</w:t>
      </w:r>
    </w:p>
    <w:p w14:paraId="76D67FB4" w14:textId="77777777" w:rsidR="00E14D28" w:rsidRPr="00640820" w:rsidRDefault="00E14D28" w:rsidP="00640820">
      <w:pPr>
        <w:spacing w:after="0" w:line="240" w:lineRule="auto"/>
        <w:jc w:val="both"/>
        <w:rPr>
          <w:rFonts w:ascii="Times New Roman" w:hAnsi="Times New Roman"/>
          <w:color w:val="000000" w:themeColor="text1"/>
          <w:sz w:val="16"/>
          <w:szCs w:val="16"/>
        </w:rPr>
      </w:pPr>
    </w:p>
    <w:p w14:paraId="1DEE03B8" w14:textId="77777777" w:rsidR="00E14D28" w:rsidRPr="00640820" w:rsidRDefault="00E14D2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ноября 1941 в Горьком местный комитет обороны рассмотрел вопрос о передаче Центральной гостиницы на Верхневолжской набережной для нужд особого объекта. Именно здесь, в сотне метров от нижегородского Кремля, было решено построить секретный бункер для Сталина. Для работ были привлечены инженеры и рабочие московского метростроя под общим управлением местного НКВД. Затем горкомитет обороны принял решение передать под бомбо– и газоубежища весь комплекс зданий, примыкавших к гостинице (дома №№ 3, 4, 5, 6 и 7). В дальнейшем весь квартал от площади Советской до бывшего особняка купца Рукавишникова был огорожен высоким заборам, и лишь по постукиванию кирок и лопат да выезжающим из ворот грузовикам с грунтом нижегородцы могли догадываться о размахе ведущегося здесь строительства. «Особый объект № 74» был сдан в эксплуатацию 17 сентября 1942 г. Общая площадь помещений, залегавших на глубине 36 м, составила около 1200 кв. м. Восемь кабинетов, предназначенных для самого высокого начальства, были отделаны дорогой фанерой с дубовыми накладками, карнизами и плинтусами. В бункере имелись две электростанции, автономная система воздухообеспечения, водопровод и канализация, была подведена связь. Защитно-герметичные двери гарантированно защищали от попаданий бомб и отравляющих газов (15721).</w:t>
      </w:r>
    </w:p>
    <w:p w14:paraId="4F116FE7" w14:textId="77777777" w:rsidR="00E14D28" w:rsidRPr="00640820" w:rsidRDefault="00E14D28" w:rsidP="00640820">
      <w:pPr>
        <w:spacing w:after="0" w:line="240" w:lineRule="auto"/>
        <w:jc w:val="both"/>
        <w:rPr>
          <w:rFonts w:ascii="Times New Roman" w:hAnsi="Times New Roman"/>
          <w:color w:val="000000" w:themeColor="text1"/>
          <w:sz w:val="16"/>
          <w:szCs w:val="16"/>
        </w:rPr>
      </w:pPr>
    </w:p>
    <w:p w14:paraId="6AFEC4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ноября 1941 вышло Распоряжение ГКО № 901 О передаче по ходатайству секретаря Сталинградского обкома ВКП(б) Чуянова А.С. станков с завода № 264 на завод № 221 для увеличения производства артиллерии и минометов. РГАНИР, Фонд ГКО, д. 14, лл. 99 (11012).</w:t>
      </w:r>
    </w:p>
    <w:p w14:paraId="4AC0F1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6EFD0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ноября 1941 г. первая продукция Завода № 586 НКВ /г. Красноярск/ -  зенитные пушки 61-К - были отправлены на фронт.</w:t>
      </w:r>
    </w:p>
    <w:p w14:paraId="192100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после начала войны по решению Совета по эвакуации на площадку завода эвакуированы: завод № 4 НКВ из Коломны, завод № 7 НКВ и часть завода № 232 из Ленинграда, завод № 589 из Калуги. Всего с конца октября по 3.12.1941 г. прибыло 29 эшелонов, 15.849 чел. По пр. НКВ от 6.11.1941 г. заводы № 4, № 586 и № 589 объединены в единый завод № 4 им. Ворошилова (11982).</w:t>
      </w:r>
    </w:p>
    <w:p w14:paraId="220ACC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3583BC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ноября 1941 года вышел Приказ НКБ № 631:</w:t>
      </w:r>
    </w:p>
    <w:p w14:paraId="3AF97F6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основании постановления СНК от 5 ноября 1941 года № 2187-997</w:t>
      </w:r>
    </w:p>
    <w:p w14:paraId="109A85C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Приложение № 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643896" w:rsidRPr="00640820" w14:paraId="3F1AF2AF" w14:textId="77777777" w:rsidTr="000D3BCB">
        <w:tc>
          <w:tcPr>
            <w:tcW w:w="4428" w:type="dxa"/>
          </w:tcPr>
          <w:p w14:paraId="130A6BC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Наименование заводов и строек</w:t>
            </w:r>
          </w:p>
        </w:tc>
        <w:tc>
          <w:tcPr>
            <w:tcW w:w="4428" w:type="dxa"/>
          </w:tcPr>
          <w:p w14:paraId="11D54DE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Наименование эвакуируемых заводов</w:t>
            </w:r>
          </w:p>
        </w:tc>
      </w:tr>
    </w:tbl>
    <w:p w14:paraId="07DCF3E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Гл. управление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643896" w:rsidRPr="00640820" w14:paraId="56FB34EB" w14:textId="77777777" w:rsidTr="000D3BCB">
        <w:tc>
          <w:tcPr>
            <w:tcW w:w="4428" w:type="dxa"/>
          </w:tcPr>
          <w:p w14:paraId="42858D9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635</w:t>
            </w:r>
          </w:p>
        </w:tc>
        <w:tc>
          <w:tcPr>
            <w:tcW w:w="4428" w:type="dxa"/>
          </w:tcPr>
          <w:p w14:paraId="18963EF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55 (Павлоград)</w:t>
            </w:r>
          </w:p>
        </w:tc>
      </w:tr>
      <w:tr w:rsidR="00643896" w:rsidRPr="00640820" w14:paraId="0F14940F" w14:textId="77777777" w:rsidTr="000D3BCB">
        <w:tc>
          <w:tcPr>
            <w:tcW w:w="4428" w:type="dxa"/>
          </w:tcPr>
          <w:p w14:paraId="7E2A005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Миасский</w:t>
            </w:r>
          </w:p>
        </w:tc>
        <w:tc>
          <w:tcPr>
            <w:tcW w:w="4428" w:type="dxa"/>
          </w:tcPr>
          <w:p w14:paraId="2C5D370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144 (Сталино)</w:t>
            </w:r>
          </w:p>
        </w:tc>
      </w:tr>
    </w:tbl>
    <w:p w14:paraId="2380C3B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Гл. управление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643896" w:rsidRPr="00640820" w14:paraId="2BEA88E7" w14:textId="77777777" w:rsidTr="000D3BCB">
        <w:tc>
          <w:tcPr>
            <w:tcW w:w="4428" w:type="dxa"/>
          </w:tcPr>
          <w:p w14:paraId="1DE1FDA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530-а</w:t>
            </w:r>
          </w:p>
        </w:tc>
        <w:tc>
          <w:tcPr>
            <w:tcW w:w="4428" w:type="dxa"/>
          </w:tcPr>
          <w:p w14:paraId="01CCE14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530 (ст. Железнодорожная)</w:t>
            </w:r>
          </w:p>
        </w:tc>
      </w:tr>
      <w:tr w:rsidR="00643896" w:rsidRPr="00640820" w14:paraId="57754819" w14:textId="77777777" w:rsidTr="000D3BCB">
        <w:tc>
          <w:tcPr>
            <w:tcW w:w="4428" w:type="dxa"/>
          </w:tcPr>
          <w:p w14:paraId="5F92DD4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564</w:t>
            </w:r>
          </w:p>
        </w:tc>
        <w:tc>
          <w:tcPr>
            <w:tcW w:w="4428" w:type="dxa"/>
          </w:tcPr>
          <w:p w14:paraId="2040226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512 (Люберцы)</w:t>
            </w:r>
          </w:p>
        </w:tc>
      </w:tr>
      <w:tr w:rsidR="00643896" w:rsidRPr="00640820" w14:paraId="2A3739FA" w14:textId="77777777" w:rsidTr="000D3BCB">
        <w:tc>
          <w:tcPr>
            <w:tcW w:w="4428" w:type="dxa"/>
          </w:tcPr>
          <w:p w14:paraId="495BD02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4-а</w:t>
            </w:r>
          </w:p>
        </w:tc>
        <w:tc>
          <w:tcPr>
            <w:tcW w:w="4428" w:type="dxa"/>
          </w:tcPr>
          <w:p w14:paraId="624C752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4 (Ленинград)</w:t>
            </w:r>
          </w:p>
        </w:tc>
      </w:tr>
      <w:tr w:rsidR="00643896" w:rsidRPr="00640820" w14:paraId="1E79ED80" w14:textId="77777777" w:rsidTr="000D3BCB">
        <w:tc>
          <w:tcPr>
            <w:tcW w:w="4428" w:type="dxa"/>
          </w:tcPr>
          <w:p w14:paraId="23B7F96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572</w:t>
            </w:r>
          </w:p>
        </w:tc>
        <w:tc>
          <w:tcPr>
            <w:tcW w:w="4428" w:type="dxa"/>
          </w:tcPr>
          <w:p w14:paraId="63E68B4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Заводы №№ 260, 177 и часть 4</w:t>
            </w:r>
          </w:p>
        </w:tc>
      </w:tr>
      <w:tr w:rsidR="00643896" w:rsidRPr="00640820" w14:paraId="733C71CD" w14:textId="77777777" w:rsidTr="000D3BCB">
        <w:tc>
          <w:tcPr>
            <w:tcW w:w="4428" w:type="dxa"/>
          </w:tcPr>
          <w:p w14:paraId="4698FEA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Омский</w:t>
            </w:r>
          </w:p>
        </w:tc>
        <w:tc>
          <w:tcPr>
            <w:tcW w:w="4428" w:type="dxa"/>
          </w:tcPr>
          <w:p w14:paraId="766DF42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Приспособление</w:t>
            </w:r>
          </w:p>
        </w:tc>
      </w:tr>
    </w:tbl>
    <w:p w14:paraId="70E6CC9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Гл. управление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643896" w:rsidRPr="00640820" w14:paraId="7C6B5C64" w14:textId="77777777" w:rsidTr="000D3BCB">
        <w:tc>
          <w:tcPr>
            <w:tcW w:w="4428" w:type="dxa"/>
          </w:tcPr>
          <w:p w14:paraId="6142C3B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676</w:t>
            </w:r>
          </w:p>
        </w:tc>
        <w:tc>
          <w:tcPr>
            <w:tcW w:w="4428" w:type="dxa"/>
          </w:tcPr>
          <w:p w14:paraId="595A689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Заводы №№ 59,9, 52</w:t>
            </w:r>
          </w:p>
        </w:tc>
      </w:tr>
      <w:tr w:rsidR="00643896" w:rsidRPr="00640820" w14:paraId="4C58EE7F" w14:textId="77777777" w:rsidTr="000D3BCB">
        <w:tc>
          <w:tcPr>
            <w:tcW w:w="4428" w:type="dxa"/>
          </w:tcPr>
          <w:p w14:paraId="3DC46BF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Завод № 580</w:t>
            </w:r>
          </w:p>
        </w:tc>
        <w:tc>
          <w:tcPr>
            <w:tcW w:w="4428" w:type="dxa"/>
          </w:tcPr>
          <w:p w14:paraId="336F353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Заводы №№ 101, 9</w:t>
            </w:r>
          </w:p>
        </w:tc>
      </w:tr>
    </w:tbl>
    <w:p w14:paraId="0AC2597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Гл. управление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643896" w:rsidRPr="00640820" w14:paraId="5DB88789" w14:textId="77777777" w:rsidTr="000D3BCB">
        <w:tc>
          <w:tcPr>
            <w:tcW w:w="4428" w:type="dxa"/>
          </w:tcPr>
          <w:p w14:paraId="5CEF60E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613</w:t>
            </w:r>
          </w:p>
        </w:tc>
        <w:tc>
          <w:tcPr>
            <w:tcW w:w="4428" w:type="dxa"/>
          </w:tcPr>
          <w:p w14:paraId="666577F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62 (Липецк)</w:t>
            </w:r>
          </w:p>
        </w:tc>
      </w:tr>
      <w:tr w:rsidR="00643896" w:rsidRPr="00640820" w14:paraId="2AC9C2C0" w14:textId="77777777" w:rsidTr="000D3BCB">
        <w:tc>
          <w:tcPr>
            <w:tcW w:w="4428" w:type="dxa"/>
          </w:tcPr>
          <w:p w14:paraId="0B348B2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Копейский</w:t>
            </w:r>
          </w:p>
        </w:tc>
        <w:tc>
          <w:tcPr>
            <w:tcW w:w="4428" w:type="dxa"/>
          </w:tcPr>
          <w:p w14:paraId="79CC399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258 (Осипенко)</w:t>
            </w:r>
          </w:p>
        </w:tc>
      </w:tr>
      <w:tr w:rsidR="00643896" w:rsidRPr="00640820" w14:paraId="7BF01D24" w14:textId="77777777" w:rsidTr="000D3BCB">
        <w:tc>
          <w:tcPr>
            <w:tcW w:w="4428" w:type="dxa"/>
          </w:tcPr>
          <w:p w14:paraId="19410D7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322</w:t>
            </w:r>
          </w:p>
        </w:tc>
        <w:tc>
          <w:tcPr>
            <w:tcW w:w="4428" w:type="dxa"/>
          </w:tcPr>
          <w:p w14:paraId="6FADDC7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79 (Днепропетровск)</w:t>
            </w:r>
          </w:p>
        </w:tc>
      </w:tr>
    </w:tbl>
    <w:p w14:paraId="459AF2C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Гл. управление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643896" w:rsidRPr="00640820" w14:paraId="35DD5910" w14:textId="77777777" w:rsidTr="000D3BCB">
        <w:tc>
          <w:tcPr>
            <w:tcW w:w="4428" w:type="dxa"/>
          </w:tcPr>
          <w:p w14:paraId="64608A2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606</w:t>
            </w:r>
          </w:p>
        </w:tc>
        <w:tc>
          <w:tcPr>
            <w:tcW w:w="4428" w:type="dxa"/>
          </w:tcPr>
          <w:p w14:paraId="66A07CB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510 (Ногинск)</w:t>
            </w:r>
          </w:p>
        </w:tc>
      </w:tr>
      <w:tr w:rsidR="00643896" w:rsidRPr="00640820" w14:paraId="263A1974" w14:textId="77777777" w:rsidTr="000D3BCB">
        <w:tc>
          <w:tcPr>
            <w:tcW w:w="4428" w:type="dxa"/>
          </w:tcPr>
          <w:p w14:paraId="07AE99D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Омская Трудколония </w:t>
            </w:r>
          </w:p>
        </w:tc>
        <w:tc>
          <w:tcPr>
            <w:tcW w:w="4428" w:type="dxa"/>
          </w:tcPr>
          <w:p w14:paraId="504FF36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187 (Тула)</w:t>
            </w:r>
          </w:p>
        </w:tc>
      </w:tr>
      <w:tr w:rsidR="00643896" w:rsidRPr="00640820" w14:paraId="23384028" w14:textId="77777777" w:rsidTr="000D3BCB">
        <w:tc>
          <w:tcPr>
            <w:tcW w:w="4428" w:type="dxa"/>
          </w:tcPr>
          <w:p w14:paraId="1DEF38D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 Туринский</w:t>
            </w:r>
          </w:p>
        </w:tc>
        <w:tc>
          <w:tcPr>
            <w:tcW w:w="4428" w:type="dxa"/>
          </w:tcPr>
          <w:p w14:paraId="7D64E87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Приспособление</w:t>
            </w:r>
          </w:p>
        </w:tc>
      </w:tr>
    </w:tbl>
    <w:p w14:paraId="4002074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(5673, 11-18).</w:t>
      </w:r>
    </w:p>
    <w:p w14:paraId="28DE63A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A283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ноября 1941 г. была Телеграмма из Новосибирского обкома ВКП(б) Томскому горкому ВКП(б) о приостановке приема завода «Манометр»</w:t>
      </w:r>
    </w:p>
    <w:p w14:paraId="53977F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Без решения правительства завод «Манометр» не принимать. Обкомпарт. Эльман. </w:t>
      </w:r>
    </w:p>
    <w:p w14:paraId="75F89D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ЦДНИ ТО. Ф.80. Оп.3 Д. 88л. Л. 85. Помета на бланке «См. Чернышев» (11014).</w:t>
      </w:r>
    </w:p>
    <w:p w14:paraId="5DB0B2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EB47674"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4C313B79"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7C36A0D" w14:textId="77777777" w:rsidR="008B6AB5" w:rsidRPr="00640820" w:rsidRDefault="008B6AB5"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15 ноября </w:t>
      </w:r>
      <w:r w:rsidRPr="00640820">
        <w:rPr>
          <w:rFonts w:ascii="Times New Roman" w:hAnsi="Times New Roman"/>
          <w:color w:val="000000" w:themeColor="text1"/>
          <w:sz w:val="16"/>
          <w:szCs w:val="16"/>
        </w:rPr>
        <w:t>в 1941 году утреннее сообщение Совинформбюро:</w:t>
      </w:r>
    </w:p>
    <w:p w14:paraId="3EC82713" w14:textId="77777777" w:rsidR="008B6AB5" w:rsidRPr="00640820" w:rsidRDefault="008B6AB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15 ноября наши войска вели бои с противником на всех фронтах.</w:t>
      </w:r>
    </w:p>
    <w:p w14:paraId="1F8FE024" w14:textId="77777777" w:rsidR="008B6AB5" w:rsidRPr="00640820" w:rsidRDefault="008B6AB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Лётчики авиачасти тов. Трофимова, действующей на Ленинградском фронте, за десять дней ноября уничтожили 6 вражеских танков, 15 вагонов с военными грузами, 22 зенитных орудия, 7 зенитных пулемётных установок, 10 миномётов, 5 пулемётных гнезд, 17 грузовых автомашин с боеприпасами и до трёх рот немецкой пехоты.</w:t>
      </w:r>
    </w:p>
    <w:p w14:paraId="6D968F8E" w14:textId="77777777" w:rsidR="008B6AB5" w:rsidRPr="00640820" w:rsidRDefault="008B6AB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Красноармеец-связист тов. Кузнецов, устанавливая связь с одним из батальонов полка, заметил вблизи немецкий обоз с боеприпасами. Включив аппарат в линию, тов. Кузнецов связался с командным пунктом и предложил открыть огонь по квадрату, на котором он сам находился. Меткими залпами артиллерии немецкий обоз был полностью уничтожен. Герой-связист остался невредим.</w:t>
      </w:r>
    </w:p>
    <w:p w14:paraId="440E298E" w14:textId="77777777" w:rsidR="008B6AB5" w:rsidRPr="00640820" w:rsidRDefault="008B6AB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последние дни на различных участках Западного фронта захвачены в плен большие группы фашистов. Грязные, обросшие, в лохмотьях, немцы скорее напоминают собою бродяг, чем солдат регулярной армии. Пленный ефрейтор 46 полка 30 пехотной дивизии Р.Кляус говорит: «Русская зима оказалась страшнее, чем мы думали. Тёплого обмундирования у нас нет. Мы коченеем от холода. Уже два месяца не меняли белья, не мылись. Вши заедают, появилась чесотка». Пленный старший стрелок 6 полка Ян Людвиг заявляет: «...У меня нет больше ни сил, ни желания воевать. Наша дивизия находится в непрерывных боях и ни разу не имела отдыха. Сейчас ко всем нашим невзгодам и страданиям прибавились русские холода. Это уже свыше моих сил». Ефрейтор 30 артиллерийского полка А. Карстен рассказывает, что в солдатской среде царит глухое недовольство войной. «Многие мои товарищи уже погибли,— говорит Карстен.— Ради чего они сложили свои головы? За что я воюю — не знаю. Я видел разрушенные города и горящие деревни. Тысячи людей лишились своего крова и имущества. Нам, немецким рабочим и крестьянам, эта война не нужна, ибо никому из нас она не принесёт облегчения. В нашей роте много резервистов, и все они так думают».</w:t>
      </w:r>
    </w:p>
    <w:p w14:paraId="6E5D06DF" w14:textId="77777777" w:rsidR="008B6AB5" w:rsidRPr="00640820" w:rsidRDefault="008B6AB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Рабочие, колхозники и интеллигенция Кировской области самоотверженным трудом помогают Красной Армии истреблять германских захватчиков. Коллектив завода «Кировский металлист» перевыполнил октябрьский план на 20 процентов. Директор Энского предприятия тов. Гефен за несколько дней организовал производство лака, необходимого для оборонных предприятий. Коллектив Песковского чугунолитейного завода восстановил ряд станков и пустил их в эксплоатацию. Замечательные примеры трудового героизма показывают колхозники и рабочие совхозов области. Сорок колхозов Кырчанского района перевыполнили годовые планы мясопоставок. Свыше 500 колхозов области рассчитались с государством по хлебопоставкам. Колхозники стремятся всем, чем они могут, помочь Красной Армии. Старики Костылёвского колхоза, Кильмезского района, переработали 500 овчин для пошивки полушубков для бойцов Красной Армии.» (14831).</w:t>
      </w:r>
    </w:p>
    <w:p w14:paraId="01DD947F" w14:textId="77777777" w:rsidR="008B6AB5" w:rsidRPr="00640820" w:rsidRDefault="008B6AB5" w:rsidP="00640820">
      <w:pPr>
        <w:spacing w:after="0" w:line="240" w:lineRule="auto"/>
        <w:jc w:val="both"/>
        <w:rPr>
          <w:rFonts w:ascii="Times New Roman" w:hAnsi="Times New Roman"/>
          <w:color w:val="000000" w:themeColor="text1"/>
          <w:sz w:val="16"/>
          <w:szCs w:val="16"/>
        </w:rPr>
      </w:pPr>
    </w:p>
    <w:p w14:paraId="2C968CCD" w14:textId="77777777" w:rsidR="008B6AB5" w:rsidRPr="00640820" w:rsidRDefault="008B6AB5"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15 ноября </w:t>
      </w:r>
      <w:r w:rsidRPr="00640820">
        <w:rPr>
          <w:rFonts w:ascii="Times New Roman" w:hAnsi="Times New Roman"/>
          <w:color w:val="000000" w:themeColor="text1"/>
          <w:sz w:val="16"/>
          <w:szCs w:val="16"/>
        </w:rPr>
        <w:t>в 1941 году вечернее сообщение Совинформбюро:</w:t>
      </w:r>
    </w:p>
    <w:p w14:paraId="26A464F3" w14:textId="77777777" w:rsidR="008B6AB5" w:rsidRPr="00640820" w:rsidRDefault="008B6AB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15 ноября наши войска вели бои с противником на всех фронтах.</w:t>
      </w:r>
    </w:p>
    <w:p w14:paraId="0BC18BE8" w14:textId="77777777" w:rsidR="008B6AB5" w:rsidRPr="00640820" w:rsidRDefault="008B6AB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14 ноября уничтожено 44 немецких самолёта. Наши потери — 10 самолётов.</w:t>
      </w:r>
    </w:p>
    <w:p w14:paraId="1B20FDA7" w14:textId="77777777" w:rsidR="008B6AB5" w:rsidRPr="00640820" w:rsidRDefault="008B6AB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15 ноября под Москвой сбито 4 немецких самолёта.</w:t>
      </w:r>
    </w:p>
    <w:p w14:paraId="5BAFB640" w14:textId="77777777" w:rsidR="008B6AB5" w:rsidRPr="00640820" w:rsidRDefault="008B6AB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14 ноября частями нашей авиация уничтожено 25 немецких танков, 5 бронемашин, более 300 автомашин с пехотой и военными грузами, 12 полевых орудий, несколько автоцистерн с горючим и более полка пехоты противника.</w:t>
      </w:r>
    </w:p>
    <w:p w14:paraId="7EEF9322" w14:textId="77777777" w:rsidR="008B6AB5" w:rsidRPr="00640820" w:rsidRDefault="008B6AB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Стрелковая часть тов. Горшкова, действующая на одном из участков Западного фронта, стойко обороняет пункт Т. Бойцы отбили 12 танковых атак противника, подбили много вражеских танков и уничтожили роту немецких автоматчиков. Зенитчики части тов. Бондаренко, действующие совместно с бойцами тов. Горшкова, сбили 3 немецких самолёта и прямой наводкой расстреляли 26 вражеских танков.</w:t>
      </w:r>
    </w:p>
    <w:p w14:paraId="47EC700B" w14:textId="77777777" w:rsidR="008B6AB5" w:rsidRPr="00640820" w:rsidRDefault="008B6AB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два дня боёв подразделения т.т. Шевердина и Браславца, действующие на Южном фронте, уничтожили до 2.500 итальянских солдат и захватили 15 станковых пулемётов, много винтовок, патронов и ручных гранат.</w:t>
      </w:r>
    </w:p>
    <w:p w14:paraId="54933707" w14:textId="77777777" w:rsidR="008B6AB5" w:rsidRPr="00640820" w:rsidRDefault="008B6AB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Партизанские отряды, действующие в оккупированных районах Ленинградской области, наносят фашистам чувствительные удары. Только за четыре дня, с 6 по 10 ноября, партизаны убили 8 немецких офицеров и 195 солдат, уничтожили 30 грузовых автомашин, 7 легковых машин, мотовоз и две мотодрезины. Один из партизанских отрядов взорвал железнодорожный мост и пустил под откос воинский эшелон с немецкой пехотой, следовавшей на Ленинградский фронт. Партизанский отряд тов. К. во время налёта на вражескую автоколонну уничтожил 3 грузовых машин с немецкой пехотой и 4 штабные автомашины. При этом было убито более 30 и ранено до 70 немецких солдат и офицеров. Партизанский отряд разведал место нахождения дальнобойных орудий противника и сообщил об этом нашим частям. Орудия противника были уничтожены огнём нашей артиллерии. Организовав в районе станции Н. засаду, партизаны рассеяли колонну немецкой пехоты. В результате боя было убито и ранено до 70 фашистов. Партизаны захватили 2 станковых пулемёта, 6 автоматов, пистолеты и много патронов.</w:t>
      </w:r>
    </w:p>
    <w:p w14:paraId="2EB2EA00" w14:textId="77777777" w:rsidR="008B6AB5" w:rsidRPr="00640820" w:rsidRDefault="008B6AB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результате роста актов саботажа и диверсий на предприятиях Чехословакии в стране непрерывно сокращается выпуск вооружения для немецкой армии. Предприятия Шкода в Пльзене и Градец-Карлове в октябре дали продукции значительно меньше, чем в сентябре. Часть предприятий, вырабатывающих военное снаряжение, из-за недостатка сырья работала в октябре не на полную мощность. На военном заводе в Младо-Болеславе план выпуска продукции выполнен только на 50 процентов. На работе предприятий сказывается также плохая работа железнодорожного транспорта и нехватка подвижного состава. В последнее время немцы вынуждены усилить охрану поездов, так как чехословацкие патриоты организуют крушения, засыпают песком буксы вагонов, выводят из строя паровозы. На станции Раковник германские власти арестовали несколько железнодорожных рабочих и служащих по подозрению в умышленном срыве движения поездов.» (14831).</w:t>
      </w:r>
    </w:p>
    <w:p w14:paraId="20C7CF67" w14:textId="77777777" w:rsidR="008B6AB5" w:rsidRPr="00640820" w:rsidRDefault="008B6AB5" w:rsidP="00640820">
      <w:pPr>
        <w:spacing w:after="0" w:line="240" w:lineRule="auto"/>
        <w:jc w:val="both"/>
        <w:rPr>
          <w:rFonts w:ascii="Times New Roman" w:hAnsi="Times New Roman"/>
          <w:color w:val="000000" w:themeColor="text1"/>
          <w:sz w:val="16"/>
          <w:szCs w:val="16"/>
        </w:rPr>
      </w:pPr>
    </w:p>
    <w:p w14:paraId="2C6C6E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ноября 1941 г. накануне 2-го этапа операции "Тай</w:t>
      </w:r>
      <w:r w:rsidRPr="00640820">
        <w:rPr>
          <w:rFonts w:ascii="Times New Roman" w:hAnsi="Times New Roman"/>
          <w:color w:val="000000" w:themeColor="text1"/>
          <w:sz w:val="16"/>
          <w:szCs w:val="16"/>
        </w:rPr>
        <w:softHyphen/>
        <w:t>фун" в составе ВВС Калининского и Западного фронтов дей</w:t>
      </w:r>
      <w:r w:rsidRPr="00640820">
        <w:rPr>
          <w:rFonts w:ascii="Times New Roman" w:hAnsi="Times New Roman"/>
          <w:color w:val="000000" w:themeColor="text1"/>
          <w:sz w:val="16"/>
          <w:szCs w:val="16"/>
        </w:rPr>
        <w:softHyphen/>
        <w:t xml:space="preserve">ствовало 50 Ил-2, из них 30 машин - на Западном фронте (в составе 312-го, 232-го и 62-го </w:t>
      </w:r>
      <w:r w:rsidRPr="00640820">
        <w:rPr>
          <w:rFonts w:ascii="Times New Roman" w:hAnsi="Times New Roman"/>
          <w:iCs/>
          <w:color w:val="000000" w:themeColor="text1"/>
          <w:sz w:val="16"/>
          <w:szCs w:val="16"/>
        </w:rPr>
        <w:t>шап)</w:t>
      </w:r>
      <w:r w:rsidRPr="00640820">
        <w:rPr>
          <w:rFonts w:ascii="Times New Roman" w:hAnsi="Times New Roman"/>
          <w:color w:val="000000" w:themeColor="text1"/>
          <w:sz w:val="16"/>
          <w:szCs w:val="16"/>
        </w:rPr>
        <w:t xml:space="preserve"> и 20 - на Калининском (в составе 569-го </w:t>
      </w:r>
      <w:r w:rsidRPr="00640820">
        <w:rPr>
          <w:rFonts w:ascii="Times New Roman" w:hAnsi="Times New Roman"/>
          <w:iCs/>
          <w:color w:val="000000" w:themeColor="text1"/>
          <w:sz w:val="16"/>
          <w:szCs w:val="16"/>
        </w:rPr>
        <w:t xml:space="preserve">шап). </w:t>
      </w:r>
      <w:r w:rsidRPr="00640820">
        <w:rPr>
          <w:rFonts w:ascii="Times New Roman" w:hAnsi="Times New Roman"/>
          <w:color w:val="000000" w:themeColor="text1"/>
          <w:sz w:val="16"/>
          <w:szCs w:val="16"/>
        </w:rPr>
        <w:t>Этого было явно недостаточно для эффективного противодействия 2-й, 3-й и 4-й немецким танковым группам, которые в период 15-18 ноября пере</w:t>
      </w:r>
      <w:r w:rsidRPr="00640820">
        <w:rPr>
          <w:rFonts w:ascii="Times New Roman" w:hAnsi="Times New Roman"/>
          <w:color w:val="000000" w:themeColor="text1"/>
          <w:sz w:val="16"/>
          <w:szCs w:val="16"/>
        </w:rPr>
        <w:softHyphen/>
        <w:t>шли в наступление на правом крыле Западного фронта. В этой связи широ</w:t>
      </w:r>
      <w:r w:rsidRPr="00640820">
        <w:rPr>
          <w:rFonts w:ascii="Times New Roman" w:hAnsi="Times New Roman"/>
          <w:color w:val="000000" w:themeColor="text1"/>
          <w:sz w:val="16"/>
          <w:szCs w:val="16"/>
        </w:rPr>
        <w:softHyphen/>
        <w:t>ко практиковались совместные удары бомбардировщиков и штурмовиков по одной и той же цели с интервалом 3-5 минут. При этом Ил-2, как правило, вы</w:t>
      </w:r>
      <w:r w:rsidRPr="00640820">
        <w:rPr>
          <w:rFonts w:ascii="Times New Roman" w:hAnsi="Times New Roman"/>
          <w:color w:val="000000" w:themeColor="text1"/>
          <w:sz w:val="16"/>
          <w:szCs w:val="16"/>
        </w:rPr>
        <w:softHyphen/>
        <w:t>ходили на цель после нанесения по ней удара бомбардировщиками. В этом слу</w:t>
      </w:r>
      <w:r w:rsidRPr="00640820">
        <w:rPr>
          <w:rFonts w:ascii="Times New Roman" w:hAnsi="Times New Roman"/>
          <w:color w:val="000000" w:themeColor="text1"/>
          <w:sz w:val="16"/>
          <w:szCs w:val="16"/>
        </w:rPr>
        <w:softHyphen/>
        <w:t>чае в момент удара Ил-2 противник еще был дезорганизован и не мог оказать эффективного противодействия огнем МЗА. Это позволяло "Илам" выполнять по несколько заходов на цель, добива</w:t>
      </w:r>
      <w:r w:rsidRPr="00640820">
        <w:rPr>
          <w:rFonts w:ascii="Times New Roman" w:hAnsi="Times New Roman"/>
          <w:color w:val="000000" w:themeColor="text1"/>
          <w:sz w:val="16"/>
          <w:szCs w:val="16"/>
        </w:rPr>
        <w:softHyphen/>
        <w:t>ясь ее надежного подавления. Практиковались и комбинированные удары с участием истребителей. При этом из числа истребителей формировались ударная группа и группа прикрытия. Ударная группа истребителей обеспе</w:t>
      </w:r>
      <w:r w:rsidRPr="00640820">
        <w:rPr>
          <w:rFonts w:ascii="Times New Roman" w:hAnsi="Times New Roman"/>
          <w:color w:val="000000" w:themeColor="text1"/>
          <w:sz w:val="16"/>
          <w:szCs w:val="16"/>
        </w:rPr>
        <w:softHyphen/>
        <w:t>чивала подавление расчетов ЗА и МЗА противника, а группа прикрытия - защиту от истребителей Люфтваффе. Таким образом, над целью создавались впол</w:t>
      </w:r>
      <w:r w:rsidRPr="00640820">
        <w:rPr>
          <w:rFonts w:ascii="Times New Roman" w:hAnsi="Times New Roman"/>
          <w:color w:val="000000" w:themeColor="text1"/>
          <w:sz w:val="16"/>
          <w:szCs w:val="16"/>
        </w:rPr>
        <w:softHyphen/>
        <w:t>не благоприятные условия для эффек</w:t>
      </w:r>
      <w:r w:rsidRPr="00640820">
        <w:rPr>
          <w:rFonts w:ascii="Times New Roman" w:hAnsi="Times New Roman"/>
          <w:color w:val="000000" w:themeColor="text1"/>
          <w:sz w:val="16"/>
          <w:szCs w:val="16"/>
        </w:rPr>
        <w:softHyphen/>
        <w:t>тивной работы бомбардировщиков и штурмовиков.</w:t>
      </w:r>
    </w:p>
    <w:p w14:paraId="56CE39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Надо сказать, результативность таких комбинированных ударов была доволь</w:t>
      </w:r>
      <w:r w:rsidRPr="00640820">
        <w:rPr>
          <w:rFonts w:ascii="Times New Roman" w:hAnsi="Times New Roman"/>
          <w:color w:val="000000" w:themeColor="text1"/>
          <w:sz w:val="16"/>
          <w:szCs w:val="16"/>
        </w:rPr>
        <w:softHyphen/>
        <w:t xml:space="preserve">но высокой. Так, 146-я </w:t>
      </w:r>
      <w:r w:rsidRPr="00640820">
        <w:rPr>
          <w:rFonts w:ascii="Times New Roman" w:hAnsi="Times New Roman"/>
          <w:iCs/>
          <w:color w:val="000000" w:themeColor="text1"/>
          <w:sz w:val="16"/>
          <w:szCs w:val="16"/>
        </w:rPr>
        <w:t>сад</w:t>
      </w:r>
      <w:r w:rsidRPr="00640820">
        <w:rPr>
          <w:rFonts w:ascii="Times New Roman" w:hAnsi="Times New Roman"/>
          <w:color w:val="000000" w:themeColor="text1"/>
          <w:sz w:val="16"/>
          <w:szCs w:val="16"/>
        </w:rPr>
        <w:t xml:space="preserve"> (1-й </w:t>
      </w:r>
      <w:r w:rsidRPr="00640820">
        <w:rPr>
          <w:rFonts w:ascii="Times New Roman" w:hAnsi="Times New Roman"/>
          <w:iCs/>
          <w:color w:val="000000" w:themeColor="text1"/>
          <w:sz w:val="16"/>
          <w:szCs w:val="16"/>
        </w:rPr>
        <w:t>сбап,</w:t>
      </w:r>
      <w:r w:rsidRPr="00640820">
        <w:rPr>
          <w:rFonts w:ascii="Times New Roman" w:hAnsi="Times New Roman"/>
          <w:color w:val="000000" w:themeColor="text1"/>
          <w:sz w:val="16"/>
          <w:szCs w:val="16"/>
        </w:rPr>
        <w:t xml:space="preserve"> 130-й </w:t>
      </w:r>
      <w:r w:rsidRPr="00640820">
        <w:rPr>
          <w:rFonts w:ascii="Times New Roman" w:hAnsi="Times New Roman"/>
          <w:iCs/>
          <w:color w:val="000000" w:themeColor="text1"/>
          <w:sz w:val="16"/>
          <w:szCs w:val="16"/>
        </w:rPr>
        <w:t>ббап,</w:t>
      </w:r>
      <w:r w:rsidRPr="00640820">
        <w:rPr>
          <w:rFonts w:ascii="Times New Roman" w:hAnsi="Times New Roman"/>
          <w:color w:val="000000" w:themeColor="text1"/>
          <w:sz w:val="16"/>
          <w:szCs w:val="16"/>
        </w:rPr>
        <w:t xml:space="preserve"> 20-й </w:t>
      </w:r>
      <w:r w:rsidRPr="00640820">
        <w:rPr>
          <w:rFonts w:ascii="Times New Roman" w:hAnsi="Times New Roman"/>
          <w:iCs/>
          <w:color w:val="000000" w:themeColor="text1"/>
          <w:sz w:val="16"/>
          <w:szCs w:val="16"/>
        </w:rPr>
        <w:t>иап,</w:t>
      </w:r>
      <w:r w:rsidRPr="00640820">
        <w:rPr>
          <w:rFonts w:ascii="Times New Roman" w:hAnsi="Times New Roman"/>
          <w:color w:val="000000" w:themeColor="text1"/>
          <w:sz w:val="16"/>
          <w:szCs w:val="16"/>
        </w:rPr>
        <w:t xml:space="preserve"> 232-й </w:t>
      </w:r>
      <w:r w:rsidRPr="00640820">
        <w:rPr>
          <w:rFonts w:ascii="Times New Roman" w:hAnsi="Times New Roman"/>
          <w:iCs/>
          <w:color w:val="000000" w:themeColor="text1"/>
          <w:sz w:val="16"/>
          <w:szCs w:val="16"/>
        </w:rPr>
        <w:t>шап,</w:t>
      </w:r>
      <w:r w:rsidRPr="00640820">
        <w:rPr>
          <w:rFonts w:ascii="Times New Roman" w:hAnsi="Times New Roman"/>
          <w:color w:val="000000" w:themeColor="text1"/>
          <w:sz w:val="16"/>
          <w:szCs w:val="16"/>
        </w:rPr>
        <w:t xml:space="preserve"> 611 -и </w:t>
      </w:r>
      <w:r w:rsidRPr="00640820">
        <w:rPr>
          <w:rFonts w:ascii="Times New Roman" w:hAnsi="Times New Roman"/>
          <w:iCs/>
          <w:color w:val="000000" w:themeColor="text1"/>
          <w:sz w:val="16"/>
          <w:szCs w:val="16"/>
        </w:rPr>
        <w:t xml:space="preserve">лбап) </w:t>
      </w:r>
      <w:r w:rsidRPr="00640820">
        <w:rPr>
          <w:rFonts w:ascii="Times New Roman" w:hAnsi="Times New Roman"/>
          <w:color w:val="000000" w:themeColor="text1"/>
          <w:sz w:val="16"/>
          <w:szCs w:val="16"/>
        </w:rPr>
        <w:t>Западного фронта, применяя такой при</w:t>
      </w:r>
      <w:r w:rsidRPr="00640820">
        <w:rPr>
          <w:rFonts w:ascii="Times New Roman" w:hAnsi="Times New Roman"/>
          <w:color w:val="000000" w:themeColor="text1"/>
          <w:sz w:val="16"/>
          <w:szCs w:val="16"/>
        </w:rPr>
        <w:softHyphen/>
        <w:t>ем, только 25 ноября на сталиногорском направлении уничтожила и вывела из строя до 25 танков и бронемашин, 60 автомашин с грузами, 5 орудий и 10 по</w:t>
      </w:r>
      <w:r w:rsidRPr="00640820">
        <w:rPr>
          <w:rFonts w:ascii="Times New Roman" w:hAnsi="Times New Roman"/>
          <w:color w:val="000000" w:themeColor="text1"/>
          <w:sz w:val="16"/>
          <w:szCs w:val="16"/>
        </w:rPr>
        <w:softHyphen/>
        <w:t>возок с боеприпасами.</w:t>
      </w:r>
    </w:p>
    <w:p w14:paraId="408D7D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Высокую эффективность действий советской авиации в этот период под</w:t>
      </w:r>
      <w:r w:rsidRPr="00640820">
        <w:rPr>
          <w:rFonts w:ascii="Times New Roman" w:hAnsi="Times New Roman"/>
          <w:color w:val="000000" w:themeColor="text1"/>
          <w:sz w:val="16"/>
          <w:szCs w:val="16"/>
        </w:rPr>
        <w:softHyphen/>
        <w:t xml:space="preserve">тверждают и немецкие источники. В журнале боевых действий 4-й немецкой танковой группы от 24 ноября имеется такая запись: </w:t>
      </w:r>
      <w:r w:rsidRPr="00640820">
        <w:rPr>
          <w:rFonts w:ascii="Times New Roman" w:hAnsi="Times New Roman"/>
          <w:iCs/>
          <w:color w:val="000000" w:themeColor="text1"/>
          <w:sz w:val="16"/>
          <w:szCs w:val="16"/>
        </w:rPr>
        <w:t>"Налеты русских бомбар</w:t>
      </w:r>
      <w:r w:rsidRPr="00640820">
        <w:rPr>
          <w:rFonts w:ascii="Times New Roman" w:hAnsi="Times New Roman"/>
          <w:iCs/>
          <w:color w:val="000000" w:themeColor="text1"/>
          <w:sz w:val="16"/>
          <w:szCs w:val="16"/>
        </w:rPr>
        <w:softHyphen/>
        <w:t>дировщиков и штурмовиков причиняют большие потери".</w:t>
      </w:r>
      <w:r w:rsidRPr="00640820">
        <w:rPr>
          <w:rFonts w:ascii="Times New Roman" w:hAnsi="Times New Roman"/>
          <w:color w:val="000000" w:themeColor="text1"/>
          <w:sz w:val="16"/>
          <w:szCs w:val="16"/>
        </w:rPr>
        <w:t xml:space="preserve"> Командующий 2-й танковой группы генерал-полковник Гудериан в своем докладе Верховному ко</w:t>
      </w:r>
      <w:r w:rsidRPr="00640820">
        <w:rPr>
          <w:rFonts w:ascii="Times New Roman" w:hAnsi="Times New Roman"/>
          <w:color w:val="000000" w:themeColor="text1"/>
          <w:sz w:val="16"/>
          <w:szCs w:val="16"/>
        </w:rPr>
        <w:softHyphen/>
        <w:t xml:space="preserve">мандованию вермахта отмечал: </w:t>
      </w:r>
      <w:r w:rsidRPr="00640820">
        <w:rPr>
          <w:rFonts w:ascii="Times New Roman" w:hAnsi="Times New Roman"/>
          <w:iCs/>
          <w:color w:val="000000" w:themeColor="text1"/>
          <w:sz w:val="16"/>
          <w:szCs w:val="16"/>
        </w:rPr>
        <w:t>"Брони</w:t>
      </w:r>
      <w:r w:rsidRPr="00640820">
        <w:rPr>
          <w:rFonts w:ascii="Times New Roman" w:hAnsi="Times New Roman"/>
          <w:iCs/>
          <w:color w:val="000000" w:themeColor="text1"/>
          <w:sz w:val="16"/>
          <w:szCs w:val="16"/>
        </w:rPr>
        <w:softHyphen/>
        <w:t>рованные штурмовики неприятно вос</w:t>
      </w:r>
      <w:r w:rsidRPr="00640820">
        <w:rPr>
          <w:rFonts w:ascii="Times New Roman" w:hAnsi="Times New Roman"/>
          <w:iCs/>
          <w:color w:val="000000" w:themeColor="text1"/>
          <w:sz w:val="16"/>
          <w:szCs w:val="16"/>
        </w:rPr>
        <w:softHyphen/>
        <w:t>принимаются немецкими войсками..."."... Нам противостояла армия, по сво</w:t>
      </w:r>
      <w:r w:rsidRPr="00640820">
        <w:rPr>
          <w:rFonts w:ascii="Times New Roman" w:hAnsi="Times New Roman"/>
          <w:iCs/>
          <w:color w:val="000000" w:themeColor="text1"/>
          <w:sz w:val="16"/>
          <w:szCs w:val="16"/>
        </w:rPr>
        <w:softHyphen/>
        <w:t>им боевым качествам намного превос</w:t>
      </w:r>
      <w:r w:rsidRPr="00640820">
        <w:rPr>
          <w:rFonts w:ascii="Times New Roman" w:hAnsi="Times New Roman"/>
          <w:iCs/>
          <w:color w:val="000000" w:themeColor="text1"/>
          <w:sz w:val="16"/>
          <w:szCs w:val="16"/>
        </w:rPr>
        <w:softHyphen/>
        <w:t>ходившая все другие армии, с которы</w:t>
      </w:r>
      <w:r w:rsidRPr="00640820">
        <w:rPr>
          <w:rFonts w:ascii="Times New Roman" w:hAnsi="Times New Roman"/>
          <w:iCs/>
          <w:color w:val="000000" w:themeColor="text1"/>
          <w:sz w:val="16"/>
          <w:szCs w:val="16"/>
        </w:rPr>
        <w:softHyphen/>
        <w:t>ми нам когда-либо приходилось встре</w:t>
      </w:r>
      <w:r w:rsidRPr="00640820">
        <w:rPr>
          <w:rFonts w:ascii="Times New Roman" w:hAnsi="Times New Roman"/>
          <w:iCs/>
          <w:color w:val="000000" w:themeColor="text1"/>
          <w:sz w:val="16"/>
          <w:szCs w:val="16"/>
        </w:rPr>
        <w:softHyphen/>
        <w:t>чаться на поле боя", -</w:t>
      </w:r>
      <w:r w:rsidRPr="00640820">
        <w:rPr>
          <w:rFonts w:ascii="Times New Roman" w:hAnsi="Times New Roman"/>
          <w:color w:val="000000" w:themeColor="text1"/>
          <w:sz w:val="16"/>
          <w:szCs w:val="16"/>
        </w:rPr>
        <w:t xml:space="preserve"> признает позже начальник штаба 4-й танковой армии вермахта генерал Блюментрит.</w:t>
      </w:r>
    </w:p>
    <w:p w14:paraId="0F06A2F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ноября 1941 вышло Постановление ГКО № 900 [О воспрещении полетов ВВС более чем на 1000 км в одну сторону.] (7015, 98).</w:t>
      </w:r>
    </w:p>
    <w:p w14:paraId="0CA6FC9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6B5F3C" w14:textId="77777777" w:rsidR="00D15EDB" w:rsidRPr="00640820" w:rsidRDefault="00D15E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lastRenderedPageBreak/>
        <w:t>15 ноября - 5 декабря  1941- Люфтваффе совершает 41 налет на Москву. Советские ПВО заявляют, что во время атак в день в среднем сбивают от 30 до 40 немецких самолетов. За тот же период советские ВВС, лучше подготовленные к операциям в холодную погоду, чем Люфтваффе , по сообщениям, совершили 15 840 самолето-вылетов, в то время как самолеты Люфтваффе, поддерживающие операцию Тайфун, совершили всего 3500 самолето- вылетов. Советские источники утверждают, что Люфтваффе за это время теряет 1400 самолетов (20794).</w:t>
      </w:r>
    </w:p>
    <w:p w14:paraId="2031625B" w14:textId="77777777" w:rsidR="00D15EDB" w:rsidRPr="00640820" w:rsidRDefault="00D15EDB" w:rsidP="00640820">
      <w:pPr>
        <w:spacing w:after="0" w:line="240" w:lineRule="auto"/>
        <w:jc w:val="both"/>
        <w:rPr>
          <w:rFonts w:ascii="Times New Roman" w:hAnsi="Times New Roman"/>
          <w:color w:val="0070C0"/>
          <w:sz w:val="16"/>
          <w:szCs w:val="16"/>
        </w:rPr>
      </w:pPr>
    </w:p>
    <w:p w14:paraId="19204DCE" w14:textId="77777777" w:rsidR="00E533AD" w:rsidRPr="00640820" w:rsidRDefault="00E533A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По состоянию на 15 ноября 1941 г. в боевом составе ВВС Западного фронта некоторые «авиадивизии» по своей численности приближались к эскадрилье. Что касается Ил</w:t>
      </w:r>
      <w:r w:rsidRPr="00640820">
        <w:rPr>
          <w:rFonts w:ascii="Times New Roman" w:hAnsi="Times New Roman"/>
          <w:color w:val="0070C0"/>
          <w:sz w:val="16"/>
          <w:szCs w:val="16"/>
        </w:rPr>
        <w:noBreakHyphen/>
        <w:t>2, то они были разбросаны по трем частям и, естественно, не могли существенно влиять на ход боевых действий. Штурмовики, как правило, действовали парами, иногда четверками, по сути нанося разрозненные точечные удары по противнику. Территориально 47</w:t>
      </w:r>
      <w:r w:rsidRPr="00640820">
        <w:rPr>
          <w:rFonts w:ascii="Times New Roman" w:hAnsi="Times New Roman"/>
          <w:color w:val="0070C0"/>
          <w:sz w:val="16"/>
          <w:szCs w:val="16"/>
        </w:rPr>
        <w:noBreakHyphen/>
        <w:t>я ад базировалась в районе Тушино к северо</w:t>
      </w:r>
      <w:r w:rsidRPr="00640820">
        <w:rPr>
          <w:rFonts w:ascii="Times New Roman" w:hAnsi="Times New Roman"/>
          <w:color w:val="0070C0"/>
          <w:sz w:val="16"/>
          <w:szCs w:val="16"/>
        </w:rPr>
        <w:noBreakHyphen/>
        <w:t>западу от Москвы, 77</w:t>
      </w:r>
      <w:r w:rsidRPr="00640820">
        <w:rPr>
          <w:rFonts w:ascii="Times New Roman" w:hAnsi="Times New Roman"/>
          <w:color w:val="0070C0"/>
          <w:sz w:val="16"/>
          <w:szCs w:val="16"/>
        </w:rPr>
        <w:noBreakHyphen/>
        <w:t>я ад к югу от столицы на аэродромах Власьево, Подольск и Степыгино. «Части» 43</w:t>
      </w:r>
      <w:r w:rsidRPr="00640820">
        <w:rPr>
          <w:rFonts w:ascii="Times New Roman" w:hAnsi="Times New Roman"/>
          <w:color w:val="0070C0"/>
          <w:sz w:val="16"/>
          <w:szCs w:val="16"/>
        </w:rPr>
        <w:noBreakHyphen/>
        <w:t>й и 146</w:t>
      </w:r>
      <w:r w:rsidRPr="00640820">
        <w:rPr>
          <w:rFonts w:ascii="Times New Roman" w:hAnsi="Times New Roman"/>
          <w:color w:val="0070C0"/>
          <w:sz w:val="16"/>
          <w:szCs w:val="16"/>
        </w:rPr>
        <w:noBreakHyphen/>
        <w:t>й авиадивизий находились соответственно в Раменском и Егорьевске, а ночные бомбардировщики 23</w:t>
      </w:r>
      <w:r w:rsidRPr="00640820">
        <w:rPr>
          <w:rFonts w:ascii="Times New Roman" w:hAnsi="Times New Roman"/>
          <w:color w:val="0070C0"/>
          <w:sz w:val="16"/>
          <w:szCs w:val="16"/>
        </w:rPr>
        <w:noBreakHyphen/>
        <w:t>й ад в Тейково, Борисовском и Добрынинском к востоку от Москвы. Следовательно, 12 Ил</w:t>
      </w:r>
      <w:r w:rsidRPr="00640820">
        <w:rPr>
          <w:rFonts w:ascii="Times New Roman" w:hAnsi="Times New Roman"/>
          <w:color w:val="0070C0"/>
          <w:sz w:val="16"/>
          <w:szCs w:val="16"/>
        </w:rPr>
        <w:noBreakHyphen/>
        <w:t>2 действовали непосредственно на фронте перед столицей, остальные восемь против наступающей с юга 2</w:t>
      </w:r>
      <w:r w:rsidRPr="00640820">
        <w:rPr>
          <w:rFonts w:ascii="Times New Roman" w:hAnsi="Times New Roman"/>
          <w:color w:val="0070C0"/>
          <w:sz w:val="16"/>
          <w:szCs w:val="16"/>
        </w:rPr>
        <w:noBreakHyphen/>
        <w:t>й танковой армии Гудериана.</w:t>
      </w:r>
    </w:p>
    <w:p w14:paraId="7AC24BB8" w14:textId="77777777" w:rsidR="00E533AD" w:rsidRPr="00640820" w:rsidRDefault="00E533A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Основными целями авиаударов были автоколонны, мотомехколонны, обозы (повозки), пехота и аэродромы люфтваффе. Учитывая ограниченное количество ударных самолетов, командование ВВС практиковало совместные действия бомбардировщиков и штурмовиков по одной и той же цели с интервалом в 3–5 минут. При этом первыми сбрасывали бомбы Пе</w:t>
      </w:r>
      <w:r w:rsidRPr="00640820">
        <w:rPr>
          <w:rFonts w:ascii="Times New Roman" w:hAnsi="Times New Roman"/>
          <w:color w:val="0070C0"/>
          <w:sz w:val="16"/>
          <w:szCs w:val="16"/>
        </w:rPr>
        <w:noBreakHyphen/>
        <w:t>2, затем уже на небольшой высоте появлялись Илы. Типичной операцией такого рода стал удар по немецкой танковой колонне в районе Солнечногорска 25 ноября. По донесениям летчиков, в результате комбинированного удара было выведено из строя и уничтожено до 25 танков, 60 автомашин, 5 орудий, 10 повозок с боеприпасами, 12 мотоциклов и до роты пехоты.</w:t>
      </w:r>
    </w:p>
    <w:p w14:paraId="0ADFC7EF" w14:textId="77777777" w:rsidR="00E533AD" w:rsidRPr="00640820" w:rsidRDefault="00E533A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«Кроме действий по наземным войскам противника, на авиацию фронта возлагалась задача, совместными действиями с авиацией Главного командования и ПВО города Москвы нейтрализовать действия авиации противника, добиваясь при этом полного господства в воздухе,  – сообщалось в отчете о боевых действиях ВВС ЗФ. – Для осуществления этой задачи был разработан план уничтожения авиации противника на ее аэродромах и в воздухе… Только за ноябрь авиацией фронта в процессе выполнения этой задачи на аэродромах противника было уничтожено до 50 самолетов различных систем» (23199).</w:t>
      </w:r>
    </w:p>
    <w:p w14:paraId="4605D97D" w14:textId="77777777" w:rsidR="00E533AD" w:rsidRPr="00640820" w:rsidRDefault="00E533AD" w:rsidP="00640820">
      <w:pPr>
        <w:spacing w:after="0" w:line="240" w:lineRule="auto"/>
        <w:jc w:val="both"/>
        <w:rPr>
          <w:rFonts w:ascii="Times New Roman" w:hAnsi="Times New Roman"/>
          <w:color w:val="0070C0"/>
          <w:sz w:val="16"/>
          <w:szCs w:val="16"/>
        </w:rPr>
      </w:pPr>
    </w:p>
    <w:p w14:paraId="7D349699" w14:textId="77777777" w:rsidR="008B6AB5" w:rsidRPr="00640820" w:rsidRDefault="008B6AB5"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15 ноября </w:t>
      </w:r>
      <w:r w:rsidRPr="00640820">
        <w:rPr>
          <w:rFonts w:ascii="Times New Roman" w:hAnsi="Times New Roman"/>
          <w:color w:val="000000" w:themeColor="text1"/>
          <w:sz w:val="16"/>
          <w:szCs w:val="16"/>
        </w:rPr>
        <w:t>в 1941 году возобновилось наступление немецко-фашистских войск на Москву. Началась Клинско-Солнечногорская оборонительная операция войск правого крыла Западного фронта (30-я и 16-я армии; после 23 ноября из резерва Ставки ВГК переданы 1-я Ударная и 20-я армии, генерал армии Г. К. Жуков) во взаимодействии с Калининским фронтом (генерал-полковник И.С.Конев), продолжавшаяся до 5 декабря (14831).</w:t>
      </w:r>
    </w:p>
    <w:p w14:paraId="65826DCE" w14:textId="77777777" w:rsidR="008B6AB5" w:rsidRPr="00640820" w:rsidRDefault="008B6AB5" w:rsidP="00640820">
      <w:pPr>
        <w:spacing w:after="0" w:line="240" w:lineRule="auto"/>
        <w:jc w:val="both"/>
        <w:rPr>
          <w:rFonts w:ascii="Times New Roman" w:hAnsi="Times New Roman"/>
          <w:color w:val="000000" w:themeColor="text1"/>
          <w:sz w:val="16"/>
          <w:szCs w:val="16"/>
        </w:rPr>
      </w:pPr>
    </w:p>
    <w:p w14:paraId="57BB6C59" w14:textId="77777777" w:rsidR="008B6AB5" w:rsidRPr="00640820" w:rsidRDefault="008B6AB5"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15 ноября </w:t>
      </w:r>
      <w:r w:rsidRPr="00640820">
        <w:rPr>
          <w:rFonts w:ascii="Times New Roman" w:hAnsi="Times New Roman"/>
          <w:color w:val="000000" w:themeColor="text1"/>
          <w:sz w:val="16"/>
          <w:szCs w:val="16"/>
        </w:rPr>
        <w:t>в 1941 году в районе Запорожья в составе 444-й охранной дивизии вермахта создан Туркестанский полк (14831).</w:t>
      </w:r>
    </w:p>
    <w:p w14:paraId="4C387D7B" w14:textId="77777777" w:rsidR="008B6AB5" w:rsidRPr="00640820" w:rsidRDefault="008B6AB5" w:rsidP="00640820">
      <w:pPr>
        <w:spacing w:after="0" w:line="240" w:lineRule="auto"/>
        <w:jc w:val="both"/>
        <w:rPr>
          <w:rFonts w:ascii="Times New Roman" w:hAnsi="Times New Roman"/>
          <w:color w:val="000000" w:themeColor="text1"/>
          <w:sz w:val="16"/>
          <w:szCs w:val="16"/>
        </w:rPr>
      </w:pPr>
    </w:p>
    <w:p w14:paraId="2E32A7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 ноября по 6 декабря 1941 немцы выполнили 41 налет на Москву, в которых участвовало 1953 самолета (271,205).</w:t>
      </w:r>
    </w:p>
    <w:p w14:paraId="685B84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9EA17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ноября 1941 погиб в бою старший лейтенант А.А. Дмитриев из 15-го иап. С большой долей уверенности можно утверждать, что он оказался наиболее результативным пилотом МиГ-3, одержавшим за неполные пять месяцев войны 15 побед лично и две в группе, а также уничтожившим неприятельский аэростат. Перед безвременной смертью грудь летчика украшали ордена Ленина и Красного Знамени, а в небе он провел более 800 часов (12045).</w:t>
      </w:r>
    </w:p>
    <w:p w14:paraId="448CA8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336C9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15 ноября 1941 летчики 126-го истребительного авиаполка, который первым освоил Р-40 Томагаук действуя на Западном и Калининском фронтах с 12 октября 1941 и участвовал в обороне Москвы, совершили на "Томагауках" 685 боевых вылетов и сбили 17 самолетов врага. Старший лейтенант С.Г.Ридный, летая на этой машине, получил звание Героя Советского Союза (3457,61).</w:t>
      </w:r>
    </w:p>
    <w:p w14:paraId="47CEBC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117AA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15-16 ноября 1941 начался второй штурм Москвы (1074,182) - против войск КФ и 16 на правом крыле ЗФ. За 10 дней ВВС КА в сложных метеоусловиях выполнили 1300 вылетов (341,74).</w:t>
      </w:r>
    </w:p>
    <w:p w14:paraId="63EB47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41EC7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 ноября по 5 декабря 1941 состоялась Клинско-Солнечногорская оборонительная операция (2438,317).</w:t>
      </w:r>
    </w:p>
    <w:p w14:paraId="3BEABD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76D1A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15-16 ноября 1941 немецкое наступление было парализовано 20 градусным морозом (2260).</w:t>
      </w:r>
    </w:p>
    <w:p w14:paraId="6F8B42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C81F8F1" w14:textId="77777777" w:rsidR="00897DE5" w:rsidRPr="00640820" w:rsidRDefault="00897D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15 ноября </w:t>
      </w:r>
      <w:r w:rsidRPr="00640820">
        <w:rPr>
          <w:rFonts w:ascii="Times New Roman" w:hAnsi="Times New Roman"/>
          <w:color w:val="000000" w:themeColor="text1"/>
          <w:sz w:val="16"/>
          <w:szCs w:val="16"/>
        </w:rPr>
        <w:t>в 1941 году (15-16 ноября) советские войска эвакуировались из Керчи на Тамань (14831).</w:t>
      </w:r>
    </w:p>
    <w:p w14:paraId="31381F6D" w14:textId="77777777" w:rsidR="00897DE5" w:rsidRPr="00640820" w:rsidRDefault="00897DE5" w:rsidP="00640820">
      <w:pPr>
        <w:spacing w:after="0" w:line="240" w:lineRule="auto"/>
        <w:jc w:val="both"/>
        <w:rPr>
          <w:rFonts w:ascii="Times New Roman" w:hAnsi="Times New Roman"/>
          <w:color w:val="000000" w:themeColor="text1"/>
          <w:sz w:val="16"/>
          <w:szCs w:val="16"/>
        </w:rPr>
      </w:pPr>
    </w:p>
    <w:p w14:paraId="511A6553" w14:textId="77777777" w:rsidR="00897DE5" w:rsidRPr="00640820" w:rsidRDefault="00897D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15 ноября </w:t>
      </w:r>
      <w:r w:rsidRPr="00640820">
        <w:rPr>
          <w:rFonts w:ascii="Times New Roman" w:hAnsi="Times New Roman"/>
          <w:color w:val="000000" w:themeColor="text1"/>
          <w:sz w:val="16"/>
          <w:szCs w:val="16"/>
        </w:rPr>
        <w:t>в 1941 году подвиг героев-панфиловцев у разъезда Дубосеково: “Их было только двадцать восемь, а позади была Москва” (14831).</w:t>
      </w:r>
    </w:p>
    <w:p w14:paraId="7CADFAFD" w14:textId="77777777" w:rsidR="00897DE5" w:rsidRPr="00640820" w:rsidRDefault="00897DE5" w:rsidP="00640820">
      <w:pPr>
        <w:spacing w:after="0" w:line="240" w:lineRule="auto"/>
        <w:jc w:val="both"/>
        <w:rPr>
          <w:rFonts w:ascii="Times New Roman" w:hAnsi="Times New Roman"/>
          <w:color w:val="000000" w:themeColor="text1"/>
          <w:sz w:val="16"/>
          <w:szCs w:val="16"/>
        </w:rPr>
      </w:pPr>
    </w:p>
    <w:p w14:paraId="3982B3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ноября 1941 был тот самый бой 28 героев панфиловцев у разъезда Дубосеково (3481).</w:t>
      </w:r>
    </w:p>
    <w:p w14:paraId="663E24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909524D"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75A73DD8"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BFC7A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ноября 1941 снабжение Ленинграда судами по Ладоге - прекратилось и первые грузовики прошли только в конце ноября (2070,60).</w:t>
      </w:r>
    </w:p>
    <w:p w14:paraId="0FF979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0BFF5D0" w14:textId="77777777" w:rsidR="001C78C6" w:rsidRPr="00640820" w:rsidRDefault="001C78C6" w:rsidP="00640820">
      <w:pPr>
        <w:pStyle w:val="ae"/>
        <w:shd w:val="clear" w:color="auto" w:fill="FFFFFF"/>
        <w:spacing w:before="0" w:after="0"/>
        <w:jc w:val="both"/>
        <w:rPr>
          <w:color w:val="000000" w:themeColor="text1"/>
          <w:sz w:val="16"/>
          <w:szCs w:val="16"/>
        </w:rPr>
      </w:pPr>
      <w:r w:rsidRPr="00640820">
        <w:rPr>
          <w:color w:val="000000" w:themeColor="text1"/>
          <w:sz w:val="16"/>
          <w:szCs w:val="16"/>
        </w:rPr>
        <w:t>15 ноября 1941 года в Куйбышеве было осуждено 13 спекулянтов печеным хлебом. Они скупали его в коммерческих магазинах, где хлеб продавался без карточек, и перепродавали на базаре по завышенным ценам (19827).</w:t>
      </w:r>
    </w:p>
    <w:p w14:paraId="0F462892" w14:textId="77777777" w:rsidR="001C78C6" w:rsidRPr="00640820" w:rsidRDefault="001C78C6" w:rsidP="00640820">
      <w:pPr>
        <w:pStyle w:val="ae"/>
        <w:shd w:val="clear" w:color="auto" w:fill="FFFFFF"/>
        <w:spacing w:before="0" w:after="0"/>
        <w:jc w:val="both"/>
        <w:rPr>
          <w:color w:val="000000" w:themeColor="text1"/>
          <w:sz w:val="16"/>
          <w:szCs w:val="16"/>
        </w:rPr>
      </w:pPr>
    </w:p>
    <w:p w14:paraId="118F3432" w14:textId="77777777" w:rsidR="00897DE5"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3DD21CC2" w14:textId="77777777" w:rsidR="00897DE5" w:rsidRPr="00640820" w:rsidRDefault="00897DE5"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0A619F7" w14:textId="77777777" w:rsidR="00897DE5" w:rsidRPr="00640820" w:rsidRDefault="00897D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15 ноября </w:t>
      </w:r>
      <w:r w:rsidRPr="00640820">
        <w:rPr>
          <w:rFonts w:ascii="Times New Roman" w:hAnsi="Times New Roman"/>
          <w:color w:val="000000" w:themeColor="text1"/>
          <w:sz w:val="16"/>
          <w:szCs w:val="16"/>
        </w:rPr>
        <w:t>в 1941 году Дания присоединилась к Антикоминтерновскому Пакту (14831).</w:t>
      </w:r>
    </w:p>
    <w:p w14:paraId="3F3EEA41" w14:textId="77777777" w:rsidR="00897DE5" w:rsidRPr="00640820" w:rsidRDefault="00897DE5" w:rsidP="00640820">
      <w:pPr>
        <w:spacing w:after="0" w:line="240" w:lineRule="auto"/>
        <w:jc w:val="both"/>
        <w:rPr>
          <w:rFonts w:ascii="Times New Roman" w:hAnsi="Times New Roman"/>
          <w:color w:val="000000" w:themeColor="text1"/>
          <w:sz w:val="16"/>
          <w:szCs w:val="16"/>
        </w:rPr>
      </w:pPr>
    </w:p>
    <w:p w14:paraId="6BAD8B10"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7BBCE1A4"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82942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середине ноября 1941 года Комитет Обороны принял решение о сокращении числа типов и моделей самолетов и унификации оборудования: эвакуация на восток авиазаводов и смежников сильно осложнила системы поставок. Су-2 попал под сокращение, и заводу срочно требовалось осваивать Ил-2 (10674).</w:t>
      </w:r>
    </w:p>
    <w:p w14:paraId="01D973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E3A6F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середине ноября 1941 года на заводе № 166 была закончена постройка опытного «103В» с 2 М-82 (10686).</w:t>
      </w:r>
    </w:p>
    <w:p w14:paraId="72C911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6B73C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середине ноября 1941 года в Казань эвакуировался московский завод №22, выпускавший к тому моменту 8 Пе-2 в день. Завод №124 мог строить к тому моменту 4 Пе-2. После переезда в Казань завода №22 перед обоими заводами НКАП поставил задачу строить Пе-2 в количествах не меньших, чем строили оба завода вместе. Учитывая все возможности заводов, было решено, что прибывший из Москвы завод будет строить Пе-2 в увеличенном количестве, а завод № 124 продолжит выпуск ТБ-7. В соответсвии с этим, обоим заводам были выделены производственные площади и соответствующие мощности. Поскольку программа выпуска Пе-2 была более важной для фронта, заводу №22 были предоставлены большие по размеру и наиболее удобные площади, расположенные в основном корпусе завода. Заводу № 124 достались площади вспомогательных цехов и заводского гаража. В основном корпусе за ним сохранились лишь два агрегатных цеха и стометровая сборочная зона. Директором завода №124 оставался В.А.Окулов, сменивший в июле Кагановича. В новых жестких условиях коллектив завода достато быстро произвел перестройку и одолжил серийную постройку ТБ-7. Завод №124 за 1941 год сумел выпустить 17 серийных ТБ-7, из них: 3 с двигателями М-40Ф, 11 - с М-30 и 3 - с 1-35А (7685).</w:t>
      </w:r>
    </w:p>
    <w:p w14:paraId="5EA6B4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C5D6C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середине ноября 1941 в Казань эвакуировали московский завод №22, тоже выпускавший Пе-2. Его оборудование выгружали на территории завода №124. На нём руководство НКАП решило сосредоточить производство пикировщиков, а завод №124 должен был продолжать строить ТБ-7. Поскольку Пе-2 считались более важными для фронта, заводу № 22 отдали большую часть площадей. Бывшим хозяевам же остались вспомогательные цеха, бывший гараж, два агрегатных цеха и стометровая сборочная зона. Директором завода № 124 был тогда В.А. Окулов, сменивший в июле М.М. Кагановича (11996).</w:t>
      </w:r>
    </w:p>
    <w:p w14:paraId="672079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3D5A5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середине ноября 1941 г. командование ВВС оставалось в неведении - чем же закончились войсковые испытания Ш-37 на ЛаГГ-3? Этой невероятной истории посвящено письмо заместителя начальника Управления опытного строительства ГУ ВВС КА военинженера 1 ранга Матаева:</w:t>
      </w:r>
    </w:p>
    <w:p w14:paraId="1630F2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"Для проверки выполнения приказа [о проведении войсковых испытаний ЛаГГ-3 с 37-мм пушками ОКБ-15] было дано указание военинженеру 2 ранга Исаеву, находившемуся в служебной командировке в Москве, следующего содержания: "Срочно установите, где находятся самолеты ЛаГГ-3 с 37-мм пушками Шпитального, выясните результаты боевого применения пушек, эксплуатационные данные и достаточен ли боекомплект 20 патронов на один вылет" (11148).</w:t>
      </w:r>
    </w:p>
    <w:p w14:paraId="6ED79E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0E70EA0" w14:textId="77777777" w:rsidR="00897DE5" w:rsidRPr="00640820" w:rsidRDefault="00897DE5" w:rsidP="00640820">
      <w:pPr>
        <w:pStyle w:val="a3"/>
        <w:tabs>
          <w:tab w:val="left" w:pos="2459"/>
        </w:tabs>
        <w:rPr>
          <w:color w:val="000000" w:themeColor="text1"/>
          <w:lang w:val="ru-RU"/>
        </w:rPr>
      </w:pPr>
      <w:r w:rsidRPr="00640820">
        <w:rPr>
          <w:color w:val="000000" w:themeColor="text1"/>
          <w:lang w:val="ru-RU"/>
        </w:rPr>
        <w:t>Вплоть до в середи</w:t>
      </w:r>
      <w:r w:rsidRPr="00640820">
        <w:rPr>
          <w:color w:val="000000" w:themeColor="text1"/>
          <w:lang w:val="ru-RU"/>
        </w:rPr>
        <w:softHyphen/>
        <w:t>ны ноября 1941 г. командование ВВС оставалось в неведении — чем же закончи</w:t>
      </w:r>
      <w:r w:rsidRPr="00640820">
        <w:rPr>
          <w:color w:val="000000" w:themeColor="text1"/>
          <w:lang w:val="ru-RU"/>
        </w:rPr>
        <w:softHyphen/>
        <w:t>лись войсковых испытаний ЛаГГ-3 с 37-миллиметровками в условиях фронта в 33-м иап? Этой невероятной истории посвящено письмо заместителя начальника Управления опытного строительства ГУ ВВС КА военинженера 1 ранга Матаева:</w:t>
      </w:r>
    </w:p>
    <w:p w14:paraId="1B28F069" w14:textId="77777777" w:rsidR="00897DE5" w:rsidRPr="00640820" w:rsidRDefault="00897DE5" w:rsidP="00640820">
      <w:pPr>
        <w:pStyle w:val="a3"/>
        <w:rPr>
          <w:color w:val="000000" w:themeColor="text1"/>
          <w:lang w:val="ru-RU"/>
        </w:rPr>
      </w:pPr>
      <w:r w:rsidRPr="00640820">
        <w:rPr>
          <w:color w:val="000000" w:themeColor="text1"/>
          <w:lang w:val="ru-RU"/>
        </w:rPr>
        <w:t>«Для проверки выполнения приказа (о проведении войсковых испытаний ЛаГГ-3 с 37-мм пушками ОКБ-15) было дано указание военинженеру 2 ранга Иса</w:t>
      </w:r>
      <w:r w:rsidRPr="00640820">
        <w:rPr>
          <w:color w:val="000000" w:themeColor="text1"/>
          <w:lang w:val="ru-RU"/>
        </w:rPr>
        <w:softHyphen/>
        <w:t>еву, находившемуся в служебной командировке в Москве, следующего содержания: «Срочно установите, где находятся самолеты ЛаГГ-3 с 37-мм пушками Шпитального, выясните результаты боевого применения пушек, эксплуатационные данные, и доста</w:t>
      </w:r>
      <w:r w:rsidRPr="00640820">
        <w:rPr>
          <w:color w:val="000000" w:themeColor="text1"/>
          <w:lang w:val="ru-RU"/>
        </w:rPr>
        <w:softHyphen/>
        <w:t>точен ли боекомплект 20 патронов на один вылет».</w:t>
      </w:r>
    </w:p>
    <w:p w14:paraId="0C9BAF49" w14:textId="77777777" w:rsidR="00897DE5" w:rsidRPr="00640820" w:rsidRDefault="00897DE5" w:rsidP="00640820">
      <w:pPr>
        <w:pStyle w:val="a3"/>
        <w:rPr>
          <w:color w:val="000000" w:themeColor="text1"/>
          <w:lang w:val="ru-RU"/>
        </w:rPr>
      </w:pPr>
      <w:r w:rsidRPr="00640820">
        <w:rPr>
          <w:color w:val="000000" w:themeColor="text1"/>
          <w:lang w:val="ru-RU"/>
        </w:rPr>
        <w:t>15 ноября 1941 г. тов. Исаев через бригинженера тов. Селезнева передал мне по прямому проводу из Москвы следующее: «По прибытии самолётов в войсковую часть, инженерно-технический состав дивизии и полка к испытаниям привлечён не был. По ка</w:t>
      </w:r>
      <w:r w:rsidRPr="00640820">
        <w:rPr>
          <w:color w:val="000000" w:themeColor="text1"/>
          <w:lang w:val="ru-RU"/>
        </w:rPr>
        <w:softHyphen/>
        <w:t>тегорическому приказанию генерала Захарова никого из них к самолётам с этими пуш</w:t>
      </w:r>
      <w:r w:rsidRPr="00640820">
        <w:rPr>
          <w:color w:val="000000" w:themeColor="text1"/>
          <w:lang w:val="ru-RU"/>
        </w:rPr>
        <w:softHyphen/>
        <w:t>ками не допускали, поэтому ни инженер дивизии, ни инженер по вооружению в испы</w:t>
      </w:r>
      <w:r w:rsidRPr="00640820">
        <w:rPr>
          <w:color w:val="000000" w:themeColor="text1"/>
          <w:lang w:val="ru-RU"/>
        </w:rPr>
        <w:softHyphen/>
        <w:t>таниях не участвовали.</w:t>
      </w:r>
    </w:p>
    <w:p w14:paraId="4BA02D67" w14:textId="77777777" w:rsidR="00897DE5" w:rsidRPr="00640820" w:rsidRDefault="00897DE5" w:rsidP="00640820">
      <w:pPr>
        <w:pStyle w:val="a3"/>
        <w:rPr>
          <w:color w:val="000000" w:themeColor="text1"/>
          <w:lang w:val="ru-RU"/>
        </w:rPr>
      </w:pPr>
      <w:r w:rsidRPr="00640820">
        <w:rPr>
          <w:color w:val="000000" w:themeColor="text1"/>
          <w:lang w:val="ru-RU"/>
        </w:rPr>
        <w:t>Лётчикам, проводившим испытания, также было дано указание никаких сведений по эксплуатации пушек никому не давать, кроме одного Шпитального. Поэтому официаль</w:t>
      </w:r>
      <w:r w:rsidRPr="00640820">
        <w:rPr>
          <w:color w:val="000000" w:themeColor="text1"/>
          <w:lang w:val="ru-RU"/>
        </w:rPr>
        <w:softHyphen/>
        <w:t>ных документов об эксплуатации в дивизии не имеется, все эти материалы увезены группой Шпитального, проводившей испытания пушек.</w:t>
      </w:r>
    </w:p>
    <w:p w14:paraId="5AFAB6DC" w14:textId="77777777" w:rsidR="00897DE5" w:rsidRPr="00640820" w:rsidRDefault="00897DE5" w:rsidP="00640820">
      <w:pPr>
        <w:pStyle w:val="a3"/>
        <w:rPr>
          <w:color w:val="000000" w:themeColor="text1"/>
          <w:lang w:val="ru-RU"/>
        </w:rPr>
      </w:pPr>
      <w:r w:rsidRPr="00640820">
        <w:rPr>
          <w:color w:val="000000" w:themeColor="text1"/>
          <w:lang w:val="ru-RU"/>
        </w:rPr>
        <w:t>Из личной беседы с командиром и комиссаром дивизии и инженером по эксплуатации и вооружению выяснил:</w:t>
      </w:r>
    </w:p>
    <w:p w14:paraId="5F460C15" w14:textId="77777777" w:rsidR="00897DE5" w:rsidRPr="00640820" w:rsidRDefault="00897DE5" w:rsidP="00640820">
      <w:pPr>
        <w:pStyle w:val="a3"/>
        <w:tabs>
          <w:tab w:val="left" w:pos="438"/>
        </w:tabs>
        <w:rPr>
          <w:color w:val="000000" w:themeColor="text1"/>
          <w:lang w:val="ru-RU"/>
        </w:rPr>
      </w:pPr>
      <w:r w:rsidRPr="00640820">
        <w:rPr>
          <w:color w:val="000000" w:themeColor="text1"/>
          <w:lang w:val="ru-RU"/>
        </w:rPr>
        <w:t>1. Первый самолёт ЛаГГ-3, выходя из воздушного боя, вошёл в крутое пикирование и при посадке на аэродром развалился, произошёл излом фюзеляжа по кабине летчика. Мотор и самолёт отправлены в Москву на ремонт, пушка — в ОКБ-15.</w:t>
      </w:r>
    </w:p>
    <w:p w14:paraId="1D4A6CA1" w14:textId="77777777" w:rsidR="00897DE5" w:rsidRPr="00640820" w:rsidRDefault="00897DE5" w:rsidP="00640820">
      <w:pPr>
        <w:pStyle w:val="a3"/>
        <w:tabs>
          <w:tab w:val="left" w:pos="443"/>
        </w:tabs>
        <w:rPr>
          <w:color w:val="000000" w:themeColor="text1"/>
          <w:lang w:val="ru-RU"/>
        </w:rPr>
      </w:pPr>
      <w:r w:rsidRPr="00640820">
        <w:rPr>
          <w:color w:val="000000" w:themeColor="text1"/>
          <w:lang w:val="ru-RU"/>
        </w:rPr>
        <w:t>2. Второй самолёт не вернулся с боевого задания 10.10.1941 г. Данных о судьбе са</w:t>
      </w:r>
      <w:r w:rsidRPr="00640820">
        <w:rPr>
          <w:color w:val="000000" w:themeColor="text1"/>
          <w:lang w:val="ru-RU"/>
        </w:rPr>
        <w:softHyphen/>
        <w:t>молёта и лётчика нет.</w:t>
      </w:r>
    </w:p>
    <w:p w14:paraId="4B361EA6" w14:textId="77777777" w:rsidR="00897DE5" w:rsidRPr="00640820" w:rsidRDefault="00897DE5" w:rsidP="00640820">
      <w:pPr>
        <w:pStyle w:val="a3"/>
        <w:tabs>
          <w:tab w:val="left" w:pos="438"/>
        </w:tabs>
        <w:rPr>
          <w:color w:val="000000" w:themeColor="text1"/>
          <w:lang w:val="ru-RU"/>
        </w:rPr>
      </w:pPr>
      <w:r w:rsidRPr="00640820">
        <w:rPr>
          <w:color w:val="000000" w:themeColor="text1"/>
          <w:lang w:val="ru-RU"/>
        </w:rPr>
        <w:t>3. Третий самолёт после воздушного боя садился вне аэродрома. При посадке про</w:t>
      </w:r>
      <w:r w:rsidRPr="00640820">
        <w:rPr>
          <w:color w:val="000000" w:themeColor="text1"/>
          <w:lang w:val="ru-RU"/>
        </w:rPr>
        <w:softHyphen/>
        <w:t>изошел излом фюзеляжа и носовой части. Мотор и пушка доставлены на завод № 24, где находятся и сейчас; планер уничтожен.</w:t>
      </w:r>
    </w:p>
    <w:p w14:paraId="7642AF0D" w14:textId="77777777" w:rsidR="00897DE5" w:rsidRPr="00640820" w:rsidRDefault="00897D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Группа Шпитального, проводившая испытания пушек, выехала из соединения после того, как не вернулся второй самолёт (10.10.1941 г.).</w:t>
      </w:r>
    </w:p>
    <w:p w14:paraId="77428360" w14:textId="77777777" w:rsidR="00897DE5" w:rsidRPr="00640820" w:rsidRDefault="00897DE5" w:rsidP="00640820">
      <w:pPr>
        <w:pStyle w:val="a3"/>
        <w:tabs>
          <w:tab w:val="left" w:pos="418"/>
        </w:tabs>
        <w:rPr>
          <w:color w:val="000000" w:themeColor="text1"/>
          <w:lang w:val="ru-RU"/>
        </w:rPr>
      </w:pPr>
      <w:r w:rsidRPr="00640820">
        <w:rPr>
          <w:color w:val="000000" w:themeColor="text1"/>
          <w:lang w:val="ru-RU"/>
        </w:rPr>
        <w:t>Самолёты использовались только по воздушным целям, в общей сложности этой группой сбито 6-7 самолётов противника.</w:t>
      </w:r>
    </w:p>
    <w:p w14:paraId="4DB6EB3E" w14:textId="77777777" w:rsidR="00897DE5" w:rsidRPr="00640820" w:rsidRDefault="00897D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отзыву командования, боекомплект 20 снарядов вполне достаточен, серьёзных отказов в работе пушки не было, в эксплуатации она не сложна, жалоб и особых заме</w:t>
      </w:r>
      <w:r w:rsidRPr="00640820">
        <w:rPr>
          <w:rFonts w:ascii="Times New Roman" w:hAnsi="Times New Roman"/>
          <w:color w:val="000000" w:themeColor="text1"/>
          <w:sz w:val="16"/>
          <w:szCs w:val="16"/>
        </w:rPr>
        <w:softHyphen/>
        <w:t>чаний от лётного состава не было».</w:t>
      </w:r>
    </w:p>
    <w:p w14:paraId="7D6B7C9E" w14:textId="77777777" w:rsidR="00897DE5" w:rsidRPr="00640820" w:rsidRDefault="00897DE5" w:rsidP="00640820">
      <w:pPr>
        <w:pStyle w:val="a3"/>
        <w:rPr>
          <w:color w:val="000000" w:themeColor="text1"/>
          <w:lang w:val="ru-RU"/>
        </w:rPr>
      </w:pPr>
      <w:r w:rsidRPr="00640820">
        <w:rPr>
          <w:color w:val="000000" w:themeColor="text1"/>
          <w:lang w:val="ru-RU"/>
        </w:rPr>
        <w:t>Судя по этому докладу, группа, испытывавшая пушки, должна была выдать материал командованию ВВС не позднее 30 октября (через 20 дней после окончания испытаний), но этого не сделала. Командование полка об окончании испытаний также не доложи</w:t>
      </w:r>
      <w:r w:rsidRPr="00640820">
        <w:rPr>
          <w:color w:val="000000" w:themeColor="text1"/>
          <w:lang w:val="ru-RU"/>
        </w:rPr>
        <w:softHyphen/>
        <w:t>ло. Такое положение задерживает принятие решения о серийном производстве 37-мм пушек Шпитального для ЛаГГ-3.</w:t>
      </w:r>
    </w:p>
    <w:p w14:paraId="1F98A419" w14:textId="77777777" w:rsidR="00897DE5" w:rsidRPr="00640820" w:rsidRDefault="00897D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Прошу Вашего ходатайства перед командующим ВВС КА генерал-полковником Жигаревым о вызове Шпитального в Военный Совет ВВС КА для доклада о войсковых ис</w:t>
      </w:r>
      <w:r w:rsidRPr="00640820">
        <w:rPr>
          <w:rFonts w:ascii="Times New Roman" w:hAnsi="Times New Roman"/>
          <w:color w:val="000000" w:themeColor="text1"/>
          <w:sz w:val="16"/>
          <w:szCs w:val="16"/>
        </w:rPr>
        <w:softHyphen/>
        <w:t>пытаниях» (15787).</w:t>
      </w:r>
    </w:p>
    <w:p w14:paraId="3DDC1FBC" w14:textId="77777777" w:rsidR="00897DE5" w:rsidRPr="00640820" w:rsidRDefault="00897DE5" w:rsidP="00640820">
      <w:pPr>
        <w:spacing w:after="0" w:line="240" w:lineRule="auto"/>
        <w:jc w:val="both"/>
        <w:rPr>
          <w:rFonts w:ascii="Times New Roman" w:hAnsi="Times New Roman"/>
          <w:color w:val="000000" w:themeColor="text1"/>
          <w:sz w:val="16"/>
          <w:szCs w:val="16"/>
        </w:rPr>
      </w:pPr>
    </w:p>
    <w:p w14:paraId="40BA422B" w14:textId="77777777" w:rsidR="00897DE5" w:rsidRPr="00640820" w:rsidRDefault="00897DE5"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К середи</w:t>
      </w:r>
      <w:r w:rsidRPr="00640820">
        <w:rPr>
          <w:rFonts w:ascii="Times New Roman" w:cs="Times New Roman"/>
          <w:color w:val="000000" w:themeColor="text1"/>
          <w:spacing w:val="0"/>
        </w:rPr>
        <w:softHyphen/>
        <w:t>не ноября 1941 разобрались и переправили машину ДИС-135 из Котласа в Пермь. Оказалось, что само</w:t>
      </w:r>
      <w:r w:rsidRPr="00640820">
        <w:rPr>
          <w:rFonts w:ascii="Times New Roman" w:cs="Times New Roman"/>
          <w:color w:val="000000" w:themeColor="text1"/>
          <w:spacing w:val="0"/>
        </w:rPr>
        <w:softHyphen/>
        <w:t>лет довольно прилично «разукомплек</w:t>
      </w:r>
      <w:r w:rsidRPr="00640820">
        <w:rPr>
          <w:rFonts w:ascii="Times New Roman" w:cs="Times New Roman"/>
          <w:color w:val="000000" w:themeColor="text1"/>
          <w:spacing w:val="0"/>
        </w:rPr>
        <w:softHyphen/>
        <w:t>тован». Отсутствовал плексиглас фо</w:t>
      </w:r>
      <w:r w:rsidRPr="00640820">
        <w:rPr>
          <w:rFonts w:ascii="Times New Roman" w:cs="Times New Roman"/>
          <w:color w:val="000000" w:themeColor="text1"/>
          <w:spacing w:val="0"/>
        </w:rPr>
        <w:softHyphen/>
        <w:t>наря кабины летчика, исчезла резина колес шасси, сняты некоторые приборы, во многих местах срезан дюраль и т.д. Самолет требовал ремонта, который в условиях эвакуации выполнить быстро не удалось. Как известно, заводу №135 одновременно с достройкой ближних бомбардировщиков Су-2 М-82 из выве</w:t>
      </w:r>
      <w:r w:rsidRPr="00640820">
        <w:rPr>
          <w:rFonts w:ascii="Times New Roman" w:cs="Times New Roman"/>
          <w:color w:val="000000" w:themeColor="text1"/>
          <w:spacing w:val="0"/>
        </w:rPr>
        <w:softHyphen/>
        <w:t>зенного задела постановлением ГКО от 19 ноября 1941 г. поручили организо</w:t>
      </w:r>
      <w:r w:rsidRPr="00640820">
        <w:rPr>
          <w:rFonts w:ascii="Times New Roman" w:cs="Times New Roman"/>
          <w:color w:val="000000" w:themeColor="text1"/>
          <w:spacing w:val="0"/>
        </w:rPr>
        <w:softHyphen/>
        <w:t>вать выпуск бронированных штурмови</w:t>
      </w:r>
      <w:r w:rsidRPr="00640820">
        <w:rPr>
          <w:rFonts w:ascii="Times New Roman" w:cs="Times New Roman"/>
          <w:color w:val="000000" w:themeColor="text1"/>
          <w:spacing w:val="0"/>
        </w:rPr>
        <w:softHyphen/>
        <w:t>ков Ил-2 также с мотором М-82. В этих условиях было не до опытного ДИС-135. К тому же решением ГКО от 24 января 1942 г. завод №135 расформировали. Что стало с самолетом в дальнейшем, установить пока не удалось (15755).</w:t>
      </w:r>
    </w:p>
    <w:p w14:paraId="4489416A" w14:textId="77777777" w:rsidR="00897DE5" w:rsidRPr="00640820" w:rsidRDefault="00897DE5" w:rsidP="00640820">
      <w:pPr>
        <w:pStyle w:val="27"/>
        <w:shd w:val="clear" w:color="auto" w:fill="auto"/>
        <w:spacing w:after="0" w:line="240" w:lineRule="auto"/>
        <w:ind w:firstLine="0"/>
        <w:rPr>
          <w:rFonts w:ascii="Times New Roman" w:cs="Times New Roman"/>
          <w:color w:val="000000" w:themeColor="text1"/>
          <w:spacing w:val="0"/>
        </w:rPr>
      </w:pPr>
    </w:p>
    <w:p w14:paraId="609F5885" w14:textId="77777777" w:rsidR="00897DE5" w:rsidRPr="00640820" w:rsidRDefault="00897D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середине ноября 1941 основная часть эвакуированных работников ГСКБ-47 собралась в г. Миассе. Б. М. Сапрыкин принял меры по обеспечению жильем. Часть людей разместили в двухэтажном деревянном, только что отстроенном 8-квартирном доме, который Сапрыкин Б. М. отстоял от заселения перед местными властями. Остальных расселяли по частным квартирам. Однако требовались помещения для предприятия.</w:t>
      </w:r>
    </w:p>
    <w:p w14:paraId="5C13DE6D" w14:textId="77777777" w:rsidR="00897DE5" w:rsidRPr="00640820" w:rsidRDefault="00897D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Благодаря решительным действиям Н. И. Крупнова предприятие сумело занять пустующее здание педагогического училища, буквально перед въездом у направлявшегося туда же минометного училища. Для этого в первый же день приезда из рабочих и жен сотрудников была скомплектована военизированная охрана, которая перекрыла все подходы к зданию. Лишь с помощью секретаря Миасского горкома партии С. К. Петрова конфликт с минометным училищем был улажен.</w:t>
      </w:r>
    </w:p>
    <w:p w14:paraId="0148DBF6" w14:textId="77777777" w:rsidR="00897DE5" w:rsidRPr="00640820" w:rsidRDefault="00897D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Позже местные власти помогли предприятию получить для опытного производства цех на Миасском напиловочном заводе, а также земельный участок для проведения наземных и летных испытаний.</w:t>
      </w:r>
    </w:p>
    <w:p w14:paraId="632B101B" w14:textId="77777777" w:rsidR="00897DE5" w:rsidRPr="00640820" w:rsidRDefault="00897D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 Чебаркуле, в 20 км от г. Миасса находилась авиационная часть. С ее командованием удалось договориться об участии летного персонала в испытаниях опытных авиабомб на новом полигоне.</w:t>
      </w:r>
    </w:p>
    <w:p w14:paraId="0615CE4E" w14:textId="77777777" w:rsidR="00897DE5" w:rsidRPr="00640820" w:rsidRDefault="00897D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Можно было считать, что все основные условия для разработки новых изделий были созданы в короткие сроки, но все это далеко не отвечало тем условиям, которые были в Москве. Практически прервалась связь с командованием ВВС, не было связи с предприятиями-смежниками (15794).</w:t>
      </w:r>
    </w:p>
    <w:p w14:paraId="0D9833E5" w14:textId="77777777" w:rsidR="00897DE5" w:rsidRPr="00640820" w:rsidRDefault="00897DE5" w:rsidP="00640820">
      <w:pPr>
        <w:spacing w:after="0" w:line="240" w:lineRule="auto"/>
        <w:jc w:val="both"/>
        <w:rPr>
          <w:rFonts w:ascii="Times New Roman" w:hAnsi="Times New Roman"/>
          <w:color w:val="000000" w:themeColor="text1"/>
          <w:sz w:val="16"/>
          <w:szCs w:val="16"/>
        </w:rPr>
      </w:pPr>
    </w:p>
    <w:p w14:paraId="230B9C74" w14:textId="77777777" w:rsidR="00897DE5"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0F7DD3D4" w14:textId="77777777" w:rsidR="00897DE5" w:rsidRPr="00640820" w:rsidRDefault="00897DE5"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9341CA4" w14:textId="77777777" w:rsidR="004673CC" w:rsidRPr="00640820" w:rsidRDefault="004673C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середине ноября 1941 ремзавод №2 прислал в ГАБТУ техническое описание переделанного в сухопутный танк Т-37. Танк лишался поплавков, водоходного оборудования, поворотного сидения стрелка и одного стеллажа к пулемёту ДТ. Взамен танк получал экранировку. С бортов на него ставились листы толщиной 6 мм, закрывавшие пространство от кронштейнов ходовых тележек до крайних заклепок корпуса. Экранами закрывались и лобовая, и кормовая части корпуса. Прикрывались бронёй и выступающие части корпуса, включая бронировку радиатора. Также полностью экранировалась башня.</w:t>
      </w:r>
    </w:p>
    <w:p w14:paraId="0F3BBB5D" w14:textId="77777777" w:rsidR="004673CC" w:rsidRPr="00640820" w:rsidRDefault="004673C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Помимо экранировки, в документе был предусмотрен и вопрос перевооружения танка. В первом варианте сохранялся пулемёт ДТ и укладка на 15 дисков. Во втором же варианте передняя часть башни переделывалась по образцу башни танка Т-40. В новую орудийную установку ставился </w:t>
      </w:r>
      <w:hyperlink r:id="rId51" w:history="1">
        <w:r w:rsidRPr="00640820">
          <w:rPr>
            <w:rFonts w:ascii="Times New Roman" w:eastAsia="Times New Roman" w:hAnsi="Times New Roman"/>
            <w:color w:val="000000" w:themeColor="text1"/>
            <w:sz w:val="16"/>
            <w:szCs w:val="16"/>
            <w:lang w:eastAsia="ru-RU"/>
          </w:rPr>
          <w:t>крупнокалиберный пулемёт</w:t>
        </w:r>
      </w:hyperlink>
      <w:r w:rsidRPr="00640820">
        <w:rPr>
          <w:rFonts w:ascii="Times New Roman" w:eastAsia="Times New Roman" w:hAnsi="Times New Roman"/>
          <w:color w:val="000000" w:themeColor="text1"/>
          <w:sz w:val="16"/>
          <w:szCs w:val="16"/>
          <w:lang w:eastAsia="ru-RU"/>
        </w:rPr>
        <w:t xml:space="preserve"> ДШК, а командир, он же наводчик, получал плечевой упор. Спаренного пулемёта ДТ в таком варианте не предусматривалось, но при этом сохранялось гнездо для него, а сам пулемёт помещался внутрь корпуса. Боезапас составлял 10 коробок по 60 патронов для ДШК.</w:t>
      </w:r>
    </w:p>
    <w:p w14:paraId="018F94F6" w14:textId="77777777" w:rsidR="004673CC" w:rsidRPr="00640820" w:rsidRDefault="004673C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Превышение массы экранированного танка над серийным Т-37 оценивалось в 350 килограмм: 400 кг приходилось на экранировку, 120 кг на ДШК с боезапасом, при этом вес удаляемых частей составлял 170 кг. Временные затраты на переделку Т-37 в варианте с ДШК составляли 473 нормо-часа, а со штатным вооружением – 316 нормо-часов. А по экранировке Т-38 ремзавод работ не вёл вообще из-за упомянутого выше жёсткого лимита по времени.</w:t>
      </w:r>
    </w:p>
    <w:p w14:paraId="7C52615A" w14:textId="77777777" w:rsidR="004673CC" w:rsidRPr="00640820" w:rsidRDefault="004673C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дальнейшем вопрос экранировки Т-37 и Т-38 отпал сам собой: к концу 1941 года этих танков в войсках осталось очень мало. А имевшиеся на Ленинградском фронте Т-38 были нужны именно как плавающие танки-разведчики и в экранировке не нуждались. Не исключён, впрочем, и такой вариант, что некоторое количество Т-37 ремзавод №2 всё же переделал. Но на текущий момент это, скорее, лишь гипотеза, поскольку материалы переписки ремзавода того периода автору не попадались, равно как и фотографии экранированных танков (17660).</w:t>
      </w:r>
    </w:p>
    <w:p w14:paraId="7F6DBE8A" w14:textId="77777777" w:rsidR="004673CC" w:rsidRPr="00640820" w:rsidRDefault="004673C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033C1D3" w14:textId="77777777" w:rsidR="004A61E5" w:rsidRPr="00640820" w:rsidRDefault="004A61E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середине ноября 1941 года на заводе №112 состоялось техническое совещание по вопросу экранировки. Затем он неоднократно поднимался на уровне наркомата танковой промышленности (НКТП). 25 декабря 1941 года Сталин подписал постановление ГКО №1062сс «О танках Т-34 и Т-60». Согласно этому документу, с 15 января все Т-34 должны были выпускаться с экранированной до 60 мм лобовой частью, а с 15 февраля — с утолщённой до 60 мм бронёй.</w:t>
      </w:r>
    </w:p>
    <w:p w14:paraId="4C9F81B6" w14:textId="77777777" w:rsidR="004A61E5" w:rsidRPr="00640820" w:rsidRDefault="004A61E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 тому времени производство Т-34 было освоено на трёх предприятиях: Сталинградском тракторном заводе (СТЗ), заводе №112 (г. Горький) и заводе №183 (г. Нижний Тагил). Головным заводом оставался завод №183, но к началу 1942 года заводы выпускали достаточно сильно различающиеся танки. Из-за технических трудностей к концу 1941 года на заводе №183 стали выпускать башню шестигранной формы, в которой использовались наработки по А-43 (например, характерная орудийная установка, раздельные круглые люки и другие детали). Имелись отличия и по корпусу. Различались и танки заводов №112 и СТЗ, и со временем отличия только накапливались (18883).</w:t>
      </w:r>
    </w:p>
    <w:p w14:paraId="1E3FF697" w14:textId="77777777" w:rsidR="004A61E5" w:rsidRPr="00640820" w:rsidRDefault="004A61E5" w:rsidP="00640820">
      <w:pPr>
        <w:spacing w:after="0" w:line="240" w:lineRule="auto"/>
        <w:jc w:val="both"/>
        <w:rPr>
          <w:rFonts w:ascii="Times New Roman" w:eastAsia="Times New Roman" w:hAnsi="Times New Roman"/>
          <w:color w:val="000000" w:themeColor="text1"/>
          <w:sz w:val="16"/>
          <w:szCs w:val="16"/>
          <w:lang w:eastAsia="ru-RU"/>
        </w:rPr>
      </w:pPr>
    </w:p>
    <w:p w14:paraId="04FB2BC3" w14:textId="77777777" w:rsidR="00D15EDB" w:rsidRPr="00640820" w:rsidRDefault="00D15E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середине ноября 1941 года задание на перевооружение "Матильды" поступило в КБ завода №92. Судя по переписке, ГКО был в курсе происходящего и дал добро.</w:t>
      </w:r>
    </w:p>
    <w:p w14:paraId="32CA98F4" w14:textId="77777777" w:rsidR="00D15EDB" w:rsidRPr="00640820" w:rsidRDefault="00D15E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В.Г. Грабин, начальник КБ завода №92 спустил работы дальше по цепочки. Ведущим инженером по теме перевооружения английских танков стал старший инженер-конструктор П.Ф. Муравьёв. Для него это была профильная работа - Пётр Фёдорович в КБ возглавлял работы по танковым орудиям. При этом по простому пути, то есть установка 45-мм пушки вместо 2-фунтовой (40-мм), КБ завода №92 не пошло. Там были люди совсем не слепые, да и не только в КБ завода №92 заметили странность вооружения английского танка. Поэтому довольно быстро появилась идея вооружить танк на уровне КВ-1. То есть 76-мм орудием ЗИС-5, которое с сентября 1941 года начали производить в Горьком.</w:t>
      </w:r>
    </w:p>
    <w:p w14:paraId="215A9C90" w14:textId="77777777" w:rsidR="00D15EDB" w:rsidRPr="00640820" w:rsidRDefault="00D15E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lastRenderedPageBreak/>
        <w:t>КБ завода №92 решило ускорить процесс, посчитав более правильным использовать готовое решение. Поэтому бронировку взяли от опытного орудия ЗИС-5, того самого, которое летом 1941 года испытывалось с баллистикой 76-мм пушки Ф-22. Такую Ф-22 изначально планировали запускать в серию, но по ряду причин производство пошло с баллистикой УСВ/Ф-34.</w:t>
      </w:r>
    </w:p>
    <w:p w14:paraId="2C350493" w14:textId="77777777" w:rsidR="00D15EDB" w:rsidRPr="00640820" w:rsidRDefault="00D15E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качестве опытного образца был взят Matilda III с WD-номером 10157 (изготовлен судостроительной верфью Harland &amp; Wolff Ltd. в Белфасте). Конверсия была готова оперативно: уже 2 декабря 1941 года перевооруженная машина вышла на испытания. Менялось не только орудие, но и спаренный пулемет. Вместо BESA ставился ДТ, тем самым снимался вопрос и обеспечения зарубежными патронами. Снятое с танка вооружение отправлялось в ремфонд, тем самым частично снимался вопрос обеспечения запасными пушками и запчастями к ним. Ставился и отечественный прицел ТОП. (22545).</w:t>
      </w:r>
    </w:p>
    <w:p w14:paraId="08FD4117" w14:textId="77777777" w:rsidR="00D15EDB" w:rsidRPr="00640820" w:rsidRDefault="00D15EDB" w:rsidP="00640820">
      <w:pPr>
        <w:spacing w:after="0" w:line="240" w:lineRule="auto"/>
        <w:jc w:val="both"/>
        <w:rPr>
          <w:rFonts w:ascii="Times New Roman" w:hAnsi="Times New Roman"/>
          <w:color w:val="0070C0"/>
          <w:sz w:val="16"/>
          <w:szCs w:val="16"/>
        </w:rPr>
      </w:pPr>
    </w:p>
    <w:p w14:paraId="16E3BFAC" w14:textId="77777777" w:rsidR="00897DE5" w:rsidRPr="00640820" w:rsidRDefault="00897DE5"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К середине ноября 1941 г. (к 17.11.1941 г.) наркоматы размещались в следующих городах:</w:t>
      </w:r>
    </w:p>
    <w:p w14:paraId="3A3CE188" w14:textId="77777777" w:rsidR="00897DE5" w:rsidRPr="00640820" w:rsidRDefault="00897DE5" w:rsidP="00640820">
      <w:pPr>
        <w:pStyle w:val="621"/>
        <w:shd w:val="clear" w:color="auto" w:fill="auto"/>
        <w:tabs>
          <w:tab w:val="left" w:pos="642"/>
        </w:tabs>
        <w:spacing w:before="0" w:line="240" w:lineRule="auto"/>
        <w:rPr>
          <w:color w:val="000000" w:themeColor="text1"/>
          <w:sz w:val="16"/>
          <w:szCs w:val="16"/>
        </w:rPr>
      </w:pPr>
      <w:r w:rsidRPr="00640820">
        <w:rPr>
          <w:rStyle w:val="16"/>
          <w:rFonts w:ascii="Times New Roman" w:cs="Times New Roman"/>
          <w:color w:val="000000" w:themeColor="text1"/>
          <w:spacing w:val="0"/>
          <w:u w:val="none"/>
        </w:rPr>
        <w:t>1. Наркомавиапром — г. Саратов.</w:t>
      </w:r>
    </w:p>
    <w:p w14:paraId="4CA4F326" w14:textId="77777777" w:rsidR="00897DE5" w:rsidRPr="00640820" w:rsidRDefault="00897DE5" w:rsidP="00640820">
      <w:pPr>
        <w:pStyle w:val="621"/>
        <w:shd w:val="clear" w:color="auto" w:fill="auto"/>
        <w:tabs>
          <w:tab w:val="left" w:pos="666"/>
        </w:tabs>
        <w:spacing w:before="0" w:line="240" w:lineRule="auto"/>
        <w:rPr>
          <w:color w:val="000000" w:themeColor="text1"/>
          <w:sz w:val="16"/>
          <w:szCs w:val="16"/>
        </w:rPr>
      </w:pPr>
      <w:r w:rsidRPr="00640820">
        <w:rPr>
          <w:rStyle w:val="16"/>
          <w:rFonts w:ascii="Times New Roman" w:cs="Times New Roman"/>
          <w:color w:val="000000" w:themeColor="text1"/>
          <w:spacing w:val="0"/>
          <w:u w:val="none"/>
        </w:rPr>
        <w:t>2. Наркомвооружений — г. Молотов.</w:t>
      </w:r>
    </w:p>
    <w:p w14:paraId="6F10E35A" w14:textId="77777777" w:rsidR="00897DE5" w:rsidRPr="00640820" w:rsidRDefault="00897DE5" w:rsidP="00640820">
      <w:pPr>
        <w:pStyle w:val="621"/>
        <w:shd w:val="clear" w:color="auto" w:fill="auto"/>
        <w:tabs>
          <w:tab w:val="left" w:pos="656"/>
        </w:tabs>
        <w:spacing w:before="0" w:line="240" w:lineRule="auto"/>
        <w:rPr>
          <w:color w:val="000000" w:themeColor="text1"/>
          <w:sz w:val="16"/>
          <w:szCs w:val="16"/>
        </w:rPr>
      </w:pPr>
      <w:r w:rsidRPr="00640820">
        <w:rPr>
          <w:rStyle w:val="16"/>
          <w:rFonts w:ascii="Times New Roman" w:cs="Times New Roman"/>
          <w:color w:val="000000" w:themeColor="text1"/>
          <w:spacing w:val="0"/>
          <w:u w:val="none"/>
        </w:rPr>
        <w:t>3. Наркомбоеприпасов — г. Челябинск.</w:t>
      </w:r>
    </w:p>
    <w:p w14:paraId="75EED8C5" w14:textId="77777777" w:rsidR="00897DE5" w:rsidRPr="00640820" w:rsidRDefault="00897DE5" w:rsidP="00640820">
      <w:pPr>
        <w:pStyle w:val="621"/>
        <w:shd w:val="clear" w:color="auto" w:fill="auto"/>
        <w:tabs>
          <w:tab w:val="left" w:pos="666"/>
        </w:tabs>
        <w:spacing w:before="0" w:line="240" w:lineRule="auto"/>
        <w:rPr>
          <w:color w:val="000000" w:themeColor="text1"/>
          <w:sz w:val="16"/>
          <w:szCs w:val="16"/>
        </w:rPr>
      </w:pPr>
      <w:r w:rsidRPr="00640820">
        <w:rPr>
          <w:rStyle w:val="16"/>
          <w:rFonts w:ascii="Times New Roman" w:cs="Times New Roman"/>
          <w:color w:val="000000" w:themeColor="text1"/>
          <w:spacing w:val="0"/>
          <w:u w:val="none"/>
        </w:rPr>
        <w:t>4. Наркомсудпром — г. Горький.</w:t>
      </w:r>
    </w:p>
    <w:p w14:paraId="66FEFF1E" w14:textId="77777777" w:rsidR="00897DE5" w:rsidRPr="00640820" w:rsidRDefault="00897DE5" w:rsidP="00640820">
      <w:pPr>
        <w:pStyle w:val="621"/>
        <w:shd w:val="clear" w:color="auto" w:fill="auto"/>
        <w:tabs>
          <w:tab w:val="left" w:pos="656"/>
        </w:tabs>
        <w:spacing w:before="0" w:line="240" w:lineRule="auto"/>
        <w:rPr>
          <w:color w:val="000000" w:themeColor="text1"/>
          <w:sz w:val="16"/>
          <w:szCs w:val="16"/>
        </w:rPr>
      </w:pPr>
      <w:r w:rsidRPr="00640820">
        <w:rPr>
          <w:rStyle w:val="16"/>
          <w:rFonts w:ascii="Times New Roman" w:cs="Times New Roman"/>
          <w:color w:val="000000" w:themeColor="text1"/>
          <w:spacing w:val="0"/>
          <w:u w:val="none"/>
        </w:rPr>
        <w:t>5. НКтяжмаш — г. Свердловск.</w:t>
      </w:r>
    </w:p>
    <w:p w14:paraId="5F8DFDFC" w14:textId="77777777" w:rsidR="00897DE5" w:rsidRPr="00640820" w:rsidRDefault="00897DE5" w:rsidP="00640820">
      <w:pPr>
        <w:pStyle w:val="621"/>
        <w:shd w:val="clear" w:color="auto" w:fill="auto"/>
        <w:tabs>
          <w:tab w:val="left" w:pos="661"/>
        </w:tabs>
        <w:spacing w:before="0" w:line="240" w:lineRule="auto"/>
        <w:rPr>
          <w:color w:val="000000" w:themeColor="text1"/>
          <w:sz w:val="16"/>
          <w:szCs w:val="16"/>
        </w:rPr>
      </w:pPr>
      <w:r w:rsidRPr="00640820">
        <w:rPr>
          <w:rStyle w:val="16"/>
          <w:rFonts w:ascii="Times New Roman" w:cs="Times New Roman"/>
          <w:color w:val="000000" w:themeColor="text1"/>
          <w:spacing w:val="0"/>
          <w:u w:val="none"/>
        </w:rPr>
        <w:t>6. НКсредмаш — г. Челябинск.</w:t>
      </w:r>
    </w:p>
    <w:p w14:paraId="65558F73" w14:textId="77777777" w:rsidR="00897DE5" w:rsidRPr="00640820" w:rsidRDefault="00897DE5" w:rsidP="00640820">
      <w:pPr>
        <w:pStyle w:val="621"/>
        <w:shd w:val="clear" w:color="auto" w:fill="auto"/>
        <w:tabs>
          <w:tab w:val="left" w:pos="661"/>
        </w:tabs>
        <w:spacing w:before="0" w:line="240" w:lineRule="auto"/>
        <w:rPr>
          <w:color w:val="000000" w:themeColor="text1"/>
          <w:sz w:val="16"/>
          <w:szCs w:val="16"/>
        </w:rPr>
      </w:pPr>
      <w:r w:rsidRPr="00640820">
        <w:rPr>
          <w:rStyle w:val="16"/>
          <w:rFonts w:ascii="Times New Roman" w:cs="Times New Roman"/>
          <w:color w:val="000000" w:themeColor="text1"/>
          <w:spacing w:val="0"/>
          <w:u w:val="none"/>
        </w:rPr>
        <w:t>7. НКобщемаш — г. Пенза.</w:t>
      </w:r>
    </w:p>
    <w:p w14:paraId="1E6D25FE" w14:textId="77777777" w:rsidR="00897DE5" w:rsidRPr="00640820" w:rsidRDefault="00897DE5" w:rsidP="00640820">
      <w:pPr>
        <w:pStyle w:val="621"/>
        <w:shd w:val="clear" w:color="auto" w:fill="auto"/>
        <w:tabs>
          <w:tab w:val="left" w:pos="656"/>
        </w:tabs>
        <w:spacing w:before="0" w:line="240" w:lineRule="auto"/>
        <w:rPr>
          <w:color w:val="000000" w:themeColor="text1"/>
          <w:sz w:val="16"/>
          <w:szCs w:val="16"/>
        </w:rPr>
      </w:pPr>
      <w:r w:rsidRPr="00640820">
        <w:rPr>
          <w:rStyle w:val="16"/>
          <w:rFonts w:ascii="Times New Roman" w:cs="Times New Roman"/>
          <w:color w:val="000000" w:themeColor="text1"/>
          <w:spacing w:val="0"/>
          <w:u w:val="none"/>
        </w:rPr>
        <w:t>8. НКстанкостроения — г. Чкалов.</w:t>
      </w:r>
    </w:p>
    <w:p w14:paraId="5C573460" w14:textId="77777777" w:rsidR="00897DE5" w:rsidRPr="00640820" w:rsidRDefault="00897DE5" w:rsidP="00640820">
      <w:pPr>
        <w:pStyle w:val="621"/>
        <w:shd w:val="clear" w:color="auto" w:fill="auto"/>
        <w:tabs>
          <w:tab w:val="left" w:pos="661"/>
        </w:tabs>
        <w:spacing w:before="0" w:line="240" w:lineRule="auto"/>
        <w:rPr>
          <w:color w:val="000000" w:themeColor="text1"/>
          <w:sz w:val="16"/>
          <w:szCs w:val="16"/>
        </w:rPr>
      </w:pPr>
      <w:r w:rsidRPr="00640820">
        <w:rPr>
          <w:rStyle w:val="16"/>
          <w:rFonts w:ascii="Times New Roman" w:cs="Times New Roman"/>
          <w:color w:val="000000" w:themeColor="text1"/>
          <w:spacing w:val="0"/>
          <w:u w:val="none"/>
        </w:rPr>
        <w:t>9. НКэлектропром — г. Свердловск.</w:t>
      </w:r>
    </w:p>
    <w:p w14:paraId="18811C12" w14:textId="77777777" w:rsidR="00897DE5" w:rsidRPr="00640820" w:rsidRDefault="00897DE5" w:rsidP="00640820">
      <w:pPr>
        <w:pStyle w:val="621"/>
        <w:shd w:val="clear" w:color="auto" w:fill="auto"/>
        <w:tabs>
          <w:tab w:val="left" w:pos="747"/>
        </w:tabs>
        <w:spacing w:before="0" w:line="240" w:lineRule="auto"/>
        <w:rPr>
          <w:color w:val="000000" w:themeColor="text1"/>
          <w:sz w:val="16"/>
          <w:szCs w:val="16"/>
        </w:rPr>
      </w:pPr>
      <w:r w:rsidRPr="00640820">
        <w:rPr>
          <w:rStyle w:val="16"/>
          <w:rFonts w:ascii="Times New Roman" w:cs="Times New Roman"/>
          <w:color w:val="000000" w:themeColor="text1"/>
          <w:spacing w:val="0"/>
          <w:u w:val="none"/>
        </w:rPr>
        <w:t>10. НКэлектростанций — г. Челябинск.</w:t>
      </w:r>
    </w:p>
    <w:p w14:paraId="2C1EA62C" w14:textId="77777777" w:rsidR="00897DE5" w:rsidRPr="00640820" w:rsidRDefault="00897DE5" w:rsidP="00640820">
      <w:pPr>
        <w:pStyle w:val="621"/>
        <w:shd w:val="clear" w:color="auto" w:fill="auto"/>
        <w:tabs>
          <w:tab w:val="left" w:pos="747"/>
        </w:tabs>
        <w:spacing w:before="0" w:line="240" w:lineRule="auto"/>
        <w:rPr>
          <w:color w:val="000000" w:themeColor="text1"/>
          <w:sz w:val="16"/>
          <w:szCs w:val="16"/>
        </w:rPr>
      </w:pPr>
      <w:r w:rsidRPr="00640820">
        <w:rPr>
          <w:rStyle w:val="16"/>
          <w:rFonts w:ascii="Times New Roman" w:cs="Times New Roman"/>
          <w:color w:val="000000" w:themeColor="text1"/>
          <w:spacing w:val="0"/>
          <w:u w:val="none"/>
        </w:rPr>
        <w:t>11. НКчермет — г. Свердловск.</w:t>
      </w:r>
    </w:p>
    <w:p w14:paraId="2ED9B256" w14:textId="77777777" w:rsidR="00897DE5" w:rsidRPr="00640820" w:rsidRDefault="00897DE5" w:rsidP="00640820">
      <w:pPr>
        <w:pStyle w:val="621"/>
        <w:shd w:val="clear" w:color="auto" w:fill="auto"/>
        <w:tabs>
          <w:tab w:val="left" w:pos="747"/>
        </w:tabs>
        <w:spacing w:before="0" w:line="240" w:lineRule="auto"/>
        <w:rPr>
          <w:color w:val="000000" w:themeColor="text1"/>
          <w:sz w:val="16"/>
          <w:szCs w:val="16"/>
        </w:rPr>
      </w:pPr>
      <w:r w:rsidRPr="00640820">
        <w:rPr>
          <w:rStyle w:val="16"/>
          <w:rFonts w:ascii="Times New Roman" w:cs="Times New Roman"/>
          <w:color w:val="000000" w:themeColor="text1"/>
          <w:spacing w:val="0"/>
          <w:u w:val="none"/>
        </w:rPr>
        <w:t>12. НКцветмет — г. Свердловск.</w:t>
      </w:r>
    </w:p>
    <w:p w14:paraId="709B6A9A" w14:textId="77777777" w:rsidR="00897DE5" w:rsidRPr="00640820" w:rsidRDefault="00897DE5" w:rsidP="00640820">
      <w:pPr>
        <w:pStyle w:val="621"/>
        <w:shd w:val="clear" w:color="auto" w:fill="auto"/>
        <w:tabs>
          <w:tab w:val="left" w:pos="747"/>
        </w:tabs>
        <w:spacing w:before="0" w:line="240" w:lineRule="auto"/>
        <w:rPr>
          <w:color w:val="000000" w:themeColor="text1"/>
          <w:sz w:val="16"/>
          <w:szCs w:val="16"/>
        </w:rPr>
      </w:pPr>
      <w:r w:rsidRPr="00640820">
        <w:rPr>
          <w:rStyle w:val="16"/>
          <w:rFonts w:ascii="Times New Roman" w:cs="Times New Roman"/>
          <w:color w:val="000000" w:themeColor="text1"/>
          <w:spacing w:val="0"/>
          <w:u w:val="none"/>
        </w:rPr>
        <w:t>13. НКхимпром — г. Молотов.</w:t>
      </w:r>
    </w:p>
    <w:p w14:paraId="15557C3A" w14:textId="77777777" w:rsidR="00897DE5" w:rsidRPr="00640820" w:rsidRDefault="00897DE5" w:rsidP="00640820">
      <w:pPr>
        <w:pStyle w:val="621"/>
        <w:shd w:val="clear" w:color="auto" w:fill="auto"/>
        <w:tabs>
          <w:tab w:val="left" w:pos="747"/>
        </w:tabs>
        <w:spacing w:before="0" w:line="240" w:lineRule="auto"/>
        <w:rPr>
          <w:color w:val="000000" w:themeColor="text1"/>
          <w:sz w:val="16"/>
          <w:szCs w:val="16"/>
        </w:rPr>
      </w:pPr>
      <w:r w:rsidRPr="00640820">
        <w:rPr>
          <w:rStyle w:val="16"/>
          <w:rFonts w:ascii="Times New Roman" w:cs="Times New Roman"/>
          <w:color w:val="000000" w:themeColor="text1"/>
          <w:spacing w:val="0"/>
          <w:u w:val="none"/>
        </w:rPr>
        <w:t>14. НКрезинпром — г. Казань.</w:t>
      </w:r>
    </w:p>
    <w:p w14:paraId="0B8B6E4D" w14:textId="77777777" w:rsidR="00897DE5" w:rsidRPr="00640820" w:rsidRDefault="00897DE5" w:rsidP="00640820">
      <w:pPr>
        <w:pStyle w:val="621"/>
        <w:shd w:val="clear" w:color="auto" w:fill="auto"/>
        <w:tabs>
          <w:tab w:val="left" w:pos="747"/>
        </w:tabs>
        <w:spacing w:before="0" w:line="240" w:lineRule="auto"/>
        <w:rPr>
          <w:color w:val="000000" w:themeColor="text1"/>
          <w:sz w:val="16"/>
          <w:szCs w:val="16"/>
        </w:rPr>
      </w:pPr>
      <w:r w:rsidRPr="00640820">
        <w:rPr>
          <w:rStyle w:val="16"/>
          <w:rFonts w:ascii="Times New Roman" w:cs="Times New Roman"/>
          <w:color w:val="000000" w:themeColor="text1"/>
          <w:spacing w:val="0"/>
          <w:u w:val="none"/>
        </w:rPr>
        <w:t>15. НКнефтепром — г. Уфа.</w:t>
      </w:r>
    </w:p>
    <w:p w14:paraId="7F134068" w14:textId="77777777" w:rsidR="00897DE5" w:rsidRPr="00640820" w:rsidRDefault="00897DE5" w:rsidP="00640820">
      <w:pPr>
        <w:pStyle w:val="621"/>
        <w:shd w:val="clear" w:color="auto" w:fill="auto"/>
        <w:tabs>
          <w:tab w:val="left" w:pos="747"/>
        </w:tabs>
        <w:spacing w:before="0" w:line="240" w:lineRule="auto"/>
        <w:rPr>
          <w:color w:val="000000" w:themeColor="text1"/>
          <w:sz w:val="16"/>
          <w:szCs w:val="16"/>
        </w:rPr>
      </w:pPr>
      <w:r w:rsidRPr="00640820">
        <w:rPr>
          <w:rStyle w:val="16"/>
          <w:rFonts w:ascii="Times New Roman" w:cs="Times New Roman"/>
          <w:color w:val="000000" w:themeColor="text1"/>
          <w:spacing w:val="0"/>
          <w:u w:val="none"/>
        </w:rPr>
        <w:t>16. НК угольной промышленности] — г. Молотов.</w:t>
      </w:r>
    </w:p>
    <w:p w14:paraId="209ADE14" w14:textId="77777777" w:rsidR="00897DE5" w:rsidRPr="00640820" w:rsidRDefault="00897DE5" w:rsidP="00640820">
      <w:pPr>
        <w:pStyle w:val="621"/>
        <w:shd w:val="clear" w:color="auto" w:fill="auto"/>
        <w:tabs>
          <w:tab w:val="left" w:pos="747"/>
        </w:tabs>
        <w:spacing w:before="0" w:line="240" w:lineRule="auto"/>
        <w:rPr>
          <w:color w:val="000000" w:themeColor="text1"/>
          <w:sz w:val="16"/>
          <w:szCs w:val="16"/>
        </w:rPr>
      </w:pPr>
      <w:r w:rsidRPr="00640820">
        <w:rPr>
          <w:rStyle w:val="16"/>
          <w:rFonts w:ascii="Times New Roman" w:cs="Times New Roman"/>
          <w:color w:val="000000" w:themeColor="text1"/>
          <w:spacing w:val="0"/>
          <w:u w:val="none"/>
        </w:rPr>
        <w:t>17. НК бумаж[ной] промышленности] — г. Краснокамск.</w:t>
      </w:r>
    </w:p>
    <w:p w14:paraId="70466853" w14:textId="77777777" w:rsidR="00897DE5" w:rsidRPr="00640820" w:rsidRDefault="00897DE5" w:rsidP="00640820">
      <w:pPr>
        <w:pStyle w:val="621"/>
        <w:shd w:val="clear" w:color="auto" w:fill="auto"/>
        <w:tabs>
          <w:tab w:val="left" w:pos="747"/>
        </w:tabs>
        <w:spacing w:before="0" w:line="240" w:lineRule="auto"/>
        <w:rPr>
          <w:color w:val="000000" w:themeColor="text1"/>
          <w:sz w:val="16"/>
          <w:szCs w:val="16"/>
        </w:rPr>
      </w:pPr>
      <w:r w:rsidRPr="00640820">
        <w:rPr>
          <w:rStyle w:val="16"/>
          <w:rFonts w:ascii="Times New Roman" w:cs="Times New Roman"/>
          <w:color w:val="000000" w:themeColor="text1"/>
          <w:spacing w:val="0"/>
          <w:u w:val="none"/>
        </w:rPr>
        <w:t>18. НКпромстроймат[ериа]лов — г. Асбест.</w:t>
      </w:r>
    </w:p>
    <w:p w14:paraId="581D27CB" w14:textId="77777777" w:rsidR="00897DE5" w:rsidRPr="00640820" w:rsidRDefault="00897DE5" w:rsidP="00640820">
      <w:pPr>
        <w:pStyle w:val="621"/>
        <w:shd w:val="clear" w:color="auto" w:fill="auto"/>
        <w:tabs>
          <w:tab w:val="left" w:pos="747"/>
        </w:tabs>
        <w:spacing w:before="0" w:line="240" w:lineRule="auto"/>
        <w:rPr>
          <w:color w:val="000000" w:themeColor="text1"/>
          <w:sz w:val="16"/>
          <w:szCs w:val="16"/>
        </w:rPr>
      </w:pPr>
      <w:r w:rsidRPr="00640820">
        <w:rPr>
          <w:rStyle w:val="16"/>
          <w:rFonts w:ascii="Times New Roman" w:cs="Times New Roman"/>
          <w:color w:val="000000" w:themeColor="text1"/>
          <w:spacing w:val="0"/>
          <w:u w:val="none"/>
        </w:rPr>
        <w:t>19. НК по стр[оительст]ву — г. Челябинск.</w:t>
      </w:r>
    </w:p>
    <w:p w14:paraId="718C8975" w14:textId="77777777" w:rsidR="00897DE5" w:rsidRPr="00640820" w:rsidRDefault="00897DE5" w:rsidP="00640820">
      <w:pPr>
        <w:pStyle w:val="621"/>
        <w:shd w:val="clear" w:color="auto" w:fill="auto"/>
        <w:tabs>
          <w:tab w:val="left" w:pos="771"/>
        </w:tabs>
        <w:spacing w:before="0" w:line="240" w:lineRule="auto"/>
        <w:rPr>
          <w:color w:val="000000" w:themeColor="text1"/>
          <w:sz w:val="16"/>
          <w:szCs w:val="16"/>
        </w:rPr>
      </w:pPr>
      <w:r w:rsidRPr="00640820">
        <w:rPr>
          <w:rStyle w:val="16"/>
          <w:rFonts w:ascii="Times New Roman" w:cs="Times New Roman"/>
          <w:color w:val="000000" w:themeColor="text1"/>
          <w:spacing w:val="0"/>
          <w:u w:val="none"/>
        </w:rPr>
        <w:t>20. НК лесной промышленности] — г. Киров.</w:t>
      </w:r>
    </w:p>
    <w:p w14:paraId="3782513B" w14:textId="77777777" w:rsidR="00897DE5" w:rsidRPr="00640820" w:rsidRDefault="00897DE5" w:rsidP="00640820">
      <w:pPr>
        <w:pStyle w:val="621"/>
        <w:shd w:val="clear" w:color="auto" w:fill="auto"/>
        <w:tabs>
          <w:tab w:val="left" w:pos="771"/>
        </w:tabs>
        <w:spacing w:before="0" w:line="240" w:lineRule="auto"/>
        <w:rPr>
          <w:color w:val="000000" w:themeColor="text1"/>
          <w:sz w:val="16"/>
          <w:szCs w:val="16"/>
        </w:rPr>
      </w:pPr>
      <w:r w:rsidRPr="00640820">
        <w:rPr>
          <w:rStyle w:val="16"/>
          <w:rFonts w:ascii="Times New Roman" w:cs="Times New Roman"/>
          <w:color w:val="000000" w:themeColor="text1"/>
          <w:spacing w:val="0"/>
          <w:u w:val="none"/>
        </w:rPr>
        <w:t>21. НК легкой промышленности] — г Сызрань.</w:t>
      </w:r>
    </w:p>
    <w:p w14:paraId="1D730480" w14:textId="77777777" w:rsidR="00897DE5" w:rsidRPr="00640820" w:rsidRDefault="00897DE5" w:rsidP="00640820">
      <w:pPr>
        <w:pStyle w:val="621"/>
        <w:shd w:val="clear" w:color="auto" w:fill="auto"/>
        <w:tabs>
          <w:tab w:val="left" w:pos="771"/>
        </w:tabs>
        <w:spacing w:before="0" w:line="240" w:lineRule="auto"/>
        <w:rPr>
          <w:color w:val="000000" w:themeColor="text1"/>
          <w:sz w:val="16"/>
          <w:szCs w:val="16"/>
        </w:rPr>
      </w:pPr>
      <w:r w:rsidRPr="00640820">
        <w:rPr>
          <w:rStyle w:val="16"/>
          <w:rFonts w:ascii="Times New Roman" w:cs="Times New Roman"/>
          <w:color w:val="000000" w:themeColor="text1"/>
          <w:spacing w:val="0"/>
          <w:u w:val="none"/>
        </w:rPr>
        <w:t>22. НК текстильной пром[ышленности] — г. Барнаул.</w:t>
      </w:r>
    </w:p>
    <w:p w14:paraId="60806197" w14:textId="77777777" w:rsidR="00897DE5" w:rsidRPr="00640820" w:rsidRDefault="00897DE5" w:rsidP="00640820">
      <w:pPr>
        <w:pStyle w:val="621"/>
        <w:shd w:val="clear" w:color="auto" w:fill="auto"/>
        <w:tabs>
          <w:tab w:val="left" w:pos="771"/>
        </w:tabs>
        <w:spacing w:before="0" w:line="240" w:lineRule="auto"/>
        <w:rPr>
          <w:color w:val="000000" w:themeColor="text1"/>
          <w:sz w:val="16"/>
          <w:szCs w:val="16"/>
        </w:rPr>
      </w:pPr>
      <w:r w:rsidRPr="00640820">
        <w:rPr>
          <w:rStyle w:val="16"/>
          <w:rFonts w:ascii="Times New Roman" w:cs="Times New Roman"/>
          <w:color w:val="000000" w:themeColor="text1"/>
          <w:spacing w:val="0"/>
          <w:u w:val="none"/>
        </w:rPr>
        <w:t>23. НК пищевой промышленности] — г. Казань.</w:t>
      </w:r>
    </w:p>
    <w:p w14:paraId="382CB573" w14:textId="77777777" w:rsidR="00897DE5" w:rsidRPr="00640820" w:rsidRDefault="00897DE5" w:rsidP="00640820">
      <w:pPr>
        <w:pStyle w:val="621"/>
        <w:shd w:val="clear" w:color="auto" w:fill="auto"/>
        <w:tabs>
          <w:tab w:val="left" w:pos="771"/>
        </w:tabs>
        <w:spacing w:before="0" w:line="240" w:lineRule="auto"/>
        <w:rPr>
          <w:color w:val="000000" w:themeColor="text1"/>
          <w:sz w:val="16"/>
          <w:szCs w:val="16"/>
        </w:rPr>
      </w:pPr>
      <w:r w:rsidRPr="00640820">
        <w:rPr>
          <w:rStyle w:val="16"/>
          <w:rFonts w:ascii="Times New Roman" w:cs="Times New Roman"/>
          <w:color w:val="000000" w:themeColor="text1"/>
          <w:spacing w:val="0"/>
          <w:u w:val="none"/>
        </w:rPr>
        <w:t>24. НК мясомолочной промышленности] — г. Орск.</w:t>
      </w:r>
    </w:p>
    <w:p w14:paraId="2639BD38" w14:textId="77777777" w:rsidR="00897DE5" w:rsidRPr="00640820" w:rsidRDefault="00897DE5" w:rsidP="00640820">
      <w:pPr>
        <w:pStyle w:val="621"/>
        <w:shd w:val="clear" w:color="auto" w:fill="auto"/>
        <w:tabs>
          <w:tab w:val="left" w:pos="771"/>
        </w:tabs>
        <w:spacing w:before="0" w:line="240" w:lineRule="auto"/>
        <w:rPr>
          <w:color w:val="000000" w:themeColor="text1"/>
          <w:sz w:val="16"/>
          <w:szCs w:val="16"/>
        </w:rPr>
      </w:pPr>
      <w:r w:rsidRPr="00640820">
        <w:rPr>
          <w:rStyle w:val="16"/>
          <w:rFonts w:ascii="Times New Roman" w:cs="Times New Roman"/>
          <w:color w:val="000000" w:themeColor="text1"/>
          <w:spacing w:val="0"/>
          <w:u w:val="none"/>
        </w:rPr>
        <w:t>25. НК рыбной промышленности] — г. Астрахань.</w:t>
      </w:r>
    </w:p>
    <w:p w14:paraId="101CC8EA" w14:textId="77777777" w:rsidR="00897DE5" w:rsidRPr="00640820" w:rsidRDefault="00897DE5" w:rsidP="00640820">
      <w:pPr>
        <w:pStyle w:val="621"/>
        <w:shd w:val="clear" w:color="auto" w:fill="auto"/>
        <w:tabs>
          <w:tab w:val="left" w:pos="771"/>
        </w:tabs>
        <w:spacing w:before="0" w:line="240" w:lineRule="auto"/>
        <w:rPr>
          <w:color w:val="000000" w:themeColor="text1"/>
          <w:sz w:val="16"/>
          <w:szCs w:val="16"/>
        </w:rPr>
      </w:pPr>
      <w:r w:rsidRPr="00640820">
        <w:rPr>
          <w:rStyle w:val="16"/>
          <w:rFonts w:ascii="Times New Roman" w:cs="Times New Roman"/>
          <w:color w:val="000000" w:themeColor="text1"/>
          <w:spacing w:val="0"/>
          <w:u w:val="none"/>
        </w:rPr>
        <w:t>26. НК торговли — г. Новосибирск.</w:t>
      </w:r>
    </w:p>
    <w:p w14:paraId="3B547BFF" w14:textId="77777777" w:rsidR="00897DE5" w:rsidRPr="00640820" w:rsidRDefault="00897DE5" w:rsidP="00640820">
      <w:pPr>
        <w:pStyle w:val="621"/>
        <w:shd w:val="clear" w:color="auto" w:fill="auto"/>
        <w:tabs>
          <w:tab w:val="left" w:pos="771"/>
        </w:tabs>
        <w:spacing w:before="0" w:line="240" w:lineRule="auto"/>
        <w:rPr>
          <w:color w:val="000000" w:themeColor="text1"/>
          <w:sz w:val="16"/>
          <w:szCs w:val="16"/>
        </w:rPr>
      </w:pPr>
      <w:r w:rsidRPr="00640820">
        <w:rPr>
          <w:rStyle w:val="16"/>
          <w:rFonts w:ascii="Times New Roman" w:cs="Times New Roman"/>
          <w:color w:val="000000" w:themeColor="text1"/>
          <w:spacing w:val="0"/>
          <w:u w:val="none"/>
        </w:rPr>
        <w:t>27. НК заготовок — г. Саратов.</w:t>
      </w:r>
    </w:p>
    <w:p w14:paraId="3325A7F3" w14:textId="77777777" w:rsidR="00897DE5" w:rsidRPr="00640820" w:rsidRDefault="00897DE5" w:rsidP="00640820">
      <w:pPr>
        <w:pStyle w:val="621"/>
        <w:shd w:val="clear" w:color="auto" w:fill="auto"/>
        <w:tabs>
          <w:tab w:val="left" w:pos="771"/>
        </w:tabs>
        <w:spacing w:before="0" w:line="240" w:lineRule="auto"/>
        <w:rPr>
          <w:color w:val="000000" w:themeColor="text1"/>
          <w:sz w:val="16"/>
          <w:szCs w:val="16"/>
        </w:rPr>
      </w:pPr>
      <w:r w:rsidRPr="00640820">
        <w:rPr>
          <w:rStyle w:val="16"/>
          <w:rFonts w:ascii="Times New Roman" w:cs="Times New Roman"/>
          <w:color w:val="000000" w:themeColor="text1"/>
          <w:spacing w:val="0"/>
          <w:u w:val="none"/>
        </w:rPr>
        <w:t>28. НКПС — г. Куйбышев.</w:t>
      </w:r>
    </w:p>
    <w:p w14:paraId="46A8E59A" w14:textId="77777777" w:rsidR="00897DE5" w:rsidRPr="00640820" w:rsidRDefault="00897DE5" w:rsidP="00640820">
      <w:pPr>
        <w:pStyle w:val="621"/>
        <w:shd w:val="clear" w:color="auto" w:fill="auto"/>
        <w:tabs>
          <w:tab w:val="left" w:pos="771"/>
        </w:tabs>
        <w:spacing w:before="0" w:line="240" w:lineRule="auto"/>
        <w:rPr>
          <w:color w:val="000000" w:themeColor="text1"/>
          <w:sz w:val="16"/>
          <w:szCs w:val="16"/>
        </w:rPr>
      </w:pPr>
      <w:r w:rsidRPr="00640820">
        <w:rPr>
          <w:rStyle w:val="16"/>
          <w:rFonts w:ascii="Times New Roman" w:cs="Times New Roman"/>
          <w:color w:val="000000" w:themeColor="text1"/>
          <w:spacing w:val="0"/>
          <w:u w:val="none"/>
        </w:rPr>
        <w:t>29. НК речного флота — г. Ульяновск.</w:t>
      </w:r>
    </w:p>
    <w:p w14:paraId="587D13FE" w14:textId="77777777" w:rsidR="00897DE5" w:rsidRPr="00640820" w:rsidRDefault="00897DE5" w:rsidP="00640820">
      <w:pPr>
        <w:pStyle w:val="621"/>
        <w:shd w:val="clear" w:color="auto" w:fill="auto"/>
        <w:tabs>
          <w:tab w:val="left" w:pos="762"/>
        </w:tabs>
        <w:spacing w:before="0" w:line="240" w:lineRule="auto"/>
        <w:rPr>
          <w:rStyle w:val="16"/>
          <w:rFonts w:ascii="Times New Roman" w:cs="Times New Roman"/>
          <w:color w:val="000000" w:themeColor="text1"/>
          <w:spacing w:val="0"/>
          <w:u w:val="none"/>
        </w:rPr>
      </w:pPr>
      <w:r w:rsidRPr="00640820">
        <w:rPr>
          <w:rStyle w:val="16"/>
          <w:rFonts w:ascii="Times New Roman" w:cs="Times New Roman"/>
          <w:color w:val="000000" w:themeColor="text1"/>
          <w:spacing w:val="0"/>
          <w:u w:val="none"/>
        </w:rPr>
        <w:t>30. НК связи — г. Уфа (15123).</w:t>
      </w:r>
    </w:p>
    <w:p w14:paraId="5174E950" w14:textId="77777777" w:rsidR="00897DE5" w:rsidRPr="00640820" w:rsidRDefault="00897DE5" w:rsidP="00640820">
      <w:pPr>
        <w:pStyle w:val="621"/>
        <w:shd w:val="clear" w:color="auto" w:fill="auto"/>
        <w:tabs>
          <w:tab w:val="left" w:pos="762"/>
        </w:tabs>
        <w:spacing w:before="0" w:line="240" w:lineRule="auto"/>
        <w:rPr>
          <w:rStyle w:val="16"/>
          <w:rFonts w:ascii="Times New Roman" w:cs="Times New Roman"/>
          <w:color w:val="000000" w:themeColor="text1"/>
          <w:spacing w:val="0"/>
          <w:u w:val="none"/>
        </w:rPr>
      </w:pPr>
    </w:p>
    <w:p w14:paraId="0D278D70"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4169C054"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1042A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середине ноября 1941 немцы подготовили новое наступление и хотели нанести охватывающие удары с севера и юга. У немцев во 2ВФ было 950 самолетов. На ближних подступах оборонялись КФ, ЗФ и правое крыло ЮЗФ. К середине ноября их усилили и пополнили. Превосходство все еще было у немцев. Особенно усилилась авиация, которая базировалась на аэродромах МВО и хорошо ремонтировалась. Ставка ВГК сконцентрировала резервы в центре, на сере и юге от столицы. На ЗФ ВВС д.б. активно участвовать в контрударах 16А и 49А при разных вариантах наступления немцев. ВВС КФ д.б. уничтожать противника в районе Калинина, прикрывать коммуникации. ВВС БФ и ЮЗФ - уничтожать подходящие резервы (341,73).</w:t>
      </w:r>
    </w:p>
    <w:p w14:paraId="67E56E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52D1992" w14:textId="77777777" w:rsidR="00D15EDB" w:rsidRPr="00640820" w:rsidRDefault="00D15E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середине ноября 1941 г. по указанию комфлота вице- адмирала Ф.С. Октябрьского был запланирован пере</w:t>
      </w:r>
      <w:r w:rsidRPr="00640820">
        <w:rPr>
          <w:rFonts w:ascii="Times New Roman" w:hAnsi="Times New Roman"/>
          <w:color w:val="0070C0"/>
          <w:sz w:val="16"/>
          <w:szCs w:val="16"/>
        </w:rPr>
        <w:softHyphen/>
        <w:t>лет МТБ-2 из Геленджика в Севастополь с последующими рейдами на Бухарест. Се</w:t>
      </w:r>
      <w:r w:rsidRPr="00640820">
        <w:rPr>
          <w:rFonts w:ascii="Times New Roman" w:hAnsi="Times New Roman"/>
          <w:color w:val="0070C0"/>
          <w:sz w:val="16"/>
          <w:szCs w:val="16"/>
        </w:rPr>
        <w:softHyphen/>
        <w:t>вастополь при этом использовался в каче</w:t>
      </w:r>
      <w:r w:rsidRPr="00640820">
        <w:rPr>
          <w:rFonts w:ascii="Times New Roman" w:hAnsi="Times New Roman"/>
          <w:color w:val="0070C0"/>
          <w:sz w:val="16"/>
          <w:szCs w:val="16"/>
        </w:rPr>
        <w:softHyphen/>
        <w:t>стве аэродрома подскока. 20 ноября ги</w:t>
      </w:r>
      <w:r w:rsidRPr="00640820">
        <w:rPr>
          <w:rFonts w:ascii="Times New Roman" w:hAnsi="Times New Roman"/>
          <w:color w:val="0070C0"/>
          <w:sz w:val="16"/>
          <w:szCs w:val="16"/>
        </w:rPr>
        <w:softHyphen/>
        <w:t>дросамолет перелетел в севастопольскую бухту Матюшенко, но до организации постоянного базирования дело не дошло. Слишком велика была опасность потерять единственную уникальную машину в слу</w:t>
      </w:r>
      <w:r w:rsidRPr="00640820">
        <w:rPr>
          <w:rFonts w:ascii="Times New Roman" w:hAnsi="Times New Roman"/>
          <w:color w:val="0070C0"/>
          <w:sz w:val="16"/>
          <w:szCs w:val="16"/>
        </w:rPr>
        <w:softHyphen/>
        <w:t>чае артиллерийского обстрела. По каким- то причинам не состоялся и планировав</w:t>
      </w:r>
      <w:r w:rsidRPr="00640820">
        <w:rPr>
          <w:rFonts w:ascii="Times New Roman" w:hAnsi="Times New Roman"/>
          <w:color w:val="0070C0"/>
          <w:sz w:val="16"/>
          <w:szCs w:val="16"/>
        </w:rPr>
        <w:softHyphen/>
        <w:t>шийся рейд на Бухарест, что, впрочем, не исключало возможности дальних полетов непосредственно из Геленджика (19852).</w:t>
      </w:r>
    </w:p>
    <w:p w14:paraId="3E3AD1C0" w14:textId="77777777" w:rsidR="00D15EDB" w:rsidRPr="00640820" w:rsidRDefault="00D15EDB" w:rsidP="00640820">
      <w:pPr>
        <w:spacing w:after="0" w:line="240" w:lineRule="auto"/>
        <w:jc w:val="both"/>
        <w:rPr>
          <w:rFonts w:ascii="Times New Roman" w:hAnsi="Times New Roman"/>
          <w:color w:val="0070C0"/>
          <w:sz w:val="16"/>
          <w:szCs w:val="16"/>
        </w:rPr>
      </w:pPr>
    </w:p>
    <w:p w14:paraId="67CF43A1"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156275F8"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D5475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середине ноября 1941 г. ГКО принял секретное постановление, по которому в Куйбышеве, Сталинграде, Саратове, Ярославле, Горьком и Казани должны были быть возведены надежные бункеры, способные выдержать любую бомбардировку. Ответственность за выполнение постановления была возложена на шефа НКВД Лаврентия Берию. Первым был построен Саратовский бункер. Его сооружение закончилось уже 15 января 1942 г. Располагалось убежище на глубине 20—30 м под Соколовой горой – самой большой возвышенностью в окрестностях города. По воспоминаниям очевидцев, в бункер вели два входа. От них шли длинные коридоры, по обеим сторонам которых были железные двери. В целях соблюдения секретности бункер получил название «Объект 85». В Горьком местный комитет обороны уже 15 ноября рассмотрел вопрос о передаче Центральной гостиницы на Верхневолжской набережной для нужд особого объекта. Именно здесь, в сотне метров от нижегородского Кремля, было решено построить секретный бункер для Сталина. Для работ были привлечены инженеры и рабочие московского метростроя под общим управлением местного НКВД. Затем горкомитет обороны принял решение передать под бомбо– и газоубежища весь комплекс зданий, примыкавших к гостинице (дома №№ 3, 4, 5, 6 и 7). В дальнейшем весь квартал от площади Советской до бывшего особняка купца Рукавишникова был огорожен высоким заборам, и лишь по постукиванию кирок и лопат да выезжающим из ворот грузовикам с грунтом нижегородцы могли догадываться о размахе ведущегося здесь строительства. Основной бункер, предназначавшийся для Сталина, начали рыть в толще волжского откоса. В общей сложности в работах приняли участие около тысячи человек. Курировал строительство сверхсекретного объекта заместитель Берии комиссар госбезопасности Л. Б. Сафразьян. В откосе были проделаны три штольни, уходившие в глубь земли на десятки метров. Грунт из них вывозился на вагонетках, колесивших по специально проложенной узкоколейке, и сваливался на берегу Волги. Работы шли авральными темпами, однако строительство все же затянулось почти на десять месяцев. «Особый объект № 74» был сдан в эксплуатацию 17 сентября 1942 г. Общая площадь помещений, залегавших на глубине 36 м, составила около 1200 кв. м. Восемь кабинетов, предназначенных для самого высокого начальства, были отделаны дорогой фанерой с дубовыми накладками, карнизами и плинтусами. В бункере имелись две электростанции, автономная система воздухообеспечения, водопровод и канализация, была подведена связь. Защитно-герметичные двери гарантированно защищали от попаданий бомб и отравляющих газов. Впоследствии наибольшую известность получил бункер в Куйбышеве. Его, как и в Горьком, проектировали и возводили московские метростроевцы. Для этого в Куйбышев был откомандирован отряд аж из 600 специалистов. Им в помощь под подписку о неразглашении гостайны были приданы и местные рабочие. Для стройки был выбран двор невысокого здания обкома партии, расположенного недалеко от берега Волги, в северной части города. Работы шли стахановскими темпами, круглосуточно, в три смены. Ели и спали строители здесь же, на стройплощадке. Чтобы не привлекать внимание жителей, выемка грунта производилась практически вручную, затем землю аккуратно складывали в специальные мешочки и вывозили на неприметных «полуторках». Тем не менее работы затянулись. Проект оказался слишком масштабным и дорогостоящим. Если у Черчилля, в Лондоне, и у Рузвельта, в Вашингтоне, бункеры находились на уровне второго подземного этажа, а у Гитлера, в Берлине, – на глубине 16 м, то куйбышевский бункер замыслили разместить на глубине 37 м! Засев в таком сооружении, человек мог не бояться попаданий бомб любых калибров. Сооружение перекрывал монолитный бетон толщиной три метра, песчаная прослойка и еще один метровый бетонный «тюфяк». При его возведении были вынуты 20 тыс. кв. м грунта и уложено 10 тыс. куб. м бетона. В итоге объект был сдан в эксплуатацию лишь 1 ноября 1942 г., т.е. в разгар Сталинградской битвы. С точки зрения строительного искусства это было уникальное сооружение. Система жизнеобеспечения убежища действовала полностью автономно. В бункере имелись мощная электростанция и установки регенерации воздуха. На самом нижнем, двенадцатом, этаже находился зал заседаний с таким же, как и в Кремле, длинным Т-образным столом, покрытым зеленым сукном. За ним могли одновременно разместиться 115 человек! Тут же, через коридор, располагался личный кабинет </w:t>
      </w:r>
      <w:r w:rsidRPr="00640820">
        <w:rPr>
          <w:rFonts w:ascii="Times New Roman" w:hAnsi="Times New Roman"/>
          <w:color w:val="000000" w:themeColor="text1"/>
          <w:sz w:val="16"/>
          <w:szCs w:val="16"/>
        </w:rPr>
        <w:lastRenderedPageBreak/>
        <w:t>Сталина, имевший, как и кремлевский, несколько выходов. На верхних этажах располагались помещения для охраны, складов и служб технического обеспечения. Вход в бункер находился в холле обкома, справа от парадной лестницы, причем возле неприметной двери круглосуточно дежурил сотрудник НКВД. Еще одно секретное убежище было сооружено в Сталинграде. Вход в него был скрыт в огромном овраге, по которому текла река Царица. По воспоминаниям очевидцев, это было огромное помещение под землей, в центре которого имелся зал высотой десять метров. Самое невероятное заключается в том, что в зале стояли танк (!) и самолет По-2. Последний в случае необходимости должен был взлететь по пойме реки Царица в сторону Волги. Танком, вероятно, предполагалось воспользоваться в случае внезапного появления противника в районе убежища. Появилось тайное убежище и в Ярославской области. В 20 км от областного центра, на территории санатория «Красный холм», был сооружен большой бункер, в котором среди обычных помещений и коридоров с железными дверями, по рассказам очевидцев, был даже зал с мраморными колоннами (11774).</w:t>
      </w:r>
    </w:p>
    <w:p w14:paraId="2C3DB0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5A3A58B"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0212A376"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01590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ноября 1941 был утвержден отчет о гос. испытаниях Як-1 N 2029, которые проходили с 27 сентября по 14 ноября 1941 в НИИ ВВС (796,3).</w:t>
      </w:r>
    </w:p>
    <w:p w14:paraId="7660E5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E4CDA6E"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6564BBA6"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47FBBB9" w14:textId="77777777" w:rsidR="00AE1A6D" w:rsidRPr="00640820" w:rsidRDefault="00AE1A6D" w:rsidP="00640820">
      <w:pPr>
        <w:pStyle w:val="162"/>
        <w:shd w:val="clear" w:color="auto" w:fill="auto"/>
        <w:spacing w:line="240" w:lineRule="auto"/>
        <w:jc w:val="both"/>
        <w:rPr>
          <w:color w:val="000000" w:themeColor="text1"/>
          <w:sz w:val="16"/>
          <w:szCs w:val="16"/>
        </w:rPr>
      </w:pPr>
      <w:r w:rsidRPr="00640820">
        <w:rPr>
          <w:color w:val="000000" w:themeColor="text1"/>
          <w:sz w:val="16"/>
          <w:szCs w:val="16"/>
        </w:rPr>
        <w:t>16 ноября 1941 на заво</w:t>
      </w:r>
      <w:r w:rsidRPr="00640820">
        <w:rPr>
          <w:color w:val="000000" w:themeColor="text1"/>
          <w:sz w:val="16"/>
          <w:szCs w:val="16"/>
        </w:rPr>
        <w:softHyphen/>
        <w:t>де состоялось совещание, в котором, помимо руководства ГАЗ и КБ, принял участие начальник БТУ (Бронетанковое управление) ГАБТУ КА военинженер первого ранга Б. М. Коробков. По результатам сове</w:t>
      </w:r>
      <w:r w:rsidRPr="00640820">
        <w:rPr>
          <w:color w:val="000000" w:themeColor="text1"/>
          <w:sz w:val="16"/>
          <w:szCs w:val="16"/>
        </w:rPr>
        <w:softHyphen/>
        <w:t>щания было принято решение увеличить толщину лобовых листов до 35 мм, рубку механика-водителя и корму до 25 мм, до той же толщины вырастала толщина брони башни.</w:t>
      </w:r>
    </w:p>
    <w:p w14:paraId="1351A20B" w14:textId="77777777" w:rsidR="00AE1A6D" w:rsidRPr="00640820" w:rsidRDefault="00AE1A6D" w:rsidP="00640820">
      <w:pPr>
        <w:pStyle w:val="162"/>
        <w:shd w:val="clear" w:color="auto" w:fill="auto"/>
        <w:spacing w:line="240" w:lineRule="auto"/>
        <w:jc w:val="both"/>
        <w:rPr>
          <w:color w:val="000000" w:themeColor="text1"/>
          <w:sz w:val="16"/>
          <w:szCs w:val="16"/>
        </w:rPr>
      </w:pPr>
      <w:r w:rsidRPr="00640820">
        <w:rPr>
          <w:color w:val="000000" w:themeColor="text1"/>
          <w:sz w:val="16"/>
          <w:szCs w:val="16"/>
        </w:rPr>
        <w:t>Еще за неделю до правительственного решения об увеличении толщи</w:t>
      </w:r>
      <w:r w:rsidRPr="00640820">
        <w:rPr>
          <w:color w:val="000000" w:themeColor="text1"/>
          <w:sz w:val="16"/>
          <w:szCs w:val="16"/>
        </w:rPr>
        <w:softHyphen/>
        <w:t>ны брони на Т-60, на ГАЗ был испытан образец танка с экранированным корпусом и башней. Испытания танка проводились с 9 по 11 ноября, их целью являлось изучение последствий экранировки Т-60, в результате которой масса машины выросла на 360 кг (общая масса экранированной машины составила 6150 кг). На танке с заводским номером 37 790 были установлены экраны толщиной 10 мм, защищавшие башню по периме</w:t>
      </w:r>
      <w:r w:rsidRPr="00640820">
        <w:rPr>
          <w:color w:val="000000" w:themeColor="text1"/>
          <w:sz w:val="16"/>
          <w:szCs w:val="16"/>
        </w:rPr>
        <w:softHyphen/>
        <w:t>тру, лобовой лист корпуса, рубку водителя и нижний кормовой лист (17485).</w:t>
      </w:r>
    </w:p>
    <w:p w14:paraId="3DC240CF" w14:textId="77777777" w:rsidR="00AE1A6D" w:rsidRPr="00640820" w:rsidRDefault="00AE1A6D" w:rsidP="00640820">
      <w:pPr>
        <w:spacing w:after="0" w:line="240" w:lineRule="auto"/>
        <w:jc w:val="both"/>
        <w:rPr>
          <w:rFonts w:ascii="Times New Roman" w:hAnsi="Times New Roman"/>
          <w:color w:val="000000" w:themeColor="text1"/>
          <w:sz w:val="16"/>
          <w:szCs w:val="16"/>
        </w:rPr>
      </w:pPr>
    </w:p>
    <w:p w14:paraId="379A4837" w14:textId="77777777" w:rsidR="00D15EDB" w:rsidRPr="00640820" w:rsidRDefault="00D15EDB" w:rsidP="00640820">
      <w:pPr>
        <w:spacing w:after="0" w:line="240" w:lineRule="auto"/>
        <w:jc w:val="both"/>
        <w:rPr>
          <w:rFonts w:ascii="Times New Roman" w:hAnsi="Times New Roman"/>
          <w:color w:val="0070C0"/>
          <w:sz w:val="16"/>
          <w:szCs w:val="16"/>
          <w:shd w:val="clear" w:color="auto" w:fill="FFFFFF"/>
        </w:rPr>
      </w:pPr>
      <w:r w:rsidRPr="00640820">
        <w:rPr>
          <w:rFonts w:ascii="Times New Roman" w:hAnsi="Times New Roman"/>
          <w:color w:val="0070C0"/>
          <w:sz w:val="16"/>
          <w:szCs w:val="16"/>
          <w:shd w:val="clear" w:color="auto" w:fill="FFFFFF"/>
        </w:rPr>
        <w:t>16 ноября 1941 года на совещании впервые тему увеличения толщины корпусов и башен Т-60. К тому времени КОЭ ГАЗ им. Молотова уже провело испытания танка с дополнительными броневыми листами толщиной 10 мм. Успешно проведенные испытания дали основание для дальнейшего повышения толщины брони. Одновременно ГАБТУ КА подняло вопрос и о модернизации танка (23032).</w:t>
      </w:r>
    </w:p>
    <w:p w14:paraId="34D141D8" w14:textId="77777777" w:rsidR="00D15EDB" w:rsidRPr="00640820" w:rsidRDefault="00D15EDB" w:rsidP="00640820">
      <w:pPr>
        <w:spacing w:after="0" w:line="240" w:lineRule="auto"/>
        <w:jc w:val="both"/>
        <w:rPr>
          <w:rFonts w:ascii="Times New Roman" w:hAnsi="Times New Roman"/>
          <w:color w:val="0070C0"/>
          <w:sz w:val="16"/>
          <w:szCs w:val="16"/>
          <w:shd w:val="clear" w:color="auto" w:fill="FFFFFF"/>
        </w:rPr>
      </w:pPr>
    </w:p>
    <w:p w14:paraId="603D23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ноября 1941 г. первый эшелон завода (Завод № 255 НКТП, Московский завод специальных машин, Челябинский завод электромашин, ГП «Электромашина», ОАО «НПО «Электромашина» /г. Москва;  г. Челябинск/ /454129(010)  г. Челябинск, ул. Машиностроителей, 21 тел. (3512) 55-20-50/)прибыл в город Завод размещен в гараже строительного треста № 22 в Ленинском районе и уже в 12.1941 г. начал выпуск электрооборудования для танков. В 1944 г. освоен выпуск генераторов и реле-регуляторов для новых типов танков.</w:t>
      </w:r>
    </w:p>
    <w:p w14:paraId="248BEC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продолжен выпуск основной продукции. С 1950-х  г. освоен выпуск электросистем и блоков для спецмашин. В 1964 г. принято постановление правительства о реконструкции и техническом перевооружении завода. С 1966 г. начато строительство новых корпусов. Номенклатура выпускаемых изделий достигла 300 наименований.</w:t>
      </w:r>
    </w:p>
    <w:p w14:paraId="26F989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21.11.1991 г. завод преобразован в ГП «Электромашина», 26.12.1996 г.- в ОАО. По решению правительства № 22-р от 9.01.2004 г. и Указу Президента РФ № 1009 от 4.08.2004 г. вошло в число стратегических оборонных предприятий.</w:t>
      </w:r>
    </w:p>
    <w:p w14:paraId="4E0BC3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(2005 г.): разработка и производство электрооборудования для бронетехники: электроприводы, пускорегулирующая аппаратура, электромашины, электронные системы поддержания и контроля заданных параметров исполнительных механизмов, полупроводниковые приборы и системы автоматики, системы управления вооружением и заряжанием, системы управления защитой от высокоточного оружия лазерного наведения; автономные газотурбинные энергоагрегаты; комплекс аппаратуры «Электронный подсказчик водителя и оператора-наводчика»; ремонт и модернизация электрооборудования танков Т-55, Т-62, Т-72, БМП-1, БМП-2.</w:t>
      </w:r>
    </w:p>
    <w:p w14:paraId="344AFD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являлся (2008 г.) единственным производителем в СНГ электроприводов и СУ вооружением для бронетанковой техники, ПЗРК «Игла», «Стрелец» и корабельных комплексов «Гибка».</w:t>
      </w:r>
    </w:p>
    <w:p w14:paraId="3BE6FA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(1930-е)- М.А. Мороз. Гендиректор (-2000-05 г.-)- О.И. Бочкарев,</w:t>
      </w:r>
      <w:r w:rsidRPr="00640820">
        <w:rPr>
          <w:rFonts w:ascii="Times New Roman" w:hAnsi="Times New Roman"/>
          <w:color w:val="000000" w:themeColor="text1"/>
          <w:sz w:val="16"/>
          <w:szCs w:val="16"/>
          <w:vertAlign w:val="superscript"/>
        </w:rPr>
        <w:t>101</w:t>
      </w:r>
      <w:r w:rsidRPr="00640820">
        <w:rPr>
          <w:rFonts w:ascii="Times New Roman" w:hAnsi="Times New Roman"/>
          <w:color w:val="000000" w:themeColor="text1"/>
          <w:sz w:val="16"/>
          <w:szCs w:val="16"/>
        </w:rPr>
        <w:t xml:space="preserve"> (09.2007-08 г.-)- В. Решетников.</w:t>
      </w:r>
    </w:p>
    <w:p w14:paraId="2726F9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гендиректора (2008 г.)- Е. Чепурнов.</w:t>
      </w:r>
    </w:p>
    <w:p w14:paraId="1D4403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Технический директор (-09.2007 г.)- В. Решетников.</w:t>
      </w:r>
    </w:p>
    <w:p w14:paraId="55487B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конструкторы- п П.Р. Биркин, п М.Д. Борисюк.</w:t>
      </w:r>
    </w:p>
    <w:p w14:paraId="58B225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стартеры: СТ-700 (1939-) (11982).</w:t>
      </w:r>
    </w:p>
    <w:p w14:paraId="4557B9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16D0E2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ноября 1941 года вышел приказ № 536сс НКВ</w:t>
      </w:r>
    </w:p>
    <w:p w14:paraId="5FC4AAB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исполнение постановления ГКО от 11 ноября 1941 года за № 888сс:</w:t>
      </w:r>
    </w:p>
    <w:p w14:paraId="16D5D8F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Директору завода № 221 подготовить к эвакуации завод № 221 из Сталинграда на ст. Юрга Новосибирской области на стройплощадку “Т” (6287, 1).</w:t>
      </w:r>
    </w:p>
    <w:p w14:paraId="24F1553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5E345B" w14:textId="77777777" w:rsidR="00930969" w:rsidRPr="00640820" w:rsidRDefault="009309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ноября 1941 года на площадки Омского завода транспортного машиностроения (мастерские по ремонту подвижного состава) было принято оборудование эвакуированного Ворошиловградского паровозостроительного завода им. Октябрьской революции, часть коллективов Конотопского паровозовагоноремонтного завода и Брянского паровозостроительного завода. В марте 1942 года Ленинградский завод имени Ворошилова перебазировался в город Омск. Так в Омске был создан завод танковой промышленности № 174. Омский завод получил задание организовать производство танков Т-34. В сжатые сроки был проведен огромный объем работ по размещению оборудования, строительству новых корпусов, изготовлению оснащения, и уже в мае 1942 года на фронт была отправлена первая партия танков Т-34. В октябре 1942 года на завод прибыла большая группа рабочих и служащих 1-го Сталинградского тракторного завода (19632).</w:t>
      </w:r>
    </w:p>
    <w:p w14:paraId="0E0B750F" w14:textId="77777777" w:rsidR="00930969" w:rsidRPr="00640820" w:rsidRDefault="00930969" w:rsidP="00640820">
      <w:pPr>
        <w:spacing w:after="0" w:line="240" w:lineRule="auto"/>
        <w:jc w:val="both"/>
        <w:rPr>
          <w:rFonts w:ascii="Times New Roman" w:hAnsi="Times New Roman"/>
          <w:color w:val="000000" w:themeColor="text1"/>
          <w:sz w:val="16"/>
          <w:szCs w:val="16"/>
        </w:rPr>
      </w:pPr>
    </w:p>
    <w:p w14:paraId="68966670" w14:textId="77777777" w:rsidR="00DE3D8D" w:rsidRPr="00640820" w:rsidRDefault="00DE3D8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ноября 1941 года в газете «Красная Чувашия» было опубликовано обращение комсомольцев артели «Большевик» ко всем трудящимся республики, в котором прозвучал призыв: «Построим бронепоезд «Комсомол Чуваши». К концу ноября было собрано 500 тысяч рублей. Общая сумма сбора достигла 1341 тысяч рублей. На собранные средства из сэкономленного металла в сверхурочное время рабочие Канашского завода построили и оборудовали два бронепоезда. В марте 1942 года бронепоезда, укомплектованные в основном жителями Чувашии, были направлены в район Северного Кавказа и приняли активное участие в боях летом 1942 года (15218).</w:t>
      </w:r>
    </w:p>
    <w:p w14:paraId="6CE4B40C" w14:textId="77777777" w:rsidR="00DE3D8D" w:rsidRPr="00640820" w:rsidRDefault="00DE3D8D" w:rsidP="00640820">
      <w:pPr>
        <w:spacing w:after="0" w:line="240" w:lineRule="auto"/>
        <w:jc w:val="both"/>
        <w:rPr>
          <w:rFonts w:ascii="Times New Roman" w:hAnsi="Times New Roman"/>
          <w:color w:val="000000" w:themeColor="text1"/>
          <w:sz w:val="16"/>
          <w:szCs w:val="16"/>
        </w:rPr>
      </w:pPr>
    </w:p>
    <w:p w14:paraId="1CDC16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ноября 1941 лишь на один день остановилась работа на заводе “Стандартбетон” в Павшино, производившим колпаки ДДОТ и противотанковые ежи. Однако командующий Западным фронтом Г. К. Жуков потребовал немедленно возобновить производство. Трудовой коллектив предприятия, работая в сложнейших условиях, не прекращал производство необходимой для фронта продукции даже в самые трудные дни обороны Москвы. Для возмещения недостатка в кадрах заводу было разрешено набрать несколько десятков рабочихспециалистов из числа призванных в армию. Но основную рабочую силу составляли женщины и подростки. Встали к станкам жены фронтовиков. Беззаветно трудились выпускники школы ФЗУ.</w:t>
      </w:r>
    </w:p>
    <w:p w14:paraId="425D42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Одновременно велись работы по развитию материальной базы предприятия. В 1943 г. вступили в строй литейный и механический цеха, обеспечившие полное комплектование изделия на заводе (9691).</w:t>
      </w:r>
    </w:p>
    <w:p w14:paraId="0ED8BF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C3CB22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ноября 1941 вышло Распоряжение ГКО № 902 [О передаче Якутской радиостанции из системы ГУСМП в ведение ГВФ для обеспечения радиосвязью особой радиолинии.] (7015, 100).</w:t>
      </w:r>
    </w:p>
    <w:p w14:paraId="2F8B1EC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291410"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4DF353C6"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AE1A1FC" w14:textId="77777777" w:rsidR="00DE3D8D" w:rsidRPr="00640820" w:rsidRDefault="00DE3D8D"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16 ноября </w:t>
      </w:r>
      <w:r w:rsidRPr="00640820">
        <w:rPr>
          <w:rFonts w:ascii="Times New Roman" w:hAnsi="Times New Roman"/>
          <w:color w:val="000000" w:themeColor="text1"/>
          <w:sz w:val="16"/>
          <w:szCs w:val="16"/>
        </w:rPr>
        <w:t>в 1941 году утреннее сообщение Совинформбюро:</w:t>
      </w:r>
    </w:p>
    <w:p w14:paraId="0D0FE5DD" w14:textId="77777777" w:rsidR="00DE3D8D" w:rsidRPr="00640820" w:rsidRDefault="00DE3D8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16 ноября наши войска вели бои с противником на всех фронтах.</w:t>
      </w:r>
    </w:p>
    <w:p w14:paraId="35F2144C" w14:textId="77777777" w:rsidR="00DE3D8D" w:rsidRPr="00640820" w:rsidRDefault="00DE3D8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Авиачасти, действующие на Южном фронте, за один день боевых действий сбили в воздушных боях 9 самолётов противника, уничтожили 30 немецких танков, до 100 автомашин с военными грузами, несколько бронемашин, много повозок и истребили до 1.500 фашистских солдат.</w:t>
      </w:r>
    </w:p>
    <w:p w14:paraId="23016640" w14:textId="77777777" w:rsidR="00DE3D8D" w:rsidRPr="00640820" w:rsidRDefault="00DE3D8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Лётчики авиачасти тов. Туренко, действующей на Северо-Западном фронте, за два дня уничтожили 160 автомашин с боеприпасами и пехотой противника, до 25 танков, 3 бронемашины, 2 цистерны с горючим и до 300 немецких солдат.</w:t>
      </w:r>
    </w:p>
    <w:p w14:paraId="07BC7966" w14:textId="77777777" w:rsidR="00DE3D8D" w:rsidRPr="00640820" w:rsidRDefault="00DE3D8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Немецко-фашистские мерзавцы истребляют жителей захваченных ими советских городов и сёл. На станции Дивенская фашисты расстреляли 8 местных жителей только за то, что они просили разрешить им свидание с арестованными односельчанами и родственниками. В городе Опочке неизвестным был убит на улице немецкий часовой. Фашисты оцепили улицу, где произошло убийство, выгнали всех жителей, мужчин и женщин, из квартир и расстреляли каждого второго. В Локнянском районе, Калининской области, немцы, устроив засаду у моста, взорванного партизанами, хватали первых попавшихся прохожих, расстреливали и вешали их. В этом же районе за несколько дней гитлеровские бандиты казнили 12 колхозников.</w:t>
      </w:r>
    </w:p>
    <w:p w14:paraId="6489F0DB" w14:textId="77777777" w:rsidR="00DE3D8D" w:rsidRPr="00640820" w:rsidRDefault="00DE3D8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Югославские партизаны предприняли ряд нападений на итальянские гарнизоны. Итало-германские войска, посланные из Белграда на помощь гарнизону города Лапово, попали в окружение партизан. В ожесточённом бою фашисты потеряли до 350 солдат убитыми и ранеными. 9 ноября в Югославии произошло большое крушение на линии Нови Сад-Суботица. Партизаны пустили под откос состав с грузом для германской армии.</w:t>
      </w:r>
    </w:p>
    <w:p w14:paraId="1AE9E13F" w14:textId="77777777" w:rsidR="00DE3D8D" w:rsidRPr="00640820" w:rsidRDefault="00DE3D8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Растет число советских патриоток, овладевших сложными профессиями. На Ташкентской железной дороге за последние два месяца сотни женщин, преимущественно домохозяек, окончили курсы помощников машинистов паровозов, поездных и вагонных мастеров, дежурных по станции, осмотрщиков. Слесарь-инструментальщик Кокандского паровозного депо тов. Ахмедова систематически выполняет нормы на 200-250 процентов. Тов. Мирбабаева, успешно освоившая специальность машиниста паровоза, выдвинута на должность дежурного депо станции Ташкент. В Андижанском депо домохозяйки тт. Коконина, Куфлина, Палачёва к Перегудова отлично обрабатывают на станках сложные детали. Сверловщица депо Савостьянова изо дня в день даёт свыше двух сменных норм. Формовщица Куйбышевского механического завода № 8 тов. Шарирова, только недавно пришедшая на производство, даёт 4,5 нормы в смену. Фрезеровщицы тт. Лашина и Максимова выполняют от трёх до четырёх норм.</w:t>
      </w:r>
    </w:p>
    <w:p w14:paraId="1972DFA4" w14:textId="77777777" w:rsidR="00DE3D8D" w:rsidRPr="00640820" w:rsidRDefault="00DE3D8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колхозной деревне женщины с успехом заменяют не только комбайнеров и трактористов, но и плотников, кузнецов, зоотехников. Колхозница артели имени Чкалова, Энбекши-Казахского района, Алма-Атинской области, тов. Бызаубаева успешно работает в кузнице, тов. Джексембиева — в столярной мастерской.» (14832).</w:t>
      </w:r>
    </w:p>
    <w:p w14:paraId="66FA616E" w14:textId="77777777" w:rsidR="00DE3D8D" w:rsidRPr="00640820" w:rsidRDefault="00DE3D8D" w:rsidP="00640820">
      <w:pPr>
        <w:spacing w:after="0" w:line="240" w:lineRule="auto"/>
        <w:jc w:val="both"/>
        <w:rPr>
          <w:rFonts w:ascii="Times New Roman" w:hAnsi="Times New Roman"/>
          <w:color w:val="000000" w:themeColor="text1"/>
          <w:sz w:val="16"/>
          <w:szCs w:val="16"/>
        </w:rPr>
      </w:pPr>
    </w:p>
    <w:p w14:paraId="2E78A469" w14:textId="77777777" w:rsidR="00DE3D8D" w:rsidRPr="00640820" w:rsidRDefault="00DE3D8D"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16 ноября </w:t>
      </w:r>
      <w:r w:rsidRPr="00640820">
        <w:rPr>
          <w:rFonts w:ascii="Times New Roman" w:hAnsi="Times New Roman"/>
          <w:color w:val="000000" w:themeColor="text1"/>
          <w:sz w:val="16"/>
          <w:szCs w:val="16"/>
        </w:rPr>
        <w:t>в 1941 году вечернее сообщение Совинформбюро:</w:t>
      </w:r>
    </w:p>
    <w:p w14:paraId="654815C0" w14:textId="77777777" w:rsidR="00DE3D8D" w:rsidRPr="00640820" w:rsidRDefault="00DE3D8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16 ноября наши войска вели бои с противником на всех фронтах. На Калининском и на одном из участков Юго-Западного фронта наши части отбили ряд ожесточённых атак немецко-фашистских войск. В ходе боёв противнику нанесён большой урон в живой силе и вооружении.</w:t>
      </w:r>
    </w:p>
    <w:p w14:paraId="19775D24" w14:textId="77777777" w:rsidR="00DE3D8D" w:rsidRPr="00640820" w:rsidRDefault="00DE3D8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14 ноября уничтожено не 44 немецких самолёта, как сообщалось ранее, а 52 немецких самолёта.</w:t>
      </w:r>
    </w:p>
    <w:p w14:paraId="133CE142" w14:textId="77777777" w:rsidR="00DE3D8D" w:rsidRPr="00640820" w:rsidRDefault="00DE3D8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15 ноября уничтожено 12 немецких самолётов. Наши потери — 5 самолётов.</w:t>
      </w:r>
    </w:p>
    <w:p w14:paraId="219A56C7" w14:textId="77777777" w:rsidR="00DE3D8D" w:rsidRPr="00640820" w:rsidRDefault="00DE3D8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16 ноября под Москвой сбито 3 немецких самолёта.</w:t>
      </w:r>
    </w:p>
    <w:p w14:paraId="38FFD3CE" w14:textId="77777777" w:rsidR="00DE3D8D" w:rsidRPr="00640820" w:rsidRDefault="00DE3D8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15 ноября частями нашей авиации, действующими на Западном, Юго-Западном и Южном фронтах, уничтожено 44 немецких танка, 12 бронемашин и танкеток, более 200 автомашин с пехотой и военными грузами, несколько полевых и зенитных орудий, 5 автоцистерн с горючим, сожжён склад боеприпасов и истреблено более двух батальонов пехоты противника.</w:t>
      </w:r>
    </w:p>
    <w:p w14:paraId="496D5290" w14:textId="77777777" w:rsidR="00DE3D8D" w:rsidRPr="00640820" w:rsidRDefault="00DE3D8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участком Южного фронта наши части за семь дней боёв уничтожили 113 немецких танков, около 300 автомашин с пехотой и боеприпасами, 27 орудий и истребили более четырёх батальонов вражеской пехоты.</w:t>
      </w:r>
    </w:p>
    <w:p w14:paraId="02053828" w14:textId="77777777" w:rsidR="00DE3D8D" w:rsidRPr="00640820" w:rsidRDefault="00DE3D8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Ни днём, ни ночью не дают покоя немецким оккупантам партизаны Киевской области. Бойцы партизанского отряда, где командиром директор завода тов. Щ., беспощадно уничтожают живую силу противника. На днях в деревню И. прибыла группа немецких солдат в количестве 17 человек. Фашисты разбрелись по домам и занялись грабежом. Крестьяне сообщили об этом в штаб партизанского отряда. Окружив деревню, партизаны с помощью колхозников перебили всех захватчиков. За три дня отряд тов. Щ. уничтожил свыше 60 немецких солдат и офицеров, сжёг организованный недалеко от села А. склад горючего.</w:t>
      </w:r>
    </w:p>
    <w:p w14:paraId="1D4801D8" w14:textId="77777777" w:rsidR="00DE3D8D" w:rsidRPr="00640820" w:rsidRDefault="00DE3D8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Партизанский отряд тов. Н. во время налёта на обоз врага перебил 24 немецких солдата и захватил 120 полушубков и валеных сапог, награбленных фашистами в окрестных деревнях. В последние дни партизаны области нанесли сильный урон мотобатальону противника. Организовав на пути следования батальона несколько засад, партизаны расстреливали немецко-фашистских мерзавцев из пулемётов и забрасывали их гранатами.</w:t>
      </w:r>
    </w:p>
    <w:p w14:paraId="6E7B6E7F" w14:textId="77777777" w:rsidR="00DE3D8D" w:rsidRPr="00640820" w:rsidRDefault="00DE3D8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Малоярославецком направлении фронта захвачена в плен большая группа немецких солдат. Из переписки, найденной у них, большой интерес представляют письма двух раненых немецких солдат к своим бывшим сослуживцам. Альберт Брюгман из Мюнхена пишет Гельмуту Гаммену: «Несколько дней назад я выписался из госпиталя... Для меня началась безотрадная жизнь калеки, жизнь лишнего человека, который всем в тягость. Я совершенно беспомощен, ничего не могу делать. Жена все время плачет и спрашивает, как мы будем жить. Вот до чего я навоевался... Горе озлобляет меня, и я начинаю говорить новыми словами... Проклятие убийцам, которые погнали меня на войну в чужие края и навсегда отравили мне и моей семье жизнь». Пессимизмом проникнуто письмо Карла Гиммеля Рудольфу Эсмару. Гиммель сообщает: «...На мне живого места нет. Я весь в заплатах и бинтах. Еле волочу ноги. Из госпиталя меня быстро выдворили. Моя кровать понадобилась другому солдату... Каждый день в госпитале разыгрываются драматические сцены... Я уже дома, но никакой радости не испытываю. К труду я непригоден. Питаемся очень скверно. Почти ничего достать нельзя. Нужных мне лекарств купить невозможно. В квартире холодно. Жена горюет, убивается... Таких, как я, здесь очень много. Нас обманули, послав воевать в Россию за чуждые нам интересы. Мы оказались дураками».</w:t>
      </w:r>
    </w:p>
    <w:p w14:paraId="104AE35E" w14:textId="77777777" w:rsidR="00DE3D8D" w:rsidRPr="00640820" w:rsidRDefault="00DE3D8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Успешно изучая военное дело, трудящиеся советской страны готовят мощные резервы для Красной Армии. В Махач-Кале бойцы всевобуча подразделения Милорадова отлично изучили винтовку, гранату, противогаз, воинские уставы. Они умеют быстро окапываться, действовать в обороне и наступлении. Настойчиво овладевают военными знаниями рабочие Сталин градского тракторного завода, завода «Красный Октябрь» и других предприятий Сталинградской области. Учебный пулемётный взвод, укомплектованный рабочими и служащими депо Арчеда, на днях вышел на тактические занятия в поле. Широкая сеть учебных пунктов организована на Алтае. В специальных группах готовятся тысячи снайперов, пулемётчиков и истребителей танков. В Усть-Калманском районе отличных показателей добился взвод, которым командует тов. Кулигин — участник боёв с фашистами. В Алейском районе бойцы роты инженера Антонова научились применять зажигательные бутылки. Учебные пункты повсеместно запасают лыжи, готовят кадры инструкторов-лыжников.» (14832).</w:t>
      </w:r>
    </w:p>
    <w:p w14:paraId="24014FE9" w14:textId="77777777" w:rsidR="00DE3D8D" w:rsidRPr="00640820" w:rsidRDefault="00DE3D8D" w:rsidP="00640820">
      <w:pPr>
        <w:spacing w:after="0" w:line="240" w:lineRule="auto"/>
        <w:jc w:val="both"/>
        <w:rPr>
          <w:rFonts w:ascii="Times New Roman" w:hAnsi="Times New Roman"/>
          <w:color w:val="000000" w:themeColor="text1"/>
          <w:sz w:val="16"/>
          <w:szCs w:val="16"/>
        </w:rPr>
      </w:pPr>
    </w:p>
    <w:p w14:paraId="6163716A" w14:textId="77777777" w:rsidR="00DE3D8D" w:rsidRPr="00640820" w:rsidRDefault="00DE3D8D" w:rsidP="00640820">
      <w:pPr>
        <w:spacing w:after="0" w:line="240" w:lineRule="auto"/>
        <w:jc w:val="both"/>
        <w:rPr>
          <w:rFonts w:ascii="Times New Roman" w:hAnsi="Times New Roman"/>
          <w:bCs/>
          <w:color w:val="000000" w:themeColor="text1"/>
          <w:sz w:val="16"/>
          <w:szCs w:val="16"/>
        </w:rPr>
      </w:pPr>
      <w:r w:rsidRPr="00640820">
        <w:rPr>
          <w:rFonts w:ascii="Times New Roman" w:hAnsi="Times New Roman"/>
          <w:bCs/>
          <w:color w:val="000000" w:themeColor="text1"/>
          <w:sz w:val="16"/>
          <w:szCs w:val="16"/>
        </w:rPr>
        <w:t xml:space="preserve">16 ноября </w:t>
      </w:r>
      <w:r w:rsidRPr="00640820">
        <w:rPr>
          <w:rFonts w:ascii="Times New Roman" w:hAnsi="Times New Roman"/>
          <w:color w:val="000000" w:themeColor="text1"/>
          <w:sz w:val="16"/>
          <w:szCs w:val="16"/>
        </w:rPr>
        <w:t>в 1941 году бойцы 316-й стрелковой дивизии под командованием И.B.Панфилова, удерживая рубеж обороны на Волоколамском направлении у разъезда Дубосеково, задержали атаку на Москву 50 немецких танков. Политрук Василий Клочков обратился к бойцам со словами: "Велика Россия, а отступать некуда, позади Москва!", ставшие девизом всех защитников столицы. Вооруженные гранатами, бутылками с зажигательной смесью и противотанковыми ружьями панфиловцы подбили сначала 14 танков, затем еще 18. Тяжело раненый политрук со связкой гранат бросился под танк и взорвал его вместе с собой. В бою погиб командир дивизии генерал-майор И.В.Панфилов.</w:t>
      </w:r>
    </w:p>
    <w:p w14:paraId="3F02CC32" w14:textId="77777777" w:rsidR="00DE3D8D" w:rsidRPr="00640820" w:rsidRDefault="00DE3D8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Указом Президиума Верховного Совета СССР от 21 июля 1942 г. участникам боя — бойцам 4-й роты 2-го батальона 1075-го стрелкового полка 316-й дивизии во главе с политруком В.Г.Клочковым было присвоено звание Героя Советского Союза. 17 ноября 1941 г. 316-я стрелковая дивизия за боевые отличия была награждена орденом Красного Знамени, 18 ноября получила наименование гвардейской, а 23 ноября ей было присвоено имя И.В.Панфилова. Считалось, что все герои погибли, но после войны стало известно, что пятеро остались живы (14832).</w:t>
      </w:r>
    </w:p>
    <w:p w14:paraId="69606816" w14:textId="77777777" w:rsidR="00DE3D8D" w:rsidRPr="00640820" w:rsidRDefault="00DE3D8D" w:rsidP="00640820">
      <w:pPr>
        <w:spacing w:after="0" w:line="240" w:lineRule="auto"/>
        <w:jc w:val="both"/>
        <w:rPr>
          <w:rFonts w:ascii="Times New Roman" w:hAnsi="Times New Roman"/>
          <w:color w:val="000000" w:themeColor="text1"/>
          <w:sz w:val="16"/>
          <w:szCs w:val="16"/>
        </w:rPr>
      </w:pPr>
    </w:p>
    <w:p w14:paraId="32861099" w14:textId="77777777" w:rsidR="00BA42ED" w:rsidRPr="00640820" w:rsidRDefault="00BA42ED" w:rsidP="00640820">
      <w:pPr>
        <w:pStyle w:val="11b"/>
        <w:shd w:val="clear" w:color="auto" w:fill="auto"/>
        <w:spacing w:after="0" w:line="240" w:lineRule="auto"/>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16 ноября 1941</w:t>
      </w:r>
    </w:p>
    <w:p w14:paraId="5C379A0B" w14:textId="77777777" w:rsidR="00BA42ED" w:rsidRPr="00640820" w:rsidRDefault="00BA42ED" w:rsidP="00640820">
      <w:pPr>
        <w:pStyle w:val="370"/>
        <w:shd w:val="clear" w:color="auto" w:fill="auto"/>
        <w:spacing w:before="0" w:line="240" w:lineRule="auto"/>
        <w:jc w:val="both"/>
        <w:rPr>
          <w:rFonts w:ascii="Times New Roman" w:hAnsi="Times New Roman" w:cs="Times New Roman"/>
          <w:i w:val="0"/>
          <w:color w:val="000000" w:themeColor="text1"/>
          <w:sz w:val="16"/>
          <w:szCs w:val="16"/>
        </w:rPr>
      </w:pPr>
      <w:r w:rsidRPr="00640820">
        <w:rPr>
          <w:rFonts w:ascii="Times New Roman" w:hAnsi="Times New Roman" w:cs="Times New Roman"/>
          <w:i w:val="0"/>
          <w:color w:val="000000" w:themeColor="text1"/>
          <w:sz w:val="16"/>
          <w:szCs w:val="16"/>
        </w:rPr>
        <w:t>ПРИКАЗ 432 АВИАЦИОННОМУ ПОЛКУ 16 ноября 1941 г. № 013 КОВРОВ.</w:t>
      </w:r>
    </w:p>
    <w:p w14:paraId="5C1D7761" w14:textId="77777777" w:rsidR="00BA42ED" w:rsidRPr="00640820" w:rsidRDefault="00BA42ED" w:rsidP="00640820">
      <w:pPr>
        <w:pStyle w:val="350"/>
        <w:shd w:val="clear" w:color="auto" w:fill="auto"/>
        <w:spacing w:line="240" w:lineRule="auto"/>
        <w:jc w:val="both"/>
        <w:rPr>
          <w:rFonts w:ascii="Times New Roman" w:hAnsi="Times New Roman" w:cs="Times New Roman"/>
          <w:color w:val="000000" w:themeColor="text1"/>
          <w:spacing w:val="0"/>
          <w:sz w:val="16"/>
          <w:szCs w:val="16"/>
        </w:rPr>
      </w:pPr>
      <w:r w:rsidRPr="00640820">
        <w:rPr>
          <w:rFonts w:ascii="Times New Roman" w:hAnsi="Times New Roman" w:cs="Times New Roman"/>
          <w:color w:val="000000" w:themeColor="text1"/>
          <w:spacing w:val="0"/>
          <w:sz w:val="16"/>
          <w:szCs w:val="16"/>
        </w:rPr>
        <w:t>11-го октября с.г. произошла авария самолета ТБ-7 № 4224 - командир корабля майор ТЯГУНИН.</w:t>
      </w:r>
    </w:p>
    <w:p w14:paraId="7179A6D7" w14:textId="77777777" w:rsidR="00BA42ED" w:rsidRPr="00640820" w:rsidRDefault="00BA42ED" w:rsidP="00640820">
      <w:pPr>
        <w:pStyle w:val="350"/>
        <w:shd w:val="clear" w:color="auto" w:fill="auto"/>
        <w:spacing w:line="240" w:lineRule="auto"/>
        <w:jc w:val="both"/>
        <w:rPr>
          <w:rFonts w:ascii="Times New Roman" w:hAnsi="Times New Roman" w:cs="Times New Roman"/>
          <w:color w:val="000000" w:themeColor="text1"/>
          <w:spacing w:val="0"/>
          <w:sz w:val="16"/>
          <w:szCs w:val="16"/>
        </w:rPr>
      </w:pPr>
      <w:r w:rsidRPr="00640820">
        <w:rPr>
          <w:rFonts w:ascii="Times New Roman" w:hAnsi="Times New Roman" w:cs="Times New Roman"/>
          <w:color w:val="000000" w:themeColor="text1"/>
          <w:spacing w:val="0"/>
          <w:sz w:val="16"/>
          <w:szCs w:val="16"/>
        </w:rPr>
        <w:t>Основным виновником аварии считаю ст. техника бортового воентехника 1 р. РАЗУМОВА В.Д., который халатно отнесся к исполнению своих обязанностей, в частности к контролю за выработкой горючего из баков.</w:t>
      </w:r>
    </w:p>
    <w:p w14:paraId="630287CE" w14:textId="77777777" w:rsidR="00BA42ED" w:rsidRPr="00640820" w:rsidRDefault="00BA42ED" w:rsidP="00640820">
      <w:pPr>
        <w:pStyle w:val="350"/>
        <w:shd w:val="clear" w:color="auto" w:fill="auto"/>
        <w:spacing w:line="240" w:lineRule="auto"/>
        <w:jc w:val="both"/>
        <w:rPr>
          <w:rFonts w:ascii="Times New Roman" w:hAnsi="Times New Roman" w:cs="Times New Roman"/>
          <w:color w:val="000000" w:themeColor="text1"/>
          <w:spacing w:val="0"/>
          <w:sz w:val="16"/>
          <w:szCs w:val="16"/>
        </w:rPr>
      </w:pPr>
      <w:r w:rsidRPr="00640820">
        <w:rPr>
          <w:rFonts w:ascii="Times New Roman" w:hAnsi="Times New Roman" w:cs="Times New Roman"/>
          <w:color w:val="000000" w:themeColor="text1"/>
          <w:spacing w:val="0"/>
          <w:sz w:val="16"/>
          <w:szCs w:val="16"/>
        </w:rPr>
        <w:t>Вторым виновником считаю командира корабля майора ТЯГУНИНА А.Н., который не спра</w:t>
      </w:r>
      <w:r w:rsidRPr="00640820">
        <w:rPr>
          <w:rFonts w:ascii="Times New Roman" w:hAnsi="Times New Roman" w:cs="Times New Roman"/>
          <w:color w:val="000000" w:themeColor="text1"/>
          <w:spacing w:val="0"/>
          <w:sz w:val="16"/>
          <w:szCs w:val="16"/>
        </w:rPr>
        <w:softHyphen/>
        <w:t>вился с пилотированием корабля на 2-х моторах, усугубив положение выпуском шасси, что привело к непроизвольной посадке на лес и аварии самолета.</w:t>
      </w:r>
    </w:p>
    <w:p w14:paraId="7320D3DB" w14:textId="77777777" w:rsidR="00BA42ED" w:rsidRPr="00640820" w:rsidRDefault="00BA42ED" w:rsidP="00640820">
      <w:pPr>
        <w:pStyle w:val="350"/>
        <w:shd w:val="clear" w:color="auto" w:fill="auto"/>
        <w:spacing w:line="240" w:lineRule="auto"/>
        <w:jc w:val="both"/>
        <w:rPr>
          <w:rFonts w:ascii="Times New Roman" w:hAnsi="Times New Roman" w:cs="Times New Roman"/>
          <w:color w:val="000000" w:themeColor="text1"/>
          <w:spacing w:val="0"/>
          <w:sz w:val="16"/>
          <w:szCs w:val="16"/>
        </w:rPr>
      </w:pPr>
      <w:r w:rsidRPr="00640820">
        <w:rPr>
          <w:rFonts w:ascii="Times New Roman" w:hAnsi="Times New Roman" w:cs="Times New Roman"/>
          <w:color w:val="000000" w:themeColor="text1"/>
          <w:spacing w:val="0"/>
          <w:sz w:val="16"/>
          <w:szCs w:val="16"/>
        </w:rPr>
        <w:t>На основании этого ПРИКАЗЫВАЮ:</w:t>
      </w:r>
    </w:p>
    <w:p w14:paraId="4D6C7996" w14:textId="77777777" w:rsidR="00BA42ED" w:rsidRPr="00640820" w:rsidRDefault="00BA42ED" w:rsidP="00640820">
      <w:pPr>
        <w:pStyle w:val="350"/>
        <w:numPr>
          <w:ilvl w:val="0"/>
          <w:numId w:val="25"/>
        </w:numPr>
        <w:shd w:val="clear" w:color="auto" w:fill="auto"/>
        <w:tabs>
          <w:tab w:val="left" w:pos="455"/>
        </w:tabs>
        <w:autoSpaceDE/>
        <w:autoSpaceDN/>
        <w:adjustRightInd/>
        <w:spacing w:line="240" w:lineRule="auto"/>
        <w:jc w:val="both"/>
        <w:rPr>
          <w:rFonts w:ascii="Times New Roman" w:hAnsi="Times New Roman" w:cs="Times New Roman"/>
          <w:color w:val="000000" w:themeColor="text1"/>
          <w:spacing w:val="0"/>
          <w:sz w:val="16"/>
          <w:szCs w:val="16"/>
        </w:rPr>
      </w:pPr>
      <w:r w:rsidRPr="00640820">
        <w:rPr>
          <w:rFonts w:ascii="Times New Roman" w:hAnsi="Times New Roman" w:cs="Times New Roman"/>
          <w:color w:val="000000" w:themeColor="text1"/>
          <w:spacing w:val="0"/>
          <w:sz w:val="16"/>
          <w:szCs w:val="16"/>
        </w:rPr>
        <w:t>Ст. техника бортового воентехника 1 ранга РАЗУМОВА В, Д, от занимаемой должности освободить и предать суду Военного Трибунала.</w:t>
      </w:r>
    </w:p>
    <w:p w14:paraId="5581413D" w14:textId="77777777" w:rsidR="00BA42ED" w:rsidRPr="00640820" w:rsidRDefault="00BA42ED" w:rsidP="00640820">
      <w:pPr>
        <w:pStyle w:val="350"/>
        <w:numPr>
          <w:ilvl w:val="0"/>
          <w:numId w:val="25"/>
        </w:numPr>
        <w:shd w:val="clear" w:color="auto" w:fill="auto"/>
        <w:tabs>
          <w:tab w:val="left" w:pos="455"/>
        </w:tabs>
        <w:autoSpaceDE/>
        <w:autoSpaceDN/>
        <w:adjustRightInd/>
        <w:spacing w:line="240" w:lineRule="auto"/>
        <w:jc w:val="both"/>
        <w:rPr>
          <w:rFonts w:ascii="Times New Roman" w:hAnsi="Times New Roman" w:cs="Times New Roman"/>
          <w:color w:val="000000" w:themeColor="text1"/>
          <w:spacing w:val="0"/>
          <w:sz w:val="16"/>
          <w:szCs w:val="16"/>
        </w:rPr>
      </w:pPr>
      <w:r w:rsidRPr="00640820">
        <w:rPr>
          <w:rFonts w:ascii="Times New Roman" w:hAnsi="Times New Roman" w:cs="Times New Roman"/>
          <w:color w:val="000000" w:themeColor="text1"/>
          <w:spacing w:val="0"/>
          <w:sz w:val="16"/>
          <w:szCs w:val="16"/>
        </w:rPr>
        <w:t>Командира АЭ - командира корабля, майора ТЯГУНИНА А. Н. от занимаемой должности командира эскадрильи освободить и перевести на должность второго летчика.</w:t>
      </w:r>
    </w:p>
    <w:p w14:paraId="5AB0A184" w14:textId="77777777" w:rsidR="00BA42ED" w:rsidRPr="00640820" w:rsidRDefault="00BA42ED" w:rsidP="00640820">
      <w:pPr>
        <w:pStyle w:val="350"/>
        <w:shd w:val="clear" w:color="auto" w:fill="auto"/>
        <w:spacing w:line="240" w:lineRule="auto"/>
        <w:jc w:val="both"/>
        <w:rPr>
          <w:rFonts w:ascii="Times New Roman" w:hAnsi="Times New Roman" w:cs="Times New Roman"/>
          <w:color w:val="000000" w:themeColor="text1"/>
          <w:spacing w:val="0"/>
          <w:sz w:val="16"/>
          <w:szCs w:val="16"/>
        </w:rPr>
      </w:pPr>
      <w:r w:rsidRPr="00640820">
        <w:rPr>
          <w:rFonts w:ascii="Times New Roman" w:hAnsi="Times New Roman" w:cs="Times New Roman"/>
          <w:color w:val="000000" w:themeColor="text1"/>
          <w:spacing w:val="0"/>
          <w:sz w:val="16"/>
          <w:szCs w:val="16"/>
        </w:rPr>
        <w:t>ОСНОВАНИЕ: Донесение с резолюцией Командира 81 АД (19088).</w:t>
      </w:r>
    </w:p>
    <w:p w14:paraId="4531356C" w14:textId="77777777" w:rsidR="00BA42ED" w:rsidRPr="00640820" w:rsidRDefault="00BA42ED" w:rsidP="00640820">
      <w:pPr>
        <w:pStyle w:val="11b"/>
        <w:shd w:val="clear" w:color="auto" w:fill="auto"/>
        <w:spacing w:after="0" w:line="240" w:lineRule="auto"/>
        <w:jc w:val="both"/>
        <w:rPr>
          <w:rFonts w:ascii="Times New Roman" w:hAnsi="Times New Roman" w:cs="Times New Roman"/>
          <w:color w:val="000000" w:themeColor="text1"/>
          <w:sz w:val="16"/>
          <w:szCs w:val="16"/>
        </w:rPr>
      </w:pPr>
    </w:p>
    <w:p w14:paraId="0BDB3C5D" w14:textId="77777777" w:rsidR="00DE3D8D" w:rsidRPr="00640820" w:rsidRDefault="00DE3D8D"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16 ноября </w:t>
      </w:r>
      <w:r w:rsidRPr="00640820">
        <w:rPr>
          <w:rFonts w:ascii="Times New Roman" w:hAnsi="Times New Roman"/>
          <w:color w:val="000000" w:themeColor="text1"/>
          <w:sz w:val="16"/>
          <w:szCs w:val="16"/>
        </w:rPr>
        <w:t>в 1941 году войска 30-й армии правого крыла 3ападного фронта начали отход к Волге, а южнее Волжского водохранилища на рубеж Завидово, Ямуга (14832).</w:t>
      </w:r>
    </w:p>
    <w:p w14:paraId="74A7843D" w14:textId="77777777" w:rsidR="00DE3D8D" w:rsidRPr="00640820" w:rsidRDefault="00DE3D8D" w:rsidP="00640820">
      <w:pPr>
        <w:spacing w:after="0" w:line="240" w:lineRule="auto"/>
        <w:jc w:val="both"/>
        <w:rPr>
          <w:rFonts w:ascii="Times New Roman" w:hAnsi="Times New Roman"/>
          <w:color w:val="000000" w:themeColor="text1"/>
          <w:sz w:val="16"/>
          <w:szCs w:val="16"/>
        </w:rPr>
      </w:pPr>
    </w:p>
    <w:p w14:paraId="59890ACD" w14:textId="77777777" w:rsidR="00DE3D8D" w:rsidRPr="00640820" w:rsidRDefault="00DE3D8D"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16 ноября </w:t>
      </w:r>
      <w:r w:rsidRPr="00640820">
        <w:rPr>
          <w:rFonts w:ascii="Times New Roman" w:hAnsi="Times New Roman"/>
          <w:color w:val="000000" w:themeColor="text1"/>
          <w:sz w:val="16"/>
          <w:szCs w:val="16"/>
        </w:rPr>
        <w:t>в 1941 году завершилась Крымская операция: войска 51-й армии эвакуировались из Крыма на Таманский п-ов. Противник овладел почти всей территорией Крыма, блокировал Севастополь с суши (14832).</w:t>
      </w:r>
    </w:p>
    <w:p w14:paraId="79703103" w14:textId="77777777" w:rsidR="00DE3D8D" w:rsidRPr="00640820" w:rsidRDefault="00DE3D8D" w:rsidP="00640820">
      <w:pPr>
        <w:spacing w:after="0" w:line="240" w:lineRule="auto"/>
        <w:jc w:val="both"/>
        <w:rPr>
          <w:rFonts w:ascii="Times New Roman" w:hAnsi="Times New Roman"/>
          <w:color w:val="000000" w:themeColor="text1"/>
          <w:sz w:val="16"/>
          <w:szCs w:val="16"/>
        </w:rPr>
      </w:pPr>
    </w:p>
    <w:p w14:paraId="6015386C" w14:textId="77777777" w:rsidR="00DE3D8D" w:rsidRPr="00640820" w:rsidRDefault="00DE3D8D"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16 ноября </w:t>
      </w:r>
      <w:r w:rsidRPr="00640820">
        <w:rPr>
          <w:rFonts w:ascii="Times New Roman" w:hAnsi="Times New Roman"/>
          <w:color w:val="000000" w:themeColor="text1"/>
          <w:sz w:val="16"/>
          <w:szCs w:val="16"/>
        </w:rPr>
        <w:t>в 1941 году ударная группировка 1-й немецкой танковой армии продвинулась до рубежа Пугачев, севернее Генеральского. Завершилась Ростовская оборонительная операция советских войск (14832).</w:t>
      </w:r>
    </w:p>
    <w:p w14:paraId="29227CA6" w14:textId="77777777" w:rsidR="00DE3D8D" w:rsidRPr="00640820" w:rsidRDefault="00DE3D8D" w:rsidP="00640820">
      <w:pPr>
        <w:spacing w:after="0" w:line="240" w:lineRule="auto"/>
        <w:jc w:val="both"/>
        <w:rPr>
          <w:rFonts w:ascii="Times New Roman" w:hAnsi="Times New Roman"/>
          <w:color w:val="000000" w:themeColor="text1"/>
          <w:sz w:val="16"/>
          <w:szCs w:val="16"/>
        </w:rPr>
      </w:pPr>
    </w:p>
    <w:p w14:paraId="2B14B7FC" w14:textId="77777777" w:rsidR="00DE3D8D" w:rsidRPr="00640820" w:rsidRDefault="00DE3D8D"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lastRenderedPageBreak/>
        <w:t xml:space="preserve">16 ноября </w:t>
      </w:r>
      <w:r w:rsidRPr="00640820">
        <w:rPr>
          <w:rFonts w:ascii="Times New Roman" w:hAnsi="Times New Roman"/>
          <w:color w:val="000000" w:themeColor="text1"/>
          <w:sz w:val="16"/>
          <w:szCs w:val="16"/>
        </w:rPr>
        <w:t>в 1941 году войска 51-й армии эвакуировались из Крыма на Таманский полуостров. Немецкие войска овладели почти всей территорией Крыма и блокировать Севастополь с суши (14832).</w:t>
      </w:r>
    </w:p>
    <w:p w14:paraId="54E3038E" w14:textId="77777777" w:rsidR="00DE3D8D" w:rsidRPr="00640820" w:rsidRDefault="00DE3D8D" w:rsidP="00640820">
      <w:pPr>
        <w:spacing w:after="0" w:line="240" w:lineRule="auto"/>
        <w:jc w:val="both"/>
        <w:rPr>
          <w:rFonts w:ascii="Times New Roman" w:hAnsi="Times New Roman"/>
          <w:color w:val="000000" w:themeColor="text1"/>
          <w:sz w:val="16"/>
          <w:szCs w:val="16"/>
        </w:rPr>
      </w:pPr>
    </w:p>
    <w:p w14:paraId="240C43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ноября 1941 было одно из первых успешных применений ПТР. Восемь расчетов сожгли 2 танка (4083).</w:t>
      </w:r>
    </w:p>
    <w:p w14:paraId="0589CC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263F5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ноября 1941 был тот самый бой 28 панфиловцев у разъезда Дубосеково - 18 танков за 4 часа - говорят не было, все придумала КЗ (2438,220). 28 истребителей танков 2 батальона 1075 сп 316 д из 50 наступавших сожгли 18. В районе д Петелино 8 расчетов противотанковых ружей уничтожили 2 танка (3398,401).</w:t>
      </w:r>
    </w:p>
    <w:p w14:paraId="1FC12B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0BF94A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ноября 1941 28 панфиловцев остановили продвижение немецких танков под Москвой (4962).</w:t>
      </w:r>
    </w:p>
    <w:p w14:paraId="60B72EF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91F1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ноября 1941 немцы захватили Керчь (2260).</w:t>
      </w:r>
    </w:p>
    <w:p w14:paraId="6FFA16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84CF8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ноября 1941 Шапошников передает наконец Кулику приказ Сталина: "Керчь держать до конца". Но Керчь уже сдана. Вернуть Керчь нечем и невозможно...Кудика отозвали в Москву. Государственный Комитет Обороны принял решение:</w:t>
      </w:r>
    </w:p>
    <w:p w14:paraId="6BF67C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Попытка т. Кулика оправдать самовольную сдачу Керчи необходимостью спасти находившиеся на Керченском полуострове вооружение и технику только подтверждают, что т. Кулик не ставил задачи обороны Керчи во что бы то ни стало, а сознательно шел на нарушение приказа Ставки и своим паникерским поведением облегчил врагу временный захват Керчи и Керченского полуострова (3573).</w:t>
      </w:r>
    </w:p>
    <w:p w14:paraId="6A19FE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основании всего сказанного, Государственный Комитет Обороны постановляет привлечь к суду маршала Кулика и передать его дело на рассмотрение прокурора СССР. Состав суда определить особо" (3573).</w:t>
      </w:r>
    </w:p>
    <w:p w14:paraId="023A90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Прокурор СССР В.Бочков подписал обвинительное заключение с такими словами:</w:t>
      </w:r>
    </w:p>
    <w:p w14:paraId="1BC53B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Керчь Маршал Кулик Г.И. прибыл днем 12 ноября, застав панику в городе и полное отсутствие руководства боевыми операциями и управления войсками. Вместо организации обороны и насаждения жесткой дисциплины в войсках, а также вместо упорядочения руководства и управления ими - он без ведома и разрешения Ставки отдал приказание об эвакуации войск в течение двух суток и оставлении Керчи и ее района противнику (3573).</w:t>
      </w:r>
    </w:p>
    <w:p w14:paraId="7889DE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Это преступное распоряжение грубейшим образом нарушало приказ Ставки, для проведения которого в жизнь Маршал Кулик Г.И. и был послан" (3573).</w:t>
      </w:r>
    </w:p>
    <w:p w14:paraId="5C3700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Суд признал правоту Прокурора, Кулик был лишен всех наград и звания Героя Советского Союза, понижен в звании до генерал-майора, но из партии не исключен. "За оставление Керченского полуострова и Керчи" еще суровее был наказан вице-адмирал Г.И.Левченко. Суд приговорил его к 10 годам лагерей. Но Левченко признал свою вину. Лагеря ему заменили разжалованием в капитаны первого ранга, а к 1944 г. он снова зам. наркома ВМФ и стал даже не вице-, а полным адмиралом (3573).</w:t>
      </w:r>
    </w:p>
    <w:p w14:paraId="452592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D8391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ноября 1941 броневагон передали на усиление бронепоезда "Народный мститель", который вел бой с противником на участке Понтонная - Саперная - Ижоры (9634).</w:t>
      </w:r>
    </w:p>
    <w:p w14:paraId="4B70D2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240E423" w14:textId="77777777" w:rsidR="00165A9C" w:rsidRPr="00640820" w:rsidRDefault="00165A9C" w:rsidP="00640820">
      <w:pPr>
        <w:autoSpaceDE w:val="0"/>
        <w:autoSpaceDN w:val="0"/>
        <w:adjustRightInd w:val="0"/>
        <w:spacing w:after="0" w:line="240" w:lineRule="auto"/>
        <w:jc w:val="both"/>
        <w:rPr>
          <w:rFonts w:ascii="Times New Roman" w:hAnsi="Times New Roman"/>
          <w:i/>
          <w:iCs/>
          <w:color w:val="000000" w:themeColor="text1"/>
          <w:sz w:val="16"/>
          <w:szCs w:val="16"/>
        </w:rPr>
      </w:pPr>
      <w:r w:rsidRPr="00640820">
        <w:rPr>
          <w:rFonts w:ascii="Times New Roman" w:hAnsi="Times New Roman"/>
          <w:i/>
          <w:iCs/>
          <w:color w:val="000000" w:themeColor="text1"/>
          <w:sz w:val="16"/>
          <w:szCs w:val="16"/>
        </w:rPr>
        <w:t>Жизнь и внутренняя поли</w:t>
      </w:r>
      <w:r w:rsidR="001C78C6" w:rsidRPr="00640820">
        <w:rPr>
          <w:rFonts w:ascii="Times New Roman" w:hAnsi="Times New Roman"/>
          <w:i/>
          <w:iCs/>
          <w:color w:val="000000" w:themeColor="text1"/>
          <w:sz w:val="16"/>
          <w:szCs w:val="16"/>
        </w:rPr>
        <w:t>т</w:t>
      </w:r>
      <w:r w:rsidRPr="00640820">
        <w:rPr>
          <w:rFonts w:ascii="Times New Roman" w:hAnsi="Times New Roman"/>
          <w:i/>
          <w:iCs/>
          <w:color w:val="000000" w:themeColor="text1"/>
          <w:sz w:val="16"/>
          <w:szCs w:val="16"/>
        </w:rPr>
        <w:t>ика:</w:t>
      </w:r>
    </w:p>
    <w:p w14:paraId="4E7CD879" w14:textId="77777777" w:rsidR="00165A9C" w:rsidRPr="00640820" w:rsidRDefault="00165A9C" w:rsidP="00640820">
      <w:pPr>
        <w:autoSpaceDE w:val="0"/>
        <w:autoSpaceDN w:val="0"/>
        <w:adjustRightInd w:val="0"/>
        <w:spacing w:after="0" w:line="240" w:lineRule="auto"/>
        <w:jc w:val="both"/>
        <w:rPr>
          <w:rFonts w:ascii="Times New Roman" w:hAnsi="Times New Roman"/>
          <w:i/>
          <w:iCs/>
          <w:color w:val="000000" w:themeColor="text1"/>
          <w:sz w:val="16"/>
          <w:szCs w:val="16"/>
        </w:rPr>
      </w:pPr>
    </w:p>
    <w:p w14:paraId="268977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ноября 1941 года газета куйбышевская «Волжская коммуна» написала о том, что за злостное нарушение приказа МПВО арестован и привлекается к ответственности владелец частного дома Г.Хованский. Несмотря на неоднократные предупреждения дежурных ПВО, он так и не замаскировал окна своей квартиры. К уголовной ответственности привлекался также управдом А.Родзинев, который не обеспечил затемнения квартир на своем участке. А директор бани №1 Е.Барышев систематически не выключал во дворе бани электрический фонарь. Нарушали правила светомаскировки также директор музыкального театра И.Демидов, заведующая магазином №59 Е.Кашина, шофер Военно-Медицинской академии М.Давыдов и некоторые другие. Все они были оштрафованы и предупреждены о более строгой ответственности в случае нарушения светомаскировочного режима (11878).</w:t>
      </w:r>
    </w:p>
    <w:p w14:paraId="02CA43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492D409" w14:textId="77777777" w:rsidR="001C78C6" w:rsidRPr="00640820" w:rsidRDefault="001C78C6" w:rsidP="00640820">
      <w:pPr>
        <w:pStyle w:val="ae"/>
        <w:shd w:val="clear" w:color="auto" w:fill="FFFFFF"/>
        <w:spacing w:before="0" w:after="0"/>
        <w:jc w:val="both"/>
        <w:rPr>
          <w:color w:val="000000" w:themeColor="text1"/>
          <w:sz w:val="16"/>
          <w:szCs w:val="16"/>
        </w:rPr>
      </w:pPr>
      <w:r w:rsidRPr="00640820">
        <w:rPr>
          <w:color w:val="000000" w:themeColor="text1"/>
          <w:sz w:val="16"/>
          <w:szCs w:val="16"/>
        </w:rPr>
        <w:t>16 ноября 1941 года газета «Волжская коммуна» написала о том, что за злостное нарушение приказа МПВО арестован и привлекается к ответственности владелец частного дома Г.Хованский. Несмотря на неоднократные предупреждения дежурных ПВО, он так и не замаскировал окна своей квартиры. К уголовной ответственности привлекался также управдом А.Родзинев, который не обеспечил затемнения квартир на своем участке. А директор бани №1 Е.Барышев систематически не выключал во дворе бани электрический фонарь. Нарушали правила светомаскировки также директор музыкального театра И.Демидов, заведующая магазином №59 Е.Кашина, шофер Военно-Медицинской академии М.Давыдов и некоторые другие. Все они были оштрафованы и предупреждены о более строгой ответственности в случае нарушения светомаскировочного режима (19827).</w:t>
      </w:r>
    </w:p>
    <w:p w14:paraId="2FDD19BE" w14:textId="77777777" w:rsidR="001C78C6" w:rsidRPr="00640820" w:rsidRDefault="001C78C6" w:rsidP="00640820">
      <w:pPr>
        <w:pStyle w:val="ae"/>
        <w:shd w:val="clear" w:color="auto" w:fill="FFFFFF"/>
        <w:spacing w:before="0" w:after="0"/>
        <w:jc w:val="both"/>
        <w:rPr>
          <w:rStyle w:val="a7"/>
          <w:rFonts w:eastAsiaTheme="majorEastAsia"/>
          <w:b w:val="0"/>
          <w:color w:val="000000" w:themeColor="text1"/>
          <w:sz w:val="16"/>
          <w:szCs w:val="16"/>
        </w:rPr>
      </w:pPr>
    </w:p>
    <w:p w14:paraId="5031488B"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0DB8D105"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6375C1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ноября 1941 югославские левые отряды И. Брос Тито разбили армию профашистских хорватских четников (4962).</w:t>
      </w:r>
    </w:p>
    <w:p w14:paraId="14D4F62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F45CE2"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619C29B5"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EF8FC44" w14:textId="77777777" w:rsidR="00930969" w:rsidRPr="00640820" w:rsidRDefault="009309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ноября 1941 г. Письмо № 171142сс Наркома авиационной промышленности СССР А. Шахурина Председателю ГКО И.В. Сталину о сроках начала выпуска авиационных моторов заводами №№ 24 и 26 и о сроках начала работы авиационных заводов №№ 1 и 18 (заводы №№ 1, 18 и 24 эвакуированы в г. Куйбышев).</w:t>
      </w:r>
    </w:p>
    <w:p w14:paraId="70F28BAD" w14:textId="77777777" w:rsidR="00930969" w:rsidRPr="00640820" w:rsidRDefault="009309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Подлинник (рассекречено).</w:t>
      </w:r>
    </w:p>
    <w:p w14:paraId="23E556EC" w14:textId="77777777" w:rsidR="00930969" w:rsidRPr="00640820" w:rsidRDefault="009309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 8044, оп. 1, д. 641, лл. 5 – 6. (18959).</w:t>
      </w:r>
    </w:p>
    <w:p w14:paraId="304464F1" w14:textId="77777777" w:rsidR="00930969" w:rsidRPr="00640820" w:rsidRDefault="00930969" w:rsidP="00640820">
      <w:pPr>
        <w:spacing w:after="0" w:line="240" w:lineRule="auto"/>
        <w:jc w:val="both"/>
        <w:rPr>
          <w:rFonts w:ascii="Times New Roman" w:hAnsi="Times New Roman"/>
          <w:color w:val="000000" w:themeColor="text1"/>
          <w:sz w:val="16"/>
          <w:szCs w:val="16"/>
        </w:rPr>
      </w:pPr>
    </w:p>
    <w:p w14:paraId="4AE136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ноября 1941 при проведении контрольно-сдаточного полета потерпел аварию ТБ-7 № 4223 под управлением военпреда Громова М.М., полного тезки знаменитого Героя Советского Союза - третья потеря ТБ-7 на заводе № 124.</w:t>
      </w:r>
    </w:p>
    <w:p w14:paraId="3CFF90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полете отказали электро-механизмы управления створками радиаторов. При закрытых створках температура воды поднялась, а техсостав не смог их открыть с помощью дублирующего механического управления. Летчик принял решение садиться на аэродроме 9-го запасного авиаполка (где сейчас находится старый аэропорт - авт.), поздно выпустил шасси, с первого захода сесть не смог и повторно садясь на незнакомую площадку, попал в канаву и разбил самолет. Причиной аварии стал перегоревший предохранитель электромеханического управления шторками на центральном распределительном щитке. Короткое замыкание в цепи произошло из-за небрежной установки механиком Рязановым. Зная, что ручное управление шторками требует 100-150 оборотов ручкой, механики решили, что оно не работает. Накануне аварии тоже перегорел предохранитель, заместитель начальника ЛИС Осокин не принял мер, за что и получил строгий выговор» (12049).</w:t>
      </w:r>
    </w:p>
    <w:p w14:paraId="3359D2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7EBAC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ноября 1941 года начались проектные работы по оснащению катеров установкой на 24 PC-82, получившей обозначение М-8-М. Проектом №213 предусматривалось разместить установку на рубке катера вместо турели (любопытно, что таким образом самостоятельно оснастили один катер на ЧФ, но ПУ имели восемь направляющих), снять торпеды и закрыть желоба обшивкой, перенести рубочный пулемет в нос, на люк моторного отделения, предусмотреть хранение 48 запасных PC. Проект осуществил завод №639, который в 1942 г. сдал флоту 14 катеров XI бис серии: СКА №320-327 (8 ед.) в состав Волжской флотилии, и ТКА №76, 86, 96, 106 “Московский ремесленник трудовых резервов”, 116 “Молодой патриот трудовых резервов”, 126 “Трудовые резервы Татарии” (6 ед.) во 2-ю БТКАЧФ (6002).</w:t>
      </w:r>
    </w:p>
    <w:p w14:paraId="4750BC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F6A514F" w14:textId="77777777" w:rsidR="00373B8F"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ноября 1941 вышло Постановление ГКО № 907 О вводе на вооружение армии установок М-8 на конной тяге. (7015, 109).</w:t>
      </w:r>
    </w:p>
    <w:p w14:paraId="2CBE3A89" w14:textId="77777777" w:rsidR="00373B8F" w:rsidRPr="00640820" w:rsidRDefault="00373B8F"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D876E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ноября 1941 г. ГОСУДАРСТВЕННЫЙ КОМИТЕТ ОБОРОНЫ ПОСТАНОВЛЕНИЕ № ГКО-907сс</w:t>
      </w:r>
    </w:p>
    <w:p w14:paraId="435673A7" w14:textId="77777777" w:rsidR="00373B8F"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Москва, Кремль </w:t>
      </w:r>
    </w:p>
    <w:p w14:paraId="669FB18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 вводе на вооружение армии установок М-8 на конной тяге</w:t>
      </w:r>
    </w:p>
    <w:p w14:paraId="176B269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 Принять на вооружение Армии установку М-8 на конной тяге с переменным колесно-санным ходом. </w:t>
      </w:r>
    </w:p>
    <w:p w14:paraId="04B3794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При передаче на валовое производство новых установок М-8 внести все изменения, рекомендованные Западным фронтом. </w:t>
      </w:r>
    </w:p>
    <w:p w14:paraId="74410C4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 С 15 ноября 1941 г. прекратить изготовление установок М-8 на шасси автомашин ЗИС-6 и перевести производство на изготовление установок М-8 на конной тяге. </w:t>
      </w:r>
    </w:p>
    <w:p w14:paraId="7E82194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 Организовать в НИИ № 45 (г. Казань) сборку установок М-8 на конной тяге. Производство деталей для установок кооперировать на предприятиях гор. Казани. </w:t>
      </w:r>
    </w:p>
    <w:p w14:paraId="601085E4" w14:textId="77777777" w:rsidR="00373B8F"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Председателю Совета Народных Комиссаров Татарской АССР тов. Гафиатуллину организовать кооперацию по производству деталей и обеспечить изготовление в ноябре месяце т./г. 40 установок, в декабре месяце 100 установок и в январе месяце 1942 г. - 120 установок М-8 на конной тяге. </w:t>
      </w:r>
    </w:p>
    <w:p w14:paraId="74ED78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ПРЕДСЕДАТЕЛЬ ГОСУДАРСТВЕННОГО КОМИТЕТА ОБОРОНЫ И. СТАЛИН </w:t>
      </w:r>
    </w:p>
    <w:p w14:paraId="5537D68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Выписки посланы: </w:t>
      </w:r>
    </w:p>
    <w:p w14:paraId="5A2DD02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т.т. Аборенкову, Шапошникову, Маленкову, Гайдукову - все. </w:t>
      </w:r>
    </w:p>
    <w:p w14:paraId="2A987E6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Татарский обком ВКП(б) и т. Гафиатуллину - 1, 3 (шифром). </w:t>
      </w:r>
    </w:p>
    <w:p w14:paraId="373716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Разину - 1, 3 (12674).</w:t>
      </w:r>
    </w:p>
    <w:p w14:paraId="575DA2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E381DEC"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09E0BF9A"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E233A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ноября 1941 вышло Постановление ГКО № 905 Об увеличении производства 20 мм снарядов. РГАНИР, Фонд ГКО, д. 14, лл. 103-106 (11012).</w:t>
      </w:r>
    </w:p>
    <w:p w14:paraId="7891E6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04CC3D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ноября 1941 г. Постановление СНК потребовало на</w:t>
      </w:r>
      <w:r w:rsidRPr="00640820">
        <w:rPr>
          <w:rFonts w:ascii="Times New Roman" w:hAnsi="Times New Roman"/>
          <w:color w:val="000000" w:themeColor="text1"/>
          <w:sz w:val="16"/>
          <w:szCs w:val="16"/>
        </w:rPr>
        <w:softHyphen/>
        <w:t>чать на ТМЗ выпуск мотоциклов с 1 мая 1942 г. В соответствии с приказом № М-172с НКСМ от 8 марта 1942 г. на ТМЗ потребова</w:t>
      </w:r>
      <w:r w:rsidRPr="00640820">
        <w:rPr>
          <w:rFonts w:ascii="Times New Roman" w:hAnsi="Times New Roman"/>
          <w:color w:val="000000" w:themeColor="text1"/>
          <w:sz w:val="16"/>
          <w:szCs w:val="16"/>
        </w:rPr>
        <w:softHyphen/>
        <w:t>ли в 1942 г. освоить изготовление запчастей к ТИЗ-АМ-600 и вы</w:t>
      </w:r>
      <w:r w:rsidRPr="00640820">
        <w:rPr>
          <w:rFonts w:ascii="Times New Roman" w:hAnsi="Times New Roman"/>
          <w:color w:val="000000" w:themeColor="text1"/>
          <w:sz w:val="16"/>
          <w:szCs w:val="16"/>
        </w:rPr>
        <w:softHyphen/>
        <w:t>пустить 1 тыс. экземпляров М-72, а также довести мощность заво</w:t>
      </w:r>
      <w:r w:rsidRPr="00640820">
        <w:rPr>
          <w:rFonts w:ascii="Times New Roman" w:hAnsi="Times New Roman"/>
          <w:color w:val="000000" w:themeColor="text1"/>
          <w:sz w:val="16"/>
          <w:szCs w:val="16"/>
        </w:rPr>
        <w:softHyphen/>
        <w:t>да до 6 тыс. мотоциклов к июлю 1943 года [5.23]. Руководство Главмотовелопрома форсировало работы по восстановлению эва</w:t>
      </w:r>
      <w:r w:rsidRPr="00640820">
        <w:rPr>
          <w:rFonts w:ascii="Times New Roman" w:hAnsi="Times New Roman"/>
          <w:color w:val="000000" w:themeColor="text1"/>
          <w:sz w:val="16"/>
          <w:szCs w:val="16"/>
        </w:rPr>
        <w:softHyphen/>
        <w:t>куированного в Тюмень мотопроизводства. Приказом № 5 от 21 января 1942 г. директору ТМЗ И.Г. Мизрухину предписали лич</w:t>
      </w:r>
      <w:r w:rsidRPr="00640820">
        <w:rPr>
          <w:rFonts w:ascii="Times New Roman" w:hAnsi="Times New Roman"/>
          <w:color w:val="000000" w:themeColor="text1"/>
          <w:sz w:val="16"/>
          <w:szCs w:val="16"/>
        </w:rPr>
        <w:softHyphen/>
        <w:t>но получить в Новосибирске дизель-генератор мощностью 600 кВт [5.37]. Позже на ТМЗ передали дублеры оснастки для М-72, эвакуированные с ЛМЗ и ХМЗ, с ГМЗ - техническую докумен</w:t>
      </w:r>
      <w:r w:rsidRPr="00640820">
        <w:rPr>
          <w:rFonts w:ascii="Times New Roman" w:hAnsi="Times New Roman"/>
          <w:color w:val="000000" w:themeColor="text1"/>
          <w:sz w:val="16"/>
          <w:szCs w:val="16"/>
        </w:rPr>
        <w:softHyphen/>
        <w:t>тацию по М-72, с ИМЗ - спецификацию на М-72 и прочие матери</w:t>
      </w:r>
      <w:r w:rsidRPr="00640820">
        <w:rPr>
          <w:rFonts w:ascii="Times New Roman" w:hAnsi="Times New Roman"/>
          <w:color w:val="000000" w:themeColor="text1"/>
          <w:sz w:val="16"/>
          <w:szCs w:val="16"/>
        </w:rPr>
        <w:softHyphen/>
        <w:t>алы [5.38].</w:t>
      </w:r>
    </w:p>
    <w:p w14:paraId="6C01BBF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приказом НКСМ № 172с от 18 марта 1942 г. на ТМЗ развернули выпуск запчастей к мотоциклам АМ-600 и подготавливали выпуск М-72 с 4-го квартала 1942 г. в кооперации с ИМЗ по изготовлению двигателей и КП. Анализ производст</w:t>
      </w:r>
      <w:r w:rsidRPr="00640820">
        <w:rPr>
          <w:rFonts w:ascii="Times New Roman" w:hAnsi="Times New Roman"/>
          <w:color w:val="000000" w:themeColor="text1"/>
          <w:sz w:val="16"/>
          <w:szCs w:val="16"/>
        </w:rPr>
        <w:softHyphen/>
        <w:t>венных возможностей показал, что на ТМЗ выпуск М-72 невоз</w:t>
      </w:r>
      <w:r w:rsidRPr="00640820">
        <w:rPr>
          <w:rFonts w:ascii="Times New Roman" w:hAnsi="Times New Roman"/>
          <w:color w:val="000000" w:themeColor="text1"/>
          <w:sz w:val="16"/>
          <w:szCs w:val="16"/>
        </w:rPr>
        <w:softHyphen/>
        <w:t>можен, поэтому с ТМЗ на ГМЗ передали специальное оборудова</w:t>
      </w:r>
      <w:r w:rsidRPr="00640820">
        <w:rPr>
          <w:rFonts w:ascii="Times New Roman" w:hAnsi="Times New Roman"/>
          <w:color w:val="000000" w:themeColor="text1"/>
          <w:sz w:val="16"/>
          <w:szCs w:val="16"/>
        </w:rPr>
        <w:softHyphen/>
        <w:t>ния для выпуска КП и двигателей к М-72 [5.39]. Однако освоить выпуск М-72 на ТМЗ не смогли. В связи с этим руководство НКСМ разрешило заменить на ТМЗ выпуск М-72 на ТИЗ-АМ-600, под маркой АМ-600 [5.40]. Первые 30 мотоциклов со</w:t>
      </w:r>
      <w:r w:rsidRPr="00640820">
        <w:rPr>
          <w:rFonts w:ascii="Times New Roman" w:hAnsi="Times New Roman"/>
          <w:color w:val="000000" w:themeColor="text1"/>
          <w:sz w:val="16"/>
          <w:szCs w:val="16"/>
        </w:rPr>
        <w:softHyphen/>
        <w:t>брали в сентябре [5.41]. Однако до конца 1942 г. на ТМЗ поступа</w:t>
      </w:r>
      <w:r w:rsidRPr="00640820">
        <w:rPr>
          <w:rFonts w:ascii="Times New Roman" w:hAnsi="Times New Roman"/>
          <w:color w:val="000000" w:themeColor="text1"/>
          <w:sz w:val="16"/>
          <w:szCs w:val="16"/>
        </w:rPr>
        <w:softHyphen/>
        <w:t>ли заготовки деталей к М-72 [5.39].</w:t>
      </w:r>
    </w:p>
    <w:p w14:paraId="1995AB2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Тем не менее на ТМЗ для М-72 кое-что сделали. По собствен</w:t>
      </w:r>
      <w:r w:rsidRPr="00640820">
        <w:rPr>
          <w:rFonts w:ascii="Times New Roman" w:hAnsi="Times New Roman"/>
          <w:color w:val="000000" w:themeColor="text1"/>
          <w:sz w:val="16"/>
          <w:szCs w:val="16"/>
        </w:rPr>
        <w:softHyphen/>
        <w:t>ной инициативе специалисты ТМЗ спроектировали новое двух</w:t>
      </w:r>
      <w:r w:rsidRPr="00640820">
        <w:rPr>
          <w:rFonts w:ascii="Times New Roman" w:hAnsi="Times New Roman"/>
          <w:color w:val="000000" w:themeColor="text1"/>
          <w:sz w:val="16"/>
          <w:szCs w:val="16"/>
        </w:rPr>
        <w:softHyphen/>
        <w:t>дисковое сухое сцепление. От директора завода Г.Р. Ударова, на</w:t>
      </w:r>
      <w:r w:rsidRPr="00640820">
        <w:rPr>
          <w:rFonts w:ascii="Times New Roman" w:hAnsi="Times New Roman"/>
          <w:color w:val="000000" w:themeColor="text1"/>
          <w:sz w:val="16"/>
          <w:szCs w:val="16"/>
        </w:rPr>
        <w:softHyphen/>
        <w:t>значенного приказом № 13 Главмотовелопрома от 11 февраля 1942 г. [5.42], требовали к 15 мая 1942 г. изготовить опытный об</w:t>
      </w:r>
      <w:r w:rsidRPr="00640820">
        <w:rPr>
          <w:rFonts w:ascii="Times New Roman" w:hAnsi="Times New Roman"/>
          <w:color w:val="000000" w:themeColor="text1"/>
          <w:sz w:val="16"/>
          <w:szCs w:val="16"/>
        </w:rPr>
        <w:softHyphen/>
        <w:t>разец сцепления и провести сравнительные испытания вместе с аналогичным узлом, разработанным на ИМЗ [5.43].</w:t>
      </w:r>
    </w:p>
    <w:p w14:paraId="1DD4EEA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Изготовление мотоциклов АМ-600 протекало трудно из-за утраты значительной части «незавершенки» и технологических приспособлений во время эвакуации мотопроизводства из Таган</w:t>
      </w:r>
      <w:r w:rsidRPr="00640820">
        <w:rPr>
          <w:rFonts w:ascii="Times New Roman" w:hAnsi="Times New Roman"/>
          <w:color w:val="000000" w:themeColor="text1"/>
          <w:sz w:val="16"/>
          <w:szCs w:val="16"/>
        </w:rPr>
        <w:softHyphen/>
        <w:t>рога, а наладить их выпуск на ТМЗ в требуемых количествах не удалось [5.40]. И всё же, коллективу ТМЗ в течение 1942 г. при плане выпуска 300 машин удалось поставить в Красную Армию 187 мотоциклов АМ-600 и капитально отремонтировать четыре М-72 [5.44].</w:t>
      </w:r>
    </w:p>
    <w:p w14:paraId="0CD39E69" w14:textId="77777777" w:rsidR="00373B8F"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годы Великой Отечественной войны изготовленные мото</w:t>
      </w:r>
      <w:r w:rsidRPr="00640820">
        <w:rPr>
          <w:rFonts w:ascii="Times New Roman" w:hAnsi="Times New Roman"/>
          <w:color w:val="000000" w:themeColor="text1"/>
          <w:sz w:val="16"/>
          <w:szCs w:val="16"/>
        </w:rPr>
        <w:softHyphen/>
        <w:t>циклы поступали на ММЗ, где к ним крепили мотоколяски, воо</w:t>
      </w:r>
      <w:r w:rsidRPr="00640820">
        <w:rPr>
          <w:rFonts w:ascii="Times New Roman" w:hAnsi="Times New Roman"/>
          <w:color w:val="000000" w:themeColor="text1"/>
          <w:sz w:val="16"/>
          <w:szCs w:val="16"/>
        </w:rPr>
        <w:softHyphen/>
        <w:t>ружали и передавали представителям ГБТУ Красной Армии, ко</w:t>
      </w:r>
      <w:r w:rsidRPr="00640820">
        <w:rPr>
          <w:rFonts w:ascii="Times New Roman" w:hAnsi="Times New Roman"/>
          <w:color w:val="000000" w:themeColor="text1"/>
          <w:sz w:val="16"/>
          <w:szCs w:val="16"/>
        </w:rPr>
        <w:softHyphen/>
        <w:t>торые вели учет передаваемой в Красную Армию мототехники. Объемы мотопродукции, помесячно поступавшей в ГБТУ и изго</w:t>
      </w:r>
      <w:r w:rsidRPr="00640820">
        <w:rPr>
          <w:rFonts w:ascii="Times New Roman" w:hAnsi="Times New Roman"/>
          <w:color w:val="000000" w:themeColor="text1"/>
          <w:sz w:val="16"/>
          <w:szCs w:val="16"/>
        </w:rPr>
        <w:softHyphen/>
        <w:t>товленной на заводах, не совпадали. Сведения ГБТУ, отража</w:t>
      </w:r>
      <w:r w:rsidRPr="00640820">
        <w:rPr>
          <w:rFonts w:ascii="Times New Roman" w:hAnsi="Times New Roman"/>
          <w:color w:val="000000" w:themeColor="text1"/>
          <w:sz w:val="16"/>
          <w:szCs w:val="16"/>
        </w:rPr>
        <w:softHyphen/>
        <w:t>вшие оснащение вооруженных сил мотоциклами в 1942 г., приве</w:t>
      </w:r>
      <w:r w:rsidRPr="00640820">
        <w:rPr>
          <w:rFonts w:ascii="Times New Roman" w:hAnsi="Times New Roman"/>
          <w:color w:val="000000" w:themeColor="text1"/>
          <w:sz w:val="16"/>
          <w:szCs w:val="16"/>
        </w:rPr>
        <w:softHyphen/>
        <w:t>дены в табл. 18 [5.45] (11429).</w:t>
      </w:r>
    </w:p>
    <w:p w14:paraId="2D70E8A7" w14:textId="77777777" w:rsidR="00373B8F" w:rsidRPr="00640820" w:rsidRDefault="00373B8F"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9A259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ноября 1941 г. О размещении эвакуированных предприятий в крае</w:t>
      </w:r>
    </w:p>
    <w:p w14:paraId="37A0B9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справки Красноярского крайкома ВКП (б) в СНК СССР и Госплан СССР</w:t>
      </w:r>
    </w:p>
    <w:p w14:paraId="2C0A33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Красноярск 17 ноября 1941 г. </w:t>
      </w:r>
    </w:p>
    <w:p w14:paraId="1E5B5E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СНК СССР тов. Вознесенскому</w:t>
      </w:r>
    </w:p>
    <w:p w14:paraId="323ADF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Госплан СССР тов. Демидову</w:t>
      </w:r>
    </w:p>
    <w:p w14:paraId="179ABC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В настоящее время приступили к работе следующие заводы и организации:</w:t>
      </w:r>
    </w:p>
    <w:p w14:paraId="262B56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Стройтрест № 26 НКСтроя</w:t>
      </w:r>
    </w:p>
    <w:p w14:paraId="67B246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Стройтрест № 53 НКВооружений (Влившийся в завод № 586)</w:t>
      </w:r>
    </w:p>
    <w:p w14:paraId="3D36EC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Завод № 327 и НИИ-9 НКЭлектопрома имеющий теперь номер 619</w:t>
      </w:r>
    </w:p>
    <w:p w14:paraId="7F0B25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Онежский завод, влившийся в Красноярский механический НКЛеса завод</w:t>
      </w:r>
    </w:p>
    <w:p w14:paraId="69AEBE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5. Полтавский ПРЗ влившийся в НКПС Красноярский ПВРЗ </w:t>
      </w:r>
    </w:p>
    <w:p w14:paraId="6FDF10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Часть оборудования Красного Профинтерна и заводов №4 и № 7 НКВооружений, смонтированного на заводе № 586 НКВооружений</w:t>
      </w:r>
    </w:p>
    <w:p w14:paraId="5B98CF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Северо-западное отделение ТЭПа НКЭлектростанций</w:t>
      </w:r>
    </w:p>
    <w:p w14:paraId="104FE5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Положение с эвакуированными предприятиями и меры необходимые для обеспечения их работы, следующие:</w:t>
      </w:r>
    </w:p>
    <w:p w14:paraId="64284E5D" w14:textId="77777777" w:rsidR="00165A9C" w:rsidRPr="00640820" w:rsidRDefault="00165A9C" w:rsidP="00640820">
      <w:pPr>
        <w:tabs>
          <w:tab w:val="left" w:pos="720"/>
          <w:tab w:val="left" w:pos="1080"/>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Завод № 586 Наркомата вооружений принимает следующие заводы: № 4, № 7, № 589 и им. Куйбышева. В настоящее время эти заводы частично прибыли. На заводе № 586 должно быть установлено 1755 станков и по состоянию на 11 ноября смонтировано 657 станков, или 37%, из них введено в эксплуатацию 264 станка, или 15% от общего плана. Завод должен отремонтировать 155 станков, и по состоянию на 11 ноября отремонтировано 84 станка, или 54%, из них введено в эксплуатацию 44 станка. Остальные станки завод должен пустить в эксплуатацию в течение ноября месяца.</w:t>
      </w:r>
    </w:p>
    <w:p w14:paraId="795324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586 имеет собственную электростанцию на 4900 квт и монтирует третью турбину на 3 тыс[яч] квт. Однако, пуск третьей турбины задерживается из-за отсутствия диафрагм, отправленные в свое время заводом в Харьков для изготовления по ним новых диафрагм.</w:t>
      </w:r>
    </w:p>
    <w:p w14:paraId="05AEC6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Последние из Харькова не прибыли, и завод вынужден будет произвести их у себя. С пуском третьей турбины положение со снабжением электроэнергии улучшится, но это все же не обеспечит в 1942 году всей его потребности. Завод № 586 подготавливает к пуску первую электропечь, а вслед за ней вступит в строй и вторая электропечь, которые будут потреблять значительное количество электроэнергии. С пуском первой очереди Красноярской РайТЭЦ завод в основном будет обеспечен в 1942 г. электроэнергией.</w:t>
      </w:r>
    </w:p>
    <w:p w14:paraId="1CF8CE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полного разворота работы завода необходимо будет увеличить количество с 6 тысяч до 18 тысяч человек, как за счет прибывающих рабочих, эвакуированных заводов НКВооружений, так и за счет подбора кадров в пределах края. Для обеспечения рабочих жилищем необходимо будет построить в 1942 г. дополнительную площадь примерно на 6 тысяч человек.</w:t>
      </w:r>
    </w:p>
    <w:p w14:paraId="100E87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Исполком крайсовета и бюро крайкома ВКП (б) просят обязать Наркомат Вооружений предусмотреть в плане на 1942 г. строительство жилой площади для завода № 586 и культурно-бытовых помещений на 6 тысяч человек.</w:t>
      </w:r>
    </w:p>
    <w:p w14:paraId="186206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Наркомрезинопром направил в Красноярск четыре завода: Ефремовский завод синтетического каучука СК-3, Шинный завод № 511 и частично оборудование завода СК-5 Курского абонитового завода. В настоящее время прибывает оборудование Ефремовского завода СК-3 и оборудование завода СК-5. Производственных цехов для этих заводов пока не имеется. Для разгрузки оборудования НКрезинопромом построен ж/д тупик длиной 650 метров на площадке строительства завода СК; оборудование разгружается и принимаются к его сохранению. К строительству цехов завода СК и шинного завода еще не приступлено. Затруднения в строительстве этих заводов состоят в необеспеченности строительства рабочей силой, в настоящее время имеется всего лишь 60 человек, в отсутствии транспорта, отсутствии фондов на стройматериалы, за исключением фондов на лесоматериалы и отсутствием электроэнергии на время строительства.</w:t>
      </w:r>
    </w:p>
    <w:p w14:paraId="03A6FB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целях форсирования строительства завода СК-9 и шинного завода необходимо провести следующие мероприятия:</w:t>
      </w:r>
    </w:p>
    <w:p w14:paraId="381CA9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Строительство указанных заводов надо поручить ввести Енисейлагу НКВД СССР, для чего необходимо обязать НКВД дать ему соответствующие указания.</w:t>
      </w:r>
    </w:p>
    <w:p w14:paraId="3E8EBA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Обязать Наркомрезинпром принять меры по обеспечению строительства указанных заводов строительными материалами, транспортом и отгрузить локомобиль с генератором, или передвижные электростанции на 350 квт;</w:t>
      </w:r>
    </w:p>
    <w:p w14:paraId="0493E6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Необходимо построить в 1942 году на 2,5 тыс[ячи] человек жилые и культурно-бытовые помещения.</w:t>
      </w:r>
    </w:p>
    <w:p w14:paraId="39067D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 НКПС эвакуировал в Красноярский край: Полтавский паровозоремонтный завод, Панютинский вагоно-ремонтный завод и Изюмский ПВРЗ. В настоящее время прибыли Полтавский ПВРЗ, оборудование которого разгружено и частично установлено на Красноярском ПВРЗ. По состоянию на 5 ноября 1941 г. смонтировано 135 станков, 120 моторов и 42 ед[иницы] прочего оборудования. Красноярский ПВРЗ работает как на своем, так и на эвакуированном оборудовании и производит боеприпасы. </w:t>
      </w:r>
    </w:p>
    <w:p w14:paraId="48FD15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Панютинский вагоно-ремонтный завод прибыл, разгружен в г. Боготоле и оборудование его устанавливается в Боготольском депо. Оборудование Изюмского завода находится в пути, и оно должно поступить на базу Красноярского ПВРЗ.</w:t>
      </w:r>
    </w:p>
    <w:p w14:paraId="303CBC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Красноярский ПВРЗ испытывает недостаток в жилой площади, поэтому крайком и крайисполком просят предусмотреть в плане на 1942 г. ассигнования на строительство жилья для одной тысячи человек.</w:t>
      </w:r>
    </w:p>
    <w:p w14:paraId="251515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Наркомстрой эвакуировал в г. Красноярск 26-й строительный трест, который включил в себя Красноярскпромстрой. Оборудование разгружено, смонтировано и используется на строительстве.</w:t>
      </w:r>
    </w:p>
    <w:p w14:paraId="34E239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26-й строительный трест должен выполнить строительные работы по заводу № 580 в 1941 г. на 9,2 млн. руб. и в 1942 г. на 100 млн. руб. и по Сибтяжмашу в 1941 г. на 8 млн. руб. и в 1942 г. на 35 млн. руб. Строительство завода тяжелых станков Наркомстроем из плана IV квартала снято.</w:t>
      </w:r>
    </w:p>
    <w:p w14:paraId="65C4C8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Указанный объем строительных работ требует довести наличие рабочей силы стройтреста до 15 тысяч человек. В данное время трест имеет рабочих всего лишь 2200 человек. Для обеспечения рабочими 26-[го] строительного треста крайком и крайисполком привлекает в порядке мобилизации комсомольцев в крае 1 тыс[ячу] человек и в порядке трудовой повинности, за счет эвакуированного и местного населения – 1 тыс[ячу] человек.[…] </w:t>
      </w:r>
    </w:p>
    <w:p w14:paraId="495570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председатель исполкома секретарь крайкома ВКП (б)</w:t>
      </w:r>
    </w:p>
    <w:p w14:paraId="6DCE50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крайсовета А. Буеверов подпись И. Голубев подпись</w:t>
      </w:r>
    </w:p>
    <w:p w14:paraId="1EF5851F" w14:textId="77777777" w:rsidR="00373B8F"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ГАКК. Ф. П-26. Оп.3. Д.2. Л.124-126. Подлинник. Машинопись (11792).</w:t>
      </w:r>
    </w:p>
    <w:p w14:paraId="4C00C3D0" w14:textId="77777777" w:rsidR="00373B8F" w:rsidRPr="00640820" w:rsidRDefault="00373B8F"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464DC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ноября 1941 г. Об электроснабжении предприятий г. Красноярска</w:t>
      </w:r>
    </w:p>
    <w:p w14:paraId="3C654D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справки крайкома ВКП (б) в СНК СССР и Госплан СССР</w:t>
      </w:r>
    </w:p>
    <w:p w14:paraId="15503A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Красноярск 17 ноября 1941 г. </w:t>
      </w:r>
    </w:p>
    <w:p w14:paraId="41EEB1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СНК СССР тов. Вознесенскому</w:t>
      </w:r>
    </w:p>
    <w:p w14:paraId="7D18D8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Госплан СССР тов. Демидову</w:t>
      </w:r>
    </w:p>
    <w:p w14:paraId="3D3361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Положение с электроснабжением предприятий на зимний период 1941-42 гг. также создалось весьма напряженное. Потребность в электромощности для потребителей города Красноярска на зимний период определена в 28 тыс[яч] квт, имеется же электромощности на 15 тыс[яч] квт, разрыв на 13 тыс[яч] квт. Для смягчения такого разрыва исполком крайсовета и бюро крайкома ВКП (б) приняли меры, обязали ряд предприятий установить локомобили, дизеля и паровые машины, что позволит к январю 1942г. довести электромощность по г. Красноярску с 15 до 21 тыс[яч] квт. Однако эти меры не обеспечивают снабжения ряда заводов, в особенности завода № 477, строительство Наркомрезинпрома и других. Поэтому исполком крайсовета и бюро крайкома ВКП (б) просят обязать соответствующие наркоматы отгрузить локомобили и дизеля с генераторами на 2480 квт, предприятиям […]</w:t>
      </w:r>
    </w:p>
    <w:p w14:paraId="772E7E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пуском в 1941 году райТЭЦ на 50 тыс[яч] квт и электростанции Сибтяжмаша в январе 1941 г. на 3,250 квт, а в последствии на 11 тыс[яч] квт, электромощность в г. Красноярске возрастает к зиме 1942-43 г. до 80-85 тыс[яч] квт, что полностью покроет потребность всех заводов.</w:t>
      </w:r>
    </w:p>
    <w:p w14:paraId="4DAD3D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правом берегу Енисея в г. Красноярске размещается 25 эвакуированных заводов НКВооружений, НКБ, НКАвиапрома, НКТекстильпрома, НКПромстройматериал, Наркомрезинопрома и других Наркоматов, которые будут потреблять большое количество воды. В данное время водопровод и канализация на правом берегу отсутствуют. Крайисполком и бюро крайкома ВКП (б) неоднократно поднимали вопрос о строительстве водопровода и канализации, и в результате этих ходатайств СНК СССР своим распоряжением от 8/IV-1941 г. № 080-202 утвердил строительство водопровода и канализации и предложил СНК РСФСР обеспечить техническую документацию и утвердить на 1941 г. титульный список строительства этих объектов. В соответствии с распоряжением СНК РСФСР горстойпроект провел изыскательские работы и приступил к составлению проектного задания.</w:t>
      </w:r>
    </w:p>
    <w:p w14:paraId="0A28CD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СНК РСФСР титульный список на 1941 г. не утверждал и к подготовительным работам по этой причине до сих пор не преступлено. Актуальность строительства водопровода и канализации в связи с прибытием большого количества заводов сильно возросли.</w:t>
      </w:r>
    </w:p>
    <w:p w14:paraId="5A589E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председатель исполкома секретарь крайкома ВКП (б)</w:t>
      </w:r>
    </w:p>
    <w:p w14:paraId="14CCF4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крайсовета И. Голубев подпись</w:t>
      </w:r>
    </w:p>
    <w:p w14:paraId="15CA94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А. Буеверов подпись </w:t>
      </w:r>
    </w:p>
    <w:p w14:paraId="17BC5392"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ГАКК. Ф.П-26. Оп.3. Д.2. Л.143. Подлинник. Машинопись (11793).</w:t>
      </w:r>
    </w:p>
    <w:p w14:paraId="2EDED79D"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60278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ноября 1941 вышло Постановление ГКО № 908 О т.т. Лахтарине П.М., Пряхине И.Ф., Петренко М.С., Галимханове З.Г., Григоренко И.А., Лушакове П.С., Власове В.Я., Доронине Я.А., Гаршине В.П., Громцеве А.Т. . РГАНИР, Фонд ГКО, д. 14, лл. 110 (11012).</w:t>
      </w:r>
    </w:p>
    <w:p w14:paraId="17C758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59B813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ноября 1941 года вышел приказ № 29сс НКТП</w:t>
      </w:r>
    </w:p>
    <w:p w14:paraId="49B8FCD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183 (Уралвагонзавод).</w:t>
      </w:r>
    </w:p>
    <w:p w14:paraId="58C8801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174 (ПВРЗ Чкалов).</w:t>
      </w:r>
    </w:p>
    <w:p w14:paraId="1EE8120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ХТЗ (завод № 264).</w:t>
      </w:r>
    </w:p>
    <w:p w14:paraId="4809996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37 (ВРЗ и завод “Металлист” Свердловск) (6034, 92).</w:t>
      </w:r>
    </w:p>
    <w:p w14:paraId="334EB0A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DACA68"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2093E148"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4365767" w14:textId="77777777" w:rsidR="00373B8F" w:rsidRPr="00640820" w:rsidRDefault="00373B8F"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17 ноября </w:t>
      </w:r>
      <w:r w:rsidRPr="00640820">
        <w:rPr>
          <w:rFonts w:ascii="Times New Roman" w:hAnsi="Times New Roman"/>
          <w:color w:val="000000" w:themeColor="text1"/>
          <w:sz w:val="16"/>
          <w:szCs w:val="16"/>
        </w:rPr>
        <w:t>в 1941 году утреннее сообщение Совинформбюро:</w:t>
      </w:r>
    </w:p>
    <w:p w14:paraId="13C3F8DE" w14:textId="77777777" w:rsidR="00373B8F" w:rsidRPr="00640820" w:rsidRDefault="00373B8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17 ноября наши войска вели бои с противником на всех фронтах.</w:t>
      </w:r>
    </w:p>
    <w:p w14:paraId="602F0615" w14:textId="77777777" w:rsidR="00373B8F" w:rsidRPr="00640820" w:rsidRDefault="00373B8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Артиллеристы и миномётчики части тов. Ковалёва, действующей на одном из участков Ленинградского фронта, за два дня боёв уничтожили 4 миномётных и одну пулемётную батарею немцев и 2 полевых орудия. Метким огнём артиллеристы разрушили до 10 ДЗОТов и 4 блиндажа с немецкими автоматчиками.</w:t>
      </w:r>
    </w:p>
    <w:p w14:paraId="07093EA1" w14:textId="77777777" w:rsidR="00373B8F" w:rsidRPr="00640820" w:rsidRDefault="00373B8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Отважно действуют на одном из участков Западного фронта экипажи танков т.т. Монина и Степаняна. В бою с немцами они уничтожили 4 тяжёлых и 5 противотанковых орудий врага, 2 трактора, автомашину и до 100 немецких солдат.</w:t>
      </w:r>
    </w:p>
    <w:p w14:paraId="08B468A7" w14:textId="77777777" w:rsidR="00373B8F" w:rsidRPr="00640820" w:rsidRDefault="00373B8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Партизанский отряд под командованием тов. Г., возникший ещё в июле 1941 года, продолжает вести успешную борьбу с немецкими оккупантами в разных районах Пинской области. За небольшой период времени партизаны этого отряда уничтожили более 100 километров линии телеграфной связи и разрушили 16 мостов. Во время боя с карательным отрядом фашистов партизаны уничтожили 12 немцев. В другом бою отряд убил 16 и ранил 10 немцев, не понеся со своей стороны никаких потерь. В октябре месяце партизаны взорвали и потопили немецкий пароход с военными грузами.</w:t>
      </w:r>
    </w:p>
    <w:p w14:paraId="0C1F910F" w14:textId="77777777" w:rsidR="00373B8F" w:rsidRPr="00640820" w:rsidRDefault="00373B8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Итальянские власти в Греции производят многочисленные аресты среди греческих портовых рабочих, саботирующих мероприятия фашистских захватчиков. 10 ноября в Пирейском порту итальянские жандармы бросили в тюрьмы 20 греческих рабочих за отказ срочно разгрузить корабль с военным грузом. В течение последних дней итальянцы производят в рабочих кварталах повальные обыски в связи с распространением в городе листовок, призывающих оказывать сопротивление оккупантам. В Салоникском порту от неизвестных причин вспыхнул пожар на итальянском транспорте, груженном табаком и фруктами. За последние десять дней это уже третий случай пожара на итальянских пароходах, прибывших в Салоники.</w:t>
      </w:r>
    </w:p>
    <w:p w14:paraId="320C9D61" w14:textId="77777777" w:rsidR="00373B8F" w:rsidRPr="00640820" w:rsidRDefault="00373B8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Выступления товарища Сталина в дни XXIV годовщины Великой Октябрьской социалистической революции вдохновили колхозное крестьянство на новые трудовые подвиги. Выступивший на собрании трудящихся Верхоценского сельсовета, Сампурского района, Тамбовской области, колхозник артели имени Кагановича тов. Ушаков сказал: «Товарищ Сталин призвал нас работать, не покладая рук. Мы выполним его наказ: дадим стране, фронту столько хлеба, мяса, сырья для промышленности, сколько нужно». Колхозники артелей «Баррикады», «Красный выборжец», имени Ильича, «20-й год Октября» отправили на заготовительные пункты 136 центнеров хлеба и 400 центнеров картофеля. Колхозники сельхозартели «Рассвет», Покрово-Иригородного сельсовета, Тамбовского района, в ответ на речь товарища Сталина в два дня закончили хлебосдачу. Колхозники артели «Большевик», выслушав речь вождя, в тот же день отправили на ссыпной пункт обоз с 383 центнерами высококачественного зерна. Колхозы «Гигант» и «Комсомолец», Кузнецкого района, после доклада товарища Сталина утроили темпы хлебопоставок и в настоящее время завершают выполнение годового плана.» (14833).</w:t>
      </w:r>
    </w:p>
    <w:p w14:paraId="28FE5D2B" w14:textId="77777777" w:rsidR="00373B8F" w:rsidRPr="00640820" w:rsidRDefault="00373B8F" w:rsidP="00640820">
      <w:pPr>
        <w:spacing w:after="0" w:line="240" w:lineRule="auto"/>
        <w:jc w:val="both"/>
        <w:rPr>
          <w:rFonts w:ascii="Times New Roman" w:hAnsi="Times New Roman"/>
          <w:color w:val="000000" w:themeColor="text1"/>
          <w:sz w:val="16"/>
          <w:szCs w:val="16"/>
        </w:rPr>
      </w:pPr>
    </w:p>
    <w:p w14:paraId="414906AC" w14:textId="77777777" w:rsidR="00373B8F" w:rsidRPr="00640820" w:rsidRDefault="00373B8F"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17 ноября </w:t>
      </w:r>
      <w:r w:rsidRPr="00640820">
        <w:rPr>
          <w:rFonts w:ascii="Times New Roman" w:hAnsi="Times New Roman"/>
          <w:color w:val="000000" w:themeColor="text1"/>
          <w:sz w:val="16"/>
          <w:szCs w:val="16"/>
        </w:rPr>
        <w:t>в 1941 году вечернее сообщение Совинформбюро:</w:t>
      </w:r>
    </w:p>
    <w:p w14:paraId="2991DC56" w14:textId="77777777" w:rsidR="00373B8F" w:rsidRPr="00640820" w:rsidRDefault="00373B8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17 ноября наши войска вели бои с противником на всех фронтах. Особенно ожесточённые бои происходили на Калининском и на одном из участков Юго-Западного фронта.</w:t>
      </w:r>
    </w:p>
    <w:p w14:paraId="5BBE9FA4" w14:textId="77777777" w:rsidR="00373B8F" w:rsidRPr="00640820" w:rsidRDefault="00373B8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16 ноября уничтожен 21 немецкий самолёт. Наши потери — 6 самолётов.</w:t>
      </w:r>
    </w:p>
    <w:p w14:paraId="3AFF2C99" w14:textId="77777777" w:rsidR="00373B8F" w:rsidRPr="00640820" w:rsidRDefault="00373B8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16 ноября под Москвой сбито не 3 немецких самолёта, как указывалось ранее, а 11 немецких самолётов.</w:t>
      </w:r>
    </w:p>
    <w:p w14:paraId="6A5EB123" w14:textId="77777777" w:rsidR="00373B8F" w:rsidRPr="00640820" w:rsidRDefault="00373B8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16 ноября нашей авиацией уничтожено 60 немецких танков, до 250 авто-машин с пехотой и военными грузами, более 150 повозок, 14 полевых орудий, 3 автоцистерны с горючим и истреблено до двух пехотных полков противника.</w:t>
      </w:r>
    </w:p>
    <w:p w14:paraId="4DBE7776" w14:textId="77777777" w:rsidR="00373B8F" w:rsidRPr="00640820" w:rsidRDefault="00373B8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Лётчики авиачасти тов. Вершинина, действующей на Южном фронте, с 6 по 16 ноября уничтожили 853 вражеские автомашины с пехотой и боеприпасами, 72 танка, 12 бронемашин, 26 орудий различных калибров, 20 зенитных пулемётов и истребили около 6.000 вражеских солдат и офицеров. В воздушных боях за десять дней лётчики сбили 16 немецких самолётов и 19 самолётов уничтожили на аэродромах противника.</w:t>
      </w:r>
    </w:p>
    <w:p w14:paraId="1EF9CB5A" w14:textId="77777777" w:rsidR="00373B8F" w:rsidRPr="00640820" w:rsidRDefault="00373B8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участков Калининского направления фронта наши разведчики обнаружили в тылу у врага 20 трупов немецких солдат. Как выяснилось из показаний пленных, эти немецкие солдаты были расстреляны за отказ итти в наступление. Захваченные в плен фашисты сообщают, что в течение месяца из 253 и 102 пехотных дивизий дезертировало свыше 250 солдат. Недавно всем частям был зачитан приказ германского командования. В приказе говорилось, что каждый солдат, отставший от своей части по какой бы то ни было причине, будет считаться дезертиром и при поимке расстреливаться. Солдат 235 пехотного полка Роберт Шрайбер заявил, что 8 ноября из его полка дезертировали 12 солдат. Ефрейтор 91 пехотного полка Отто Курц подтвердил, что из его роты за три дня ноября дезертировало 8 солдат и два унтер-офицера. Пленный ефрейтор 3 пехотного полка Иоганн Гросс рассказал, что огромные потери, которые несёт германская армия на Восточном фронте, а также наступившие холода надломили боевой дух многих солдат.</w:t>
      </w:r>
    </w:p>
    <w:p w14:paraId="6FFAFB3B" w14:textId="77777777" w:rsidR="00373B8F" w:rsidRPr="00640820" w:rsidRDefault="00373B8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Немецко-фашистские мерзавцы продолжают насилия и издевательства над мирным населением городов и деревень Белоруссии. Отряд немецких солдат, прибывший в селение Костюковка, отнял у крестьян всё имущество. Крестьянка Дригулина Ксения попросила немецкого офицера оставить бельё её четырёх детей. Озверевший фашист избил женщину, а затем застрелил её. Всех четверых детей Дригулиной немецкие солдаты бросили в погреб и закидали землёй. В деревне Нерки фашисты </w:t>
      </w:r>
      <w:r w:rsidRPr="00640820">
        <w:rPr>
          <w:rFonts w:ascii="Times New Roman" w:hAnsi="Times New Roman"/>
          <w:color w:val="000000" w:themeColor="text1"/>
          <w:sz w:val="16"/>
          <w:szCs w:val="16"/>
        </w:rPr>
        <w:lastRenderedPageBreak/>
        <w:t>изнасиловали и замучили насмерть крестьянок Жигалову, Серикову и Урупину. В деревне Холмы фашистские изверги зверски замучили шесть пятнадцатилетних девушек. В городе Ельске фашисты посадили на баржу и вывезли на середину реки Припяти пятьсот местных жителей. Пять дней заключённым не давали пищи. Затем немецкие солдаты затопили баржу вместе с находившимися в ней людьми.</w:t>
      </w:r>
    </w:p>
    <w:p w14:paraId="0A8507D7" w14:textId="77777777" w:rsidR="00373B8F" w:rsidRPr="00640820" w:rsidRDefault="00373B8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Продовольственное положение в Германии непрерывно ухудшается. В городах почти невозможно достать мяса, масла, картошки. Население Дрездена в первых числах ноября получало только по 200 граммов хлеба из смеси муки, отрубей и картофельной кожуры. Огромные очереди у продовольственных магазинов выстраиваются с вечера. Очень часто продавцы магазинов встречают голодных женщин стандартной фразой: «Сегодня базы не доставили продуктов» (14833).</w:t>
      </w:r>
    </w:p>
    <w:p w14:paraId="2C8A6AE5" w14:textId="77777777" w:rsidR="00373B8F" w:rsidRPr="00640820" w:rsidRDefault="00373B8F" w:rsidP="00640820">
      <w:pPr>
        <w:spacing w:after="0" w:line="240" w:lineRule="auto"/>
        <w:jc w:val="both"/>
        <w:rPr>
          <w:rFonts w:ascii="Times New Roman" w:hAnsi="Times New Roman"/>
          <w:color w:val="000000" w:themeColor="text1"/>
          <w:sz w:val="16"/>
          <w:szCs w:val="16"/>
        </w:rPr>
      </w:pPr>
    </w:p>
    <w:p w14:paraId="553397FA" w14:textId="77777777" w:rsidR="00930969" w:rsidRPr="00640820" w:rsidRDefault="00930969" w:rsidP="00640820">
      <w:pPr>
        <w:pStyle w:val="ae"/>
        <w:spacing w:before="0" w:after="0"/>
        <w:jc w:val="both"/>
        <w:textAlignment w:val="baseline"/>
        <w:rPr>
          <w:color w:val="000000" w:themeColor="text1"/>
          <w:sz w:val="16"/>
          <w:szCs w:val="16"/>
        </w:rPr>
      </w:pPr>
      <w:r w:rsidRPr="00640820">
        <w:rPr>
          <w:color w:val="000000" w:themeColor="text1"/>
          <w:sz w:val="16"/>
          <w:szCs w:val="16"/>
        </w:rPr>
        <w:t>За 17 ноября 1941 в отчете о боевой работе ВВС ЮЗФ говорилось:</w:t>
      </w:r>
    </w:p>
    <w:p w14:paraId="375A21EB" w14:textId="77777777" w:rsidR="00930969" w:rsidRPr="00640820" w:rsidRDefault="00930969" w:rsidP="00640820">
      <w:pPr>
        <w:pStyle w:val="ae"/>
        <w:spacing w:before="0" w:after="0"/>
        <w:jc w:val="both"/>
        <w:textAlignment w:val="baseline"/>
        <w:rPr>
          <w:iCs/>
          <w:color w:val="000000" w:themeColor="text1"/>
          <w:sz w:val="16"/>
          <w:szCs w:val="16"/>
          <w:bdr w:val="none" w:sz="0" w:space="0" w:color="auto" w:frame="1"/>
        </w:rPr>
      </w:pPr>
      <w:r w:rsidRPr="00640820">
        <w:rPr>
          <w:iCs/>
          <w:color w:val="000000" w:themeColor="text1"/>
          <w:sz w:val="16"/>
          <w:szCs w:val="16"/>
          <w:bdr w:val="none" w:sz="0" w:space="0" w:color="auto" w:frame="1"/>
        </w:rPr>
        <w:t>«ВВС ЮЗФ уничтожали колонны мотомехвойск на дорогах: до 19 автомашин с пехотой из Корсакова на Мал. Озерка, 200 единиц танков, бронемашин и автомашин с пехотой из Пипицы на Никольское, до 120 танков из Орел на Мценск, до 15 автомашин с пехотой из Борисовка на Доробико, до 150 автомашин из Рогат на Чугуев. Скопления пехоты и автомашин в районах Сапроново, Корсаковка, Никольское, Архангельское, Лески. Уничтожали самолеты противника на аэродроме Мценск…»</w:t>
      </w:r>
    </w:p>
    <w:p w14:paraId="17D414E2" w14:textId="77777777" w:rsidR="00930969" w:rsidRPr="00640820" w:rsidRDefault="00930969" w:rsidP="00640820">
      <w:pPr>
        <w:pStyle w:val="ae"/>
        <w:spacing w:before="0" w:after="0"/>
        <w:jc w:val="both"/>
        <w:textAlignment w:val="baseline"/>
        <w:rPr>
          <w:color w:val="000000" w:themeColor="text1"/>
          <w:sz w:val="16"/>
          <w:szCs w:val="16"/>
        </w:rPr>
      </w:pPr>
      <w:r w:rsidRPr="00640820">
        <w:rPr>
          <w:color w:val="000000" w:themeColor="text1"/>
          <w:sz w:val="16"/>
          <w:szCs w:val="16"/>
        </w:rPr>
        <w:t>Всего ВВС фронта произвели 142 самолето-вылета, в том числе 61 на атаку наземных целей. При этом было сброшено 22 ФАБ-100, 70 ФАБ-50, 6 АО-25[16], 12 АО-15, 32 АО-10, 12 ЗАБ-10[17], 34 ЗАБ-50; израсходовано 200 снарядов ШВАК, 700 БС и 60 PC. Летчики отчитались о 20 уничтоженных танках, 50 автомашинах, батальона пехоты и двух зенитных пулеметах. Собственные потери составили пять бомбардировщиков СБ и один разведчик Р-5. Среди Ил-2 потерь не было (19522).</w:t>
      </w:r>
    </w:p>
    <w:p w14:paraId="3E31D3C8" w14:textId="77777777" w:rsidR="00930969" w:rsidRPr="00640820" w:rsidRDefault="00930969" w:rsidP="00640820">
      <w:pPr>
        <w:pStyle w:val="ae"/>
        <w:spacing w:before="0" w:after="0"/>
        <w:jc w:val="both"/>
        <w:textAlignment w:val="baseline"/>
        <w:rPr>
          <w:color w:val="000000" w:themeColor="text1"/>
          <w:sz w:val="16"/>
          <w:szCs w:val="16"/>
        </w:rPr>
      </w:pPr>
    </w:p>
    <w:p w14:paraId="1896638B" w14:textId="77777777" w:rsidR="00373B8F" w:rsidRPr="00640820" w:rsidRDefault="00373B8F"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17 ноября </w:t>
      </w:r>
      <w:r w:rsidRPr="00640820">
        <w:rPr>
          <w:rFonts w:ascii="Times New Roman" w:hAnsi="Times New Roman"/>
          <w:color w:val="000000" w:themeColor="text1"/>
          <w:sz w:val="16"/>
          <w:szCs w:val="16"/>
        </w:rPr>
        <w:t>в 1941 году Приказ Ставки ВГК № 0428: «Опыт последнего месяца войны показал, что германская армия плохо приспособлена к войне в зимних условиях, не имеет теплого одеяния и, испытывая огромные трудности от наступивших морозов, ютится в прифронтовой полосе в населенных пунктах. Самонадеянный до наглости противник собирался зимовать в теплых домах Москвы и Ленинграда, но этому воспрепятствовали действия наших войск. На обширных участках фронта немецкие войска, встретив упорное сопротивление наших частей, вынужденно перешли к обороне и расположились в населенных пунктах вдоль дорог на 20 - 30 км по обе их стороны. Немецкие солдаты живут, как правило, в городах, в местечках, в деревнях, в крестьянских избах, сараях, ригах, банях близ фронта, а штабы германских частей размещаются в более крупных населенных пунктах и городах, прячутся в подвальных помещениях, используя их в качестве укрытия от нашей авиации и артиллерии. Советское население этих пунктов обычно выселяют и выбрасывают вон немецкие захватчики. Лишить германскую армию возможности располагаться в селах и городах, выгнать немецких захватчиков из всех населенных пунктов на холод в поле, выкурить их из всех помещений и теплых убежищ и заставить мерзнуть под, открытым небом - такова неотложная задача, от решения которой во многом зависит ускорение разгрома врага и разложение его армии.</w:t>
      </w:r>
    </w:p>
    <w:p w14:paraId="5C7594B3" w14:textId="77777777" w:rsidR="00373B8F" w:rsidRPr="00640820" w:rsidRDefault="00373B8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Ставка Верховного Главнокомандования ПРИКАЗЫВАЕТ: </w:t>
      </w:r>
    </w:p>
    <w:p w14:paraId="25D682A0" w14:textId="77777777" w:rsidR="00373B8F" w:rsidRPr="00640820" w:rsidRDefault="00373B8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Разрушать и сжигать дотла все населенные пункты в тылу немецких войск на расстоянии 40 - 60 км в глубину от переднего края и на 20 - 30 км вправо и влево от дорог.</w:t>
      </w:r>
    </w:p>
    <w:p w14:paraId="315E07AC" w14:textId="77777777" w:rsidR="00373B8F" w:rsidRPr="00640820" w:rsidRDefault="00373B8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уничтожения населенных пунктов в указанном радиусе действия бросить немедленно авиацию, широко использовать артиллерийский, и минометный огонь, команды разведчиков, лыжников и партизанские диверсионные группы, снабженные бутылками с зажигательной смесью, гранатами и подрывными средствами.</w:t>
      </w:r>
    </w:p>
    <w:p w14:paraId="7F591943" w14:textId="77777777" w:rsidR="00373B8F" w:rsidRPr="00640820" w:rsidRDefault="00373B8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В каждом полку создать команды охотников по 20 - 30 человек каждая для взрыва и сжигания населенных пунктов, в которых располагаются войска противника. В команды охотников подбирать наиболее отважных и крепких в политико-моральном отношении бойцов, командиров и политработников, тщательно разъясняя им задачи и значение этого мероприятия для разгрома германской армии. Выдающихся смельчаков за отважные действия по уничтожению населенных пунктов, в которых расположены немецкие войска, представлять к правительственной награде.</w:t>
      </w:r>
    </w:p>
    <w:p w14:paraId="182B1FFF" w14:textId="77777777" w:rsidR="00373B8F" w:rsidRPr="00640820" w:rsidRDefault="00373B8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При вынужденном отходе наших частей на том или другом участке уводить с собой советское население и обязательно уничтожать все без исключения населенные пункты, чтобы противник не мог их использовать. В первую очередь для этой цели использовать выделенные в полках команды охотников.</w:t>
      </w:r>
    </w:p>
    <w:p w14:paraId="49772877" w14:textId="77777777" w:rsidR="00373B8F" w:rsidRPr="00640820" w:rsidRDefault="00373B8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Военным Советам фронтов и отдельных армий систематически проверять, как выполняются задания по уничтожению населенных пунктов в указанном выше радиусе от линии фронта. Ставке через каждые 3 дня отдельной сводкой доносить, сколько и какие населенные пункты уничтожены за прошедшие дни и какими средствами достигнуты эти результаты.</w:t>
      </w:r>
    </w:p>
    <w:p w14:paraId="7B584B39" w14:textId="77777777" w:rsidR="00373B8F" w:rsidRPr="00640820" w:rsidRDefault="00373B8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Ставка Верховного Главнокомандования </w:t>
      </w:r>
    </w:p>
    <w:p w14:paraId="054ABC6D" w14:textId="77777777" w:rsidR="00373B8F" w:rsidRPr="00640820" w:rsidRDefault="00373B8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И.Сталин Б.Шапошников» (14833).</w:t>
      </w:r>
    </w:p>
    <w:p w14:paraId="1F2B58AC" w14:textId="77777777" w:rsidR="00373B8F" w:rsidRPr="00640820" w:rsidRDefault="00373B8F" w:rsidP="00640820">
      <w:pPr>
        <w:spacing w:after="0" w:line="240" w:lineRule="auto"/>
        <w:jc w:val="both"/>
        <w:rPr>
          <w:rFonts w:ascii="Times New Roman" w:hAnsi="Times New Roman"/>
          <w:color w:val="000000" w:themeColor="text1"/>
          <w:sz w:val="16"/>
          <w:szCs w:val="16"/>
        </w:rPr>
      </w:pPr>
    </w:p>
    <w:p w14:paraId="5CF5855D" w14:textId="77777777" w:rsidR="00373B8F" w:rsidRPr="00640820" w:rsidRDefault="00373B8F"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17 ноября </w:t>
      </w:r>
      <w:r w:rsidRPr="00640820">
        <w:rPr>
          <w:rFonts w:ascii="Times New Roman" w:hAnsi="Times New Roman"/>
          <w:color w:val="000000" w:themeColor="text1"/>
          <w:sz w:val="16"/>
          <w:szCs w:val="16"/>
        </w:rPr>
        <w:t>в 1941 году войсками Южного фронта (генерал-полковник Я.Т.Черевиченко) началась Ростовская наступательная операция. В ходе операции, завершившейся 2 декабря, части 37-й, 9-й и 18-й армий нанесли поражение 1-й танковой немецкой армии. В результате успешных действий советских войск были сорваны вражеские планы вторжения на Северный Кавказ (14833).</w:t>
      </w:r>
    </w:p>
    <w:p w14:paraId="520A3A8B" w14:textId="77777777" w:rsidR="00373B8F" w:rsidRPr="00640820" w:rsidRDefault="00373B8F" w:rsidP="00640820">
      <w:pPr>
        <w:spacing w:after="0" w:line="240" w:lineRule="auto"/>
        <w:jc w:val="both"/>
        <w:rPr>
          <w:rFonts w:ascii="Times New Roman" w:hAnsi="Times New Roman"/>
          <w:color w:val="000000" w:themeColor="text1"/>
          <w:sz w:val="16"/>
          <w:szCs w:val="16"/>
        </w:rPr>
      </w:pPr>
    </w:p>
    <w:p w14:paraId="6D74C6B4" w14:textId="77777777" w:rsidR="00373B8F" w:rsidRPr="00640820" w:rsidRDefault="00373B8F"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17 ноября </w:t>
      </w:r>
      <w:r w:rsidRPr="00640820">
        <w:rPr>
          <w:rFonts w:ascii="Times New Roman" w:hAnsi="Times New Roman"/>
          <w:color w:val="000000" w:themeColor="text1"/>
          <w:sz w:val="16"/>
          <w:szCs w:val="16"/>
        </w:rPr>
        <w:t>в 1941 году немецкие войска заняли Ростов-на-Дону (14833).</w:t>
      </w:r>
    </w:p>
    <w:p w14:paraId="33F7C9EC" w14:textId="77777777" w:rsidR="00373B8F" w:rsidRPr="00640820" w:rsidRDefault="00373B8F" w:rsidP="00640820">
      <w:pPr>
        <w:spacing w:after="0" w:line="240" w:lineRule="auto"/>
        <w:jc w:val="both"/>
        <w:rPr>
          <w:rFonts w:ascii="Times New Roman" w:hAnsi="Times New Roman"/>
          <w:color w:val="000000" w:themeColor="text1"/>
          <w:sz w:val="16"/>
          <w:szCs w:val="16"/>
        </w:rPr>
      </w:pPr>
    </w:p>
    <w:p w14:paraId="440A372E" w14:textId="77777777" w:rsidR="00373B8F" w:rsidRPr="00640820" w:rsidRDefault="00373B8F"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17 ноября </w:t>
      </w:r>
      <w:r w:rsidRPr="00640820">
        <w:rPr>
          <w:rFonts w:ascii="Times New Roman" w:hAnsi="Times New Roman"/>
          <w:color w:val="000000" w:themeColor="text1"/>
          <w:sz w:val="16"/>
          <w:szCs w:val="16"/>
        </w:rPr>
        <w:t>в 1941 году завершилась Тихвинская оборонительная операция: советские войска не допустили соединения немецких и финских войск на р. Свирь (14833).</w:t>
      </w:r>
    </w:p>
    <w:p w14:paraId="56F3AE62" w14:textId="77777777" w:rsidR="00373B8F" w:rsidRPr="00640820" w:rsidRDefault="00373B8F" w:rsidP="00640820">
      <w:pPr>
        <w:spacing w:after="0" w:line="240" w:lineRule="auto"/>
        <w:jc w:val="both"/>
        <w:rPr>
          <w:rFonts w:ascii="Times New Roman" w:hAnsi="Times New Roman"/>
          <w:color w:val="000000" w:themeColor="text1"/>
          <w:sz w:val="16"/>
          <w:szCs w:val="16"/>
        </w:rPr>
      </w:pPr>
    </w:p>
    <w:p w14:paraId="5D75DB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ноября 1941 возобновилось наступление немцев на Ростов (512,160).</w:t>
      </w:r>
    </w:p>
    <w:p w14:paraId="0D65B3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1B255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17 (18 - 3398,402) ноября по 2 декабря 1941 прошла Ростовская наступательная операция и предотвратили продвижение на Кавказ, а немцы отступили на 60-80 км (2443,81). Наступал ЮФ (Я.Т.Черевиченко). Части 37, 9 и 18А нанесли поражение 1ТА (3398,402).</w:t>
      </w:r>
    </w:p>
    <w:p w14:paraId="01792B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09357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ноября 1941 вышел приказ Ставки N 0428 "...Разрушать и сжигать до тла все населенные пункты в тылу немецких войск." (3481).</w:t>
      </w:r>
    </w:p>
    <w:p w14:paraId="4F8FE0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D914E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17 ноября по 2 декабря 1941 было контрнаступление ЮФ под Ростовом-на-Дону (3186).</w:t>
      </w:r>
    </w:p>
    <w:p w14:paraId="2A8DEA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16691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November 17, 1941: Units of 11.Armee (von Manstein) capture the eastern Crimean port of Kerch (3819).</w:t>
      </w:r>
    </w:p>
    <w:p w14:paraId="76F5BA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4C0D02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ноября 1941 части 11А в Крыму захватили Керчь (3819).</w:t>
      </w:r>
    </w:p>
    <w:p w14:paraId="2A2D62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A3AAB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17 ноября 1941 года был подготовлен ПРИКАЗ СТАВКИ ВЕРХОВНОГО ГЛАВНОГО КОМАНДОВАНИЯ № 0428 </w:t>
      </w:r>
    </w:p>
    <w:p w14:paraId="27C0B4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Москва</w:t>
      </w:r>
    </w:p>
    <w:p w14:paraId="26E763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Опыт последнего месяца войны показал, что германская армия плохо приспособлена к войне в зимних условиях, не имеет теплого одеяния и, испытывая огромные трудности от наступивших морозов, ютится в прифронтовой полосе в населенных пунктах. Самонадеянный до наглости противник собирался зимовать в теплых домах Москвы и Ленинграда, но этому воспрепятствовали действия наших войск. На обширных участках фронта немецкие войска, встретив упорное сопротивление наших частей, вынужденно перешли к обороне и расположились в населенных пунктах вдоль дорог на 20-30 км по обе их стороны. Немецкие солдаты живут, как правило, в городах, в местечках, в деревнях в крестьянских избах, сараях, ригах, банях близ фронта, а штабы германских частей размещаются в более крупных населенных пунктах и городах, прячутся в подвальных помещениях, используя их в качестве укрытия от нашей авиации и артиллерии. Советское население этих пунктов обычно выселяют и выбрасывают вон немецкие захватчики.</w:t>
      </w:r>
    </w:p>
    <w:p w14:paraId="15DCDC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Лишить германскую армию возможности располагаться в селах и городах, выгнать немецких захватчиков из всех населенных пунктов на холод в поле, выкурить их из всех помещений и теплых убежищ и заставить мерзнуть под открытым небом - такова неотложная задача, от решения которой во многом зависит ускорение разгрома врага и разложение его армии.</w:t>
      </w:r>
    </w:p>
    <w:p w14:paraId="550DA1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Ставка Верховного Главнокомандования ПРИКАЗЫВАЕТ:</w:t>
      </w:r>
    </w:p>
    <w:p w14:paraId="06F56B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Разрушать и сжигать дотла все населенные пункты в тылу немецких войск на расстоянии 40-60 км в глубину от переднего края и на 20-30 км вправо и влево от дорог.</w:t>
      </w:r>
    </w:p>
    <w:p w14:paraId="1038FF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уничтожения населенных пунктов в указанном радиусе действия бросить немедленно авиацию, широко использовать артиллерийский и минометный огонь, команды разведчиков, лыжников и партизанские диверсионные группы, снабженные бутылками с зажигательной смесью, гранатами и подрывными средствами.</w:t>
      </w:r>
    </w:p>
    <w:p w14:paraId="75B318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В каждом полку создать команды охотников по 20-30 человек каждая Для взрыва и сжигания населенных пунктов, в которых располагаются войска противника &lt;...&gt;</w:t>
      </w:r>
    </w:p>
    <w:p w14:paraId="72C1D6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При вынужденном отходе наших частей на том или другом участке уволить с собой советское население и обязательно уничтожать все без исключения населенные пункты, чтобы противник не мог их использовать. В первую очередь для этой цели использовать выделенные в полках команды охотников (9715).</w:t>
      </w:r>
    </w:p>
    <w:p w14:paraId="114921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D9F86C1"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2C017E12"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04E37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ноября 1941 вышло постановление ЦК ВКП(б) и СНК "О производстве и ремонте тракторов, комбайнов и сельскохозяйственных машин на 1942" Решили скорее пустить Алтайский и восстановить в Красноярске запорожский Коммунар (512,93).</w:t>
      </w:r>
    </w:p>
    <w:p w14:paraId="63C192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4256AB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ноября 1941 вышло Постановление ГКО № 903 [О приведении в исполнение всех приговоров к высшей мере наказания без утверждения высшими судебными инстанциями и предоставлении права Особому совещанию НКВД СССР выносить приговоры вплоть до расстрела по ст. 58 и 59 Уголовного кодекса РСФСР.] (7015, 101).</w:t>
      </w:r>
    </w:p>
    <w:p w14:paraId="7A7CB7B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A0C64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ноября 1941 вышло Постановление ГКО № 904 О радиовещании на украинском и польском языках. (7015, 102).</w:t>
      </w:r>
    </w:p>
    <w:p w14:paraId="3BE2F00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1E0CE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ноября 1941 вышло Распоряжение ГКО № 906 [О прекращении отгрузки автомобилей, выделенных потребителям по ряду постановлений и распоряжений ГКО.] (7015, 107,108).</w:t>
      </w:r>
    </w:p>
    <w:p w14:paraId="77E2297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5DF73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ноября 1941 ЦК ВКП(б) постановил создать политотделы при МТС и совхозах (4962).</w:t>
      </w:r>
    </w:p>
    <w:p w14:paraId="41E13D4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F81618" w14:textId="77777777" w:rsidR="004C469C" w:rsidRPr="00640820" w:rsidRDefault="004C469C"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17 ноября </w:t>
      </w:r>
      <w:r w:rsidRPr="00640820">
        <w:rPr>
          <w:rFonts w:ascii="Times New Roman" w:hAnsi="Times New Roman"/>
          <w:color w:val="000000" w:themeColor="text1"/>
          <w:sz w:val="16"/>
          <w:szCs w:val="16"/>
        </w:rPr>
        <w:t>в 1941 году ЦК ВКП(б) постанавляет создать политотделы при МТС и совхозах (14833).</w:t>
      </w:r>
    </w:p>
    <w:p w14:paraId="60747FFE" w14:textId="77777777" w:rsidR="004C469C" w:rsidRPr="00640820" w:rsidRDefault="004C469C" w:rsidP="00640820">
      <w:pPr>
        <w:spacing w:after="0" w:line="240" w:lineRule="auto"/>
        <w:jc w:val="both"/>
        <w:rPr>
          <w:rFonts w:ascii="Times New Roman" w:hAnsi="Times New Roman"/>
          <w:color w:val="000000" w:themeColor="text1"/>
          <w:sz w:val="16"/>
          <w:szCs w:val="16"/>
        </w:rPr>
      </w:pPr>
    </w:p>
    <w:p w14:paraId="705F15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ноября 1941 при МТС и совхозах были созданы политотделы для руководства политработой в деревне (512,271).</w:t>
      </w:r>
    </w:p>
    <w:p w14:paraId="0AB795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FEF1A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ноября 1941 г. Выходит постановление ГКО, в котором Особому совещанию НКВД СССР предоставляется право выносить меры наказания по возникающим в органах НКВД делам о контрреволюционных преступлениях и особо опасных преступлениях против порядка управления СССР вплоть до расстрела. Данное постановление ГКО перестало действовать лишь 1 сентября 1953 г. c упразднением Особого совещания (10303).</w:t>
      </w:r>
    </w:p>
    <w:p w14:paraId="52C75A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4EDDB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ноября 1941 г., согласно Командованию 18-й армии:</w:t>
      </w:r>
    </w:p>
    <w:p w14:paraId="740A18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Отдел 1с</w:t>
      </w:r>
    </w:p>
    <w:p w14:paraId="426B70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Адресат: ОКВ, начальник Генштаба</w:t>
      </w:r>
    </w:p>
    <w:p w14:paraId="2EC5CD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Сообщение о Петербурге № 7</w:t>
      </w:r>
    </w:p>
    <w:p w14:paraId="757182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 Мероприятия по обороне города</w:t>
      </w:r>
    </w:p>
    <w:p w14:paraId="1E9908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Подтвердились данные о создании внутренней линии обороны вдоль Обводного канала. Улицы, которые выходят на окраины города, по ходу этой линии обороны закрыты баррикадами высотой в 2 м и глубиной в 1,5 м. Узкие проходы оставлены на тротуарах. Кроме того, сообщают о наличии проема в середине баррикад для проезда машин. Установлено наличие следующих баррикад:</w:t>
      </w:r>
    </w:p>
    <w:p w14:paraId="6FD95D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Международный проспект — угол Черниговской улицы; Химический переулок на балтийской железной дороге (R 5), у завода «Красный Химик» (R 4) и на углу улицы Стачек (R 4). Траншеи и противотанковые рвы проходят по южной стороне Митрофаньевского кладбища, а также товарной станции Сортировочная.</w:t>
      </w:r>
    </w:p>
    <w:p w14:paraId="00EAF2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Подтверждается строительство в городе дотов, которые замаскированы под киоски. Например, они имеются у мостов через реку Охту (М 10/11); на Неве построен дот из бетона в форме киоска. На улицах, ведущих к мостам через Охту, имеются специальные заграждения (наличие дотов и уличных заграждений подтверждено съемкой с воздуха).</w:t>
      </w:r>
    </w:p>
    <w:p w14:paraId="506294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обороны особенно тщательно укреплена южная часть города: на некоторых перекрестках в дома вмонтированы орудия и пулеметы; танковые траншеи больших размеров имеются в окрестностях Московского вокзала (О/Р 9) и товарной станции Сортировочная, расположенной за пределами собственно городских районов Петербурга.</w:t>
      </w:r>
    </w:p>
    <w:p w14:paraId="70D715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Расположение артиллерийских батарей: 2 орудия находятся в 500 м на северо-запад от железнодорожного переезда (S 5); 3 тяжелых корабельных орудия, смонтированных на железнодорожной платформе, находятся у гавани между улицей Стачек и заводом Молотова (S 3/4). В рамках обозначенного пространства платформа часто меняет свое местоположение. Как сообщают, в Шереметьевском парке на юго-западе города находятся артиллерийские позиции.</w:t>
      </w:r>
    </w:p>
    <w:p w14:paraId="0662FB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Вдоль Московского шоссе установлены старые танки без гусениц, которые выполняют функцию дотов.</w:t>
      </w:r>
    </w:p>
    <w:p w14:paraId="1E665E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Оборона Ленинграда осуществляется в основном батальонами ополченцев. Обучение их обращению с оружием и уличному бою происходит по вечерам после работы. Предприятия, которые работают не на полную мощность, направляют своих рабочих через день на рытье траншей и на военную подготовку. Все без исключения невоеннообязанные в возрасте 50-60 лет проходят краткосрочную военную подготовку. Так как все годные к военной службе уже призваны, контингент, собираемый в ополчение, в целом является плохим.</w:t>
      </w:r>
    </w:p>
    <w:p w14:paraId="5839AF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Положение со снабжением</w:t>
      </w:r>
    </w:p>
    <w:p w14:paraId="38084F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Положение с продовольственным обеспечением ухудшилось. Нормы выдачи хлеба еще более сократились. Рабочим полагается всего 300 г, а всем остальным — по 150 г хлеба в день. Сообщают, что картофеля и овощей больше нет. Крупу еще выдают, и она вместе с хлебом является основным продуктом питания. Мяса выдают по 300 г в месяц. Каждому ежемесячно также выдаются 150 г сахара, 300 г растительного масла, а также 0,5 литра керосина.</w:t>
      </w:r>
    </w:p>
    <w:p w14:paraId="31CCC9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Предпринимается попытка выдавать рабочим военных заводов вместо продовольственных карточек талоны для питания в заводских столовых. На них выдают: утром — чай и кусок хлеба, в обед — каша, перловый суп или щи без мяса, а также кусок хлеба; на ужин — каша или пюре и кусок хлеба. Кроме того, раз в пять дней выдается что-нибудь колбасное. Время от времени выдают также рыбу.</w:t>
      </w:r>
    </w:p>
    <w:p w14:paraId="184C23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результате того, что немецкая сторона отпечатала и сбросила продовольственные карточки, в конце октября произошли серьезные беспорядки в снабжении продовольствием (выделено мной — Н.Л.).</w:t>
      </w:r>
    </w:p>
    <w:p w14:paraId="3C09D1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Кронштадте, вероятно, еще имеются запасы продовольствия. Наблюдалось движение транспортов с продовольствием из Кронштадта в Петербург.</w:t>
      </w:r>
    </w:p>
    <w:p w14:paraId="5FAA5B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доставка продовольствия осуществляется самолетами (в день по 5—9 машин), которые помимо продуктов привозят в город боеприпасы и запасные части.</w:t>
      </w:r>
    </w:p>
    <w:p w14:paraId="258BDB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Газо-, водо- и электроснабжение в 14-м районе полностью прекращено. Нет и движения транспорта.</w:t>
      </w:r>
    </w:p>
    <w:p w14:paraId="017A68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Плохо обстоит дело с отоплением. Угля вообще нет в наличии. Дрова с середины октября гражданским лицам не выдаются. В учреждениях установлены буржуйки.</w:t>
      </w:r>
    </w:p>
    <w:p w14:paraId="4FF9C5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месяца стали в ограниченном размере бесплатно выдавать древесину, полученную в результате разрушения домов. До недавнего времени в пригородах деревянные дома сносили на дрова. Однако по-прежнему часть ленинградских квартир остается не отапливаемой.</w:t>
      </w:r>
    </w:p>
    <w:p w14:paraId="3C0F48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Настроение и пропаганда</w:t>
      </w:r>
    </w:p>
    <w:p w14:paraId="315BC3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целом существенных изменений в настроении не произошло. Противниками сопротивления, по-прежнему, являются прежде всего женщины. Длинные очереди за продуктами являются очагом всевозможных слухов. Недовольство советской властью проявляется здесь открыто. Особое раздражение вызывает то, что евреи и руководящие партийные чиновники, по-видимому, в неограниченном размере обеспечены продовольствием.</w:t>
      </w:r>
    </w:p>
    <w:p w14:paraId="287100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Сообщают, что смертность среди гражданского населения очень большая. Однако не было возможности установить, является ли это следствием голода или эпидемий. Бесчинства бандитов приобрели еще больший размах. Стало распространенным нищенство и просьбы дать хлеба.</w:t>
      </w:r>
    </w:p>
    <w:p w14:paraId="122FFC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Сообщают, что отношение населения к евреям в последнее время обострилось.</w:t>
      </w:r>
    </w:p>
    <w:p w14:paraId="55EBAA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Полиция самым строгим образом проверяет документы гражданского населения. Лиц без документов подвергают аресту и часто без всякого разбирательства расстреливают.</w:t>
      </w:r>
    </w:p>
    <w:p w14:paraId="4CFE15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Рабочие военных заводов часто получают по 3-4 повестки, прежде чем их призывают на военную службу.</w:t>
      </w:r>
    </w:p>
    <w:p w14:paraId="4A7FDA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целом увеличение продолжительности рабочего дня на многих военных предприятиях до 12-15 часов при скудном питании вызывает озлобление рабочих.</w:t>
      </w:r>
    </w:p>
    <w:p w14:paraId="25FA01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Очень заметно дальнейшее усиление пропаганды, призывающей к продолжению сопротивления. По радио и через газеты призывают к более высокой производительности труда и самоотверженности.</w:t>
      </w:r>
    </w:p>
    <w:p w14:paraId="030B19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Разрушения</w:t>
      </w:r>
    </w:p>
    <w:p w14:paraId="5BE69E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«Электросила» (S 6) частично разрушен, так что работу может продолжать не в полном объеме. 1-я электростанция (Р 7 № 141) и газовый завод (Р 7 № 151), как сообщают, разрушены полностью. Нарушено газо-и электроснабжение в Московском районе. Завод по производству сыра и растительного масла жирокомбината (Р 7 № 836) и склады с его запасами на Обводном канале выгорели, как и Ленмолзавод (Р 6 № 941) и еще одно молочное предприятие. Частично разрушен асбестовый завод (К 7 № 643). Большие разрушения имеются на Кировском заводе (№ 461) и на «Красном Треугольнике» (№ 581). Сообщают, что подвижной состав, находящийся на путях, разрушен. Замечено много сгоревших и разрушенных товарных и пассажирских вагонов. Значительны разрушения вокруг Балтийского вокзала.. В результате воздушного налета полностью разрушен большой хлебный завод (Р 6 № 819). Завод по производству линолеума и клеенки (S 6) более не работает, так как частично разрушен и большая часть рабочих призвана в ополчение. Завод им. Молотова горел. Вследствие пожаров сильно пострадал завод им. Сталина. Военный завод «Прогресс», расположенный у Финляндского вокзала, а также завод «Красное Знамя» (К 9 № 398), по имеющимся данным, получили многочисленные повреждения. В Смольнинском районе и на Васильевском острове разрушения особенно очевидны.</w:t>
      </w:r>
    </w:p>
    <w:p w14:paraId="396AF5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Мост лейтенанта Шмидта, о котором содержалось упоминание в последнем сообщении, снова восстановлен.</w:t>
      </w:r>
    </w:p>
    <w:p w14:paraId="5764FA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Национальный Архив США. Командование 18-й армии. Отдел 1с. Микрофильм.Т-312/1579 — 563-7 (11814).</w:t>
      </w:r>
    </w:p>
    <w:p w14:paraId="57F023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28AADE9"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0D3EA3C8"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71DE4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 November 1941 The Archer (BAVG 1) was transferred to UK as the first of 38 escort carriers transferred to the United Kingdom during the war (1090).</w:t>
      </w:r>
    </w:p>
    <w:p w14:paraId="10E17E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35AD80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ноября 1941 США передали Англии первый из 38 экскортных авианосцев - Archer (BAVG 1) (1090).</w:t>
      </w:r>
    </w:p>
    <w:p w14:paraId="5C166F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3D0C4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ноября 1941 Генерал авиации Эрнст Удет, обвиненный в срыве воздушных боев за Британию, покончил с собой (3186).</w:t>
      </w:r>
    </w:p>
    <w:p w14:paraId="5B2036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37750E5" w14:textId="5BE3BF0D" w:rsidR="00D15EDB" w:rsidRPr="00640820" w:rsidRDefault="00D15E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17 ноября 1941 года Удет – второй ас первой мировой войны (62 победы) и генеральный директор по технике Люфтваффе, совершает самоубийство (20794).</w:t>
      </w:r>
    </w:p>
    <w:p w14:paraId="536727EC" w14:textId="77777777" w:rsidR="00D15EDB" w:rsidRPr="00640820" w:rsidRDefault="00D15EDB" w:rsidP="00640820">
      <w:pPr>
        <w:spacing w:after="0" w:line="240" w:lineRule="auto"/>
        <w:jc w:val="both"/>
        <w:rPr>
          <w:rFonts w:ascii="Times New Roman" w:hAnsi="Times New Roman"/>
          <w:color w:val="0070C0"/>
          <w:sz w:val="16"/>
          <w:szCs w:val="16"/>
        </w:rPr>
      </w:pPr>
    </w:p>
    <w:p w14:paraId="7DD11A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November 17 1941 Joint resolution to repeal sections 2, 3, and 6 of the Neutrality Act of 1939 approved (1223).</w:t>
      </w:r>
    </w:p>
    <w:p w14:paraId="59E3D6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14A5F2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ноября 1941 была принята резолюция, отменяющая статьи 2, 3 и 6 акта о нейтралитете 1939 (1223).</w:t>
      </w:r>
    </w:p>
    <w:p w14:paraId="3D4AAB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49222D0" w14:textId="77777777" w:rsidR="004C469C" w:rsidRPr="00640820" w:rsidRDefault="004C469C"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17 ноября </w:t>
      </w:r>
      <w:r w:rsidRPr="00640820">
        <w:rPr>
          <w:rFonts w:ascii="Times New Roman" w:hAnsi="Times New Roman"/>
          <w:color w:val="000000" w:themeColor="text1"/>
          <w:sz w:val="16"/>
          <w:szCs w:val="16"/>
        </w:rPr>
        <w:t>в 1941 году посол США в Японии передал в Гос.департамент телеграмму, предупреждавую о том, что Япония "планирует, в случае кризисной ситуации в отношениях с США, попытку массовой внезапной атаки на Пеарл Харбор." (14833).</w:t>
      </w:r>
    </w:p>
    <w:p w14:paraId="254E6BC4" w14:textId="77777777" w:rsidR="004C469C" w:rsidRPr="00640820" w:rsidRDefault="004C469C" w:rsidP="00640820">
      <w:pPr>
        <w:spacing w:after="0" w:line="240" w:lineRule="auto"/>
        <w:jc w:val="both"/>
        <w:rPr>
          <w:rFonts w:ascii="Times New Roman" w:hAnsi="Times New Roman"/>
          <w:color w:val="000000" w:themeColor="text1"/>
          <w:sz w:val="16"/>
          <w:szCs w:val="16"/>
        </w:rPr>
      </w:pPr>
    </w:p>
    <w:p w14:paraId="4C890EC0" w14:textId="77777777" w:rsidR="004C469C" w:rsidRPr="00640820" w:rsidRDefault="004C469C"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17 ноября </w:t>
      </w:r>
      <w:r w:rsidRPr="00640820">
        <w:rPr>
          <w:rFonts w:ascii="Times New Roman" w:hAnsi="Times New Roman"/>
          <w:color w:val="000000" w:themeColor="text1"/>
          <w:sz w:val="16"/>
          <w:szCs w:val="16"/>
        </w:rPr>
        <w:t>в 1941 году Чан Кай-ши призвал страны Запада предпринять активные действия против США (14833).</w:t>
      </w:r>
    </w:p>
    <w:p w14:paraId="4107BFB4" w14:textId="77777777" w:rsidR="004C469C" w:rsidRPr="00640820" w:rsidRDefault="004C469C" w:rsidP="00640820">
      <w:pPr>
        <w:spacing w:after="0" w:line="240" w:lineRule="auto"/>
        <w:jc w:val="both"/>
        <w:rPr>
          <w:rFonts w:ascii="Times New Roman" w:hAnsi="Times New Roman"/>
          <w:color w:val="000000" w:themeColor="text1"/>
          <w:sz w:val="16"/>
          <w:szCs w:val="16"/>
        </w:rPr>
      </w:pPr>
    </w:p>
    <w:p w14:paraId="61524211"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2BBD72AC"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DE50A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18/19 ноября 1941 года врид. начальника ГУ ВВС бригинженер Бибиков, за военного комиссара ГУ ВВС бригадный комиссар Маченков писали письмо N 198642с Шахурину.</w:t>
      </w:r>
    </w:p>
    <w:p w14:paraId="76E0E2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вопросу: о выпуске с-тов Су-2 з-дом 135 в разведывательном и корректировочном варианте.</w:t>
      </w:r>
    </w:p>
    <w:p w14:paraId="2C693E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Опытом боевых действий выявлено, что самолет Су-2 может быть использован на фронте не только как ближний бомбардировщик, но и как разведчик и корректировщик артогня.</w:t>
      </w:r>
    </w:p>
    <w:p w14:paraId="5C82C8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Один самолет Су-2 отработанный в таком варианте гл. конструктором Сухим прошел положительно гос. испытания.</w:t>
      </w:r>
    </w:p>
    <w:p w14:paraId="2062BC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Вашим заместителем Ворониным по просьбе ГУ ВВС было дано указание заводу N 207 выпускать все самолеты Су-2 в разведывательном и корректировочном варианте.</w:t>
      </w:r>
    </w:p>
    <w:p w14:paraId="06DDF8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N 207 приступил к выпуску таких самолетов, но этому помешала эвакуация завода.</w:t>
      </w:r>
    </w:p>
    <w:p w14:paraId="0CA5CB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связи с тем, что ВВС не имеют специальных разведывательных самолетов, а потребность в них для фронта очень большая, прошу Вас дать срочное указание директору завода N 135 Кузину поставлять ГУ ВВС с-ты Су-2 в количестве 20% от общего плана поставок в варианте разведчика и корректировщика по чертежам главного конструктора.</w:t>
      </w:r>
    </w:p>
    <w:p w14:paraId="4F87E1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 Вашем решении по этому вопросу прошу сообщить (2637,35).</w:t>
      </w:r>
    </w:p>
    <w:p w14:paraId="2AF4BB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9D9CB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ноября 1941 заместитель начальника ГУ ВВС ЯЛ.Бибиков обратился к Шахурину с предложением выпускать каждый пятый самолет Су-2 в варианте разведчика и корректировщика, “в связи с тем, что ВВС Красной Армии не имеют таких самолетов, а потребность в них для фронта очень большая” (5360).</w:t>
      </w:r>
    </w:p>
    <w:p w14:paraId="0353C4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FB3BA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ноября 1941 заместитель наркома А.С. Яковлев разрешил поднять 103В в воздух (11988).</w:t>
      </w:r>
    </w:p>
    <w:p w14:paraId="6D0D9D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5DF23DF" w14:textId="77777777" w:rsidR="00D15EDB" w:rsidRPr="00640820" w:rsidRDefault="00D15EDB" w:rsidP="00640820">
      <w:pPr>
        <w:spacing w:after="0" w:line="240" w:lineRule="auto"/>
        <w:jc w:val="both"/>
        <w:rPr>
          <w:rFonts w:ascii="Times New Roman" w:hAnsi="Times New Roman"/>
          <w:color w:val="0070C0"/>
          <w:sz w:val="16"/>
          <w:szCs w:val="16"/>
          <w:lang w:eastAsia="ru-RU" w:bidi="ru-RU"/>
        </w:rPr>
      </w:pPr>
      <w:r w:rsidRPr="00640820">
        <w:rPr>
          <w:rFonts w:ascii="Times New Roman" w:hAnsi="Times New Roman"/>
          <w:color w:val="0070C0"/>
          <w:sz w:val="16"/>
          <w:szCs w:val="16"/>
          <w:lang w:eastAsia="ru-RU" w:bidi="ru-RU"/>
        </w:rPr>
        <w:t>18 ноября 1941 заместитель наркома А.С. Яковлев разрешил поднять 103В в воздух. При эвакуации узлы и агрегаты не</w:t>
      </w:r>
      <w:r w:rsidRPr="00640820">
        <w:rPr>
          <w:rFonts w:ascii="Times New Roman" w:hAnsi="Times New Roman"/>
          <w:color w:val="0070C0"/>
          <w:sz w:val="16"/>
          <w:szCs w:val="16"/>
          <w:lang w:eastAsia="ru-RU" w:bidi="ru-RU"/>
        </w:rPr>
        <w:softHyphen/>
        <w:t>законченного самолета «103В» вывезли в Омск. Там созда</w:t>
      </w:r>
      <w:r w:rsidRPr="00640820">
        <w:rPr>
          <w:rFonts w:ascii="Times New Roman" w:hAnsi="Times New Roman"/>
          <w:color w:val="0070C0"/>
          <w:sz w:val="16"/>
          <w:szCs w:val="16"/>
          <w:lang w:eastAsia="ru-RU" w:bidi="ru-RU"/>
        </w:rPr>
        <w:softHyphen/>
        <w:t>вался новый самолетостроительный завод №166. Ему передали сооружения недо</w:t>
      </w:r>
      <w:r w:rsidRPr="00640820">
        <w:rPr>
          <w:rFonts w:ascii="Times New Roman" w:hAnsi="Times New Roman"/>
          <w:color w:val="0070C0"/>
          <w:sz w:val="16"/>
          <w:szCs w:val="16"/>
          <w:lang w:eastAsia="ru-RU" w:bidi="ru-RU"/>
        </w:rPr>
        <w:softHyphen/>
        <w:t>строенного автосборочного предприятия и завода автомобильных прицепов. Туда пе</w:t>
      </w:r>
      <w:r w:rsidRPr="00640820">
        <w:rPr>
          <w:rFonts w:ascii="Times New Roman" w:hAnsi="Times New Roman"/>
          <w:color w:val="0070C0"/>
          <w:sz w:val="16"/>
          <w:szCs w:val="16"/>
          <w:lang w:eastAsia="ru-RU" w:bidi="ru-RU"/>
        </w:rPr>
        <w:softHyphen/>
        <w:t>ревезли персонал и оборудование завода №156 и завода №81 из подмосковного Ту</w:t>
      </w:r>
      <w:r w:rsidRPr="00640820">
        <w:rPr>
          <w:rFonts w:ascii="Times New Roman" w:hAnsi="Times New Roman"/>
          <w:color w:val="0070C0"/>
          <w:sz w:val="16"/>
          <w:szCs w:val="16"/>
          <w:lang w:eastAsia="ru-RU" w:bidi="ru-RU"/>
        </w:rPr>
        <w:softHyphen/>
        <w:t>шина. Последний перед эвакуацией гото</w:t>
      </w:r>
      <w:r w:rsidRPr="00640820">
        <w:rPr>
          <w:rFonts w:ascii="Times New Roman" w:hAnsi="Times New Roman"/>
          <w:color w:val="0070C0"/>
          <w:sz w:val="16"/>
          <w:szCs w:val="16"/>
          <w:lang w:eastAsia="ru-RU" w:bidi="ru-RU"/>
        </w:rPr>
        <w:softHyphen/>
        <w:t>вился начать выпуск истребителей Як-1. В ноябре - декабре к коллективу нового предприятия добавились рабочие и служа</w:t>
      </w:r>
      <w:r w:rsidRPr="00640820">
        <w:rPr>
          <w:rFonts w:ascii="Times New Roman" w:hAnsi="Times New Roman"/>
          <w:color w:val="0070C0"/>
          <w:sz w:val="16"/>
          <w:szCs w:val="16"/>
          <w:lang w:eastAsia="ru-RU" w:bidi="ru-RU"/>
        </w:rPr>
        <w:softHyphen/>
        <w:t>щие завода №288 из Савелова. В кое-как приспособленных помеще</w:t>
      </w:r>
      <w:r w:rsidRPr="00640820">
        <w:rPr>
          <w:rFonts w:ascii="Times New Roman" w:hAnsi="Times New Roman"/>
          <w:color w:val="0070C0"/>
          <w:sz w:val="16"/>
          <w:szCs w:val="16"/>
          <w:lang w:eastAsia="ru-RU" w:bidi="ru-RU"/>
        </w:rPr>
        <w:softHyphen/>
        <w:t>ниях возобновилась работа по изготовле</w:t>
      </w:r>
      <w:r w:rsidRPr="00640820">
        <w:rPr>
          <w:rFonts w:ascii="Times New Roman" w:hAnsi="Times New Roman"/>
          <w:color w:val="0070C0"/>
          <w:sz w:val="16"/>
          <w:szCs w:val="16"/>
          <w:lang w:eastAsia="ru-RU" w:bidi="ru-RU"/>
        </w:rPr>
        <w:softHyphen/>
        <w:t>нию самолета «103В», на заводе его назы</w:t>
      </w:r>
      <w:r w:rsidRPr="00640820">
        <w:rPr>
          <w:rFonts w:ascii="Times New Roman" w:hAnsi="Times New Roman"/>
          <w:color w:val="0070C0"/>
          <w:sz w:val="16"/>
          <w:szCs w:val="16"/>
          <w:lang w:eastAsia="ru-RU" w:bidi="ru-RU"/>
        </w:rPr>
        <w:softHyphen/>
        <w:t>вали «Верочкой» (21061).</w:t>
      </w:r>
    </w:p>
    <w:p w14:paraId="0C701A6D" w14:textId="77777777" w:rsidR="00D15EDB" w:rsidRPr="00640820" w:rsidRDefault="00D15EDB" w:rsidP="00640820">
      <w:pPr>
        <w:spacing w:after="0" w:line="240" w:lineRule="auto"/>
        <w:jc w:val="both"/>
        <w:rPr>
          <w:rFonts w:ascii="Times New Roman" w:hAnsi="Times New Roman"/>
          <w:color w:val="0070C0"/>
          <w:sz w:val="16"/>
          <w:szCs w:val="16"/>
        </w:rPr>
      </w:pPr>
    </w:p>
    <w:p w14:paraId="43B2772D" w14:textId="77777777" w:rsidR="00D15EDB" w:rsidRPr="00640820" w:rsidRDefault="00D15E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lang w:eastAsia="ru-RU" w:bidi="ru-RU"/>
        </w:rPr>
        <w:t>18 ноября 1941 в Омск поступили два про</w:t>
      </w:r>
      <w:r w:rsidRPr="00640820">
        <w:rPr>
          <w:rFonts w:ascii="Times New Roman" w:hAnsi="Times New Roman"/>
          <w:color w:val="0070C0"/>
          <w:sz w:val="16"/>
          <w:szCs w:val="16"/>
          <w:lang w:eastAsia="ru-RU" w:bidi="ru-RU"/>
        </w:rPr>
        <w:softHyphen/>
        <w:t>тиворечивых приказа. Первый предлагал начать работу по новым модификациям на базе «103У», что имело смысл лишь при его серийном производстве, зато вто</w:t>
      </w:r>
      <w:r w:rsidRPr="00640820">
        <w:rPr>
          <w:rFonts w:ascii="Times New Roman" w:hAnsi="Times New Roman"/>
          <w:color w:val="0070C0"/>
          <w:sz w:val="16"/>
          <w:szCs w:val="16"/>
          <w:lang w:eastAsia="ru-RU" w:bidi="ru-RU"/>
        </w:rPr>
        <w:softHyphen/>
        <w:t>рой требовал приступить к разработке чертежей серийного варианта «103В», а также изготовлению оснастки для его выпуска. Лишь через два дня пришел про</w:t>
      </w:r>
      <w:r w:rsidRPr="00640820">
        <w:rPr>
          <w:rFonts w:ascii="Times New Roman" w:hAnsi="Times New Roman"/>
          <w:color w:val="0070C0"/>
          <w:sz w:val="16"/>
          <w:szCs w:val="16"/>
          <w:lang w:eastAsia="ru-RU" w:bidi="ru-RU"/>
        </w:rPr>
        <w:softHyphen/>
        <w:t>стой и понятный приказ НКАП - изготав</w:t>
      </w:r>
      <w:r w:rsidRPr="00640820">
        <w:rPr>
          <w:rFonts w:ascii="Times New Roman" w:hAnsi="Times New Roman"/>
          <w:color w:val="0070C0"/>
          <w:sz w:val="16"/>
          <w:szCs w:val="16"/>
          <w:lang w:eastAsia="ru-RU" w:bidi="ru-RU"/>
        </w:rPr>
        <w:softHyphen/>
        <w:t>ливать все самолеты по типу «103В» с мо</w:t>
      </w:r>
      <w:r w:rsidRPr="00640820">
        <w:rPr>
          <w:rFonts w:ascii="Times New Roman" w:hAnsi="Times New Roman"/>
          <w:color w:val="0070C0"/>
          <w:sz w:val="16"/>
          <w:szCs w:val="16"/>
          <w:lang w:eastAsia="ru-RU" w:bidi="ru-RU"/>
        </w:rPr>
        <w:softHyphen/>
        <w:t>торами М-82А.</w:t>
      </w:r>
    </w:p>
    <w:p w14:paraId="3092E04D" w14:textId="77777777" w:rsidR="00D15EDB" w:rsidRPr="00640820" w:rsidRDefault="00D15E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lang w:eastAsia="ru-RU" w:bidi="ru-RU"/>
        </w:rPr>
        <w:t>Объем переделки чертежей, связан</w:t>
      </w:r>
      <w:r w:rsidRPr="00640820">
        <w:rPr>
          <w:rFonts w:ascii="Times New Roman" w:hAnsi="Times New Roman"/>
          <w:color w:val="0070C0"/>
          <w:sz w:val="16"/>
          <w:szCs w:val="16"/>
          <w:lang w:eastAsia="ru-RU" w:bidi="ru-RU"/>
        </w:rPr>
        <w:softHyphen/>
        <w:t>ной с заменой АМ-37 на М-82А, был очень велик. Менялись крыло, мотогондола, тор</w:t>
      </w:r>
      <w:r w:rsidRPr="00640820">
        <w:rPr>
          <w:rFonts w:ascii="Times New Roman" w:hAnsi="Times New Roman"/>
          <w:color w:val="0070C0"/>
          <w:sz w:val="16"/>
          <w:szCs w:val="16"/>
          <w:lang w:eastAsia="ru-RU" w:bidi="ru-RU"/>
        </w:rPr>
        <w:softHyphen/>
        <w:t>мозные решетки, бензосистема. Старую документацию можно было использовать лишь для центральной и хвостовой частей фюзеляжа, оперения, шасси и фонарей. ВВС требовали от серийных бомбарди</w:t>
      </w:r>
      <w:r w:rsidRPr="00640820">
        <w:rPr>
          <w:rFonts w:ascii="Times New Roman" w:hAnsi="Times New Roman"/>
          <w:color w:val="0070C0"/>
          <w:sz w:val="16"/>
          <w:szCs w:val="16"/>
          <w:lang w:eastAsia="ru-RU" w:bidi="ru-RU"/>
        </w:rPr>
        <w:softHyphen/>
        <w:t>ровщиков увеличения скорости до цифры, предписанной постановлением, упростить и сделать более надежными гидросис</w:t>
      </w:r>
      <w:r w:rsidRPr="00640820">
        <w:rPr>
          <w:rFonts w:ascii="Times New Roman" w:hAnsi="Times New Roman"/>
          <w:color w:val="0070C0"/>
          <w:sz w:val="16"/>
          <w:szCs w:val="16"/>
          <w:lang w:eastAsia="ru-RU" w:bidi="ru-RU"/>
        </w:rPr>
        <w:softHyphen/>
        <w:t>тему и тормозную систему, ввести брони</w:t>
      </w:r>
      <w:r w:rsidRPr="00640820">
        <w:rPr>
          <w:rFonts w:ascii="Times New Roman" w:hAnsi="Times New Roman"/>
          <w:color w:val="0070C0"/>
          <w:sz w:val="16"/>
          <w:szCs w:val="16"/>
          <w:lang w:eastAsia="ru-RU" w:bidi="ru-RU"/>
        </w:rPr>
        <w:softHyphen/>
        <w:t>рование снизу, заменить оба верхних пу</w:t>
      </w:r>
      <w:r w:rsidRPr="00640820">
        <w:rPr>
          <w:rFonts w:ascii="Times New Roman" w:hAnsi="Times New Roman"/>
          <w:color w:val="0070C0"/>
          <w:sz w:val="16"/>
          <w:szCs w:val="16"/>
          <w:lang w:eastAsia="ru-RU" w:bidi="ru-RU"/>
        </w:rPr>
        <w:softHyphen/>
        <w:t>лемета на крупнокалиберные БС (12,7 мм) и предусмотреть подвеску химического вооружения (выливных приборов). Тупо</w:t>
      </w:r>
      <w:r w:rsidRPr="00640820">
        <w:rPr>
          <w:rFonts w:ascii="Times New Roman" w:hAnsi="Times New Roman"/>
          <w:color w:val="0070C0"/>
          <w:sz w:val="16"/>
          <w:szCs w:val="16"/>
          <w:lang w:eastAsia="ru-RU" w:bidi="ru-RU"/>
        </w:rPr>
        <w:softHyphen/>
        <w:t>лев считал выполнение этих требований вполне реальным, но занимающим неко</w:t>
      </w:r>
      <w:r w:rsidRPr="00640820">
        <w:rPr>
          <w:rFonts w:ascii="Times New Roman" w:hAnsi="Times New Roman"/>
          <w:color w:val="0070C0"/>
          <w:sz w:val="16"/>
          <w:szCs w:val="16"/>
          <w:lang w:eastAsia="ru-RU" w:bidi="ru-RU"/>
        </w:rPr>
        <w:softHyphen/>
        <w:t>торое время, так что делать все это соби</w:t>
      </w:r>
      <w:r w:rsidRPr="00640820">
        <w:rPr>
          <w:rFonts w:ascii="Times New Roman" w:hAnsi="Times New Roman"/>
          <w:color w:val="0070C0"/>
          <w:sz w:val="16"/>
          <w:szCs w:val="16"/>
          <w:lang w:eastAsia="ru-RU" w:bidi="ru-RU"/>
        </w:rPr>
        <w:softHyphen/>
        <w:t>рались постепенно.</w:t>
      </w:r>
    </w:p>
    <w:p w14:paraId="0DB3B37B" w14:textId="77777777" w:rsidR="00D15EDB" w:rsidRPr="00640820" w:rsidRDefault="00D15E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lang w:eastAsia="ru-RU" w:bidi="ru-RU"/>
        </w:rPr>
        <w:t>План на январь-март 1942 г., утвер</w:t>
      </w:r>
      <w:r w:rsidRPr="00640820">
        <w:rPr>
          <w:rFonts w:ascii="Times New Roman" w:hAnsi="Times New Roman"/>
          <w:color w:val="0070C0"/>
          <w:sz w:val="16"/>
          <w:szCs w:val="16"/>
          <w:lang w:eastAsia="ru-RU" w:bidi="ru-RU"/>
        </w:rPr>
        <w:softHyphen/>
        <w:t>жденный 23 декабря 1941 г., уже предус</w:t>
      </w:r>
      <w:r w:rsidRPr="00640820">
        <w:rPr>
          <w:rFonts w:ascii="Times New Roman" w:hAnsi="Times New Roman"/>
          <w:color w:val="0070C0"/>
          <w:sz w:val="16"/>
          <w:szCs w:val="16"/>
          <w:lang w:eastAsia="ru-RU" w:bidi="ru-RU"/>
        </w:rPr>
        <w:softHyphen/>
        <w:t>матривал выпуск в Омске только машин с М-82А. За три месяца их требовалось сдать 44 штуки.</w:t>
      </w:r>
    </w:p>
    <w:p w14:paraId="41F9306D" w14:textId="77777777" w:rsidR="00D15EDB" w:rsidRPr="00640820" w:rsidRDefault="00D15E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lang w:eastAsia="ru-RU" w:bidi="ru-RU"/>
        </w:rPr>
        <w:t>Рассматривалась также возможность постройки таких бомбардировщиков на заводе №22 в Казани, строившим пики</w:t>
      </w:r>
      <w:r w:rsidRPr="00640820">
        <w:rPr>
          <w:rFonts w:ascii="Times New Roman" w:hAnsi="Times New Roman"/>
          <w:color w:val="0070C0"/>
          <w:sz w:val="16"/>
          <w:szCs w:val="16"/>
          <w:lang w:eastAsia="ru-RU" w:bidi="ru-RU"/>
        </w:rPr>
        <w:softHyphen/>
        <w:t>ровщики Пе-2. 3 января 1942 г. вышло со</w:t>
      </w:r>
      <w:r w:rsidRPr="00640820">
        <w:rPr>
          <w:rFonts w:ascii="Times New Roman" w:hAnsi="Times New Roman"/>
          <w:color w:val="0070C0"/>
          <w:sz w:val="16"/>
          <w:szCs w:val="16"/>
          <w:lang w:eastAsia="ru-RU" w:bidi="ru-RU"/>
        </w:rPr>
        <w:softHyphen/>
        <w:t>ответствующее постановление ГКО. Ко</w:t>
      </w:r>
      <w:r w:rsidRPr="00640820">
        <w:rPr>
          <w:rFonts w:ascii="Times New Roman" w:hAnsi="Times New Roman"/>
          <w:color w:val="0070C0"/>
          <w:sz w:val="16"/>
          <w:szCs w:val="16"/>
          <w:lang w:eastAsia="ru-RU" w:bidi="ru-RU"/>
        </w:rPr>
        <w:softHyphen/>
        <w:t>нечно, «103» был лучше Пе-2. Он выиг</w:t>
      </w:r>
      <w:r w:rsidRPr="00640820">
        <w:rPr>
          <w:rFonts w:ascii="Times New Roman" w:hAnsi="Times New Roman"/>
          <w:color w:val="0070C0"/>
          <w:sz w:val="16"/>
          <w:szCs w:val="16"/>
          <w:lang w:eastAsia="ru-RU" w:bidi="ru-RU"/>
        </w:rPr>
        <w:softHyphen/>
        <w:t>рывал по скорости, дальности, обороно</w:t>
      </w:r>
      <w:r w:rsidRPr="00640820">
        <w:rPr>
          <w:rFonts w:ascii="Times New Roman" w:hAnsi="Times New Roman"/>
          <w:color w:val="0070C0"/>
          <w:sz w:val="16"/>
          <w:szCs w:val="16"/>
          <w:lang w:eastAsia="ru-RU" w:bidi="ru-RU"/>
        </w:rPr>
        <w:softHyphen/>
        <w:t>способности, весу и ассортименту боевой нагрузки. Самолет же Петлякова, по сути, являлся «эрзацем» - довольно поспеш</w:t>
      </w:r>
      <w:r w:rsidRPr="00640820">
        <w:rPr>
          <w:rFonts w:ascii="Times New Roman" w:hAnsi="Times New Roman"/>
          <w:color w:val="0070C0"/>
          <w:sz w:val="16"/>
          <w:szCs w:val="16"/>
          <w:lang w:eastAsia="ru-RU" w:bidi="ru-RU"/>
        </w:rPr>
        <w:softHyphen/>
        <w:t>ной переделкой тяжелого высотного ис</w:t>
      </w:r>
      <w:r w:rsidRPr="00640820">
        <w:rPr>
          <w:rFonts w:ascii="Times New Roman" w:hAnsi="Times New Roman"/>
          <w:color w:val="0070C0"/>
          <w:sz w:val="16"/>
          <w:szCs w:val="16"/>
          <w:lang w:eastAsia="ru-RU" w:bidi="ru-RU"/>
        </w:rPr>
        <w:softHyphen/>
        <w:t>требителя в пикировщик. В результате ряд конструктивных решений, принятых для истребителя и невыгодных для бом</w:t>
      </w:r>
      <w:r w:rsidRPr="00640820">
        <w:rPr>
          <w:rFonts w:ascii="Times New Roman" w:hAnsi="Times New Roman"/>
          <w:color w:val="0070C0"/>
          <w:sz w:val="16"/>
          <w:szCs w:val="16"/>
          <w:lang w:eastAsia="ru-RU" w:bidi="ru-RU"/>
        </w:rPr>
        <w:softHyphen/>
        <w:t>бардировщика, на самолете сохранился. Например, остался не очень подходя</w:t>
      </w:r>
      <w:r w:rsidRPr="00640820">
        <w:rPr>
          <w:rFonts w:ascii="Times New Roman" w:hAnsi="Times New Roman"/>
          <w:color w:val="0070C0"/>
          <w:sz w:val="16"/>
          <w:szCs w:val="16"/>
          <w:lang w:eastAsia="ru-RU" w:bidi="ru-RU"/>
        </w:rPr>
        <w:softHyphen/>
        <w:t>щий для новых функций профиль крыла. Но Пе-2 уже строился в больших количе</w:t>
      </w:r>
      <w:r w:rsidRPr="00640820">
        <w:rPr>
          <w:rFonts w:ascii="Times New Roman" w:hAnsi="Times New Roman"/>
          <w:color w:val="0070C0"/>
          <w:sz w:val="16"/>
          <w:szCs w:val="16"/>
          <w:lang w:eastAsia="ru-RU" w:bidi="ru-RU"/>
        </w:rPr>
        <w:softHyphen/>
        <w:t>ствах, а производство «103» еще предсто</w:t>
      </w:r>
      <w:r w:rsidRPr="00640820">
        <w:rPr>
          <w:rFonts w:ascii="Times New Roman" w:hAnsi="Times New Roman"/>
          <w:color w:val="0070C0"/>
          <w:sz w:val="16"/>
          <w:szCs w:val="16"/>
          <w:lang w:eastAsia="ru-RU" w:bidi="ru-RU"/>
        </w:rPr>
        <w:softHyphen/>
        <w:t>яло разворачивать.</w:t>
      </w:r>
    </w:p>
    <w:p w14:paraId="0FC3AF06" w14:textId="77777777" w:rsidR="00D15EDB" w:rsidRPr="00640820" w:rsidRDefault="00D15E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lang w:eastAsia="ru-RU" w:bidi="ru-RU"/>
        </w:rPr>
        <w:t>Постановление требовало строить оба бомбардировщика параллельно. Изго</w:t>
      </w:r>
      <w:r w:rsidRPr="00640820">
        <w:rPr>
          <w:rFonts w:ascii="Times New Roman" w:hAnsi="Times New Roman"/>
          <w:color w:val="0070C0"/>
          <w:sz w:val="16"/>
          <w:szCs w:val="16"/>
          <w:lang w:eastAsia="ru-RU" w:bidi="ru-RU"/>
        </w:rPr>
        <w:softHyphen/>
        <w:t>товление узлов планировалось с 1 марта 1942 г. Первые три «103» должны были быть сданы в июне. Далее их выпуск хо</w:t>
      </w:r>
      <w:r w:rsidRPr="00640820">
        <w:rPr>
          <w:rFonts w:ascii="Times New Roman" w:hAnsi="Times New Roman"/>
          <w:color w:val="0070C0"/>
          <w:sz w:val="16"/>
          <w:szCs w:val="16"/>
          <w:lang w:eastAsia="ru-RU" w:bidi="ru-RU"/>
        </w:rPr>
        <w:softHyphen/>
        <w:t>тели наращивать, а Пе-2 - постепенно сворачивать и окончательно прекратить к концу октября. С ноября завод собирал бы только «103» с М-82А, в декабре хо</w:t>
      </w:r>
      <w:r w:rsidRPr="00640820">
        <w:rPr>
          <w:rFonts w:ascii="Times New Roman" w:hAnsi="Times New Roman"/>
          <w:color w:val="0070C0"/>
          <w:sz w:val="16"/>
          <w:szCs w:val="16"/>
          <w:lang w:eastAsia="ru-RU" w:bidi="ru-RU"/>
        </w:rPr>
        <w:softHyphen/>
        <w:t>тели выйти на рубеж 150 самолетов ме</w:t>
      </w:r>
      <w:r w:rsidRPr="00640820">
        <w:rPr>
          <w:rFonts w:ascii="Times New Roman" w:hAnsi="Times New Roman"/>
          <w:color w:val="0070C0"/>
          <w:sz w:val="16"/>
          <w:szCs w:val="16"/>
          <w:lang w:eastAsia="ru-RU" w:bidi="ru-RU"/>
        </w:rPr>
        <w:softHyphen/>
        <w:t>сяц. Всего за год предусматривали сдачу 418 туполевских машин.</w:t>
      </w:r>
    </w:p>
    <w:p w14:paraId="611E4275" w14:textId="77777777" w:rsidR="00D15EDB" w:rsidRPr="00640820" w:rsidRDefault="00D15E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lang w:eastAsia="ru-RU" w:bidi="ru-RU"/>
        </w:rPr>
        <w:t>Данные серийной продукции поста</w:t>
      </w:r>
      <w:r w:rsidRPr="00640820">
        <w:rPr>
          <w:rFonts w:ascii="Times New Roman" w:hAnsi="Times New Roman"/>
          <w:color w:val="0070C0"/>
          <w:sz w:val="16"/>
          <w:szCs w:val="16"/>
          <w:lang w:eastAsia="ru-RU" w:bidi="ru-RU"/>
        </w:rPr>
        <w:softHyphen/>
        <w:t>новлением задавались не в соответствии с реально достигнутыми на «103В», а бо</w:t>
      </w:r>
      <w:r w:rsidRPr="00640820">
        <w:rPr>
          <w:rFonts w:ascii="Times New Roman" w:hAnsi="Times New Roman"/>
          <w:color w:val="0070C0"/>
          <w:sz w:val="16"/>
          <w:szCs w:val="16"/>
          <w:lang w:eastAsia="ru-RU" w:bidi="ru-RU"/>
        </w:rPr>
        <w:softHyphen/>
        <w:t>лее высокими. Максимальная скорость определялась 576 км/ч, практический по</w:t>
      </w:r>
      <w:r w:rsidRPr="00640820">
        <w:rPr>
          <w:rFonts w:ascii="Times New Roman" w:hAnsi="Times New Roman"/>
          <w:color w:val="0070C0"/>
          <w:sz w:val="16"/>
          <w:szCs w:val="16"/>
          <w:lang w:eastAsia="ru-RU" w:bidi="ru-RU"/>
        </w:rPr>
        <w:softHyphen/>
        <w:t>толок 9600 м, дальность полета 2400 км (с дополнительным баком - 3000 км). Нормальная бомбовая нагрузка состав</w:t>
      </w:r>
      <w:r w:rsidRPr="00640820">
        <w:rPr>
          <w:rFonts w:ascii="Times New Roman" w:hAnsi="Times New Roman"/>
          <w:color w:val="0070C0"/>
          <w:sz w:val="16"/>
          <w:szCs w:val="16"/>
          <w:lang w:eastAsia="ru-RU" w:bidi="ru-RU"/>
        </w:rPr>
        <w:softHyphen/>
        <w:t>ляла 1000 кг, а предельную подняли до 3000 кг. В соответствии с требованием ВВС сзади хотели ставить один 7,62-мм и один 12,7-мм пулемет.</w:t>
      </w:r>
    </w:p>
    <w:p w14:paraId="60E87511" w14:textId="77777777" w:rsidR="00D15EDB" w:rsidRPr="00640820" w:rsidRDefault="00D15EDB" w:rsidP="00640820">
      <w:pPr>
        <w:spacing w:after="0" w:line="240" w:lineRule="auto"/>
        <w:jc w:val="both"/>
        <w:rPr>
          <w:rFonts w:ascii="Times New Roman" w:hAnsi="Times New Roman"/>
          <w:color w:val="0070C0"/>
          <w:sz w:val="16"/>
          <w:szCs w:val="16"/>
          <w:lang w:eastAsia="ru-RU" w:bidi="ru-RU"/>
        </w:rPr>
      </w:pPr>
      <w:r w:rsidRPr="00640820">
        <w:rPr>
          <w:rFonts w:ascii="Times New Roman" w:hAnsi="Times New Roman"/>
          <w:color w:val="0070C0"/>
          <w:sz w:val="16"/>
          <w:szCs w:val="16"/>
          <w:lang w:eastAsia="ru-RU" w:bidi="ru-RU"/>
        </w:rPr>
        <w:t>К 10 февраля завод №166 должен был отправить в Казань всю докумен</w:t>
      </w:r>
      <w:r w:rsidRPr="00640820">
        <w:rPr>
          <w:rFonts w:ascii="Times New Roman" w:hAnsi="Times New Roman"/>
          <w:color w:val="0070C0"/>
          <w:sz w:val="16"/>
          <w:szCs w:val="16"/>
          <w:lang w:eastAsia="ru-RU" w:bidi="ru-RU"/>
        </w:rPr>
        <w:softHyphen/>
        <w:t>тацию (21061).</w:t>
      </w:r>
    </w:p>
    <w:p w14:paraId="50E002F6" w14:textId="77777777" w:rsidR="00D15EDB" w:rsidRPr="00640820" w:rsidRDefault="00D15EDB" w:rsidP="00640820">
      <w:pPr>
        <w:spacing w:after="0" w:line="240" w:lineRule="auto"/>
        <w:jc w:val="both"/>
        <w:rPr>
          <w:rFonts w:ascii="Times New Roman" w:hAnsi="Times New Roman"/>
          <w:color w:val="0070C0"/>
          <w:sz w:val="16"/>
          <w:szCs w:val="16"/>
          <w:lang w:eastAsia="ru-RU" w:bidi="ru-RU"/>
        </w:rPr>
      </w:pPr>
    </w:p>
    <w:p w14:paraId="3E50AA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ноября 1941 в Омск поступили два противоречивых приказа. Первый предлагал начать работу по новым модификациям на базе "103У", что имело смысл лишь при его серийном производстве, зато второй требовал приступить к разработке чертежей серийного варианта "103В", а также изготовлению оснастки для его выпуска. Лишь через два дня пришел простой и понятный приказ НКАП - изготавливать все самолеты по типу "103В" с моторами М-82А.</w:t>
      </w:r>
    </w:p>
    <w:p w14:paraId="37AB3D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Объем переделки чертежей, связанной с заменой АМ-37 на М-82А, был очень велик. Менялись крыло, мотогондола, тормозные решетки, бензосистема. Старую документацию можно было использовать лишь для центральной и хвостовой частей фюзеляжа, оперения, шасси и фонарей.</w:t>
      </w:r>
    </w:p>
    <w:p w14:paraId="3F6A3C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Серийный вариант с моторами М-82 получил обозначение "103ВС". От опытного "103В" он отличался увеличенными основными колесами шасси (размерами 1120</w:t>
      </w:r>
      <w:r w:rsidRPr="00640820">
        <w:rPr>
          <w:rFonts w:ascii="Times New Roman" w:hAnsi="Times New Roman"/>
          <w:color w:val="000000" w:themeColor="text1"/>
          <w:sz w:val="16"/>
          <w:szCs w:val="16"/>
          <w:lang w:val="en-US"/>
        </w:rPr>
        <w:t>x</w:t>
      </w:r>
      <w:r w:rsidRPr="00640820">
        <w:rPr>
          <w:rFonts w:ascii="Times New Roman" w:hAnsi="Times New Roman"/>
          <w:color w:val="000000" w:themeColor="text1"/>
          <w:sz w:val="16"/>
          <w:szCs w:val="16"/>
        </w:rPr>
        <w:t>440 мм) и упрощенным оборудованием. Первое было продиктовано возрастанием веса, второе - опасениями военных в надежности сложной "начинки" самолета. Их точка зрения 3 января 1942 г. была подкреплена постановлением ГКО, которое предлагало сократить применение электрических и гидравлических механизмов, но "без ухудшения боевых и летно-так- тических качеств самолета". Поэтому Туполеву пришлось пойти на частичную замену их приводом вручную.</w:t>
      </w:r>
    </w:p>
    <w:p w14:paraId="6999A0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Серийные машины вооружались пятью пулеметами ШКАС (в том числе двумя неподвижными в носу), двумя пушками ШВАК и десятью реактивными снарядами РС-132 по типу опытного самолета "103Б".</w:t>
      </w:r>
    </w:p>
    <w:p w14:paraId="45A7D4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Выпуск нового комплекта рабочих чертежей завершили к концу января 1942 г. Пришлось заменить около 1500 листов документации. Теперь можно было развертывать производство новых бомбардировщиков. Это делалось в труднейших условиях: на недостроенном заводе, при постоянной нехватке сырья, полуфабрикатов и </w:t>
      </w:r>
      <w:r w:rsidRPr="00640820">
        <w:rPr>
          <w:rFonts w:ascii="Times New Roman" w:hAnsi="Times New Roman"/>
          <w:color w:val="000000" w:themeColor="text1"/>
          <w:sz w:val="16"/>
          <w:szCs w:val="16"/>
        </w:rPr>
        <w:lastRenderedPageBreak/>
        <w:t>комплектующего оборудования. С большими перебоями поступали дюралюминиевые лист и профили, колеса, броневые спинки и плиты, шланги для гидросистемы (11988).</w:t>
      </w:r>
    </w:p>
    <w:p w14:paraId="5284E9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FFD6F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18 ноября по 1 декабря 1941 завод №22 им. С.П. Горбунова (такое название он получил после объединения) выпустил 15 Пе-2. В течение декабря был выпущен всего 41 самолёт. Установленный ГКО план был сорван. Зима 1941 г выдалась очень суровой, в отдельные дни морозы доходили до -51°С. Больше половины людей, работавших на заводе жили в городе, на расстоянии 10-14 км от завода. Транспортным средством являлся трамвай, включавший в состав лишь 3-4 вагона, что было явно недостаточно для такого количества работающих (отсутствие достаточной мощности выпрямительной электроподстанции не позволяло пустить большее количество вагонов). Частые пешие хождения до города и обратно утомляли людей, являлись причиной массовых обморожений и простуд. Десятки людей болели сыпным тифом. Потери рабочего времени были велики из-за массовых опозданий на работу и не организованной работы столовых. На обед тратилось от 2,5 до 3 часов, из которых 15 минут на еду, а остальное на стояние в очередях. Кормили плохо, невкусно и недостаточно питательно. В главном корпусе завода, где были размещены все производственные цеха стояла минусовая температура из-за постоянно открытых ворот, через которые непрерывным потоком ввозили и вывозили оборудование, материалы, отходы, строительный мусор и многое другое. Люди работали в зимней одежде, не раздеваясь. Все теплопроводы и другие теплоносители постоянно были заняты греющимися людьми. На всей территории главного корпуса были испорченные глубокими ямами и канавами полы. Проходы и проезды цехов были завалены строительными материалами, станочным оборудованием и мусором. Дневной свет был замаскирован и поэтому внутри зданий днем и ночью горело электричество, плохо освещая площади цехов. Сумрачно,холодно и грязно (5764,39).</w:t>
      </w:r>
    </w:p>
    <w:p w14:paraId="48B978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E464E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ноября 1941 Нач. НИИ ВВС КА Федоров и Военком Холодовский утвердили Отчет по ночным испытаниям самолета Тамагаук-1 (672,159).</w:t>
      </w:r>
    </w:p>
    <w:p w14:paraId="3A3C2B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1514D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ноября 1941 вышел приказ НКАП № 1122асс:</w:t>
      </w:r>
    </w:p>
    <w:p w14:paraId="170EF7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исполнение распоряжения Совета по эвакуации № 14838сс от 14 ноября с.г.:</w:t>
      </w:r>
    </w:p>
    <w:p w14:paraId="344B57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Уполномоченному 4 ГУ и д-ру ф-ла з-да № 266 Кочнову немедленно приступить к эвакуации ф-ла в Томск на площади Томского электромоторного з-да НКЭП.</w:t>
      </w:r>
    </w:p>
    <w:p w14:paraId="49613B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Дементьев (1339, 26).</w:t>
      </w:r>
    </w:p>
    <w:p w14:paraId="322EDA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A8A65D8"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3A71D980"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CB1C8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ноября 1941 года вышел приказ № 66 НК танковой промышленности и НК станкостроения</w:t>
      </w:r>
    </w:p>
    <w:p w14:paraId="0B6BC7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исполнение Постановления ГКО от 14 ноября 1941 года ……… числить все заводы, предприятия и учреждения НК станкостроения в НК танковой промышленности (8184).</w:t>
      </w:r>
    </w:p>
    <w:p w14:paraId="40E367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F010E5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ноября 1941 года произошло самое большое по числу заводов увеличение наркомата произошло. В этот день НКТП получил под свое руководство 52 новых предприятия. Своим появлением в составе наркомата они обязаны постановлению ГКО от 14 ноября 1941 года (РГАСПИ. Ф. 644. Оп. 1. Д. 14. Л. 92-97). Согласно этому постановлению, Народный комиссариат станкостроения (НКСС) упразднялся, а его заводы, предприятия и учреждения передавались НКТП (кроме двух заводов, которые передавались Наркомату вооружения и Наркомату боеприпасов). Через четыре дня произошла прием-сдача предприятий, и заводы приказом № 66 были зачислены в состав наркомата (РГАЭ. Ф. 8752. Оп. 1. Д. 1. Л. 145). Передача этих заводов, конечно, была существенной помощью НКТП. Однако, примерно половина из них представляла собой эвакуированное оборудование, которое еще только предстояло размещать и вводить в строй. План капитальных работ на первый квартал 1942 года предполагал провести восстановление части этих заводов на новом месте к февралю-марту 1942 года. Предполагаемая мощность восстанавливаемых заводов в планах определена очень приблизительно. Это говорит о том, что центральные органы НКТП не были осведомлены о реальном состоянии станкового парка этих заводов, его сохранности и местонахождении.</w:t>
      </w:r>
    </w:p>
    <w:p w14:paraId="168FD1E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Полученные предприятия были разделены на три группы. 15 заводов были прикреплены к другим предприятиям НКТП. Они должны были выполнять заказы танкостроительных предприятий, в основном кооперируясь с ними в производстве отдельных деталей и агрегатов. Тем самым возникала возможность дополнительно усилить производственные мощности танкостроения (12290).</w:t>
      </w:r>
    </w:p>
    <w:p w14:paraId="2673A072"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3CDF0AFC" w14:textId="77777777" w:rsidR="00AE1A6D" w:rsidRPr="00640820" w:rsidRDefault="00AE1A6D" w:rsidP="00640820">
      <w:pPr>
        <w:pStyle w:val="162"/>
        <w:shd w:val="clear" w:color="auto" w:fill="auto"/>
        <w:spacing w:line="240" w:lineRule="auto"/>
        <w:jc w:val="both"/>
        <w:rPr>
          <w:color w:val="000000" w:themeColor="text1"/>
          <w:sz w:val="16"/>
          <w:szCs w:val="16"/>
        </w:rPr>
      </w:pPr>
      <w:r w:rsidRPr="00640820">
        <w:rPr>
          <w:color w:val="000000" w:themeColor="text1"/>
          <w:sz w:val="16"/>
          <w:szCs w:val="16"/>
        </w:rPr>
        <w:t>18 ноября 1941 был издан приказ наркома танковой промышленности № 31сс, обязывающий заводы перейти на экрани</w:t>
      </w:r>
      <w:r w:rsidRPr="00640820">
        <w:rPr>
          <w:color w:val="000000" w:themeColor="text1"/>
          <w:sz w:val="16"/>
          <w:szCs w:val="16"/>
        </w:rPr>
        <w:softHyphen/>
        <w:t>ровку корпусов и башен Т-60 (одновременно с ГАЗ была разослана документация по экранировке), но лишь завод № 176 производил подобную продукцию. Первый комплект изготовили 19 ноября, всего же за 1941 год было поставлено 47 экранированных корпусов и башен (12 в ноябре и 35 в декабре) (17485).</w:t>
      </w:r>
    </w:p>
    <w:p w14:paraId="53B529A8" w14:textId="77777777" w:rsidR="00AE1A6D" w:rsidRPr="00640820" w:rsidRDefault="00AE1A6D" w:rsidP="00640820">
      <w:pPr>
        <w:spacing w:after="0" w:line="240" w:lineRule="auto"/>
        <w:jc w:val="both"/>
        <w:rPr>
          <w:rFonts w:ascii="Times New Roman" w:hAnsi="Times New Roman"/>
          <w:color w:val="000000" w:themeColor="text1"/>
          <w:sz w:val="16"/>
          <w:szCs w:val="16"/>
        </w:rPr>
      </w:pPr>
    </w:p>
    <w:p w14:paraId="680BF0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18 ноября 1941 года началось восстановление эвакуированного завода № 11 и частично возобновилось производство.</w:t>
      </w:r>
    </w:p>
    <w:p w14:paraId="2D0874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Нормально завод начал работать с 1942 года.</w:t>
      </w:r>
    </w:p>
    <w:p w14:paraId="3862F5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1917 по 1920 гг. завод носил название “Троицкий снаряжательный завод”. В 1920 году был переименован и до 1927 года имел название “Завод Красная ракета”. В 1927 году завод был вновь переименован и получил название “Сергиевский завод № 11”, позднее, в 1932 году слово “Сергиевский” из наименования завода было изъято.</w:t>
      </w:r>
    </w:p>
    <w:p w14:paraId="4779EA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Поселок завода с 1940 года стал именоваться городом Краснозаводск (10023).</w:t>
      </w:r>
    </w:p>
    <w:p w14:paraId="2B268C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0F3FC20" w14:textId="77777777" w:rsidR="00930969" w:rsidRPr="00640820" w:rsidRDefault="00930969" w:rsidP="00640820">
      <w:pPr>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bdr w:val="none" w:sz="0" w:space="0" w:color="auto" w:frame="1"/>
          <w:shd w:val="clear" w:color="auto" w:fill="FFFFFF"/>
        </w:rPr>
        <w:t>18 ноября 1941 года Для оценки ситуации под Москву прибыла целая комиссия. В неё входили глава Танковой комиссии </w:t>
      </w:r>
      <w:hyperlink r:id="rId52" w:history="1">
        <w:r w:rsidRPr="00640820">
          <w:rPr>
            <w:rStyle w:val="a5"/>
            <w:rFonts w:ascii="Times New Roman" w:hAnsi="Times New Roman"/>
            <w:bCs/>
            <w:iCs/>
            <w:color w:val="000000" w:themeColor="text1"/>
            <w:sz w:val="16"/>
            <w:szCs w:val="16"/>
            <w:u w:val="none"/>
            <w:bdr w:val="none" w:sz="0" w:space="0" w:color="auto" w:frame="1"/>
            <w:shd w:val="clear" w:color="auto" w:fill="FFFFFF"/>
          </w:rPr>
          <w:t>Фердинанд Порше</w:t>
        </w:r>
      </w:hyperlink>
      <w:r w:rsidRPr="00640820">
        <w:rPr>
          <w:rFonts w:ascii="Times New Roman" w:hAnsi="Times New Roman"/>
          <w:iCs/>
          <w:color w:val="000000" w:themeColor="text1"/>
          <w:sz w:val="16"/>
          <w:szCs w:val="16"/>
          <w:bdr w:val="none" w:sz="0" w:space="0" w:color="auto" w:frame="1"/>
          <w:shd w:val="clear" w:color="auto" w:fill="FFFFFF"/>
        </w:rPr>
        <w:t>, его заместитель директор фирмы «Штейр» Оскар Хакер, глава Отдела №6 Управления вооружений полковник Себастьян Фихтнер, гражданский руководитель Отдела №6 инженер </w:t>
      </w:r>
      <w:hyperlink r:id="rId53" w:history="1">
        <w:r w:rsidRPr="00640820">
          <w:rPr>
            <w:rStyle w:val="a5"/>
            <w:rFonts w:ascii="Times New Roman" w:hAnsi="Times New Roman"/>
            <w:bCs/>
            <w:iCs/>
            <w:color w:val="000000" w:themeColor="text1"/>
            <w:sz w:val="16"/>
            <w:szCs w:val="16"/>
            <w:u w:val="none"/>
            <w:bdr w:val="none" w:sz="0" w:space="0" w:color="auto" w:frame="1"/>
            <w:shd w:val="clear" w:color="auto" w:fill="FFFFFF"/>
          </w:rPr>
          <w:t>Генрих Книпкамп</w:t>
        </w:r>
      </w:hyperlink>
      <w:r w:rsidRPr="00640820">
        <w:rPr>
          <w:rFonts w:ascii="Times New Roman" w:hAnsi="Times New Roman"/>
          <w:iCs/>
          <w:color w:val="000000" w:themeColor="text1"/>
          <w:sz w:val="16"/>
          <w:szCs w:val="16"/>
          <w:bdr w:val="none" w:sz="0" w:space="0" w:color="auto" w:frame="1"/>
          <w:shd w:val="clear" w:color="auto" w:fill="FFFFFF"/>
        </w:rPr>
        <w:t xml:space="preserve">, а также высокопоставленные представители ведущих фирм — «Крупп», «Даймлер-Бенц», «Хеншель», MAN и «Рейнметалл». Они познакомились с советскими танками и оценили тяжёлые условия холодной зимы и бездорожья </w:t>
      </w:r>
      <w:r w:rsidRPr="00640820">
        <w:rPr>
          <w:rFonts w:ascii="Times New Roman" w:hAnsi="Times New Roman"/>
          <w:color w:val="000000" w:themeColor="text1"/>
          <w:sz w:val="16"/>
          <w:szCs w:val="16"/>
        </w:rPr>
        <w:t>(19677).</w:t>
      </w:r>
    </w:p>
    <w:p w14:paraId="2B1C09D4" w14:textId="77777777" w:rsidR="00930969" w:rsidRPr="00640820" w:rsidRDefault="00930969" w:rsidP="00640820">
      <w:pPr>
        <w:spacing w:after="0" w:line="240" w:lineRule="auto"/>
        <w:jc w:val="both"/>
        <w:rPr>
          <w:rFonts w:ascii="Times New Roman" w:hAnsi="Times New Roman"/>
          <w:color w:val="000000" w:themeColor="text1"/>
          <w:sz w:val="16"/>
          <w:szCs w:val="16"/>
        </w:rPr>
      </w:pPr>
    </w:p>
    <w:p w14:paraId="6DB1D8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ноября 1942 г. было принято решение создать Военно-подковный завод №1 Наркомата обороны СССР на основе оборудования и кадров прибывшего 5 и 15 ноября 1941 в Кемерово ленинградского завода «Красный металлист». Станки и другое оборудование стали размещать и монтировать в зданиях бывших школы, райкома и конюшен артдивизиона в центре города. Из Ленинграда прибыли вместе с оборудованием всего 28 человек. Поэтому производственный персонал пришлось набирать в марте 1943 г. путем мобилизации трудящихся в Тонкинском, Юргинском и Мариинском районах уже в созданной Кемеровской области. Так был сформирован трудовой коллектив в 320 человек. Жилье для рабочих начала строить строительная организация Главвоенстроя в Сибирском военном округе. 1 мая 1943 г. была отравлена на фронт первая партия подков, шипов к ним и гвоздей. Завод стал главным поставщиком подков практически для всей кавалерии Красной Армии. В послевоенное время он был передан местной промышленности, стал электротехническим, а затем преобразован в закрытое акционерное общество «ЗЭТА»4 (11511).</w:t>
      </w:r>
    </w:p>
    <w:p w14:paraId="5AC479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E7BAB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18 ноября 1941 г. завод № 205 НКВ (ГС завод № 205 им. Н.С. Хрущева НКОП, НКСП, НКВ, СНХ, Завод точной электромеханики (ЗАТЭМ) им. Хрущева НКТП, Саратовский машиностроительный завод (СМЗ) </w:t>
      </w:r>
      <w:r w:rsidRPr="00640820">
        <w:rPr>
          <w:rFonts w:ascii="Times New Roman" w:hAnsi="Times New Roman"/>
          <w:color w:val="000000" w:themeColor="text1"/>
          <w:sz w:val="16"/>
          <w:szCs w:val="16"/>
          <w:lang w:val="en-US"/>
        </w:rPr>
        <w:t>MOM</w:t>
      </w:r>
      <w:r w:rsidRPr="00640820">
        <w:rPr>
          <w:rFonts w:ascii="Times New Roman" w:hAnsi="Times New Roman"/>
          <w:color w:val="000000" w:themeColor="text1"/>
          <w:sz w:val="16"/>
          <w:szCs w:val="16"/>
        </w:rPr>
        <w:t xml:space="preserve">, ПО «Корпус», ФГУП «ПО «Корпус» РКА, РАКА, ФКА /г. Москва ул. Авиамоторная;  г. Саратов/ /410019  г. Саратов ул. Осипова, 1 тел. (8452) 64-84-85/), эвакуированный в Саратов, прибыл на место, где продолжил действовать под своим номером. На новом месте завод вступил в строй 1.01.1942 г. Выпускал корпуса снарядов,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 ударные механизмы взрывателей мин; приборы управления артиллерийским и зенитным огнем. .В годы войны разрабатывалась аппаратура самонаведения СН для торпед.</w:t>
      </w:r>
    </w:p>
    <w:p w14:paraId="297C75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площадку эвакуированного завода № 205 в 02.1942 г. эвакуирована часть завода «Красная заря» из Ленинграда, и создан завод № 1 НКО.</w:t>
      </w:r>
    </w:p>
    <w:p w14:paraId="26C02E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05-06.1942 г. часть конструкторов завода № 205 реэвакуирована и переведена в Москву в СКБ НКСП.</w:t>
      </w:r>
      <w:r w:rsidRPr="00640820">
        <w:rPr>
          <w:rFonts w:ascii="Times New Roman" w:hAnsi="Times New Roman"/>
          <w:color w:val="000000" w:themeColor="text1"/>
          <w:sz w:val="16"/>
          <w:szCs w:val="16"/>
          <w:vertAlign w:val="superscript"/>
        </w:rPr>
        <w:t>103</w:t>
      </w:r>
    </w:p>
    <w:p w14:paraId="35CDC6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06.1951  г. начато освоение производства гироскопических командных приборов для СУ БР, а с 1968 г.- и для КА.</w:t>
      </w:r>
    </w:p>
    <w:p w14:paraId="32412A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Завод № 205 из системы СНХ передан в подчинение 6ГУ </w:t>
      </w:r>
      <w:r w:rsidRPr="00640820">
        <w:rPr>
          <w:rFonts w:ascii="Times New Roman" w:hAnsi="Times New Roman"/>
          <w:color w:val="000000" w:themeColor="text1"/>
          <w:sz w:val="16"/>
          <w:szCs w:val="16"/>
          <w:lang w:val="en-US"/>
        </w:rPr>
        <w:t>MOM</w:t>
      </w:r>
      <w:r w:rsidRPr="00640820">
        <w:rPr>
          <w:rFonts w:ascii="Times New Roman" w:hAnsi="Times New Roman"/>
          <w:color w:val="000000" w:themeColor="text1"/>
          <w:sz w:val="16"/>
          <w:szCs w:val="16"/>
        </w:rPr>
        <w:t xml:space="preserve"> и по приказу от 6.03.1966 г. преобразован в СМЗ. По приказу </w:t>
      </w:r>
      <w:r w:rsidRPr="00640820">
        <w:rPr>
          <w:rFonts w:ascii="Times New Roman" w:hAnsi="Times New Roman"/>
          <w:color w:val="000000" w:themeColor="text1"/>
          <w:sz w:val="16"/>
          <w:szCs w:val="16"/>
          <w:lang w:val="en-US"/>
        </w:rPr>
        <w:t>MOM</w:t>
      </w:r>
      <w:r w:rsidRPr="00640820">
        <w:rPr>
          <w:rFonts w:ascii="Times New Roman" w:hAnsi="Times New Roman"/>
          <w:color w:val="000000" w:themeColor="text1"/>
          <w:sz w:val="16"/>
          <w:szCs w:val="16"/>
        </w:rPr>
        <w:t xml:space="preserve"> № 42 от 31.01.1975 г. на базе СМЗ создано ПО «Корпус», в состав которого вошли также КБ завода и новое предприятие по производству деталей из спецсплавов «Базальт».</w:t>
      </w:r>
    </w:p>
    <w:p w14:paraId="090EC6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1980-е  г. создан комплекс по обработке прецизионных деталей из спецсплавов. В начале 1990-х  г. освоен выпуск медицинской техники: наркозно-дыхательной аппаратуры (НДА), искусственного кровообращения, аппарат искусственной вентиляции легких (ИВЛ), искусственного кровообращения (АИК).</w:t>
      </w:r>
    </w:p>
    <w:p w14:paraId="16DD2C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Ведущее предприятие страны (2002 г.) по производству наркозно-дыхательной аппаратуры.</w:t>
      </w:r>
    </w:p>
    <w:p w14:paraId="3DF03D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Направления работ (2002 г.): серийное производство: гироскопических командных приборов систем стабилизации и управления РКТ; многофункциональных элементов интегральной оптики; волоконно-оптической лазерной техники для автомобилестроения, робототехники, навигации; высокопрецизионных маятниковых кварцевых акселерометров; медицинской техники - аппаратов искусственной вентиляции легких и кровообращения, ингаляционного наркоза; разработка прецизионных стендов и автоматизированной контрольно- испытательной аппаратуры контроля параметров измерителей угловых скоростей и линейных ускорений.</w:t>
      </w:r>
    </w:p>
    <w:p w14:paraId="4480A3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Принимало участие в программах: «Протон», «Союз», «Союз-Т, -ТМ, -ТМА», «Прогресс», «Прогресс- М, - М1», ГЛОНАСС, «Марс», «Венера», «Мир», МКС «Альфа», «Фотон», «Бион», «Ресурс-ДК», «Комета», «Фотон- М».</w:t>
      </w:r>
    </w:p>
    <w:p w14:paraId="1610AC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По приказу РКА № 56 от 11.03.1999 г. ПО «Корпус» получило статус ФГУП. По Указу Президента РФ № 1009 от 4.08.2004 г. вошло в число стратегических оборонных предприятий. В соответствии с Указом Президента РФ № 804 от 26.06.2007 г. и распоряжением правительства № 1066-р от 17.08.2007 г. ПО «Корпус» с 10.10.2008 г. вошло в состав НПЦАП в качестве филиала.</w:t>
      </w:r>
    </w:p>
    <w:p w14:paraId="18C2F3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(03.1937 г.)- Добров; и.о. (16.05-16.08.1937 г.)- ПЛ. Сульский; (-11.1937-21.12.1938 г.)- Н.С. Шпигов; и.о. (21.12.1938 г.-)- В.А. Левша;</w:t>
      </w:r>
      <w:r w:rsidRPr="00640820">
        <w:rPr>
          <w:rFonts w:ascii="Times New Roman" w:hAnsi="Times New Roman"/>
          <w:color w:val="000000" w:themeColor="text1"/>
          <w:sz w:val="16"/>
          <w:szCs w:val="16"/>
          <w:vertAlign w:val="superscript"/>
        </w:rPr>
        <w:t>139</w:t>
      </w:r>
      <w:r w:rsidRPr="00640820">
        <w:rPr>
          <w:rFonts w:ascii="Times New Roman" w:hAnsi="Times New Roman"/>
          <w:color w:val="000000" w:themeColor="text1"/>
          <w:sz w:val="16"/>
          <w:szCs w:val="16"/>
        </w:rPr>
        <w:t xml:space="preserve"> (1960-е)- А.К. Ваницкий, (-1965 г.)- Б.В. Бальмонт (затем- начальник 6ГУ </w:t>
      </w:r>
      <w:r w:rsidRPr="00640820">
        <w:rPr>
          <w:rFonts w:ascii="Times New Roman" w:hAnsi="Times New Roman"/>
          <w:color w:val="000000" w:themeColor="text1"/>
          <w:sz w:val="16"/>
          <w:szCs w:val="16"/>
          <w:lang w:val="en-US"/>
        </w:rPr>
        <w:t>MOM</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vertAlign w:val="superscript"/>
        </w:rPr>
        <w:t>77</w:t>
      </w:r>
      <w:r w:rsidRPr="00640820">
        <w:rPr>
          <w:rFonts w:ascii="Times New Roman" w:hAnsi="Times New Roman"/>
          <w:color w:val="000000" w:themeColor="text1"/>
          <w:sz w:val="16"/>
          <w:szCs w:val="16"/>
        </w:rPr>
        <w:t xml:space="preserve"> Гендиректор (2002 г.)- В.В. Безрутченко, (2004-09 г.-)- С.Ф. Нахов.</w:t>
      </w:r>
    </w:p>
    <w:p w14:paraId="0A0D98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гендиректора (2009 г.)- В. В. Федоров. Зам. директора: по ПВО и охране (5.11.1938 г.-)- Н.Я. Буров; (17.12.1938 г.-)- В.А. Левша. Зам. гендиректора: по производству (2009 г.)-  Г.Н. Шалашов; по экономике и финансам (2009 г.)- С.Н. Бут; (2000-03 г.)- С.Ф. Нахов. Помощник директора по найму и увольнению (-2.04.1938 г.)-  Г.А. Сапранцев, (2.04.1938 г.-&gt; С. Г. Синицин.</w:t>
      </w:r>
    </w:p>
    <w:p w14:paraId="46A966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Исполнительный директор (2003-04 г.)- С.Ф. Нахов.</w:t>
      </w:r>
    </w:p>
    <w:p w14:paraId="6BDD50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(2000-09 г.-)- С.Ф. Нахов.</w:t>
      </w:r>
    </w:p>
    <w:p w14:paraId="245431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Гл. инженер (-17.05.1937 г.)-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Рур, (17.05.1937 г.-)- А.С. Порфирьев, (17.12.1938 г.-)- В.А. Левша, (2009 г.)- В.В. Федоров.</w:t>
      </w:r>
    </w:p>
    <w:p w14:paraId="4D0A38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инженера (-1964 г.)- Д.Б. Литвак, (-2000 г.)- С.Ф. Нахов.</w:t>
      </w:r>
    </w:p>
    <w:p w14:paraId="1C2CA6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цехов: Д.Б. Литвак, (-1938 г.)- Н.А. Федоров, А.И. Шокин.</w:t>
      </w:r>
    </w:p>
    <w:p w14:paraId="780AC6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начальника цеха: Д.Б. Литвак, Н.А. Федоров.</w:t>
      </w:r>
    </w:p>
    <w:p w14:paraId="506A2D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управления материального обеспечения (2009 г.)- А.Н. Морозов.</w:t>
      </w:r>
    </w:p>
    <w:p w14:paraId="146F60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Начальники отделов: КО (-1942 г.)- Л.В. Некрасов; маркетинга и ВЭД (2009 г.)- И.С. Нахова; снабжения- </w:t>
      </w:r>
      <w:r w:rsidRPr="00640820">
        <w:rPr>
          <w:rFonts w:ascii="Times New Roman" w:hAnsi="Times New Roman"/>
          <w:color w:val="000000" w:themeColor="text1"/>
          <w:sz w:val="16"/>
          <w:szCs w:val="16"/>
          <w:vertAlign w:val="superscript"/>
        </w:rPr>
        <w:t xml:space="preserve">11 л </w:t>
      </w:r>
      <w:r w:rsidRPr="00640820">
        <w:rPr>
          <w:rFonts w:ascii="Times New Roman" w:hAnsi="Times New Roman"/>
          <w:color w:val="000000" w:themeColor="text1"/>
          <w:sz w:val="16"/>
          <w:szCs w:val="16"/>
        </w:rPr>
        <w:t>Федоров; продаж (2009 г.)-  Г.В. Юдин; ОК (2009 г.)- С.Ю. Моисеева.</w:t>
      </w:r>
    </w:p>
    <w:p w14:paraId="0FE7B5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блок измерения линейных ускорений (БИЛУ), блок датчиков угловых скоростей (БДУС).</w:t>
      </w:r>
    </w:p>
    <w:p w14:paraId="471B8A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приборы управления стрельбой: зенитным огнем «ПУАЗО», главного калибра и торпедами эсминцев (1937), принимающий прибор ВЕСТ-4 (1937), система звукоулавливания для пеленгования самолетов Л-3 (1930-е); изделия «Вест», «Заря», «Сирена», С-2, «Тас» (1938); гироскопические командные приборы для РН «Протон», «Союз», «Прогресс», «Зенит», станции «Мир», КА «Космос», «Фотон», «Глонасс»; датчик угловой скорости КХ79-060, БИЛУ КХ69-042, кварцевый маятниковый акселерометр КХ67-041; радиола «Звезда»; электрофоны: «Волга», «Волга-3», «Волна-307С, ЭФ-307», «Лидер-302, -303, -205, -206С», «Рогнеда», «Рогнеда- 302»; магнитофоны: «Амфитон МС», «Джаз ПКП-4, ПКП-5», «Волна»; ИВЛ «Спирон-402, -201», «Спиро-Вита- 412»; наркозные аппараты: портативный ингаляционный «Наркон-5, -6», «Полинаркон-6, -Э-Вита»; комплекс анестезиологический «Ксена-010»; АИК-6.07, шприц-насос «Вэда-2, -5»; увлажнитель дыхательной смеси УДС- ЗП.</w:t>
      </w:r>
    </w:p>
    <w:p w14:paraId="069670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КБ завода</w:t>
      </w:r>
    </w:p>
    <w:p w14:paraId="547498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Было в 1966 г., в 1973 г. вошло в состав ПО «Корпус». Было в 2009 г.</w:t>
      </w:r>
    </w:p>
    <w:p w14:paraId="180CC0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Разработка медицинских приборов.</w:t>
      </w:r>
    </w:p>
    <w:p w14:paraId="3C3624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(2000-04 г.)- С.Ф. Нахов.</w:t>
      </w:r>
    </w:p>
    <w:p w14:paraId="042C5A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ФГУП «Базальт» /г. Саратов/</w:t>
      </w:r>
    </w:p>
    <w:p w14:paraId="348774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1973 г. только что созданное для производства деталей из спецсплавов предприятие «Базальт» вошло в состав ПО «Корпус».</w:t>
      </w:r>
    </w:p>
    <w:p w14:paraId="4B7CBE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Указу Президента РФ № 1009 от 4.08.2004 г. вошло в перечень стратегических оборонных предприятий (11982).</w:t>
      </w:r>
    </w:p>
    <w:p w14:paraId="0B95533F" w14:textId="77777777" w:rsidR="004C469C" w:rsidRPr="00640820" w:rsidRDefault="004C46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AA75806"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00E8CA9B"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DB1497D" w14:textId="77777777" w:rsidR="004C469C" w:rsidRPr="00640820" w:rsidRDefault="004C46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18 ноября</w:t>
      </w:r>
      <w:r w:rsidRPr="00640820">
        <w:rPr>
          <w:rFonts w:ascii="Times New Roman" w:hAnsi="Times New Roman"/>
          <w:color w:val="000000" w:themeColor="text1"/>
          <w:sz w:val="16"/>
          <w:szCs w:val="16"/>
        </w:rPr>
        <w:t xml:space="preserve"> в 1941 году утреннее сообщение Совинформбюро:</w:t>
      </w:r>
    </w:p>
    <w:p w14:paraId="155D2E8F" w14:textId="77777777" w:rsidR="004C469C" w:rsidRPr="00640820" w:rsidRDefault="004C46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18 ноября наши войска вели бои с противником на всех фронтах.</w:t>
      </w:r>
    </w:p>
    <w:p w14:paraId="32CFE36A" w14:textId="77777777" w:rsidR="004C469C" w:rsidRPr="00640820" w:rsidRDefault="004C46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авиачасти, действующие на Южном фронте, за один день уничтожили 118 немецких автомашин с боеприпасами и солдатами, 5 бронемашин, штабной автобус, 10 повозок и свыше 500 солдат вражеской пехоты.</w:t>
      </w:r>
    </w:p>
    <w:p w14:paraId="6C542D93" w14:textId="77777777" w:rsidR="004C469C" w:rsidRPr="00640820" w:rsidRDefault="004C46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участков Ленинградского фронта 8 немецких танков, пытаясь обойти наши части с фланга, двигались колонной по узкой просёлочной дороге. Танковый экипаж лейтенанта Мартынова заметил врага и открыл по нему огонь. Первым снарядом был подбит головной танк немцев, от второго снаряда загорелась машина, шедшая в хвосте колонны. Подбитые машины преградили путь остальным танкам. Среди фашистских танкистов началась паника. Они метались из стороны в сторону. Экипаж Мартынова продолжал расстреливать один немецкий танк за другим. Фашисты, побросав машины, бежали. Советский героический экипаж захватил богатые трофеи: 3 исправных и 2 требующих небольшого ремонта танка с полным вооружением и боеприпасами.</w:t>
      </w:r>
    </w:p>
    <w:p w14:paraId="746558F6" w14:textId="77777777" w:rsidR="004C469C" w:rsidRPr="00640820" w:rsidRDefault="004C46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районах Украины, временно захваченных немцами, с каждым днём растёт активность советских партизан. В Днепропетровской области партизанский отряд, которым командует тов. Т., перебил немецкую охрану и уничтожил 3 немецких автомашины с боеприпасами. Отряд запорожских партизан поджёг элеватор с хлебом, награбленным немцами у крестьян. В селе Р. партизаны напали на отряд фашистов, приехавших в село за скотом и хлебом. В завязавшейся схватке уничтожено 15 немецких солдат. Большой урон нанёс противнику партизанский отряд товарища В., действующий в Полтавской области. В село П. прибыла немецкая часть. Местное население в тот же день сообщило об этом в штаб партизанского отряда. Ночью партизаны неожиданно напали на фашистов. На улицах завязался ожесточённый бой. В этом бою партизаны уничтожили более 100 немецких солдат, 3 танка, 2 бронемашины, 9 автомашин и 30 повозок с боеприпасами. Разведчики партизанского отряда товарища Д. установили, что на окраине местечка расположился штаб немецкой части. Поздно вечером группа партизан во главе с командиром отряда окружила хату и сняла часовых. Уничтожив 8 офицеров, 2 солдат и захватив документы, партизаны скрылись.</w:t>
      </w:r>
    </w:p>
    <w:p w14:paraId="6F12B93E" w14:textId="77777777" w:rsidR="004C469C" w:rsidRPr="00640820" w:rsidRDefault="004C46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Доклад товарища Сталина на торжественном заседании Московского Совета и его речь на параде Красной Армии 7 ноября на Красной площади в Москве вызвали среди советской молодёжи новый патриотический подъём. По инициативе молодых нефтяников на 3-м промысле «Ишимбайнефть» восстанавливается всё старое оборудование. На днях нефтяники пустили в эксплоатацию 15 бездействовавших скважин. На механическом заводе гор. Фрунзе стала на сталинскую вахту молодёжная бригада монтажников Павла Киричева. За три дня бригада выполнила задание на 470 процентов. Больше четырёх норм в смену стали вырабатывать молодые стахановцы токарь Мабрин, слесари Маслов и Погорелов. На заводе имени Коминтерна в гор. Омске молодые рабочие дают не менее двух норм в смену. В Черемховском угольном бассейне на шахте имени С. М. Кирова молодой шахтёр Гольшенко выполнил норму на 230 процентов, навалоотбойщик Григорьев перевыполнил норму вдвое. Машинист электровоза тов. Бибих, ранее выполнявший норму в среднем на 105 процентов, поднял выработку до 180-200 процентов.» (14834).</w:t>
      </w:r>
    </w:p>
    <w:p w14:paraId="3C5984AC" w14:textId="77777777" w:rsidR="004C469C" w:rsidRPr="00640820" w:rsidRDefault="004C469C" w:rsidP="00640820">
      <w:pPr>
        <w:spacing w:after="0" w:line="240" w:lineRule="auto"/>
        <w:jc w:val="both"/>
        <w:rPr>
          <w:rFonts w:ascii="Times New Roman" w:hAnsi="Times New Roman"/>
          <w:color w:val="000000" w:themeColor="text1"/>
          <w:sz w:val="16"/>
          <w:szCs w:val="16"/>
        </w:rPr>
      </w:pPr>
    </w:p>
    <w:p w14:paraId="51438BC8" w14:textId="77777777" w:rsidR="004C469C" w:rsidRPr="00640820" w:rsidRDefault="004C46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18 ноября</w:t>
      </w:r>
      <w:r w:rsidRPr="00640820">
        <w:rPr>
          <w:rFonts w:ascii="Times New Roman" w:hAnsi="Times New Roman"/>
          <w:color w:val="000000" w:themeColor="text1"/>
          <w:sz w:val="16"/>
          <w:szCs w:val="16"/>
        </w:rPr>
        <w:t xml:space="preserve"> в 1941 году вечернее сообщение Совинформбюро:</w:t>
      </w:r>
    </w:p>
    <w:p w14:paraId="27565492" w14:textId="77777777" w:rsidR="004C469C" w:rsidRPr="00640820" w:rsidRDefault="004C46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18 ноября наши войска вели бои с противником на всех фронтах. Особенно ожесточённые бои происходили на Калининском, Волоколамском и на одном из участков Юго-Западного фронта. Наши войска отражали атаки противника, уничтожая технику и живую силу немцев.</w:t>
      </w:r>
    </w:p>
    <w:p w14:paraId="35F72182" w14:textId="77777777" w:rsidR="004C469C" w:rsidRPr="00640820" w:rsidRDefault="004C46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17 ноября уничтожено 18 немецких самолётов. Наши потери — 4 самолёта.</w:t>
      </w:r>
    </w:p>
    <w:p w14:paraId="64CD421B" w14:textId="77777777" w:rsidR="004C469C" w:rsidRPr="00640820" w:rsidRDefault="004C46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17 ноября частями нашей авиации, действующей на Западном и Южном фронтах, уничтожено 10 немецких танков, более 60 автомашин с пехотой и боеприпасами, более 60 повозок, 4 полевых орудия и истреблено до батальона пехоты противника.</w:t>
      </w:r>
    </w:p>
    <w:p w14:paraId="316DE365" w14:textId="77777777" w:rsidR="004C469C" w:rsidRPr="00640820" w:rsidRDefault="004C46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Наша часть, действующая на одном из участков Западного фронта, нанесла немцам значительные потери. В боях 16 и 17 ноября наши войска уничтожили 16 вражеских танков, 14 орудий, несколько минометных батарей, 30 автомашин и 10 повозок с военным грузом и пехотой противника. Захвачены трофеи: 6 орудий, 27 станковых и ручных пулеметов, несколько миномётов и другое вооружение немцев.</w:t>
      </w:r>
    </w:p>
    <w:p w14:paraId="5FB96E82" w14:textId="77777777" w:rsidR="004C469C" w:rsidRPr="00640820" w:rsidRDefault="004C46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Истребительный отряд старшего лейтенанта тов. Котова по борьбе с танками противника, подпустив большую колонну немецких танков на близкое расстояние, поджёг 8 машин врага. Истребитель танков красноармеец Крупиков в одном из боёв уничтожил 3 немецких танка. Истребительные отряды младших лейтенантов т.т. Чаланова и Темлинова ночью устроили засаду. Гранатами и зажигательными бутылками они подожгли 2 танка и две автомашины противника.</w:t>
      </w:r>
    </w:p>
    <w:p w14:paraId="67D162BE" w14:textId="77777777" w:rsidR="004C469C" w:rsidRPr="00640820" w:rsidRDefault="004C46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Действия советских патриотов в тылу немецко-фашистской армии вызывают у германского командования всё большее беспокойство. Захватчики вынуждены признать, что всюду их окружает враждебная среда. В приказе «О борьбе с шпионажем, саботажем и т. д.» фашистский генерал Эбергард отмечает, что русские «выработали множество различных форм борьбы против немецкой армии. Поэтому первая задача тыловых организаций — предотвратить всякие волнения в тылу действующих войск... Тайная пропаганда противника и деятельность партизан могут привести к ещё большим беспорядкам среди населения, от которого войска ни в коей мере не должны заражаться». Фашистский генерал приказывает истреблять «всё нежелательные элементы из гражданского населения и создать благоприятную почву для доносов». В страхе перед партизанами генерал предлагает «тщательно осматривать подводы, попадающиеся на дорогах..., тщательно обыскивать пешеходов, осматривать сумки, корзинки, особенно у крестьянок, опрашивать, откуда и зачем они идут...»</w:t>
      </w:r>
    </w:p>
    <w:p w14:paraId="66C5F3FB" w14:textId="77777777" w:rsidR="004C469C" w:rsidRPr="00640820" w:rsidRDefault="004C46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Однако ни приказы командования германской армии, ни кровавые злодеяния фашистских извергов не могут сломить неиссякаемой воли советских патриотов, бесстрашно истребляющих немецких оккупантов. Борьба против немецких захватчиков в районах, оккупированных фашистами, разгорается с новой силой.</w:t>
      </w:r>
    </w:p>
    <w:p w14:paraId="532DBFAC" w14:textId="77777777" w:rsidR="004C469C" w:rsidRPr="00640820" w:rsidRDefault="004C46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Самоотверженно работают трудящиеся Джалал-Абадской области, Киргизской ССР, помогая Красной Армии истреблять фашистских интервентов. Колхозы собирают большой урожай хлопка. Колхозные звеньевые Сузакского района Сали Алимов, Са-биткул Мамарасу, Левинахан Исмаилов и другие вырастили по 100 и </w:t>
      </w:r>
      <w:r w:rsidRPr="00640820">
        <w:rPr>
          <w:rFonts w:ascii="Times New Roman" w:hAnsi="Times New Roman"/>
          <w:color w:val="000000" w:themeColor="text1"/>
          <w:sz w:val="16"/>
          <w:szCs w:val="16"/>
        </w:rPr>
        <w:lastRenderedPageBreak/>
        <w:t>более центнеров хлопка с гектара. Область досрочно пополнила план сдачи хлопка государству. Шахтёры крупнейшей в Средней Азии штольни «Капитальная» рудника «Кок-Янгак» дали стране тысячи тонн угля сверх годовой программы.</w:t>
      </w:r>
    </w:p>
    <w:p w14:paraId="1D1EFB02" w14:textId="77777777" w:rsidR="004C469C" w:rsidRPr="00640820" w:rsidRDefault="004C46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ответ на выступление товарища Сталина колхозники области обязались превысить план сдачи хлопка на десять процентов, шахтеры «Капитальной» — выдать десятки тысяч тонн угля сверх плана.» (14834).</w:t>
      </w:r>
    </w:p>
    <w:p w14:paraId="4890472E" w14:textId="77777777" w:rsidR="004C469C" w:rsidRPr="00640820" w:rsidRDefault="004C469C" w:rsidP="00640820">
      <w:pPr>
        <w:spacing w:after="0" w:line="240" w:lineRule="auto"/>
        <w:jc w:val="both"/>
        <w:rPr>
          <w:rFonts w:ascii="Times New Roman" w:hAnsi="Times New Roman"/>
          <w:color w:val="000000" w:themeColor="text1"/>
          <w:sz w:val="16"/>
          <w:szCs w:val="16"/>
        </w:rPr>
      </w:pPr>
    </w:p>
    <w:p w14:paraId="6207862D" w14:textId="77777777" w:rsidR="00B67F30" w:rsidRPr="00640820" w:rsidRDefault="00B67F30" w:rsidP="00640820">
      <w:pPr>
        <w:pStyle w:val="ae"/>
        <w:spacing w:before="0" w:after="0"/>
        <w:jc w:val="both"/>
        <w:textAlignment w:val="baseline"/>
        <w:rPr>
          <w:color w:val="000000" w:themeColor="text1"/>
          <w:sz w:val="16"/>
          <w:szCs w:val="16"/>
        </w:rPr>
      </w:pPr>
      <w:r w:rsidRPr="00640820">
        <w:rPr>
          <w:color w:val="000000" w:themeColor="text1"/>
          <w:sz w:val="16"/>
          <w:szCs w:val="16"/>
        </w:rPr>
        <w:t>За 18 ноября 1941 в отчете о боевой работе ВВС ЮЗФ говорилось, что из-за плохой погоды (туман в районе аэродромов) было выполнено лишь 45 самолето-вылетов, из которых 30 на атаку наземных целей. Штурмовики и истребители атаковали колонны автомашин с пехотой и танки на дорогах Никольское — Архангельское, Теплое — Жадное, колонну «повозок с грузами» на дороге Кузовка — Ивановское, колонну танков в районе юго-западнее Варваровки, а также «скопление» автомашин и танков в районах Богородицкое, Красный Холм, Волово, Архангельское, Овечьи Воды. Было израсходовано 24 ФАБ-50, 12 АО-25, 710 снарядов ШВАК и 30 реактивных снарядов. На сей раз авиаторы отчитались о 12 уничтоженных танках, 45 автомашинах, двух ротах пехоты и 140 повозках с грузами. При этом один Ил-2 не вернулся с боевого задания (19522).</w:t>
      </w:r>
    </w:p>
    <w:p w14:paraId="55B35DB7" w14:textId="77777777" w:rsidR="00B67F30" w:rsidRPr="00640820" w:rsidRDefault="00B67F30" w:rsidP="00640820">
      <w:pPr>
        <w:pStyle w:val="ae"/>
        <w:spacing w:before="0" w:after="0"/>
        <w:jc w:val="both"/>
        <w:textAlignment w:val="baseline"/>
        <w:rPr>
          <w:color w:val="000000" w:themeColor="text1"/>
          <w:sz w:val="16"/>
          <w:szCs w:val="16"/>
        </w:rPr>
      </w:pPr>
    </w:p>
    <w:p w14:paraId="5D1F0880" w14:textId="77777777" w:rsidR="004C469C" w:rsidRPr="00640820" w:rsidRDefault="004C46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18 ноября</w:t>
      </w:r>
      <w:r w:rsidRPr="00640820">
        <w:rPr>
          <w:rFonts w:ascii="Times New Roman" w:hAnsi="Times New Roman"/>
          <w:color w:val="000000" w:themeColor="text1"/>
          <w:sz w:val="16"/>
          <w:szCs w:val="16"/>
        </w:rPr>
        <w:t xml:space="preserve"> в 1941 году 2-я немецкая танковая армия начала наступление с целью обхода Тулы с востока (14834).</w:t>
      </w:r>
    </w:p>
    <w:p w14:paraId="0A95FA3C" w14:textId="77777777" w:rsidR="004C469C" w:rsidRPr="00640820" w:rsidRDefault="004C469C" w:rsidP="00640820">
      <w:pPr>
        <w:spacing w:after="0" w:line="240" w:lineRule="auto"/>
        <w:jc w:val="both"/>
        <w:rPr>
          <w:rFonts w:ascii="Times New Roman" w:hAnsi="Times New Roman"/>
          <w:color w:val="000000" w:themeColor="text1"/>
          <w:sz w:val="16"/>
          <w:szCs w:val="16"/>
        </w:rPr>
      </w:pPr>
    </w:p>
    <w:p w14:paraId="36AD7A35" w14:textId="77777777" w:rsidR="004C469C" w:rsidRPr="00640820" w:rsidRDefault="004C46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18 ноября</w:t>
      </w:r>
      <w:r w:rsidRPr="00640820">
        <w:rPr>
          <w:rFonts w:ascii="Times New Roman" w:hAnsi="Times New Roman"/>
          <w:color w:val="000000" w:themeColor="text1"/>
          <w:sz w:val="16"/>
          <w:szCs w:val="16"/>
        </w:rPr>
        <w:t xml:space="preserve"> в 1941 году завершилась Тихвинская операция: советские войска не допустили соединения немецких и финских войск на реке Свирь (14834).</w:t>
      </w:r>
    </w:p>
    <w:p w14:paraId="383615C0" w14:textId="77777777" w:rsidR="004C469C" w:rsidRPr="00640820" w:rsidRDefault="004C469C" w:rsidP="00640820">
      <w:pPr>
        <w:spacing w:after="0" w:line="240" w:lineRule="auto"/>
        <w:jc w:val="both"/>
        <w:rPr>
          <w:rFonts w:ascii="Times New Roman" w:hAnsi="Times New Roman"/>
          <w:color w:val="000000" w:themeColor="text1"/>
          <w:sz w:val="16"/>
          <w:szCs w:val="16"/>
        </w:rPr>
      </w:pPr>
    </w:p>
    <w:p w14:paraId="0DED401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ноября 1941 года, находясь в разведке в районе Городище, атаковал позиции минометных батарей, где уничтожил 9 минометов, 2 противотанковых и 1 тяжелое орудие. 19 ноября 1941 года при атаке немецких танков под Федюково, находясь в засаде, уничтожил 6 танков и 150 солдат, тем самым отразил атаку противника и обеспечил выполнение боевой задачи батальона. 21 ноября 1941 года, находясь в засаде в районе Устиново, подпустил 11 немецких танков на расстояние 150 метров, после чего ураганным огнем уничтожил 3 танка и до роты пехоты противника, остальные танки и пехота обратились в бегство. 26 ноября 1941 года, выполняя боевую задачу в деревне Лапотово, заметил колонну немецкой пехоты, допустил ее на близкое расстояние, артиллерийским и пулеметным огнем уничтожил 350 солдат и офицеров. 27 ноября 1941 года, находясь в засаде у деревни Раново (23 немецких танка пытались обойти плотину), лейтенант Кретов подпустил их на близкое расстояние до 100 метров, артиллерийским огнем уничтожил 4 танка и до 250 солдат и офицеров» (12217).</w:t>
      </w:r>
    </w:p>
    <w:p w14:paraId="61BF936E"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0D87D93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ноября 1941 вышло Постановление ГКО № 909 О городских комитетах обороны [в г. Старый Оскол]. (7015, 111).</w:t>
      </w:r>
    </w:p>
    <w:p w14:paraId="2FA4452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FCE7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ноября 1941 немцы прорвали оборону войск юго-восточнее Тулы и через 7 дней подошли к Веневу и Кашире. Для усиления 50А в районе Тулы сформировали АГ п Щербакова. Для действий по противнику, развивающему наступление на Михайлов и Павелец привлекали сформированную в районе Ряжска под командованием 2хГСС Г.П.Кравченко и части ДБА. Интенсивность действий авиации возросла в 2 раза (341,75).</w:t>
      </w:r>
    </w:p>
    <w:p w14:paraId="4045D0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15AC5E9"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22675855"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1B482CD" w14:textId="77777777" w:rsidR="004C469C" w:rsidRPr="00640820" w:rsidRDefault="004C469C" w:rsidP="00640820">
      <w:pPr>
        <w:spacing w:after="0" w:line="240" w:lineRule="auto"/>
        <w:jc w:val="both"/>
        <w:rPr>
          <w:rFonts w:ascii="Times New Roman" w:hAnsi="Times New Roman"/>
          <w:bCs/>
          <w:color w:val="000000" w:themeColor="text1"/>
          <w:sz w:val="16"/>
          <w:szCs w:val="16"/>
        </w:rPr>
      </w:pPr>
      <w:r w:rsidRPr="00640820">
        <w:rPr>
          <w:rFonts w:ascii="Times New Roman" w:hAnsi="Times New Roman"/>
          <w:bCs/>
          <w:color w:val="000000" w:themeColor="text1"/>
          <w:sz w:val="16"/>
          <w:szCs w:val="16"/>
        </w:rPr>
        <w:t>18 ноября</w:t>
      </w:r>
      <w:r w:rsidRPr="00640820">
        <w:rPr>
          <w:rFonts w:ascii="Times New Roman" w:hAnsi="Times New Roman"/>
          <w:color w:val="000000" w:themeColor="text1"/>
          <w:sz w:val="16"/>
          <w:szCs w:val="16"/>
        </w:rPr>
        <w:t xml:space="preserve"> в 1941 году начало прокладки «Дороги жизни». Во время Великой Отечественной войны 88-й отдельный мостостроительный батальон начал ледовую разведку Ладожского озера с целью создания ледовой дороги к осажденному Ленинграду. Работы по созданию трассы, которые вели около 20 тыс. человек, начались в октябре. 19 ноября подписан приказ по войскам Ленинградского фронта «Об организации автотракторной дороги через Ладожское озеро».</w:t>
      </w:r>
    </w:p>
    <w:p w14:paraId="350AEF14" w14:textId="77777777" w:rsidR="004C469C" w:rsidRPr="00640820" w:rsidRDefault="004C46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ноября первые 10 машин автобатальона майора В.А.Порчунова начали движение по «Дороге жизни». За зиму 1941—1942 гг. в окруженный город переправлено 2 тыс. вагонов различных грузов, 85 танков, большое число другой боевой техники, а из города эвакуировано 3700 вагонов промышленного оборудования, произведений искусства, 514 тыс. жителей, 35 тыс. раненых. Движение по трассе прекратилось 21 апреля 1942 г (14834).</w:t>
      </w:r>
    </w:p>
    <w:p w14:paraId="7F82AECC" w14:textId="77777777" w:rsidR="004C469C" w:rsidRPr="00640820" w:rsidRDefault="004C469C" w:rsidP="00640820">
      <w:pPr>
        <w:spacing w:after="0" w:line="240" w:lineRule="auto"/>
        <w:jc w:val="both"/>
        <w:rPr>
          <w:rFonts w:ascii="Times New Roman" w:hAnsi="Times New Roman"/>
          <w:color w:val="000000" w:themeColor="text1"/>
          <w:sz w:val="16"/>
          <w:szCs w:val="16"/>
        </w:rPr>
      </w:pPr>
    </w:p>
    <w:p w14:paraId="5378D4D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ноября 1941 вышло Постановление ГКО № 910 Об ускорении продвижения эшелонов с эвакуированными рабочими, служащими и колхозниками. (7015, 112).</w:t>
      </w:r>
    </w:p>
    <w:p w14:paraId="5D89814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31B72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ноября 1941 вышло Постановление ГКО № 911 Об улучшении перевозки периодической печати, посылок и почтовой корреспонденции по железным дорогам. (7015, 113,114-115).</w:t>
      </w:r>
    </w:p>
    <w:p w14:paraId="314CCAC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0D271C"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15A25B0E"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08BE1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18 ноября по 30 декабря 1941 британские войска начали и провели наступление в Ливии (2238,9).</w:t>
      </w:r>
    </w:p>
    <w:p w14:paraId="6158EA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B2E5831"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2BFA15A3"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41CCC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ноября 1941 вышло Постановление ГКО № 916 О постановке производства самолета Ил-2 с М-82 на заводе № 135. РГАНИР, Фонд ГКО, д. 14, лл. 1 22 (11012).</w:t>
      </w:r>
    </w:p>
    <w:p w14:paraId="4FE8E1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42C85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ноября 1941 года вышло постановление ГКО № 916 «О постановке производства само</w:t>
      </w:r>
      <w:r w:rsidRPr="00640820">
        <w:rPr>
          <w:rFonts w:ascii="Times New Roman" w:hAnsi="Times New Roman"/>
          <w:color w:val="000000" w:themeColor="text1"/>
          <w:sz w:val="16"/>
          <w:szCs w:val="16"/>
        </w:rPr>
        <w:softHyphen/>
        <w:t>лета Ил-2 с мотором М-82 на заво</w:t>
      </w:r>
      <w:r w:rsidRPr="00640820">
        <w:rPr>
          <w:rFonts w:ascii="Times New Roman" w:hAnsi="Times New Roman"/>
          <w:color w:val="000000" w:themeColor="text1"/>
          <w:sz w:val="16"/>
          <w:szCs w:val="16"/>
        </w:rPr>
        <w:softHyphen/>
        <w:t>де 135» вместо Су-2 и одновременно постановление № 915 «О постанов</w:t>
      </w:r>
      <w:r w:rsidRPr="00640820">
        <w:rPr>
          <w:rFonts w:ascii="Times New Roman" w:hAnsi="Times New Roman"/>
          <w:color w:val="000000" w:themeColor="text1"/>
          <w:sz w:val="16"/>
          <w:szCs w:val="16"/>
        </w:rPr>
        <w:softHyphen/>
        <w:t>ке моторов М-82 на самолетах ТБ-7, 103, Ил-2 и ДБ-3Ф» (10686).</w:t>
      </w:r>
    </w:p>
    <w:p w14:paraId="2B10AA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95929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ноября 1941 вышло постановление ГКО N 916сс "О постановке производства самолета Ил-2 с М-82 на заводе 135 (1332,65).</w:t>
      </w:r>
    </w:p>
    <w:p w14:paraId="2CA5F0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4F5D963" w14:textId="77777777" w:rsidR="00820150" w:rsidRPr="00640820" w:rsidRDefault="00820150" w:rsidP="00640820">
      <w:pPr>
        <w:pStyle w:val="47"/>
        <w:shd w:val="clear" w:color="auto" w:fill="auto"/>
        <w:spacing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19 ноября 1941 вышло постановление ГКО N 916сс "О постановке производства самолета Ил-2 с М-82 на заводе 135</w:t>
      </w:r>
    </w:p>
    <w:p w14:paraId="16A1A88C" w14:textId="77777777" w:rsidR="00820150" w:rsidRPr="00640820" w:rsidRDefault="00820150" w:rsidP="00640820">
      <w:pPr>
        <w:tabs>
          <w:tab w:val="left" w:pos="958"/>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Обязать Наркомавиапром - директора завода № 135 тов.Кузина и Главного конструктора тов.Ильюшина развер</w:t>
      </w:r>
      <w:r w:rsidRPr="00640820">
        <w:rPr>
          <w:rFonts w:ascii="Times New Roman" w:hAnsi="Times New Roman"/>
          <w:color w:val="000000" w:themeColor="text1"/>
          <w:sz w:val="16"/>
          <w:szCs w:val="16"/>
        </w:rPr>
        <w:softHyphen/>
        <w:t>нуть на заводе № 135 подготовку производства к выпуску самолетов Ил-2 с мотором М-82 и деревянными крыльями.</w:t>
      </w:r>
    </w:p>
    <w:p w14:paraId="52CBC6D2" w14:textId="77777777" w:rsidR="00820150" w:rsidRPr="00640820" w:rsidRDefault="00820150" w:rsidP="00640820">
      <w:pPr>
        <w:tabs>
          <w:tab w:val="left" w:pos="950"/>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Выпуск самолетов Ил-2 начать с 15 февраля 1942 г, по одной машине в день, с 15-го марта - по две машины в день и с 15-го апреля 1942г. - по три машины в день.</w:t>
      </w:r>
    </w:p>
    <w:p w14:paraId="6E973676" w14:textId="77777777" w:rsidR="00820150" w:rsidRPr="00640820" w:rsidRDefault="00820150" w:rsidP="00640820">
      <w:pPr>
        <w:pStyle w:val="47"/>
        <w:shd w:val="clear" w:color="auto" w:fill="auto"/>
        <w:spacing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Разрешить заводу № 135 выпустить самолеты Су-2, имеющиеся в заделе (19282).</w:t>
      </w:r>
    </w:p>
    <w:p w14:paraId="3A113458" w14:textId="77777777" w:rsidR="00820150" w:rsidRPr="00640820" w:rsidRDefault="00820150" w:rsidP="00640820">
      <w:pPr>
        <w:pStyle w:val="47"/>
        <w:shd w:val="clear" w:color="auto" w:fill="auto"/>
        <w:spacing w:line="240" w:lineRule="auto"/>
        <w:ind w:firstLine="0"/>
        <w:jc w:val="both"/>
        <w:rPr>
          <w:rFonts w:ascii="Times New Roman" w:hAnsi="Times New Roman" w:cs="Times New Roman"/>
          <w:color w:val="000000" w:themeColor="text1"/>
          <w:sz w:val="16"/>
          <w:szCs w:val="16"/>
        </w:rPr>
      </w:pPr>
    </w:p>
    <w:p w14:paraId="4111E7F7" w14:textId="77777777" w:rsidR="00B67F30" w:rsidRPr="00640820" w:rsidRDefault="00B67F30"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19 ноября 1941 г. ГКО принял пос</w:t>
      </w:r>
      <w:r w:rsidRPr="00640820">
        <w:rPr>
          <w:rFonts w:ascii="Times New Roman" w:cs="Times New Roman"/>
          <w:color w:val="000000" w:themeColor="text1"/>
          <w:spacing w:val="0"/>
        </w:rPr>
        <w:softHyphen/>
        <w:t>тановление, согласно которому заво</w:t>
      </w:r>
      <w:r w:rsidRPr="00640820">
        <w:rPr>
          <w:rFonts w:ascii="Times New Roman" w:cs="Times New Roman"/>
          <w:color w:val="000000" w:themeColor="text1"/>
          <w:spacing w:val="0"/>
        </w:rPr>
        <w:softHyphen/>
        <w:t>ду № 135 надлежало с 15 февраля 1942 г приступить к серийному выпуску штурмовиков Ил-2. Вместе с тем ему разрешалось изготовить некоторое количество Су-2, ограниченное имев</w:t>
      </w:r>
      <w:r w:rsidRPr="00640820">
        <w:rPr>
          <w:rFonts w:ascii="Times New Roman" w:cs="Times New Roman"/>
          <w:color w:val="000000" w:themeColor="text1"/>
          <w:spacing w:val="0"/>
        </w:rPr>
        <w:softHyphen/>
        <w:t>шимся заделом. В результате в декабре 1941 г. собрали 15 самолетов, а в янва</w:t>
      </w:r>
      <w:r w:rsidRPr="00640820">
        <w:rPr>
          <w:rFonts w:ascii="Times New Roman" w:cs="Times New Roman"/>
          <w:color w:val="000000" w:themeColor="text1"/>
          <w:spacing w:val="0"/>
        </w:rPr>
        <w:softHyphen/>
        <w:t>ре - феврале 1942 г. - еще 40. Из них 36 комплектовались моторами М-82, два - М-88 и еще два - М-89 Всего за 1941 г. завод № 135 выпустил 625 Су-2 при плане 1068; завод № 207 - 89 при плане 115; завод № 31 - четыре (19102).</w:t>
      </w:r>
    </w:p>
    <w:p w14:paraId="66FCB9F5" w14:textId="77777777" w:rsidR="00B67F30" w:rsidRPr="00640820" w:rsidRDefault="00B67F30" w:rsidP="00640820">
      <w:pPr>
        <w:pStyle w:val="27"/>
        <w:shd w:val="clear" w:color="auto" w:fill="auto"/>
        <w:spacing w:after="0" w:line="240" w:lineRule="auto"/>
        <w:ind w:firstLine="0"/>
        <w:rPr>
          <w:rFonts w:ascii="Times New Roman" w:cs="Times New Roman"/>
          <w:color w:val="000000" w:themeColor="text1"/>
          <w:spacing w:val="0"/>
        </w:rPr>
      </w:pPr>
    </w:p>
    <w:p w14:paraId="0876D3EF" w14:textId="77777777" w:rsidR="00B67F30" w:rsidRPr="00640820" w:rsidRDefault="00B67F30" w:rsidP="00640820">
      <w:pPr>
        <w:pStyle w:val="ae"/>
        <w:spacing w:before="0" w:after="0"/>
        <w:jc w:val="both"/>
        <w:rPr>
          <w:color w:val="000000" w:themeColor="text1"/>
          <w:sz w:val="16"/>
          <w:szCs w:val="16"/>
        </w:rPr>
      </w:pPr>
      <w:r w:rsidRPr="00640820">
        <w:rPr>
          <w:color w:val="000000" w:themeColor="text1"/>
          <w:sz w:val="16"/>
          <w:szCs w:val="16"/>
        </w:rPr>
        <w:t>19 ноября 1941 ГКО было принято постановление о прекращении в Перми производства Су</w:t>
      </w:r>
      <w:r w:rsidRPr="00640820">
        <w:rPr>
          <w:color w:val="000000" w:themeColor="text1"/>
          <w:sz w:val="16"/>
          <w:szCs w:val="16"/>
        </w:rPr>
        <w:noBreakHyphen/>
        <w:t>2 и начале подготовки к серийному производству двухместного штурмовика Ил</w:t>
      </w:r>
      <w:r w:rsidRPr="00640820">
        <w:rPr>
          <w:color w:val="000000" w:themeColor="text1"/>
          <w:sz w:val="16"/>
          <w:szCs w:val="16"/>
        </w:rPr>
        <w:noBreakHyphen/>
        <w:t>2 с мотором М</w:t>
      </w:r>
      <w:r w:rsidRPr="00640820">
        <w:rPr>
          <w:color w:val="000000" w:themeColor="text1"/>
          <w:sz w:val="16"/>
          <w:szCs w:val="16"/>
        </w:rPr>
        <w:noBreakHyphen/>
        <w:t>82. В отличие от уже изготавливаемого серийно Ил</w:t>
      </w:r>
      <w:r w:rsidRPr="00640820">
        <w:rPr>
          <w:color w:val="000000" w:themeColor="text1"/>
          <w:sz w:val="16"/>
          <w:szCs w:val="16"/>
        </w:rPr>
        <w:noBreakHyphen/>
        <w:t>2 с мотором АМ</w:t>
      </w:r>
      <w:r w:rsidRPr="00640820">
        <w:rPr>
          <w:color w:val="000000" w:themeColor="text1"/>
          <w:sz w:val="16"/>
          <w:szCs w:val="16"/>
        </w:rPr>
        <w:noBreakHyphen/>
        <w:t>38 новый штурмовик еще только проходил испытания.</w:t>
      </w:r>
    </w:p>
    <w:p w14:paraId="51AD28D4" w14:textId="77777777" w:rsidR="00B67F30" w:rsidRPr="00640820" w:rsidRDefault="00B67F30" w:rsidP="00640820">
      <w:pPr>
        <w:pStyle w:val="ae"/>
        <w:spacing w:before="0" w:after="0"/>
        <w:jc w:val="both"/>
        <w:rPr>
          <w:color w:val="000000" w:themeColor="text1"/>
          <w:sz w:val="16"/>
          <w:szCs w:val="16"/>
        </w:rPr>
      </w:pPr>
      <w:r w:rsidRPr="00640820">
        <w:rPr>
          <w:color w:val="000000" w:themeColor="text1"/>
          <w:sz w:val="16"/>
          <w:szCs w:val="16"/>
        </w:rPr>
        <w:t>В течение нескольких дней дирекцией 135</w:t>
      </w:r>
      <w:r w:rsidRPr="00640820">
        <w:rPr>
          <w:color w:val="000000" w:themeColor="text1"/>
          <w:sz w:val="16"/>
          <w:szCs w:val="16"/>
        </w:rPr>
        <w:noBreakHyphen/>
        <w:t>го завода была скомплектована группа из конструкторов и технологов, которые под руководством Грушина должны были вылететь в Куйбышев на завод № 18, где изготавливались Ил</w:t>
      </w:r>
      <w:r w:rsidRPr="00640820">
        <w:rPr>
          <w:color w:val="000000" w:themeColor="text1"/>
          <w:sz w:val="16"/>
          <w:szCs w:val="16"/>
        </w:rPr>
        <w:noBreakHyphen/>
        <w:t>2, для ознакомления с производством и получения необходимой технической документации на новый вариант самолета. Но из</w:t>
      </w:r>
      <w:r w:rsidRPr="00640820">
        <w:rPr>
          <w:color w:val="000000" w:themeColor="text1"/>
          <w:sz w:val="16"/>
          <w:szCs w:val="16"/>
        </w:rPr>
        <w:noBreakHyphen/>
        <w:t>за непогоды делегация смогла вылететь из Перми только 2 декабря (18995).</w:t>
      </w:r>
    </w:p>
    <w:p w14:paraId="7B041EE9" w14:textId="77777777" w:rsidR="00B67F30" w:rsidRPr="00640820" w:rsidRDefault="00B67F30" w:rsidP="00640820">
      <w:pPr>
        <w:spacing w:after="0" w:line="240" w:lineRule="auto"/>
        <w:jc w:val="both"/>
        <w:rPr>
          <w:rFonts w:ascii="Times New Roman" w:hAnsi="Times New Roman"/>
          <w:color w:val="000000" w:themeColor="text1"/>
          <w:sz w:val="16"/>
          <w:szCs w:val="16"/>
        </w:rPr>
      </w:pPr>
    </w:p>
    <w:p w14:paraId="5791EA4E" w14:textId="77777777" w:rsidR="001B717D" w:rsidRPr="00640820" w:rsidRDefault="001B717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lang w:eastAsia="ru-RU" w:bidi="ru-RU"/>
        </w:rPr>
        <w:t>19 но</w:t>
      </w:r>
      <w:r w:rsidRPr="00640820">
        <w:rPr>
          <w:rFonts w:ascii="Times New Roman" w:hAnsi="Times New Roman"/>
          <w:color w:val="0070C0"/>
          <w:sz w:val="16"/>
          <w:szCs w:val="16"/>
          <w:lang w:eastAsia="ru-RU" w:bidi="ru-RU"/>
        </w:rPr>
        <w:softHyphen/>
        <w:t>ября 1941 г. ГКО выпустил постановление о внедрении моторов М-82 на бомбарди</w:t>
      </w:r>
      <w:r w:rsidRPr="00640820">
        <w:rPr>
          <w:rFonts w:ascii="Times New Roman" w:hAnsi="Times New Roman"/>
          <w:color w:val="0070C0"/>
          <w:sz w:val="16"/>
          <w:szCs w:val="16"/>
          <w:lang w:eastAsia="ru-RU" w:bidi="ru-RU"/>
        </w:rPr>
        <w:softHyphen/>
        <w:t>ровщиках и штурмовиках. В список попал и самолет «103». К 20 декабря требова</w:t>
      </w:r>
      <w:r w:rsidRPr="00640820">
        <w:rPr>
          <w:rFonts w:ascii="Times New Roman" w:hAnsi="Times New Roman"/>
          <w:color w:val="0070C0"/>
          <w:sz w:val="16"/>
          <w:szCs w:val="16"/>
          <w:lang w:eastAsia="ru-RU" w:bidi="ru-RU"/>
        </w:rPr>
        <w:softHyphen/>
        <w:t>лось представить в Кремль материалы ис</w:t>
      </w:r>
      <w:r w:rsidRPr="00640820">
        <w:rPr>
          <w:rFonts w:ascii="Times New Roman" w:hAnsi="Times New Roman"/>
          <w:color w:val="0070C0"/>
          <w:sz w:val="16"/>
          <w:szCs w:val="16"/>
          <w:lang w:eastAsia="ru-RU" w:bidi="ru-RU"/>
        </w:rPr>
        <w:softHyphen/>
        <w:t>пытаний его варианта с М-82. Мотор АМ-37 к этому времени успешно прошел 100-часовые государст</w:t>
      </w:r>
      <w:r w:rsidRPr="00640820">
        <w:rPr>
          <w:rFonts w:ascii="Times New Roman" w:hAnsi="Times New Roman"/>
          <w:color w:val="0070C0"/>
          <w:sz w:val="16"/>
          <w:szCs w:val="16"/>
          <w:lang w:eastAsia="ru-RU" w:bidi="ru-RU"/>
        </w:rPr>
        <w:softHyphen/>
        <w:t>венные испытания. Московскому заводу №24 поставили задачу уже к концу авгу</w:t>
      </w:r>
      <w:r w:rsidRPr="00640820">
        <w:rPr>
          <w:rFonts w:ascii="Times New Roman" w:hAnsi="Times New Roman"/>
          <w:color w:val="0070C0"/>
          <w:sz w:val="16"/>
          <w:szCs w:val="16"/>
          <w:lang w:eastAsia="ru-RU" w:bidi="ru-RU"/>
        </w:rPr>
        <w:softHyphen/>
        <w:t>ста представить десять серийных двига</w:t>
      </w:r>
      <w:r w:rsidRPr="00640820">
        <w:rPr>
          <w:rFonts w:ascii="Times New Roman" w:hAnsi="Times New Roman"/>
          <w:color w:val="0070C0"/>
          <w:sz w:val="16"/>
          <w:szCs w:val="16"/>
          <w:lang w:eastAsia="ru-RU" w:bidi="ru-RU"/>
        </w:rPr>
        <w:softHyphen/>
        <w:t>телей, до конца года сдать 200 штук. При этом разрешалось устранить выявлен</w:t>
      </w:r>
      <w:r w:rsidRPr="00640820">
        <w:rPr>
          <w:rFonts w:ascii="Times New Roman" w:hAnsi="Times New Roman"/>
          <w:color w:val="0070C0"/>
          <w:sz w:val="16"/>
          <w:szCs w:val="16"/>
          <w:lang w:eastAsia="ru-RU" w:bidi="ru-RU"/>
        </w:rPr>
        <w:softHyphen/>
        <w:t>ные на испытаниях недостатки только с 1 декабря. С нового года к выпуску АМ-37 подключался завод № 337 в Куйбы</w:t>
      </w:r>
      <w:r w:rsidRPr="00640820">
        <w:rPr>
          <w:rFonts w:ascii="Times New Roman" w:hAnsi="Times New Roman"/>
          <w:color w:val="0070C0"/>
          <w:sz w:val="16"/>
          <w:szCs w:val="16"/>
          <w:lang w:eastAsia="ru-RU" w:bidi="ru-RU"/>
        </w:rPr>
        <w:softHyphen/>
        <w:t>шеве (ныне Самара). В планах НКАП в это время фигурирует только «103У» с этими моторами. Но количество машин явно от</w:t>
      </w:r>
      <w:r w:rsidRPr="00640820">
        <w:rPr>
          <w:rFonts w:ascii="Times New Roman" w:hAnsi="Times New Roman"/>
          <w:color w:val="0070C0"/>
          <w:sz w:val="16"/>
          <w:szCs w:val="16"/>
          <w:lang w:eastAsia="ru-RU" w:bidi="ru-RU"/>
        </w:rPr>
        <w:softHyphen/>
        <w:t>корректировали в соответствии со сло</w:t>
      </w:r>
      <w:r w:rsidRPr="00640820">
        <w:rPr>
          <w:rFonts w:ascii="Times New Roman" w:hAnsi="Times New Roman"/>
          <w:color w:val="0070C0"/>
          <w:sz w:val="16"/>
          <w:szCs w:val="16"/>
          <w:lang w:eastAsia="ru-RU" w:bidi="ru-RU"/>
        </w:rPr>
        <w:softHyphen/>
        <w:t>жившейся ситуацией. По плану от 2 но</w:t>
      </w:r>
      <w:r w:rsidRPr="00640820">
        <w:rPr>
          <w:rFonts w:ascii="Times New Roman" w:hAnsi="Times New Roman"/>
          <w:color w:val="0070C0"/>
          <w:sz w:val="16"/>
          <w:szCs w:val="16"/>
          <w:lang w:eastAsia="ru-RU" w:bidi="ru-RU"/>
        </w:rPr>
        <w:softHyphen/>
        <w:t>ября 1941 г. от завода №166 уже требо</w:t>
      </w:r>
      <w:r w:rsidRPr="00640820">
        <w:rPr>
          <w:rFonts w:ascii="Times New Roman" w:hAnsi="Times New Roman"/>
          <w:color w:val="0070C0"/>
          <w:sz w:val="16"/>
          <w:szCs w:val="16"/>
          <w:lang w:eastAsia="ru-RU" w:bidi="ru-RU"/>
        </w:rPr>
        <w:softHyphen/>
        <w:t>вали выпуска в ноябре всего четырех бомбардировщиков, а в декабре - десяти.</w:t>
      </w:r>
    </w:p>
    <w:p w14:paraId="13D69F36" w14:textId="77777777" w:rsidR="001B717D" w:rsidRPr="00640820" w:rsidRDefault="001B717D" w:rsidP="00640820">
      <w:pPr>
        <w:spacing w:after="0" w:line="240" w:lineRule="auto"/>
        <w:jc w:val="both"/>
        <w:rPr>
          <w:rFonts w:ascii="Times New Roman" w:hAnsi="Times New Roman"/>
          <w:color w:val="0070C0"/>
          <w:sz w:val="16"/>
          <w:szCs w:val="16"/>
          <w:lang w:eastAsia="ru-RU" w:bidi="ru-RU"/>
        </w:rPr>
      </w:pPr>
      <w:r w:rsidRPr="00640820">
        <w:rPr>
          <w:rFonts w:ascii="Times New Roman" w:hAnsi="Times New Roman"/>
          <w:color w:val="0070C0"/>
          <w:sz w:val="16"/>
          <w:szCs w:val="16"/>
          <w:lang w:eastAsia="ru-RU" w:bidi="ru-RU"/>
        </w:rPr>
        <w:t xml:space="preserve">И вдруг курс резко изменился. </w:t>
      </w:r>
    </w:p>
    <w:p w14:paraId="2BA68B2C" w14:textId="77777777" w:rsidR="001B717D" w:rsidRPr="00640820" w:rsidRDefault="001B717D" w:rsidP="00640820">
      <w:pPr>
        <w:spacing w:after="0" w:line="240" w:lineRule="auto"/>
        <w:jc w:val="both"/>
        <w:rPr>
          <w:rFonts w:ascii="Times New Roman" w:hAnsi="Times New Roman"/>
          <w:color w:val="0070C0"/>
          <w:sz w:val="16"/>
          <w:szCs w:val="16"/>
          <w:lang w:eastAsia="ru-RU" w:bidi="ru-RU"/>
        </w:rPr>
      </w:pPr>
      <w:r w:rsidRPr="00640820">
        <w:rPr>
          <w:rFonts w:ascii="Times New Roman" w:hAnsi="Times New Roman"/>
          <w:color w:val="0070C0"/>
          <w:sz w:val="16"/>
          <w:szCs w:val="16"/>
          <w:lang w:eastAsia="ru-RU" w:bidi="ru-RU"/>
        </w:rPr>
        <w:t>Похоже, уже стало ясно, что преды</w:t>
      </w:r>
      <w:r w:rsidRPr="00640820">
        <w:rPr>
          <w:rFonts w:ascii="Times New Roman" w:hAnsi="Times New Roman"/>
          <w:color w:val="0070C0"/>
          <w:sz w:val="16"/>
          <w:szCs w:val="16"/>
          <w:lang w:eastAsia="ru-RU" w:bidi="ru-RU"/>
        </w:rPr>
        <w:softHyphen/>
        <w:t>дущие задания невыполнимы. Эвакуация жестоко ударила по авиационной про</w:t>
      </w:r>
      <w:r w:rsidRPr="00640820">
        <w:rPr>
          <w:rFonts w:ascii="Times New Roman" w:hAnsi="Times New Roman"/>
          <w:color w:val="0070C0"/>
          <w:sz w:val="16"/>
          <w:szCs w:val="16"/>
          <w:lang w:eastAsia="ru-RU" w:bidi="ru-RU"/>
        </w:rPr>
        <w:softHyphen/>
        <w:t>мышленности. От нее пострадали даже предприятия в глубине страны, лишив</w:t>
      </w:r>
      <w:r w:rsidRPr="00640820">
        <w:rPr>
          <w:rFonts w:ascii="Times New Roman" w:hAnsi="Times New Roman"/>
          <w:color w:val="0070C0"/>
          <w:sz w:val="16"/>
          <w:szCs w:val="16"/>
          <w:lang w:eastAsia="ru-RU" w:bidi="ru-RU"/>
        </w:rPr>
        <w:softHyphen/>
        <w:t>шиеся поставок от смежников (21061).</w:t>
      </w:r>
    </w:p>
    <w:p w14:paraId="2F35E570" w14:textId="77777777" w:rsidR="001B717D" w:rsidRPr="00640820" w:rsidRDefault="001B717D" w:rsidP="00640820">
      <w:pPr>
        <w:spacing w:after="0" w:line="240" w:lineRule="auto"/>
        <w:jc w:val="both"/>
        <w:rPr>
          <w:rFonts w:ascii="Times New Roman" w:hAnsi="Times New Roman"/>
          <w:color w:val="0070C0"/>
          <w:sz w:val="16"/>
          <w:szCs w:val="16"/>
          <w:lang w:eastAsia="ru-RU" w:bidi="ru-RU"/>
        </w:rPr>
      </w:pPr>
    </w:p>
    <w:p w14:paraId="41AFB3FB" w14:textId="77777777" w:rsidR="001B717D" w:rsidRPr="00640820" w:rsidRDefault="001B717D" w:rsidP="00640820">
      <w:pPr>
        <w:pStyle w:val="96"/>
        <w:shd w:val="clear" w:color="auto" w:fill="auto"/>
        <w:spacing w:before="0" w:line="240" w:lineRule="auto"/>
        <w:rPr>
          <w:rStyle w:val="16"/>
          <w:rFonts w:ascii="Times New Roman" w:hAnsi="Times New Roman" w:cs="Times New Roman"/>
          <w:color w:val="0070C0"/>
          <w:spacing w:val="0"/>
          <w:w w:val="100"/>
          <w:u w:val="none"/>
        </w:rPr>
      </w:pPr>
      <w:r w:rsidRPr="00640820">
        <w:rPr>
          <w:rStyle w:val="16"/>
          <w:rFonts w:ascii="Times New Roman" w:hAnsi="Times New Roman" w:cs="Times New Roman"/>
          <w:color w:val="0070C0"/>
          <w:spacing w:val="0"/>
          <w:w w:val="100"/>
          <w:u w:val="none"/>
        </w:rPr>
        <w:lastRenderedPageBreak/>
        <w:t xml:space="preserve">19 ноября </w:t>
      </w:r>
      <w:r w:rsidRPr="00640820">
        <w:rPr>
          <w:rStyle w:val="16"/>
          <w:rFonts w:ascii="Times New Roman" w:hAnsi="Times New Roman" w:cs="Times New Roman"/>
          <w:color w:val="0070C0"/>
          <w:spacing w:val="0"/>
          <w:w w:val="100"/>
          <w:u w:val="none"/>
          <w:lang w:val="ru-RU"/>
        </w:rPr>
        <w:t xml:space="preserve">1941 </w:t>
      </w:r>
      <w:r w:rsidRPr="00640820">
        <w:rPr>
          <w:rStyle w:val="16"/>
          <w:rFonts w:ascii="Times New Roman" w:hAnsi="Times New Roman" w:cs="Times New Roman"/>
          <w:color w:val="0070C0"/>
          <w:spacing w:val="0"/>
          <w:w w:val="100"/>
          <w:u w:val="none"/>
        </w:rPr>
        <w:t>вышли два постановления ГКО №915сс и 916сс, а днем позже и соответству</w:t>
      </w:r>
      <w:r w:rsidRPr="00640820">
        <w:rPr>
          <w:rStyle w:val="16"/>
          <w:rFonts w:ascii="Times New Roman" w:hAnsi="Times New Roman" w:cs="Times New Roman"/>
          <w:color w:val="0070C0"/>
          <w:spacing w:val="0"/>
          <w:w w:val="100"/>
          <w:u w:val="none"/>
        </w:rPr>
        <w:softHyphen/>
        <w:t>ющие им приказы НКАП. Согласно постанов</w:t>
      </w:r>
      <w:r w:rsidRPr="00640820">
        <w:rPr>
          <w:rStyle w:val="16"/>
          <w:rFonts w:ascii="Times New Roman" w:hAnsi="Times New Roman" w:cs="Times New Roman"/>
          <w:color w:val="0070C0"/>
          <w:spacing w:val="0"/>
          <w:w w:val="100"/>
          <w:u w:val="none"/>
        </w:rPr>
        <w:softHyphen/>
        <w:t>лению №916сс, директор завода №135 Кузин обязывался немедленно развернуть произ</w:t>
      </w:r>
      <w:r w:rsidRPr="00640820">
        <w:rPr>
          <w:rStyle w:val="16"/>
          <w:rFonts w:ascii="Times New Roman" w:hAnsi="Times New Roman" w:cs="Times New Roman"/>
          <w:color w:val="0070C0"/>
          <w:spacing w:val="0"/>
          <w:w w:val="100"/>
          <w:u w:val="none"/>
        </w:rPr>
        <w:softHyphen/>
        <w:t>водство штурмовика Ил-2 М-82 вместо бом</w:t>
      </w:r>
      <w:r w:rsidRPr="00640820">
        <w:rPr>
          <w:rStyle w:val="16"/>
          <w:rFonts w:ascii="Times New Roman" w:hAnsi="Times New Roman" w:cs="Times New Roman"/>
          <w:color w:val="0070C0"/>
          <w:spacing w:val="0"/>
          <w:w w:val="100"/>
          <w:u w:val="none"/>
        </w:rPr>
        <w:softHyphen/>
        <w:t>бардировщика Су-2 М-82. Постановлением №915сс директору завода №381 Журавлеву и Ильюшину ставилась задача не позже 10 де</w:t>
      </w:r>
      <w:r w:rsidRPr="00640820">
        <w:rPr>
          <w:rStyle w:val="16"/>
          <w:rFonts w:ascii="Times New Roman" w:hAnsi="Times New Roman" w:cs="Times New Roman"/>
          <w:color w:val="0070C0"/>
          <w:spacing w:val="0"/>
          <w:w w:val="100"/>
          <w:u w:val="none"/>
        </w:rPr>
        <w:softHyphen/>
        <w:t>кабря 1941 г. завершить испытания опытного Ил-2 М-82, и с 1 февраля 1942 г. организовать его серийное производство</w:t>
      </w:r>
      <w:r w:rsidRPr="00640820">
        <w:rPr>
          <w:rStyle w:val="16"/>
          <w:rFonts w:ascii="Times New Roman" w:hAnsi="Times New Roman" w:cs="Times New Roman"/>
          <w:color w:val="0070C0"/>
          <w:spacing w:val="0"/>
          <w:w w:val="100"/>
          <w:u w:val="none"/>
          <w:lang w:val="ru-RU"/>
        </w:rPr>
        <w:t xml:space="preserve"> (19877)</w:t>
      </w:r>
      <w:r w:rsidRPr="00640820">
        <w:rPr>
          <w:rStyle w:val="16"/>
          <w:rFonts w:ascii="Times New Roman" w:hAnsi="Times New Roman" w:cs="Times New Roman"/>
          <w:color w:val="0070C0"/>
          <w:spacing w:val="0"/>
          <w:w w:val="100"/>
          <w:u w:val="none"/>
        </w:rPr>
        <w:t>.</w:t>
      </w:r>
    </w:p>
    <w:p w14:paraId="0C988A2A" w14:textId="77777777" w:rsidR="001B717D" w:rsidRPr="00640820" w:rsidRDefault="001B717D" w:rsidP="00640820">
      <w:pPr>
        <w:pStyle w:val="96"/>
        <w:shd w:val="clear" w:color="auto" w:fill="auto"/>
        <w:spacing w:before="0" w:line="240" w:lineRule="auto"/>
        <w:rPr>
          <w:rFonts w:ascii="Times New Roman" w:hAnsi="Times New Roman" w:cs="Times New Roman"/>
          <w:color w:val="0070C0"/>
          <w:w w:val="100"/>
          <w:sz w:val="16"/>
          <w:szCs w:val="16"/>
        </w:rPr>
      </w:pPr>
    </w:p>
    <w:p w14:paraId="6822BEF0" w14:textId="77777777" w:rsidR="00B67F30" w:rsidRPr="00640820" w:rsidRDefault="00B67F30" w:rsidP="00640820">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19 ноября 1941 г. вышли два поста</w:t>
      </w:r>
      <w:r w:rsidRPr="00640820">
        <w:rPr>
          <w:rFonts w:ascii="Times New Roman" w:hAnsi="Times New Roman" w:cs="Times New Roman"/>
          <w:color w:val="000000" w:themeColor="text1"/>
          <w:sz w:val="16"/>
          <w:szCs w:val="16"/>
        </w:rPr>
        <w:softHyphen/>
        <w:t>новления ГКО №№ 915сс и 916сс, а днем позже и соответствующие им приказы НКАП.</w:t>
      </w:r>
    </w:p>
    <w:p w14:paraId="1803E56A" w14:textId="77777777" w:rsidR="00B67F30" w:rsidRPr="00640820" w:rsidRDefault="00B67F30" w:rsidP="00640820">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Согласно постановлению № 916сс ди</w:t>
      </w:r>
      <w:r w:rsidRPr="00640820">
        <w:rPr>
          <w:rFonts w:ascii="Times New Roman" w:hAnsi="Times New Roman" w:cs="Times New Roman"/>
          <w:color w:val="000000" w:themeColor="text1"/>
          <w:sz w:val="16"/>
          <w:szCs w:val="16"/>
        </w:rPr>
        <w:softHyphen/>
        <w:t>ректор завода № 135 Кузин обязывался немедленно развернуть производство Ил-2 М-82 взамен производящегося на заводе бомбардировщика Су-2 М-82.</w:t>
      </w:r>
    </w:p>
    <w:p w14:paraId="6884E062" w14:textId="77777777" w:rsidR="00B67F30" w:rsidRPr="00640820" w:rsidRDefault="00B67F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Постановлением № 915сс директору завода № 381 Журавлеву и Ильюшину ставилась задача не позже 10 декабря 1941 г. завершить испытания опытного Ил-2 М-82, и с 1 февраля 1942 г. органи</w:t>
      </w:r>
      <w:r w:rsidRPr="00640820">
        <w:rPr>
          <w:rFonts w:ascii="Times New Roman" w:hAnsi="Times New Roman"/>
          <w:color w:val="000000" w:themeColor="text1"/>
          <w:sz w:val="16"/>
          <w:szCs w:val="16"/>
        </w:rPr>
        <w:softHyphen/>
        <w:t>зовать его серийное производство.</w:t>
      </w:r>
    </w:p>
    <w:p w14:paraId="4CA0F760" w14:textId="77777777" w:rsidR="00B67F30" w:rsidRPr="00640820" w:rsidRDefault="00B67F30" w:rsidP="00640820">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Примерно в это же время специа</w:t>
      </w:r>
      <w:r w:rsidRPr="00640820">
        <w:rPr>
          <w:rFonts w:ascii="Times New Roman" w:hAnsi="Times New Roman" w:cs="Times New Roman"/>
          <w:color w:val="000000" w:themeColor="text1"/>
          <w:sz w:val="16"/>
          <w:szCs w:val="16"/>
        </w:rPr>
        <w:softHyphen/>
        <w:t>листы НИИ ВВС предложили установить на Ил-2 мотор М-82-112И (М-82ИР) с односкоростным нагнетателем (1400 л.с. - у земли, и 1650 л.с. - на взлете), который в ноябре успешно прошел 100-часовые испытания на стенде.</w:t>
      </w:r>
    </w:p>
    <w:p w14:paraId="563F0DAB" w14:textId="77777777" w:rsidR="00B67F30" w:rsidRPr="00640820" w:rsidRDefault="00B67F30" w:rsidP="00640820">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Этот мотор считался «наиболее пригодным для установки на самолеты Ил-2 8 сравнении с мотором М-82,так как вторая скорость нагнетателя мотора М-82 на штурмовике практически не используется», в то же время «мотор с односкоростной передачей к нагнетателю более прост в производстве и более надежен в эксплуатации».</w:t>
      </w:r>
    </w:p>
    <w:p w14:paraId="4BFC3342" w14:textId="77777777" w:rsidR="00B67F30" w:rsidRPr="00640820" w:rsidRDefault="00B67F30" w:rsidP="00640820">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Однако окончательного решения принято не было. Сочли целесообразным сначала получить результаты 100-часовых совместных испытаний форсированного варианта мотора М-82-112И (взлетная мощность 1800 л.с.), а также государст</w:t>
      </w:r>
      <w:r w:rsidRPr="00640820">
        <w:rPr>
          <w:rFonts w:ascii="Times New Roman" w:hAnsi="Times New Roman" w:cs="Times New Roman"/>
          <w:color w:val="000000" w:themeColor="text1"/>
          <w:sz w:val="16"/>
          <w:szCs w:val="16"/>
        </w:rPr>
        <w:softHyphen/>
        <w:t>венных испытаний Ил-2 с М-82 (19111).</w:t>
      </w:r>
    </w:p>
    <w:p w14:paraId="25475886" w14:textId="77777777" w:rsidR="00B67F30" w:rsidRPr="00640820" w:rsidRDefault="00B67F30" w:rsidP="00640820">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3D1BD59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ноября 1941 г. Постановления</w:t>
      </w:r>
      <w:r w:rsidRPr="00640820">
        <w:rPr>
          <w:rFonts w:ascii="Times New Roman" w:hAnsi="Times New Roman"/>
          <w:color w:val="000000" w:themeColor="text1"/>
          <w:sz w:val="16"/>
          <w:szCs w:val="16"/>
        </w:rPr>
        <w:softHyphen/>
        <w:t>ми ГКО серийное производство Ил-2 М-82 разворачивалось на заводах № 135 в Перми и № 381 в Нижнем Тагиле. Передачу Ил-2 М-82 военным требовалось обеспечить уже с февраля 1942 г. (11474,247).</w:t>
      </w:r>
    </w:p>
    <w:p w14:paraId="6FDDAB3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FE41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ноября 1941 г. Постановлениями ГКО серийное производство Ил-2 М-82 разворачивалось на заводах № 135 в Перми и № 381 в Нижнем Тагиле. Передачу Ил-2 М-82 военным требовалось обеспечить уже с февраля 1942 г. Еще через неделю директору завода № 1 А.Т. Третьякову приказывалось немедленно прекратить выпуск истребителей МиГ-3 и полностью сосредоточиться на производстве штурмовиков Ил-2 АМ-38 (11921).</w:t>
      </w:r>
    </w:p>
    <w:p w14:paraId="2610D6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EFFC2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ноября 1941 г. Постановлениями ГКО серийное производство Ил- 2 М-82 разворачивалось на заводах №135 в Перми и №381 в Нижнем Тагиле. Передачу Ил-2 М-82 военным требовалось обеспечить уже с февраля 1942 г. (12020).</w:t>
      </w:r>
    </w:p>
    <w:p w14:paraId="64DF63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8EC48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ноября 1941 г. ГКО заслушивал в Куйбышеве директора завода № 135 И.М.Кузина, доложившего о трудностях, связанных с восстановлением производства самолетов. Стало ясно, что до конца месяца ни одного Су-2 фронт не получит. По мнению секретаря Молотовского обкома ВКП(б) Н.И.Гусарова, из тружеников различных эвакуированных предприятий так и не удалось создать единый производственный коллектив. После бурной дискуссии ГКО принимает два постановления. В первом говорится о неоходимости установить и отработать перспективный мотор М-82 на самолеты ТБ-7, 103, Ил-2 и ДБ-3Ф. В документе - ни слова о Су-2, хотя уже в сентябре на заводе в Харькове собрали два первых серийных Су-2 М-82, а в Молотове имелся хороший задел для производства этих машин. Текст второго постановления оказался еще более суровым для П.О.Сухого: завод № 135 должен немедленно развернуть производство Ил-2 с мотором М-82, при этом выпуск Су-2 прекращался (5360).</w:t>
      </w:r>
    </w:p>
    <w:p w14:paraId="4BAA2F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AFDC4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ноября 1941 г. члены ГКО заслушивал директора завода № 135 И.М. Кузина, доложившего о трудностях с восстановлением производства. Стало ясно, что до конца месяца ни одного Су-2 фронт не получит. По мнению секретаря Молотовскогообкома ВКП(б) Н.И. Гусарова, изтру- жеников различных эвакуированных предприятий не удалось создать единый производственный коллектив. После бурной дискуссии ГКО принимает два постановления. В первом говорится о необходимости установить и отработать перспективный мотор М-82 на самолеты ТБ-7,103, Ил-2 и ДБ-ЗФ. В документе нет ни слова о Су-2, хотя уже в сентябре собрали два первых серийных Су-2 М-82 в Харькове и в Молотове имелся хороший задел для производства этих машин. Текст второго постановления оказался еще более суровым для П.О. Сухого: завод № 135 должен немедленно развернуть производство Ил-2 с мотором М-82, а выпуск Су-2 прекратить (12028).</w:t>
      </w:r>
    </w:p>
    <w:p w14:paraId="546A68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139074B" w14:textId="77777777" w:rsidR="00ED49A4" w:rsidRPr="00640820" w:rsidRDefault="00ED49A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ноября 1941 г. вышло постановление ГКО № 916 «О постановке производства самолёта Ил-2 с мотором М-82 на заводе 135» вместо Су-2 и одновременно постановление № 915 «О по</w:t>
      </w:r>
      <w:r w:rsidRPr="00640820">
        <w:rPr>
          <w:rFonts w:ascii="Times New Roman" w:hAnsi="Times New Roman"/>
          <w:color w:val="000000" w:themeColor="text1"/>
          <w:sz w:val="16"/>
          <w:szCs w:val="16"/>
        </w:rPr>
        <w:softHyphen/>
        <w:t>становке моторов М-82 на самолётах ТБ-7, 103, Ил-2 и ДБ-ЗФ». В соответствии с последним предписывалось (приказ НКАП № 1147 от 20.11.41 г.): «1. Директору завода № 124 тов. Окулову и главному конструктору тов. Незвалю обеспечить срочную установку и отработку моторов М-82 на самолёте ТБ-7 (15788).</w:t>
      </w:r>
    </w:p>
    <w:p w14:paraId="53D99293" w14:textId="77777777" w:rsidR="00ED49A4" w:rsidRPr="00640820" w:rsidRDefault="00ED49A4" w:rsidP="00640820">
      <w:pPr>
        <w:spacing w:after="0" w:line="240" w:lineRule="auto"/>
        <w:jc w:val="both"/>
        <w:rPr>
          <w:rFonts w:ascii="Times New Roman" w:hAnsi="Times New Roman"/>
          <w:color w:val="000000" w:themeColor="text1"/>
          <w:sz w:val="16"/>
          <w:szCs w:val="16"/>
        </w:rPr>
      </w:pPr>
    </w:p>
    <w:p w14:paraId="5CD8F26F" w14:textId="77777777" w:rsidR="00ED49A4" w:rsidRPr="00640820" w:rsidRDefault="00ED49A4" w:rsidP="00640820">
      <w:pPr>
        <w:pStyle w:val="a3"/>
        <w:rPr>
          <w:color w:val="000000" w:themeColor="text1"/>
          <w:lang w:val="ru-RU"/>
        </w:rPr>
      </w:pPr>
      <w:r w:rsidRPr="00640820">
        <w:rPr>
          <w:color w:val="000000" w:themeColor="text1"/>
          <w:lang w:val="ru-RU"/>
        </w:rPr>
        <w:t>19 ноября 1941 года ГКО СССР принял постановление, согласно которому заводу № 135 надлежало приступить к серийному выпуску бронированного штурмовика Ил-2 М-82 с 15 фев</w:t>
      </w:r>
      <w:r w:rsidRPr="00640820">
        <w:rPr>
          <w:color w:val="000000" w:themeColor="text1"/>
          <w:lang w:val="ru-RU"/>
        </w:rPr>
        <w:softHyphen/>
        <w:t xml:space="preserve">раля 1942 года. Вместе с тем, заводу № 1 35 разрешалось изготовить некоторое количество самолётов Су-2, ограниченное имеющимся заделом. В результате завод изготовил в декабре 1941 года 15 самолётов Су-2, а в январе-феврале 1942 года - 40. Из них - 36 с мотором М-82, </w:t>
      </w:r>
      <w:r w:rsidRPr="00640820">
        <w:rPr>
          <w:rStyle w:val="2pt3"/>
          <w:rFonts w:ascii="Times New Roman" w:hAnsi="Times New Roman" w:cs="Times New Roman"/>
          <w:color w:val="000000" w:themeColor="text1"/>
          <w:spacing w:val="0"/>
          <w:lang w:val="ru-RU"/>
        </w:rPr>
        <w:t>2-с</w:t>
      </w:r>
      <w:r w:rsidRPr="00640820">
        <w:rPr>
          <w:color w:val="000000" w:themeColor="text1"/>
          <w:lang w:val="ru-RU"/>
        </w:rPr>
        <w:t xml:space="preserve"> М-88, 2-М-89.</w:t>
      </w:r>
    </w:p>
    <w:p w14:paraId="09D96EC9" w14:textId="77777777" w:rsidR="00ED49A4" w:rsidRPr="00640820" w:rsidRDefault="00ED49A4" w:rsidP="00640820">
      <w:pPr>
        <w:pStyle w:val="a3"/>
        <w:rPr>
          <w:color w:val="000000" w:themeColor="text1"/>
          <w:lang w:val="ru-RU"/>
        </w:rPr>
      </w:pPr>
      <w:r w:rsidRPr="00640820">
        <w:rPr>
          <w:color w:val="000000" w:themeColor="text1"/>
          <w:lang w:val="ru-RU"/>
        </w:rPr>
        <w:t>Всего же за 1941 год завод № 1 35 выпустил 635 самолётов Су-2, при плане 1068; завод №207 - 89, при плане 1 15; завод №31 - 4 самолёта (15975).</w:t>
      </w:r>
    </w:p>
    <w:p w14:paraId="757BBC0E" w14:textId="77777777" w:rsidR="00ED49A4" w:rsidRPr="00640820" w:rsidRDefault="00ED49A4" w:rsidP="00640820">
      <w:pPr>
        <w:pStyle w:val="a3"/>
        <w:rPr>
          <w:color w:val="000000" w:themeColor="text1"/>
          <w:lang w:val="ru-RU"/>
        </w:rPr>
      </w:pPr>
    </w:p>
    <w:p w14:paraId="26EA5747" w14:textId="77777777" w:rsidR="00ED49A4" w:rsidRPr="00640820" w:rsidRDefault="00ED49A4"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19 ноября 1941 г. постановлением ГКО серийный выпуск Су-2 был прекращен (15755).</w:t>
      </w:r>
    </w:p>
    <w:p w14:paraId="072311BE" w14:textId="77777777" w:rsidR="00ED49A4" w:rsidRPr="00640820" w:rsidRDefault="00ED49A4" w:rsidP="00640820">
      <w:pPr>
        <w:pStyle w:val="27"/>
        <w:shd w:val="clear" w:color="auto" w:fill="auto"/>
        <w:spacing w:after="0" w:line="240" w:lineRule="auto"/>
        <w:ind w:firstLine="0"/>
        <w:rPr>
          <w:rFonts w:ascii="Times New Roman" w:cs="Times New Roman"/>
          <w:color w:val="000000" w:themeColor="text1"/>
          <w:spacing w:val="0"/>
        </w:rPr>
      </w:pPr>
    </w:p>
    <w:p w14:paraId="676C5C6B" w14:textId="77777777" w:rsidR="00ED49A4" w:rsidRPr="00640820" w:rsidRDefault="00ED49A4" w:rsidP="00640820">
      <w:pPr>
        <w:pStyle w:val="a3"/>
        <w:rPr>
          <w:color w:val="000000" w:themeColor="text1"/>
          <w:lang w:val="ru-RU"/>
        </w:rPr>
      </w:pPr>
      <w:r w:rsidRPr="00640820">
        <w:rPr>
          <w:color w:val="000000" w:themeColor="text1"/>
          <w:lang w:val="ru-RU"/>
        </w:rPr>
        <w:t>19 ноября 1941 г. вышло постановление ГКО № 916 «О постановке производства самолёта Ил-2 с мотором М-82 на заводе 135» вместо Су-2 и одновременно постановление № 915 «О по</w:t>
      </w:r>
      <w:r w:rsidRPr="00640820">
        <w:rPr>
          <w:color w:val="000000" w:themeColor="text1"/>
          <w:lang w:val="ru-RU"/>
        </w:rPr>
        <w:softHyphen/>
        <w:t>становке моторов М-82 на самолётах ТБ-7, 103, Ил-2 и ДБ-ЗФ». В соответствии с последним предписывалось (приказ НКАП № 1147 от 20.11.41 г.):</w:t>
      </w:r>
    </w:p>
    <w:p w14:paraId="43227021" w14:textId="77777777" w:rsidR="00ED49A4" w:rsidRPr="00640820" w:rsidRDefault="00ED49A4" w:rsidP="00640820">
      <w:pPr>
        <w:pStyle w:val="a3"/>
        <w:rPr>
          <w:color w:val="000000" w:themeColor="text1"/>
          <w:lang w:val="ru-RU"/>
        </w:rPr>
      </w:pPr>
      <w:r w:rsidRPr="00640820">
        <w:rPr>
          <w:color w:val="000000" w:themeColor="text1"/>
          <w:lang w:val="ru-RU"/>
        </w:rPr>
        <w:t>«1. Директору завода № 124 тов. Окулову и главному конструктору тов. Незвалю обеспечить срочную установку и отработку моторов М-82 на самолёте ТБ-7.М-82: трудная дорога на фронт советской двухрядной «звезды»</w:t>
      </w:r>
    </w:p>
    <w:p w14:paraId="1B34741D" w14:textId="77777777" w:rsidR="00ED49A4" w:rsidRPr="00640820" w:rsidRDefault="00ED49A4" w:rsidP="00640820">
      <w:pPr>
        <w:pStyle w:val="a3"/>
        <w:rPr>
          <w:color w:val="000000" w:themeColor="text1"/>
          <w:lang w:val="ru-RU"/>
        </w:rPr>
      </w:pPr>
      <w:r w:rsidRPr="00640820">
        <w:rPr>
          <w:color w:val="000000" w:themeColor="text1"/>
          <w:lang w:val="ru-RU"/>
        </w:rPr>
        <w:t>Материалы испытания самолёта ТБ-7 с М-82 представить к 15 декабря 1941 г. Обес- нить немедленную подготовку производства по переводу самолёта ТБ-7 на моторы 1-82 и начать серийный выпуск самолётов с этими моторами с 1 января 1942 г.</w:t>
      </w:r>
    </w:p>
    <w:p w14:paraId="46573302" w14:textId="77777777" w:rsidR="00ED49A4" w:rsidRPr="00640820" w:rsidRDefault="00ED49A4" w:rsidP="00640820">
      <w:pPr>
        <w:pStyle w:val="a3"/>
        <w:tabs>
          <w:tab w:val="left" w:pos="500"/>
        </w:tabs>
        <w:rPr>
          <w:color w:val="000000" w:themeColor="text1"/>
          <w:lang w:val="ru-RU"/>
        </w:rPr>
      </w:pPr>
      <w:r w:rsidRPr="00640820">
        <w:rPr>
          <w:color w:val="000000" w:themeColor="text1"/>
          <w:lang w:val="ru-RU"/>
        </w:rPr>
        <w:t>2. Директору завода № 166 тов. Соколову и главному конструктору тов. Туполеву эвести испытание самолёта «103» с мотором М-82, результаты испытания представить не позднее 20 декабря с/г.</w:t>
      </w:r>
    </w:p>
    <w:p w14:paraId="1A4CAF97" w14:textId="77777777" w:rsidR="00ED49A4" w:rsidRPr="00640820" w:rsidRDefault="00ED49A4" w:rsidP="00640820">
      <w:pPr>
        <w:pStyle w:val="a3"/>
        <w:rPr>
          <w:color w:val="000000" w:themeColor="text1"/>
          <w:lang w:val="ru-RU"/>
        </w:rPr>
      </w:pPr>
      <w:r w:rsidRPr="00640820">
        <w:rPr>
          <w:color w:val="000000" w:themeColor="text1"/>
          <w:lang w:val="ru-RU"/>
        </w:rPr>
        <w:t>Обеспечить немедленный переход на серийный выпуск самолётов «103» с М-82.</w:t>
      </w:r>
    </w:p>
    <w:p w14:paraId="0AF901DC" w14:textId="77777777" w:rsidR="00ED49A4" w:rsidRPr="00640820" w:rsidRDefault="00ED49A4" w:rsidP="00640820">
      <w:pPr>
        <w:pStyle w:val="a3"/>
        <w:tabs>
          <w:tab w:val="left" w:pos="481"/>
        </w:tabs>
        <w:rPr>
          <w:color w:val="000000" w:themeColor="text1"/>
          <w:lang w:val="ru-RU"/>
        </w:rPr>
      </w:pPr>
      <w:r w:rsidRPr="00640820">
        <w:rPr>
          <w:color w:val="000000" w:themeColor="text1"/>
          <w:lang w:val="ru-RU"/>
        </w:rPr>
        <w:t>3. Директору завода № 381 тов. Журавлеву и главному конструктору самолёта Ил-2 Ильюшину закончить испытания самолёта Ил-2 с мотором М-82 не позднее 10 декабря с/г и обеспечить серийный выпуск самолёта Ил-2 с 1 февраля 1942 г. с М-82.</w:t>
      </w:r>
    </w:p>
    <w:p w14:paraId="0DC90BC6" w14:textId="77777777" w:rsidR="00ED49A4" w:rsidRPr="00640820" w:rsidRDefault="00ED49A4" w:rsidP="00640820">
      <w:pPr>
        <w:pStyle w:val="a3"/>
        <w:tabs>
          <w:tab w:val="left" w:pos="510"/>
        </w:tabs>
        <w:rPr>
          <w:color w:val="000000" w:themeColor="text1"/>
          <w:lang w:val="ru-RU"/>
        </w:rPr>
      </w:pPr>
      <w:r w:rsidRPr="00640820">
        <w:rPr>
          <w:color w:val="000000" w:themeColor="text1"/>
          <w:lang w:val="ru-RU"/>
        </w:rPr>
        <w:t>4. Директору завода № 126 тов. Тимофееву и главному конструктору самолёта ДБ-ЗФ эв. Ильюшину провести установку и отработку моторов М-82 на самолёте ДБ-ЗФ. Результат испытания самолёта ДБ-ЗФ с мотором М-82 представить к 15 января 1942 г. Провести подготовку к серийному выпуску самолётов ДБ-ЗФ с моторами М-82 и обеспечить серийный выпуск самолётов с этими моторами с 1 марта 1942 г.» (15788).</w:t>
      </w:r>
    </w:p>
    <w:p w14:paraId="74D55CE7" w14:textId="77777777" w:rsidR="00ED49A4" w:rsidRPr="00640820" w:rsidRDefault="00ED49A4" w:rsidP="00640820">
      <w:pPr>
        <w:pStyle w:val="a3"/>
        <w:tabs>
          <w:tab w:val="left" w:pos="510"/>
        </w:tabs>
        <w:rPr>
          <w:color w:val="000000" w:themeColor="text1"/>
          <w:lang w:val="ru-RU"/>
        </w:rPr>
      </w:pPr>
    </w:p>
    <w:p w14:paraId="385A10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ноября 1941 вышло Постановление ГКО № 915 О постановке моторов М-82 на самолетах ТБ-7, 103, Ил-2 и ДБ-ЗФ. РГАНИР, Фонд ГКО, д. 14, лл. 121 (11012).</w:t>
      </w:r>
    </w:p>
    <w:p w14:paraId="72262E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DE0CF51" w14:textId="77777777" w:rsidR="008E0427" w:rsidRPr="00640820" w:rsidRDefault="008E0427" w:rsidP="00640820">
      <w:pPr>
        <w:pStyle w:val="47"/>
        <w:shd w:val="clear" w:color="auto" w:fill="auto"/>
        <w:spacing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19 ноября 1941 вышло Постановление ГКО № 915 О постановке моторов М-82 на самолетах ТБ-7, 103, Ил-2 и ДБ-ЗФ</w:t>
      </w:r>
    </w:p>
    <w:p w14:paraId="747E3A27" w14:textId="77777777" w:rsidR="008E0427" w:rsidRPr="00640820" w:rsidRDefault="008E042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Народный Комиссариат Авиационной Промышленности:</w:t>
      </w:r>
    </w:p>
    <w:p w14:paraId="2989E14E" w14:textId="77777777" w:rsidR="008E0427" w:rsidRPr="00640820" w:rsidRDefault="008E042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 Директора завода № </w:t>
      </w:r>
      <w:r w:rsidRPr="00640820">
        <w:rPr>
          <w:rStyle w:val="0pt"/>
          <w:rFonts w:ascii="Times New Roman" w:hAnsi="Times New Roman" w:cs="Times New Roman"/>
          <w:color w:val="000000" w:themeColor="text1"/>
          <w:spacing w:val="0"/>
          <w:sz w:val="16"/>
          <w:szCs w:val="16"/>
        </w:rPr>
        <w:t>124</w:t>
      </w:r>
      <w:r w:rsidRPr="00640820">
        <w:rPr>
          <w:rFonts w:ascii="Times New Roman" w:hAnsi="Times New Roman"/>
          <w:color w:val="000000" w:themeColor="text1"/>
          <w:sz w:val="16"/>
          <w:szCs w:val="16"/>
        </w:rPr>
        <w:t xml:space="preserve"> тов.Окулова и Главного кон</w:t>
      </w:r>
      <w:r w:rsidRPr="00640820">
        <w:rPr>
          <w:rFonts w:ascii="Times New Roman" w:hAnsi="Times New Roman"/>
          <w:color w:val="000000" w:themeColor="text1"/>
          <w:sz w:val="16"/>
          <w:szCs w:val="16"/>
        </w:rPr>
        <w:softHyphen/>
        <w:t>структора тов.Незваль обеспечить срочную установку и отработ</w:t>
      </w:r>
      <w:r w:rsidRPr="00640820">
        <w:rPr>
          <w:rFonts w:ascii="Times New Roman" w:hAnsi="Times New Roman"/>
          <w:color w:val="000000" w:themeColor="text1"/>
          <w:sz w:val="16"/>
          <w:szCs w:val="16"/>
        </w:rPr>
        <w:softHyphen/>
        <w:t xml:space="preserve">ку моторов </w:t>
      </w:r>
      <w:r w:rsidRPr="00640820">
        <w:rPr>
          <w:rStyle w:val="0pt"/>
          <w:rFonts w:ascii="Times New Roman" w:hAnsi="Times New Roman" w:cs="Times New Roman"/>
          <w:color w:val="000000" w:themeColor="text1"/>
          <w:spacing w:val="0"/>
          <w:sz w:val="16"/>
          <w:szCs w:val="16"/>
        </w:rPr>
        <w:t>М-82</w:t>
      </w:r>
      <w:r w:rsidRPr="00640820">
        <w:rPr>
          <w:rFonts w:ascii="Times New Roman" w:hAnsi="Times New Roman"/>
          <w:color w:val="000000" w:themeColor="text1"/>
          <w:sz w:val="16"/>
          <w:szCs w:val="16"/>
        </w:rPr>
        <w:t xml:space="preserve"> на самолете ТБ-7.</w:t>
      </w:r>
    </w:p>
    <w:p w14:paraId="29953FFC" w14:textId="77777777" w:rsidR="008E0427" w:rsidRPr="00640820" w:rsidRDefault="008E042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Материалы испытания самолета ТБ-7 с моторами </w:t>
      </w:r>
      <w:r w:rsidRPr="00640820">
        <w:rPr>
          <w:rStyle w:val="0pt"/>
          <w:rFonts w:ascii="Times New Roman" w:hAnsi="Times New Roman" w:cs="Times New Roman"/>
          <w:color w:val="000000" w:themeColor="text1"/>
          <w:spacing w:val="0"/>
          <w:sz w:val="16"/>
          <w:szCs w:val="16"/>
        </w:rPr>
        <w:t>М-82</w:t>
      </w:r>
      <w:r w:rsidRPr="00640820">
        <w:rPr>
          <w:rFonts w:ascii="Times New Roman" w:hAnsi="Times New Roman"/>
          <w:color w:val="000000" w:themeColor="text1"/>
          <w:sz w:val="16"/>
          <w:szCs w:val="16"/>
        </w:rPr>
        <w:t xml:space="preserve"> пред</w:t>
      </w:r>
      <w:r w:rsidRPr="00640820">
        <w:rPr>
          <w:rFonts w:ascii="Times New Roman" w:hAnsi="Times New Roman"/>
          <w:color w:val="000000" w:themeColor="text1"/>
          <w:sz w:val="16"/>
          <w:szCs w:val="16"/>
        </w:rPr>
        <w:softHyphen/>
        <w:t xml:space="preserve">ставить к 15 декабря с.г. Обеспечить немедленную подготовку производства по переводу самолета ТБ-7 на моторы </w:t>
      </w:r>
      <w:r w:rsidRPr="00640820">
        <w:rPr>
          <w:rStyle w:val="0pt"/>
          <w:rFonts w:ascii="Times New Roman" w:hAnsi="Times New Roman" w:cs="Times New Roman"/>
          <w:color w:val="000000" w:themeColor="text1"/>
          <w:spacing w:val="0"/>
          <w:sz w:val="16"/>
          <w:szCs w:val="16"/>
        </w:rPr>
        <w:t>М-82</w:t>
      </w:r>
      <w:r w:rsidRPr="00640820">
        <w:rPr>
          <w:rFonts w:ascii="Times New Roman" w:hAnsi="Times New Roman"/>
          <w:color w:val="000000" w:themeColor="text1"/>
          <w:sz w:val="16"/>
          <w:szCs w:val="16"/>
        </w:rPr>
        <w:t xml:space="preserve"> и на</w:t>
      </w:r>
      <w:r w:rsidRPr="00640820">
        <w:rPr>
          <w:rFonts w:ascii="Times New Roman" w:hAnsi="Times New Roman"/>
          <w:color w:val="000000" w:themeColor="text1"/>
          <w:sz w:val="16"/>
          <w:szCs w:val="16"/>
        </w:rPr>
        <w:softHyphen/>
        <w:t>чать серийный выпуск самолетов с этими моторами с 1-го января</w:t>
      </w:r>
      <w:r w:rsidR="00046272" w:rsidRPr="00640820">
        <w:rPr>
          <w:rFonts w:ascii="Times New Roman" w:hAnsi="Times New Roman"/>
          <w:color w:val="000000" w:themeColor="text1"/>
          <w:sz w:val="16"/>
          <w:szCs w:val="16"/>
        </w:rPr>
        <w:t xml:space="preserve"> 1942</w:t>
      </w:r>
    </w:p>
    <w:p w14:paraId="5DC4676F" w14:textId="77777777" w:rsidR="008E0427" w:rsidRPr="00640820" w:rsidRDefault="008E0427" w:rsidP="00640820">
      <w:pPr>
        <w:tabs>
          <w:tab w:val="left" w:pos="1058"/>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 Директора завода № </w:t>
      </w:r>
      <w:r w:rsidRPr="00640820">
        <w:rPr>
          <w:rStyle w:val="0pt"/>
          <w:rFonts w:ascii="Times New Roman" w:hAnsi="Times New Roman" w:cs="Times New Roman"/>
          <w:color w:val="000000" w:themeColor="text1"/>
          <w:spacing w:val="0"/>
          <w:sz w:val="16"/>
          <w:szCs w:val="16"/>
        </w:rPr>
        <w:t>166</w:t>
      </w:r>
      <w:r w:rsidRPr="00640820">
        <w:rPr>
          <w:rFonts w:ascii="Times New Roman" w:hAnsi="Times New Roman"/>
          <w:color w:val="000000" w:themeColor="text1"/>
          <w:sz w:val="16"/>
          <w:szCs w:val="16"/>
        </w:rPr>
        <w:t xml:space="preserve"> тов.Соколова и Главного кон</w:t>
      </w:r>
      <w:r w:rsidRPr="00640820">
        <w:rPr>
          <w:rFonts w:ascii="Times New Roman" w:hAnsi="Times New Roman"/>
          <w:color w:val="000000" w:themeColor="text1"/>
          <w:sz w:val="16"/>
          <w:szCs w:val="16"/>
        </w:rPr>
        <w:softHyphen/>
        <w:t xml:space="preserve">структора тов.Туполева провести испытания самолета "103" с мотором </w:t>
      </w:r>
      <w:r w:rsidRPr="00640820">
        <w:rPr>
          <w:rStyle w:val="0pt"/>
          <w:rFonts w:ascii="Times New Roman" w:hAnsi="Times New Roman" w:cs="Times New Roman"/>
          <w:color w:val="000000" w:themeColor="text1"/>
          <w:spacing w:val="0"/>
          <w:sz w:val="16"/>
          <w:szCs w:val="16"/>
        </w:rPr>
        <w:t>М-82,</w:t>
      </w:r>
      <w:r w:rsidRPr="00640820">
        <w:rPr>
          <w:rFonts w:ascii="Times New Roman" w:hAnsi="Times New Roman"/>
          <w:color w:val="000000" w:themeColor="text1"/>
          <w:sz w:val="16"/>
          <w:szCs w:val="16"/>
        </w:rPr>
        <w:t xml:space="preserve"> результаты испытаний представить не позднее 20-го декабря с.г.</w:t>
      </w:r>
    </w:p>
    <w:p w14:paraId="52C0F2B4" w14:textId="77777777" w:rsidR="008E0427" w:rsidRPr="00640820" w:rsidRDefault="008E042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Обеспечить немедленный переход на серийный выпуск само</w:t>
      </w:r>
      <w:r w:rsidRPr="00640820">
        <w:rPr>
          <w:rFonts w:ascii="Times New Roman" w:hAnsi="Times New Roman"/>
          <w:color w:val="000000" w:themeColor="text1"/>
          <w:sz w:val="16"/>
          <w:szCs w:val="16"/>
        </w:rPr>
        <w:softHyphen/>
        <w:t xml:space="preserve">летов "103" с мотором </w:t>
      </w:r>
      <w:r w:rsidRPr="00640820">
        <w:rPr>
          <w:rStyle w:val="0pt"/>
          <w:rFonts w:ascii="Times New Roman" w:hAnsi="Times New Roman" w:cs="Times New Roman"/>
          <w:color w:val="000000" w:themeColor="text1"/>
          <w:spacing w:val="0"/>
          <w:sz w:val="16"/>
          <w:szCs w:val="16"/>
        </w:rPr>
        <w:t>М-82.</w:t>
      </w:r>
    </w:p>
    <w:p w14:paraId="4F2BB403" w14:textId="77777777" w:rsidR="008E0427" w:rsidRPr="00640820" w:rsidRDefault="008E0427" w:rsidP="00640820">
      <w:pPr>
        <w:tabs>
          <w:tab w:val="left" w:pos="1043"/>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 Директора завода № </w:t>
      </w:r>
      <w:r w:rsidRPr="00640820">
        <w:rPr>
          <w:rStyle w:val="0pt"/>
          <w:rFonts w:ascii="Times New Roman" w:hAnsi="Times New Roman" w:cs="Times New Roman"/>
          <w:color w:val="000000" w:themeColor="text1"/>
          <w:spacing w:val="0"/>
          <w:sz w:val="16"/>
          <w:szCs w:val="16"/>
        </w:rPr>
        <w:t>381</w:t>
      </w:r>
      <w:r w:rsidRPr="00640820">
        <w:rPr>
          <w:rFonts w:ascii="Times New Roman" w:hAnsi="Times New Roman"/>
          <w:color w:val="000000" w:themeColor="text1"/>
          <w:sz w:val="16"/>
          <w:szCs w:val="16"/>
        </w:rPr>
        <w:t xml:space="preserve"> т.Журавлева и Главного конст</w:t>
      </w:r>
      <w:r w:rsidRPr="00640820">
        <w:rPr>
          <w:rFonts w:ascii="Times New Roman" w:hAnsi="Times New Roman"/>
          <w:color w:val="000000" w:themeColor="text1"/>
          <w:sz w:val="16"/>
          <w:szCs w:val="16"/>
        </w:rPr>
        <w:softHyphen/>
        <w:t>руктора самолета Ил-2 т.Ильюшина закончить испытания самоле</w:t>
      </w:r>
      <w:r w:rsidRPr="00640820">
        <w:rPr>
          <w:rFonts w:ascii="Times New Roman" w:hAnsi="Times New Roman"/>
          <w:color w:val="000000" w:themeColor="text1"/>
          <w:sz w:val="16"/>
          <w:szCs w:val="16"/>
        </w:rPr>
        <w:softHyphen/>
        <w:t xml:space="preserve">та Ил-2 с мотором </w:t>
      </w:r>
      <w:r w:rsidRPr="00640820">
        <w:rPr>
          <w:rStyle w:val="0pt"/>
          <w:rFonts w:ascii="Times New Roman" w:hAnsi="Times New Roman" w:cs="Times New Roman"/>
          <w:color w:val="000000" w:themeColor="text1"/>
          <w:spacing w:val="0"/>
          <w:sz w:val="16"/>
          <w:szCs w:val="16"/>
        </w:rPr>
        <w:t>М-82</w:t>
      </w:r>
      <w:r w:rsidRPr="00640820">
        <w:rPr>
          <w:rFonts w:ascii="Times New Roman" w:hAnsi="Times New Roman"/>
          <w:color w:val="000000" w:themeColor="text1"/>
          <w:sz w:val="16"/>
          <w:szCs w:val="16"/>
        </w:rPr>
        <w:t xml:space="preserve"> не позднее 10 декабря с.г. и обеспечить серийный выпуск самолета Ил-2 с 1 февраля </w:t>
      </w:r>
      <w:r w:rsidRPr="00640820">
        <w:rPr>
          <w:rStyle w:val="0pt"/>
          <w:rFonts w:ascii="Times New Roman" w:hAnsi="Times New Roman" w:cs="Times New Roman"/>
          <w:color w:val="000000" w:themeColor="text1"/>
          <w:spacing w:val="0"/>
          <w:sz w:val="16"/>
          <w:szCs w:val="16"/>
        </w:rPr>
        <w:t>1942</w:t>
      </w:r>
      <w:r w:rsidRPr="00640820">
        <w:rPr>
          <w:rFonts w:ascii="Times New Roman" w:hAnsi="Times New Roman"/>
          <w:color w:val="000000" w:themeColor="text1"/>
          <w:sz w:val="16"/>
          <w:szCs w:val="16"/>
        </w:rPr>
        <w:t xml:space="preserve"> года с мото</w:t>
      </w:r>
      <w:r w:rsidRPr="00640820">
        <w:rPr>
          <w:rFonts w:ascii="Times New Roman" w:hAnsi="Times New Roman"/>
          <w:color w:val="000000" w:themeColor="text1"/>
          <w:sz w:val="16"/>
          <w:szCs w:val="16"/>
        </w:rPr>
        <w:softHyphen/>
        <w:t xml:space="preserve">ром </w:t>
      </w:r>
      <w:r w:rsidRPr="00640820">
        <w:rPr>
          <w:rStyle w:val="0pt"/>
          <w:rFonts w:ascii="Times New Roman" w:hAnsi="Times New Roman" w:cs="Times New Roman"/>
          <w:color w:val="000000" w:themeColor="text1"/>
          <w:spacing w:val="0"/>
          <w:sz w:val="16"/>
          <w:szCs w:val="16"/>
        </w:rPr>
        <w:t>М-82.</w:t>
      </w:r>
    </w:p>
    <w:p w14:paraId="5AA5C203" w14:textId="77777777" w:rsidR="008E0427" w:rsidRPr="00640820" w:rsidRDefault="008E0427" w:rsidP="00640820">
      <w:pPr>
        <w:tabs>
          <w:tab w:val="left" w:pos="1043"/>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4. Директора завода № </w:t>
      </w:r>
      <w:r w:rsidRPr="00640820">
        <w:rPr>
          <w:rStyle w:val="0pt"/>
          <w:rFonts w:ascii="Times New Roman" w:hAnsi="Times New Roman" w:cs="Times New Roman"/>
          <w:color w:val="000000" w:themeColor="text1"/>
          <w:spacing w:val="0"/>
          <w:sz w:val="16"/>
          <w:szCs w:val="16"/>
        </w:rPr>
        <w:t>126</w:t>
      </w:r>
      <w:r w:rsidRPr="00640820">
        <w:rPr>
          <w:rFonts w:ascii="Times New Roman" w:hAnsi="Times New Roman"/>
          <w:color w:val="000000" w:themeColor="text1"/>
          <w:sz w:val="16"/>
          <w:szCs w:val="16"/>
        </w:rPr>
        <w:t xml:space="preserve"> т.Тимофеева и Главного конст</w:t>
      </w:r>
      <w:r w:rsidRPr="00640820">
        <w:rPr>
          <w:rFonts w:ascii="Times New Roman" w:hAnsi="Times New Roman"/>
          <w:color w:val="000000" w:themeColor="text1"/>
          <w:sz w:val="16"/>
          <w:szCs w:val="16"/>
        </w:rPr>
        <w:softHyphen/>
        <w:t>руктора самолета ДБ-ЗФ т.Ильюшина провести установку и отра</w:t>
      </w:r>
      <w:r w:rsidRPr="00640820">
        <w:rPr>
          <w:rFonts w:ascii="Times New Roman" w:hAnsi="Times New Roman"/>
          <w:color w:val="000000" w:themeColor="text1"/>
          <w:sz w:val="16"/>
          <w:szCs w:val="16"/>
        </w:rPr>
        <w:softHyphen/>
        <w:t xml:space="preserve">ботку моторов </w:t>
      </w:r>
      <w:r w:rsidRPr="00640820">
        <w:rPr>
          <w:rStyle w:val="0pt"/>
          <w:rFonts w:ascii="Times New Roman" w:hAnsi="Times New Roman" w:cs="Times New Roman"/>
          <w:color w:val="000000" w:themeColor="text1"/>
          <w:spacing w:val="0"/>
          <w:sz w:val="16"/>
          <w:szCs w:val="16"/>
        </w:rPr>
        <w:t>М-82</w:t>
      </w:r>
      <w:r w:rsidRPr="00640820">
        <w:rPr>
          <w:rFonts w:ascii="Times New Roman" w:hAnsi="Times New Roman"/>
          <w:color w:val="000000" w:themeColor="text1"/>
          <w:sz w:val="16"/>
          <w:szCs w:val="16"/>
        </w:rPr>
        <w:t xml:space="preserve"> на самолете ДБ-ЗФ. Результаты испытаний самолета ДБ-ЗФ с моторами </w:t>
      </w:r>
      <w:r w:rsidRPr="00640820">
        <w:rPr>
          <w:rStyle w:val="0pt"/>
          <w:rFonts w:ascii="Times New Roman" w:hAnsi="Times New Roman" w:cs="Times New Roman"/>
          <w:color w:val="000000" w:themeColor="text1"/>
          <w:spacing w:val="0"/>
          <w:sz w:val="16"/>
          <w:szCs w:val="16"/>
        </w:rPr>
        <w:t>М-82</w:t>
      </w:r>
      <w:r w:rsidRPr="00640820">
        <w:rPr>
          <w:rFonts w:ascii="Times New Roman" w:hAnsi="Times New Roman"/>
          <w:color w:val="000000" w:themeColor="text1"/>
          <w:sz w:val="16"/>
          <w:szCs w:val="16"/>
        </w:rPr>
        <w:t xml:space="preserve"> представить к 15 января </w:t>
      </w:r>
      <w:r w:rsidRPr="00640820">
        <w:rPr>
          <w:rStyle w:val="0pt"/>
          <w:rFonts w:ascii="Times New Roman" w:hAnsi="Times New Roman" w:cs="Times New Roman"/>
          <w:color w:val="000000" w:themeColor="text1"/>
          <w:spacing w:val="0"/>
          <w:sz w:val="16"/>
          <w:szCs w:val="16"/>
        </w:rPr>
        <w:t xml:space="preserve">1942 </w:t>
      </w:r>
      <w:r w:rsidRPr="00640820">
        <w:rPr>
          <w:rFonts w:ascii="Times New Roman" w:hAnsi="Times New Roman"/>
          <w:color w:val="000000" w:themeColor="text1"/>
          <w:sz w:val="16"/>
          <w:szCs w:val="16"/>
        </w:rPr>
        <w:t>года.</w:t>
      </w:r>
    </w:p>
    <w:p w14:paraId="2410CEA6" w14:textId="77777777" w:rsidR="008E0427" w:rsidRPr="00640820" w:rsidRDefault="008E0427" w:rsidP="00640820">
      <w:pPr>
        <w:pStyle w:val="47"/>
        <w:shd w:val="clear" w:color="auto" w:fill="auto"/>
        <w:spacing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lastRenderedPageBreak/>
        <w:t>Провести подготовку к серийному выпуску самолетов ДБ-ЗФ с моторами М-82 и обеспечить серийный выпуск самолетов с эти</w:t>
      </w:r>
      <w:r w:rsidRPr="00640820">
        <w:rPr>
          <w:rFonts w:ascii="Times New Roman" w:hAnsi="Times New Roman" w:cs="Times New Roman"/>
          <w:color w:val="000000" w:themeColor="text1"/>
          <w:sz w:val="16"/>
          <w:szCs w:val="16"/>
        </w:rPr>
        <w:softHyphen/>
        <w:t xml:space="preserve">ми моторами </w:t>
      </w:r>
      <w:r w:rsidRPr="00640820">
        <w:rPr>
          <w:rFonts w:ascii="Times New Roman" w:hAnsi="Times New Roman" w:cs="Times New Roman"/>
          <w:color w:val="000000" w:themeColor="text1"/>
          <w:sz w:val="16"/>
          <w:szCs w:val="16"/>
          <w:lang w:val="en-US"/>
        </w:rPr>
        <w:t>c</w:t>
      </w:r>
      <w:r w:rsidRPr="00640820">
        <w:rPr>
          <w:rFonts w:ascii="Times New Roman" w:hAnsi="Times New Roman" w:cs="Times New Roman"/>
          <w:color w:val="000000" w:themeColor="text1"/>
          <w:sz w:val="16"/>
          <w:szCs w:val="16"/>
        </w:rPr>
        <w:t xml:space="preserve"> 1 марта </w:t>
      </w:r>
      <w:r w:rsidRPr="00640820">
        <w:rPr>
          <w:rStyle w:val="0pt"/>
          <w:rFonts w:ascii="Times New Roman" w:hAnsi="Times New Roman" w:cs="Times New Roman"/>
          <w:color w:val="000000" w:themeColor="text1"/>
          <w:spacing w:val="0"/>
          <w:sz w:val="16"/>
          <w:szCs w:val="16"/>
        </w:rPr>
        <w:t>1942</w:t>
      </w:r>
      <w:r w:rsidRPr="00640820">
        <w:rPr>
          <w:rFonts w:ascii="Times New Roman" w:hAnsi="Times New Roman" w:cs="Times New Roman"/>
          <w:color w:val="000000" w:themeColor="text1"/>
          <w:sz w:val="16"/>
          <w:szCs w:val="16"/>
        </w:rPr>
        <w:t xml:space="preserve"> года (19281).</w:t>
      </w:r>
    </w:p>
    <w:p w14:paraId="33D47CD0" w14:textId="77777777" w:rsidR="008E0427" w:rsidRPr="00640820" w:rsidRDefault="008E0427" w:rsidP="00640820">
      <w:pPr>
        <w:pStyle w:val="47"/>
        <w:shd w:val="clear" w:color="auto" w:fill="auto"/>
        <w:spacing w:line="240" w:lineRule="auto"/>
        <w:ind w:firstLine="0"/>
        <w:jc w:val="both"/>
        <w:rPr>
          <w:rFonts w:ascii="Times New Roman" w:hAnsi="Times New Roman" w:cs="Times New Roman"/>
          <w:color w:val="000000" w:themeColor="text1"/>
          <w:sz w:val="16"/>
          <w:szCs w:val="16"/>
        </w:rPr>
      </w:pPr>
    </w:p>
    <w:p w14:paraId="79C50E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ноября 1941 вышло постановление ГКО N 915cc об установке на Пе-8 4хМ-82 21 завода (994,8).</w:t>
      </w:r>
    </w:p>
    <w:p w14:paraId="17C953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18720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самом деле это было постановление ГКО N 915сс "О постановке моторов М-82 на самолетах ТБ-7, 103, Ил-2 и ДБ-3Ф" (1332,49).</w:t>
      </w:r>
    </w:p>
    <w:p w14:paraId="57E6B2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85D8F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ноября 1941 появились соответствующие Постановление ГКО №915 и 20 ноября 1941 Приказ НКАП №1147 по установке на самолеты М-82, в которых одним из пунктов упоминался и ТБ-7 (7685).</w:t>
      </w:r>
    </w:p>
    <w:p w14:paraId="484ED4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32FFC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ноября 1941 г. впервые появилось решение НКАП об использовании М-82 на Пе-8 (самолет именовался тогда еще ТБ-7). Однако перестраиваться на новую силовую установку начали лишь спустя почти десять месяцев. Процесс этот происходил болезненно - даже в начале 1943 г. существовало мнение о возможности выпуска дополнительной серии АМ- 35А. Поэтому в период с декабря 1942 г. по январь 1943 г. строительство самолетов велось без двигателей. Монтаж оборудования силовых установок и управления велся применительно к М-30 или М-82.</w:t>
      </w:r>
    </w:p>
    <w:p w14:paraId="32FC4E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Внедрение М-82 на авиазаводе №22 определили как 3-й период производства Пе-8, начавшийся 1 сентября 1942 г. По свидетельству И.Ф.Незваля полную разработку новой силовой установки в КБ решили не проводить. Были использованы чертежи монтажа М-82 на самолете Су-2, которые еще ранее получило конструкторское бюро С.В.Ильюшина для постановки на штурмовик Ил-2. При оборудовании Пе-8 из этих чертежей использовали ряд основных узлов подвески двигателей, его капотирования, системы управления, охлаждения и выхлопа (12025).</w:t>
      </w:r>
    </w:p>
    <w:p w14:paraId="14665C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5ED82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ноября 1941 вышло Постановление ГКО № 917 Об организации на площади завода № 124 НКАП в гор. Казани двух самолетостроительных заводов. РГАНИР, Фонд ГКО, д. 14, лл. 123 (11012).</w:t>
      </w:r>
    </w:p>
    <w:p w14:paraId="73AE89A3" w14:textId="77777777" w:rsidR="00820150" w:rsidRPr="00640820" w:rsidRDefault="00820150" w:rsidP="00640820">
      <w:pPr>
        <w:autoSpaceDE w:val="0"/>
        <w:autoSpaceDN w:val="0"/>
        <w:adjustRightInd w:val="0"/>
        <w:spacing w:after="0" w:line="240" w:lineRule="auto"/>
        <w:jc w:val="both"/>
        <w:rPr>
          <w:rFonts w:ascii="Times New Roman" w:hAnsi="Times New Roman"/>
          <w:color w:val="000000" w:themeColor="text1"/>
          <w:sz w:val="16"/>
          <w:szCs w:val="16"/>
        </w:rPr>
      </w:pPr>
    </w:p>
    <w:p w14:paraId="09E33558" w14:textId="77777777" w:rsidR="00820150" w:rsidRPr="00640820" w:rsidRDefault="00820150" w:rsidP="00640820">
      <w:pPr>
        <w:pStyle w:val="47"/>
        <w:shd w:val="clear" w:color="auto" w:fill="auto"/>
        <w:spacing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19 ноября 1941 вышло Постановление ГКО № 917 Об организации на площади завода № 124 НКАП в гор. Казани двух самолетостроительных заводов.</w:t>
      </w:r>
    </w:p>
    <w:p w14:paraId="6C821FA6" w14:textId="77777777" w:rsidR="00820150" w:rsidRPr="00640820" w:rsidRDefault="00820150" w:rsidP="00640820">
      <w:pPr>
        <w:tabs>
          <w:tab w:val="left" w:pos="965"/>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Создать в городе Казани на площади эавода 124 НКАП два самостоятельных самолетостроительных завода:</w:t>
      </w:r>
    </w:p>
    <w:p w14:paraId="5705035D" w14:textId="77777777" w:rsidR="00820150" w:rsidRPr="00640820" w:rsidRDefault="00820150" w:rsidP="00640820">
      <w:pPr>
        <w:tabs>
          <w:tab w:val="left" w:pos="958"/>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завод № 22 по производству самолета Пе-2 на базе завода № 22, эвакуированного в город Казань из Москвы;</w:t>
      </w:r>
    </w:p>
    <w:p w14:paraId="765EDB87" w14:textId="77777777" w:rsidR="00820150" w:rsidRPr="00640820" w:rsidRDefault="00820150" w:rsidP="00640820">
      <w:pPr>
        <w:tabs>
          <w:tab w:val="left" w:pos="953"/>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завод № 124 - по производству самолета ТБ-7.</w:t>
      </w:r>
    </w:p>
    <w:p w14:paraId="3018B498" w14:textId="77777777" w:rsidR="00820150" w:rsidRPr="00640820" w:rsidRDefault="00820150" w:rsidP="00640820">
      <w:pPr>
        <w:tabs>
          <w:tab w:val="left" w:pos="950"/>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Обязать Наркомавиапром - директора завода № 22 тов.Карпова обеспечить выпуск самолетов Пе-2 - 10 штук в день к концу февраля 1942 года.</w:t>
      </w:r>
    </w:p>
    <w:p w14:paraId="3ED4EA16" w14:textId="77777777" w:rsidR="00820150" w:rsidRPr="00640820" w:rsidRDefault="00820150" w:rsidP="00640820">
      <w:pPr>
        <w:tabs>
          <w:tab w:val="left" w:pos="943"/>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Обязать Наркомавиапром - директора завода № 124 тов.Окулова обеспечить выпуск 10 штук в месяц самолетов ТБ-7 с марта 1942 года (19283).</w:t>
      </w:r>
    </w:p>
    <w:p w14:paraId="092510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DFDB0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ноября 1941 вышло постановление ГКО N 917сс "Об организации на площади завода 124 НКАП в г. Казани двух самостоятельных заводов" (1332,37).</w:t>
      </w:r>
    </w:p>
    <w:p w14:paraId="385643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0779C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ноября 1941 вышло Постановление ГКО № 918 Об организации на площади завода № 27 НКАП гор. Казани двух моторных заводов. РГАНИР, Фонд ГКО, д. 14, лл. 124 (11012).</w:t>
      </w:r>
    </w:p>
    <w:p w14:paraId="67AC91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2597F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ноября 1941 вышло постановления ГКО N 918сс "Об организации на площади завода 27 НКАП в г. Казани двух моторных заводов" (1332,37).</w:t>
      </w:r>
    </w:p>
    <w:p w14:paraId="1E6E0C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EDB73A3" w14:textId="77777777" w:rsidR="00820150" w:rsidRPr="00640820" w:rsidRDefault="00820150" w:rsidP="00640820">
      <w:pPr>
        <w:pStyle w:val="47"/>
        <w:shd w:val="clear" w:color="auto" w:fill="auto"/>
        <w:spacing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19 ноября 1941 вышло постановления ГКО N 918сс "Об организации на площади завода 27 НКАП в г. Казани двух моторных заводов"</w:t>
      </w:r>
    </w:p>
    <w:p w14:paraId="43F029DA" w14:textId="77777777" w:rsidR="00820150" w:rsidRPr="00640820" w:rsidRDefault="00820150" w:rsidP="00640820">
      <w:pPr>
        <w:pStyle w:val="5f1"/>
        <w:shd w:val="clear" w:color="auto" w:fill="auto"/>
        <w:tabs>
          <w:tab w:val="left" w:pos="958"/>
        </w:tabs>
        <w:spacing w:after="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1. Создать в городе Казани на площади завода № 27 два самостоятельных моторостроительных завода:</w:t>
      </w:r>
    </w:p>
    <w:p w14:paraId="6F8270ED" w14:textId="77777777" w:rsidR="00820150" w:rsidRPr="00640820" w:rsidRDefault="00820150" w:rsidP="00640820">
      <w:pPr>
        <w:pStyle w:val="5f1"/>
        <w:shd w:val="clear" w:color="auto" w:fill="auto"/>
        <w:tabs>
          <w:tab w:val="left" w:pos="973"/>
        </w:tabs>
        <w:spacing w:after="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 xml:space="preserve">а) завод № 27 в городе Казани объединить с заводом № </w:t>
      </w:r>
      <w:r w:rsidRPr="00640820">
        <w:rPr>
          <w:rStyle w:val="0pt"/>
          <w:rFonts w:ascii="Times New Roman" w:hAnsi="Times New Roman" w:cs="Times New Roman"/>
          <w:color w:val="000000" w:themeColor="text1"/>
          <w:spacing w:val="0"/>
          <w:sz w:val="16"/>
          <w:szCs w:val="16"/>
        </w:rPr>
        <w:t xml:space="preserve">16, </w:t>
      </w:r>
      <w:r w:rsidRPr="00640820">
        <w:rPr>
          <w:rFonts w:ascii="Times New Roman" w:hAnsi="Times New Roman" w:cs="Times New Roman"/>
          <w:color w:val="000000" w:themeColor="text1"/>
          <w:sz w:val="16"/>
          <w:szCs w:val="16"/>
        </w:rPr>
        <w:t xml:space="preserve">эвакуированным из города Воронежа, создав единый завод по производству моторов </w:t>
      </w:r>
      <w:r w:rsidRPr="00640820">
        <w:rPr>
          <w:rStyle w:val="0pt"/>
          <w:rFonts w:ascii="Times New Roman" w:hAnsi="Times New Roman" w:cs="Times New Roman"/>
          <w:color w:val="000000" w:themeColor="text1"/>
          <w:spacing w:val="0"/>
          <w:sz w:val="16"/>
          <w:szCs w:val="16"/>
        </w:rPr>
        <w:t>М-105Р,</w:t>
      </w:r>
      <w:r w:rsidRPr="00640820">
        <w:rPr>
          <w:rFonts w:ascii="Times New Roman" w:hAnsi="Times New Roman" w:cs="Times New Roman"/>
          <w:color w:val="000000" w:themeColor="text1"/>
          <w:sz w:val="16"/>
          <w:szCs w:val="16"/>
        </w:rPr>
        <w:t xml:space="preserve"> присвоив ему № </w:t>
      </w:r>
      <w:r w:rsidRPr="00640820">
        <w:rPr>
          <w:rStyle w:val="0pt"/>
          <w:rFonts w:ascii="Times New Roman" w:hAnsi="Times New Roman" w:cs="Times New Roman"/>
          <w:color w:val="000000" w:themeColor="text1"/>
          <w:spacing w:val="0"/>
          <w:sz w:val="16"/>
          <w:szCs w:val="16"/>
        </w:rPr>
        <w:t>16;</w:t>
      </w:r>
    </w:p>
    <w:p w14:paraId="7A33210A" w14:textId="77777777" w:rsidR="00820150" w:rsidRPr="00640820" w:rsidRDefault="00820150" w:rsidP="00640820">
      <w:pPr>
        <w:pStyle w:val="5f1"/>
        <w:shd w:val="clear" w:color="auto" w:fill="auto"/>
        <w:tabs>
          <w:tab w:val="left" w:pos="958"/>
        </w:tabs>
        <w:spacing w:after="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 xml:space="preserve">б) производство авиационных дизелей </w:t>
      </w:r>
      <w:r w:rsidRPr="00640820">
        <w:rPr>
          <w:rStyle w:val="0pt"/>
          <w:rFonts w:ascii="Times New Roman" w:hAnsi="Times New Roman" w:cs="Times New Roman"/>
          <w:color w:val="000000" w:themeColor="text1"/>
          <w:spacing w:val="0"/>
          <w:sz w:val="16"/>
          <w:szCs w:val="16"/>
        </w:rPr>
        <w:t>М-30,</w:t>
      </w:r>
      <w:r w:rsidRPr="00640820">
        <w:rPr>
          <w:rFonts w:ascii="Times New Roman" w:hAnsi="Times New Roman" w:cs="Times New Roman"/>
          <w:color w:val="000000" w:themeColor="text1"/>
          <w:sz w:val="16"/>
          <w:szCs w:val="16"/>
        </w:rPr>
        <w:t xml:space="preserve"> на базе эва</w:t>
      </w:r>
      <w:r w:rsidRPr="00640820">
        <w:rPr>
          <w:rFonts w:ascii="Times New Roman" w:hAnsi="Times New Roman" w:cs="Times New Roman"/>
          <w:color w:val="000000" w:themeColor="text1"/>
          <w:sz w:val="16"/>
          <w:szCs w:val="16"/>
        </w:rPr>
        <w:softHyphen/>
        <w:t xml:space="preserve">куированного из Москвы оборудования и кадров завода № </w:t>
      </w:r>
      <w:r w:rsidRPr="00640820">
        <w:rPr>
          <w:rStyle w:val="0pt"/>
          <w:rFonts w:ascii="Times New Roman" w:hAnsi="Times New Roman" w:cs="Times New Roman"/>
          <w:color w:val="000000" w:themeColor="text1"/>
          <w:spacing w:val="0"/>
          <w:sz w:val="16"/>
          <w:szCs w:val="16"/>
        </w:rPr>
        <w:t xml:space="preserve">82, </w:t>
      </w:r>
      <w:r w:rsidRPr="00640820">
        <w:rPr>
          <w:rFonts w:ascii="Times New Roman" w:hAnsi="Times New Roman" w:cs="Times New Roman"/>
          <w:color w:val="000000" w:themeColor="text1"/>
          <w:sz w:val="16"/>
          <w:szCs w:val="16"/>
        </w:rPr>
        <w:t xml:space="preserve">выделить в самостоятельный завод, присвоив ему № </w:t>
      </w:r>
      <w:r w:rsidRPr="00640820">
        <w:rPr>
          <w:rStyle w:val="0pt"/>
          <w:rFonts w:ascii="Times New Roman" w:hAnsi="Times New Roman" w:cs="Times New Roman"/>
          <w:color w:val="000000" w:themeColor="text1"/>
          <w:spacing w:val="0"/>
          <w:sz w:val="16"/>
          <w:szCs w:val="16"/>
        </w:rPr>
        <w:t>82.</w:t>
      </w:r>
    </w:p>
    <w:p w14:paraId="16878109" w14:textId="77777777" w:rsidR="00820150" w:rsidRPr="00640820" w:rsidRDefault="00820150" w:rsidP="00640820">
      <w:pPr>
        <w:pStyle w:val="5f1"/>
        <w:shd w:val="clear" w:color="auto" w:fill="auto"/>
        <w:tabs>
          <w:tab w:val="left" w:pos="950"/>
        </w:tabs>
        <w:spacing w:after="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2. Утвердить директором об"единенного завода № 16 тов.Сухорукова.</w:t>
      </w:r>
    </w:p>
    <w:p w14:paraId="676DE83F" w14:textId="77777777" w:rsidR="00820150" w:rsidRPr="00640820" w:rsidRDefault="00820150" w:rsidP="00640820">
      <w:pPr>
        <w:pStyle w:val="5f1"/>
        <w:shd w:val="clear" w:color="auto" w:fill="auto"/>
        <w:tabs>
          <w:tab w:val="left" w:pos="953"/>
        </w:tabs>
        <w:spacing w:after="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3. Утвердить директором завода № 82 т.Дубова В.М.</w:t>
      </w:r>
    </w:p>
    <w:p w14:paraId="7E7398A4" w14:textId="77777777" w:rsidR="00820150" w:rsidRPr="00640820" w:rsidRDefault="00820150" w:rsidP="00640820">
      <w:pPr>
        <w:pStyle w:val="5f1"/>
        <w:shd w:val="clear" w:color="auto" w:fill="auto"/>
        <w:tabs>
          <w:tab w:val="left" w:pos="973"/>
        </w:tabs>
        <w:spacing w:after="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4. Обязать Наркомавиапром - директора завода № 16 тов.Су</w:t>
      </w:r>
      <w:r w:rsidRPr="00640820">
        <w:rPr>
          <w:rStyle w:val="0pt"/>
          <w:rFonts w:ascii="Times New Roman" w:hAnsi="Times New Roman" w:cs="Times New Roman"/>
          <w:color w:val="000000" w:themeColor="text1"/>
          <w:spacing w:val="0"/>
          <w:sz w:val="16"/>
          <w:szCs w:val="16"/>
          <w:lang w:val="en-US"/>
        </w:rPr>
        <w:t>xopv</w:t>
      </w:r>
      <w:r w:rsidRPr="00640820">
        <w:rPr>
          <w:rStyle w:val="0pt"/>
          <w:rFonts w:ascii="Times New Roman" w:hAnsi="Times New Roman" w:cs="Times New Roman"/>
          <w:color w:val="000000" w:themeColor="text1"/>
          <w:spacing w:val="0"/>
          <w:sz w:val="16"/>
          <w:szCs w:val="16"/>
        </w:rPr>
        <w:t>кова</w:t>
      </w:r>
      <w:r w:rsidRPr="00640820">
        <w:rPr>
          <w:rFonts w:ascii="Times New Roman" w:hAnsi="Times New Roman" w:cs="Times New Roman"/>
          <w:color w:val="000000" w:themeColor="text1"/>
          <w:sz w:val="16"/>
          <w:szCs w:val="16"/>
        </w:rPr>
        <w:t xml:space="preserve"> обеспечить выпуск моторов М-105Р к 15-му февраля </w:t>
      </w:r>
      <w:r w:rsidRPr="00640820">
        <w:rPr>
          <w:rStyle w:val="0pt"/>
          <w:rFonts w:ascii="Times New Roman" w:hAnsi="Times New Roman" w:cs="Times New Roman"/>
          <w:color w:val="000000" w:themeColor="text1"/>
          <w:spacing w:val="0"/>
          <w:sz w:val="16"/>
          <w:szCs w:val="16"/>
        </w:rPr>
        <w:t>1942</w:t>
      </w:r>
      <w:r w:rsidRPr="00640820">
        <w:rPr>
          <w:rFonts w:ascii="Times New Roman" w:hAnsi="Times New Roman" w:cs="Times New Roman"/>
          <w:color w:val="000000" w:themeColor="text1"/>
          <w:sz w:val="16"/>
          <w:szCs w:val="16"/>
        </w:rPr>
        <w:t xml:space="preserve"> года 16 моторов в сутки.</w:t>
      </w:r>
    </w:p>
    <w:p w14:paraId="33B3D107" w14:textId="77777777" w:rsidR="00820150" w:rsidRPr="00640820" w:rsidRDefault="00820150" w:rsidP="00640820">
      <w:pPr>
        <w:pStyle w:val="5f1"/>
        <w:shd w:val="clear" w:color="auto" w:fill="auto"/>
        <w:tabs>
          <w:tab w:val="left" w:pos="958"/>
        </w:tabs>
        <w:spacing w:after="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 xml:space="preserve">5. Обязать Наркомавиапром - директора завода 82 тов.Дубова обеспечить отработку мотора </w:t>
      </w:r>
      <w:r w:rsidRPr="00640820">
        <w:rPr>
          <w:rStyle w:val="0pt"/>
          <w:rFonts w:ascii="Times New Roman" w:hAnsi="Times New Roman" w:cs="Times New Roman"/>
          <w:color w:val="000000" w:themeColor="text1"/>
          <w:spacing w:val="0"/>
          <w:sz w:val="16"/>
          <w:szCs w:val="16"/>
        </w:rPr>
        <w:t>М-30</w:t>
      </w:r>
      <w:r w:rsidRPr="00640820">
        <w:rPr>
          <w:rFonts w:ascii="Times New Roman" w:hAnsi="Times New Roman" w:cs="Times New Roman"/>
          <w:color w:val="000000" w:themeColor="text1"/>
          <w:sz w:val="16"/>
          <w:szCs w:val="16"/>
        </w:rPr>
        <w:t xml:space="preserve"> и выпуск по 50 штук в месяц, начиная с марта м-ца</w:t>
      </w:r>
      <w:r w:rsidRPr="00640820">
        <w:rPr>
          <w:rStyle w:val="0pt"/>
          <w:rFonts w:ascii="Times New Roman" w:hAnsi="Times New Roman" w:cs="Times New Roman"/>
          <w:color w:val="000000" w:themeColor="text1"/>
          <w:spacing w:val="0"/>
          <w:sz w:val="16"/>
          <w:szCs w:val="16"/>
        </w:rPr>
        <w:t xml:space="preserve"> 1942</w:t>
      </w:r>
      <w:r w:rsidRPr="00640820">
        <w:rPr>
          <w:rFonts w:ascii="Times New Roman" w:hAnsi="Times New Roman" w:cs="Times New Roman"/>
          <w:color w:val="000000" w:themeColor="text1"/>
          <w:sz w:val="16"/>
          <w:szCs w:val="16"/>
        </w:rPr>
        <w:t xml:space="preserve"> года (19284).</w:t>
      </w:r>
    </w:p>
    <w:p w14:paraId="1466C05A" w14:textId="77777777" w:rsidR="00820150" w:rsidRPr="00640820" w:rsidRDefault="00820150" w:rsidP="00640820">
      <w:pPr>
        <w:autoSpaceDE w:val="0"/>
        <w:autoSpaceDN w:val="0"/>
        <w:adjustRightInd w:val="0"/>
        <w:spacing w:after="0" w:line="240" w:lineRule="auto"/>
        <w:jc w:val="both"/>
        <w:rPr>
          <w:rFonts w:ascii="Times New Roman" w:hAnsi="Times New Roman"/>
          <w:color w:val="000000" w:themeColor="text1"/>
          <w:sz w:val="16"/>
          <w:szCs w:val="16"/>
        </w:rPr>
      </w:pPr>
    </w:p>
    <w:p w14:paraId="44EE09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 ноября 1941 года на заво</w:t>
      </w:r>
      <w:r w:rsidRPr="00640820">
        <w:rPr>
          <w:rFonts w:ascii="Times New Roman" w:hAnsi="Times New Roman"/>
          <w:color w:val="000000" w:themeColor="text1"/>
          <w:sz w:val="16"/>
          <w:szCs w:val="16"/>
        </w:rPr>
        <w:softHyphen/>
        <w:t>де № 166 началась подготовка к серийно</w:t>
      </w:r>
      <w:r w:rsidRPr="00640820">
        <w:rPr>
          <w:rFonts w:ascii="Times New Roman" w:hAnsi="Times New Roman"/>
          <w:color w:val="000000" w:themeColor="text1"/>
          <w:sz w:val="16"/>
          <w:szCs w:val="16"/>
        </w:rPr>
        <w:softHyphen/>
        <w:t>му производству самолета «103В» с М-82. Са</w:t>
      </w:r>
      <w:r w:rsidRPr="00640820">
        <w:rPr>
          <w:rFonts w:ascii="Times New Roman" w:hAnsi="Times New Roman"/>
          <w:color w:val="000000" w:themeColor="text1"/>
          <w:sz w:val="16"/>
          <w:szCs w:val="16"/>
        </w:rPr>
        <w:softHyphen/>
        <w:t>молет «103У» из-за отсутствия мото</w:t>
      </w:r>
      <w:r w:rsidRPr="00640820">
        <w:rPr>
          <w:rFonts w:ascii="Times New Roman" w:hAnsi="Times New Roman"/>
          <w:color w:val="000000" w:themeColor="text1"/>
          <w:sz w:val="16"/>
          <w:szCs w:val="16"/>
        </w:rPr>
        <w:softHyphen/>
        <w:t>ров АМ-37 было решено не произво</w:t>
      </w:r>
      <w:r w:rsidRPr="00640820">
        <w:rPr>
          <w:rFonts w:ascii="Times New Roman" w:hAnsi="Times New Roman"/>
          <w:color w:val="000000" w:themeColor="text1"/>
          <w:sz w:val="16"/>
          <w:szCs w:val="16"/>
        </w:rPr>
        <w:softHyphen/>
        <w:t>дить. 15 декабря 1941 года состоялся первый вылет ма</w:t>
      </w:r>
      <w:r w:rsidRPr="00640820">
        <w:rPr>
          <w:rFonts w:ascii="Times New Roman" w:hAnsi="Times New Roman"/>
          <w:color w:val="000000" w:themeColor="text1"/>
          <w:sz w:val="16"/>
          <w:szCs w:val="16"/>
        </w:rPr>
        <w:softHyphen/>
        <w:t>шины «103В» с 2 М-82 под управлением летчика-ис</w:t>
      </w:r>
      <w:r w:rsidRPr="00640820">
        <w:rPr>
          <w:rFonts w:ascii="Times New Roman" w:hAnsi="Times New Roman"/>
          <w:color w:val="000000" w:themeColor="text1"/>
          <w:sz w:val="16"/>
          <w:szCs w:val="16"/>
        </w:rPr>
        <w:softHyphen/>
        <w:t>пытателя М.П. Васякина, однако дальней</w:t>
      </w:r>
      <w:r w:rsidRPr="00640820">
        <w:rPr>
          <w:rFonts w:ascii="Times New Roman" w:hAnsi="Times New Roman"/>
          <w:color w:val="000000" w:themeColor="text1"/>
          <w:sz w:val="16"/>
          <w:szCs w:val="16"/>
        </w:rPr>
        <w:softHyphen/>
        <w:t>шие испытания затянулись на 7,5 месяцев - до 1 августа 1942 года. Как отмечалось потом в отчете по испытаниям: «Основные причины за</w:t>
      </w:r>
      <w:r w:rsidRPr="00640820">
        <w:rPr>
          <w:rFonts w:ascii="Times New Roman" w:hAnsi="Times New Roman"/>
          <w:color w:val="000000" w:themeColor="text1"/>
          <w:sz w:val="16"/>
          <w:szCs w:val="16"/>
        </w:rPr>
        <w:softHyphen/>
        <w:t>тяжки испытаний: неудовлетворитель</w:t>
      </w:r>
      <w:r w:rsidRPr="00640820">
        <w:rPr>
          <w:rFonts w:ascii="Times New Roman" w:hAnsi="Times New Roman"/>
          <w:color w:val="000000" w:themeColor="text1"/>
          <w:sz w:val="16"/>
          <w:szCs w:val="16"/>
        </w:rPr>
        <w:softHyphen/>
        <w:t>ная работа моторов М-82 и длитель</w:t>
      </w:r>
      <w:r w:rsidRPr="00640820">
        <w:rPr>
          <w:rFonts w:ascii="Times New Roman" w:hAnsi="Times New Roman"/>
          <w:color w:val="000000" w:themeColor="text1"/>
          <w:sz w:val="16"/>
          <w:szCs w:val="16"/>
        </w:rPr>
        <w:softHyphen/>
        <w:t>ная доводка винто-моторной группы. Во время испытаний было заменено восемь моторов... Из-за неудовлет</w:t>
      </w:r>
      <w:r w:rsidRPr="00640820">
        <w:rPr>
          <w:rFonts w:ascii="Times New Roman" w:hAnsi="Times New Roman"/>
          <w:color w:val="000000" w:themeColor="text1"/>
          <w:sz w:val="16"/>
          <w:szCs w:val="16"/>
        </w:rPr>
        <w:softHyphen/>
        <w:t>ворительной работы моторов само</w:t>
      </w:r>
      <w:r w:rsidRPr="00640820">
        <w:rPr>
          <w:rFonts w:ascii="Times New Roman" w:hAnsi="Times New Roman"/>
          <w:color w:val="000000" w:themeColor="text1"/>
          <w:sz w:val="16"/>
          <w:szCs w:val="16"/>
        </w:rPr>
        <w:softHyphen/>
        <w:t>лет простоял 132 дня, что составляет 57,7% времени, потраченного на ис</w:t>
      </w:r>
      <w:r w:rsidRPr="00640820">
        <w:rPr>
          <w:rFonts w:ascii="Times New Roman" w:hAnsi="Times New Roman"/>
          <w:color w:val="000000" w:themeColor="text1"/>
          <w:sz w:val="16"/>
          <w:szCs w:val="16"/>
        </w:rPr>
        <w:softHyphen/>
        <w:t>пытания» (10686).</w:t>
      </w:r>
    </w:p>
    <w:p w14:paraId="7AE0CE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D625904" w14:textId="77777777" w:rsidR="00ED49A4" w:rsidRPr="00640820" w:rsidRDefault="00ED49A4"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19 ноября 1941 Государственный Комитет Обороны постановлением потребовал перевести силовую установ</w:t>
      </w:r>
      <w:r w:rsidRPr="00640820">
        <w:rPr>
          <w:rFonts w:ascii="Times New Roman" w:cs="Times New Roman"/>
          <w:color w:val="000000" w:themeColor="text1"/>
          <w:spacing w:val="0"/>
        </w:rPr>
        <w:softHyphen/>
        <w:t>ку самолета «103У» 2АМ-37 на моторы воздушного ох</w:t>
      </w:r>
      <w:r w:rsidRPr="00640820">
        <w:rPr>
          <w:rFonts w:ascii="Times New Roman" w:cs="Times New Roman"/>
          <w:color w:val="000000" w:themeColor="text1"/>
          <w:spacing w:val="0"/>
        </w:rPr>
        <w:softHyphen/>
        <w:t>лаждения М-82А и обеспечить выпуск машин 1-й серии уже с этими мотора</w:t>
      </w:r>
      <w:r w:rsidRPr="00640820">
        <w:rPr>
          <w:rFonts w:ascii="Times New Roman" w:cs="Times New Roman"/>
          <w:color w:val="000000" w:themeColor="text1"/>
          <w:spacing w:val="0"/>
        </w:rPr>
        <w:softHyphen/>
        <w:t>ми. Днем позже вышел соответствую</w:t>
      </w:r>
      <w:r w:rsidRPr="00640820">
        <w:rPr>
          <w:rFonts w:ascii="Times New Roman" w:cs="Times New Roman"/>
          <w:color w:val="000000" w:themeColor="text1"/>
          <w:spacing w:val="0"/>
        </w:rPr>
        <w:softHyphen/>
        <w:t>щий приказ по НКАП. Образцом для се</w:t>
      </w:r>
      <w:r w:rsidRPr="00640820">
        <w:rPr>
          <w:rFonts w:ascii="Times New Roman" w:cs="Times New Roman"/>
          <w:color w:val="000000" w:themeColor="text1"/>
          <w:spacing w:val="0"/>
        </w:rPr>
        <w:softHyphen/>
        <w:t>рии должен был стать опытный самолет «103В» с 2М-82А, который в это время еще даже не начал летать по програм</w:t>
      </w:r>
      <w:r w:rsidRPr="00640820">
        <w:rPr>
          <w:rFonts w:ascii="Times New Roman" w:cs="Times New Roman"/>
          <w:color w:val="000000" w:themeColor="text1"/>
          <w:spacing w:val="0"/>
        </w:rPr>
        <w:softHyphen/>
        <w:t>ме совместных с НИИ ВВС испытаний (15755).</w:t>
      </w:r>
    </w:p>
    <w:p w14:paraId="60FDA021" w14:textId="77777777" w:rsidR="00ED49A4" w:rsidRPr="00640820" w:rsidRDefault="00ED49A4" w:rsidP="00640820">
      <w:pPr>
        <w:pStyle w:val="27"/>
        <w:shd w:val="clear" w:color="auto" w:fill="auto"/>
        <w:spacing w:after="0" w:line="240" w:lineRule="auto"/>
        <w:ind w:firstLine="0"/>
        <w:rPr>
          <w:rFonts w:ascii="Times New Roman" w:cs="Times New Roman"/>
          <w:color w:val="000000" w:themeColor="text1"/>
          <w:spacing w:val="0"/>
        </w:rPr>
      </w:pPr>
    </w:p>
    <w:p w14:paraId="7CF4FC3C" w14:textId="77777777" w:rsidR="00ED49A4" w:rsidRPr="00640820" w:rsidRDefault="00ED49A4" w:rsidP="00640820">
      <w:pPr>
        <w:pStyle w:val="a3"/>
        <w:rPr>
          <w:color w:val="000000" w:themeColor="text1"/>
          <w:lang w:val="ru-RU"/>
        </w:rPr>
      </w:pPr>
      <w:r w:rsidRPr="00640820">
        <w:rPr>
          <w:color w:val="000000" w:themeColor="text1"/>
          <w:lang w:val="ru-RU"/>
        </w:rPr>
        <w:t>Начиная с 19 ноября 1941 г. на заводе № 166 началась подготовка к серийному производству самолёта «103В». Самолёт «103У» из-за отсутствия моторов АМ-37 решили не выпускать (15788).</w:t>
      </w:r>
    </w:p>
    <w:p w14:paraId="5D7D795D" w14:textId="77777777" w:rsidR="00ED49A4" w:rsidRPr="00640820" w:rsidRDefault="00ED49A4" w:rsidP="00640820">
      <w:pPr>
        <w:pStyle w:val="a3"/>
        <w:rPr>
          <w:color w:val="000000" w:themeColor="text1"/>
          <w:lang w:val="ru-RU"/>
        </w:rPr>
      </w:pPr>
    </w:p>
    <w:p w14:paraId="31A5D0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ноября 1941 Авитек в Вятке начал производство авиационного вооружения (2668).</w:t>
      </w:r>
    </w:p>
    <w:p w14:paraId="413AF3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D89CA7B"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19 ноября </w:t>
      </w:r>
      <w:r w:rsidRPr="00640820">
        <w:rPr>
          <w:rFonts w:ascii="Times New Roman" w:hAnsi="Times New Roman"/>
          <w:color w:val="000000" w:themeColor="text1"/>
          <w:sz w:val="16"/>
          <w:szCs w:val="16"/>
        </w:rPr>
        <w:t>в 1941 году на Кировском заводе № 32 (позднее переименованный в Кировский машиностроительный завод имени XX партсъезда) Минавиапрома (ныне АО "Авитек") начат выпуск авиационного стрелково-пушечного вооружения. В 1940-1950-е годы специализировался на производстве стрелково-пушечного авиационного вооружения. К началу 1960-х гг. им был освоен выпуск унифицированных ракет типа «В-600» для комплекса ПВО страны «С-125» и корабельного комплекса «М-1». Эти ракеты затем выпускались одновременно с зенитными ракетами для комплексов Сухопутных войск и флота «Оса», «Тор», «Оса-М» и «Кинжал». В настоящее время завод именуется ФГУП «Вятское машиностроительное предприятие «Авитек» (14835).</w:t>
      </w:r>
    </w:p>
    <w:p w14:paraId="7A2984FB" w14:textId="77777777" w:rsidR="002755D5" w:rsidRPr="00640820" w:rsidRDefault="002755D5" w:rsidP="00640820">
      <w:pPr>
        <w:spacing w:after="0" w:line="240" w:lineRule="auto"/>
        <w:jc w:val="both"/>
        <w:rPr>
          <w:rFonts w:ascii="Times New Roman" w:hAnsi="Times New Roman"/>
          <w:color w:val="000000" w:themeColor="text1"/>
          <w:sz w:val="16"/>
          <w:szCs w:val="16"/>
        </w:rPr>
      </w:pPr>
    </w:p>
    <w:p w14:paraId="25DF892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ноября 1941 г. на Кировском заводе начат выпуск авиационного стрелково-пушечного вооружения (ныне АО "Авитек") (6395).</w:t>
      </w:r>
    </w:p>
    <w:p w14:paraId="0B9D22F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522A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ноября 1941 года вышел приказ НКАП во исполнение постановления ГКО от 19 ноября 1941 года за № 918сс, в соответствии с которым на площадях завода № 27 в Казани созданы два самостоятельных завода:</w:t>
      </w:r>
    </w:p>
    <w:p w14:paraId="39355E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завод № 27 в Казани объединен с заводом № 16 Воронежа и создан единый завод с номером 16;</w:t>
      </w:r>
    </w:p>
    <w:p w14:paraId="4F689B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выделен второй, самостоятельный завод по производству моторов М-30, с присвоением номера 82 (9406).</w:t>
      </w:r>
    </w:p>
    <w:p w14:paraId="7B1459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6B35C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ноября 1941 г. вышел совместный приказ НКАП СССР и НКЛесПром РСФСР №1146а/с:</w:t>
      </w:r>
    </w:p>
    <w:p w14:paraId="39FD1A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решением Правительства от 19.11.41 за №254-кс ПРИКАЗЫВАЕМ:</w:t>
      </w:r>
    </w:p>
    <w:p w14:paraId="3DE0AA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 Мебельные фабрики Наркомлеса РСФСР в г. Москве за №№2, 3, 4 и 6 передать на период войны в ведение НКАП по состоянию на 1.11.41. </w:t>
      </w:r>
    </w:p>
    <w:p w14:paraId="6F0723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НКЛП Баранов М.В., ЗамНКАП Дементьев П.В.» (10752).</w:t>
      </w:r>
    </w:p>
    <w:p w14:paraId="7FEA73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053E7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ноября 1941 г. вышел совместный приказ НКАП СССР и НКЛесПром РСФСР №1146а/с:</w:t>
      </w:r>
    </w:p>
    <w:p w14:paraId="0DEF26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решением Правительства от 19.11.41 за №254-кс</w:t>
      </w:r>
    </w:p>
    <w:p w14:paraId="2AAE07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ПРИКАЗЫВАЕМ:</w:t>
      </w:r>
    </w:p>
    <w:p w14:paraId="714FDC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 Мебельные фабрики Наркомлеса РСФСР в г. Москве за №№2, 3, 4 и 6 передать на период войны в ведение НКАП по состоянию на 1.11.41. </w:t>
      </w:r>
    </w:p>
    <w:p w14:paraId="1FCDCF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НКЛП Баранов М.В., Зам. НКАП Дементьев П.В.» (11242).</w:t>
      </w:r>
    </w:p>
    <w:p w14:paraId="358F71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B13CFD2"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221882E2"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161D8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ноября 1941 вышло Постановление ГКО № 912 О демонтаже нефтепровода Ростов-Армавир-Грозный. РГАНИР, Фонд ГКО, д. 14, лл. 116-117 (11012).</w:t>
      </w:r>
    </w:p>
    <w:p w14:paraId="41BD08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BEB37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ноября 1941 вышло Постановление ГКО № 913 О размещении завода № 8 НКВ. О производстве пушки ф-34 на Ижорском заводе НКТП. О программе выпуска танков КВ. РГАНИР, Фонд ГКО, д. 14, лл. 118-119 (11012).</w:t>
      </w:r>
    </w:p>
    <w:p w14:paraId="59B008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14599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ноября 1941 года приказ № 69 НК танковой промышленности</w:t>
      </w:r>
    </w:p>
    <w:p w14:paraId="761953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Разместить завод “Станкоконструкция” на Ижорском (б. Уралмашзаводе) на площадях освободившихся от снарядного производства (8184).</w:t>
      </w:r>
    </w:p>
    <w:p w14:paraId="44B204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C6068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ноября 1941 года приказ № 70 НК танковой промышленности</w:t>
      </w:r>
    </w:p>
    <w:p w14:paraId="1991B7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увеличения мощности завода № 174 в Чкалове и обеспечения выпуска танков Т-50 …………….(8184).</w:t>
      </w:r>
    </w:p>
    <w:p w14:paraId="06309E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22ECCC1"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2871B226"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CCC31D3"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19 ноября </w:t>
      </w:r>
      <w:r w:rsidRPr="00640820">
        <w:rPr>
          <w:rFonts w:ascii="Times New Roman" w:hAnsi="Times New Roman"/>
          <w:color w:val="000000" w:themeColor="text1"/>
          <w:sz w:val="16"/>
          <w:szCs w:val="16"/>
        </w:rPr>
        <w:t>в 1941 году утреннее сообщение Совинформбюро:</w:t>
      </w:r>
    </w:p>
    <w:p w14:paraId="30A03336"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19 ноября наши войска вели бои с противником на всех фронтах.</w:t>
      </w:r>
    </w:p>
    <w:p w14:paraId="0CD96401"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части, действующие на одном из участков Западного фронта, за два дня боёв уничтожили 65 немецких танков и бронемашин и 35 орудий противника. На другом участке фронта наши части за это же время уничтожили 56 орудий, 80 пулемётов, 6 миномётных батарей и истребили до 2.500 солдат и офицеров противника.</w:t>
      </w:r>
    </w:p>
    <w:p w14:paraId="0ADE357C"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Лейтенанты тт. Кривоспицкий, Сафонов и красноармеец Гаврилов в рукопашном бою уничтожили двух фашистских офицеров и обратили в бегство большую группу немцев. Отважные бойцы захватили ручной пулемёт, 10 винтовок и несколько тысяч патронов противника.</w:t>
      </w:r>
    </w:p>
    <w:p w14:paraId="09B69597"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Героически борются с фашистскими захватчиками партизаны Калининской области. Многочисленные партизанские отряды всячески препятствуют продвижению резервов немцев к Калининскому участку фронта. Отряд, возглавляемый директором Энского завода тов. Б., совершил смелое нападение на колонну грузовиков с боеприпасами и автоцистерн с горючим. Партизаны связками гранат подорвали броневик, сопровождавший колонну. В завязавшемся бою с охраной отважные патриоты перебили 25 немецких солдат. Многие загоревшиеся от гранат и бутылок с зажигательной смесью немецкие грузовики с боеприпасами взорвались. Загорелись цистерны. Часть немецких солдат пыталась бежать, но по дороге наткнулась на засаду другого партизанского отряда и была полностью уничтожена. Лихой налёт на немецкую роту солдат совершил конный отряд партизан. Забросав противника гранатами и вызвав панику, партизаны истре били 55 немцев.</w:t>
      </w:r>
    </w:p>
    <w:p w14:paraId="3C957688"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Французские патриоты усиливают борьбу против фашистских захватчиков. В первых числах ноября на текстильных фабриках в Лилле и Рубэ, где изготовлялась тёплая ткань и одежда для немецкой армии, произошли пожары. Огнём уничтожено свыше 20 тысяч комплектов тёплого белья. В городе Валаясьенн на днях сожжён один из складов шерсти, которую немцы реквизировали в деревнях оккупированной зоны. На фабриках и заводах Франции, работающих на немцев, непрерывно происходят стачки. Только за две недели ноября во Франции бастовало свыше 200 тысяч рабочих (14835).</w:t>
      </w:r>
    </w:p>
    <w:p w14:paraId="4CF10D7B" w14:textId="77777777" w:rsidR="002755D5" w:rsidRPr="00640820" w:rsidRDefault="002755D5" w:rsidP="00640820">
      <w:pPr>
        <w:spacing w:after="0" w:line="240" w:lineRule="auto"/>
        <w:jc w:val="both"/>
        <w:rPr>
          <w:rFonts w:ascii="Times New Roman" w:hAnsi="Times New Roman"/>
          <w:color w:val="000000" w:themeColor="text1"/>
          <w:sz w:val="16"/>
          <w:szCs w:val="16"/>
        </w:rPr>
      </w:pPr>
    </w:p>
    <w:p w14:paraId="569F0BDD"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19 ноября </w:t>
      </w:r>
      <w:r w:rsidRPr="00640820">
        <w:rPr>
          <w:rFonts w:ascii="Times New Roman" w:hAnsi="Times New Roman"/>
          <w:color w:val="000000" w:themeColor="text1"/>
          <w:sz w:val="16"/>
          <w:szCs w:val="16"/>
        </w:rPr>
        <w:t>в 1941 году вечернее сообщение Совинформбюро:</w:t>
      </w:r>
    </w:p>
    <w:p w14:paraId="2E96F182"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19 ноября наши войска вели бои с противником на всех фронтах. Особенно ожесточённые бои происходили на Ростовском (Ростов-на-Дону), Калининском и Волоколамском участках фронта. Наши войска отражали атаки противника, уничтожая технику и живую силу немцев.</w:t>
      </w:r>
    </w:p>
    <w:p w14:paraId="6FBBC1FE"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18 ноября уничтожен 21 немецкий самолёт. Наши потери — 7 самолётов.</w:t>
      </w:r>
    </w:p>
    <w:p w14:paraId="110E2F34"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18 ноября нашей авиацией уничтожено 30 немецких танков, 10 бронемашин, более 150 автомашин с пехотой и боеприпасами, 200 повозок, 10 полевых орудий, несколько автоцистерн с горючим и истреблено до батальона пехоты противника и более 80 всадников.</w:t>
      </w:r>
    </w:p>
    <w:p w14:paraId="6835902A"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Береговые батареи Балтийского флота отразили попытку немцев высадить десант на остров О. Метким огнём советские артиллеристы потопили 6 катеров с солдатами противника.</w:t>
      </w:r>
    </w:p>
    <w:p w14:paraId="69E896E3"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Бойцы-автоматчики тт. Овсянников, Ягунов и Козлов обороняли мост через реку П. В течение ночи фашисты четыре раза пытались захватить мост, но, встреченные метким огнём автоматчиков, откатывались обратно. Смелые бойцы отстояли важную переправу и уничтожили за одну ночь свыше 40 вражеских солдат и офицеров.</w:t>
      </w:r>
    </w:p>
    <w:p w14:paraId="1AF1776E"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Беспощадно громят фашистских оккупантов партизаны, действующие в районах Орловской и Тульской областей. Партизанский отряд тов. И. 12 ноября минировал железнодорожное полотно и взорвал ремонтный поезд противника. 13 ноября партизаны обнаружили искусно замаскированный аэродром немцев и дали знать нашим лётчикам о местонахождении. Успешной бомбардировкой советская авиация уничтожила 6 немецких самолётов на земле. Один самолёт сбит при взлёте. Отважно действует партизанский отряд тов. 3. Бойцы этого отряда ночью напали на землянки, вырытые фашистами недалеко от пункта Д. Гранатами и штыками партизаны перебили 32 немцев. Больших успехов добились партизаны-снайперы. В течение трёх дней два снайпера из отряда тов. К. подстрелили 17 отставших немецких солдат и уничтожили легковую машину с двумя фашистскими офицерами.</w:t>
      </w:r>
    </w:p>
    <w:p w14:paraId="3C7F7F31"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Советские патриоты продолжают укреплять фонд обороны страны. Досрочно рассчитавшись по всем видам государственных поставок, колхозники Актюбинской области, Казахской ССР, вносят в фонд обороны большое количество хлеба, мяса, молока, овощей, шерсти. Колхоз имени Джамбула, Новороссийского района, передал в фонд обороны родины 900 пудов хлеба, две лошади, пять овец. Колхозники Ключевого района сдали 1.050 центнеров высококачественного зерна, 54 центнера мяса. Колхозники Джурунского района внесли 320 центнеров хлеба. В Якутской республике уже поступило в фонд обороны около 6,5 млн. рублей наличными деньгами, почти на 14 млн. рублей облигаций госзаймов, шесть пудов серебра, много золота и других ценностей. Колхозники внесли 11.160 пудов зерна нового урожая. Колхозники Усть-Янского района сдали 20 оленей, 48 пудов мяса, 90 пудов рыбы, много серебряных и золотых вещей. За несколько последних дней рабочие и интеллигенция Адександровска Сахалинского внесли в фонд обороны более 100 тысяч рублей. По инициативе стахановцев в колхозах и совхозах выделено большое количество свиней и домашней птицы для нужд фронта (14835).</w:t>
      </w:r>
    </w:p>
    <w:p w14:paraId="023F588A" w14:textId="77777777" w:rsidR="002755D5" w:rsidRPr="00640820" w:rsidRDefault="002755D5" w:rsidP="00640820">
      <w:pPr>
        <w:spacing w:after="0" w:line="240" w:lineRule="auto"/>
        <w:jc w:val="both"/>
        <w:rPr>
          <w:rFonts w:ascii="Times New Roman" w:hAnsi="Times New Roman"/>
          <w:color w:val="000000" w:themeColor="text1"/>
          <w:sz w:val="16"/>
          <w:szCs w:val="16"/>
        </w:rPr>
      </w:pPr>
    </w:p>
    <w:p w14:paraId="53346286"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19 ноября </w:t>
      </w:r>
      <w:r w:rsidRPr="00640820">
        <w:rPr>
          <w:rFonts w:ascii="Times New Roman" w:hAnsi="Times New Roman"/>
          <w:color w:val="000000" w:themeColor="text1"/>
          <w:sz w:val="16"/>
          <w:szCs w:val="16"/>
        </w:rPr>
        <w:t>в 1941 году начальник германского генерального штаба Франц Гальдер записал в дневнике: "Фюрер сказал, что в целом можно ожидать, что обе враждующие группы стран, не будучи в состоянии уничтожить одна другую, придут к компромиссному соглашению". Это стало первым признанием Гитлера в том, что Россию уничтожить не удастся (14835).</w:t>
      </w:r>
    </w:p>
    <w:p w14:paraId="1BB497F5" w14:textId="77777777" w:rsidR="002755D5" w:rsidRPr="00640820" w:rsidRDefault="002755D5" w:rsidP="00640820">
      <w:pPr>
        <w:spacing w:after="0" w:line="240" w:lineRule="auto"/>
        <w:jc w:val="both"/>
        <w:rPr>
          <w:rFonts w:ascii="Times New Roman" w:hAnsi="Times New Roman"/>
          <w:color w:val="000000" w:themeColor="text1"/>
          <w:sz w:val="16"/>
          <w:szCs w:val="16"/>
        </w:rPr>
      </w:pPr>
    </w:p>
    <w:p w14:paraId="7A36645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ноября 1941 л Д.Лавриненко на Т-34, оставленный для защиты штаба 316 СД после гтого, как г-м Панфилов погиб от осколка мины, отбивая атаку подбил 7 выстрелами 7 танков. Последний танк поразил Т-36 в борт, но Лавриненко и заряжающий успели выскочить (7436, 11).</w:t>
      </w:r>
    </w:p>
    <w:p w14:paraId="13B49C1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D4548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ноября 1941 вышло Постановление ГКО № 920 О вооруженной охране на судах заграничного плавания. (7015, 127).</w:t>
      </w:r>
    </w:p>
    <w:p w14:paraId="76BC824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DEF4ED"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5C66E9CF"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3248F80"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19 ноября </w:t>
      </w:r>
      <w:r w:rsidRPr="00640820">
        <w:rPr>
          <w:rFonts w:ascii="Times New Roman" w:hAnsi="Times New Roman"/>
          <w:color w:val="000000" w:themeColor="text1"/>
          <w:sz w:val="16"/>
          <w:szCs w:val="16"/>
        </w:rPr>
        <w:t>в 1941 году был отдан приказ «об организации автотракторной дороги через Ладожское озеро». Сооружение ледовой трассы, призванной связать Ленинград, попавший в тиски Блокады, с Большой землей, было поручено начальнику Дорожного управления штаба Ленинградского фронта, военному инженеру первого ранга Василию Георгиевичу Монахову (1902–1960) — одному из инициаторов ее прокладки. Уже на следующий день по ледовой трассе двинулись санно-гужевые обозы, 21 ноября проехал первый грузовик, а 22-го по проложенному пути, названному Военно-автомобильной дорогой № 101, началось движение транспорта. Дорога жизни дала ленинградцам силы пережить две самые страшные блокадные зимы (14835).</w:t>
      </w:r>
    </w:p>
    <w:p w14:paraId="5CA21184" w14:textId="77777777" w:rsidR="002755D5" w:rsidRPr="00640820" w:rsidRDefault="002755D5" w:rsidP="00640820">
      <w:pPr>
        <w:spacing w:after="0" w:line="240" w:lineRule="auto"/>
        <w:jc w:val="both"/>
        <w:rPr>
          <w:rFonts w:ascii="Times New Roman" w:hAnsi="Times New Roman"/>
          <w:color w:val="000000" w:themeColor="text1"/>
          <w:sz w:val="16"/>
          <w:szCs w:val="16"/>
        </w:rPr>
      </w:pPr>
    </w:p>
    <w:p w14:paraId="5086E41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ноября 1941 вышло Постановление ГКО № 919 О восстановлении эвакуированных радиостанций. (7015, 125-126).</w:t>
      </w:r>
    </w:p>
    <w:p w14:paraId="61E86EB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EB423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ноября 1941 вышло Постановление ГКО № 922 О переселении польских граждан из Узбекской ССР. (7015, 129).</w:t>
      </w:r>
    </w:p>
    <w:p w14:paraId="5857D72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E5BC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ноября 1941 г. Упразднен Мобилизационный отдел НКВД СССР (10303).</w:t>
      </w:r>
    </w:p>
    <w:p w14:paraId="5472B4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F7E55EF"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3CB39F38"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1F008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ноября 1941 вышло Постановление ГКО № 921 Об отмене опечатывания в советских портах принимающей радиоаппаратуры на английских и американских судах. РГАНИР, Фонд ГКО, д. 14, лл. 128 (11012).</w:t>
      </w:r>
    </w:p>
    <w:p w14:paraId="0089AC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CB78AD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ноября была подготовлена [Справка о выдаче Панфилову А.П. мандата уполномоченного ВГК по связи с чехословацкой военной миссией и по реализации советско-чехословацкого военного соглашения от 27 сентября 1941 г.] № 0914 (7015, 120).</w:t>
      </w:r>
    </w:p>
    <w:p w14:paraId="68564DC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F35B6F"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00078061"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AD4AE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ноября 1941 разбился самолет генерала Мельдерса, вылетевший на похороны Удета (3573).</w:t>
      </w:r>
    </w:p>
    <w:p w14:paraId="0C3942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BBCB3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ноября 1941 был потоплен австралийский крейсер Сидней (3481).</w:t>
      </w:r>
    </w:p>
    <w:p w14:paraId="614CD5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0E578F3" w14:textId="77777777" w:rsidR="001B717D" w:rsidRPr="00640820" w:rsidRDefault="001B717D"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1E5DD440" w14:textId="77777777" w:rsidR="001B717D" w:rsidRPr="00640820" w:rsidRDefault="001B717D"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0A46A27" w14:textId="77777777" w:rsidR="001B717D" w:rsidRPr="00640820" w:rsidRDefault="001B717D" w:rsidP="00640820">
      <w:pPr>
        <w:widowControl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Во второй декаде октября 1941 года началось детальное проектирование бронемашины, получившей заводской индекс ГАЗ-64-125, изготовление деталей – в начале ноября, а сборка броневика – в начале декабря. 9 января 1942 года новая машина совершила первый пробег. Новый бронеавтомобиль изготавливался на базе полноприводного автомобиля ГАЗ-64, производство которого началось в августе 1941 года. Для установки бронекорпуса шасси пришлось переработать – изменить расположение педалей, рычагов, установить амортизатор от ГАЗ М-1 и торсионный стабилизатор боковой устойчивости на задней подвеске, установить бензобак повышенной емкости, несколько укоротить раму и т.д. Корпус машины сваривался из </w:t>
      </w:r>
      <w:smartTag w:uri="urn:schemas-microsoft-com:office:smarttags" w:element="metricconverter">
        <w:smartTagPr>
          <w:attr w:name="ProductID" w:val="1945 г"/>
        </w:smartTagPr>
        <w:r w:rsidRPr="00640820">
          <w:rPr>
            <w:rFonts w:ascii="Times New Roman" w:hAnsi="Times New Roman"/>
            <w:color w:val="000000" w:themeColor="text1"/>
            <w:sz w:val="16"/>
            <w:szCs w:val="16"/>
          </w:rPr>
          <w:t>15 мм</w:t>
        </w:r>
      </w:smartTag>
      <w:r w:rsidRPr="00640820">
        <w:rPr>
          <w:rFonts w:ascii="Times New Roman" w:hAnsi="Times New Roman"/>
          <w:color w:val="000000" w:themeColor="text1"/>
          <w:sz w:val="16"/>
          <w:szCs w:val="16"/>
        </w:rPr>
        <w:t xml:space="preserve"> бронелистов, установленных под большими углами наклона к вертикали для лучшей пулестойкости. Форма бронекорпуса во многом была заимствована от ЛБ-62 и немецкого броневика </w:t>
      </w:r>
      <w:r w:rsidRPr="00640820">
        <w:rPr>
          <w:rFonts w:ascii="Times New Roman" w:hAnsi="Times New Roman"/>
          <w:color w:val="000000" w:themeColor="text1"/>
          <w:sz w:val="16"/>
          <w:szCs w:val="16"/>
          <w:lang w:val="en-US"/>
        </w:rPr>
        <w:t>Sd</w:t>
      </w:r>
      <w:r w:rsidRPr="00640820">
        <w:rPr>
          <w:rFonts w:ascii="Times New Roman" w:hAnsi="Times New Roman"/>
          <w:color w:val="000000" w:themeColor="text1"/>
          <w:sz w:val="16"/>
          <w:szCs w:val="16"/>
        </w:rPr>
        <w:t xml:space="preserve">. </w:t>
      </w:r>
      <w:r w:rsidRPr="00640820">
        <w:rPr>
          <w:rFonts w:ascii="Times New Roman" w:hAnsi="Times New Roman"/>
          <w:color w:val="000000" w:themeColor="text1"/>
          <w:sz w:val="16"/>
          <w:szCs w:val="16"/>
          <w:lang w:val="en-US"/>
        </w:rPr>
        <w:t>Kfz</w:t>
      </w:r>
      <w:r w:rsidRPr="00640820">
        <w:rPr>
          <w:rFonts w:ascii="Times New Roman" w:hAnsi="Times New Roman"/>
          <w:color w:val="000000" w:themeColor="text1"/>
          <w:sz w:val="16"/>
          <w:szCs w:val="16"/>
        </w:rPr>
        <w:t xml:space="preserve">. 221. Для посадки экипажа (водитель и командир) в бортах корпуса имелись две двери. Наблюдение за дорогой водитель вел через небольшой лючок в лобовом листе корпуса со смотровой щелью, закрытой стеклоблоком «Триплекс» от танка Т-60. Вооружение – пулемет ДТ – размещалось во вращающейся восьмигранной башне, которая крепилась к тумбе, установленной на полу машины. Боекомплект состоял из 20 магазинов к пулемету (1260 патронов). Установка пулемета обеспечивала ведение огня как по наземным, так и по воздушным целям (угол возвышения 75 градусов). Башня не имела крыши, а закрывалась сверху откидными противогранатными сетками (по типу немецких бронемашин </w:t>
      </w:r>
      <w:r w:rsidRPr="00640820">
        <w:rPr>
          <w:rFonts w:ascii="Times New Roman" w:hAnsi="Times New Roman"/>
          <w:color w:val="000000" w:themeColor="text1"/>
          <w:sz w:val="16"/>
          <w:szCs w:val="16"/>
          <w:lang w:val="en-US"/>
        </w:rPr>
        <w:t>Sd</w:t>
      </w:r>
      <w:r w:rsidRPr="00640820">
        <w:rPr>
          <w:rFonts w:ascii="Times New Roman" w:hAnsi="Times New Roman"/>
          <w:color w:val="000000" w:themeColor="text1"/>
          <w:sz w:val="16"/>
          <w:szCs w:val="16"/>
        </w:rPr>
        <w:t xml:space="preserve">. </w:t>
      </w:r>
      <w:r w:rsidRPr="00640820">
        <w:rPr>
          <w:rFonts w:ascii="Times New Roman" w:hAnsi="Times New Roman"/>
          <w:color w:val="000000" w:themeColor="text1"/>
          <w:sz w:val="16"/>
          <w:szCs w:val="16"/>
          <w:lang w:val="en-US"/>
        </w:rPr>
        <w:t>Kfz</w:t>
      </w:r>
      <w:r w:rsidRPr="00640820">
        <w:rPr>
          <w:rFonts w:ascii="Times New Roman" w:hAnsi="Times New Roman"/>
          <w:color w:val="000000" w:themeColor="text1"/>
          <w:sz w:val="16"/>
          <w:szCs w:val="16"/>
        </w:rPr>
        <w:t xml:space="preserve">. 221 и </w:t>
      </w:r>
      <w:r w:rsidRPr="00640820">
        <w:rPr>
          <w:rFonts w:ascii="Times New Roman" w:hAnsi="Times New Roman"/>
          <w:color w:val="000000" w:themeColor="text1"/>
          <w:sz w:val="16"/>
          <w:szCs w:val="16"/>
          <w:lang w:val="en-US"/>
        </w:rPr>
        <w:t>Sd</w:t>
      </w:r>
      <w:r w:rsidRPr="00640820">
        <w:rPr>
          <w:rFonts w:ascii="Times New Roman" w:hAnsi="Times New Roman"/>
          <w:color w:val="000000" w:themeColor="text1"/>
          <w:sz w:val="16"/>
          <w:szCs w:val="16"/>
        </w:rPr>
        <w:t xml:space="preserve">. </w:t>
      </w:r>
      <w:r w:rsidRPr="00640820">
        <w:rPr>
          <w:rFonts w:ascii="Times New Roman" w:hAnsi="Times New Roman"/>
          <w:color w:val="000000" w:themeColor="text1"/>
          <w:sz w:val="16"/>
          <w:szCs w:val="16"/>
          <w:lang w:val="en-US"/>
        </w:rPr>
        <w:t>Kfz</w:t>
      </w:r>
      <w:r w:rsidRPr="00640820">
        <w:rPr>
          <w:rFonts w:ascii="Times New Roman" w:hAnsi="Times New Roman"/>
          <w:color w:val="000000" w:themeColor="text1"/>
          <w:sz w:val="16"/>
          <w:szCs w:val="16"/>
        </w:rPr>
        <w:t xml:space="preserve"> .222). Для наблюдения за полем боя командир, находящийся в башне, имел в своем распоряжении две смотровые щели со стеклами «Триплекс» в правом и левом бортах. Бронеавтомобиль оборудовался радиостанцией РБ со штыревой антенной. Броневик имел характерные черты машины, изготовленной в тяжелое военное время – минимум контрольных приборов на щитке водителя (спидометр и аэротермометр), упрощенное электрооборудование (например, была только одна передняя фара), только самый необходимый ЗИП (15218).</w:t>
      </w:r>
    </w:p>
    <w:p w14:paraId="0E8917EA" w14:textId="77777777" w:rsidR="001B717D" w:rsidRPr="00640820" w:rsidRDefault="001B717D" w:rsidP="00640820">
      <w:pPr>
        <w:widowControl w:val="0"/>
        <w:spacing w:after="0" w:line="240" w:lineRule="auto"/>
        <w:jc w:val="both"/>
        <w:rPr>
          <w:rFonts w:ascii="Times New Roman" w:hAnsi="Times New Roman"/>
          <w:color w:val="000000" w:themeColor="text1"/>
          <w:sz w:val="16"/>
          <w:szCs w:val="16"/>
        </w:rPr>
      </w:pPr>
    </w:p>
    <w:p w14:paraId="0D73332E" w14:textId="77777777" w:rsidR="001B717D" w:rsidRPr="00640820" w:rsidRDefault="001B717D"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177F251C" w14:textId="77777777" w:rsidR="001B717D" w:rsidRPr="00640820" w:rsidRDefault="001B717D"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2004F5C" w14:textId="77777777" w:rsidR="001B717D" w:rsidRPr="00640820" w:rsidRDefault="001B717D" w:rsidP="00640820">
      <w:pPr>
        <w:shd w:val="clear" w:color="auto" w:fill="FFFFFF"/>
        <w:spacing w:after="0" w:line="240" w:lineRule="auto"/>
        <w:jc w:val="both"/>
        <w:rPr>
          <w:rFonts w:ascii="Times New Roman" w:eastAsia="Times New Roman" w:hAnsi="Times New Roman"/>
          <w:color w:val="0070C0"/>
          <w:sz w:val="16"/>
          <w:szCs w:val="16"/>
          <w:lang w:eastAsia="ru-RU"/>
        </w:rPr>
      </w:pPr>
      <w:r w:rsidRPr="00640820">
        <w:rPr>
          <w:rFonts w:ascii="Times New Roman" w:eastAsia="Times New Roman" w:hAnsi="Times New Roman"/>
          <w:color w:val="0070C0"/>
          <w:sz w:val="16"/>
          <w:szCs w:val="16"/>
          <w:lang w:eastAsia="ru-RU"/>
        </w:rPr>
        <w:t>К началу 20-х чисел ноября 1941 был подготовлен эскизный проект У-11, в двух вариантах. Первый вариант, сохранившийся только в виде описания, предполагал минимальное вмешательство в конструкцию системы. Вместо тумбы качающаяся часть гаубицы ставилась в рамке и прикрывалась бронировкой, вероятнее всего, это напоминало установку М-30 в самоходной установке СГ-122. Данный вариант, впрочем, при кажущейся простоте оказался не особо удачным. Такая установка получалась слишком габаритной и тяжелой, поэтому от нее отказались. В работу пустили второй вариант У-11. В нем от гаубицы оставалась только баллистика, зато данная система оказывалась гораздо более компактной. В конструкцию башни вносился минимум изменений, а изготовляемые заново детали вполне подходили для быстрого освоения на Ижорском Заводе. По итогам совещания утвердили второй вариант, заводскому КБ предписывалось его доработать и подготовить техническую документацию. При этом оговаривалось, что данная система является авральным вариантом, который, на всякий пожарный, не имел бронебойных снарядов (20860).</w:t>
      </w:r>
    </w:p>
    <w:p w14:paraId="40F15C68" w14:textId="77777777" w:rsidR="001B717D" w:rsidRPr="00640820" w:rsidRDefault="001B717D" w:rsidP="00640820">
      <w:pPr>
        <w:shd w:val="clear" w:color="auto" w:fill="FFFFFF"/>
        <w:spacing w:after="0" w:line="240" w:lineRule="auto"/>
        <w:jc w:val="both"/>
        <w:rPr>
          <w:rFonts w:ascii="Times New Roman" w:eastAsia="Times New Roman" w:hAnsi="Times New Roman"/>
          <w:color w:val="0070C0"/>
          <w:sz w:val="16"/>
          <w:szCs w:val="16"/>
          <w:lang w:eastAsia="ru-RU"/>
        </w:rPr>
      </w:pPr>
    </w:p>
    <w:p w14:paraId="35D9CFE9"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0009FC0F"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A1779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ноября 1941 вышел приказ НКАП N 1149cc "О постановке производства самолета Ил-2 с М-82 на заводе 135 (1332,65) в исполнение постановления ГКО N 916сс от 19 ноября 1941:</w:t>
      </w:r>
    </w:p>
    <w:p w14:paraId="11A9A4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Директору завода 135 Кузину и ГК С.В.И. развернуть на заводе 135 подготовку производства к выпуску самолетов Ил-2 с мотором М-82 и деревянными крыльями</w:t>
      </w:r>
    </w:p>
    <w:p w14:paraId="341B1B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Выпуск самолетов Ил-2 начать с 15 февраля 1942 по одной машине в день, с 15 марта - по 2, с 15 апреля - по 3</w:t>
      </w:r>
    </w:p>
    <w:p w14:paraId="0EE970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Разрешить заводу 135 выпустить самолеты Су-2, имеющиеся в заделе</w:t>
      </w:r>
    </w:p>
    <w:p w14:paraId="2C9BF6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Директору завода 18 Шенкману передать заводу 135 документацию для серийного производства Ил-2 не позднее 10 декабря 1941</w:t>
      </w:r>
    </w:p>
    <w:p w14:paraId="76521D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Директору завода 1 Третьякову передать заводу 135 всю документацию для серийного производства деревянных крыльев самолета Ил-2 к 5 декабря 1941</w:t>
      </w:r>
    </w:p>
    <w:p w14:paraId="474CAB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ГК С.В.И.</w:t>
      </w:r>
    </w:p>
    <w:p w14:paraId="6358D8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передать заводу 135 отработанную документацию для установки на самолете Ил-2 моторов М-82 и все изменения, вызванные постановкой моторов М-82 не позднее 10 декабря 1941</w:t>
      </w:r>
    </w:p>
    <w:p w14:paraId="6281FB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командировать к 10 декабря 1941 ответственного конструктора и группу конструкторов для отработки на заводе 135 рабочего комплекта чертежей самолета Ил-2 с М-82 с деревянным крылом (1332,65).</w:t>
      </w:r>
    </w:p>
    <w:p w14:paraId="2F966A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87F6572" w14:textId="77777777" w:rsidR="00B67F30" w:rsidRPr="00640820" w:rsidRDefault="00B67F30" w:rsidP="00640820">
      <w:pPr>
        <w:spacing w:after="0" w:line="240" w:lineRule="auto"/>
        <w:jc w:val="both"/>
        <w:rPr>
          <w:rFonts w:ascii="Times New Roman" w:hAnsi="Times New Roman"/>
          <w:color w:val="000000" w:themeColor="text1"/>
          <w:sz w:val="16"/>
          <w:szCs w:val="16"/>
          <w:shd w:val="clear" w:color="auto" w:fill="FFFFFF"/>
        </w:rPr>
      </w:pPr>
      <w:r w:rsidRPr="00640820">
        <w:rPr>
          <w:rFonts w:ascii="Times New Roman" w:hAnsi="Times New Roman"/>
          <w:color w:val="000000" w:themeColor="text1"/>
          <w:sz w:val="16"/>
          <w:szCs w:val="16"/>
          <w:shd w:val="clear" w:color="auto" w:fill="FFFFFF"/>
        </w:rPr>
        <w:t>20 ноября 1941 выходит приказ НКАП N 1149cc "О постановке производства самолета Ил-2 с М-82 на заводе 135 в исполнение постановления ГКО N 916сс от 19 ноября 1941:</w:t>
      </w:r>
    </w:p>
    <w:p w14:paraId="0A6396D1" w14:textId="77777777" w:rsidR="00B67F30" w:rsidRPr="00640820" w:rsidRDefault="00B67F30" w:rsidP="00640820">
      <w:pPr>
        <w:spacing w:after="0" w:line="240" w:lineRule="auto"/>
        <w:jc w:val="both"/>
        <w:rPr>
          <w:rFonts w:ascii="Times New Roman" w:hAnsi="Times New Roman"/>
          <w:color w:val="000000" w:themeColor="text1"/>
          <w:sz w:val="16"/>
          <w:szCs w:val="16"/>
          <w:shd w:val="clear" w:color="auto" w:fill="FFFFFF"/>
        </w:rPr>
      </w:pPr>
      <w:r w:rsidRPr="00640820">
        <w:rPr>
          <w:rFonts w:ascii="Times New Roman" w:hAnsi="Times New Roman"/>
          <w:color w:val="000000" w:themeColor="text1"/>
          <w:sz w:val="16"/>
          <w:szCs w:val="16"/>
          <w:shd w:val="clear" w:color="auto" w:fill="FFFFFF"/>
        </w:rPr>
        <w:t>1. Директору завода 135 Кузину и ГК С.В.И. развернуть на заводе 135 подготовку производства к выпуску самолетов Ил-2 с мотором М-82 и деревянными крыльями</w:t>
      </w:r>
    </w:p>
    <w:p w14:paraId="299D7F95" w14:textId="77777777" w:rsidR="00B67F30" w:rsidRPr="00640820" w:rsidRDefault="00B67F30" w:rsidP="00640820">
      <w:pPr>
        <w:spacing w:after="0" w:line="240" w:lineRule="auto"/>
        <w:jc w:val="both"/>
        <w:rPr>
          <w:rFonts w:ascii="Times New Roman" w:hAnsi="Times New Roman"/>
          <w:color w:val="000000" w:themeColor="text1"/>
          <w:sz w:val="16"/>
          <w:szCs w:val="16"/>
          <w:shd w:val="clear" w:color="auto" w:fill="FFFFFF"/>
        </w:rPr>
      </w:pPr>
      <w:r w:rsidRPr="00640820">
        <w:rPr>
          <w:rFonts w:ascii="Times New Roman" w:hAnsi="Times New Roman"/>
          <w:color w:val="000000" w:themeColor="text1"/>
          <w:sz w:val="16"/>
          <w:szCs w:val="16"/>
          <w:shd w:val="clear" w:color="auto" w:fill="FFFFFF"/>
        </w:rPr>
        <w:t>2. Выпуск самолетов Ил-2 начать с 15 февраля 1942 по одной машине в день, с 15 марта - по 2, с 15 апреля - по 3</w:t>
      </w:r>
    </w:p>
    <w:p w14:paraId="1A343EB0" w14:textId="77777777" w:rsidR="00B67F30" w:rsidRPr="00640820" w:rsidRDefault="00B67F30" w:rsidP="00640820">
      <w:pPr>
        <w:spacing w:after="0" w:line="240" w:lineRule="auto"/>
        <w:jc w:val="both"/>
        <w:rPr>
          <w:rFonts w:ascii="Times New Roman" w:hAnsi="Times New Roman"/>
          <w:color w:val="000000" w:themeColor="text1"/>
          <w:sz w:val="16"/>
          <w:szCs w:val="16"/>
          <w:shd w:val="clear" w:color="auto" w:fill="FFFFFF"/>
        </w:rPr>
      </w:pPr>
      <w:r w:rsidRPr="00640820">
        <w:rPr>
          <w:rFonts w:ascii="Times New Roman" w:hAnsi="Times New Roman"/>
          <w:color w:val="000000" w:themeColor="text1"/>
          <w:sz w:val="16"/>
          <w:szCs w:val="16"/>
          <w:shd w:val="clear" w:color="auto" w:fill="FFFFFF"/>
        </w:rPr>
        <w:t>3. Разрешить заводу 135 выпустить самолеты Су-2, имеющиеся в заделе</w:t>
      </w:r>
    </w:p>
    <w:p w14:paraId="6155AB52" w14:textId="77777777" w:rsidR="00B67F30" w:rsidRPr="00640820" w:rsidRDefault="00B67F30" w:rsidP="00640820">
      <w:pPr>
        <w:spacing w:after="0" w:line="240" w:lineRule="auto"/>
        <w:jc w:val="both"/>
        <w:rPr>
          <w:rFonts w:ascii="Times New Roman" w:hAnsi="Times New Roman"/>
          <w:color w:val="000000" w:themeColor="text1"/>
          <w:sz w:val="16"/>
          <w:szCs w:val="16"/>
          <w:shd w:val="clear" w:color="auto" w:fill="FFFFFF"/>
        </w:rPr>
      </w:pPr>
      <w:r w:rsidRPr="00640820">
        <w:rPr>
          <w:rFonts w:ascii="Times New Roman" w:hAnsi="Times New Roman"/>
          <w:color w:val="000000" w:themeColor="text1"/>
          <w:sz w:val="16"/>
          <w:szCs w:val="16"/>
          <w:shd w:val="clear" w:color="auto" w:fill="FFFFFF"/>
        </w:rPr>
        <w:t>4. Директору завода 18 Шенкману передать заводу 135 документацию для серийного производства Ил-2 не позднее 10 декабря 1941</w:t>
      </w:r>
    </w:p>
    <w:p w14:paraId="2E9A4A46" w14:textId="77777777" w:rsidR="00B67F30" w:rsidRPr="00640820" w:rsidRDefault="00B67F30" w:rsidP="00640820">
      <w:pPr>
        <w:spacing w:after="0" w:line="240" w:lineRule="auto"/>
        <w:jc w:val="both"/>
        <w:rPr>
          <w:rFonts w:ascii="Times New Roman" w:hAnsi="Times New Roman"/>
          <w:color w:val="000000" w:themeColor="text1"/>
          <w:sz w:val="16"/>
          <w:szCs w:val="16"/>
          <w:shd w:val="clear" w:color="auto" w:fill="FFFFFF"/>
        </w:rPr>
      </w:pPr>
      <w:r w:rsidRPr="00640820">
        <w:rPr>
          <w:rFonts w:ascii="Times New Roman" w:hAnsi="Times New Roman"/>
          <w:color w:val="000000" w:themeColor="text1"/>
          <w:sz w:val="16"/>
          <w:szCs w:val="16"/>
          <w:shd w:val="clear" w:color="auto" w:fill="FFFFFF"/>
        </w:rPr>
        <w:t>5. Директору завода 1 Третьякову передать заводу 135 всю документацию для серийного производства деревянных крыльев самолета Ил-2 к 5 декабря 1941</w:t>
      </w:r>
    </w:p>
    <w:p w14:paraId="70201EF7" w14:textId="77777777" w:rsidR="00B67F30" w:rsidRPr="00640820" w:rsidRDefault="00B67F30" w:rsidP="00640820">
      <w:pPr>
        <w:spacing w:after="0" w:line="240" w:lineRule="auto"/>
        <w:jc w:val="both"/>
        <w:rPr>
          <w:rFonts w:ascii="Times New Roman" w:hAnsi="Times New Roman"/>
          <w:color w:val="000000" w:themeColor="text1"/>
          <w:sz w:val="16"/>
          <w:szCs w:val="16"/>
          <w:shd w:val="clear" w:color="auto" w:fill="FFFFFF"/>
        </w:rPr>
      </w:pPr>
      <w:r w:rsidRPr="00640820">
        <w:rPr>
          <w:rFonts w:ascii="Times New Roman" w:hAnsi="Times New Roman"/>
          <w:color w:val="000000" w:themeColor="text1"/>
          <w:sz w:val="16"/>
          <w:szCs w:val="16"/>
          <w:shd w:val="clear" w:color="auto" w:fill="FFFFFF"/>
        </w:rPr>
        <w:t>6. ГК С.В.И.</w:t>
      </w:r>
    </w:p>
    <w:p w14:paraId="1B50EB22" w14:textId="77777777" w:rsidR="00B67F30" w:rsidRPr="00640820" w:rsidRDefault="00B67F30" w:rsidP="00640820">
      <w:pPr>
        <w:spacing w:after="0" w:line="240" w:lineRule="auto"/>
        <w:jc w:val="both"/>
        <w:rPr>
          <w:rFonts w:ascii="Times New Roman" w:hAnsi="Times New Roman"/>
          <w:color w:val="000000" w:themeColor="text1"/>
          <w:sz w:val="16"/>
          <w:szCs w:val="16"/>
          <w:shd w:val="clear" w:color="auto" w:fill="FFFFFF"/>
        </w:rPr>
      </w:pPr>
      <w:r w:rsidRPr="00640820">
        <w:rPr>
          <w:rFonts w:ascii="Times New Roman" w:hAnsi="Times New Roman"/>
          <w:color w:val="000000" w:themeColor="text1"/>
          <w:sz w:val="16"/>
          <w:szCs w:val="16"/>
          <w:shd w:val="clear" w:color="auto" w:fill="FFFFFF"/>
        </w:rPr>
        <w:t>а) передать заводу 135 отработанную документацию для установки на самолете Ил-2 моторов М-82 и все изменения, вызванные постановкой моторов М-82 не позднее 10 декабря 1941</w:t>
      </w:r>
    </w:p>
    <w:p w14:paraId="0A594581" w14:textId="77777777" w:rsidR="00B67F30" w:rsidRPr="00640820" w:rsidRDefault="00B67F30" w:rsidP="00640820">
      <w:pPr>
        <w:spacing w:after="0" w:line="240" w:lineRule="auto"/>
        <w:jc w:val="both"/>
        <w:rPr>
          <w:rFonts w:ascii="Times New Roman" w:hAnsi="Times New Roman"/>
          <w:color w:val="000000" w:themeColor="text1"/>
          <w:sz w:val="16"/>
          <w:szCs w:val="16"/>
          <w:shd w:val="clear" w:color="auto" w:fill="FFFFFF"/>
        </w:rPr>
      </w:pPr>
      <w:r w:rsidRPr="00640820">
        <w:rPr>
          <w:rFonts w:ascii="Times New Roman" w:hAnsi="Times New Roman"/>
          <w:color w:val="000000" w:themeColor="text1"/>
          <w:sz w:val="16"/>
          <w:szCs w:val="16"/>
          <w:shd w:val="clear" w:color="auto" w:fill="FFFFFF"/>
        </w:rPr>
        <w:t>б) командировать к 10 декабря 1941 ответственного конструктора и группу конструкторов для отработки на заводе 135 рабочего комплекта чертежей самолета Ил-2 с М-82 с деревянным крылом.</w:t>
      </w:r>
    </w:p>
    <w:p w14:paraId="1DCC2AA6" w14:textId="77777777" w:rsidR="00B67F30" w:rsidRPr="00640820" w:rsidRDefault="00B67F30" w:rsidP="00640820">
      <w:pPr>
        <w:spacing w:after="0" w:line="240" w:lineRule="auto"/>
        <w:jc w:val="both"/>
        <w:rPr>
          <w:rFonts w:ascii="Times New Roman" w:hAnsi="Times New Roman"/>
          <w:color w:val="000000" w:themeColor="text1"/>
          <w:sz w:val="16"/>
          <w:szCs w:val="16"/>
          <w:shd w:val="clear" w:color="auto" w:fill="FFFFFF"/>
        </w:rPr>
      </w:pPr>
      <w:r w:rsidRPr="00640820">
        <w:rPr>
          <w:rFonts w:ascii="Times New Roman" w:hAnsi="Times New Roman"/>
          <w:color w:val="000000" w:themeColor="text1"/>
          <w:sz w:val="16"/>
          <w:szCs w:val="16"/>
          <w:shd w:val="clear" w:color="auto" w:fill="FFFFFF"/>
        </w:rPr>
        <w:t>Обращают на себя внимание пункты 4 и 5: завод №18, который с января 1942 должен был перейти на производство деревянных крыльев, эту технологию за месяц до выпуска самолетов не разрабатывает. Ее передает завод №1, для которого она была разработана.</w:t>
      </w:r>
    </w:p>
    <w:p w14:paraId="3C8CF267" w14:textId="77777777" w:rsidR="00B67F30" w:rsidRPr="00640820" w:rsidRDefault="00B67F30" w:rsidP="00640820">
      <w:pPr>
        <w:spacing w:after="0" w:line="240" w:lineRule="auto"/>
        <w:jc w:val="both"/>
        <w:rPr>
          <w:rFonts w:ascii="Times New Roman" w:hAnsi="Times New Roman"/>
          <w:color w:val="000000" w:themeColor="text1"/>
          <w:sz w:val="16"/>
          <w:szCs w:val="16"/>
          <w:shd w:val="clear" w:color="auto" w:fill="FFFFFF"/>
        </w:rPr>
      </w:pPr>
      <w:r w:rsidRPr="00640820">
        <w:rPr>
          <w:rFonts w:ascii="Times New Roman" w:hAnsi="Times New Roman"/>
          <w:color w:val="000000" w:themeColor="text1"/>
          <w:sz w:val="16"/>
          <w:szCs w:val="16"/>
          <w:shd w:val="clear" w:color="auto" w:fill="FFFFFF"/>
        </w:rPr>
        <w:t>В архивах завода №18 в описи 1 / дело 10 Приказы НКАП, на стр. 157: С 15.09.1942 Ил-2 выпускать с удлиненной деревянной частью фюзеляжа, изъяв из конструкции дюралюминиевое кольцо, соединяющее хвостовую часть фюзеляжа с центропланом. Заводам 18 и 381 выпускать с 15.09.1942г самолеты с деревянной консолью крыла по образцу завода №1.</w:t>
      </w:r>
    </w:p>
    <w:p w14:paraId="063C39EE" w14:textId="77777777" w:rsidR="00B67F30" w:rsidRPr="00640820" w:rsidRDefault="00B67F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shd w:val="clear" w:color="auto" w:fill="FFFFFF"/>
        </w:rPr>
        <w:t>Получается, что даже по приказу НКАП, перевод Ил-2 завода №18 на деревянное крыло планировался только с осени 1942г.  (19206).</w:t>
      </w:r>
    </w:p>
    <w:p w14:paraId="4F871123" w14:textId="77777777" w:rsidR="00B67F30" w:rsidRPr="00640820" w:rsidRDefault="00B67F30" w:rsidP="00640820">
      <w:pPr>
        <w:spacing w:after="0" w:line="240" w:lineRule="auto"/>
        <w:jc w:val="both"/>
        <w:rPr>
          <w:rFonts w:ascii="Times New Roman" w:hAnsi="Times New Roman"/>
          <w:color w:val="000000" w:themeColor="text1"/>
          <w:sz w:val="16"/>
          <w:szCs w:val="16"/>
        </w:rPr>
      </w:pPr>
    </w:p>
    <w:p w14:paraId="0BA955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ноября 1941 г. появился приказ НКАП об оснащении ДБ-3Ф двигателями М-82. Первый полет Ил-4 с М-82 состоялся 10 февраля 1942 г. на заводе № 126 под управлением заводского летчика-испытателя Галицкого. В этом полете обнаружился сильный выброс масла и только после длительной отработки маслосистемы 5 апреля 1942 г. самолет начал выполнять новые испытательные полеты (9528).</w:t>
      </w:r>
    </w:p>
    <w:p w14:paraId="7A53AD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74495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20 ноября 1941 г. НКАП обязал КБ и завод № 126 установить двигатели М-82 на одном самолете Ил-4, а с 1 марта следующего года уже выпустить первую серию. В апреле 1942 г. установку М-82 объявили наиболее важным направлением модернизации ДБ-ЗФ. По расчетам предполагали, что скорость возрастет на 40-50 км/ч и дойдет до 470 км/ч. М-82 был мощнее, чем стоявший тогда на серийных ДБ-ЗФ М-88Б - 1330 л.с. против 1100 л.с., но отличался также большим весом и расходом топлива. В Комсомольске еще в декабре 1941 г. построили два опытных образца с М-82. Должны были поставить винты АВ-5 диаметром 3,4 м, но их в наличии не было, и смонтировали самодельные из втулок ВИШ-22 и лопастей от ВИШ-21. Планер по сравнению с серийными машинами не менялся. У одного из моторов еще при пробном запуске вышел из строя нагнетатель. Первый полет состоялся 10 января 1942 г. Машину пилотировал летчик Га- лицкий. В ходе испытаний двигатели постоянно перегревались и плевались маслом. 8 февраля вышли из строя сразу два двигателя. Полеты приостановили. С перегревом моторов справились к началу апреля. В мае-июне испытания возобновили. Но выигрыш вскорости оказался куда меньше ожидавшегося. Скорость не превышала 437 км/ч, при этом дальность упала до 2540 км. Вдобавок М-82 не отличался тогда высокой надежностью. Из-за недостаточной производительности маслорадиаторов двигатели грелись. Кроме того, </w:t>
      </w:r>
      <w:r w:rsidRPr="00640820">
        <w:rPr>
          <w:rFonts w:ascii="Times New Roman" w:hAnsi="Times New Roman"/>
          <w:color w:val="000000" w:themeColor="text1"/>
          <w:sz w:val="16"/>
          <w:szCs w:val="16"/>
        </w:rPr>
        <w:lastRenderedPageBreak/>
        <w:t>шасси уже не соответствовало возросшей массе бомбардировщика. Отчет об испытаниях завершался выводом: "При необходимости срочного перехода на ДБ-ЗФ с М-82 предъявленный самолет может быть временным эталоном с последующим устранением дефектов" (12021).</w:t>
      </w:r>
    </w:p>
    <w:p w14:paraId="1D2523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4DA778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ноября 1941 года вышел приказ НКАП № 1147:</w:t>
      </w:r>
    </w:p>
    <w:p w14:paraId="3C27BDD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Директору завода № 124 тов. Окулову и главному конструктору тов. Незвалю обеспечить срочную установку и отработку моторов М-82 на самолете ТБ-7.</w:t>
      </w:r>
    </w:p>
    <w:p w14:paraId="5BAAFE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Материалы испытания самолета ТБ-7 с моторами М-82 представить к 15 декабря 1941 года. Обеспе</w:t>
      </w:r>
      <w:r w:rsidRPr="00640820">
        <w:rPr>
          <w:rFonts w:ascii="Times New Roman" w:hAnsi="Times New Roman"/>
          <w:color w:val="000000" w:themeColor="text1"/>
          <w:sz w:val="16"/>
          <w:szCs w:val="16"/>
        </w:rPr>
        <w:softHyphen/>
        <w:t>чить немедленную подготовку про</w:t>
      </w:r>
      <w:r w:rsidRPr="00640820">
        <w:rPr>
          <w:rFonts w:ascii="Times New Roman" w:hAnsi="Times New Roman"/>
          <w:color w:val="000000" w:themeColor="text1"/>
          <w:sz w:val="16"/>
          <w:szCs w:val="16"/>
        </w:rPr>
        <w:softHyphen/>
        <w:t>изводства по переводу самолета ТБ-7 на моторы М-82 и начать серий</w:t>
      </w:r>
      <w:r w:rsidRPr="00640820">
        <w:rPr>
          <w:rFonts w:ascii="Times New Roman" w:hAnsi="Times New Roman"/>
          <w:color w:val="000000" w:themeColor="text1"/>
          <w:sz w:val="16"/>
          <w:szCs w:val="16"/>
        </w:rPr>
        <w:softHyphen/>
        <w:t>ный выпуск самолетов с этими мо</w:t>
      </w:r>
      <w:r w:rsidRPr="00640820">
        <w:rPr>
          <w:rFonts w:ascii="Times New Roman" w:hAnsi="Times New Roman"/>
          <w:color w:val="000000" w:themeColor="text1"/>
          <w:sz w:val="16"/>
          <w:szCs w:val="16"/>
        </w:rPr>
        <w:softHyphen/>
        <w:t>торами с 1 января 1942 года.</w:t>
      </w:r>
    </w:p>
    <w:p w14:paraId="49FEF26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Директору завода № 166 тов. Соколову и главному конструктору тов. Туполеву провести испытание самолета «103» с мотором М-82, результаты испытания представить не позднее 20 декабря с/г.</w:t>
      </w:r>
    </w:p>
    <w:p w14:paraId="54A6BFD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Обеспечить немедленный пере</w:t>
      </w:r>
      <w:r w:rsidRPr="00640820">
        <w:rPr>
          <w:rFonts w:ascii="Times New Roman" w:hAnsi="Times New Roman"/>
          <w:color w:val="000000" w:themeColor="text1"/>
          <w:sz w:val="16"/>
          <w:szCs w:val="16"/>
        </w:rPr>
        <w:softHyphen/>
        <w:t>ход на серийный выпуск самолетов «103» с мотором М-82.</w:t>
      </w:r>
    </w:p>
    <w:p w14:paraId="1C19CA0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Директору завода № 381 тов. Журавлеву и главному конструкто</w:t>
      </w:r>
      <w:r w:rsidRPr="00640820">
        <w:rPr>
          <w:rFonts w:ascii="Times New Roman" w:hAnsi="Times New Roman"/>
          <w:color w:val="000000" w:themeColor="text1"/>
          <w:sz w:val="16"/>
          <w:szCs w:val="16"/>
        </w:rPr>
        <w:softHyphen/>
        <w:t>ру самолета Ил-2 тов. Ильюшину закончить испытания самолета Ил-2 с мотором М-82 не позднее 10 декабря с/г и обеспечить серий</w:t>
      </w:r>
      <w:r w:rsidRPr="00640820">
        <w:rPr>
          <w:rFonts w:ascii="Times New Roman" w:hAnsi="Times New Roman"/>
          <w:color w:val="000000" w:themeColor="text1"/>
          <w:sz w:val="16"/>
          <w:szCs w:val="16"/>
        </w:rPr>
        <w:softHyphen/>
        <w:t>ный выпуск самолета Ил-2 с 1 фев</w:t>
      </w:r>
      <w:r w:rsidRPr="00640820">
        <w:rPr>
          <w:rFonts w:ascii="Times New Roman" w:hAnsi="Times New Roman"/>
          <w:color w:val="000000" w:themeColor="text1"/>
          <w:sz w:val="16"/>
          <w:szCs w:val="16"/>
        </w:rPr>
        <w:softHyphen/>
        <w:t>раля 1942 года с мотором М-82.</w:t>
      </w:r>
    </w:p>
    <w:p w14:paraId="2468809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Директору завода № 126 тов. Тимофееву и главному конструкто</w:t>
      </w:r>
      <w:r w:rsidRPr="00640820">
        <w:rPr>
          <w:rFonts w:ascii="Times New Roman" w:hAnsi="Times New Roman"/>
          <w:color w:val="000000" w:themeColor="text1"/>
          <w:sz w:val="16"/>
          <w:szCs w:val="16"/>
        </w:rPr>
        <w:softHyphen/>
        <w:t>ру самолета ДБ-3Ф тов. Илью</w:t>
      </w:r>
      <w:r w:rsidRPr="00640820">
        <w:rPr>
          <w:rFonts w:ascii="Times New Roman" w:hAnsi="Times New Roman"/>
          <w:color w:val="000000" w:themeColor="text1"/>
          <w:sz w:val="16"/>
          <w:szCs w:val="16"/>
        </w:rPr>
        <w:softHyphen/>
        <w:t>шину провести установку и отра</w:t>
      </w:r>
      <w:r w:rsidRPr="00640820">
        <w:rPr>
          <w:rFonts w:ascii="Times New Roman" w:hAnsi="Times New Roman"/>
          <w:color w:val="000000" w:themeColor="text1"/>
          <w:sz w:val="16"/>
          <w:szCs w:val="16"/>
        </w:rPr>
        <w:softHyphen/>
        <w:t>ботку моторов М-82 на самолете ДБ-3Ф.</w:t>
      </w:r>
    </w:p>
    <w:p w14:paraId="5819884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Результат испытания самолета ДБ-3Ф с мотором М-82 представить к 15 января 1942 года.</w:t>
      </w:r>
    </w:p>
    <w:p w14:paraId="668DF5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Провести подготовку к серийно</w:t>
      </w:r>
      <w:r w:rsidRPr="00640820">
        <w:rPr>
          <w:rFonts w:ascii="Times New Roman" w:hAnsi="Times New Roman"/>
          <w:color w:val="000000" w:themeColor="text1"/>
          <w:sz w:val="16"/>
          <w:szCs w:val="16"/>
        </w:rPr>
        <w:softHyphen/>
        <w:t>му выпуску самолетов ДБ-3Ф с мо</w:t>
      </w:r>
      <w:r w:rsidRPr="00640820">
        <w:rPr>
          <w:rFonts w:ascii="Times New Roman" w:hAnsi="Times New Roman"/>
          <w:color w:val="000000" w:themeColor="text1"/>
          <w:sz w:val="16"/>
          <w:szCs w:val="16"/>
        </w:rPr>
        <w:softHyphen/>
        <w:t>торами М-82 и обеспечить серий</w:t>
      </w:r>
      <w:r w:rsidRPr="00640820">
        <w:rPr>
          <w:rFonts w:ascii="Times New Roman" w:hAnsi="Times New Roman"/>
          <w:color w:val="000000" w:themeColor="text1"/>
          <w:sz w:val="16"/>
          <w:szCs w:val="16"/>
        </w:rPr>
        <w:softHyphen/>
        <w:t>ный выпуск самолетов с этими мо</w:t>
      </w:r>
      <w:r w:rsidRPr="00640820">
        <w:rPr>
          <w:rFonts w:ascii="Times New Roman" w:hAnsi="Times New Roman"/>
          <w:color w:val="000000" w:themeColor="text1"/>
          <w:sz w:val="16"/>
          <w:szCs w:val="16"/>
        </w:rPr>
        <w:softHyphen/>
        <w:t>торами с / марта 1942 года».(10686).</w:t>
      </w:r>
    </w:p>
    <w:p w14:paraId="6F1C2D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70DCB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ноября 1941 вышел приказ НКАП N 1147cc в исполнение постановления ГКО N 915 от 19 ноября об установке на Пе-8 4хМ-82 21 завода (994,8).</w:t>
      </w:r>
    </w:p>
    <w:p w14:paraId="5742F3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самом деле это был приказ "О постановке моторов М-82 на самолетах ТБ-7, 103, Ил-2 и ДБ-3Ф" в исполнение постановления ГКО N 915сс от 19 ноября 1941:</w:t>
      </w:r>
    </w:p>
    <w:p w14:paraId="3E898D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Директору завода 381 Журавлеву и ГК самолета Ил-2 С.В.И. закончить испытания самолета Ил-2 с М-82 не позднее 10 декабря 1941 и обеспечить серийный выпуск самолета Ил-2 с 1 февраля 1942 с М-82</w:t>
      </w:r>
    </w:p>
    <w:p w14:paraId="3E0761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Директору завода 126 Тимофееву и ГК С.В.И. провести установку и отработку моторов М-82 на самолете ДБ-3Ф. Результаты испытаний самолета ДБ-3Ф с М-82 представить к 15 января 1942</w:t>
      </w:r>
    </w:p>
    <w:p w14:paraId="3C3A86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Провести подготовку к серийному выпуску самолетов ДБ-3Ф с моторами М-82 и обеспечить серийный выпуск самолетов с этими моторами с 1 марта 1942 (1332,49).</w:t>
      </w:r>
    </w:p>
    <w:p w14:paraId="2C4BC0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123068B" w14:textId="77777777" w:rsidR="00811760" w:rsidRPr="00640820" w:rsidRDefault="00811760" w:rsidP="00640820">
      <w:pPr>
        <w:pStyle w:val="47"/>
        <w:shd w:val="clear" w:color="auto" w:fill="auto"/>
        <w:spacing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20 ноября 1941 вышло Постановление ГКО № 925сс</w:t>
      </w:r>
    </w:p>
    <w:p w14:paraId="67BEEB9E" w14:textId="77777777" w:rsidR="00811760" w:rsidRPr="00640820" w:rsidRDefault="00811760" w:rsidP="00640820">
      <w:pPr>
        <w:tabs>
          <w:tab w:val="left" w:pos="978"/>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Обязать Народного Комиссара боеприпасов тов .Горемыкина организовать производство зажигательных авиабомб типа "Огневые мешки" для отрядов У-2.</w:t>
      </w:r>
    </w:p>
    <w:p w14:paraId="2262069C" w14:textId="77777777" w:rsidR="00811760" w:rsidRPr="00640820" w:rsidRDefault="0081176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огневых мешков наладить в 2-х пунктах - в Москве и в Казани.</w:t>
      </w:r>
    </w:p>
    <w:p w14:paraId="25A44BF7" w14:textId="77777777" w:rsidR="00811760" w:rsidRPr="00640820" w:rsidRDefault="00811760" w:rsidP="00640820">
      <w:pPr>
        <w:tabs>
          <w:tab w:val="left" w:pos="978"/>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Обеспечить ежедневный выпуск огневых мешков в количе</w:t>
      </w:r>
      <w:r w:rsidRPr="00640820">
        <w:rPr>
          <w:rFonts w:ascii="Times New Roman" w:hAnsi="Times New Roman"/>
          <w:color w:val="000000" w:themeColor="text1"/>
          <w:sz w:val="16"/>
          <w:szCs w:val="16"/>
        </w:rPr>
        <w:softHyphen/>
        <w:t>стве 2000 шт. до 1.ХД.41г. и довести выпуск к 10.ХП.41г. до 5.000 шт. в день (19285).</w:t>
      </w:r>
    </w:p>
    <w:p w14:paraId="2B030C89" w14:textId="77777777" w:rsidR="00811760" w:rsidRPr="00640820" w:rsidRDefault="00811760" w:rsidP="00640820">
      <w:pPr>
        <w:autoSpaceDE w:val="0"/>
        <w:autoSpaceDN w:val="0"/>
        <w:adjustRightInd w:val="0"/>
        <w:spacing w:after="0" w:line="240" w:lineRule="auto"/>
        <w:jc w:val="both"/>
        <w:rPr>
          <w:rFonts w:ascii="Times New Roman" w:hAnsi="Times New Roman"/>
          <w:color w:val="000000" w:themeColor="text1"/>
          <w:sz w:val="16"/>
          <w:szCs w:val="16"/>
        </w:rPr>
      </w:pPr>
    </w:p>
    <w:p w14:paraId="2F04BA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ноября 1941 вышло Постановление ГКО № 926 О вооружении самолетов У-2. РГАНИР, Фонд ГКО, д. 14, лл. 133 (11012).</w:t>
      </w:r>
    </w:p>
    <w:p w14:paraId="636F40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E19CF0F" w14:textId="77777777" w:rsidR="00811760" w:rsidRPr="00640820" w:rsidRDefault="00811760" w:rsidP="00640820">
      <w:pPr>
        <w:tabs>
          <w:tab w:val="left" w:pos="978"/>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ноября 1941 вышло Постановление ГКО № 926 О вооружении самолетов У-2</w:t>
      </w:r>
    </w:p>
    <w:p w14:paraId="7F2956ED" w14:textId="77777777" w:rsidR="00811760" w:rsidRPr="00640820" w:rsidRDefault="00811760" w:rsidP="00640820">
      <w:pPr>
        <w:tabs>
          <w:tab w:val="left" w:pos="1085"/>
        </w:tabs>
        <w:spacing w:after="0" w:line="240" w:lineRule="auto"/>
        <w:jc w:val="both"/>
        <w:rPr>
          <w:rFonts w:ascii="Times New Roman" w:eastAsia="Gungsuh" w:hAnsi="Times New Roman"/>
          <w:color w:val="000000" w:themeColor="text1"/>
          <w:sz w:val="16"/>
          <w:szCs w:val="16"/>
        </w:rPr>
      </w:pPr>
      <w:r w:rsidRPr="00640820">
        <w:rPr>
          <w:rFonts w:ascii="Times New Roman" w:eastAsia="Gungsuh" w:hAnsi="Times New Roman"/>
          <w:color w:val="000000" w:themeColor="text1"/>
          <w:sz w:val="16"/>
          <w:szCs w:val="16"/>
        </w:rPr>
        <w:t>1. В целях использования самолетов У-2 в качестве ноч</w:t>
      </w:r>
      <w:r w:rsidRPr="00640820">
        <w:rPr>
          <w:rFonts w:ascii="Times New Roman" w:eastAsia="Gungsuh" w:hAnsi="Times New Roman"/>
          <w:color w:val="000000" w:themeColor="text1"/>
          <w:sz w:val="16"/>
          <w:szCs w:val="16"/>
        </w:rPr>
        <w:softHyphen/>
        <w:t>ных бомбардировщиков и в плохих метеорологических условиях днем по войскам противника, утвердить для них следующее воору жение:</w:t>
      </w:r>
    </w:p>
    <w:p w14:paraId="6FF8B230" w14:textId="77777777" w:rsidR="00811760" w:rsidRPr="00640820" w:rsidRDefault="00811760"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Gungsuh" w:hAnsi="Times New Roman"/>
          <w:color w:val="000000" w:themeColor="text1"/>
          <w:sz w:val="16"/>
          <w:szCs w:val="16"/>
          <w:u w:val="single"/>
        </w:rPr>
        <w:t>Бомбардировочное</w:t>
      </w:r>
    </w:p>
    <w:p w14:paraId="32D8D173" w14:textId="77777777" w:rsidR="00811760" w:rsidRPr="00640820" w:rsidRDefault="00811760" w:rsidP="00640820">
      <w:pPr>
        <w:tabs>
          <w:tab w:val="left" w:pos="1075"/>
        </w:tabs>
        <w:spacing w:after="0" w:line="240" w:lineRule="auto"/>
        <w:jc w:val="both"/>
        <w:rPr>
          <w:rFonts w:ascii="Times New Roman" w:eastAsia="Gungsuh" w:hAnsi="Times New Roman"/>
          <w:color w:val="000000" w:themeColor="text1"/>
          <w:sz w:val="16"/>
          <w:szCs w:val="16"/>
        </w:rPr>
      </w:pPr>
      <w:r w:rsidRPr="00640820">
        <w:rPr>
          <w:rFonts w:ascii="Times New Roman" w:eastAsia="Gungsuh" w:hAnsi="Times New Roman"/>
          <w:color w:val="000000" w:themeColor="text1"/>
          <w:sz w:val="16"/>
          <w:szCs w:val="16"/>
        </w:rPr>
        <w:t>1) 4 балки для подвески бомб.</w:t>
      </w:r>
    </w:p>
    <w:p w14:paraId="42E805EA" w14:textId="77777777" w:rsidR="00811760" w:rsidRPr="00640820" w:rsidRDefault="00811760" w:rsidP="00640820">
      <w:pPr>
        <w:tabs>
          <w:tab w:val="left" w:pos="1055"/>
        </w:tabs>
        <w:spacing w:after="0" w:line="240" w:lineRule="auto"/>
        <w:jc w:val="both"/>
        <w:rPr>
          <w:rFonts w:ascii="Times New Roman" w:eastAsia="Gungsuh" w:hAnsi="Times New Roman"/>
          <w:color w:val="000000" w:themeColor="text1"/>
          <w:sz w:val="16"/>
          <w:szCs w:val="16"/>
        </w:rPr>
      </w:pPr>
      <w:r w:rsidRPr="00640820">
        <w:rPr>
          <w:rFonts w:ascii="Times New Roman" w:eastAsia="Gungsuh" w:hAnsi="Times New Roman"/>
          <w:color w:val="000000" w:themeColor="text1"/>
          <w:sz w:val="16"/>
          <w:szCs w:val="16"/>
        </w:rPr>
        <w:t>2) Кассета для мелких бомб 1-10 кгр., подвешиваемая на основные балки.</w:t>
      </w:r>
    </w:p>
    <w:p w14:paraId="5A37B361" w14:textId="77777777" w:rsidR="00811760" w:rsidRPr="00640820" w:rsidRDefault="00811760" w:rsidP="00640820">
      <w:pPr>
        <w:tabs>
          <w:tab w:val="left" w:pos="1055"/>
        </w:tabs>
        <w:spacing w:after="0" w:line="240" w:lineRule="auto"/>
        <w:jc w:val="both"/>
        <w:rPr>
          <w:rFonts w:ascii="Times New Roman" w:eastAsia="Gungsuh" w:hAnsi="Times New Roman"/>
          <w:color w:val="000000" w:themeColor="text1"/>
          <w:sz w:val="16"/>
          <w:szCs w:val="16"/>
        </w:rPr>
      </w:pPr>
      <w:r w:rsidRPr="00640820">
        <w:rPr>
          <w:rFonts w:ascii="Times New Roman" w:eastAsia="Gungsuh" w:hAnsi="Times New Roman"/>
          <w:color w:val="000000" w:themeColor="text1"/>
          <w:sz w:val="16"/>
          <w:szCs w:val="16"/>
        </w:rPr>
        <w:t>3)Установка для крепления ведра Онисько во второй ка</w:t>
      </w:r>
      <w:r w:rsidRPr="00640820">
        <w:rPr>
          <w:rFonts w:ascii="Times New Roman" w:eastAsia="Gungsuh" w:hAnsi="Times New Roman"/>
          <w:color w:val="000000" w:themeColor="text1"/>
          <w:sz w:val="16"/>
          <w:szCs w:val="16"/>
        </w:rPr>
        <w:softHyphen/>
        <w:t>бине.</w:t>
      </w:r>
    </w:p>
    <w:p w14:paraId="25E9741F" w14:textId="77777777" w:rsidR="00811760" w:rsidRPr="00640820" w:rsidRDefault="00811760"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Gungsuh" w:hAnsi="Times New Roman"/>
          <w:color w:val="000000" w:themeColor="text1"/>
          <w:sz w:val="16"/>
          <w:szCs w:val="16"/>
          <w:u w:val="single"/>
        </w:rPr>
        <w:t>Стрелковое</w:t>
      </w:r>
    </w:p>
    <w:p w14:paraId="0818819D" w14:textId="77777777" w:rsidR="00811760" w:rsidRPr="00640820" w:rsidRDefault="00811760" w:rsidP="00640820">
      <w:pPr>
        <w:tabs>
          <w:tab w:val="left" w:pos="1070"/>
        </w:tabs>
        <w:spacing w:after="0" w:line="240" w:lineRule="auto"/>
        <w:jc w:val="both"/>
        <w:rPr>
          <w:rFonts w:ascii="Times New Roman" w:eastAsia="Gungsuh" w:hAnsi="Times New Roman"/>
          <w:color w:val="000000" w:themeColor="text1"/>
          <w:sz w:val="16"/>
          <w:szCs w:val="16"/>
        </w:rPr>
      </w:pPr>
      <w:r w:rsidRPr="00640820">
        <w:rPr>
          <w:rFonts w:ascii="Times New Roman" w:eastAsia="Gungsuh" w:hAnsi="Times New Roman"/>
          <w:color w:val="000000" w:themeColor="text1"/>
          <w:sz w:val="16"/>
          <w:szCs w:val="16"/>
        </w:rPr>
        <w:t>1) Один пулемет Шкас на центроплане или крыльевой с жолобом для патрон на 300 штук.</w:t>
      </w:r>
    </w:p>
    <w:p w14:paraId="2F3107ED" w14:textId="77777777" w:rsidR="00811760" w:rsidRPr="00640820" w:rsidRDefault="00811760" w:rsidP="00640820">
      <w:pPr>
        <w:tabs>
          <w:tab w:val="left" w:pos="1113"/>
        </w:tabs>
        <w:spacing w:after="0" w:line="240" w:lineRule="auto"/>
        <w:jc w:val="both"/>
        <w:rPr>
          <w:rFonts w:ascii="Times New Roman" w:eastAsia="Times New Roman" w:hAnsi="Times New Roman"/>
          <w:color w:val="000000" w:themeColor="text1"/>
          <w:sz w:val="16"/>
          <w:szCs w:val="16"/>
        </w:rPr>
      </w:pPr>
      <w:r w:rsidRPr="00640820">
        <w:rPr>
          <w:rFonts w:ascii="Times New Roman" w:eastAsia="Gungsuh" w:hAnsi="Times New Roman"/>
          <w:color w:val="000000" w:themeColor="text1"/>
          <w:sz w:val="16"/>
          <w:szCs w:val="16"/>
        </w:rPr>
        <w:t>2) Шкворневая установка для стрельбы назад под пулемет ДА.</w:t>
      </w:r>
    </w:p>
    <w:p w14:paraId="0709E92A" w14:textId="77777777" w:rsidR="00811760" w:rsidRPr="00640820" w:rsidRDefault="00811760" w:rsidP="00640820">
      <w:pPr>
        <w:tabs>
          <w:tab w:val="left" w:pos="1063"/>
        </w:tabs>
        <w:spacing w:after="0" w:line="240" w:lineRule="auto"/>
        <w:jc w:val="both"/>
        <w:rPr>
          <w:rFonts w:ascii="Times New Roman" w:eastAsia="Times New Roman" w:hAnsi="Times New Roman"/>
          <w:color w:val="000000" w:themeColor="text1"/>
          <w:sz w:val="16"/>
          <w:szCs w:val="16"/>
        </w:rPr>
      </w:pPr>
      <w:r w:rsidRPr="00640820">
        <w:rPr>
          <w:rFonts w:ascii="Times New Roman" w:eastAsia="Gungsuh" w:hAnsi="Times New Roman"/>
          <w:color w:val="000000" w:themeColor="text1"/>
          <w:sz w:val="16"/>
          <w:szCs w:val="16"/>
        </w:rPr>
        <w:t>2. Обязать Наркомавиапром (т.Шахурина) оборудовать само</w:t>
      </w:r>
      <w:r w:rsidRPr="00640820">
        <w:rPr>
          <w:rFonts w:ascii="Times New Roman" w:eastAsia="Gungsuh" w:hAnsi="Times New Roman"/>
          <w:color w:val="000000" w:themeColor="text1"/>
          <w:sz w:val="16"/>
          <w:szCs w:val="16"/>
        </w:rPr>
        <w:softHyphen/>
        <w:t>леты У-2 формируемых полков согласно постановлению ГКО № 858 от 1 ноября 1941г. и выпускать заводом с 1 декабря 1941г. самолеты У-2, вооруженные согласно п.1 настоящего постанов</w:t>
      </w:r>
      <w:r w:rsidRPr="00640820">
        <w:rPr>
          <w:rFonts w:ascii="Times New Roman" w:eastAsia="Gungsuh" w:hAnsi="Times New Roman"/>
          <w:color w:val="000000" w:themeColor="text1"/>
          <w:sz w:val="16"/>
          <w:szCs w:val="16"/>
        </w:rPr>
        <w:softHyphen/>
        <w:t>ления (19286).</w:t>
      </w:r>
    </w:p>
    <w:p w14:paraId="2242B079" w14:textId="77777777" w:rsidR="00811760" w:rsidRPr="00640820" w:rsidRDefault="00811760" w:rsidP="00640820">
      <w:pPr>
        <w:autoSpaceDE w:val="0"/>
        <w:autoSpaceDN w:val="0"/>
        <w:adjustRightInd w:val="0"/>
        <w:spacing w:after="0" w:line="240" w:lineRule="auto"/>
        <w:jc w:val="both"/>
        <w:rPr>
          <w:rFonts w:ascii="Times New Roman" w:hAnsi="Times New Roman"/>
          <w:color w:val="000000" w:themeColor="text1"/>
          <w:sz w:val="16"/>
          <w:szCs w:val="16"/>
        </w:rPr>
      </w:pPr>
    </w:p>
    <w:p w14:paraId="7378DE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ноября 1941 вышел приказ НКАП N 1145cc "Об организации на площади завода 27 НКАП в г. Казани двух моторных заводов" в исполнение постановления ГКО N 918сс от 19 ноября 1941 (1332,37).</w:t>
      </w:r>
    </w:p>
    <w:p w14:paraId="7F0F38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Нач. 3 ГУ Завитаеву создать в Казани на площадке завода 27 два самостоятельных моторостроительных завода</w:t>
      </w:r>
    </w:p>
    <w:p w14:paraId="060690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завод 27 в Казани объединить с заводом 16, эвакуированным из Воронежа, создав единый по производству М-105Р, присвоив ему номер 16 - директор В.И.Сухоруков</w:t>
      </w:r>
    </w:p>
    <w:p w14:paraId="44EE83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производство авиадизелей М-30 на базе эвакуированного из Москвы оборудования и кадров завода 82 выделить в самостоятельный завод, присвоив ему номер 82 - директор В.М.Дубов (1332,37).</w:t>
      </w:r>
    </w:p>
    <w:p w14:paraId="0D4551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76419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ноября 1941 вышел приказ НКАП N 1146cc "Об организации на площади завода 124 НКАП в г. Казани двух самостоятельных заводов" в исполнение постановления ГКО N 917сс от 19 ноября 1941 (1332,37).</w:t>
      </w:r>
    </w:p>
    <w:p w14:paraId="16449C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Начальнику 10 ГУ Тарасевичу создать в Казани на площадке завода 124 двух самостоятельных заводов:</w:t>
      </w:r>
    </w:p>
    <w:p w14:paraId="612E11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завода 22 по производству самолета Пе-2 на базе завода 22, эвакуированного в Казань из Москвы</w:t>
      </w:r>
    </w:p>
    <w:p w14:paraId="3F64B3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завод 124 по производству самолета ТБ-7</w:t>
      </w:r>
    </w:p>
    <w:p w14:paraId="15416F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Директору завода 22 Карпову обеспечить выпуск самолетов Пе-2 по 10 шт. в день к концу февраля 1942</w:t>
      </w:r>
    </w:p>
    <w:p w14:paraId="0A4EC4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Директору завода 124 Окулову обеспечить выпуск 10 шт. в месяц ТБ-7 с марта 1942 (1332,43).</w:t>
      </w:r>
    </w:p>
    <w:p w14:paraId="0AC8EC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93366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ноября 1941 г. по приказу НКАП площадь казанского завода № 124 вначале просто поделили на две части самостоятельные заводы под одной крышей продолжали производство самолетов Пе-2 (москвичи) и ТБ-7 (казанцы). За ноябрь завод № 124 выпустил 11 Пе-2 и завод № 22 - 15.</w:t>
      </w:r>
    </w:p>
    <w:p w14:paraId="23F8A6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Нового года прибыло 32766 человек, то есть 60% от московского состава, разгружено 1835 вагонов с 2698 единицами станочного оборудования. 1939 единиц завезли в цеха, сдали в эксплуатацию 1890, остальное осталось под снегом до весны. Жилья, естественно, не было. Москвичей расселяли в театрах, кинотеатрах, клубах и даже в Кремле. Не хватало места и на заводе. Хотя директор московского завода Карпов Ю.Н. очень беспокоился, что во главе нового завода встанет опытный и авторитетный Окулов, но кто-то наверху распорядился оставить директоров на своих местах. Далее, усугубляя ситуацию, в конце декабря заводы объединили, а во главе нового казанского завода № 22 поставили того же Карпова.</w:t>
      </w:r>
    </w:p>
    <w:p w14:paraId="152750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декабря заводы приказано было объединить в завод № 22 для выпуска Пе-2, а производство ТБ-7 законсервировать. Специальными заданиями от 25.11.1941 правительство предписывало заняться выпуском ТБ-7 с двигателями М-82 и от 29.11.1941 - переоборудованием всех ТБ-7 под АМ-35А: машины № 14 с М-34, № 15 и № 18 с М-35, №№ 25, 35, 76, 86 с М-40 и №№ 37, 57, 66, 67, 77, 87, 97, 108 с М-30 (12049).</w:t>
      </w:r>
    </w:p>
    <w:p w14:paraId="20591E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5FE30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ноября 1941 Гл. Инженер 2 ГУ Сысоев писал Справку № 3279: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4536"/>
      </w:tblGrid>
      <w:tr w:rsidR="00643896" w:rsidRPr="00640820" w14:paraId="6D830E76" w14:textId="77777777" w:rsidTr="000D3BCB">
        <w:tc>
          <w:tcPr>
            <w:tcW w:w="1384" w:type="dxa"/>
            <w:tcBorders>
              <w:top w:val="single" w:sz="12" w:space="0" w:color="auto"/>
            </w:tcBorders>
          </w:tcPr>
          <w:p w14:paraId="539D3C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Номер з-да</w:t>
            </w:r>
          </w:p>
        </w:tc>
        <w:tc>
          <w:tcPr>
            <w:tcW w:w="4536" w:type="dxa"/>
            <w:tcBorders>
              <w:top w:val="single" w:sz="12" w:space="0" w:color="auto"/>
            </w:tcBorders>
          </w:tcPr>
          <w:p w14:paraId="521E3F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Специализация</w:t>
            </w:r>
          </w:p>
        </w:tc>
      </w:tr>
      <w:tr w:rsidR="00643896" w:rsidRPr="00640820" w14:paraId="2BA6245C" w14:textId="77777777" w:rsidTr="000D3BCB">
        <w:tc>
          <w:tcPr>
            <w:tcW w:w="1384" w:type="dxa"/>
          </w:tcPr>
          <w:p w14:paraId="57CEC7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34</w:t>
            </w:r>
          </w:p>
        </w:tc>
        <w:tc>
          <w:tcPr>
            <w:tcW w:w="4536" w:type="dxa"/>
          </w:tcPr>
          <w:p w14:paraId="32C431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пр-во радиаторов</w:t>
            </w:r>
          </w:p>
        </w:tc>
      </w:tr>
      <w:tr w:rsidR="00643896" w:rsidRPr="00640820" w14:paraId="56616781" w14:textId="77777777" w:rsidTr="000D3BCB">
        <w:tc>
          <w:tcPr>
            <w:tcW w:w="1384" w:type="dxa"/>
          </w:tcPr>
          <w:p w14:paraId="1FCDAF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145</w:t>
            </w:r>
          </w:p>
        </w:tc>
        <w:tc>
          <w:tcPr>
            <w:tcW w:w="4536" w:type="dxa"/>
          </w:tcPr>
          <w:p w14:paraId="30C025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пр-во химвооружения</w:t>
            </w:r>
          </w:p>
        </w:tc>
      </w:tr>
      <w:tr w:rsidR="00643896" w:rsidRPr="00640820" w14:paraId="57FD1266" w14:textId="77777777" w:rsidTr="000D3BCB">
        <w:tc>
          <w:tcPr>
            <w:tcW w:w="1384" w:type="dxa"/>
          </w:tcPr>
          <w:p w14:paraId="71CCB1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261</w:t>
            </w:r>
          </w:p>
        </w:tc>
        <w:tc>
          <w:tcPr>
            <w:tcW w:w="4536" w:type="dxa"/>
          </w:tcPr>
          <w:p w14:paraId="54C656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пр-во шасси</w:t>
            </w:r>
          </w:p>
        </w:tc>
      </w:tr>
      <w:tr w:rsidR="00643896" w:rsidRPr="00640820" w14:paraId="5FB82000" w14:textId="77777777" w:rsidTr="000D3BCB">
        <w:tc>
          <w:tcPr>
            <w:tcW w:w="1384" w:type="dxa"/>
          </w:tcPr>
          <w:p w14:paraId="22B7AC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388</w:t>
            </w:r>
          </w:p>
        </w:tc>
        <w:tc>
          <w:tcPr>
            <w:tcW w:w="4536" w:type="dxa"/>
          </w:tcPr>
          <w:p w14:paraId="7B67FF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пр-во шасси</w:t>
            </w:r>
          </w:p>
        </w:tc>
      </w:tr>
      <w:tr w:rsidR="00643896" w:rsidRPr="00640820" w14:paraId="105F3C13" w14:textId="77777777" w:rsidTr="000D3BCB">
        <w:tc>
          <w:tcPr>
            <w:tcW w:w="1384" w:type="dxa"/>
          </w:tcPr>
          <w:p w14:paraId="35B093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454</w:t>
            </w:r>
          </w:p>
        </w:tc>
        <w:tc>
          <w:tcPr>
            <w:tcW w:w="4536" w:type="dxa"/>
          </w:tcPr>
          <w:p w14:paraId="521BD2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пр-во вооружения</w:t>
            </w:r>
          </w:p>
        </w:tc>
      </w:tr>
      <w:tr w:rsidR="00643896" w:rsidRPr="00640820" w14:paraId="5BC28CDD" w14:textId="77777777" w:rsidTr="000D3BCB">
        <w:tc>
          <w:tcPr>
            <w:tcW w:w="1384" w:type="dxa"/>
          </w:tcPr>
          <w:p w14:paraId="30905A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455</w:t>
            </w:r>
          </w:p>
        </w:tc>
        <w:tc>
          <w:tcPr>
            <w:tcW w:w="4536" w:type="dxa"/>
          </w:tcPr>
          <w:p w14:paraId="2CEEAF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пр-во химвооружения</w:t>
            </w:r>
          </w:p>
        </w:tc>
      </w:tr>
      <w:tr w:rsidR="00643896" w:rsidRPr="00640820" w14:paraId="3A689718" w14:textId="77777777" w:rsidTr="000D3BCB">
        <w:tc>
          <w:tcPr>
            <w:tcW w:w="1384" w:type="dxa"/>
          </w:tcPr>
          <w:p w14:paraId="51A2D3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472</w:t>
            </w:r>
          </w:p>
        </w:tc>
        <w:tc>
          <w:tcPr>
            <w:tcW w:w="4536" w:type="dxa"/>
          </w:tcPr>
          <w:p w14:paraId="6E93E2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пр-во радиаторов - поехал в Кузнецк, Пензенская обл, на ф-л з-да 34</w:t>
            </w:r>
          </w:p>
        </w:tc>
      </w:tr>
      <w:tr w:rsidR="00643896" w:rsidRPr="00640820" w14:paraId="6CE9A374" w14:textId="77777777" w:rsidTr="000D3BCB">
        <w:tc>
          <w:tcPr>
            <w:tcW w:w="1384" w:type="dxa"/>
          </w:tcPr>
          <w:p w14:paraId="59793E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487</w:t>
            </w:r>
          </w:p>
        </w:tc>
        <w:tc>
          <w:tcPr>
            <w:tcW w:w="4536" w:type="dxa"/>
          </w:tcPr>
          <w:p w14:paraId="1B56D3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пр-во вооружения - поехал в Куйбышев на з-д 454 - 30% и в Сызрань на з-д 481 - 70%</w:t>
            </w:r>
          </w:p>
        </w:tc>
      </w:tr>
      <w:tr w:rsidR="00643896" w:rsidRPr="00640820" w14:paraId="1C52757B" w14:textId="77777777" w:rsidTr="000D3BCB">
        <w:tc>
          <w:tcPr>
            <w:tcW w:w="1384" w:type="dxa"/>
            <w:tcBorders>
              <w:bottom w:val="single" w:sz="12" w:space="0" w:color="auto"/>
            </w:tcBorders>
          </w:tcPr>
          <w:p w14:paraId="5A308E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4536" w:type="dxa"/>
            <w:tcBorders>
              <w:bottom w:val="single" w:sz="12" w:space="0" w:color="auto"/>
            </w:tcBorders>
          </w:tcPr>
          <w:p w14:paraId="13C58A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(1377, 46-47)</w:t>
            </w:r>
          </w:p>
        </w:tc>
      </w:tr>
    </w:tbl>
    <w:p w14:paraId="2271AB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DD4DE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ноября 1941 вышел приказ НКАП об эвакуации авиазаводов и в т.ч. 16 - в Казань на 27, 82 в Казань, 22 в Казань на 124 (385).</w:t>
      </w:r>
    </w:p>
    <w:p w14:paraId="6A7514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8A42A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20 ноября 1941 г. Приказом № 1145сс завод № 489 НКАП (ГС Завод № 489 НКАП / г. Казань/) был влит в состав единого завода № 16 НКАП. В 1940 г. в системе 3ГУ НКАП был образован Винтовой завод № 489 (ГС Завод № 489 НКАП / г. Казань/). С началом войны началась организация производства винтов </w:t>
      </w:r>
      <w:r w:rsidRPr="00640820">
        <w:rPr>
          <w:rFonts w:ascii="Times New Roman" w:hAnsi="Times New Roman"/>
          <w:color w:val="000000" w:themeColor="text1"/>
          <w:sz w:val="16"/>
          <w:szCs w:val="16"/>
          <w:lang w:val="en-US"/>
        </w:rPr>
        <w:t>AB</w:t>
      </w:r>
      <w:r w:rsidRPr="00640820">
        <w:rPr>
          <w:rFonts w:ascii="Times New Roman" w:hAnsi="Times New Roman"/>
          <w:color w:val="000000" w:themeColor="text1"/>
          <w:sz w:val="16"/>
          <w:szCs w:val="16"/>
        </w:rPr>
        <w:t>-5Л</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-139. В соответствии с пост. ГКО № 1386сс от 4.03.1942 г. и приказом № 388с от 20.05.1942 г. завод исключен из числа действующих, строительство прекращено, здания переданы другим заводам (11982).</w:t>
      </w:r>
    </w:p>
    <w:p w14:paraId="3D02CA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F105330"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20542910"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7B80F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ноября 1941 вышло Постановление ГКО № 924 Об изготовлении опытных бронеплощадок с минометными установками реактивного действия. РГАНИР, Фонд ГКО, д. 14, лл. 131 (11012).</w:t>
      </w:r>
    </w:p>
    <w:p w14:paraId="4B3291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DF426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ноября 1941 вышло Постановление ГКО № 925 Об организации производства зажигательных авиабомб типа "огневые мешки" для отрядов У-2. РГАНИР, Фонд ГКО, д. 14, лл. 132 (11012).</w:t>
      </w:r>
    </w:p>
    <w:p w14:paraId="4A6471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A5A7F3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ноября 1941 вышло Постановление ГКО № 927 О производстве минометов в Ленинграде. (7015, 134).</w:t>
      </w:r>
    </w:p>
    <w:p w14:paraId="4CD04E2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5420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ноября 1941 г. вышло Постановление ГКО № 927 «О производстве минометов в Ленинграде» (Д. 26. Л.17).</w:t>
      </w:r>
    </w:p>
    <w:p w14:paraId="2C76E1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7C6CA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ноября 1941 вышло Постановление ГКО № 928 Об увеличении производства гексогена. РГАНИР, Фонд ГКО, д. 14, лл. 135 (11012).</w:t>
      </w:r>
    </w:p>
    <w:p w14:paraId="50618B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9261A9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ноября 1941 года вышел приказ № 33сс НКТП Челябинск</w:t>
      </w:r>
    </w:p>
    <w:p w14:paraId="55D6DE6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исполнение постановления ГКО от 14 ноября 1941 года и во изменение приказа НКТП от 15 октября 1941 года:</w:t>
      </w:r>
    </w:p>
    <w:p w14:paraId="2F1E330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Строительство танкового завода перенести из Кургана на площадку завода “Стройсемь” в Челябинск, использовав под танковое производство часть существующих подсобных цехов завода “Стройсемь” (6041, 18).</w:t>
      </w:r>
    </w:p>
    <w:p w14:paraId="3498CD8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595399" w14:textId="77777777" w:rsidR="001B717D" w:rsidRPr="00640820" w:rsidRDefault="001B717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shd w:val="clear" w:color="auto" w:fill="FFFFFF"/>
        </w:rPr>
        <w:t>20 ноября 1941 года в ГАБТУ КА ушел доклад о недостатках английского танка Valentine, подготовленный воениженером 1-го ранга Н.С. Огурцовым. В нем подробно расписывалось всё, что было обнаружено на танках, прибывших конвоем PQ-2. Решение привлечь начальника кафедры артиллерии ВАММ (Военная Академия Механизиции и Моторизации им. И.В. Сталина) к вопросу военной приемки было правильным. Огурцов подробно, и вполне справедливо расписал проблемы. Отдельно он указал на важный вопрос - обеспечение танков боеприпасами и запчастями к орудиям. Запчастей к 2-фунтовым пушкам не было от слова совсем, в случае повреждения орудия танк становился чисто пулеметным. Кроме того, английские бронебойные снаряд представляли собой обычные болванки, чьё заброневое действие было низким. Это побудило Огурцова инициировать работы по перевооружению английских танков. Так родился проект установки в Valentine советской 45-мм пушки, эту идею одобрили наверху (22723).</w:t>
      </w:r>
    </w:p>
    <w:p w14:paraId="2DE916F5" w14:textId="77777777" w:rsidR="001B717D" w:rsidRPr="00640820" w:rsidRDefault="001B717D" w:rsidP="00640820">
      <w:pPr>
        <w:spacing w:after="0" w:line="240" w:lineRule="auto"/>
        <w:jc w:val="both"/>
        <w:rPr>
          <w:rFonts w:ascii="Times New Roman" w:hAnsi="Times New Roman"/>
          <w:color w:val="0070C0"/>
          <w:sz w:val="16"/>
          <w:szCs w:val="16"/>
        </w:rPr>
      </w:pPr>
    </w:p>
    <w:p w14:paraId="6511145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ноября 1941 начались работы по подъему крейсера Петропавловски лишь 17сентября 1942-го «Петропавловск» был поднят и отбуксирован к стенке завода № 189 (10670,258).</w:t>
      </w:r>
    </w:p>
    <w:p w14:paraId="5B467A8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D7E2AA"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2A1F6821"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1EA81B3"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20 ноября</w:t>
      </w:r>
      <w:r w:rsidRPr="00640820">
        <w:rPr>
          <w:rFonts w:ascii="Times New Roman" w:hAnsi="Times New Roman"/>
          <w:color w:val="000000" w:themeColor="text1"/>
          <w:sz w:val="16"/>
          <w:szCs w:val="16"/>
        </w:rPr>
        <w:t xml:space="preserve"> в 1941 году утреннее сообщение Совинформбюро:</w:t>
      </w:r>
    </w:p>
    <w:p w14:paraId="6C7E5CFB"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20 ноября наши войска вели бои с противником на всех фронтах.</w:t>
      </w:r>
    </w:p>
    <w:p w14:paraId="46C208C9"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Очередная фальшивка гитлеровцев:</w:t>
      </w:r>
    </w:p>
    <w:p w14:paraId="1CD7EDC0"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«Командование германской армии распространяет хвастливые сообщения о том, будто советские войска вынуждены были эвакуироваться из города Керчи под напором германских частей, в результате чего немцы якобы захватили большое число пленных, много оружия, потопили несколько десятков советских судов и т. п. Хвастуны из гитлеровской банды пытаются изобразить эвакуацию Керчи советскими войсками, как большой военный успех немецкой армии.</w:t>
      </w:r>
    </w:p>
    <w:p w14:paraId="22C8935A"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самом же деле эвакуация Керчи советскими войсками была предпринята по приказу Главного Командования по стратегическим соображениям для того, чтобы дать нашим войскам возможность укрепиться на новых, более выгодных для обороны, рубежах. Советское командование провело эвакуацию города организованно, обеспечив вывоз всех войск, всего оружия, снаряжения и ценного имущества. Из этого видно, что сообщения германского командования о взятии Керчи и якобы захваченных при этом трофеях лишены всякого основания и лишний раз показывают лживость германских сводок.</w:t>
      </w:r>
    </w:p>
    <w:p w14:paraId="03C9AACE"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время боёв под Керчью нашими войсками истреблено более 20 тысяч немцев, уничтожено до 130 вражеских танков, более 200 орудий, 1.100 автомашин с военным снаряжением и не менее 40 самолётов.</w:t>
      </w:r>
    </w:p>
    <w:p w14:paraId="6AAA62C5"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Часть тов. Андреева, действующая на одном из участков Ленинградского фронта, за пять дней боёв нанесла немцам серьёзное поражение. Враг оставил на поле сражения 600 убитых солдат и офицеров. Наши бойцы захватили полевые орудия, много пулемётов, миномётов, автоматов и большое количество боеприпасов неприятеля.</w:t>
      </w:r>
    </w:p>
    <w:p w14:paraId="259C19C7"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Лётчики авиации Черноморского флота за один день боевых действий уничтожили более 60 автомашин противника с пехотой и военными грузами и истребили более роты вражеской пехоты. В воздушных боях сбито 2 вражеских самолёта.</w:t>
      </w:r>
    </w:p>
    <w:p w14:paraId="7095A495"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Разведчик младший командир Авдеев, подойдя к захваченной противником деревне В., заметил около одной избы штабную немецкую машину. Выждав наступления темноты, т. Авдеев подкрался к избе и швырнул в окно несколько гранат. Все находившиеся там фашистские офицеры были убиты. Разведчик красноармеец Кутавой обнаружил в овраге хорошо замаскированную позицию немецкого миномётного расчёта. Тов. Кутавой подполз к миномёту, гранатой и штыком уничтожил всех трёх вражеских миномётчиков. Трофейный миномёт отважный разведчик доставил в расположение своей части.</w:t>
      </w:r>
    </w:p>
    <w:p w14:paraId="37D7D84C"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 немецких солдат, захваченных в плен на Можайском направлении фронта, найдены письма, которые они не успели отправить. Солдат Симон Баумер пишет домой: «Мы находимся в 100 километрах от Москвы, но это нам стоило огромных жертв... Будут ещё жестокие бои, и многие ещё погибнут. Русские оказывают очень сильное сопротивление. Если война продлится ещё полгода, мы пропали». Солдат Рудольф Рупп сообщает матери: «Бои идут жестокие и кровопролитные, так как русские яростно защищаются. Многие из нас никогда не увидят больше родины». Ефрейтор Отто Залфингер в своём письме к родителям жалуется на неимоверные лишения и страдания, которые он переносит, и заключает: «...До Москвы осталось очень немного. И всё-таки мне кажется, что мы бесконечно далеки от неё... Мы уже свыше месяца топчемся на одном месте. Сколько за это время легло наших солдат! А если собрать трупы всех убитых немцев в этой войне и положить их плечом к плечу, то эта бесконечная лента протянется, может быть, до самого Берлина. Мы шагаем по немецким трупам и оставляем в снежных сугробах своих раненых. О них никто не думает. Раненый — это балласт. Сегодня мы шагаем по трупам тех, кто пал впереди; завтра мы станем трупами, и нас также раздавят орудия и гусеницы».</w:t>
      </w:r>
    </w:p>
    <w:p w14:paraId="6E91B24D"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Немецко-фашистские бандиты продолжают грабить население оккупированных ими стран. В Югославии недавно в ряде деревень была произведена ещё одна реквизиция пшеницы для отправки её в Германию. Во время изъятия хлеба у крестьян фашисты пустили в ход огнестрельное оружие. 14 ноября на ряде мельниц произошли кровавые столкновения между фашистскими отрядами и крестьянами. Немцы силой отняли у крестьян зерно, привезённое для помола.» (14836).</w:t>
      </w:r>
    </w:p>
    <w:p w14:paraId="667213E1" w14:textId="77777777" w:rsidR="002755D5" w:rsidRPr="00640820" w:rsidRDefault="002755D5" w:rsidP="00640820">
      <w:pPr>
        <w:spacing w:after="0" w:line="240" w:lineRule="auto"/>
        <w:jc w:val="both"/>
        <w:rPr>
          <w:rFonts w:ascii="Times New Roman" w:hAnsi="Times New Roman"/>
          <w:color w:val="000000" w:themeColor="text1"/>
          <w:sz w:val="16"/>
          <w:szCs w:val="16"/>
        </w:rPr>
      </w:pPr>
    </w:p>
    <w:p w14:paraId="41718BC2"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20 ноября</w:t>
      </w:r>
      <w:r w:rsidRPr="00640820">
        <w:rPr>
          <w:rFonts w:ascii="Times New Roman" w:hAnsi="Times New Roman"/>
          <w:color w:val="000000" w:themeColor="text1"/>
          <w:sz w:val="16"/>
          <w:szCs w:val="16"/>
        </w:rPr>
        <w:t xml:space="preserve"> в 1941 году вечернее сообщение Совинформбюро:</w:t>
      </w:r>
    </w:p>
    <w:p w14:paraId="3C0B7655"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20 ноября наши войска вели бои с противником на всех фронтах. Особенно ожесточённые бои происходили на Ростовском (Ростов-на-Дону), Волоколамском и Тульском участках фронта.</w:t>
      </w:r>
    </w:p>
    <w:p w14:paraId="1EC76117"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18 ноября уничтожен не 21 немецкий самолёт, как сообщалось ранее, а 26 немецких самолётов.</w:t>
      </w:r>
    </w:p>
    <w:p w14:paraId="61E46A66"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корабли в Баренцевом море потопили три транспорта противника общим водоизмещением в 1.900 тонн и один танкер в 5.000 тонн. Наши корабли в Чёрном море потопили танкер противника водоизмещением в 9.000 тонн.</w:t>
      </w:r>
    </w:p>
    <w:p w14:paraId="12D2A9FE"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19 ноября частями нашей авиации, действующей на Западном и Южном фронтах, уничтожено 30 немецких танков, более 100 автомашин с пехотой и боеприпасами, 140 повозок с военным снаряжением и истреблено 2 эскадрона кавалерии и батальон пехоты противника.</w:t>
      </w:r>
    </w:p>
    <w:p w14:paraId="36D02E12"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течение 19 и в ночь на 20 ноября наши части, действующие на одном из участков Западного фронта, в ожесточённых боях с противником уничтожили 45 немецких танков, свыше 20 орудий, 40 пулемётов, несколько миномётов и большое количество другого вооружения. Истреблено более 2.000 солдат и офицеров противника.</w:t>
      </w:r>
    </w:p>
    <w:p w14:paraId="6B84363D"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днях немцы бросили в атаку против части тов. Таванцева, действующей на одном из участков Южного фронта, более 100 танков. Бойцы тов. Таванцева стойко встретили натиск противника и нанесли ему значительный урон. На поле боя остались 17 разбитых танков и большое число убитых немецких солдат и офицеров.</w:t>
      </w:r>
    </w:p>
    <w:p w14:paraId="4A21A9DC"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Танковый экипаж лейтенанта Амитова, зайдя в тыл колонны противника, уничтожил 3 немецких танка, 2 противотанковых орудия, 8 автомашин с пехотой, 8 мотоциклистов и до 50 солдат противника. Танковый экипаж лейтенанта Курлейко за три дня действий в тылу противника уничтожил один немецкий тяжёлый танк, 4 средних танка, 6 танкеток и 20 автомашин с вражеской пехотой.</w:t>
      </w:r>
    </w:p>
    <w:p w14:paraId="087E45C0"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Письма убитых, а также показания пленных немецких солдат и офицеров свидетельствуют о дальнейшем снижении боевого духа фашистской армии. У захваченного недавно в плен офицера 75 немецкого артиллерийского полка Адольфа Гельца обнаружено письмо его приятеля, офицера тыловой службы германской армии, некоего Роберта. Описывая одну из германских резервных частей, скомплектованную при одной артиллерийской школе, Роберт сообщает: «Солдаты не имеют никаких сапог, никаких касок, никаких карабинов. О современном боевом оружии не может быть и речи... Мы только и делаем, что отправляем людей на гауптвахту, штрафуем и применяем другие строгости. Когда весь учебный штаб превращается в камеру следователя, то я охотнее взял бы верёвку и повесился на ближайшем дереве». Пленный лейтенант Курт Кульман рассказывает: «Ноябрь наступил, но и теперь конца войны не видно. Стоят чувствительные холода. Немецкое же командование не приняло необходимых мер для обеспечения армии тёплым обмундированием. Это очень беспокоит солдат, и настроение их резко снизилось». Солдат 95 полка 17 немецкой пехотной дивизии Фридрих Химмер говорит: «Война всем надоела, все ею недовольны. Я знаю настроения многих солдат, и все они хотят одного — вернуться на родину».</w:t>
      </w:r>
    </w:p>
    <w:p w14:paraId="6F468EA5"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районов Украины, временно оккупированных немцами, поступают сообщения о насилиях и зверствах фашистских захватчиков. В селе Нестерово, Николаевской области, немцы забрали у крестьян весь хлеб, скот и птицу. Фашисты расстреляли 11 крестьян, пытавшихся оставить немного хлеба для своих детей. В селе Свиридово гитлеровские бандиты отняли у крестьян не только скот и хлеб, но и всю одежду, обувь, домашние вещи. Все мужчины, женщины и подростки, проживающие в деревнях Белово, Степановка и Вакулино, угнаны немецко-фашистским отрядом в неизвестном направлении. Маленькие дети брошены на произвол судьбы. В деревне Степановка крестьянка Глушенко пыталась взять с собою свою 3-летнюю дочь. Рассвирепевший фашистский офицер застрелил их обеих. В селе Антоново гитлеровцы арестовали всех стариков и потребовали, чтобы они выдали сельских активистов. Арестованных избивали и зверски мучили, но они стойко и мужественно перенесли все пытки, не выдав своих односельчан. Палачи расстреляли на сельской площади пять старейших крестьян.» (14836).</w:t>
      </w:r>
    </w:p>
    <w:p w14:paraId="00DB3D1E" w14:textId="77777777" w:rsidR="002755D5" w:rsidRPr="00640820" w:rsidRDefault="002755D5" w:rsidP="00640820">
      <w:pPr>
        <w:spacing w:after="0" w:line="240" w:lineRule="auto"/>
        <w:jc w:val="both"/>
        <w:rPr>
          <w:rFonts w:ascii="Times New Roman" w:hAnsi="Times New Roman"/>
          <w:color w:val="000000" w:themeColor="text1"/>
          <w:sz w:val="16"/>
          <w:szCs w:val="16"/>
        </w:rPr>
      </w:pPr>
    </w:p>
    <w:p w14:paraId="75C44E09" w14:textId="77777777" w:rsidR="00B67F30" w:rsidRPr="00640820" w:rsidRDefault="00B67F30" w:rsidP="00640820">
      <w:pPr>
        <w:pStyle w:val="ae"/>
        <w:spacing w:before="0" w:after="0"/>
        <w:jc w:val="both"/>
        <w:textAlignment w:val="baseline"/>
        <w:rPr>
          <w:color w:val="000000" w:themeColor="text1"/>
          <w:sz w:val="16"/>
          <w:szCs w:val="16"/>
        </w:rPr>
      </w:pPr>
      <w:r w:rsidRPr="00640820">
        <w:rPr>
          <w:color w:val="000000" w:themeColor="text1"/>
          <w:sz w:val="16"/>
          <w:szCs w:val="16"/>
        </w:rPr>
        <w:t>20 ноября 1941 в связи с улучшением погоды и получением авиационными полками пополнений интенсивность боевой работы резко возросла. ВВС ЮЗФ произвели 232 самолето-вылета, в том числе 150 на атаку наземных целей. Одной из главных задач штурмовиков снова стали жилые дома, по всей видимости с тем, чтобы в преддверии наступающей зимы лишить немцев крова над головой. Летчики отчитались о том, что ими «зажжено 30 домов», уничтожено еще 10 домов. С заданий на этот раз не вернулись сразу два Ил-2 (19522).</w:t>
      </w:r>
    </w:p>
    <w:p w14:paraId="06F29A92" w14:textId="77777777" w:rsidR="00B67F30" w:rsidRPr="00640820" w:rsidRDefault="00B67F30" w:rsidP="00640820">
      <w:pPr>
        <w:pStyle w:val="ae"/>
        <w:spacing w:before="0" w:after="0"/>
        <w:jc w:val="both"/>
        <w:textAlignment w:val="baseline"/>
        <w:rPr>
          <w:color w:val="000000" w:themeColor="text1"/>
          <w:sz w:val="16"/>
          <w:szCs w:val="16"/>
        </w:rPr>
      </w:pPr>
    </w:p>
    <w:p w14:paraId="135396BC" w14:textId="77777777" w:rsidR="00E40BF2" w:rsidRPr="00640820" w:rsidRDefault="00E40BF2"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20 ноября 1941, согласно отчету о боевой работе ВВС ЮЗФ, штурмовики и истребители снова наносили удары по скоплениям войск, танков, автомашин и обозов и автоколоннам. Среди пораженных целей снова значились немалые трофеи: три танка, шесть автомашин, 50 повозок с пехотой и грузами и рота пехоты. Кроме того, в отчете было указано, что «сожжено 11 домов» в Малиновке и Червонном Шахтере. При этом не уточнялось, были ли это «дома с гитлеровцами», «дома с пехотой» или же просто жилые дома с местными жителями. В отчете значился «10980», который был подбит огнем зенитной артиллерии и совершил вынужденную посадку в 15 километрах северо</w:t>
      </w:r>
      <w:r w:rsidRPr="00640820">
        <w:rPr>
          <w:rFonts w:ascii="Times New Roman" w:hAnsi="Times New Roman"/>
          <w:color w:val="0070C0"/>
          <w:sz w:val="16"/>
          <w:szCs w:val="16"/>
        </w:rPr>
        <w:noBreakHyphen/>
        <w:t>западнее Епифани. Далее внизу документа было пояснено, что речь идет о штурмовике Ил</w:t>
      </w:r>
      <w:r w:rsidRPr="00640820">
        <w:rPr>
          <w:rFonts w:ascii="Times New Roman" w:hAnsi="Times New Roman"/>
          <w:color w:val="0070C0"/>
          <w:sz w:val="16"/>
          <w:szCs w:val="16"/>
        </w:rPr>
        <w:noBreakHyphen/>
        <w:t>2 (23199).</w:t>
      </w:r>
    </w:p>
    <w:p w14:paraId="08CA58C2" w14:textId="77777777" w:rsidR="00E40BF2" w:rsidRPr="00640820" w:rsidRDefault="00E40BF2" w:rsidP="00640820">
      <w:pPr>
        <w:spacing w:after="0" w:line="240" w:lineRule="auto"/>
        <w:jc w:val="both"/>
        <w:rPr>
          <w:rFonts w:ascii="Times New Roman" w:hAnsi="Times New Roman"/>
          <w:color w:val="0070C0"/>
          <w:sz w:val="16"/>
          <w:szCs w:val="16"/>
        </w:rPr>
      </w:pPr>
    </w:p>
    <w:p w14:paraId="2420964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ноября 1941 вышло Постановление ГКО № 923 [О нормах выдачи овса конскому составу КА.] (7015, 130).</w:t>
      </w:r>
    </w:p>
    <w:p w14:paraId="1130EC7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EC7B8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ноября 1941 вышло Постановление ГКО № 929 [О порядке присвоения очередных воинских званий лицам начальствующего состава ДА.] (7015, 136).</w:t>
      </w:r>
    </w:p>
    <w:p w14:paraId="374CC6C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71E7F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ноября 1941 вышло Постановление ГКО № 930 О проведении мобилизации оленей, оленьих упряжек и ездовых (каюров) в Коми АССР и Архангельской области. (7015, 137).</w:t>
      </w:r>
    </w:p>
    <w:p w14:paraId="07DC4F9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E50B9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ноября 1941 немецкие войска взяли Ростов (4962).</w:t>
      </w:r>
    </w:p>
    <w:p w14:paraId="52F9CC1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173E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November 20 1941 Germans capture Rostov (1037).</w:t>
      </w:r>
    </w:p>
    <w:p w14:paraId="1AD81E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028C6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ноября 1941 немцы захватили Ростов (1037).</w:t>
      </w:r>
    </w:p>
    <w:p w14:paraId="674B05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40DC8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20-23 ноября 1941 согласно сообщению Совинформбюро во время контрнаступления западнее Ростова-на-Дону л сбили в боях 46 самолетов, а с учетом ЗА - 102 (438,826).</w:t>
      </w:r>
    </w:p>
    <w:p w14:paraId="5FDA24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EB6D3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ноября 1941 года - оставлен Крым (2691).</w:t>
      </w:r>
    </w:p>
    <w:p w14:paraId="56EE44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DBB75CE"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20 ноября</w:t>
      </w:r>
      <w:r w:rsidRPr="00640820">
        <w:rPr>
          <w:rFonts w:ascii="Times New Roman" w:hAnsi="Times New Roman"/>
          <w:color w:val="000000" w:themeColor="text1"/>
          <w:sz w:val="16"/>
          <w:szCs w:val="16"/>
        </w:rPr>
        <w:t xml:space="preserve"> в 1941 году 16-я армия К.К.Рокоссовского освободила Волоколамск (14836).</w:t>
      </w:r>
    </w:p>
    <w:p w14:paraId="6BA31D6D" w14:textId="77777777" w:rsidR="002755D5" w:rsidRPr="00640820" w:rsidRDefault="002755D5" w:rsidP="00640820">
      <w:pPr>
        <w:spacing w:after="0" w:line="240" w:lineRule="auto"/>
        <w:jc w:val="both"/>
        <w:rPr>
          <w:rFonts w:ascii="Times New Roman" w:hAnsi="Times New Roman"/>
          <w:color w:val="000000" w:themeColor="text1"/>
          <w:sz w:val="16"/>
          <w:szCs w:val="16"/>
        </w:rPr>
      </w:pPr>
    </w:p>
    <w:p w14:paraId="6BACC446"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20 ноября</w:t>
      </w:r>
      <w:r w:rsidRPr="00640820">
        <w:rPr>
          <w:rFonts w:ascii="Times New Roman" w:hAnsi="Times New Roman"/>
          <w:color w:val="000000" w:themeColor="text1"/>
          <w:sz w:val="16"/>
          <w:szCs w:val="16"/>
        </w:rPr>
        <w:t xml:space="preserve"> в 1941 году войска 52-й отдельной армии овладели городом Малая Вишера (14836).</w:t>
      </w:r>
    </w:p>
    <w:p w14:paraId="5DF29E00" w14:textId="77777777" w:rsidR="002755D5" w:rsidRPr="00640820" w:rsidRDefault="002755D5" w:rsidP="00640820">
      <w:pPr>
        <w:spacing w:after="0" w:line="240" w:lineRule="auto"/>
        <w:jc w:val="both"/>
        <w:rPr>
          <w:rFonts w:ascii="Times New Roman" w:hAnsi="Times New Roman"/>
          <w:color w:val="000000" w:themeColor="text1"/>
          <w:sz w:val="16"/>
          <w:szCs w:val="16"/>
        </w:rPr>
      </w:pPr>
    </w:p>
    <w:p w14:paraId="3FA447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ноября 1941 Дунайская военная флотилия была расформирована и ее корабли передали Азовской военной флотилии, в т.ч. монитор Железняков (1069,47).</w:t>
      </w:r>
    </w:p>
    <w:p w14:paraId="1C571F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5639887"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68DF677B"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D91BD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ноября 1941 начала работу Дорога Жизни в Ленинград (3186).</w:t>
      </w:r>
    </w:p>
    <w:p w14:paraId="3B2D9B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FB383FF"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20 ноября</w:t>
      </w:r>
      <w:r w:rsidRPr="00640820">
        <w:rPr>
          <w:rFonts w:ascii="Times New Roman" w:hAnsi="Times New Roman"/>
          <w:color w:val="000000" w:themeColor="text1"/>
          <w:sz w:val="16"/>
          <w:szCs w:val="16"/>
        </w:rPr>
        <w:t xml:space="preserve"> в 1941 году в Ленинграде произведено пятое снижение продовольственных норм по карточкам: 250 г хлеба на рабочую карточку, 125 г - на карточку служащего, детскую и иждивенческую. Наступил период голодной блокады Ленинграда. Снижены нормы и для войск: войска первой линии стали получать 500 г хлеба, тыловых частей - 300 г (14836).</w:t>
      </w:r>
    </w:p>
    <w:p w14:paraId="04DBA934" w14:textId="77777777" w:rsidR="002755D5" w:rsidRPr="00640820" w:rsidRDefault="002755D5" w:rsidP="00640820">
      <w:pPr>
        <w:spacing w:after="0" w:line="240" w:lineRule="auto"/>
        <w:jc w:val="both"/>
        <w:rPr>
          <w:rFonts w:ascii="Times New Roman" w:hAnsi="Times New Roman"/>
          <w:color w:val="000000" w:themeColor="text1"/>
          <w:sz w:val="16"/>
          <w:szCs w:val="16"/>
        </w:rPr>
      </w:pPr>
    </w:p>
    <w:p w14:paraId="79F6E2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ноября 1941 было пятое снижение пайка в Ленинграде - до 250 г хлеба в день рабочим и 125 служащим и иждивенцам (3481).</w:t>
      </w:r>
    </w:p>
    <w:p w14:paraId="0F49A1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6B805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ноября 1941 в результате пятого по счету снижения продовольственных норм населению Ленинграда по рабочим карточкам стали выдавать по 250 г суррогатного хлеба в день, остальным - по 125 г (10671).</w:t>
      </w:r>
    </w:p>
    <w:p w14:paraId="2CBD78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BCF9B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ноября 1941 в блокадном Ленинграде в очередной раз были снижены нормы выдачи продовольствия. Норма выдачи хлеба достигла минимума: рабочие и инженерно-технические работники получали по 250 граммов в сутки, а служащие, иждивенцы и дети - по 125 граммов. Те самые «сто двадцать пять блокадных грамм, с огнем и кровью пополам». Уже 25 декабря паек был впервые повышен, но эта радость была уже не для всех. Только для тех, кто остался в живых... Когда сейчас все, кому не лень, говорят о возможности голода в России. А в нашем городе в такими вещами не шутят: у жителей города, пережившего Блокаду, память о голоде заложена на подсознательном уровне. Жительница блокадного Ленинграда Елена Скрябина записывает в дневнике: «Наше меню» сошло на утренний кофе с порцией хлеба, выдаваемого на день, и в шесть часов вечера мы съедаем суп, который я приношу из столовой. Врачи уверяют, что если брать два раза в неделю ванну и выпивать в день до трех стаканов жидкости, то можно прожить несколько месяцев. Я очень сомневаюсь в этом» (10739).</w:t>
      </w:r>
    </w:p>
    <w:p w14:paraId="6698C6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E0C19A6"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20 ноября</w:t>
      </w:r>
      <w:r w:rsidRPr="00640820">
        <w:rPr>
          <w:rFonts w:ascii="Times New Roman" w:hAnsi="Times New Roman"/>
          <w:color w:val="000000" w:themeColor="text1"/>
          <w:sz w:val="16"/>
          <w:szCs w:val="16"/>
        </w:rPr>
        <w:t xml:space="preserve"> в 1941 году жительница блокадного Ленинграда Елена Скрябина записывает в дневнике: "Наше меню" сошло на утренний кофе с порцией хлеба, выдаваемого на день, и в шесть часов вечера мы съедаем суп, который я приношу из столовой. Врачи уверяют, что если брать два раза в неделю ванну и выпивать в день до трех стаканов жидкости, то можно прожить несколько месяцев. Я очень сомневаюсь в этом" (14836).</w:t>
      </w:r>
    </w:p>
    <w:p w14:paraId="0140AD81" w14:textId="77777777" w:rsidR="002755D5" w:rsidRPr="00640820" w:rsidRDefault="002755D5" w:rsidP="00640820">
      <w:pPr>
        <w:spacing w:after="0" w:line="240" w:lineRule="auto"/>
        <w:jc w:val="both"/>
        <w:rPr>
          <w:rFonts w:ascii="Times New Roman" w:hAnsi="Times New Roman"/>
          <w:color w:val="000000" w:themeColor="text1"/>
          <w:sz w:val="16"/>
          <w:szCs w:val="16"/>
        </w:rPr>
      </w:pPr>
    </w:p>
    <w:p w14:paraId="294CEA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Между 20 и 26 ноября 1941 вышел Указ Президиума Верховного Совета СССР</w:t>
      </w:r>
    </w:p>
    <w:p w14:paraId="06C0C9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О налоге на холостяков, одиноких и бездетных граждан СССР </w:t>
      </w:r>
    </w:p>
    <w:p w14:paraId="2CEC8F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Президиум Верховного Совета СССР постановляет: </w:t>
      </w:r>
    </w:p>
    <w:p w14:paraId="0A54CE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 Установить с 1 октября 1941 года налог на одиноких и бездетных граждан СССР... </w:t>
      </w:r>
    </w:p>
    <w:p w14:paraId="727E0B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4. С рабочих и служащих и приравненных к ним по обложению подоходным налогом граждан налог исчисляется предприятиями, учреждениями и организациями по их заработку за прошлый месяц и удерживается из заработной платы за первую половину текущего месяца в следующих размерах: </w:t>
      </w:r>
    </w:p>
    <w:p w14:paraId="688B64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а) при месячном заработке до 150 руб.— в размере 5 руб. в месяц; </w:t>
      </w:r>
    </w:p>
    <w:p w14:paraId="46A06F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б) при месячном заработке свыше 150 руб.— в размере 5% заработка. </w:t>
      </w:r>
    </w:p>
    <w:p w14:paraId="13D4C5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5. С литераторов и работников искусства налог исчисляется предприятиями, учреждениями и организациями в размере 5% их заработной платы и удерживается при каждой выплате заработка. </w:t>
      </w:r>
    </w:p>
    <w:p w14:paraId="64AB3C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6. С остальных граждан налог взимается: </w:t>
      </w:r>
    </w:p>
    <w:p w14:paraId="184D9C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а) с граждан, привлекаемых к обложению подоходным налогом, в размере 5% их дохода, облагаемого подоходным налогом в текущем году; </w:t>
      </w:r>
    </w:p>
    <w:p w14:paraId="746888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с граждан, входящих в состав хозяйств,— в размере 100 руб. в год (11652).</w:t>
      </w:r>
    </w:p>
    <w:p w14:paraId="6958A1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843B21B"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2814629E"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11812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ноября 1941 состоялась танковая битва у Sidi Regezh, куда английские войска подошли днем раньше и на следующий день английское наступление было остановлено (2260).</w:t>
      </w:r>
    </w:p>
    <w:p w14:paraId="03924B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E776F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ноября 1941 начался перелет Ведрине на Блерио с мотором Гном в 80 нр из Франции (Нанси) в Египет (3481).</w:t>
      </w:r>
    </w:p>
    <w:p w14:paraId="670FC2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2A3C6E9"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4012D2A1"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D2739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ноября 1941 г. командир 9 ббап майор Лукин, лично возглавивший шестерку Пе-3, сопровождал самолет С-47, на котором летели маршал С.М. Тимошенко и член Политбюро ЦК ВКП(б) Н.С. Хрущев. В условиях сильной облачности самолеты шли плотной группой. В очередной раз выскочив из облака, Лукин увидел прямо перед собой хвост охраняемого “Дугласа” и отвернул влево. В результате резкого маневра его самолет столкнулся с машиной ведомого и разбился. Лукин и его штурман погибли, экипаж второго самолета спасся на парашютах (4476).</w:t>
      </w:r>
    </w:p>
    <w:p w14:paraId="54CBAF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511FF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ноября 1941 вышло Постановление ГКО № 933 О восстановлении эвакуированных заводов-поставщиков авиационной промышленности. РГАНИР, Фонд ГКО, д. 14, лл. 141-143 (11012).</w:t>
      </w:r>
    </w:p>
    <w:p w14:paraId="3E70D3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96460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ноября 1941 вышло постановление ГКО "О восстановлении эвакуированных заводов-поставщиков авиационной промышленности". Предупредили наркомов, что они лично отвечают за скорейшее восстановление поставок (173,217).</w:t>
      </w:r>
    </w:p>
    <w:p w14:paraId="6ADD38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3D1DD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ноября 1941 г. ГКО приняло постановление «О вос</w:t>
      </w:r>
      <w:r w:rsidRPr="00640820">
        <w:rPr>
          <w:rFonts w:ascii="Times New Roman" w:hAnsi="Times New Roman"/>
          <w:color w:val="000000" w:themeColor="text1"/>
          <w:sz w:val="16"/>
          <w:szCs w:val="16"/>
        </w:rPr>
        <w:softHyphen/>
        <w:t>становлении эвакуированных заводов-поставщиков авиаци</w:t>
      </w:r>
      <w:r w:rsidRPr="00640820">
        <w:rPr>
          <w:rFonts w:ascii="Times New Roman" w:hAnsi="Times New Roman"/>
          <w:color w:val="000000" w:themeColor="text1"/>
          <w:sz w:val="16"/>
          <w:szCs w:val="16"/>
        </w:rPr>
        <w:softHyphen/>
        <w:t>онной промышленности», согласно которому местные пар</w:t>
      </w:r>
      <w:r w:rsidRPr="00640820">
        <w:rPr>
          <w:rFonts w:ascii="Times New Roman" w:hAnsi="Times New Roman"/>
          <w:color w:val="000000" w:themeColor="text1"/>
          <w:sz w:val="16"/>
          <w:szCs w:val="16"/>
        </w:rPr>
        <w:softHyphen/>
        <w:t>тийные и советские органы власти были обязаны оказывать авиазаводам (равно как и другим оборонным предприятиям) всестороннюю помощь в деле подбора производственных площадок, обеспечении их электроэнергией, рабочей силой и удовлетворении хозяйственно-бытовых нужд их персонала. Секретари обкомов и крайкомов были обязаны ежедекадно рапортовать в ГКО о ходе развёртывания авиапроизводства в своих регионах (Самолётостроение в СССР. 1917—1945. Кн. 2. М., 1994. С. 215). В ряде областей, где до войны обкомы имели отделы и секретарей по оборонной промышленности, в 1941—1942 гг. были созданы подразделения, специально курировавшие отдельные подотрасли «оборонки», в том чис</w:t>
      </w:r>
      <w:r w:rsidRPr="00640820">
        <w:rPr>
          <w:rFonts w:ascii="Times New Roman" w:hAnsi="Times New Roman"/>
          <w:color w:val="000000" w:themeColor="text1"/>
          <w:sz w:val="16"/>
          <w:szCs w:val="16"/>
        </w:rPr>
        <w:softHyphen/>
        <w:t>ле — авиастроение (</w:t>
      </w:r>
      <w:r w:rsidRPr="00640820">
        <w:rPr>
          <w:rFonts w:ascii="Times New Roman" w:hAnsi="Times New Roman"/>
          <w:iCs/>
          <w:color w:val="000000" w:themeColor="text1"/>
          <w:sz w:val="16"/>
          <w:szCs w:val="16"/>
        </w:rPr>
        <w:t>Савицкий КМ.</w:t>
      </w:r>
      <w:r w:rsidRPr="00640820">
        <w:rPr>
          <w:rFonts w:ascii="Times New Roman" w:hAnsi="Times New Roman"/>
          <w:color w:val="000000" w:themeColor="text1"/>
          <w:sz w:val="16"/>
          <w:szCs w:val="16"/>
        </w:rPr>
        <w:t xml:space="preserve"> Указ. соч. С. 309).</w:t>
      </w:r>
    </w:p>
    <w:p w14:paraId="652EBB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Заказы НКАПа приравнивались к поставкам танкострои</w:t>
      </w:r>
      <w:r w:rsidRPr="00640820">
        <w:rPr>
          <w:rFonts w:ascii="Times New Roman" w:hAnsi="Times New Roman"/>
          <w:color w:val="000000" w:themeColor="text1"/>
          <w:sz w:val="16"/>
          <w:szCs w:val="16"/>
        </w:rPr>
        <w:softHyphen/>
        <w:t>телям и промышленности боеприпасов, что говорит об от</w:t>
      </w:r>
      <w:r w:rsidRPr="00640820">
        <w:rPr>
          <w:rFonts w:ascii="Times New Roman" w:hAnsi="Times New Roman"/>
          <w:color w:val="000000" w:themeColor="text1"/>
          <w:sz w:val="16"/>
          <w:szCs w:val="16"/>
        </w:rPr>
        <w:softHyphen/>
        <w:t>несении авиапромышленности к особо приоритетным подо</w:t>
      </w:r>
      <w:r w:rsidRPr="00640820">
        <w:rPr>
          <w:rFonts w:ascii="Times New Roman" w:hAnsi="Times New Roman"/>
          <w:color w:val="000000" w:themeColor="text1"/>
          <w:sz w:val="16"/>
          <w:szCs w:val="16"/>
        </w:rPr>
        <w:softHyphen/>
        <w:t>траслям «оборонки». К сожалению, эта деятельность не дала ожидаемого эффекта, и в декабре 1941 г. ГКО было вынуж</w:t>
      </w:r>
      <w:r w:rsidRPr="00640820">
        <w:rPr>
          <w:rFonts w:ascii="Times New Roman" w:hAnsi="Times New Roman"/>
          <w:color w:val="000000" w:themeColor="text1"/>
          <w:sz w:val="16"/>
          <w:szCs w:val="16"/>
        </w:rPr>
        <w:softHyphen/>
        <w:t>дено констатировать, что наркоматы черной, цветной метал</w:t>
      </w:r>
      <w:r w:rsidRPr="00640820">
        <w:rPr>
          <w:rFonts w:ascii="Times New Roman" w:hAnsi="Times New Roman"/>
          <w:color w:val="000000" w:themeColor="text1"/>
          <w:sz w:val="16"/>
          <w:szCs w:val="16"/>
        </w:rPr>
        <w:softHyphen/>
        <w:t>лургии, электропромышленности и химической промышлен</w:t>
      </w:r>
      <w:r w:rsidRPr="00640820">
        <w:rPr>
          <w:rFonts w:ascii="Times New Roman" w:hAnsi="Times New Roman"/>
          <w:color w:val="000000" w:themeColor="text1"/>
          <w:sz w:val="16"/>
          <w:szCs w:val="16"/>
        </w:rPr>
        <w:softHyphen/>
        <w:t>ности не выполнили постановления от 21 ноября, поставки сырья и деталей заводам НКАП были сорваны (</w:t>
      </w:r>
      <w:r w:rsidRPr="00640820">
        <w:rPr>
          <w:rFonts w:ascii="Times New Roman" w:hAnsi="Times New Roman"/>
          <w:iCs/>
          <w:color w:val="000000" w:themeColor="text1"/>
          <w:sz w:val="16"/>
          <w:szCs w:val="16"/>
        </w:rPr>
        <w:t>Захарченко А.В.</w:t>
      </w:r>
      <w:r w:rsidRPr="00640820">
        <w:rPr>
          <w:rFonts w:ascii="Times New Roman" w:hAnsi="Times New Roman"/>
          <w:color w:val="000000" w:themeColor="text1"/>
          <w:sz w:val="16"/>
          <w:szCs w:val="16"/>
        </w:rPr>
        <w:t xml:space="preserve"> Формирование авиапромышленного комплекса в По</w:t>
      </w:r>
      <w:r w:rsidRPr="00640820">
        <w:rPr>
          <w:rFonts w:ascii="Times New Roman" w:hAnsi="Times New Roman"/>
          <w:color w:val="000000" w:themeColor="text1"/>
          <w:sz w:val="16"/>
          <w:szCs w:val="16"/>
        </w:rPr>
        <w:softHyphen/>
        <w:t>волжье накануне и в годы Великой Отечественной войны (1940—1942 гг.). Самара, 2004. С. 17). В январе 1942 г. руководство эвакуированного из Воронежа в Куйбы</w:t>
      </w:r>
      <w:r w:rsidRPr="00640820">
        <w:rPr>
          <w:rFonts w:ascii="Times New Roman" w:hAnsi="Times New Roman"/>
          <w:color w:val="000000" w:themeColor="text1"/>
          <w:sz w:val="16"/>
          <w:szCs w:val="16"/>
        </w:rPr>
        <w:softHyphen/>
        <w:t>шев авиазавода № 18 констатировало, что «пока» ему неиз</w:t>
      </w:r>
      <w:r w:rsidRPr="00640820">
        <w:rPr>
          <w:rFonts w:ascii="Times New Roman" w:hAnsi="Times New Roman"/>
          <w:color w:val="000000" w:themeColor="text1"/>
          <w:sz w:val="16"/>
          <w:szCs w:val="16"/>
        </w:rPr>
        <w:softHyphen/>
        <w:t>вестны поставщики полуфабрикатов и комплектующих...(</w:t>
      </w:r>
      <w:r w:rsidRPr="00640820">
        <w:rPr>
          <w:rFonts w:ascii="Times New Roman" w:hAnsi="Times New Roman"/>
          <w:iCs/>
          <w:color w:val="000000" w:themeColor="text1"/>
          <w:sz w:val="16"/>
          <w:szCs w:val="16"/>
        </w:rPr>
        <w:t>Захарченко А.В.</w:t>
      </w:r>
      <w:r w:rsidRPr="00640820">
        <w:rPr>
          <w:rFonts w:ascii="Times New Roman" w:hAnsi="Times New Roman"/>
          <w:color w:val="000000" w:themeColor="text1"/>
          <w:sz w:val="16"/>
          <w:szCs w:val="16"/>
        </w:rPr>
        <w:t xml:space="preserve"> Формирование авиапромышленного комплекса в По</w:t>
      </w:r>
      <w:r w:rsidRPr="00640820">
        <w:rPr>
          <w:rFonts w:ascii="Times New Roman" w:hAnsi="Times New Roman"/>
          <w:color w:val="000000" w:themeColor="text1"/>
          <w:sz w:val="16"/>
          <w:szCs w:val="16"/>
        </w:rPr>
        <w:softHyphen/>
        <w:t>волжье накануне и в годы Великой Отечественной войны (1940—1942</w:t>
      </w:r>
      <w:r w:rsidRPr="00640820">
        <w:rPr>
          <w:rFonts w:ascii="Times New Roman" w:hAnsi="Times New Roman"/>
          <w:smallCaps/>
          <w:color w:val="000000" w:themeColor="text1"/>
          <w:sz w:val="16"/>
          <w:szCs w:val="16"/>
          <w:lang w:val="en-US"/>
        </w:rPr>
        <w:t>it</w:t>
      </w:r>
      <w:r w:rsidRPr="00640820">
        <w:rPr>
          <w:rFonts w:ascii="Times New Roman" w:hAnsi="Times New Roman"/>
          <w:smallCaps/>
          <w:color w:val="000000" w:themeColor="text1"/>
          <w:sz w:val="16"/>
          <w:szCs w:val="16"/>
        </w:rPr>
        <w:t xml:space="preserve">.). </w:t>
      </w:r>
      <w:r w:rsidRPr="00640820">
        <w:rPr>
          <w:rFonts w:ascii="Times New Roman" w:hAnsi="Times New Roman"/>
          <w:color w:val="000000" w:themeColor="text1"/>
          <w:sz w:val="16"/>
          <w:szCs w:val="16"/>
        </w:rPr>
        <w:t>Самара, 2004. С. 16).К сожалению, этот пример был типичным для того периода.</w:t>
      </w:r>
    </w:p>
    <w:p w14:paraId="4CE5A3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Разумеется, в период эвакуации спад авиавыпуска был неизбежен. Требования советского руководства продолжать выпуск авиатехники прежними темпами синхронно с широ</w:t>
      </w:r>
      <w:r w:rsidRPr="00640820">
        <w:rPr>
          <w:rFonts w:ascii="Times New Roman" w:hAnsi="Times New Roman"/>
          <w:color w:val="000000" w:themeColor="text1"/>
          <w:sz w:val="16"/>
          <w:szCs w:val="16"/>
        </w:rPr>
        <w:softHyphen/>
        <w:t>комасштабным перебазированием промышленности на вос</w:t>
      </w:r>
      <w:r w:rsidRPr="00640820">
        <w:rPr>
          <w:rFonts w:ascii="Times New Roman" w:hAnsi="Times New Roman"/>
          <w:color w:val="000000" w:themeColor="text1"/>
          <w:sz w:val="16"/>
          <w:szCs w:val="16"/>
        </w:rPr>
        <w:softHyphen/>
        <w:t>ток остались благими пожеланиями в силу своей очевидной невыполнимости. Уже в ноябре фактический авиавыпуск упал до отметки 627 самолётов (то есть в 3,6 раза меньше, чем в сентябре) (12011).</w:t>
      </w:r>
    </w:p>
    <w:p w14:paraId="20ACC5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F16E8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ноября 1941 вышел приказ НКАП N 1150сс "О восстановлении эвакуированных заводов-поставщиков авиационной промышленности":</w:t>
      </w:r>
    </w:p>
    <w:p w14:paraId="4CE583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Наркомтанкопром:</w:t>
      </w:r>
    </w:p>
    <w:p w14:paraId="1C0224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обеспечить поставку бронекорпусов Ил-2, бронеспинок и бронедеталей для всех типов самолетов в количествах, в полном соответствии с решением ГКО от 27 августа 1941 по заводам 183 Уралвагонзавод и 264.</w:t>
      </w:r>
    </w:p>
    <w:p w14:paraId="194734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на Куйбышевском мехзаводе наряду с организацией производства корпусов для танков организовать также производство бронекорпусов Ил-2, эвакуированное в Куйбышев с Подольского завода им. Орджоникидзе и бронеспинок и бронедеталей для всех типов самолетов, доведя мощность Куйбышевского мех. завода по бронекорпусам для Ил-2 к 1 февраля 1942 до 700 шт в месяц, в по бронеспинкам и бронедеталям - до 1700 комплектов в месяц</w:t>
      </w:r>
    </w:p>
    <w:p w14:paraId="5BAC8F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Наркомхимпром - обеспечить производство бронекозырьков для Ил-2 на заводе К-4 в Челябинской обл. (дублер Горьковского завода 148), начав выпуск с 1 января 1942 (1331,14).</w:t>
      </w:r>
    </w:p>
    <w:p w14:paraId="05FCE0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148E83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ноября 1941 вышло Постановление ГКО № 932 Об ускорении продвижения эшелонов эвакуированных заводов Наркомавиапрома и о мероприятиях по ускорению строительства и пуска авиационных заводов. (7015, 139-140).</w:t>
      </w:r>
    </w:p>
    <w:p w14:paraId="7500AA3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8E0673"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249A2BF1"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9947E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ноября 1941 указом Президиума ВС Наркомат общего машиностроения был преобразован в наркомат минометного вооружения и в него в начале войны входило 147 заводов, хотя к концу года их число сократилось до 64 (1566,139).</w:t>
      </w:r>
    </w:p>
    <w:p w14:paraId="60D694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30AFD9D" w14:textId="77777777" w:rsidR="00B67F30" w:rsidRPr="00640820" w:rsidRDefault="00B67F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ноября 1941 г. Указом Президиума Верховного Совета СССР Наркомат общего машиностроения СССР был преобразован в Наркомат минометного вооружения СССР. В начале Великой Отечественной войны в НКМВ входило 147 предприятий, из которых во второй половине 1941 г. действующими являлись 64 предприятия.</w:t>
      </w:r>
    </w:p>
    <w:p w14:paraId="77B03C16" w14:textId="77777777" w:rsidR="00B67F30" w:rsidRPr="00640820" w:rsidRDefault="00B67F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Специализация предприятий нового военно-промышленного наркомата – НКМВ СССР – в целом определилась условиями Мобилизационного плана Наркомата общего машиностроения СССР, согласно которому заводы бывшего Главсельмаша перестроились на массовое производство корпусов мин; заводы бывшего Главхиммаша – на серийное и массовое производство корпусов мин, авиабомб и снарядов; заводы бывшего Главтекстильмаша – на массовый выпуск ротных и батальонных минометов, а заводы бывшего Главстройреммаша – на массовое производство крупнокалиберных минометов. Предприятия, входившие в состав Главпродмаша, Главприбора и Главармалита начали осваивать серийное производство взрывателей, авиационных бомб, артиллерийских снарядов, приборов управления зенитным артиллерийским огнем и пистолетов-пулеметов системы Шпагина (18677).</w:t>
      </w:r>
    </w:p>
    <w:p w14:paraId="3EFDFFD8" w14:textId="77777777" w:rsidR="00B67F30" w:rsidRPr="00640820" w:rsidRDefault="00B67F30" w:rsidP="00640820">
      <w:pPr>
        <w:spacing w:after="0" w:line="240" w:lineRule="auto"/>
        <w:jc w:val="both"/>
        <w:rPr>
          <w:rFonts w:ascii="Times New Roman" w:hAnsi="Times New Roman"/>
          <w:color w:val="000000" w:themeColor="text1"/>
          <w:sz w:val="16"/>
          <w:szCs w:val="16"/>
        </w:rPr>
      </w:pPr>
    </w:p>
    <w:p w14:paraId="314CD205" w14:textId="77777777" w:rsidR="00515354" w:rsidRPr="00640820" w:rsidRDefault="00515354"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21 ноября 1941 года начальник 2 управления ГУС КА, отвечающего за снабжение Действующей армии радиоимуществом, бригадный инженер Муравьев и военный комиссар этого управления военинженер 2 ранга Балашов составили отчет о состоянии радиозаводов средств связи и перспективах поставки радиоимущества в ноябре-декабре:</w:t>
      </w:r>
    </w:p>
    <w:p w14:paraId="6B21C768" w14:textId="77777777" w:rsidR="00515354" w:rsidRPr="00640820" w:rsidRDefault="00515354"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Завод № 617. «Завод начал эвакуироваться из Ленинграда в Новосибирск в июле месяце. Все оборудование в настоящий момент прибыло. Для пуска завода необходима предварительная постройка газового и стекольного заводов. Постройка их еще не закончена. Завод испытывает большие трудности в строительных материалах, квалифицированной рабочей силе и автотранспорте. Намеченный на 20 ноября пуск завода сорван. Реальным сроком пуска завода можно считать первую половину декабря. Задержка с пуском завода грозит оставить без радиоламп всю радиопромышленность. Завод перегружен заказами наркомата боеприпасов. (Ожидаемое поступление на 500 тыс. руб.).»</w:t>
      </w:r>
    </w:p>
    <w:p w14:paraId="09EBC676" w14:textId="77777777" w:rsidR="00515354" w:rsidRPr="00640820" w:rsidRDefault="00515354"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lastRenderedPageBreak/>
        <w:t>Завод № 211. «Часть оборудования завода оставлена в Ленинграде. Завод производит в незначительном количестве все основные типы ламп. (Ожидаемое поступление в ноябре – на 200 тыс. руб., в декабре – на 200 тыс. руб.).»</w:t>
      </w:r>
    </w:p>
    <w:p w14:paraId="35296313" w14:textId="77777777" w:rsidR="00515354" w:rsidRPr="00640820" w:rsidRDefault="00515354"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Завод № 191. «Эвакуирован из Щелкова в ноябре м-це. Основную часть завода намечено было эвакуировать в Уфу, затем решение было пересмотрено и завод направлен в г. Ташкент. Данных о прибытии завода на новое место и готовности его к выпуску продукции нет. (Нет опредполагаемых результатах его будущей работы.)» (17424).</w:t>
      </w:r>
    </w:p>
    <w:p w14:paraId="0FCAB150" w14:textId="77777777" w:rsidR="00515354" w:rsidRPr="00640820" w:rsidRDefault="00515354"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p>
    <w:p w14:paraId="6E0102A2"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37CEE003"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674A0F1"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21 ноября </w:t>
      </w:r>
      <w:r w:rsidRPr="00640820">
        <w:rPr>
          <w:rFonts w:ascii="Times New Roman" w:hAnsi="Times New Roman"/>
          <w:color w:val="000000" w:themeColor="text1"/>
          <w:sz w:val="16"/>
          <w:szCs w:val="16"/>
        </w:rPr>
        <w:t>в 1941 году утреннее сообщение Совинформбюро:</w:t>
      </w:r>
    </w:p>
    <w:p w14:paraId="134F0CD4"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21 ноября наши войска вели бои с противником на всех фронтах.</w:t>
      </w:r>
    </w:p>
    <w:p w14:paraId="5AABDB3C"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авиационные части, действующие на Южном фронте, за один день боёв уничтожили 215 немецких автомашин, 32 танка, большое количество пулемётов, орудий, подвод с продовольствием, несколько цистерн с горючим и истребили более 1.300 фашистских солдат.</w:t>
      </w:r>
    </w:p>
    <w:p w14:paraId="0E066BCF"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Части тт. Крейзера и Давидова, действующие на одном из участков Юго-Западного фронта, отбили ожесточённую атаку вражеской пехоты, поддержанную 200 танками. За три дня боёв немцы потеряли 55 танков. На поле боя остались тысячи трупов солдат противника.</w:t>
      </w:r>
    </w:p>
    <w:p w14:paraId="2762A3F7"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Смело громят фашистов партизаны отряда тов. К., действующего в Крыму. На днях разведка партизан донесла, что фашисты стягивают к городу С. орудия крупного калибра. Бойцы решили задержать вражеских артиллеристов. В течение ночи партизаны с помощью населения вырыли больше десятка ям-ловушек и на протяжении нескольких километров минировали отдельные участки дороги. К утру на шоссе появились немцы. Головную машину с немецкими офицерами партизаны обстреляли из автоматов и убили четырёх фашистов. Выделив группу солдат для отражения атаки партизан, немцы продолжали движение вперёд. Вскоре в яму-ловушку провалилось первое орудие. Второе орудие вместе с обслуживающей его прислугой наткнулось на мину и взорвалось. В течение многих часов партизаны вели бой с немецкими артиллеристами, и только после прибытия батальона вражеской пехоты советские патриоты скрылись. За один день немцы в результате отважных действий партизанского отряда тов. К. потеряли 2 тяжёлых орудия, 8 грузовых машин, 42 солдата и 5 офицеров убитыми и ранеными.</w:t>
      </w:r>
    </w:p>
    <w:p w14:paraId="0E390450"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последние дни в ряде районов Польши произошли крупные выступления крестьян против германских властей. В районах Пилава и Ласкажев немцы объявили мобилизацию всех польских крестьян на военные работы. После массового отказа крестьян выполнить требования оккупационных властей немцы окружили и сожгли дотла четыре польские деревни. В огне погибло около 60 человек, в том числе много женщин и детей. Крестьяне попытались затушить пожары. Тогда немецкие солдаты открыли по ним огонь из автоматов. Убито и ранено свыше ста человек.</w:t>
      </w:r>
    </w:p>
    <w:p w14:paraId="3C6732C6"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всех предприятиях страны в ответ на выступление товарища Сталина в дни празднования XXIV годовщины Великой Октябрьской социалистической революции организуются сталинские вахты. В первый день сталинской вахты заготовительный цех депо Шилка дороги имени Молотова выполнил задание на 216 процентов. Слесарь тов. Кисляк дал более двух с половиной норм. Тов. Евстафьев, работая на двух станках, выполнил девять норм, токарь тов. Новосёлов — четыре нормы. Слесарь сборочного цеха Красноярского паровозоремонтного завода тов. Болтин, освоив профессию котельщика, перевыполняет сменную норму в два раза. На Саратовском заводе комбайнов шестьсот молодых рабочих дают по две нормы в смену, и больше. Тов. Менчин перевыполняет сменные нормы в 3 раза, тов. Кулезнев — в четыре раза. Большими успехами отмечают первые дни сталинской вахты рабочие комбината Балейзолото, Читинской области. Три откатчика т.т. Баранов, Подойницын и Сапожников в первый день вахты откатили 375 вагончиков, в то время как раньше пять откатчиков вывозили 250 вагончиков в смену.» (14836).</w:t>
      </w:r>
    </w:p>
    <w:p w14:paraId="5E13BB3B" w14:textId="77777777" w:rsidR="002755D5" w:rsidRPr="00640820" w:rsidRDefault="002755D5" w:rsidP="00640820">
      <w:pPr>
        <w:spacing w:after="0" w:line="240" w:lineRule="auto"/>
        <w:jc w:val="both"/>
        <w:rPr>
          <w:rFonts w:ascii="Times New Roman" w:hAnsi="Times New Roman"/>
          <w:color w:val="000000" w:themeColor="text1"/>
          <w:sz w:val="16"/>
          <w:szCs w:val="16"/>
        </w:rPr>
      </w:pPr>
    </w:p>
    <w:p w14:paraId="3602B674"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21 ноября </w:t>
      </w:r>
      <w:r w:rsidRPr="00640820">
        <w:rPr>
          <w:rFonts w:ascii="Times New Roman" w:hAnsi="Times New Roman"/>
          <w:color w:val="000000" w:themeColor="text1"/>
          <w:sz w:val="16"/>
          <w:szCs w:val="16"/>
        </w:rPr>
        <w:t>в 1941 году вечернее сообщение Совинформбюро:</w:t>
      </w:r>
    </w:p>
    <w:p w14:paraId="211E48D3"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21 ноября наши войска вели бои с противником на всех фронтах. Особенно ожесточённые бои происходили на Ростовском (Ростов-на-Дону), Волоколамском и Тульском участках фронта.</w:t>
      </w:r>
    </w:p>
    <w:p w14:paraId="21DC8179"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20 ноября уничтожено 8 немецких самолётов.</w:t>
      </w:r>
    </w:p>
    <w:p w14:paraId="235FC8FD"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корабли в Баренцевом море потопили три транспорта противника общим водоизмещением не в 1.900 тонн, как об этом было указано в сообщении Совинформбюро 20 ноября, а в 19.000 тонн.</w:t>
      </w:r>
    </w:p>
    <w:p w14:paraId="2CAE5712"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19 ноября частями нашей авиации, действующей на Западном и Ростовском (Ростов-на-Дону) участках фронта, уничтожено 65 немецких танков, более 270 автомашин с пехотой и боеприпасами, свыше двух батальонов пехоты и один эскадрон кавалерии противника.</w:t>
      </w:r>
    </w:p>
    <w:p w14:paraId="374F1A1E"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части, действующие на одном из участков Западного фронта, 20 ноября в упорном бою с противником уничтожили, по неполным данным, около 60 немецких танков, более 70 автомашин с войсками, несколько пулемётных и миномётных батарей и истребили до четырёх батальонов вражеской пехоты.</w:t>
      </w:r>
    </w:p>
    <w:p w14:paraId="70A9BCCC"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Подразделения командира тов. Козика, действующие на одном из участков Ленинградского фронта, в двухдневных упорных боях нанесли серьёзное поражение противнику. Фашисты потеряли до 1.500 убитыми. Наши войска захватили много пленных.</w:t>
      </w:r>
    </w:p>
    <w:p w14:paraId="3ABCDE63"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Отважно действуют партизаны районов Московской области, захваченных немцами, помогая Красной Армии оборонять Москву и истреблять живую силу и технику немецких оккупантов. Отряд председателя райисполкома тов. П. уничтожил 2 немецкие штабные автомашины, истребив при этом 12 фашистских офицеров. Этот же отряд сжёг самолёт «Мессершмитт-109», сделавший вынужденную посадку у селения Н., и уничтожил имевшую большое значение линию телефонно-телеграфной связи. Другой партизанский отряд под командованием тов. У. за несколько дней боевых действий уничтожил 3 автомашины, автоцистерну с бензином, несколько подвод с артиллерийскими снарядами и истребил 20 немецких солдат и 7 офицеров. Группа партизан под командованием тов. 3. 9 ноября вступила в бой с остановившимися на отдых немецкими танкистами и перебила экипажи 7 танков. Успешно действует отряд товарища Г. В течение нескольких дней партизаны уничтожили 3 автомашины с солдатами, сожгли самолёт «Хейнкель-111» и истребили 80 солдат и 4 офицеров противника.</w:t>
      </w:r>
    </w:p>
    <w:p w14:paraId="7AAC549A"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ноября группа партизан под руководством тов. Г. совершила смелое нападение на фашистский отряд численностью в 50 человек. В коротком бою советские патриоты убили 3 немецких офицеров и 19 солдат. Остальные фашисты разбежались. После боя партизаны разрушили в ряде мест телефонно-телеграфную линию и минировали стратегически важную дорогу. На минах подорвалось несколько вражеских танков.</w:t>
      </w:r>
    </w:p>
    <w:p w14:paraId="40369394"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Советские граждане, пришедшие из города Орла, захваченного противником, в расположение наших частей, сообщают о зверских преступлениях немецко-фашистских мерзавцев. Токарь тов. Васнецов рассказывает: «Гитлеровские бандиты установили в Орле в центре города виселицу. Первым они повесили старика, протестовавшего против грабежей. Рядом с ним повесили несколько граждан, отказавшихся участвовать «в сборе» тёплых вещей для фашистов». Учитель тов. Варламов говорит: «На многих улицах Орла лежат неубранные трупы невинно замученных и казнённых людей. Фашистские негодяи останавливают прохожих, срывают с них тёплую одежду, обувь, забирают деньги и ценные вещи. При малейшем протесте немцы тут же расстреливают ограбленных. Дома и магазины разграблены. Население голодает». Жена диспетчера тов. Корчевская сообщила о чудовищных злодеяниях фашистских разбойников в железнодорожном посёлке: «На одной из улиц посёлка фашисты учинили зверскую расправу над группой детей железнодорожников. Бандиты застрелили девять детей в возрасте 8-11 лет».</w:t>
      </w:r>
    </w:p>
    <w:p w14:paraId="08C86385"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связи с продолжающимся вывозом продовольствия из обнищавшей Италии в Германию в Италии всё острее ощущается недостаток продовольствия. В магазинах Рима невозможно достать самых необходимых предметов домашнего обихода. Население города целыми днями простаивает в очередях, чтобы получить мизерную норму овощей. Из всех ресторанов Рима уже давно исчезли мясные блюда. Спекулятивные цены на продукты достигли огромных размеров. Спекулянты наживают миллионные состояния.» (14836).</w:t>
      </w:r>
    </w:p>
    <w:p w14:paraId="0A9E9520" w14:textId="77777777" w:rsidR="002755D5" w:rsidRPr="00640820" w:rsidRDefault="002755D5" w:rsidP="00640820">
      <w:pPr>
        <w:spacing w:after="0" w:line="240" w:lineRule="auto"/>
        <w:jc w:val="both"/>
        <w:rPr>
          <w:rFonts w:ascii="Times New Roman" w:hAnsi="Times New Roman"/>
          <w:color w:val="000000" w:themeColor="text1"/>
          <w:sz w:val="16"/>
          <w:szCs w:val="16"/>
        </w:rPr>
      </w:pPr>
    </w:p>
    <w:p w14:paraId="3D36C63C" w14:textId="77777777" w:rsidR="00E40BF2" w:rsidRPr="00640820" w:rsidRDefault="00E40BF2"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21 ноября 1941, согласно отчету о боевой работе ВВС ЮЗФ, в связи с улучшением погоды и получением авиационными полками пополнений интенсивность боевой работы резко возросла. ВВС ЮЗФ произвели 232 самолето</w:t>
      </w:r>
      <w:r w:rsidRPr="00640820">
        <w:rPr>
          <w:rFonts w:ascii="Times New Roman" w:hAnsi="Times New Roman"/>
          <w:color w:val="0070C0"/>
          <w:sz w:val="16"/>
          <w:szCs w:val="16"/>
        </w:rPr>
        <w:noBreakHyphen/>
        <w:t>вылета, в том числе 150 на атаку наземных целей. Одной из главных задач штурмовиков снова стали жилые дома, по всей видимости с тем, чтобы в преддверии наступающей зимы лишить немцев крова над головой. Летчики отчитались о том, что ими «зажжено 30 домов», уничтожено еще 10 домов. С заданий на этот раз не вернулись сразу два Ил</w:t>
      </w:r>
      <w:r w:rsidRPr="00640820">
        <w:rPr>
          <w:rFonts w:ascii="Times New Roman" w:hAnsi="Times New Roman"/>
          <w:color w:val="0070C0"/>
          <w:sz w:val="16"/>
          <w:szCs w:val="16"/>
        </w:rPr>
        <w:noBreakHyphen/>
        <w:t>2.</w:t>
      </w:r>
    </w:p>
    <w:p w14:paraId="795FB6CC" w14:textId="77777777" w:rsidR="00E40BF2" w:rsidRPr="00640820" w:rsidRDefault="00E40BF2"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Непонятным остается, чем отличалось определение «зажжено» от ранее упоминавшегося «подожжено» и что вообще означают эти фразы. Чем, скажем, подожженный дом отличался от разрушенного. Тем, что в нем в результате обстрела или близких попаданий начался пожар, но потом был потушен? Или же дом загорелся, но сгорел он целиком или нет, летчики уже не могли наблюдать (23199).</w:t>
      </w:r>
    </w:p>
    <w:p w14:paraId="67F4A97E" w14:textId="77777777" w:rsidR="00E40BF2" w:rsidRPr="00640820" w:rsidRDefault="00E40BF2" w:rsidP="00640820">
      <w:pPr>
        <w:spacing w:after="0" w:line="240" w:lineRule="auto"/>
        <w:jc w:val="both"/>
        <w:rPr>
          <w:rFonts w:ascii="Times New Roman" w:hAnsi="Times New Roman"/>
          <w:color w:val="0070C0"/>
          <w:sz w:val="16"/>
          <w:szCs w:val="16"/>
        </w:rPr>
      </w:pPr>
    </w:p>
    <w:p w14:paraId="00CB9BC2"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21 ноября </w:t>
      </w:r>
      <w:r w:rsidRPr="00640820">
        <w:rPr>
          <w:rFonts w:ascii="Times New Roman" w:hAnsi="Times New Roman"/>
          <w:color w:val="000000" w:themeColor="text1"/>
          <w:sz w:val="16"/>
          <w:szCs w:val="16"/>
        </w:rPr>
        <w:t>в 1941 году немецкие войска заняли Щигры (14836).</w:t>
      </w:r>
    </w:p>
    <w:p w14:paraId="1E231E9F" w14:textId="77777777" w:rsidR="002755D5" w:rsidRPr="00640820" w:rsidRDefault="002755D5" w:rsidP="00640820">
      <w:pPr>
        <w:spacing w:after="0" w:line="240" w:lineRule="auto"/>
        <w:jc w:val="both"/>
        <w:rPr>
          <w:rFonts w:ascii="Times New Roman" w:hAnsi="Times New Roman"/>
          <w:color w:val="000000" w:themeColor="text1"/>
          <w:sz w:val="16"/>
          <w:szCs w:val="16"/>
        </w:rPr>
      </w:pPr>
    </w:p>
    <w:p w14:paraId="445A75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November 21, 1941: Units of 1.Panzergruppe (von Kleist) III.Panzerkorps (von Mackensen) capture Rostov-on-Don (3819).</w:t>
      </w:r>
    </w:p>
    <w:p w14:paraId="5D5F8B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3584EA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ноября 1941 КА оставила Ростов-на-Дону (3186).</w:t>
      </w:r>
    </w:p>
    <w:p w14:paraId="472A2A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7B824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ноября 1941 года войска южного фронта перешли в наступление, и 29 ноября фашистские войска были изгнаны из Ростова и отброшены за реку Миус (9704).</w:t>
      </w:r>
    </w:p>
    <w:p w14:paraId="2E4A23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D2F06F4"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21 ноября </w:t>
      </w:r>
      <w:r w:rsidRPr="00640820">
        <w:rPr>
          <w:rFonts w:ascii="Times New Roman" w:hAnsi="Times New Roman"/>
          <w:color w:val="000000" w:themeColor="text1"/>
          <w:sz w:val="16"/>
          <w:szCs w:val="16"/>
        </w:rPr>
        <w:t>в 1941 году на луганском направлении советские войска остановили наступление противника севернее Кадиевки (14836).</w:t>
      </w:r>
    </w:p>
    <w:p w14:paraId="402AB40E" w14:textId="77777777" w:rsidR="002755D5" w:rsidRPr="00640820" w:rsidRDefault="002755D5" w:rsidP="00640820">
      <w:pPr>
        <w:spacing w:after="0" w:line="240" w:lineRule="auto"/>
        <w:jc w:val="both"/>
        <w:rPr>
          <w:rFonts w:ascii="Times New Roman" w:hAnsi="Times New Roman"/>
          <w:color w:val="000000" w:themeColor="text1"/>
          <w:sz w:val="16"/>
          <w:szCs w:val="16"/>
        </w:rPr>
      </w:pPr>
    </w:p>
    <w:p w14:paraId="414A48D7"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lastRenderedPageBreak/>
        <w:t xml:space="preserve">21 ноября </w:t>
      </w:r>
      <w:r w:rsidRPr="00640820">
        <w:rPr>
          <w:rFonts w:ascii="Times New Roman" w:hAnsi="Times New Roman"/>
          <w:color w:val="000000" w:themeColor="text1"/>
          <w:sz w:val="16"/>
          <w:szCs w:val="16"/>
        </w:rPr>
        <w:t>в 1941 году советские войска оставили Ростов-на-Дону и отошли за Дон и в сторону Новочеркасска (14836).</w:t>
      </w:r>
    </w:p>
    <w:p w14:paraId="59D92C15" w14:textId="77777777" w:rsidR="002755D5" w:rsidRPr="00640820" w:rsidRDefault="002755D5" w:rsidP="00640820">
      <w:pPr>
        <w:spacing w:after="0" w:line="240" w:lineRule="auto"/>
        <w:jc w:val="both"/>
        <w:rPr>
          <w:rFonts w:ascii="Times New Roman" w:hAnsi="Times New Roman"/>
          <w:color w:val="000000" w:themeColor="text1"/>
          <w:sz w:val="16"/>
          <w:szCs w:val="16"/>
        </w:rPr>
      </w:pPr>
    </w:p>
    <w:p w14:paraId="7B7D0282"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21 ноября </w:t>
      </w:r>
      <w:r w:rsidRPr="00640820">
        <w:rPr>
          <w:rFonts w:ascii="Times New Roman" w:hAnsi="Times New Roman"/>
          <w:color w:val="000000" w:themeColor="text1"/>
          <w:sz w:val="16"/>
          <w:szCs w:val="16"/>
        </w:rPr>
        <w:t>в 1941 году понеся значительные потери, 11-я немецкая армия перешла к планомерной осаде Севастополя. С 22 июня 1941 до 10 мая 1942 на город совершено 207 налетов авиации, сброшено 2700 фугасных и 3 тысяч зажигательных бомб, выпущено свыше 9 тысяч артиллерийских снарядов. Полностью разрушены 310 домов и 1 тысяча повреждена. Из Севастополя эвакуировано 75 тысяч жителей города и других районов Крыма. В народное ополчение вступило 15 тысяч человек (14836).</w:t>
      </w:r>
    </w:p>
    <w:p w14:paraId="05D6301D" w14:textId="77777777" w:rsidR="002755D5" w:rsidRPr="00640820" w:rsidRDefault="002755D5" w:rsidP="00640820">
      <w:pPr>
        <w:spacing w:after="0" w:line="240" w:lineRule="auto"/>
        <w:jc w:val="both"/>
        <w:rPr>
          <w:rFonts w:ascii="Times New Roman" w:hAnsi="Times New Roman"/>
          <w:color w:val="000000" w:themeColor="text1"/>
          <w:sz w:val="16"/>
          <w:szCs w:val="16"/>
        </w:rPr>
      </w:pPr>
    </w:p>
    <w:p w14:paraId="050077D2"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7E015800"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499F85B"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21 ноября </w:t>
      </w:r>
      <w:r w:rsidRPr="00640820">
        <w:rPr>
          <w:rFonts w:ascii="Times New Roman" w:hAnsi="Times New Roman"/>
          <w:color w:val="000000" w:themeColor="text1"/>
          <w:sz w:val="16"/>
          <w:szCs w:val="16"/>
        </w:rPr>
        <w:t>в 1941 году в ходе Великой Отечественной войны во время блокады фашистскими войсками Ленинграда была открыта "Дорога жизни", связавшая осажденный город с Большой землей. Первая колонна из 60 автомашин с санями на прицепах отправилась по льду на восточный берег Ладожского озера и к вечеру достигла порта Кобона. За время действия ледовой трассы из тыла в блокадный город были доставлены сотни тонн грузов (14836).</w:t>
      </w:r>
    </w:p>
    <w:p w14:paraId="71D97460" w14:textId="77777777" w:rsidR="002755D5" w:rsidRPr="00640820" w:rsidRDefault="002755D5" w:rsidP="00640820">
      <w:pPr>
        <w:spacing w:after="0" w:line="240" w:lineRule="auto"/>
        <w:jc w:val="both"/>
        <w:rPr>
          <w:rFonts w:ascii="Times New Roman" w:hAnsi="Times New Roman"/>
          <w:color w:val="000000" w:themeColor="text1"/>
          <w:sz w:val="16"/>
          <w:szCs w:val="16"/>
        </w:rPr>
      </w:pPr>
    </w:p>
    <w:p w14:paraId="3E52855B"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21 ноября </w:t>
      </w:r>
      <w:r w:rsidRPr="00640820">
        <w:rPr>
          <w:rFonts w:ascii="Times New Roman" w:hAnsi="Times New Roman"/>
          <w:color w:val="000000" w:themeColor="text1"/>
          <w:sz w:val="16"/>
          <w:szCs w:val="16"/>
        </w:rPr>
        <w:t>в 1941 году распоряжение СНК СССР о выселении немцев из Куйбышевской области (14836).</w:t>
      </w:r>
    </w:p>
    <w:p w14:paraId="7ED2BEE9" w14:textId="77777777" w:rsidR="002755D5" w:rsidRPr="00640820" w:rsidRDefault="002755D5" w:rsidP="00640820">
      <w:pPr>
        <w:spacing w:after="0" w:line="240" w:lineRule="auto"/>
        <w:jc w:val="both"/>
        <w:rPr>
          <w:rFonts w:ascii="Times New Roman" w:hAnsi="Times New Roman"/>
          <w:color w:val="000000" w:themeColor="text1"/>
          <w:sz w:val="16"/>
          <w:szCs w:val="16"/>
        </w:rPr>
      </w:pPr>
    </w:p>
    <w:p w14:paraId="75F2DC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ноября 1941 приказом № 001613 объявлялось, что постановлением ГКО № 903сс от 17 ноября Особое Совещание (ОСО) НКВД наделено правом выносить меры наказания вплоть до расстрела (7560).</w:t>
      </w:r>
    </w:p>
    <w:p w14:paraId="00F24A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A20085A" w14:textId="77777777" w:rsidR="00B67F30" w:rsidRPr="00640820" w:rsidRDefault="00B67F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ноября 1941. Указ "О налоге на холостяков, одиноких и бездетных граждан СССР". С1 октября 1941 года этим налогом стали облагаться одинокие и семейные, но не имеющие детей граждане: мужчины в возрасте от 20 до 50 лет и женщины от 20 до 45 лет (18697).</w:t>
      </w:r>
    </w:p>
    <w:p w14:paraId="69ED6353" w14:textId="77777777" w:rsidR="00B67F30" w:rsidRPr="00640820" w:rsidRDefault="00B67F30" w:rsidP="00640820">
      <w:pPr>
        <w:spacing w:after="0" w:line="240" w:lineRule="auto"/>
        <w:jc w:val="both"/>
        <w:rPr>
          <w:rFonts w:ascii="Times New Roman" w:hAnsi="Times New Roman"/>
          <w:color w:val="000000" w:themeColor="text1"/>
          <w:sz w:val="16"/>
          <w:szCs w:val="16"/>
        </w:rPr>
      </w:pPr>
    </w:p>
    <w:p w14:paraId="53084B68" w14:textId="77777777" w:rsidR="00B67F30" w:rsidRPr="00640820" w:rsidRDefault="00B67F3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ноября 1941 г. Указом Президиума Верховного Совета СССР был введен налог на холостяков, одиноких и малосемейных граждан, давший за годы войны еще 8 млрд. руб.</w:t>
      </w:r>
    </w:p>
    <w:p w14:paraId="0041AFF9" w14:textId="77777777" w:rsidR="00B67F30" w:rsidRPr="00640820" w:rsidRDefault="00B67F30" w:rsidP="00640820">
      <w:pPr>
        <w:spacing w:after="0" w:line="240" w:lineRule="auto"/>
        <w:jc w:val="both"/>
        <w:rPr>
          <w:rFonts w:ascii="Times New Roman" w:hAnsi="Times New Roman"/>
          <w:color w:val="000000" w:themeColor="text1"/>
          <w:sz w:val="16"/>
          <w:szCs w:val="16"/>
        </w:rPr>
      </w:pPr>
    </w:p>
    <w:p w14:paraId="5809A7EB" w14:textId="77777777" w:rsidR="001B717D" w:rsidRPr="00640820" w:rsidRDefault="001B717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 21 ноября 1941 года начал действовать Налог на бездетность. отчислять его должны были: мужчины в возрасте 20–50 лет, не имеющие детей; замужние бездетные женщины в возрасте 20–45 лет...</w:t>
      </w:r>
    </w:p>
    <w:p w14:paraId="057BC2BC" w14:textId="77777777" w:rsidR="001B717D" w:rsidRPr="00640820" w:rsidRDefault="001B717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Если человек имел доход от 91 рубля, то вычиталось 6%.</w:t>
      </w:r>
    </w:p>
    <w:p w14:paraId="77EA4A09" w14:textId="77777777" w:rsidR="001B717D" w:rsidRPr="00640820" w:rsidRDefault="001B717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Если доход находился в рамках 70-91 рубль, то ставка налога уменьшалась до 5%.</w:t>
      </w:r>
    </w:p>
    <w:p w14:paraId="72272DC2" w14:textId="77777777" w:rsidR="001B717D" w:rsidRPr="00640820" w:rsidRDefault="001B717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Если заработная плата составляла менее 70 рублей - налог не взимался.</w:t>
      </w:r>
    </w:p>
    <w:p w14:paraId="64135A4B" w14:textId="77777777" w:rsidR="001B717D" w:rsidRPr="00640820" w:rsidRDefault="001B717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Налог не платили:</w:t>
      </w:r>
    </w:p>
    <w:p w14:paraId="557BE1F6" w14:textId="77777777" w:rsidR="001B717D" w:rsidRPr="00640820" w:rsidRDefault="001B717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те, кто не мог завести детей по состоянию здоровья;</w:t>
      </w:r>
    </w:p>
    <w:p w14:paraId="0C9877BB" w14:textId="77777777" w:rsidR="001B717D" w:rsidRPr="00640820" w:rsidRDefault="001B717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те, чьи дети погибли или пропали во время ВОВ;</w:t>
      </w:r>
    </w:p>
    <w:p w14:paraId="503600D9" w14:textId="77777777" w:rsidR="001B717D" w:rsidRPr="00640820" w:rsidRDefault="001B717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усыновившие ребенка;</w:t>
      </w:r>
    </w:p>
    <w:p w14:paraId="42CB5C59" w14:textId="77777777" w:rsidR="001B717D" w:rsidRPr="00640820" w:rsidRDefault="001B717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студенты до 25 лет;</w:t>
      </w:r>
    </w:p>
    <w:p w14:paraId="0EA2A22B" w14:textId="77777777" w:rsidR="001B717D" w:rsidRPr="00640820" w:rsidRDefault="001B717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военнослужащие;</w:t>
      </w:r>
    </w:p>
    <w:p w14:paraId="10340B50" w14:textId="77777777" w:rsidR="001B717D" w:rsidRPr="00640820" w:rsidRDefault="001B717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молодожены в течение одного года после свадьбы (с конца 1980-х годов)</w:t>
      </w:r>
    </w:p>
    <w:p w14:paraId="37A2BEAD" w14:textId="77777777" w:rsidR="001B717D" w:rsidRPr="00640820" w:rsidRDefault="001B717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монахи, давшие обет безбрачия;</w:t>
      </w:r>
    </w:p>
    <w:p w14:paraId="7979B8AD" w14:textId="77777777" w:rsidR="001B717D" w:rsidRPr="00640820" w:rsidRDefault="001B717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психически нездоровые граждане и еще некоторые категории населения (21191).</w:t>
      </w:r>
    </w:p>
    <w:p w14:paraId="4DAED024" w14:textId="77777777" w:rsidR="001B717D" w:rsidRPr="00640820" w:rsidRDefault="001B717D" w:rsidP="00640820">
      <w:pPr>
        <w:spacing w:after="0" w:line="240" w:lineRule="auto"/>
        <w:jc w:val="both"/>
        <w:rPr>
          <w:rFonts w:ascii="Times New Roman" w:hAnsi="Times New Roman"/>
          <w:color w:val="0070C0"/>
          <w:sz w:val="16"/>
          <w:szCs w:val="16"/>
        </w:rPr>
      </w:pPr>
    </w:p>
    <w:p w14:paraId="7308991A"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2BE67CC0"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44C8E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21 ноября 1941 года была подготовлена ПАМЯТНАЯ ЗАПИСКА ПОСОЛЬСТВА США В НКИД СССР ПО ВОПРОСУ О ВОЗМОЖНОЙ ПОСТАВКЕ СОВЕТСКОМУ СОЮЗУ ИЗ США НЕФТИ И ОБОРУДОВАНИЯ ДЛЯ ЕЕ ДОБЫЧИ И ПЕРЕРАБОТКИ </w:t>
      </w:r>
    </w:p>
    <w:p w14:paraId="480FC3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Куйбышев, </w:t>
      </w:r>
    </w:p>
    <w:p w14:paraId="1FBFEB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Американский поверенный в делах уполномочен сделать следующее заявление от имени Правительства Соединенных Штатов Америки:</w:t>
      </w:r>
    </w:p>
    <w:p w14:paraId="20B73F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Если в Советском Союзе возник бы недостаток в нефти в результате разрушения Советским Правительством нефтедобывающей и нефтеперерабатывающей промышленности на Кавказе с целью предотвращения эксплуатации и использования агрессором нефтяных ресурсов и нефтеперерабатывающих заводов на этой территории, Правительством Соединенных Штатов будут предприняты необходимые и соответствующие законам США шаги. Цель этих шагов - предоставить Советскому Правительству возможность на условиях, по крайней мере, столь благоприятных, что и условия, на которых подобные продукты будут проданы и предоставлены в распоряжение странам, которые последовательно приносили жертвы в своих усилиях, направленных к победе над силами агрессии, закупить и обеспечить доставку нефти и нефтепродуктов из Соединенных Штатов или из источников, имеющихся в их распоряжении, для использования их в настоящей борьбе против агрессии или в ходе восстановительных работ в Советском Союзе после прекращения военных действий.</w:t>
      </w:r>
    </w:p>
    <w:p w14:paraId="311318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Подобная же позиция будет занята Правительством Соединенных Штатов в отношении усилий, которые Советское Правительство может быть вынуждено предпринять для получения в Соединенных Штатах, как во время военных действий, так и после их окончания, оборудования для добычи и переработки нефти в целях замены разрушенного.</w:t>
      </w:r>
    </w:p>
    <w:p w14:paraId="449757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АВПРФ</w:t>
      </w:r>
      <w:r w:rsidRPr="00640820">
        <w:rPr>
          <w:rFonts w:ascii="Times New Roman" w:hAnsi="Times New Roman"/>
          <w:color w:val="000000" w:themeColor="text1"/>
          <w:sz w:val="16"/>
          <w:szCs w:val="16"/>
          <w:lang w:val="en-US"/>
        </w:rPr>
        <w:t xml:space="preserve">. </w:t>
      </w:r>
      <w:r w:rsidRPr="00640820">
        <w:rPr>
          <w:rFonts w:ascii="Times New Roman" w:hAnsi="Times New Roman"/>
          <w:color w:val="000000" w:themeColor="text1"/>
          <w:sz w:val="16"/>
          <w:szCs w:val="16"/>
        </w:rPr>
        <w:t>Ф</w:t>
      </w:r>
      <w:r w:rsidRPr="00640820">
        <w:rPr>
          <w:rFonts w:ascii="Times New Roman" w:hAnsi="Times New Roman"/>
          <w:color w:val="000000" w:themeColor="text1"/>
          <w:sz w:val="16"/>
          <w:szCs w:val="16"/>
          <w:lang w:val="en-US"/>
        </w:rPr>
        <w:t xml:space="preserve">. 06. On. 3. </w:t>
      </w:r>
      <w:r w:rsidRPr="00640820">
        <w:rPr>
          <w:rFonts w:ascii="Times New Roman" w:hAnsi="Times New Roman"/>
          <w:color w:val="000000" w:themeColor="text1"/>
          <w:sz w:val="16"/>
          <w:szCs w:val="16"/>
        </w:rPr>
        <w:t>П</w:t>
      </w:r>
      <w:r w:rsidRPr="00640820">
        <w:rPr>
          <w:rFonts w:ascii="Times New Roman" w:hAnsi="Times New Roman"/>
          <w:color w:val="000000" w:themeColor="text1"/>
          <w:sz w:val="16"/>
          <w:szCs w:val="16"/>
          <w:lang w:val="en-US"/>
        </w:rPr>
        <w:t xml:space="preserve">. 21. </w:t>
      </w:r>
      <w:r w:rsidRPr="00640820">
        <w:rPr>
          <w:rFonts w:ascii="Times New Roman" w:hAnsi="Times New Roman"/>
          <w:color w:val="000000" w:themeColor="text1"/>
          <w:sz w:val="16"/>
          <w:szCs w:val="16"/>
        </w:rPr>
        <w:t>Д</w:t>
      </w:r>
      <w:r w:rsidRPr="00640820">
        <w:rPr>
          <w:rFonts w:ascii="Times New Roman" w:hAnsi="Times New Roman"/>
          <w:color w:val="000000" w:themeColor="text1"/>
          <w:sz w:val="16"/>
          <w:szCs w:val="16"/>
          <w:lang w:val="en-US"/>
        </w:rPr>
        <w:t xml:space="preserve">. 278. </w:t>
      </w:r>
      <w:r w:rsidRPr="00640820">
        <w:rPr>
          <w:rFonts w:ascii="Times New Roman" w:hAnsi="Times New Roman"/>
          <w:color w:val="000000" w:themeColor="text1"/>
          <w:sz w:val="16"/>
          <w:szCs w:val="16"/>
        </w:rPr>
        <w:t>Л. 160. Перевод с английского. Подлинник.</w:t>
      </w:r>
    </w:p>
    <w:p w14:paraId="7D0D3E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ответной памятной записке НКИД СССР посольству США в СССР от 28 ноября 1941 г. говорилось, что советское правительство «высоко ценит» готовность правительства США предоставить правительству СССР возможность закупить американские нефть и нефтепродукты и обеспечить их доставку в СССР как во время войны, так и посте ее окончания. С удовлетворением была также принята к сведению подобная же позиция американского правительства в отношении получения из США оборудования для добычи и переработки нефти, а также в отношении предоставления правительству СССР наиболее благоприятных условий продажи и доставки как нефтепродуктов и нефтяного оборудования (11574).</w:t>
      </w:r>
    </w:p>
    <w:p w14:paraId="002A77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8306405" w14:textId="77777777" w:rsidR="002755D5"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737A0ED9" w14:textId="77777777" w:rsidR="002755D5" w:rsidRPr="00640820" w:rsidRDefault="002755D5"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C988CCD"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21 ноября </w:t>
      </w:r>
      <w:r w:rsidRPr="00640820">
        <w:rPr>
          <w:rFonts w:ascii="Times New Roman" w:hAnsi="Times New Roman"/>
          <w:color w:val="000000" w:themeColor="text1"/>
          <w:sz w:val="16"/>
          <w:szCs w:val="16"/>
        </w:rPr>
        <w:t>в 1941 году лодка «Сюркуф» на маневрах у берегов США сталкивается с американской подводной лодкой (14836).</w:t>
      </w:r>
    </w:p>
    <w:p w14:paraId="735E5296" w14:textId="77777777" w:rsidR="002755D5" w:rsidRPr="00640820" w:rsidRDefault="002755D5" w:rsidP="00640820">
      <w:pPr>
        <w:spacing w:after="0" w:line="240" w:lineRule="auto"/>
        <w:jc w:val="both"/>
        <w:rPr>
          <w:rFonts w:ascii="Times New Roman" w:hAnsi="Times New Roman"/>
          <w:color w:val="000000" w:themeColor="text1"/>
          <w:sz w:val="16"/>
          <w:szCs w:val="16"/>
        </w:rPr>
      </w:pPr>
    </w:p>
    <w:p w14:paraId="04933497"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21 ноября </w:t>
      </w:r>
      <w:r w:rsidRPr="00640820">
        <w:rPr>
          <w:rFonts w:ascii="Times New Roman" w:hAnsi="Times New Roman"/>
          <w:color w:val="000000" w:themeColor="text1"/>
          <w:sz w:val="16"/>
          <w:szCs w:val="16"/>
        </w:rPr>
        <w:t>в 1941 году в Северной Африке гарнизон осаждённой крепости Тубрук ( 70-я пехотная дивизия и 32-я танковая бригада) перешёл в наступление на юго-восточном участке фронта блокады и прорвал фронт расположенных там итальянских дивизий "Африка" и "Болонья" (14836).</w:t>
      </w:r>
    </w:p>
    <w:p w14:paraId="1E552E25" w14:textId="77777777" w:rsidR="002755D5" w:rsidRPr="00640820" w:rsidRDefault="002755D5" w:rsidP="00640820">
      <w:pPr>
        <w:spacing w:after="0" w:line="240" w:lineRule="auto"/>
        <w:jc w:val="both"/>
        <w:rPr>
          <w:rFonts w:ascii="Times New Roman" w:hAnsi="Times New Roman"/>
          <w:color w:val="000000" w:themeColor="text1"/>
          <w:sz w:val="16"/>
          <w:szCs w:val="16"/>
        </w:rPr>
      </w:pPr>
    </w:p>
    <w:p w14:paraId="44D7F824"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2C57477C"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B5E21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C 22 ноября 1941 по 22 января 1942 в 47 АД состоялись испытания по о боевому применению ракетных бронебойных снарядов калибра 82 мм и 132 мм (РБС-82 и РБС-132) и ракетного осколочно-фугасного снаряда калибра 132 мм (РОФС-132).</w:t>
      </w:r>
    </w:p>
    <w:p w14:paraId="553F14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011FC6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период с 22 ноября 1941 г. по 22 января 1942 г. на базе 47-й авиади</w:t>
      </w:r>
      <w:r w:rsidRPr="00640820">
        <w:rPr>
          <w:rFonts w:ascii="Times New Roman" w:hAnsi="Times New Roman"/>
          <w:color w:val="000000" w:themeColor="text1"/>
          <w:sz w:val="16"/>
          <w:szCs w:val="16"/>
        </w:rPr>
        <w:softHyphen/>
        <w:t>визии Западного фронта летчики 312-го штурмового авиаполка подпол</w:t>
      </w:r>
      <w:r w:rsidRPr="00640820">
        <w:rPr>
          <w:rFonts w:ascii="Times New Roman" w:hAnsi="Times New Roman"/>
          <w:color w:val="000000" w:themeColor="text1"/>
          <w:sz w:val="16"/>
          <w:szCs w:val="16"/>
        </w:rPr>
        <w:softHyphen/>
        <w:t>ковника Поморцева принимали участие в войсковых испытаниях ракетно-бронебойных снарядов РБС-82, РБС-132 и ракетно-осколочно-фугасных РОФС-132. Для этого по приказу командующего ВВС КА назна</w:t>
      </w:r>
      <w:r w:rsidRPr="00640820">
        <w:rPr>
          <w:rFonts w:ascii="Times New Roman" w:hAnsi="Times New Roman"/>
          <w:color w:val="000000" w:themeColor="text1"/>
          <w:sz w:val="16"/>
          <w:szCs w:val="16"/>
        </w:rPr>
        <w:softHyphen/>
        <w:t>чили оперативную группу в составе командира 47-й авиадивизии пол</w:t>
      </w:r>
      <w:r w:rsidRPr="00640820">
        <w:rPr>
          <w:rFonts w:ascii="Times New Roman" w:hAnsi="Times New Roman"/>
          <w:color w:val="000000" w:themeColor="text1"/>
          <w:sz w:val="16"/>
          <w:szCs w:val="16"/>
        </w:rPr>
        <w:softHyphen/>
        <w:t>ковника Толстикова, представителя УОСАТ ГУ ВВС КА военинженера 2 ранга Н.В.Исаева, представителя УВВС ВМФ старшего инженера опыт</w:t>
      </w:r>
      <w:r w:rsidRPr="00640820">
        <w:rPr>
          <w:rFonts w:ascii="Times New Roman" w:hAnsi="Times New Roman"/>
          <w:color w:val="000000" w:themeColor="text1"/>
          <w:sz w:val="16"/>
          <w:szCs w:val="16"/>
        </w:rPr>
        <w:softHyphen/>
        <w:t>ного отдела военинженера 3 ранга Г.И.Мельникова, а также представи</w:t>
      </w:r>
      <w:r w:rsidRPr="00640820">
        <w:rPr>
          <w:rFonts w:ascii="Times New Roman" w:hAnsi="Times New Roman"/>
          <w:color w:val="000000" w:themeColor="text1"/>
          <w:sz w:val="16"/>
          <w:szCs w:val="16"/>
        </w:rPr>
        <w:softHyphen/>
        <w:t>теля НИИ-3 НКБ ведущего инженера по РБС военинженера 3 ранга В.К.Шитова и временно подчинили ей более десяти пилотов с самолета</w:t>
      </w:r>
      <w:r w:rsidRPr="00640820">
        <w:rPr>
          <w:rFonts w:ascii="Times New Roman" w:hAnsi="Times New Roman"/>
          <w:color w:val="000000" w:themeColor="text1"/>
          <w:sz w:val="16"/>
          <w:szCs w:val="16"/>
        </w:rPr>
        <w:softHyphen/>
        <w:t>ми-штурмовиками Ил-2. Авиаполк базировался на окраине Москвы на Тушинском аэродроме, а на боевое применение летал на Волоколамский и Можайский участки фронта.</w:t>
      </w:r>
    </w:p>
    <w:p w14:paraId="7D0D83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Перед боевыми вылетами оперативная группа подробно ознакомила . летно-технический состав с конструкцией и особенностями эксплуата</w:t>
      </w:r>
      <w:r w:rsidRPr="00640820">
        <w:rPr>
          <w:rFonts w:ascii="Times New Roman" w:hAnsi="Times New Roman"/>
          <w:color w:val="000000" w:themeColor="text1"/>
          <w:sz w:val="16"/>
          <w:szCs w:val="16"/>
        </w:rPr>
        <w:softHyphen/>
        <w:t>ции ракетных снарядов. Боевые вылеты начались 28 ноября 1941 г. Нес</w:t>
      </w:r>
      <w:r w:rsidRPr="00640820">
        <w:rPr>
          <w:rFonts w:ascii="Times New Roman" w:hAnsi="Times New Roman"/>
          <w:color w:val="000000" w:themeColor="text1"/>
          <w:sz w:val="16"/>
          <w:szCs w:val="16"/>
        </w:rPr>
        <w:softHyphen/>
        <w:t>мотря на довольно солидный боезапас, доставленный с центрального аэродрома и снаряжательных заводов, израсходовали лишь 60 штук РБС-82, 80 штук РБС-132 и 200 штук РОФС-132. На незначительном ко</w:t>
      </w:r>
      <w:r w:rsidRPr="00640820">
        <w:rPr>
          <w:rFonts w:ascii="Times New Roman" w:hAnsi="Times New Roman"/>
          <w:color w:val="000000" w:themeColor="text1"/>
          <w:sz w:val="16"/>
          <w:szCs w:val="16"/>
        </w:rPr>
        <w:softHyphen/>
        <w:t>личестве боевых вылетов отрицательно сказывались метеоусловия и об</w:t>
      </w:r>
      <w:r w:rsidRPr="00640820">
        <w:rPr>
          <w:rFonts w:ascii="Times New Roman" w:hAnsi="Times New Roman"/>
          <w:color w:val="000000" w:themeColor="text1"/>
          <w:sz w:val="16"/>
          <w:szCs w:val="16"/>
        </w:rPr>
        <w:softHyphen/>
        <w:t>становка на фронте. В итоге, ввиду отсутствия скопления бронетехники противника на отведенных участках фронта, оперативная группа приня</w:t>
      </w:r>
      <w:r w:rsidRPr="00640820">
        <w:rPr>
          <w:rFonts w:ascii="Times New Roman" w:hAnsi="Times New Roman"/>
          <w:color w:val="000000" w:themeColor="text1"/>
          <w:sz w:val="16"/>
          <w:szCs w:val="16"/>
        </w:rPr>
        <w:softHyphen/>
        <w:t>ла решение вместо ракетно-бронебойных снарядов применять РОФС-132.</w:t>
      </w:r>
    </w:p>
    <w:p w14:paraId="0A7C29E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Между тем установить точное количество пораженных целей не уда</w:t>
      </w:r>
      <w:r w:rsidRPr="00640820">
        <w:rPr>
          <w:rFonts w:ascii="Times New Roman" w:hAnsi="Times New Roman"/>
          <w:color w:val="000000" w:themeColor="text1"/>
          <w:sz w:val="16"/>
          <w:szCs w:val="16"/>
        </w:rPr>
        <w:softHyphen/>
        <w:t>лось. Пилоты, летавшие со снарядами РБС-82, отмечали прямые попа</w:t>
      </w:r>
      <w:r w:rsidRPr="00640820">
        <w:rPr>
          <w:rFonts w:ascii="Times New Roman" w:hAnsi="Times New Roman"/>
          <w:color w:val="000000" w:themeColor="text1"/>
          <w:sz w:val="16"/>
          <w:szCs w:val="16"/>
        </w:rPr>
        <w:softHyphen/>
        <w:t>дания в танки, здания, автомашины. Снарядами РБС-132 вывели из строя не менее 20 танков, 35-40 автомашин и разрушили несколько стро</w:t>
      </w:r>
      <w:r w:rsidRPr="00640820">
        <w:rPr>
          <w:rFonts w:ascii="Times New Roman" w:hAnsi="Times New Roman"/>
          <w:color w:val="000000" w:themeColor="text1"/>
          <w:sz w:val="16"/>
          <w:szCs w:val="16"/>
        </w:rPr>
        <w:softHyphen/>
        <w:t>ений. По единодушному мнению летчиков, действие снарядов РОФС-132 по целям было исключительно эффективным и превзошло все ожидания. На основе проделанной работы составили инструкции по эксплуатации ракетных снарядов РБС-82, РБС-132 и РОФС-132 для строевых частей ВВС КА и ВМФ.</w:t>
      </w:r>
    </w:p>
    <w:p w14:paraId="5860B55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Итак, сначала ознакомимся с отзывами пилотов, «работавших» ракетно-бронебойными РБС-82. Их на каждой машине Ил-2 было по во</w:t>
      </w:r>
      <w:r w:rsidRPr="00640820">
        <w:rPr>
          <w:rFonts w:ascii="Times New Roman" w:hAnsi="Times New Roman"/>
          <w:color w:val="000000" w:themeColor="text1"/>
          <w:sz w:val="16"/>
          <w:szCs w:val="16"/>
        </w:rPr>
        <w:softHyphen/>
        <w:t>семь штук. После боевого вылета 28 ноября 1941 г. командир звена лей</w:t>
      </w:r>
      <w:r w:rsidRPr="00640820">
        <w:rPr>
          <w:rFonts w:ascii="Times New Roman" w:hAnsi="Times New Roman"/>
          <w:color w:val="000000" w:themeColor="text1"/>
          <w:sz w:val="16"/>
          <w:szCs w:val="16"/>
        </w:rPr>
        <w:softHyphen/>
        <w:t>тенант Косенков отмечал, что стрелял с бреющего полета на высотах 15-20 м по скоплению автомашин в населенном пункте. Пролетев над це</w:t>
      </w:r>
      <w:r w:rsidRPr="00640820">
        <w:rPr>
          <w:rFonts w:ascii="Times New Roman" w:hAnsi="Times New Roman"/>
          <w:color w:val="000000" w:themeColor="text1"/>
          <w:sz w:val="16"/>
          <w:szCs w:val="16"/>
        </w:rPr>
        <w:softHyphen/>
        <w:t>лью на большой скорости, пилот не успел оценить характер разрушений. Поскольку снаряды эффективны лишь при условии прямого попадания в бронецель, пилот рекомендовал оснастить ими самолеты-истребители - «с них возможно вести огонь на пикировании и более точно прицели</w:t>
      </w:r>
      <w:r w:rsidRPr="00640820">
        <w:rPr>
          <w:rFonts w:ascii="Times New Roman" w:hAnsi="Times New Roman"/>
          <w:color w:val="000000" w:themeColor="text1"/>
          <w:sz w:val="16"/>
          <w:szCs w:val="16"/>
        </w:rPr>
        <w:softHyphen/>
        <w:t>ваться».</w:t>
      </w:r>
    </w:p>
    <w:p w14:paraId="1118F74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Чтобы пояснить последний тезис, уточним, что на штурмовиках Ил-2 в тот период прицелы стрельбы и бомбометания отсутствовали. При действии на малых высотах с горизонтального полета цель летчику закрывал капот машины задолго до подхода к точке сброса авиабомб. Поэтому бомбы бросали по счету после закрытия цели, а реактивными снарядами стреляли, прицеливаясь «по втулке воздушного винта». Позже самолеты оборудовали либо визирами Васильева ВВ-1, либо прицела</w:t>
      </w:r>
      <w:r w:rsidRPr="00640820">
        <w:rPr>
          <w:rFonts w:ascii="Times New Roman" w:hAnsi="Times New Roman"/>
          <w:color w:val="000000" w:themeColor="text1"/>
          <w:sz w:val="16"/>
          <w:szCs w:val="16"/>
        </w:rPr>
        <w:softHyphen/>
        <w:t>ми ПБП для бомбометания с пикирования.</w:t>
      </w:r>
    </w:p>
    <w:p w14:paraId="05D385F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тот же день состоялся и боевой вылет капитана Фомина, команди</w:t>
      </w:r>
      <w:r w:rsidRPr="00640820">
        <w:rPr>
          <w:rFonts w:ascii="Times New Roman" w:hAnsi="Times New Roman"/>
          <w:color w:val="000000" w:themeColor="text1"/>
          <w:sz w:val="16"/>
          <w:szCs w:val="16"/>
        </w:rPr>
        <w:softHyphen/>
        <w:t>ра звена штурмовиков. Он «обработал» снарядами РБС-82 колонну тан</w:t>
      </w:r>
      <w:r w:rsidRPr="00640820">
        <w:rPr>
          <w:rFonts w:ascii="Times New Roman" w:hAnsi="Times New Roman"/>
          <w:color w:val="000000" w:themeColor="text1"/>
          <w:sz w:val="16"/>
          <w:szCs w:val="16"/>
        </w:rPr>
        <w:softHyphen/>
        <w:t>ков и автомашин, отметив четыре попадания в танки и дым от возник</w:t>
      </w:r>
      <w:r w:rsidRPr="00640820">
        <w:rPr>
          <w:rFonts w:ascii="Times New Roman" w:hAnsi="Times New Roman"/>
          <w:color w:val="000000" w:themeColor="text1"/>
          <w:sz w:val="16"/>
          <w:szCs w:val="16"/>
        </w:rPr>
        <w:softHyphen/>
        <w:t>ших в них пожаров. Капитан также рекомендовал перевооружить штур</w:t>
      </w:r>
      <w:r w:rsidRPr="00640820">
        <w:rPr>
          <w:rFonts w:ascii="Times New Roman" w:hAnsi="Times New Roman"/>
          <w:color w:val="000000" w:themeColor="text1"/>
          <w:sz w:val="16"/>
          <w:szCs w:val="16"/>
        </w:rPr>
        <w:softHyphen/>
        <w:t>мовики снарядами калибра 132 мм, оставив 82-мм калибр истребителям. В обоих случаях снаряды на траектории вели себя устойчиво, а поведе</w:t>
      </w:r>
      <w:r w:rsidRPr="00640820">
        <w:rPr>
          <w:rFonts w:ascii="Times New Roman" w:hAnsi="Times New Roman"/>
          <w:color w:val="000000" w:themeColor="text1"/>
          <w:sz w:val="16"/>
          <w:szCs w:val="16"/>
        </w:rPr>
        <w:softHyphen/>
        <w:t>ние самолета при взлете, пилотировании и стрельбе было нормальным. Огонь снарядами такого калибра (хоть и с мощными ракетными двигате</w:t>
      </w:r>
      <w:r w:rsidRPr="00640820">
        <w:rPr>
          <w:rFonts w:ascii="Times New Roman" w:hAnsi="Times New Roman"/>
          <w:color w:val="000000" w:themeColor="text1"/>
          <w:sz w:val="16"/>
          <w:szCs w:val="16"/>
        </w:rPr>
        <w:softHyphen/>
        <w:t>лями) на самолет отрицательного влияния не оказывал, и отдачи пилот даже не ощущал.</w:t>
      </w:r>
    </w:p>
    <w:p w14:paraId="1EC6EB1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Весь состав опергруппы также согласился с пилотами-штурмовика</w:t>
      </w:r>
      <w:r w:rsidRPr="00640820">
        <w:rPr>
          <w:rFonts w:ascii="Times New Roman" w:hAnsi="Times New Roman"/>
          <w:color w:val="000000" w:themeColor="text1"/>
          <w:sz w:val="16"/>
          <w:szCs w:val="16"/>
        </w:rPr>
        <w:softHyphen/>
        <w:t>ми, что снаряды РБС-82 можно отнести к оружию истребительной авиа</w:t>
      </w:r>
      <w:r w:rsidRPr="00640820">
        <w:rPr>
          <w:rFonts w:ascii="Times New Roman" w:hAnsi="Times New Roman"/>
          <w:color w:val="000000" w:themeColor="text1"/>
          <w:sz w:val="16"/>
          <w:szCs w:val="16"/>
        </w:rPr>
        <w:softHyphen/>
        <w:t>ции для борьбы с танками, бронемашинами и бронепоездами. Для этого целесообразно вооружать ими истребители МиГ-3, ЛаГГ-3 и Як-1, спо</w:t>
      </w:r>
      <w:r w:rsidRPr="00640820">
        <w:rPr>
          <w:rFonts w:ascii="Times New Roman" w:hAnsi="Times New Roman"/>
          <w:color w:val="000000" w:themeColor="text1"/>
          <w:sz w:val="16"/>
          <w:szCs w:val="16"/>
        </w:rPr>
        <w:softHyphen/>
        <w:t>собные вести огонь на пикировании под углами не менее 60°, хотя не ис</w:t>
      </w:r>
      <w:r w:rsidRPr="00640820">
        <w:rPr>
          <w:rFonts w:ascii="Times New Roman" w:hAnsi="Times New Roman"/>
          <w:color w:val="000000" w:themeColor="text1"/>
          <w:sz w:val="16"/>
          <w:szCs w:val="16"/>
        </w:rPr>
        <w:softHyphen/>
        <w:t>ключалось и применение их истребителями в ходе штурмовых действий на углах планирования до 15°.</w:t>
      </w:r>
    </w:p>
    <w:p w14:paraId="50347D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Ракетные снаряды РБС-132 на штурмовиках Ил-2 подвешивали по четыре штуки. Боевой вылет старшего лейтенанта Баранова на такой ма</w:t>
      </w:r>
      <w:r w:rsidRPr="00640820">
        <w:rPr>
          <w:rFonts w:ascii="Times New Roman" w:hAnsi="Times New Roman"/>
          <w:color w:val="000000" w:themeColor="text1"/>
          <w:sz w:val="16"/>
          <w:szCs w:val="16"/>
        </w:rPr>
        <w:softHyphen/>
        <w:t>шине состоялся 14 декабря 1941 г. Огонь по грузовикам и средним тан</w:t>
      </w:r>
      <w:r w:rsidRPr="00640820">
        <w:rPr>
          <w:rFonts w:ascii="Times New Roman" w:hAnsi="Times New Roman"/>
          <w:color w:val="000000" w:themeColor="text1"/>
          <w:sz w:val="16"/>
          <w:szCs w:val="16"/>
        </w:rPr>
        <w:softHyphen/>
        <w:t>кам он вел сначала залпом парой снарядов, а затем одиночными выстре</w:t>
      </w:r>
      <w:r w:rsidRPr="00640820">
        <w:rPr>
          <w:rFonts w:ascii="Times New Roman" w:hAnsi="Times New Roman"/>
          <w:color w:val="000000" w:themeColor="text1"/>
          <w:sz w:val="16"/>
          <w:szCs w:val="16"/>
        </w:rPr>
        <w:softHyphen/>
        <w:t xml:space="preserve">лами. Прямыми попаданиями были выведены из строя два танка и два автомобиля. Один из снарядов в самом центре прошил грузовик, крытый .тентом, и взорвался в грунте под ним. Второй, по-видимому, попал </w:t>
      </w:r>
      <w:r w:rsidRPr="00640820">
        <w:rPr>
          <w:rFonts w:ascii="Times New Roman" w:hAnsi="Times New Roman"/>
          <w:color w:val="000000" w:themeColor="text1"/>
          <w:sz w:val="16"/>
          <w:szCs w:val="16"/>
          <w:vertAlign w:val="superscript"/>
        </w:rPr>
        <w:t>в</w:t>
      </w:r>
      <w:r w:rsidRPr="00640820">
        <w:rPr>
          <w:rFonts w:ascii="Times New Roman" w:hAnsi="Times New Roman"/>
          <w:color w:val="000000" w:themeColor="text1"/>
          <w:sz w:val="16"/>
          <w:szCs w:val="16"/>
        </w:rPr>
        <w:t xml:space="preserve"> бензобак соседнего грузовика, поскольку вызвал сильный взрыв и большой пожар. Остальные два снаряда угодили в танки, но характер Разрушений оценить не удалось, так как дистанция стрельбы была 500-"00 м с небольшим пикированием под углом 7-10° на скорости 330 км/ч.</w:t>
      </w:r>
    </w:p>
    <w:p w14:paraId="08B5380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Чтобы проследить действие боеприпасов по цели, старший лейтенант настаивал на увеличении дистанции стрельбы, а боеприпасы такого ро</w:t>
      </w:r>
      <w:r w:rsidRPr="00640820">
        <w:rPr>
          <w:rFonts w:ascii="Times New Roman" w:hAnsi="Times New Roman"/>
          <w:color w:val="000000" w:themeColor="text1"/>
          <w:sz w:val="16"/>
          <w:szCs w:val="16"/>
        </w:rPr>
        <w:softHyphen/>
        <w:t>да рекомендовал применять исключительно по бронецелям.</w:t>
      </w:r>
    </w:p>
    <w:p w14:paraId="2B32EDC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Боевой вылет капитана Заноздры 20 декабря 1941 г. прошел не менее успешно. Он также стрелял РБС-132 по скоплению техники (автомаши</w:t>
      </w:r>
      <w:r w:rsidRPr="00640820">
        <w:rPr>
          <w:rFonts w:ascii="Times New Roman" w:hAnsi="Times New Roman"/>
          <w:color w:val="000000" w:themeColor="text1"/>
          <w:sz w:val="16"/>
          <w:szCs w:val="16"/>
        </w:rPr>
        <w:softHyphen/>
        <w:t>ны и 3-4 танка) на стоянке у расположенного особняком дома, но с дис</w:t>
      </w:r>
      <w:r w:rsidRPr="00640820">
        <w:rPr>
          <w:rFonts w:ascii="Times New Roman" w:hAnsi="Times New Roman"/>
          <w:color w:val="000000" w:themeColor="text1"/>
          <w:sz w:val="16"/>
          <w:szCs w:val="16"/>
        </w:rPr>
        <w:softHyphen/>
        <w:t>танции 600-800 м с пологого пикирования под углом 10° со скоростью 350 км/ч. Рассмотреть результаты своей работы ему также не удалось. Вместе с ним в паре на задание вылетал и младший лейтенант Балашов. Цедь и режим пилотирования самолета у него не отличались от ведуще-го. Пилот отмечал, что результат применения РБС-132 довольно эффек</w:t>
      </w:r>
      <w:r w:rsidRPr="00640820">
        <w:rPr>
          <w:rFonts w:ascii="Times New Roman" w:hAnsi="Times New Roman"/>
          <w:color w:val="000000" w:themeColor="text1"/>
          <w:sz w:val="16"/>
          <w:szCs w:val="16"/>
        </w:rPr>
        <w:softHyphen/>
        <w:t>тен — снаряды имеют хорошие фугасное и проникающее действие, что оказывает сильное моральное воздействие на противника. Между тем применять их по автомашинам и обозам невыгодно. Наиболее опти</w:t>
      </w:r>
      <w:r w:rsidRPr="00640820">
        <w:rPr>
          <w:rFonts w:ascii="Times New Roman" w:hAnsi="Times New Roman"/>
          <w:color w:val="000000" w:themeColor="text1"/>
          <w:sz w:val="16"/>
          <w:szCs w:val="16"/>
        </w:rPr>
        <w:softHyphen/>
        <w:t>мальные цели для РБС-132 — танки.</w:t>
      </w:r>
    </w:p>
    <w:p w14:paraId="5BD8126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звена под командованием капитана Фомина штурмовики выполнили боевой вылет 24 декабря 1941 г. Стрельбу командир звена вел по танкам с дистанции 400-500 м в горизонтальном полете на высоте 15-20 м со скоростью 350 км/ч. Для более точного прицеливания пилоты звена давали очередь из пулеметов, и когда трасса ложилась на цель, да</w:t>
      </w:r>
      <w:r w:rsidRPr="00640820">
        <w:rPr>
          <w:rFonts w:ascii="Times New Roman" w:hAnsi="Times New Roman"/>
          <w:color w:val="000000" w:themeColor="text1"/>
          <w:sz w:val="16"/>
          <w:szCs w:val="16"/>
        </w:rPr>
        <w:softHyphen/>
        <w:t>вали залп парами РБС-132. По докладу капитана, расстояние между их взрывами составляло всего 2-3 м. После этого в районе цели повалил гу</w:t>
      </w:r>
      <w:r w:rsidRPr="00640820">
        <w:rPr>
          <w:rFonts w:ascii="Times New Roman" w:hAnsi="Times New Roman"/>
          <w:color w:val="000000" w:themeColor="text1"/>
          <w:sz w:val="16"/>
          <w:szCs w:val="16"/>
        </w:rPr>
        <w:softHyphen/>
        <w:t>стой черный дым, не позволивший рассмотреть, что осталось от танков. По мнению капитана, применять РБС с большим эффектом можно не только по бронетехнике, но и по прочным, а также заглубленным целям.</w:t>
      </w:r>
    </w:p>
    <w:p w14:paraId="0B47CF7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том же вылете вторую машину пилотировал лейтенант Уваров. По его отзывам, после попадания РБС-132 в дом, возле которого сто</w:t>
      </w:r>
      <w:r w:rsidRPr="00640820">
        <w:rPr>
          <w:rFonts w:ascii="Times New Roman" w:hAnsi="Times New Roman"/>
          <w:color w:val="000000" w:themeColor="text1"/>
          <w:sz w:val="16"/>
          <w:szCs w:val="16"/>
        </w:rPr>
        <w:softHyphen/>
        <w:t>яли танки, последовал сильный взрыв. Строение полностью разлетелось, а место попадания окутал густой черный дым. Лейтенант отме</w:t>
      </w:r>
      <w:r w:rsidRPr="00640820">
        <w:rPr>
          <w:rFonts w:ascii="Times New Roman" w:hAnsi="Times New Roman"/>
          <w:color w:val="000000" w:themeColor="text1"/>
          <w:sz w:val="16"/>
          <w:szCs w:val="16"/>
        </w:rPr>
        <w:softHyphen/>
        <w:t>чал, что действие снарядов РБС-132 намного сильнее, чем у РОС-132, не говоря уже о РОС-82... Второй вылет лейтенанта на боевое приме</w:t>
      </w:r>
      <w:r w:rsidRPr="00640820">
        <w:rPr>
          <w:rFonts w:ascii="Times New Roman" w:hAnsi="Times New Roman"/>
          <w:color w:val="000000" w:themeColor="text1"/>
          <w:sz w:val="16"/>
          <w:szCs w:val="16"/>
        </w:rPr>
        <w:softHyphen/>
        <w:t>нение РБС-132 состоялся 12 января 1941 г. В ходе «свободной охоты» он атаковал скопление автотехники в населенном пункте, расстрели</w:t>
      </w:r>
      <w:r w:rsidRPr="00640820">
        <w:rPr>
          <w:rFonts w:ascii="Times New Roman" w:hAnsi="Times New Roman"/>
          <w:color w:val="000000" w:themeColor="text1"/>
          <w:sz w:val="16"/>
          <w:szCs w:val="16"/>
        </w:rPr>
        <w:softHyphen/>
        <w:t>вая машины одиночными выстрелами с дистанции 500-600 м на поло</w:t>
      </w:r>
      <w:r w:rsidRPr="00640820">
        <w:rPr>
          <w:rFonts w:ascii="Times New Roman" w:hAnsi="Times New Roman"/>
          <w:color w:val="000000" w:themeColor="text1"/>
          <w:sz w:val="16"/>
          <w:szCs w:val="16"/>
        </w:rPr>
        <w:softHyphen/>
        <w:t>гом пикировании под углом 2-3° со скоростью 300-350 км/ч. При по</w:t>
      </w:r>
      <w:r w:rsidRPr="00640820">
        <w:rPr>
          <w:rFonts w:ascii="Times New Roman" w:hAnsi="Times New Roman"/>
          <w:color w:val="000000" w:themeColor="text1"/>
          <w:sz w:val="16"/>
          <w:szCs w:val="16"/>
        </w:rPr>
        <w:softHyphen/>
        <w:t>падании снарядов в цель сильные взрывы сопровождались густыми клубами черного дыма. «С такими снарядами приятно летать и наблю</w:t>
      </w:r>
      <w:r w:rsidRPr="00640820">
        <w:rPr>
          <w:rFonts w:ascii="Times New Roman" w:hAnsi="Times New Roman"/>
          <w:color w:val="000000" w:themeColor="text1"/>
          <w:sz w:val="16"/>
          <w:szCs w:val="16"/>
        </w:rPr>
        <w:softHyphen/>
        <w:t>дать свою работу»...</w:t>
      </w:r>
    </w:p>
    <w:p w14:paraId="5CEEE95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Третьим пилотом в звене капитана Фомина 24 декабря 1941 г. был старшина Сидоренко. Результат своих двух залпов по колонне автобро-нетехники он удачными не признал: «Снаряды ложились в 1-2 метрах Друг от друга. Прямых попаданий заметить не удалось, но движение ко</w:t>
      </w:r>
      <w:r w:rsidRPr="00640820">
        <w:rPr>
          <w:rFonts w:ascii="Times New Roman" w:hAnsi="Times New Roman"/>
          <w:color w:val="000000" w:themeColor="text1"/>
          <w:sz w:val="16"/>
          <w:szCs w:val="16"/>
        </w:rPr>
        <w:softHyphen/>
        <w:t>лонны приостановилось». Он также заявил, что снаряды РБС-132 гораз</w:t>
      </w:r>
      <w:r w:rsidRPr="00640820">
        <w:rPr>
          <w:rFonts w:ascii="Times New Roman" w:hAnsi="Times New Roman"/>
          <w:color w:val="000000" w:themeColor="text1"/>
          <w:sz w:val="16"/>
          <w:szCs w:val="16"/>
        </w:rPr>
        <w:softHyphen/>
        <w:t>до более эффективны, нежели РОС-132, поскольку «дают более мощный огонь и разрушения».</w:t>
      </w:r>
    </w:p>
    <w:p w14:paraId="547A71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Летчики 47-й дивизии были едины во мнении, что на взлете самолет Ил-2, вооруженный снарядами РБС-132, довольно устойчив, хотя незна-. чительно возросла дистанция разбега из-за увеличения взлетной массы Машины и ее лобового сопротивления. На технику пилотирования новое оружие влияло незначительно, самолет сохранил устойчивость и хоро-Ч^ю управляемость. В горизонтальном полете Ил-2 из-за несуществен</w:t>
      </w:r>
      <w:r w:rsidRPr="00640820">
        <w:rPr>
          <w:rFonts w:ascii="Times New Roman" w:hAnsi="Times New Roman"/>
          <w:color w:val="000000" w:themeColor="text1"/>
          <w:sz w:val="16"/>
          <w:szCs w:val="16"/>
        </w:rPr>
        <w:softHyphen/>
        <w:t>ного нарушения продольной устойчивости приобретал тенденцию к пикированию, что, впрочем, без труда парировали ручкой управления. В ходе стрельбы ощущалась небольшая отдача.</w:t>
      </w:r>
    </w:p>
    <w:p w14:paraId="7867766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итоге ракетные снаряды РБС-132 признали мощным оружием для борьбы с бронированными целями как в горизонтальном полете, так и на пикировании с самолетов-штурмовиков и бомбардировщиков. К типовым целям летчики отнесли тяжелые танки, бронепоезда, батареи береговой обороны, морские и речные суда с палубным и бортовым бро</w:t>
      </w:r>
      <w:r w:rsidRPr="00640820">
        <w:rPr>
          <w:rFonts w:ascii="Times New Roman" w:hAnsi="Times New Roman"/>
          <w:color w:val="000000" w:themeColor="text1"/>
          <w:sz w:val="16"/>
          <w:szCs w:val="16"/>
        </w:rPr>
        <w:softHyphen/>
        <w:t>нированием толщиной до 75 мм, а также полевые бетонированные со</w:t>
      </w:r>
      <w:r w:rsidRPr="00640820">
        <w:rPr>
          <w:rFonts w:ascii="Times New Roman" w:hAnsi="Times New Roman"/>
          <w:color w:val="000000" w:themeColor="text1"/>
          <w:sz w:val="16"/>
          <w:szCs w:val="16"/>
        </w:rPr>
        <w:softHyphen/>
        <w:t>оружения и «каменные строения гражданского типа».</w:t>
      </w:r>
    </w:p>
    <w:p w14:paraId="3436199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 пожалуй, наибольшее восхищение у пилотов вызвали ракетно-ос-колочно-фугасные снаряды РОФС-132, которые также размещали на штурмовиках по четыре штуки. Впрочем, на некоторых машинах для эксперимента установили по восемь ракетных орудий РО-132.</w:t>
      </w:r>
    </w:p>
    <w:p w14:paraId="1A81B84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Капитан Заноздра в боевом вылете 9 января 1942 г. атаковал четыре танка с дистанции 600 м на пологом пикировании под углом 5-6° со ско</w:t>
      </w:r>
      <w:r w:rsidRPr="00640820">
        <w:rPr>
          <w:rFonts w:ascii="Times New Roman" w:hAnsi="Times New Roman"/>
          <w:color w:val="000000" w:themeColor="text1"/>
          <w:sz w:val="16"/>
          <w:szCs w:val="16"/>
        </w:rPr>
        <w:softHyphen/>
        <w:t>ростью 370 км/ч. Разрывы снарядов взметнулись в районе цели в радиу</w:t>
      </w:r>
      <w:r w:rsidRPr="00640820">
        <w:rPr>
          <w:rFonts w:ascii="Times New Roman" w:hAnsi="Times New Roman"/>
          <w:color w:val="000000" w:themeColor="text1"/>
          <w:sz w:val="16"/>
          <w:szCs w:val="16"/>
        </w:rPr>
        <w:softHyphen/>
        <w:t>се 50 м. Обтекаемая фраза «характер поражения заметить не удалось» и в этот раз, похоже, свидетельствовала о большой скорости носителя и малой боеприпаса. Младшему лейтенанту Балашову в этом вылете по</w:t>
      </w:r>
      <w:r w:rsidRPr="00640820">
        <w:rPr>
          <w:rFonts w:ascii="Times New Roman" w:hAnsi="Times New Roman"/>
          <w:color w:val="000000" w:themeColor="text1"/>
          <w:sz w:val="16"/>
          <w:szCs w:val="16"/>
        </w:rPr>
        <w:softHyphen/>
        <w:t>везло больше. Он отстрелялся по колонне автомашин и гужевых повозок с дистанции 700 м на пикировании под углом 3-5° со скоростью 350 км/ч. Его попадание вызвало большой взрыв, уничтоживший весь транспорт в колонне на протяжении 50 м. Обломки автомобилей взлетали на высо</w:t>
      </w:r>
      <w:r w:rsidRPr="00640820">
        <w:rPr>
          <w:rFonts w:ascii="Times New Roman" w:hAnsi="Times New Roman"/>
          <w:color w:val="000000" w:themeColor="text1"/>
          <w:sz w:val="16"/>
          <w:szCs w:val="16"/>
        </w:rPr>
        <w:softHyphen/>
        <w:t>ту до 70 м.</w:t>
      </w:r>
    </w:p>
    <w:p w14:paraId="7D86B17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тот же день состоялся и боевой вылет командира звена старшего лейтенанта Баранова. С юго-восточного направления он атаковшт желез</w:t>
      </w:r>
      <w:r w:rsidRPr="00640820">
        <w:rPr>
          <w:rFonts w:ascii="Times New Roman" w:hAnsi="Times New Roman"/>
          <w:color w:val="000000" w:themeColor="text1"/>
          <w:sz w:val="16"/>
          <w:szCs w:val="16"/>
        </w:rPr>
        <w:softHyphen/>
        <w:t>нодорожный состав, находившийся на станции под погрузкой. Первый залп из двух снарядов с дистанции 1000 м пришелся по погрузочной пло</w:t>
      </w:r>
      <w:r w:rsidRPr="00640820">
        <w:rPr>
          <w:rFonts w:ascii="Times New Roman" w:hAnsi="Times New Roman"/>
          <w:color w:val="000000" w:themeColor="text1"/>
          <w:sz w:val="16"/>
          <w:szCs w:val="16"/>
        </w:rPr>
        <w:softHyphen/>
        <w:t>щадке, где скопилось большое количество танков и автомашин. Осталь</w:t>
      </w:r>
      <w:r w:rsidRPr="00640820">
        <w:rPr>
          <w:rFonts w:ascii="Times New Roman" w:hAnsi="Times New Roman"/>
          <w:color w:val="000000" w:themeColor="text1"/>
          <w:sz w:val="16"/>
          <w:szCs w:val="16"/>
        </w:rPr>
        <w:softHyphen/>
        <w:t>ные пять снарядов летчик выпустил по вагонам, отметив прямые попа</w:t>
      </w:r>
      <w:r w:rsidRPr="00640820">
        <w:rPr>
          <w:rFonts w:ascii="Times New Roman" w:hAnsi="Times New Roman"/>
          <w:color w:val="000000" w:themeColor="text1"/>
          <w:sz w:val="16"/>
          <w:szCs w:val="16"/>
        </w:rPr>
        <w:softHyphen/>
        <w:t>дания в цель. «Вагоны разлетались в щепки, а в двух из них произошел сильный взрыв, сопровождавшийся облаком дыма». Всего уничтожено восемь вагонов.</w:t>
      </w:r>
    </w:p>
    <w:p w14:paraId="3352F4E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ходе вылета на «свободную охоту» 11 января 1942 г. младший лейте</w:t>
      </w:r>
      <w:r w:rsidRPr="00640820">
        <w:rPr>
          <w:rFonts w:ascii="Times New Roman" w:hAnsi="Times New Roman"/>
          <w:color w:val="000000" w:themeColor="text1"/>
          <w:sz w:val="16"/>
          <w:szCs w:val="16"/>
        </w:rPr>
        <w:softHyphen/>
        <w:t>нант Балашов обнаружил в одном из населенных пунктов скопление ав</w:t>
      </w:r>
      <w:r w:rsidRPr="00640820">
        <w:rPr>
          <w:rFonts w:ascii="Times New Roman" w:hAnsi="Times New Roman"/>
          <w:color w:val="000000" w:themeColor="text1"/>
          <w:sz w:val="16"/>
          <w:szCs w:val="16"/>
        </w:rPr>
        <w:softHyphen/>
        <w:t>томашин и живой силы противника. То, что пилот атаковал их с дистан</w:t>
      </w:r>
      <w:r w:rsidRPr="00640820">
        <w:rPr>
          <w:rFonts w:ascii="Times New Roman" w:hAnsi="Times New Roman"/>
          <w:color w:val="000000" w:themeColor="text1"/>
          <w:sz w:val="16"/>
          <w:szCs w:val="16"/>
        </w:rPr>
        <w:softHyphen/>
        <w:t>ции 700 м, во многом спасло ему жизнь — силой взрыва крупные части автомашин и бронетранспортеров подбросило выше самолета, но летчик успел отвернуть в сторону. Залп ракетных снарядов пришелся как раз по центру площади, на которой немцы прогревали двигатели своих автома</w:t>
      </w:r>
      <w:r w:rsidRPr="00640820">
        <w:rPr>
          <w:rFonts w:ascii="Times New Roman" w:hAnsi="Times New Roman"/>
          <w:color w:val="000000" w:themeColor="text1"/>
          <w:sz w:val="16"/>
          <w:szCs w:val="16"/>
        </w:rPr>
        <w:softHyphen/>
        <w:t>шин. В результате ракетного удара находившийся поблизости дом час</w:t>
      </w:r>
      <w:r w:rsidRPr="00640820">
        <w:rPr>
          <w:rFonts w:ascii="Times New Roman" w:hAnsi="Times New Roman"/>
          <w:color w:val="000000" w:themeColor="text1"/>
          <w:sz w:val="16"/>
          <w:szCs w:val="16"/>
        </w:rPr>
        <w:softHyphen/>
        <w:t>тично разрушился и загорелся.</w:t>
      </w:r>
    </w:p>
    <w:p w14:paraId="10891CB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января 1941 г. капитан Фомин повел в бой два звена штурмовиков. Идя на высоте 15-20 м, с дистанции 450-500 м на скорости 350 км/ч ата</w:t>
      </w:r>
      <w:r w:rsidRPr="00640820">
        <w:rPr>
          <w:rFonts w:ascii="Times New Roman" w:hAnsi="Times New Roman"/>
          <w:color w:val="000000" w:themeColor="text1"/>
          <w:sz w:val="16"/>
          <w:szCs w:val="16"/>
        </w:rPr>
        <w:softHyphen/>
        <w:t>ковали населенный пункт, занятый противником. На местах падения РОФС возникали сильные взрывы и черный дым. Впереди его самолета "всего в 200 м от одной из автомашин, по-видимому загруженной боепри</w:t>
      </w:r>
      <w:r w:rsidRPr="00640820">
        <w:rPr>
          <w:rFonts w:ascii="Times New Roman" w:hAnsi="Times New Roman"/>
          <w:color w:val="000000" w:themeColor="text1"/>
          <w:sz w:val="16"/>
          <w:szCs w:val="16"/>
        </w:rPr>
        <w:softHyphen/>
        <w:t>пасами, оторванное колесо взмыло вверх на высоту 80 м. Пришлось срочно с большим креном уходить в сторону. В тот день капитан позави</w:t>
      </w:r>
      <w:r w:rsidRPr="00640820">
        <w:rPr>
          <w:rFonts w:ascii="Times New Roman" w:hAnsi="Times New Roman"/>
          <w:color w:val="000000" w:themeColor="text1"/>
          <w:sz w:val="16"/>
          <w:szCs w:val="16"/>
        </w:rPr>
        <w:softHyphen/>
        <w:t>довал тем пилотам, у кого самолеты были вооружены восемью РОФС-ами или фугасными авиабомбами. Сам он отстрелялся быстро, и барра</w:t>
      </w:r>
      <w:r w:rsidRPr="00640820">
        <w:rPr>
          <w:rFonts w:ascii="Times New Roman" w:hAnsi="Times New Roman"/>
          <w:color w:val="000000" w:themeColor="text1"/>
          <w:sz w:val="16"/>
          <w:szCs w:val="16"/>
        </w:rPr>
        <w:softHyphen/>
        <w:t>жировал выше, ожидая окончания «работы» остальных для сбора в груп-</w:t>
      </w:r>
      <w:r w:rsidRPr="00640820">
        <w:rPr>
          <w:rFonts w:ascii="Times New Roman" w:hAnsi="Times New Roman"/>
          <w:color w:val="000000" w:themeColor="text1"/>
          <w:sz w:val="16"/>
          <w:szCs w:val="16"/>
          <w:vertAlign w:val="superscript"/>
        </w:rPr>
        <w:t>П</w:t>
      </w:r>
      <w:r w:rsidRPr="00640820">
        <w:rPr>
          <w:rFonts w:ascii="Times New Roman" w:hAnsi="Times New Roman"/>
          <w:color w:val="000000" w:themeColor="text1"/>
          <w:sz w:val="16"/>
          <w:szCs w:val="16"/>
        </w:rPr>
        <w:t>У. И только сейчас Фомин обнаружил еще несколько целей, стоящих за</w:t>
      </w:r>
      <w:r w:rsidRPr="00640820">
        <w:rPr>
          <w:rFonts w:ascii="Times New Roman" w:hAnsi="Times New Roman"/>
          <w:color w:val="000000" w:themeColor="text1"/>
          <w:sz w:val="16"/>
          <w:szCs w:val="16"/>
        </w:rPr>
        <w:softHyphen/>
        <w:t>маскированными возле домов, о чем сообщил по рации младшему лей</w:t>
      </w:r>
      <w:r w:rsidRPr="00640820">
        <w:rPr>
          <w:rFonts w:ascii="Times New Roman" w:hAnsi="Times New Roman"/>
          <w:color w:val="000000" w:themeColor="text1"/>
          <w:sz w:val="16"/>
          <w:szCs w:val="16"/>
        </w:rPr>
        <w:softHyphen/>
        <w:t>тенанту Балашову.</w:t>
      </w:r>
    </w:p>
    <w:p w14:paraId="771EEB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Несмотря на налет, немцы неохотно покидали теплые помещения, Надеясь на минимальный ущерб от пулеметного огня советских самоле</w:t>
      </w:r>
      <w:r w:rsidRPr="00640820">
        <w:rPr>
          <w:rFonts w:ascii="Times New Roman" w:hAnsi="Times New Roman"/>
          <w:color w:val="000000" w:themeColor="text1"/>
          <w:sz w:val="16"/>
          <w:szCs w:val="16"/>
        </w:rPr>
        <w:softHyphen/>
        <w:t>тов, в этот раз им явно не повезло — в результате прямых попаданий РОФС-132, выпущенных младшим лейтенантом Балашовым, старшим лейтенантом Барановым и младшим лейтенантом Бушуевым, здания просто разлетались в щепки, погребая под обломками всех укрывшихся в их стенах. Столбы дыма и пыли поднимались вверх на 30 м над теми местами, где только что стояли дома.</w:t>
      </w:r>
    </w:p>
    <w:p w14:paraId="78388E6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подходе к населенному пункту старший лейтенант Баранов (его Ил-2 был вооружен 8 снарядами РОФС-132) атаковал колонну гужевого транспорта численностью до 35 подвод. Два снаряда попали в середину колонны, перевозившей боеприпасы. «Произошел сильный взрыв, и в воздух взлетели обломки повозок, куски лошадей и людей». Опасаясь повреждения самолета, пилот резко «взял горку», впрочем успев рассмо</w:t>
      </w:r>
      <w:r w:rsidRPr="00640820">
        <w:rPr>
          <w:rFonts w:ascii="Times New Roman" w:hAnsi="Times New Roman"/>
          <w:color w:val="000000" w:themeColor="text1"/>
          <w:sz w:val="16"/>
          <w:szCs w:val="16"/>
        </w:rPr>
        <w:softHyphen/>
        <w:t>треть, что уничтожено около 15 подвод с прислугой. Вторым залпом пи</w:t>
      </w:r>
      <w:r w:rsidRPr="00640820">
        <w:rPr>
          <w:rFonts w:ascii="Times New Roman" w:hAnsi="Times New Roman"/>
          <w:color w:val="000000" w:themeColor="text1"/>
          <w:sz w:val="16"/>
          <w:szCs w:val="16"/>
        </w:rPr>
        <w:softHyphen/>
        <w:t>лот уничтожил большое здание, где приютилось множество солдат про</w:t>
      </w:r>
      <w:r w:rsidRPr="00640820">
        <w:rPr>
          <w:rFonts w:ascii="Times New Roman" w:hAnsi="Times New Roman"/>
          <w:color w:val="000000" w:themeColor="text1"/>
          <w:sz w:val="16"/>
          <w:szCs w:val="16"/>
        </w:rPr>
        <w:softHyphen/>
        <w:t>тивника. Обломки сооружения взлетели в воздух на высоту 50 м. Осталь</w:t>
      </w:r>
      <w:r w:rsidRPr="00640820">
        <w:rPr>
          <w:rFonts w:ascii="Times New Roman" w:hAnsi="Times New Roman"/>
          <w:color w:val="000000" w:themeColor="text1"/>
          <w:sz w:val="16"/>
          <w:szCs w:val="16"/>
        </w:rPr>
        <w:softHyphen/>
        <w:t>ной боезапас он не менее успешно израсходовал по автомашинам.</w:t>
      </w:r>
    </w:p>
    <w:p w14:paraId="2CBAE44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 младшего лейтенанта Бушуева это был первый вылет на боевое применение снарядов РОФС-132. С учетом мощных взрывов при попа</w:t>
      </w:r>
      <w:r w:rsidRPr="00640820">
        <w:rPr>
          <w:rFonts w:ascii="Times New Roman" w:hAnsi="Times New Roman"/>
          <w:color w:val="000000" w:themeColor="text1"/>
          <w:sz w:val="16"/>
          <w:szCs w:val="16"/>
        </w:rPr>
        <w:softHyphen/>
        <w:t>дании в цель другими пилотами, летчик, располагая боезапасом в четы</w:t>
      </w:r>
      <w:r w:rsidRPr="00640820">
        <w:rPr>
          <w:rFonts w:ascii="Times New Roman" w:hAnsi="Times New Roman"/>
          <w:color w:val="000000" w:themeColor="text1"/>
          <w:sz w:val="16"/>
          <w:szCs w:val="16"/>
        </w:rPr>
        <w:softHyphen/>
        <w:t xml:space="preserve">ре снаряда, открывал огонь на дистанции 700 м с высоты 80-100м. Огонь вел одиночными выстрелами. «Сила взрыва </w:t>
      </w:r>
      <w:r w:rsidRPr="00640820">
        <w:rPr>
          <w:rFonts w:ascii="Times New Roman" w:hAnsi="Times New Roman"/>
          <w:color w:val="000000" w:themeColor="text1"/>
          <w:sz w:val="16"/>
          <w:szCs w:val="16"/>
        </w:rPr>
        <w:lastRenderedPageBreak/>
        <w:t>РОФС-132 в несколько раз больше, чем у РС-82 и РС-132. Для меня взрыв такой силы оказался не</w:t>
      </w:r>
      <w:r w:rsidRPr="00640820">
        <w:rPr>
          <w:rFonts w:ascii="Times New Roman" w:hAnsi="Times New Roman"/>
          <w:color w:val="000000" w:themeColor="text1"/>
          <w:sz w:val="16"/>
          <w:szCs w:val="16"/>
        </w:rPr>
        <w:softHyphen/>
        <w:t>ожиданным. Необходимо ускорить вооружение самолета Ил-2 этими снарядами».</w:t>
      </w:r>
    </w:p>
    <w:p w14:paraId="18D329F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Боевой вылет на «свободную охоту» лейтенанта Короткова и старши</w:t>
      </w:r>
      <w:r w:rsidRPr="00640820">
        <w:rPr>
          <w:rFonts w:ascii="Times New Roman" w:hAnsi="Times New Roman"/>
          <w:color w:val="000000" w:themeColor="text1"/>
          <w:sz w:val="16"/>
          <w:szCs w:val="16"/>
        </w:rPr>
        <w:softHyphen/>
        <w:t>ны Позднякова состоялся 13 января 1942 г. Обнаружив населенный пункт, занятый противником, ведущий атаковал его с дистанции 1000-1500 м на пикировании под углом 10-15° со скоростью 380 км/ч. Старши</w:t>
      </w:r>
      <w:r w:rsidRPr="00640820">
        <w:rPr>
          <w:rFonts w:ascii="Times New Roman" w:hAnsi="Times New Roman"/>
          <w:color w:val="000000" w:themeColor="text1"/>
          <w:sz w:val="16"/>
          <w:szCs w:val="16"/>
        </w:rPr>
        <w:softHyphen/>
        <w:t>на Поздняков открывал огонь значительно ближе — на дистанции 600-800 м, плавно снижаясь под углом 3-5° со скоростью 350-370 км/ч. Оба пилота отмечали, что РОФС — незаменимое оружие на самолете Ил-2, -«при попадании в деревянный дом, тот немедленно разрушается и загорается, а автомашины превраща</w:t>
      </w:r>
      <w:r w:rsidRPr="00640820">
        <w:rPr>
          <w:rFonts w:ascii="Times New Roman" w:hAnsi="Times New Roman"/>
          <w:color w:val="000000" w:themeColor="text1"/>
          <w:sz w:val="16"/>
          <w:szCs w:val="16"/>
        </w:rPr>
        <w:softHyphen/>
        <w:t>ется в груду обломков, взлетаю</w:t>
      </w:r>
      <w:r w:rsidRPr="00640820">
        <w:rPr>
          <w:rFonts w:ascii="Times New Roman" w:hAnsi="Times New Roman"/>
          <w:color w:val="000000" w:themeColor="text1"/>
          <w:sz w:val="16"/>
          <w:szCs w:val="16"/>
        </w:rPr>
        <w:softHyphen/>
        <w:t>щих выше самолета».</w:t>
      </w:r>
    </w:p>
    <w:p w14:paraId="77FDC3D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Вооруженные четырьмя снаря</w:t>
      </w:r>
      <w:r w:rsidRPr="00640820">
        <w:rPr>
          <w:rFonts w:ascii="Times New Roman" w:hAnsi="Times New Roman"/>
          <w:color w:val="000000" w:themeColor="text1"/>
          <w:sz w:val="16"/>
          <w:szCs w:val="16"/>
        </w:rPr>
        <w:softHyphen/>
        <w:t>дами РОФС-132, штурмовики Ил-2, по отзывам летчиков, на взлете и в воздухе устойчивы. В варианте с 8 снарядами самолет требует незначительного увеличе</w:t>
      </w:r>
      <w:r w:rsidRPr="00640820">
        <w:rPr>
          <w:rFonts w:ascii="Times New Roman" w:hAnsi="Times New Roman"/>
          <w:color w:val="000000" w:themeColor="text1"/>
          <w:sz w:val="16"/>
          <w:szCs w:val="16"/>
        </w:rPr>
        <w:softHyphen/>
        <w:t>ния длины разбега, приобретает тенденцию «потягивания за нос», что вынуждает для страховки взле</w:t>
      </w:r>
      <w:r w:rsidRPr="00640820">
        <w:rPr>
          <w:rFonts w:ascii="Times New Roman" w:hAnsi="Times New Roman"/>
          <w:color w:val="000000" w:themeColor="text1"/>
          <w:sz w:val="16"/>
          <w:szCs w:val="16"/>
        </w:rPr>
        <w:softHyphen/>
        <w:t>тать с неполностью поднятым хво</w:t>
      </w:r>
      <w:r w:rsidRPr="00640820">
        <w:rPr>
          <w:rFonts w:ascii="Times New Roman" w:hAnsi="Times New Roman"/>
          <w:color w:val="000000" w:themeColor="text1"/>
          <w:sz w:val="16"/>
          <w:szCs w:val="16"/>
        </w:rPr>
        <w:softHyphen/>
        <w:t>стом. Пилотировать их несколько тяжелее, чем с РС-132, хотя это ощущение быстро проходит.</w:t>
      </w:r>
    </w:p>
    <w:p w14:paraId="5D4F0A8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отсутствие стрелкового при</w:t>
      </w:r>
      <w:r w:rsidRPr="00640820">
        <w:rPr>
          <w:rFonts w:ascii="Times New Roman" w:hAnsi="Times New Roman"/>
          <w:color w:val="000000" w:themeColor="text1"/>
          <w:sz w:val="16"/>
          <w:szCs w:val="16"/>
        </w:rPr>
        <w:softHyphen/>
        <w:t>цела, наводить машину на цель приходилось либо «по втулке вин</w:t>
      </w:r>
      <w:r w:rsidRPr="00640820">
        <w:rPr>
          <w:rFonts w:ascii="Times New Roman" w:hAnsi="Times New Roman"/>
          <w:color w:val="000000" w:themeColor="text1"/>
          <w:sz w:val="16"/>
          <w:szCs w:val="16"/>
        </w:rPr>
        <w:softHyphen/>
        <w:t>та», начиная «накладывать ее на центр цели» с дистанции 1000-1200 м, а затем, приближаясь на 700 м, нажимать боевую кнопку, либо ис</w:t>
      </w:r>
      <w:r w:rsidRPr="00640820">
        <w:rPr>
          <w:rFonts w:ascii="Times New Roman" w:hAnsi="Times New Roman"/>
          <w:color w:val="000000" w:themeColor="text1"/>
          <w:sz w:val="16"/>
          <w:szCs w:val="16"/>
        </w:rPr>
        <w:softHyphen/>
        <w:t>пользовать пристрелочный огонь из пулеметов трассирующими пу</w:t>
      </w:r>
      <w:r w:rsidRPr="00640820">
        <w:rPr>
          <w:rFonts w:ascii="Times New Roman" w:hAnsi="Times New Roman"/>
          <w:color w:val="000000" w:themeColor="text1"/>
          <w:sz w:val="16"/>
          <w:szCs w:val="16"/>
        </w:rPr>
        <w:softHyphen/>
        <w:t>лями. При выстреле РОФС-132 са</w:t>
      </w:r>
      <w:r w:rsidRPr="00640820">
        <w:rPr>
          <w:rFonts w:ascii="Times New Roman" w:hAnsi="Times New Roman"/>
          <w:color w:val="000000" w:themeColor="text1"/>
          <w:sz w:val="16"/>
          <w:szCs w:val="16"/>
        </w:rPr>
        <w:softHyphen/>
        <w:t>молет слегка вздрагивал, но в об</w:t>
      </w:r>
      <w:r w:rsidRPr="00640820">
        <w:rPr>
          <w:rFonts w:ascii="Times New Roman" w:hAnsi="Times New Roman"/>
          <w:color w:val="000000" w:themeColor="text1"/>
          <w:sz w:val="16"/>
          <w:szCs w:val="16"/>
        </w:rPr>
        <w:softHyphen/>
        <w:t>щем, вел себя устойчиво. Однако стрельба с малых дистанций могла повредить свою машину. Приме</w:t>
      </w:r>
      <w:r w:rsidRPr="00640820">
        <w:rPr>
          <w:rFonts w:ascii="Times New Roman" w:hAnsi="Times New Roman"/>
          <w:color w:val="000000" w:themeColor="text1"/>
          <w:sz w:val="16"/>
          <w:szCs w:val="16"/>
        </w:rPr>
        <w:softHyphen/>
        <w:t>нение такого оружия впечатляло пилотов как своей разрушитель</w:t>
      </w:r>
      <w:r w:rsidRPr="00640820">
        <w:rPr>
          <w:rFonts w:ascii="Times New Roman" w:hAnsi="Times New Roman"/>
          <w:color w:val="000000" w:themeColor="text1"/>
          <w:sz w:val="16"/>
          <w:szCs w:val="16"/>
        </w:rPr>
        <w:softHyphen/>
        <w:t>ной силой, так и деморализующим воздействием на противника. Вот лишь некоторые из их отзывов и пожеланий: «...имея такой сна-</w:t>
      </w:r>
      <w:r w:rsidRPr="00640820">
        <w:rPr>
          <w:rFonts w:ascii="Times New Roman" w:hAnsi="Times New Roman"/>
          <w:smallCaps/>
          <w:color w:val="000000" w:themeColor="text1"/>
          <w:sz w:val="16"/>
          <w:szCs w:val="16"/>
        </w:rPr>
        <w:t xml:space="preserve">ряд </w:t>
      </w:r>
      <w:r w:rsidRPr="00640820">
        <w:rPr>
          <w:rFonts w:ascii="Times New Roman" w:hAnsi="Times New Roman"/>
          <w:color w:val="000000" w:themeColor="text1"/>
          <w:sz w:val="16"/>
          <w:szCs w:val="16"/>
        </w:rPr>
        <w:t>на Ил-2, нет никакой необхо</w:t>
      </w:r>
      <w:r w:rsidRPr="00640820">
        <w:rPr>
          <w:rFonts w:ascii="Times New Roman" w:hAnsi="Times New Roman"/>
          <w:color w:val="000000" w:themeColor="text1"/>
          <w:sz w:val="16"/>
          <w:szCs w:val="16"/>
        </w:rPr>
        <w:softHyphen/>
        <w:t>димости применять РС меньшего калибра, эффект которых незна</w:t>
      </w:r>
      <w:r w:rsidRPr="00640820">
        <w:rPr>
          <w:rFonts w:ascii="Times New Roman" w:hAnsi="Times New Roman"/>
          <w:color w:val="000000" w:themeColor="text1"/>
          <w:sz w:val="16"/>
          <w:szCs w:val="16"/>
        </w:rPr>
        <w:softHyphen/>
        <w:t>чителен», «...желательно самолет Ил-2 отправлять на боевое задание с 8 штуками РОФС-132 и двумя бомбами ФАБ-50», «...необходимо "меть побольше таких снарядов, так как они в 4-5 раз эффективнее РС-132», «...считаю, что РОФС-ы очень эффективны и по разрушитель</w:t>
      </w:r>
      <w:r w:rsidRPr="00640820">
        <w:rPr>
          <w:rFonts w:ascii="Times New Roman" w:hAnsi="Times New Roman"/>
          <w:color w:val="000000" w:themeColor="text1"/>
          <w:sz w:val="16"/>
          <w:szCs w:val="16"/>
        </w:rPr>
        <w:softHyphen/>
        <w:t>ной силе превосходят РС-132 раза в четыре».</w:t>
      </w:r>
    </w:p>
    <w:p w14:paraId="3C5323B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имени наземного технического персонала 312-го штурмового авиаполка обобщенные отзывы коротко и емко высказал инженер по вооружению военинженер 3 ранга Гавренко: «РОФС-132 и РБС просты в эксплуатации и безотказны в работе. Применение этих снарядов на са</w:t>
      </w:r>
      <w:r w:rsidRPr="00640820">
        <w:rPr>
          <w:rFonts w:ascii="Times New Roman" w:hAnsi="Times New Roman"/>
          <w:color w:val="000000" w:themeColor="text1"/>
          <w:sz w:val="16"/>
          <w:szCs w:val="16"/>
        </w:rPr>
        <w:softHyphen/>
        <w:t>молетах Ил-2 намного повысит боевую мощь штурмовой авиации».</w:t>
      </w:r>
    </w:p>
    <w:p w14:paraId="5C8E4BC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Вывод комиссии: «Применение РОФС-132 на самолете Ил-2 в 8-10 раз увеличивает огневую мощь машины по сравнению с штатными РОС-82 и в 3-4 раза по сравнению с РОС- 132. Перевооружение Ил-2 снарядами РОФС-132 позволит увеличить огневую мощь парка само</w:t>
      </w:r>
      <w:r w:rsidRPr="00640820">
        <w:rPr>
          <w:rFonts w:ascii="Times New Roman" w:hAnsi="Times New Roman"/>
          <w:color w:val="000000" w:themeColor="text1"/>
          <w:sz w:val="16"/>
          <w:szCs w:val="16"/>
        </w:rPr>
        <w:softHyphen/>
        <w:t>летов-штурмовиков в 3-4 раза без увеличения численности машин и са</w:t>
      </w:r>
      <w:r w:rsidRPr="00640820">
        <w:rPr>
          <w:rFonts w:ascii="Times New Roman" w:hAnsi="Times New Roman"/>
          <w:color w:val="000000" w:themeColor="text1"/>
          <w:sz w:val="16"/>
          <w:szCs w:val="16"/>
        </w:rPr>
        <w:softHyphen/>
        <w:t>молетовылетов». Наряду с этим, уже в 1942 г. отмечали, что применение ракетно-осколочных снарядов РОС-82 значительно снижает боевую эффективность штурмовиков Ил-2, и использовать их нецелесообраз</w:t>
      </w:r>
      <w:r w:rsidRPr="00640820">
        <w:rPr>
          <w:rFonts w:ascii="Times New Roman" w:hAnsi="Times New Roman"/>
          <w:color w:val="000000" w:themeColor="text1"/>
          <w:sz w:val="16"/>
          <w:szCs w:val="16"/>
        </w:rPr>
        <w:softHyphen/>
        <w:t>но. Вследствие специального назначения ракетно-бронебойных снаря</w:t>
      </w:r>
      <w:r w:rsidRPr="00640820">
        <w:rPr>
          <w:rFonts w:ascii="Times New Roman" w:hAnsi="Times New Roman"/>
          <w:color w:val="000000" w:themeColor="text1"/>
          <w:sz w:val="16"/>
          <w:szCs w:val="16"/>
        </w:rPr>
        <w:softHyphen/>
        <w:t>дов, в строевых частях ВВС Красной Армии и ВМФ необходимо иметь их всего 25% от общего комплекта РС. А снаряды РОФС-132, поступа</w:t>
      </w:r>
      <w:r w:rsidRPr="00640820">
        <w:rPr>
          <w:rFonts w:ascii="Times New Roman" w:hAnsi="Times New Roman"/>
          <w:color w:val="000000" w:themeColor="text1"/>
          <w:sz w:val="16"/>
          <w:szCs w:val="16"/>
        </w:rPr>
        <w:softHyphen/>
        <w:t>ющие в строевые части ВВС КА, необходимо комплектовать уже на за</w:t>
      </w:r>
      <w:r w:rsidRPr="00640820">
        <w:rPr>
          <w:rFonts w:ascii="Times New Roman" w:hAnsi="Times New Roman"/>
          <w:color w:val="000000" w:themeColor="text1"/>
          <w:sz w:val="16"/>
          <w:szCs w:val="16"/>
        </w:rPr>
        <w:softHyphen/>
        <w:t>водах пиропатронами ПП-4, переходными втулками для взрывателей АМ-А, картонными прокладками и дополнительными тетриловыми шашками.</w:t>
      </w:r>
    </w:p>
    <w:p w14:paraId="59FD9D0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сожалению, несмотря на увеличение кучности стрельбы РОФС-132, их эффективность при стрельбе по танкам и другой броне-технике в рассредоточенных боевых порядках, к которым немцы повсе</w:t>
      </w:r>
      <w:r w:rsidRPr="00640820">
        <w:rPr>
          <w:rFonts w:ascii="Times New Roman" w:hAnsi="Times New Roman"/>
          <w:color w:val="000000" w:themeColor="text1"/>
          <w:sz w:val="16"/>
          <w:szCs w:val="16"/>
        </w:rPr>
        <w:softHyphen/>
        <w:t>местно перешли к этому времени, была все же неудовлетворительной. Наилучшие результаты РОФС-132 давали при стрельбе по крупным пло</w:t>
      </w:r>
      <w:r w:rsidRPr="00640820">
        <w:rPr>
          <w:rFonts w:ascii="Times New Roman" w:hAnsi="Times New Roman"/>
          <w:color w:val="000000" w:themeColor="text1"/>
          <w:sz w:val="16"/>
          <w:szCs w:val="16"/>
        </w:rPr>
        <w:softHyphen/>
        <w:t>щадным целям - мотомеханизированные колонны, железнодорожные составы, склады, батареи полевой и зенитной артиллерии и пр.». На самом деле, к сожалению, авторы не улавливают отличий между понятиями точности и кучности стрельбы.</w:t>
      </w:r>
    </w:p>
    <w:p w14:paraId="717F0FC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Опыт боевых действий в начальный период Великой Отечественной показал, что при атаках с бреющего полета Ил-2 способны поражать лишь живую силу и автотранспорт противника в местах сосредоточения и на марше. Мотомеханизированные колонны штурмовики Ил-2 обыч</w:t>
      </w:r>
      <w:r w:rsidRPr="00640820">
        <w:rPr>
          <w:rFonts w:ascii="Times New Roman" w:hAnsi="Times New Roman"/>
          <w:color w:val="000000" w:themeColor="text1"/>
          <w:sz w:val="16"/>
          <w:szCs w:val="16"/>
        </w:rPr>
        <w:softHyphen/>
        <w:t>но атаковали с бреющего полета (высота подхода к цели 25-30 м) вдоль колонны или под углами 15-20° к ней. Первый удар наносили по голове колонны для ее остановки. Дистанция огня - 500-600 м. Прицеливались «по колонне вообще» с пристрелкой трассирующими пулями из пулеме</w:t>
      </w:r>
      <w:r w:rsidRPr="00640820">
        <w:rPr>
          <w:rFonts w:ascii="Times New Roman" w:hAnsi="Times New Roman"/>
          <w:color w:val="000000" w:themeColor="text1"/>
          <w:sz w:val="16"/>
          <w:szCs w:val="16"/>
        </w:rPr>
        <w:softHyphen/>
        <w:t>тов ШКАС. Затем, с учетом положения трассы пуль относительно цели, открывали огонь из пушек и РС. Все виды огня (пулеметный, пушечный и РС, а также сброс авиабомб) использовали в одном заходе.</w:t>
      </w:r>
    </w:p>
    <w:p w14:paraId="328D428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Действенность огня Ил-2 по колонне (пехота на машинах, бронема</w:t>
      </w:r>
      <w:r w:rsidRPr="00640820">
        <w:rPr>
          <w:rFonts w:ascii="Times New Roman" w:hAnsi="Times New Roman"/>
          <w:color w:val="000000" w:themeColor="text1"/>
          <w:sz w:val="16"/>
          <w:szCs w:val="16"/>
        </w:rPr>
        <w:softHyphen/>
        <w:t>шины, артиллерия и пр., исключая танки), была достаточно высокой. Хотя, справедливости ради, необходимо отметить, что прицеливание по колонне вообще», как показали полигонные испытания, в большинстве случаев давало низкую точность стрельбы. А атака цели, при всей своей</w:t>
      </w:r>
    </w:p>
    <w:p w14:paraId="703CF00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Таблица 5.6 Точность стрельбы по наземным целям из пушек и ракетными снарядами с самолета Ил-2 летчиками с разным уровнем подготовки стремительности и внезапности, приводила лишь к бесцельной трате бо</w:t>
      </w:r>
      <w:r w:rsidRPr="00640820">
        <w:rPr>
          <w:rFonts w:ascii="Times New Roman" w:hAnsi="Times New Roman"/>
          <w:color w:val="000000" w:themeColor="text1"/>
          <w:sz w:val="16"/>
          <w:szCs w:val="16"/>
        </w:rPr>
        <w:softHyphen/>
        <w:t>еприпасов практически без ущерба для противника.</w:t>
      </w:r>
    </w:p>
    <w:tbl>
      <w:tblPr>
        <w:tblW w:w="0" w:type="auto"/>
        <w:tblInd w:w="40" w:type="dxa"/>
        <w:tblLayout w:type="fixed"/>
        <w:tblCellMar>
          <w:left w:w="40" w:type="dxa"/>
          <w:right w:w="40" w:type="dxa"/>
        </w:tblCellMar>
        <w:tblLook w:val="0000" w:firstRow="0" w:lastRow="0" w:firstColumn="0" w:lastColumn="0" w:noHBand="0" w:noVBand="0"/>
      </w:tblPr>
      <w:tblGrid>
        <w:gridCol w:w="922"/>
        <w:gridCol w:w="586"/>
        <w:gridCol w:w="643"/>
        <w:gridCol w:w="586"/>
        <w:gridCol w:w="595"/>
        <w:gridCol w:w="509"/>
        <w:gridCol w:w="586"/>
        <w:gridCol w:w="518"/>
        <w:gridCol w:w="1027"/>
      </w:tblGrid>
      <w:tr w:rsidR="00643896" w:rsidRPr="00640820" w14:paraId="10385CFA" w14:textId="77777777" w:rsidTr="000D3BCB">
        <w:trPr>
          <w:trHeight w:val="643"/>
        </w:trPr>
        <w:tc>
          <w:tcPr>
            <w:tcW w:w="922" w:type="dxa"/>
            <w:tcBorders>
              <w:top w:val="single" w:sz="6" w:space="0" w:color="auto"/>
              <w:left w:val="single" w:sz="6" w:space="0" w:color="auto"/>
              <w:bottom w:val="nil"/>
              <w:right w:val="single" w:sz="6" w:space="0" w:color="auto"/>
            </w:tcBorders>
          </w:tcPr>
          <w:p w14:paraId="6CD234D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Фамилия летчика</w:t>
            </w:r>
          </w:p>
          <w:p w14:paraId="5741B10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nil"/>
              <w:right w:val="single" w:sz="6" w:space="0" w:color="auto"/>
            </w:tcBorders>
          </w:tcPr>
          <w:p w14:paraId="0E308DA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Вид оружия</w:t>
            </w:r>
          </w:p>
          <w:p w14:paraId="77B6A65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nil"/>
              <w:right w:val="single" w:sz="6" w:space="0" w:color="auto"/>
            </w:tcBorders>
          </w:tcPr>
          <w:p w14:paraId="351848A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Кол-во полетов</w:t>
            </w:r>
          </w:p>
          <w:p w14:paraId="7FA8CC1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nil"/>
              <w:right w:val="single" w:sz="6" w:space="0" w:color="auto"/>
            </w:tcBorders>
          </w:tcPr>
          <w:p w14:paraId="09A9A35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Кол-во выстр.</w:t>
            </w:r>
          </w:p>
          <w:p w14:paraId="4BECCB9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gridSpan w:val="2"/>
            <w:tcBorders>
              <w:top w:val="single" w:sz="6" w:space="0" w:color="auto"/>
              <w:left w:val="single" w:sz="6" w:space="0" w:color="auto"/>
              <w:bottom w:val="single" w:sz="6" w:space="0" w:color="auto"/>
              <w:right w:val="single" w:sz="6" w:space="0" w:color="auto"/>
            </w:tcBorders>
          </w:tcPr>
          <w:p w14:paraId="564AA75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Попадания в выбранный танк</w:t>
            </w:r>
          </w:p>
          <w:p w14:paraId="09034FE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gridSpan w:val="2"/>
            <w:tcBorders>
              <w:top w:val="single" w:sz="6" w:space="0" w:color="auto"/>
              <w:left w:val="single" w:sz="6" w:space="0" w:color="auto"/>
              <w:bottom w:val="single" w:sz="6" w:space="0" w:color="auto"/>
              <w:right w:val="single" w:sz="6" w:space="0" w:color="auto"/>
            </w:tcBorders>
          </w:tcPr>
          <w:p w14:paraId="5F1D6F2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Попадания в колонну танков</w:t>
            </w:r>
          </w:p>
          <w:p w14:paraId="073E901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nil"/>
              <w:right w:val="single" w:sz="6" w:space="0" w:color="auto"/>
            </w:tcBorders>
          </w:tcPr>
          <w:p w14:paraId="0629FF6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Средний % попаданий в танк/ колонну танков</w:t>
            </w:r>
          </w:p>
          <w:p w14:paraId="1436AA8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2C6177B" w14:textId="77777777" w:rsidTr="000D3BCB">
        <w:trPr>
          <w:trHeight w:val="432"/>
        </w:trPr>
        <w:tc>
          <w:tcPr>
            <w:tcW w:w="922" w:type="dxa"/>
            <w:tcBorders>
              <w:top w:val="nil"/>
              <w:left w:val="single" w:sz="6" w:space="0" w:color="auto"/>
              <w:bottom w:val="single" w:sz="6" w:space="0" w:color="auto"/>
              <w:right w:val="single" w:sz="6" w:space="0" w:color="auto"/>
            </w:tcBorders>
          </w:tcPr>
          <w:p w14:paraId="5D53A0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C3522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nil"/>
              <w:left w:val="single" w:sz="6" w:space="0" w:color="auto"/>
              <w:bottom w:val="single" w:sz="6" w:space="0" w:color="auto"/>
              <w:right w:val="single" w:sz="6" w:space="0" w:color="auto"/>
            </w:tcBorders>
          </w:tcPr>
          <w:p w14:paraId="4D6E44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A37E5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nil"/>
              <w:left w:val="single" w:sz="6" w:space="0" w:color="auto"/>
              <w:bottom w:val="single" w:sz="6" w:space="0" w:color="auto"/>
              <w:right w:val="single" w:sz="6" w:space="0" w:color="auto"/>
            </w:tcBorders>
          </w:tcPr>
          <w:p w14:paraId="6D7C83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CC6D2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nil"/>
              <w:left w:val="single" w:sz="6" w:space="0" w:color="auto"/>
              <w:bottom w:val="single" w:sz="6" w:space="0" w:color="auto"/>
              <w:right w:val="single" w:sz="6" w:space="0" w:color="auto"/>
            </w:tcBorders>
          </w:tcPr>
          <w:p w14:paraId="5295DA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9E5D6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16B945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Кол-во выстр.</w:t>
            </w:r>
          </w:p>
          <w:p w14:paraId="772656E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14E07D1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 попад.</w:t>
            </w:r>
          </w:p>
          <w:p w14:paraId="032C86F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5E43A6B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Кол-во выстр.</w:t>
            </w:r>
          </w:p>
          <w:p w14:paraId="645FE8F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4E7A245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 попад.</w:t>
            </w:r>
          </w:p>
          <w:p w14:paraId="3ED06C0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nil"/>
              <w:left w:val="single" w:sz="6" w:space="0" w:color="auto"/>
              <w:bottom w:val="single" w:sz="6" w:space="0" w:color="auto"/>
              <w:right w:val="single" w:sz="6" w:space="0" w:color="auto"/>
            </w:tcBorders>
          </w:tcPr>
          <w:p w14:paraId="5CCC32C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C438D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8AE1B07" w14:textId="77777777" w:rsidTr="000D3BCB">
        <w:trPr>
          <w:trHeight w:val="509"/>
        </w:trPr>
        <w:tc>
          <w:tcPr>
            <w:tcW w:w="922" w:type="dxa"/>
            <w:tcBorders>
              <w:top w:val="single" w:sz="6" w:space="0" w:color="auto"/>
              <w:left w:val="single" w:sz="6" w:space="0" w:color="auto"/>
              <w:bottom w:val="nil"/>
              <w:right w:val="single" w:sz="6" w:space="0" w:color="auto"/>
            </w:tcBorders>
          </w:tcPr>
          <w:p w14:paraId="247F8F1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м-р Звонаре в пом. нач. НИ ПАВ ВВС РККА по летной подготовке</w:t>
            </w:r>
          </w:p>
          <w:p w14:paraId="4CA060A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3FA8F2E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ШВАК</w:t>
            </w:r>
          </w:p>
          <w:p w14:paraId="4F7C95D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798E0D5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p w14:paraId="59A3669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6CA3F63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464</w:t>
            </w:r>
          </w:p>
          <w:p w14:paraId="692A694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1B1506C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w:t>
            </w:r>
          </w:p>
          <w:p w14:paraId="10B1FF8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17A47B7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7,5</w:t>
            </w:r>
          </w:p>
          <w:p w14:paraId="1C22530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6BD7637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w:t>
            </w:r>
          </w:p>
          <w:p w14:paraId="410EDF9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72A448F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7,5</w:t>
            </w:r>
          </w:p>
          <w:p w14:paraId="238F426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nil"/>
              <w:right w:val="single" w:sz="6" w:space="0" w:color="auto"/>
            </w:tcBorders>
          </w:tcPr>
          <w:p w14:paraId="49F274C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7,5/8,5</w:t>
            </w:r>
          </w:p>
          <w:p w14:paraId="7575F11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491D4B6" w14:textId="77777777" w:rsidTr="000D3BCB">
        <w:trPr>
          <w:trHeight w:val="394"/>
        </w:trPr>
        <w:tc>
          <w:tcPr>
            <w:tcW w:w="922" w:type="dxa"/>
            <w:tcBorders>
              <w:top w:val="nil"/>
              <w:left w:val="single" w:sz="6" w:space="0" w:color="auto"/>
              <w:bottom w:val="nil"/>
              <w:right w:val="single" w:sz="6" w:space="0" w:color="auto"/>
            </w:tcBorders>
          </w:tcPr>
          <w:p w14:paraId="5A4FAD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DB210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732FD0D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ВЯ-23</w:t>
            </w:r>
          </w:p>
          <w:p w14:paraId="0C6BE03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2185474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w:t>
            </w:r>
          </w:p>
          <w:p w14:paraId="110BD8C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0E87A19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797</w:t>
            </w:r>
          </w:p>
          <w:p w14:paraId="044F9F5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7D9F780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59</w:t>
            </w:r>
          </w:p>
          <w:p w14:paraId="69CCBF0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6EC9F7D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7,4</w:t>
            </w:r>
          </w:p>
          <w:p w14:paraId="5534D93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677D766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76</w:t>
            </w:r>
          </w:p>
          <w:p w14:paraId="5335524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3FA2FC8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9,5</w:t>
            </w:r>
          </w:p>
          <w:p w14:paraId="6ABDEB5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nil"/>
              <w:left w:val="single" w:sz="6" w:space="0" w:color="auto"/>
              <w:bottom w:val="single" w:sz="6" w:space="0" w:color="auto"/>
              <w:right w:val="single" w:sz="6" w:space="0" w:color="auto"/>
            </w:tcBorders>
          </w:tcPr>
          <w:p w14:paraId="12F9E92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717B3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90CD22B" w14:textId="77777777" w:rsidTr="000D3BCB">
        <w:trPr>
          <w:trHeight w:val="518"/>
        </w:trPr>
        <w:tc>
          <w:tcPr>
            <w:tcW w:w="922" w:type="dxa"/>
            <w:tcBorders>
              <w:top w:val="nil"/>
              <w:left w:val="single" w:sz="6" w:space="0" w:color="auto"/>
              <w:bottom w:val="single" w:sz="6" w:space="0" w:color="auto"/>
              <w:right w:val="single" w:sz="6" w:space="0" w:color="auto"/>
            </w:tcBorders>
          </w:tcPr>
          <w:p w14:paraId="799A26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9B59B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372BA82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РС-82</w:t>
            </w:r>
          </w:p>
          <w:p w14:paraId="20DE4D2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0B420C5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p w14:paraId="7FDF0F4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2B5B370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94</w:t>
            </w:r>
          </w:p>
          <w:p w14:paraId="655A954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5F1CC1A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p w14:paraId="6D3E9BE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15EFE48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w:t>
            </w:r>
          </w:p>
          <w:p w14:paraId="2F1DFEC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2CC50BC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p w14:paraId="1E620DE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32BB9E9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4,3</w:t>
            </w:r>
          </w:p>
          <w:p w14:paraId="62BF307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5BB30E8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2,1/4,3</w:t>
            </w:r>
          </w:p>
          <w:p w14:paraId="7F4083C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F66012D" w14:textId="77777777" w:rsidTr="000D3BCB">
        <w:trPr>
          <w:trHeight w:val="326"/>
        </w:trPr>
        <w:tc>
          <w:tcPr>
            <w:tcW w:w="922" w:type="dxa"/>
            <w:tcBorders>
              <w:top w:val="single" w:sz="6" w:space="0" w:color="auto"/>
              <w:left w:val="single" w:sz="6" w:space="0" w:color="auto"/>
              <w:bottom w:val="nil"/>
              <w:right w:val="single" w:sz="6" w:space="0" w:color="auto"/>
            </w:tcBorders>
          </w:tcPr>
          <w:p w14:paraId="2BE7AA2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к-н Яшанов командир эскадрильи, 245-й шап</w:t>
            </w:r>
          </w:p>
          <w:p w14:paraId="7176FDD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7CF52E5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ШВАК</w:t>
            </w:r>
          </w:p>
          <w:p w14:paraId="64FFCEF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44B2DFD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p w14:paraId="1D41673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7120657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p w14:paraId="02E2707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44002E4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p w14:paraId="55FB954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2F9BE7C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p w14:paraId="0B18266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3885CDC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p w14:paraId="00332F8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46B2C2F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p w14:paraId="52EDE8F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nil"/>
              <w:right w:val="single" w:sz="6" w:space="0" w:color="auto"/>
            </w:tcBorders>
          </w:tcPr>
          <w:p w14:paraId="0C0F9AF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1,5/6,0</w:t>
            </w:r>
          </w:p>
          <w:p w14:paraId="4DB9790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5688479" w14:textId="77777777" w:rsidTr="000D3BCB">
        <w:trPr>
          <w:trHeight w:val="240"/>
        </w:trPr>
        <w:tc>
          <w:tcPr>
            <w:tcW w:w="922" w:type="dxa"/>
            <w:tcBorders>
              <w:top w:val="nil"/>
              <w:left w:val="single" w:sz="6" w:space="0" w:color="auto"/>
              <w:bottom w:val="nil"/>
              <w:right w:val="single" w:sz="6" w:space="0" w:color="auto"/>
            </w:tcBorders>
          </w:tcPr>
          <w:p w14:paraId="6747F5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E9604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6C287F8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ВЯ-23</w:t>
            </w:r>
          </w:p>
          <w:p w14:paraId="68B2858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23B9CAE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p w14:paraId="29A9327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5B00F9E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w:t>
            </w:r>
          </w:p>
          <w:p w14:paraId="4F811A5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26DC779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p w14:paraId="72E58D1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6B636B8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p w14:paraId="6020D35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66596EF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w:t>
            </w:r>
          </w:p>
          <w:p w14:paraId="10033EA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678700E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w:t>
            </w:r>
          </w:p>
          <w:p w14:paraId="413A8A4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nil"/>
              <w:left w:val="single" w:sz="6" w:space="0" w:color="auto"/>
              <w:bottom w:val="single" w:sz="6" w:space="0" w:color="auto"/>
              <w:right w:val="single" w:sz="6" w:space="0" w:color="auto"/>
            </w:tcBorders>
          </w:tcPr>
          <w:p w14:paraId="7DD71F3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D4F93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A3C55C2" w14:textId="77777777" w:rsidTr="000D3BCB">
        <w:trPr>
          <w:trHeight w:val="250"/>
        </w:trPr>
        <w:tc>
          <w:tcPr>
            <w:tcW w:w="922" w:type="dxa"/>
            <w:tcBorders>
              <w:top w:val="nil"/>
              <w:left w:val="single" w:sz="6" w:space="0" w:color="auto"/>
              <w:bottom w:val="single" w:sz="6" w:space="0" w:color="auto"/>
              <w:right w:val="single" w:sz="6" w:space="0" w:color="auto"/>
            </w:tcBorders>
          </w:tcPr>
          <w:p w14:paraId="55AEEE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2F5D9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1CA5C05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РС-82</w:t>
            </w:r>
          </w:p>
          <w:p w14:paraId="1DD0B65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6AEF7D7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p w14:paraId="00AE47D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3906700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w:t>
            </w:r>
          </w:p>
          <w:p w14:paraId="47037DA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BF74F5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w:t>
            </w:r>
          </w:p>
          <w:p w14:paraId="09AAE1B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7BA21D1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w:t>
            </w:r>
          </w:p>
          <w:p w14:paraId="154305F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4748FCC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w:t>
            </w:r>
          </w:p>
          <w:p w14:paraId="5616E1B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46DD3D5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w:t>
            </w:r>
          </w:p>
          <w:p w14:paraId="3087C82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6415DF1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0/0</w:t>
            </w:r>
          </w:p>
          <w:p w14:paraId="361DA47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AA49C16" w14:textId="77777777" w:rsidTr="000D3BCB">
        <w:trPr>
          <w:trHeight w:val="346"/>
        </w:trPr>
        <w:tc>
          <w:tcPr>
            <w:tcW w:w="922" w:type="dxa"/>
            <w:tcBorders>
              <w:top w:val="single" w:sz="6" w:space="0" w:color="auto"/>
              <w:left w:val="single" w:sz="6" w:space="0" w:color="auto"/>
              <w:bottom w:val="nil"/>
              <w:right w:val="single" w:sz="6" w:space="0" w:color="auto"/>
            </w:tcBorders>
          </w:tcPr>
          <w:p w14:paraId="67B2C11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ст.л-т Качюко командир звена, 245-й шап</w:t>
            </w:r>
          </w:p>
          <w:p w14:paraId="4FA6E32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5066224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ШВАК</w:t>
            </w:r>
          </w:p>
          <w:p w14:paraId="793E752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6C2063A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p w14:paraId="319CEB3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6BF98C0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w:t>
            </w:r>
          </w:p>
          <w:p w14:paraId="5F7EC97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1E03555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p w14:paraId="00EE8BA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5A71633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w:t>
            </w:r>
          </w:p>
          <w:p w14:paraId="4AF7CFA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1FE6387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w:t>
            </w:r>
          </w:p>
          <w:p w14:paraId="5E10542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3378C40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w:t>
            </w:r>
          </w:p>
          <w:p w14:paraId="3B05A11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nil"/>
              <w:right w:val="single" w:sz="6" w:space="0" w:color="auto"/>
            </w:tcBorders>
          </w:tcPr>
          <w:p w14:paraId="62024AB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2,9/6,6</w:t>
            </w:r>
          </w:p>
          <w:p w14:paraId="0CFA553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BCD0BEC" w14:textId="77777777" w:rsidTr="000D3BCB">
        <w:trPr>
          <w:trHeight w:val="336"/>
        </w:trPr>
        <w:tc>
          <w:tcPr>
            <w:tcW w:w="922" w:type="dxa"/>
            <w:tcBorders>
              <w:top w:val="nil"/>
              <w:left w:val="single" w:sz="6" w:space="0" w:color="auto"/>
              <w:bottom w:val="nil"/>
              <w:right w:val="single" w:sz="6" w:space="0" w:color="auto"/>
            </w:tcBorders>
          </w:tcPr>
          <w:p w14:paraId="1804E8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F4B43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556CB16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ВЯ-23</w:t>
            </w:r>
          </w:p>
          <w:p w14:paraId="45DE831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045754C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p w14:paraId="255B5CB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3CFF86F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157</w:t>
            </w:r>
          </w:p>
          <w:p w14:paraId="31EA2A1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7F5EA00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p w14:paraId="6C2F2D2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68E3F29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w:t>
            </w:r>
          </w:p>
          <w:p w14:paraId="0BDE07A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5FD7B2F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w:t>
            </w:r>
          </w:p>
          <w:p w14:paraId="70F94A6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6A9273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11,5</w:t>
            </w:r>
          </w:p>
          <w:p w14:paraId="425341E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nil"/>
              <w:left w:val="single" w:sz="6" w:space="0" w:color="auto"/>
              <w:bottom w:val="single" w:sz="6" w:space="0" w:color="auto"/>
              <w:right w:val="single" w:sz="6" w:space="0" w:color="auto"/>
            </w:tcBorders>
          </w:tcPr>
          <w:p w14:paraId="0F130BB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B6119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3239B26" w14:textId="77777777" w:rsidTr="000D3BCB">
        <w:trPr>
          <w:trHeight w:val="317"/>
        </w:trPr>
        <w:tc>
          <w:tcPr>
            <w:tcW w:w="922" w:type="dxa"/>
            <w:tcBorders>
              <w:top w:val="nil"/>
              <w:left w:val="single" w:sz="6" w:space="0" w:color="auto"/>
              <w:bottom w:val="single" w:sz="6" w:space="0" w:color="auto"/>
              <w:right w:val="single" w:sz="6" w:space="0" w:color="auto"/>
            </w:tcBorders>
          </w:tcPr>
          <w:p w14:paraId="744F16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913AE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232B3CA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РС-82</w:t>
            </w:r>
          </w:p>
          <w:p w14:paraId="4CC38C9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04F6661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p w14:paraId="7BB727E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3C83389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w:t>
            </w:r>
          </w:p>
          <w:p w14:paraId="111FBB9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096BB66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w:t>
            </w:r>
          </w:p>
          <w:p w14:paraId="0440F8D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4B961F4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w:t>
            </w:r>
          </w:p>
          <w:p w14:paraId="593AA6D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3A20050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p w14:paraId="796D1BA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69CBC90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w:t>
            </w:r>
          </w:p>
          <w:p w14:paraId="49EB5A0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64E95B2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w:t>
            </w:r>
          </w:p>
          <w:p w14:paraId="675B42E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61AEA99" w14:textId="77777777" w:rsidTr="000D3BCB">
        <w:trPr>
          <w:trHeight w:val="307"/>
        </w:trPr>
        <w:tc>
          <w:tcPr>
            <w:tcW w:w="922" w:type="dxa"/>
            <w:tcBorders>
              <w:top w:val="single" w:sz="6" w:space="0" w:color="auto"/>
              <w:left w:val="single" w:sz="6" w:space="0" w:color="auto"/>
              <w:bottom w:val="nil"/>
              <w:right w:val="single" w:sz="6" w:space="0" w:color="auto"/>
            </w:tcBorders>
          </w:tcPr>
          <w:p w14:paraId="7803CFD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мл.л-т Назаров </w:t>
            </w:r>
            <w:r w:rsidRPr="00640820">
              <w:rPr>
                <w:rFonts w:ascii="Times New Roman" w:hAnsi="Times New Roman"/>
                <w:color w:val="000000" w:themeColor="text1"/>
                <w:sz w:val="16"/>
                <w:szCs w:val="16"/>
              </w:rPr>
              <w:lastRenderedPageBreak/>
              <w:t>летчик, 245-й шап</w:t>
            </w:r>
          </w:p>
          <w:p w14:paraId="4549D03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3BC6795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ШВАК</w:t>
            </w:r>
          </w:p>
          <w:p w14:paraId="48290B5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69A5E10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p w14:paraId="1BB789A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6B280AD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253</w:t>
            </w:r>
          </w:p>
          <w:p w14:paraId="7A3548D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937BBC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p w14:paraId="1A2B247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042205E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0,8</w:t>
            </w:r>
          </w:p>
          <w:p w14:paraId="284841C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770F921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w:t>
            </w:r>
          </w:p>
          <w:p w14:paraId="2B640AF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38058FC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w:t>
            </w:r>
          </w:p>
          <w:p w14:paraId="4868B9C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nil"/>
              <w:right w:val="single" w:sz="6" w:space="0" w:color="auto"/>
            </w:tcBorders>
          </w:tcPr>
          <w:p w14:paraId="74ABD8E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1,8/7,3</w:t>
            </w:r>
          </w:p>
          <w:p w14:paraId="7FAC753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FF106A8" w14:textId="77777777" w:rsidTr="000D3BCB">
        <w:trPr>
          <w:trHeight w:val="307"/>
        </w:trPr>
        <w:tc>
          <w:tcPr>
            <w:tcW w:w="922" w:type="dxa"/>
            <w:tcBorders>
              <w:top w:val="nil"/>
              <w:left w:val="single" w:sz="6" w:space="0" w:color="auto"/>
              <w:bottom w:val="nil"/>
              <w:right w:val="single" w:sz="6" w:space="0" w:color="auto"/>
            </w:tcBorders>
          </w:tcPr>
          <w:p w14:paraId="21A6BB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4621E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134203A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ВЯ-23</w:t>
            </w:r>
          </w:p>
          <w:p w14:paraId="669363C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3F67AD0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p w14:paraId="07658FF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5E50562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78</w:t>
            </w:r>
          </w:p>
          <w:p w14:paraId="4B05560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26C2382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p w14:paraId="03F1732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60DAAAF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5,1</w:t>
            </w:r>
          </w:p>
          <w:p w14:paraId="3FDD370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24958A1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w:t>
            </w:r>
          </w:p>
          <w:p w14:paraId="17E09B0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EA85E9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20,4</w:t>
            </w:r>
          </w:p>
          <w:p w14:paraId="3C41BB2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nil"/>
              <w:left w:val="single" w:sz="6" w:space="0" w:color="auto"/>
              <w:bottom w:val="single" w:sz="6" w:space="0" w:color="auto"/>
              <w:right w:val="single" w:sz="6" w:space="0" w:color="auto"/>
            </w:tcBorders>
          </w:tcPr>
          <w:p w14:paraId="40B550A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E5260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82396C9" w14:textId="77777777" w:rsidTr="000D3BCB">
        <w:trPr>
          <w:trHeight w:val="240"/>
        </w:trPr>
        <w:tc>
          <w:tcPr>
            <w:tcW w:w="922" w:type="dxa"/>
            <w:tcBorders>
              <w:top w:val="nil"/>
              <w:left w:val="single" w:sz="6" w:space="0" w:color="auto"/>
              <w:bottom w:val="single" w:sz="6" w:space="0" w:color="auto"/>
              <w:right w:val="single" w:sz="6" w:space="0" w:color="auto"/>
            </w:tcBorders>
          </w:tcPr>
          <w:p w14:paraId="7C9917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81EB3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6CE3503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РС-82</w:t>
            </w:r>
          </w:p>
          <w:p w14:paraId="67899BB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25284D0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p w14:paraId="16207F5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77C2902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w:t>
            </w:r>
          </w:p>
          <w:p w14:paraId="7E21676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288096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w:t>
            </w:r>
          </w:p>
          <w:p w14:paraId="17DE409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446097D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w:t>
            </w:r>
          </w:p>
          <w:p w14:paraId="48AE6C7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6684357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w:t>
            </w:r>
          </w:p>
          <w:p w14:paraId="790442C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3383257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w:t>
            </w:r>
          </w:p>
          <w:p w14:paraId="493FFC7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36C49B8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О/О</w:t>
            </w:r>
          </w:p>
          <w:p w14:paraId="2F90268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85C734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 во время полигонных испытаний на НИПАВ ВВС КА стрелко-во-пушечного вооружения Ил-2, применительно к укоренившемуся в штурмовых авиаполках способу атак немецких мотомеханизированных колонн, стало ясно, что при атаке колонны танков, автомашин и пехоты общей длиной около 600 м три летчика 245-го шап, обладавшие боевым опытом, в полигонных условиях (в отсутствие противодействия истреби</w:t>
      </w:r>
      <w:r w:rsidRPr="00640820">
        <w:rPr>
          <w:rFonts w:ascii="Times New Roman" w:hAnsi="Times New Roman"/>
          <w:color w:val="000000" w:themeColor="text1"/>
          <w:sz w:val="16"/>
          <w:szCs w:val="16"/>
        </w:rPr>
        <w:softHyphen/>
        <w:t>телей и зенитной артиллерии) смогли добиться всего девяти пулевых по</w:t>
      </w:r>
      <w:r w:rsidRPr="00640820">
        <w:rPr>
          <w:rFonts w:ascii="Times New Roman" w:hAnsi="Times New Roman"/>
          <w:color w:val="000000" w:themeColor="text1"/>
          <w:sz w:val="16"/>
          <w:szCs w:val="16"/>
        </w:rPr>
        <w:softHyphen/>
        <w:t>паданий в танк при общем расходе боеприпасов в 300 патронов к пушкам ШВАК и 1290 патронов к пулеметам ШКАС.</w:t>
      </w:r>
    </w:p>
    <w:p w14:paraId="2DBEADC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Стрельба с прицеливанием по отдельному танку из состава колонны в тех же условиях атак обеспечила в трех вылетах при общем расходе 553 снарядов 20 попаданий в колонну танков, из них шесть попаданий в «ганк точки наводки», остальные - в другие танки колонны. Наилучшие резуль</w:t>
      </w:r>
      <w:r w:rsidRPr="00640820">
        <w:rPr>
          <w:rFonts w:ascii="Times New Roman" w:hAnsi="Times New Roman"/>
          <w:color w:val="000000" w:themeColor="text1"/>
          <w:sz w:val="16"/>
          <w:szCs w:val="16"/>
        </w:rPr>
        <w:softHyphen/>
        <w:t>таты получились при атаке колонны сзади вдоль или сбоку при планирова</w:t>
      </w:r>
      <w:r w:rsidRPr="00640820">
        <w:rPr>
          <w:rFonts w:ascii="Times New Roman" w:hAnsi="Times New Roman"/>
          <w:color w:val="000000" w:themeColor="text1"/>
          <w:sz w:val="16"/>
          <w:szCs w:val="16"/>
        </w:rPr>
        <w:softHyphen/>
        <w:t>нии под утлом 30° с высот 500-700 м, дальности начала прицеливания по</w:t>
      </w:r>
      <w:r w:rsidRPr="00640820">
        <w:rPr>
          <w:rFonts w:ascii="Times New Roman" w:hAnsi="Times New Roman"/>
          <w:color w:val="000000" w:themeColor="text1"/>
          <w:sz w:val="16"/>
          <w:szCs w:val="16"/>
        </w:rPr>
        <w:softHyphen/>
        <w:t>рядка 800 м, а открытия огня - на 200-300 м. Прицеливались по отдельно</w:t>
      </w:r>
      <w:r w:rsidRPr="00640820">
        <w:rPr>
          <w:rFonts w:ascii="Times New Roman" w:hAnsi="Times New Roman"/>
          <w:color w:val="000000" w:themeColor="text1"/>
          <w:sz w:val="16"/>
          <w:szCs w:val="16"/>
        </w:rPr>
        <w:softHyphen/>
        <w:t>му танку или автомашине в колонне. Атаковать необходимо было в не</w:t>
      </w:r>
      <w:r w:rsidRPr="00640820">
        <w:rPr>
          <w:rFonts w:ascii="Times New Roman" w:hAnsi="Times New Roman"/>
          <w:color w:val="000000" w:themeColor="text1"/>
          <w:sz w:val="16"/>
          <w:szCs w:val="16"/>
        </w:rPr>
        <w:softHyphen/>
        <w:t>скольких заходах. Причем, в первом заходе удар наносили по голове колон-ны сначала РС (дистанции пуска - 600-700 м), а затем из пушек. В последу</w:t>
      </w:r>
      <w:r w:rsidRPr="00640820">
        <w:rPr>
          <w:rFonts w:ascii="Times New Roman" w:hAnsi="Times New Roman"/>
          <w:color w:val="000000" w:themeColor="text1"/>
          <w:sz w:val="16"/>
          <w:szCs w:val="16"/>
        </w:rPr>
        <w:softHyphen/>
        <w:t>ющих заходах сбрасывали авиабомбы и вели огонь из пулеметов и пушек.</w:t>
      </w:r>
    </w:p>
    <w:p w14:paraId="071E70D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Изучив боевой опыт первого периода войны, оперативное управле</w:t>
      </w:r>
      <w:r w:rsidRPr="00640820">
        <w:rPr>
          <w:rFonts w:ascii="Times New Roman" w:hAnsi="Times New Roman"/>
          <w:color w:val="000000" w:themeColor="text1"/>
          <w:sz w:val="16"/>
          <w:szCs w:val="16"/>
        </w:rPr>
        <w:softHyphen/>
        <w:t>ние ВВС КА в ориентировочных расчетах норм боевых возможностей штурмовика Ил-2 при действиях по танкам в боевых порядках на поле боя указывало, что для поражения одного легкого танка типа Рг.П или Рг.38(0 необходим наряд в 4-5 самолетов Ил-2, а для поражения одного среднего танка типа Рг.ГУ, Рг.Ш или 5шС III требовалось уже 12-15 ма</w:t>
      </w:r>
      <w:r w:rsidRPr="00640820">
        <w:rPr>
          <w:rFonts w:ascii="Times New Roman" w:hAnsi="Times New Roman"/>
          <w:color w:val="000000" w:themeColor="text1"/>
          <w:sz w:val="16"/>
          <w:szCs w:val="16"/>
        </w:rPr>
        <w:softHyphen/>
        <w:t>шин. Хорошо, что летчики были не в курсе этого или не слишком бук</w:t>
      </w:r>
      <w:r w:rsidRPr="00640820">
        <w:rPr>
          <w:rFonts w:ascii="Times New Roman" w:hAnsi="Times New Roman"/>
          <w:color w:val="000000" w:themeColor="text1"/>
          <w:sz w:val="16"/>
          <w:szCs w:val="16"/>
        </w:rPr>
        <w:softHyphen/>
        <w:t>вально воспринимали величину наряда сил и средств...</w:t>
      </w:r>
    </w:p>
    <w:p w14:paraId="35DC642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Вот как комментирует это известный летчик-штурмовик, дважды Ге</w:t>
      </w:r>
      <w:r w:rsidRPr="00640820">
        <w:rPr>
          <w:rFonts w:ascii="Times New Roman" w:hAnsi="Times New Roman"/>
          <w:color w:val="000000" w:themeColor="text1"/>
          <w:sz w:val="16"/>
          <w:szCs w:val="16"/>
        </w:rPr>
        <w:softHyphen/>
        <w:t>рой Советского Союза генерал-полковник М.П.Одинцов. «Весной 1942 г. штурмовик Ил-2 был одноместным и имел под крылом восемь ба</w:t>
      </w:r>
      <w:r w:rsidRPr="00640820">
        <w:rPr>
          <w:rFonts w:ascii="Times New Roman" w:hAnsi="Times New Roman"/>
          <w:color w:val="000000" w:themeColor="text1"/>
          <w:sz w:val="16"/>
          <w:szCs w:val="16"/>
        </w:rPr>
        <w:softHyphen/>
        <w:t>лок под снаряды РС-82. Для прицеливания использовали обычный стрелковый прицел. Первые пуски продемонстрировали большое (отно</w:t>
      </w:r>
      <w:r w:rsidRPr="00640820">
        <w:rPr>
          <w:rFonts w:ascii="Times New Roman" w:hAnsi="Times New Roman"/>
          <w:color w:val="000000" w:themeColor="text1"/>
          <w:sz w:val="16"/>
          <w:szCs w:val="16"/>
        </w:rPr>
        <w:softHyphen/>
        <w:t>сительно пушек) рассеивание, поэтому летчики перестали стрелять оди</w:t>
      </w:r>
      <w:r w:rsidRPr="00640820">
        <w:rPr>
          <w:rFonts w:ascii="Times New Roman" w:hAnsi="Times New Roman"/>
          <w:color w:val="000000" w:themeColor="text1"/>
          <w:sz w:val="16"/>
          <w:szCs w:val="16"/>
        </w:rPr>
        <w:softHyphen/>
        <w:t>ночными РС и перешли на залповый огонь по два снаряда по наземным Целям. По воздушным целям РС-82 с Ил-2 практически не применяли за исключением единичных случаев попадания в летящий самолет против</w:t>
      </w:r>
      <w:r w:rsidRPr="00640820">
        <w:rPr>
          <w:rFonts w:ascii="Times New Roman" w:hAnsi="Times New Roman"/>
          <w:color w:val="000000" w:themeColor="text1"/>
          <w:sz w:val="16"/>
          <w:szCs w:val="16"/>
        </w:rPr>
        <w:softHyphen/>
        <w:t>ника (машины на взлете - не в счет), поскольку взрыватели мгновенного действия срабатывали лишь в контакте с целью (дистанционные трубки АГДТ-А-РС-82 в штурмовые полки не поступали). Вариант стрельбы 2x4 (четыре залпа по два снаряда) позволял с одного захода поразить пехоту противника или небронированную цель на открытой местности.</w:t>
      </w:r>
    </w:p>
    <w:p w14:paraId="62FB7A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Характерным для тех времен случаем можно считать наш налет на немецкий аэродром под Курском весной 1942 г. Тогда я замыкал строй полка. Реактивные снаряды (пульт ЭСБР-Зп управления огнем РС) были установлены на два залпа по четыре снаряда. В неразбери</w:t>
      </w:r>
      <w:r w:rsidRPr="00640820">
        <w:rPr>
          <w:rFonts w:ascii="Times New Roman" w:hAnsi="Times New Roman"/>
          <w:color w:val="000000" w:themeColor="text1"/>
          <w:sz w:val="16"/>
          <w:szCs w:val="16"/>
        </w:rPr>
        <w:softHyphen/>
        <w:t>хе боя я оказался в створе ВПП, на которую в этот момент выруливала на взлет пара .1и-88. Выпустив в обоих залпах весь боезапас РС, я в од-Ном заходе поочередно уничтожил оба самолета. По-видимому, попа</w:t>
      </w:r>
      <w:r w:rsidRPr="00640820">
        <w:rPr>
          <w:rFonts w:ascii="Times New Roman" w:hAnsi="Times New Roman"/>
          <w:color w:val="000000" w:themeColor="text1"/>
          <w:sz w:val="16"/>
          <w:szCs w:val="16"/>
        </w:rPr>
        <w:softHyphen/>
        <w:t>дание было очень удачным, поскольку в моей машине оказалось достаточное количество пробоин и осколков от взрыва полностью запра вленных топливом и боеприпасами самолетов противника. Обычно огонь РС вели на средних дистанциях стрельбы из пушки - 600-800 м Боевые ракеты калибра 82 мм считались оружием вспомогательным поэтому экспериментировать в стрельбе ими на предельные дальности никто не пробовал».</w:t>
      </w:r>
    </w:p>
    <w:p w14:paraId="649B032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этом восприятие пилотом цели через стрелковый прицел в ус</w:t>
      </w:r>
      <w:r w:rsidRPr="00640820">
        <w:rPr>
          <w:rFonts w:ascii="Times New Roman" w:hAnsi="Times New Roman"/>
          <w:color w:val="000000" w:themeColor="text1"/>
          <w:sz w:val="16"/>
          <w:szCs w:val="16"/>
        </w:rPr>
        <w:softHyphen/>
        <w:t>ловиях дефицита времени осуществлялось из расчета ее поражения ос</w:t>
      </w:r>
      <w:r w:rsidRPr="00640820">
        <w:rPr>
          <w:rFonts w:ascii="Times New Roman" w:hAnsi="Times New Roman"/>
          <w:color w:val="000000" w:themeColor="text1"/>
          <w:sz w:val="16"/>
          <w:szCs w:val="16"/>
        </w:rPr>
        <w:softHyphen/>
        <w:t>новным вооружением, каковым у штурмовиков традиционно в то время считалось пушечное. Вспомогательные функции РС заключались в пси</w:t>
      </w:r>
      <w:r w:rsidRPr="00640820">
        <w:rPr>
          <w:rFonts w:ascii="Times New Roman" w:hAnsi="Times New Roman"/>
          <w:color w:val="000000" w:themeColor="text1"/>
          <w:sz w:val="16"/>
          <w:szCs w:val="16"/>
        </w:rPr>
        <w:softHyphen/>
        <w:t>хологическом воздействии этого оружия на пехоту и зенитчиков, осо</w:t>
      </w:r>
      <w:r w:rsidRPr="00640820">
        <w:rPr>
          <w:rFonts w:ascii="Times New Roman" w:hAnsi="Times New Roman"/>
          <w:color w:val="000000" w:themeColor="text1"/>
          <w:sz w:val="16"/>
          <w:szCs w:val="16"/>
        </w:rPr>
        <w:softHyphen/>
        <w:t>бенно когда по нашим атакующим самолетам с земли вели сосредото</w:t>
      </w:r>
      <w:r w:rsidRPr="00640820">
        <w:rPr>
          <w:rFonts w:ascii="Times New Roman" w:hAnsi="Times New Roman"/>
          <w:color w:val="000000" w:themeColor="text1"/>
          <w:sz w:val="16"/>
          <w:szCs w:val="16"/>
        </w:rPr>
        <w:softHyphen/>
        <w:t>ченный огонь. Все это обусловило наиболее «популярный» диапазон дальностей стрельбы РС в пределах 600-1000 м. Ближняя граница объяс</w:t>
      </w:r>
      <w:r w:rsidRPr="00640820">
        <w:rPr>
          <w:rFonts w:ascii="Times New Roman" w:hAnsi="Times New Roman"/>
          <w:color w:val="000000" w:themeColor="text1"/>
          <w:sz w:val="16"/>
          <w:szCs w:val="16"/>
        </w:rPr>
        <w:softHyphen/>
        <w:t>нялась скоростью штурмовика и высотой атаки, а уменьшение этой дис</w:t>
      </w:r>
      <w:r w:rsidRPr="00640820">
        <w:rPr>
          <w:rFonts w:ascii="Times New Roman" w:hAnsi="Times New Roman"/>
          <w:color w:val="000000" w:themeColor="text1"/>
          <w:sz w:val="16"/>
          <w:szCs w:val="16"/>
        </w:rPr>
        <w:softHyphen/>
        <w:t>танции, когда это все же случалось на практике, приводило к поражению самолета осколками своих снарядов.</w:t>
      </w:r>
    </w:p>
    <w:p w14:paraId="29D55C5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стрельба из пулеметов тоже имела большое воздействие на психику противника, поскольку наши ШКАСы и УШКАСы при их темпе стрельбы издавали не дробный стук, а жуткий вой, усиленный гу</w:t>
      </w:r>
      <w:r w:rsidRPr="00640820">
        <w:rPr>
          <w:rFonts w:ascii="Times New Roman" w:hAnsi="Times New Roman"/>
          <w:color w:val="000000" w:themeColor="text1"/>
          <w:sz w:val="16"/>
          <w:szCs w:val="16"/>
        </w:rPr>
        <w:softHyphen/>
        <w:t>лом мощного двигателя. Тем не менее, эти пулеметы требовали особого внимания - чуть передержишь гашетку, и все... Ствол раскалялся, начи</w:t>
      </w:r>
      <w:r w:rsidRPr="00640820">
        <w:rPr>
          <w:rFonts w:ascii="Times New Roman" w:hAnsi="Times New Roman"/>
          <w:color w:val="000000" w:themeColor="text1"/>
          <w:sz w:val="16"/>
          <w:szCs w:val="16"/>
        </w:rPr>
        <w:softHyphen/>
        <w:t>нал «плеваться» пулями и выходил из строя.</w:t>
      </w:r>
    </w:p>
    <w:p w14:paraId="7943652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ручке управления самолетом было четыре боевые кнопки. Каждая из них управляла стрельбой из пушек, пулеметов, реактивными снаряда</w:t>
      </w:r>
      <w:r w:rsidRPr="00640820">
        <w:rPr>
          <w:rFonts w:ascii="Times New Roman" w:hAnsi="Times New Roman"/>
          <w:color w:val="000000" w:themeColor="text1"/>
          <w:sz w:val="16"/>
          <w:szCs w:val="16"/>
        </w:rPr>
        <w:softHyphen/>
        <w:t>ми и сбросом бомб. Количество РС в залпе устанавливали на отдельном пульте ЭСБР-Зп (второй ЭСБР-Зп предназначался для организации ре</w:t>
      </w:r>
      <w:r w:rsidRPr="00640820">
        <w:rPr>
          <w:rFonts w:ascii="Times New Roman" w:hAnsi="Times New Roman"/>
          <w:color w:val="000000" w:themeColor="text1"/>
          <w:sz w:val="16"/>
          <w:szCs w:val="16"/>
        </w:rPr>
        <w:softHyphen/>
        <w:t>жима бомбометания) в кабине пилота. Режим огня можно было изме</w:t>
      </w:r>
      <w:r w:rsidRPr="00640820">
        <w:rPr>
          <w:rFonts w:ascii="Times New Roman" w:hAnsi="Times New Roman"/>
          <w:color w:val="000000" w:themeColor="text1"/>
          <w:sz w:val="16"/>
          <w:szCs w:val="16"/>
        </w:rPr>
        <w:softHyphen/>
        <w:t>нить и в полете, непосредственно перед применением, выбирая старт од</w:t>
      </w:r>
      <w:r w:rsidRPr="00640820">
        <w:rPr>
          <w:rFonts w:ascii="Times New Roman" w:hAnsi="Times New Roman"/>
          <w:color w:val="000000" w:themeColor="text1"/>
          <w:sz w:val="16"/>
          <w:szCs w:val="16"/>
        </w:rPr>
        <w:softHyphen/>
        <w:t>ного, двух, четырех или всех восьми РС за одно нажатие кнопки».</w:t>
      </w:r>
    </w:p>
    <w:p w14:paraId="298C0E7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Как видим, эти воспоминания М.П.Одинцова во многом соответст</w:t>
      </w:r>
      <w:r w:rsidRPr="00640820">
        <w:rPr>
          <w:rFonts w:ascii="Times New Roman" w:hAnsi="Times New Roman"/>
          <w:color w:val="000000" w:themeColor="text1"/>
          <w:sz w:val="16"/>
          <w:szCs w:val="16"/>
        </w:rPr>
        <w:softHyphen/>
        <w:t>вуют высказываниям ветерана летчика-штурмовика Ю.М.Хухрикова. Одинцов продолжает: «Перед Курской битвой по одной эскадрильи в ка</w:t>
      </w:r>
      <w:r w:rsidRPr="00640820">
        <w:rPr>
          <w:rFonts w:ascii="Times New Roman" w:hAnsi="Times New Roman"/>
          <w:color w:val="000000" w:themeColor="text1"/>
          <w:sz w:val="16"/>
          <w:szCs w:val="16"/>
        </w:rPr>
        <w:softHyphen/>
        <w:t>ждом штурмовом полку перевооружили на РОФС-132, установив под крылом по четыре балки. Снаряды были полностью унифицированы с применявшимися на «катюшах». Другие эскадрильи полка оставили вооруженными РС-82, до конца войны состоявшими в боекомплекте большинства штурмовиков Ил-2 и Ил-10» (11402).</w:t>
      </w:r>
    </w:p>
    <w:p w14:paraId="7D14A75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650EA6"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6BEFBFF5"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7A409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ноября 1941 вышло Постановление ГКО № 934 О привлечении к уголовной ответственности за срыв производства минометов директора завода "Двигатель революции" Суслова В.П. и об объявлении выговора за плохое руководство заводом Наркому тяжелого машиностроения Казакову Н.С. РГАНИР, Фонд ГКО, д. 14, лл. 144 (11012).</w:t>
      </w:r>
    </w:p>
    <w:p w14:paraId="1AFBF2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E9A48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ноября 1941 г. Пост. ГКО № 934  директор завода № 718 (Завод № 718 НКМВ , Завод «Фельзер и К », 1-й нижегородский государственный национализированный завод (бывший «Фельзер и К</w:t>
      </w:r>
      <w:r w:rsidRPr="00640820">
        <w:rPr>
          <w:rFonts w:ascii="Times New Roman" w:hAnsi="Times New Roman"/>
          <w:color w:val="000000" w:themeColor="text1"/>
          <w:sz w:val="16"/>
          <w:szCs w:val="16"/>
          <w:vertAlign w:val="superscript"/>
        </w:rPr>
        <w:t>0</w:t>
      </w:r>
      <w:r w:rsidRPr="00640820">
        <w:rPr>
          <w:rFonts w:ascii="Times New Roman" w:hAnsi="Times New Roman"/>
          <w:color w:val="000000" w:themeColor="text1"/>
          <w:sz w:val="16"/>
          <w:szCs w:val="16"/>
        </w:rPr>
        <w:t>»), Завод «Двигатель Революции» ВСНХ, НКТП, НКСМ, НКТМ, НКМВ, ОАО «Румо» / г. Рига;  г. Нижний Новгород,  г. Горький Канавино/ /603061  г. Нижний Новгород ул. Адмирала Нахимова, 13/) Суслов за срыв производства минометов был снят и привлечен к суду. В соответствии с пост. ГКО № 3405 от 21.05.1943 г. завод освобожден от поставок чугунного литья другим заводам. Пост. ГКО № 1962сс от 4.07.1942 г. и приказом НКМВ № 237сс от 7.07.1942 г. заводу установлен план выпуска на 3-й квартал 1942 г. 120-мм минометов- 1400 шт. 13.07.1943 г. вышло постановление ГКО № 3734 о мерах по восстановлению завода. 5.06.1944 г. вышло распоряжение ГКО № 6004 о поставках оборудования для судов с завода. 6.04.1945 г. вышло распоряжение ГКО № 8040 о мерах по обеспечению станками и инструментом производства деталей для М-8 на заводе.</w:t>
      </w:r>
    </w:p>
    <w:p w14:paraId="0FD33B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07.1945 г. переведен на выпуск гражданской продукции, но были сохранены мобилизационные мощности по производству 120-мм минометов.</w:t>
      </w:r>
    </w:p>
    <w:p w14:paraId="35B0FF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1945 г. завод - в ведении НКМашприбор, с 1946 г. - ММиП, в том же году передан в Минтяжмаш.</w:t>
      </w:r>
    </w:p>
    <w:p w14:paraId="6254F9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1993 г. завод преобразован в ОАО «Румо», было в 1998 г.</w:t>
      </w:r>
    </w:p>
    <w:p w14:paraId="70EA49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(1917 г.)- Бляшке, (1940 г.)- Рябинин, (-11.1941 г.)- В.П. Суслов, (1941-06.1942 г.-)- Н.В. Никулин, (1980-е-2003 г.-&gt; В.А. Егоров.</w:t>
      </w:r>
    </w:p>
    <w:p w14:paraId="67207F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Создано:</w:t>
      </w:r>
      <w:r w:rsidRPr="00640820">
        <w:rPr>
          <w:rFonts w:ascii="Times New Roman" w:hAnsi="Times New Roman"/>
          <w:color w:val="000000" w:themeColor="text1"/>
          <w:sz w:val="16"/>
          <w:szCs w:val="16"/>
        </w:rPr>
        <w:t xml:space="preserve"> судовой дизель 6ЧРН36/45 для сухогруза пр. 507 (1960-е).</w:t>
      </w:r>
    </w:p>
    <w:p w14:paraId="64CEC1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дизельные двигатели 600 л.с. (1911), для ГШ (1913), дизель-генераторы для линкоров (1914);</w:t>
      </w:r>
      <w:r w:rsidRPr="00640820">
        <w:rPr>
          <w:rFonts w:ascii="Times New Roman" w:hAnsi="Times New Roman"/>
          <w:color w:val="000000" w:themeColor="text1"/>
          <w:sz w:val="16"/>
          <w:szCs w:val="16"/>
          <w:vertAlign w:val="superscript"/>
        </w:rPr>
        <w:t xml:space="preserve">ш </w:t>
      </w:r>
      <w:r w:rsidRPr="00640820">
        <w:rPr>
          <w:rFonts w:ascii="Times New Roman" w:hAnsi="Times New Roman"/>
          <w:color w:val="000000" w:themeColor="text1"/>
          <w:sz w:val="16"/>
          <w:szCs w:val="16"/>
        </w:rPr>
        <w:t>коробки передач для Т-34 (1941); 120-мм минометы; реактивные снаряды М-8 (1941-45-), М-13 (1941-42-), М-30 (1942), снаряды 152/45-мм (1942) (11982).</w:t>
      </w:r>
    </w:p>
    <w:p w14:paraId="6AF45B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B59BE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ноября 1941 года вышел приказ № 74 НК танковой промышленности</w:t>
      </w:r>
    </w:p>
    <w:p w14:paraId="7CDB40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исполнение решения Правительства о слиянии НК станкостроения с НК танковой промышленности:</w:t>
      </w:r>
    </w:p>
    <w:p w14:paraId="024BE5B1" w14:textId="77777777" w:rsidR="00165A9C" w:rsidRPr="00640820" w:rsidRDefault="00165A9C" w:rsidP="0064082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Ликвидировать Гл. управление тяжелого станкостроения (Главтяжстанкопром), Гл. управление станкостроения (Главстанкопром), Гл. управление кузнечно-прессового машиностроения (ГУКМАШ), Гл. управление смежных производств (Главсмежпром) и Трест по ремонту станков (Реммаштрест).</w:t>
      </w:r>
    </w:p>
    <w:p w14:paraId="34B77292" w14:textId="77777777" w:rsidR="00165A9C" w:rsidRPr="00640820" w:rsidRDefault="00165A9C" w:rsidP="0064082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управления станкостроительными заводами и заводами кузнечно-прессового машиностроения , не прикрепленными непосредственно к головным танковым заводам – организовать в НК танковой промышленности 2-е гл. управление: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160"/>
        <w:gridCol w:w="3868"/>
        <w:gridCol w:w="1570"/>
      </w:tblGrid>
      <w:tr w:rsidR="00643896" w:rsidRPr="00640820" w14:paraId="4A31070C" w14:textId="77777777" w:rsidTr="000D3BCB">
        <w:tc>
          <w:tcPr>
            <w:tcW w:w="5160" w:type="dxa"/>
          </w:tcPr>
          <w:p w14:paraId="7CB318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Наименование завода</w:t>
            </w:r>
          </w:p>
        </w:tc>
        <w:tc>
          <w:tcPr>
            <w:tcW w:w="3868" w:type="dxa"/>
          </w:tcPr>
          <w:p w14:paraId="7DC069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Местонахождение завода</w:t>
            </w:r>
          </w:p>
        </w:tc>
        <w:tc>
          <w:tcPr>
            <w:tcW w:w="1570" w:type="dxa"/>
          </w:tcPr>
          <w:p w14:paraId="59A5D6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завода</w:t>
            </w:r>
          </w:p>
        </w:tc>
      </w:tr>
      <w:tr w:rsidR="00643896" w:rsidRPr="00640820" w14:paraId="15EC7557" w14:textId="77777777" w:rsidTr="000D3BCB">
        <w:tc>
          <w:tcPr>
            <w:tcW w:w="5160" w:type="dxa"/>
          </w:tcPr>
          <w:p w14:paraId="55E82F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“Станконормаль”</w:t>
            </w:r>
          </w:p>
        </w:tc>
        <w:tc>
          <w:tcPr>
            <w:tcW w:w="3868" w:type="dxa"/>
          </w:tcPr>
          <w:p w14:paraId="4777E5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c>
          <w:tcPr>
            <w:tcW w:w="1570" w:type="dxa"/>
          </w:tcPr>
          <w:p w14:paraId="5DBC25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221</w:t>
            </w:r>
          </w:p>
        </w:tc>
      </w:tr>
      <w:tr w:rsidR="00643896" w:rsidRPr="00640820" w14:paraId="2961C435" w14:textId="77777777" w:rsidTr="000D3BCB">
        <w:tc>
          <w:tcPr>
            <w:tcW w:w="5160" w:type="dxa"/>
          </w:tcPr>
          <w:p w14:paraId="2B5E53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“Комсомолец”</w:t>
            </w:r>
          </w:p>
        </w:tc>
        <w:tc>
          <w:tcPr>
            <w:tcW w:w="3868" w:type="dxa"/>
          </w:tcPr>
          <w:p w14:paraId="5CB978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Тогузак Кустанайской области</w:t>
            </w:r>
          </w:p>
        </w:tc>
        <w:tc>
          <w:tcPr>
            <w:tcW w:w="1570" w:type="dxa"/>
          </w:tcPr>
          <w:p w14:paraId="524482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222</w:t>
            </w:r>
          </w:p>
        </w:tc>
      </w:tr>
      <w:tr w:rsidR="00643896" w:rsidRPr="00640820" w14:paraId="0BE69D10" w14:textId="77777777" w:rsidTr="000D3BCB">
        <w:tc>
          <w:tcPr>
            <w:tcW w:w="5160" w:type="dxa"/>
          </w:tcPr>
          <w:p w14:paraId="26B0E3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“Ильич”</w:t>
            </w:r>
          </w:p>
        </w:tc>
        <w:tc>
          <w:tcPr>
            <w:tcW w:w="3868" w:type="dxa"/>
          </w:tcPr>
          <w:p w14:paraId="6B1DDC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Ленинград</w:t>
            </w:r>
          </w:p>
        </w:tc>
        <w:tc>
          <w:tcPr>
            <w:tcW w:w="1570" w:type="dxa"/>
          </w:tcPr>
          <w:p w14:paraId="73A494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223</w:t>
            </w:r>
          </w:p>
        </w:tc>
      </w:tr>
      <w:tr w:rsidR="00643896" w:rsidRPr="00640820" w14:paraId="072045B9" w14:textId="77777777" w:rsidTr="000D3BCB">
        <w:tc>
          <w:tcPr>
            <w:tcW w:w="5160" w:type="dxa"/>
          </w:tcPr>
          <w:p w14:paraId="292427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револьверных станков и автоматов</w:t>
            </w:r>
          </w:p>
        </w:tc>
        <w:tc>
          <w:tcPr>
            <w:tcW w:w="3868" w:type="dxa"/>
          </w:tcPr>
          <w:p w14:paraId="6B1339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Ленинград</w:t>
            </w:r>
          </w:p>
        </w:tc>
        <w:tc>
          <w:tcPr>
            <w:tcW w:w="1570" w:type="dxa"/>
          </w:tcPr>
          <w:p w14:paraId="5B87E3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224</w:t>
            </w:r>
          </w:p>
        </w:tc>
      </w:tr>
      <w:tr w:rsidR="00643896" w:rsidRPr="00640820" w14:paraId="02882D2F" w14:textId="77777777" w:rsidTr="000D3BCB">
        <w:tc>
          <w:tcPr>
            <w:tcW w:w="5160" w:type="dxa"/>
          </w:tcPr>
          <w:p w14:paraId="7C1F85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Новочеркасский станкозавод</w:t>
            </w:r>
          </w:p>
        </w:tc>
        <w:tc>
          <w:tcPr>
            <w:tcW w:w="3868" w:type="dxa"/>
          </w:tcPr>
          <w:p w14:paraId="605346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Ташкент</w:t>
            </w:r>
          </w:p>
        </w:tc>
        <w:tc>
          <w:tcPr>
            <w:tcW w:w="1570" w:type="dxa"/>
          </w:tcPr>
          <w:p w14:paraId="75CADC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225</w:t>
            </w:r>
          </w:p>
        </w:tc>
      </w:tr>
      <w:tr w:rsidR="00643896" w:rsidRPr="00640820" w14:paraId="3AADC64C" w14:textId="77777777" w:rsidTr="000D3BCB">
        <w:tc>
          <w:tcPr>
            <w:tcW w:w="5160" w:type="dxa"/>
          </w:tcPr>
          <w:p w14:paraId="3D3A13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“Металлист”</w:t>
            </w:r>
          </w:p>
        </w:tc>
        <w:tc>
          <w:tcPr>
            <w:tcW w:w="3868" w:type="dxa"/>
          </w:tcPr>
          <w:p w14:paraId="780555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Ульяновск</w:t>
            </w:r>
          </w:p>
        </w:tc>
        <w:tc>
          <w:tcPr>
            <w:tcW w:w="1570" w:type="dxa"/>
          </w:tcPr>
          <w:p w14:paraId="7FA010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226</w:t>
            </w:r>
          </w:p>
        </w:tc>
      </w:tr>
      <w:tr w:rsidR="00643896" w:rsidRPr="00640820" w14:paraId="12F957C3" w14:textId="77777777" w:rsidTr="000D3BCB">
        <w:tc>
          <w:tcPr>
            <w:tcW w:w="5160" w:type="dxa"/>
          </w:tcPr>
          <w:p w14:paraId="379D23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Соль-Илецкий завод</w:t>
            </w:r>
          </w:p>
        </w:tc>
        <w:tc>
          <w:tcPr>
            <w:tcW w:w="3868" w:type="dxa"/>
          </w:tcPr>
          <w:p w14:paraId="226DB9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Соль-Илецк</w:t>
            </w:r>
          </w:p>
        </w:tc>
        <w:tc>
          <w:tcPr>
            <w:tcW w:w="1570" w:type="dxa"/>
          </w:tcPr>
          <w:p w14:paraId="66818C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227</w:t>
            </w:r>
          </w:p>
        </w:tc>
      </w:tr>
      <w:tr w:rsidR="00643896" w:rsidRPr="00640820" w14:paraId="105F11D8" w14:textId="77777777" w:rsidTr="000D3BCB">
        <w:tc>
          <w:tcPr>
            <w:tcW w:w="5160" w:type="dxa"/>
          </w:tcPr>
          <w:p w14:paraId="02A88E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 Кирова</w:t>
            </w:r>
          </w:p>
        </w:tc>
        <w:tc>
          <w:tcPr>
            <w:tcW w:w="3868" w:type="dxa"/>
          </w:tcPr>
          <w:p w14:paraId="176474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Тбилиси</w:t>
            </w:r>
          </w:p>
        </w:tc>
        <w:tc>
          <w:tcPr>
            <w:tcW w:w="1570" w:type="dxa"/>
          </w:tcPr>
          <w:p w14:paraId="03CAA6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228</w:t>
            </w:r>
          </w:p>
        </w:tc>
      </w:tr>
      <w:tr w:rsidR="00643896" w:rsidRPr="00640820" w14:paraId="2189B142" w14:textId="77777777" w:rsidTr="000D3BCB">
        <w:tc>
          <w:tcPr>
            <w:tcW w:w="5160" w:type="dxa"/>
          </w:tcPr>
          <w:p w14:paraId="2A3C3D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Завод им. Седина</w:t>
            </w:r>
          </w:p>
        </w:tc>
        <w:tc>
          <w:tcPr>
            <w:tcW w:w="3868" w:type="dxa"/>
          </w:tcPr>
          <w:p w14:paraId="63FFBE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Краснодар</w:t>
            </w:r>
          </w:p>
        </w:tc>
        <w:tc>
          <w:tcPr>
            <w:tcW w:w="1570" w:type="dxa"/>
          </w:tcPr>
          <w:p w14:paraId="65484B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229</w:t>
            </w:r>
          </w:p>
        </w:tc>
      </w:tr>
      <w:tr w:rsidR="00643896" w:rsidRPr="00640820" w14:paraId="4EC6222E" w14:textId="77777777" w:rsidTr="000D3BCB">
        <w:tc>
          <w:tcPr>
            <w:tcW w:w="5160" w:type="dxa"/>
          </w:tcPr>
          <w:p w14:paraId="3A6208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 XVI партсъезда</w:t>
            </w:r>
          </w:p>
        </w:tc>
        <w:tc>
          <w:tcPr>
            <w:tcW w:w="3868" w:type="dxa"/>
          </w:tcPr>
          <w:p w14:paraId="5DDB6A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Новосибирск</w:t>
            </w:r>
          </w:p>
        </w:tc>
        <w:tc>
          <w:tcPr>
            <w:tcW w:w="1570" w:type="dxa"/>
          </w:tcPr>
          <w:p w14:paraId="458D0A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230</w:t>
            </w:r>
          </w:p>
        </w:tc>
      </w:tr>
      <w:tr w:rsidR="00643896" w:rsidRPr="00640820" w14:paraId="6D8D9165" w14:textId="77777777" w:rsidTr="000D3BCB">
        <w:tc>
          <w:tcPr>
            <w:tcW w:w="5160" w:type="dxa"/>
          </w:tcPr>
          <w:p w14:paraId="221A19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Дмитровский станкозавод</w:t>
            </w:r>
          </w:p>
        </w:tc>
        <w:tc>
          <w:tcPr>
            <w:tcW w:w="3868" w:type="dxa"/>
          </w:tcPr>
          <w:p w14:paraId="5E57C8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Славгород</w:t>
            </w:r>
          </w:p>
        </w:tc>
        <w:tc>
          <w:tcPr>
            <w:tcW w:w="1570" w:type="dxa"/>
          </w:tcPr>
          <w:p w14:paraId="68C520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232</w:t>
            </w:r>
          </w:p>
        </w:tc>
      </w:tr>
      <w:tr w:rsidR="00643896" w:rsidRPr="00640820" w14:paraId="51A28978" w14:textId="77777777" w:rsidTr="000D3BCB">
        <w:tc>
          <w:tcPr>
            <w:tcW w:w="5160" w:type="dxa"/>
          </w:tcPr>
          <w:p w14:paraId="6B0FB3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Клинский станкозавод</w:t>
            </w:r>
          </w:p>
        </w:tc>
        <w:tc>
          <w:tcPr>
            <w:tcW w:w="3868" w:type="dxa"/>
          </w:tcPr>
          <w:p w14:paraId="546027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Белорецк</w:t>
            </w:r>
          </w:p>
        </w:tc>
        <w:tc>
          <w:tcPr>
            <w:tcW w:w="1570" w:type="dxa"/>
          </w:tcPr>
          <w:p w14:paraId="07D000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231</w:t>
            </w:r>
          </w:p>
        </w:tc>
      </w:tr>
      <w:tr w:rsidR="00643896" w:rsidRPr="00640820" w14:paraId="2B1F4DB5" w14:textId="77777777" w:rsidTr="000D3BCB">
        <w:tc>
          <w:tcPr>
            <w:tcW w:w="5160" w:type="dxa"/>
          </w:tcPr>
          <w:p w14:paraId="6380AE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“Центролит”</w:t>
            </w:r>
          </w:p>
        </w:tc>
        <w:tc>
          <w:tcPr>
            <w:tcW w:w="3868" w:type="dxa"/>
          </w:tcPr>
          <w:p w14:paraId="5AAE03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Тбилиси</w:t>
            </w:r>
          </w:p>
        </w:tc>
        <w:tc>
          <w:tcPr>
            <w:tcW w:w="1570" w:type="dxa"/>
          </w:tcPr>
          <w:p w14:paraId="60CCC7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233</w:t>
            </w:r>
          </w:p>
        </w:tc>
      </w:tr>
      <w:tr w:rsidR="00643896" w:rsidRPr="00640820" w14:paraId="2FEEC70F" w14:textId="77777777" w:rsidTr="000D3BCB">
        <w:tc>
          <w:tcPr>
            <w:tcW w:w="5160" w:type="dxa"/>
          </w:tcPr>
          <w:p w14:paraId="6AF4D4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 Калинина</w:t>
            </w:r>
          </w:p>
        </w:tc>
        <w:tc>
          <w:tcPr>
            <w:tcW w:w="3868" w:type="dxa"/>
          </w:tcPr>
          <w:p w14:paraId="4D87F6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Воронеж</w:t>
            </w:r>
          </w:p>
        </w:tc>
        <w:tc>
          <w:tcPr>
            <w:tcW w:w="1570" w:type="dxa"/>
          </w:tcPr>
          <w:p w14:paraId="7416F6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234</w:t>
            </w:r>
          </w:p>
        </w:tc>
      </w:tr>
      <w:tr w:rsidR="00643896" w:rsidRPr="00640820" w14:paraId="02E5D0F0" w14:textId="77777777" w:rsidTr="000D3BCB">
        <w:tc>
          <w:tcPr>
            <w:tcW w:w="5160" w:type="dxa"/>
          </w:tcPr>
          <w:p w14:paraId="765752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8 лет Октября</w:t>
            </w:r>
          </w:p>
        </w:tc>
        <w:tc>
          <w:tcPr>
            <w:tcW w:w="3868" w:type="dxa"/>
          </w:tcPr>
          <w:p w14:paraId="0F08DB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Серпухов</w:t>
            </w:r>
          </w:p>
        </w:tc>
        <w:tc>
          <w:tcPr>
            <w:tcW w:w="1570" w:type="dxa"/>
          </w:tcPr>
          <w:p w14:paraId="61C94E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235</w:t>
            </w:r>
          </w:p>
        </w:tc>
      </w:tr>
      <w:tr w:rsidR="00643896" w:rsidRPr="00640820" w14:paraId="67D9D1BB" w14:textId="77777777" w:rsidTr="000D3BCB">
        <w:tc>
          <w:tcPr>
            <w:tcW w:w="5160" w:type="dxa"/>
          </w:tcPr>
          <w:p w14:paraId="458D3D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Барнаульский мехзавод</w:t>
            </w:r>
          </w:p>
        </w:tc>
        <w:tc>
          <w:tcPr>
            <w:tcW w:w="3868" w:type="dxa"/>
          </w:tcPr>
          <w:p w14:paraId="568918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Барнаул</w:t>
            </w:r>
          </w:p>
        </w:tc>
        <w:tc>
          <w:tcPr>
            <w:tcW w:w="1570" w:type="dxa"/>
          </w:tcPr>
          <w:p w14:paraId="646A94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236</w:t>
            </w:r>
          </w:p>
        </w:tc>
      </w:tr>
      <w:tr w:rsidR="00643896" w:rsidRPr="00640820" w14:paraId="55D50E66" w14:textId="77777777" w:rsidTr="000D3BCB">
        <w:tc>
          <w:tcPr>
            <w:tcW w:w="5160" w:type="dxa"/>
          </w:tcPr>
          <w:p w14:paraId="2A4FEB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“Электростанок”</w:t>
            </w:r>
          </w:p>
        </w:tc>
        <w:tc>
          <w:tcPr>
            <w:tcW w:w="3868" w:type="dxa"/>
          </w:tcPr>
          <w:p w14:paraId="570744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Ташкент</w:t>
            </w:r>
          </w:p>
        </w:tc>
        <w:tc>
          <w:tcPr>
            <w:tcW w:w="1570" w:type="dxa"/>
          </w:tcPr>
          <w:p w14:paraId="4CE3AF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237</w:t>
            </w:r>
          </w:p>
        </w:tc>
      </w:tr>
      <w:tr w:rsidR="00643896" w:rsidRPr="00640820" w14:paraId="77B85932" w14:textId="77777777" w:rsidTr="000D3BCB">
        <w:tc>
          <w:tcPr>
            <w:tcW w:w="5160" w:type="dxa"/>
          </w:tcPr>
          <w:p w14:paraId="69963C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“Электропривод”</w:t>
            </w:r>
          </w:p>
        </w:tc>
        <w:tc>
          <w:tcPr>
            <w:tcW w:w="3868" w:type="dxa"/>
          </w:tcPr>
          <w:p w14:paraId="4392D5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Горький</w:t>
            </w:r>
          </w:p>
        </w:tc>
        <w:tc>
          <w:tcPr>
            <w:tcW w:w="1570" w:type="dxa"/>
          </w:tcPr>
          <w:p w14:paraId="7303E6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238</w:t>
            </w:r>
          </w:p>
        </w:tc>
      </w:tr>
      <w:tr w:rsidR="00643896" w:rsidRPr="00640820" w14:paraId="21A882C6" w14:textId="77777777" w:rsidTr="000D3BCB">
        <w:tc>
          <w:tcPr>
            <w:tcW w:w="5160" w:type="dxa"/>
          </w:tcPr>
          <w:p w14:paraId="7642C0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“ТВЧ”</w:t>
            </w:r>
          </w:p>
        </w:tc>
        <w:tc>
          <w:tcPr>
            <w:tcW w:w="3868" w:type="dxa"/>
          </w:tcPr>
          <w:p w14:paraId="79D96F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Ташкент</w:t>
            </w:r>
          </w:p>
        </w:tc>
        <w:tc>
          <w:tcPr>
            <w:tcW w:w="1570" w:type="dxa"/>
          </w:tcPr>
          <w:p w14:paraId="25A0B7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239</w:t>
            </w:r>
          </w:p>
        </w:tc>
      </w:tr>
      <w:tr w:rsidR="00643896" w:rsidRPr="00640820" w14:paraId="3A33CE14" w14:textId="77777777" w:rsidTr="000D3BCB">
        <w:tc>
          <w:tcPr>
            <w:tcW w:w="5160" w:type="dxa"/>
          </w:tcPr>
          <w:p w14:paraId="58AD9A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низковольтной аппаратуры</w:t>
            </w:r>
          </w:p>
        </w:tc>
        <w:tc>
          <w:tcPr>
            <w:tcW w:w="3868" w:type="dxa"/>
          </w:tcPr>
          <w:p w14:paraId="1713DA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c>
          <w:tcPr>
            <w:tcW w:w="1570" w:type="dxa"/>
          </w:tcPr>
          <w:p w14:paraId="6FA8CF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240</w:t>
            </w:r>
          </w:p>
        </w:tc>
      </w:tr>
      <w:tr w:rsidR="00643896" w:rsidRPr="00640820" w14:paraId="0DDBA6E9" w14:textId="77777777" w:rsidTr="000D3BCB">
        <w:tc>
          <w:tcPr>
            <w:tcW w:w="5160" w:type="dxa"/>
          </w:tcPr>
          <w:p w14:paraId="7075B1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“Гидропривод”</w:t>
            </w:r>
          </w:p>
        </w:tc>
        <w:tc>
          <w:tcPr>
            <w:tcW w:w="3868" w:type="dxa"/>
          </w:tcPr>
          <w:p w14:paraId="6E38AB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Ленинград</w:t>
            </w:r>
          </w:p>
        </w:tc>
        <w:tc>
          <w:tcPr>
            <w:tcW w:w="1570" w:type="dxa"/>
          </w:tcPr>
          <w:p w14:paraId="0F1AAF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241</w:t>
            </w:r>
          </w:p>
        </w:tc>
      </w:tr>
      <w:tr w:rsidR="00643896" w:rsidRPr="00640820" w14:paraId="70156211" w14:textId="77777777" w:rsidTr="000D3BCB">
        <w:tc>
          <w:tcPr>
            <w:tcW w:w="5160" w:type="dxa"/>
          </w:tcPr>
          <w:p w14:paraId="3E9EF8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“Станколит”</w:t>
            </w:r>
          </w:p>
        </w:tc>
        <w:tc>
          <w:tcPr>
            <w:tcW w:w="3868" w:type="dxa"/>
          </w:tcPr>
          <w:p w14:paraId="73B53D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c>
          <w:tcPr>
            <w:tcW w:w="1570" w:type="dxa"/>
          </w:tcPr>
          <w:p w14:paraId="0AFEE7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242</w:t>
            </w:r>
          </w:p>
        </w:tc>
      </w:tr>
      <w:tr w:rsidR="00643896" w:rsidRPr="00640820" w14:paraId="18775E75" w14:textId="77777777" w:rsidTr="000D3BCB">
        <w:tc>
          <w:tcPr>
            <w:tcW w:w="5160" w:type="dxa"/>
          </w:tcPr>
          <w:p w14:paraId="7F600B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“Центролит”</w:t>
            </w:r>
          </w:p>
        </w:tc>
        <w:tc>
          <w:tcPr>
            <w:tcW w:w="3868" w:type="dxa"/>
          </w:tcPr>
          <w:p w14:paraId="13DB60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Ленинград</w:t>
            </w:r>
          </w:p>
        </w:tc>
        <w:tc>
          <w:tcPr>
            <w:tcW w:w="1570" w:type="dxa"/>
          </w:tcPr>
          <w:p w14:paraId="62209E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243</w:t>
            </w:r>
          </w:p>
        </w:tc>
      </w:tr>
      <w:tr w:rsidR="00643896" w:rsidRPr="00640820" w14:paraId="584563C1" w14:textId="77777777" w:rsidTr="000D3BCB">
        <w:tc>
          <w:tcPr>
            <w:tcW w:w="5160" w:type="dxa"/>
          </w:tcPr>
          <w:p w14:paraId="366F6A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Ремонтный завод</w:t>
            </w:r>
          </w:p>
        </w:tc>
        <w:tc>
          <w:tcPr>
            <w:tcW w:w="3868" w:type="dxa"/>
          </w:tcPr>
          <w:p w14:paraId="6B47FD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Марксштадт</w:t>
            </w:r>
          </w:p>
        </w:tc>
        <w:tc>
          <w:tcPr>
            <w:tcW w:w="1570" w:type="dxa"/>
          </w:tcPr>
          <w:p w14:paraId="43DEE0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244</w:t>
            </w:r>
          </w:p>
        </w:tc>
      </w:tr>
      <w:tr w:rsidR="00643896" w:rsidRPr="00640820" w14:paraId="63C0DB39" w14:textId="77777777" w:rsidTr="000D3BCB">
        <w:tc>
          <w:tcPr>
            <w:tcW w:w="5160" w:type="dxa"/>
          </w:tcPr>
          <w:p w14:paraId="7910BC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“Вперед”</w:t>
            </w:r>
          </w:p>
        </w:tc>
        <w:tc>
          <w:tcPr>
            <w:tcW w:w="3868" w:type="dxa"/>
          </w:tcPr>
          <w:p w14:paraId="121F4E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Алма-Ата</w:t>
            </w:r>
          </w:p>
        </w:tc>
        <w:tc>
          <w:tcPr>
            <w:tcW w:w="1570" w:type="dxa"/>
          </w:tcPr>
          <w:p w14:paraId="5624FB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245</w:t>
            </w:r>
          </w:p>
        </w:tc>
      </w:tr>
      <w:tr w:rsidR="00643896" w:rsidRPr="00640820" w14:paraId="51BC9B74" w14:textId="77777777" w:rsidTr="000D3BCB">
        <w:tc>
          <w:tcPr>
            <w:tcW w:w="5160" w:type="dxa"/>
          </w:tcPr>
          <w:p w14:paraId="78A6F2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Ремонтные мастерские</w:t>
            </w:r>
          </w:p>
        </w:tc>
        <w:tc>
          <w:tcPr>
            <w:tcW w:w="3868" w:type="dxa"/>
          </w:tcPr>
          <w:p w14:paraId="37C314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Саратов</w:t>
            </w:r>
          </w:p>
        </w:tc>
        <w:tc>
          <w:tcPr>
            <w:tcW w:w="1570" w:type="dxa"/>
          </w:tcPr>
          <w:p w14:paraId="51F8D2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246</w:t>
            </w:r>
          </w:p>
        </w:tc>
      </w:tr>
      <w:tr w:rsidR="00643896" w:rsidRPr="00640820" w14:paraId="2F197A52" w14:textId="77777777" w:rsidTr="000D3BCB">
        <w:tc>
          <w:tcPr>
            <w:tcW w:w="5160" w:type="dxa"/>
          </w:tcPr>
          <w:p w14:paraId="4BA490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Ремонтные мастерские</w:t>
            </w:r>
          </w:p>
        </w:tc>
        <w:tc>
          <w:tcPr>
            <w:tcW w:w="3868" w:type="dxa"/>
          </w:tcPr>
          <w:p w14:paraId="0354C6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Тбилиси</w:t>
            </w:r>
          </w:p>
        </w:tc>
        <w:tc>
          <w:tcPr>
            <w:tcW w:w="1570" w:type="dxa"/>
          </w:tcPr>
          <w:p w14:paraId="665A3E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247</w:t>
            </w:r>
          </w:p>
        </w:tc>
      </w:tr>
      <w:tr w:rsidR="00643896" w:rsidRPr="00640820" w14:paraId="5920C731" w14:textId="77777777" w:rsidTr="000D3BCB">
        <w:tc>
          <w:tcPr>
            <w:tcW w:w="5160" w:type="dxa"/>
          </w:tcPr>
          <w:p w14:paraId="7F7678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Ремонтные мастерские</w:t>
            </w:r>
          </w:p>
        </w:tc>
        <w:tc>
          <w:tcPr>
            <w:tcW w:w="3868" w:type="dxa"/>
          </w:tcPr>
          <w:p w14:paraId="7EF5CE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Горький</w:t>
            </w:r>
          </w:p>
        </w:tc>
        <w:tc>
          <w:tcPr>
            <w:tcW w:w="1570" w:type="dxa"/>
          </w:tcPr>
          <w:p w14:paraId="36FB13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248</w:t>
            </w:r>
          </w:p>
        </w:tc>
      </w:tr>
    </w:tbl>
    <w:p w14:paraId="598688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(8184)</w:t>
      </w:r>
    </w:p>
    <w:p w14:paraId="19317CB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8942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ноября 1941 НКТП получил металлургический завод № 200, образованный из части площадей и оборудования завода № 78 Наркомата боеприпасов. На производство танков был отчасти переключен Горьковский автозавод, не вошедший в состав НКТП. К концу 1941 г. процесс формирования НКТП был завершен. Вовлечение новых мощностей в военное производство продолжалось дольше. Окончательно их эффективное использование наладилось только к середине 1942 г. Но и после этого на новых танкостроительных заводах объемы производства были ниже, а оборудование и рабочая сила использовались менее эффективно, чем на образовавшихся в результате слияния старых эвакуированных танковых заводов с предприятиями гражданской промышленности. Танковая промышленность получала новые производственные мощности в основном за счет трех отраслей - транспортного и сельскохозяйственного машиностроения и судостроения. Свой серьезный вклад внесли также энергетическое и тяжелое машиностроение, работающее на нужды металлургии. Усиление оснащенности уже существующих центров производства и восстановление предприятий на освобожденных территориях после перелома в ходе боевых действий в пользу советских войск позволили расширить производственную базу НКТП. Надо сказать, что в довоенный период производство на танковых заводах имело значительные резервы для усовершенствования. Например, на заводе № 183, несмотря на значительные объемы продукции, работа была организована по принципу мелкосерийного производства со всеми присущими ему атрибутами: стендовой сборкой танков, использованием универсальных станков, ручной формовкой и сваркой и т.д (РГАЭ, ф. 8752, оп. 1, д. 82, л. 167-169; оп. 4, д. 2, л. 21.). Недостаточно широко использовалось литье, редко применялась штамповка. Такая организация производства обеспечивала его гибкость, быстрый переход от одного вида продукции к другому, но ограничивала объемы. В условиях войны такого рода гибкость становилась непозволительной роскошью. Отметим, что еще перед войной на заводе № 183 приступили к перестройке технологии производства, но сначала ее задерживало освоение Т-34. Вскоре же после начала войны встал вопрос об эвакуации завода, и производство по новым технологическим принципам пришлось организовывать уже на новом месте (11786).</w:t>
      </w:r>
    </w:p>
    <w:p w14:paraId="1EBF9B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7ABD04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ноября 1941 года в составе НКТП появился ещё один завод. На основании постановления ГКО от 13 ноября 1941 года на базе выделенных из завода № 78 Наркомата боеприпасов площадей и оборудования был образован завод № 200, который должен был поставлять бронекорпуса для Кировского завода. Этот завод, видимо, создавался преимущественно на основе оборудования и кадров, вывезенных с Ижорского завода. При этом сам завод № 78 сохранялся, но лишался четырех мартеновских печей и другого оборудования. Кроме того, постановлением ГКО он был обязан снабжать завод № 200 электроэнергией и отоплением (РГАЭ. Ф. 8752. Оп. 4. Д. 5. Л. 57-59). 23 марта 1942 года руководство НКТП добилось постановления СНК, обязавшего завод № 78 снабжать мартеновские печи завода № 200 кислородом (РГАЭ. Ф. 8752. Оп. 1. Д. 61. Л. 57). Правда, ремонтный и инструментальный цеха остались в распоряжении завода № 78, что впоследствии осложнило работу завода № 200, став «узким местом» предприятия, мешавшим выполнять производственную программу (12290).</w:t>
      </w:r>
    </w:p>
    <w:p w14:paraId="556156F5"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1251CCD3"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ноября 1941 созданное приказом № 74 Второе Главное управление НКТП получило ещё 24 завода и три ремонтных мастерских. Общее количество его работников составляло на начало 1942 года 11608 рабочих и ИТР. Наличие собственного станкостроительного главка дало бы возможность наркомату наращивать производственные мощности за счёт своих собственных средств (12290).</w:t>
      </w:r>
    </w:p>
    <w:p w14:paraId="672B69A1"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0780416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ноября 1941 года приказом № 78 третья группа предприятий НКТП была объединена в четвёртый главк - Главное управление абразивной промышленности (РГАЭ. Ф. 8752. Оп. 1. Д. 1. Л. 174). В состав главка входило десять предприятий. Абразивы - вещества повышенной твёрдости, применяемые в промышленности для различных видов механической обработки, таких, как: шлифование, заточка, истирание, полирование и т. д. Появление этого главка в составе НКТП было вызвано распространённой перед войной практикой тщательной механической обработки поверхности танка. Такая обработка была делом сложным и требовала как большого количества абразивных материалов, так и значительных ресурсов рабочей силы. Кроме того, считалось, что такая обработка повышает стойкость брони и снижает вес танка. Для тонкой брони лёгких танков это было действительно важно, но для толстых бронелистов Т- 34 и тем более КВ это уже теряло своё значение.</w:t>
      </w:r>
    </w:p>
    <w:p w14:paraId="5E5A905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НКТП главк просуществовал недолго. 13-го декабря 1941 года он в полном составе был передан Наркомату среднего машиностроения (РГАЭ. Ф. 8752. Оп. 4. Д. 7. Л. 98). Основанием для передачи стало постановление СНК от 1-го декабря 1941 года. Исчезновение главка объясняется тем, что к этому моменту стало окончательно ясно, что заводы НКТП будут не в состоянии осуществлять механическую обработку поверхностей танков при достижении необходимых темпов выпуска. У них не хватило бы на это рабочей силы, и поэтому было решено отказаться даже от обработки сварных швов. С этого момента танки, выпущенные НКТП, покидали заводы с грубой неотшлифованной поверхностью брони и толстыми сварными швами, о которые иногда можно было даже пораниться. Поскольку в результате нужда НКТП в абразивных материалах существенно снижалась, то четвёртый главк исчез из состава наркомата (12290).</w:t>
      </w:r>
    </w:p>
    <w:p w14:paraId="53605E14"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3306048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ноября 1941 вышло Постановление ГКО № 936 Об усилении выгрузки на предприятиях по железной дороге имени В.В. Куйбышева. (7015, 146-147).</w:t>
      </w:r>
    </w:p>
    <w:p w14:paraId="08E7772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D3903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ноября 1941 вышло Постановление ГКО № 937 Об усилении выгрузки на предприятиях по железной дороге им. л. М. Кагановича. (7015, 148-150).</w:t>
      </w:r>
    </w:p>
    <w:p w14:paraId="794FDDB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FA035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ноября 1941 вышло Постановление ГКО № 938 Об усилении выгрузки на предприятиях по Рязано-Уральской железной дороге. (7015, 151-152).</w:t>
      </w:r>
    </w:p>
    <w:p w14:paraId="1D5DC65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8ECCE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ноября 1941 вышло Постановление ГКО № 939 Об усилении выгрузки на предприятиях по Закавказской ж.д. им. л. П. Берия. (7015, 153-154).</w:t>
      </w:r>
    </w:p>
    <w:p w14:paraId="4E567BF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DEEE0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ноября 1941 вышло Постановление ГКО № 940 Об усилении выгрузки на предприятиях по Казанской жел. дороге. (7015, 155-156).</w:t>
      </w:r>
    </w:p>
    <w:p w14:paraId="115F467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1ED94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ноября 1941 вышло Постановление ГКО № 941 Об усилении выгрузки на предприятиях по Сталинградской ж.д. (7015, 157-158).</w:t>
      </w:r>
    </w:p>
    <w:p w14:paraId="2D81A24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3A52F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ноября 1941 вышло Постановление ГКО № 942 Об усилении выгрузки на предприятиях по Южно-Уральской железной дороге. (7015, 159-160).</w:t>
      </w:r>
    </w:p>
    <w:p w14:paraId="158D557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13EB7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ноября 1941 вышло Постановление ГКО № 943 Об усилении выгрузки на предприятиях по Пермской железной дороге. (7015, 161-162).</w:t>
      </w:r>
    </w:p>
    <w:p w14:paraId="193C905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7A333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ноября 1941 вышло Постановление ГКО № 944 О передаче полевых военно-дорожных частей ГУШОСДОР в подчинение фронтов. (7015, 163).</w:t>
      </w:r>
    </w:p>
    <w:p w14:paraId="420BCE7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FCDDB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ноября 1941 вышло Постановление ГКО № 946 О производстве пистолетов-пулеметов Шпагина (ППШ) на заводах г. Москвы. (7015, 170-171).</w:t>
      </w:r>
    </w:p>
    <w:p w14:paraId="54D25C38"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528A6AA"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lastRenderedPageBreak/>
        <w:t>Армия:</w:t>
      </w:r>
    </w:p>
    <w:p w14:paraId="238E84D4"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D8A6DEB"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22 ноября </w:t>
      </w:r>
      <w:r w:rsidRPr="00640820">
        <w:rPr>
          <w:rFonts w:ascii="Times New Roman" w:hAnsi="Times New Roman"/>
          <w:color w:val="000000" w:themeColor="text1"/>
          <w:sz w:val="16"/>
          <w:szCs w:val="16"/>
        </w:rPr>
        <w:t>в 1941 году утреннее сообщение Совинформбюро:</w:t>
      </w:r>
    </w:p>
    <w:p w14:paraId="32A78CFD"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22 ноября наши войска вели бои с противником на всех фронтах.</w:t>
      </w:r>
    </w:p>
    <w:p w14:paraId="60D89DB9"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ноября бойцы части тов. Дарбиньяна, действующей на одном из участков Юго-Западного фронта, смелой атакой нанесли врагу серьёзный удар. Немцы отступили, оставив на поле боя более 400 трупов солдат и офицеров. Часть тов. Дарбиньяна захватила 7 орудий, 13 пулемётов, большое количество винтовок, снарядов и патронов.</w:t>
      </w:r>
    </w:p>
    <w:p w14:paraId="7127BDE9"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Артиллерийская батарея части тов. Раковина, действующей на одном из участков Ленинградского фронта, за день боёв истребила более 800 немецких солдат и офицеров, уничтожила 6 долговременных огневых точек и 4 пулемётных гнезда противника.</w:t>
      </w:r>
    </w:p>
    <w:p w14:paraId="1CAD8F94"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Часть командира Лопатина, действующая на одном из участков Южного фронта, в ожесточённом бою истребила более 2.000 солдат и офицеров немецкой дивизии «Викинг». Наши войска захватили 11 орудий, 2 миномётные батареи, до 100 автомашин с боеприпасами, 2 штабные автомашины и 2 знамени.</w:t>
      </w:r>
    </w:p>
    <w:p w14:paraId="4969E506"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Немецкие солдаты и унтер-офицеры, захваченные в плен на одном из участков Ленинградского фронта, рассказывают о больших потерях немецких частей под Ленинградом. Ефрейтор 3 роты 1 батальона 2 парашютного полка Вольфганг Пройль, член союза фашистской молодёжи, успевший побывать в Польше, Норвегии, Голландии и на острове Крит, сообщил, что 2 парашютный полк прибыл на Ленинградский фронт в середине октября. В связи с огромными потерями немецких частей квалифицированные парашютисты были приданы танковой дивизии генерал-майора Шмидта в качестве обычных пехотных подразделений. 1 батальон парашютного полка в первые же дни понёс большие потери. В ротах его осталось по 45 солдат вместо 115. Во многих ротах осталось лишь по одному офицеру. В подразделениях полка наблюдаются многочисленные случаи обмораживания. Санитар 1 роты 328 пехотного полка Губерт Шмитц заявил, что рота, в которой он находился, «потеряла до 70 человек. Боевой дух солдат сильно упал; даже молодые солдаты недовольны войной и стремятся на родину». Солдат 4 роты 127 строительного батальона Иозеф Блатцитко показал, что в его роте имеется до 40 человек больных, большинство из них — это обмороженные или сильно простуженные солдаты.</w:t>
      </w:r>
    </w:p>
    <w:p w14:paraId="7E840339"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Колхозники Хабаровского края с большим подъёмом выполняют задачу, поставленную товарищем Сталиным, — давать фронту и стране больше хлеба, мяса, сырья для промышленности. Члены колхоза «Красный орден», Тамбовского района, Амурской области, после обсуждения доклада и речи товарища Сталина единодушно решили продать государству 4.200 центнеров пшеницы, 1.100 центнеров овса и ячменя и 600 центнеров сои. Десять тысяч центнеров отборного зерна продали государству сверх обязательных поставок колхозы Куйбышевского района. Артель «Труженик», Бирского района, Еврейской автономной области, продала государству много зерна, тысячи центнеров овощей и картофеля. После обсуждения доклада товарища Сталина колхозники решили продать ещё 250 центнеров картофеля. В с. Дербинское на Сахалине прибыл красный обоз колхоза имени Сталина с сельскохозяйственными продуктами, которые колхозники решили сдать в фонд обороны. Звеньевая артели Мария Афанасьева заявила: «Мы сейчас живём и работаем с одной мыслью — всё для фронта. Этот обоз первый от нашей артели. За ним последуют другие» (14837).</w:t>
      </w:r>
    </w:p>
    <w:p w14:paraId="297C9F10" w14:textId="77777777" w:rsidR="002755D5" w:rsidRPr="00640820" w:rsidRDefault="002755D5" w:rsidP="00640820">
      <w:pPr>
        <w:spacing w:after="0" w:line="240" w:lineRule="auto"/>
        <w:jc w:val="both"/>
        <w:rPr>
          <w:rFonts w:ascii="Times New Roman" w:hAnsi="Times New Roman"/>
          <w:color w:val="000000" w:themeColor="text1"/>
          <w:sz w:val="16"/>
          <w:szCs w:val="16"/>
        </w:rPr>
      </w:pPr>
    </w:p>
    <w:p w14:paraId="2CEEFE4F"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22 ноября </w:t>
      </w:r>
      <w:r w:rsidRPr="00640820">
        <w:rPr>
          <w:rFonts w:ascii="Times New Roman" w:hAnsi="Times New Roman"/>
          <w:color w:val="000000" w:themeColor="text1"/>
          <w:sz w:val="16"/>
          <w:szCs w:val="16"/>
        </w:rPr>
        <w:t>в 1941 году вечернее сообщение Совинформбюро:</w:t>
      </w:r>
    </w:p>
    <w:p w14:paraId="679ED9D7"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22 ноября наши войска вели бои с противником на всех фронтах. Особенно ожесточённые бои происходили на Клинском, Волоколамском, Тульском и Ростовском (Ростов-на-Дону) участках фронта.</w:t>
      </w:r>
    </w:p>
    <w:p w14:paraId="5417EF56"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21 ноября уничтожено 5 немецких самолётов. Наши потери — 2 самолёта.</w:t>
      </w:r>
    </w:p>
    <w:p w14:paraId="3545951A"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21 ноября нашей авиацией уничтожено 28 немецких танков, 12 бронемашин, 896 автомашин, 14 штабных автобусов, 6 автоцистерн с горючим, 568 повозок со снарядами, 32 орудия и истреблено свыше 3.000 солдат и офицеров противника.</w:t>
      </w:r>
    </w:p>
    <w:p w14:paraId="4975DEA3"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Бойцы части тов. Шепетова, действующей на одном из участков Южного фронта, 20 ноября уничтожили 60 немецких автомашин, 130 мотоциклов, 11 орудий, 13 пулемётов и истребили до батальона вражеской пехоты.</w:t>
      </w:r>
    </w:p>
    <w:p w14:paraId="49EAE509"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участок, который оборонял танк младшего политрука Бирмина, противник бросил 14 танков. Мужественный экипаж советских танкистов открыл ураганный огонь по врагу. Подбив 5 немецких танков и вызвав в колоннах неприятеля смятение, советский танк невредимым вышел из боя, после того как расстрелял все боеприпасы.</w:t>
      </w:r>
    </w:p>
    <w:p w14:paraId="53617198"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Партизанские отряды, действующие в оккупированных немцами районах Ленинградской области, продолжают наносить фашистам чувствительные удары. С 11 по 15 ноября несколько групп партизан уничтожило, по далеко не полным данным, 10 грузовых автомашин с боеприпасами, продовольствием и немецкой пехотой, 2 легковых автомашины с офицерами, орудие и обоз с сеном. Партизанами подорвано железнодорожное полотно и 2 моста, выведена из строя зарядно-аккумуляторная станция и нарушена 21 линия многожильного кабеля полевой связи. За этот же срок партизаны убили 112 вражеских солдат и 5 офицеров. Отряд под командованием тов. Д. уничтожил 3 бомбардировщика противника. Вражеский самолёт-истребитель сожжён отрядом товарища С. Партизаны под командованием товарища Дмитрия за 7 дней уничтожили на дороге, по которой противник подвозит вооружение и войска к Ленинградскому фронту, 8 грузовых, 2 легковые автомашины и 2 мотоцикла. За эти семь дней партизаны уничтожили 50 немецких солдат и 12 офицеров, захватили у фашистов 2 станковых пулемёта и 7 автоматов. Немцы установили месторасположение этого отряда и направили против него карательную экспедицию. Партизаны опередили врага: сами перешли в атаку и рассеяли фашистов. Комиссар отряда товарищ П. лично уничтожил немецкого офицера — обер-лейтенанта, особоуполномоченного германского командования по борьбе с партизанами.</w:t>
      </w:r>
    </w:p>
    <w:p w14:paraId="5C4FC090"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Немецко-фашистские мерзавцы чинят в захваченных ими населённых пунктах Московской области дикий произвол, грабёж и насилия. В деревне Горбово гитлеровцы загнали всё население в церковь и потребовали под угрозой расстрела сообщить, куда крестьяне попрятали имущество и продукты. Здесь же в церкви были жестоко избиты прикладами 65-летняя старуха Синицына Д. и Морозова О.К. В деревне Ордино немецкие солдаты начисто ограбили жителей. Бандиты забирали всё: одеяла, постельное бельё, обувь, посуду, вёдра, всё съестное, птицу, скот. Фашисты никому не оставили ни корки хлеба, ни горстки муки. Такому массовому разграблению подверглись жители сёл Тимонино, Петрово и других. Немцы раздевают на улицах прохожих, снимают с них шапки, пальто, сапоги. Фашисты силой захватывают всё население оккупированных районов в возрасте от 16 до 60 лет и направляют на тяжёлые работы.</w:t>
      </w:r>
    </w:p>
    <w:p w14:paraId="7A9B472D"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последний час.</w:t>
      </w:r>
    </w:p>
    <w:p w14:paraId="320674A5"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Удар по войскам врага.</w:t>
      </w:r>
    </w:p>
    <w:p w14:paraId="3CB5BBFA"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результате предпринятого контрнаступления войсками Красной Армии на одном из южных направлений западнее Ростова-на-Дону в боях за 20-23 ноября 1941 года разгромлены немецкие 49-й горнострелковый корпус, дивизия СС «Викинг» и 16-я танковая дивизия.</w:t>
      </w:r>
    </w:p>
    <w:p w14:paraId="22F93E17"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указанных боях нашими войсками захвачено 111 орудий, 55 тан ков, 83 пулемёта, 36 миномётов, 365 автомашин, 115 мотоциклов и много другого военного имущества.</w:t>
      </w:r>
    </w:p>
    <w:p w14:paraId="4ECFAAC8"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Противник оставил на поле боя свыше 7.000 убитыми.</w:t>
      </w:r>
    </w:p>
    <w:p w14:paraId="0FD79DDD"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этих же боях за это время нами сбито 46 немецких самолётов.</w:t>
      </w:r>
    </w:p>
    <w:p w14:paraId="5DCFEDA4"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исходу 23 ноября части Красной Армии, преследуя противника, продвинулись от исходных позиций на 60 километров.» (14837).</w:t>
      </w:r>
    </w:p>
    <w:p w14:paraId="0CDC9BED" w14:textId="77777777" w:rsidR="002755D5" w:rsidRPr="00640820" w:rsidRDefault="002755D5" w:rsidP="00640820">
      <w:pPr>
        <w:spacing w:after="0" w:line="240" w:lineRule="auto"/>
        <w:jc w:val="both"/>
        <w:rPr>
          <w:rFonts w:ascii="Times New Roman" w:hAnsi="Times New Roman"/>
          <w:color w:val="000000" w:themeColor="text1"/>
          <w:sz w:val="16"/>
          <w:szCs w:val="16"/>
        </w:rPr>
      </w:pPr>
    </w:p>
    <w:p w14:paraId="10B4215D" w14:textId="77777777" w:rsidR="00D46932" w:rsidRPr="00640820" w:rsidRDefault="00D46932" w:rsidP="00640820">
      <w:pPr>
        <w:pStyle w:val="7d"/>
        <w:shd w:val="clear" w:color="auto" w:fill="auto"/>
        <w:spacing w:before="0" w:line="240" w:lineRule="auto"/>
        <w:jc w:val="both"/>
        <w:rPr>
          <w:rFonts w:ascii="Times New Roman" w:hAnsi="Times New Roman" w:cs="Times New Roman"/>
          <w:color w:val="0070C0"/>
        </w:rPr>
      </w:pPr>
      <w:r w:rsidRPr="00640820">
        <w:rPr>
          <w:rFonts w:ascii="Times New Roman" w:hAnsi="Times New Roman" w:cs="Times New Roman"/>
          <w:color w:val="0070C0"/>
        </w:rPr>
        <w:t xml:space="preserve">22 ноября 1941 г. </w:t>
      </w:r>
      <w:r w:rsidRPr="00640820">
        <w:rPr>
          <w:rFonts w:ascii="Times New Roman" w:hAnsi="Times New Roman" w:cs="Times New Roman"/>
          <w:color w:val="0070C0"/>
          <w:lang w:val="ru-RU"/>
        </w:rPr>
        <w:t>р</w:t>
      </w:r>
      <w:r w:rsidRPr="00640820">
        <w:rPr>
          <w:rFonts w:ascii="Times New Roman" w:hAnsi="Times New Roman" w:cs="Times New Roman"/>
          <w:color w:val="0070C0"/>
        </w:rPr>
        <w:t>ано утром</w:t>
      </w:r>
      <w:r w:rsidRPr="00640820">
        <w:rPr>
          <w:rFonts w:ascii="Times New Roman" w:hAnsi="Times New Roman" w:cs="Times New Roman"/>
          <w:color w:val="0070C0"/>
          <w:lang w:val="ru-RU"/>
        </w:rPr>
        <w:t xml:space="preserve"> в Севастополе</w:t>
      </w:r>
      <w:r w:rsidRPr="00640820">
        <w:rPr>
          <w:rFonts w:ascii="Times New Roman" w:hAnsi="Times New Roman" w:cs="Times New Roman"/>
          <w:color w:val="0070C0"/>
        </w:rPr>
        <w:t>, под видом плановой подготовки гидросамолета к вылету ме</w:t>
      </w:r>
      <w:r w:rsidRPr="00640820">
        <w:rPr>
          <w:rFonts w:ascii="Times New Roman" w:hAnsi="Times New Roman" w:cs="Times New Roman"/>
          <w:color w:val="0070C0"/>
        </w:rPr>
        <w:softHyphen/>
        <w:t xml:space="preserve">ханик самолета </w:t>
      </w:r>
      <w:r w:rsidRPr="00640820">
        <w:rPr>
          <w:rFonts w:ascii="Times New Roman" w:hAnsi="Times New Roman" w:cs="Times New Roman"/>
          <w:color w:val="0070C0"/>
          <w:lang w:val="ru-RU"/>
        </w:rPr>
        <w:t xml:space="preserve">ГСТ </w:t>
      </w:r>
      <w:r w:rsidRPr="00640820">
        <w:rPr>
          <w:rFonts w:ascii="Times New Roman" w:hAnsi="Times New Roman" w:cs="Times New Roman"/>
          <w:color w:val="0070C0"/>
        </w:rPr>
        <w:t>Рев</w:t>
      </w:r>
      <w:r w:rsidRPr="00640820">
        <w:rPr>
          <w:rFonts w:ascii="Times New Roman" w:hAnsi="Times New Roman" w:cs="Times New Roman"/>
          <w:color w:val="0070C0"/>
          <w:lang w:val="ru-RU"/>
        </w:rPr>
        <w:t>а</w:t>
      </w:r>
      <w:r w:rsidRPr="00640820">
        <w:rPr>
          <w:rFonts w:ascii="Times New Roman" w:hAnsi="Times New Roman" w:cs="Times New Roman"/>
          <w:color w:val="0070C0"/>
        </w:rPr>
        <w:t xml:space="preserve"> смог самостоятельно снять ма</w:t>
      </w:r>
      <w:r w:rsidRPr="00640820">
        <w:rPr>
          <w:rFonts w:ascii="Times New Roman" w:hAnsi="Times New Roman" w:cs="Times New Roman"/>
          <w:color w:val="0070C0"/>
        </w:rPr>
        <w:softHyphen/>
        <w:t>шину с якоря, запустить двигатели и взле</w:t>
      </w:r>
      <w:r w:rsidRPr="00640820">
        <w:rPr>
          <w:rFonts w:ascii="Times New Roman" w:hAnsi="Times New Roman" w:cs="Times New Roman"/>
          <w:color w:val="0070C0"/>
        </w:rPr>
        <w:softHyphen/>
        <w:t>теть. В погоню за ГСТ были подняты два Пе-2 с задачей догнать и расстрелять бе</w:t>
      </w:r>
      <w:r w:rsidRPr="00640820">
        <w:rPr>
          <w:rFonts w:ascii="Times New Roman" w:hAnsi="Times New Roman" w:cs="Times New Roman"/>
          <w:color w:val="0070C0"/>
        </w:rPr>
        <w:softHyphen/>
        <w:t>глеца. Однако они его не нашли, по</w:t>
      </w:r>
      <w:r w:rsidRPr="00640820">
        <w:rPr>
          <w:rFonts w:ascii="Times New Roman" w:hAnsi="Times New Roman" w:cs="Times New Roman"/>
          <w:color w:val="0070C0"/>
        </w:rPr>
        <w:softHyphen/>
        <w:t>скольку логично предположив, что пере</w:t>
      </w:r>
      <w:r w:rsidRPr="00640820">
        <w:rPr>
          <w:rFonts w:ascii="Times New Roman" w:hAnsi="Times New Roman" w:cs="Times New Roman"/>
          <w:color w:val="0070C0"/>
        </w:rPr>
        <w:softHyphen/>
        <w:t>лет осуществляется к немцам, «пешки» вылетели в район Донузлава, Одессы и Констанцы. Рева же полетел в направле</w:t>
      </w:r>
      <w:r w:rsidRPr="00640820">
        <w:rPr>
          <w:rFonts w:ascii="Times New Roman" w:hAnsi="Times New Roman" w:cs="Times New Roman"/>
          <w:color w:val="0070C0"/>
        </w:rPr>
        <w:softHyphen/>
        <w:t>нии пролива Босфор и далее на находя</w:t>
      </w:r>
      <w:r w:rsidRPr="00640820">
        <w:rPr>
          <w:rFonts w:ascii="Times New Roman" w:hAnsi="Times New Roman" w:cs="Times New Roman"/>
          <w:color w:val="0070C0"/>
        </w:rPr>
        <w:softHyphen/>
        <w:t>щийся под контролем англичан остров Кипр, где разбился при посадке</w:t>
      </w:r>
      <w:r w:rsidRPr="00640820">
        <w:rPr>
          <w:rFonts w:ascii="Times New Roman" w:hAnsi="Times New Roman" w:cs="Times New Roman"/>
          <w:color w:val="0070C0"/>
          <w:lang w:val="ru-RU"/>
        </w:rPr>
        <w:t xml:space="preserve"> (19852)</w:t>
      </w:r>
      <w:r w:rsidRPr="00640820">
        <w:rPr>
          <w:rFonts w:ascii="Times New Roman" w:hAnsi="Times New Roman" w:cs="Times New Roman"/>
          <w:color w:val="0070C0"/>
        </w:rPr>
        <w:t>.</w:t>
      </w:r>
    </w:p>
    <w:p w14:paraId="6970A4AE" w14:textId="77777777" w:rsidR="00D46932" w:rsidRPr="00640820" w:rsidRDefault="00D46932" w:rsidP="00640820">
      <w:pPr>
        <w:pStyle w:val="7d"/>
        <w:shd w:val="clear" w:color="auto" w:fill="auto"/>
        <w:spacing w:before="0" w:line="240" w:lineRule="auto"/>
        <w:jc w:val="both"/>
        <w:rPr>
          <w:rFonts w:ascii="Times New Roman" w:hAnsi="Times New Roman" w:cs="Times New Roman"/>
          <w:color w:val="0070C0"/>
        </w:rPr>
      </w:pPr>
    </w:p>
    <w:p w14:paraId="216A9462" w14:textId="77777777" w:rsidR="00D46932" w:rsidRPr="00640820" w:rsidRDefault="00D46932"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 22 ноября 1941 г. начала действовать про</w:t>
      </w:r>
      <w:r w:rsidRPr="00640820">
        <w:rPr>
          <w:rFonts w:ascii="Times New Roman" w:hAnsi="Times New Roman"/>
          <w:color w:val="0070C0"/>
          <w:sz w:val="16"/>
          <w:szCs w:val="16"/>
        </w:rPr>
        <w:softHyphen/>
        <w:t>ложенная по льду Ладожского озера «Военно-ав</w:t>
      </w:r>
      <w:r w:rsidRPr="00640820">
        <w:rPr>
          <w:rFonts w:ascii="Times New Roman" w:hAnsi="Times New Roman"/>
          <w:color w:val="0070C0"/>
          <w:sz w:val="16"/>
          <w:szCs w:val="16"/>
        </w:rPr>
        <w:softHyphen/>
        <w:t>томобильная дорога № 101» длиной 30 км, полу</w:t>
      </w:r>
      <w:r w:rsidRPr="00640820">
        <w:rPr>
          <w:rFonts w:ascii="Times New Roman" w:hAnsi="Times New Roman"/>
          <w:color w:val="0070C0"/>
          <w:sz w:val="16"/>
          <w:szCs w:val="16"/>
        </w:rPr>
        <w:softHyphen/>
        <w:t>чившая название «Дорога жизни». Для её при</w:t>
      </w:r>
      <w:r w:rsidRPr="00640820">
        <w:rPr>
          <w:rFonts w:ascii="Times New Roman" w:hAnsi="Times New Roman"/>
          <w:color w:val="0070C0"/>
          <w:sz w:val="16"/>
          <w:szCs w:val="16"/>
        </w:rPr>
        <w:softHyphen/>
        <w:t>крытия от налётов авиации противника впервые в мировой военной практике была создана ПВО дороги в условиях замёрзшего озера. В числе ча</w:t>
      </w:r>
      <w:r w:rsidRPr="00640820">
        <w:rPr>
          <w:rFonts w:ascii="Times New Roman" w:hAnsi="Times New Roman"/>
          <w:color w:val="0070C0"/>
          <w:sz w:val="16"/>
          <w:szCs w:val="16"/>
        </w:rPr>
        <w:softHyphen/>
        <w:t>стей Осиновецкого (позднее — Ладожско-Череповецкого) бригадного района ПВО был и отряд АЗ, развернувший вдоль всей трассы прямо на льду 21 аэростатный пост. В тяжелейших усло</w:t>
      </w:r>
      <w:r w:rsidRPr="00640820">
        <w:rPr>
          <w:rFonts w:ascii="Times New Roman" w:hAnsi="Times New Roman"/>
          <w:color w:val="0070C0"/>
          <w:sz w:val="16"/>
          <w:szCs w:val="16"/>
        </w:rPr>
        <w:softHyphen/>
        <w:t>виях, при температуре воздуха, опускавшейся до -30°C, аэростатчики, проживавшие в палат</w:t>
      </w:r>
      <w:r w:rsidRPr="00640820">
        <w:rPr>
          <w:rFonts w:ascii="Times New Roman" w:hAnsi="Times New Roman"/>
          <w:color w:val="0070C0"/>
          <w:sz w:val="16"/>
          <w:szCs w:val="16"/>
        </w:rPr>
        <w:softHyphen/>
        <w:t>ках, с ледяного поля поднимали в воздух аэроста</w:t>
      </w:r>
      <w:r w:rsidRPr="00640820">
        <w:rPr>
          <w:rFonts w:ascii="Times New Roman" w:hAnsi="Times New Roman"/>
          <w:color w:val="0070C0"/>
          <w:sz w:val="16"/>
          <w:szCs w:val="16"/>
        </w:rPr>
        <w:softHyphen/>
        <w:t>ты заграждения. Вместе с бойцами других частей ПВО они, несмотря на систематические налёты авиации противника, обеспечили работу «До</w:t>
      </w:r>
      <w:r w:rsidRPr="00640820">
        <w:rPr>
          <w:rFonts w:ascii="Times New Roman" w:hAnsi="Times New Roman"/>
          <w:color w:val="0070C0"/>
          <w:sz w:val="16"/>
          <w:szCs w:val="16"/>
        </w:rPr>
        <w:softHyphen/>
        <w:t>роги жизни» в течение первой блокадной зимы. Как только Ладога освободилась от льда, по озеру открыли навигацию. 27 декабря 1942 г. ледовая дорога вновь была открыта и работала до марта 1943 г. (20120).</w:t>
      </w:r>
    </w:p>
    <w:p w14:paraId="10CB4008" w14:textId="77777777" w:rsidR="00D46932" w:rsidRPr="00640820" w:rsidRDefault="00D46932" w:rsidP="00640820">
      <w:pPr>
        <w:spacing w:after="0" w:line="240" w:lineRule="auto"/>
        <w:jc w:val="both"/>
        <w:rPr>
          <w:rFonts w:ascii="Times New Roman" w:hAnsi="Times New Roman"/>
          <w:color w:val="0070C0"/>
          <w:sz w:val="16"/>
          <w:szCs w:val="16"/>
        </w:rPr>
      </w:pPr>
    </w:p>
    <w:p w14:paraId="065683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 November 1941 (22-29-November) Rostov captured by the Germans and recaptured by the Russians (270).</w:t>
      </w:r>
    </w:p>
    <w:p w14:paraId="3FFCCC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603E5D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ноября (22-29 ноября) немцы захватили Ростов и потеряли его (270).</w:t>
      </w:r>
    </w:p>
    <w:p w14:paraId="53A48B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Это был первый из контрнаступательных ударов, еще до московского наступления. И.В.С. впервые направил частям и командирам приказ с выражением благодарности. В это время на севере отвоевали Тихвин (2070,47).</w:t>
      </w:r>
    </w:p>
    <w:p w14:paraId="6A99FC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06D8506"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22 ноября </w:t>
      </w:r>
      <w:r w:rsidRPr="00640820">
        <w:rPr>
          <w:rFonts w:ascii="Times New Roman" w:hAnsi="Times New Roman"/>
          <w:color w:val="000000" w:themeColor="text1"/>
          <w:sz w:val="16"/>
          <w:szCs w:val="16"/>
        </w:rPr>
        <w:t>в 1941 году войска противника оккупировали Сталиногорск (14837).</w:t>
      </w:r>
    </w:p>
    <w:p w14:paraId="7495161C" w14:textId="77777777" w:rsidR="002755D5" w:rsidRPr="00640820" w:rsidRDefault="002755D5" w:rsidP="00640820">
      <w:pPr>
        <w:spacing w:after="0" w:line="240" w:lineRule="auto"/>
        <w:jc w:val="both"/>
        <w:rPr>
          <w:rFonts w:ascii="Times New Roman" w:hAnsi="Times New Roman"/>
          <w:color w:val="000000" w:themeColor="text1"/>
          <w:sz w:val="16"/>
          <w:szCs w:val="16"/>
        </w:rPr>
      </w:pPr>
    </w:p>
    <w:p w14:paraId="167E35B2"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22 ноября </w:t>
      </w:r>
      <w:r w:rsidRPr="00640820">
        <w:rPr>
          <w:rFonts w:ascii="Times New Roman" w:hAnsi="Times New Roman"/>
          <w:color w:val="000000" w:themeColor="text1"/>
          <w:sz w:val="16"/>
          <w:szCs w:val="16"/>
        </w:rPr>
        <w:t>в 1941 году немецкие войска заняли Новомосковск (14837).</w:t>
      </w:r>
    </w:p>
    <w:p w14:paraId="02DEBB85" w14:textId="77777777" w:rsidR="002755D5" w:rsidRPr="00640820" w:rsidRDefault="002755D5" w:rsidP="00640820">
      <w:pPr>
        <w:spacing w:after="0" w:line="240" w:lineRule="auto"/>
        <w:jc w:val="both"/>
        <w:rPr>
          <w:rFonts w:ascii="Times New Roman" w:hAnsi="Times New Roman"/>
          <w:color w:val="000000" w:themeColor="text1"/>
          <w:sz w:val="16"/>
          <w:szCs w:val="16"/>
        </w:rPr>
      </w:pPr>
    </w:p>
    <w:p w14:paraId="35CC86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22 ноября 1941 вышло Постановление ГКО № 935 О новых формированиях стрелковых бригад и дивизий. РГАНИР, Фонд ГКО, д. 14, лл. 145 (11012).</w:t>
      </w:r>
    </w:p>
    <w:p w14:paraId="02463F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C04DF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ноября 1941 вышло Постановление ГКО № 945 О строительстве специальных убежищ в г.г. Ярославле, Горьком, Казани, Ульяновске, Куйбышеве, Саратове, Сталинграде. РГАНИР, Фонд ГКО, д. 14, лл. 164-166, 167-169 (11012).</w:t>
      </w:r>
    </w:p>
    <w:p w14:paraId="4205F3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952A5D5"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72B0E1AC"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6CE891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ноября 1941 казнена фашистами советская партизанка Е. Чайкина (4962).</w:t>
      </w:r>
    </w:p>
    <w:p w14:paraId="3C6DBF6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538A0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ноября 1941 открыта ледовая трасса через Ладожское озеро в осажденный Ленинград (“Дорога жизни”) (4962).</w:t>
      </w:r>
    </w:p>
    <w:p w14:paraId="74E4468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7284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ноября 1941 начала работать ледовая трасса через Ладогу (2443,421). Прекратили 21 апреля 1942 (3398,410).</w:t>
      </w:r>
    </w:p>
    <w:p w14:paraId="6844C7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1A93289" w14:textId="77777777" w:rsidR="002755D5" w:rsidRPr="00640820" w:rsidRDefault="002755D5"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22 ноября </w:t>
      </w:r>
      <w:r w:rsidRPr="00640820">
        <w:rPr>
          <w:rFonts w:ascii="Times New Roman" w:hAnsi="Times New Roman"/>
          <w:color w:val="000000" w:themeColor="text1"/>
          <w:sz w:val="16"/>
          <w:szCs w:val="16"/>
        </w:rPr>
        <w:t>в 1941 году вступила в действие ледовая трасса "Дорога жизни": на автотранспорте из Кобоны до Кокорева и Ваганова (около 30 км), далее до Ленинграда по железной дороге. В Кобону за ржаной мукой отправляется первая автоколонна из 60 машин. Ответственный за организацию перевозки грузов по "Дороге жизни" - начальник тыла Ленинградского фронта генерал-лейтенант Ф.Н.Лагунов, непосредственное руководство военно-автомобильной дорогой осуществлял заместитель начальника тыла фронта генерал-майор интендантской службы А.М.Шилов (14837).</w:t>
      </w:r>
    </w:p>
    <w:p w14:paraId="43048D55" w14:textId="77777777" w:rsidR="002755D5" w:rsidRPr="00640820" w:rsidRDefault="002755D5" w:rsidP="00640820">
      <w:pPr>
        <w:spacing w:after="0" w:line="240" w:lineRule="auto"/>
        <w:jc w:val="both"/>
        <w:rPr>
          <w:rFonts w:ascii="Times New Roman" w:hAnsi="Times New Roman"/>
          <w:color w:val="000000" w:themeColor="text1"/>
          <w:sz w:val="16"/>
          <w:szCs w:val="16"/>
        </w:rPr>
      </w:pPr>
    </w:p>
    <w:p w14:paraId="20AECE5F"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6D2FD9D7"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FC50A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ноября 1941 года было получено письмо:</w:t>
      </w:r>
    </w:p>
    <w:p w14:paraId="252966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 ЧЕРЧИЛЛЬ И. В. СТАЛИНУ</w:t>
      </w:r>
    </w:p>
    <w:p w14:paraId="4052A7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Весьма благодарен Вам за Ваше только что полученное послание. В самом начале войны я вступил с Президентом Рузвельтом в личную переписку, которая привела к установлению между нами весьма основательного взаимопонимания и часто помогала решать дела быстро. Моим единственным желанием является сотрудничество с Вами на таких же условиях дружбы и доверия.</w:t>
      </w:r>
    </w:p>
    <w:p w14:paraId="3DE317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 Финляндии: я был вполне готов посоветовать кабинету обсудить вопрос об объявлении войны Финляндии, когда посылал Вам телеграмму от 5 сентября. В результате полученных позже сведений у меня сложилось мнение, что можно оказать большую помощь России и общему делу, если можно будет добиться от финнов прекращения военных действий и остановить их на месте или отправить по домам, чем если бы мы посадили их на скамью подсудимых вместе с виновниками — державами оси путем формального объявления войны и заставили бы их сражаться до конца. Однако если они не прекратят войны в течение ближайших пятнадцати дней и Вы все еще будете желать объявления нами войны, то мы непременно сделаем это. Я согласен с Вами, что разглашение этого вопроса было совершенно неправильным. Мы отнюдь не были виновны в этом.</w:t>
      </w:r>
    </w:p>
    <w:p w14:paraId="4C199E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Если наше наступление в Ливии приведет, как мы надеемся, к уничтожению германских и итальянских армий там, то окажется возможным произвести широкое рассмотрение проблем войны в целом с большей свободой, нежели это удавалось Правительству Его Величества до сего времени.</w:t>
      </w:r>
    </w:p>
    <w:p w14:paraId="0DE7AE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этой целью мы готовы командировать в ближайшем будущем Министра Иностранных Дел Идена, с которым Вы знакомы. Он направится через Средиземное море для встречи с Вами в Москве или в другом месте. Его будут сопровождать высокопоставленные военные и другие эксперты, и он сможет обсудить любой вопрос, касающийся войны, включая посылку войск не только на Кавказ, но и на линию фронта Ваших армий на Юге. Ни наши судовые ресурсы, ни.наши коммуникации не позволят ввести в действие значительные силы, и даже при этом Вам придется выбирать между войсками и поставками через Персию.</w:t>
      </w:r>
    </w:p>
    <w:p w14:paraId="0C14C1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 вижу, что Вы желаете также обсудить послевоенную организацию мира. Наше намерение состоит в том, чтобы вести войну в союзе и в постоянной консультации с Вами при максимальном напряжении наших сил и сколько бы она ни продлилась. Когда война будет выиграна, в чем я уверен, мы ожидаем, что Советская Россия, Великобритания и США встретятся за столом конференции победы как три главных участника и как те, чьими действиями будет уничтожен нацизм. Естественно, первая задача будет состоять в том, чтобы помешать Германии и в особенности Пруссии напасть на нас в третий раз. Тот факт, что Россия является коммунистическим государством и что Британия и США не являются такими государствами и не намерены ими быть, не является каким-либо препятствием для составления нами хорошего плана обеспечения нашей взаимной безопасности и наших законных интересов. Министр Иностранных Дел сможет обсудить с Вами все эти вопросы.</w:t>
      </w:r>
    </w:p>
    <w:p w14:paraId="135761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Вполне возможно, что оборона Москвы и Ленинграда, так же как и блестящее сопротивление, оказываемое захватчику на всем русском фронте, нанесет смертельные раны внутренней структуре нацистского режима. Но мы не должны рассчитывать на такой очень счастливый исход, а должны просто продолжать наносить им удары изо всех сил (7430).</w:t>
      </w:r>
    </w:p>
    <w:p w14:paraId="1A3590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3E6AF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ноября 1941 вышло Постановление ГКО № 947 Об освобождении пленных иранских офицеров. РГАНИР, Фонд ГКО, д. 14, лл. 172 (11012).</w:t>
      </w:r>
    </w:p>
    <w:p w14:paraId="13D5A1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5A05117"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72538052"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FD21359"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22 ноября 1941 немецкий ас-истребитель Мёльдерс погибает в крушении Хейнкель He 111 в Бреслау во время перелета в качестве пассажира на пути на похороны Удета. Его официальное общее количество сбитых на момент его смерти составляет 115, хотя считается, что он сбил еще 30 советских самолетов, за которые он не получил оценки, совершая несанкционированные боевые полеты в последние месяцы своей карьеры (20794).</w:t>
      </w:r>
    </w:p>
    <w:p w14:paraId="793D0EC7" w14:textId="77777777" w:rsidR="009F466D" w:rsidRPr="00640820" w:rsidRDefault="009F466D" w:rsidP="00640820">
      <w:pPr>
        <w:spacing w:after="0" w:line="240" w:lineRule="auto"/>
        <w:jc w:val="both"/>
        <w:rPr>
          <w:rFonts w:ascii="Times New Roman" w:hAnsi="Times New Roman"/>
          <w:color w:val="0070C0"/>
          <w:sz w:val="16"/>
          <w:szCs w:val="16"/>
        </w:rPr>
      </w:pPr>
    </w:p>
    <w:p w14:paraId="366CD324"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22 ноября 1941 базирующиеся на Мальте британские самолеты атакуют конвой Оси, следовавший из Неаполя в Северную Африку, повредив итальянский легкий крейсер Duca degli Abruzzi  (20794).</w:t>
      </w:r>
    </w:p>
    <w:p w14:paraId="07ECE6D2" w14:textId="77777777" w:rsidR="009F466D" w:rsidRPr="00640820" w:rsidRDefault="009F466D" w:rsidP="00640820">
      <w:pPr>
        <w:spacing w:after="0" w:line="240" w:lineRule="auto"/>
        <w:jc w:val="both"/>
        <w:rPr>
          <w:rFonts w:ascii="Times New Roman" w:hAnsi="Times New Roman"/>
          <w:color w:val="0070C0"/>
          <w:sz w:val="16"/>
          <w:szCs w:val="16"/>
        </w:rPr>
      </w:pPr>
    </w:p>
    <w:p w14:paraId="086EC6F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ноября 1941 англичанами потоплено самое эффективное судно второй мировой войны немецкий эсминец “Атлантис” (4962).</w:t>
      </w:r>
    </w:p>
    <w:p w14:paraId="1CD4EC3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75FF8D" w14:textId="77777777" w:rsidR="005E16BC" w:rsidRPr="00640820" w:rsidRDefault="005E16BC"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22 ноября </w:t>
      </w:r>
      <w:r w:rsidRPr="00640820">
        <w:rPr>
          <w:rFonts w:ascii="Times New Roman" w:hAnsi="Times New Roman"/>
          <w:color w:val="000000" w:themeColor="text1"/>
          <w:sz w:val="16"/>
          <w:szCs w:val="16"/>
        </w:rPr>
        <w:t>в 1941 году вспомогательный крейсер Кригсмарине «Atlantis» уничтожается английским крейсером «Девоншир» (14837).</w:t>
      </w:r>
    </w:p>
    <w:p w14:paraId="5CD97F57" w14:textId="77777777" w:rsidR="005E16BC" w:rsidRPr="00640820" w:rsidRDefault="005E16BC" w:rsidP="00640820">
      <w:pPr>
        <w:spacing w:after="0" w:line="240" w:lineRule="auto"/>
        <w:jc w:val="both"/>
        <w:rPr>
          <w:rFonts w:ascii="Times New Roman" w:hAnsi="Times New Roman"/>
          <w:color w:val="000000" w:themeColor="text1"/>
          <w:sz w:val="16"/>
          <w:szCs w:val="16"/>
        </w:rPr>
      </w:pPr>
    </w:p>
    <w:p w14:paraId="1EF7128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ноября 1941 англичане начали операцию “Крестоносец” (наступление на немецкие войска Роммеля в Северной Африке) (4962).</w:t>
      </w:r>
    </w:p>
    <w:p w14:paraId="078DE04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E15E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ноября 1941 года: военно-хозяйственным управлением верховного командования сухопутных войск Германии была принята инструкция для получения сведений о военном хозяйстве не оккупированных районов СССР. Работа по сбору данных для оценки состояния военной экономики СССР и прогнозирования ее развития названной инструкцией была предельно конкретизирована, круг интересующих вопросов был четко очерчен. В частности, необходимы были сведения о предприятиях: название производства, марка продукции довоенного и военного времени; точное положение; наличие подъездных путей и их схема; виды выпускаемой продукции; проектная производственная мощность; количество и размещение рабочих, количество занятых в производстве женщин и род их занятий; секретные технологии, изобретения и производственные методы, а также сведения о мобилизационном развертывании производства военной продукции: время вступления в силу мобилизационного плана, какими средствами и с какими результатами было увеличено количество выпускаемой продукции; сроки частичного или полного перехода промышленности на производство военной продукции; конкретные трудности, возникшие при реализации мобилизационного плана, сведения о производственных связях: источники и пути доставки сырья, полуфабрикатов и деталей, а также угля и электроэнергии; размер их запасов. Повышенное внимание было уделено качеству технологического оборудования: соотношение современного и устаревшего, иностранного и отечественного станочного парка; сведения о заводах, выпускающих важнейшее технологическое оборудование, оценка качества оборудования на этих заводах по тем же критериям (11550).</w:t>
      </w:r>
    </w:p>
    <w:p w14:paraId="28FDDC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DFFE22E"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4C94B87B"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0762240" w14:textId="77777777" w:rsidR="004673CC" w:rsidRPr="00640820" w:rsidRDefault="004673CC"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По состоянию на 23 ноября 1941, несмотря на то что группа ОКБ-15 выехала с фронта 10 октября, материалы отчета по войско</w:t>
      </w:r>
      <w:r w:rsidRPr="00640820">
        <w:rPr>
          <w:color w:val="000000" w:themeColor="text1"/>
          <w:sz w:val="16"/>
          <w:szCs w:val="16"/>
        </w:rPr>
        <w:softHyphen/>
        <w:t>вым испытаниям пушек Ш-37 на ЛаГГ-3 в Управле</w:t>
      </w:r>
      <w:r w:rsidRPr="00640820">
        <w:rPr>
          <w:color w:val="000000" w:themeColor="text1"/>
          <w:sz w:val="16"/>
          <w:szCs w:val="16"/>
        </w:rPr>
        <w:softHyphen/>
        <w:t>ние опытного строительства ГУ ВВС не поступили, хотя срок по приказу командующего ВВС был установлен не позднее 30 октября. Соответственно, докладывать гене</w:t>
      </w:r>
      <w:r w:rsidRPr="00640820">
        <w:rPr>
          <w:color w:val="000000" w:themeColor="text1"/>
          <w:sz w:val="16"/>
          <w:szCs w:val="16"/>
        </w:rPr>
        <w:softHyphen/>
        <w:t>рал-полковнику Жигареву было нечего.</w:t>
      </w:r>
    </w:p>
    <w:p w14:paraId="4F0CA360" w14:textId="77777777" w:rsidR="004673CC" w:rsidRPr="00640820" w:rsidRDefault="004673CC"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В этой связи заместитель начальника УОС ГУ ВВС военинженер 1-го ранга Матаев просил заместите</w:t>
      </w:r>
      <w:r w:rsidRPr="00640820">
        <w:rPr>
          <w:color w:val="000000" w:themeColor="text1"/>
          <w:sz w:val="16"/>
          <w:szCs w:val="16"/>
        </w:rPr>
        <w:softHyphen/>
        <w:t>ля командующего ВВС КА бригинженера Руденко «ходатайства перед Командующим Военно-Воздуш</w:t>
      </w:r>
      <w:r w:rsidRPr="00640820">
        <w:rPr>
          <w:color w:val="000000" w:themeColor="text1"/>
          <w:sz w:val="16"/>
          <w:szCs w:val="16"/>
        </w:rPr>
        <w:softHyphen/>
        <w:t>ных сил Красной Армии генерал-полковником тов. Жигаревым — о вызове т. Шпитального в Военный Совет ВВС КА для доклада материала о войсковых испытаниях 37-мм пушек на самолетах ЛаГГ-3 /.../ и высылке их в ГУ ВВС КА» (17500).</w:t>
      </w:r>
    </w:p>
    <w:p w14:paraId="32E48793" w14:textId="77777777" w:rsidR="004673CC" w:rsidRPr="00640820" w:rsidRDefault="004673CC" w:rsidP="00640820">
      <w:pPr>
        <w:spacing w:after="0" w:line="240" w:lineRule="auto"/>
        <w:jc w:val="both"/>
        <w:rPr>
          <w:rFonts w:ascii="Times New Roman" w:eastAsia="Times New Roman" w:hAnsi="Times New Roman"/>
          <w:color w:val="000000" w:themeColor="text1"/>
          <w:sz w:val="16"/>
          <w:szCs w:val="16"/>
          <w:lang w:eastAsia="ru-RU"/>
        </w:rPr>
      </w:pPr>
    </w:p>
    <w:p w14:paraId="0431CE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23 ноября 1941 года вышло распоряжение НКАП № 4349, согласно которому в состав завода № 84 был влит завод № 478 4-го гл. управления. Через 80 дней после прекращения выпуска самолетов ПС-84 в г. Химки, с 7 января 1942 года, завод начал выпуск самолетов в Ташкенте (9461).</w:t>
      </w:r>
    </w:p>
    <w:p w14:paraId="05C5EB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4F3C5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ноября 1941 г. вышло ПОСТАНОВЛЕНИЕ № ГКО-951сс</w:t>
      </w:r>
    </w:p>
    <w:p w14:paraId="66E047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Москва, Кремль </w:t>
      </w:r>
    </w:p>
    <w:p w14:paraId="453373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 минометных частях</w:t>
      </w:r>
    </w:p>
    <w:p w14:paraId="61D2EA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 Утвердить следующий график формирований отдельных гвардейских минометных дивизионов на период с 24-го ноября 1941 года по 15 февраля 1942 года: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9" w:type="dxa"/>
          <w:right w:w="39" w:type="dxa"/>
        </w:tblCellMar>
        <w:tblLook w:val="0000" w:firstRow="0" w:lastRow="0" w:firstColumn="0" w:lastColumn="0" w:noHBand="0" w:noVBand="0"/>
      </w:tblPr>
      <w:tblGrid>
        <w:gridCol w:w="2133"/>
        <w:gridCol w:w="207"/>
        <w:gridCol w:w="1973"/>
        <w:gridCol w:w="167"/>
        <w:gridCol w:w="2935"/>
        <w:gridCol w:w="207"/>
        <w:gridCol w:w="1973"/>
      </w:tblGrid>
      <w:tr w:rsidR="00643896" w:rsidRPr="00640820" w14:paraId="2ACF8F06" w14:textId="77777777" w:rsidTr="000D3BCB">
        <w:trPr>
          <w:jc w:val="center"/>
        </w:trPr>
        <w:tc>
          <w:tcPr>
            <w:tcW w:w="2133" w:type="dxa"/>
            <w:tcBorders>
              <w:top w:val="single" w:sz="12" w:space="0" w:color="auto"/>
            </w:tcBorders>
          </w:tcPr>
          <w:p w14:paraId="7383FC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ноября</w:t>
            </w:r>
          </w:p>
        </w:tc>
        <w:tc>
          <w:tcPr>
            <w:tcW w:w="207" w:type="dxa"/>
            <w:tcBorders>
              <w:top w:val="single" w:sz="12" w:space="0" w:color="auto"/>
            </w:tcBorders>
          </w:tcPr>
          <w:p w14:paraId="29812C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973" w:type="dxa"/>
            <w:tcBorders>
              <w:top w:val="single" w:sz="12" w:space="0" w:color="auto"/>
            </w:tcBorders>
          </w:tcPr>
          <w:p w14:paraId="5B887E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дивизион</w:t>
            </w:r>
          </w:p>
        </w:tc>
        <w:tc>
          <w:tcPr>
            <w:tcW w:w="167" w:type="dxa"/>
            <w:tcBorders>
              <w:top w:val="single" w:sz="12" w:space="0" w:color="auto"/>
            </w:tcBorders>
          </w:tcPr>
          <w:p w14:paraId="1E5CAD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2935" w:type="dxa"/>
            <w:tcBorders>
              <w:top w:val="single" w:sz="12" w:space="0" w:color="auto"/>
            </w:tcBorders>
          </w:tcPr>
          <w:p w14:paraId="646ABA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января 1942 г.</w:t>
            </w:r>
          </w:p>
        </w:tc>
        <w:tc>
          <w:tcPr>
            <w:tcW w:w="207" w:type="dxa"/>
            <w:tcBorders>
              <w:top w:val="single" w:sz="12" w:space="0" w:color="auto"/>
            </w:tcBorders>
          </w:tcPr>
          <w:p w14:paraId="6D8984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973" w:type="dxa"/>
            <w:tcBorders>
              <w:top w:val="single" w:sz="12" w:space="0" w:color="auto"/>
            </w:tcBorders>
          </w:tcPr>
          <w:p w14:paraId="4FBD43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дивизионов</w:t>
            </w:r>
          </w:p>
        </w:tc>
      </w:tr>
      <w:tr w:rsidR="00643896" w:rsidRPr="00640820" w14:paraId="272A27A0" w14:textId="77777777" w:rsidTr="000D3BCB">
        <w:trPr>
          <w:jc w:val="center"/>
        </w:trPr>
        <w:tc>
          <w:tcPr>
            <w:tcW w:w="2133" w:type="dxa"/>
          </w:tcPr>
          <w:p w14:paraId="77AEB3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ноября</w:t>
            </w:r>
          </w:p>
        </w:tc>
        <w:tc>
          <w:tcPr>
            <w:tcW w:w="207" w:type="dxa"/>
          </w:tcPr>
          <w:p w14:paraId="0424F7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973" w:type="dxa"/>
          </w:tcPr>
          <w:p w14:paraId="1944DE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дивизион</w:t>
            </w:r>
          </w:p>
        </w:tc>
        <w:tc>
          <w:tcPr>
            <w:tcW w:w="167" w:type="dxa"/>
          </w:tcPr>
          <w:p w14:paraId="021213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2935" w:type="dxa"/>
          </w:tcPr>
          <w:p w14:paraId="0A8617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6-10 января</w:t>
            </w:r>
          </w:p>
        </w:tc>
        <w:tc>
          <w:tcPr>
            <w:tcW w:w="207" w:type="dxa"/>
          </w:tcPr>
          <w:p w14:paraId="5540FB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973" w:type="dxa"/>
          </w:tcPr>
          <w:p w14:paraId="38F842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дивизионов</w:t>
            </w:r>
          </w:p>
        </w:tc>
      </w:tr>
      <w:tr w:rsidR="00643896" w:rsidRPr="00640820" w14:paraId="73EFF632" w14:textId="77777777" w:rsidTr="000D3BCB">
        <w:trPr>
          <w:jc w:val="center"/>
        </w:trPr>
        <w:tc>
          <w:tcPr>
            <w:tcW w:w="2133" w:type="dxa"/>
          </w:tcPr>
          <w:p w14:paraId="173EEA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ноября</w:t>
            </w:r>
          </w:p>
        </w:tc>
        <w:tc>
          <w:tcPr>
            <w:tcW w:w="207" w:type="dxa"/>
          </w:tcPr>
          <w:p w14:paraId="63C89D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973" w:type="dxa"/>
          </w:tcPr>
          <w:p w14:paraId="225FA7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дивизион</w:t>
            </w:r>
          </w:p>
        </w:tc>
        <w:tc>
          <w:tcPr>
            <w:tcW w:w="167" w:type="dxa"/>
          </w:tcPr>
          <w:p w14:paraId="4A9688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2935" w:type="dxa"/>
          </w:tcPr>
          <w:p w14:paraId="0BF737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11-15 января</w:t>
            </w:r>
          </w:p>
        </w:tc>
        <w:tc>
          <w:tcPr>
            <w:tcW w:w="207" w:type="dxa"/>
          </w:tcPr>
          <w:p w14:paraId="26259B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973" w:type="dxa"/>
          </w:tcPr>
          <w:p w14:paraId="0BD135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дивизионов</w:t>
            </w:r>
          </w:p>
        </w:tc>
      </w:tr>
      <w:tr w:rsidR="00643896" w:rsidRPr="00640820" w14:paraId="46F29EF5" w14:textId="77777777" w:rsidTr="000D3BCB">
        <w:trPr>
          <w:jc w:val="center"/>
        </w:trPr>
        <w:tc>
          <w:tcPr>
            <w:tcW w:w="2133" w:type="dxa"/>
          </w:tcPr>
          <w:p w14:paraId="57C4D9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ноября</w:t>
            </w:r>
          </w:p>
        </w:tc>
        <w:tc>
          <w:tcPr>
            <w:tcW w:w="207" w:type="dxa"/>
          </w:tcPr>
          <w:p w14:paraId="35E238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973" w:type="dxa"/>
          </w:tcPr>
          <w:p w14:paraId="42987E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дивизиона</w:t>
            </w:r>
          </w:p>
        </w:tc>
        <w:tc>
          <w:tcPr>
            <w:tcW w:w="167" w:type="dxa"/>
          </w:tcPr>
          <w:p w14:paraId="6F3A02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2935" w:type="dxa"/>
          </w:tcPr>
          <w:p w14:paraId="1F7897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16-20 января</w:t>
            </w:r>
          </w:p>
        </w:tc>
        <w:tc>
          <w:tcPr>
            <w:tcW w:w="207" w:type="dxa"/>
          </w:tcPr>
          <w:p w14:paraId="7059DA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973" w:type="dxa"/>
          </w:tcPr>
          <w:p w14:paraId="4218A8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дивизионов</w:t>
            </w:r>
          </w:p>
        </w:tc>
      </w:tr>
      <w:tr w:rsidR="00643896" w:rsidRPr="00640820" w14:paraId="66AC2E8F" w14:textId="77777777" w:rsidTr="000D3BCB">
        <w:trPr>
          <w:jc w:val="center"/>
        </w:trPr>
        <w:tc>
          <w:tcPr>
            <w:tcW w:w="2133" w:type="dxa"/>
          </w:tcPr>
          <w:p w14:paraId="64C900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декабря</w:t>
            </w:r>
          </w:p>
        </w:tc>
        <w:tc>
          <w:tcPr>
            <w:tcW w:w="207" w:type="dxa"/>
          </w:tcPr>
          <w:p w14:paraId="0E1F9D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973" w:type="dxa"/>
          </w:tcPr>
          <w:p w14:paraId="6DF25C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дивизиона</w:t>
            </w:r>
          </w:p>
        </w:tc>
        <w:tc>
          <w:tcPr>
            <w:tcW w:w="167" w:type="dxa"/>
          </w:tcPr>
          <w:p w14:paraId="05D697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2935" w:type="dxa"/>
          </w:tcPr>
          <w:p w14:paraId="148194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21-25 января</w:t>
            </w:r>
          </w:p>
        </w:tc>
        <w:tc>
          <w:tcPr>
            <w:tcW w:w="207" w:type="dxa"/>
          </w:tcPr>
          <w:p w14:paraId="4A3D2B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973" w:type="dxa"/>
          </w:tcPr>
          <w:p w14:paraId="27CC60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дивизионов</w:t>
            </w:r>
          </w:p>
        </w:tc>
      </w:tr>
      <w:tr w:rsidR="00643896" w:rsidRPr="00640820" w14:paraId="7C193FC3" w14:textId="77777777" w:rsidTr="000D3BCB">
        <w:trPr>
          <w:jc w:val="center"/>
        </w:trPr>
        <w:tc>
          <w:tcPr>
            <w:tcW w:w="2133" w:type="dxa"/>
          </w:tcPr>
          <w:p w14:paraId="768319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6-10 декабря</w:t>
            </w:r>
          </w:p>
        </w:tc>
        <w:tc>
          <w:tcPr>
            <w:tcW w:w="207" w:type="dxa"/>
          </w:tcPr>
          <w:p w14:paraId="1E87CF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973" w:type="dxa"/>
          </w:tcPr>
          <w:p w14:paraId="5B2D79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дивизиона</w:t>
            </w:r>
          </w:p>
        </w:tc>
        <w:tc>
          <w:tcPr>
            <w:tcW w:w="167" w:type="dxa"/>
          </w:tcPr>
          <w:p w14:paraId="7A9B8C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2935" w:type="dxa"/>
          </w:tcPr>
          <w:p w14:paraId="3C6AED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26-31 января</w:t>
            </w:r>
          </w:p>
        </w:tc>
        <w:tc>
          <w:tcPr>
            <w:tcW w:w="207" w:type="dxa"/>
          </w:tcPr>
          <w:p w14:paraId="6D1826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973" w:type="dxa"/>
          </w:tcPr>
          <w:p w14:paraId="5282B9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дивизионов</w:t>
            </w:r>
          </w:p>
        </w:tc>
      </w:tr>
      <w:tr w:rsidR="00643896" w:rsidRPr="00640820" w14:paraId="4DFBA4C7" w14:textId="77777777" w:rsidTr="000D3BCB">
        <w:trPr>
          <w:jc w:val="center"/>
        </w:trPr>
        <w:tc>
          <w:tcPr>
            <w:tcW w:w="2133" w:type="dxa"/>
          </w:tcPr>
          <w:p w14:paraId="6FB024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11-15 декабря</w:t>
            </w:r>
          </w:p>
        </w:tc>
        <w:tc>
          <w:tcPr>
            <w:tcW w:w="207" w:type="dxa"/>
          </w:tcPr>
          <w:p w14:paraId="5386B4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973" w:type="dxa"/>
          </w:tcPr>
          <w:p w14:paraId="71C4A9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дивизионов</w:t>
            </w:r>
          </w:p>
        </w:tc>
        <w:tc>
          <w:tcPr>
            <w:tcW w:w="167" w:type="dxa"/>
          </w:tcPr>
          <w:p w14:paraId="20A05B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2935" w:type="dxa"/>
          </w:tcPr>
          <w:p w14:paraId="42E6C8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февраля</w:t>
            </w:r>
          </w:p>
        </w:tc>
        <w:tc>
          <w:tcPr>
            <w:tcW w:w="207" w:type="dxa"/>
          </w:tcPr>
          <w:p w14:paraId="2A94D7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973" w:type="dxa"/>
          </w:tcPr>
          <w:p w14:paraId="2B2538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дивизионов</w:t>
            </w:r>
          </w:p>
        </w:tc>
      </w:tr>
      <w:tr w:rsidR="00643896" w:rsidRPr="00640820" w14:paraId="5846180B" w14:textId="77777777" w:rsidTr="000D3BCB">
        <w:trPr>
          <w:jc w:val="center"/>
        </w:trPr>
        <w:tc>
          <w:tcPr>
            <w:tcW w:w="2133" w:type="dxa"/>
          </w:tcPr>
          <w:p w14:paraId="49ED4A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16-20 декабря</w:t>
            </w:r>
          </w:p>
        </w:tc>
        <w:tc>
          <w:tcPr>
            <w:tcW w:w="207" w:type="dxa"/>
          </w:tcPr>
          <w:p w14:paraId="2F3D98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973" w:type="dxa"/>
          </w:tcPr>
          <w:p w14:paraId="69219B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дивизионов</w:t>
            </w:r>
          </w:p>
        </w:tc>
        <w:tc>
          <w:tcPr>
            <w:tcW w:w="167" w:type="dxa"/>
          </w:tcPr>
          <w:p w14:paraId="494967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2935" w:type="dxa"/>
          </w:tcPr>
          <w:p w14:paraId="200265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6-10 февраля</w:t>
            </w:r>
          </w:p>
        </w:tc>
        <w:tc>
          <w:tcPr>
            <w:tcW w:w="207" w:type="dxa"/>
          </w:tcPr>
          <w:p w14:paraId="16EFCC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973" w:type="dxa"/>
          </w:tcPr>
          <w:p w14:paraId="0876FF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дивизионов</w:t>
            </w:r>
          </w:p>
        </w:tc>
      </w:tr>
      <w:tr w:rsidR="00643896" w:rsidRPr="00640820" w14:paraId="7BAD0229" w14:textId="77777777" w:rsidTr="000D3BCB">
        <w:trPr>
          <w:jc w:val="center"/>
        </w:trPr>
        <w:tc>
          <w:tcPr>
            <w:tcW w:w="2133" w:type="dxa"/>
          </w:tcPr>
          <w:p w14:paraId="141547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21-25 декабря</w:t>
            </w:r>
          </w:p>
        </w:tc>
        <w:tc>
          <w:tcPr>
            <w:tcW w:w="207" w:type="dxa"/>
          </w:tcPr>
          <w:p w14:paraId="0F5644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973" w:type="dxa"/>
          </w:tcPr>
          <w:p w14:paraId="7B7CC3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дивизионов</w:t>
            </w:r>
          </w:p>
        </w:tc>
        <w:tc>
          <w:tcPr>
            <w:tcW w:w="167" w:type="dxa"/>
          </w:tcPr>
          <w:p w14:paraId="7C686C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2935" w:type="dxa"/>
          </w:tcPr>
          <w:p w14:paraId="4D099D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11-15 февраля</w:t>
            </w:r>
          </w:p>
        </w:tc>
        <w:tc>
          <w:tcPr>
            <w:tcW w:w="207" w:type="dxa"/>
          </w:tcPr>
          <w:p w14:paraId="04F31F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973" w:type="dxa"/>
          </w:tcPr>
          <w:p w14:paraId="7DFD5B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дивизионов</w:t>
            </w:r>
          </w:p>
        </w:tc>
      </w:tr>
      <w:tr w:rsidR="00643896" w:rsidRPr="00640820" w14:paraId="169F819D" w14:textId="77777777" w:rsidTr="000D3BCB">
        <w:trPr>
          <w:jc w:val="center"/>
        </w:trPr>
        <w:tc>
          <w:tcPr>
            <w:tcW w:w="2133" w:type="dxa"/>
            <w:tcBorders>
              <w:bottom w:val="single" w:sz="12" w:space="0" w:color="auto"/>
            </w:tcBorders>
          </w:tcPr>
          <w:p w14:paraId="3738E1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26-31 декабря</w:t>
            </w:r>
          </w:p>
        </w:tc>
        <w:tc>
          <w:tcPr>
            <w:tcW w:w="207" w:type="dxa"/>
            <w:tcBorders>
              <w:bottom w:val="single" w:sz="12" w:space="0" w:color="auto"/>
            </w:tcBorders>
          </w:tcPr>
          <w:p w14:paraId="1C1E50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973" w:type="dxa"/>
            <w:tcBorders>
              <w:bottom w:val="single" w:sz="12" w:space="0" w:color="auto"/>
            </w:tcBorders>
          </w:tcPr>
          <w:p w14:paraId="5201CD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дивизионов</w:t>
            </w:r>
          </w:p>
        </w:tc>
        <w:tc>
          <w:tcPr>
            <w:tcW w:w="167" w:type="dxa"/>
            <w:tcBorders>
              <w:bottom w:val="single" w:sz="12" w:space="0" w:color="auto"/>
            </w:tcBorders>
          </w:tcPr>
          <w:p w14:paraId="2A36AE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2935" w:type="dxa"/>
            <w:tcBorders>
              <w:bottom w:val="single" w:sz="12" w:space="0" w:color="auto"/>
            </w:tcBorders>
          </w:tcPr>
          <w:p w14:paraId="0EC7B0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207" w:type="dxa"/>
            <w:tcBorders>
              <w:bottom w:val="single" w:sz="12" w:space="0" w:color="auto"/>
            </w:tcBorders>
          </w:tcPr>
          <w:p w14:paraId="1DDA7E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973" w:type="dxa"/>
            <w:tcBorders>
              <w:bottom w:val="single" w:sz="12" w:space="0" w:color="auto"/>
            </w:tcBorders>
          </w:tcPr>
          <w:p w14:paraId="6223E8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bl>
    <w:p w14:paraId="003C2E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Утвердить следующий график производства и сдачи установок М-8 и М-13 на период с 1 декабря 1941 года по 15 февраля 1942 года:</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4" w:type="dxa"/>
          <w:right w:w="24" w:type="dxa"/>
        </w:tblCellMar>
        <w:tblLook w:val="0000" w:firstRow="0" w:lastRow="0" w:firstColumn="0" w:lastColumn="0" w:noHBand="0" w:noVBand="0"/>
      </w:tblPr>
      <w:tblGrid>
        <w:gridCol w:w="3952"/>
        <w:gridCol w:w="1472"/>
        <w:gridCol w:w="430"/>
        <w:gridCol w:w="538"/>
        <w:gridCol w:w="538"/>
        <w:gridCol w:w="430"/>
        <w:gridCol w:w="538"/>
        <w:gridCol w:w="538"/>
        <w:gridCol w:w="1148"/>
      </w:tblGrid>
      <w:tr w:rsidR="00643896" w:rsidRPr="00640820" w14:paraId="0D92C4E6" w14:textId="77777777" w:rsidTr="000D3BCB">
        <w:trPr>
          <w:jc w:val="center"/>
        </w:trPr>
        <w:tc>
          <w:tcPr>
            <w:tcW w:w="3952" w:type="dxa"/>
            <w:tcBorders>
              <w:top w:val="single" w:sz="12" w:space="0" w:color="auto"/>
            </w:tcBorders>
          </w:tcPr>
          <w:p w14:paraId="1FDCC6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472" w:type="dxa"/>
            <w:tcBorders>
              <w:top w:val="single" w:sz="12" w:space="0" w:color="auto"/>
            </w:tcBorders>
          </w:tcPr>
          <w:p w14:paraId="73A65D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Тип установки</w:t>
            </w:r>
          </w:p>
        </w:tc>
        <w:tc>
          <w:tcPr>
            <w:tcW w:w="430" w:type="dxa"/>
            <w:gridSpan w:val="3"/>
            <w:tcBorders>
              <w:top w:val="single" w:sz="12" w:space="0" w:color="auto"/>
            </w:tcBorders>
          </w:tcPr>
          <w:p w14:paraId="506686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Декабрь</w:t>
            </w:r>
          </w:p>
        </w:tc>
        <w:tc>
          <w:tcPr>
            <w:tcW w:w="430" w:type="dxa"/>
            <w:gridSpan w:val="3"/>
            <w:tcBorders>
              <w:top w:val="single" w:sz="12" w:space="0" w:color="auto"/>
            </w:tcBorders>
          </w:tcPr>
          <w:p w14:paraId="0846C0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Январь</w:t>
            </w:r>
          </w:p>
        </w:tc>
        <w:tc>
          <w:tcPr>
            <w:tcW w:w="1148" w:type="dxa"/>
            <w:tcBorders>
              <w:top w:val="single" w:sz="12" w:space="0" w:color="auto"/>
            </w:tcBorders>
          </w:tcPr>
          <w:p w14:paraId="1D5980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1-15 февр.</w:t>
            </w:r>
          </w:p>
        </w:tc>
      </w:tr>
      <w:tr w:rsidR="00643896" w:rsidRPr="00640820" w14:paraId="2098ABDC" w14:textId="77777777" w:rsidTr="000D3BCB">
        <w:trPr>
          <w:jc w:val="center"/>
        </w:trPr>
        <w:tc>
          <w:tcPr>
            <w:tcW w:w="3952" w:type="dxa"/>
          </w:tcPr>
          <w:p w14:paraId="529872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72" w:type="dxa"/>
          </w:tcPr>
          <w:p w14:paraId="3D6546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430" w:type="dxa"/>
          </w:tcPr>
          <w:p w14:paraId="714860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1-10</w:t>
            </w:r>
          </w:p>
        </w:tc>
        <w:tc>
          <w:tcPr>
            <w:tcW w:w="538" w:type="dxa"/>
          </w:tcPr>
          <w:p w14:paraId="0099DA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11-20</w:t>
            </w:r>
          </w:p>
        </w:tc>
        <w:tc>
          <w:tcPr>
            <w:tcW w:w="538" w:type="dxa"/>
          </w:tcPr>
          <w:p w14:paraId="296E52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21-31</w:t>
            </w:r>
          </w:p>
        </w:tc>
        <w:tc>
          <w:tcPr>
            <w:tcW w:w="430" w:type="dxa"/>
          </w:tcPr>
          <w:p w14:paraId="0851DA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1-10</w:t>
            </w:r>
          </w:p>
        </w:tc>
        <w:tc>
          <w:tcPr>
            <w:tcW w:w="538" w:type="dxa"/>
          </w:tcPr>
          <w:p w14:paraId="472E2D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11-20</w:t>
            </w:r>
          </w:p>
        </w:tc>
        <w:tc>
          <w:tcPr>
            <w:tcW w:w="538" w:type="dxa"/>
          </w:tcPr>
          <w:p w14:paraId="518596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21-31</w:t>
            </w:r>
          </w:p>
        </w:tc>
        <w:tc>
          <w:tcPr>
            <w:tcW w:w="1148" w:type="dxa"/>
          </w:tcPr>
          <w:p w14:paraId="0CF150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52483DA" w14:textId="77777777" w:rsidTr="000D3BCB">
        <w:trPr>
          <w:jc w:val="center"/>
        </w:trPr>
        <w:tc>
          <w:tcPr>
            <w:tcW w:w="3952" w:type="dxa"/>
          </w:tcPr>
          <w:p w14:paraId="1C05E6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З-д фрезерных станков (г. Горький)</w:t>
            </w:r>
          </w:p>
        </w:tc>
        <w:tc>
          <w:tcPr>
            <w:tcW w:w="1472" w:type="dxa"/>
          </w:tcPr>
          <w:p w14:paraId="29572D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М-8</w:t>
            </w:r>
          </w:p>
        </w:tc>
        <w:tc>
          <w:tcPr>
            <w:tcW w:w="430" w:type="dxa"/>
          </w:tcPr>
          <w:p w14:paraId="106666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w:t>
            </w:r>
          </w:p>
        </w:tc>
        <w:tc>
          <w:tcPr>
            <w:tcW w:w="538" w:type="dxa"/>
          </w:tcPr>
          <w:p w14:paraId="437B7A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w:t>
            </w:r>
          </w:p>
        </w:tc>
        <w:tc>
          <w:tcPr>
            <w:tcW w:w="538" w:type="dxa"/>
          </w:tcPr>
          <w:p w14:paraId="731405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w:t>
            </w:r>
          </w:p>
        </w:tc>
        <w:tc>
          <w:tcPr>
            <w:tcW w:w="430" w:type="dxa"/>
          </w:tcPr>
          <w:p w14:paraId="6215AD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w:t>
            </w:r>
          </w:p>
        </w:tc>
        <w:tc>
          <w:tcPr>
            <w:tcW w:w="538" w:type="dxa"/>
          </w:tcPr>
          <w:p w14:paraId="74BDA5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w:t>
            </w:r>
          </w:p>
        </w:tc>
        <w:tc>
          <w:tcPr>
            <w:tcW w:w="538" w:type="dxa"/>
          </w:tcPr>
          <w:p w14:paraId="2A7A62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w:t>
            </w:r>
          </w:p>
        </w:tc>
        <w:tc>
          <w:tcPr>
            <w:tcW w:w="1148" w:type="dxa"/>
          </w:tcPr>
          <w:p w14:paraId="3418C4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w:t>
            </w:r>
          </w:p>
        </w:tc>
      </w:tr>
      <w:tr w:rsidR="00643896" w:rsidRPr="00640820" w14:paraId="7726656F" w14:textId="77777777" w:rsidTr="000D3BCB">
        <w:trPr>
          <w:jc w:val="center"/>
        </w:trPr>
        <w:tc>
          <w:tcPr>
            <w:tcW w:w="3952" w:type="dxa"/>
          </w:tcPr>
          <w:p w14:paraId="54E317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Механический завод (г. Пенза)</w:t>
            </w:r>
          </w:p>
        </w:tc>
        <w:tc>
          <w:tcPr>
            <w:tcW w:w="1472" w:type="dxa"/>
          </w:tcPr>
          <w:p w14:paraId="26F99F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М-8</w:t>
            </w:r>
          </w:p>
        </w:tc>
        <w:tc>
          <w:tcPr>
            <w:tcW w:w="430" w:type="dxa"/>
          </w:tcPr>
          <w:p w14:paraId="5167E8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538" w:type="dxa"/>
          </w:tcPr>
          <w:p w14:paraId="1A4222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538" w:type="dxa"/>
          </w:tcPr>
          <w:p w14:paraId="762E4A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430" w:type="dxa"/>
          </w:tcPr>
          <w:p w14:paraId="68F445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538" w:type="dxa"/>
          </w:tcPr>
          <w:p w14:paraId="7E1B8A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538" w:type="dxa"/>
          </w:tcPr>
          <w:p w14:paraId="01ADAC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1148" w:type="dxa"/>
          </w:tcPr>
          <w:p w14:paraId="7EB4BF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r>
      <w:tr w:rsidR="00643896" w:rsidRPr="00640820" w14:paraId="77961035" w14:textId="77777777" w:rsidTr="000D3BCB">
        <w:trPr>
          <w:jc w:val="center"/>
        </w:trPr>
        <w:tc>
          <w:tcPr>
            <w:tcW w:w="3952" w:type="dxa"/>
          </w:tcPr>
          <w:p w14:paraId="170E4D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З-д "Красный Октябрь", г. Сталинград</w:t>
            </w:r>
          </w:p>
        </w:tc>
        <w:tc>
          <w:tcPr>
            <w:tcW w:w="1472" w:type="dxa"/>
          </w:tcPr>
          <w:p w14:paraId="1AD27D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М-13</w:t>
            </w:r>
          </w:p>
        </w:tc>
        <w:tc>
          <w:tcPr>
            <w:tcW w:w="430" w:type="dxa"/>
          </w:tcPr>
          <w:p w14:paraId="182010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538" w:type="dxa"/>
          </w:tcPr>
          <w:p w14:paraId="213290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538" w:type="dxa"/>
          </w:tcPr>
          <w:p w14:paraId="2BCFDF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430" w:type="dxa"/>
          </w:tcPr>
          <w:p w14:paraId="60C9ED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538" w:type="dxa"/>
          </w:tcPr>
          <w:p w14:paraId="3DA097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538" w:type="dxa"/>
          </w:tcPr>
          <w:p w14:paraId="54F074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1148" w:type="dxa"/>
          </w:tcPr>
          <w:p w14:paraId="27AB74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r>
      <w:tr w:rsidR="00643896" w:rsidRPr="00640820" w14:paraId="0800B045" w14:textId="77777777" w:rsidTr="000D3BCB">
        <w:trPr>
          <w:jc w:val="center"/>
        </w:trPr>
        <w:tc>
          <w:tcPr>
            <w:tcW w:w="3952" w:type="dxa"/>
          </w:tcPr>
          <w:p w14:paraId="52F8C4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Коломенский завод (г. Киров)</w:t>
            </w:r>
          </w:p>
        </w:tc>
        <w:tc>
          <w:tcPr>
            <w:tcW w:w="1472" w:type="dxa"/>
          </w:tcPr>
          <w:p w14:paraId="2C8CD2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М-13</w:t>
            </w:r>
          </w:p>
        </w:tc>
        <w:tc>
          <w:tcPr>
            <w:tcW w:w="430" w:type="dxa"/>
          </w:tcPr>
          <w:p w14:paraId="317020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538" w:type="dxa"/>
          </w:tcPr>
          <w:p w14:paraId="35A302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538" w:type="dxa"/>
          </w:tcPr>
          <w:p w14:paraId="499F72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430" w:type="dxa"/>
          </w:tcPr>
          <w:p w14:paraId="0506A5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538" w:type="dxa"/>
          </w:tcPr>
          <w:p w14:paraId="6B15C2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538" w:type="dxa"/>
          </w:tcPr>
          <w:p w14:paraId="3CCF25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1148" w:type="dxa"/>
          </w:tcPr>
          <w:p w14:paraId="71D15D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r>
      <w:tr w:rsidR="00643896" w:rsidRPr="00640820" w14:paraId="7325AE9B" w14:textId="77777777" w:rsidTr="000D3BCB">
        <w:trPr>
          <w:jc w:val="center"/>
        </w:trPr>
        <w:tc>
          <w:tcPr>
            <w:tcW w:w="3952" w:type="dxa"/>
          </w:tcPr>
          <w:p w14:paraId="1D76F9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З-д "Компрессор" (г. Москва)</w:t>
            </w:r>
          </w:p>
          <w:p w14:paraId="785F79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кооперации с Московскими з-дами)</w:t>
            </w:r>
          </w:p>
        </w:tc>
        <w:tc>
          <w:tcPr>
            <w:tcW w:w="1472" w:type="dxa"/>
          </w:tcPr>
          <w:p w14:paraId="01B993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М-13</w:t>
            </w:r>
          </w:p>
        </w:tc>
        <w:tc>
          <w:tcPr>
            <w:tcW w:w="430" w:type="dxa"/>
          </w:tcPr>
          <w:p w14:paraId="476B36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538" w:type="dxa"/>
          </w:tcPr>
          <w:p w14:paraId="7720EC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538" w:type="dxa"/>
          </w:tcPr>
          <w:p w14:paraId="450E65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430" w:type="dxa"/>
          </w:tcPr>
          <w:p w14:paraId="545237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538" w:type="dxa"/>
          </w:tcPr>
          <w:p w14:paraId="711DCB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538" w:type="dxa"/>
          </w:tcPr>
          <w:p w14:paraId="1F26B4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1148" w:type="dxa"/>
          </w:tcPr>
          <w:p w14:paraId="2AE375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r>
      <w:tr w:rsidR="00643896" w:rsidRPr="00640820" w14:paraId="025A9E8F" w14:textId="77777777" w:rsidTr="000D3BCB">
        <w:trPr>
          <w:jc w:val="center"/>
        </w:trPr>
        <w:tc>
          <w:tcPr>
            <w:tcW w:w="3952" w:type="dxa"/>
          </w:tcPr>
          <w:p w14:paraId="07A864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Крюковский завод (г. Молотов)</w:t>
            </w:r>
          </w:p>
        </w:tc>
        <w:tc>
          <w:tcPr>
            <w:tcW w:w="1472" w:type="dxa"/>
          </w:tcPr>
          <w:p w14:paraId="6230B7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М-8</w:t>
            </w:r>
          </w:p>
        </w:tc>
        <w:tc>
          <w:tcPr>
            <w:tcW w:w="430" w:type="dxa"/>
          </w:tcPr>
          <w:p w14:paraId="01FCF3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538" w:type="dxa"/>
          </w:tcPr>
          <w:p w14:paraId="601C50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538" w:type="dxa"/>
          </w:tcPr>
          <w:p w14:paraId="3945F1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430" w:type="dxa"/>
          </w:tcPr>
          <w:p w14:paraId="4B467B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538" w:type="dxa"/>
          </w:tcPr>
          <w:p w14:paraId="69F318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538" w:type="dxa"/>
          </w:tcPr>
          <w:p w14:paraId="2DF231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1148" w:type="dxa"/>
          </w:tcPr>
          <w:p w14:paraId="3F6AE1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r>
      <w:tr w:rsidR="00643896" w:rsidRPr="00640820" w14:paraId="3140F081" w14:textId="77777777" w:rsidTr="000D3BCB">
        <w:trPr>
          <w:jc w:val="center"/>
        </w:trPr>
        <w:tc>
          <w:tcPr>
            <w:tcW w:w="3952" w:type="dxa"/>
          </w:tcPr>
          <w:p w14:paraId="698195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НИИ-45 (г. Казань)</w:t>
            </w:r>
          </w:p>
        </w:tc>
        <w:tc>
          <w:tcPr>
            <w:tcW w:w="1472" w:type="dxa"/>
          </w:tcPr>
          <w:p w14:paraId="2B4BDA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М-8</w:t>
            </w:r>
          </w:p>
        </w:tc>
        <w:tc>
          <w:tcPr>
            <w:tcW w:w="430" w:type="dxa"/>
          </w:tcPr>
          <w:p w14:paraId="17FF61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538" w:type="dxa"/>
          </w:tcPr>
          <w:p w14:paraId="3B3DC6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538" w:type="dxa"/>
          </w:tcPr>
          <w:p w14:paraId="4BFE30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430" w:type="dxa"/>
          </w:tcPr>
          <w:p w14:paraId="71A12B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538" w:type="dxa"/>
          </w:tcPr>
          <w:p w14:paraId="4F18B4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538" w:type="dxa"/>
          </w:tcPr>
          <w:p w14:paraId="01E0CC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1148" w:type="dxa"/>
          </w:tcPr>
          <w:p w14:paraId="28110D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r>
      <w:tr w:rsidR="00643896" w:rsidRPr="00640820" w14:paraId="25AEB9BB" w14:textId="77777777" w:rsidTr="000D3BCB">
        <w:trPr>
          <w:jc w:val="center"/>
        </w:trPr>
        <w:tc>
          <w:tcPr>
            <w:tcW w:w="3952" w:type="dxa"/>
          </w:tcPr>
          <w:p w14:paraId="235744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З-д им. Колющенко (г. Челябинск)</w:t>
            </w:r>
          </w:p>
        </w:tc>
        <w:tc>
          <w:tcPr>
            <w:tcW w:w="1472" w:type="dxa"/>
          </w:tcPr>
          <w:p w14:paraId="65D99F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М-13</w:t>
            </w:r>
          </w:p>
        </w:tc>
        <w:tc>
          <w:tcPr>
            <w:tcW w:w="430" w:type="dxa"/>
          </w:tcPr>
          <w:p w14:paraId="68B98B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538" w:type="dxa"/>
          </w:tcPr>
          <w:p w14:paraId="311B2C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538" w:type="dxa"/>
          </w:tcPr>
          <w:p w14:paraId="7A978C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430" w:type="dxa"/>
          </w:tcPr>
          <w:p w14:paraId="22EDC6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c>
          <w:tcPr>
            <w:tcW w:w="538" w:type="dxa"/>
          </w:tcPr>
          <w:p w14:paraId="16F650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c>
          <w:tcPr>
            <w:tcW w:w="538" w:type="dxa"/>
          </w:tcPr>
          <w:p w14:paraId="028DC5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c>
          <w:tcPr>
            <w:tcW w:w="1148" w:type="dxa"/>
          </w:tcPr>
          <w:p w14:paraId="13D677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w:t>
            </w:r>
          </w:p>
        </w:tc>
      </w:tr>
      <w:tr w:rsidR="00643896" w:rsidRPr="00640820" w14:paraId="3AC89E68" w14:textId="77777777" w:rsidTr="000D3BCB">
        <w:trPr>
          <w:jc w:val="center"/>
        </w:trPr>
        <w:tc>
          <w:tcPr>
            <w:tcW w:w="3952" w:type="dxa"/>
          </w:tcPr>
          <w:p w14:paraId="3B17FE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Сысертский завод (Свердловск)</w:t>
            </w:r>
          </w:p>
        </w:tc>
        <w:tc>
          <w:tcPr>
            <w:tcW w:w="1472" w:type="dxa"/>
          </w:tcPr>
          <w:p w14:paraId="228088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М-13</w:t>
            </w:r>
          </w:p>
        </w:tc>
        <w:tc>
          <w:tcPr>
            <w:tcW w:w="430" w:type="dxa"/>
          </w:tcPr>
          <w:p w14:paraId="380289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c>
          <w:tcPr>
            <w:tcW w:w="538" w:type="dxa"/>
          </w:tcPr>
          <w:p w14:paraId="545806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538" w:type="dxa"/>
          </w:tcPr>
          <w:p w14:paraId="4FFBB4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430" w:type="dxa"/>
          </w:tcPr>
          <w:p w14:paraId="063FED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538" w:type="dxa"/>
          </w:tcPr>
          <w:p w14:paraId="5D8601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538" w:type="dxa"/>
          </w:tcPr>
          <w:p w14:paraId="78E4A9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1148" w:type="dxa"/>
          </w:tcPr>
          <w:p w14:paraId="7752B3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r>
      <w:tr w:rsidR="00643896" w:rsidRPr="00640820" w14:paraId="01943725" w14:textId="77777777" w:rsidTr="000D3BCB">
        <w:trPr>
          <w:jc w:val="center"/>
        </w:trPr>
        <w:tc>
          <w:tcPr>
            <w:tcW w:w="3952" w:type="dxa"/>
            <w:gridSpan w:val="2"/>
            <w:tcBorders>
              <w:bottom w:val="single" w:sz="12" w:space="0" w:color="auto"/>
            </w:tcBorders>
          </w:tcPr>
          <w:p w14:paraId="3D71DB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Итого:</w:t>
            </w:r>
          </w:p>
        </w:tc>
        <w:tc>
          <w:tcPr>
            <w:tcW w:w="430" w:type="dxa"/>
            <w:tcBorders>
              <w:bottom w:val="single" w:sz="12" w:space="0" w:color="auto"/>
            </w:tcBorders>
          </w:tcPr>
          <w:p w14:paraId="53EBFD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95</w:t>
            </w:r>
          </w:p>
        </w:tc>
        <w:tc>
          <w:tcPr>
            <w:tcW w:w="538" w:type="dxa"/>
            <w:tcBorders>
              <w:bottom w:val="single" w:sz="12" w:space="0" w:color="auto"/>
            </w:tcBorders>
          </w:tcPr>
          <w:p w14:paraId="1F5A71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135</w:t>
            </w:r>
          </w:p>
        </w:tc>
        <w:tc>
          <w:tcPr>
            <w:tcW w:w="538" w:type="dxa"/>
            <w:tcBorders>
              <w:bottom w:val="single" w:sz="12" w:space="0" w:color="auto"/>
            </w:tcBorders>
          </w:tcPr>
          <w:p w14:paraId="6BCE2E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170</w:t>
            </w:r>
          </w:p>
        </w:tc>
        <w:tc>
          <w:tcPr>
            <w:tcW w:w="430" w:type="dxa"/>
            <w:tcBorders>
              <w:bottom w:val="single" w:sz="12" w:space="0" w:color="auto"/>
            </w:tcBorders>
          </w:tcPr>
          <w:p w14:paraId="5FD341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190</w:t>
            </w:r>
          </w:p>
        </w:tc>
        <w:tc>
          <w:tcPr>
            <w:tcW w:w="538" w:type="dxa"/>
            <w:tcBorders>
              <w:bottom w:val="single" w:sz="12" w:space="0" w:color="auto"/>
            </w:tcBorders>
          </w:tcPr>
          <w:p w14:paraId="46744E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205</w:t>
            </w:r>
          </w:p>
        </w:tc>
        <w:tc>
          <w:tcPr>
            <w:tcW w:w="538" w:type="dxa"/>
            <w:tcBorders>
              <w:bottom w:val="single" w:sz="12" w:space="0" w:color="auto"/>
            </w:tcBorders>
          </w:tcPr>
          <w:p w14:paraId="76F5FF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205</w:t>
            </w:r>
          </w:p>
        </w:tc>
        <w:tc>
          <w:tcPr>
            <w:tcW w:w="1148" w:type="dxa"/>
            <w:tcBorders>
              <w:bottom w:val="single" w:sz="12" w:space="0" w:color="auto"/>
            </w:tcBorders>
          </w:tcPr>
          <w:p w14:paraId="5661D0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310</w:t>
            </w:r>
          </w:p>
        </w:tc>
      </w:tr>
    </w:tbl>
    <w:p w14:paraId="2E1444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 Обязать НКПС (т. Кагановича) к 1 декабря 1941 года подать к местам назначения оборудование, незавершенное производство, рабочих и ИТР с заводов им. Коминтерна и "Компрессор". </w:t>
      </w:r>
    </w:p>
    <w:p w14:paraId="5A9F8B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4. Утвердить т. Паршина П.И. уполномоченным Государственного Комитета Обороны по обеспечению выполнения плана производства установок М-8 и М-13 всеми заводами, указанными в настоящем решении. Обязать все партийные, советские и хозяйственные организации оказывать т. Паршину всяческого содействие в выполнении возложенных на него обязанностей. </w:t>
      </w:r>
    </w:p>
    <w:p w14:paraId="35AF8B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ПРЕДСЕДАТЕЛЬ ГОСУДАРСТВЕННОГО КОМИТЕТА ОБОРОНЫ И. СТАЛИН </w:t>
      </w:r>
    </w:p>
    <w:p w14:paraId="2A759E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Выписки посланы: т.т. Шапошникову, Аборенкову, Паршину, Маленкову - все; Кагановичу - п. 3; Наркомам, обкомам, горкомам, директорам заводов - п. 2 соотв., 4 (11434).</w:t>
      </w:r>
    </w:p>
    <w:p w14:paraId="7D562F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E62EF2D"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647E71C7"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1DFD6C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ноября 1941 вышло Постановление ГКО № 948 [Об освобождении Петросьянца А.М. от работы уполномоченным ГКО по Южно-Уральской ж.д.] (7015, 173).</w:t>
      </w:r>
    </w:p>
    <w:p w14:paraId="63406BC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74CF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ноября 1941 вышло Постановление ГКО № 949 О выводе из строя и уничтожении скважин, емкостей и оборудования Майкопского и Гродненского нефтяных районов. РГАНИР, Фонд ГКО, д. 14, лл. 174 (11012).</w:t>
      </w:r>
    </w:p>
    <w:p w14:paraId="514079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18447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ноября 1941 г. Пост. ГКО № 951 сс заводу (Завод № 701 ИМ. Колющенко НКМВ, НКСХМ, Завод «Столль и К</w:t>
      </w:r>
      <w:r w:rsidRPr="00640820">
        <w:rPr>
          <w:rFonts w:ascii="Times New Roman" w:hAnsi="Times New Roman"/>
          <w:color w:val="000000" w:themeColor="text1"/>
          <w:sz w:val="16"/>
          <w:szCs w:val="16"/>
          <w:vertAlign w:val="superscript"/>
        </w:rPr>
        <w:t>0</w:t>
      </w:r>
      <w:r w:rsidRPr="00640820">
        <w:rPr>
          <w:rFonts w:ascii="Times New Roman" w:hAnsi="Times New Roman"/>
          <w:color w:val="000000" w:themeColor="text1"/>
          <w:sz w:val="16"/>
          <w:szCs w:val="16"/>
        </w:rPr>
        <w:t>», Завод им. Колющенко, Челябинский завод строительно-дорожных машин им. Колющенко, ЗАО «Челябинские строительно-дорожные машины» (ЧСДМ) /г. Воронеж;  г. Челябинск/ /454005  г. Челябинск ул. Степана Разина, 1 тел. 60-40-89/) задан план выпуска установок М-13: 175 шт. в период с 1.12.1941 г. по 15.02.1942 г.</w:t>
      </w:r>
    </w:p>
    <w:p w14:paraId="3ABAD0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06.1942 г. завод им. Колющенко - в ведении Главсельмаша НКМВ; в 07.1942 г. - завод № 701 им. Колющенко 1ГУ НКМВ. В соответствии с пост, правительства № 23 от 7.01.1946 г. и приказом НКМВ/НКСХМ № 14/1 от 11.01.1946 г. завод № 701 передан из 2ГУ НКМВ в НКСХМ.</w:t>
      </w:r>
    </w:p>
    <w:p w14:paraId="2BDAF9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завод был реконструирован и перепрофилирован на выпуск строительно-дорожной техники: гусеничных бульдозеров, скреперов, автогрейдеров.</w:t>
      </w:r>
    </w:p>
    <w:p w14:paraId="0AAB58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1960-е  г. назывался Челябинский завод строительно-дорожных машин им. Колющенко.</w:t>
      </w:r>
    </w:p>
    <w:p w14:paraId="6A785A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2001 г. завод переименован в ЗАО «ЧСДМ» и вошел в холдинг «Руспромавто» (и на 2003 г.), в группу ГАЗ (2007 г.).</w:t>
      </w:r>
    </w:p>
    <w:p w14:paraId="263E36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2000-е  г. разработан промышленный трактор ТС-10.</w:t>
      </w:r>
    </w:p>
    <w:p w14:paraId="3BBF2E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(11.1945 г.)- 3039 чел., (03.1946 г.)- 4575 чел.</w:t>
      </w:r>
    </w:p>
    <w:p w14:paraId="305CC4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(06.1942 г.)- Полянцев. Гендиректор (-09.2003 г.)- И. Бурлак, (09.2003-04 г.-)- В. Черноротов.</w:t>
      </w:r>
    </w:p>
    <w:p w14:paraId="71FAB2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120-мм мины, детали для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 xml:space="preserve"> М-13 (1942); автогрейдер ДЗ-98В, погрузчики: В125, В138, В160, Т0-40 (2000-е) (11982).</w:t>
      </w:r>
    </w:p>
    <w:p w14:paraId="3998F7C5" w14:textId="77777777" w:rsidR="005E16BC" w:rsidRPr="00640820" w:rsidRDefault="005E16BC" w:rsidP="00640820">
      <w:pPr>
        <w:autoSpaceDE w:val="0"/>
        <w:autoSpaceDN w:val="0"/>
        <w:adjustRightInd w:val="0"/>
        <w:spacing w:after="0" w:line="240" w:lineRule="auto"/>
        <w:jc w:val="both"/>
        <w:rPr>
          <w:rFonts w:ascii="Times New Roman" w:hAnsi="Times New Roman"/>
          <w:color w:val="000000" w:themeColor="text1"/>
          <w:sz w:val="16"/>
          <w:szCs w:val="16"/>
        </w:rPr>
      </w:pPr>
    </w:p>
    <w:p w14:paraId="3C6608B9" w14:textId="77777777" w:rsidR="005E16B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ноября 1941г. Пост. ГКО № 951сс Сысертскому заводу, созданному на базе ремонтных мастерских Сысертского горного округа, задан план выпуска установок М-13: 123 шт. в период с 1.12.1941г. по 15.02.1942г.</w:t>
      </w:r>
    </w:p>
    <w:p w14:paraId="316977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06.1942г. завод - в ведении Главполиграфмаша НКМВ. В соответствии с пост. СНК № 837-430сс от 3.06.1942г. и приказом НКМВ № 250с от 7.07.1942г. завод «Полиграфмашин» НКМВ переименован в завод № 822 в ведении 2ГУ (Завод № 822 НКМВ, Сысертский механический завод, Завод «Полиграфмашин» НКМВ, Уральский завод гидромашин («Гидромаш») ММиП, Сысертский электротехнический завод, ОАО «Уралгидромаш» /г. Сысерть Свердловской обл. «Турбина» (1948г.)/ /г. Сысерть Свердловской обл./).</w:t>
      </w:r>
      <w:r w:rsidRPr="00640820">
        <w:rPr>
          <w:rFonts w:ascii="Times New Roman" w:hAnsi="Times New Roman"/>
          <w:color w:val="000000" w:themeColor="text1"/>
          <w:sz w:val="16"/>
          <w:szCs w:val="16"/>
          <w:vertAlign w:val="superscript"/>
        </w:rPr>
        <w:t>129</w:t>
      </w:r>
    </w:p>
    <w:p w14:paraId="362C72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1947г. Уральский завод гидромашин - в ведении Главхиммаша ММиП.</w:t>
      </w:r>
    </w:p>
    <w:p w14:paraId="622B0F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завода (1947г.) цехи: основные: литейный, механосборочный, кузнечный, ширпотреба; вспомогательные: модельный, ремонтно-механический, энергетический, инструментальный.</w:t>
      </w:r>
    </w:p>
    <w:p w14:paraId="29092A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турбин для ГЭС и водяных насосов.</w:t>
      </w:r>
    </w:p>
    <w:p w14:paraId="5FB119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(1939г.)- 105 ед., (1946г.)- 212 ед., (1947г.)- 416 ед.</w:t>
      </w:r>
    </w:p>
    <w:p w14:paraId="2826F7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территории (1947г.)- 30 га; застройки (1947г.)- 22112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производственная (1939г.)- 4997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(1946- 47г.)- 14931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7A0306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(1939г.)- 626 чел., (1946г.)-1241 чел., (1947г.)-1218 чел.</w:t>
      </w:r>
    </w:p>
    <w:p w14:paraId="610D47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(06.1942г.)- Куракин, (1948г.)- Волынский.</w:t>
      </w:r>
    </w:p>
    <w:p w14:paraId="557E79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(1948г.)- Галкин.</w:t>
      </w:r>
    </w:p>
    <w:p w14:paraId="7001A9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реактивный миномет М-13 (1941-42-); 82-мм минометы; корпуса 82-мм мин (1942), авиабомб, гранаты Ф-1, гильзы 45-мм, 152-мм снарядов (1942);</w:t>
      </w:r>
      <w:r w:rsidRPr="00640820">
        <w:rPr>
          <w:rFonts w:ascii="Times New Roman" w:hAnsi="Times New Roman"/>
          <w:iCs/>
          <w:color w:val="000000" w:themeColor="text1"/>
          <w:sz w:val="16"/>
          <w:szCs w:val="16"/>
        </w:rPr>
        <w:t xml:space="preserve"> гидротурбины:</w:t>
      </w:r>
      <w:r w:rsidRPr="00640820">
        <w:rPr>
          <w:rFonts w:ascii="Times New Roman" w:hAnsi="Times New Roman"/>
          <w:color w:val="000000" w:themeColor="text1"/>
          <w:sz w:val="16"/>
          <w:szCs w:val="16"/>
        </w:rPr>
        <w:t xml:space="preserve"> средние: Ф-40, -60, -123, -130, -140, -300, ВМ-123, -275, ПРК-70, -245, ВБ-140, -185, -220, ДГО-80, Г0-80, ГФ-80, ВО-120, -128; малые: Ф-300, ГОМ-бО, ГФ- 60, Г0-60, В0-60; насосы: центробежный 18НДС, пропеллерный ВП-60, фекальные 6НФ, 8НФ; шаровая мельница (1947) (11982).</w:t>
      </w:r>
    </w:p>
    <w:p w14:paraId="0AE04F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A52CA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ноября 1941 вышло Постановление ГКО № 952 Об организации производства пулеметов "максим" в г.Ижевске и увеличении производства на заводе № 54 (г. Златоуст). РГАНИР, Фонд ГКО, д. 14, лл. 178-179 (11012).</w:t>
      </w:r>
    </w:p>
    <w:p w14:paraId="3529D7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8946981"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shd w:val="clear" w:color="auto" w:fill="FFFFFF"/>
        </w:rPr>
        <w:lastRenderedPageBreak/>
        <w:t>23 ноября 1941 утвердили проект КВ-8 с огнеметом. Самое непосредственное участие в этих работах принял Аристов, осенью 1941 года оказавшийся в эвакуации вместе с заводом №174. Ему приходилось работать на два фронта, поскольку тема Т-34 с АТО-41 тоже никуда не делась. И если концепция танка, известного как Т-О34, нисколько не изменилась, КВ-8 от своего предшественника отличался принципиально.</w:t>
      </w:r>
    </w:p>
    <w:p w14:paraId="30A05594" w14:textId="77777777" w:rsidR="009F466D" w:rsidRPr="00640820" w:rsidRDefault="009F466D" w:rsidP="00640820">
      <w:pPr>
        <w:spacing w:after="0" w:line="240" w:lineRule="auto"/>
        <w:jc w:val="both"/>
        <w:rPr>
          <w:rFonts w:ascii="Times New Roman" w:hAnsi="Times New Roman"/>
          <w:color w:val="0070C0"/>
          <w:sz w:val="16"/>
          <w:szCs w:val="16"/>
          <w:shd w:val="clear" w:color="auto" w:fill="FFFFFF"/>
        </w:rPr>
      </w:pPr>
      <w:r w:rsidRPr="00640820">
        <w:rPr>
          <w:rFonts w:ascii="Times New Roman" w:hAnsi="Times New Roman"/>
          <w:color w:val="0070C0"/>
          <w:sz w:val="16"/>
          <w:szCs w:val="16"/>
          <w:shd w:val="clear" w:color="auto" w:fill="FFFFFF"/>
        </w:rPr>
        <w:t>Из корпуса огнемет перекочевал в башню, где его установили справа от орудия. В связи с этим главный калибр пришлось менять на 45-мм пушку, которую, в целях маскировки, закрыли массивным кожухом. В результате орудие стало напоминать 76-мм систему Ф-32. Естественно, огневая мощь снизилась, но лучше так, чем просто огнемет. Пулемет ДТ при этом сохранили. Экипаж сократили до 4 человек, поскольку в башне разместилось два резервуара с огнесмесью. Третий резервуар оказался на полу боевого отделения. Командир совмещал теперь еще и функции наводчика. В общей сложности боекомплект КВ-8 составил 90 выстрелов для АТО-41, также имелось 85 патронов к 45-мм пушке, плюc 47 дисков к ДТ.</w:t>
      </w:r>
    </w:p>
    <w:p w14:paraId="11FFCED5"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shd w:val="clear" w:color="auto" w:fill="FFFFFF"/>
        </w:rPr>
        <w:t>Опытный образец машины ожидался к 20 декабря 1941 года, а уже в январе планировалось запустить машину в производство. Уже в конце декабря опытная машина была готова, а 5 января 1942 года состоялся ее показ на полигоне завода №8 в Мытищах. (22806).</w:t>
      </w:r>
    </w:p>
    <w:p w14:paraId="1DAE8079" w14:textId="77777777" w:rsidR="009F466D" w:rsidRPr="00640820" w:rsidRDefault="009F466D" w:rsidP="00640820">
      <w:pPr>
        <w:spacing w:after="0" w:line="240" w:lineRule="auto"/>
        <w:jc w:val="both"/>
        <w:rPr>
          <w:rFonts w:ascii="Times New Roman" w:hAnsi="Times New Roman"/>
          <w:color w:val="0070C0"/>
          <w:sz w:val="16"/>
          <w:szCs w:val="16"/>
        </w:rPr>
      </w:pPr>
    </w:p>
    <w:p w14:paraId="2147DB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ноября 1941 г. по решению Государственного Комитета Обороны СССР производство мотоциклов было прекращено, и завод, которому присваивается № 524, перепрофилируется на выпуск станкового пулемета "Максим"(объект № 503 - 504). К маю 1945 г. было выпущено 83 тыс. пулеметов (9681).</w:t>
      </w:r>
    </w:p>
    <w:p w14:paraId="5CBD11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C6282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ноября 1941 года вышло Постановление Государственного Комитета Обороны Союза СССР, согласно которому Государственный Союзный Ижевский мотоциклетный завод, который выпускал мотоциклы Иж-9, предназначенные для снабжения частей Красной Армии, деталь № 7 для НКБ СССР и осваивал по заданию НКСМ СССР минный взрыватель М-50, должен полностью переключиться на выпуск объекта №504 (пулемет Максим) с выпуском в декабре - 50, январе - 500 и начиная с февраля по 2000 шт. Ежемесячно (9681).</w:t>
      </w:r>
    </w:p>
    <w:p w14:paraId="4A41E6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D3163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ноября 1941 года на основании постановления ГКО на производственной базе мотоциклетного завода, Главмотовелопрома НК среднего машиностроения, переданного в систему оборонной промышленности 5 декабря 1941 года был организован завод № 524 МВ.</w:t>
      </w:r>
    </w:p>
    <w:p w14:paraId="4ACF5E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Основной задачей организации завода № 524 и передачи его в Министерство вооружения было в основном изготовление пулемета системы “Максим”, станка системы Соколова и изготовление запасных деталей и узлов пулемета “Максим”. Указанная продукция изготовлялась на заводе с 1942 года до 1945 года включительно. С 1945 года завод изготавливал охотничьи ружья, электромоторные пилы, а также тракторные детали для с/х. В 1948 году заводом был освоен из оборонной продукции автомат системы Калашникова (АК-47). В сентябре 1949 года завод был передан в 4 гл. управление МОП с прекращением выпуска всех изделий ранее изготовлявшихся на заводе и переводом завода на освоение новых производств.</w:t>
      </w:r>
    </w:p>
    <w:p w14:paraId="105744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Первоначальной базой на которой был организован Мотоциклетный завод, служили помещения бывшей частной фабрики охотружей.</w:t>
      </w:r>
    </w:p>
    <w:p w14:paraId="7EEEBC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Ижевск, п/я 33</w:t>
      </w:r>
    </w:p>
    <w:p w14:paraId="27B9D9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 Фомин</w:t>
      </w:r>
    </w:p>
    <w:p w14:paraId="1FE601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Территория завода расположена в центральной части Ижевска, между улицами М. Горького, Красной и переулками Бородина и Красногеройским (9560).</w:t>
      </w:r>
    </w:p>
    <w:p w14:paraId="55DAAF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184D1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ноября 1941 вышло Постановление ГКО № 953 О производстве трех первых отдельных ж.д. зенитных батарей по проекту завода "Большевик". РГАНИР, Фонд ГКО, д. 14, лл. 180 (11012).</w:t>
      </w:r>
    </w:p>
    <w:p w14:paraId="1F6421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F73E3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ноября 1941 г. вышло постановлением Государственного Комитета Обороны (ГКО), в соответствии с которым началось широкое строительство и формирование зенитных бронепоездов ПВО. Каждый из них имел на вооружении четыре 76,2-мм орудия, два строенных пулемета калибра 7,62 мм и четыре станковых пулемета "Максим". Подвижной состав включал бронированный паровоз, семь бронированных площадок, один классный и два крытых двухосных вагона.</w:t>
      </w:r>
    </w:p>
    <w:p w14:paraId="7BDDBD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Несколько позднее вооружение изменилось и стало состоять из трех орудий калибра 76,2 мм, двух орудий МЗА (37 мм или 25 мм) и трех крупнокалиберных пулемета (12,7 мм) ДШК. Число бронированных площадок сократилось до шести. Бронепоезда имели средства связи (радио и проводные) и транспортные средства. Подвижной состав под материальную часть вооружения представлял собой двухосные платформы с противопульным и противоосколочным бронированием, бронированные вагоны для личного состава и боеприпасов, ремонтно-восстановительные платформы (11148).</w:t>
      </w:r>
    </w:p>
    <w:p w14:paraId="04B55D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CC6D4A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ноября 1941 г., согласно Постановлению государст</w:t>
      </w:r>
      <w:r w:rsidRPr="00640820">
        <w:rPr>
          <w:rFonts w:ascii="Times New Roman" w:hAnsi="Times New Roman"/>
          <w:color w:val="000000" w:themeColor="text1"/>
          <w:sz w:val="16"/>
          <w:szCs w:val="16"/>
        </w:rPr>
        <w:softHyphen/>
        <w:t>венного комитета обороны (ГКО), ИжМЗ перевели в Народный комиссариат вооружения (НКВ), при</w:t>
      </w:r>
      <w:r w:rsidRPr="00640820">
        <w:rPr>
          <w:rFonts w:ascii="Times New Roman" w:hAnsi="Times New Roman"/>
          <w:color w:val="000000" w:themeColor="text1"/>
          <w:sz w:val="16"/>
          <w:szCs w:val="16"/>
        </w:rPr>
        <w:softHyphen/>
        <w:t>своили номер 524 и поручили организовать выпуск станковых пулемётов типа «Максим». Руководство завода, узнав об ирбитском заводе, оказало ему техническую помощь. Всё имевшееся мотоциклет</w:t>
      </w:r>
      <w:r w:rsidRPr="00640820">
        <w:rPr>
          <w:rFonts w:ascii="Times New Roman" w:hAnsi="Times New Roman"/>
          <w:color w:val="000000" w:themeColor="text1"/>
          <w:sz w:val="16"/>
          <w:szCs w:val="16"/>
        </w:rPr>
        <w:softHyphen/>
        <w:t>ное технологическое оборудование, вместе с доставленной из Ки</w:t>
      </w:r>
      <w:r w:rsidRPr="00640820">
        <w:rPr>
          <w:rFonts w:ascii="Times New Roman" w:hAnsi="Times New Roman"/>
          <w:color w:val="000000" w:themeColor="text1"/>
          <w:sz w:val="16"/>
          <w:szCs w:val="16"/>
        </w:rPr>
        <w:softHyphen/>
        <w:t>ева в Ижевск с КМЗ аналогичной техникой, отправили на ИМЗ. При этом мотоциклостроение в Ижевске не исчезло. На основе технологического оборудования по выпуску мотоцепей, приве</w:t>
      </w:r>
      <w:r w:rsidRPr="00640820">
        <w:rPr>
          <w:rFonts w:ascii="Times New Roman" w:hAnsi="Times New Roman"/>
          <w:color w:val="000000" w:themeColor="text1"/>
          <w:sz w:val="16"/>
          <w:szCs w:val="16"/>
        </w:rPr>
        <w:softHyphen/>
        <w:t>зённого 4-6 октября 1941 г. с ХМЗ создали Ижевский завод мото</w:t>
      </w:r>
      <w:r w:rsidRPr="00640820">
        <w:rPr>
          <w:rFonts w:ascii="Times New Roman" w:hAnsi="Times New Roman"/>
          <w:color w:val="000000" w:themeColor="text1"/>
          <w:sz w:val="16"/>
          <w:szCs w:val="16"/>
        </w:rPr>
        <w:softHyphen/>
        <w:t>циклетных цепей (ИжЗМЦ), который развернули в недостроен</w:t>
      </w:r>
      <w:r w:rsidRPr="00640820">
        <w:rPr>
          <w:rFonts w:ascii="Times New Roman" w:hAnsi="Times New Roman"/>
          <w:color w:val="000000" w:themeColor="text1"/>
          <w:sz w:val="16"/>
          <w:szCs w:val="16"/>
        </w:rPr>
        <w:softHyphen/>
        <w:t>ном здании универмага на углу улиц К. Маркса и Труда [5.18]. Это небольшое предприятие вступило в строй в начале 1942 года (11429).</w:t>
      </w:r>
    </w:p>
    <w:p w14:paraId="32D8452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E113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ноября 1941 вышло Постановление ГКО № 954 Об увеличении производства пистолетов-пулеметов 7,62 мм (ППШ). РГАНИР, Фонд ГКО, д. 14, лл. 181 (11012).</w:t>
      </w:r>
    </w:p>
    <w:p w14:paraId="2EC823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F06E2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ноября 1941 вышло Постановление ГКО № 955 О плане производства 45 мм противотанковых пушек и 76 мм дивизионных пушек на декабрь 1941 года, январь и февраль 1942 г. РГАНИР, Фонд ГКО, д. 15, лл. 1-3 (11012).</w:t>
      </w:r>
    </w:p>
    <w:p w14:paraId="5639C0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0AD135C" w14:textId="77777777" w:rsidR="002F388C" w:rsidRPr="00640820" w:rsidRDefault="002F388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ноября 1941 г.</w:t>
      </w:r>
    </w:p>
    <w:p w14:paraId="0ACC706A" w14:textId="77777777" w:rsidR="002F388C" w:rsidRPr="00640820" w:rsidRDefault="002F388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ВОПРОСЫ, РЕШЕННЫЕ ОПРОСОМ ЧЛЕНОВ БЮРО ГК ВКП(б)</w:t>
      </w:r>
    </w:p>
    <w:p w14:paraId="60014AA1" w14:textId="77777777" w:rsidR="002F388C" w:rsidRPr="00640820" w:rsidRDefault="002F388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23 ноября 1941 г.</w:t>
      </w:r>
    </w:p>
    <w:p w14:paraId="2C98E9B4" w14:textId="77777777" w:rsidR="002F388C" w:rsidRPr="00640820" w:rsidRDefault="002F388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67гс. — Об организации производства пулеметов «Максим» на Ленинградских заводах (особая папка).</w:t>
      </w:r>
    </w:p>
    <w:p w14:paraId="014A6D12" w14:textId="77777777" w:rsidR="002F388C" w:rsidRPr="00640820" w:rsidRDefault="002F388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Поручить директору завода им. Макса Гельца т. Цофину организовать производство станковых пулеметов «Максим» в кооперации со следующими заводами: им. Энгельса, им. Карла Маркса, им. Молотова, им. Кирова, им. Воскова, №№ 232, 211, 212, 349, «Красная Заря», «Пневматика», «Красный Металлист», «Кинап», «Красногвардеец», Револьверных станков и автоматов, «Русский Дизель», «Комсомолец», заводом Кассовых аппаратов, с предприятиями Горпромсовета и Ленметаллпромсоюза.</w:t>
      </w:r>
    </w:p>
    <w:p w14:paraId="1F46F461" w14:textId="77777777" w:rsidR="002F388C" w:rsidRPr="00640820" w:rsidRDefault="002F388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Установить выпуск пулеметов «Максим» заводом им. Макса Гельца по 5 шт. в сутки, начиная с 25.ХI–с. г. и по 30 шт. в сутки, начиная с I. ХII–с. г.</w:t>
      </w:r>
    </w:p>
    <w:p w14:paraId="0019E07F" w14:textId="77777777" w:rsidR="002F388C" w:rsidRPr="00640820" w:rsidRDefault="002F388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Обязать директоров заводов т. Боярского (завод им. Энгельса), т. Клавсуть (завод им. Карла Маркса), т. Худякова (завод им. Воскова), т. Нодельман (завод им. Молотова), т. Мойкина (завод им. Кирова), т. Волосатова (завод № 232), т. Восканян (завод № 211), т. Юрьева (завод № 212), т. Семенова (завод № 349), т. Велинина (завод «Красная Заря»), т. Лаврентьева (завод «Пневматика»), т. Пилевского (завод «Красный Металлист»), т. Архипова (завод «Кинап»), т. Снежкова (завод «Красногвардеец»), т. Ительсон (завод Револьверных станков и автоматов), т. Пасинского (завод «Русский Дизель»), т. Курунова (завод Кассовых аппаратов), т. Ипатову (завод «Комсомолец»), т. Никитина (Горпромсовет) и т. Добоина1 (Ленметаллпромсоюз) из-</w:t>
      </w:r>
    </w:p>
    <w:p w14:paraId="7BC60A0A" w14:textId="77777777" w:rsidR="002F388C" w:rsidRPr="00640820" w:rsidRDefault="002F388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готовить и подать заводу им. Макса Гельца детали и узлы пулемета «Максим», согласно приложения в количестве, обеспечивающем выполнение программы по пулеметам «Максим».</w:t>
      </w:r>
    </w:p>
    <w:p w14:paraId="777C1608" w14:textId="77777777" w:rsidR="002F388C" w:rsidRPr="00640820" w:rsidRDefault="002F388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Обязать управляющего конторой Главметаллосбыт т. Князькова обеспечить заводы, изготовляющие детали и углы пулемета «Максим», необходимыми материалами по их заявкам.</w:t>
      </w:r>
    </w:p>
    <w:p w14:paraId="6E663274" w14:textId="77777777" w:rsidR="002F388C" w:rsidRPr="00640820" w:rsidRDefault="002F388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Обязать секретаря Петроградского РК ВКП(б) т. Жигальского взять под постоянный контроль производство пулеметов «Максим» на заводе им. Макса Гельца и оказать всемерную помощь в выполнении заводом установленной программы.</w:t>
      </w:r>
    </w:p>
    <w:p w14:paraId="61AA8E97" w14:textId="77777777" w:rsidR="002F388C" w:rsidRPr="00640820" w:rsidRDefault="002F388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Подписи — Кузнецов, Капустин, Попков.</w:t>
      </w:r>
    </w:p>
    <w:p w14:paraId="672D19D5" w14:textId="77777777" w:rsidR="002F388C" w:rsidRPr="00640820" w:rsidRDefault="002F388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ЦГАИПД СПб. Ф. 25. Оп. 2а. Д. 164. Л. 29. Бланк опросного голосования. Оригинал, машинопись. Подписи — автографы (19720).</w:t>
      </w:r>
    </w:p>
    <w:p w14:paraId="4844FE8F" w14:textId="77777777" w:rsidR="002F388C" w:rsidRPr="00640820" w:rsidRDefault="002F388C" w:rsidP="00640820">
      <w:pPr>
        <w:autoSpaceDE w:val="0"/>
        <w:autoSpaceDN w:val="0"/>
        <w:adjustRightInd w:val="0"/>
        <w:spacing w:after="0" w:line="240" w:lineRule="auto"/>
        <w:jc w:val="both"/>
        <w:rPr>
          <w:rFonts w:ascii="Times New Roman" w:hAnsi="Times New Roman"/>
          <w:color w:val="000000" w:themeColor="text1"/>
          <w:sz w:val="16"/>
          <w:szCs w:val="16"/>
        </w:rPr>
      </w:pPr>
    </w:p>
    <w:p w14:paraId="19E6894C"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3C2DD7D1"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5BD3109" w14:textId="77777777" w:rsidR="005E16BC" w:rsidRPr="00640820" w:rsidRDefault="005E16BC"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23 ноября </w:t>
      </w:r>
      <w:r w:rsidRPr="00640820">
        <w:rPr>
          <w:rFonts w:ascii="Times New Roman" w:hAnsi="Times New Roman"/>
          <w:color w:val="000000" w:themeColor="text1"/>
          <w:sz w:val="16"/>
          <w:szCs w:val="16"/>
        </w:rPr>
        <w:t>в 1941 году утреннее сообщение Совинформбюро:</w:t>
      </w:r>
    </w:p>
    <w:p w14:paraId="060F0462" w14:textId="77777777" w:rsidR="005E16BC" w:rsidRPr="00640820" w:rsidRDefault="005E16B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23 ноября наши войска вели бои с противником на всех фронтах.</w:t>
      </w:r>
    </w:p>
    <w:p w14:paraId="0927DC7A" w14:textId="77777777" w:rsidR="005E16BC" w:rsidRPr="00640820" w:rsidRDefault="005E16B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лётчики, действующие на Южном фронте, 20 ноября уничтожили 47 танков, 392 вражеские автомашины с пехотой и боеприпасами, 115 подвод с различными грузами, 7 штабных автобусов, 6 автомашин с зенитно-пулемётными установками, 10 орудий и истребили 1.600 солдат и офицеров неприятеля.</w:t>
      </w:r>
    </w:p>
    <w:p w14:paraId="5941E2A0" w14:textId="77777777" w:rsidR="005E16BC" w:rsidRPr="00640820" w:rsidRDefault="005E16B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Бойцы тов. Лопатина, действующие на Южном фронте, за последние дни в упорных боях с противником уничтожили больше 460 вражеских автомашин, 320 подвод с боеприпасами и военным имуществом, 37 орудий, 20 станковых пулемётов, 43 мотоцикла и около 3.200 солдат и офицеров противника.</w:t>
      </w:r>
    </w:p>
    <w:p w14:paraId="4F9FF7B4" w14:textId="77777777" w:rsidR="005E16BC" w:rsidRPr="00640820" w:rsidRDefault="005E16B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Часть тов. Поленова, действующая на одном из участков Западного фронта, успешно отразила ожесточённые атаки немцев. На поле боя осталось 200 вражеских солдат и офицеров, 11 миномётов, 2 противотанковых пушки, 12 пулемётов и много автоматов.</w:t>
      </w:r>
    </w:p>
    <w:p w14:paraId="46EE9D97" w14:textId="77777777" w:rsidR="005E16BC" w:rsidRPr="00640820" w:rsidRDefault="005E16B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Показания захваченных в плен немецких солдат свидетельствуют о дальнейшем снижении боевого духа германских войск. Пленный унтер-офицер Генрих Вассонг заявил: «Уже первые холода сильно отразились на настроениях солдат. Очень трудно воевать при таких морозах. Обмундирования тёплого у нас нет. Мы уже много недель не меняли белья, заедают вши». Пленный солдат 13 горнострелкового полка 14 горнострелковой дивизии Вернер Маринген рассказывает: «Солдаты видят, что сопротивление Красной Армии всё время возрастает и немцам не удастся одолеть Россию». Пленный солдат 276 пехотного полка Петер Зайцель заявил: «За последние три недели наш полк снабжался чрезвычайно скверно, продовольствие изыскивали на месте, то-есть насильно отбирали у крестьян. У солдат подавленное настроение, так как они не видят конца войны. У многих стрелков нет даже шинелей. Белья нет, все солдаты и офицеры завшивели». Унтер-офицер санитар 7 роты 13 горнострелкового полка Карл Стойтле сообщает, что число больных в частях катастрофически растёт. «Только в нашей роте,— говорит пленный,— за последние дни 13 солдат заболели ангиной, гриппом и бронхитом». Унтер-офицер 236 дивизионного обоза Отто Гилерт заявил: «Солдаты разуверились в том, что эта война будет скоро окончена. Многие считают, что огромные пространства России поглотят немецкую армию, а советские войска и партизаны постепенно истребят её».</w:t>
      </w:r>
    </w:p>
    <w:p w14:paraId="4B208498" w14:textId="77777777" w:rsidR="005E16BC" w:rsidRPr="00640820" w:rsidRDefault="005E16B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Самоотверженно работают трудящиеся Саратовской области, помогая Красной Армии истреблять фашистских оккупантов. Десятки предприятий области досрочно выполнили свои годовые задания. Саратовский мукомольный завод № 2 выпустил сверх годовой программы свыше 6 тысяч тонн первосортной муки. Работники маслозавода № 1, перевыполнив годовое задание, взяли обязательство дать к концу года 500 тонн масла сверх плана. На предприятиях ширится движение патриотов за перевыполнение норм. Каждый рабочий котельного и кузнечного цехов Саратовского судоремонтного завода теперь выполняет две нормы. Кузнецы завода т.т. Строгович, Лошкарёв и Юрлов вырабатывают до семи норм в смену. Многие рабочие Саратовского завода комбайнов достигли рекордной выработки. Автоматчик тов. Романцев выполнил задание на 347 процентов. С 1 по 19 ноября слесарь Поморов вырабатывал в смену в среднем по три с половиной нормы.</w:t>
      </w:r>
    </w:p>
    <w:p w14:paraId="398B93C9" w14:textId="77777777" w:rsidR="005E16BC" w:rsidRPr="00640820" w:rsidRDefault="005E16B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Многие колхозы области выполнили годовой план поставок хлеба государству. В артелях Новоузенского, Александрово-Гайского, Духовницкого и других районов колхозники сдают часть своих личных излишков хлеба в фонд обороны родины. Колхозники артели «Красный боец», Новоузенского района, уже внесли 180 центнеров хлеба, колхозники артели имени Чапаева — 230 центнеров. Колхозники Новоузенского района решили продать государству дополнительно 30 тысяч центнеров хлеба. Около 10 тысяч центнеров уже доставлено на ссыпные пункты.» (14838).</w:t>
      </w:r>
    </w:p>
    <w:p w14:paraId="3AB15452" w14:textId="77777777" w:rsidR="005E16BC" w:rsidRPr="00640820" w:rsidRDefault="005E16BC" w:rsidP="00640820">
      <w:pPr>
        <w:spacing w:after="0" w:line="240" w:lineRule="auto"/>
        <w:jc w:val="both"/>
        <w:rPr>
          <w:rFonts w:ascii="Times New Roman" w:hAnsi="Times New Roman"/>
          <w:color w:val="000000" w:themeColor="text1"/>
          <w:sz w:val="16"/>
          <w:szCs w:val="16"/>
        </w:rPr>
      </w:pPr>
    </w:p>
    <w:p w14:paraId="3FFCA083" w14:textId="77777777" w:rsidR="005E16BC" w:rsidRPr="00640820" w:rsidRDefault="005E16BC"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23 ноября </w:t>
      </w:r>
      <w:r w:rsidRPr="00640820">
        <w:rPr>
          <w:rFonts w:ascii="Times New Roman" w:hAnsi="Times New Roman"/>
          <w:color w:val="000000" w:themeColor="text1"/>
          <w:sz w:val="16"/>
          <w:szCs w:val="16"/>
        </w:rPr>
        <w:t>в 1941 году вечернее сообщение Совинформбюро:</w:t>
      </w:r>
    </w:p>
    <w:p w14:paraId="59A68972" w14:textId="77777777" w:rsidR="005E16BC" w:rsidRPr="00640820" w:rsidRDefault="005E16B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23 ноября наши войска вели бои с противником на всех фронтах. Особенно ожесточённые бои происходили на Клинском, Волоколамском, Тульском и Ростовском (Ростов-на-Дону) участках фронта.</w:t>
      </w:r>
    </w:p>
    <w:p w14:paraId="64F3BBAB" w14:textId="77777777" w:rsidR="005E16BC" w:rsidRPr="00640820" w:rsidRDefault="005E16B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22 ноября уничтожено 10 немецких самолётов. Наши потери — 4 самолёта.</w:t>
      </w:r>
    </w:p>
    <w:p w14:paraId="7573867B" w14:textId="77777777" w:rsidR="005E16BC" w:rsidRPr="00640820" w:rsidRDefault="005E16B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Баренцовом море нашими кораблями потоплены 3 транспорта противника.</w:t>
      </w:r>
    </w:p>
    <w:p w14:paraId="6BFB0415" w14:textId="77777777" w:rsidR="005E16BC" w:rsidRPr="00640820" w:rsidRDefault="005E16B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22 ноября нашей авиацией уничтожено 16 немецких танков, 7 бронемашин, свыше 400 автомашин с пехотой и боеприпасами, 14 автоцистерн с горючим, 10 орудий и истреблено до полка вражеской пехоты.</w:t>
      </w:r>
    </w:p>
    <w:p w14:paraId="17D88CF2" w14:textId="77777777" w:rsidR="005E16BC" w:rsidRPr="00640820" w:rsidRDefault="005E16B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двух участках Южного фронта наши части 21 ноября в ожесточённом бою с противником уничтожили 50 вражеских автомашин, до 150 подвод, 14 орудий и истребили около тысячи немецких солдат и офицеров. Наши бойцы захватили 10 танков. 19 орудий, 87 автомашин, 52 мотоцикла, много автоматов, пулемётов и боеприпасов противника.</w:t>
      </w:r>
    </w:p>
    <w:p w14:paraId="69A3E85E" w14:textId="77777777" w:rsidR="005E16BC" w:rsidRPr="00640820" w:rsidRDefault="005E16B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два месяца боёв часть тов. Замировского, действующая на одном из участков Ленинградского фронта, по неполным данным, истребила свыше 3.000 немецких солдат и офицеров. За два месяца бойцы тов. Замировского уничтожили 11 немецких танков, 2 склада боеприпасов, сбили два вражеских самолёта и захватили 9 полевых орудий, 22 миномёта, 26 станковых и 104 ручных пулемёта, три полковых вражеских знамени, много винтовок, автоматов, снарядов, мин и патронов.</w:t>
      </w:r>
    </w:p>
    <w:p w14:paraId="501650CA" w14:textId="77777777" w:rsidR="005E16BC" w:rsidRPr="00640820" w:rsidRDefault="005E16B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каждым днём возрастает активность партизан Московской области. За последние несколько дней, по далеко не полным данным, ими уничтожено 49 автомашин с вражеской пехотой и военными грузами, 3 самолёта, несколько танков и бронемашин, 8 обозов со снарядами, 6 штабных автобусов, 6 автоцистерн с горючим, взорвано 5 крупных мостов и истреблено более 500 немецких солдат и 61 офицер.</w:t>
      </w:r>
    </w:p>
    <w:p w14:paraId="03262BC7" w14:textId="77777777" w:rsidR="005E16BC" w:rsidRPr="00640820" w:rsidRDefault="005E16B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Партизаны отряда тов. П. противотанковыми гранатами вывели из строя средний танк фашистов. За последние дни отряд взорвал 3 моста на путях оживлённого движения противника. Партизаны под командованием тов. Ш. 11 ноября устроили засаду и взорвали на минах бронемашину и две грузовые машины с немецкими солдатами. Взрывом и метким огнём советских патриотов истреблено 30 вражеских солдат. Успешно действует отряд партизан тов. А. В середине ноября этим отрядом уничтожено 18 повозок с военными грузами и истреблено свыше ста немецких солдат и офицеров. Смелое нападение на обоз противника совершил отряд под руководством тов. X. Партизаны взорвали 5 автомашин и истребили 48 немецких солдат и 5 офицеров.</w:t>
      </w:r>
    </w:p>
    <w:p w14:paraId="6A6A3553" w14:textId="77777777" w:rsidR="005E16BC" w:rsidRPr="00640820" w:rsidRDefault="005E16B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помощью шантажа и угроз германские фашисты заполучили из Испании так называемую «Голубую дивизию», составленную из авантюристов, преступников и всякого другого сброда. Гитлер бросил «Голубую дивизию» на Северо-Западный фронт, чтобы восполнить огромные потери германских войск на этом участке. В первых же боях «дивизия» понесла огромные потери. Нашими частями захвачено донесение командира дивизии испанского генерала Грандес командиру немецкого армейского корпуса. В этом донесении Грандес жалуется, что дивизия в первом сражении была основательно потрёпана и понесла огромные потери в людях. В большинстве рот осталось лишь по 40 солдат. Среди воров, убийц, грабителей и других преступников, собранных в «Голубую дивизию», в связи с этим началась паника. Оставшиеся в живых «добровольцы» стремятся при первом удобном случае удрать домой, т. к. их надежды на лёгкую наживу не оправдались. Генерал Грандес умоляет немцев прислать тёплые вещи, водку и хлеб для поддержания духа своих «вояк». Немецкий генерал фон Лееб в ответ на эту просьбу прислал командованию «Голубой дивизии» своё «соболезнование по поводу понесённых ею больших потерь».</w:t>
      </w:r>
    </w:p>
    <w:p w14:paraId="078CAEAA" w14:textId="77777777" w:rsidR="005E16BC" w:rsidRPr="00640820" w:rsidRDefault="005E16B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Немецкие оккупанты продолжают ограбление населения Прибалтики. Из Вильно, Каунаса, Либавы, Риги и других городов в Германию вывозится ценное оборудование, имущество, отобранное у населения, произведения искусства, все запасы продовольствия. Во многих сельских районах для нужд германской армии реквизированы все лошади, тракторы, автомашины, двигатели и велосипеды. На днях в Риге немцы организовали массовую облаву, во время которой были захвачены все оказавшиеся на улицах автомашины и лошади. В результате ограбления населения в городах и сёлах Литвы, Латвии и Эстонии царит голод.» (14838).</w:t>
      </w:r>
    </w:p>
    <w:p w14:paraId="3B155D64" w14:textId="77777777" w:rsidR="005E16BC" w:rsidRPr="00640820" w:rsidRDefault="005E16BC" w:rsidP="00640820">
      <w:pPr>
        <w:spacing w:after="0" w:line="240" w:lineRule="auto"/>
        <w:jc w:val="both"/>
        <w:rPr>
          <w:rFonts w:ascii="Times New Roman" w:hAnsi="Times New Roman"/>
          <w:color w:val="000000" w:themeColor="text1"/>
          <w:sz w:val="16"/>
          <w:szCs w:val="16"/>
        </w:rPr>
      </w:pPr>
    </w:p>
    <w:p w14:paraId="3DAC908E" w14:textId="77777777" w:rsidR="002F388C" w:rsidRPr="00640820" w:rsidRDefault="002F388C" w:rsidP="00640820">
      <w:pPr>
        <w:pStyle w:val="ae"/>
        <w:spacing w:before="0" w:after="0"/>
        <w:jc w:val="both"/>
        <w:textAlignment w:val="baseline"/>
        <w:rPr>
          <w:color w:val="000000" w:themeColor="text1"/>
          <w:sz w:val="16"/>
          <w:szCs w:val="16"/>
        </w:rPr>
      </w:pPr>
      <w:r w:rsidRPr="00640820">
        <w:rPr>
          <w:color w:val="000000" w:themeColor="text1"/>
          <w:sz w:val="16"/>
          <w:szCs w:val="16"/>
        </w:rPr>
        <w:t>23 ноября 1941 штурмовики и истребители ВВС ЮЗФ снова атаковали автоколонны с танками на дорогах Жадное — Троицкое, Веховое — Хомутово, а также пресловутые «скопления» автомобилей. Среди потерь значится «10982», то есть еще один секретный Ил-2. Обтекаемое слово «скопление» затем прочно вошло в обиход в рапортах и отчетах штурмовой авиации. Однако оно не позволяло определить, что же именно атаковали. Выстроившиеся в ряд грузовики на парковке или в пробке перед железнодорожным переездом? Или же группу бензовозов на привале? И что конкретно считали скоплением, собравшиеся в кучу 5, 10 или 50 автомобилей? Характерно также, что в 1941 г. слово «штурмовка» практически не использовалось, в основном писали «атака войск противника», «вылет на атаку» (19522).</w:t>
      </w:r>
    </w:p>
    <w:p w14:paraId="20327F84" w14:textId="77777777" w:rsidR="002F388C" w:rsidRPr="00640820" w:rsidRDefault="002F388C" w:rsidP="00640820">
      <w:pPr>
        <w:pStyle w:val="ae"/>
        <w:spacing w:before="0" w:after="0"/>
        <w:jc w:val="both"/>
        <w:textAlignment w:val="baseline"/>
        <w:rPr>
          <w:color w:val="000000" w:themeColor="text1"/>
          <w:sz w:val="16"/>
          <w:szCs w:val="16"/>
        </w:rPr>
      </w:pPr>
    </w:p>
    <w:p w14:paraId="53737A40"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23 ноября 1942 г. Постановлением ГКО № 951 «О миномётных частях» был установлен график формирования в ноябре 1941 г. - февра</w:t>
      </w:r>
      <w:r w:rsidRPr="00640820">
        <w:rPr>
          <w:rFonts w:ascii="Times New Roman" w:hAnsi="Times New Roman"/>
          <w:color w:val="0070C0"/>
          <w:sz w:val="16"/>
          <w:szCs w:val="16"/>
        </w:rPr>
        <w:softHyphen/>
        <w:t>ле 1942 г. 104 отдельных гвардейских миномёт</w:t>
      </w:r>
      <w:r w:rsidRPr="00640820">
        <w:rPr>
          <w:rFonts w:ascii="Times New Roman" w:hAnsi="Times New Roman"/>
          <w:color w:val="0070C0"/>
          <w:sz w:val="16"/>
          <w:szCs w:val="16"/>
        </w:rPr>
        <w:softHyphen/>
        <w:t>ных дивизионов, вооружённых реактивными установками М-8 и М-13. Нарком общего ма</w:t>
      </w:r>
      <w:r w:rsidRPr="00640820">
        <w:rPr>
          <w:rFonts w:ascii="Times New Roman" w:hAnsi="Times New Roman"/>
          <w:color w:val="0070C0"/>
          <w:sz w:val="16"/>
          <w:szCs w:val="16"/>
        </w:rPr>
        <w:softHyphen/>
        <w:t>шиностроения СССР П.И. Паршин был утвер</w:t>
      </w:r>
      <w:r w:rsidRPr="00640820">
        <w:rPr>
          <w:rFonts w:ascii="Times New Roman" w:hAnsi="Times New Roman"/>
          <w:color w:val="0070C0"/>
          <w:sz w:val="16"/>
          <w:szCs w:val="16"/>
        </w:rPr>
        <w:softHyphen/>
        <w:t>ждён уполномоченным ГКО по обеспечению их производства [15, оп.1, д. 14. л. 176-177], а 26 ноября 1941 г. Политбюро ЦК ВКП(б) утвердило проект Указа Президиума Верховного Совета СССР о преобразовании Народного комиссари</w:t>
      </w:r>
      <w:r w:rsidRPr="00640820">
        <w:rPr>
          <w:rFonts w:ascii="Times New Roman" w:hAnsi="Times New Roman"/>
          <w:color w:val="0070C0"/>
          <w:sz w:val="16"/>
          <w:szCs w:val="16"/>
        </w:rPr>
        <w:softHyphen/>
        <w:t>ата общего машиностроения СССР в Наркомат миномётного вооружения СССР (НКМВ), ко</w:t>
      </w:r>
      <w:r w:rsidRPr="00640820">
        <w:rPr>
          <w:rFonts w:ascii="Times New Roman" w:hAnsi="Times New Roman"/>
          <w:color w:val="0070C0"/>
          <w:sz w:val="16"/>
          <w:szCs w:val="16"/>
        </w:rPr>
        <w:softHyphen/>
        <w:t>торый возглавил П.И. Паршин. Преобразова</w:t>
      </w:r>
      <w:r w:rsidRPr="00640820">
        <w:rPr>
          <w:rFonts w:ascii="Times New Roman" w:hAnsi="Times New Roman"/>
          <w:color w:val="0070C0"/>
          <w:sz w:val="16"/>
          <w:szCs w:val="16"/>
        </w:rPr>
        <w:softHyphen/>
        <w:t>ние Наркомата общего машиностроения СССР в Наркомат миномётного вооружения СССР произошло, исходя из того, что удельный вес минно-миномётного и других видов вооруже</w:t>
      </w:r>
      <w:r w:rsidRPr="00640820">
        <w:rPr>
          <w:rFonts w:ascii="Times New Roman" w:hAnsi="Times New Roman"/>
          <w:color w:val="0070C0"/>
          <w:sz w:val="16"/>
          <w:szCs w:val="16"/>
        </w:rPr>
        <w:softHyphen/>
        <w:t>ния достиг в общем выпуске валовой продукции наркомата 93,8% [17, ф.8123, оп.8, д84, л. 56] (21521).</w:t>
      </w:r>
    </w:p>
    <w:p w14:paraId="1025B994" w14:textId="77777777" w:rsidR="009F466D" w:rsidRPr="00640820" w:rsidRDefault="009F466D" w:rsidP="00640820">
      <w:pPr>
        <w:spacing w:after="0" w:line="240" w:lineRule="auto"/>
        <w:jc w:val="both"/>
        <w:rPr>
          <w:rFonts w:ascii="Times New Roman" w:hAnsi="Times New Roman"/>
          <w:color w:val="0070C0"/>
          <w:sz w:val="16"/>
          <w:szCs w:val="16"/>
        </w:rPr>
      </w:pPr>
    </w:p>
    <w:p w14:paraId="3B28F201" w14:textId="77777777" w:rsidR="00E40BF2" w:rsidRPr="00640820" w:rsidRDefault="00E40BF2"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23 ноября 1941, согласно отчету о боевой работе ВВС ЮЗФ, штурмовики и истребители снова атаковали автоколонны с танками на дорогах Жадное – Троицкое, Веховое – Хомутово, а также пресловутые «скопления» автомобилей. Среди потерь значится «10982», то есть еще один секретный Ил</w:t>
      </w:r>
      <w:r w:rsidRPr="00640820">
        <w:rPr>
          <w:rFonts w:ascii="Times New Roman" w:hAnsi="Times New Roman"/>
          <w:color w:val="0070C0"/>
          <w:sz w:val="16"/>
          <w:szCs w:val="16"/>
        </w:rPr>
        <w:noBreakHyphen/>
        <w:t>2.</w:t>
      </w:r>
    </w:p>
    <w:p w14:paraId="2CD8DBF8" w14:textId="77777777" w:rsidR="00E40BF2" w:rsidRPr="00640820" w:rsidRDefault="00E40BF2"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Обтекаемое слово «скопление» затем прочно вошло в обиход в рапортах и отчетах штурмовой авиации. Однако оно не позволяло определить, что же именно атаковали. Выстроившиеся в ряд грузовики на парковке или в пробке перед железнодорожным переездом? Или же группу бензовозов на привале? И что конкретно считали скоплением, собравшиеся в кучу 5, 10 или 50 автомобилей? Характерно также, что в 1941 г. слово «штурмовка» практически не использовалось, в основном писали «атака войск противника», «вылет на атаку» (23199).</w:t>
      </w:r>
    </w:p>
    <w:p w14:paraId="167B7723" w14:textId="77777777" w:rsidR="00E40BF2" w:rsidRPr="00640820" w:rsidRDefault="00E40BF2" w:rsidP="00640820">
      <w:pPr>
        <w:spacing w:after="0" w:line="240" w:lineRule="auto"/>
        <w:jc w:val="both"/>
        <w:rPr>
          <w:rFonts w:ascii="Times New Roman" w:hAnsi="Times New Roman"/>
          <w:color w:val="0070C0"/>
          <w:sz w:val="16"/>
          <w:szCs w:val="16"/>
        </w:rPr>
      </w:pPr>
    </w:p>
    <w:p w14:paraId="4C529BF5" w14:textId="77777777" w:rsidR="005E16BC" w:rsidRPr="00640820" w:rsidRDefault="005E16BC"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23 ноября </w:t>
      </w:r>
      <w:r w:rsidRPr="00640820">
        <w:rPr>
          <w:rFonts w:ascii="Times New Roman" w:hAnsi="Times New Roman"/>
          <w:color w:val="000000" w:themeColor="text1"/>
          <w:sz w:val="16"/>
          <w:szCs w:val="16"/>
        </w:rPr>
        <w:t>в 1941 году противник захватил Клин, Солнечногорск, Яхрому, Красную Поляну; до Москвы оставалось около 30 км. Войска Южного фронта овладели станицей Больше-Крепинская и вышли в тылы группировки противника, захватившей Ростов-на-Дону. Проведен 3-й Всесоюзный комсомольско-молодежный воскресник (участвовало около 4 миллионов человек, в фонд строительства танковой колонны передано около 25 миллионов рублей и заработок за 266 тысяч трудодней) (14838).</w:t>
      </w:r>
    </w:p>
    <w:p w14:paraId="1835D7E7" w14:textId="77777777" w:rsidR="005E16BC" w:rsidRPr="00640820" w:rsidRDefault="005E16BC" w:rsidP="00640820">
      <w:pPr>
        <w:spacing w:after="0" w:line="240" w:lineRule="auto"/>
        <w:jc w:val="both"/>
        <w:rPr>
          <w:rFonts w:ascii="Times New Roman" w:hAnsi="Times New Roman"/>
          <w:color w:val="000000" w:themeColor="text1"/>
          <w:sz w:val="16"/>
          <w:szCs w:val="16"/>
        </w:rPr>
      </w:pPr>
    </w:p>
    <w:p w14:paraId="64A880D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ноября 1941 вышло Постановление ГКО № 950 О присвоении 8-й гвардейской стрелковой дивизии имени генерал-майора Панфилова И.В. (7015, 175).</w:t>
      </w:r>
    </w:p>
    <w:p w14:paraId="2F63ED0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8A2554" w14:textId="77777777" w:rsidR="002F388C" w:rsidRPr="00640820" w:rsidRDefault="002F388C"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79C6C8ED" w14:textId="77777777" w:rsidR="002F388C" w:rsidRPr="00640820" w:rsidRDefault="002F388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A171BE4" w14:textId="77777777" w:rsidR="002F388C" w:rsidRPr="00640820" w:rsidRDefault="002F388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ноября 1941. Из дневника журналиста Н. К. Вержбицкого: "Был в центре. Москва поразительно опустела. Прошел из конца в конец Ильинку (4 час. дня), и за это время мимо меня проехало едва 4 авто, причем два - военных. А милиционер все же стоит с бездельным белым жезлом на перекрестке и густо курит. В ГУМе работает едва десяток магазинов, галантерейных. Мрак, пустыня, тишина" (18697).</w:t>
      </w:r>
    </w:p>
    <w:p w14:paraId="4395D3F8" w14:textId="77777777" w:rsidR="002F388C" w:rsidRPr="00640820" w:rsidRDefault="002F388C" w:rsidP="00640820">
      <w:pPr>
        <w:spacing w:after="0" w:line="240" w:lineRule="auto"/>
        <w:jc w:val="both"/>
        <w:rPr>
          <w:rFonts w:ascii="Times New Roman" w:hAnsi="Times New Roman"/>
          <w:color w:val="000000" w:themeColor="text1"/>
          <w:sz w:val="16"/>
          <w:szCs w:val="16"/>
        </w:rPr>
      </w:pPr>
    </w:p>
    <w:p w14:paraId="65F19846"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006BA4B4"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C9A36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ноября 1941 года было отправлено:</w:t>
      </w:r>
    </w:p>
    <w:p w14:paraId="033347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ПОСЛАНИЕ ПРЕМЬЕРА СТАЛИНА ПРЕМЬЕРУ ЧЕРЧИЛЛЮ</w:t>
      </w:r>
    </w:p>
    <w:p w14:paraId="615595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Благодарю Вас за послание.</w:t>
      </w:r>
    </w:p>
    <w:p w14:paraId="2B5170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Выраженное в Вашем послании желание сотрудничать со мной путем личной переписки на основе содружества и доверия я искренне приветствую и надеюсь, что это будет во многом содействовать успеху нашего общего дела.</w:t>
      </w:r>
    </w:p>
    <w:p w14:paraId="6E6063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Что касается Финляндии, то СССР, по крайней мере на первое время, ничего другого и не предлагал, как прекращение военных действий и фактический выход Финляндии из войны. Если же Финляндия не сделает и этого в указанный Вами короткий срок, то я считаю объявление Великобританией состояния войны с Финляндией целесообразным и необходимым. В противном случае может создаться впечатление, что в вопросе о войне против Гитлера и его наиболее рьяных соучастников у нас нет единства и соучастники агрессии Гитлера могут безнаказанно творить свое гнусное дело. Насчет Венгрии и Румынии, по-видимому, можно подождать.</w:t>
      </w:r>
    </w:p>
    <w:p w14:paraId="02D229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Ваше предложение направить в ближайшее время в СССР Министра Иностранных Дел г. Идена я всемерно поддерживаю. Обсуждение вместе с ним и принятие соглашения о совместных действиях советских и английских войск на нашем фронте и осуществление этого дела в срочном порядке.имели бы большое положительное значение. Совершенно правильно, что обсуждение и принятие плана послевоенной организации мира должно исходить из того, чтобы помешать Германии и прежде всего Пруссии снова нарушить мир и ввергнуть снова народы в кровавую бойню.</w:t>
      </w:r>
    </w:p>
    <w:p w14:paraId="538E1D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 согласен с Вами также в том, что различие в характере государственного строя СССР, с одной стороны, и Великобритании и США, с другой стороны, не должно и не может помешать нам в благоприятном решении коренных вопросов об обеспечении нашей взаимной безопасности и законных интересов. Я надеюсь, что, если есть в этой области какие-либо недомолвки и сомнения, они будут рассеяны в результате переговоров с г. Иденом.</w:t>
      </w:r>
    </w:p>
    <w:p w14:paraId="0DFCDB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Прошу принять мое поздравление по случаю успешно начавшегося наступления великобританских войск в Ливии.</w:t>
      </w:r>
    </w:p>
    <w:p w14:paraId="388950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Борьба советских войск с войсками Гитлера продолжает оставаться весьма напряженной. Но, несмотря на все трудности, сопротивление наших войск растет и будет расти. Наша воля к победе над врагом непоколебима (7430).</w:t>
      </w:r>
    </w:p>
    <w:p w14:paraId="06D45A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BB04A5A"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552130E4"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55D7E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ноября 1941 г Роммель разгромил английскую 5 бригаду (2260).</w:t>
      </w:r>
    </w:p>
    <w:p w14:paraId="1ECFE4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88169AC" w14:textId="77777777" w:rsidR="005E16BC" w:rsidRPr="00640820" w:rsidRDefault="005E16BC"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23 ноября </w:t>
      </w:r>
      <w:r w:rsidRPr="00640820">
        <w:rPr>
          <w:rFonts w:ascii="Times New Roman" w:hAnsi="Times New Roman"/>
          <w:color w:val="000000" w:themeColor="text1"/>
          <w:sz w:val="16"/>
          <w:szCs w:val="16"/>
        </w:rPr>
        <w:t xml:space="preserve">в 1941 году завершилось танковое сражение между британскими и итало-немецкими войсками у Сиди Резег в Ливии. 15-я и 21-я немецкие танковые дивизии при поддержке итальянской моторизованой дивизии "Ариетте" разгромили 7-ю британскую бронетанковую и 1-ю южноафриканскую дивизии </w:t>
      </w:r>
    </w:p>
    <w:p w14:paraId="07BFA5C8" w14:textId="77777777" w:rsidR="005E16BC" w:rsidRPr="00640820" w:rsidRDefault="005E16BC" w:rsidP="00640820">
      <w:pPr>
        <w:spacing w:after="0" w:line="240" w:lineRule="auto"/>
        <w:jc w:val="both"/>
        <w:rPr>
          <w:rFonts w:ascii="Times New Roman" w:hAnsi="Times New Roman"/>
          <w:color w:val="000000" w:themeColor="text1"/>
          <w:sz w:val="16"/>
          <w:szCs w:val="16"/>
        </w:rPr>
      </w:pPr>
    </w:p>
    <w:p w14:paraId="5E47A945" w14:textId="77777777" w:rsidR="005E16BC" w:rsidRPr="00640820" w:rsidRDefault="005E16BC"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23 ноября </w:t>
      </w:r>
      <w:r w:rsidRPr="00640820">
        <w:rPr>
          <w:rFonts w:ascii="Times New Roman" w:hAnsi="Times New Roman"/>
          <w:color w:val="000000" w:themeColor="text1"/>
          <w:sz w:val="16"/>
          <w:szCs w:val="16"/>
        </w:rPr>
        <w:t>в 1941 году в Суринаме высадились американские войска. В мае 1940 г., как только началось вторжение фашистов в Голландию, ее правительство обратилось к США и Англии с просьбой обеспечить безопасность голландских колоний в Карибском море — Суринама и Кюрасао. Просьба была удовлетворена 23 ноября 1941 года (14838).</w:t>
      </w:r>
    </w:p>
    <w:p w14:paraId="7E359E12" w14:textId="77777777" w:rsidR="005E16BC" w:rsidRPr="00640820" w:rsidRDefault="005E16BC" w:rsidP="00640820">
      <w:pPr>
        <w:spacing w:after="0" w:line="240" w:lineRule="auto"/>
        <w:jc w:val="both"/>
        <w:rPr>
          <w:rFonts w:ascii="Times New Roman" w:hAnsi="Times New Roman"/>
          <w:color w:val="000000" w:themeColor="text1"/>
          <w:sz w:val="16"/>
          <w:szCs w:val="16"/>
        </w:rPr>
      </w:pPr>
    </w:p>
    <w:p w14:paraId="69FE08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ноября 1941 войска США вошли в Голландскую Гвиану для защиты бокситовых шахт (2100).</w:t>
      </w:r>
    </w:p>
    <w:p w14:paraId="51A69E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00F6F1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ноября 1941 немецкие войска оккупировали Голландскую Гайану (Суринам) (4962).</w:t>
      </w:r>
    </w:p>
    <w:p w14:paraId="6B26263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94E9CB"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38D9E1E5"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9BBDD2B" w14:textId="77777777" w:rsidR="00E3592D" w:rsidRPr="00640820" w:rsidRDefault="00E3592D"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24-го ноября 1941 года выходит, по-видимому, последний московский приказ по заводу 39 им. Менжинского, за подписью директора В.И. Абрамова и утвержденный заместителем Наркома авиационной промышленности Ворониным (202):</w:t>
      </w:r>
    </w:p>
    <w:p w14:paraId="57207F54" w14:textId="77777777" w:rsidR="00E3592D" w:rsidRPr="00640820" w:rsidRDefault="00E3592D"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ПРИКАЗ ПО ДВАЖДЫ ОРДЕНОНОСНОМУ ЗАВОДУ № 39 ИМЕНИ МЕНЖИНСКОГО</w:t>
      </w:r>
    </w:p>
    <w:p w14:paraId="14C1A903" w14:textId="77777777" w:rsidR="00E3592D" w:rsidRPr="00640820" w:rsidRDefault="00E3592D"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г. Москва № 17 24 ноября</w:t>
      </w:r>
    </w:p>
    <w:p w14:paraId="647D965A" w14:textId="77777777" w:rsidR="00E3592D" w:rsidRPr="00640820" w:rsidRDefault="00E3592D"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На основании постановления Совета Эвакуации от 16/ Х - 41 г. за № 14324-СЭ об эвакуации завода и указания Народного комиссара организовать в гор. Москве филиал завода.</w:t>
      </w:r>
    </w:p>
    <w:p w14:paraId="40FDF8BA" w14:textId="77777777" w:rsidR="00E3592D" w:rsidRPr="00640820" w:rsidRDefault="00E3592D"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Начальником филиала завода назначить помощника директора завода тов. КУРЫЛЕВА В.М.</w:t>
      </w:r>
    </w:p>
    <w:p w14:paraId="6A3BBEFA" w14:textId="77777777" w:rsidR="00E3592D" w:rsidRPr="00640820" w:rsidRDefault="00E3592D"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Во исполнение приказа по Наркомату авиационной промышленности от 20/Х - 41г. организовать при филиале завода ремонтные мастерские.</w:t>
      </w:r>
    </w:p>
    <w:p w14:paraId="111A5AA2" w14:textId="77777777" w:rsidR="00E3592D" w:rsidRPr="00640820" w:rsidRDefault="00E3592D"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Начальником ремонтных мастерских и заместителем нач. филиала назначить тов. БУЛАШЕВИЧ С.А.</w:t>
      </w:r>
    </w:p>
    <w:p w14:paraId="3B13BC36" w14:textId="77777777" w:rsidR="00E3592D" w:rsidRPr="00640820" w:rsidRDefault="00E3592D"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Утвердить следующий руководящий состав филиала и ремонтных мастерских:</w:t>
      </w:r>
    </w:p>
    <w:p w14:paraId="7F2848C4" w14:textId="77777777" w:rsidR="00E3592D" w:rsidRPr="00640820" w:rsidRDefault="00E3592D"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1) Заместителем нач. ремонтных мастерских по производству назначить инженера ЛЯПИНА Б.Ф.</w:t>
      </w:r>
    </w:p>
    <w:p w14:paraId="477C8FA6" w14:textId="77777777" w:rsidR="00E3592D" w:rsidRPr="00640820" w:rsidRDefault="00E3592D"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2) Начальником отдела финансово-материального снабжения и по соц.бытовым вопросам назначается нач. отдела сбыта ИТИН Б.С.</w:t>
      </w:r>
    </w:p>
    <w:p w14:paraId="109FA44E" w14:textId="77777777" w:rsidR="00E3592D" w:rsidRPr="00640820" w:rsidRDefault="00E3592D"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3) Начальником технологической группы БАРАГИН Н.В.</w:t>
      </w:r>
    </w:p>
    <w:p w14:paraId="576F055F" w14:textId="77777777" w:rsidR="00E3592D" w:rsidRPr="00640820" w:rsidRDefault="00E3592D"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4) Старшим механиком филиала назначается ДРОГАНОВ П.М.</w:t>
      </w:r>
    </w:p>
    <w:p w14:paraId="592E00D3" w14:textId="77777777" w:rsidR="00E3592D" w:rsidRPr="00640820" w:rsidRDefault="00E3592D"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6) Начальником бюро организации труда ремонтных мастерских назначается ГВОЗДЕВ М.Н.</w:t>
      </w:r>
    </w:p>
    <w:p w14:paraId="54E28D65" w14:textId="77777777" w:rsidR="00E3592D" w:rsidRPr="00640820" w:rsidRDefault="00E3592D"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7) Начальником бюро технического контроля ремонтных мастерских назначается ДОРОДНЫЙ К.С.</w:t>
      </w:r>
    </w:p>
    <w:p w14:paraId="1257475E" w14:textId="77777777" w:rsidR="00E3592D" w:rsidRPr="00640820" w:rsidRDefault="00E3592D"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8) Старшим конструктором ремонтных мастерских назначается БАЖАНОВ К.И.</w:t>
      </w:r>
    </w:p>
    <w:p w14:paraId="3959954D" w14:textId="77777777" w:rsidR="00E3592D" w:rsidRPr="00640820" w:rsidRDefault="00E3592D"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15) Начальником базы пригородного хозяйства назначается тов. НИКОЛАЕВ В.</w:t>
      </w:r>
    </w:p>
    <w:p w14:paraId="3CC16EA2" w14:textId="77777777" w:rsidR="00E3592D" w:rsidRPr="00640820" w:rsidRDefault="00E3592D" w:rsidP="00640820">
      <w:pPr>
        <w:pStyle w:val="rteindent11"/>
        <w:shd w:val="clear" w:color="auto" w:fill="FFFFFF"/>
        <w:spacing w:before="0" w:beforeAutospacing="0" w:after="0"/>
        <w:ind w:left="0" w:firstLine="0"/>
        <w:rPr>
          <w:rStyle w:val="af0"/>
          <w:i w:val="0"/>
          <w:color w:val="000000" w:themeColor="text1"/>
          <w:sz w:val="16"/>
          <w:szCs w:val="16"/>
        </w:rPr>
      </w:pPr>
      <w:r w:rsidRPr="00640820">
        <w:rPr>
          <w:rStyle w:val="af0"/>
          <w:i w:val="0"/>
          <w:color w:val="000000" w:themeColor="text1"/>
          <w:sz w:val="16"/>
          <w:szCs w:val="16"/>
        </w:rPr>
        <w:t>18/ Начальником жилотдела назначается тов. ШАШКОВ И.И.</w:t>
      </w:r>
    </w:p>
    <w:p w14:paraId="63BE1783" w14:textId="77777777" w:rsidR="00E3592D" w:rsidRPr="00640820" w:rsidRDefault="00E3592D"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19/ Начальником УКСа назначается тов. ХОМУТОВ.</w:t>
      </w:r>
    </w:p>
    <w:p w14:paraId="0E98F48E" w14:textId="77777777" w:rsidR="00E3592D" w:rsidRPr="00640820" w:rsidRDefault="00E3592D" w:rsidP="00640820">
      <w:pPr>
        <w:pStyle w:val="rteindent11"/>
        <w:shd w:val="clear" w:color="auto" w:fill="FFFFFF"/>
        <w:spacing w:before="0" w:beforeAutospacing="0" w:after="0"/>
        <w:ind w:left="0" w:firstLine="0"/>
        <w:rPr>
          <w:rStyle w:val="af0"/>
          <w:i w:val="0"/>
          <w:color w:val="000000" w:themeColor="text1"/>
          <w:sz w:val="16"/>
          <w:szCs w:val="16"/>
        </w:rPr>
      </w:pPr>
      <w:r w:rsidRPr="00640820">
        <w:rPr>
          <w:rStyle w:val="af0"/>
          <w:i w:val="0"/>
          <w:color w:val="000000" w:themeColor="text1"/>
          <w:sz w:val="16"/>
          <w:szCs w:val="16"/>
        </w:rPr>
        <w:t>Возложить на филиал завода выполнение следующих работ:</w:t>
      </w:r>
    </w:p>
    <w:p w14:paraId="1CEA97A5" w14:textId="77777777" w:rsidR="00E3592D" w:rsidRPr="00640820" w:rsidRDefault="00E3592D" w:rsidP="00640820">
      <w:pPr>
        <w:pStyle w:val="rteindent11"/>
        <w:shd w:val="clear" w:color="auto" w:fill="FFFFFF"/>
        <w:spacing w:before="0" w:beforeAutospacing="0" w:after="0"/>
        <w:ind w:left="0" w:firstLine="0"/>
        <w:rPr>
          <w:rStyle w:val="af0"/>
          <w:i w:val="0"/>
          <w:color w:val="000000" w:themeColor="text1"/>
          <w:sz w:val="16"/>
          <w:szCs w:val="16"/>
        </w:rPr>
      </w:pPr>
      <w:r w:rsidRPr="00640820">
        <w:rPr>
          <w:rStyle w:val="af0"/>
          <w:i w:val="0"/>
          <w:color w:val="000000" w:themeColor="text1"/>
          <w:sz w:val="16"/>
          <w:szCs w:val="16"/>
        </w:rPr>
        <w:t>1) Окончание эвакуации оборудования, материалов и работающих, для чего в помощь начальнику филиала временно оставить в гор. Москве заместителя нач. отдела снабжения тов. СИНЧУРИНА А.В.– ответственным за погрузку заводского имущества.</w:t>
      </w:r>
    </w:p>
    <w:p w14:paraId="6EC86749" w14:textId="77777777" w:rsidR="00E3592D" w:rsidRPr="00640820" w:rsidRDefault="00E3592D"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Экспедитор транспортного отдела тов. ВЕТРОВ – ответственный за железнодорожный транспорт.</w:t>
      </w:r>
    </w:p>
    <w:p w14:paraId="192F4D43" w14:textId="77777777" w:rsidR="00E3592D" w:rsidRPr="00640820" w:rsidRDefault="00E3592D"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Начальник транспортного отдела тов. КАТЕЛЕВСКИЙ А.П.– ответственный за эвакуацию автотранспортом.</w:t>
      </w:r>
    </w:p>
    <w:p w14:paraId="46B3D2FD" w14:textId="77777777" w:rsidR="00E3592D" w:rsidRPr="00640820" w:rsidRDefault="00E3592D"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2) По ремонтным мастерским:</w:t>
      </w:r>
    </w:p>
    <w:p w14:paraId="7BB210F8" w14:textId="77777777" w:rsidR="00E3592D" w:rsidRPr="00640820" w:rsidRDefault="00E3592D"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а/ ремонт и восстановление боевых машин Пе-2, Пе-3 и ДБ-3.</w:t>
      </w:r>
    </w:p>
    <w:p w14:paraId="7941EADC" w14:textId="77777777" w:rsidR="00E3592D" w:rsidRPr="00640820" w:rsidRDefault="00E3592D"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б/ монтаж лыж на самолеты, находящиеся в эксплуатации.</w:t>
      </w:r>
    </w:p>
    <w:p w14:paraId="70DBE1FF" w14:textId="77777777" w:rsidR="00E3592D" w:rsidRPr="00640820" w:rsidRDefault="00E3592D"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в/ выполнение спецзаданий.</w:t>
      </w:r>
    </w:p>
    <w:p w14:paraId="3E79D904" w14:textId="77777777" w:rsidR="00E3592D" w:rsidRPr="00640820" w:rsidRDefault="00E3592D"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Начальнику филиала вступить в исполнение своих обязанностей с 26/ХI-1941 года в виду моего отъезда.</w:t>
      </w:r>
    </w:p>
    <w:p w14:paraId="63873F26" w14:textId="77777777" w:rsidR="00E3592D" w:rsidRPr="00640820" w:rsidRDefault="00E3592D"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ДИРЕКТОР ЗАВОДА</w:t>
      </w:r>
    </w:p>
    <w:p w14:paraId="568E86B2" w14:textId="77777777" w:rsidR="00E3592D" w:rsidRPr="00640820" w:rsidRDefault="00E3592D" w:rsidP="00640820">
      <w:pPr>
        <w:pStyle w:val="rteindent11"/>
        <w:shd w:val="clear" w:color="auto" w:fill="FFFFFF"/>
        <w:spacing w:before="0" w:beforeAutospacing="0" w:after="0"/>
        <w:ind w:left="0" w:firstLine="0"/>
        <w:rPr>
          <w:rStyle w:val="af0"/>
          <w:i w:val="0"/>
          <w:color w:val="000000" w:themeColor="text1"/>
          <w:sz w:val="16"/>
          <w:szCs w:val="16"/>
        </w:rPr>
      </w:pPr>
      <w:r w:rsidRPr="00640820">
        <w:rPr>
          <w:rStyle w:val="af0"/>
          <w:i w:val="0"/>
          <w:color w:val="000000" w:themeColor="text1"/>
          <w:sz w:val="16"/>
          <w:szCs w:val="16"/>
        </w:rPr>
        <w:t>ИМЕНИ МЕНЖИНСКОГО /АБРАМОВ/ (15223).</w:t>
      </w:r>
    </w:p>
    <w:p w14:paraId="34D2381A" w14:textId="77777777" w:rsidR="00E3592D" w:rsidRPr="00640820" w:rsidRDefault="00E3592D" w:rsidP="00640820">
      <w:pPr>
        <w:pStyle w:val="rteindent11"/>
        <w:shd w:val="clear" w:color="auto" w:fill="FFFFFF"/>
        <w:spacing w:before="0" w:beforeAutospacing="0" w:after="0"/>
        <w:ind w:left="0" w:firstLine="0"/>
        <w:rPr>
          <w:rStyle w:val="af0"/>
          <w:i w:val="0"/>
          <w:color w:val="000000" w:themeColor="text1"/>
          <w:sz w:val="16"/>
          <w:szCs w:val="16"/>
        </w:rPr>
      </w:pPr>
    </w:p>
    <w:p w14:paraId="7FBF0453" w14:textId="77777777" w:rsidR="002F388C" w:rsidRPr="00640820" w:rsidRDefault="002F388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24-го ноября 1941 года выходит, по-видимому, последний московский приказ по заводу 39 им. Менжинского, за подписью директора В.И. Абрамова и утвержденный заместителем Наркома авиационной промышленности Ворониным (202):</w:t>
      </w:r>
    </w:p>
    <w:p w14:paraId="5E15DDE9" w14:textId="77777777" w:rsidR="002F388C" w:rsidRPr="00640820" w:rsidRDefault="002F388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 ПО ДВАЖДЫ ОРДЕНОНОСНОМУ ЗАВОДУ № 39 ИМЕНИ МЕНЖИНСКОГО</w:t>
      </w:r>
    </w:p>
    <w:p w14:paraId="07EF13EE" w14:textId="77777777" w:rsidR="002F388C" w:rsidRPr="00640820" w:rsidRDefault="002F388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Москва № 17 24 ноября</w:t>
      </w:r>
    </w:p>
    <w:p w14:paraId="79DC5498" w14:textId="77777777" w:rsidR="002F388C" w:rsidRPr="00640820" w:rsidRDefault="002F388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основании постановления Совета Эвакуации от 16/ Х - 41 г. за № 14324-СЭ об эвакуации завода и указания Народного комиссара организовать в гор. Москве филиал завода.</w:t>
      </w:r>
    </w:p>
    <w:p w14:paraId="14A641D5" w14:textId="77777777" w:rsidR="002F388C" w:rsidRPr="00640820" w:rsidRDefault="002F388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Начальником филиала завода назначить помощника директора завода тов. КУРЫЛЕВА В.М.</w:t>
      </w:r>
    </w:p>
    <w:p w14:paraId="49385089" w14:textId="77777777" w:rsidR="002F388C" w:rsidRPr="00640820" w:rsidRDefault="002F388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Во исполнение приказа по Наркомату авиационной промышленности от 20/Х - 41г. организовать при филиале завода ремонтные мастерские.</w:t>
      </w:r>
    </w:p>
    <w:p w14:paraId="10766E8A" w14:textId="77777777" w:rsidR="002F388C" w:rsidRPr="00640820" w:rsidRDefault="002F388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Начальником ремонтных мастерских и заместителем нач. филиала назначить тов. БУЛАШЕВИЧ С.А.</w:t>
      </w:r>
    </w:p>
    <w:p w14:paraId="2A7B64A6" w14:textId="77777777" w:rsidR="002F388C" w:rsidRPr="00640820" w:rsidRDefault="002F388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Утвердить следующий руководящий состав филиала и ремонтных мастерских:</w:t>
      </w:r>
    </w:p>
    <w:p w14:paraId="5AD0F6D7" w14:textId="77777777" w:rsidR="002F388C" w:rsidRPr="00640820" w:rsidRDefault="002F388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Заместителем нач. ремонтных мастерских по производству назначить инженера ЛЯПИНА Б.Ф.</w:t>
      </w:r>
    </w:p>
    <w:p w14:paraId="1D9A7B56" w14:textId="77777777" w:rsidR="002F388C" w:rsidRPr="00640820" w:rsidRDefault="002F388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Начальником отдела финансово-материального снабжения и по соц.бытовым вопросам назначается нач. отдела сбыта ИТИН Б.С.</w:t>
      </w:r>
    </w:p>
    <w:p w14:paraId="4A7A54EE" w14:textId="77777777" w:rsidR="002F388C" w:rsidRPr="00640820" w:rsidRDefault="002F388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Начальником технологической группы БАРАГИН Н.В.</w:t>
      </w:r>
    </w:p>
    <w:p w14:paraId="5218FB43" w14:textId="77777777" w:rsidR="002F388C" w:rsidRPr="00640820" w:rsidRDefault="002F388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Старшим механиком филиала назначается ДРОГАНОВ П.М.</w:t>
      </w:r>
    </w:p>
    <w:p w14:paraId="236C1A26" w14:textId="77777777" w:rsidR="002F388C" w:rsidRPr="00640820" w:rsidRDefault="002F388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Начальником бюро организации труда ремонтных мастерских назначается ГВОЗДЕВ М.Н.</w:t>
      </w:r>
    </w:p>
    <w:p w14:paraId="0533F15C" w14:textId="77777777" w:rsidR="002F388C" w:rsidRPr="00640820" w:rsidRDefault="002F388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Начальником бюро технического контроля ремонтных мастерских назначается ДОРОДНЫЙ К.С.</w:t>
      </w:r>
    </w:p>
    <w:p w14:paraId="34BF09D3" w14:textId="77777777" w:rsidR="002F388C" w:rsidRPr="00640820" w:rsidRDefault="002F388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Старшим конструктором ремонтных мастерских назначается БАЖАНОВ К.И.</w:t>
      </w:r>
    </w:p>
    <w:p w14:paraId="1FE8AE5C" w14:textId="77777777" w:rsidR="002F388C" w:rsidRPr="00640820" w:rsidRDefault="002F388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Начальником базы пригородного хозяйства назначается тов. НИКОЛАЕВ В.</w:t>
      </w:r>
    </w:p>
    <w:p w14:paraId="3C75B692" w14:textId="77777777" w:rsidR="002F388C" w:rsidRPr="00640820" w:rsidRDefault="002F388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Начальником жилотдела назначается тов. ШАШКОВ И.И.</w:t>
      </w:r>
    </w:p>
    <w:p w14:paraId="0AE9CCE5" w14:textId="77777777" w:rsidR="002F388C" w:rsidRPr="00640820" w:rsidRDefault="002F388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Начальником УКСа назначается тов. ХОМУТОВ.</w:t>
      </w:r>
    </w:p>
    <w:p w14:paraId="4666161A" w14:textId="77777777" w:rsidR="002F388C" w:rsidRPr="00640820" w:rsidRDefault="002F388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Возложить на филиал завода выполнение следующих работ:</w:t>
      </w:r>
    </w:p>
    <w:p w14:paraId="556AC407" w14:textId="77777777" w:rsidR="002F388C" w:rsidRPr="00640820" w:rsidRDefault="002F388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Окончание эвакуации оборудования, материалов и работающих, для чего в помощь начальнику филиала временно оставить в гор. Москве заместителя нач. отдела снабжения тов. СИНЧУРИНА А.В.– ответственным за погрузку заводского имущества.</w:t>
      </w:r>
    </w:p>
    <w:p w14:paraId="7BEF1F8C" w14:textId="77777777" w:rsidR="002F388C" w:rsidRPr="00640820" w:rsidRDefault="002F388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Экспедитор транспортного отдела тов. ВЕТРОВ – ответственный за железнодорожный транспорт.</w:t>
      </w:r>
    </w:p>
    <w:p w14:paraId="1F9A4A5A" w14:textId="77777777" w:rsidR="002F388C" w:rsidRPr="00640820" w:rsidRDefault="002F388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транспортного отдела тов. КАТЕЛЕВСКИЙ А.П.– ответственный за эвакуацию автотранспортом.</w:t>
      </w:r>
    </w:p>
    <w:p w14:paraId="7D232859" w14:textId="77777777" w:rsidR="002F388C" w:rsidRPr="00640820" w:rsidRDefault="002F388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По ремонтным мастерским:</w:t>
      </w:r>
    </w:p>
    <w:p w14:paraId="48CFCD60" w14:textId="77777777" w:rsidR="002F388C" w:rsidRPr="00640820" w:rsidRDefault="002F388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ремонт и восстановление боевых машин Пе-2, Пе-3 и ДБ-3.</w:t>
      </w:r>
    </w:p>
    <w:p w14:paraId="6706BD34" w14:textId="77777777" w:rsidR="002F388C" w:rsidRPr="00640820" w:rsidRDefault="002F388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монтаж лыж на самолеты, находящиеся в эксплуатации.</w:t>
      </w:r>
    </w:p>
    <w:p w14:paraId="08957239" w14:textId="77777777" w:rsidR="002F388C" w:rsidRPr="00640820" w:rsidRDefault="002F388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выполнение спецзаданий.</w:t>
      </w:r>
    </w:p>
    <w:p w14:paraId="684BB19F" w14:textId="77777777" w:rsidR="002F388C" w:rsidRPr="00640820" w:rsidRDefault="002F388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Начальнику филиала вступить в исполнение своих обязанностей с 26/ХI-1941 года в виду моего отъезда.</w:t>
      </w:r>
    </w:p>
    <w:p w14:paraId="3AEA1474" w14:textId="77777777" w:rsidR="002F388C" w:rsidRPr="00640820" w:rsidRDefault="002F388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ЗАВОДА</w:t>
      </w:r>
    </w:p>
    <w:p w14:paraId="411F6B00" w14:textId="77777777" w:rsidR="002F388C" w:rsidRPr="00640820" w:rsidRDefault="002F388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ИМЕНИ МЕНЖИНСКОГО /АБРАМОВ/ (18293).</w:t>
      </w:r>
    </w:p>
    <w:p w14:paraId="6D58B610" w14:textId="77777777" w:rsidR="002F388C" w:rsidRPr="00640820" w:rsidRDefault="002F388C" w:rsidP="00640820">
      <w:pPr>
        <w:spacing w:after="0" w:line="240" w:lineRule="auto"/>
        <w:jc w:val="both"/>
        <w:rPr>
          <w:rFonts w:ascii="Times New Roman" w:hAnsi="Times New Roman"/>
          <w:color w:val="000000" w:themeColor="text1"/>
          <w:sz w:val="16"/>
          <w:szCs w:val="16"/>
        </w:rPr>
      </w:pPr>
    </w:p>
    <w:p w14:paraId="7F4D86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ноября 1941 года зам. начальника управления эксплуатации и ремонта ГУ ВВС бригинженер Волков и военный комиссар управления эксплуатации и ремонта ГУ ВВС батальонный комиссар Понежа писали письмо N 181431с начальнику 10 управления ГУ ВВС.</w:t>
      </w:r>
    </w:p>
    <w:p w14:paraId="5C301A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опыта боевой работы на самолетах Пе-2 зафиксированы случаи, когда подбитый самолет начинает гореть и пройдя некоторое время в горизонтальном полете резко переходит в пике, после чего врезается в землю. Причина перехода в пике - быстрое сгорание рулей глубины и поворота, обтянутых перкалью.</w:t>
      </w:r>
    </w:p>
    <w:p w14:paraId="3C8118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моторах М-105, стоящих на самолете Пе-2 имеет место целый ряд случаев преждевременной съемки мотора (наработали по 48-70 ч.) вследствие падения компрессии (разрушение и износ поршневых колец и выработка цилиндров). Причина - низкое расположение всасывающих сопел карбюраторов и отсутствие воздушных фильтров в них, в результате попадания пыли и песка в цилиндры.</w:t>
      </w:r>
    </w:p>
    <w:p w14:paraId="3F8BE0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Считаю необходимым поставить эти вопросы перед промышленностью о замене или специальной переработке материала рулей и конструктивном изменении всасывающих сопел на самолетах Пе-2 вновь выпускаемых и находящихся в эксплуатации. о принятых мерах прошу сообщить (2708,251).</w:t>
      </w:r>
    </w:p>
    <w:p w14:paraId="742A06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B4C271A"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0384CC51"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89EF7ED" w14:textId="77777777" w:rsidR="00E3592D" w:rsidRPr="00640820" w:rsidRDefault="00E3592D"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24 ноября </w:t>
      </w:r>
      <w:r w:rsidRPr="00640820">
        <w:rPr>
          <w:rFonts w:ascii="Times New Roman" w:hAnsi="Times New Roman"/>
          <w:color w:val="000000" w:themeColor="text1"/>
          <w:sz w:val="16"/>
          <w:szCs w:val="16"/>
        </w:rPr>
        <w:t>в 1941 году начал выпускать военную продукцию Барнаульский станкостроительный завод (ныне ОАО "БМЗ"). В этот день на фронт была отправлена первая партия боевых патронов. Организован на базе эвакуированных на Алтай предприятий Подольска, Луганска и Москвы (в годы войны — завод № 17 Наркомата вооружения СССР)</w:t>
      </w:r>
    </w:p>
    <w:p w14:paraId="2599F0ED" w14:textId="77777777" w:rsidR="00E3592D" w:rsidRPr="00640820" w:rsidRDefault="00E3592D" w:rsidP="00640820">
      <w:pPr>
        <w:spacing w:after="0" w:line="240" w:lineRule="auto"/>
        <w:jc w:val="both"/>
        <w:rPr>
          <w:rFonts w:ascii="Times New Roman" w:hAnsi="Times New Roman"/>
          <w:color w:val="000000" w:themeColor="text1"/>
          <w:sz w:val="16"/>
          <w:szCs w:val="16"/>
        </w:rPr>
      </w:pPr>
    </w:p>
    <w:p w14:paraId="1DBC85EC" w14:textId="77777777" w:rsidR="00E3592D" w:rsidRPr="00640820" w:rsidRDefault="00E3592D"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ноября 1941 года вышел Приказ НКБ № 640</w:t>
      </w:r>
    </w:p>
    <w:p w14:paraId="646A6FB2" w14:textId="77777777" w:rsidR="00E3592D" w:rsidRPr="00640820" w:rsidRDefault="00E3592D"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Миасскому заводу 1 Гл. управления НКБ организованному в цехах бывшего ремонтно-механического завода НКЦМ на базе эвакуированного завода № 144 НКБ присвоить наименование завод № 611 (5673, 93).</w:t>
      </w:r>
    </w:p>
    <w:p w14:paraId="624BEC02" w14:textId="77777777" w:rsidR="00E3592D" w:rsidRPr="00640820" w:rsidRDefault="00E3592D"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A9FB98" w14:textId="77777777" w:rsidR="00E3592D" w:rsidRPr="00640820" w:rsidRDefault="00E3592D"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ноября 1941 года вышел Приказ НКБ № 643</w:t>
      </w:r>
    </w:p>
    <w:p w14:paraId="3525BB27" w14:textId="77777777" w:rsidR="00E3592D" w:rsidRPr="00640820" w:rsidRDefault="00E3592D"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Постановлением СНК и ЦК ВКП(б) от 16 августа 1941 года за № 1916-891сс и в дополнение к приказу по НКБ за № 448сс от 24 августа 1941 года:</w:t>
      </w:r>
    </w:p>
    <w:p w14:paraId="0389A535" w14:textId="77777777" w:rsidR="00E3592D" w:rsidRPr="00640820" w:rsidRDefault="00E3592D"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Освобождающуюся площадку завода № 312, расположенную смежно с комбинатом № 179 в Новосибирске, передать под строительство нового гильзового завода 5 Гл. управлению.</w:t>
      </w:r>
    </w:p>
    <w:p w14:paraId="52939428" w14:textId="77777777" w:rsidR="00E3592D" w:rsidRPr="00640820" w:rsidRDefault="00E3592D"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Площадку № 2 в г. Магнитогорске, выбранную 5 Гл. управлением утвердить под строительство завода свертных гильз.</w:t>
      </w:r>
    </w:p>
    <w:p w14:paraId="02A79B53" w14:textId="77777777" w:rsidR="00E3592D" w:rsidRPr="00640820" w:rsidRDefault="00E3592D"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Присвоить номера строительствам новых гильзовых заводов в Магнитогорске № 508 и Новосибирске - № 516 (5673, 101).</w:t>
      </w:r>
    </w:p>
    <w:p w14:paraId="72FE7BFE" w14:textId="77777777" w:rsidR="00E3592D" w:rsidRPr="00640820" w:rsidRDefault="00E3592D"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E7AC00" w14:textId="77777777" w:rsidR="00E3592D" w:rsidRPr="00640820" w:rsidRDefault="00E3592D"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ноября 1941 вышло Постановление ГКО № 956 О запрещении директорам заводов [НКВ и НКБ] выдачи оружия и боеприпасов без разрешения ГАУ НКО. (7016, 4-5).</w:t>
      </w:r>
    </w:p>
    <w:p w14:paraId="7DBE359E" w14:textId="77777777" w:rsidR="00E3592D" w:rsidRPr="00640820" w:rsidRDefault="00E3592D"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1BE26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ноября 1941 г. была подготовлена СПРАВКА ГАБТУ В НКВТ СССР О СРАВНИТЕЛЬНЫХ ХАРАКТЕРИСТИКАХ АМЕРИКАНСКИХ И СОВЕТСКИХ ТАНКОВ</w:t>
      </w:r>
    </w:p>
    <w:p w14:paraId="19C8D0B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Представляю сравнительные характеристики американских и советских танков и таблицу веса броневых корпусов танков и бронеавтомобилей отечественного производства. Приложение: характеристики на 3-х листах'.</w:t>
      </w:r>
    </w:p>
    <w:p w14:paraId="47FB29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kern w:val="65535"/>
          <w:sz w:val="16"/>
          <w:szCs w:val="16"/>
        </w:rPr>
      </w:pPr>
      <w:r w:rsidRPr="00640820">
        <w:rPr>
          <w:rFonts w:ascii="Times New Roman" w:hAnsi="Times New Roman"/>
          <w:color w:val="000000" w:themeColor="text1"/>
          <w:kern w:val="65535"/>
          <w:sz w:val="16"/>
          <w:szCs w:val="16"/>
        </w:rPr>
        <w:t>Зам. начальника ГАБТУ Красной Армии генерал-майор технических войск Лебедев</w:t>
      </w:r>
    </w:p>
    <w:p w14:paraId="0978239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СРАВНИТЕЛЬНАЯ ХАРАКТЕРИСТИКА американских танков М-3 и советских танков БТ-7 и Т-34</w:t>
      </w:r>
    </w:p>
    <w:tbl>
      <w:tblPr>
        <w:tblW w:w="0" w:type="auto"/>
        <w:tblInd w:w="40" w:type="dxa"/>
        <w:tblLayout w:type="fixed"/>
        <w:tblCellMar>
          <w:left w:w="40" w:type="dxa"/>
          <w:right w:w="40" w:type="dxa"/>
        </w:tblCellMar>
        <w:tblLook w:val="0000" w:firstRow="0" w:lastRow="0" w:firstColumn="0" w:lastColumn="0" w:noHBand="0" w:noVBand="0"/>
      </w:tblPr>
      <w:tblGrid>
        <w:gridCol w:w="461"/>
        <w:gridCol w:w="2774"/>
        <w:gridCol w:w="1469"/>
        <w:gridCol w:w="1488"/>
        <w:gridCol w:w="1478"/>
        <w:gridCol w:w="1498"/>
      </w:tblGrid>
      <w:tr w:rsidR="00643896" w:rsidRPr="00640820" w14:paraId="58BF610E" w14:textId="77777777" w:rsidTr="000D3BCB">
        <w:trPr>
          <w:trHeight w:val="192"/>
        </w:trPr>
        <w:tc>
          <w:tcPr>
            <w:tcW w:w="461" w:type="dxa"/>
            <w:tcBorders>
              <w:top w:val="single" w:sz="6" w:space="0" w:color="auto"/>
              <w:left w:val="single" w:sz="6" w:space="0" w:color="auto"/>
              <w:bottom w:val="nil"/>
              <w:right w:val="single" w:sz="6" w:space="0" w:color="auto"/>
            </w:tcBorders>
          </w:tcPr>
          <w:p w14:paraId="60F8EF4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p w14:paraId="490057D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74" w:type="dxa"/>
            <w:tcBorders>
              <w:top w:val="single" w:sz="6" w:space="0" w:color="auto"/>
              <w:left w:val="single" w:sz="6" w:space="0" w:color="auto"/>
              <w:bottom w:val="nil"/>
              <w:right w:val="single" w:sz="6" w:space="0" w:color="auto"/>
            </w:tcBorders>
          </w:tcPr>
          <w:p w14:paraId="2D361C1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Показатели сравнения</w:t>
            </w:r>
          </w:p>
          <w:p w14:paraId="0FE12B9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57" w:type="dxa"/>
            <w:gridSpan w:val="2"/>
            <w:tcBorders>
              <w:top w:val="single" w:sz="6" w:space="0" w:color="auto"/>
              <w:left w:val="single" w:sz="6" w:space="0" w:color="auto"/>
              <w:bottom w:val="single" w:sz="6" w:space="0" w:color="auto"/>
              <w:right w:val="single" w:sz="6" w:space="0" w:color="auto"/>
            </w:tcBorders>
          </w:tcPr>
          <w:p w14:paraId="4C51723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Легкие танки</w:t>
            </w:r>
          </w:p>
          <w:p w14:paraId="6B98146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76" w:type="dxa"/>
            <w:gridSpan w:val="2"/>
            <w:tcBorders>
              <w:top w:val="single" w:sz="6" w:space="0" w:color="auto"/>
              <w:left w:val="single" w:sz="6" w:space="0" w:color="auto"/>
              <w:bottom w:val="single" w:sz="6" w:space="0" w:color="auto"/>
              <w:right w:val="single" w:sz="6" w:space="0" w:color="auto"/>
            </w:tcBorders>
          </w:tcPr>
          <w:p w14:paraId="4452AA0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Средние танки</w:t>
            </w:r>
          </w:p>
          <w:p w14:paraId="3250970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53FA2D5" w14:textId="77777777" w:rsidTr="000D3BCB">
        <w:trPr>
          <w:trHeight w:val="326"/>
        </w:trPr>
        <w:tc>
          <w:tcPr>
            <w:tcW w:w="461" w:type="dxa"/>
            <w:tcBorders>
              <w:top w:val="nil"/>
              <w:left w:val="single" w:sz="6" w:space="0" w:color="auto"/>
              <w:bottom w:val="single" w:sz="6" w:space="0" w:color="auto"/>
              <w:right w:val="single" w:sz="6" w:space="0" w:color="auto"/>
            </w:tcBorders>
          </w:tcPr>
          <w:p w14:paraId="40FB2A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EA131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774" w:type="dxa"/>
            <w:tcBorders>
              <w:top w:val="nil"/>
              <w:left w:val="single" w:sz="6" w:space="0" w:color="auto"/>
              <w:bottom w:val="single" w:sz="6" w:space="0" w:color="auto"/>
              <w:right w:val="single" w:sz="6" w:space="0" w:color="auto"/>
            </w:tcBorders>
          </w:tcPr>
          <w:p w14:paraId="090132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DFF65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69" w:type="dxa"/>
            <w:tcBorders>
              <w:top w:val="single" w:sz="6" w:space="0" w:color="auto"/>
              <w:left w:val="single" w:sz="6" w:space="0" w:color="auto"/>
              <w:bottom w:val="single" w:sz="6" w:space="0" w:color="auto"/>
              <w:right w:val="single" w:sz="6" w:space="0" w:color="auto"/>
            </w:tcBorders>
          </w:tcPr>
          <w:p w14:paraId="19D6C63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Американский танк М-3</w:t>
            </w:r>
          </w:p>
          <w:p w14:paraId="5F7F7DD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88" w:type="dxa"/>
            <w:tcBorders>
              <w:top w:val="single" w:sz="6" w:space="0" w:color="auto"/>
              <w:left w:val="single" w:sz="6" w:space="0" w:color="auto"/>
              <w:bottom w:val="single" w:sz="6" w:space="0" w:color="auto"/>
              <w:right w:val="single" w:sz="6" w:space="0" w:color="auto"/>
            </w:tcBorders>
          </w:tcPr>
          <w:p w14:paraId="390C0BC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Танк БТ-7</w:t>
            </w:r>
          </w:p>
          <w:p w14:paraId="1E2CCD9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37D84D8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Американский танк М-3</w:t>
            </w:r>
          </w:p>
          <w:p w14:paraId="00234A4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64E5408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Танк Т-34</w:t>
            </w:r>
          </w:p>
          <w:p w14:paraId="49E9B13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0F80C8F" w14:textId="77777777" w:rsidTr="000D3BCB">
        <w:trPr>
          <w:trHeight w:val="173"/>
        </w:trPr>
        <w:tc>
          <w:tcPr>
            <w:tcW w:w="461" w:type="dxa"/>
            <w:tcBorders>
              <w:top w:val="single" w:sz="6" w:space="0" w:color="auto"/>
              <w:left w:val="single" w:sz="6" w:space="0" w:color="auto"/>
              <w:bottom w:val="single" w:sz="6" w:space="0" w:color="auto"/>
              <w:right w:val="single" w:sz="6" w:space="0" w:color="auto"/>
            </w:tcBorders>
          </w:tcPr>
          <w:p w14:paraId="15568CC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p w14:paraId="3463D8D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74" w:type="dxa"/>
            <w:tcBorders>
              <w:top w:val="single" w:sz="6" w:space="0" w:color="auto"/>
              <w:left w:val="single" w:sz="6" w:space="0" w:color="auto"/>
              <w:bottom w:val="single" w:sz="6" w:space="0" w:color="auto"/>
              <w:right w:val="single" w:sz="6" w:space="0" w:color="auto"/>
            </w:tcBorders>
          </w:tcPr>
          <w:p w14:paraId="758226B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Вес</w:t>
            </w:r>
          </w:p>
          <w:p w14:paraId="1D1505D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69" w:type="dxa"/>
            <w:tcBorders>
              <w:top w:val="single" w:sz="6" w:space="0" w:color="auto"/>
              <w:left w:val="single" w:sz="6" w:space="0" w:color="auto"/>
              <w:bottom w:val="single" w:sz="6" w:space="0" w:color="auto"/>
              <w:right w:val="single" w:sz="6" w:space="0" w:color="auto"/>
            </w:tcBorders>
          </w:tcPr>
          <w:p w14:paraId="4A8CDEC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12,7 тонн</w:t>
            </w:r>
          </w:p>
          <w:p w14:paraId="194BF09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88" w:type="dxa"/>
            <w:tcBorders>
              <w:top w:val="single" w:sz="6" w:space="0" w:color="auto"/>
              <w:left w:val="single" w:sz="6" w:space="0" w:color="auto"/>
              <w:bottom w:val="single" w:sz="6" w:space="0" w:color="auto"/>
              <w:right w:val="single" w:sz="6" w:space="0" w:color="auto"/>
            </w:tcBorders>
          </w:tcPr>
          <w:p w14:paraId="115A428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13/9 тонн</w:t>
            </w:r>
          </w:p>
          <w:p w14:paraId="4EB5FA5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3651031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27,3 тонн</w:t>
            </w:r>
          </w:p>
          <w:p w14:paraId="5CF15BE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325EB99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27,5 тонн</w:t>
            </w:r>
          </w:p>
          <w:p w14:paraId="7703343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0C9FE53" w14:textId="77777777" w:rsidTr="000D3BCB">
        <w:trPr>
          <w:trHeight w:val="173"/>
        </w:trPr>
        <w:tc>
          <w:tcPr>
            <w:tcW w:w="461" w:type="dxa"/>
            <w:tcBorders>
              <w:top w:val="single" w:sz="6" w:space="0" w:color="auto"/>
              <w:left w:val="single" w:sz="6" w:space="0" w:color="auto"/>
              <w:bottom w:val="single" w:sz="6" w:space="0" w:color="auto"/>
              <w:right w:val="single" w:sz="6" w:space="0" w:color="auto"/>
            </w:tcBorders>
          </w:tcPr>
          <w:p w14:paraId="5706A24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p w14:paraId="348CD0A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74" w:type="dxa"/>
            <w:tcBorders>
              <w:top w:val="single" w:sz="6" w:space="0" w:color="auto"/>
              <w:left w:val="single" w:sz="6" w:space="0" w:color="auto"/>
              <w:bottom w:val="single" w:sz="6" w:space="0" w:color="auto"/>
              <w:right w:val="single" w:sz="6" w:space="0" w:color="auto"/>
            </w:tcBorders>
          </w:tcPr>
          <w:p w14:paraId="192D02A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Броня</w:t>
            </w:r>
          </w:p>
          <w:p w14:paraId="6ECBFA7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69" w:type="dxa"/>
            <w:tcBorders>
              <w:top w:val="single" w:sz="6" w:space="0" w:color="auto"/>
              <w:left w:val="single" w:sz="6" w:space="0" w:color="auto"/>
              <w:bottom w:val="single" w:sz="6" w:space="0" w:color="auto"/>
              <w:right w:val="single" w:sz="6" w:space="0" w:color="auto"/>
            </w:tcBorders>
          </w:tcPr>
          <w:p w14:paraId="2255793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12,5-37,5 мм</w:t>
            </w:r>
          </w:p>
          <w:p w14:paraId="4418B4F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88" w:type="dxa"/>
            <w:tcBorders>
              <w:top w:val="single" w:sz="6" w:space="0" w:color="auto"/>
              <w:left w:val="single" w:sz="6" w:space="0" w:color="auto"/>
              <w:bottom w:val="single" w:sz="6" w:space="0" w:color="auto"/>
              <w:right w:val="single" w:sz="6" w:space="0" w:color="auto"/>
            </w:tcBorders>
          </w:tcPr>
          <w:p w14:paraId="02E303C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6-20 мм</w:t>
            </w:r>
          </w:p>
          <w:p w14:paraId="5A13DA6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46AE92B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12,5-50 мм</w:t>
            </w:r>
          </w:p>
          <w:p w14:paraId="323F332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3D9AFDC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13-45 мм</w:t>
            </w:r>
          </w:p>
          <w:p w14:paraId="7E063FC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578DAAE" w14:textId="77777777" w:rsidTr="000D3BCB">
        <w:trPr>
          <w:trHeight w:val="173"/>
        </w:trPr>
        <w:tc>
          <w:tcPr>
            <w:tcW w:w="461" w:type="dxa"/>
            <w:tcBorders>
              <w:top w:val="single" w:sz="6" w:space="0" w:color="auto"/>
              <w:left w:val="single" w:sz="6" w:space="0" w:color="auto"/>
              <w:bottom w:val="nil"/>
              <w:right w:val="single" w:sz="6" w:space="0" w:color="auto"/>
            </w:tcBorders>
          </w:tcPr>
          <w:p w14:paraId="702E9D2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p w14:paraId="4750BE2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74" w:type="dxa"/>
            <w:tcBorders>
              <w:top w:val="single" w:sz="6" w:space="0" w:color="auto"/>
              <w:left w:val="single" w:sz="6" w:space="0" w:color="auto"/>
              <w:bottom w:val="single" w:sz="6" w:space="0" w:color="auto"/>
              <w:right w:val="single" w:sz="6" w:space="0" w:color="auto"/>
            </w:tcBorders>
          </w:tcPr>
          <w:p w14:paraId="7F9CEE3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Вооружение:</w:t>
            </w:r>
          </w:p>
          <w:p w14:paraId="426B5EF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69" w:type="dxa"/>
            <w:tcBorders>
              <w:top w:val="single" w:sz="6" w:space="0" w:color="auto"/>
              <w:left w:val="single" w:sz="6" w:space="0" w:color="auto"/>
              <w:bottom w:val="single" w:sz="6" w:space="0" w:color="auto"/>
              <w:right w:val="single" w:sz="6" w:space="0" w:color="auto"/>
            </w:tcBorders>
          </w:tcPr>
          <w:p w14:paraId="2C27F3F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C62AD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88" w:type="dxa"/>
            <w:tcBorders>
              <w:top w:val="single" w:sz="6" w:space="0" w:color="auto"/>
              <w:left w:val="single" w:sz="6" w:space="0" w:color="auto"/>
              <w:bottom w:val="single" w:sz="6" w:space="0" w:color="auto"/>
              <w:right w:val="single" w:sz="6" w:space="0" w:color="auto"/>
            </w:tcBorders>
          </w:tcPr>
          <w:p w14:paraId="346615C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5D67E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5968CEA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CBE70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3D6AF10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AC77B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6F97429" w14:textId="77777777" w:rsidTr="000D3BCB">
        <w:trPr>
          <w:trHeight w:val="326"/>
        </w:trPr>
        <w:tc>
          <w:tcPr>
            <w:tcW w:w="461" w:type="dxa"/>
            <w:tcBorders>
              <w:top w:val="nil"/>
              <w:left w:val="single" w:sz="6" w:space="0" w:color="auto"/>
              <w:bottom w:val="nil"/>
              <w:right w:val="single" w:sz="6" w:space="0" w:color="auto"/>
            </w:tcBorders>
          </w:tcPr>
          <w:p w14:paraId="186A18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92AB3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774" w:type="dxa"/>
            <w:tcBorders>
              <w:top w:val="single" w:sz="6" w:space="0" w:color="auto"/>
              <w:left w:val="single" w:sz="6" w:space="0" w:color="auto"/>
              <w:bottom w:val="single" w:sz="6" w:space="0" w:color="auto"/>
              <w:right w:val="single" w:sz="6" w:space="0" w:color="auto"/>
            </w:tcBorders>
          </w:tcPr>
          <w:p w14:paraId="36320F4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Пушка</w:t>
            </w:r>
          </w:p>
          <w:p w14:paraId="397FDBF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69" w:type="dxa"/>
            <w:tcBorders>
              <w:top w:val="single" w:sz="6" w:space="0" w:color="auto"/>
              <w:left w:val="single" w:sz="6" w:space="0" w:color="auto"/>
              <w:bottom w:val="single" w:sz="6" w:space="0" w:color="auto"/>
              <w:right w:val="single" w:sz="6" w:space="0" w:color="auto"/>
            </w:tcBorders>
          </w:tcPr>
          <w:p w14:paraId="7927A5F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1-37 мм</w:t>
            </w:r>
          </w:p>
          <w:p w14:paraId="0117F1B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88" w:type="dxa"/>
            <w:tcBorders>
              <w:top w:val="single" w:sz="6" w:space="0" w:color="auto"/>
              <w:left w:val="single" w:sz="6" w:space="0" w:color="auto"/>
              <w:bottom w:val="single" w:sz="6" w:space="0" w:color="auto"/>
              <w:right w:val="single" w:sz="6" w:space="0" w:color="auto"/>
            </w:tcBorders>
          </w:tcPr>
          <w:p w14:paraId="0EA1D23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1-45 мм</w:t>
            </w:r>
          </w:p>
          <w:p w14:paraId="710ACA7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46073DC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1-37 мм, 1-75 мм</w:t>
            </w:r>
          </w:p>
          <w:p w14:paraId="1EDA7A4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3E91ADF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1-76 мм</w:t>
            </w:r>
          </w:p>
          <w:p w14:paraId="75CCA59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AA582AB" w14:textId="77777777" w:rsidTr="000D3BCB">
        <w:trPr>
          <w:trHeight w:val="173"/>
        </w:trPr>
        <w:tc>
          <w:tcPr>
            <w:tcW w:w="461" w:type="dxa"/>
            <w:tcBorders>
              <w:top w:val="nil"/>
              <w:left w:val="single" w:sz="6" w:space="0" w:color="auto"/>
              <w:bottom w:val="nil"/>
              <w:right w:val="single" w:sz="6" w:space="0" w:color="auto"/>
            </w:tcBorders>
          </w:tcPr>
          <w:p w14:paraId="6AEA2E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50F43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774" w:type="dxa"/>
            <w:tcBorders>
              <w:top w:val="single" w:sz="6" w:space="0" w:color="auto"/>
              <w:left w:val="single" w:sz="6" w:space="0" w:color="auto"/>
              <w:bottom w:val="single" w:sz="6" w:space="0" w:color="auto"/>
              <w:right w:val="single" w:sz="6" w:space="0" w:color="auto"/>
            </w:tcBorders>
          </w:tcPr>
          <w:p w14:paraId="2594CD2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Пулеметы</w:t>
            </w:r>
          </w:p>
          <w:p w14:paraId="588EA97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69" w:type="dxa"/>
            <w:tcBorders>
              <w:top w:val="single" w:sz="6" w:space="0" w:color="auto"/>
              <w:left w:val="single" w:sz="6" w:space="0" w:color="auto"/>
              <w:bottom w:val="single" w:sz="6" w:space="0" w:color="auto"/>
              <w:right w:val="single" w:sz="6" w:space="0" w:color="auto"/>
            </w:tcBorders>
          </w:tcPr>
          <w:p w14:paraId="7407BD0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5-7,62 мм</w:t>
            </w:r>
          </w:p>
          <w:p w14:paraId="67EA9E7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88" w:type="dxa"/>
            <w:tcBorders>
              <w:top w:val="single" w:sz="6" w:space="0" w:color="auto"/>
              <w:left w:val="single" w:sz="6" w:space="0" w:color="auto"/>
              <w:bottom w:val="single" w:sz="6" w:space="0" w:color="auto"/>
              <w:right w:val="single" w:sz="6" w:space="0" w:color="auto"/>
            </w:tcBorders>
          </w:tcPr>
          <w:p w14:paraId="2ECEF40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1-ДТ</w:t>
            </w:r>
          </w:p>
          <w:p w14:paraId="5475A45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402E5C9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4-7,62 мм</w:t>
            </w:r>
          </w:p>
          <w:p w14:paraId="4DA4106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2A156A8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2-ДТ</w:t>
            </w:r>
          </w:p>
          <w:p w14:paraId="12A4783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D07643B" w14:textId="77777777" w:rsidTr="000D3BCB">
        <w:trPr>
          <w:trHeight w:val="173"/>
        </w:trPr>
        <w:tc>
          <w:tcPr>
            <w:tcW w:w="461" w:type="dxa"/>
            <w:tcBorders>
              <w:top w:val="nil"/>
              <w:left w:val="single" w:sz="6" w:space="0" w:color="auto"/>
              <w:bottom w:val="single" w:sz="6" w:space="0" w:color="auto"/>
              <w:right w:val="single" w:sz="6" w:space="0" w:color="auto"/>
            </w:tcBorders>
          </w:tcPr>
          <w:p w14:paraId="4A92B1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89E9B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774" w:type="dxa"/>
            <w:tcBorders>
              <w:top w:val="single" w:sz="6" w:space="0" w:color="auto"/>
              <w:left w:val="single" w:sz="6" w:space="0" w:color="auto"/>
              <w:bottom w:val="single" w:sz="6" w:space="0" w:color="auto"/>
              <w:right w:val="single" w:sz="6" w:space="0" w:color="auto"/>
            </w:tcBorders>
          </w:tcPr>
          <w:p w14:paraId="77B0554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Пулеметы</w:t>
            </w:r>
          </w:p>
          <w:p w14:paraId="42C4B7A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69" w:type="dxa"/>
            <w:tcBorders>
              <w:top w:val="single" w:sz="6" w:space="0" w:color="auto"/>
              <w:left w:val="single" w:sz="6" w:space="0" w:color="auto"/>
              <w:bottom w:val="single" w:sz="6" w:space="0" w:color="auto"/>
              <w:right w:val="single" w:sz="6" w:space="0" w:color="auto"/>
            </w:tcBorders>
          </w:tcPr>
          <w:p w14:paraId="0FC624F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ручн.-1 1,43 мм</w:t>
            </w:r>
          </w:p>
          <w:p w14:paraId="3F84BA0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88" w:type="dxa"/>
            <w:tcBorders>
              <w:top w:val="single" w:sz="6" w:space="0" w:color="auto"/>
              <w:left w:val="single" w:sz="6" w:space="0" w:color="auto"/>
              <w:bottom w:val="single" w:sz="6" w:space="0" w:color="auto"/>
              <w:right w:val="single" w:sz="6" w:space="0" w:color="auto"/>
            </w:tcBorders>
          </w:tcPr>
          <w:p w14:paraId="61E23F8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p w14:paraId="3FAC818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57F1DD3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ручн.-11,43 мм</w:t>
            </w:r>
          </w:p>
          <w:p w14:paraId="74BFE07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0013278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p w14:paraId="79DF0D1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22B52CC" w14:textId="77777777" w:rsidTr="000D3BCB">
        <w:trPr>
          <w:trHeight w:val="173"/>
        </w:trPr>
        <w:tc>
          <w:tcPr>
            <w:tcW w:w="461" w:type="dxa"/>
            <w:tcBorders>
              <w:top w:val="single" w:sz="6" w:space="0" w:color="auto"/>
              <w:left w:val="single" w:sz="6" w:space="0" w:color="auto"/>
              <w:bottom w:val="nil"/>
              <w:right w:val="single" w:sz="6" w:space="0" w:color="auto"/>
            </w:tcBorders>
          </w:tcPr>
          <w:p w14:paraId="1F9D30B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p w14:paraId="6C63552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74" w:type="dxa"/>
            <w:tcBorders>
              <w:top w:val="single" w:sz="6" w:space="0" w:color="auto"/>
              <w:left w:val="single" w:sz="6" w:space="0" w:color="auto"/>
              <w:bottom w:val="single" w:sz="6" w:space="0" w:color="auto"/>
              <w:right w:val="single" w:sz="6" w:space="0" w:color="auto"/>
            </w:tcBorders>
          </w:tcPr>
          <w:p w14:paraId="39C7274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Боеприпасы:</w:t>
            </w:r>
          </w:p>
          <w:p w14:paraId="283B259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69" w:type="dxa"/>
            <w:tcBorders>
              <w:top w:val="single" w:sz="6" w:space="0" w:color="auto"/>
              <w:left w:val="single" w:sz="6" w:space="0" w:color="auto"/>
              <w:bottom w:val="single" w:sz="6" w:space="0" w:color="auto"/>
              <w:right w:val="single" w:sz="6" w:space="0" w:color="auto"/>
            </w:tcBorders>
          </w:tcPr>
          <w:p w14:paraId="001EC8D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0A7FB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88" w:type="dxa"/>
            <w:tcBorders>
              <w:top w:val="single" w:sz="6" w:space="0" w:color="auto"/>
              <w:left w:val="single" w:sz="6" w:space="0" w:color="auto"/>
              <w:bottom w:val="single" w:sz="6" w:space="0" w:color="auto"/>
              <w:right w:val="single" w:sz="6" w:space="0" w:color="auto"/>
            </w:tcBorders>
          </w:tcPr>
          <w:p w14:paraId="05D1A8F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4C7AD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2C10E21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BE8CB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0F28DB5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744FE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166E0F0" w14:textId="77777777" w:rsidTr="000D3BCB">
        <w:trPr>
          <w:trHeight w:val="326"/>
        </w:trPr>
        <w:tc>
          <w:tcPr>
            <w:tcW w:w="461" w:type="dxa"/>
            <w:tcBorders>
              <w:top w:val="nil"/>
              <w:left w:val="single" w:sz="6" w:space="0" w:color="auto"/>
              <w:bottom w:val="nil"/>
              <w:right w:val="single" w:sz="6" w:space="0" w:color="auto"/>
            </w:tcBorders>
          </w:tcPr>
          <w:p w14:paraId="331447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BFB9F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774" w:type="dxa"/>
            <w:tcBorders>
              <w:top w:val="single" w:sz="6" w:space="0" w:color="auto"/>
              <w:left w:val="single" w:sz="6" w:space="0" w:color="auto"/>
              <w:bottom w:val="single" w:sz="6" w:space="0" w:color="auto"/>
              <w:right w:val="single" w:sz="6" w:space="0" w:color="auto"/>
            </w:tcBorders>
          </w:tcPr>
          <w:p w14:paraId="6F17728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Снарядов к пушке</w:t>
            </w:r>
          </w:p>
          <w:p w14:paraId="71912FF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69" w:type="dxa"/>
            <w:tcBorders>
              <w:top w:val="single" w:sz="6" w:space="0" w:color="auto"/>
              <w:left w:val="single" w:sz="6" w:space="0" w:color="auto"/>
              <w:bottom w:val="single" w:sz="6" w:space="0" w:color="auto"/>
              <w:right w:val="single" w:sz="6" w:space="0" w:color="auto"/>
            </w:tcBorders>
          </w:tcPr>
          <w:p w14:paraId="69EA9E1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103</w:t>
            </w:r>
          </w:p>
          <w:p w14:paraId="68C0374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88" w:type="dxa"/>
            <w:tcBorders>
              <w:top w:val="single" w:sz="6" w:space="0" w:color="auto"/>
              <w:left w:val="single" w:sz="6" w:space="0" w:color="auto"/>
              <w:bottom w:val="single" w:sz="6" w:space="0" w:color="auto"/>
              <w:right w:val="single" w:sz="6" w:space="0" w:color="auto"/>
            </w:tcBorders>
          </w:tcPr>
          <w:p w14:paraId="3115142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188</w:t>
            </w:r>
          </w:p>
          <w:p w14:paraId="10B2FDF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3DC52EB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37 мм-150 75 мм-50</w:t>
            </w:r>
          </w:p>
          <w:p w14:paraId="509D06D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331CCF2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77</w:t>
            </w:r>
          </w:p>
          <w:p w14:paraId="7343217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1C753DF" w14:textId="77777777" w:rsidTr="000D3BCB">
        <w:trPr>
          <w:trHeight w:val="336"/>
        </w:trPr>
        <w:tc>
          <w:tcPr>
            <w:tcW w:w="461" w:type="dxa"/>
            <w:tcBorders>
              <w:top w:val="nil"/>
              <w:left w:val="single" w:sz="6" w:space="0" w:color="auto"/>
              <w:bottom w:val="single" w:sz="6" w:space="0" w:color="auto"/>
              <w:right w:val="single" w:sz="6" w:space="0" w:color="auto"/>
            </w:tcBorders>
          </w:tcPr>
          <w:p w14:paraId="12D03E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A0693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774" w:type="dxa"/>
            <w:tcBorders>
              <w:top w:val="single" w:sz="6" w:space="0" w:color="auto"/>
              <w:left w:val="single" w:sz="6" w:space="0" w:color="auto"/>
              <w:bottom w:val="single" w:sz="6" w:space="0" w:color="auto"/>
              <w:right w:val="single" w:sz="6" w:space="0" w:color="auto"/>
            </w:tcBorders>
          </w:tcPr>
          <w:p w14:paraId="4955321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Патронов к пулеметам</w:t>
            </w:r>
          </w:p>
          <w:p w14:paraId="6470B7E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69" w:type="dxa"/>
            <w:tcBorders>
              <w:top w:val="single" w:sz="6" w:space="0" w:color="auto"/>
              <w:left w:val="single" w:sz="6" w:space="0" w:color="auto"/>
              <w:bottom w:val="single" w:sz="6" w:space="0" w:color="auto"/>
              <w:right w:val="single" w:sz="6" w:space="0" w:color="auto"/>
            </w:tcBorders>
          </w:tcPr>
          <w:p w14:paraId="534D428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7,62 мм-8270 11,43мм-500</w:t>
            </w:r>
          </w:p>
          <w:p w14:paraId="55FD6AA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88" w:type="dxa"/>
            <w:tcBorders>
              <w:top w:val="single" w:sz="6" w:space="0" w:color="auto"/>
              <w:left w:val="single" w:sz="6" w:space="0" w:color="auto"/>
              <w:bottom w:val="single" w:sz="6" w:space="0" w:color="auto"/>
              <w:right w:val="single" w:sz="6" w:space="0" w:color="auto"/>
            </w:tcBorders>
          </w:tcPr>
          <w:p w14:paraId="75F0E14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2457</w:t>
            </w:r>
          </w:p>
          <w:p w14:paraId="34FE65F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1E9B59A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7,62 мм-8000 11,43 мм-1000</w:t>
            </w:r>
          </w:p>
          <w:p w14:paraId="48CA2A3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0EC33B3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3900</w:t>
            </w:r>
          </w:p>
          <w:p w14:paraId="72C319F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CA1B5FE" w14:textId="77777777" w:rsidTr="000D3BCB">
        <w:trPr>
          <w:trHeight w:val="173"/>
        </w:trPr>
        <w:tc>
          <w:tcPr>
            <w:tcW w:w="461" w:type="dxa"/>
            <w:tcBorders>
              <w:top w:val="single" w:sz="6" w:space="0" w:color="auto"/>
              <w:left w:val="single" w:sz="6" w:space="0" w:color="auto"/>
              <w:bottom w:val="single" w:sz="6" w:space="0" w:color="auto"/>
              <w:right w:val="single" w:sz="6" w:space="0" w:color="auto"/>
            </w:tcBorders>
          </w:tcPr>
          <w:p w14:paraId="16E96EB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p w14:paraId="144896F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74" w:type="dxa"/>
            <w:tcBorders>
              <w:top w:val="single" w:sz="6" w:space="0" w:color="auto"/>
              <w:left w:val="single" w:sz="6" w:space="0" w:color="auto"/>
              <w:bottom w:val="single" w:sz="6" w:space="0" w:color="auto"/>
              <w:right w:val="single" w:sz="6" w:space="0" w:color="auto"/>
            </w:tcBorders>
          </w:tcPr>
          <w:p w14:paraId="3FD3E4E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Максимальная скорость по шоссе</w:t>
            </w:r>
          </w:p>
          <w:p w14:paraId="3F008E9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69" w:type="dxa"/>
            <w:tcBorders>
              <w:top w:val="single" w:sz="6" w:space="0" w:color="auto"/>
              <w:left w:val="single" w:sz="6" w:space="0" w:color="auto"/>
              <w:bottom w:val="single" w:sz="6" w:space="0" w:color="auto"/>
              <w:right w:val="single" w:sz="6" w:space="0" w:color="auto"/>
            </w:tcBorders>
          </w:tcPr>
          <w:p w14:paraId="136A09B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56 км/час</w:t>
            </w:r>
          </w:p>
          <w:p w14:paraId="6602D44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88" w:type="dxa"/>
            <w:tcBorders>
              <w:top w:val="single" w:sz="6" w:space="0" w:color="auto"/>
              <w:left w:val="single" w:sz="6" w:space="0" w:color="auto"/>
              <w:bottom w:val="single" w:sz="6" w:space="0" w:color="auto"/>
              <w:right w:val="single" w:sz="6" w:space="0" w:color="auto"/>
            </w:tcBorders>
          </w:tcPr>
          <w:p w14:paraId="1596366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51/72 км/ч</w:t>
            </w:r>
          </w:p>
          <w:p w14:paraId="3EB1F75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4C6BA4D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 км/час</w:t>
            </w:r>
          </w:p>
          <w:p w14:paraId="589FC82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04CFAB7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53,8 км/час</w:t>
            </w:r>
          </w:p>
          <w:p w14:paraId="2DF289E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3F41624" w14:textId="77777777" w:rsidTr="000D3BCB">
        <w:trPr>
          <w:trHeight w:val="163"/>
        </w:trPr>
        <w:tc>
          <w:tcPr>
            <w:tcW w:w="461" w:type="dxa"/>
            <w:tcBorders>
              <w:top w:val="single" w:sz="6" w:space="0" w:color="auto"/>
              <w:left w:val="single" w:sz="6" w:space="0" w:color="auto"/>
              <w:bottom w:val="single" w:sz="6" w:space="0" w:color="auto"/>
              <w:right w:val="single" w:sz="6" w:space="0" w:color="auto"/>
            </w:tcBorders>
          </w:tcPr>
          <w:p w14:paraId="72CF9EE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p w14:paraId="220FBE4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74" w:type="dxa"/>
            <w:tcBorders>
              <w:top w:val="single" w:sz="6" w:space="0" w:color="auto"/>
              <w:left w:val="single" w:sz="6" w:space="0" w:color="auto"/>
              <w:bottom w:val="single" w:sz="6" w:space="0" w:color="auto"/>
              <w:right w:val="single" w:sz="6" w:space="0" w:color="auto"/>
            </w:tcBorders>
          </w:tcPr>
          <w:p w14:paraId="5103E38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Емкость бензобаков</w:t>
            </w:r>
          </w:p>
          <w:p w14:paraId="1D3D09F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69" w:type="dxa"/>
            <w:tcBorders>
              <w:top w:val="single" w:sz="6" w:space="0" w:color="auto"/>
              <w:left w:val="single" w:sz="6" w:space="0" w:color="auto"/>
              <w:bottom w:val="single" w:sz="6" w:space="0" w:color="auto"/>
              <w:right w:val="single" w:sz="6" w:space="0" w:color="auto"/>
            </w:tcBorders>
          </w:tcPr>
          <w:p w14:paraId="49B4F51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189 литров</w:t>
            </w:r>
          </w:p>
          <w:p w14:paraId="3E2C614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88" w:type="dxa"/>
            <w:tcBorders>
              <w:top w:val="single" w:sz="6" w:space="0" w:color="auto"/>
              <w:left w:val="single" w:sz="6" w:space="0" w:color="auto"/>
              <w:bottom w:val="single" w:sz="6" w:space="0" w:color="auto"/>
              <w:right w:val="single" w:sz="6" w:space="0" w:color="auto"/>
            </w:tcBorders>
          </w:tcPr>
          <w:p w14:paraId="479DCC4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620 литров</w:t>
            </w:r>
          </w:p>
          <w:p w14:paraId="0BB2523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530948C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661 литр</w:t>
            </w:r>
          </w:p>
          <w:p w14:paraId="2639954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0A203A8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790 литров</w:t>
            </w:r>
          </w:p>
          <w:p w14:paraId="11722B4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D3435A5" w14:textId="77777777" w:rsidTr="000D3BCB">
        <w:trPr>
          <w:trHeight w:val="173"/>
        </w:trPr>
        <w:tc>
          <w:tcPr>
            <w:tcW w:w="461" w:type="dxa"/>
            <w:tcBorders>
              <w:top w:val="single" w:sz="6" w:space="0" w:color="auto"/>
              <w:left w:val="single" w:sz="6" w:space="0" w:color="auto"/>
              <w:bottom w:val="single" w:sz="6" w:space="0" w:color="auto"/>
              <w:right w:val="single" w:sz="6" w:space="0" w:color="auto"/>
            </w:tcBorders>
          </w:tcPr>
          <w:p w14:paraId="260255D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w:t>
            </w:r>
          </w:p>
          <w:p w14:paraId="42A509F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74" w:type="dxa"/>
            <w:tcBorders>
              <w:top w:val="single" w:sz="6" w:space="0" w:color="auto"/>
              <w:left w:val="single" w:sz="6" w:space="0" w:color="auto"/>
              <w:bottom w:val="single" w:sz="6" w:space="0" w:color="auto"/>
              <w:right w:val="single" w:sz="6" w:space="0" w:color="auto"/>
            </w:tcBorders>
          </w:tcPr>
          <w:p w14:paraId="507C9DF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Запас хода по горючему</w:t>
            </w:r>
          </w:p>
          <w:p w14:paraId="57C557B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69" w:type="dxa"/>
            <w:tcBorders>
              <w:top w:val="single" w:sz="6" w:space="0" w:color="auto"/>
              <w:left w:val="single" w:sz="6" w:space="0" w:color="auto"/>
              <w:bottom w:val="single" w:sz="6" w:space="0" w:color="auto"/>
              <w:right w:val="single" w:sz="6" w:space="0" w:color="auto"/>
            </w:tcBorders>
          </w:tcPr>
          <w:p w14:paraId="48C2BD6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160 км</w:t>
            </w:r>
          </w:p>
          <w:p w14:paraId="71E9F66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88" w:type="dxa"/>
            <w:tcBorders>
              <w:top w:val="single" w:sz="6" w:space="0" w:color="auto"/>
              <w:left w:val="single" w:sz="6" w:space="0" w:color="auto"/>
              <w:bottom w:val="single" w:sz="6" w:space="0" w:color="auto"/>
              <w:right w:val="single" w:sz="6" w:space="0" w:color="auto"/>
            </w:tcBorders>
          </w:tcPr>
          <w:p w14:paraId="379EDEA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400/500 км</w:t>
            </w:r>
          </w:p>
          <w:p w14:paraId="64CFA13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0C6906A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224км</w:t>
            </w:r>
          </w:p>
          <w:p w14:paraId="3430698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404CBFA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390-400 км</w:t>
            </w:r>
          </w:p>
          <w:p w14:paraId="5B6217B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85D40D6" w14:textId="77777777" w:rsidTr="000D3BCB">
        <w:trPr>
          <w:trHeight w:val="173"/>
        </w:trPr>
        <w:tc>
          <w:tcPr>
            <w:tcW w:w="461" w:type="dxa"/>
            <w:tcBorders>
              <w:top w:val="single" w:sz="6" w:space="0" w:color="auto"/>
              <w:left w:val="single" w:sz="6" w:space="0" w:color="auto"/>
              <w:bottom w:val="single" w:sz="6" w:space="0" w:color="auto"/>
              <w:right w:val="single" w:sz="6" w:space="0" w:color="auto"/>
            </w:tcBorders>
          </w:tcPr>
          <w:p w14:paraId="36FAF24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w:t>
            </w:r>
          </w:p>
          <w:p w14:paraId="542E5B5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74" w:type="dxa"/>
            <w:tcBorders>
              <w:top w:val="single" w:sz="6" w:space="0" w:color="auto"/>
              <w:left w:val="single" w:sz="6" w:space="0" w:color="auto"/>
              <w:bottom w:val="single" w:sz="6" w:space="0" w:color="auto"/>
              <w:right w:val="single" w:sz="6" w:space="0" w:color="auto"/>
            </w:tcBorders>
          </w:tcPr>
          <w:p w14:paraId="11743ED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Экипаж</w:t>
            </w:r>
          </w:p>
          <w:p w14:paraId="339B136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69" w:type="dxa"/>
            <w:tcBorders>
              <w:top w:val="single" w:sz="6" w:space="0" w:color="auto"/>
              <w:left w:val="single" w:sz="6" w:space="0" w:color="auto"/>
              <w:bottom w:val="single" w:sz="6" w:space="0" w:color="auto"/>
              <w:right w:val="single" w:sz="6" w:space="0" w:color="auto"/>
            </w:tcBorders>
          </w:tcPr>
          <w:p w14:paraId="5F43F55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p w14:paraId="4D28CB4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88" w:type="dxa"/>
            <w:tcBorders>
              <w:top w:val="single" w:sz="6" w:space="0" w:color="auto"/>
              <w:left w:val="single" w:sz="6" w:space="0" w:color="auto"/>
              <w:bottom w:val="single" w:sz="6" w:space="0" w:color="auto"/>
              <w:right w:val="single" w:sz="6" w:space="0" w:color="auto"/>
            </w:tcBorders>
          </w:tcPr>
          <w:p w14:paraId="310C0CA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p w14:paraId="364D7D8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55D5028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w:t>
            </w:r>
          </w:p>
          <w:p w14:paraId="67CFADA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2545654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p w14:paraId="724B934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DA0F5E6" w14:textId="77777777" w:rsidTr="000D3BCB">
        <w:trPr>
          <w:trHeight w:val="173"/>
        </w:trPr>
        <w:tc>
          <w:tcPr>
            <w:tcW w:w="461" w:type="dxa"/>
            <w:tcBorders>
              <w:top w:val="single" w:sz="6" w:space="0" w:color="auto"/>
              <w:left w:val="single" w:sz="6" w:space="0" w:color="auto"/>
              <w:bottom w:val="single" w:sz="6" w:space="0" w:color="auto"/>
              <w:right w:val="single" w:sz="6" w:space="0" w:color="auto"/>
            </w:tcBorders>
          </w:tcPr>
          <w:p w14:paraId="0C8D474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p w14:paraId="22F554F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74" w:type="dxa"/>
            <w:tcBorders>
              <w:top w:val="single" w:sz="6" w:space="0" w:color="auto"/>
              <w:left w:val="single" w:sz="6" w:space="0" w:color="auto"/>
              <w:bottom w:val="single" w:sz="6" w:space="0" w:color="auto"/>
              <w:right w:val="single" w:sz="6" w:space="0" w:color="auto"/>
            </w:tcBorders>
          </w:tcPr>
          <w:p w14:paraId="38C8D16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Стоимость машины</w:t>
            </w:r>
          </w:p>
          <w:p w14:paraId="0B16688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69" w:type="dxa"/>
            <w:tcBorders>
              <w:top w:val="single" w:sz="6" w:space="0" w:color="auto"/>
              <w:left w:val="single" w:sz="6" w:space="0" w:color="auto"/>
              <w:bottom w:val="single" w:sz="6" w:space="0" w:color="auto"/>
              <w:right w:val="single" w:sz="6" w:space="0" w:color="auto"/>
            </w:tcBorders>
          </w:tcPr>
          <w:p w14:paraId="75B51CD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42 787 долл.</w:t>
            </w:r>
          </w:p>
          <w:p w14:paraId="40216D5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88" w:type="dxa"/>
            <w:tcBorders>
              <w:top w:val="single" w:sz="6" w:space="0" w:color="auto"/>
              <w:left w:val="single" w:sz="6" w:space="0" w:color="auto"/>
              <w:bottom w:val="single" w:sz="6" w:space="0" w:color="auto"/>
              <w:right w:val="single" w:sz="6" w:space="0" w:color="auto"/>
            </w:tcBorders>
          </w:tcPr>
          <w:p w14:paraId="5D6C12F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108000_руб.</w:t>
            </w:r>
          </w:p>
          <w:p w14:paraId="161FA92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57AA065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76 200 долл.</w:t>
            </w:r>
          </w:p>
          <w:p w14:paraId="30C19C5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0E973E3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290 000 руб.</w:t>
            </w:r>
          </w:p>
          <w:p w14:paraId="5B3AE64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B175FEA" w14:textId="77777777" w:rsidTr="000D3BCB">
        <w:trPr>
          <w:trHeight w:val="346"/>
        </w:trPr>
        <w:tc>
          <w:tcPr>
            <w:tcW w:w="461" w:type="dxa"/>
            <w:tcBorders>
              <w:top w:val="single" w:sz="6" w:space="0" w:color="auto"/>
              <w:left w:val="single" w:sz="6" w:space="0" w:color="auto"/>
              <w:bottom w:val="single" w:sz="6" w:space="0" w:color="auto"/>
              <w:right w:val="single" w:sz="6" w:space="0" w:color="auto"/>
            </w:tcBorders>
          </w:tcPr>
          <w:p w14:paraId="23067D0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p w14:paraId="4AF754C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74" w:type="dxa"/>
            <w:tcBorders>
              <w:top w:val="single" w:sz="6" w:space="0" w:color="auto"/>
              <w:left w:val="single" w:sz="6" w:space="0" w:color="auto"/>
              <w:bottom w:val="single" w:sz="6" w:space="0" w:color="auto"/>
              <w:right w:val="single" w:sz="6" w:space="0" w:color="auto"/>
            </w:tcBorders>
          </w:tcPr>
          <w:p w14:paraId="0D7C2AF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Стоимость 1 кг машины</w:t>
            </w:r>
          </w:p>
          <w:p w14:paraId="6F8902F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69" w:type="dxa"/>
            <w:tcBorders>
              <w:top w:val="single" w:sz="6" w:space="0" w:color="auto"/>
              <w:left w:val="single" w:sz="6" w:space="0" w:color="auto"/>
              <w:bottom w:val="single" w:sz="6" w:space="0" w:color="auto"/>
              <w:right w:val="single" w:sz="6" w:space="0" w:color="auto"/>
            </w:tcBorders>
          </w:tcPr>
          <w:p w14:paraId="7642E71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долл. 35 центов</w:t>
            </w:r>
          </w:p>
          <w:p w14:paraId="7FA91E4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88" w:type="dxa"/>
            <w:tcBorders>
              <w:top w:val="single" w:sz="6" w:space="0" w:color="auto"/>
              <w:left w:val="single" w:sz="6" w:space="0" w:color="auto"/>
              <w:bottom w:val="single" w:sz="6" w:space="0" w:color="auto"/>
              <w:right w:val="single" w:sz="6" w:space="0" w:color="auto"/>
            </w:tcBorders>
          </w:tcPr>
          <w:p w14:paraId="15FB3C1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руб. 77 коп.</w:t>
            </w:r>
          </w:p>
          <w:p w14:paraId="623C53E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3F6ADAA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долл. 80 центов</w:t>
            </w:r>
          </w:p>
          <w:p w14:paraId="0153BC9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0476F15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р. 54 коп.</w:t>
            </w:r>
          </w:p>
          <w:p w14:paraId="621502C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AC77EA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СРАВНИТЕЛЬНАЯ ХАРАКТЕРИСТИКА легкого американского танка М-3 и советского танка Т-50</w:t>
      </w:r>
    </w:p>
    <w:tbl>
      <w:tblPr>
        <w:tblW w:w="0" w:type="auto"/>
        <w:tblInd w:w="40" w:type="dxa"/>
        <w:tblLayout w:type="fixed"/>
        <w:tblCellMar>
          <w:left w:w="40" w:type="dxa"/>
          <w:right w:w="40" w:type="dxa"/>
        </w:tblCellMar>
        <w:tblLook w:val="0000" w:firstRow="0" w:lastRow="0" w:firstColumn="0" w:lastColumn="0" w:noHBand="0" w:noVBand="0"/>
      </w:tblPr>
      <w:tblGrid>
        <w:gridCol w:w="461"/>
        <w:gridCol w:w="3005"/>
        <w:gridCol w:w="2122"/>
        <w:gridCol w:w="1728"/>
      </w:tblGrid>
      <w:tr w:rsidR="00643896" w:rsidRPr="00640820" w14:paraId="471DBA20" w14:textId="77777777" w:rsidTr="000D3BCB">
        <w:trPr>
          <w:trHeight w:val="182"/>
        </w:trPr>
        <w:tc>
          <w:tcPr>
            <w:tcW w:w="461" w:type="dxa"/>
            <w:tcBorders>
              <w:top w:val="single" w:sz="6" w:space="0" w:color="auto"/>
              <w:left w:val="single" w:sz="6" w:space="0" w:color="auto"/>
              <w:bottom w:val="single" w:sz="6" w:space="0" w:color="auto"/>
              <w:right w:val="single" w:sz="6" w:space="0" w:color="auto"/>
            </w:tcBorders>
          </w:tcPr>
          <w:p w14:paraId="4251D28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p w14:paraId="5806A8C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05" w:type="dxa"/>
            <w:tcBorders>
              <w:top w:val="single" w:sz="6" w:space="0" w:color="auto"/>
              <w:left w:val="single" w:sz="6" w:space="0" w:color="auto"/>
              <w:bottom w:val="single" w:sz="6" w:space="0" w:color="auto"/>
              <w:right w:val="single" w:sz="6" w:space="0" w:color="auto"/>
            </w:tcBorders>
          </w:tcPr>
          <w:p w14:paraId="1285164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Показатели сравнения</w:t>
            </w:r>
          </w:p>
          <w:p w14:paraId="16B3BE8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08A08DF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Американский танк М-3</w:t>
            </w:r>
          </w:p>
          <w:p w14:paraId="1272350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Borders>
              <w:top w:val="single" w:sz="6" w:space="0" w:color="auto"/>
              <w:left w:val="single" w:sz="6" w:space="0" w:color="auto"/>
              <w:bottom w:val="single" w:sz="6" w:space="0" w:color="auto"/>
              <w:right w:val="single" w:sz="6" w:space="0" w:color="auto"/>
            </w:tcBorders>
          </w:tcPr>
          <w:p w14:paraId="426975F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Танк Т-50</w:t>
            </w:r>
          </w:p>
          <w:p w14:paraId="62E0049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D7C7088" w14:textId="77777777" w:rsidTr="000D3BCB">
        <w:trPr>
          <w:trHeight w:val="163"/>
        </w:trPr>
        <w:tc>
          <w:tcPr>
            <w:tcW w:w="461" w:type="dxa"/>
            <w:tcBorders>
              <w:top w:val="single" w:sz="6" w:space="0" w:color="auto"/>
              <w:left w:val="single" w:sz="6" w:space="0" w:color="auto"/>
              <w:bottom w:val="single" w:sz="6" w:space="0" w:color="auto"/>
              <w:right w:val="single" w:sz="6" w:space="0" w:color="auto"/>
            </w:tcBorders>
          </w:tcPr>
          <w:p w14:paraId="5A7A353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p w14:paraId="1D5865C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05" w:type="dxa"/>
            <w:tcBorders>
              <w:top w:val="single" w:sz="6" w:space="0" w:color="auto"/>
              <w:left w:val="single" w:sz="6" w:space="0" w:color="auto"/>
              <w:bottom w:val="single" w:sz="6" w:space="0" w:color="auto"/>
              <w:right w:val="single" w:sz="6" w:space="0" w:color="auto"/>
            </w:tcBorders>
          </w:tcPr>
          <w:p w14:paraId="63458B9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Вес</w:t>
            </w:r>
          </w:p>
          <w:p w14:paraId="7E08E2D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35F33AC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12,7 тонн</w:t>
            </w:r>
          </w:p>
          <w:p w14:paraId="4F22DB0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Borders>
              <w:top w:val="single" w:sz="6" w:space="0" w:color="auto"/>
              <w:left w:val="single" w:sz="6" w:space="0" w:color="auto"/>
              <w:bottom w:val="single" w:sz="6" w:space="0" w:color="auto"/>
              <w:right w:val="single" w:sz="6" w:space="0" w:color="auto"/>
            </w:tcBorders>
          </w:tcPr>
          <w:p w14:paraId="073A7E1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13,5 тонн</w:t>
            </w:r>
          </w:p>
          <w:p w14:paraId="6A04995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F1B6E6C" w14:textId="77777777" w:rsidTr="000D3BCB">
        <w:trPr>
          <w:trHeight w:val="173"/>
        </w:trPr>
        <w:tc>
          <w:tcPr>
            <w:tcW w:w="461" w:type="dxa"/>
            <w:tcBorders>
              <w:top w:val="single" w:sz="6" w:space="0" w:color="auto"/>
              <w:left w:val="single" w:sz="6" w:space="0" w:color="auto"/>
              <w:bottom w:val="single" w:sz="6" w:space="0" w:color="auto"/>
              <w:right w:val="single" w:sz="6" w:space="0" w:color="auto"/>
            </w:tcBorders>
          </w:tcPr>
          <w:p w14:paraId="39F5F2E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p w14:paraId="2B73D45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05" w:type="dxa"/>
            <w:tcBorders>
              <w:top w:val="single" w:sz="6" w:space="0" w:color="auto"/>
              <w:left w:val="single" w:sz="6" w:space="0" w:color="auto"/>
              <w:bottom w:val="single" w:sz="6" w:space="0" w:color="auto"/>
              <w:right w:val="single" w:sz="6" w:space="0" w:color="auto"/>
            </w:tcBorders>
          </w:tcPr>
          <w:p w14:paraId="15A6F53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Броня</w:t>
            </w:r>
          </w:p>
          <w:p w14:paraId="4119008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773585C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5-37,5 мм</w:t>
            </w:r>
          </w:p>
          <w:p w14:paraId="5B59AAC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Borders>
              <w:top w:val="single" w:sz="6" w:space="0" w:color="auto"/>
              <w:left w:val="single" w:sz="6" w:space="0" w:color="auto"/>
              <w:bottom w:val="single" w:sz="6" w:space="0" w:color="auto"/>
              <w:right w:val="single" w:sz="6" w:space="0" w:color="auto"/>
            </w:tcBorders>
          </w:tcPr>
          <w:p w14:paraId="19F9C12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15-37 мм</w:t>
            </w:r>
          </w:p>
          <w:p w14:paraId="1D73D0B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20FEF51" w14:textId="77777777" w:rsidTr="000D3BCB">
        <w:trPr>
          <w:trHeight w:val="173"/>
        </w:trPr>
        <w:tc>
          <w:tcPr>
            <w:tcW w:w="461" w:type="dxa"/>
            <w:tcBorders>
              <w:top w:val="single" w:sz="6" w:space="0" w:color="auto"/>
              <w:left w:val="single" w:sz="6" w:space="0" w:color="auto"/>
              <w:bottom w:val="nil"/>
              <w:right w:val="single" w:sz="6" w:space="0" w:color="auto"/>
            </w:tcBorders>
          </w:tcPr>
          <w:p w14:paraId="5A6812E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p w14:paraId="65AB0B4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05" w:type="dxa"/>
            <w:tcBorders>
              <w:top w:val="single" w:sz="6" w:space="0" w:color="auto"/>
              <w:left w:val="single" w:sz="6" w:space="0" w:color="auto"/>
              <w:bottom w:val="single" w:sz="6" w:space="0" w:color="auto"/>
              <w:right w:val="single" w:sz="6" w:space="0" w:color="auto"/>
            </w:tcBorders>
          </w:tcPr>
          <w:p w14:paraId="6DDD76D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Вооружение:</w:t>
            </w:r>
          </w:p>
          <w:p w14:paraId="642414B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573B231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BD2FA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Borders>
              <w:top w:val="single" w:sz="6" w:space="0" w:color="auto"/>
              <w:left w:val="single" w:sz="6" w:space="0" w:color="auto"/>
              <w:bottom w:val="single" w:sz="6" w:space="0" w:color="auto"/>
              <w:right w:val="single" w:sz="6" w:space="0" w:color="auto"/>
            </w:tcBorders>
          </w:tcPr>
          <w:p w14:paraId="7EDAB3E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3547C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3EBEB31" w14:textId="77777777" w:rsidTr="000D3BCB">
        <w:trPr>
          <w:trHeight w:val="173"/>
        </w:trPr>
        <w:tc>
          <w:tcPr>
            <w:tcW w:w="461" w:type="dxa"/>
            <w:tcBorders>
              <w:top w:val="nil"/>
              <w:left w:val="single" w:sz="6" w:space="0" w:color="auto"/>
              <w:bottom w:val="nil"/>
              <w:right w:val="single" w:sz="6" w:space="0" w:color="auto"/>
            </w:tcBorders>
          </w:tcPr>
          <w:p w14:paraId="785CD5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C7AA9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3005" w:type="dxa"/>
            <w:tcBorders>
              <w:top w:val="single" w:sz="6" w:space="0" w:color="auto"/>
              <w:left w:val="single" w:sz="6" w:space="0" w:color="auto"/>
              <w:bottom w:val="single" w:sz="6" w:space="0" w:color="auto"/>
              <w:right w:val="single" w:sz="6" w:space="0" w:color="auto"/>
            </w:tcBorders>
          </w:tcPr>
          <w:p w14:paraId="28B9A49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Пушка</w:t>
            </w:r>
          </w:p>
          <w:p w14:paraId="74EB8B3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0B47D74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1-37 мм</w:t>
            </w:r>
          </w:p>
          <w:p w14:paraId="5E1B929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Borders>
              <w:top w:val="single" w:sz="6" w:space="0" w:color="auto"/>
              <w:left w:val="single" w:sz="6" w:space="0" w:color="auto"/>
              <w:bottom w:val="single" w:sz="6" w:space="0" w:color="auto"/>
              <w:right w:val="single" w:sz="6" w:space="0" w:color="auto"/>
            </w:tcBorders>
          </w:tcPr>
          <w:p w14:paraId="62D3A11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1-45 мм</w:t>
            </w:r>
          </w:p>
          <w:p w14:paraId="6BD7E15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E653A52" w14:textId="77777777" w:rsidTr="000D3BCB">
        <w:trPr>
          <w:trHeight w:val="173"/>
        </w:trPr>
        <w:tc>
          <w:tcPr>
            <w:tcW w:w="461" w:type="dxa"/>
            <w:tcBorders>
              <w:top w:val="nil"/>
              <w:left w:val="single" w:sz="6" w:space="0" w:color="auto"/>
              <w:bottom w:val="nil"/>
              <w:right w:val="single" w:sz="6" w:space="0" w:color="auto"/>
            </w:tcBorders>
          </w:tcPr>
          <w:p w14:paraId="1CAA9F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8C61A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3005" w:type="dxa"/>
            <w:tcBorders>
              <w:top w:val="single" w:sz="6" w:space="0" w:color="auto"/>
              <w:left w:val="single" w:sz="6" w:space="0" w:color="auto"/>
              <w:bottom w:val="single" w:sz="6" w:space="0" w:color="auto"/>
              <w:right w:val="single" w:sz="6" w:space="0" w:color="auto"/>
            </w:tcBorders>
          </w:tcPr>
          <w:p w14:paraId="4301935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Пулеметы</w:t>
            </w:r>
          </w:p>
          <w:p w14:paraId="2E7E182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3671FFD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5-7,62 мм</w:t>
            </w:r>
          </w:p>
          <w:p w14:paraId="4E719DB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Borders>
              <w:top w:val="single" w:sz="6" w:space="0" w:color="auto"/>
              <w:left w:val="single" w:sz="6" w:space="0" w:color="auto"/>
              <w:bottom w:val="single" w:sz="6" w:space="0" w:color="auto"/>
              <w:right w:val="single" w:sz="6" w:space="0" w:color="auto"/>
            </w:tcBorders>
          </w:tcPr>
          <w:p w14:paraId="77BD87C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2-ДТ</w:t>
            </w:r>
          </w:p>
          <w:p w14:paraId="3D0E732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CE4AF0F" w14:textId="77777777" w:rsidTr="000D3BCB">
        <w:trPr>
          <w:trHeight w:val="163"/>
        </w:trPr>
        <w:tc>
          <w:tcPr>
            <w:tcW w:w="461" w:type="dxa"/>
            <w:tcBorders>
              <w:top w:val="nil"/>
              <w:left w:val="single" w:sz="6" w:space="0" w:color="auto"/>
              <w:bottom w:val="single" w:sz="6" w:space="0" w:color="auto"/>
              <w:right w:val="single" w:sz="6" w:space="0" w:color="auto"/>
            </w:tcBorders>
          </w:tcPr>
          <w:p w14:paraId="3C7B45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02F37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3005" w:type="dxa"/>
            <w:tcBorders>
              <w:top w:val="single" w:sz="6" w:space="0" w:color="auto"/>
              <w:left w:val="single" w:sz="6" w:space="0" w:color="auto"/>
              <w:bottom w:val="single" w:sz="6" w:space="0" w:color="auto"/>
              <w:right w:val="single" w:sz="6" w:space="0" w:color="auto"/>
            </w:tcBorders>
          </w:tcPr>
          <w:p w14:paraId="0E71338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Пулеметы</w:t>
            </w:r>
          </w:p>
          <w:p w14:paraId="27D23F1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47CC5EE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ручн.-11,43 мм</w:t>
            </w:r>
          </w:p>
          <w:p w14:paraId="0660B6A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Borders>
              <w:top w:val="single" w:sz="6" w:space="0" w:color="auto"/>
              <w:left w:val="single" w:sz="6" w:space="0" w:color="auto"/>
              <w:bottom w:val="single" w:sz="6" w:space="0" w:color="auto"/>
              <w:right w:val="single" w:sz="6" w:space="0" w:color="auto"/>
            </w:tcBorders>
          </w:tcPr>
          <w:p w14:paraId="474CFBF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6BFD6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7D17A76" w14:textId="77777777" w:rsidTr="000D3BCB">
        <w:trPr>
          <w:trHeight w:val="173"/>
        </w:trPr>
        <w:tc>
          <w:tcPr>
            <w:tcW w:w="461" w:type="dxa"/>
            <w:tcBorders>
              <w:top w:val="single" w:sz="6" w:space="0" w:color="auto"/>
              <w:left w:val="single" w:sz="6" w:space="0" w:color="auto"/>
              <w:bottom w:val="nil"/>
              <w:right w:val="single" w:sz="6" w:space="0" w:color="auto"/>
            </w:tcBorders>
          </w:tcPr>
          <w:p w14:paraId="0C1CA21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p w14:paraId="4183762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05" w:type="dxa"/>
            <w:tcBorders>
              <w:top w:val="single" w:sz="6" w:space="0" w:color="auto"/>
              <w:left w:val="single" w:sz="6" w:space="0" w:color="auto"/>
              <w:bottom w:val="single" w:sz="6" w:space="0" w:color="auto"/>
              <w:right w:val="single" w:sz="6" w:space="0" w:color="auto"/>
            </w:tcBorders>
          </w:tcPr>
          <w:p w14:paraId="6B5833D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Боеприпасы:</w:t>
            </w:r>
          </w:p>
          <w:p w14:paraId="31C9CD7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25DC52E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66423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Borders>
              <w:top w:val="single" w:sz="6" w:space="0" w:color="auto"/>
              <w:left w:val="single" w:sz="6" w:space="0" w:color="auto"/>
              <w:bottom w:val="single" w:sz="6" w:space="0" w:color="auto"/>
              <w:right w:val="single" w:sz="6" w:space="0" w:color="auto"/>
            </w:tcBorders>
          </w:tcPr>
          <w:p w14:paraId="3E07E67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2147E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C02D71D" w14:textId="77777777" w:rsidTr="000D3BCB">
        <w:trPr>
          <w:trHeight w:val="173"/>
        </w:trPr>
        <w:tc>
          <w:tcPr>
            <w:tcW w:w="461" w:type="dxa"/>
            <w:tcBorders>
              <w:top w:val="nil"/>
              <w:left w:val="single" w:sz="6" w:space="0" w:color="auto"/>
              <w:bottom w:val="nil"/>
              <w:right w:val="single" w:sz="6" w:space="0" w:color="auto"/>
            </w:tcBorders>
          </w:tcPr>
          <w:p w14:paraId="2A53C4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A98EA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3005" w:type="dxa"/>
            <w:tcBorders>
              <w:top w:val="single" w:sz="6" w:space="0" w:color="auto"/>
              <w:left w:val="single" w:sz="6" w:space="0" w:color="auto"/>
              <w:bottom w:val="single" w:sz="6" w:space="0" w:color="auto"/>
              <w:right w:val="single" w:sz="6" w:space="0" w:color="auto"/>
            </w:tcBorders>
          </w:tcPr>
          <w:p w14:paraId="076364E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Снарядов к пушке</w:t>
            </w:r>
          </w:p>
          <w:p w14:paraId="0B229C1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49CB756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103</w:t>
            </w:r>
          </w:p>
          <w:p w14:paraId="1D63AFB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Borders>
              <w:top w:val="single" w:sz="6" w:space="0" w:color="auto"/>
              <w:left w:val="single" w:sz="6" w:space="0" w:color="auto"/>
              <w:bottom w:val="single" w:sz="6" w:space="0" w:color="auto"/>
              <w:right w:val="single" w:sz="6" w:space="0" w:color="auto"/>
            </w:tcBorders>
          </w:tcPr>
          <w:p w14:paraId="1459856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150</w:t>
            </w:r>
          </w:p>
          <w:p w14:paraId="4960A76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0EDF747" w14:textId="77777777" w:rsidTr="000D3BCB">
        <w:trPr>
          <w:trHeight w:val="336"/>
        </w:trPr>
        <w:tc>
          <w:tcPr>
            <w:tcW w:w="461" w:type="dxa"/>
            <w:tcBorders>
              <w:top w:val="nil"/>
              <w:left w:val="single" w:sz="6" w:space="0" w:color="auto"/>
              <w:bottom w:val="single" w:sz="6" w:space="0" w:color="auto"/>
              <w:right w:val="single" w:sz="6" w:space="0" w:color="auto"/>
            </w:tcBorders>
          </w:tcPr>
          <w:p w14:paraId="34032B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8BA27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3005" w:type="dxa"/>
            <w:tcBorders>
              <w:top w:val="single" w:sz="6" w:space="0" w:color="auto"/>
              <w:left w:val="single" w:sz="6" w:space="0" w:color="auto"/>
              <w:bottom w:val="single" w:sz="6" w:space="0" w:color="auto"/>
              <w:right w:val="single" w:sz="6" w:space="0" w:color="auto"/>
            </w:tcBorders>
          </w:tcPr>
          <w:p w14:paraId="187FB20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Патронов к пулеметам</w:t>
            </w:r>
          </w:p>
          <w:p w14:paraId="75DD041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3AF3C35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7,62 мм-8270 11,43мм-500</w:t>
            </w:r>
          </w:p>
          <w:p w14:paraId="349AF0A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Borders>
              <w:top w:val="single" w:sz="6" w:space="0" w:color="auto"/>
              <w:left w:val="single" w:sz="6" w:space="0" w:color="auto"/>
              <w:bottom w:val="single" w:sz="6" w:space="0" w:color="auto"/>
              <w:right w:val="single" w:sz="6" w:space="0" w:color="auto"/>
            </w:tcBorders>
          </w:tcPr>
          <w:p w14:paraId="370EE1A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4000</w:t>
            </w:r>
          </w:p>
          <w:p w14:paraId="50F48DB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7B437C1" w14:textId="77777777" w:rsidTr="000D3BCB">
        <w:trPr>
          <w:trHeight w:val="163"/>
        </w:trPr>
        <w:tc>
          <w:tcPr>
            <w:tcW w:w="461" w:type="dxa"/>
            <w:tcBorders>
              <w:top w:val="single" w:sz="6" w:space="0" w:color="auto"/>
              <w:left w:val="single" w:sz="6" w:space="0" w:color="auto"/>
              <w:bottom w:val="single" w:sz="6" w:space="0" w:color="auto"/>
              <w:right w:val="single" w:sz="6" w:space="0" w:color="auto"/>
            </w:tcBorders>
          </w:tcPr>
          <w:p w14:paraId="54344F6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p w14:paraId="75D7493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05" w:type="dxa"/>
            <w:tcBorders>
              <w:top w:val="single" w:sz="6" w:space="0" w:color="auto"/>
              <w:left w:val="single" w:sz="6" w:space="0" w:color="auto"/>
              <w:bottom w:val="single" w:sz="6" w:space="0" w:color="auto"/>
              <w:right w:val="single" w:sz="6" w:space="0" w:color="auto"/>
            </w:tcBorders>
          </w:tcPr>
          <w:p w14:paraId="5F205CD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Максимальная скорость по шоссе</w:t>
            </w:r>
          </w:p>
          <w:p w14:paraId="7796247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5602590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56 км/час</w:t>
            </w:r>
          </w:p>
          <w:p w14:paraId="331D386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Borders>
              <w:top w:val="single" w:sz="6" w:space="0" w:color="auto"/>
              <w:left w:val="single" w:sz="6" w:space="0" w:color="auto"/>
              <w:bottom w:val="single" w:sz="6" w:space="0" w:color="auto"/>
              <w:right w:val="single" w:sz="6" w:space="0" w:color="auto"/>
            </w:tcBorders>
          </w:tcPr>
          <w:p w14:paraId="030AAF3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52 км/час</w:t>
            </w:r>
          </w:p>
          <w:p w14:paraId="4BF100B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8920FC9" w14:textId="77777777" w:rsidTr="000D3BCB">
        <w:trPr>
          <w:trHeight w:val="173"/>
        </w:trPr>
        <w:tc>
          <w:tcPr>
            <w:tcW w:w="461" w:type="dxa"/>
            <w:tcBorders>
              <w:top w:val="single" w:sz="6" w:space="0" w:color="auto"/>
              <w:left w:val="single" w:sz="6" w:space="0" w:color="auto"/>
              <w:bottom w:val="single" w:sz="6" w:space="0" w:color="auto"/>
              <w:right w:val="single" w:sz="6" w:space="0" w:color="auto"/>
            </w:tcBorders>
          </w:tcPr>
          <w:p w14:paraId="57CBD37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p w14:paraId="417C228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05" w:type="dxa"/>
            <w:tcBorders>
              <w:top w:val="single" w:sz="6" w:space="0" w:color="auto"/>
              <w:left w:val="single" w:sz="6" w:space="0" w:color="auto"/>
              <w:bottom w:val="single" w:sz="6" w:space="0" w:color="auto"/>
              <w:right w:val="single" w:sz="6" w:space="0" w:color="auto"/>
            </w:tcBorders>
          </w:tcPr>
          <w:p w14:paraId="52451B3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Емкость бензобаков</w:t>
            </w:r>
          </w:p>
          <w:p w14:paraId="4030D63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2C976E7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89 литров</w:t>
            </w:r>
          </w:p>
          <w:p w14:paraId="4875038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Borders>
              <w:top w:val="single" w:sz="6" w:space="0" w:color="auto"/>
              <w:left w:val="single" w:sz="6" w:space="0" w:color="auto"/>
              <w:bottom w:val="single" w:sz="6" w:space="0" w:color="auto"/>
              <w:right w:val="single" w:sz="6" w:space="0" w:color="auto"/>
            </w:tcBorders>
          </w:tcPr>
          <w:p w14:paraId="4C150C0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350 литров</w:t>
            </w:r>
          </w:p>
          <w:p w14:paraId="5E7BA5B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15B912E" w14:textId="77777777" w:rsidTr="000D3BCB">
        <w:trPr>
          <w:trHeight w:val="173"/>
        </w:trPr>
        <w:tc>
          <w:tcPr>
            <w:tcW w:w="461" w:type="dxa"/>
            <w:tcBorders>
              <w:top w:val="single" w:sz="6" w:space="0" w:color="auto"/>
              <w:left w:val="single" w:sz="6" w:space="0" w:color="auto"/>
              <w:bottom w:val="single" w:sz="6" w:space="0" w:color="auto"/>
              <w:right w:val="single" w:sz="6" w:space="0" w:color="auto"/>
            </w:tcBorders>
          </w:tcPr>
          <w:p w14:paraId="267480D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w:t>
            </w:r>
          </w:p>
          <w:p w14:paraId="5E7F846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05" w:type="dxa"/>
            <w:tcBorders>
              <w:top w:val="single" w:sz="6" w:space="0" w:color="auto"/>
              <w:left w:val="single" w:sz="6" w:space="0" w:color="auto"/>
              <w:bottom w:val="single" w:sz="6" w:space="0" w:color="auto"/>
              <w:right w:val="single" w:sz="6" w:space="0" w:color="auto"/>
            </w:tcBorders>
          </w:tcPr>
          <w:p w14:paraId="5D0679F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Запас хода по горючему</w:t>
            </w:r>
          </w:p>
          <w:p w14:paraId="5C82EFA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263170A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160 км</w:t>
            </w:r>
          </w:p>
          <w:p w14:paraId="51BA8D7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Borders>
              <w:top w:val="single" w:sz="6" w:space="0" w:color="auto"/>
              <w:left w:val="single" w:sz="6" w:space="0" w:color="auto"/>
              <w:bottom w:val="single" w:sz="6" w:space="0" w:color="auto"/>
              <w:right w:val="single" w:sz="6" w:space="0" w:color="auto"/>
            </w:tcBorders>
          </w:tcPr>
          <w:p w14:paraId="7CD27BF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344 км</w:t>
            </w:r>
          </w:p>
          <w:p w14:paraId="31EB0CE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C8C1C3E" w14:textId="77777777" w:rsidTr="000D3BCB">
        <w:trPr>
          <w:trHeight w:val="173"/>
        </w:trPr>
        <w:tc>
          <w:tcPr>
            <w:tcW w:w="461" w:type="dxa"/>
            <w:tcBorders>
              <w:top w:val="single" w:sz="6" w:space="0" w:color="auto"/>
              <w:left w:val="single" w:sz="6" w:space="0" w:color="auto"/>
              <w:bottom w:val="single" w:sz="6" w:space="0" w:color="auto"/>
              <w:right w:val="single" w:sz="6" w:space="0" w:color="auto"/>
            </w:tcBorders>
          </w:tcPr>
          <w:p w14:paraId="50DD443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w:t>
            </w:r>
          </w:p>
          <w:p w14:paraId="538EB5C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05" w:type="dxa"/>
            <w:tcBorders>
              <w:top w:val="single" w:sz="6" w:space="0" w:color="auto"/>
              <w:left w:val="single" w:sz="6" w:space="0" w:color="auto"/>
              <w:bottom w:val="single" w:sz="6" w:space="0" w:color="auto"/>
              <w:right w:val="single" w:sz="6" w:space="0" w:color="auto"/>
            </w:tcBorders>
          </w:tcPr>
          <w:p w14:paraId="24E0EEF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Экипаж</w:t>
            </w:r>
          </w:p>
          <w:p w14:paraId="643D02E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13A52B1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p w14:paraId="4272DCA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Borders>
              <w:top w:val="single" w:sz="6" w:space="0" w:color="auto"/>
              <w:left w:val="single" w:sz="6" w:space="0" w:color="auto"/>
              <w:bottom w:val="single" w:sz="6" w:space="0" w:color="auto"/>
              <w:right w:val="single" w:sz="6" w:space="0" w:color="auto"/>
            </w:tcBorders>
          </w:tcPr>
          <w:p w14:paraId="4B8807E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p w14:paraId="3CA4E25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93AF00B" w14:textId="77777777" w:rsidTr="000D3BCB">
        <w:trPr>
          <w:trHeight w:val="163"/>
        </w:trPr>
        <w:tc>
          <w:tcPr>
            <w:tcW w:w="461" w:type="dxa"/>
            <w:tcBorders>
              <w:top w:val="single" w:sz="6" w:space="0" w:color="auto"/>
              <w:left w:val="single" w:sz="6" w:space="0" w:color="auto"/>
              <w:bottom w:val="single" w:sz="6" w:space="0" w:color="auto"/>
              <w:right w:val="single" w:sz="6" w:space="0" w:color="auto"/>
            </w:tcBorders>
          </w:tcPr>
          <w:p w14:paraId="46243AE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p w14:paraId="76F5B67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05" w:type="dxa"/>
            <w:tcBorders>
              <w:top w:val="single" w:sz="6" w:space="0" w:color="auto"/>
              <w:left w:val="single" w:sz="6" w:space="0" w:color="auto"/>
              <w:bottom w:val="single" w:sz="6" w:space="0" w:color="auto"/>
              <w:right w:val="single" w:sz="6" w:space="0" w:color="auto"/>
            </w:tcBorders>
          </w:tcPr>
          <w:p w14:paraId="4B65022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Стоимость машины</w:t>
            </w:r>
          </w:p>
          <w:p w14:paraId="7D10DB7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0AC199F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42 787 дол л</w:t>
            </w:r>
          </w:p>
          <w:p w14:paraId="403C51E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Borders>
              <w:top w:val="single" w:sz="6" w:space="0" w:color="auto"/>
              <w:left w:val="single" w:sz="6" w:space="0" w:color="auto"/>
              <w:bottom w:val="single" w:sz="6" w:space="0" w:color="auto"/>
              <w:right w:val="single" w:sz="6" w:space="0" w:color="auto"/>
            </w:tcBorders>
          </w:tcPr>
          <w:p w14:paraId="651ED51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150000руб.</w:t>
            </w:r>
          </w:p>
          <w:p w14:paraId="6AE1F32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EB03314" w14:textId="77777777" w:rsidTr="000D3BCB">
        <w:trPr>
          <w:trHeight w:val="192"/>
        </w:trPr>
        <w:tc>
          <w:tcPr>
            <w:tcW w:w="461" w:type="dxa"/>
            <w:tcBorders>
              <w:top w:val="single" w:sz="6" w:space="0" w:color="auto"/>
              <w:left w:val="single" w:sz="6" w:space="0" w:color="auto"/>
              <w:bottom w:val="single" w:sz="6" w:space="0" w:color="auto"/>
              <w:right w:val="single" w:sz="6" w:space="0" w:color="auto"/>
            </w:tcBorders>
          </w:tcPr>
          <w:p w14:paraId="6517C90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p w14:paraId="5C874B0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05" w:type="dxa"/>
            <w:tcBorders>
              <w:top w:val="single" w:sz="6" w:space="0" w:color="auto"/>
              <w:left w:val="single" w:sz="6" w:space="0" w:color="auto"/>
              <w:bottom w:val="single" w:sz="6" w:space="0" w:color="auto"/>
              <w:right w:val="single" w:sz="6" w:space="0" w:color="auto"/>
            </w:tcBorders>
          </w:tcPr>
          <w:p w14:paraId="4D56750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Стоимость 1 кг машины</w:t>
            </w:r>
          </w:p>
          <w:p w14:paraId="08D488C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5C90F29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долл. 35 центов</w:t>
            </w:r>
          </w:p>
          <w:p w14:paraId="3FB78E0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Borders>
              <w:top w:val="single" w:sz="6" w:space="0" w:color="auto"/>
              <w:left w:val="single" w:sz="6" w:space="0" w:color="auto"/>
              <w:bottom w:val="single" w:sz="6" w:space="0" w:color="auto"/>
              <w:right w:val="single" w:sz="6" w:space="0" w:color="auto"/>
            </w:tcBorders>
          </w:tcPr>
          <w:p w14:paraId="7FD18AF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руб. 11 коп.</w:t>
            </w:r>
          </w:p>
          <w:p w14:paraId="24CC5A4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8A4659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начальника 1 отдела БТУ ГАБТУ КА военинженер 2 ранга Чиков</w:t>
      </w:r>
    </w:p>
    <w:p w14:paraId="35D994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kern w:val="65535"/>
          <w:sz w:val="16"/>
          <w:szCs w:val="16"/>
        </w:rPr>
      </w:pPr>
      <w:r w:rsidRPr="00640820">
        <w:rPr>
          <w:rFonts w:ascii="Times New Roman" w:hAnsi="Times New Roman"/>
          <w:color w:val="000000" w:themeColor="text1"/>
          <w:kern w:val="65535"/>
          <w:sz w:val="16"/>
          <w:szCs w:val="16"/>
        </w:rPr>
        <w:t>ЦАМО. Ф. 38. Оп. 11355. Д. 647. Л. 8-10. Копия (11211).</w:t>
      </w:r>
    </w:p>
    <w:p w14:paraId="771123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kern w:val="65535"/>
          <w:sz w:val="16"/>
          <w:szCs w:val="16"/>
        </w:rPr>
      </w:pPr>
    </w:p>
    <w:p w14:paraId="677C12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ноября 1941 года вышел приказ № 76 НК танковой промышленности</w:t>
      </w:r>
    </w:p>
    <w:p w14:paraId="1DEF0B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дополнение приказа № 67 от 19 ноября 1941 года (Приказ № 67 в деле нет – пометка “В папке “Б”)</w:t>
      </w:r>
    </w:p>
    <w:p w14:paraId="76A2B6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Присвоить станкостроительным заводам, прикрепленным к головным танковым заводам след наименования: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802"/>
        <w:gridCol w:w="4796"/>
      </w:tblGrid>
      <w:tr w:rsidR="00643896" w:rsidRPr="00640820" w14:paraId="06063BE4" w14:textId="77777777" w:rsidTr="000D3BCB">
        <w:tc>
          <w:tcPr>
            <w:tcW w:w="5802" w:type="dxa"/>
          </w:tcPr>
          <w:p w14:paraId="5B2E90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“Красный пролетарий”</w:t>
            </w:r>
          </w:p>
        </w:tc>
        <w:tc>
          <w:tcPr>
            <w:tcW w:w="4796" w:type="dxa"/>
          </w:tcPr>
          <w:p w14:paraId="245904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5 “Красный пролетарий”</w:t>
            </w:r>
          </w:p>
        </w:tc>
      </w:tr>
      <w:tr w:rsidR="00643896" w:rsidRPr="00640820" w14:paraId="1E01FCB5" w14:textId="77777777" w:rsidTr="000D3BCB">
        <w:tc>
          <w:tcPr>
            <w:tcW w:w="5802" w:type="dxa"/>
          </w:tcPr>
          <w:p w14:paraId="383445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 Молотова</w:t>
            </w:r>
          </w:p>
        </w:tc>
        <w:tc>
          <w:tcPr>
            <w:tcW w:w="4796" w:type="dxa"/>
          </w:tcPr>
          <w:p w14:paraId="4855C8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6 им. Молотова</w:t>
            </w:r>
          </w:p>
        </w:tc>
      </w:tr>
      <w:tr w:rsidR="00643896" w:rsidRPr="00640820" w14:paraId="2D391A22" w14:textId="77777777" w:rsidTr="000D3BCB">
        <w:tc>
          <w:tcPr>
            <w:tcW w:w="5802" w:type="dxa"/>
          </w:tcPr>
          <w:p w14:paraId="4D4878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шлифовальных станков</w:t>
            </w:r>
          </w:p>
        </w:tc>
        <w:tc>
          <w:tcPr>
            <w:tcW w:w="4796" w:type="dxa"/>
          </w:tcPr>
          <w:p w14:paraId="7048A0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7</w:t>
            </w:r>
          </w:p>
        </w:tc>
      </w:tr>
      <w:tr w:rsidR="00643896" w:rsidRPr="00640820" w14:paraId="23D00BEA" w14:textId="77777777" w:rsidTr="000D3BCB">
        <w:tc>
          <w:tcPr>
            <w:tcW w:w="5802" w:type="dxa"/>
          </w:tcPr>
          <w:p w14:paraId="02AC64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 Орджоникидзе</w:t>
            </w:r>
          </w:p>
        </w:tc>
        <w:tc>
          <w:tcPr>
            <w:tcW w:w="4796" w:type="dxa"/>
          </w:tcPr>
          <w:p w14:paraId="2A97FC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184 им. Орджоникидзе</w:t>
            </w:r>
          </w:p>
        </w:tc>
      </w:tr>
      <w:tr w:rsidR="00643896" w:rsidRPr="00640820" w14:paraId="5AE0BA93" w14:textId="77777777" w:rsidTr="000D3BCB">
        <w:tc>
          <w:tcPr>
            <w:tcW w:w="5802" w:type="dxa"/>
          </w:tcPr>
          <w:p w14:paraId="7F65D0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 Горького</w:t>
            </w:r>
          </w:p>
        </w:tc>
        <w:tc>
          <w:tcPr>
            <w:tcW w:w="4796" w:type="dxa"/>
          </w:tcPr>
          <w:p w14:paraId="7FF7A7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185 им. Горького</w:t>
            </w:r>
          </w:p>
        </w:tc>
      </w:tr>
      <w:tr w:rsidR="00643896" w:rsidRPr="00640820" w14:paraId="7DFCFD27" w14:textId="77777777" w:rsidTr="000D3BCB">
        <w:tc>
          <w:tcPr>
            <w:tcW w:w="5802" w:type="dxa"/>
          </w:tcPr>
          <w:p w14:paraId="7A628F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“Гидропривод”</w:t>
            </w:r>
          </w:p>
        </w:tc>
        <w:tc>
          <w:tcPr>
            <w:tcW w:w="4796" w:type="dxa"/>
          </w:tcPr>
          <w:p w14:paraId="323032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186</w:t>
            </w:r>
          </w:p>
        </w:tc>
      </w:tr>
      <w:tr w:rsidR="00643896" w:rsidRPr="00640820" w14:paraId="07AFDE13" w14:textId="77777777" w:rsidTr="000D3BCB">
        <w:tc>
          <w:tcPr>
            <w:tcW w:w="5802" w:type="dxa"/>
          </w:tcPr>
          <w:p w14:paraId="6D88B8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Горьковский завод фрезерных станков</w:t>
            </w:r>
          </w:p>
        </w:tc>
        <w:tc>
          <w:tcPr>
            <w:tcW w:w="4796" w:type="dxa"/>
          </w:tcPr>
          <w:p w14:paraId="311EDA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113</w:t>
            </w:r>
          </w:p>
        </w:tc>
      </w:tr>
      <w:tr w:rsidR="00643896" w:rsidRPr="00640820" w14:paraId="3A5C28D8" w14:textId="77777777" w:rsidTr="000D3BCB">
        <w:tc>
          <w:tcPr>
            <w:tcW w:w="5802" w:type="dxa"/>
          </w:tcPr>
          <w:p w14:paraId="00E746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“Станкопатрон”</w:t>
            </w:r>
          </w:p>
        </w:tc>
        <w:tc>
          <w:tcPr>
            <w:tcW w:w="4796" w:type="dxa"/>
          </w:tcPr>
          <w:p w14:paraId="438402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114</w:t>
            </w:r>
          </w:p>
        </w:tc>
      </w:tr>
      <w:tr w:rsidR="00643896" w:rsidRPr="00640820" w14:paraId="460FE62C" w14:textId="77777777" w:rsidTr="000D3BCB">
        <w:tc>
          <w:tcPr>
            <w:tcW w:w="5802" w:type="dxa"/>
          </w:tcPr>
          <w:p w14:paraId="7C97B1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 КПФ</w:t>
            </w:r>
          </w:p>
        </w:tc>
        <w:tc>
          <w:tcPr>
            <w:tcW w:w="4796" w:type="dxa"/>
          </w:tcPr>
          <w:p w14:paraId="6271E2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115 им. КПФ</w:t>
            </w:r>
          </w:p>
        </w:tc>
      </w:tr>
      <w:tr w:rsidR="00643896" w:rsidRPr="00640820" w14:paraId="05FA446A" w14:textId="77777777" w:rsidTr="000D3BCB">
        <w:tc>
          <w:tcPr>
            <w:tcW w:w="5802" w:type="dxa"/>
          </w:tcPr>
          <w:p w14:paraId="6AFDFB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Чкаловский станкостроительный завод</w:t>
            </w:r>
          </w:p>
        </w:tc>
        <w:tc>
          <w:tcPr>
            <w:tcW w:w="4796" w:type="dxa"/>
          </w:tcPr>
          <w:p w14:paraId="2CB3BA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170</w:t>
            </w:r>
          </w:p>
        </w:tc>
      </w:tr>
      <w:tr w:rsidR="00643896" w:rsidRPr="00640820" w14:paraId="6CEB3594" w14:textId="77777777" w:rsidTr="000D3BCB">
        <w:tc>
          <w:tcPr>
            <w:tcW w:w="5802" w:type="dxa"/>
          </w:tcPr>
          <w:p w14:paraId="6D1F57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“Коммунар” (г. Саракташ)</w:t>
            </w:r>
          </w:p>
        </w:tc>
        <w:tc>
          <w:tcPr>
            <w:tcW w:w="4796" w:type="dxa"/>
          </w:tcPr>
          <w:p w14:paraId="6679E2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171 “Коммунар”</w:t>
            </w:r>
          </w:p>
        </w:tc>
      </w:tr>
      <w:tr w:rsidR="00643896" w:rsidRPr="00640820" w14:paraId="7828ECEF" w14:textId="77777777" w:rsidTr="000D3BCB">
        <w:tc>
          <w:tcPr>
            <w:tcW w:w="5802" w:type="dxa"/>
          </w:tcPr>
          <w:p w14:paraId="167362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Чкаловский завод кузнечно-прессового оборудования</w:t>
            </w:r>
          </w:p>
        </w:tc>
        <w:tc>
          <w:tcPr>
            <w:tcW w:w="4796" w:type="dxa"/>
          </w:tcPr>
          <w:p w14:paraId="63A626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172</w:t>
            </w:r>
          </w:p>
        </w:tc>
      </w:tr>
      <w:tr w:rsidR="00643896" w:rsidRPr="00640820" w14:paraId="553C4B45" w14:textId="77777777" w:rsidTr="000D3BCB">
        <w:tc>
          <w:tcPr>
            <w:tcW w:w="5802" w:type="dxa"/>
          </w:tcPr>
          <w:p w14:paraId="551689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 ЦК машиностроения</w:t>
            </w:r>
          </w:p>
        </w:tc>
        <w:tc>
          <w:tcPr>
            <w:tcW w:w="4796" w:type="dxa"/>
          </w:tcPr>
          <w:p w14:paraId="5CA8DD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179 им. ЦК машиностроения</w:t>
            </w:r>
          </w:p>
        </w:tc>
      </w:tr>
      <w:tr w:rsidR="00643896" w:rsidRPr="00640820" w14:paraId="58D07A28" w14:textId="77777777" w:rsidTr="000D3BCB">
        <w:tc>
          <w:tcPr>
            <w:tcW w:w="5802" w:type="dxa"/>
          </w:tcPr>
          <w:p w14:paraId="052075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 Ленина</w:t>
            </w:r>
          </w:p>
        </w:tc>
        <w:tc>
          <w:tcPr>
            <w:tcW w:w="4796" w:type="dxa"/>
          </w:tcPr>
          <w:p w14:paraId="4940DF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39 им. Ленина</w:t>
            </w:r>
          </w:p>
        </w:tc>
      </w:tr>
      <w:tr w:rsidR="00643896" w:rsidRPr="00640820" w14:paraId="4304C00D" w14:textId="77777777" w:rsidTr="000D3BCB">
        <w:tc>
          <w:tcPr>
            <w:tcW w:w="5802" w:type="dxa"/>
          </w:tcPr>
          <w:p w14:paraId="50EB39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Саратовский завод зуборезных станков</w:t>
            </w:r>
          </w:p>
        </w:tc>
        <w:tc>
          <w:tcPr>
            <w:tcW w:w="4796" w:type="dxa"/>
          </w:tcPr>
          <w:p w14:paraId="6B1295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181</w:t>
            </w:r>
          </w:p>
        </w:tc>
      </w:tr>
    </w:tbl>
    <w:p w14:paraId="284881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Исключить из числа прикрепленных заводов Саратовский станкостроительный, как переданный в НК боеприпасов.</w:t>
      </w:r>
    </w:p>
    <w:p w14:paraId="009055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Исключить из числа прикрепленных заводов Свердловский завод тяжелого станкостроения как переданный в НКВ.</w:t>
      </w:r>
    </w:p>
    <w:p w14:paraId="3C325A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Цеха завода “Красный пролетарий”, Московского завода шлифовальных станков, станкозавода им. Орджоникидзе, завода им. Свердлова, оставленные при эвакуации на прежнем месте для обслуживания нужд фронта (на правах филиалов).</w:t>
      </w:r>
    </w:p>
    <w:p w14:paraId="72C8DB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Станкостроительные заводы, прикрепленные к головным танковым заводам, подчинить непосредственно НК танкостроения (8109).</w:t>
      </w:r>
    </w:p>
    <w:p w14:paraId="1E9D2B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E9FE8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ноября 1941 года вышел приказ № 78 НК танковой промышленности</w:t>
      </w:r>
    </w:p>
    <w:p w14:paraId="27B0F4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Переименовать Гл. управление абразивной промышленности в 4-е гл. управление (во исполнение решения Правительства о слиянии НК станкостроения и НК танковой промышленности):</w:t>
      </w:r>
    </w:p>
    <w:p w14:paraId="4A9167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Ленинградский абразивный завод “Ильич”, оставшийся в Ленинграде для обеспечения нужд фронта считать филиалом Челябинского абразивного завода.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802"/>
        <w:gridCol w:w="5802"/>
      </w:tblGrid>
      <w:tr w:rsidR="00643896" w:rsidRPr="00640820" w14:paraId="6E3BA098" w14:textId="77777777" w:rsidTr="000D3BCB">
        <w:tc>
          <w:tcPr>
            <w:tcW w:w="5802" w:type="dxa"/>
          </w:tcPr>
          <w:p w14:paraId="474CF1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Челябинский абразивный завод</w:t>
            </w:r>
          </w:p>
        </w:tc>
        <w:tc>
          <w:tcPr>
            <w:tcW w:w="5802" w:type="dxa"/>
          </w:tcPr>
          <w:p w14:paraId="6DCD0B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303</w:t>
            </w:r>
          </w:p>
        </w:tc>
      </w:tr>
      <w:tr w:rsidR="00643896" w:rsidRPr="00640820" w14:paraId="0134479C" w14:textId="77777777" w:rsidTr="000D3BCB">
        <w:tc>
          <w:tcPr>
            <w:tcW w:w="5802" w:type="dxa"/>
          </w:tcPr>
          <w:p w14:paraId="008CE5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Челябинский завод шлифизделий</w:t>
            </w:r>
          </w:p>
        </w:tc>
        <w:tc>
          <w:tcPr>
            <w:tcW w:w="5802" w:type="dxa"/>
          </w:tcPr>
          <w:p w14:paraId="38466F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304</w:t>
            </w:r>
          </w:p>
        </w:tc>
      </w:tr>
      <w:tr w:rsidR="00643896" w:rsidRPr="00640820" w14:paraId="14B05EB7" w14:textId="77777777" w:rsidTr="000D3BCB">
        <w:tc>
          <w:tcPr>
            <w:tcW w:w="5802" w:type="dxa"/>
          </w:tcPr>
          <w:p w14:paraId="4DABD0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Златоустовский абразивный завод</w:t>
            </w:r>
          </w:p>
        </w:tc>
        <w:tc>
          <w:tcPr>
            <w:tcW w:w="5802" w:type="dxa"/>
          </w:tcPr>
          <w:p w14:paraId="53663F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305</w:t>
            </w:r>
          </w:p>
        </w:tc>
      </w:tr>
      <w:tr w:rsidR="00643896" w:rsidRPr="00640820" w14:paraId="1117E5A4" w14:textId="77777777" w:rsidTr="000D3BCB">
        <w:tc>
          <w:tcPr>
            <w:tcW w:w="5802" w:type="dxa"/>
          </w:tcPr>
          <w:p w14:paraId="4D2E5B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Хайтинский абразивный завод</w:t>
            </w:r>
          </w:p>
        </w:tc>
        <w:tc>
          <w:tcPr>
            <w:tcW w:w="5802" w:type="dxa"/>
          </w:tcPr>
          <w:p w14:paraId="067D54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306</w:t>
            </w:r>
          </w:p>
        </w:tc>
      </w:tr>
      <w:tr w:rsidR="00643896" w:rsidRPr="00640820" w14:paraId="498A2CC8" w14:textId="77777777" w:rsidTr="000D3BCB">
        <w:tc>
          <w:tcPr>
            <w:tcW w:w="5802" w:type="dxa"/>
          </w:tcPr>
          <w:p w14:paraId="5CD18B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Ташкентский карборундовый завод</w:t>
            </w:r>
          </w:p>
        </w:tc>
        <w:tc>
          <w:tcPr>
            <w:tcW w:w="5802" w:type="dxa"/>
          </w:tcPr>
          <w:p w14:paraId="6DF420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307</w:t>
            </w:r>
          </w:p>
        </w:tc>
      </w:tr>
      <w:tr w:rsidR="00643896" w:rsidRPr="00640820" w14:paraId="6F7E50F8" w14:textId="77777777" w:rsidTr="000D3BCB">
        <w:tc>
          <w:tcPr>
            <w:tcW w:w="5802" w:type="dxa"/>
          </w:tcPr>
          <w:p w14:paraId="54E4D9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Косулинский абразивный завод</w:t>
            </w:r>
          </w:p>
        </w:tc>
        <w:tc>
          <w:tcPr>
            <w:tcW w:w="5802" w:type="dxa"/>
          </w:tcPr>
          <w:p w14:paraId="6A879C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308</w:t>
            </w:r>
          </w:p>
        </w:tc>
      </w:tr>
      <w:tr w:rsidR="00643896" w:rsidRPr="00640820" w14:paraId="12DE1E5C" w14:textId="77777777" w:rsidTr="000D3BCB">
        <w:tc>
          <w:tcPr>
            <w:tcW w:w="5802" w:type="dxa"/>
          </w:tcPr>
          <w:p w14:paraId="5BF51A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Ташкентский абразивный завод</w:t>
            </w:r>
          </w:p>
        </w:tc>
        <w:tc>
          <w:tcPr>
            <w:tcW w:w="5802" w:type="dxa"/>
          </w:tcPr>
          <w:p w14:paraId="6515DD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309</w:t>
            </w:r>
          </w:p>
        </w:tc>
      </w:tr>
      <w:tr w:rsidR="00643896" w:rsidRPr="00640820" w14:paraId="027B3B92" w14:textId="77777777" w:rsidTr="000D3BCB">
        <w:tc>
          <w:tcPr>
            <w:tcW w:w="5802" w:type="dxa"/>
          </w:tcPr>
          <w:p w14:paraId="6E3F7A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Кыштымская корундовая фабрика</w:t>
            </w:r>
          </w:p>
        </w:tc>
        <w:tc>
          <w:tcPr>
            <w:tcW w:w="5802" w:type="dxa"/>
          </w:tcPr>
          <w:p w14:paraId="143CFB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310</w:t>
            </w:r>
          </w:p>
        </w:tc>
      </w:tr>
      <w:tr w:rsidR="00643896" w:rsidRPr="00640820" w14:paraId="44D487EF" w14:textId="77777777" w:rsidTr="000D3BCB">
        <w:tc>
          <w:tcPr>
            <w:tcW w:w="5802" w:type="dxa"/>
          </w:tcPr>
          <w:p w14:paraId="4CA8F8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Теченская фабрика</w:t>
            </w:r>
          </w:p>
        </w:tc>
        <w:tc>
          <w:tcPr>
            <w:tcW w:w="5802" w:type="dxa"/>
          </w:tcPr>
          <w:p w14:paraId="096362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311</w:t>
            </w:r>
          </w:p>
        </w:tc>
      </w:tr>
      <w:tr w:rsidR="00643896" w:rsidRPr="00640820" w14:paraId="70527AA5" w14:textId="77777777" w:rsidTr="000D3BCB">
        <w:tc>
          <w:tcPr>
            <w:tcW w:w="5802" w:type="dxa"/>
          </w:tcPr>
          <w:p w14:paraId="286FB8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“Красный тигель”</w:t>
            </w:r>
          </w:p>
        </w:tc>
        <w:tc>
          <w:tcPr>
            <w:tcW w:w="5802" w:type="dxa"/>
          </w:tcPr>
          <w:p w14:paraId="6114A6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312</w:t>
            </w:r>
          </w:p>
        </w:tc>
      </w:tr>
    </w:tbl>
    <w:p w14:paraId="273810A4" w14:textId="77777777" w:rsidR="00E3592D"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(8709)</w:t>
      </w:r>
    </w:p>
    <w:p w14:paraId="2CE3316E" w14:textId="77777777" w:rsidR="00E3592D" w:rsidRPr="00640820" w:rsidRDefault="00E3592D" w:rsidP="00640820">
      <w:pPr>
        <w:autoSpaceDE w:val="0"/>
        <w:autoSpaceDN w:val="0"/>
        <w:adjustRightInd w:val="0"/>
        <w:spacing w:after="0" w:line="240" w:lineRule="auto"/>
        <w:jc w:val="both"/>
        <w:rPr>
          <w:rFonts w:ascii="Times New Roman" w:hAnsi="Times New Roman"/>
          <w:color w:val="000000" w:themeColor="text1"/>
          <w:sz w:val="16"/>
          <w:szCs w:val="16"/>
        </w:rPr>
      </w:pPr>
    </w:p>
    <w:p w14:paraId="22EC18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 xml:space="preserve">24 ноября 1941 г. </w:t>
      </w:r>
      <w:r w:rsidRPr="00640820">
        <w:rPr>
          <w:rFonts w:ascii="Times New Roman" w:hAnsi="Times New Roman"/>
          <w:color w:val="000000" w:themeColor="text1"/>
          <w:sz w:val="16"/>
          <w:szCs w:val="16"/>
        </w:rPr>
        <w:t>О перестройке промышленности края на выпуск  военной продукции</w:t>
      </w:r>
    </w:p>
    <w:p w14:paraId="566A96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стенограммы Красноярского краевого и городского актива</w:t>
      </w:r>
    </w:p>
    <w:p w14:paraId="5217E63F"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г. Красноярск 24 ноября 1941 г.</w:t>
      </w:r>
    </w:p>
    <w:p w14:paraId="79E8E5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Промышленность края в целом перевыполнила план 3-го квартала по сравнению со вторым кварталом. Выпуск валовой продукции увеличился на 17,6%, а прирост продукции составляет 16,965 тысяч рублей. Особенно увеличили производительность оборонные предприятия. Если взять за 100% выпуск продукции вооружения и боеприпасов до войны, то выпуск этой продукции сейчас, в несколько десятков раз больше, [чем в] довоенное время.</w:t>
      </w:r>
    </w:p>
    <w:p w14:paraId="76A694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Положительный опыт борьбы за новую технику для фронта позволил производству нашего края освоить 7 наименований новой оборонной продукции, и в стадии освоения находится еще 8 видов вооружения.</w:t>
      </w:r>
    </w:p>
    <w:p w14:paraId="6F89DF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Большую работу проделал коллектив механического завода и парторганизация города по перестройке, реконструкции и строительству эвакуированного к нам предприятия. 15,5 тысяч трудодней выработали трудящиеся города в порядке воскресника и постоянного участия, чтобы быстрее реконструировать бывший механический завод Наркомлеса. За короткий промежуток времени были построены несколько новых цехов на площади больше существующего завода. Уложено 1200 штук кирпича, 129 вагонов бутового камня. Более тридцати тысяч кбм вынуто земли, чтобы быстро построить цеха и восстановить эвакуированный Онежский завод. Вся эта работа завершена в небывалые для Красноярска короткие сроки. В сентябре цеха еще только строились, а один из цехов, наскоро оборудованный, уже выпускал оборонную продукцию и обеспечил выполнение сентябрьского плана.</w:t>
      </w:r>
    </w:p>
    <w:p w14:paraId="1741E84E" w14:textId="77777777" w:rsidR="00165A9C" w:rsidRPr="00640820" w:rsidRDefault="00165A9C" w:rsidP="00640820">
      <w:pPr>
        <w:widowControl w:val="0"/>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Неплохо работала наша краевая легкая промышленность. План за 10 месяцев она выполнила на 108%. Воодушевленные патриотическим подъемом коллективы целого ряда предприятий легпрома выполнили ряд заказов для фронта и добились в третьем квартале значительного повышения производительности труда. Красноярская обувная мастерская увеличила производительность труда на 49%, Абаканская обувная мастерская – на 35%, валяльно-войлочная фабрика крайлегпрома закончила годовой план 1 октября 1941 года на 119%, Красноярский леспромхоз выполнил годовую программу. За перевыполнение плана выпуска валовой продукции Усть-Абаканский лесозавод получил Красное знамя ЦК Союза и Главлесдрева.</w:t>
      </w:r>
    </w:p>
    <w:p w14:paraId="5679C0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 заводы Севполярлеса повысили производительность труда на 11,4%.</w:t>
      </w:r>
    </w:p>
    <w:p w14:paraId="17E5F8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Эти примеры успешной работы ряда предприятий лесной промышленности свидетельствуют о том, что там, где партийные и хозяйственные организации перестроили всю свою работу на военный лад, там обеспечено выполнение государственного плана.</w:t>
      </w:r>
    </w:p>
    <w:p w14:paraId="6C68D4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Заметно улучшилась работа предприятий горнорудной промышленности. Все тресты золотой промышленности перевыполнили 10-тимесячный план золотодобычи. Трест Хакассзолото выполнил 10-тимесячный план на 104%, Минусазолото – 111,5%. Ряд приисковых управлений уже закончили выполнение годового плана. Закончило годовой план 13 октября Кувайское приисковое управление (директор т. Воробьев), 11 октября закончил годовую программу рудник им. Артема, треста Минусазолото (директор т. Петрушкин). 31 октября выполнил годовую программу Соврудник (директор т. Коновалов), 5 ноября закончило годовой план Северо-Енисейское приисковое управление треста Енисейзолото.</w:t>
      </w:r>
    </w:p>
    <w:p w14:paraId="0CAFCF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Марганцевый рудник в дни отечественной войны стал работать много лучше, чем он работал до войны. Программу первого полугодия по добыче марганца рудник выполнил на 85%, за это же время рудник имел убытки. После начала войны, коллектив рудника (директор тов. Волков, секретарь парторганизации т. Воронов), обеспечивая нужды фронта, мобилизовал всех рабочих и перевыполнил план.</w:t>
      </w:r>
    </w:p>
    <w:p w14:paraId="4FB5D2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Улучшил свою работу комбинат «Раздольстрой», обеспечивающий нужды нашей военной промышленности важными материалами. За первое полугодие программа была выполнена комбинатом по валовой продукции только на 87,5%. Еще хуже обстояло дело по ассортименту. 3-й же квартал программа выполнена по валовой продукции на 119%, а по ассортименту удовлетворены все заявки потребителя. […]</w:t>
      </w:r>
    </w:p>
    <w:p w14:paraId="0D65F260"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ГАКК. Ф.П-26. Оп.3. Д.47. Л.20-27. Подлинник. Машинопись. (11794).</w:t>
      </w:r>
    </w:p>
    <w:p w14:paraId="1B0FFACF"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F1597F0"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0A72A9A2"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BE25E5A" w14:textId="77777777" w:rsidR="00E3592D" w:rsidRPr="00640820" w:rsidRDefault="00E3592D"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24 ноября </w:t>
      </w:r>
      <w:r w:rsidRPr="00640820">
        <w:rPr>
          <w:rFonts w:ascii="Times New Roman" w:hAnsi="Times New Roman"/>
          <w:color w:val="000000" w:themeColor="text1"/>
          <w:sz w:val="16"/>
          <w:szCs w:val="16"/>
        </w:rPr>
        <w:t>в 1941 году утреннее сообщение Совинформбюро:</w:t>
      </w:r>
    </w:p>
    <w:p w14:paraId="664A8CDE" w14:textId="77777777" w:rsidR="00E3592D" w:rsidRPr="00640820" w:rsidRDefault="00E3592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24 ноября наши войска вели бои с противником на всех фронтах.</w:t>
      </w:r>
    </w:p>
    <w:p w14:paraId="550B0953" w14:textId="77777777" w:rsidR="00E3592D" w:rsidRPr="00640820" w:rsidRDefault="00E3592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Наша танковая бригада, действующая на одном из участков Западного фронта, в трёхдневном бою с противником уничтожила 15 танков, 5 бронемашин, много пулемётных и миномётных батарей противника и истребила свыше 1.000 немецких солдат и офицеров.</w:t>
      </w:r>
    </w:p>
    <w:p w14:paraId="2371857A" w14:textId="77777777" w:rsidR="00E3592D" w:rsidRPr="00640820" w:rsidRDefault="00E3592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Артиллерийские части тов. Захаркина за ночь с 22 на 23 ноября уничтожили три миномётные батареи противника, ДЗОТ с противотанковым орудием и пулемётами и взорвали крупный склад с боеприпасами.</w:t>
      </w:r>
    </w:p>
    <w:p w14:paraId="551A685E" w14:textId="77777777" w:rsidR="00E3592D" w:rsidRPr="00640820" w:rsidRDefault="00E3592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Старший сержант тов. Князев, будучи с тремя красноармейцами в разведке, оказался в окружении. Смелые бойцы вступили в бой с противником, уничтожили 12 фашистских солдат, захватили ящик мин, много лент с патронами и благополучно вернулись в свою часть.</w:t>
      </w:r>
    </w:p>
    <w:p w14:paraId="7122D030" w14:textId="77777777" w:rsidR="00E3592D" w:rsidRPr="00640820" w:rsidRDefault="00E3592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Большую активность проявляют партизанские отряды рабочих Таганрога. 15 ноября произошёл большой пожар и взрыв в портовом складе, где фашисты организовали крупную базу различного военного снаряжения. Склад и находившееся в нём снаряжение сгорели дотла. У станции М. группа партизан-железнодорожников взорвала три автодрезины с различным инструментом и вывела из строя все стрелки. Находящийся на станции отряд немецких солдат пытался оказать партизанам сопротивление. Во время перестрелки 13 фашистов были уничтожены. Партизанский отряд рыбаков под командованием председателя рыболовецкого колхоза тов. Ч. совершил нападение на конный обоз противника. Партизаны перебили немецкую охрану и полностью уничтожили 17 повозок с продовольствием. За 5 дней ноября в пригородных районах Таганрога партизаны перебили до 80 немецких солдат и офицеров, сожгли 8 грузовых и 3 легковые машины противника, уничтожили 13 немецких мотоциклистов и конный разъезд из 5 солдат.</w:t>
      </w:r>
    </w:p>
    <w:p w14:paraId="5F99ACCF" w14:textId="77777777" w:rsidR="00E3592D" w:rsidRPr="00640820" w:rsidRDefault="00E3592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Многочисленные факты свидетельствуют об истощении людских резервов гитлеровской Германии. Огромные потери вынуждают фашистов посылать на фронт заключённых в тюрьмах, инвалидов, полицейских, а также перебрасывать оставшиеся в оккупированных странах части на Восточный фронт. Пленный немецкий солдат Карл Фальц рассказал: «Я был осуждён и содержался в арестном доме в Имеланде, где было 1.600 заключённых. Недавно многие заключённые, в том числе и я, были направлены на фронт». Мария Лейбольд пишет из Вюрцбурга своему мужу: «Вся наша полиция теперь тоже направлена в Россию». Ефрейтор Теодор Гайнц в письме родным сообщает: «Среди нас и старики и юнцы. По-моему, берут всех без разбору». У матёрого фашистского бандита Генриха Редера, убитого на одном из участков Западного фронта, найдено неотправленное письмо, в котором он пишет: «За последнее время нашу доблестную часть пополняют желторотыми слюнтяями, кривыми, хромыми и прогнившими инвалидами. Если так будет продолжаться и дальше, то воевать будет некому».</w:t>
      </w:r>
    </w:p>
    <w:p w14:paraId="25876648" w14:textId="77777777" w:rsidR="00E3592D" w:rsidRPr="00640820" w:rsidRDefault="00E3592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Самоотверженно работают советские железнодорожники, доставляя фронту необходимые грузы. На Казанской дороге до войны имелось несколько десятков лунинских паровозных бригад. Теперь их сотни. Подавляющее большинство машинистов дороги водит тяжеловесные поезда с превышением технической скорости. Красноуфимские машинисты т.т. Кузнецов, Орлов и Павлов в октябре израсходовали топлива на 75 тонн меньше нормы. В депо Арзамас паровозные бригады машинистов т.т. Тихонова и Егорова за время войны сберегли 100 тонн угля. Широко применяют лунинские методы работы путейцы. На Чернушинской дистанции пути 195 путеобходчиков собственными силами выполняют весь текущий ремонт. Бригадир Красноуфимской дистанции пути тов. Исупов за последние месяцы самостоятельно отремонтировал 170 шпал. Его участок пути находится в образцовом состоянии.» (14839).</w:t>
      </w:r>
    </w:p>
    <w:p w14:paraId="566B8CE8" w14:textId="77777777" w:rsidR="00E3592D" w:rsidRPr="00640820" w:rsidRDefault="00E3592D" w:rsidP="00640820">
      <w:pPr>
        <w:spacing w:after="0" w:line="240" w:lineRule="auto"/>
        <w:jc w:val="both"/>
        <w:rPr>
          <w:rFonts w:ascii="Times New Roman" w:hAnsi="Times New Roman"/>
          <w:color w:val="000000" w:themeColor="text1"/>
          <w:sz w:val="16"/>
          <w:szCs w:val="16"/>
        </w:rPr>
      </w:pPr>
    </w:p>
    <w:p w14:paraId="77097552" w14:textId="77777777" w:rsidR="00E3592D" w:rsidRPr="00640820" w:rsidRDefault="00E3592D"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24 ноября </w:t>
      </w:r>
      <w:r w:rsidRPr="00640820">
        <w:rPr>
          <w:rFonts w:ascii="Times New Roman" w:hAnsi="Times New Roman"/>
          <w:color w:val="000000" w:themeColor="text1"/>
          <w:sz w:val="16"/>
          <w:szCs w:val="16"/>
        </w:rPr>
        <w:t>в 1941 году вечернее сообщение Совинформбюро:</w:t>
      </w:r>
    </w:p>
    <w:p w14:paraId="40E6D136" w14:textId="77777777" w:rsidR="00E3592D" w:rsidRPr="00640820" w:rsidRDefault="00E3592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24 ноября наши войска вели бои с противником на всех фронтах.</w:t>
      </w:r>
    </w:p>
    <w:p w14:paraId="71F4D95C" w14:textId="77777777" w:rsidR="00E3592D" w:rsidRPr="00640820" w:rsidRDefault="00E3592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23 ноября в воздушных боях сбито 19 немецких самолётов. Наши потери - 7 самолётов.</w:t>
      </w:r>
    </w:p>
    <w:p w14:paraId="594388F8" w14:textId="77777777" w:rsidR="00E3592D" w:rsidRPr="00640820" w:rsidRDefault="00E3592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23 ноября частями нашей авиации, действующей на Юго-Западном и Южном фронтах, уничтожено 39 немецких танков, 7 бронемашин, 760 автомашин с войсками, 5 автоцистерн с горючим, 25 орудий, более 100 повозок со снарядами и истреблено 2 полка вражеской пехоты и более взвода конницы.</w:t>
      </w:r>
    </w:p>
    <w:p w14:paraId="0EEA7753" w14:textId="77777777" w:rsidR="00E3592D" w:rsidRPr="00640820" w:rsidRDefault="00E3592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Подразделение тов. Скрипника, действующее на одном из участков Западного фронта, разгромило немецкий батальон «СС». Истреблено 500 солдат и офицеров противника. Среди убитых — командир батальона, 38 офицеров и унтер-офицеров. Захвачены документы штаба батальона, знамя, радиостанция, 3 орудия, 66 ящиков со снаряда-ми, несколько десятков тысяч патронов и другие трофеи. Другая наша часть за несколько последних дней истребила свыше 1.000 немцев и захватила 3 танка, 9 орудий, 49 пулемётов, 13 миномётов и много снарядов и патронов.</w:t>
      </w:r>
    </w:p>
    <w:p w14:paraId="53F06DD6" w14:textId="77777777" w:rsidR="00E3592D" w:rsidRPr="00640820" w:rsidRDefault="00E3592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ожесточённых боях с противником наши части, действующие на одном из участков Юго-Западного фронта, уничтожили 4 танка, 8 автомашин противника и истребили более 300 немцев. Наша кавалерийская часть на этом же участке фронта уничтожила 2 орудия, 10 автомашин и истребила 500 вражеских солдат и офицеров.</w:t>
      </w:r>
    </w:p>
    <w:p w14:paraId="49B29DE8" w14:textId="77777777" w:rsidR="00E3592D" w:rsidRPr="00640820" w:rsidRDefault="00E3592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всём протяжении фронта в тылу у противника усиливаются действия партизанских отрядов. На Калининском направлении фронта за последние дни партизанские отряды взорвали 8 автомашин противника с боеприпасами и вооружением, уничтожили 3 танка, 2 бронемашины, 15 конных повозок, взвод немецких солдат и одну радиостанцию. На Волоколамском направлении партизаны-лыжники уничтожили конный обоз противника с боеприпасами, 2 автомашины и 42 немецких солдата, отставших от своих частей, взорвали немецкий танк, застрявший на дороге. Партизаны Тульской области минировали участок дороги, по которому фашисты подвозили к передовым линиям артиллерию и боеприпасы. За один день на минированном участке уничтожены два орудия и грузовая машина с боеприпасами. Крупных успехов добились бойцы партизанского отряда тов. Г. Они подожгли немецкий разведывательный самолёт, севший недалеко от фашистского аэродрома. На одном из участков Юго-Западного фронта конная группа партизан атаковала разъезд итальянских кавалеристов. Все 11 итальянских солдат были уничтожены. В руки партизан попали ручной пулемёт и три автомата. В Крыму партизанский отряд тов. Э. атаковал конный обоз немцев с продовольствием и уничтожил 22 повозки. Несколько других отрядов крымских партизан в течение одного дня перебили до 100 немецких солдат, сожгли 11 автомашин и уничтожили три станковых пулемёта.</w:t>
      </w:r>
    </w:p>
    <w:p w14:paraId="6460AE16" w14:textId="77777777" w:rsidR="00E3592D" w:rsidRPr="00640820" w:rsidRDefault="00E3592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ноября во Франции, в нескольких километрах от Дюнкерка, на берегу Па-де-Кале, произошёл сильный взрыв во вновь построенном немцами форту. Взрывами разрушен склад боеприпасов и выведена из строя батарея дальнобойных орудий.» (14839).</w:t>
      </w:r>
    </w:p>
    <w:p w14:paraId="6C0375E7" w14:textId="77777777" w:rsidR="00E3592D" w:rsidRPr="00640820" w:rsidRDefault="00E3592D" w:rsidP="00640820">
      <w:pPr>
        <w:spacing w:after="0" w:line="240" w:lineRule="auto"/>
        <w:jc w:val="both"/>
        <w:rPr>
          <w:rFonts w:ascii="Times New Roman" w:hAnsi="Times New Roman"/>
          <w:color w:val="000000" w:themeColor="text1"/>
          <w:sz w:val="16"/>
          <w:szCs w:val="16"/>
        </w:rPr>
      </w:pPr>
    </w:p>
    <w:p w14:paraId="5BCF1F0B" w14:textId="77777777" w:rsidR="00E3592D" w:rsidRPr="00640820" w:rsidRDefault="00E3592D"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24 ноября </w:t>
      </w:r>
      <w:r w:rsidRPr="00640820">
        <w:rPr>
          <w:rFonts w:ascii="Times New Roman" w:hAnsi="Times New Roman"/>
          <w:color w:val="000000" w:themeColor="text1"/>
          <w:sz w:val="16"/>
          <w:szCs w:val="16"/>
        </w:rPr>
        <w:t>в 1941 году немецко-фашистские войска заняли город Венев (14839).</w:t>
      </w:r>
    </w:p>
    <w:p w14:paraId="33E6DA37" w14:textId="77777777" w:rsidR="00E3592D" w:rsidRPr="00640820" w:rsidRDefault="00E3592D" w:rsidP="00640820">
      <w:pPr>
        <w:spacing w:after="0" w:line="240" w:lineRule="auto"/>
        <w:jc w:val="both"/>
        <w:rPr>
          <w:rFonts w:ascii="Times New Roman" w:hAnsi="Times New Roman"/>
          <w:color w:val="000000" w:themeColor="text1"/>
          <w:sz w:val="16"/>
          <w:szCs w:val="16"/>
        </w:rPr>
      </w:pPr>
    </w:p>
    <w:p w14:paraId="3A4E3511" w14:textId="77777777" w:rsidR="00E3592D" w:rsidRPr="00640820" w:rsidRDefault="00E3592D"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24 ноября </w:t>
      </w:r>
      <w:r w:rsidRPr="00640820">
        <w:rPr>
          <w:rFonts w:ascii="Times New Roman" w:hAnsi="Times New Roman"/>
          <w:color w:val="000000" w:themeColor="text1"/>
          <w:sz w:val="16"/>
          <w:szCs w:val="16"/>
        </w:rPr>
        <w:t>в 1941 году немецкие войска заняли Михайлов (14839).</w:t>
      </w:r>
    </w:p>
    <w:p w14:paraId="655692C8" w14:textId="77777777" w:rsidR="00E3592D" w:rsidRPr="00640820" w:rsidRDefault="00E3592D" w:rsidP="00640820">
      <w:pPr>
        <w:spacing w:after="0" w:line="240" w:lineRule="auto"/>
        <w:jc w:val="both"/>
        <w:rPr>
          <w:rFonts w:ascii="Times New Roman" w:hAnsi="Times New Roman"/>
          <w:color w:val="000000" w:themeColor="text1"/>
          <w:sz w:val="16"/>
          <w:szCs w:val="16"/>
        </w:rPr>
      </w:pPr>
    </w:p>
    <w:p w14:paraId="4549F9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24 ноября 1941 в журнале боевых действий 4-й немецкой танковой группы от имеется такая запись: </w:t>
      </w:r>
      <w:r w:rsidRPr="00640820">
        <w:rPr>
          <w:rFonts w:ascii="Times New Roman" w:hAnsi="Times New Roman"/>
          <w:iCs/>
          <w:color w:val="000000" w:themeColor="text1"/>
          <w:sz w:val="16"/>
          <w:szCs w:val="16"/>
        </w:rPr>
        <w:t>"Налеты русских бомбар</w:t>
      </w:r>
      <w:r w:rsidRPr="00640820">
        <w:rPr>
          <w:rFonts w:ascii="Times New Roman" w:hAnsi="Times New Roman"/>
          <w:iCs/>
          <w:color w:val="000000" w:themeColor="text1"/>
          <w:sz w:val="16"/>
          <w:szCs w:val="16"/>
        </w:rPr>
        <w:softHyphen/>
        <w:t>дировщиков и штурмовиков причиняют большие потери".</w:t>
      </w:r>
      <w:r w:rsidRPr="00640820">
        <w:rPr>
          <w:rFonts w:ascii="Times New Roman" w:hAnsi="Times New Roman"/>
          <w:color w:val="000000" w:themeColor="text1"/>
          <w:sz w:val="16"/>
          <w:szCs w:val="16"/>
        </w:rPr>
        <w:t xml:space="preserve"> Командующий 2-й танковой группы генерал-полковник Гудериан в своем докладе Верховному ко</w:t>
      </w:r>
      <w:r w:rsidRPr="00640820">
        <w:rPr>
          <w:rFonts w:ascii="Times New Roman" w:hAnsi="Times New Roman"/>
          <w:color w:val="000000" w:themeColor="text1"/>
          <w:sz w:val="16"/>
          <w:szCs w:val="16"/>
        </w:rPr>
        <w:softHyphen/>
        <w:t xml:space="preserve">мандованию вермахта отмечал: </w:t>
      </w:r>
      <w:r w:rsidRPr="00640820">
        <w:rPr>
          <w:rFonts w:ascii="Times New Roman" w:hAnsi="Times New Roman"/>
          <w:iCs/>
          <w:color w:val="000000" w:themeColor="text1"/>
          <w:sz w:val="16"/>
          <w:szCs w:val="16"/>
        </w:rPr>
        <w:t>"Брони</w:t>
      </w:r>
      <w:r w:rsidRPr="00640820">
        <w:rPr>
          <w:rFonts w:ascii="Times New Roman" w:hAnsi="Times New Roman"/>
          <w:iCs/>
          <w:color w:val="000000" w:themeColor="text1"/>
          <w:sz w:val="16"/>
          <w:szCs w:val="16"/>
        </w:rPr>
        <w:softHyphen/>
        <w:t>рованные штурмовики неприятно вос</w:t>
      </w:r>
      <w:r w:rsidRPr="00640820">
        <w:rPr>
          <w:rFonts w:ascii="Times New Roman" w:hAnsi="Times New Roman"/>
          <w:iCs/>
          <w:color w:val="000000" w:themeColor="text1"/>
          <w:sz w:val="16"/>
          <w:szCs w:val="16"/>
        </w:rPr>
        <w:softHyphen/>
        <w:t>принимаются немецкими войсками..."."... Нам противостояла армия, по сво</w:t>
      </w:r>
      <w:r w:rsidRPr="00640820">
        <w:rPr>
          <w:rFonts w:ascii="Times New Roman" w:hAnsi="Times New Roman"/>
          <w:iCs/>
          <w:color w:val="000000" w:themeColor="text1"/>
          <w:sz w:val="16"/>
          <w:szCs w:val="16"/>
        </w:rPr>
        <w:softHyphen/>
        <w:t>им боевым качествам намного превос</w:t>
      </w:r>
      <w:r w:rsidRPr="00640820">
        <w:rPr>
          <w:rFonts w:ascii="Times New Roman" w:hAnsi="Times New Roman"/>
          <w:iCs/>
          <w:color w:val="000000" w:themeColor="text1"/>
          <w:sz w:val="16"/>
          <w:szCs w:val="16"/>
        </w:rPr>
        <w:softHyphen/>
        <w:t>ходившая все другие армии, с которы</w:t>
      </w:r>
      <w:r w:rsidRPr="00640820">
        <w:rPr>
          <w:rFonts w:ascii="Times New Roman" w:hAnsi="Times New Roman"/>
          <w:iCs/>
          <w:color w:val="000000" w:themeColor="text1"/>
          <w:sz w:val="16"/>
          <w:szCs w:val="16"/>
        </w:rPr>
        <w:softHyphen/>
        <w:t>ми нам когда-либо приходилось встре</w:t>
      </w:r>
      <w:r w:rsidRPr="00640820">
        <w:rPr>
          <w:rFonts w:ascii="Times New Roman" w:hAnsi="Times New Roman"/>
          <w:iCs/>
          <w:color w:val="000000" w:themeColor="text1"/>
          <w:sz w:val="16"/>
          <w:szCs w:val="16"/>
        </w:rPr>
        <w:softHyphen/>
        <w:t>чаться на поле боя", -</w:t>
      </w:r>
      <w:r w:rsidRPr="00640820">
        <w:rPr>
          <w:rFonts w:ascii="Times New Roman" w:hAnsi="Times New Roman"/>
          <w:color w:val="000000" w:themeColor="text1"/>
          <w:sz w:val="16"/>
          <w:szCs w:val="16"/>
        </w:rPr>
        <w:t xml:space="preserve"> признает позже начальник штаба 4-й танковой армии вермахта генерал Блюментрит (6467).</w:t>
      </w:r>
    </w:p>
    <w:p w14:paraId="41E3F4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12907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ноября 1941 нач. УНКВД Москвы М.И.Журавлев писал записку на имя Л.П.Б., А.С.Щербакова и В.П.Пронина "За 5 месяцев войны...вражеской авиацией было совершено 90 налетов... Самолетами противника сброшено на город 1521 фугасная и 56620 зажигательных бомб. В результате бомбардировки пострадало 6380 чел., из них убито - 1327, тяжело ранено - 1931, легко - 3122. От сброшенных зажигательных бомб в городе возникло 1539 пожаров, в т.ч. крупных - 671. В результате уничтожено 402 жилых дома и повреждено 858 домов... Разрушено 22 промышленных объекта: 3 завода, 12 фабрик, 7 транспортных предприятий (1836,126).</w:t>
      </w:r>
    </w:p>
    <w:p w14:paraId="7E221F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E18F2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ноября 1941 г. за № 1/1213 была подготовлена ДОКЛАДНАЯ ЗАПИСКА НАЧАЛЬНИКА УНКВД Г. МОСКВЫ И МО М.И. ЖУРАВЛЕВА НАРКОМУ ВНУТРЕННИХ ДЕЛ СССР Л.П. БЕРИЯ, ПЕРВОМУ СЕКРЕТАРЮ МК И МГК ВКП(Б) А.С. ЩЕРБАКОВУ, ПРЕДСЕДАТЕЛЮ ИСПОЛКОМА МОССОВЕТА В.П. ПРОНИНУ ОБ УЩЕРБЕ, НАНЕСЕННОМ МОСКВЕ И ПРИГОРОДУ ВРАЖЕСКОЙ АВИАЦИЕЙ. За пять месяцев войны между Германией и Советским Союзом вражеской авиацией на г. Москву было совершено 90 налетов. Первый налет был совершен в ночь с 21 на 22 июля 1941 г. Самолетами противника сброшено на город 1521 фугасная и 56620 зажигательных авиабомб. В результате бомбардировки пострадали 6380 человек, из них: убито - 1327, тяжело ранено - 1931, легко ранено - 3122. От сброшенных зажигательных и фугасных бомб в городе возникло 1539 пожаров, в том числе наиболее крупных - 671. В результате бомбардировки уничтожено 402 жилых дома и частично повреждены 858 домов. Из этого количества 245 жилых домов сгорели и частично пострадали от огня 110 домов. На промышленных объектах возникло 130 пожаров, из них в 40 случаях заводским и фабричным цехам и сооружениям были причинены значительные повреждения. Бомбардировкой разрушено 22 промышленных объекта, из них: 3 завода, 12 фабрик и 7 предприятий городского и железнодорожного транспорта.</w:t>
      </w:r>
    </w:p>
    <w:p w14:paraId="1E2DED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Разрушены: завод "Москватоль", гвоздильный завод, хлебозавод № 14. Фабрики: "Шоркож", фасовочная, мягкой мебели, "Утильконсервалка", обувная фабрика Москворецкого райпромтреста, цех фабрики "Художественная игрушка".</w:t>
      </w:r>
    </w:p>
    <w:p w14:paraId="630DBB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разрушены: мастерские МГЖД, 10-й таксомоторный парк, автобаза Радиоснаба, гараж НКВД СССР, гараж Госбанка СССР, плодоовощные комбинаты "Красная Пресня" и Спецторга, база Главтракторосбыта, база Мосгастронома, лесобаза, утильбаза, склад Мосторга, склад НКПС.</w:t>
      </w:r>
    </w:p>
    <w:p w14:paraId="20E1B0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Частичные разрушения причинены 102 промышленным объектам, в том числе: 51 заводу, 26 фабрикам, 22 предприятиям городского и железнодорожного транспорта и 3 электростанциям. Среди них: Заводы - "Серп и молот", "Динамо" им. Кирова, № 1 им. Сталина, № 22 с филиалом, № 28, 39, 93, 119, 161, 171, 239, 476, "Борец", ГПЗ им. Кагановича, инструментальный № 3, инструментальный № 5, "Станколит", "Станконормаль", твердых сплавов, "Красный факел", Гидрозавод, Пресненский машиностроительный, им. революции 1905 года, "Красная Пресня", "Пролетарский труд", "Каучук", лаков и красок, монтажно-механический, сложных эфиров, Мосхимзавод, Бутырский химзавод, "ВАРЗ", "Технолог", "Техрезина", "Кожимит", кожзавод им. Кагановича, фанерно-лесопильный, "Пресс", им. Ярославского, метизомебельный, ликеро-водочный, пивоваренный им. Бадаева, пивоваренный (ул. Льва Толстого), лесозавод Москультстроя, хлебозавод им. Хрущева, Дормехпарк.</w:t>
      </w:r>
    </w:p>
    <w:p w14:paraId="0D3903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Фабрики - "Трехгорная мануфактура", "Ударница", "Буревестник", им. Красина, им. Свердлова, им. Горького, беловых товаров, 1-я ситценабивная, "Непрерывка", 4-я мебельная, мебельная (Огородный" пер.), пробочная, картонажно-ящичная, кукольных изделий, "Детская коляска", макаронная, им. Сакко и Ванцетти, баянная, Госптицефабрика. ТЭЦ - № 8, 9 и 15. Станции - Москва-Сортировочная и Москва 2-я товарная Ленинской железной дороги, Судоверфь, Северное депо Метрополитена, Русаковское трамвайное депо, Краснопресненское трамвайное депо, шахты метро по площади Свердлова и по Карманицкому переулку. Типография "Московский рабочий" и издательство газеты "Правда".</w:t>
      </w:r>
    </w:p>
    <w:p w14:paraId="5F3B08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Частично разрушены также: Автобазы - Наркомугля, № 1 Нарком-пищепрома, № 2 Горвнуторга. Гаражи - Академии им. Фрунзе, Льнопрома, Спецстроя, Мосаптекоуправления, райздравотдела Железнодорожного района, гараж легковых автомашин по Каланчевской улице, 11-й таксомоторный парк. Склады - Москва-Донбасской железной дороги, комбината № 1 Мосглавресторана, Главнефтеснаба, Главунивермага, НКВД СССР (2-я Хуторская улица), трикотажных изделий (1-я улица Ямского поля), Военведа (Волочаевская улица), база Госрезервов, холодильник № 7.</w:t>
      </w:r>
    </w:p>
    <w:p w14:paraId="76AF96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бомбардировки пострадали 83 культурно-просветительных, учебных, научных и общественных учреждения, из них разрушено 18 и повреждено 65. Разрушены: 2 театра, 3 клуба, 1 библиотека, 1 выставка, 5 школ, 1 вуз, 3 поликлиники, 1 детский сад и 1 детские ясли. Частично разрушены: 6 театров и кинотеатров, 2 клуба, 3 библиотеки, 2 музея, 1 выставка, 19 школ, 6 вузов и научных учреждений, 8 больниц, 3 поликлиники, 3 родильных дома, 12 детских садов и яслей. Бомбардировке подверглись: Театр им. Вахтангова, Большой театр Союза ССР, Еврейский театр, летний театр сада им. Баумана, цирк Шапито, кинотеатр ЦПКиО им. Горького, кинотеатр "Новости дня", клуб Сокольнического района, клуб Ленинской железной дороги, Политехнический музей, Музей реконструкции г. Москвы, Всесоюзная строительная выставка, Московский государственный университет, Медицинский институт, Институт общественного питания Наркомторга СССР, Институт питания Наркомздрава СССР, Научно-практический институт Наркомпищепрома СССР, Всесоюзная школа техников, Институт связи, 2-я Градская больница, больница им. Филатова, Образцовая детская больница, детская больница Фрунзенского района, амбулатория Метростроя, ветеринарная лечебница Сокольнического района и др. За пять месяцев войны вражескими самолетами в районах Московской области было сброшено 4527 фугасных и 25 600 зажигательных авиабомб. В результате бомбардировки пострадали 3788 человек, из них убито 1275 и ранено 2513. Начальник Управления НКВД МО старший майор государственной безопасности Журавлев (10069).</w:t>
      </w:r>
    </w:p>
    <w:p w14:paraId="4932B7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9B6335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ноября 1941 вышло Постановление ГКО № 957 [О проверке всех женщин, приставших к частям и госпиталям после их формирования.] (7016, 6).</w:t>
      </w:r>
    </w:p>
    <w:p w14:paraId="1DDB7C6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4023F5"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Внешня политика:</w:t>
      </w:r>
    </w:p>
    <w:p w14:paraId="1FB02BBF"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48B0B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ноября 1941 г. в США нью-йоркский резидент П. Пастельняк в ответ на запрос Центра отправил телеграмму, в которой говорилось, что в Лондон выехали американские профессора Юри, Брагг и Фоулер для работы над взрывчатым веществом огромной силы. Других сведений на тот период из резидентур внешней разведки в США не поступало.</w:t>
      </w:r>
    </w:p>
    <w:p w14:paraId="254A50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Тогда же Центр получил телеграмму, в которой говорилось о попытках группы американских ученых создать взрывчатое вещество огромной силы. Разумеется, речь шла об урановой бомбе, как первоначально называлось атомное оружие.</w:t>
      </w:r>
    </w:p>
    <w:p w14:paraId="2EFDE6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Несмотря на то, что в США с началом войны действовало значительное количество оперработников, научно-техническая разведка НКВД обращала первостепенное внимание на получение технической документации и образцов, в первую очередь вооружения и боевой техники. Задача добывания атомных секретов не выделялась в числе приоритетов внешней разведки. Да и кому могло прийти в голову заниматься какими-то теоретическими проблемами в тот момент, когда гитлеровские войска готовятся к последнему броску на Москву. На повестке дня стояли другие, более приоритетные задачи укрепления обороноспособности нашей страны.</w:t>
      </w:r>
    </w:p>
    <w:p w14:paraId="5D8B62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Хотя ориентировка Центра была направлена в США еще в 1941 году, но добиться ощутимых результатов по сбору информации в области создания атомного оружия резидентуре долго не удавалось. Это объяснялось тем, что американские спецслужбы создали вокруг ученых, инженеров, техников и рабочих, сосредоточенных в Лос-Аламосе, прочную стену секретности, которую было непросто преодолеть.</w:t>
      </w:r>
    </w:p>
    <w:p w14:paraId="475516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декабре того же года Белый дом принял решение о выделении крупных средств на разработку атомного оружия. К этому времени американские ученые Л. Силард, А. Эйнштейн, Р. Оппенгеймер и другие накопили множество данных о реальной возможности создания принципиально нового оружия. Резидентуры НКВД в США пока ничего об этом не знали (11765).</w:t>
      </w:r>
    </w:p>
    <w:p w14:paraId="263C12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99B6BF5"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0A899516"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B2922DD" w14:textId="77777777" w:rsidR="00E3592D" w:rsidRPr="00640820" w:rsidRDefault="00E3592D"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24 ноября </w:t>
      </w:r>
      <w:r w:rsidRPr="00640820">
        <w:rPr>
          <w:rFonts w:ascii="Times New Roman" w:hAnsi="Times New Roman"/>
          <w:color w:val="000000" w:themeColor="text1"/>
          <w:sz w:val="16"/>
          <w:szCs w:val="16"/>
        </w:rPr>
        <w:t>в 1941 году крупнейшая ошибка Роммеля в 1941-м. Разгромив 23 ноября британскую 7-ю бронетанковую дивизию, в состоянии лихорадочной эйфории он прыгает в головной танк 21-й дивизии, и на бешенной скорости несется в голове колонны на Сиди-Омар, где 5-й полк попадает под огонь 1-го и 25-го полков полевой артиллерии индусов, и теряет половину состава. Остальные частьи 21-й дивизии носятся южнее Хальфайя, нигде не встречая противника (14839).</w:t>
      </w:r>
    </w:p>
    <w:p w14:paraId="542B6920" w14:textId="77777777" w:rsidR="00E3592D" w:rsidRPr="00640820" w:rsidRDefault="00E3592D" w:rsidP="00640820">
      <w:pPr>
        <w:spacing w:after="0" w:line="240" w:lineRule="auto"/>
        <w:jc w:val="both"/>
        <w:rPr>
          <w:rFonts w:ascii="Times New Roman" w:hAnsi="Times New Roman"/>
          <w:color w:val="000000" w:themeColor="text1"/>
          <w:sz w:val="16"/>
          <w:szCs w:val="16"/>
        </w:rPr>
      </w:pPr>
    </w:p>
    <w:p w14:paraId="206CDF9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ноября 1941 в Центральной Атлантике немецкой подлодкой потоплен английский крейсер “Данедин” (4962).</w:t>
      </w:r>
    </w:p>
    <w:p w14:paraId="0BCAA47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130479" w14:textId="77777777" w:rsidR="00E3592D" w:rsidRPr="00640820" w:rsidRDefault="00E3592D"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24 ноября </w:t>
      </w:r>
      <w:r w:rsidRPr="00640820">
        <w:rPr>
          <w:rFonts w:ascii="Times New Roman" w:hAnsi="Times New Roman"/>
          <w:color w:val="000000" w:themeColor="text1"/>
          <w:sz w:val="16"/>
          <w:szCs w:val="16"/>
        </w:rPr>
        <w:t>в 1941 году U-124 под командой Йохена Мора (Mohr) потопила английский легкий крейсер ПВО "Данедин". Считается одной из самых удачливых лодок Германии (27 судов, всего 129 291 брт.), но только два из них - боевые корабли (14839).</w:t>
      </w:r>
    </w:p>
    <w:p w14:paraId="0C9F811C" w14:textId="77777777" w:rsidR="00E3592D" w:rsidRPr="00640820" w:rsidRDefault="00E3592D" w:rsidP="00640820">
      <w:pPr>
        <w:spacing w:after="0" w:line="240" w:lineRule="auto"/>
        <w:jc w:val="both"/>
        <w:rPr>
          <w:rFonts w:ascii="Times New Roman" w:hAnsi="Times New Roman"/>
          <w:color w:val="000000" w:themeColor="text1"/>
          <w:sz w:val="16"/>
          <w:szCs w:val="16"/>
        </w:rPr>
      </w:pPr>
    </w:p>
    <w:p w14:paraId="5E28B9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lang w:val="en-US"/>
        </w:rPr>
        <w:t xml:space="preserve">November 24 1941 United States announced occupation of Dutch Guiana (Surinam) in agreement with the Netherlands and Brazil. </w:t>
      </w:r>
      <w:r w:rsidRPr="00640820">
        <w:rPr>
          <w:rFonts w:ascii="Times New Roman" w:hAnsi="Times New Roman"/>
          <w:color w:val="000000" w:themeColor="text1"/>
          <w:sz w:val="16"/>
          <w:szCs w:val="16"/>
        </w:rPr>
        <w:t>(1223).</w:t>
      </w:r>
    </w:p>
    <w:p w14:paraId="5B503C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02EFD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ноября 1941 США объявили об оккупации Голландской Гвианы (Суринама) по соглашению с Голланлдией и Бразилией (2220).</w:t>
      </w:r>
    </w:p>
    <w:p w14:paraId="15B49E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D4052FD" w14:textId="77777777" w:rsidR="00E3592D" w:rsidRPr="00640820" w:rsidRDefault="00E3592D"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24 ноября </w:t>
      </w:r>
      <w:r w:rsidRPr="00640820">
        <w:rPr>
          <w:rFonts w:ascii="Times New Roman" w:hAnsi="Times New Roman"/>
          <w:color w:val="000000" w:themeColor="text1"/>
          <w:sz w:val="16"/>
          <w:szCs w:val="16"/>
        </w:rPr>
        <w:t>в 1941 году США объявили об оккупации Голландской Гвианы (Суринама) по соглашению с Голландией и Бразилией. Войска США вошли в Голландскую Гвиану для установления контроля над бокситовыми шахтами (14839).</w:t>
      </w:r>
    </w:p>
    <w:p w14:paraId="37BC9CA9" w14:textId="77777777" w:rsidR="00E3592D" w:rsidRPr="00640820" w:rsidRDefault="00E3592D" w:rsidP="00640820">
      <w:pPr>
        <w:spacing w:after="0" w:line="240" w:lineRule="auto"/>
        <w:jc w:val="both"/>
        <w:rPr>
          <w:rFonts w:ascii="Times New Roman" w:hAnsi="Times New Roman"/>
          <w:color w:val="000000" w:themeColor="text1"/>
          <w:sz w:val="16"/>
          <w:szCs w:val="16"/>
        </w:rPr>
      </w:pPr>
    </w:p>
    <w:p w14:paraId="59D2D6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November 24 1941 United States revocation of export licenses to French North Africa, Spain, and Tangier (1223).</w:t>
      </w:r>
    </w:p>
    <w:p w14:paraId="0882E8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212C58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ноября 1941 США лишили лицензий экспорт во Французскую Северную Африку, Испанию и Танжер (1223).</w:t>
      </w:r>
    </w:p>
    <w:p w14:paraId="3D53B2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F023223" w14:textId="77777777" w:rsidR="00E3592D" w:rsidRPr="00640820" w:rsidRDefault="00E3592D"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24 ноября </w:t>
      </w:r>
      <w:r w:rsidRPr="00640820">
        <w:rPr>
          <w:rFonts w:ascii="Times New Roman" w:hAnsi="Times New Roman"/>
          <w:color w:val="000000" w:themeColor="text1"/>
          <w:sz w:val="16"/>
          <w:szCs w:val="16"/>
        </w:rPr>
        <w:t>в 1941 году правительство США предоставило Свободной Франции права на получение ленд-лиза (14839).</w:t>
      </w:r>
    </w:p>
    <w:p w14:paraId="224A3EBC" w14:textId="77777777" w:rsidR="00E3592D" w:rsidRPr="00640820" w:rsidRDefault="00E3592D" w:rsidP="00640820">
      <w:pPr>
        <w:spacing w:after="0" w:line="240" w:lineRule="auto"/>
        <w:jc w:val="both"/>
        <w:rPr>
          <w:rFonts w:ascii="Times New Roman" w:hAnsi="Times New Roman"/>
          <w:color w:val="000000" w:themeColor="text1"/>
          <w:sz w:val="16"/>
          <w:szCs w:val="16"/>
        </w:rPr>
      </w:pPr>
    </w:p>
    <w:p w14:paraId="155579DB"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0B308BF2"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0757E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ноября 1941 С.В.И. стал ГСТ (271,206) за "За Ваши исключительные заслуги перед государством в области создания новых типов боевых самолетов...". А.С.Я. писал: "...Не любивший его наш нарком, даже после того, как ш Ил-2 прекрасно себя зарекомендовали на фронте, не торопился с представлением С.В.И. к званию ГСТ. И этой высокой, вполне заслуженной награды, своей первой Золотой Звезды, С.В. был удостоен помимо и неожиданно для наркома по непосредственному указанию И.В.С.". Стал 2-м с момента учреждения медали (3846,15).</w:t>
      </w:r>
    </w:p>
    <w:p w14:paraId="1670DE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320863E" w14:textId="77777777" w:rsidR="00F30FFF" w:rsidRPr="00640820" w:rsidRDefault="00F30FFF"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25 ноября 1941 вышло постановление Комитета Обороны при СНК СССР и 29 ноября 1940 г. вышел приказа НКАП, по которому строился в одном экземпляре как мо</w:t>
      </w:r>
      <w:r w:rsidRPr="00640820">
        <w:rPr>
          <w:rFonts w:ascii="Times New Roman" w:cs="Times New Roman"/>
          <w:color w:val="000000" w:themeColor="text1"/>
          <w:spacing w:val="0"/>
        </w:rPr>
        <w:softHyphen/>
        <w:t>дификация самолета ББ-22 одноместный двухмоторный истре</w:t>
      </w:r>
      <w:r w:rsidRPr="00640820">
        <w:rPr>
          <w:rFonts w:ascii="Times New Roman" w:cs="Times New Roman"/>
          <w:color w:val="000000" w:themeColor="text1"/>
          <w:spacing w:val="0"/>
        </w:rPr>
        <w:softHyphen/>
        <w:t>битель сопровождения И-29 2М-105 конструкции ОКБ-115 А.С. Яковлева. Самолет тре</w:t>
      </w:r>
      <w:r w:rsidRPr="00640820">
        <w:rPr>
          <w:rFonts w:ascii="Times New Roman" w:cs="Times New Roman"/>
          <w:color w:val="000000" w:themeColor="text1"/>
          <w:spacing w:val="0"/>
        </w:rPr>
        <w:softHyphen/>
        <w:t>бовалось предъявить на государствен</w:t>
      </w:r>
      <w:r w:rsidRPr="00640820">
        <w:rPr>
          <w:rFonts w:ascii="Times New Roman" w:cs="Times New Roman"/>
          <w:color w:val="000000" w:themeColor="text1"/>
          <w:spacing w:val="0"/>
        </w:rPr>
        <w:softHyphen/>
        <w:t>ные испытания не позже 1 марта 1941 г.</w:t>
      </w:r>
    </w:p>
    <w:p w14:paraId="11CAA03D" w14:textId="77777777" w:rsidR="00F30FFF" w:rsidRPr="00640820" w:rsidRDefault="00F30FFF"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По заданию максимальная скорость И-29 на высоте 5000 м должна была со</w:t>
      </w:r>
      <w:r w:rsidRPr="00640820">
        <w:rPr>
          <w:rFonts w:ascii="Times New Roman" w:cs="Times New Roman"/>
          <w:color w:val="000000" w:themeColor="text1"/>
          <w:spacing w:val="0"/>
        </w:rPr>
        <w:softHyphen/>
        <w:t>ставлять 585 км/ч, посадочная скорость - 140 км/ч, время подъема на высо</w:t>
      </w:r>
      <w:r w:rsidRPr="00640820">
        <w:rPr>
          <w:rFonts w:ascii="Times New Roman" w:cs="Times New Roman"/>
          <w:color w:val="000000" w:themeColor="text1"/>
          <w:spacing w:val="0"/>
        </w:rPr>
        <w:softHyphen/>
        <w:t>ту 5000 м - 6,5 мин, практический по</w:t>
      </w:r>
      <w:r w:rsidRPr="00640820">
        <w:rPr>
          <w:rFonts w:ascii="Times New Roman" w:cs="Times New Roman"/>
          <w:color w:val="000000" w:themeColor="text1"/>
          <w:spacing w:val="0"/>
        </w:rPr>
        <w:softHyphen/>
        <w:t>толок - 10000 м, дальность на скорости 0,8 максимальной - 2000 км. Вооруже</w:t>
      </w:r>
      <w:r w:rsidRPr="00640820">
        <w:rPr>
          <w:rFonts w:ascii="Times New Roman" w:cs="Times New Roman"/>
          <w:color w:val="000000" w:themeColor="text1"/>
          <w:spacing w:val="0"/>
        </w:rPr>
        <w:softHyphen/>
        <w:t>ние включало пулеметно-пушечную ба</w:t>
      </w:r>
      <w:r w:rsidRPr="00640820">
        <w:rPr>
          <w:rFonts w:ascii="Times New Roman" w:cs="Times New Roman"/>
          <w:color w:val="000000" w:themeColor="text1"/>
          <w:spacing w:val="0"/>
        </w:rPr>
        <w:softHyphen/>
        <w:t>тарею из трех пулеметов ШКАС (4500 патронов) и двух пушек ШВАК (1000 сна</w:t>
      </w:r>
      <w:r w:rsidRPr="00640820">
        <w:rPr>
          <w:rFonts w:ascii="Times New Roman" w:cs="Times New Roman"/>
          <w:color w:val="000000" w:themeColor="text1"/>
          <w:spacing w:val="0"/>
        </w:rPr>
        <w:softHyphen/>
        <w:t>рядов) (15755).</w:t>
      </w:r>
    </w:p>
    <w:p w14:paraId="257201FB" w14:textId="77777777" w:rsidR="00F30FFF" w:rsidRPr="00640820" w:rsidRDefault="00F30FFF" w:rsidP="00640820">
      <w:pPr>
        <w:spacing w:after="0" w:line="240" w:lineRule="auto"/>
        <w:jc w:val="both"/>
        <w:rPr>
          <w:rFonts w:ascii="Times New Roman" w:hAnsi="Times New Roman"/>
          <w:color w:val="000000" w:themeColor="text1"/>
          <w:sz w:val="16"/>
          <w:szCs w:val="16"/>
        </w:rPr>
      </w:pPr>
    </w:p>
    <w:p w14:paraId="3AE6810F"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25 ноября 1941 г.</w:t>
      </w:r>
    </w:p>
    <w:p w14:paraId="37F1DFF6"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ПРИКАЗ</w:t>
      </w:r>
    </w:p>
    <w:p w14:paraId="5529AD18"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ЗАМЕСТИТЕЛЯ НАРОДНОГО КОМИССАРА АВИАЦИОННОЙ ПРОМЫШЛЕННОСТИ</w:t>
      </w:r>
    </w:p>
    <w:p w14:paraId="3AE24B8F"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г. Новосибирск</w:t>
      </w:r>
      <w:r w:rsidRPr="00640820">
        <w:rPr>
          <w:rFonts w:ascii="Times New Roman" w:hAnsi="Times New Roman"/>
          <w:color w:val="0070C0"/>
          <w:sz w:val="16"/>
          <w:szCs w:val="16"/>
        </w:rPr>
        <w:tab/>
        <w:t>№ 1</w:t>
      </w:r>
      <w:r w:rsidRPr="00640820">
        <w:rPr>
          <w:rFonts w:ascii="Times New Roman" w:hAnsi="Times New Roman"/>
          <w:color w:val="0070C0"/>
          <w:sz w:val="16"/>
          <w:szCs w:val="16"/>
        </w:rPr>
        <w:tab/>
        <w:t>25 ноября 1941 г.</w:t>
      </w:r>
    </w:p>
    <w:p w14:paraId="16797EA0"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Завод № 153 имени В.П. Чкалова работает плохо. Количественный выпуск самолетов не соответствует производственной возможности завода из-за совершенно неудовлетворительной организации производства, недопустимой кустарщины и отсутствия технологической подготовки.</w:t>
      </w:r>
    </w:p>
    <w:p w14:paraId="4DFB7327"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цехах грязь и бескультурье. Вся заводская территория захламлена, возле каждого цеха навалены кучи отходов производства, под хламом гибнут ценное оборудование и дефицитные материалы.</w:t>
      </w:r>
    </w:p>
    <w:p w14:paraId="427D6D65"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xml:space="preserve">Строительство ведется медленно и таким широким фронтом, что строители явно не справляются со своими задачами. На заводе нет ни одного вполне законченного и оформленного актом приемки-сдачи объекта, хотя все они давно находятся в эксплуатации. Вся тепловая коммуникация, несмотря на наступившие холода, разрыта и ничем не защищена. Завод плохо подготовлен к зиме. Температурные режимы в цехах на пределе. </w:t>
      </w:r>
    </w:p>
    <w:p w14:paraId="60DA8771"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Состояние охраны на заводе совершенно неудовлетворительное.</w:t>
      </w:r>
    </w:p>
    <w:p w14:paraId="3A8AEC64"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Дисциплина на заводе слабая. В рабочее время днем нередко можно видеть в цехах спящих. По всем без исключения цехам снуют бесконечные потоки праздношатающихся. Начальники цехов и отделов систематически обманывают директора и друг друга; взятые на себя обязательства не выполняют. Приказы директора часто не выполняются. Директор завода товарищ Романов проявляет недопустимый либерализм, к обманщикам не использует предоставленных ему прав единоначальника и не наказывает дезорганизаторов производства.</w:t>
      </w:r>
    </w:p>
    <w:p w14:paraId="7E9B9935"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Количество производственных рабочих на заводе № 153 находится в явной диспропорции в сторону непомерно разбухшего аппарата и инженерно-технических работников. Производительность труда на заводе в целом недопустимо низка по сравнению с любым другим заводом Наркомата авиационной промышленности.</w:t>
      </w:r>
    </w:p>
    <w:p w14:paraId="32518123"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Социально-бытовые условия на заводе, забота о рабочих и ИТР – на крайне низком уровне. Питание плохое, столовые в отвратительном состоянии, грязь, теснота, очереди. Подсобное хозяйство отсутствует. Прачечная отсутствует, бани работают плохо, нерегулярно.</w:t>
      </w:r>
    </w:p>
    <w:p w14:paraId="7BD3F15B"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На заводе имеют место случаи не только саботажа распоряжений директора, но и прямого срыва важнейших правительственных заданий; так, по вине бывшего начальника технологического отдела инженера КОЧЕГУРА и других неоднократно была задержана отправка эшелонов самолетов на фронт.</w:t>
      </w:r>
    </w:p>
    <w:p w14:paraId="0CDF2181"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Все вышеперечисленные совершенно недопустимые факты и являются теми причинами, по которым завод № 153 в такой напряженный для нашей Родины момент дает позорно малое количество самолетов. Необходим немедленный перелом в работе завода для создания равномерного выпуска по графику такого количества самолетов, которого требует фронт.</w:t>
      </w:r>
    </w:p>
    <w:p w14:paraId="671505A3"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Для ликвидации недостатков в работе завода ПРИКАЗЫВАЮ директору завода товарищу РОМАНОВУ:</w:t>
      </w:r>
    </w:p>
    <w:p w14:paraId="2C862BC3"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 Запретить производство каких бы то ни было доделочных работ в сборочном цехе — к 10 декабря с.г.</w:t>
      </w:r>
    </w:p>
    <w:p w14:paraId="3249A0BF"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 Обеспечить полную взаимозаменяемость моторамы и оперения совместно с фюзеляжем — к 5 декабря с.г.</w:t>
      </w:r>
    </w:p>
    <w:p w14:paraId="4DA88F1C"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3) Наладить окончательное изготовление и монтаж капота мотора на специальном приспособлении - к 5 декабря с.г.</w:t>
      </w:r>
    </w:p>
    <w:p w14:paraId="56870933"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4) Обеспечить изготовление стыковочных лючков на приспособлении в агрегатном цехе — к 1 декабря с.г.</w:t>
      </w:r>
    </w:p>
    <w:p w14:paraId="1578D62D"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5) Окончательную стыковку центроплана с консолью и подгонку лючка производить в цехе № 60 — с 1 декабря.</w:t>
      </w:r>
    </w:p>
    <w:p w14:paraId="57BD3E5C"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6) Организовать и оборудовать стенды испытания гидравлики и отработки шасси по образцам завода № 21 — к 5 декабря с.г.</w:t>
      </w:r>
    </w:p>
    <w:p w14:paraId="120E2A3D"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7) Проработать вопрос перевода на усовершенствованную технологию наиболее узких мест агрегатных цехов и предлагаемые мероприятия представить к 1 декабря с.г.</w:t>
      </w:r>
    </w:p>
    <w:p w14:paraId="44771F55"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8) Укрепить квалифицированными кадрами механический цех за счет перевода из ЦАГИ, ЛИИ и КБ тов. ГУДКОВА в количестве 20 человек — к 1 декабря с.г.</w:t>
      </w:r>
    </w:p>
    <w:p w14:paraId="28F9CA0F"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9) Просмотреть при участии главного конструктора тов. ГУДКОВА технологию наиболее трудоемких по обработке деталей в сторону их упрощения и уменьшения их трудоемкости — к 1 декабря с.г.</w:t>
      </w:r>
    </w:p>
    <w:p w14:paraId="11C9748C"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10) Просмотреть штатное расписание завода и к 1 декабря представить мне соображения об увеличении количества производственных рабочих за счет переквалификации служащих, ИТР и подсобных рабочих.</w:t>
      </w:r>
    </w:p>
    <w:p w14:paraId="7888E331"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11) Немедленно приступить к достройке фабрики-кухни на 1500 мест со сроком пуска 1 января 1942 года.</w:t>
      </w:r>
    </w:p>
    <w:p w14:paraId="3680C1D1"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12) Расширить столовую № 38 до 500 мест за счет перевода ОПК — к 5 декабря с.г.</w:t>
      </w:r>
    </w:p>
    <w:p w14:paraId="049841E0"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13) Расширить столовую № 11 за счет перевода общежития охраны — к 5 декабря с.г.</w:t>
      </w:r>
    </w:p>
    <w:p w14:paraId="6023E4C5"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14) Войти с ходатайством в обком ВКП(б) о передаче заводских столовых в подчинение директора завода.</w:t>
      </w:r>
    </w:p>
    <w:p w14:paraId="5C0C54D2"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lastRenderedPageBreak/>
        <w:t>15) В целях лучшего обслуживания питания командного и инженерно-технического состава и комсостава цехов и отделов завода — организовать коммерческую столовую с круглосуточным обслуживанием — к 10 декабря с.г.</w:t>
      </w:r>
    </w:p>
    <w:p w14:paraId="601EF4C6"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16) Организовать в соцгородке прачечную для обслуживания рабочих и ИТР - к 1 декабря с.г.</w:t>
      </w:r>
    </w:p>
    <w:p w14:paraId="1EA12CC5"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17) Войти с ходатайством в горсовет о передаче в ведение завода построенных в соцгородке бань.</w:t>
      </w:r>
    </w:p>
    <w:p w14:paraId="283F3711"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18) Войти с ходатайством в обком ВКП(б) об открытии в соцгородке коммерческого продуктового и промтоварного магазинов.</w:t>
      </w:r>
    </w:p>
    <w:p w14:paraId="1C30552E"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Начальнику треста тов. Довкину предлагаю к 1 декабря представить на утверждение график доделки и сдачи строений, находящихся на территории завода, но до сего времени не оформленных актом приемки-сдачи.</w:t>
      </w:r>
    </w:p>
    <w:p w14:paraId="05407C90"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Предупреждаю, что за дальнейшее затягивание оформления ввода в эксплуатацию производственных помещений на заводе № 153 приму самые строгие меры взыскания.</w:t>
      </w:r>
    </w:p>
    <w:p w14:paraId="15F7524B"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Как не справившихся с выполнением своих обязанностей и не соответствующих занимаемым должностям снять с работы:</w:t>
      </w:r>
    </w:p>
    <w:p w14:paraId="4C1CC0A4"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 Начальника производства т. ФИЛАТОВА М.А.</w:t>
      </w:r>
    </w:p>
    <w:p w14:paraId="061732AA"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 Помощника директора завода по охране т. ВЛАСОВА А.И.</w:t>
      </w:r>
    </w:p>
    <w:p w14:paraId="42FF6A7E"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3. Быв[шего] помощника директора по административно-хозяйственной части т. МЕЛИНА Н.Г., тт. ВЛАСОВА и МЕЛИНА с завода уволить.</w:t>
      </w:r>
    </w:p>
    <w:p w14:paraId="5BA5293B"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Начальника сборочного цеха тов. ВАЩИЩИНА М.А.* освободить от занимаемой должности, с использованием по специальности.</w:t>
      </w:r>
    </w:p>
    <w:p w14:paraId="6A2BA4E2"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За слабое техническое руководство заводом главному инженеру завода тов. ОБОЗНОМУ А.Г. делаю предупреждение.</w:t>
      </w:r>
    </w:p>
    <w:p w14:paraId="276153E3"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Главному технологу завода тов. ВОЛКОВУ за плохую работу по оснащению производства самолетов ОБЪЯВЛЯЮ ВЫГОВОР и предупреждаю, что только добросовестным и отличным выполнением в срок поставленных перед ним настоящим приказом заданий он избежит более строгого взыскания.</w:t>
      </w:r>
    </w:p>
    <w:p w14:paraId="5BDBE083"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Директору завода тов. РОМАНОВУ дело о виновниках задержки отправки на фронт эшелонов с самолетами — передать для рассмотрения в военный трибунал.</w:t>
      </w:r>
    </w:p>
    <w:p w14:paraId="1D40F282"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Заместитель народного комиссара авиационной промышленности</w:t>
      </w:r>
      <w:r w:rsidRPr="00640820">
        <w:rPr>
          <w:rFonts w:ascii="Times New Roman" w:hAnsi="Times New Roman"/>
          <w:color w:val="0070C0"/>
          <w:sz w:val="16"/>
          <w:szCs w:val="16"/>
        </w:rPr>
        <w:tab/>
        <w:t>А. Яковлев</w:t>
      </w:r>
    </w:p>
    <w:p w14:paraId="5FA434CC"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ГАНО. Ф. П-4. Оп. 6. Д. 510. Л. 201-204. Заверенная копия (20901).</w:t>
      </w:r>
    </w:p>
    <w:p w14:paraId="398A7291" w14:textId="77777777" w:rsidR="009F466D" w:rsidRPr="00640820" w:rsidRDefault="009F466D" w:rsidP="00640820">
      <w:pPr>
        <w:spacing w:after="0" w:line="240" w:lineRule="auto"/>
        <w:jc w:val="both"/>
        <w:rPr>
          <w:rFonts w:ascii="Times New Roman" w:hAnsi="Times New Roman"/>
          <w:color w:val="0070C0"/>
          <w:sz w:val="16"/>
          <w:szCs w:val="16"/>
        </w:rPr>
      </w:pPr>
    </w:p>
    <w:p w14:paraId="21C2BF0B"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4727E010"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FCBA23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25 ноября 1941 г. СТЗ перешел на упрощенную технологию про</w:t>
      </w:r>
      <w:r w:rsidRPr="00640820">
        <w:rPr>
          <w:rFonts w:ascii="Times New Roman" w:hAnsi="Times New Roman"/>
          <w:color w:val="000000" w:themeColor="text1"/>
          <w:sz w:val="16"/>
          <w:szCs w:val="16"/>
        </w:rPr>
        <w:softHyphen/>
        <w:t>изводства корпуса и башни. Новая конструкция корпуса танка была разработана совместными усилиями работников завода № 264 (Сталин</w:t>
      </w:r>
      <w:r w:rsidRPr="00640820">
        <w:rPr>
          <w:rFonts w:ascii="Times New Roman" w:hAnsi="Times New Roman"/>
          <w:color w:val="000000" w:themeColor="text1"/>
          <w:sz w:val="16"/>
          <w:szCs w:val="16"/>
        </w:rPr>
        <w:softHyphen/>
        <w:t>градская судоверфь) и НИИ-48 (10703).</w:t>
      </w:r>
    </w:p>
    <w:p w14:paraId="221A56F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864246" w14:textId="77777777" w:rsidR="00CD733F" w:rsidRPr="00640820" w:rsidRDefault="00CD733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ноября 1941 года начальник управления бронепоездов и бронемашин полковник Чабров направил на утверждение тактико-технические условия на бронедрезину БД-41:</w:t>
      </w:r>
    </w:p>
    <w:p w14:paraId="24A978C2" w14:textId="77777777" w:rsidR="00CD733F" w:rsidRPr="00640820" w:rsidRDefault="00CD733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Легкая бронедрезина монтируется на шасси автодрезины Уа производства Калужского завода. </w:t>
      </w:r>
    </w:p>
    <w:p w14:paraId="148A7196" w14:textId="77777777" w:rsidR="00CD733F" w:rsidRPr="00640820" w:rsidRDefault="00CD733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Перед бронировкой с автодрезины снимаются кузов и пол. Рессоры усиливаются добавлением одного коренного листа. Педаль муфты включения и рычаг акселератора переделываются для более удобного пользования ими. </w:t>
      </w:r>
    </w:p>
    <w:p w14:paraId="1E34496E" w14:textId="77777777" w:rsidR="00CD733F" w:rsidRPr="00640820" w:rsidRDefault="00CD733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Основу броневого корпуса БД-41 составляет корпус танка Т-40. </w:t>
      </w:r>
    </w:p>
    <w:p w14:paraId="56F1D4CE" w14:textId="77777777" w:rsidR="00CD733F" w:rsidRPr="00640820" w:rsidRDefault="00CD733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До постановки броневого корпуса танка на шасси дрезины все внутренние агрегаты танка и ходовая часть демонтируются. </w:t>
      </w:r>
    </w:p>
    <w:p w14:paraId="167DC67E" w14:textId="77777777" w:rsidR="00CD733F" w:rsidRPr="00640820" w:rsidRDefault="00CD733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Корпус танка устанавливается на раму автодрезины с просветом 150 мм. Корпус устанавливается в направлении продольной оси дрезины с таким расчетом, чтобы задний срез корпуса танка совпадал с внешней гранью заднего бруса рамы дрезины. </w:t>
      </w:r>
    </w:p>
    <w:p w14:paraId="72349993" w14:textId="77777777" w:rsidR="00CD733F" w:rsidRPr="00640820" w:rsidRDefault="00CD733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Корпус танка укрепляется к раме дрезины с помощью 4 лап на заклепках, с использованием под заклепки существующих отверстий в корпусе танка. </w:t>
      </w:r>
    </w:p>
    <w:p w14:paraId="66F49961" w14:textId="77777777" w:rsidR="00CD733F" w:rsidRPr="00640820" w:rsidRDefault="00CD733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В корпусе вырезаются отверстия для радиатора и входных дверей. Двери изготавли- </w:t>
      </w:r>
    </w:p>
    <w:p w14:paraId="50AD1D8A" w14:textId="77777777" w:rsidR="00CD733F" w:rsidRPr="00640820" w:rsidRDefault="00CD733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ваются из 2-слойного 10 мм железа и ставятся на петлях и внутренних запорах. </w:t>
      </w:r>
    </w:p>
    <w:p w14:paraId="1C532847" w14:textId="77777777" w:rsidR="00CD733F" w:rsidRPr="00640820" w:rsidRDefault="00CD733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В нижней части дрезина укрывается железом толщиной 10 мм (лобовой и нижний листы 8 мм). Над буксами ставятся дверцы на петлях. </w:t>
      </w:r>
    </w:p>
    <w:p w14:paraId="3D3CE9E9" w14:textId="77777777" w:rsidR="00CD733F" w:rsidRPr="00640820" w:rsidRDefault="00CD733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В передней части дрезины ставится откосный лист толщиной 10 мм. Образующееся пространство между ним и передним откосным листом корпуса танка используется для установки бензобака и хранения инструмента. Для укрытия бензобака ставятся дополнительные листы толщиной 7-8 мм. </w:t>
      </w:r>
    </w:p>
    <w:p w14:paraId="64E6595F" w14:textId="77777777" w:rsidR="00CD733F" w:rsidRPr="00640820" w:rsidRDefault="00CD733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Бронировка радиатора состоит из жалюзи с постановкой впереди металлического листа толщиной 10 мм. </w:t>
      </w:r>
    </w:p>
    <w:p w14:paraId="73FF8785" w14:textId="77777777" w:rsidR="00CD733F" w:rsidRPr="00640820" w:rsidRDefault="00CD733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Пол дрезины металлический (3 мм) с деревянным настилом. В задней части делается лаз размером 450x450 мм. </w:t>
      </w:r>
    </w:p>
    <w:p w14:paraId="2CFEFCBE" w14:textId="77777777" w:rsidR="00CD733F" w:rsidRPr="00640820" w:rsidRDefault="00CD733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Внутри дрезины устанавливаются 2 откидных сиденья (кроме сидений для башенного стрелка и водителя). </w:t>
      </w:r>
    </w:p>
    <w:p w14:paraId="4D32CF94" w14:textId="77777777" w:rsidR="00CD733F" w:rsidRPr="00640820" w:rsidRDefault="00CD733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Кроме имеющихся смотровых щелей в задней части прорезаются 3 щели: 2 по бокам, 1 сзади. Смотровые щели должны закрываться задвижками, установленными снаружи и укрепленными изнутри. </w:t>
      </w:r>
    </w:p>
    <w:p w14:paraId="31523057" w14:textId="77777777" w:rsidR="00CD733F" w:rsidRPr="00640820" w:rsidRDefault="00CD733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Внутри дрезины устанавливается электроосвещение, состоящее из двух постоянных и 1 переносной точек. </w:t>
      </w:r>
    </w:p>
    <w:p w14:paraId="39154FB3" w14:textId="77777777" w:rsidR="00CD733F" w:rsidRPr="00640820" w:rsidRDefault="00CD733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Вооружение дрезины - пулеметы ДШК обр. 1938 г. и ДТ в башне. </w:t>
      </w:r>
    </w:p>
    <w:p w14:paraId="019F548E" w14:textId="77777777" w:rsidR="00CD733F" w:rsidRPr="00640820" w:rsidRDefault="00CD733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Дрезина окрашивается внутри в светлый цвет, снаружи в защитный. </w:t>
      </w:r>
    </w:p>
    <w:p w14:paraId="587B8CD9" w14:textId="77777777" w:rsidR="00CD733F" w:rsidRPr="00640820" w:rsidRDefault="00CD733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Приемка дрезины производится представителем ГАБ ТУ КА». </w:t>
      </w:r>
    </w:p>
    <w:p w14:paraId="16D742B1" w14:textId="77777777" w:rsidR="00CD733F" w:rsidRPr="00640820" w:rsidRDefault="00CD733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следующий день, 26 ноября требования на БД-41 были утверждены начальником Г лавного автобронетанкового управления Красной Армии генерал-лейтенантом танковых войск Федоренко и переданы на московский вагоноремонтный завод имени Войтовича (ныне Московский завод по модернизации и строительству вагонов имени Войтовича, шоссе Энтузиастов, 4). Заводу поручалось в срочном порядке разработать рабочие чертежи и развернуть выпуск бронедрезин БД-41, используя корпуса не подлежащих ремонту танков Т-40/</w:t>
      </w:r>
    </w:p>
    <w:p w14:paraId="5B2647C8" w14:textId="77777777" w:rsidR="00CD733F" w:rsidRPr="00640820" w:rsidRDefault="00CD733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Следует сказать, что к этому времени завод имени Войтовича был эвакуирован в Красноуфимск, поэтому перед оставшимся в Москве небольшим коллективом стояла очень трудная задача - не хватало оборудования, материалов, квалифицированных специалистов. Тем не менее, рабочие и инженеры справились (18626).</w:t>
      </w:r>
    </w:p>
    <w:p w14:paraId="669CA86F" w14:textId="77777777" w:rsidR="00CD733F" w:rsidRPr="00640820" w:rsidRDefault="00CD733F" w:rsidP="00640820">
      <w:pPr>
        <w:spacing w:after="0" w:line="240" w:lineRule="auto"/>
        <w:jc w:val="both"/>
        <w:rPr>
          <w:rFonts w:ascii="Times New Roman" w:hAnsi="Times New Roman"/>
          <w:color w:val="000000" w:themeColor="text1"/>
          <w:sz w:val="16"/>
          <w:szCs w:val="16"/>
        </w:rPr>
      </w:pPr>
    </w:p>
    <w:p w14:paraId="22F68FE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ноября 1942 г. вышел ПРИКАЗ НКО СССР О ПРОВЕДЕНИИ ИСПЫТАНИЙ АНГЛИЙСКОГО БРОНЕТРАНСПОРТЕРА № 0442с</w:t>
      </w:r>
    </w:p>
    <w:p w14:paraId="67FC5CA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проведения испытаний английского бронетранспортера в качестве тягача 45-мм и 76-мм пушки УВС назначаю комиссию под председательством начальника отделения ремонтно-эксплуата-ционного управления ГАБТУ КА полковника т. Герасимова и членов: помощника начальника опера</w:t>
      </w:r>
      <w:r w:rsidRPr="00640820">
        <w:rPr>
          <w:rFonts w:ascii="Times New Roman" w:hAnsi="Times New Roman"/>
          <w:color w:val="000000" w:themeColor="text1"/>
          <w:sz w:val="16"/>
          <w:szCs w:val="16"/>
        </w:rPr>
        <w:softHyphen/>
        <w:t>тивного отдела штаба ГУНАРТ майора т. Емакова, представителя ГАУ КА — военпреда завода № 92 майора т. Лешукова.</w:t>
      </w:r>
    </w:p>
    <w:p w14:paraId="577A44A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Комиссии закончить работу 1 декабря 1941 года.</w:t>
      </w:r>
    </w:p>
    <w:p w14:paraId="08A9D04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Заместитель народного комиссара обороны генерал-лейтенант танковых войск Федоренко</w:t>
      </w:r>
    </w:p>
    <w:p w14:paraId="75A72FE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Приложение Утверждаю</w:t>
      </w:r>
    </w:p>
    <w:p w14:paraId="29E6303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народного комиссара обороны СССР генерал-лейтенант танковых войск</w:t>
      </w:r>
    </w:p>
    <w:p w14:paraId="7ED3E8A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Федоренко 25 ноября 1941 г.</w:t>
      </w:r>
    </w:p>
    <w:p w14:paraId="2291E7A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 испытаний тягачей для и 45-мм и 76-мм артиллерии</w:t>
      </w:r>
    </w:p>
    <w:p w14:paraId="5270AB2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Пробег по дороге средней проходимости на дистанцию 50 км с 45-мм и 76-мм пушками с ук</w:t>
      </w:r>
      <w:r w:rsidRPr="00640820">
        <w:rPr>
          <w:rFonts w:ascii="Times New Roman" w:hAnsi="Times New Roman"/>
          <w:color w:val="000000" w:themeColor="text1"/>
          <w:sz w:val="16"/>
          <w:szCs w:val="16"/>
        </w:rPr>
        <w:softHyphen/>
        <w:t>ладкой боеприпасов и орудийным расчетом.</w:t>
      </w:r>
    </w:p>
    <w:p w14:paraId="476243C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Пробег по пересеченной местности на 50 км.</w:t>
      </w:r>
    </w:p>
    <w:p w14:paraId="1FCE9F2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Преодоление подъемов и спусков до 30°.</w:t>
      </w:r>
    </w:p>
    <w:p w14:paraId="54BD6D8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Развороты тягача при занятии и оставлении огневой позиции.</w:t>
      </w:r>
    </w:p>
    <w:p w14:paraId="0220526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Движение вне дорог по пересеченной местности в условиях зимы на дистанцию 25 км.</w:t>
      </w:r>
    </w:p>
    <w:p w14:paraId="2D06ECC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Время потребное на запуск мотора в условиях зимы.</w:t>
      </w:r>
    </w:p>
    <w:p w14:paraId="7DB6453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Определение средней и максимальной скорости движения: по шоссе, по полевым дорогам, вне дорог и расход горючего и смазочных материалов на км.</w:t>
      </w:r>
    </w:p>
    <w:p w14:paraId="548A454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Удобство управления и условия работы водителя.</w:t>
      </w:r>
    </w:p>
    <w:p w14:paraId="579120E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Удобство сцепления орудия с тягачом.</w:t>
      </w:r>
    </w:p>
    <w:p w14:paraId="75A7B21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Укладка боеприпасов в транспортер и размещение орудийного расчета.</w:t>
      </w:r>
    </w:p>
    <w:p w14:paraId="3D678EA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штаба ГАБТУ КА полковник Бутков</w:t>
      </w:r>
    </w:p>
    <w:p w14:paraId="48D820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kern w:val="65535"/>
          <w:sz w:val="16"/>
          <w:szCs w:val="16"/>
        </w:rPr>
      </w:pPr>
      <w:r w:rsidRPr="00640820">
        <w:rPr>
          <w:rFonts w:ascii="Times New Roman" w:hAnsi="Times New Roman"/>
          <w:color w:val="000000" w:themeColor="text1"/>
          <w:kern w:val="65535"/>
          <w:sz w:val="16"/>
          <w:szCs w:val="16"/>
        </w:rPr>
        <w:t>ЦАМО. Ф. 2. Оп. 795437с. Д. 4. Л. 318. Копия (11211).</w:t>
      </w:r>
    </w:p>
    <w:p w14:paraId="2668FF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kern w:val="65535"/>
          <w:sz w:val="16"/>
          <w:szCs w:val="16"/>
        </w:rPr>
      </w:pPr>
    </w:p>
    <w:p w14:paraId="250F8C3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ноя</w:t>
      </w:r>
      <w:r w:rsidRPr="00640820">
        <w:rPr>
          <w:rFonts w:ascii="Times New Roman" w:hAnsi="Times New Roman"/>
          <w:color w:val="000000" w:themeColor="text1"/>
          <w:sz w:val="16"/>
          <w:szCs w:val="16"/>
        </w:rPr>
        <w:softHyphen/>
        <w:t>бря 1941 г. Спе</w:t>
      </w:r>
      <w:r w:rsidRPr="00640820">
        <w:rPr>
          <w:rFonts w:ascii="Times New Roman" w:hAnsi="Times New Roman"/>
          <w:color w:val="000000" w:themeColor="text1"/>
          <w:sz w:val="16"/>
          <w:szCs w:val="16"/>
        </w:rPr>
        <w:softHyphen/>
        <w:t>циалисты из Таганрога прибы</w:t>
      </w:r>
      <w:r w:rsidRPr="00640820">
        <w:rPr>
          <w:rFonts w:ascii="Times New Roman" w:hAnsi="Times New Roman"/>
          <w:color w:val="000000" w:themeColor="text1"/>
          <w:sz w:val="16"/>
          <w:szCs w:val="16"/>
        </w:rPr>
        <w:softHyphen/>
        <w:t>ли на место назначения в Тюмень и сразу же присту</w:t>
      </w:r>
      <w:r w:rsidRPr="00640820">
        <w:rPr>
          <w:rFonts w:ascii="Times New Roman" w:hAnsi="Times New Roman"/>
          <w:color w:val="000000" w:themeColor="text1"/>
          <w:sz w:val="16"/>
          <w:szCs w:val="16"/>
        </w:rPr>
        <w:softHyphen/>
        <w:t>пили к подготовке территории бывшего пивоваренного заво</w:t>
      </w:r>
      <w:r w:rsidRPr="00640820">
        <w:rPr>
          <w:rFonts w:ascii="Times New Roman" w:hAnsi="Times New Roman"/>
          <w:color w:val="000000" w:themeColor="text1"/>
          <w:sz w:val="16"/>
          <w:szCs w:val="16"/>
        </w:rPr>
        <w:softHyphen/>
        <w:t>да. Новое предприятие назвали Тюменский мотоциклетный за</w:t>
      </w:r>
      <w:r w:rsidRPr="00640820">
        <w:rPr>
          <w:rFonts w:ascii="Times New Roman" w:hAnsi="Times New Roman"/>
          <w:color w:val="000000" w:themeColor="text1"/>
          <w:sz w:val="16"/>
          <w:szCs w:val="16"/>
        </w:rPr>
        <w:softHyphen/>
        <w:t>вод (ТМЗ). Ему присвоили номер 65, которым обозначали ТИЗ до войны, назначили директором И.Г. Мизрухина, и подчинили Глав-мотовелопрому НКСМ. В 1941 году ТМЗ ускоренными темпами подготавливали к выпуску мотоциклов ТИЗ-АМ-600. Предстояло использовать доставленную с ТИЗ «незавершенку», а недостаю</w:t>
      </w:r>
      <w:r w:rsidRPr="00640820">
        <w:rPr>
          <w:rFonts w:ascii="Times New Roman" w:hAnsi="Times New Roman"/>
          <w:color w:val="000000" w:themeColor="text1"/>
          <w:sz w:val="16"/>
          <w:szCs w:val="16"/>
        </w:rPr>
        <w:softHyphen/>
        <w:t>щие детали изготавливать на ТМЗ и других предприятиях. Главная трудность на заводе состояла в подборе кадров, которыми ТМЗ был укомплектован лишь на 15% [5.19] (11429).</w:t>
      </w:r>
    </w:p>
    <w:p w14:paraId="608413C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F73F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ноября 1941 вышло Постановление ГКО № 959 О специальном конструкторском бюро при Наркомате боеприпасов СССР по разработке винтовочных противотанковых гранат. РГАНИР, Фонд ГКО, д. 15, лл. 8 (11012).</w:t>
      </w:r>
    </w:p>
    <w:p w14:paraId="395DA0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7E609E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ноября 1941 вышло Постановление ГКО № 960 [О передаче в Распоряжение ГКО ВС ЗакФ 50 млн. руб. для организации производства вооружения и боеприпасов в закавказских республиках.] (7016, 9).</w:t>
      </w:r>
    </w:p>
    <w:p w14:paraId="2F17EA3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8047D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ноября 1941 вышло Постановление ГКО № 961 Об усилении железнодорожных линий, связывающих Кузбасс и Караганду с Уралом и Поволжьем. (7016, 10-13).</w:t>
      </w:r>
    </w:p>
    <w:p w14:paraId="2B52095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3CDB1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ноября 1941 вышло Постановление ГКО № 962 Об усилении пропускной способности выходов из Средней Азии - Ашхабадской, Ташкентской, Оренбургской и Рязано-Уральской жел. дороги. (7016, 14-15).</w:t>
      </w:r>
    </w:p>
    <w:p w14:paraId="0AAEF48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E8993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ноября 1941 вышло Постановление ГКО № 963 Об усилении пропускной способности Пензенской и им. Куйбышева железных дорог. (7016, 16-17).</w:t>
      </w:r>
    </w:p>
    <w:p w14:paraId="1A4AC49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63FCF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ноября 1941 вышло Постановление ГКО № 964 О строительстве Заволжской рокадной линии по направлению от ст. Балезино Пермской ж.д. до Астрахани. (7016, 18-20).</w:t>
      </w:r>
    </w:p>
    <w:p w14:paraId="33EC671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3BFBF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ноября 1941 вышло Постановление ГКО № 965 О развитии железнодорожных линий, узлов и усилении пропускной способности дорог Урала - Пермской, имени л. М. Кагановича и Южно-Уральской. (7016, 21-24).</w:t>
      </w:r>
    </w:p>
    <w:p w14:paraId="0B3E941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C504C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ноября 1941 года вышел Приказ НКБ № 645:</w:t>
      </w:r>
    </w:p>
    <w:p w14:paraId="735479B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Включить в состав действующих предприятий НКБ завод в Омске, организуемый в соответствии с постановлением ГКО от 9 октября 1941 года № ГКО-750сс на базе ИТК № 2 НКВД и эвакуированного с завода №№ 187 и 513 оборудования по производству звеньев и 20 мм гильз. Присвоить заводу № 513а (5673, 109).</w:t>
      </w:r>
    </w:p>
    <w:p w14:paraId="0ACE496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E2F23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ноября 1941 года вышел приказ № 39сс НКТП Челябинск</w:t>
      </w:r>
    </w:p>
    <w:p w14:paraId="6B734D9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исполнение решения ГКО от 13 ноября 1941 года за № 892сс:</w:t>
      </w:r>
    </w:p>
    <w:p w14:paraId="4173C43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базе выделенных цехов завода № 78 им. Орджоникидзе организовать броневой завод, присвоив ему название № 200 и включить его в комбинат тяжелых танков (6041, 63).</w:t>
      </w:r>
    </w:p>
    <w:p w14:paraId="113B344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51F19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ноября 1941 года вышел Приказ НКБ № 33</w:t>
      </w:r>
    </w:p>
    <w:p w14:paraId="0DAD3D1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дополнение к приказу НКБ № 33/М от 13 ноября 1941 года организовать в Краснозаводске на базе эвакуированного завода № 11 производственный филиал, присвоив ему наименование Филиал завода № 11 (5679, 88).</w:t>
      </w:r>
    </w:p>
    <w:p w14:paraId="4A0D670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3689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ноября 1941 года Согласно Постановления ГКО за № 1061с и 13 января 1942 года согласно приказа НКБ за № 16с в Кургане Челябинской области в январе 1942 года начато строительство завода № 603 на базе переданных ему 2-х складов Гл. управления государственных материальных резервов (ГУГМР). Завод предназначался для производства стальных капсюльных втулок и запальных трубок Норданфельда (ЗТН). В январе 1942 года в состав завода № 603 в качестве цеха завода по производству ручных гранат был включен эвакуированный из Харькова завод № 308 НКБ.</w:t>
      </w:r>
    </w:p>
    <w:p w14:paraId="6A3D4D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Действующим предприятием, вырабатывающим капсюльные втулки КВ-4, завод № 603 является с октября 1942 года.</w:t>
      </w:r>
    </w:p>
    <w:p w14:paraId="4CDE5F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Согласно Постановления Правительства об упразднении НКБ и учреждении НК с/х машиностроения и во исполнении приказа НКСХМ от 9 января 1946 года за № 04сс завод № 603 перешел в систему НКСХМ. Постановлением СМ от 28 марта 1953 года завод № 603 передан Министерству машиностроения. В августе 1953 года во исполнение Постановления СМ и приказа МОП за № 637сс от 26 августа 1953 года завод № 603 передан МОП.</w:t>
      </w:r>
    </w:p>
    <w:p w14:paraId="09F919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состоянию на 1 января 1955 года завод № 603 является специализированным предприятием по массовому производству капсюльных втулок.</w:t>
      </w:r>
    </w:p>
    <w:p w14:paraId="345EC6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Курган, п/я 63</w:t>
      </w:r>
    </w:p>
    <w:p w14:paraId="33043C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 Полибза Т.Д. (10021).</w:t>
      </w:r>
    </w:p>
    <w:p w14:paraId="44A28E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B3001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ноября 1941 лидер "Ленинград", поврежденный взрывом мины, поставлен на ремонт к стенке "Судомеха". Ремонт проводился совместно с Балтийским заводом; закончен в мае 1942 г (10671).</w:t>
      </w:r>
    </w:p>
    <w:p w14:paraId="6BA648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52E1C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ноября 1941 «Ленинград», поврежденный взрывом мины, был поставлен на ремонт к стенке завода № 1 96, который осуществ­лял ремонт совместно с Балтийским заво­дом. Кроме того, специальным решением Во­енного Совета КБФ от 8 января 1 942 года предписывалось смонтировать на «Ленинг­раде» в срок до 25 февраля того же года штатную систему размагничивания ЛФТИ. Ремонт лидера проходил одновременно с модернизацией его систем. Работы, выте­кающие из опыта боевых действий флота в первый год войны, сводились к следующе­му: обеспечение противоминной защиты системой ЛФТИ с монтажом размагничивающих устройств, усиление зенитного во­оружения, защитная амортизация приборов и оборудования, а также подкрепление кор­пуса лидера. Особое внимание уделялось повышению прочности — было произведе­но подкрепление кормовой оконечности корпуса и вырезов на верхней палубе. На юте лидера разместили палубную спаренную 76,2-мм зенитную артустановку 81-К с ко­робчатым 8-мм броневым щитом, снятую с линкора «Марат» в октябре 1941 года. В суровых условиях блокады ремонт ли­дера длился всю зиму. После его заверше­ния, уже в мае 1942 года, «Ленинград», вклю­ченный в артиллерийскую систему обороны города, вел огонь по позициям противника, занимая разные огневые позиции на Неве. Однако, 14 мая в результате очередного ог­невого налета противника на город, лидер опять получил серьезные повреждения и вновь был поставлен на ремонт. Одной из задач ремонта было усиление зенитного вооружения. Было установлено че­тыре 37-мм автоматов 70-К, два из которых размещались на носовой надстройке побортно, а два других — побортно на палу­бе полубака. В 1943 году устанавливаемые на лидеры зенитные автоматы 70-К снабди­ли щитами. На верхней палубе корабля в корме установили спаренный 37-мм полу­автомат С-30. Под погреба для зенитного боезапаса выделили помещения в корме. Весь 1943 год корабль по плану, разра­ботанному начальником Береговой оборо­ны Балтийского флота контр-адмиралом И.И.Греном, участвовал в нанесении мас­сированных артиллерийских ударов по уз­лам сопротивления противника в полосе наступления 55-й армии Ленинградского фронта. В январе 1944 года «Ленинград», зани­мавший огневую позицию на Малой Неве у моста Строителей (ныне Биржевой), вместе с другими кораблями КБФ, базировавши­мися в Ленинграде, включили во вторую группу (командир — вице-адмирал Ю.Ф.Ралль) артиллерийской поддержки. В этой группе, из восьми орудий калибра 130 мм пять при­надлежали лидеру. Группа должна была сво­им огнем содействовать наступлению войск 42-й армии в операции по снятию блокады Ленинграда в направлении Пулково—Воро­нья гора, где находились наиболее мощные оборонительные сооружения противника. За период с 14 по 20 января лидер (командир капитан 2 ранга В.М.Климов) своим огнем эффективно содействовал прорыву блока­ды. Например, в результате контрбатарей­ной стрельбы «Ленинград» вместе с эсминцем «Свирепый» только 17 января при рас­ходе 268-ми снарядов калибра 130 мм по­давили две батареи противника в районе Урицка (11866).</w:t>
      </w:r>
    </w:p>
    <w:p w14:paraId="34FC10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51633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ноября 1941 г. по распоряжению Совета по эвакуации № 14974 на завод (Завод № 341 НКСП, Рыбинский катерный завод, Рыбинский судостроительный завод «Вымпел», А-7333, Судостроительное общество «Вымпел», ОАО «Судостроительный завод «Вымпел» /г. Рыбинск,  г. Щербаков/ /152928 (152912)  г. Рыбинск Ярославской обл. ул. Новая, 4/) частично эвакуирован на заводы № 639 (цех торпедных катеров) и № 344 НКСП.</w:t>
      </w:r>
    </w:p>
    <w:p w14:paraId="7FB6EF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1950-е  г. на завод из ЦКБ-20 передана вся документация на командирский катер пр. 371бис для серийного производства.</w:t>
      </w:r>
    </w:p>
    <w:p w14:paraId="27FD1F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1985 г. начато производство речного буксира пр. 14701, для его постройки на заводе внедрен модульно- агрегатный метод.</w:t>
      </w:r>
    </w:p>
    <w:p w14:paraId="34A8E6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1988 г. планировалось начать производство катеров пр. 14050 и 14051, но не было реализовано.</w:t>
      </w:r>
    </w:p>
    <w:p w14:paraId="4E966A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1978 г. - Рыбинский ССЗ «Вымпел», имел наименование «п/я А-7333». В 1970-е  г. вошел в состав Рыбинского судостроительного ПО.</w:t>
      </w:r>
    </w:p>
    <w:p w14:paraId="7B6DCE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2001 г. вошел в ОАО «Концерн средне- и малотоннажного кораблестроения» (КСМК). По решению правительства № 22-р от 9.01.2004 г. ОАО вошло в перечень стратегических предприятий.</w:t>
      </w:r>
    </w:p>
    <w:p w14:paraId="3E9712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(ВОВ)- Н.В. Щербина, (ВОВ)- Ф.С. Самсонов. Гендиректор (-2001-07 г.-&gt; В.Б. Доскин.</w:t>
      </w:r>
    </w:p>
    <w:p w14:paraId="44BD40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Технический директор (2007 г.)- Б.Р. Лапковский. Директор по маркетингу (2007 г.)- Д.А. Беляков.</w:t>
      </w:r>
    </w:p>
    <w:p w14:paraId="2B5C55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А.С. Станиславский.</w:t>
      </w:r>
    </w:p>
    <w:p w14:paraId="1036F4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стальные баржи (1930-е);</w:t>
      </w:r>
      <w:r w:rsidRPr="00640820">
        <w:rPr>
          <w:rFonts w:ascii="Times New Roman" w:hAnsi="Times New Roman"/>
          <w:iCs/>
          <w:color w:val="000000" w:themeColor="text1"/>
          <w:sz w:val="16"/>
          <w:szCs w:val="16"/>
        </w:rPr>
        <w:t xml:space="preserve"> катера:</w:t>
      </w:r>
      <w:r w:rsidRPr="00640820">
        <w:rPr>
          <w:rFonts w:ascii="Times New Roman" w:hAnsi="Times New Roman"/>
          <w:color w:val="000000" w:themeColor="text1"/>
          <w:sz w:val="16"/>
          <w:szCs w:val="16"/>
        </w:rPr>
        <w:t xml:space="preserve"> разъездные, буксирные, пассажирские типа «Р» (1935-36-), (1942-45)- 581;</w:t>
      </w:r>
      <w:r w:rsidRPr="00640820">
        <w:rPr>
          <w:rFonts w:ascii="Times New Roman" w:hAnsi="Times New Roman"/>
          <w:color w:val="000000" w:themeColor="text1"/>
          <w:sz w:val="16"/>
          <w:szCs w:val="16"/>
          <w:vertAlign w:val="superscript"/>
        </w:rPr>
        <w:t>61</w:t>
      </w:r>
      <w:r w:rsidRPr="00640820">
        <w:rPr>
          <w:rFonts w:ascii="Times New Roman" w:hAnsi="Times New Roman"/>
          <w:color w:val="000000" w:themeColor="text1"/>
          <w:sz w:val="16"/>
          <w:szCs w:val="16"/>
        </w:rPr>
        <w:t xml:space="preserve"> торпедные: пр. ТМ-200 ТК-450 «Юнга» (1944-46)- 24, пр. 206М (1970-76)- 24 (вместе с заводами 5, 363 и 602); многоцелевые пр. 371 (1950-е), пр. 371У (1970-е), пр. 03712 (1990-е), большой командирский пр. 371бис (1950-е-70-е), спасательный пр. 03713 (1980-е-90-е); базовые противопожарные пр. 364 (1950-е), пр. 14611 (1981-), пожарный пр. 18604 (1986)- 1; ракетные: пр. 205, пр. 205У (1963-75)- всего 46, экспортные пр. 205ЭР (1973-84)- 87; пр. 1241РЭ (1980-)- 22 (вместе с заводом 345); малые буксирно-моторные типа БМК-90, </w:t>
      </w:r>
      <w:r w:rsidRPr="00640820">
        <w:rPr>
          <w:rFonts w:ascii="Times New Roman" w:hAnsi="Times New Roman"/>
          <w:color w:val="000000" w:themeColor="text1"/>
          <w:sz w:val="16"/>
          <w:szCs w:val="16"/>
        </w:rPr>
        <w:lastRenderedPageBreak/>
        <w:t>БМК-130 (1970-е), БМК-130М (1970-е), пр. 1396 (БМК-Т) (1965-), пр. 14121; малые разъездные пр. 371, пр. 378 (1960-е); малый речной пограничный пр. 1207 «Пеликан» (1972-76); телеуправляемый катер-мишень пр. 1392 (1970-е-80- е); патрульный пр. 12300 «Скорпион»; МРК пр. 12418 для Вьетнама (-2006-04.2007)- 2; пр. 12421 «Молния» № 992 (-1999)- 1, ПСКА-601 пр. 12150 «Мангуст» (-07.2006)- 3, еще 3 заложены на 2006; пр. 14310 «Мираж»- 1, «Марс»;</w:t>
      </w:r>
      <w:r w:rsidRPr="00640820">
        <w:rPr>
          <w:rFonts w:ascii="Times New Roman" w:hAnsi="Times New Roman"/>
          <w:iCs/>
          <w:color w:val="000000" w:themeColor="text1"/>
          <w:sz w:val="16"/>
          <w:szCs w:val="16"/>
        </w:rPr>
        <w:t xml:space="preserve"> тральщики:</w:t>
      </w:r>
      <w:r w:rsidRPr="00640820">
        <w:rPr>
          <w:rFonts w:ascii="Times New Roman" w:hAnsi="Times New Roman"/>
          <w:color w:val="000000" w:themeColor="text1"/>
          <w:sz w:val="16"/>
          <w:szCs w:val="16"/>
        </w:rPr>
        <w:t xml:space="preserve"> пр. 255 (1947-), пр. 255К (1951-53)- всего 125 (вместе с заводом 189); пр. 265 (1949-51)- 2, пр. 265К (1957-59)- 13, пр. 265А (1959-62)- 24, пр. 265И (1960-е)- 3; пограничный сторожевик пр. 14310 «Мираж» ПСКР-401; малый разведывательный корабль пр. 1824Б (1976-89)- 4 (вместе с заводом «Балтия»); </w:t>
      </w:r>
      <w:r w:rsidRPr="00640820">
        <w:rPr>
          <w:rFonts w:ascii="Times New Roman" w:hAnsi="Times New Roman"/>
          <w:iCs/>
          <w:color w:val="000000" w:themeColor="text1"/>
          <w:sz w:val="16"/>
          <w:szCs w:val="16"/>
        </w:rPr>
        <w:t>гидрографические суда:</w:t>
      </w:r>
      <w:r w:rsidRPr="00640820">
        <w:rPr>
          <w:rFonts w:ascii="Times New Roman" w:hAnsi="Times New Roman"/>
          <w:color w:val="000000" w:themeColor="text1"/>
          <w:sz w:val="16"/>
          <w:szCs w:val="16"/>
        </w:rPr>
        <w:t xml:space="preserve"> малое «Вайгач» пр. 19910 (-2006), большой катер пр. 19920 (05.2004-), бот пр. 1896 (1966-77)- около 130 (вместе с Николаевским-на-Амуре ССЗ), бот пр. 16611 (1993)- 1; водолазное судно пр. 11980 ВМ-596 (2005)- 1; морская самоходная пристрелочная станция пр. 1824 (1966-74)- 7; дебаркадеры и плавдоки из железобетона (1929-35);</w:t>
      </w:r>
      <w:r w:rsidRPr="00640820">
        <w:rPr>
          <w:rFonts w:ascii="Times New Roman" w:hAnsi="Times New Roman"/>
          <w:iCs/>
          <w:color w:val="000000" w:themeColor="text1"/>
          <w:sz w:val="16"/>
          <w:szCs w:val="16"/>
        </w:rPr>
        <w:t xml:space="preserve"> буксиры:</w:t>
      </w:r>
      <w:r w:rsidRPr="00640820">
        <w:rPr>
          <w:rFonts w:ascii="Times New Roman" w:hAnsi="Times New Roman"/>
          <w:color w:val="000000" w:themeColor="text1"/>
          <w:sz w:val="16"/>
          <w:szCs w:val="16"/>
        </w:rPr>
        <w:t xml:space="preserve"> речные пр. 212 (1943)- 1, «Академик Тимирязев» (1948-), толкачи пр. 887 «Шлюзовой» (1960), пр. 947 «Маршал Блюхер» (1970), пр. 1606 (1970-е), пр. 14701 «Бурлак» (1985-); озерный пр. 574 типа БОР-450 «Георгий Седов» (1951); пожарный пр. 364 «Пламенный» (1956-63)- 9; танкеры пр. 866 типа «Дельфин» (-1969); сухогрузы; тунцеловное судно пр. 13321 «Тунцелов-1» (1980-)- около 10; противопожарные суда: пр. 14613 «Марс», малое пр. 16640 «Вьюн»; несамоходная плавучая электростанция пр. 813М (1977).</w:t>
      </w:r>
    </w:p>
    <w:p w14:paraId="2759BD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КБ завода № 341, СКБ-341 /г. Рыбинск/</w:t>
      </w:r>
    </w:p>
    <w:p w14:paraId="38D71C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1946 г. - проектирование тральщика пр. 265. В начале 1949 г. в КБ завода № 341 из ЦКБ-50 передано проектирование рейдовых тральщиков.</w:t>
      </w:r>
    </w:p>
    <w:p w14:paraId="2F6F8B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1949 г. КБ завода преобразовано в самостоятельное СКБ-341. В 1954 г. оно влито в состав ЦКБ-363.</w:t>
      </w:r>
    </w:p>
    <w:p w14:paraId="654355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конструкторы: (1948 г.)- Н. Г. Лощинский (пр. 265), (1950 г.)- В.И. Блинов (пр. 255К, 265).</w:t>
      </w:r>
    </w:p>
    <w:p w14:paraId="632CE4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Создано:</w:t>
      </w:r>
      <w:r w:rsidRPr="00640820">
        <w:rPr>
          <w:rFonts w:ascii="Times New Roman" w:hAnsi="Times New Roman"/>
          <w:color w:val="000000" w:themeColor="text1"/>
          <w:sz w:val="16"/>
          <w:szCs w:val="16"/>
        </w:rPr>
        <w:t xml:space="preserve"> тральщики: рейдовый пр. 265 (1946-48), пр. 255К (1950); рейдовый буксир пр. 255Б на базе тральщика пр. 255 (1950-е, совместно с ЦКБ-50).</w:t>
      </w:r>
      <w:r w:rsidRPr="00640820">
        <w:rPr>
          <w:rFonts w:ascii="Times New Roman" w:hAnsi="Times New Roman"/>
          <w:color w:val="000000" w:themeColor="text1"/>
          <w:sz w:val="16"/>
          <w:szCs w:val="16"/>
          <w:vertAlign w:val="superscript"/>
        </w:rPr>
        <w:t>116</w:t>
      </w:r>
    </w:p>
    <w:p w14:paraId="4C34FE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КБ Рыбинского судостроительного завода «Вымпел» /г. Рыбинск/</w:t>
      </w:r>
    </w:p>
    <w:p w14:paraId="28111D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1985 г. КБ завода, вероятно, преобразовано в филиал ЦКБ «Редан».</w:t>
      </w:r>
    </w:p>
    <w:p w14:paraId="33B2D2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базе строившегося на заводе командирского катера пр. 371бис разработаны модификации служебно- разъездных катеров для народного хозяйства пр. 371У, 03712, спасательный катер пр. 03713 (1978 г.).</w:t>
      </w:r>
    </w:p>
    <w:p w14:paraId="6E43E7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Создано:</w:t>
      </w:r>
      <w:r w:rsidRPr="00640820">
        <w:rPr>
          <w:rFonts w:ascii="Times New Roman" w:hAnsi="Times New Roman"/>
          <w:color w:val="000000" w:themeColor="text1"/>
          <w:sz w:val="16"/>
          <w:szCs w:val="16"/>
        </w:rPr>
        <w:t xml:space="preserve"> малые буксирно-моторные катера: типа БМК-90, БМК-130 (1970), БМК-130М (1970-е), пр. 1396 (БМК-Т) (1965),</w:t>
      </w:r>
      <w:r w:rsidRPr="00640820">
        <w:rPr>
          <w:rFonts w:ascii="Times New Roman" w:hAnsi="Times New Roman"/>
          <w:color w:val="000000" w:themeColor="text1"/>
          <w:sz w:val="16"/>
          <w:szCs w:val="16"/>
          <w:vertAlign w:val="superscript"/>
        </w:rPr>
        <w:t>116</w:t>
      </w:r>
      <w:r w:rsidRPr="00640820">
        <w:rPr>
          <w:rFonts w:ascii="Times New Roman" w:hAnsi="Times New Roman"/>
          <w:color w:val="000000" w:themeColor="text1"/>
          <w:sz w:val="16"/>
          <w:szCs w:val="16"/>
        </w:rPr>
        <w:t xml:space="preserve"> речной пр. 1606 (1970-е) (11982).</w:t>
      </w:r>
    </w:p>
    <w:p w14:paraId="3E19C9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E5DC8DA"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6EEF47EE"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CA775A9"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25 ноября </w:t>
      </w:r>
      <w:r w:rsidRPr="00640820">
        <w:rPr>
          <w:rFonts w:ascii="Times New Roman" w:hAnsi="Times New Roman"/>
          <w:color w:val="000000" w:themeColor="text1"/>
          <w:sz w:val="16"/>
          <w:szCs w:val="16"/>
        </w:rPr>
        <w:t>в 1941 году утреннее сообщение Совинформбюро:</w:t>
      </w:r>
    </w:p>
    <w:p w14:paraId="6F59CC81"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25 ноября наши части вели бои с противником на всех фронтах.</w:t>
      </w:r>
    </w:p>
    <w:p w14:paraId="6307514B"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Бойцы части тов. Лопатина, действующей на Южном фронте, нанесли ещё одно поражение противнику. В упорном бою они уничтожили 23 немецких танка, 168 грузовых автомашин, 11 легковых машин, 94 мотоцикла, 50 пулемётов, 36 пушек и 20 миномётов противника.</w:t>
      </w:r>
    </w:p>
    <w:p w14:paraId="2AC6A1C2"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Орудийный расчёт зенитчиков тов. Габдухалова за последние несколько дней метким огнём сбил два вражеских самолёта. Сержант тов. Марков, несмотря на ожесточённую бомбардировку вражескими самолётами зенитной батареи, сбил немецкий бомбардировщик «Ю-88».</w:t>
      </w:r>
    </w:p>
    <w:p w14:paraId="21385E74"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ожесточённом бою с противником рота лейтенанта Шатовкина истребила 170 немецких солдат и офицеров. Командир взвода тов. Кочетов в рукопашной схватке заколол немецкого офицера и 2 солдат.</w:t>
      </w:r>
    </w:p>
    <w:p w14:paraId="0A8C4CDA"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Казнями, виселицами, грабежами и чудовищными зверствами немецко-фашистские мерзавцы пытаются сломить боевой дух населения оккупированных районов Украины, силу сопротивления советских патриотов. Поголовному ограблению и избиениям подверглись крестьяне села Александровка, отказавшиеся ежедневно поставлять для немецких войск 1.200 пудов пшеницы. Ночью село было окружено фашистскими солдатами. Началась дикая расправа над мирным населением. Многие крестьяне были застрелены озверевшими бандитами. Ни расстрелы, ни пытки не запугали советских людей. Население саботирует распоряжения оккупантов, оказывает упорное сопротивление гитлеровским людоедам. В селе Ивановка, Петровского района, один крестьянин вилами заколол немецкого солдата, пытавшегося забрать у него последнюю свинью. В селе Обидна, Винницкой области, фашисты убили одного колхозника. К месту убийства собрались все крестьяне и устроили демонстрацию. С возгласами «Долой фашистских разбойников» крестьяне прошли по всему селу.</w:t>
      </w:r>
    </w:p>
    <w:p w14:paraId="436D1053"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Трудящиеся Узбекистана героическим трудом оказывают деятельную поддержку фронту. Уже выполнили годовой план шёлкомотальная и местная промышленность республики. Крупнейший в Узбекистане текстильный комбинат имени Сталина досрочно выполнил годовую программу выпуска ткани. На 40 дней раньше срока завершил годовую программу Наманганский маслобойный завод. Досрочно выполнила план Самаркандская швейная фабрика имени 8-го марта. Коллектив фабрики обязался выработать до конца года на полтора миллиона рублей продукции сверх плана. Больших успехов достигли колхозники Узбекистана. Вырастив богатый урожай хлопка, Узбекская ССР дала стране на 427 тыс. тонн хлопка-сырца больше, нежели к этому же времени в 1940 году. Колхозы республики уже собрали с каждого гектара на полтора центнера хлопка больше, чем в прошлом году. Кара-Калпакская АССР, Бухарская, Ташкентская, Самаркандская, Хорезмская и Сурхан-Дарьинская области уже выполнили годовые планы хлопкозаготовок. Отвечая на призыв товарища Сталина давать фронту и стране больше продовольствия и сырья для промышленности, колхозники Узбекистана расширяют посевные площади под зерно, сахарную свёклу и другие культуры. Колхоз Пахта Чилик, Кировского района, засеял дополнительно 50 гектаров. Десятки гектаров сверх плана засеяны в колхозах «Красный Восток» и «Дехкан», Мирзачульского района. В колхозе имени Сталина, Ургенчского района, дополнительно засеяно свыше 50 гектаров, в колхозе Азад Бухара Джар, Курганского района, освоено 83 гектара. Трудящиеся Узбекистана внесли во всенародный фонд обороны 30 миллионов рублей. Кроме того, колхозники внесли 2.389 центнеров зерна, 1.908 центнеров мяса, 13.898 кож, 1.495 центнеров сена, 325 центнеров сухофруктов, 430 центнеров овощных и бахчевых культур, 205 центнеров шерсти и другие продукты.» (14840).</w:t>
      </w:r>
    </w:p>
    <w:p w14:paraId="4A1824C8" w14:textId="77777777" w:rsidR="00F30FFF" w:rsidRPr="00640820" w:rsidRDefault="00F30FFF" w:rsidP="00640820">
      <w:pPr>
        <w:spacing w:after="0" w:line="240" w:lineRule="auto"/>
        <w:jc w:val="both"/>
        <w:rPr>
          <w:rFonts w:ascii="Times New Roman" w:hAnsi="Times New Roman"/>
          <w:color w:val="000000" w:themeColor="text1"/>
          <w:sz w:val="16"/>
          <w:szCs w:val="16"/>
        </w:rPr>
      </w:pPr>
    </w:p>
    <w:p w14:paraId="1B47E453"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25 ноября </w:t>
      </w:r>
      <w:r w:rsidRPr="00640820">
        <w:rPr>
          <w:rFonts w:ascii="Times New Roman" w:hAnsi="Times New Roman"/>
          <w:color w:val="000000" w:themeColor="text1"/>
          <w:sz w:val="16"/>
          <w:szCs w:val="16"/>
        </w:rPr>
        <w:t>в 1941 году вечернее сообщение Совинформбюро:</w:t>
      </w:r>
    </w:p>
    <w:p w14:paraId="300F0B8F"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25 ноября наши войска вели бои с противником на всех фронтах. Особенно упорные бои происходили на Волоколамском, Сталиногорском и Ростовском (Ростов-на-Дону) участках фронта.</w:t>
      </w:r>
    </w:p>
    <w:p w14:paraId="4C3B4AC2"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24 ноября в воздушных боях сбито 5 немецких самолётов. Наши потери — 2 самолёта.</w:t>
      </w:r>
    </w:p>
    <w:p w14:paraId="19AFDE34"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25 ноября под Москвой сбито 3 ненецких самолёта.</w:t>
      </w:r>
    </w:p>
    <w:p w14:paraId="0AEC2FAF"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24 ноября нашей авиацией уничтожено 29 немецких танков, 12 бронемашин, 506 автомашин с войсками, несколько автоцистерн с горючим, 26 орудий, железнодорожный состав со снарядами, 60 повозок и истреблён полк вражеской пехоты.</w:t>
      </w:r>
    </w:p>
    <w:p w14:paraId="21EE084B"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Части тов. Масленникова за 10 дней боёв истребили 9.000 немецких солдат и офицеров, уничтожили 38 вражеских танков, 19 орудий, 19 миномётов, 230 мотоциклов и захватили 5 танков, 10 орудий, 32 автомашины, 116 мотоциклов и 53 пулемёта противника.</w:t>
      </w:r>
    </w:p>
    <w:p w14:paraId="43C0F62B"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Часть тов. Московцева, действующая на одном из участков Юго-Западного фронта, нанесла немцам серьёзный урон, истребив только за один день боёв 800 солдат и офицеров противника, 6 танков, 5 бронемашин и 26 автомашин с военными грузами.</w:t>
      </w:r>
    </w:p>
    <w:p w14:paraId="5CB0B00D"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лётчики, действующие на Южном фронте, за один день уничтожили 20 немецких танков, 4 бронемашины, 6 орудий, 355 автомашин, 13 автоцистерн с горючим и истребили до 1.000 солдат и офицеров противника.</w:t>
      </w:r>
    </w:p>
    <w:p w14:paraId="015EDA2A"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тылу у врага, на Волоколамском направлении фронта, партизанский отряд тов. 3. за три дня уничтожил 8 автомашин противника с боеприпасами и продуктами. Бойцы отряда вывели из строя одну бронемашину немцев, которая застряла на дороге. Партизанский отряд, которым командует директор завода тов. И., ночью совершил налёт на деревню П., где остановилось на ночёвку подразделение немцев. Окружив дома, занятые противником, партизаны открыли огонь и истребили 35 фашистов. Этот же отряд организовал засаду на дороге, по которой немцы подвозили к фронту боеприпасы и бензин. Партизаны за день сожгли три автоцистерны и два грузовика с боеприпасами. Особенно успешно действует в тылу врага отряд партизан во главе с орденоносцем тов. Г. В середине ноября партизаны уничтожили немецкий транспортный самолёт, истребили конный отряд немецких солдат, взорвали мост и сожгли четыре грузовика оккупантов.</w:t>
      </w:r>
    </w:p>
    <w:p w14:paraId="2EE41EE7"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боях на Восточном фронте немецко-фашистская армия несёт огромные потери в людях. Об этом красноречиво свидетельствуют показания и письма военнопленных фашистских солдат и офицеров. Пленный немецкий солдат Иозеф Фегер сообщил: «9 пехотная дивизия понесла большие потери. В нашей роте осталось в живых не более 30-40 человек, причём многие солдаты с физическими недостатками: у одного больны лёгкие, другой кривой, у третьего грыжа и т. д.». Санитар Ортвин Буковский писал своей сестре: «Из моих товарищей, которые прибыли сюда со мной, остались в живых только одиночки. Многие погибли. Пять командиров подразделений и мой прежний командир роты убиты». Пленный старший ефрейтор 8 пехотного полка 3 моторизованной дивизии Гер-гард Финкгейзер показал: «Наша рота потеряла 120 солдат. Дважды получала пополнение, главным образом молодёжь, прошедшую четырёхнедельную подготовку. Это резко снизило боеспособность роты... Среди солдат распространены антивоенные настроения. Многие считают, что война будет скоро проиграна Германией из-за больших потерь германской армии». Немецкий солдат Раймут Итхайн пишет своей знакомой Лизе Фолнхалс: «Меня уже рвёт от похода в Россию. Простуженных и больных столько, что наша часть скоро превратится в лазарет».</w:t>
      </w:r>
    </w:p>
    <w:p w14:paraId="00824CC1"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Смехотворные измышления гитлеровских фальшивомонетчиков о потерях советских войск:</w:t>
      </w:r>
    </w:p>
    <w:p w14:paraId="21C73602"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 октября в речи по радио, 2 октября в приказе по немецкой армии Гитлер хвастливо объявил о начавшемся решающем наступлении против советских войск. Гитлер немцам в тылу и войскам наобещал, что это наступление нанесёт советским войскам смертельный удар и война закончится ещё до наступления зимы. Но, как говорит русская пословица, «страшен сон, да милостив бог», обещанное Гитлером наступление началось... и с треском провалилось. Зима наступила, советские армии не только не уничтожены, а в огне войны ещё более окрепли, а гитлеровская грабьармия, вшивая, раздетая и голодная, щёлкает зубами от холода и голода. Гитлер ещё </w:t>
      </w:r>
      <w:r w:rsidRPr="00640820">
        <w:rPr>
          <w:rFonts w:ascii="Times New Roman" w:hAnsi="Times New Roman"/>
          <w:color w:val="000000" w:themeColor="text1"/>
          <w:sz w:val="16"/>
          <w:szCs w:val="16"/>
        </w:rPr>
        <w:lastRenderedPageBreak/>
        <w:t>раз предстал перед немецким народом как отъявленный демагог и обманщик. В связи с таким конфузным провалом Гитлер теперь опять вынуждая извиваться ужом перед населением Германии и опять врать и хвастать, хвастать и врать.</w:t>
      </w:r>
    </w:p>
    <w:p w14:paraId="726FBB29"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Командование немецкой армии, подводя итоги пяти месяцев со дня войны на Востоке, для успокоения населения Германии выкинуло новый трюк, опубликовав фальшивые и смехотворные данные о советских потерях. Вот эти нелепые данные. За период с 22 июня по 20 ноября немецкие войска якобы взяли 3.725.600 пленных, разбили 389 большевистских дивизий. Советские войска потеряли якобы 8.000.000 солдат, более 22.000 танков, 27.000 орудий, 15.454 самолёта, большое количество военных и торговых кораблей.</w:t>
      </w:r>
    </w:p>
    <w:p w14:paraId="436C0C14"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 на этом потери большевиков, оказывается, ещё не кончаются. Оказывается, что немецкие войска захватили якобы территорию с 75-миллионным населением и на этой территории захватили военные заводы, общая производительность которых составляет 3/4 всей военной промышленности Советов.</w:t>
      </w:r>
    </w:p>
    <w:p w14:paraId="23184298"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Если бы Гитлер и его командование обладали бы хоть каким-нибудь чувством юмора, они бы десять раз подумали, прежде чем опубликовывать эти смешные данные. В самом деле, если советские войска имеют такие астрономические потери в живой силе и технике, то, спрашивается, почему же гитлеровское воинство не стоит сейчас за Уральским хребтом, а топчется под Москвой? Уж не с ветряными ли мельницами воюют хвалёные гитлеровские банды?</w:t>
      </w:r>
    </w:p>
    <w:p w14:paraId="74BF8733"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Разумеется, никакой территории с 75-миллионным населением немцы не занимали. Советское население, зная волчьи повадки гитлеровских грабителей, насильников и убийц, в основной своей массе своевременно эвакуировалось в восточные районы Советского Союза. Часть же населения, которая не успела выехать из временно занятых немцами районов, питает к захватчикам неукротимую ненависть, что находит своё наиболее яркое выражение в замечательных действиях партизан.</w:t>
      </w:r>
    </w:p>
    <w:p w14:paraId="72B2A264"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 военных заводов немцы тоже не захватили. Все заводы и фабрики из занятых немцами районов эвакуированы в восточные районы Советского Союза, и многие из них уже на новом месте дают для Красной Армии танки, самолёты, пушки, боеприпасы. Небольшое количество предприятий, которые эвакуировать не удалось, немцы действительно захватили... но захватили в виде развалин, взорванных и уничтоженных советскими войсками.</w:t>
      </w:r>
    </w:p>
    <w:p w14:paraId="4A0CC1B3"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Как видно из изложенного, гитлеровские подручные сфабриковали данные о советских потерях по принципу «Не любо, не слушай, а врать не мешай».</w:t>
      </w:r>
    </w:p>
    <w:p w14:paraId="666FD51B"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 встаёт ещё такой вопрос. Почему гитлеровские заправилы упорно замалчивают свои собственные потери в людях и технике? Кому-кому, как не немцам, знать о своих потерях, а между тем молчат, как в рот воды набрали. Ответ на этот вопрос может быть только один — немцы потеряли такое огромное количество людей и техники, что Гитлер и его банда смертельно боятся сказать немецкому народу правду о потерях немецкой армии. Но правду не скроешь. Догадывается об этой правде и немецкий народ. Да и как не догадаться, если почти в каждой немецкой семье есть убитый или раненый член семьи.</w:t>
      </w:r>
    </w:p>
    <w:p w14:paraId="6B4F47EB"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характеристики потерь немцев и наших войск за 5 месяцев войны приведём следующие неопровержимые данные:</w:t>
      </w:r>
    </w:p>
    <w:p w14:paraId="5B86FDC7"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Потери немцев: Около 6.000.000 человек убитыми, ранеными и пленными; Танки — более 15.000; Самолёты — около 13.000; Орудия — до 19.000.</w:t>
      </w:r>
    </w:p>
    <w:p w14:paraId="64C29B6D"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потери: 2.122.000, из них: убитыми — 490 тысяч, ранеными — до 1.112 тысяч, пропавшими без вести — 520 тысяч; Танки —7.900; Самолёты — 6.400; Орудия — 12.900.</w:t>
      </w:r>
    </w:p>
    <w:p w14:paraId="18D1802A"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показаний пленных видно также, что наступившая зима, не входившая в расчёт немецкого командования, вызвала волну массовых заболеваний немецких солдат от простуды, обмораживания, лёгочных заболеваний, гриппа и т. п. Затяжка войны, скверное снабжение армии, наступившие холода всё более подрывают физическое и моральное состояние разбойничьей фашистской армии.</w:t>
      </w:r>
    </w:p>
    <w:p w14:paraId="382E7D63"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Таковы действительные и правдивые данные о потерях гитлеровских и советских войск за 5 месяцев войны.</w:t>
      </w:r>
    </w:p>
    <w:p w14:paraId="6A8D064B"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 враг, не считаясь ни с какими потерями, продолжает рваться вперёд. Он напрягает последние силы для того, чтобы захватить Москву. Однако, как говорят, сие зависит не только от хвастуна Гитлера. Многомиллионный советский народ и его Красная Армия закончат войну только полным разгромом врага. Этот разгром врага должен начаться под Москвой.» (14840).</w:t>
      </w:r>
    </w:p>
    <w:p w14:paraId="3F376874" w14:textId="77777777" w:rsidR="00F30FFF" w:rsidRPr="00640820" w:rsidRDefault="00F30FFF" w:rsidP="00640820">
      <w:pPr>
        <w:spacing w:after="0" w:line="240" w:lineRule="auto"/>
        <w:jc w:val="both"/>
        <w:rPr>
          <w:rFonts w:ascii="Times New Roman" w:hAnsi="Times New Roman"/>
          <w:color w:val="000000" w:themeColor="text1"/>
          <w:sz w:val="16"/>
          <w:szCs w:val="16"/>
        </w:rPr>
      </w:pPr>
    </w:p>
    <w:p w14:paraId="4BAEF1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25 ноября 1941 в составе ВВС Юго-Западного фронта оставалось еще 93 Су-2, хотя количество исправных самолетов снизилось по сравнению с началом октября с 77 до 37. При относительно невысоких боевых потерях, всем авиаполкам остро не хватало запасных частей, отдельных агрегатов и новых моторов. Обслуживание одним БАО разнотипных машин, как Пе-2 и Су-2, или Ил-2 и Су-2, заметно сокращало количество вылетов на исправный самолет (12028).</w:t>
      </w:r>
    </w:p>
    <w:p w14:paraId="117845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E10A4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25 ноября 1941 на сталиногорском направлении 146-я </w:t>
      </w:r>
      <w:r w:rsidRPr="00640820">
        <w:rPr>
          <w:rFonts w:ascii="Times New Roman" w:hAnsi="Times New Roman"/>
          <w:iCs/>
          <w:color w:val="000000" w:themeColor="text1"/>
          <w:sz w:val="16"/>
          <w:szCs w:val="16"/>
        </w:rPr>
        <w:t>сад</w:t>
      </w:r>
      <w:r w:rsidRPr="00640820">
        <w:rPr>
          <w:rFonts w:ascii="Times New Roman" w:hAnsi="Times New Roman"/>
          <w:color w:val="000000" w:themeColor="text1"/>
          <w:sz w:val="16"/>
          <w:szCs w:val="16"/>
        </w:rPr>
        <w:t xml:space="preserve"> (1-й </w:t>
      </w:r>
      <w:r w:rsidRPr="00640820">
        <w:rPr>
          <w:rFonts w:ascii="Times New Roman" w:hAnsi="Times New Roman"/>
          <w:iCs/>
          <w:color w:val="000000" w:themeColor="text1"/>
          <w:sz w:val="16"/>
          <w:szCs w:val="16"/>
        </w:rPr>
        <w:t>сбап,</w:t>
      </w:r>
      <w:r w:rsidRPr="00640820">
        <w:rPr>
          <w:rFonts w:ascii="Times New Roman" w:hAnsi="Times New Roman"/>
          <w:color w:val="000000" w:themeColor="text1"/>
          <w:sz w:val="16"/>
          <w:szCs w:val="16"/>
        </w:rPr>
        <w:t xml:space="preserve"> 130-й </w:t>
      </w:r>
      <w:r w:rsidRPr="00640820">
        <w:rPr>
          <w:rFonts w:ascii="Times New Roman" w:hAnsi="Times New Roman"/>
          <w:iCs/>
          <w:color w:val="000000" w:themeColor="text1"/>
          <w:sz w:val="16"/>
          <w:szCs w:val="16"/>
        </w:rPr>
        <w:t>ббап,</w:t>
      </w:r>
      <w:r w:rsidRPr="00640820">
        <w:rPr>
          <w:rFonts w:ascii="Times New Roman" w:hAnsi="Times New Roman"/>
          <w:color w:val="000000" w:themeColor="text1"/>
          <w:sz w:val="16"/>
          <w:szCs w:val="16"/>
        </w:rPr>
        <w:t xml:space="preserve"> 20-й </w:t>
      </w:r>
      <w:r w:rsidRPr="00640820">
        <w:rPr>
          <w:rFonts w:ascii="Times New Roman" w:hAnsi="Times New Roman"/>
          <w:iCs/>
          <w:color w:val="000000" w:themeColor="text1"/>
          <w:sz w:val="16"/>
          <w:szCs w:val="16"/>
        </w:rPr>
        <w:t>иап,</w:t>
      </w:r>
      <w:r w:rsidRPr="00640820">
        <w:rPr>
          <w:rFonts w:ascii="Times New Roman" w:hAnsi="Times New Roman"/>
          <w:color w:val="000000" w:themeColor="text1"/>
          <w:sz w:val="16"/>
          <w:szCs w:val="16"/>
        </w:rPr>
        <w:t xml:space="preserve"> 232-й </w:t>
      </w:r>
      <w:r w:rsidRPr="00640820">
        <w:rPr>
          <w:rFonts w:ascii="Times New Roman" w:hAnsi="Times New Roman"/>
          <w:iCs/>
          <w:color w:val="000000" w:themeColor="text1"/>
          <w:sz w:val="16"/>
          <w:szCs w:val="16"/>
        </w:rPr>
        <w:t>шап,</w:t>
      </w:r>
      <w:r w:rsidRPr="00640820">
        <w:rPr>
          <w:rFonts w:ascii="Times New Roman" w:hAnsi="Times New Roman"/>
          <w:color w:val="000000" w:themeColor="text1"/>
          <w:sz w:val="16"/>
          <w:szCs w:val="16"/>
        </w:rPr>
        <w:t xml:space="preserve"> 611 -и </w:t>
      </w:r>
      <w:r w:rsidRPr="00640820">
        <w:rPr>
          <w:rFonts w:ascii="Times New Roman" w:hAnsi="Times New Roman"/>
          <w:iCs/>
          <w:color w:val="000000" w:themeColor="text1"/>
          <w:sz w:val="16"/>
          <w:szCs w:val="16"/>
        </w:rPr>
        <w:t xml:space="preserve">лбап) </w:t>
      </w:r>
      <w:r w:rsidRPr="00640820">
        <w:rPr>
          <w:rFonts w:ascii="Times New Roman" w:hAnsi="Times New Roman"/>
          <w:color w:val="000000" w:themeColor="text1"/>
          <w:sz w:val="16"/>
          <w:szCs w:val="16"/>
        </w:rPr>
        <w:t>Западного фронта, применяя при</w:t>
      </w:r>
      <w:r w:rsidRPr="00640820">
        <w:rPr>
          <w:rFonts w:ascii="Times New Roman" w:hAnsi="Times New Roman"/>
          <w:color w:val="000000" w:themeColor="text1"/>
          <w:sz w:val="16"/>
          <w:szCs w:val="16"/>
        </w:rPr>
        <w:softHyphen/>
        <w:t>ем комбинированных ударов штурмовиков и бомбардировщиков уничтожила и вывела из строя до 25 танков и бронемашин, 60 автомашин с грузами, 5 орудий и 10 по</w:t>
      </w:r>
      <w:r w:rsidRPr="00640820">
        <w:rPr>
          <w:rFonts w:ascii="Times New Roman" w:hAnsi="Times New Roman"/>
          <w:color w:val="000000" w:themeColor="text1"/>
          <w:sz w:val="16"/>
          <w:szCs w:val="16"/>
        </w:rPr>
        <w:softHyphen/>
        <w:t>возок с боеприпасами (6467).</w:t>
      </w:r>
    </w:p>
    <w:p w14:paraId="6F8CA5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1C26E37" w14:textId="77777777" w:rsidR="007C62FB" w:rsidRPr="00640820" w:rsidRDefault="007C62F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ноября 1941 на северном фланге Восточного фронта командующий Группой армий «Север» направил войскам указания использовать для отражения налётов штурмовиков не только штатные средства войсковой ПВО, но и огонь личного стрелкового оружия. Большой эффект давали удачные налеты советской авиации на станции выгрузки войск противника. Так, в полдень 26 июня подверглись бомбардировке подразделения 113-й пехотной дивизии Группы армий «Юг», выгружавшиеся на станции Пшеворск. Советский самолет с пикирования сбросил 16 бомб. Потери составили пять человек убитыми, один тяжело и десять легко ранеными. Один автомобиль был уничтожен прямым попаданием и два серьезно повреждены. Сама станция на несколько дней была выведена из строя. Немцам пришлось перенести выгрузку дивизии в другое место. Интересно, что причиной переноса были не собственно разрушения инфраструктуры, а большое число неразорвавшихся бомб (13 из 16), которые нужно было найти и обезвредить. Даже в тех случаях, когда наша авиация не наносила противнику больших потерь, ее действия все равно сказывались на реализации его планов. Например, в документах 41-го моторизованного корпуса в период его переброски с ленинградского на московское направление указывается, что 28 сентября выгрузка танков 1-й танковой дивизии в Витебске была задержана из-за бомбежки. Не будет большим преувеличением предположить, что будь таких налетов нашей авиации больше, начало немецкого «Тайфуна» могло сдвинуться ещё дальше «вправо» (19770).</w:t>
      </w:r>
    </w:p>
    <w:p w14:paraId="1B0AF073" w14:textId="77777777" w:rsidR="007C62FB" w:rsidRPr="00640820" w:rsidRDefault="007C62FB" w:rsidP="00640820">
      <w:pPr>
        <w:spacing w:after="0" w:line="240" w:lineRule="auto"/>
        <w:jc w:val="both"/>
        <w:rPr>
          <w:rFonts w:ascii="Times New Roman" w:hAnsi="Times New Roman"/>
          <w:color w:val="000000" w:themeColor="text1"/>
          <w:sz w:val="16"/>
          <w:szCs w:val="16"/>
        </w:rPr>
      </w:pPr>
    </w:p>
    <w:p w14:paraId="0DB735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lang w:val="en-US"/>
        </w:rPr>
        <w:t xml:space="preserve">November 25 1941 Operation TYPHOON. The Wehrmarcht's final drive on Moscow begins. The attack reaches to within 20 miles of Moscow before it is halted by stiff resistance and bitter cold. </w:t>
      </w:r>
      <w:r w:rsidRPr="00640820">
        <w:rPr>
          <w:rFonts w:ascii="Times New Roman" w:hAnsi="Times New Roman"/>
          <w:color w:val="000000" w:themeColor="text1"/>
          <w:sz w:val="16"/>
          <w:szCs w:val="16"/>
        </w:rPr>
        <w:t>(1052).</w:t>
      </w:r>
    </w:p>
    <w:p w14:paraId="489262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2DE39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ноября 1941 закончилась операция Тайфун. Последнее наступление на Москву. Достигли расстояния в 20 км от Москвы перед тем, как началось контрнаступление и сильные морозы (1052).</w:t>
      </w:r>
    </w:p>
    <w:p w14:paraId="125148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367B3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ноября 1941 немцы 4ТГ отметили факт первого применения танков Мк III Валентайн против 2ТД в России. Часть экипажей взяли в плен и они ругали немецкие машины (3949,32).</w:t>
      </w:r>
    </w:p>
    <w:p w14:paraId="4C580B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8BD900D"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25 ноября </w:t>
      </w:r>
      <w:r w:rsidRPr="00640820">
        <w:rPr>
          <w:rFonts w:ascii="Times New Roman" w:hAnsi="Times New Roman"/>
          <w:color w:val="000000" w:themeColor="text1"/>
          <w:sz w:val="16"/>
          <w:szCs w:val="16"/>
        </w:rPr>
        <w:t>в 1941 году эскадренные миноносцы Северного флота «Громкий» и «Гремящий» совместно с английскими кораблями совершили набег на немецкую военноморскую базу в норвежском порту Варде (14840).</w:t>
      </w:r>
    </w:p>
    <w:p w14:paraId="4B4C342A" w14:textId="77777777" w:rsidR="00F30FFF" w:rsidRPr="00640820" w:rsidRDefault="00F30FFF" w:rsidP="00640820">
      <w:pPr>
        <w:spacing w:after="0" w:line="240" w:lineRule="auto"/>
        <w:jc w:val="both"/>
        <w:rPr>
          <w:rFonts w:ascii="Times New Roman" w:hAnsi="Times New Roman"/>
          <w:color w:val="000000" w:themeColor="text1"/>
          <w:sz w:val="16"/>
          <w:szCs w:val="16"/>
        </w:rPr>
      </w:pPr>
    </w:p>
    <w:p w14:paraId="457A093F"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25 ноября </w:t>
      </w:r>
      <w:r w:rsidRPr="00640820">
        <w:rPr>
          <w:rFonts w:ascii="Times New Roman" w:hAnsi="Times New Roman"/>
          <w:color w:val="000000" w:themeColor="text1"/>
          <w:sz w:val="16"/>
          <w:szCs w:val="16"/>
        </w:rPr>
        <w:t>в 1941 году соединения 2-й немецкой армии вышли на подступы к Кашире, продвинулись к Рязани и Скопину, создав угрозу прорыва к основным коммуникациям, связывающим Москву с центральными и восточными районами страны. Тула оказалась глубоко охваченной с востока (14840).</w:t>
      </w:r>
    </w:p>
    <w:p w14:paraId="75C1957E" w14:textId="77777777" w:rsidR="00F30FFF" w:rsidRPr="00640820" w:rsidRDefault="00F30FFF" w:rsidP="00640820">
      <w:pPr>
        <w:spacing w:after="0" w:line="240" w:lineRule="auto"/>
        <w:jc w:val="both"/>
        <w:rPr>
          <w:rFonts w:ascii="Times New Roman" w:hAnsi="Times New Roman"/>
          <w:color w:val="000000" w:themeColor="text1"/>
          <w:sz w:val="16"/>
          <w:szCs w:val="16"/>
        </w:rPr>
      </w:pPr>
    </w:p>
    <w:p w14:paraId="1E90FA49"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25 ноября </w:t>
      </w:r>
      <w:r w:rsidRPr="00640820">
        <w:rPr>
          <w:rFonts w:ascii="Times New Roman" w:hAnsi="Times New Roman"/>
          <w:color w:val="000000" w:themeColor="text1"/>
          <w:sz w:val="16"/>
          <w:szCs w:val="16"/>
        </w:rPr>
        <w:t>в 1941 году (25–27 ноября) немецкие войска заняли Скопин, однако вскоре были отброшены контрударом войск Западного фронта (14840).</w:t>
      </w:r>
    </w:p>
    <w:p w14:paraId="3ADE9192" w14:textId="77777777" w:rsidR="00F30FFF" w:rsidRPr="00640820" w:rsidRDefault="00F30FFF" w:rsidP="00640820">
      <w:pPr>
        <w:spacing w:after="0" w:line="240" w:lineRule="auto"/>
        <w:jc w:val="both"/>
        <w:rPr>
          <w:rFonts w:ascii="Times New Roman" w:hAnsi="Times New Roman"/>
          <w:color w:val="000000" w:themeColor="text1"/>
          <w:sz w:val="16"/>
          <w:szCs w:val="16"/>
        </w:rPr>
      </w:pPr>
    </w:p>
    <w:p w14:paraId="67D52BBE"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25 ноября 1941 года надводный корабль-сторожевик «Бриз» (командир старший лейтенант В.А. Киреев) совершил первый на Северном флоте таран вражеской подводной лодки. Ноябрьской ночью сторожевик «Бриз», оставляя за кормой милю за милей, шел невидимой на море линией. На оперативной карте эта красная линия соединяла мысы Святой Нос и Канин Нос и называлась «линией дозора». Каждый член экипажа знал, что на «линии дозора» сторожевой корабль выполняет боевую задачу — он должен своевременно обнаружить надводные корабли или подводные лодки, сообщить об этом командованию и ни при каких условиях, даже жертвуя собой, не пропустить противника через охраняемый рубеж. «Бриз» в условиях плохой видимости обнаружил немецкую подводную лодку U-578. «Самый полный вперед!» – последовала команда. Стало ясно, что командир – старший лейтенант В.А. Киреев принял решение таранить лодку. Комиссар И.И. Мышкин передал в машину: «Идем на таран». По команде командира рулевой Теплов направил «Бриз» в середину лодки. За совершенный подвиг весь экипаж корабля был награжден орденами и медалями. Командир сторожевика старший лейтенант В.А. Киреев получил орден Красного Знамени (21191).</w:t>
      </w:r>
    </w:p>
    <w:p w14:paraId="77FC0E55" w14:textId="77777777" w:rsidR="009F466D" w:rsidRPr="00640820" w:rsidRDefault="009F466D" w:rsidP="00640820">
      <w:pPr>
        <w:spacing w:after="0" w:line="240" w:lineRule="auto"/>
        <w:jc w:val="both"/>
        <w:rPr>
          <w:rFonts w:ascii="Times New Roman" w:hAnsi="Times New Roman"/>
          <w:color w:val="0070C0"/>
          <w:sz w:val="16"/>
          <w:szCs w:val="16"/>
        </w:rPr>
      </w:pPr>
    </w:p>
    <w:p w14:paraId="078359B8"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5515ACDA"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B950C33" w14:textId="77777777" w:rsidR="007C62FB" w:rsidRPr="00640820" w:rsidRDefault="007C62F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ноября 1941 г. Приказ № СС-646/ц Наркома путей сообщения СССР Л. Кагановича (во исполнение постановления ГКО № 945сс от 22 ноября 1941 г.) о поручении Метрострою НКПС выполнения работ по строительству специальных командных пунктов – бомбоубежищ в городах Горьком, Казани, Куйбышеве, Саратове, Сталинграде, Ульяновске и Ярославле.</w:t>
      </w:r>
    </w:p>
    <w:p w14:paraId="6001D4AC" w14:textId="77777777" w:rsidR="007C62FB" w:rsidRPr="00640820" w:rsidRDefault="007C62F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Подлинник (рассекречено).</w:t>
      </w:r>
    </w:p>
    <w:p w14:paraId="4148A3A6" w14:textId="77777777" w:rsidR="007C62FB" w:rsidRPr="00640820" w:rsidRDefault="007C62F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РГАЭ ф. 1884, оп. 49, д. 1089, лл. 16 – 21. (18959).</w:t>
      </w:r>
    </w:p>
    <w:p w14:paraId="1ABAF6FE" w14:textId="77777777" w:rsidR="007C62FB" w:rsidRPr="00640820" w:rsidRDefault="007C62FB" w:rsidP="00640820">
      <w:pPr>
        <w:spacing w:after="0" w:line="240" w:lineRule="auto"/>
        <w:jc w:val="both"/>
        <w:rPr>
          <w:rFonts w:ascii="Times New Roman" w:hAnsi="Times New Roman"/>
          <w:color w:val="000000" w:themeColor="text1"/>
          <w:sz w:val="16"/>
          <w:szCs w:val="16"/>
        </w:rPr>
      </w:pPr>
    </w:p>
    <w:p w14:paraId="11A2200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ноября 1941 вышло Постановление ГКО № 958 Об изъятии по г. Москве неходовых грузовых автомашин. (7016, 7).</w:t>
      </w:r>
    </w:p>
    <w:p w14:paraId="13B3776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F84923"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5E1AAFAF"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0D2C2F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ноября 1941 нарком иностранных дел СССР В. Молотов выразил протест в связи с варварскими методами нацистов в отношении военнопленных (4962).</w:t>
      </w:r>
    </w:p>
    <w:p w14:paraId="708E30E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F710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ноября 1991 вышла нота НКИД послам всех стран, имевших с СССР дипотношения, о зверствах властей в отношении советских военнопленных (3186).</w:t>
      </w:r>
    </w:p>
    <w:p w14:paraId="363EA9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CE91891"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25 ноября </w:t>
      </w:r>
      <w:r w:rsidRPr="00640820">
        <w:rPr>
          <w:rFonts w:ascii="Times New Roman" w:hAnsi="Times New Roman"/>
          <w:color w:val="000000" w:themeColor="text1"/>
          <w:sz w:val="16"/>
          <w:szCs w:val="16"/>
        </w:rPr>
        <w:t>в 1941 году в "Известиях" опубликована нота НКИД СССР послам всех стран, с которыми СССР имеет дипломатические отношения. В ноте сообщалось о зверствах германских властей в отношении советских военнопленных (14840).</w:t>
      </w:r>
    </w:p>
    <w:p w14:paraId="35604446" w14:textId="77777777" w:rsidR="00F30FFF" w:rsidRPr="00640820" w:rsidRDefault="00F30FFF" w:rsidP="00640820">
      <w:pPr>
        <w:spacing w:after="0" w:line="240" w:lineRule="auto"/>
        <w:jc w:val="both"/>
        <w:rPr>
          <w:rFonts w:ascii="Times New Roman" w:hAnsi="Times New Roman"/>
          <w:color w:val="000000" w:themeColor="text1"/>
          <w:sz w:val="16"/>
          <w:szCs w:val="16"/>
        </w:rPr>
      </w:pPr>
    </w:p>
    <w:p w14:paraId="492803DA"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1F28948B"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D8A5C69"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 25 ноября по 5 декабря 1941 года на полигоне Рюгенвальде (Rugenwalde) в Померании, на побережье Балтийского моря состоялись официальные испытания и приемка «Доры», уже установленной на штатный железнодорожный транспортер. На церемонию официальной приемки орудия Альфред Крупп лично пригласил Адольфа Гитлера и Альберта Шпеера (министра вооружений).</w:t>
      </w:r>
    </w:p>
    <w:p w14:paraId="6007EA74" w14:textId="77777777" w:rsidR="009F466D" w:rsidRPr="00640820" w:rsidRDefault="009F466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1939 году Управление вооружений Вермахта заказало три таких орудия. В духе традиций фирмы, по которой строящиеся здесь тяжелые орудия назывались в честь членов семьи Круппов, первое 800-мм орудие первоначально получило неофициальное имя в честь старшего члена семьи — Густава Круппа фон Болен унд Хальбах (Gustav Krupp von Bohlen und Halbach) — «Тяжелый Густав» («Schwerer Gustav»). Правда, удивительным образом в историю это орудие вошло под другим именем — 80-см железнодорожная установка «Дора» (80 cm Kanone (Eisenbahn) «Dora»). По одной из версий, название «Дора» установке присвоили обслуживающие ее артиллеристы и произошло оно от сокращения немецкого выражения «douner und doria» — «черт возьми!», которое невольно восклицал каждый, кто впервые видел этого монстра. По другой версии, «Дора» — это имя жены главного инженера фирмы. По третьей, «Дора» — это название местечка, где стоял гарнизон с этим орудием (22897).</w:t>
      </w:r>
    </w:p>
    <w:p w14:paraId="2ABA5AD4" w14:textId="77777777" w:rsidR="009F466D" w:rsidRPr="00640820" w:rsidRDefault="009F466D" w:rsidP="00640820">
      <w:pPr>
        <w:spacing w:after="0" w:line="240" w:lineRule="auto"/>
        <w:jc w:val="both"/>
        <w:rPr>
          <w:rFonts w:ascii="Times New Roman" w:hAnsi="Times New Roman"/>
          <w:color w:val="0070C0"/>
          <w:sz w:val="16"/>
          <w:szCs w:val="16"/>
        </w:rPr>
      </w:pPr>
    </w:p>
    <w:p w14:paraId="72D763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ноября 1941 министерство вооружений и боеприпасов Рейха поручило фирме Даймлер-Бенц и MAN выпустить машину, превосходящую Т-34 и появилась Пантера (355,9).</w:t>
      </w:r>
    </w:p>
    <w:p w14:paraId="4C1F57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97AFB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rPr>
        <w:t xml:space="preserve">25 ноября 1941 г. Министерство вооружения поручило фирмам "Даймлер-Бенц" и MAN разработать новый средний танк, исходя из характеристик Т-34. Но, конечно, он должен был превосходить свой прототип во всех отношениях. </w:t>
      </w:r>
      <w:r w:rsidRPr="00640820">
        <w:rPr>
          <w:rFonts w:ascii="Times New Roman" w:hAnsi="Times New Roman"/>
          <w:color w:val="000000" w:themeColor="text1"/>
          <w:sz w:val="16"/>
          <w:szCs w:val="16"/>
          <w:lang w:val="en-US"/>
        </w:rPr>
        <w:t xml:space="preserve">(3862). </w:t>
      </w:r>
      <w:r w:rsidRPr="00640820">
        <w:rPr>
          <w:rFonts w:ascii="Times New Roman" w:hAnsi="Times New Roman"/>
          <w:color w:val="000000" w:themeColor="text1"/>
          <w:sz w:val="16"/>
          <w:szCs w:val="16"/>
        </w:rPr>
        <w:t>Появиласьпантера</w:t>
      </w:r>
      <w:r w:rsidRPr="00640820">
        <w:rPr>
          <w:rFonts w:ascii="Times New Roman" w:hAnsi="Times New Roman"/>
          <w:color w:val="000000" w:themeColor="text1"/>
          <w:sz w:val="16"/>
          <w:szCs w:val="16"/>
          <w:lang w:val="en-US"/>
        </w:rPr>
        <w:t xml:space="preserve"> (3848,70).</w:t>
      </w:r>
    </w:p>
    <w:p w14:paraId="2E1210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05FD4C96" w14:textId="77777777" w:rsidR="00F30FFF" w:rsidRPr="00640820" w:rsidRDefault="00F30FFF"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November 25 1941 Renewal for five years of the Anti-Comintern Pact of November 25, 1936 at Berlin, by Germany, Japan, Italy, Hungary, Spain, Manchukuo, Bulgaria, Croatia, Denmark, Finland, Rumania, Slovakia, and the Nanking regime in China (1223).</w:t>
      </w:r>
    </w:p>
    <w:p w14:paraId="616FD5E1" w14:textId="77777777" w:rsidR="00F30FFF" w:rsidRPr="00640820" w:rsidRDefault="00F30FFF"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1A6D0C35" w14:textId="77777777" w:rsidR="00F30FFF" w:rsidRPr="00640820" w:rsidRDefault="00F30FF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ноября 1941 был возобновлен на 5 лет Антикоминтерновский пакт, подписанный в Берлине 25 ноября 1936. Подписали Германия, Япония, Италия, Венгрия, Испания, Манчжурия, Болгария, Хорватия, Дания, Финляндия, Румыния, Словакия и нанкинский режим в Китае (1223).</w:t>
      </w:r>
    </w:p>
    <w:p w14:paraId="6479FD35" w14:textId="77777777" w:rsidR="00F30FFF" w:rsidRPr="00640820" w:rsidRDefault="00F30FFF" w:rsidP="00640820">
      <w:pPr>
        <w:autoSpaceDE w:val="0"/>
        <w:autoSpaceDN w:val="0"/>
        <w:adjustRightInd w:val="0"/>
        <w:spacing w:after="0" w:line="240" w:lineRule="auto"/>
        <w:jc w:val="both"/>
        <w:rPr>
          <w:rFonts w:ascii="Times New Roman" w:hAnsi="Times New Roman"/>
          <w:color w:val="000000" w:themeColor="text1"/>
          <w:sz w:val="16"/>
          <w:szCs w:val="16"/>
        </w:rPr>
      </w:pPr>
    </w:p>
    <w:p w14:paraId="36F3BDAF"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25 ноября </w:t>
      </w:r>
      <w:r w:rsidRPr="00640820">
        <w:rPr>
          <w:rFonts w:ascii="Times New Roman" w:hAnsi="Times New Roman"/>
          <w:color w:val="000000" w:themeColor="text1"/>
          <w:sz w:val="16"/>
          <w:szCs w:val="16"/>
        </w:rPr>
        <w:t>в 1941 году Германия, Италия, Япония, Венгрия, Испания и Манчжурия подписали протокол о продлении Антикоминтерновского Пакта еще на пять лет. К Антикомминтерновскому Пакту присоединились Дания, вишистское правительство Франции, Словакия, Хорватия, а также ванцзинвэевское правительство Китая (14840).</w:t>
      </w:r>
    </w:p>
    <w:p w14:paraId="3FC0BDD6" w14:textId="77777777" w:rsidR="00F30FFF" w:rsidRPr="00640820" w:rsidRDefault="00F30FFF" w:rsidP="00640820">
      <w:pPr>
        <w:spacing w:after="0" w:line="240" w:lineRule="auto"/>
        <w:jc w:val="both"/>
        <w:rPr>
          <w:rFonts w:ascii="Times New Roman" w:hAnsi="Times New Roman"/>
          <w:color w:val="000000" w:themeColor="text1"/>
          <w:sz w:val="16"/>
          <w:szCs w:val="16"/>
        </w:rPr>
      </w:pPr>
    </w:p>
    <w:p w14:paraId="603F9D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November 25, 1941: U-331 (Kplt. Tiesenhausen) sinks the British battleship Barham in the Mediterranean (3819).</w:t>
      </w:r>
    </w:p>
    <w:p w14:paraId="03929A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2A2BAD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ноября 1941 немецкая п/л потопила британский линкор Бархэм под Эс-Саллумом (3186).</w:t>
      </w:r>
    </w:p>
    <w:p w14:paraId="68ACC3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6CB325C"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25 ноября </w:t>
      </w:r>
      <w:r w:rsidRPr="00640820">
        <w:rPr>
          <w:rFonts w:ascii="Times New Roman" w:hAnsi="Times New Roman"/>
          <w:color w:val="000000" w:themeColor="text1"/>
          <w:sz w:val="16"/>
          <w:szCs w:val="16"/>
        </w:rPr>
        <w:t>в 1941 году в Средиземном море британский линкор "Бархэм" («Barham») был торпедирован немецкой подводной лодкой U331 в районе Эс-Салума и затонул, 858 человек погибли (14840).</w:t>
      </w:r>
    </w:p>
    <w:p w14:paraId="7C57D187" w14:textId="77777777" w:rsidR="00F30FFF" w:rsidRPr="00640820" w:rsidRDefault="00F30FFF" w:rsidP="00640820">
      <w:pPr>
        <w:spacing w:after="0" w:line="240" w:lineRule="auto"/>
        <w:jc w:val="both"/>
        <w:rPr>
          <w:rFonts w:ascii="Times New Roman" w:hAnsi="Times New Roman"/>
          <w:color w:val="000000" w:themeColor="text1"/>
          <w:sz w:val="16"/>
          <w:szCs w:val="16"/>
        </w:rPr>
      </w:pPr>
    </w:p>
    <w:p w14:paraId="500E2DA4"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4AF9C152"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A7A51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ноября 1941 г. после обсуждения предложения С.В.Ильюшина вышло Постановление ГКО о постройке на за</w:t>
      </w:r>
      <w:r w:rsidRPr="00640820">
        <w:rPr>
          <w:rFonts w:ascii="Times New Roman" w:hAnsi="Times New Roman"/>
          <w:color w:val="000000" w:themeColor="text1"/>
          <w:sz w:val="16"/>
          <w:szCs w:val="16"/>
        </w:rPr>
        <w:softHyphen/>
        <w:t>воде № 18 войсковой серии Ил-2 с ШФК-37 в количестве 20 машин. Ввиду сильной загруженности ОКБ и серийного завода налаживанием беспе</w:t>
      </w:r>
      <w:r w:rsidRPr="00640820">
        <w:rPr>
          <w:rFonts w:ascii="Times New Roman" w:hAnsi="Times New Roman"/>
          <w:color w:val="000000" w:themeColor="text1"/>
          <w:sz w:val="16"/>
          <w:szCs w:val="16"/>
        </w:rPr>
        <w:softHyphen/>
        <w:t>ребойного производства "Илов" на но</w:t>
      </w:r>
      <w:r w:rsidRPr="00640820">
        <w:rPr>
          <w:rFonts w:ascii="Times New Roman" w:hAnsi="Times New Roman"/>
          <w:color w:val="000000" w:themeColor="text1"/>
          <w:sz w:val="16"/>
          <w:szCs w:val="16"/>
        </w:rPr>
        <w:softHyphen/>
        <w:t>вом месте в Куйбышеве постройка вой</w:t>
      </w:r>
      <w:r w:rsidRPr="00640820">
        <w:rPr>
          <w:rFonts w:ascii="Times New Roman" w:hAnsi="Times New Roman"/>
          <w:color w:val="000000" w:themeColor="text1"/>
          <w:sz w:val="16"/>
          <w:szCs w:val="16"/>
        </w:rPr>
        <w:softHyphen/>
        <w:t>сковой серии Ил-2 с пушками ШФК-37 затянулась до сентября 1942-го, при этом вместо 20 было построено только 9 ма</w:t>
      </w:r>
      <w:r w:rsidRPr="00640820">
        <w:rPr>
          <w:rFonts w:ascii="Times New Roman" w:hAnsi="Times New Roman"/>
          <w:color w:val="000000" w:themeColor="text1"/>
          <w:sz w:val="16"/>
          <w:szCs w:val="16"/>
        </w:rPr>
        <w:softHyphen/>
        <w:t>шин (то есть всего 10 самолетов этого типа, включая один опытный "Ил"), кото</w:t>
      </w:r>
      <w:r w:rsidRPr="00640820">
        <w:rPr>
          <w:rFonts w:ascii="Times New Roman" w:hAnsi="Times New Roman"/>
          <w:color w:val="000000" w:themeColor="text1"/>
          <w:sz w:val="16"/>
          <w:szCs w:val="16"/>
        </w:rPr>
        <w:softHyphen/>
        <w:t>рые после проведения летчиком-испытателем Е.Н.Ломакиным заводских ис</w:t>
      </w:r>
      <w:r w:rsidRPr="00640820">
        <w:rPr>
          <w:rFonts w:ascii="Times New Roman" w:hAnsi="Times New Roman"/>
          <w:color w:val="000000" w:themeColor="text1"/>
          <w:sz w:val="16"/>
          <w:szCs w:val="16"/>
        </w:rPr>
        <w:softHyphen/>
        <w:t>пытаний и были направлены под Ста</w:t>
      </w:r>
      <w:r w:rsidRPr="00640820">
        <w:rPr>
          <w:rFonts w:ascii="Times New Roman" w:hAnsi="Times New Roman"/>
          <w:color w:val="000000" w:themeColor="text1"/>
          <w:sz w:val="16"/>
          <w:szCs w:val="16"/>
        </w:rPr>
        <w:softHyphen/>
        <w:t xml:space="preserve">линград в состав 228-й </w:t>
      </w:r>
      <w:r w:rsidRPr="00640820">
        <w:rPr>
          <w:rFonts w:ascii="Times New Roman" w:hAnsi="Times New Roman"/>
          <w:iCs/>
          <w:color w:val="000000" w:themeColor="text1"/>
          <w:sz w:val="16"/>
          <w:szCs w:val="16"/>
        </w:rPr>
        <w:t>шад</w:t>
      </w:r>
      <w:r w:rsidRPr="00640820">
        <w:rPr>
          <w:rFonts w:ascii="Times New Roman" w:hAnsi="Times New Roman"/>
          <w:color w:val="000000" w:themeColor="text1"/>
          <w:sz w:val="16"/>
          <w:szCs w:val="16"/>
        </w:rPr>
        <w:t xml:space="preserve"> 16-й ВА Донского фронта (6467).</w:t>
      </w:r>
    </w:p>
    <w:p w14:paraId="718F35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DFD65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ноября 1941 г. вышло Постановление ГКО о постройке на заводе № 18 калибра 37мм ШФК-37. к 15 января 1942 г. 20 Ил-2 с ШФК-37 вой- Государственные сковой серии. Однако в связи с эвакуацией испытания, 1941 г. 18-го завода это задание выполнено не было (12020).</w:t>
      </w:r>
    </w:p>
    <w:p w14:paraId="1D3B23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0DF746E" w14:textId="77777777" w:rsidR="004673CC" w:rsidRPr="00640820" w:rsidRDefault="004673CC"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26 ноября 1941 вышло постанов</w:t>
      </w:r>
      <w:r w:rsidRPr="00640820">
        <w:rPr>
          <w:color w:val="000000" w:themeColor="text1"/>
          <w:sz w:val="16"/>
          <w:szCs w:val="16"/>
        </w:rPr>
        <w:softHyphen/>
        <w:t>ление ГКО, согласно которому авиазаводам № 21 и № 18 ставилась задача построить по 20 самоле</w:t>
      </w:r>
      <w:r w:rsidRPr="00640820">
        <w:rPr>
          <w:color w:val="000000" w:themeColor="text1"/>
          <w:sz w:val="16"/>
          <w:szCs w:val="16"/>
        </w:rPr>
        <w:softHyphen/>
        <w:t>тов ЛаГГ-3 и Ил-2 с Ш-37, а заводу № 74 НКВ — из</w:t>
      </w:r>
      <w:r w:rsidRPr="00640820">
        <w:rPr>
          <w:color w:val="000000" w:themeColor="text1"/>
          <w:sz w:val="16"/>
          <w:szCs w:val="16"/>
        </w:rPr>
        <w:softHyphen/>
        <w:t>готовить и поставить наркомату авиапромышлен</w:t>
      </w:r>
      <w:r w:rsidRPr="00640820">
        <w:rPr>
          <w:color w:val="000000" w:themeColor="text1"/>
          <w:sz w:val="16"/>
          <w:szCs w:val="16"/>
        </w:rPr>
        <w:softHyphen/>
        <w:t>ности к концу года 60 пушек этого типа.</w:t>
      </w:r>
    </w:p>
    <w:p w14:paraId="17824E32" w14:textId="77777777" w:rsidR="004673CC" w:rsidRPr="00640820" w:rsidRDefault="004673CC"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По некоторым данным, авиазавод № 21 к концу 1941 г. успел построить 7 ЛаГГ-3 с Ш-37, а в I квартале следующего года еще 10 машин этого типа.</w:t>
      </w:r>
    </w:p>
    <w:p w14:paraId="7CFE8A69" w14:textId="77777777" w:rsidR="004673CC" w:rsidRPr="00640820" w:rsidRDefault="004673CC"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Отметим, что, по всей видимости, Ил-2 зав. № 1861704 с пушками Ш-37 в ноябре—декабре 1941 г. проходил испытания на боевое применение в 312-м шап 47-й сад ВВС Западного фронта и полу</w:t>
      </w:r>
      <w:r w:rsidRPr="00640820">
        <w:rPr>
          <w:color w:val="000000" w:themeColor="text1"/>
          <w:sz w:val="16"/>
          <w:szCs w:val="16"/>
        </w:rPr>
        <w:softHyphen/>
        <w:t>чил отрицательную оценку. «Летный состав и веду</w:t>
      </w:r>
      <w:r w:rsidRPr="00640820">
        <w:rPr>
          <w:color w:val="000000" w:themeColor="text1"/>
          <w:sz w:val="16"/>
          <w:szCs w:val="16"/>
        </w:rPr>
        <w:softHyphen/>
        <w:t>щие сильно возражают против постановки на Ил-2 2 37-мм пушек...» — отмечалось в одном из докла</w:t>
      </w:r>
      <w:r w:rsidRPr="00640820">
        <w:rPr>
          <w:color w:val="000000" w:themeColor="text1"/>
          <w:sz w:val="16"/>
          <w:szCs w:val="16"/>
        </w:rPr>
        <w:softHyphen/>
        <w:t>дов командира 312-го шап подполковника Помор- цева.</w:t>
      </w:r>
    </w:p>
    <w:p w14:paraId="4C10D6F7" w14:textId="77777777" w:rsidR="004673CC" w:rsidRPr="00640820" w:rsidRDefault="004673CC"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В материалах штаба ВВС КА также имеются све</w:t>
      </w:r>
      <w:r w:rsidRPr="00640820">
        <w:rPr>
          <w:color w:val="000000" w:themeColor="text1"/>
          <w:sz w:val="16"/>
          <w:szCs w:val="16"/>
        </w:rPr>
        <w:softHyphen/>
        <w:t>дения о боевом использовании этого Ил-2. В до</w:t>
      </w:r>
      <w:r w:rsidRPr="00640820">
        <w:rPr>
          <w:color w:val="000000" w:themeColor="text1"/>
          <w:sz w:val="16"/>
          <w:szCs w:val="16"/>
        </w:rPr>
        <w:softHyphen/>
        <w:t>кладе Оперативного управления штаба от 27 мая 1942 г. в качестве основных недостатков установ</w:t>
      </w:r>
      <w:r w:rsidRPr="00640820">
        <w:rPr>
          <w:color w:val="000000" w:themeColor="text1"/>
          <w:sz w:val="16"/>
          <w:szCs w:val="16"/>
        </w:rPr>
        <w:softHyphen/>
        <w:t>ки Ш-37 на Ил-2 указывалось, что вследствие не</w:t>
      </w:r>
      <w:r w:rsidRPr="00640820">
        <w:rPr>
          <w:color w:val="000000" w:themeColor="text1"/>
          <w:sz w:val="16"/>
          <w:szCs w:val="16"/>
        </w:rPr>
        <w:softHyphen/>
        <w:t>большого темпа стрельбы пушек (в среднем 169 выстрелов в мину</w:t>
      </w:r>
      <w:r w:rsidRPr="00640820">
        <w:rPr>
          <w:color w:val="000000" w:themeColor="text1"/>
          <w:sz w:val="16"/>
          <w:szCs w:val="16"/>
        </w:rPr>
        <w:softHyphen/>
        <w:t>ту) летчик в реальных условиях боя не успевает «сразу использовать весь боекомплект в одном заходе». Кроме этого, увеличение полетного веса противотанкового Ил-2 в срав</w:t>
      </w:r>
      <w:r w:rsidRPr="00640820">
        <w:rPr>
          <w:color w:val="000000" w:themeColor="text1"/>
          <w:sz w:val="16"/>
          <w:szCs w:val="16"/>
        </w:rPr>
        <w:softHyphen/>
        <w:t>нении с серийным самолетом Ил-2 снижало возможности по выполне</w:t>
      </w:r>
      <w:r w:rsidRPr="00640820">
        <w:rPr>
          <w:color w:val="000000" w:themeColor="text1"/>
          <w:sz w:val="16"/>
          <w:szCs w:val="16"/>
        </w:rPr>
        <w:softHyphen/>
        <w:t>нию эффективного противозенит</w:t>
      </w:r>
      <w:r w:rsidRPr="00640820">
        <w:rPr>
          <w:color w:val="000000" w:themeColor="text1"/>
          <w:sz w:val="16"/>
          <w:szCs w:val="16"/>
        </w:rPr>
        <w:softHyphen/>
        <w:t>ного маневра. Штурмовику явно не хватало мощности мотора. Предла</w:t>
      </w:r>
      <w:r w:rsidRPr="00640820">
        <w:rPr>
          <w:color w:val="000000" w:themeColor="text1"/>
          <w:sz w:val="16"/>
          <w:szCs w:val="16"/>
        </w:rPr>
        <w:softHyphen/>
        <w:t>галось на Ил-2 в противотанковом варианте устанавливать 8 ракетных орудий РО-132 для стрельбы бро</w:t>
      </w:r>
      <w:r w:rsidRPr="00640820">
        <w:rPr>
          <w:color w:val="000000" w:themeColor="text1"/>
          <w:sz w:val="16"/>
          <w:szCs w:val="16"/>
        </w:rPr>
        <w:softHyphen/>
        <w:t>небойными снарядами РБС-132 или осколочно-фугасными снарядами от гвардейских минометов М-13, которые должны были стать основ</w:t>
      </w:r>
      <w:r w:rsidRPr="00640820">
        <w:rPr>
          <w:color w:val="000000" w:themeColor="text1"/>
          <w:sz w:val="16"/>
          <w:szCs w:val="16"/>
        </w:rPr>
        <w:softHyphen/>
        <w:t>ным оружием самолета (17500).</w:t>
      </w:r>
    </w:p>
    <w:p w14:paraId="3D13AADB" w14:textId="77777777" w:rsidR="004673CC" w:rsidRPr="00640820" w:rsidRDefault="004673CC" w:rsidP="00640820">
      <w:pPr>
        <w:spacing w:after="0" w:line="240" w:lineRule="auto"/>
        <w:jc w:val="both"/>
        <w:rPr>
          <w:rFonts w:ascii="Times New Roman" w:eastAsia="Times New Roman" w:hAnsi="Times New Roman"/>
          <w:color w:val="000000" w:themeColor="text1"/>
          <w:sz w:val="16"/>
          <w:szCs w:val="16"/>
          <w:lang w:eastAsia="ru-RU"/>
        </w:rPr>
      </w:pPr>
    </w:p>
    <w:p w14:paraId="676AC78A" w14:textId="77777777" w:rsidR="009F466D" w:rsidRPr="00640820" w:rsidRDefault="009F466D" w:rsidP="00640820">
      <w:pPr>
        <w:shd w:val="clear" w:color="auto" w:fill="FFFFFF"/>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26 ноября 1941 г. чтобы дать их фронту в необходимых количествах, надо было найти дополнительные мощности для производства и самолетов Ил-2, и моторов АМ-38. Шахурин издал приказ №1152сс:</w:t>
      </w:r>
    </w:p>
    <w:p w14:paraId="0675DF44" w14:textId="77777777" w:rsidR="009F466D" w:rsidRPr="00640820" w:rsidRDefault="009F466D" w:rsidP="00640820">
      <w:pPr>
        <w:shd w:val="clear" w:color="auto" w:fill="FFFFFF"/>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целях обеспечения быстрейшего освоения и максимального выпуска самолетов Ил-2 на заводе 1 приказываю: 1. Директору завода 1 Третьякову немедленно прекратить задел по самолету МиГ</w:t>
      </w:r>
      <w:r w:rsidRPr="00640820">
        <w:rPr>
          <w:rFonts w:ascii="Times New Roman" w:hAnsi="Times New Roman"/>
          <w:color w:val="0070C0"/>
          <w:sz w:val="16"/>
          <w:szCs w:val="16"/>
        </w:rPr>
        <w:noBreakHyphen/>
        <w:t>3 по всем цехам, выпустив самолеты МиГ-3 только имеющиеся в сборочном цехе… 2. Директору завода 1 принять все меры к быстрейшему максимальному выпуску самолетов Ил-2. Станочный парк всех цехов направить немедленно на изготовление деталей самолета Ил-2».</w:t>
      </w:r>
    </w:p>
    <w:p w14:paraId="7302D6EB" w14:textId="77777777" w:rsidR="009F466D" w:rsidRPr="00640820" w:rsidRDefault="009F466D" w:rsidP="00640820">
      <w:pPr>
        <w:shd w:val="clear" w:color="auto" w:fill="FFFFFF"/>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Но задел узлов и крупных агрегатов МиГ-3 оставался и в остальных цехах, и производство их вопреки команде сверху продолжалось. С одной стороны, это было правильно – на изготовление всего этого «неликвида» уже были потрачены немалые ресурсы, материальные и человеческие, и то, и другое было теперь на вес золота. Истребитель Микояна по-прежнему оставался дешевле ЛаГГ-3: его отпускная цена с групповыми комплектами ЗИП (запчасти и принадлежности, необходимые для полевой эксплуатации в расчетный период) и с предоплатой за полевой ремонт была 230 000 руб. против 310 000, но Як-1 был уже дешевле – порядка 190 000 (23185).</w:t>
      </w:r>
    </w:p>
    <w:p w14:paraId="4EFBDD72" w14:textId="77777777" w:rsidR="009F466D" w:rsidRPr="00640820" w:rsidRDefault="009F466D" w:rsidP="00640820">
      <w:pPr>
        <w:shd w:val="clear" w:color="auto" w:fill="FFFFFF"/>
        <w:spacing w:after="0" w:line="240" w:lineRule="auto"/>
        <w:jc w:val="both"/>
        <w:rPr>
          <w:rFonts w:ascii="Times New Roman" w:hAnsi="Times New Roman"/>
          <w:color w:val="0070C0"/>
          <w:sz w:val="16"/>
          <w:szCs w:val="16"/>
        </w:rPr>
      </w:pPr>
    </w:p>
    <w:p w14:paraId="368E675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w:t>
      </w:r>
      <w:r w:rsidR="004673CC" w:rsidRPr="00640820">
        <w:rPr>
          <w:rFonts w:ascii="Times New Roman" w:hAnsi="Times New Roman"/>
          <w:color w:val="000000" w:themeColor="text1"/>
          <w:sz w:val="16"/>
          <w:szCs w:val="16"/>
        </w:rPr>
        <w:t xml:space="preserve"> </w:t>
      </w:r>
      <w:r w:rsidRPr="00640820">
        <w:rPr>
          <w:rFonts w:ascii="Times New Roman" w:hAnsi="Times New Roman"/>
          <w:color w:val="000000" w:themeColor="text1"/>
          <w:sz w:val="16"/>
          <w:szCs w:val="16"/>
        </w:rPr>
        <w:t>ноября 1941 в Куйбышев директору объединенного за</w:t>
      </w:r>
      <w:r w:rsidRPr="00640820">
        <w:rPr>
          <w:rFonts w:ascii="Times New Roman" w:hAnsi="Times New Roman"/>
          <w:color w:val="000000" w:themeColor="text1"/>
          <w:sz w:val="16"/>
          <w:szCs w:val="16"/>
        </w:rPr>
        <w:softHyphen/>
        <w:t>вода, получившего № 1, пришла правительственная телеграмма:</w:t>
      </w:r>
    </w:p>
    <w:p w14:paraId="101EDE3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целях обеспечения быстрейшего освоения и максимального выпуска самолетов Ил—2 на заводе № 1 приказываю:</w:t>
      </w:r>
    </w:p>
    <w:p w14:paraId="0B3F3ED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1. Директору завода № 1 Третьякову немедленно прекратить выполнение задания по самолету МиГ—3 по всем цехам, выпустив самолеты МиГ—3, только имеющиеся в сборочном цехе.</w:t>
      </w:r>
    </w:p>
    <w:p w14:paraId="1459AE2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Директору завода № 1 Третьякову принять все меры к быстрейшему максимальному выпуску само</w:t>
      </w:r>
      <w:r w:rsidRPr="00640820">
        <w:rPr>
          <w:rFonts w:ascii="Times New Roman" w:hAnsi="Times New Roman"/>
          <w:color w:val="000000" w:themeColor="text1"/>
          <w:sz w:val="16"/>
          <w:szCs w:val="16"/>
        </w:rPr>
        <w:softHyphen/>
        <w:t>летов Ил—2. Станочный парк всех цехов немедленно направить на изготовление деталей самолета Ил—2.</w:t>
      </w:r>
    </w:p>
    <w:p w14:paraId="4F7B841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 мерах исполнения доложить немедленно.</w:t>
      </w:r>
    </w:p>
    <w:p w14:paraId="5086F90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Шахурин».</w:t>
      </w:r>
    </w:p>
    <w:p w14:paraId="650BCAB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документе стояла резолюция: «Утверждаю. Сталин» (9984).</w:t>
      </w:r>
    </w:p>
    <w:p w14:paraId="106BEA0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FCEBF4" w14:textId="77777777" w:rsidR="00165A9C" w:rsidRPr="00640820" w:rsidRDefault="00165A9C" w:rsidP="00640820">
      <w:pPr>
        <w:widowControl w:val="0"/>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26 ноября 1941 г. Шахурин издал приказ </w:t>
      </w:r>
      <w:r w:rsidRPr="00640820">
        <w:rPr>
          <w:rFonts w:ascii="Times New Roman" w:hAnsi="Times New Roman"/>
          <w:color w:val="000000" w:themeColor="text1"/>
          <w:sz w:val="16"/>
          <w:szCs w:val="16"/>
          <w:lang w:val="en-US"/>
        </w:rPr>
        <w:t>N</w:t>
      </w:r>
      <w:r w:rsidRPr="00640820">
        <w:rPr>
          <w:rFonts w:ascii="Times New Roman" w:hAnsi="Times New Roman"/>
          <w:color w:val="000000" w:themeColor="text1"/>
          <w:sz w:val="16"/>
          <w:szCs w:val="16"/>
        </w:rPr>
        <w:t>91152сс: «В целях обеспечения быстрей</w:t>
      </w:r>
      <w:r w:rsidRPr="00640820">
        <w:rPr>
          <w:rFonts w:ascii="Times New Roman" w:hAnsi="Times New Roman"/>
          <w:color w:val="000000" w:themeColor="text1"/>
          <w:sz w:val="16"/>
          <w:szCs w:val="16"/>
        </w:rPr>
        <w:softHyphen/>
        <w:t>шего освоения и максимального выпуска самолетов Ил-2 на заводе 1 приказываю:</w:t>
      </w:r>
    </w:p>
    <w:p w14:paraId="7FF49CF8" w14:textId="77777777" w:rsidR="00165A9C" w:rsidRPr="00640820" w:rsidRDefault="00165A9C" w:rsidP="00640820">
      <w:pPr>
        <w:widowControl w:val="0"/>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Директору завода 1 Третьякову не</w:t>
      </w:r>
      <w:r w:rsidRPr="00640820">
        <w:rPr>
          <w:rFonts w:ascii="Times New Roman" w:hAnsi="Times New Roman"/>
          <w:color w:val="000000" w:themeColor="text1"/>
          <w:sz w:val="16"/>
          <w:szCs w:val="16"/>
        </w:rPr>
        <w:softHyphen/>
        <w:t>медленно прекратить задел по самолету МиГ-3 по всем цехам, выпустив самолеты МиГ-3 только имеющиеся в сборочном цехе.</w:t>
      </w:r>
    </w:p>
    <w:p w14:paraId="6636D22C" w14:textId="77777777" w:rsidR="00165A9C" w:rsidRPr="00640820" w:rsidRDefault="00165A9C" w:rsidP="00640820">
      <w:pPr>
        <w:autoSpaceDE w:val="0"/>
        <w:autoSpaceDN w:val="0"/>
        <w:adjustRightInd w:val="0"/>
        <w:spacing w:after="0" w:line="240" w:lineRule="auto"/>
        <w:jc w:val="both"/>
        <w:rPr>
          <w:rFonts w:ascii="Times New Roman" w:hAnsi="Times New Roman"/>
          <w:noProof/>
          <w:color w:val="000000" w:themeColor="text1"/>
          <w:sz w:val="16"/>
          <w:szCs w:val="16"/>
        </w:rPr>
      </w:pPr>
      <w:r w:rsidRPr="00640820">
        <w:rPr>
          <w:rFonts w:ascii="Times New Roman" w:hAnsi="Times New Roman"/>
          <w:noProof/>
          <w:color w:val="000000" w:themeColor="text1"/>
          <w:sz w:val="16"/>
          <w:szCs w:val="16"/>
        </w:rPr>
        <w:t>2. Директору завода 1 принять все меры к быстрейшему максимальному выпуску самолетов Ил-2. Станочный парк всех цехов направить немедленно на изготовление деталей само</w:t>
      </w:r>
      <w:r w:rsidRPr="00640820">
        <w:rPr>
          <w:rFonts w:ascii="Times New Roman" w:hAnsi="Times New Roman"/>
          <w:noProof/>
          <w:color w:val="000000" w:themeColor="text1"/>
          <w:sz w:val="16"/>
          <w:szCs w:val="16"/>
        </w:rPr>
        <w:softHyphen/>
        <w:t>лета Ил-2»</w:t>
      </w:r>
      <w:r w:rsidRPr="00640820">
        <w:rPr>
          <w:rFonts w:ascii="Times New Roman" w:hAnsi="Times New Roman"/>
          <w:color w:val="000000" w:themeColor="text1"/>
          <w:sz w:val="16"/>
          <w:szCs w:val="16"/>
        </w:rPr>
        <w:t xml:space="preserve"> (11938)</w:t>
      </w:r>
      <w:r w:rsidRPr="00640820">
        <w:rPr>
          <w:rFonts w:ascii="Times New Roman" w:hAnsi="Times New Roman"/>
          <w:noProof/>
          <w:color w:val="000000" w:themeColor="text1"/>
          <w:sz w:val="16"/>
          <w:szCs w:val="16"/>
        </w:rPr>
        <w:t>.</w:t>
      </w:r>
    </w:p>
    <w:p w14:paraId="6029DA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0AC2A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ноября 1941 г. вышло постановление ГКО о постройке на заводе № 18 вой</w:t>
      </w:r>
      <w:r w:rsidRPr="00640820">
        <w:rPr>
          <w:rFonts w:ascii="Times New Roman" w:hAnsi="Times New Roman"/>
          <w:color w:val="000000" w:themeColor="text1"/>
          <w:sz w:val="16"/>
          <w:szCs w:val="16"/>
        </w:rPr>
        <w:softHyphen/>
        <w:t>сковой серии Ил-2 с ШФК-37 в количестве 20 машин (10695).</w:t>
      </w:r>
    </w:p>
    <w:p w14:paraId="27E98F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64391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ноября 1941 вышел приказ НКАП N 1152сс "В целях обеспечения быстрейшего освоения и максимального выпуска самолетов Ил-2 на заводе 1 приказываю:</w:t>
      </w:r>
    </w:p>
    <w:p w14:paraId="292FC9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Директору завода 1 Третьякову немедленно прекратить задел по самолету МиГ-3 по всем цехам, выпустив самолеты МиГ-3 только имеющиеся в сборочном цехе</w:t>
      </w:r>
    </w:p>
    <w:p w14:paraId="29526D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Директору завода 1 принять все меры к быстрейшему максимальному выпуску самолетов Ил-2. Станочный парк всех цехов направить немедленно на изготовление деталей самолета Ил-2. Подписал А.И.Ш., но в тот же день приказ был утвержден лично И.В.С. (1331,39).</w:t>
      </w:r>
    </w:p>
    <w:p w14:paraId="5A330E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3CE4B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ноября 1941 г. Сталин послал на авиазавод №1, носивший его имя, телеграмму, которая предписывала прекратить сборку истребителей МиГ-3. Директор завода получал разрешение выпустить только те МиГи, которые находились в сборочном цехе (4537).</w:t>
      </w:r>
    </w:p>
    <w:p w14:paraId="4C2D29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BA334B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ноября 1941 директору завода № 1 А.Т. Третьякову приказывалось немедленно прекратить выпуск истребителей МиГ-3 и полностью сосредоточиться на производстве штурмо</w:t>
      </w:r>
      <w:r w:rsidRPr="00640820">
        <w:rPr>
          <w:rFonts w:ascii="Times New Roman" w:hAnsi="Times New Roman"/>
          <w:color w:val="000000" w:themeColor="text1"/>
          <w:sz w:val="16"/>
          <w:szCs w:val="16"/>
        </w:rPr>
        <w:softHyphen/>
        <w:t>виков Ил-2 АМ-38 (11474,247).</w:t>
      </w:r>
    </w:p>
    <w:p w14:paraId="3F2B57C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D275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ноября 1941 г. в Куйбышев директору объединенного завода № 1 пришла правительственная телеграмма:</w:t>
      </w:r>
    </w:p>
    <w:p w14:paraId="30EC1F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целях обеспечения быстрейшего освоения и максимального выпуска самолетов Ил-2 на заводе № 1 приказываю:</w:t>
      </w:r>
    </w:p>
    <w:p w14:paraId="6D7352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Директору завода № 1 Третьякову немедленно прекратить выполнение задания по самолету МиГ-3 по всем цехам, выпустив самолеты МиГ-3, только имеющиеся в сборочном цехе.</w:t>
      </w:r>
    </w:p>
    <w:p w14:paraId="7C3EB7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Директору завода № 1 Третьякову принять все меры к быстрейшему максимальному выпуску самолетов Ил-2. Станочный парк всех цехов немедленно направить на изготовление деталей самолета Ил-2.</w:t>
      </w:r>
    </w:p>
    <w:p w14:paraId="0D094A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 мерах исполнения доложить немедленно. Шахурин".</w:t>
      </w:r>
    </w:p>
    <w:p w14:paraId="38705D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документе стояла резолюция: "Утверждаю. Сталин".</w:t>
      </w:r>
    </w:p>
    <w:p w14:paraId="49C64C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Строительная площадка куйбышевского самолетостроительного завода размешалась на так называемой Безымянке. Места для проживания большинства эвакуированных рабочих были сосредоточены в 13 км от завода. Помимо трамваев для доставки людей использовали заводские автобусы, но в пургу и метель транспорт замирал, приходилось идти пешком. По воспоминаниям одного из ветеранов ОКБ С. Лю- шина, эвакуированные жили с постоянным чувством беспокойства из-за соседства с большим количеством заключенных, которые работали на строительстве завода: стоило только отвернуться, как чья-то вещь буквально исчезала в воздухе. Наладить ритмичную работу в таких условиях было непросто.</w:t>
      </w:r>
    </w:p>
    <w:p w14:paraId="5770B8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Никакие приказы, даже самые строгие, не могли мгновенно исправить положение с выпуском самолетов. В середине декабря почти все стены заводских корпусов были обнесены строительными лесами, строительная техника местами скрылась под сугробами. Люди продолжали вручную перемещать станки с железнодорожных платформ в еще недостроенные цеха завода № 1. Ни один из них до конца года так и не получил крыши. Редактор газеты "Все для фронта" А.С. Магид тогда писал:</w:t>
      </w:r>
    </w:p>
    <w:p w14:paraId="1A6746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декабря. В цехах у Третьякова вырыли ямы, в них наложили дров, полили мазутом и зажгли, рабочие по очереди подходят к кострам, греются. Из цехов никуда не уходят. Здесь же и живут. Столовых еще нет. Где-то есть раздаточная, выдают что-то похожее на суп..." (12041).</w:t>
      </w:r>
    </w:p>
    <w:p w14:paraId="06FA84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3ACCB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26 ноября 1940 Зам. Нач. 2 лаб. ЛИИ Строев подписал и в середине декабря 1941 А.В.Чесалов в качестве И.о. начальника ЛИИ НКАП утвердил краткий отчет о летных испытаниях ЛаГГ-3 N 31217-71, подписанный </w:t>
      </w:r>
    </w:p>
    <w:p w14:paraId="2703CB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Полетный вес 3340, длина совка в/р 345 мм, м/р - 250 мм</w:t>
      </w:r>
    </w:p>
    <w:p w14:paraId="57B0C5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Прикрытие совка м/р со 100 мм до 40 мм щели увеличивает макс. скорость на 10 км/час</w:t>
      </w:r>
    </w:p>
    <w:p w14:paraId="33A45E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Полное закрытие совка в/р по сравнению с полностью открытым увеличивает скорость на 20 км/час (температура находится в пределах нормы - 100-110 гр при нарудной температуре -7-10</w:t>
      </w:r>
    </w:p>
    <w:p w14:paraId="43D671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Заключение:</w:t>
      </w:r>
    </w:p>
    <w:p w14:paraId="14CB87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Для зимних условий рекомендовать уменьшить открытие совка м/р на ЛаГГ-3 со 100 до 40 мм</w:t>
      </w:r>
    </w:p>
    <w:p w14:paraId="5F0D6B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Ввести в инструкцию для л ЛаГГ-3 для частей ВВС условие: зимой все полеты совершать при полностью закрытом совке в/р</w:t>
      </w:r>
    </w:p>
    <w:p w14:paraId="20E27A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Подписал Зам. Нач. 2 лаб. ЛИИ Строев 26 ноября 1941 (774,7).</w:t>
      </w:r>
    </w:p>
    <w:p w14:paraId="2B76C8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12D7DAE" w14:textId="77777777" w:rsidR="0085197F" w:rsidRPr="00640820" w:rsidRDefault="0085197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26 ноября 1941 г.</w:t>
      </w:r>
    </w:p>
    <w:p w14:paraId="693B4DCE" w14:textId="77777777" w:rsidR="0085197F" w:rsidRPr="00640820" w:rsidRDefault="0085197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ПРИКАЗ ПО ЗАВОДУ № 153 ИМЕНИ В.П. ЧКАЛОВА</w:t>
      </w:r>
    </w:p>
    <w:p w14:paraId="2324D09F" w14:textId="77777777" w:rsidR="0085197F" w:rsidRPr="00640820" w:rsidRDefault="0085197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г. Новосибирск</w:t>
      </w:r>
      <w:r w:rsidRPr="00640820">
        <w:rPr>
          <w:rFonts w:ascii="Times New Roman" w:hAnsi="Times New Roman"/>
          <w:color w:val="0070C0"/>
          <w:sz w:val="16"/>
          <w:szCs w:val="16"/>
        </w:rPr>
        <w:tab/>
        <w:t>[№ 2]</w:t>
      </w:r>
      <w:r w:rsidRPr="00640820">
        <w:rPr>
          <w:rFonts w:ascii="Times New Roman" w:hAnsi="Times New Roman"/>
          <w:color w:val="0070C0"/>
          <w:sz w:val="16"/>
          <w:szCs w:val="16"/>
        </w:rPr>
        <w:tab/>
        <w:t>26 ноября 1941 г.</w:t>
      </w:r>
    </w:p>
    <w:p w14:paraId="5664361B" w14:textId="77777777" w:rsidR="0085197F" w:rsidRPr="00640820" w:rsidRDefault="0085197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При сем объявляю приказ заместителя народного комиссара авиационной  промышленности тов. ЯКОВЛЕВА А.С. для немедленного исправления указанных недостатков в работе завода и выполнения поставленных задач в самый короткий срок.</w:t>
      </w:r>
    </w:p>
    <w:p w14:paraId="5D7C9B8C" w14:textId="77777777" w:rsidR="0085197F" w:rsidRPr="00640820" w:rsidRDefault="0085197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Настоящий приказ проработать во всех цехах и отделах завода.</w:t>
      </w:r>
    </w:p>
    <w:p w14:paraId="10683FBA" w14:textId="77777777" w:rsidR="0085197F" w:rsidRPr="00640820" w:rsidRDefault="0085197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Контролю исполнения тов. РЕПИНУ проследить за точным выполнением настоящего приказа.</w:t>
      </w:r>
    </w:p>
    <w:p w14:paraId="0A616B56" w14:textId="77777777" w:rsidR="0085197F" w:rsidRPr="00640820" w:rsidRDefault="0085197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Выражаю уверенность, что коллектив завода, мобилизуя все свои силы на ликвидацию указанных недостатков в работе завода, покажет образцы по выполнению мероприятий партии и правительства.</w:t>
      </w:r>
    </w:p>
    <w:p w14:paraId="565F6E86" w14:textId="77777777" w:rsidR="0085197F" w:rsidRPr="00640820" w:rsidRDefault="0085197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Директор завода № 153 имени В.П. Чкалова Романов</w:t>
      </w:r>
    </w:p>
    <w:p w14:paraId="261FF1EF" w14:textId="77777777" w:rsidR="0085197F" w:rsidRPr="00640820" w:rsidRDefault="0085197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ГАНО. Ф. П-4. Оп. 6. Д. 510. Л. 201. Копия (20547).</w:t>
      </w:r>
    </w:p>
    <w:p w14:paraId="32911CD7" w14:textId="77777777" w:rsidR="0085197F" w:rsidRPr="00640820" w:rsidRDefault="0085197F" w:rsidP="00640820">
      <w:pPr>
        <w:spacing w:after="0" w:line="240" w:lineRule="auto"/>
        <w:jc w:val="both"/>
        <w:rPr>
          <w:rFonts w:ascii="Times New Roman" w:hAnsi="Times New Roman"/>
          <w:color w:val="0070C0"/>
          <w:sz w:val="16"/>
          <w:szCs w:val="16"/>
        </w:rPr>
      </w:pPr>
    </w:p>
    <w:p w14:paraId="070224E3" w14:textId="77777777" w:rsidR="001D2307" w:rsidRPr="00640820" w:rsidRDefault="001D2307"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26 ноября 1941 вышло постановление ГКО, согласно которому за</w:t>
      </w:r>
      <w:r w:rsidRPr="00640820">
        <w:rPr>
          <w:rFonts w:ascii="Times New Roman" w:hAnsi="Times New Roman" w:cs="Times New Roman"/>
          <w:color w:val="000000" w:themeColor="text1"/>
          <w:sz w:val="16"/>
          <w:szCs w:val="16"/>
        </w:rPr>
        <w:softHyphen/>
        <w:t>вод № 74 в Ижевске должен был выпустить партию всего из 60 Ш-37, а завод № 21 построить 20 ЛаГГ-3, вооруженных такими пушками. Однако при налаживании производства Ш-37 ижевцы столкнулись с серьезными трудностями. Ее конструкция оказа</w:t>
      </w:r>
      <w:r w:rsidRPr="00640820">
        <w:rPr>
          <w:rFonts w:ascii="Times New Roman" w:hAnsi="Times New Roman" w:cs="Times New Roman"/>
          <w:color w:val="000000" w:themeColor="text1"/>
          <w:sz w:val="16"/>
          <w:szCs w:val="16"/>
        </w:rPr>
        <w:softHyphen/>
        <w:t>лась недоработанной и нетехнологичной. Все усугублялось вы</w:t>
      </w:r>
      <w:r w:rsidRPr="00640820">
        <w:rPr>
          <w:rFonts w:ascii="Times New Roman" w:hAnsi="Times New Roman" w:cs="Times New Roman"/>
          <w:color w:val="000000" w:themeColor="text1"/>
          <w:sz w:val="16"/>
          <w:szCs w:val="16"/>
        </w:rPr>
        <w:softHyphen/>
        <w:t>сокомерием Шпитального, особо не считавшегося с замечани</w:t>
      </w:r>
      <w:r w:rsidRPr="00640820">
        <w:rPr>
          <w:rFonts w:ascii="Times New Roman" w:hAnsi="Times New Roman" w:cs="Times New Roman"/>
          <w:color w:val="000000" w:themeColor="text1"/>
          <w:sz w:val="16"/>
          <w:szCs w:val="16"/>
        </w:rPr>
        <w:softHyphen/>
        <w:t>ями производственников и заказчика. В итоге завод № 21 построил к концу года лишь 7 ЛаГГ-3 с Ш-37, а в январе 1942 г. — еще 10. Сложившаяся ситуация дала повод Устинову принять сторону ОКБ-16, а ВВС поддержали его позицию (19106).</w:t>
      </w:r>
    </w:p>
    <w:p w14:paraId="784DC5B8" w14:textId="77777777" w:rsidR="001D2307" w:rsidRPr="00640820" w:rsidRDefault="001D2307"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p>
    <w:p w14:paraId="5AA718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ноября 1941 вышло постановление ГКО N 967 "О вооружении противотанковой авиации 37 мм пушками ОКБ-15, изготовленными заводом 74 НКВ" (1331,47).</w:t>
      </w:r>
    </w:p>
    <w:p w14:paraId="577545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8EE5E5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ноября 1941 вышло Постановление ГКО № 967 О вооружении противотанковой авиации 37 мм пушками ОКБ-15, изготовляемыми заводом № 74 НКВ. (7016, 26).</w:t>
      </w:r>
    </w:p>
    <w:p w14:paraId="7BA65BB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195E16"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403B4D55"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E127977" w14:textId="77777777" w:rsidR="004673CC" w:rsidRPr="00640820" w:rsidRDefault="004673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ноября 1941 г. Народный комиссариат общего машиностроения (НКОМ) был преобразован в Народный комиссариат минометного вооружения СССР. (ВВС СССР. 1939. № 4; 1941. № 42.) (17818)</w:t>
      </w:r>
    </w:p>
    <w:p w14:paraId="65CA9DEC" w14:textId="77777777" w:rsidR="004673CC" w:rsidRPr="00640820" w:rsidRDefault="004673CC" w:rsidP="00640820">
      <w:pPr>
        <w:spacing w:after="0" w:line="240" w:lineRule="auto"/>
        <w:jc w:val="both"/>
        <w:rPr>
          <w:rFonts w:ascii="Times New Roman" w:hAnsi="Times New Roman"/>
          <w:color w:val="000000" w:themeColor="text1"/>
          <w:sz w:val="16"/>
          <w:szCs w:val="16"/>
        </w:rPr>
      </w:pPr>
    </w:p>
    <w:p w14:paraId="291962D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ноября 1941 года вышел Приказ НКБ № 35</w:t>
      </w:r>
    </w:p>
    <w:p w14:paraId="4DF0BDF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целях лучшей организации завода № 575, объединяющего два завода, собственно завод № 575 и опытный завод НИИ-6:</w:t>
      </w:r>
    </w:p>
    <w:p w14:paraId="27B4CF5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Разукрупнить завод № 575 и организовать два завода: один на территории НИИ-6 и именовать его завод филиала НИИ-6 и другой завод на территории завода метлахских плит и именовать его завод № 575 (5679, 90).</w:t>
      </w:r>
    </w:p>
    <w:p w14:paraId="5E82832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EDA3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26 ноября 1941 г. Приказом НКБ № 35 на базе опытных мастерских НИИ-6 организовали боеприпасное производство, являвшееся филиалом завода № 575. Оно было выделено в самостоятельное предприятие - ГС завод НИИ № 6. В 04.1942 г. ему присвоили название ГС завод № 562 НКБ. </w:t>
      </w:r>
    </w:p>
    <w:p w14:paraId="6AA021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Завод осуществлял производство баллиститного пороха, шашек к снарядам М-13 и М-8, зарядов к минометам, противотанковые мины ТМБ-2, ТМ-35, ЯМ-5, гранаты РГД, ВВ и др. </w:t>
      </w:r>
    </w:p>
    <w:p w14:paraId="1C2BCD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1942 г. оборудование по изготовлению запалов и снаряжению РГД-33 передано на завод № 11 НКБ. Оборудование по снаряжению 76-мм снарядов и 82-мм мин передано на завод № 568 НКБ. В 06.1943 г. оборудование по снаряжению мин ТМБ-2 передано заводу № 538 НКБ.</w:t>
      </w:r>
    </w:p>
    <w:p w14:paraId="576B88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Во время ВОВ на заводе существовало КБ (возглавлял А.Н. Сладков). </w:t>
      </w:r>
    </w:p>
    <w:p w14:paraId="5359A2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 приказу НКБ № 192 от 22.05.1945 г. завод № 562 был ликвидирован, часть рабочих (700 чел.) переведены на завод (№ 70) им. Владимира Ильича. По распоряжению СНК СССР № 9646/р от 21.06.1945 г. правопреемником завода № 562 стал НИИ-6, куда были переведены основные кадры. </w:t>
      </w:r>
    </w:p>
    <w:p w14:paraId="30BB29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Директор (26.11.1941-28.09.1942 г.)- М.З. Тененбаум, (09.1942-44 г.-)- А.П. Закощиков (одновременно был директором НИИ-6). </w:t>
      </w:r>
    </w:p>
    <w:p w14:paraId="173C33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Гл. инженер (1941 г.)- А.Н. Рабинович, (-1942-44 г.-)- С.М. Голубков. </w:t>
      </w:r>
    </w:p>
    <w:p w14:paraId="7BA14B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Гл. конструктор (ВОВ)- Л.А. Смирнов.55,56 </w:t>
      </w:r>
    </w:p>
    <w:p w14:paraId="75DDAB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ГС Завод № 562 НКБ, ГС завод НИИ № 6 </w:t>
      </w:r>
    </w:p>
    <w:p w14:paraId="54102B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Москва (10776).</w:t>
      </w:r>
    </w:p>
    <w:p w14:paraId="0B626A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98F36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26 ноября 1941 г. приказом НКБ № 35 боеприпасное производство, организованное на базе опытных мастерских эвакуированного НИИ-6 (НИИ-6 НКОП, НКБ, МСХМ, ММ, МОП, </w:t>
      </w:r>
      <w:r w:rsidRPr="00640820">
        <w:rPr>
          <w:rFonts w:ascii="Times New Roman" w:hAnsi="Times New Roman"/>
          <w:color w:val="000000" w:themeColor="text1"/>
          <w:sz w:val="16"/>
          <w:szCs w:val="16"/>
          <w:lang w:val="en-US"/>
        </w:rPr>
        <w:t>MOM</w:t>
      </w:r>
      <w:r w:rsidRPr="00640820">
        <w:rPr>
          <w:rFonts w:ascii="Times New Roman" w:hAnsi="Times New Roman"/>
          <w:color w:val="000000" w:themeColor="text1"/>
          <w:sz w:val="16"/>
          <w:szCs w:val="16"/>
        </w:rPr>
        <w:t>, ГКОТ, Военно -химический НИИ (ВХНИИ) НКТП, НИИ химических материалов (НИИХМ), ФГУП ГНЦ «ЦНИИ химии и механики» (ЦНИИХМ) Росбоеприпаса /115487 г. Москва ул. Нагатинская, 16Ател. 111-87-13/), являвшееся филиалом завода № 575, было выделено в самостоятельное предприятие - ГСЗ НИИ № 6. В 04.1942г. ему присвоили название ГСЗ № 562 НКБ. По распоряжению СНК СССР от 21.06.1945г. завод № 562 был ликвидирован, его правопреемником стал НИИ-6, куда были переведены основные кадры.</w:t>
      </w:r>
    </w:p>
    <w:p w14:paraId="66189E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после эвакуации был издан приказ об организации филиалов института: филиал № 1 при заводе № 580 (г. Красноярск); филиал № 2 при заводе № 98 (г. Молотов); филиал № 3 при заводе № 635 (г. Новосибирск); филиал № 4 при заводе № 320 (г. Чебоксары). Затем вышел приказ НКБ № 660 от 1.12.1941 г., отменявший предыдущее решение. В соответствии с ним был организован лишь филиал № 1 на заводе № 320. В Кемерово и Чебоксарах НИИ-6 размещался по 05,1943г., затем реэвакуирован на старое место в Москву.</w:t>
      </w:r>
    </w:p>
    <w:p w14:paraId="599507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 руководством М.Я. Васильева в НИИ-6 начаты исследования по противотанковым кумулятивным боеприпасам. В годы войны созданы первые кумулятивные снаряды и гранаты, мощные кумулятивные инженерные боеприпасы, вязкие зажигательные огнесмеси.</w:t>
      </w:r>
    </w:p>
    <w:p w14:paraId="454D45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годы войны была решена проблема применения импортных пироксилиновых порохов для отечественных боеприпасов. До конца войны институт был единственным в стране комплексным научно-исследовательским учреждением по порохам, ВВ, пиротехническим и зажигательным средствам, по снаряжению боеприпасов и средств инициирования.</w:t>
      </w:r>
    </w:p>
    <w:p w14:paraId="406149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войны создана лаборатория вязких опнесмесей. В начале 1942г. в НИИ-6 организовано СТБ (специальное техническое бюро) для работ по механизации производства зарядов. В СТБ НИИ-6 разработана конструкция гранатомета ПГ-6 (1944г.) под РПГ-6. В соответствии с пост. ГКО № 4388 от 21.10.1943г. граната РПГ-6 запущена в производство.</w:t>
      </w:r>
    </w:p>
    <w:p w14:paraId="6F45A1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годы войны были созданы: заряд для 82-мм миномета из пористого пороха П45 (совместно с заводом № 40); заряды для 107-мм и 120-мм минометов из пороха ВТМ; жидкая взрывчатая смесь КД; способ бездымной стрельбы из торпедных аппаратов ПЛ.</w:t>
      </w:r>
    </w:p>
    <w:p w14:paraId="5D4B00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ВОВ при НИИ-6 создано СКБ по созданию БЧ для УР. Исследования по воздействию осколков на планер самолета.</w:t>
      </w:r>
    </w:p>
    <w:p w14:paraId="21634C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03.1948г. институту поручена отработка РДТТ для снаряда М-24. Для него созданы пороха НС, ФСГ.</w:t>
      </w:r>
    </w:p>
    <w:p w14:paraId="797A66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ВОВ: снаряжение ВВ для первой атомной бомбы. Работы по снарядам дня зенитной артиллерии.</w:t>
      </w:r>
    </w:p>
    <w:p w14:paraId="67B07A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1955г. начаты работы по БЧ для противоракет систем ПРО. В 1960 г. этим занимался отдел А.В. Воронова в составе 3-х лабораторий. В начале 1960-х г. создано два типа БЧ для космического истребителя спутников ИС (К.Н. Шамшев).</w:t>
      </w:r>
    </w:p>
    <w:p w14:paraId="7857E8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1950-х г. впервые в отрасли начаты исследования и ОКР в области смесевых твердых ракетных топлив, отработка технологий их переработки в заряды. Создано большое количество пороховых и твердотопливных зарядов для ствольной артиллерии и ракет, в т.ч. С-300. Были созданы и внедрены в отрасли программно-целевые методы прогнозирования развития боеприпасов и средств новой техники.</w:t>
      </w:r>
    </w:p>
    <w:p w14:paraId="5F8E91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1949г. НИИ-6 - в ведении МСХМ, в 1956г. - ММ, в 1959г. - ГКОТ, с 1964г. - НИИХМ (химматериалов) ММ, с осени 1969г. - ЦНИИХМ (химии и механики).</w:t>
      </w:r>
    </w:p>
    <w:p w14:paraId="7B6077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ГКОТ № 38 от 4.03.1959г. образована отраслевая лаборатория технической безопасности. Затем вошла в состав ЦИК Б.</w:t>
      </w:r>
    </w:p>
    <w:p w14:paraId="3EDDA4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СМ № 578-236 от 30.05.1960 г. институту поручена разработка твердотопливного заряда для РСЗО «Град». В соответствии с пост. СМ от 7.07.1967г. велась разработка пороха РСИ-12МП для РСЗО «Град». Пост. СМ от 12.02.1971 г. задана разработка пороха РСИ-МБП для РСЗО «Град».</w:t>
      </w:r>
    </w:p>
    <w:p w14:paraId="57F55C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 316-137 от 4.04.1961 г. институт привлечен к разработке высокоэнергетических смесевых твердых топлив для малогабаритной ракеты с РДТТ.</w:t>
      </w:r>
    </w:p>
    <w:p w14:paraId="7ADF8A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МОП № 24 от 15.04.1965г. институту поручена разработка заряда для 3-й ступени МБР «Темп- 2С». Принимал участие в программе создания ОК «Буран».</w:t>
      </w:r>
    </w:p>
    <w:p w14:paraId="6CE1F4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Институт имел филиал - бывшее СКТБ-80, который в 1965г. преобразован в самостоятельный НИИ-5. По приказу МОП от 23.11.1966г. в составе института образовано ЦНКБ путем слияния конструкторских подразделений НИИ-6 и ВНИИНСМ.</w:t>
      </w:r>
    </w:p>
    <w:p w14:paraId="337462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Указом Президента РФ № 939 от 22.06.1993г. и пост. Правительства № 816 от 11.07.1994г. институту присвоен статус ГНЦ РФ. В 2004г.- ФГУП ЦНИИХМ. По Указу Президента РФ № 1009 от 4.08.2004г. вошел в число стратегических оборонных предприятий. Площадь: территории (06.1939г.)- 51,56 га. Численность персонала (06.1939г.)- 1541 чел.</w:t>
      </w:r>
    </w:p>
    <w:p w14:paraId="12F181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(1931-33г.)- М.А. Никитин, (1933-36г.)- Зайденберг, (1936-5.01.1938г.)- Я.Л. Березницкий, (5.01.1938-41 г.)- Н.И. Иконников, (14.07.1941-04.1948г.)- А.П. Закощиков, (1948-53г.-)- Т.И. Агафин, (1956г.)-</w:t>
      </w:r>
    </w:p>
    <w:p w14:paraId="5611A0F5" w14:textId="77777777" w:rsidR="00165A9C" w:rsidRPr="00640820" w:rsidRDefault="00165A9C" w:rsidP="00640820">
      <w:pPr>
        <w:tabs>
          <w:tab w:val="left" w:pos="452"/>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 А. Сухих, (1962-70 г.)- И.И. Вернидуб, (1970 г.-)- Н.Н. Афонский, (-1984-90-е)- Ю.И. Краснощеков, (-2000-02г.-&gt;</w:t>
      </w:r>
    </w:p>
    <w:p w14:paraId="7D58C49F" w14:textId="77777777" w:rsidR="00165A9C" w:rsidRPr="00640820" w:rsidRDefault="00165A9C" w:rsidP="00640820">
      <w:pPr>
        <w:tabs>
          <w:tab w:val="left" w:pos="438"/>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С. Фокин.</w:t>
      </w:r>
      <w:r w:rsidRPr="00640820">
        <w:rPr>
          <w:rFonts w:ascii="Times New Roman" w:hAnsi="Times New Roman"/>
          <w:color w:val="000000" w:themeColor="text1"/>
          <w:sz w:val="16"/>
          <w:szCs w:val="16"/>
          <w:vertAlign w:val="superscript"/>
        </w:rPr>
        <w:t>69</w:t>
      </w:r>
    </w:p>
    <w:p w14:paraId="517BFD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директора (1970-84г.)- И.И. Вернидуб.</w:t>
      </w:r>
      <w:r w:rsidRPr="00640820">
        <w:rPr>
          <w:rFonts w:ascii="Times New Roman" w:hAnsi="Times New Roman"/>
          <w:color w:val="000000" w:themeColor="text1"/>
          <w:sz w:val="16"/>
          <w:szCs w:val="16"/>
          <w:vertAlign w:val="superscript"/>
        </w:rPr>
        <w:t>56</w:t>
      </w:r>
      <w:r w:rsidRPr="00640820">
        <w:rPr>
          <w:rFonts w:ascii="Times New Roman" w:hAnsi="Times New Roman"/>
          <w:color w:val="000000" w:themeColor="text1"/>
          <w:sz w:val="16"/>
          <w:szCs w:val="16"/>
        </w:rPr>
        <w:t xml:space="preserve"> Зам. директора: по научной части (1941 г.)- Т.И. Яковлев; по МПВО (1941 г.)- В.А. Салтыков. Помощник директора: по найму и увольнению (1.09.1938г.-)- А.И. Чернов; (1937г.)- Николин.</w:t>
      </w:r>
    </w:p>
    <w:p w14:paraId="1CCC11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по порохам (1941 г.)- Т.И. Яковлев, Г.К. Клименко, А.К. Вострухин; по ВВ, снаряжению и пиротехнике- Е.М. Адаскин, В.З. Смоляницкий.</w:t>
      </w:r>
    </w:p>
    <w:p w14:paraId="5BD1E5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филиалов: № 1 (1941 г.-)- А.А. Иванов, (12.1941 г.-)- Н.Ф. Ус; № 2 (1941 г.-)- И.Г. Лопук; № 3 (1941 г.-)- В.З. Смоляницкий; № 4 (1941 г.-)- А.П. Ионов.</w:t>
      </w:r>
    </w:p>
    <w:p w14:paraId="1E4E84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4-го (1937г.)- Широков; баллистического (20.11.1925г.-)- В.В. Хожев; порохового- В.В. Хожев; ОТК (1941 г.)- В.Г. Раздрогин; (02.1937г.)- Вигский, (1960 г.)- А.В. Воронов. Зам. начальников отделов: порохового- В.В. Хожев; (1960 г.)- В.И. Комков.</w:t>
      </w:r>
    </w:p>
    <w:p w14:paraId="4533EC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лабораторий: № 15 (1941 г.)- Н.Ф. Жиров; № 16 (1940 г.)- С.И. Беленький; целлюлозного сырья для порохов (193 8-41 г.)- А.П. Закощиков; кумулятивных боеприпасов (</w:t>
      </w:r>
      <w:r w:rsidRPr="00640820">
        <w:rPr>
          <w:rFonts w:ascii="Times New Roman" w:hAnsi="Times New Roman"/>
          <w:color w:val="000000" w:themeColor="text1"/>
          <w:sz w:val="16"/>
          <w:szCs w:val="16"/>
          <w:lang w:val="en-US"/>
        </w:rPr>
        <w:t>BOB</w:t>
      </w:r>
      <w:r w:rsidRPr="00640820">
        <w:rPr>
          <w:rFonts w:ascii="Times New Roman" w:hAnsi="Times New Roman"/>
          <w:color w:val="000000" w:themeColor="text1"/>
          <w:sz w:val="16"/>
          <w:szCs w:val="16"/>
        </w:rPr>
        <w:t xml:space="preserve">)-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Ломова; вязких огнесмесей (ВОВ)- А.П. Ионов; пороховой- В.В. Хожев; БЧ противоракет (-1960-67г.)- В.И. Комков, (1967г.-)- Ю.Н. Лазинцев; баллиститных порохов (-1934-37г.-)- Б.П. Фомин (порох «Н»); (1941 г.)- Б.П. Жуков, Е.З. Плюшкин, (09.1945г.-)- К.И. Козорезов, (1948г.)- М.П. Дынкин (РДТТ), С.Т. Мудрак (РДТТ), (1960 г.)- Б.М. Богданов, (1960 г.)- Н.И. Попов, (1980 г.)- М.М. Растопшин (противотанковое вооружение).</w:t>
      </w:r>
    </w:p>
    <w:p w14:paraId="740BA4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Научный руководитель лаборатории баллиститных порохов (1934-13.12.1937г.)- А.С. Бакаев (репрессирован). Зам. начальника лаборатории: № 16 (06.1940-41 г.-)- И.И. Вернидуб. Гл. конструкторы: (1955г.-)- А.В. Воронов (БЧ противоракет).</w:t>
      </w:r>
    </w:p>
    <w:p w14:paraId="7DC030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мастерских: противотанковых мин (1941 г.-)- К. Хильмончик; зажигательного состава (1941 г.-)- А.Н. Рабинович; лаборатории № 5 (1941 г.)- Г.К. Клименко; тэна (1941 г.)- Т.А. Вагжанова; корпусов: УФ (1941 г.)- Я.Т. Данишевский. Начальник испытательной станции- В.В. Хожев. Зам. начальника корпуса № 18 (1941 г.)- Е.З. Плюшкин.</w:t>
      </w:r>
    </w:p>
    <w:p w14:paraId="5116B7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бюро: СТБ (1942г.-)- И.М. Найман; зарядного- В.В. Хожев, (ВОВ)- И.Г. Лопук; СКБ (1940-е)- М.И. Воротвов.</w:t>
      </w:r>
    </w:p>
    <w:p w14:paraId="6F84E5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пороха: «Н» (1930-е), НЦ-10, НФ (1938), ПС (пироксилино-селитренный, 1941), ПК (пироксилино- канифолышй, ВОВ); пороховое снаряжение БЧ и шашки двигателей для РС-132, пороховые заряды 9</w:t>
      </w:r>
      <w:r w:rsidRPr="00640820">
        <w:rPr>
          <w:rFonts w:ascii="Times New Roman" w:hAnsi="Times New Roman"/>
          <w:color w:val="000000" w:themeColor="text1"/>
          <w:sz w:val="16"/>
          <w:szCs w:val="16"/>
          <w:lang w:val="en-US"/>
        </w:rPr>
        <w:t>X</w:t>
      </w:r>
      <w:r w:rsidRPr="00640820">
        <w:rPr>
          <w:rFonts w:ascii="Times New Roman" w:hAnsi="Times New Roman"/>
          <w:color w:val="000000" w:themeColor="text1"/>
          <w:sz w:val="16"/>
          <w:szCs w:val="16"/>
        </w:rPr>
        <w:t>111, 9Х111М2 (1972) для НУР М-21-ОФ, заряды для системы динамической защиты танков; зажигательно- трассирующая пуля «ЗТ» для 7,62-мм патрона (1938); разрывные заряды для авиационных снарядов; жидкий зажигательный состав «нефос» (1940), загуститель нафтенат алюминия ОП-2 (1939); БЧ: для Р-112 (1949), для ЗУР «Даль» (1955), 4Г15 для П-15 (1955-60), 4Г48 для П-6 (1959), 4Г70 для П-25 (1961-62), для П-70 «Аметист» (1960), УРВВ, ПТУР; противотанковая кумулятивная граната РПГ-6 (1943).</w:t>
      </w:r>
    </w:p>
    <w:p w14:paraId="585E24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EA369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ноября 1941 г. приказом НКБ № 35 боеприпасное производство, организованное на базе опытных мастерских НИИ-6, являвшееся филиалом завода № 575, было выделено в самостоятельное предприятие - ГС завод НИИ № 6. Проектная мощность на 1.01.1942т. - 600 т пороха в год.</w:t>
      </w:r>
    </w:p>
    <w:p w14:paraId="4E1BD0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Были организованы цехи: № 1 (производство баллиститного пороха, шашек к снарядам М-13 и М-8); № 2 (снаряжение противотанковых мин АЦ и ТМБ-2); № 3 (снаряжение противотанковых мин ЯМ-5 и ТМ-35); № 4 (изготовление запалов к противотанковым винтовочным гранатам Сердюка); № 5 (снаряжение гранат РГД-33); № 6 (изготовление зарядов для 50-мм ротного миномета); № 7 (снаряжение 76-мм осколочно-фугасных снарядов и 82-мм осколочных мин); № 8 (производство вискозного пороха ВМ); № 9 (изготовление зажигательных авиабомб типа «огневой мешок»). По приказу НКБ № 624 от 1.11.1941 г. организовано также производство зарядов к 37-мм миномету, а по приказу № 716 от 29.12.1941 г. - гремучертутных капсюлей-детонаторов № 8 и капсюлей- воспламенителей и капсюлей-детонаторов к гранате РГД-33.</w:t>
      </w:r>
    </w:p>
    <w:p w14:paraId="1C1C6B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04.1942 г. ГСЗ НИИ-6 передан в ведение ЗГУ НКБ, получил наименование ГС завод № 562 НКБ (ГС Завод № 562 НКБ, ГС завод НИИ № 6, п/я 368 /г. Москва 9 п/я 368 «Иншесть» (1943 г.)/) и стал специализироваться как пороховой. Оборудование по изготовлению запалов и снаряжению РГД-33 передано на завод № 11 НКБ, оборудование по снаряжению мин и снарядов - на завод № 568; цехи № 3, 4, 5, 7 закрыты. Из состава цеха № 6 в середине 1942 г. выделили мастерские по изготовлению футляров из нигропленки («лодочек») для дополнительных зарядов 82-мм мин, затем они преобразованы в цех № 3. В 06.1943 г. оборудование по снаряжению мин ТМБ-2 передано заводу № 538 НКБ, закрыт также цех № 8 из-за отсутствия сырья, и на заводе № 562 остались цехи № 1, 6, 9. В составе цеха № 1 организована мастерская № 4 по производству пороха КМ. В 1944 г. цех № 1 размещался в 12 корпусах, цех № 6- в 4, а цех № 9- в двух.</w:t>
      </w:r>
    </w:p>
    <w:p w14:paraId="095E2C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время ВОВ на заводе существовало КБ. Имелась мастерская резки. В 1944 г. завод прекратил собственное производство пороха (выпущено более 2000 т). С 26.05.1945 г. прекращен выпуск всех боеприпасов.</w:t>
      </w:r>
    </w:p>
    <w:p w14:paraId="7CDFA6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НКБ № 192 от 22.05.1945 г. завод № 562 был ликвидирован, часть рабочих (700 чел.) переведены на завод № 70 им. Владимира Ильича. По распоряжению СНК СССР № 9646/р от 21.06.1945 г. правопреемником завода № 562 стал НИИ-6, куда были переведены основные кадры.</w:t>
      </w:r>
    </w:p>
    <w:p w14:paraId="2AF57E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(12.1942 г.)- 1707 чел., (конец 1943 г.)- 1574 чел.</w:t>
      </w:r>
    </w:p>
    <w:p w14:paraId="26F59E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производственная- 5760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вспомогательная- 65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37D4F3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(26.11.1941 -28.09.1942 г.)- М.З. Тененбаум, (09.1942-44 г.-)- А.П. Закощиков (одновременно был директором НИИ-6).</w:t>
      </w:r>
    </w:p>
    <w:p w14:paraId="7F94B0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(1941 г.)- А.Н. Рабинович, (-1942-44 г.-&gt; С.М. Голубков.</w:t>
      </w:r>
    </w:p>
    <w:p w14:paraId="0631CC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w:t>
      </w:r>
      <w:r w:rsidRPr="00640820">
        <w:rPr>
          <w:rFonts w:ascii="Times New Roman" w:hAnsi="Times New Roman"/>
          <w:color w:val="000000" w:themeColor="text1"/>
          <w:sz w:val="16"/>
          <w:szCs w:val="16"/>
          <w:lang w:val="en-US"/>
        </w:rPr>
        <w:t>BOB</w:t>
      </w:r>
      <w:r w:rsidRPr="00640820">
        <w:rPr>
          <w:rFonts w:ascii="Times New Roman" w:hAnsi="Times New Roman"/>
          <w:color w:val="000000" w:themeColor="text1"/>
          <w:sz w:val="16"/>
          <w:szCs w:val="16"/>
        </w:rPr>
        <w:t xml:space="preserve">)- </w:t>
      </w:r>
      <w:r w:rsidRPr="00640820">
        <w:rPr>
          <w:rFonts w:ascii="Times New Roman" w:hAnsi="Times New Roman"/>
          <w:color w:val="000000" w:themeColor="text1"/>
          <w:sz w:val="16"/>
          <w:szCs w:val="16"/>
          <w:lang w:val="en-US"/>
        </w:rPr>
        <w:t>JI</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 Смирнов.</w:t>
      </w:r>
    </w:p>
    <w:p w14:paraId="3F7630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цехов: № 1 (1944 г.)- А. Сидоров; № 6- ДА. Смирнов, (1944 г.)- И.Н. Кузнецов; № 9 (1944 г.)- П.П. Вахрушев; баллиститного пороха (</w:t>
      </w:r>
      <w:r w:rsidRPr="00640820">
        <w:rPr>
          <w:rFonts w:ascii="Times New Roman" w:hAnsi="Times New Roman"/>
          <w:color w:val="000000" w:themeColor="text1"/>
          <w:sz w:val="16"/>
          <w:szCs w:val="16"/>
          <w:lang w:val="en-US"/>
        </w:rPr>
        <w:t>BOB</w:t>
      </w:r>
      <w:r w:rsidRPr="00640820">
        <w:rPr>
          <w:rFonts w:ascii="Times New Roman" w:hAnsi="Times New Roman"/>
          <w:color w:val="000000" w:themeColor="text1"/>
          <w:sz w:val="16"/>
          <w:szCs w:val="16"/>
        </w:rPr>
        <w:t xml:space="preserve">)-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Дерновой.</w:t>
      </w:r>
    </w:p>
    <w:p w14:paraId="343862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начальника цеха: баллиститного пороха (ВОВ)- Н.П. Сазонов.</w:t>
      </w:r>
    </w:p>
    <w:p w14:paraId="722AB0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КБ (ВОВ)- А.Н. Сладкое.</w:t>
      </w:r>
    </w:p>
    <w:p w14:paraId="6AB42F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2-го (04.1943 г.)- Гинзбур г.</w:t>
      </w:r>
    </w:p>
    <w:p w14:paraId="1D9E1D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заряды: к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 xml:space="preserve"> М-8 - 25,8 тыс., к М-13 (1941-45)- 189,5 тыс., к 37-мм, 50-мм минам (1941-45)- 16,9 млн., 82-мм минам (1941-45)- 45,3 млн., П3-23, ПЗ-54; ручные гранаты РГД-33 (1941-44)- 1316 тыс.; противотанковые мины АЦ (асбоцементный корпус), ТМБ-2, ТМ-35, ЯМ-5 (1941-45)- всего 1325,8 тыс.; выстрелы к фугасным огнеметам ФОГ-2 (1941-)- 674,4 тыс.; термитно-зажигательные шашки- 1442 тыс., шашки из пороха НТВ; запалы к гранатам Сердюка (1941-)- 350,8 тыс.; капсюли-детонаторы (1941-)- 1,08 млн.; взрывные заклепки - 1,5 млн.;</w:t>
      </w:r>
      <w:r w:rsidRPr="00640820">
        <w:rPr>
          <w:rFonts w:ascii="Times New Roman" w:hAnsi="Times New Roman"/>
          <w:iCs/>
          <w:color w:val="000000" w:themeColor="text1"/>
          <w:sz w:val="16"/>
          <w:szCs w:val="16"/>
        </w:rPr>
        <w:t xml:space="preserve"> порох:</w:t>
      </w:r>
      <w:r w:rsidRPr="00640820">
        <w:rPr>
          <w:rFonts w:ascii="Times New Roman" w:hAnsi="Times New Roman"/>
          <w:color w:val="000000" w:themeColor="text1"/>
          <w:sz w:val="16"/>
          <w:szCs w:val="16"/>
        </w:rPr>
        <w:t xml:space="preserve"> вискозный ВМ, НБУЛ-33, кордитный минометный КМ (1943)-19,5 т, медленногорящий МК- 81,5 т; нитроглицериновый НБСП-14-47; ВВ: тэн- 15 т, амматол 80/20- более 5000 т; самовоспламеняющиеся составы- 250 т. (11982).</w:t>
      </w:r>
    </w:p>
    <w:p w14:paraId="55D942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AEAD0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26 ноября 1941 г. г. Медногорск Оренбургской обл. завод № 314 продолжил действовать под прежним номером, эвакуированный из Тулы Выпускал винтовки, авиационные пушки. 26.04.1942 г. вышло постановление ГКО № 1655 об обеспечении на заводе плана по выпуску 55 тыс. СВТ в месяц. За годы войны выпущено 626.687 винтовок и 16.738 пушек. С 08.1945 г. завод полностью прекратил выпуск оборонной продукции.</w:t>
      </w:r>
    </w:p>
    <w:p w14:paraId="6D5A19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12.1945 г. завод № 314 передан из НКВ в НКЭП и, возможно, переименован в завод № 621 (либо переименование произошло раньше, в 1942-43 г., и завод № 621 до конца 1945 г. действовал в НКВ).</w:t>
      </w:r>
    </w:p>
    <w:p w14:paraId="348B5E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Туле на месте эвакуированного завода создан завод № 536.</w:t>
      </w:r>
    </w:p>
    <w:p w14:paraId="61AF4F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винтовки снайперские: обр. 1891/ЗО г. (1939-40)- 43.346, СВТ-40 (1941-42)- 52.226;</w:t>
      </w:r>
      <w:r w:rsidRPr="00640820">
        <w:rPr>
          <w:rFonts w:ascii="Times New Roman" w:hAnsi="Times New Roman"/>
          <w:color w:val="000000" w:themeColor="text1"/>
          <w:sz w:val="16"/>
          <w:szCs w:val="16"/>
          <w:vertAlign w:val="superscript"/>
        </w:rPr>
        <w:t>4</w:t>
      </w:r>
      <w:r w:rsidRPr="00640820">
        <w:rPr>
          <w:rFonts w:ascii="Times New Roman" w:hAnsi="Times New Roman"/>
          <w:color w:val="000000" w:themeColor="text1"/>
          <w:sz w:val="16"/>
          <w:szCs w:val="16"/>
        </w:rPr>
        <w:t xml:space="preserve"> пушка авиационная 20-мм ШВАК (11982).</w:t>
      </w:r>
    </w:p>
    <w:p w14:paraId="1D81338E" w14:textId="77777777" w:rsidR="00F30FFF" w:rsidRPr="00640820" w:rsidRDefault="00F30FFF" w:rsidP="00640820">
      <w:pPr>
        <w:autoSpaceDE w:val="0"/>
        <w:autoSpaceDN w:val="0"/>
        <w:adjustRightInd w:val="0"/>
        <w:spacing w:after="0" w:line="240" w:lineRule="auto"/>
        <w:jc w:val="both"/>
        <w:rPr>
          <w:rFonts w:ascii="Times New Roman" w:hAnsi="Times New Roman"/>
          <w:color w:val="000000" w:themeColor="text1"/>
          <w:sz w:val="16"/>
          <w:szCs w:val="16"/>
        </w:rPr>
      </w:pPr>
    </w:p>
    <w:p w14:paraId="00A3A3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ноября 1941 Наркомат общего машиностроения был преобразован в Наркомат минометного вооружения (338,21) во главе с П.И.Паршиным (512,104).</w:t>
      </w:r>
    </w:p>
    <w:p w14:paraId="20C377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5D7F6AD" w14:textId="77777777" w:rsidR="00744007" w:rsidRPr="00640820" w:rsidRDefault="00744007"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26 ноября </w:t>
      </w:r>
      <w:r w:rsidRPr="00640820">
        <w:rPr>
          <w:rFonts w:ascii="Times New Roman" w:hAnsi="Times New Roman"/>
          <w:color w:val="000000" w:themeColor="text1"/>
          <w:sz w:val="16"/>
          <w:szCs w:val="16"/>
        </w:rPr>
        <w:t>в 1941 году с целью мобилизации ресурсов для увеличения выпуска и обеспечения Красной Армии минометами образован народный комиссариат минометного вооружения СССР (П.И.Паршин). В него вошли заводы, ранее входившие в системы среднего и сельскохозяйственного машиностроения (14841).</w:t>
      </w:r>
    </w:p>
    <w:p w14:paraId="491F0BD9" w14:textId="77777777" w:rsidR="00744007" w:rsidRPr="00640820" w:rsidRDefault="00744007" w:rsidP="00640820">
      <w:pPr>
        <w:spacing w:after="0" w:line="240" w:lineRule="auto"/>
        <w:jc w:val="both"/>
        <w:rPr>
          <w:rFonts w:ascii="Times New Roman" w:hAnsi="Times New Roman"/>
          <w:color w:val="000000" w:themeColor="text1"/>
          <w:sz w:val="16"/>
          <w:szCs w:val="16"/>
        </w:rPr>
      </w:pPr>
    </w:p>
    <w:p w14:paraId="471660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ноября 1941 года в развитие приказа зам. наркома общего машиностроения от 14 ноября 1941 года вышел приказ Главлегмаша за № 12 о передаче завода трикотажных машин Главлегмаша на правах филиала формового завода № 3</w:t>
      </w:r>
    </w:p>
    <w:p w14:paraId="40802C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Московский завод трикотажных машин после эвакуации был закрыт (эвакуирован в г. Очер). Во второй половине ноября 1941 года из оставшегося оборудования было организовано новое производство, выполняющее заказы НКМВ и райкома ВКП(б).</w:t>
      </w:r>
    </w:p>
    <w:p w14:paraId="103207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завода трикотажных машин: Москва, Калужский пер., 4 (8659,1).</w:t>
      </w:r>
    </w:p>
    <w:p w14:paraId="6A6064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71BE19D" w14:textId="77777777" w:rsidR="0085197F" w:rsidRPr="00640820" w:rsidRDefault="0085197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26 ноября 1941 г. из протокола заседания бюро Томского горкома ВКП(б) № 151:</w:t>
      </w:r>
    </w:p>
    <w:p w14:paraId="33AB3AB9" w14:textId="77777777" w:rsidR="0085197F" w:rsidRPr="00640820" w:rsidRDefault="0085197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xml:space="preserve">«1) Всего прибыло 6 эшелонов заводского оборудования, материалов и людского состава, из которых 203 вагона оборудования, 136 вагона с людьми (6,5 тыс.) и 82 вагона с материалами. Находится в пути 2 эшелона с людьми и материалами. На 23 ноября прибыло 96 % оборудования завода и 40 % людского состава от работающих до эвакуации. </w:t>
      </w:r>
    </w:p>
    <w:p w14:paraId="4AF89A42" w14:textId="77777777" w:rsidR="0085197F" w:rsidRPr="00640820" w:rsidRDefault="0085197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3) Установка и монтаж вывезенного оборудования проходит медленно, и общезаводской график пуска станков и отдельных мастерских частично не выполняется. Медлительность в установке и монтаже оборудования является следствием слабой организации труда и некомплектным прибытием средств монтажа.</w:t>
      </w:r>
    </w:p>
    <w:p w14:paraId="3E42A1A8" w14:textId="77777777" w:rsidR="0085197F" w:rsidRPr="00640820" w:rsidRDefault="0085197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Бюро горкома ВКП(б) постановляет:</w:t>
      </w:r>
    </w:p>
    <w:p w14:paraId="1D406F0B" w14:textId="77777777" w:rsidR="0085197F" w:rsidRPr="00640820" w:rsidRDefault="0085197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xml:space="preserve">1. Обязать директора завода №  355 (Пескова А. И.) закончить вывозку всего прибывшего оборудования не позднее 28 ноября, организовав круглосуточную работу транспорта. </w:t>
      </w:r>
    </w:p>
    <w:p w14:paraId="4BF0B7A3" w14:textId="77777777" w:rsidR="0085197F" w:rsidRPr="00640820" w:rsidRDefault="0085197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 Пустить производство первой очереди для обеспечения подготовки к декабрьскому плану, к 28 ноября, с этого же времени приступить к сборке изделий.</w:t>
      </w:r>
    </w:p>
    <w:p w14:paraId="6CC1BC5B" w14:textId="77777777" w:rsidR="0085197F" w:rsidRPr="00640820" w:rsidRDefault="0085197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11. На период до пуска литейного цеха завода № 355 обязать директора Электромеханического завода т. Булуева выполнять заказы завода № 355 по литью…» (22791).</w:t>
      </w:r>
    </w:p>
    <w:p w14:paraId="5F63EE96" w14:textId="77777777" w:rsidR="0085197F" w:rsidRPr="00640820" w:rsidRDefault="0085197F" w:rsidP="00640820">
      <w:pPr>
        <w:spacing w:after="0" w:line="240" w:lineRule="auto"/>
        <w:jc w:val="both"/>
        <w:rPr>
          <w:rFonts w:ascii="Times New Roman" w:hAnsi="Times New Roman"/>
          <w:color w:val="0070C0"/>
          <w:sz w:val="16"/>
          <w:szCs w:val="16"/>
        </w:rPr>
      </w:pPr>
    </w:p>
    <w:p w14:paraId="0EFCB0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ноября 1941 года приказом наркома НКВД СССР было предписано сформировать из мобилизованных немцев строительные батальоны, которые впоследствии также получили название "рабочих колонн". Юридический статус советских немцев, выселяемых из мест своего проживания и мобилизованных в "рабочие колонны", был закреплен секретным постановлением Государственного Комитета Обороны № 1123 от 10 января 1942 года. В документе говорилось, что в «целях рационального использования немцев-переселенцев предписывалось мобилизовать немецких мужчин от 17 до 50 лет, годных к физическому труду, в количестве до 120 тысяч в «рабочие колонны» на всё время войны, передав из этого числа:</w:t>
      </w:r>
    </w:p>
    <w:p w14:paraId="0F0E35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НКВД СССР на лесозаготовки - 45000 человек; </w:t>
      </w:r>
    </w:p>
    <w:p w14:paraId="2F3735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НКВД СССР на строительство Бакальского и Богословского заводов - 35000; </w:t>
      </w:r>
    </w:p>
    <w:p w14:paraId="740425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НКПС СССР на строительство железных дорог Сталинск-Абакан, Сталинск-Барнаул, Акмолинск-Карталы, Акмолинск-Павлодар, Сосьва-Алапаевск, Орск-Кандагач, Магнитогорск-Сара - 40000;</w:t>
      </w:r>
    </w:p>
    <w:p w14:paraId="5E144D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Мобилизованные были обязаны явиться в местные военкоматы в исправной зимней одежде, с запасом белья, постельными принадлежностями, кружкой, ложкой и 10-дневным запасом продовольствия». По самым скромным оценкам, около 40-45 тыс. "мобилизованных" советских немцев из этого числа умерли в лагерях (11572).</w:t>
      </w:r>
    </w:p>
    <w:p w14:paraId="4BED18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1D04A38"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0EBC4101"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7168419"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26 ноября </w:t>
      </w:r>
      <w:r w:rsidRPr="00640820">
        <w:rPr>
          <w:rFonts w:ascii="Times New Roman" w:hAnsi="Times New Roman"/>
          <w:color w:val="000000" w:themeColor="text1"/>
          <w:sz w:val="16"/>
          <w:szCs w:val="16"/>
        </w:rPr>
        <w:t>в 1941 году утреннее сообщение Совинформбюро:</w:t>
      </w:r>
    </w:p>
    <w:p w14:paraId="65D6B0E2"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26 ноября наши части вели бои с противником на всех фронтах.</w:t>
      </w:r>
    </w:p>
    <w:p w14:paraId="784CCD54"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Часть тов. Коротеева, действующая на одном из участков Юго-Западного фронта, за один день боёв уничтожила 4 вражеских танка, 2 миномётные батареи, 88 автомашин и 1.400 фашистских солдат и офицеров.</w:t>
      </w:r>
    </w:p>
    <w:p w14:paraId="356DF9B1"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Два советских танка под командованием капитана Запорожца отразили атаку колонны немецких танков. В завязавшемся бою танкисты уничтожили 2 немецких танка, 4 автомашины и до 300 солдат и офицеров противника.</w:t>
      </w:r>
    </w:p>
    <w:p w14:paraId="5710BD9C"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Из районов Орловской области, захваченных немцами, поступают сведения о чудовищных злодеяниях фашистских извергов. В районе реки Сож немецкий патруль задержал 7 колхозников. У одного из них оказалась справка о том, что он является членом колхоза «Красный партизан». Одно слово «партизан» привело фашистов в </w:t>
      </w:r>
      <w:r w:rsidRPr="00640820">
        <w:rPr>
          <w:rFonts w:ascii="Times New Roman" w:hAnsi="Times New Roman"/>
          <w:color w:val="000000" w:themeColor="text1"/>
          <w:sz w:val="16"/>
          <w:szCs w:val="16"/>
        </w:rPr>
        <w:lastRenderedPageBreak/>
        <w:t>ярость. Все 7 колхозников были расстреляны на месте. Немцы разграбили и сожгли деревни Ольговка и Калиновка только за то, что крестьяне этих деревень пытались воспрепятствовать грабежам. В селе Рогово Почепского сельсовета группа фашистов изнасиловала Прудникову, председателя колхоза имени Кирова. Надругавшись над женщиной, гитлеровские людоеды повесили её.</w:t>
      </w:r>
    </w:p>
    <w:p w14:paraId="3847005C"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Геологи, бурильщики, эксплоатационники нефтяных районов страны успешно борются за увеличение добычи нефти. Бугурусланские нефтяники сдали в эксплоатацию новый участок. Пробурённые здесь скважины дают стране дополнительно много нефти. Коллектив участка изо дня в день перевыполняет план нефтедобычи. С начала Отечественной войны трест «Бугурусланнефть» получил для эксплоатации новые нефтеносные участки. На них размещается несколько сот скважин. Большие разведочные работы ведутся в одной из автономных республик. Здесь в широком масштабе начато бурение. На недавно открытых месторождениях в К. выявлена площадь, где можно заложить свыше 150 скважин. Нефть залегает на небольшой глубине. Промысел «Ченгырташ» (Киргизия) досрочно выполнил годовой план нефтедобычи. Себестоимость продукции снижена на 9 процентов.» (14841).</w:t>
      </w:r>
    </w:p>
    <w:p w14:paraId="16E59879" w14:textId="77777777" w:rsidR="00F30FFF" w:rsidRPr="00640820" w:rsidRDefault="00F30FFF" w:rsidP="00640820">
      <w:pPr>
        <w:spacing w:after="0" w:line="240" w:lineRule="auto"/>
        <w:jc w:val="both"/>
        <w:rPr>
          <w:rFonts w:ascii="Times New Roman" w:hAnsi="Times New Roman"/>
          <w:color w:val="000000" w:themeColor="text1"/>
          <w:sz w:val="16"/>
          <w:szCs w:val="16"/>
        </w:rPr>
      </w:pPr>
    </w:p>
    <w:p w14:paraId="011725A4"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26 ноября </w:t>
      </w:r>
      <w:r w:rsidRPr="00640820">
        <w:rPr>
          <w:rFonts w:ascii="Times New Roman" w:hAnsi="Times New Roman"/>
          <w:color w:val="000000" w:themeColor="text1"/>
          <w:sz w:val="16"/>
          <w:szCs w:val="16"/>
        </w:rPr>
        <w:t>в 1941 году вечернее сообщение Совинформбюро:</w:t>
      </w:r>
    </w:p>
    <w:p w14:paraId="700BA339"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26 ноября наши войска вели бои с противником на всех фронтах. Особенно ожесточённые бои происходили на Волоколамском и Сталиногорском участках фронта.</w:t>
      </w:r>
    </w:p>
    <w:p w14:paraId="0981A6B7"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23 ноября, по полученным дополнительным данным, уничтожено не 19 немецких самолётов, как об этом сообщалось ранее, а 55 немецких самолётов.</w:t>
      </w:r>
    </w:p>
    <w:p w14:paraId="4DE573CD"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25 ноября уничтожено 33 немецких самолёта. Наши потери — 5 самолётов.</w:t>
      </w:r>
    </w:p>
    <w:p w14:paraId="76985796"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26 ноября под Москвой сбито 2 немецких самолёта.</w:t>
      </w:r>
    </w:p>
    <w:p w14:paraId="4D6506B5"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25 ноября нашей авиацией уничтожено 107 немецких танков, до 400 автомашин с войсками, 30 полевых орудий, более 200 повозок со снарядами, 25 зенитно-пулемётных точек, более 50 мотоциклов и истреблено до 4 батальонов вражеской пехоты.</w:t>
      </w:r>
    </w:p>
    <w:p w14:paraId="37BF3947"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Бойцы тов. Лелюшенко 24 ноября разгромили на одном из участков Западного фронта 240 немецкий пехотный полк. На другом участке части тов. Ермакова за 24 и 25 ноября уничтожили 49 немецких танков и истребили 5 батальонов пехоты противника.</w:t>
      </w:r>
    </w:p>
    <w:p w14:paraId="3E05255F"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Часть тов. Брынина, действующая на одном из участков Западного фронта, в двухдневном бою за селение В. истребила свыше тысячи немецких солдат и офицеров. Наши бойцы захватили 26 станковых и ручных пулемётов, 3 миномёта, радиостанцию, десятки тысяч патронов и другие трофеи.</w:t>
      </w:r>
    </w:p>
    <w:p w14:paraId="66777969"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Группа бойцов, отражая атаку танков противника, уничтожила бутылками с горючей жидкостью 4 немецких танка. Из них 2 танка были уничтожены бойцом Поповским.</w:t>
      </w:r>
    </w:p>
    <w:p w14:paraId="1079B16D"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Успешно громят немецких захватчиков партизанские отряды Смоленской области. Партизаны изгоняют фашистских солдат из деревень, куда немцы прячутся от морозов. Отряд тов. Г. недавно атаковал группу немецких мотоциклистов, расположившихся на отдых в деревне К. Зажигательными бутылками партизаны подожгли сарай, где находились немецкие мотоциклы, и забросали гранатами выбегавших из домов немецких солдат. Вся фашистская банда уничтожена полностью. На станции С. немцы приспособили для жилья восемь вагонов. Партизаны ночью подложили под вагоны мины и взорвали их. Взрывом уничтожено до 40 фашистов. Партизанский отряд железнодорожников 17 ноября организовал крушение воинского эшелона, в котором ехали на фронт немецкие резервисты. Убито до 100 фашистских солдат.</w:t>
      </w:r>
    </w:p>
    <w:p w14:paraId="279854E0"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Огромные потери немецкой армии на Во сточном фронте, голод, обнищание, эпидемия всё более расшатывают тыл германской армии. В найденном у убитого немецкого лейтенанта Вебера письме руководитель Фрейбургского окружного комитета гитлеровской партии жалуется: «Жёны, которые раньше имели здравые государственные взгляды, сейчас говорят о мире... В нашей местности таких разговоров много». Унтер-офицеру Вернеру Крегеру пишут родные: «Во всём Дрездене дети не ходят в школу. Школы закрыты, так как свирепствуют паратиф, дифтерит и детский паралич. Всё это наделала проклятая война». Пленный солдат 4 пехотного полка 32 немецкой пехотной дивизии Вилли Майнке заявил: «Что говорить о настроении дома, когда из моей маленькой деревушки убито на Востоке 12 человек». Пленный ефрейтор 96 немецкого пехотного полка Эрих Вендт сказал: «Война принесла нам только горе. Виноват в этом Гитлер. Германский народ должен очистить своё поле от этой скверны — нацистов и Гитлера. Тогда будет мир» (14841).</w:t>
      </w:r>
    </w:p>
    <w:p w14:paraId="19FCEAA5" w14:textId="77777777" w:rsidR="00F30FFF" w:rsidRPr="00640820" w:rsidRDefault="00F30FFF" w:rsidP="00640820">
      <w:pPr>
        <w:spacing w:after="0" w:line="240" w:lineRule="auto"/>
        <w:jc w:val="both"/>
        <w:rPr>
          <w:rFonts w:ascii="Times New Roman" w:hAnsi="Times New Roman"/>
          <w:color w:val="000000" w:themeColor="text1"/>
          <w:sz w:val="16"/>
          <w:szCs w:val="16"/>
        </w:rPr>
      </w:pPr>
    </w:p>
    <w:p w14:paraId="16C28A8B"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26 ноября </w:t>
      </w:r>
      <w:r w:rsidRPr="00640820">
        <w:rPr>
          <w:rFonts w:ascii="Times New Roman" w:hAnsi="Times New Roman"/>
          <w:color w:val="000000" w:themeColor="text1"/>
          <w:sz w:val="16"/>
          <w:szCs w:val="16"/>
        </w:rPr>
        <w:t>в 1941 году первыми в кавалерийских войсках удостоены звания гвардейских 2-й (генерал-майор П.А.Белов) и 3-й кавалерийские корпуса (генерал-майор Л.М.Доватор), ставшие соответственно 1-ми 2-м гвардейскими кавалерийскими корпусами (14841).</w:t>
      </w:r>
    </w:p>
    <w:p w14:paraId="4049BEBA" w14:textId="77777777" w:rsidR="00F30FFF" w:rsidRPr="00640820" w:rsidRDefault="00F30FFF" w:rsidP="00640820">
      <w:pPr>
        <w:spacing w:after="0" w:line="240" w:lineRule="auto"/>
        <w:jc w:val="both"/>
        <w:rPr>
          <w:rFonts w:ascii="Times New Roman" w:hAnsi="Times New Roman"/>
          <w:color w:val="000000" w:themeColor="text1"/>
          <w:sz w:val="16"/>
          <w:szCs w:val="16"/>
        </w:rPr>
      </w:pPr>
    </w:p>
    <w:p w14:paraId="6826C34E" w14:textId="77777777" w:rsidR="00F30FFF" w:rsidRPr="00640820" w:rsidRDefault="00F30F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26 ноября </w:t>
      </w:r>
      <w:r w:rsidRPr="00640820">
        <w:rPr>
          <w:rFonts w:ascii="Times New Roman" w:hAnsi="Times New Roman"/>
          <w:color w:val="000000" w:themeColor="text1"/>
          <w:sz w:val="16"/>
          <w:szCs w:val="16"/>
        </w:rPr>
        <w:t>в 1941 году немецкие войска заняли Ливны (14841).</w:t>
      </w:r>
    </w:p>
    <w:p w14:paraId="321F6A18" w14:textId="77777777" w:rsidR="00F30FFF" w:rsidRPr="00640820" w:rsidRDefault="00F30FFF" w:rsidP="00640820">
      <w:pPr>
        <w:spacing w:after="0" w:line="240" w:lineRule="auto"/>
        <w:jc w:val="both"/>
        <w:rPr>
          <w:rFonts w:ascii="Times New Roman" w:hAnsi="Times New Roman"/>
          <w:color w:val="000000" w:themeColor="text1"/>
          <w:sz w:val="16"/>
          <w:szCs w:val="16"/>
        </w:rPr>
      </w:pPr>
    </w:p>
    <w:p w14:paraId="7A35DD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26 ноября 1941 истребители 168 иа полка 10 смешанной ад на ЛаГГ-3 сопровождали пикировщики Пе-2 и Пе-3 при нанесении ударов по наступающим войскам немцев на волоколамском, клинс-ком и юхновском направлениях. ЛаГГи также и сами штурмовали вражеские колонны, мощное вооружение позволяло использовать их в этом качестве гораздо эффективней, чем "одноклассников" - МиГ-3 и Як-1. Особенно хорошо себя проявили самолеты, оснащенные пусковыми установками PC, причем ракетами стреляли и по воздушным целям -лейтенант Ф.Д.Межуев двумя PC сбил Bf 109F (4707).</w:t>
      </w:r>
    </w:p>
    <w:p w14:paraId="7F844B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14591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ноября 1941 разведчик 750 дбап обнаружил на аэродроме Витебска 8 захваченных немцами ТБ-3 (1859).</w:t>
      </w:r>
    </w:p>
    <w:p w14:paraId="34EFDC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0E7F1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ноября 1941 на Ленинградском фронте выполнил первый боевой вылет 154-й истребительный авиполк, который 28 октября 1941 получил 20 разобранных истребителей P-40 на аэродроме Кадниково (3457,61).</w:t>
      </w:r>
    </w:p>
    <w:p w14:paraId="0D24D1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895BB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ноября 1941 танки были остановлены в 19 милях от Москву (2260).</w:t>
      </w:r>
    </w:p>
    <w:p w14:paraId="033C62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EAB39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26 ноября по 28 декабря 1941 было контрнаступление под Тихвином (2443,421).</w:t>
      </w:r>
    </w:p>
    <w:p w14:paraId="49B74D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8208DE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ноября 1941 вышло Постановление ГКО № 966 [О сокращении тыловых учреждений КА и направлении личного состава, вооружения, транспорта и другого имущества на формирование 70 стрелковых дивизий и 50 отдельных стрелковых бригад.] (7016, 25).</w:t>
      </w:r>
    </w:p>
    <w:p w14:paraId="33F0C6F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0CADDE"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7C76FED4"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4CBDE7C" w14:textId="77777777" w:rsidR="0085197F" w:rsidRPr="00640820" w:rsidRDefault="0085197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26 ноября 1941 года начались испытания двигателей воздушного охлаждения Бристоль «Геркулес», мощных, но больших, тяжелых, менее высотных и потреблявших больше бензина, которые поставили на серийный «Ланкастер» Mk.I борт ВТ810. Испытания показали, что скорость и скороподъемность существенно улучшились, а после выработки трети топлива можно было лететь на любом одном моторе, что и решило вопрос о запуске машины в серию (22866).</w:t>
      </w:r>
    </w:p>
    <w:p w14:paraId="0C23041B" w14:textId="77777777" w:rsidR="0085197F" w:rsidRPr="00640820" w:rsidRDefault="0085197F" w:rsidP="00640820">
      <w:pPr>
        <w:spacing w:after="0" w:line="240" w:lineRule="auto"/>
        <w:jc w:val="both"/>
        <w:rPr>
          <w:rFonts w:ascii="Times New Roman" w:hAnsi="Times New Roman"/>
          <w:color w:val="0070C0"/>
          <w:sz w:val="16"/>
          <w:szCs w:val="16"/>
        </w:rPr>
      </w:pPr>
    </w:p>
    <w:p w14:paraId="7C1AFB68" w14:textId="77777777" w:rsidR="00744007" w:rsidRPr="00640820" w:rsidRDefault="00744007"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26 ноября </w:t>
      </w:r>
      <w:r w:rsidRPr="00640820">
        <w:rPr>
          <w:rFonts w:ascii="Times New Roman" w:hAnsi="Times New Roman"/>
          <w:color w:val="000000" w:themeColor="text1"/>
          <w:sz w:val="16"/>
          <w:szCs w:val="16"/>
        </w:rPr>
        <w:t>в 1941 году в районе селения Эд Дуда к юго-востоку от Тобрука части осаждённого британского гарнизона соединились с передовыми отрядами 2-й новозеландской дивизии. Кольцо осады вокруг Тобрука было прорвано (14841).</w:t>
      </w:r>
    </w:p>
    <w:p w14:paraId="322BB04E" w14:textId="77777777" w:rsidR="00744007" w:rsidRPr="00640820" w:rsidRDefault="00744007" w:rsidP="00640820">
      <w:pPr>
        <w:spacing w:after="0" w:line="240" w:lineRule="auto"/>
        <w:jc w:val="both"/>
        <w:rPr>
          <w:rFonts w:ascii="Times New Roman" w:hAnsi="Times New Roman"/>
          <w:color w:val="000000" w:themeColor="text1"/>
          <w:sz w:val="16"/>
          <w:szCs w:val="16"/>
        </w:rPr>
      </w:pPr>
    </w:p>
    <w:p w14:paraId="51176C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ноября 1941 для того, чтобы не допустить усиления национально-освободительного движения, которое получило мощный импульс в результате поражения Франции правительство генерала де Голля от имени Франции объявляет о признании независимости Ливана.</w:t>
      </w:r>
    </w:p>
    <w:p w14:paraId="0ABCF8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Однако генерал де Голль, будучи в то время убежденным сторонником сохранения французской колониальной империи, рассматривал это признание как политический маневр. Дело в том, что еще в августе он добился от Великобритании согласия на восстановление колониальной администрации и французского контроля над полицией и "спецвойсками Леванта" (соглашение де Голль - Литтлтон) (3871).</w:t>
      </w:r>
    </w:p>
    <w:p w14:paraId="0EA0E6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DB5A2CB" w14:textId="77777777" w:rsidR="00744007" w:rsidRPr="00640820" w:rsidRDefault="00744007"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ноября 1941 г. Вашингтон представил Японии документ из десяти пунктов, носивший форму ультиматума. В нем, в частности, от Японии требовалось вывести все войска из Китая и Индокитая и отказаться от поддержки в Китае любого иного правительства, кроме правительства гоминьдана со столицей в Чунцине (3871).</w:t>
      </w:r>
    </w:p>
    <w:p w14:paraId="4C33177E" w14:textId="77777777" w:rsidR="00744007" w:rsidRPr="00640820" w:rsidRDefault="00744007" w:rsidP="00640820">
      <w:pPr>
        <w:autoSpaceDE w:val="0"/>
        <w:autoSpaceDN w:val="0"/>
        <w:adjustRightInd w:val="0"/>
        <w:spacing w:after="0" w:line="240" w:lineRule="auto"/>
        <w:jc w:val="both"/>
        <w:rPr>
          <w:rFonts w:ascii="Times New Roman" w:hAnsi="Times New Roman"/>
          <w:color w:val="000000" w:themeColor="text1"/>
          <w:sz w:val="16"/>
          <w:szCs w:val="16"/>
        </w:rPr>
      </w:pPr>
    </w:p>
    <w:p w14:paraId="5F191D2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ноября 1941 японская авиация получила приказ начать подготовку к нанесению удара по американской базе в Пирл-Харборе (4962).</w:t>
      </w:r>
    </w:p>
    <w:p w14:paraId="617F6B7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4A33A1" w14:textId="77777777" w:rsidR="00744007" w:rsidRPr="00640820" w:rsidRDefault="00744007"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26 ноября </w:t>
      </w:r>
      <w:r w:rsidRPr="00640820">
        <w:rPr>
          <w:rFonts w:ascii="Times New Roman" w:hAnsi="Times New Roman"/>
          <w:color w:val="000000" w:themeColor="text1"/>
          <w:sz w:val="16"/>
          <w:szCs w:val="16"/>
        </w:rPr>
        <w:t>в 1941 году японская авиация получила приказ начать подготовку к нанесению удара по американской базе в Пирл-Харборе. Из бухты Хитокапу острова Итуруп (Курильские острова) выходит 6 японских авианосцев с 400 самолетами и прикрытием из 2 линкоров, 3 крейсеров, 9 миноносцев. Никем незамеченная, а вернее «провороненная» американцами, эскадра приближается к военно-морской базе США Перл-Харбор на Гавайях (14841).</w:t>
      </w:r>
    </w:p>
    <w:p w14:paraId="69AB964E" w14:textId="77777777" w:rsidR="00744007" w:rsidRPr="00640820" w:rsidRDefault="00744007" w:rsidP="00640820">
      <w:pPr>
        <w:spacing w:after="0" w:line="240" w:lineRule="auto"/>
        <w:jc w:val="both"/>
        <w:rPr>
          <w:rFonts w:ascii="Times New Roman" w:hAnsi="Times New Roman"/>
          <w:color w:val="000000" w:themeColor="text1"/>
          <w:sz w:val="16"/>
          <w:szCs w:val="16"/>
        </w:rPr>
      </w:pPr>
    </w:p>
    <w:p w14:paraId="76B2210C" w14:textId="77777777" w:rsidR="00744007" w:rsidRPr="00640820" w:rsidRDefault="00744007"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ноября 1941 японский флот вышел с Курил (с Итурупа) в направлении Перл Харбор (2100).</w:t>
      </w:r>
    </w:p>
    <w:p w14:paraId="2AAACD16" w14:textId="77777777" w:rsidR="00744007" w:rsidRPr="00640820" w:rsidRDefault="00744007" w:rsidP="00640820">
      <w:pPr>
        <w:autoSpaceDE w:val="0"/>
        <w:autoSpaceDN w:val="0"/>
        <w:adjustRightInd w:val="0"/>
        <w:spacing w:after="0" w:line="240" w:lineRule="auto"/>
        <w:jc w:val="both"/>
        <w:rPr>
          <w:rFonts w:ascii="Times New Roman" w:hAnsi="Times New Roman"/>
          <w:color w:val="000000" w:themeColor="text1"/>
          <w:sz w:val="16"/>
          <w:szCs w:val="16"/>
        </w:rPr>
      </w:pPr>
    </w:p>
    <w:p w14:paraId="758A850E"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lastRenderedPageBreak/>
        <w:t>Авиапромышленность:</w:t>
      </w:r>
    </w:p>
    <w:p w14:paraId="5E1F4F8A"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23B38DF" w14:textId="77777777" w:rsidR="00AE047E" w:rsidRPr="00640820" w:rsidRDefault="00AE047E" w:rsidP="00640820">
      <w:pPr>
        <w:pStyle w:val="ae"/>
        <w:shd w:val="clear" w:color="auto" w:fill="FFFFFF"/>
        <w:spacing w:before="0" w:after="0"/>
        <w:jc w:val="both"/>
        <w:rPr>
          <w:color w:val="000000" w:themeColor="text1"/>
          <w:sz w:val="16"/>
          <w:szCs w:val="16"/>
        </w:rPr>
      </w:pPr>
      <w:r w:rsidRPr="00640820">
        <w:rPr>
          <w:color w:val="000000" w:themeColor="text1"/>
          <w:sz w:val="16"/>
          <w:szCs w:val="16"/>
        </w:rPr>
        <w:t>27 ноября 1941 вышел приказ НКАП № 1153сс</w:t>
      </w:r>
    </w:p>
    <w:p w14:paraId="6501B7C0" w14:textId="77777777" w:rsidR="00AE047E" w:rsidRPr="00640820" w:rsidRDefault="00AE047E" w:rsidP="00640820">
      <w:pPr>
        <w:pStyle w:val="ae"/>
        <w:shd w:val="clear" w:color="auto" w:fill="FFFFFF"/>
        <w:spacing w:before="0" w:after="0"/>
        <w:jc w:val="both"/>
        <w:rPr>
          <w:color w:val="000000" w:themeColor="text1"/>
          <w:sz w:val="16"/>
          <w:szCs w:val="16"/>
        </w:rPr>
      </w:pPr>
      <w:r w:rsidRPr="00640820">
        <w:rPr>
          <w:color w:val="000000" w:themeColor="text1"/>
          <w:sz w:val="16"/>
          <w:szCs w:val="16"/>
        </w:rPr>
        <w:t>Об установке на Ил-2 37-мм пушки ОКБ-15 и выпуске 20 противотанковых Ил-2 к 15.01.42 (19706).</w:t>
      </w:r>
    </w:p>
    <w:p w14:paraId="0DF31A98" w14:textId="77777777" w:rsidR="00AE047E" w:rsidRPr="00640820" w:rsidRDefault="00AE047E" w:rsidP="00640820">
      <w:pPr>
        <w:pStyle w:val="ae"/>
        <w:shd w:val="clear" w:color="auto" w:fill="FFFFFF"/>
        <w:spacing w:before="0" w:after="0"/>
        <w:jc w:val="both"/>
        <w:rPr>
          <w:color w:val="000000" w:themeColor="text1"/>
          <w:sz w:val="16"/>
          <w:szCs w:val="16"/>
        </w:rPr>
      </w:pPr>
    </w:p>
    <w:p w14:paraId="424FE4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ноября 1941 Уполн. НКАП по Казани и Нач. 10 ГУ Тарасевич в письме в НКАП А.И.Ш. писал о целесообразности расформирования завода 240, т.к. в Казани, куда был направлен завод на территорию 124 завода, не находилось места. КБ же предлагалось перевести в Свердловск к месту прохождения гос. испытаний Ер-2 (1685,1).</w:t>
      </w:r>
    </w:p>
    <w:p w14:paraId="0DFEE8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727B8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ноября 1941 вышел приказ НКАП N 1153сс "О вооружении противотанковой авиации 37 мм пушками ОКБ-15, изготовленными заводом 74 НКВ" (1331,47).</w:t>
      </w:r>
    </w:p>
    <w:p w14:paraId="19DFC4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исполнение постановления ГКО N 967 от 26 ноября 1941:</w:t>
      </w:r>
    </w:p>
    <w:p w14:paraId="389476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Директору завода 21 Гостинцеву установить в самолетах ЛаГГ-3 37 мм пушки ОКБ-15, закончив выпуск 20 противотанковых самолетов ЛаГГ к 15 декабря 1941</w:t>
      </w:r>
    </w:p>
    <w:p w14:paraId="329E50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Директору завода 18 Шенкману установить в самолеты Ил-2 37-мм пушки ОКБ-15, закончив выпуск 20 противотанковых самолетов Ил-2 к 15 января 1942 (1331,47).</w:t>
      </w:r>
    </w:p>
    <w:p w14:paraId="7E95F4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9DCE563"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0A58F87C"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24167A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ноября 1941 (эшелон с корпусными деталями, шаб</w:t>
      </w:r>
      <w:r w:rsidRPr="00640820">
        <w:rPr>
          <w:rFonts w:ascii="Times New Roman" w:hAnsi="Times New Roman"/>
          <w:color w:val="000000" w:themeColor="text1"/>
          <w:sz w:val="16"/>
          <w:szCs w:val="16"/>
        </w:rPr>
        <w:softHyphen/>
        <w:t>лонами и кондукторами прибыл 19 ноября) заказчику сдали первый танк завода № 183, изготовленный в Нижнем Тагиле, и 20 декабря, в ходе контрнаступления под Москвой, сдали заказчику пер</w:t>
      </w:r>
      <w:r w:rsidRPr="00640820">
        <w:rPr>
          <w:rFonts w:ascii="Times New Roman" w:hAnsi="Times New Roman"/>
          <w:color w:val="000000" w:themeColor="text1"/>
          <w:sz w:val="16"/>
          <w:szCs w:val="16"/>
        </w:rPr>
        <w:softHyphen/>
        <w:t>вые 25 танков. Главной проблемой для этих танков стали ди</w:t>
      </w:r>
      <w:r w:rsidRPr="00640820">
        <w:rPr>
          <w:rFonts w:ascii="Times New Roman" w:hAnsi="Times New Roman"/>
          <w:color w:val="000000" w:themeColor="text1"/>
          <w:sz w:val="16"/>
          <w:szCs w:val="16"/>
        </w:rPr>
        <w:softHyphen/>
        <w:t>зель-моторы, и потому на них установили 5 дизелей В-2 (480 л.с.), полученных из Челябинска, 12 дизелей В-2-34 (500 л.с.), привезенных из Харькова, а также 8 дизелей В-2В (300 л.с. от тягача «Ворошиловец») (10782).</w:t>
      </w:r>
    </w:p>
    <w:p w14:paraId="7231DA1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878FB2" w14:textId="77777777" w:rsidR="00BB00A7" w:rsidRPr="00640820" w:rsidRDefault="00BB00A7"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27 ноября 1941 года Совет Народных Комиссаров Узбекской ССР и ЦК КП/б/ Узбекистана приняли совместное постановление «О мероприятиях по размещению и пуску в эксплоатацию завода № 191 Наркоматэлектпромышленности».</w:t>
      </w:r>
    </w:p>
    <w:p w14:paraId="54A0917B" w14:textId="77777777" w:rsidR="00BB00A7" w:rsidRPr="00640820" w:rsidRDefault="00BB00A7"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«СОВЕТ НАРОДНЫХ КОМИССАРОВ УзССР и ЦК КП/б/Уз. постановляют:</w:t>
      </w:r>
    </w:p>
    <w:p w14:paraId="2EF9F23A" w14:textId="77777777" w:rsidR="00BB00A7" w:rsidRPr="00640820" w:rsidRDefault="00BB00A7"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1.Разместить оборудование эвакуированного завода № 191 Наркомата электропромышленности СССР в помещении б. музея искусств Узбекистана на площади 3.500 кв. метров с передачей заводу всех расположенных на территории музея зданий и котельной установки.</w:t>
      </w:r>
    </w:p>
    <w:p w14:paraId="45CE6D0B" w14:textId="77777777" w:rsidR="00BB00A7" w:rsidRPr="00640820" w:rsidRDefault="00BB00A7"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2.Для размещения вспомогательных цехов и складов передать заводу следующие здания:</w:t>
      </w:r>
    </w:p>
    <w:p w14:paraId="1B3A0DE6" w14:textId="77777777" w:rsidR="00BB00A7" w:rsidRPr="00640820" w:rsidRDefault="00BB00A7"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а) дом № 4 – помещения зеркальной мастерской артели «Шарк Юлдуз» и мастерской вывесок и плакатов «Всекохудожник»</w:t>
      </w:r>
    </w:p>
    <w:p w14:paraId="1D33EE4C" w14:textId="77777777" w:rsidR="00BB00A7" w:rsidRPr="00640820" w:rsidRDefault="00BB00A7"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/нижний этаж/, дом № 6 – помещение, занимаемое спортивным залом «Старт Востока» Узбекистанского совета ДСО, дом № 10 – помещение магазина № 1 главхимсбыта, ателье мод артели им.Ленина и помещение парикмахерской по Узбекистанской улице;</w:t>
      </w:r>
    </w:p>
    <w:p w14:paraId="6C49A6DC" w14:textId="77777777" w:rsidR="00BB00A7" w:rsidRPr="00640820" w:rsidRDefault="00BB00A7"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б) дом № 14 – помещение, занятое столовой № 9 Куйбышевского треста столовых и ресторанов; дом № 14 а – помещение, занимаемое шашлычной артелью «Красный пищевик» при горпищепромсоюзе по Пролетарской улице.</w:t>
      </w:r>
    </w:p>
    <w:p w14:paraId="60932A2D" w14:textId="77777777" w:rsidR="00BB00A7" w:rsidRPr="00640820" w:rsidRDefault="00BB00A7"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3.Обязать руководителей указанных предприятий и учреждений в 5-тидневный срок передать дирекции завода № 191 все перечисленные помещения и территории.</w:t>
      </w:r>
    </w:p>
    <w:p w14:paraId="08C5DBB0" w14:textId="77777777" w:rsidR="00BB00A7" w:rsidRPr="00640820" w:rsidRDefault="00BB00A7"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4.Поручить Ташгорисполкому (тов. Хусаинову) в декадный срок отвести заводу № 191 земельный участок площадью до 6 тыс. кв.метров за счет территорий, прилегающих к зданиям физико-математического и химического факультетов САГУ /по Узбекистанской улице/.</w:t>
      </w:r>
    </w:p>
    <w:p w14:paraId="2989B286" w14:textId="77777777" w:rsidR="00BB00A7" w:rsidRPr="00640820" w:rsidRDefault="00BB00A7"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5.Обязать директора завода № 191 (тов.Сергеева) по прибытии оборудования завода представить на утверждение СНК УзССР график монтажа оборудования и пуска завода №191 в эксплоатацию.</w:t>
      </w:r>
    </w:p>
    <w:p w14:paraId="22929260" w14:textId="77777777" w:rsidR="00BB00A7" w:rsidRPr="00640820" w:rsidRDefault="00BB00A7"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6.Предложить Узбекэнерго (тов.Шацкому) обеспечить завод №191 электроэнергией общей мощностью 1200-1500 квт.,из них для первой очереди 350-400 квт., для второй очереди-700-800 квт.</w:t>
      </w:r>
    </w:p>
    <w:p w14:paraId="6C064297" w14:textId="77777777" w:rsidR="00BB00A7" w:rsidRPr="00640820" w:rsidRDefault="00BB00A7"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7.ОбязатьТашпромстрой (тов.Ковалева) заключить договор на производство строительных работ газового, стекольного и других производственных подсобных помещений для завода № 191.</w:t>
      </w:r>
    </w:p>
    <w:p w14:paraId="47359344" w14:textId="77777777" w:rsidR="00BB00A7" w:rsidRPr="00640820" w:rsidRDefault="00BB00A7"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8.Поручить госплану УзССР (тов.Логинову) рассмотреть заявки на потребное количество местных стройматериалов для строительства производственных и жилых помещений завода № 191, выделив необходимое количество стройматериалов в 4-м квартале 1941 г.</w:t>
      </w:r>
    </w:p>
    <w:p w14:paraId="6D5F6DA5" w14:textId="77777777" w:rsidR="00BB00A7" w:rsidRPr="00640820" w:rsidRDefault="00BB00A7"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9.Обязать Ташгорисполком (тов.Хусаинова) выделить заводу № 191 необходимое количество трамвайных платформ для перевозки эвакуированного оборудования на отведенную заводу площадку.</w:t>
      </w:r>
    </w:p>
    <w:p w14:paraId="00FE39E6" w14:textId="77777777" w:rsidR="00BB00A7" w:rsidRPr="00640820" w:rsidRDefault="00BB00A7"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10.Поручить комиссии т.Адилова выделить в распоряжение дирекции завода № 191 для размещения людей завода жилую площадь в количестве 2000 кв.м.</w:t>
      </w:r>
    </w:p>
    <w:p w14:paraId="33FFCFD9" w14:textId="77777777" w:rsidR="00BB00A7" w:rsidRPr="00640820" w:rsidRDefault="00BB00A7"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11.Предложить дирекции завода № 191 (т.Сергееву) немедленно приступить к строительству жилых бараков из местных стройматериалов площадью в количестве 5000 кв.м.</w:t>
      </w:r>
    </w:p>
    <w:p w14:paraId="77D58083" w14:textId="77777777" w:rsidR="00BB00A7" w:rsidRPr="00640820" w:rsidRDefault="00BB00A7"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12.Обязать Ташгорисполком (т.Хусаинова) отвести земельный участок для строительства бараков с учетом территориальной близости к производственным базам завода № 191</w:t>
      </w:r>
    </w:p>
    <w:p w14:paraId="54B00E46" w14:textId="77777777" w:rsidR="00BB00A7" w:rsidRPr="00640820" w:rsidRDefault="00BB00A7"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13.Поручить Наркомтруду УзССР (т.Айрумянц)</w:t>
      </w:r>
    </w:p>
    <w:p w14:paraId="01206C39" w14:textId="77777777" w:rsidR="00BB00A7" w:rsidRPr="00640820" w:rsidRDefault="00BB00A7"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а) решить все вопросы, связанные с питанием личного состава завода № 191, прикрепив наличный контингент рабочих, служащих</w:t>
      </w:r>
    </w:p>
    <w:p w14:paraId="53E4838C" w14:textId="77777777" w:rsidR="00BB00A7" w:rsidRPr="00640820" w:rsidRDefault="00BB00A7"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и ИТР завода к действующим столовым, расположенным вблизи завода, выделив для этой цели необходимые фонды продуктов;</w:t>
      </w:r>
    </w:p>
    <w:p w14:paraId="00977E96" w14:textId="77777777" w:rsidR="00BB00A7" w:rsidRPr="00640820" w:rsidRDefault="00BB00A7"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б) выделить в распоряжение дирекции завода № 191 необходимое количество мебели из наличия в торговой сети (матрацы, столы, стулья, баки и т.д.).</w:t>
      </w:r>
    </w:p>
    <w:p w14:paraId="4EDFEE93" w14:textId="77777777" w:rsidR="00BB00A7" w:rsidRPr="00640820" w:rsidRDefault="00BB00A7"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14.Обязать Наркомпрос УзССР (т.Розакова) временно, до окончания собственного строительства детдомов и детяслей завода № 191, разместить детей рабочих, служащих и ИТР завода № 191 в действующих детсадах и детяслях г.Ташкента.</w:t>
      </w:r>
    </w:p>
    <w:p w14:paraId="7FD04C13" w14:textId="77777777" w:rsidR="00BB00A7" w:rsidRPr="00640820" w:rsidRDefault="00BB00A7"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15.Предложить Наркомздраву УзССР (т.Муминову) закрепить за заводом № 191 одну поликлинику г.Ташкента для обслуживания семей рабочих, служащих и ИТР завода.</w:t>
      </w:r>
    </w:p>
    <w:p w14:paraId="750375ED" w14:textId="77777777" w:rsidR="00BB00A7" w:rsidRPr="00640820" w:rsidRDefault="00BB00A7"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16.Поручить Управлению трудовых резервов при СНК УзССР (тов.Дьяконова) закрепить за заводом № 191 одну из школ ФЗО.</w:t>
      </w:r>
    </w:p>
    <w:p w14:paraId="20CFFD36" w14:textId="77777777" w:rsidR="00BB00A7" w:rsidRPr="00640820" w:rsidRDefault="00BB00A7"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17.Обязать дирекцию завода № 191 (тов.Сергеева) представить Госплану УзССР баланс потребной рабочей силы для завода.</w:t>
      </w:r>
    </w:p>
    <w:p w14:paraId="6631BAAF" w14:textId="77777777" w:rsidR="00BB00A7" w:rsidRPr="00640820" w:rsidRDefault="00BB00A7"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Зам. Председателя СоветаСекретарь ЦК КП/б/ Узбекистана</w:t>
      </w:r>
    </w:p>
    <w:p w14:paraId="1CD3C303" w14:textId="77777777" w:rsidR="00BB00A7" w:rsidRPr="00640820" w:rsidRDefault="00BB00A7"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Народных комиссаров УзССР КабановУ.Юсупов (17424).</w:t>
      </w:r>
    </w:p>
    <w:p w14:paraId="02ED121A" w14:textId="77777777" w:rsidR="00BB00A7" w:rsidRPr="00640820" w:rsidRDefault="00BB00A7"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p>
    <w:p w14:paraId="5BDC11E9" w14:textId="77777777" w:rsidR="00744007" w:rsidRPr="00640820" w:rsidRDefault="00744007"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bCs/>
          <w:iCs/>
          <w:color w:val="000000" w:themeColor="text1"/>
          <w:sz w:val="16"/>
          <w:szCs w:val="16"/>
        </w:rPr>
        <w:t>27 ноября 1941 г.</w:t>
      </w:r>
      <w:r w:rsidRPr="00640820">
        <w:rPr>
          <w:rFonts w:ascii="Times New Roman" w:hAnsi="Times New Roman"/>
          <w:color w:val="000000" w:themeColor="text1"/>
          <w:sz w:val="16"/>
          <w:szCs w:val="16"/>
        </w:rPr>
        <w:t xml:space="preserve"> Распоряжение Совнаркома СССР об увеличении производства мышьяка в1942 г. до 22 000 тонн в год, в том числе в расширенном цехе по выпуску металлического мышьяка при Ново-Троицком заводе до 660 тонн в год и во вновь построенных цехах при Ангарском (мощность 930 тонн в год) и Карабашском заводах (мощность 450 тонн в год). Мышьяк был необходим для выпуска люизита, адамсита и дифенилхлорарсина (17133).</w:t>
      </w:r>
    </w:p>
    <w:p w14:paraId="24A806C4" w14:textId="77777777" w:rsidR="00744007" w:rsidRPr="00640820" w:rsidRDefault="00744007" w:rsidP="00640820">
      <w:pPr>
        <w:shd w:val="clear" w:color="auto" w:fill="FFFFFF"/>
        <w:spacing w:after="0" w:line="240" w:lineRule="auto"/>
        <w:jc w:val="both"/>
        <w:rPr>
          <w:rFonts w:ascii="Times New Roman" w:hAnsi="Times New Roman"/>
          <w:color w:val="000000" w:themeColor="text1"/>
          <w:sz w:val="16"/>
          <w:szCs w:val="16"/>
        </w:rPr>
      </w:pPr>
    </w:p>
    <w:p w14:paraId="5D1865F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ноября 1941 вышло Постановление ГКО № 968 О строительстве новой железнодорожной линии В. Баскунчак - Макат (на линию Гурьев - Кандагач). (7016, 27-28).</w:t>
      </w:r>
    </w:p>
    <w:p w14:paraId="0C0DA47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6BC90C"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7C0C73F9"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4CA1485" w14:textId="77777777" w:rsidR="00744007" w:rsidRPr="00640820" w:rsidRDefault="00744007"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27 ноября </w:t>
      </w:r>
      <w:r w:rsidRPr="00640820">
        <w:rPr>
          <w:rFonts w:ascii="Times New Roman" w:hAnsi="Times New Roman"/>
          <w:color w:val="000000" w:themeColor="text1"/>
          <w:sz w:val="16"/>
          <w:szCs w:val="16"/>
        </w:rPr>
        <w:t>в 1941 году утреннее сообщение Совинформбюро:</w:t>
      </w:r>
    </w:p>
    <w:p w14:paraId="5781DC80" w14:textId="77777777" w:rsidR="00744007" w:rsidRPr="00640820" w:rsidRDefault="0074400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27 ноября наши войска вели бои с противником на всех фронтах.</w:t>
      </w:r>
    </w:p>
    <w:p w14:paraId="2BF4FE75" w14:textId="77777777" w:rsidR="00744007" w:rsidRPr="00640820" w:rsidRDefault="0074400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Наша часть, действующая на одном из участков Западного фронта, в ожесточённом бою нанесла немцам большой урон. На поле боя осталось свыше полутора тысяч убитых солдат и офицеров противника и 15 сожжённых и разбитых вражеских танков.</w:t>
      </w:r>
    </w:p>
    <w:p w14:paraId="70D28DD1" w14:textId="77777777" w:rsidR="00744007" w:rsidRPr="00640820" w:rsidRDefault="0074400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Лётчики части тов. Шевченко, действующей на Южном фронте, за один день уничтожили 2 немецких танка, 7 бронемашин, белее 200 автомашин с военным снаряжением и истребили свыше 400 солдат и офицеров противника. В воздушном бою сбито 5 немецких самолётов.</w:t>
      </w:r>
    </w:p>
    <w:p w14:paraId="5897776C" w14:textId="77777777" w:rsidR="00744007" w:rsidRPr="00640820" w:rsidRDefault="0074400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Бойцы тов. Дратвина на одном из участков Юго-Западного фронта за последние дни истребили свыше 1.000 немецких солдат и офицеров.</w:t>
      </w:r>
    </w:p>
    <w:p w14:paraId="45CD44AC" w14:textId="77777777" w:rsidR="00744007" w:rsidRPr="00640820" w:rsidRDefault="0074400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участков Северо-Западного фронта часть тов. Галкина разгромила 20 вражеских ДЗОТов, истребила 250 немецких солдат, 50 офицеров и захватила много автоматического оружия.</w:t>
      </w:r>
    </w:p>
    <w:p w14:paraId="6ED05D89" w14:textId="77777777" w:rsidR="00744007" w:rsidRPr="00640820" w:rsidRDefault="0074400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Партизанские отряды на Киевщине продолжают наносить немецким захватчикам чувствительные удары. Партизанский отряд под командованием тов. П. в районе своей деятельности взорвал все мосты. В наиболее важных пунктах немцы несколько раз восстанавливали разрушенные мосты, но партизаны снова их взрывали. Недавно партизаны напали на автоколонну противника и уничтожили 7 автомашин, истребили 35 вражеских солдат и офицеров и захватили большое количество боеприпасов. Все попытки фашистов напасть на след отряда и уничтожить его провалились. Партизаны заманивали немцев в ловушки и истребляли. За 3 недели немецкие карательные отряды, посланные против партизанского отряда, потеряли больше 100 солдат убитыми и ранеными. Отряду помогают сотни разведчиков и </w:t>
      </w:r>
      <w:r w:rsidRPr="00640820">
        <w:rPr>
          <w:rFonts w:ascii="Times New Roman" w:hAnsi="Times New Roman"/>
          <w:color w:val="000000" w:themeColor="text1"/>
          <w:sz w:val="16"/>
          <w:szCs w:val="16"/>
        </w:rPr>
        <w:lastRenderedPageBreak/>
        <w:t>помощников из местного населения. Они сообщают штабу отряда о передвижениях фашистских войск и помогают вылавливать и истреблять мелкие группы немецких солдат. Напуганные фашисты затребовали подкреплений, а пока до прибытия пополнения ликвидировали в сёлах этого района немецкие комендатуры.</w:t>
      </w:r>
    </w:p>
    <w:p w14:paraId="4AA155EB" w14:textId="77777777" w:rsidR="00744007" w:rsidRPr="00640820" w:rsidRDefault="0074400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Части тов. Харитонова, действующие на Южном фронте, выбили противника из ряда населенных пунктов. Жители села Гребцова, освобождённого от фашистских войск, рассказывают: «Вступив в деревню, немцы заняли дома, а крестьян, в том числе стариков и детей, выгнали на улицу. Крестьянам было запрещено взять с собой постельные принадлежности и другие необходимые вещи. Фашисты выбросили на улицу беременную Александру Березнякову, у которой уже начались родовые схватки. У колхозницы Пелагеи Погореловой немцы разграбили квартиру, забрали одежду и все ценные вещи, а хозяйку избили до полусмерти. Уходя, фашисты бросили в дом гранату. У крестьянок Варвары Колияшиной, Анны Колияшиной, Прасковьи Питюниной, П. И. Кисленко и других немцы зарезали весь скот, всю домашнюю птицу, забрали хлеб и картофель. Фашисты произвели многочисленные аресты и угнали в неизвестном направлении несколько десятков крестьян».</w:t>
      </w:r>
    </w:p>
    <w:p w14:paraId="2A69E9AC" w14:textId="77777777" w:rsidR="00744007" w:rsidRPr="00640820" w:rsidRDefault="0074400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Трудящиеся Читинской области на призыв товарища Сталина работать, не покладая рук, для помощи фронту отвечают новым повышением производительности труда. Встав на сталинскую вахту, бурильщики Казаковского золотого прииска Михаил Буянов и Карп Акулов отбили в смену 76 тонн руды и выполнили норму на 440 процентов. На угольных шахтах треста «Востуголь» женщины заменили шахтёров, ушедших на фронт. Работницы т.т. Калмыкова и Кропачёва вначале освоили профессию навалоотбойщиков, затем стали машинистами тяжёлых врубовых машин. Досрочно закончили годовой план Ононский оловянный рудник, шахта «Новый торм» треста «Востуголь», трест «Амурзолото» и многие другие предприятия. Неутомимо работают геологи Забайкалья. За последнее время открыт и сдан в эксплоатацию ряд новых рассыпных и коренных месторождений «вольфрама, молибдена и других редких металлов (14842).</w:t>
      </w:r>
    </w:p>
    <w:p w14:paraId="3C362208" w14:textId="77777777" w:rsidR="00744007" w:rsidRPr="00640820" w:rsidRDefault="00744007" w:rsidP="00640820">
      <w:pPr>
        <w:spacing w:after="0" w:line="240" w:lineRule="auto"/>
        <w:jc w:val="both"/>
        <w:rPr>
          <w:rFonts w:ascii="Times New Roman" w:hAnsi="Times New Roman"/>
          <w:color w:val="000000" w:themeColor="text1"/>
          <w:sz w:val="16"/>
          <w:szCs w:val="16"/>
        </w:rPr>
      </w:pPr>
    </w:p>
    <w:p w14:paraId="03C46FBE" w14:textId="77777777" w:rsidR="00744007" w:rsidRPr="00640820" w:rsidRDefault="00744007"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27 ноября </w:t>
      </w:r>
      <w:r w:rsidRPr="00640820">
        <w:rPr>
          <w:rFonts w:ascii="Times New Roman" w:hAnsi="Times New Roman"/>
          <w:color w:val="000000" w:themeColor="text1"/>
          <w:sz w:val="16"/>
          <w:szCs w:val="16"/>
        </w:rPr>
        <w:t>в 1941 году вечернее сообщение Совинформбюро:</w:t>
      </w:r>
    </w:p>
    <w:p w14:paraId="21FF6F8B" w14:textId="77777777" w:rsidR="00744007" w:rsidRPr="00640820" w:rsidRDefault="0074400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27 ноября наши войска вели бои с противником на всех фронтах.</w:t>
      </w:r>
    </w:p>
    <w:p w14:paraId="5F66DEB7" w14:textId="77777777" w:rsidR="00744007" w:rsidRPr="00640820" w:rsidRDefault="0074400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26 ноября уничтожено 19 немецких самолётов. Наши потери — 4 самолёта.</w:t>
      </w:r>
    </w:p>
    <w:p w14:paraId="087B0DAB" w14:textId="77777777" w:rsidR="00744007" w:rsidRPr="00640820" w:rsidRDefault="0074400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27 ноября под Москвой сбито 15 немецких самолётов.</w:t>
      </w:r>
    </w:p>
    <w:p w14:paraId="73C7FDE8" w14:textId="77777777" w:rsidR="00744007" w:rsidRPr="00640820" w:rsidRDefault="0074400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26 ноября нашей авиацией уничтожено 105 немецких танков, до 600 автомашин с войсками, 10 полевых орудий, 190 повозок со снарядами, 7 автоцистерн с горючим и истреблено более полка вражеской пехоты и эскадрон конницы.</w:t>
      </w:r>
    </w:p>
    <w:p w14:paraId="5A64B49A" w14:textId="77777777" w:rsidR="00744007" w:rsidRPr="00640820" w:rsidRDefault="0074400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части, действующие на одном пз участков Западного фронта, за один день боёв истребили более 2.000 немецких солдат и офицеров и уничтожили 15 танков противника.</w:t>
      </w:r>
    </w:p>
    <w:p w14:paraId="64715395" w14:textId="77777777" w:rsidR="00744007" w:rsidRPr="00640820" w:rsidRDefault="0074400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артиллеристы, действующие на одном из участков Ленинградского фронта, за последние два дня метким огнём подавили 6 немецких орудийных батарей, уничтожили 8 пулемётных гнёзд и разгромили 20 дерево-земляных укреплений противника. Советские артиллеристы взорвали вражеский склад с боеприпасами и истребили более роты пехоты противника.</w:t>
      </w:r>
    </w:p>
    <w:p w14:paraId="6AA05A96" w14:textId="77777777" w:rsidR="00744007" w:rsidRPr="00640820" w:rsidRDefault="0074400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Немецко-фашистские мерзавцы зверски расправляются с попадающими к ним в плен ранеными красноармейцами. В деревне Никулино фашисты изрубили на куски 8 раненых красноармейцев-артиллеристов. У трёх из них отрублены головы. В деревне Малеева командир роты связи тов. Мочалов и политрук роты тов. Губарев обнаружили зверски истерзанные трупы красноармейцев: Ф.И.Лапенко, С.Д.Сопова, Ф.С.Фильченко. Фашисты чудовищно надругались над ранеными: выкололи у них глаза, отрезали носы и перерезали горло. В деревне Екатериновка подобран труп санитарного инструктора Энского стрелкового полка тов. Никифорова. Гитлеровцы избили тяжело раненого санитара-красноармейца прикладами, искололи штыками, изрезали лицо бритвой.</w:t>
      </w:r>
    </w:p>
    <w:p w14:paraId="24C01611" w14:textId="77777777" w:rsidR="00744007" w:rsidRPr="00640820" w:rsidRDefault="0074400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Немецкие солдаты, захваченные в плен на Южном фронте, рассказывают об огромных потерях германских войск. Ефрейтор 64 мотополка 16 танковой дивизии Альберт Эмден сообщает: «В боях 10--11 ноября дивизия потеряла не менее 200 танков и 25 процентов автотранспорта. С начала войны 64 мотополк пополнялся пять раз. В последних боях полк снова потерял добрую половину своего личного состава. Все командиры взводов выбыли из строя и заменены фельдфебелями. Неоднократно пополнявшаяся за время войны 7 рота потеряла убитыми и ранеными 170 солдат. За последние две недели советская авиация наносила нам жестокие удары. Русские самолёты по десять раз в день нападали на наш полк». Пленный фельдфебель, пилот 52 отряда истребительной авиации 4 авиакорпуса Готвальд Бернгадт рассказал о потерях немецкой авиации: «Немецкие лётчики считают, что германская авиация уже потеряла на Востоке не менее половины всего личного состава военно-воздушных сил. За два с половиной месяца наша группа, насчитывавшая 28 самолётов, потеряла 20 машин. Первая группа бомбардировочной авиации, состоявшая из 26 самолётов «Юн-керс-88», полностью уничтожена. Большие потери понесли экспедиционные авиачасти румын и итальянцев».</w:t>
      </w:r>
    </w:p>
    <w:p w14:paraId="781B6164" w14:textId="77777777" w:rsidR="00744007" w:rsidRPr="00640820" w:rsidRDefault="0074400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Самоотверженно работают трудящиеся Татарии, оказывая Красной Армии большую помощь. Меховая фабрика № 2, завод «Серп и молот» и шорная фабрика досрочно выполнили годовые планы. Завод, где директором тов. Федин, в рекордно короткий срок организовал новое производство, освоил выпуск специальной продукции для фронта. На Н-ском заводе цех, которым руководит тов. Улитин, увеличил выработку в три с половиной раза. Цех завершает выполнение двухгодичной программы. С большим подъемом работают колхозники республики. Члены колхоза «Марс», Тюлячинского района, обсудив доклад тов. Сталина, решили сверх обязательных поставок продать государству 12 тысяч пудов зерна. 6 тысяч пудов хлеба сдаёт в фонд обороны колхоз «Канаш», Теньковского района. Члены колхоза «Красное знамя», Лаишевского района, сдают в фонд обороны 600 пудов зерна. Кроме того, каждый колхозный двор откармливает в фонд обороны поросёнка. Почину этого колхоза следуют другие колхозы республики.» (14842).</w:t>
      </w:r>
    </w:p>
    <w:p w14:paraId="4D7423A7" w14:textId="77777777" w:rsidR="00744007" w:rsidRPr="00640820" w:rsidRDefault="00744007" w:rsidP="00640820">
      <w:pPr>
        <w:spacing w:after="0" w:line="240" w:lineRule="auto"/>
        <w:jc w:val="both"/>
        <w:rPr>
          <w:rFonts w:ascii="Times New Roman" w:hAnsi="Times New Roman"/>
          <w:color w:val="000000" w:themeColor="text1"/>
          <w:sz w:val="16"/>
          <w:szCs w:val="16"/>
        </w:rPr>
      </w:pPr>
    </w:p>
    <w:p w14:paraId="7B888DEA" w14:textId="77777777" w:rsidR="00AE047E" w:rsidRPr="00640820" w:rsidRDefault="00AE047E" w:rsidP="00640820">
      <w:pPr>
        <w:pStyle w:val="ae"/>
        <w:spacing w:before="0" w:after="0"/>
        <w:jc w:val="both"/>
        <w:textAlignment w:val="baseline"/>
        <w:rPr>
          <w:color w:val="000000" w:themeColor="text1"/>
          <w:sz w:val="16"/>
          <w:szCs w:val="16"/>
        </w:rPr>
      </w:pPr>
      <w:r w:rsidRPr="00640820">
        <w:rPr>
          <w:color w:val="000000" w:themeColor="text1"/>
          <w:sz w:val="16"/>
          <w:szCs w:val="16"/>
        </w:rPr>
        <w:t>27 ноября 1941 на танковую «атаку войск противника» на Юго-Западном фронте было выполнено 58 самолето-вылетов. Штурмовики и истребители наносили удары по районам Верховье, Россошное, Каменка, Тим, Становое, Славянск и Артемовск, а также обстреливали и бомбили автоколонны на дорогах Веседино — Протисово, Граково — Гавриловка и Харьков — Чугуев. На противника было сброшено 8 ФАБ-100, 73 ФАБ-50, 60 АО-25, 12 АО-20, 22 АО-15, 34 AO-10, 112 АО-2,5, 38 ЗАБ-50 и 395 ЗАБ-1. Зажигательные боеприпасы применялись в основном по населенным пунктам, занятым немцами, видимо, с целью «зажечь» дома. Летчики отчитались о 60 уничтоженных автомашинах, 25 повозках и одной цистерне. Потери ВВС фронта в этот день составили четыре машины, не вернувшиеся с боевого задания.</w:t>
      </w:r>
    </w:p>
    <w:p w14:paraId="40B93874" w14:textId="77777777" w:rsidR="00AE047E" w:rsidRPr="00640820" w:rsidRDefault="00AE047E" w:rsidP="00640820">
      <w:pPr>
        <w:pStyle w:val="ae"/>
        <w:spacing w:before="0" w:after="0"/>
        <w:jc w:val="both"/>
        <w:textAlignment w:val="baseline"/>
        <w:rPr>
          <w:color w:val="000000" w:themeColor="text1"/>
          <w:sz w:val="16"/>
          <w:szCs w:val="16"/>
        </w:rPr>
      </w:pPr>
      <w:r w:rsidRPr="00640820">
        <w:rPr>
          <w:color w:val="000000" w:themeColor="text1"/>
          <w:sz w:val="16"/>
          <w:szCs w:val="16"/>
        </w:rPr>
        <w:t>Учитывая небольшое число вылетов, результаты могли показаться просто потрясающими. На каждый самолет приходилось по одной уничтоженной автомашине, и это притом, что таковые были не единственной целью штурмовых ударов. Получалось, что вермахт ежедневно только в полосе Юго-Западного фронта и только вследствие авиаударов терял 50–60 грузовиков, то есть в среднем до 1500 штук в месяц. Что конечно же выглядело весьма фантастически (19522).</w:t>
      </w:r>
    </w:p>
    <w:p w14:paraId="1CB78A17" w14:textId="77777777" w:rsidR="00AE047E" w:rsidRPr="00640820" w:rsidRDefault="00AE047E" w:rsidP="00640820">
      <w:pPr>
        <w:pStyle w:val="ae"/>
        <w:spacing w:before="0" w:after="0"/>
        <w:jc w:val="both"/>
        <w:textAlignment w:val="baseline"/>
        <w:rPr>
          <w:color w:val="000000" w:themeColor="text1"/>
          <w:sz w:val="16"/>
          <w:szCs w:val="16"/>
        </w:rPr>
      </w:pPr>
    </w:p>
    <w:p w14:paraId="0F75FDCE" w14:textId="77777777" w:rsidR="0085197F" w:rsidRPr="00640820" w:rsidRDefault="0085197F" w:rsidP="00640820">
      <w:pPr>
        <w:shd w:val="clear" w:color="auto" w:fill="FFFFFF"/>
        <w:spacing w:after="0" w:line="240" w:lineRule="auto"/>
        <w:jc w:val="both"/>
        <w:rPr>
          <w:rFonts w:ascii="Times New Roman" w:hAnsi="Times New Roman"/>
          <w:color w:val="0070C0"/>
          <w:sz w:val="16"/>
          <w:szCs w:val="16"/>
        </w:rPr>
      </w:pPr>
      <w:r w:rsidRPr="00640820">
        <w:rPr>
          <w:rFonts w:ascii="Times New Roman" w:eastAsia="Times New Roman" w:hAnsi="Times New Roman"/>
          <w:color w:val="0070C0"/>
          <w:sz w:val="16"/>
          <w:szCs w:val="16"/>
        </w:rPr>
        <w:t xml:space="preserve">Начиная с 28 ноября 1941 г. летчики 47-й сад, базировавшейся на аэродроме Тушино (312-й шап на Ил-2 и 519-й иап на МиГ-3), впервые применили, как оказалось впоследствии, очень эффективные реактивные снаряды РБС-82, РБС-132 и РОФС-132". Боевые заряды бронебойных снарядов РБС-82 и РБС-132 обеспечивали пробитие 50-мм и 75-мм танковой брони, соответственно, а заряд осколочно-фугасного снаряда РОФС-132 поражал осколками живую силу и технику противника в радиусе 8-10 м. Причем бронебойные </w:t>
      </w:r>
      <w:r w:rsidRPr="00640820">
        <w:rPr>
          <w:rFonts w:ascii="Times New Roman" w:eastAsia="Times New Roman" w:hAnsi="Times New Roman"/>
          <w:color w:val="0070C0"/>
          <w:sz w:val="16"/>
          <w:szCs w:val="16"/>
          <w:lang w:val="en-US"/>
        </w:rPr>
        <w:t>PC</w:t>
      </w:r>
      <w:r w:rsidRPr="00640820">
        <w:rPr>
          <w:rFonts w:ascii="Times New Roman" w:eastAsia="Times New Roman" w:hAnsi="Times New Roman"/>
          <w:color w:val="0070C0"/>
          <w:sz w:val="16"/>
          <w:szCs w:val="16"/>
        </w:rPr>
        <w:t xml:space="preserve"> сначала пробивали танковую броню и затем взрывались, нанося сильные разрушения внутри танка и уничтожая экипаж.</w:t>
      </w:r>
    </w:p>
    <w:p w14:paraId="3C967E76" w14:textId="77777777" w:rsidR="0085197F" w:rsidRPr="00640820" w:rsidRDefault="0085197F" w:rsidP="00640820">
      <w:pPr>
        <w:shd w:val="clear" w:color="auto" w:fill="FFFFFF"/>
        <w:spacing w:after="0" w:line="240" w:lineRule="auto"/>
        <w:jc w:val="both"/>
        <w:rPr>
          <w:rFonts w:ascii="Times New Roman" w:hAnsi="Times New Roman"/>
          <w:color w:val="0070C0"/>
          <w:sz w:val="16"/>
          <w:szCs w:val="16"/>
        </w:rPr>
      </w:pPr>
      <w:r w:rsidRPr="00640820">
        <w:rPr>
          <w:rFonts w:ascii="Times New Roman" w:eastAsia="Times New Roman" w:hAnsi="Times New Roman"/>
          <w:color w:val="0070C0"/>
          <w:sz w:val="16"/>
          <w:szCs w:val="16"/>
        </w:rPr>
        <w:t xml:space="preserve">К сожалению, несмотря на высокие результаты боевого применения бронебойных и осколочно-фугасных </w:t>
      </w:r>
      <w:r w:rsidRPr="00640820">
        <w:rPr>
          <w:rFonts w:ascii="Times New Roman" w:eastAsia="Times New Roman" w:hAnsi="Times New Roman"/>
          <w:color w:val="0070C0"/>
          <w:sz w:val="16"/>
          <w:szCs w:val="16"/>
          <w:lang w:val="en-US"/>
        </w:rPr>
        <w:t>PC</w:t>
      </w:r>
      <w:r w:rsidRPr="00640820">
        <w:rPr>
          <w:rFonts w:ascii="Times New Roman" w:eastAsia="Times New Roman" w:hAnsi="Times New Roman"/>
          <w:color w:val="0070C0"/>
          <w:sz w:val="16"/>
          <w:szCs w:val="16"/>
        </w:rPr>
        <w:t>, Наркомат вооружения так и не смог наладить их устойчивое серийное производство практически до середины войны. Массовое применение на полях сражений РБС-132 и РОФС-132 отмечалось лишь с весны 1943 г., а РБС-82 - с лета 1944 г. (20186).</w:t>
      </w:r>
    </w:p>
    <w:p w14:paraId="747E384D" w14:textId="77777777" w:rsidR="0085197F" w:rsidRPr="00640820" w:rsidRDefault="0085197F" w:rsidP="00640820">
      <w:pPr>
        <w:shd w:val="clear" w:color="auto" w:fill="FFFFFF"/>
        <w:spacing w:after="0" w:line="240" w:lineRule="auto"/>
        <w:jc w:val="both"/>
        <w:rPr>
          <w:rFonts w:ascii="Times New Roman" w:hAnsi="Times New Roman"/>
          <w:color w:val="0070C0"/>
          <w:sz w:val="16"/>
          <w:szCs w:val="16"/>
        </w:rPr>
      </w:pPr>
    </w:p>
    <w:p w14:paraId="305F1848" w14:textId="77777777" w:rsidR="00E40BF2" w:rsidRPr="00640820" w:rsidRDefault="00E40BF2"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27 ноября 1941, согласно отчету о боевой работе ВВС ЮЗФ, на танковую «атаку войск противника» на Юго</w:t>
      </w:r>
      <w:r w:rsidRPr="00640820">
        <w:rPr>
          <w:rFonts w:ascii="Times New Roman" w:hAnsi="Times New Roman"/>
          <w:color w:val="0070C0"/>
          <w:sz w:val="16"/>
          <w:szCs w:val="16"/>
        </w:rPr>
        <w:noBreakHyphen/>
        <w:t>Западном фронте было выполнено 58 самолето</w:t>
      </w:r>
      <w:r w:rsidRPr="00640820">
        <w:rPr>
          <w:rFonts w:ascii="Times New Roman" w:hAnsi="Times New Roman"/>
          <w:color w:val="0070C0"/>
          <w:sz w:val="16"/>
          <w:szCs w:val="16"/>
        </w:rPr>
        <w:noBreakHyphen/>
        <w:t>вылетов. Штурмовики и истребители наносили удары по районам Верховье, Россошное, Каменка, Тим, Становое, Славянск и Артемовск, а также обстреливали и бомбили автоколонны на дорогах Веседино – Протисово, Граково – Гавриловка и Харьков – Чугуев. На противника было сброшено 8 ФАБ</w:t>
      </w:r>
      <w:r w:rsidRPr="00640820">
        <w:rPr>
          <w:rFonts w:ascii="Times New Roman" w:hAnsi="Times New Roman"/>
          <w:color w:val="0070C0"/>
          <w:sz w:val="16"/>
          <w:szCs w:val="16"/>
        </w:rPr>
        <w:noBreakHyphen/>
        <w:t>100, 73 ФАБ</w:t>
      </w:r>
      <w:r w:rsidRPr="00640820">
        <w:rPr>
          <w:rFonts w:ascii="Times New Roman" w:hAnsi="Times New Roman"/>
          <w:color w:val="0070C0"/>
          <w:sz w:val="16"/>
          <w:szCs w:val="16"/>
        </w:rPr>
        <w:noBreakHyphen/>
        <w:t>50, 60 АО</w:t>
      </w:r>
      <w:r w:rsidRPr="00640820">
        <w:rPr>
          <w:rFonts w:ascii="Times New Roman" w:hAnsi="Times New Roman"/>
          <w:color w:val="0070C0"/>
          <w:sz w:val="16"/>
          <w:szCs w:val="16"/>
        </w:rPr>
        <w:noBreakHyphen/>
        <w:t>25, 12 АО</w:t>
      </w:r>
      <w:r w:rsidRPr="00640820">
        <w:rPr>
          <w:rFonts w:ascii="Times New Roman" w:hAnsi="Times New Roman"/>
          <w:color w:val="0070C0"/>
          <w:sz w:val="16"/>
          <w:szCs w:val="16"/>
        </w:rPr>
        <w:noBreakHyphen/>
        <w:t>20, 22 АО</w:t>
      </w:r>
      <w:r w:rsidRPr="00640820">
        <w:rPr>
          <w:rFonts w:ascii="Times New Roman" w:hAnsi="Times New Roman"/>
          <w:color w:val="0070C0"/>
          <w:sz w:val="16"/>
          <w:szCs w:val="16"/>
        </w:rPr>
        <w:noBreakHyphen/>
        <w:t>15, 34 AO</w:t>
      </w:r>
      <w:r w:rsidRPr="00640820">
        <w:rPr>
          <w:rFonts w:ascii="Times New Roman" w:hAnsi="Times New Roman"/>
          <w:color w:val="0070C0"/>
          <w:sz w:val="16"/>
          <w:szCs w:val="16"/>
        </w:rPr>
        <w:noBreakHyphen/>
        <w:t>10, 112 АО</w:t>
      </w:r>
      <w:r w:rsidRPr="00640820">
        <w:rPr>
          <w:rFonts w:ascii="Times New Roman" w:hAnsi="Times New Roman"/>
          <w:color w:val="0070C0"/>
          <w:sz w:val="16"/>
          <w:szCs w:val="16"/>
        </w:rPr>
        <w:noBreakHyphen/>
        <w:t>2,5, 38 ЗАБ</w:t>
      </w:r>
      <w:r w:rsidRPr="00640820">
        <w:rPr>
          <w:rFonts w:ascii="Times New Roman" w:hAnsi="Times New Roman"/>
          <w:color w:val="0070C0"/>
          <w:sz w:val="16"/>
          <w:szCs w:val="16"/>
        </w:rPr>
        <w:noBreakHyphen/>
        <w:t>50 и 395 ЗАБ</w:t>
      </w:r>
      <w:r w:rsidRPr="00640820">
        <w:rPr>
          <w:rFonts w:ascii="Times New Roman" w:hAnsi="Times New Roman"/>
          <w:color w:val="0070C0"/>
          <w:sz w:val="16"/>
          <w:szCs w:val="16"/>
        </w:rPr>
        <w:noBreakHyphen/>
        <w:t>1. Зажигательные боеприпасы применялись в основном по населенным пунктам, занятым немцами, видимо, с целью «зажечь» дома. Летчики отчитались о 60 уничтоженных автомашинах, 25 повозках и одной цистерне. Потери ВВС фронта в этот день составили четыре машины, не вернувшиеся с боевого задания.</w:t>
      </w:r>
    </w:p>
    <w:p w14:paraId="4B33618A" w14:textId="77777777" w:rsidR="00E40BF2" w:rsidRPr="00640820" w:rsidRDefault="00E40BF2"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Учитывая небольшое число вылетов, результаты могли показаться просто потрясающими. На каждый самолет приходилось по одной уничтоженной автомашине, и это притом, что таковые были не единственной целью штурмовых ударов. Получалось, что вермахт ежедневно только в полосе Юго</w:t>
      </w:r>
      <w:r w:rsidRPr="00640820">
        <w:rPr>
          <w:rFonts w:ascii="Times New Roman" w:hAnsi="Times New Roman"/>
          <w:color w:val="0070C0"/>
          <w:sz w:val="16"/>
          <w:szCs w:val="16"/>
        </w:rPr>
        <w:noBreakHyphen/>
        <w:t>Западного фронта и только вследствие авиаударов терял 50–60 грузовиков, то есть в среднем до 1500 штук в месяц. Что конечно же выглядело весьма фантастически (23199).</w:t>
      </w:r>
    </w:p>
    <w:p w14:paraId="0D31CDBE" w14:textId="77777777" w:rsidR="00E40BF2" w:rsidRPr="00640820" w:rsidRDefault="00E40BF2" w:rsidP="00640820">
      <w:pPr>
        <w:spacing w:after="0" w:line="240" w:lineRule="auto"/>
        <w:jc w:val="both"/>
        <w:rPr>
          <w:rFonts w:ascii="Times New Roman" w:hAnsi="Times New Roman"/>
          <w:color w:val="0070C0"/>
          <w:sz w:val="16"/>
          <w:szCs w:val="16"/>
        </w:rPr>
      </w:pPr>
    </w:p>
    <w:p w14:paraId="483966ED" w14:textId="77777777" w:rsidR="00744007" w:rsidRPr="00640820" w:rsidRDefault="00744007"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27 ноября </w:t>
      </w:r>
      <w:r w:rsidRPr="00640820">
        <w:rPr>
          <w:rFonts w:ascii="Times New Roman" w:hAnsi="Times New Roman"/>
          <w:color w:val="000000" w:themeColor="text1"/>
          <w:sz w:val="16"/>
          <w:szCs w:val="16"/>
        </w:rPr>
        <w:t>в 1941 году в СССР маршал Тимошенко возглавляет контрнаступление советских войск (14842).</w:t>
      </w:r>
    </w:p>
    <w:p w14:paraId="5D2E7261" w14:textId="77777777" w:rsidR="00744007" w:rsidRPr="00640820" w:rsidRDefault="00744007" w:rsidP="00640820">
      <w:pPr>
        <w:spacing w:after="0" w:line="240" w:lineRule="auto"/>
        <w:jc w:val="both"/>
        <w:rPr>
          <w:rFonts w:ascii="Times New Roman" w:hAnsi="Times New Roman"/>
          <w:color w:val="000000" w:themeColor="text1"/>
          <w:sz w:val="16"/>
          <w:szCs w:val="16"/>
        </w:rPr>
      </w:pPr>
    </w:p>
    <w:p w14:paraId="59E6DCBC" w14:textId="77777777" w:rsidR="00744007" w:rsidRPr="00640820" w:rsidRDefault="00744007"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27 ноября </w:t>
      </w:r>
      <w:r w:rsidRPr="00640820">
        <w:rPr>
          <w:rFonts w:ascii="Times New Roman" w:hAnsi="Times New Roman"/>
          <w:color w:val="000000" w:themeColor="text1"/>
          <w:sz w:val="16"/>
          <w:szCs w:val="16"/>
        </w:rPr>
        <w:t>в 1941 году войска левого крыла Западного фронта нанесли в районе Каширы контрудар по соединениям 2-й немецкой танковой армии (14842).</w:t>
      </w:r>
    </w:p>
    <w:p w14:paraId="08AF0EE9" w14:textId="77777777" w:rsidR="00744007" w:rsidRPr="00640820" w:rsidRDefault="00744007" w:rsidP="00640820">
      <w:pPr>
        <w:spacing w:after="0" w:line="240" w:lineRule="auto"/>
        <w:jc w:val="both"/>
        <w:rPr>
          <w:rFonts w:ascii="Times New Roman" w:hAnsi="Times New Roman"/>
          <w:color w:val="000000" w:themeColor="text1"/>
          <w:sz w:val="16"/>
          <w:szCs w:val="16"/>
        </w:rPr>
      </w:pPr>
    </w:p>
    <w:p w14:paraId="3EDBC8BA" w14:textId="77777777" w:rsidR="00744007" w:rsidRPr="00640820" w:rsidRDefault="00744007"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27 ноября </w:t>
      </w:r>
      <w:r w:rsidRPr="00640820">
        <w:rPr>
          <w:rFonts w:ascii="Times New Roman" w:hAnsi="Times New Roman"/>
          <w:color w:val="000000" w:themeColor="text1"/>
          <w:sz w:val="16"/>
          <w:szCs w:val="16"/>
        </w:rPr>
        <w:t>в 1941 году войска ударной группировки Южного фронта и 56-й отдельной армии нанесли успешный удар на Ростов-на-Дону с северо-запада и юга (14842).</w:t>
      </w:r>
    </w:p>
    <w:p w14:paraId="10B0575F" w14:textId="77777777" w:rsidR="00744007" w:rsidRPr="00640820" w:rsidRDefault="00744007" w:rsidP="00640820">
      <w:pPr>
        <w:spacing w:after="0" w:line="240" w:lineRule="auto"/>
        <w:jc w:val="both"/>
        <w:rPr>
          <w:rFonts w:ascii="Times New Roman" w:hAnsi="Times New Roman"/>
          <w:color w:val="000000" w:themeColor="text1"/>
          <w:sz w:val="16"/>
          <w:szCs w:val="16"/>
        </w:rPr>
      </w:pPr>
    </w:p>
    <w:p w14:paraId="58149C25" w14:textId="77777777" w:rsidR="00744007" w:rsidRPr="00640820" w:rsidRDefault="00744007"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27 ноября </w:t>
      </w:r>
      <w:r w:rsidRPr="00640820">
        <w:rPr>
          <w:rFonts w:ascii="Times New Roman" w:hAnsi="Times New Roman"/>
          <w:color w:val="000000" w:themeColor="text1"/>
          <w:sz w:val="16"/>
          <w:szCs w:val="16"/>
        </w:rPr>
        <w:t>в 1941 году советские войска временно выбивают фашистов из Ростова (14842).</w:t>
      </w:r>
    </w:p>
    <w:p w14:paraId="29B71FF8" w14:textId="77777777" w:rsidR="00744007" w:rsidRPr="00640820" w:rsidRDefault="00744007" w:rsidP="00640820">
      <w:pPr>
        <w:spacing w:after="0" w:line="240" w:lineRule="auto"/>
        <w:jc w:val="both"/>
        <w:rPr>
          <w:rFonts w:ascii="Times New Roman" w:hAnsi="Times New Roman"/>
          <w:color w:val="000000" w:themeColor="text1"/>
          <w:sz w:val="16"/>
          <w:szCs w:val="16"/>
        </w:rPr>
      </w:pPr>
    </w:p>
    <w:p w14:paraId="71522F7A" w14:textId="77777777" w:rsidR="00BE54B8" w:rsidRPr="00640820" w:rsidRDefault="00BE54B8"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27 ноября </w:t>
      </w:r>
      <w:r w:rsidRPr="00640820">
        <w:rPr>
          <w:rFonts w:ascii="Times New Roman" w:hAnsi="Times New Roman"/>
          <w:color w:val="000000" w:themeColor="text1"/>
          <w:sz w:val="16"/>
          <w:szCs w:val="16"/>
        </w:rPr>
        <w:t>в 1941 году немецкие войска заняли Истру (14842).</w:t>
      </w:r>
    </w:p>
    <w:p w14:paraId="78F458F9" w14:textId="77777777" w:rsidR="00BE54B8" w:rsidRPr="00640820" w:rsidRDefault="00BE54B8" w:rsidP="00640820">
      <w:pPr>
        <w:spacing w:after="0" w:line="240" w:lineRule="auto"/>
        <w:jc w:val="both"/>
        <w:rPr>
          <w:rFonts w:ascii="Times New Roman" w:hAnsi="Times New Roman"/>
          <w:color w:val="000000" w:themeColor="text1"/>
          <w:sz w:val="16"/>
          <w:szCs w:val="16"/>
        </w:rPr>
      </w:pPr>
    </w:p>
    <w:p w14:paraId="510639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С 27 ноября за три последних дня ноября 1941 г. части 6-го иак выполнили 370 самолето-вылетов (из них около 100 на МиГ-3) по мотомеханизированным частям противника, наступавшим от Солнечногорска на Хоругвино и Литвиново (в обход столицы с севера). По донесениям экипажей налетами было уничтожено и повреждено 77 танков, 263 автомобиля с грузом и пехотой, 18 крытых фургонов, 13 орудий и рассеяно несколько тысяч солдат и офицеров вермахта (12045).</w:t>
      </w:r>
    </w:p>
    <w:p w14:paraId="76E526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00C58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ноября 1941 наградили ОЛ л Британских ВВС п Н.Ишервуда, м Э.Рук, м Э.Миллера, с Ч.Хоу, которые прибыли в конце сентября и летали на Харрикейнах (438,827).</w:t>
      </w:r>
    </w:p>
    <w:p w14:paraId="049C10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2375CC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ноября 1941 советские войска временно выбили фашистов из Ростова (4962).</w:t>
      </w:r>
    </w:p>
    <w:p w14:paraId="50F06D5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A015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ноября 1941 в Петрищево была повешена З. Космодемьянская, а рядом - в Головко - Вера Волошина - тоже диверсантка-поджигательница (3481).</w:t>
      </w:r>
    </w:p>
    <w:p w14:paraId="42582B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B8A69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ноября 1941 усиленный 1ГКК, поддерживаемый танками и ВВС фронта и 7 иак ПВО и дбад нанес контрудар по 17ТА, прорвавшейся к Кашире. В эти же дни из Рязани в направлении Михайлова выдвинулись войска 10А при поддержке 29 ад (п С.Я.Мозговой). К концу ноября наступление в районе Тулы остановилось (341,75).</w:t>
      </w:r>
    </w:p>
    <w:p w14:paraId="180037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B4D4FC8" w14:textId="479DE564"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rPr>
        <w:t>27 ноября 1941 немцы развернули наступление на Елецком направлении в полосе 13А, которая начала отход. Слабость</w:t>
      </w:r>
      <w:r w:rsidR="0085197F" w:rsidRPr="00640820">
        <w:rPr>
          <w:rFonts w:ascii="Times New Roman" w:hAnsi="Times New Roman"/>
          <w:color w:val="000000" w:themeColor="text1"/>
          <w:sz w:val="16"/>
          <w:szCs w:val="16"/>
          <w:lang w:val="en-US"/>
        </w:rPr>
        <w:t xml:space="preserve"> </w:t>
      </w:r>
      <w:r w:rsidRPr="00640820">
        <w:rPr>
          <w:rFonts w:ascii="Times New Roman" w:hAnsi="Times New Roman"/>
          <w:color w:val="000000" w:themeColor="text1"/>
          <w:sz w:val="16"/>
          <w:szCs w:val="16"/>
        </w:rPr>
        <w:t>немецкой</w:t>
      </w:r>
      <w:r w:rsidR="0085197F" w:rsidRPr="00640820">
        <w:rPr>
          <w:rFonts w:ascii="Times New Roman" w:hAnsi="Times New Roman"/>
          <w:color w:val="000000" w:themeColor="text1"/>
          <w:sz w:val="16"/>
          <w:szCs w:val="16"/>
          <w:lang w:val="en-US"/>
        </w:rPr>
        <w:t xml:space="preserve"> </w:t>
      </w:r>
      <w:r w:rsidRPr="00640820">
        <w:rPr>
          <w:rFonts w:ascii="Times New Roman" w:hAnsi="Times New Roman"/>
          <w:color w:val="000000" w:themeColor="text1"/>
          <w:sz w:val="16"/>
          <w:szCs w:val="16"/>
        </w:rPr>
        <w:t>авиации</w:t>
      </w:r>
      <w:r w:rsidR="0085197F" w:rsidRPr="00640820">
        <w:rPr>
          <w:rFonts w:ascii="Times New Roman" w:hAnsi="Times New Roman"/>
          <w:color w:val="000000" w:themeColor="text1"/>
          <w:sz w:val="16"/>
          <w:szCs w:val="16"/>
          <w:lang w:val="en-US"/>
        </w:rPr>
        <w:t xml:space="preserve"> </w:t>
      </w:r>
      <w:r w:rsidRPr="00640820">
        <w:rPr>
          <w:rFonts w:ascii="Times New Roman" w:hAnsi="Times New Roman"/>
          <w:color w:val="000000" w:themeColor="text1"/>
          <w:sz w:val="16"/>
          <w:szCs w:val="16"/>
        </w:rPr>
        <w:t>позволила</w:t>
      </w:r>
      <w:r w:rsidR="0085197F" w:rsidRPr="00640820">
        <w:rPr>
          <w:rFonts w:ascii="Times New Roman" w:hAnsi="Times New Roman"/>
          <w:color w:val="000000" w:themeColor="text1"/>
          <w:sz w:val="16"/>
          <w:szCs w:val="16"/>
          <w:lang w:val="en-US"/>
        </w:rPr>
        <w:t xml:space="preserve"> </w:t>
      </w:r>
      <w:r w:rsidRPr="00640820">
        <w:rPr>
          <w:rFonts w:ascii="Times New Roman" w:hAnsi="Times New Roman"/>
          <w:color w:val="000000" w:themeColor="text1"/>
          <w:sz w:val="16"/>
          <w:szCs w:val="16"/>
        </w:rPr>
        <w:t>применять</w:t>
      </w:r>
      <w:r w:rsidR="0085197F" w:rsidRPr="00640820">
        <w:rPr>
          <w:rFonts w:ascii="Times New Roman" w:hAnsi="Times New Roman"/>
          <w:color w:val="000000" w:themeColor="text1"/>
          <w:sz w:val="16"/>
          <w:szCs w:val="16"/>
          <w:lang w:val="en-US"/>
        </w:rPr>
        <w:t xml:space="preserve"> </w:t>
      </w:r>
      <w:r w:rsidRPr="00640820">
        <w:rPr>
          <w:rFonts w:ascii="Times New Roman" w:hAnsi="Times New Roman"/>
          <w:color w:val="000000" w:themeColor="text1"/>
          <w:sz w:val="16"/>
          <w:szCs w:val="16"/>
        </w:rPr>
        <w:t>для</w:t>
      </w:r>
      <w:r w:rsidR="0085197F" w:rsidRPr="00640820">
        <w:rPr>
          <w:rFonts w:ascii="Times New Roman" w:hAnsi="Times New Roman"/>
          <w:color w:val="000000" w:themeColor="text1"/>
          <w:sz w:val="16"/>
          <w:szCs w:val="16"/>
          <w:lang w:val="en-US"/>
        </w:rPr>
        <w:t xml:space="preserve"> </w:t>
      </w:r>
      <w:r w:rsidRPr="00640820">
        <w:rPr>
          <w:rFonts w:ascii="Times New Roman" w:hAnsi="Times New Roman"/>
          <w:color w:val="000000" w:themeColor="text1"/>
          <w:sz w:val="16"/>
          <w:szCs w:val="16"/>
        </w:rPr>
        <w:t>штурмовки</w:t>
      </w:r>
      <w:r w:rsidR="0085197F" w:rsidRPr="00640820">
        <w:rPr>
          <w:rFonts w:ascii="Times New Roman" w:hAnsi="Times New Roman"/>
          <w:color w:val="000000" w:themeColor="text1"/>
          <w:sz w:val="16"/>
          <w:szCs w:val="16"/>
          <w:lang w:val="en-US"/>
        </w:rPr>
        <w:t xml:space="preserve"> </w:t>
      </w:r>
      <w:r w:rsidRPr="00640820">
        <w:rPr>
          <w:rFonts w:ascii="Times New Roman" w:hAnsi="Times New Roman"/>
          <w:color w:val="000000" w:themeColor="text1"/>
          <w:sz w:val="16"/>
          <w:szCs w:val="16"/>
        </w:rPr>
        <w:t>наши</w:t>
      </w:r>
      <w:r w:rsidR="0085197F" w:rsidRPr="00640820">
        <w:rPr>
          <w:rFonts w:ascii="Times New Roman" w:hAnsi="Times New Roman"/>
          <w:color w:val="000000" w:themeColor="text1"/>
          <w:sz w:val="16"/>
          <w:szCs w:val="16"/>
          <w:lang w:val="en-US"/>
        </w:rPr>
        <w:t xml:space="preserve"> </w:t>
      </w:r>
      <w:r w:rsidRPr="00640820">
        <w:rPr>
          <w:rFonts w:ascii="Times New Roman" w:hAnsi="Times New Roman"/>
          <w:color w:val="000000" w:themeColor="text1"/>
          <w:sz w:val="16"/>
          <w:szCs w:val="16"/>
        </w:rPr>
        <w:t>истребители</w:t>
      </w:r>
      <w:r w:rsidRPr="00640820">
        <w:rPr>
          <w:rFonts w:ascii="Times New Roman" w:hAnsi="Times New Roman"/>
          <w:color w:val="000000" w:themeColor="text1"/>
          <w:sz w:val="16"/>
          <w:szCs w:val="16"/>
          <w:lang w:val="en-US"/>
        </w:rPr>
        <w:t xml:space="preserve"> (341,75).</w:t>
      </w:r>
    </w:p>
    <w:p w14:paraId="3FFA85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08EE8A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November 27, 1941: In their advance toward Moscow under extremely difficult wintry conditions, units of 9.Armee (Strauss) reach the Volga Canal 60 miles NW of the Soviet capital. Some armed parols have penetrated the western suburbs of the city and got a good look at the Kremlin. Continuing their occupation of Vichy France, German troops take the naval base of Toulon as the vessels of the French fleet stationed there are scuttled by their own crews (3819).</w:t>
      </w:r>
    </w:p>
    <w:p w14:paraId="423732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5A87A0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ноября 1941 9А (страус) вышла к каналу Москва-Волга в 60 милях от Москвы. Отдельные передовые части подошли к окраинам Москвы и видели Кремль. Продолжая оккупацию вишистской Франции немцы захватили Тулон, а французские корабли были затоплены их командами (3819).</w:t>
      </w:r>
    </w:p>
    <w:p w14:paraId="201599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7A41E1C"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6E24026B"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67DB2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ноября 1941 вышло Постановление ГКО № 969 Об эвакуации скота и сельхозмашин из Краснодарского края. РГАНИР, Фонд ГКО, д. 15, лл. 30 (11012).</w:t>
      </w:r>
    </w:p>
    <w:p w14:paraId="4F391E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D449D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ноября 1941 года Комиссия во главе с заместителем председателя Совнаркома РСФСР К. Памфиловым докладывала о результатах своей работы в Сталинграде:</w:t>
      </w:r>
    </w:p>
    <w:p w14:paraId="2C6640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"Реальных мер по вывозу людей водой через станцию Владимировская пристань областными организациями принято не было. Обком ВКП(б) массовой работы среди эвакуированных не вел, поэтому среди них враги распространяли всякие ложные и панические слухи. Например, 'что направление эвакуируемых на Владимировскую пристань организовано с целью избавиться от них в г. Сталинграде, что Владимировская пристань забита народом, находится от железной дороги в 50 60 км (в действительности 50 м) и что из Владимировки направлять их будут в обратном направлении в сторону фронта'. </w:t>
      </w:r>
    </w:p>
    <w:p w14:paraId="69B6DB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Санитарная обработка эваконаселения, медицинское обслуживание их и дезинфекция эвакопунктов производились от случая к случаю. Хлеб эваконаселению продавался с большими перебоями. Из пяти эвакопунктов, расположенных в различных частях города, приготовление горячей пищи было организовано только на одном, часть эвакуируемых питалась в городском кафетерии, а большинство покупало продукты в коммерческих магазинах города, создавая в них большие очереди, что вызвало недовольство местного населения. Торговли продуктами непосредственно на эвакопунктах организовано не было... </w:t>
      </w:r>
    </w:p>
    <w:p w14:paraId="270129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результате большого скопления людей в Сталинграде и слабой борьбы с уголовными проявлениями со стороны отдельных групп и одиночек имел место целый ряд уголовных преступлений, грабежей, воровства и хулиганства.</w:t>
      </w:r>
    </w:p>
    <w:p w14:paraId="72AB7D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Обращает на себя внимание то обстоятельство, что значительное количество этих происшествий падает на военнослужащих и даже на младший и средний комсостав". </w:t>
      </w:r>
    </w:p>
    <w:p w14:paraId="37F672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Поскольку в комиссию входили высокие чины НКВД, подстегнутая страхом чиновничья машина начала работать: </w:t>
      </w:r>
    </w:p>
    <w:p w14:paraId="04A46D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"Нами через обком ВКП(б), облисполком и речное пароходство были приняты меры к выделению необходимого тоннажа и к отправке людей на Владимировскую пристань и частично вверх и вниз по Волге (в Саратовскую и Сталинградскую области)... Во время разгрузки Сталинграда от скопившихся людей были попытки (в некоторых областных организациях) выпихнуть из города людей без питания и необслуженными. Так, например, 12 ноября начальник облоно Радионов собрал более 300 малолетних (пять-семь лет) детей, часть которых были разуты и раздеты, организовал их в колонну и пешком направил по всему городу на пароход"(11587).</w:t>
      </w:r>
    </w:p>
    <w:p w14:paraId="32F976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7505F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27 ноября 1941 года группа уполномоченных Совета по эвакуации при Совнаркоме СССР доложила в ЦК и правительству о ситуации в Сталинграде: </w:t>
      </w:r>
    </w:p>
    <w:p w14:paraId="516622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нашему приезду на Сталинградской жел. дороге и в самом городе Сталинграде скопилось около 200 тыс. человек эвакуированных, находящихся не только в поездах, но на вокзалах, эвакопунктах, пристанях, на улицах, стадионе, скверах и площадях, а прибывающие на подводах -- на окраине города. Кроме того, на вокзалах, при станциях и на площадях города находилось военнослужащих, ожидавших отправки по Волге или железной дороге, около 15 тыс. человек. Обслуживание населения было организовано исключительно плохо. Не хватало питания, кипятка. Больные люди находились вместе со здоровыми..." (11588).</w:t>
      </w:r>
    </w:p>
    <w:p w14:paraId="563A4A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55853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ноября 1941 начальник внутренней тюрьмы УНКВД Куйбышевской области старший лейтенант ГБ Р. Е. Сардаев доложил начальнику Тюремного управления НКВД майору ГБ М. И. Никольскому о том, что еще 17 октября из Внутренней тюрьмы НКВД в Москве в Куйбышев прибыло 20 эвакуированных из Москвы заключенных, числящихся за Следчастью НКВД по особоважным делам (среди них - А. Д. Локтионов, И. И. Проскуров, П. В. Рычагов, Я. В. Смушкевич, Г. М. Штерн, Д. А. Булатов, Ф. И. Голощекин). Уже на следующий день, 28 октября, все они “выбыли из УНКВД Куйбышевской области” (были расстреляны) (7560).</w:t>
      </w:r>
    </w:p>
    <w:p w14:paraId="789AE3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907669C"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5BF86CC6"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471DCAB" w14:textId="77777777" w:rsidR="00BE54B8" w:rsidRPr="00640820" w:rsidRDefault="00BE54B8"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27 ноября </w:t>
      </w:r>
      <w:r w:rsidRPr="00640820">
        <w:rPr>
          <w:rFonts w:ascii="Times New Roman" w:hAnsi="Times New Roman"/>
          <w:color w:val="000000" w:themeColor="text1"/>
          <w:sz w:val="16"/>
          <w:szCs w:val="16"/>
        </w:rPr>
        <w:t>в 1941 году в беседе с министром иностранных дел Дании Скавениусом Гитлер заявил: «Если однажды окажется, что немецкий народ недостаточно силен и не готов к жертвам для того, чтобы пролить свою кровь за собственное существование, то пусть он лучше погибнет и будет уничтожен еще более мощной силой. Он тогда не будет заслуживать того места в мире, которое сегодня себя завоевал» (14842).</w:t>
      </w:r>
    </w:p>
    <w:p w14:paraId="7F2B65CF" w14:textId="77777777" w:rsidR="00BE54B8" w:rsidRPr="00640820" w:rsidRDefault="00BE54B8" w:rsidP="00640820">
      <w:pPr>
        <w:spacing w:after="0" w:line="240" w:lineRule="auto"/>
        <w:jc w:val="both"/>
        <w:rPr>
          <w:rFonts w:ascii="Times New Roman" w:hAnsi="Times New Roman"/>
          <w:color w:val="000000" w:themeColor="text1"/>
          <w:sz w:val="16"/>
          <w:szCs w:val="16"/>
        </w:rPr>
      </w:pPr>
    </w:p>
    <w:p w14:paraId="3EEDA0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27 </w:t>
      </w:r>
      <w:r w:rsidRPr="00640820">
        <w:rPr>
          <w:rFonts w:ascii="Times New Roman" w:hAnsi="Times New Roman"/>
          <w:color w:val="000000" w:themeColor="text1"/>
          <w:sz w:val="16"/>
          <w:szCs w:val="16"/>
          <w:lang w:val="en-US"/>
        </w:rPr>
        <w:t>November</w:t>
      </w:r>
      <w:r w:rsidRPr="00640820">
        <w:rPr>
          <w:rFonts w:ascii="Times New Roman" w:hAnsi="Times New Roman"/>
          <w:color w:val="000000" w:themeColor="text1"/>
          <w:sz w:val="16"/>
          <w:szCs w:val="16"/>
        </w:rPr>
        <w:t xml:space="preserve"> 1941 </w:t>
      </w:r>
      <w:r w:rsidRPr="00640820">
        <w:rPr>
          <w:rFonts w:ascii="Times New Roman" w:hAnsi="Times New Roman"/>
          <w:color w:val="000000" w:themeColor="text1"/>
          <w:sz w:val="16"/>
          <w:szCs w:val="16"/>
          <w:lang w:val="en-US"/>
        </w:rPr>
        <w:t>AlliesconquerAbyssinia</w:t>
      </w:r>
      <w:r w:rsidRPr="00640820">
        <w:rPr>
          <w:rFonts w:ascii="Times New Roman" w:hAnsi="Times New Roman"/>
          <w:color w:val="000000" w:themeColor="text1"/>
          <w:sz w:val="16"/>
          <w:szCs w:val="16"/>
        </w:rPr>
        <w:t xml:space="preserve"> (270).</w:t>
      </w:r>
    </w:p>
    <w:p w14:paraId="3D2B65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4D7C9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ноября союзники завоевали Абиссинию 9270).</w:t>
      </w:r>
    </w:p>
    <w:p w14:paraId="2546D7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9D17BF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ноября 1941 франко-итальянское командование в Бейруте провозгласило независимость Ливана (4962).</w:t>
      </w:r>
    </w:p>
    <w:p w14:paraId="648C5CF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D71ABC"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1229A88B"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33394EA" w14:textId="77777777" w:rsidR="00BE54B8" w:rsidRPr="00640820" w:rsidRDefault="00BE54B8" w:rsidP="00640820">
      <w:pPr>
        <w:pStyle w:val="ae"/>
        <w:spacing w:before="0" w:after="0"/>
        <w:jc w:val="both"/>
        <w:rPr>
          <w:color w:val="000000" w:themeColor="text1"/>
          <w:sz w:val="16"/>
          <w:szCs w:val="16"/>
        </w:rPr>
      </w:pPr>
      <w:r w:rsidRPr="00640820">
        <w:rPr>
          <w:color w:val="000000" w:themeColor="text1"/>
          <w:sz w:val="16"/>
          <w:szCs w:val="16"/>
        </w:rPr>
        <w:t>28 ноября 1941 года появляется приказ №168 об организации спецпроизводства по выпуску новых боеприпасов, заключительным пунктом которого было записано: “Все подготовительные работы закончить к утру 1/XII с.г., производственную работу начать 1/XII с.г.”.</w:t>
      </w:r>
    </w:p>
    <w:p w14:paraId="4CE4CC98" w14:textId="77777777" w:rsidR="00BE54B8" w:rsidRPr="00640820" w:rsidRDefault="00BE54B8" w:rsidP="00640820">
      <w:pPr>
        <w:pStyle w:val="ae"/>
        <w:spacing w:before="0" w:after="0"/>
        <w:jc w:val="both"/>
        <w:rPr>
          <w:color w:val="000000" w:themeColor="text1"/>
          <w:sz w:val="16"/>
          <w:szCs w:val="16"/>
        </w:rPr>
      </w:pPr>
      <w:r w:rsidRPr="00640820">
        <w:rPr>
          <w:color w:val="000000" w:themeColor="text1"/>
          <w:sz w:val="16"/>
          <w:szCs w:val="16"/>
        </w:rPr>
        <w:t>К производству были привлечены и некоторые предприятия Казани. Так, фабрика “Коммунар” поставляла деревянные блоки для запалов, “Промполиграф” – бумагу и картонные трубочки, завод имени Ленина – порох для воспламенительного заряда, а Льнокомбинат – бечевки. Основное производство – приготовление терочных составов, пиротехнических замедлителей и воспламенительно-разрывных зарядов, сборка запалов и комплектация мешков было сосредоточено в институте, в помещениях кафедр.</w:t>
      </w:r>
    </w:p>
    <w:p w14:paraId="0089B92A" w14:textId="77777777" w:rsidR="00BE54B8" w:rsidRPr="00640820" w:rsidRDefault="00BE54B8" w:rsidP="00640820">
      <w:pPr>
        <w:pStyle w:val="ae"/>
        <w:spacing w:before="0" w:after="0"/>
        <w:jc w:val="both"/>
        <w:rPr>
          <w:color w:val="000000" w:themeColor="text1"/>
          <w:sz w:val="16"/>
          <w:szCs w:val="16"/>
        </w:rPr>
      </w:pPr>
      <w:r w:rsidRPr="00640820">
        <w:rPr>
          <w:color w:val="000000" w:themeColor="text1"/>
          <w:sz w:val="16"/>
          <w:szCs w:val="16"/>
        </w:rPr>
        <w:t>В процессе освоения производства было немало трудностей. Две из первых трех партий мешков оказались некондиционными – подвели деревянные блоки, поставляемые фабрикой “Коммунар”. Они рассохлись после изготовления, пришлось их потом заменить. В памятные январские морозы 1942 года была заморожена отопительная система института и водопроводные трубы. Прекратились учебные занятия, встало и спецпроизводство. Чтобы наверстать упущенное, пришлось потом организовывать трехсменную работу производства. Несмотря на большие трудности, срочные заказы фронта были выполнены в срок. Первые «огневые мешки» начали поступать на фронт уже к концу года и получили хороший отзыв у авиаторов.</w:t>
      </w:r>
    </w:p>
    <w:p w14:paraId="3E9140D9" w14:textId="77777777" w:rsidR="00BE54B8" w:rsidRPr="00640820" w:rsidRDefault="00BE54B8" w:rsidP="00640820">
      <w:pPr>
        <w:pStyle w:val="ae"/>
        <w:spacing w:before="0" w:after="0"/>
        <w:jc w:val="both"/>
        <w:rPr>
          <w:color w:val="000000" w:themeColor="text1"/>
          <w:sz w:val="16"/>
          <w:szCs w:val="16"/>
        </w:rPr>
      </w:pPr>
      <w:r w:rsidRPr="00640820">
        <w:rPr>
          <w:color w:val="000000" w:themeColor="text1"/>
          <w:sz w:val="16"/>
          <w:szCs w:val="16"/>
        </w:rPr>
        <w:t>Оно представляло собой мешок из бензостойкой клеенчатой ткани или даже многослойной крафт-целлюлозной бумаги, заполненной зажигательной жидкостью и снабженной запальным устройством для распыления и воспламенения содержимого мешка на нужной высоте. В качестве зажигательной жидкости служил технический (автомобильный или авиационный) бензин, загущенный добавкой порошка ОП-2. Запальное устройство было собрано на деревянном блоке (пробке), вставляемом в горловину мешка, и состояло из терочного воспламенителя, пиротехнического замедлителя и разрывного заряда в картонной трубке.</w:t>
      </w:r>
    </w:p>
    <w:p w14:paraId="65718E56" w14:textId="77777777" w:rsidR="00BE54B8" w:rsidRPr="00640820" w:rsidRDefault="00BE54B8" w:rsidP="00640820">
      <w:pPr>
        <w:pStyle w:val="ae"/>
        <w:spacing w:before="0" w:after="0"/>
        <w:jc w:val="both"/>
        <w:rPr>
          <w:color w:val="000000" w:themeColor="text1"/>
          <w:sz w:val="16"/>
          <w:szCs w:val="16"/>
        </w:rPr>
      </w:pPr>
      <w:r w:rsidRPr="00640820">
        <w:rPr>
          <w:color w:val="000000" w:themeColor="text1"/>
          <w:sz w:val="16"/>
          <w:szCs w:val="16"/>
        </w:rPr>
        <w:lastRenderedPageBreak/>
        <w:t>Боеприпас предназначался для вооружения особых авиагрупп, вылетающих на ночные бомбардировки в тыл врага на самолетах У-2 и По-2. Мешки заправляли бензином на аэродромах непосредственно перед вылетом самолетов. В горловину заполненного мешка вставляли запальный блок и обвязывали бечевкой. В таком виде он был готов к применению. Сбрасывали мешки с самолетов вручную или с помощью подкрыльных кассет (по 2 мешка на кассету) (15467).</w:t>
      </w:r>
    </w:p>
    <w:p w14:paraId="506E65D0" w14:textId="77777777" w:rsidR="00BE54B8" w:rsidRPr="00640820" w:rsidRDefault="00BE54B8" w:rsidP="00640820">
      <w:pPr>
        <w:pStyle w:val="ae"/>
        <w:spacing w:before="0" w:after="0"/>
        <w:jc w:val="both"/>
        <w:rPr>
          <w:color w:val="000000" w:themeColor="text1"/>
          <w:sz w:val="16"/>
          <w:szCs w:val="16"/>
        </w:rPr>
      </w:pPr>
    </w:p>
    <w:p w14:paraId="3644BDF8" w14:textId="77777777" w:rsidR="00AE047E" w:rsidRPr="00640820" w:rsidRDefault="00AE047E" w:rsidP="00640820">
      <w:pPr>
        <w:spacing w:after="0" w:line="240" w:lineRule="auto"/>
        <w:jc w:val="both"/>
        <w:rPr>
          <w:rFonts w:ascii="Times New Roman" w:hAnsi="Times New Roman"/>
          <w:color w:val="000000" w:themeColor="text1"/>
          <w:sz w:val="16"/>
          <w:szCs w:val="16"/>
          <w:shd w:val="clear" w:color="auto" w:fill="FFFFFF"/>
        </w:rPr>
      </w:pPr>
      <w:r w:rsidRPr="00640820">
        <w:rPr>
          <w:rFonts w:ascii="Times New Roman" w:hAnsi="Times New Roman"/>
          <w:color w:val="000000" w:themeColor="text1"/>
          <w:sz w:val="16"/>
          <w:szCs w:val="16"/>
          <w:shd w:val="clear" w:color="auto" w:fill="FFFFFF"/>
        </w:rPr>
        <w:t xml:space="preserve">28 ноября 1941 появился согласованный с главком приказ № 168 об организации в КХТИ спецпроизводства по выпуску новых боеприпасов, заключительным пунктом которого было записано: «Все подготовительные работы закончить к утру 1/XII, производственную работу начать 1/XII c.г.» </w:t>
      </w:r>
    </w:p>
    <w:p w14:paraId="0638B208" w14:textId="77777777" w:rsidR="00AE047E" w:rsidRPr="00640820" w:rsidRDefault="00AE047E" w:rsidP="00640820">
      <w:pPr>
        <w:spacing w:after="0" w:line="240" w:lineRule="auto"/>
        <w:jc w:val="both"/>
        <w:rPr>
          <w:rFonts w:ascii="Times New Roman" w:hAnsi="Times New Roman"/>
          <w:color w:val="000000" w:themeColor="text1"/>
          <w:sz w:val="16"/>
          <w:szCs w:val="16"/>
          <w:shd w:val="clear" w:color="auto" w:fill="FFFFFF"/>
        </w:rPr>
      </w:pPr>
      <w:r w:rsidRPr="00640820">
        <w:rPr>
          <w:rFonts w:ascii="Times New Roman" w:hAnsi="Times New Roman"/>
          <w:color w:val="000000" w:themeColor="text1"/>
          <w:sz w:val="16"/>
          <w:szCs w:val="16"/>
          <w:shd w:val="clear" w:color="auto" w:fill="FFFFFF"/>
        </w:rPr>
        <w:t>Начальником производства был назначен молодой ассистент специального факультета КХТИ Газим Ногаев, накануне войны защитивший кандидатскую диссертацию. Ветераны института помнят его как хорошего химика-синтетика, разработчика известных термостойких взрывчатых веществ «В-5» и «АК» (на основе азида кадмия). Техноруком производства стал эвакуированный из Ленинграда преподаватель кафедры №43 В.Павлышин — будущий доктор технических наук, профессор, заведующий кафедрой ЛТИ им.Ленсовета.</w:t>
      </w:r>
    </w:p>
    <w:p w14:paraId="481295B4" w14:textId="77777777" w:rsidR="00AE047E" w:rsidRPr="00640820" w:rsidRDefault="00AE047E" w:rsidP="00640820">
      <w:pPr>
        <w:spacing w:after="0" w:line="240" w:lineRule="auto"/>
        <w:jc w:val="both"/>
        <w:rPr>
          <w:rFonts w:ascii="Times New Roman" w:hAnsi="Times New Roman"/>
          <w:color w:val="000000" w:themeColor="text1"/>
          <w:sz w:val="16"/>
          <w:szCs w:val="16"/>
          <w:shd w:val="clear" w:color="auto" w:fill="FFFFFF"/>
        </w:rPr>
      </w:pPr>
      <w:r w:rsidRPr="00640820">
        <w:rPr>
          <w:rFonts w:ascii="Times New Roman" w:hAnsi="Times New Roman"/>
          <w:color w:val="000000" w:themeColor="text1"/>
          <w:sz w:val="16"/>
          <w:szCs w:val="16"/>
          <w:shd w:val="clear" w:color="auto" w:fill="FFFFFF"/>
        </w:rPr>
        <w:t>Основной рабочей силой производства стали студенты. Как и вся страна, они трудились по 12 часов в сутки (6 часов учебы плюс 6 часов работы). Начальниками цехов были аспиранты, научные сотрудники и преподаватели факультета, бригадирами и мастерами — студенты старших курсов.</w:t>
      </w:r>
    </w:p>
    <w:p w14:paraId="0C05E818" w14:textId="77777777" w:rsidR="00AE047E" w:rsidRPr="00640820" w:rsidRDefault="00AE047E" w:rsidP="00640820">
      <w:pPr>
        <w:spacing w:after="0" w:line="240" w:lineRule="auto"/>
        <w:jc w:val="both"/>
        <w:rPr>
          <w:rFonts w:ascii="Times New Roman" w:hAnsi="Times New Roman"/>
          <w:color w:val="000000" w:themeColor="text1"/>
          <w:sz w:val="16"/>
          <w:szCs w:val="16"/>
          <w:shd w:val="clear" w:color="auto" w:fill="FFFFFF"/>
        </w:rPr>
      </w:pPr>
      <w:r w:rsidRPr="00640820">
        <w:rPr>
          <w:rFonts w:ascii="Times New Roman" w:hAnsi="Times New Roman"/>
          <w:color w:val="000000" w:themeColor="text1"/>
          <w:sz w:val="16"/>
          <w:szCs w:val="16"/>
          <w:shd w:val="clear" w:color="auto" w:fill="FFFFFF"/>
        </w:rPr>
        <w:t>К производству были привлечены другие предприятия Казани и страны. Так, фабрика «Коммунар» поставляла деревянные блоки для запалов, артель «Промполиграф» — бумагу и картонные трубки, завод им.Ленина — порох для воспламенительного заряда, а льнокомбинат — деревянные блоки и бечевки. Основное производство — приготовление терочных составов, пиротехнических замедлителей и воспламенительно-разрывных зарядов, сборка запалов и комплектация мешков — было сосредоточено в пристройке и прилегающих помещениях спецздания (ныне корпус «В» на ул.К.Маркса). Сейчас в них размещаются кафедры оборудования пищевых продуктов и информационно-измерительных систем университета.</w:t>
      </w:r>
    </w:p>
    <w:p w14:paraId="59A5A20E" w14:textId="77777777" w:rsidR="00AE047E" w:rsidRPr="00640820" w:rsidRDefault="00AE047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shd w:val="clear" w:color="auto" w:fill="FFFFFF"/>
        </w:rPr>
        <w:t>В процессе освоения производства было немало трудностей. Две из первых трех партий мешков оказались некондиционными — подвели деревянные блоки, поставляемые фабрикой «Коммунар». Они рассохлись после изготовления, и их пришлось подправлять. Потребовалось внести корректировки и в технологию сушки древесины (19699).</w:t>
      </w:r>
    </w:p>
    <w:p w14:paraId="4246DBE9" w14:textId="77777777" w:rsidR="00AE047E" w:rsidRPr="00640820" w:rsidRDefault="00AE047E" w:rsidP="00640820">
      <w:pPr>
        <w:spacing w:after="0" w:line="240" w:lineRule="auto"/>
        <w:jc w:val="both"/>
        <w:rPr>
          <w:rFonts w:ascii="Times New Roman" w:hAnsi="Times New Roman"/>
          <w:color w:val="000000" w:themeColor="text1"/>
          <w:sz w:val="16"/>
          <w:szCs w:val="16"/>
        </w:rPr>
      </w:pPr>
    </w:p>
    <w:p w14:paraId="336F57E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ноября 1941 г. в ходе восковых испытаний ракетно-бронебойных снарядов РБС-82, РБС-132 и ракетно-осколочно-фугасных РОФС-132 на базе 47-й авиади</w:t>
      </w:r>
      <w:r w:rsidRPr="00640820">
        <w:rPr>
          <w:rFonts w:ascii="Times New Roman" w:hAnsi="Times New Roman"/>
          <w:color w:val="000000" w:themeColor="text1"/>
          <w:sz w:val="16"/>
          <w:szCs w:val="16"/>
        </w:rPr>
        <w:softHyphen/>
        <w:t>визии Западного фронта летчики 312-го штурмового авиаполка подпол</w:t>
      </w:r>
      <w:r w:rsidRPr="00640820">
        <w:rPr>
          <w:rFonts w:ascii="Times New Roman" w:hAnsi="Times New Roman"/>
          <w:color w:val="000000" w:themeColor="text1"/>
          <w:sz w:val="16"/>
          <w:szCs w:val="16"/>
        </w:rPr>
        <w:softHyphen/>
        <w:t>ковника Поморцева, которые проходили в период с 22 ноября 1941 г. по 22 января 1942 г., начались Боевые вылеты Нес</w:t>
      </w:r>
      <w:r w:rsidRPr="00640820">
        <w:rPr>
          <w:rFonts w:ascii="Times New Roman" w:hAnsi="Times New Roman"/>
          <w:color w:val="000000" w:themeColor="text1"/>
          <w:sz w:val="16"/>
          <w:szCs w:val="16"/>
        </w:rPr>
        <w:softHyphen/>
        <w:t>мотря на довольно солидный боезапас, доставленный с центрального аэродрома и снаряжательных заводов, израсходовали лишь 60 штук РБС-82, 80 штук РБС-132 и 200 штук РОФС-132. На незначительном ко</w:t>
      </w:r>
      <w:r w:rsidRPr="00640820">
        <w:rPr>
          <w:rFonts w:ascii="Times New Roman" w:hAnsi="Times New Roman"/>
          <w:color w:val="000000" w:themeColor="text1"/>
          <w:sz w:val="16"/>
          <w:szCs w:val="16"/>
        </w:rPr>
        <w:softHyphen/>
        <w:t>личестве боевых вылетов отрицательно сказывались метеоусловия и об</w:t>
      </w:r>
      <w:r w:rsidRPr="00640820">
        <w:rPr>
          <w:rFonts w:ascii="Times New Roman" w:hAnsi="Times New Roman"/>
          <w:color w:val="000000" w:themeColor="text1"/>
          <w:sz w:val="16"/>
          <w:szCs w:val="16"/>
        </w:rPr>
        <w:softHyphen/>
        <w:t>становка на фронте. В итоге, ввиду отсутствия скопления бронетехники противника на отведенных участках фронта, оперативная группа приня</w:t>
      </w:r>
      <w:r w:rsidRPr="00640820">
        <w:rPr>
          <w:rFonts w:ascii="Times New Roman" w:hAnsi="Times New Roman"/>
          <w:color w:val="000000" w:themeColor="text1"/>
          <w:sz w:val="16"/>
          <w:szCs w:val="16"/>
        </w:rPr>
        <w:softHyphen/>
        <w:t>ла решение вместо ракетно-бронебойных снарядов применять РОФС-132. После боевого вылета 28 ноября 1941 г. командир звена лей</w:t>
      </w:r>
      <w:r w:rsidRPr="00640820">
        <w:rPr>
          <w:rFonts w:ascii="Times New Roman" w:hAnsi="Times New Roman"/>
          <w:color w:val="000000" w:themeColor="text1"/>
          <w:sz w:val="16"/>
          <w:szCs w:val="16"/>
        </w:rPr>
        <w:softHyphen/>
        <w:t>тенант Косенков отмечал, что стрелял с бреющего полета на высотах 15-20 м по скоплению автомашин в населенном пункте. Пролетев над це</w:t>
      </w:r>
      <w:r w:rsidRPr="00640820">
        <w:rPr>
          <w:rFonts w:ascii="Times New Roman" w:hAnsi="Times New Roman"/>
          <w:color w:val="000000" w:themeColor="text1"/>
          <w:sz w:val="16"/>
          <w:szCs w:val="16"/>
        </w:rPr>
        <w:softHyphen/>
        <w:t>лью на большой скорости, пилот не успел оценить характер разрушений. Поскольку снаряды эффективны лишь при условии прямого попадания в бронецель, пилот рекомендовал оснастить ими самолеты-истребители - «с них возможно вести огонь на пикировании и более точно прицели</w:t>
      </w:r>
      <w:r w:rsidRPr="00640820">
        <w:rPr>
          <w:rFonts w:ascii="Times New Roman" w:hAnsi="Times New Roman"/>
          <w:color w:val="000000" w:themeColor="text1"/>
          <w:sz w:val="16"/>
          <w:szCs w:val="16"/>
        </w:rPr>
        <w:softHyphen/>
        <w:t>ваться» (11402).</w:t>
      </w:r>
    </w:p>
    <w:p w14:paraId="518C26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89E0CC9" w14:textId="77777777" w:rsidR="004673CC" w:rsidRPr="00640820" w:rsidRDefault="004673CC"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Начиная с 28 ноября 1941 г. летчики 47-й сад при</w:t>
      </w:r>
      <w:r w:rsidRPr="00640820">
        <w:rPr>
          <w:color w:val="000000" w:themeColor="text1"/>
          <w:sz w:val="16"/>
          <w:szCs w:val="16"/>
        </w:rPr>
        <w:softHyphen/>
        <w:t>ступили к войсковым испытаниям (вторые по счету) реактивных снарядов РБС-82, РБС-132 и РОФС-132. Полки дивизии (312-й шап на Ил-2 и 519-й иап на МиГ-3) базировались на аэродроме Тушино.</w:t>
      </w:r>
    </w:p>
    <w:p w14:paraId="325D38FD" w14:textId="77777777" w:rsidR="004673CC" w:rsidRPr="00640820" w:rsidRDefault="004673CC"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Впервые ракетные снаряды РБС-132 и РОФС-132 были с успехом испытаны в бою в августе 1941 г. экипажами 174-го шап 11-й сад на Западном фрон</w:t>
      </w:r>
      <w:r w:rsidRPr="00640820">
        <w:rPr>
          <w:color w:val="000000" w:themeColor="text1"/>
          <w:sz w:val="16"/>
          <w:szCs w:val="16"/>
        </w:rPr>
        <w:softHyphen/>
        <w:t>те. До этого бронебойные и осколочно-фугасные снаряды в период июня—июля 1941 г. благополуч</w:t>
      </w:r>
      <w:r w:rsidRPr="00640820">
        <w:rPr>
          <w:color w:val="000000" w:themeColor="text1"/>
          <w:sz w:val="16"/>
          <w:szCs w:val="16"/>
        </w:rPr>
        <w:softHyphen/>
        <w:t>но прошли полигонные испытания в НИП АВ ВВС КА на самолетах СБ, Пе-2, Ил-2 и Су-2.</w:t>
      </w:r>
    </w:p>
    <w:p w14:paraId="3D5FFDB4" w14:textId="77777777" w:rsidR="004673CC" w:rsidRPr="00640820" w:rsidRDefault="004673CC"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По результатам испытаний заместитель началь</w:t>
      </w:r>
      <w:r w:rsidRPr="00640820">
        <w:rPr>
          <w:color w:val="000000" w:themeColor="text1"/>
          <w:sz w:val="16"/>
          <w:szCs w:val="16"/>
        </w:rPr>
        <w:softHyphen/>
        <w:t>ника ГУ ВВС КА генерал Жаров и начальник ВВС ВМФ генерал Жаворонков 27 сентября 1941 г. об</w:t>
      </w:r>
      <w:r w:rsidRPr="00640820">
        <w:rPr>
          <w:color w:val="000000" w:themeColor="text1"/>
          <w:sz w:val="16"/>
          <w:szCs w:val="16"/>
        </w:rPr>
        <w:softHyphen/>
        <w:t>ратились к заместителю председателя ГКО Возне</w:t>
      </w:r>
      <w:r w:rsidRPr="00640820">
        <w:rPr>
          <w:color w:val="000000" w:themeColor="text1"/>
          <w:sz w:val="16"/>
          <w:szCs w:val="16"/>
        </w:rPr>
        <w:softHyphen/>
        <w:t>сенскому с предложением немедленно поставить на вооружение ВВС КА и ВМФ ракетные снаряды РБС-132 для «поражения сухопутных и морских це</w:t>
      </w:r>
      <w:r w:rsidRPr="00640820">
        <w:rPr>
          <w:color w:val="000000" w:themeColor="text1"/>
          <w:sz w:val="16"/>
          <w:szCs w:val="16"/>
        </w:rPr>
        <w:softHyphen/>
        <w:t>лей с бронированием 75 мм». После согласования ряда вопросов с командующим минометными ча</w:t>
      </w:r>
      <w:r w:rsidRPr="00640820">
        <w:rPr>
          <w:color w:val="000000" w:themeColor="text1"/>
          <w:sz w:val="16"/>
          <w:szCs w:val="16"/>
        </w:rPr>
        <w:softHyphen/>
        <w:t>стями Ставки ГК полковником Аборенковым в ГКО было принято решение о проведении сравнитель</w:t>
      </w:r>
      <w:r w:rsidRPr="00640820">
        <w:rPr>
          <w:color w:val="000000" w:themeColor="text1"/>
          <w:sz w:val="16"/>
          <w:szCs w:val="16"/>
        </w:rPr>
        <w:softHyphen/>
        <w:t>ных войсковых испытаний ракетных снарядов но</w:t>
      </w:r>
      <w:r w:rsidRPr="00640820">
        <w:rPr>
          <w:color w:val="000000" w:themeColor="text1"/>
          <w:sz w:val="16"/>
          <w:szCs w:val="16"/>
        </w:rPr>
        <w:softHyphen/>
        <w:t>вых типов с целью определения наилучших из них.</w:t>
      </w:r>
    </w:p>
    <w:p w14:paraId="2694BA49" w14:textId="77777777" w:rsidR="004673CC" w:rsidRPr="00640820" w:rsidRDefault="004673CC"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28 ноября 1941 экипажи 519-го иап совершили два боевых вылета (лейтенант Косенков и капитан Фомин) с ракетными бронебойными снарядами РБС-82. Капитан Косенков вел стрельбу с бреющего полета (15—20 м) по скоплению автомашин в насе</w:t>
      </w:r>
      <w:r w:rsidRPr="00640820">
        <w:rPr>
          <w:color w:val="000000" w:themeColor="text1"/>
          <w:sz w:val="16"/>
          <w:szCs w:val="16"/>
        </w:rPr>
        <w:softHyphen/>
        <w:t>ленном пункте. Имелись прямые попадания снаря</w:t>
      </w:r>
      <w:r w:rsidRPr="00640820">
        <w:rPr>
          <w:color w:val="000000" w:themeColor="text1"/>
          <w:sz w:val="16"/>
          <w:szCs w:val="16"/>
        </w:rPr>
        <w:softHyphen/>
        <w:t>дов в автомашины и дома; действие взрыва у цели заметить летчику не удалось. Лейтенант Фомин вел стрельбу с бреющего полета по колонне автомашин и танков. Отмечено 4 прямых попадания снарядами в танки противника и дым от их разрывов. По мне</w:t>
      </w:r>
      <w:r w:rsidRPr="00640820">
        <w:rPr>
          <w:color w:val="000000" w:themeColor="text1"/>
          <w:sz w:val="16"/>
          <w:szCs w:val="16"/>
        </w:rPr>
        <w:softHyphen/>
        <w:t>нию Косенкова и Фомина, РБС-82 целесообразно было применять с истребителей с пикирования.</w:t>
      </w:r>
    </w:p>
    <w:p w14:paraId="32BB3878" w14:textId="77777777" w:rsidR="004673CC" w:rsidRPr="00640820" w:rsidRDefault="004673CC"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14 декабря 1941 г. в ходе войсковых испытаний (вторых по счету) реактивных снарядов РБС-82, РБС-132 и РОФС-132 в 47-й сад старший лейтенант Баранов из 312-го шап реактивными снарядами РБС-132 с планирования под углом 7—10° атаковал колонну автомашин и средних танков. Стрельба велась оди</w:t>
      </w:r>
      <w:r w:rsidRPr="00640820">
        <w:rPr>
          <w:color w:val="000000" w:themeColor="text1"/>
          <w:sz w:val="16"/>
          <w:szCs w:val="16"/>
        </w:rPr>
        <w:softHyphen/>
        <w:t>ночными выстрелами с дистанции 800—900 м. Пря</w:t>
      </w:r>
      <w:r w:rsidRPr="00640820">
        <w:rPr>
          <w:color w:val="000000" w:themeColor="text1"/>
          <w:sz w:val="16"/>
          <w:szCs w:val="16"/>
        </w:rPr>
        <w:softHyphen/>
        <w:t>мыми попаданиями были поражены 2 автомашины и 2 танка. Один РБС прошел через середину кры</w:t>
      </w:r>
      <w:r w:rsidRPr="00640820">
        <w:rPr>
          <w:color w:val="000000" w:themeColor="text1"/>
          <w:sz w:val="16"/>
          <w:szCs w:val="16"/>
        </w:rPr>
        <w:softHyphen/>
        <w:t>той автомашины и разорвался на земле около нее, второй — произвел сильный взрыв автомашины и вызвал большой пожар. Два других РБС-132 по</w:t>
      </w:r>
      <w:r w:rsidRPr="00640820">
        <w:rPr>
          <w:color w:val="000000" w:themeColor="text1"/>
          <w:sz w:val="16"/>
          <w:szCs w:val="16"/>
        </w:rPr>
        <w:softHyphen/>
        <w:t>пали в танки, но характер разрушения, нанесенный танкам, из-за малой высоты полета и малой дис</w:t>
      </w:r>
      <w:r w:rsidRPr="00640820">
        <w:rPr>
          <w:color w:val="000000" w:themeColor="text1"/>
          <w:sz w:val="16"/>
          <w:szCs w:val="16"/>
        </w:rPr>
        <w:softHyphen/>
        <w:t>танции стрельбы проследить не удалось. В отчете о применении РБС-132 Баранов указал, что РБС-132 целесообразно применять только по бронирован</w:t>
      </w:r>
      <w:r w:rsidRPr="00640820">
        <w:rPr>
          <w:color w:val="000000" w:themeColor="text1"/>
          <w:sz w:val="16"/>
          <w:szCs w:val="16"/>
        </w:rPr>
        <w:softHyphen/>
        <w:t>ным целям.</w:t>
      </w:r>
    </w:p>
    <w:p w14:paraId="5372250A" w14:textId="77777777" w:rsidR="004673CC" w:rsidRPr="00640820" w:rsidRDefault="004673CC"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20 декабря 1941 г. однополчанин Баранова командир эскадрильи капитан Заноздра осуще</w:t>
      </w:r>
      <w:r w:rsidRPr="00640820">
        <w:rPr>
          <w:color w:val="000000" w:themeColor="text1"/>
          <w:sz w:val="16"/>
          <w:szCs w:val="16"/>
        </w:rPr>
        <w:softHyphen/>
        <w:t>ствил пуск РБС-132 по автомашинам и 3—4 тан кам, находящимся на стоянке у отдельного дома. Стрельба велась с планирования под углом 10° с дистанции 600—800 м. Летчиком были отмечены большие огненные взрывы, кучность стрельбы — хорошая.</w:t>
      </w:r>
    </w:p>
    <w:p w14:paraId="5D03DB7B" w14:textId="77777777" w:rsidR="004673CC" w:rsidRPr="00640820" w:rsidRDefault="004673CC"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24 декабря 1941 г. 3 летчика дивизии успешно атаковали реактивными снарядами наземные цели.</w:t>
      </w:r>
    </w:p>
    <w:p w14:paraId="7807D845" w14:textId="77777777" w:rsidR="004673CC" w:rsidRPr="00640820" w:rsidRDefault="004673CC"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Лейтенант Уваров с планирования под углом 5—7° с дистанции 400—550 м вел стрельбу по тан</w:t>
      </w:r>
      <w:r w:rsidRPr="00640820">
        <w:rPr>
          <w:color w:val="000000" w:themeColor="text1"/>
          <w:sz w:val="16"/>
          <w:szCs w:val="16"/>
        </w:rPr>
        <w:softHyphen/>
        <w:t>кам и автомашинам. Снаряды легли в районе цели на расстоянии 1—2 м один от другого. После попа</w:t>
      </w:r>
      <w:r w:rsidRPr="00640820">
        <w:rPr>
          <w:color w:val="000000" w:themeColor="text1"/>
          <w:sz w:val="16"/>
          <w:szCs w:val="16"/>
        </w:rPr>
        <w:softHyphen/>
        <w:t>дания в дом, около которого были танки и автома</w:t>
      </w:r>
      <w:r w:rsidRPr="00640820">
        <w:rPr>
          <w:color w:val="000000" w:themeColor="text1"/>
          <w:sz w:val="16"/>
          <w:szCs w:val="16"/>
        </w:rPr>
        <w:softHyphen/>
        <w:t>шины, последовал сильный взрыв, сопровождаю</w:t>
      </w:r>
      <w:r w:rsidRPr="00640820">
        <w:rPr>
          <w:color w:val="000000" w:themeColor="text1"/>
          <w:sz w:val="16"/>
          <w:szCs w:val="16"/>
        </w:rPr>
        <w:softHyphen/>
        <w:t>щийся черным дымом. Дом взлетел на воздух.</w:t>
      </w:r>
    </w:p>
    <w:p w14:paraId="6000C00E" w14:textId="77777777" w:rsidR="004673CC" w:rsidRPr="00640820" w:rsidRDefault="004673CC"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Капитан Фомин вел стрельбу РБС-82 с дистан</w:t>
      </w:r>
      <w:r w:rsidRPr="00640820">
        <w:rPr>
          <w:color w:val="000000" w:themeColor="text1"/>
          <w:sz w:val="16"/>
          <w:szCs w:val="16"/>
        </w:rPr>
        <w:softHyphen/>
        <w:t>ции 400—500 м с бреющего полета. Снаряды легли в 2—3 м друг от друга. При взрывах было много черного дыма, который не позволил рассмотреть количество пораженных целей.</w:t>
      </w:r>
    </w:p>
    <w:p w14:paraId="17D4D5FF" w14:textId="77777777" w:rsidR="004673CC" w:rsidRPr="00640820" w:rsidRDefault="004673CC"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Старшина Сидоренко атаковал группу танков и автомашин с дистанции 400—500 м. Угол плани</w:t>
      </w:r>
      <w:r w:rsidRPr="00640820">
        <w:rPr>
          <w:color w:val="000000" w:themeColor="text1"/>
          <w:sz w:val="16"/>
          <w:szCs w:val="16"/>
        </w:rPr>
        <w:softHyphen/>
        <w:t>рования 5—10°. Снаряды легли в радиусе 1—2 м друг от друга. Прямых попаданий в танки заметить не удалось, но движение колонны прекратилось.</w:t>
      </w:r>
    </w:p>
    <w:p w14:paraId="5B22433E" w14:textId="77777777" w:rsidR="004673CC" w:rsidRPr="00640820" w:rsidRDefault="004673CC"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9 января 1942 г. капитан Заноздра 4 снарядами РОФС-132 с дистанции 600 м под углом планирова</w:t>
      </w:r>
      <w:r w:rsidRPr="00640820">
        <w:rPr>
          <w:color w:val="000000" w:themeColor="text1"/>
          <w:sz w:val="16"/>
          <w:szCs w:val="16"/>
        </w:rPr>
        <w:softHyphen/>
        <w:t>ния 5—6° атаковал 4 немецких танка. Разрывы сна</w:t>
      </w:r>
      <w:r w:rsidRPr="00640820">
        <w:rPr>
          <w:color w:val="000000" w:themeColor="text1"/>
          <w:sz w:val="16"/>
          <w:szCs w:val="16"/>
        </w:rPr>
        <w:softHyphen/>
        <w:t>рядов были в радиусе 50 м. Характер поражения заметить не удалось.</w:t>
      </w:r>
    </w:p>
    <w:p w14:paraId="4C7A96C9" w14:textId="77777777" w:rsidR="004673CC" w:rsidRPr="00640820" w:rsidRDefault="004673CC"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В этот же день младший лейтенант Балашов вел стрельбу снарядами РОФС-132 по колонне ав</w:t>
      </w:r>
      <w:r w:rsidRPr="00640820">
        <w:rPr>
          <w:color w:val="000000" w:themeColor="text1"/>
          <w:sz w:val="16"/>
          <w:szCs w:val="16"/>
        </w:rPr>
        <w:softHyphen/>
        <w:t>томашин и повозок с дистанции 700 м. Снаряды упали посреди дороги, по которой двигалась ав</w:t>
      </w:r>
      <w:r w:rsidRPr="00640820">
        <w:rPr>
          <w:color w:val="000000" w:themeColor="text1"/>
          <w:sz w:val="16"/>
          <w:szCs w:val="16"/>
        </w:rPr>
        <w:softHyphen/>
        <w:t>токолонна, и вызвали большой взрыв. Силой взры</w:t>
      </w:r>
      <w:r w:rsidRPr="00640820">
        <w:rPr>
          <w:color w:val="000000" w:themeColor="text1"/>
          <w:sz w:val="16"/>
          <w:szCs w:val="16"/>
        </w:rPr>
        <w:softHyphen/>
        <w:t>ва обломки от автомашин подбросило на высоту до 70 м. Движение по дороге разорвалось метров на пятьдесят.</w:t>
      </w:r>
    </w:p>
    <w:p w14:paraId="15F78120" w14:textId="77777777" w:rsidR="004673CC" w:rsidRPr="00640820" w:rsidRDefault="004673CC"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9 января 1942 г. старший лейтенант Баранов вы</w:t>
      </w:r>
      <w:r w:rsidRPr="00640820">
        <w:rPr>
          <w:color w:val="000000" w:themeColor="text1"/>
          <w:sz w:val="16"/>
          <w:szCs w:val="16"/>
        </w:rPr>
        <w:softHyphen/>
        <w:t>пустил по железнодорожному составу 7 РОФС-132. Атаку летчик произвел с юго-востока от железной дороги, а погрузка вагонов шла с северной сто</w:t>
      </w:r>
      <w:r w:rsidRPr="00640820">
        <w:rPr>
          <w:color w:val="000000" w:themeColor="text1"/>
          <w:sz w:val="16"/>
          <w:szCs w:val="16"/>
        </w:rPr>
        <w:softHyphen/>
        <w:t>роны. Первый залп из 2 снарядов был выполнен с дистанции 1000 м, снаряды прошли над вагонами и разорвались на площадке, где в ожидании по</w:t>
      </w:r>
      <w:r w:rsidRPr="00640820">
        <w:rPr>
          <w:color w:val="000000" w:themeColor="text1"/>
          <w:sz w:val="16"/>
          <w:szCs w:val="16"/>
        </w:rPr>
        <w:softHyphen/>
        <w:t>грузки скопилось большое количество автомашин и танков. Остальные 5 снарядов летчик выпустил непосредственно по вагонам и добился прямых попаданий. Всего было разбито 8 вагонов. В 2 ваго</w:t>
      </w:r>
      <w:r w:rsidRPr="00640820">
        <w:rPr>
          <w:color w:val="000000" w:themeColor="text1"/>
          <w:sz w:val="16"/>
          <w:szCs w:val="16"/>
        </w:rPr>
        <w:softHyphen/>
        <w:t>нах произошел сильный взрыв, сопровождавший</w:t>
      </w:r>
      <w:r w:rsidRPr="00640820">
        <w:rPr>
          <w:color w:val="000000" w:themeColor="text1"/>
          <w:sz w:val="16"/>
          <w:szCs w:val="16"/>
        </w:rPr>
        <w:softHyphen/>
        <w:t>ся облаком дыма, другие же вагоны разлетелись в щепки.</w:t>
      </w:r>
    </w:p>
    <w:p w14:paraId="532175E0" w14:textId="77777777" w:rsidR="004673CC" w:rsidRPr="00640820" w:rsidRDefault="004673CC" w:rsidP="00640820">
      <w:pPr>
        <w:pStyle w:val="129"/>
        <w:shd w:val="clear" w:color="auto" w:fill="auto"/>
        <w:tabs>
          <w:tab w:val="left" w:pos="596"/>
        </w:tabs>
        <w:spacing w:after="0" w:line="240" w:lineRule="auto"/>
        <w:jc w:val="both"/>
        <w:rPr>
          <w:color w:val="000000" w:themeColor="text1"/>
          <w:sz w:val="16"/>
          <w:szCs w:val="16"/>
        </w:rPr>
      </w:pPr>
      <w:r w:rsidRPr="00640820">
        <w:rPr>
          <w:color w:val="000000" w:themeColor="text1"/>
          <w:sz w:val="16"/>
          <w:szCs w:val="16"/>
        </w:rPr>
        <w:t>11 января 1942 Балашов нанес удар по скоплению автомашин и живой силы в населенном пункте. Условия стрельбы те же, как и в предыдущем вы</w:t>
      </w:r>
      <w:r w:rsidRPr="00640820">
        <w:rPr>
          <w:color w:val="000000" w:themeColor="text1"/>
          <w:sz w:val="16"/>
          <w:szCs w:val="16"/>
        </w:rPr>
        <w:softHyphen/>
        <w:t>лете. Силой взрыва в центре скопления автомашин крупные части машин подбросило выше самолета, а стоящий вблизи дом частично разрушился и за</w:t>
      </w:r>
      <w:r w:rsidRPr="00640820">
        <w:rPr>
          <w:color w:val="000000" w:themeColor="text1"/>
          <w:sz w:val="16"/>
          <w:szCs w:val="16"/>
        </w:rPr>
        <w:softHyphen/>
        <w:t>горелся.</w:t>
      </w:r>
    </w:p>
    <w:p w14:paraId="45B3F6A1" w14:textId="77777777" w:rsidR="004673CC" w:rsidRPr="00640820" w:rsidRDefault="004673CC" w:rsidP="00640820">
      <w:pPr>
        <w:pStyle w:val="129"/>
        <w:shd w:val="clear" w:color="auto" w:fill="auto"/>
        <w:tabs>
          <w:tab w:val="left" w:pos="591"/>
        </w:tabs>
        <w:spacing w:after="0" w:line="240" w:lineRule="auto"/>
        <w:jc w:val="both"/>
        <w:rPr>
          <w:color w:val="000000" w:themeColor="text1"/>
          <w:sz w:val="16"/>
          <w:szCs w:val="16"/>
        </w:rPr>
      </w:pPr>
      <w:r w:rsidRPr="00640820">
        <w:rPr>
          <w:color w:val="000000" w:themeColor="text1"/>
          <w:sz w:val="16"/>
          <w:szCs w:val="16"/>
        </w:rPr>
        <w:t>12 января 1942 стрельба РСами велась Балашовым также по скоплению живой силы и техники. Авто</w:t>
      </w:r>
      <w:r w:rsidRPr="00640820">
        <w:rPr>
          <w:color w:val="000000" w:themeColor="text1"/>
          <w:sz w:val="16"/>
          <w:szCs w:val="16"/>
        </w:rPr>
        <w:softHyphen/>
        <w:t>машины стояли замаскированными около домов, а людской состав, по-видимому, находился в домах. В результате прямых попаданий в дома последние разлетались в щепки и возникали пожары. Столб дыма и пыли поднялся над местами взрыва метров на тридцать.</w:t>
      </w:r>
    </w:p>
    <w:p w14:paraId="240959AE" w14:textId="77777777" w:rsidR="004673CC" w:rsidRPr="00640820" w:rsidRDefault="004673CC"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В этот же день старший лейтенант Баранов ата</w:t>
      </w:r>
      <w:r w:rsidRPr="00640820">
        <w:rPr>
          <w:color w:val="000000" w:themeColor="text1"/>
          <w:sz w:val="16"/>
          <w:szCs w:val="16"/>
        </w:rPr>
        <w:softHyphen/>
        <w:t>ковал колонну автомашин и гужевого транспорта немцев вблизи одного из населенных пунктов. По докладу летчика, было уничтожено около 15 под</w:t>
      </w:r>
      <w:r w:rsidRPr="00640820">
        <w:rPr>
          <w:color w:val="000000" w:themeColor="text1"/>
          <w:sz w:val="16"/>
          <w:szCs w:val="16"/>
        </w:rPr>
        <w:softHyphen/>
        <w:t>вод и автомашин с прислугой.</w:t>
      </w:r>
    </w:p>
    <w:p w14:paraId="15C21DDD" w14:textId="77777777" w:rsidR="004673CC" w:rsidRPr="00640820" w:rsidRDefault="004673CC"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Два реактивных снаряда летчик выпустил по ко</w:t>
      </w:r>
      <w:r w:rsidRPr="00640820">
        <w:rPr>
          <w:color w:val="000000" w:themeColor="text1"/>
          <w:sz w:val="16"/>
          <w:szCs w:val="16"/>
        </w:rPr>
        <w:softHyphen/>
        <w:t>лонне гужевого транспорта в составе до 35 подвод. Снаряды попали в середину колонны. По-видимому, в повозках были боеприпасы, так как произошел сильный взрыв и в воздух взлетели обломки по</w:t>
      </w:r>
      <w:r w:rsidRPr="00640820">
        <w:rPr>
          <w:color w:val="000000" w:themeColor="text1"/>
          <w:sz w:val="16"/>
          <w:szCs w:val="16"/>
        </w:rPr>
        <w:softHyphen/>
        <w:t>возок, куски лошадей и людей. Боясь повреждения самолета, Баранову пришлось резко «взять гор</w:t>
      </w:r>
      <w:r w:rsidRPr="00640820">
        <w:rPr>
          <w:color w:val="000000" w:themeColor="text1"/>
          <w:sz w:val="16"/>
          <w:szCs w:val="16"/>
        </w:rPr>
        <w:softHyphen/>
        <w:t>ку». Один РС был выпущен по дому, где скопилось много солдат противника. От прямого попадания дом совершенно развалился и загорелся, обломки взлетели на высоту до 50 м. Остальными снарядами были атакованы автомашины, которые разлетались в щепки и горели.</w:t>
      </w:r>
    </w:p>
    <w:p w14:paraId="53005CDC" w14:textId="77777777" w:rsidR="004673CC" w:rsidRPr="00640820" w:rsidRDefault="004673CC"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lastRenderedPageBreak/>
        <w:t>В этот же день капитан Фомин снарядами РОФС-132 с высоты 15—20 м с дистанции 500— 450 м произвел эффектную стрельбу по скоплению автомашин в деревне. Летчик наблюдал сильные взрывы, черный дым и летящие обломки автома</w:t>
      </w:r>
      <w:r w:rsidRPr="00640820">
        <w:rPr>
          <w:color w:val="000000" w:themeColor="text1"/>
          <w:sz w:val="16"/>
          <w:szCs w:val="16"/>
        </w:rPr>
        <w:softHyphen/>
        <w:t>шин. Например, колесо от автомашины взлетело в воздух на высоту до 80 м примерно в 200 м впе</w:t>
      </w:r>
      <w:r w:rsidRPr="00640820">
        <w:rPr>
          <w:color w:val="000000" w:themeColor="text1"/>
          <w:sz w:val="16"/>
          <w:szCs w:val="16"/>
        </w:rPr>
        <w:softHyphen/>
        <w:t>реди самолета, чтобы избежать столкновения, капи</w:t>
      </w:r>
      <w:r w:rsidRPr="00640820">
        <w:rPr>
          <w:color w:val="000000" w:themeColor="text1"/>
          <w:sz w:val="16"/>
          <w:szCs w:val="16"/>
        </w:rPr>
        <w:softHyphen/>
        <w:t>тану пришлось отвернуть в сторону. По-видимому, снаряд попал в машину с боеприпасами.</w:t>
      </w:r>
    </w:p>
    <w:p w14:paraId="4FF738E4" w14:textId="77777777" w:rsidR="004673CC" w:rsidRPr="00640820" w:rsidRDefault="004673CC"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13 января 1942 г. лейтенант Коротков вел стрельбу реактивными снарядами по населенно</w:t>
      </w:r>
      <w:r w:rsidRPr="00640820">
        <w:rPr>
          <w:color w:val="000000" w:themeColor="text1"/>
          <w:sz w:val="16"/>
          <w:szCs w:val="16"/>
        </w:rPr>
        <w:softHyphen/>
        <w:t>му пункту и автомашинам в нем. Им было отмече</w:t>
      </w:r>
      <w:r w:rsidRPr="00640820">
        <w:rPr>
          <w:color w:val="000000" w:themeColor="text1"/>
          <w:sz w:val="16"/>
          <w:szCs w:val="16"/>
        </w:rPr>
        <w:softHyphen/>
        <w:t>но, что при попадании снаряда в деревянный дом последний разрушается и немедленно загорается, автомашины превращаются в обломки, которые взлетают выше самолета, и при стрельбе с малой дистанции возможно повреждение самолета.</w:t>
      </w:r>
    </w:p>
    <w:p w14:paraId="5A4E5BEB" w14:textId="77777777" w:rsidR="004673CC" w:rsidRPr="00640820" w:rsidRDefault="004673CC"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В отчете о войсковых испытаниях реактивных снарядов РБС-82, РБС-132 и РОФС-132 в боевых ус</w:t>
      </w:r>
      <w:r w:rsidRPr="00640820">
        <w:rPr>
          <w:color w:val="000000" w:themeColor="text1"/>
          <w:sz w:val="16"/>
          <w:szCs w:val="16"/>
        </w:rPr>
        <w:softHyphen/>
        <w:t>ловиях летный состав 47-й сад сделал следующие выводы:</w:t>
      </w:r>
    </w:p>
    <w:p w14:paraId="0B291F17" w14:textId="77777777" w:rsidR="004673CC" w:rsidRPr="00640820" w:rsidRDefault="004673CC"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«1) РБС-82 является мощным оружием истреби</w:t>
      </w:r>
      <w:r w:rsidRPr="00640820">
        <w:rPr>
          <w:color w:val="000000" w:themeColor="text1"/>
          <w:sz w:val="16"/>
          <w:szCs w:val="16"/>
        </w:rPr>
        <w:softHyphen/>
        <w:t>тельной авиации для поражения танков, бронема</w:t>
      </w:r>
      <w:r w:rsidRPr="00640820">
        <w:rPr>
          <w:color w:val="000000" w:themeColor="text1"/>
          <w:sz w:val="16"/>
          <w:szCs w:val="16"/>
        </w:rPr>
        <w:softHyphen/>
        <w:t>шин, бронепоездов и других объектов, имеющих броневое покрытие до 50 мм. Применение целесо</w:t>
      </w:r>
      <w:r w:rsidRPr="00640820">
        <w:rPr>
          <w:color w:val="000000" w:themeColor="text1"/>
          <w:sz w:val="16"/>
          <w:szCs w:val="16"/>
        </w:rPr>
        <w:softHyphen/>
        <w:t>образно на пикировании с углом не менее 60° или на планировании с углами до 15°. Наличие РБС-82 делает самолет-истребитель мощным орудием для борьбы с танками противника;</w:t>
      </w:r>
    </w:p>
    <w:p w14:paraId="439A6B3B" w14:textId="77777777" w:rsidR="004673CC" w:rsidRPr="00640820" w:rsidRDefault="004673CC" w:rsidP="00640820">
      <w:pPr>
        <w:pStyle w:val="129"/>
        <w:shd w:val="clear" w:color="auto" w:fill="auto"/>
        <w:tabs>
          <w:tab w:val="left" w:pos="582"/>
        </w:tabs>
        <w:spacing w:after="0" w:line="240" w:lineRule="auto"/>
        <w:jc w:val="both"/>
        <w:rPr>
          <w:color w:val="000000" w:themeColor="text1"/>
          <w:sz w:val="16"/>
          <w:szCs w:val="16"/>
        </w:rPr>
      </w:pPr>
      <w:r w:rsidRPr="00640820">
        <w:rPr>
          <w:color w:val="000000" w:themeColor="text1"/>
          <w:sz w:val="16"/>
          <w:szCs w:val="16"/>
        </w:rPr>
        <w:t>2) РБС-132 является мощным огневым сред</w:t>
      </w:r>
      <w:r w:rsidRPr="00640820">
        <w:rPr>
          <w:color w:val="000000" w:themeColor="text1"/>
          <w:sz w:val="16"/>
          <w:szCs w:val="16"/>
        </w:rPr>
        <w:softHyphen/>
        <w:t>ством для поражения бронированных целей про</w:t>
      </w:r>
      <w:r w:rsidRPr="00640820">
        <w:rPr>
          <w:color w:val="000000" w:themeColor="text1"/>
          <w:sz w:val="16"/>
          <w:szCs w:val="16"/>
        </w:rPr>
        <w:softHyphen/>
        <w:t>тивника стрельбой с самолетов штурмовиков и бомбардировщиков с горизонтального, планиру</w:t>
      </w:r>
      <w:r w:rsidRPr="00640820">
        <w:rPr>
          <w:color w:val="000000" w:themeColor="text1"/>
          <w:sz w:val="16"/>
          <w:szCs w:val="16"/>
        </w:rPr>
        <w:softHyphen/>
        <w:t>ющего или пикирующего полета. В число этих це</w:t>
      </w:r>
      <w:r w:rsidRPr="00640820">
        <w:rPr>
          <w:color w:val="000000" w:themeColor="text1"/>
          <w:sz w:val="16"/>
          <w:szCs w:val="16"/>
        </w:rPr>
        <w:softHyphen/>
        <w:t>лей могут входить: тяжелые танки, бронепоезда, ба</w:t>
      </w:r>
      <w:r w:rsidRPr="00640820">
        <w:rPr>
          <w:color w:val="000000" w:themeColor="text1"/>
          <w:sz w:val="16"/>
          <w:szCs w:val="16"/>
        </w:rPr>
        <w:softHyphen/>
        <w:t>тареи береговой обороны, морские и речные суда, имеющие бронирование до 75 мм, а также полевые бетонированные сооружения и каменные строения гражданского типа. Самолет Ил-2, вооруженный РБС-132, будет являться мощным штурмовиком для действия по бронированным и сильно укреплен</w:t>
      </w:r>
      <w:r w:rsidRPr="00640820">
        <w:rPr>
          <w:color w:val="000000" w:themeColor="text1"/>
          <w:sz w:val="16"/>
          <w:szCs w:val="16"/>
        </w:rPr>
        <w:softHyphen/>
        <w:t>ным целям;</w:t>
      </w:r>
    </w:p>
    <w:p w14:paraId="161080EA" w14:textId="77777777" w:rsidR="004673CC" w:rsidRPr="00640820" w:rsidRDefault="004673CC" w:rsidP="00640820">
      <w:pPr>
        <w:pStyle w:val="129"/>
        <w:shd w:val="clear" w:color="auto" w:fill="auto"/>
        <w:tabs>
          <w:tab w:val="left" w:pos="543"/>
        </w:tabs>
        <w:spacing w:after="0" w:line="240" w:lineRule="auto"/>
        <w:jc w:val="both"/>
        <w:rPr>
          <w:color w:val="000000" w:themeColor="text1"/>
          <w:sz w:val="16"/>
          <w:szCs w:val="16"/>
        </w:rPr>
      </w:pPr>
      <w:r w:rsidRPr="00640820">
        <w:rPr>
          <w:color w:val="000000" w:themeColor="text1"/>
          <w:sz w:val="16"/>
          <w:szCs w:val="16"/>
        </w:rPr>
        <w:t>3) РОФС-132 является мощным снарядом оско</w:t>
      </w:r>
      <w:r w:rsidRPr="00640820">
        <w:rPr>
          <w:color w:val="000000" w:themeColor="text1"/>
          <w:sz w:val="16"/>
          <w:szCs w:val="16"/>
        </w:rPr>
        <w:softHyphen/>
        <w:t>лочно-фугасного действия. Применение его на са</w:t>
      </w:r>
      <w:r w:rsidRPr="00640820">
        <w:rPr>
          <w:color w:val="000000" w:themeColor="text1"/>
          <w:sz w:val="16"/>
          <w:szCs w:val="16"/>
        </w:rPr>
        <w:softHyphen/>
        <w:t>молете Ил-2 в 8—10 раз увеличивает его огневую мощь в сравнении с применением штатного РС-82 и в 3—4 раза со штатным РС-132;</w:t>
      </w:r>
    </w:p>
    <w:p w14:paraId="122E599E" w14:textId="77777777" w:rsidR="004673CC" w:rsidRPr="00640820" w:rsidRDefault="004673CC" w:rsidP="00640820">
      <w:pPr>
        <w:pStyle w:val="129"/>
        <w:shd w:val="clear" w:color="auto" w:fill="auto"/>
        <w:tabs>
          <w:tab w:val="left" w:pos="548"/>
        </w:tabs>
        <w:spacing w:after="0" w:line="240" w:lineRule="auto"/>
        <w:jc w:val="both"/>
        <w:rPr>
          <w:color w:val="000000" w:themeColor="text1"/>
          <w:sz w:val="16"/>
          <w:szCs w:val="16"/>
        </w:rPr>
      </w:pPr>
      <w:r w:rsidRPr="00640820">
        <w:rPr>
          <w:color w:val="000000" w:themeColor="text1"/>
          <w:sz w:val="16"/>
          <w:szCs w:val="16"/>
        </w:rPr>
        <w:t>4) установить точное количество пораженных целей не было возможности. Летчики, летавшие с РБС-82, отмечали прямые попадания в танки, дома и автомашины. Со слов летчиков, летавших с РБС-132, можно считать, что выведено из строя не менее 20 танков, 35—40 автомашин и разрушено несколько строений, используемых противником. По единодушному заключению летчиков, летавших с РОФС-132, действие этого снаряда у цели исклю</w:t>
      </w:r>
      <w:r w:rsidRPr="00640820">
        <w:rPr>
          <w:color w:val="000000" w:themeColor="text1"/>
          <w:sz w:val="16"/>
          <w:szCs w:val="16"/>
        </w:rPr>
        <w:softHyphen/>
        <w:t>чительно сильное и превосходящее «все ожида</w:t>
      </w:r>
      <w:r w:rsidRPr="00640820">
        <w:rPr>
          <w:color w:val="000000" w:themeColor="text1"/>
          <w:sz w:val="16"/>
          <w:szCs w:val="16"/>
        </w:rPr>
        <w:softHyphen/>
        <w:t>ния». Действием РОФС-132 противнику нанесен большой ущерб;</w:t>
      </w:r>
    </w:p>
    <w:p w14:paraId="1730B640" w14:textId="77777777" w:rsidR="004673CC" w:rsidRPr="00640820" w:rsidRDefault="004673CC" w:rsidP="00640820">
      <w:pPr>
        <w:pStyle w:val="129"/>
        <w:shd w:val="clear" w:color="auto" w:fill="auto"/>
        <w:tabs>
          <w:tab w:val="left" w:pos="529"/>
        </w:tabs>
        <w:spacing w:after="0" w:line="240" w:lineRule="auto"/>
        <w:jc w:val="both"/>
        <w:rPr>
          <w:color w:val="000000" w:themeColor="text1"/>
          <w:sz w:val="16"/>
          <w:szCs w:val="16"/>
        </w:rPr>
      </w:pPr>
      <w:r w:rsidRPr="00640820">
        <w:rPr>
          <w:color w:val="000000" w:themeColor="text1"/>
          <w:sz w:val="16"/>
          <w:szCs w:val="16"/>
        </w:rPr>
        <w:t>5) метеорологические условия и обстановка на фронте не позволили полностью использовать ра</w:t>
      </w:r>
      <w:r w:rsidRPr="00640820">
        <w:rPr>
          <w:color w:val="000000" w:themeColor="text1"/>
          <w:sz w:val="16"/>
          <w:szCs w:val="16"/>
        </w:rPr>
        <w:softHyphen/>
        <w:t>кетные бронебойные снаряды. Ввиду отсутствия скоплений бронетанковых сил противника на отве</w:t>
      </w:r>
      <w:r w:rsidRPr="00640820">
        <w:rPr>
          <w:color w:val="000000" w:themeColor="text1"/>
          <w:sz w:val="16"/>
          <w:szCs w:val="16"/>
        </w:rPr>
        <w:softHyphen/>
        <w:t>денном участке фронта не было возможности ши</w:t>
      </w:r>
      <w:r w:rsidRPr="00640820">
        <w:rPr>
          <w:color w:val="000000" w:themeColor="text1"/>
          <w:sz w:val="16"/>
          <w:szCs w:val="16"/>
        </w:rPr>
        <w:softHyphen/>
        <w:t>роко применять РБС и по инициативе оперативной группы в 47 АД были применены РОФС-132.</w:t>
      </w:r>
    </w:p>
    <w:p w14:paraId="42CC8366" w14:textId="77777777" w:rsidR="004673CC" w:rsidRPr="00640820" w:rsidRDefault="004673CC"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За время работы израсходовано: РБС-82 — 60 шт., РБС-132 — 80 шт., РОФС-132 — 200 шт.» (17500).</w:t>
      </w:r>
    </w:p>
    <w:p w14:paraId="3AD9CB34" w14:textId="77777777" w:rsidR="004673CC" w:rsidRPr="00640820" w:rsidRDefault="004673CC" w:rsidP="00640820">
      <w:pPr>
        <w:spacing w:after="0" w:line="240" w:lineRule="auto"/>
        <w:jc w:val="both"/>
        <w:rPr>
          <w:rFonts w:ascii="Times New Roman" w:hAnsi="Times New Roman"/>
          <w:color w:val="000000" w:themeColor="text1"/>
          <w:sz w:val="16"/>
          <w:szCs w:val="16"/>
        </w:rPr>
      </w:pPr>
    </w:p>
    <w:p w14:paraId="505559FD"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756A1F6A"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34423EA" w14:textId="77777777" w:rsidR="00BE54B8" w:rsidRPr="00640820" w:rsidRDefault="00BE54B8"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ноября 1941 года в отчёте капитана П. Ф. Соломонова о поездке в Челябинск впервые упоминалось о проекте, который базировался на шасси КВ-1. Целью поездки, инициированной руководством ГАУ КА, было изучение на месте вопроса обеспеченности вооружением танков КВ-1. Помимо вопросов поставок пушек, в докладе нашлось место и опытным работам, среди которых обнаружилась и такая:</w:t>
      </w:r>
    </w:p>
    <w:p w14:paraId="68228BF7" w14:textId="77777777" w:rsidR="00BE54B8" w:rsidRPr="00640820" w:rsidRDefault="00BE54B8"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«По заданию Иосифа Виссарионовича Сталина завод Кировский разрабатывает в КВ строенную установку: 1 пушка Ф-34 и 2 пушки 45 мм (стволы без противооткатных устройств), противооткатные устройства для триплекса взяты от ЗИС-5. Кругового обстрела нет, угол обстрела по горизонту +/-15° или +/-7,5° как разрешит укладка; боекомплект 300 выстрелов (по 100 на единицу оружия), кроме того, этот триплекс имеет ещё 3–4 пулемёта.</w:t>
      </w:r>
    </w:p>
    <w:p w14:paraId="10607946" w14:textId="77777777" w:rsidR="00BE54B8" w:rsidRPr="00640820" w:rsidRDefault="00BE54B8"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В декабре завод должен подавать 1/5 всех танков КВ с этими триплексами».</w:t>
      </w:r>
    </w:p>
    <w:p w14:paraId="6019242E" w14:textId="77777777" w:rsidR="00BE54B8" w:rsidRPr="00640820" w:rsidRDefault="00BE54B8"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Можно было бы предположить, что именем Сталина в докладе лишь прикрылись, но это не так. То, что именно Иосиф Виссарионович являлся инициатором создания данной конструкции, подчёркивается в нескольких документах. Более того, одно из постановлений ГКО, касающихся машины, получившей индекс КВ-7, собственноручно написано Сталиным его «фирменным» карандашом.</w:t>
      </w:r>
    </w:p>
    <w:p w14:paraId="3F8DE9EE" w14:textId="77777777" w:rsidR="00BE54B8" w:rsidRPr="00640820" w:rsidRDefault="00BE54B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Причиной появления КВ-7 стали многочисленные обращения с фронта об усилении огневой мощи танковых орудий для борьбы с небронированными целями, включая лёгкие полевые укрепления. По концепции, строенная установка позволяла производить как раздельную стрельбу, так и одновременный залп. КВ-7 не являлся единственным таким проектом (15838).</w:t>
      </w:r>
    </w:p>
    <w:p w14:paraId="4254148C" w14:textId="77777777" w:rsidR="00BE54B8" w:rsidRPr="00640820" w:rsidRDefault="00BE54B8" w:rsidP="00640820">
      <w:pPr>
        <w:spacing w:after="0" w:line="240" w:lineRule="auto"/>
        <w:jc w:val="both"/>
        <w:rPr>
          <w:rFonts w:ascii="Times New Roman" w:hAnsi="Times New Roman"/>
          <w:color w:val="000000" w:themeColor="text1"/>
          <w:sz w:val="16"/>
          <w:szCs w:val="16"/>
        </w:rPr>
      </w:pPr>
    </w:p>
    <w:p w14:paraId="2EA50478" w14:textId="77777777" w:rsidR="004673CC" w:rsidRPr="00640820" w:rsidRDefault="004673C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28 ноября 1941 года в отчёте капитана П. Ф. Соломонова о поездке в Челябинск впервые упоминается проекте многопушечного танка, который базировался на шасси КВ-1. Целью поездки, инициированной руководством ГАУ КА, было изучение на месте вопроса обеспеченности вооружением танков КВ-1. Помимо вопросов поставок пушек, в докладе нашлось место и опытным работам, среди которых обнаружилась и такая:</w:t>
      </w:r>
    </w:p>
    <w:p w14:paraId="0BA93F9F" w14:textId="77777777" w:rsidR="004673CC" w:rsidRPr="00640820" w:rsidRDefault="004673C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iCs/>
          <w:color w:val="000000" w:themeColor="text1"/>
          <w:sz w:val="16"/>
          <w:szCs w:val="16"/>
          <w:lang w:eastAsia="ru-RU"/>
        </w:rPr>
        <w:t>«По заданию Иосифа Виссарионовича Сталина завод Кировский разрабатывает в КВ строенную установку: 1 пушка Ф-34 и 2 пушки 45 мм (стволы без противооткатных устройств), противооткатные устройства для триплекса взяты от ЗИС-5. Кругового обстрела нет, угол обстрела по горизонту +/-15° или +/-7,5° как разрешит укладка; боекомплект 300 выстрелов (по 100 на единицу оружия), кроме того, этот триплекс имеет ещё 3–4 пулемёта.</w:t>
      </w:r>
    </w:p>
    <w:p w14:paraId="76FA69EF" w14:textId="77777777" w:rsidR="004673CC" w:rsidRPr="00640820" w:rsidRDefault="004673C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iCs/>
          <w:color w:val="000000" w:themeColor="text1"/>
          <w:sz w:val="16"/>
          <w:szCs w:val="16"/>
          <w:lang w:eastAsia="ru-RU"/>
        </w:rPr>
        <w:t>В декабре завод должен подавать 1/5 всех танков КВ с этими триплексами».</w:t>
      </w:r>
    </w:p>
    <w:p w14:paraId="7FBEF859" w14:textId="77777777" w:rsidR="004673CC" w:rsidRPr="00640820" w:rsidRDefault="004673C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Можно было бы предположить, что именем Сталина в докладе лишь прикрылись, но это не так. То, что именно Иосиф Виссарионович являлся инициатором создания данной конструкции, подчёркивается в нескольких документах. Более того, одно из постановлений ГКО, касающихся машины, получившей индекс КВ-7, собственноручно написано Сталиным его «фирменным» карандашом.</w:t>
      </w:r>
    </w:p>
    <w:p w14:paraId="5C4A585B" w14:textId="77777777" w:rsidR="004673CC" w:rsidRPr="00640820" w:rsidRDefault="004673C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Причиной появления КВ-7 стали многочисленные обращения с фронта об усилении огневой мощи танковых орудий для борьбы с небронированными целями, включая лёгкие полевые укрепления. По концепции, строенная установка позволяла производить как раздельную стрельбу, так и одновременный залп. КВ-7 не являлся единственным таким проектом. В это же время, в ноябре-декабре 1941 года, похожую машину спроектировал коллектив завода №183, эвакуированный в Нижний Тагил. Танк, получивший индекс Т-34–3, разрабатывался под руководством А. А. Морозова. Представлял он собой Т-34, в башне которого, помимо Ф-34, устанавливалась спарка 45-мм пушек. Экипаж увеличивался до 5 человек, причём командир освобождался от функций наводчика. Никакой информации о том, кто стал инициатором разработки Т-34–3, нет, хотя с большой вероятностью это мог быть тот же человек, который «заказал» КВ-7. По Т-34–3 были разработаны технический проект и конструкторская документация, но до изготовления даже опытного образца дело не дошло.</w:t>
      </w:r>
    </w:p>
    <w:p w14:paraId="2B2C75CC" w14:textId="77777777" w:rsidR="004673CC" w:rsidRPr="00640820" w:rsidRDefault="004673C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случае с КВ-7 ситуация сложилась другая, да и сам проект сильно отличался от того, что был разработан в Нижнем Тагиле. Как и в случае с периодом разработки истребителя ДОТов на Урале, работы по КВ-7 оказались разделены между ЧКЗ и УЗТМ. В Челябинске проектировали шасси, разработкой которого занимался коллектив СКБ-2 во главе с Г. Н. Москвиным. Орудийной частью занималось ОКБ-3 УЗТМ. Работа над установкой, которую разработали инженеры Н. Н. Ефимов и К. Н. Ильин, началась в ноябре 1941 года и закончилась к 10 декабря. В качестве главного конструктора системы, получившей заводской индекс У-13, выступал Ф. Ф. Петров. Значительную роль в создании У-13 сыграл прибывший в октябре 1941 года из Ленинграда Л. И. Горлицкий, на тот момент занимавший должность начальника артиллерийского КБ Кировского завода.</w:t>
      </w:r>
    </w:p>
    <w:p w14:paraId="63AFEBAC" w14:textId="77777777" w:rsidR="004673CC" w:rsidRPr="00640820" w:rsidRDefault="004673C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отличие от Т-34–3, создатели КВ-7 решили отказаться от вращающейся башни, поскольку строенная установка У-13 занимала слишком много места. Вместо башни и крыши боевого отделения на КВ-7 ставилась специально разработанная рубка. При этом слово «рубка» конструкторами в документах не использовалось, вместо него применяли термин «невращающаяся башня». Для того чтобы обеспечить нормальные условия работы расчёта в боевом отделении, рубку сделали призматической формы. При этом нижняя её часть выступала на всю ширину надгусеничных полок. При изготовлении рубки максимально использовались детали от башни КВ-1, включая шаровую установку кормового пулемёта, люки на крыше башни и смотровые приборы.</w:t>
      </w:r>
    </w:p>
    <w:p w14:paraId="6EF11A25" w14:textId="77777777" w:rsidR="004673CC" w:rsidRPr="00640820" w:rsidRDefault="004673C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Следует отметить, что в документах того периода КВ-7 самоходной установкой не называли. Формально данная машина именовалась либо просто «танк КВ-7», либо «штурмовой танк». Тем не менее, по всем признакам, это была именно самоходная артиллерийская установка. КВ-7 стал первой САУ и первой боевой машиной вообще, которую разработали на Урале и довели до стадии опытного образца. В качестве базы для создания КВ-7, согласно заводским документам, был использован ремонтный танк №5161 выпуска сентября 1941 года. Эта машина не только получила новую рубку и вооружение. Ряд изменений претерпела и её ходовая часть (17647).</w:t>
      </w:r>
    </w:p>
    <w:p w14:paraId="3284F687" w14:textId="77777777" w:rsidR="004673CC" w:rsidRPr="00640820" w:rsidRDefault="004673CC" w:rsidP="00640820">
      <w:pPr>
        <w:spacing w:after="0" w:line="240" w:lineRule="auto"/>
        <w:jc w:val="both"/>
        <w:rPr>
          <w:rFonts w:ascii="Times New Roman" w:eastAsia="Times New Roman" w:hAnsi="Times New Roman"/>
          <w:color w:val="000000" w:themeColor="text1"/>
          <w:sz w:val="16"/>
          <w:szCs w:val="16"/>
          <w:lang w:eastAsia="ru-RU"/>
        </w:rPr>
      </w:pPr>
    </w:p>
    <w:p w14:paraId="31F260E6" w14:textId="77777777" w:rsidR="004673CC" w:rsidRPr="00640820" w:rsidRDefault="004673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28 ноября 1941 г. к 21 часу танк А-20 вместе с еще четырьмя танками Т-34, двумя танками Т-30 и танком Т-50 находился в лесу в 1 км южнее Павловской Слободы (30 км на западе от Москвы). </w:t>
      </w:r>
    </w:p>
    <w:p w14:paraId="3A7C38D0" w14:textId="77777777" w:rsidR="004673CC" w:rsidRPr="00640820" w:rsidRDefault="004673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Весь день 29 ноября 1941 г. экипаж танка А-20, как и основная часть личного состава подразделений 22-й ТБр, занимался техническим обслуживанием машины и чисткой личного оружия. </w:t>
      </w:r>
    </w:p>
    <w:p w14:paraId="4A9C548F" w14:textId="77777777" w:rsidR="004673CC" w:rsidRPr="00640820" w:rsidRDefault="004673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Чтобы не допустить противника в район Павловской Слободы, 29 ноября 1941 г. на базе 22-й ТБр была создана подвижная группа под командованием подполковника И.П. Ермакова – командира 22-й ТБр. В состав группы также вошли остатки 36-го мотоциклетного полка (МЦП), 18-й ТБр и 2-го стрелкового батальона 601-го мотострелкового полка (МСП). </w:t>
      </w:r>
    </w:p>
    <w:p w14:paraId="6A64D959" w14:textId="77777777" w:rsidR="004673CC" w:rsidRPr="00640820" w:rsidRDefault="004673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9 часов 30 ноября 1941 г. начальник штаба 22-й ТБр майор Н.П. Константинов в боевом донесении № 13, отправленном начальнику автобронетанкового отдела 5-й армии полковнику Д.И. Заеву, в частности, сообщил: </w:t>
      </w:r>
    </w:p>
    <w:p w14:paraId="39F31EA6" w14:textId="77777777" w:rsidR="004673CC" w:rsidRPr="00640820" w:rsidRDefault="004673CC"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lastRenderedPageBreak/>
        <w:t xml:space="preserve">«1. Части подвижной группы в составе: 22 ТП с приданными танками 18 ТП, 18 МСПБ, 36 МЦП, 2/601 МСП, 22 разведрота, 18 разведрота, 22 зен. див. – сформированы и сосредоточены в р-не Покровское, Юрьево, Павловская Слобода. </w:t>
      </w:r>
    </w:p>
    <w:p w14:paraId="3EEB8EB0" w14:textId="77777777" w:rsidR="004673CC" w:rsidRPr="00640820" w:rsidRDefault="004673CC"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&lt;...&gt;</w:t>
      </w:r>
    </w:p>
    <w:p w14:paraId="6DCDBB3E" w14:textId="77777777" w:rsidR="004673CC" w:rsidRPr="00640820" w:rsidRDefault="004673CC"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 Части держатся в готовности действовать в направлениях: </w:t>
      </w:r>
    </w:p>
    <w:p w14:paraId="08953A67" w14:textId="77777777" w:rsidR="004673CC" w:rsidRPr="00640820" w:rsidRDefault="004673CC"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1) Рождествено – Снегири, </w:t>
      </w:r>
    </w:p>
    <w:p w14:paraId="5FEE4514" w14:textId="77777777" w:rsidR="004673CC" w:rsidRPr="00640820" w:rsidRDefault="004673CC"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2) Рождествено – Крюково, </w:t>
      </w:r>
    </w:p>
    <w:p w14:paraId="52DCEAEE" w14:textId="77777777" w:rsidR="004673CC" w:rsidRPr="00640820" w:rsidRDefault="004673CC"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3) Покровское – Борки. </w:t>
      </w:r>
    </w:p>
    <w:p w14:paraId="002D7E10" w14:textId="77777777" w:rsidR="004673CC" w:rsidRPr="00640820" w:rsidRDefault="004673CC"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4) Покровское – Козьмино </w:t>
      </w:r>
    </w:p>
    <w:p w14:paraId="6C49D7DE" w14:textId="77777777" w:rsidR="004673CC" w:rsidRPr="00640820" w:rsidRDefault="004673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10. Ведется разведка в вероятных направлениях действия бригады».</w:t>
      </w:r>
      <w:r w:rsidRPr="00640820">
        <w:rPr>
          <w:rFonts w:ascii="Times New Roman" w:hAnsi="Times New Roman"/>
          <w:color w:val="000000" w:themeColor="text1"/>
          <w:sz w:val="16"/>
          <w:szCs w:val="16"/>
        </w:rPr>
        <w:t xml:space="preserve"> </w:t>
      </w:r>
    </w:p>
    <w:p w14:paraId="67EB585B" w14:textId="77777777" w:rsidR="004673CC" w:rsidRPr="00640820" w:rsidRDefault="004673CC" w:rsidP="00640820">
      <w:pPr>
        <w:pStyle w:val="ae"/>
        <w:spacing w:before="0" w:after="0"/>
        <w:jc w:val="both"/>
        <w:rPr>
          <w:color w:val="000000" w:themeColor="text1"/>
          <w:sz w:val="16"/>
          <w:szCs w:val="16"/>
        </w:rPr>
      </w:pPr>
      <w:r w:rsidRPr="00640820">
        <w:rPr>
          <w:bCs/>
          <w:color w:val="000000" w:themeColor="text1"/>
          <w:sz w:val="16"/>
          <w:szCs w:val="16"/>
        </w:rPr>
        <w:t xml:space="preserve">[ЦАМО. Ф. 326. Оп. 5068. Д. 4. Л. 262] </w:t>
      </w:r>
    </w:p>
    <w:p w14:paraId="4AA99B43" w14:textId="77777777" w:rsidR="004673CC" w:rsidRPr="00640820" w:rsidRDefault="009E4004" w:rsidP="00640820">
      <w:pPr>
        <w:spacing w:after="0" w:line="240" w:lineRule="auto"/>
        <w:jc w:val="both"/>
        <w:rPr>
          <w:rFonts w:ascii="Times New Roman" w:hAnsi="Times New Roman"/>
          <w:color w:val="000000" w:themeColor="text1"/>
          <w:sz w:val="16"/>
          <w:szCs w:val="16"/>
        </w:rPr>
      </w:pPr>
      <w:hyperlink r:id="rId54" w:tgtFrame="_blank" w:history="1"/>
      <w:r w:rsidR="004673CC" w:rsidRPr="00640820">
        <w:rPr>
          <w:rFonts w:ascii="Times New Roman" w:hAnsi="Times New Roman"/>
          <w:color w:val="000000" w:themeColor="text1"/>
          <w:sz w:val="16"/>
          <w:szCs w:val="16"/>
        </w:rPr>
        <w:t xml:space="preserve">К 16 часам 30 ноября 1941 г. 22-й ТП был пополнен двумя танками Т-34, четырьмя танками Т-60, двумя танками Т-26 и бронеавтомобилем. Все танки полка, включая и танк А-20, к исходу дня были дозаправлены ГСМ и пополнены до норм боеприпасами. </w:t>
      </w:r>
    </w:p>
    <w:p w14:paraId="67B62B02" w14:textId="77777777" w:rsidR="004673CC" w:rsidRPr="00640820" w:rsidRDefault="004673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утра 1 декабря 1941 г. немцы на флангах обороны 108-й стрелковой дивизии 5-й армии начали наступление и, прорвав оборону Красной Армии, к вечеру заняли: Борисково, Борки, Славково, Писково, Воронино, Абушково. Подвижной группе, в составе которой находился и танк А-20, было приказано восстановить положение. Ночная атака, проведенная частями подвижной группы, увенчалась успехом. Были заняты: Покровское, Воронино, Абушково. </w:t>
      </w:r>
    </w:p>
    <w:p w14:paraId="529CEB7A" w14:textId="77777777" w:rsidR="004673CC" w:rsidRPr="00640820" w:rsidRDefault="004673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12 часов 2 декабря 1941 г. гитлеровцы силою до двух полков пехоты с танками атаковали: Покровское, Абушково, Юрьево и Козенки. В течении всей ночи шел упорный бой. Благодаря превосходству сил, ценой больших потерь немцам удалось занять эти населенные пункты. За сутки боевых действий в 22-й танковой бригаде безвозвратно были потеряны два танка Т-60 и танк Т-50 (все сгорели). Кроме этого, были подбиты танки Т-26 и Т-34. </w:t>
      </w:r>
    </w:p>
    <w:p w14:paraId="69029BE8" w14:textId="77777777" w:rsidR="004673CC" w:rsidRPr="00640820" w:rsidRDefault="004673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 декабря 1941 г. танк А-20 в составе 22-й ТБр, приданной 108-й стрелковой дивизии, участвовал в наступлении в районе западнее Павловской Слободы. В течение дня боевых действий противнику удалось подбить три танка, одним из которых был танк А-20. </w:t>
      </w:r>
    </w:p>
    <w:p w14:paraId="24240566" w14:textId="77777777" w:rsidR="004673CC" w:rsidRPr="00640820" w:rsidRDefault="004673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докладной записке от 3 декабря 1941 г. своему непосредственному начальнику капитану М. Криволапову старший помощник начальника 1-го отделения автобронетанкового отдела 5-й армии капитан В.Е. Гальчин сообщил, что в подвижной группе подполковника И.П. Ермакова имелись </w:t>
      </w:r>
      <w:r w:rsidRPr="00640820">
        <w:rPr>
          <w:rFonts w:ascii="Times New Roman" w:hAnsi="Times New Roman"/>
          <w:iCs/>
          <w:color w:val="000000" w:themeColor="text1"/>
          <w:sz w:val="16"/>
          <w:szCs w:val="16"/>
        </w:rPr>
        <w:t>«на ходу: Т-34 – 7, КВ – 1, Т-26 – 2, Т-30 – 2, Т-60 – 5, БТ – 4, БА-10 – 1, ФАИ – 1, Т-50 – ремонт ?, А-20 – ремонт»</w:t>
      </w:r>
      <w:r w:rsidRPr="00640820">
        <w:rPr>
          <w:rFonts w:ascii="Times New Roman" w:hAnsi="Times New Roman"/>
          <w:color w:val="000000" w:themeColor="text1"/>
          <w:sz w:val="16"/>
          <w:szCs w:val="16"/>
        </w:rPr>
        <w:t xml:space="preserve">. </w:t>
      </w:r>
    </w:p>
    <w:p w14:paraId="14EFE609" w14:textId="77777777" w:rsidR="004673CC" w:rsidRPr="00640820" w:rsidRDefault="004673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связи с тем, что полученные танком А-20 в бою повреждения устранить силами и средствами ремонтно-восстановительной роты 22-й танковой бригады не представлялось возможным, машина была эвакуирована и передана в 25-ю подвижную ремонтную базу (ПРБ) Западного фронта. В декабре 1941 г. 25-я ПРБ дислоцировалась на территории завода «Красная труба» в подмосковном посёлке Фили. Из-за отсутствия дизеля В-2 ремонт танка А-20 был завершен только весной 1942 г. </w:t>
      </w:r>
    </w:p>
    <w:p w14:paraId="5258A1CA" w14:textId="77777777" w:rsidR="004673CC" w:rsidRPr="00640820" w:rsidRDefault="004673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Вот что по этому поводу рассказал бывший в то время командиром отделения монтажных работ 25-й ПРБ сержант А.В. Лунев: </w:t>
      </w:r>
    </w:p>
    <w:p w14:paraId="2D4396E7" w14:textId="77777777" w:rsidR="004673CC" w:rsidRPr="00640820" w:rsidRDefault="004673CC"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«В первые же дни войны на заводе № 183, где я работал, из числа добровольцев – рабочих и инженерно-технических работников – было укомплектовано несколько подвижных танкоремонтных баз (ПРБ). На них была возложена задача восстанавливать поврежденные машины в полевых условиях и оказывать помощь фронтовикам в освоении нового танка Т-34. </w:t>
      </w:r>
    </w:p>
    <w:p w14:paraId="1500F190" w14:textId="77777777" w:rsidR="004673CC" w:rsidRPr="00640820" w:rsidRDefault="004673CC"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&lt;...&gt;</w:t>
      </w:r>
    </w:p>
    <w:p w14:paraId="603FEC64" w14:textId="77777777" w:rsidR="004673CC" w:rsidRPr="00640820" w:rsidRDefault="004673CC"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На изрядно разбитом, покрытом выгоревшим брезентом грузовике мы, семеро рабочих, носились по фронтовым дорогам, спешили туда, где так нужна была наша помощь. Вместе с войсками проделали тяжелый путь отступления от Смоленска к Москве. Когда наши солдаты насмерть стали на подступах к столице, мы обосновались в подмосковном посёлке Фили. Десятки отремонтированных машин были возвращены в строй, чтобы участвовать в исторической битве за Москву. </w:t>
      </w:r>
    </w:p>
    <w:p w14:paraId="0F5C9252" w14:textId="77777777" w:rsidR="004673CC" w:rsidRPr="00640820" w:rsidRDefault="004673CC"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Как-то в числе повреждённых танков попал в наши руки опытный образец А-20. Встреча с ним была подобна встрече со старым другом. Вспомнились горячие дни работы над созданием этой машины, совместные с конструкторами бдения над её сборкой и доводкой. </w:t>
      </w:r>
    </w:p>
    <w:p w14:paraId="6D660D08" w14:textId="77777777" w:rsidR="004673CC" w:rsidRPr="00640820" w:rsidRDefault="004673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А-20 был восстановлен. С болью в душе проводил я танк за пределы посёлка, мысленно пожелав удачи в боях с фашистами. Больше мы его не встречали».</w:t>
      </w:r>
      <w:r w:rsidRPr="00640820">
        <w:rPr>
          <w:rFonts w:ascii="Times New Roman" w:hAnsi="Times New Roman"/>
          <w:color w:val="000000" w:themeColor="text1"/>
          <w:sz w:val="16"/>
          <w:szCs w:val="16"/>
        </w:rPr>
        <w:t xml:space="preserve"> </w:t>
      </w:r>
    </w:p>
    <w:p w14:paraId="7F0EE36A" w14:textId="77777777" w:rsidR="004673CC" w:rsidRPr="00640820" w:rsidRDefault="004673CC" w:rsidP="00640820">
      <w:pPr>
        <w:pStyle w:val="ae"/>
        <w:spacing w:before="0" w:after="0"/>
        <w:jc w:val="both"/>
        <w:rPr>
          <w:bCs/>
          <w:color w:val="000000" w:themeColor="text1"/>
          <w:sz w:val="16"/>
          <w:szCs w:val="16"/>
        </w:rPr>
      </w:pPr>
      <w:r w:rsidRPr="00640820">
        <w:rPr>
          <w:bCs/>
          <w:color w:val="000000" w:themeColor="text1"/>
          <w:sz w:val="16"/>
          <w:szCs w:val="16"/>
        </w:rPr>
        <w:t>[Т-34: путь к Победе: Воспоминания танкостроителей и танкистов. Сост.: К.М. Слободин, В.Д. Листровой,</w:t>
      </w:r>
    </w:p>
    <w:p w14:paraId="79374EEB" w14:textId="77777777" w:rsidR="004673CC" w:rsidRPr="00640820" w:rsidRDefault="004673CC" w:rsidP="00640820">
      <w:pPr>
        <w:pStyle w:val="ae"/>
        <w:spacing w:before="0" w:after="0"/>
        <w:jc w:val="both"/>
        <w:rPr>
          <w:color w:val="000000" w:themeColor="text1"/>
          <w:sz w:val="16"/>
          <w:szCs w:val="16"/>
        </w:rPr>
      </w:pPr>
      <w:r w:rsidRPr="00640820">
        <w:rPr>
          <w:bCs/>
          <w:color w:val="000000" w:themeColor="text1"/>
          <w:sz w:val="16"/>
          <w:szCs w:val="16"/>
        </w:rPr>
        <w:t>Издательство политической литературы Украины, 1989, С 194 – 195]</w:t>
      </w:r>
    </w:p>
    <w:p w14:paraId="59DB7F7C" w14:textId="77777777" w:rsidR="004673CC" w:rsidRPr="00640820" w:rsidRDefault="004673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сожалению, и мы в архивных документах не нашли никаких сведений о дальнейшей судьбе этого танка (17625).</w:t>
      </w:r>
    </w:p>
    <w:p w14:paraId="54B6AA76" w14:textId="77777777" w:rsidR="004673CC" w:rsidRPr="00640820" w:rsidRDefault="004673CC" w:rsidP="00640820">
      <w:pPr>
        <w:spacing w:after="0" w:line="240" w:lineRule="auto"/>
        <w:jc w:val="both"/>
        <w:rPr>
          <w:rFonts w:ascii="Times New Roman" w:eastAsia="Times New Roman" w:hAnsi="Times New Roman"/>
          <w:color w:val="000000" w:themeColor="text1"/>
          <w:sz w:val="16"/>
          <w:szCs w:val="16"/>
          <w:lang w:eastAsia="ru-RU"/>
        </w:rPr>
      </w:pPr>
    </w:p>
    <w:p w14:paraId="7EB658B7" w14:textId="77777777" w:rsidR="00AE047E" w:rsidRPr="00640820" w:rsidRDefault="00AE047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ноября 1941 года</w:t>
      </w:r>
    </w:p>
    <w:p w14:paraId="34765B3E" w14:textId="77777777" w:rsidR="00AE047E" w:rsidRPr="00640820" w:rsidRDefault="00AE047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РГАЭ Фонд 8752 Опись 1 Дело 3 лист 179 с об.</w:t>
      </w:r>
    </w:p>
    <w:p w14:paraId="3B972F9E" w14:textId="77777777" w:rsidR="00AE047E" w:rsidRPr="00640820" w:rsidRDefault="00AE047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w:t>
      </w:r>
    </w:p>
    <w:p w14:paraId="320A8EED" w14:textId="77777777" w:rsidR="00AE047E" w:rsidRPr="00640820" w:rsidRDefault="00AE047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Народного Комиссариата Танковой Промышленности Союза ССР</w:t>
      </w:r>
    </w:p>
    <w:p w14:paraId="5A19DB5C" w14:textId="77777777" w:rsidR="00AE047E" w:rsidRPr="00640820" w:rsidRDefault="00AE047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ААГ/169</w:t>
      </w:r>
    </w:p>
    <w:p w14:paraId="2D013A48" w14:textId="77777777" w:rsidR="00AE047E" w:rsidRPr="00640820" w:rsidRDefault="00AE047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гор. Сталинград</w:t>
      </w:r>
    </w:p>
    <w:p w14:paraId="2325982D" w14:textId="77777777" w:rsidR="00AE047E" w:rsidRPr="00640820" w:rsidRDefault="00AE047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ноября 1941 года</w:t>
      </w:r>
    </w:p>
    <w:p w14:paraId="744BBCC7" w14:textId="77777777" w:rsidR="00AE047E" w:rsidRPr="00640820" w:rsidRDefault="00AE047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более эффективного использования работающих на Сталинградском Тракторном заводе для нужд фронта, приказываю: </w:t>
      </w:r>
    </w:p>
    <w:p w14:paraId="1896149C" w14:textId="77777777" w:rsidR="00AE047E" w:rsidRPr="00640820" w:rsidRDefault="00AE047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Увеличить состав производственных рабочих Сталинградского тракторного завода на 645 чел., за счет перевода из аппарата отделов заводоуправления и цехов – 270 чел. ИТР, 125 служащих и 250 чел. вспомогательных рабочих (согласно приложению № 1). </w:t>
      </w:r>
    </w:p>
    <w:p w14:paraId="50A150F4" w14:textId="77777777" w:rsidR="00AE047E" w:rsidRPr="00640820" w:rsidRDefault="00AE047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Перевод на производство указанного количества работников из аппарата и вспомогательных участков завода осуществить за счет: </w:t>
      </w:r>
    </w:p>
    <w:p w14:paraId="57AB87E4" w14:textId="77777777" w:rsidR="00AE047E" w:rsidRPr="00640820" w:rsidRDefault="00AE047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увеличения объема и норм обслуживания для вспомогательных рабочих и совмещения родственных профессий (слесари по ремонту, электрики и др.). </w:t>
      </w:r>
    </w:p>
    <w:p w14:paraId="6A891B34" w14:textId="77777777" w:rsidR="00AE047E" w:rsidRPr="00640820" w:rsidRDefault="00AE047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Максимального уплотнения рабочего дня служащих и упрощения учета и отчетности. </w:t>
      </w:r>
    </w:p>
    <w:p w14:paraId="28E590E1" w14:textId="77777777" w:rsidR="00AE047E" w:rsidRPr="00640820" w:rsidRDefault="00AE047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Упразднения излишних звеньев в аппарате и освобождения инженерно-технических работников от выполнения малозначимых и излишних в условиях военного времени работ. </w:t>
      </w:r>
    </w:p>
    <w:p w14:paraId="09F3CC4D" w14:textId="77777777" w:rsidR="00AE047E" w:rsidRPr="00640820" w:rsidRDefault="00AE047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Ликвидировать финансовый отдел, функции которого передать главному бухгалтеру завода. </w:t>
      </w:r>
    </w:p>
    <w:p w14:paraId="68F1612A" w14:textId="77777777" w:rsidR="00AE047E" w:rsidRPr="00640820" w:rsidRDefault="00AE047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Упразднить спецотдел завода, передав группу К.Р. в отдел снабжения завода. </w:t>
      </w:r>
    </w:p>
    <w:p w14:paraId="0F297522" w14:textId="77777777" w:rsidR="00AE047E" w:rsidRPr="00640820" w:rsidRDefault="00AE047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Ликвидировать существующие планово-экономические бюро цехов с оставлением в основных цехах по одному-два работника. Наличный штат планово-экономического отдела сократить на 50%. Передать функции договорно-претензионного бюро техснаба и тарифной группы ж/д цеха в юрбюро завода с подчинением последнего зам. директору по материальному снабжению. </w:t>
      </w:r>
    </w:p>
    <w:p w14:paraId="447F49E8" w14:textId="77777777" w:rsidR="00AE047E" w:rsidRPr="00640820" w:rsidRDefault="00AE047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Пом. директора СТЗ по кадрам т. Гинесину направить из аппаратов и вспомогательных участков цехов завода непосредственно на производство работников, согласно утвержденного мною плана. </w:t>
      </w:r>
    </w:p>
    <w:p w14:paraId="624317BB" w14:textId="77777777" w:rsidR="00AE047E" w:rsidRPr="00640820" w:rsidRDefault="00AE047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Обязываю начальников цехов и отделов СТЗ в 3-х дневный срок оформить перевод работников непосредственно на производственные участки и в течение ближайших дней дополнительно проверить загрузку вспомогательных рабочих, ИТР и служащих и перевести максимальное количество на производственные участки. </w:t>
      </w:r>
    </w:p>
    <w:p w14:paraId="42F24197" w14:textId="77777777" w:rsidR="00AE047E" w:rsidRPr="00640820" w:rsidRDefault="00AE047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Сохранить за работниками, переведенными на производственную работу согласно настоящего приказа, в течение месяца уровень зарплаты по прежней должности, если фактический заработок будет ниже получаемого оклада. Разрешаю начальникам цехов по истечении месяца работы, при условии выполнения нормы выработки, переведенным работникам выплачивать разницу между получаемым заработком на производстве и прежним окладом.</w:t>
      </w:r>
    </w:p>
    <w:p w14:paraId="62CB23D5" w14:textId="77777777" w:rsidR="00AE047E" w:rsidRPr="00640820" w:rsidRDefault="00AE047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Народного Комиссара Танковой Промышленности Союза ССР</w:t>
      </w:r>
    </w:p>
    <w:p w14:paraId="262A8463" w14:textId="77777777" w:rsidR="00AE047E" w:rsidRPr="00640820" w:rsidRDefault="00AE047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подпись – А.А. Горегляд (18446).</w:t>
      </w:r>
    </w:p>
    <w:p w14:paraId="482593EB" w14:textId="77777777" w:rsidR="00AE047E" w:rsidRPr="00640820" w:rsidRDefault="00AE047E" w:rsidP="00640820">
      <w:pPr>
        <w:spacing w:after="0" w:line="240" w:lineRule="auto"/>
        <w:jc w:val="both"/>
        <w:rPr>
          <w:rFonts w:ascii="Times New Roman" w:hAnsi="Times New Roman"/>
          <w:color w:val="000000" w:themeColor="text1"/>
          <w:sz w:val="16"/>
          <w:szCs w:val="16"/>
        </w:rPr>
      </w:pPr>
    </w:p>
    <w:p w14:paraId="64A882E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ноября 1941 вышло Постановление ГКО № 970 [О разрешении использовать аппарат и технику строительства Черноморской железной дороги для сооружения оборонительных сооружений на Черноморском побережье.] (7016, 31).</w:t>
      </w:r>
    </w:p>
    <w:p w14:paraId="2FB38EC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79F3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ноября 1941 вышло Постановление ГКО № 971 Об эвакуации Ярославского шинного завода и завода СК-1. РГАНИР, Фонд ГКО, д. 15, лл. 32-33 (11012).</w:t>
      </w:r>
    </w:p>
    <w:p w14:paraId="5F8491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BD47A8C" w14:textId="77777777" w:rsidR="00BE54B8" w:rsidRPr="00640820" w:rsidRDefault="00BE54B8"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28-го ноября 1941 в Иркутск прибыла эвакуированная из Кременчуга макаронная фабрика размещается в помещении конторы «Ирпищеторг» по ул. Декабрьских Событий № 3 (здание бывшей Владимирской церкви) (15223).</w:t>
      </w:r>
    </w:p>
    <w:p w14:paraId="216E469F" w14:textId="77777777" w:rsidR="00BE54B8" w:rsidRPr="00640820" w:rsidRDefault="00BE54B8" w:rsidP="00640820">
      <w:pPr>
        <w:shd w:val="clear" w:color="auto" w:fill="FFFFFF"/>
        <w:spacing w:after="0" w:line="240" w:lineRule="auto"/>
        <w:jc w:val="both"/>
        <w:rPr>
          <w:rFonts w:ascii="Times New Roman" w:hAnsi="Times New Roman"/>
          <w:color w:val="000000" w:themeColor="text1"/>
          <w:sz w:val="16"/>
          <w:szCs w:val="16"/>
        </w:rPr>
      </w:pPr>
    </w:p>
    <w:p w14:paraId="1E97FBAF" w14:textId="77777777" w:rsidR="00310884" w:rsidRPr="00640820" w:rsidRDefault="00310884"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28 ноября </w:t>
      </w:r>
      <w:r w:rsidRPr="00640820">
        <w:rPr>
          <w:rFonts w:ascii="Times New Roman" w:hAnsi="Times New Roman"/>
          <w:color w:val="000000" w:themeColor="text1"/>
          <w:sz w:val="16"/>
          <w:szCs w:val="16"/>
        </w:rPr>
        <w:t>в 1941 году на базе Копейского рудоремонтного завода (1939) и эвакуированного с Украины в город Копейск Горловского машиностроительного завода имени С.М.Кирова был создан Государственный Союзный машиностроительный завод имени С.М.Кирова (первый директор И.Т.Катеринич). КМЗ -предприятие по выпуску проходческо-очистного оборудования и проходческой техники для соледобывающей и угольной промышленности. Свыше 90% калийной руды в Российской Федерации добывается комбайнами завода (14843).</w:t>
      </w:r>
    </w:p>
    <w:p w14:paraId="479F2BB6" w14:textId="77777777" w:rsidR="00310884" w:rsidRPr="00640820" w:rsidRDefault="00310884" w:rsidP="00640820">
      <w:pPr>
        <w:spacing w:after="0" w:line="240" w:lineRule="auto"/>
        <w:jc w:val="both"/>
        <w:rPr>
          <w:rFonts w:ascii="Times New Roman" w:hAnsi="Times New Roman"/>
          <w:color w:val="000000" w:themeColor="text1"/>
          <w:sz w:val="16"/>
          <w:szCs w:val="16"/>
        </w:rPr>
      </w:pPr>
    </w:p>
    <w:p w14:paraId="405CB5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ноября 1941 г. в соответствии с пост. ГКО № 971 ЯШЗ был эвакуирован. В соответствии с пост. ГКО № 1020 от 12.12.1941 г. о сохранении в Ярославле действующей мощности шинного завода он продолжил действовать на прежнем месте под № 736 (Завод № 736 НКРП, Ярославский шинный завод (ЯШЗ), ОАО «Ярославский Ордена Ленина и Ордена Октябрьской революции шинный завод» /150040  г. Ярославль ул. Советская, 81 тел. 30-54-43/).</w:t>
      </w:r>
    </w:p>
    <w:p w14:paraId="3FA69F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1941-42 г. был единственным шинным заводом в СССР. В годы войны- производство авиационных и автомобильных покрышек и камер, катков для танков, артиллерийских шин ГК с губчатым наполнителем, протектирующих материалов для бензобаков. В 06.1943 г. завод был сильно разрушен бомбежками (из 7 корпусов уцелел один), затем восстановлен. 24.06.1943 г. вышло постановление ГКО № 3643 о мерах неотложной помощи по восстановлению цехов завода; 13.07.1943 г. - постановление ГКО № 3737 о сроках восстановления завода. В соответствии с пост. ГКО № 4071 от 8.09.1943 г. на завод направлено 1000 работников. 6.03.1944 г. вышло распоряжение ГКО № 5325 о мерах по обеспечению производства автомобильных и специальных шин на заводе газовой сажей.</w:t>
      </w:r>
    </w:p>
    <w:p w14:paraId="76376A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заводе в годы войны действовало КБ. В 1946 г. создано первое в СССР бюро конструирования авиационных шин. Завод стал головным в стране по разработке и производству авиационных шин.</w:t>
      </w:r>
    </w:p>
    <w:p w14:paraId="46F344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1946-47 г. начаты работы по механизации производственных процессов, создание и освоение новых видов продукции. Впервые в стране осуществлена замена ручной стыковки автокамер механической на специальных стыковочных станках с помощью приспособлений Н.С. Мишакова и Б.И. Лапина.</w:t>
      </w:r>
    </w:p>
    <w:p w14:paraId="7D9518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1950-х  г. впервые в стране начат выпуск бескамерных шин для автомобилей «Победа», «Волга», «ЗиМ». Освоены покрышки для 25-тонного грузовика МАЗ-525. С 1954 г.- производство шин для трактора «Беларусь», с 1958 г. - шины для автобуса ЗиЛ-58. С 1960 г. начат выпуск шин «РС» 7.50-20 для ГАЗ-51, в 1962 г. в связи с началом выпуска шин «Р» и «РС» начата реконструкция производства. В 1963 г. начат выпуск шин для тракторов Кировского, Харьковского и Белорусского заводов. С 1969 г. завод первым в стране начал выпуск шин для «Жигулей». В 1974 г. изготовлены эластичные поплавки для ВВА-14. В 1989 г. впервые в России выпущена опытная партия сверхпрочных цельнометаллокордных шин ЦМК (</w:t>
      </w:r>
      <w:r w:rsidRPr="00640820">
        <w:rPr>
          <w:rFonts w:ascii="Times New Roman" w:hAnsi="Times New Roman"/>
          <w:color w:val="000000" w:themeColor="text1"/>
          <w:sz w:val="16"/>
          <w:szCs w:val="16"/>
          <w:lang w:val="en-US"/>
        </w:rPr>
        <w:t>AllStill</w:t>
      </w:r>
      <w:r w:rsidRPr="00640820">
        <w:rPr>
          <w:rFonts w:ascii="Times New Roman" w:hAnsi="Times New Roman"/>
          <w:color w:val="000000" w:themeColor="text1"/>
          <w:sz w:val="16"/>
          <w:szCs w:val="16"/>
        </w:rPr>
        <w:t>) для грузовых машин, в начале 1990-х  г. освоено их серийное производство.</w:t>
      </w:r>
    </w:p>
    <w:p w14:paraId="5BD935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1966 г. выпущена 100-миллионная шина, в 12.1981 г. - 200-миллионная.</w:t>
      </w:r>
    </w:p>
    <w:p w14:paraId="36F1AA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Генеральный разработчик (2002 г.) и основной отечественный производитель авиационных шин.</w:t>
      </w:r>
    </w:p>
    <w:p w14:paraId="7028BC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1996 г. завод преобразован в ОАО «ЯШЗ». Входил в холдинг ОАО «АК СИБУР» (2003 г.).</w:t>
      </w:r>
    </w:p>
    <w:p w14:paraId="65C482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(ВОВ)- П.Ф. Баденков. Гендиректор (1998-01.2003 г.)- Н.И. Тонкое, (17-31.01.2003 г.)- Ф. Дзапшба; И.О. гендиректора (31.01-27.02.2003 г.)- А. Казаринов; (03-11.2003 г.-)- А. Андреев (до этого был гл. инженером «Воронежшины»), (11.2003-05 г.-)- Д.В. Костыгин, (-2006-08 г.-)- В.Ю. Ионов.</w:t>
      </w:r>
    </w:p>
    <w:p w14:paraId="3EC26D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гендиректора (-01.2003 г., 27.02.2003 г.-)- А. Казаринов.</w:t>
      </w:r>
    </w:p>
    <w:p w14:paraId="44003A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Директор по персоналу (2007 г.)- </w:t>
      </w:r>
      <w:r w:rsidRPr="00640820">
        <w:rPr>
          <w:rFonts w:ascii="Times New Roman" w:hAnsi="Times New Roman"/>
          <w:color w:val="000000" w:themeColor="text1"/>
          <w:sz w:val="16"/>
          <w:szCs w:val="16"/>
          <w:lang w:val="en-US"/>
        </w:rPr>
        <w:t>P</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P</w:t>
      </w:r>
      <w:r w:rsidRPr="00640820">
        <w:rPr>
          <w:rFonts w:ascii="Times New Roman" w:hAnsi="Times New Roman"/>
          <w:color w:val="000000" w:themeColor="text1"/>
          <w:sz w:val="16"/>
          <w:szCs w:val="16"/>
        </w:rPr>
        <w:t>. Музафаров.</w:t>
      </w:r>
    </w:p>
    <w:p w14:paraId="57C392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АСУ (2007 г.)- М. Г. Потапова; рекламы (2002 г.)- А.Н. Петушкова.</w:t>
      </w:r>
      <w:r w:rsidRPr="00640820">
        <w:rPr>
          <w:rFonts w:ascii="Times New Roman" w:hAnsi="Times New Roman"/>
          <w:color w:val="000000" w:themeColor="text1"/>
          <w:sz w:val="16"/>
          <w:szCs w:val="16"/>
          <w:vertAlign w:val="superscript"/>
        </w:rPr>
        <w:t>101</w:t>
      </w:r>
    </w:p>
    <w:p w14:paraId="04E5A7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КБ ЯШЗ</w:t>
      </w:r>
    </w:p>
    <w:p w14:paraId="794D94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годы войны усовершенствована конструкция танкового катка.</w:t>
      </w:r>
    </w:p>
    <w:p w14:paraId="303A1A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1946 г. создано первое в СССР бюро конструирования авиационных шин, которое с тех пор стало единственным разработчиком в стране.</w:t>
      </w:r>
    </w:p>
    <w:p w14:paraId="401C40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Впервые в стране создана конструкция бескамерной арочной шины для ЗиЛ-150. В конце 1950-х  г. с использованием опыта и оборудования итальянской фирмы «Пирелли» создана принципиально новая конструкция покрышек с радиально расположенными нитями корда типа «Р», затем создана радиальная шина со съемным протектором «РС».</w:t>
      </w:r>
    </w:p>
    <w:p w14:paraId="16DA70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(ВОВ-50-е  г.)- П.А. Шаркевич.</w:t>
      </w:r>
      <w:r w:rsidRPr="00640820">
        <w:rPr>
          <w:rFonts w:ascii="Times New Roman" w:hAnsi="Times New Roman"/>
          <w:color w:val="000000" w:themeColor="text1"/>
          <w:sz w:val="16"/>
          <w:szCs w:val="16"/>
          <w:vertAlign w:val="superscript"/>
        </w:rPr>
        <w:t>101</w:t>
      </w:r>
    </w:p>
    <w:p w14:paraId="551067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Создано: шины:</w:t>
      </w:r>
      <w:r w:rsidRPr="00640820">
        <w:rPr>
          <w:rFonts w:ascii="Times New Roman" w:hAnsi="Times New Roman"/>
          <w:color w:val="000000" w:themeColor="text1"/>
          <w:sz w:val="16"/>
          <w:szCs w:val="16"/>
        </w:rPr>
        <w:t xml:space="preserve"> авиапокрышки с армированным протектором; бескамерные, арочные низкого давления для ЗиЛ-150, для автобуса ЗиЛ-58 с расчленением рисунка протектора (1958), радиальные типа «Р», грузовые со съемным протектором «РС».</w:t>
      </w:r>
    </w:p>
    <w:p w14:paraId="7150C2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Ярославский резино-асбестовый комбинат (ЯРАК) ВСНХ, НКТП /г. Ярославль/</w:t>
      </w:r>
    </w:p>
    <w:p w14:paraId="422FDE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1928 г. принято постановление ВСНХ о строительстве ЯРАК в составе шинного, асбестового, механического и регенераторного заводов, кордной фабрики и теплоцентрали. В 1929 г. с американской фирмой «Зайберлинг» заключен договор на разработку проекта шинного завода мощностью 9 шин в минуту и оказание технической помощи в строительстве и пуске.</w:t>
      </w:r>
    </w:p>
    <w:p w14:paraId="417041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1931 г. введен в строй ремонтно-механический завод комбината (далее - ЗАО «Ярполимермаш-Татнефть», см. завод № 739 НКРП).</w:t>
      </w:r>
    </w:p>
    <w:p w14:paraId="0A9B61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16.09.1932 г. в составе ЯРАК вступил в строй подошвенный завод (первый из группы резинообрабатывающих заводов комбината; далее - Ярославский завод РТИ, см. завод № 739 НКРП).</w:t>
      </w:r>
    </w:p>
    <w:p w14:paraId="05F837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06.1937 г. комбинат - в ведении НКТП. В 1940 г. ЯРАК разукрупнен, из его состава выделился в самостоятельное предприятие ЯШЗ. В 1948 г. регенераторный завод включен в состав Ярославского завода РТИ в качестве цеха.</w:t>
      </w:r>
    </w:p>
    <w:p w14:paraId="1E7244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Ярославский асбестовый завод</w:t>
      </w:r>
    </w:p>
    <w:p w14:paraId="20B449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ГКО № 1697 от 4.05.1942 г. эвакуированное оборудование возвращено на завод.</w:t>
      </w:r>
    </w:p>
    <w:p w14:paraId="3F7548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Ярославская кордная фабрика</w:t>
      </w:r>
    </w:p>
    <w:p w14:paraId="116E71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1944 г. - производство корда (11982).</w:t>
      </w:r>
    </w:p>
    <w:p w14:paraId="54F56DF3" w14:textId="77777777" w:rsidR="00BE54B8" w:rsidRPr="00640820" w:rsidRDefault="00BE54B8" w:rsidP="00640820">
      <w:pPr>
        <w:autoSpaceDE w:val="0"/>
        <w:autoSpaceDN w:val="0"/>
        <w:adjustRightInd w:val="0"/>
        <w:spacing w:after="0" w:line="240" w:lineRule="auto"/>
        <w:jc w:val="both"/>
        <w:rPr>
          <w:rFonts w:ascii="Times New Roman" w:hAnsi="Times New Roman"/>
          <w:color w:val="000000" w:themeColor="text1"/>
          <w:sz w:val="16"/>
          <w:szCs w:val="16"/>
        </w:rPr>
      </w:pPr>
    </w:p>
    <w:p w14:paraId="6687E1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ноября 1941 г. в Кустанай прибыло оборудование эвакуированной фабрики «Клинволокно» (Завод № 507 НКБ, Фабрика «Клинволокно», Клннский комбинат вискозного волокна /141600  г. Клин Московской обл. 88-й км Ленинградского ш./), размещено в помещении Управления НКВД по Кустанайской обл. на территории фабрики «Большевичка». 16.08.1942 г. вышло постановление ГКО № 2179 о строительстве завода № 507а НК текстиля по производству вискозно-минометных порохов (Завод № 507а НК текстиля /Казахстан  г. Кустанай/). 12.06.1943 г. вышло постановление ГКО № 3558 о мероприятиях по окончанию строительства и вводу завода в действие (11982).</w:t>
      </w:r>
    </w:p>
    <w:p w14:paraId="05D012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A6FD1BF"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4ECE47BB"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AA2A560" w14:textId="77777777" w:rsidR="00310884" w:rsidRPr="00640820" w:rsidRDefault="00310884"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28 ноября </w:t>
      </w:r>
      <w:r w:rsidRPr="00640820">
        <w:rPr>
          <w:rFonts w:ascii="Times New Roman" w:hAnsi="Times New Roman"/>
          <w:color w:val="000000" w:themeColor="text1"/>
          <w:sz w:val="16"/>
          <w:szCs w:val="16"/>
        </w:rPr>
        <w:t>в 1941 году утреннее сообщение Совинформбюро:</w:t>
      </w:r>
    </w:p>
    <w:p w14:paraId="2CAF48EA" w14:textId="77777777" w:rsidR="00310884" w:rsidRPr="00640820" w:rsidRDefault="0031088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28 ноября наши войска вели бои с противником на всех фронтах.</w:t>
      </w:r>
    </w:p>
    <w:p w14:paraId="5B8D0835" w14:textId="77777777" w:rsidR="00310884" w:rsidRPr="00640820" w:rsidRDefault="0031088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лётчики, действующие на Южном фронте, за один день уничтожили 10 немецких танков, более 300 автомашин с пехотой и боеприпасами, 90 повозок с военными грузами, 9 полевых орудий и истребили свыше 1.000 солдат и офицеров противника. В воздушных боях сбито два немецких самолёта.</w:t>
      </w:r>
    </w:p>
    <w:p w14:paraId="4C80B2DE" w14:textId="77777777" w:rsidR="00310884" w:rsidRPr="00640820" w:rsidRDefault="0031088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Бойцы одной зенитной части, действующей на Ленинградском фронте, за два дня сбили 4 немецких бомбардировщика. За этот же период зенитчики подразделения, где военкомом тов. Смирнов, расстреляли из орудий до 150 солдат неприятеля.</w:t>
      </w:r>
    </w:p>
    <w:p w14:paraId="005AD1C8" w14:textId="77777777" w:rsidR="00310884" w:rsidRPr="00640820" w:rsidRDefault="0031088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последнюю пятидневку партизанские отряды, действующие в оккупированных районах Ленинградской области, провели ряд удачных боевых операций. Партизаны под командованием товарища К. смелым налётом уничтожили трёхорудийную батарею противника. За это же время в перестрелках с фашистами партизаны перебили 70 немецких солдат и офицеров. Группа партизан под командованием товарища П. разрушила в ряде мест телефонную и телеграфную связь, подорвала железнодорожное полотно и сожгла железнодорожную станцию. Партизанские отряды, действующие в Н-ском районе, уничтожили одно орудие противника и взорвали два моста. Партизаны разгромили карательный отряд фашистов, уничтожив при этом 69 немецких солдат и офицеров. В результате боя было захвачено два немецких пулемёта и два миномёта.</w:t>
      </w:r>
    </w:p>
    <w:p w14:paraId="372EA50C" w14:textId="77777777" w:rsidR="00310884" w:rsidRPr="00640820" w:rsidRDefault="0031088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Южном фронте нашим частям сдалась в плен группа венгерских солдат. Пленные на допросе заявили, что многие венгерские солдаты не хотят воевать за чуждые им интересы. Пленный солдат разведывательного батальона 1 венгерской моторизованной бригады Янош Ковач рассказал: «Я много думал о том, почему Венгрия воюет против России. Я пришёл к выводу, что Хорти гуртом продал нас Гитлеру. У венгерских солдат нет никакого желания воевать против русских за интересы Германии, но нас насильно гонят на фронт. Месяц тому назад один шофёр в нашем батальоне, не желая ехать дальше, испортил что-то в моторе, и машина остановилась. Начальство учинило расследование. Шофёр был уличён в умышленной порче машины и присуждён к смертной казни». Пленный солдат 1 батальона 1 венгерской моторизованной бригады Имре Балог на допросе показал: «Немцы всячески притесняют нас. Немецкий фельдфебель на фронте имеет больше власти, чем венгерский полковник. Для немца я, венгерский солдат Имре, всё равно, что комок грязи». В заключение Имре Балог сказал: «Наступившие холода сильно отразились на боеспособности венгерских солдат. С каждым днём растёт число заболеваний, почти все солдаты простужены» (14843).</w:t>
      </w:r>
    </w:p>
    <w:p w14:paraId="137E8A77" w14:textId="77777777" w:rsidR="00310884" w:rsidRPr="00640820" w:rsidRDefault="00310884" w:rsidP="00640820">
      <w:pPr>
        <w:spacing w:after="0" w:line="240" w:lineRule="auto"/>
        <w:jc w:val="both"/>
        <w:rPr>
          <w:rFonts w:ascii="Times New Roman" w:hAnsi="Times New Roman"/>
          <w:color w:val="000000" w:themeColor="text1"/>
          <w:sz w:val="16"/>
          <w:szCs w:val="16"/>
        </w:rPr>
      </w:pPr>
    </w:p>
    <w:p w14:paraId="7892B591" w14:textId="77777777" w:rsidR="00310884" w:rsidRPr="00640820" w:rsidRDefault="00310884"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28 ноября </w:t>
      </w:r>
      <w:r w:rsidRPr="00640820">
        <w:rPr>
          <w:rFonts w:ascii="Times New Roman" w:hAnsi="Times New Roman"/>
          <w:color w:val="000000" w:themeColor="text1"/>
          <w:sz w:val="16"/>
          <w:szCs w:val="16"/>
        </w:rPr>
        <w:t>в 1941 году вечернее сообщение Совинформбюро:</w:t>
      </w:r>
    </w:p>
    <w:p w14:paraId="2F4C80AD" w14:textId="77777777" w:rsidR="00310884" w:rsidRPr="00640820" w:rsidRDefault="0031088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28 ноября наши войска вели бои с противником на всех фронтах.</w:t>
      </w:r>
    </w:p>
    <w:p w14:paraId="24F13036" w14:textId="77777777" w:rsidR="00310884" w:rsidRPr="00640820" w:rsidRDefault="0031088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27 ноября уничтожено 39 немецких самолётов. Наши потери — 12 самолётов.</w:t>
      </w:r>
    </w:p>
    <w:p w14:paraId="53D34668" w14:textId="77777777" w:rsidR="00310884" w:rsidRPr="00640820" w:rsidRDefault="0031088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28 ноября под Москвой сбито 19 немецких самолётов.</w:t>
      </w:r>
    </w:p>
    <w:p w14:paraId="6B40E5DC" w14:textId="77777777" w:rsidR="00310884" w:rsidRPr="00640820" w:rsidRDefault="0031088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27 ноября нашей авиацией, по неполным данным, уничтожено 176 немецких танков, до 1.150 автомашин с войсками, 40 орудий, более 430 повозок со снарядами, 10 автоцистерн с горючим, взорван склад с боеприпасами и истреблено до двух полков вражеской пехоты.</w:t>
      </w:r>
    </w:p>
    <w:p w14:paraId="33BF2035" w14:textId="77777777" w:rsidR="00310884" w:rsidRPr="00640820" w:rsidRDefault="0031088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Подразделения части тов. Зашибалова, действующей на одном из участков Западного фронта, в ожесточённом бою с противником истребили 850 немецких солдат и офицеров, уничтожили 19 автомашин с боеприпасами и захватили 19 пулемётов, 2 миномёта, 50 ящиков со снарядами и много других трофеев.</w:t>
      </w:r>
    </w:p>
    <w:p w14:paraId="464371B0" w14:textId="77777777" w:rsidR="00310884" w:rsidRPr="00640820" w:rsidRDefault="0031088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Наша часть, действующая на одном из участков Северо-Западного фронта, за 10 дней боёв уничтожила 353 немецких автомашины, 32 танка, 11 автоцистерн с горючим, 10 орудий и истребила более 5.000 солдат и офицеров противника. Захвачены трофеи — 7 бронемашин, 37 автомашин, 27 миномётов, 12 станковых пулемётов и много другого вооружения.</w:t>
      </w:r>
    </w:p>
    <w:p w14:paraId="246D3E03" w14:textId="77777777" w:rsidR="00310884" w:rsidRPr="00640820" w:rsidRDefault="0031088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несколько дней боёв санитарный инструктор тов. Кириенко вынес с поля боя 60 раненых бойцов с их оружием.</w:t>
      </w:r>
    </w:p>
    <w:p w14:paraId="0DF0C119" w14:textId="77777777" w:rsidR="00310884" w:rsidRPr="00640820" w:rsidRDefault="0031088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Партизанский отряд тов. Я., действующий в тылу у врага на Волоколамском направлении фронта, в течение пяти дней отбил у немцев шесть обозов с продовольствием. Захваченные в плен нашими частями немецкие солдаты 69 механизированного полка Отто Кринвальд, Рудольф Мерклер и Ганс Файле сообщили, что нападения партизан на обозы значительно ухудшают и без того скудное снабжение немецких солдат. Командиры фашистских частей вынуждены выделять целые подразделения для сопровождения кухонь и обозов. Удачно действовали бойцы партизанского отряда тов. А. Недалеко от леса остановились для ремонта два немецких танка. В сумерках партизаны подкрались к танкистам, перестреляли их и несколькими гранатами, брошенными внутрь танков, разрушили машины. Уходя, партизаны минировали участок дороги. Ночью группа немецких солдат попала на мины и взорвалась. Этот же отряд обстрелял из засады автоколонну с немецкой пехотой. Фашисты понесли большие потери.</w:t>
      </w:r>
    </w:p>
    <w:p w14:paraId="682CA4E9" w14:textId="77777777" w:rsidR="00310884" w:rsidRPr="00640820" w:rsidRDefault="0031088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Повальные грабежи и массовые убийства мирных жителей оккупированных районов Советской Украины не прекращаются ни на один день. В местечке Малине, Житомирской области, немецко-фашистские мерзавцы арестовали 129 жителей. Среди них — свыше 30 женщин с детьми. Продержав арестованных несколько дней под открытым небом во дворе мебельной фабрики, фашистские бандиты затем из пулемётов и автоматов расстреляли всех взрослых, а детей бросили на трупы и закопали живьём. В деревне Дымарка, Розважевского района, немцы арестовали двух бригадиров колхоза за то, что они отказались сообщить фашистским властям, у кого есть хлеб и тёплые вещи. Через два дня обезображенные трупы бригадиров были найдены на окраине села.»</w:t>
      </w:r>
    </w:p>
    <w:p w14:paraId="13BF6DC4" w14:textId="77777777" w:rsidR="00310884" w:rsidRPr="00640820" w:rsidRDefault="0031088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последний час.</w:t>
      </w:r>
    </w:p>
    <w:p w14:paraId="31E2B9FE" w14:textId="77777777" w:rsidR="00310884" w:rsidRPr="00640820" w:rsidRDefault="0031088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Еще удар по войскам врага.</w:t>
      </w:r>
    </w:p>
    <w:p w14:paraId="62060B2E" w14:textId="77777777" w:rsidR="00310884" w:rsidRPr="00640820" w:rsidRDefault="0031088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«Несколько дней назад неожиданным налётом немецких войск был занят Ростов-на-Дону. 28 ноября части Ростовского фронта наших войск под командованием генерала Ремизова, переправившись через Дон, ворвались на южную окраину Ростова и вели бой на улицах города с немецкими войсками. Ночью с 28 на 29 ноября части Южного фронта советских войск под командованием генерала Харитонова, прорвав укрепления немецких войск и грозя им окружением, ворвались с северо-востока в Ростов и заняли его. В боях за освобождение Ростова от немецко-фашистских захватчиков полностью разгромлена группа генерала Клейста в составе 14 и 16 танковых дивизий, 60 мотодивизий и дивизий СС «Викинг». Немецкие войска в беспорядке отступают в сторону Таганрога. Советские войска преследуют противника. Противник оставил на поле боя свыше 5-ти тысяч убитыми. Захвачены большие трофеи, которые подсчитываются.» (14843).</w:t>
      </w:r>
    </w:p>
    <w:p w14:paraId="1CE7CF9C" w14:textId="77777777" w:rsidR="00310884" w:rsidRPr="00640820" w:rsidRDefault="00310884" w:rsidP="00640820">
      <w:pPr>
        <w:spacing w:after="0" w:line="240" w:lineRule="auto"/>
        <w:jc w:val="both"/>
        <w:rPr>
          <w:rFonts w:ascii="Times New Roman" w:hAnsi="Times New Roman"/>
          <w:color w:val="000000" w:themeColor="text1"/>
          <w:sz w:val="16"/>
          <w:szCs w:val="16"/>
        </w:rPr>
      </w:pPr>
    </w:p>
    <w:p w14:paraId="04145CBB" w14:textId="77777777" w:rsidR="00AE047E" w:rsidRPr="00640820" w:rsidRDefault="00AE047E" w:rsidP="00640820">
      <w:pPr>
        <w:pStyle w:val="ae"/>
        <w:spacing w:before="0" w:after="0"/>
        <w:jc w:val="both"/>
        <w:textAlignment w:val="baseline"/>
        <w:rPr>
          <w:color w:val="000000" w:themeColor="text1"/>
          <w:sz w:val="16"/>
          <w:szCs w:val="16"/>
        </w:rPr>
      </w:pPr>
      <w:r w:rsidRPr="00640820">
        <w:rPr>
          <w:color w:val="000000" w:themeColor="text1"/>
          <w:sz w:val="16"/>
          <w:szCs w:val="16"/>
        </w:rPr>
        <w:t>28 ноября 1941 ВВС ЮЗФ произвели в общей сложности 283 самолето-вылета, в том числе 159 на атаку наземных целей, потеряв при этом два самолета. При этом летчики отчитались о 250 уничтоженных автомобилях и 590(!) повозках. Кроме того, было «подожжено» и разрушено 50 домов. На следующий день среди пораженных целей числилось 277 автомашин, 175 повозок, 14 бронемашин, 1900 пехотинцев, 4 автобуса, а также «45 всадников».</w:t>
      </w:r>
    </w:p>
    <w:p w14:paraId="1C36293C" w14:textId="77777777" w:rsidR="00AE047E" w:rsidRPr="00640820" w:rsidRDefault="00AE047E" w:rsidP="00640820">
      <w:pPr>
        <w:pStyle w:val="ae"/>
        <w:spacing w:before="0" w:after="0"/>
        <w:jc w:val="both"/>
        <w:textAlignment w:val="baseline"/>
        <w:rPr>
          <w:color w:val="000000" w:themeColor="text1"/>
          <w:sz w:val="16"/>
          <w:szCs w:val="16"/>
        </w:rPr>
      </w:pPr>
      <w:r w:rsidRPr="00640820">
        <w:rPr>
          <w:color w:val="000000" w:themeColor="text1"/>
          <w:sz w:val="16"/>
          <w:szCs w:val="16"/>
        </w:rPr>
        <w:t>Складывается впечатление, что к концу ноября немцы, понеся ранее огромные потери в автомобильном транспорте, теперь пересели в основном на конные повозки, которые так же постоянно уничтожались штурмовыми ударами. После чего по дорогам скакали уже отдельные «всадники». Непонятно, откуда вдруг взялось такое количество «конных повозок», словно по дорогам двигались целые цыганские таборы, и по каким признакам их с воздуха зачисляли в уничтоженные. Может, летчики, делая второй заход после штурмовки, скрупулезно подсчитывали телеги, у которых отлетели колеса или погибла лошадь?</w:t>
      </w:r>
    </w:p>
    <w:p w14:paraId="64D89838" w14:textId="77777777" w:rsidR="00AE047E" w:rsidRPr="00640820" w:rsidRDefault="00AE047E" w:rsidP="00640820">
      <w:pPr>
        <w:pStyle w:val="ae"/>
        <w:spacing w:before="0" w:after="0"/>
        <w:jc w:val="both"/>
        <w:textAlignment w:val="baseline"/>
        <w:rPr>
          <w:color w:val="000000" w:themeColor="text1"/>
          <w:sz w:val="16"/>
          <w:szCs w:val="16"/>
        </w:rPr>
      </w:pPr>
      <w:r w:rsidRPr="00640820">
        <w:rPr>
          <w:color w:val="000000" w:themeColor="text1"/>
          <w:sz w:val="16"/>
          <w:szCs w:val="16"/>
        </w:rPr>
        <w:t>Скорее всего, отчет составлялся путем простого суммирования донесений пилотов, которые навскидку определяли: «расстрелял 10 повозок», «расстрелял 15 повозок и автобус» и т. д. Тем более непонятно, каким образом считали уничтоженную пехоту. Как, скажем, учитывали, что уничтожено (не ранено, обстреляно, а именно уничтожено) именно 500, 800 или 1200 солдат?</w:t>
      </w:r>
    </w:p>
    <w:p w14:paraId="645489BD" w14:textId="77777777" w:rsidR="00AE047E" w:rsidRPr="00640820" w:rsidRDefault="00AE047E" w:rsidP="00640820">
      <w:pPr>
        <w:pStyle w:val="ae"/>
        <w:spacing w:before="0" w:after="0"/>
        <w:jc w:val="both"/>
        <w:textAlignment w:val="baseline"/>
        <w:rPr>
          <w:color w:val="000000" w:themeColor="text1"/>
          <w:sz w:val="16"/>
          <w:szCs w:val="16"/>
        </w:rPr>
      </w:pPr>
      <w:r w:rsidRPr="00640820">
        <w:rPr>
          <w:color w:val="000000" w:themeColor="text1"/>
          <w:sz w:val="16"/>
          <w:szCs w:val="16"/>
        </w:rPr>
        <w:t>Аналогичное массовое уничтожение конного и автомобильного транспорта продолжалось и в декабре 1941 г. Так, 8-го числа из-за плохой погоды ВВС ЮЗФ выполнили всего 35 самолето-вылетов, в том числе 24 по наземным целям. В ходе них на противника было сброшено 6 ФАБ-100, 7 ФАБ-50, 1 ЗАБ-50, 6 АО-25, 4 АО-15, 38 АО-10, 84 ЗАБ-1 и 13 PC. На счета пилотов были записаны 39 автомашин, одна артбатарея и другие достижения. Один «10009» (Ил-2) потерпел катастрофу.</w:t>
      </w:r>
    </w:p>
    <w:p w14:paraId="1A34F8FF" w14:textId="77777777" w:rsidR="00AE047E" w:rsidRPr="00640820" w:rsidRDefault="00AE047E" w:rsidP="00640820">
      <w:pPr>
        <w:pStyle w:val="ae"/>
        <w:spacing w:before="0" w:after="0"/>
        <w:jc w:val="both"/>
        <w:textAlignment w:val="baseline"/>
        <w:rPr>
          <w:color w:val="000000" w:themeColor="text1"/>
          <w:sz w:val="16"/>
          <w:szCs w:val="16"/>
        </w:rPr>
      </w:pPr>
      <w:r w:rsidRPr="00640820">
        <w:rPr>
          <w:color w:val="000000" w:themeColor="text1"/>
          <w:sz w:val="16"/>
          <w:szCs w:val="16"/>
        </w:rPr>
        <w:t>На следующий день в ходе вылетов на штурмовку наземных целей было потеряно еще два «горбатых» (19522).</w:t>
      </w:r>
    </w:p>
    <w:p w14:paraId="7D41003C" w14:textId="77777777" w:rsidR="00AE047E" w:rsidRPr="00640820" w:rsidRDefault="00AE047E" w:rsidP="00640820">
      <w:pPr>
        <w:pStyle w:val="ae"/>
        <w:spacing w:before="0" w:after="0"/>
        <w:jc w:val="both"/>
        <w:textAlignment w:val="baseline"/>
        <w:rPr>
          <w:color w:val="000000" w:themeColor="text1"/>
          <w:sz w:val="16"/>
          <w:szCs w:val="16"/>
        </w:rPr>
      </w:pPr>
    </w:p>
    <w:p w14:paraId="41B30771" w14:textId="77777777" w:rsidR="00310884" w:rsidRPr="00640820" w:rsidRDefault="00310884"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28 ноября </w:t>
      </w:r>
      <w:r w:rsidRPr="00640820">
        <w:rPr>
          <w:rFonts w:ascii="Times New Roman" w:hAnsi="Times New Roman"/>
          <w:color w:val="000000" w:themeColor="text1"/>
          <w:sz w:val="16"/>
          <w:szCs w:val="16"/>
        </w:rPr>
        <w:t>в 1941 году в СССР маршал Тимошенко, возглавивший контрнаступление советских войск, заставляет немцев освободить Ростов-на-Дону. Это первое отступление немецких войск на Восточном фронте (14843).</w:t>
      </w:r>
    </w:p>
    <w:p w14:paraId="0C314775" w14:textId="77777777" w:rsidR="00310884" w:rsidRPr="00640820" w:rsidRDefault="00310884" w:rsidP="00640820">
      <w:pPr>
        <w:spacing w:after="0" w:line="240" w:lineRule="auto"/>
        <w:jc w:val="both"/>
        <w:rPr>
          <w:rFonts w:ascii="Times New Roman" w:hAnsi="Times New Roman"/>
          <w:color w:val="000000" w:themeColor="text1"/>
          <w:sz w:val="16"/>
          <w:szCs w:val="16"/>
        </w:rPr>
      </w:pPr>
    </w:p>
    <w:p w14:paraId="598EF8F8" w14:textId="77777777" w:rsidR="00310884" w:rsidRPr="00640820" w:rsidRDefault="00310884"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28 ноября </w:t>
      </w:r>
      <w:r w:rsidRPr="00640820">
        <w:rPr>
          <w:rFonts w:ascii="Times New Roman" w:hAnsi="Times New Roman"/>
          <w:color w:val="000000" w:themeColor="text1"/>
          <w:sz w:val="16"/>
          <w:szCs w:val="16"/>
        </w:rPr>
        <w:t>в 1941 году немецкие войска форсировали канал Москва-Волга (14843).</w:t>
      </w:r>
    </w:p>
    <w:p w14:paraId="5CF2150A" w14:textId="77777777" w:rsidR="00310884" w:rsidRPr="00640820" w:rsidRDefault="00310884" w:rsidP="00640820">
      <w:pPr>
        <w:spacing w:after="0" w:line="240" w:lineRule="auto"/>
        <w:jc w:val="both"/>
        <w:rPr>
          <w:rFonts w:ascii="Times New Roman" w:hAnsi="Times New Roman"/>
          <w:color w:val="000000" w:themeColor="text1"/>
          <w:sz w:val="16"/>
          <w:szCs w:val="16"/>
        </w:rPr>
      </w:pPr>
    </w:p>
    <w:p w14:paraId="4E1DFD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28 ноября 1941 г. летчики 47-й </w:t>
      </w:r>
      <w:r w:rsidRPr="00640820">
        <w:rPr>
          <w:rFonts w:ascii="Times New Roman" w:hAnsi="Times New Roman"/>
          <w:iCs/>
          <w:color w:val="000000" w:themeColor="text1"/>
          <w:sz w:val="16"/>
          <w:szCs w:val="16"/>
        </w:rPr>
        <w:t>сад,</w:t>
      </w:r>
      <w:r w:rsidRPr="00640820">
        <w:rPr>
          <w:rFonts w:ascii="Times New Roman" w:hAnsi="Times New Roman"/>
          <w:color w:val="000000" w:themeColor="text1"/>
          <w:sz w:val="16"/>
          <w:szCs w:val="16"/>
        </w:rPr>
        <w:t xml:space="preserve"> базировавшейся на аэродро</w:t>
      </w:r>
      <w:r w:rsidRPr="00640820">
        <w:rPr>
          <w:rFonts w:ascii="Times New Roman" w:hAnsi="Times New Roman"/>
          <w:color w:val="000000" w:themeColor="text1"/>
          <w:sz w:val="16"/>
          <w:szCs w:val="16"/>
        </w:rPr>
        <w:softHyphen/>
        <w:t xml:space="preserve">ме Тушино (312-й </w:t>
      </w:r>
      <w:r w:rsidRPr="00640820">
        <w:rPr>
          <w:rFonts w:ascii="Times New Roman" w:hAnsi="Times New Roman"/>
          <w:iCs/>
          <w:color w:val="000000" w:themeColor="text1"/>
          <w:sz w:val="16"/>
          <w:szCs w:val="16"/>
        </w:rPr>
        <w:t>шап</w:t>
      </w:r>
      <w:r w:rsidRPr="00640820">
        <w:rPr>
          <w:rFonts w:ascii="Times New Roman" w:hAnsi="Times New Roman"/>
          <w:color w:val="000000" w:themeColor="text1"/>
          <w:sz w:val="16"/>
          <w:szCs w:val="16"/>
        </w:rPr>
        <w:t xml:space="preserve"> на Ил-2 и 519-й </w:t>
      </w:r>
      <w:r w:rsidRPr="00640820">
        <w:rPr>
          <w:rFonts w:ascii="Times New Roman" w:hAnsi="Times New Roman"/>
          <w:iCs/>
          <w:color w:val="000000" w:themeColor="text1"/>
          <w:sz w:val="16"/>
          <w:szCs w:val="16"/>
        </w:rPr>
        <w:t>иап</w:t>
      </w:r>
      <w:r w:rsidRPr="00640820">
        <w:rPr>
          <w:rFonts w:ascii="Times New Roman" w:hAnsi="Times New Roman"/>
          <w:color w:val="000000" w:themeColor="text1"/>
          <w:sz w:val="16"/>
          <w:szCs w:val="16"/>
        </w:rPr>
        <w:t xml:space="preserve"> на МиГ-3), впервые применили, как оказалось впоследствии, очень эффективные реактивные снаряды РБС-82, РБС-132 и РОФС-132. Боевые заряды бронебойных снарядов РБС-82 и РБС-132 обеспечивали пробитие 50-мм и 75</w:t>
      </w:r>
      <w:r w:rsidRPr="00640820">
        <w:rPr>
          <w:rFonts w:ascii="Times New Roman" w:hAnsi="Times New Roman"/>
          <w:color w:val="000000" w:themeColor="text1"/>
          <w:sz w:val="16"/>
          <w:szCs w:val="16"/>
        </w:rPr>
        <w:softHyphen/>
        <w:t>мм танковой брони, соответственно, а заряд осколочно-фугасного снаряда РОФС-132 поражал осколками живую силу и технику противника в радиусе 8-10 м. Причем, как показали полигонные испытания, бронебойные PC сначала пробивали танковую броню и затем взрывались, нанося сильные разрушения внутри танка и уничтожая экипаж.. (6467). К сожалению, несмотря на прекрас</w:t>
      </w:r>
      <w:r w:rsidRPr="00640820">
        <w:rPr>
          <w:rFonts w:ascii="Times New Roman" w:hAnsi="Times New Roman"/>
          <w:color w:val="000000" w:themeColor="text1"/>
          <w:sz w:val="16"/>
          <w:szCs w:val="16"/>
        </w:rPr>
        <w:softHyphen/>
        <w:t>ные результаты боевого применения бронебойных и осколочно-фугасных PC, Наркомат вооружения так и не смог на</w:t>
      </w:r>
      <w:r w:rsidRPr="00640820">
        <w:rPr>
          <w:rFonts w:ascii="Times New Roman" w:hAnsi="Times New Roman"/>
          <w:color w:val="000000" w:themeColor="text1"/>
          <w:sz w:val="16"/>
          <w:szCs w:val="16"/>
        </w:rPr>
        <w:softHyphen/>
        <w:t>ладить их устойчивое серийное произ</w:t>
      </w:r>
      <w:r w:rsidRPr="00640820">
        <w:rPr>
          <w:rFonts w:ascii="Times New Roman" w:hAnsi="Times New Roman"/>
          <w:color w:val="000000" w:themeColor="text1"/>
          <w:sz w:val="16"/>
          <w:szCs w:val="16"/>
        </w:rPr>
        <w:softHyphen/>
        <w:t>водство практически до середины вой</w:t>
      </w:r>
      <w:r w:rsidRPr="00640820">
        <w:rPr>
          <w:rFonts w:ascii="Times New Roman" w:hAnsi="Times New Roman"/>
          <w:color w:val="000000" w:themeColor="text1"/>
          <w:sz w:val="16"/>
          <w:szCs w:val="16"/>
        </w:rPr>
        <w:softHyphen/>
        <w:t>ны. Массовое применение на полях сра</w:t>
      </w:r>
      <w:r w:rsidRPr="00640820">
        <w:rPr>
          <w:rFonts w:ascii="Times New Roman" w:hAnsi="Times New Roman"/>
          <w:color w:val="000000" w:themeColor="text1"/>
          <w:sz w:val="16"/>
          <w:szCs w:val="16"/>
        </w:rPr>
        <w:softHyphen/>
        <w:t>жений РБС-132 и РОФС-132 отмечает</w:t>
      </w:r>
      <w:r w:rsidRPr="00640820">
        <w:rPr>
          <w:rFonts w:ascii="Times New Roman" w:hAnsi="Times New Roman"/>
          <w:color w:val="000000" w:themeColor="text1"/>
          <w:sz w:val="16"/>
          <w:szCs w:val="16"/>
        </w:rPr>
        <w:softHyphen/>
        <w:t>ся лишь с весны 43-го, а РБС-82 - с лета 1944 г. (6467).</w:t>
      </w:r>
    </w:p>
    <w:p w14:paraId="6F8EE0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05BFABB" w14:textId="77777777" w:rsidR="007C4777" w:rsidRPr="00640820" w:rsidRDefault="007C4777"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28 ноября 1941, согласно отчету о боевой работе ВВС ЮЗФ, ВВС ЮЗФ произвели в общей сложности 283 самолето</w:t>
      </w:r>
      <w:r w:rsidRPr="00640820">
        <w:rPr>
          <w:rFonts w:ascii="Times New Roman" w:hAnsi="Times New Roman"/>
          <w:color w:val="0070C0"/>
          <w:sz w:val="16"/>
          <w:szCs w:val="16"/>
        </w:rPr>
        <w:noBreakHyphen/>
        <w:t>вылета, в том числе 159 на атаку наземных целей, потеряв при этом два самолета. При этом летчики отчитались о 250 уничтоженных автомобилях и 590(!) повозках. Кроме того, было «подожжено» и разрушено 50 домов. На следующий день среди пораженных целей числилось 277 автомашин, 175 повозок, 14 бронемашин, 1900 пехотинцев, 4 автобуса, а также «45 всадников».</w:t>
      </w:r>
    </w:p>
    <w:p w14:paraId="43AED045" w14:textId="77777777" w:rsidR="007C4777" w:rsidRPr="00640820" w:rsidRDefault="007C4777"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Складывается впечатление, что к концу ноября немцы, понеся ранее огромные потери в автомобильном транспорте, теперь пересели в основном на конные повозки, которые так же постоянно уничтожались штурмовыми ударами. После чего по дорогам скакали уже отдельные «всадники». Непонятно, откуда вдруг взялось такое количество «конных повозок», словно по дорогам двигались целые цыганские таборы, и по каким признакам их с воздуха зачисляли в уничтоженные. Может, летчики, делая второй заход после штурмовки, скрупулезно подсчитывали телеги, у которых отлетели колеса или погибла лошадь?</w:t>
      </w:r>
    </w:p>
    <w:p w14:paraId="2478B5F8" w14:textId="77777777" w:rsidR="007C4777" w:rsidRPr="00640820" w:rsidRDefault="007C4777"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Скорее всего, отчет составлялся путем простого суммирования донесений пилотов, которые навскидку определяли: «расстрелял 10 повозок», «расстрелял 15 повозок и автобус» и т. д. Тем более непонятно, каким образом считали уничтоженную пехоту. Как, скажем, учитывали, что уничтожено (не ранено, обстреляно, а именно уничтожено) именно 500, 800 или 1200 солдат? (23199).</w:t>
      </w:r>
    </w:p>
    <w:p w14:paraId="45E9A8D6" w14:textId="77777777" w:rsidR="007C4777" w:rsidRPr="00640820" w:rsidRDefault="007C4777"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Аналогичное массовое уничтожение конного и автомобильного транспорта продолжалось и в декабре 1941 г. Так, 8</w:t>
      </w:r>
      <w:r w:rsidRPr="00640820">
        <w:rPr>
          <w:rFonts w:ascii="Times New Roman" w:hAnsi="Times New Roman"/>
          <w:color w:val="0070C0"/>
          <w:sz w:val="16"/>
          <w:szCs w:val="16"/>
        </w:rPr>
        <w:noBreakHyphen/>
        <w:t>го числа из</w:t>
      </w:r>
      <w:r w:rsidRPr="00640820">
        <w:rPr>
          <w:rFonts w:ascii="Times New Roman" w:hAnsi="Times New Roman"/>
          <w:color w:val="0070C0"/>
          <w:sz w:val="16"/>
          <w:szCs w:val="16"/>
        </w:rPr>
        <w:noBreakHyphen/>
        <w:t>за плохой погоды ВВС ЮЗФ выполнили всего 35 самолето</w:t>
      </w:r>
      <w:r w:rsidRPr="00640820">
        <w:rPr>
          <w:rFonts w:ascii="Times New Roman" w:hAnsi="Times New Roman"/>
          <w:color w:val="0070C0"/>
          <w:sz w:val="16"/>
          <w:szCs w:val="16"/>
        </w:rPr>
        <w:noBreakHyphen/>
        <w:t>вылетов, в том числе 24 по наземным целям. В ходе них на противника было сброшено 6 ФАБ</w:t>
      </w:r>
      <w:r w:rsidRPr="00640820">
        <w:rPr>
          <w:rFonts w:ascii="Times New Roman" w:hAnsi="Times New Roman"/>
          <w:color w:val="0070C0"/>
          <w:sz w:val="16"/>
          <w:szCs w:val="16"/>
        </w:rPr>
        <w:noBreakHyphen/>
        <w:t>100, 7 ФАБ</w:t>
      </w:r>
      <w:r w:rsidRPr="00640820">
        <w:rPr>
          <w:rFonts w:ascii="Times New Roman" w:hAnsi="Times New Roman"/>
          <w:color w:val="0070C0"/>
          <w:sz w:val="16"/>
          <w:szCs w:val="16"/>
        </w:rPr>
        <w:noBreakHyphen/>
        <w:t>50, 1 ЗАБ</w:t>
      </w:r>
      <w:r w:rsidRPr="00640820">
        <w:rPr>
          <w:rFonts w:ascii="Times New Roman" w:hAnsi="Times New Roman"/>
          <w:color w:val="0070C0"/>
          <w:sz w:val="16"/>
          <w:szCs w:val="16"/>
        </w:rPr>
        <w:noBreakHyphen/>
        <w:t>50, 6 АО</w:t>
      </w:r>
      <w:r w:rsidRPr="00640820">
        <w:rPr>
          <w:rFonts w:ascii="Times New Roman" w:hAnsi="Times New Roman"/>
          <w:color w:val="0070C0"/>
          <w:sz w:val="16"/>
          <w:szCs w:val="16"/>
        </w:rPr>
        <w:noBreakHyphen/>
        <w:t>25, 4 АО</w:t>
      </w:r>
      <w:r w:rsidRPr="00640820">
        <w:rPr>
          <w:rFonts w:ascii="Times New Roman" w:hAnsi="Times New Roman"/>
          <w:color w:val="0070C0"/>
          <w:sz w:val="16"/>
          <w:szCs w:val="16"/>
        </w:rPr>
        <w:noBreakHyphen/>
        <w:t>15, 38 АО</w:t>
      </w:r>
      <w:r w:rsidRPr="00640820">
        <w:rPr>
          <w:rFonts w:ascii="Times New Roman" w:hAnsi="Times New Roman"/>
          <w:color w:val="0070C0"/>
          <w:sz w:val="16"/>
          <w:szCs w:val="16"/>
        </w:rPr>
        <w:noBreakHyphen/>
        <w:t>10, 84 ЗАБ</w:t>
      </w:r>
      <w:r w:rsidRPr="00640820">
        <w:rPr>
          <w:rFonts w:ascii="Times New Roman" w:hAnsi="Times New Roman"/>
          <w:color w:val="0070C0"/>
          <w:sz w:val="16"/>
          <w:szCs w:val="16"/>
        </w:rPr>
        <w:noBreakHyphen/>
        <w:t>1 и 13 PC. На счета пилотов были записаны 39 автомашин, одна артбатарея и другие достижения. Один «10009» (Ил</w:t>
      </w:r>
      <w:r w:rsidRPr="00640820">
        <w:rPr>
          <w:rFonts w:ascii="Times New Roman" w:hAnsi="Times New Roman"/>
          <w:color w:val="0070C0"/>
          <w:sz w:val="16"/>
          <w:szCs w:val="16"/>
        </w:rPr>
        <w:noBreakHyphen/>
        <w:t>2) потерпел катастрофу.</w:t>
      </w:r>
    </w:p>
    <w:p w14:paraId="2FFEE6FF" w14:textId="77777777" w:rsidR="007C4777" w:rsidRPr="00640820" w:rsidRDefault="007C4777" w:rsidP="00640820">
      <w:pPr>
        <w:spacing w:after="0" w:line="240" w:lineRule="auto"/>
        <w:jc w:val="both"/>
        <w:rPr>
          <w:rFonts w:ascii="Times New Roman" w:hAnsi="Times New Roman"/>
          <w:color w:val="0070C0"/>
          <w:sz w:val="16"/>
          <w:szCs w:val="16"/>
        </w:rPr>
      </w:pPr>
    </w:p>
    <w:p w14:paraId="574AAC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ноября 1941 экипажи старшего лейтенанта Л. Пузанова и лейтенанта В. Стрельцова вылетели на прикрытие железнодорожного узла Александров. Им удалось перехватить три немецких бомбардировщика Ju88, пытавшихся пробиться к станции, используя облачность. Встретившись в воздухе с советскими истребителями, немцы бросились врассыпную. Пузанов быстро поразил одного “юнкерса”. Стрельцов решительно атаковал второго и со второй атаки зажег мотор Ju 88. Лейтенант преследовал и добил неприятельский самолет, но пилот Пе-3 сам получил ранение, а осколками стекла, разбитого пулей “юнкерса”, Стрельцову повредило глаз. Пользуясь подсказками штурмана, летчик сумел привести истребитель на аэродром и посадить его. Уже на пробеге Стрельцов потерял сознание (4476).</w:t>
      </w:r>
    </w:p>
    <w:p w14:paraId="66CCDF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CB549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28 ноября 1941 экипажи старшего лейтенанта Л. Пузанова и лейтенанта В. Стрельцова на Пе-3 вылетели на прикрытие железнодорожного узла Александров. Им удалось перехватить три немецких бомбардировщика </w:t>
      </w:r>
      <w:r w:rsidRPr="00640820">
        <w:rPr>
          <w:rFonts w:ascii="Times New Roman" w:hAnsi="Times New Roman"/>
          <w:color w:val="000000" w:themeColor="text1"/>
          <w:sz w:val="16"/>
          <w:szCs w:val="16"/>
          <w:lang w:val="en-US"/>
        </w:rPr>
        <w:t>Ju</w:t>
      </w:r>
      <w:r w:rsidRPr="00640820">
        <w:rPr>
          <w:rFonts w:ascii="Times New Roman" w:hAnsi="Times New Roman"/>
          <w:color w:val="000000" w:themeColor="text1"/>
          <w:sz w:val="16"/>
          <w:szCs w:val="16"/>
        </w:rPr>
        <w:t xml:space="preserve"> 88, пытавшихся пробиться к станции, используя облачность. Встретившись в воздухе с советскими истребителями, немцы бросились врассыпную. Пузанов быстро сбил одного "юнкерса". Стрельцов решительно атаковал другого, но здесь ситуация сложилась более сложной. Во второй атаке лейтенант зажег мотор </w:t>
      </w:r>
      <w:r w:rsidRPr="00640820">
        <w:rPr>
          <w:rFonts w:ascii="Times New Roman" w:hAnsi="Times New Roman"/>
          <w:color w:val="000000" w:themeColor="text1"/>
          <w:sz w:val="16"/>
          <w:szCs w:val="16"/>
          <w:lang w:val="en-US"/>
        </w:rPr>
        <w:t>Ju</w:t>
      </w:r>
      <w:r w:rsidRPr="00640820">
        <w:rPr>
          <w:rFonts w:ascii="Times New Roman" w:hAnsi="Times New Roman"/>
          <w:color w:val="000000" w:themeColor="text1"/>
          <w:sz w:val="16"/>
          <w:szCs w:val="16"/>
        </w:rPr>
        <w:t xml:space="preserve"> 88. Третья атака оказалась последней для немца, но пилот Пе-3 был ранен, а осколками стекла, разбитого пулей "юнкерса", Стрельцову повредило глаз. Пользуясь подсказками штурмана летчик сумел привести истребитель на аэродром и посадить его. Уже на пробеге Стрельцов потерял сознание.</w:t>
      </w:r>
    </w:p>
    <w:p w14:paraId="31DFE4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rPr>
        <w:t xml:space="preserve">В ноябре 1941 г. командиром 95-го иап стал майор А. Жатьков, уничтоживший в воздушных боях несколько самолетов противника. Осенью на "тройках" выполнили доработки, установив в носовой части фюзеляжа пушку ШВАК и заменив пулемет штурмана на крупнокалиберный БТ. Часть самолетов оснастили реактивными орудиями РО-82 (по 8 штук), а на некоторые, кроме того, смонтировали еще по два РО-132. Стрелять можно было сериями залпов по два или четыре реактивных снаряда. </w:t>
      </w:r>
      <w:r w:rsidRPr="00640820">
        <w:rPr>
          <w:rFonts w:ascii="Times New Roman" w:hAnsi="Times New Roman"/>
          <w:color w:val="000000" w:themeColor="text1"/>
          <w:sz w:val="16"/>
          <w:szCs w:val="16"/>
          <w:lang w:val="en-US"/>
        </w:rPr>
        <w:t>Несколько машин доработали, установив на них аэрофотоаппараты АФА-Б (12042).</w:t>
      </w:r>
    </w:p>
    <w:p w14:paraId="754914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0F9468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November 28, 1941: Overextended and short of supplies, III.Panzerkorps of Panzergruppe 1 evacuates Rostov-on-Don and withdraws to the Mius river 30 miles to the west (3819).</w:t>
      </w:r>
    </w:p>
    <w:p w14:paraId="4B7364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24EB80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November 28 1941 Germans are forced to evacuate Rostov (1037).</w:t>
      </w:r>
    </w:p>
    <w:p w14:paraId="79A0DA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2AEEE5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ноября 1941 немцы отступили из Ростова (1037).</w:t>
      </w:r>
    </w:p>
    <w:p w14:paraId="29E3F8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9BEAD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ноября 1941 немцы прорвались на узком участке фронта, воспользовавшись разрывом между 30А и 16А, к каналу Москвы и форсировали его в районе Яхромы. Контрудар 1УА при содействии авиации (1АГ (И.Ф.Петров)) в составе 3-х ад). Ежедневно делали 150-180 вылетов по противнику в районах Яхромы, Клина, Солнечногорска. Немцы остановились (341,74).</w:t>
      </w:r>
    </w:p>
    <w:p w14:paraId="1320D4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D87C4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28-29 ноября 1941 у деревни Ленино, на 42-м километре Волоколамского шоссе и в деревне Нефедьево, разделенной противотанковым рвом вели ожесточенные бои против фашистов воины 9-й гвардейской дивизии под командованием А. П. Белобородова. Севернее деревни Нефедьево заняла оборону 18я стрелковая дивизия (9691).</w:t>
      </w:r>
    </w:p>
    <w:p w14:paraId="0C8465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E48BAA0"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572C7CAB"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0B77F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ноября 1941 г. вышла ответная памятная записка НКИД СССР посольству США в СССР, в которой говорилось, что советское правительство «высоко ценит» готовность правительства США предоставить правительству СССР возможность закупить американские нефть и нефтепродукты и обеспечить их доставку в СССР как во время войны, так и посте ее окончания. С удовлетворением была также принята к сведению подобная же позиция американского правительства в отношении получения из США оборудования для добычи и переработки нефти, а также в отношении предоставления правительству СССР наиболее благоприятных условий продажи и доставки как нефтепродуктов и нефтяного оборудования</w:t>
      </w:r>
    </w:p>
    <w:p w14:paraId="7A984B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21 ноября 1941 года была подготовлена ПАМЯТНАЯ ЗАПИСКА ПОСОЛЬСТВА США В НКИД СССР ПО ВОПРОСУ О ВОЗМОЖНОЙ ПОСТАВКЕ СОВЕТСКОМУ СОЮЗУ ИЗ США НЕФТИ И ОБОРУДОВАНИЯ ДЛЯ ЕЕ ДОБЫЧИ И ПЕРЕРАБОТКИ </w:t>
      </w:r>
    </w:p>
    <w:p w14:paraId="3F9C1E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Куйбышев, </w:t>
      </w:r>
    </w:p>
    <w:p w14:paraId="6358D7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Американский поверенный в делах уполномочен сделать следующее заявление от имени Правительства Соединенных Штатов Америки:</w:t>
      </w:r>
    </w:p>
    <w:p w14:paraId="6245CF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Если в Советском Союзе возник бы недостаток в нефти в результате разрушения Советским Правительством нефтедобывающей и нефтеперерабатывающей промышленности на Кавказе с целью предотвращения эксплуатации и использования агрессором нефтяных ресурсов и нефтеперерабатывающих заводов на этой территории, Правительством Соединенных Штатов будут предприняты необходимые и соответствующие законам США шаги. Цель этих шагов - предоставить Советскому Правительству возможность на условиях, по крайней мере, столь благоприятных, что и условия, на которых подобные продукты будут проданы и предоставлены в распоряжение странам, которые последовательно приносили жертвы в своих усилиях, направленных к победе над силами агрессии, закупить и обеспечить доставку нефти и нефтепродуктов из Соединенных Штатов или из источников, имеющихся в их распоряжении, для использования их в настоящей борьбе против агрессии или в ходе восстановительных работ в Советском Союзе после прекращения военных действий.</w:t>
      </w:r>
    </w:p>
    <w:p w14:paraId="2B2A86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Подобная же позиция будет занята Правительством Соединенных Штатов в отношении усилий, которые Советское Правительство может быть вынуждено предпринять для получения в Соединенных Штатах, как во время военных действий, так и после их окончания, оборудования для добычи и переработки нефти в целях замены разрушенного.</w:t>
      </w:r>
    </w:p>
    <w:p w14:paraId="1965BF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АВПРФ</w:t>
      </w:r>
      <w:r w:rsidRPr="00640820">
        <w:rPr>
          <w:rFonts w:ascii="Times New Roman" w:hAnsi="Times New Roman"/>
          <w:color w:val="000000" w:themeColor="text1"/>
          <w:sz w:val="16"/>
          <w:szCs w:val="16"/>
          <w:lang w:val="en-US"/>
        </w:rPr>
        <w:t xml:space="preserve">. </w:t>
      </w:r>
      <w:r w:rsidRPr="00640820">
        <w:rPr>
          <w:rFonts w:ascii="Times New Roman" w:hAnsi="Times New Roman"/>
          <w:color w:val="000000" w:themeColor="text1"/>
          <w:sz w:val="16"/>
          <w:szCs w:val="16"/>
        </w:rPr>
        <w:t>Ф</w:t>
      </w:r>
      <w:r w:rsidRPr="00640820">
        <w:rPr>
          <w:rFonts w:ascii="Times New Roman" w:hAnsi="Times New Roman"/>
          <w:color w:val="000000" w:themeColor="text1"/>
          <w:sz w:val="16"/>
          <w:szCs w:val="16"/>
          <w:lang w:val="en-US"/>
        </w:rPr>
        <w:t xml:space="preserve">. 06. On. 3. </w:t>
      </w:r>
      <w:r w:rsidRPr="00640820">
        <w:rPr>
          <w:rFonts w:ascii="Times New Roman" w:hAnsi="Times New Roman"/>
          <w:color w:val="000000" w:themeColor="text1"/>
          <w:sz w:val="16"/>
          <w:szCs w:val="16"/>
        </w:rPr>
        <w:t>П</w:t>
      </w:r>
      <w:r w:rsidRPr="00640820">
        <w:rPr>
          <w:rFonts w:ascii="Times New Roman" w:hAnsi="Times New Roman"/>
          <w:color w:val="000000" w:themeColor="text1"/>
          <w:sz w:val="16"/>
          <w:szCs w:val="16"/>
          <w:lang w:val="en-US"/>
        </w:rPr>
        <w:t xml:space="preserve">. 21. </w:t>
      </w:r>
      <w:r w:rsidRPr="00640820">
        <w:rPr>
          <w:rFonts w:ascii="Times New Roman" w:hAnsi="Times New Roman"/>
          <w:color w:val="000000" w:themeColor="text1"/>
          <w:sz w:val="16"/>
          <w:szCs w:val="16"/>
        </w:rPr>
        <w:t>Д</w:t>
      </w:r>
      <w:r w:rsidRPr="00640820">
        <w:rPr>
          <w:rFonts w:ascii="Times New Roman" w:hAnsi="Times New Roman"/>
          <w:color w:val="000000" w:themeColor="text1"/>
          <w:sz w:val="16"/>
          <w:szCs w:val="16"/>
          <w:lang w:val="en-US"/>
        </w:rPr>
        <w:t xml:space="preserve">. 278. </w:t>
      </w:r>
      <w:r w:rsidRPr="00640820">
        <w:rPr>
          <w:rFonts w:ascii="Times New Roman" w:hAnsi="Times New Roman"/>
          <w:color w:val="000000" w:themeColor="text1"/>
          <w:sz w:val="16"/>
          <w:szCs w:val="16"/>
        </w:rPr>
        <w:t>Л. 160. Перевод с английского. Подлинник (11574).</w:t>
      </w:r>
    </w:p>
    <w:p w14:paraId="6F7320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EC10D3D"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3F25AB50"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329E0D9" w14:textId="77777777" w:rsidR="00310884" w:rsidRPr="00640820" w:rsidRDefault="00310884"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28 ноября </w:t>
      </w:r>
      <w:r w:rsidRPr="00640820">
        <w:rPr>
          <w:rFonts w:ascii="Times New Roman" w:hAnsi="Times New Roman"/>
          <w:color w:val="000000" w:themeColor="text1"/>
          <w:sz w:val="16"/>
          <w:szCs w:val="16"/>
        </w:rPr>
        <w:t>в 1941 году авианалет британских ВВС на Неаполь. Английское министерство авиации сообщает, что английские самолеты в ночь на 28 ноября после недельного перерыва снова подвергли Неаполь интенсивной бомбардировке. В результате последнего налета причинен большой ущерб военным объектам города. Первые же бомбы попали в бензохранилища.. (14843).</w:t>
      </w:r>
    </w:p>
    <w:p w14:paraId="18A3B4EF" w14:textId="77777777" w:rsidR="00310884" w:rsidRPr="00640820" w:rsidRDefault="00310884" w:rsidP="00640820">
      <w:pPr>
        <w:spacing w:after="0" w:line="240" w:lineRule="auto"/>
        <w:jc w:val="both"/>
        <w:rPr>
          <w:rFonts w:ascii="Times New Roman" w:hAnsi="Times New Roman"/>
          <w:color w:val="000000" w:themeColor="text1"/>
          <w:sz w:val="16"/>
          <w:szCs w:val="16"/>
        </w:rPr>
      </w:pPr>
    </w:p>
    <w:p w14:paraId="5B60EEF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ноября 1941 в Ливии англичане захватили генерала фон Равенштейна - первый немецкий генерал, взятый в плен во время второй мировой войны (4962).</w:t>
      </w:r>
    </w:p>
    <w:p w14:paraId="30BC782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599A9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ноября 1941 последние итальянские войска в Восточной Африке сдались англичанам (4962).</w:t>
      </w:r>
    </w:p>
    <w:p w14:paraId="0D8CCF2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F3D0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ноября 1941 авианосец Энтерпрайз вышел из Перл Харбора, чтобы доставить американские истребители Вайлдкэт на остров Вейк (2100).</w:t>
      </w:r>
    </w:p>
    <w:p w14:paraId="3D8ED2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B4015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ноября 1941 в Восточной Африке в области Гондар последние итальянские воинские части сдались войскам Великобритании (3186).</w:t>
      </w:r>
    </w:p>
    <w:p w14:paraId="5488FC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65522C0"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2B22E0CA"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8921DFE" w14:textId="77777777" w:rsidR="0085197F" w:rsidRPr="00640820" w:rsidRDefault="0085197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29 ноября 1941</w:t>
      </w:r>
    </w:p>
    <w:p w14:paraId="28957DFB" w14:textId="77777777" w:rsidR="0085197F" w:rsidRPr="00640820" w:rsidRDefault="0085197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Из беседы с Героем Социалистического Труда</w:t>
      </w:r>
    </w:p>
    <w:p w14:paraId="0A0EBE75" w14:textId="77777777" w:rsidR="0085197F" w:rsidRPr="00640820" w:rsidRDefault="0085197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главным конструктором С.В. Ильюшиным</w:t>
      </w:r>
    </w:p>
    <w:p w14:paraId="72AD51C9" w14:textId="77777777" w:rsidR="0085197F" w:rsidRPr="00640820" w:rsidRDefault="0085197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“Конструкторская мысль - на службе обороны страны”</w:t>
      </w:r>
    </w:p>
    <w:p w14:paraId="7E279090" w14:textId="77777777" w:rsidR="0085197F" w:rsidRPr="00640820" w:rsidRDefault="0085197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29 ноября 1941'</w:t>
      </w:r>
    </w:p>
    <w:p w14:paraId="4EE1F0F4" w14:textId="77777777" w:rsidR="0085197F" w:rsidRPr="00640820" w:rsidRDefault="0085197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xml:space="preserve">...На нас, работников Особого конструкторского бюро Наркомата авиационной промышленности, возложена почетная и ответственнейшая задача - конструировать боевые противотанковые самолеты. </w:t>
      </w:r>
    </w:p>
    <w:p w14:paraId="4CE5983B" w14:textId="77777777" w:rsidR="0085197F" w:rsidRPr="00640820" w:rsidRDefault="0085197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Правительство высоко оценило работу нашего коллектива. На днях Указами Президиума Верховного Совета СССР за выдающиеся успехи в области создания боевых машин награждена группа особо отличившихся конструкторов и работников бюро.</w:t>
      </w:r>
    </w:p>
    <w:p w14:paraId="1F0DF63D" w14:textId="77777777" w:rsidR="0085197F" w:rsidRPr="00640820" w:rsidRDefault="0085197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Советские летчики-соколы уже давно летают на противотанковых самолетах и наносят сокрушительные удары врагу. По признанию пленных немецких солдат и офицеров, от нашего противотанкового самолета никуда не скроешься. Смерть и разрушение несет он гитлеровским бандам. Тяжелые метеорологические условия, низкая сплошная облачность - не помеха для нашей штурмовой авиации, как принято сейчас называть соединения противотанковых самолетов.</w:t>
      </w:r>
    </w:p>
    <w:p w14:paraId="75AC3DBA" w14:textId="77777777" w:rsidR="0085197F" w:rsidRPr="00640820" w:rsidRDefault="0085197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Сочетая в себе элементы скорости, маневренности и боевой нагрузки, противотанковый самолет позволяет нашим летчикам вести точный прицельный огонь с бреющего полета...</w:t>
      </w:r>
    </w:p>
    <w:p w14:paraId="6BC8F1EB" w14:textId="77777777" w:rsidR="0085197F" w:rsidRPr="00640820" w:rsidRDefault="0085197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Славные советские летчики всюду наносят большой урон танковым колоннам врага...</w:t>
      </w:r>
    </w:p>
    <w:p w14:paraId="16F5AD33" w14:textId="77777777" w:rsidR="0085197F" w:rsidRPr="00640820" w:rsidRDefault="0085197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xml:space="preserve">Но это только начало. Недалеко то время, когда у Красной Армии будет не меньше, а больше танков, чем у немцев. Добиться такого положения поможет не только наша танковая промышленность, с каждым днем увеличивающая выпуск своей продукции, но и противотанковая авиация, удары которой по врагу становятся все сокрушительнее. </w:t>
      </w:r>
    </w:p>
    <w:p w14:paraId="6A02357F" w14:textId="77777777" w:rsidR="0085197F" w:rsidRPr="00640820" w:rsidRDefault="0085197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Геройская отвага и блестящее мастерство сталинских летчиков, самоотверженный труд рабочих авиационной промышленности, творческая работа авиаконструкторов - все направлено на скорейший разгром врага, мы, авиаконструкторы, не успокаиваемся на достигнутом. Весь коллектив нашего бюро с огромным воодушевлением работает над усовершенствованием противотанкового самолета, руководствуясь указаниями товарища Сталина. Наши творческие искания направлены в основном на то, чтобы самолет был прост и таким образом доступен для массового производства. Кроме того, он должен быть прост в эксплуатации и, следовательно, доступен рядовому летчику...</w:t>
      </w:r>
    </w:p>
    <w:p w14:paraId="71CB3D46" w14:textId="77777777" w:rsidR="0085197F" w:rsidRPr="00640820" w:rsidRDefault="0085197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Никто из сотрудников бюро не считается со временем, лишь бы поскорее и лучше выполнить задания.</w:t>
      </w:r>
    </w:p>
    <w:p w14:paraId="1CFA951A" w14:textId="77777777" w:rsidR="0085197F" w:rsidRPr="00640820" w:rsidRDefault="0085197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Каждый из нас гордится тем, что в борьбе с проклятыми фашистами и на нашу долю выпала честь уничтожать немецкие танки и тем самым ковать победу над врагом.</w:t>
      </w:r>
    </w:p>
    <w:p w14:paraId="5436C4DC" w14:textId="77777777" w:rsidR="0085197F" w:rsidRPr="00640820" w:rsidRDefault="0085197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Волжская коммуна. 1941. 29 ноября (20557).</w:t>
      </w:r>
    </w:p>
    <w:p w14:paraId="542B1186" w14:textId="77777777" w:rsidR="0085197F" w:rsidRPr="00640820" w:rsidRDefault="0085197F" w:rsidP="00640820">
      <w:pPr>
        <w:spacing w:after="0" w:line="240" w:lineRule="auto"/>
        <w:jc w:val="both"/>
        <w:rPr>
          <w:rFonts w:ascii="Times New Roman" w:hAnsi="Times New Roman"/>
          <w:color w:val="0070C0"/>
          <w:sz w:val="16"/>
          <w:szCs w:val="16"/>
        </w:rPr>
      </w:pPr>
    </w:p>
    <w:p w14:paraId="741672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ноября 1941 года Жигарев и Шахурин писал письмо N 20/21 Сталину.</w:t>
      </w:r>
    </w:p>
    <w:p w14:paraId="1C2D15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Представляю проект постановления ГКО о сформировании авиационной дивизии дальнего действия резерва Ставки гл. командования, разработанный Комиссией.</w:t>
      </w:r>
    </w:p>
    <w:p w14:paraId="08A360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 ГКО</w:t>
      </w:r>
    </w:p>
    <w:p w14:paraId="7EBD1C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Для систематических бомбардировочных налетов по промышленно-экономическим объектам, расположенным в глубоком тылу противника - ГКО постановляет:</w:t>
      </w:r>
    </w:p>
    <w:p w14:paraId="37FE3B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Сформировать к 1.XII-41 г. авиационную дивизию дальнего действия резерва Ставки Верховного главнокомандования в составе: одного полка на самолетах ТБ-7 с моторами М-35А в количестве десяти кораблей и одного полка ДБ-3Ф с дополнительными бензо и маслобаками в количестве двадцати кораблей. Имеющиеся в наличии самолеты Ер-2 передать в полк ТБ-7.</w:t>
      </w:r>
    </w:p>
    <w:p w14:paraId="2F3F45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На формирование дивизии ДД обратить 81-ю авиадивизию Голованова, передав из ее состава самолеты ДБ-3, Пе-3, Пе-2 в другие части.</w:t>
      </w:r>
    </w:p>
    <w:p w14:paraId="295438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Назначить:</w:t>
      </w:r>
    </w:p>
    <w:p w14:paraId="1F15F5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Командиром дивизии ДД генерал-майора авиации Голованова.</w:t>
      </w:r>
    </w:p>
    <w:p w14:paraId="28654A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Командиром полка ТБ-7 - полковника Лебедева.</w:t>
      </w:r>
    </w:p>
    <w:p w14:paraId="50EA1A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Командиром полка ДБ-3Ф - полковника Новодронова.</w:t>
      </w:r>
    </w:p>
    <w:p w14:paraId="4018D5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В дивизии постоянно содержать двойной состав экипажей и 50% самолетов для пополнения убыли.</w:t>
      </w:r>
    </w:p>
    <w:p w14:paraId="13C998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Для непосредственной помощи в обучении летного состава в дальних полетах, прикрепить к полкам дивизии на два месяца Спирина и Белякова.</w:t>
      </w:r>
    </w:p>
    <w:p w14:paraId="37DDD4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Обязать Наркомавиапром и директора завода N 124 - Окулова:</w:t>
      </w:r>
    </w:p>
    <w:p w14:paraId="542A1F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переоборудовать 8 самолетов ТБ-7 ВВС под мотор Ам-35А; из них 3 самолета с моторами М-35 (выработанными ресурсами мотора) к 20 декабря 1941 года и 5 самолетов с моторами М-40 к 1 января 1941 г.</w:t>
      </w:r>
    </w:p>
    <w:p w14:paraId="6F093D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сдать новых 7 самолетов ТБ-7 с моторами Ам-35А к 1 февраля 1942 г., из них 5 самолетов к 25 января 1942 г.</w:t>
      </w:r>
    </w:p>
    <w:p w14:paraId="508A9E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 всех самолетах установить: автопилоты, приборы Ночь-1, альфометры и антиобледенители на винт, кроме того на 7 новых самолетах установить дополнительно антиобледенители на стекла и кромки крыльев.</w:t>
      </w:r>
    </w:p>
    <w:p w14:paraId="70EB32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Обязать ВВС Жигарева провести испытание самолета с моторами Ам-35А с полетным весом 35 тонн, с целью увеличения запаса горючего.</w:t>
      </w:r>
    </w:p>
    <w:p w14:paraId="09F4A0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Обязать ВВС Жигарева выделить три специальных полка ДБ-3 для действия по ж. д. узлам и промышленно-экономическим центрам восточнее меридиана Кенигсберг -</w:t>
      </w:r>
    </w:p>
    <w:p w14:paraId="08B8F0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один полк к 5.XII-41 г.,</w:t>
      </w:r>
    </w:p>
    <w:p w14:paraId="39E465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второй полк к 20.XII-41 г.,</w:t>
      </w:r>
    </w:p>
    <w:p w14:paraId="0A1381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третий полк к 20.I-42 г. (1623,274).</w:t>
      </w:r>
    </w:p>
    <w:p w14:paraId="296A5D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09472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ноября 1941 г. в Москве по приказу № 1137с на площадке эвакуированного завода № 161 НКАП и площадке треста ОАП образован новый завод № 480 НКАП для организации производства авиационных винтов и лыж (Завод № 480 НКАП /г. Москва Ленинградское ш., 6/).</w:t>
      </w:r>
    </w:p>
    <w:p w14:paraId="0A04BDE6" w14:textId="77777777" w:rsidR="00165A9C" w:rsidRPr="00640820" w:rsidRDefault="00165A9C" w:rsidP="00640820">
      <w:pPr>
        <w:tabs>
          <w:tab w:val="left" w:pos="6562"/>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приказам № 1с от 1.01.1942 г. и № 13с от 6.01.1942 г. завод № 480 со всем оборудованием и кадрами переведен на площадку бывшего завода № 294 НКАП, все сооружения и оборудование которого по приказу № 86с от 30.01.1942 г. переданы заводу № 480.</w:t>
      </w:r>
    </w:p>
    <w:p w14:paraId="72F5E6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Площадка и сооружения бывшего завода № 161 переданы в систему НКМВ в распоряжение 1-го завода САМ.</w:t>
      </w:r>
    </w:p>
    <w:p w14:paraId="5E9CE8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ГКО № 1436с от 13.03.1942 г. и приказом НКАП № 207с от 16.03.1942 г. ОКБ-1 при заводе № 1 гл. конструктора Микояна с опытным цехом переведено из Куйбышева в Москву на территорию завода № 480, где образован новый завод № 155 НКАП.</w:t>
      </w:r>
    </w:p>
    <w:p w14:paraId="449084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(11,1941-1942 г.)- А.И. Филиповых (11982).</w:t>
      </w:r>
    </w:p>
    <w:p w14:paraId="772C11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0B318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29 ноября 1941 года на заводе № 292 начали окрашивать самолеты в белый цвет. Первоначально, из-за плохих эксплуатационных свойств, от разработанной заводом мело-казеиновой краски пришлось отказаться. Зимой 1941-1942 гг. все Як-1 окрашивались белой нитрокраской. Следующей зимой самолет уже красили не отличающейся на аэрофотоснимках от общего фона снежного покрова недешифрируемой смываемой мело-казеиновой краской МК-7. После окраски поверхности обрабатывали наждачной шкуркой для уменьшения лобового сопротивления. По сравнению с нитрокраской потеря скорости при покрытии МК-7 составляла всего 3 км/ч (12048).</w:t>
      </w:r>
    </w:p>
    <w:p w14:paraId="21C091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3A1F203"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26CE5E91"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60EB5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ноября 1941 вышло Постановление ГКО № 972 О плане производства (сдачи) боеприпасов на декабрь месяц 1941 г. РГАНИР, Фонд ГКО, д. 15, лл. 34-40, 41-102 (11012).</w:t>
      </w:r>
    </w:p>
    <w:p w14:paraId="0D5E33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1F9F9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ноября 1941 вышло Постановление ГКО № 973 О плане производства снарядов М-8 и М-13 на декабрь 1941 года. РГАНИР, Фонд ГКО, д. 15, лл. 103-109, 110-164 (11012).</w:t>
      </w:r>
    </w:p>
    <w:p w14:paraId="1DE5F3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9AFD8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ноября 1941 вышло Постановление ГКО № 974 О т.т. Колесникове. РГАНИР, Фонд ГКО, д. Е., Колесове Я.С., Кожевникове С.К., Кочеткове П.В., Изотове М.И., Гапановиче. РГАНИР, Фонд ГКО, д. А., Комарове Г.А., Ганенко И.П., Чекаловском Ф.Г., Белякове И.С. РГАНИР, Фонд ГКО, д. 15, лл. 165 (11012).</w:t>
      </w:r>
    </w:p>
    <w:p w14:paraId="0A1ED7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C3275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ноября 1941 вышло Постановление ГКО № 975 Об изменении п.2 постановления ГКО от 13 ноября. 1941 г. по Кировскому заводу и п.2 постановления ГКО от 23 ноября. 1941 г. по заводам № 172 и 71 НКВ. РГАНИР, Фонд ГКО, д. 15, лл. 166 (11012).</w:t>
      </w:r>
    </w:p>
    <w:p w14:paraId="16C8FB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757FE6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ноября 1941 года вышел приказ № 46сс НКТП</w:t>
      </w:r>
    </w:p>
    <w:p w14:paraId="45C6A8B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исполнение постановления ГКО от 19 ноября 1941 года № 913сс:</w:t>
      </w:r>
    </w:p>
    <w:p w14:paraId="7142D69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изменение ранее изданного приказа завод “Станкострой” передать Наркомату вооружения (6041, 79).</w:t>
      </w:r>
    </w:p>
    <w:p w14:paraId="2C2F002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2497F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ноября 1941 года вышел приказ № 45сс НКТП Челябинск</w:t>
      </w:r>
    </w:p>
    <w:p w14:paraId="70E72F2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распоряжением Совета по эвакуации от 18 ноября 1941 года за № 15318-СЭ и в отмену пункта 2 приложения к постановлению Совета по эвакуации от 15 октября 1941 года за № 168сс о размещении завода им. Орджоникидзе в г. Фрунзе – Московский станкостроительный завод им. С. Орджоникидзе разместить на площадях Уралвагонзавода в Нижнем Тагиле (6041, 76).</w:t>
      </w:r>
    </w:p>
    <w:p w14:paraId="7009DDF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960A8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ноября 1941 года вышел приказ № 43сс НКТП Челябинск</w:t>
      </w:r>
    </w:p>
    <w:p w14:paraId="281DB76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76 (Уралтурбозавод) (6041, 72).</w:t>
      </w:r>
    </w:p>
    <w:p w14:paraId="1710C6C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A67F28" w14:textId="77777777" w:rsidR="00AE1A6D" w:rsidRPr="00640820" w:rsidRDefault="00AE1A6D" w:rsidP="00640820">
      <w:pPr>
        <w:pStyle w:val="7"/>
        <w:shd w:val="clear" w:color="auto" w:fill="auto"/>
        <w:spacing w:line="240" w:lineRule="auto"/>
        <w:rPr>
          <w:rFonts w:ascii="Times New Roman" w:cs="Times New Roman"/>
          <w:color w:val="000000" w:themeColor="text1"/>
          <w:spacing w:val="0"/>
          <w:sz w:val="16"/>
          <w:szCs w:val="16"/>
        </w:rPr>
      </w:pPr>
      <w:r w:rsidRPr="00640820">
        <w:rPr>
          <w:rFonts w:ascii="Times New Roman" w:cs="Times New Roman"/>
          <w:color w:val="000000" w:themeColor="text1"/>
          <w:spacing w:val="0"/>
          <w:sz w:val="16"/>
          <w:szCs w:val="16"/>
        </w:rPr>
        <w:t>29 ноября 1941 года на стол начальнику 2-го отдела УВНА (Управление вооружения наземной артиллерии) ГАУ КА военинженеру 2-го ранга Анисимову лег отчет капитана П.Ф. Соломонова о поездке в Челябинск. Целью поездки было изуче</w:t>
      </w:r>
      <w:r w:rsidRPr="00640820">
        <w:rPr>
          <w:rFonts w:ascii="Times New Roman" w:cs="Times New Roman"/>
          <w:color w:val="000000" w:themeColor="text1"/>
          <w:spacing w:val="0"/>
          <w:sz w:val="16"/>
          <w:szCs w:val="16"/>
        </w:rPr>
        <w:softHyphen/>
        <w:t>ние на месте вопроса обеспеченности вооружением танков К.В-1. По</w:t>
      </w:r>
      <w:r w:rsidRPr="00640820">
        <w:rPr>
          <w:rFonts w:ascii="Times New Roman" w:cs="Times New Roman"/>
          <w:color w:val="000000" w:themeColor="text1"/>
          <w:spacing w:val="0"/>
          <w:sz w:val="16"/>
          <w:szCs w:val="16"/>
        </w:rPr>
        <w:softHyphen/>
        <w:t>мимо вопросов поставок пушек в докладе нашлось место и опытным работам. В ноябре 1941 года под руководством А.Н. Булышева были разработаны системы У-11 и У-12, представлявшие собой установки 122-мм гаубицы М-30 и 85-мм зенитной пушки 52-К соответственно в башню КВ-1. Гораздо больший интерес в нашем случае представляет третий пункт отчета:</w:t>
      </w:r>
    </w:p>
    <w:p w14:paraId="03690A96" w14:textId="77777777" w:rsidR="00AE1A6D" w:rsidRPr="00640820" w:rsidRDefault="00AE1A6D" w:rsidP="00640820">
      <w:pPr>
        <w:pStyle w:val="Bodytext141"/>
        <w:shd w:val="clear" w:color="auto" w:fill="auto"/>
        <w:spacing w:line="240" w:lineRule="auto"/>
        <w:ind w:firstLine="0"/>
        <w:jc w:val="both"/>
        <w:rPr>
          <w:i w:val="0"/>
          <w:color w:val="000000" w:themeColor="text1"/>
          <w:sz w:val="16"/>
          <w:szCs w:val="16"/>
        </w:rPr>
      </w:pPr>
      <w:r w:rsidRPr="00640820">
        <w:rPr>
          <w:i w:val="0"/>
          <w:color w:val="000000" w:themeColor="text1"/>
          <w:sz w:val="16"/>
          <w:szCs w:val="16"/>
        </w:rPr>
        <w:t>«По заданию Иосифа Виссарионовича Сталина Кировский завод раз</w:t>
      </w:r>
      <w:r w:rsidRPr="00640820">
        <w:rPr>
          <w:i w:val="0"/>
          <w:color w:val="000000" w:themeColor="text1"/>
          <w:sz w:val="16"/>
          <w:szCs w:val="16"/>
        </w:rPr>
        <w:softHyphen/>
        <w:t xml:space="preserve">рабатывает в </w:t>
      </w:r>
      <w:r w:rsidRPr="00640820">
        <w:rPr>
          <w:i w:val="0"/>
          <w:color w:val="000000" w:themeColor="text1"/>
          <w:sz w:val="16"/>
          <w:szCs w:val="16"/>
          <w:lang w:val="en-US"/>
        </w:rPr>
        <w:t>KB</w:t>
      </w:r>
      <w:r w:rsidRPr="00640820">
        <w:rPr>
          <w:i w:val="0"/>
          <w:color w:val="000000" w:themeColor="text1"/>
          <w:sz w:val="16"/>
          <w:szCs w:val="16"/>
        </w:rPr>
        <w:t xml:space="preserve"> строенную установку: 1 пушка Ф-34 и 2 пушки 45 мм (стволы без противооткатных устройств), противооткатные устрой ства для триплекса взяты от ЗИС-5. Кругового обстрела нет, угол об-</w:t>
      </w:r>
      <w:r w:rsidRPr="00640820">
        <w:rPr>
          <w:rStyle w:val="Bodytext14Tahoma3"/>
          <w:rFonts w:ascii="Times New Roman" w:hAnsi="Times New Roman" w:cs="Times New Roman"/>
          <w:i w:val="0"/>
          <w:iCs w:val="0"/>
          <w:color w:val="000000" w:themeColor="text1"/>
        </w:rPr>
        <w:t xml:space="preserve"> КВ-7, вид справа (ЦАМО) </w:t>
      </w:r>
      <w:r w:rsidRPr="00640820">
        <w:rPr>
          <w:i w:val="0"/>
          <w:color w:val="000000" w:themeColor="text1"/>
          <w:sz w:val="16"/>
          <w:szCs w:val="16"/>
        </w:rPr>
        <w:t>стрела по горизонту +/—15° или +/—7,5° как разрешит укладка; бое</w:t>
      </w:r>
      <w:r w:rsidRPr="00640820">
        <w:rPr>
          <w:i w:val="0"/>
          <w:color w:val="000000" w:themeColor="text1"/>
          <w:sz w:val="16"/>
          <w:szCs w:val="16"/>
        </w:rPr>
        <w:softHyphen/>
        <w:t>комплект 300 выстрелов (по 100 на единицу оружия), кроме того, этот триплекс имеет еще 3-4 пулемета.</w:t>
      </w:r>
    </w:p>
    <w:p w14:paraId="6FC7C314" w14:textId="77777777" w:rsidR="00AE1A6D" w:rsidRPr="00640820" w:rsidRDefault="00AE1A6D" w:rsidP="00640820">
      <w:pPr>
        <w:pStyle w:val="Bodytext141"/>
        <w:shd w:val="clear" w:color="auto" w:fill="auto"/>
        <w:spacing w:line="240" w:lineRule="auto"/>
        <w:ind w:firstLine="0"/>
        <w:jc w:val="both"/>
        <w:rPr>
          <w:i w:val="0"/>
          <w:color w:val="000000" w:themeColor="text1"/>
          <w:sz w:val="16"/>
          <w:szCs w:val="16"/>
        </w:rPr>
      </w:pPr>
      <w:r w:rsidRPr="00640820">
        <w:rPr>
          <w:i w:val="0"/>
          <w:color w:val="000000" w:themeColor="text1"/>
          <w:sz w:val="16"/>
          <w:szCs w:val="16"/>
        </w:rPr>
        <w:t xml:space="preserve">В декабре завод должен подавать 1/5 всех танков </w:t>
      </w:r>
      <w:r w:rsidRPr="00640820">
        <w:rPr>
          <w:i w:val="0"/>
          <w:color w:val="000000" w:themeColor="text1"/>
          <w:sz w:val="16"/>
          <w:szCs w:val="16"/>
          <w:lang w:val="en-US"/>
        </w:rPr>
        <w:t>KB</w:t>
      </w:r>
      <w:r w:rsidRPr="00640820">
        <w:rPr>
          <w:i w:val="0"/>
          <w:color w:val="000000" w:themeColor="text1"/>
          <w:sz w:val="16"/>
          <w:szCs w:val="16"/>
        </w:rPr>
        <w:t xml:space="preserve"> с этими триплексами.</w:t>
      </w:r>
    </w:p>
    <w:p w14:paraId="5D93C502" w14:textId="77777777" w:rsidR="00AE1A6D" w:rsidRPr="00640820" w:rsidRDefault="00AE1A6D" w:rsidP="00640820">
      <w:pPr>
        <w:pStyle w:val="Bodytext141"/>
        <w:shd w:val="clear" w:color="auto" w:fill="auto"/>
        <w:spacing w:line="240" w:lineRule="auto"/>
        <w:ind w:firstLine="0"/>
        <w:jc w:val="both"/>
        <w:rPr>
          <w:i w:val="0"/>
          <w:color w:val="000000" w:themeColor="text1"/>
          <w:sz w:val="16"/>
          <w:szCs w:val="16"/>
        </w:rPr>
      </w:pPr>
      <w:r w:rsidRPr="00640820">
        <w:rPr>
          <w:i w:val="0"/>
          <w:color w:val="000000" w:themeColor="text1"/>
          <w:sz w:val="16"/>
          <w:szCs w:val="16"/>
        </w:rPr>
        <w:t>Необходимо срочно: подать на завод чертежи и расчеты 45 мм тан</w:t>
      </w:r>
      <w:r w:rsidRPr="00640820">
        <w:rPr>
          <w:i w:val="0"/>
          <w:color w:val="000000" w:themeColor="text1"/>
          <w:sz w:val="16"/>
          <w:szCs w:val="16"/>
        </w:rPr>
        <w:softHyphen/>
        <w:t>ковых пушек, чертежи и расчеты — Ф-34 (чертежи — можно обойтись имеющимися синьками, но расчеты Ф-34 необходимы), чертежи люльки ЗИС-5 (упрочненной).</w:t>
      </w:r>
    </w:p>
    <w:p w14:paraId="08F9C98D" w14:textId="77777777" w:rsidR="00AE1A6D" w:rsidRPr="00640820" w:rsidRDefault="00AE1A6D" w:rsidP="00640820">
      <w:pPr>
        <w:pStyle w:val="7"/>
        <w:shd w:val="clear" w:color="auto" w:fill="auto"/>
        <w:spacing w:line="240" w:lineRule="auto"/>
        <w:rPr>
          <w:rFonts w:ascii="Times New Roman" w:cs="Times New Roman"/>
          <w:color w:val="000000" w:themeColor="text1"/>
          <w:spacing w:val="0"/>
          <w:sz w:val="16"/>
          <w:szCs w:val="16"/>
        </w:rPr>
      </w:pPr>
      <w:r w:rsidRPr="00640820">
        <w:rPr>
          <w:rFonts w:ascii="Times New Roman" w:cs="Times New Roman"/>
          <w:color w:val="000000" w:themeColor="text1"/>
          <w:spacing w:val="0"/>
          <w:sz w:val="16"/>
          <w:szCs w:val="16"/>
        </w:rPr>
        <w:t>Кроме того, срочно необходимо подать туда же 4 ствола с затвора</w:t>
      </w:r>
      <w:r w:rsidRPr="00640820">
        <w:rPr>
          <w:rFonts w:ascii="Times New Roman" w:cs="Times New Roman"/>
          <w:color w:val="000000" w:themeColor="text1"/>
          <w:spacing w:val="0"/>
          <w:sz w:val="16"/>
          <w:szCs w:val="16"/>
        </w:rPr>
        <w:softHyphen/>
        <w:t>ми 45-мм танковой пушки и подготовить испытание триплекса — ме</w:t>
      </w:r>
      <w:r w:rsidRPr="00640820">
        <w:rPr>
          <w:rFonts w:ascii="Times New Roman" w:cs="Times New Roman"/>
          <w:color w:val="000000" w:themeColor="text1"/>
          <w:spacing w:val="0"/>
          <w:sz w:val="16"/>
          <w:szCs w:val="16"/>
        </w:rPr>
        <w:softHyphen/>
        <w:t>сто, снаряды, программа. Надо принципиально решить вопрос о прицелах к триплексу» (17484).</w:t>
      </w:r>
    </w:p>
    <w:p w14:paraId="71B5E84F" w14:textId="77777777" w:rsidR="00AE1A6D" w:rsidRPr="00640820" w:rsidRDefault="00AE1A6D" w:rsidP="00640820">
      <w:pPr>
        <w:pStyle w:val="7"/>
        <w:shd w:val="clear" w:color="auto" w:fill="auto"/>
        <w:spacing w:line="240" w:lineRule="auto"/>
        <w:rPr>
          <w:rFonts w:ascii="Times New Roman" w:cs="Times New Roman"/>
          <w:color w:val="000000" w:themeColor="text1"/>
          <w:spacing w:val="0"/>
          <w:sz w:val="16"/>
          <w:szCs w:val="16"/>
        </w:rPr>
      </w:pPr>
    </w:p>
    <w:p w14:paraId="6A9E007A" w14:textId="77777777" w:rsidR="00AE1A6D" w:rsidRPr="00640820" w:rsidRDefault="00AE1A6D" w:rsidP="00640820">
      <w:pPr>
        <w:pStyle w:val="a3"/>
        <w:rPr>
          <w:color w:val="000000" w:themeColor="text1"/>
          <w:lang w:val="ru-RU"/>
        </w:rPr>
      </w:pPr>
      <w:r w:rsidRPr="00640820">
        <w:rPr>
          <w:color w:val="000000" w:themeColor="text1"/>
          <w:lang w:val="ru-RU"/>
        </w:rPr>
        <w:t>29 но</w:t>
      </w:r>
      <w:r w:rsidRPr="00640820">
        <w:rPr>
          <w:color w:val="000000" w:themeColor="text1"/>
          <w:lang w:val="ru-RU"/>
        </w:rPr>
        <w:softHyphen/>
        <w:t>ября 1941 года прилагающаяся к отчету капитана П.Ф. Соломонова о поездке в Челябинск записка, говорила:</w:t>
      </w:r>
    </w:p>
    <w:p w14:paraId="4A854A2C" w14:textId="77777777" w:rsidR="00AE1A6D" w:rsidRPr="00640820" w:rsidRDefault="00AE1A6D" w:rsidP="00640820">
      <w:pPr>
        <w:pStyle w:val="Bodytext141"/>
        <w:shd w:val="clear" w:color="auto" w:fill="auto"/>
        <w:spacing w:line="240" w:lineRule="auto"/>
        <w:ind w:firstLine="0"/>
        <w:jc w:val="both"/>
        <w:rPr>
          <w:i w:val="0"/>
          <w:color w:val="000000" w:themeColor="text1"/>
          <w:sz w:val="16"/>
          <w:szCs w:val="16"/>
        </w:rPr>
      </w:pPr>
      <w:r w:rsidRPr="00640820">
        <w:rPr>
          <w:i w:val="0"/>
          <w:color w:val="000000" w:themeColor="text1"/>
          <w:sz w:val="16"/>
          <w:szCs w:val="16"/>
        </w:rPr>
        <w:t>«По личному указанию Наркома Обороны тов. Сталина Кировский за</w:t>
      </w:r>
      <w:r w:rsidRPr="00640820">
        <w:rPr>
          <w:i w:val="0"/>
          <w:color w:val="000000" w:themeColor="text1"/>
          <w:sz w:val="16"/>
          <w:szCs w:val="16"/>
        </w:rPr>
        <w:softHyphen/>
        <w:t xml:space="preserve">вод (гор. Челябинск, ЧТЗ) разрабатывает строенную установку в танк </w:t>
      </w:r>
      <w:r w:rsidRPr="00640820">
        <w:rPr>
          <w:i w:val="0"/>
          <w:color w:val="000000" w:themeColor="text1"/>
          <w:sz w:val="16"/>
          <w:szCs w:val="16"/>
          <w:lang w:val="en-US"/>
        </w:rPr>
        <w:t>KB</w:t>
      </w:r>
      <w:r w:rsidRPr="00640820">
        <w:rPr>
          <w:i w:val="0"/>
          <w:color w:val="000000" w:themeColor="text1"/>
          <w:sz w:val="16"/>
          <w:szCs w:val="16"/>
        </w:rPr>
        <w:t xml:space="preserve"> (две 45 мм танковые пушки и одна 76 мм пушка Ф-34).</w:t>
      </w:r>
    </w:p>
    <w:p w14:paraId="767B4B81" w14:textId="77777777" w:rsidR="00AE1A6D" w:rsidRPr="00640820" w:rsidRDefault="00AE1A6D" w:rsidP="00640820">
      <w:pPr>
        <w:pStyle w:val="7"/>
        <w:shd w:val="clear" w:color="auto" w:fill="auto"/>
        <w:spacing w:line="240" w:lineRule="auto"/>
        <w:rPr>
          <w:rFonts w:ascii="Times New Roman" w:cs="Times New Roman"/>
          <w:color w:val="000000" w:themeColor="text1"/>
          <w:spacing w:val="0"/>
          <w:sz w:val="16"/>
          <w:szCs w:val="16"/>
        </w:rPr>
      </w:pPr>
      <w:r w:rsidRPr="00640820">
        <w:rPr>
          <w:rFonts w:ascii="Times New Roman" w:cs="Times New Roman"/>
          <w:color w:val="000000" w:themeColor="text1"/>
          <w:spacing w:val="0"/>
          <w:sz w:val="16"/>
          <w:szCs w:val="16"/>
        </w:rPr>
        <w:t>Для отработки этих установок в срочном порядке доставить на Ки</w:t>
      </w:r>
      <w:r w:rsidRPr="00640820">
        <w:rPr>
          <w:rFonts w:ascii="Times New Roman" w:cs="Times New Roman"/>
          <w:color w:val="000000" w:themeColor="text1"/>
          <w:spacing w:val="0"/>
          <w:sz w:val="16"/>
          <w:szCs w:val="16"/>
        </w:rPr>
        <w:softHyphen/>
        <w:t>ровский завод четыре 45-мм танковые пушки.</w:t>
      </w:r>
    </w:p>
    <w:p w14:paraId="730C85AD" w14:textId="77777777" w:rsidR="00AE1A6D" w:rsidRPr="00640820" w:rsidRDefault="00AE1A6D" w:rsidP="00640820">
      <w:pPr>
        <w:pStyle w:val="7"/>
        <w:shd w:val="clear" w:color="auto" w:fill="auto"/>
        <w:spacing w:line="240" w:lineRule="auto"/>
        <w:rPr>
          <w:rFonts w:ascii="Times New Roman" w:cs="Times New Roman"/>
          <w:color w:val="000000" w:themeColor="text1"/>
          <w:spacing w:val="0"/>
          <w:sz w:val="16"/>
          <w:szCs w:val="16"/>
        </w:rPr>
      </w:pPr>
      <w:r w:rsidRPr="00640820">
        <w:rPr>
          <w:rFonts w:ascii="Times New Roman" w:cs="Times New Roman"/>
          <w:color w:val="000000" w:themeColor="text1"/>
          <w:spacing w:val="0"/>
          <w:sz w:val="16"/>
          <w:szCs w:val="16"/>
        </w:rPr>
        <w:t xml:space="preserve">Для обеспечения планового валового выпуска танков </w:t>
      </w:r>
      <w:r w:rsidRPr="00640820">
        <w:rPr>
          <w:rFonts w:ascii="Times New Roman" w:cs="Times New Roman"/>
          <w:color w:val="000000" w:themeColor="text1"/>
          <w:spacing w:val="0"/>
          <w:sz w:val="16"/>
          <w:szCs w:val="16"/>
          <w:lang w:val="en-US"/>
        </w:rPr>
        <w:t>KB</w:t>
      </w:r>
      <w:r w:rsidRPr="00640820">
        <w:rPr>
          <w:rFonts w:ascii="Times New Roman" w:cs="Times New Roman"/>
          <w:color w:val="000000" w:themeColor="text1"/>
          <w:spacing w:val="0"/>
          <w:sz w:val="16"/>
          <w:szCs w:val="16"/>
        </w:rPr>
        <w:t>, вооруженных строенными установками, необходимо подавать на Кировский завод в де</w:t>
      </w:r>
      <w:r w:rsidRPr="00640820">
        <w:rPr>
          <w:rFonts w:ascii="Times New Roman" w:cs="Times New Roman"/>
          <w:color w:val="000000" w:themeColor="text1"/>
          <w:spacing w:val="0"/>
          <w:sz w:val="16"/>
          <w:szCs w:val="16"/>
        </w:rPr>
        <w:softHyphen/>
        <w:t>кабре 1941 года — 180 и в январе 1942 — 260 стволов с затворами 45 мм танковой пушки, без люльки, противооткатных устройств, полуавтома</w:t>
      </w:r>
      <w:r w:rsidRPr="00640820">
        <w:rPr>
          <w:rFonts w:ascii="Times New Roman" w:cs="Times New Roman"/>
          <w:color w:val="000000" w:themeColor="text1"/>
          <w:spacing w:val="0"/>
          <w:sz w:val="16"/>
          <w:szCs w:val="16"/>
        </w:rPr>
        <w:softHyphen/>
        <w:t xml:space="preserve"> тики и оптики» (17484)</w:t>
      </w:r>
    </w:p>
    <w:p w14:paraId="42713AC1" w14:textId="77777777" w:rsidR="00AE1A6D" w:rsidRPr="00640820" w:rsidRDefault="00AE1A6D" w:rsidP="00640820">
      <w:pPr>
        <w:pStyle w:val="7"/>
        <w:shd w:val="clear" w:color="auto" w:fill="auto"/>
        <w:spacing w:line="240" w:lineRule="auto"/>
        <w:rPr>
          <w:rFonts w:ascii="Times New Roman" w:cs="Times New Roman"/>
          <w:color w:val="000000" w:themeColor="text1"/>
          <w:spacing w:val="0"/>
          <w:sz w:val="16"/>
          <w:szCs w:val="16"/>
        </w:rPr>
      </w:pPr>
    </w:p>
    <w:p w14:paraId="0CE7D0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ноября 1941 г. на площадку строительства завода по производству электродвигателей в Томске, куда 10 августа 1941 г. прибыли из Ленинграда первые два эшелона эвакуированного завода «Электросила», прибыл первый эшелон эвакуированного Ярославского электромашиностроительного завода (будущий № 665). Оборудование ставилось прямо на рельсы между двумя корпусами. 21.12.1941 г. были собраны первые электродвигатели (этот день считается днем рождения завода). В 1942-44 г. построен чугунолитейный цех. В 1948 г. проведена реконструкция завода, установлена автоматическая линия по обработке валов. В 1953 г. проведена механизация чугунолитейного цеха, установлены механизмы землеприготовления, формовочно- заливной конвейер; пущен ленточный конвейер сборки электроутюгов, монорельсовый конвейер сборки электродвигателей.</w:t>
      </w:r>
    </w:p>
    <w:p w14:paraId="34298A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1942 г. завод получил наименование «ГС завод № 653» (ГС завод № 653 НКЭП, МЭП, п/я 81, Завод «Электромотор», Завод, ОАО «Сибэлектромотор» /634012  г. Томск пр. Кирова, 58/), в 1947 г. - в ведении МЭП.</w:t>
      </w:r>
    </w:p>
    <w:p w14:paraId="38BD3A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1956 г. начато строительство завода кранового электрооборудования (ЗКЭО) для производства крановых электродвигателей и пускорегулирующей аппаратуры. Затем по решению Томского СНХ ЗКЭО объединен с головным заводом.</w:t>
      </w:r>
    </w:p>
    <w:p w14:paraId="4E867E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1960-е  г. - в ведении Управления электротехнической промышленности Западно-Сибирского совнархоза.</w:t>
      </w:r>
      <w:r w:rsidRPr="00640820">
        <w:rPr>
          <w:rFonts w:ascii="Times New Roman" w:hAnsi="Times New Roman"/>
          <w:color w:val="000000" w:themeColor="text1"/>
          <w:sz w:val="16"/>
          <w:szCs w:val="16"/>
          <w:vertAlign w:val="superscript"/>
        </w:rPr>
        <w:t>80</w:t>
      </w:r>
    </w:p>
    <w:p w14:paraId="18A74A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1964 г. пущены две венгерские автоматические линии по обработке станин. В 1970-е  г. проведено техническое перевооружение производства. В 1975-85 г. построен и пущен чугунолитейный завод.</w:t>
      </w:r>
    </w:p>
    <w:p w14:paraId="64E2E3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1980-е  г. завод выпускал до 650 тыс. электродвигателей в год.</w:t>
      </w:r>
    </w:p>
    <w:p w14:paraId="6F434F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2002 г. на базе ОАО «Сибэлектромотор» создано многопрофильное машиностроительное объединение. В 2003 г. открыт филиал в Екатеринбурге, в 2004 г.- филиал в Москве, в 2006 г.- в Новосибирске и Павлодаре (Казахстан).</w:t>
      </w:r>
    </w:p>
    <w:p w14:paraId="043AF0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2003 г. начато техническое перевооружение производства. Смонтирована высокоскоростная волоконно- оптическая линия связи, на ее основе построена корпоративная компьютерная сеть. В инструментальном цехе установлен японский электроэрозионный вырезной станок "</w:t>
      </w:r>
      <w:r w:rsidRPr="00640820">
        <w:rPr>
          <w:rFonts w:ascii="Times New Roman" w:hAnsi="Times New Roman"/>
          <w:color w:val="000000" w:themeColor="text1"/>
          <w:sz w:val="16"/>
          <w:szCs w:val="16"/>
          <w:lang w:val="en-US"/>
        </w:rPr>
        <w:t>Sodick</w:t>
      </w:r>
      <w:r w:rsidRPr="00640820">
        <w:rPr>
          <w:rFonts w:ascii="Times New Roman" w:hAnsi="Times New Roman"/>
          <w:color w:val="000000" w:themeColor="text1"/>
          <w:sz w:val="16"/>
          <w:szCs w:val="16"/>
        </w:rPr>
        <w:t>". В 2004 г. установлены новые станки: токарно-фрезерные с ЧПУ "</w:t>
      </w:r>
      <w:r w:rsidRPr="00640820">
        <w:rPr>
          <w:rFonts w:ascii="Times New Roman" w:hAnsi="Times New Roman"/>
          <w:color w:val="000000" w:themeColor="text1"/>
          <w:sz w:val="16"/>
          <w:szCs w:val="16"/>
          <w:lang w:val="en-US"/>
        </w:rPr>
        <w:t>PumaDaewoo</w:t>
      </w:r>
      <w:r w:rsidRPr="00640820">
        <w:rPr>
          <w:rFonts w:ascii="Times New Roman" w:hAnsi="Times New Roman"/>
          <w:color w:val="000000" w:themeColor="text1"/>
          <w:sz w:val="16"/>
          <w:szCs w:val="16"/>
        </w:rPr>
        <w:t>", американский обрабатывающий центр "</w:t>
      </w:r>
      <w:r w:rsidRPr="00640820">
        <w:rPr>
          <w:rFonts w:ascii="Times New Roman" w:hAnsi="Times New Roman"/>
          <w:color w:val="000000" w:themeColor="text1"/>
          <w:sz w:val="16"/>
          <w:szCs w:val="16"/>
          <w:lang w:val="en-US"/>
        </w:rPr>
        <w:t>Haas</w:t>
      </w:r>
      <w:r w:rsidRPr="00640820">
        <w:rPr>
          <w:rFonts w:ascii="Times New Roman" w:hAnsi="Times New Roman"/>
          <w:color w:val="000000" w:themeColor="text1"/>
          <w:sz w:val="16"/>
          <w:szCs w:val="16"/>
        </w:rPr>
        <w:t xml:space="preserve">". Построены новые складской и гаражный комплексы. Начато строительство административных, лабораторных и бытовых корпусов. В 2006 г. начат второй этап модернизации чугунолитейного производства, установлена немецкая пескострельная машина АНВ. На линии обработки валов установлен чешский шлифовальный центр </w:t>
      </w:r>
      <w:r w:rsidRPr="00640820">
        <w:rPr>
          <w:rFonts w:ascii="Times New Roman" w:hAnsi="Times New Roman"/>
          <w:color w:val="000000" w:themeColor="text1"/>
          <w:sz w:val="16"/>
          <w:szCs w:val="16"/>
          <w:lang w:val="en-US"/>
        </w:rPr>
        <w:t>BUB</w:t>
      </w:r>
      <w:r w:rsidRPr="00640820">
        <w:rPr>
          <w:rFonts w:ascii="Times New Roman" w:hAnsi="Times New Roman"/>
          <w:color w:val="000000" w:themeColor="text1"/>
          <w:sz w:val="16"/>
          <w:szCs w:val="16"/>
        </w:rPr>
        <w:t>32</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 На заводе единых серий введен в строй корейский многомодульный комплекс вертикально-токарного оборудования "</w:t>
      </w:r>
      <w:r w:rsidRPr="00640820">
        <w:rPr>
          <w:rFonts w:ascii="Times New Roman" w:hAnsi="Times New Roman"/>
          <w:color w:val="000000" w:themeColor="text1"/>
          <w:sz w:val="16"/>
          <w:szCs w:val="16"/>
          <w:lang w:val="en-US"/>
        </w:rPr>
        <w:t>Doosan</w:t>
      </w:r>
      <w:r w:rsidRPr="00640820">
        <w:rPr>
          <w:rFonts w:ascii="Times New Roman" w:hAnsi="Times New Roman"/>
          <w:color w:val="000000" w:themeColor="text1"/>
          <w:sz w:val="16"/>
          <w:szCs w:val="16"/>
        </w:rPr>
        <w:t xml:space="preserve">". Для обработки подшипниковых щитов установлены станки </w:t>
      </w:r>
      <w:r w:rsidRPr="00640820">
        <w:rPr>
          <w:rFonts w:ascii="Times New Roman" w:hAnsi="Times New Roman"/>
          <w:color w:val="000000" w:themeColor="text1"/>
          <w:sz w:val="16"/>
          <w:szCs w:val="16"/>
          <w:lang w:val="en-US"/>
        </w:rPr>
        <w:t>V</w:t>
      </w:r>
      <w:r w:rsidRPr="00640820">
        <w:rPr>
          <w:rFonts w:ascii="Times New Roman" w:hAnsi="Times New Roman"/>
          <w:color w:val="000000" w:themeColor="text1"/>
          <w:sz w:val="16"/>
          <w:szCs w:val="16"/>
        </w:rPr>
        <w:t>740</w:t>
      </w:r>
      <w:r w:rsidRPr="00640820">
        <w:rPr>
          <w:rFonts w:ascii="Times New Roman" w:hAnsi="Times New Roman"/>
          <w:color w:val="000000" w:themeColor="text1"/>
          <w:sz w:val="16"/>
          <w:szCs w:val="16"/>
          <w:lang w:val="en-US"/>
        </w:rPr>
        <w:t>TM</w:t>
      </w:r>
      <w:r w:rsidRPr="00640820">
        <w:rPr>
          <w:rFonts w:ascii="Times New Roman" w:hAnsi="Times New Roman"/>
          <w:color w:val="000000" w:themeColor="text1"/>
          <w:sz w:val="16"/>
          <w:szCs w:val="16"/>
        </w:rPr>
        <w:t xml:space="preserve">, </w:t>
      </w:r>
      <w:r w:rsidRPr="00640820">
        <w:rPr>
          <w:rFonts w:ascii="Times New Roman" w:hAnsi="Times New Roman"/>
          <w:color w:val="000000" w:themeColor="text1"/>
          <w:sz w:val="16"/>
          <w:szCs w:val="16"/>
          <w:lang w:val="en-US"/>
        </w:rPr>
        <w:t>PumaInverturn</w:t>
      </w:r>
      <w:r w:rsidRPr="00640820">
        <w:rPr>
          <w:rFonts w:ascii="Times New Roman" w:hAnsi="Times New Roman"/>
          <w:color w:val="000000" w:themeColor="text1"/>
          <w:sz w:val="16"/>
          <w:szCs w:val="16"/>
        </w:rPr>
        <w:t xml:space="preserve"> 3000М, </w:t>
      </w:r>
      <w:r w:rsidRPr="00640820">
        <w:rPr>
          <w:rFonts w:ascii="Times New Roman" w:hAnsi="Times New Roman"/>
          <w:color w:val="000000" w:themeColor="text1"/>
          <w:sz w:val="16"/>
          <w:szCs w:val="16"/>
          <w:lang w:val="en-US"/>
        </w:rPr>
        <w:t>PumaV</w:t>
      </w:r>
      <w:r w:rsidRPr="00640820">
        <w:rPr>
          <w:rFonts w:ascii="Times New Roman" w:hAnsi="Times New Roman"/>
          <w:color w:val="000000" w:themeColor="text1"/>
          <w:sz w:val="16"/>
          <w:szCs w:val="16"/>
        </w:rPr>
        <w:t>400</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xml:space="preserve">, на инструментальном производстве установлен второй японский электроэрозионный проволочно-вырезной программный центр </w:t>
      </w:r>
      <w:r w:rsidRPr="00640820">
        <w:rPr>
          <w:rFonts w:ascii="Times New Roman" w:hAnsi="Times New Roman"/>
          <w:color w:val="000000" w:themeColor="text1"/>
          <w:sz w:val="16"/>
          <w:szCs w:val="16"/>
          <w:lang w:val="en-US"/>
        </w:rPr>
        <w:t>Mitsubishi</w:t>
      </w:r>
      <w:r w:rsidRPr="00640820">
        <w:rPr>
          <w:rFonts w:ascii="Times New Roman" w:hAnsi="Times New Roman"/>
          <w:color w:val="000000" w:themeColor="text1"/>
          <w:sz w:val="16"/>
          <w:szCs w:val="16"/>
        </w:rPr>
        <w:t>. В заготовительном отделении установлен тайваньский ленточнопильный станок Н260НВ.</w:t>
      </w:r>
    </w:p>
    <w:p w14:paraId="642619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(2006 г.): подготовка производства электрогидротолкателей ЭГТ-50, ЭГТ-80; освоение технологии изготовления дисковых и колодочных тормозов.</w:t>
      </w:r>
    </w:p>
    <w:p w14:paraId="24BC95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(12.1942 г.)- 1640 чел.</w:t>
      </w:r>
    </w:p>
    <w:p w14:paraId="71BB51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стартер танковый СТ-700 (1942-); электродвигатели: серии Ад (1944), серий А, АО (1948-), СВМ (1959-), А02 (</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960-), серии 4А (1972-), серий 6А80, 6АЕ80, АД80, 6А90, АД90, АИС112, АИС132, АД132, АД200 (1980-е), серий АД160, АД180, АД225, МТН411, МТН412, АД71, АДЕ71, АДП80 (2003-); крановые: МТБ (1956-); для портальных кранов: немецких «Кондор», «Альбатрос», венгерских «Ганц» (2002-), «Альбрехт» (2004- ); МНТ312 (2003), МТКН 011, 012 (2004-), 4МТКН132, МТН211 (2006-); рольганговые АР (1956-); для горно</w:t>
      </w:r>
      <w:r w:rsidRPr="00640820">
        <w:rPr>
          <w:rFonts w:ascii="Times New Roman" w:hAnsi="Times New Roman"/>
          <w:color w:val="000000" w:themeColor="text1"/>
          <w:sz w:val="16"/>
          <w:szCs w:val="16"/>
        </w:rPr>
        <w:softHyphen/>
        <w:t>шахтного оборудования ЭБК-2М, ЭД-1К, ЭД-ЗК (1959-); для стиральных машин (1980-е); для нефтяных и глубинных водяных насосов; электроутюги (1953-); сварочные генераторы (11982).</w:t>
      </w:r>
    </w:p>
    <w:p w14:paraId="3A29DC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30192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ноября 1941 завершена установка зенитного вооружения на ледоколе "Молотов". В ноябре ленинградские катеростроители передали флоту 25 ДК типа К-ЗИС-5. "Судомех" выполнил заказ на изготовление 70, Балтийский завод - 40 плашкоутов. Закончен капремонт ПЛ Л-3 (10671).</w:t>
      </w:r>
    </w:p>
    <w:p w14:paraId="1E6606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B14CAFF"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77BC78B1"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46F1943" w14:textId="77777777" w:rsidR="00310884" w:rsidRPr="00640820" w:rsidRDefault="00310884"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29 ноября </w:t>
      </w:r>
      <w:r w:rsidRPr="00640820">
        <w:rPr>
          <w:rFonts w:ascii="Times New Roman" w:hAnsi="Times New Roman"/>
          <w:color w:val="000000" w:themeColor="text1"/>
          <w:sz w:val="16"/>
          <w:szCs w:val="16"/>
        </w:rPr>
        <w:t>в 1941 году утреннее сообщение Совинформбюро:</w:t>
      </w:r>
    </w:p>
    <w:p w14:paraId="0528D5AB" w14:textId="77777777" w:rsidR="00310884" w:rsidRPr="00640820" w:rsidRDefault="0031088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29 ноября наши войска вели бои с противником на всех фронтах.</w:t>
      </w:r>
    </w:p>
    <w:p w14:paraId="0A99A8B0" w14:textId="77777777" w:rsidR="00310884" w:rsidRPr="00640820" w:rsidRDefault="0031088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лётчики, действующие на Западном фронте, за один день уничтожили 89 немецких танков, 430 автомашин с боеприпасами и пехотой, 11 автоцистерн с горючим и истребили около 2.000 солдат и офицеров противника.</w:t>
      </w:r>
    </w:p>
    <w:p w14:paraId="43E917D1" w14:textId="77777777" w:rsidR="00310884" w:rsidRPr="00640820" w:rsidRDefault="0031088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Бойцы тов. Федюнинского за два дня боёв на одном из участков Ленинградского фронта уничтожили 4 немецких танка, 11 бронемашин и истребили свыше 300 солдат и офицеров противника.</w:t>
      </w:r>
    </w:p>
    <w:p w14:paraId="60438963" w14:textId="77777777" w:rsidR="00310884" w:rsidRPr="00640820" w:rsidRDefault="0031088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участков Ленинградского фронта захвачена в плен группа немецких солдат. Военнопленный солдат 4 роты 127 строительного батальона Герман Линберг не имеет одного глаза. Он потерял его ещё задолго до войны. Однако в связи с большими потерями на Восточном фронте фашисты стали призывать в армию людей, имеющих серьёзные физические недостатки. Линберг обжаловал решение призывной комиссии, но ему ответили: «Работать можешь — значит, и воевать сумеешь». «Настроение у большинства солдат нашей роты,— говорит Линберг,— подавленное, прежней уверенности в победе у них нет. Несмотря на наступившие холода, зимнего обмундирования солдаты 127 строительного батальона ещё не получили. За несколько дней боёв 4 рота этого батальона потеряла до 40 человек».</w:t>
      </w:r>
    </w:p>
    <w:p w14:paraId="19FA7A5A" w14:textId="77777777" w:rsidR="00310884" w:rsidRPr="00640820" w:rsidRDefault="0031088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Солдат Альфред Эйхнер заявил: «Большинство солдат моего взвода недовольно войной. Между собой они говорят о Гитлере, как о виновнике всех несчастий, кото-рые приходится переносить им».</w:t>
      </w:r>
    </w:p>
    <w:p w14:paraId="39348AF0" w14:textId="77777777" w:rsidR="00310884" w:rsidRPr="00640820" w:rsidRDefault="0031088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дни Отечественной войны огромный размах получило патриотическое движение изобретателей и рационализаторов. Рационализаторы свинцового завода (Казахская ССР) дали государству более 200 тысяч рублей экономии. Главный инженер завода тов. Симаков и начальник цеха рафинации тов. Чувгашов механизировали подачу топлива. Сейчас на этой операции заняты двое рабочих вместо 20. Группа инженерно-технических работников усовершенствовала технологический процесс выплавки свинца. Это сократило расход дорогостоящего материала на 40 процентов. Обогатительные фабрики выполнили октябрьское задание на 300 процентов. Рационализаторские предложения обогатителей дали государству полмиллиона рублей прибыли.» (14844).</w:t>
      </w:r>
    </w:p>
    <w:p w14:paraId="2FC2F487" w14:textId="77777777" w:rsidR="00310884" w:rsidRPr="00640820" w:rsidRDefault="00310884" w:rsidP="00640820">
      <w:pPr>
        <w:spacing w:after="0" w:line="240" w:lineRule="auto"/>
        <w:jc w:val="both"/>
        <w:rPr>
          <w:rFonts w:ascii="Times New Roman" w:hAnsi="Times New Roman"/>
          <w:color w:val="000000" w:themeColor="text1"/>
          <w:sz w:val="16"/>
          <w:szCs w:val="16"/>
        </w:rPr>
      </w:pPr>
    </w:p>
    <w:p w14:paraId="652BA2A0" w14:textId="77777777" w:rsidR="00310884" w:rsidRPr="00640820" w:rsidRDefault="00310884"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29 ноября </w:t>
      </w:r>
      <w:r w:rsidRPr="00640820">
        <w:rPr>
          <w:rFonts w:ascii="Times New Roman" w:hAnsi="Times New Roman"/>
          <w:color w:val="000000" w:themeColor="text1"/>
          <w:sz w:val="16"/>
          <w:szCs w:val="16"/>
        </w:rPr>
        <w:t>в 1941 году вечернее сообщение Совинформбюро:</w:t>
      </w:r>
    </w:p>
    <w:p w14:paraId="560ACE2F" w14:textId="77777777" w:rsidR="00310884" w:rsidRPr="00640820" w:rsidRDefault="0031088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29 ноября наши войска вели бои с противником на всех фронтах. За 28 ноября уничтожено 60 немецких самолётов. Наши потери — 11 самолётов.</w:t>
      </w:r>
    </w:p>
    <w:p w14:paraId="7794B6CA" w14:textId="77777777" w:rsidR="00310884" w:rsidRPr="00640820" w:rsidRDefault="0031088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28 ноября нашей авиацией уничтожено 195 немецких танков, 19 бронемашин, до 800 автомашин с войсками, 40 орудий, несколько штабных автобусов, около 100 мотоциклов, более 285 повозок со снарядами, 6 автоцистерн с горючим и истреблено 2 полка вражеской пехоты и более 400 всадников.</w:t>
      </w:r>
    </w:p>
    <w:p w14:paraId="1F355BCB" w14:textId="77777777" w:rsidR="00310884" w:rsidRPr="00640820" w:rsidRDefault="0031088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Наша танковая часть, действующая на одном из участков Западного фронта, в ожесточённом бою с противником уничтожила 70 немецких танков, 25 орудий, 60 пулемётов и истребила около 2.000 вражеских солдат и офицеров.</w:t>
      </w:r>
    </w:p>
    <w:p w14:paraId="5D0F50B0" w14:textId="77777777" w:rsidR="00310884" w:rsidRPr="00640820" w:rsidRDefault="0031088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Часть тов. Цыганова, действующая на одном из участков Южного фронта, 27 ноября отбила у немцев 20 населённых пунктов. На поле боя осталось большое количество убитых немецких солдат и офицеров. Наши бойцы захватили много трофеев.</w:t>
      </w:r>
    </w:p>
    <w:p w14:paraId="2F9756E4" w14:textId="77777777" w:rsidR="00310884" w:rsidRPr="00640820" w:rsidRDefault="0031088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одном из боёв артиллеристы батареи противотанковых орудий младшего политрука Качановского уничтожили 3 вражеских танка. В другом бою артиллеристы разгромили 3 дерево-земляных огневых точки противника и истребили несколько десятков фашистских солдат и офицеров.</w:t>
      </w:r>
    </w:p>
    <w:p w14:paraId="5BED3255" w14:textId="77777777" w:rsidR="00310884" w:rsidRPr="00640820" w:rsidRDefault="0031088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Получено сообщение о большом успехе партизан, действующих в оккупированных немцами районах Московской области. 24 ноября несколько партизанских отрядов под командованием товарищей Ж., К., П., В., объединившихся для совместных действий против оккупантов, совершили налёт на крупный населённый пункт, в котором расположился штаб одного из войсковых соединений немецко-фашистской армии. Ночью после тщательной разведки славные советские патриоты обрушились на ничего не подозревавшего врага. Прервав сначала всякую связь немецкого штаба со своими частями, партизаны затем огнём и гранатами уничтожили несколько больших зданий, в которых расположились воинские учреждения фашистов. Разгромлен штаб немецкого корпуса. Захвачены важные документы. Отважные бойцы-партизаны перебили около 600 немцев, в том числе много офицеров, и уничтожили склад с горючим, авторемонтную базу, 80 грузовых машин, 23 легковых машины, 4 танка, бронемашину, обоз с боеприпасами и несколько пулемётных точек.</w:t>
      </w:r>
    </w:p>
    <w:p w14:paraId="35B0C7FD" w14:textId="77777777" w:rsidR="00310884" w:rsidRPr="00640820" w:rsidRDefault="0031088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подготовке этой операции разведкой партизанского отряда был разгромлен карательный отряд гестапо. Гитлеровцы потеряли при этом убитыми и ранеными около 40 солдат и офицеров. Разведка партизан расстреляла десятника лесничества Багана, сообщавшего гестапо о местах расположения партизан в лесах.</w:t>
      </w:r>
    </w:p>
    <w:p w14:paraId="59F4F7F8" w14:textId="77777777" w:rsidR="00310884" w:rsidRPr="00640820" w:rsidRDefault="0031088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последнее время моральное состояние немецких войск, находящихся в Норвегии, резко упало. Среди солдат, недовольных безумной политикой Гитлера, растёт брожение. Один солдат, вернувшийся из отпуска в свою часть, расположенную близ Бергена, рассказал своим товарищам о страшных лишениях, которые переживает население Германии, в частности семьи солдат. Об этом стало известно офицерам. На следующий день солдат был расстрелян. Протестуя против расстрела, солдаты подняли восстание. На подавление восстания были вызваны отряды гестаповцев, которые жестоко расправились с восставшими. Убито, расстреляно и замучено до 75 немецких солдат, участвовавших в мятеже.»</w:t>
      </w:r>
    </w:p>
    <w:p w14:paraId="25D9D4BD" w14:textId="77777777" w:rsidR="00310884" w:rsidRPr="00640820" w:rsidRDefault="0031088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Скудоумные фашистские фальшивомонетчики.</w:t>
      </w:r>
    </w:p>
    <w:p w14:paraId="30C322DD" w14:textId="77777777" w:rsidR="00310884" w:rsidRPr="00640820" w:rsidRDefault="0031088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«Народная поговорка говорит: «Кого бог захочет наказать, того прежде всего лишит разума». Гитлеровцы, заправляющие фашистской пропагандой, потеряли всякие остатки чувства смешного. Фабрикуемые ими фальшивки прямо-таки поражают своей тупостью и скудоумием. Так, после опубликования ноты Народного Комиссара Иностранных Дел тов. В.М.Молотова «О возмутительных зверствах германских властей в отношении советских военнопленных», которая разоблачила перед всем </w:t>
      </w:r>
      <w:r w:rsidRPr="00640820">
        <w:rPr>
          <w:rFonts w:ascii="Times New Roman" w:hAnsi="Times New Roman"/>
          <w:color w:val="000000" w:themeColor="text1"/>
          <w:sz w:val="16"/>
          <w:szCs w:val="16"/>
        </w:rPr>
        <w:lastRenderedPageBreak/>
        <w:t>миром злодеяния немецко-фашистских мерзавцев, гитлеровские преступники делают попытку уменьшить впечатление, которое произвёл этот правдивый документ на международное общественное мнение. Выпутаться гитлеровцы пытаются глупо и бездарно, как мелкие жулики. На этот раз они не нашли ничего лучшего, как выпустить в качестве «опровергателя» якобы попавшего в плен к немцам «сына» Народного Комиссара Иностранных Дел тов. В.М.Молотова.</w:t>
      </w:r>
    </w:p>
    <w:p w14:paraId="491D47B5" w14:textId="77777777" w:rsidR="00310884" w:rsidRPr="00640820" w:rsidRDefault="0031088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Подобрав для этой цели запродашегося гестапо проходимца и жулика, фашистские дурачки объявили этого прохвоста сыном В.М.Молотова — Георгием Молотовым и разыграли следующий балаган. Этого проходимца прежде всего притащили к германским журналистам, перед которыми он и стал «опровергать» факты, изложенные в ноте В.М.Молотова, т. е. стал «доказывать», что чёрное есть белое, и что гитлеровцы это не звери и людоеды, а кроткие агнцы.</w:t>
      </w:r>
    </w:p>
    <w:p w14:paraId="0354D947" w14:textId="77777777" w:rsidR="00310884" w:rsidRPr="00640820" w:rsidRDefault="0031088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Далее, этого гитлеровца выпустили по радио с безграмотной речью, которая находится явно не в ладах с русским языком. Так, например, вместо русского слова «железнодорожники» этот тип говорил «транспортовцы» и т. п.</w:t>
      </w:r>
    </w:p>
    <w:p w14:paraId="69202932" w14:textId="77777777" w:rsidR="00310884" w:rsidRPr="00640820" w:rsidRDefault="0031088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Устраивая этот глупейший балаган, гитлеровские заправилы не учли, однако, того факта, что у В.М.Молотова сына нет и не бывало его.</w:t>
      </w:r>
    </w:p>
    <w:p w14:paraId="11D94A0C" w14:textId="77777777" w:rsidR="00310884" w:rsidRPr="00640820" w:rsidRDefault="0031088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чего же туго приходится гитлеровской шайке, если она вынуждена прибегать к столь неуклюжему мошенничеству.» (14844).</w:t>
      </w:r>
    </w:p>
    <w:p w14:paraId="57FA6189" w14:textId="15A1482A" w:rsidR="00310884" w:rsidRPr="00640820" w:rsidRDefault="00310884" w:rsidP="00640820">
      <w:pPr>
        <w:spacing w:after="0" w:line="240" w:lineRule="auto"/>
        <w:jc w:val="both"/>
        <w:rPr>
          <w:rFonts w:ascii="Times New Roman" w:hAnsi="Times New Roman"/>
          <w:color w:val="000000" w:themeColor="text1"/>
          <w:sz w:val="16"/>
          <w:szCs w:val="16"/>
        </w:rPr>
      </w:pPr>
    </w:p>
    <w:p w14:paraId="3B7CA0EF" w14:textId="77777777" w:rsidR="00116276" w:rsidRPr="00640820" w:rsidRDefault="00116276" w:rsidP="00640820">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29 ноября 1941 в городе Моздок на базе ВМАУ имени И.В. Сталина начал формироваться 23-й штурмовой авиационный полк. Полк пер</w:t>
      </w:r>
      <w:r w:rsidRPr="00640820">
        <w:rPr>
          <w:rFonts w:ascii="Times New Roman" w:hAnsi="Times New Roman" w:cs="Times New Roman"/>
          <w:color w:val="000000" w:themeColor="text1"/>
          <w:sz w:val="16"/>
          <w:szCs w:val="16"/>
        </w:rPr>
        <w:softHyphen/>
        <w:t>воначально получил самолеты У-2. Но 29 декабря вторая эскадрилья (33 человека вместе с техниками) была от</w:t>
      </w:r>
      <w:r w:rsidRPr="00640820">
        <w:rPr>
          <w:rFonts w:ascii="Times New Roman" w:hAnsi="Times New Roman" w:cs="Times New Roman"/>
          <w:color w:val="000000" w:themeColor="text1"/>
          <w:sz w:val="16"/>
          <w:szCs w:val="16"/>
        </w:rPr>
        <w:softHyphen/>
        <w:t>правлена на КБФ, а созданная взамен убывшей эскадрилья, уже оснащалась машинами типа УТ-1. 22 июля 1942 года вышел приказ командующего ВВС ВМФ о перебазиро</w:t>
      </w:r>
      <w:r w:rsidRPr="00640820">
        <w:rPr>
          <w:rFonts w:ascii="Times New Roman" w:hAnsi="Times New Roman" w:cs="Times New Roman"/>
          <w:color w:val="000000" w:themeColor="text1"/>
          <w:sz w:val="16"/>
          <w:szCs w:val="16"/>
        </w:rPr>
        <w:softHyphen/>
        <w:t>вании полка в Саранск для переформи</w:t>
      </w:r>
      <w:r w:rsidRPr="00640820">
        <w:rPr>
          <w:rFonts w:ascii="Times New Roman" w:hAnsi="Times New Roman" w:cs="Times New Roman"/>
          <w:color w:val="000000" w:themeColor="text1"/>
          <w:sz w:val="16"/>
          <w:szCs w:val="16"/>
        </w:rPr>
        <w:softHyphen/>
        <w:t>рования и получения новой матчасти - самолетов Р-10. На следующий день на ТБ-3 оставшийся личный состав вылетел в Мордовию (19085).</w:t>
      </w:r>
    </w:p>
    <w:p w14:paraId="3736B456" w14:textId="77777777" w:rsidR="00116276" w:rsidRPr="00640820" w:rsidRDefault="00116276" w:rsidP="00640820">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p>
    <w:p w14:paraId="48B113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ноября 1941 три самолета 165 иап атаковали крупную колонну северо-западнее станции Птань. Самолет Е.Г.Естафиева повредила ЗА и он совершил вынужденную посадку. остальные 2 разогнали колонну и мл-л Н.И.Мусатов сел и забрал его (341,76).</w:t>
      </w:r>
    </w:p>
    <w:p w14:paraId="4C57EA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3DCA4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ноября 1941 56ОА ЗКФ и 9А ЮФ освободили Ростов-на-Дону (3398,421).</w:t>
      </w:r>
    </w:p>
    <w:p w14:paraId="229F75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A6C8A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November 29, 1941: Depleted by continuous savage fighting and extreme weather conditions in below-zero temperatures, German forces of Heeresgruppe Mitte (von Bock) in positions less than 50 miles from Moscow suspend all offensive operations (3819).</w:t>
      </w:r>
    </w:p>
    <w:p w14:paraId="110144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78B9F8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ноября 1941 Группа Центр из-за зимы остановила все наступательные операции (3819).</w:t>
      </w:r>
    </w:p>
    <w:p w14:paraId="117629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D263415" w14:textId="77777777" w:rsidR="00310884" w:rsidRPr="00640820" w:rsidRDefault="00310884"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29 ноября </w:t>
      </w:r>
      <w:r w:rsidRPr="00640820">
        <w:rPr>
          <w:rFonts w:ascii="Times New Roman" w:hAnsi="Times New Roman"/>
          <w:color w:val="000000" w:themeColor="text1"/>
          <w:sz w:val="16"/>
          <w:szCs w:val="16"/>
        </w:rPr>
        <w:t>в 1941 году советские войска отбросили немцев в районе Волхова к югу от железной дороги Волхов-Тихвин (14844).</w:t>
      </w:r>
    </w:p>
    <w:p w14:paraId="3DA90C9B" w14:textId="77777777" w:rsidR="00310884" w:rsidRPr="00640820" w:rsidRDefault="00310884" w:rsidP="00640820">
      <w:pPr>
        <w:spacing w:after="0" w:line="240" w:lineRule="auto"/>
        <w:jc w:val="both"/>
        <w:rPr>
          <w:rFonts w:ascii="Times New Roman" w:hAnsi="Times New Roman"/>
          <w:color w:val="000000" w:themeColor="text1"/>
          <w:sz w:val="16"/>
          <w:szCs w:val="16"/>
        </w:rPr>
      </w:pPr>
    </w:p>
    <w:p w14:paraId="19555D45" w14:textId="77777777" w:rsidR="00310884" w:rsidRPr="00640820" w:rsidRDefault="00310884"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29 ноября </w:t>
      </w:r>
      <w:r w:rsidRPr="00640820">
        <w:rPr>
          <w:rFonts w:ascii="Times New Roman" w:hAnsi="Times New Roman"/>
          <w:color w:val="000000" w:themeColor="text1"/>
          <w:sz w:val="16"/>
          <w:szCs w:val="16"/>
        </w:rPr>
        <w:t>в 1941 году имперский министр вооружений и боеприпасов Ф.Тодт заявил, что война в материальном и экономическом отношении проиграна (14844).</w:t>
      </w:r>
    </w:p>
    <w:p w14:paraId="7AE7D410" w14:textId="77777777" w:rsidR="00310884" w:rsidRPr="00640820" w:rsidRDefault="00310884" w:rsidP="00640820">
      <w:pPr>
        <w:spacing w:after="0" w:line="240" w:lineRule="auto"/>
        <w:jc w:val="both"/>
        <w:rPr>
          <w:rFonts w:ascii="Times New Roman" w:hAnsi="Times New Roman"/>
          <w:color w:val="000000" w:themeColor="text1"/>
          <w:sz w:val="16"/>
          <w:szCs w:val="16"/>
        </w:rPr>
      </w:pPr>
    </w:p>
    <w:p w14:paraId="2ABF6C44" w14:textId="77777777" w:rsidR="00310884"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0CA92953" w14:textId="77777777" w:rsidR="00310884" w:rsidRPr="00640820" w:rsidRDefault="00310884"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0A3069B" w14:textId="77777777" w:rsidR="00310884" w:rsidRPr="00640820" w:rsidRDefault="00310884"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ноября 1941 фашистами казнена Зоя Космодемьянская (4962).</w:t>
      </w:r>
    </w:p>
    <w:p w14:paraId="19413DA8" w14:textId="77777777" w:rsidR="00310884" w:rsidRPr="00640820" w:rsidRDefault="00310884"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E7053C" w14:textId="77777777" w:rsidR="00310884" w:rsidRPr="00640820" w:rsidRDefault="00310884"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ноября 1941 была казнена Зоя Космодемьянская (1923) (3263,690).</w:t>
      </w:r>
    </w:p>
    <w:p w14:paraId="17C0B946" w14:textId="77777777" w:rsidR="00310884" w:rsidRPr="00640820" w:rsidRDefault="00310884" w:rsidP="00640820">
      <w:pPr>
        <w:autoSpaceDE w:val="0"/>
        <w:autoSpaceDN w:val="0"/>
        <w:adjustRightInd w:val="0"/>
        <w:spacing w:after="0" w:line="240" w:lineRule="auto"/>
        <w:jc w:val="both"/>
        <w:rPr>
          <w:rFonts w:ascii="Times New Roman" w:hAnsi="Times New Roman"/>
          <w:color w:val="000000" w:themeColor="text1"/>
          <w:sz w:val="16"/>
          <w:szCs w:val="16"/>
        </w:rPr>
      </w:pPr>
    </w:p>
    <w:p w14:paraId="57906A40" w14:textId="77777777" w:rsidR="00310884" w:rsidRPr="00640820" w:rsidRDefault="00310884"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29 ноября </w:t>
      </w:r>
      <w:r w:rsidRPr="00640820">
        <w:rPr>
          <w:rFonts w:ascii="Times New Roman" w:hAnsi="Times New Roman"/>
          <w:color w:val="000000" w:themeColor="text1"/>
          <w:sz w:val="16"/>
          <w:szCs w:val="16"/>
        </w:rPr>
        <w:t>в 1941 году казнена Зоя Космодемьянская. Схвачена гитлеровцами при поджоге домов в селе Петрищево 28 ноября 1941 года, где квартировали немецкие солдаты. После долгих пыток была повешена в Петрищево 29 ноября 1941 года. Во время допросов держалась мужественно, назвалась вымышленным именем (Таня), не сообщила немцам никакой информации о своих товарищах. Во время казни, несмотря на побои, призывала наблюдающих за происходящим местных жителей бороться против врага, выкрикивала угрозы фашистам. Знамениты ее слова, обращенные к врагам, когда она стояла уже с петлей на шее: «Нас двести миллионов, всех не перевешаете!» Тело Зои провисело на виселице больше месяца, подвергалось надругательствам со стороны немцев. Только под Новый год немцы приказали убрать виселицу, и жители смогли похоронить тело Зои. За свой подвиг Зое Космодемьянской было посмертно присвоено звание Героя Советского Союза. Она стала символом мужества и героической борьбы против фашистских захватчиков (14844).</w:t>
      </w:r>
    </w:p>
    <w:p w14:paraId="5A48FF73" w14:textId="77777777" w:rsidR="00310884" w:rsidRPr="00640820" w:rsidRDefault="00310884" w:rsidP="00640820">
      <w:pPr>
        <w:spacing w:after="0" w:line="240" w:lineRule="auto"/>
        <w:jc w:val="both"/>
        <w:rPr>
          <w:rFonts w:ascii="Times New Roman" w:hAnsi="Times New Roman"/>
          <w:color w:val="000000" w:themeColor="text1"/>
          <w:sz w:val="16"/>
          <w:szCs w:val="16"/>
        </w:rPr>
      </w:pPr>
    </w:p>
    <w:p w14:paraId="3D7CD5B0"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791EA4E4"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7A8A4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ноября 1941 министр вооружения и боеприпасов Германии Ф.Тодт заявил А.Гитлеру "война в военном и экономическом отношении проиграна" (68,399).</w:t>
      </w:r>
    </w:p>
    <w:p w14:paraId="0BBBD5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FF7E4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ноября 1941 началось контрнаступление Роммеля (2260).</w:t>
      </w:r>
    </w:p>
    <w:p w14:paraId="240EB8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3D6FB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другим данным 29 ноября 1941 была снята блокада Роммеля с Тобрука и начался спад наступления (2443,191).</w:t>
      </w:r>
    </w:p>
    <w:p w14:paraId="498701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B60BC41"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2922F271"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CBB90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ноября 1941 года врид. начальника заказов вооружения ГУ ВВС ст. батальонный комиссар Пекин писал письмо N 198666с Шахурину.</w:t>
      </w:r>
    </w:p>
    <w:p w14:paraId="02B481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N 381 НКАП систематически не выполняет Правительственного задания по выпуску самолетов Ил-2. Так, в октябре завод обязан был сдать 22 самолета, фактически сдан только один самолет и 4 предъявлены к приемке ГУ ВВС по цеху сборки. На 15 ноября с.г. эти 4 самолета в воздухе не испытаны.</w:t>
      </w:r>
    </w:p>
    <w:p w14:paraId="61C8F5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завод должен сдать 65 самолетов, фактически же за 1-ую половину ноября не предъявлено ни одного самолета. Причем, при существующей организации производства, технического процесса агрегатной и окончательной сборки и состоянии задела, больше 5-7 самолетов завод в ноябре к приемке не предъявит.</w:t>
      </w:r>
    </w:p>
    <w:p w14:paraId="757BEE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имеющимся в ГУ ВВС материалам видно, что одной из причин срыва выполнения плана является неудовлетворительное руководство заводом со стороны директора завода и главного инженера. На заводе отсутствует трудовая дисциплина. До сих пор не налажено межцеховое и внутрицеховое планирование, диспетчерская служба не организована.</w:t>
      </w:r>
    </w:p>
    <w:p w14:paraId="2E6E13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Имеющееся на заводе станочное оборудование используется не полностью. Заводской аэродром к зимним условиям не подготовлен. Качество выпускаемых самолетов стоит на низком уровне, в результате чего самолеты до полетов простаивают на аэродроме от 15 до 25 дней с неустраненными дефектами. Производство лыж не налажено и т.д.</w:t>
      </w:r>
    </w:p>
    <w:p w14:paraId="4FF615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Считаю, что при существующем руководстве и системе работы завода, план выпуска самолетов и в дальнейшем обеспечен не будет, в то время как завод имеет возможность работать полной мощностью и выполнять программу без сокращения.</w:t>
      </w:r>
    </w:p>
    <w:p w14:paraId="2EB096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Прошу Вашего личного вмешательства в работу завода N 381 (2708,200).</w:t>
      </w:r>
    </w:p>
    <w:p w14:paraId="4797D0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61699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ноября 1941 вышло постановления ГКО N 977сс "О дальней и тяжелой бомбардировочной авиации" (1331,56).</w:t>
      </w:r>
    </w:p>
    <w:p w14:paraId="4C1A4E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83A48E6"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5F0B5520"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0CDA7F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ноября 1941 года вышел Приказ НКБ № 657 Организовать при комбинате 179 на базе эвакуированного оборудования заводов №№ 187 и 513 завод по производству авиавыстрела и орудийных гильз с присвоением ему № 187/А (5673, 172).</w:t>
      </w:r>
    </w:p>
    <w:p w14:paraId="7CB13B1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34E06F" w14:textId="77777777" w:rsidR="0087320B" w:rsidRPr="00640820" w:rsidRDefault="0087320B"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30 ноября </w:t>
      </w:r>
      <w:r w:rsidRPr="00640820">
        <w:rPr>
          <w:rFonts w:ascii="Times New Roman" w:hAnsi="Times New Roman"/>
          <w:color w:val="000000" w:themeColor="text1"/>
          <w:sz w:val="16"/>
          <w:szCs w:val="16"/>
        </w:rPr>
        <w:t>в 1941 году решением Государственного Комитета обороны об организации в городе Миассе автомоторного и литейного производств, эвакуированных с Московского автомобильного завода имени Сталина (ЗИС) началась история Уральского Автомобильного Завода. В настоящее время УралАЗ - производитель знаменитых полноприводных грузовиков "Урал" (14845).</w:t>
      </w:r>
    </w:p>
    <w:p w14:paraId="2592DE90" w14:textId="77777777" w:rsidR="0087320B" w:rsidRPr="00640820" w:rsidRDefault="0087320B" w:rsidP="00640820">
      <w:pPr>
        <w:spacing w:after="0" w:line="240" w:lineRule="auto"/>
        <w:jc w:val="both"/>
        <w:rPr>
          <w:rFonts w:ascii="Times New Roman" w:hAnsi="Times New Roman"/>
          <w:color w:val="000000" w:themeColor="text1"/>
          <w:sz w:val="16"/>
          <w:szCs w:val="16"/>
        </w:rPr>
      </w:pPr>
    </w:p>
    <w:p w14:paraId="0E7104CB" w14:textId="77777777" w:rsidR="005F2873" w:rsidRPr="00640820" w:rsidRDefault="005F287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30 ноября 1941 г. ы 9 часов начальник штаба 22-й ТБр майор Н.П. Константинов в боевом донесении № 13, отправленном начальнику автобронетанкового отдела 5-й армии полковнику Д.И. Заеву, в частности, сообщил: </w:t>
      </w:r>
    </w:p>
    <w:p w14:paraId="20D1A85B" w14:textId="77777777" w:rsidR="005F2873" w:rsidRPr="00640820" w:rsidRDefault="005F2873"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«1. Части подвижной группы в составе: 22 ТП с приданными танками 18 ТП, 18 МСПБ, 36 МЦП, 2/601 МСП, 22 разведрота, 18 разведрота, 22 зен. див. – сформированы и сосредоточены в р-не Покровское, Юрьево, Павловская Слобода. </w:t>
      </w:r>
    </w:p>
    <w:p w14:paraId="26345EE9" w14:textId="77777777" w:rsidR="005F2873" w:rsidRPr="00640820" w:rsidRDefault="005F2873"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&lt;...&gt;</w:t>
      </w:r>
    </w:p>
    <w:p w14:paraId="4229DECC" w14:textId="77777777" w:rsidR="005F2873" w:rsidRPr="00640820" w:rsidRDefault="005F2873"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lastRenderedPageBreak/>
        <w:t xml:space="preserve"> Части держатся в готовности действовать в направлениях: </w:t>
      </w:r>
    </w:p>
    <w:p w14:paraId="5B54FCE4" w14:textId="77777777" w:rsidR="005F2873" w:rsidRPr="00640820" w:rsidRDefault="005F2873"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1) Рождествено – Снегири, </w:t>
      </w:r>
    </w:p>
    <w:p w14:paraId="6676AD4A" w14:textId="77777777" w:rsidR="005F2873" w:rsidRPr="00640820" w:rsidRDefault="005F2873"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2) Рождествено – Крюково, </w:t>
      </w:r>
    </w:p>
    <w:p w14:paraId="71E2D063" w14:textId="77777777" w:rsidR="005F2873" w:rsidRPr="00640820" w:rsidRDefault="005F2873"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3) Покровское – Борки. </w:t>
      </w:r>
    </w:p>
    <w:p w14:paraId="2561645F" w14:textId="77777777" w:rsidR="005F2873" w:rsidRPr="00640820" w:rsidRDefault="005F2873"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4) Покровское – Козьмино </w:t>
      </w:r>
    </w:p>
    <w:p w14:paraId="24545479" w14:textId="77777777" w:rsidR="005F2873" w:rsidRPr="00640820" w:rsidRDefault="005F2873" w:rsidP="00640820">
      <w:pPr>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10. Ведется разведка в вероятных направлениях действия бригады».</w:t>
      </w:r>
      <w:r w:rsidRPr="00640820">
        <w:rPr>
          <w:rFonts w:ascii="Times New Roman" w:hAnsi="Times New Roman"/>
          <w:color w:val="000000" w:themeColor="text1"/>
          <w:sz w:val="16"/>
          <w:szCs w:val="16"/>
        </w:rPr>
        <w:t xml:space="preserve"> </w:t>
      </w:r>
    </w:p>
    <w:p w14:paraId="52397621" w14:textId="77777777" w:rsidR="005F2873" w:rsidRPr="00640820" w:rsidRDefault="005F2873" w:rsidP="00640820">
      <w:pPr>
        <w:pStyle w:val="ae"/>
        <w:spacing w:before="0" w:after="0"/>
        <w:jc w:val="both"/>
        <w:rPr>
          <w:color w:val="000000" w:themeColor="text1"/>
          <w:sz w:val="16"/>
          <w:szCs w:val="16"/>
        </w:rPr>
      </w:pPr>
      <w:r w:rsidRPr="00640820">
        <w:rPr>
          <w:bCs/>
          <w:color w:val="000000" w:themeColor="text1"/>
          <w:sz w:val="16"/>
          <w:szCs w:val="16"/>
        </w:rPr>
        <w:t xml:space="preserve">[ЦАМО. Ф. 326. Оп. 5068. Д. 4. Л. 262] </w:t>
      </w:r>
    </w:p>
    <w:p w14:paraId="0175B778" w14:textId="77777777" w:rsidR="005F2873" w:rsidRPr="00640820" w:rsidRDefault="009E4004" w:rsidP="00640820">
      <w:pPr>
        <w:spacing w:after="0" w:line="240" w:lineRule="auto"/>
        <w:jc w:val="both"/>
        <w:rPr>
          <w:rFonts w:ascii="Times New Roman" w:hAnsi="Times New Roman"/>
          <w:color w:val="000000" w:themeColor="text1"/>
          <w:sz w:val="16"/>
          <w:szCs w:val="16"/>
        </w:rPr>
      </w:pPr>
      <w:hyperlink r:id="rId55" w:tgtFrame="_blank" w:history="1"/>
      <w:r w:rsidR="005F2873" w:rsidRPr="00640820">
        <w:rPr>
          <w:rFonts w:ascii="Times New Roman" w:hAnsi="Times New Roman"/>
          <w:color w:val="000000" w:themeColor="text1"/>
          <w:sz w:val="16"/>
          <w:szCs w:val="16"/>
        </w:rPr>
        <w:t xml:space="preserve">К 16 часам 30 ноября 1941 г. 22-й ТП был пополнен двумя танками Т-34, четырьмя танками Т-60, двумя танками Т-26 и бронеавтомобилем. Все танки полка, включая и танк А-20, к исходу дня были дозаправлены ГСМ и пополнены до норм боеприпасами. </w:t>
      </w:r>
    </w:p>
    <w:p w14:paraId="1C0C2427" w14:textId="77777777" w:rsidR="005F2873" w:rsidRPr="00640820" w:rsidRDefault="005F287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утра 1 декабря 1941 г. немцы на флангах обороны 108-й стрелковой дивизии 5-й армии начали наступление и, прорвав оборону Красной Армии, к вечеру заняли: Борисково, Борки, Славково, Писково, Воронино, Абушково. Подвижной группе, в составе которой находился и танк А-20, было приказано восстановить положение. Ночная атака, проведенная частями подвижной группы, увенчалась успехом. Были заняты: Покровское, Воронино, Абушково. </w:t>
      </w:r>
    </w:p>
    <w:p w14:paraId="18D3B06E" w14:textId="77777777" w:rsidR="005F2873" w:rsidRPr="00640820" w:rsidRDefault="005F287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12 часов 2 декабря 1941 г. гитлеровцы силою до двух полков пехоты с танками атаковали: Покровское, Абушково, Юрьево и Козенки. В течении всей ночи шел упорный бой. Благодаря превосходству сил, ценой больших потерь немцам удалось занять эти населенные пункты. За сутки боевых действий в 22-й танковой бригаде безвозвратно были потеряны два танка Т-60 и танк Т-50 (все сгорели). Кроме этого, были подбиты танки Т-26 и Т-34. </w:t>
      </w:r>
    </w:p>
    <w:p w14:paraId="0C243D26" w14:textId="77777777" w:rsidR="005F2873" w:rsidRPr="00640820" w:rsidRDefault="005F287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 декабря 1941 г. танк А-20 в составе 22-й ТБр, приданной 108-й стрелковой дивизии, участвовал в наступлении в районе западнее Павловской Слободы. В течение дня боевых действий противнику удалось подбить три танка, одним из которых был танк А-20. </w:t>
      </w:r>
    </w:p>
    <w:p w14:paraId="654A9A14" w14:textId="77777777" w:rsidR="005F2873" w:rsidRPr="00640820" w:rsidRDefault="005F287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докладной записке от 3 декабря 1941 г. своему непосредственному начальнику капитану М. Криволапову старший помощник начальника 1-го отделения автобронетанкового отдела 5-й армии капитан В.Е. Гальчин сообщил, что в подвижной группе подполковника И.П. Ермакова имелись </w:t>
      </w:r>
      <w:r w:rsidRPr="00640820">
        <w:rPr>
          <w:rFonts w:ascii="Times New Roman" w:hAnsi="Times New Roman"/>
          <w:iCs/>
          <w:color w:val="000000" w:themeColor="text1"/>
          <w:sz w:val="16"/>
          <w:szCs w:val="16"/>
        </w:rPr>
        <w:t>«на ходу: Т-34 – 7, КВ – 1, Т-26 – 2, Т-30 – 2, Т-60 – 5, БТ – 4, БА-10 – 1, ФАИ – 1, Т-50 – ремонт ?, А-20 – ремонт»</w:t>
      </w:r>
      <w:r w:rsidRPr="00640820">
        <w:rPr>
          <w:rFonts w:ascii="Times New Roman" w:hAnsi="Times New Roman"/>
          <w:color w:val="000000" w:themeColor="text1"/>
          <w:sz w:val="16"/>
          <w:szCs w:val="16"/>
        </w:rPr>
        <w:t xml:space="preserve">. </w:t>
      </w:r>
    </w:p>
    <w:p w14:paraId="7A05ED75" w14:textId="77777777" w:rsidR="005F2873" w:rsidRPr="00640820" w:rsidRDefault="005F287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связи с тем, что полученные танком А-20 в бою повреждения устранить силами и средствами ремонтно-восстановительной роты 22-й танковой бригады не представлялось возможным, машина была эвакуирована и передана в 25-ю подвижную ремонтную базу (ПРБ) Западного фронта. В декабре 1941 г. 25-я ПРБ дислоцировалась на территории завода «Красная труба» в подмосковном посёлке Фили. Из-за отсутствия дизеля В-2 ремонт танка А-20 был завершен только весной 1942 г. </w:t>
      </w:r>
    </w:p>
    <w:p w14:paraId="50739125" w14:textId="77777777" w:rsidR="005F2873" w:rsidRPr="00640820" w:rsidRDefault="005F287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Вот что по этому поводу рассказал бывший в то время командиром отделения монтажных работ 25-й ПРБ сержант А.В. Лунев: </w:t>
      </w:r>
    </w:p>
    <w:p w14:paraId="7C942B27" w14:textId="77777777" w:rsidR="005F2873" w:rsidRPr="00640820" w:rsidRDefault="005F2873"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«В первые же дни войны на заводе № 183, где я работал, из числа добровольцев – рабочих и инженерно-технических работников – было укомплектовано несколько подвижных танкоремонтных баз (ПРБ). На них была возложена задача восстанавливать поврежденные машины в полевых условиях и оказывать помощь фронтовикам в освоении нового танка Т-34. </w:t>
      </w:r>
    </w:p>
    <w:p w14:paraId="5B487AE4" w14:textId="77777777" w:rsidR="005F2873" w:rsidRPr="00640820" w:rsidRDefault="005F2873"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&lt;...&gt;</w:t>
      </w:r>
    </w:p>
    <w:p w14:paraId="069F6342" w14:textId="77777777" w:rsidR="005F2873" w:rsidRPr="00640820" w:rsidRDefault="005F2873"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На изрядно разбитом, покрытом выгоревшим брезентом грузовике мы, семеро рабочих, носились по фронтовым дорогам, спешили туда, где так нужна была наша помощь. Вместе с войсками проделали тяжелый путь отступления от Смоленска к Москве. Когда наши солдаты насмерть стали на подступах к столице, мы обосновались в подмосковном посёлке Фили. Десятки отремонтированных машин были возвращены в строй, чтобы участвовать в исторической битве за Москву. </w:t>
      </w:r>
    </w:p>
    <w:p w14:paraId="2BAF9A11" w14:textId="77777777" w:rsidR="005F2873" w:rsidRPr="00640820" w:rsidRDefault="005F2873"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Как-то в числе повреждённых танков попал в наши руки опытный образец А-20. Встреча с ним была подобна встрече со старым другом. Вспомнились горячие дни работы над созданием этой машины, совместные с конструкторами бдения над её сборкой и доводкой. </w:t>
      </w:r>
    </w:p>
    <w:p w14:paraId="0AB655C5" w14:textId="77777777" w:rsidR="005F2873" w:rsidRPr="00640820" w:rsidRDefault="005F2873" w:rsidP="00640820">
      <w:pPr>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А-20 был восстановлен. С болью в душе проводил я танк за пределы посёлка, мысленно пожелав удачи в боях с фашистами. Больше мы его не встречали».</w:t>
      </w:r>
      <w:r w:rsidRPr="00640820">
        <w:rPr>
          <w:rFonts w:ascii="Times New Roman" w:hAnsi="Times New Roman"/>
          <w:color w:val="000000" w:themeColor="text1"/>
          <w:sz w:val="16"/>
          <w:szCs w:val="16"/>
        </w:rPr>
        <w:t xml:space="preserve"> </w:t>
      </w:r>
    </w:p>
    <w:p w14:paraId="10052702" w14:textId="77777777" w:rsidR="005F2873" w:rsidRPr="00640820" w:rsidRDefault="005F2873" w:rsidP="00640820">
      <w:pPr>
        <w:pStyle w:val="ae"/>
        <w:spacing w:before="0" w:after="0"/>
        <w:jc w:val="both"/>
        <w:rPr>
          <w:bCs/>
          <w:color w:val="000000" w:themeColor="text1"/>
          <w:sz w:val="16"/>
          <w:szCs w:val="16"/>
        </w:rPr>
      </w:pPr>
      <w:r w:rsidRPr="00640820">
        <w:rPr>
          <w:bCs/>
          <w:color w:val="000000" w:themeColor="text1"/>
          <w:sz w:val="16"/>
          <w:szCs w:val="16"/>
        </w:rPr>
        <w:t>[Т-34: путь к Победе: Воспоминания танкостроителей и танкистов. Сост.: К.М. Слободин, В.Д. Листровой,</w:t>
      </w:r>
    </w:p>
    <w:p w14:paraId="30B6334C" w14:textId="77777777" w:rsidR="005F2873" w:rsidRPr="00640820" w:rsidRDefault="005F2873" w:rsidP="00640820">
      <w:pPr>
        <w:pStyle w:val="ae"/>
        <w:spacing w:before="0" w:after="0"/>
        <w:jc w:val="both"/>
        <w:rPr>
          <w:color w:val="000000" w:themeColor="text1"/>
          <w:sz w:val="16"/>
          <w:szCs w:val="16"/>
        </w:rPr>
      </w:pPr>
      <w:r w:rsidRPr="00640820">
        <w:rPr>
          <w:bCs/>
          <w:color w:val="000000" w:themeColor="text1"/>
          <w:sz w:val="16"/>
          <w:szCs w:val="16"/>
        </w:rPr>
        <w:t>Издательство политической литературы Украины, 1989, С 194 – 195]</w:t>
      </w:r>
    </w:p>
    <w:p w14:paraId="58DAAD98" w14:textId="77777777" w:rsidR="005F2873" w:rsidRPr="00640820" w:rsidRDefault="005F287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сожалению, и мы в архивных документах не нашли никаких сведений о дальнейшей судьбе этого танка (17625).</w:t>
      </w:r>
    </w:p>
    <w:p w14:paraId="584288E4" w14:textId="77777777" w:rsidR="005F2873" w:rsidRPr="00640820" w:rsidRDefault="005F2873" w:rsidP="00640820">
      <w:pPr>
        <w:spacing w:after="0" w:line="240" w:lineRule="auto"/>
        <w:jc w:val="both"/>
        <w:rPr>
          <w:rFonts w:ascii="Times New Roman" w:eastAsia="Times New Roman" w:hAnsi="Times New Roman"/>
          <w:color w:val="000000" w:themeColor="text1"/>
          <w:sz w:val="16"/>
          <w:szCs w:val="16"/>
          <w:lang w:eastAsia="ru-RU"/>
        </w:rPr>
      </w:pPr>
    </w:p>
    <w:p w14:paraId="0B8A898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ноября 1941 вышло Постановление ГКО № 978 [О вооружении для НКВМФ.] (7016, 170).</w:t>
      </w:r>
    </w:p>
    <w:p w14:paraId="5CCA5C0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385E0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ноября 1941 вышло Постановление ГКО № 979 [О вооружении ледокольного флота в Белом море зенитной артиллерией.] (7016, 171).</w:t>
      </w:r>
    </w:p>
    <w:p w14:paraId="3F7C910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D3B8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ноября 1941 вышло Постановление ГКО № 982 О плане производства и поставок артиллерийского и стрелкового вооружения и военных приборов в декабре 1941 года. РГАНИР, Фонд ГКО, д. 15, лл. 175-178 (11012).</w:t>
      </w:r>
    </w:p>
    <w:p w14:paraId="5D54C2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7AE90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ноября 1941 вышло Постановление ГКО № 983 О размещении Московского автомобильного завода им. Сталина. РГАНИР, Фонд ГКО, д. 15, лл. 179-180 (11012).</w:t>
      </w:r>
    </w:p>
    <w:p w14:paraId="1EE6EB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BF1FC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ноября 1941 вышло Постановление ГКО № 984 О плане производства минометов на декабрь 1941 г. РГАНИР, Фонд ГКО, д. 15, лл. 181-185 (11012).</w:t>
      </w:r>
    </w:p>
    <w:p w14:paraId="2D626F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4510957"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23E01437" w14:textId="2E917F9B"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728A450" w14:textId="77777777" w:rsidR="00AA3C30" w:rsidRPr="00640820" w:rsidRDefault="00AA3C30" w:rsidP="00640820">
      <w:pPr>
        <w:spacing w:after="0" w:line="240" w:lineRule="auto"/>
        <w:jc w:val="both"/>
        <w:rPr>
          <w:rFonts w:ascii="Times New Roman" w:hAnsi="Times New Roman"/>
          <w:sz w:val="16"/>
          <w:szCs w:val="16"/>
        </w:rPr>
      </w:pPr>
      <w:r w:rsidRPr="00640820">
        <w:rPr>
          <w:rFonts w:ascii="Times New Roman" w:hAnsi="Times New Roman"/>
          <w:sz w:val="16"/>
          <w:szCs w:val="16"/>
        </w:rPr>
        <w:t>30 ноября в 1941 году утреннее сообщение Совинформбюро:</w:t>
      </w:r>
    </w:p>
    <w:p w14:paraId="0AAD69D8" w14:textId="77777777" w:rsidR="00AA3C30" w:rsidRPr="00640820" w:rsidRDefault="00AA3C30" w:rsidP="00640820">
      <w:pPr>
        <w:spacing w:after="0" w:line="240" w:lineRule="auto"/>
        <w:jc w:val="both"/>
        <w:rPr>
          <w:rFonts w:ascii="Times New Roman" w:hAnsi="Times New Roman"/>
          <w:sz w:val="16"/>
          <w:szCs w:val="16"/>
        </w:rPr>
      </w:pPr>
      <w:r w:rsidRPr="00640820">
        <w:rPr>
          <w:rFonts w:ascii="Times New Roman" w:hAnsi="Times New Roman"/>
          <w:sz w:val="16"/>
          <w:szCs w:val="16"/>
        </w:rPr>
        <w:t>В течение ночи на 30 ноября наши войска вели бои с противником на всех фронтах.</w:t>
      </w:r>
    </w:p>
    <w:p w14:paraId="39C2493A" w14:textId="77777777" w:rsidR="00AA3C30" w:rsidRPr="00640820" w:rsidRDefault="00AA3C30" w:rsidP="00640820">
      <w:pPr>
        <w:spacing w:after="0" w:line="240" w:lineRule="auto"/>
        <w:jc w:val="both"/>
        <w:rPr>
          <w:rFonts w:ascii="Times New Roman" w:hAnsi="Times New Roman"/>
          <w:sz w:val="16"/>
          <w:szCs w:val="16"/>
        </w:rPr>
      </w:pPr>
      <w:r w:rsidRPr="00640820">
        <w:rPr>
          <w:rFonts w:ascii="Times New Roman" w:hAnsi="Times New Roman"/>
          <w:sz w:val="16"/>
          <w:szCs w:val="16"/>
        </w:rPr>
        <w:t>Несколько дней назад, после ожесточённых боёв, наши войска оставили г. Тихвин.</w:t>
      </w:r>
    </w:p>
    <w:p w14:paraId="6D801407" w14:textId="77777777" w:rsidR="00AA3C30" w:rsidRPr="00640820" w:rsidRDefault="00AA3C30" w:rsidP="00640820">
      <w:pPr>
        <w:spacing w:after="0" w:line="240" w:lineRule="auto"/>
        <w:jc w:val="both"/>
        <w:rPr>
          <w:rFonts w:ascii="Times New Roman" w:hAnsi="Times New Roman"/>
          <w:sz w:val="16"/>
          <w:szCs w:val="16"/>
        </w:rPr>
      </w:pPr>
      <w:r w:rsidRPr="00640820">
        <w:rPr>
          <w:rFonts w:ascii="Times New Roman" w:hAnsi="Times New Roman"/>
          <w:sz w:val="16"/>
          <w:szCs w:val="16"/>
        </w:rPr>
        <w:t>Наша часть, действующая на одном из участков Западного фронта, за один день боёв с противником уничтожила 15 немецких танков, 10 бронемашин, 50 автомашин с боеприпасами, 15 пулемётов, 3 миномётные батареи и 11 орудий. На другом участке фронта наши бойцы уничтожили 21 грузовую машину немцев и истребили батальон пехоты противника.</w:t>
      </w:r>
    </w:p>
    <w:p w14:paraId="7817CFE0" w14:textId="77777777" w:rsidR="00AA3C30" w:rsidRPr="00640820" w:rsidRDefault="00AA3C30" w:rsidP="00640820">
      <w:pPr>
        <w:spacing w:after="0" w:line="240" w:lineRule="auto"/>
        <w:jc w:val="both"/>
        <w:rPr>
          <w:rFonts w:ascii="Times New Roman" w:hAnsi="Times New Roman"/>
          <w:sz w:val="16"/>
          <w:szCs w:val="16"/>
        </w:rPr>
      </w:pPr>
      <w:r w:rsidRPr="00640820">
        <w:rPr>
          <w:rFonts w:ascii="Times New Roman" w:hAnsi="Times New Roman"/>
          <w:sz w:val="16"/>
          <w:szCs w:val="16"/>
        </w:rPr>
        <w:t>Бойцы тов. Лелюшенко в бою с противником на одном из участков Западного фронта уничтожили 15 немецких танков, 6 орудий, 12 станковых пулемётов и истребили до 1.600 солдат и офицеров противника.</w:t>
      </w:r>
    </w:p>
    <w:p w14:paraId="30BCBA1B" w14:textId="77777777" w:rsidR="00AA3C30" w:rsidRPr="00640820" w:rsidRDefault="00AA3C30" w:rsidP="00640820">
      <w:pPr>
        <w:spacing w:after="0" w:line="240" w:lineRule="auto"/>
        <w:jc w:val="both"/>
        <w:rPr>
          <w:rFonts w:ascii="Times New Roman" w:hAnsi="Times New Roman"/>
          <w:sz w:val="16"/>
          <w:szCs w:val="16"/>
        </w:rPr>
      </w:pPr>
      <w:r w:rsidRPr="00640820">
        <w:rPr>
          <w:rFonts w:ascii="Times New Roman" w:hAnsi="Times New Roman"/>
          <w:sz w:val="16"/>
          <w:szCs w:val="16"/>
        </w:rPr>
        <w:t>Красноармеец тов. Бадосов, оставшись один у орудия, меткими выстрелами уничтожил 2 немецких танка.</w:t>
      </w:r>
    </w:p>
    <w:p w14:paraId="526505DD" w14:textId="77777777" w:rsidR="00AA3C30" w:rsidRPr="00640820" w:rsidRDefault="00AA3C30" w:rsidP="00640820">
      <w:pPr>
        <w:spacing w:after="0" w:line="240" w:lineRule="auto"/>
        <w:jc w:val="both"/>
        <w:rPr>
          <w:rFonts w:ascii="Times New Roman" w:hAnsi="Times New Roman"/>
          <w:sz w:val="16"/>
          <w:szCs w:val="16"/>
        </w:rPr>
      </w:pPr>
      <w:r w:rsidRPr="00640820">
        <w:rPr>
          <w:rFonts w:ascii="Times New Roman" w:hAnsi="Times New Roman"/>
          <w:sz w:val="16"/>
          <w:szCs w:val="16"/>
        </w:rPr>
        <w:t>В результате упорного сопротивления Красной Армии фашистским ордам и огромных потерь гитлеровцев на Восточном фронте физическое и моральное состояние немецких войск быстро падает. Для поднятия настроения солдат немецкое командование вынуждено перед каждой крупной операцией обещать солдатам отпустить их домой, если они выполнят поставленную перед ними задачу. Пленные рассказывают, что солдатам 10 танковой дивизии было объявлено: если они возьмут населённый пункт Н., то их отпустят домой. Обещание, конечно, выполнено не было. Взятый в плен под Наро-Фоминском солдат 258 немецкой пехотной дивизии Конрад Фитц заявил: «Солдаты не хотят воевать. Все надеются, что скоро война кончится и они вернутся домой. Солдаты считают, что если война хоть немного затянется, все они погибнут от ударов русских, холода, плохого питания и болезней». Ефрейтор 17 немецкой пехотной дивизии П. Гомма в неотправленном письме к родным пишет: «Мы получили пополнение, но оно мало боеспособно, не умеет обращаться с оружием. Больше всего меня убивает, что почти весь опытный и лучший офицерский состав выведен из строя и заменён неспособными командирами. С нас требуют нечеловеческих усилий, но благодарность за это мы получаем очень низкую... Единственное спасение — это только смерть. Я до сих пор молчал, не желая беспокоить вас, но теперь пишу о том, что каждый день в России приносит для нас новое мучение. Мы больше терпеть не можем».</w:t>
      </w:r>
    </w:p>
    <w:p w14:paraId="4F0C7CFE" w14:textId="77777777" w:rsidR="00AA3C30" w:rsidRPr="00640820" w:rsidRDefault="00AA3C30" w:rsidP="00640820">
      <w:pPr>
        <w:spacing w:after="0" w:line="240" w:lineRule="auto"/>
        <w:jc w:val="both"/>
        <w:rPr>
          <w:rFonts w:ascii="Times New Roman" w:hAnsi="Times New Roman"/>
          <w:sz w:val="16"/>
          <w:szCs w:val="16"/>
        </w:rPr>
      </w:pPr>
      <w:r w:rsidRPr="00640820">
        <w:rPr>
          <w:rFonts w:ascii="Times New Roman" w:hAnsi="Times New Roman"/>
          <w:sz w:val="16"/>
          <w:szCs w:val="16"/>
        </w:rPr>
        <w:t>Немецкой части, расположенной во французском городе Лилль, германское командование приказало срочно отправиться на Восточный фронт. Узнав об этом, солдаты отказались покинуть казармы. Прибывший карательный отряд фашистов расстрелял 29 солдат. 300 солдат заключены в тюрьму.</w:t>
      </w:r>
    </w:p>
    <w:p w14:paraId="5B01018A" w14:textId="286AC407" w:rsidR="00AA3C30" w:rsidRPr="00640820" w:rsidRDefault="00AA3C30" w:rsidP="00640820">
      <w:pPr>
        <w:spacing w:after="0" w:line="240" w:lineRule="auto"/>
        <w:jc w:val="both"/>
        <w:rPr>
          <w:rFonts w:ascii="Times New Roman" w:hAnsi="Times New Roman"/>
          <w:sz w:val="16"/>
          <w:szCs w:val="16"/>
        </w:rPr>
      </w:pPr>
      <w:r w:rsidRPr="00640820">
        <w:rPr>
          <w:rFonts w:ascii="Times New Roman" w:hAnsi="Times New Roman"/>
          <w:sz w:val="16"/>
          <w:szCs w:val="16"/>
        </w:rPr>
        <w:t>Трудящиеся колхозной деревни, снабжая страну и фронт сельскохозяйственными продуктами, активно помогают Красной Армии громить фашистских оккупантов. Выполнив план хлебопоставок и сдав натуроплату за работы машинно-тракторной станции, колхозы Минусинского. Манского, Ермаковского, Ачинского и ряда других районов Красноярского края продали государству около миллиона пудов хлеба. Сельхозартель «Красный партизан», Новосибирского района, Новосибирской области, продала 9.000 пудов зерна. В Южно-Казахстанской области колхозы «Новый строй» и «Вольная степь», Ленгерского района, продали государству зерна по 6.000 пудов, колхоз «Комсомольская правда», Джувалинского района, — 12.000 пудов. К началу ноября в области было закуплено у колхозов и колхозников около полумиллиона пудов хлеба (14844).</w:t>
      </w:r>
    </w:p>
    <w:p w14:paraId="64332F78" w14:textId="77777777" w:rsidR="007C004E" w:rsidRPr="00640820" w:rsidRDefault="007C004E" w:rsidP="00640820">
      <w:pPr>
        <w:spacing w:after="0" w:line="240" w:lineRule="auto"/>
        <w:jc w:val="both"/>
        <w:rPr>
          <w:rFonts w:ascii="Times New Roman" w:hAnsi="Times New Roman"/>
          <w:sz w:val="16"/>
          <w:szCs w:val="16"/>
        </w:rPr>
      </w:pPr>
    </w:p>
    <w:p w14:paraId="049DA341" w14:textId="4CC2B1FE" w:rsidR="00AA3C30" w:rsidRPr="00640820" w:rsidRDefault="00AA3C30" w:rsidP="00640820">
      <w:pPr>
        <w:spacing w:after="0" w:line="240" w:lineRule="auto"/>
        <w:jc w:val="both"/>
        <w:rPr>
          <w:rFonts w:ascii="Times New Roman" w:hAnsi="Times New Roman"/>
          <w:sz w:val="16"/>
          <w:szCs w:val="16"/>
        </w:rPr>
      </w:pPr>
      <w:r w:rsidRPr="00640820">
        <w:rPr>
          <w:rFonts w:ascii="Times New Roman" w:hAnsi="Times New Roman"/>
          <w:sz w:val="16"/>
          <w:szCs w:val="16"/>
        </w:rPr>
        <w:t>30 ноября в 1941 году вечернее сообщение Совинформбюро:</w:t>
      </w:r>
    </w:p>
    <w:p w14:paraId="60305ECB" w14:textId="52C0CD98" w:rsidR="00AA3C30" w:rsidRPr="00640820" w:rsidRDefault="00AA3C30" w:rsidP="00640820">
      <w:pPr>
        <w:spacing w:after="0" w:line="240" w:lineRule="auto"/>
        <w:jc w:val="both"/>
        <w:rPr>
          <w:rFonts w:ascii="Times New Roman" w:hAnsi="Times New Roman"/>
          <w:sz w:val="16"/>
          <w:szCs w:val="16"/>
        </w:rPr>
      </w:pPr>
      <w:r w:rsidRPr="00640820">
        <w:rPr>
          <w:rFonts w:ascii="Times New Roman" w:hAnsi="Times New Roman"/>
          <w:sz w:val="16"/>
          <w:szCs w:val="16"/>
        </w:rPr>
        <w:t>В течение 30 ноября наши войска вели бои с противником на всех фронтах.</w:t>
      </w:r>
    </w:p>
    <w:p w14:paraId="3AB172B4" w14:textId="77777777" w:rsidR="00AA3C30" w:rsidRPr="00640820" w:rsidRDefault="00AA3C30" w:rsidP="00640820">
      <w:pPr>
        <w:spacing w:after="0" w:line="240" w:lineRule="auto"/>
        <w:jc w:val="both"/>
        <w:rPr>
          <w:rFonts w:ascii="Times New Roman" w:hAnsi="Times New Roman"/>
          <w:sz w:val="16"/>
          <w:szCs w:val="16"/>
        </w:rPr>
      </w:pPr>
      <w:r w:rsidRPr="00640820">
        <w:rPr>
          <w:rFonts w:ascii="Times New Roman" w:hAnsi="Times New Roman"/>
          <w:sz w:val="16"/>
          <w:szCs w:val="16"/>
        </w:rPr>
        <w:t>За 29 ноября уничтожено 20 немецких самолётов. Наши потери — 8 самолётов.</w:t>
      </w:r>
    </w:p>
    <w:p w14:paraId="448A3EE1" w14:textId="77777777" w:rsidR="00AA3C30" w:rsidRPr="00640820" w:rsidRDefault="00AA3C30" w:rsidP="00640820">
      <w:pPr>
        <w:spacing w:after="0" w:line="240" w:lineRule="auto"/>
        <w:jc w:val="both"/>
        <w:rPr>
          <w:rFonts w:ascii="Times New Roman" w:hAnsi="Times New Roman"/>
          <w:sz w:val="16"/>
          <w:szCs w:val="16"/>
        </w:rPr>
      </w:pPr>
      <w:r w:rsidRPr="00640820">
        <w:rPr>
          <w:rFonts w:ascii="Times New Roman" w:hAnsi="Times New Roman"/>
          <w:sz w:val="16"/>
          <w:szCs w:val="16"/>
        </w:rPr>
        <w:t>За 29 ноября нашей авиацией уничтожено 83 немецких танка, 15 бронемашин, более 650 автомашин с войсками, 12 полевых орудий, 190 повозок со снарядами. 5 автоцистерн с горючим, взорван железнодорожный состав с боеприпасами, истреблено и рассеяно более 2 полков вражеской пехоты.</w:t>
      </w:r>
    </w:p>
    <w:p w14:paraId="05A548CC" w14:textId="77777777" w:rsidR="00AA3C30" w:rsidRPr="00640820" w:rsidRDefault="00AA3C30" w:rsidP="00640820">
      <w:pPr>
        <w:spacing w:after="0" w:line="240" w:lineRule="auto"/>
        <w:jc w:val="both"/>
        <w:rPr>
          <w:rFonts w:ascii="Times New Roman" w:hAnsi="Times New Roman"/>
          <w:sz w:val="16"/>
          <w:szCs w:val="16"/>
        </w:rPr>
      </w:pPr>
      <w:r w:rsidRPr="00640820">
        <w:rPr>
          <w:rFonts w:ascii="Times New Roman" w:hAnsi="Times New Roman"/>
          <w:sz w:val="16"/>
          <w:szCs w:val="16"/>
        </w:rPr>
        <w:lastRenderedPageBreak/>
        <w:t>Наши части, действующие на одном из участков Юго-Западного фронта, разгромили 297 немецкую пехотную дивизию. Только за последние два дня боёв истреблено около 4.000 немецких солдат и офицеров. Одна наша часть, участвовавшая в этой операции, уничтожила 13 немецких орудий, 2 миномётные батареи, 20 повозок с боеприпасами и захватила 5 орудий, 6 миномётов, 6 станковых пулемётов и много других трофеев.</w:t>
      </w:r>
    </w:p>
    <w:p w14:paraId="12858AFD" w14:textId="77777777" w:rsidR="00AA3C30" w:rsidRPr="00640820" w:rsidRDefault="00AA3C30" w:rsidP="00640820">
      <w:pPr>
        <w:spacing w:after="0" w:line="240" w:lineRule="auto"/>
        <w:jc w:val="both"/>
        <w:rPr>
          <w:rFonts w:ascii="Times New Roman" w:hAnsi="Times New Roman"/>
          <w:sz w:val="16"/>
          <w:szCs w:val="16"/>
        </w:rPr>
      </w:pPr>
      <w:r w:rsidRPr="00640820">
        <w:rPr>
          <w:rFonts w:ascii="Times New Roman" w:hAnsi="Times New Roman"/>
          <w:sz w:val="16"/>
          <w:szCs w:val="16"/>
        </w:rPr>
        <w:t>Лётчики части тов. Комарова за десять дней уничтожили 73 немецких танка, 360 автомашин, более 30 орудий, 8 зенитных точек и истребили до двух полков вражеской пехоты.</w:t>
      </w:r>
    </w:p>
    <w:p w14:paraId="16827668" w14:textId="77777777" w:rsidR="00AA3C30" w:rsidRPr="00640820" w:rsidRDefault="00AA3C30" w:rsidP="00640820">
      <w:pPr>
        <w:spacing w:after="0" w:line="240" w:lineRule="auto"/>
        <w:jc w:val="both"/>
        <w:rPr>
          <w:rFonts w:ascii="Times New Roman" w:hAnsi="Times New Roman"/>
          <w:sz w:val="16"/>
          <w:szCs w:val="16"/>
        </w:rPr>
      </w:pPr>
      <w:r w:rsidRPr="00640820">
        <w:rPr>
          <w:rFonts w:ascii="Times New Roman" w:hAnsi="Times New Roman"/>
          <w:sz w:val="16"/>
          <w:szCs w:val="16"/>
        </w:rPr>
        <w:t>Младший сержант тов. Михеев в одном из последних боёв уничтожил 11 фашистов.</w:t>
      </w:r>
    </w:p>
    <w:p w14:paraId="3323CE15" w14:textId="77777777" w:rsidR="00AA3C30" w:rsidRPr="00640820" w:rsidRDefault="00AA3C30" w:rsidP="00640820">
      <w:pPr>
        <w:spacing w:after="0" w:line="240" w:lineRule="auto"/>
        <w:jc w:val="both"/>
        <w:rPr>
          <w:rFonts w:ascii="Times New Roman" w:hAnsi="Times New Roman"/>
          <w:sz w:val="16"/>
          <w:szCs w:val="16"/>
        </w:rPr>
      </w:pPr>
      <w:r w:rsidRPr="00640820">
        <w:rPr>
          <w:rFonts w:ascii="Times New Roman" w:hAnsi="Times New Roman"/>
          <w:sz w:val="16"/>
          <w:szCs w:val="16"/>
        </w:rPr>
        <w:t>Партизанские отряды выкуривают немецких захватчиков из тёплых жилищ на зимнюю стужу. Жители селения Н., уходя вместе с советскими войсками, подожгли свои дома. Однако фашистам удалось отстоять от огня часть селения. В избах расположились на ночлег немецкие автоматчики. Партизаны отряда товарища А. перед рассветом незаметно подобрались к селу, сняли часовых и забросали дома бутылками с горючей жидкостью. Выскочившие на улицу немецкие автоматчики были уничтожены метким огнём партизан. Отряд товарища П. совершил удачное нападение на местечко, где фашисты организовали пошивку рукавиц для солдат. Партизаны перебили немецкий гарнизон, состоявший из 30 гитлеровцев, сожгли склады, где находились отнятые у населения тёплые вещи и готовая продукция, а также мастерскую. Партизанский отряд товарища Т. устроил засаду на одной из дорог. Вскоре показался конный обоз немцев. Залпами из винтовок и ручными гранатами партизаны обратили в бегство охрану обоза. Часть валенок, тёплое бельё и шапки, оказавшиеся в обозе, партизаны захватили с собой. Остальное уничтожили.</w:t>
      </w:r>
    </w:p>
    <w:p w14:paraId="17E70F2C" w14:textId="77777777" w:rsidR="00AA3C30" w:rsidRPr="00640820" w:rsidRDefault="00AA3C30" w:rsidP="00640820">
      <w:pPr>
        <w:spacing w:after="0" w:line="240" w:lineRule="auto"/>
        <w:jc w:val="both"/>
        <w:rPr>
          <w:rFonts w:ascii="Times New Roman" w:hAnsi="Times New Roman"/>
          <w:sz w:val="16"/>
          <w:szCs w:val="16"/>
        </w:rPr>
      </w:pPr>
      <w:r w:rsidRPr="00640820">
        <w:rPr>
          <w:rFonts w:ascii="Times New Roman" w:hAnsi="Times New Roman"/>
          <w:sz w:val="16"/>
          <w:szCs w:val="16"/>
        </w:rPr>
        <w:t>Показания немецких солдат, взятых в плен под Москвой, свидетельствуют о дальнейшем падении боевого духа фашистской армии. Ездовой штаба 3-го батальона 215 полка 78 немецкой пехотной дивизии Мартин Кевель рассказал: «За последнее время настроение солдат значительно снизилось. Они перестают верить в успех похода на Москву. Холода, скудное питание и болезни усиливают недовольство ненужной войной. Последние 5-6 дней мы хлеба не получали вовсе. Начались желудочные заболевания. За последние дни заболела одна треть состава штаба батальона». Обер-ефрейтор 5-й роты 28 пехотного полка 8 немецкой пехотной дивизии Герхард Финкхайвер показал: «Наша 5-я рота потеряла 120 человек. Во втором батальоне, в который входит наша рота, из 750 человек осталось немногим больше 100 человек». Солдат 2-го батальона 187 пехотного полка 87 немецкой пехотной дивизии Фриц Хельбат заявил: «В нашем батальоне появилось много больных гриппом, а также обмороженных. Лично я сам видел более 10 обмороженных солдат. Все мы давно не мылись и не меняли бельё. Свирепствует ужасная вшивость, появились заболевания сыпным тифом».</w:t>
      </w:r>
    </w:p>
    <w:p w14:paraId="5E04D565" w14:textId="77777777" w:rsidR="00AA3C30" w:rsidRPr="00640820" w:rsidRDefault="00AA3C30" w:rsidP="00640820">
      <w:pPr>
        <w:spacing w:after="0" w:line="240" w:lineRule="auto"/>
        <w:jc w:val="both"/>
        <w:rPr>
          <w:rFonts w:ascii="Times New Roman" w:hAnsi="Times New Roman"/>
          <w:sz w:val="16"/>
          <w:szCs w:val="16"/>
        </w:rPr>
      </w:pPr>
      <w:r w:rsidRPr="00640820">
        <w:rPr>
          <w:rFonts w:ascii="Times New Roman" w:hAnsi="Times New Roman"/>
          <w:sz w:val="16"/>
          <w:szCs w:val="16"/>
        </w:rPr>
        <w:t>Германское информационное бюро 28 ноября передало сообщение о том, что будто бы «27 ноября германские бомбардировщики совершим уничтожающий налёт на крупнейший аэродром в районе советской столицы», в результате чего якобы были «подожжены ангары и убежища» и уничтожены «советские машины».</w:t>
      </w:r>
    </w:p>
    <w:p w14:paraId="22C13AAB" w14:textId="77777777" w:rsidR="007C004E" w:rsidRPr="00640820" w:rsidRDefault="00AA3C30" w:rsidP="00640820">
      <w:pPr>
        <w:spacing w:after="0" w:line="240" w:lineRule="auto"/>
        <w:jc w:val="both"/>
        <w:rPr>
          <w:rFonts w:ascii="Times New Roman" w:hAnsi="Times New Roman"/>
          <w:sz w:val="16"/>
          <w:szCs w:val="16"/>
        </w:rPr>
      </w:pPr>
      <w:r w:rsidRPr="00640820">
        <w:rPr>
          <w:rFonts w:ascii="Times New Roman" w:hAnsi="Times New Roman"/>
          <w:sz w:val="16"/>
          <w:szCs w:val="16"/>
        </w:rPr>
        <w:t>Советское информбюро сообщает, что ни 27 ноября, ни в последующие дни немецко-фашистская авиация не появлялась над советскими аэродромами и поэтому не поджигала и не могла «поджигать убежища» и уничтожать «советские машины» как в «районе советской столицы», так и на других участках фронта</w:t>
      </w:r>
      <w:r w:rsidR="007C004E" w:rsidRPr="00640820">
        <w:rPr>
          <w:rFonts w:ascii="Times New Roman" w:hAnsi="Times New Roman"/>
          <w:sz w:val="16"/>
          <w:szCs w:val="16"/>
        </w:rPr>
        <w:t>.» (14844)</w:t>
      </w:r>
    </w:p>
    <w:p w14:paraId="69F48477" w14:textId="77777777" w:rsidR="007C004E" w:rsidRPr="00640820" w:rsidRDefault="007C004E" w:rsidP="00640820">
      <w:pPr>
        <w:spacing w:after="0" w:line="240" w:lineRule="auto"/>
        <w:jc w:val="both"/>
        <w:rPr>
          <w:rFonts w:ascii="Times New Roman" w:hAnsi="Times New Roman"/>
          <w:sz w:val="16"/>
          <w:szCs w:val="16"/>
        </w:rPr>
      </w:pPr>
    </w:p>
    <w:p w14:paraId="35AF66B7" w14:textId="77777777" w:rsidR="0085197F" w:rsidRPr="00640820" w:rsidRDefault="0085197F"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30 ноября 1941 6-й истребительный авиационный корпус советских войск ПВО утверждает, что с 1 ноября сбил 170 немецких самолетов. В декабре они одержат еще 80 побед (20794).</w:t>
      </w:r>
    </w:p>
    <w:p w14:paraId="250455EF" w14:textId="77777777" w:rsidR="0085197F" w:rsidRPr="00640820" w:rsidRDefault="0085197F" w:rsidP="00640820">
      <w:pPr>
        <w:spacing w:after="0" w:line="240" w:lineRule="auto"/>
        <w:jc w:val="both"/>
        <w:rPr>
          <w:rFonts w:ascii="Times New Roman" w:hAnsi="Times New Roman"/>
          <w:color w:val="0070C0"/>
          <w:sz w:val="16"/>
          <w:szCs w:val="16"/>
        </w:rPr>
      </w:pPr>
    </w:p>
    <w:p w14:paraId="6674520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ноября 1941 вышло Постановление ГКО № 977 [О непосредственном подчинении АДД Ставке ВГК и формировании двух дивизий тяжелых бомбардировщиков.] (7016, 168-169).</w:t>
      </w:r>
    </w:p>
    <w:p w14:paraId="177AC9E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A07F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ноября 1941 года Постановлением ГКО, а затем приказом Наркома обороны 81-я дивизия преобразовывалась в 3-ю авиационную дивизию дальнего действия с особым подчинением. Давались довольно широкие права командиру дивизии. Назначения, начиная с командира полка, лично подписывал Сталин. Штаб дивизии переместили в Петровский дворец на Ленинградском шоссе. Через какое-то время, как только немцев отогнали от Москвы, ТБ-7 переместились на аэродром Кратово под Москву (ныне аэродром ЛИИ в Жуковском). Следующий шаг Сталина по созданию своей большой авиационной дубины был сделан весной 1942 года (7685).</w:t>
      </w:r>
    </w:p>
    <w:p w14:paraId="14380C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5368D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ноября 1941 г. постановлением Государственного комитета обороны, а затем и приказом наркома обороны № 0015 от 3 декабря 1941 г., 81-я авиационная дивизия была преобразована в 3-ю авиационную дивизию дальнего действия с особым подчинением. Документ, подписанный Иосифом Сталиным, предусматривал весьма широкие права командира дивизии по назначению и перемещению личного состава вплоть до заместителя командира полка и присвоению воинских званий до майора включительно. Приказы по присвоению званий от майора и выше, а также по перемещениям и назначениям, начиная с командира полка, подписывались лично Верховным Главнокомандующим. Штаб дивизии перевели в Москву и разместили в окрестностях Центрального аэродрома, в здании Петровского дворца - там ранее находилась Военно-воздушная академия имени Жуковского (12025).</w:t>
      </w:r>
    </w:p>
    <w:p w14:paraId="58EAF1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8464B8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ноября 1941 года Постановлением ГКО, а затем приказом Наркома обороны 81-я дивизия преобразовывалась в 3-ю авиационную дивизию дальнего действия с особым подчинением. Давались довольно широкие права командиру дивизии. Назначения, начиная с командира полка, лично подписывал Сталин. Штаб дивизии переместили в Петровский дворец на Ленинградском шоссе. Через какое-то время, как только немцев отогнали от Москвы, ТБ-7 переместились на аэродром Кратово под Москву (ныне аэродром ЛИИ в Жуковском) (12726).</w:t>
      </w:r>
    </w:p>
    <w:p w14:paraId="4BCC06B5"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6D2A1BF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ноября 1941 за сдачу советским войскам Ростова снят с поста командующего немецкой группой армий “Юг” фельдмаршал Г. фон Рунштедт (4962).</w:t>
      </w:r>
    </w:p>
    <w:p w14:paraId="038037F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EEBE3D" w14:textId="77777777" w:rsidR="0087320B" w:rsidRPr="00640820" w:rsidRDefault="0087320B"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30 ноября </w:t>
      </w:r>
      <w:r w:rsidRPr="00640820">
        <w:rPr>
          <w:rFonts w:ascii="Times New Roman" w:hAnsi="Times New Roman"/>
          <w:color w:val="000000" w:themeColor="text1"/>
          <w:sz w:val="16"/>
          <w:szCs w:val="16"/>
        </w:rPr>
        <w:t>в 1941 году в результате контрударов в районе Дмитрова, Яхромы, Красной Поляны и Крюково войска правого крыла Западного фронта остановили продвижение противника и вынудили его перейти к обороне (14845).</w:t>
      </w:r>
    </w:p>
    <w:p w14:paraId="2A051203" w14:textId="77777777" w:rsidR="0087320B" w:rsidRPr="00640820" w:rsidRDefault="0087320B" w:rsidP="00640820">
      <w:pPr>
        <w:spacing w:after="0" w:line="240" w:lineRule="auto"/>
        <w:jc w:val="both"/>
        <w:rPr>
          <w:rFonts w:ascii="Times New Roman" w:hAnsi="Times New Roman"/>
          <w:color w:val="000000" w:themeColor="text1"/>
          <w:sz w:val="16"/>
          <w:szCs w:val="16"/>
        </w:rPr>
      </w:pPr>
    </w:p>
    <w:p w14:paraId="1F90CD7D"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11280A6E"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824E584" w14:textId="77777777" w:rsidR="00835478" w:rsidRPr="00640820" w:rsidRDefault="008354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ноября 1941. Запрещена продажа вина в московских магазинах. Пол-литра водки, стоившей по государственной цене 13 рублей 50 копеек, стало возможно купить лишь на рынках за 40 рублей (18697).</w:t>
      </w:r>
    </w:p>
    <w:p w14:paraId="4A85E4B3" w14:textId="77777777" w:rsidR="00835478" w:rsidRPr="00640820" w:rsidRDefault="00835478" w:rsidP="00640820">
      <w:pPr>
        <w:spacing w:after="0" w:line="240" w:lineRule="auto"/>
        <w:jc w:val="both"/>
        <w:rPr>
          <w:rFonts w:ascii="Times New Roman" w:hAnsi="Times New Roman"/>
          <w:color w:val="000000" w:themeColor="text1"/>
          <w:sz w:val="16"/>
          <w:szCs w:val="16"/>
        </w:rPr>
      </w:pPr>
    </w:p>
    <w:p w14:paraId="0DA3888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ноября 1941 вышло Постановление ГКО № 976 О вывозе цитрусовых плодов, чая и табаков из Грузинской ССР. (7016, 167).</w:t>
      </w:r>
    </w:p>
    <w:p w14:paraId="55B8C92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08D20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ноября 1941 вышло Постановление ГКО № 985 О лесных завалах [на укрепленных полосах вокруг Москвы]. (7016, 186-187,188).</w:t>
      </w:r>
    </w:p>
    <w:p w14:paraId="466E249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7FA59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ноября 1941 фашистами возле Риги состоялась массовая казнь латышских и немецких евреев (4962).</w:t>
      </w:r>
    </w:p>
    <w:p w14:paraId="5DFFF2F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198DAE" w14:textId="77777777" w:rsidR="0087320B"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525D27C6" w14:textId="77777777" w:rsidR="0087320B" w:rsidRPr="00640820" w:rsidRDefault="0087320B"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DFC2F4E" w14:textId="77777777" w:rsidR="00395D82" w:rsidRPr="00640820" w:rsidRDefault="00395D82"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30 ноября 1941 Марио де Бернарди летит с авиапочтой из Милана в Guidonia Montecelio, Италия на Caproni Campini N.1 с мотокомпрессорным воздушно-реактивным двигателем. Авиапочта перевозится на реактивного самолета впервые.</w:t>
      </w:r>
    </w:p>
    <w:p w14:paraId="6EAF7AEE" w14:textId="77777777" w:rsidR="00395D82" w:rsidRPr="00640820" w:rsidRDefault="00395D82" w:rsidP="00640820">
      <w:pPr>
        <w:spacing w:after="0" w:line="240" w:lineRule="auto"/>
        <w:jc w:val="both"/>
        <w:rPr>
          <w:rFonts w:ascii="Times New Roman" w:hAnsi="Times New Roman"/>
          <w:color w:val="0070C0"/>
          <w:sz w:val="16"/>
          <w:szCs w:val="16"/>
        </w:rPr>
      </w:pPr>
    </w:p>
    <w:p w14:paraId="5D0BF41F" w14:textId="53B263B3" w:rsidR="00395D82" w:rsidRPr="00640820" w:rsidRDefault="00395D82"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30 ноября - 4 декабря 1941 патрульные самолеты ВМС США, базирующиеся на Филиппинских островах, наблюдают за японскими военно-морскими и судоходными операциями в заливе Камрань во французском Индокитае (20794).</w:t>
      </w:r>
    </w:p>
    <w:p w14:paraId="2EA12640" w14:textId="77777777" w:rsidR="00395D82" w:rsidRPr="00640820" w:rsidRDefault="00395D82" w:rsidP="00640820">
      <w:pPr>
        <w:spacing w:after="0" w:line="240" w:lineRule="auto"/>
        <w:jc w:val="both"/>
        <w:rPr>
          <w:rFonts w:ascii="Times New Roman" w:hAnsi="Times New Roman"/>
          <w:color w:val="0070C0"/>
          <w:sz w:val="16"/>
          <w:szCs w:val="16"/>
        </w:rPr>
      </w:pPr>
    </w:p>
    <w:p w14:paraId="5ACBAF6B" w14:textId="77777777" w:rsidR="0087320B" w:rsidRPr="00640820" w:rsidRDefault="0087320B"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30 ноября </w:t>
      </w:r>
      <w:r w:rsidRPr="00640820">
        <w:rPr>
          <w:rFonts w:ascii="Times New Roman" w:hAnsi="Times New Roman"/>
          <w:color w:val="000000" w:themeColor="text1"/>
          <w:sz w:val="16"/>
          <w:szCs w:val="16"/>
        </w:rPr>
        <w:t>в 1941 году немецкие газеты сообщают о перевозке Янтарной комнаты из Детского Села (Пушкина) в Кенигсберг (14845).</w:t>
      </w:r>
    </w:p>
    <w:p w14:paraId="53158991" w14:textId="77777777" w:rsidR="0087320B" w:rsidRPr="00640820" w:rsidRDefault="0087320B" w:rsidP="00640820">
      <w:pPr>
        <w:spacing w:after="0" w:line="240" w:lineRule="auto"/>
        <w:jc w:val="both"/>
        <w:rPr>
          <w:rFonts w:ascii="Times New Roman" w:hAnsi="Times New Roman"/>
          <w:color w:val="000000" w:themeColor="text1"/>
          <w:sz w:val="16"/>
          <w:szCs w:val="16"/>
        </w:rPr>
      </w:pPr>
    </w:p>
    <w:p w14:paraId="7C4B5684" w14:textId="77777777" w:rsidR="0087320B" w:rsidRPr="00640820" w:rsidRDefault="0087320B"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30 ноября </w:t>
      </w:r>
      <w:r w:rsidRPr="00640820">
        <w:rPr>
          <w:rFonts w:ascii="Times New Roman" w:hAnsi="Times New Roman"/>
          <w:color w:val="000000" w:themeColor="text1"/>
          <w:sz w:val="16"/>
          <w:szCs w:val="16"/>
        </w:rPr>
        <w:t>в 1941 году Адольф Гитлер встретился с турецкими генералами Эрденом и Эркилетом, которые ходатайствовали об освобождении из немецкого плена советских солдат – представителей тюркских и иных мусульманских народов СССР (14845).</w:t>
      </w:r>
    </w:p>
    <w:p w14:paraId="7142F3CC" w14:textId="77777777" w:rsidR="0087320B" w:rsidRPr="00640820" w:rsidRDefault="0087320B" w:rsidP="00640820">
      <w:pPr>
        <w:spacing w:after="0" w:line="240" w:lineRule="auto"/>
        <w:jc w:val="both"/>
        <w:rPr>
          <w:rFonts w:ascii="Times New Roman" w:hAnsi="Times New Roman"/>
          <w:color w:val="000000" w:themeColor="text1"/>
          <w:sz w:val="16"/>
          <w:szCs w:val="16"/>
        </w:rPr>
      </w:pPr>
    </w:p>
    <w:p w14:paraId="308FBE0A" w14:textId="77777777" w:rsidR="0087320B" w:rsidRPr="00640820" w:rsidRDefault="0087320B"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30 ноября </w:t>
      </w:r>
      <w:r w:rsidRPr="00640820">
        <w:rPr>
          <w:rFonts w:ascii="Times New Roman" w:hAnsi="Times New Roman"/>
          <w:color w:val="000000" w:themeColor="text1"/>
          <w:sz w:val="16"/>
          <w:szCs w:val="16"/>
        </w:rPr>
        <w:t>в 1941 году министр иностранных дел Японии направил послание в Берлин: “Из-за вмешательства Великобритании в дело умиротворения Китая наша империя стоит перед роковой ситуацией и должна действовать с уверенностью в своей правоте. Прошу Ваше превосходительство ввиду этого немедленно встретиться с канцлером Гитлером и министром иностранных дел Риббентропом, конфиденциально сообщить им о событиях и заявить, что в последнее время Англия заняла провокационную позицию... Сообщите им под полным секретом, что существует чрезвычайная опасность неожиданного начала войны между Великобританией и Японией из-за какого-либо вооруженного инцидента, причем война может начаться ранее, чем кто-либо подозревает”. Послание было перехвачено и расшифровано американцами (14845).</w:t>
      </w:r>
    </w:p>
    <w:p w14:paraId="157A52E3" w14:textId="77777777" w:rsidR="0087320B" w:rsidRPr="00640820" w:rsidRDefault="0087320B" w:rsidP="00640820">
      <w:pPr>
        <w:spacing w:after="0" w:line="240" w:lineRule="auto"/>
        <w:jc w:val="both"/>
        <w:rPr>
          <w:rFonts w:ascii="Times New Roman" w:hAnsi="Times New Roman"/>
          <w:color w:val="000000" w:themeColor="text1"/>
          <w:sz w:val="16"/>
          <w:szCs w:val="16"/>
        </w:rPr>
      </w:pPr>
    </w:p>
    <w:p w14:paraId="10CA8C5C"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45775A3F"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ECDFEE7" w14:textId="77777777" w:rsidR="0087320B" w:rsidRPr="00640820" w:rsidRDefault="0087320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ноября 1941 главный инженер ВВС Южного фронта военинженер 1 ранга Родимов докладывал: «На пушках ВЯ самолётов Ил-2 участились случаи поломок затворов: после 250-300 выстрелов при диаметре газового отверстия 4,5 мм и после 750-900 выстрелов при диаметре газового отверстия 4,0 мм. За время с 20.9 по 20.11 в 4-м шап поломалось 27 затворов. С 9.11 по 20.11 в 431-м шап — 6 затво</w:t>
      </w:r>
      <w:r w:rsidRPr="00640820">
        <w:rPr>
          <w:rFonts w:ascii="Times New Roman" w:hAnsi="Times New Roman"/>
          <w:color w:val="000000" w:themeColor="text1"/>
          <w:sz w:val="16"/>
          <w:szCs w:val="16"/>
        </w:rPr>
        <w:softHyphen/>
        <w:t>ров. Запасных затворов нет...». В общем, проблем с ВЯ оставалось много (15787).</w:t>
      </w:r>
    </w:p>
    <w:p w14:paraId="0FB8997F" w14:textId="77777777" w:rsidR="0087320B" w:rsidRPr="00640820" w:rsidRDefault="0087320B" w:rsidP="00640820">
      <w:pPr>
        <w:spacing w:after="0" w:line="240" w:lineRule="auto"/>
        <w:jc w:val="both"/>
        <w:rPr>
          <w:rFonts w:ascii="Times New Roman" w:hAnsi="Times New Roman"/>
          <w:color w:val="000000" w:themeColor="text1"/>
          <w:sz w:val="16"/>
          <w:szCs w:val="16"/>
        </w:rPr>
      </w:pPr>
    </w:p>
    <w:p w14:paraId="37E54B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конца ноября 1941 г. в ОКБ начали проектирование ночного бомбардировщика НБ - «ночного бомбовоза», как назвал его Поликарпов. В документации КБ он шел под шифром «Т». Ввиду увеличения объема работ Нико</w:t>
      </w:r>
      <w:r w:rsidRPr="00640820">
        <w:rPr>
          <w:rFonts w:ascii="Times New Roman" w:hAnsi="Times New Roman"/>
          <w:color w:val="000000" w:themeColor="text1"/>
          <w:sz w:val="16"/>
          <w:szCs w:val="16"/>
        </w:rPr>
        <w:softHyphen/>
        <w:t>лай Николаевич попросил временно направить к нему несколько инженеров и рабочих с завода № 153 (10667).</w:t>
      </w:r>
    </w:p>
    <w:p w14:paraId="729791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BA6DE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ноября 1941 года председатель Государственного Комитета Обороны шлет на имя директора Иркутского завода сердитую телеграмму:</w:t>
      </w:r>
    </w:p>
    <w:p w14:paraId="0BA919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то время как фронт нуждается в самолетах, по вине директора завода Иосиловича, парторга Зенкова, военпреда Ярошенко и при попустительстве секретаря Иркутского обкома партии Качалина систематически накапливается большое количество самолетов. Так на 1 декабря 1941 года скопилось готовых 70 самолетов Пе-2. Государственный Комитет обязывает вас немедля покончить с таким отношением к делу обороны страны, принять меры к тому, чтобы до 5 декабря 1941 года все готовые самолеты были отправлены в части ВВС...»</w:t>
      </w:r>
    </w:p>
    <w:p w14:paraId="71439A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Этой же телеграммой Сталин назначил уполномоченного ГКО от Иркутского обкома партии с правом контроля за работой директора и военпреда и предупредил руководителей об уголовной ответственности за задержку в отправке готовых самолетов.</w:t>
      </w:r>
    </w:p>
    <w:p w14:paraId="4999E5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декабря издан приказ народного комиссара об объединении двух заводов – имени Сталина и Менжинского. С 19 декабря 1941 года это одно предприятие: ордена Ленина и ордена Трудового Красного Знамени авиазавод № 39 имени И.В. Сталина. Директором утвержден И.Б. Иосилович, главным инженером – менжинец В.И. Абрамов (11884).</w:t>
      </w:r>
    </w:p>
    <w:p w14:paraId="3003AD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82835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ноября 1941 г. в Омск стало посту</w:t>
      </w:r>
      <w:r w:rsidRPr="00640820">
        <w:rPr>
          <w:rFonts w:ascii="Times New Roman" w:hAnsi="Times New Roman"/>
          <w:color w:val="000000" w:themeColor="text1"/>
          <w:sz w:val="16"/>
          <w:szCs w:val="16"/>
        </w:rPr>
        <w:softHyphen/>
        <w:t>пать эвакооборудование и завода № 30 из г. Кимры. На территории этих заводов базирова</w:t>
      </w:r>
      <w:r w:rsidRPr="00640820">
        <w:rPr>
          <w:rFonts w:ascii="Times New Roman" w:hAnsi="Times New Roman"/>
          <w:color w:val="000000" w:themeColor="text1"/>
          <w:sz w:val="16"/>
          <w:szCs w:val="16"/>
        </w:rPr>
        <w:softHyphen/>
        <w:t>лись 4 конструкторских бюро: А. Н. Туполева, Д. Л. Томашевского, В. М. Мясищева и И. Г. Неймана. В октябре прибыло 5 конструктор</w:t>
      </w:r>
      <w:r w:rsidRPr="00640820">
        <w:rPr>
          <w:rFonts w:ascii="Times New Roman" w:hAnsi="Times New Roman"/>
          <w:color w:val="000000" w:themeColor="text1"/>
          <w:sz w:val="16"/>
          <w:szCs w:val="16"/>
        </w:rPr>
        <w:softHyphen/>
        <w:t>ское бюро А. А. Архангельского. Так появил</w:t>
      </w:r>
      <w:r w:rsidRPr="00640820">
        <w:rPr>
          <w:rFonts w:ascii="Times New Roman" w:hAnsi="Times New Roman"/>
          <w:color w:val="000000" w:themeColor="text1"/>
          <w:sz w:val="16"/>
          <w:szCs w:val="16"/>
        </w:rPr>
        <w:softHyphen/>
        <w:t>ся опытный авиазавод, которому присвоили № 288. Зимой на заводском аэродроме нача</w:t>
      </w:r>
      <w:r w:rsidRPr="00640820">
        <w:rPr>
          <w:rFonts w:ascii="Times New Roman" w:hAnsi="Times New Roman"/>
          <w:color w:val="000000" w:themeColor="text1"/>
          <w:sz w:val="16"/>
          <w:szCs w:val="16"/>
        </w:rPr>
        <w:softHyphen/>
        <w:t>лись вестись испытания нового бомбардиров</w:t>
      </w:r>
      <w:r w:rsidRPr="00640820">
        <w:rPr>
          <w:rFonts w:ascii="Times New Roman" w:hAnsi="Times New Roman"/>
          <w:color w:val="000000" w:themeColor="text1"/>
          <w:sz w:val="16"/>
          <w:szCs w:val="16"/>
        </w:rPr>
        <w:softHyphen/>
        <w:t>щика «Ту-2», который вскоре стали готовить к серийному выпуску на одном из московских заводов. К сожалению, когда выпуск этого самолета был отлажен и запущен в серию и было выпущено уже 78 бомбардировщиков, поступил приказ о перепрофилировании за</w:t>
      </w:r>
      <w:r w:rsidRPr="00640820">
        <w:rPr>
          <w:rFonts w:ascii="Times New Roman" w:hAnsi="Times New Roman"/>
          <w:color w:val="000000" w:themeColor="text1"/>
          <w:sz w:val="16"/>
          <w:szCs w:val="16"/>
        </w:rPr>
        <w:softHyphen/>
        <w:t>вода к производству истребителей «ЯК-7». Конструкторы завода № 288 готовили к ис</w:t>
      </w:r>
      <w:r w:rsidRPr="00640820">
        <w:rPr>
          <w:rFonts w:ascii="Times New Roman" w:hAnsi="Times New Roman"/>
          <w:color w:val="000000" w:themeColor="text1"/>
          <w:sz w:val="16"/>
          <w:szCs w:val="16"/>
        </w:rPr>
        <w:softHyphen/>
        <w:t>пытанию новые модели самолетов, а также помогали заводу № 166, осуществляя испы</w:t>
      </w:r>
      <w:r w:rsidRPr="00640820">
        <w:rPr>
          <w:rFonts w:ascii="Times New Roman" w:hAnsi="Times New Roman"/>
          <w:color w:val="000000" w:themeColor="text1"/>
          <w:sz w:val="16"/>
          <w:szCs w:val="16"/>
        </w:rPr>
        <w:softHyphen/>
        <w:t>тания агрегатов и деталей выпускавшихся на нем истребителей (ЦДНИОО. Ф. 17. Оп. 1. Д. 2976. Л. 13, 15, 16; Д. 2984. Л. 2, 16; Д. 2986. Л. 79, 81; Д. 2995. Л. 26, 27.). В 1944 г. завод пере</w:t>
      </w:r>
      <w:r w:rsidRPr="00640820">
        <w:rPr>
          <w:rFonts w:ascii="Times New Roman" w:hAnsi="Times New Roman"/>
          <w:color w:val="000000" w:themeColor="text1"/>
          <w:sz w:val="16"/>
          <w:szCs w:val="16"/>
        </w:rPr>
        <w:softHyphen/>
        <w:t>шел на выпуск современного истребителя «ЯК-9». В сутки с конвейера сходило по 8–10 самолетов, и до конца войны было выпущено более 400 истребителей «ЯК-7» и «ЯК-9» (Машкарин, М. И. Сибиряки в Великой Оте</w:t>
      </w:r>
      <w:r w:rsidRPr="00640820">
        <w:rPr>
          <w:rFonts w:ascii="Times New Roman" w:hAnsi="Times New Roman"/>
          <w:color w:val="000000" w:themeColor="text1"/>
          <w:sz w:val="16"/>
          <w:szCs w:val="16"/>
        </w:rPr>
        <w:softHyphen/>
        <w:t xml:space="preserve">чественной войне : страницы историографии и истории. Омск : Тип. Ю. А. Минюка, 1998. С. 18.) (11896). </w:t>
      </w:r>
    </w:p>
    <w:p w14:paraId="598C00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AF04EA2"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2005A034"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0EEE04B" w14:textId="77777777" w:rsidR="00DA490C" w:rsidRPr="00640820" w:rsidRDefault="00DA490C"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771F8BEA" w14:textId="77777777" w:rsidR="00DA490C" w:rsidRPr="00640820" w:rsidRDefault="00DA490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04774B7" w14:textId="77777777" w:rsidR="00DA490C" w:rsidRPr="00640820" w:rsidRDefault="00DA490C" w:rsidP="00640820">
      <w:pPr>
        <w:pStyle w:val="a3"/>
        <w:rPr>
          <w:color w:val="000000" w:themeColor="text1"/>
          <w:lang w:val="ru-RU"/>
        </w:rPr>
      </w:pPr>
      <w:r w:rsidRPr="00640820">
        <w:rPr>
          <w:color w:val="000000" w:themeColor="text1"/>
          <w:lang w:val="ru-RU"/>
        </w:rPr>
        <w:t>В конце ноября 1941 года самоходная установка на базе КВ вновь появ</w:t>
      </w:r>
      <w:r w:rsidRPr="00640820">
        <w:rPr>
          <w:color w:val="000000" w:themeColor="text1"/>
          <w:lang w:val="ru-RU"/>
        </w:rPr>
        <w:softHyphen/>
        <w:t>ляется в переписке ГАУ. О ней, в частности, говорится в отчете воен- инженера 2-го ранга Гетманова (УВНА ГАУ КА) о проделанной работе в Челябинске с 12 по 24 ноября 1941 года:</w:t>
      </w:r>
    </w:p>
    <w:p w14:paraId="205548C1" w14:textId="77777777" w:rsidR="00DA490C" w:rsidRPr="00640820" w:rsidRDefault="00DA490C" w:rsidP="00640820">
      <w:pPr>
        <w:pStyle w:val="Bodytext141"/>
        <w:shd w:val="clear" w:color="auto" w:fill="auto"/>
        <w:spacing w:line="240" w:lineRule="auto"/>
        <w:ind w:firstLine="0"/>
        <w:jc w:val="both"/>
        <w:rPr>
          <w:i w:val="0"/>
          <w:color w:val="000000" w:themeColor="text1"/>
          <w:sz w:val="16"/>
          <w:szCs w:val="16"/>
        </w:rPr>
      </w:pPr>
      <w:r w:rsidRPr="00640820">
        <w:rPr>
          <w:i w:val="0"/>
          <w:color w:val="000000" w:themeColor="text1"/>
          <w:sz w:val="16"/>
          <w:szCs w:val="16"/>
        </w:rPr>
        <w:t>«В период работы установлено:</w:t>
      </w:r>
    </w:p>
    <w:p w14:paraId="02D4D767" w14:textId="77777777" w:rsidR="00DA490C" w:rsidRPr="00640820" w:rsidRDefault="00DA490C" w:rsidP="00640820">
      <w:pPr>
        <w:pStyle w:val="Bodytext141"/>
        <w:shd w:val="clear" w:color="auto" w:fill="auto"/>
        <w:tabs>
          <w:tab w:val="left" w:pos="1325"/>
        </w:tabs>
        <w:spacing w:line="240" w:lineRule="auto"/>
        <w:ind w:firstLine="0"/>
        <w:jc w:val="both"/>
        <w:rPr>
          <w:i w:val="0"/>
          <w:color w:val="000000" w:themeColor="text1"/>
          <w:sz w:val="16"/>
          <w:szCs w:val="16"/>
        </w:rPr>
      </w:pPr>
      <w:r w:rsidRPr="00640820">
        <w:rPr>
          <w:i w:val="0"/>
          <w:color w:val="000000" w:themeColor="text1"/>
          <w:sz w:val="16"/>
          <w:szCs w:val="16"/>
        </w:rPr>
        <w:t>а) по вопросам механической тяги артиллерии.</w:t>
      </w:r>
    </w:p>
    <w:p w14:paraId="3A58423D" w14:textId="77777777" w:rsidR="00DA490C" w:rsidRPr="00640820" w:rsidRDefault="00DA490C" w:rsidP="00640820">
      <w:pPr>
        <w:pStyle w:val="Bodytext141"/>
        <w:shd w:val="clear" w:color="auto" w:fill="auto"/>
        <w:spacing w:line="240" w:lineRule="auto"/>
        <w:ind w:firstLine="0"/>
        <w:jc w:val="both"/>
        <w:rPr>
          <w:i w:val="0"/>
          <w:color w:val="000000" w:themeColor="text1"/>
          <w:sz w:val="16"/>
          <w:szCs w:val="16"/>
        </w:rPr>
      </w:pPr>
      <w:r w:rsidRPr="00640820">
        <w:rPr>
          <w:i w:val="0"/>
          <w:color w:val="000000" w:themeColor="text1"/>
          <w:sz w:val="16"/>
          <w:szCs w:val="16"/>
        </w:rPr>
        <w:t>Постановлением ГКО №899сс от 14.11.41 Наркомату Танковой промышленности поручено развернуть расширенное производство танков, для чего НКТП переданы ряд заводов других Наркоматов, в число которых входят все тракторные заводы.</w:t>
      </w:r>
    </w:p>
    <w:p w14:paraId="66F2045D" w14:textId="77777777" w:rsidR="00DA490C" w:rsidRPr="00640820" w:rsidRDefault="00DA490C" w:rsidP="00640820">
      <w:pPr>
        <w:pStyle w:val="Bodytext141"/>
        <w:shd w:val="clear" w:color="auto" w:fill="auto"/>
        <w:spacing w:line="240" w:lineRule="auto"/>
        <w:ind w:firstLine="0"/>
        <w:jc w:val="both"/>
        <w:rPr>
          <w:i w:val="0"/>
          <w:color w:val="000000" w:themeColor="text1"/>
          <w:sz w:val="16"/>
          <w:szCs w:val="16"/>
        </w:rPr>
      </w:pPr>
      <w:r w:rsidRPr="00640820">
        <w:rPr>
          <w:i w:val="0"/>
          <w:color w:val="000000" w:themeColor="text1"/>
          <w:sz w:val="16"/>
          <w:szCs w:val="16"/>
        </w:rPr>
        <w:t>Постановлением ГКО №982 от 13.11.41 г. Кировский завод (ЧТЗ) освобожден от производства как артиллерийских тракторов (С-2), так и от сельскохозяйственных (С-65).</w:t>
      </w:r>
    </w:p>
    <w:p w14:paraId="6D9E4B55" w14:textId="77777777" w:rsidR="00DA490C" w:rsidRPr="00640820" w:rsidRDefault="00DA490C" w:rsidP="00640820">
      <w:pPr>
        <w:pStyle w:val="Bodytext141"/>
        <w:shd w:val="clear" w:color="auto" w:fill="auto"/>
        <w:spacing w:line="240" w:lineRule="auto"/>
        <w:ind w:firstLine="0"/>
        <w:jc w:val="both"/>
        <w:rPr>
          <w:i w:val="0"/>
          <w:color w:val="000000" w:themeColor="text1"/>
          <w:sz w:val="16"/>
          <w:szCs w:val="16"/>
        </w:rPr>
      </w:pPr>
      <w:r w:rsidRPr="00640820">
        <w:rPr>
          <w:i w:val="0"/>
          <w:color w:val="000000" w:themeColor="text1"/>
          <w:sz w:val="16"/>
          <w:szCs w:val="16"/>
        </w:rPr>
        <w:t>Постановление ГКО №892 Наркомат Танковой Промышленно</w:t>
      </w:r>
      <w:r w:rsidRPr="00640820">
        <w:rPr>
          <w:i w:val="0"/>
          <w:color w:val="000000" w:themeColor="text1"/>
          <w:sz w:val="16"/>
          <w:szCs w:val="16"/>
        </w:rPr>
        <w:softHyphen/>
        <w:t>сти понимает как право прекратить тракторное производство и на других заводах (на заводе №183 — «Ворошиловец», на СТЗ — СТЗ-5).</w:t>
      </w:r>
    </w:p>
    <w:p w14:paraId="6CBCFD21" w14:textId="77777777" w:rsidR="00DA490C" w:rsidRPr="00640820" w:rsidRDefault="00DA490C" w:rsidP="00640820">
      <w:pPr>
        <w:pStyle w:val="Bodytext141"/>
        <w:shd w:val="clear" w:color="auto" w:fill="auto"/>
        <w:spacing w:line="240" w:lineRule="auto"/>
        <w:ind w:firstLine="0"/>
        <w:jc w:val="both"/>
        <w:rPr>
          <w:i w:val="0"/>
          <w:color w:val="000000" w:themeColor="text1"/>
          <w:sz w:val="16"/>
          <w:szCs w:val="16"/>
        </w:rPr>
      </w:pPr>
      <w:r w:rsidRPr="00640820">
        <w:rPr>
          <w:i w:val="0"/>
          <w:color w:val="000000" w:themeColor="text1"/>
          <w:sz w:val="16"/>
          <w:szCs w:val="16"/>
        </w:rPr>
        <w:t>Таким образом, производство тракторов прекращается.</w:t>
      </w:r>
    </w:p>
    <w:p w14:paraId="2947C191" w14:textId="77777777" w:rsidR="00DA490C" w:rsidRPr="00640820" w:rsidRDefault="00DA490C" w:rsidP="00640820">
      <w:pPr>
        <w:pStyle w:val="Bodytext141"/>
        <w:shd w:val="clear" w:color="auto" w:fill="auto"/>
        <w:spacing w:line="240" w:lineRule="auto"/>
        <w:ind w:firstLine="0"/>
        <w:jc w:val="both"/>
        <w:rPr>
          <w:i w:val="0"/>
          <w:color w:val="000000" w:themeColor="text1"/>
          <w:sz w:val="16"/>
          <w:szCs w:val="16"/>
        </w:rPr>
      </w:pPr>
      <w:r w:rsidRPr="00640820">
        <w:rPr>
          <w:i w:val="0"/>
          <w:color w:val="000000" w:themeColor="text1"/>
          <w:sz w:val="16"/>
          <w:szCs w:val="16"/>
        </w:rPr>
        <w:t>До настоящего времени мехтяга артиллерии находилась в тяже</w:t>
      </w:r>
      <w:r w:rsidRPr="00640820">
        <w:rPr>
          <w:i w:val="0"/>
          <w:color w:val="000000" w:themeColor="text1"/>
          <w:sz w:val="16"/>
          <w:szCs w:val="16"/>
        </w:rPr>
        <w:softHyphen/>
        <w:t>лом положении, а после такого решения возможно, что артиллерия останется без мехтяги.</w:t>
      </w:r>
    </w:p>
    <w:p w14:paraId="40D9A4C7" w14:textId="77777777" w:rsidR="00DA490C" w:rsidRPr="00640820" w:rsidRDefault="00DA490C" w:rsidP="00640820">
      <w:pPr>
        <w:pStyle w:val="Bodytext141"/>
        <w:shd w:val="clear" w:color="auto" w:fill="auto"/>
        <w:spacing w:line="240" w:lineRule="auto"/>
        <w:ind w:firstLine="0"/>
        <w:jc w:val="both"/>
        <w:rPr>
          <w:i w:val="0"/>
          <w:color w:val="000000" w:themeColor="text1"/>
          <w:sz w:val="16"/>
          <w:szCs w:val="16"/>
        </w:rPr>
      </w:pPr>
      <w:r w:rsidRPr="00640820">
        <w:rPr>
          <w:i w:val="0"/>
          <w:color w:val="000000" w:themeColor="text1"/>
          <w:sz w:val="16"/>
          <w:szCs w:val="16"/>
        </w:rPr>
        <w:t>Считаю необходимым о вышеизложенном положении трактор</w:t>
      </w:r>
      <w:r w:rsidRPr="00640820">
        <w:rPr>
          <w:i w:val="0"/>
          <w:color w:val="000000" w:themeColor="text1"/>
          <w:sz w:val="16"/>
          <w:szCs w:val="16"/>
        </w:rPr>
        <w:softHyphen/>
        <w:t>ного производства доложить Наркому Обороны тов. Сталину.</w:t>
      </w:r>
    </w:p>
    <w:p w14:paraId="78933C9B" w14:textId="77777777" w:rsidR="00DA490C" w:rsidRPr="00640820" w:rsidRDefault="00DA490C" w:rsidP="00640820">
      <w:pPr>
        <w:pStyle w:val="Bodytext141"/>
        <w:shd w:val="clear" w:color="auto" w:fill="auto"/>
        <w:tabs>
          <w:tab w:val="left" w:pos="1320"/>
        </w:tabs>
        <w:spacing w:line="240" w:lineRule="auto"/>
        <w:ind w:firstLine="0"/>
        <w:jc w:val="both"/>
        <w:rPr>
          <w:i w:val="0"/>
          <w:color w:val="000000" w:themeColor="text1"/>
          <w:sz w:val="16"/>
          <w:szCs w:val="16"/>
        </w:rPr>
      </w:pPr>
      <w:r w:rsidRPr="00640820">
        <w:rPr>
          <w:i w:val="0"/>
          <w:color w:val="000000" w:themeColor="text1"/>
          <w:sz w:val="16"/>
          <w:szCs w:val="16"/>
        </w:rPr>
        <w:t>б) По вопросу отработки СУ.</w:t>
      </w:r>
    </w:p>
    <w:p w14:paraId="4389101A" w14:textId="77777777" w:rsidR="00DA490C" w:rsidRPr="00640820" w:rsidRDefault="00DA490C" w:rsidP="00640820">
      <w:pPr>
        <w:pStyle w:val="Bodytext141"/>
        <w:shd w:val="clear" w:color="auto" w:fill="auto"/>
        <w:spacing w:line="240" w:lineRule="auto"/>
        <w:ind w:firstLine="0"/>
        <w:jc w:val="both"/>
        <w:rPr>
          <w:i w:val="0"/>
          <w:color w:val="000000" w:themeColor="text1"/>
          <w:sz w:val="16"/>
          <w:szCs w:val="16"/>
        </w:rPr>
      </w:pPr>
      <w:r w:rsidRPr="00640820">
        <w:rPr>
          <w:i w:val="0"/>
          <w:color w:val="000000" w:themeColor="text1"/>
          <w:sz w:val="16"/>
          <w:szCs w:val="16"/>
        </w:rPr>
        <w:t>В результате проработки этого вопроса в НКТП и с конструк</w:t>
      </w:r>
      <w:r w:rsidRPr="00640820">
        <w:rPr>
          <w:i w:val="0"/>
          <w:color w:val="000000" w:themeColor="text1"/>
          <w:sz w:val="16"/>
          <w:szCs w:val="16"/>
        </w:rPr>
        <w:softHyphen/>
        <w:t>торами УЗТМ и Кировского завода при докладе зам. Наркому НКТП тов. Котину достигнуто следующее:</w:t>
      </w:r>
    </w:p>
    <w:p w14:paraId="7C3B90C8" w14:textId="77777777" w:rsidR="00DA490C" w:rsidRPr="00640820" w:rsidRDefault="00DA490C" w:rsidP="00640820">
      <w:pPr>
        <w:pStyle w:val="Bodytext141"/>
        <w:shd w:val="clear" w:color="auto" w:fill="auto"/>
        <w:spacing w:line="240" w:lineRule="auto"/>
        <w:ind w:firstLine="0"/>
        <w:jc w:val="both"/>
        <w:rPr>
          <w:i w:val="0"/>
          <w:color w:val="000000" w:themeColor="text1"/>
          <w:sz w:val="16"/>
          <w:szCs w:val="16"/>
        </w:rPr>
      </w:pPr>
      <w:r w:rsidRPr="00640820">
        <w:rPr>
          <w:i w:val="0"/>
          <w:color w:val="000000" w:themeColor="text1"/>
          <w:sz w:val="16"/>
          <w:szCs w:val="16"/>
        </w:rPr>
        <w:t>I. НКТП включает в тематический план работ на 1942 год следую</w:t>
      </w:r>
      <w:r w:rsidRPr="00640820">
        <w:rPr>
          <w:i w:val="0"/>
          <w:color w:val="000000" w:themeColor="text1"/>
          <w:sz w:val="16"/>
          <w:szCs w:val="16"/>
        </w:rPr>
        <w:softHyphen/>
        <w:t>щие СУ:</w:t>
      </w:r>
    </w:p>
    <w:p w14:paraId="142E329C" w14:textId="77777777" w:rsidR="00DA490C" w:rsidRPr="00640820" w:rsidRDefault="00DA490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Истребитель ДОТ-ов — 152мм пушка БР-2 на шасси из агрегатов танка КВ</w:t>
      </w:r>
    </w:p>
    <w:p w14:paraId="4B583827" w14:textId="77777777" w:rsidR="00DA490C" w:rsidRPr="00640820" w:rsidRDefault="00DA490C" w:rsidP="00640820">
      <w:pPr>
        <w:pStyle w:val="Bodytext141"/>
        <w:shd w:val="clear" w:color="auto" w:fill="auto"/>
        <w:tabs>
          <w:tab w:val="left" w:pos="781"/>
        </w:tabs>
        <w:spacing w:line="240" w:lineRule="auto"/>
        <w:ind w:firstLine="0"/>
        <w:jc w:val="both"/>
        <w:rPr>
          <w:i w:val="0"/>
          <w:color w:val="000000" w:themeColor="text1"/>
          <w:sz w:val="16"/>
          <w:szCs w:val="16"/>
        </w:rPr>
      </w:pPr>
      <w:r w:rsidRPr="00640820">
        <w:rPr>
          <w:i w:val="0"/>
          <w:color w:val="000000" w:themeColor="text1"/>
          <w:sz w:val="16"/>
          <w:szCs w:val="16"/>
        </w:rPr>
        <w:t>2) Истребитель танков — 85 мм зенитная пушка на шасси из агрега</w:t>
      </w:r>
      <w:r w:rsidRPr="00640820">
        <w:rPr>
          <w:i w:val="0"/>
          <w:color w:val="000000" w:themeColor="text1"/>
          <w:sz w:val="16"/>
          <w:szCs w:val="16"/>
        </w:rPr>
        <w:softHyphen/>
        <w:t>тов танка Т-34.</w:t>
      </w:r>
    </w:p>
    <w:p w14:paraId="126F13D3" w14:textId="77777777" w:rsidR="00DA490C" w:rsidRPr="00640820" w:rsidRDefault="00DA490C" w:rsidP="00640820">
      <w:pPr>
        <w:pStyle w:val="Bodytext141"/>
        <w:shd w:val="clear" w:color="auto" w:fill="auto"/>
        <w:tabs>
          <w:tab w:val="left" w:pos="795"/>
        </w:tabs>
        <w:spacing w:line="240" w:lineRule="auto"/>
        <w:ind w:firstLine="0"/>
        <w:jc w:val="both"/>
        <w:rPr>
          <w:i w:val="0"/>
          <w:color w:val="000000" w:themeColor="text1"/>
          <w:sz w:val="16"/>
          <w:szCs w:val="16"/>
        </w:rPr>
      </w:pPr>
      <w:r w:rsidRPr="00640820">
        <w:rPr>
          <w:i w:val="0"/>
          <w:color w:val="000000" w:themeColor="text1"/>
          <w:sz w:val="16"/>
          <w:szCs w:val="16"/>
        </w:rPr>
        <w:t>3) Штурмовое, полковое орудие — 76 мм УС В или ЗИС-З на шасси из агрегатов танка Т-60.</w:t>
      </w:r>
    </w:p>
    <w:p w14:paraId="4A584F75" w14:textId="77777777" w:rsidR="00DA490C" w:rsidRPr="00640820" w:rsidRDefault="00DA490C" w:rsidP="00640820">
      <w:pPr>
        <w:pStyle w:val="Bodytext141"/>
        <w:shd w:val="clear" w:color="auto" w:fill="auto"/>
        <w:tabs>
          <w:tab w:val="left" w:pos="781"/>
        </w:tabs>
        <w:spacing w:line="240" w:lineRule="auto"/>
        <w:ind w:firstLine="0"/>
        <w:jc w:val="both"/>
        <w:rPr>
          <w:i w:val="0"/>
          <w:color w:val="000000" w:themeColor="text1"/>
          <w:sz w:val="16"/>
          <w:szCs w:val="16"/>
        </w:rPr>
      </w:pPr>
      <w:r w:rsidRPr="00640820">
        <w:rPr>
          <w:i w:val="0"/>
          <w:color w:val="000000" w:themeColor="text1"/>
          <w:sz w:val="16"/>
          <w:szCs w:val="16"/>
        </w:rPr>
        <w:t>4) Зенитные самоходные установки:</w:t>
      </w:r>
    </w:p>
    <w:p w14:paraId="38ED121F" w14:textId="77777777" w:rsidR="00DA490C" w:rsidRPr="00640820" w:rsidRDefault="00DA490C" w:rsidP="00640820">
      <w:pPr>
        <w:pStyle w:val="Bodytext141"/>
        <w:shd w:val="clear" w:color="auto" w:fill="auto"/>
        <w:tabs>
          <w:tab w:val="left" w:pos="1225"/>
        </w:tabs>
        <w:spacing w:line="240" w:lineRule="auto"/>
        <w:ind w:firstLine="0"/>
        <w:jc w:val="both"/>
        <w:rPr>
          <w:i w:val="0"/>
          <w:color w:val="000000" w:themeColor="text1"/>
          <w:sz w:val="16"/>
          <w:szCs w:val="16"/>
        </w:rPr>
      </w:pPr>
      <w:r w:rsidRPr="00640820">
        <w:rPr>
          <w:i w:val="0"/>
          <w:color w:val="000000" w:themeColor="text1"/>
          <w:sz w:val="16"/>
          <w:szCs w:val="16"/>
        </w:rPr>
        <w:t>а) 37мм пушка на танке Т-60</w:t>
      </w:r>
    </w:p>
    <w:p w14:paraId="79DD0833" w14:textId="77777777" w:rsidR="00DA490C" w:rsidRPr="00640820" w:rsidRDefault="00DA490C" w:rsidP="00640820">
      <w:pPr>
        <w:pStyle w:val="Bodytext141"/>
        <w:shd w:val="clear" w:color="auto" w:fill="auto"/>
        <w:tabs>
          <w:tab w:val="left" w:pos="1220"/>
        </w:tabs>
        <w:spacing w:line="240" w:lineRule="auto"/>
        <w:ind w:firstLine="0"/>
        <w:jc w:val="both"/>
        <w:rPr>
          <w:i w:val="0"/>
          <w:color w:val="000000" w:themeColor="text1"/>
          <w:sz w:val="16"/>
          <w:szCs w:val="16"/>
        </w:rPr>
      </w:pPr>
      <w:r w:rsidRPr="00640820">
        <w:rPr>
          <w:i w:val="0"/>
          <w:color w:val="000000" w:themeColor="text1"/>
          <w:sz w:val="16"/>
          <w:szCs w:val="16"/>
        </w:rPr>
        <w:t>б) 25мм пушка на танке Т-60</w:t>
      </w:r>
    </w:p>
    <w:p w14:paraId="2F907DAC" w14:textId="77777777" w:rsidR="00DA490C" w:rsidRPr="00640820" w:rsidRDefault="00DA490C" w:rsidP="00640820">
      <w:pPr>
        <w:pStyle w:val="Bodytext141"/>
        <w:shd w:val="clear" w:color="auto" w:fill="auto"/>
        <w:tabs>
          <w:tab w:val="left" w:pos="1215"/>
        </w:tabs>
        <w:spacing w:line="240" w:lineRule="auto"/>
        <w:ind w:firstLine="0"/>
        <w:jc w:val="both"/>
        <w:rPr>
          <w:i w:val="0"/>
          <w:color w:val="000000" w:themeColor="text1"/>
          <w:sz w:val="16"/>
          <w:szCs w:val="16"/>
        </w:rPr>
      </w:pPr>
      <w:r w:rsidRPr="00640820">
        <w:rPr>
          <w:i w:val="0"/>
          <w:color w:val="000000" w:themeColor="text1"/>
          <w:sz w:val="16"/>
          <w:szCs w:val="16"/>
        </w:rPr>
        <w:t>в) 37мм пушка на танке Т-50</w:t>
      </w:r>
    </w:p>
    <w:p w14:paraId="5531EDC0" w14:textId="77777777" w:rsidR="00DA490C" w:rsidRPr="00640820" w:rsidRDefault="00DA490C" w:rsidP="00640820">
      <w:pPr>
        <w:pStyle w:val="Bodytext141"/>
        <w:shd w:val="clear" w:color="auto" w:fill="auto"/>
        <w:tabs>
          <w:tab w:val="left" w:pos="1201"/>
        </w:tabs>
        <w:spacing w:line="240" w:lineRule="auto"/>
        <w:ind w:firstLine="0"/>
        <w:jc w:val="both"/>
        <w:rPr>
          <w:i w:val="0"/>
          <w:color w:val="000000" w:themeColor="text1"/>
          <w:sz w:val="16"/>
          <w:szCs w:val="16"/>
        </w:rPr>
      </w:pPr>
      <w:r w:rsidRPr="00640820">
        <w:rPr>
          <w:i w:val="0"/>
          <w:color w:val="000000" w:themeColor="text1"/>
          <w:sz w:val="16"/>
          <w:szCs w:val="16"/>
        </w:rPr>
        <w:t>г) 37мм пушка на танке Т-34</w:t>
      </w:r>
    </w:p>
    <w:p w14:paraId="777AB66A" w14:textId="77777777" w:rsidR="00DA490C" w:rsidRPr="00640820" w:rsidRDefault="00DA490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Отработку этих самоходных установок тов. Котин принял и заявил, что подает соответствующую команду заводам.</w:t>
      </w:r>
    </w:p>
    <w:p w14:paraId="39B4EE47" w14:textId="77777777" w:rsidR="00DA490C" w:rsidRPr="00640820" w:rsidRDefault="00DA490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Считаю необходимым срочно отправить ТТТ в НКСМ и заводам, выехать представителю ГАБТУ в НКТП и проследить включенные в тематический план; для установления связи посетить заводы, при</w:t>
      </w:r>
      <w:r w:rsidRPr="00640820">
        <w:rPr>
          <w:rFonts w:ascii="Times New Roman" w:hAnsi="Times New Roman"/>
          <w:color w:val="000000" w:themeColor="text1"/>
          <w:sz w:val="16"/>
          <w:szCs w:val="16"/>
        </w:rPr>
        <w:softHyphen/>
        <w:t>ступающие к отработке проектов, а также дать соответствующую консультацию»'(17484).</w:t>
      </w:r>
    </w:p>
    <w:p w14:paraId="6D25F7AD" w14:textId="77777777" w:rsidR="00DA490C" w:rsidRPr="00640820" w:rsidRDefault="00DA490C" w:rsidP="00640820">
      <w:pPr>
        <w:spacing w:after="0" w:line="240" w:lineRule="auto"/>
        <w:jc w:val="both"/>
        <w:rPr>
          <w:rFonts w:ascii="Times New Roman" w:hAnsi="Times New Roman"/>
          <w:color w:val="000000" w:themeColor="text1"/>
          <w:sz w:val="16"/>
          <w:szCs w:val="16"/>
        </w:rPr>
      </w:pPr>
    </w:p>
    <w:p w14:paraId="649B988A" w14:textId="77777777" w:rsidR="00DA490C" w:rsidRPr="00640820" w:rsidRDefault="00DA490C" w:rsidP="00640820">
      <w:pPr>
        <w:pStyle w:val="162"/>
        <w:shd w:val="clear" w:color="auto" w:fill="auto"/>
        <w:spacing w:line="240" w:lineRule="auto"/>
        <w:jc w:val="both"/>
        <w:rPr>
          <w:color w:val="000000" w:themeColor="text1"/>
          <w:sz w:val="16"/>
          <w:szCs w:val="16"/>
        </w:rPr>
      </w:pPr>
      <w:r w:rsidRPr="00640820">
        <w:rPr>
          <w:rFonts w:eastAsia="Calibri"/>
          <w:color w:val="000000" w:themeColor="text1"/>
          <w:sz w:val="16"/>
          <w:szCs w:val="16"/>
        </w:rPr>
        <w:t>В конце ноября 1941 года возникла первые идея создания самоходной артиллерийской установ</w:t>
      </w:r>
      <w:r w:rsidRPr="00640820">
        <w:rPr>
          <w:rFonts w:eastAsia="Calibri"/>
          <w:color w:val="000000" w:themeColor="text1"/>
          <w:sz w:val="16"/>
          <w:szCs w:val="16"/>
        </w:rPr>
        <w:softHyphen/>
        <w:t>ки на базе Т-60. Дело в том, что именно в ноябре прекратился выпуск большинства тягачей и тракторов, что оставляло артиллерию без мехтяги. Одним из реше</w:t>
      </w:r>
      <w:r w:rsidRPr="00640820">
        <w:rPr>
          <w:rFonts w:eastAsia="Calibri"/>
          <w:color w:val="000000" w:themeColor="text1"/>
          <w:sz w:val="16"/>
          <w:szCs w:val="16"/>
        </w:rPr>
        <w:softHyphen/>
        <w:t>ний проблемы являлась разработка самоходных артиллерийских уста</w:t>
      </w:r>
      <w:r w:rsidRPr="00640820">
        <w:rPr>
          <w:rFonts w:eastAsia="Calibri"/>
          <w:color w:val="000000" w:themeColor="text1"/>
          <w:sz w:val="16"/>
          <w:szCs w:val="16"/>
        </w:rPr>
        <w:softHyphen/>
        <w:t>новок на базе выпускающихся танков, включая Т-60. Надо сказать, что Т-60 в исходном его виде с самого начала не рассматривался, по</w:t>
      </w:r>
      <w:r w:rsidRPr="00640820">
        <w:rPr>
          <w:rFonts w:eastAsia="Calibri"/>
          <w:color w:val="000000" w:themeColor="text1"/>
          <w:sz w:val="16"/>
          <w:szCs w:val="16"/>
        </w:rPr>
        <w:softHyphen/>
        <w:t>скольку его возможности по развитию были крайне ограничены. Речь шла о шасси из агрегатов Т-60, на базе которого планировалось создать «штурмовое полковое орудие» с УСВ или ЗИС-З в качестве вооруже</w:t>
      </w:r>
      <w:r w:rsidRPr="00640820">
        <w:rPr>
          <w:rFonts w:eastAsia="Calibri"/>
          <w:color w:val="000000" w:themeColor="text1"/>
          <w:sz w:val="16"/>
          <w:szCs w:val="16"/>
        </w:rPr>
        <w:softHyphen/>
        <w:t>ния, а также ЗСУ с 25-мм или 37-мм автоматическими пушками.</w:t>
      </w:r>
    </w:p>
    <w:p w14:paraId="4037C72A" w14:textId="77777777" w:rsidR="00DA490C" w:rsidRPr="00640820" w:rsidRDefault="00DA490C" w:rsidP="00640820">
      <w:pPr>
        <w:pStyle w:val="162"/>
        <w:shd w:val="clear" w:color="auto" w:fill="auto"/>
        <w:spacing w:line="240" w:lineRule="auto"/>
        <w:jc w:val="both"/>
        <w:rPr>
          <w:color w:val="000000" w:themeColor="text1"/>
          <w:sz w:val="16"/>
          <w:szCs w:val="16"/>
        </w:rPr>
      </w:pPr>
      <w:r w:rsidRPr="00640820">
        <w:rPr>
          <w:rFonts w:eastAsia="Calibri"/>
          <w:color w:val="000000" w:themeColor="text1"/>
          <w:sz w:val="16"/>
          <w:szCs w:val="16"/>
        </w:rPr>
        <w:t>Согласно переписке за ноябрь 1941 года, проекты ряда самоходных установок, в том числе на шасси Т-60, включались в тематический план на 1942 год. Тему шасси Т-60 курировал С. А. Гинзбург. 29 января 1942 года был разработан проект тактико-технических требований к эскизному проекту универсального самоходного шасси на базе агрегатов Т-60:</w:t>
      </w:r>
    </w:p>
    <w:p w14:paraId="36E078B7" w14:textId="77777777" w:rsidR="00DA490C" w:rsidRPr="00640820" w:rsidRDefault="00DA490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Универсальное шасси создается в основном из агрегатов, деталей и узлов танка Т-60 для использования его для нижеперечисленных уста</w:t>
      </w:r>
      <w:r w:rsidRPr="00640820">
        <w:rPr>
          <w:rFonts w:ascii="Times New Roman" w:hAnsi="Times New Roman"/>
          <w:color w:val="000000" w:themeColor="text1"/>
          <w:sz w:val="16"/>
          <w:szCs w:val="16"/>
        </w:rPr>
        <w:softHyphen/>
        <w:t>новок:</w:t>
      </w:r>
    </w:p>
    <w:p w14:paraId="5C83D1E1" w14:textId="77777777" w:rsidR="00DA490C" w:rsidRPr="00640820" w:rsidRDefault="00DA490C" w:rsidP="00640820">
      <w:pPr>
        <w:tabs>
          <w:tab w:val="left" w:pos="931"/>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штурмовое 76-мм орудие поддержки мотомеханизированных войск на базе пушки УСВ или ЗИС-5;</w:t>
      </w:r>
    </w:p>
    <w:p w14:paraId="481796EE" w14:textId="77777777" w:rsidR="00DA490C" w:rsidRPr="00640820" w:rsidRDefault="00DA490C" w:rsidP="00640820">
      <w:pPr>
        <w:tabs>
          <w:tab w:val="left" w:pos="840"/>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самоходная установка зенитной 37-мм пушки обр. 1939 г.;</w:t>
      </w:r>
    </w:p>
    <w:p w14:paraId="4C05FB68" w14:textId="77777777" w:rsidR="00DA490C" w:rsidRPr="00640820" w:rsidRDefault="00DA490C" w:rsidP="00640820">
      <w:pPr>
        <w:tabs>
          <w:tab w:val="left" w:pos="874"/>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танк с башенной установкой 37-мм зенитной пушки по типу группы т. Савина;</w:t>
      </w:r>
    </w:p>
    <w:p w14:paraId="1C8AA18C" w14:textId="77777777" w:rsidR="00DA490C" w:rsidRPr="00640820" w:rsidRDefault="00DA490C" w:rsidP="00640820">
      <w:pPr>
        <w:tabs>
          <w:tab w:val="left" w:pos="821"/>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легкий танк с бронированием до 45 мм со спаренной установкой 45-мм пушек и пулеметов в башне;</w:t>
      </w:r>
    </w:p>
    <w:p w14:paraId="0D642665" w14:textId="77777777" w:rsidR="00DA490C" w:rsidRPr="00640820" w:rsidRDefault="00DA490C" w:rsidP="00640820">
      <w:pPr>
        <w:tabs>
          <w:tab w:val="left" w:pos="859"/>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 бронированный транспортер для пехоты, боеприпасов и пр. спе</w:t>
      </w:r>
      <w:r w:rsidRPr="00640820">
        <w:rPr>
          <w:rFonts w:ascii="Times New Roman" w:hAnsi="Times New Roman"/>
          <w:color w:val="000000" w:themeColor="text1"/>
          <w:sz w:val="16"/>
          <w:szCs w:val="16"/>
        </w:rPr>
        <w:softHyphen/>
        <w:t>циальных целей.</w:t>
      </w:r>
    </w:p>
    <w:p w14:paraId="56219C73" w14:textId="77777777" w:rsidR="00DA490C" w:rsidRPr="00640820" w:rsidRDefault="00DA490C" w:rsidP="00640820">
      <w:pPr>
        <w:tabs>
          <w:tab w:val="left" w:pos="558"/>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Максимальная скорость движения для проектируемого шасси уста</w:t>
      </w:r>
      <w:r w:rsidRPr="00640820">
        <w:rPr>
          <w:rFonts w:ascii="Times New Roman" w:hAnsi="Times New Roman"/>
          <w:color w:val="000000" w:themeColor="text1"/>
          <w:sz w:val="16"/>
          <w:szCs w:val="16"/>
        </w:rPr>
        <w:softHyphen/>
        <w:t>навливается 45 км/ч по передаточным числам. Для отдельных вариантов максимальная скорость может быть понижена за счет соответствую</w:t>
      </w:r>
      <w:r w:rsidRPr="00640820">
        <w:rPr>
          <w:rFonts w:ascii="Times New Roman" w:hAnsi="Times New Roman"/>
          <w:color w:val="000000" w:themeColor="text1"/>
          <w:sz w:val="16"/>
          <w:szCs w:val="16"/>
        </w:rPr>
        <w:softHyphen/>
        <w:t>щего изменения передаточного числа трансмиссии.</w:t>
      </w:r>
    </w:p>
    <w:p w14:paraId="627BC49D" w14:textId="77777777" w:rsidR="00DA490C" w:rsidRPr="00640820" w:rsidRDefault="00DA490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связи с тем что все вышеперечисленные конструкции будут тяже</w:t>
      </w:r>
      <w:r w:rsidRPr="00640820">
        <w:rPr>
          <w:rFonts w:ascii="Times New Roman" w:hAnsi="Times New Roman"/>
          <w:color w:val="000000" w:themeColor="text1"/>
          <w:sz w:val="16"/>
          <w:szCs w:val="16"/>
        </w:rPr>
        <w:softHyphen/>
        <w:t>лее Т-60, имеющей достаточно напряженный баланс мощности в отсут</w:t>
      </w:r>
      <w:r w:rsidRPr="00640820">
        <w:rPr>
          <w:rFonts w:ascii="Times New Roman" w:hAnsi="Times New Roman"/>
          <w:color w:val="000000" w:themeColor="text1"/>
          <w:sz w:val="16"/>
          <w:szCs w:val="16"/>
        </w:rPr>
        <w:softHyphen/>
        <w:t>ствие более мощных двигателей, в качестве обязательного варианта долж</w:t>
      </w:r>
      <w:r w:rsidRPr="00640820">
        <w:rPr>
          <w:rFonts w:ascii="Times New Roman" w:hAnsi="Times New Roman"/>
          <w:color w:val="000000" w:themeColor="text1"/>
          <w:sz w:val="16"/>
          <w:szCs w:val="16"/>
        </w:rPr>
        <w:softHyphen/>
        <w:t>на быть проработана компоновка согласно прилагаемой схемы с передними по бортам расположенными двумя двигателями ГЛЗ-202, расположением водителя между двигателями и боевым отделением в кормовой части. Каждый из двигателей работает через коробку передач — кардан — само</w:t>
      </w:r>
      <w:r w:rsidRPr="00640820">
        <w:rPr>
          <w:rFonts w:ascii="Times New Roman" w:hAnsi="Times New Roman"/>
          <w:color w:val="000000" w:themeColor="text1"/>
          <w:sz w:val="16"/>
          <w:szCs w:val="16"/>
        </w:rPr>
        <w:softHyphen/>
        <w:t>стоятельную главную передачу — бортовой фрикцион — бортовую переда</w:t>
      </w:r>
      <w:r w:rsidRPr="00640820">
        <w:rPr>
          <w:rFonts w:ascii="Times New Roman" w:hAnsi="Times New Roman"/>
          <w:color w:val="000000" w:themeColor="text1"/>
          <w:sz w:val="16"/>
          <w:szCs w:val="16"/>
        </w:rPr>
        <w:softHyphen/>
        <w:t>чу на ведущую звездочку. Главные передачи блокируются валом с зубчатой или эластичной муфтой. Последняя должна быть специально разработана (как вариант) с расчетом поглощения могущих возникать при переключении передан ударов. Управление газом и переключением передач — спарен</w:t>
      </w:r>
      <w:r w:rsidRPr="00640820">
        <w:rPr>
          <w:rFonts w:ascii="Times New Roman" w:hAnsi="Times New Roman"/>
          <w:color w:val="000000" w:themeColor="text1"/>
          <w:sz w:val="16"/>
          <w:szCs w:val="16"/>
        </w:rPr>
        <w:softHyphen/>
        <w:t>ное. Подвеска Т-60 с увеличенным до 5 пар числом несущих колес.</w:t>
      </w:r>
    </w:p>
    <w:p w14:paraId="413296E6" w14:textId="77777777" w:rsidR="00DA490C" w:rsidRPr="00640820" w:rsidRDefault="00DA490C" w:rsidP="00640820">
      <w:pPr>
        <w:tabs>
          <w:tab w:val="left" w:pos="1413"/>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2. Основное бронирование должно быть выполнено равным бронированию Т-60, утвержденному на 1942 г. Кроме того, должен быть представлен расчет характеристик шасси для разных видов его использования с более тяжелым бронированием (37—40—45мм) основных вертикальных листов.</w:t>
      </w:r>
    </w:p>
    <w:p w14:paraId="4CD3C38E" w14:textId="77777777" w:rsidR="00DA490C" w:rsidRPr="00640820" w:rsidRDefault="00DA490C" w:rsidP="00640820">
      <w:pPr>
        <w:tabs>
          <w:tab w:val="left" w:pos="1384"/>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Для самозащиты на близких дистанциях экипаж должен быть во</w:t>
      </w:r>
      <w:r w:rsidRPr="00640820">
        <w:rPr>
          <w:rFonts w:ascii="Times New Roman" w:hAnsi="Times New Roman"/>
          <w:color w:val="000000" w:themeColor="text1"/>
          <w:sz w:val="16"/>
          <w:szCs w:val="16"/>
        </w:rPr>
        <w:softHyphen/>
        <w:t>оружен автоматом ППШ или ППД и гранатами из расчета 700 шт. па</w:t>
      </w:r>
      <w:r w:rsidRPr="00640820">
        <w:rPr>
          <w:rFonts w:ascii="Times New Roman" w:hAnsi="Times New Roman"/>
          <w:color w:val="000000" w:themeColor="text1"/>
          <w:sz w:val="16"/>
          <w:szCs w:val="16"/>
        </w:rPr>
        <w:softHyphen/>
        <w:t>тронов на автомат и 5 гранат на человека.</w:t>
      </w:r>
    </w:p>
    <w:p w14:paraId="7301FBCB" w14:textId="77777777" w:rsidR="00DA490C" w:rsidRPr="00640820" w:rsidRDefault="00DA490C" w:rsidP="00640820">
      <w:pPr>
        <w:tabs>
          <w:tab w:val="left" w:pos="1401"/>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Платформа должна иметь запас хода по горючему 200—250 км.</w:t>
      </w:r>
    </w:p>
    <w:p w14:paraId="2E259974" w14:textId="77777777" w:rsidR="00DA490C" w:rsidRPr="00640820" w:rsidRDefault="00DA490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Специальные требования </w:t>
      </w:r>
    </w:p>
    <w:p w14:paraId="737CB09C" w14:textId="77777777" w:rsidR="00DA490C" w:rsidRPr="00640820" w:rsidRDefault="00DA490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По штурмовому орудию поддержки мотомеханизированных войск</w:t>
      </w:r>
    </w:p>
    <w:p w14:paraId="119036BA" w14:textId="77777777" w:rsidR="00DA490C" w:rsidRPr="00640820" w:rsidRDefault="00DA490C" w:rsidP="00640820">
      <w:pPr>
        <w:tabs>
          <w:tab w:val="left" w:pos="1408"/>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Орудие предназначается для совместных действий с мотомехчастя- ми против танков, ДЗОТов, укрепленных точек в населенных пунктах, а также против живой силы противника (стрельба шрапнелью).</w:t>
      </w:r>
    </w:p>
    <w:p w14:paraId="64904054" w14:textId="77777777" w:rsidR="00DA490C" w:rsidRPr="00640820" w:rsidRDefault="00DA490C" w:rsidP="00640820">
      <w:pPr>
        <w:tabs>
          <w:tab w:val="left" w:pos="1374"/>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Вес машины в походном положении 7,5—8 тонн, спец. прицепки 3,5— 4 тонны.</w:t>
      </w:r>
    </w:p>
    <w:p w14:paraId="0D00D0A7" w14:textId="77777777" w:rsidR="00DA490C" w:rsidRPr="00640820" w:rsidRDefault="00DA490C" w:rsidP="00640820">
      <w:pPr>
        <w:tabs>
          <w:tab w:val="left" w:pos="1403"/>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Система имеет противопульную и противоосколочную защиту рас</w:t>
      </w:r>
      <w:r w:rsidRPr="00640820">
        <w:rPr>
          <w:rFonts w:ascii="Times New Roman" w:hAnsi="Times New Roman"/>
          <w:color w:val="000000" w:themeColor="text1"/>
          <w:sz w:val="16"/>
          <w:szCs w:val="16"/>
        </w:rPr>
        <w:softHyphen/>
        <w:t>чета со лба и частично с боков. Экипаж, двигатель, топливные баки и боекомплект бронируются аналогично Т-60.</w:t>
      </w:r>
    </w:p>
    <w:p w14:paraId="73514CFD" w14:textId="77777777" w:rsidR="00DA490C" w:rsidRPr="00640820" w:rsidRDefault="00DA490C" w:rsidP="00640820">
      <w:pPr>
        <w:tabs>
          <w:tab w:val="left" w:pos="1418"/>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Возимый боекомплект не менее 20 штук унитарных патронов. Ос</w:t>
      </w:r>
      <w:r w:rsidRPr="00640820">
        <w:rPr>
          <w:rFonts w:ascii="Times New Roman" w:hAnsi="Times New Roman"/>
          <w:color w:val="000000" w:themeColor="text1"/>
          <w:sz w:val="16"/>
          <w:szCs w:val="16"/>
        </w:rPr>
        <w:softHyphen/>
        <w:t>новной боекомплект должен транспортироваться на прицепке к Т-60.</w:t>
      </w:r>
    </w:p>
    <w:p w14:paraId="11037A34" w14:textId="77777777" w:rsidR="00DA490C" w:rsidRPr="00640820" w:rsidRDefault="00DA490C" w:rsidP="00640820">
      <w:pPr>
        <w:tabs>
          <w:tab w:val="left" w:pos="1475"/>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Система должна иметь как минимум горизонтальный обстрел +/— 7 градусов (желательно возможно больший), вертикальный обстрел от —5 до +30 градусов.</w:t>
      </w:r>
    </w:p>
    <w:p w14:paraId="4D73CCC5" w14:textId="77777777" w:rsidR="00DA490C" w:rsidRPr="00640820" w:rsidRDefault="00DA490C" w:rsidP="00640820">
      <w:pPr>
        <w:tabs>
          <w:tab w:val="left" w:pos="1413"/>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Конструкция системы должна обеспечивать возможность ведения огня без специальных упоров (сошников).</w:t>
      </w:r>
    </w:p>
    <w:p w14:paraId="6E837E07" w14:textId="77777777" w:rsidR="00DA490C" w:rsidRPr="00640820" w:rsidRDefault="00DA490C" w:rsidP="00640820">
      <w:pPr>
        <w:tabs>
          <w:tab w:val="left" w:pos="1377"/>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Команда (вместе с водителем) 4—5 человек.</w:t>
      </w:r>
    </w:p>
    <w:p w14:paraId="4586B1ED" w14:textId="77777777" w:rsidR="00DA490C" w:rsidRPr="00640820" w:rsidRDefault="00DA490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По самоходной установке 37-мм зенитной пушки обр. 1939 г.</w:t>
      </w:r>
    </w:p>
    <w:p w14:paraId="5B64B3C7" w14:textId="77777777" w:rsidR="00DA490C" w:rsidRPr="00640820" w:rsidRDefault="00DA490C" w:rsidP="00640820">
      <w:pPr>
        <w:tabs>
          <w:tab w:val="left" w:pos="1427"/>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Самоходная установка предназначается для несения службы ПВО в составе мотомеханизированных частей, а также в качестве противо</w:t>
      </w:r>
      <w:r w:rsidRPr="00640820">
        <w:rPr>
          <w:rFonts w:ascii="Times New Roman" w:hAnsi="Times New Roman"/>
          <w:color w:val="000000" w:themeColor="text1"/>
          <w:sz w:val="16"/>
          <w:szCs w:val="16"/>
        </w:rPr>
        <w:softHyphen/>
        <w:t>танкового орудия.</w:t>
      </w:r>
    </w:p>
    <w:p w14:paraId="4151BB99" w14:textId="77777777" w:rsidR="00DA490C" w:rsidRPr="00640820" w:rsidRDefault="00DA490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Артиллерийская система должна устанавливаться на самоходном шасси, собранном на штатной платформе с поворотным кругом для на</w:t>
      </w:r>
      <w:r w:rsidRPr="00640820">
        <w:rPr>
          <w:rFonts w:ascii="Times New Roman" w:hAnsi="Times New Roman"/>
          <w:color w:val="000000" w:themeColor="text1"/>
          <w:sz w:val="16"/>
          <w:szCs w:val="16"/>
        </w:rPr>
        <w:softHyphen/>
        <w:t>земной установки-</w:t>
      </w:r>
    </w:p>
    <w:p w14:paraId="7796C268" w14:textId="77777777" w:rsidR="00DA490C" w:rsidRPr="00640820" w:rsidRDefault="00DA490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нии передан ударов. Управление газом и переключением передач — спарен</w:t>
      </w:r>
      <w:r w:rsidRPr="00640820">
        <w:rPr>
          <w:rFonts w:ascii="Times New Roman" w:hAnsi="Times New Roman"/>
          <w:color w:val="000000" w:themeColor="text1"/>
          <w:sz w:val="16"/>
          <w:szCs w:val="16"/>
        </w:rPr>
        <w:softHyphen/>
        <w:t>ное. Подвеска Т-60 с увеличенным до 5 пар числом несущих колес.</w:t>
      </w:r>
    </w:p>
    <w:p w14:paraId="6DAD0A36" w14:textId="77777777" w:rsidR="00DA490C" w:rsidRPr="00640820" w:rsidRDefault="00DA490C" w:rsidP="00640820">
      <w:pPr>
        <w:tabs>
          <w:tab w:val="left" w:pos="1413"/>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Основное бронирование должно быть выполнено равным бронированию Т-60, утвержденному на 1942 г. Кроме того, должен быть представлен расчет характеристик шасси для разных видов его использования с более тяжелым бронированием (37—40—45мм) основных вертикальных листов.</w:t>
      </w:r>
    </w:p>
    <w:p w14:paraId="226DB254" w14:textId="77777777" w:rsidR="00DA490C" w:rsidRPr="00640820" w:rsidRDefault="00DA490C" w:rsidP="00640820">
      <w:pPr>
        <w:tabs>
          <w:tab w:val="left" w:pos="550"/>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Вес самоходной установки в походном положении — 7,0 тонн.</w:t>
      </w:r>
    </w:p>
    <w:p w14:paraId="655F0BF7" w14:textId="77777777" w:rsidR="00DA490C" w:rsidRPr="00640820" w:rsidRDefault="00DA490C" w:rsidP="00640820">
      <w:pPr>
        <w:tabs>
          <w:tab w:val="left" w:pos="536"/>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Установка системы на шасси должна обеспечивать:</w:t>
      </w:r>
    </w:p>
    <w:p w14:paraId="0A5AFF91" w14:textId="77777777" w:rsidR="00DA490C" w:rsidRPr="00640820" w:rsidRDefault="00DA490C" w:rsidP="00640820">
      <w:pPr>
        <w:tabs>
          <w:tab w:val="left" w:pos="890"/>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минимальную высоту линии огня;</w:t>
      </w:r>
    </w:p>
    <w:p w14:paraId="600B0250" w14:textId="77777777" w:rsidR="00DA490C" w:rsidRPr="00640820" w:rsidRDefault="00DA490C" w:rsidP="00640820">
      <w:pPr>
        <w:tabs>
          <w:tab w:val="left" w:pos="895"/>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круговой обстрел по горизонтали;</w:t>
      </w:r>
    </w:p>
    <w:p w14:paraId="2164B073" w14:textId="77777777" w:rsidR="00DA490C" w:rsidRPr="00640820" w:rsidRDefault="00DA490C" w:rsidP="00640820">
      <w:pPr>
        <w:tabs>
          <w:tab w:val="left" w:pos="910"/>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полное использование углов возвышения и снижения, получаемых при наземной установке пушки;</w:t>
      </w:r>
    </w:p>
    <w:p w14:paraId="2ED1E925" w14:textId="77777777" w:rsidR="00DA490C" w:rsidRPr="00640820" w:rsidRDefault="00DA490C" w:rsidP="00640820">
      <w:pPr>
        <w:tabs>
          <w:tab w:val="left" w:pos="905"/>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при стрельбе из любого положения все номера расчета должны находиться на платформе.</w:t>
      </w:r>
    </w:p>
    <w:p w14:paraId="45EA0137" w14:textId="77777777" w:rsidR="00DA490C" w:rsidRPr="00640820" w:rsidRDefault="00DA490C" w:rsidP="00640820">
      <w:pPr>
        <w:tabs>
          <w:tab w:val="left" w:pos="534"/>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Боекомплект должен быть не менее 150 патронов и иметь противо- пульное и противоосколочное прикрытие.</w:t>
      </w:r>
    </w:p>
    <w:p w14:paraId="3D3D6D7A" w14:textId="77777777" w:rsidR="00DA490C" w:rsidRPr="00640820" w:rsidRDefault="00DA490C" w:rsidP="00640820">
      <w:pPr>
        <w:tabs>
          <w:tab w:val="left" w:pos="620"/>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Бронирование установки противопульное полуоткрытого типа. Круговое бронирование всех основных агрегатов и кабины водителя. Бро</w:t>
      </w:r>
      <w:r w:rsidRPr="00640820">
        <w:rPr>
          <w:rFonts w:ascii="Times New Roman" w:hAnsi="Times New Roman"/>
          <w:color w:val="000000" w:themeColor="text1"/>
          <w:sz w:val="16"/>
          <w:szCs w:val="16"/>
        </w:rPr>
        <w:softHyphen/>
        <w:t>нировка системы и команды частичная без бронировки сверху.</w:t>
      </w:r>
    </w:p>
    <w:p w14:paraId="789DBAA2" w14:textId="77777777" w:rsidR="00DA490C" w:rsidRPr="00640820" w:rsidRDefault="00DA490C" w:rsidP="00640820">
      <w:pPr>
        <w:tabs>
          <w:tab w:val="left" w:pos="526"/>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Команда (вместе с водителем) — 7 человек.</w:t>
      </w:r>
    </w:p>
    <w:p w14:paraId="560DC678" w14:textId="77777777" w:rsidR="00DA490C" w:rsidRPr="00640820" w:rsidRDefault="00DA490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По танку с башенной установкой 37-мм зенитной пушки по типу груп</w:t>
      </w:r>
      <w:r w:rsidRPr="00640820">
        <w:rPr>
          <w:rFonts w:ascii="Times New Roman" w:hAnsi="Times New Roman"/>
          <w:color w:val="000000" w:themeColor="text1"/>
          <w:sz w:val="16"/>
          <w:szCs w:val="16"/>
        </w:rPr>
        <w:softHyphen/>
        <w:t>пы Савина</w:t>
      </w:r>
    </w:p>
    <w:p w14:paraId="6983DFE7" w14:textId="77777777" w:rsidR="00DA490C" w:rsidRPr="00640820" w:rsidRDefault="00DA490C" w:rsidP="00640820">
      <w:pPr>
        <w:tabs>
          <w:tab w:val="left" w:pos="572"/>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Самоходное шасси с башенной установкой 37-мм зенитной пушки должно являться противозенитным средством мотомеханизированных войск на базе наиболее массового танка с одновременным сохранением свойств обычного танка по наземным целям.</w:t>
      </w:r>
    </w:p>
    <w:p w14:paraId="033199DB" w14:textId="77777777" w:rsidR="00DA490C" w:rsidRPr="00640820" w:rsidRDefault="00DA490C" w:rsidP="00640820">
      <w:pPr>
        <w:tabs>
          <w:tab w:val="left" w:pos="562"/>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Башенная установка должна обеспечивать круговой обстрел по го</w:t>
      </w:r>
      <w:r w:rsidRPr="00640820">
        <w:rPr>
          <w:rFonts w:ascii="Times New Roman" w:hAnsi="Times New Roman"/>
          <w:color w:val="000000" w:themeColor="text1"/>
          <w:sz w:val="16"/>
          <w:szCs w:val="16"/>
        </w:rPr>
        <w:softHyphen/>
        <w:t>ризонтали и углы возвышения от —5° до +85° и должна иметь специаль</w:t>
      </w:r>
      <w:r w:rsidRPr="00640820">
        <w:rPr>
          <w:rFonts w:ascii="Times New Roman" w:hAnsi="Times New Roman"/>
          <w:color w:val="000000" w:themeColor="text1"/>
          <w:sz w:val="16"/>
          <w:szCs w:val="16"/>
        </w:rPr>
        <w:softHyphen/>
        <w:t>ный оптический прицел для зенитной стрельбы.</w:t>
      </w:r>
    </w:p>
    <w:p w14:paraId="20E8207B" w14:textId="77777777" w:rsidR="00DA490C" w:rsidRPr="00640820" w:rsidRDefault="00DA490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Гидравлический механизм управления системой должен обладать бе</w:t>
      </w:r>
      <w:r w:rsidRPr="00640820">
        <w:rPr>
          <w:rFonts w:ascii="Times New Roman" w:hAnsi="Times New Roman"/>
          <w:color w:val="000000" w:themeColor="text1"/>
          <w:sz w:val="16"/>
          <w:szCs w:val="16"/>
        </w:rPr>
        <w:softHyphen/>
        <w:t>зынерционным действием. Люфты в механизмах горизонтальной и верти</w:t>
      </w:r>
      <w:r w:rsidRPr="00640820">
        <w:rPr>
          <w:rFonts w:ascii="Times New Roman" w:hAnsi="Times New Roman"/>
          <w:color w:val="000000" w:themeColor="text1"/>
          <w:sz w:val="16"/>
          <w:szCs w:val="16"/>
        </w:rPr>
        <w:softHyphen/>
        <w:t>кальной наводки не должны допускать отклонений системы более 0,002Д</w:t>
      </w:r>
    </w:p>
    <w:p w14:paraId="0432D1D3" w14:textId="77777777" w:rsidR="00DA490C" w:rsidRPr="00640820" w:rsidRDefault="00DA490C" w:rsidP="00640820">
      <w:pPr>
        <w:tabs>
          <w:tab w:val="left" w:pos="554"/>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В маске пушки должен устанавливаться, при наличии конструктив</w:t>
      </w:r>
      <w:r w:rsidRPr="00640820">
        <w:rPr>
          <w:rFonts w:ascii="Times New Roman" w:hAnsi="Times New Roman"/>
          <w:color w:val="000000" w:themeColor="text1"/>
          <w:sz w:val="16"/>
          <w:szCs w:val="16"/>
        </w:rPr>
        <w:softHyphen/>
        <w:t>ных возможностей, спаренный с пушкой пулемет ДТ.</w:t>
      </w:r>
    </w:p>
    <w:p w14:paraId="2CA84C8B" w14:textId="77777777" w:rsidR="00DA490C" w:rsidRPr="00640820" w:rsidRDefault="00DA490C" w:rsidP="00640820">
      <w:pPr>
        <w:tabs>
          <w:tab w:val="left" w:pos="582"/>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Возимый боекомплект не менее 150 патронов для 37-мм пушки и не менее 1500—2000 патронов для пулемета.</w:t>
      </w:r>
    </w:p>
    <w:p w14:paraId="4F8D2F83" w14:textId="77777777" w:rsidR="00DA490C" w:rsidRPr="00640820" w:rsidRDefault="00DA490C" w:rsidP="00640820">
      <w:pPr>
        <w:tabs>
          <w:tab w:val="left" w:pos="558"/>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Бронирование рассчитать на несколько вариантов соответственно изложенному выше.</w:t>
      </w:r>
    </w:p>
    <w:p w14:paraId="76648536" w14:textId="77777777" w:rsidR="00DA490C" w:rsidRPr="00640820" w:rsidRDefault="00DA490C" w:rsidP="00640820">
      <w:pPr>
        <w:tabs>
          <w:tab w:val="left" w:pos="522"/>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Вес танка 8—10 тонн.</w:t>
      </w:r>
    </w:p>
    <w:p w14:paraId="0957538B" w14:textId="77777777" w:rsidR="00DA490C" w:rsidRPr="00640820" w:rsidRDefault="00DA490C" w:rsidP="00640820">
      <w:pPr>
        <w:tabs>
          <w:tab w:val="left" w:pos="546"/>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Команда танка 3—4 человека.</w:t>
      </w:r>
    </w:p>
    <w:p w14:paraId="762CB6C3" w14:textId="77777777" w:rsidR="00DA490C" w:rsidRPr="00640820" w:rsidRDefault="00DA490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По легкому танку с броней до 45мм и спаренной установкой 45-мм пуш</w:t>
      </w:r>
      <w:r w:rsidRPr="00640820">
        <w:rPr>
          <w:rFonts w:ascii="Times New Roman" w:hAnsi="Times New Roman"/>
          <w:color w:val="000000" w:themeColor="text1"/>
          <w:sz w:val="16"/>
          <w:szCs w:val="16"/>
        </w:rPr>
        <w:softHyphen/>
        <w:t>ки и пулеметов в башне</w:t>
      </w:r>
    </w:p>
    <w:p w14:paraId="2C6C4AAE" w14:textId="77777777" w:rsidR="00DA490C" w:rsidRPr="00640820" w:rsidRDefault="00DA490C" w:rsidP="00640820">
      <w:pPr>
        <w:tabs>
          <w:tab w:val="left" w:pos="578"/>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Сравнительно легкое шасси с применением сдвоенной силовой уста</w:t>
      </w:r>
      <w:r w:rsidRPr="00640820">
        <w:rPr>
          <w:rFonts w:ascii="Times New Roman" w:hAnsi="Times New Roman"/>
          <w:color w:val="000000" w:themeColor="text1"/>
          <w:sz w:val="16"/>
          <w:szCs w:val="16"/>
        </w:rPr>
        <w:softHyphen/>
        <w:t>новки дает возможность создания легкого танка, более мощного, чем Т-60, как по броне, так и по вооружению. В случае расположения двух двигателей в носу по бортам, в кормовой части машины образуется до</w:t>
      </w:r>
      <w:r w:rsidRPr="00640820">
        <w:rPr>
          <w:rFonts w:ascii="Times New Roman" w:hAnsi="Times New Roman"/>
          <w:color w:val="000000" w:themeColor="text1"/>
          <w:sz w:val="16"/>
          <w:szCs w:val="16"/>
        </w:rPr>
        <w:softHyphen/>
        <w:t>статочная для размещения сравнительно мощного вооружения площадка.</w:t>
      </w:r>
    </w:p>
    <w:p w14:paraId="5179C828" w14:textId="77777777" w:rsidR="00DA490C" w:rsidRPr="00640820" w:rsidRDefault="00DA490C" w:rsidP="00640820">
      <w:pPr>
        <w:tabs>
          <w:tab w:val="left" w:pos="587"/>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В одной маске, в спарке с установкой 45-мм пушки, должен быть также установлен пулемет ДТ, желательно два пулемета.</w:t>
      </w:r>
    </w:p>
    <w:p w14:paraId="4800834B" w14:textId="77777777" w:rsidR="00DA490C" w:rsidRPr="00640820" w:rsidRDefault="00DA490C" w:rsidP="00640820">
      <w:pPr>
        <w:tabs>
          <w:tab w:val="left" w:pos="568"/>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Бронирование этого танка рассчитать в нескольких вариантах со</w:t>
      </w:r>
      <w:r w:rsidRPr="00640820">
        <w:rPr>
          <w:rFonts w:ascii="Times New Roman" w:hAnsi="Times New Roman"/>
          <w:color w:val="000000" w:themeColor="text1"/>
          <w:sz w:val="16"/>
          <w:szCs w:val="16"/>
        </w:rPr>
        <w:softHyphen/>
        <w:t>ответственно указанному выше.</w:t>
      </w:r>
    </w:p>
    <w:p w14:paraId="56B9A924" w14:textId="77777777" w:rsidR="00DA490C" w:rsidRPr="00640820" w:rsidRDefault="00DA490C" w:rsidP="00640820">
      <w:pPr>
        <w:tabs>
          <w:tab w:val="left" w:pos="550"/>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Вес танка 9—10 тонн.</w:t>
      </w:r>
    </w:p>
    <w:p w14:paraId="2B9A9C33" w14:textId="77777777" w:rsidR="00DA490C" w:rsidRPr="00640820" w:rsidRDefault="00DA490C" w:rsidP="00640820">
      <w:pPr>
        <w:tabs>
          <w:tab w:val="left" w:pos="546"/>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Команда 3—4 человека».</w:t>
      </w:r>
    </w:p>
    <w:p w14:paraId="65672D5D" w14:textId="77777777" w:rsidR="00DA490C" w:rsidRPr="00640820" w:rsidRDefault="00DA490C" w:rsidP="00640820">
      <w:pPr>
        <w:pStyle w:val="162"/>
        <w:shd w:val="clear" w:color="auto" w:fill="auto"/>
        <w:spacing w:line="240" w:lineRule="auto"/>
        <w:jc w:val="both"/>
        <w:rPr>
          <w:color w:val="000000" w:themeColor="text1"/>
          <w:sz w:val="16"/>
          <w:szCs w:val="16"/>
        </w:rPr>
      </w:pPr>
      <w:r w:rsidRPr="00640820">
        <w:rPr>
          <w:rFonts w:eastAsia="Calibri"/>
          <w:color w:val="000000" w:themeColor="text1"/>
          <w:sz w:val="16"/>
          <w:szCs w:val="16"/>
        </w:rPr>
        <w:t>Таким образом, помимо ЗСУ и штурмового САУ, в проект вхо</w:t>
      </w:r>
      <w:r w:rsidRPr="00640820">
        <w:rPr>
          <w:rFonts w:eastAsia="Calibri"/>
          <w:color w:val="000000" w:themeColor="text1"/>
          <w:sz w:val="16"/>
          <w:szCs w:val="16"/>
        </w:rPr>
        <w:softHyphen/>
        <w:t>дил зенитный танк, а также танк, способный потенциально заменить Т-60. В противостояние Т-60 с пушкой ЗИС-19 и Т-70 вклинилась третья сила, впрочем, появилась она слишком поздно, чтобы как-то повлиять на борьбу. Уже к концу февраля стало ясно, что Т-70 явно превосходит Т-60, запуск нового детища Астрова в серию был вопро</w:t>
      </w:r>
      <w:r w:rsidRPr="00640820">
        <w:rPr>
          <w:rFonts w:eastAsia="Calibri"/>
          <w:color w:val="000000" w:themeColor="text1"/>
          <w:sz w:val="16"/>
          <w:szCs w:val="16"/>
        </w:rPr>
        <w:softHyphen/>
        <w:t>сом времени. Таким образом, к 15 апреля 1942 года, когда состоялся пленум Артиллерийского комитета ГАУ КА, посвященный самоход</w:t>
      </w:r>
      <w:r w:rsidRPr="00640820">
        <w:rPr>
          <w:rFonts w:eastAsia="Calibri"/>
          <w:color w:val="000000" w:themeColor="text1"/>
          <w:sz w:val="16"/>
          <w:szCs w:val="16"/>
        </w:rPr>
        <w:softHyphen/>
        <w:t>ной артиллерии, универсальное шасси оказалось не удел. В качестве базы для штурмовой САУ и ЗСУ Арткомом предлагалось шасси на агрегатах Т-70 (17485).</w:t>
      </w:r>
    </w:p>
    <w:p w14:paraId="424424A6" w14:textId="77777777" w:rsidR="00DA490C" w:rsidRPr="00640820" w:rsidRDefault="00DA490C" w:rsidP="00640820">
      <w:pPr>
        <w:spacing w:after="0" w:line="240" w:lineRule="auto"/>
        <w:jc w:val="both"/>
        <w:rPr>
          <w:rFonts w:ascii="Times New Roman" w:hAnsi="Times New Roman"/>
          <w:color w:val="000000" w:themeColor="text1"/>
          <w:sz w:val="16"/>
          <w:szCs w:val="16"/>
        </w:rPr>
      </w:pPr>
    </w:p>
    <w:p w14:paraId="4B3EC24E" w14:textId="77777777" w:rsidR="00DA490C" w:rsidRPr="00640820" w:rsidRDefault="00DA490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концу ноября 1941 г. была изготовлена силовая установка Т-60 с дву</w:t>
      </w:r>
      <w:r w:rsidRPr="00640820">
        <w:rPr>
          <w:rFonts w:ascii="Times New Roman" w:hAnsi="Times New Roman"/>
          <w:color w:val="000000" w:themeColor="text1"/>
          <w:sz w:val="16"/>
          <w:szCs w:val="16"/>
        </w:rPr>
        <w:softHyphen/>
        <w:t>мя спаренными двигателями. В связи с использованием этой силовой установки был разработан новый двухдисковый главный фрикцион, почти целиком изготавливавшийся из автомобильных деталей. Для на</w:t>
      </w:r>
      <w:r w:rsidRPr="00640820">
        <w:rPr>
          <w:rFonts w:ascii="Times New Roman" w:hAnsi="Times New Roman"/>
          <w:color w:val="000000" w:themeColor="text1"/>
          <w:sz w:val="16"/>
          <w:szCs w:val="16"/>
        </w:rPr>
        <w:softHyphen/>
        <w:t>дежной работы трансмиссии при удвоенном крутящем моменте была использована коробка передач грузового автомобиля ЗИС-5 с изменен</w:t>
      </w:r>
      <w:r w:rsidRPr="00640820">
        <w:rPr>
          <w:rFonts w:ascii="Times New Roman" w:hAnsi="Times New Roman"/>
          <w:color w:val="000000" w:themeColor="text1"/>
          <w:sz w:val="16"/>
          <w:szCs w:val="16"/>
        </w:rPr>
        <w:softHyphen/>
        <w:t>ной конструкцией вторичного вала и рычага переключения передач. Кроме того, была существенно доработана система охлаждения двигате</w:t>
      </w:r>
      <w:r w:rsidRPr="00640820">
        <w:rPr>
          <w:rFonts w:ascii="Times New Roman" w:hAnsi="Times New Roman"/>
          <w:color w:val="000000" w:themeColor="text1"/>
          <w:sz w:val="16"/>
          <w:szCs w:val="16"/>
        </w:rPr>
        <w:softHyphen/>
        <w:t>лей в части привода и конструкции вентилятора (10703).</w:t>
      </w:r>
    </w:p>
    <w:p w14:paraId="41B1078C" w14:textId="77777777" w:rsidR="00DA490C" w:rsidRPr="00640820" w:rsidRDefault="00DA490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7B5E33" w14:textId="77777777" w:rsidR="00DA490C" w:rsidRPr="00640820" w:rsidRDefault="00DA490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последних числах ноября 1941 г. первые варианты спаренного моторного агрегата ГАЗ-203 дали многообещающий результат на на стенде, показав мощность 120—135 л.с. Но</w:t>
      </w:r>
      <w:r w:rsidRPr="00640820">
        <w:rPr>
          <w:rFonts w:ascii="Times New Roman" w:hAnsi="Times New Roman"/>
          <w:color w:val="000000" w:themeColor="text1"/>
          <w:sz w:val="16"/>
          <w:szCs w:val="16"/>
        </w:rPr>
        <w:softHyphen/>
        <w:t>вый двигатель представлял собой два последовательно спа</w:t>
      </w:r>
      <w:r w:rsidRPr="00640820">
        <w:rPr>
          <w:rFonts w:ascii="Times New Roman" w:hAnsi="Times New Roman"/>
          <w:color w:val="000000" w:themeColor="text1"/>
          <w:sz w:val="16"/>
          <w:szCs w:val="16"/>
        </w:rPr>
        <w:softHyphen/>
        <w:t>ренных в одном картере шестицилиндровых четырехтакт</w:t>
      </w:r>
      <w:r w:rsidRPr="00640820">
        <w:rPr>
          <w:rFonts w:ascii="Times New Roman" w:hAnsi="Times New Roman"/>
          <w:color w:val="000000" w:themeColor="text1"/>
          <w:sz w:val="16"/>
          <w:szCs w:val="16"/>
        </w:rPr>
        <w:softHyphen/>
        <w:t>ных карбюраторных мотора ГАЗ-202. Из-за увеличенных габаритов двигательной установки ГАЗ-203 в новом танке пришлось перейти на корпус увели</w:t>
      </w:r>
      <w:r w:rsidRPr="00640820">
        <w:rPr>
          <w:rFonts w:ascii="Times New Roman" w:hAnsi="Times New Roman"/>
          <w:color w:val="000000" w:themeColor="text1"/>
          <w:sz w:val="16"/>
          <w:szCs w:val="16"/>
        </w:rPr>
        <w:softHyphen/>
        <w:t>ченной длины. Общий габарит вырос незначительно, уда</w:t>
      </w:r>
      <w:r w:rsidRPr="00640820">
        <w:rPr>
          <w:rFonts w:ascii="Times New Roman" w:hAnsi="Times New Roman"/>
          <w:color w:val="000000" w:themeColor="text1"/>
          <w:sz w:val="16"/>
          <w:szCs w:val="16"/>
        </w:rPr>
        <w:softHyphen/>
        <w:t>лось использовать менее широкую номенклатуру бронепро-ката, чем Т-60. Но вес танка вырос (опытный танк «потянул» на взвешивании 8,4 т), и для компенсации перегрузки ходо</w:t>
      </w:r>
      <w:r w:rsidRPr="00640820">
        <w:rPr>
          <w:rFonts w:ascii="Times New Roman" w:hAnsi="Times New Roman"/>
          <w:color w:val="000000" w:themeColor="text1"/>
          <w:sz w:val="16"/>
          <w:szCs w:val="16"/>
        </w:rPr>
        <w:softHyphen/>
        <w:t>вой части в ней была добавлена пятая пара опорных катков (10782).</w:t>
      </w:r>
    </w:p>
    <w:p w14:paraId="7AD9AA48" w14:textId="77777777" w:rsidR="00DA490C" w:rsidRPr="00640820" w:rsidRDefault="00DA490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AC59A5" w14:textId="77777777" w:rsidR="00395D82" w:rsidRPr="00640820" w:rsidRDefault="00395D82"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shd w:val="clear" w:color="auto" w:fill="FFFFFF"/>
        </w:rPr>
        <w:t>В конце ноября 1941 года началась реализация задачи модернизации танка Т-60. При этом переделка танка шла также и с учетом обсуждения вопроса упрощения конструкции. Совещание по этой теме прошло в Горьком 11 ноября 1941 года. Всего утвердили 37 пунктов упрощений, часть из них скорее являлось крайней мерой. Стоит отметить, что от подавляющего большинства упрощений конструкции старались отказаться при первой же возможности. Тем не менее, имелась тенденция к снижению числа клепаных соединений, вместо них внедряли сварку (22032).</w:t>
      </w:r>
    </w:p>
    <w:p w14:paraId="51F7E662" w14:textId="77777777" w:rsidR="00395D82" w:rsidRPr="00640820" w:rsidRDefault="00395D82" w:rsidP="00640820">
      <w:pPr>
        <w:spacing w:after="0" w:line="240" w:lineRule="auto"/>
        <w:jc w:val="both"/>
        <w:rPr>
          <w:rFonts w:ascii="Times New Roman" w:hAnsi="Times New Roman"/>
          <w:color w:val="0070C0"/>
          <w:sz w:val="16"/>
          <w:szCs w:val="16"/>
        </w:rPr>
      </w:pPr>
    </w:p>
    <w:p w14:paraId="2E4E1678" w14:textId="77777777" w:rsidR="00395D82" w:rsidRPr="00640820" w:rsidRDefault="00395D82"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конце ноября 1941 года инженер-конструктор, который работал на Кузбассшахтпроект и разрабатывал горные машины, Куфарев вышел с предложением о создании сверхлегкой танкетки</w:t>
      </w:r>
      <w:r w:rsidRPr="00640820">
        <w:rPr>
          <w:rFonts w:ascii="Times New Roman" w:hAnsi="Times New Roman"/>
          <w:color w:val="0070C0"/>
          <w:sz w:val="16"/>
          <w:szCs w:val="16"/>
          <w:shd w:val="clear" w:color="auto" w:fill="FFFFFF"/>
        </w:rPr>
        <w:t xml:space="preserve"> ТИС-1 (Танк имени Сталина)</w:t>
      </w:r>
      <w:r w:rsidRPr="00640820">
        <w:rPr>
          <w:rFonts w:ascii="Times New Roman" w:hAnsi="Times New Roman"/>
          <w:color w:val="0070C0"/>
          <w:sz w:val="16"/>
          <w:szCs w:val="16"/>
        </w:rPr>
        <w:t>.</w:t>
      </w:r>
    </w:p>
    <w:p w14:paraId="04C0BD68" w14:textId="77777777" w:rsidR="00395D82" w:rsidRPr="00640820" w:rsidRDefault="00395D82"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Предлагалось максимально дешевое средство поддержки пехотного подразделения, способного действовать и по снегу, и по пресеченной местности, и по болоту, и даже по воде. При сухой массе 300 кг ТИС-1 могла быть дополнительно нагружена еще на 500 кг. Причем речь идет далеко не об одном вооружении и боеприпасах, а также топливе. Внутри ТИС-1 могли перевозиться боеприпасы для пехотного соединения. Грубо говоря, автор предлагал создать своеобразный аналог немецкой пехотной тележки If.8, только самоходный, с толщиной брони 6 мм и способный двигаться по пересеченной местности. Кстати говоря, по высоте (750 мм) ТИС-1 была примерно как та самая If.8.</w:t>
      </w:r>
    </w:p>
    <w:p w14:paraId="712F0104" w14:textId="77777777" w:rsidR="00395D82" w:rsidRPr="00640820" w:rsidRDefault="00395D82"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Идея Куфарева руководство Кузбассшахтпроекта заинтересовала. В помощь был выделен инженер-конструктор Семендяев, вместе с которым началась разработка рабочих чертежей ТИС-1. Далее, с разрешения руководства Анжерского Механического Завода, началось изготовление деталей для танкетки. Шел этот процесс в сложных условиях, поскольку местные предприятия оказались загружены спецзаказами. Привлекались сторонние рабочие, тем не менее, работы по ТИС-1 довели до логического конца (22573).</w:t>
      </w:r>
    </w:p>
    <w:p w14:paraId="3346E62C" w14:textId="77777777" w:rsidR="00395D82" w:rsidRPr="00640820" w:rsidRDefault="00395D82" w:rsidP="00640820">
      <w:pPr>
        <w:spacing w:after="0" w:line="240" w:lineRule="auto"/>
        <w:jc w:val="both"/>
        <w:rPr>
          <w:rFonts w:ascii="Times New Roman" w:hAnsi="Times New Roman"/>
          <w:color w:val="0070C0"/>
          <w:sz w:val="16"/>
          <w:szCs w:val="16"/>
        </w:rPr>
      </w:pPr>
    </w:p>
    <w:p w14:paraId="12DFAE6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ноября 1941 года все работы по ЗИС-41 пре</w:t>
      </w:r>
      <w:r w:rsidRPr="00640820">
        <w:rPr>
          <w:rFonts w:ascii="Times New Roman" w:hAnsi="Times New Roman"/>
          <w:color w:val="000000" w:themeColor="text1"/>
          <w:sz w:val="16"/>
          <w:szCs w:val="16"/>
        </w:rPr>
        <w:softHyphen/>
        <w:t>кратили. Последние попытки «реанимиро</w:t>
      </w:r>
      <w:r w:rsidRPr="00640820">
        <w:rPr>
          <w:rFonts w:ascii="Times New Roman" w:hAnsi="Times New Roman"/>
          <w:color w:val="000000" w:themeColor="text1"/>
          <w:sz w:val="16"/>
          <w:szCs w:val="16"/>
        </w:rPr>
        <w:softHyphen/>
        <w:t>вать» ЗИС-30 были сделаны в январе - апре</w:t>
      </w:r>
      <w:r w:rsidRPr="00640820">
        <w:rPr>
          <w:rFonts w:ascii="Times New Roman" w:hAnsi="Times New Roman"/>
          <w:color w:val="000000" w:themeColor="text1"/>
          <w:sz w:val="16"/>
          <w:szCs w:val="16"/>
        </w:rPr>
        <w:softHyphen/>
        <w:t>ле 1942 года. Группа Муравьева оснастила находившуюся на заводе первую опытную машину ЗИС-30 76-мм пушкой ЗИС-3 (это орудие было поставлено на серийное произ</w:t>
      </w:r>
      <w:r w:rsidRPr="00640820">
        <w:rPr>
          <w:rFonts w:ascii="Times New Roman" w:hAnsi="Times New Roman"/>
          <w:color w:val="000000" w:themeColor="text1"/>
          <w:sz w:val="16"/>
          <w:szCs w:val="16"/>
        </w:rPr>
        <w:softHyphen/>
        <w:t>водство только в конце декабря 1941 года взамен 57-мм пушки ЗИС-2). Однако ре</w:t>
      </w:r>
      <w:r w:rsidRPr="00640820">
        <w:rPr>
          <w:rFonts w:ascii="Times New Roman" w:hAnsi="Times New Roman"/>
          <w:color w:val="000000" w:themeColor="text1"/>
          <w:sz w:val="16"/>
          <w:szCs w:val="16"/>
        </w:rPr>
        <w:softHyphen/>
        <w:t>зультаты испытаний были признаны неудач</w:t>
      </w:r>
      <w:r w:rsidRPr="00640820">
        <w:rPr>
          <w:rFonts w:ascii="Times New Roman" w:hAnsi="Times New Roman"/>
          <w:color w:val="000000" w:themeColor="text1"/>
          <w:sz w:val="16"/>
          <w:szCs w:val="16"/>
        </w:rPr>
        <w:softHyphen/>
        <w:t>ными и дальше заводского опробования это</w:t>
      </w:r>
      <w:r w:rsidRPr="00640820">
        <w:rPr>
          <w:rFonts w:ascii="Times New Roman" w:hAnsi="Times New Roman"/>
          <w:color w:val="000000" w:themeColor="text1"/>
          <w:sz w:val="16"/>
          <w:szCs w:val="16"/>
        </w:rPr>
        <w:softHyphen/>
        <w:t>го образца дело не пошло. В марте был изго</w:t>
      </w:r>
      <w:r w:rsidRPr="00640820">
        <w:rPr>
          <w:rFonts w:ascii="Times New Roman" w:hAnsi="Times New Roman"/>
          <w:color w:val="000000" w:themeColor="text1"/>
          <w:sz w:val="16"/>
          <w:szCs w:val="16"/>
        </w:rPr>
        <w:softHyphen/>
        <w:t>товлен макет аналогичной САУ на шасси танка Т-60, но даже невооруженным глазом было видно, что машина получается со слиш</w:t>
      </w:r>
      <w:r w:rsidRPr="00640820">
        <w:rPr>
          <w:rFonts w:ascii="Times New Roman" w:hAnsi="Times New Roman"/>
          <w:color w:val="000000" w:themeColor="text1"/>
          <w:sz w:val="16"/>
          <w:szCs w:val="16"/>
        </w:rPr>
        <w:softHyphen/>
        <w:t>ком высокой линией огня, больший динами</w:t>
      </w:r>
      <w:r w:rsidRPr="00640820">
        <w:rPr>
          <w:rFonts w:ascii="Times New Roman" w:hAnsi="Times New Roman"/>
          <w:color w:val="000000" w:themeColor="text1"/>
          <w:sz w:val="16"/>
          <w:szCs w:val="16"/>
        </w:rPr>
        <w:softHyphen/>
        <w:t>ческий ход подвески обуславливал сильное раскачивание при стрельбе (11089).</w:t>
      </w:r>
    </w:p>
    <w:p w14:paraId="2A32722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51CF4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конца ноября 1941 года завод № 264 перешел на изготовление башен по упрощенной технологии, а с декабря и корпуса танка Т-34. Все это позволило резко увеличить выпуск комплектов броне- леталей для СТЗ.</w:t>
      </w:r>
    </w:p>
    <w:p w14:paraId="1989CED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Последний также вносил в конструкцию тридцатьчетверки большое количество изменений (12217).</w:t>
      </w:r>
    </w:p>
    <w:p w14:paraId="56D0748E"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161447C0" w14:textId="77777777" w:rsidR="000061E9" w:rsidRPr="00640820" w:rsidRDefault="000061E9" w:rsidP="00640820">
      <w:pPr>
        <w:pStyle w:val="28"/>
        <w:shd w:val="clear" w:color="auto" w:fill="auto"/>
        <w:spacing w:before="0" w:line="240" w:lineRule="auto"/>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В конце ноября 1941 года вновь была поднята тема «Истребителя ДОТов». Причина оказалась прозаичной: из-за эвакуации заводов и снятия с ЧТЗ и СТЗ производства тракторов, прекратился выпуск артиллерийских тягачей. Возникла угроза, что в перспективе таскать артиллерию будет просто нечем. Для исправления ситуации было принято решение включить в план на 1942 год целое семейство самоходных установок. Первым номером в списке снова шёл «Истребитель ДОТов – 152-мм пушка БР-2 на шасси из агрегатов танка КВ» (15739).</w:t>
      </w:r>
    </w:p>
    <w:p w14:paraId="23115443" w14:textId="77777777" w:rsidR="000061E9" w:rsidRPr="00640820" w:rsidRDefault="000061E9" w:rsidP="00640820">
      <w:pPr>
        <w:pStyle w:val="28"/>
        <w:shd w:val="clear" w:color="auto" w:fill="auto"/>
        <w:spacing w:before="0" w:line="240" w:lineRule="auto"/>
        <w:jc w:val="both"/>
        <w:rPr>
          <w:rFonts w:ascii="Times New Roman" w:hAnsi="Times New Roman" w:cs="Times New Roman"/>
          <w:color w:val="000000" w:themeColor="text1"/>
          <w:sz w:val="16"/>
          <w:szCs w:val="16"/>
        </w:rPr>
      </w:pPr>
    </w:p>
    <w:p w14:paraId="6ADA5B10" w14:textId="77777777" w:rsidR="000061E9" w:rsidRPr="00640820" w:rsidRDefault="000061E9" w:rsidP="00640820">
      <w:pPr>
        <w:widowControl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 концу ноября </w:t>
      </w:r>
      <w:smartTag w:uri="urn:schemas-microsoft-com:office:smarttags" w:element="metricconverter">
        <w:smartTagPr>
          <w:attr w:name="ProductID" w:val="1945 г"/>
        </w:smartTagPr>
        <w:r w:rsidRPr="00640820">
          <w:rPr>
            <w:rFonts w:ascii="Times New Roman" w:hAnsi="Times New Roman"/>
            <w:color w:val="000000" w:themeColor="text1"/>
            <w:sz w:val="16"/>
            <w:szCs w:val="16"/>
          </w:rPr>
          <w:t>1941 г</w:t>
        </w:r>
      </w:smartTag>
      <w:r w:rsidRPr="00640820">
        <w:rPr>
          <w:rFonts w:ascii="Times New Roman" w:hAnsi="Times New Roman"/>
          <w:color w:val="000000" w:themeColor="text1"/>
          <w:sz w:val="16"/>
          <w:szCs w:val="16"/>
        </w:rPr>
        <w:t>. была изготовлена силовая установка с двумя спаренными двигателями для Т-60. В связи с использованием этой силовой установки был разработан новый двухдисковой главный фрикцион, почти целиком изготавливавшийся из автомобильных деталей. Для надежной работы трансмиссии при удвоенном крутящем моменте была использована коробка передач грузового автомобиля ЗИС-5 с измененной конструкцией вторичного вала и рычага переключения передач. Кроме того, была существенно доработана система охлаждения двигателя в части привода и конструкции вентилятора (15218).</w:t>
      </w:r>
    </w:p>
    <w:p w14:paraId="55E47504" w14:textId="77777777" w:rsidR="000061E9" w:rsidRPr="00640820" w:rsidRDefault="000061E9" w:rsidP="00640820">
      <w:pPr>
        <w:widowControl w:val="0"/>
        <w:spacing w:after="0" w:line="240" w:lineRule="auto"/>
        <w:jc w:val="both"/>
        <w:rPr>
          <w:rFonts w:ascii="Times New Roman" w:hAnsi="Times New Roman"/>
          <w:color w:val="000000" w:themeColor="text1"/>
          <w:sz w:val="16"/>
          <w:szCs w:val="16"/>
        </w:rPr>
      </w:pPr>
    </w:p>
    <w:p w14:paraId="3869EC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ноября 1941 закончили сварку бронекорпуса "изделия 64-125" - будущего БА-64 (3862).</w:t>
      </w:r>
    </w:p>
    <w:p w14:paraId="529740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A7C6643" w14:textId="77777777" w:rsidR="00395D82" w:rsidRPr="00640820" w:rsidRDefault="00395D82"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конце ноября 1941 в Томск начинает прибывать оборудование завода №  355, его размещают в помещениях Томского государственного университета на Тимирязевском проспекте, 3. Хотя предприятие начало функционировать с 1936  г., производством биноклей оно не занималось (22791).</w:t>
      </w:r>
    </w:p>
    <w:p w14:paraId="016BD57C" w14:textId="77777777" w:rsidR="00395D82" w:rsidRPr="00640820" w:rsidRDefault="00395D82" w:rsidP="00640820">
      <w:pPr>
        <w:spacing w:after="0" w:line="240" w:lineRule="auto"/>
        <w:jc w:val="both"/>
        <w:rPr>
          <w:rFonts w:ascii="Times New Roman" w:hAnsi="Times New Roman"/>
          <w:color w:val="0070C0"/>
          <w:sz w:val="16"/>
          <w:szCs w:val="16"/>
        </w:rPr>
      </w:pPr>
    </w:p>
    <w:p w14:paraId="39CF632B" w14:textId="77777777" w:rsidR="00DA490C" w:rsidRPr="00640820" w:rsidRDefault="00DA490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второй половине ноября 1941 года из оставшегося оборудования филиала формового завода № 3, бывшего завода трикотажных машин Главлегмаша было организовано новое производство, выполняющее заказы НКМВ и райкома ВКП(б).</w:t>
      </w:r>
    </w:p>
    <w:p w14:paraId="641C3A71" w14:textId="77777777" w:rsidR="00DA490C" w:rsidRPr="00640820" w:rsidRDefault="00DA490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завода трикотажных машин: Москва, Калужский пер., 4 (8659,1).</w:t>
      </w:r>
    </w:p>
    <w:p w14:paraId="29FAE861" w14:textId="77777777" w:rsidR="00DA490C" w:rsidRPr="00640820" w:rsidRDefault="00DA490C" w:rsidP="00640820">
      <w:pPr>
        <w:autoSpaceDE w:val="0"/>
        <w:autoSpaceDN w:val="0"/>
        <w:adjustRightInd w:val="0"/>
        <w:spacing w:after="0" w:line="240" w:lineRule="auto"/>
        <w:jc w:val="both"/>
        <w:rPr>
          <w:rFonts w:ascii="Times New Roman" w:hAnsi="Times New Roman"/>
          <w:color w:val="000000" w:themeColor="text1"/>
          <w:sz w:val="16"/>
          <w:szCs w:val="16"/>
        </w:rPr>
      </w:pPr>
    </w:p>
    <w:p w14:paraId="19B19739" w14:textId="77777777" w:rsidR="00DA490C" w:rsidRPr="00640820" w:rsidRDefault="00DA490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ноября 1941 г. в течение двух суток Запрудненский стекольный завод был эвакуирован в Томск, где послужил основой для создания Томского электролампового завода.</w:t>
      </w:r>
    </w:p>
    <w:p w14:paraId="4D033235" w14:textId="77777777" w:rsidR="00DA490C" w:rsidRPr="00640820" w:rsidRDefault="00DA490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разгрома немцев под Москвой в конце 1941 г. на месте эвакуированного завода создан новый завод № 593 (Завод № 593 НКЭП, Запрудненский стекольный завод, п/я 124, А-1825, Запрудненский завод электровакуумных приборов МЭП, ОАО «ЗЭЛТА», АООТ «Запрудненский электровакуумный завод» /дер. Запрудня Дмитровского уезда Московской губ./ /141960 пос. Запрудня Талдомского р-на Московской обл. ул. Ленина, 1 тел. 587-24-70/). В 1942 г. налажен выпуск баллонов для подводных лодок, лыж, валенок. В 07.1943 г. завод № 593 - в ведении НКЭП. В 1945 г. вновь освоен выпуск стеклянных колб для МЭЛЗ. В 1948 г. впервые в СССР начат выпуск элктроламп большой мощности (300, 500, 700, 1000 и 1500 Вт), а с 1950 г.- бактерицидных и эритемных ламп. Освоен выпуск электроламп в тропическом исполнении. По 1971 г. выпущено более 550 млн. электроламп и более 1 млн. бактерицидных и эритемных ламп.</w:t>
      </w:r>
    </w:p>
    <w:p w14:paraId="0EAA068E" w14:textId="77777777" w:rsidR="00DA490C" w:rsidRPr="00640820" w:rsidRDefault="00DA490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1952 г. начат выпуск черно-белых кинескопов. По 1997 г. изготовлено 43 млн. черно-белых кинескопов. С 1957 по 1997 г. выпущено 1332 тыс. ЭЛТ 128 типов для МО и оборонной промышленности. В 1978 г. начат выпуск цветных кинескопов, по 1997 г. выпущено 9122 тыс. шт.</w:t>
      </w:r>
    </w:p>
    <w:p w14:paraId="2BCA2D42" w14:textId="77777777" w:rsidR="00DA490C" w:rsidRPr="00640820" w:rsidRDefault="00DA490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1957 г. началось освоение производства вакуумных приборов для пусковых блоков, систем контроля ядерных реакторов и контроля уровня радиации. По 1988 г. освоено производство 88 типов приборов, ионизационных камер и счетчиков ядерного излучения (альфа- и бета-частиц, нейтронов, гамма-излучения и фотонов).</w:t>
      </w:r>
    </w:p>
    <w:p w14:paraId="0637153F" w14:textId="77777777" w:rsidR="00DA490C" w:rsidRPr="00640820" w:rsidRDefault="00DA490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1985 г. впервые в стране разработаны и запущены в производство дисплейные кинескопы, в 1987 г. освоена серия мониторов для дисплеев и ЭВМ.</w:t>
      </w:r>
    </w:p>
    <w:p w14:paraId="0A36C451" w14:textId="77777777" w:rsidR="00DA490C" w:rsidRPr="00640820" w:rsidRDefault="00DA490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1963 г.- завод № 593. Имел наименования «п/я 124», «п/я А-1825». С 1966 г.- Запудненский завод электровакуумных приборов с СКБ, в 1990 г. - в ведении МЭП. В 1991 г. завод акционирован и преобразован в АООТ «Запрудненский электровакуумный завод». В 1997 г. ОАО «ЗЭЛТА» распалось на 9 самостоятельных АО. В 2005 г. на площадке бывшего завода действовало 31 ООО, в т.ч. «Консенсус», «Видеоэлектроника».</w:t>
      </w:r>
    </w:p>
    <w:p w14:paraId="72161444" w14:textId="77777777" w:rsidR="00DA490C" w:rsidRPr="00640820" w:rsidRDefault="00DA490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Совладелец (1914 г.)- И.И. Китайгородский.</w:t>
      </w:r>
    </w:p>
    <w:p w14:paraId="5414616C" w14:textId="77777777" w:rsidR="00DA490C" w:rsidRPr="00640820" w:rsidRDefault="00DA490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(-12.1941 г.)- А.Т. Иванов, (1945 г.)- А. Г. Гайдуков, Б.И. Любецкий, Н.Д. Астахов, С.Н. Барышников, В. Г. Остаток,  Г.П. Березин.</w:t>
      </w:r>
    </w:p>
    <w:p w14:paraId="2CEA5BA7" w14:textId="77777777" w:rsidR="00DA490C" w:rsidRPr="00640820" w:rsidRDefault="00DA490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по кап. строительству- Е.М. Макаров.</w:t>
      </w:r>
    </w:p>
    <w:p w14:paraId="35CAF354" w14:textId="77777777" w:rsidR="00DA490C" w:rsidRPr="00640820" w:rsidRDefault="00DA490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Гл. инженер- Ф.И. Бутышкин,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Гусев.</w:t>
      </w:r>
    </w:p>
    <w:p w14:paraId="45E5B94E" w14:textId="77777777" w:rsidR="00DA490C" w:rsidRPr="00640820" w:rsidRDefault="00DA490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Начальники цехов: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Гусев, П.В. Рычков, В. Г. Остаток, А. Г. Панчешников, Я.А. Райхман, М.П. Фридман, И.Н. Поляков, М.Х. Школьник, С.И. Калинин, А.В. Соколов, А.С. Гуров.</w:t>
      </w:r>
    </w:p>
    <w:p w14:paraId="1902AC5F" w14:textId="77777777" w:rsidR="00DA490C" w:rsidRPr="00640820" w:rsidRDefault="00DA490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кинескопы для телевизоров: «КВН», «Ленинград Т-2» (1952-), 35ЛК2Б для «Рекорд», «Старт» (1956-), 61Ж1Б (1970-); ионизационные камеры для реакторов комбината № 816 (1950-е).</w:t>
      </w:r>
      <w:r w:rsidRPr="00640820">
        <w:rPr>
          <w:rFonts w:ascii="Times New Roman" w:hAnsi="Times New Roman"/>
          <w:color w:val="000000" w:themeColor="text1"/>
          <w:sz w:val="16"/>
          <w:szCs w:val="16"/>
          <w:vertAlign w:val="superscript"/>
        </w:rPr>
        <w:t>101</w:t>
      </w:r>
    </w:p>
    <w:p w14:paraId="169B737C" w14:textId="77777777" w:rsidR="00DA490C" w:rsidRPr="00640820" w:rsidRDefault="00DA490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СКБ завода</w:t>
      </w:r>
    </w:p>
    <w:p w14:paraId="64AA0DA6" w14:textId="77777777" w:rsidR="00DA490C" w:rsidRPr="00640820" w:rsidRDefault="00DA490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большая номнклатура ЭЛТ для МО и оборонной промышленности. Разработана серия малогабаритных кинескопов для переносных телевизоров с диагональю 23, 31 и 44 см для поставки на экспорт. Создано 22 типа счетчиков ядерных излучений.</w:t>
      </w:r>
    </w:p>
    <w:p w14:paraId="6ADA7C95" w14:textId="77777777" w:rsidR="00DA490C" w:rsidRPr="00640820" w:rsidRDefault="00DA490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В.Я. Савельев, А.А. Грецов.</w:t>
      </w:r>
    </w:p>
    <w:p w14:paraId="5AEA53D1" w14:textId="77777777" w:rsidR="00DA490C" w:rsidRPr="00640820" w:rsidRDefault="00DA490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Л.И. Лернер.</w:t>
      </w:r>
    </w:p>
    <w:p w14:paraId="6A9E6425" w14:textId="77777777" w:rsidR="00DA490C" w:rsidRPr="00640820" w:rsidRDefault="00DA490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лабораторий: В.И. Демьянов,  Г.Ф. Волков, А.И. Бескорский, В.Е. Журов, В.П. Козлов (11982).</w:t>
      </w:r>
    </w:p>
    <w:p w14:paraId="5974DCDF" w14:textId="77777777" w:rsidR="00DA490C" w:rsidRPr="00640820" w:rsidRDefault="00DA490C" w:rsidP="00640820">
      <w:pPr>
        <w:autoSpaceDE w:val="0"/>
        <w:autoSpaceDN w:val="0"/>
        <w:adjustRightInd w:val="0"/>
        <w:spacing w:after="0" w:line="240" w:lineRule="auto"/>
        <w:jc w:val="both"/>
        <w:rPr>
          <w:rFonts w:ascii="Times New Roman" w:hAnsi="Times New Roman"/>
          <w:color w:val="000000" w:themeColor="text1"/>
          <w:sz w:val="16"/>
          <w:szCs w:val="16"/>
        </w:rPr>
      </w:pPr>
    </w:p>
    <w:p w14:paraId="0FA10E92"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30B8C32B"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B2411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концу ноября - началу декабря 1941 наступление немцев на Москву остановили. авиация за 20 дней выполнила 15840 вылетов, а немецкая - 3500. Был 41 налет на Москву, прорвалось 28 машин. Всего за время обороны Москвы - 51300, 86% в интересах обороняющихся войск, 14% - на прикрытие Москвы. Немцы потеряли 1400 машин (341,77).</w:t>
      </w:r>
    </w:p>
    <w:p w14:paraId="71AFF8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6DEC2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ноября - начале декабря 1941 в контрударах ЗФ на ближних подступах к Москве участвовали ВВС ЗФ и МВО, а также часть сил ДБА (518,230).</w:t>
      </w:r>
    </w:p>
    <w:p w14:paraId="2AE768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AB19D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ноября 1941 в частях действующей армии появились первые английские танки Valentine, но в незначительном количестве. Использовали только часть из поступивших к тому времени 145 матильд, 216 Валентайнов и 330 Универсалов. Всего СССР получил (дошли) 3332 британских и канадских танков Валентайн семи модификаций (3949).</w:t>
      </w:r>
    </w:p>
    <w:p w14:paraId="5AEC4B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62672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конца ноября 1941 к местам боевых действий отбыло 13 вновь сформированных ночных бомбардировочных авиаполков, вооруженных самолетами Р-5 и P-Z. Значительная часть ночных полков поступила на самое опасное направление в войска Западного фронта (5016).</w:t>
      </w:r>
    </w:p>
    <w:p w14:paraId="7BF58C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61402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ноября 1941 г. 9 ббап подчинили непосредственно Главному штабу ВВС КА и возложили на него выполнение особых задач. Важнейшей из них стало лидирование направляемых на фронт групп истребителей и штурмовиков, летчики которых имели недостаточную навигационную подготовку. Более двух тысяч боевых самолетов различных типов буквально “привели за руку” на фронтовые аэродромы базирования “пешки” из 9-го ббап. Наиболее подготовленные экипажи полка привлекались к решению другой особо важной задачи - сопровождению правительственных самолетов. За три неполных месяца полк совершил для этой цели 95 самолето-вылетов. Не все они окончились благополучно. Зима выдалась ранняя, и полеты нередко проходили в сложных метеоусловиях (4476).</w:t>
      </w:r>
    </w:p>
    <w:p w14:paraId="18AEAA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FC272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ноября 1941 года немецкие части, продвигаясь от города Калинина в направлении Большой Волги, начали форсировать замерзшее Иваньковское водохранилище, двигаясь по достаточно прочному льду. Работники Иваньковской ГЭС начали интенсивный сброс воды через плотину. Уровень воды в водохранилище понизился на 2 метра, лед стал оседать и ломаться. Войска и техника противника вынуждены были повернуть назад.</w:t>
      </w:r>
    </w:p>
    <w:p w14:paraId="61B864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В этот же период немецкие войска начали наступление на участке Клин - Рогачево - Дмитров. Командующий Западным фронтом Г.К. Жуков отдал распоряжение о затоплении поймы рек Сестры и Яхромы. Несмотря на налеты вражеской авиации, к 1 декабря 1941 года был осуществлен сброс воды из канала в реку Сестру через водосброс Сестринских сооружений. </w:t>
      </w:r>
    </w:p>
    <w:p w14:paraId="79F814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результате интенсивного сброса воды в реки Яхрому и Сестру на пути гитлеровской армии был поставлен мощный водный заслон (11716).</w:t>
      </w:r>
    </w:p>
    <w:p w14:paraId="3D329C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34FAD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ноября 1941 г., согласно воспоминаниям майора Жатькова, мы с Россовым приехали на улицу Кирова в указанный нам дом. У подъезда нас встретил капитан и проводил в комнату на третьем этаже. В ней с картами возились два полковника. Одному из них мы доложили о прибытии. Порывшись в картах, он выбрал нужную, уточнил номер полка и изложил задание: "Не допускать какого-либо движения по дороге Озе- рецкая (севернее Москвы), Клин, Высоко- вский завод, Теряева Слобода, Волоколамск". Удивило выражение "какого-либо", невольно возник вопрос: "А если пойдут свои войска?" В ответ было сказано:</w:t>
      </w:r>
    </w:p>
    <w:p w14:paraId="32B901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Какое ваше дело, если вам говорят, что никакого движения не должно быть!!!</w:t>
      </w:r>
    </w:p>
    <w:p w14:paraId="7E89B5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Понятно!</w:t>
      </w:r>
    </w:p>
    <w:p w14:paraId="03F5B8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Ну, а если понятно, то идите и доложите об этом командующему фронтом, - полковник указал на дверь в соседнюю комнату.</w:t>
      </w:r>
    </w:p>
    <w:p w14:paraId="04B8E1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Постучав, мы вошли. За столом сидел еще мало знакомый по портретам генерал армии Жуков. Он имел измученный и злой вид. В комнате было холодно, поэтому он сидел одетым в кожаный реглан. Мы с Россовым доложили о прибытии. Строгим тоном, разделяя слова, он спросил:</w:t>
      </w:r>
    </w:p>
    <w:p w14:paraId="439D18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Ясна ли задача?</w:t>
      </w:r>
    </w:p>
    <w:p w14:paraId="7CCEC7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 ответил, улыбаясь:</w:t>
      </w:r>
    </w:p>
    <w:p w14:paraId="23C45E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Предельно ясна!</w:t>
      </w:r>
    </w:p>
    <w:p w14:paraId="3F7CB5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ответ последовал более строгий окрик:</w:t>
      </w:r>
    </w:p>
    <w:p w14:paraId="2E4F96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Что это за улыбка?! Доулыбались, ... мать, немец почти в Москве, а он стоит и улыбается! Повторите!</w:t>
      </w:r>
    </w:p>
    <w:p w14:paraId="3E4AF0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Повторяю, сделав более серьезное выражение лица:</w:t>
      </w:r>
    </w:p>
    <w:p w14:paraId="5C01BF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Не допустить какого-либо движения по дороге Озерецкая, Клин, Высоковский завод, Теряева Слобода, Волоколамск.</w:t>
      </w:r>
    </w:p>
    <w:p w14:paraId="4A11DB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ответ последовало:</w:t>
      </w:r>
    </w:p>
    <w:p w14:paraId="2A2374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Хорошо!!! Выполните задачу - награжу, а не выполните - голова отлетит к ...!!!</w:t>
      </w:r>
    </w:p>
    <w:p w14:paraId="2D4770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 невольно вновь улыбнулся, а Жуков продолжил, но без всяких "украшений" русского языка:</w:t>
      </w:r>
    </w:p>
    <w:p w14:paraId="28B377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Хорошо!!! Желаю успеха! Идите!</w:t>
      </w:r>
    </w:p>
    <w:p w14:paraId="080302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 мы ушли готовить личный состав. Экипажи приступили к систематическим полетам на разведку указанного участка дороги. Одновременно мы продолжали перехватывать фашистские самолеты, направлявшиеся восточнее Москвы.</w:t>
      </w:r>
    </w:p>
    <w:p w14:paraId="76928C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 вот начался декабрь 1941 г. Обнаружилось заметное движение автомобилей и тракторов противника на участке дороги Волоколамск-Теряева Слобода. Полк мелкими группами (парами, звеньями) действовал по ним, нарушая перевозки.</w:t>
      </w:r>
    </w:p>
    <w:p w14:paraId="6F266E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Началось контрнаступление войск фронта. Осложнилась обстановка, ожесточилась и природа. Температура воздуха опустилась до минус 30-40 градусов , в небе повисла сильная дымка. По непонятным нам тогда причинам немецкие зенитки стали давать только один залп, а после этого умолкали. Немногочисленные истребители противника прикрывали лишь наиболее важные объекты. Если наши самолеты наносили удар по соседству, то они очень неохотно вступали в бой. Вероятно, в этот момент занималась заря будущей Победы. Где-то 10-12 декабря 1941 г. мы на нашей дороге обнаружили приближающимися к Теряевой Слободе шесть танков (при последующих вылетах их осталось только пять).</w:t>
      </w:r>
    </w:p>
    <w:p w14:paraId="3062C7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Зная задание, по которому было приказано "не допустить какого-либо движения", мы охотно набросились на эти танки, и они после атаки всем нашим полком прекратили движение. В эти дни мы делали по четыре- пять вылетов. В последующие два дня мы видели остановившиеся танки и никаких других целей на контролируемой нами дороге. В один из вылетов штурман майор Н.Морозов предложил мне:</w:t>
      </w:r>
    </w:p>
    <w:p w14:paraId="5886D5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Давайте вдоль дороги пройдем на бреющем полете и посмотрим.</w:t>
      </w:r>
    </w:p>
    <w:p w14:paraId="47AF3D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Дело в том, что морозная дымка затрудняла обнаружение объектов на дороге, поэтому его предложение было своевременным. Каково было наше удивление, когда мы обнаружили стоящими за танками до 500 различного типа автомашин. Впереди идущие танки преградили им дорогу. Все спецмашины были выкрашены в белую краску, а открытые - затянуты белым материалом. Весь последующий день мы полком бомбили и штурмовали эту колонну, и никто из нас не заметил выбегающих из машин немцев. На второй день наших штурмовых действий возле машин стали появляться отдельные солдаты, пытавшиеся укрыться в кюветах, а к концу боевых действий оба кювета заполнили замерзшие тела. Таков был вклад наших летчиков в победную копилку в битве под Москвой. Считается, что в этих боях враг лишился до 500 машин и более 5000 солдат и офицеров".</w:t>
      </w:r>
    </w:p>
    <w:p w14:paraId="28CBEF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Чтобы проверить реальные потери немцев на дороге, которую контролировал полк, во второй половине декабря А. Жатьков вместе с комиссаром полка нашел способ побывать в указанном районе. И вот что он увидел:</w:t>
      </w:r>
    </w:p>
    <w:p w14:paraId="329C97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"Поехали мы, конечно, по той дороге, которую по приказу генерала Жукова обязаны были контролировать. Миновав пункт Вы- соковский Завод, мы перед въездом в небольшую деревушку обнаружили необычную картину. По сторонам дороги стояли два замерзших немца, браво приветствовавшие "под козырек" всех проезжающих. Местные ребятишки катались с горки на каких-то непонятных санках. Подойдя к ним, мы увидели, что "санками" служили замерзшие фашисты, спины которых покрыл лед. Каждый из мальчишек волочил за собой пистолет в деревянной кобуре.</w:t>
      </w:r>
    </w:p>
    <w:p w14:paraId="3C60CB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Вскоре мы подъехали к цели. Был морозный тихий день, и эту тишину дополняло мертвое царство машин и замерзших людей. Оба кювета заполнили убитые или просто замерзшие, причем каждого укутывал или женский платок, или краденое одеяло, или половик. Все трупы были усеяны вшами. Смотрели мы с Россовым и почти одновременно подумали - все это напоминает средневековье, но каждый из нас внутренне радовался тому, что и на этих оголтелых разбойников нашлась управа..." (12042).</w:t>
      </w:r>
    </w:p>
    <w:p w14:paraId="685E72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A530934" w14:textId="77777777" w:rsidR="005F2873" w:rsidRPr="00640820" w:rsidRDefault="005F2873"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 конце ноября 1941 года первые Valentine II пошли в бой. Их получили экипажи 136-го, 137-го, 138-го и 139-го отдельных танковых батальонов. Поскольку батальоны формировались в спешке, знание матчасти у танкистов оказалось минимальным. Добавившиеся к этому проблемы, связанные с системой охлаждения и плохо работающими на льду траками, лишь усугубили ситуацию. Части понесли потери, и на танки посыпались жалобы. Впрочем, это вполне нормальная ситуация для почти любой новой техники, которая впервые идёт в бой.</w:t>
      </w:r>
    </w:p>
    <w:p w14:paraId="2E94C996" w14:textId="77777777" w:rsidR="005F2873" w:rsidRPr="00640820" w:rsidRDefault="005F2873"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Возникшие проблемы стали решать совместно с англичанами. На жалобу по поводу недостатка запчастей английская сторона отреагировала быстро: 22 ноября 1941 года в Архангельск прибыл конвой PQ-3, который, помимо 50 Valentine, доставил 317 тонн запасных частей. Ключевую роль в налаживании контактов сыграл генерал Фрэнк Ноэль Мейсон-Макфарлейн (в переписке используется написание фамилии «Макфарлан»), глава Британской военной миссии в СССР. Для обеспечения взаимодействия на местах в Казань, Горький и Архангельск были высланы британские инструкторы и переводчики. Со следующим конвоем, PQ-4, в СССР направили ещё 700 тонн запчастей.</w:t>
      </w:r>
    </w:p>
    <w:p w14:paraId="1D065417" w14:textId="77777777" w:rsidR="005F2873" w:rsidRPr="00640820" w:rsidRDefault="005F2873"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Учтя ошибки, с декабря 1941 года танки, отправляющиеся в СССР, британцы стали заправлять антифризом (60% этилен-гликоля и 40% воды). Кроме того, были введены новые типы смазки. Схожим образом решалась и проблема с аккумуляторами. Боекомплект для каждого прибывающего Valentine был увеличен до 520 выстрелов (примерно 8,6 боекомплекта), что решило проблему нехватки снарядов. Достаточно оперативные работы, проведённые Британской миссией в СССР совместно с советскими специалистами, в значительной степени решили вскрывшиеся в начале эксплуатации проблемы.</w:t>
      </w:r>
    </w:p>
    <w:p w14:paraId="16D4AC9B" w14:textId="77777777" w:rsidR="005F2873" w:rsidRPr="00640820" w:rsidRDefault="005F2873"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Отдельной темой является учёт танков. До 28 ноября 1941 года он не вёлся совсем. Больше того, даже приёмные акты в портах появлялись с большими перебоями. Только в начале декабря начался удовлетворительный учёт техники, который, впрочем, все равно вёлся с нюансами. Например, в документах об отправке танков в части в числе получателей отсутствует 136-й отдельный танковый батальон, который по бумагам якобы получал только «Матильды». На деле же он не только получал «Валентины» (так очень часто называли эти танки), но и терял их.</w:t>
      </w:r>
    </w:p>
    <w:p w14:paraId="77EE7D43" w14:textId="77777777" w:rsidR="005F2873" w:rsidRPr="00640820" w:rsidRDefault="005F2873"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Дело в том, что официальные документы об отправках зачастую могли содержать информацию лишь о первом адресате. А куда дальше отправился танк — это уже совсем другой вопрос. В 1941–42 годах подобные вещи были в порядке вещей. Зачастую реального получателя можно определить только по документам самой части, при условии, что в ней документация по зачислению экипажей и приёму танков, а также их списанию, велась регулярно. Очень частым явлением в ходе войны была передача техники из одной воинской части в другую, что вносило ещё больший сумбур в происходящее.</w:t>
      </w:r>
    </w:p>
    <w:p w14:paraId="13487412" w14:textId="77777777" w:rsidR="005F2873" w:rsidRPr="00640820" w:rsidRDefault="005F2873"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Тем не менее, учёт, который вёлся в ГАБТУ, а также приёмные акты из Архангельска и Мурманска, куда прибывали северные конвои, позволяют в общих чертах понять, что же за матчасть прибывала в СССР. При этом точного числа некоторых модификаций Valentine, прибывших в СССР, получить невозможно. Это связано с тем, что нормальным явлением был выпуск разных модификаций танка в рамках одного контракта. К тому же, Valentine выпускали сразу на трёх заводах, что ещё сильнее усложняет выяснение точных цифр (17670).</w:t>
      </w:r>
    </w:p>
    <w:p w14:paraId="5D998C69" w14:textId="77777777" w:rsidR="005F2873" w:rsidRPr="00640820" w:rsidRDefault="005F2873"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DD027A1" w14:textId="77777777" w:rsidR="00A90FF1" w:rsidRPr="00640820" w:rsidRDefault="00A90FF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конце но</w:t>
      </w:r>
      <w:r w:rsidRPr="00640820">
        <w:rPr>
          <w:rFonts w:ascii="Times New Roman" w:hAnsi="Times New Roman"/>
          <w:color w:val="0070C0"/>
          <w:sz w:val="16"/>
          <w:szCs w:val="16"/>
        </w:rPr>
        <w:softHyphen/>
        <w:t>ября 1941 года группу из трех человек вывезли на самолете в район Пенемюнде. Радистом в группе был сын члена ГКО Сергей Берия: «Наша группа должна была десантироваться на территории Германии в районе Пенемюнде. Легенды у моих спутников-немцев были отработаны до мелочей. Мне предстояло, как радисту, передавать в Центр информацию об испы</w:t>
      </w:r>
      <w:r w:rsidRPr="00640820">
        <w:rPr>
          <w:rFonts w:ascii="Times New Roman" w:hAnsi="Times New Roman"/>
          <w:color w:val="0070C0"/>
          <w:sz w:val="16"/>
          <w:szCs w:val="16"/>
        </w:rPr>
        <w:softHyphen/>
        <w:t>таниях нового оружия... Внизу простира</w:t>
      </w:r>
      <w:r w:rsidRPr="00640820">
        <w:rPr>
          <w:rFonts w:ascii="Times New Roman" w:hAnsi="Times New Roman"/>
          <w:color w:val="0070C0"/>
          <w:sz w:val="16"/>
          <w:szCs w:val="16"/>
        </w:rPr>
        <w:softHyphen/>
        <w:t>лась окутанное туманом Балтийское море; даже на бреющем полете ничего нельзя было рассмотреть... Мы уже готовились к выброске, когда сообщили: «Возвращаем</w:t>
      </w:r>
      <w:r w:rsidRPr="00640820">
        <w:rPr>
          <w:rFonts w:ascii="Times New Roman" w:hAnsi="Times New Roman"/>
          <w:color w:val="0070C0"/>
          <w:sz w:val="16"/>
          <w:szCs w:val="16"/>
        </w:rPr>
        <w:softHyphen/>
        <w:t>ся, сильный туман».</w:t>
      </w:r>
    </w:p>
    <w:p w14:paraId="458D3523" w14:textId="77777777" w:rsidR="00A90FF1" w:rsidRPr="00640820" w:rsidRDefault="00A90FF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lastRenderedPageBreak/>
        <w:t>Через три-четыре дня мы предприняли вторую попытку. Целый час кружили, но последовал приказ о возвращении...» — выяснилось, что провалились явки.</w:t>
      </w:r>
    </w:p>
    <w:p w14:paraId="553C6B89" w14:textId="77777777" w:rsidR="00A90FF1" w:rsidRPr="00640820" w:rsidRDefault="00A90FF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Тогда группа была заброшена в Иран, чтобы через Турцию переправить ее в Гер</w:t>
      </w:r>
      <w:r w:rsidRPr="00640820">
        <w:rPr>
          <w:rFonts w:ascii="Times New Roman" w:hAnsi="Times New Roman"/>
          <w:color w:val="0070C0"/>
          <w:sz w:val="16"/>
          <w:szCs w:val="16"/>
        </w:rPr>
        <w:softHyphen/>
        <w:t>манию. В задуманной операции получилось не все. Лишь одному из группы, немцу-ан</w:t>
      </w:r>
      <w:r w:rsidRPr="00640820">
        <w:rPr>
          <w:rFonts w:ascii="Times New Roman" w:hAnsi="Times New Roman"/>
          <w:color w:val="0070C0"/>
          <w:sz w:val="16"/>
          <w:szCs w:val="16"/>
        </w:rPr>
        <w:softHyphen/>
        <w:t>тифашисту, удалось достичь цели — внед</w:t>
      </w:r>
      <w:r w:rsidRPr="00640820">
        <w:rPr>
          <w:rFonts w:ascii="Times New Roman" w:hAnsi="Times New Roman"/>
          <w:color w:val="0070C0"/>
          <w:sz w:val="16"/>
          <w:szCs w:val="16"/>
        </w:rPr>
        <w:softHyphen/>
        <w:t>риться в центр Пенемюнде, в «команду фон Брауна». После войны он вместе с другими уехал в США.</w:t>
      </w:r>
    </w:p>
    <w:p w14:paraId="09F64F39" w14:textId="77777777" w:rsidR="00A90FF1" w:rsidRPr="00640820" w:rsidRDefault="00A90FF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А Серго Берия? «...мы остались вдво</w:t>
      </w:r>
      <w:r w:rsidRPr="00640820">
        <w:rPr>
          <w:rFonts w:ascii="Times New Roman" w:hAnsi="Times New Roman"/>
          <w:color w:val="0070C0"/>
          <w:sz w:val="16"/>
          <w:szCs w:val="16"/>
        </w:rPr>
        <w:softHyphen/>
        <w:t>ем, но вскоре к нам присоединилась груп</w:t>
      </w:r>
      <w:r w:rsidRPr="00640820">
        <w:rPr>
          <w:rFonts w:ascii="Times New Roman" w:hAnsi="Times New Roman"/>
          <w:color w:val="0070C0"/>
          <w:sz w:val="16"/>
          <w:szCs w:val="16"/>
        </w:rPr>
        <w:softHyphen/>
        <w:t>па курдов и персов из десяти человек». Задачей этой команды стало выявление немецкой агентуры (22798).</w:t>
      </w:r>
    </w:p>
    <w:p w14:paraId="4949F920" w14:textId="77777777" w:rsidR="00A90FF1" w:rsidRPr="00640820" w:rsidRDefault="00A90FF1" w:rsidP="00640820">
      <w:pPr>
        <w:spacing w:after="0" w:line="240" w:lineRule="auto"/>
        <w:jc w:val="both"/>
        <w:rPr>
          <w:rFonts w:ascii="Times New Roman" w:hAnsi="Times New Roman"/>
          <w:color w:val="0070C0"/>
          <w:sz w:val="16"/>
          <w:szCs w:val="16"/>
        </w:rPr>
      </w:pPr>
    </w:p>
    <w:p w14:paraId="66AC88FC"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04101A85"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8D614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концу ноября 1941 американские порты покинули 39 самолетов "Томагаук", отгрузка которых началась с октября 1941. В их число вошла и партия истребителей типа Р 40, которую начали готовить еще в начала июля. К нам прибыли 20 Р-40 и один P-40G - переделка Р-40 под крыло Р-40С с дополнительными пулеметами (3457,41).</w:t>
      </w:r>
    </w:p>
    <w:p w14:paraId="47D083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55C07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концу ноября 1941 26 Кертисс 0-52 покинули американские порты и па судах арктических конвоев отправились в СССР. Вскоре за ними последовали и остальные четыре. До наших берегов добрались только 19 машин, остальные пошли ко дну вместе с перевозившими их транспортами. Пять американских разведчиков прошли нашу военную приемку в самом конце 1941 года и еще 14 - в начале следующего года (3457,124).</w:t>
      </w:r>
    </w:p>
    <w:p w14:paraId="56A3A7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2AF1A46" w14:textId="77777777" w:rsidR="00B626D3" w:rsidRPr="00640820" w:rsidRDefault="00B626D3"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028FC17B" w14:textId="77777777" w:rsidR="00B626D3" w:rsidRPr="00640820" w:rsidRDefault="00B626D3"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E8D2EA0" w14:textId="77777777" w:rsidR="00B626D3" w:rsidRPr="00640820" w:rsidRDefault="00B626D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xml:space="preserve">Во второй половине ноября 1941 северо-западнее Москвы обнаружили еще два самолета </w:t>
      </w:r>
      <w:r w:rsidRPr="00640820">
        <w:rPr>
          <w:rFonts w:ascii="Times New Roman" w:hAnsi="Times New Roman"/>
          <w:color w:val="0070C0"/>
          <w:sz w:val="16"/>
          <w:szCs w:val="16"/>
          <w:lang w:val="en-US"/>
        </w:rPr>
        <w:t>Bf</w:t>
      </w:r>
      <w:r w:rsidRPr="00640820">
        <w:rPr>
          <w:rFonts w:ascii="Times New Roman" w:hAnsi="Times New Roman"/>
          <w:color w:val="0070C0"/>
          <w:sz w:val="16"/>
          <w:szCs w:val="16"/>
        </w:rPr>
        <w:t>-109</w:t>
      </w:r>
      <w:r w:rsidRPr="00640820">
        <w:rPr>
          <w:rFonts w:ascii="Times New Roman" w:hAnsi="Times New Roman"/>
          <w:color w:val="0070C0"/>
          <w:sz w:val="16"/>
          <w:szCs w:val="16"/>
          <w:lang w:val="en-US"/>
        </w:rPr>
        <w:t>E</w:t>
      </w:r>
      <w:r w:rsidRPr="00640820">
        <w:rPr>
          <w:rFonts w:ascii="Times New Roman" w:hAnsi="Times New Roman"/>
          <w:color w:val="0070C0"/>
          <w:sz w:val="16"/>
          <w:szCs w:val="16"/>
        </w:rPr>
        <w:t>. Специальная комиссия описала особенности машин, сфотографировала их и сняла различные таблички. Только теперь четко уяснили, что имеют дело с новой модификацией уже известного самолета. Достоверно известно, что один из этих истребителей эвакуировали в Москву. Некоторое время он экспонировался в центральном доме авиации (23186).</w:t>
      </w:r>
    </w:p>
    <w:p w14:paraId="79428670" w14:textId="77777777" w:rsidR="00B626D3" w:rsidRPr="00640820" w:rsidRDefault="00B626D3" w:rsidP="00640820">
      <w:pPr>
        <w:spacing w:after="0" w:line="240" w:lineRule="auto"/>
        <w:jc w:val="both"/>
        <w:rPr>
          <w:rFonts w:ascii="Times New Roman" w:hAnsi="Times New Roman"/>
          <w:color w:val="0070C0"/>
          <w:sz w:val="16"/>
          <w:szCs w:val="16"/>
        </w:rPr>
      </w:pPr>
    </w:p>
    <w:p w14:paraId="5F5BC32A"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5E5AFAAC"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34F7F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в считанные дни в ОКБ С.В.И. разработали техническую документацию на убирающееся лыжное шасси Ил-2: в полете лыжи прижимались к доработанным гондолам шасси. С убранными лыжам скорость умень-цалась всего на 10-12 км/ч. Самолеты с лыжным шас-:и довольно широко применялись зимой 1941-1942 гг., внеся существенный вклад в разгром немцев под Москвой. В дальнейшем, с повсеместным введением укатки нежных взлетно-посадочных полос, от лыжного шаси отказались, и Ил-2 круглый год эксплуатировались на колесах (9528).</w:t>
      </w:r>
    </w:p>
    <w:p w14:paraId="7BD015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8D8BC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Ил-2 в Воронеже продолжалось до ноября 1941 и с декабря, после эвакуации завода было возобновлено в Куйбышеве (23,56).</w:t>
      </w:r>
    </w:p>
    <w:p w14:paraId="2DBA32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B239CD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все три авиазавода собрали только три «ильюшина» (9984).</w:t>
      </w:r>
    </w:p>
    <w:p w14:paraId="0045FD8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1B77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ноябре 1941 г. вышло постановление ГКО о постройке на заводе № 18 двадцати самолетов Ил-2 с 37-мм пушками конструкции ОКБ-15. Для их вооружении требовалось 40 пушек. Пушки изготовили в Ижевске спешно, в течение полутора месяцев, преодолев огромные трудности, но самолеты Ил-2 с серийными Ш-37 попали на фронт лишь осенью 1942 г. К этому времени прошла испытания и положительно себя зарекомендовала 37-мм пушка конструкции ОКБ-16, которая теперь называлась НС-37. Она выгодно отличалась от Ш-37 меньшими массой и силой отдачи, наличием ленточного питания и более высокой надежностью. Именно этими пушками начиная с 1943 г. было вооружено свыше тысячи Ил-2 и почти три тысячи самолетов Як-9Т. Как отмечал Н.В. Новиков, "годы, ушедшие на создание авиационного 23-мм автомата, пушки МП-6, разработанной с учетом перспективной технологии, не прошли напрасно. Работа над этой пушкой коллектива КБ обогатила конструкторов значительным опытом и дала много материала для создания новой, более мощной пушки НС-37" (11148). </w:t>
      </w:r>
    </w:p>
    <w:p w14:paraId="70B181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4C4407E" w14:textId="77777777" w:rsidR="00DD1D54" w:rsidRPr="00640820" w:rsidRDefault="00DD1D5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остро встал вопрос об увеличении производства более нужных для фронта штурмовиков Ил-2 и усилению их обороноспособности. В результате 19 ноября 1941 г. вышло постановление ГКО № 916 «О постановке производства самолёта Ил-2 с мотором М-82 на заводе 135» вместо Су-2 и одновременно постановление № 915 «О по</w:t>
      </w:r>
      <w:r w:rsidRPr="00640820">
        <w:rPr>
          <w:rFonts w:ascii="Times New Roman" w:hAnsi="Times New Roman"/>
          <w:color w:val="000000" w:themeColor="text1"/>
          <w:sz w:val="16"/>
          <w:szCs w:val="16"/>
        </w:rPr>
        <w:softHyphen/>
        <w:t>становке моторов М-82 на самолётах ТБ-7, 103, Ил-2 и ДБ-ЗФ». В соответствии с последним предписывалось (приказ НКАП № 1147 от 20.11.41 г.): «1. Директору завода № 124 тов. Окулову и главному конструктору тов. Незвалю обеспечить срочную установку и отработку моторов М-82 на самолёте ТБ-7 (15788).</w:t>
      </w:r>
    </w:p>
    <w:p w14:paraId="57EB0341" w14:textId="77777777" w:rsidR="00DD1D54" w:rsidRPr="00640820" w:rsidRDefault="00DD1D54" w:rsidP="00640820">
      <w:pPr>
        <w:spacing w:after="0" w:line="240" w:lineRule="auto"/>
        <w:jc w:val="both"/>
        <w:rPr>
          <w:rFonts w:ascii="Times New Roman" w:hAnsi="Times New Roman"/>
          <w:color w:val="000000" w:themeColor="text1"/>
          <w:sz w:val="16"/>
          <w:szCs w:val="16"/>
        </w:rPr>
      </w:pPr>
    </w:p>
    <w:p w14:paraId="6DE8BA83" w14:textId="77777777" w:rsidR="00F24BA9" w:rsidRPr="00640820" w:rsidRDefault="00F24BA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 вышло постановление ГКО о постройке на заводе № 18 двадцати Ил-2 с 37-мм пушками конструкции ОКБ-15. Для их вооружении требовалось 40 пушек. Пушки изготовили в Ижевске спешно, в течение полутора месяцев, преодолев огромные трудности, но Ил-2 с серийными Ш-37 попали на фронт лишь осенью 1942 г. К этому времени прошла испытания и положительно себя зарекомендовала 37-мм пушка конст</w:t>
      </w:r>
      <w:r w:rsidRPr="00640820">
        <w:rPr>
          <w:rFonts w:ascii="Times New Roman" w:hAnsi="Times New Roman"/>
          <w:color w:val="000000" w:themeColor="text1"/>
          <w:sz w:val="16"/>
          <w:szCs w:val="16"/>
        </w:rPr>
        <w:softHyphen/>
        <w:t xml:space="preserve">рукции ОКБ-16, теперь она-называлась НС-37. Она выгодно отличалась от </w:t>
      </w:r>
      <w:r w:rsidRPr="00640820">
        <w:rPr>
          <w:rFonts w:ascii="Times New Roman" w:hAnsi="Times New Roman"/>
          <w:color w:val="000000" w:themeColor="text1"/>
          <w:sz w:val="16"/>
          <w:szCs w:val="16"/>
          <w:lang w:val="en-US"/>
        </w:rPr>
        <w:t>LLI</w:t>
      </w:r>
      <w:r w:rsidRPr="00640820">
        <w:rPr>
          <w:rFonts w:ascii="Times New Roman" w:hAnsi="Times New Roman"/>
          <w:color w:val="000000" w:themeColor="text1"/>
          <w:sz w:val="16"/>
          <w:szCs w:val="16"/>
        </w:rPr>
        <w:t>-37 мень</w:t>
      </w:r>
      <w:r w:rsidRPr="00640820">
        <w:rPr>
          <w:rFonts w:ascii="Times New Roman" w:hAnsi="Times New Roman"/>
          <w:color w:val="000000" w:themeColor="text1"/>
          <w:sz w:val="16"/>
          <w:szCs w:val="16"/>
        </w:rPr>
        <w:softHyphen/>
        <w:t>шими массой и силой отдачи, наличием ленточного питания и более высокой надежно</w:t>
      </w:r>
      <w:r w:rsidRPr="00640820">
        <w:rPr>
          <w:rFonts w:ascii="Times New Roman" w:hAnsi="Times New Roman"/>
          <w:color w:val="000000" w:themeColor="text1"/>
          <w:sz w:val="16"/>
          <w:szCs w:val="16"/>
        </w:rPr>
        <w:softHyphen/>
        <w:t>стью. Именно этими пушками, начиная с 1943 г., вооружили свыше тысячи Ил-2 и почти три тысячи Як-9Т. Как отмечал Н.В. Новиков, «годы, ушедшие на создание авиационно</w:t>
      </w:r>
      <w:r w:rsidRPr="00640820">
        <w:rPr>
          <w:rFonts w:ascii="Times New Roman" w:hAnsi="Times New Roman"/>
          <w:color w:val="000000" w:themeColor="text1"/>
          <w:sz w:val="16"/>
          <w:szCs w:val="16"/>
        </w:rPr>
        <w:softHyphen/>
        <w:t>го 23-мм автомата, пушки МП-6, разработанной с учетом перспективной технологии, не прошли напрасно. Работа над этой пушкой коллектива КБ обогатила конструкторов зна</w:t>
      </w:r>
      <w:r w:rsidRPr="00640820">
        <w:rPr>
          <w:rFonts w:ascii="Times New Roman" w:hAnsi="Times New Roman"/>
          <w:color w:val="000000" w:themeColor="text1"/>
          <w:sz w:val="16"/>
          <w:szCs w:val="16"/>
        </w:rPr>
        <w:softHyphen/>
        <w:t>чительным опытом и дала много материала для создания новой, более мощной пушки НС-37» (15787).</w:t>
      </w:r>
    </w:p>
    <w:p w14:paraId="144834FE" w14:textId="77777777" w:rsidR="00F24BA9" w:rsidRPr="00640820" w:rsidRDefault="00F24BA9" w:rsidP="00640820">
      <w:pPr>
        <w:spacing w:after="0" w:line="240" w:lineRule="auto"/>
        <w:jc w:val="both"/>
        <w:rPr>
          <w:rFonts w:ascii="Times New Roman" w:hAnsi="Times New Roman"/>
          <w:color w:val="000000" w:themeColor="text1"/>
          <w:sz w:val="16"/>
          <w:szCs w:val="16"/>
        </w:rPr>
      </w:pPr>
    </w:p>
    <w:p w14:paraId="5CD3BAA7" w14:textId="77777777" w:rsidR="0036767C" w:rsidRPr="00640820" w:rsidRDefault="0036767C"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ноябре 1941 г. промышленно</w:t>
      </w:r>
      <w:r w:rsidRPr="00640820">
        <w:rPr>
          <w:rFonts w:ascii="Times New Roman" w:hAnsi="Times New Roman"/>
          <w:color w:val="0070C0"/>
          <w:sz w:val="16"/>
          <w:szCs w:val="16"/>
        </w:rPr>
        <w:softHyphen/>
        <w:t>сти в срочном порядке были заказа</w:t>
      </w:r>
      <w:r w:rsidRPr="00640820">
        <w:rPr>
          <w:rFonts w:ascii="Times New Roman" w:hAnsi="Times New Roman"/>
          <w:color w:val="0070C0"/>
          <w:sz w:val="16"/>
          <w:szCs w:val="16"/>
        </w:rPr>
        <w:softHyphen/>
        <w:t>ны войсковые серии опытных противо</w:t>
      </w:r>
      <w:r w:rsidRPr="00640820">
        <w:rPr>
          <w:rFonts w:ascii="Times New Roman" w:hAnsi="Times New Roman"/>
          <w:color w:val="0070C0"/>
          <w:sz w:val="16"/>
          <w:szCs w:val="16"/>
        </w:rPr>
        <w:softHyphen/>
        <w:t>танковых вариантов самолетов Ил-2 и ЛаГГ-3 с 37-мм пушками Ш-37 конструк</w:t>
      </w:r>
      <w:r w:rsidRPr="00640820">
        <w:rPr>
          <w:rFonts w:ascii="Times New Roman" w:hAnsi="Times New Roman"/>
          <w:color w:val="0070C0"/>
          <w:sz w:val="16"/>
          <w:szCs w:val="16"/>
        </w:rPr>
        <w:softHyphen/>
        <w:t>ции ОКБ-15 Б.Г. Шпитального. Бронебой</w:t>
      </w:r>
      <w:r w:rsidRPr="00640820">
        <w:rPr>
          <w:rFonts w:ascii="Times New Roman" w:hAnsi="Times New Roman"/>
          <w:color w:val="0070C0"/>
          <w:sz w:val="16"/>
          <w:szCs w:val="16"/>
        </w:rPr>
        <w:softHyphen/>
        <w:t>ный снаряд к этой пушке пробивал тан</w:t>
      </w:r>
      <w:r w:rsidRPr="00640820">
        <w:rPr>
          <w:rFonts w:ascii="Times New Roman" w:hAnsi="Times New Roman"/>
          <w:color w:val="0070C0"/>
          <w:sz w:val="16"/>
          <w:szCs w:val="16"/>
        </w:rPr>
        <w:softHyphen/>
        <w:t>ковую броню толщиной 30 мм с дистан</w:t>
      </w:r>
      <w:r w:rsidRPr="00640820">
        <w:rPr>
          <w:rFonts w:ascii="Times New Roman" w:hAnsi="Times New Roman"/>
          <w:color w:val="0070C0"/>
          <w:sz w:val="16"/>
          <w:szCs w:val="16"/>
        </w:rPr>
        <w:softHyphen/>
        <w:t>ции до 500 м при углах встречи в пре</w:t>
      </w:r>
      <w:r w:rsidRPr="00640820">
        <w:rPr>
          <w:rFonts w:ascii="Times New Roman" w:hAnsi="Times New Roman"/>
          <w:color w:val="0070C0"/>
          <w:sz w:val="16"/>
          <w:szCs w:val="16"/>
        </w:rPr>
        <w:softHyphen/>
        <w:t>делах 45°, а 50-мм броню - с 200 м и ближе при углах встречи до 5°. Попада</w:t>
      </w:r>
      <w:r w:rsidRPr="00640820">
        <w:rPr>
          <w:rFonts w:ascii="Times New Roman" w:hAnsi="Times New Roman"/>
          <w:color w:val="0070C0"/>
          <w:sz w:val="16"/>
          <w:szCs w:val="16"/>
        </w:rPr>
        <w:softHyphen/>
        <w:t>ния 37-мм снарядов в элементы ходовой части танка производили существенные разрушения, выводящие танк из строя. То есть, пушка Ш-37 была весьма эффек</w:t>
      </w:r>
      <w:r w:rsidRPr="00640820">
        <w:rPr>
          <w:rFonts w:ascii="Times New Roman" w:hAnsi="Times New Roman"/>
          <w:color w:val="0070C0"/>
          <w:sz w:val="16"/>
          <w:szCs w:val="16"/>
        </w:rPr>
        <w:softHyphen/>
        <w:t>тивным оружием против легких и сред</w:t>
      </w:r>
      <w:r w:rsidRPr="00640820">
        <w:rPr>
          <w:rFonts w:ascii="Times New Roman" w:hAnsi="Times New Roman"/>
          <w:color w:val="0070C0"/>
          <w:sz w:val="16"/>
          <w:szCs w:val="16"/>
        </w:rPr>
        <w:softHyphen/>
        <w:t>них танков и главное, самым точным ору</w:t>
      </w:r>
      <w:r w:rsidRPr="00640820">
        <w:rPr>
          <w:rFonts w:ascii="Times New Roman" w:hAnsi="Times New Roman"/>
          <w:color w:val="0070C0"/>
          <w:sz w:val="16"/>
          <w:szCs w:val="16"/>
        </w:rPr>
        <w:softHyphen/>
        <w:t>жием из всего арсенала авиационных средств поражения.</w:t>
      </w:r>
    </w:p>
    <w:p w14:paraId="41AC8085" w14:textId="77777777" w:rsidR="0036767C" w:rsidRPr="00640820" w:rsidRDefault="0036767C"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Одновременно началась разработка новых надежно действующих зажигатель</w:t>
      </w:r>
      <w:r w:rsidRPr="00640820">
        <w:rPr>
          <w:rFonts w:ascii="Times New Roman" w:hAnsi="Times New Roman"/>
          <w:color w:val="0070C0"/>
          <w:sz w:val="16"/>
          <w:szCs w:val="16"/>
        </w:rPr>
        <w:softHyphen/>
        <w:t>ных средств, мощных осколочных бомб, дающих при разрыве осколки с большой кинетической энергией, боеприпасов ку</w:t>
      </w:r>
      <w:r w:rsidRPr="00640820">
        <w:rPr>
          <w:rFonts w:ascii="Times New Roman" w:hAnsi="Times New Roman"/>
          <w:color w:val="0070C0"/>
          <w:sz w:val="16"/>
          <w:szCs w:val="16"/>
        </w:rPr>
        <w:softHyphen/>
        <w:t>мулятивного действия и снарядов кали</w:t>
      </w:r>
      <w:r w:rsidRPr="00640820">
        <w:rPr>
          <w:rFonts w:ascii="Times New Roman" w:hAnsi="Times New Roman"/>
          <w:color w:val="0070C0"/>
          <w:sz w:val="16"/>
          <w:szCs w:val="16"/>
        </w:rPr>
        <w:softHyphen/>
        <w:t>бра 23 и 37 мм с повышенным могущест</w:t>
      </w:r>
      <w:r w:rsidRPr="00640820">
        <w:rPr>
          <w:rFonts w:ascii="Times New Roman" w:hAnsi="Times New Roman"/>
          <w:color w:val="0070C0"/>
          <w:sz w:val="16"/>
          <w:szCs w:val="16"/>
        </w:rPr>
        <w:softHyphen/>
        <w:t>вом у цели (23181).</w:t>
      </w:r>
    </w:p>
    <w:p w14:paraId="11CB3EB8" w14:textId="77777777" w:rsidR="0036767C" w:rsidRPr="00640820" w:rsidRDefault="0036767C" w:rsidP="00640820">
      <w:pPr>
        <w:spacing w:after="0" w:line="240" w:lineRule="auto"/>
        <w:jc w:val="both"/>
        <w:rPr>
          <w:rFonts w:ascii="Times New Roman" w:hAnsi="Times New Roman"/>
          <w:color w:val="0070C0"/>
          <w:sz w:val="16"/>
          <w:szCs w:val="16"/>
        </w:rPr>
      </w:pPr>
    </w:p>
    <w:p w14:paraId="3125C26D" w14:textId="77777777" w:rsidR="00F07966" w:rsidRPr="00640820" w:rsidRDefault="00F07966" w:rsidP="00640820">
      <w:pPr>
        <w:pStyle w:val="ae"/>
        <w:shd w:val="clear" w:color="auto" w:fill="FFFFFF"/>
        <w:spacing w:before="0" w:after="0"/>
        <w:jc w:val="both"/>
        <w:rPr>
          <w:color w:val="000000" w:themeColor="text1"/>
          <w:sz w:val="16"/>
          <w:szCs w:val="16"/>
        </w:rPr>
      </w:pPr>
      <w:r w:rsidRPr="00640820">
        <w:rPr>
          <w:color w:val="000000" w:themeColor="text1"/>
          <w:sz w:val="16"/>
          <w:szCs w:val="16"/>
        </w:rPr>
        <w:t>В ноябре 1941 года из подмосковного города Ступино в Куйбышев прибыл завод № 35. Завод выпускал не только трехлопастные воздушные винты, но и шасси для самолетов Ил-2 (19828).</w:t>
      </w:r>
    </w:p>
    <w:p w14:paraId="10A09463" w14:textId="77777777" w:rsidR="00F07966" w:rsidRPr="00640820" w:rsidRDefault="00F07966" w:rsidP="00640820">
      <w:pPr>
        <w:pStyle w:val="ae"/>
        <w:shd w:val="clear" w:color="auto" w:fill="FFFFFF"/>
        <w:spacing w:before="0" w:after="0"/>
        <w:jc w:val="both"/>
        <w:rPr>
          <w:color w:val="000000" w:themeColor="text1"/>
          <w:sz w:val="16"/>
          <w:szCs w:val="16"/>
        </w:rPr>
      </w:pPr>
    </w:p>
    <w:p w14:paraId="7B6943B2" w14:textId="77777777" w:rsidR="00F24BA9" w:rsidRPr="00640820" w:rsidRDefault="00F24BA9"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ноябре 1941 года </w:t>
      </w:r>
      <w:r w:rsidRPr="00640820">
        <w:rPr>
          <w:rFonts w:ascii="Times New Roman" w:hAnsi="Times New Roman"/>
          <w:color w:val="000000" w:themeColor="text1"/>
          <w:sz w:val="16"/>
          <w:szCs w:val="16"/>
          <w:lang w:val="en-US"/>
        </w:rPr>
        <w:t>y</w:t>
      </w:r>
      <w:r w:rsidRPr="00640820">
        <w:rPr>
          <w:rFonts w:ascii="Times New Roman" w:hAnsi="Times New Roman"/>
          <w:color w:val="000000" w:themeColor="text1"/>
          <w:sz w:val="16"/>
          <w:szCs w:val="16"/>
        </w:rPr>
        <w:t>а опустевших площадях соседнего авиационного завода № 1 имени Сталина, эвакуированного на станцию Безымянка близ Куйбышева также была организована авиаремонтная база Западного фронта. Здесь стали производить круглосуточный ремонт поврежденных самолетов. Затем, согласно Постановлению Государственного Комитета Обороны от 17-го декабря 1941 года, из города Кимры на те же площади переводится опытный завод № 30. Используя сохранившийся задел завода № 1, новый завод немедленно приступает к выпуску истребителей МиГ-3, а также истребителей И-16, предназначенных для защиты Москвы от налетов вражеской авиации. Но главной задачей, поставленной предприятию Государственным Комитетом Обороны - освоить в кратчайшие сроки выпуск штурмовиков Ил-2 (15223).</w:t>
      </w:r>
    </w:p>
    <w:p w14:paraId="10570A8A" w14:textId="77777777" w:rsidR="00F24BA9" w:rsidRPr="00640820" w:rsidRDefault="00F24BA9" w:rsidP="00640820">
      <w:pPr>
        <w:shd w:val="clear" w:color="auto" w:fill="FFFFFF"/>
        <w:spacing w:after="0" w:line="240" w:lineRule="auto"/>
        <w:jc w:val="both"/>
        <w:rPr>
          <w:rFonts w:ascii="Times New Roman" w:hAnsi="Times New Roman"/>
          <w:color w:val="000000" w:themeColor="text1"/>
          <w:sz w:val="16"/>
          <w:szCs w:val="16"/>
        </w:rPr>
      </w:pPr>
    </w:p>
    <w:p w14:paraId="763C01CF" w14:textId="77777777" w:rsidR="00F24BA9" w:rsidRPr="00640820" w:rsidRDefault="00F24BA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 промышленности в срочном порядке были заказаны войсковые серии пытных противотанковых вариантов самолётов Ил-2 и ЛаГГ-3 с 37-мм пушками Ш-37 кон</w:t>
      </w:r>
      <w:r w:rsidRPr="00640820">
        <w:rPr>
          <w:rFonts w:ascii="Times New Roman" w:hAnsi="Times New Roman"/>
          <w:color w:val="000000" w:themeColor="text1"/>
          <w:sz w:val="16"/>
          <w:szCs w:val="16"/>
        </w:rPr>
        <w:softHyphen/>
        <w:t>струкции ОКБ-15 Б.Г. Шпитального. Бронебойный снаряд к этой пушке пробивал танковую |броню толщиной 30 мм с дистанции до 500 м при углах встречи в пределах 45°, а 50-мм [броню - с 200 м и ближе при углах встречи до 5°. Попадания 37-мм снарядов в элементы [ходовой части танка производили существенные разрушения, выводящие танк из строя. То есть, пушка Ш-37 была весьма эффективным оружием против лёгких и средних танков и, Iглавное, самым точным оружием из всего арсенала авиационных средств поражения.</w:t>
      </w:r>
    </w:p>
    <w:p w14:paraId="771E4C72" w14:textId="77777777" w:rsidR="00F24BA9" w:rsidRPr="00640820" w:rsidRDefault="00F24BA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Одновременно началась разработка новых надежно действующих зажигательных средств, мощных осколочных бомб, дающих при разрыве осколки с большой кинетической энергией, боеприпасов кумулятивного действия и снарядов калибра 23 и 37 мм с повышен</w:t>
      </w:r>
      <w:r w:rsidRPr="00640820">
        <w:rPr>
          <w:rFonts w:ascii="Times New Roman" w:hAnsi="Times New Roman"/>
          <w:color w:val="000000" w:themeColor="text1"/>
          <w:sz w:val="16"/>
          <w:szCs w:val="16"/>
        </w:rPr>
        <w:softHyphen/>
        <w:t>ным могуществом у цели (15846).</w:t>
      </w:r>
    </w:p>
    <w:p w14:paraId="6067A121" w14:textId="77777777" w:rsidR="00F24BA9" w:rsidRPr="00640820" w:rsidRDefault="00F24BA9" w:rsidP="00640820">
      <w:pPr>
        <w:spacing w:after="0" w:line="240" w:lineRule="auto"/>
        <w:jc w:val="both"/>
        <w:rPr>
          <w:rFonts w:ascii="Times New Roman" w:hAnsi="Times New Roman"/>
          <w:color w:val="000000" w:themeColor="text1"/>
          <w:sz w:val="16"/>
          <w:szCs w:val="16"/>
        </w:rPr>
      </w:pPr>
    </w:p>
    <w:p w14:paraId="029D689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года временно исполнявшие обя</w:t>
      </w:r>
      <w:r w:rsidRPr="00640820">
        <w:rPr>
          <w:rFonts w:ascii="Times New Roman" w:hAnsi="Times New Roman"/>
          <w:color w:val="000000" w:themeColor="text1"/>
          <w:sz w:val="16"/>
          <w:szCs w:val="16"/>
        </w:rPr>
        <w:softHyphen/>
        <w:t>занности начальника и военного комиссара Главного уп</w:t>
      </w:r>
      <w:r w:rsidRPr="00640820">
        <w:rPr>
          <w:rFonts w:ascii="Times New Roman" w:hAnsi="Times New Roman"/>
          <w:color w:val="000000" w:themeColor="text1"/>
          <w:sz w:val="16"/>
          <w:szCs w:val="16"/>
        </w:rPr>
        <w:softHyphen/>
        <w:t>равления ВВС бригадный инженер Я.Л. Бибиков и бригад</w:t>
      </w:r>
      <w:r w:rsidRPr="00640820">
        <w:rPr>
          <w:rFonts w:ascii="Times New Roman" w:hAnsi="Times New Roman"/>
          <w:color w:val="000000" w:themeColor="text1"/>
          <w:sz w:val="16"/>
          <w:szCs w:val="16"/>
        </w:rPr>
        <w:softHyphen/>
        <w:t>ный комиссар Маченков направили наркому авиационной промышленности Шахурину пись</w:t>
      </w:r>
      <w:r w:rsidRPr="00640820">
        <w:rPr>
          <w:rFonts w:ascii="Times New Roman" w:hAnsi="Times New Roman"/>
          <w:color w:val="000000" w:themeColor="text1"/>
          <w:sz w:val="16"/>
          <w:szCs w:val="16"/>
        </w:rPr>
        <w:softHyphen/>
        <w:t>мо, где сообщалось:</w:t>
      </w:r>
    </w:p>
    <w:p w14:paraId="6BC287D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«Опытом боевых действий выявлено, что самолет Су-2 может быть использован на фронте не только как ближ</w:t>
      </w:r>
      <w:r w:rsidRPr="00640820">
        <w:rPr>
          <w:rFonts w:ascii="Times New Roman" w:hAnsi="Times New Roman"/>
          <w:color w:val="000000" w:themeColor="text1"/>
          <w:sz w:val="16"/>
          <w:szCs w:val="16"/>
        </w:rPr>
        <w:softHyphen/>
        <w:t>ний бомбардировщик, но и как разведчик и корректировщик артогня.</w:t>
      </w:r>
    </w:p>
    <w:p w14:paraId="20E2A0F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Один самолет Су-2, отработанный в таком варианте гл. конструктором тов. Сухим, прошел положительно го</w:t>
      </w:r>
      <w:r w:rsidRPr="00640820">
        <w:rPr>
          <w:rFonts w:ascii="Times New Roman" w:hAnsi="Times New Roman"/>
          <w:color w:val="000000" w:themeColor="text1"/>
          <w:sz w:val="16"/>
          <w:szCs w:val="16"/>
        </w:rPr>
        <w:softHyphen/>
        <w:t>сиспытания.</w:t>
      </w:r>
    </w:p>
    <w:p w14:paraId="314634B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Вашим заместителем тов. Ворониным по просьбе ГУ ВВС КА было дано указание заводу № 207 выпускать все самолеты Су-2 в разведывательном и корректировочном ва</w:t>
      </w:r>
      <w:r w:rsidRPr="00640820">
        <w:rPr>
          <w:rFonts w:ascii="Times New Roman" w:hAnsi="Times New Roman"/>
          <w:color w:val="000000" w:themeColor="text1"/>
          <w:sz w:val="16"/>
          <w:szCs w:val="16"/>
        </w:rPr>
        <w:softHyphen/>
        <w:t>рианте.</w:t>
      </w:r>
    </w:p>
    <w:p w14:paraId="6D613C8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№207 приступил к выпуску таких самолетов, но этому помешала эвакуация...</w:t>
      </w:r>
    </w:p>
    <w:p w14:paraId="465BDE0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связи с тем, что ВВС Красной армии не имеют спе</w:t>
      </w:r>
      <w:r w:rsidRPr="00640820">
        <w:rPr>
          <w:rFonts w:ascii="Times New Roman" w:hAnsi="Times New Roman"/>
          <w:color w:val="000000" w:themeColor="text1"/>
          <w:sz w:val="16"/>
          <w:szCs w:val="16"/>
        </w:rPr>
        <w:softHyphen/>
        <w:t>циальных разведывательных самолетов, а потребность в них для фронта очень большая, прошу Вас дать срочное ука</w:t>
      </w:r>
      <w:r w:rsidRPr="00640820">
        <w:rPr>
          <w:rFonts w:ascii="Times New Roman" w:hAnsi="Times New Roman"/>
          <w:color w:val="000000" w:themeColor="text1"/>
          <w:sz w:val="16"/>
          <w:szCs w:val="16"/>
        </w:rPr>
        <w:softHyphen/>
        <w:t>зание директору завода № 135 Кузину поставлять ГУ ВВС КА &lt;...&gt; Су-2 в количестве 20 % от общего плана по</w:t>
      </w:r>
      <w:r w:rsidRPr="00640820">
        <w:rPr>
          <w:rFonts w:ascii="Times New Roman" w:hAnsi="Times New Roman"/>
          <w:color w:val="000000" w:themeColor="text1"/>
          <w:sz w:val="16"/>
          <w:szCs w:val="16"/>
        </w:rPr>
        <w:softHyphen/>
        <w:t>ставок по чертежам главного конструктора...» (10745,111).</w:t>
      </w:r>
    </w:p>
    <w:p w14:paraId="4D61D4C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2C2058" w14:textId="77777777" w:rsidR="002A5DE2" w:rsidRPr="00640820" w:rsidRDefault="002A5DE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исполнявший обязан</w:t>
      </w:r>
      <w:r w:rsidRPr="00640820">
        <w:rPr>
          <w:rFonts w:ascii="Times New Roman" w:hAnsi="Times New Roman"/>
          <w:color w:val="000000" w:themeColor="text1"/>
          <w:sz w:val="16"/>
          <w:szCs w:val="16"/>
        </w:rPr>
        <w:softHyphen/>
        <w:t>ности начальника Главного управления ВВС бригадный инженер Я Л Бибиков и бригадныи комиссар Маченков направили наркому авиационной промышленности А И Шахурину письмо, где сообщалось «Опытом боевых действии выявлено, что самолет Су-2 может быть исполь бомбардировщик, но и как разведчик и корректировщик артогня. Один самолет Су-2, отработанный в таком варианте гп конструктором юв Сухим прошел положительно госиспы</w:t>
      </w:r>
      <w:r w:rsidRPr="00640820">
        <w:rPr>
          <w:rFonts w:ascii="Times New Roman" w:hAnsi="Times New Roman"/>
          <w:color w:val="000000" w:themeColor="text1"/>
          <w:sz w:val="16"/>
          <w:szCs w:val="16"/>
        </w:rPr>
        <w:softHyphen/>
        <w:t>тания. Вашим заместителем тов Ворониным по просьбе ГУ ВВС КА было дано указа</w:t>
      </w:r>
      <w:r w:rsidRPr="00640820">
        <w:rPr>
          <w:rFonts w:ascii="Times New Roman" w:hAnsi="Times New Roman"/>
          <w:color w:val="000000" w:themeColor="text1"/>
          <w:sz w:val="16"/>
          <w:szCs w:val="16"/>
        </w:rPr>
        <w:softHyphen/>
        <w:t xml:space="preserve">ние заводу </w:t>
      </w:r>
      <w:r w:rsidRPr="00640820">
        <w:rPr>
          <w:rFonts w:ascii="Times New Roman" w:hAnsi="Times New Roman"/>
          <w:color w:val="000000" w:themeColor="text1"/>
          <w:sz w:val="16"/>
          <w:szCs w:val="16"/>
          <w:lang w:val="en-US"/>
        </w:rPr>
        <w:t>Ne</w:t>
      </w:r>
      <w:r w:rsidRPr="00640820">
        <w:rPr>
          <w:rFonts w:ascii="Times New Roman" w:hAnsi="Times New Roman"/>
          <w:color w:val="000000" w:themeColor="text1"/>
          <w:sz w:val="16"/>
          <w:szCs w:val="16"/>
        </w:rPr>
        <w:t xml:space="preserve"> 207 выпускать все само</w:t>
      </w:r>
      <w:r w:rsidRPr="00640820">
        <w:rPr>
          <w:rFonts w:ascii="Times New Roman" w:hAnsi="Times New Roman"/>
          <w:color w:val="000000" w:themeColor="text1"/>
          <w:sz w:val="16"/>
          <w:szCs w:val="16"/>
        </w:rPr>
        <w:softHyphen/>
        <w:t>леты Су-2 в разведывательном и кор</w:t>
      </w:r>
      <w:r w:rsidRPr="00640820">
        <w:rPr>
          <w:rFonts w:ascii="Times New Roman" w:hAnsi="Times New Roman"/>
          <w:color w:val="000000" w:themeColor="text1"/>
          <w:sz w:val="16"/>
          <w:szCs w:val="16"/>
        </w:rPr>
        <w:softHyphen/>
        <w:t xml:space="preserve">ректировочном варианте Завод </w:t>
      </w:r>
      <w:r w:rsidRPr="00640820">
        <w:rPr>
          <w:rFonts w:ascii="Times New Roman" w:hAnsi="Times New Roman"/>
          <w:color w:val="000000" w:themeColor="text1"/>
          <w:sz w:val="16"/>
          <w:szCs w:val="16"/>
          <w:lang w:val="en-US"/>
        </w:rPr>
        <w:t>Ne</w:t>
      </w:r>
      <w:r w:rsidRPr="00640820">
        <w:rPr>
          <w:rFonts w:ascii="Times New Roman" w:hAnsi="Times New Roman"/>
          <w:color w:val="000000" w:themeColor="text1"/>
          <w:sz w:val="16"/>
          <w:szCs w:val="16"/>
        </w:rPr>
        <w:t xml:space="preserve"> 207 приступил к выпуску таких самолетов, но этому помешала эвакуация.</w:t>
      </w:r>
    </w:p>
    <w:p w14:paraId="60E1B233" w14:textId="77777777" w:rsidR="002A5DE2" w:rsidRPr="00640820" w:rsidRDefault="002A5DE2"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В связи с тем, что ВВС Красной ар</w:t>
      </w:r>
      <w:r w:rsidRPr="00640820">
        <w:rPr>
          <w:rFonts w:ascii="Times New Roman" w:cs="Times New Roman"/>
          <w:color w:val="000000" w:themeColor="text1"/>
          <w:spacing w:val="0"/>
        </w:rPr>
        <w:softHyphen/>
        <w:t>мии не имеют специальных разведы</w:t>
      </w:r>
      <w:r w:rsidRPr="00640820">
        <w:rPr>
          <w:rFonts w:ascii="Times New Roman" w:cs="Times New Roman"/>
          <w:color w:val="000000" w:themeColor="text1"/>
          <w:spacing w:val="0"/>
        </w:rPr>
        <w:softHyphen/>
        <w:t>вательных самолетов, а потребность в них для фронта очень большая, прошу Вас дать срочное указание директору завода № 135 Кузину поставлять ГУ ВВС КА... Су-2 в количестве 20% от общего плана поставок в варианте разведчика и корректировщика по чертежам главного конструктора ..»</w:t>
      </w:r>
    </w:p>
    <w:p w14:paraId="4D7E2D63" w14:textId="77777777" w:rsidR="002A5DE2" w:rsidRPr="00640820" w:rsidRDefault="002A5DE2"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Но из этого ничего не вышло, спустя месяц Дементьев сообщил Бибикову: «Задел самолетов Су-2 завода № 135 будет выпущен в нормальном варианте. Выпуск Су-2 в варианте разведчика и корректировщика потребует ряд пере</w:t>
      </w:r>
      <w:r w:rsidRPr="00640820">
        <w:rPr>
          <w:rFonts w:ascii="Times New Roman" w:cs="Times New Roman"/>
          <w:color w:val="000000" w:themeColor="text1"/>
          <w:spacing w:val="0"/>
        </w:rPr>
        <w:softHyphen/>
        <w:t>делок, что отразится на завершении задела Су-2 и на подготовку к выпуску Ил-2» (19102).</w:t>
      </w:r>
    </w:p>
    <w:p w14:paraId="7CA00727" w14:textId="77777777" w:rsidR="002A5DE2" w:rsidRPr="00640820" w:rsidRDefault="002A5DE2" w:rsidP="00640820">
      <w:pPr>
        <w:pStyle w:val="27"/>
        <w:shd w:val="clear" w:color="auto" w:fill="auto"/>
        <w:spacing w:after="0" w:line="240" w:lineRule="auto"/>
        <w:ind w:firstLine="0"/>
        <w:rPr>
          <w:rFonts w:ascii="Times New Roman" w:cs="Times New Roman"/>
          <w:color w:val="000000" w:themeColor="text1"/>
          <w:spacing w:val="0"/>
        </w:rPr>
      </w:pPr>
    </w:p>
    <w:p w14:paraId="223F5B5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года на одном из серийных Су-2 смонтировали мотор М-89Ф и пе</w:t>
      </w:r>
      <w:r w:rsidRPr="00640820">
        <w:rPr>
          <w:rFonts w:ascii="Times New Roman" w:hAnsi="Times New Roman"/>
          <w:color w:val="000000" w:themeColor="text1"/>
          <w:sz w:val="16"/>
          <w:szCs w:val="16"/>
        </w:rPr>
        <w:softHyphen/>
        <w:t>редали в НИИ ВВС для совместных государственных испытаний (11849).</w:t>
      </w:r>
    </w:p>
    <w:p w14:paraId="73A0730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697329" w14:textId="77777777" w:rsidR="002A5DE2" w:rsidRPr="00640820" w:rsidRDefault="002A5DE2"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В ноябре 1941 г на одном из серийных Су-2 смонтиро</w:t>
      </w:r>
      <w:r w:rsidRPr="00640820">
        <w:rPr>
          <w:rFonts w:ascii="Times New Roman" w:cs="Times New Roman"/>
          <w:color w:val="000000" w:themeColor="text1"/>
          <w:spacing w:val="0"/>
        </w:rPr>
        <w:softHyphen/>
        <w:t>вали мотор М-89Ф и передали в НИИ ВВС для совместных государственных испытаний (19102).</w:t>
      </w:r>
    </w:p>
    <w:p w14:paraId="0173DEEA" w14:textId="77777777" w:rsidR="002A5DE2" w:rsidRPr="00640820" w:rsidRDefault="002A5DE2" w:rsidP="00640820">
      <w:pPr>
        <w:spacing w:after="0" w:line="240" w:lineRule="auto"/>
        <w:jc w:val="both"/>
        <w:rPr>
          <w:rFonts w:ascii="Times New Roman" w:hAnsi="Times New Roman"/>
          <w:color w:val="000000" w:themeColor="text1"/>
          <w:sz w:val="16"/>
          <w:szCs w:val="16"/>
        </w:rPr>
      </w:pPr>
    </w:p>
    <w:p w14:paraId="553B6397" w14:textId="77777777" w:rsidR="00F24BA9" w:rsidRPr="00640820" w:rsidRDefault="00F24BA9" w:rsidP="00640820">
      <w:pPr>
        <w:pStyle w:val="a3"/>
        <w:rPr>
          <w:color w:val="000000" w:themeColor="text1"/>
          <w:lang w:val="ru-RU"/>
        </w:rPr>
      </w:pPr>
      <w:r w:rsidRPr="00640820">
        <w:rPr>
          <w:color w:val="000000" w:themeColor="text1"/>
          <w:lang w:val="ru-RU"/>
        </w:rPr>
        <w:t>В ноябре 1941 года на одном из серийных Су-2 смонтировали мотор М-89Ф и передали в НИИ ВВС для совместных государственных испытаний (15975).</w:t>
      </w:r>
    </w:p>
    <w:p w14:paraId="6268749E" w14:textId="77777777" w:rsidR="00F24BA9" w:rsidRPr="00640820" w:rsidRDefault="00F24BA9" w:rsidP="00640820">
      <w:pPr>
        <w:pStyle w:val="a3"/>
        <w:rPr>
          <w:color w:val="000000" w:themeColor="text1"/>
          <w:lang w:val="ru-RU"/>
        </w:rPr>
      </w:pPr>
    </w:p>
    <w:p w14:paraId="5C4EB1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была скорректирована программа выпуска 103У на заводе 166, определенная 27 июля 1941, и на 1941 программа была установлена в 10 машин (1835,16).</w:t>
      </w:r>
    </w:p>
    <w:p w14:paraId="520629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17605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 по результатам первого этапа лет</w:t>
      </w:r>
      <w:r w:rsidRPr="00640820">
        <w:rPr>
          <w:rFonts w:ascii="Times New Roman" w:hAnsi="Times New Roman"/>
          <w:color w:val="000000" w:themeColor="text1"/>
          <w:sz w:val="16"/>
          <w:szCs w:val="16"/>
        </w:rPr>
        <w:softHyphen/>
        <w:t>ных испытаний фронтовой бомбардировщик «103», разработанный в тюремном ОКБ НКВД под руководст</w:t>
      </w:r>
      <w:r w:rsidRPr="00640820">
        <w:rPr>
          <w:rFonts w:ascii="Times New Roman" w:hAnsi="Times New Roman"/>
          <w:color w:val="000000" w:themeColor="text1"/>
          <w:sz w:val="16"/>
          <w:szCs w:val="16"/>
        </w:rPr>
        <w:softHyphen/>
        <w:t>вом А.Н.Туполева, рекомендовали к серийному произ</w:t>
      </w:r>
      <w:r w:rsidRPr="00640820">
        <w:rPr>
          <w:rFonts w:ascii="Times New Roman" w:hAnsi="Times New Roman"/>
          <w:color w:val="000000" w:themeColor="text1"/>
          <w:sz w:val="16"/>
          <w:szCs w:val="16"/>
        </w:rPr>
        <w:softHyphen/>
        <w:t>водству. 28 марта 1942 г. вышел приказ НКАП о переименовании самолета «103» в Ту-2. Для развертыва</w:t>
      </w:r>
      <w:r w:rsidRPr="00640820">
        <w:rPr>
          <w:rFonts w:ascii="Times New Roman" w:hAnsi="Times New Roman"/>
          <w:color w:val="000000" w:themeColor="text1"/>
          <w:sz w:val="16"/>
          <w:szCs w:val="16"/>
        </w:rPr>
        <w:softHyphen/>
        <w:t>ния серии Ту-2 на завод № 166 в Омск направлялись не</w:t>
      </w:r>
      <w:r w:rsidRPr="00640820">
        <w:rPr>
          <w:rFonts w:ascii="Times New Roman" w:hAnsi="Times New Roman"/>
          <w:color w:val="000000" w:themeColor="text1"/>
          <w:sz w:val="16"/>
          <w:szCs w:val="16"/>
        </w:rPr>
        <w:softHyphen/>
        <w:t>обходимые станки и оборудование, в том числе и с поликарповского опытного завода № 51 (10667).</w:t>
      </w:r>
    </w:p>
    <w:p w14:paraId="37B47D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23CD7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 был готов 103В, а в начале декабря Туполев смог доложить наркому Шахурину, что машина прошла наземные испытания и готова к полетам. 18 ноября заместитель наркома А.С. Яковлев разрешил поднять ее в воздух (11988).</w:t>
      </w:r>
    </w:p>
    <w:p w14:paraId="132805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1619E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 с трудом удалось собрать всего 50 Пе-2, а в декабре - еще 93. Угрожающим стало положение со снабжением авиазаводов материалами, деталями, агрегатами. Неравномерно, с перебоями поступали дюралевые листы для обшивки, трубы, профили и другие комплектующие. Поэтому попытки замены отсутствующих изделий и материалов имевшимися в наличии не прекращались ни на минуту. Например, в декабре по заказу военных изготовили партию из 50 винтов АВ-5 с деревянными лопастями. Хотя при этом летные данные несколько снизились (скорость упала на 20-25 км/ч), командование оценило ее как "чрезвычайно важную работу", позволившую не останавливать конвейер. В дальнейшем у Пе-2 появились и другие деревянные детали.</w:t>
      </w:r>
    </w:p>
    <w:p w14:paraId="190FD0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Первой военной зимой довольно много Пе-2 поставили на лыжи; только за январь 1942 г. лыжное шасси установили на 250 "пешках". Убирающееся лыжное шасси впервые опробовали еще на опытном самолете "100". Лыжи подтягивались к мотогондоле и сами фактически становились створками отсека шасси. В отличие от аналогичного варианта, примененного на штурмовике Ил-2, у Пе-2 сохранялась обычная гондола от колесного шасси, на которой монтировались дополнительные панели. Так же поступили и с убирающейся хвостовой лыжей. Надо только сказать, что штамповка навесных панелей, имевших сложную форму, вызвала некоторые затруднения на заводах, особенно в Иркутске (12042).</w:t>
      </w:r>
    </w:p>
    <w:p w14:paraId="0EC706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445B2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в частях силами ПАРМ или наземным составом полков закончили работу по доработке и усилению вооружение Пе-3, которые шли с октября 1941. Штурману поставили БТ на шкворне ФТ. а в носу - ШВАК, а второй БК поставили вместо ШКАС + ДАГ-10 с 10 АГ-2 и до 8 РС-82 или 4-6 РС 132. Спереди поставили бронеплиту (2475,9).</w:t>
      </w:r>
    </w:p>
    <w:p w14:paraId="00D6E9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FCA2A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 командиром 95-го иап назначили майора А.В.Жатькова. Под его руководством осенью на нескольких “тройках” установили в носовой части фюзеляжа пушку ШВАК и заменили пулемет штурмана ШКАС на крупнокалиберный ВТ. Часть самолетов оснастили реактивными орудиями РО-82 (по 8 штук), а на некоторые, кроме того, смонтировали еще по два РО-132. Стрелять можно было сериями залпов по 2 или 4 реактивных снаряда. Около 10 машин доработали, установив на них аэрофотоаппараты АФА-Б. Пе-3 несли напряженную боевую службу в системе ПВО Москвы вплоть до марта 1942 г. Любопытно, что воду из радиаторов не сливали даже в самые морозные ночи, поскольку полк считался истребительным, и команда “на взлет” могла поступить в любую минуту. И все же главной задачей 95-го иап в декабре-январе оказалась бомбардировка немецких войск. Только за эти два месяца самолеты полка сбросили на головы врага более полутора тысяч бомб. Кроме того, нередко часть привлекалась для ведения авиационной разведки (4476).</w:t>
      </w:r>
    </w:p>
    <w:p w14:paraId="19DFF1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F42C6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 с трудом удалось собрать всего 50 Пе-2, а в декабре - еще 93. Угрожающим было положение со снабжением авиазаводов материалами, деталями, агрегатами. С перебоями поступали дюралевые листы для обшивки, трубы, профили и другие комплектующие. Поэтому попытки замены отсутствующих изделий и материалов имеющимися в наличии не прекращались ни на минуту (3542).</w:t>
      </w:r>
    </w:p>
    <w:p w14:paraId="7FD093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FAD67EB" w14:textId="77777777" w:rsidR="00165A9C" w:rsidRPr="00640820" w:rsidRDefault="00165A9C" w:rsidP="00640820">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 во 2-м драп ГК на все Пе-2 постави</w:t>
      </w:r>
      <w:r w:rsidRPr="00640820">
        <w:rPr>
          <w:rFonts w:ascii="Times New Roman" w:hAnsi="Times New Roman"/>
          <w:color w:val="000000" w:themeColor="text1"/>
          <w:sz w:val="16"/>
          <w:szCs w:val="16"/>
        </w:rPr>
        <w:softHyphen/>
        <w:t>ли установки РС. Пускал снаряды штурман самолёта залпом. Одно</w:t>
      </w:r>
      <w:r w:rsidRPr="00640820">
        <w:rPr>
          <w:rFonts w:ascii="Times New Roman" w:hAnsi="Times New Roman"/>
          <w:color w:val="000000" w:themeColor="text1"/>
          <w:sz w:val="16"/>
          <w:szCs w:val="16"/>
        </w:rPr>
        <w:softHyphen/>
        <w:t>му из первых мысль «довооружить» Пе-2 пришла технику А.Помазанскому. Он совершенно справедливо посчитал, что психологическое воз</w:t>
      </w:r>
      <w:r w:rsidRPr="00640820">
        <w:rPr>
          <w:rFonts w:ascii="Times New Roman" w:hAnsi="Times New Roman"/>
          <w:color w:val="000000" w:themeColor="text1"/>
          <w:sz w:val="16"/>
          <w:szCs w:val="16"/>
        </w:rPr>
        <w:softHyphen/>
        <w:t>действие несущихся навстречу ата</w:t>
      </w:r>
      <w:r w:rsidRPr="00640820">
        <w:rPr>
          <w:rFonts w:ascii="Times New Roman" w:hAnsi="Times New Roman"/>
          <w:color w:val="000000" w:themeColor="text1"/>
          <w:sz w:val="16"/>
          <w:szCs w:val="16"/>
        </w:rPr>
        <w:softHyphen/>
        <w:t>кующему истребителю ракет и их взрывы компенсируют потерю скоро</w:t>
      </w:r>
      <w:r w:rsidRPr="00640820">
        <w:rPr>
          <w:rFonts w:ascii="Times New Roman" w:hAnsi="Times New Roman"/>
          <w:color w:val="000000" w:themeColor="text1"/>
          <w:sz w:val="16"/>
          <w:szCs w:val="16"/>
        </w:rPr>
        <w:softHyphen/>
        <w:t>сти бомбардировщика—ракетоносца. В 208-м сбап по два ракетных ору</w:t>
      </w:r>
      <w:r w:rsidRPr="00640820">
        <w:rPr>
          <w:rFonts w:ascii="Times New Roman" w:hAnsi="Times New Roman"/>
          <w:color w:val="000000" w:themeColor="text1"/>
          <w:sz w:val="16"/>
          <w:szCs w:val="16"/>
        </w:rPr>
        <w:softHyphen/>
        <w:t>дия РО-82 смонтировали на хвосто</w:t>
      </w:r>
      <w:r w:rsidRPr="00640820">
        <w:rPr>
          <w:rFonts w:ascii="Times New Roman" w:hAnsi="Times New Roman"/>
          <w:color w:val="000000" w:themeColor="text1"/>
          <w:sz w:val="16"/>
          <w:szCs w:val="16"/>
        </w:rPr>
        <w:softHyphen/>
        <w:t>вой части фюзеляжей Пе-2 и Пе-3. Небольшой «раствор» орудий по на</w:t>
      </w:r>
      <w:r w:rsidRPr="00640820">
        <w:rPr>
          <w:rFonts w:ascii="Times New Roman" w:hAnsi="Times New Roman"/>
          <w:color w:val="000000" w:themeColor="text1"/>
          <w:sz w:val="16"/>
          <w:szCs w:val="16"/>
        </w:rPr>
        <w:softHyphen/>
        <w:t>правлению получился автоматичес</w:t>
      </w:r>
      <w:r w:rsidRPr="00640820">
        <w:rPr>
          <w:rFonts w:ascii="Times New Roman" w:hAnsi="Times New Roman"/>
          <w:color w:val="000000" w:themeColor="text1"/>
          <w:sz w:val="16"/>
          <w:szCs w:val="16"/>
        </w:rPr>
        <w:softHyphen/>
        <w:t>ки при установке узлов крепления на круглом фюзеляже. . Впервые та</w:t>
      </w:r>
      <w:r w:rsidRPr="00640820">
        <w:rPr>
          <w:rFonts w:ascii="Times New Roman" w:hAnsi="Times New Roman"/>
          <w:color w:val="000000" w:themeColor="text1"/>
          <w:sz w:val="16"/>
          <w:szCs w:val="16"/>
        </w:rPr>
        <w:softHyphen/>
        <w:t>кую установку задумали для скорос</w:t>
      </w:r>
      <w:r w:rsidRPr="00640820">
        <w:rPr>
          <w:rFonts w:ascii="Times New Roman" w:hAnsi="Times New Roman"/>
          <w:color w:val="000000" w:themeColor="text1"/>
          <w:sz w:val="16"/>
          <w:szCs w:val="16"/>
        </w:rPr>
        <w:softHyphen/>
        <w:t>тного пикирующего бомбардировщика СПБ конструктора Жемчужина ещё до войны. Правда, для стрель</w:t>
      </w:r>
      <w:r w:rsidRPr="00640820">
        <w:rPr>
          <w:rFonts w:ascii="Times New Roman" w:hAnsi="Times New Roman"/>
          <w:color w:val="000000" w:themeColor="text1"/>
          <w:sz w:val="16"/>
          <w:szCs w:val="16"/>
        </w:rPr>
        <w:softHyphen/>
        <w:t>бы в ЗПС предусматривалась выд</w:t>
      </w:r>
      <w:r w:rsidRPr="00640820">
        <w:rPr>
          <w:rFonts w:ascii="Times New Roman" w:hAnsi="Times New Roman"/>
          <w:color w:val="000000" w:themeColor="text1"/>
          <w:sz w:val="16"/>
          <w:szCs w:val="16"/>
        </w:rPr>
        <w:softHyphen/>
        <w:t>вижная кассета, и снаряды были бо</w:t>
      </w:r>
      <w:r w:rsidRPr="00640820">
        <w:rPr>
          <w:rFonts w:ascii="Times New Roman" w:hAnsi="Times New Roman"/>
          <w:color w:val="000000" w:themeColor="text1"/>
          <w:sz w:val="16"/>
          <w:szCs w:val="16"/>
        </w:rPr>
        <w:softHyphen/>
        <w:t>лее серьёзными - РС-132, но в се</w:t>
      </w:r>
      <w:r w:rsidRPr="00640820">
        <w:rPr>
          <w:rFonts w:ascii="Times New Roman" w:hAnsi="Times New Roman"/>
          <w:color w:val="000000" w:themeColor="text1"/>
          <w:sz w:val="16"/>
          <w:szCs w:val="16"/>
        </w:rPr>
        <w:softHyphen/>
        <w:t>рию система не пошла.</w:t>
      </w:r>
    </w:p>
    <w:p w14:paraId="3A789DC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период боёв под Вязьмой эки</w:t>
      </w:r>
      <w:r w:rsidRPr="00640820">
        <w:rPr>
          <w:rFonts w:ascii="Times New Roman" w:hAnsi="Times New Roman"/>
          <w:color w:val="000000" w:themeColor="text1"/>
          <w:sz w:val="16"/>
          <w:szCs w:val="16"/>
        </w:rPr>
        <w:softHyphen/>
        <w:t>паж лётчика Алышева из 2-го драп ГК успешно отразил нападение че</w:t>
      </w:r>
      <w:r w:rsidRPr="00640820">
        <w:rPr>
          <w:rFonts w:ascii="Times New Roman" w:hAnsi="Times New Roman"/>
          <w:color w:val="000000" w:themeColor="text1"/>
          <w:sz w:val="16"/>
          <w:szCs w:val="16"/>
        </w:rPr>
        <w:softHyphen/>
        <w:t>тырёх «мессершмиттов», применение «ракеты обратного старта». Вскоре таким же образом отбился экипаж младшего лейтенанта Щитова. На сей раз противник проявил настой</w:t>
      </w:r>
      <w:r w:rsidRPr="00640820">
        <w:rPr>
          <w:rFonts w:ascii="Times New Roman" w:hAnsi="Times New Roman"/>
          <w:color w:val="000000" w:themeColor="text1"/>
          <w:sz w:val="16"/>
          <w:szCs w:val="16"/>
        </w:rPr>
        <w:softHyphen/>
        <w:t>чивость, и чтобы его отпугнуть, по</w:t>
      </w:r>
      <w:r w:rsidRPr="00640820">
        <w:rPr>
          <w:rFonts w:ascii="Times New Roman" w:hAnsi="Times New Roman"/>
          <w:color w:val="000000" w:themeColor="text1"/>
          <w:sz w:val="16"/>
          <w:szCs w:val="16"/>
        </w:rPr>
        <w:softHyphen/>
        <w:t>надобилось два залпа. Подобное предпринимали в некоторых полках штурмовиков, где по одному РО мон</w:t>
      </w:r>
      <w:r w:rsidRPr="00640820">
        <w:rPr>
          <w:rFonts w:ascii="Times New Roman" w:hAnsi="Times New Roman"/>
          <w:color w:val="000000" w:themeColor="text1"/>
          <w:sz w:val="16"/>
          <w:szCs w:val="16"/>
        </w:rPr>
        <w:softHyphen/>
        <w:t>тировали справа и слева от киля, а также в полках дальних бомбарди</w:t>
      </w:r>
      <w:r w:rsidRPr="00640820">
        <w:rPr>
          <w:rFonts w:ascii="Times New Roman" w:hAnsi="Times New Roman"/>
          <w:color w:val="000000" w:themeColor="text1"/>
          <w:sz w:val="16"/>
          <w:szCs w:val="16"/>
        </w:rPr>
        <w:softHyphen/>
        <w:t>ровщиков для защиты ППС и ЗПС на Ил-4. А в 4-м драп ГК на все са</w:t>
      </w:r>
      <w:r w:rsidRPr="00640820">
        <w:rPr>
          <w:rFonts w:ascii="Times New Roman" w:hAnsi="Times New Roman"/>
          <w:color w:val="000000" w:themeColor="text1"/>
          <w:sz w:val="16"/>
          <w:szCs w:val="16"/>
        </w:rPr>
        <w:softHyphen/>
        <w:t>молёты Пе-2, Пе-3 и А-20 «перевёр</w:t>
      </w:r>
      <w:r w:rsidRPr="00640820">
        <w:rPr>
          <w:rFonts w:ascii="Times New Roman" w:hAnsi="Times New Roman"/>
          <w:color w:val="000000" w:themeColor="text1"/>
          <w:sz w:val="16"/>
          <w:szCs w:val="16"/>
        </w:rPr>
        <w:softHyphen/>
        <w:t>нутые» пусковые РО-82 установили попарно под каждую консоль. Они были предназначены для усиления защиты сзади-снизу — обычного на</w:t>
      </w:r>
      <w:r w:rsidRPr="00640820">
        <w:rPr>
          <w:rFonts w:ascii="Times New Roman" w:hAnsi="Times New Roman"/>
          <w:color w:val="000000" w:themeColor="text1"/>
          <w:sz w:val="16"/>
          <w:szCs w:val="16"/>
        </w:rPr>
        <w:softHyphen/>
        <w:t>правления атак германских истреби</w:t>
      </w:r>
      <w:r w:rsidRPr="00640820">
        <w:rPr>
          <w:rFonts w:ascii="Times New Roman" w:hAnsi="Times New Roman"/>
          <w:color w:val="000000" w:themeColor="text1"/>
          <w:sz w:val="16"/>
          <w:szCs w:val="16"/>
        </w:rPr>
        <w:softHyphen/>
        <w:t>телей (11432).</w:t>
      </w:r>
    </w:p>
    <w:p w14:paraId="4049BB6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773328" w14:textId="77777777" w:rsidR="0036767C" w:rsidRPr="00640820" w:rsidRDefault="0036767C" w:rsidP="00640820">
      <w:pPr>
        <w:spacing w:after="0" w:line="240" w:lineRule="auto"/>
        <w:jc w:val="both"/>
        <w:rPr>
          <w:rFonts w:ascii="Times New Roman" w:hAnsi="Times New Roman"/>
          <w:color w:val="0070C0"/>
          <w:sz w:val="16"/>
          <w:szCs w:val="16"/>
          <w:lang w:eastAsia="ru-RU" w:bidi="ru-RU"/>
        </w:rPr>
      </w:pPr>
      <w:r w:rsidRPr="00640820">
        <w:rPr>
          <w:rFonts w:ascii="Times New Roman" w:hAnsi="Times New Roman"/>
          <w:color w:val="0070C0"/>
          <w:sz w:val="16"/>
          <w:szCs w:val="16"/>
          <w:lang w:eastAsia="ru-RU" w:bidi="ru-RU"/>
        </w:rPr>
        <w:t>В ноябре 1941 г. на заводе 166 в Омске завершили 103В, а в начале декабря Туполев смог доложить наркому Шахурину, что машина прошла наземные испытания и готова к полетам. 18 ноября заместитель наркома А.С. Яковлев разрешил поднять ее в воздух. При эвакуации узлы и агрегаты не</w:t>
      </w:r>
      <w:r w:rsidRPr="00640820">
        <w:rPr>
          <w:rFonts w:ascii="Times New Roman" w:hAnsi="Times New Roman"/>
          <w:color w:val="0070C0"/>
          <w:sz w:val="16"/>
          <w:szCs w:val="16"/>
          <w:lang w:eastAsia="ru-RU" w:bidi="ru-RU"/>
        </w:rPr>
        <w:softHyphen/>
        <w:t>законченного самолета «103В» вывезли в Омск. Там созда</w:t>
      </w:r>
      <w:r w:rsidRPr="00640820">
        <w:rPr>
          <w:rFonts w:ascii="Times New Roman" w:hAnsi="Times New Roman"/>
          <w:color w:val="0070C0"/>
          <w:sz w:val="16"/>
          <w:szCs w:val="16"/>
          <w:lang w:eastAsia="ru-RU" w:bidi="ru-RU"/>
        </w:rPr>
        <w:softHyphen/>
        <w:t>вался новый самолетостроительный завод №166. Ему передали сооружения недо</w:t>
      </w:r>
      <w:r w:rsidRPr="00640820">
        <w:rPr>
          <w:rFonts w:ascii="Times New Roman" w:hAnsi="Times New Roman"/>
          <w:color w:val="0070C0"/>
          <w:sz w:val="16"/>
          <w:szCs w:val="16"/>
          <w:lang w:eastAsia="ru-RU" w:bidi="ru-RU"/>
        </w:rPr>
        <w:softHyphen/>
        <w:t>строенного автосборочного предприятия и завода автомобильных прицепов. Туда пе</w:t>
      </w:r>
      <w:r w:rsidRPr="00640820">
        <w:rPr>
          <w:rFonts w:ascii="Times New Roman" w:hAnsi="Times New Roman"/>
          <w:color w:val="0070C0"/>
          <w:sz w:val="16"/>
          <w:szCs w:val="16"/>
          <w:lang w:eastAsia="ru-RU" w:bidi="ru-RU"/>
        </w:rPr>
        <w:softHyphen/>
        <w:t>ревезли персонал и оборудование завода №156 и завода №81 из подмосковного Ту</w:t>
      </w:r>
      <w:r w:rsidRPr="00640820">
        <w:rPr>
          <w:rFonts w:ascii="Times New Roman" w:hAnsi="Times New Roman"/>
          <w:color w:val="0070C0"/>
          <w:sz w:val="16"/>
          <w:szCs w:val="16"/>
          <w:lang w:eastAsia="ru-RU" w:bidi="ru-RU"/>
        </w:rPr>
        <w:softHyphen/>
        <w:t>шина. Последний перед эвакуацией гото</w:t>
      </w:r>
      <w:r w:rsidRPr="00640820">
        <w:rPr>
          <w:rFonts w:ascii="Times New Roman" w:hAnsi="Times New Roman"/>
          <w:color w:val="0070C0"/>
          <w:sz w:val="16"/>
          <w:szCs w:val="16"/>
          <w:lang w:eastAsia="ru-RU" w:bidi="ru-RU"/>
        </w:rPr>
        <w:softHyphen/>
        <w:t>вился начать выпуск истребителей Як-1. В ноябре - декабре к коллективу нового предприятия добавились рабочие и служа</w:t>
      </w:r>
      <w:r w:rsidRPr="00640820">
        <w:rPr>
          <w:rFonts w:ascii="Times New Roman" w:hAnsi="Times New Roman"/>
          <w:color w:val="0070C0"/>
          <w:sz w:val="16"/>
          <w:szCs w:val="16"/>
          <w:lang w:eastAsia="ru-RU" w:bidi="ru-RU"/>
        </w:rPr>
        <w:softHyphen/>
        <w:t>щие завода №288 из Савелова. В кое-как приспособленных помеще</w:t>
      </w:r>
      <w:r w:rsidRPr="00640820">
        <w:rPr>
          <w:rFonts w:ascii="Times New Roman" w:hAnsi="Times New Roman"/>
          <w:color w:val="0070C0"/>
          <w:sz w:val="16"/>
          <w:szCs w:val="16"/>
          <w:lang w:eastAsia="ru-RU" w:bidi="ru-RU"/>
        </w:rPr>
        <w:softHyphen/>
        <w:t>ниях возобновилась работа по изготовле</w:t>
      </w:r>
      <w:r w:rsidRPr="00640820">
        <w:rPr>
          <w:rFonts w:ascii="Times New Roman" w:hAnsi="Times New Roman"/>
          <w:color w:val="0070C0"/>
          <w:sz w:val="16"/>
          <w:szCs w:val="16"/>
          <w:lang w:eastAsia="ru-RU" w:bidi="ru-RU"/>
        </w:rPr>
        <w:softHyphen/>
        <w:t>нию самолета «103В», на заводе его назы</w:t>
      </w:r>
      <w:r w:rsidRPr="00640820">
        <w:rPr>
          <w:rFonts w:ascii="Times New Roman" w:hAnsi="Times New Roman"/>
          <w:color w:val="0070C0"/>
          <w:sz w:val="16"/>
          <w:szCs w:val="16"/>
          <w:lang w:eastAsia="ru-RU" w:bidi="ru-RU"/>
        </w:rPr>
        <w:softHyphen/>
        <w:t>вали «Верочкой» (.</w:t>
      </w:r>
    </w:p>
    <w:p w14:paraId="29F25E06" w14:textId="77777777" w:rsidR="0036767C" w:rsidRPr="00640820" w:rsidRDefault="0036767C" w:rsidP="00640820">
      <w:pPr>
        <w:spacing w:after="0" w:line="240" w:lineRule="auto"/>
        <w:jc w:val="both"/>
        <w:rPr>
          <w:rFonts w:ascii="Times New Roman" w:hAnsi="Times New Roman"/>
          <w:color w:val="0070C0"/>
          <w:sz w:val="16"/>
          <w:szCs w:val="16"/>
        </w:rPr>
      </w:pPr>
    </w:p>
    <w:p w14:paraId="67A820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в аэропорту Толмачево, Новосибирск, куда эвакуировался Н.Н.П. с октября 1941, испытывали ТИС. Выкатили на ЦА летом 1941 и начали испытывать под Москвой, но кончили испытания только в апреле 1942 в ЛИИ НКАП (125, 20).</w:t>
      </w:r>
    </w:p>
    <w:p w14:paraId="37E69D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530A6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на 292 заводе проходили совместные заводские и гос. испытания Як-1 N 38-55 в зимнем варианте - с лыжным шасси и мелово-клеевой окраской. Был НИИ ВВС и ЛИИ и сделали 18 полетов и свыше 50 взлетов-посадок. Масса выросла, скорость упала (65,50).</w:t>
      </w:r>
    </w:p>
    <w:p w14:paraId="566888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34791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ноября 1941 г. заводу № 292 удалось добиться установки радиостанции на каждый десятый самолет, а на всех выпускаемых самолетах была проведена подготовка к ее установке (всего в 1941 году из цехов завода вышло 34 самолета с установленными радиостанциями). В 2,5 раза (до 7112 нормочасов) сократилась трудоемкость на одну машину, составлявшая в начале года 17932 нормочаса.</w:t>
      </w:r>
    </w:p>
    <w:p w14:paraId="6BAA65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Предусмотрели на Як-1 и посадочную фару, на установке которой с начала испытаний И-26 настаивали ВВС (хотя по ТТТ на прототипе должны были установить только два держателя подкрыльевых факелов НГ-12). С этим связано еще одно изменение конструкции самолета. 29 августа в ЦК ВКП(б) с письмом обратился заместитель 6-го авиакорпуса ПВО, прикрывающего Москву, подполковник П.М. Стефановский. В письме он сообщал, что неподготовленность истребителей МиГ-3, Як-1 и ЛаГГ-3 к действиям ночью "приводит к колоссальным потерям материальной части при ночных вылетах по боевой тревоге". Пункт письма об отсутствии посадочной фары на Як-1 Стефановский специально подчеркнул. Задание выпускать истребители для частей ПВО с посадочной фарой не заставило себя долго ждать, и поступило на завод № 115 и в ОКБ 16 сентября 1941 г. Но это задание вошло в противоречие с предыдущим приказом наркома авиапромышленности, отданным 3 сентября и предписывавшего всем самолетостроительным заводам сократить потребление оргстекла. По постановлению ГКО завод № 292, к этому времени, все выпускаемые самолеты направлял в части, оборонявшие Москву, а также противодействующие ночным налетам немецкой авиации на столицу СССР. Поэтому главный конструктор самолета счел возможным уменьшить площадь остекления задней части фонаря кабины, выполнив их в виде двух небольших окон, как у истребителя ЛаГГ-3. Высвободившееся оргстекло использовали для установки посадочной фары, которая появилась на самолетах примерно с 49-й серии. </w:t>
      </w:r>
    </w:p>
    <w:p w14:paraId="030644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Выпуск самолетов Як-1 заводом № 292 в 1941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00"/>
        <w:gridCol w:w="800"/>
        <w:gridCol w:w="800"/>
        <w:gridCol w:w="800"/>
        <w:gridCol w:w="800"/>
        <w:gridCol w:w="800"/>
        <w:gridCol w:w="800"/>
        <w:gridCol w:w="800"/>
        <w:gridCol w:w="800"/>
        <w:gridCol w:w="988"/>
        <w:gridCol w:w="851"/>
        <w:gridCol w:w="722"/>
        <w:gridCol w:w="722"/>
        <w:gridCol w:w="722"/>
      </w:tblGrid>
      <w:tr w:rsidR="00643896" w:rsidRPr="00640820" w14:paraId="20CC12F0" w14:textId="77777777" w:rsidTr="000D3BCB">
        <w:tc>
          <w:tcPr>
            <w:tcW w:w="800" w:type="dxa"/>
            <w:tcBorders>
              <w:top w:val="single" w:sz="12" w:space="0" w:color="auto"/>
            </w:tcBorders>
          </w:tcPr>
          <w:p w14:paraId="2287DC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Borders>
              <w:top w:val="single" w:sz="12" w:space="0" w:color="auto"/>
            </w:tcBorders>
          </w:tcPr>
          <w:p w14:paraId="513266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Январь</w:t>
            </w:r>
          </w:p>
        </w:tc>
        <w:tc>
          <w:tcPr>
            <w:tcW w:w="800" w:type="dxa"/>
            <w:tcBorders>
              <w:top w:val="single" w:sz="12" w:space="0" w:color="auto"/>
            </w:tcBorders>
          </w:tcPr>
          <w:p w14:paraId="158E8D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Февраль</w:t>
            </w:r>
          </w:p>
        </w:tc>
        <w:tc>
          <w:tcPr>
            <w:tcW w:w="800" w:type="dxa"/>
            <w:tcBorders>
              <w:top w:val="single" w:sz="12" w:space="0" w:color="auto"/>
            </w:tcBorders>
          </w:tcPr>
          <w:p w14:paraId="18DC0C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Март</w:t>
            </w:r>
          </w:p>
        </w:tc>
        <w:tc>
          <w:tcPr>
            <w:tcW w:w="800" w:type="dxa"/>
            <w:tcBorders>
              <w:top w:val="single" w:sz="12" w:space="0" w:color="auto"/>
            </w:tcBorders>
          </w:tcPr>
          <w:p w14:paraId="4CDEB1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Апрель</w:t>
            </w:r>
          </w:p>
        </w:tc>
        <w:tc>
          <w:tcPr>
            <w:tcW w:w="800" w:type="dxa"/>
            <w:tcBorders>
              <w:top w:val="single" w:sz="12" w:space="0" w:color="auto"/>
            </w:tcBorders>
          </w:tcPr>
          <w:p w14:paraId="165C6E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Май</w:t>
            </w:r>
          </w:p>
        </w:tc>
        <w:tc>
          <w:tcPr>
            <w:tcW w:w="800" w:type="dxa"/>
            <w:tcBorders>
              <w:top w:val="single" w:sz="12" w:space="0" w:color="auto"/>
            </w:tcBorders>
          </w:tcPr>
          <w:p w14:paraId="72FE33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Июнь</w:t>
            </w:r>
          </w:p>
        </w:tc>
        <w:tc>
          <w:tcPr>
            <w:tcW w:w="800" w:type="dxa"/>
            <w:tcBorders>
              <w:top w:val="single" w:sz="12" w:space="0" w:color="auto"/>
            </w:tcBorders>
          </w:tcPr>
          <w:p w14:paraId="1D0EE7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Июль</w:t>
            </w:r>
          </w:p>
        </w:tc>
        <w:tc>
          <w:tcPr>
            <w:tcW w:w="800" w:type="dxa"/>
            <w:tcBorders>
              <w:top w:val="single" w:sz="12" w:space="0" w:color="auto"/>
            </w:tcBorders>
          </w:tcPr>
          <w:p w14:paraId="5FE24E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Август</w:t>
            </w:r>
          </w:p>
        </w:tc>
        <w:tc>
          <w:tcPr>
            <w:tcW w:w="988" w:type="dxa"/>
            <w:tcBorders>
              <w:top w:val="single" w:sz="12" w:space="0" w:color="auto"/>
            </w:tcBorders>
          </w:tcPr>
          <w:p w14:paraId="07DBDB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Сентябрь</w:t>
            </w:r>
          </w:p>
        </w:tc>
        <w:tc>
          <w:tcPr>
            <w:tcW w:w="851" w:type="dxa"/>
            <w:tcBorders>
              <w:top w:val="single" w:sz="12" w:space="0" w:color="auto"/>
            </w:tcBorders>
          </w:tcPr>
          <w:p w14:paraId="18852C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Октябрь</w:t>
            </w:r>
          </w:p>
        </w:tc>
        <w:tc>
          <w:tcPr>
            <w:tcW w:w="722" w:type="dxa"/>
            <w:tcBorders>
              <w:top w:val="single" w:sz="12" w:space="0" w:color="auto"/>
            </w:tcBorders>
          </w:tcPr>
          <w:p w14:paraId="48170C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Ноябрь</w:t>
            </w:r>
          </w:p>
        </w:tc>
        <w:tc>
          <w:tcPr>
            <w:tcW w:w="722" w:type="dxa"/>
            <w:tcBorders>
              <w:top w:val="single" w:sz="12" w:space="0" w:color="auto"/>
            </w:tcBorders>
          </w:tcPr>
          <w:p w14:paraId="3751F6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Декабрь</w:t>
            </w:r>
          </w:p>
        </w:tc>
        <w:tc>
          <w:tcPr>
            <w:tcW w:w="722" w:type="dxa"/>
            <w:tcBorders>
              <w:top w:val="single" w:sz="12" w:space="0" w:color="auto"/>
            </w:tcBorders>
          </w:tcPr>
          <w:p w14:paraId="5E73F0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Асего</w:t>
            </w:r>
          </w:p>
        </w:tc>
      </w:tr>
      <w:tr w:rsidR="00643896" w:rsidRPr="00640820" w14:paraId="4D47E741" w14:textId="77777777" w:rsidTr="000D3BCB">
        <w:tc>
          <w:tcPr>
            <w:tcW w:w="800" w:type="dxa"/>
          </w:tcPr>
          <w:p w14:paraId="4FFF45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0F0F72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5EB5D2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 квартал</w:t>
            </w:r>
          </w:p>
        </w:tc>
        <w:tc>
          <w:tcPr>
            <w:tcW w:w="800" w:type="dxa"/>
          </w:tcPr>
          <w:p w14:paraId="004D4F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30F8A0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4D2050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 квартал</w:t>
            </w:r>
          </w:p>
        </w:tc>
        <w:tc>
          <w:tcPr>
            <w:tcW w:w="800" w:type="dxa"/>
          </w:tcPr>
          <w:p w14:paraId="6BC53D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08D024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34161F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 квартал</w:t>
            </w:r>
          </w:p>
        </w:tc>
        <w:tc>
          <w:tcPr>
            <w:tcW w:w="988" w:type="dxa"/>
          </w:tcPr>
          <w:p w14:paraId="4FCC87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51" w:type="dxa"/>
          </w:tcPr>
          <w:p w14:paraId="747909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62745F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 квартал</w:t>
            </w:r>
          </w:p>
        </w:tc>
        <w:tc>
          <w:tcPr>
            <w:tcW w:w="722" w:type="dxa"/>
          </w:tcPr>
          <w:p w14:paraId="2577FA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06CBA3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3618E2E0" w14:textId="77777777" w:rsidTr="000D3BCB">
        <w:tc>
          <w:tcPr>
            <w:tcW w:w="800" w:type="dxa"/>
          </w:tcPr>
          <w:p w14:paraId="5A7F7D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680755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7C798E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220</w:t>
            </w:r>
          </w:p>
        </w:tc>
        <w:tc>
          <w:tcPr>
            <w:tcW w:w="800" w:type="dxa"/>
          </w:tcPr>
          <w:p w14:paraId="5E69AB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16D57B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16E553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270</w:t>
            </w:r>
          </w:p>
        </w:tc>
        <w:tc>
          <w:tcPr>
            <w:tcW w:w="800" w:type="dxa"/>
          </w:tcPr>
          <w:p w14:paraId="76B425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78186E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5C65F9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290</w:t>
            </w:r>
          </w:p>
        </w:tc>
        <w:tc>
          <w:tcPr>
            <w:tcW w:w="988" w:type="dxa"/>
          </w:tcPr>
          <w:p w14:paraId="4F2698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51" w:type="dxa"/>
          </w:tcPr>
          <w:p w14:paraId="16A574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647FFE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320</w:t>
            </w:r>
          </w:p>
        </w:tc>
        <w:tc>
          <w:tcPr>
            <w:tcW w:w="722" w:type="dxa"/>
          </w:tcPr>
          <w:p w14:paraId="1D4D76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3FC9A7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1100</w:t>
            </w:r>
          </w:p>
        </w:tc>
      </w:tr>
      <w:tr w:rsidR="00643896" w:rsidRPr="00640820" w14:paraId="2416475E" w14:textId="77777777" w:rsidTr="000D3BCB">
        <w:tc>
          <w:tcPr>
            <w:tcW w:w="800" w:type="dxa"/>
          </w:tcPr>
          <w:p w14:paraId="73C47B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Новый план'</w:t>
            </w:r>
          </w:p>
        </w:tc>
        <w:tc>
          <w:tcPr>
            <w:tcW w:w="800" w:type="dxa"/>
          </w:tcPr>
          <w:p w14:paraId="53C1B1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48C1FA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w:t>
            </w:r>
          </w:p>
        </w:tc>
        <w:tc>
          <w:tcPr>
            <w:tcW w:w="800" w:type="dxa"/>
          </w:tcPr>
          <w:p w14:paraId="54AB13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40</w:t>
            </w:r>
          </w:p>
        </w:tc>
        <w:tc>
          <w:tcPr>
            <w:tcW w:w="800" w:type="dxa"/>
          </w:tcPr>
          <w:p w14:paraId="4210D3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66</w:t>
            </w:r>
          </w:p>
        </w:tc>
        <w:tc>
          <w:tcPr>
            <w:tcW w:w="800" w:type="dxa"/>
          </w:tcPr>
          <w:p w14:paraId="1A93B3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74</w:t>
            </w:r>
          </w:p>
        </w:tc>
        <w:tc>
          <w:tcPr>
            <w:tcW w:w="800" w:type="dxa"/>
          </w:tcPr>
          <w:p w14:paraId="2F4A26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100</w:t>
            </w:r>
          </w:p>
        </w:tc>
        <w:tc>
          <w:tcPr>
            <w:tcW w:w="800" w:type="dxa"/>
          </w:tcPr>
          <w:p w14:paraId="4AB543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115</w:t>
            </w:r>
          </w:p>
        </w:tc>
        <w:tc>
          <w:tcPr>
            <w:tcW w:w="800" w:type="dxa"/>
          </w:tcPr>
          <w:p w14:paraId="26FB42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130</w:t>
            </w:r>
          </w:p>
        </w:tc>
        <w:tc>
          <w:tcPr>
            <w:tcW w:w="988" w:type="dxa"/>
          </w:tcPr>
          <w:p w14:paraId="102B32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156</w:t>
            </w:r>
          </w:p>
        </w:tc>
        <w:tc>
          <w:tcPr>
            <w:tcW w:w="851" w:type="dxa"/>
          </w:tcPr>
          <w:p w14:paraId="6445F0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189</w:t>
            </w:r>
          </w:p>
        </w:tc>
        <w:tc>
          <w:tcPr>
            <w:tcW w:w="722" w:type="dxa"/>
          </w:tcPr>
          <w:p w14:paraId="6A2BEE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184</w:t>
            </w:r>
          </w:p>
        </w:tc>
        <w:tc>
          <w:tcPr>
            <w:tcW w:w="722" w:type="dxa"/>
          </w:tcPr>
          <w:p w14:paraId="32586C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260</w:t>
            </w:r>
          </w:p>
        </w:tc>
        <w:tc>
          <w:tcPr>
            <w:tcW w:w="722" w:type="dxa"/>
          </w:tcPr>
          <w:p w14:paraId="0536D8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1350</w:t>
            </w:r>
          </w:p>
        </w:tc>
      </w:tr>
      <w:tr w:rsidR="00643896" w:rsidRPr="00640820" w14:paraId="7B30FCCD" w14:textId="77777777" w:rsidTr="000D3BCB">
        <w:tc>
          <w:tcPr>
            <w:tcW w:w="800" w:type="dxa"/>
          </w:tcPr>
          <w:p w14:paraId="05BC98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Изготовлено</w:t>
            </w:r>
          </w:p>
        </w:tc>
        <w:tc>
          <w:tcPr>
            <w:tcW w:w="800" w:type="dxa"/>
          </w:tcPr>
          <w:p w14:paraId="2F3CA8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p w14:paraId="45201E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7C3E5D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w:t>
            </w:r>
          </w:p>
        </w:tc>
        <w:tc>
          <w:tcPr>
            <w:tcW w:w="800" w:type="dxa"/>
          </w:tcPr>
          <w:p w14:paraId="7FA44A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40</w:t>
            </w:r>
          </w:p>
        </w:tc>
        <w:tc>
          <w:tcPr>
            <w:tcW w:w="800" w:type="dxa"/>
          </w:tcPr>
          <w:p w14:paraId="5CCF6D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68</w:t>
            </w:r>
          </w:p>
        </w:tc>
        <w:tc>
          <w:tcPr>
            <w:tcW w:w="800" w:type="dxa"/>
          </w:tcPr>
          <w:p w14:paraId="1C9A94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73</w:t>
            </w:r>
          </w:p>
        </w:tc>
        <w:tc>
          <w:tcPr>
            <w:tcW w:w="800" w:type="dxa"/>
          </w:tcPr>
          <w:p w14:paraId="713398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101</w:t>
            </w:r>
          </w:p>
        </w:tc>
        <w:tc>
          <w:tcPr>
            <w:tcW w:w="800" w:type="dxa"/>
          </w:tcPr>
          <w:p w14:paraId="637FA6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135</w:t>
            </w:r>
          </w:p>
        </w:tc>
        <w:tc>
          <w:tcPr>
            <w:tcW w:w="800" w:type="dxa"/>
          </w:tcPr>
          <w:p w14:paraId="3318D3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150</w:t>
            </w:r>
          </w:p>
        </w:tc>
        <w:tc>
          <w:tcPr>
            <w:tcW w:w="988" w:type="dxa"/>
          </w:tcPr>
          <w:p w14:paraId="5A887C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168</w:t>
            </w:r>
          </w:p>
        </w:tc>
        <w:tc>
          <w:tcPr>
            <w:tcW w:w="851" w:type="dxa"/>
          </w:tcPr>
          <w:p w14:paraId="412A94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185</w:t>
            </w:r>
          </w:p>
        </w:tc>
        <w:tc>
          <w:tcPr>
            <w:tcW w:w="722" w:type="dxa"/>
          </w:tcPr>
          <w:p w14:paraId="197DD2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104</w:t>
            </w:r>
          </w:p>
        </w:tc>
        <w:tc>
          <w:tcPr>
            <w:tcW w:w="722" w:type="dxa"/>
          </w:tcPr>
          <w:p w14:paraId="0B0B9D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152</w:t>
            </w:r>
          </w:p>
        </w:tc>
        <w:tc>
          <w:tcPr>
            <w:tcW w:w="722" w:type="dxa"/>
          </w:tcPr>
          <w:p w14:paraId="57A8A0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1212 3</w:t>
            </w:r>
          </w:p>
        </w:tc>
      </w:tr>
      <w:tr w:rsidR="00643896" w:rsidRPr="00640820" w14:paraId="6579F9B6" w14:textId="77777777" w:rsidTr="000D3BCB">
        <w:tc>
          <w:tcPr>
            <w:tcW w:w="800" w:type="dxa"/>
          </w:tcPr>
          <w:p w14:paraId="215F4A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5FBD88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17 2)</w:t>
            </w:r>
          </w:p>
        </w:tc>
        <w:tc>
          <w:tcPr>
            <w:tcW w:w="800" w:type="dxa"/>
          </w:tcPr>
          <w:p w14:paraId="05289E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25 2)</w:t>
            </w:r>
          </w:p>
        </w:tc>
        <w:tc>
          <w:tcPr>
            <w:tcW w:w="800" w:type="dxa"/>
          </w:tcPr>
          <w:p w14:paraId="02614E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34 2)</w:t>
            </w:r>
          </w:p>
        </w:tc>
        <w:tc>
          <w:tcPr>
            <w:tcW w:w="800" w:type="dxa"/>
          </w:tcPr>
          <w:p w14:paraId="6A1811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3863E9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6C0236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2BE488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79472D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988" w:type="dxa"/>
          </w:tcPr>
          <w:p w14:paraId="3AAAA8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51" w:type="dxa"/>
          </w:tcPr>
          <w:p w14:paraId="401103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67C64D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3D9613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41794C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46715AE5" w14:textId="77777777" w:rsidTr="000D3BCB">
        <w:tc>
          <w:tcPr>
            <w:tcW w:w="800" w:type="dxa"/>
          </w:tcPr>
          <w:p w14:paraId="136DA2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Принято военпредом</w:t>
            </w:r>
          </w:p>
        </w:tc>
        <w:tc>
          <w:tcPr>
            <w:tcW w:w="800" w:type="dxa"/>
          </w:tcPr>
          <w:p w14:paraId="6FEF56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4BC4C5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56CA5F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2CCCB7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44A084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5D05FF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4A1C36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375241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988" w:type="dxa"/>
          </w:tcPr>
          <w:p w14:paraId="69994F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51" w:type="dxa"/>
          </w:tcPr>
          <w:p w14:paraId="398BCA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42E090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3C0C03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33E3D5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71A024AE" w14:textId="77777777" w:rsidTr="000D3BCB">
        <w:tc>
          <w:tcPr>
            <w:tcW w:w="800" w:type="dxa"/>
          </w:tcPr>
          <w:p w14:paraId="05B8D0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для ГУ ВВС КА</w:t>
            </w:r>
          </w:p>
        </w:tc>
        <w:tc>
          <w:tcPr>
            <w:tcW w:w="800" w:type="dxa"/>
          </w:tcPr>
          <w:p w14:paraId="1E2CE2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w:t>
            </w:r>
          </w:p>
        </w:tc>
        <w:tc>
          <w:tcPr>
            <w:tcW w:w="800" w:type="dxa"/>
          </w:tcPr>
          <w:p w14:paraId="3B052A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w:t>
            </w:r>
          </w:p>
        </w:tc>
        <w:tc>
          <w:tcPr>
            <w:tcW w:w="800" w:type="dxa"/>
          </w:tcPr>
          <w:p w14:paraId="502C6B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40</w:t>
            </w:r>
          </w:p>
        </w:tc>
        <w:tc>
          <w:tcPr>
            <w:tcW w:w="800" w:type="dxa"/>
          </w:tcPr>
          <w:p w14:paraId="532501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68</w:t>
            </w:r>
          </w:p>
        </w:tc>
        <w:tc>
          <w:tcPr>
            <w:tcW w:w="800" w:type="dxa"/>
          </w:tcPr>
          <w:p w14:paraId="4DBF98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66</w:t>
            </w:r>
          </w:p>
        </w:tc>
        <w:tc>
          <w:tcPr>
            <w:tcW w:w="800" w:type="dxa"/>
          </w:tcPr>
          <w:p w14:paraId="4A5404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58</w:t>
            </w:r>
          </w:p>
        </w:tc>
        <w:tc>
          <w:tcPr>
            <w:tcW w:w="800" w:type="dxa"/>
          </w:tcPr>
          <w:p w14:paraId="1444FF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117</w:t>
            </w:r>
          </w:p>
        </w:tc>
        <w:tc>
          <w:tcPr>
            <w:tcW w:w="800" w:type="dxa"/>
          </w:tcPr>
          <w:p w14:paraId="36114F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153</w:t>
            </w:r>
          </w:p>
        </w:tc>
        <w:tc>
          <w:tcPr>
            <w:tcW w:w="988" w:type="dxa"/>
          </w:tcPr>
          <w:p w14:paraId="512803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151</w:t>
            </w:r>
          </w:p>
        </w:tc>
        <w:tc>
          <w:tcPr>
            <w:tcW w:w="851" w:type="dxa"/>
          </w:tcPr>
          <w:p w14:paraId="071F86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171</w:t>
            </w:r>
          </w:p>
        </w:tc>
        <w:tc>
          <w:tcPr>
            <w:tcW w:w="722" w:type="dxa"/>
          </w:tcPr>
          <w:p w14:paraId="5F68C5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68</w:t>
            </w:r>
          </w:p>
        </w:tc>
        <w:tc>
          <w:tcPr>
            <w:tcW w:w="722" w:type="dxa"/>
          </w:tcPr>
          <w:p w14:paraId="516CA2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143</w:t>
            </w:r>
          </w:p>
        </w:tc>
        <w:tc>
          <w:tcPr>
            <w:tcW w:w="722" w:type="dxa"/>
          </w:tcPr>
          <w:p w14:paraId="4FB519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1070</w:t>
            </w:r>
          </w:p>
        </w:tc>
      </w:tr>
      <w:tr w:rsidR="00643896" w:rsidRPr="00640820" w14:paraId="532DC4FD" w14:textId="77777777" w:rsidTr="000D3BCB">
        <w:tc>
          <w:tcPr>
            <w:tcW w:w="800" w:type="dxa"/>
          </w:tcPr>
          <w:p w14:paraId="27AC17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для УА ВМФ</w:t>
            </w:r>
          </w:p>
        </w:tc>
        <w:tc>
          <w:tcPr>
            <w:tcW w:w="800" w:type="dxa"/>
          </w:tcPr>
          <w:p w14:paraId="10125A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2B257A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57CCB5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636A9F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0C7124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w:t>
            </w:r>
          </w:p>
        </w:tc>
        <w:tc>
          <w:tcPr>
            <w:tcW w:w="800" w:type="dxa"/>
          </w:tcPr>
          <w:p w14:paraId="6BA0A1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41</w:t>
            </w:r>
          </w:p>
        </w:tc>
        <w:tc>
          <w:tcPr>
            <w:tcW w:w="800" w:type="dxa"/>
          </w:tcPr>
          <w:p w14:paraId="0C4D98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17D996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988" w:type="dxa"/>
          </w:tcPr>
          <w:p w14:paraId="117BDA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w:t>
            </w:r>
          </w:p>
        </w:tc>
        <w:tc>
          <w:tcPr>
            <w:tcW w:w="851" w:type="dxa"/>
          </w:tcPr>
          <w:p w14:paraId="578D20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w:t>
            </w:r>
          </w:p>
        </w:tc>
        <w:tc>
          <w:tcPr>
            <w:tcW w:w="722" w:type="dxa"/>
          </w:tcPr>
          <w:p w14:paraId="5C344D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w:t>
            </w:r>
          </w:p>
        </w:tc>
        <w:tc>
          <w:tcPr>
            <w:tcW w:w="722" w:type="dxa"/>
          </w:tcPr>
          <w:p w14:paraId="5D9E81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20</w:t>
            </w:r>
          </w:p>
        </w:tc>
        <w:tc>
          <w:tcPr>
            <w:tcW w:w="722" w:type="dxa"/>
          </w:tcPr>
          <w:p w14:paraId="24E07D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121</w:t>
            </w:r>
          </w:p>
        </w:tc>
      </w:tr>
      <w:tr w:rsidR="00643896" w:rsidRPr="00640820" w14:paraId="62005F42" w14:textId="77777777" w:rsidTr="000D3BCB">
        <w:tc>
          <w:tcPr>
            <w:tcW w:w="800" w:type="dxa"/>
          </w:tcPr>
          <w:p w14:paraId="1DEB01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Отправлено всего</w:t>
            </w:r>
          </w:p>
        </w:tc>
        <w:tc>
          <w:tcPr>
            <w:tcW w:w="800" w:type="dxa"/>
          </w:tcPr>
          <w:p w14:paraId="5BB360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0B9BA9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6DD05D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30</w:t>
            </w:r>
          </w:p>
        </w:tc>
        <w:tc>
          <w:tcPr>
            <w:tcW w:w="800" w:type="dxa"/>
          </w:tcPr>
          <w:p w14:paraId="6DA865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45</w:t>
            </w:r>
          </w:p>
        </w:tc>
        <w:tc>
          <w:tcPr>
            <w:tcW w:w="800" w:type="dxa"/>
          </w:tcPr>
          <w:p w14:paraId="70419A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45</w:t>
            </w:r>
          </w:p>
        </w:tc>
        <w:tc>
          <w:tcPr>
            <w:tcW w:w="800" w:type="dxa"/>
          </w:tcPr>
          <w:p w14:paraId="1FC84E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66</w:t>
            </w:r>
          </w:p>
        </w:tc>
        <w:tc>
          <w:tcPr>
            <w:tcW w:w="800" w:type="dxa"/>
          </w:tcPr>
          <w:p w14:paraId="627EA4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192</w:t>
            </w:r>
          </w:p>
        </w:tc>
        <w:tc>
          <w:tcPr>
            <w:tcW w:w="800" w:type="dxa"/>
          </w:tcPr>
          <w:p w14:paraId="2F79AD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150</w:t>
            </w:r>
          </w:p>
        </w:tc>
        <w:tc>
          <w:tcPr>
            <w:tcW w:w="988" w:type="dxa"/>
          </w:tcPr>
          <w:p w14:paraId="69F08A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155</w:t>
            </w:r>
          </w:p>
        </w:tc>
        <w:tc>
          <w:tcPr>
            <w:tcW w:w="851" w:type="dxa"/>
          </w:tcPr>
          <w:p w14:paraId="4BFBC5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153</w:t>
            </w:r>
          </w:p>
        </w:tc>
        <w:tc>
          <w:tcPr>
            <w:tcW w:w="722" w:type="dxa"/>
          </w:tcPr>
          <w:p w14:paraId="14E01E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123</w:t>
            </w:r>
          </w:p>
        </w:tc>
        <w:tc>
          <w:tcPr>
            <w:tcW w:w="722" w:type="dxa"/>
          </w:tcPr>
          <w:p w14:paraId="74FF8E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136</w:t>
            </w:r>
          </w:p>
        </w:tc>
        <w:tc>
          <w:tcPr>
            <w:tcW w:w="722" w:type="dxa"/>
          </w:tcPr>
          <w:p w14:paraId="0AF7DD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1125</w:t>
            </w:r>
          </w:p>
        </w:tc>
      </w:tr>
      <w:tr w:rsidR="00643896" w:rsidRPr="00640820" w14:paraId="7AB7ACDC" w14:textId="77777777" w:rsidTr="000D3BCB">
        <w:tc>
          <w:tcPr>
            <w:tcW w:w="800" w:type="dxa"/>
          </w:tcPr>
          <w:p w14:paraId="43535B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 т.ч. ВВС КА</w:t>
            </w:r>
          </w:p>
        </w:tc>
        <w:tc>
          <w:tcPr>
            <w:tcW w:w="800" w:type="dxa"/>
          </w:tcPr>
          <w:p w14:paraId="6FE115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2913C1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75EE5F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30</w:t>
            </w:r>
          </w:p>
        </w:tc>
        <w:tc>
          <w:tcPr>
            <w:tcW w:w="800" w:type="dxa"/>
          </w:tcPr>
          <w:p w14:paraId="54CF09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45</w:t>
            </w:r>
          </w:p>
        </w:tc>
        <w:tc>
          <w:tcPr>
            <w:tcW w:w="800" w:type="dxa"/>
          </w:tcPr>
          <w:p w14:paraId="25A588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42</w:t>
            </w:r>
          </w:p>
        </w:tc>
        <w:tc>
          <w:tcPr>
            <w:tcW w:w="800" w:type="dxa"/>
          </w:tcPr>
          <w:p w14:paraId="5A6E83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58</w:t>
            </w:r>
          </w:p>
        </w:tc>
        <w:tc>
          <w:tcPr>
            <w:tcW w:w="800" w:type="dxa"/>
          </w:tcPr>
          <w:p w14:paraId="5CB0F1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138</w:t>
            </w:r>
          </w:p>
        </w:tc>
        <w:tc>
          <w:tcPr>
            <w:tcW w:w="800" w:type="dxa"/>
          </w:tcPr>
          <w:p w14:paraId="0B3DE4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150</w:t>
            </w:r>
          </w:p>
        </w:tc>
        <w:tc>
          <w:tcPr>
            <w:tcW w:w="988" w:type="dxa"/>
          </w:tcPr>
          <w:p w14:paraId="607C35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138</w:t>
            </w:r>
          </w:p>
        </w:tc>
        <w:tc>
          <w:tcPr>
            <w:tcW w:w="851" w:type="dxa"/>
          </w:tcPr>
          <w:p w14:paraId="1820DE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149</w:t>
            </w:r>
          </w:p>
        </w:tc>
        <w:tc>
          <w:tcPr>
            <w:tcW w:w="722" w:type="dxa"/>
          </w:tcPr>
          <w:p w14:paraId="400051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102</w:t>
            </w:r>
          </w:p>
        </w:tc>
        <w:tc>
          <w:tcPr>
            <w:tcW w:w="722" w:type="dxa"/>
          </w:tcPr>
          <w:p w14:paraId="6741D9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128</w:t>
            </w:r>
          </w:p>
        </w:tc>
        <w:tc>
          <w:tcPr>
            <w:tcW w:w="722" w:type="dxa"/>
          </w:tcPr>
          <w:p w14:paraId="642F03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1010</w:t>
            </w:r>
          </w:p>
        </w:tc>
      </w:tr>
      <w:tr w:rsidR="00643896" w:rsidRPr="00640820" w14:paraId="687DB96C" w14:textId="77777777" w:rsidTr="000D3BCB">
        <w:tc>
          <w:tcPr>
            <w:tcW w:w="800" w:type="dxa"/>
          </w:tcPr>
          <w:p w14:paraId="736F72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 т.ч. ВВС ВМФ</w:t>
            </w:r>
          </w:p>
        </w:tc>
        <w:tc>
          <w:tcPr>
            <w:tcW w:w="800" w:type="dxa"/>
          </w:tcPr>
          <w:p w14:paraId="158784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0AE820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062DE5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29CB34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73B55E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0FEDF6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w:t>
            </w:r>
          </w:p>
        </w:tc>
        <w:tc>
          <w:tcPr>
            <w:tcW w:w="800" w:type="dxa"/>
          </w:tcPr>
          <w:p w14:paraId="370CBA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54</w:t>
            </w:r>
          </w:p>
        </w:tc>
        <w:tc>
          <w:tcPr>
            <w:tcW w:w="800" w:type="dxa"/>
          </w:tcPr>
          <w:p w14:paraId="7E6959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988" w:type="dxa"/>
          </w:tcPr>
          <w:p w14:paraId="2AAC72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w:t>
            </w:r>
          </w:p>
        </w:tc>
        <w:tc>
          <w:tcPr>
            <w:tcW w:w="851" w:type="dxa"/>
          </w:tcPr>
          <w:p w14:paraId="34AFA8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w:t>
            </w:r>
          </w:p>
        </w:tc>
        <w:tc>
          <w:tcPr>
            <w:tcW w:w="722" w:type="dxa"/>
          </w:tcPr>
          <w:p w14:paraId="51DB5B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w:t>
            </w:r>
          </w:p>
        </w:tc>
        <w:tc>
          <w:tcPr>
            <w:tcW w:w="722" w:type="dxa"/>
          </w:tcPr>
          <w:p w14:paraId="675A6A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w:t>
            </w:r>
          </w:p>
        </w:tc>
        <w:tc>
          <w:tcPr>
            <w:tcW w:w="722" w:type="dxa"/>
          </w:tcPr>
          <w:p w14:paraId="12B297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99</w:t>
            </w:r>
          </w:p>
        </w:tc>
      </w:tr>
      <w:tr w:rsidR="00643896" w:rsidRPr="00640820" w14:paraId="08A04C33" w14:textId="77777777" w:rsidTr="000D3BCB">
        <w:tc>
          <w:tcPr>
            <w:tcW w:w="800" w:type="dxa"/>
          </w:tcPr>
          <w:p w14:paraId="3A3F4F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т.ч. другие не принятые</w:t>
            </w:r>
          </w:p>
        </w:tc>
        <w:tc>
          <w:tcPr>
            <w:tcW w:w="800" w:type="dxa"/>
          </w:tcPr>
          <w:p w14:paraId="29D532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7306DD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696DA8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2EF1F7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13B19F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З4</w:t>
            </w:r>
          </w:p>
        </w:tc>
        <w:tc>
          <w:tcPr>
            <w:tcW w:w="800" w:type="dxa"/>
          </w:tcPr>
          <w:p w14:paraId="204E55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78397B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504009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988" w:type="dxa"/>
          </w:tcPr>
          <w:p w14:paraId="43A7B0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w:t>
            </w:r>
          </w:p>
        </w:tc>
        <w:tc>
          <w:tcPr>
            <w:tcW w:w="851" w:type="dxa"/>
          </w:tcPr>
          <w:p w14:paraId="1334BA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22" w:type="dxa"/>
          </w:tcPr>
          <w:p w14:paraId="68D33C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w:t>
            </w:r>
          </w:p>
        </w:tc>
        <w:tc>
          <w:tcPr>
            <w:tcW w:w="722" w:type="dxa"/>
          </w:tcPr>
          <w:p w14:paraId="0AB94D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22" w:type="dxa"/>
          </w:tcPr>
          <w:p w14:paraId="01DCA4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w:t>
            </w:r>
          </w:p>
        </w:tc>
      </w:tr>
      <w:tr w:rsidR="00643896" w:rsidRPr="00640820" w14:paraId="3C73DBCC" w14:textId="77777777" w:rsidTr="000D3BCB">
        <w:tc>
          <w:tcPr>
            <w:tcW w:w="800" w:type="dxa"/>
          </w:tcPr>
          <w:p w14:paraId="0897F7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Осталось на заводе</w:t>
            </w:r>
          </w:p>
        </w:tc>
        <w:tc>
          <w:tcPr>
            <w:tcW w:w="800" w:type="dxa"/>
          </w:tcPr>
          <w:p w14:paraId="49086C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w:t>
            </w:r>
          </w:p>
        </w:tc>
        <w:tc>
          <w:tcPr>
            <w:tcW w:w="800" w:type="dxa"/>
          </w:tcPr>
          <w:p w14:paraId="6339A9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w:t>
            </w:r>
          </w:p>
        </w:tc>
        <w:tc>
          <w:tcPr>
            <w:tcW w:w="800" w:type="dxa"/>
          </w:tcPr>
          <w:p w14:paraId="3628A0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32</w:t>
            </w:r>
          </w:p>
        </w:tc>
        <w:tc>
          <w:tcPr>
            <w:tcW w:w="800" w:type="dxa"/>
          </w:tcPr>
          <w:p w14:paraId="4FB3FB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55</w:t>
            </w:r>
          </w:p>
        </w:tc>
        <w:tc>
          <w:tcPr>
            <w:tcW w:w="800" w:type="dxa"/>
          </w:tcPr>
          <w:p w14:paraId="46B79F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83</w:t>
            </w:r>
          </w:p>
        </w:tc>
        <w:tc>
          <w:tcPr>
            <w:tcW w:w="800" w:type="dxa"/>
          </w:tcPr>
          <w:p w14:paraId="0D7C32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118</w:t>
            </w:r>
          </w:p>
        </w:tc>
        <w:tc>
          <w:tcPr>
            <w:tcW w:w="800" w:type="dxa"/>
          </w:tcPr>
          <w:p w14:paraId="709738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61</w:t>
            </w:r>
          </w:p>
        </w:tc>
        <w:tc>
          <w:tcPr>
            <w:tcW w:w="800" w:type="dxa"/>
          </w:tcPr>
          <w:p w14:paraId="747125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61</w:t>
            </w:r>
          </w:p>
        </w:tc>
        <w:tc>
          <w:tcPr>
            <w:tcW w:w="988" w:type="dxa"/>
          </w:tcPr>
          <w:p w14:paraId="33A890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74</w:t>
            </w:r>
          </w:p>
        </w:tc>
        <w:tc>
          <w:tcPr>
            <w:tcW w:w="851" w:type="dxa"/>
          </w:tcPr>
          <w:p w14:paraId="64B246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106</w:t>
            </w:r>
          </w:p>
        </w:tc>
        <w:tc>
          <w:tcPr>
            <w:tcW w:w="722" w:type="dxa"/>
          </w:tcPr>
          <w:p w14:paraId="2647B4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87</w:t>
            </w:r>
          </w:p>
        </w:tc>
        <w:tc>
          <w:tcPr>
            <w:tcW w:w="722" w:type="dxa"/>
          </w:tcPr>
          <w:p w14:paraId="27E86D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ЮЗ8</w:t>
            </w:r>
          </w:p>
        </w:tc>
        <w:tc>
          <w:tcPr>
            <w:tcW w:w="722" w:type="dxa"/>
          </w:tcPr>
          <w:p w14:paraId="1AC96D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r>
      <w:tr w:rsidR="00643896" w:rsidRPr="00640820" w14:paraId="533A925B" w14:textId="77777777" w:rsidTr="000D3BCB">
        <w:tc>
          <w:tcPr>
            <w:tcW w:w="800" w:type="dxa"/>
          </w:tcPr>
          <w:p w14:paraId="43C408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 т.ч. принятых</w:t>
            </w:r>
          </w:p>
        </w:tc>
        <w:tc>
          <w:tcPr>
            <w:tcW w:w="800" w:type="dxa"/>
          </w:tcPr>
          <w:p w14:paraId="528196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508307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w:t>
            </w:r>
          </w:p>
        </w:tc>
        <w:tc>
          <w:tcPr>
            <w:tcW w:w="800" w:type="dxa"/>
          </w:tcPr>
          <w:p w14:paraId="4DB40E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31</w:t>
            </w:r>
          </w:p>
        </w:tc>
        <w:tc>
          <w:tcPr>
            <w:tcW w:w="800" w:type="dxa"/>
          </w:tcPr>
          <w:p w14:paraId="0FA28B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54</w:t>
            </w:r>
          </w:p>
        </w:tc>
        <w:tc>
          <w:tcPr>
            <w:tcW w:w="800" w:type="dxa"/>
          </w:tcPr>
          <w:p w14:paraId="69C084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83</w:t>
            </w:r>
          </w:p>
        </w:tc>
        <w:tc>
          <w:tcPr>
            <w:tcW w:w="800" w:type="dxa"/>
          </w:tcPr>
          <w:p w14:paraId="199D55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117</w:t>
            </w:r>
          </w:p>
        </w:tc>
        <w:tc>
          <w:tcPr>
            <w:tcW w:w="800" w:type="dxa"/>
          </w:tcPr>
          <w:p w14:paraId="43EAA9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57</w:t>
            </w:r>
          </w:p>
        </w:tc>
        <w:tc>
          <w:tcPr>
            <w:tcW w:w="800" w:type="dxa"/>
          </w:tcPr>
          <w:p w14:paraId="1C784D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60</w:t>
            </w:r>
          </w:p>
        </w:tc>
        <w:tc>
          <w:tcPr>
            <w:tcW w:w="988" w:type="dxa"/>
          </w:tcPr>
          <w:p w14:paraId="4E311E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73</w:t>
            </w:r>
          </w:p>
        </w:tc>
        <w:tc>
          <w:tcPr>
            <w:tcW w:w="851" w:type="dxa"/>
          </w:tcPr>
          <w:p w14:paraId="4D691D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98</w:t>
            </w:r>
          </w:p>
        </w:tc>
        <w:tc>
          <w:tcPr>
            <w:tcW w:w="722" w:type="dxa"/>
          </w:tcPr>
          <w:p w14:paraId="54A18D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71</w:t>
            </w:r>
          </w:p>
        </w:tc>
        <w:tc>
          <w:tcPr>
            <w:tcW w:w="722" w:type="dxa"/>
          </w:tcPr>
          <w:p w14:paraId="54B527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98</w:t>
            </w:r>
          </w:p>
        </w:tc>
        <w:tc>
          <w:tcPr>
            <w:tcW w:w="722" w:type="dxa"/>
          </w:tcPr>
          <w:p w14:paraId="44C84C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r>
      <w:tr w:rsidR="00643896" w:rsidRPr="00640820" w14:paraId="6358783A" w14:textId="77777777" w:rsidTr="000D3BCB">
        <w:tc>
          <w:tcPr>
            <w:tcW w:w="800" w:type="dxa"/>
            <w:tcBorders>
              <w:bottom w:val="single" w:sz="12" w:space="0" w:color="auto"/>
            </w:tcBorders>
          </w:tcPr>
          <w:p w14:paraId="090D8A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 т.ч. облетанных</w:t>
            </w:r>
          </w:p>
        </w:tc>
        <w:tc>
          <w:tcPr>
            <w:tcW w:w="800" w:type="dxa"/>
            <w:tcBorders>
              <w:bottom w:val="single" w:sz="12" w:space="0" w:color="auto"/>
            </w:tcBorders>
          </w:tcPr>
          <w:p w14:paraId="6786F1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Borders>
              <w:bottom w:val="single" w:sz="12" w:space="0" w:color="auto"/>
            </w:tcBorders>
          </w:tcPr>
          <w:p w14:paraId="3ED920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Borders>
              <w:bottom w:val="single" w:sz="12" w:space="0" w:color="auto"/>
            </w:tcBorders>
          </w:tcPr>
          <w:p w14:paraId="2AB597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w:t>
            </w:r>
          </w:p>
        </w:tc>
        <w:tc>
          <w:tcPr>
            <w:tcW w:w="800" w:type="dxa"/>
            <w:tcBorders>
              <w:bottom w:val="single" w:sz="12" w:space="0" w:color="auto"/>
            </w:tcBorders>
          </w:tcPr>
          <w:p w14:paraId="138E5C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Borders>
              <w:bottom w:val="single" w:sz="12" w:space="0" w:color="auto"/>
            </w:tcBorders>
          </w:tcPr>
          <w:p w14:paraId="57734B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Borders>
              <w:bottom w:val="single" w:sz="12" w:space="0" w:color="auto"/>
            </w:tcBorders>
          </w:tcPr>
          <w:p w14:paraId="7D221C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Borders>
              <w:bottom w:val="single" w:sz="12" w:space="0" w:color="auto"/>
            </w:tcBorders>
          </w:tcPr>
          <w:p w14:paraId="209DA4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w:t>
            </w:r>
          </w:p>
        </w:tc>
        <w:tc>
          <w:tcPr>
            <w:tcW w:w="800" w:type="dxa"/>
            <w:tcBorders>
              <w:bottom w:val="single" w:sz="12" w:space="0" w:color="auto"/>
            </w:tcBorders>
          </w:tcPr>
          <w:p w14:paraId="5ABFC1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59</w:t>
            </w:r>
          </w:p>
        </w:tc>
        <w:tc>
          <w:tcPr>
            <w:tcW w:w="988" w:type="dxa"/>
            <w:tcBorders>
              <w:bottom w:val="single" w:sz="12" w:space="0" w:color="auto"/>
            </w:tcBorders>
          </w:tcPr>
          <w:p w14:paraId="096A19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60</w:t>
            </w:r>
          </w:p>
        </w:tc>
        <w:tc>
          <w:tcPr>
            <w:tcW w:w="851" w:type="dxa"/>
            <w:tcBorders>
              <w:bottom w:val="single" w:sz="12" w:space="0" w:color="auto"/>
            </w:tcBorders>
          </w:tcPr>
          <w:p w14:paraId="466CA1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Borders>
              <w:bottom w:val="single" w:sz="12" w:space="0" w:color="auto"/>
            </w:tcBorders>
          </w:tcPr>
          <w:p w14:paraId="507B43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59</w:t>
            </w:r>
          </w:p>
        </w:tc>
        <w:tc>
          <w:tcPr>
            <w:tcW w:w="722" w:type="dxa"/>
            <w:tcBorders>
              <w:bottom w:val="single" w:sz="12" w:space="0" w:color="auto"/>
            </w:tcBorders>
          </w:tcPr>
          <w:p w14:paraId="23E5B7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48</w:t>
            </w:r>
          </w:p>
        </w:tc>
        <w:tc>
          <w:tcPr>
            <w:tcW w:w="722" w:type="dxa"/>
            <w:tcBorders>
              <w:bottom w:val="single" w:sz="12" w:space="0" w:color="auto"/>
            </w:tcBorders>
          </w:tcPr>
          <w:p w14:paraId="3EB290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r>
    </w:tbl>
    <w:p w14:paraId="540937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План, установленный приказом наркома авиапромышленности № 568сс от 24 июня 194</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 xml:space="preserve"> г. в изменение приказа № 702сс от 9 декабря 1940 г.</w:t>
      </w:r>
    </w:p>
    <w:p w14:paraId="009DD3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Приведены данные по РГАЭ ф.8040 оп.1 д.886 л.9.</w:t>
      </w:r>
    </w:p>
    <w:p w14:paraId="41B4E6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 Из этого числа в деталях и агрегатах (или как тогда говорили "россыпью") пять Як-1, которые были отправлены 14.01.42 г. на завод № 30 для организации производства. На этом заводе к сборке самолетов так и не приступили. Задел деталей был передан 20 февраля на завод № 23, а затем 6 мая 1942 г. на завод № 301. Машины №№ 1749, 2549, 2749, 2949, 3349 "увидели свет" только в 1943 году. Причем летная жизнь самолетов № 2749 и 3349 оказалась недолгой (меньше одного часа!). При перелете в часть после взлета с заводского аэродрома оба были разбиты при вынужденной посадке из-за отказа мотора. А также </w:t>
      </w:r>
      <w:r w:rsidRPr="00640820">
        <w:rPr>
          <w:rFonts w:ascii="Times New Roman" w:hAnsi="Times New Roman"/>
          <w:color w:val="000000" w:themeColor="text1"/>
          <w:sz w:val="16"/>
          <w:szCs w:val="16"/>
          <w:lang w:val="en-US"/>
        </w:rPr>
        <w:t>II</w:t>
      </w:r>
      <w:r w:rsidRPr="00640820">
        <w:rPr>
          <w:rFonts w:ascii="Times New Roman" w:hAnsi="Times New Roman"/>
          <w:color w:val="000000" w:themeColor="text1"/>
          <w:sz w:val="16"/>
          <w:szCs w:val="16"/>
        </w:rPr>
        <w:t xml:space="preserve"> Як-1, отправленные россыпью для организации производства на заводе № 47. Там в начале 1942 г. собрали всего две машины (№ 4844 и № 4944, которые поступили с моторами). Остальные машины (три в расстыкованном состоянии) и агрегаты еще на шесть самолетов россыпью вернули на завод № 292 в июне 1942 г.</w:t>
      </w:r>
    </w:p>
    <w:p w14:paraId="540D79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В это число входят Як-1 не подлежавшие военной приемке № 1111 (отправлен на завод № 115), № 1811 (отправлен в ЛИИ НКАП) и Як-1 № 1314 (проходивий эксплуатационные испытания на заводе)</w:t>
      </w:r>
    </w:p>
    <w:p w14:paraId="23FB45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Як-1 № 0915 не подлежавший военной приемке, отправленный в ЛИИ НКАП.</w:t>
      </w:r>
    </w:p>
    <w:p w14:paraId="799788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Як-1 № 0130 отправленый на завод № 26</w:t>
      </w:r>
    </w:p>
    <w:p w14:paraId="4557F4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11 Як-1 россыпью на завод № 47.</w:t>
      </w:r>
    </w:p>
    <w:p w14:paraId="5A4948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8. В том числе 76 для ГУ </w:t>
      </w:r>
      <w:r w:rsidRPr="00640820">
        <w:rPr>
          <w:rFonts w:ascii="Times New Roman" w:hAnsi="Times New Roman"/>
          <w:color w:val="000000" w:themeColor="text1"/>
          <w:sz w:val="16"/>
          <w:szCs w:val="16"/>
          <w:lang w:val="en-US"/>
        </w:rPr>
        <w:t>BBC</w:t>
      </w:r>
      <w:r w:rsidRPr="00640820">
        <w:rPr>
          <w:rFonts w:ascii="Times New Roman" w:hAnsi="Times New Roman"/>
          <w:color w:val="000000" w:themeColor="text1"/>
          <w:sz w:val="16"/>
          <w:szCs w:val="16"/>
        </w:rPr>
        <w:t xml:space="preserve"> КА, 22 для УА ВМФ, пять Як-1 россыпью для завода № 30 (12048).</w:t>
      </w:r>
    </w:p>
    <w:p w14:paraId="4873F7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3DB2C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года завод № 31 в Тбилиси выпустил два и в декабре 1941 года 18 ЛАГГ-3 с мотором М-105П, после чего перешел на серийный выпуск этих самолетов. С мая 1942 года по март 1944 года завод выпускал самолеты ЛАГГ-3, но уже с мотором М-105ПФ (с 1941 до конца 1943 гг. директорами завода работали Агаджанов и Саладзе, гл. конструкторами ЛАГГ-3 были Лавочкин, Горбунов и Гудков). В этот период завод также выполнял литье корпусов мин, выпускал стволы автоматов ППШ и др. В начале 1944 года заводу было поручено наладить выпуск новых истребителей ЯК-3 с мотором ВК-105ПФ. С апреля 1944 года завод приступил к серийному выпуску этого самолета. В 1944 году директор Саладзе В.Е. В начале 1945 года завод получил новое задание подготовиться к выпуску новой машины ЯК-3 с мотором ВК-107А с металлическими крыльями (директор Саладзе).</w:t>
      </w:r>
    </w:p>
    <w:p w14:paraId="2A52D9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Ввиду того. Что самолет ЯК-3 с ВК-107А не был доработан оказалось много конструктивных недостатков, приходилось несколько раз переделывать агрегаты, а иногда браковать готовые изделия.</w:t>
      </w:r>
    </w:p>
    <w:p w14:paraId="477EC2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Постановлением СМ от 12 сентября 1946 года за № 2049-846 заводу было дано новое задание: сдать до 20-го октября 1946 года 15 самолетов ЯК-15 с реактивными двигателями (директор Саладзе). С 1 января 1947 года завод полностью переключился на серийный выпуск самолетов ЯК-15 с реактивным двигателем РД-10.</w:t>
      </w:r>
    </w:p>
    <w:p w14:paraId="64EEB5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Согласно постановлению СМ за № 3284-1071с от 17 сентября 1947 года дается новое задание по выпуску 2-х местных учебно-тренировочных истребителей ЯК-17 с реактивным двигателем РД-10 (директор Саладзе), серийный выпуск которых заводом был налажен в кратчайший срок, а производство самолетов ЯК-15 прекращено. </w:t>
      </w:r>
      <w:r w:rsidRPr="00640820">
        <w:rPr>
          <w:rFonts w:ascii="Times New Roman" w:hAnsi="Times New Roman"/>
          <w:color w:val="000000" w:themeColor="text1"/>
          <w:sz w:val="16"/>
          <w:szCs w:val="16"/>
        </w:rPr>
        <w:lastRenderedPageBreak/>
        <w:t>В марте 1948 года по постановлению СМ за № 878-220с завод приступает к запуску в производство истребителей ЯК-17 боевой с реактивным двигателем РД-10 (директор Саладзе, а с июля 1948 года директором назначен Хведилиани Я.Р.), а выпускаемый заводом учебно-тренировочный истребитель получает наименование УТИ ЯК-17.</w:t>
      </w:r>
    </w:p>
    <w:p w14:paraId="34B09F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Постепенно самолет УТИ ЯК-17 с производства снимается и завод полностью переключается на выпуск боевых машин ЯК-17 боевой. В декабре 1948 года завод получает новое правительственное задание начать выпуск самолета ЯК-23 с двигателем РД-500 (директор Хведелиани). В июле 1949 года завод получает новое Правительственное задание приступить к выпуску одноместных боевых реактивных истребителей МИГ-15. Однако в дальнейшем завод получил распоряжение запуск машины МИГ-15 прекратить и продолжить выпуск самолетов ЯК-23, которые завод выпускал до конца 1950 года. В начале 1951 года завод получает распоряжение Правительства прекратить производство самолетов ЯК-23 и приступить к запуску самолетов МИГ-15бис (директор Хведелиани).</w:t>
      </w:r>
    </w:p>
    <w:p w14:paraId="76ED89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Согласно Постановлению СМ за № 3143-1481сс от 25 августа 1951 года и приказа МАП за № 851сс от 1 сентября 1951 года, завод получает задание подготовиться к выпуску нового самолета МИГ-17 и обеспечить его выпуск с декабря 1952 года.</w:t>
      </w:r>
    </w:p>
    <w:p w14:paraId="11BA29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завода Хведелиани</w:t>
      </w:r>
    </w:p>
    <w:p w14:paraId="2DDD49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Тбилиси, п/я 51. С июля 1956 года завод приступил к освоению нового самолета МИГ-21 (9821).</w:t>
      </w:r>
    </w:p>
    <w:p w14:paraId="1D6BF9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245E8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 техническим составом 402 ИАП в полевых условиях была проведена установка двигателей АМ-38 на два самолета МиГ-3. Испытания проводили командир полка майор К.А. Груздев и командир эскадрильи капитан Б.Г.Бородай. Во время одного из испытательных полетов К.А.Груздев на истребителе МиГ-3 №4184 с установленным на нем мотором АМ-38 вступил в бой с бомбардировщиками противника и сбил два самолета (4802).</w:t>
      </w:r>
    </w:p>
    <w:p w14:paraId="5EFA8D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D18403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 в 402-м иап в полевых условиях на два МиГа поставили АМ—38. Ис</w:t>
      </w:r>
      <w:r w:rsidRPr="00640820">
        <w:rPr>
          <w:rFonts w:ascii="Times New Roman" w:hAnsi="Times New Roman"/>
          <w:color w:val="000000" w:themeColor="text1"/>
          <w:sz w:val="16"/>
          <w:szCs w:val="16"/>
        </w:rPr>
        <w:softHyphen/>
        <w:t>пытания проводили командир полка майор К.А.Груз</w:t>
      </w:r>
      <w:r w:rsidRPr="00640820">
        <w:rPr>
          <w:rFonts w:ascii="Times New Roman" w:hAnsi="Times New Roman"/>
          <w:color w:val="000000" w:themeColor="text1"/>
          <w:sz w:val="16"/>
          <w:szCs w:val="16"/>
        </w:rPr>
        <w:softHyphen/>
        <w:t>дев и командир эскадрильи капитан Б.Г.Бородай. Во время одного из испытательных полетов К.А.Груздев на истребителе МиГ—3 зав. № 4184 вступил в бой с бомбардировщиками противника и, как указано в отчете полка, сбил два самолета (9984).</w:t>
      </w:r>
    </w:p>
    <w:p w14:paraId="366458F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B503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 в 402-м иап на два МиГа поставили АМ-38 из-за острой нехватки АМ-25А. Испытания проводили командир полка майор К.А. Груздев и командир эскадрильи капитан Б.Г. Бородай. Во время одного из испытательных полетов К.А. Груздев на истребителе МиГ-3 зав. № 4184 вступил в бой с бомбардировщиками противника и, как указано в отчете полка, даже сбил два самолета (12045).</w:t>
      </w:r>
    </w:p>
    <w:p w14:paraId="3541BF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64DB5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Когда в ноябре 1941 г. решением ГКО СССР силы и средства противовоздушной обороны выделили в само</w:t>
      </w:r>
      <w:r w:rsidRPr="00640820">
        <w:rPr>
          <w:rFonts w:ascii="Times New Roman" w:hAnsi="Times New Roman"/>
          <w:color w:val="000000" w:themeColor="text1"/>
          <w:sz w:val="16"/>
          <w:szCs w:val="16"/>
        </w:rPr>
        <w:softHyphen/>
        <w:t>стоятельную часть вооруженных сил - Войска ПВО тер</w:t>
      </w:r>
      <w:r w:rsidRPr="00640820">
        <w:rPr>
          <w:rFonts w:ascii="Times New Roman" w:hAnsi="Times New Roman"/>
          <w:color w:val="000000" w:themeColor="text1"/>
          <w:sz w:val="16"/>
          <w:szCs w:val="16"/>
        </w:rPr>
        <w:softHyphen/>
        <w:t>ритории страны, на вооружение истребительной авиации ПВО передали и И-153. По состоянию на 1 ян</w:t>
      </w:r>
      <w:r w:rsidRPr="00640820">
        <w:rPr>
          <w:rFonts w:ascii="Times New Roman" w:hAnsi="Times New Roman"/>
          <w:color w:val="000000" w:themeColor="text1"/>
          <w:sz w:val="16"/>
          <w:szCs w:val="16"/>
        </w:rPr>
        <w:softHyphen/>
        <w:t>варя 1942 г. среди 1470 самолетов, числящихся в этом роде войск, насчитывалось 264 И-153. К лету 1944 г. бо</w:t>
      </w:r>
      <w:r w:rsidRPr="00640820">
        <w:rPr>
          <w:rFonts w:ascii="Times New Roman" w:hAnsi="Times New Roman"/>
          <w:color w:val="000000" w:themeColor="text1"/>
          <w:sz w:val="16"/>
          <w:szCs w:val="16"/>
        </w:rPr>
        <w:softHyphen/>
        <w:t>евую службу несли последние 17 «чаек», списанные в конце того же года (10667).</w:t>
      </w:r>
    </w:p>
    <w:p w14:paraId="5E421D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97966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у нас в НИИ ВВС испытали Харрикейн IIА с Р-Р Мерлин ХХ (173,244).</w:t>
      </w:r>
    </w:p>
    <w:p w14:paraId="314B7E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83051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 немцы уже подходили к Москве. Летать на медлительном и неуклюжем гиганте в районе, где вовсю шныряли "мессершмитты", казалось явным самоубийством. И ПС-124 отправили подальше от фронта, в Среднюю Азию. Он вошел в состав Узбекского управления ГВФ и обосновался в Ташкенте. Машину использовали на линиях Ташкент - Чарджоу - Ургенч и Ташкент - Куйбышев (Самара). Возили не столько людей, сколько различные грузы. В Узбекском управлении самолет пролетал чуть больше года. Эксплуатировался он там более интенсивно, чем ранее. Средний месячный налет почти вдвое превышал достигнутый в Московском управлении. На борт брали намного больше пассажиров, чем предусматривалось конструкцией. Как их размещали - не очень понятно, то ли поставили дополнительные кресла, то ли просто сажали на пол в проходах и коридорах (11926).</w:t>
      </w:r>
    </w:p>
    <w:p w14:paraId="30B2A6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E777C14" w14:textId="77777777" w:rsidR="00470874" w:rsidRPr="00640820" w:rsidRDefault="0047087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ноябре 1941 г. самолет ПС-124 передали в Узбекское управление ГВФ. и машина получила новую «прописку» — город Ташкент. ПС-124 совершал рейсы по трассам Ташкент — Чарджоу — Ургенч и Ташкент — Куйбышев.</w:t>
      </w:r>
    </w:p>
    <w:p w14:paraId="28DFF464" w14:textId="77777777" w:rsidR="00470874" w:rsidRPr="00640820" w:rsidRDefault="0047087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Характеристики самолета несколько изменились:</w:t>
      </w:r>
    </w:p>
    <w:p w14:paraId="32AF7419" w14:textId="77777777" w:rsidR="00470874" w:rsidRPr="00640820" w:rsidRDefault="0047087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Полетная масса, кг</w:t>
      </w:r>
      <w:r w:rsidRPr="00640820">
        <w:rPr>
          <w:rFonts w:ascii="Times New Roman" w:hAnsi="Times New Roman"/>
          <w:color w:val="0070C0"/>
          <w:sz w:val="16"/>
          <w:szCs w:val="16"/>
        </w:rPr>
        <w:tab/>
        <w:t>45 600</w:t>
      </w:r>
    </w:p>
    <w:p w14:paraId="1005BFC6" w14:textId="77777777" w:rsidR="00470874" w:rsidRPr="00640820" w:rsidRDefault="0047087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fldChar w:fldCharType="begin"/>
      </w:r>
      <w:r w:rsidRPr="00640820">
        <w:rPr>
          <w:rFonts w:ascii="Times New Roman" w:hAnsi="Times New Roman"/>
          <w:color w:val="0070C0"/>
          <w:sz w:val="16"/>
          <w:szCs w:val="16"/>
        </w:rPr>
        <w:instrText xml:space="preserve"> TOC \o "1-5" \h \z </w:instrText>
      </w:r>
      <w:r w:rsidRPr="00640820">
        <w:rPr>
          <w:rFonts w:ascii="Times New Roman" w:hAnsi="Times New Roman"/>
          <w:color w:val="0070C0"/>
          <w:sz w:val="16"/>
          <w:szCs w:val="16"/>
        </w:rPr>
        <w:fldChar w:fldCharType="separate"/>
      </w:r>
      <w:r w:rsidRPr="00640820">
        <w:rPr>
          <w:rFonts w:ascii="Times New Roman" w:hAnsi="Times New Roman"/>
          <w:color w:val="0070C0"/>
          <w:sz w:val="16"/>
          <w:szCs w:val="16"/>
        </w:rPr>
        <w:t>Коммерческая нагрузка, кг</w:t>
      </w:r>
      <w:r w:rsidRPr="00640820">
        <w:rPr>
          <w:rFonts w:ascii="Times New Roman" w:hAnsi="Times New Roman"/>
          <w:color w:val="0070C0"/>
          <w:sz w:val="16"/>
          <w:szCs w:val="16"/>
        </w:rPr>
        <w:tab/>
        <w:t>6400</w:t>
      </w:r>
    </w:p>
    <w:p w14:paraId="479AB67E" w14:textId="77777777" w:rsidR="00470874" w:rsidRPr="00640820" w:rsidRDefault="0047087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Максимальная скорость</w:t>
      </w:r>
    </w:p>
    <w:p w14:paraId="1557D605" w14:textId="77777777" w:rsidR="00470874" w:rsidRPr="00640820" w:rsidRDefault="0047087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на высоте 3600 м, км/ч</w:t>
      </w:r>
      <w:r w:rsidRPr="00640820">
        <w:rPr>
          <w:rFonts w:ascii="Times New Roman" w:hAnsi="Times New Roman"/>
          <w:color w:val="0070C0"/>
          <w:sz w:val="16"/>
          <w:szCs w:val="16"/>
        </w:rPr>
        <w:tab/>
        <w:t>296</w:t>
      </w:r>
    </w:p>
    <w:p w14:paraId="65BA33EA" w14:textId="77777777" w:rsidR="00470874" w:rsidRPr="00640820" w:rsidRDefault="0047087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Практический потолок, м</w:t>
      </w:r>
      <w:r w:rsidRPr="00640820">
        <w:rPr>
          <w:rFonts w:ascii="Times New Roman" w:hAnsi="Times New Roman"/>
          <w:color w:val="0070C0"/>
          <w:sz w:val="16"/>
          <w:szCs w:val="16"/>
        </w:rPr>
        <w:tab/>
        <w:t>7200</w:t>
      </w:r>
    </w:p>
    <w:p w14:paraId="33667765" w14:textId="77777777" w:rsidR="00470874" w:rsidRPr="00640820" w:rsidRDefault="0047087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Дальность полета, км</w:t>
      </w:r>
      <w:r w:rsidRPr="00640820">
        <w:rPr>
          <w:rFonts w:ascii="Times New Roman" w:hAnsi="Times New Roman"/>
          <w:color w:val="0070C0"/>
          <w:sz w:val="16"/>
          <w:szCs w:val="16"/>
        </w:rPr>
        <w:tab/>
        <w:t>960</w:t>
      </w:r>
      <w:r w:rsidRPr="00640820">
        <w:rPr>
          <w:rFonts w:ascii="Times New Roman" w:hAnsi="Times New Roman"/>
          <w:color w:val="0070C0"/>
          <w:sz w:val="16"/>
          <w:szCs w:val="16"/>
        </w:rPr>
        <w:fldChar w:fldCharType="end"/>
      </w:r>
      <w:r w:rsidRPr="00640820">
        <w:rPr>
          <w:rFonts w:ascii="Times New Roman" w:hAnsi="Times New Roman"/>
          <w:color w:val="0070C0"/>
          <w:sz w:val="16"/>
          <w:szCs w:val="16"/>
        </w:rPr>
        <w:t xml:space="preserve"> (21240).</w:t>
      </w:r>
    </w:p>
    <w:p w14:paraId="7CFF19EE" w14:textId="77777777" w:rsidR="00470874" w:rsidRPr="00640820" w:rsidRDefault="00470874" w:rsidP="00640820">
      <w:pPr>
        <w:spacing w:after="0" w:line="240" w:lineRule="auto"/>
        <w:jc w:val="both"/>
        <w:rPr>
          <w:rFonts w:ascii="Times New Roman" w:hAnsi="Times New Roman"/>
          <w:color w:val="0070C0"/>
          <w:sz w:val="16"/>
          <w:szCs w:val="16"/>
        </w:rPr>
      </w:pPr>
    </w:p>
    <w:p w14:paraId="50A8E1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 немцы уже подходили к Москве. Летать на медлительном и неуклюжем гиганте в районе, где вовсю шныряли "мессершмитты", казалось явным самоубийством. И ПС-124 отправили подальше от фронта, в Среднюю Азию. Он вошел в состав Узбекского управления ГВФ и обосновался в Ташкенте. Машину использовали на линиях Ташкент - Чарджоу - Ургенч и Ташкент - Куйбышев (сейчас этот город называется Самара). Возили не столько людей, сколько различные грузы.</w:t>
      </w:r>
    </w:p>
    <w:p w14:paraId="79D9DD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Узбекском управлении самолет пролетал чуть больше года. Эксплуатировался он там более интенсивно, чем ранее. Средний месячный налет почти вдвое превышал достигнутый в Московском управлении. На борт брали намного больше пассажиров, чем предусматривалось конструкцией. Куда их сажали - не очень понятно, то ли поставили дополнительные кресла, то ли просто сажали на пол в проходах и коридорах (12024).</w:t>
      </w:r>
    </w:p>
    <w:p w14:paraId="36027E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8BA5201" w14:textId="77777777" w:rsidR="00835478" w:rsidRPr="00640820" w:rsidRDefault="008354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 ГКО принял постановление о порядке развертывания авиазаводов в местах новой дислокации, за которыми вследствие их оборонного характера закреплялся при размещении ряд преимуществ. Однако далеко не все перебазировавшиеся самолетостроительные и моторостроительные предприятия, несмотря на их приоритетность, смогли расположиться на новом месте в более или менее сносных условиях — на базе действовавших на востоке авиапромышленных объектов. Запорожскому авиамоторному заводу № 29, чья эвакуация проходила под прицельным огнем артиллерии гитлеровцев (немцы захватили городской район на правом берегу Днепра), достался по прибытии в Омск большой пустырь на окраине города, где раньше было лесное болото, а за несколько месяцев до войны развернулась новостройка самолетостроительного предприятия. Станки из вагонов пришлось выгружать на запорошенную снегом землю. Для отопления вместо паровых котлов использовали старые паровозы. Работавшие на морозе люди не имели теплой одежды, однако, согреваясь у костров, часами долбили заледеневший грунт для прокладки коммуникаций. В строившихся цехах оборудование запускалось как только готовы были стены, а над головами рабочих вместо крыши зияло небо. Благодаря героическим усилиям авиастроителей уже 7 января 1942 г. — спустя три месяца после перебазирования — заводчане испытали первый авиадвигатель, произведенный на сибирской земле (18305).</w:t>
      </w:r>
    </w:p>
    <w:p w14:paraId="3EE8C1BC" w14:textId="77777777" w:rsidR="00835478" w:rsidRPr="00640820" w:rsidRDefault="008354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когда вследствие перебазирования авиастроительных мощностей выпуск боевых самолетов упал до минимума, а перешедшие в контрнаступление советские войска практически нечем было поддержать с воздуха, Сталин 12 декабря разразился резким по тону постановлением ГКО, гласившим:</w:t>
      </w:r>
    </w:p>
    <w:p w14:paraId="025D2D2E" w14:textId="77777777" w:rsidR="00835478" w:rsidRPr="00640820" w:rsidRDefault="008354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«Ввиду того, что нарком авиационной промышленности стал работать из рук вон плохо, провалил все планы производства и выдачи самолетов и моторов, и таким образом подвел страну и Красную Армию, Государственный комитет обороны постановляет:</w:t>
      </w:r>
    </w:p>
    <w:p w14:paraId="4B9AF60E" w14:textId="77777777" w:rsidR="00835478" w:rsidRPr="00640820" w:rsidRDefault="008354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Поставить Наркомат авиационной промышленности под контроль тт. Берия и Маленкова, обязать этих товарищей принять все необходимые срочные меры для развертывания производства самолетов…</w:t>
      </w:r>
    </w:p>
    <w:p w14:paraId="12DE67B5" w14:textId="77777777" w:rsidR="00835478" w:rsidRPr="00640820" w:rsidRDefault="0083547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Обязать наркома авиационной промышленности и его заместителей беспрекословно выполнять все указания тт. Берия и Маленкова…» ((РГАСПИ. Ф. 644. Оп. 1. Д. 16. А. 96. В соответствии с постановлением ГКО от 4 февраля 1942 г. о распределении обязанностей между членами ГКО курировать авиастроение было поручено Маленкову (18305).</w:t>
      </w:r>
    </w:p>
    <w:p w14:paraId="793D5574" w14:textId="77777777" w:rsidR="00835478" w:rsidRPr="00640820" w:rsidRDefault="00835478" w:rsidP="00640820">
      <w:pPr>
        <w:spacing w:after="0" w:line="240" w:lineRule="auto"/>
        <w:jc w:val="both"/>
        <w:rPr>
          <w:rFonts w:ascii="Times New Roman" w:hAnsi="Times New Roman"/>
          <w:color w:val="000000" w:themeColor="text1"/>
          <w:sz w:val="16"/>
          <w:szCs w:val="16"/>
        </w:rPr>
      </w:pPr>
    </w:p>
    <w:p w14:paraId="410447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была подготовлена Ведомость выполнения промышленностью плана заказов за сентябрь-октябрь 1941: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643896" w:rsidRPr="00640820" w14:paraId="2925BBE4" w14:textId="77777777" w:rsidTr="000D3BCB">
        <w:tc>
          <w:tcPr>
            <w:tcW w:w="1868" w:type="dxa"/>
            <w:tcBorders>
              <w:top w:val="single" w:sz="12" w:space="0" w:color="auto"/>
            </w:tcBorders>
          </w:tcPr>
          <w:p w14:paraId="5C2532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w:t>
            </w:r>
          </w:p>
        </w:tc>
        <w:tc>
          <w:tcPr>
            <w:tcW w:w="1868" w:type="dxa"/>
            <w:tcBorders>
              <w:top w:val="single" w:sz="12" w:space="0" w:color="auto"/>
            </w:tcBorders>
          </w:tcPr>
          <w:p w14:paraId="1A07A9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Продукция</w:t>
            </w:r>
          </w:p>
        </w:tc>
        <w:tc>
          <w:tcPr>
            <w:tcW w:w="3736" w:type="dxa"/>
            <w:gridSpan w:val="2"/>
            <w:tcBorders>
              <w:top w:val="single" w:sz="12" w:space="0" w:color="auto"/>
            </w:tcBorders>
          </w:tcPr>
          <w:p w14:paraId="3302A6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Сентябрь</w:t>
            </w:r>
          </w:p>
        </w:tc>
        <w:tc>
          <w:tcPr>
            <w:tcW w:w="3736" w:type="dxa"/>
            <w:gridSpan w:val="2"/>
            <w:tcBorders>
              <w:top w:val="single" w:sz="12" w:space="0" w:color="auto"/>
            </w:tcBorders>
          </w:tcPr>
          <w:p w14:paraId="07B0EA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Октябрь</w:t>
            </w:r>
          </w:p>
        </w:tc>
      </w:tr>
      <w:tr w:rsidR="00643896" w:rsidRPr="00640820" w14:paraId="6842E280" w14:textId="77777777" w:rsidTr="000D3BCB">
        <w:tc>
          <w:tcPr>
            <w:tcW w:w="1868" w:type="dxa"/>
          </w:tcPr>
          <w:p w14:paraId="27A5E3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211F4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5EB5A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плану</w:t>
            </w:r>
          </w:p>
        </w:tc>
        <w:tc>
          <w:tcPr>
            <w:tcW w:w="1868" w:type="dxa"/>
          </w:tcPr>
          <w:p w14:paraId="510999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факт</w:t>
            </w:r>
          </w:p>
        </w:tc>
        <w:tc>
          <w:tcPr>
            <w:tcW w:w="1868" w:type="dxa"/>
          </w:tcPr>
          <w:p w14:paraId="78637B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плану</w:t>
            </w:r>
          </w:p>
        </w:tc>
        <w:tc>
          <w:tcPr>
            <w:tcW w:w="1868" w:type="dxa"/>
          </w:tcPr>
          <w:p w14:paraId="1B7B67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факт</w:t>
            </w:r>
          </w:p>
        </w:tc>
      </w:tr>
      <w:tr w:rsidR="00643896" w:rsidRPr="00640820" w14:paraId="4F196F73" w14:textId="77777777" w:rsidTr="000D3BCB">
        <w:tc>
          <w:tcPr>
            <w:tcW w:w="1868" w:type="dxa"/>
          </w:tcPr>
          <w:p w14:paraId="68F83A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1868" w:type="dxa"/>
          </w:tcPr>
          <w:p w14:paraId="15FBEA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МиГ-3</w:t>
            </w:r>
          </w:p>
        </w:tc>
        <w:tc>
          <w:tcPr>
            <w:tcW w:w="1868" w:type="dxa"/>
          </w:tcPr>
          <w:p w14:paraId="7C68D4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360</w:t>
            </w:r>
          </w:p>
        </w:tc>
        <w:tc>
          <w:tcPr>
            <w:tcW w:w="1868" w:type="dxa"/>
          </w:tcPr>
          <w:p w14:paraId="5CA1F2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390</w:t>
            </w:r>
          </w:p>
        </w:tc>
        <w:tc>
          <w:tcPr>
            <w:tcW w:w="1868" w:type="dxa"/>
          </w:tcPr>
          <w:p w14:paraId="4BCE21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250</w:t>
            </w:r>
          </w:p>
        </w:tc>
        <w:tc>
          <w:tcPr>
            <w:tcW w:w="1868" w:type="dxa"/>
          </w:tcPr>
          <w:p w14:paraId="3DDC7F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203</w:t>
            </w:r>
          </w:p>
        </w:tc>
      </w:tr>
      <w:tr w:rsidR="00643896" w:rsidRPr="00640820" w14:paraId="1028D505" w14:textId="77777777" w:rsidTr="000D3BCB">
        <w:tc>
          <w:tcPr>
            <w:tcW w:w="1868" w:type="dxa"/>
          </w:tcPr>
          <w:p w14:paraId="1DD563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w:t>
            </w:r>
          </w:p>
        </w:tc>
        <w:tc>
          <w:tcPr>
            <w:tcW w:w="1868" w:type="dxa"/>
          </w:tcPr>
          <w:p w14:paraId="1E54EF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ЛаГГ-3</w:t>
            </w:r>
          </w:p>
        </w:tc>
        <w:tc>
          <w:tcPr>
            <w:tcW w:w="1868" w:type="dxa"/>
          </w:tcPr>
          <w:p w14:paraId="3B87CC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255</w:t>
            </w:r>
          </w:p>
        </w:tc>
        <w:tc>
          <w:tcPr>
            <w:tcW w:w="1868" w:type="dxa"/>
          </w:tcPr>
          <w:p w14:paraId="63BC18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276</w:t>
            </w:r>
          </w:p>
        </w:tc>
        <w:tc>
          <w:tcPr>
            <w:tcW w:w="1868" w:type="dxa"/>
          </w:tcPr>
          <w:p w14:paraId="420C3D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287</w:t>
            </w:r>
          </w:p>
        </w:tc>
        <w:tc>
          <w:tcPr>
            <w:tcW w:w="1868" w:type="dxa"/>
          </w:tcPr>
          <w:p w14:paraId="6A95CE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237</w:t>
            </w:r>
          </w:p>
        </w:tc>
      </w:tr>
      <w:tr w:rsidR="00643896" w:rsidRPr="00640820" w14:paraId="1AE7DDBC" w14:textId="77777777" w:rsidTr="000D3BCB">
        <w:tc>
          <w:tcPr>
            <w:tcW w:w="1868" w:type="dxa"/>
          </w:tcPr>
          <w:p w14:paraId="0980E8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w:t>
            </w:r>
          </w:p>
        </w:tc>
        <w:tc>
          <w:tcPr>
            <w:tcW w:w="1868" w:type="dxa"/>
          </w:tcPr>
          <w:p w14:paraId="316AEF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ЛаГГ-3</w:t>
            </w:r>
          </w:p>
        </w:tc>
        <w:tc>
          <w:tcPr>
            <w:tcW w:w="1868" w:type="dxa"/>
          </w:tcPr>
          <w:p w14:paraId="6E7C1D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140</w:t>
            </w:r>
          </w:p>
        </w:tc>
        <w:tc>
          <w:tcPr>
            <w:tcW w:w="1868" w:type="dxa"/>
          </w:tcPr>
          <w:p w14:paraId="2A7230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176</w:t>
            </w:r>
          </w:p>
        </w:tc>
        <w:tc>
          <w:tcPr>
            <w:tcW w:w="1868" w:type="dxa"/>
          </w:tcPr>
          <w:p w14:paraId="79B0A1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162</w:t>
            </w:r>
          </w:p>
        </w:tc>
        <w:tc>
          <w:tcPr>
            <w:tcW w:w="1868" w:type="dxa"/>
          </w:tcPr>
          <w:p w14:paraId="0828A8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w:t>
            </w:r>
          </w:p>
        </w:tc>
      </w:tr>
      <w:tr w:rsidR="00643896" w:rsidRPr="00640820" w14:paraId="03CCAB98" w14:textId="77777777" w:rsidTr="000D3BCB">
        <w:tc>
          <w:tcPr>
            <w:tcW w:w="1868" w:type="dxa"/>
          </w:tcPr>
          <w:p w14:paraId="4C3237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47</w:t>
            </w:r>
          </w:p>
        </w:tc>
        <w:tc>
          <w:tcPr>
            <w:tcW w:w="1868" w:type="dxa"/>
          </w:tcPr>
          <w:p w14:paraId="3D838C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УТ-2</w:t>
            </w:r>
          </w:p>
        </w:tc>
        <w:tc>
          <w:tcPr>
            <w:tcW w:w="1868" w:type="dxa"/>
          </w:tcPr>
          <w:p w14:paraId="7AAD67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c>
          <w:tcPr>
            <w:tcW w:w="1868" w:type="dxa"/>
          </w:tcPr>
          <w:p w14:paraId="6955CF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868" w:type="dxa"/>
          </w:tcPr>
          <w:p w14:paraId="1BF34F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54</w:t>
            </w:r>
          </w:p>
        </w:tc>
        <w:tc>
          <w:tcPr>
            <w:tcW w:w="1868" w:type="dxa"/>
          </w:tcPr>
          <w:p w14:paraId="6038F2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54</w:t>
            </w:r>
          </w:p>
        </w:tc>
      </w:tr>
      <w:tr w:rsidR="00643896" w:rsidRPr="00640820" w14:paraId="135587D3" w14:textId="77777777" w:rsidTr="000D3BCB">
        <w:tc>
          <w:tcPr>
            <w:tcW w:w="1868" w:type="dxa"/>
          </w:tcPr>
          <w:p w14:paraId="5DDFA7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116</w:t>
            </w:r>
          </w:p>
        </w:tc>
        <w:tc>
          <w:tcPr>
            <w:tcW w:w="1868" w:type="dxa"/>
          </w:tcPr>
          <w:p w14:paraId="68375A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УТ-2</w:t>
            </w:r>
          </w:p>
        </w:tc>
        <w:tc>
          <w:tcPr>
            <w:tcW w:w="1868" w:type="dxa"/>
          </w:tcPr>
          <w:p w14:paraId="2EA6D0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1868" w:type="dxa"/>
          </w:tcPr>
          <w:p w14:paraId="50AB82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1868" w:type="dxa"/>
          </w:tcPr>
          <w:p w14:paraId="5EB667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1868" w:type="dxa"/>
          </w:tcPr>
          <w:p w14:paraId="16B75C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w:t>
            </w:r>
          </w:p>
        </w:tc>
      </w:tr>
      <w:tr w:rsidR="00643896" w:rsidRPr="00640820" w14:paraId="2A67796E" w14:textId="77777777" w:rsidTr="000D3BCB">
        <w:tc>
          <w:tcPr>
            <w:tcW w:w="1868" w:type="dxa"/>
          </w:tcPr>
          <w:p w14:paraId="534861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135</w:t>
            </w:r>
          </w:p>
        </w:tc>
        <w:tc>
          <w:tcPr>
            <w:tcW w:w="1868" w:type="dxa"/>
          </w:tcPr>
          <w:p w14:paraId="1AD045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Су-2</w:t>
            </w:r>
          </w:p>
        </w:tc>
        <w:tc>
          <w:tcPr>
            <w:tcW w:w="1868" w:type="dxa"/>
          </w:tcPr>
          <w:p w14:paraId="42FA06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140</w:t>
            </w:r>
          </w:p>
        </w:tc>
        <w:tc>
          <w:tcPr>
            <w:tcW w:w="1868" w:type="dxa"/>
          </w:tcPr>
          <w:p w14:paraId="0CD601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79</w:t>
            </w:r>
          </w:p>
        </w:tc>
        <w:tc>
          <w:tcPr>
            <w:tcW w:w="1868" w:type="dxa"/>
          </w:tcPr>
          <w:p w14:paraId="08F169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135</w:t>
            </w:r>
          </w:p>
        </w:tc>
        <w:tc>
          <w:tcPr>
            <w:tcW w:w="1868" w:type="dxa"/>
          </w:tcPr>
          <w:p w14:paraId="305791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w:t>
            </w:r>
          </w:p>
        </w:tc>
      </w:tr>
      <w:tr w:rsidR="00643896" w:rsidRPr="00640820" w14:paraId="7939A9EB" w14:textId="77777777" w:rsidTr="000D3BCB">
        <w:tc>
          <w:tcPr>
            <w:tcW w:w="1868" w:type="dxa"/>
          </w:tcPr>
          <w:p w14:paraId="5EAA2D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153</w:t>
            </w:r>
          </w:p>
        </w:tc>
        <w:tc>
          <w:tcPr>
            <w:tcW w:w="1868" w:type="dxa"/>
          </w:tcPr>
          <w:p w14:paraId="41A63E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ЛаГГ-3</w:t>
            </w:r>
          </w:p>
        </w:tc>
        <w:tc>
          <w:tcPr>
            <w:tcW w:w="1868" w:type="dxa"/>
          </w:tcPr>
          <w:p w14:paraId="21B6B9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59</w:t>
            </w:r>
          </w:p>
        </w:tc>
        <w:tc>
          <w:tcPr>
            <w:tcW w:w="1868" w:type="dxa"/>
          </w:tcPr>
          <w:p w14:paraId="79F1FA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w:t>
            </w:r>
          </w:p>
        </w:tc>
        <w:tc>
          <w:tcPr>
            <w:tcW w:w="1868" w:type="dxa"/>
          </w:tcPr>
          <w:p w14:paraId="532C98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81</w:t>
            </w:r>
          </w:p>
        </w:tc>
        <w:tc>
          <w:tcPr>
            <w:tcW w:w="1868" w:type="dxa"/>
          </w:tcPr>
          <w:p w14:paraId="70E416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82</w:t>
            </w:r>
          </w:p>
        </w:tc>
      </w:tr>
      <w:tr w:rsidR="00643896" w:rsidRPr="00640820" w14:paraId="240AB55C" w14:textId="77777777" w:rsidTr="000D3BCB">
        <w:tc>
          <w:tcPr>
            <w:tcW w:w="1868" w:type="dxa"/>
          </w:tcPr>
          <w:p w14:paraId="3438A4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207</w:t>
            </w:r>
          </w:p>
        </w:tc>
        <w:tc>
          <w:tcPr>
            <w:tcW w:w="1868" w:type="dxa"/>
          </w:tcPr>
          <w:p w14:paraId="7BFAF8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Су-2</w:t>
            </w:r>
          </w:p>
        </w:tc>
        <w:tc>
          <w:tcPr>
            <w:tcW w:w="1868" w:type="dxa"/>
          </w:tcPr>
          <w:p w14:paraId="661140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w:t>
            </w:r>
          </w:p>
        </w:tc>
        <w:tc>
          <w:tcPr>
            <w:tcW w:w="1868" w:type="dxa"/>
          </w:tcPr>
          <w:p w14:paraId="3ED9E0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1868" w:type="dxa"/>
          </w:tcPr>
          <w:p w14:paraId="479178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w:t>
            </w:r>
          </w:p>
        </w:tc>
        <w:tc>
          <w:tcPr>
            <w:tcW w:w="1868" w:type="dxa"/>
          </w:tcPr>
          <w:p w14:paraId="32CAAA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w:t>
            </w:r>
          </w:p>
        </w:tc>
      </w:tr>
      <w:tr w:rsidR="00643896" w:rsidRPr="00640820" w14:paraId="1F7C3533" w14:textId="77777777" w:rsidTr="000D3BCB">
        <w:tc>
          <w:tcPr>
            <w:tcW w:w="1868" w:type="dxa"/>
          </w:tcPr>
          <w:p w14:paraId="49DC5D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292</w:t>
            </w:r>
          </w:p>
        </w:tc>
        <w:tc>
          <w:tcPr>
            <w:tcW w:w="1868" w:type="dxa"/>
          </w:tcPr>
          <w:p w14:paraId="26023B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Як-1</w:t>
            </w:r>
          </w:p>
        </w:tc>
        <w:tc>
          <w:tcPr>
            <w:tcW w:w="1868" w:type="dxa"/>
          </w:tcPr>
          <w:p w14:paraId="3EAD56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180</w:t>
            </w:r>
          </w:p>
        </w:tc>
        <w:tc>
          <w:tcPr>
            <w:tcW w:w="1868" w:type="dxa"/>
          </w:tcPr>
          <w:p w14:paraId="1ACCF7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151</w:t>
            </w:r>
          </w:p>
        </w:tc>
        <w:tc>
          <w:tcPr>
            <w:tcW w:w="1868" w:type="dxa"/>
          </w:tcPr>
          <w:p w14:paraId="442F15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w:t>
            </w:r>
          </w:p>
        </w:tc>
        <w:tc>
          <w:tcPr>
            <w:tcW w:w="1868" w:type="dxa"/>
          </w:tcPr>
          <w:p w14:paraId="5D68FB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171</w:t>
            </w:r>
          </w:p>
        </w:tc>
      </w:tr>
      <w:tr w:rsidR="00643896" w:rsidRPr="00640820" w14:paraId="55C2C4D7" w14:textId="77777777" w:rsidTr="000D3BCB">
        <w:tc>
          <w:tcPr>
            <w:tcW w:w="1868" w:type="dxa"/>
          </w:tcPr>
          <w:p w14:paraId="7B11A2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387</w:t>
            </w:r>
          </w:p>
        </w:tc>
        <w:tc>
          <w:tcPr>
            <w:tcW w:w="1868" w:type="dxa"/>
          </w:tcPr>
          <w:p w14:paraId="6E9A5C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У-2</w:t>
            </w:r>
          </w:p>
        </w:tc>
        <w:tc>
          <w:tcPr>
            <w:tcW w:w="1868" w:type="dxa"/>
          </w:tcPr>
          <w:p w14:paraId="32D5C7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120</w:t>
            </w:r>
          </w:p>
        </w:tc>
        <w:tc>
          <w:tcPr>
            <w:tcW w:w="1868" w:type="dxa"/>
          </w:tcPr>
          <w:p w14:paraId="4E584A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140</w:t>
            </w:r>
          </w:p>
        </w:tc>
        <w:tc>
          <w:tcPr>
            <w:tcW w:w="1868" w:type="dxa"/>
          </w:tcPr>
          <w:p w14:paraId="2C376F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135</w:t>
            </w:r>
          </w:p>
        </w:tc>
        <w:tc>
          <w:tcPr>
            <w:tcW w:w="1868" w:type="dxa"/>
          </w:tcPr>
          <w:p w14:paraId="65CBC7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73</w:t>
            </w:r>
          </w:p>
        </w:tc>
      </w:tr>
      <w:tr w:rsidR="00643896" w:rsidRPr="00640820" w14:paraId="04F77EBC" w14:textId="77777777" w:rsidTr="000D3BCB">
        <w:tc>
          <w:tcPr>
            <w:tcW w:w="1868" w:type="dxa"/>
          </w:tcPr>
          <w:p w14:paraId="2C0646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458</w:t>
            </w:r>
          </w:p>
        </w:tc>
        <w:tc>
          <w:tcPr>
            <w:tcW w:w="1868" w:type="dxa"/>
          </w:tcPr>
          <w:p w14:paraId="07D8A5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УТИ-4</w:t>
            </w:r>
          </w:p>
        </w:tc>
        <w:tc>
          <w:tcPr>
            <w:tcW w:w="1868" w:type="dxa"/>
          </w:tcPr>
          <w:p w14:paraId="1D4018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w:t>
            </w:r>
          </w:p>
        </w:tc>
        <w:tc>
          <w:tcPr>
            <w:tcW w:w="1868" w:type="dxa"/>
          </w:tcPr>
          <w:p w14:paraId="3EFB6B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80</w:t>
            </w:r>
          </w:p>
        </w:tc>
        <w:tc>
          <w:tcPr>
            <w:tcW w:w="1868" w:type="dxa"/>
          </w:tcPr>
          <w:p w14:paraId="4E61DF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54</w:t>
            </w:r>
          </w:p>
        </w:tc>
        <w:tc>
          <w:tcPr>
            <w:tcW w:w="1868" w:type="dxa"/>
          </w:tcPr>
          <w:p w14:paraId="1BCF90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w:t>
            </w:r>
          </w:p>
        </w:tc>
      </w:tr>
      <w:tr w:rsidR="00643896" w:rsidRPr="00640820" w14:paraId="4EA15E6E" w14:textId="77777777" w:rsidTr="000D3BCB">
        <w:tc>
          <w:tcPr>
            <w:tcW w:w="1868" w:type="dxa"/>
          </w:tcPr>
          <w:p w14:paraId="25C5B3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w:t>
            </w:r>
          </w:p>
        </w:tc>
        <w:tc>
          <w:tcPr>
            <w:tcW w:w="1868" w:type="dxa"/>
          </w:tcPr>
          <w:p w14:paraId="2C7DB7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Ил-2</w:t>
            </w:r>
          </w:p>
        </w:tc>
        <w:tc>
          <w:tcPr>
            <w:tcW w:w="1868" w:type="dxa"/>
          </w:tcPr>
          <w:p w14:paraId="6DE9C1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420</w:t>
            </w:r>
          </w:p>
        </w:tc>
        <w:tc>
          <w:tcPr>
            <w:tcW w:w="1868" w:type="dxa"/>
          </w:tcPr>
          <w:p w14:paraId="3BB2DD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323</w:t>
            </w:r>
          </w:p>
        </w:tc>
        <w:tc>
          <w:tcPr>
            <w:tcW w:w="1868" w:type="dxa"/>
          </w:tcPr>
          <w:p w14:paraId="57DB95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432</w:t>
            </w:r>
          </w:p>
        </w:tc>
        <w:tc>
          <w:tcPr>
            <w:tcW w:w="1868" w:type="dxa"/>
          </w:tcPr>
          <w:p w14:paraId="1DF803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211</w:t>
            </w:r>
          </w:p>
        </w:tc>
      </w:tr>
      <w:tr w:rsidR="00643896" w:rsidRPr="00640820" w14:paraId="5AA3DF0C" w14:textId="77777777" w:rsidTr="000D3BCB">
        <w:tc>
          <w:tcPr>
            <w:tcW w:w="1868" w:type="dxa"/>
          </w:tcPr>
          <w:p w14:paraId="1FB073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w:t>
            </w:r>
          </w:p>
        </w:tc>
        <w:tc>
          <w:tcPr>
            <w:tcW w:w="1868" w:type="dxa"/>
          </w:tcPr>
          <w:p w14:paraId="4F5C66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Пе-2</w:t>
            </w:r>
          </w:p>
        </w:tc>
        <w:tc>
          <w:tcPr>
            <w:tcW w:w="1868" w:type="dxa"/>
          </w:tcPr>
          <w:p w14:paraId="26DDAB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184</w:t>
            </w:r>
          </w:p>
        </w:tc>
        <w:tc>
          <w:tcPr>
            <w:tcW w:w="1868" w:type="dxa"/>
          </w:tcPr>
          <w:p w14:paraId="2101E9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195</w:t>
            </w:r>
          </w:p>
        </w:tc>
        <w:tc>
          <w:tcPr>
            <w:tcW w:w="1868" w:type="dxa"/>
          </w:tcPr>
          <w:p w14:paraId="616086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216</w:t>
            </w:r>
          </w:p>
        </w:tc>
        <w:tc>
          <w:tcPr>
            <w:tcW w:w="1868" w:type="dxa"/>
          </w:tcPr>
          <w:p w14:paraId="4F0DAC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98</w:t>
            </w:r>
          </w:p>
        </w:tc>
      </w:tr>
      <w:tr w:rsidR="00643896" w:rsidRPr="00640820" w14:paraId="2B51028D" w14:textId="77777777" w:rsidTr="000D3BCB">
        <w:tc>
          <w:tcPr>
            <w:tcW w:w="1868" w:type="dxa"/>
          </w:tcPr>
          <w:p w14:paraId="5BB0AB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84</w:t>
            </w:r>
          </w:p>
        </w:tc>
        <w:tc>
          <w:tcPr>
            <w:tcW w:w="1868" w:type="dxa"/>
          </w:tcPr>
          <w:p w14:paraId="23A857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ПС-84</w:t>
            </w:r>
          </w:p>
        </w:tc>
        <w:tc>
          <w:tcPr>
            <w:tcW w:w="1868" w:type="dxa"/>
          </w:tcPr>
          <w:p w14:paraId="0C34A1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w:t>
            </w:r>
          </w:p>
        </w:tc>
        <w:tc>
          <w:tcPr>
            <w:tcW w:w="1868" w:type="dxa"/>
          </w:tcPr>
          <w:p w14:paraId="5A3227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1868" w:type="dxa"/>
          </w:tcPr>
          <w:p w14:paraId="511984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1868" w:type="dxa"/>
          </w:tcPr>
          <w:p w14:paraId="5B035E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r>
      <w:tr w:rsidR="00643896" w:rsidRPr="00640820" w14:paraId="121C77A9" w14:textId="77777777" w:rsidTr="000D3BCB">
        <w:tc>
          <w:tcPr>
            <w:tcW w:w="1868" w:type="dxa"/>
          </w:tcPr>
          <w:p w14:paraId="5DDBB5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124</w:t>
            </w:r>
          </w:p>
        </w:tc>
        <w:tc>
          <w:tcPr>
            <w:tcW w:w="1868" w:type="dxa"/>
          </w:tcPr>
          <w:p w14:paraId="50CC57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Пе-2</w:t>
            </w:r>
          </w:p>
        </w:tc>
        <w:tc>
          <w:tcPr>
            <w:tcW w:w="1868" w:type="dxa"/>
          </w:tcPr>
          <w:p w14:paraId="4A5297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56</w:t>
            </w:r>
          </w:p>
        </w:tc>
        <w:tc>
          <w:tcPr>
            <w:tcW w:w="1868" w:type="dxa"/>
          </w:tcPr>
          <w:p w14:paraId="5D99D5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w:t>
            </w:r>
          </w:p>
        </w:tc>
        <w:tc>
          <w:tcPr>
            <w:tcW w:w="1868" w:type="dxa"/>
          </w:tcPr>
          <w:p w14:paraId="71B0C5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81</w:t>
            </w:r>
          </w:p>
        </w:tc>
        <w:tc>
          <w:tcPr>
            <w:tcW w:w="1868" w:type="dxa"/>
          </w:tcPr>
          <w:p w14:paraId="2599A3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w:t>
            </w:r>
          </w:p>
        </w:tc>
      </w:tr>
      <w:tr w:rsidR="00643896" w:rsidRPr="00640820" w14:paraId="3D93D319" w14:textId="77777777" w:rsidTr="000D3BCB">
        <w:tc>
          <w:tcPr>
            <w:tcW w:w="1868" w:type="dxa"/>
          </w:tcPr>
          <w:p w14:paraId="692738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124</w:t>
            </w:r>
          </w:p>
        </w:tc>
        <w:tc>
          <w:tcPr>
            <w:tcW w:w="1868" w:type="dxa"/>
          </w:tcPr>
          <w:p w14:paraId="20A40A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ТБ-7</w:t>
            </w:r>
          </w:p>
        </w:tc>
        <w:tc>
          <w:tcPr>
            <w:tcW w:w="1868" w:type="dxa"/>
          </w:tcPr>
          <w:p w14:paraId="502E8C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1868" w:type="dxa"/>
          </w:tcPr>
          <w:p w14:paraId="24C052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c>
          <w:tcPr>
            <w:tcW w:w="1868" w:type="dxa"/>
          </w:tcPr>
          <w:p w14:paraId="013548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1868" w:type="dxa"/>
          </w:tcPr>
          <w:p w14:paraId="741DFD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r>
      <w:tr w:rsidR="00643896" w:rsidRPr="00640820" w14:paraId="307E8E6B" w14:textId="77777777" w:rsidTr="000D3BCB">
        <w:tc>
          <w:tcPr>
            <w:tcW w:w="1868" w:type="dxa"/>
          </w:tcPr>
          <w:p w14:paraId="6B164E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126</w:t>
            </w:r>
          </w:p>
        </w:tc>
        <w:tc>
          <w:tcPr>
            <w:tcW w:w="1868" w:type="dxa"/>
          </w:tcPr>
          <w:p w14:paraId="51C139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Пе-2</w:t>
            </w:r>
          </w:p>
        </w:tc>
        <w:tc>
          <w:tcPr>
            <w:tcW w:w="1868" w:type="dxa"/>
          </w:tcPr>
          <w:p w14:paraId="7CD490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w:t>
            </w:r>
          </w:p>
        </w:tc>
        <w:tc>
          <w:tcPr>
            <w:tcW w:w="1868" w:type="dxa"/>
          </w:tcPr>
          <w:p w14:paraId="01B461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1868" w:type="dxa"/>
          </w:tcPr>
          <w:p w14:paraId="00164A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54</w:t>
            </w:r>
          </w:p>
        </w:tc>
        <w:tc>
          <w:tcPr>
            <w:tcW w:w="1868" w:type="dxa"/>
          </w:tcPr>
          <w:p w14:paraId="7239DA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w:t>
            </w:r>
          </w:p>
        </w:tc>
      </w:tr>
      <w:tr w:rsidR="00643896" w:rsidRPr="00640820" w14:paraId="20F56009" w14:textId="77777777" w:rsidTr="000D3BCB">
        <w:tc>
          <w:tcPr>
            <w:tcW w:w="1868" w:type="dxa"/>
          </w:tcPr>
          <w:p w14:paraId="022A78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126</w:t>
            </w:r>
          </w:p>
        </w:tc>
        <w:tc>
          <w:tcPr>
            <w:tcW w:w="1868" w:type="dxa"/>
          </w:tcPr>
          <w:p w14:paraId="325FF0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ДБ-3Ф</w:t>
            </w:r>
          </w:p>
        </w:tc>
        <w:tc>
          <w:tcPr>
            <w:tcW w:w="1868" w:type="dxa"/>
          </w:tcPr>
          <w:p w14:paraId="2588DD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41</w:t>
            </w:r>
          </w:p>
        </w:tc>
        <w:tc>
          <w:tcPr>
            <w:tcW w:w="1868" w:type="dxa"/>
          </w:tcPr>
          <w:p w14:paraId="0EB93D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w:t>
            </w:r>
          </w:p>
        </w:tc>
        <w:tc>
          <w:tcPr>
            <w:tcW w:w="1868" w:type="dxa"/>
          </w:tcPr>
          <w:p w14:paraId="7382DE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54</w:t>
            </w:r>
          </w:p>
        </w:tc>
        <w:tc>
          <w:tcPr>
            <w:tcW w:w="1868" w:type="dxa"/>
          </w:tcPr>
          <w:p w14:paraId="7EABD4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67</w:t>
            </w:r>
          </w:p>
        </w:tc>
      </w:tr>
      <w:tr w:rsidR="00643896" w:rsidRPr="00640820" w14:paraId="3C5AE0C0" w14:textId="77777777" w:rsidTr="000D3BCB">
        <w:tc>
          <w:tcPr>
            <w:tcW w:w="1868" w:type="dxa"/>
          </w:tcPr>
          <w:p w14:paraId="00720A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w:t>
            </w:r>
          </w:p>
        </w:tc>
        <w:tc>
          <w:tcPr>
            <w:tcW w:w="1868" w:type="dxa"/>
          </w:tcPr>
          <w:p w14:paraId="3211F9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Пе-2</w:t>
            </w:r>
          </w:p>
        </w:tc>
        <w:tc>
          <w:tcPr>
            <w:tcW w:w="1868" w:type="dxa"/>
          </w:tcPr>
          <w:p w14:paraId="7696E6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90</w:t>
            </w:r>
          </w:p>
        </w:tc>
        <w:tc>
          <w:tcPr>
            <w:tcW w:w="1868" w:type="dxa"/>
          </w:tcPr>
          <w:p w14:paraId="16066F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104</w:t>
            </w:r>
          </w:p>
        </w:tc>
        <w:tc>
          <w:tcPr>
            <w:tcW w:w="1868" w:type="dxa"/>
          </w:tcPr>
          <w:p w14:paraId="10012F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81</w:t>
            </w:r>
          </w:p>
        </w:tc>
        <w:tc>
          <w:tcPr>
            <w:tcW w:w="1868" w:type="dxa"/>
          </w:tcPr>
          <w:p w14:paraId="1884DE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83</w:t>
            </w:r>
          </w:p>
        </w:tc>
      </w:tr>
      <w:tr w:rsidR="00643896" w:rsidRPr="00640820" w14:paraId="171F7C5C" w14:textId="77777777" w:rsidTr="000D3BCB">
        <w:tc>
          <w:tcPr>
            <w:tcW w:w="1868" w:type="dxa"/>
          </w:tcPr>
          <w:p w14:paraId="056D06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301</w:t>
            </w:r>
          </w:p>
        </w:tc>
        <w:tc>
          <w:tcPr>
            <w:tcW w:w="1868" w:type="dxa"/>
          </w:tcPr>
          <w:p w14:paraId="42A169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Пе-3</w:t>
            </w:r>
          </w:p>
        </w:tc>
        <w:tc>
          <w:tcPr>
            <w:tcW w:w="1868" w:type="dxa"/>
          </w:tcPr>
          <w:p w14:paraId="45592D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868" w:type="dxa"/>
          </w:tcPr>
          <w:p w14:paraId="092A54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868" w:type="dxa"/>
          </w:tcPr>
          <w:p w14:paraId="37F4F7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868" w:type="dxa"/>
          </w:tcPr>
          <w:p w14:paraId="4BBFC6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6489B47A" w14:textId="77777777" w:rsidTr="000D3BCB">
        <w:tc>
          <w:tcPr>
            <w:tcW w:w="1868" w:type="dxa"/>
          </w:tcPr>
          <w:p w14:paraId="2DF28F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301</w:t>
            </w:r>
          </w:p>
        </w:tc>
        <w:tc>
          <w:tcPr>
            <w:tcW w:w="1868" w:type="dxa"/>
          </w:tcPr>
          <w:p w14:paraId="4D7D65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Як-7</w:t>
            </w:r>
          </w:p>
        </w:tc>
        <w:tc>
          <w:tcPr>
            <w:tcW w:w="1868" w:type="dxa"/>
          </w:tcPr>
          <w:p w14:paraId="5EAF11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c>
          <w:tcPr>
            <w:tcW w:w="1868" w:type="dxa"/>
          </w:tcPr>
          <w:p w14:paraId="7D43CA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74</w:t>
            </w:r>
          </w:p>
        </w:tc>
        <w:tc>
          <w:tcPr>
            <w:tcW w:w="1868" w:type="dxa"/>
          </w:tcPr>
          <w:p w14:paraId="2CB653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67</w:t>
            </w:r>
          </w:p>
        </w:tc>
        <w:tc>
          <w:tcPr>
            <w:tcW w:w="1868" w:type="dxa"/>
          </w:tcPr>
          <w:p w14:paraId="69B51F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w:t>
            </w:r>
          </w:p>
        </w:tc>
      </w:tr>
      <w:tr w:rsidR="00643896" w:rsidRPr="00640820" w14:paraId="688AE5BE" w14:textId="77777777" w:rsidTr="000D3BCB">
        <w:tc>
          <w:tcPr>
            <w:tcW w:w="1868" w:type="dxa"/>
          </w:tcPr>
          <w:p w14:paraId="11DD97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381</w:t>
            </w:r>
          </w:p>
        </w:tc>
        <w:tc>
          <w:tcPr>
            <w:tcW w:w="1868" w:type="dxa"/>
          </w:tcPr>
          <w:p w14:paraId="7D0007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Ил-2</w:t>
            </w:r>
          </w:p>
        </w:tc>
        <w:tc>
          <w:tcPr>
            <w:tcW w:w="1868" w:type="dxa"/>
          </w:tcPr>
          <w:p w14:paraId="051C77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868" w:type="dxa"/>
          </w:tcPr>
          <w:p w14:paraId="301350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1868" w:type="dxa"/>
          </w:tcPr>
          <w:p w14:paraId="700C05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w:t>
            </w:r>
          </w:p>
        </w:tc>
        <w:tc>
          <w:tcPr>
            <w:tcW w:w="1868" w:type="dxa"/>
          </w:tcPr>
          <w:p w14:paraId="182F45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r>
      <w:tr w:rsidR="00643896" w:rsidRPr="00640820" w14:paraId="04A0D0C6" w14:textId="77777777" w:rsidTr="000D3BCB">
        <w:tc>
          <w:tcPr>
            <w:tcW w:w="1868" w:type="dxa"/>
          </w:tcPr>
          <w:p w14:paraId="339C8F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w:t>
            </w:r>
          </w:p>
        </w:tc>
        <w:tc>
          <w:tcPr>
            <w:tcW w:w="1868" w:type="dxa"/>
          </w:tcPr>
          <w:p w14:paraId="183912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ЛаГГ-2</w:t>
            </w:r>
          </w:p>
        </w:tc>
        <w:tc>
          <w:tcPr>
            <w:tcW w:w="1868" w:type="dxa"/>
          </w:tcPr>
          <w:p w14:paraId="60975B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868" w:type="dxa"/>
          </w:tcPr>
          <w:p w14:paraId="299C06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w:t>
            </w:r>
          </w:p>
        </w:tc>
        <w:tc>
          <w:tcPr>
            <w:tcW w:w="1868" w:type="dxa"/>
          </w:tcPr>
          <w:p w14:paraId="61AC47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868" w:type="dxa"/>
          </w:tcPr>
          <w:p w14:paraId="2938D7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7737D328" w14:textId="77777777" w:rsidTr="000D3BCB">
        <w:tc>
          <w:tcPr>
            <w:tcW w:w="1868" w:type="dxa"/>
          </w:tcPr>
          <w:p w14:paraId="2875E4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1868" w:type="dxa"/>
          </w:tcPr>
          <w:p w14:paraId="4DD04D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Ил-2</w:t>
            </w:r>
          </w:p>
        </w:tc>
        <w:tc>
          <w:tcPr>
            <w:tcW w:w="1868" w:type="dxa"/>
          </w:tcPr>
          <w:p w14:paraId="4B29BD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868" w:type="dxa"/>
          </w:tcPr>
          <w:p w14:paraId="1B4F0B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868" w:type="dxa"/>
          </w:tcPr>
          <w:p w14:paraId="427675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w:t>
            </w:r>
          </w:p>
        </w:tc>
        <w:tc>
          <w:tcPr>
            <w:tcW w:w="1868" w:type="dxa"/>
          </w:tcPr>
          <w:p w14:paraId="558555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r>
      <w:tr w:rsidR="00643896" w:rsidRPr="00640820" w14:paraId="423BFD53" w14:textId="77777777" w:rsidTr="000D3BCB">
        <w:tc>
          <w:tcPr>
            <w:tcW w:w="1868" w:type="dxa"/>
          </w:tcPr>
          <w:p w14:paraId="33ACA4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122</w:t>
            </w:r>
          </w:p>
        </w:tc>
        <w:tc>
          <w:tcPr>
            <w:tcW w:w="1868" w:type="dxa"/>
          </w:tcPr>
          <w:p w14:paraId="011CD1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МиГ-3</w:t>
            </w:r>
          </w:p>
        </w:tc>
        <w:tc>
          <w:tcPr>
            <w:tcW w:w="1868" w:type="dxa"/>
          </w:tcPr>
          <w:p w14:paraId="49AEF5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868" w:type="dxa"/>
          </w:tcPr>
          <w:p w14:paraId="582023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868" w:type="dxa"/>
          </w:tcPr>
          <w:p w14:paraId="6402F3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1868" w:type="dxa"/>
          </w:tcPr>
          <w:p w14:paraId="60373D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05B89C1B" w14:textId="77777777" w:rsidTr="000D3BCB">
        <w:tc>
          <w:tcPr>
            <w:tcW w:w="1868" w:type="dxa"/>
            <w:tcBorders>
              <w:bottom w:val="single" w:sz="12" w:space="0" w:color="auto"/>
            </w:tcBorders>
          </w:tcPr>
          <w:p w14:paraId="12722F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Итого</w:t>
            </w:r>
          </w:p>
        </w:tc>
        <w:tc>
          <w:tcPr>
            <w:tcW w:w="1868" w:type="dxa"/>
            <w:tcBorders>
              <w:bottom w:val="single" w:sz="12" w:space="0" w:color="auto"/>
            </w:tcBorders>
          </w:tcPr>
          <w:p w14:paraId="4199B1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2272</w:t>
            </w:r>
          </w:p>
        </w:tc>
        <w:tc>
          <w:tcPr>
            <w:tcW w:w="1868" w:type="dxa"/>
            <w:tcBorders>
              <w:bottom w:val="single" w:sz="12" w:space="0" w:color="auto"/>
            </w:tcBorders>
          </w:tcPr>
          <w:p w14:paraId="40457F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2180</w:t>
            </w:r>
          </w:p>
        </w:tc>
        <w:tc>
          <w:tcPr>
            <w:tcW w:w="1868" w:type="dxa"/>
            <w:tcBorders>
              <w:bottom w:val="single" w:sz="12" w:space="0" w:color="auto"/>
            </w:tcBorders>
          </w:tcPr>
          <w:p w14:paraId="452E91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2464</w:t>
            </w:r>
          </w:p>
        </w:tc>
        <w:tc>
          <w:tcPr>
            <w:tcW w:w="1868" w:type="dxa"/>
            <w:tcBorders>
              <w:bottom w:val="single" w:sz="12" w:space="0" w:color="auto"/>
            </w:tcBorders>
          </w:tcPr>
          <w:p w14:paraId="268E46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1474</w:t>
            </w:r>
          </w:p>
        </w:tc>
        <w:tc>
          <w:tcPr>
            <w:tcW w:w="1868" w:type="dxa"/>
            <w:tcBorders>
              <w:bottom w:val="single" w:sz="12" w:space="0" w:color="auto"/>
            </w:tcBorders>
          </w:tcPr>
          <w:p w14:paraId="3B31EF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bl>
    <w:p w14:paraId="164958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(785,230).</w:t>
      </w:r>
    </w:p>
    <w:p w14:paraId="16DCC1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DEF19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года в Омске заводом № 29 было восстановлено производство двигателей М-88Б. В 1942 году директором завода был назначен Борисов И.Т.</w:t>
      </w:r>
    </w:p>
    <w:p w14:paraId="48AAA9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приказом НКАП в начале 1942 года завод должен был перейти на дублирование производства новых поршневых двигателей АШ-82 системы конструктора Швецова, находившихся в производстве завода № 19. Приказом НКАП от 19 марта 1942 года за № 21сс завод временно был освобожден от запускав производство двигателя АШ-82. В январе 1943 года гл. конструктором завода был назначен Нитченко В.С. В 1942 году завод получил задание довести и запустить в производство малую серию опытного двигателя М-90.</w:t>
      </w:r>
    </w:p>
    <w:p w14:paraId="563EA0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3BAB12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w:t>
      </w:r>
    </w:p>
    <w:p w14:paraId="2CFCAC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Шехов Б.В. В 1949 году завод по-прежнему выпускал АШ-82ФН и АШ-21. В начале 1953 года гл. конструктором завода был назначен Федичев В.Г. С августа 1953 года – директор Головачев А.М. В 1953 году завод продолжал производство АШ-82ФН и АШ-21</w:t>
      </w:r>
    </w:p>
    <w:p w14:paraId="7461FC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Омск, Б. Хмельницкого – 281, п/я 64</w:t>
      </w:r>
    </w:p>
    <w:p w14:paraId="6E1F37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3E9FF9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A333D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 на территорию завода (Завод № 124/27 НКТП, НКОП, Завод № 124 НКАП им. С. Орджоникидзе, «Казмашстрой», п/я 22 / г. Казань/) эвакуировались из Москвы завод № 22 им. С.П. Горбунова и завод № 294 НКАП (7ГУ). 19.11.1941 г. вышло постановление ГКО № 917 об организации на площадке завода № 124 двух самолетостроительных заводов. Пост. ГКО № 1048сс от 23.12.1941 г. заводы объединены под названием завод № 22 НКАП им. Горбунова.</w:t>
      </w:r>
    </w:p>
    <w:p w14:paraId="3ABFB2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(11.1940 г.)- 1151 станок (725 металлорежущих).</w:t>
      </w:r>
    </w:p>
    <w:p w14:paraId="67421E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(05.1940 г.)- около 6000 рабочих.</w:t>
      </w:r>
    </w:p>
    <w:p w14:paraId="6EA378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(-06.1937-21.И.1938 г.)- Л.Н. Шахнин (снят); и.о. (22.05-06.1938 г.)- С.С. Баринов; (15.06.1938г)- С.С. Баринов, (1938-39 г.)- И.И. Штейнберг, (05.1940-05.1941 г.-)- М.М. Каганович, Окулов.</w:t>
      </w:r>
    </w:p>
    <w:p w14:paraId="105B7F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строительства (1938 г.)- И.С. Овэс. Зам. директора (22.02.1937 г.-)- В.Д. Россман, (06.1937 г.)- С.Е. Дайбог, (22.05.1938 г.-)- А.Д. Шиц. Помощник директора (06.1937 г.)- Поляков.</w:t>
      </w:r>
    </w:p>
    <w:p w14:paraId="21452A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Технический директор (05.1937 г.)- С.Е. Дайбо г.</w:t>
      </w:r>
    </w:p>
    <w:p w14:paraId="758451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(06.1937 г.)- С.Е. Дайбог, (22.05.1938 г.-)- А.Д. Шиц.</w:t>
      </w:r>
    </w:p>
    <w:p w14:paraId="703382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(1937 г.)- В.Ф. Болховитинов, (21.05.1938 г.-)- И.Ф. Незваль.</w:t>
      </w:r>
    </w:p>
    <w:p w14:paraId="0318ED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конструктора по КО (21.05.1938 г.-)- Забродченко.</w:t>
      </w:r>
    </w:p>
    <w:p w14:paraId="6E5B30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механик (06.1937 г.)- Махно.</w:t>
      </w:r>
    </w:p>
    <w:p w14:paraId="3B6137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УКС (22.02.1937 г.-)- В.Д. Россман; снабжения (06.1937 г.)- Фомин; хозяйственно-транспортного управления (06.1937 г.)- Пантюхов; договорной группы (06.1937 г.)- Сердобольский.</w:t>
      </w:r>
    </w:p>
    <w:p w14:paraId="1BAB9F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УКС (22.02.1937 г.-)- В.Д. Россман.</w:t>
      </w:r>
    </w:p>
    <w:p w14:paraId="221946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кооперирования (27.05.1938 г.-)- А.А. Слуцкий; ППО (06.1937 г.)- Фастовец; кадров (09.1938 г.)- Никулин.</w:t>
      </w:r>
    </w:p>
    <w:p w14:paraId="3EBD0A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бюро: КБ по приспособлениям (27.05.1938 г.-)- А.И. Антонов.</w:t>
      </w:r>
      <w:r w:rsidRPr="00640820">
        <w:rPr>
          <w:rFonts w:ascii="Times New Roman" w:hAnsi="Times New Roman"/>
          <w:color w:val="000000" w:themeColor="text1"/>
          <w:sz w:val="16"/>
          <w:szCs w:val="16"/>
          <w:vertAlign w:val="superscript"/>
        </w:rPr>
        <w:t>139</w:t>
      </w:r>
    </w:p>
    <w:p w14:paraId="753937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самолеты: КАИ-1, ДБ-А (1937-39)- 12 (по другим данным - 5</w:t>
      </w:r>
      <w:r w:rsidRPr="00640820">
        <w:rPr>
          <w:rFonts w:ascii="Times New Roman" w:hAnsi="Times New Roman"/>
          <w:color w:val="000000" w:themeColor="text1"/>
          <w:sz w:val="16"/>
          <w:szCs w:val="16"/>
          <w:vertAlign w:val="superscript"/>
        </w:rPr>
        <w:t>144</w:t>
      </w:r>
      <w:r w:rsidRPr="00640820">
        <w:rPr>
          <w:rFonts w:ascii="Times New Roman" w:hAnsi="Times New Roman"/>
          <w:color w:val="000000" w:themeColor="text1"/>
          <w:sz w:val="16"/>
          <w:szCs w:val="16"/>
        </w:rPr>
        <w:t>), ТБ-7 (1938-41)- 23, ПС-124 (1939)- 1, Ли-2 (1940-41-)-10, Пе-2 (1941)- 104.</w:t>
      </w:r>
    </w:p>
    <w:p w14:paraId="2F1AA6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КБ гл. конструктора И.Ф. Незваля при заводе № 124 НКАП</w:t>
      </w:r>
    </w:p>
    <w:p w14:paraId="2C8442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Образовано по приказу № 143с от 21/25.03.1940 г. Гл. конструктор- И.Ф. Незваль, переведенный на завод ранее с завода № 156 с группой конструкторов для внедрения в серию АНТ-42. Проводилась доводка и модернизация самолета с различными двигателями, установка дополнительного вооружения (11982).</w:t>
      </w:r>
    </w:p>
    <w:p w14:paraId="690929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F849A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года на территории НИИ-12 были организованы фронтовые мастерские по ремонту приборов с оборудованием, кадрами и материалами и на их основе был организован завод по ремонту приборов, который 30 марта 1942 года в соответствии с приказом НКАП № 239с был переведен на площади эвакуированного из Москвы в Свердловск завода № 214. Далее на базе указанного завода по ремонту приборов решением ГКО от 5 апреля 1942 года за № 1543с и приказом НКАП № 269сс от 10 апреля 1942 года во II квартале 1942 года в системе 5-го гл. управления НКАП был организован завод № 133 по производству и ремонту навигационно-пилотажных и гироскопических приборов (9456).</w:t>
      </w:r>
    </w:p>
    <w:p w14:paraId="3D23E4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50A1A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часть КБ А.А.А. прибыла в Омск и влилось в КБ А.Н.Т. (1835,17).</w:t>
      </w:r>
    </w:p>
    <w:p w14:paraId="0F950D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44619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 завод № 135 1ГУ НКАП (Завод № 135 НКТП, НКОП, НКАП, МАП, ГКАТ, Авиационный завод им. СНК УССР, Харьковский авиационный завод (ХАЗ) НКВМ, ВСНХ, НКТП, ХАЗ им. Ленинского Комсомола МАП, Харьковское авиационное производственное объединение (ХАПО) МАП, Харьковское Государственное авиационное производственное предприятие (ХГАПП), ГП «ХГАПП» /Украина  г. Харьков, Белгородское шоссе п/я 231 «Экран (1938 г.);  г. Молотов/ /61023 Украина  г. Харьков ул. Сумская, 134 тел. 43-19-85, 707-08-00/ /Московское представительство:  г. Королев Московской обл. тел. 512-24-12/) был эвакуирован в Молотов (решение о эвакуации принято в середине сентября) на площадку строящегося завода № 19 НКАП, где до 01.1942 г. продолжался выпуск Су-2. По приказу № 1050сс от 8.10.1941 г. площадку завода № 135 эвакуирован завод № 289 НКАП. Фактически личный состав и имущество завода были переданы заводу № 135 без оформления. Далее завод № 289 продолжил действовать как самостоятельный. Сюда же эвакуированы заводы № 207 и № 480 НКАП и по приказу № 1103с от 9.11.1941 г. влиты в состав завода № 135. Производство запчастей к самолетам. В соответствии с пост. ГКО № 916 от 19.11.1941 г. заводу поручено производство Ил-2 с М-82. 27.12.1941 г. завод получил документацию на освоение производства Ил-2.</w:t>
      </w:r>
    </w:p>
    <w:p w14:paraId="70548E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соответствии с пост. ГКО № 1208сс от 24.01.1942 г. и приказом № 79сс от 26.01.1942 г. завод № 135 был расформирован, оборудование и кадры переданы заводам № 30, № 23 и № 381 НКАП. Ремонтные мастерские переведены на площадку бывшего завода № 18 НКАП.</w:t>
      </w:r>
    </w:p>
    <w:p w14:paraId="76E76C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23.08.1943 г. Харьков был освобожден, и 28.08.1943 г. ГКО принял решение о восстановлении авиационного завода. По приказу от 29.08.1943 г. начата организация основных производственных подразделений. Завод вновь образован на своей прежней площадке в  г. Харькове под тем же номером в соответствии с пост. ГКО № 4290с от 8.10.1943 г. и приказом № 665с от 5.12.1943 г. в 6ГУ как ремонтный завод по ремонту самолетов Як-1, Як-2, Як-3, Як-9, </w:t>
      </w:r>
      <w:r w:rsidRPr="00640820">
        <w:rPr>
          <w:rFonts w:ascii="Times New Roman" w:hAnsi="Times New Roman"/>
          <w:color w:val="000000" w:themeColor="text1"/>
          <w:sz w:val="16"/>
          <w:szCs w:val="16"/>
          <w:lang w:val="en-US"/>
        </w:rPr>
        <w:t>JIa</w:t>
      </w:r>
      <w:r w:rsidRPr="00640820">
        <w:rPr>
          <w:rFonts w:ascii="Times New Roman" w:hAnsi="Times New Roman"/>
          <w:color w:val="000000" w:themeColor="text1"/>
          <w:sz w:val="16"/>
          <w:szCs w:val="16"/>
        </w:rPr>
        <w:t>-5, Ла-7, Ил-2 и производству самолетных агрегатов. Коллектив завода формировался из небольшого количества бывших работников, местных кадров и работников, переведенных с заводов № 289 и № 451. В 11.1943 г. началась сборка Як-7 и Як-9 из агрегатов заводов № 21 и № 166. 29.12.1944 г. вышло постановление ГКО № 7225 о переоборудовании на заводе истребителей Як-9 в истребители-бомбардировщики Як-9Б.</w:t>
      </w:r>
    </w:p>
    <w:p w14:paraId="272D7F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1945-46 г. на завод поставлено трофейное оборудование из Вены с заводов «Штейер-Дамлер-Пух» (330 единиц), «Мессершмит» и «Хейнкель» - всего 487 единиц.</w:t>
      </w:r>
    </w:p>
    <w:p w14:paraId="177C19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1945 г. действовал филиал завода № 135 НКАП на территории эвакуированного завода № 450 НКАП в Харькове. По приказу № 414с/0192 от 17/26.10.1945 г. площадка филиала и аэродром переданы в ведение 181-й Центральной ремонтной базы ВВС.</w:t>
      </w:r>
    </w:p>
    <w:p w14:paraId="0EEE3A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1946 г. передан в 11ГУ, с 01.1950 г.- из 11ГУ в 1ГУ, а с 1.07.1954 г.- в ЮГУ. В соответствии с пост. СМ СССР № 713-342 от 26.06.1957 г. передан в ведение СНХ УССР.</w:t>
      </w:r>
    </w:p>
    <w:p w14:paraId="643BA4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6.04.1949 г. вышло Постановление СМ СССР о запуске в серию МиГ-15УТИ. В 1950 г., в связи с началом производства МиГ-15УТИ, завод в очередной раз был реконструирован. В 10.1950 г. организован механический цех № 1, в 1951 г. - цех № 27, в 1952 г. - цеха № 10 (покрытий и лакокрасок) и № 23 (сборки крыла), в 08.1953 г. введен в строй корпус механического цеха № 18.</w:t>
      </w:r>
    </w:p>
    <w:p w14:paraId="5F31D4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СМ СССР № 1172-516 от 11.06.1954 г. началось освоение производства Ту-104. В 1954 г. перед освоением Ту-104 завод в очередной раз реконструирован, в 08.1954 г. заводу передана дополнительная территория под строительство нового аэродрома, в 10.1954 г. на базе цеха № 23 организованы агрегатные цеха № 28 и № 29, создан заготовительный цех № 33. В 10.1955 г. вступил в строй корпус сборочного цеха. В конце 1954 г. началась сборка превого Ту-104. А в 01.1955 г. заводу было приказано передать всю оснастку и детали заводу № 166 и переходить к освоению Ил-40. Благодаря инициативе Туполева в 1955 г. это решение было отменено, и Ту-104 был повторно запущен в серию. В конце 1955 г. в Полтаве организован филиал ЛИС завода для испытаний 1-го серийного Ту-104, т.к. заводская ВПП была слишком короткой.</w:t>
      </w:r>
    </w:p>
    <w:p w14:paraId="15ADA2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18.07.1958 г. вышло Постановление СМ СССР о серийном производстве Ту-124.</w:t>
      </w:r>
    </w:p>
    <w:p w14:paraId="414854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правительства № 846-341 от 1.08.1960 г. началась подготовка к выпуску Ту-134.</w:t>
      </w:r>
    </w:p>
    <w:p w14:paraId="0EF180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1962 г. организован отдел механизации, автоматизации и реконструкции (начальник- А.И. Бабушкин). В 09.1964 г. организовано заводское отделение Украинского филиала НИАТ.</w:t>
      </w:r>
    </w:p>
    <w:p w14:paraId="61DD40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10.1965 г. на заводе вновь введена должность Гл. конструктора, а СКО придан статус отдела гл. конструктора.</w:t>
      </w:r>
    </w:p>
    <w:p w14:paraId="7FFC2B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04.1970 г. в цехе № 17 введен в строй участок литья по выплавляемым моделям. В 1975 г. организован конструкторско-технологический отдел стандартизации (начальник- А.Н. Котляр).</w:t>
      </w:r>
    </w:p>
    <w:p w14:paraId="08271C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09.1975 г. принято Постановление СМ СССР о производстве Ту-141. В 15.09.1976 г. вступил в строй цех № 85 для сборки Ту-141.</w:t>
      </w:r>
    </w:p>
    <w:p w14:paraId="5F6BD4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04.1978 г. принято Постановление СМ СССР о производстве Х-55. В 12.1986 г. принято решение о передаче производства Х-55 на Кировский завод «Авитек».</w:t>
      </w:r>
    </w:p>
    <w:p w14:paraId="46BC3C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МАП № 63с от 03.1979 г. производство Ан-72 было передано с КиАПО на ХАПО. По приказу Ш 519 от 4.12.1980 г. на заводе начаты работы по подготовке серийного производства Ан-72 и Ан-74. По приказу МАП № 15с от 13.01.1982 г. на завод с КиАПО передана техдокументация, оснастка и незавешенное производство по Ан-72. В 06.1984 г. начались работы по подготовке производства Ан-74.</w:t>
      </w:r>
    </w:p>
    <w:p w14:paraId="3E6CD2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19.06.1986 г. вступил в строй механический цех № 54.</w:t>
      </w:r>
    </w:p>
    <w:p w14:paraId="6FE1F4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1966 г. завод № 135 МАП переименован в Харьковский авиационный завод (ХАЗ). 1.03.1968 г. образовано ХАПО, в которое вошли ХАЗ и Конотопский механический завод. Пост. СМ УССР от 25.11.1968 г. заводу присвоено имя Ленинского комсомола. 30.06.1993 г. ХАПО переименовано в ХГАПП Министерства промышленной политики Украины, 16.08.1993 г. в состав ХГАПП в качестве филиала вошел Харьковский завод ГА «ТОРА».</w:t>
      </w:r>
    </w:p>
    <w:p w14:paraId="4A64FD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12.1996 г. произведена реорганизация управления заводом. Создано 10 департаментов, количество заместителей гендиректора сокращено с 12 до трех. В 12.1998 г. закончена реконструкция плазово-шаблонного цеха№ 19.</w:t>
      </w:r>
    </w:p>
    <w:p w14:paraId="1F6453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структуру ХГАПП входили (2003 г.): Департамент по производству (цеха: окончательной сборки 005, покрытий 010, неметаллов 050, эксплуатационно-ремонтный 075, 024, 027, 028, 029, 073, 085, механосборочные, заготовительно-штамповочные, агрегатно-сборочные); Департамент по финансово-экономическим вопросам (ПЭО 103, ОТиЗ 108, финансовый отдел 105, аналитический отдел 304); Департамент по маркетингу (отдел ВЭД 145, отдел маркетинговых исследований и рекламы, отдел сбыта 099); Департамент по коммерческим вопросам (отдел снабжения 060, декларационно-таможенный отдел 134); Департамент информационных технологий (отделы: информационных систем 190, администрирования единой информационной сети предприятия (ЕИСП) 191, разработки и внедрения ЕИСП, </w:t>
      </w:r>
      <w:r w:rsidRPr="00640820">
        <w:rPr>
          <w:rFonts w:ascii="Times New Roman" w:hAnsi="Times New Roman"/>
          <w:color w:val="000000" w:themeColor="text1"/>
          <w:sz w:val="16"/>
          <w:szCs w:val="16"/>
          <w:lang w:val="en-US"/>
        </w:rPr>
        <w:t>WEB</w:t>
      </w:r>
      <w:r w:rsidRPr="00640820">
        <w:rPr>
          <w:rFonts w:ascii="Times New Roman" w:hAnsi="Times New Roman"/>
          <w:color w:val="000000" w:themeColor="text1"/>
          <w:sz w:val="16"/>
          <w:szCs w:val="16"/>
        </w:rPr>
        <w:t xml:space="preserve">-дизайна и Интернет-технологий 193, цех телекоммуникации и связи 194); Департамент по управлению персоналом и режимом (отдел кадров и технического обучения 126); Департамент капстроительства (ремонтно-строительный цех 080, ОКС 071); Департамент технического контроля и сертификации (ОТК, отдел сертификации производства и управления качеством); Департамент по летно- испытательной службе (ЛИК 009, отдел по обеспечению летной деятельности 122, служба авиационной безопасности); Департамент по реализации контракта № 2 (отдел 155); Департамент по связям с общественностью (отделы: аналитики и </w:t>
      </w:r>
      <w:r w:rsidRPr="00640820">
        <w:rPr>
          <w:rFonts w:ascii="Times New Roman" w:hAnsi="Times New Roman"/>
          <w:color w:val="000000" w:themeColor="text1"/>
          <w:sz w:val="16"/>
          <w:szCs w:val="16"/>
          <w:lang w:val="en-US"/>
        </w:rPr>
        <w:t>PR</w:t>
      </w:r>
      <w:r w:rsidRPr="00640820">
        <w:rPr>
          <w:rFonts w:ascii="Times New Roman" w:hAnsi="Times New Roman"/>
          <w:color w:val="000000" w:themeColor="text1"/>
          <w:sz w:val="16"/>
          <w:szCs w:val="16"/>
        </w:rPr>
        <w:t>-технологий 170, РИО 171, допечатной подготовки 172, типография 088, музей предприятия 173, редакция газеты 306); Конотопский механический завод, Чугуевский авиационный технологический завод, завод «Сокольники» (отдел 311), ТОРА; отделы АСУП, сопровождения эксплуатации 180 (в подчинении гл. инженера), жилищно-коммунального хозяйства 202, 18,109,129,139,156.</w:t>
      </w:r>
    </w:p>
    <w:p w14:paraId="66EAE3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06.2005 г. ХГАПП вместе с АНТК и заводом «Авиант» вошел в созданное ННПО «Антонов». В 02.2007 г. завод вошел также в концерн «Авиация Украины».</w:t>
      </w:r>
    </w:p>
    <w:p w14:paraId="5C237C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(11.1940 г.)- 502 металлорежущих станков.</w:t>
      </w:r>
    </w:p>
    <w:p w14:paraId="586571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(09.1924 г.)- 17 чел., (03.1925 г.)- 50 чел., (1927 г.)- 107 чел., (1983 г.)- 12.500 чел., (2002 г.)~ 9000 чел.</w:t>
      </w:r>
    </w:p>
    <w:p w14:paraId="46AE74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Директор (17.09-12.12.1926; 16.10-16.11.1927; 21.05.1932-7.02.1934 г.)- К.А. Калинин, (12.12.1926- 16.10.1927 г.)- Л.М. Мандрыко, (16.11.1927-05.1930 г.)- С.А. Кривоконь, (05.1930-25.11.1931 г.)- Н.П. Королев, (25.11.1931 -21.05.1932 г.)- В.И. Ситников, (7.02.1934-1.07.1936 г.)- С.Ф. Буздалин, (1.07.1936-10.03.1938 г.)-  Г.И. Васильев; и.о. (11.05.1938 г.-)- И.А. Энгелыптейн; (14.05.1938-05.1940 г.)- С.З. Нейштадт, (05.1940-02.1941 г.)- Ю.Н. Карпов, (02.1941-01.1942; 12.1943-10.06.1946 г.)- И.М. Кузин, (10.06.1946-9.08.1949 г.)- Б.П. Еленевич, (9.08.1949-5.06.1958 г.)- В.М. Лиходей, (5.06.1958-10.10.1967 г.)- Н.Ф. Корнилов, (10.10.1967-11.06.1985 г.)- Б .А. Хохлов. Гендиректор (11.06.1985-18.01.1990; 20.06.1995-8.07,2002 г.)- А.К. Мялица (затем- министр Прмышленной политики Украины), 18.01.1990-28.02.1995 г.)- Л.П. Васильченко, (28.02-20.06.1995 г.)-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Кладченко, (07.2002-07 г.)- П.О. Науменко; и.о. гендиректора (05.2007 г.-)- С. Задорожный.</w:t>
      </w:r>
    </w:p>
    <w:p w14:paraId="2DAEE9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Зам. директора (15.12.1937-9.09.1938 г.)- И.А. Энгелыптейн, (9.09.1938 г.-)- Ю.М. Бродянский. Помощник директора по найму и увольнению (-06.1937-5.11.1938 г.)- П.П. Горяинов, (15.12.1938 г.-)- Я.З. Лихолип. Зам. гендиректора: технический директор (06.1997-2003 г.-)- В.И. Заяц; по производству (12.2002-03 г.-)- С.М. Федак; по финансово-экономическим вопросам (-2002 г.)- П.П. Петренко, (08.2002-03 г.-)- Н.В. Бородулин; по маркетингу (-2002 г.)- М.В. Тернов, (12.2002-03 г.-)- А.А. Стешенко; по коммерческим вопросам (01.2003 г.-)- Н.П. Кирсанов; по информационным технологиям (12.2002-03 г.-)- В.Э. Кавчик; по капстроительству (04.1998-2003 г.-)- В.Д. Маркелов; по техническому контролю и сертификации (04.2002-03 г.-)-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Сивокозов; по летно-испытательной службе (08.1999-2003 г.-)- В.В. Ерофеев; по реализации контракта № 2 (12.2002-03 г.-)- П.В. Москаленко; по связям с общественностью (01.2003-05 г.-)- С.А. Арасланов.</w:t>
      </w:r>
    </w:p>
    <w:p w14:paraId="2A4D72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Гл. инженер (28.10.1928-10.1929 г.)-  Г.Е. Петров (Горбенко), (10.1929-24.02.1933 г.)- Б.П. Лисунов, (24.02.1933- 16.04.1937 г.)- Н.Д. Востров, (16.04.1937-15.12.1937 г.)- Н.Е. Шварев (снят), (15.12.1937-9.09.1938 г.)- И.А. Энгельштейн, (9.09.1938-02.1941 г.)- Ю.М. Бродянский, (02.1941 -12.06.1946 г.)- П. Г. Чепелев, (12.06.1946- 11.06.1950 г.)- П. Г. Питерин, (11.06.1950-7.06.1958 г.)- Н.Ф. Корнилов, (7.06.1958-18.01.1968 г.)- Б.А. Хохлов, (18.01.1968-3.09.1990 г.)- Л.П. Васильченко, (3.09.1990-20.04.1996 г.)-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Кладченко, (20.04-7.10.1996 г.)- В.П. Михнич, (10.1996-2003 г.-&gt; В.И. Заяц.</w:t>
      </w:r>
    </w:p>
    <w:p w14:paraId="783869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инженера по Ан-74- С.М. Федак.</w:t>
      </w:r>
    </w:p>
    <w:p w14:paraId="272B72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(12.12.1926-07.1934 г.)- К.А. Калинин, (12.1935-10.1938 г.-)- И. Г. Неман, (30.12.1938 г.-)- А.А. Дубровин, (09.1939-40 г.)- П.О. Сухой, (11(08). 1940-41 г.)- П.Д. Грушин, (2003 г.)- П.А. Клюев.</w:t>
      </w:r>
    </w:p>
    <w:p w14:paraId="48CFC5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конструктора (-12.1937 г.)- Арсон.</w:t>
      </w:r>
    </w:p>
    <w:p w14:paraId="65E756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Гл. технолог (08.1979-10.1996 г.)- В.И. Заяц, (2003 г.)- Н.А. Лысых. Гл. механик (2003 г.)- В.А. Трушев. Гл. энергетик (2003 г.)- Е.Н. Полоз. Гл. метролог (2003 г.)- В.А. Савченко. Гл. металлург (01.1983-04.2002 г.)-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Сивокозов.</w:t>
      </w:r>
    </w:p>
    <w:p w14:paraId="76E8A0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технолога- В.И. Заяц.</w:t>
      </w:r>
    </w:p>
    <w:p w14:paraId="5551C9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Руководитель коммерческого департамента (2007 г.)- С. Задорожный.</w:t>
      </w:r>
    </w:p>
    <w:p w14:paraId="3DAD04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Гендиректор московского представительства (2002 г.)- И.Н. Платоненко.</w:t>
      </w:r>
    </w:p>
    <w:p w14:paraId="319669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Руководитель программы Ту-141 (1976 г.-)- А.К. Мялица. Директор программы Ан-140/ начальник отдела 156 (09.12.2002 г.)- С.М. Федак. Директор производственно-эксплуатационного комплекса (07.2001-01.2003 г.)- Н.И. Кирсанов.</w:t>
      </w:r>
    </w:p>
    <w:p w14:paraId="725A40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цехов: № 1 (1950 г.)- И.В. Филоненко; № 005- С.М. Федак; № 10 (1952 г.)- Т. Г. Полякова; № 23 (1952 г.)- А.П. Юрковский; № 27 (1951 г.)- М.И. Лекарев; № 28 (1954 г.)- И.М. Бергардт, № 028 (1980 г.-)- С.М. Федак; № 29 (1954 г.)- А.П. Юрковский, № 029 (1962 г.-)- В.И. Заяц; № 33 (1954 г.)- А.П. Чернушенко; № 54 (1986 г.)- Л.И. Янов; № 073 (1987 г.-)- Н.И. Кирсанов; № 85 (1976 г.)- А.К. Мялица.</w:t>
      </w:r>
    </w:p>
    <w:p w14:paraId="0B6453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Начальники отделов: снабжения (11.1930 г.-)- И.И. Чуркин.</w:t>
      </w:r>
    </w:p>
    <w:p w14:paraId="22E171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Руководители бригад: по приспособлениям (-1938 г.)- Гринченко.</w:t>
      </w:r>
    </w:p>
    <w:p w14:paraId="3DC8A9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самолеты: К-2 (1927), К-3 (1927), К-4 (1928-30)- 39, К-5 (1930-34)- 293(288), К-6 (1930), К-9 (1930), К-10 (1931), ХАИ-1 (1932)- 1, К-7 (1933)- 1, «Омега» (1933)- 1, И-</w:t>
      </w:r>
      <w:r w:rsidRPr="00640820">
        <w:rPr>
          <w:rFonts w:ascii="Times New Roman" w:hAnsi="Times New Roman"/>
          <w:color w:val="000000" w:themeColor="text1"/>
          <w:sz w:val="16"/>
          <w:szCs w:val="16"/>
          <w:lang w:val="en-US"/>
        </w:rPr>
        <w:t>Z</w:t>
      </w:r>
      <w:r w:rsidRPr="00640820">
        <w:rPr>
          <w:rFonts w:ascii="Times New Roman" w:hAnsi="Times New Roman"/>
          <w:color w:val="000000" w:themeColor="text1"/>
          <w:sz w:val="16"/>
          <w:szCs w:val="16"/>
        </w:rPr>
        <w:t xml:space="preserve"> (1934-35)- 50, ИП-1 (1936-38)- 200 (по [</w:t>
      </w:r>
      <w:r w:rsidRPr="00640820">
        <w:rPr>
          <w:rFonts w:ascii="Times New Roman" w:hAnsi="Times New Roman"/>
          <w:color w:val="000000" w:themeColor="text1"/>
          <w:sz w:val="16"/>
          <w:szCs w:val="16"/>
          <w:lang w:val="en-US"/>
        </w:rPr>
        <w:t>www</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ksamc</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com</w:t>
      </w:r>
      <w:r w:rsidRPr="00640820">
        <w:rPr>
          <w:rFonts w:ascii="Times New Roman" w:hAnsi="Times New Roman"/>
          <w:color w:val="000000" w:themeColor="text1"/>
          <w:sz w:val="16"/>
          <w:szCs w:val="16"/>
        </w:rPr>
        <w:t>]- 90, а 200- плановая цифра), Р-10 (1937-39)- 355, ХАИ-51 (1938)- 1, ХАИ-52 (1939), Су-2 (1939- 42)- 785, Су-1 (1940)- 1, Гр-1 (1941)- 1, Як-7 (1943-), Як-9 (1943-45), Як-3, Як-8 (1945-47), Як-18 (1947-49), МиГ- 15УТИ (1949-54)- 511, Ту-104 (1954; 1955-62-)- 140 (вместе с заводом № 22), Ту-124 (1960-63-), Ту-134 (1964-84), Ан-72 (1983-87-), Ан-74 (1986- 2002 г.-), Ан-140 (1996-2002-), Ан-74ТК-300 (2001)- 1; крыло для Ан-140 (2004); запчасти для Як-1 (1944-), крыло для Як-3 (1944-), переделка Як-9М в бомбардировщики (1945); БПЛА: Ту-141 «Стриж» (1977-90)- 152; УРВП: Х-55 (1980-87);</w:t>
      </w:r>
    </w:p>
    <w:p w14:paraId="562703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самоходные пассажирские трапы СПТ-104, СПТ-114, СПТ-154; жатки, запчасти для тракторов (1945-46); тягачи «Харьковчанка» для освоения Антарктиды (1958), «Харьковчанка-2» (1975); установка «Светопровод» для слежения за пусками КА (1960).</w:t>
      </w:r>
      <w:r w:rsidRPr="00640820">
        <w:rPr>
          <w:rFonts w:ascii="Times New Roman" w:hAnsi="Times New Roman"/>
          <w:color w:val="000000" w:themeColor="text1"/>
          <w:sz w:val="16"/>
          <w:szCs w:val="16"/>
          <w:vertAlign w:val="superscript"/>
          <w:lang w:val="en-US"/>
        </w:rPr>
        <w:t>wwwksamc</w:t>
      </w:r>
      <w:r w:rsidRPr="00640820">
        <w:rPr>
          <w:rFonts w:ascii="Times New Roman" w:hAnsi="Times New Roman"/>
          <w:color w:val="000000" w:themeColor="text1"/>
          <w:sz w:val="16"/>
          <w:szCs w:val="16"/>
          <w:vertAlign w:val="superscript"/>
        </w:rPr>
        <w:t xml:space="preserve"> сот</w:t>
      </w:r>
    </w:p>
    <w:p w14:paraId="31BC34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Заводские №: 13534 - И-</w:t>
      </w:r>
      <w:r w:rsidRPr="00640820">
        <w:rPr>
          <w:rFonts w:ascii="Times New Roman" w:hAnsi="Times New Roman"/>
          <w:color w:val="000000" w:themeColor="text1"/>
          <w:sz w:val="16"/>
          <w:szCs w:val="16"/>
          <w:lang w:val="en-US"/>
        </w:rPr>
        <w:t>Z</w:t>
      </w:r>
      <w:r w:rsidRPr="00640820">
        <w:rPr>
          <w:rFonts w:ascii="Times New Roman" w:hAnsi="Times New Roman"/>
          <w:color w:val="000000" w:themeColor="text1"/>
          <w:sz w:val="16"/>
          <w:szCs w:val="16"/>
        </w:rPr>
        <w:t xml:space="preserve"> (11982).</w:t>
      </w:r>
    </w:p>
    <w:p w14:paraId="1C41CC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36151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вышло решение ГКО о порядке развертывания эвакуированных авиазаводов в местах новой дислокации. Заводы получали преимущества и могли требовать любую помощь, плюс для них был ежедневный доклад с мест в центр, что тоже было рычагом (173,215).</w:t>
      </w:r>
    </w:p>
    <w:p w14:paraId="676DB0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62400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на фронт было отправлено 627 машин, то есть в 3,5 раза меньше, чем в сентябре, а в декабре — 600, наимень</w:t>
      </w:r>
      <w:r w:rsidRPr="00640820">
        <w:rPr>
          <w:rFonts w:ascii="Times New Roman" w:hAnsi="Times New Roman"/>
          <w:color w:val="000000" w:themeColor="text1"/>
          <w:sz w:val="16"/>
          <w:szCs w:val="16"/>
        </w:rPr>
        <w:softHyphen/>
        <w:t>шая партия за весь период войны. Фактически в ноябре— декабре 1941 г. львиная доля авиавыпуска приходилась на не подвергнувшиеся эвакуации горьковский завод № 21 и сара</w:t>
      </w:r>
      <w:r w:rsidRPr="00640820">
        <w:rPr>
          <w:rFonts w:ascii="Times New Roman" w:hAnsi="Times New Roman"/>
          <w:color w:val="000000" w:themeColor="text1"/>
          <w:sz w:val="16"/>
          <w:szCs w:val="16"/>
        </w:rPr>
        <w:softHyphen/>
        <w:t>товский № 292 (12011).</w:t>
      </w:r>
    </w:p>
    <w:p w14:paraId="5E43C8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95F94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года площадка Мебельной фабрики (производство лыж), куда прибыли заводы №№ 493 и 445 НКАП была передана заводу № 28. Заводы № 493 и 445 не были развернули полностью своего производства и были перебазированы в другое место, а промплощадка. Площадка расположена в юго-западной части Свердловска, около ст. Шарташ (9519).</w:t>
      </w:r>
    </w:p>
    <w:p w14:paraId="12D418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DCA65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ноября 1941 завод № 499 начал выпуск продукции. Завод выпускал десантные кабины к самолетам «Ил-4», учебные планеры «А-2», «А-7» и бен</w:t>
      </w:r>
      <w:r w:rsidRPr="00640820">
        <w:rPr>
          <w:rFonts w:ascii="Times New Roman" w:hAnsi="Times New Roman"/>
          <w:color w:val="000000" w:themeColor="text1"/>
          <w:sz w:val="16"/>
          <w:szCs w:val="16"/>
        </w:rPr>
        <w:softHyphen/>
        <w:t>зиновый планер «А-7Б». Десантный планер «РФ-8» («А-7») был высокоплан деревянной конструкции. Планер имел закрылки, интер</w:t>
      </w:r>
      <w:r w:rsidRPr="00640820">
        <w:rPr>
          <w:rFonts w:ascii="Times New Roman" w:hAnsi="Times New Roman"/>
          <w:color w:val="000000" w:themeColor="text1"/>
          <w:sz w:val="16"/>
          <w:szCs w:val="16"/>
        </w:rPr>
        <w:softHyphen/>
        <w:t>цепторы, двухколесное убирающееся шасси и приборы для ночных полетов. Полезная на</w:t>
      </w:r>
      <w:r w:rsidRPr="00640820">
        <w:rPr>
          <w:rFonts w:ascii="Times New Roman" w:hAnsi="Times New Roman"/>
          <w:color w:val="000000" w:themeColor="text1"/>
          <w:sz w:val="16"/>
          <w:szCs w:val="16"/>
        </w:rPr>
        <w:softHyphen/>
        <w:t>грузка «А-7» составляла около 1000 кг. Такой планер за самолетом-буксировщиком ночью пересекал линию фронта, садился в распо</w:t>
      </w:r>
      <w:r w:rsidRPr="00640820">
        <w:rPr>
          <w:rFonts w:ascii="Times New Roman" w:hAnsi="Times New Roman"/>
          <w:color w:val="000000" w:themeColor="text1"/>
          <w:sz w:val="16"/>
          <w:szCs w:val="16"/>
        </w:rPr>
        <w:softHyphen/>
        <w:t>ложении партизан на небольшие площадки, непригодные для посадки самолетов, и при</w:t>
      </w:r>
      <w:r w:rsidRPr="00640820">
        <w:rPr>
          <w:rFonts w:ascii="Times New Roman" w:hAnsi="Times New Roman"/>
          <w:color w:val="000000" w:themeColor="text1"/>
          <w:sz w:val="16"/>
          <w:szCs w:val="16"/>
        </w:rPr>
        <w:softHyphen/>
        <w:t>возил оружие, медикаменты, боеприпасы. Он участвовал также в доставке антифриза для танков в высадке десантов и подготовке летчиков. Осваивалось производство мото</w:t>
      </w:r>
      <w:r w:rsidRPr="00640820">
        <w:rPr>
          <w:rFonts w:ascii="Times New Roman" w:hAnsi="Times New Roman"/>
          <w:color w:val="000000" w:themeColor="text1"/>
          <w:sz w:val="16"/>
          <w:szCs w:val="16"/>
        </w:rPr>
        <w:softHyphen/>
        <w:t>планеров, в том числе 30-местной вместимо</w:t>
      </w:r>
      <w:r w:rsidRPr="00640820">
        <w:rPr>
          <w:rFonts w:ascii="Times New Roman" w:hAnsi="Times New Roman"/>
          <w:color w:val="000000" w:themeColor="text1"/>
          <w:sz w:val="16"/>
          <w:szCs w:val="16"/>
        </w:rPr>
        <w:softHyphen/>
        <w:t>сти. В 1942 г. заводу поручили модернизацию планера конструкции О. К. Антонова в 11-местный. В результате появился 14-местный планер, названный по инициативе конструк</w:t>
      </w:r>
      <w:r w:rsidRPr="00640820">
        <w:rPr>
          <w:rFonts w:ascii="Times New Roman" w:hAnsi="Times New Roman"/>
          <w:color w:val="000000" w:themeColor="text1"/>
          <w:sz w:val="16"/>
          <w:szCs w:val="16"/>
        </w:rPr>
        <w:softHyphen/>
        <w:t>тора «АМ-14» (Антонов – Москалев) (Хлебный, целебный, лесной : Заводоуков</w:t>
      </w:r>
      <w:r w:rsidRPr="00640820">
        <w:rPr>
          <w:rFonts w:ascii="Times New Roman" w:hAnsi="Times New Roman"/>
          <w:color w:val="000000" w:themeColor="text1"/>
          <w:sz w:val="16"/>
          <w:szCs w:val="16"/>
        </w:rPr>
        <w:softHyphen/>
        <w:t>ский район : Годы. События. Люди. Екате</w:t>
      </w:r>
      <w:r w:rsidRPr="00640820">
        <w:rPr>
          <w:rFonts w:ascii="Times New Roman" w:hAnsi="Times New Roman"/>
          <w:color w:val="000000" w:themeColor="text1"/>
          <w:sz w:val="16"/>
          <w:szCs w:val="16"/>
        </w:rPr>
        <w:softHyphen/>
        <w:t>ринбург : Средне-Урал. книж. изд-во, 2004. С. 102–104.). До ав</w:t>
      </w:r>
      <w:r w:rsidRPr="00640820">
        <w:rPr>
          <w:rFonts w:ascii="Times New Roman" w:hAnsi="Times New Roman"/>
          <w:color w:val="000000" w:themeColor="text1"/>
          <w:sz w:val="16"/>
          <w:szCs w:val="16"/>
        </w:rPr>
        <w:softHyphen/>
        <w:t>густа 1944 г. завод изготовлял планер «А-7Д» (десантный, семиместный), «А-7» (двойного управления), «А-7У» (учебный), а в 1944 г. завод произвел работу по освоению и пере</w:t>
      </w:r>
      <w:r w:rsidRPr="00640820">
        <w:rPr>
          <w:rFonts w:ascii="Times New Roman" w:hAnsi="Times New Roman"/>
          <w:color w:val="000000" w:themeColor="text1"/>
          <w:sz w:val="16"/>
          <w:szCs w:val="16"/>
        </w:rPr>
        <w:softHyphen/>
        <w:t>ходу на серийный выпуск новой машины «АМ-14» (планер четырнадцатиместный). За 1944 г. выпуск продукции в неизменных це</w:t>
      </w:r>
      <w:r w:rsidRPr="00640820">
        <w:rPr>
          <w:rFonts w:ascii="Times New Roman" w:hAnsi="Times New Roman"/>
          <w:color w:val="000000" w:themeColor="text1"/>
          <w:sz w:val="16"/>
          <w:szCs w:val="16"/>
        </w:rPr>
        <w:softHyphen/>
        <w:t>нах по заводу составил: валовая – 12297 тыс. р. при плане 11000 тыс. р. – 111,8 %; товарная – 10452 тыс. р. при плане 11000 тыс. р. – 95,2 %; в том числе оборонная – 9142 тыс. р. при плане 10862 тыс. р. – 84, 1. Планеров изготов</w:t>
      </w:r>
      <w:r w:rsidRPr="00640820">
        <w:rPr>
          <w:rFonts w:ascii="Times New Roman" w:hAnsi="Times New Roman"/>
          <w:color w:val="000000" w:themeColor="text1"/>
          <w:sz w:val="16"/>
          <w:szCs w:val="16"/>
        </w:rPr>
        <w:softHyphen/>
        <w:t>лено 262 единицы при плане 306 (85,1 %) или недодано 44 единицы. Хотя товарной и обо</w:t>
      </w:r>
      <w:r w:rsidRPr="00640820">
        <w:rPr>
          <w:rFonts w:ascii="Times New Roman" w:hAnsi="Times New Roman"/>
          <w:color w:val="000000" w:themeColor="text1"/>
          <w:sz w:val="16"/>
          <w:szCs w:val="16"/>
        </w:rPr>
        <w:softHyphen/>
        <w:t>ронной продукции за 1944 г. было выпущено на 19 % больше, чем в 1943 г. План по произ</w:t>
      </w:r>
      <w:r w:rsidRPr="00640820">
        <w:rPr>
          <w:rFonts w:ascii="Times New Roman" w:hAnsi="Times New Roman"/>
          <w:color w:val="000000" w:themeColor="text1"/>
          <w:sz w:val="16"/>
          <w:szCs w:val="16"/>
        </w:rPr>
        <w:softHyphen/>
        <w:t>водительности труда суммарно выполнен на 118 %. а выработка на одного рабочего – 16,2 тыс. р. (Хлебный, целебный, лесной : Заводоуков</w:t>
      </w:r>
      <w:r w:rsidRPr="00640820">
        <w:rPr>
          <w:rFonts w:ascii="Times New Roman" w:hAnsi="Times New Roman"/>
          <w:color w:val="000000" w:themeColor="text1"/>
          <w:sz w:val="16"/>
          <w:szCs w:val="16"/>
        </w:rPr>
        <w:softHyphen/>
        <w:t>ский район : Годы. События. Люди. Екате</w:t>
      </w:r>
      <w:r w:rsidRPr="00640820">
        <w:rPr>
          <w:rFonts w:ascii="Times New Roman" w:hAnsi="Times New Roman"/>
          <w:color w:val="000000" w:themeColor="text1"/>
          <w:sz w:val="16"/>
          <w:szCs w:val="16"/>
        </w:rPr>
        <w:softHyphen/>
        <w:t>ринбург : Средне-Урал. книж. изд-во, 2004. С. 102–104.) (11896).</w:t>
      </w:r>
    </w:p>
    <w:p w14:paraId="08AA4D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8794E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года на базе оборудования оставленного при эвакуации завода № 3 оргавиапрома, были начаты работы по изготовлению в помощь фронту оборонной продукции – ручных гранат и танковых ломов. К концу 1941 года, что возрождающееся предприятие было оформлено, как филиал завода № 478 (приказ НКАП от 17 декабря 1941 года).</w:t>
      </w:r>
    </w:p>
    <w:p w14:paraId="30CC42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по НКАП от 1 июня 1942 года за № 18 заводу было присвоено наименование “Завод № 3 Оргавиапрома НКАП”.</w:t>
      </w:r>
    </w:p>
    <w:p w14:paraId="2726BC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по НКАП от 1 июня 1944 года за № 377 завод был переименован в завод № 492.</w:t>
      </w:r>
    </w:p>
    <w:p w14:paraId="1408B9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Поскольку завод № 492 организован лишь на территории ранее занимаемой 3-м инструментальным заводом и никакой организационной связи с этим заводом не имел, то официальной датой организации завода № 492 следует считать 17 декабря 1941 года. В 1951 году завод был реорганизован под выпуск пневматического инструмента.</w:t>
      </w:r>
    </w:p>
    <w:p w14:paraId="2DC621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Постановлением от 2 сентября 1957 года за № 5 завод № 492 был передан из Управления авиапромышленности Мосгорсовнархоза в Управление межотраслевых организаций и производств с сохранением производства пневматического инструмента.</w:t>
      </w:r>
    </w:p>
    <w:p w14:paraId="250D12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 А. Терехин</w:t>
      </w:r>
    </w:p>
    <w:p w14:paraId="018A45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Москва, Большой Трехгорный пер., д. 3 (9859).</w:t>
      </w:r>
    </w:p>
    <w:p w14:paraId="309963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7944F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 па старой площадке Инструментального завода № 1 ОАП НКАП, который был эвакуирован в Куйбышев, образован новый завод № 478 НКАП.</w:t>
      </w:r>
    </w:p>
    <w:p w14:paraId="5FC876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выпускал узлы ротора и крыльчатки к турбокомпрессорам. Производство лафетов для пушек В Я (1942 г.). Планировалось начать изготовление колес для Ил-2.</w:t>
      </w:r>
    </w:p>
    <w:p w14:paraId="286807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НКАП № 709с от 18.09.1942 г. Инструментальный завод № 1 ОАП НКАП переименован в завод № 165 НКАП в ведении Управления снабжения.</w:t>
      </w:r>
    </w:p>
    <w:p w14:paraId="39FFE3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 приказу № 459с от 31.07.1943 г. завод № 453 </w:t>
      </w:r>
      <w:r w:rsidRPr="00640820">
        <w:rPr>
          <w:rFonts w:ascii="Times New Roman" w:hAnsi="Times New Roman"/>
          <w:color w:val="000000" w:themeColor="text1"/>
          <w:sz w:val="16"/>
          <w:szCs w:val="16"/>
          <w:lang w:val="en-US"/>
        </w:rPr>
        <w:t>HKAII</w:t>
      </w:r>
      <w:r w:rsidRPr="00640820">
        <w:rPr>
          <w:rFonts w:ascii="Times New Roman" w:hAnsi="Times New Roman"/>
          <w:color w:val="000000" w:themeColor="text1"/>
          <w:sz w:val="16"/>
          <w:szCs w:val="16"/>
        </w:rPr>
        <w:t xml:space="preserve"> (Тушино) реорганизован в филиал завода № 165 ОАП НКАГ1. На нем началась организация производства специнструмента и приспособлений. С завода № 165 из Куйбышева туда для укрепления производства переведена группа рабочих и ИТР (120 чел.). В том же году завод № 165 НКАП переведен на площадку филиала в Тушино.</w:t>
      </w:r>
    </w:p>
    <w:p w14:paraId="28C35B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Производство лафетов для пушки «ВЯ». В 07.1943 г. работы переданы на заводы № 481 и № 454 НКАП. В 05.1944 г. заводу поручено изготовление опытной серии из 5 ТРД С-18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Люльки. В 06.1944 г. заводу поручены работы по изготовлению приспособлений для производства моторов для завода № 466 НКАП, в 08.1944 г.- оказать помощь в изготовлении частей опытного ПуВРД конструкции В.Н. Челомея.</w:t>
      </w:r>
    </w:p>
    <w:p w14:paraId="69A1E3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377с от 2.06.1944 г. завод передан из ОАП в Управление оборудования НКАП.</w:t>
      </w:r>
    </w:p>
    <w:p w14:paraId="029621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 приказу № 705сс от 29.12.1944 г. на заводе началась организация производства пяти опытных образцов ТРД С-18 конструкции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Люльки. Для этого на завод откомандирована группа конструкторов во главе с зам. гл. конструктора Луссом.</w:t>
      </w:r>
    </w:p>
    <w:p w14:paraId="548D1C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соответствии с ПСМ № 472-191 от 26.02.1946 г. и приказом МАП № 182сс от 30.03.1946 г. ГС инструментальный завод № 165 с 1.04.1946 г. передан из Управления оборудования в 8ГУ МАП для развития опытного моторостроения Этим же приказом для расширения работ СКБ гл, конструктора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Люльки при НИИ-1 МАП переведено на самостоятельную базу- завод № 165 МАП и получило название ОКБ-165 МАП. В 08.1957 г. - в ведении ЗГУ МАП. Имел наименования: «п/я 2382», «п/я М-5147» (1.01.1967-82 г.).</w:t>
      </w:r>
    </w:p>
    <w:p w14:paraId="4495D1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479сс от 23.07.1946 г. при заводе № 45 образован филиал завода № 165 (руководитель- С.К. Туманский) для организации производства ТР-1.</w:t>
      </w:r>
    </w:p>
    <w:p w14:paraId="428EC4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1950 г. двигателям ОКБ присвоено наименование «АЛ».</w:t>
      </w:r>
    </w:p>
    <w:p w14:paraId="7A1B97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Решением СМ СССР от 06.1950 г. ОКБ выдано задание на создание ТРД АЛ-5.</w:t>
      </w:r>
    </w:p>
    <w:p w14:paraId="0F97CE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 355-161сс от 2.03.1954 г. начата разработка АЛ-7.</w:t>
      </w:r>
    </w:p>
    <w:p w14:paraId="4DD7E7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01.1955 г. вышло постановление правительства о создании филиала ОКБ в Тураево (далее - Лыткаринский машиностроительный завод «Сатурн»), являвшегося испытательной базой ОКБ. В 1958 г. вступила в строй его первая очередь.</w:t>
      </w:r>
    </w:p>
    <w:p w14:paraId="6EDBA5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1959 г. начались работы по ЖРД. В 1960 г. поручена разработка ЖРД 11Д54 для 3-й ступени РН Н-1, затем проект трансформирован в 11Д57.</w:t>
      </w:r>
    </w:p>
    <w:p w14:paraId="7B57DB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1950-х  г. начаты работы по созданию атомного двигателя (ЯСУ), для этого было организовано КБ-2, в его составе - специальная бригада.</w:t>
      </w:r>
    </w:p>
    <w:p w14:paraId="74995A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1965 г. КБ переехало в новое здание.</w:t>
      </w:r>
    </w:p>
    <w:p w14:paraId="3A3DAE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от 08.1965 г. начата разработка двигателя 3-го поколения - АЛ-21Ф (изд. «85»), 1-й экземпляр собран в 09.1966 г. В 1970 г. создан АЛ-21Ф-3, по решению ВПК от 09.1970 г. и пр. от 28.09.1970 г. его необходимо было представить на госиспытания в 4-м квартале 1970 г.</w:t>
      </w:r>
    </w:p>
    <w:p w14:paraId="6B644B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1960-е  г. разрабатывался воздушно-водородный двигатель </w:t>
      </w:r>
      <w:r w:rsidRPr="00640820">
        <w:rPr>
          <w:rFonts w:ascii="Times New Roman" w:hAnsi="Times New Roman"/>
          <w:color w:val="000000" w:themeColor="text1"/>
          <w:sz w:val="16"/>
          <w:szCs w:val="16"/>
          <w:lang w:val="en-US"/>
        </w:rPr>
        <w:t>AJI</w:t>
      </w:r>
      <w:r w:rsidRPr="00640820">
        <w:rPr>
          <w:rFonts w:ascii="Times New Roman" w:hAnsi="Times New Roman"/>
          <w:color w:val="000000" w:themeColor="text1"/>
          <w:sz w:val="16"/>
          <w:szCs w:val="16"/>
        </w:rPr>
        <w:t xml:space="preserve">-51 для самолета-разгонщика ЭПОС «Спираль», в 1976 г. работы прекращены. С 1981 г. начато создание автономных источников энергии - двигателей для системы «Энергия-Буран», а также посадочных двигателей для ОК «Буран» на базе </w:t>
      </w:r>
      <w:r w:rsidRPr="00640820">
        <w:rPr>
          <w:rFonts w:ascii="Times New Roman" w:hAnsi="Times New Roman"/>
          <w:color w:val="000000" w:themeColor="text1"/>
          <w:sz w:val="16"/>
          <w:szCs w:val="16"/>
          <w:lang w:val="en-US"/>
        </w:rPr>
        <w:t>AJI</w:t>
      </w:r>
      <w:r w:rsidRPr="00640820">
        <w:rPr>
          <w:rFonts w:ascii="Times New Roman" w:hAnsi="Times New Roman"/>
          <w:color w:val="000000" w:themeColor="text1"/>
          <w:sz w:val="16"/>
          <w:szCs w:val="16"/>
        </w:rPr>
        <w:t>-31.</w:t>
      </w:r>
    </w:p>
    <w:p w14:paraId="01A47C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1972 г. начаты работы по АЛ-31Ф, они утверждены Пост. СМ СССР в 1976 г. По приказу МАП № 134 от 10.04.1978 г. начата разработка модификации АЛ-31ФВ. С 1984 г. ресурс АЛ-31Ф увеличен со 100 ч до 1000 ч. 31.03.1992 г. подписан контракт на разработку АЛ-31ФН для Китая. В 2000-е  г. создан модернизированный вариант АЛ-31Ф (изд. 99М1).</w:t>
      </w:r>
    </w:p>
    <w:p w14:paraId="1E415B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1981 г. начаты работы по двигателю 5-го поколения «изд. 20» (АЛ-41Ф) для МФИ, проект завершен в 1984 г. С 1988 г. до 2006 г. в ОКБ собрано 27 двигателей.</w:t>
      </w:r>
      <w:r w:rsidRPr="00640820">
        <w:rPr>
          <w:rFonts w:ascii="Times New Roman" w:hAnsi="Times New Roman"/>
          <w:color w:val="000000" w:themeColor="text1"/>
          <w:sz w:val="16"/>
          <w:szCs w:val="16"/>
          <w:vertAlign w:val="superscript"/>
        </w:rPr>
        <w:t>140</w:t>
      </w:r>
    </w:p>
    <w:p w14:paraId="4C51F3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 от 19.04.1989 г. начаты работы по созданию агрегатов и машин для консервной промышленности. С 1993 г. - работы (совместно с МНПО «Спектр») по дефектоскопу-снаряду для подземных трубопроводов «КОД- 4М».</w:t>
      </w:r>
    </w:p>
    <w:p w14:paraId="7F07C8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1990-е  г. на базе Краснотурьинского ПТП Тюменьтрансгаза создан центр диагностики и восстановительного ремонта стационарных газотурбинных приводов АЛ-31СТ.</w:t>
      </w:r>
    </w:p>
    <w:p w14:paraId="68B1AE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1990-е  г. создано совместное предприятие с швейцарско-шведской фирмой «АВВ». В 2000 г. создана Дирекция лицензионных программ.</w:t>
      </w:r>
    </w:p>
    <w:p w14:paraId="038F03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2000-е  г. продолжались работы по двигателю следующего поколения АЛ-41Ф и АЛ-31ФП с поворотным соплом; двигателя </w:t>
      </w:r>
      <w:r w:rsidRPr="00640820">
        <w:rPr>
          <w:rFonts w:ascii="Times New Roman" w:hAnsi="Times New Roman"/>
          <w:color w:val="000000" w:themeColor="text1"/>
          <w:sz w:val="16"/>
          <w:szCs w:val="16"/>
          <w:lang w:val="en-US"/>
        </w:rPr>
        <w:t>SaM</w:t>
      </w:r>
      <w:r w:rsidRPr="00640820">
        <w:rPr>
          <w:rFonts w:ascii="Times New Roman" w:hAnsi="Times New Roman"/>
          <w:color w:val="000000" w:themeColor="text1"/>
          <w:sz w:val="16"/>
          <w:szCs w:val="16"/>
        </w:rPr>
        <w:t xml:space="preserve"> 146 для </w:t>
      </w:r>
      <w:r w:rsidRPr="00640820">
        <w:rPr>
          <w:rFonts w:ascii="Times New Roman" w:hAnsi="Times New Roman"/>
          <w:color w:val="000000" w:themeColor="text1"/>
          <w:sz w:val="16"/>
          <w:szCs w:val="16"/>
          <w:lang w:val="en-US"/>
        </w:rPr>
        <w:t>RRJ</w:t>
      </w:r>
      <w:r w:rsidRPr="00640820">
        <w:rPr>
          <w:rFonts w:ascii="Times New Roman" w:hAnsi="Times New Roman"/>
          <w:color w:val="000000" w:themeColor="text1"/>
          <w:sz w:val="16"/>
          <w:szCs w:val="16"/>
        </w:rPr>
        <w:t xml:space="preserve">.20. В 2006 г. построено 5 экспериментальных образцов двигателя </w:t>
      </w:r>
      <w:r w:rsidRPr="00640820">
        <w:rPr>
          <w:rFonts w:ascii="Times New Roman" w:hAnsi="Times New Roman"/>
          <w:color w:val="000000" w:themeColor="text1"/>
          <w:sz w:val="16"/>
          <w:szCs w:val="16"/>
          <w:lang w:val="en-US"/>
        </w:rPr>
        <w:t>V</w:t>
      </w:r>
      <w:r w:rsidRPr="00640820">
        <w:rPr>
          <w:rFonts w:ascii="Times New Roman" w:hAnsi="Times New Roman"/>
          <w:color w:val="000000" w:themeColor="text1"/>
          <w:sz w:val="16"/>
          <w:szCs w:val="16"/>
        </w:rPr>
        <w:t xml:space="preserve"> поколения (тема «117С», совместно с УМПО). В 06.2006 г. построен 1-й </w:t>
      </w:r>
      <w:r w:rsidRPr="00640820">
        <w:rPr>
          <w:rFonts w:ascii="Times New Roman" w:hAnsi="Times New Roman"/>
          <w:color w:val="000000" w:themeColor="text1"/>
          <w:sz w:val="16"/>
          <w:szCs w:val="16"/>
          <w:lang w:val="en-US"/>
        </w:rPr>
        <w:t>SaM</w:t>
      </w:r>
      <w:r w:rsidRPr="00640820">
        <w:rPr>
          <w:rFonts w:ascii="Times New Roman" w:hAnsi="Times New Roman"/>
          <w:color w:val="000000" w:themeColor="text1"/>
          <w:sz w:val="16"/>
          <w:szCs w:val="16"/>
        </w:rPr>
        <w:t xml:space="preserve"> 146. В 12.2006 г. пнв АЛ-31ФМ1 (АЛ-31Ф серии 42). Затем создан АЛ-31ФМ2 с улучшенной геометрией турбины и новым поворотным соплом. В 2007 г. создан также АЛ-31ФМЗ-1 с новой камерой сгорания с «двойной стенкой».</w:t>
      </w:r>
    </w:p>
    <w:p w14:paraId="209262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2006 г. заключен контракт на изготовление 200 малоразмерных ТРДД-50МТ для индийского БПЛА </w:t>
      </w:r>
      <w:r w:rsidRPr="00640820">
        <w:rPr>
          <w:rFonts w:ascii="Times New Roman" w:hAnsi="Times New Roman"/>
          <w:color w:val="000000" w:themeColor="text1"/>
          <w:sz w:val="16"/>
          <w:szCs w:val="16"/>
          <w:lang w:val="en-US"/>
        </w:rPr>
        <w:t>Lakshya</w:t>
      </w:r>
      <w:r w:rsidRPr="00640820">
        <w:rPr>
          <w:rFonts w:ascii="Times New Roman" w:hAnsi="Times New Roman"/>
          <w:color w:val="000000" w:themeColor="text1"/>
          <w:sz w:val="16"/>
          <w:szCs w:val="16"/>
        </w:rPr>
        <w:t>.</w:t>
      </w:r>
    </w:p>
    <w:p w14:paraId="2AD814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1963 г. получил название Государственный объединенный завод № 165 ГКАТ. С 1.01.1967 г. - ММЗ «Сатурн». С 6.05.1982 г. - НПО «Сатурн», в него вошли: ММЗ «Сатурн», Лыткаринский МЗ «Сатурн», МКБ «Гранит» и УКБМ. С 25.07.1984 г. - НПО «Сатурн» им.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xml:space="preserve">. Люльки МАП. С 13.12.1993 г. - АООТ, затем - ОАО «А. Люлька-Сатурн». 5.07.2001 г. образовано ОАО «НПО «Сатурн» путем слияния ОКБ «Люлька-Сатурн» и «Рыбинских моторов». ОКБ преобразовано в НТЦ им.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Люльки. По решению правительства № 22-р от 9.01.2004 г. и Указу Президента РФ № 1009 от 4.08.2004 г. ОАО «НПО «Сатурн» вошло в число стратегических оборонных предприятий.</w:t>
      </w:r>
    </w:p>
    <w:p w14:paraId="3E8AA4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(1941 г.)- более 2000 чел.</w:t>
      </w:r>
    </w:p>
    <w:p w14:paraId="67D62F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Директор (1942-12.1944-; 25.04.1946 г.-)- Ю.А. Мизюров, (05.1945 г.)- Бугров, (1954-77 г.)- А.А. Завитаев, (1977- 93 г.)-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Хартов.</w:t>
      </w:r>
      <w:r w:rsidRPr="00640820">
        <w:rPr>
          <w:rFonts w:ascii="Times New Roman" w:hAnsi="Times New Roman"/>
          <w:color w:val="000000" w:themeColor="text1"/>
          <w:sz w:val="16"/>
          <w:szCs w:val="16"/>
          <w:vertAlign w:val="superscript"/>
        </w:rPr>
        <w:t>68</w:t>
      </w:r>
      <w:r w:rsidRPr="00640820">
        <w:rPr>
          <w:rFonts w:ascii="Times New Roman" w:hAnsi="Times New Roman"/>
          <w:color w:val="000000" w:themeColor="text1"/>
          <w:sz w:val="16"/>
          <w:szCs w:val="16"/>
        </w:rPr>
        <w:t xml:space="preserve"> Гендиректор (-1998-2002 г.-)- В.М. Чепкин, В.А. Лебедев.</w:t>
      </w:r>
    </w:p>
    <w:p w14:paraId="1EDD89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Ответственный руководитель (25.04.1946 г.-)-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Люлька.</w:t>
      </w:r>
    </w:p>
    <w:p w14:paraId="33FC41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гендиректора (-2000-02 г.-)- В.А. Лебедев, (-2002-07 г.-)- Е.Ю. Марчуков; по НИОКР/ председатель НТС (2003-04 г.-)- В.М. Чепкин. Зам. гендиректора (2006 г.)- С. Чуклинов.</w:t>
      </w:r>
    </w:p>
    <w:p w14:paraId="6F784E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Гл. конструктор (25.04.1946-56 г.)-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xml:space="preserve">. Люлька. Ген. конструктор (12.1956-84 г.)- академик (1968 г.)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Люлька {23.03.1908-1.06.1984 г.}; и.о. (-03-08.1984 г.)- Ю.П. Марчуков; (08.1984-2003 г.)- В.М. Чепкин {20.09.1933- }, (2003 г.-)- М.Л. Кузменко.</w:t>
      </w:r>
    </w:p>
    <w:p w14:paraId="7570DD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гл., ген. конструктора (1946 г.-)- Э.Э. Лусс, (1960-е)- Ю.Н. Бытев, (1996 г.-)- Е.Ю. Марчуков, (2000 г.)- Ю.П. Марчуков. Зам. гл., ген. конструктора: по атомной тематике (1959 г.)- А.А. Иевлев, по перспективным темам и атомной тематике (1960-е-72 г.-)- А.В. Воронцов (АЛ-31Ф); по стендовым и летным испытаниям (-1976-78 г.-)- Ю.Н. Бытев; И.И. Жуков, (1946-57 г.-)- Э.Э. Лусс, (1946-51 г.-)- И.Ф. Козлов, (-1973-78 г.-)- СЛ. Кувшинников, (-1973-78 г.-&gt;</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Хартов, (1978 г.)- В.К. Кобченко, (1978 г.)- В.А. Горелов, (1997-98 г.)- М.Л. Кузменко, Е.Ю. Марчуков.</w:t>
      </w:r>
    </w:p>
    <w:p w14:paraId="05FFD6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Управляющий директор (2002 г.)- В.А. Лебедев. Директор Дирекции лицензионных программ (2000 г.-)- О.Е. Хлыстова, (2000-е)- В.А. Борисков. Технический директор Дирекции лицензионных программ (2000 г.-)- В.М. Беркович.</w:t>
      </w:r>
    </w:p>
    <w:p w14:paraId="42CB0B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(1980-е)-  Г.И. Зуев.</w:t>
      </w:r>
    </w:p>
    <w:p w14:paraId="028214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производства- А.В. Чуркин (около 20 лет).</w:t>
      </w:r>
    </w:p>
    <w:p w14:paraId="535C9C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конструкторы: (1957-76 г.)- Э.Э. Лусс, (1960-е  г.)- Ю.Н. Бытев (АЛ-21Ф-3), (1964 г.-)- М.А. Кузьмин (11Д57), (1978-96 г.)- Ю.П. Марчуков (Р1БД-14, ТП-22), (1980-е)- М.М. Гойхенберг, (-1992-94 г.-)- А.В. Андреев (11Д57, АЛ-31Ф, -31ФН, -31ФУ, -31ФП); по перспективным разработкам (1982 г.-)- К.Р. Хачатуров, (2003 г.)- М.М. Гойхенберг; (1983-87 г.)- В.К. Кобченко (АЛ-31Ф), (1990-е-2002г-.)- А.И. Волков (АЛ-31ФП, АЛ-55), (-2002- 07 г.-)- Е.Ю. Марчуков, В.М. Андриенко (АЛ-55И), В.В. Кирюхин, М.М. Костюченко (САР), (1990-е)- В.В. Куприк (наземная тематика), В.И. Федюкин (автоматика).</w:t>
      </w:r>
    </w:p>
    <w:p w14:paraId="22FEFE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конструкторов: по САР, летным испытаниям и эксплуатации (1978-98 г.-)- М.М. Костюченко; по испытаниям (1980-е)- Е.Ю. Марчуков; по эксплуатации (1980-е)- В.В. Кирюхин, (2000-е)- Е.В. Балуков; (1994 г.)- А.И. Волков (АЛ-31ФП), М.Ф. Вольман, О.Н. Кошиц, (1980-е)- Н.М. Мэнн, (1990-е)- К.Ю. Сорокин.</w:t>
      </w:r>
    </w:p>
    <w:p w14:paraId="2B77A4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цехов: Н.Н. Якунин.</w:t>
      </w:r>
    </w:p>
    <w:p w14:paraId="27FB82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отдела внешних связей и протокола (2002 г.)- В. Г. Нестеров.</w:t>
      </w:r>
    </w:p>
    <w:p w14:paraId="76BC04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бригад: (2006 г.)- Н.В. Кикоть.</w:t>
      </w:r>
    </w:p>
    <w:p w14:paraId="2601CA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лабораторий: (1970-е)- А.Ф. Кричигина.</w:t>
      </w:r>
    </w:p>
    <w:p w14:paraId="2DB4C8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авиационные ГТД: ТР-1 (1947), ТР-2 (1948), ТР-3 (1948), АЛ-5 (1947-52), экспериментальный «ЭА» (1948), АЛ-7 (1953-56), АЛ-7Ф-1 (1960), АЛ-7Ф-2 (1963), АЛ-21Ф (изд. «85», 1965-70), АЛ-21Ф-2 (изд. « 87»), АЛ-21Ф-3 (изд. «89», 1970), АЛ-31Ф (изд. «99», 1976-85), изд. «12» и «12ф» на базе АЛ-31Ф для аналога ОК «Буран» (1980-е), АЛ-31ФП с поворотным соплом (1989), АЛ-31ФН для Китая (1998), ТВД АЛ-34-1 (1990-е), АЛ- 35, АЛ-37, АЛ-41Ф (изд. «20»), изд. «117А» на базе АЛ-41Ф (2002), изд. «117С» на базе АЛ-31Ф (2006), АЛ-55 (2004), АЛ-55И для Индии (2005); «36», «36МТ» для БПЛА; для надводных кораблей ВМФ М75РУ (2006), М70ФРУ (2007), М90ФР (совместно с «Зоря-Машпроект»); турбостартеры ТС-17 (1949), ТС-19, ТС-20 (1955), ТС- 21, ТС-31М; ЖРД: 11Д54, Д-57 (11Д57) (1959-75) для ракеты Н-1, Д-57М (11Д57М) для РН «Вулкан» (1976); источник питания 5И43 (1958-65) для ЗУР; морской ТВД МТВД-79 (1964-67) для ПЛ авиационной торпеды; АЛ- 51 для ЭПОС (проект, 1976); ракетно-турбовальный двигатель РТВД-14 (изд. «14», 1981-88), его модификация- турбопривод ТП-22 для «Энергия-Буран» («22»); ГДТ для газоперекачивающих станций АЛ-31СТ (1992-94), для электростанций АЛ-31СТЭ (2003);</w:t>
      </w:r>
      <w:r w:rsidRPr="00640820">
        <w:rPr>
          <w:rFonts w:ascii="Times New Roman" w:hAnsi="Times New Roman"/>
          <w:color w:val="000000" w:themeColor="text1"/>
          <w:sz w:val="16"/>
          <w:szCs w:val="16"/>
          <w:vertAlign w:val="superscript"/>
        </w:rPr>
        <w:t>68</w:t>
      </w:r>
      <w:r w:rsidRPr="00640820">
        <w:rPr>
          <w:rFonts w:ascii="Times New Roman" w:hAnsi="Times New Roman"/>
          <w:color w:val="000000" w:themeColor="text1"/>
          <w:sz w:val="16"/>
          <w:szCs w:val="16"/>
        </w:rPr>
        <w:t xml:space="preserve"> проекты: ЯСУ РД-А для М-30 (1950-е), открытого типа ТРДА ПАС для М-60 (1955)</w:t>
      </w:r>
      <w:r w:rsidRPr="00640820">
        <w:rPr>
          <w:rFonts w:ascii="Times New Roman" w:hAnsi="Times New Roman"/>
          <w:color w:val="000000" w:themeColor="text1"/>
          <w:sz w:val="16"/>
          <w:szCs w:val="16"/>
          <w:vertAlign w:val="superscript"/>
        </w:rPr>
        <w:t>93</w:t>
      </w:r>
      <w:r w:rsidRPr="00640820">
        <w:rPr>
          <w:rFonts w:ascii="Times New Roman" w:hAnsi="Times New Roman"/>
          <w:color w:val="000000" w:themeColor="text1"/>
          <w:sz w:val="16"/>
          <w:szCs w:val="16"/>
        </w:rPr>
        <w:t>; дизель СН-6Д 6 л.с. (1986-91); стоматологические электровакуумные печи МТ, МТ-2000, «Русь» (1987- 91); горелка для воздушного шара «Вега-2» (1990-е); дефектоскоп-снаряд «КОД-4М» (1993-98) (11982).</w:t>
      </w:r>
    </w:p>
    <w:p w14:paraId="0B7BE4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B03CA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 на площадке эвакуированного завода № 161 в Москве в образован новый завод № 480 НКАП. По приказу № 13с от 6.01.1942 г. завод № 480 переведен на площадку бывшего завода № 294 НКАП, а все сооружения бывшего завода № 161 переданы в систему НКМВ в распоряжение 1-го завода САМ для производства ППШ (10776).</w:t>
      </w:r>
    </w:p>
    <w:p w14:paraId="4B8263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4266E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 завод № 217 «Геофизика» (Завод № 217 НКОП, НКВ, НКАП, Завод Ф. Швабе, Завод «Геофизика» НКОП, Уральский оптико-механический завод (УОМЗ), ПО УОМЗ, ФГУП «ПО «УОМЗ им. Э.С. Яламова» РАВ, ФАП /г. Москва ул. Кузнецкий мост, 16 (1852 г.); Стромынский пер., 3 (1935 г.);  г. Свердловск/ /620100  г. Екатеринбург ул. Восточная, ЗЗБ тел. 24-81-09/) и КБ эвакуированы в Свердловск.</w:t>
      </w:r>
    </w:p>
    <w:p w14:paraId="316581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месте завода № 217 в Москве в соответствии с пост. ГКО № 1222 от 30.01.1942 г. образован завод № 589 для производства оптических приборов.</w:t>
      </w:r>
    </w:p>
    <w:p w14:paraId="1E1900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в состав завода № 217 был влит патронный завод № 46.</w:t>
      </w:r>
    </w:p>
    <w:p w14:paraId="403E8D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1950 г. завод № 217 реорганизован в УОМЗ с ОКБ при заводе. 5.07.1988 г. на базе завода создано ПО УОМЗ. 25.02.1999 г. предприятие преобразовано в ФГУП.</w:t>
      </w:r>
    </w:p>
    <w:p w14:paraId="3AB735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1994 г. создан Московский филиал УОМЗ. Организатор и руководитель (1994-2004 г.)-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Недодара. Имел также филиалы (2006 г.): Волгоградский, Воронежский, Иркутский, Казанский, Калининградский, Краснодарский, Минское техноторговое дочернее унитарное предприятие, Нижегородский, Новосибирский, Омский, Пермский, Ростовский, Самарский, Санкт-Петербургский, Уральский, Хабаровский.</w:t>
      </w:r>
    </w:p>
    <w:p w14:paraId="218B2A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Имел отделы (2002 г.): продаж; продаж на внешний рынок; продвижения товаров на рынок.</w:t>
      </w:r>
    </w:p>
    <w:p w14:paraId="72E7EF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(2002 г.): сверхточные системы прицеливания, оптико-механические и оптико-электронные системы (ОЭС) поиска, обнаружения и распознавания целей; геодезическая техника (нивелиры, теодолиты, тахеометры, лазерный уровень, светодальномеры); медтехника (неонатальная и реанимационная, инструменты); светотехника (светофоры, указатели улиц и домов, светильники); мелкая оптика (микроскопы, прицелы для охотничего оружия, лупы, зрительные трубы).</w:t>
      </w:r>
    </w:p>
    <w:p w14:paraId="46DA8D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Указу Президента РФ № 1009 от 4.08.2004 г. ФГУП ПО «УОМЗ» вошло в число стратегических оборонных предприятий. В 2005 г. входил в состав НПЦ «Технокомплекс». В 07.2006 г. предприятию присвоено имя Э.С. Яламова.</w:t>
      </w:r>
    </w:p>
    <w:p w14:paraId="498009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предприятия - Центр ВТС (2008 г.)</w:t>
      </w:r>
    </w:p>
    <w:p w14:paraId="5008E7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(1900 г.)- около 100 чел., (1921 г.)- 28 рабочих, (1928 г.)- 415 чел., (1929 г.)- 583 чел., (1930 г.)- 931 чел., (1931 г.)- 1784 чел., (1935 г.)- 1096 чел., (2002 г.)- более 3000 чел.</w:t>
      </w:r>
      <w:r w:rsidRPr="00640820">
        <w:rPr>
          <w:rFonts w:ascii="Times New Roman" w:hAnsi="Times New Roman"/>
          <w:color w:val="000000" w:themeColor="text1"/>
          <w:sz w:val="16"/>
          <w:szCs w:val="16"/>
          <w:vertAlign w:val="superscript"/>
        </w:rPr>
        <w:t>69</w:t>
      </w:r>
    </w:p>
    <w:p w14:paraId="00B305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И.О. директора (-13.01.1934 г.)- Попенок. Директор (13.01.1934-26.05.1938 г.)- И.В. Горшков, (26.05.1938 г.-&gt; С.А. Усачев, (29.07.1938 г.-)- А.И. Мелехов. Гендиректор (1988-21.07.2005 г.)- Э.С. Яламов , (08.2005-06 г.-&gt; С.В. Максин.</w:t>
      </w:r>
    </w:p>
    <w:p w14:paraId="6EF1D2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1-й зам. гендиректора (-2002-11.2004 г.-)- С.В. Максин. Зам. директора: по техчасти (-04.1935-23.11.1937 г.)- Н.С. Бессонов, (23.11.1937 г.-)- А.Н. Ширяев. Зам. гендиректора по продажам и ВЭД (-2002-06 Г.-)-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Элинсон.</w:t>
      </w:r>
    </w:p>
    <w:p w14:paraId="4E1E9F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Технический директор (-08.1934-04.1935 г.-)- Н.С. Бессонов.</w:t>
      </w:r>
    </w:p>
    <w:p w14:paraId="07EC3F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(-06-23.11.1937 г.)- Н.С. Бессонов, (23.11.1937 г.-)- А.Н. Ширяев.</w:t>
      </w:r>
      <w:r w:rsidRPr="00640820">
        <w:rPr>
          <w:rFonts w:ascii="Times New Roman" w:hAnsi="Times New Roman"/>
          <w:color w:val="000000" w:themeColor="text1"/>
          <w:sz w:val="16"/>
          <w:szCs w:val="16"/>
          <w:vertAlign w:val="superscript"/>
        </w:rPr>
        <w:t>139</w:t>
      </w:r>
    </w:p>
    <w:p w14:paraId="0D5AFF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(2006 г.)- Н. Ракович.</w:t>
      </w:r>
    </w:p>
    <w:p w14:paraId="7712CD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цехов: литейного (12.1934 г.)- Криков.</w:t>
      </w:r>
    </w:p>
    <w:p w14:paraId="27517D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кадров (01.1935 г.)- Филякин; (2005 г.)- А.С. Захаров. Директор Центра ВТС (2008 г.)- В.К. Шепелев.</w:t>
      </w:r>
    </w:p>
    <w:p w14:paraId="7C49B6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начальника снабжения (1938 г.)- В.Т. Шмойлов.</w:t>
      </w:r>
    </w:p>
    <w:p w14:paraId="32EC37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бюро: ТНБ (12.1934 г.)- Леонов; материального планирования (-08.1938 г.)- В.А. Звонарев.</w:t>
      </w:r>
    </w:p>
    <w:p w14:paraId="2B06F2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группы промфинплана (04.1935 г.)- Рудяк.</w:t>
      </w:r>
    </w:p>
    <w:p w14:paraId="449DDA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Создано:</w:t>
      </w:r>
      <w:r w:rsidRPr="00640820">
        <w:rPr>
          <w:rFonts w:ascii="Times New Roman" w:hAnsi="Times New Roman"/>
          <w:color w:val="000000" w:themeColor="text1"/>
          <w:sz w:val="16"/>
          <w:szCs w:val="16"/>
        </w:rPr>
        <w:t xml:space="preserve"> авиационный прицел ПКП-В (1938).</w:t>
      </w:r>
    </w:p>
    <w:p w14:paraId="76C2D8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lastRenderedPageBreak/>
        <w:t>Производство:</w:t>
      </w:r>
      <w:r w:rsidRPr="00640820">
        <w:rPr>
          <w:rFonts w:ascii="Times New Roman" w:hAnsi="Times New Roman"/>
          <w:color w:val="000000" w:themeColor="text1"/>
          <w:sz w:val="16"/>
          <w:szCs w:val="16"/>
        </w:rPr>
        <w:t xml:space="preserve"> теодолиты: СК (1928-32)- 10872, КК (1929-32)- 9710, теодолит-10 (1936); нивелиры (1928-36-)- 22146 (1928-32); кипрегель (1928-32)- 17131; гониометр (1929-32)- 11733; микроскопы (1928-32)- 20616;</w:t>
      </w:r>
      <w:r w:rsidRPr="00640820">
        <w:rPr>
          <w:rFonts w:ascii="Times New Roman" w:hAnsi="Times New Roman"/>
          <w:color w:val="000000" w:themeColor="text1"/>
          <w:sz w:val="16"/>
          <w:szCs w:val="16"/>
          <w:vertAlign w:val="superscript"/>
        </w:rPr>
        <w:t xml:space="preserve">147 </w:t>
      </w:r>
      <w:r w:rsidRPr="00640820">
        <w:rPr>
          <w:rFonts w:ascii="Times New Roman" w:hAnsi="Times New Roman"/>
          <w:color w:val="000000" w:themeColor="text1"/>
          <w:sz w:val="16"/>
          <w:szCs w:val="16"/>
        </w:rPr>
        <w:t>буссоли (1930-е), авиасекстанты, октанты (1936); прицелы авиационные ПКП-В (1938), ОПБ-1м (1938); приборы КПП, ТА, КШВ, ВМТ, ТХП, АС (1938).</w:t>
      </w:r>
    </w:p>
    <w:p w14:paraId="2C09AC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КБ завода «Геофизика», завода № 217, ОКБ, ЦКБ ПО «УОМЗ»</w:t>
      </w:r>
    </w:p>
    <w:p w14:paraId="0A3B16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КБ образовано в 1930 г. при заводе. Работы по авиационным прицелам.</w:t>
      </w:r>
    </w:p>
    <w:p w14:paraId="17E76E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УОМЗ образовано 26.03.1957 г.</w:t>
      </w:r>
    </w:p>
    <w:p w14:paraId="248BBF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Руководитель (1930 г.)- Н.В. Данилов. Начальник (1994-2007 г.-)- Н.С. Ракович.</w:t>
      </w:r>
    </w:p>
    <w:p w14:paraId="202C2D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(1988-94 г.)- Н.С. Ракович.</w:t>
      </w:r>
    </w:p>
    <w:p w14:paraId="59D216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конструктора по электронике- Н.С. Ракович.</w:t>
      </w:r>
    </w:p>
    <w:p w14:paraId="6BC067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Создано:</w:t>
      </w:r>
      <w:r w:rsidRPr="00640820">
        <w:rPr>
          <w:rFonts w:ascii="Times New Roman" w:hAnsi="Times New Roman"/>
          <w:color w:val="000000" w:themeColor="text1"/>
          <w:sz w:val="16"/>
          <w:szCs w:val="16"/>
        </w:rPr>
        <w:t xml:space="preserve"> система управления «автопилот» для ЗУР комплекса «Круг»; лазерные дальномеры: «Клен» для МиГ-27, Су-22, «Причал» для Су-25Т, Ка-50, Ми-28; прицельные системы ОЭПС-27 (31Е) для Су-27, ОЭПС-29 (23С) для МиГ-29, И-255Б1 для Су-34; ОЭС: «Самшит», ГОЭС-320, прицеливания 9Ш133 для ОТРК «Ока», ОЭС- 520 для «Охотник» (2005); ОЛС-ЗО для Су-ЗОМКИ, 31Е-МК для Су-30МКК; квантовая оптико-локационная станция: </w:t>
      </w:r>
      <w:r w:rsidRPr="00640820">
        <w:rPr>
          <w:rFonts w:ascii="Times New Roman" w:hAnsi="Times New Roman"/>
          <w:color w:val="000000" w:themeColor="text1"/>
          <w:sz w:val="16"/>
          <w:szCs w:val="16"/>
          <w:lang w:val="en-US"/>
        </w:rPr>
        <w:t>KOJIC</w:t>
      </w:r>
      <w:r w:rsidRPr="00640820">
        <w:rPr>
          <w:rFonts w:ascii="Times New Roman" w:hAnsi="Times New Roman"/>
          <w:color w:val="000000" w:themeColor="text1"/>
          <w:sz w:val="16"/>
          <w:szCs w:val="16"/>
        </w:rPr>
        <w:t xml:space="preserve"> 13 СМ для МиГ-29; </w:t>
      </w:r>
      <w:r w:rsidRPr="00640820">
        <w:rPr>
          <w:rFonts w:ascii="Times New Roman" w:hAnsi="Times New Roman"/>
          <w:color w:val="000000" w:themeColor="text1"/>
          <w:sz w:val="16"/>
          <w:szCs w:val="16"/>
          <w:lang w:val="en-US"/>
        </w:rPr>
        <w:t>KOJIC</w:t>
      </w:r>
      <w:r w:rsidRPr="00640820">
        <w:rPr>
          <w:rFonts w:ascii="Times New Roman" w:hAnsi="Times New Roman"/>
          <w:color w:val="000000" w:themeColor="text1"/>
          <w:sz w:val="16"/>
          <w:szCs w:val="16"/>
        </w:rPr>
        <w:t>-35 для Су-35; системы оптического наблюдения: малогабаритная «700», СОН-112 (2000-е); подвесной оптико-электронный контейнер «Сапсан-Э»; гиростабилизаторы ГС-1, ГС-2, ГС-3 для ИК, ТВ приборов, дальномеров; первый отечественный инкубатор для недоношенных детей, аппарат искусственной вентиляции легких, дефибриллятор (11982).</w:t>
      </w:r>
    </w:p>
    <w:p w14:paraId="4F5BBE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DA72A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на площадке эвакуированного завода № 161 (Завод № 161 НКАП, МАП, Уфимский агрегатный завод, ФГУП, ОАО «Уфимское агрегатное ПО (УАПО)». /г. Москва;  г. Уфа ул. Сталина, 53 (1942 г.); ул. Аксакова, 93 (1947 г.)/) в Москве в 11.1941 г. образован новый завод № 480 НКАП. По приказу № 13с от 6.01.1942 г. завод № 480 переведен на площадку бывшего завода № 294 НКАП, а все сооружения бывшего завода № 161 переданы в систему НКМВ в распоряжение 1-го завода САМ для производства ППП1.</w:t>
      </w:r>
    </w:p>
    <w:p w14:paraId="6112BA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1950-х  г. завод № 161 - в ведении 4ГУ. В соответствии с пост. СМ СССР № 713-342 от 26.06.1957 г. передан в ведение СНХ РСФСР.</w:t>
      </w:r>
    </w:p>
    <w:p w14:paraId="2690C2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Далее переименован в Уфимский агрегатный завод. Вероятно, в 1975 г. завод объединен с ОКБ в Уфимское научно-производственное предприятие (УНПП) «Молния». Далее - ФГУП, затем ОАО УАПО.</w:t>
      </w:r>
    </w:p>
    <w:p w14:paraId="1A8D72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2000 г.: производство электронных систем управления двигателями </w:t>
      </w:r>
      <w:r w:rsidRPr="00640820">
        <w:rPr>
          <w:rFonts w:ascii="Times New Roman" w:hAnsi="Times New Roman"/>
          <w:color w:val="000000" w:themeColor="text1"/>
          <w:sz w:val="16"/>
          <w:szCs w:val="16"/>
          <w:lang w:val="en-US"/>
        </w:rPr>
        <w:t>JIA</w:t>
      </w:r>
      <w:r w:rsidRPr="00640820">
        <w:rPr>
          <w:rFonts w:ascii="Times New Roman" w:hAnsi="Times New Roman"/>
          <w:color w:val="000000" w:themeColor="text1"/>
          <w:sz w:val="16"/>
          <w:szCs w:val="16"/>
        </w:rPr>
        <w:t>, систем электрозажигания авиационных и ракетных двигателей.</w:t>
      </w:r>
    </w:p>
    <w:p w14:paraId="3F6DD4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(07.1940-41 г.)- И.С. Доценко, (1941-03.1942 г.-)- М. Г. Масальский. (-05.1944-05.1946 г.-)- Д.П. Чувилкин.</w:t>
      </w:r>
    </w:p>
    <w:p w14:paraId="737416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авиасвечи (ВОВ) ВГ-2, ВГ-12, ВГ-27, СВ-19, СВ-20; магнето ВСМ; приспособления и инструменты для магнето.</w:t>
      </w:r>
    </w:p>
    <w:p w14:paraId="4782C8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Уфимское НПП (УНПП) «Молния», УАПКО «Молния» МАП</w:t>
      </w:r>
    </w:p>
    <w:p w14:paraId="7F6163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Вероятно, в 1975 г. Уфимский агрегатный завод объединен с ОКБ в Уфимское научно-производственное предприятие (УНПП) «Молния». В 1990 г. - УАПКО «Молния</w:t>
      </w:r>
    </w:p>
    <w:p w14:paraId="56346C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816DCF6" w14:textId="77777777" w:rsidR="00470874" w:rsidRPr="00640820" w:rsidRDefault="00470874" w:rsidP="00640820">
      <w:pPr>
        <w:pStyle w:val="911"/>
        <w:shd w:val="clear" w:color="auto" w:fill="auto"/>
        <w:spacing w:line="240" w:lineRule="auto"/>
        <w:ind w:firstLine="0"/>
        <w:jc w:val="both"/>
        <w:rPr>
          <w:rFonts w:ascii="Times New Roman" w:hAnsi="Times New Roman" w:cs="Times New Roman"/>
          <w:color w:val="0070C0"/>
          <w:sz w:val="16"/>
          <w:szCs w:val="16"/>
        </w:rPr>
      </w:pPr>
      <w:r w:rsidRPr="00640820">
        <w:rPr>
          <w:rStyle w:val="612"/>
          <w:rFonts w:ascii="Times New Roman" w:hAnsi="Times New Roman" w:cs="Times New Roman"/>
          <w:color w:val="0070C0"/>
          <w:sz w:val="16"/>
          <w:szCs w:val="16"/>
          <w:lang w:val="ru-RU"/>
        </w:rPr>
        <w:t>В</w:t>
      </w:r>
      <w:r w:rsidRPr="00640820">
        <w:rPr>
          <w:rStyle w:val="612"/>
          <w:rFonts w:ascii="Times New Roman" w:hAnsi="Times New Roman" w:cs="Times New Roman"/>
          <w:color w:val="0070C0"/>
          <w:sz w:val="16"/>
          <w:szCs w:val="16"/>
        </w:rPr>
        <w:t xml:space="preserve"> ноябре 1941 года проходил </w:t>
      </w:r>
      <w:r w:rsidRPr="00640820">
        <w:rPr>
          <w:rStyle w:val="612"/>
          <w:rFonts w:ascii="Times New Roman" w:hAnsi="Times New Roman" w:cs="Times New Roman"/>
          <w:color w:val="0070C0"/>
          <w:sz w:val="16"/>
          <w:szCs w:val="16"/>
          <w:lang w:val="ru-RU"/>
        </w:rPr>
        <w:t>п</w:t>
      </w:r>
      <w:r w:rsidRPr="00640820">
        <w:rPr>
          <w:rStyle w:val="612"/>
          <w:rFonts w:ascii="Times New Roman" w:hAnsi="Times New Roman" w:cs="Times New Roman"/>
          <w:color w:val="0070C0"/>
          <w:sz w:val="16"/>
          <w:szCs w:val="16"/>
        </w:rPr>
        <w:t>ереход на зимнюю окраску и, разумеется, не единовре</w:t>
      </w:r>
      <w:r w:rsidRPr="00640820">
        <w:rPr>
          <w:rStyle w:val="612"/>
          <w:rFonts w:ascii="Times New Roman" w:hAnsi="Times New Roman" w:cs="Times New Roman"/>
          <w:color w:val="0070C0"/>
          <w:sz w:val="16"/>
          <w:szCs w:val="16"/>
        </w:rPr>
        <w:softHyphen/>
        <w:t>менно - на разных участках фронта, да и в частях одного соединения, сроки могли силь</w:t>
      </w:r>
      <w:r w:rsidRPr="00640820">
        <w:rPr>
          <w:rStyle w:val="612"/>
          <w:rFonts w:ascii="Times New Roman" w:hAnsi="Times New Roman" w:cs="Times New Roman"/>
          <w:color w:val="0070C0"/>
          <w:sz w:val="16"/>
          <w:szCs w:val="16"/>
        </w:rPr>
        <w:softHyphen/>
        <w:t>но отличатся. Одним из первых документально зафиксированных примеров является аварий</w:t>
      </w:r>
      <w:r w:rsidRPr="00640820">
        <w:rPr>
          <w:rStyle w:val="612"/>
          <w:rFonts w:ascii="Times New Roman" w:hAnsi="Times New Roman" w:cs="Times New Roman"/>
          <w:color w:val="0070C0"/>
          <w:sz w:val="16"/>
          <w:szCs w:val="16"/>
        </w:rPr>
        <w:softHyphen/>
        <w:t>ный акт 26-го ИАП 7-го ИАК ПВО Ленинграда, оформленный 14 ноября 1941 года, на фото</w:t>
      </w:r>
      <w:r w:rsidRPr="00640820">
        <w:rPr>
          <w:rStyle w:val="612"/>
          <w:rFonts w:ascii="Times New Roman" w:hAnsi="Times New Roman" w:cs="Times New Roman"/>
          <w:color w:val="0070C0"/>
          <w:sz w:val="16"/>
          <w:szCs w:val="16"/>
        </w:rPr>
        <w:softHyphen/>
        <w:t>графиях из которого хорошо виден тщательно окрашенный белой краской истребитель МиГ- 3 ранних серий выпуска. Кроме фотографий из аварийных актов существует еще довольно значительное количество фотографий само</w:t>
      </w:r>
      <w:r w:rsidRPr="00640820">
        <w:rPr>
          <w:rStyle w:val="612"/>
          <w:rFonts w:ascii="Times New Roman" w:hAnsi="Times New Roman" w:cs="Times New Roman"/>
          <w:color w:val="0070C0"/>
          <w:sz w:val="16"/>
          <w:szCs w:val="16"/>
        </w:rPr>
        <w:softHyphen/>
        <w:t>летов ВВС Северного фронта и Краснознамен</w:t>
      </w:r>
      <w:r w:rsidRPr="00640820">
        <w:rPr>
          <w:rStyle w:val="612"/>
          <w:rFonts w:ascii="Times New Roman" w:hAnsi="Times New Roman" w:cs="Times New Roman"/>
          <w:color w:val="0070C0"/>
          <w:sz w:val="16"/>
          <w:szCs w:val="16"/>
        </w:rPr>
        <w:softHyphen/>
        <w:t>ного Балтийского флота. Практически на всех зимний камуфляж самолетов выполнен весь</w:t>
      </w:r>
      <w:r w:rsidRPr="00640820">
        <w:rPr>
          <w:rStyle w:val="612"/>
          <w:rFonts w:ascii="Times New Roman" w:hAnsi="Times New Roman" w:cs="Times New Roman"/>
          <w:color w:val="0070C0"/>
          <w:sz w:val="16"/>
          <w:szCs w:val="16"/>
        </w:rPr>
        <w:softHyphen/>
        <w:t>ма тщательно, однако из-за отсутствия упоми</w:t>
      </w:r>
      <w:r w:rsidRPr="00640820">
        <w:rPr>
          <w:rStyle w:val="612"/>
          <w:rFonts w:ascii="Times New Roman" w:hAnsi="Times New Roman" w:cs="Times New Roman"/>
          <w:color w:val="0070C0"/>
          <w:sz w:val="16"/>
          <w:szCs w:val="16"/>
        </w:rPr>
        <w:softHyphen/>
        <w:t>наний в документах нет возможности опреде</w:t>
      </w:r>
      <w:r w:rsidRPr="00640820">
        <w:rPr>
          <w:rStyle w:val="612"/>
          <w:rFonts w:ascii="Times New Roman" w:hAnsi="Times New Roman" w:cs="Times New Roman"/>
          <w:color w:val="0070C0"/>
          <w:sz w:val="16"/>
          <w:szCs w:val="16"/>
        </w:rPr>
        <w:softHyphen/>
        <w:t>лить какие краски, кроме МК-7, применяли при этом. Существует большая вероятность приме</w:t>
      </w:r>
      <w:r w:rsidRPr="00640820">
        <w:rPr>
          <w:rStyle w:val="612"/>
          <w:rFonts w:ascii="Times New Roman" w:hAnsi="Times New Roman" w:cs="Times New Roman"/>
          <w:color w:val="0070C0"/>
          <w:sz w:val="16"/>
          <w:szCs w:val="16"/>
        </w:rPr>
        <w:softHyphen/>
        <w:t>нения нитролака «II белый», так как часть самолетов на фотографиях имеет характер</w:t>
      </w:r>
      <w:r w:rsidRPr="00640820">
        <w:rPr>
          <w:rStyle w:val="612"/>
          <w:rFonts w:ascii="Times New Roman" w:hAnsi="Times New Roman" w:cs="Times New Roman"/>
          <w:color w:val="0070C0"/>
          <w:sz w:val="16"/>
          <w:szCs w:val="16"/>
        </w:rPr>
        <w:softHyphen/>
        <w:t>ный блеск. Опознавательные знаки на боль</w:t>
      </w:r>
      <w:r w:rsidRPr="00640820">
        <w:rPr>
          <w:rStyle w:val="612"/>
          <w:rFonts w:ascii="Times New Roman" w:hAnsi="Times New Roman" w:cs="Times New Roman"/>
          <w:color w:val="0070C0"/>
          <w:sz w:val="16"/>
          <w:szCs w:val="16"/>
        </w:rPr>
        <w:softHyphen/>
        <w:t>шинстве самолетов нанесены в шести пози</w:t>
      </w:r>
      <w:r w:rsidRPr="00640820">
        <w:rPr>
          <w:rStyle w:val="612"/>
          <w:rFonts w:ascii="Times New Roman" w:hAnsi="Times New Roman" w:cs="Times New Roman"/>
          <w:color w:val="0070C0"/>
          <w:sz w:val="16"/>
          <w:szCs w:val="16"/>
        </w:rPr>
        <w:softHyphen/>
        <w:t>циях, однако далеко не у всех они были, как положено, увеличенного размера - встре</w:t>
      </w:r>
      <w:r w:rsidRPr="00640820">
        <w:rPr>
          <w:rStyle w:val="612"/>
          <w:rFonts w:ascii="Times New Roman" w:hAnsi="Times New Roman" w:cs="Times New Roman"/>
          <w:color w:val="0070C0"/>
          <w:sz w:val="16"/>
          <w:szCs w:val="16"/>
        </w:rPr>
        <w:softHyphen/>
        <w:t>чаются и машины с довоенным вариантом нанесения, а также со звездами в четырех позициях согласно приказу от 20.06.41 г. Окраска самолетов ВВС СФ и КБФ интересна с той точки зрения, что большинство самолетов, попавших в объективы фотокамер - это маши</w:t>
      </w:r>
      <w:r w:rsidRPr="00640820">
        <w:rPr>
          <w:rStyle w:val="612"/>
          <w:rFonts w:ascii="Times New Roman" w:hAnsi="Times New Roman" w:cs="Times New Roman"/>
          <w:color w:val="0070C0"/>
          <w:sz w:val="16"/>
          <w:szCs w:val="16"/>
        </w:rPr>
        <w:softHyphen/>
        <w:t>ны использовавшиеся в боях лета-осени 1941 года и окрашенные именно в строевых частях или, меньшая часть, в стационарных мастер</w:t>
      </w:r>
      <w:r w:rsidRPr="00640820">
        <w:rPr>
          <w:rStyle w:val="612"/>
          <w:rFonts w:ascii="Times New Roman" w:hAnsi="Times New Roman" w:cs="Times New Roman"/>
          <w:color w:val="0070C0"/>
          <w:sz w:val="16"/>
          <w:szCs w:val="16"/>
        </w:rPr>
        <w:softHyphen/>
        <w:t>ских, рембазах и на заводе №47.</w:t>
      </w:r>
    </w:p>
    <w:p w14:paraId="0027BC76" w14:textId="77777777" w:rsidR="00470874" w:rsidRPr="00640820" w:rsidRDefault="00470874" w:rsidP="00640820">
      <w:pPr>
        <w:shd w:val="clear" w:color="auto" w:fill="FFFFFF"/>
        <w:spacing w:after="0" w:line="240" w:lineRule="auto"/>
        <w:jc w:val="both"/>
        <w:rPr>
          <w:rFonts w:ascii="Times New Roman" w:hAnsi="Times New Roman"/>
          <w:color w:val="0070C0"/>
          <w:sz w:val="16"/>
          <w:szCs w:val="16"/>
        </w:rPr>
      </w:pPr>
      <w:r w:rsidRPr="00640820">
        <w:rPr>
          <w:rStyle w:val="612"/>
          <w:rFonts w:ascii="Times New Roman" w:hAnsi="Times New Roman" w:cs="Times New Roman"/>
          <w:color w:val="0070C0"/>
          <w:sz w:val="16"/>
          <w:szCs w:val="16"/>
        </w:rPr>
        <w:t>На Западном и Калининском фронтах, а также в 6-м ИАК ПВО Москвы, большую часть самолетов также полностью окрашивали в белый цвет. Как и на Северном фронте, в документах частей и соединений отсутствует информация о том, какая использовалась краска: МК-7 или нитролак, но, судя по фото</w:t>
      </w:r>
      <w:r w:rsidRPr="00640820">
        <w:rPr>
          <w:rStyle w:val="612"/>
          <w:rFonts w:ascii="Times New Roman" w:hAnsi="Times New Roman" w:cs="Times New Roman"/>
          <w:color w:val="0070C0"/>
          <w:sz w:val="16"/>
          <w:szCs w:val="16"/>
        </w:rPr>
        <w:softHyphen/>
        <w:t>графиям, использовали оба варианта. При</w:t>
      </w:r>
      <w:r w:rsidRPr="00640820">
        <w:rPr>
          <w:rStyle w:val="612"/>
          <w:rFonts w:ascii="Times New Roman" w:hAnsi="Times New Roman" w:cs="Times New Roman"/>
          <w:color w:val="0070C0"/>
          <w:sz w:val="16"/>
          <w:szCs w:val="16"/>
        </w:rPr>
        <w:softHyphen/>
        <w:t>бывавшие из внутренних округов полки, вооруженные устаревшими самолетами Р-5, Р-Зет, У-2, И-16 тип 5, И-15бис и И-5 та же получили указания перекрасить самолеты в белый цвет, и даже поступившие на вооруже</w:t>
      </w:r>
      <w:r w:rsidRPr="00640820">
        <w:rPr>
          <w:rStyle w:val="612"/>
          <w:rFonts w:ascii="Times New Roman" w:hAnsi="Times New Roman" w:cs="Times New Roman"/>
          <w:color w:val="0070C0"/>
          <w:sz w:val="16"/>
          <w:szCs w:val="16"/>
        </w:rPr>
        <w:softHyphen/>
        <w:t xml:space="preserve">ние 126-го ИАП ПВО истребители </w:t>
      </w:r>
      <w:r w:rsidRPr="00640820">
        <w:rPr>
          <w:rFonts w:ascii="Times New Roman" w:hAnsi="Times New Roman"/>
          <w:color w:val="0070C0"/>
          <w:sz w:val="16"/>
          <w:szCs w:val="16"/>
          <w:lang w:val="en-US"/>
        </w:rPr>
        <w:t>P</w:t>
      </w:r>
      <w:r w:rsidRPr="00640820">
        <w:rPr>
          <w:rFonts w:ascii="Times New Roman" w:hAnsi="Times New Roman"/>
          <w:color w:val="0070C0"/>
          <w:sz w:val="16"/>
          <w:szCs w:val="16"/>
        </w:rPr>
        <w:t>-40 не избежали такой же участи. Особенностью самолетов 6-го ИАК ПВО было строгое нане</w:t>
      </w:r>
      <w:r w:rsidRPr="00640820">
        <w:rPr>
          <w:rFonts w:ascii="Times New Roman" w:hAnsi="Times New Roman"/>
          <w:color w:val="0070C0"/>
          <w:sz w:val="16"/>
          <w:szCs w:val="16"/>
        </w:rPr>
        <w:softHyphen/>
        <w:t>сение опознавательных знаков увеличенного размера в шести позициях.</w:t>
      </w:r>
    </w:p>
    <w:p w14:paraId="0F75AE59" w14:textId="77777777" w:rsidR="00470874" w:rsidRPr="00640820" w:rsidRDefault="00470874" w:rsidP="00640820">
      <w:pPr>
        <w:pStyle w:val="911"/>
        <w:shd w:val="clear" w:color="auto" w:fill="auto"/>
        <w:spacing w:line="240" w:lineRule="auto"/>
        <w:ind w:firstLine="0"/>
        <w:jc w:val="both"/>
        <w:rPr>
          <w:rFonts w:ascii="Times New Roman" w:hAnsi="Times New Roman" w:cs="Times New Roman"/>
          <w:color w:val="0070C0"/>
          <w:sz w:val="16"/>
          <w:szCs w:val="16"/>
        </w:rPr>
      </w:pPr>
      <w:r w:rsidRPr="00640820">
        <w:rPr>
          <w:rFonts w:ascii="Times New Roman" w:hAnsi="Times New Roman" w:cs="Times New Roman"/>
          <w:color w:val="0070C0"/>
          <w:sz w:val="16"/>
          <w:szCs w:val="16"/>
        </w:rPr>
        <w:t>На Юго-Западном и Южном фронтах ситуа</w:t>
      </w:r>
      <w:r w:rsidRPr="00640820">
        <w:rPr>
          <w:rFonts w:ascii="Times New Roman" w:hAnsi="Times New Roman" w:cs="Times New Roman"/>
          <w:color w:val="0070C0"/>
          <w:sz w:val="16"/>
          <w:szCs w:val="16"/>
        </w:rPr>
        <w:softHyphen/>
        <w:t>ция с окраской самолетов была аналогичной. Разумеется, технику также окрашивали в белый цвет, но и тут по поводу типа использованной краски информации практически нет. Тем не менее, как самолеты прибывающих из тыла, так и боевые машины, сохранившиеся с лета-осени 1941 года, все перекрашивались в белый цвет.</w:t>
      </w:r>
    </w:p>
    <w:p w14:paraId="30AE37A5" w14:textId="77777777" w:rsidR="00470874" w:rsidRPr="00640820" w:rsidRDefault="00470874" w:rsidP="00640820">
      <w:pPr>
        <w:shd w:val="clear" w:color="auto" w:fill="FFFFFF"/>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отличие от своих коллег из фронтовой авиации, части дальней авиации (с 5.03.1942 г. - авиации дальнего действия или АДД), вооруженные самолетами Дб-3, Дб-3ф и ТБ-3, к зиме 1941/1942 года практически пол</w:t>
      </w:r>
      <w:r w:rsidRPr="00640820">
        <w:rPr>
          <w:rFonts w:ascii="Times New Roman" w:hAnsi="Times New Roman"/>
          <w:color w:val="0070C0"/>
          <w:sz w:val="16"/>
          <w:szCs w:val="16"/>
        </w:rPr>
        <w:softHyphen/>
        <w:t>ностью перешли на ночную работу, соответ</w:t>
      </w:r>
      <w:r w:rsidRPr="00640820">
        <w:rPr>
          <w:rFonts w:ascii="Times New Roman" w:hAnsi="Times New Roman"/>
          <w:color w:val="0070C0"/>
          <w:sz w:val="16"/>
          <w:szCs w:val="16"/>
        </w:rPr>
        <w:softHyphen/>
        <w:t>ственно, красить технику в белый цвет, оче</w:t>
      </w:r>
      <w:r w:rsidRPr="00640820">
        <w:rPr>
          <w:rFonts w:ascii="Times New Roman" w:hAnsi="Times New Roman"/>
          <w:color w:val="0070C0"/>
          <w:sz w:val="16"/>
          <w:szCs w:val="16"/>
        </w:rPr>
        <w:softHyphen/>
        <w:t>видно, не было острой необходимости, но, тем не менее, во многих полках такая работа проводилась.</w:t>
      </w:r>
    </w:p>
    <w:p w14:paraId="26997656" w14:textId="77777777" w:rsidR="00470874" w:rsidRPr="00640820" w:rsidRDefault="00470874" w:rsidP="00640820">
      <w:pPr>
        <w:pStyle w:val="911"/>
        <w:shd w:val="clear" w:color="auto" w:fill="auto"/>
        <w:spacing w:line="240" w:lineRule="auto"/>
        <w:ind w:firstLine="0"/>
        <w:jc w:val="both"/>
        <w:rPr>
          <w:rFonts w:ascii="Times New Roman" w:hAnsi="Times New Roman" w:cs="Times New Roman"/>
          <w:color w:val="0070C0"/>
          <w:sz w:val="16"/>
          <w:szCs w:val="16"/>
        </w:rPr>
      </w:pPr>
      <w:r w:rsidRPr="00640820">
        <w:rPr>
          <w:rStyle w:val="631"/>
          <w:rFonts w:ascii="Times New Roman" w:hAnsi="Times New Roman" w:cs="Times New Roman"/>
          <w:color w:val="0070C0"/>
          <w:sz w:val="16"/>
          <w:szCs w:val="16"/>
        </w:rPr>
        <w:t>Интересно, что части ВВС в тыловых окру</w:t>
      </w:r>
      <w:r w:rsidRPr="00640820">
        <w:rPr>
          <w:rStyle w:val="631"/>
          <w:rFonts w:ascii="Times New Roman" w:hAnsi="Times New Roman" w:cs="Times New Roman"/>
          <w:color w:val="0070C0"/>
          <w:sz w:val="16"/>
          <w:szCs w:val="16"/>
        </w:rPr>
        <w:softHyphen/>
        <w:t>гах ЗакВО и САВО не переходили на зимний камуфляж, а вот ВВС ДВФ и, видимо, ЗабВО, вероятно, частично, но перекрашивали само</w:t>
      </w:r>
      <w:r w:rsidRPr="00640820">
        <w:rPr>
          <w:rStyle w:val="631"/>
          <w:rFonts w:ascii="Times New Roman" w:hAnsi="Times New Roman" w:cs="Times New Roman"/>
          <w:color w:val="0070C0"/>
          <w:sz w:val="16"/>
          <w:szCs w:val="16"/>
        </w:rPr>
        <w:softHyphen/>
        <w:t>леты в белый цвет, причем синхронно с ВВС действующей армии в ноябре 1941 г.</w:t>
      </w:r>
    </w:p>
    <w:p w14:paraId="685D928A" w14:textId="77777777" w:rsidR="00470874" w:rsidRPr="00640820" w:rsidRDefault="00470874" w:rsidP="00640820">
      <w:pPr>
        <w:pStyle w:val="911"/>
        <w:shd w:val="clear" w:color="auto" w:fill="auto"/>
        <w:spacing w:line="240" w:lineRule="auto"/>
        <w:ind w:firstLine="0"/>
        <w:jc w:val="both"/>
        <w:rPr>
          <w:rFonts w:ascii="Times New Roman" w:hAnsi="Times New Roman" w:cs="Times New Roman"/>
          <w:color w:val="0070C0"/>
          <w:sz w:val="16"/>
          <w:szCs w:val="16"/>
        </w:rPr>
      </w:pPr>
      <w:r w:rsidRPr="00640820">
        <w:rPr>
          <w:rStyle w:val="631"/>
          <w:rFonts w:ascii="Times New Roman" w:hAnsi="Times New Roman" w:cs="Times New Roman"/>
          <w:color w:val="0070C0"/>
          <w:sz w:val="16"/>
          <w:szCs w:val="16"/>
        </w:rPr>
        <w:t>Зачастую, как и в случае с нанесением черно-зеленых камуфляжей, из-за различ</w:t>
      </w:r>
      <w:r w:rsidRPr="00640820">
        <w:rPr>
          <w:rStyle w:val="631"/>
          <w:rFonts w:ascii="Times New Roman" w:hAnsi="Times New Roman" w:cs="Times New Roman"/>
          <w:color w:val="0070C0"/>
          <w:sz w:val="16"/>
          <w:szCs w:val="16"/>
        </w:rPr>
        <w:softHyphen/>
        <w:t>ных причин, вроде отсутствия краски, ограниченного времени и т.п., зачастую самолеты были окрашены специфически - с оставшимися большими неокрашенными кус</w:t>
      </w:r>
      <w:r w:rsidRPr="00640820">
        <w:rPr>
          <w:rStyle w:val="631"/>
          <w:rFonts w:ascii="Times New Roman" w:hAnsi="Times New Roman" w:cs="Times New Roman"/>
          <w:color w:val="0070C0"/>
          <w:sz w:val="16"/>
          <w:szCs w:val="16"/>
        </w:rPr>
        <w:softHyphen/>
        <w:t>ками. Были и исключения: например, на МиГ- 3 из управления 39-й ИАД белую краску нанесли пятнами, образуя, таким образом, импровизированный зимний камуфляж. Такие варианты также использовались, а вот сочетания цветов при этом зависело от исходной окраски самолета, способностей техсостава и применявшейся белой краски.</w:t>
      </w:r>
    </w:p>
    <w:p w14:paraId="577CF3E5" w14:textId="77777777" w:rsidR="00470874" w:rsidRPr="00640820" w:rsidRDefault="00470874" w:rsidP="00640820">
      <w:pPr>
        <w:shd w:val="clear" w:color="auto" w:fill="FFFFFF"/>
        <w:spacing w:after="0" w:line="240" w:lineRule="auto"/>
        <w:jc w:val="both"/>
        <w:rPr>
          <w:rFonts w:ascii="Times New Roman" w:hAnsi="Times New Roman"/>
          <w:color w:val="0070C0"/>
          <w:sz w:val="16"/>
          <w:szCs w:val="16"/>
        </w:rPr>
      </w:pPr>
      <w:r w:rsidRPr="00640820">
        <w:rPr>
          <w:rStyle w:val="631"/>
          <w:rFonts w:ascii="Times New Roman" w:hAnsi="Times New Roman" w:cs="Times New Roman"/>
          <w:color w:val="0070C0"/>
          <w:sz w:val="16"/>
          <w:szCs w:val="16"/>
        </w:rPr>
        <w:t>В некоторых частях не очень строго соблюдался регламент, и самолеты не под</w:t>
      </w:r>
      <w:r w:rsidRPr="00640820">
        <w:rPr>
          <w:rStyle w:val="631"/>
          <w:rFonts w:ascii="Times New Roman" w:hAnsi="Times New Roman" w:cs="Times New Roman"/>
          <w:color w:val="0070C0"/>
          <w:sz w:val="16"/>
          <w:szCs w:val="16"/>
        </w:rPr>
        <w:softHyphen/>
        <w:t>крашивались в процессе эксплуатации. В результате к весне многие машины приобре</w:t>
      </w:r>
      <w:r w:rsidRPr="00640820">
        <w:rPr>
          <w:rStyle w:val="631"/>
          <w:rFonts w:ascii="Times New Roman" w:hAnsi="Times New Roman" w:cs="Times New Roman"/>
          <w:color w:val="0070C0"/>
          <w:sz w:val="16"/>
          <w:szCs w:val="16"/>
        </w:rPr>
        <w:softHyphen/>
        <w:t>ли экзотический вид: белая краска слезала, в первую очередь, с носовой части, обнажая черно-зеленый камуфляж. В документах бес</w:t>
      </w:r>
      <w:r w:rsidRPr="00640820">
        <w:rPr>
          <w:rStyle w:val="631"/>
          <w:rFonts w:ascii="Times New Roman" w:hAnsi="Times New Roman" w:cs="Times New Roman"/>
          <w:color w:val="0070C0"/>
          <w:sz w:val="16"/>
          <w:szCs w:val="16"/>
        </w:rPr>
        <w:softHyphen/>
        <w:t>страстно отмечалось, что «зимняя» окраска снижает аэродинамические свойства само</w:t>
      </w:r>
      <w:r w:rsidRPr="00640820">
        <w:rPr>
          <w:rStyle w:val="631"/>
          <w:rFonts w:ascii="Times New Roman" w:hAnsi="Times New Roman" w:cs="Times New Roman"/>
          <w:color w:val="0070C0"/>
          <w:sz w:val="16"/>
          <w:szCs w:val="16"/>
        </w:rPr>
        <w:softHyphen/>
        <w:t xml:space="preserve">летов: «В зависимости от размеров крупинок </w:t>
      </w:r>
      <w:r w:rsidRPr="00640820">
        <w:rPr>
          <w:rStyle w:val="641"/>
          <w:rFonts w:ascii="Times New Roman" w:hAnsi="Times New Roman" w:cs="Times New Roman"/>
          <w:color w:val="0070C0"/>
          <w:sz w:val="16"/>
          <w:szCs w:val="16"/>
        </w:rPr>
        <w:t>мела зимняя окраска «съедала» от 10 до 25 км/ч скорости. Поэтому при изготовлении МК-7 важным было неукоснительное соблю</w:t>
      </w:r>
      <w:r w:rsidRPr="00640820">
        <w:rPr>
          <w:rStyle w:val="641"/>
          <w:rFonts w:ascii="Times New Roman" w:hAnsi="Times New Roman" w:cs="Times New Roman"/>
          <w:color w:val="0070C0"/>
          <w:sz w:val="16"/>
          <w:szCs w:val="16"/>
        </w:rPr>
        <w:softHyphen/>
        <w:t>дение технологического процесса, что не всегда выполнялось. В ноябре 1942 г. на заводе №36 была забракована партия этой краски из-за непросева мела. Существенно уменьшить потерю скорости и даже свести ее на нет можно было, обработав окрашенные поверхности наждачной бумагой № 1, 00, 000 или даже просто грубой тряпкой по только что просохшему слою, но такие меры во фронтовых условиях были мало реальны». Ну и следует отметить что, разумеется: «...покрытие краской МК-7 было довольно непрочным и, при невыполнении требований инструкции об обновлении, постепенно сти</w:t>
      </w:r>
      <w:r w:rsidRPr="00640820">
        <w:rPr>
          <w:rStyle w:val="641"/>
          <w:rFonts w:ascii="Times New Roman" w:hAnsi="Times New Roman" w:cs="Times New Roman"/>
          <w:color w:val="0070C0"/>
          <w:sz w:val="16"/>
          <w:szCs w:val="16"/>
        </w:rPr>
        <w:softHyphen/>
        <w:t>ралось, все больше и больше обнажая лет</w:t>
      </w:r>
      <w:r w:rsidRPr="00640820">
        <w:rPr>
          <w:rStyle w:val="641"/>
          <w:rFonts w:ascii="Times New Roman" w:hAnsi="Times New Roman" w:cs="Times New Roman"/>
          <w:color w:val="0070C0"/>
          <w:sz w:val="16"/>
          <w:szCs w:val="16"/>
        </w:rPr>
        <w:softHyphen/>
        <w:t>нюю окраску: на самолетах к концу зимы сам собой появлялся так называемый «весен</w:t>
      </w:r>
      <w:r w:rsidRPr="00640820">
        <w:rPr>
          <w:rStyle w:val="641"/>
          <w:rFonts w:ascii="Times New Roman" w:hAnsi="Times New Roman" w:cs="Times New Roman"/>
          <w:color w:val="0070C0"/>
          <w:sz w:val="16"/>
          <w:szCs w:val="16"/>
        </w:rPr>
        <w:softHyphen/>
        <w:t>ний» камуфляж».</w:t>
      </w:r>
    </w:p>
    <w:p w14:paraId="6FA575C6" w14:textId="77777777" w:rsidR="00470874" w:rsidRPr="00640820" w:rsidRDefault="00470874" w:rsidP="00640820">
      <w:pPr>
        <w:pStyle w:val="911"/>
        <w:shd w:val="clear" w:color="auto" w:fill="auto"/>
        <w:spacing w:line="240" w:lineRule="auto"/>
        <w:ind w:firstLine="0"/>
        <w:jc w:val="both"/>
        <w:rPr>
          <w:rFonts w:ascii="Times New Roman" w:hAnsi="Times New Roman" w:cs="Times New Roman"/>
          <w:color w:val="0070C0"/>
          <w:sz w:val="16"/>
          <w:szCs w:val="16"/>
        </w:rPr>
      </w:pPr>
      <w:r w:rsidRPr="00640820">
        <w:rPr>
          <w:rStyle w:val="641"/>
          <w:rFonts w:ascii="Times New Roman" w:hAnsi="Times New Roman" w:cs="Times New Roman"/>
          <w:color w:val="0070C0"/>
          <w:sz w:val="16"/>
          <w:szCs w:val="16"/>
        </w:rPr>
        <w:t>Кроме того, часть машин вообще не пере</w:t>
      </w:r>
      <w:r w:rsidRPr="00640820">
        <w:rPr>
          <w:rStyle w:val="641"/>
          <w:rFonts w:ascii="Times New Roman" w:hAnsi="Times New Roman" w:cs="Times New Roman"/>
          <w:color w:val="0070C0"/>
          <w:sz w:val="16"/>
          <w:szCs w:val="16"/>
        </w:rPr>
        <w:softHyphen/>
        <w:t>крашивали по тем или иным причинам. Зача</w:t>
      </w:r>
      <w:r w:rsidRPr="00640820">
        <w:rPr>
          <w:rStyle w:val="641"/>
          <w:rFonts w:ascii="Times New Roman" w:hAnsi="Times New Roman" w:cs="Times New Roman"/>
          <w:color w:val="0070C0"/>
          <w:sz w:val="16"/>
          <w:szCs w:val="16"/>
        </w:rPr>
        <w:softHyphen/>
        <w:t>стую в строю одного подразделения могли попадать в кадр фотографа самолеты с раз</w:t>
      </w:r>
      <w:r w:rsidRPr="00640820">
        <w:rPr>
          <w:rStyle w:val="641"/>
          <w:rFonts w:ascii="Times New Roman" w:hAnsi="Times New Roman" w:cs="Times New Roman"/>
          <w:color w:val="0070C0"/>
          <w:sz w:val="16"/>
          <w:szCs w:val="16"/>
        </w:rPr>
        <w:softHyphen/>
        <w:t>ными окрасками, как, например, на снимке вручения гвардейского знамени личному составу 12-го гв.ИАП, где в линейке из десяти МиГ-3 три самолета не окрашены в белый цвет вообще, а у одной машины не подкраше</w:t>
      </w:r>
      <w:r w:rsidRPr="00640820">
        <w:rPr>
          <w:rStyle w:val="641"/>
          <w:rFonts w:ascii="Times New Roman" w:hAnsi="Times New Roman" w:cs="Times New Roman"/>
          <w:color w:val="0070C0"/>
          <w:sz w:val="16"/>
          <w:szCs w:val="16"/>
        </w:rPr>
        <w:softHyphen/>
        <w:t>ны замененные при ремонте отъемные части плоскостей. Также показательно фотогра</w:t>
      </w:r>
      <w:r w:rsidRPr="00640820">
        <w:rPr>
          <w:rStyle w:val="641"/>
          <w:rFonts w:ascii="Times New Roman" w:hAnsi="Times New Roman" w:cs="Times New Roman"/>
          <w:color w:val="0070C0"/>
          <w:sz w:val="16"/>
          <w:szCs w:val="16"/>
        </w:rPr>
        <w:softHyphen/>
        <w:t>фии звена И-16 из 4-го гв.ИАП ВВС КБФ, где из трех самолетов один вовсе не имеет белой окраски, а, кроме того, у всех машин по-раз</w:t>
      </w:r>
      <w:r w:rsidRPr="00640820">
        <w:rPr>
          <w:rStyle w:val="641"/>
          <w:rFonts w:ascii="Times New Roman" w:hAnsi="Times New Roman" w:cs="Times New Roman"/>
          <w:color w:val="0070C0"/>
          <w:sz w:val="16"/>
          <w:szCs w:val="16"/>
        </w:rPr>
        <w:softHyphen/>
        <w:t>ному нанесены опознавательные знаки.</w:t>
      </w:r>
    </w:p>
    <w:p w14:paraId="39A4281D" w14:textId="77777777" w:rsidR="00470874" w:rsidRPr="00640820" w:rsidRDefault="00470874" w:rsidP="00640820">
      <w:pPr>
        <w:pStyle w:val="911"/>
        <w:shd w:val="clear" w:color="auto" w:fill="auto"/>
        <w:spacing w:line="240" w:lineRule="auto"/>
        <w:ind w:firstLine="0"/>
        <w:jc w:val="both"/>
        <w:rPr>
          <w:rFonts w:ascii="Times New Roman" w:hAnsi="Times New Roman" w:cs="Times New Roman"/>
          <w:color w:val="0070C0"/>
          <w:sz w:val="16"/>
          <w:szCs w:val="16"/>
        </w:rPr>
      </w:pPr>
      <w:r w:rsidRPr="00640820">
        <w:rPr>
          <w:rStyle w:val="641"/>
          <w:rFonts w:ascii="Times New Roman" w:hAnsi="Times New Roman" w:cs="Times New Roman"/>
          <w:color w:val="0070C0"/>
          <w:sz w:val="16"/>
          <w:szCs w:val="16"/>
        </w:rPr>
        <w:t>На заводах НКАП перекраска в зимнюю маскировочную окраску производилась более упорядоченно, однако в связи с тяже</w:t>
      </w:r>
      <w:r w:rsidRPr="00640820">
        <w:rPr>
          <w:rStyle w:val="641"/>
          <w:rFonts w:ascii="Times New Roman" w:hAnsi="Times New Roman" w:cs="Times New Roman"/>
          <w:color w:val="0070C0"/>
          <w:sz w:val="16"/>
          <w:szCs w:val="16"/>
        </w:rPr>
        <w:softHyphen/>
        <w:t>лым положением из-за эвакуации части предприятий и наращивания производства на других, в заводских документах очень немного информации о переходе на зим</w:t>
      </w:r>
      <w:r w:rsidRPr="00640820">
        <w:rPr>
          <w:rStyle w:val="641"/>
          <w:rFonts w:ascii="Times New Roman" w:hAnsi="Times New Roman" w:cs="Times New Roman"/>
          <w:color w:val="0070C0"/>
          <w:sz w:val="16"/>
          <w:szCs w:val="16"/>
        </w:rPr>
        <w:softHyphen/>
        <w:t>нюю окраску. На данный момент в распоря</w:t>
      </w:r>
      <w:r w:rsidRPr="00640820">
        <w:rPr>
          <w:rStyle w:val="641"/>
          <w:rFonts w:ascii="Times New Roman" w:hAnsi="Times New Roman" w:cs="Times New Roman"/>
          <w:color w:val="0070C0"/>
          <w:sz w:val="16"/>
          <w:szCs w:val="16"/>
        </w:rPr>
        <w:softHyphen/>
        <w:t>жении исследователей имеются соответ</w:t>
      </w:r>
      <w:r w:rsidRPr="00640820">
        <w:rPr>
          <w:rStyle w:val="641"/>
          <w:rFonts w:ascii="Times New Roman" w:hAnsi="Times New Roman" w:cs="Times New Roman"/>
          <w:color w:val="0070C0"/>
          <w:sz w:val="16"/>
          <w:szCs w:val="16"/>
        </w:rPr>
        <w:softHyphen/>
        <w:t>ствующие документы только завода №292.</w:t>
      </w:r>
    </w:p>
    <w:p w14:paraId="69A3ABB0" w14:textId="77777777" w:rsidR="00470874" w:rsidRPr="00640820" w:rsidRDefault="00470874" w:rsidP="00640820">
      <w:pPr>
        <w:shd w:val="clear" w:color="auto" w:fill="FFFFFF"/>
        <w:spacing w:after="0" w:line="240" w:lineRule="auto"/>
        <w:jc w:val="both"/>
        <w:rPr>
          <w:rStyle w:val="641"/>
          <w:rFonts w:ascii="Times New Roman" w:hAnsi="Times New Roman" w:cs="Times New Roman"/>
          <w:color w:val="0070C0"/>
          <w:sz w:val="16"/>
          <w:szCs w:val="16"/>
        </w:rPr>
      </w:pPr>
      <w:r w:rsidRPr="00640820">
        <w:rPr>
          <w:rStyle w:val="641"/>
          <w:rFonts w:ascii="Times New Roman" w:hAnsi="Times New Roman" w:cs="Times New Roman"/>
          <w:color w:val="0070C0"/>
          <w:sz w:val="16"/>
          <w:szCs w:val="16"/>
        </w:rPr>
        <w:t>Из донесения военной приемки известно, что, во-первых, задача на применение зим</w:t>
      </w:r>
      <w:r w:rsidRPr="00640820">
        <w:rPr>
          <w:rStyle w:val="641"/>
          <w:rFonts w:ascii="Times New Roman" w:hAnsi="Times New Roman" w:cs="Times New Roman"/>
          <w:color w:val="0070C0"/>
          <w:sz w:val="16"/>
          <w:szCs w:val="16"/>
        </w:rPr>
        <w:softHyphen/>
        <w:t>ней маскировочной окраски была поставле</w:t>
      </w:r>
      <w:r w:rsidRPr="00640820">
        <w:rPr>
          <w:rStyle w:val="641"/>
          <w:rFonts w:ascii="Times New Roman" w:hAnsi="Times New Roman" w:cs="Times New Roman"/>
          <w:color w:val="0070C0"/>
          <w:sz w:val="16"/>
          <w:szCs w:val="16"/>
        </w:rPr>
        <w:softHyphen/>
        <w:t>на в ноябре 1941 года, во-вторых, краску по типу МК-7 пытались изготовить непосред</w:t>
      </w:r>
      <w:r w:rsidRPr="00640820">
        <w:rPr>
          <w:rStyle w:val="641"/>
          <w:rFonts w:ascii="Times New Roman" w:hAnsi="Times New Roman" w:cs="Times New Roman"/>
          <w:color w:val="0070C0"/>
          <w:sz w:val="16"/>
          <w:szCs w:val="16"/>
        </w:rPr>
        <w:softHyphen/>
        <w:t>ственно на заводе, но из этого ничего не вышло, и, в-третьих, завод красил самолеты нитрокраской, наименование которой доподлинно неизвестно: «Зимний камуф</w:t>
      </w:r>
      <w:r w:rsidRPr="00640820">
        <w:rPr>
          <w:rStyle w:val="641"/>
          <w:rFonts w:ascii="Times New Roman" w:hAnsi="Times New Roman" w:cs="Times New Roman"/>
          <w:color w:val="0070C0"/>
          <w:sz w:val="16"/>
          <w:szCs w:val="16"/>
        </w:rPr>
        <w:softHyphen/>
        <w:t>ляж самолетов окончательно внедрен с 29 ноября, окраска производится белой нитроаской, изготавливаемой нашим заводом, и с 29 ноября все самолеты отправлялись в части с зимним камуфля</w:t>
      </w:r>
      <w:r w:rsidRPr="00640820">
        <w:rPr>
          <w:rStyle w:val="641"/>
          <w:rFonts w:ascii="Times New Roman" w:hAnsi="Times New Roman" w:cs="Times New Roman"/>
          <w:color w:val="0070C0"/>
          <w:sz w:val="16"/>
          <w:szCs w:val="16"/>
        </w:rPr>
        <w:softHyphen/>
        <w:t>жем, но это вызвало необходимость пере</w:t>
      </w:r>
      <w:r w:rsidRPr="00640820">
        <w:rPr>
          <w:rStyle w:val="641"/>
          <w:rFonts w:ascii="Times New Roman" w:hAnsi="Times New Roman" w:cs="Times New Roman"/>
          <w:color w:val="0070C0"/>
          <w:sz w:val="16"/>
          <w:szCs w:val="16"/>
        </w:rPr>
        <w:softHyphen/>
        <w:t>краски всех находящихся на аэродроме самолетов. Предварительно завод пытался создать зимний камуфляж смываемой белой краской на казеиновом клею, но практика эксплуатации нескольких самоле</w:t>
      </w:r>
      <w:r w:rsidRPr="00640820">
        <w:rPr>
          <w:rStyle w:val="641"/>
          <w:rFonts w:ascii="Times New Roman" w:hAnsi="Times New Roman" w:cs="Times New Roman"/>
          <w:color w:val="0070C0"/>
          <w:sz w:val="16"/>
          <w:szCs w:val="16"/>
        </w:rPr>
        <w:softHyphen/>
        <w:t>тов с этой краской показала полную непри</w:t>
      </w:r>
      <w:r w:rsidRPr="00640820">
        <w:rPr>
          <w:rStyle w:val="641"/>
          <w:rFonts w:ascii="Times New Roman" w:hAnsi="Times New Roman" w:cs="Times New Roman"/>
          <w:color w:val="0070C0"/>
          <w:sz w:val="16"/>
          <w:szCs w:val="16"/>
        </w:rPr>
        <w:softHyphen/>
        <w:t>годность, и самолеты пришлось заводу перекрашивать».</w:t>
      </w:r>
    </w:p>
    <w:p w14:paraId="46FE5FE5" w14:textId="77777777" w:rsidR="00470874" w:rsidRPr="00640820" w:rsidRDefault="00470874" w:rsidP="00640820">
      <w:pPr>
        <w:pStyle w:val="911"/>
        <w:shd w:val="clear" w:color="auto" w:fill="auto"/>
        <w:spacing w:line="240" w:lineRule="auto"/>
        <w:ind w:firstLine="0"/>
        <w:jc w:val="both"/>
        <w:rPr>
          <w:rFonts w:ascii="Times New Roman" w:hAnsi="Times New Roman" w:cs="Times New Roman"/>
          <w:color w:val="0070C0"/>
          <w:sz w:val="16"/>
          <w:szCs w:val="16"/>
        </w:rPr>
      </w:pPr>
      <w:r w:rsidRPr="00640820">
        <w:rPr>
          <w:rStyle w:val="651"/>
          <w:rFonts w:ascii="Times New Roman" w:hAnsi="Times New Roman" w:cs="Times New Roman"/>
          <w:color w:val="0070C0"/>
          <w:sz w:val="16"/>
          <w:szCs w:val="16"/>
        </w:rPr>
        <w:t>Первыми самолеты с новой окраской получили летчики 10, 66, 236, 237, 296, 211 и 562-го ИАП [14]. Судя по четко атрибутиро</w:t>
      </w:r>
      <w:r w:rsidRPr="00640820">
        <w:rPr>
          <w:rStyle w:val="651"/>
          <w:rFonts w:ascii="Times New Roman" w:hAnsi="Times New Roman" w:cs="Times New Roman"/>
          <w:color w:val="0070C0"/>
          <w:sz w:val="16"/>
          <w:szCs w:val="16"/>
        </w:rPr>
        <w:softHyphen/>
        <w:t>ванным фотографиям самолетов 66, 236 и 562-го ИАП, самолеты полностью окрашены ровным слоем белой краски, то есть краска, очевидно, распылялась пульверизатором, опознавательные знаки в шести позициях, тактические номера наносились в задней части фюзеляжа.</w:t>
      </w:r>
    </w:p>
    <w:p w14:paraId="27B1AFAE" w14:textId="77777777" w:rsidR="00470874" w:rsidRPr="00640820" w:rsidRDefault="00470874" w:rsidP="00640820">
      <w:pPr>
        <w:pStyle w:val="911"/>
        <w:shd w:val="clear" w:color="auto" w:fill="auto"/>
        <w:spacing w:line="240" w:lineRule="auto"/>
        <w:ind w:firstLine="0"/>
        <w:jc w:val="both"/>
        <w:rPr>
          <w:rFonts w:ascii="Times New Roman" w:hAnsi="Times New Roman" w:cs="Times New Roman"/>
          <w:color w:val="0070C0"/>
          <w:sz w:val="16"/>
          <w:szCs w:val="16"/>
        </w:rPr>
      </w:pPr>
      <w:r w:rsidRPr="00640820">
        <w:rPr>
          <w:rStyle w:val="651"/>
          <w:rFonts w:ascii="Times New Roman" w:hAnsi="Times New Roman" w:cs="Times New Roman"/>
          <w:color w:val="0070C0"/>
          <w:sz w:val="16"/>
          <w:szCs w:val="16"/>
        </w:rPr>
        <w:t>Некоторую информацию о том, как окраши</w:t>
      </w:r>
      <w:r w:rsidRPr="00640820">
        <w:rPr>
          <w:rStyle w:val="651"/>
          <w:rFonts w:ascii="Times New Roman" w:hAnsi="Times New Roman" w:cs="Times New Roman"/>
          <w:color w:val="0070C0"/>
          <w:sz w:val="16"/>
          <w:szCs w:val="16"/>
        </w:rPr>
        <w:softHyphen/>
        <w:t>вались самолеты ЛаГГ-3 на заводе №21, можно почерпнуть из аварийных актов на самолеты, разбитые при приемке на заводском аэродро</w:t>
      </w:r>
      <w:r w:rsidRPr="00640820">
        <w:rPr>
          <w:rStyle w:val="651"/>
          <w:rFonts w:ascii="Times New Roman" w:hAnsi="Times New Roman" w:cs="Times New Roman"/>
          <w:color w:val="0070C0"/>
          <w:sz w:val="16"/>
          <w:szCs w:val="16"/>
        </w:rPr>
        <w:softHyphen/>
        <w:t>ме, и из фотографий, сделанных во 2-м ЗАП, где проходили переучивание большинство пол</w:t>
      </w:r>
      <w:r w:rsidRPr="00640820">
        <w:rPr>
          <w:rStyle w:val="651"/>
          <w:rFonts w:ascii="Times New Roman" w:hAnsi="Times New Roman" w:cs="Times New Roman"/>
          <w:color w:val="0070C0"/>
          <w:sz w:val="16"/>
          <w:szCs w:val="16"/>
        </w:rPr>
        <w:softHyphen/>
        <w:t>ков, перевооружаемых на ЛаГГ-3. Из аварий</w:t>
      </w:r>
      <w:r w:rsidRPr="00640820">
        <w:rPr>
          <w:rStyle w:val="651"/>
          <w:rFonts w:ascii="Times New Roman" w:hAnsi="Times New Roman" w:cs="Times New Roman"/>
          <w:color w:val="0070C0"/>
          <w:sz w:val="16"/>
          <w:szCs w:val="16"/>
        </w:rPr>
        <w:softHyphen/>
        <w:t>ных актов завода ясно, что, как минимум, с декабря 1941 года до конца марта 1942 года самолеты завода №21 выпускались в белой окраске, опознавательные знаки увеличенно</w:t>
      </w:r>
      <w:r w:rsidRPr="00640820">
        <w:rPr>
          <w:rStyle w:val="651"/>
          <w:rFonts w:ascii="Times New Roman" w:hAnsi="Times New Roman" w:cs="Times New Roman"/>
          <w:color w:val="0070C0"/>
          <w:sz w:val="16"/>
          <w:szCs w:val="16"/>
        </w:rPr>
        <w:softHyphen/>
        <w:t>го размера они несли в шести позициях.</w:t>
      </w:r>
    </w:p>
    <w:p w14:paraId="66AD77BB" w14:textId="77777777" w:rsidR="00470874" w:rsidRPr="00640820" w:rsidRDefault="00470874" w:rsidP="00640820">
      <w:pPr>
        <w:shd w:val="clear" w:color="auto" w:fill="FFFFFF"/>
        <w:spacing w:after="0" w:line="240" w:lineRule="auto"/>
        <w:jc w:val="both"/>
        <w:rPr>
          <w:rStyle w:val="641"/>
          <w:rFonts w:ascii="Times New Roman" w:hAnsi="Times New Roman" w:cs="Times New Roman"/>
          <w:color w:val="0070C0"/>
          <w:sz w:val="16"/>
          <w:szCs w:val="16"/>
        </w:rPr>
      </w:pPr>
      <w:r w:rsidRPr="00640820">
        <w:rPr>
          <w:rStyle w:val="651"/>
          <w:rFonts w:ascii="Times New Roman" w:hAnsi="Times New Roman" w:cs="Times New Roman"/>
          <w:color w:val="0070C0"/>
          <w:sz w:val="16"/>
          <w:szCs w:val="16"/>
        </w:rPr>
        <w:lastRenderedPageBreak/>
        <w:t>Еще одним поставщиком окрашенных в зимний камуфляж самолетов стали москов</w:t>
      </w:r>
      <w:r w:rsidRPr="00640820">
        <w:rPr>
          <w:rStyle w:val="651"/>
          <w:rFonts w:ascii="Times New Roman" w:hAnsi="Times New Roman" w:cs="Times New Roman"/>
          <w:color w:val="0070C0"/>
          <w:sz w:val="16"/>
          <w:szCs w:val="16"/>
        </w:rPr>
        <w:softHyphen/>
        <w:t>ские авизаводы, которые после эвакуации начали ремонтировать неисправную мат- часть. Так, большую серию фотографий сде</w:t>
      </w:r>
      <w:r w:rsidRPr="00640820">
        <w:rPr>
          <w:rStyle w:val="651"/>
          <w:rFonts w:ascii="Times New Roman" w:hAnsi="Times New Roman" w:cs="Times New Roman"/>
          <w:color w:val="0070C0"/>
          <w:sz w:val="16"/>
          <w:szCs w:val="16"/>
        </w:rPr>
        <w:softHyphen/>
        <w:t>лали на заводе №30 и, видимо, несколько кадров на заводе №39 и 301. На снимках ремонт самолетов МиГ-3, И-16, Ил-2 и Пе-3, хорошо видно, что на разных заводах боевые машины окрашивали по-разному и, очевид</w:t>
      </w:r>
      <w:r w:rsidRPr="00640820">
        <w:rPr>
          <w:rStyle w:val="651"/>
          <w:rFonts w:ascii="Times New Roman" w:hAnsi="Times New Roman" w:cs="Times New Roman"/>
          <w:color w:val="0070C0"/>
          <w:sz w:val="16"/>
          <w:szCs w:val="16"/>
        </w:rPr>
        <w:softHyphen/>
        <w:t>но, разными красками: как МК-7, так и нитро</w:t>
      </w:r>
      <w:r w:rsidRPr="00640820">
        <w:rPr>
          <w:rStyle w:val="651"/>
          <w:rFonts w:ascii="Times New Roman" w:hAnsi="Times New Roman" w:cs="Times New Roman"/>
          <w:color w:val="0070C0"/>
          <w:sz w:val="16"/>
          <w:szCs w:val="16"/>
        </w:rPr>
        <w:softHyphen/>
        <w:t>лаком 11б</w:t>
      </w:r>
      <w:r w:rsidRPr="00640820">
        <w:rPr>
          <w:rStyle w:val="641"/>
          <w:rFonts w:ascii="Times New Roman" w:hAnsi="Times New Roman" w:cs="Times New Roman"/>
          <w:color w:val="0070C0"/>
          <w:sz w:val="16"/>
          <w:szCs w:val="16"/>
        </w:rPr>
        <w:t xml:space="preserve"> (19888).</w:t>
      </w:r>
    </w:p>
    <w:p w14:paraId="7FFA8A99" w14:textId="77777777" w:rsidR="00333A9C" w:rsidRPr="00640820" w:rsidRDefault="00333A9C" w:rsidP="00640820">
      <w:pPr>
        <w:shd w:val="clear" w:color="auto" w:fill="FFFFFF"/>
        <w:spacing w:after="0" w:line="240" w:lineRule="auto"/>
        <w:jc w:val="both"/>
        <w:rPr>
          <w:rFonts w:ascii="Times New Roman" w:hAnsi="Times New Roman"/>
          <w:color w:val="000000" w:themeColor="text1"/>
          <w:sz w:val="16"/>
          <w:szCs w:val="16"/>
        </w:rPr>
      </w:pPr>
    </w:p>
    <w:p w14:paraId="3420A900" w14:textId="3E5C8F84" w:rsidR="00F24BA9" w:rsidRPr="00640820" w:rsidRDefault="00F24BA9"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года в Казани по заданию Наркомата боеприпасов СССР организуется Спецпроизводство по выпуску авиационных боеприпасов типа “Огневой мешок” (15467).</w:t>
      </w:r>
    </w:p>
    <w:p w14:paraId="64002CC8" w14:textId="77777777" w:rsidR="00F24BA9" w:rsidRPr="00640820" w:rsidRDefault="00F24BA9" w:rsidP="00640820">
      <w:pPr>
        <w:pStyle w:val="ae"/>
        <w:spacing w:before="0" w:after="0"/>
        <w:jc w:val="both"/>
        <w:rPr>
          <w:color w:val="000000" w:themeColor="text1"/>
          <w:sz w:val="16"/>
          <w:szCs w:val="16"/>
        </w:rPr>
      </w:pPr>
    </w:p>
    <w:p w14:paraId="75C2CEF1" w14:textId="77777777" w:rsidR="00F24BA9" w:rsidRPr="00640820" w:rsidRDefault="00F24BA9" w:rsidP="00640820">
      <w:pPr>
        <w:pStyle w:val="ae"/>
        <w:spacing w:before="0" w:after="0"/>
        <w:jc w:val="both"/>
        <w:rPr>
          <w:color w:val="000000" w:themeColor="text1"/>
          <w:sz w:val="16"/>
          <w:szCs w:val="16"/>
        </w:rPr>
      </w:pPr>
      <w:r w:rsidRPr="00640820">
        <w:rPr>
          <w:color w:val="000000" w:themeColor="text1"/>
          <w:sz w:val="16"/>
          <w:szCs w:val="16"/>
        </w:rPr>
        <w:t>В ноябре 1941 года по заданию Наркомата боеприпасов СССР организуется Спецпроизводство по выпуску авиационных боеприпасов типа “Огневой мешок”, получившее в дальнейшем номер 1 (15467).</w:t>
      </w:r>
    </w:p>
    <w:p w14:paraId="4D89EF08" w14:textId="77777777" w:rsidR="00F24BA9" w:rsidRPr="00640820" w:rsidRDefault="00F24BA9" w:rsidP="00640820">
      <w:pPr>
        <w:pStyle w:val="ae"/>
        <w:spacing w:before="0" w:after="0"/>
        <w:jc w:val="both"/>
        <w:rPr>
          <w:color w:val="000000" w:themeColor="text1"/>
          <w:sz w:val="16"/>
          <w:szCs w:val="16"/>
        </w:rPr>
      </w:pPr>
    </w:p>
    <w:p w14:paraId="3FA3ECEF" w14:textId="77777777" w:rsidR="002A5DE2" w:rsidRPr="00640820" w:rsidRDefault="002A5DE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shd w:val="clear" w:color="auto" w:fill="FFFFFF"/>
        </w:rPr>
        <w:t>В ноябре 1941 года в Казани по заданию Наркомата боеприпасов СССР организуется Спецпроизводство по выпуску авиационных боеприпасов типа “Огневой мешок” (19699).</w:t>
      </w:r>
    </w:p>
    <w:p w14:paraId="0EC55D4D" w14:textId="77777777" w:rsidR="002A5DE2" w:rsidRPr="00640820" w:rsidRDefault="002A5DE2" w:rsidP="00640820">
      <w:pPr>
        <w:spacing w:after="0" w:line="240" w:lineRule="auto"/>
        <w:jc w:val="both"/>
        <w:rPr>
          <w:rFonts w:ascii="Times New Roman" w:hAnsi="Times New Roman"/>
          <w:color w:val="000000" w:themeColor="text1"/>
          <w:sz w:val="16"/>
          <w:szCs w:val="16"/>
        </w:rPr>
      </w:pPr>
    </w:p>
    <w:p w14:paraId="44990998" w14:textId="77777777" w:rsidR="002A5DE2" w:rsidRPr="00640820" w:rsidRDefault="002A5DE2" w:rsidP="00640820">
      <w:pPr>
        <w:spacing w:after="0" w:line="240" w:lineRule="auto"/>
        <w:jc w:val="both"/>
        <w:rPr>
          <w:rFonts w:ascii="Times New Roman" w:hAnsi="Times New Roman"/>
          <w:color w:val="000000" w:themeColor="text1"/>
          <w:sz w:val="16"/>
          <w:szCs w:val="16"/>
          <w:shd w:val="clear" w:color="auto" w:fill="FFFFFF"/>
        </w:rPr>
      </w:pPr>
      <w:r w:rsidRPr="00640820">
        <w:rPr>
          <w:rFonts w:ascii="Times New Roman" w:hAnsi="Times New Roman"/>
          <w:color w:val="000000" w:themeColor="text1"/>
          <w:sz w:val="16"/>
          <w:szCs w:val="16"/>
          <w:shd w:val="clear" w:color="auto" w:fill="FFFFFF"/>
        </w:rPr>
        <w:t>В ноябре 1941 года по заданию Наркомата боеприпасов СССР организуется Спецпроизводство по выпуску авиационных боеприпасов типа “Огневой мешок”, получившее в дальнейшем номер 1.</w:t>
      </w:r>
    </w:p>
    <w:p w14:paraId="3E11F605" w14:textId="77777777" w:rsidR="002A5DE2" w:rsidRPr="00640820" w:rsidRDefault="002A5DE2" w:rsidP="00640820">
      <w:pPr>
        <w:spacing w:after="0" w:line="240" w:lineRule="auto"/>
        <w:jc w:val="both"/>
        <w:rPr>
          <w:rFonts w:ascii="Times New Roman" w:hAnsi="Times New Roman"/>
          <w:color w:val="000000" w:themeColor="text1"/>
          <w:sz w:val="16"/>
          <w:szCs w:val="16"/>
          <w:shd w:val="clear" w:color="auto" w:fill="FFFFFF"/>
        </w:rPr>
      </w:pPr>
      <w:r w:rsidRPr="00640820">
        <w:rPr>
          <w:rFonts w:ascii="Times New Roman" w:hAnsi="Times New Roman"/>
          <w:color w:val="000000" w:themeColor="text1"/>
          <w:sz w:val="16"/>
          <w:szCs w:val="16"/>
          <w:shd w:val="clear" w:color="auto" w:fill="FFFFFF"/>
        </w:rPr>
        <w:t>Современному поколению такой боеприпас не знаком. Что же он собою представлял?</w:t>
      </w:r>
    </w:p>
    <w:p w14:paraId="5217E393" w14:textId="77777777" w:rsidR="002A5DE2" w:rsidRPr="00640820" w:rsidRDefault="002A5DE2" w:rsidP="00640820">
      <w:pPr>
        <w:spacing w:after="0" w:line="240" w:lineRule="auto"/>
        <w:jc w:val="both"/>
        <w:rPr>
          <w:rFonts w:ascii="Times New Roman" w:hAnsi="Times New Roman"/>
          <w:color w:val="000000" w:themeColor="text1"/>
          <w:sz w:val="16"/>
          <w:szCs w:val="16"/>
          <w:shd w:val="clear" w:color="auto" w:fill="FFFFFF"/>
        </w:rPr>
      </w:pPr>
      <w:r w:rsidRPr="00640820">
        <w:rPr>
          <w:rFonts w:ascii="Times New Roman" w:hAnsi="Times New Roman"/>
          <w:color w:val="000000" w:themeColor="text1"/>
          <w:sz w:val="16"/>
          <w:szCs w:val="16"/>
          <w:shd w:val="clear" w:color="auto" w:fill="FFFFFF"/>
        </w:rPr>
        <w:t>Это было простое и довольно эффективное зажигательное средство для борьбы с боевой техникой и живой силой противника, рожденное в первые дни Великой Отечественной войны, аналог легендарных “зажигательных бутылок”, только объемом побольше. Оно представляло собой мешок из бензостойкой клеенчатой ткани или даже многослойной крафт-целлюлозной бумаги, заполненной зажигательной жидкостью и снабженной запальным устройством для распыления и воспламенения содержимого мешка на нужной высоте. В качестве зажигательной жидкости служил технический (автомобильный или авиационный) бензин, загущенный добавкой порошка ОП-2. Запальное устройство было собрано на деревянном блоке (пробке), вставляемом в горловину мешка, и состояло из терочного воспламенителя, пиротехнического замедлителя и разрывного заряда в картонной трубке.</w:t>
      </w:r>
    </w:p>
    <w:p w14:paraId="79825C5C" w14:textId="77777777" w:rsidR="002A5DE2" w:rsidRPr="00640820" w:rsidRDefault="002A5DE2" w:rsidP="00640820">
      <w:pPr>
        <w:spacing w:after="0" w:line="240" w:lineRule="auto"/>
        <w:jc w:val="both"/>
        <w:rPr>
          <w:rFonts w:ascii="Times New Roman" w:hAnsi="Times New Roman"/>
          <w:color w:val="000000" w:themeColor="text1"/>
          <w:sz w:val="16"/>
          <w:szCs w:val="16"/>
          <w:shd w:val="clear" w:color="auto" w:fill="FFFFFF"/>
        </w:rPr>
      </w:pPr>
      <w:r w:rsidRPr="00640820">
        <w:rPr>
          <w:rFonts w:ascii="Times New Roman" w:hAnsi="Times New Roman"/>
          <w:color w:val="000000" w:themeColor="text1"/>
          <w:sz w:val="16"/>
          <w:szCs w:val="16"/>
          <w:shd w:val="clear" w:color="auto" w:fill="FFFFFF"/>
        </w:rPr>
        <w:t>Боеприпас предназначался для вооружения особых авиагрупп, вылетающих на ночные бомбардировки в тыл врага на самолетах У-2 и По-2. Мешки заправляли бензином на аэродромах непосредственно перед вылетом самолетов. В горловину заполненного мешка вставляли запальный блок и обвязывали бечевкой. В таком виде он был готов к применению. Сбрасывали мешки с самолетов вручную или с помощью подкрыльных кассет (по 2 мешка на кассету).</w:t>
      </w:r>
    </w:p>
    <w:p w14:paraId="191E2D16" w14:textId="77777777" w:rsidR="002A5DE2" w:rsidRPr="00640820" w:rsidRDefault="002A5DE2" w:rsidP="00640820">
      <w:pPr>
        <w:spacing w:after="0" w:line="240" w:lineRule="auto"/>
        <w:jc w:val="both"/>
        <w:rPr>
          <w:rFonts w:ascii="Times New Roman" w:hAnsi="Times New Roman"/>
          <w:color w:val="000000" w:themeColor="text1"/>
          <w:sz w:val="16"/>
          <w:szCs w:val="16"/>
          <w:shd w:val="clear" w:color="auto" w:fill="FFFFFF"/>
        </w:rPr>
      </w:pPr>
      <w:r w:rsidRPr="00640820">
        <w:rPr>
          <w:rFonts w:ascii="Times New Roman" w:hAnsi="Times New Roman"/>
          <w:color w:val="000000" w:themeColor="text1"/>
          <w:sz w:val="16"/>
          <w:szCs w:val="16"/>
          <w:shd w:val="clear" w:color="auto" w:fill="FFFFFF"/>
        </w:rPr>
        <w:t>Основное преимущество боеприпаса – доступность исходных материалов и простота изготовления, что имело решающее значение на том этапе войны. Серийное производство мешков было решено наладить в КХТИ.</w:t>
      </w:r>
    </w:p>
    <w:p w14:paraId="35B45B9E" w14:textId="77777777" w:rsidR="002A5DE2" w:rsidRPr="00640820" w:rsidRDefault="002A5DE2" w:rsidP="00640820">
      <w:pPr>
        <w:spacing w:after="0" w:line="240" w:lineRule="auto"/>
        <w:jc w:val="both"/>
        <w:rPr>
          <w:rFonts w:ascii="Times New Roman" w:hAnsi="Times New Roman"/>
          <w:color w:val="000000" w:themeColor="text1"/>
          <w:sz w:val="16"/>
          <w:szCs w:val="16"/>
          <w:shd w:val="clear" w:color="auto" w:fill="FFFFFF"/>
        </w:rPr>
      </w:pPr>
      <w:r w:rsidRPr="00640820">
        <w:rPr>
          <w:rFonts w:ascii="Times New Roman" w:hAnsi="Times New Roman"/>
          <w:color w:val="000000" w:themeColor="text1"/>
          <w:sz w:val="16"/>
          <w:szCs w:val="16"/>
          <w:shd w:val="clear" w:color="auto" w:fill="FFFFFF"/>
        </w:rPr>
        <w:t>Для подготовки производства в ноябре 1941 г. по поручению Наркомата боеприпасов в КХТИ прибывает автор конструкции С.Г. Беленький. Уже 28 ноября 1941 года появляется согласованный обеими сторонами приказ №168 об организации спецпроизводства по выпуску новых боеприпасов, заключительным пунктом которого было записано: “Все подготовительные работы закончить к утру 1/XII с.г., производственную работу начать 1/XII с.г.”</w:t>
      </w:r>
    </w:p>
    <w:p w14:paraId="632B7FD5" w14:textId="77777777" w:rsidR="002A5DE2" w:rsidRPr="00640820" w:rsidRDefault="002A5DE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shd w:val="clear" w:color="auto" w:fill="FFFFFF"/>
        </w:rPr>
        <w:t>К производству были привлечены и некоторые предприятия Казани. Так, фабрика “Коммунар” поставляла деревянные блоки для запалов, “Промполиграф” – бумагу и картонные трубочки, завод имени Ленина – порох для воспламенительного заряда, а Льнокомбинат – бечевки. Основное производство – приготовление терочных составов, пиротехнических замедлителей и воспламенительно-разрывных зарядов, сборка запалов и комплектация мешков было сосредоточено в институте, в помещениях кафедр (19699).</w:t>
      </w:r>
    </w:p>
    <w:p w14:paraId="16D3FA81" w14:textId="77777777" w:rsidR="002A5DE2" w:rsidRPr="00640820" w:rsidRDefault="002A5DE2" w:rsidP="00640820">
      <w:pPr>
        <w:spacing w:after="0" w:line="240" w:lineRule="auto"/>
        <w:jc w:val="both"/>
        <w:rPr>
          <w:rFonts w:ascii="Times New Roman" w:hAnsi="Times New Roman"/>
          <w:color w:val="000000" w:themeColor="text1"/>
          <w:sz w:val="16"/>
          <w:szCs w:val="16"/>
        </w:rPr>
      </w:pPr>
    </w:p>
    <w:p w14:paraId="5D3DDE75" w14:textId="77777777" w:rsidR="00F24BA9" w:rsidRPr="00640820" w:rsidRDefault="00F24BA9" w:rsidP="00640820">
      <w:pPr>
        <w:pStyle w:val="ae"/>
        <w:spacing w:before="0" w:after="0"/>
        <w:jc w:val="both"/>
        <w:rPr>
          <w:color w:val="000000" w:themeColor="text1"/>
          <w:sz w:val="16"/>
          <w:szCs w:val="16"/>
        </w:rPr>
      </w:pPr>
      <w:r w:rsidRPr="00640820">
        <w:rPr>
          <w:color w:val="000000" w:themeColor="text1"/>
          <w:sz w:val="16"/>
          <w:szCs w:val="16"/>
        </w:rPr>
        <w:t>В ноябре 1941 г. по поручению Наркомата боеприпасов в КХТИ прибывает автор конструкции огневого мешка С.Г. Беленький.</w:t>
      </w:r>
    </w:p>
    <w:p w14:paraId="298C262B" w14:textId="77777777" w:rsidR="00F24BA9" w:rsidRPr="00640820" w:rsidRDefault="00F24BA9" w:rsidP="00640820">
      <w:pPr>
        <w:pStyle w:val="ae"/>
        <w:spacing w:before="0" w:after="0"/>
        <w:jc w:val="both"/>
        <w:rPr>
          <w:color w:val="000000" w:themeColor="text1"/>
          <w:sz w:val="16"/>
          <w:szCs w:val="16"/>
        </w:rPr>
      </w:pPr>
      <w:r w:rsidRPr="00640820">
        <w:rPr>
          <w:color w:val="000000" w:themeColor="text1"/>
          <w:sz w:val="16"/>
          <w:szCs w:val="16"/>
        </w:rPr>
        <w:t>28 ноября 1941 года появляется согласованный обеими сторонами приказ №168 об организации спецпроизводства по выпуску новых боеприпасов, заключительным пунктом которого было записано: “Все подготовительные работы закончить к утру 1/XII с.г., производственную работу начать 1/XII с.г.”.</w:t>
      </w:r>
    </w:p>
    <w:p w14:paraId="00A0F62C" w14:textId="77777777" w:rsidR="00F24BA9" w:rsidRPr="00640820" w:rsidRDefault="00F24BA9" w:rsidP="00640820">
      <w:pPr>
        <w:pStyle w:val="ae"/>
        <w:spacing w:before="0" w:after="0"/>
        <w:jc w:val="both"/>
        <w:rPr>
          <w:color w:val="000000" w:themeColor="text1"/>
          <w:sz w:val="16"/>
          <w:szCs w:val="16"/>
        </w:rPr>
      </w:pPr>
      <w:r w:rsidRPr="00640820">
        <w:rPr>
          <w:color w:val="000000" w:themeColor="text1"/>
          <w:sz w:val="16"/>
          <w:szCs w:val="16"/>
        </w:rPr>
        <w:t>К производству были привлечены и некоторые предприятия Казани. Так, фабрика “Коммунар” поставляла деревянные блоки для запалов, “Промполиграф” – бумагу и картонные трубочки, завод имени Ленина – порох для воспламенительного заряда, а Льнокомбинат – бечевки. Основное производство – приготовление терочных составов, пиротехнических замедлителей и воспламенительно-разрывных зарядов, сборка запалов и комплектация мешков было сосредоточено в институте, в помещениях кафедр.</w:t>
      </w:r>
    </w:p>
    <w:p w14:paraId="3A10B274" w14:textId="77777777" w:rsidR="00F24BA9" w:rsidRPr="00640820" w:rsidRDefault="00F24BA9" w:rsidP="00640820">
      <w:pPr>
        <w:pStyle w:val="ae"/>
        <w:spacing w:before="0" w:after="0"/>
        <w:jc w:val="both"/>
        <w:rPr>
          <w:color w:val="000000" w:themeColor="text1"/>
          <w:sz w:val="16"/>
          <w:szCs w:val="16"/>
        </w:rPr>
      </w:pPr>
      <w:r w:rsidRPr="00640820">
        <w:rPr>
          <w:color w:val="000000" w:themeColor="text1"/>
          <w:sz w:val="16"/>
          <w:szCs w:val="16"/>
        </w:rPr>
        <w:t>В процессе освоения производства было немало трудностей. Две из первых трех партий мешков оказались некондиционными – подвели деревянные блоки, поставляемые фабрикой “Коммунар”. Они рассохлись после изготовления, пришлось их потом заменить. В памятные январские морозы 1942 года была заморожена отопительная система института и водопроводные трубы. Прекратились учебные занятия, встало и спецпроизводство. Чтобы наверстать упущенное, пришлось потом организовывать трехсменную работу производства. Несмотря на большие трудности, срочные заказы фронта были выполнены в срок. Первые «огневые мешки» начали поступать на фронт уже к концу года и получили хороший отзыв у авиаторов.</w:t>
      </w:r>
    </w:p>
    <w:p w14:paraId="2D9AD606" w14:textId="77777777" w:rsidR="00F24BA9" w:rsidRPr="00640820" w:rsidRDefault="00F24BA9" w:rsidP="00640820">
      <w:pPr>
        <w:pStyle w:val="ae"/>
        <w:spacing w:before="0" w:after="0"/>
        <w:jc w:val="both"/>
        <w:rPr>
          <w:color w:val="000000" w:themeColor="text1"/>
          <w:sz w:val="16"/>
          <w:szCs w:val="16"/>
        </w:rPr>
      </w:pPr>
      <w:r w:rsidRPr="00640820">
        <w:rPr>
          <w:color w:val="000000" w:themeColor="text1"/>
          <w:sz w:val="16"/>
          <w:szCs w:val="16"/>
        </w:rPr>
        <w:t>Оно представляло собой мешок из бензостойкой клеенчатой ткани или даже многослойной крафт-целлюлозной бумаги, заполненной зажигательной жидкостью и снабженной запальным устройством для распыления и воспламенения содержимого мешка на нужной высоте. В качестве зажигательной жидкости служил технический (автомобильный или авиационный) бензин, загущенный добавкой порошка ОП-2. Запальное устройство было собрано на деревянном блоке (пробке), вставляемом в горловину мешка, и состояло из терочного воспламенителя, пиротехнического замедлителя и разрывного заряда в картонной трубке.</w:t>
      </w:r>
    </w:p>
    <w:p w14:paraId="281166DE" w14:textId="77777777" w:rsidR="00F24BA9" w:rsidRPr="00640820" w:rsidRDefault="00F24BA9" w:rsidP="00640820">
      <w:pPr>
        <w:pStyle w:val="ae"/>
        <w:spacing w:before="0" w:after="0"/>
        <w:jc w:val="both"/>
        <w:rPr>
          <w:color w:val="000000" w:themeColor="text1"/>
          <w:sz w:val="16"/>
          <w:szCs w:val="16"/>
        </w:rPr>
      </w:pPr>
      <w:r w:rsidRPr="00640820">
        <w:rPr>
          <w:color w:val="000000" w:themeColor="text1"/>
          <w:sz w:val="16"/>
          <w:szCs w:val="16"/>
        </w:rPr>
        <w:t>Боеприпас предназначался для вооружения особых авиагрупп, вылетающих на ночные бомбардировки в тыл врага на самолетах У-2 и По-2. Мешки заправляли бензином на аэродромах непосредственно перед вылетом самолетов. В горловину заполненного мешка вставляли запальный блок и обвязывали бечевкой. В таком виде он был готов к применению. Сбрасывали мешки с самолетов вручную или с помощью подкрыльных кассет (по 2 мешка на кассету) (15467).</w:t>
      </w:r>
    </w:p>
    <w:p w14:paraId="3EA41F73" w14:textId="77777777" w:rsidR="00F24BA9" w:rsidRPr="00640820" w:rsidRDefault="00F24BA9" w:rsidP="00640820">
      <w:pPr>
        <w:pStyle w:val="ae"/>
        <w:spacing w:before="0" w:after="0"/>
        <w:jc w:val="both"/>
        <w:rPr>
          <w:color w:val="000000" w:themeColor="text1"/>
          <w:sz w:val="16"/>
          <w:szCs w:val="16"/>
        </w:rPr>
      </w:pPr>
    </w:p>
    <w:p w14:paraId="39575F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ГКО поставил перед снаряжательной промышленностью задачу снарядить фугасные бомбы имебщимися в наличии ВВ, чтобы они вдвое превосходили по мозности штатные боеприпася аналогичных калибров. Нач. ПГУ НКБ Г.Н.Кожевников и ГИ снаряжательного з-да А.Я.Мальский предложили ТГА. В случае ФАБ-100 по сравнению с сухим аммотолом мощность выросла в 1.84 раза. Приняли на вооружение и использовали в бомбах ФАБ-1000М43, ФАБ-2000св и все ФАБ-5000 для декйствия по важным объектам (7453, 186).</w:t>
      </w:r>
    </w:p>
    <w:p w14:paraId="67FACB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B4C3E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ноября 1941 года по август 1942-го, когда немцы вплотную подошли к Новороссийску, все цементные заводы Новороссийска перешли на изготовление цементных корпусов авиабомб. На заводе "Пролетарий" была создана поточная линия для производства цементных корпусов авиабомб - так называемых ЦАБов. Всего их вышло с "пролетарского" конвейера около 20 тысяч штук. Оборудование заводов пришлось эвакуировать в Грузию и Среднюю Азию, там и продолжали работать на нужды фронта (9701).</w:t>
      </w:r>
    </w:p>
    <w:p w14:paraId="571089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ЦАБы делали на многих советских производствах. И в основном их использовали в учебных целях. Но те бомбы, которые изготавливали в Невьянске, Вольске и Новороссийске, применялись еще и в бою. Местные умельцы "лепили" из новороссийского цемента железобетонные оболочки даже и для уникальных пятитонных бомб. Где и для чего потребуется местное вооружение, зависело только от его начинки. В бетонный корпус могли поместить и взрывчатые, и химические вещества. Последние использовались в осветительных бомбах. Их сбрасывали на конкретную цель, но они не взрывались, а с земли освещали летчикам места бомбардировки. Скорее всего, корпуса снарядов отправлялись в арсеналы, а там уже их заполняли толом или тротилом военные. Но есть и другая версия: сами цементники доводили бомбы до кондиции (9701).</w:t>
      </w:r>
    </w:p>
    <w:p w14:paraId="307977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ED755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ноября 1941 г. по январь 1942 г. экипажами 47-й сад (312-й шап и 519-й иап) на московском направлении проводились сравнительные войсковые испытания ракетных снарядов нового типа (РБС-132 и РОФС-132) с целью определения наилучшего из них (8270). К сожалению, несмотря на прекрасные результаты боевого применения бронебойных и осколочно-фугасных ракетных снарядов. Наркомат вооружения так и не смог наладить их устойчивое серийное производство практически до середины войны. Массовое применение на полях сражений РБС-132 и РОФС-132 отмечается лишь с весны 43-го. а РБС-82 - с лета 1944 г. (8270).</w:t>
      </w:r>
    </w:p>
    <w:p w14:paraId="65FADE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42506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ноябрь 1941 года планом производства корпусов выстрела заводами НКХМ и НКБ предусматривалось снаряжение 5 000 головных частей химических снарядов М-13 заводом 102. Рецептура снаряжения Тролит 10 с перс. /1:1/ [21]. Вероятно – персил.</w:t>
      </w:r>
    </w:p>
    <w:p w14:paraId="7B6C4A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Согласно плану поставки корпусов заводами Наркомхимпрома в ноябре 1941 года было запланировано 6 000 д/химич. снарядов М-13 [22].</w:t>
      </w:r>
    </w:p>
    <w:p w14:paraId="0485B2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Согласно плану хим. снаряжения на 4-й квартал 1941 года предусматривалось снаряжение 190 000 132 мм МХ-13 – 30 000 в октябре, 60 000 в ноябре, 100 000 в декабре [23] (11772).</w:t>
      </w:r>
    </w:p>
    <w:p w14:paraId="180BF3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D8126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ноябре 1941 г. Государственный Комитет Обороны СССР поставил перед снаряжательной промышленностью задачу снарядить фугасные авиабомбы имеющимися в наличии ВВ~ чтобы они вдвое превосходили по мощности штатные боеприпасы аналогичных калибров. Начальник 1-го ГУ НКБ НКБ и главный инженер </w:t>
      </w:r>
      <w:r w:rsidRPr="00640820">
        <w:rPr>
          <w:rFonts w:ascii="Times New Roman" w:hAnsi="Times New Roman"/>
          <w:color w:val="000000" w:themeColor="text1"/>
          <w:sz w:val="16"/>
          <w:szCs w:val="16"/>
        </w:rPr>
        <w:lastRenderedPageBreak/>
        <w:t>снаряжательного завода предложили использовать для ФАБ-100, ФАБ-250 и ФАБ-500 мощное взрывчатое вещество ТГА. При испытаниях подрывом в грунте ФАБ-100 с новым снаряжением показали хорошие результаты (7453).</w:t>
      </w:r>
    </w:p>
    <w:p w14:paraId="7EB143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5C40BE2" w14:textId="77777777" w:rsidR="00333A9C" w:rsidRPr="00640820" w:rsidRDefault="00333A9C" w:rsidP="00640820">
      <w:pPr>
        <w:pStyle w:val="ae"/>
        <w:shd w:val="clear" w:color="auto" w:fill="FFFFFF"/>
        <w:spacing w:before="0" w:after="0"/>
        <w:jc w:val="both"/>
        <w:textAlignment w:val="baseline"/>
        <w:rPr>
          <w:color w:val="0070C0"/>
          <w:sz w:val="16"/>
          <w:szCs w:val="16"/>
        </w:rPr>
      </w:pPr>
      <w:r w:rsidRPr="00640820">
        <w:rPr>
          <w:color w:val="0070C0"/>
          <w:sz w:val="16"/>
          <w:szCs w:val="16"/>
        </w:rPr>
        <w:t>В ноябре 1941 были начаты работы по проектированию 16-зарядных установок на одноконной повозке. Помимо НИИ-3, к разработке были привлечены сотрудники Центрального конструкторского бюро №19 Наркомата судостроительной промышленности (ЦКБ-19 НКСП). Были изготовлены опытные образцы, а в августе 1942 года проведены их сравнительные испытания. В результате 12-зарядная установка М-8-М, созданная ЦКБ-19, была принята на вооружение и заказана партией из 355 штук, а вариант НИИ-3 отвергли (19941).</w:t>
      </w:r>
    </w:p>
    <w:p w14:paraId="6D08A734" w14:textId="77777777" w:rsidR="00333A9C" w:rsidRPr="00640820" w:rsidRDefault="00333A9C" w:rsidP="00640820">
      <w:pPr>
        <w:pStyle w:val="ae"/>
        <w:shd w:val="clear" w:color="auto" w:fill="FFFFFF"/>
        <w:spacing w:before="0" w:after="0"/>
        <w:jc w:val="both"/>
        <w:textAlignment w:val="baseline"/>
        <w:rPr>
          <w:color w:val="0070C0"/>
          <w:sz w:val="16"/>
          <w:szCs w:val="16"/>
        </w:rPr>
      </w:pPr>
    </w:p>
    <w:p w14:paraId="00036863" w14:textId="77777777" w:rsidR="00333A9C" w:rsidRPr="00640820" w:rsidRDefault="00333A9C" w:rsidP="00640820">
      <w:pPr>
        <w:pStyle w:val="ae"/>
        <w:shd w:val="clear" w:color="auto" w:fill="FFFFFF"/>
        <w:spacing w:before="0" w:after="0"/>
        <w:jc w:val="both"/>
        <w:textAlignment w:val="baseline"/>
        <w:rPr>
          <w:color w:val="0070C0"/>
          <w:sz w:val="16"/>
          <w:szCs w:val="16"/>
        </w:rPr>
      </w:pPr>
      <w:r w:rsidRPr="00640820">
        <w:rPr>
          <w:color w:val="0070C0"/>
          <w:sz w:val="16"/>
          <w:szCs w:val="16"/>
        </w:rPr>
        <w:t>В ноябре 1941 года появился проект, предложенный руководством ЦКБ-19, который был связан с размещением ракетных установок на железнодорожных платформах. Инициатива была одобрена ГАУ РККА, которое приняло решение смонтировать на пяти платформах десять установок для пуска снарядов калибра 82 мм и на двух — две установки для снарядов калибра 132 мм.</w:t>
      </w:r>
    </w:p>
    <w:p w14:paraId="1DC8400F" w14:textId="77777777" w:rsidR="00333A9C" w:rsidRPr="00640820" w:rsidRDefault="00333A9C" w:rsidP="00640820">
      <w:pPr>
        <w:pStyle w:val="ae"/>
        <w:shd w:val="clear" w:color="auto" w:fill="FFFFFF"/>
        <w:spacing w:before="0" w:after="0"/>
        <w:jc w:val="both"/>
        <w:textAlignment w:val="baseline"/>
        <w:rPr>
          <w:color w:val="0070C0"/>
          <w:sz w:val="16"/>
          <w:szCs w:val="16"/>
        </w:rPr>
      </w:pPr>
      <w:r w:rsidRPr="00640820">
        <w:rPr>
          <w:color w:val="0070C0"/>
          <w:sz w:val="16"/>
          <w:szCs w:val="16"/>
        </w:rPr>
        <w:t>СКБ завода «Компрессор» получило задание разработать установки, которые можно было разместить на двухосных 20-тонных бронированных платформах, предназначенных для обороны Москвы. Их создание в условиях того времени стало нетривиальной инженерной задачей. При её решении инженерам приходилось в сжатые сроки искать ответы на непростые вопросы: определение количества направляющих и их взаимное расположение на платформе для каждого калибра ракет; создание поворотных устройств, позволяющих вести круговой обстрел; защита платформ от горячих газов, истекающих при пуске; удобство заряжания и обслуживания; определение допустимой скорости движения и торможения; влияние платформы и полотна на кучность стрельбы; необходимое количество снарядов и т. п.</w:t>
      </w:r>
    </w:p>
    <w:p w14:paraId="264E4BBB" w14:textId="77777777" w:rsidR="00333A9C" w:rsidRPr="00640820" w:rsidRDefault="00333A9C" w:rsidP="00640820">
      <w:pPr>
        <w:pStyle w:val="ae"/>
        <w:shd w:val="clear" w:color="auto" w:fill="FFFFFF"/>
        <w:spacing w:before="0" w:after="0"/>
        <w:jc w:val="both"/>
        <w:textAlignment w:val="baseline"/>
        <w:rPr>
          <w:color w:val="0070C0"/>
          <w:sz w:val="16"/>
          <w:szCs w:val="16"/>
        </w:rPr>
      </w:pPr>
      <w:r w:rsidRPr="00640820">
        <w:rPr>
          <w:color w:val="0070C0"/>
          <w:sz w:val="16"/>
          <w:szCs w:val="16"/>
        </w:rPr>
        <w:t>Проектирование и изготовление велись в условиях эвакуации завода «Компрессор». Новые установки изготовить не представлялось возможным, поэтому были использованы элементы от штатных М-8 и М-13. По чертежам, выпущенным бюро, в декабре 1941 года были изготовлено пять установок для монтажа на железнодорожных платформах: три — для стрельбы снарядами М-13, две — для М-8. Они использовались в </w:t>
      </w:r>
      <w:hyperlink r:id="rId56" w:history="1">
        <w:r w:rsidRPr="00640820">
          <w:rPr>
            <w:rStyle w:val="a5"/>
            <w:rFonts w:eastAsia="Franklin Gothic Book"/>
            <w:color w:val="0070C0"/>
            <w:sz w:val="16"/>
            <w:szCs w:val="16"/>
            <w:bdr w:val="none" w:sz="0" w:space="0" w:color="auto" w:frame="1"/>
          </w:rPr>
          <w:t>битве за Москву</w:t>
        </w:r>
      </w:hyperlink>
      <w:r w:rsidRPr="00640820">
        <w:rPr>
          <w:color w:val="0070C0"/>
          <w:sz w:val="16"/>
          <w:szCs w:val="16"/>
        </w:rPr>
        <w:t xml:space="preserve"> (19941).</w:t>
      </w:r>
    </w:p>
    <w:p w14:paraId="24BC02CA" w14:textId="77777777" w:rsidR="00333A9C" w:rsidRPr="00640820" w:rsidRDefault="00333A9C" w:rsidP="00640820">
      <w:pPr>
        <w:pStyle w:val="ae"/>
        <w:shd w:val="clear" w:color="auto" w:fill="FFFFFF"/>
        <w:spacing w:before="0" w:after="0"/>
        <w:jc w:val="both"/>
        <w:textAlignment w:val="baseline"/>
        <w:rPr>
          <w:color w:val="0070C0"/>
          <w:sz w:val="16"/>
          <w:szCs w:val="16"/>
        </w:rPr>
      </w:pPr>
    </w:p>
    <w:p w14:paraId="5BC3C3E7" w14:textId="77777777" w:rsidR="00333A9C" w:rsidRPr="00640820" w:rsidRDefault="00333A9C"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ноябре 1941 г. отсутствие сырья и электроэнергии привело к прекращению производства водорода на про</w:t>
      </w:r>
      <w:r w:rsidRPr="00640820">
        <w:rPr>
          <w:rFonts w:ascii="Times New Roman" w:hAnsi="Times New Roman"/>
          <w:color w:val="0070C0"/>
          <w:sz w:val="16"/>
          <w:szCs w:val="16"/>
        </w:rPr>
        <w:softHyphen/>
        <w:t>мышленных предприятиях Ленинграда. Поэто</w:t>
      </w:r>
      <w:r w:rsidRPr="00640820">
        <w:rPr>
          <w:rFonts w:ascii="Times New Roman" w:hAnsi="Times New Roman"/>
          <w:color w:val="0070C0"/>
          <w:sz w:val="16"/>
          <w:szCs w:val="16"/>
        </w:rPr>
        <w:softHyphen/>
        <w:t>му уже количество аэростатных постов резко сократилось (в феврале 1942 г. во всех трёх полках в городе было менее 45 дей</w:t>
      </w:r>
      <w:r w:rsidRPr="00640820">
        <w:rPr>
          <w:rFonts w:ascii="Times New Roman" w:hAnsi="Times New Roman"/>
          <w:color w:val="0070C0"/>
          <w:sz w:val="16"/>
          <w:szCs w:val="16"/>
        </w:rPr>
        <w:softHyphen/>
        <w:t>ствующих постов), а с 8 февраля 1942 г. боевая работа частей АЗ временно прекратилась. Для дезинформации противника командование 2-го корпуса ПВО приказало держать максимально возможное количество аэростатов заграждения с наполненными воздухом оболочками на зем</w:t>
      </w:r>
      <w:r w:rsidRPr="00640820">
        <w:rPr>
          <w:rFonts w:ascii="Times New Roman" w:hAnsi="Times New Roman"/>
          <w:color w:val="0070C0"/>
          <w:sz w:val="16"/>
          <w:szCs w:val="16"/>
        </w:rPr>
        <w:softHyphen/>
        <w:t>ле. Получение водорода возобновилось только в конце марта 1942 г. (29120).</w:t>
      </w:r>
    </w:p>
    <w:p w14:paraId="003F662D" w14:textId="77777777" w:rsidR="00333A9C" w:rsidRPr="00640820" w:rsidRDefault="00333A9C" w:rsidP="00640820">
      <w:pPr>
        <w:spacing w:after="0" w:line="240" w:lineRule="auto"/>
        <w:jc w:val="both"/>
        <w:rPr>
          <w:rFonts w:ascii="Times New Roman" w:hAnsi="Times New Roman"/>
          <w:color w:val="0070C0"/>
          <w:sz w:val="16"/>
          <w:szCs w:val="16"/>
        </w:rPr>
      </w:pPr>
    </w:p>
    <w:p w14:paraId="7177292A"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03731BC9"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1FD94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 основное оборудование Рубежанского химкомбината НКХП (цехи № 1, 2, 9, И, 23 и электроподстанция) было эвакуировано в Уфу на завод № 768 НКХП, где комбинат продолжил работу в виде отдельного производственного комплекса, затем он был включен в состав УХЗ.</w:t>
      </w:r>
      <w:r w:rsidRPr="00640820">
        <w:rPr>
          <w:rFonts w:ascii="Times New Roman" w:hAnsi="Times New Roman"/>
          <w:color w:val="000000" w:themeColor="text1"/>
          <w:sz w:val="16"/>
          <w:szCs w:val="16"/>
          <w:vertAlign w:val="superscript"/>
        </w:rPr>
        <w:t>1 8</w:t>
      </w:r>
      <w:r w:rsidRPr="00640820">
        <w:rPr>
          <w:rFonts w:ascii="Times New Roman" w:hAnsi="Times New Roman"/>
          <w:color w:val="000000" w:themeColor="text1"/>
          <w:sz w:val="16"/>
          <w:szCs w:val="16"/>
        </w:rPr>
        <w:t xml:space="preserve"> 13.04.1942 г. вышло постановление ГКО № 1591 о восстановлении мощностей эвакуированного Рубежанского химкомбината, 25.06.1942 г. вышло постановление ГКО № 1932 о прекращении восстановительных работ.</w:t>
      </w:r>
    </w:p>
    <w:p w14:paraId="282F6D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заводе планировалось производство фосгена.</w:t>
      </w:r>
      <w:r w:rsidRPr="00640820">
        <w:rPr>
          <w:rFonts w:ascii="Times New Roman" w:hAnsi="Times New Roman"/>
          <w:color w:val="000000" w:themeColor="text1"/>
          <w:sz w:val="16"/>
          <w:szCs w:val="16"/>
          <w:vertAlign w:val="superscript"/>
        </w:rPr>
        <w:t>71</w:t>
      </w:r>
    </w:p>
    <w:p w14:paraId="3E8B4F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1960 г. при научной поддержке НИОПИК пущен цех фталевого ангидрида; в 1963 г. внедрено производство дисперсных красителей для синтетических волокон; в 1960-е  г. - оптических отбеливателей; далее цех по выпуску диаминоантрахинона, хлорантрахинона, аценафтенхинона. В 1980-е  г. внедрено производство кубогенов и фталевого ангидрида</w:t>
      </w:r>
    </w:p>
    <w:p w14:paraId="018837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заводе действовал филиал НИОПИК (1982 г.).</w:t>
      </w:r>
    </w:p>
    <w:p w14:paraId="61B803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1990-е  г. предприятие преобразовано в ОАО «Краситель» (11982).</w:t>
      </w:r>
    </w:p>
    <w:p w14:paraId="6B605C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AC79CAA" w14:textId="77777777" w:rsidR="00F30D70" w:rsidRPr="00640820" w:rsidRDefault="00F30D7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ноябре 1941 было произведено лишь 3,2 млн. артиллерийских выстрелов по сравнению с 5 млн. в августе, боевых самолетов 448 шт.по сравнению с 2046 шт. в </w:t>
      </w:r>
    </w:p>
    <w:p w14:paraId="06D20D63" w14:textId="77777777" w:rsidR="00F30D70" w:rsidRPr="00640820" w:rsidRDefault="00F30D7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C 5 декабря 1941-го по 11 февраля 1942 года рабочие и инженеры заводf имени Войтовича, который был эвакуирован в Красноуфимск, но оставил в Москве небольшим коллектив, передали Красной Армии 5 бронедрезин БД-41. В отчете завода имени Войтовича о работе в годы войны об этом сказано кратко - </w:t>
      </w:r>
    </w:p>
    <w:p w14:paraId="43584A88" w14:textId="77777777" w:rsidR="00F30D70" w:rsidRPr="00640820" w:rsidRDefault="00F30D7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произвели «бронирование автодрезин типа Уа путем пересадки на них корпуса танка Т-40». </w:t>
      </w:r>
    </w:p>
    <w:p w14:paraId="2D302CC2" w14:textId="77777777" w:rsidR="00F30D70" w:rsidRPr="00640820" w:rsidRDefault="00F30D7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Судя по фотографиям, как минимум на двух БД-41 башни Т-40 заменили башнями двухбашенного Т-26, при этом на одной из них корпус Т-40 не использовался. Кроме того, хорошо видно, что бронирование произведено грубо, и с отклонением от утвержденных в ГАБТУ условий. Тем не менее, работа была сделана и БД-41 поступили на вооружение бронепоездных частей, правда куда конкретно - пока установить не удалось. Достоверно известно, что одна из них в 1943-1944 годах действовала в составе 7-го отдельного дивизиона бронепоездов. </w:t>
      </w:r>
    </w:p>
    <w:p w14:paraId="2C31D0CA" w14:textId="77777777" w:rsidR="00F30D70" w:rsidRPr="00640820" w:rsidRDefault="00F30D7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Следует сказать, что судя по документам ГАБТУ завод имени Войтовича был не единственным предприятием Москвы, изготавливавшим бронедрезины. Согласно «Отчета о работе Управления бронепоездов и бронемашин ГБТУ КА за 1941-1945 г.», составленного в 1945 году сказано: «В течении 1942 г. было изготовлено 7 бронедрезин на шасси мотовоза М3/2 и автодрезин Уа Бронедрезины изготавливались с использованием корпусов башен легких танков на заводе НКПС им.. Войтовича и в депо Московского жд. узла». Однако автор не располагает информацией о том, что за дрезины на шасси мотовоза были изготовлены. </w:t>
      </w:r>
    </w:p>
    <w:p w14:paraId="0E23A5B6" w14:textId="77777777" w:rsidR="00F30D70" w:rsidRPr="00640820" w:rsidRDefault="00F30D7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Строительство БД-41 пожалуй было единственным случаем во время Великой Отечественной войны, когда изготовление бронедрезин велось по директиве «сверху» (в отличие, например, от строительства бронепоездов, которое как правило, велось по постановлениям ГКО - Государственно Комитета Обороны). Часто факт изготовления бронедрезины подтверждается фотографией, но никаких других данных о ее постройке найти не удается, хотя в отдельных случаях удается найти и документы. Следует сказать, что число бронедрезин, изготовленных на предприятиях бывшего СССР в годы Великой Отечественной войны было невелико, и едва превышало 20 единиц. В качестве базы для них использовались шасси мотовоза Мз или дрезины Уа -они более всего подходили для бронирования, и довольно большое их количество эксплуатировалось на железных дорогах СССР в предвоенные годы (18626).</w:t>
      </w:r>
    </w:p>
    <w:p w14:paraId="0898DFCF" w14:textId="77777777" w:rsidR="00F30D70" w:rsidRPr="00640820" w:rsidRDefault="00F30D70" w:rsidP="00640820">
      <w:pPr>
        <w:spacing w:after="0" w:line="240" w:lineRule="auto"/>
        <w:jc w:val="both"/>
        <w:rPr>
          <w:rFonts w:ascii="Times New Roman" w:hAnsi="Times New Roman"/>
          <w:color w:val="000000" w:themeColor="text1"/>
          <w:sz w:val="16"/>
          <w:szCs w:val="16"/>
        </w:rPr>
      </w:pPr>
    </w:p>
    <w:p w14:paraId="6BCEAD83" w14:textId="77777777" w:rsidR="0031350D" w:rsidRPr="00640820" w:rsidRDefault="0031350D" w:rsidP="00640820">
      <w:pPr>
        <w:pStyle w:val="ae"/>
        <w:spacing w:before="0" w:after="0"/>
        <w:jc w:val="both"/>
        <w:textAlignment w:val="baseline"/>
        <w:rPr>
          <w:color w:val="000000" w:themeColor="text1"/>
          <w:sz w:val="16"/>
          <w:szCs w:val="16"/>
        </w:rPr>
      </w:pPr>
      <w:r w:rsidRPr="00640820">
        <w:rPr>
          <w:color w:val="000000" w:themeColor="text1"/>
          <w:sz w:val="16"/>
          <w:szCs w:val="16"/>
        </w:rPr>
        <w:t>В ноябре 1941 года на Научно-исследовательском полигоне стрелкового вооружения прошли испытания гранат КБ-30 и СКБ-35 А. К. Сердюка. При этом граната ВПГС-41 конструкции Сердюка уже состояла к этому времени на вооружении Красной армии. Образец КБ-30 был опытным.</w:t>
      </w:r>
    </w:p>
    <w:p w14:paraId="72E365F6" w14:textId="77777777" w:rsidR="0031350D" w:rsidRPr="00640820" w:rsidRDefault="0031350D" w:rsidP="00640820">
      <w:pPr>
        <w:pStyle w:val="ae"/>
        <w:spacing w:before="0" w:after="0"/>
        <w:jc w:val="both"/>
        <w:textAlignment w:val="baseline"/>
        <w:rPr>
          <w:color w:val="000000" w:themeColor="text1"/>
          <w:sz w:val="16"/>
          <w:szCs w:val="16"/>
        </w:rPr>
      </w:pPr>
      <w:r w:rsidRPr="00640820">
        <w:rPr>
          <w:color w:val="000000" w:themeColor="text1"/>
          <w:sz w:val="16"/>
          <w:szCs w:val="16"/>
        </w:rPr>
        <w:t>Отстрел показал, что ВПГС-41 стабильно пробивает броню толщиной до 20 миллиметров. При этом у неё был существенный недостаток: при выстреле часто слетало стабилизирующее оперение гранаты, причём более чем в половине случаев. Испытатели рекомендовали доработать снаряд и дали КБ Сердюка срок до начала февраля 1942 года. К этому времени он должен был представить на испытания новую опытную партию из 500 штук.</w:t>
      </w:r>
    </w:p>
    <w:p w14:paraId="18CB7373" w14:textId="77777777" w:rsidR="0031350D" w:rsidRPr="00640820" w:rsidRDefault="0031350D" w:rsidP="00640820">
      <w:pPr>
        <w:pStyle w:val="ae"/>
        <w:spacing w:before="0" w:after="0"/>
        <w:jc w:val="both"/>
        <w:textAlignment w:val="baseline"/>
        <w:rPr>
          <w:color w:val="000000" w:themeColor="text1"/>
          <w:sz w:val="16"/>
          <w:szCs w:val="16"/>
        </w:rPr>
      </w:pPr>
      <w:r w:rsidRPr="00640820">
        <w:rPr>
          <w:color w:val="000000" w:themeColor="text1"/>
          <w:sz w:val="16"/>
          <w:szCs w:val="16"/>
        </w:rPr>
        <w:t>Граната КБ-30, оснащённая маленькой мортиркой для выстрела, пробивала броню хуже, зато в полёте вела себя куда более устойчиво. Этих гранат заказали в десять раз больше, чтобы сразу отправить на войсковые испытания. Поскольку на вооружение граната так и не поступила, можно утверждать, что результаты военных не устроили (18987).</w:t>
      </w:r>
    </w:p>
    <w:p w14:paraId="5018B79A" w14:textId="77777777" w:rsidR="0031350D" w:rsidRPr="00640820" w:rsidRDefault="0031350D" w:rsidP="00640820">
      <w:pPr>
        <w:pStyle w:val="ae"/>
        <w:spacing w:before="0" w:after="0"/>
        <w:jc w:val="both"/>
        <w:textAlignment w:val="baseline"/>
        <w:rPr>
          <w:color w:val="000000" w:themeColor="text1"/>
          <w:sz w:val="16"/>
          <w:szCs w:val="16"/>
        </w:rPr>
      </w:pPr>
    </w:p>
    <w:p w14:paraId="5F486A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 на площадку завода (Завод № 576 НКБ /г. Реж Свердловской обл./) эвакуированы: завод № 14 НКБ (производство пироксилинового пороха, олеума и азотной кислоты, всего 416 вагонов), в соответствии с пост. ГКО № 1071 от 27.12.1941 г. завод реэвакуирован на старое место; производство олеума комбината № 101 (138 ед. оборудования, 41 чел.), к 30.12.1941 г. прибыло 86 вагонов;</w:t>
      </w:r>
      <w:r w:rsidRPr="00640820">
        <w:rPr>
          <w:rFonts w:ascii="Times New Roman" w:hAnsi="Times New Roman"/>
          <w:color w:val="000000" w:themeColor="text1"/>
          <w:sz w:val="16"/>
          <w:szCs w:val="16"/>
          <w:vertAlign w:val="superscript"/>
        </w:rPr>
        <w:t>132</w:t>
      </w:r>
      <w:r w:rsidRPr="00640820">
        <w:rPr>
          <w:rFonts w:ascii="Times New Roman" w:hAnsi="Times New Roman"/>
          <w:color w:val="000000" w:themeColor="text1"/>
          <w:sz w:val="16"/>
          <w:szCs w:val="16"/>
        </w:rPr>
        <w:t xml:space="preserve"> 1 36 чел. с комбината № 100; сюда же перенаправлен 21 вагон оборудования кислородного завода комбината № 101, эвакуированный вначале на завод № 580 (11982).</w:t>
      </w:r>
    </w:p>
    <w:p w14:paraId="783C14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BE57B5D" w14:textId="77777777" w:rsidR="00333A9C" w:rsidRPr="00640820" w:rsidRDefault="00333A9C"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shd w:val="clear" w:color="auto" w:fill="FFFFFF"/>
        </w:rPr>
        <w:t>В ноябре 1941 выпуск 57 мм ЗИС-2 на заводе № 92 заморозили (22213).</w:t>
      </w:r>
    </w:p>
    <w:p w14:paraId="3DBA757A" w14:textId="77777777" w:rsidR="00333A9C" w:rsidRPr="00640820" w:rsidRDefault="00333A9C" w:rsidP="00640820">
      <w:pPr>
        <w:spacing w:after="0" w:line="240" w:lineRule="auto"/>
        <w:jc w:val="both"/>
        <w:rPr>
          <w:rFonts w:ascii="Times New Roman" w:hAnsi="Times New Roman"/>
          <w:color w:val="0070C0"/>
          <w:sz w:val="16"/>
          <w:szCs w:val="16"/>
        </w:rPr>
      </w:pPr>
    </w:p>
    <w:p w14:paraId="33FC36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года была изготовлена 5-орудийная батарея 85-мм ПТпушек У-10. На полигонных испытаниях У-10 показала удовлетворительные результаты (3861).</w:t>
      </w:r>
    </w:p>
    <w:p w14:paraId="6DC465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278DF3D" w14:textId="77777777" w:rsidR="0031350D" w:rsidRPr="00640820" w:rsidRDefault="0031350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ноября 1941 г. по июнь 1942 г. ОТБ-172 находилось в Томске, затем спецтюрьма была вывезена в г. Молотов (г. Пермь) на артиллерийский заводе № 172. В Ленинграде и Томске инженерными работами заключенных руководил инженер, коммунист, работник 4-го отдела НКВД Носакин.</w:t>
      </w:r>
    </w:p>
    <w:p w14:paraId="1218FB4F" w14:textId="77777777" w:rsidR="0031350D" w:rsidRPr="00640820" w:rsidRDefault="0031350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Томске ОТБ располагалось в особняке нарымского рыботорговца купца Родюкова (ул. Войкова, 8 ) - в постройке середины ХIХ века. Начальником тюрьмы в Томске был А.Чечев (18664).</w:t>
      </w:r>
    </w:p>
    <w:p w14:paraId="636DB880" w14:textId="77777777" w:rsidR="0031350D" w:rsidRPr="00640820" w:rsidRDefault="0031350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воспоминаний Владимира Померанцева о пребывании ОТБ в Томске.</w:t>
      </w:r>
    </w:p>
    <w:p w14:paraId="034BE630" w14:textId="77777777" w:rsidR="0031350D" w:rsidRPr="00640820" w:rsidRDefault="0031350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«Третьего декабря 1941 года меня вызвали «с вещами». Мы поняли, что нас уводят из томской тюрьмы. Нас с Иллиминским ведут по томским улицам. Мороз. Перешли пустырь и опять улица. Двухэтажный купеческий особняк и вышки по углам двора, обнесенного высокой крепкой оградой с колючей проволокой по верху. Проходная. Вышли новые надзиратели, которым нас и передали.</w:t>
      </w:r>
    </w:p>
    <w:p w14:paraId="11CA7131" w14:textId="77777777" w:rsidR="0031350D" w:rsidRPr="00640820" w:rsidRDefault="0031350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Нас вывели во двор и повели в другое двухэтажное здание. На втором этаже в приемной нам приказали сесть. Через некоторое время открылась дверь из кабинета, и нас пригласили зайти.</w:t>
      </w:r>
    </w:p>
    <w:p w14:paraId="1E652FA9" w14:textId="77777777" w:rsidR="0031350D" w:rsidRPr="00640820" w:rsidRDefault="0031350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глубине большого светлого кабинета за большим столом сидел величественный военный с ромбом в петлице. После нескольких мгновений тягостного молчания последовало:</w:t>
      </w:r>
    </w:p>
    <w:p w14:paraId="2AE21C1F" w14:textId="77777777" w:rsidR="0031350D" w:rsidRPr="00640820" w:rsidRDefault="0031350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Садитесь…– спросил – Ну, кто вы такие? – И сам себе ответил: – Изобретатели. Ну, вот вам тут у меня все будет предоставлено, чтобы вы смогли написать…(почему не описать?) ваше изобретение. Если будет толковое, то и вам будет неплохо. Но смотрите у меня, чтобы ни-ни!</w:t>
      </w:r>
    </w:p>
    <w:p w14:paraId="3F5D8DCE" w14:textId="77777777" w:rsidR="0031350D" w:rsidRPr="00640820" w:rsidRDefault="0031350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Это ни-ни было так выразительно, что не требовало ни разъяснений, ни продолжения.</w:t>
      </w:r>
    </w:p>
    <w:p w14:paraId="0315E8B0" w14:textId="77777777" w:rsidR="0031350D" w:rsidRPr="00640820" w:rsidRDefault="0031350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Величественный нажим звонка и кивок лейтенанту: – Вымыть, накормить и поместить в угловую.</w:t>
      </w:r>
    </w:p>
    <w:p w14:paraId="7A8C5B09" w14:textId="77777777" w:rsidR="0031350D" w:rsidRPr="00640820" w:rsidRDefault="0031350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Нас повели в баню. Во дворе мы увидели десятка два человек, одетых в гражданские пальто и шубы, которые прогуливались по кругу. В глубине двора стояла подлинно купеческая баня: одноэтажная, бревенчатая, с сенями, предбанником с лавками по стенам, с просторной мыльней. Из бани нас повели в столовую. Она помещалась тут же во дворе, как и баня, в отдельном одноэтажном здании. …</w:t>
      </w:r>
    </w:p>
    <w:p w14:paraId="758D63D3" w14:textId="77777777" w:rsidR="0031350D" w:rsidRPr="00640820" w:rsidRDefault="0031350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Теперь нас ввели в главный корпус, Да, действительно, до революции это был купеческий особняк с огромными комнатами, теперь частично переделанными в арестантские камеры. По широкой лестнице вестибюля нас провели на второй этаж и впустили в «угловую» камеру.</w:t>
      </w:r>
    </w:p>
    <w:p w14:paraId="4C3B9AA6" w14:textId="77777777" w:rsidR="0031350D" w:rsidRPr="00640820" w:rsidRDefault="0031350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большой просторной комнате квадратов на тридцать помещалось четыре человека.</w:t>
      </w:r>
    </w:p>
    <w:p w14:paraId="25A8BC08" w14:textId="77777777" w:rsidR="0031350D" w:rsidRPr="00640820" w:rsidRDefault="0031350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Будем знакомиться, – подошел невысокий коренастый человек. Я – Иконников, а это такие же, как и я, конструкторы – Мамин и Борисов, а это профессор Бурсиан.</w:t>
      </w:r>
    </w:p>
    <w:p w14:paraId="55423DB2" w14:textId="77777777" w:rsidR="0031350D" w:rsidRPr="00640820" w:rsidRDefault="0031350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Эта спецтюрьма отличалась особым порядком содержания арестантов. Тюрьма, в которую мы попали, представляла собой секретное конструкторское бюро, разрабатывающее артиллерийское оружие. Арестантские пайки в спецтюрьмах были сказочно богаты даже для высокооплачиваемого специалиста мирного времени, а про военное и говорить не приходится. Для поощрения и поддержания субординации среди арестантов вводились дифференцированные «столы» в нисходящем порядке первый, второй, третий и четвертый. Но были и сверхпервые столы, нулевые. Спецарестанты, удостоенные нулевого стола, получали право заказывать меню по своему желанию.</w:t>
      </w:r>
    </w:p>
    <w:p w14:paraId="6945B7BE" w14:textId="77777777" w:rsidR="0031350D" w:rsidRPr="00640820" w:rsidRDefault="0031350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Условия содержания в спецтюрьмах были несравненно лучше любой тюрьмы общего назначения. Как правило, арестанты размещались в больших светлых камерах, на железных койках с матрацем, набитым мочалом, с перовой подушкой, простыней и байковым одеялом.</w:t>
      </w:r>
    </w:p>
    <w:p w14:paraId="32A6EB4F" w14:textId="77777777" w:rsidR="0031350D" w:rsidRPr="00640820" w:rsidRDefault="0031350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камерах помещалось 20-30 человек; для высококвалифицированных заключенных выделялись небольшие камеры на 5-10 человек. В камерах соблюдалась чистота силами уборщиков из уголовных арестантов. Скученности в камерах не наблюдалось, – в них арестанты только ночевали. Большую часть суток арестанты проводили в рабочих помещениях. Даже после окончания рабочего дня в 8 часов, а и иногда и в 11 часов вечера арестанты старались оставаться в рабочих помещениях до их закрытия и опечатывания.</w:t>
      </w:r>
    </w:p>
    <w:p w14:paraId="489E1622" w14:textId="77777777" w:rsidR="0031350D" w:rsidRPr="00640820" w:rsidRDefault="0031350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Условия работы были нормальными. Даже чрезмерная продолжительность рабочего дня по 10-12 часов воспринималась без протеста. Работа, особенно по своей специальности или близкая к ней, была спасительным средством. Была хорошая библиотека. Такого рода библиотеки составлялись большей частью из конфискованных книг осужденных. Библиотеки систематически пополнялись обширной текущей отечественной и зарубежной литературой и периодикой.</w:t>
      </w:r>
    </w:p>
    <w:p w14:paraId="73C3E76C" w14:textId="77777777" w:rsidR="0031350D" w:rsidRPr="00640820" w:rsidRDefault="0031350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Спецтюрьмы отличались от общих тюрем особыми порядками тюремного надзора. В общих тюрьмах арестанты полностью находились в ведении тюремного надзора, в спецтюрьмах был двойной надзор: над работой заключенных и над их поведением и бытом после работы.</w:t>
      </w:r>
    </w:p>
    <w:p w14:paraId="3D92089B" w14:textId="77777777" w:rsidR="0031350D" w:rsidRPr="00640820" w:rsidRDefault="0031350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приходом на рабочее место заключенный становился в подчинение бригадиров, руководителей групп, начальников отделов и начальника бюро. Бригадиры и начальники групп, как правило, назначались из среды заключенных, начальниками отделов являлись офицеры госбезопасности с инженерным образованием. Общий порядок в рабочих залах наблюдали тюремные надзиратели, они становились полновластными начальниками над заключенными после окончания работ бюро. Во время нахождения заключенных в бюро тюремные наблюдатели не имели права вмешиваться в распорядок работы и тем более в существо самой работы заключенного.</w:t>
      </w:r>
    </w:p>
    <w:p w14:paraId="2660EB37" w14:textId="77777777" w:rsidR="0031350D" w:rsidRPr="00640820" w:rsidRDefault="0031350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Бюро, в котором мы оказались, было эвакуировано из Ленинграда в начале войны сначала в Казань, а потом в Томск. До войны оно было очень большим по составу, но перед эвакуацией произвели генеральную чистку, оставив только высококвалифицированных специалистов с минимумом вспомогательных работников, а остальных разослали по лагерям. Из-за поспешной эвакуации и неорганизованности переездов многое из имущества было растеряно, и в Томске бюро только в конце ноября 1941 года, дней за десять до нашего появления, начало работать. Все прежние задания были приостановлены, и руководители из самих арестантов начали в порядке личной инициативы разрабатывать так называемые аванпроекты, или эскизные проекты.</w:t>
      </w:r>
    </w:p>
    <w:p w14:paraId="6F2C6CB4" w14:textId="77777777" w:rsidR="0031350D" w:rsidRPr="00640820" w:rsidRDefault="0031350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Мы с Иллиминским получили нужные чертежные инструменты, кое-какие справочники и расположились работать в той же камере, где и жили – так распорядилось тюремное начальство.</w:t>
      </w:r>
    </w:p>
    <w:p w14:paraId="1653196C" w14:textId="77777777" w:rsidR="0031350D" w:rsidRPr="00640820" w:rsidRDefault="0031350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установившимся традициям в спецбюро никто из заключенных не интересовался нашими разработками. Но когда у нас возникала необходимость в консультации, то нам ее охотно давали. Два человека были полностью осведомлены о наших предложениях: профессор Бурсиан, руководивший всеми расчетными работами в бюро, и генерал (бывший, конечно генерал) Беркалов, руководивший разработкой аванпроектов.</w:t>
      </w:r>
    </w:p>
    <w:p w14:paraId="0D030A98" w14:textId="77777777" w:rsidR="0031350D" w:rsidRPr="00640820" w:rsidRDefault="0031350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Бурсиан, один из основоположников русской геофизики, долгие годы томился в тюрьме, да и умер в ней после окончания войны. В спецбюро Бурсиан стал специалистом по всем видам расчетов от баллистики до механики, необходимых при проектировании артиллерийского вооружения. Высокий, худой, слегка сутулый старик с продолговатым морщинистым лицом, отвислыми щеками, высоким лбом, близорукими бегающими маленькими глазками, редеющими седыми волосами на голове, глуховатый, с походкой мелкими шажками, всегда устремленный вперед. При разговоре он не смотрел на собеседника, устремив взгляд куда-то вдаль, слушал, приложив к уху трубочкой ладонь и собрав губы сердечком. С чрезвычайной немецкой аккуратностью во всем, вежливый и трусливый, Бурсиан относился к нам с любопытством, но без благожелательности. Он выслушивал наши вопросы, тотчас обстоятельно отвечал на них, но не проявлял готовности помочь в разработке наших предложений по существу.</w:t>
      </w:r>
    </w:p>
    <w:p w14:paraId="48BA3233" w14:textId="77777777" w:rsidR="0031350D" w:rsidRPr="00640820" w:rsidRDefault="0031350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Беркалов – небольшого роста, худощавый, но не худой, с отличной выправкой старик. «Самый молодой генерал царской армии» – так обычно его начинали рекомендовать новым «окабешникам». Беркалов был крупным специалистом и изобретателем по сверхдальнобойной стрельбе. В разговоре он, слегка улыбаясь, бесцеремонно разглядывал своего собеседника, Казалось, он говорил: «Ну, ладно, ладно, знаем мы все эти штучки-дрючки, а ты по существу расскажи о себе, что ты за человек. Что? Уже ссучился? Или еще нет?»</w:t>
      </w:r>
    </w:p>
    <w:p w14:paraId="2A24A539" w14:textId="77777777" w:rsidR="0031350D" w:rsidRPr="00640820" w:rsidRDefault="0031350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Когда мы с Иллиминским приходили к нему за консультацией, он, прежде всего, угощал хорошими папиросами, потом расспрашивал о наших дотюремных специальностях и только уж после трехкратной попытки изложить ему наши предложения, он, доброжелательно посмеиваясь, говорил: «Ну, ну, что это вы предлагаете? Дальномер? Очень хорошо. Даже если он ничего не будет мерить, то все равно будет все очень хорошо. Главное — не вещь, а идея, стремление, живой огонек в душе, а все остальное приложится, так, кажется, Толстой говорил. Нет? Ну, все равно, я так говорю».</w:t>
      </w:r>
    </w:p>
    <w:p w14:paraId="5AE33540" w14:textId="77777777" w:rsidR="0031350D" w:rsidRPr="00640820" w:rsidRDefault="0031350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Через месяц мы закончили наш проект-схему. Побеседовали о проекте с Бурсианом и с Беркаловым. Первый написал неопределенную положительную рецензию, второй кратко изложил свое мнение о желательности продолжать разработку идей автора.</w:t>
      </w:r>
    </w:p>
    <w:p w14:paraId="597EC545" w14:textId="77777777" w:rsidR="0031350D" w:rsidRPr="00640820" w:rsidRDefault="0031350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наши вопросы к авторитетным окабешникам – к тюремному начальству мы не смели обращаться – что будут делать с нашими предложениями и с нами, мы получали довольно согласованные ответы: предложения отправят в «вышестоящие» инстанции для заключения, а наша судьба в руках Всевышнего: может, оставят при бюро, а может быть, и «спишут». А пока нам рекомендовали испытать свои силы в различных видах конструкторских работ. Иллиминский – отличный конструктор и рисовальщик, начал помогать в разработке одного аванпроекта. А я не конструктор, и в качестве конструктора не мог быть использован. Но у меня были кое-какие вычислительные способности, и я нашел себе место в расчетном отделе Бурсиана.</w:t>
      </w:r>
    </w:p>
    <w:p w14:paraId="6F62CCEB" w14:textId="77777777" w:rsidR="0031350D" w:rsidRPr="00640820" w:rsidRDefault="0031350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военное время продолжительность работы в бюро, не считая перерывов на принятие пищи, составляла 11 часов. После окончания войны рабочий день стал девятичасовым. По воскресеньям, как правило, работы в бюро не было. Вот этими воскресениями и временем ежедневных прогулок – утром, в обед и вечером – пользовались арестанты для своих личных занятий мастерством или умствованиями.</w:t>
      </w:r>
    </w:p>
    <w:p w14:paraId="3C5C3FF1" w14:textId="77777777" w:rsidR="0031350D" w:rsidRPr="00640820" w:rsidRDefault="0031350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Трудовая дисциплина поддерживалась тюремными надзирателями, следившими за распорядком дня, а внутри бюро – офицерами госбезопасности и системой начальников из арестантов. Каждый отдел состоял из групп, последние разбивались на бригады.</w:t>
      </w:r>
    </w:p>
    <w:p w14:paraId="3A0DE208" w14:textId="77777777" w:rsidR="0031350D" w:rsidRPr="00640820" w:rsidRDefault="0031350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Подобные бюро – спецтюрьмы, именовавшиеся особыми конструкторскими или особыми техническими бюро, управлялись особым отделом НКВД или МВД. Каждому бюро назначался производственный план, который развертывался по отделам, группам и бригадам. Словом, по производственной деятельности эти бюро по форме ни чем не отличались от таких же бюро в промышленности или военном ведомстве…» (18664).</w:t>
      </w:r>
    </w:p>
    <w:p w14:paraId="41A532CF" w14:textId="77777777" w:rsidR="0031350D" w:rsidRPr="00640820" w:rsidRDefault="0031350D" w:rsidP="00640820">
      <w:pPr>
        <w:spacing w:after="0" w:line="240" w:lineRule="auto"/>
        <w:jc w:val="both"/>
        <w:rPr>
          <w:rFonts w:ascii="Times New Roman" w:hAnsi="Times New Roman"/>
          <w:color w:val="000000" w:themeColor="text1"/>
          <w:sz w:val="16"/>
          <w:szCs w:val="16"/>
        </w:rPr>
      </w:pPr>
    </w:p>
    <w:p w14:paraId="799B0A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ноябре 1941 на базе Московского порохового института был создан завод № 562, который в период битвы за Москву в 1941 г. оказался ближайшим к фронту поставщиком ракетных зарядов к реактивным снарядам M-13 и М-8 оказался завод 562. </w:t>
      </w:r>
    </w:p>
    <w:p w14:paraId="4BE494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Цех по производству ракетных зарядов на этом заводе располагал двумя гидропрессами Круппа и другим необходимым оборудованием. Возглавлялся цех опытным инженером B.C.Дерновым, принимавшим в предвоенный период непосредственное участие в разработке ракетных зарядов и внедрении их в производство на заводах. </w:t>
      </w:r>
    </w:p>
    <w:p w14:paraId="1B17A6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Благодаря самоотверженной работе коллектива завода 562 во время ожесточенных боев за Москву поставки зарядов для PC этим заводом были резко увеличины. </w:t>
      </w:r>
    </w:p>
    <w:p w14:paraId="754CFB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Важную роль в поставках ракетных зарядов к PC, предназначенных для частей Советской Армии, участвовавших в обороне Москвы, а также и последующий период, сыграл завод 512, созданный в одном из подмосковных поселков в конце 1941 г. </w:t>
      </w:r>
    </w:p>
    <w:p w14:paraId="2563FF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Завод 512 получил часть эвакуированного с южноукраинского завода оборудования: два гидравлических пресса Круппа, два пресса "Верне-Пфтейдер", четыре штуки калибровочных вальцев и четыре резательных станка. Для организации производства порохов и зарядов были направлены опытные пороховики с других заводов, а также молодые специалисты (С.А.Мекалина, В.О.Морозов, Я.П.Миронов, В.И.Тихонов, Н.И.Тихонова, Н.К.Воловинская и др.). </w:t>
      </w:r>
    </w:p>
    <w:p w14:paraId="084F7A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Освоение производства зарядов было серьезно задержано крупной аварией 11 февраля 1942 г. на фазе прессования. Пресс Круппа был выведен из строя. Не обошлось и без человеческих жертв. Однако уже в марте 1942 г. начался выпуск зарядов, вначале минометных. Производство ракетных зарядов завод начал в мае 1942 г. с выпуска зарядов для M-13 путем переделки привезенных на завод некондиционных артиллерийских нитроглицериновых порохов. В последующие месяцы 1942 г. изготовление и поставка ракетных зарядов шли нарастающим потоком. Важность этих поставок была особенно велика, т.к. время с момента сдачи зарядов до их поступления на сборочные базы, а затем в воинские части, было минимальным — после стабилизации фронта под Москвой в апреле 1942 г. расстояние от завода 512 до позиций советских войск в этом районе не превышало 120 км. </w:t>
      </w:r>
    </w:p>
    <w:p w14:paraId="6C119B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Параллельно с выпуском зарядов из привозных переделочных порохов завод 512 создавал необходимую производственную базу для комплексного изготовления порохов. Так, в начале 1943 г. было завершено строительство нитроузла. 3 марта была проведена первая нитрация глицерина, а 25 марта нитроузел был принят комиссией НКБ СССР в постоянную эксплуатацию. Создание собственной производственной базы позволило заводу резко увеличить выпуск ракетных зарядов, в том числе для ракетного снаряда M-31, разработанного во время войны и принятого на вооружение в марте 1943 г. Уже в апреле 1943 г. завод изготовил для этого снаряда первую партию зарядов — 4300 комплектов. </w:t>
      </w:r>
    </w:p>
    <w:p w14:paraId="7A7FBF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Большое значение для повышения эффективности работы завода имел перевод в июле 1943 г. на завод 512 Особого бюро, находившегося ранее на среднеуральском пороховом заводе. Главным инженером Особого бюро был А.С.Бакаев. Несколько позднее он был переведен на должность главного инженера завода 512. </w:t>
      </w:r>
    </w:p>
    <w:p w14:paraId="11EA11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Особенно возрос объем производства завода в 1944 г. Одной из важных предпосылок для этого явилось продолжавшееся расширение производственной базы завода. Мастерская варки пороховой массы, получив новое оборудование, изготовленное на среднеуральском заводе, перешла на новый прогрессивный полунепрерывный способ изготовления пороховой массы. </w:t>
      </w:r>
    </w:p>
    <w:p w14:paraId="5B9D87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феврале 1944 г. было закончено строительство испытательной базы, что резко сократило время, затрачиваемое на приемные стендовые испытания зарядов, проводившиеся ранее на стендах других предприятий. Первое испытание ракетных зарядов на своей базе было проведено 20 октября 1944 г. </w:t>
      </w:r>
    </w:p>
    <w:p w14:paraId="455D66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мае 1944 г. вступила в строй центральная заводская лаборатория. Результаты проводимых ею анализов приобрели с этого времени официальный характер и начали вноситься в формуляры на выпускаемую продукцию. До мая 1944 г. все необходимые анализы порохов проводились Московским пороховым институтом, что неизбежно удлиняло сроки сдачи готовой, продукции. </w:t>
      </w:r>
    </w:p>
    <w:p w14:paraId="2B2A68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результате выпуск порохов в 1944 г. почти в два раза превысил выпуск в 1943 г. В 1945 г. планы производства ракетных зарядов на заводе 512 были уменьшены. Причиной этого явилось полное развертывание в 1944 г. производства ракетных зарядов на ряде мощных пороховых заводов на востоке страны. </w:t>
      </w:r>
    </w:p>
    <w:p w14:paraId="14E75B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 за годы Великой Отечественной войны завод 512 изготовил около 550 тыс. ракетных зарядов, в том числе для снарядов M-13 около 217 тыс. и для M-13 около 308 тыс. [</w:t>
      </w:r>
      <w:r w:rsidRPr="00640820">
        <w:rPr>
          <w:rFonts w:ascii="Times New Roman" w:hAnsi="Times New Roman"/>
          <w:iCs/>
          <w:color w:val="000000" w:themeColor="text1"/>
          <w:sz w:val="16"/>
          <w:szCs w:val="16"/>
        </w:rPr>
        <w:t>Так в тексте. вероятно имелось в виду М-13 и М-8 — im</w:t>
      </w:r>
      <w:r w:rsidRPr="00640820">
        <w:rPr>
          <w:rFonts w:ascii="Times New Roman" w:hAnsi="Times New Roman"/>
          <w:color w:val="000000" w:themeColor="text1"/>
          <w:sz w:val="16"/>
          <w:szCs w:val="16"/>
        </w:rPr>
        <w:t>]. Все поставленные заряды отличались исключительно высоким качеством. Завод не имел ни одной рекламации от войск за весь период Великой Отечественной войны (11209).</w:t>
      </w:r>
    </w:p>
    <w:p w14:paraId="0A9CB3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1945 г. после окончания Великой Отечественной войны завод 512 как валовый завод по выпуску порохов и зарядов из них прекратил свое существование и был преобразован в научно-исследовательский институт. [</w:t>
      </w:r>
      <w:r w:rsidRPr="00640820">
        <w:rPr>
          <w:rFonts w:ascii="Times New Roman" w:hAnsi="Times New Roman"/>
          <w:iCs/>
          <w:color w:val="000000" w:themeColor="text1"/>
          <w:sz w:val="16"/>
          <w:szCs w:val="16"/>
        </w:rPr>
        <w:t>НИИ-125, г.Дзержинский Московской обл., МАП (1947), МОМ (1965), позднее Научно-исследовательский химико-технологический институт</w:t>
      </w:r>
      <w:r w:rsidRPr="00640820">
        <w:rPr>
          <w:rFonts w:ascii="Times New Roman" w:hAnsi="Times New Roman"/>
          <w:color w:val="000000" w:themeColor="text1"/>
          <w:sz w:val="16"/>
          <w:szCs w:val="16"/>
        </w:rPr>
        <w:t>] (11209).</w:t>
      </w:r>
    </w:p>
    <w:p w14:paraId="389B3A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6188B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 на базе опытных мастерских НИИ-6 организовали боеприпасное производство, являвшееся филиалом завода № 575. Приказом НКБ № 35 от 26.11.1941 г. оно выделено в самостоятельное предприятие- ГСЗ НИИ № 6. В 04.1942г. ему присвоили название ГСЗ № 562 НКБ. По распоряжению СНК СССР от 21.06.1945г. завод № 562 был ликвидирован, его правопреемником стал НИИ-6, куда были переведены основные кадры.</w:t>
      </w:r>
    </w:p>
    <w:p w14:paraId="66AE18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после эвакуации был издан приказ об организации филиалов института: филиал № 1 при заводе № 580 (г. Красноярск); филиал № 2 при заводе № 98 (г. Молотов); филиал № 3 при заводе № 635 (г. Новосибирск); филиал № 4 при заводе № 320 (г. Чебоксары). Затем вышел приказ НКБ № 660 от 1.12.1941 г., отменявший предыдущее решение. В соответствии с ним был организован лишь филиал № 1 на заводе № 320. В Кемерово и Чебоксарах НИИ-6 размещался по 05,1943г., затем реэвакуирован на старое место в Москву.</w:t>
      </w:r>
    </w:p>
    <w:p w14:paraId="3FF791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 руководством М.Я. Васильева в НИИ-6 начаты исследования по противотанковым кумулятивным боеприпасам. В годы войны созданы первые кумулятивные снаряды и гранаты, мощные кумулятивные инженерные боеприпасы, вязкие зажигательные огнесмеси.</w:t>
      </w:r>
    </w:p>
    <w:p w14:paraId="1794E3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годы войны была решена проблема применения импортных пироксилиновых порохов для отечественных боеприпасов. До конца войны институт был единственным в стране комплексным научно-исследовательским учреждением по порохам, ВВ, пиротехническим и зажигательным средствам, по снаряжению боеприпасов и средств инициирования.</w:t>
      </w:r>
    </w:p>
    <w:p w14:paraId="45E726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войны создана лаборатория вязких опнесмесей. В начале 1942г. в НИИ-6 организовано СТБ (специальное техническое бюро) для работ по механизации производства зарядов. В СТБ НИИ-6 разработана конструкция гранатомета ПГ-6 (1944г.) под РПГ-6. В соответствии с пост. ГКО № 4388 от 21.10.1943г. граната РПГ-6 запущена в производство.</w:t>
      </w:r>
    </w:p>
    <w:p w14:paraId="4FBD91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годы войны были созданы: заряд для 82-мм миномета из пористого пороха П45 (совместно с заводом № 40); заряды для 107-мм и 120-мм минометов из пороха ВТМ; жидкая взрывчатая смесь КД; способ бездымной стрельбы из торпедных аппаратов ПЛ.</w:t>
      </w:r>
    </w:p>
    <w:p w14:paraId="368136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ВОВ при НИИ-6 создано СКБ по созданию БЧ для УР. Исследования по воздействию осколков на планер самолета.</w:t>
      </w:r>
    </w:p>
    <w:p w14:paraId="160EEB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03.1948г. институту поручена отработка РДТТ для снаряда М-24. Для него созданы пороха НС, ФСГ.</w:t>
      </w:r>
    </w:p>
    <w:p w14:paraId="5560AD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ВОВ: снаряжение ВВ для первой атомной бомбы. Работы по снарядам дня зенитной артиллерии.</w:t>
      </w:r>
    </w:p>
    <w:p w14:paraId="78F0FD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1955г. начаты работы по БЧ для противоракет систем ПРО. В 1960 г. этим занимался отдел А.В. Воронова в составе 3-х лабораторий. В начале 1960-х г. создано два типа БЧ для космического истребителя спутников ИС (К.Н. Шамшев).</w:t>
      </w:r>
    </w:p>
    <w:p w14:paraId="502AE0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1950-х г. впервые в отрасли начаты исследования и ОКР в области смесевых твердых ракетных топлив, отработка технологий их переработки в заряды. Создано большое количество пороховых и твердотопливных зарядов для ствольной артиллерии и ракет, в т.ч. С-300. Были созданы и внедрены в отрасли программно-целевые методы прогнозирования развития боеприпасов и средств новой техники.</w:t>
      </w:r>
    </w:p>
    <w:p w14:paraId="1803E8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1949г. НИИ-6 - в ведении МСХМ, в 1956г. - ММ, в 1959г. - ГКОТ, с 1964г. - НИИХМ (химматериалов) ММ, с осени 1969г. - ЦНИИХМ (химии и механики).</w:t>
      </w:r>
    </w:p>
    <w:p w14:paraId="68FB28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ГКОТ № 38 от 4.03.1959г. образована отраслевая лаборатория технической безопасности. Затем вошла в состав ЦИК Б.</w:t>
      </w:r>
    </w:p>
    <w:p w14:paraId="0649D0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СМ № 578-236 от 30.05.1960 г. институту поручена разработка твердотопливного заряда для РСЗО «Град». В соответствии с пост. СМ от 7.07.1967г. велась разработка пороха РСИ-12МП для РСЗО «Град». Пост. СМ от 12.02.1971 г. задана разработка пороха РСИ-МБП для РСЗО «Град».</w:t>
      </w:r>
    </w:p>
    <w:p w14:paraId="58C564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 316-137 от 4.04.1961 г. институт привлечен к разработке высокоэнергетических смесевых твердых топлив для малогабаритной ракеты с РДТТ.</w:t>
      </w:r>
    </w:p>
    <w:p w14:paraId="27ABC9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МОП № 24 от 15.04.1965г. институту поручена разработка заряда для 3-й ступени МБР «Темп- 2С». Принимал участие в программе создания ОК «Буран».</w:t>
      </w:r>
    </w:p>
    <w:p w14:paraId="04537F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Институт имел филиал - бывшее СКТБ-80, который в 1965г. преобразован в самостоятельный НИИ-5. По приказу МОП от 23.11.1966г. в составе института образовано ЦНКБ путем слияния конструкторских подразделений НИИ-6 и ВНИИНСМ.</w:t>
      </w:r>
    </w:p>
    <w:p w14:paraId="123DEC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Указом Президента РФ № 939 от 22.06.1993г. и пост. Правительства № 816 от 11.07.1994г. институту присвоен статус ГНЦ РФ. В 2004г.- ФГУП ЦНИИХМ. По Указу Президента РФ № 1009 от 4.08.2004г. вошел в число стратегических оборонных предприятий. Площадь: территории (06.1939г.)- 51,56 га. Численность персонала (06.1939г.)- 1541 чел.</w:t>
      </w:r>
    </w:p>
    <w:p w14:paraId="6CA37E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(1931-33г.)- М.А. Никитин, (1933-36г.)- Зайденберг, (1936-5.01.1938г.)- Я.Л. Березницкий, (5.01.1938-41 г.)- Н.И. Иконников, (14.07.1941-04.1948г.)- А.П. Закощиков, (1948-53г.-)- Т.И. Агафин, (1956г.)-</w:t>
      </w:r>
    </w:p>
    <w:p w14:paraId="57359587" w14:textId="77777777" w:rsidR="00165A9C" w:rsidRPr="00640820" w:rsidRDefault="00165A9C" w:rsidP="00640820">
      <w:pPr>
        <w:tabs>
          <w:tab w:val="left" w:pos="452"/>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 А. Сухих, (1962-70 г.)- И.И. Вернидуб, (1970 г.-)- Н.Н. Афонский, (-1984-90-е)- Ю.И. Краснощеков, (-2000-02г.-&gt;</w:t>
      </w:r>
    </w:p>
    <w:p w14:paraId="3DB640F9" w14:textId="77777777" w:rsidR="00165A9C" w:rsidRPr="00640820" w:rsidRDefault="00165A9C" w:rsidP="00640820">
      <w:pPr>
        <w:tabs>
          <w:tab w:val="left" w:pos="438"/>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С. Фокин.</w:t>
      </w:r>
      <w:r w:rsidRPr="00640820">
        <w:rPr>
          <w:rFonts w:ascii="Times New Roman" w:hAnsi="Times New Roman"/>
          <w:color w:val="000000" w:themeColor="text1"/>
          <w:sz w:val="16"/>
          <w:szCs w:val="16"/>
          <w:vertAlign w:val="superscript"/>
        </w:rPr>
        <w:t>69</w:t>
      </w:r>
    </w:p>
    <w:p w14:paraId="13E75D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директора (1970-84г.)- И.И. Вернидуб.</w:t>
      </w:r>
      <w:r w:rsidRPr="00640820">
        <w:rPr>
          <w:rFonts w:ascii="Times New Roman" w:hAnsi="Times New Roman"/>
          <w:color w:val="000000" w:themeColor="text1"/>
          <w:sz w:val="16"/>
          <w:szCs w:val="16"/>
          <w:vertAlign w:val="superscript"/>
        </w:rPr>
        <w:t>56</w:t>
      </w:r>
      <w:r w:rsidRPr="00640820">
        <w:rPr>
          <w:rFonts w:ascii="Times New Roman" w:hAnsi="Times New Roman"/>
          <w:color w:val="000000" w:themeColor="text1"/>
          <w:sz w:val="16"/>
          <w:szCs w:val="16"/>
        </w:rPr>
        <w:t xml:space="preserve"> Зам. директора: по научной части (1941 г.)- Т.И. Яковлев; по МПВО (1941 г.)- В.А. Салтыков. Помощник директора: по найму и увольнению (1.09.1938г.-)- А.И. Чернов; (1937г.)- Николин.</w:t>
      </w:r>
    </w:p>
    <w:p w14:paraId="2DFFED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по порохам (1941 г.)- Т.И. Яковлев, Г.К. Клименко, А.К. Вострухин; по ВВ, снаряжению и пиротехнике- Е.М. Адаскин, В.З. Смоляницкий.</w:t>
      </w:r>
    </w:p>
    <w:p w14:paraId="4E3937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филиалов: № 1 (1941 г.-)- А.А. Иванов, (12.1941 г.-)- Н.Ф. Ус; № 2 (1941 г.-)- И.Г. Лопук; № 3 (1941 г.-)- В.З. Смоляницкий; № 4 (1941 г.-)- А.П. Ионов.</w:t>
      </w:r>
    </w:p>
    <w:p w14:paraId="0400BC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4-го (1937г.)- Широков; баллистического (20.11.1925г.-)- В.В. Хожев; порохового- В.В. Хожев; ОТК (1941 г.)- В.Г. Раздрогин; (02.1937г.)- Вигский, (1960 г.)- А.В. Воронов. Зам. начальников отделов: порохового- В.В. Хожев; (1960 г.)- В.И. Комков.</w:t>
      </w:r>
    </w:p>
    <w:p w14:paraId="2B587D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лабораторий: № 15 (1941 г.)- Н.Ф. Жиров; № 16 (1940 г.)- С.И. Беленький; целлюлозного сырья для порохов (193 8-41 г.)- А.П. Закощиков; кумулятивных боеприпасов (</w:t>
      </w:r>
      <w:r w:rsidRPr="00640820">
        <w:rPr>
          <w:rFonts w:ascii="Times New Roman" w:hAnsi="Times New Roman"/>
          <w:color w:val="000000" w:themeColor="text1"/>
          <w:sz w:val="16"/>
          <w:szCs w:val="16"/>
          <w:lang w:val="en-US"/>
        </w:rPr>
        <w:t>BOB</w:t>
      </w:r>
      <w:r w:rsidRPr="00640820">
        <w:rPr>
          <w:rFonts w:ascii="Times New Roman" w:hAnsi="Times New Roman"/>
          <w:color w:val="000000" w:themeColor="text1"/>
          <w:sz w:val="16"/>
          <w:szCs w:val="16"/>
        </w:rPr>
        <w:t xml:space="preserve">)-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Ломова; вязких огнесмесей (ВОВ)- А.П. Ионов; пороховой- В.В. Хожев; БЧ противоракет (-1960-67г.)- В.И. Комков, (1967г.-)- Ю.Н. Лазинцев; баллиститных порохов (-1934-37г.-)- Б.П. Фомин (порох «Н»); (1941 г.)- Б.П. Жуков, Е.З. Плюшкин, (09.1945г.-)- К.И. Козорезов, (1948г.)- М.П. Дынкин (РДТТ), С.Т. Мудрак (РДТТ), (1960 г.)- Б.М. Богданов, (1960 г.)- Н.И. Попов, (1980 г.)- М.М. Растопшин (противотанковое вооружение).</w:t>
      </w:r>
    </w:p>
    <w:p w14:paraId="7CCF02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Научный руководитель лаборатории баллиститных порохов (1934-13.12.1937г.)- А.С. Бакаев (репрессирован). Зам. начальника лаборатории: № 16 (06.1940-41 г.-)- И.И. Вернидуб. Гл. конструкторы: (1955г.-)- А.В. Воронов (БЧ противоракет).</w:t>
      </w:r>
    </w:p>
    <w:p w14:paraId="2C934F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мастерских: противотанковых мин (1941 г.-)- К. Хильмончик; зажигательного состава (1941 г.-)- А.Н. Рабинович; лаборатории № 5 (1941 г.)- Г.К. Клименко; тэна (1941 г.)- Т.А. Вагжанова; корпусов: УФ (1941 г.)- Я.Т. Данишевский. Начальник испытательной станции- В.В. Хожев. Зам. начальника корпуса № 18 (1941 г.)- Е.З. Плюшкин.</w:t>
      </w:r>
    </w:p>
    <w:p w14:paraId="2A6031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бюро: СТБ (1942г.-)- И.М. Найман; зарядного- В.В. Хожев, (ВОВ)- И.Г. Лопук; СКБ (1940-е)- М.И. Воротвов.</w:t>
      </w:r>
    </w:p>
    <w:p w14:paraId="475D0A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пороха: «Н» (1930-е), НЦ-10, НФ (1938), ПС (пироксилино-селитренный, 1941), ПК (пироксилино- канифолышй, ВОВ); пороховое снаряжение БЧ и шашки двигателей для РС-132, пороховые заряды 9</w:t>
      </w:r>
      <w:r w:rsidRPr="00640820">
        <w:rPr>
          <w:rFonts w:ascii="Times New Roman" w:hAnsi="Times New Roman"/>
          <w:color w:val="000000" w:themeColor="text1"/>
          <w:sz w:val="16"/>
          <w:szCs w:val="16"/>
          <w:lang w:val="en-US"/>
        </w:rPr>
        <w:t>X</w:t>
      </w:r>
      <w:r w:rsidRPr="00640820">
        <w:rPr>
          <w:rFonts w:ascii="Times New Roman" w:hAnsi="Times New Roman"/>
          <w:color w:val="000000" w:themeColor="text1"/>
          <w:sz w:val="16"/>
          <w:szCs w:val="16"/>
        </w:rPr>
        <w:t>111, 9Х111М2 (1972) для НУР М-21-ОФ, заряды для системы динамической защиты танков; зажигательно- трассирующая пуля «ЗТ» для 7,62-мм патрона (1938); разрывные заряды для авиационных снарядов; жидкий зажигательный состав «нефос» (1940), загуститель нафтенат алюминия ОП-2 (1939); БЧ: для Р-112 (1949), для ЗУР «Даль» (1955), 4Г15 для П-15 (1955-60), 4Г48 для П-6 (1959), 4Г70 для П-25 (1961-62), для П-70 «Аметист» (1960), УРВВ, ПТУР; противотанковая кумулятивная граната РПГ-6 (1943).</w:t>
      </w:r>
    </w:p>
    <w:p w14:paraId="57645F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0AE45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 на базе опытных мастерских НИИ-6 организовали боеприпасное производство, являвшееся филиалом завода № 575. Приказом НКБ № 35 от 26.11.1941 г. оно выделено в самостоятельное предприятие - ГС завод НИИ № 6. Проектная мощность на 1.01.1942т. - 600 т пороха в год.</w:t>
      </w:r>
    </w:p>
    <w:p w14:paraId="78BF25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Были организованы цехи: № 1 (производство баллиститного пороха, шашек к снарядам М-13 и М-8); № 2 (снаряжение противотанковых мин АЦ и ТМБ-2); № 3 (снаряжение противотанковых мин ЯМ-5 и ТМ-35); № 4 (изготовление запалов к противотанковым винтовочным гранатам Сердюка); № 5 (снаряжение гранат РГД-33); № 6 (изготовление зарядов для 50-мм ротного миномета); № 7 (снаряжение 76-мм осколочно-фугасных снарядов и 82-мм осколочных мин); № 8 (производство вискозного пороха ВМ); № 9 (изготовление зажигательных авиабомб типа «огневой мешок»). По приказу НКБ № 624 от 1.11.1941 г. организовано также производство зарядов к 37-мм миномету, а по приказу № 716 от 29.12.1941 г. - гремучертутных капсюлей-детонаторов № 8 и капсюлей- воспламенителей и капсюлей-детонаторов к гранате РГД-33.</w:t>
      </w:r>
    </w:p>
    <w:p w14:paraId="5816C9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04.1942 г. ГСЗ НИИ-6 передан в ведение ЗГУ НКБ, получил наименование ГС завод № 562 НКБ (ГС Завод № 562 НКБ, ГС завод НИИ № 6, п/я 368 /г. Москва 9 п/я 368 «Иншесть» (1943 г.)/) и стал специализироваться как пороховой. Оборудование по изготовлению запалов и снаряжению РГД-33 передано на завод № 11 НКБ, оборудование по снаряжению мин и снарядов - на завод № 568; цехи № 3, 4, 5, 7 закрыты. Из состава цеха № 6 в середине 1942 г. выделили мастерские по изготовлению футляров из нигропленки («лодочек») для дополнительных зарядов 82-мм мин, затем они преобразованы в цех № 3. В 06.1943 г. оборудование по снаряжению мин ТМБ-2 передано заводу № 538 НКБ, закрыт также цех № 8 из-за отсутствия сырья, и на заводе № 562 остались цехи № 1, 6, 9. В составе цеха № 1 организована мастерская № 4 по производству пороха КМ. В 1944 г. цех № 1 размещался в 12 корпусах, цех № 6- в 4, а цех № 9- в двух.</w:t>
      </w:r>
    </w:p>
    <w:p w14:paraId="7D3E17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время ВОВ на заводе существовало КБ. Имелась мастерская резки. В 1944 г. завод прекратил собственное производство пороха (выпущено более 2000 т). С 26.05.1945 г. прекращен выпуск всех боеприпасов.</w:t>
      </w:r>
    </w:p>
    <w:p w14:paraId="520C49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НКБ № 192 от 22.05.1945 г. завод № 562 был ликвидирован, часть рабочих (700 чел.) переведены на завод № 70 им. Владимира Ильича. По распоряжению СНК СССР № 9646/р от 21.06.1945 г. правопреемником завода № 562 стал НИИ-6, куда были переведены основные кадры.</w:t>
      </w:r>
    </w:p>
    <w:p w14:paraId="3C69D5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(12.1942 г.)- 1707 чел., (конец 1943 г.)- 1574 чел.</w:t>
      </w:r>
    </w:p>
    <w:p w14:paraId="432CC5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производственная- 5760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вспомогательная- 65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279FE8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(26.11.1941 -28.09.1942 г.)- М.З. Тененбаум, (09.1942-44 г.-)- А.П. Закощиков (одновременно был директором НИИ-6).</w:t>
      </w:r>
    </w:p>
    <w:p w14:paraId="3CAF1B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(1941 г.)- А.Н. Рабинович, (-1942-44 г.-&gt; С.М. Голубков.</w:t>
      </w:r>
    </w:p>
    <w:p w14:paraId="24ABD8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w:t>
      </w:r>
      <w:r w:rsidRPr="00640820">
        <w:rPr>
          <w:rFonts w:ascii="Times New Roman" w:hAnsi="Times New Roman"/>
          <w:color w:val="000000" w:themeColor="text1"/>
          <w:sz w:val="16"/>
          <w:szCs w:val="16"/>
          <w:lang w:val="en-US"/>
        </w:rPr>
        <w:t>BOB</w:t>
      </w:r>
      <w:r w:rsidRPr="00640820">
        <w:rPr>
          <w:rFonts w:ascii="Times New Roman" w:hAnsi="Times New Roman"/>
          <w:color w:val="000000" w:themeColor="text1"/>
          <w:sz w:val="16"/>
          <w:szCs w:val="16"/>
        </w:rPr>
        <w:t xml:space="preserve">)- </w:t>
      </w:r>
      <w:r w:rsidRPr="00640820">
        <w:rPr>
          <w:rFonts w:ascii="Times New Roman" w:hAnsi="Times New Roman"/>
          <w:color w:val="000000" w:themeColor="text1"/>
          <w:sz w:val="16"/>
          <w:szCs w:val="16"/>
          <w:lang w:val="en-US"/>
        </w:rPr>
        <w:t>JI</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 Смирнов.</w:t>
      </w:r>
    </w:p>
    <w:p w14:paraId="6F9D3F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цехов: № 1 (1944 г.)- А. Сидоров; № 6- ДА. Смирнов, (1944 г.)- И.Н. Кузнецов; № 9 (1944 г.)- П.П. Вахрушев; баллиститного пороха (</w:t>
      </w:r>
      <w:r w:rsidRPr="00640820">
        <w:rPr>
          <w:rFonts w:ascii="Times New Roman" w:hAnsi="Times New Roman"/>
          <w:color w:val="000000" w:themeColor="text1"/>
          <w:sz w:val="16"/>
          <w:szCs w:val="16"/>
          <w:lang w:val="en-US"/>
        </w:rPr>
        <w:t>BOB</w:t>
      </w:r>
      <w:r w:rsidRPr="00640820">
        <w:rPr>
          <w:rFonts w:ascii="Times New Roman" w:hAnsi="Times New Roman"/>
          <w:color w:val="000000" w:themeColor="text1"/>
          <w:sz w:val="16"/>
          <w:szCs w:val="16"/>
        </w:rPr>
        <w:t xml:space="preserve">)-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Дерновой.</w:t>
      </w:r>
    </w:p>
    <w:p w14:paraId="7E9AEB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начальника цеха: баллиститного пороха (ВОВ)- Н.П. Сазонов.</w:t>
      </w:r>
    </w:p>
    <w:p w14:paraId="183BC0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КБ (ВОВ)- А.Н. Сладкое.</w:t>
      </w:r>
    </w:p>
    <w:p w14:paraId="476195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2-го (04.1943 г.)- Гинзбур г.</w:t>
      </w:r>
    </w:p>
    <w:p w14:paraId="05BEAA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заряды: к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 xml:space="preserve"> М-8 - 25,8 тыс., к М-13 (1941-45)- 189,5 тыс., к 37-мм, 50-мм минам (1941-45)- 16,9 млн., 82-мм минам (1941-45)- 45,3 млн., П3-23, ПЗ-54; ручные гранаты РГД-33 (1941-44)- 1316 тыс.; противотанковые мины АЦ (асбоцементный корпус), ТМБ-2, ТМ-35, ЯМ-5 (1941-45)- всего 1325,8 тыс.; выстрелы к фугасным огнеметам ФОГ-2 (1941-)- 674,4 тыс.; термитно-зажигательные шашки- 1442 тыс., шашки из пороха НТВ; запалы к гранатам Сердюка (1941-)- 350,8 тыс.; капсюли-детонаторы (1941-)- 1,08 млн.; взрывные заклепки - 1,5 млн.;</w:t>
      </w:r>
      <w:r w:rsidRPr="00640820">
        <w:rPr>
          <w:rFonts w:ascii="Times New Roman" w:hAnsi="Times New Roman"/>
          <w:iCs/>
          <w:color w:val="000000" w:themeColor="text1"/>
          <w:sz w:val="16"/>
          <w:szCs w:val="16"/>
        </w:rPr>
        <w:t xml:space="preserve"> порох:</w:t>
      </w:r>
      <w:r w:rsidRPr="00640820">
        <w:rPr>
          <w:rFonts w:ascii="Times New Roman" w:hAnsi="Times New Roman"/>
          <w:color w:val="000000" w:themeColor="text1"/>
          <w:sz w:val="16"/>
          <w:szCs w:val="16"/>
        </w:rPr>
        <w:t xml:space="preserve"> вискозный ВМ, НБУЛ-33, кордитный минометный КМ (1943)-19,5 т, медленногорящий МК- 81,5 т; нитроглицериновый НБСП-14-47; ВВ: тэн- 15 т, амматол 80/20- более 5000 т; самовоспламеняющиеся составы- 250 т. (11982).</w:t>
      </w:r>
    </w:p>
    <w:p w14:paraId="7E9851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47E22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 на площадку строящейся трикотажной фабрики, где имелось два корпуса (один- главный, второй - где позднее размещен литейный цех), эвакуированы заводы НКБ (всего 1783 чел.): № 65 из Таганрога (производство РГМ, 1002 ед. оборудования, из них 122 ед. подлежали передаче комбинату № 179), к 30.12.1941 г. прибыла половина оборудования; завода № 512 из Люберец (производство 20- и 23-мм снарядов, раций и взрывателей К-6 и В-179, всего 665 ед. оборудования), к 30.12.1941 г. все оборудование прибыло. Осенью 1941 г. на их базе организован новый завод № 564 НКБ (Завод № 564 НКБ, п/я 23, Новосибирский завод точного машиностроения «Точмаш», ПО «Комета» им. С.П. Королева, ФГУП «Комета» Росбоеприпаса, ОАО «Комета» /г. Новосибирск п/я 25 (1943 г.)/ /630015  г. Новосибирск ул. Королева, 40/). Первая продукция выпущена 12.12.1941 г. К 1.01.1942 г. восстановлено производство: корпусов снарядов: 20-мм - 5,4 млн. шт. в год, 23-мм - 1,32 млн. шт.; взрывателей: К-6 - 1,8 млн. шт., В-179 -</w:t>
      </w:r>
      <w:r w:rsidRPr="00640820">
        <w:rPr>
          <w:rFonts w:ascii="Times New Roman" w:hAnsi="Times New Roman"/>
          <w:iCs/>
          <w:color w:val="000000" w:themeColor="text1"/>
          <w:sz w:val="16"/>
          <w:szCs w:val="16"/>
        </w:rPr>
        <w:t xml:space="preserve"> 360</w:t>
      </w:r>
      <w:r w:rsidRPr="00640820">
        <w:rPr>
          <w:rFonts w:ascii="Times New Roman" w:hAnsi="Times New Roman"/>
          <w:color w:val="000000" w:themeColor="text1"/>
          <w:sz w:val="16"/>
          <w:szCs w:val="16"/>
        </w:rPr>
        <w:t xml:space="preserve"> тыс. шт. Завод полностью вступил в строй во 2-й половине 1943 г.</w:t>
      </w:r>
    </w:p>
    <w:p w14:paraId="66065D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12.1942-09.1944 г. - в ведении 2ГУ НКБ. Имел обозначение «п/я 25(3)» (1943 г.).</w:t>
      </w:r>
    </w:p>
    <w:p w14:paraId="1D3D2E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Выпускал снаряды, авиабомбы, взрыватели. В соответствии с пост. ГКО № 3696 от 6.07.1943 г. на завод откомандировано 8 радиоспециалистов для производства радиостанций А-7; в соответствии с пост. ГКО № 4606 от 20.11.1943 г. на заводы № 564 и 677 мобилизовано 950 чел. 21.04.1944 г. вышло распоряжение ГКО № 5698 о мерах по обеспечению увеличения производства на заводе взрывателей для артснарядов. 11.10.1944 г. - распоряжение ГКО № 6694 о поставке заводу спецукупорки для взрывателей и освобождении завода от ремонта электромоторов. 20.04.1945 г. вышло распоряжение ГКО № 8232 о мерах по переносу производства радиостанций А-7 с завода.</w:t>
      </w:r>
    </w:p>
    <w:p w14:paraId="4F3A00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1950-х  г. завод перепрофилирован на производство точного машиностроения. Проведена реконструкция. Начато освоение выпуска магнитофонов. Позднее освоен выпуск переносных радиостанций.</w:t>
      </w:r>
    </w:p>
    <w:p w14:paraId="7F3CF8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Имел наименование «п/я 23». В '1960-е  г.- в ведении Управления точного машиностроения Западно- Сибирского совнархоза.</w:t>
      </w:r>
      <w:r w:rsidRPr="00640820">
        <w:rPr>
          <w:rFonts w:ascii="Times New Roman" w:hAnsi="Times New Roman"/>
          <w:color w:val="000000" w:themeColor="text1"/>
          <w:sz w:val="16"/>
          <w:szCs w:val="16"/>
          <w:vertAlign w:val="superscript"/>
        </w:rPr>
        <w:t>80</w:t>
      </w:r>
    </w:p>
    <w:p w14:paraId="610FC2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было в 1975 г. По Указу Президента РФ № 1009 от 4.08.2004 г. ФГУП «Комета» вошло в число стратегических оборонных предприятий. В 2005 г. предприятие было акционировано и преобразовано в ОАО. Проведена реструктуризация, производственные мощности (более 1000 единиц оборудования) сосредоточены в одном 4-этажном корпусе. ФГУП «Комета» в 2009 г. являлось банкротом.</w:t>
      </w:r>
    </w:p>
    <w:p w14:paraId="34A578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(1943 г.)- 1426 ед.</w:t>
      </w:r>
    </w:p>
    <w:p w14:paraId="4B0AA6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производственная (1943 г.)- 20228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(2005 г.)- 12 тыс.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вспомогательная (1943 г.)- 4700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729C84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(12.1942 г.)- 6205 чел.</w:t>
      </w:r>
    </w:p>
    <w:p w14:paraId="799864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(04.1943 г.)- Безбородов, (1944-45 г.-)- П.В. Родионов, (1950-е)- М.Н. Королев.</w:t>
      </w:r>
    </w:p>
    <w:p w14:paraId="6655AC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(08.1942 г.-)- П.В. Родионов.</w:t>
      </w:r>
    </w:p>
    <w:p w14:paraId="7FB503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мобилизационно-планового (04.1943 г.)- Любарский.</w:t>
      </w:r>
    </w:p>
    <w:p w14:paraId="5E663E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взрыватели: КТМ-1, В-179 (1943); снаряды 20-мм; радиостанции: РБС (1943),</w:t>
      </w:r>
      <w:r w:rsidRPr="00640820">
        <w:rPr>
          <w:rFonts w:ascii="Times New Roman" w:hAnsi="Times New Roman"/>
          <w:color w:val="000000" w:themeColor="text1"/>
          <w:sz w:val="16"/>
          <w:szCs w:val="16"/>
          <w:vertAlign w:val="superscript"/>
        </w:rPr>
        <w:t>132</w:t>
      </w:r>
      <w:r w:rsidRPr="00640820">
        <w:rPr>
          <w:rFonts w:ascii="Times New Roman" w:hAnsi="Times New Roman"/>
          <w:color w:val="000000" w:themeColor="text1"/>
          <w:sz w:val="16"/>
          <w:szCs w:val="16"/>
        </w:rPr>
        <w:t xml:space="preserve"> А-7 (1945), переносные радиостанции; магнето;</w:t>
      </w:r>
      <w:r w:rsidRPr="00640820">
        <w:rPr>
          <w:rFonts w:ascii="Times New Roman" w:hAnsi="Times New Roman"/>
          <w:iCs/>
          <w:color w:val="000000" w:themeColor="text1"/>
          <w:sz w:val="16"/>
          <w:szCs w:val="16"/>
        </w:rPr>
        <w:t xml:space="preserve"> магнитофоны:</w:t>
      </w:r>
      <w:r w:rsidRPr="00640820">
        <w:rPr>
          <w:rFonts w:ascii="Times New Roman" w:hAnsi="Times New Roman"/>
          <w:color w:val="000000" w:themeColor="text1"/>
          <w:sz w:val="16"/>
          <w:szCs w:val="16"/>
        </w:rPr>
        <w:t xml:space="preserve"> «Мелодия МГ-56», «Комета», «Комета МГ-201, -206, -209, - 212С, -214, -220С, -225С, -230С, -101С, -118С, -120С, МК-120С»; магнитола «Гродно»; видеомагнитофон «Кадр- 103СЦ»; антенна «Комета АА-01» (11982).</w:t>
      </w:r>
    </w:p>
    <w:p w14:paraId="136DF7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CC5B7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 на площадку завода № 606 (Завод № 606 НКБ, Кемеровский механический завод, п/я 95, ФГУП «Кемеровский механический завод» Росбоеприпаса /г. Кемерово п/я 95 «Рейд» (1943 г.)/ /650006  г. Кемерово 1-я Стахановская ул., 1/) эвакуированы заводы НКБ: из Ногинска завод № 510 (производство 23- мм снарядов, 483 ед. оборудования, 650 чел.), к 30.12.1941 г. почти все оборудование прибыло (64 станка подлежали передаче на другие заводы), часть его смонтирована и введена в строй, первая продукция выпущена в 11.1941 г.; к 30.01.1942 г. восстановлено производство мощностью: гильзы 23-мм - 3 млн. шт. в год; патронирование 23-мм снарядов - 3 млн. шт.; корпуса 23-мм снарядов - 2 млн. шт.; часть завода № 187 НКБ (производство 23-мм снарядов, 34 ед. оборудования), к 30.12.1941 г. прибыло 10 ед.</w:t>
      </w:r>
      <w:r w:rsidRPr="00640820">
        <w:rPr>
          <w:rFonts w:ascii="Times New Roman" w:hAnsi="Times New Roman"/>
          <w:color w:val="000000" w:themeColor="text1"/>
          <w:sz w:val="16"/>
          <w:szCs w:val="16"/>
          <w:vertAlign w:val="superscript"/>
        </w:rPr>
        <w:t>Ь2</w:t>
      </w:r>
    </w:p>
    <w:p w14:paraId="4827DD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07.1941 г. начато освоение выпуска чугунных специзделий. По решению ГКО в 1942 г. налажено производство снарядных гильз.</w:t>
      </w:r>
    </w:p>
    <w:p w14:paraId="3C6B54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завода (1943 г.): основные корпуса: «А», «Б», сборочный; вспомогательные цехи: тарный, заготовительный, инструментальный. Количество оборудования- 401 ед.</w:t>
      </w:r>
    </w:p>
    <w:p w14:paraId="7C860F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было освоено производство сельхозтехники, затастей для нее, ТНП. Затем одним из первых завод освоил и внедрил в массовое производство сложных контрольно-измерительных приборов.</w:t>
      </w:r>
    </w:p>
    <w:p w14:paraId="3E1952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Производство (1999 г.): боеприпасы бризантного действия для артиллерийских систем, гранатометов, минометов; патроны; гильзы к боеприпасам; запчасти для атомобилей и для машин животноводства и кормопроизводства; фильтры очистки масла.</w:t>
      </w:r>
    </w:p>
    <w:p w14:paraId="6C6D1B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30C038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(1943 г.): производственная- 8541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вспомогательная- 6180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59480F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(12.1942 г.)- 3351 чел., (2002 г.)-1100 чел.</w:t>
      </w:r>
    </w:p>
    <w:p w14:paraId="3C945E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(-04-11.1943 г.-)- Кисурин. Гендиректор (-2000-03 г.-)-  Г.М. Тузков.</w:t>
      </w:r>
    </w:p>
    <w:p w14:paraId="2305EB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ППО (04.1943 г.)- Шевченко.</w:t>
      </w:r>
    </w:p>
    <w:p w14:paraId="35250E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снаряды, патроны, гильзы (1943) (1982).</w:t>
      </w:r>
    </w:p>
    <w:p w14:paraId="69AB6D1E" w14:textId="77777777" w:rsidR="00F24BA9" w:rsidRPr="00640820" w:rsidRDefault="00F24BA9" w:rsidP="00640820">
      <w:pPr>
        <w:spacing w:after="0" w:line="240" w:lineRule="auto"/>
        <w:jc w:val="both"/>
        <w:rPr>
          <w:rFonts w:ascii="Times New Roman" w:hAnsi="Times New Roman"/>
          <w:color w:val="000000" w:themeColor="text1"/>
          <w:sz w:val="16"/>
          <w:szCs w:val="16"/>
        </w:rPr>
      </w:pPr>
    </w:p>
    <w:p w14:paraId="7085FF7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года Сталинградский тракторный сдал 200 Т-34 и 219 в декабре, изготовив в общей сложности за 1941 год 1250 танков Т-34 (12217).</w:t>
      </w:r>
    </w:p>
    <w:p w14:paraId="5FA5B9AA"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73D0955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в своих выводах по новому методу изготовления башен на заводе № 264 говорилось:</w:t>
      </w:r>
    </w:p>
    <w:p w14:paraId="23FDD14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«Преимущества изготовления башни Т-34 из незакаленных деталей с последующей закалкой:</w:t>
      </w:r>
    </w:p>
    <w:p w14:paraId="5B52136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Уничтожается необходимость правки деталей после калки. Правка 45 мм деталей башни из брони высокой твердости является весьма трудоемкой операцией, требующей 28 прессо-часов для правки одного комплекта.</w:t>
      </w:r>
    </w:p>
    <w:p w14:paraId="76BFB10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При сборке башни из незакаленных деталей значительно упростилась технология изготовления деталей, потребное время для мехобра- ботки, снизилось в 4 раза (с 76,8 станко-часов доведена до 18,8 стан- ко-часов).</w:t>
      </w:r>
    </w:p>
    <w:p w14:paraId="32F86757"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Механическая прочность сварных швов значительно увеличивается, так как уничтожаются различные зоны в металле, образующиеся после сварки.</w:t>
      </w:r>
    </w:p>
    <w:p w14:paraId="7EA134D1"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закалка башен в собранном виде повышает производительность термических печей.</w:t>
      </w:r>
    </w:p>
    <w:p w14:paraId="0974295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новой технологии заводом № 264 изготовлено более 100 башен (отчет по новому методу изготовления башен датирован ноябрем 1941 года. - Прим. автора) и при этом неизменно получались хорошие результаты, поэтому считаем необходимым рекомендовать заводам Танкостроения применять этот метод при изготовлении различных узлов из брони высокой твердости для всех танков, изготовляемых нашей промышленностью».</w:t>
      </w:r>
    </w:p>
    <w:p w14:paraId="4861D7C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изготовлении корпуса по новому методу предлагалось сократить режим термообработки деталей, внести в конструкцию последних ряд изменений, использовать газовую резку без последующей обработки кромок, а также, как и в конструкции башни, производить соединение бронелистов в «шип».</w:t>
      </w:r>
    </w:p>
    <w:p w14:paraId="6C9FAE7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использовании нового метода значительно упрощалась термообработка бронедеталей, так как технология завода имени Ильича оказалась мало применимой на заводе № 264 — на последнем не имелось нужного количества закалочных ванн и отпускных печей. Применение соединения в «шип» и отмена обработки кромок позволили отказаться от высокого отпуска, так как проведенные опыты показали, что можно значительно сократить время низкого отпуска для деталей из стали 8с. Кроме того, теперь можно было загружать детали для закалки в печь в несколько рядов, что позволяло выиграть время для их изготовления.</w:t>
      </w:r>
    </w:p>
    <w:p w14:paraId="44F57F9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 все-таки основными операциями, позволившими сократить производственный цикл выпуска корпусов и башен по новому методу, являлась отмена строжки кромок и соединение деталей в «шип». Справедливости ради следует сказать, что автором, предложившим введение этих операций вместо используемых ранее был старший военпред ГАБТУ КА на заводе № 264 военинженер 3-го ранга Морозов. Используя его предложения группа инженеров завода № 264 и НИИ-48 (о чем говорилось выше) разработала новый метод изготовления бронекорпуса и башни.</w:t>
      </w:r>
    </w:p>
    <w:p w14:paraId="192BEA9E"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этом время, потребное для изготовления одного комплекта сокращалось со 199 до 36 станко-часов - в пять с половиной раз! Кроме того, завод № 264 провел исследования по возможности газовой резки уже закаленных деталей, давшие положительный результат. Это в последующем позволило сократить цикл сборки бронекорпуса с 216 до 48, а в некоторых случаях до 36 часов (12217).</w:t>
      </w:r>
    </w:p>
    <w:p w14:paraId="44D47C6D"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26B630F3" w14:textId="77777777" w:rsidR="00165A9C" w:rsidRPr="00640820" w:rsidRDefault="00165A9C" w:rsidP="00640820">
      <w:pPr>
        <w:pStyle w:val="a3"/>
        <w:rPr>
          <w:color w:val="000000" w:themeColor="text1"/>
          <w:lang w:val="ru-RU"/>
        </w:rPr>
      </w:pPr>
      <w:r w:rsidRPr="00640820">
        <w:rPr>
          <w:color w:val="000000" w:themeColor="text1"/>
          <w:lang w:val="ru-RU"/>
        </w:rPr>
        <w:t>В ноябре 1941 г. Из Наркомтанкопрома последовало указание отдельным заводам спроектиро</w:t>
      </w:r>
      <w:r w:rsidRPr="00640820">
        <w:rPr>
          <w:color w:val="000000" w:themeColor="text1"/>
          <w:lang w:val="ru-RU"/>
        </w:rPr>
        <w:softHyphen/>
        <w:t>вать и изготовить подвижные артиллерийские средства более высокой скорострельности, чем обычный линейный танк. К работе приступили артиллеристы «Уралмаша» (УЗТМ). Подобное задание получили и в СКБ-2 Челя</w:t>
      </w:r>
      <w:r w:rsidRPr="00640820">
        <w:rPr>
          <w:color w:val="000000" w:themeColor="text1"/>
          <w:lang w:val="ru-RU"/>
        </w:rPr>
        <w:softHyphen/>
        <w:t>бинского Кировского завода. В качестве базы такого «артиллерийского» танка рекомендо</w:t>
      </w:r>
      <w:r w:rsidRPr="00640820">
        <w:rPr>
          <w:color w:val="000000" w:themeColor="text1"/>
          <w:lang w:val="ru-RU"/>
        </w:rPr>
        <w:softHyphen/>
        <w:t>валось взять КВ. Ведущим конструктором КВ-7 был назначен Л.Е. Сычев. В этой работе непосредственное участие приняли Л.И. Горлицкий, Г.С. Ефимов, Н.В. Курин и другие. Блок вооружения разрабатывал Г.Н. Москвин.</w:t>
      </w:r>
    </w:p>
    <w:p w14:paraId="36809B77" w14:textId="77777777" w:rsidR="00165A9C" w:rsidRPr="00640820" w:rsidRDefault="00165A9C" w:rsidP="00640820">
      <w:pPr>
        <w:pStyle w:val="a3"/>
        <w:rPr>
          <w:color w:val="000000" w:themeColor="text1"/>
          <w:lang w:val="ru-RU"/>
        </w:rPr>
      </w:pPr>
      <w:r w:rsidRPr="00640820">
        <w:rPr>
          <w:color w:val="000000" w:themeColor="text1"/>
          <w:lang w:val="ru-RU"/>
        </w:rPr>
        <w:t>Вооружение машины состояло из 76,2-мм танковой пушки ЗИС-5, установленной посре</w:t>
      </w:r>
      <w:r w:rsidRPr="00640820">
        <w:rPr>
          <w:color w:val="000000" w:themeColor="text1"/>
          <w:lang w:val="ru-RU"/>
        </w:rPr>
        <w:softHyphen/>
        <w:t>дине, и двух 45-мм пушек обр. 1932—1934 гг., размещенных по бокам. Все три орудия имели одну общую люльку. '</w:t>
      </w:r>
    </w:p>
    <w:p w14:paraId="7ED8FF1D" w14:textId="77777777" w:rsidR="00165A9C" w:rsidRPr="00640820" w:rsidRDefault="00165A9C" w:rsidP="00640820">
      <w:pPr>
        <w:pStyle w:val="a3"/>
        <w:rPr>
          <w:color w:val="000000" w:themeColor="text1"/>
          <w:lang w:val="ru-RU"/>
        </w:rPr>
      </w:pPr>
      <w:r w:rsidRPr="00640820">
        <w:rPr>
          <w:color w:val="000000" w:themeColor="text1"/>
          <w:lang w:val="ru-RU"/>
        </w:rPr>
        <w:t>Особый интерес в конструкции КВ-7 пред</w:t>
      </w:r>
      <w:r w:rsidRPr="00640820">
        <w:rPr>
          <w:color w:val="000000" w:themeColor="text1"/>
          <w:lang w:val="ru-RU"/>
        </w:rPr>
        <w:softHyphen/>
        <w:t>ставляла схема «карданного подвеса» блока орудий в сварной броневой рубке, предло</w:t>
      </w:r>
      <w:r w:rsidRPr="00640820">
        <w:rPr>
          <w:color w:val="000000" w:themeColor="text1"/>
          <w:lang w:val="ru-RU"/>
        </w:rPr>
        <w:softHyphen/>
        <w:t>женная Г.Н. Москвиным. Расположение ору</w:t>
      </w:r>
      <w:r w:rsidRPr="00640820">
        <w:rPr>
          <w:color w:val="000000" w:themeColor="text1"/>
          <w:lang w:val="ru-RU"/>
        </w:rPr>
        <w:softHyphen/>
        <w:t>дий в мощной стальной рамке обеспечивало большую компактность по сравнению с тум</w:t>
      </w:r>
      <w:r w:rsidRPr="00640820">
        <w:rPr>
          <w:color w:val="000000" w:themeColor="text1"/>
          <w:lang w:val="ru-RU"/>
        </w:rPr>
        <w:softHyphen/>
        <w:t>бовым. Углы наводки по горизонтали состав</w:t>
      </w:r>
      <w:r w:rsidRPr="00640820">
        <w:rPr>
          <w:color w:val="000000" w:themeColor="text1"/>
          <w:lang w:val="ru-RU"/>
        </w:rPr>
        <w:softHyphen/>
        <w:t>ляли ±7*30', по вертикали — от -5° до 15°. Бое</w:t>
      </w:r>
      <w:r w:rsidRPr="00640820">
        <w:rPr>
          <w:color w:val="000000" w:themeColor="text1"/>
          <w:lang w:val="ru-RU"/>
        </w:rPr>
        <w:softHyphen/>
        <w:t>вая скорострельность пушек теперь достигала 12 выстр./мин. Обеспечивалась стрельба как из одной пушки, так и одновременно из трех, т.е. залпом.</w:t>
      </w:r>
    </w:p>
    <w:p w14:paraId="65C00866" w14:textId="77777777" w:rsidR="00165A9C" w:rsidRPr="00640820" w:rsidRDefault="00165A9C" w:rsidP="00640820">
      <w:pPr>
        <w:pStyle w:val="a3"/>
        <w:rPr>
          <w:color w:val="000000" w:themeColor="text1"/>
          <w:lang w:val="ru-RU"/>
        </w:rPr>
      </w:pPr>
      <w:r w:rsidRPr="00640820">
        <w:rPr>
          <w:color w:val="000000" w:themeColor="text1"/>
          <w:lang w:val="ru-RU"/>
        </w:rPr>
        <w:t>Спроектированный таким образом «артил</w:t>
      </w:r>
      <w:r w:rsidRPr="00640820">
        <w:rPr>
          <w:color w:val="000000" w:themeColor="text1"/>
          <w:lang w:val="ru-RU"/>
        </w:rPr>
        <w:softHyphen/>
        <w:t>лерийский» танк КВ-7 практически стал первой советской самоходной установкой тяжелого, полностью закрытого типа. Рамочная кон</w:t>
      </w:r>
      <w:r w:rsidRPr="00640820">
        <w:rPr>
          <w:color w:val="000000" w:themeColor="text1"/>
          <w:lang w:val="ru-RU"/>
        </w:rPr>
        <w:softHyphen/>
        <w:t>струкция установки орудий, впервые приме</w:t>
      </w:r>
      <w:r w:rsidRPr="00640820">
        <w:rPr>
          <w:color w:val="000000" w:themeColor="text1"/>
          <w:lang w:val="ru-RU"/>
        </w:rPr>
        <w:softHyphen/>
        <w:t>ненная в этой машине, в дальнейшем повторя</w:t>
      </w:r>
      <w:r w:rsidRPr="00640820">
        <w:rPr>
          <w:color w:val="000000" w:themeColor="text1"/>
          <w:lang w:val="ru-RU"/>
        </w:rPr>
        <w:softHyphen/>
        <w:t>лась на большинстве отечественных САУ (12619).</w:t>
      </w:r>
    </w:p>
    <w:p w14:paraId="130F1D7B" w14:textId="77777777" w:rsidR="00165A9C" w:rsidRPr="00640820" w:rsidRDefault="00165A9C" w:rsidP="00640820">
      <w:pPr>
        <w:pStyle w:val="a3"/>
        <w:rPr>
          <w:color w:val="000000" w:themeColor="text1"/>
          <w:lang w:val="ru-RU"/>
        </w:rPr>
      </w:pPr>
    </w:p>
    <w:p w14:paraId="45EAA4C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года активизировались работы по значительной части проектов самоходных установок, которые упоминались в проекте постановления СНК СССР и ЦК ВКП(б) «О самоходной артиллерии» от 27 мая 1941 года. Тема истребителя ДОТов пропала из приоритетных заданий, но совсем ненадолго. Практически все работы до начала 1942 года находились в стадии проработки тактико-технических требований, речи не шло даже об эскизных проектах. Дело в том, что большинство заводов, на которые возлагалась разработка САУ, либо находились в процессе организации производства на площадках, куда их эвакуировали летом и осенью 1941 года, либо были загружены более срочными заказами. Тем не менее в плане опытных работ на 1942 год снова появилась тема «Танк КВ-3» со сроком окончания работ 1 мая 1942 года. По этой же теме проходили «двухтактный дизель мощностью 1200 л. с.» (срок завершения работ — 1 октября 1942 года) и «форсировка дизеля В-2 наддувом до 1200 л. с.» (срок завершения работ — 1 июля 1942 года). В марте 1942 года вновь всплывает тема под названием «152-мм самоходная пушка на агрегатах шасси танка «КВ» (истребитель ДОТов)». В качестве базы указывался танк КВ, вооружение — качающаяся часть от пушки БР-2. Ответственным за шасси назначался созданный в марте 1942 года опытный завод № 100 НКТП (г. Челябинск). За орудийную часть отвечал организованный на новом месте завод № 8 НКВ (г. Свердловск). На опытные работы выделялось 1,5 миллиона рублей, опытный образец ожидалось изготовить к 1 июля 1942 года. Впрочем, тему КВ-3 к весне 1942 года похоронили окончательно, а в качестве базы для истребителя ДОТов стали рассматривать совсем другую машину (12264).</w:t>
      </w:r>
    </w:p>
    <w:p w14:paraId="55C0C08F"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5EA80C5B" w14:textId="77777777" w:rsidR="00165A9C" w:rsidRPr="00640820" w:rsidRDefault="00165A9C" w:rsidP="00640820">
      <w:pPr>
        <w:pStyle w:val="afffff3"/>
        <w:autoSpaceDE/>
        <w:autoSpaceDN/>
        <w:adjustRightInd/>
        <w:ind w:left="0"/>
        <w:contextualSpacing w:val="0"/>
        <w:jc w:val="both"/>
        <w:rPr>
          <w:rFonts w:eastAsia="Times New Roman"/>
          <w:color w:val="000000" w:themeColor="text1"/>
          <w:sz w:val="16"/>
          <w:szCs w:val="16"/>
          <w:lang w:eastAsia="ru-RU"/>
        </w:rPr>
      </w:pPr>
      <w:r w:rsidRPr="00640820">
        <w:rPr>
          <w:rFonts w:eastAsia="Times New Roman"/>
          <w:color w:val="000000" w:themeColor="text1"/>
          <w:sz w:val="16"/>
          <w:szCs w:val="16"/>
          <w:lang w:eastAsia="ru-RU"/>
        </w:rPr>
        <w:t>В ноябре 1941 года главным конструктором НКТП Ж.Я. Котиным для развертывания работ над «многоорудийным» танком было инициировано постановление ГАБТУ КА, на основании которого по указанию наркома В.А.Малышева, были заданы работы по теме одновременно отделу №5 УЗТМ г. Свердловск, СКБ-2 ЧКЗ г.Челябинск и отделу №520 завода №183 г. Нижний Тагил.</w:t>
      </w:r>
    </w:p>
    <w:p w14:paraId="6FEEFA2A" w14:textId="77777777" w:rsidR="00165A9C" w:rsidRPr="00640820" w:rsidRDefault="00165A9C" w:rsidP="00640820">
      <w:pPr>
        <w:pStyle w:val="afffff3"/>
        <w:autoSpaceDE/>
        <w:autoSpaceDN/>
        <w:adjustRightInd/>
        <w:ind w:left="0"/>
        <w:contextualSpacing w:val="0"/>
        <w:jc w:val="both"/>
        <w:rPr>
          <w:rFonts w:eastAsia="Times New Roman"/>
          <w:color w:val="000000" w:themeColor="text1"/>
          <w:sz w:val="16"/>
          <w:szCs w:val="16"/>
          <w:lang w:eastAsia="ru-RU"/>
        </w:rPr>
      </w:pPr>
      <w:r w:rsidRPr="00640820">
        <w:rPr>
          <w:rFonts w:eastAsia="Times New Roman"/>
          <w:color w:val="000000" w:themeColor="text1"/>
          <w:sz w:val="16"/>
          <w:szCs w:val="16"/>
          <w:lang w:eastAsia="ru-RU"/>
        </w:rPr>
        <w:t>Данная работа была крайне важна лично Ж.Я.Котину, ибо это был шанс хоть в какой-то мере «реабилитировать» танк КВ, явно уступающий «тридцатьчетверке» в условиях начавшейся большой войны. Подключение к этой ОКР других КБ наркомата, создавало видимость конкурса и коллективного движения в одном направлении.</w:t>
      </w:r>
    </w:p>
    <w:p w14:paraId="3E0007CE" w14:textId="77777777" w:rsidR="00165A9C" w:rsidRPr="00640820" w:rsidRDefault="00165A9C" w:rsidP="00640820">
      <w:pPr>
        <w:pStyle w:val="afffff3"/>
        <w:autoSpaceDE/>
        <w:autoSpaceDN/>
        <w:adjustRightInd/>
        <w:ind w:left="0"/>
        <w:contextualSpacing w:val="0"/>
        <w:jc w:val="both"/>
        <w:rPr>
          <w:rFonts w:eastAsia="Times New Roman"/>
          <w:color w:val="000000" w:themeColor="text1"/>
          <w:sz w:val="16"/>
          <w:szCs w:val="16"/>
          <w:lang w:eastAsia="ru-RU"/>
        </w:rPr>
      </w:pPr>
      <w:r w:rsidRPr="00640820">
        <w:rPr>
          <w:rFonts w:eastAsia="Times New Roman"/>
          <w:color w:val="000000" w:themeColor="text1"/>
          <w:sz w:val="16"/>
          <w:szCs w:val="16"/>
          <w:lang w:eastAsia="ru-RU"/>
        </w:rPr>
        <w:t>Надо сказать, что А.А.Морозов изначально понимал всю несостоятельность идеи «многоорудийного» танка, выдуманную главным конструктором наркомата, чувствовал политическую подоплеку дела, и потому теоретически мог этой разработкой не заниматься, однако практически игнорировать указания наркома и ГАБТУ КА было невозможно. Выход виделся один: спешно, но максимально формально выдать проект заранее обреченный на отклонение. Таковым стал «Проект гусеничного танка Т-34-3». Для ускорения процесса, изменениям подвергались только башня, установка вооружения в ней и укладка боеприпасов. В связи с тем, что основные изменения заключались в установке вооружения, руководителем группы был назначен «вооруженец» А.А. Малоштанов. Проектированием новой башни под установку системы занялся М.А. Набутовский.</w:t>
      </w:r>
    </w:p>
    <w:p w14:paraId="22384F11" w14:textId="77777777" w:rsidR="00165A9C" w:rsidRPr="00640820" w:rsidRDefault="00165A9C" w:rsidP="00640820">
      <w:pPr>
        <w:pStyle w:val="afffff3"/>
        <w:autoSpaceDE/>
        <w:autoSpaceDN/>
        <w:adjustRightInd/>
        <w:ind w:left="0"/>
        <w:contextualSpacing w:val="0"/>
        <w:jc w:val="both"/>
        <w:rPr>
          <w:rFonts w:eastAsia="Times New Roman"/>
          <w:color w:val="000000" w:themeColor="text1"/>
          <w:sz w:val="16"/>
          <w:szCs w:val="16"/>
          <w:lang w:eastAsia="ru-RU"/>
        </w:rPr>
      </w:pPr>
      <w:r w:rsidRPr="00640820">
        <w:rPr>
          <w:rFonts w:eastAsia="Times New Roman"/>
          <w:color w:val="000000" w:themeColor="text1"/>
          <w:sz w:val="16"/>
          <w:szCs w:val="16"/>
          <w:lang w:eastAsia="ru-RU"/>
        </w:rPr>
        <w:t xml:space="preserve">Ознакомившись с «уралмашевской» документацией из отдела №5 по артиллерийскому блоку У-13, А.А.Малоштанов, в целях форсирования работ, принял ее за основу. Однако, при сохранении установки в изначальном виде, в башне Т-34 просто не оставалось места для размещения рабочих мест экипажа. Заниматься глобальной переделкой корпуса машины с установкой вооружения в рубке по образцу КВ-7 (У-13) во всем КБ не было ни времени, ни сил, ни, главное, желания. А.А.Малоштанову ничего другого просто не оставалось, как перекомпоновать расположение орудий в блоке. 76-мм пушка Ф-34 в место центральной, по проекту отдела №5, оказалась крайней левой (но все же расположенной почти по центральной оси башни), а справа от нее разместились обе 45-мм пушки 2243-Т (20К). За основу конструкции литой башни М.А.Набутовский принял свою, ставшую впоследствии знаменитой, шестигранную «гайку». Данный выбор был обусловлен технологическими возможностями предприятия и состояния отрасли в целом. Вариант башни из сварного проката по целому комплексу причин был невозможен. Литой вариант башни «пирожком», не подходил по возможностям литейного производства на вновь созданном Уральском танковом заводе – формовочные машины УВЗ, как и на большинстве других предприятий задействованных в кооперации по Т-34, не позволяли производить формовку башни целиком. Этот факт был выявлен уже сразу по прибытию на «Уралвагонзавод» документации по танковому литью Т-34. Решение проблемы было найдено тагильским металлургом П.П. Маляровым, предложившим формовать башню в земляные формы по частям. Однако данное решение требовало изменения и самой конструкции башни. Вопреки утверждениям некоторых литературных источников о том, что башня под новую технологию была спроектирована М.А.Набутовским буквально в считанные дни, архивные </w:t>
      </w:r>
      <w:r w:rsidRPr="00640820">
        <w:rPr>
          <w:rFonts w:eastAsia="Times New Roman"/>
          <w:color w:val="000000" w:themeColor="text1"/>
          <w:sz w:val="16"/>
          <w:szCs w:val="16"/>
          <w:lang w:eastAsia="ru-RU"/>
        </w:rPr>
        <w:lastRenderedPageBreak/>
        <w:t>документы говорят о том, что конструкторские работы в этом направлении велись как минимум в течение конца октября – начала декабря 1941 года, а первое серийное башенное литье по новой технологии появилось в декабре 1941 года. Тем не менее, новая башня-«гайка» удалась, устраивала практически всех производственников, и все дальнейшее проектирование башен для Т-34 велось на основе ее конструкции.</w:t>
      </w:r>
    </w:p>
    <w:p w14:paraId="653E01DC" w14:textId="77777777" w:rsidR="00165A9C" w:rsidRPr="00640820" w:rsidRDefault="00165A9C" w:rsidP="00640820">
      <w:pPr>
        <w:spacing w:after="0" w:line="240" w:lineRule="auto"/>
        <w:jc w:val="both"/>
        <w:rPr>
          <w:rStyle w:val="a7"/>
          <w:rFonts w:ascii="Times New Roman" w:hAnsi="Times New Roman"/>
          <w:b w:val="0"/>
          <w:color w:val="000000" w:themeColor="text1"/>
          <w:sz w:val="16"/>
          <w:szCs w:val="16"/>
        </w:rPr>
      </w:pPr>
      <w:r w:rsidRPr="00640820">
        <w:rPr>
          <w:rFonts w:ascii="Times New Roman" w:hAnsi="Times New Roman"/>
          <w:color w:val="000000" w:themeColor="text1"/>
          <w:sz w:val="16"/>
          <w:szCs w:val="16"/>
        </w:rPr>
        <w:t>Применительно к трехпушечной «тридцатьчетверке», путем расширения лобовой части «гайки» удалось впихнуть пушечный «триплекс», имевший весьма немалый для среднего танка установочный габарит по ширине в 1184 мм. Были изменены углы наклона бортов башни: левый -15° от вертикали; правый – всего 5°; кормовой -20°; верхняя часть лобового листа -25°. Башня получила несколько несуразный ассиметричный вид, однако это позволило теоретически разместить в ней экипаж из трех (!) человек: заряжающего, стреляющего и командира башни. Для наблюдения командир получил даже командирскую башенку, расположившуюся в левой кормовой части крыши башни. Бронирование башни составляло 52 мм, но в передней части в секторе примерно 180° допускалось утолщение нижнего кольца башни на величину от 70 до 90 мм. При этом, тагильским конструкторам удалось впихнуть в машину боекомплект из 90 штук 76-мм выстрелов и 204 штуки – 45-мм! Из этого числа 14 – 76-мм и 44 – 45-мм выстрелов были размещены в башне. В корпусе, помимо боекомплекта для пушек, нашлось место и для 16-и пулеметных дисков к курсовому ДТ – воткнуть еще один пулемет в башню уже не удавалось. Столь плотная компоновка вооружения и боекомплекта привела к тому, что горизонтальный угол обстрела орудий составил всего 50° – башня просто не могла вращаться более чем на 25° вправо – влево без риска размазать по укладкам заряжающего (12267).</w:t>
      </w:r>
    </w:p>
    <w:p w14:paraId="16DA4817" w14:textId="77777777" w:rsidR="00165A9C" w:rsidRPr="00640820" w:rsidRDefault="00165A9C" w:rsidP="00640820">
      <w:pPr>
        <w:spacing w:after="0" w:line="240" w:lineRule="auto"/>
        <w:jc w:val="both"/>
        <w:rPr>
          <w:rStyle w:val="a7"/>
          <w:rFonts w:ascii="Times New Roman" w:hAnsi="Times New Roman"/>
          <w:b w:val="0"/>
          <w:color w:val="000000" w:themeColor="text1"/>
          <w:sz w:val="16"/>
          <w:szCs w:val="16"/>
        </w:rPr>
      </w:pPr>
    </w:p>
    <w:p w14:paraId="4F0C54CD" w14:textId="77777777" w:rsidR="00F24BA9" w:rsidRPr="00640820" w:rsidRDefault="00F24BA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ЧКЗ стал единственным предприятием, производящим тяжёлые танки КВ. Как раз в этом месяце заводчанам Танкограда впервые удалось, причём с большим запасом, преодолеть отметку в 100 выпущенных танков. Коллектив предприятия значительно пополнился за счёт рабочих и инженеров, эвакуированных из Ленинграда (15838).</w:t>
      </w:r>
    </w:p>
    <w:p w14:paraId="271E0A06" w14:textId="77777777" w:rsidR="00F24BA9" w:rsidRPr="00640820" w:rsidRDefault="00F24BA9" w:rsidP="00640820">
      <w:pPr>
        <w:spacing w:after="0" w:line="240" w:lineRule="auto"/>
        <w:jc w:val="both"/>
        <w:rPr>
          <w:rFonts w:ascii="Times New Roman" w:hAnsi="Times New Roman"/>
          <w:color w:val="000000" w:themeColor="text1"/>
          <w:sz w:val="16"/>
          <w:szCs w:val="16"/>
        </w:rPr>
      </w:pPr>
    </w:p>
    <w:p w14:paraId="467361F2" w14:textId="77777777" w:rsidR="00F24BA9" w:rsidRPr="00640820" w:rsidRDefault="00F24BA9" w:rsidP="00640820">
      <w:pPr>
        <w:pStyle w:val="ae"/>
        <w:shd w:val="clear" w:color="auto" w:fill="FFFFFF"/>
        <w:spacing w:before="0" w:after="0"/>
        <w:jc w:val="both"/>
        <w:rPr>
          <w:color w:val="000000" w:themeColor="text1"/>
          <w:sz w:val="16"/>
          <w:szCs w:val="16"/>
        </w:rPr>
      </w:pPr>
      <w:r w:rsidRPr="00640820">
        <w:rPr>
          <w:color w:val="000000" w:themeColor="text1"/>
          <w:sz w:val="16"/>
          <w:szCs w:val="16"/>
        </w:rPr>
        <w:t>В ноябре 1941 года ОКБ-3 УЗТМ началась работа над установкой орудийной части КВ-7, которую разработали инженеры Н. Н. Ефимов и закончилась к 10 декабря. В качестве главного конструктора системы, получившей заводской индекс У-13, выступал Ф. Ф. Петров. Значительную роль в создании У-13 сыграл прибывший в октябре 1941 года из Ленинграда Л. И. Горлицкий, на тот момент занимавший должность начальника артиллерийского КБ Кировского завода. Работы по КВ-7 оказались разделены между ЧКЗ и УЗТМ. Коллектив СКБ-2 во главе с Г. Н. Москвиным разрабатывал ходовую часть.</w:t>
      </w:r>
    </w:p>
    <w:p w14:paraId="53814B9E" w14:textId="77777777" w:rsidR="00F24BA9" w:rsidRPr="00640820" w:rsidRDefault="00F24BA9" w:rsidP="00640820">
      <w:pPr>
        <w:pStyle w:val="ae"/>
        <w:shd w:val="clear" w:color="auto" w:fill="FFFFFF"/>
        <w:spacing w:before="0" w:after="0"/>
        <w:jc w:val="both"/>
        <w:rPr>
          <w:color w:val="000000" w:themeColor="text1"/>
          <w:sz w:val="16"/>
          <w:szCs w:val="16"/>
        </w:rPr>
      </w:pPr>
      <w:r w:rsidRPr="00640820">
        <w:rPr>
          <w:color w:val="000000" w:themeColor="text1"/>
          <w:sz w:val="16"/>
          <w:szCs w:val="16"/>
        </w:rPr>
        <w:t>Создатели КВ-7 решили отказаться от вращающейся башни, поскольку строенная установка У-13 занимала слишком много места. Вместо башни и крыши боевого отделения на КВ-7 ставилась специально разработанная рубка. При этом слово «рубка» конструкторами в документах не использовалось, вместо него применяли термин «невращающаяся башня». Для того чтобы обеспечить нормальные условия работы расчёта в боевом отделении, рубку сделали призматической формы. При этом нижняя её часть выступала на всю ширину надгусеничных полок. При изготовлении рубки максимально использовались детали от башни КВ-1, включая шаровую установку кормового пулемёта, люки на крыше башни и смотровые приборы. Следует отметить, что в документах того периода КВ-7 самоходной установкой не называли. Формально данная машина именовалась либо просто «танк КВ-7», либо «штурмовой танк». Тем не менее, по всем признакам, это была именно самоходная артиллерийская установка. КВ-7 стал первой САУ и первой боевой машиной вообще, которую разработали на Урале и довели до стадии опытного образца. В качестве базы для создания КВ-7, согласно заводским документам, был использован ремонтный танк №5161 выпуска сентября 1941 года. Эта машина не только получила новую рубку и вооружение. Ряд изменений претерпела и её ходовая часть.</w:t>
      </w:r>
    </w:p>
    <w:p w14:paraId="223EC9E9" w14:textId="77777777" w:rsidR="00F24BA9" w:rsidRPr="00640820" w:rsidRDefault="00F24BA9" w:rsidP="00640820">
      <w:pPr>
        <w:pStyle w:val="ae"/>
        <w:shd w:val="clear" w:color="auto" w:fill="FFFFFF"/>
        <w:spacing w:before="0" w:after="0"/>
        <w:jc w:val="both"/>
        <w:rPr>
          <w:color w:val="000000" w:themeColor="text1"/>
          <w:sz w:val="16"/>
          <w:szCs w:val="16"/>
        </w:rPr>
      </w:pPr>
      <w:r w:rsidRPr="00640820">
        <w:rPr>
          <w:color w:val="000000" w:themeColor="text1"/>
          <w:sz w:val="16"/>
          <w:szCs w:val="16"/>
        </w:rPr>
        <w:t>К работам по теме КВ-7 ЧКЗ отнёсся очень серьёзно. Фраза про «каждый пятый танк» совсем не была пустым звуком. Одновременно с разработкой проектной документации и изготовлением опытного образца на заводе №200 шла подготовка к запуску в серию корпусного производства (15838).</w:t>
      </w:r>
    </w:p>
    <w:p w14:paraId="5DD4BD7E" w14:textId="77777777" w:rsidR="00F24BA9" w:rsidRPr="00640820" w:rsidRDefault="00F24BA9" w:rsidP="00640820">
      <w:pPr>
        <w:pStyle w:val="ae"/>
        <w:shd w:val="clear" w:color="auto" w:fill="FFFFFF"/>
        <w:spacing w:before="0" w:after="0"/>
        <w:jc w:val="both"/>
        <w:rPr>
          <w:color w:val="000000" w:themeColor="text1"/>
          <w:sz w:val="16"/>
          <w:szCs w:val="16"/>
        </w:rPr>
      </w:pPr>
    </w:p>
    <w:p w14:paraId="45768069" w14:textId="77777777" w:rsidR="00F24BA9" w:rsidRPr="00640820" w:rsidRDefault="00F24BA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ноябре 1941 года для развертывания работ над «многоорудийным» </w:t>
      </w:r>
      <w:hyperlink r:id="rId57" w:tgtFrame="_blank" w:history="1">
        <w:r w:rsidRPr="00640820">
          <w:rPr>
            <w:rFonts w:ascii="Times New Roman" w:hAnsi="Times New Roman"/>
            <w:color w:val="000000" w:themeColor="text1"/>
            <w:sz w:val="16"/>
            <w:szCs w:val="16"/>
          </w:rPr>
          <w:t>танк</w:t>
        </w:r>
      </w:hyperlink>
      <w:r w:rsidRPr="00640820">
        <w:rPr>
          <w:rFonts w:ascii="Times New Roman" w:hAnsi="Times New Roman"/>
          <w:color w:val="000000" w:themeColor="text1"/>
          <w:sz w:val="16"/>
          <w:szCs w:val="16"/>
        </w:rPr>
        <w:t>ом, главным конструктором НКТП Ж.Я. Котиным было инициировано постановление ГАБТУ КА, на основании которого по указанию наркома В.А.Малышева, были заданы работы по теме одновременно отделу №5 УЗТМ г. Свердловск, СКБ-2 ЧКЗ г.Челябинск и отделу №520 завода №183 г. Нижний Тагил.</w:t>
      </w:r>
    </w:p>
    <w:p w14:paraId="6E291CB9" w14:textId="77777777" w:rsidR="00F24BA9" w:rsidRPr="00640820" w:rsidRDefault="00F24BA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Данная работа была крайне важна лично Ж.Я.Котину, ибо это был шанс хоть в какой-то мере «реабилитировать» </w:t>
      </w:r>
      <w:hyperlink r:id="rId58" w:tgtFrame="_blank" w:history="1">
        <w:r w:rsidRPr="00640820">
          <w:rPr>
            <w:rFonts w:ascii="Times New Roman" w:hAnsi="Times New Roman"/>
            <w:color w:val="000000" w:themeColor="text1"/>
            <w:sz w:val="16"/>
            <w:szCs w:val="16"/>
          </w:rPr>
          <w:t>танк</w:t>
        </w:r>
      </w:hyperlink>
      <w:r w:rsidRPr="00640820">
        <w:rPr>
          <w:rFonts w:ascii="Times New Roman" w:hAnsi="Times New Roman"/>
          <w:color w:val="000000" w:themeColor="text1"/>
          <w:sz w:val="16"/>
          <w:szCs w:val="16"/>
        </w:rPr>
        <w:t xml:space="preserve"> КВ, явно уступающий «тридцатьчетверке» в условиях начавшейся большой войны. Подключение к этой ОКР других КБ наркомата, создавало видимость конкурса и коллективного движения в одном направлении.</w:t>
      </w:r>
    </w:p>
    <w:p w14:paraId="3A3FEA94" w14:textId="77777777" w:rsidR="00F24BA9" w:rsidRPr="00640820" w:rsidRDefault="00F24BA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Надо сказать, что А.А.Морозов изначально понимал всю несостоятельность идеи «многоорудийного» </w:t>
      </w:r>
      <w:hyperlink r:id="rId59" w:tgtFrame="_blank" w:history="1">
        <w:r w:rsidRPr="00640820">
          <w:rPr>
            <w:rFonts w:ascii="Times New Roman" w:hAnsi="Times New Roman"/>
            <w:color w:val="000000" w:themeColor="text1"/>
            <w:sz w:val="16"/>
            <w:szCs w:val="16"/>
          </w:rPr>
          <w:t>танк</w:t>
        </w:r>
      </w:hyperlink>
      <w:r w:rsidRPr="00640820">
        <w:rPr>
          <w:rFonts w:ascii="Times New Roman" w:hAnsi="Times New Roman"/>
          <w:color w:val="000000" w:themeColor="text1"/>
          <w:sz w:val="16"/>
          <w:szCs w:val="16"/>
        </w:rPr>
        <w:t xml:space="preserve">а, выдуманную главным конструктором наркомата, чувствовал политическую подоплеку дела, и потому теоретически мог этой разработкой не заниматься, однако практически игнорировать указания наркома и ГАБТУ КА было невозможно. Выход виделся один: спешно, но максимально формально выдать проект заранее обреченный на отклонение. Таковым стал «Проект гусеничного </w:t>
      </w:r>
      <w:hyperlink r:id="rId60" w:tgtFrame="_blank" w:history="1">
        <w:r w:rsidRPr="00640820">
          <w:rPr>
            <w:rFonts w:ascii="Times New Roman" w:hAnsi="Times New Roman"/>
            <w:color w:val="000000" w:themeColor="text1"/>
            <w:sz w:val="16"/>
            <w:szCs w:val="16"/>
          </w:rPr>
          <w:t>танк</w:t>
        </w:r>
      </w:hyperlink>
      <w:r w:rsidRPr="00640820">
        <w:rPr>
          <w:rFonts w:ascii="Times New Roman" w:hAnsi="Times New Roman"/>
          <w:color w:val="000000" w:themeColor="text1"/>
          <w:sz w:val="16"/>
          <w:szCs w:val="16"/>
        </w:rPr>
        <w:t>а Т-34-3». Для ускорения процесса, изменениям подвергались только башня, установка вооружения в ней и укладка боеприпасов. В связи с тем, что основные изменения заключались в установке вооружения, руководителем группы был назначен «вооруженец» А.А. Малоштанов. Проектированием новой башни под установку системы занялся М.А. Набутовский.</w:t>
      </w:r>
    </w:p>
    <w:p w14:paraId="411715E5" w14:textId="77777777" w:rsidR="00F24BA9" w:rsidRPr="00640820" w:rsidRDefault="00F24BA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Ознакомившись с «уралмашевской» документацией из отдела №5 по артиллерийскому блоку У-13, А.А.Малоштанов, в целях форсирования работ, принял ее за основу. Однако, при сохранении установки в изначальном виде, в башне Т-34 просто не оставалось места для размещения рабочих мест экипажа. Заниматься глобальной переделкой корпуса машины с установкой вооружения в рубке по образцу КВ-7 (У-13) во всем КБ не было ни времени, ни сил, ни, главное, желания. А.А.Малоштанову ничего другого просто не оставалось, как перекомпоновать расположение орудий в блоке. 76-мм пушка Ф-34 в место центральной, по проекту отдела №5, оказалась крайней левой (но все же расположенной почти по центральной оси башни), а справа от нее разместились обе 45-мм пушки 2243-Т (20К). За основу конструкции литой башни М.А.Набутовский принял свою, ставшую впоследствии знаменитой, шестигранную «гайку». Данный выбор был обусловлен технологическими возможностями предприятия и состояния отрасли в целом. Вариант башни из сварного проката по целому комплексу причин был невозможен. Литой вариант башни «пирожком», не подходил по возможностям литейного производства на вновь созданном Уральском </w:t>
      </w:r>
      <w:hyperlink r:id="rId61" w:tgtFrame="_blank" w:history="1">
        <w:r w:rsidRPr="00640820">
          <w:rPr>
            <w:rFonts w:ascii="Times New Roman" w:hAnsi="Times New Roman"/>
            <w:color w:val="000000" w:themeColor="text1"/>
            <w:sz w:val="16"/>
            <w:szCs w:val="16"/>
          </w:rPr>
          <w:t>танк</w:t>
        </w:r>
      </w:hyperlink>
      <w:r w:rsidRPr="00640820">
        <w:rPr>
          <w:rFonts w:ascii="Times New Roman" w:hAnsi="Times New Roman"/>
          <w:color w:val="000000" w:themeColor="text1"/>
          <w:sz w:val="16"/>
          <w:szCs w:val="16"/>
        </w:rPr>
        <w:t xml:space="preserve">овом заводе – формовочные машины УВЗ, как и на большинстве других предприятий задействованных в кооперации по Т-34, не позволяли производить формовку башни целиком. Этот факт был выявлен уже сразу по прибытию на «Уралвагонзавод» документации по </w:t>
      </w:r>
      <w:hyperlink r:id="rId62" w:tgtFrame="_blank" w:history="1">
        <w:r w:rsidRPr="00640820">
          <w:rPr>
            <w:rFonts w:ascii="Times New Roman" w:hAnsi="Times New Roman"/>
            <w:color w:val="000000" w:themeColor="text1"/>
            <w:sz w:val="16"/>
            <w:szCs w:val="16"/>
          </w:rPr>
          <w:t>танк</w:t>
        </w:r>
      </w:hyperlink>
      <w:r w:rsidRPr="00640820">
        <w:rPr>
          <w:rFonts w:ascii="Times New Roman" w:hAnsi="Times New Roman"/>
          <w:color w:val="000000" w:themeColor="text1"/>
          <w:sz w:val="16"/>
          <w:szCs w:val="16"/>
        </w:rPr>
        <w:t>овому литью Т-34. Решение проблемы было найдено тагильским металлургом П.П. Маляровым, предложившим формовать башню в земляные формы по частям. Однако данное решение требовало изменения и самой конструкции башни. Вопреки утверждениям некоторых литературных источников о том, что башня под новую технологию была спроектирована М.А.Набутовским буквально в считанные дни, архивные документы говорят о том, что конструкторские работы в этом направлении велись как минимум в течение конца октября – начала декабря 1941 года, а первое серийное башенное литье по новой технологии появилось в декабре 1941 года. Тем не менее, новая башня-«гайка» удалась, устраивала практически всех производственников, и все дальнейшее проектирование башен для Т-34 велось на основе ее конструкции.</w:t>
      </w:r>
    </w:p>
    <w:p w14:paraId="2DAFBBC6" w14:textId="77777777" w:rsidR="00F24BA9" w:rsidRPr="00640820" w:rsidRDefault="00F24BA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Применительно к трехпушечной «тридцатьчетверке», путем расширения лобовой части «гайки» удалось впихнуть пушечный «триплекс», имевший весьма немалый для среднего </w:t>
      </w:r>
      <w:hyperlink r:id="rId63" w:tgtFrame="_blank" w:history="1">
        <w:r w:rsidRPr="00640820">
          <w:rPr>
            <w:rFonts w:ascii="Times New Roman" w:hAnsi="Times New Roman"/>
            <w:color w:val="000000" w:themeColor="text1"/>
            <w:sz w:val="16"/>
            <w:szCs w:val="16"/>
          </w:rPr>
          <w:t>танк</w:t>
        </w:r>
      </w:hyperlink>
      <w:r w:rsidRPr="00640820">
        <w:rPr>
          <w:rFonts w:ascii="Times New Roman" w:hAnsi="Times New Roman"/>
          <w:color w:val="000000" w:themeColor="text1"/>
          <w:sz w:val="16"/>
          <w:szCs w:val="16"/>
        </w:rPr>
        <w:t>а установочный габарит по ширине в 1184 мм. Были изменены углы наклона бортов башни: левый -15° от вертикали; правый – всего 5°; кормовой -20°; верхняя часть лобового листа -25°. Башня получила несколько несуразный ассиметричный вид, однако это позволило теоретически разместить в ней экипаж из трех (!) человек: заряжающего, стреляющего и командира башни. Для наблюдения командир получил да же командирскую башенку, расположившуюся в левой кормовой части крыши башни. Бронирование башни составляло 52 мм, но в передней части в секторе примерно 180° допускалось утолщение нижнего кольца башни на величину от 70 до 90 мм. При этом, тагильским конструкторам удалось впихнуть в машину боекомплект из 90 штук 76-мм выстрелов и 204 штуки – 45-мм! Из этого числа 14 – 76-мм и 44 – 45-мм выстрелов были размещены в башне. В корпусе, помимо боекомплекта для пушек, нашлось место и для 16-и пулеметных дисков к курсовому ДТ – воткнуть еще один пулемет в башню уже не удавалось. Столь плотная компоновка вооружения и боекомплекта привела к тому, что горизонтальный угол обстрела орудий составил всего 50° – башня просто не могла вращаться более чем на 25° вправо – влево без риска размазать по укладкам заряжающего (15622).</w:t>
      </w:r>
    </w:p>
    <w:p w14:paraId="49C35CA4" w14:textId="77777777" w:rsidR="00F24BA9" w:rsidRPr="00640820" w:rsidRDefault="00F24BA9" w:rsidP="00640820">
      <w:pPr>
        <w:spacing w:after="0" w:line="240" w:lineRule="auto"/>
        <w:jc w:val="both"/>
        <w:rPr>
          <w:rFonts w:ascii="Times New Roman" w:hAnsi="Times New Roman"/>
          <w:color w:val="000000" w:themeColor="text1"/>
          <w:sz w:val="16"/>
          <w:szCs w:val="16"/>
        </w:rPr>
      </w:pPr>
    </w:p>
    <w:p w14:paraId="2E219C44" w14:textId="77777777" w:rsidR="00333A9C" w:rsidRPr="00640820" w:rsidRDefault="00333A9C"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shd w:val="clear" w:color="auto" w:fill="FFFFFF"/>
        </w:rPr>
        <w:t>В ноябре 1941 года на заводе №176 в Муроме приступили к подготовке выпуска экранированных корпусов и башен Т-60 результате на 9 января 1942 года было сдано 26 комплектов корпусов и башен. Всего за январь завод №176 выпустил 113 комплектов экранированных корпусов и башен, в феврале поставили еще 125 штук. На заводе №178 в Кулебаках также начали работы еще в ноябре, но там имелись проблемы производственного характера. В виду крайнего дефицита кислорода, на совещании, прошедшем 17 января, руководство завода №178 приняло решение вместо экранировки корпусов и башен перейти на утолщенные бронелисты. Тем не менее, еще 9 января завод №178 отрапортовал о 20 комплектов экранов (22726).</w:t>
      </w:r>
      <w:r w:rsidRPr="00640820">
        <w:rPr>
          <w:rFonts w:ascii="Times New Roman" w:hAnsi="Times New Roman"/>
          <w:color w:val="0070C0"/>
          <w:sz w:val="16"/>
          <w:szCs w:val="16"/>
        </w:rPr>
        <w:t xml:space="preserve"> </w:t>
      </w:r>
    </w:p>
    <w:p w14:paraId="5A749AE4" w14:textId="77777777" w:rsidR="00333A9C" w:rsidRPr="00640820" w:rsidRDefault="00333A9C" w:rsidP="00640820">
      <w:pPr>
        <w:spacing w:after="0" w:line="240" w:lineRule="auto"/>
        <w:jc w:val="both"/>
        <w:rPr>
          <w:rFonts w:ascii="Times New Roman" w:hAnsi="Times New Roman"/>
          <w:color w:val="0070C0"/>
          <w:sz w:val="16"/>
          <w:szCs w:val="16"/>
        </w:rPr>
      </w:pPr>
    </w:p>
    <w:p w14:paraId="466713E4" w14:textId="77777777" w:rsidR="00333A9C" w:rsidRPr="00640820" w:rsidRDefault="00333A9C" w:rsidP="00640820">
      <w:pPr>
        <w:spacing w:after="0" w:line="240" w:lineRule="auto"/>
        <w:jc w:val="both"/>
        <w:rPr>
          <w:rFonts w:ascii="Times New Roman" w:hAnsi="Times New Roman"/>
          <w:color w:val="0070C0"/>
          <w:sz w:val="16"/>
          <w:szCs w:val="16"/>
          <w:shd w:val="clear" w:color="auto" w:fill="FFFFFF"/>
        </w:rPr>
      </w:pPr>
      <w:r w:rsidRPr="00640820">
        <w:rPr>
          <w:rFonts w:ascii="Times New Roman" w:hAnsi="Times New Roman"/>
          <w:color w:val="0070C0"/>
          <w:sz w:val="16"/>
          <w:szCs w:val="16"/>
          <w:shd w:val="clear" w:color="auto" w:fill="FFFFFF"/>
        </w:rPr>
        <w:t>В ноябре 1941 года, впервые появилась модернизированная башня Т-60. Главным ее отличием стало то, что воздуховод в лобовой части убирали, а на створке люка вводили воздухоприток. КОЭ ГАЗ им. Молотова решило установить на створке воздухоприток, аналогичный люку механика-водителя. Соответственно, верхний лобовой лист башни стал скошенной формы. Ранее считалось, что этот вариант модернизации башни был проектным, но часто доказательства находятся в земле. Такой люк был не так давно найден, что доказывает и существование модернизированной башни (22032).</w:t>
      </w:r>
    </w:p>
    <w:p w14:paraId="7B72DD5A" w14:textId="77777777" w:rsidR="00333A9C" w:rsidRPr="00640820" w:rsidRDefault="00333A9C" w:rsidP="00640820">
      <w:pPr>
        <w:spacing w:after="0" w:line="240" w:lineRule="auto"/>
        <w:jc w:val="both"/>
        <w:rPr>
          <w:rFonts w:ascii="Times New Roman" w:hAnsi="Times New Roman"/>
          <w:color w:val="0070C0"/>
          <w:sz w:val="16"/>
          <w:szCs w:val="16"/>
          <w:shd w:val="clear" w:color="auto" w:fill="FFFFFF"/>
        </w:rPr>
      </w:pPr>
    </w:p>
    <w:p w14:paraId="66C5E4E1" w14:textId="77777777" w:rsidR="0031350D" w:rsidRPr="00640820" w:rsidRDefault="0031350D" w:rsidP="00640820">
      <w:pPr>
        <w:pStyle w:val="ae"/>
        <w:spacing w:before="0" w:after="0"/>
        <w:jc w:val="both"/>
        <w:textAlignment w:val="baseline"/>
        <w:rPr>
          <w:color w:val="000000" w:themeColor="text1"/>
          <w:sz w:val="16"/>
          <w:szCs w:val="16"/>
        </w:rPr>
      </w:pPr>
      <w:r w:rsidRPr="00640820">
        <w:rPr>
          <w:color w:val="000000" w:themeColor="text1"/>
          <w:sz w:val="16"/>
          <w:szCs w:val="16"/>
        </w:rPr>
        <w:t>В ноябре 1941 года, когда только шли испытания опытного образца (Medium Tank T6) впервые узнали про Medium Tank M4, причём в разведсводке говорилось, что для него разрабатывается дизельный двигатель. Более подробные характеристики машины появились в апреле 1942 года, но пока речь шла о Medium Tank M4A1. В середине мая поступила дополнительная информация о семействе Medium Tank M3 с разными двигателями. От поставок почти всех машин отказались, кроме одного — M3A4. Согласно информации, он снабжался </w:t>
      </w:r>
      <w:r w:rsidRPr="00640820">
        <w:rPr>
          <w:iCs/>
          <w:color w:val="000000" w:themeColor="text1"/>
          <w:sz w:val="16"/>
          <w:szCs w:val="16"/>
          <w:bdr w:val="none" w:sz="0" w:space="0" w:color="auto" w:frame="1"/>
        </w:rPr>
        <w:t xml:space="preserve">«двумя шестицилиндровыми дизельмоторами, двухтактными, по 210 л.с. каждый (стоящий на канадских танках </w:t>
      </w:r>
      <w:r w:rsidRPr="00640820">
        <w:rPr>
          <w:iCs/>
          <w:color w:val="000000" w:themeColor="text1"/>
          <w:sz w:val="16"/>
          <w:szCs w:val="16"/>
          <w:bdr w:val="none" w:sz="0" w:space="0" w:color="auto" w:frame="1"/>
        </w:rPr>
        <w:lastRenderedPageBreak/>
        <w:t>«Валентин 7)»</w:t>
      </w:r>
      <w:r w:rsidRPr="00640820">
        <w:rPr>
          <w:color w:val="000000" w:themeColor="text1"/>
          <w:sz w:val="16"/>
          <w:szCs w:val="16"/>
        </w:rPr>
        <w:t>. На самом деле Medium Tank M3A4 снабжался бензиновыми моторами Chrysler A57 Multibank, а дизели ставились на M3A3 и M3A5. В данном случае более интересным выглядит решение ГАБТУ КА — там потребовали заказать таких танков по 100 штук в месяц, постепенно заменив М3С с бензиновыми моторами (19038).</w:t>
      </w:r>
    </w:p>
    <w:p w14:paraId="50EA7BC1" w14:textId="77777777" w:rsidR="0031350D" w:rsidRPr="00640820" w:rsidRDefault="0031350D" w:rsidP="00640820">
      <w:pPr>
        <w:spacing w:after="0" w:line="240" w:lineRule="auto"/>
        <w:jc w:val="both"/>
        <w:textAlignment w:val="baseline"/>
        <w:rPr>
          <w:rFonts w:ascii="Times New Roman" w:hAnsi="Times New Roman"/>
          <w:color w:val="000000" w:themeColor="text1"/>
          <w:sz w:val="16"/>
          <w:szCs w:val="16"/>
        </w:rPr>
      </w:pPr>
    </w:p>
    <w:p w14:paraId="4E9A8A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 Завод № 716 НКМВ, Дмитровский чугунолитейный завод, Дмитровский экскаваторный завод, Механический завод НКМВ, ФГУП «Дмитровский экскаваторный завод» /141800  г. Дмитров Московской обл. ул. Пушкинская, 1/ эвакуирован в Тюмень, где на его базе создан завод № 769.</w:t>
      </w:r>
    </w:p>
    <w:p w14:paraId="19B301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Затем, вероятно, на старом месте восстановлен Механический завод. В соответствии с пост. СНК № 837-430сс от 3.06.1942 г. и приказом НКМВ № 250с от 7.07.1942 г. Механический завод НКМВ переименован в завод № 716 в ведении 2ГУ.</w:t>
      </w:r>
    </w:p>
    <w:p w14:paraId="035593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1946 г. Дмитровский завод был единственным действующим заводом по выпуску траншейных экскаваторов, им в этот год было выпущено два экскаватора. В 1956 г. изготовлено 439 экскаваторов. *</w:t>
      </w:r>
    </w:p>
    <w:p w14:paraId="0508CD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 экскаваторы</w:t>
      </w:r>
      <w:r w:rsidRPr="00640820">
        <w:rPr>
          <w:rFonts w:ascii="Times New Roman" w:hAnsi="Times New Roman"/>
          <w:color w:val="000000" w:themeColor="text1"/>
          <w:sz w:val="16"/>
          <w:szCs w:val="16"/>
        </w:rPr>
        <w:t>: многоковшовый МК-1 (1934-), канавокопатели МК-1М (1947-), ЭТ-351 (-1951), ЭТН-352 (1951-55); роторные КГ-65 (1940-е-54), ЭТР-152 (1954-56), БТМ на базе артиллерийского тягача «409У» (1957-70-е); цепной ЭТ-251 (1940-е-55); универсальный траншейный ЭТУ-353 (1956-) 911982).</w:t>
      </w:r>
    </w:p>
    <w:p w14:paraId="3DCA0B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B2161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 на площадку завода (Завод № 635 им. Кагановича НКБ /г. Новосибирск пос. Пашино/) были эвакуированы: основная часть завода № 55 НКБ из Павлограда (снаряжение артснарядов, 270 ед. оборудования, 250 чел.) и часть завода № 12 НКБ (снаряжение ФАБ, 7 шнековых аппаратов, и 3-е производство, 9 прессов Сан-Галя; 700 чел.). На 30.12.1941 г. все оборудование прибыло, часть из него смонтирована, и организовано производство по снаряжению снарядов среднего калибра мощностью 6 млн. шт. в год. Мощность производства снарядов мелкого калибра (на 1.01.1942 г.)- 2, 763 млн. шт. в год. В соответствии с пост. ГКО № 1645 от 25.04.1942 г. эвакуированное оборудование по снаряжению боеприпасов завода № 12 было возвращено обратно.</w:t>
      </w:r>
    </w:p>
    <w:p w14:paraId="1AA31F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завода (1943 г.) основные цехи: № 1, 4, 5, 6, 9.</w:t>
      </w:r>
    </w:p>
    <w:p w14:paraId="7F073A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12.1942-09.1944 г. - в ведении 1ГУ НКБ. Существовал в 1945 г. Реэвакуирован в Подольск.</w:t>
      </w:r>
    </w:p>
    <w:p w14:paraId="53623A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(1943 г.): производственная- 16688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вспомогательная- 2059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прочая- 1878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7A715A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(12.1942 г.)- 3065 чел.</w:t>
      </w:r>
    </w:p>
    <w:p w14:paraId="69AA03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(04.1943 г.)- Савосин.</w:t>
      </w:r>
    </w:p>
    <w:p w14:paraId="3A510F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(04.1943 г.)- Тиминджиев.</w:t>
      </w:r>
    </w:p>
    <w:p w14:paraId="52C621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снаряды: 76-мм, 122-мм, 152-мм; мины 82-мм, 50-мм, 120-мм; ПОН, ЯМ-5М, М-8, МЯДШ, ЯФУ, ЯМ-21; ВВ: аммиачная селитра, амматол, шнейдерит (11982).</w:t>
      </w:r>
    </w:p>
    <w:p w14:paraId="15F920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16B51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1941г. в Чистополь был эвакуирован 2-й Московский часовой завод (оборудование и 500 чел.), действовал сначала как «2-й часовой завод в Чистополе». Затем на его базе был создан 5-й часовой завод. В соответствии с пост. ГКО № 1183 от 23.01.1942г. часть эвакуированного оборудования 2-го часового завода возвращена в Москву. Весной 1942г. завод начал выпуск часовой продукции для фронта на новом месте, а к 1.07.1942г. полностью вступил в строй. В 06.1942г. 2-й часовой завод в Чистополе - в ведении Главприбора НКМВ. В соответствии с пост. СНК № 837-430сс от 3.06.1942г. и приказом НКМВ № 250с от 7.07.1942г. 5-й часовой завод НКМВ переименован в завод № 835 в ведении 5ГУ (Завод №835 НКМВ, 5 -й часовой завод НКМВ, Чистопольский часовой завод (ЧЧЗ) ММиП, МРП, ПО «Восток», АП, АООТ, ОАО «ЧЧЗ «Восток» /г. Чистополь ул. К. Маркса, 15 «Часзавод» (1948г.)/ /Татарстан 422981 г. Чистополь ул. Энгельса, 127/ /Московское представительство: г. Москва ул. Клары Цеткин, 2/3/).</w:t>
      </w:r>
    </w:p>
    <w:p w14:paraId="5D31DC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 № 102 от 29.02.1944г. производство часов-ходиков и оборудование с завода было передано на ГЧЗ-5 (Сердобский часовой завод).</w:t>
      </w:r>
    </w:p>
    <w:p w14:paraId="5CD447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1947-48г. Чистопольский часовой завод - в ведении Главчаспрома ММиП.</w:t>
      </w:r>
    </w:p>
    <w:p w14:paraId="56BA67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предприятия (1947г.) цехи: основные: автоматный, прессовый, механический (К-43), механо</w:t>
      </w:r>
      <w:r w:rsidRPr="00640820">
        <w:rPr>
          <w:rFonts w:ascii="Times New Roman" w:hAnsi="Times New Roman"/>
          <w:color w:val="000000" w:themeColor="text1"/>
          <w:sz w:val="16"/>
          <w:szCs w:val="16"/>
        </w:rPr>
        <w:softHyphen/>
        <w:t>сборочный спецприборов, гальванический, сборочный электрочасов, механо-сборочный электрочасов, инструментальный, сборочный (К-43), ремонтно-механический, платино-мостовой, деревообделочный, корпусной; вспомогательные: ремонтно-строительный, энергетический, котельные.</w:t>
      </w:r>
    </w:p>
    <w:p w14:paraId="482FEB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Сразу после войны освоен выпуск механических наручных часов, которые стали основной продукцией завода. В начале 1950-х г. разработаны часы «Победа» в пылевлагонепроницаемом корпусе (В.П. Дудин). В 1965г. разработаны часы «Командирские», завод стал официальным поставщиком часов для МО.</w:t>
      </w:r>
    </w:p>
    <w:p w14:paraId="717888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Затем завод частично перепрофилирован для производства высокоточных компонентов антенных станций. 15.01.1970г. ЧЧЗ вошел в состав ЦНПО «Вымпел».</w:t>
      </w:r>
      <w:r w:rsidRPr="00640820">
        <w:rPr>
          <w:rFonts w:ascii="Times New Roman" w:hAnsi="Times New Roman"/>
          <w:color w:val="000000" w:themeColor="text1"/>
          <w:sz w:val="16"/>
          <w:szCs w:val="16"/>
          <w:vertAlign w:val="superscript"/>
        </w:rPr>
        <w:t>1</w:t>
      </w:r>
      <w:r w:rsidRPr="00640820">
        <w:rPr>
          <w:rFonts w:ascii="Times New Roman" w:hAnsi="Times New Roman"/>
          <w:color w:val="000000" w:themeColor="text1"/>
          <w:sz w:val="16"/>
          <w:szCs w:val="16"/>
        </w:rPr>
        <w:t>® С 1986г. ЧЧЗ - в ведении МРП.</w:t>
      </w:r>
    </w:p>
    <w:p w14:paraId="3810E3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начале 2000-х г. завод выпускал около 1 млн часов в год. В 2007г. планировалось организовать совместное производство кварцевых часов с швейцарской фирмой </w:t>
      </w:r>
      <w:r w:rsidRPr="00640820">
        <w:rPr>
          <w:rFonts w:ascii="Times New Roman" w:hAnsi="Times New Roman"/>
          <w:color w:val="000000" w:themeColor="text1"/>
          <w:sz w:val="16"/>
          <w:szCs w:val="16"/>
          <w:lang w:val="en-US"/>
        </w:rPr>
        <w:t>TechnoTime</w:t>
      </w:r>
      <w:r w:rsidRPr="00640820">
        <w:rPr>
          <w:rFonts w:ascii="Times New Roman" w:hAnsi="Times New Roman"/>
          <w:color w:val="000000" w:themeColor="text1"/>
          <w:sz w:val="16"/>
          <w:szCs w:val="16"/>
        </w:rPr>
        <w:t xml:space="preserve"> мощностью 1,5 млн часов в год, но это не было реализовано. Являлся (2010г.) одним из двух часовых заводов полного цикла в России (наряду с заводом «Мак-Тайм»).</w:t>
      </w:r>
    </w:p>
    <w:p w14:paraId="7AF2ED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04.2010г. начата процедура банкротства предприятия.</w:t>
      </w:r>
    </w:p>
    <w:p w14:paraId="548B33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(1946г.)- 923 ед., (1947г.)- 1118 ед.</w:t>
      </w:r>
    </w:p>
    <w:p w14:paraId="7B5605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территории (1947г.)- 5,34 га; застройки (1947г.)- 16702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производственная (1946г.)-</w:t>
      </w:r>
    </w:p>
    <w:p w14:paraId="2E29F0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11558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(1947г.)- 12717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19F872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(1946г.)- 2124 чел., (1947г.)- 2112 чел.</w:t>
      </w:r>
    </w:p>
    <w:p w14:paraId="6B4836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(-06.1942-48Г.-)- Лукьянов, (1986г.-)- В.В. Цивилин. Гендиректор (04.2010г.)- Е. Пухов. Временный управляющий (04.2010г.-)- А. Волков.</w:t>
      </w:r>
    </w:p>
    <w:p w14:paraId="4C616D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(1948г.)- Григорьев.</w:t>
      </w:r>
    </w:p>
    <w:p w14:paraId="50BC57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механик (1950-е)- В.П. Дудин.</w:t>
      </w:r>
    </w:p>
    <w:p w14:paraId="646E55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Руководитель Московского представительства (2000г.)- Е.П. Сидоров.</w:t>
      </w:r>
    </w:p>
    <w:p w14:paraId="77D30D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 часы:</w:t>
      </w:r>
      <w:r w:rsidRPr="00640820">
        <w:rPr>
          <w:rFonts w:ascii="Times New Roman" w:hAnsi="Times New Roman"/>
          <w:color w:val="000000" w:themeColor="text1"/>
          <w:sz w:val="16"/>
          <w:szCs w:val="16"/>
        </w:rPr>
        <w:t xml:space="preserve"> карманные КЧ (1947); наручные РЧД (1947), «Победа» (1950-е), «Командирские» (1965- ), «Генеральские», «Восток», «Амфибия», «Штурманские» (1990-е); морские МЧМ, МЧД (1947); автомобильные электрочасы 5ЧТ (1947); танковые ТЧ (1947); пульсомер К-43 к прибору ПАУ-22; часовые механизмы для специзделий 13А, РР-45, РР-19, 509 (ЯМД); механизм срочности МС (1947).</w:t>
      </w:r>
      <w:r w:rsidRPr="00640820">
        <w:rPr>
          <w:rFonts w:ascii="Times New Roman" w:hAnsi="Times New Roman"/>
          <w:color w:val="000000" w:themeColor="text1"/>
          <w:sz w:val="16"/>
          <w:szCs w:val="16"/>
          <w:vertAlign w:val="superscript"/>
        </w:rPr>
        <w:t>129</w:t>
      </w:r>
    </w:p>
    <w:p w14:paraId="76BDC1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Чистопольское конструкторско-технологическое бюро (КТБ)</w:t>
      </w:r>
    </w:p>
    <w:p w14:paraId="68BC30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15.01.1970г. вошло в состав ЦНПО «Вымпел» (11982).</w:t>
      </w:r>
      <w:r w:rsidRPr="00640820">
        <w:rPr>
          <w:rFonts w:ascii="Times New Roman" w:hAnsi="Times New Roman"/>
          <w:color w:val="000000" w:themeColor="text1"/>
          <w:sz w:val="16"/>
          <w:szCs w:val="16"/>
          <w:vertAlign w:val="superscript"/>
        </w:rPr>
        <w:t>104</w:t>
      </w:r>
    </w:p>
    <w:p w14:paraId="169A24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26DB1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 был построен и введен в эксплуатацию Снаряжательный завод № 637 НКБ (Завод № 637 НКБ, п/я 25, Эльбанский механический завод, ФГУП «Дальневосточное ПО (ДВПО) «Восход» Росбоеприпаса /ст. Эльбан Дальневосточной ж/д п/я 25 «Енисей» (1943 г.)/ /682610 пос. Эльбан Хабаровского кр. ул. Заводская, 1/). Первая продукция выпущена 5.12.1941 г.</w:t>
      </w:r>
    </w:p>
    <w:p w14:paraId="355167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12.1942-11.1943 г. -введении 1ГУ НКБ.</w:t>
      </w:r>
    </w:p>
    <w:p w14:paraId="0EFECB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завода цехи (1943 г.): основные: № 1 (снаряды, Ф-1, М-50), № 2 (АО-Ю, -25), № 3 (запалы), № 4 (снаряды, мины 82-мм), № 5 (ФАБ), № 6 (суррогатные ВВ), № 7 (снаряды 122-мм, мины 120-мм), № 8 (испытания запалов), высверловочная мастерская; вспомогательные: ремонтно-механическая мастерская, заводская лаборатория, котельная.</w:t>
      </w:r>
    </w:p>
    <w:p w14:paraId="5FCF76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боеприпасов. По 1.12.1944 г. выпущено 15.588 тыс. шт. боеприпасов.</w:t>
      </w:r>
    </w:p>
    <w:p w14:paraId="350225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Указу Президента РФ № 1009 от 4.08.2004 г. вошло в перечень стратегических оборонных предприятий.</w:t>
      </w:r>
    </w:p>
    <w:p w14:paraId="2E659C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(1943 г.): производственная- 7792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вспомогательная- 913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прочая- 1211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0B2854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(12.1942 г.)- 1093 чел.</w:t>
      </w:r>
    </w:p>
    <w:p w14:paraId="252BCE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Директор (04.1943 г.)-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Кошелев.</w:t>
      </w:r>
    </w:p>
    <w:p w14:paraId="1C9390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(04.1943 г.)- Сергеев.</w:t>
      </w:r>
    </w:p>
    <w:p w14:paraId="642669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технолог (04.1943 г.)- Секрет.</w:t>
      </w:r>
    </w:p>
    <w:p w14:paraId="30B0F8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граната Ф-1; мины: М-50, 82-мм, 120-мм; снаряды: 76-мм, 122-мм; бомбы: АО-Ю, АО-25, ФАБ-100, -250; мина ЯМ-5М; взрыватель АМ-А, запал Ковешникова (1943);</w:t>
      </w:r>
      <w:r w:rsidRPr="00640820">
        <w:rPr>
          <w:rFonts w:ascii="Times New Roman" w:hAnsi="Times New Roman"/>
          <w:color w:val="000000" w:themeColor="text1"/>
          <w:sz w:val="16"/>
          <w:szCs w:val="16"/>
          <w:vertAlign w:val="superscript"/>
        </w:rPr>
        <w:t>132</w:t>
      </w:r>
      <w:r w:rsidRPr="00640820">
        <w:rPr>
          <w:rFonts w:ascii="Times New Roman" w:hAnsi="Times New Roman"/>
          <w:color w:val="000000" w:themeColor="text1"/>
          <w:sz w:val="16"/>
          <w:szCs w:val="16"/>
        </w:rPr>
        <w:t xml:space="preserve"> (2000-е): патроны охотничьи; эмали ПФ-115, ПФ-266; спецодежда, белье (11982).</w:t>
      </w:r>
    </w:p>
    <w:p w14:paraId="104B59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5BDC0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года Начальник ГАУ Н. Д. Яковлев внес предложение в Государственный комитет обороны включить в план поставок из Англии по ленд-лизу станций орудийной наводки GL-MkII (9921).</w:t>
      </w:r>
    </w:p>
    <w:p w14:paraId="4B96C9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2CD71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 ноябрю 1941 г. на завод «Т» у ст. Юрга была эвакуирована с завода №232 «Большевик» (б. Обуховский) часть коллектива и 35 специальных станков. Вместе с ленинградцами прибыла группа рабочих и часть оборудования двух цехов Краматорского завода им. Сталина. А затем стало прибывать оборудование Сталинградского завода № 221 «Баррикады», куда также была эвакуирована часть завода № 232. Эвакуированных размещали в наскоро построенных бараках и </w:t>
      </w:r>
      <w:r w:rsidRPr="00640820">
        <w:rPr>
          <w:rFonts w:ascii="Times New Roman" w:hAnsi="Times New Roman"/>
          <w:color w:val="000000" w:themeColor="text1"/>
          <w:sz w:val="16"/>
          <w:szCs w:val="16"/>
        </w:rPr>
        <w:lastRenderedPageBreak/>
        <w:t>землянках, в соседних деревнях, отстоявших от строительной площадки порой на десять километров. Прибыл эвакуированный из Сталинграда стройтрест №25 Наркомата вооружения.</w:t>
      </w:r>
    </w:p>
    <w:p w14:paraId="4E8FA9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Строившийся завод выполнял заказы строителей, изготовлял детали к станкам, но определенной программы не имел.</w:t>
      </w:r>
    </w:p>
    <w:p w14:paraId="7861E7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1942 г. было освоено на строительстве лишь 17.235 тыс. рублей, что составляло 69% от выделенных капиталовложений. К выпуску продукции завод так и не приступил. Большинство цехов остались недостроенными, около половины трудящихся все еще проживали в соседних селах. На 1943 г. было выделено 45 млн. руб. капиталовложений. Постановлением ГКО от 6 февраля 1943 г. предусматривалось начать в этом году производственную деятельность завода. Но строители освоили только 41.630 рублей. Из намеченных к вводу в эксплуатацию объектов был достроен только один инструментальный цех. В недостроенных цехах из 516 станков сумели пустить лишь 214. Дисциплина па производстве была низкой. Бюро Кемеровского обкома ВКП(б) обвинило директора завода Абелева в низкой требовательности и осудило стиль его работы.</w:t>
      </w:r>
    </w:p>
    <w:p w14:paraId="5F0842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 же в орудийно-сборочном цехе № 22 был пущен первый станок «Леблонд» и снята первая стружка. В сентябре работали все три имевшихся орудийных станка. 6 октября 1943 г. был выдан первый моноблок (Б-13). Завод вступил в строй действующих (11511).</w:t>
      </w:r>
    </w:p>
    <w:p w14:paraId="5ADCCA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34C59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ноября 1941 устанавливаемую с июля 1940 на КВ граненая башня заменила литая башня (9527,160).</w:t>
      </w:r>
    </w:p>
    <w:p w14:paraId="031A3B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060504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ноября 1941 на ЧКЗ балансиры стали изготавливать при помощи горячей штамповки, после которой оставалось лишь просверлить необходимые отверстия. Подобно Т-50 и Т-34 в конструкцию КВ начали широко вводиться ли</w:t>
      </w:r>
      <w:r w:rsidRPr="00640820">
        <w:rPr>
          <w:rFonts w:ascii="Times New Roman" w:hAnsi="Times New Roman"/>
          <w:color w:val="000000" w:themeColor="text1"/>
          <w:sz w:val="16"/>
          <w:szCs w:val="16"/>
        </w:rPr>
        <w:softHyphen/>
        <w:t>тые детали вместо точеных, нарезка резьб в броневых лис</w:t>
      </w:r>
      <w:r w:rsidRPr="00640820">
        <w:rPr>
          <w:rFonts w:ascii="Times New Roman" w:hAnsi="Times New Roman"/>
          <w:color w:val="000000" w:themeColor="text1"/>
          <w:sz w:val="16"/>
          <w:szCs w:val="16"/>
        </w:rPr>
        <w:softHyphen/>
        <w:t>тах уступила место наварке бонок из конструкционной стали с резьбой внутри них (10782).</w:t>
      </w:r>
    </w:p>
    <w:p w14:paraId="29F3C26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76C74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первый танк КВ с бензи</w:t>
      </w:r>
      <w:r w:rsidRPr="00640820">
        <w:rPr>
          <w:rFonts w:ascii="Times New Roman" w:hAnsi="Times New Roman"/>
          <w:color w:val="000000" w:themeColor="text1"/>
          <w:sz w:val="16"/>
          <w:szCs w:val="16"/>
        </w:rPr>
        <w:softHyphen/>
        <w:t>новым двигателем вышел на ходовые испытания. Выяс</w:t>
      </w:r>
      <w:r w:rsidRPr="00640820">
        <w:rPr>
          <w:rFonts w:ascii="Times New Roman" w:hAnsi="Times New Roman"/>
          <w:color w:val="000000" w:themeColor="text1"/>
          <w:sz w:val="16"/>
          <w:szCs w:val="16"/>
        </w:rPr>
        <w:softHyphen/>
        <w:t>нилось, что мотор сильно перегревается, а танк может пе</w:t>
      </w:r>
      <w:r w:rsidRPr="00640820">
        <w:rPr>
          <w:rFonts w:ascii="Times New Roman" w:hAnsi="Times New Roman"/>
          <w:color w:val="000000" w:themeColor="text1"/>
          <w:sz w:val="16"/>
          <w:szCs w:val="16"/>
        </w:rPr>
        <w:softHyphen/>
        <w:t>редвигаться только на пониженных передачах. Но другого выхода не было, и о принятом решении было доложено в Москву. Последовало разрешение о временном оснаще</w:t>
      </w:r>
      <w:r w:rsidRPr="00640820">
        <w:rPr>
          <w:rFonts w:ascii="Times New Roman" w:hAnsi="Times New Roman"/>
          <w:color w:val="000000" w:themeColor="text1"/>
          <w:sz w:val="16"/>
          <w:szCs w:val="16"/>
        </w:rPr>
        <w:softHyphen/>
        <w:t>нии 100 танков КВ бензиномоторами М-17. Проект СКБ-2 по установке в моторном отделении танка КВ спарки дизелей Гиберсон Т-1070 или ОМС 6046 не прошел ввиду того, что срок выполнения заказа по дос</w:t>
      </w:r>
      <w:r w:rsidRPr="00640820">
        <w:rPr>
          <w:rFonts w:ascii="Times New Roman" w:hAnsi="Times New Roman"/>
          <w:color w:val="000000" w:themeColor="text1"/>
          <w:sz w:val="16"/>
          <w:szCs w:val="16"/>
        </w:rPr>
        <w:softHyphen/>
        <w:t>тавке дизелей из США оценивался от трех месяцев до по</w:t>
      </w:r>
      <w:r w:rsidRPr="00640820">
        <w:rPr>
          <w:rFonts w:ascii="Times New Roman" w:hAnsi="Times New Roman"/>
          <w:color w:val="000000" w:themeColor="text1"/>
          <w:sz w:val="16"/>
          <w:szCs w:val="16"/>
        </w:rPr>
        <w:softHyphen/>
        <w:t>лугода, а фронт не ждал. По предложению старшего воен</w:t>
      </w:r>
      <w:r w:rsidRPr="00640820">
        <w:rPr>
          <w:rFonts w:ascii="Times New Roman" w:hAnsi="Times New Roman"/>
          <w:color w:val="000000" w:themeColor="text1"/>
          <w:sz w:val="16"/>
          <w:szCs w:val="16"/>
        </w:rPr>
        <w:softHyphen/>
        <w:t>преда ЧКЗ А. Шпитанова на КВ началась установка бен</w:t>
      </w:r>
      <w:r w:rsidRPr="00640820">
        <w:rPr>
          <w:rFonts w:ascii="Times New Roman" w:hAnsi="Times New Roman"/>
          <w:color w:val="000000" w:themeColor="text1"/>
          <w:sz w:val="16"/>
          <w:szCs w:val="16"/>
        </w:rPr>
        <w:softHyphen/>
        <w:t>зиновых моторов М-17Т, которые в количестве около 100 шт. были найдены на складе эвакуированного из Ле</w:t>
      </w:r>
      <w:r w:rsidRPr="00640820">
        <w:rPr>
          <w:rFonts w:ascii="Times New Roman" w:hAnsi="Times New Roman"/>
          <w:color w:val="000000" w:themeColor="text1"/>
          <w:sz w:val="16"/>
          <w:szCs w:val="16"/>
        </w:rPr>
        <w:softHyphen/>
        <w:t>нинграда имущества. Под руководством инженера Н. Халкиопова были спешно изготовлены чертежи уста</w:t>
      </w:r>
      <w:r w:rsidRPr="00640820">
        <w:rPr>
          <w:rFonts w:ascii="Times New Roman" w:hAnsi="Times New Roman"/>
          <w:color w:val="000000" w:themeColor="text1"/>
          <w:sz w:val="16"/>
          <w:szCs w:val="16"/>
        </w:rPr>
        <w:softHyphen/>
        <w:t>новки М-17Т в танк КВ (10782).</w:t>
      </w:r>
    </w:p>
    <w:p w14:paraId="72C70BE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1FE64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 по инициативе конструкторского бюро ЧКЗ в Челябинске и конструк</w:t>
      </w:r>
      <w:r w:rsidRPr="00640820">
        <w:rPr>
          <w:rFonts w:ascii="Times New Roman" w:hAnsi="Times New Roman"/>
          <w:color w:val="000000" w:themeColor="text1"/>
          <w:sz w:val="16"/>
          <w:szCs w:val="16"/>
        </w:rPr>
        <w:softHyphen/>
        <w:t>торского бюро УЗТМ в Свердловске под общим руководством Ж.Я. Ко</w:t>
      </w:r>
      <w:r w:rsidRPr="00640820">
        <w:rPr>
          <w:rFonts w:ascii="Times New Roman" w:hAnsi="Times New Roman"/>
          <w:color w:val="000000" w:themeColor="text1"/>
          <w:sz w:val="16"/>
          <w:szCs w:val="16"/>
        </w:rPr>
        <w:softHyphen/>
        <w:t>тина была спроектирована Самоходная установка КВ-7. Проектирование установки вооружения от УЗТМ вели К.Н. Иль</w:t>
      </w:r>
      <w:r w:rsidRPr="00640820">
        <w:rPr>
          <w:rFonts w:ascii="Times New Roman" w:hAnsi="Times New Roman"/>
          <w:color w:val="000000" w:themeColor="text1"/>
          <w:sz w:val="16"/>
          <w:szCs w:val="16"/>
        </w:rPr>
        <w:softHyphen/>
        <w:t>ин и Г.С. Ефимов, от ЧКЗ - Г.Н. Москвин. Ведущим инженером маши</w:t>
      </w:r>
      <w:r w:rsidRPr="00640820">
        <w:rPr>
          <w:rFonts w:ascii="Times New Roman" w:hAnsi="Times New Roman"/>
          <w:color w:val="000000" w:themeColor="text1"/>
          <w:sz w:val="16"/>
          <w:szCs w:val="16"/>
        </w:rPr>
        <w:softHyphen/>
        <w:t>ны был Л.Е. Сычев. Машина создана на базе тяжелого танка КВ-1 с дву</w:t>
      </w:r>
      <w:r w:rsidRPr="00640820">
        <w:rPr>
          <w:rFonts w:ascii="Times New Roman" w:hAnsi="Times New Roman"/>
          <w:color w:val="000000" w:themeColor="text1"/>
          <w:sz w:val="16"/>
          <w:szCs w:val="16"/>
        </w:rPr>
        <w:softHyphen/>
        <w:t>мя вариантами артиллерийского вооружения. Первый опытный образец установки вооружения был изготовлен УЗТМ в декабре 1941 г. и про</w:t>
      </w:r>
      <w:r w:rsidRPr="00640820">
        <w:rPr>
          <w:rFonts w:ascii="Times New Roman" w:hAnsi="Times New Roman"/>
          <w:color w:val="000000" w:themeColor="text1"/>
          <w:sz w:val="16"/>
          <w:szCs w:val="16"/>
        </w:rPr>
        <w:softHyphen/>
        <w:t>шел испытания отстрелом на стенде. Окончательная сборка машины бы</w:t>
      </w:r>
      <w:r w:rsidRPr="00640820">
        <w:rPr>
          <w:rFonts w:ascii="Times New Roman" w:hAnsi="Times New Roman"/>
          <w:color w:val="000000" w:themeColor="text1"/>
          <w:sz w:val="16"/>
          <w:szCs w:val="16"/>
        </w:rPr>
        <w:softHyphen/>
        <w:t>ла выполнена на ЧКЗ в начале 1942 г. Это была первая тяжелая самоход</w:t>
      </w:r>
      <w:r w:rsidRPr="00640820">
        <w:rPr>
          <w:rFonts w:ascii="Times New Roman" w:hAnsi="Times New Roman"/>
          <w:color w:val="000000" w:themeColor="text1"/>
          <w:sz w:val="16"/>
          <w:szCs w:val="16"/>
        </w:rPr>
        <w:softHyphen/>
        <w:t>ная установка в нашей стране во время Великой Отечественной войны. На вооружение и в серийное производство машина не принималась (10703).</w:t>
      </w:r>
    </w:p>
    <w:p w14:paraId="37D2BB9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7267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 ввиду трудностей с созданием башен, нехваткой шариков для изготовления погона, прекращени</w:t>
      </w:r>
      <w:r w:rsidRPr="00640820">
        <w:rPr>
          <w:rFonts w:ascii="Times New Roman" w:hAnsi="Times New Roman"/>
          <w:color w:val="000000" w:themeColor="text1"/>
          <w:sz w:val="16"/>
          <w:szCs w:val="16"/>
        </w:rPr>
        <w:softHyphen/>
        <w:t>ем выпуска электромоторов и для снижения трудоемкости изготовления тяжелого танка группа Г. Москвина КБ Че</w:t>
      </w:r>
      <w:r w:rsidRPr="00640820">
        <w:rPr>
          <w:rFonts w:ascii="Times New Roman" w:hAnsi="Times New Roman"/>
          <w:color w:val="000000" w:themeColor="text1"/>
          <w:sz w:val="16"/>
          <w:szCs w:val="16"/>
        </w:rPr>
        <w:softHyphen/>
        <w:t>лябинского Кировского завода предложила на суд ГАБТУ и ГКО опытный образец тяжелого штурмового танка КВ-7, который должен был «успешно подавлять артбатареи и раз</w:t>
      </w:r>
      <w:r w:rsidRPr="00640820">
        <w:rPr>
          <w:rFonts w:ascii="Times New Roman" w:hAnsi="Times New Roman"/>
          <w:color w:val="000000" w:themeColor="text1"/>
          <w:sz w:val="16"/>
          <w:szCs w:val="16"/>
        </w:rPr>
        <w:softHyphen/>
        <w:t>рушать оборонительные сооружения противника».</w:t>
      </w:r>
    </w:p>
    <w:p w14:paraId="0207805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Танк был спроектирован и построен на шасси серийно</w:t>
      </w:r>
      <w:r w:rsidRPr="00640820">
        <w:rPr>
          <w:rFonts w:ascii="Times New Roman" w:hAnsi="Times New Roman"/>
          <w:color w:val="000000" w:themeColor="text1"/>
          <w:sz w:val="16"/>
          <w:szCs w:val="16"/>
        </w:rPr>
        <w:softHyphen/>
        <w:t>го КВ-1, взятом без переделок с установкой в его передней части просторной броневой рубки. Вооружение танка раз</w:t>
      </w:r>
      <w:r w:rsidRPr="00640820">
        <w:rPr>
          <w:rFonts w:ascii="Times New Roman" w:hAnsi="Times New Roman"/>
          <w:color w:val="000000" w:themeColor="text1"/>
          <w:sz w:val="16"/>
          <w:szCs w:val="16"/>
        </w:rPr>
        <w:softHyphen/>
        <w:t>мещалось в установке У-13, разработанной на Уралмашзаво-де конструкторами К.Н. Ильиным и Н.Н. Ефимовым, и со</w:t>
      </w:r>
      <w:r w:rsidRPr="00640820">
        <w:rPr>
          <w:rFonts w:ascii="Times New Roman" w:hAnsi="Times New Roman"/>
          <w:color w:val="000000" w:themeColor="text1"/>
          <w:sz w:val="16"/>
          <w:szCs w:val="16"/>
        </w:rPr>
        <w:softHyphen/>
        <w:t>стояло из одной 76,2-мм танковой пушки ЗИС-5 и двух 45-мм пушек 20К в единой карданной рамке. Орудийная ус</w:t>
      </w:r>
      <w:r w:rsidRPr="00640820">
        <w:rPr>
          <w:rFonts w:ascii="Times New Roman" w:hAnsi="Times New Roman"/>
          <w:color w:val="000000" w:themeColor="text1"/>
          <w:sz w:val="16"/>
          <w:szCs w:val="16"/>
        </w:rPr>
        <w:softHyphen/>
        <w:t>тановка имела единый прицел и единый механизм горизон</w:t>
      </w:r>
      <w:r w:rsidRPr="00640820">
        <w:rPr>
          <w:rFonts w:ascii="Times New Roman" w:hAnsi="Times New Roman"/>
          <w:color w:val="000000" w:themeColor="text1"/>
          <w:sz w:val="16"/>
          <w:szCs w:val="16"/>
        </w:rPr>
        <w:softHyphen/>
        <w:t>тального и вертикального наведения. Боекомплект каждого из орудий составлял по заданию 100 выстрелов. Спусковой механизм должен был обеспечивать как поочередный спуск каждого из орудий, так и залп всех пушек одновременно.</w:t>
      </w:r>
    </w:p>
    <w:p w14:paraId="74D3A1D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Рамочная установка артиллерийского вооружения для КВ-7 была впервые применена в отечественном танкостро</w:t>
      </w:r>
      <w:r w:rsidRPr="00640820">
        <w:rPr>
          <w:rFonts w:ascii="Times New Roman" w:hAnsi="Times New Roman"/>
          <w:color w:val="000000" w:themeColor="text1"/>
          <w:sz w:val="16"/>
          <w:szCs w:val="16"/>
        </w:rPr>
        <w:softHyphen/>
        <w:t>ении. Она была сочтена предпочтительнее тумбовой, так как давала в сравнении с последней наиболее компактное размещение орудий внутри боевого отделения танка. По</w:t>
      </w:r>
      <w:r w:rsidRPr="00640820">
        <w:rPr>
          <w:rFonts w:ascii="Times New Roman" w:hAnsi="Times New Roman"/>
          <w:color w:val="000000" w:themeColor="text1"/>
          <w:sz w:val="16"/>
          <w:szCs w:val="16"/>
        </w:rPr>
        <w:softHyphen/>
        <w:t>этому, начиная с 1942 г. рамочная установка нашла приме</w:t>
      </w:r>
      <w:r w:rsidRPr="00640820">
        <w:rPr>
          <w:rFonts w:ascii="Times New Roman" w:hAnsi="Times New Roman"/>
          <w:color w:val="000000" w:themeColor="text1"/>
          <w:sz w:val="16"/>
          <w:szCs w:val="16"/>
        </w:rPr>
        <w:softHyphen/>
        <w:t>нение во всех советских средних и тяжелых САУ времен Великой Отечественной войны. В ноябре после заводских пробегов КВ-7 был доработан и с 11 до 23 декабря прошел отстрел на полигоне, после чего отправлен в Москву для показа высшему командованию Красной Армии.</w:t>
      </w:r>
    </w:p>
    <w:p w14:paraId="75F5525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отчете, зачитанном в ходе показа, отмечалась низкая кучность орудий, и главное — сбивание прицела, которое происходило из-за большого плеча — расстояния между осью вращения блока орудий и осью бокового орудия. Кроме того, из-за несовершенства конструкции спуска ведение огня зал</w:t>
      </w:r>
      <w:r w:rsidRPr="00640820">
        <w:rPr>
          <w:rFonts w:ascii="Times New Roman" w:hAnsi="Times New Roman"/>
          <w:color w:val="000000" w:themeColor="text1"/>
          <w:sz w:val="16"/>
          <w:szCs w:val="16"/>
        </w:rPr>
        <w:softHyphen/>
        <w:t>пами приводило к очередям, ведущим к резким рывкам ору</w:t>
      </w:r>
      <w:r w:rsidRPr="00640820">
        <w:rPr>
          <w:rFonts w:ascii="Times New Roman" w:hAnsi="Times New Roman"/>
          <w:color w:val="000000" w:themeColor="text1"/>
          <w:sz w:val="16"/>
          <w:szCs w:val="16"/>
        </w:rPr>
        <w:softHyphen/>
        <w:t>дийной установки в разные стороны, и потому было призна</w:t>
      </w:r>
      <w:r w:rsidRPr="00640820">
        <w:rPr>
          <w:rFonts w:ascii="Times New Roman" w:hAnsi="Times New Roman"/>
          <w:color w:val="000000" w:themeColor="text1"/>
          <w:sz w:val="16"/>
          <w:szCs w:val="16"/>
        </w:rPr>
        <w:softHyphen/>
        <w:t>но нецелесообразным. Многие ветераны вкладывали в уста К.Е. Ворошилова, осматривавшего щит с пробоинами от снарядов КВ-7, фразу о том, что он считал, что артиллерия --точная наука. В документах по итогам испытаний такая фра</w:t>
      </w:r>
      <w:r w:rsidRPr="00640820">
        <w:rPr>
          <w:rFonts w:ascii="Times New Roman" w:hAnsi="Times New Roman"/>
          <w:color w:val="000000" w:themeColor="text1"/>
          <w:sz w:val="16"/>
          <w:szCs w:val="16"/>
        </w:rPr>
        <w:softHyphen/>
        <w:t>за не значится, но бывший нарком обороны высказал поже</w:t>
      </w:r>
      <w:r w:rsidRPr="00640820">
        <w:rPr>
          <w:rFonts w:ascii="Times New Roman" w:hAnsi="Times New Roman"/>
          <w:color w:val="000000" w:themeColor="text1"/>
          <w:sz w:val="16"/>
          <w:szCs w:val="16"/>
        </w:rPr>
        <w:softHyphen/>
        <w:t>лание установить в КВ-7 поменьше орудий, но помощнее (11417).</w:t>
      </w:r>
    </w:p>
    <w:p w14:paraId="5F65714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B8AE1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 наркоматом танковой промышленности было дано Задание УЗТМ спроектировать и изготовить совместно с Кировским заводом в Челябинске САУ, вооруженную тремя артиллерийскими орудиями, одно из которых имело калибр 76,2 мм, а два других - 45 мм. Необходимость создания САУ, предназначавшейся для сопровожде</w:t>
      </w:r>
      <w:r w:rsidRPr="00640820">
        <w:rPr>
          <w:rFonts w:ascii="Times New Roman" w:hAnsi="Times New Roman"/>
          <w:color w:val="000000" w:themeColor="text1"/>
          <w:sz w:val="16"/>
          <w:szCs w:val="16"/>
        </w:rPr>
        <w:softHyphen/>
        <w:t>ния танков в наступлении, была вызвана настоятельными просьбами приходившими в НКТП с фронта от командиров танковых войск раз</w:t>
      </w:r>
      <w:r w:rsidRPr="00640820">
        <w:rPr>
          <w:rFonts w:ascii="Times New Roman" w:hAnsi="Times New Roman"/>
          <w:color w:val="000000" w:themeColor="text1"/>
          <w:sz w:val="16"/>
          <w:szCs w:val="16"/>
        </w:rPr>
        <w:softHyphen/>
        <w:t>ного ранга. Так как разместить три орудия во вращающейся башне танка КВ-1 не представлялось возможным, горизонтальный угол обстрела тактико-техническим заданием был ограничен сектором 15°. В качестве базовой машины был использован танк КВ-1. Изготовленный ЧКЗ в начале 1942 г. опытный образец машины получил наименование КВ-7, а ее ору</w:t>
      </w:r>
      <w:r w:rsidRPr="00640820">
        <w:rPr>
          <w:rFonts w:ascii="Times New Roman" w:hAnsi="Times New Roman"/>
          <w:color w:val="000000" w:themeColor="text1"/>
          <w:sz w:val="16"/>
          <w:szCs w:val="16"/>
        </w:rPr>
        <w:softHyphen/>
        <w:t>дийный блок со всеми механизмами - индекс "У-13". Эта машина стала первой тяжелой самоходной артиллерийской установкой, в проектиро</w:t>
      </w:r>
      <w:r w:rsidRPr="00640820">
        <w:rPr>
          <w:rFonts w:ascii="Times New Roman" w:hAnsi="Times New Roman"/>
          <w:color w:val="000000" w:themeColor="text1"/>
          <w:sz w:val="16"/>
          <w:szCs w:val="16"/>
        </w:rPr>
        <w:softHyphen/>
        <w:t>вании и изготовлении которой принял участие коллектив УЗТМ (10703).</w:t>
      </w:r>
    </w:p>
    <w:p w14:paraId="34FC037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1D0AC0" w14:textId="77777777" w:rsidR="00F24BA9" w:rsidRPr="00640820" w:rsidRDefault="00F24BA9" w:rsidP="00640820">
      <w:pPr>
        <w:pStyle w:val="ae"/>
        <w:shd w:val="clear" w:color="auto" w:fill="FFFFFF"/>
        <w:spacing w:before="0" w:after="0"/>
        <w:jc w:val="both"/>
        <w:rPr>
          <w:color w:val="000000" w:themeColor="text1"/>
          <w:sz w:val="16"/>
          <w:szCs w:val="16"/>
        </w:rPr>
      </w:pPr>
      <w:r w:rsidRPr="00640820">
        <w:rPr>
          <w:color w:val="000000" w:themeColor="text1"/>
          <w:sz w:val="16"/>
          <w:szCs w:val="16"/>
        </w:rPr>
        <w:t>В ноябре 1941 года 124-я танковая бригада совместно с 43-й стрелковой дивизией вела тяжёлые бои в районе Усть-Тосно. В этих боях был сожжён второй образец Т-220, а вместе с ним погиб и экипаж под командованием младшего лейтенанта Яхнина. Согласно воспоминаниям, на танк был нанесён девиз «За Родину!». Судьба первой машины пока остаётся неизвестной. На этом можно было бы поставить точку в истории Т-220, но она имела продолжение. 8 февраля 1943 года был издан приказ №012 по 12-му отдельному учебному танковому полку о зачислении экипажей. Восьмой машиной в списке идёт танк… «За Родину», серийный номер 220–2, командиром которого назначили лейтенанта В. В. Струкова (15224).</w:t>
      </w:r>
    </w:p>
    <w:p w14:paraId="4C323586" w14:textId="77777777" w:rsidR="00F24BA9" w:rsidRPr="00640820" w:rsidRDefault="00F24BA9" w:rsidP="00640820">
      <w:pPr>
        <w:pStyle w:val="ae"/>
        <w:shd w:val="clear" w:color="auto" w:fill="FFFFFF"/>
        <w:spacing w:before="0" w:after="0"/>
        <w:jc w:val="both"/>
        <w:rPr>
          <w:color w:val="000000" w:themeColor="text1"/>
          <w:sz w:val="16"/>
          <w:szCs w:val="16"/>
        </w:rPr>
      </w:pPr>
    </w:p>
    <w:p w14:paraId="3D3C4459" w14:textId="77777777" w:rsidR="00F24BA9" w:rsidRPr="00640820" w:rsidRDefault="00F24BA9"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В но</w:t>
      </w:r>
      <w:r w:rsidRPr="00640820">
        <w:rPr>
          <w:rFonts w:ascii="Times New Roman" w:cs="Times New Roman"/>
          <w:color w:val="000000" w:themeColor="text1"/>
          <w:spacing w:val="0"/>
        </w:rPr>
        <w:softHyphen/>
        <w:t xml:space="preserve">ябре 1941 года в Челябинске возобновили начатые еще в Ленинграде до войны работы по огнеметному танку на базе </w:t>
      </w:r>
      <w:r w:rsidRPr="00640820">
        <w:rPr>
          <w:rFonts w:ascii="Times New Roman" w:cs="Times New Roman"/>
          <w:color w:val="000000" w:themeColor="text1"/>
          <w:spacing w:val="0"/>
          <w:lang w:val="en-US"/>
        </w:rPr>
        <w:t>KB</w:t>
      </w:r>
      <w:r w:rsidRPr="00640820">
        <w:rPr>
          <w:rFonts w:ascii="Times New Roman" w:cs="Times New Roman"/>
          <w:color w:val="000000" w:themeColor="text1"/>
          <w:spacing w:val="0"/>
        </w:rPr>
        <w:t>-1, и в декабре был готов опыт</w:t>
      </w:r>
      <w:r w:rsidRPr="00640820">
        <w:rPr>
          <w:rFonts w:ascii="Times New Roman" w:cs="Times New Roman"/>
          <w:color w:val="000000" w:themeColor="text1"/>
          <w:spacing w:val="0"/>
        </w:rPr>
        <w:softHyphen/>
        <w:t>ный образец, получивший обозначений КВ-8 (объект 228). В конструкцию корпуса и хо</w:t>
      </w:r>
      <w:r w:rsidRPr="00640820">
        <w:rPr>
          <w:rFonts w:ascii="Times New Roman" w:cs="Times New Roman"/>
          <w:color w:val="000000" w:themeColor="text1"/>
          <w:spacing w:val="0"/>
        </w:rPr>
        <w:softHyphen/>
        <w:t>довой части машины никаких изменений не вносили, а в башне установили 45-мм пушку в едином блоке с пулеметом ДТ и по</w:t>
      </w:r>
      <w:r w:rsidRPr="00640820">
        <w:rPr>
          <w:rFonts w:ascii="Times New Roman" w:cs="Times New Roman"/>
          <w:color w:val="000000" w:themeColor="text1"/>
          <w:spacing w:val="0"/>
        </w:rPr>
        <w:softHyphen/>
        <w:t>роховым огнеметом АТО-41. Наводка на цель осуществлялась при помощи штатных при</w:t>
      </w:r>
      <w:r w:rsidRPr="00640820">
        <w:rPr>
          <w:rFonts w:ascii="Times New Roman" w:cs="Times New Roman"/>
          <w:color w:val="000000" w:themeColor="text1"/>
          <w:spacing w:val="0"/>
        </w:rPr>
        <w:softHyphen/>
        <w:t>водов и прицельных приспособлений (теле</w:t>
      </w:r>
      <w:r w:rsidRPr="00640820">
        <w:rPr>
          <w:rFonts w:ascii="Times New Roman" w:cs="Times New Roman"/>
          <w:color w:val="000000" w:themeColor="text1"/>
          <w:spacing w:val="0"/>
        </w:rPr>
        <w:softHyphen/>
        <w:t>скопического прицела ТМФ и перископи</w:t>
      </w:r>
      <w:r w:rsidRPr="00640820">
        <w:rPr>
          <w:rFonts w:ascii="Times New Roman" w:cs="Times New Roman"/>
          <w:color w:val="000000" w:themeColor="text1"/>
          <w:spacing w:val="0"/>
        </w:rPr>
        <w:softHyphen/>
        <w:t>ческого ПТ-4). Для того, чтобы в бою огне</w:t>
      </w:r>
      <w:r w:rsidRPr="00640820">
        <w:rPr>
          <w:rFonts w:ascii="Times New Roman" w:cs="Times New Roman"/>
          <w:color w:val="000000" w:themeColor="text1"/>
          <w:spacing w:val="0"/>
        </w:rPr>
        <w:softHyphen/>
        <w:t>метные танки не отличались от линейных, на 45-мм пушку был надет маскировочный кожух, имитирующий 76-мм орудие. Экипаж КВ-8 сократился до четырех человек. Огнемет АТО-41 мог вести огонь оди</w:t>
      </w:r>
      <w:r w:rsidRPr="00640820">
        <w:rPr>
          <w:rFonts w:ascii="Times New Roman" w:cs="Times New Roman"/>
          <w:color w:val="000000" w:themeColor="text1"/>
          <w:spacing w:val="0"/>
        </w:rPr>
        <w:softHyphen/>
        <w:t>ночными выстрелами и очередями по три- четыре выстрела. Дальность огнеметания стандартной огнесмесью (60% мазута и 40% керосина) составляла 60—65 м, а «вязкой» огнесмесью - до 100 м. Выброс огнесмеси производился поршнем под действием по</w:t>
      </w:r>
      <w:r w:rsidRPr="00640820">
        <w:rPr>
          <w:rFonts w:ascii="Times New Roman" w:cs="Times New Roman"/>
          <w:color w:val="000000" w:themeColor="text1"/>
          <w:spacing w:val="0"/>
        </w:rPr>
        <w:softHyphen/>
        <w:t>роховых газов специального патрона. Пере</w:t>
      </w:r>
      <w:r w:rsidRPr="00640820">
        <w:rPr>
          <w:rFonts w:ascii="Times New Roman" w:cs="Times New Roman"/>
          <w:color w:val="000000" w:themeColor="text1"/>
          <w:spacing w:val="0"/>
        </w:rPr>
        <w:softHyphen/>
        <w:t>зарядка огнемета и подача очередного патро</w:t>
      </w:r>
      <w:r w:rsidRPr="00640820">
        <w:rPr>
          <w:rFonts w:ascii="Times New Roman" w:cs="Times New Roman"/>
          <w:color w:val="000000" w:themeColor="text1"/>
          <w:spacing w:val="0"/>
        </w:rPr>
        <w:softHyphen/>
        <w:t>на осуществлялась под действием гидравли</w:t>
      </w:r>
      <w:r w:rsidRPr="00640820">
        <w:rPr>
          <w:rFonts w:ascii="Times New Roman" w:cs="Times New Roman"/>
          <w:color w:val="000000" w:themeColor="text1"/>
          <w:spacing w:val="0"/>
        </w:rPr>
        <w:softHyphen/>
        <w:t>ческого набора огнесмеси, создававшегося в специальном резервуаре. Запас огнесме</w:t>
      </w:r>
      <w:r w:rsidRPr="00640820">
        <w:rPr>
          <w:rFonts w:ascii="Times New Roman" w:cs="Times New Roman"/>
          <w:color w:val="000000" w:themeColor="text1"/>
          <w:spacing w:val="0"/>
        </w:rPr>
        <w:softHyphen/>
        <w:t>си составлял 570 л (на 57 выстрелов), и раз</w:t>
      </w:r>
      <w:r w:rsidRPr="00640820">
        <w:rPr>
          <w:rFonts w:ascii="Times New Roman" w:cs="Times New Roman"/>
          <w:color w:val="000000" w:themeColor="text1"/>
          <w:spacing w:val="0"/>
        </w:rPr>
        <w:softHyphen/>
        <w:t>мещался в двух баках по 120 л в нише баш</w:t>
      </w:r>
      <w:r w:rsidRPr="00640820">
        <w:rPr>
          <w:rFonts w:ascii="Times New Roman" w:cs="Times New Roman"/>
          <w:color w:val="000000" w:themeColor="text1"/>
          <w:spacing w:val="0"/>
        </w:rPr>
        <w:softHyphen/>
        <w:t>ни и одном 450 л на днище боевого отделе</w:t>
      </w:r>
      <w:r w:rsidRPr="00640820">
        <w:rPr>
          <w:rFonts w:ascii="Times New Roman" w:cs="Times New Roman"/>
          <w:color w:val="000000" w:themeColor="text1"/>
          <w:spacing w:val="0"/>
        </w:rPr>
        <w:softHyphen/>
        <w:t>ния. Запас пороховых патронов к огнемету составлял 63 штуки, боекомплект к пушке - 116 выстрелов, к пулемету — 2772 патрона (44 диска). Кроме того, в боевом отделении имелась укладка на 25 гранат Ф-1 (15226).</w:t>
      </w:r>
    </w:p>
    <w:p w14:paraId="4C16EF09" w14:textId="77777777" w:rsidR="00F24BA9" w:rsidRPr="00640820" w:rsidRDefault="00F24BA9" w:rsidP="00640820">
      <w:pPr>
        <w:pStyle w:val="27"/>
        <w:shd w:val="clear" w:color="auto" w:fill="auto"/>
        <w:spacing w:after="0" w:line="240" w:lineRule="auto"/>
        <w:ind w:firstLine="0"/>
        <w:rPr>
          <w:rFonts w:ascii="Times New Roman" w:cs="Times New Roman"/>
          <w:color w:val="000000" w:themeColor="text1"/>
          <w:spacing w:val="0"/>
        </w:rPr>
      </w:pPr>
    </w:p>
    <w:p w14:paraId="26DD0AE8" w14:textId="77777777" w:rsidR="00F24BA9" w:rsidRPr="00640820" w:rsidRDefault="00F24BA9"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 xml:space="preserve">В ноябре 1941 года, практически сразу же после эвакуации из Ленинграда и развертывания производства танков </w:t>
      </w:r>
      <w:r w:rsidRPr="00640820">
        <w:rPr>
          <w:rFonts w:ascii="Times New Roman" w:cs="Times New Roman"/>
          <w:color w:val="000000" w:themeColor="text1"/>
          <w:spacing w:val="0"/>
          <w:lang w:val="en-US"/>
        </w:rPr>
        <w:t>KB</w:t>
      </w:r>
      <w:r w:rsidRPr="00640820">
        <w:rPr>
          <w:rFonts w:ascii="Times New Roman" w:cs="Times New Roman"/>
          <w:color w:val="000000" w:themeColor="text1"/>
          <w:spacing w:val="0"/>
        </w:rPr>
        <w:t xml:space="preserve"> в Челябинске, СКБ-2 начало работы над «малоуязвимой артиллерийской ма</w:t>
      </w:r>
      <w:r w:rsidRPr="00640820">
        <w:rPr>
          <w:rFonts w:ascii="Times New Roman" w:cs="Times New Roman"/>
          <w:color w:val="000000" w:themeColor="text1"/>
          <w:spacing w:val="0"/>
        </w:rPr>
        <w:softHyphen/>
        <w:t>шиной сопровождения танков с большой скорострельностью (12 — 15 выстр./мин) и возможностью производства одновре</w:t>
      </w:r>
      <w:r w:rsidRPr="00640820">
        <w:rPr>
          <w:rFonts w:ascii="Times New Roman" w:cs="Times New Roman"/>
          <w:color w:val="000000" w:themeColor="text1"/>
          <w:spacing w:val="0"/>
        </w:rPr>
        <w:softHyphen/>
        <w:t>менного залпа». Необходимость создания САУ, предназначавшейся для сопровож</w:t>
      </w:r>
      <w:r w:rsidRPr="00640820">
        <w:rPr>
          <w:rFonts w:ascii="Times New Roman" w:cs="Times New Roman"/>
          <w:color w:val="000000" w:themeColor="text1"/>
          <w:spacing w:val="0"/>
        </w:rPr>
        <w:softHyphen/>
        <w:t>дения танков в наступлении, была вызва</w:t>
      </w:r>
      <w:r w:rsidRPr="00640820">
        <w:rPr>
          <w:rFonts w:ascii="Times New Roman" w:cs="Times New Roman"/>
          <w:color w:val="000000" w:themeColor="text1"/>
          <w:spacing w:val="0"/>
        </w:rPr>
        <w:softHyphen/>
        <w:t>на настоятельными просьбами, прихо</w:t>
      </w:r>
      <w:r w:rsidRPr="00640820">
        <w:rPr>
          <w:rFonts w:ascii="Times New Roman" w:cs="Times New Roman"/>
          <w:color w:val="000000" w:themeColor="text1"/>
          <w:spacing w:val="0"/>
        </w:rPr>
        <w:softHyphen/>
        <w:t>дившими в Народный комиссариат тан</w:t>
      </w:r>
      <w:r w:rsidRPr="00640820">
        <w:rPr>
          <w:rFonts w:ascii="Times New Roman" w:cs="Times New Roman"/>
          <w:color w:val="000000" w:themeColor="text1"/>
          <w:spacing w:val="0"/>
        </w:rPr>
        <w:softHyphen/>
        <w:t>ковой промышленности (НКТП) с фронта от танковых командиров разного ранга. Проектирование этой машины ве</w:t>
      </w:r>
      <w:r w:rsidRPr="00640820">
        <w:rPr>
          <w:rFonts w:ascii="Times New Roman" w:cs="Times New Roman"/>
          <w:color w:val="000000" w:themeColor="text1"/>
          <w:spacing w:val="0"/>
        </w:rPr>
        <w:softHyphen/>
        <w:t>лось одновременно в Челябинске — на Челябинском Кировском заводе (ЧКЗ) и в Свердловске — на Уральском заводе тя</w:t>
      </w:r>
      <w:r w:rsidRPr="00640820">
        <w:rPr>
          <w:rFonts w:ascii="Times New Roman" w:cs="Times New Roman"/>
          <w:color w:val="000000" w:themeColor="text1"/>
          <w:spacing w:val="0"/>
        </w:rPr>
        <w:softHyphen/>
        <w:t>желого машиностроения (УЗТМ, или Уралмашзавод) под общим руководством Ж.Я.Котина (15232).</w:t>
      </w:r>
    </w:p>
    <w:p w14:paraId="08F82992" w14:textId="77777777" w:rsidR="00F24BA9" w:rsidRPr="00640820" w:rsidRDefault="00F24BA9" w:rsidP="00640820">
      <w:pPr>
        <w:pStyle w:val="27"/>
        <w:shd w:val="clear" w:color="auto" w:fill="auto"/>
        <w:spacing w:after="0" w:line="240" w:lineRule="auto"/>
        <w:ind w:firstLine="0"/>
        <w:rPr>
          <w:rFonts w:ascii="Times New Roman" w:cs="Times New Roman"/>
          <w:color w:val="000000" w:themeColor="text1"/>
          <w:spacing w:val="0"/>
        </w:rPr>
      </w:pPr>
    </w:p>
    <w:p w14:paraId="335F7DDD" w14:textId="77777777" w:rsidR="003C65D8" w:rsidRPr="00640820" w:rsidRDefault="003C65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ноября 1941 года активизирова</w:t>
      </w:r>
      <w:r w:rsidRPr="00640820">
        <w:rPr>
          <w:rFonts w:ascii="Times New Roman" w:hAnsi="Times New Roman"/>
          <w:color w:val="000000" w:themeColor="text1"/>
          <w:sz w:val="16"/>
          <w:szCs w:val="16"/>
        </w:rPr>
        <w:softHyphen/>
        <w:t>лись работы по значительной части проектов самоходных установок, которые упоминались в проекте постановления СНК Союза ССР и ЦК ВКП(б) «О самоходной артиллерии» от 27 мая 1941 года. Вместе с тем практически все работы до начала 1942 года находились в стадии прора</w:t>
      </w:r>
      <w:r w:rsidRPr="00640820">
        <w:rPr>
          <w:rFonts w:ascii="Times New Roman" w:hAnsi="Times New Roman"/>
          <w:color w:val="000000" w:themeColor="text1"/>
          <w:sz w:val="16"/>
          <w:szCs w:val="16"/>
        </w:rPr>
        <w:softHyphen/>
        <w:t>ботки тактико-технических требований, речи не шло даже об эскизных проектах. Дело в том, что большинство заводов, на которые возлага</w:t>
      </w:r>
      <w:r w:rsidRPr="00640820">
        <w:rPr>
          <w:rFonts w:ascii="Times New Roman" w:hAnsi="Times New Roman"/>
          <w:color w:val="000000" w:themeColor="text1"/>
          <w:sz w:val="16"/>
          <w:szCs w:val="16"/>
        </w:rPr>
        <w:softHyphen/>
        <w:t xml:space="preserve">лась разработка САУ, либо </w:t>
      </w:r>
      <w:r w:rsidRPr="00640820">
        <w:rPr>
          <w:rFonts w:ascii="Times New Roman" w:hAnsi="Times New Roman"/>
          <w:color w:val="000000" w:themeColor="text1"/>
          <w:sz w:val="16"/>
          <w:szCs w:val="16"/>
        </w:rPr>
        <w:lastRenderedPageBreak/>
        <w:t>находились в процессе организации произ</w:t>
      </w:r>
      <w:r w:rsidRPr="00640820">
        <w:rPr>
          <w:rFonts w:ascii="Times New Roman" w:hAnsi="Times New Roman"/>
          <w:color w:val="000000" w:themeColor="text1"/>
          <w:sz w:val="16"/>
          <w:szCs w:val="16"/>
        </w:rPr>
        <w:softHyphen/>
        <w:t>водства на площадках, куда их эвакуировали летом-осенью 1941 года, либо были загружены более срочными заказами. Тем не менее в пла</w:t>
      </w:r>
      <w:r w:rsidRPr="00640820">
        <w:rPr>
          <w:rFonts w:ascii="Times New Roman" w:hAnsi="Times New Roman"/>
          <w:color w:val="000000" w:themeColor="text1"/>
          <w:sz w:val="16"/>
          <w:szCs w:val="16"/>
        </w:rPr>
        <w:softHyphen/>
        <w:t>не опытных работ на 1942 год снова появилась тема «Танк КВ-3» со сроком окончания работ 1 мая 1942 года. По этой же теме проходили «двухтактный дизель мощностью 1200 л.с.» (срок завершения работ — 1 октября 1942 года) и «форсировка дизеля В-2 наддувом до 1200 л.с.» (срок завершения работ — 1 июля 1942 года) (17484).</w:t>
      </w:r>
    </w:p>
    <w:p w14:paraId="716C471F" w14:textId="77777777" w:rsidR="003C65D8" w:rsidRPr="00640820" w:rsidRDefault="003C65D8" w:rsidP="00640820">
      <w:pPr>
        <w:spacing w:after="0" w:line="240" w:lineRule="auto"/>
        <w:jc w:val="both"/>
        <w:rPr>
          <w:rFonts w:ascii="Times New Roman" w:hAnsi="Times New Roman"/>
          <w:color w:val="000000" w:themeColor="text1"/>
          <w:sz w:val="16"/>
          <w:szCs w:val="16"/>
        </w:rPr>
      </w:pPr>
    </w:p>
    <w:p w14:paraId="61F1672C" w14:textId="77777777" w:rsidR="003C65D8" w:rsidRPr="00640820" w:rsidRDefault="003C65D8" w:rsidP="00640820">
      <w:pPr>
        <w:pStyle w:val="a3"/>
        <w:rPr>
          <w:color w:val="000000" w:themeColor="text1"/>
          <w:lang w:val="ru-RU"/>
        </w:rPr>
      </w:pPr>
      <w:r w:rsidRPr="00640820">
        <w:rPr>
          <w:color w:val="000000" w:themeColor="text1"/>
          <w:lang w:val="ru-RU"/>
        </w:rPr>
        <w:t>В ноябре 1941 года инженеры Н.Н. Ефимов и К.Н. Ильин ОКБ-3 УЗТМ началась и закончилась к 10 декабря разработку артиллерийской части строенной установки на базе КВ. В качестве главного конструктора системы, получившей заводской индекс У-13, выступал Ф.Ф. Петров. Значи</w:t>
      </w:r>
      <w:r w:rsidRPr="00640820">
        <w:rPr>
          <w:color w:val="000000" w:themeColor="text1"/>
          <w:lang w:val="ru-RU"/>
        </w:rPr>
        <w:softHyphen/>
        <w:t>тельную роль в создании У-13 сыграл прибывший в октябре 1941 года из Ленинграда Л.И. Горлицкий, на тот момент занимавший должность начальника артиллерийского КБ Кировского завода. На новом месте Лев Израилевич стал заместителем главного конструктора. Система У-13 прикрывалась общей орудийной маской, которая снизу дополни</w:t>
      </w:r>
      <w:r w:rsidRPr="00640820">
        <w:rPr>
          <w:color w:val="000000" w:themeColor="text1"/>
          <w:lang w:val="ru-RU"/>
        </w:rPr>
        <w:softHyphen/>
        <w:t>тельно защищалась от заклинивания бронелистом (17484).</w:t>
      </w:r>
    </w:p>
    <w:p w14:paraId="050FE704" w14:textId="77777777" w:rsidR="003C65D8" w:rsidRPr="00640820" w:rsidRDefault="003C65D8" w:rsidP="00640820">
      <w:pPr>
        <w:spacing w:after="0" w:line="240" w:lineRule="auto"/>
        <w:jc w:val="both"/>
        <w:rPr>
          <w:rFonts w:ascii="Times New Roman" w:hAnsi="Times New Roman"/>
          <w:color w:val="000000" w:themeColor="text1"/>
          <w:sz w:val="16"/>
          <w:szCs w:val="16"/>
        </w:rPr>
      </w:pPr>
    </w:p>
    <w:p w14:paraId="4E1E4AB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 после заводских пробегов образец КВ-7 был отправлен в Москву, где показал весьма по</w:t>
      </w:r>
      <w:r w:rsidRPr="00640820">
        <w:rPr>
          <w:rFonts w:ascii="Times New Roman" w:hAnsi="Times New Roman"/>
          <w:color w:val="000000" w:themeColor="text1"/>
          <w:sz w:val="16"/>
          <w:szCs w:val="16"/>
        </w:rPr>
        <w:softHyphen/>
        <w:t xml:space="preserve">средственные результаты в плане кучности стрельбы. Из-за несовершенства конструкции спуска ведение огня залпами было признано нецелесообразным (10782). </w:t>
      </w:r>
    </w:p>
    <w:p w14:paraId="7B25F6A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окончании испытаний К. Ворошилов высказал пожелание - установить поменьше орудий, но помощнее (10782).</w:t>
      </w:r>
    </w:p>
    <w:p w14:paraId="7A74FF4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72E6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 помимо ЗИС-6 ОКБ № 92 начало рабо</w:t>
      </w:r>
      <w:r w:rsidRPr="00640820">
        <w:rPr>
          <w:rFonts w:ascii="Times New Roman" w:hAnsi="Times New Roman"/>
          <w:color w:val="000000" w:themeColor="text1"/>
          <w:sz w:val="16"/>
          <w:szCs w:val="16"/>
        </w:rPr>
        <w:softHyphen/>
        <w:t>ты над строенной установкой, получившей индекс ЗИС-6А. Артсистема представляла собой установку 107-мм пушки ЗИС-6 (нач. скорость 830 м/с), 45-мм пушки типа 20-К (нач. скорость 757 м/с) и пулемета ДТ в единой маске танка КВ-3, появление которых ожидалось в ближайшее время. Кроме того, была доработана маска танка КВ-2 для установки ЗИС-6А в башню и этого танка. Цель создания строенной установки заключалась в том, чтобы рационально использо</w:t>
      </w:r>
      <w:r w:rsidRPr="00640820">
        <w:rPr>
          <w:rFonts w:ascii="Times New Roman" w:hAnsi="Times New Roman"/>
          <w:color w:val="000000" w:themeColor="text1"/>
          <w:sz w:val="16"/>
          <w:szCs w:val="16"/>
        </w:rPr>
        <w:softHyphen/>
        <w:t>вать дорогостоящие 107-мм выстрелы. 45-мм орудие могло использоваться для поражения малых и слабобронирован</w:t>
      </w:r>
      <w:r w:rsidRPr="00640820">
        <w:rPr>
          <w:rFonts w:ascii="Times New Roman" w:hAnsi="Times New Roman"/>
          <w:color w:val="000000" w:themeColor="text1"/>
          <w:sz w:val="16"/>
          <w:szCs w:val="16"/>
        </w:rPr>
        <w:softHyphen/>
        <w:t>ных целей, а также для пристрелки главного орудия при ве</w:t>
      </w:r>
      <w:r w:rsidRPr="00640820">
        <w:rPr>
          <w:rFonts w:ascii="Times New Roman" w:hAnsi="Times New Roman"/>
          <w:color w:val="000000" w:themeColor="text1"/>
          <w:sz w:val="16"/>
          <w:szCs w:val="16"/>
        </w:rPr>
        <w:softHyphen/>
        <w:t>дении огня против укрепленных огневых точек. Опытный образец ЗИС-6А был изготовлен в деталях весной 1942 г., но окончательно собран не был ввиду прекращения всех работ над тапками КВ-2, КВ-3, КВ-4 и КВ-5 (10782).</w:t>
      </w:r>
    </w:p>
    <w:p w14:paraId="53F3E3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E72FDC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 конструкторы А.В. Усенко, Н.В. Курин и В.Е. Сидоренко защитили проект 122-мм танковой пушки с баллистикой гаубицы обр. 1938 г. После доводочных работ опытная партия в 10 шт. орудий, получивших индекс У-11, весной 1942 г. была изготовлена на заводе № 9. Но оказалось, что в штатную башню КВ-1, равно как и Т-34, установить орудие затруднительно. Поэтому специ</w:t>
      </w:r>
      <w:r w:rsidRPr="00640820">
        <w:rPr>
          <w:rFonts w:ascii="Times New Roman" w:hAnsi="Times New Roman"/>
          <w:color w:val="000000" w:themeColor="text1"/>
          <w:sz w:val="16"/>
          <w:szCs w:val="16"/>
        </w:rPr>
        <w:softHyphen/>
        <w:t>ально для него Челябинским Кировским заводом была отлита башня с измененной лобовой деталью и новой маской. Предполагалось, что танк с новым вооружением, получив</w:t>
      </w:r>
      <w:r w:rsidRPr="00640820">
        <w:rPr>
          <w:rFonts w:ascii="Times New Roman" w:hAnsi="Times New Roman"/>
          <w:color w:val="000000" w:themeColor="text1"/>
          <w:sz w:val="16"/>
          <w:szCs w:val="16"/>
        </w:rPr>
        <w:softHyphen/>
        <w:t>ший индекс КВ-9, займет в войсках место снятого с воору</w:t>
      </w:r>
      <w:r w:rsidRPr="00640820">
        <w:rPr>
          <w:rFonts w:ascii="Times New Roman" w:hAnsi="Times New Roman"/>
          <w:color w:val="000000" w:themeColor="text1"/>
          <w:sz w:val="16"/>
          <w:szCs w:val="16"/>
        </w:rPr>
        <w:softHyphen/>
        <w:t>жения артиллерийского танка КВ-2 и будет активно исполь</w:t>
      </w:r>
      <w:r w:rsidRPr="00640820">
        <w:rPr>
          <w:rFonts w:ascii="Times New Roman" w:hAnsi="Times New Roman"/>
          <w:color w:val="000000" w:themeColor="text1"/>
          <w:sz w:val="16"/>
          <w:szCs w:val="16"/>
        </w:rPr>
        <w:softHyphen/>
        <w:t>зоваться «для борьбы со скоплениями живой силы, средними и тяжелыми танками, а также укреплениями противника» (11417).</w:t>
      </w:r>
    </w:p>
    <w:p w14:paraId="2C7F8F0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9E7B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года в Челябинске начались работы над огнеметным танком КВ-8. Согласно советской танковой доктрине, принятой еще в довоенный период, огнеметные танки считались неотъемлемой частью бронетанковых войск. Однако в качестве огнеметных использовались танки Т-26 (ОТ-130, ОТ-26 и ОТ-133) которые были слабо бронированы и, соответственно, чувствительны к огню противника. Поэтому необходимость установки огнеметов на новые танки КВ-1 и Т-34, была очевидна..</w:t>
      </w:r>
    </w:p>
    <w:p w14:paraId="3EFD37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Уральские конструктора разместили огнемет поршневого типа АТО-41 в башне КВ-1, в место спаренного пулемета, в то время как на Т-34 (ОТ-34) был установлен тот же огнемет на место курсового пулемета. Опыт финской компании показал, что огнеметные танки становятся первой целью для противотанковой артиллерии..</w:t>
      </w:r>
    </w:p>
    <w:p w14:paraId="135789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Когда же запас горючей смеси заканчивался, танки становились беззащитными мишенями. Но габариты огнемета не позволяли конструкторам разместить его в башне КВ-1 с сохранением штатной 76,2-мм пушки. Поэтому было принято решение разместить огнемет на месте спаренного пулемета, а вместо 76-мм, установить 45-мм орудие образца 1932/38 года. Тонкий ствол сорокапятки маскировался ложным кожухом, имитирующим ствол штатной 76-мм пушки..</w:t>
      </w:r>
    </w:p>
    <w:p w14:paraId="20426D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Огнесмесь выбрасывалась поршнем при действии на него пороховых газов. Перезарядка и подача очередного патрона производилась автоматически, под воздействием гидравлического напора огнесмеси, создаваемого в резервуаре сжатым воздухом (4,0-4,5кг/см2) поступающим из специального баллона..</w:t>
      </w:r>
    </w:p>
    <w:p w14:paraId="2F5E9A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Огнесмесь поджигалась бензиновым факелом , а последний - электрической запальной свечой. Огнемет мог совершить три выстрела в течении 10 секунд. На каждый выстрел расходовалось порядка 10 литров огнесмеси. Дальнобойность огнемета зависела от типа применяемой огнесмеси. При стрельбе огнесмесью, состоящей из 60% мазута и 40% керосина, дальность не превышала 60-65 метров. При стрельбе смесью керосина с маслом, дальность была 90-100 метров. (3862).</w:t>
      </w:r>
    </w:p>
    <w:p w14:paraId="5B587B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C8DA1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ноября 1941 г. Уралмашзавод выпускал бронелисты для корпусов и башен Т-34, траки, в 01.1942г. освоен выпуск литых башен для танка КВ. В начале 1943г. изготовлены два опытных корпуса танка КВ-13. Распоряжением ГКО № 2120 от 28.07.1942г. заводу поручено к 1.10.1942г. освоить выпуск танков Т-34. В 09.1942г. выпущены первые 5 Т-34. В конце 1943г. выпуск Т-34 прекращен в пользу СУ-85 и СУ-122. В соответствии с пост. ГКО № 2559 от 2.12.1942г. на заводе начат выпуск СУ-122. В соответствии с пост. ГКО № 3892 от 8.08.1943г. СУ-122 снята с производства и организован выпуск 85-мм САУ на базе танка Т-34 (11982).</w:t>
      </w:r>
    </w:p>
    <w:p w14:paraId="1082E6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8D41B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после эвакуации ХПЗ из Харькова в Нижний Тагил конструкторы тягачей вошли в состав танкового бюро и занимались решением вопросов серийного производства танков. Однако в годы войны на заводе №183 ими были разработаны и тягачи АТ-42 и АТ-45 на базе танка Т-34. Развернуть работы над следующим поколением тягачей удалось лишь после окончания войны на вновь восстановленном на месте ХПЗ заводе. В 1944 году здесь изготовили опытную партию АТ-45, но в связи с переходом завода на выпуск танка Т-44 работы по нему прекратились. С переходом производства в 1946 году на танк Т-54 конструкторы под руководством М.Н. Щукина и А.И. Автомонова приступили к разработке тягача изд.401 на базе этого танка. Работы эти велись по заданию ГАУ и ЦАВТУ. Тягач успешно прошел испытания, и в 1953 году вышли первые серийные образцы АТ-Т (артиллерийский тягач тяжелый).</w:t>
      </w:r>
    </w:p>
    <w:p w14:paraId="4C3FFF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E26B42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 коллективу завода № 112 удалось в 2,5 раза, по срав</w:t>
      </w:r>
      <w:r w:rsidRPr="00640820">
        <w:rPr>
          <w:rFonts w:ascii="Times New Roman" w:hAnsi="Times New Roman"/>
          <w:color w:val="000000" w:themeColor="text1"/>
          <w:sz w:val="16"/>
          <w:szCs w:val="16"/>
        </w:rPr>
        <w:softHyphen/>
        <w:t>нению с октябрем, увеличить выпуск боевых машин. Это стало возмож</w:t>
      </w:r>
      <w:r w:rsidRPr="00640820">
        <w:rPr>
          <w:rFonts w:ascii="Times New Roman" w:hAnsi="Times New Roman"/>
          <w:color w:val="000000" w:themeColor="text1"/>
          <w:sz w:val="16"/>
          <w:szCs w:val="16"/>
        </w:rPr>
        <w:softHyphen/>
        <w:t>ным благодаря резкому увеличению выпуска корпусов танка, изготав</w:t>
      </w:r>
      <w:r w:rsidRPr="00640820">
        <w:rPr>
          <w:rFonts w:ascii="Times New Roman" w:hAnsi="Times New Roman"/>
          <w:color w:val="000000" w:themeColor="text1"/>
          <w:sz w:val="16"/>
          <w:szCs w:val="16"/>
        </w:rPr>
        <w:softHyphen/>
        <w:t>ливаемых по новой упрощенной технологии (10703).</w:t>
      </w:r>
    </w:p>
    <w:p w14:paraId="3DD9765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9D8FF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 во время второй модернизации пушки Ф-34 в целях уп</w:t>
      </w:r>
      <w:r w:rsidRPr="00640820">
        <w:rPr>
          <w:rFonts w:ascii="Times New Roman" w:hAnsi="Times New Roman"/>
          <w:color w:val="000000" w:themeColor="text1"/>
          <w:sz w:val="16"/>
          <w:szCs w:val="16"/>
        </w:rPr>
        <w:softHyphen/>
        <w:t>рощения технологии производства вместо ствола со свободной трубой стал изготавливаться ствол-моноблок с казенником, соединявшимся с трубой с помощью муфты (10703).</w:t>
      </w:r>
    </w:p>
    <w:p w14:paraId="69A9D97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07998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ноября 1941 г. на СТЗ и на заводе №112 стали изготавливаться танки с корпусами упрощенной конструкции с соединением броневых плит "в шип" (10703).</w:t>
      </w:r>
    </w:p>
    <w:p w14:paraId="229A4D0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88DB3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 СТЗ получил уже 120 М-17 всех разновидностей, которыми оснастили еще 85 машин, убывших в войска. В ноябре с завода на фронт убыли также 5 танков с М-17 и устройством питания керосином инже</w:t>
      </w:r>
      <w:r w:rsidRPr="00640820">
        <w:rPr>
          <w:rFonts w:ascii="Times New Roman" w:hAnsi="Times New Roman"/>
          <w:color w:val="000000" w:themeColor="text1"/>
          <w:sz w:val="16"/>
          <w:szCs w:val="16"/>
        </w:rPr>
        <w:softHyphen/>
        <w:t>нера Я. Воронина. Принцип работы его устройства заклю</w:t>
      </w:r>
      <w:r w:rsidRPr="00640820">
        <w:rPr>
          <w:rFonts w:ascii="Times New Roman" w:hAnsi="Times New Roman"/>
          <w:color w:val="000000" w:themeColor="text1"/>
          <w:sz w:val="16"/>
          <w:szCs w:val="16"/>
        </w:rPr>
        <w:softHyphen/>
        <w:t>чалась в том, что бензин применялся для питания М-17 только при запуске и прогреве двигателя, после чего в ход вступал керосин. Это позволяло сократить объем перевози</w:t>
      </w:r>
      <w:r w:rsidRPr="00640820">
        <w:rPr>
          <w:rFonts w:ascii="Times New Roman" w:hAnsi="Times New Roman"/>
          <w:color w:val="000000" w:themeColor="text1"/>
          <w:sz w:val="16"/>
          <w:szCs w:val="16"/>
        </w:rPr>
        <w:softHyphen/>
        <w:t>мого бензина не свыше 100 л, керосин же был менее пожа</w:t>
      </w:r>
      <w:r w:rsidRPr="00640820">
        <w:rPr>
          <w:rFonts w:ascii="Times New Roman" w:hAnsi="Times New Roman"/>
          <w:color w:val="000000" w:themeColor="text1"/>
          <w:sz w:val="16"/>
          <w:szCs w:val="16"/>
        </w:rPr>
        <w:softHyphen/>
        <w:t>роопасен, что считалось достоинством устройства. Однако в условиях холодного времени года завести эти танки ока</w:t>
      </w:r>
      <w:r w:rsidRPr="00640820">
        <w:rPr>
          <w:rFonts w:ascii="Times New Roman" w:hAnsi="Times New Roman"/>
          <w:color w:val="000000" w:themeColor="text1"/>
          <w:sz w:val="16"/>
          <w:szCs w:val="16"/>
        </w:rPr>
        <w:softHyphen/>
        <w:t>залось почти невозможно. Двигатель работал на керосине неустойчиво, и потому устройства Я. Воронина с них были демонтированы. Таким образом, распоряжением по нарко</w:t>
      </w:r>
      <w:r w:rsidRPr="00640820">
        <w:rPr>
          <w:rFonts w:ascii="Times New Roman" w:hAnsi="Times New Roman"/>
          <w:color w:val="000000" w:themeColor="text1"/>
          <w:sz w:val="16"/>
          <w:szCs w:val="16"/>
        </w:rPr>
        <w:softHyphen/>
        <w:t>мату в январе 1942 г. велся выпуск танков Т-34 с двигателем М-17Т без устройства питания тяжелым топливом. Общее количество Т-34 с мотором М-17, выпущенных СТЗ в 1941-42 гг., составило: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88"/>
        <w:gridCol w:w="2988"/>
      </w:tblGrid>
      <w:tr w:rsidR="00643896" w:rsidRPr="00640820" w14:paraId="6E296882" w14:textId="77777777" w:rsidTr="000D3BCB">
        <w:tc>
          <w:tcPr>
            <w:tcW w:w="2988" w:type="dxa"/>
            <w:tcBorders>
              <w:top w:val="single" w:sz="12" w:space="0" w:color="auto"/>
            </w:tcBorders>
          </w:tcPr>
          <w:p w14:paraId="614F454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октябрь</w:t>
            </w:r>
          </w:p>
        </w:tc>
        <w:tc>
          <w:tcPr>
            <w:tcW w:w="2988" w:type="dxa"/>
            <w:tcBorders>
              <w:top w:val="single" w:sz="12" w:space="0" w:color="auto"/>
            </w:tcBorders>
          </w:tcPr>
          <w:p w14:paraId="3922267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r>
      <w:tr w:rsidR="00643896" w:rsidRPr="00640820" w14:paraId="0F48406A" w14:textId="77777777" w:rsidTr="000D3BCB">
        <w:tc>
          <w:tcPr>
            <w:tcW w:w="2988" w:type="dxa"/>
          </w:tcPr>
          <w:p w14:paraId="459B2A8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ноябрь</w:t>
            </w:r>
          </w:p>
        </w:tc>
        <w:tc>
          <w:tcPr>
            <w:tcW w:w="2988" w:type="dxa"/>
          </w:tcPr>
          <w:p w14:paraId="6CBC4FA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85</w:t>
            </w:r>
          </w:p>
        </w:tc>
      </w:tr>
      <w:tr w:rsidR="00643896" w:rsidRPr="00640820" w14:paraId="14F1100E" w14:textId="77777777" w:rsidTr="000D3BCB">
        <w:tc>
          <w:tcPr>
            <w:tcW w:w="2988" w:type="dxa"/>
          </w:tcPr>
          <w:p w14:paraId="61DBE37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декабрь</w:t>
            </w:r>
          </w:p>
        </w:tc>
        <w:tc>
          <w:tcPr>
            <w:tcW w:w="2988" w:type="dxa"/>
          </w:tcPr>
          <w:p w14:paraId="4BB25EF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97</w:t>
            </w:r>
          </w:p>
        </w:tc>
      </w:tr>
      <w:tr w:rsidR="00643896" w:rsidRPr="00640820" w14:paraId="3C352A89" w14:textId="77777777" w:rsidTr="000D3BCB">
        <w:tc>
          <w:tcPr>
            <w:tcW w:w="2988" w:type="dxa"/>
          </w:tcPr>
          <w:p w14:paraId="7F01AE0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январь</w:t>
            </w:r>
          </w:p>
        </w:tc>
        <w:tc>
          <w:tcPr>
            <w:tcW w:w="2988" w:type="dxa"/>
          </w:tcPr>
          <w:p w14:paraId="7E7DD3D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134</w:t>
            </w:r>
          </w:p>
        </w:tc>
      </w:tr>
      <w:tr w:rsidR="00643896" w:rsidRPr="00640820" w14:paraId="7159459C" w14:textId="77777777" w:rsidTr="000D3BCB">
        <w:tc>
          <w:tcPr>
            <w:tcW w:w="2988" w:type="dxa"/>
          </w:tcPr>
          <w:p w14:paraId="5EADA99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февраль</w:t>
            </w:r>
          </w:p>
        </w:tc>
        <w:tc>
          <w:tcPr>
            <w:tcW w:w="2988" w:type="dxa"/>
          </w:tcPr>
          <w:p w14:paraId="47505EF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135</w:t>
            </w:r>
          </w:p>
        </w:tc>
      </w:tr>
      <w:tr w:rsidR="00643896" w:rsidRPr="00640820" w14:paraId="783FE4F0" w14:textId="77777777" w:rsidTr="000D3BCB">
        <w:tc>
          <w:tcPr>
            <w:tcW w:w="2988" w:type="dxa"/>
          </w:tcPr>
          <w:p w14:paraId="08D05DD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март ..</w:t>
            </w:r>
          </w:p>
        </w:tc>
        <w:tc>
          <w:tcPr>
            <w:tcW w:w="2988" w:type="dxa"/>
          </w:tcPr>
          <w:p w14:paraId="3CADF29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95</w:t>
            </w:r>
          </w:p>
        </w:tc>
      </w:tr>
      <w:tr w:rsidR="00643896" w:rsidRPr="00640820" w14:paraId="5D90F93B" w14:textId="77777777" w:rsidTr="000D3BCB">
        <w:tc>
          <w:tcPr>
            <w:tcW w:w="2988" w:type="dxa"/>
            <w:tcBorders>
              <w:bottom w:val="single" w:sz="12" w:space="0" w:color="auto"/>
            </w:tcBorders>
          </w:tcPr>
          <w:p w14:paraId="463ECED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апрель</w:t>
            </w:r>
          </w:p>
        </w:tc>
        <w:tc>
          <w:tcPr>
            <w:tcW w:w="2988" w:type="dxa"/>
            <w:tcBorders>
              <w:bottom w:val="single" w:sz="12" w:space="0" w:color="auto"/>
            </w:tcBorders>
          </w:tcPr>
          <w:p w14:paraId="7291C72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r>
    </w:tbl>
    <w:p w14:paraId="1DB627C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(10782).</w:t>
      </w:r>
    </w:p>
    <w:p w14:paraId="70209A8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D48DA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ноября 1941 г. на заводе № 112 осуществлялась установка в Т-34 двигателей М-17, и до конца года заказчику было отгружено 155 танков, а в 1942-м приемка приняла еще 541 танк с двигателем М-17. Однако даже простое решение по оснащению танков карбюраторным двигателем вовсе не гарантировало того, что они пойдут на фронт. В феврале 1942 г. завод № 112 се</w:t>
      </w:r>
      <w:r w:rsidRPr="00640820">
        <w:rPr>
          <w:rFonts w:ascii="Times New Roman" w:hAnsi="Times New Roman"/>
          <w:color w:val="000000" w:themeColor="text1"/>
          <w:sz w:val="16"/>
          <w:szCs w:val="16"/>
        </w:rPr>
        <w:softHyphen/>
        <w:t>товал, что на территории завода скопилась готовая партия Т-34, которые не могут быть отправлены заказчику по при</w:t>
      </w:r>
      <w:r w:rsidRPr="00640820">
        <w:rPr>
          <w:rFonts w:ascii="Times New Roman" w:hAnsi="Times New Roman"/>
          <w:color w:val="000000" w:themeColor="text1"/>
          <w:sz w:val="16"/>
          <w:szCs w:val="16"/>
        </w:rPr>
        <w:softHyphen/>
        <w:t>чине отсутствия на заводе и в наркомате свечей зажигания к ним. Свечей не было совсем, так как их производство в СССР временно не велось. Для выполнения плана отгрузки нарком танковой промышленности буквально выпросил у наркома авиапрома необходимые свечи из числа получен</w:t>
      </w:r>
      <w:r w:rsidRPr="00640820">
        <w:rPr>
          <w:rFonts w:ascii="Times New Roman" w:hAnsi="Times New Roman"/>
          <w:color w:val="000000" w:themeColor="text1"/>
          <w:sz w:val="16"/>
          <w:szCs w:val="16"/>
        </w:rPr>
        <w:softHyphen/>
        <w:t xml:space="preserve">ных по ленд-лизу для истребителей. </w:t>
      </w:r>
      <w:r w:rsidRPr="00640820">
        <w:rPr>
          <w:rFonts w:ascii="Times New Roman" w:hAnsi="Times New Roman"/>
          <w:color w:val="000000" w:themeColor="text1"/>
          <w:sz w:val="16"/>
          <w:szCs w:val="16"/>
        </w:rPr>
        <w:lastRenderedPageBreak/>
        <w:t>Но применение бензомотора на Т-34 было особо не</w:t>
      </w:r>
      <w:r w:rsidRPr="00640820">
        <w:rPr>
          <w:rFonts w:ascii="Times New Roman" w:hAnsi="Times New Roman"/>
          <w:color w:val="000000" w:themeColor="text1"/>
          <w:sz w:val="16"/>
          <w:szCs w:val="16"/>
        </w:rPr>
        <w:softHyphen/>
        <w:t>приятным, поскольку бензобаки находились в боевом от</w:t>
      </w:r>
      <w:r w:rsidRPr="00640820">
        <w:rPr>
          <w:rFonts w:ascii="Times New Roman" w:hAnsi="Times New Roman"/>
          <w:color w:val="000000" w:themeColor="text1"/>
          <w:sz w:val="16"/>
          <w:szCs w:val="16"/>
        </w:rPr>
        <w:softHyphen/>
        <w:t>делении танка и представляли большую опасность даже в случае, когда броня танка не пробивалась бронебойным снарядом, но от ее тыльной поверхности откалывалась т.н. «окалина» («вторичные осколки»), могущая вызвать вспышку бензиновых паров. Поэтому 5 января 1942 г. нарком В. Малышев предписал осуществить дополнительное бронирование лба и бортов корпуса Т-34, укомплектованного бензиновым двигателем, листами брони высокой твердости толщиной 15-20 мм. Но исследования НИИ-48 показали, что искры, срывающи</w:t>
      </w:r>
      <w:r w:rsidRPr="00640820">
        <w:rPr>
          <w:rFonts w:ascii="Times New Roman" w:hAnsi="Times New Roman"/>
          <w:color w:val="000000" w:themeColor="text1"/>
          <w:sz w:val="16"/>
          <w:szCs w:val="16"/>
        </w:rPr>
        <w:softHyphen/>
        <w:t>еся при отколе «вторичных осколков» от тыльной стороны башни, также опасны при закрытых люках танка, так как мо</w:t>
      </w:r>
      <w:r w:rsidRPr="00640820">
        <w:rPr>
          <w:rFonts w:ascii="Times New Roman" w:hAnsi="Times New Roman"/>
          <w:color w:val="000000" w:themeColor="text1"/>
          <w:sz w:val="16"/>
          <w:szCs w:val="16"/>
        </w:rPr>
        <w:softHyphen/>
        <w:t>гут вызвать взрыв паров бензина в башне танка при закрытых люках. Поэтому весной 1942 г. завод № 112 экранирует кор</w:t>
      </w:r>
      <w:r w:rsidRPr="00640820">
        <w:rPr>
          <w:rFonts w:ascii="Times New Roman" w:hAnsi="Times New Roman"/>
          <w:color w:val="000000" w:themeColor="text1"/>
          <w:sz w:val="16"/>
          <w:szCs w:val="16"/>
        </w:rPr>
        <w:softHyphen/>
        <w:t>пус и башню Т-34 по эталону «5-го варианта». Интересно отметить, что в этот период в связи с пере</w:t>
      </w:r>
      <w:r w:rsidRPr="00640820">
        <w:rPr>
          <w:rFonts w:ascii="Times New Roman" w:hAnsi="Times New Roman"/>
          <w:color w:val="000000" w:themeColor="text1"/>
          <w:sz w:val="16"/>
          <w:szCs w:val="16"/>
        </w:rPr>
        <w:softHyphen/>
        <w:t>делками МТО под М-17 вдруг обнаружилось, что вообще Т-34, выпускаемые разными заводами, весьма слабо со</w:t>
      </w:r>
      <w:r w:rsidRPr="00640820">
        <w:rPr>
          <w:rFonts w:ascii="Times New Roman" w:hAnsi="Times New Roman"/>
          <w:color w:val="000000" w:themeColor="text1"/>
          <w:sz w:val="16"/>
          <w:szCs w:val="16"/>
        </w:rPr>
        <w:softHyphen/>
        <w:t>прягаются друг с другом по оборудованию. Не раз случа</w:t>
      </w:r>
      <w:r w:rsidRPr="00640820">
        <w:rPr>
          <w:rFonts w:ascii="Times New Roman" w:hAnsi="Times New Roman"/>
          <w:color w:val="000000" w:themeColor="text1"/>
          <w:sz w:val="16"/>
          <w:szCs w:val="16"/>
        </w:rPr>
        <w:softHyphen/>
        <w:t>лось так, что в ходе ремонта техники, поврежденной в бо</w:t>
      </w:r>
      <w:r w:rsidRPr="00640820">
        <w:rPr>
          <w:rFonts w:ascii="Times New Roman" w:hAnsi="Times New Roman"/>
          <w:color w:val="000000" w:themeColor="text1"/>
          <w:sz w:val="16"/>
          <w:szCs w:val="16"/>
        </w:rPr>
        <w:softHyphen/>
        <w:t>ях под Москвой, не удавалось устанавливать башню Т-34 выпуска одного завода на корпус другого. Это известие вызвало гнев И. Сталина, который приказал «разобраться немедленно». Поэтому приказом № 50 от 7 февраля 1942 г. заводам СТЗ и № 112 предписывалось «срочно (в срок 5 дней) унифицировать электрооборудование танка А-34, об исполнении доложить*. Несмотря на то что совместная комиссия НИИ-48 и за</w:t>
      </w:r>
      <w:r w:rsidRPr="00640820">
        <w:rPr>
          <w:rFonts w:ascii="Times New Roman" w:hAnsi="Times New Roman"/>
          <w:color w:val="000000" w:themeColor="text1"/>
          <w:sz w:val="16"/>
          <w:szCs w:val="16"/>
        </w:rPr>
        <w:softHyphen/>
        <w:t>вода № 264 под руководством ОГК НКТП прекратила свою работу в Сталинграде осенью 1941 г., сотрудники НИИ-48 постоянно курировали здесь производство изделий из брони. Так, после получения сообщений из-под Москвы о массовом применении немецкими войсками новых 50-мм и 76-мм противотанковых пушек, 25 декабря вышло постановление ГКО № 1062 о переходе на выпуск танка Т-34 с лобовой бро</w:t>
      </w:r>
      <w:r w:rsidRPr="00640820">
        <w:rPr>
          <w:rFonts w:ascii="Times New Roman" w:hAnsi="Times New Roman"/>
          <w:color w:val="000000" w:themeColor="text1"/>
          <w:sz w:val="16"/>
          <w:szCs w:val="16"/>
        </w:rPr>
        <w:softHyphen/>
        <w:t>ней толщиной 60 мм. А уже 28 декабря группа НИИ-48 на за</w:t>
      </w:r>
      <w:r w:rsidRPr="00640820">
        <w:rPr>
          <w:rFonts w:ascii="Times New Roman" w:hAnsi="Times New Roman"/>
          <w:color w:val="000000" w:themeColor="text1"/>
          <w:sz w:val="16"/>
          <w:szCs w:val="16"/>
        </w:rPr>
        <w:softHyphen/>
        <w:t>воде № 264 под руководством Кофмана провела исследова</w:t>
      </w:r>
      <w:r w:rsidRPr="00640820">
        <w:rPr>
          <w:rFonts w:ascii="Times New Roman" w:hAnsi="Times New Roman"/>
          <w:color w:val="000000" w:themeColor="text1"/>
          <w:sz w:val="16"/>
          <w:szCs w:val="16"/>
        </w:rPr>
        <w:softHyphen/>
        <w:t>ния броневых листов толщиной 45 мм, применявшихся заво</w:t>
      </w:r>
      <w:r w:rsidRPr="00640820">
        <w:rPr>
          <w:rFonts w:ascii="Times New Roman" w:hAnsi="Times New Roman"/>
          <w:color w:val="000000" w:themeColor="text1"/>
          <w:sz w:val="16"/>
          <w:szCs w:val="16"/>
        </w:rPr>
        <w:softHyphen/>
        <w:t>дами № 264 и № 112 при производстве бронекорпусов Т-34. Исследования показали, что хоть броневые листы име</w:t>
      </w:r>
      <w:r w:rsidRPr="00640820">
        <w:rPr>
          <w:rFonts w:ascii="Times New Roman" w:hAnsi="Times New Roman"/>
          <w:color w:val="000000" w:themeColor="text1"/>
          <w:sz w:val="16"/>
          <w:szCs w:val="16"/>
        </w:rPr>
        <w:softHyphen/>
        <w:t>ли весьма высокую стойкость к воздействию малокалибер</w:t>
      </w:r>
      <w:r w:rsidRPr="00640820">
        <w:rPr>
          <w:rFonts w:ascii="Times New Roman" w:hAnsi="Times New Roman"/>
          <w:color w:val="000000" w:themeColor="text1"/>
          <w:sz w:val="16"/>
          <w:szCs w:val="16"/>
        </w:rPr>
        <w:softHyphen/>
        <w:t>ных бронебойных снарядов (37-мм, 45-мм), они недоста</w:t>
      </w:r>
      <w:r w:rsidRPr="00640820">
        <w:rPr>
          <w:rFonts w:ascii="Times New Roman" w:hAnsi="Times New Roman"/>
          <w:color w:val="000000" w:themeColor="text1"/>
          <w:sz w:val="16"/>
          <w:szCs w:val="16"/>
        </w:rPr>
        <w:softHyphen/>
        <w:t>точно вязки и не спасали от «тяжелых высокоскоростных» (50-мм, 75-мм, 76-мм и 88-мм), доля которых зимой-вес</w:t>
      </w:r>
      <w:r w:rsidRPr="00640820">
        <w:rPr>
          <w:rFonts w:ascii="Times New Roman" w:hAnsi="Times New Roman"/>
          <w:color w:val="000000" w:themeColor="text1"/>
          <w:sz w:val="16"/>
          <w:szCs w:val="16"/>
        </w:rPr>
        <w:softHyphen/>
        <w:t>ной 1942 г. в немецких войсках начала возрастать. Причем изученная броня Т-34 отличалась еще и повышен</w:t>
      </w:r>
      <w:r w:rsidRPr="00640820">
        <w:rPr>
          <w:rFonts w:ascii="Times New Roman" w:hAnsi="Times New Roman"/>
          <w:color w:val="000000" w:themeColor="text1"/>
          <w:sz w:val="16"/>
          <w:szCs w:val="16"/>
        </w:rPr>
        <w:softHyphen/>
        <w:t>ной хрупкостью. Для улучшения стойкости брони группа Кофмана предложила провести экранирование танка 10-15-мм бронелистами, использовавшимися на заводе № 264 в производстве бронекорпусов танка Т-60 (10782).</w:t>
      </w:r>
    </w:p>
    <w:p w14:paraId="4E4AEF1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C36B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 на СТЗ по самому дефицитному оборудова</w:t>
      </w:r>
      <w:r w:rsidRPr="00640820">
        <w:rPr>
          <w:rFonts w:ascii="Times New Roman" w:hAnsi="Times New Roman"/>
          <w:color w:val="000000" w:themeColor="text1"/>
          <w:sz w:val="16"/>
          <w:szCs w:val="16"/>
        </w:rPr>
        <w:softHyphen/>
        <w:t>нию для производства Т-34 уже были достигнуты следующие показатели сокра</w:t>
      </w:r>
      <w:r w:rsidRPr="00640820">
        <w:rPr>
          <w:rFonts w:ascii="Times New Roman" w:hAnsi="Times New Roman"/>
          <w:color w:val="000000" w:themeColor="text1"/>
          <w:sz w:val="16"/>
          <w:szCs w:val="16"/>
        </w:rPr>
        <w:softHyphen/>
        <w:t>щения во времени: по строгальному — с 19,15 до 1,5 часа, по фрезерному - с 21,6 до 1 часа, по карусельному - с 20,4 до 1,1 часа, и если по старой технологии суммарное время мехобработки башни составляло 76,8 часа, то по новой оно не превышало 18,8 часа. После закалки башни в сбо</w:t>
      </w:r>
      <w:r w:rsidRPr="00640820">
        <w:rPr>
          <w:rFonts w:ascii="Times New Roman" w:hAnsi="Times New Roman"/>
          <w:color w:val="000000" w:themeColor="text1"/>
          <w:sz w:val="16"/>
          <w:szCs w:val="16"/>
        </w:rPr>
        <w:softHyphen/>
        <w:t>ре СТЗ получал практически готовое изделие, отличавше</w:t>
      </w:r>
      <w:r w:rsidRPr="00640820">
        <w:rPr>
          <w:rFonts w:ascii="Times New Roman" w:hAnsi="Times New Roman"/>
          <w:color w:val="000000" w:themeColor="text1"/>
          <w:sz w:val="16"/>
          <w:szCs w:val="16"/>
        </w:rPr>
        <w:softHyphen/>
        <w:t>еся прекрасным качеством сварных швов и почти полным отсутствием зон влияния (участков местного отпуска в районах глубоких сварных швов) (10782).</w:t>
      </w:r>
    </w:p>
    <w:p w14:paraId="02F06F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CFEF8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ноября 1941 на СТЗ развернули производство дизелей В-2, которое свернули в августе 1942 и вновь развернули во второй половине 1943. С ноября же В-2 производили на Кировском заводе в Челябинске (4405).</w:t>
      </w:r>
    </w:p>
    <w:p w14:paraId="3C8B44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5E234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года начался выпуск дизелей В-2 на СТЗ, куда перебазировали двигательное производство ХТЗ (3862).</w:t>
      </w:r>
    </w:p>
    <w:p w14:paraId="11FDC6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FC10D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 броневая защита Т-60 усиливалась наваркой дополнительных экранов из брони высокой твердости тол</w:t>
      </w:r>
      <w:r w:rsidRPr="00640820">
        <w:rPr>
          <w:rFonts w:ascii="Times New Roman" w:hAnsi="Times New Roman"/>
          <w:color w:val="000000" w:themeColor="text1"/>
          <w:sz w:val="16"/>
          <w:szCs w:val="16"/>
        </w:rPr>
        <w:softHyphen/>
        <w:t>щиной 10-мм на лоб корпуса, а также лоб и борта башни. При этом масса танка возросла с 5,8 до 6,45 т. Верхние листы корпуса: кормовой, подбашенный и над-моторный были съемными для удобства доступа к узлам и агрегатам двигателя и трансмиссии. Справа в надмоторном листе находился воздухоприток, имевший броневое при</w:t>
      </w:r>
      <w:r w:rsidRPr="00640820">
        <w:rPr>
          <w:rFonts w:ascii="Times New Roman" w:hAnsi="Times New Roman"/>
          <w:color w:val="000000" w:themeColor="text1"/>
          <w:sz w:val="16"/>
          <w:szCs w:val="16"/>
        </w:rPr>
        <w:softHyphen/>
        <w:t>крытие, за ним отверстие для вывода выхлопной трубы. В верхнем кормовом листе справа были установлены жалю</w:t>
      </w:r>
      <w:r w:rsidRPr="00640820">
        <w:rPr>
          <w:rFonts w:ascii="Times New Roman" w:hAnsi="Times New Roman"/>
          <w:color w:val="000000" w:themeColor="text1"/>
          <w:sz w:val="16"/>
          <w:szCs w:val="16"/>
        </w:rPr>
        <w:softHyphen/>
        <w:t>зи для выхода нагретого воздуха от радиатора, слева — лючок доя доступа к заправочной горловине топливных баков. Для обслуживания агрегатов танка в днище его корпуса также имелись лючки: под двигателем для слива масла и воды из системы охлаждения, а также два лючка под топливными баками для слива остатков топлива. Для обеспечения водо</w:t>
      </w:r>
      <w:r w:rsidRPr="00640820">
        <w:rPr>
          <w:rFonts w:ascii="Times New Roman" w:hAnsi="Times New Roman"/>
          <w:color w:val="000000" w:themeColor="text1"/>
          <w:sz w:val="16"/>
          <w:szCs w:val="16"/>
        </w:rPr>
        <w:softHyphen/>
        <w:t>непроницаемости корпуса под крышками лючков днища были установлены резиновые прокладки, а болты головок были герметизированы (10782).</w:t>
      </w:r>
    </w:p>
    <w:p w14:paraId="3C1D9B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6F12A5A" w14:textId="77777777" w:rsidR="005D108D" w:rsidRPr="00640820" w:rsidRDefault="005D108D"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года ещё шли переговоры по поставкам Light Tank M3, в СССР его сравнивали с Т-50. Советский танк превосходил американский по запасу хода и бронированию, но при этом был немного тяжелее и медленнее. Согласно бумагам, стоимость американского танка составляла 42 787 долларов США, или 226 771 рубль по курсу 1940 года. Т-50 по этим бумагам стоил всего 150 тысяч рублей, но следует учесть, что его производство всё ещё не было развернуто, а ещё в июне 1941 года он оценивался почти в 2 раза дороже. В итоге аналогом М3л стал Т-70, который к весне 1943 года стоил чуть меньше 64 тысяч рублей. Правда, при этом Т-70 уступал американской машине почти по всем параметрам, да и ГАБТУ КА было не очень довольно этим танком с одноместной башней (17465).</w:t>
      </w:r>
    </w:p>
    <w:p w14:paraId="7CF299F4" w14:textId="77777777" w:rsidR="005D108D" w:rsidRPr="00640820" w:rsidRDefault="005D108D"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092EFD" w14:textId="77777777" w:rsidR="003C65D8" w:rsidRPr="00640820" w:rsidRDefault="003C65D8" w:rsidP="00640820">
      <w:pPr>
        <w:pStyle w:val="162"/>
        <w:shd w:val="clear" w:color="auto" w:fill="auto"/>
        <w:spacing w:line="240" w:lineRule="auto"/>
        <w:jc w:val="both"/>
        <w:rPr>
          <w:color w:val="000000" w:themeColor="text1"/>
          <w:sz w:val="16"/>
          <w:szCs w:val="16"/>
        </w:rPr>
      </w:pPr>
      <w:r w:rsidRPr="00640820">
        <w:rPr>
          <w:color w:val="000000" w:themeColor="text1"/>
          <w:sz w:val="16"/>
          <w:szCs w:val="16"/>
        </w:rPr>
        <w:t>В ноябре 1941 план по выпуску Т-60 на ГАЗ оказался перевыполнен еще больше, и это несмотря на дополнительные поставки Т-60 без башен заводу №113 (завод фрезерных станков, г. Горький) для монтирования на них установок М-8—24 согласно постановлению № 889сс от 11 ноября. Всего же за 1941 год ГАЗ выпустил 1314 Т-60, из них 1245 танков было отправлено в войска, а также для монтажа установок М-8—24. Из заво</w:t>
      </w:r>
      <w:r w:rsidRPr="00640820">
        <w:rPr>
          <w:color w:val="000000" w:themeColor="text1"/>
          <w:sz w:val="16"/>
          <w:szCs w:val="16"/>
        </w:rPr>
        <w:softHyphen/>
        <w:t>да-смежника ГАЗ им. Молотова превратился в одного из крупнейших производителей танков не только в СССР, но и в мире. Кроме того, по</w:t>
      </w:r>
      <w:r w:rsidRPr="00640820">
        <w:rPr>
          <w:color w:val="000000" w:themeColor="text1"/>
          <w:sz w:val="16"/>
          <w:szCs w:val="16"/>
        </w:rPr>
        <w:softHyphen/>
        <w:t>сле появления в руководстве заводского КБ Астрова ГАЗ стал ведущим разработчиком по теме малых и легких танков. Дальнейшие работы по теме «060» велись в Горьком. Что же касается завода № 37, то он, ввиду эвакуации и довольно долгого разворачивания производства, утратил статус головного предприятия-разработчика танка.</w:t>
      </w:r>
    </w:p>
    <w:p w14:paraId="355C5170" w14:textId="77777777" w:rsidR="003C65D8" w:rsidRPr="00640820" w:rsidRDefault="003C65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Одновременно с выпуском Т-60 в КБ ГАЗ шли работы, целью кото</w:t>
      </w:r>
      <w:r w:rsidRPr="00640820">
        <w:rPr>
          <w:rFonts w:ascii="Times New Roman" w:hAnsi="Times New Roman"/>
          <w:color w:val="000000" w:themeColor="text1"/>
          <w:sz w:val="16"/>
          <w:szCs w:val="16"/>
        </w:rPr>
        <w:softHyphen/>
        <w:t>рых являлось увеличение объемов выпуска танков за счет упрощения конструкции (17485).</w:t>
      </w:r>
    </w:p>
    <w:p w14:paraId="31AD1201" w14:textId="77777777" w:rsidR="003C65D8" w:rsidRPr="00640820" w:rsidRDefault="003C65D8" w:rsidP="00640820">
      <w:pPr>
        <w:spacing w:after="0" w:line="240" w:lineRule="auto"/>
        <w:jc w:val="both"/>
        <w:rPr>
          <w:rFonts w:ascii="Times New Roman" w:hAnsi="Times New Roman"/>
          <w:color w:val="000000" w:themeColor="text1"/>
          <w:sz w:val="16"/>
          <w:szCs w:val="16"/>
        </w:rPr>
      </w:pPr>
    </w:p>
    <w:p w14:paraId="57987273" w14:textId="77777777" w:rsidR="000A1C3C" w:rsidRPr="00640820" w:rsidRDefault="000A1C3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ноябре 1941 в соответствии с постановлением ГКО №752сс, из Коломны в Киров эвакуировали корпусное производство Т-30. Кстати, так на заводе танк никогда не называли: он обозначался либо как Т-60, либо как «Т-40 неплавающий». Вместе с заделом по Т-30 в Киров уехали и литые башни, разработанные заводским КБ под руководством М. Н. Щукина. Организованное на площадке Кировского машиностроительного завода им. 1 мая НКПС предприятие стал называться заводом №38 им. Куйбышева НКТП. Директором завода стал Е. Э. Рубинчик. В мае 1942 года Рубинчика перевели на должность директора завода №112, а его место занял К. К. Яковлев, до того занимавший должность главного инженера. На новом месте организовали заводское КБ, которое возглавил Щукин.</w:t>
      </w:r>
    </w:p>
    <w:p w14:paraId="0E6B8790" w14:textId="77777777" w:rsidR="000A1C3C" w:rsidRPr="00640820" w:rsidRDefault="000A1C3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Первоначально предполагалось, что завод №38 будет заниматься тем же самым, то есть обеспечивать другие предприятия корпусами и башнями. Достаточно быстро выяснилось, что мощности нового завода позволяют гораздо больше, чем корпусное производство. Было принято решение об организации на заводе №38 производства танков Т-60. На январь 1942 года он получил план по выпуску 200 машин. В качестве поставщиков полуобрезного бронелиста предприятию выделили Нижнетагильский и Чусовской металлургические заводы. Имелась кооперация с СТЗ по каткам, тракам и ряду других деталей, двигатели шли с ГАЗ им. Молотова, бандажи поставлял Ярославский шинный завод. Первый танк был изготовлен в Кирове к 10 января 1942 года. Согласно заключённому с заводом №38 договору, цена полностью укомплектованного Т-60 составила 75 тысяч рублей (17672).</w:t>
      </w:r>
    </w:p>
    <w:p w14:paraId="4E3C545C" w14:textId="77777777" w:rsidR="000A1C3C" w:rsidRPr="00640820" w:rsidRDefault="000A1C3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B7D3E56" w14:textId="77777777" w:rsidR="000A1C3C" w:rsidRPr="00640820" w:rsidRDefault="000A1C3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ноябре 1941 года, когда шли переговоры по поставкам Light Tank M3, в СССР его сравнивали с Т-50. Советский танк превосходил американский по запасу хода и бронированию, но при этом был немного тяжелее и медленнее. Согласно бумагам, стоимость американского танка составляла 42 787 долларов США, или 226 771 рубль по курсу 1940 года. Т-50 по этим бумагам стоил всего 150 тысяч рублей, но следует учесть, что его производство всё ещё не было развернуто, а ещё в июне 1941 года он оценивался почти в 2 раза дороже. В итоге аналогом М3л стал Т-70, который к весне 1943 года стоил чуть меньше 64 тысяч рублей. Правда, при этом Т-70 уступал американской машине почти по всем параметрам, да и ГАБТУ КА было не очень довольно этим танком с одноместной башней (17653).</w:t>
      </w:r>
    </w:p>
    <w:p w14:paraId="0ECD5F2F" w14:textId="77777777" w:rsidR="000A1C3C" w:rsidRPr="00640820" w:rsidRDefault="000A1C3C" w:rsidP="00640820">
      <w:pPr>
        <w:spacing w:after="0" w:line="240" w:lineRule="auto"/>
        <w:jc w:val="both"/>
        <w:rPr>
          <w:rFonts w:ascii="Times New Roman" w:eastAsia="Times New Roman" w:hAnsi="Times New Roman"/>
          <w:color w:val="000000" w:themeColor="text1"/>
          <w:sz w:val="16"/>
          <w:szCs w:val="16"/>
          <w:lang w:eastAsia="ru-RU"/>
        </w:rPr>
      </w:pPr>
    </w:p>
    <w:p w14:paraId="77C93DF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 ОГК НКТП выдви</w:t>
      </w:r>
      <w:r w:rsidRPr="00640820">
        <w:rPr>
          <w:rFonts w:ascii="Times New Roman" w:hAnsi="Times New Roman"/>
          <w:color w:val="000000" w:themeColor="text1"/>
          <w:sz w:val="16"/>
          <w:szCs w:val="16"/>
        </w:rPr>
        <w:softHyphen/>
        <w:t>нул задание по совершенствованию конст</w:t>
      </w:r>
      <w:r w:rsidRPr="00640820">
        <w:rPr>
          <w:rFonts w:ascii="Times New Roman" w:hAnsi="Times New Roman"/>
          <w:color w:val="000000" w:themeColor="text1"/>
          <w:sz w:val="16"/>
          <w:szCs w:val="16"/>
        </w:rPr>
        <w:softHyphen/>
        <w:t>рукции легких танков с целью устранения недостатков. В частности, предписывалось:</w:t>
      </w:r>
    </w:p>
    <w:p w14:paraId="7E5A961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«Усиление бронирования танка с курсо</w:t>
      </w:r>
      <w:r w:rsidRPr="00640820">
        <w:rPr>
          <w:rFonts w:ascii="Times New Roman" w:hAnsi="Times New Roman"/>
          <w:color w:val="000000" w:themeColor="text1"/>
          <w:sz w:val="16"/>
          <w:szCs w:val="16"/>
        </w:rPr>
        <w:softHyphen/>
        <w:t>вого угла ±30° для обеспечения надежной защиты его от огня немецкой37-мм проти</w:t>
      </w:r>
      <w:r w:rsidRPr="00640820">
        <w:rPr>
          <w:rFonts w:ascii="Times New Roman" w:hAnsi="Times New Roman"/>
          <w:color w:val="000000" w:themeColor="text1"/>
          <w:sz w:val="16"/>
          <w:szCs w:val="16"/>
        </w:rPr>
        <w:softHyphen/>
        <w:t>вотанковой пушки обр. 36 с дистанции 300-600м.</w:t>
      </w:r>
    </w:p>
    <w:p w14:paraId="743D42F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Усиление вооружения танка до уровня Т-26.</w:t>
      </w:r>
    </w:p>
    <w:p w14:paraId="6D3F616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Доведение экипажа легкого танка до 3-х чел ввиду применения полуавтоматической пушки» (11084).</w:t>
      </w:r>
    </w:p>
    <w:p w14:paraId="3389DFD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5C8F46" w14:textId="77777777" w:rsidR="000A1C3C" w:rsidRPr="00640820" w:rsidRDefault="000A1C3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ноябре 1941 года Технический совет Народного комиссариата вооружений (НКВ) стал инициатором запуска работ по легкой самоходной установки. В качестве разработчика выступала кафедра боевых машин Московского механико-машиностроительного института им. Баумана (ныне МГТУ им. Баумана). Легкая САУ стала лишь одной из целой серии проектов. Дело в том, что сложившиеся к ноябрю 1941 года условия поставили под вопрос саму возможность обеспечения механизации артиллерии. Вместо тягачей на заводах стали выпускать танки. Кафедра боевых машин под руководством декана факультета «О» Г.И. Зайчика получила задание обеспечить механизацию 203-мм гаубицы особой мощности Б-4, 122-мм корпусного орудия А-19, 122-мм гаубицы М-30 и, наконец, 76-мм дивизионного орудия Ф-22 УСВ. К сожалению, подробностей этих проектов нет. Вместе с тем, некоторые авторы связывают именно эту работу с «универсальным шасси» на базе агрегатов Т-60, которое курировал С.А. Гинзбург (17683).</w:t>
      </w:r>
    </w:p>
    <w:p w14:paraId="38F1404E" w14:textId="77777777" w:rsidR="000A1C3C" w:rsidRPr="00640820" w:rsidRDefault="000A1C3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A3CBBF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 САУ ЗИС-41 показала хорошие ре</w:t>
      </w:r>
      <w:r w:rsidRPr="00640820">
        <w:rPr>
          <w:rFonts w:ascii="Times New Roman" w:hAnsi="Times New Roman"/>
          <w:color w:val="000000" w:themeColor="text1"/>
          <w:sz w:val="16"/>
          <w:szCs w:val="16"/>
        </w:rPr>
        <w:softHyphen/>
        <w:t>зультаты. Однако к этому времени стало понятно, что пуш</w:t>
      </w:r>
      <w:r w:rsidRPr="00640820">
        <w:rPr>
          <w:rFonts w:ascii="Times New Roman" w:hAnsi="Times New Roman"/>
          <w:color w:val="000000" w:themeColor="text1"/>
          <w:sz w:val="16"/>
          <w:szCs w:val="16"/>
        </w:rPr>
        <w:softHyphen/>
        <w:t>ка ЗИС-2 недолго просуществует на фронте. Не хватало бо</w:t>
      </w:r>
      <w:r w:rsidRPr="00640820">
        <w:rPr>
          <w:rFonts w:ascii="Times New Roman" w:hAnsi="Times New Roman"/>
          <w:color w:val="000000" w:themeColor="text1"/>
          <w:sz w:val="16"/>
          <w:szCs w:val="16"/>
        </w:rPr>
        <w:softHyphen/>
        <w:t>еприпасов (боеприпасный завод уехал в эвакуацию и еще не начал свою работу), завод № 221 «Баррикады» был за</w:t>
      </w:r>
      <w:r w:rsidRPr="00640820">
        <w:rPr>
          <w:rFonts w:ascii="Times New Roman" w:hAnsi="Times New Roman"/>
          <w:color w:val="000000" w:themeColor="text1"/>
          <w:sz w:val="16"/>
          <w:szCs w:val="16"/>
        </w:rPr>
        <w:softHyphen/>
        <w:t xml:space="preserve">гружен большой программой выпуска 76,2-мм </w:t>
      </w:r>
      <w:r w:rsidRPr="00640820">
        <w:rPr>
          <w:rFonts w:ascii="Times New Roman" w:hAnsi="Times New Roman"/>
          <w:color w:val="000000" w:themeColor="text1"/>
          <w:sz w:val="16"/>
          <w:szCs w:val="16"/>
        </w:rPr>
        <w:lastRenderedPageBreak/>
        <w:t>дивизион</w:t>
      </w:r>
      <w:r w:rsidRPr="00640820">
        <w:rPr>
          <w:rFonts w:ascii="Times New Roman" w:hAnsi="Times New Roman"/>
          <w:color w:val="000000" w:themeColor="text1"/>
          <w:sz w:val="16"/>
          <w:szCs w:val="16"/>
        </w:rPr>
        <w:softHyphen/>
        <w:t>ных пушек Ф-22УСВ, а в одиночку завод № 92 не справлял</w:t>
      </w:r>
      <w:r w:rsidRPr="00640820">
        <w:rPr>
          <w:rFonts w:ascii="Times New Roman" w:hAnsi="Times New Roman"/>
          <w:color w:val="000000" w:themeColor="text1"/>
          <w:sz w:val="16"/>
          <w:szCs w:val="16"/>
        </w:rPr>
        <w:softHyphen/>
        <w:t>ся с выпуском 57-мм стволов большого удлинения. Про</w:t>
      </w:r>
      <w:r w:rsidRPr="00640820">
        <w:rPr>
          <w:rFonts w:ascii="Times New Roman" w:hAnsi="Times New Roman"/>
          <w:color w:val="000000" w:themeColor="text1"/>
          <w:sz w:val="16"/>
          <w:szCs w:val="16"/>
        </w:rPr>
        <w:softHyphen/>
        <w:t>блемы с 57-мм пушкой ЗИС-2 наложились и на проблемы шасси. Артиллерийских тягачей Т-20 «Комсомолец» в на личии больше не было, к тому же московский автозавод ЗИС был эвакуирован и не мог вести выпуск вездеходов ЗИС-22. Поэтому в конце ноября 1941 г. все работы по ЗИС-30 и ЗИС-41 свернули (11417).</w:t>
      </w:r>
    </w:p>
    <w:p w14:paraId="2702CA9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22EB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ноябре 1941 года, практически сразу же после эвакуации из Ленинграда и развертывания производства KB в Челябинске, СКБ-2 начало работы над усилением вооружения тяжелого танка. Первым проектом стала попытка создания «малоуязвимой артиллерийской машины сопровождения танков с большой скорострельностью (12 — 15 выстр./мин) и возможностью производства одновременного залпа». Необходимость создания САУ, предназначавшейся для сопровождения танков в наступлении, была вызвана настоятельными просьбами, приходившими в НКТП с фронта от танковых командиров разного ранга. Проектирование этой машины велось одновременно в Челябинске на ЧКЗ и в Свердловске на УЗТМ под общим руководством Ж.Я.Котина. Разработку установки вооружения от УЗТМ вели К.Н.Ильин и Г.С.Ефимов, от ЧКЗ — Г.Н.Москвин. Корпус с боевым отделением проектировался Кировским заводом; ведущий инженер машины — Л.Е.Сычев. </w:t>
      </w:r>
    </w:p>
    <w:p w14:paraId="23C3CF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Учитывая сжатые сроки проектирования, в качестве шасси взяли без изменений ходовую часть танка КВ-1. В передней части корпуса смонтировали боевую рубку, сваренную из 75-мм броневых листов. Кроме того, лобовые листы корпуса и рубки усилили 20-мм броневыми экранами. Рубка была шире корпуса, поэтому с бортов выходила за его габариты и нависала над гусеницами. Из-за больших, по сравнению с танком, габаритов вооружения в машине пришлось изменить расположение топливных и масляных баков. Артиллерийские орудия, согласно заданию, должны были быть смонтированы в едином блоке. Предполагалось, что одна машина, вооруженная тремя пушками, сможет более эффективно обеспечить поражение различных целей при сопровождении танков. В итоге вооружение машины состояло из строенных на общей люльке одной 76-мм танковой пушки Ф-34 и двух 45-мм танковых пушек 20К обр. 1932/34 г. Конструкция установки позволяла производить одновременный залп из трех орудий или вести одиночный огонь из любого из них. Общая люлька с полосками и гнездами для крепления противооткатных устройств всех трех орудий имела возможность с помощью подъемного механизма вертикально вращаться на горизонтальных цапфах, закрепленных в массивной рамке. В свою очередь, рамка могла с помощью поворотного механизма горизонтально вращаться на вертикальных цапфах, закрепленных в неподвижной бронировке, установленной на корпусе машины. Таким образом, наведение всех трех орудий производилось одновременно общими механизмами. Вертикальный угол наведения составлял от +15° до -5°, горизонтальный — 15°, то есть по 7°30' в каждую сторону. Неподвижная бронировка прикрывалась подвижным щитом толщиной 100 мм. Зазор между подвижной бронировкой и корпусом машины был защищен броневым прикрытием. При стрельбе из пушек использовался телескопический прицел ТМФД-7. Вспомогательным вооружением служили два пулемета ДТ, установленные в шаровых опорах: один — в лобовом листе корпуса, второй — в кормовом листе боевой рубки. Боекомплект машины состоял из 93 выстрелов калибра 76 мм, 200 выстрелов калибра 45 мм и 3591 патрона к пулеметам ДТ. Экипаж установки включал шесть человек. Механик-водитель и стрелок радист находились в отделении управления аналогично танку КВ-1. В боевом отделении слева от орудий размещался наводчик, за ним — первый заряжающий, справа от орудий впереди — командир машины, за ним — второй заряжающий.</w:t>
      </w:r>
    </w:p>
    <w:p w14:paraId="2A0DA0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Опытный образец строенной пушечной установки под заводским индексом У-13 изготовили на Уралмашзаводе в период с 11 по 23 декабря 1941 года и испытали отстрелом на стенде на полигоне завода. Окончательная сборка машины, получившей обозначение КВ-7, была выполнена на ЧКЗ в начале 1942 года. Эта машина стала первой тяжелой самоходной артиллерийской установкой, созданной в СССР в годы Великой Отечественной войны. Впервые примененная на этой машине рамочная конструкция установки орудий впоследствии использовалась почти на всех советских самоходках. По сравнению с тумбовыми установками, она обеспечивала наиболее компактное размещение орудия внутри боевой рубки. </w:t>
      </w:r>
    </w:p>
    <w:p w14:paraId="67CC84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После нескольких заводских пробегов самоход КВ-7 в спешном порядке отправили в Москву. Несмотря на то что КВ-7 проектировался по заявкам военных как «штурмовой танк с массированным артогнем, способный наиболее успешно подавлять артбатареи и разрушать оборонительные сооружения противника», он не получил одобрения у представителей ГБТУ и командования Красной Армии. В качестве главных недостатков машины отмечались: </w:t>
      </w:r>
    </w:p>
    <w:p w14:paraId="2C01B9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наличие в одном блоке орудий различных калибров с различной баллистикой, что не позволяло вести прицельную стрельбу одновременно из трех орудий, так как в зависимости от дистанции до цели углы вертикального наведения орудий различны; </w:t>
      </w:r>
    </w:p>
    <w:p w14:paraId="592E4E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при стрельбе из крайних орудий, благодаря наличию значительного расстояния между осью вращения блока орудий и осью бокового орудия, происходила большая сбиваемость наводки в горизонтальной плоскости, постоянно увеличивавшаяся в процессе стрельбы. Своим постановлением № 11 Юсе от 6 января 1942 года ГКО «отставил представленный трехорудийный образец КВ-7 и постановил вооружить КВ-7 спаренной установкой 76-мм орудий». </w:t>
      </w:r>
    </w:p>
    <w:p w14:paraId="608E55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Спаренная установка вооружения (заводской индекс У-14) была разработана в КБ УЗТМ в январе 1942 года конструкторами Н.В.Куриным, Т.Ф.Ксюниным и др. По первоначальному графику ЧКЗ планировал изготовить второй экземпляр КВ-7 к 5 февраля 1942 года. Однако из-за недостатка кадров и большого объема работ по обеспечению серийного выпуска КВ-1 второй экземпляр был собран только в апреле и в течение мая — июня проходил испытания. </w:t>
      </w:r>
    </w:p>
    <w:p w14:paraId="4F6502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Эту машину вооружили спаренной системой из двух 76-мм танковых пушек ЗИС-5, размещенных в общей люльке. Огонь мог вестись залпом из двух орудий или одиночными выстрелами из любой пушки. Скорострельность спаренной установки достигала 15 выстр./мин. В боекомплект входили 150 выстрелов к пушкам и 2646 патронов к двум пулеметам ДТ, размещенным аналогично первому образцу КВ-7. Эту САУ продемонстрировали высшему командованию РККА, но на вооружение не приняли. К этому времени стало ясно, что установка в танке или самоходке двух орудий не оправдана, и работы по КВ-7 прекратили (11638).</w:t>
      </w:r>
    </w:p>
    <w:p w14:paraId="7116DF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57AB89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 решением ГКО эвакуированный в Омск Ворошиловградский паровозостроительный завод и Омский паровозоремо ный завод были объединены и ориентированы на выпуск танков Т-50 начиная с первого квартала 1942 г. С 1 декабря 1941 г. объединеннному предприятию было присвоено наименование - завод № 173 НКТП. Выпуск танков Т-50 на этом заводе налаживался с трудом. Основными тормозящими моментами по-прежнему являлись вопросы кооперирования, осложненные обстановкой на фронте, и отсутствие достаточного количества дизелей В-4, конструкция которых нуждалась в доработке (10703).</w:t>
      </w:r>
    </w:p>
    <w:p w14:paraId="2007B34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745B8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года были собраны последние 3 БА-10М «на двухосных шасси» (каких, в документах не сказано), после чего выпуск бронемашин в Ленинграде был прекра</w:t>
      </w:r>
      <w:r w:rsidRPr="00640820">
        <w:rPr>
          <w:rFonts w:ascii="Times New Roman" w:hAnsi="Times New Roman"/>
          <w:color w:val="000000" w:themeColor="text1"/>
          <w:sz w:val="16"/>
          <w:szCs w:val="16"/>
        </w:rPr>
        <w:softHyphen/>
        <w:t>щен. Всего с момента отгрузки бронемашин только для нужд Ленинградского фронта завод № 189 передал в войска 81 БА-10М, а общее производство с 1 июля 1941 года со</w:t>
      </w:r>
      <w:r w:rsidRPr="00640820">
        <w:rPr>
          <w:rFonts w:ascii="Times New Roman" w:hAnsi="Times New Roman"/>
          <w:color w:val="000000" w:themeColor="text1"/>
          <w:sz w:val="16"/>
          <w:szCs w:val="16"/>
        </w:rPr>
        <w:softHyphen/>
        <w:t>ставляет 412 бронемашин. Итого за 1938—1941 годы Ижор-ский завод передал на вооружение Красной Армии 3392 бронеавтомобиля БА-10. Всего за 1938—1941 годы изготовили 3331 бронеавтомо</w:t>
      </w:r>
      <w:r w:rsidRPr="00640820">
        <w:rPr>
          <w:rFonts w:ascii="Times New Roman" w:hAnsi="Times New Roman"/>
          <w:color w:val="000000" w:themeColor="text1"/>
          <w:sz w:val="16"/>
          <w:szCs w:val="16"/>
        </w:rPr>
        <w:softHyphen/>
        <w:t>биль БА-10А и БА-10М (11284).</w:t>
      </w:r>
    </w:p>
    <w:p w14:paraId="24E8AD4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4D399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года ЗИС-41 на испытаниях по</w:t>
      </w:r>
      <w:r w:rsidRPr="00640820">
        <w:rPr>
          <w:rFonts w:ascii="Times New Roman" w:hAnsi="Times New Roman"/>
          <w:color w:val="000000" w:themeColor="text1"/>
          <w:sz w:val="16"/>
          <w:szCs w:val="16"/>
        </w:rPr>
        <w:softHyphen/>
        <w:t>казала неплохие результаты. Однако к этому времени пушка ЗИС-2 , снималась с серий</w:t>
      </w:r>
      <w:r w:rsidRPr="00640820">
        <w:rPr>
          <w:rFonts w:ascii="Times New Roman" w:hAnsi="Times New Roman"/>
          <w:color w:val="000000" w:themeColor="text1"/>
          <w:sz w:val="16"/>
          <w:szCs w:val="16"/>
        </w:rPr>
        <w:softHyphen/>
        <w:t>ного производства из-за сложности изготов</w:t>
      </w:r>
      <w:r w:rsidRPr="00640820">
        <w:rPr>
          <w:rFonts w:ascii="Times New Roman" w:hAnsi="Times New Roman"/>
          <w:color w:val="000000" w:themeColor="text1"/>
          <w:sz w:val="16"/>
          <w:szCs w:val="16"/>
        </w:rPr>
        <w:softHyphen/>
        <w:t>ления трубы ствола и высокой стоимости. Кроме того, московский автозавод ЗИС эва</w:t>
      </w:r>
      <w:r w:rsidRPr="00640820">
        <w:rPr>
          <w:rFonts w:ascii="Times New Roman" w:hAnsi="Times New Roman"/>
          <w:color w:val="000000" w:themeColor="text1"/>
          <w:sz w:val="16"/>
          <w:szCs w:val="16"/>
        </w:rPr>
        <w:softHyphen/>
        <w:t>куировался и не мог дать достаточного коли</w:t>
      </w:r>
      <w:r w:rsidRPr="00640820">
        <w:rPr>
          <w:rFonts w:ascii="Times New Roman" w:hAnsi="Times New Roman"/>
          <w:color w:val="000000" w:themeColor="text1"/>
          <w:sz w:val="16"/>
          <w:szCs w:val="16"/>
        </w:rPr>
        <w:softHyphen/>
        <w:t>чества вездеходов ЗИС-22. Поэтому в конце ноября 1941 года все работы по ЗИС-41 пре</w:t>
      </w:r>
      <w:r w:rsidRPr="00640820">
        <w:rPr>
          <w:rFonts w:ascii="Times New Roman" w:hAnsi="Times New Roman"/>
          <w:color w:val="000000" w:themeColor="text1"/>
          <w:sz w:val="16"/>
          <w:szCs w:val="16"/>
        </w:rPr>
        <w:softHyphen/>
        <w:t>кратили. Последние попытки «реанимиро</w:t>
      </w:r>
      <w:r w:rsidRPr="00640820">
        <w:rPr>
          <w:rFonts w:ascii="Times New Roman" w:hAnsi="Times New Roman"/>
          <w:color w:val="000000" w:themeColor="text1"/>
          <w:sz w:val="16"/>
          <w:szCs w:val="16"/>
        </w:rPr>
        <w:softHyphen/>
        <w:t>вать» ЗИС-30 были сделаны в январе - апре</w:t>
      </w:r>
      <w:r w:rsidRPr="00640820">
        <w:rPr>
          <w:rFonts w:ascii="Times New Roman" w:hAnsi="Times New Roman"/>
          <w:color w:val="000000" w:themeColor="text1"/>
          <w:sz w:val="16"/>
          <w:szCs w:val="16"/>
        </w:rPr>
        <w:softHyphen/>
        <w:t>ле 1942 года. Группа Муравьева оснастила находившуюся на заводе первую опытную машину ЗИС-30 76-мм пушкой ЗИС-3 (это орудие было поставлено на серийное произ</w:t>
      </w:r>
      <w:r w:rsidRPr="00640820">
        <w:rPr>
          <w:rFonts w:ascii="Times New Roman" w:hAnsi="Times New Roman"/>
          <w:color w:val="000000" w:themeColor="text1"/>
          <w:sz w:val="16"/>
          <w:szCs w:val="16"/>
        </w:rPr>
        <w:softHyphen/>
        <w:t>водство только в конце декабря 1941 года взамен 57-мм пушки ЗИС-2). Однако ре</w:t>
      </w:r>
      <w:r w:rsidRPr="00640820">
        <w:rPr>
          <w:rFonts w:ascii="Times New Roman" w:hAnsi="Times New Roman"/>
          <w:color w:val="000000" w:themeColor="text1"/>
          <w:sz w:val="16"/>
          <w:szCs w:val="16"/>
        </w:rPr>
        <w:softHyphen/>
        <w:t>зультаты испытаний были признаны неудач</w:t>
      </w:r>
      <w:r w:rsidRPr="00640820">
        <w:rPr>
          <w:rFonts w:ascii="Times New Roman" w:hAnsi="Times New Roman"/>
          <w:color w:val="000000" w:themeColor="text1"/>
          <w:sz w:val="16"/>
          <w:szCs w:val="16"/>
        </w:rPr>
        <w:softHyphen/>
        <w:t>ными и дальше заводского опробования это</w:t>
      </w:r>
      <w:r w:rsidRPr="00640820">
        <w:rPr>
          <w:rFonts w:ascii="Times New Roman" w:hAnsi="Times New Roman"/>
          <w:color w:val="000000" w:themeColor="text1"/>
          <w:sz w:val="16"/>
          <w:szCs w:val="16"/>
        </w:rPr>
        <w:softHyphen/>
        <w:t>го образца дело не пошло. В марте был изго</w:t>
      </w:r>
      <w:r w:rsidRPr="00640820">
        <w:rPr>
          <w:rFonts w:ascii="Times New Roman" w:hAnsi="Times New Roman"/>
          <w:color w:val="000000" w:themeColor="text1"/>
          <w:sz w:val="16"/>
          <w:szCs w:val="16"/>
        </w:rPr>
        <w:softHyphen/>
        <w:t>товлен макет аналогичной САУ на шасси танка Т-60, но даже невооруженным глазом было видно, что машина получается со слиш</w:t>
      </w:r>
      <w:r w:rsidRPr="00640820">
        <w:rPr>
          <w:rFonts w:ascii="Times New Roman" w:hAnsi="Times New Roman"/>
          <w:color w:val="000000" w:themeColor="text1"/>
          <w:sz w:val="16"/>
          <w:szCs w:val="16"/>
        </w:rPr>
        <w:softHyphen/>
        <w:t>ком высокой линией огня, больший динами</w:t>
      </w:r>
      <w:r w:rsidRPr="00640820">
        <w:rPr>
          <w:rFonts w:ascii="Times New Roman" w:hAnsi="Times New Roman"/>
          <w:color w:val="000000" w:themeColor="text1"/>
          <w:sz w:val="16"/>
          <w:szCs w:val="16"/>
        </w:rPr>
        <w:softHyphen/>
        <w:t>ческий ход подвески обуславливал сильное раскачивание при стрельбе (11089).</w:t>
      </w:r>
    </w:p>
    <w:p w14:paraId="66A72EC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BB12E4" w14:textId="77777777" w:rsidR="005D06E2" w:rsidRPr="00640820" w:rsidRDefault="005D06E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года комсомольцы промысловой артели «Большевик» (Октябрьский район Чувашии) решили начать сбор средств на строительство бронепоезда «Комсомол Чувашии». Аналогичные предложения высказывались и в других коллективах. 11 ноября 1941 года на заседании бюро Чувашского обкома ВКП (б) было решено «одобрить инициативу первичных комсомольских организаций и отдельных райкомов ВЛКСМ об организации сбора средств на строительство бронепоезда». 16 ноября 1941 года в газете «Красная Чувашия» было опубликовано обращение комсомольцев артели «Большевик» ко всем трудящимся республики, в котором прозвучал призыв: «Построим бронепоезд «Комсомол Чуваши». К концу ноября было собрано 500 тысяч рублей. Общая сумма сбора достигла 1341 тысяч рублей. На собранные средства из сэкономленного металла в сверхурочное время рабочие Канашского завода построили и оборудовали два бронепоезда. В марте 1942 года бронепоезда, укомплектованные в основном жителями Чувашии, были направлены в район Северного Кавказа и приняли активное участие в боях летом 1942 года (15218).</w:t>
      </w:r>
    </w:p>
    <w:p w14:paraId="41D072F2" w14:textId="77777777" w:rsidR="005D06E2" w:rsidRPr="00640820" w:rsidRDefault="005D06E2" w:rsidP="00640820">
      <w:pPr>
        <w:spacing w:after="0" w:line="240" w:lineRule="auto"/>
        <w:jc w:val="both"/>
        <w:rPr>
          <w:rFonts w:ascii="Times New Roman" w:hAnsi="Times New Roman"/>
          <w:color w:val="000000" w:themeColor="text1"/>
          <w:sz w:val="16"/>
          <w:szCs w:val="16"/>
        </w:rPr>
      </w:pPr>
    </w:p>
    <w:p w14:paraId="74D677A4" w14:textId="77777777" w:rsidR="005D06E2" w:rsidRPr="00640820" w:rsidRDefault="005D06E2" w:rsidP="00640820">
      <w:pPr>
        <w:widowControl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декабрю 1941 ГАЗ развернул выпуск 23 (в июне было 7, в августе 13, в сентябре 16) наименований изделий: 45-мм, 57-мм, 40-мм бронебойных снарядов, 120-мм, 82-мм минометов, ручных и ружейных гранат, моторов М-105, М-17, Т-202, танковых корпусов и легких танков, сборку взрывателей АМА и снаряжение к ним, литье и поковки для мин, стабилизаторы, решетки, пулеметные звенья ДШК и ТНШ. И каждый вид оборонных изделий требовал четкой организации производства как на головном предприятии, так и на заводах-смежниках (15218).</w:t>
      </w:r>
    </w:p>
    <w:p w14:paraId="62B8C497" w14:textId="77777777" w:rsidR="005D06E2" w:rsidRPr="00640820" w:rsidRDefault="005D06E2" w:rsidP="00640820">
      <w:pPr>
        <w:widowControl w:val="0"/>
        <w:spacing w:after="0" w:line="240" w:lineRule="auto"/>
        <w:jc w:val="both"/>
        <w:rPr>
          <w:rFonts w:ascii="Times New Roman" w:hAnsi="Times New Roman"/>
          <w:color w:val="000000" w:themeColor="text1"/>
          <w:sz w:val="16"/>
          <w:szCs w:val="16"/>
        </w:rPr>
      </w:pPr>
    </w:p>
    <w:p w14:paraId="655AB1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kern w:val="65535"/>
          <w:sz w:val="16"/>
          <w:szCs w:val="16"/>
        </w:rPr>
      </w:pPr>
      <w:r w:rsidRPr="00640820">
        <w:rPr>
          <w:rFonts w:ascii="Times New Roman" w:hAnsi="Times New Roman"/>
          <w:color w:val="000000" w:themeColor="text1"/>
          <w:kern w:val="65535"/>
          <w:sz w:val="16"/>
          <w:szCs w:val="16"/>
        </w:rPr>
        <w:t>В ноябре месяце 1941 года автозаводом им. Молотова выпущено автомашин ГАЗ-64 - 79 штук, в декабре выпуска не было. Выпуск этих машин прекращен заводом из-за отсутствия подшипников (11211).</w:t>
      </w:r>
    </w:p>
    <w:p w14:paraId="636B2E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kern w:val="65535"/>
          <w:sz w:val="16"/>
          <w:szCs w:val="16"/>
        </w:rPr>
      </w:pPr>
    </w:p>
    <w:p w14:paraId="21E953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ноябре 1941 года производство ижевских мотоциклов пришлось прекратить, а вскоре и сам мотоциклетный эвакуировали в Ирбит. Нужно отметить оперативность ижевских конструкторов, проявленную ими при совершенствовании базовой модели и разработке новых. За сравнительно короткий срок (1928—1941 годы) молодой коллектив так наладил процесс проектирования и производства, что ему удалось создать 12 во многом оригинальных машин, причем весьма высокого качества. </w:t>
      </w:r>
      <w:r w:rsidRPr="00640820">
        <w:rPr>
          <w:rFonts w:ascii="Times New Roman" w:hAnsi="Times New Roman"/>
          <w:color w:val="000000" w:themeColor="text1"/>
          <w:sz w:val="16"/>
          <w:szCs w:val="16"/>
        </w:rPr>
        <w:lastRenderedPageBreak/>
        <w:t>Немалая роль в успехе ИЖей принадлежит В. В. Рогожину, инициатору весьма эффективных нововведений, скажем, ускоренных испытаний мотоциклов и их доводки в процессе серийного выпуска. Думается, предвоенный опыт ижевских мотоциклостроителей полезно изучить современным конструкторам, нередко создающим новые модели в течение длительного времени. До наших дней сохранилось несколько десятков ИЖей, выпущенных в 30-е годы. В частности, в Музее трудовой славы ижевского мотоциклетного завода экспонируются ИЖ-7, ИЖ-8 и ИЖ-9 (11396).</w:t>
      </w:r>
    </w:p>
    <w:p w14:paraId="0F417E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E8B90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ноября 1941 ГАЗ начал сборку американских автомобилей, поступавших по ленд-лизу в СССР (3427).</w:t>
      </w:r>
    </w:p>
    <w:p w14:paraId="2B29E7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1A9BE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ноября 1941 г. часть завода Завод № 684 МПСС, МЭСЭП, МРТП, Полюстровский механический и трубочный завод АО «Промет», Государственный завод металлических изделий № 54, Механическо- штамповочный завод, Завод «Промет», Завод противопожарного оборудования «Промет», Механический завод «Промет», Ленинградский мотоциклетный завод НКМП РСФСР, НКСМ, п/я 443, Ленинградский государственный завод «Россия» МРП, ГП «ПО «Россия» МРП, ГУП, ФГУП «Завод «Россия» Минэкономики /195160 (195027)  г. Санкт-Петербург Свердловская наб., 44 тел. 225-07-20/), которая осталась в Ленинграде, стала называться механический завод «Промет» треста «Ленгорместпром».</w:t>
      </w:r>
    </w:p>
    <w:p w14:paraId="67FB28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1947 г. завод - в ведении МСДМ. 12.01.1952 г. завод передан в ведение МПСС и переименован в завод № 684. Имел наименование «п/я 443» (по другой информации- завод № 443). С 03.1953 г. - в ведении МЭСЭП, с 01.1954 г. - МРТП, затем - Управления радиотехнической промышленности ЛенСНХ. В 01.1966 г. завод передан в МРП и переименован в Ленинградский государственный завод «Россия».</w:t>
      </w:r>
      <w:r w:rsidRPr="00640820">
        <w:rPr>
          <w:rFonts w:ascii="Times New Roman" w:hAnsi="Times New Roman"/>
          <w:color w:val="000000" w:themeColor="text1"/>
          <w:sz w:val="16"/>
          <w:szCs w:val="16"/>
          <w:vertAlign w:val="superscript"/>
        </w:rPr>
        <w:t>131</w:t>
      </w:r>
    </w:p>
    <w:p w14:paraId="295251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 1973 г. на базе завода создано ПО «Россия» МРП.</w:t>
      </w:r>
      <w:r w:rsidRPr="00640820">
        <w:rPr>
          <w:rFonts w:ascii="Times New Roman" w:hAnsi="Times New Roman"/>
          <w:color w:val="000000" w:themeColor="text1"/>
          <w:sz w:val="16"/>
          <w:szCs w:val="16"/>
          <w:vertAlign w:val="superscript"/>
        </w:rPr>
        <w:t>130</w:t>
      </w:r>
      <w:r w:rsidRPr="00640820">
        <w:rPr>
          <w:rFonts w:ascii="Times New Roman" w:hAnsi="Times New Roman"/>
          <w:color w:val="000000" w:themeColor="text1"/>
          <w:sz w:val="16"/>
          <w:szCs w:val="16"/>
        </w:rPr>
        <w:t xml:space="preserve"> В 1974 г. завод вошел в состав ПО «Красная заря». Производство (2002 г.): наземные приемо-передающие станции космической связи; аппаратура единого времени; стационарные системы пилотажно-навигационной информации; радиооборудование слепой посадки и полета; аэродромное оборудование; тренажеры. В 2005 г. ФГУП «Завод «Россия» обанкрочен. Численность персонала (2002 г.)- 2000 чел. Гендиректор (2002 г.)- В.Н. Цыплаков.</w:t>
      </w:r>
      <w:r w:rsidRPr="00640820">
        <w:rPr>
          <w:rFonts w:ascii="Times New Roman" w:hAnsi="Times New Roman"/>
          <w:color w:val="000000" w:themeColor="text1"/>
          <w:sz w:val="16"/>
          <w:szCs w:val="16"/>
          <w:vertAlign w:val="superscript"/>
        </w:rPr>
        <w:t xml:space="preserve">69 </w:t>
      </w:r>
      <w:r w:rsidRPr="00640820">
        <w:rPr>
          <w:rFonts w:ascii="Times New Roman" w:hAnsi="Times New Roman"/>
          <w:color w:val="000000" w:themeColor="text1"/>
          <w:sz w:val="16"/>
          <w:szCs w:val="16"/>
        </w:rPr>
        <w:t>Зам. гендиректора по качеству (-1989 г.)- В.В. Болтин. Гл. инженер (1973 г.-)- В.В. Болтин. Начальник КБ (1989-2004 г.)- В.В. Болтин. • Производство: мобильная полковая автоматизированная система управления полетами и посадкой самолетов фронтовой авиации РСП-11 (1975-); автоматизированная система УВД для аэродромов ГА «Старт» (1970-е)- 20; аппаратура Системы единого времени «Сандал», «Самшит», «Кипарис», «Кипарис К», «Миндаль», «Камыш»; телевизор КВН-49.</w:t>
      </w:r>
    </w:p>
    <w:p w14:paraId="560C81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КБ завода «Россия», ФГУП «КБ завода «Россия» /г. Санкт-Петербург/ КБ завода создано в 1952 г.</w:t>
      </w:r>
    </w:p>
    <w:p w14:paraId="38E300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Разработка </w:t>
      </w:r>
      <w:r w:rsidRPr="00640820">
        <w:rPr>
          <w:rFonts w:ascii="Times New Roman" w:hAnsi="Times New Roman"/>
          <w:color w:val="000000" w:themeColor="text1"/>
          <w:sz w:val="16"/>
          <w:szCs w:val="16"/>
          <w:lang w:val="en-US"/>
        </w:rPr>
        <w:t>PJIC</w:t>
      </w:r>
      <w:r w:rsidRPr="00640820">
        <w:rPr>
          <w:rFonts w:ascii="Times New Roman" w:hAnsi="Times New Roman"/>
          <w:color w:val="000000" w:themeColor="text1"/>
          <w:sz w:val="16"/>
          <w:szCs w:val="16"/>
        </w:rPr>
        <w:t xml:space="preserve"> посадки для эародромов.</w:t>
      </w:r>
    </w:p>
    <w:p w14:paraId="77906C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инженера (-1989 г.)- Я.М. Резников.</w:t>
      </w:r>
    </w:p>
    <w:p w14:paraId="7A97EB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конструкторы: Б.М. Игнатов (РСП-6М2),  Г.А. Гордин (РСП-6МЗ, «Иртыш»), И.М. Лукин («Фитин-Т»), В.А. Файнштейн (ДРЛС-9, -А, Иртыш-СК, -М, -СКМ), Е.Э. Шит («Нарва», РСП-8).</w:t>
      </w:r>
    </w:p>
    <w:p w14:paraId="313A9D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КО (-1973 г.)- В.В. Болтин; (-2002 г.)-  Г.А. Гордин, (-1988 г.)- И.М. Лукин, Я.М. Резников.</w:t>
      </w:r>
    </w:p>
    <w:p w14:paraId="30AE9A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начальника отдела: (-1996 г.)- Б.М. Игнатов.</w:t>
      </w:r>
    </w:p>
    <w:p w14:paraId="356A17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лабораторий: по созданию АСУ боевыми действиями ВВС (1977-80 г.)- Е.Т. Липатов; В.В. Болтин, Б.М. Игнатов.</w:t>
      </w:r>
    </w:p>
    <w:p w14:paraId="42251A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секторов: (-1997 г.)- В.А. Файнштейн.</w:t>
      </w:r>
    </w:p>
    <w:p w14:paraId="246AB8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аэродромные РЛС посадки: РСП-6, -6МН, -6М2, -6МЗ «Обкатка», -8; аэродромные РЛК для ГА: диспетчерская «Нарва», ДРЛС-9, ДРЛС-А, «Иртыш», «Иртыш-СК, -М, -СКМ»; вторичная РЛС «Малахит»; РЛС УВД военных аэродромов «Фитин-Т»; аппаратура отображения РЛ информации «Комета» ВИСП-75Т, ВИСП- 90 (11982).</w:t>
      </w:r>
    </w:p>
    <w:p w14:paraId="2D47D7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81EFF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создан Инструментальный завод № 73 НКБ в Свердловске на базе эвакуированного из Коломны оборудования (ГС Завод № 73 НКБ, МСХМ, п/я 70, Свердловский ордена Трудового Красного Знамени инструментальный завод им. 60-летия образования СССР, АООТ, ОАО «Свердловский инструментальный завод» / г. Свердловск п/я 70 «Скоба» (1943 г.)/ /620142  г. Екатеринбург ул. Фрунзе, 35А тел. 251-98-17/).</w:t>
      </w:r>
    </w:p>
    <w:p w14:paraId="183BD7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старом месте в Коломне создан Коломенский завод тяжелого станкостроения.</w:t>
      </w:r>
    </w:p>
    <w:p w14:paraId="4ACAA7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завода основные цехи (1943 г.): механический, термический. Количество оборудования- 517 ед.</w:t>
      </w:r>
    </w:p>
    <w:p w14:paraId="5B9260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1942 г. - в ведении 4ГУ НКБ, в 08.1943-09.1944 г. - в ведении 7ГУ. 10.06.1946 г. завод № 73 передан в ведение МСХМ. В 1947 г. завод № 73 и Свердловский инструментальный завод объединены в Свердловский ордена Трудового Красного Знамени инструментальный завод. В 1957 г. завод передан в Управление машиностроения Свердловского СНХ.</w:t>
      </w:r>
    </w:p>
    <w:p w14:paraId="19802F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1959 г. освоено производство червячных фрез зацепления Новикова. В 1962 г. организована лаборатория научной организации труда (НОТ). В 1964-74 г. проведена генеральная реконструкция завода. В 1974 г. введена 1- я очередь АСУ-СИЗ.</w:t>
      </w:r>
    </w:p>
    <w:p w14:paraId="65A2B8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1991 г.- Свердловский ордена Трудового Красного Знамени инструментальный завод им. 60-летия образования СССР. В 03.1993 г. завод акционирован и преобразован в АООТ «Свердловский инструментальный завод». В 2003 г. была основана Уральская машиностроительная корпорация «Пумори - СИЗ», объединившая более десятка предприятий, в т.ч. Свердловский инструментальный завод.</w:t>
      </w:r>
    </w:p>
    <w:p w14:paraId="2E9DE2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(2006 г.): фрезы, метчики, протяжки, долбяки и головки зуборезные, шеверы дисковые, полотна ножовочные.</w:t>
      </w:r>
      <w:r w:rsidRPr="00640820">
        <w:rPr>
          <w:rFonts w:ascii="Times New Roman" w:hAnsi="Times New Roman"/>
          <w:color w:val="000000" w:themeColor="text1"/>
          <w:sz w:val="16"/>
          <w:szCs w:val="16"/>
          <w:vertAlign w:val="superscript"/>
          <w:lang w:val="en-US"/>
        </w:rPr>
        <w:t>svcrizkomsu</w:t>
      </w:r>
    </w:p>
    <w:p w14:paraId="7A183F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(1943 г.): производственная- 8620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вспомогательная- 6775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0F3F2B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(12.1942 г.)- 3066 чел.</w:t>
      </w:r>
    </w:p>
    <w:p w14:paraId="05822D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(04.1943 г.)- Брусиловский. Гендиректор (-2003-04 г.-)- В.Я. Богуславский.</w:t>
      </w:r>
    </w:p>
    <w:p w14:paraId="6E1D2E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Коммерческий директор (1996-2000 г.)- М. Луговцов.</w:t>
      </w:r>
    </w:p>
    <w:p w14:paraId="70896E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(1931-32 г.)- С.П. Карцев.</w:t>
      </w:r>
    </w:p>
    <w:p w14:paraId="637211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планового (04.1943 г.)- Кримгольд.</w:t>
      </w:r>
      <w:r w:rsidRPr="00640820">
        <w:rPr>
          <w:rFonts w:ascii="Times New Roman" w:hAnsi="Times New Roman"/>
          <w:color w:val="000000" w:themeColor="text1"/>
          <w:sz w:val="16"/>
          <w:szCs w:val="16"/>
          <w:vertAlign w:val="superscript"/>
        </w:rPr>
        <w:t>132</w:t>
      </w:r>
    </w:p>
    <w:p w14:paraId="2A21E8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Производство: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 xml:space="preserve"> М-30 (1942) (11982).</w:t>
      </w:r>
    </w:p>
    <w:p w14:paraId="71D6AB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36FAA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на месте эвакуированного на завод № 73 НКБ завода создан (Государственный Коломенский завод тяжелого станкостроения, ГУП, ФГУП «ПО «Коломенский завод тяжелого станкостроения», ЗАО «Коломенский завод тяжелых станков» /140402  г. Коломна Московской обл. Окский пр., 2; Окский пр., 48 тел. 12-24-72/). Размещался рядом с заводом № 4 (цех № 116 завода № 4 размещался на территории Коломенского завода тяжелых станков). В 1946-1947 г. завод не имел определенного профиля производства и выполнял заказы различных отраслей народного хозяйства. В соответствии с ПСМ № 11-6с от 6.01.1948 г. на базе ГАРОЗ создан Государственный Коломенский завод тяжелого станкостроения, в 02.1948 г. утвержден Устав завода. В 05.1948 г. выпущены первые два токарно-винторезных станка. Затем освоен выпуск зубофрезерных, карусельных, расточных, закалочных, деревообрабатывающих и других специальных и уникальных станков, кузнечно-прессового и другого оборудования с маркой «ЗТС-Коломна».</w:t>
      </w:r>
    </w:p>
    <w:p w14:paraId="7DFF86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1969 г. построен инженерный корпус завода.</w:t>
      </w:r>
    </w:p>
    <w:p w14:paraId="4EE8E6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заводе создано СКБ по станкостроению.</w:t>
      </w:r>
    </w:p>
    <w:p w14:paraId="57D9EF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банкротства и реструктуризации производства создано ЗАО «Коломенский завод тяжелых станков».</w:t>
      </w:r>
    </w:p>
    <w:p w14:paraId="5EB39B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Производство: (2000-е) станки: токарно-винторезные КУ620Ф1, КУ625Ф1; токарно-карусельные: многоцелевые с ЧПУ: двухстоечные 1В540Ф4, 1А550Ф4, 1А563Ф4, 1А580Ф4, одностоечные 1К540Ф4, 1К563Ф4, 1К580Ф4, </w:t>
      </w:r>
      <w:r w:rsidRPr="00640820">
        <w:rPr>
          <w:rFonts w:ascii="Times New Roman" w:hAnsi="Times New Roman"/>
          <w:color w:val="000000" w:themeColor="text1"/>
          <w:sz w:val="16"/>
          <w:szCs w:val="16"/>
          <w:lang w:val="en-US"/>
        </w:rPr>
        <w:t>VBL</w:t>
      </w:r>
      <w:r w:rsidRPr="00640820">
        <w:rPr>
          <w:rFonts w:ascii="Times New Roman" w:hAnsi="Times New Roman"/>
          <w:color w:val="000000" w:themeColor="text1"/>
          <w:sz w:val="16"/>
          <w:szCs w:val="16"/>
        </w:rPr>
        <w:t xml:space="preserve">-1600, -2000; двухстоечные с ЦИ КУ518Ф1, 1540Ф1, КУ514Ф1, КУ478, 1563Ф1, КУ507Ф1, КУ564Ф1, КУ580ЛФ1, КУ565Ф1, КУ501Ф1, КУ456; горизонтально-расточные 2Н636Ф2И, 2Н637Ф2И, КУ553, 2Р637; зубофрезерные вертикальные 5А342ПФ2, 5343ПФ2, 5В345ПФ2, 5В348ЛФ2, горизонтальные 5В370ПФ2, 5В373ПФ2, 5В375Ф2; карусельно-шлифовальные ЗН762Ф1, 3762Ф1, ЗН763Ф1, 3763Ф1, ЗН764Ф1, КУ520Ф4; закалочные КУ198Ф1, КУ199Ф1, КУ200Ф1, КУ202Ф1; для обработки труб СТФ-2, СТН-1, КУ656; намоточные специальные КУ463ФЗ, КУ489ФЗ, РПН380М, РПН500ФЗ, РПН380К; рейко-фрезерный КУ530Ф2; слиткообдирочный РТ-503; для восстановления шеек конусов дробилок КУ647; прессы гидравлические: для изготовления труб, листоштамповочные, для прессования профилей, прессы-изостаты, для штамповки автодеталей, для металлокерамики; линия по переработке изношенных автошин; обогатительное оборудование: грохоты ГИЛ 32К, -42К, -52К, ГИСЛ 41К, -42К, -61К, -62УК, -82АК, ГИСТ 72АК; сепараторы колесные СКВП20К, СКВП32К, СТК40; автоматизированный брикетный вальцевый комплекс </w:t>
      </w:r>
      <w:r w:rsidRPr="00640820">
        <w:rPr>
          <w:rFonts w:ascii="Times New Roman" w:hAnsi="Times New Roman"/>
          <w:color w:val="000000" w:themeColor="text1"/>
          <w:sz w:val="16"/>
          <w:szCs w:val="16"/>
          <w:lang w:val="en-US"/>
        </w:rPr>
        <w:t>ABBK</w:t>
      </w:r>
      <w:r w:rsidRPr="00640820">
        <w:rPr>
          <w:rFonts w:ascii="Times New Roman" w:hAnsi="Times New Roman"/>
          <w:color w:val="000000" w:themeColor="text1"/>
          <w:sz w:val="16"/>
          <w:szCs w:val="16"/>
        </w:rPr>
        <w:t>-10.</w:t>
      </w:r>
    </w:p>
    <w:p w14:paraId="2B5B0A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СКБ по станкостроению при Коломенском заводе тяжелого станкостроения, «СКБ-ЗТС» /140402  г. Коломна Московской обл. Окский пр., 70 а/я 4/</w:t>
      </w:r>
    </w:p>
    <w:p w14:paraId="5EA096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СКБ по станкостроению создано при Коломенском ЗТС вскоре после его создания.</w:t>
      </w:r>
    </w:p>
    <w:p w14:paraId="51C0C9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1998 г. в результате реструктуризации ПО «Коломенский ЗТС» создано самостоятельное предприятие «СКБ-ЗТС». Располагало производственными мощностями прецизионного термоконстантного механо</w:t>
      </w:r>
      <w:r w:rsidRPr="00640820">
        <w:rPr>
          <w:rFonts w:ascii="Times New Roman" w:hAnsi="Times New Roman"/>
          <w:color w:val="000000" w:themeColor="text1"/>
          <w:sz w:val="16"/>
          <w:szCs w:val="16"/>
        </w:rPr>
        <w:softHyphen/>
        <w:t>сборочного цеха и механического цеха заготовительного производства.</w:t>
      </w:r>
    </w:p>
    <w:p w14:paraId="6BF3BA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производственных и служебных помещений (2005 г.)- 13 тыс.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004FBF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(2005 г.)- 200 чел.</w:t>
      </w:r>
    </w:p>
    <w:p w14:paraId="0E68C4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Руководитель- П.А. Юденков. Гендиректор,(2005 г.)-  Г.И. Якубсон.</w:t>
      </w:r>
    </w:p>
    <w:p w14:paraId="6458A2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Технический директор (2005 г.)- Ю.Н. Черторижский.</w:t>
      </w:r>
    </w:p>
    <w:p w14:paraId="37518E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службы маркетинга (2005 г.)-  Г.С. Новиков (11982).</w:t>
      </w:r>
    </w:p>
    <w:p w14:paraId="4ED03E4F" w14:textId="77777777" w:rsidR="00EE3BEC" w:rsidRPr="00640820" w:rsidRDefault="00EE3BEC" w:rsidP="00640820">
      <w:pPr>
        <w:autoSpaceDE w:val="0"/>
        <w:autoSpaceDN w:val="0"/>
        <w:adjustRightInd w:val="0"/>
        <w:spacing w:after="0" w:line="240" w:lineRule="auto"/>
        <w:jc w:val="both"/>
        <w:rPr>
          <w:rFonts w:ascii="Times New Roman" w:hAnsi="Times New Roman"/>
          <w:color w:val="000000" w:themeColor="text1"/>
          <w:sz w:val="16"/>
          <w:szCs w:val="16"/>
        </w:rPr>
      </w:pPr>
    </w:p>
    <w:p w14:paraId="25F34E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 на базе эвакуированного Александровского радиозавода № 3 был основан ГС Завод № 641, п/я 641, Петропавловский завод им. С.М. Кирова, Р-6641, Петропавловский завод исполнительных механизмов им. С.М. Кирова, ОАО «ПО «Завод им. Кирова», ОАО «Мунаймаш» /Казахстан 642026 (642007)  г. Петропавловск ул. Партизанская, 50/. В 02.1942 г. выпущена первая продукция. В годы войны выпускал радиоприемники и радиопеленгаторы. После войны продолжен выпуск радиоприемников для МО, освоено производство бытовой радиотехники.</w:t>
      </w:r>
    </w:p>
    <w:p w14:paraId="021514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Имел наименование «п/я Р-6641». В 12.1993 г. Завод им. Кирова преобразован в ОАО «ПО «Завод им. Кирова». Был в 2007 г.</w:t>
      </w:r>
    </w:p>
    <w:p w14:paraId="7DC234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(2000-е): средства связи для ВМФ и РВСН; оборудование: для нефтегазовой отрасли (устройства управления и сигнализации для электродвигателей); для железной дороги; для энергетического комплекса; для агропрома.</w:t>
      </w:r>
    </w:p>
    <w:p w14:paraId="1E5F0C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Производство: «Волна-К»; блоки для Р-155У, «Шторм»; изд. 15Э1225; радиостанции: «Радий», «Кварц»; носимые «Радиус-301», «Радий-301»; возимая «Радий-201»; стационарная симплексная РС-46 МЦ </w:t>
      </w:r>
      <w:r w:rsidRPr="00640820">
        <w:rPr>
          <w:rFonts w:ascii="Times New Roman" w:hAnsi="Times New Roman"/>
          <w:color w:val="000000" w:themeColor="text1"/>
          <w:sz w:val="16"/>
          <w:szCs w:val="16"/>
          <w:lang w:val="en-US"/>
        </w:rPr>
        <w:t>KZ</w:t>
      </w:r>
      <w:r w:rsidRPr="00640820">
        <w:rPr>
          <w:rFonts w:ascii="Times New Roman" w:hAnsi="Times New Roman"/>
          <w:color w:val="000000" w:themeColor="text1"/>
          <w:sz w:val="16"/>
          <w:szCs w:val="16"/>
        </w:rPr>
        <w:t>; локомотивная «Транспорт» РВ 1.1.М; ретранслятор «Радий-101»; радиоприемники: ПТБ-47 (1947-), ПТС-47 (1948-), ТПС-54, ПТС-56, «Казахстан» (1963-), «Казахстан-2» (1966-), «Ишим» (1974-), «Ишим-003» (1984-), «Медео-201, -203»; магнитофоны: «Десна» (1969-), «Романтик-304»; магнитолы: «Медео-102С (1986-), РМ- 205С»;'</w:t>
      </w:r>
      <w:r w:rsidRPr="00640820">
        <w:rPr>
          <w:rFonts w:ascii="Times New Roman" w:hAnsi="Times New Roman"/>
          <w:color w:val="000000" w:themeColor="text1"/>
          <w:sz w:val="16"/>
          <w:szCs w:val="16"/>
          <w:vertAlign w:val="superscript"/>
        </w:rPr>
        <w:t>108</w:t>
      </w:r>
      <w:r w:rsidRPr="00640820">
        <w:rPr>
          <w:rFonts w:ascii="Times New Roman" w:hAnsi="Times New Roman"/>
          <w:color w:val="000000" w:themeColor="text1"/>
          <w:sz w:val="16"/>
          <w:szCs w:val="16"/>
        </w:rPr>
        <w:t xml:space="preserve"> устройства для электродвигателей: защиты УЗЭД-1, управления УПУ-3, самозапуска УС-1; блок управления приводом нефтекачалок БУШК-2М; станция электроснабжения СЭМБ-200 мобильной буровой установки МБУ-125; устройства: поездной радиосвязи: запирающий контур ЗК-4, согласующий контур СК-6; голосовой связи: усилитель диспетчера УД-4, устройство переговорное УПВ-1; трансформаторы питания рельсовых цепей ПОБС, ПРТ, ПТМ, СТ, СОБС, ФП; приборы сигнализации и блокировки ИВГ, КБМШ, СЗИ, БВМШ, БПШ, РНП, БС-ДА, БК-ДА, БИ-ДА, БКР, ФУ, реле ТШ-45, Ш1-2000, реактор ограничения сопротивления РОБС, сигнализаторы СЗИ-1М, -2М; комплексные локомотивные устройства безопасности КЛУБ-УБ </w:t>
      </w:r>
      <w:r w:rsidRPr="00640820">
        <w:rPr>
          <w:rFonts w:ascii="Times New Roman" w:hAnsi="Times New Roman"/>
          <w:color w:val="000000" w:themeColor="text1"/>
          <w:sz w:val="16"/>
          <w:szCs w:val="16"/>
          <w:lang w:val="en-US"/>
        </w:rPr>
        <w:t>KZ</w:t>
      </w:r>
      <w:r w:rsidRPr="00640820">
        <w:rPr>
          <w:rFonts w:ascii="Times New Roman" w:hAnsi="Times New Roman"/>
          <w:color w:val="000000" w:themeColor="text1"/>
          <w:sz w:val="16"/>
          <w:szCs w:val="16"/>
        </w:rPr>
        <w:t>; счетчики электроэнергии: СЭ-0401, СЭ-0402, СЭЗФА-0405; щит учета электроэнергии ЭЩУ; сигнализатор вибрации СВ1, аппаратура контроля вибрации АКВ-2; трасформатры тока, дроссели; запчасти для комбайна «Енисей» (11982).</w:t>
      </w:r>
    </w:p>
    <w:p w14:paraId="3F81D1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23EA2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 в Ульяновск эвакуирован электроаппаратный цех Харьковского электро-механического завода и размещен в помещениях торговых рядов Центрального рынка на площади Революции. Вначале он именовался «Электропускатель», затем преобразован в ГС завод № 650 НКЭП (ГС ЗаВОД № 650 НКЭП, Ульяновский завод низковольтной аппаратуры «Контактор» МЭТП, ОАО «Контактор» /432001  г. Ульяновск ул. Карла Маркса, 12/).</w:t>
      </w:r>
    </w:p>
    <w:p w14:paraId="67E1E9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годы войны выпускал электрооборудование'для танков и (с середины 1942 г.) для гвардейских минометов «Катюша». Кроме того, производилось оборудование для химической и топливной промышленности, металлургии и машиностроения, энергетики и станкостроения.</w:t>
      </w:r>
    </w:p>
    <w:p w14:paraId="60C4E5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начата реконструкция и расширение производства. В 1952 г. введены в строй два новых производственных корпуса, а до 1975 г. построено 10 корпусов. В 1965-76 г. проведена коренная реконструкция четырех производственных площадок завода. Внедрены механизированные техпроцессы.</w:t>
      </w:r>
    </w:p>
    <w:p w14:paraId="7CA600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МЭТП от 20.06.1954 г. предприятие переименовано в Ульяновский завод низковольтной аппаратуры «Контактор».</w:t>
      </w:r>
    </w:p>
    <w:p w14:paraId="077C57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(1942 г.)- около 400 чел.</w:t>
      </w:r>
    </w:p>
    <w:p w14:paraId="484450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автоматические выключатели «Электрон», серии А3700 (1970-е) (11982).</w:t>
      </w:r>
    </w:p>
    <w:p w14:paraId="7FC17E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D10E1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 часть завода № 191 НКЭП (41 вагон с оборудованием и кадрами) эвакуирована в Уфу и размещена сначала в здании бывшей больницы, а затем- в помещениях школ № 53 и № 57 Сталинского района. Тогда же, в 11.1941 г. на базе этой части завода № 191 создан ГС завод № 643. Далее- Уфимский электроламповый завод «Свет» (ГС завод № 643 НКЭП, Уфимский электроламповый завод (УЭЛЗ), ОАО «УЭЛЗ-Свет» /Башкирия 450029  г. Уфа ул. Юбилейная, 1/).</w:t>
      </w:r>
    </w:p>
    <w:p w14:paraId="4B9E3A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1943 г. освоен выпуск осветительных электроламп. В 1950 г. построены стекольный и сборочный цехи. В 1956 г. на заводе установлена высокопроизводительная сборочная линия, впервые изготовленная в СССР, в 1958 г. установлена опытная линия изготовления миниатюрных электроламп. В 1961-61 г. начато освоение производства электроламп мощностью 300 и 500 Вт, в 1967 г. вступила в строй первая в стране линия по сборке ламп в 1000 Вт. В 1966-67 г. осуществлена перестройка производства на использование природного газа вместо водного, введена в строй азотно-кислородная станция. В 1976 г. освоен выпуск сверхминиатюрных электроламп, затем - кварцево-галогенных ламп.</w:t>
      </w:r>
    </w:p>
    <w:p w14:paraId="103DE4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22.10.2003 г. была выпущена 8-миллиардная осветительная электролампа. В 2004 г. освоено собственное производство стеклотрубки и штабиков.</w:t>
      </w:r>
    </w:p>
    <w:p w14:paraId="316C35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1993 г. завод преобразован в ОАО «УЭЛЗ «Свет». Входил в холдинг В.А.В.С. (2003-06 г.). 26.05.2008 г. на предприятии введено внешнее наблюдение.</w:t>
      </w:r>
    </w:p>
    <w:p w14:paraId="1F4FBC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В.В. Киселев, М.Т. Конюхов, В.Д. Кузнецов, А.Ф. Панкратов, Т.А. Гашимов, В.А. Борисов, Р.Т. Сайфуллин, Т.С. Косилова. Гендиректор (1997-2003 г.-)- Р.Т. Сайфулин, (20.07.2006 г.-)- П.Н. Цапин. Временный управляющий (05.2008 г.-)- А.В. Кузьминов.</w:t>
      </w:r>
    </w:p>
    <w:p w14:paraId="50F086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гендиректора по производству (1993-97 г.)- Р.Т. Сайфуллин.</w:t>
      </w:r>
    </w:p>
    <w:p w14:paraId="36636C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Технический директор- Н.Е. Крывкин. Директор по продажам- Д.А. Соловьев.</w:t>
      </w:r>
    </w:p>
    <w:p w14:paraId="1F4952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(1941 -42 г.)- М.М. Федоров (11982).</w:t>
      </w:r>
    </w:p>
    <w:p w14:paraId="5AEC89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F5EF6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года и В.А.Попов вместе с инженером И.И. Горевым предложил построить новый тип оружия - сухопутную торпеду (С.Т.). Это оружие предназначено для действия против танков, огневых точек, пулеметных, орудийных или минометных батарей и т.д. Состоит СТ из узлов и агрегатов, повсеместно применяемых у нас и изготовляемых серийно на многих заводах. Движение со скоростью 10 м/сек. сообщает СТ пневматический двигатель (пневмодрель), работающий от сжатого воздуха в баллоне. СТ несет заряд взрывчатого вещества весом (в первой модели) до 10 кг (1666,159).</w:t>
      </w:r>
    </w:p>
    <w:p w14:paraId="3933AD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E9E70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в Саратов из Москвы эвакуирован завод № 205 СНХ, Саратовский машиностроительный завод (СМЗ) МОМ</w:t>
      </w:r>
    </w:p>
    <w:p w14:paraId="6F471E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205 из системы СНХ передан в подчинение 6ГУ МОМ и по приказу от 6.03.1966 г. преобразован в СМЗ.</w:t>
      </w:r>
    </w:p>
    <w:p w14:paraId="167C30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гироскопической аппаратуры для РКТ.</w:t>
      </w:r>
    </w:p>
    <w:p w14:paraId="356F4C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Директор (1960-е)- А.К. Ваницкий, (-1965 г.)- Б.В. Бальмонт (затем- начальник 6ГУ МОМ).77 </w:t>
      </w:r>
    </w:p>
    <w:p w14:paraId="09E8AC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КБ завода </w:t>
      </w:r>
    </w:p>
    <w:p w14:paraId="3E37EF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Было в 1966 г. (10776).</w:t>
      </w:r>
    </w:p>
    <w:p w14:paraId="02E74D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EA1A5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Политбюро ЦК ВКП(б) рассмотрело вопрос "О развитии черной металлургии на Урале и в Сибири" (338,26).</w:t>
      </w:r>
    </w:p>
    <w:p w14:paraId="1A67E5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EEC51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завод № 582 приступил к освоению снаряжения ручных гранат Ф-1.</w:t>
      </w:r>
    </w:p>
    <w:p w14:paraId="6AF989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Территориально завод был расположен в мастерских Райпромкомбината в деревне Пехра-Покровская и по приказу зам. наркома боеприпасов Гамова в декабре 1941 года было предложено завод перевести на территорию эвакуированного завода № 401 НКБ, расположенного в г. Балашиха 1-я, ст. Горенки.</w:t>
      </w:r>
    </w:p>
    <w:p w14:paraId="020FF5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Был установлен профиль завода – снаряжательный (10229).</w:t>
      </w:r>
    </w:p>
    <w:p w14:paraId="393DFF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A86E7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была подготовлена справка:</w:t>
      </w:r>
    </w:p>
    <w:p w14:paraId="446034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Эвакуация заводов НКБ</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728"/>
        <w:gridCol w:w="1170"/>
        <w:gridCol w:w="1044"/>
        <w:gridCol w:w="1044"/>
        <w:gridCol w:w="2232"/>
        <w:gridCol w:w="2520"/>
      </w:tblGrid>
      <w:tr w:rsidR="00643896" w:rsidRPr="00640820" w14:paraId="7F8FAADD" w14:textId="77777777" w:rsidTr="000D3BCB">
        <w:tc>
          <w:tcPr>
            <w:tcW w:w="1728" w:type="dxa"/>
            <w:tcBorders>
              <w:top w:val="single" w:sz="12" w:space="0" w:color="auto"/>
            </w:tcBorders>
          </w:tcPr>
          <w:p w14:paraId="39DDC7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w:t>
            </w:r>
          </w:p>
        </w:tc>
        <w:tc>
          <w:tcPr>
            <w:tcW w:w="1170" w:type="dxa"/>
            <w:tcBorders>
              <w:top w:val="single" w:sz="12" w:space="0" w:color="auto"/>
            </w:tcBorders>
          </w:tcPr>
          <w:p w14:paraId="0C308C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044" w:type="dxa"/>
            <w:tcBorders>
              <w:top w:val="single" w:sz="12" w:space="0" w:color="auto"/>
            </w:tcBorders>
          </w:tcPr>
          <w:p w14:paraId="3D7BBC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Откуда</w:t>
            </w:r>
          </w:p>
        </w:tc>
        <w:tc>
          <w:tcPr>
            <w:tcW w:w="1044" w:type="dxa"/>
            <w:tcBorders>
              <w:top w:val="single" w:sz="12" w:space="0" w:color="auto"/>
            </w:tcBorders>
          </w:tcPr>
          <w:p w14:paraId="4F0317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Куда</w:t>
            </w:r>
          </w:p>
        </w:tc>
        <w:tc>
          <w:tcPr>
            <w:tcW w:w="2232" w:type="dxa"/>
            <w:tcBorders>
              <w:top w:val="single" w:sz="12" w:space="0" w:color="auto"/>
            </w:tcBorders>
          </w:tcPr>
          <w:p w14:paraId="44A9D9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2520" w:type="dxa"/>
            <w:tcBorders>
              <w:top w:val="single" w:sz="12" w:space="0" w:color="auto"/>
            </w:tcBorders>
          </w:tcPr>
          <w:p w14:paraId="430706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Что производит</w:t>
            </w:r>
          </w:p>
        </w:tc>
      </w:tr>
      <w:tr w:rsidR="00643896" w:rsidRPr="00640820" w14:paraId="2DEF4B7B" w14:textId="77777777" w:rsidTr="000D3BCB">
        <w:tc>
          <w:tcPr>
            <w:tcW w:w="1728" w:type="dxa"/>
          </w:tcPr>
          <w:p w14:paraId="459AE3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622447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24CEB5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29065F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747DBB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168957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2D8F3BA" w14:textId="77777777" w:rsidTr="000D3BCB">
        <w:tc>
          <w:tcPr>
            <w:tcW w:w="1728" w:type="dxa"/>
          </w:tcPr>
          <w:p w14:paraId="502F70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46EB39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ГСПИ-1</w:t>
            </w:r>
          </w:p>
        </w:tc>
        <w:tc>
          <w:tcPr>
            <w:tcW w:w="1044" w:type="dxa"/>
          </w:tcPr>
          <w:p w14:paraId="49166B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c>
          <w:tcPr>
            <w:tcW w:w="1044" w:type="dxa"/>
          </w:tcPr>
          <w:p w14:paraId="7C1F81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Миасс</w:t>
            </w:r>
          </w:p>
        </w:tc>
        <w:tc>
          <w:tcPr>
            <w:tcW w:w="2232" w:type="dxa"/>
          </w:tcPr>
          <w:p w14:paraId="5FC18A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1EEF06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E96FAE8" w14:textId="77777777" w:rsidTr="000D3BCB">
        <w:tc>
          <w:tcPr>
            <w:tcW w:w="1728" w:type="dxa"/>
          </w:tcPr>
          <w:p w14:paraId="680B0C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0AE1B9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1091BF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425AC5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2F5ECF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6353BD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14AF6F6" w14:textId="77777777" w:rsidTr="000D3BCB">
        <w:tc>
          <w:tcPr>
            <w:tcW w:w="1728" w:type="dxa"/>
          </w:tcPr>
          <w:p w14:paraId="212456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0A2572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НИИ-3</w:t>
            </w:r>
          </w:p>
        </w:tc>
        <w:tc>
          <w:tcPr>
            <w:tcW w:w="1044" w:type="dxa"/>
          </w:tcPr>
          <w:p w14:paraId="59A713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c>
          <w:tcPr>
            <w:tcW w:w="1044" w:type="dxa"/>
          </w:tcPr>
          <w:p w14:paraId="79930F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Свердловск</w:t>
            </w:r>
          </w:p>
        </w:tc>
        <w:tc>
          <w:tcPr>
            <w:tcW w:w="2232" w:type="dxa"/>
          </w:tcPr>
          <w:p w14:paraId="19D4CD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Уральский лесотехнический институт</w:t>
            </w:r>
          </w:p>
        </w:tc>
        <w:tc>
          <w:tcPr>
            <w:tcW w:w="2520" w:type="dxa"/>
          </w:tcPr>
          <w:p w14:paraId="13E272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7FD06F8" w14:textId="77777777" w:rsidTr="000D3BCB">
        <w:tc>
          <w:tcPr>
            <w:tcW w:w="1728" w:type="dxa"/>
          </w:tcPr>
          <w:p w14:paraId="63F121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34A48E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27FCDE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2AE579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4066E9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4715BC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7020259" w14:textId="77777777" w:rsidTr="000D3BCB">
        <w:tc>
          <w:tcPr>
            <w:tcW w:w="1728" w:type="dxa"/>
          </w:tcPr>
          <w:p w14:paraId="310127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144782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ГСПИ-4</w:t>
            </w:r>
          </w:p>
        </w:tc>
        <w:tc>
          <w:tcPr>
            <w:tcW w:w="1044" w:type="dxa"/>
          </w:tcPr>
          <w:p w14:paraId="1657A4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c>
          <w:tcPr>
            <w:tcW w:w="1044" w:type="dxa"/>
          </w:tcPr>
          <w:p w14:paraId="3B45D0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Миасс</w:t>
            </w:r>
          </w:p>
        </w:tc>
        <w:tc>
          <w:tcPr>
            <w:tcW w:w="2232" w:type="dxa"/>
          </w:tcPr>
          <w:p w14:paraId="004C16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Планировался для эвакуации в Орск на заводы 257 и 322, но поехал в Шадринск</w:t>
            </w:r>
          </w:p>
        </w:tc>
        <w:tc>
          <w:tcPr>
            <w:tcW w:w="2520" w:type="dxa"/>
          </w:tcPr>
          <w:p w14:paraId="020F10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2B4A851" w14:textId="77777777" w:rsidTr="000D3BCB">
        <w:tc>
          <w:tcPr>
            <w:tcW w:w="1728" w:type="dxa"/>
          </w:tcPr>
          <w:p w14:paraId="4320D0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5CEA05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18D01B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02B86F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789F16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0A3C9F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4A87FD4" w14:textId="77777777" w:rsidTr="000D3BCB">
        <w:tc>
          <w:tcPr>
            <w:tcW w:w="1728" w:type="dxa"/>
          </w:tcPr>
          <w:p w14:paraId="77AA13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НКБ, 236сс 04/07/41</w:t>
            </w:r>
          </w:p>
        </w:tc>
        <w:tc>
          <w:tcPr>
            <w:tcW w:w="1170" w:type="dxa"/>
          </w:tcPr>
          <w:p w14:paraId="52AC9B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1044" w:type="dxa"/>
          </w:tcPr>
          <w:p w14:paraId="42D469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Ленинград</w:t>
            </w:r>
          </w:p>
        </w:tc>
        <w:tc>
          <w:tcPr>
            <w:tcW w:w="1044" w:type="dxa"/>
          </w:tcPr>
          <w:p w14:paraId="69D14B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Казань</w:t>
            </w:r>
          </w:p>
        </w:tc>
        <w:tc>
          <w:tcPr>
            <w:tcW w:w="2232" w:type="dxa"/>
          </w:tcPr>
          <w:p w14:paraId="1D4304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Мехкомбинат НКЛП, потом 4а</w:t>
            </w:r>
          </w:p>
        </w:tc>
        <w:tc>
          <w:tcPr>
            <w:tcW w:w="2520" w:type="dxa"/>
          </w:tcPr>
          <w:p w14:paraId="2F0B6E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РГМ, ГВМЗ, АПУВ, К-3</w:t>
            </w:r>
          </w:p>
        </w:tc>
      </w:tr>
      <w:tr w:rsidR="00643896" w:rsidRPr="00640820" w14:paraId="532B06F7" w14:textId="77777777" w:rsidTr="000D3BCB">
        <w:tc>
          <w:tcPr>
            <w:tcW w:w="1728" w:type="dxa"/>
          </w:tcPr>
          <w:p w14:paraId="2F3CD1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4B4444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1515B7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7D3737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Саратов</w:t>
            </w:r>
          </w:p>
        </w:tc>
        <w:tc>
          <w:tcPr>
            <w:tcW w:w="2232" w:type="dxa"/>
          </w:tcPr>
          <w:p w14:paraId="4A5F32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Конд. Фабрика, потом 572</w:t>
            </w:r>
          </w:p>
        </w:tc>
        <w:tc>
          <w:tcPr>
            <w:tcW w:w="2520" w:type="dxa"/>
          </w:tcPr>
          <w:p w14:paraId="411B66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К-6, К-20, В-179</w:t>
            </w:r>
          </w:p>
        </w:tc>
      </w:tr>
      <w:tr w:rsidR="00643896" w:rsidRPr="00640820" w14:paraId="5F0149B1" w14:textId="77777777" w:rsidTr="000D3BCB">
        <w:tc>
          <w:tcPr>
            <w:tcW w:w="1728" w:type="dxa"/>
          </w:tcPr>
          <w:p w14:paraId="34B703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6C1E7E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68F73B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6FB890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16998F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1C14A4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D85461B" w14:textId="77777777" w:rsidTr="000D3BCB">
        <w:tc>
          <w:tcPr>
            <w:tcW w:w="1728" w:type="dxa"/>
          </w:tcPr>
          <w:p w14:paraId="4F74F3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НКБ, 236сс 04/07/41</w:t>
            </w:r>
          </w:p>
        </w:tc>
        <w:tc>
          <w:tcPr>
            <w:tcW w:w="1170" w:type="dxa"/>
          </w:tcPr>
          <w:p w14:paraId="54A98F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1044" w:type="dxa"/>
          </w:tcPr>
          <w:p w14:paraId="07E6A1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Ленинград</w:t>
            </w:r>
          </w:p>
        </w:tc>
        <w:tc>
          <w:tcPr>
            <w:tcW w:w="1044" w:type="dxa"/>
          </w:tcPr>
          <w:p w14:paraId="35C95B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Муром</w:t>
            </w:r>
          </w:p>
        </w:tc>
        <w:tc>
          <w:tcPr>
            <w:tcW w:w="2232" w:type="dxa"/>
          </w:tcPr>
          <w:p w14:paraId="08D4B5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253</w:t>
            </w:r>
          </w:p>
        </w:tc>
        <w:tc>
          <w:tcPr>
            <w:tcW w:w="2520" w:type="dxa"/>
          </w:tcPr>
          <w:p w14:paraId="63382F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капсюли</w:t>
            </w:r>
          </w:p>
        </w:tc>
      </w:tr>
      <w:tr w:rsidR="00643896" w:rsidRPr="00640820" w14:paraId="366BE462" w14:textId="77777777" w:rsidTr="000D3BCB">
        <w:tc>
          <w:tcPr>
            <w:tcW w:w="1728" w:type="dxa"/>
          </w:tcPr>
          <w:p w14:paraId="7CDF6C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225BCD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36F319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272235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666842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48BDDA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85A879A" w14:textId="77777777" w:rsidTr="000D3BCB">
        <w:tc>
          <w:tcPr>
            <w:tcW w:w="1728" w:type="dxa"/>
          </w:tcPr>
          <w:p w14:paraId="642550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068D40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ГСПИ-6</w:t>
            </w:r>
          </w:p>
        </w:tc>
        <w:tc>
          <w:tcPr>
            <w:tcW w:w="1044" w:type="dxa"/>
          </w:tcPr>
          <w:p w14:paraId="73E0C8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c>
          <w:tcPr>
            <w:tcW w:w="1044" w:type="dxa"/>
          </w:tcPr>
          <w:p w14:paraId="117923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Миасс</w:t>
            </w:r>
          </w:p>
        </w:tc>
        <w:tc>
          <w:tcPr>
            <w:tcW w:w="2232" w:type="dxa"/>
          </w:tcPr>
          <w:p w14:paraId="6F5C84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Планировался в Молотов на базу ГСПИ-6 филиал, но поехал в Шадринск</w:t>
            </w:r>
          </w:p>
        </w:tc>
        <w:tc>
          <w:tcPr>
            <w:tcW w:w="2520" w:type="dxa"/>
          </w:tcPr>
          <w:p w14:paraId="4B481B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60CC74E" w14:textId="77777777" w:rsidTr="000D3BCB">
        <w:tc>
          <w:tcPr>
            <w:tcW w:w="1728" w:type="dxa"/>
          </w:tcPr>
          <w:p w14:paraId="3410EA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081140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18E8C1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34642A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01ACA6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577D89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24E7810" w14:textId="77777777" w:rsidTr="000D3BCB">
        <w:tc>
          <w:tcPr>
            <w:tcW w:w="1728" w:type="dxa"/>
          </w:tcPr>
          <w:p w14:paraId="3346BD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3BD23A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НИИ-6</w:t>
            </w:r>
          </w:p>
        </w:tc>
        <w:tc>
          <w:tcPr>
            <w:tcW w:w="1044" w:type="dxa"/>
          </w:tcPr>
          <w:p w14:paraId="0B1C5F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c>
          <w:tcPr>
            <w:tcW w:w="1044" w:type="dxa"/>
          </w:tcPr>
          <w:p w14:paraId="5A80FC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215F65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Планировался для эвакуации в Красноярск (580 - пироксилиновый порох), Пермь (98 - нитроглицерин), Кемерово (319 - черный порох), Новосибирск (635 - снаряжение), Чебоксары (320 - пиротехника)</w:t>
            </w:r>
          </w:p>
        </w:tc>
        <w:tc>
          <w:tcPr>
            <w:tcW w:w="2520" w:type="dxa"/>
          </w:tcPr>
          <w:p w14:paraId="63D876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EBFCE34" w14:textId="77777777" w:rsidTr="000D3BCB">
        <w:tc>
          <w:tcPr>
            <w:tcW w:w="1728" w:type="dxa"/>
          </w:tcPr>
          <w:p w14:paraId="1760B8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749DA8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5F5AD6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3AD24E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311EEF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0AD4BF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EDAFB31" w14:textId="77777777" w:rsidTr="000D3BCB">
        <w:tc>
          <w:tcPr>
            <w:tcW w:w="1728" w:type="dxa"/>
          </w:tcPr>
          <w:p w14:paraId="3F5657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НКБ, 236сс 04/07/41</w:t>
            </w:r>
          </w:p>
        </w:tc>
        <w:tc>
          <w:tcPr>
            <w:tcW w:w="1170" w:type="dxa"/>
          </w:tcPr>
          <w:p w14:paraId="6E56E7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c>
          <w:tcPr>
            <w:tcW w:w="1044" w:type="dxa"/>
          </w:tcPr>
          <w:p w14:paraId="16EF14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Шлиссельбург, Ленинград</w:t>
            </w:r>
          </w:p>
        </w:tc>
        <w:tc>
          <w:tcPr>
            <w:tcW w:w="1044" w:type="dxa"/>
          </w:tcPr>
          <w:p w14:paraId="6CFB98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Молотов</w:t>
            </w:r>
          </w:p>
        </w:tc>
        <w:tc>
          <w:tcPr>
            <w:tcW w:w="2232" w:type="dxa"/>
          </w:tcPr>
          <w:p w14:paraId="0B222A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98</w:t>
            </w:r>
          </w:p>
        </w:tc>
        <w:tc>
          <w:tcPr>
            <w:tcW w:w="2520" w:type="dxa"/>
          </w:tcPr>
          <w:p w14:paraId="38C8EA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дымный порох</w:t>
            </w:r>
          </w:p>
        </w:tc>
      </w:tr>
      <w:tr w:rsidR="00643896" w:rsidRPr="00640820" w14:paraId="6437393B" w14:textId="77777777" w:rsidTr="000D3BCB">
        <w:tc>
          <w:tcPr>
            <w:tcW w:w="1728" w:type="dxa"/>
          </w:tcPr>
          <w:p w14:paraId="01E343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06A9B7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37E4D7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613967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Куйбышев</w:t>
            </w:r>
          </w:p>
        </w:tc>
        <w:tc>
          <w:tcPr>
            <w:tcW w:w="2232" w:type="dxa"/>
          </w:tcPr>
          <w:p w14:paraId="724590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647</w:t>
            </w:r>
          </w:p>
        </w:tc>
        <w:tc>
          <w:tcPr>
            <w:tcW w:w="2520" w:type="dxa"/>
          </w:tcPr>
          <w:p w14:paraId="71C316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315E82C" w14:textId="77777777" w:rsidTr="000D3BCB">
        <w:tc>
          <w:tcPr>
            <w:tcW w:w="1728" w:type="dxa"/>
          </w:tcPr>
          <w:p w14:paraId="359B67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25E8DA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7113CD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1FC52F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6AA9CB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0EE645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90144AC" w14:textId="77777777" w:rsidTr="000D3BCB">
        <w:tc>
          <w:tcPr>
            <w:tcW w:w="1728" w:type="dxa"/>
          </w:tcPr>
          <w:p w14:paraId="6A78AD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НКБ, 440сс, 22/08/41</w:t>
            </w:r>
          </w:p>
        </w:tc>
        <w:tc>
          <w:tcPr>
            <w:tcW w:w="1170" w:type="dxa"/>
          </w:tcPr>
          <w:p w14:paraId="32A91A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tc>
        <w:tc>
          <w:tcPr>
            <w:tcW w:w="1044" w:type="dxa"/>
          </w:tcPr>
          <w:p w14:paraId="1C66CE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Шостка</w:t>
            </w:r>
          </w:p>
        </w:tc>
        <w:tc>
          <w:tcPr>
            <w:tcW w:w="1044" w:type="dxa"/>
          </w:tcPr>
          <w:p w14:paraId="2F07A3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Казань</w:t>
            </w:r>
          </w:p>
        </w:tc>
        <w:tc>
          <w:tcPr>
            <w:tcW w:w="2232" w:type="dxa"/>
          </w:tcPr>
          <w:p w14:paraId="531EC7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w:t>
            </w:r>
          </w:p>
        </w:tc>
        <w:tc>
          <w:tcPr>
            <w:tcW w:w="2520" w:type="dxa"/>
          </w:tcPr>
          <w:p w14:paraId="5EE457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Прессовка порохов</w:t>
            </w:r>
          </w:p>
        </w:tc>
      </w:tr>
      <w:tr w:rsidR="00643896" w:rsidRPr="00640820" w14:paraId="1783ACC7" w14:textId="77777777" w:rsidTr="000D3BCB">
        <w:tc>
          <w:tcPr>
            <w:tcW w:w="1728" w:type="dxa"/>
          </w:tcPr>
          <w:p w14:paraId="40B46E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64F659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59C707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436789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Котовск</w:t>
            </w:r>
          </w:p>
        </w:tc>
        <w:tc>
          <w:tcPr>
            <w:tcW w:w="2232" w:type="dxa"/>
          </w:tcPr>
          <w:p w14:paraId="7609F1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204</w:t>
            </w:r>
          </w:p>
        </w:tc>
        <w:tc>
          <w:tcPr>
            <w:tcW w:w="2520" w:type="dxa"/>
          </w:tcPr>
          <w:p w14:paraId="767C3E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CB9DB09" w14:textId="77777777" w:rsidTr="000D3BCB">
        <w:tc>
          <w:tcPr>
            <w:tcW w:w="1728" w:type="dxa"/>
          </w:tcPr>
          <w:p w14:paraId="31880C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4B5C61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320FC5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221BEA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Куйбышев</w:t>
            </w:r>
          </w:p>
        </w:tc>
        <w:tc>
          <w:tcPr>
            <w:tcW w:w="2232" w:type="dxa"/>
          </w:tcPr>
          <w:p w14:paraId="23EED7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676</w:t>
            </w:r>
          </w:p>
        </w:tc>
        <w:tc>
          <w:tcPr>
            <w:tcW w:w="2520" w:type="dxa"/>
          </w:tcPr>
          <w:p w14:paraId="1CCA6C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Дымный порх, динафталиты</w:t>
            </w:r>
          </w:p>
        </w:tc>
      </w:tr>
      <w:tr w:rsidR="00643896" w:rsidRPr="00640820" w14:paraId="67DF0816" w14:textId="77777777" w:rsidTr="000D3BCB">
        <w:tc>
          <w:tcPr>
            <w:tcW w:w="1728" w:type="dxa"/>
          </w:tcPr>
          <w:p w14:paraId="2114BC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338A27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5625C7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025AC6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Кемерово</w:t>
            </w:r>
          </w:p>
        </w:tc>
        <w:tc>
          <w:tcPr>
            <w:tcW w:w="2232" w:type="dxa"/>
          </w:tcPr>
          <w:p w14:paraId="6F7F44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392</w:t>
            </w:r>
          </w:p>
        </w:tc>
        <w:tc>
          <w:tcPr>
            <w:tcW w:w="2520" w:type="dxa"/>
          </w:tcPr>
          <w:p w14:paraId="006619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Пироксилиновый порох</w:t>
            </w:r>
          </w:p>
        </w:tc>
      </w:tr>
      <w:tr w:rsidR="00643896" w:rsidRPr="00640820" w14:paraId="7C03040E" w14:textId="77777777" w:rsidTr="000D3BCB">
        <w:tc>
          <w:tcPr>
            <w:tcW w:w="1728" w:type="dxa"/>
          </w:tcPr>
          <w:p w14:paraId="724632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0A1C64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7E4551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444A48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Кемерово</w:t>
            </w:r>
          </w:p>
        </w:tc>
        <w:tc>
          <w:tcPr>
            <w:tcW w:w="2232" w:type="dxa"/>
          </w:tcPr>
          <w:p w14:paraId="70B94D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РММ</w:t>
            </w:r>
          </w:p>
        </w:tc>
        <w:tc>
          <w:tcPr>
            <w:tcW w:w="2520" w:type="dxa"/>
          </w:tcPr>
          <w:p w14:paraId="0FCE64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Ремонт</w:t>
            </w:r>
          </w:p>
        </w:tc>
      </w:tr>
      <w:tr w:rsidR="00643896" w:rsidRPr="00640820" w14:paraId="2EFAAFA1" w14:textId="77777777" w:rsidTr="000D3BCB">
        <w:tc>
          <w:tcPr>
            <w:tcW w:w="1728" w:type="dxa"/>
          </w:tcPr>
          <w:p w14:paraId="1ABF88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40D5CA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64CB53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674603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Красноярск</w:t>
            </w:r>
          </w:p>
        </w:tc>
        <w:tc>
          <w:tcPr>
            <w:tcW w:w="2232" w:type="dxa"/>
          </w:tcPr>
          <w:p w14:paraId="040E02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589 или 580</w:t>
            </w:r>
          </w:p>
        </w:tc>
        <w:tc>
          <w:tcPr>
            <w:tcW w:w="2520" w:type="dxa"/>
          </w:tcPr>
          <w:p w14:paraId="2871C0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Пироксилиновый порох</w:t>
            </w:r>
          </w:p>
        </w:tc>
      </w:tr>
      <w:tr w:rsidR="00643896" w:rsidRPr="00640820" w14:paraId="3BEEC84E" w14:textId="77777777" w:rsidTr="000D3BCB">
        <w:tc>
          <w:tcPr>
            <w:tcW w:w="1728" w:type="dxa"/>
          </w:tcPr>
          <w:p w14:paraId="62307F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798879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03B3F0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292217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Молотов</w:t>
            </w:r>
          </w:p>
        </w:tc>
        <w:tc>
          <w:tcPr>
            <w:tcW w:w="2232" w:type="dxa"/>
          </w:tcPr>
          <w:p w14:paraId="1BF784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98</w:t>
            </w:r>
          </w:p>
        </w:tc>
        <w:tc>
          <w:tcPr>
            <w:tcW w:w="2520" w:type="dxa"/>
          </w:tcPr>
          <w:p w14:paraId="01913D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Серная кислота</w:t>
            </w:r>
          </w:p>
        </w:tc>
      </w:tr>
      <w:tr w:rsidR="00643896" w:rsidRPr="00640820" w14:paraId="0151797A" w14:textId="77777777" w:rsidTr="000D3BCB">
        <w:tc>
          <w:tcPr>
            <w:tcW w:w="1728" w:type="dxa"/>
          </w:tcPr>
          <w:p w14:paraId="528731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277A47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190400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499CE5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Шадринск</w:t>
            </w:r>
          </w:p>
        </w:tc>
        <w:tc>
          <w:tcPr>
            <w:tcW w:w="2232" w:type="dxa"/>
          </w:tcPr>
          <w:p w14:paraId="231637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593</w:t>
            </w:r>
          </w:p>
        </w:tc>
        <w:tc>
          <w:tcPr>
            <w:tcW w:w="2520" w:type="dxa"/>
          </w:tcPr>
          <w:p w14:paraId="264A09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ТЭЦ</w:t>
            </w:r>
          </w:p>
        </w:tc>
      </w:tr>
      <w:tr w:rsidR="00643896" w:rsidRPr="00640820" w14:paraId="63601796" w14:textId="77777777" w:rsidTr="000D3BCB">
        <w:tc>
          <w:tcPr>
            <w:tcW w:w="1728" w:type="dxa"/>
          </w:tcPr>
          <w:p w14:paraId="2DADEA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040FDE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6FD359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1A1DDB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Таватуй</w:t>
            </w:r>
          </w:p>
        </w:tc>
        <w:tc>
          <w:tcPr>
            <w:tcW w:w="2232" w:type="dxa"/>
          </w:tcPr>
          <w:p w14:paraId="066B7B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594</w:t>
            </w:r>
          </w:p>
        </w:tc>
        <w:tc>
          <w:tcPr>
            <w:tcW w:w="2520" w:type="dxa"/>
          </w:tcPr>
          <w:p w14:paraId="6463CA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ЦЭС</w:t>
            </w:r>
          </w:p>
        </w:tc>
      </w:tr>
      <w:tr w:rsidR="00643896" w:rsidRPr="00640820" w14:paraId="6DA9FAEF" w14:textId="77777777" w:rsidTr="000D3BCB">
        <w:tc>
          <w:tcPr>
            <w:tcW w:w="1728" w:type="dxa"/>
          </w:tcPr>
          <w:p w14:paraId="7875C4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59075C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0A7BDA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4C7B39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Алексин</w:t>
            </w:r>
          </w:p>
        </w:tc>
        <w:tc>
          <w:tcPr>
            <w:tcW w:w="2232" w:type="dxa"/>
          </w:tcPr>
          <w:p w14:paraId="2E69D4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w:t>
            </w:r>
          </w:p>
        </w:tc>
        <w:tc>
          <w:tcPr>
            <w:tcW w:w="2520" w:type="dxa"/>
          </w:tcPr>
          <w:p w14:paraId="2CFC7F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6C54347" w14:textId="77777777" w:rsidTr="000D3BCB">
        <w:tc>
          <w:tcPr>
            <w:tcW w:w="1728" w:type="dxa"/>
          </w:tcPr>
          <w:p w14:paraId="2D0C90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560B55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0BDE79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70E1B4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1DC45D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1154A1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8549184" w14:textId="77777777" w:rsidTr="000D3BCB">
        <w:tc>
          <w:tcPr>
            <w:tcW w:w="1728" w:type="dxa"/>
          </w:tcPr>
          <w:p w14:paraId="08B304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56BE0A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w:t>
            </w:r>
          </w:p>
        </w:tc>
        <w:tc>
          <w:tcPr>
            <w:tcW w:w="1044" w:type="dxa"/>
          </w:tcPr>
          <w:p w14:paraId="5395E0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Краснозаводск</w:t>
            </w:r>
          </w:p>
        </w:tc>
        <w:tc>
          <w:tcPr>
            <w:tcW w:w="1044" w:type="dxa"/>
          </w:tcPr>
          <w:p w14:paraId="37C63E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Челябинск</w:t>
            </w:r>
          </w:p>
        </w:tc>
        <w:tc>
          <w:tcPr>
            <w:tcW w:w="2232" w:type="dxa"/>
          </w:tcPr>
          <w:p w14:paraId="4B4622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254</w:t>
            </w:r>
          </w:p>
        </w:tc>
        <w:tc>
          <w:tcPr>
            <w:tcW w:w="2520" w:type="dxa"/>
          </w:tcPr>
          <w:p w14:paraId="5CA95C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капсюли, дымы, шашки</w:t>
            </w:r>
          </w:p>
        </w:tc>
      </w:tr>
      <w:tr w:rsidR="00643896" w:rsidRPr="00640820" w14:paraId="0ADBB040" w14:textId="77777777" w:rsidTr="000D3BCB">
        <w:tc>
          <w:tcPr>
            <w:tcW w:w="1728" w:type="dxa"/>
          </w:tcPr>
          <w:p w14:paraId="0F5F51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56D18E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404AD4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11D5E5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Чебоксары</w:t>
            </w:r>
          </w:p>
        </w:tc>
        <w:tc>
          <w:tcPr>
            <w:tcW w:w="2232" w:type="dxa"/>
          </w:tcPr>
          <w:p w14:paraId="55D8F6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320</w:t>
            </w:r>
          </w:p>
        </w:tc>
        <w:tc>
          <w:tcPr>
            <w:tcW w:w="2520" w:type="dxa"/>
          </w:tcPr>
          <w:p w14:paraId="7F696F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26мм патроны, ЗАБ-100-65ТШ, 500-300ТШ, ФОТАБ</w:t>
            </w:r>
          </w:p>
        </w:tc>
      </w:tr>
      <w:tr w:rsidR="00643896" w:rsidRPr="00640820" w14:paraId="0F25600B" w14:textId="77777777" w:rsidTr="000D3BCB">
        <w:tc>
          <w:tcPr>
            <w:tcW w:w="1728" w:type="dxa"/>
          </w:tcPr>
          <w:p w14:paraId="29054E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4B9061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7D07B2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2B5F85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Новая Ляля</w:t>
            </w:r>
          </w:p>
        </w:tc>
        <w:tc>
          <w:tcPr>
            <w:tcW w:w="2232" w:type="dxa"/>
          </w:tcPr>
          <w:p w14:paraId="0A9323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Бумкомбинат</w:t>
            </w:r>
          </w:p>
        </w:tc>
        <w:tc>
          <w:tcPr>
            <w:tcW w:w="2520" w:type="dxa"/>
          </w:tcPr>
          <w:p w14:paraId="49D518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обтюраторы</w:t>
            </w:r>
          </w:p>
        </w:tc>
      </w:tr>
      <w:tr w:rsidR="00643896" w:rsidRPr="00640820" w14:paraId="1BD7C0D7" w14:textId="77777777" w:rsidTr="000D3BCB">
        <w:tc>
          <w:tcPr>
            <w:tcW w:w="1728" w:type="dxa"/>
          </w:tcPr>
          <w:p w14:paraId="27E24B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2F6CE9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005909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72E023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1BAC4B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3BEA05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0F27DF0" w14:textId="77777777" w:rsidTr="000D3BCB">
        <w:tc>
          <w:tcPr>
            <w:tcW w:w="1728" w:type="dxa"/>
          </w:tcPr>
          <w:p w14:paraId="3F0DBD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0D1CE6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w:t>
            </w:r>
          </w:p>
        </w:tc>
        <w:tc>
          <w:tcPr>
            <w:tcW w:w="1044" w:type="dxa"/>
          </w:tcPr>
          <w:p w14:paraId="28C510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Электросталь</w:t>
            </w:r>
          </w:p>
        </w:tc>
        <w:tc>
          <w:tcPr>
            <w:tcW w:w="1044" w:type="dxa"/>
          </w:tcPr>
          <w:p w14:paraId="2B0E4C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Новосибирск</w:t>
            </w:r>
          </w:p>
        </w:tc>
        <w:tc>
          <w:tcPr>
            <w:tcW w:w="2232" w:type="dxa"/>
          </w:tcPr>
          <w:p w14:paraId="5EAB32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635</w:t>
            </w:r>
          </w:p>
        </w:tc>
        <w:tc>
          <w:tcPr>
            <w:tcW w:w="2520" w:type="dxa"/>
          </w:tcPr>
          <w:p w14:paraId="68C462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Снаряжение ФАБ, третье производство</w:t>
            </w:r>
          </w:p>
        </w:tc>
      </w:tr>
      <w:tr w:rsidR="00643896" w:rsidRPr="00640820" w14:paraId="131AD559" w14:textId="77777777" w:rsidTr="000D3BCB">
        <w:tc>
          <w:tcPr>
            <w:tcW w:w="1728" w:type="dxa"/>
          </w:tcPr>
          <w:p w14:paraId="01D64B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152071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18BB7B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6B848C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570AAB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4F5F39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050DEAE" w14:textId="77777777" w:rsidTr="000D3BCB">
        <w:tc>
          <w:tcPr>
            <w:tcW w:w="1728" w:type="dxa"/>
          </w:tcPr>
          <w:p w14:paraId="077786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0F5FA9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w:t>
            </w:r>
          </w:p>
        </w:tc>
        <w:tc>
          <w:tcPr>
            <w:tcW w:w="1044" w:type="dxa"/>
          </w:tcPr>
          <w:p w14:paraId="6401CC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Рошаль</w:t>
            </w:r>
          </w:p>
        </w:tc>
        <w:tc>
          <w:tcPr>
            <w:tcW w:w="1044" w:type="dxa"/>
          </w:tcPr>
          <w:p w14:paraId="341313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Реж</w:t>
            </w:r>
          </w:p>
        </w:tc>
        <w:tc>
          <w:tcPr>
            <w:tcW w:w="2232" w:type="dxa"/>
          </w:tcPr>
          <w:p w14:paraId="5ADE05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576</w:t>
            </w:r>
          </w:p>
        </w:tc>
        <w:tc>
          <w:tcPr>
            <w:tcW w:w="2520" w:type="dxa"/>
          </w:tcPr>
          <w:p w14:paraId="1272FC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Пироксилиновый порох, азотная кислота</w:t>
            </w:r>
          </w:p>
        </w:tc>
      </w:tr>
      <w:tr w:rsidR="00643896" w:rsidRPr="00640820" w14:paraId="0BABBF49" w14:textId="77777777" w:rsidTr="000D3BCB">
        <w:tc>
          <w:tcPr>
            <w:tcW w:w="1728" w:type="dxa"/>
          </w:tcPr>
          <w:p w14:paraId="197BB1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395157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008420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67EB24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Молотов</w:t>
            </w:r>
          </w:p>
        </w:tc>
        <w:tc>
          <w:tcPr>
            <w:tcW w:w="2232" w:type="dxa"/>
          </w:tcPr>
          <w:p w14:paraId="42F64F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98</w:t>
            </w:r>
          </w:p>
        </w:tc>
        <w:tc>
          <w:tcPr>
            <w:tcW w:w="2520" w:type="dxa"/>
          </w:tcPr>
          <w:p w14:paraId="7E5E88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Олеум, колоксилин</w:t>
            </w:r>
          </w:p>
        </w:tc>
      </w:tr>
      <w:tr w:rsidR="00643896" w:rsidRPr="00640820" w14:paraId="188F61FC" w14:textId="77777777" w:rsidTr="000D3BCB">
        <w:tc>
          <w:tcPr>
            <w:tcW w:w="1728" w:type="dxa"/>
          </w:tcPr>
          <w:p w14:paraId="56D61B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6EF092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1E3577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04460E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Красноярск</w:t>
            </w:r>
          </w:p>
        </w:tc>
        <w:tc>
          <w:tcPr>
            <w:tcW w:w="2232" w:type="dxa"/>
          </w:tcPr>
          <w:p w14:paraId="0EABAF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580</w:t>
            </w:r>
          </w:p>
        </w:tc>
        <w:tc>
          <w:tcPr>
            <w:tcW w:w="2520" w:type="dxa"/>
          </w:tcPr>
          <w:p w14:paraId="6B7C3F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Оборудование</w:t>
            </w:r>
          </w:p>
        </w:tc>
      </w:tr>
      <w:tr w:rsidR="00643896" w:rsidRPr="00640820" w14:paraId="3ABC3E57" w14:textId="77777777" w:rsidTr="000D3BCB">
        <w:tc>
          <w:tcPr>
            <w:tcW w:w="1728" w:type="dxa"/>
          </w:tcPr>
          <w:p w14:paraId="4FAEB7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7CC715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7C962E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287C79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4A4EF3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51D6DB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F7F2087" w14:textId="77777777" w:rsidTr="000D3BCB">
        <w:tc>
          <w:tcPr>
            <w:tcW w:w="1728" w:type="dxa"/>
          </w:tcPr>
          <w:p w14:paraId="62B05F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23573C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1044" w:type="dxa"/>
          </w:tcPr>
          <w:p w14:paraId="64C325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Рубежное</w:t>
            </w:r>
          </w:p>
        </w:tc>
        <w:tc>
          <w:tcPr>
            <w:tcW w:w="1044" w:type="dxa"/>
          </w:tcPr>
          <w:p w14:paraId="2D81F0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Уфа</w:t>
            </w:r>
          </w:p>
        </w:tc>
        <w:tc>
          <w:tcPr>
            <w:tcW w:w="2232" w:type="dxa"/>
          </w:tcPr>
          <w:p w14:paraId="6CFABC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505</w:t>
            </w:r>
          </w:p>
        </w:tc>
        <w:tc>
          <w:tcPr>
            <w:tcW w:w="2520" w:type="dxa"/>
          </w:tcPr>
          <w:p w14:paraId="6A1194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ВВ</w:t>
            </w:r>
          </w:p>
        </w:tc>
      </w:tr>
      <w:tr w:rsidR="00643896" w:rsidRPr="00640820" w14:paraId="20CAC6A6" w14:textId="77777777" w:rsidTr="000D3BCB">
        <w:tc>
          <w:tcPr>
            <w:tcW w:w="1728" w:type="dxa"/>
          </w:tcPr>
          <w:p w14:paraId="0B0FBE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760DE3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0DCDC8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2A86BE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Кемерово</w:t>
            </w:r>
          </w:p>
        </w:tc>
        <w:tc>
          <w:tcPr>
            <w:tcW w:w="2232" w:type="dxa"/>
          </w:tcPr>
          <w:p w14:paraId="0E402F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319</w:t>
            </w:r>
          </w:p>
        </w:tc>
        <w:tc>
          <w:tcPr>
            <w:tcW w:w="2520" w:type="dxa"/>
          </w:tcPr>
          <w:p w14:paraId="4F6CEC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Олеум</w:t>
            </w:r>
          </w:p>
        </w:tc>
      </w:tr>
      <w:tr w:rsidR="00643896" w:rsidRPr="00640820" w14:paraId="28A959D9" w14:textId="77777777" w:rsidTr="000D3BCB">
        <w:tc>
          <w:tcPr>
            <w:tcW w:w="1728" w:type="dxa"/>
          </w:tcPr>
          <w:p w14:paraId="1E3393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3BB888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315160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19F635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1562A3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0428B4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EA6FCCB" w14:textId="77777777" w:rsidTr="000D3BCB">
        <w:tc>
          <w:tcPr>
            <w:tcW w:w="1728" w:type="dxa"/>
          </w:tcPr>
          <w:p w14:paraId="03E8A8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НКБ, 236сс 04/07/41</w:t>
            </w:r>
          </w:p>
        </w:tc>
        <w:tc>
          <w:tcPr>
            <w:tcW w:w="1170" w:type="dxa"/>
          </w:tcPr>
          <w:p w14:paraId="0F8F92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ЦКБ-22</w:t>
            </w:r>
          </w:p>
        </w:tc>
        <w:tc>
          <w:tcPr>
            <w:tcW w:w="1044" w:type="dxa"/>
          </w:tcPr>
          <w:p w14:paraId="11FB25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Ленинград</w:t>
            </w:r>
          </w:p>
        </w:tc>
        <w:tc>
          <w:tcPr>
            <w:tcW w:w="1044" w:type="dxa"/>
          </w:tcPr>
          <w:p w14:paraId="6AD7CF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Пенза</w:t>
            </w:r>
          </w:p>
        </w:tc>
        <w:tc>
          <w:tcPr>
            <w:tcW w:w="2232" w:type="dxa"/>
          </w:tcPr>
          <w:p w14:paraId="743A29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w:t>
            </w:r>
          </w:p>
        </w:tc>
        <w:tc>
          <w:tcPr>
            <w:tcW w:w="2520" w:type="dxa"/>
          </w:tcPr>
          <w:p w14:paraId="765324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8F8BE9B" w14:textId="77777777" w:rsidTr="000D3BCB">
        <w:tc>
          <w:tcPr>
            <w:tcW w:w="1728" w:type="dxa"/>
          </w:tcPr>
          <w:p w14:paraId="173CDF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1546A1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51C02D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54AB51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4B7282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031007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8C9FA64" w14:textId="77777777" w:rsidTr="000D3BCB">
        <w:tc>
          <w:tcPr>
            <w:tcW w:w="1728" w:type="dxa"/>
          </w:tcPr>
          <w:p w14:paraId="19B4FF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4FA87B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0D8EDE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3CFE01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778794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2754BC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ECD1308" w14:textId="77777777" w:rsidTr="000D3BCB">
        <w:tc>
          <w:tcPr>
            <w:tcW w:w="1728" w:type="dxa"/>
          </w:tcPr>
          <w:p w14:paraId="7797D5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16EC1C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НИИ-24</w:t>
            </w:r>
          </w:p>
        </w:tc>
        <w:tc>
          <w:tcPr>
            <w:tcW w:w="1044" w:type="dxa"/>
          </w:tcPr>
          <w:p w14:paraId="7B1F29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c>
          <w:tcPr>
            <w:tcW w:w="1044" w:type="dxa"/>
          </w:tcPr>
          <w:p w14:paraId="7577FB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Новосибирск</w:t>
            </w:r>
          </w:p>
        </w:tc>
        <w:tc>
          <w:tcPr>
            <w:tcW w:w="2232" w:type="dxa"/>
          </w:tcPr>
          <w:p w14:paraId="16EB9A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Институт геодезии и картографии</w:t>
            </w:r>
          </w:p>
        </w:tc>
        <w:tc>
          <w:tcPr>
            <w:tcW w:w="2520" w:type="dxa"/>
          </w:tcPr>
          <w:p w14:paraId="67889B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634C250" w14:textId="77777777" w:rsidTr="000D3BCB">
        <w:tc>
          <w:tcPr>
            <w:tcW w:w="1728" w:type="dxa"/>
          </w:tcPr>
          <w:p w14:paraId="1C600F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2C49C7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258183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74AACC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57631A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100977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B862196" w14:textId="77777777" w:rsidTr="000D3BCB">
        <w:tc>
          <w:tcPr>
            <w:tcW w:w="1728" w:type="dxa"/>
          </w:tcPr>
          <w:p w14:paraId="410F52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НКБ, 236сс 04/07/41</w:t>
            </w:r>
          </w:p>
        </w:tc>
        <w:tc>
          <w:tcPr>
            <w:tcW w:w="1170" w:type="dxa"/>
          </w:tcPr>
          <w:p w14:paraId="03D33D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НИИ-24 филиал</w:t>
            </w:r>
          </w:p>
        </w:tc>
        <w:tc>
          <w:tcPr>
            <w:tcW w:w="1044" w:type="dxa"/>
          </w:tcPr>
          <w:p w14:paraId="59E20F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Ленинград</w:t>
            </w:r>
          </w:p>
        </w:tc>
        <w:tc>
          <w:tcPr>
            <w:tcW w:w="1044" w:type="dxa"/>
          </w:tcPr>
          <w:p w14:paraId="5070EB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Челябинск</w:t>
            </w:r>
          </w:p>
        </w:tc>
        <w:tc>
          <w:tcPr>
            <w:tcW w:w="2232" w:type="dxa"/>
          </w:tcPr>
          <w:p w14:paraId="171170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78</w:t>
            </w:r>
          </w:p>
        </w:tc>
        <w:tc>
          <w:tcPr>
            <w:tcW w:w="2520" w:type="dxa"/>
          </w:tcPr>
          <w:p w14:paraId="132633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9863559" w14:textId="77777777" w:rsidTr="000D3BCB">
        <w:tc>
          <w:tcPr>
            <w:tcW w:w="1728" w:type="dxa"/>
          </w:tcPr>
          <w:p w14:paraId="23C341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14C6B6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26435E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017B00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66D671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4BCB18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620814F" w14:textId="77777777" w:rsidTr="000D3BCB">
        <w:tc>
          <w:tcPr>
            <w:tcW w:w="1728" w:type="dxa"/>
          </w:tcPr>
          <w:p w14:paraId="3CB967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2FBEE7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КБ-35</w:t>
            </w:r>
          </w:p>
        </w:tc>
        <w:tc>
          <w:tcPr>
            <w:tcW w:w="1044" w:type="dxa"/>
          </w:tcPr>
          <w:p w14:paraId="49C7B4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c>
          <w:tcPr>
            <w:tcW w:w="1044" w:type="dxa"/>
          </w:tcPr>
          <w:p w14:paraId="0D6DC6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Уфа</w:t>
            </w:r>
          </w:p>
        </w:tc>
        <w:tc>
          <w:tcPr>
            <w:tcW w:w="2232" w:type="dxa"/>
          </w:tcPr>
          <w:p w14:paraId="477432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горного оборудования НКЦМ</w:t>
            </w:r>
          </w:p>
        </w:tc>
        <w:tc>
          <w:tcPr>
            <w:tcW w:w="2520" w:type="dxa"/>
          </w:tcPr>
          <w:p w14:paraId="4FB9CD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65B79CB" w14:textId="77777777" w:rsidTr="000D3BCB">
        <w:tc>
          <w:tcPr>
            <w:tcW w:w="1728" w:type="dxa"/>
          </w:tcPr>
          <w:p w14:paraId="480D8D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4AEA79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204714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61F8EE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25D256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113FC4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CE5118C" w14:textId="77777777" w:rsidTr="000D3BCB">
        <w:tc>
          <w:tcPr>
            <w:tcW w:w="1728" w:type="dxa"/>
          </w:tcPr>
          <w:p w14:paraId="0E5C52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06C9D5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ГСКБ-47</w:t>
            </w:r>
          </w:p>
        </w:tc>
        <w:tc>
          <w:tcPr>
            <w:tcW w:w="1044" w:type="dxa"/>
          </w:tcPr>
          <w:p w14:paraId="080D96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c>
          <w:tcPr>
            <w:tcW w:w="1044" w:type="dxa"/>
          </w:tcPr>
          <w:p w14:paraId="0C4840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Миасс</w:t>
            </w:r>
          </w:p>
        </w:tc>
        <w:tc>
          <w:tcPr>
            <w:tcW w:w="2232" w:type="dxa"/>
          </w:tcPr>
          <w:p w14:paraId="4ADB7E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склад напиловочного завода НКОМ Атморской трудколонии и педагогического института</w:t>
            </w:r>
          </w:p>
        </w:tc>
        <w:tc>
          <w:tcPr>
            <w:tcW w:w="2520" w:type="dxa"/>
          </w:tcPr>
          <w:p w14:paraId="618CAD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55645B7" w14:textId="77777777" w:rsidTr="000D3BCB">
        <w:tc>
          <w:tcPr>
            <w:tcW w:w="1728" w:type="dxa"/>
          </w:tcPr>
          <w:p w14:paraId="2ADF0C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49EEEF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6E5979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7998A3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6FB92C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2DE355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D3A984B" w14:textId="77777777" w:rsidTr="000D3BCB">
        <w:tc>
          <w:tcPr>
            <w:tcW w:w="1728" w:type="dxa"/>
          </w:tcPr>
          <w:p w14:paraId="59BD2D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НКБ, 236сс 04/07/41</w:t>
            </w:r>
          </w:p>
        </w:tc>
        <w:tc>
          <w:tcPr>
            <w:tcW w:w="1170" w:type="dxa"/>
          </w:tcPr>
          <w:p w14:paraId="49795F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ГСИ-44</w:t>
            </w:r>
          </w:p>
        </w:tc>
        <w:tc>
          <w:tcPr>
            <w:tcW w:w="1044" w:type="dxa"/>
          </w:tcPr>
          <w:p w14:paraId="5048C5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Ленинград</w:t>
            </w:r>
          </w:p>
        </w:tc>
        <w:tc>
          <w:tcPr>
            <w:tcW w:w="1044" w:type="dxa"/>
          </w:tcPr>
          <w:p w14:paraId="12D99E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Владимир</w:t>
            </w:r>
          </w:p>
        </w:tc>
        <w:tc>
          <w:tcPr>
            <w:tcW w:w="2232" w:type="dxa"/>
          </w:tcPr>
          <w:p w14:paraId="4190F1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260</w:t>
            </w:r>
          </w:p>
        </w:tc>
        <w:tc>
          <w:tcPr>
            <w:tcW w:w="2520" w:type="dxa"/>
          </w:tcPr>
          <w:p w14:paraId="709CDF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46CB705" w14:textId="77777777" w:rsidTr="000D3BCB">
        <w:tc>
          <w:tcPr>
            <w:tcW w:w="1728" w:type="dxa"/>
          </w:tcPr>
          <w:p w14:paraId="5BF159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55063E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6B9ACB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2C8AD3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64DD81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20B6EB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7D804AB" w14:textId="77777777" w:rsidTr="000D3BCB">
        <w:tc>
          <w:tcPr>
            <w:tcW w:w="1728" w:type="dxa"/>
          </w:tcPr>
          <w:p w14:paraId="79B605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НКБ, 236сс 04/07/41, 471б 30/08/41</w:t>
            </w:r>
          </w:p>
        </w:tc>
        <w:tc>
          <w:tcPr>
            <w:tcW w:w="1170" w:type="dxa"/>
          </w:tcPr>
          <w:p w14:paraId="56FBBC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52</w:t>
            </w:r>
          </w:p>
        </w:tc>
        <w:tc>
          <w:tcPr>
            <w:tcW w:w="1044" w:type="dxa"/>
          </w:tcPr>
          <w:p w14:paraId="128CD5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Поповка, Ленинград</w:t>
            </w:r>
          </w:p>
        </w:tc>
        <w:tc>
          <w:tcPr>
            <w:tcW w:w="1044" w:type="dxa"/>
          </w:tcPr>
          <w:p w14:paraId="3FD629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Молотов</w:t>
            </w:r>
          </w:p>
        </w:tc>
        <w:tc>
          <w:tcPr>
            <w:tcW w:w="2232" w:type="dxa"/>
          </w:tcPr>
          <w:p w14:paraId="160665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98</w:t>
            </w:r>
          </w:p>
        </w:tc>
        <w:tc>
          <w:tcPr>
            <w:tcW w:w="2520" w:type="dxa"/>
          </w:tcPr>
          <w:p w14:paraId="0E7DB6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состав МК, динамиты и аммониты</w:t>
            </w:r>
          </w:p>
        </w:tc>
      </w:tr>
      <w:tr w:rsidR="00643896" w:rsidRPr="00640820" w14:paraId="389FFD51" w14:textId="77777777" w:rsidTr="000D3BCB">
        <w:tc>
          <w:tcPr>
            <w:tcW w:w="1728" w:type="dxa"/>
          </w:tcPr>
          <w:p w14:paraId="0537DA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4ACE09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5D46B3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7C528D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Куйбышев</w:t>
            </w:r>
          </w:p>
        </w:tc>
        <w:tc>
          <w:tcPr>
            <w:tcW w:w="2232" w:type="dxa"/>
          </w:tcPr>
          <w:p w14:paraId="060358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647</w:t>
            </w:r>
          </w:p>
        </w:tc>
        <w:tc>
          <w:tcPr>
            <w:tcW w:w="2520" w:type="dxa"/>
          </w:tcPr>
          <w:p w14:paraId="496EBE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Дымный порох, бикфордов шнур</w:t>
            </w:r>
          </w:p>
        </w:tc>
      </w:tr>
      <w:tr w:rsidR="00643896" w:rsidRPr="00640820" w14:paraId="3AC7BFA7" w14:textId="77777777" w:rsidTr="000D3BCB">
        <w:tc>
          <w:tcPr>
            <w:tcW w:w="1728" w:type="dxa"/>
          </w:tcPr>
          <w:p w14:paraId="6CC5D7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7CDAEA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7562FE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71C492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1D2397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797C90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9830FC0" w14:textId="77777777" w:rsidTr="000D3BCB">
        <w:tc>
          <w:tcPr>
            <w:tcW w:w="1728" w:type="dxa"/>
          </w:tcPr>
          <w:p w14:paraId="1C102C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НКБ, 440сс, 22/08/41</w:t>
            </w:r>
          </w:p>
        </w:tc>
        <w:tc>
          <w:tcPr>
            <w:tcW w:w="1170" w:type="dxa"/>
          </w:tcPr>
          <w:p w14:paraId="3379CC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53</w:t>
            </w:r>
          </w:p>
        </w:tc>
        <w:tc>
          <w:tcPr>
            <w:tcW w:w="1044" w:type="dxa"/>
          </w:tcPr>
          <w:p w14:paraId="629D7A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Шостка</w:t>
            </w:r>
          </w:p>
        </w:tc>
        <w:tc>
          <w:tcPr>
            <w:tcW w:w="1044" w:type="dxa"/>
          </w:tcPr>
          <w:p w14:paraId="4E605D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Н.Ломов</w:t>
            </w:r>
          </w:p>
        </w:tc>
        <w:tc>
          <w:tcPr>
            <w:tcW w:w="2232" w:type="dxa"/>
          </w:tcPr>
          <w:p w14:paraId="61FE3E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255</w:t>
            </w:r>
          </w:p>
        </w:tc>
        <w:tc>
          <w:tcPr>
            <w:tcW w:w="2520" w:type="dxa"/>
          </w:tcPr>
          <w:p w14:paraId="71B861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АГМ, М-8</w:t>
            </w:r>
          </w:p>
        </w:tc>
      </w:tr>
      <w:tr w:rsidR="00643896" w:rsidRPr="00640820" w14:paraId="34240E3F" w14:textId="77777777" w:rsidTr="000D3BCB">
        <w:tc>
          <w:tcPr>
            <w:tcW w:w="1728" w:type="dxa"/>
          </w:tcPr>
          <w:p w14:paraId="440015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5237B8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3E9FB0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0F4B37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Чапаевск</w:t>
            </w:r>
          </w:p>
        </w:tc>
        <w:tc>
          <w:tcPr>
            <w:tcW w:w="2232" w:type="dxa"/>
          </w:tcPr>
          <w:p w14:paraId="539AD7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309</w:t>
            </w:r>
          </w:p>
        </w:tc>
        <w:tc>
          <w:tcPr>
            <w:tcW w:w="2520" w:type="dxa"/>
          </w:tcPr>
          <w:p w14:paraId="764AF1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капсюли, детонаторы</w:t>
            </w:r>
          </w:p>
        </w:tc>
      </w:tr>
      <w:tr w:rsidR="00643896" w:rsidRPr="00640820" w14:paraId="2CD35FB8" w14:textId="77777777" w:rsidTr="000D3BCB">
        <w:tc>
          <w:tcPr>
            <w:tcW w:w="1728" w:type="dxa"/>
          </w:tcPr>
          <w:p w14:paraId="664344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3D9E42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7B65A2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051662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Муром</w:t>
            </w:r>
          </w:p>
        </w:tc>
        <w:tc>
          <w:tcPr>
            <w:tcW w:w="2232" w:type="dxa"/>
          </w:tcPr>
          <w:p w14:paraId="46C16C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253</w:t>
            </w:r>
          </w:p>
        </w:tc>
        <w:tc>
          <w:tcPr>
            <w:tcW w:w="2520" w:type="dxa"/>
          </w:tcPr>
          <w:p w14:paraId="0565C8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2097F34" w14:textId="77777777" w:rsidTr="000D3BCB">
        <w:tc>
          <w:tcPr>
            <w:tcW w:w="1728" w:type="dxa"/>
          </w:tcPr>
          <w:p w14:paraId="440BD3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14CC6E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01AD7A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774E66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15CA47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0C2C7E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F08FF43" w14:textId="77777777" w:rsidTr="000D3BCB">
        <w:tc>
          <w:tcPr>
            <w:tcW w:w="1728" w:type="dxa"/>
          </w:tcPr>
          <w:p w14:paraId="6161A3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НКБ, 444сс 22/08/41</w:t>
            </w:r>
          </w:p>
        </w:tc>
        <w:tc>
          <w:tcPr>
            <w:tcW w:w="1170" w:type="dxa"/>
          </w:tcPr>
          <w:p w14:paraId="79CEA0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55</w:t>
            </w:r>
          </w:p>
        </w:tc>
        <w:tc>
          <w:tcPr>
            <w:tcW w:w="1044" w:type="dxa"/>
          </w:tcPr>
          <w:p w14:paraId="07010E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Павлоград</w:t>
            </w:r>
          </w:p>
        </w:tc>
        <w:tc>
          <w:tcPr>
            <w:tcW w:w="1044" w:type="dxa"/>
          </w:tcPr>
          <w:p w14:paraId="4E9238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Н.Тагил</w:t>
            </w:r>
          </w:p>
        </w:tc>
        <w:tc>
          <w:tcPr>
            <w:tcW w:w="2232" w:type="dxa"/>
          </w:tcPr>
          <w:p w14:paraId="5A91FB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56</w:t>
            </w:r>
          </w:p>
        </w:tc>
        <w:tc>
          <w:tcPr>
            <w:tcW w:w="2520" w:type="dxa"/>
          </w:tcPr>
          <w:p w14:paraId="2D65A2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Мины и авиабомбы</w:t>
            </w:r>
          </w:p>
        </w:tc>
      </w:tr>
      <w:tr w:rsidR="00643896" w:rsidRPr="00640820" w14:paraId="40C89BBD" w14:textId="77777777" w:rsidTr="000D3BCB">
        <w:tc>
          <w:tcPr>
            <w:tcW w:w="1728" w:type="dxa"/>
          </w:tcPr>
          <w:p w14:paraId="073587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2B8FC1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44FAA5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5EBECF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Копейск</w:t>
            </w:r>
          </w:p>
        </w:tc>
        <w:tc>
          <w:tcPr>
            <w:tcW w:w="2232" w:type="dxa"/>
          </w:tcPr>
          <w:p w14:paraId="592B2D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114</w:t>
            </w:r>
          </w:p>
        </w:tc>
        <w:tc>
          <w:tcPr>
            <w:tcW w:w="2520" w:type="dxa"/>
          </w:tcPr>
          <w:p w14:paraId="6873E2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E367814" w14:textId="77777777" w:rsidTr="000D3BCB">
        <w:tc>
          <w:tcPr>
            <w:tcW w:w="1728" w:type="dxa"/>
          </w:tcPr>
          <w:p w14:paraId="6B0B76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31C198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6AFEA6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463B46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Новосибирск</w:t>
            </w:r>
          </w:p>
        </w:tc>
        <w:tc>
          <w:tcPr>
            <w:tcW w:w="2232" w:type="dxa"/>
          </w:tcPr>
          <w:p w14:paraId="6B0F51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312</w:t>
            </w:r>
          </w:p>
        </w:tc>
        <w:tc>
          <w:tcPr>
            <w:tcW w:w="2520" w:type="dxa"/>
          </w:tcPr>
          <w:p w14:paraId="45A4CC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0FA57A4" w14:textId="77777777" w:rsidTr="000D3BCB">
        <w:tc>
          <w:tcPr>
            <w:tcW w:w="1728" w:type="dxa"/>
          </w:tcPr>
          <w:p w14:paraId="6AA97C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0316F6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230CBF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3B1DD7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02EAA2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7E676E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DAD56BF" w14:textId="77777777" w:rsidTr="000D3BCB">
        <w:tc>
          <w:tcPr>
            <w:tcW w:w="1728" w:type="dxa"/>
          </w:tcPr>
          <w:p w14:paraId="7F010E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668CF8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49246B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15376D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Н.Тагил</w:t>
            </w:r>
          </w:p>
        </w:tc>
        <w:tc>
          <w:tcPr>
            <w:tcW w:w="2232" w:type="dxa"/>
          </w:tcPr>
          <w:p w14:paraId="0A70D9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56</w:t>
            </w:r>
          </w:p>
        </w:tc>
        <w:tc>
          <w:tcPr>
            <w:tcW w:w="2520" w:type="dxa"/>
          </w:tcPr>
          <w:p w14:paraId="2661B6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Снаряжение ФАБ</w:t>
            </w:r>
          </w:p>
        </w:tc>
      </w:tr>
      <w:tr w:rsidR="00643896" w:rsidRPr="00640820" w14:paraId="1346029E" w14:textId="77777777" w:rsidTr="000D3BCB">
        <w:tc>
          <w:tcPr>
            <w:tcW w:w="1728" w:type="dxa"/>
          </w:tcPr>
          <w:p w14:paraId="4DE593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7B4C5B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3B7046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5D3A6E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Новосибирск</w:t>
            </w:r>
          </w:p>
        </w:tc>
        <w:tc>
          <w:tcPr>
            <w:tcW w:w="2232" w:type="dxa"/>
          </w:tcPr>
          <w:p w14:paraId="25A292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635</w:t>
            </w:r>
          </w:p>
        </w:tc>
        <w:tc>
          <w:tcPr>
            <w:tcW w:w="2520" w:type="dxa"/>
          </w:tcPr>
          <w:p w14:paraId="68DD77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Снаряжение среднекалиберных снарядов</w:t>
            </w:r>
          </w:p>
        </w:tc>
      </w:tr>
      <w:tr w:rsidR="00643896" w:rsidRPr="00640820" w14:paraId="14E73C8F" w14:textId="77777777" w:rsidTr="000D3BCB">
        <w:tc>
          <w:tcPr>
            <w:tcW w:w="1728" w:type="dxa"/>
          </w:tcPr>
          <w:p w14:paraId="7FDF33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30BA2B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71160B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75C303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5566C7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62EF64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A3D972A" w14:textId="77777777" w:rsidTr="000D3BCB">
        <w:tc>
          <w:tcPr>
            <w:tcW w:w="1728" w:type="dxa"/>
          </w:tcPr>
          <w:p w14:paraId="060AEC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6C3201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58</w:t>
            </w:r>
          </w:p>
        </w:tc>
        <w:tc>
          <w:tcPr>
            <w:tcW w:w="1044" w:type="dxa"/>
          </w:tcPr>
          <w:p w14:paraId="555EF5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c>
          <w:tcPr>
            <w:tcW w:w="1044" w:type="dxa"/>
          </w:tcPr>
          <w:p w14:paraId="36EE25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Новая Ляля</w:t>
            </w:r>
          </w:p>
        </w:tc>
        <w:tc>
          <w:tcPr>
            <w:tcW w:w="2232" w:type="dxa"/>
          </w:tcPr>
          <w:p w14:paraId="6924D3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Бумкомбинат</w:t>
            </w:r>
          </w:p>
        </w:tc>
        <w:tc>
          <w:tcPr>
            <w:tcW w:w="2520" w:type="dxa"/>
          </w:tcPr>
          <w:p w14:paraId="44CCA7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минометные гильзы</w:t>
            </w:r>
          </w:p>
        </w:tc>
      </w:tr>
      <w:tr w:rsidR="00643896" w:rsidRPr="00640820" w14:paraId="3B98C710" w14:textId="77777777" w:rsidTr="000D3BCB">
        <w:tc>
          <w:tcPr>
            <w:tcW w:w="1728" w:type="dxa"/>
          </w:tcPr>
          <w:p w14:paraId="27DD14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675BEE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4CCCD0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685724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Киров</w:t>
            </w:r>
          </w:p>
        </w:tc>
        <w:tc>
          <w:tcPr>
            <w:tcW w:w="2232" w:type="dxa"/>
          </w:tcPr>
          <w:p w14:paraId="721939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609</w:t>
            </w:r>
          </w:p>
        </w:tc>
        <w:tc>
          <w:tcPr>
            <w:tcW w:w="2520" w:type="dxa"/>
          </w:tcPr>
          <w:p w14:paraId="4CB44A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ПП-3, МУВ, РПГ-40</w:t>
            </w:r>
          </w:p>
        </w:tc>
      </w:tr>
      <w:tr w:rsidR="00643896" w:rsidRPr="00640820" w14:paraId="15D960B8" w14:textId="77777777" w:rsidTr="000D3BCB">
        <w:tc>
          <w:tcPr>
            <w:tcW w:w="1728" w:type="dxa"/>
          </w:tcPr>
          <w:p w14:paraId="6F198D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426494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27AC7E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1F78C1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76A248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4ACF82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6ECA264" w14:textId="77777777" w:rsidTr="000D3BCB">
        <w:tc>
          <w:tcPr>
            <w:tcW w:w="1728" w:type="dxa"/>
          </w:tcPr>
          <w:p w14:paraId="4F6024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36630C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59</w:t>
            </w:r>
          </w:p>
        </w:tc>
        <w:tc>
          <w:tcPr>
            <w:tcW w:w="1044" w:type="dxa"/>
          </w:tcPr>
          <w:p w14:paraId="10EAD5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Петровеньки</w:t>
            </w:r>
          </w:p>
        </w:tc>
        <w:tc>
          <w:tcPr>
            <w:tcW w:w="1044" w:type="dxa"/>
          </w:tcPr>
          <w:p w14:paraId="1C2036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Соликамск</w:t>
            </w:r>
          </w:p>
        </w:tc>
        <w:tc>
          <w:tcPr>
            <w:tcW w:w="2232" w:type="dxa"/>
          </w:tcPr>
          <w:p w14:paraId="1AC98D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577</w:t>
            </w:r>
          </w:p>
        </w:tc>
        <w:tc>
          <w:tcPr>
            <w:tcW w:w="2520" w:type="dxa"/>
          </w:tcPr>
          <w:p w14:paraId="41431E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Нитроглицериновый порох</w:t>
            </w:r>
          </w:p>
        </w:tc>
      </w:tr>
      <w:tr w:rsidR="00643896" w:rsidRPr="00640820" w14:paraId="0E7EF5C1" w14:textId="77777777" w:rsidTr="000D3BCB">
        <w:tc>
          <w:tcPr>
            <w:tcW w:w="1728" w:type="dxa"/>
          </w:tcPr>
          <w:p w14:paraId="7F1EBD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59479D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2B60C2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3A24E7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Молотов</w:t>
            </w:r>
          </w:p>
        </w:tc>
        <w:tc>
          <w:tcPr>
            <w:tcW w:w="2232" w:type="dxa"/>
          </w:tcPr>
          <w:p w14:paraId="34C0F6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98</w:t>
            </w:r>
          </w:p>
        </w:tc>
        <w:tc>
          <w:tcPr>
            <w:tcW w:w="2520" w:type="dxa"/>
          </w:tcPr>
          <w:p w14:paraId="69AC35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Вальцмашины</w:t>
            </w:r>
          </w:p>
        </w:tc>
      </w:tr>
      <w:tr w:rsidR="00643896" w:rsidRPr="00640820" w14:paraId="3CBEE43E" w14:textId="77777777" w:rsidTr="000D3BCB">
        <w:tc>
          <w:tcPr>
            <w:tcW w:w="1728" w:type="dxa"/>
          </w:tcPr>
          <w:p w14:paraId="37A69A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0D82BD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6B999D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7F33F6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Таватуй</w:t>
            </w:r>
          </w:p>
        </w:tc>
        <w:tc>
          <w:tcPr>
            <w:tcW w:w="2232" w:type="dxa"/>
          </w:tcPr>
          <w:p w14:paraId="077606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594</w:t>
            </w:r>
          </w:p>
        </w:tc>
        <w:tc>
          <w:tcPr>
            <w:tcW w:w="2520" w:type="dxa"/>
          </w:tcPr>
          <w:p w14:paraId="55D739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Динамиты и аммониты</w:t>
            </w:r>
          </w:p>
        </w:tc>
      </w:tr>
      <w:tr w:rsidR="00643896" w:rsidRPr="00640820" w14:paraId="3AF38E68" w14:textId="77777777" w:rsidTr="000D3BCB">
        <w:tc>
          <w:tcPr>
            <w:tcW w:w="1728" w:type="dxa"/>
          </w:tcPr>
          <w:p w14:paraId="0246F6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775C9D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370CCE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014E6E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Куйбышев</w:t>
            </w:r>
          </w:p>
        </w:tc>
        <w:tc>
          <w:tcPr>
            <w:tcW w:w="2232" w:type="dxa"/>
          </w:tcPr>
          <w:p w14:paraId="38EBB8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576 или 676</w:t>
            </w:r>
          </w:p>
        </w:tc>
        <w:tc>
          <w:tcPr>
            <w:tcW w:w="2520" w:type="dxa"/>
          </w:tcPr>
          <w:p w14:paraId="461F54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Бикфордов шнур</w:t>
            </w:r>
          </w:p>
        </w:tc>
      </w:tr>
      <w:tr w:rsidR="00643896" w:rsidRPr="00640820" w14:paraId="2DF46189" w14:textId="77777777" w:rsidTr="000D3BCB">
        <w:tc>
          <w:tcPr>
            <w:tcW w:w="1728" w:type="dxa"/>
          </w:tcPr>
          <w:p w14:paraId="2CAB0E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396506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73B83A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7DA018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Стерлитамак</w:t>
            </w:r>
          </w:p>
        </w:tc>
        <w:tc>
          <w:tcPr>
            <w:tcW w:w="2232" w:type="dxa"/>
          </w:tcPr>
          <w:p w14:paraId="01DE58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850</w:t>
            </w:r>
          </w:p>
        </w:tc>
        <w:tc>
          <w:tcPr>
            <w:tcW w:w="2520" w:type="dxa"/>
          </w:tcPr>
          <w:p w14:paraId="4A07F2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Олеум, азотная кислота, колоксилин</w:t>
            </w:r>
          </w:p>
        </w:tc>
      </w:tr>
      <w:tr w:rsidR="00643896" w:rsidRPr="00640820" w14:paraId="0D9BFE39" w14:textId="77777777" w:rsidTr="000D3BCB">
        <w:tc>
          <w:tcPr>
            <w:tcW w:w="1728" w:type="dxa"/>
          </w:tcPr>
          <w:p w14:paraId="134E9B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49A07E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2D1ED0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12317B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0F4D05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18E112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6501354" w14:textId="77777777" w:rsidTr="000D3BCB">
        <w:tc>
          <w:tcPr>
            <w:tcW w:w="1728" w:type="dxa"/>
          </w:tcPr>
          <w:p w14:paraId="347494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777DF4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61</w:t>
            </w:r>
          </w:p>
        </w:tc>
        <w:tc>
          <w:tcPr>
            <w:tcW w:w="1044" w:type="dxa"/>
          </w:tcPr>
          <w:p w14:paraId="3607DC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Липецк</w:t>
            </w:r>
          </w:p>
        </w:tc>
        <w:tc>
          <w:tcPr>
            <w:tcW w:w="1044" w:type="dxa"/>
          </w:tcPr>
          <w:p w14:paraId="66A315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Касли</w:t>
            </w:r>
          </w:p>
        </w:tc>
        <w:tc>
          <w:tcPr>
            <w:tcW w:w="2232" w:type="dxa"/>
          </w:tcPr>
          <w:p w14:paraId="1980C5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613</w:t>
            </w:r>
          </w:p>
        </w:tc>
        <w:tc>
          <w:tcPr>
            <w:tcW w:w="2520" w:type="dxa"/>
          </w:tcPr>
          <w:p w14:paraId="7C3347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82мм мины, 122мм, 152мм снаряды</w:t>
            </w:r>
          </w:p>
        </w:tc>
      </w:tr>
      <w:tr w:rsidR="00643896" w:rsidRPr="00640820" w14:paraId="651E763F" w14:textId="77777777" w:rsidTr="000D3BCB">
        <w:tc>
          <w:tcPr>
            <w:tcW w:w="1728" w:type="dxa"/>
          </w:tcPr>
          <w:p w14:paraId="590252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492618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5573D9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5864FB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350D65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5DF6EE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711F519" w14:textId="77777777" w:rsidTr="000D3BCB">
        <w:tc>
          <w:tcPr>
            <w:tcW w:w="1728" w:type="dxa"/>
          </w:tcPr>
          <w:p w14:paraId="5CAB31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2EA209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62</w:t>
            </w:r>
          </w:p>
        </w:tc>
        <w:tc>
          <w:tcPr>
            <w:tcW w:w="1044" w:type="dxa"/>
          </w:tcPr>
          <w:p w14:paraId="1956E5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Ярославль</w:t>
            </w:r>
          </w:p>
        </w:tc>
        <w:tc>
          <w:tcPr>
            <w:tcW w:w="1044" w:type="dxa"/>
          </w:tcPr>
          <w:p w14:paraId="35B63F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Челябинск</w:t>
            </w:r>
          </w:p>
        </w:tc>
        <w:tc>
          <w:tcPr>
            <w:tcW w:w="2232" w:type="dxa"/>
          </w:tcPr>
          <w:p w14:paraId="2BB930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Склад УГМР, завод 62</w:t>
            </w:r>
          </w:p>
        </w:tc>
        <w:tc>
          <w:tcPr>
            <w:tcW w:w="2520" w:type="dxa"/>
          </w:tcPr>
          <w:p w14:paraId="7A7AE0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20мм, 25мм, 37мм снаряды</w:t>
            </w:r>
          </w:p>
        </w:tc>
      </w:tr>
      <w:tr w:rsidR="00643896" w:rsidRPr="00640820" w14:paraId="43FFEA3E" w14:textId="77777777" w:rsidTr="000D3BCB">
        <w:tc>
          <w:tcPr>
            <w:tcW w:w="1728" w:type="dxa"/>
          </w:tcPr>
          <w:p w14:paraId="66F4A6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52A4AE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12CE20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08CD3F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450142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5C5BAC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CC203B6" w14:textId="77777777" w:rsidTr="000D3BCB">
        <w:tc>
          <w:tcPr>
            <w:tcW w:w="1728" w:type="dxa"/>
          </w:tcPr>
          <w:p w14:paraId="4BCA1C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23C17F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64</w:t>
            </w:r>
          </w:p>
        </w:tc>
        <w:tc>
          <w:tcPr>
            <w:tcW w:w="1044" w:type="dxa"/>
          </w:tcPr>
          <w:p w14:paraId="5153CC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Горловка</w:t>
            </w:r>
          </w:p>
        </w:tc>
        <w:tc>
          <w:tcPr>
            <w:tcW w:w="1044" w:type="dxa"/>
          </w:tcPr>
          <w:p w14:paraId="16E3D9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Кемерово</w:t>
            </w:r>
          </w:p>
        </w:tc>
        <w:tc>
          <w:tcPr>
            <w:tcW w:w="2232" w:type="dxa"/>
          </w:tcPr>
          <w:p w14:paraId="3E2233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319</w:t>
            </w:r>
          </w:p>
        </w:tc>
        <w:tc>
          <w:tcPr>
            <w:tcW w:w="2520" w:type="dxa"/>
          </w:tcPr>
          <w:p w14:paraId="412893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ВВ</w:t>
            </w:r>
          </w:p>
        </w:tc>
      </w:tr>
      <w:tr w:rsidR="00643896" w:rsidRPr="00640820" w14:paraId="6E280237" w14:textId="77777777" w:rsidTr="000D3BCB">
        <w:tc>
          <w:tcPr>
            <w:tcW w:w="1728" w:type="dxa"/>
          </w:tcPr>
          <w:p w14:paraId="4A153C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2BCA5C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0D4ED7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24B626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7AE45E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260A24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1C7EB85" w14:textId="77777777" w:rsidTr="000D3BCB">
        <w:tc>
          <w:tcPr>
            <w:tcW w:w="1728" w:type="dxa"/>
          </w:tcPr>
          <w:p w14:paraId="0FE9FA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1E3C10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65</w:t>
            </w:r>
          </w:p>
        </w:tc>
        <w:tc>
          <w:tcPr>
            <w:tcW w:w="1044" w:type="dxa"/>
          </w:tcPr>
          <w:p w14:paraId="0160AF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Таганрог</w:t>
            </w:r>
          </w:p>
        </w:tc>
        <w:tc>
          <w:tcPr>
            <w:tcW w:w="1044" w:type="dxa"/>
          </w:tcPr>
          <w:p w14:paraId="752B56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Новосибирск</w:t>
            </w:r>
          </w:p>
        </w:tc>
        <w:tc>
          <w:tcPr>
            <w:tcW w:w="2232" w:type="dxa"/>
          </w:tcPr>
          <w:p w14:paraId="1AA58A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179</w:t>
            </w:r>
          </w:p>
        </w:tc>
        <w:tc>
          <w:tcPr>
            <w:tcW w:w="2520" w:type="dxa"/>
          </w:tcPr>
          <w:p w14:paraId="5BCF10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РГМ, 45мм, 57мм, 122мм</w:t>
            </w:r>
          </w:p>
        </w:tc>
      </w:tr>
      <w:tr w:rsidR="00643896" w:rsidRPr="00640820" w14:paraId="40226A21" w14:textId="77777777" w:rsidTr="000D3BCB">
        <w:tc>
          <w:tcPr>
            <w:tcW w:w="1728" w:type="dxa"/>
          </w:tcPr>
          <w:p w14:paraId="5DA32E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5835EE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281688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038A52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Новисибирск</w:t>
            </w:r>
          </w:p>
        </w:tc>
        <w:tc>
          <w:tcPr>
            <w:tcW w:w="2232" w:type="dxa"/>
          </w:tcPr>
          <w:p w14:paraId="6C9921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564</w:t>
            </w:r>
          </w:p>
        </w:tc>
        <w:tc>
          <w:tcPr>
            <w:tcW w:w="2520" w:type="dxa"/>
          </w:tcPr>
          <w:p w14:paraId="49B1AC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РГМ</w:t>
            </w:r>
          </w:p>
        </w:tc>
      </w:tr>
      <w:tr w:rsidR="00643896" w:rsidRPr="00640820" w14:paraId="5C63AD39" w14:textId="77777777" w:rsidTr="000D3BCB">
        <w:tc>
          <w:tcPr>
            <w:tcW w:w="1728" w:type="dxa"/>
          </w:tcPr>
          <w:p w14:paraId="034E54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6EFB24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33C581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3AFC78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02AD50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4DF8C9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557E98B" w14:textId="77777777" w:rsidTr="000D3BCB">
        <w:tc>
          <w:tcPr>
            <w:tcW w:w="1728" w:type="dxa"/>
          </w:tcPr>
          <w:p w14:paraId="76F941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НКБ, 501сс, 08/09/41</w:t>
            </w:r>
          </w:p>
        </w:tc>
        <w:tc>
          <w:tcPr>
            <w:tcW w:w="1170" w:type="dxa"/>
          </w:tcPr>
          <w:p w14:paraId="53420F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65 цех М</w:t>
            </w:r>
          </w:p>
        </w:tc>
        <w:tc>
          <w:tcPr>
            <w:tcW w:w="1044" w:type="dxa"/>
          </w:tcPr>
          <w:p w14:paraId="2857AC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Таганрог</w:t>
            </w:r>
          </w:p>
        </w:tc>
        <w:tc>
          <w:tcPr>
            <w:tcW w:w="1044" w:type="dxa"/>
          </w:tcPr>
          <w:p w14:paraId="468A68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Орск</w:t>
            </w:r>
          </w:p>
        </w:tc>
        <w:tc>
          <w:tcPr>
            <w:tcW w:w="2232" w:type="dxa"/>
          </w:tcPr>
          <w:p w14:paraId="46E0D6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257</w:t>
            </w:r>
          </w:p>
        </w:tc>
        <w:tc>
          <w:tcPr>
            <w:tcW w:w="2520" w:type="dxa"/>
          </w:tcPr>
          <w:p w14:paraId="3A8758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5C3071D" w14:textId="77777777" w:rsidTr="000D3BCB">
        <w:tc>
          <w:tcPr>
            <w:tcW w:w="1728" w:type="dxa"/>
          </w:tcPr>
          <w:p w14:paraId="48A770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5A878A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1CCAB9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2833AA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611AD6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5DB5E2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449C397" w14:textId="77777777" w:rsidTr="000D3BCB">
        <w:tc>
          <w:tcPr>
            <w:tcW w:w="1728" w:type="dxa"/>
          </w:tcPr>
          <w:p w14:paraId="45F49C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543255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67</w:t>
            </w:r>
          </w:p>
        </w:tc>
        <w:tc>
          <w:tcPr>
            <w:tcW w:w="1044" w:type="dxa"/>
          </w:tcPr>
          <w:p w14:paraId="2A0D98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c>
          <w:tcPr>
            <w:tcW w:w="1044" w:type="dxa"/>
          </w:tcPr>
          <w:p w14:paraId="66A7F6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Миасс</w:t>
            </w:r>
          </w:p>
        </w:tc>
        <w:tc>
          <w:tcPr>
            <w:tcW w:w="2232" w:type="dxa"/>
          </w:tcPr>
          <w:p w14:paraId="54A76B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316</w:t>
            </w:r>
          </w:p>
        </w:tc>
        <w:tc>
          <w:tcPr>
            <w:tcW w:w="2520" w:type="dxa"/>
          </w:tcPr>
          <w:p w14:paraId="35E459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ФАБ-50, 100, 250, 2000, ХАБ-100, 200, ПЛАБ-100, МЯДШ</w:t>
            </w:r>
          </w:p>
        </w:tc>
      </w:tr>
      <w:tr w:rsidR="00643896" w:rsidRPr="00640820" w14:paraId="6E554F92" w14:textId="77777777" w:rsidTr="000D3BCB">
        <w:tc>
          <w:tcPr>
            <w:tcW w:w="1728" w:type="dxa"/>
          </w:tcPr>
          <w:p w14:paraId="6CE12D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15A149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678F26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79BD12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657860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5617E9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B040E2C" w14:textId="77777777" w:rsidTr="000D3BCB">
        <w:tc>
          <w:tcPr>
            <w:tcW w:w="1728" w:type="dxa"/>
          </w:tcPr>
          <w:p w14:paraId="59DA93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3164A1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70</w:t>
            </w:r>
          </w:p>
        </w:tc>
        <w:tc>
          <w:tcPr>
            <w:tcW w:w="1044" w:type="dxa"/>
          </w:tcPr>
          <w:p w14:paraId="7C831C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c>
          <w:tcPr>
            <w:tcW w:w="1044" w:type="dxa"/>
          </w:tcPr>
          <w:p w14:paraId="4CD919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Челябинск</w:t>
            </w:r>
          </w:p>
        </w:tc>
        <w:tc>
          <w:tcPr>
            <w:tcW w:w="2232" w:type="dxa"/>
          </w:tcPr>
          <w:p w14:paraId="3FB38B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78</w:t>
            </w:r>
          </w:p>
        </w:tc>
        <w:tc>
          <w:tcPr>
            <w:tcW w:w="2520" w:type="dxa"/>
          </w:tcPr>
          <w:p w14:paraId="65F6E0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М-13, станки</w:t>
            </w:r>
          </w:p>
        </w:tc>
      </w:tr>
      <w:tr w:rsidR="00643896" w:rsidRPr="00640820" w14:paraId="0792396E" w14:textId="77777777" w:rsidTr="000D3BCB">
        <w:tc>
          <w:tcPr>
            <w:tcW w:w="1728" w:type="dxa"/>
          </w:tcPr>
          <w:p w14:paraId="75A07B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28A770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3AA3E4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3C9048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Киселевск</w:t>
            </w:r>
          </w:p>
        </w:tc>
        <w:tc>
          <w:tcPr>
            <w:tcW w:w="2232" w:type="dxa"/>
          </w:tcPr>
          <w:p w14:paraId="064302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605</w:t>
            </w:r>
          </w:p>
        </w:tc>
        <w:tc>
          <w:tcPr>
            <w:tcW w:w="2520" w:type="dxa"/>
          </w:tcPr>
          <w:p w14:paraId="53B952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М-8</w:t>
            </w:r>
          </w:p>
        </w:tc>
      </w:tr>
      <w:tr w:rsidR="00643896" w:rsidRPr="00640820" w14:paraId="6BF554FD" w14:textId="77777777" w:rsidTr="000D3BCB">
        <w:tc>
          <w:tcPr>
            <w:tcW w:w="1728" w:type="dxa"/>
          </w:tcPr>
          <w:p w14:paraId="0FB1E3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367010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042438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7C8E1F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Невьянск</w:t>
            </w:r>
          </w:p>
        </w:tc>
        <w:tc>
          <w:tcPr>
            <w:tcW w:w="2232" w:type="dxa"/>
          </w:tcPr>
          <w:p w14:paraId="734DEE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68</w:t>
            </w:r>
          </w:p>
        </w:tc>
        <w:tc>
          <w:tcPr>
            <w:tcW w:w="2520" w:type="dxa"/>
          </w:tcPr>
          <w:p w14:paraId="0FBD4B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85мм снаряды</w:t>
            </w:r>
          </w:p>
        </w:tc>
      </w:tr>
      <w:tr w:rsidR="00643896" w:rsidRPr="00640820" w14:paraId="146A0EAD" w14:textId="77777777" w:rsidTr="000D3BCB">
        <w:tc>
          <w:tcPr>
            <w:tcW w:w="1728" w:type="dxa"/>
          </w:tcPr>
          <w:p w14:paraId="3DCA66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18C14D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4AD7BB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514EF8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Новосибирск</w:t>
            </w:r>
          </w:p>
        </w:tc>
        <w:tc>
          <w:tcPr>
            <w:tcW w:w="2232" w:type="dxa"/>
          </w:tcPr>
          <w:p w14:paraId="5DA62A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179</w:t>
            </w:r>
          </w:p>
        </w:tc>
        <w:tc>
          <w:tcPr>
            <w:tcW w:w="2520" w:type="dxa"/>
          </w:tcPr>
          <w:p w14:paraId="4AA76F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76мм снаряды</w:t>
            </w:r>
          </w:p>
        </w:tc>
      </w:tr>
      <w:tr w:rsidR="00643896" w:rsidRPr="00640820" w14:paraId="0E9F229B" w14:textId="77777777" w:rsidTr="000D3BCB">
        <w:tc>
          <w:tcPr>
            <w:tcW w:w="1728" w:type="dxa"/>
          </w:tcPr>
          <w:p w14:paraId="43C1BC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7A5C95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4CE93E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2B1013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22BA0C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566F80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6355867" w14:textId="77777777" w:rsidTr="000D3BCB">
        <w:tc>
          <w:tcPr>
            <w:tcW w:w="1728" w:type="dxa"/>
          </w:tcPr>
          <w:p w14:paraId="09FF46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СЭ</w:t>
            </w:r>
          </w:p>
        </w:tc>
        <w:tc>
          <w:tcPr>
            <w:tcW w:w="1170" w:type="dxa"/>
          </w:tcPr>
          <w:p w14:paraId="2143BD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73</w:t>
            </w:r>
          </w:p>
        </w:tc>
        <w:tc>
          <w:tcPr>
            <w:tcW w:w="1044" w:type="dxa"/>
          </w:tcPr>
          <w:p w14:paraId="3ED3B0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Сталино</w:t>
            </w:r>
          </w:p>
        </w:tc>
        <w:tc>
          <w:tcPr>
            <w:tcW w:w="1044" w:type="dxa"/>
          </w:tcPr>
          <w:p w14:paraId="5A24A7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Челябинск</w:t>
            </w:r>
          </w:p>
        </w:tc>
        <w:tc>
          <w:tcPr>
            <w:tcW w:w="2232" w:type="dxa"/>
          </w:tcPr>
          <w:p w14:paraId="4B3252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78</w:t>
            </w:r>
          </w:p>
        </w:tc>
        <w:tc>
          <w:tcPr>
            <w:tcW w:w="2520" w:type="dxa"/>
          </w:tcPr>
          <w:p w14:paraId="64A2D7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76мм снаряды, ФАБ-100</w:t>
            </w:r>
          </w:p>
        </w:tc>
      </w:tr>
      <w:tr w:rsidR="00643896" w:rsidRPr="00640820" w14:paraId="7870D7E8" w14:textId="77777777" w:rsidTr="000D3BCB">
        <w:tc>
          <w:tcPr>
            <w:tcW w:w="1728" w:type="dxa"/>
          </w:tcPr>
          <w:p w14:paraId="578D49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623B25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1209F2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229DF7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В.Тура</w:t>
            </w:r>
          </w:p>
        </w:tc>
        <w:tc>
          <w:tcPr>
            <w:tcW w:w="2232" w:type="dxa"/>
          </w:tcPr>
          <w:p w14:paraId="212079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72</w:t>
            </w:r>
          </w:p>
        </w:tc>
        <w:tc>
          <w:tcPr>
            <w:tcW w:w="2520" w:type="dxa"/>
          </w:tcPr>
          <w:p w14:paraId="75DB48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152мм снаряды</w:t>
            </w:r>
          </w:p>
        </w:tc>
      </w:tr>
      <w:tr w:rsidR="00643896" w:rsidRPr="00640820" w14:paraId="3DF0C450" w14:textId="77777777" w:rsidTr="000D3BCB">
        <w:tc>
          <w:tcPr>
            <w:tcW w:w="1728" w:type="dxa"/>
          </w:tcPr>
          <w:p w14:paraId="1C17D2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59027F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4FE2F3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50A340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Н.Тагил</w:t>
            </w:r>
          </w:p>
        </w:tc>
        <w:tc>
          <w:tcPr>
            <w:tcW w:w="2232" w:type="dxa"/>
          </w:tcPr>
          <w:p w14:paraId="21FBA1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63</w:t>
            </w:r>
          </w:p>
        </w:tc>
        <w:tc>
          <w:tcPr>
            <w:tcW w:w="2520" w:type="dxa"/>
          </w:tcPr>
          <w:p w14:paraId="4D61D9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76мм сняряды, 152 мм снаряды</w:t>
            </w:r>
          </w:p>
        </w:tc>
      </w:tr>
      <w:tr w:rsidR="00643896" w:rsidRPr="00640820" w14:paraId="46771E21" w14:textId="77777777" w:rsidTr="000D3BCB">
        <w:tc>
          <w:tcPr>
            <w:tcW w:w="1728" w:type="dxa"/>
          </w:tcPr>
          <w:p w14:paraId="58A80B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41D3D0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75EACA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4B5A0C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589090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3CF60D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86B7CF6" w14:textId="77777777" w:rsidTr="000D3BCB">
        <w:tc>
          <w:tcPr>
            <w:tcW w:w="1728" w:type="dxa"/>
          </w:tcPr>
          <w:p w14:paraId="62CBBC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НКБ, 236сс 04/07/41</w:t>
            </w:r>
          </w:p>
        </w:tc>
        <w:tc>
          <w:tcPr>
            <w:tcW w:w="1170" w:type="dxa"/>
          </w:tcPr>
          <w:p w14:paraId="3D1E30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77</w:t>
            </w:r>
          </w:p>
        </w:tc>
        <w:tc>
          <w:tcPr>
            <w:tcW w:w="1044" w:type="dxa"/>
          </w:tcPr>
          <w:p w14:paraId="4A3452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Ленинград</w:t>
            </w:r>
          </w:p>
        </w:tc>
        <w:tc>
          <w:tcPr>
            <w:tcW w:w="1044" w:type="dxa"/>
          </w:tcPr>
          <w:p w14:paraId="543C02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Киров</w:t>
            </w:r>
          </w:p>
        </w:tc>
        <w:tc>
          <w:tcPr>
            <w:tcW w:w="2232" w:type="dxa"/>
          </w:tcPr>
          <w:p w14:paraId="1D4A22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Искож</w:t>
            </w:r>
          </w:p>
        </w:tc>
        <w:tc>
          <w:tcPr>
            <w:tcW w:w="2520" w:type="dxa"/>
          </w:tcPr>
          <w:p w14:paraId="402437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551A194" w14:textId="77777777" w:rsidTr="000D3BCB">
        <w:tc>
          <w:tcPr>
            <w:tcW w:w="1728" w:type="dxa"/>
          </w:tcPr>
          <w:p w14:paraId="5EA5D5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1AF63A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73340C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2EBE44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545E97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4BE398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0CEEB2D" w14:textId="77777777" w:rsidTr="000D3BCB">
        <w:tc>
          <w:tcPr>
            <w:tcW w:w="1728" w:type="dxa"/>
          </w:tcPr>
          <w:p w14:paraId="57B0A3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НКБ, 393сс, 12/08/41</w:t>
            </w:r>
          </w:p>
        </w:tc>
        <w:tc>
          <w:tcPr>
            <w:tcW w:w="1170" w:type="dxa"/>
          </w:tcPr>
          <w:p w14:paraId="2E7F2A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79</w:t>
            </w:r>
          </w:p>
        </w:tc>
        <w:tc>
          <w:tcPr>
            <w:tcW w:w="1044" w:type="dxa"/>
          </w:tcPr>
          <w:p w14:paraId="5F90EE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Днепропетровск</w:t>
            </w:r>
          </w:p>
        </w:tc>
        <w:tc>
          <w:tcPr>
            <w:tcW w:w="1044" w:type="dxa"/>
          </w:tcPr>
          <w:p w14:paraId="56174E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Златоуст</w:t>
            </w:r>
          </w:p>
        </w:tc>
        <w:tc>
          <w:tcPr>
            <w:tcW w:w="2232" w:type="dxa"/>
          </w:tcPr>
          <w:p w14:paraId="572661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259</w:t>
            </w:r>
          </w:p>
        </w:tc>
        <w:tc>
          <w:tcPr>
            <w:tcW w:w="2520" w:type="dxa"/>
          </w:tcPr>
          <w:p w14:paraId="767C7C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100мм морские снаряды</w:t>
            </w:r>
          </w:p>
        </w:tc>
      </w:tr>
      <w:tr w:rsidR="00643896" w:rsidRPr="00640820" w14:paraId="6FF6F4F2" w14:textId="77777777" w:rsidTr="000D3BCB">
        <w:tc>
          <w:tcPr>
            <w:tcW w:w="1728" w:type="dxa"/>
          </w:tcPr>
          <w:p w14:paraId="3D20DC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30B86C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2E19D0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2F6007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Орск</w:t>
            </w:r>
          </w:p>
        </w:tc>
        <w:tc>
          <w:tcPr>
            <w:tcW w:w="2232" w:type="dxa"/>
          </w:tcPr>
          <w:p w14:paraId="1206ED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322</w:t>
            </w:r>
          </w:p>
        </w:tc>
        <w:tc>
          <w:tcPr>
            <w:tcW w:w="2520" w:type="dxa"/>
          </w:tcPr>
          <w:p w14:paraId="2ED301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152мм снаряды</w:t>
            </w:r>
          </w:p>
        </w:tc>
      </w:tr>
      <w:tr w:rsidR="00643896" w:rsidRPr="00640820" w14:paraId="369443CA" w14:textId="77777777" w:rsidTr="000D3BCB">
        <w:tc>
          <w:tcPr>
            <w:tcW w:w="1728" w:type="dxa"/>
          </w:tcPr>
          <w:p w14:paraId="701FCB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0ED729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6F632D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4AE657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01AC72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4FACE3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8E58A85" w14:textId="77777777" w:rsidTr="000D3BCB">
        <w:tc>
          <w:tcPr>
            <w:tcW w:w="1728" w:type="dxa"/>
          </w:tcPr>
          <w:p w14:paraId="70F972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2CA3C1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w:t>
            </w:r>
          </w:p>
        </w:tc>
        <w:tc>
          <w:tcPr>
            <w:tcW w:w="1044" w:type="dxa"/>
          </w:tcPr>
          <w:p w14:paraId="2133F2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Алексин</w:t>
            </w:r>
          </w:p>
        </w:tc>
        <w:tc>
          <w:tcPr>
            <w:tcW w:w="1044" w:type="dxa"/>
          </w:tcPr>
          <w:p w14:paraId="60E987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Кемерово</w:t>
            </w:r>
          </w:p>
        </w:tc>
        <w:tc>
          <w:tcPr>
            <w:tcW w:w="2232" w:type="dxa"/>
          </w:tcPr>
          <w:p w14:paraId="7A0FD6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392</w:t>
            </w:r>
          </w:p>
        </w:tc>
        <w:tc>
          <w:tcPr>
            <w:tcW w:w="2520" w:type="dxa"/>
          </w:tcPr>
          <w:p w14:paraId="4CB14D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Пироксилиновый порох</w:t>
            </w:r>
          </w:p>
        </w:tc>
      </w:tr>
      <w:tr w:rsidR="00643896" w:rsidRPr="00640820" w14:paraId="08808AD1" w14:textId="77777777" w:rsidTr="000D3BCB">
        <w:tc>
          <w:tcPr>
            <w:tcW w:w="1728" w:type="dxa"/>
          </w:tcPr>
          <w:p w14:paraId="28FFDC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7ACA09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33CBB7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29509A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Казань</w:t>
            </w:r>
          </w:p>
        </w:tc>
        <w:tc>
          <w:tcPr>
            <w:tcW w:w="2232" w:type="dxa"/>
          </w:tcPr>
          <w:p w14:paraId="1443A9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w:t>
            </w:r>
          </w:p>
        </w:tc>
        <w:tc>
          <w:tcPr>
            <w:tcW w:w="2520" w:type="dxa"/>
          </w:tcPr>
          <w:p w14:paraId="02B8D9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Пироксилиновый порох</w:t>
            </w:r>
          </w:p>
        </w:tc>
      </w:tr>
      <w:tr w:rsidR="00643896" w:rsidRPr="00640820" w14:paraId="4CBE2687" w14:textId="77777777" w:rsidTr="000D3BCB">
        <w:tc>
          <w:tcPr>
            <w:tcW w:w="1728" w:type="dxa"/>
          </w:tcPr>
          <w:p w14:paraId="465A2B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0C3BFC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744D26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4EC4DE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Красноярск</w:t>
            </w:r>
          </w:p>
        </w:tc>
        <w:tc>
          <w:tcPr>
            <w:tcW w:w="2232" w:type="dxa"/>
          </w:tcPr>
          <w:p w14:paraId="7194E6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580</w:t>
            </w:r>
          </w:p>
        </w:tc>
        <w:tc>
          <w:tcPr>
            <w:tcW w:w="2520" w:type="dxa"/>
          </w:tcPr>
          <w:p w14:paraId="785E17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Оборудование</w:t>
            </w:r>
          </w:p>
        </w:tc>
      </w:tr>
      <w:tr w:rsidR="00643896" w:rsidRPr="00640820" w14:paraId="4EDAAAA0" w14:textId="77777777" w:rsidTr="000D3BCB">
        <w:tc>
          <w:tcPr>
            <w:tcW w:w="1728" w:type="dxa"/>
          </w:tcPr>
          <w:p w14:paraId="35D8E0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5C1D4E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6B56A6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7634F2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Молотов</w:t>
            </w:r>
          </w:p>
        </w:tc>
        <w:tc>
          <w:tcPr>
            <w:tcW w:w="2232" w:type="dxa"/>
          </w:tcPr>
          <w:p w14:paraId="68502D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98</w:t>
            </w:r>
          </w:p>
        </w:tc>
        <w:tc>
          <w:tcPr>
            <w:tcW w:w="2520" w:type="dxa"/>
          </w:tcPr>
          <w:p w14:paraId="66FE8F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ТЭЦ</w:t>
            </w:r>
          </w:p>
        </w:tc>
      </w:tr>
      <w:tr w:rsidR="00643896" w:rsidRPr="00640820" w14:paraId="466CC715" w14:textId="77777777" w:rsidTr="000D3BCB">
        <w:tc>
          <w:tcPr>
            <w:tcW w:w="1728" w:type="dxa"/>
          </w:tcPr>
          <w:p w14:paraId="35D0A0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1FAE24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76A963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5B529E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0B8C94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2B390B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86476A4" w14:textId="77777777" w:rsidTr="000D3BCB">
        <w:tc>
          <w:tcPr>
            <w:tcW w:w="1728" w:type="dxa"/>
          </w:tcPr>
          <w:p w14:paraId="561E3F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6169A2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101</w:t>
            </w:r>
          </w:p>
        </w:tc>
        <w:tc>
          <w:tcPr>
            <w:tcW w:w="1044" w:type="dxa"/>
          </w:tcPr>
          <w:p w14:paraId="2C9727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Каменск-Шахтинский</w:t>
            </w:r>
          </w:p>
        </w:tc>
        <w:tc>
          <w:tcPr>
            <w:tcW w:w="1044" w:type="dxa"/>
          </w:tcPr>
          <w:p w14:paraId="3DD721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Кемерово</w:t>
            </w:r>
          </w:p>
        </w:tc>
        <w:tc>
          <w:tcPr>
            <w:tcW w:w="2232" w:type="dxa"/>
          </w:tcPr>
          <w:p w14:paraId="012659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392</w:t>
            </w:r>
          </w:p>
        </w:tc>
        <w:tc>
          <w:tcPr>
            <w:tcW w:w="2520" w:type="dxa"/>
          </w:tcPr>
          <w:p w14:paraId="37558F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Пироксилиновый порох</w:t>
            </w:r>
          </w:p>
        </w:tc>
      </w:tr>
      <w:tr w:rsidR="00643896" w:rsidRPr="00640820" w14:paraId="57A091FB" w14:textId="77777777" w:rsidTr="000D3BCB">
        <w:tc>
          <w:tcPr>
            <w:tcW w:w="1728" w:type="dxa"/>
          </w:tcPr>
          <w:p w14:paraId="71285D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34911A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3DB79E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48550D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Молотов</w:t>
            </w:r>
          </w:p>
        </w:tc>
        <w:tc>
          <w:tcPr>
            <w:tcW w:w="2232" w:type="dxa"/>
          </w:tcPr>
          <w:p w14:paraId="01E169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98</w:t>
            </w:r>
          </w:p>
        </w:tc>
        <w:tc>
          <w:tcPr>
            <w:tcW w:w="2520" w:type="dxa"/>
          </w:tcPr>
          <w:p w14:paraId="3F8B21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Пироксилин</w:t>
            </w:r>
          </w:p>
        </w:tc>
      </w:tr>
      <w:tr w:rsidR="00643896" w:rsidRPr="00640820" w14:paraId="2B29D955" w14:textId="77777777" w:rsidTr="000D3BCB">
        <w:tc>
          <w:tcPr>
            <w:tcW w:w="1728" w:type="dxa"/>
          </w:tcPr>
          <w:p w14:paraId="460D2C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02793C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00203E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7019F7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Молотов</w:t>
            </w:r>
          </w:p>
        </w:tc>
        <w:tc>
          <w:tcPr>
            <w:tcW w:w="2232" w:type="dxa"/>
          </w:tcPr>
          <w:p w14:paraId="2F2ECF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РМЗ</w:t>
            </w:r>
          </w:p>
        </w:tc>
        <w:tc>
          <w:tcPr>
            <w:tcW w:w="2520" w:type="dxa"/>
          </w:tcPr>
          <w:p w14:paraId="31D749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ремонт</w:t>
            </w:r>
          </w:p>
        </w:tc>
      </w:tr>
      <w:tr w:rsidR="00643896" w:rsidRPr="00640820" w14:paraId="52DEFDF2" w14:textId="77777777" w:rsidTr="000D3BCB">
        <w:tc>
          <w:tcPr>
            <w:tcW w:w="1728" w:type="dxa"/>
          </w:tcPr>
          <w:p w14:paraId="7F8364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6EBFCF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4F84EA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392703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Соликамск</w:t>
            </w:r>
          </w:p>
        </w:tc>
        <w:tc>
          <w:tcPr>
            <w:tcW w:w="2232" w:type="dxa"/>
          </w:tcPr>
          <w:p w14:paraId="28B895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577</w:t>
            </w:r>
          </w:p>
        </w:tc>
        <w:tc>
          <w:tcPr>
            <w:tcW w:w="2520" w:type="dxa"/>
          </w:tcPr>
          <w:p w14:paraId="4C50CD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Пироксилин</w:t>
            </w:r>
          </w:p>
        </w:tc>
      </w:tr>
      <w:tr w:rsidR="00643896" w:rsidRPr="00640820" w14:paraId="5E307AEA" w14:textId="77777777" w:rsidTr="000D3BCB">
        <w:tc>
          <w:tcPr>
            <w:tcW w:w="1728" w:type="dxa"/>
          </w:tcPr>
          <w:p w14:paraId="4FC103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3AB9F0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0A5DCB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4B5F9D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Реж</w:t>
            </w:r>
          </w:p>
        </w:tc>
        <w:tc>
          <w:tcPr>
            <w:tcW w:w="2232" w:type="dxa"/>
          </w:tcPr>
          <w:p w14:paraId="2E20D2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576</w:t>
            </w:r>
          </w:p>
        </w:tc>
        <w:tc>
          <w:tcPr>
            <w:tcW w:w="2520" w:type="dxa"/>
          </w:tcPr>
          <w:p w14:paraId="3C387D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Олеум</w:t>
            </w:r>
          </w:p>
        </w:tc>
      </w:tr>
      <w:tr w:rsidR="00643896" w:rsidRPr="00640820" w14:paraId="231D84C9" w14:textId="77777777" w:rsidTr="000D3BCB">
        <w:tc>
          <w:tcPr>
            <w:tcW w:w="1728" w:type="dxa"/>
          </w:tcPr>
          <w:p w14:paraId="04E845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5DB7F3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751445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25CA5A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Красноярск</w:t>
            </w:r>
          </w:p>
        </w:tc>
        <w:tc>
          <w:tcPr>
            <w:tcW w:w="2232" w:type="dxa"/>
          </w:tcPr>
          <w:p w14:paraId="5F085B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580</w:t>
            </w:r>
          </w:p>
        </w:tc>
        <w:tc>
          <w:tcPr>
            <w:tcW w:w="2520" w:type="dxa"/>
          </w:tcPr>
          <w:p w14:paraId="5EB00E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Оборудование</w:t>
            </w:r>
          </w:p>
        </w:tc>
      </w:tr>
      <w:tr w:rsidR="00643896" w:rsidRPr="00640820" w14:paraId="1C69DB30" w14:textId="77777777" w:rsidTr="000D3BCB">
        <w:tc>
          <w:tcPr>
            <w:tcW w:w="1728" w:type="dxa"/>
          </w:tcPr>
          <w:p w14:paraId="3E7BC6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2D8367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252367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5A3D44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7B80FB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1E3CC5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23C6ED7" w14:textId="77777777" w:rsidTr="000D3BCB">
        <w:tc>
          <w:tcPr>
            <w:tcW w:w="1728" w:type="dxa"/>
          </w:tcPr>
          <w:p w14:paraId="240A8D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НКБ, 350сс 02/08/41</w:t>
            </w:r>
          </w:p>
        </w:tc>
        <w:tc>
          <w:tcPr>
            <w:tcW w:w="1170" w:type="dxa"/>
          </w:tcPr>
          <w:p w14:paraId="43E1DD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113</w:t>
            </w:r>
          </w:p>
        </w:tc>
        <w:tc>
          <w:tcPr>
            <w:tcW w:w="1044" w:type="dxa"/>
          </w:tcPr>
          <w:p w14:paraId="4AFE5E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Сельцо Брянское</w:t>
            </w:r>
          </w:p>
        </w:tc>
        <w:tc>
          <w:tcPr>
            <w:tcW w:w="1044" w:type="dxa"/>
          </w:tcPr>
          <w:p w14:paraId="1B7524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Н.Тагил</w:t>
            </w:r>
          </w:p>
        </w:tc>
        <w:tc>
          <w:tcPr>
            <w:tcW w:w="2232" w:type="dxa"/>
          </w:tcPr>
          <w:p w14:paraId="77FEF7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56</w:t>
            </w:r>
          </w:p>
        </w:tc>
        <w:tc>
          <w:tcPr>
            <w:tcW w:w="2520" w:type="dxa"/>
          </w:tcPr>
          <w:p w14:paraId="0B6C3B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Снаряжение малокалиберных снарядов</w:t>
            </w:r>
          </w:p>
        </w:tc>
      </w:tr>
      <w:tr w:rsidR="00643896" w:rsidRPr="00640820" w14:paraId="5654004F" w14:textId="77777777" w:rsidTr="000D3BCB">
        <w:tc>
          <w:tcPr>
            <w:tcW w:w="1728" w:type="dxa"/>
          </w:tcPr>
          <w:p w14:paraId="73751C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6EC99D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47AD8C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67ED3A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Копейск</w:t>
            </w:r>
          </w:p>
        </w:tc>
        <w:tc>
          <w:tcPr>
            <w:tcW w:w="2232" w:type="dxa"/>
          </w:tcPr>
          <w:p w14:paraId="12DF70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114</w:t>
            </w:r>
          </w:p>
        </w:tc>
        <w:tc>
          <w:tcPr>
            <w:tcW w:w="2520" w:type="dxa"/>
          </w:tcPr>
          <w:p w14:paraId="20D995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ВВ, Снаряжение среднекалиберных снарядов</w:t>
            </w:r>
          </w:p>
        </w:tc>
      </w:tr>
      <w:tr w:rsidR="00643896" w:rsidRPr="00640820" w14:paraId="6D7CAD74" w14:textId="77777777" w:rsidTr="000D3BCB">
        <w:tc>
          <w:tcPr>
            <w:tcW w:w="1728" w:type="dxa"/>
          </w:tcPr>
          <w:p w14:paraId="6F9CAA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684D39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75B2C7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66A60E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Новосибирск</w:t>
            </w:r>
          </w:p>
        </w:tc>
        <w:tc>
          <w:tcPr>
            <w:tcW w:w="2232" w:type="dxa"/>
          </w:tcPr>
          <w:p w14:paraId="0B8656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312</w:t>
            </w:r>
          </w:p>
        </w:tc>
        <w:tc>
          <w:tcPr>
            <w:tcW w:w="2520" w:type="dxa"/>
          </w:tcPr>
          <w:p w14:paraId="3BBA19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FD0FABD" w14:textId="77777777" w:rsidTr="000D3BCB">
        <w:tc>
          <w:tcPr>
            <w:tcW w:w="1728" w:type="dxa"/>
          </w:tcPr>
          <w:p w14:paraId="63172F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0B77E5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11B4B0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5BEF13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7DC308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3E25EB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5E01778" w14:textId="77777777" w:rsidTr="000D3BCB">
        <w:tc>
          <w:tcPr>
            <w:tcW w:w="1728" w:type="dxa"/>
          </w:tcPr>
          <w:p w14:paraId="1F2FF9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0E716F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144</w:t>
            </w:r>
          </w:p>
        </w:tc>
        <w:tc>
          <w:tcPr>
            <w:tcW w:w="1044" w:type="dxa"/>
          </w:tcPr>
          <w:p w14:paraId="30D3AD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Сталино</w:t>
            </w:r>
          </w:p>
        </w:tc>
        <w:tc>
          <w:tcPr>
            <w:tcW w:w="1044" w:type="dxa"/>
          </w:tcPr>
          <w:p w14:paraId="43AE55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Миасс</w:t>
            </w:r>
          </w:p>
        </w:tc>
        <w:tc>
          <w:tcPr>
            <w:tcW w:w="2232" w:type="dxa"/>
          </w:tcPr>
          <w:p w14:paraId="120B2B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611</w:t>
            </w:r>
          </w:p>
        </w:tc>
        <w:tc>
          <w:tcPr>
            <w:tcW w:w="2520" w:type="dxa"/>
          </w:tcPr>
          <w:p w14:paraId="51877D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Снаряжение среднекалиберных снарядов, снаряжение ФАБ, Снаряжение малокалиберных снарядов, суррогатные ВВ</w:t>
            </w:r>
          </w:p>
        </w:tc>
      </w:tr>
      <w:tr w:rsidR="00643896" w:rsidRPr="00640820" w14:paraId="4BA3101F" w14:textId="77777777" w:rsidTr="000D3BCB">
        <w:tc>
          <w:tcPr>
            <w:tcW w:w="1728" w:type="dxa"/>
          </w:tcPr>
          <w:p w14:paraId="10F13E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11F84B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7D7C4A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2441CB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0B37AB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71C272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8748F32" w14:textId="77777777" w:rsidTr="000D3BCB">
        <w:tc>
          <w:tcPr>
            <w:tcW w:w="1728" w:type="dxa"/>
          </w:tcPr>
          <w:p w14:paraId="49AE65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426A84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176</w:t>
            </w:r>
          </w:p>
        </w:tc>
        <w:tc>
          <w:tcPr>
            <w:tcW w:w="1044" w:type="dxa"/>
          </w:tcPr>
          <w:p w14:paraId="0B5A76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Тула</w:t>
            </w:r>
          </w:p>
        </w:tc>
        <w:tc>
          <w:tcPr>
            <w:tcW w:w="1044" w:type="dxa"/>
          </w:tcPr>
          <w:p w14:paraId="287332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Орск</w:t>
            </w:r>
          </w:p>
        </w:tc>
        <w:tc>
          <w:tcPr>
            <w:tcW w:w="2232" w:type="dxa"/>
          </w:tcPr>
          <w:p w14:paraId="666DAF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257</w:t>
            </w:r>
          </w:p>
        </w:tc>
        <w:tc>
          <w:tcPr>
            <w:tcW w:w="2520" w:type="dxa"/>
          </w:tcPr>
          <w:p w14:paraId="18EF1E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гильзы 100мм и 120мм, 122мм морские, 152мм КАНЭ, 85мм, 76мм, 57мм</w:t>
            </w:r>
          </w:p>
        </w:tc>
      </w:tr>
      <w:tr w:rsidR="00643896" w:rsidRPr="00640820" w14:paraId="70336502" w14:textId="77777777" w:rsidTr="000D3BCB">
        <w:tc>
          <w:tcPr>
            <w:tcW w:w="1728" w:type="dxa"/>
          </w:tcPr>
          <w:p w14:paraId="1AA647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78225C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593D38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1C9FA2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Новосибирск</w:t>
            </w:r>
          </w:p>
        </w:tc>
        <w:tc>
          <w:tcPr>
            <w:tcW w:w="2232" w:type="dxa"/>
          </w:tcPr>
          <w:p w14:paraId="332273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Прокатный завод НКЧМ</w:t>
            </w:r>
          </w:p>
        </w:tc>
        <w:tc>
          <w:tcPr>
            <w:tcW w:w="2520" w:type="dxa"/>
          </w:tcPr>
          <w:p w14:paraId="4BB169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465356F" w14:textId="77777777" w:rsidTr="000D3BCB">
        <w:tc>
          <w:tcPr>
            <w:tcW w:w="1728" w:type="dxa"/>
          </w:tcPr>
          <w:p w14:paraId="7EB6F1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4B60FA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6273AC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0AB209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Нытва</w:t>
            </w:r>
          </w:p>
        </w:tc>
        <w:tc>
          <w:tcPr>
            <w:tcW w:w="2232" w:type="dxa"/>
          </w:tcPr>
          <w:p w14:paraId="6B2D21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НКЧМ</w:t>
            </w:r>
          </w:p>
        </w:tc>
        <w:tc>
          <w:tcPr>
            <w:tcW w:w="2520" w:type="dxa"/>
          </w:tcPr>
          <w:p w14:paraId="3D6E1D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Биметалл</w:t>
            </w:r>
          </w:p>
        </w:tc>
      </w:tr>
      <w:tr w:rsidR="00643896" w:rsidRPr="00640820" w14:paraId="19059CC3" w14:textId="77777777" w:rsidTr="000D3BCB">
        <w:tc>
          <w:tcPr>
            <w:tcW w:w="1728" w:type="dxa"/>
          </w:tcPr>
          <w:p w14:paraId="79BFAF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49C07D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789536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0F60E8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13C7C8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7253EF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84E57FA" w14:textId="77777777" w:rsidTr="000D3BCB">
        <w:tc>
          <w:tcPr>
            <w:tcW w:w="1728" w:type="dxa"/>
          </w:tcPr>
          <w:p w14:paraId="075BA7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623F52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324B26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082206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1C718D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4B5B4A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CBC6539" w14:textId="77777777" w:rsidTr="000D3BCB">
        <w:tc>
          <w:tcPr>
            <w:tcW w:w="1728" w:type="dxa"/>
          </w:tcPr>
          <w:p w14:paraId="4091D1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НКБ, 236сс 04/07/41</w:t>
            </w:r>
          </w:p>
        </w:tc>
        <w:tc>
          <w:tcPr>
            <w:tcW w:w="1170" w:type="dxa"/>
          </w:tcPr>
          <w:p w14:paraId="3513D1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177</w:t>
            </w:r>
          </w:p>
        </w:tc>
        <w:tc>
          <w:tcPr>
            <w:tcW w:w="1044" w:type="dxa"/>
          </w:tcPr>
          <w:p w14:paraId="546156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Ленинград</w:t>
            </w:r>
          </w:p>
        </w:tc>
        <w:tc>
          <w:tcPr>
            <w:tcW w:w="1044" w:type="dxa"/>
          </w:tcPr>
          <w:p w14:paraId="353346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Саратов</w:t>
            </w:r>
          </w:p>
        </w:tc>
        <w:tc>
          <w:tcPr>
            <w:tcW w:w="2232" w:type="dxa"/>
          </w:tcPr>
          <w:p w14:paraId="0B1DB9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Конд. Фабрика, потом 572</w:t>
            </w:r>
          </w:p>
        </w:tc>
        <w:tc>
          <w:tcPr>
            <w:tcW w:w="2520" w:type="dxa"/>
          </w:tcPr>
          <w:p w14:paraId="0E5EFA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Станкоприборы</w:t>
            </w:r>
          </w:p>
        </w:tc>
      </w:tr>
      <w:tr w:rsidR="00643896" w:rsidRPr="00640820" w14:paraId="2D9ECBC9" w14:textId="77777777" w:rsidTr="000D3BCB">
        <w:tc>
          <w:tcPr>
            <w:tcW w:w="1728" w:type="dxa"/>
          </w:tcPr>
          <w:p w14:paraId="128437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754EB3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673BAA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76FF0D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31A38C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6A5A84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64B40C0" w14:textId="77777777" w:rsidTr="000D3BCB">
        <w:tc>
          <w:tcPr>
            <w:tcW w:w="1728" w:type="dxa"/>
          </w:tcPr>
          <w:p w14:paraId="3FFCB9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5D7101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187</w:t>
            </w:r>
          </w:p>
        </w:tc>
        <w:tc>
          <w:tcPr>
            <w:tcW w:w="1044" w:type="dxa"/>
          </w:tcPr>
          <w:p w14:paraId="534915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Тула</w:t>
            </w:r>
          </w:p>
        </w:tc>
        <w:tc>
          <w:tcPr>
            <w:tcW w:w="1044" w:type="dxa"/>
          </w:tcPr>
          <w:p w14:paraId="35D4D8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Новосибирск</w:t>
            </w:r>
          </w:p>
        </w:tc>
        <w:tc>
          <w:tcPr>
            <w:tcW w:w="2232" w:type="dxa"/>
          </w:tcPr>
          <w:p w14:paraId="4175CC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179</w:t>
            </w:r>
          </w:p>
        </w:tc>
        <w:tc>
          <w:tcPr>
            <w:tcW w:w="2520" w:type="dxa"/>
          </w:tcPr>
          <w:p w14:paraId="5F4287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57мм, 76мм, 152мм, 20мм, гильзы, К-6</w:t>
            </w:r>
          </w:p>
        </w:tc>
      </w:tr>
      <w:tr w:rsidR="00643896" w:rsidRPr="00640820" w14:paraId="7B6D7931" w14:textId="77777777" w:rsidTr="000D3BCB">
        <w:tc>
          <w:tcPr>
            <w:tcW w:w="1728" w:type="dxa"/>
          </w:tcPr>
          <w:p w14:paraId="5FFFB6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70075C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65757F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67A792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Кемерово</w:t>
            </w:r>
          </w:p>
        </w:tc>
        <w:tc>
          <w:tcPr>
            <w:tcW w:w="2232" w:type="dxa"/>
          </w:tcPr>
          <w:p w14:paraId="22A1BC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606</w:t>
            </w:r>
          </w:p>
        </w:tc>
        <w:tc>
          <w:tcPr>
            <w:tcW w:w="2520" w:type="dxa"/>
          </w:tcPr>
          <w:p w14:paraId="31C55C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23мм, гильзы</w:t>
            </w:r>
          </w:p>
        </w:tc>
      </w:tr>
      <w:tr w:rsidR="00643896" w:rsidRPr="00640820" w14:paraId="1FD21B78" w14:textId="77777777" w:rsidTr="000D3BCB">
        <w:tc>
          <w:tcPr>
            <w:tcW w:w="1728" w:type="dxa"/>
          </w:tcPr>
          <w:p w14:paraId="31CF47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77E3FB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003288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2DA2DE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Омск</w:t>
            </w:r>
          </w:p>
        </w:tc>
        <w:tc>
          <w:tcPr>
            <w:tcW w:w="2232" w:type="dxa"/>
          </w:tcPr>
          <w:p w14:paraId="5C3C55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513а</w:t>
            </w:r>
          </w:p>
        </w:tc>
        <w:tc>
          <w:tcPr>
            <w:tcW w:w="2520" w:type="dxa"/>
          </w:tcPr>
          <w:p w14:paraId="11B9CB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20мм, 12.7мм,7.62мм, 23мм</w:t>
            </w:r>
          </w:p>
        </w:tc>
      </w:tr>
      <w:tr w:rsidR="00643896" w:rsidRPr="00640820" w14:paraId="6D0738DF" w14:textId="77777777" w:rsidTr="000D3BCB">
        <w:tc>
          <w:tcPr>
            <w:tcW w:w="1728" w:type="dxa"/>
          </w:tcPr>
          <w:p w14:paraId="5A749D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46CC93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31528D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46FB57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3349D0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31CBA8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0908F91" w14:textId="77777777" w:rsidTr="000D3BCB">
        <w:tc>
          <w:tcPr>
            <w:tcW w:w="1728" w:type="dxa"/>
          </w:tcPr>
          <w:p w14:paraId="491DC6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165840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204</w:t>
            </w:r>
          </w:p>
        </w:tc>
        <w:tc>
          <w:tcPr>
            <w:tcW w:w="1044" w:type="dxa"/>
          </w:tcPr>
          <w:p w14:paraId="52BC0B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Котовск</w:t>
            </w:r>
          </w:p>
        </w:tc>
        <w:tc>
          <w:tcPr>
            <w:tcW w:w="1044" w:type="dxa"/>
          </w:tcPr>
          <w:p w14:paraId="13041C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Красноярск</w:t>
            </w:r>
          </w:p>
        </w:tc>
        <w:tc>
          <w:tcPr>
            <w:tcW w:w="2232" w:type="dxa"/>
          </w:tcPr>
          <w:p w14:paraId="1FD1AB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580</w:t>
            </w:r>
          </w:p>
        </w:tc>
        <w:tc>
          <w:tcPr>
            <w:tcW w:w="2520" w:type="dxa"/>
          </w:tcPr>
          <w:p w14:paraId="49A1D5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оборудование</w:t>
            </w:r>
          </w:p>
        </w:tc>
      </w:tr>
      <w:tr w:rsidR="00643896" w:rsidRPr="00640820" w14:paraId="42071482" w14:textId="77777777" w:rsidTr="000D3BCB">
        <w:tc>
          <w:tcPr>
            <w:tcW w:w="1728" w:type="dxa"/>
          </w:tcPr>
          <w:p w14:paraId="24E08F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55EC56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66CF3F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37D436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63423A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7ECE0E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B6FDB96" w14:textId="77777777" w:rsidTr="000D3BCB">
        <w:tc>
          <w:tcPr>
            <w:tcW w:w="1728" w:type="dxa"/>
          </w:tcPr>
          <w:p w14:paraId="24AAA1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40F564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220</w:t>
            </w:r>
          </w:p>
        </w:tc>
        <w:tc>
          <w:tcPr>
            <w:tcW w:w="1044" w:type="dxa"/>
          </w:tcPr>
          <w:p w14:paraId="212BF4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c>
          <w:tcPr>
            <w:tcW w:w="1044" w:type="dxa"/>
          </w:tcPr>
          <w:p w14:paraId="2E4C56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Челябинск</w:t>
            </w:r>
          </w:p>
        </w:tc>
        <w:tc>
          <w:tcPr>
            <w:tcW w:w="2232" w:type="dxa"/>
          </w:tcPr>
          <w:p w14:paraId="41ABF8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78</w:t>
            </w:r>
          </w:p>
        </w:tc>
        <w:tc>
          <w:tcPr>
            <w:tcW w:w="2520" w:type="dxa"/>
          </w:tcPr>
          <w:p w14:paraId="7D665F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М-13</w:t>
            </w:r>
          </w:p>
        </w:tc>
      </w:tr>
      <w:tr w:rsidR="00643896" w:rsidRPr="00640820" w14:paraId="3930F2A9" w14:textId="77777777" w:rsidTr="000D3BCB">
        <w:tc>
          <w:tcPr>
            <w:tcW w:w="1728" w:type="dxa"/>
          </w:tcPr>
          <w:p w14:paraId="6D47EE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7B9832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18C8D7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6BF512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33DD2B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46D374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1932997" w14:textId="77777777" w:rsidTr="000D3BCB">
        <w:tc>
          <w:tcPr>
            <w:tcW w:w="1728" w:type="dxa"/>
          </w:tcPr>
          <w:p w14:paraId="25DA0B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НКБ, 504сс, 08/09/41</w:t>
            </w:r>
          </w:p>
        </w:tc>
        <w:tc>
          <w:tcPr>
            <w:tcW w:w="1170" w:type="dxa"/>
          </w:tcPr>
          <w:p w14:paraId="390AFD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258</w:t>
            </w:r>
          </w:p>
        </w:tc>
        <w:tc>
          <w:tcPr>
            <w:tcW w:w="1044" w:type="dxa"/>
          </w:tcPr>
          <w:p w14:paraId="75BA0B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Осипенко</w:t>
            </w:r>
          </w:p>
        </w:tc>
        <w:tc>
          <w:tcPr>
            <w:tcW w:w="1044" w:type="dxa"/>
          </w:tcPr>
          <w:p w14:paraId="7D5391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Челябинск</w:t>
            </w:r>
          </w:p>
        </w:tc>
        <w:tc>
          <w:tcPr>
            <w:tcW w:w="2232" w:type="dxa"/>
          </w:tcPr>
          <w:p w14:paraId="09FC39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Склад № 1 и № 2 УГРМ, 78</w:t>
            </w:r>
          </w:p>
        </w:tc>
        <w:tc>
          <w:tcPr>
            <w:tcW w:w="2520" w:type="dxa"/>
          </w:tcPr>
          <w:p w14:paraId="2C3613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оборудование</w:t>
            </w:r>
          </w:p>
        </w:tc>
      </w:tr>
      <w:tr w:rsidR="00643896" w:rsidRPr="00640820" w14:paraId="717462A9" w14:textId="77777777" w:rsidTr="000D3BCB">
        <w:tc>
          <w:tcPr>
            <w:tcW w:w="1728" w:type="dxa"/>
          </w:tcPr>
          <w:p w14:paraId="75AF51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61C95A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049EDA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5D3E62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Копейск</w:t>
            </w:r>
          </w:p>
        </w:tc>
        <w:tc>
          <w:tcPr>
            <w:tcW w:w="2232" w:type="dxa"/>
          </w:tcPr>
          <w:p w14:paraId="3D5ED7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258</w:t>
            </w:r>
          </w:p>
        </w:tc>
        <w:tc>
          <w:tcPr>
            <w:tcW w:w="2520" w:type="dxa"/>
          </w:tcPr>
          <w:p w14:paraId="7A7B90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107мм снаряды</w:t>
            </w:r>
          </w:p>
        </w:tc>
      </w:tr>
      <w:tr w:rsidR="00643896" w:rsidRPr="00640820" w14:paraId="3E46C7AE" w14:textId="77777777" w:rsidTr="000D3BCB">
        <w:tc>
          <w:tcPr>
            <w:tcW w:w="1728" w:type="dxa"/>
          </w:tcPr>
          <w:p w14:paraId="18F9EA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4692DE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0B7014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65C0C7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2FBBC6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51AB93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DC48CE1" w14:textId="77777777" w:rsidTr="000D3BCB">
        <w:tc>
          <w:tcPr>
            <w:tcW w:w="1728" w:type="dxa"/>
          </w:tcPr>
          <w:p w14:paraId="3C6735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5E87E0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260</w:t>
            </w:r>
          </w:p>
        </w:tc>
        <w:tc>
          <w:tcPr>
            <w:tcW w:w="1044" w:type="dxa"/>
          </w:tcPr>
          <w:p w14:paraId="1DB3BF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Владимир</w:t>
            </w:r>
          </w:p>
        </w:tc>
        <w:tc>
          <w:tcPr>
            <w:tcW w:w="1044" w:type="dxa"/>
          </w:tcPr>
          <w:p w14:paraId="13C115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Молотов</w:t>
            </w:r>
          </w:p>
        </w:tc>
        <w:tc>
          <w:tcPr>
            <w:tcW w:w="2232" w:type="dxa"/>
          </w:tcPr>
          <w:p w14:paraId="716D0F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260</w:t>
            </w:r>
          </w:p>
        </w:tc>
        <w:tc>
          <w:tcPr>
            <w:tcW w:w="2520" w:type="dxa"/>
          </w:tcPr>
          <w:p w14:paraId="7FEE8D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М-50, ЗТН, К-20, МД-5, МГ-8</w:t>
            </w:r>
          </w:p>
        </w:tc>
      </w:tr>
      <w:tr w:rsidR="00643896" w:rsidRPr="00640820" w14:paraId="49294805" w14:textId="77777777" w:rsidTr="000D3BCB">
        <w:tc>
          <w:tcPr>
            <w:tcW w:w="1728" w:type="dxa"/>
          </w:tcPr>
          <w:p w14:paraId="785D85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36E4EE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07A2BE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0976CA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2D549E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2244EC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1DC9702" w14:textId="77777777" w:rsidTr="000D3BCB">
        <w:tc>
          <w:tcPr>
            <w:tcW w:w="1728" w:type="dxa"/>
          </w:tcPr>
          <w:p w14:paraId="4FBCB4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156CD2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308</w:t>
            </w:r>
          </w:p>
        </w:tc>
        <w:tc>
          <w:tcPr>
            <w:tcW w:w="1044" w:type="dxa"/>
          </w:tcPr>
          <w:p w14:paraId="0AC412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Харьков</w:t>
            </w:r>
          </w:p>
        </w:tc>
        <w:tc>
          <w:tcPr>
            <w:tcW w:w="1044" w:type="dxa"/>
          </w:tcPr>
          <w:p w14:paraId="1F0E10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Свердловск</w:t>
            </w:r>
          </w:p>
        </w:tc>
        <w:tc>
          <w:tcPr>
            <w:tcW w:w="2232" w:type="dxa"/>
          </w:tcPr>
          <w:p w14:paraId="79A776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286766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корпуса РГ-33</w:t>
            </w:r>
          </w:p>
        </w:tc>
      </w:tr>
      <w:tr w:rsidR="00643896" w:rsidRPr="00640820" w14:paraId="53669DFD" w14:textId="77777777" w:rsidTr="000D3BCB">
        <w:tc>
          <w:tcPr>
            <w:tcW w:w="1728" w:type="dxa"/>
          </w:tcPr>
          <w:p w14:paraId="2699EC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7A0D6D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703FC5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598EE2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598897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6827A1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284F4DF" w14:textId="77777777" w:rsidTr="000D3BCB">
        <w:tc>
          <w:tcPr>
            <w:tcW w:w="1728" w:type="dxa"/>
          </w:tcPr>
          <w:p w14:paraId="22C7E3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695C6D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323</w:t>
            </w:r>
          </w:p>
        </w:tc>
        <w:tc>
          <w:tcPr>
            <w:tcW w:w="1044" w:type="dxa"/>
          </w:tcPr>
          <w:p w14:paraId="19CEE9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Алексин</w:t>
            </w:r>
          </w:p>
        </w:tc>
        <w:tc>
          <w:tcPr>
            <w:tcW w:w="1044" w:type="dxa"/>
          </w:tcPr>
          <w:p w14:paraId="31D347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Кемерово</w:t>
            </w:r>
          </w:p>
        </w:tc>
        <w:tc>
          <w:tcPr>
            <w:tcW w:w="2232" w:type="dxa"/>
          </w:tcPr>
          <w:p w14:paraId="116D94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392</w:t>
            </w:r>
          </w:p>
        </w:tc>
        <w:tc>
          <w:tcPr>
            <w:tcW w:w="2520" w:type="dxa"/>
          </w:tcPr>
          <w:p w14:paraId="33D521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Спец. укупорка</w:t>
            </w:r>
          </w:p>
        </w:tc>
      </w:tr>
      <w:tr w:rsidR="00643896" w:rsidRPr="00640820" w14:paraId="75807D93" w14:textId="77777777" w:rsidTr="000D3BCB">
        <w:tc>
          <w:tcPr>
            <w:tcW w:w="1728" w:type="dxa"/>
          </w:tcPr>
          <w:p w14:paraId="11B2D7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14FB23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017F87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1482C8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784F42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13B082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E45B29C" w14:textId="77777777" w:rsidTr="000D3BCB">
        <w:tc>
          <w:tcPr>
            <w:tcW w:w="1728" w:type="dxa"/>
          </w:tcPr>
          <w:p w14:paraId="5D5E6B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0A4C65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358</w:t>
            </w:r>
          </w:p>
        </w:tc>
        <w:tc>
          <w:tcPr>
            <w:tcW w:w="1044" w:type="dxa"/>
          </w:tcPr>
          <w:p w14:paraId="2FCD9A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Теплый стан, Москва</w:t>
            </w:r>
          </w:p>
        </w:tc>
        <w:tc>
          <w:tcPr>
            <w:tcW w:w="1044" w:type="dxa"/>
          </w:tcPr>
          <w:p w14:paraId="7DBABC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Новосибирск</w:t>
            </w:r>
          </w:p>
        </w:tc>
        <w:tc>
          <w:tcPr>
            <w:tcW w:w="2232" w:type="dxa"/>
          </w:tcPr>
          <w:p w14:paraId="7FDB2E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179</w:t>
            </w:r>
          </w:p>
        </w:tc>
        <w:tc>
          <w:tcPr>
            <w:tcW w:w="2520" w:type="dxa"/>
          </w:tcPr>
          <w:p w14:paraId="1687AE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снаряжение взрывателей</w:t>
            </w:r>
          </w:p>
        </w:tc>
      </w:tr>
      <w:tr w:rsidR="00643896" w:rsidRPr="00640820" w14:paraId="258FFD34" w14:textId="77777777" w:rsidTr="000D3BCB">
        <w:tc>
          <w:tcPr>
            <w:tcW w:w="1728" w:type="dxa"/>
          </w:tcPr>
          <w:p w14:paraId="02E203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33B131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2FCE17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1058F9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4058CD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29CFD7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B58943F" w14:textId="77777777" w:rsidTr="000D3BCB">
        <w:tc>
          <w:tcPr>
            <w:tcW w:w="1728" w:type="dxa"/>
          </w:tcPr>
          <w:p w14:paraId="1FF172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0CCF1F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398</w:t>
            </w:r>
          </w:p>
        </w:tc>
        <w:tc>
          <w:tcPr>
            <w:tcW w:w="1044" w:type="dxa"/>
          </w:tcPr>
          <w:p w14:paraId="00E664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c>
          <w:tcPr>
            <w:tcW w:w="1044" w:type="dxa"/>
          </w:tcPr>
          <w:p w14:paraId="21BB9F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Куйбышев</w:t>
            </w:r>
          </w:p>
        </w:tc>
        <w:tc>
          <w:tcPr>
            <w:tcW w:w="2232" w:type="dxa"/>
          </w:tcPr>
          <w:p w14:paraId="35E13B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42</w:t>
            </w:r>
          </w:p>
        </w:tc>
        <w:tc>
          <w:tcPr>
            <w:tcW w:w="2520" w:type="dxa"/>
          </w:tcPr>
          <w:p w14:paraId="1CC3B7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ВМ-7, ВМ-16</w:t>
            </w:r>
          </w:p>
        </w:tc>
      </w:tr>
      <w:tr w:rsidR="00643896" w:rsidRPr="00640820" w14:paraId="0AACDC2D" w14:textId="77777777" w:rsidTr="000D3BCB">
        <w:tc>
          <w:tcPr>
            <w:tcW w:w="1728" w:type="dxa"/>
          </w:tcPr>
          <w:p w14:paraId="303BF1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06ACB9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2B5C1D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07E6A6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368110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106841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F4DD731" w14:textId="77777777" w:rsidTr="000D3BCB">
        <w:tc>
          <w:tcPr>
            <w:tcW w:w="1728" w:type="dxa"/>
          </w:tcPr>
          <w:p w14:paraId="248758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7760E2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401</w:t>
            </w:r>
          </w:p>
        </w:tc>
        <w:tc>
          <w:tcPr>
            <w:tcW w:w="1044" w:type="dxa"/>
          </w:tcPr>
          <w:p w14:paraId="5AD474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Реутово</w:t>
            </w:r>
          </w:p>
        </w:tc>
        <w:tc>
          <w:tcPr>
            <w:tcW w:w="1044" w:type="dxa"/>
          </w:tcPr>
          <w:p w14:paraId="23764A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Аша</w:t>
            </w:r>
          </w:p>
        </w:tc>
        <w:tc>
          <w:tcPr>
            <w:tcW w:w="2232" w:type="dxa"/>
          </w:tcPr>
          <w:p w14:paraId="0C1DC0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401</w:t>
            </w:r>
          </w:p>
        </w:tc>
        <w:tc>
          <w:tcPr>
            <w:tcW w:w="2520" w:type="dxa"/>
          </w:tcPr>
          <w:p w14:paraId="6C6EBC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Термит</w:t>
            </w:r>
          </w:p>
        </w:tc>
      </w:tr>
      <w:tr w:rsidR="00643896" w:rsidRPr="00640820" w14:paraId="6883312E" w14:textId="77777777" w:rsidTr="000D3BCB">
        <w:tc>
          <w:tcPr>
            <w:tcW w:w="1728" w:type="dxa"/>
          </w:tcPr>
          <w:p w14:paraId="184561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38A7DE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1B022F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3DEF7B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276F01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688C46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E77BE45" w14:textId="77777777" w:rsidTr="000D3BCB">
        <w:tc>
          <w:tcPr>
            <w:tcW w:w="1728" w:type="dxa"/>
          </w:tcPr>
          <w:p w14:paraId="0C028E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59122D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510 </w:t>
            </w:r>
          </w:p>
        </w:tc>
        <w:tc>
          <w:tcPr>
            <w:tcW w:w="1044" w:type="dxa"/>
          </w:tcPr>
          <w:p w14:paraId="296847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Ногинск</w:t>
            </w:r>
          </w:p>
        </w:tc>
        <w:tc>
          <w:tcPr>
            <w:tcW w:w="1044" w:type="dxa"/>
          </w:tcPr>
          <w:p w14:paraId="2099C4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Омск</w:t>
            </w:r>
          </w:p>
        </w:tc>
        <w:tc>
          <w:tcPr>
            <w:tcW w:w="2232" w:type="dxa"/>
          </w:tcPr>
          <w:p w14:paraId="460A92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510</w:t>
            </w:r>
          </w:p>
        </w:tc>
        <w:tc>
          <w:tcPr>
            <w:tcW w:w="2520" w:type="dxa"/>
          </w:tcPr>
          <w:p w14:paraId="1E9D95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МП</w:t>
            </w:r>
          </w:p>
        </w:tc>
      </w:tr>
      <w:tr w:rsidR="00643896" w:rsidRPr="00640820" w14:paraId="40DB11A0" w14:textId="77777777" w:rsidTr="000D3BCB">
        <w:tc>
          <w:tcPr>
            <w:tcW w:w="1728" w:type="dxa"/>
          </w:tcPr>
          <w:p w14:paraId="72CB1A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74BF05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5F3858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0FB210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Кемерово</w:t>
            </w:r>
          </w:p>
        </w:tc>
        <w:tc>
          <w:tcPr>
            <w:tcW w:w="2232" w:type="dxa"/>
          </w:tcPr>
          <w:p w14:paraId="3D3C3C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606</w:t>
            </w:r>
          </w:p>
        </w:tc>
        <w:tc>
          <w:tcPr>
            <w:tcW w:w="2520" w:type="dxa"/>
          </w:tcPr>
          <w:p w14:paraId="4AE150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23мм, гильзы</w:t>
            </w:r>
          </w:p>
        </w:tc>
      </w:tr>
      <w:tr w:rsidR="00643896" w:rsidRPr="00640820" w14:paraId="711C2C7C" w14:textId="77777777" w:rsidTr="000D3BCB">
        <w:tc>
          <w:tcPr>
            <w:tcW w:w="1728" w:type="dxa"/>
          </w:tcPr>
          <w:p w14:paraId="2F4005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460D0E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7DEEFF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54DC23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1C45E7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40CC1A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D48FF11" w14:textId="77777777" w:rsidTr="000D3BCB">
        <w:tc>
          <w:tcPr>
            <w:tcW w:w="1728" w:type="dxa"/>
          </w:tcPr>
          <w:p w14:paraId="60E394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15D4EF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512</w:t>
            </w:r>
          </w:p>
        </w:tc>
        <w:tc>
          <w:tcPr>
            <w:tcW w:w="1044" w:type="dxa"/>
          </w:tcPr>
          <w:p w14:paraId="24F81C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Люберцы</w:t>
            </w:r>
          </w:p>
        </w:tc>
        <w:tc>
          <w:tcPr>
            <w:tcW w:w="1044" w:type="dxa"/>
          </w:tcPr>
          <w:p w14:paraId="5D746B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Новосибирск</w:t>
            </w:r>
          </w:p>
        </w:tc>
        <w:tc>
          <w:tcPr>
            <w:tcW w:w="2232" w:type="dxa"/>
          </w:tcPr>
          <w:p w14:paraId="5657DD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564</w:t>
            </w:r>
          </w:p>
        </w:tc>
        <w:tc>
          <w:tcPr>
            <w:tcW w:w="2520" w:type="dxa"/>
          </w:tcPr>
          <w:p w14:paraId="03C73B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К-6, 20мм снаряды, 23мм снаряды, В-179</w:t>
            </w:r>
          </w:p>
        </w:tc>
      </w:tr>
      <w:tr w:rsidR="00643896" w:rsidRPr="00640820" w14:paraId="50DF77E6" w14:textId="77777777" w:rsidTr="000D3BCB">
        <w:tc>
          <w:tcPr>
            <w:tcW w:w="1728" w:type="dxa"/>
          </w:tcPr>
          <w:p w14:paraId="446DF0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48BF19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664C64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1BADA7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6FFB62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19F115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34241DA" w14:textId="77777777" w:rsidTr="000D3BCB">
        <w:tc>
          <w:tcPr>
            <w:tcW w:w="1728" w:type="dxa"/>
          </w:tcPr>
          <w:p w14:paraId="2807A5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4864C5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513</w:t>
            </w:r>
          </w:p>
        </w:tc>
        <w:tc>
          <w:tcPr>
            <w:tcW w:w="1044" w:type="dxa"/>
          </w:tcPr>
          <w:p w14:paraId="5CE7EA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Ростов на Дону</w:t>
            </w:r>
          </w:p>
        </w:tc>
        <w:tc>
          <w:tcPr>
            <w:tcW w:w="1044" w:type="dxa"/>
          </w:tcPr>
          <w:p w14:paraId="481DD5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Челябинск</w:t>
            </w:r>
          </w:p>
        </w:tc>
        <w:tc>
          <w:tcPr>
            <w:tcW w:w="2232" w:type="dxa"/>
          </w:tcPr>
          <w:p w14:paraId="3B9464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78</w:t>
            </w:r>
          </w:p>
        </w:tc>
        <w:tc>
          <w:tcPr>
            <w:tcW w:w="2520" w:type="dxa"/>
          </w:tcPr>
          <w:p w14:paraId="46EAA8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посуда</w:t>
            </w:r>
          </w:p>
        </w:tc>
      </w:tr>
      <w:tr w:rsidR="00643896" w:rsidRPr="00640820" w14:paraId="3FBEB328" w14:textId="77777777" w:rsidTr="000D3BCB">
        <w:tc>
          <w:tcPr>
            <w:tcW w:w="1728" w:type="dxa"/>
          </w:tcPr>
          <w:p w14:paraId="0FE525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64ECFE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72E16D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4D2938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416276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795EAA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B8D6815" w14:textId="77777777" w:rsidTr="000D3BCB">
        <w:tc>
          <w:tcPr>
            <w:tcW w:w="1728" w:type="dxa"/>
          </w:tcPr>
          <w:p w14:paraId="11EBDF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20DF51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32443D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7EFF30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Новосибирск</w:t>
            </w:r>
          </w:p>
        </w:tc>
        <w:tc>
          <w:tcPr>
            <w:tcW w:w="2232" w:type="dxa"/>
          </w:tcPr>
          <w:p w14:paraId="1EE335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179</w:t>
            </w:r>
          </w:p>
        </w:tc>
        <w:tc>
          <w:tcPr>
            <w:tcW w:w="2520" w:type="dxa"/>
          </w:tcPr>
          <w:p w14:paraId="0D88FE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20мм корпуса</w:t>
            </w:r>
          </w:p>
        </w:tc>
      </w:tr>
      <w:tr w:rsidR="00643896" w:rsidRPr="00640820" w14:paraId="34997436" w14:textId="77777777" w:rsidTr="000D3BCB">
        <w:tc>
          <w:tcPr>
            <w:tcW w:w="1728" w:type="dxa"/>
          </w:tcPr>
          <w:p w14:paraId="5ADEE1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3373EB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01290C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1ED0A6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Омск</w:t>
            </w:r>
          </w:p>
        </w:tc>
        <w:tc>
          <w:tcPr>
            <w:tcW w:w="2232" w:type="dxa"/>
          </w:tcPr>
          <w:p w14:paraId="4597D6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513а</w:t>
            </w:r>
          </w:p>
        </w:tc>
        <w:tc>
          <w:tcPr>
            <w:tcW w:w="2520" w:type="dxa"/>
          </w:tcPr>
          <w:p w14:paraId="6D10B2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20мм гильзы</w:t>
            </w:r>
          </w:p>
        </w:tc>
      </w:tr>
      <w:tr w:rsidR="00643896" w:rsidRPr="00640820" w14:paraId="3A30AF38" w14:textId="77777777" w:rsidTr="000D3BCB">
        <w:tc>
          <w:tcPr>
            <w:tcW w:w="1728" w:type="dxa"/>
          </w:tcPr>
          <w:p w14:paraId="7E0BFE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2D1F23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1EA2B9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63A00F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0E7A3E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02CAD3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D112158" w14:textId="77777777" w:rsidTr="000D3BCB">
        <w:tc>
          <w:tcPr>
            <w:tcW w:w="1728" w:type="dxa"/>
          </w:tcPr>
          <w:p w14:paraId="78BED0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4B5D81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530</w:t>
            </w:r>
          </w:p>
        </w:tc>
        <w:tc>
          <w:tcPr>
            <w:tcW w:w="1044" w:type="dxa"/>
          </w:tcPr>
          <w:p w14:paraId="5D39E4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Железнодорожный</w:t>
            </w:r>
          </w:p>
        </w:tc>
        <w:tc>
          <w:tcPr>
            <w:tcW w:w="1044" w:type="dxa"/>
          </w:tcPr>
          <w:p w14:paraId="110474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Куйбышев</w:t>
            </w:r>
          </w:p>
        </w:tc>
        <w:tc>
          <w:tcPr>
            <w:tcW w:w="2232" w:type="dxa"/>
          </w:tcPr>
          <w:p w14:paraId="7306F8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530</w:t>
            </w:r>
          </w:p>
        </w:tc>
        <w:tc>
          <w:tcPr>
            <w:tcW w:w="2520" w:type="dxa"/>
          </w:tcPr>
          <w:p w14:paraId="6D7719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КВ-2</w:t>
            </w:r>
          </w:p>
        </w:tc>
      </w:tr>
      <w:tr w:rsidR="00643896" w:rsidRPr="00640820" w14:paraId="42209F1E" w14:textId="77777777" w:rsidTr="000D3BCB">
        <w:tc>
          <w:tcPr>
            <w:tcW w:w="1728" w:type="dxa"/>
          </w:tcPr>
          <w:p w14:paraId="6538E6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52E1BD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392660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10407D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151159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55AF53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949E35F" w14:textId="77777777" w:rsidTr="000D3BCB">
        <w:tc>
          <w:tcPr>
            <w:tcW w:w="1728" w:type="dxa"/>
          </w:tcPr>
          <w:p w14:paraId="78851A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256654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561</w:t>
            </w:r>
          </w:p>
        </w:tc>
        <w:tc>
          <w:tcPr>
            <w:tcW w:w="1044" w:type="dxa"/>
          </w:tcPr>
          <w:p w14:paraId="61CE50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Лианозово</w:t>
            </w:r>
          </w:p>
        </w:tc>
        <w:tc>
          <w:tcPr>
            <w:tcW w:w="1044" w:type="dxa"/>
          </w:tcPr>
          <w:p w14:paraId="42F4DB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Миасс</w:t>
            </w:r>
          </w:p>
        </w:tc>
        <w:tc>
          <w:tcPr>
            <w:tcW w:w="2232" w:type="dxa"/>
          </w:tcPr>
          <w:p w14:paraId="46A627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316</w:t>
            </w:r>
          </w:p>
        </w:tc>
        <w:tc>
          <w:tcPr>
            <w:tcW w:w="2520" w:type="dxa"/>
          </w:tcPr>
          <w:p w14:paraId="6F52DF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ФАБ-50, 100, МДШ, ДШ-100, 120мм мины</w:t>
            </w:r>
          </w:p>
        </w:tc>
      </w:tr>
      <w:tr w:rsidR="00643896" w:rsidRPr="00640820" w14:paraId="0C9441F1" w14:textId="77777777" w:rsidTr="000D3BCB">
        <w:tc>
          <w:tcPr>
            <w:tcW w:w="1728" w:type="dxa"/>
          </w:tcPr>
          <w:p w14:paraId="02A49B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7FF76E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525865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243C8C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41DEEA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1FD013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D4DA2CB" w14:textId="77777777" w:rsidTr="000D3BCB">
        <w:tc>
          <w:tcPr>
            <w:tcW w:w="1728" w:type="dxa"/>
          </w:tcPr>
          <w:p w14:paraId="2EB283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11642F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567</w:t>
            </w:r>
          </w:p>
        </w:tc>
        <w:tc>
          <w:tcPr>
            <w:tcW w:w="1044" w:type="dxa"/>
          </w:tcPr>
          <w:p w14:paraId="4B7E94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Рязань</w:t>
            </w:r>
          </w:p>
        </w:tc>
        <w:tc>
          <w:tcPr>
            <w:tcW w:w="1044" w:type="dxa"/>
          </w:tcPr>
          <w:p w14:paraId="520CD3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Невьянск</w:t>
            </w:r>
          </w:p>
        </w:tc>
        <w:tc>
          <w:tcPr>
            <w:tcW w:w="2232" w:type="dxa"/>
          </w:tcPr>
          <w:p w14:paraId="5113E0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68</w:t>
            </w:r>
          </w:p>
        </w:tc>
        <w:tc>
          <w:tcPr>
            <w:tcW w:w="2520" w:type="dxa"/>
          </w:tcPr>
          <w:p w14:paraId="028D2E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85мм снаряды, А-10</w:t>
            </w:r>
          </w:p>
        </w:tc>
      </w:tr>
      <w:tr w:rsidR="00643896" w:rsidRPr="00640820" w14:paraId="04AA05CD" w14:textId="77777777" w:rsidTr="000D3BCB">
        <w:tc>
          <w:tcPr>
            <w:tcW w:w="1728" w:type="dxa"/>
          </w:tcPr>
          <w:p w14:paraId="266B33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7995E4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066B65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611934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1F1043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4E0082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24745AA" w14:textId="77777777" w:rsidTr="000D3BCB">
        <w:tc>
          <w:tcPr>
            <w:tcW w:w="1728" w:type="dxa"/>
          </w:tcPr>
          <w:p w14:paraId="09AD39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55950D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571</w:t>
            </w:r>
          </w:p>
        </w:tc>
        <w:tc>
          <w:tcPr>
            <w:tcW w:w="1044" w:type="dxa"/>
          </w:tcPr>
          <w:p w14:paraId="522543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c>
          <w:tcPr>
            <w:tcW w:w="1044" w:type="dxa"/>
          </w:tcPr>
          <w:p w14:paraId="7A89BC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Н.Тагил</w:t>
            </w:r>
          </w:p>
        </w:tc>
        <w:tc>
          <w:tcPr>
            <w:tcW w:w="2232" w:type="dxa"/>
          </w:tcPr>
          <w:p w14:paraId="11072F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56</w:t>
            </w:r>
          </w:p>
        </w:tc>
        <w:tc>
          <w:tcPr>
            <w:tcW w:w="2520" w:type="dxa"/>
          </w:tcPr>
          <w:p w14:paraId="5BAF61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Прессование шашек для малого и среднего калибра</w:t>
            </w:r>
          </w:p>
        </w:tc>
      </w:tr>
      <w:tr w:rsidR="00643896" w:rsidRPr="00640820" w14:paraId="42294291" w14:textId="77777777" w:rsidTr="000D3BCB">
        <w:tc>
          <w:tcPr>
            <w:tcW w:w="1728" w:type="dxa"/>
          </w:tcPr>
          <w:p w14:paraId="33488F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01AE89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1FE223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417AB8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1BF3EE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7803BA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4324A00" w14:textId="77777777" w:rsidTr="000D3BCB">
        <w:tc>
          <w:tcPr>
            <w:tcW w:w="1728" w:type="dxa"/>
          </w:tcPr>
          <w:p w14:paraId="43EB99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40709C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592 НКВ</w:t>
            </w:r>
          </w:p>
        </w:tc>
        <w:tc>
          <w:tcPr>
            <w:tcW w:w="1044" w:type="dxa"/>
          </w:tcPr>
          <w:p w14:paraId="3B301E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Мытищи</w:t>
            </w:r>
          </w:p>
        </w:tc>
        <w:tc>
          <w:tcPr>
            <w:tcW w:w="1044" w:type="dxa"/>
          </w:tcPr>
          <w:p w14:paraId="400882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Челябинск</w:t>
            </w:r>
          </w:p>
        </w:tc>
        <w:tc>
          <w:tcPr>
            <w:tcW w:w="2232" w:type="dxa"/>
          </w:tcPr>
          <w:p w14:paraId="217747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78</w:t>
            </w:r>
          </w:p>
        </w:tc>
        <w:tc>
          <w:tcPr>
            <w:tcW w:w="2520" w:type="dxa"/>
          </w:tcPr>
          <w:p w14:paraId="77EE83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М-13</w:t>
            </w:r>
          </w:p>
        </w:tc>
      </w:tr>
      <w:tr w:rsidR="00643896" w:rsidRPr="00640820" w14:paraId="2AEB386B" w14:textId="77777777" w:rsidTr="000D3BCB">
        <w:tc>
          <w:tcPr>
            <w:tcW w:w="1728" w:type="dxa"/>
          </w:tcPr>
          <w:p w14:paraId="684D92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030A7F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44C5EB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77E3D0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79B2E9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5FBE84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E95321B" w14:textId="77777777" w:rsidTr="000D3BCB">
        <w:tc>
          <w:tcPr>
            <w:tcW w:w="1728" w:type="dxa"/>
          </w:tcPr>
          <w:p w14:paraId="1CE02D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НКБ, 440сс, 22/08/41</w:t>
            </w:r>
          </w:p>
        </w:tc>
        <w:tc>
          <w:tcPr>
            <w:tcW w:w="1170" w:type="dxa"/>
          </w:tcPr>
          <w:p w14:paraId="5F30E1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Артполигон</w:t>
            </w:r>
          </w:p>
        </w:tc>
        <w:tc>
          <w:tcPr>
            <w:tcW w:w="1044" w:type="dxa"/>
          </w:tcPr>
          <w:p w14:paraId="713C25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Павлоград</w:t>
            </w:r>
          </w:p>
        </w:tc>
        <w:tc>
          <w:tcPr>
            <w:tcW w:w="1044" w:type="dxa"/>
          </w:tcPr>
          <w:p w14:paraId="2B79DC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Новосибирск</w:t>
            </w:r>
          </w:p>
        </w:tc>
        <w:tc>
          <w:tcPr>
            <w:tcW w:w="2232" w:type="dxa"/>
          </w:tcPr>
          <w:p w14:paraId="7D0B31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Артполигон</w:t>
            </w:r>
          </w:p>
        </w:tc>
        <w:tc>
          <w:tcPr>
            <w:tcW w:w="2520" w:type="dxa"/>
          </w:tcPr>
          <w:p w14:paraId="317989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5A2E2D2" w14:textId="77777777" w:rsidTr="000D3BCB">
        <w:tc>
          <w:tcPr>
            <w:tcW w:w="1728" w:type="dxa"/>
          </w:tcPr>
          <w:p w14:paraId="5CAFF5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655E72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736060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536EA2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5653E6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6BACF7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A412E36" w14:textId="77777777" w:rsidTr="000D3BCB">
        <w:tc>
          <w:tcPr>
            <w:tcW w:w="1728" w:type="dxa"/>
          </w:tcPr>
          <w:p w14:paraId="34E48E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НКБ, 504сс, 08/09/41</w:t>
            </w:r>
          </w:p>
        </w:tc>
        <w:tc>
          <w:tcPr>
            <w:tcW w:w="1170" w:type="dxa"/>
          </w:tcPr>
          <w:p w14:paraId="3F3984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Авиаполигон</w:t>
            </w:r>
          </w:p>
        </w:tc>
        <w:tc>
          <w:tcPr>
            <w:tcW w:w="1044" w:type="dxa"/>
          </w:tcPr>
          <w:p w14:paraId="1C9A41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Керчь</w:t>
            </w:r>
          </w:p>
        </w:tc>
        <w:tc>
          <w:tcPr>
            <w:tcW w:w="1044" w:type="dxa"/>
          </w:tcPr>
          <w:p w14:paraId="64D79D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Чапаевск</w:t>
            </w:r>
          </w:p>
        </w:tc>
        <w:tc>
          <w:tcPr>
            <w:tcW w:w="2232" w:type="dxa"/>
          </w:tcPr>
          <w:p w14:paraId="3EB32B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Авиаполигон</w:t>
            </w:r>
          </w:p>
        </w:tc>
        <w:tc>
          <w:tcPr>
            <w:tcW w:w="2520" w:type="dxa"/>
          </w:tcPr>
          <w:p w14:paraId="7A9DFE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CCA56DF" w14:textId="77777777" w:rsidTr="000D3BCB">
        <w:tc>
          <w:tcPr>
            <w:tcW w:w="1728" w:type="dxa"/>
          </w:tcPr>
          <w:p w14:paraId="519699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199D9C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4E87F4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50B884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51BBA9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276DDD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709864B" w14:textId="77777777" w:rsidTr="000D3BCB">
        <w:tc>
          <w:tcPr>
            <w:tcW w:w="1728" w:type="dxa"/>
          </w:tcPr>
          <w:p w14:paraId="39736E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1C7039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Софринский артполигон</w:t>
            </w:r>
          </w:p>
        </w:tc>
        <w:tc>
          <w:tcPr>
            <w:tcW w:w="1044" w:type="dxa"/>
          </w:tcPr>
          <w:p w14:paraId="1856CB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Софрино</w:t>
            </w:r>
          </w:p>
        </w:tc>
        <w:tc>
          <w:tcPr>
            <w:tcW w:w="1044" w:type="dxa"/>
          </w:tcPr>
          <w:p w14:paraId="54BF73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4FC739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Уральский артполигон</w:t>
            </w:r>
          </w:p>
        </w:tc>
        <w:tc>
          <w:tcPr>
            <w:tcW w:w="2520" w:type="dxa"/>
          </w:tcPr>
          <w:p w14:paraId="28E868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6005402" w14:textId="77777777" w:rsidTr="000D3BCB">
        <w:tc>
          <w:tcPr>
            <w:tcW w:w="1728" w:type="dxa"/>
          </w:tcPr>
          <w:p w14:paraId="4371D4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00FE53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37D946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256179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277F16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519B18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07441CC" w14:textId="77777777" w:rsidTr="000D3BCB">
        <w:tc>
          <w:tcPr>
            <w:tcW w:w="1728" w:type="dxa"/>
          </w:tcPr>
          <w:p w14:paraId="15A3AB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42ED2D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Харьковский химпласт</w:t>
            </w:r>
          </w:p>
        </w:tc>
        <w:tc>
          <w:tcPr>
            <w:tcW w:w="1044" w:type="dxa"/>
          </w:tcPr>
          <w:p w14:paraId="1FEB3E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Харьков</w:t>
            </w:r>
          </w:p>
        </w:tc>
        <w:tc>
          <w:tcPr>
            <w:tcW w:w="1044" w:type="dxa"/>
          </w:tcPr>
          <w:p w14:paraId="1ED2AA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Омск</w:t>
            </w:r>
          </w:p>
        </w:tc>
        <w:tc>
          <w:tcPr>
            <w:tcW w:w="2232" w:type="dxa"/>
          </w:tcPr>
          <w:p w14:paraId="12DA78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510</w:t>
            </w:r>
          </w:p>
        </w:tc>
        <w:tc>
          <w:tcPr>
            <w:tcW w:w="2520" w:type="dxa"/>
          </w:tcPr>
          <w:p w14:paraId="6249B3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МП</w:t>
            </w:r>
          </w:p>
        </w:tc>
      </w:tr>
      <w:tr w:rsidR="00643896" w:rsidRPr="00640820" w14:paraId="246DC2AA" w14:textId="77777777" w:rsidTr="000D3BCB">
        <w:tc>
          <w:tcPr>
            <w:tcW w:w="1728" w:type="dxa"/>
          </w:tcPr>
          <w:p w14:paraId="470CFE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589075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3903E5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659204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2DBE49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7809A0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3C72D53" w14:textId="77777777" w:rsidTr="000D3BCB">
        <w:tc>
          <w:tcPr>
            <w:tcW w:w="1728" w:type="dxa"/>
          </w:tcPr>
          <w:p w14:paraId="21D1AF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04346D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Сумской завод НКОбМ</w:t>
            </w:r>
          </w:p>
        </w:tc>
        <w:tc>
          <w:tcPr>
            <w:tcW w:w="1044" w:type="dxa"/>
          </w:tcPr>
          <w:p w14:paraId="6A472B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Сумы</w:t>
            </w:r>
          </w:p>
        </w:tc>
        <w:tc>
          <w:tcPr>
            <w:tcW w:w="1044" w:type="dxa"/>
          </w:tcPr>
          <w:p w14:paraId="4760F4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Кемерово</w:t>
            </w:r>
          </w:p>
        </w:tc>
        <w:tc>
          <w:tcPr>
            <w:tcW w:w="2232" w:type="dxa"/>
          </w:tcPr>
          <w:p w14:paraId="6D9E79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392</w:t>
            </w:r>
          </w:p>
        </w:tc>
        <w:tc>
          <w:tcPr>
            <w:tcW w:w="2520" w:type="dxa"/>
          </w:tcPr>
          <w:p w14:paraId="739705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центрифуги</w:t>
            </w:r>
          </w:p>
        </w:tc>
      </w:tr>
      <w:tr w:rsidR="00643896" w:rsidRPr="00640820" w14:paraId="5205DBCF" w14:textId="77777777" w:rsidTr="000D3BCB">
        <w:tc>
          <w:tcPr>
            <w:tcW w:w="1728" w:type="dxa"/>
          </w:tcPr>
          <w:p w14:paraId="0B2269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42289F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2B86B8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6A68FE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58E619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0E619E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8C5B6E5" w14:textId="77777777" w:rsidTr="000D3BCB">
        <w:tc>
          <w:tcPr>
            <w:tcW w:w="1728" w:type="dxa"/>
          </w:tcPr>
          <w:p w14:paraId="45CE75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1C829A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Харьковский куст</w:t>
            </w:r>
          </w:p>
        </w:tc>
        <w:tc>
          <w:tcPr>
            <w:tcW w:w="1044" w:type="dxa"/>
          </w:tcPr>
          <w:p w14:paraId="59641B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Харьков</w:t>
            </w:r>
          </w:p>
        </w:tc>
        <w:tc>
          <w:tcPr>
            <w:tcW w:w="1044" w:type="dxa"/>
          </w:tcPr>
          <w:p w14:paraId="7086D6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Невьянск</w:t>
            </w:r>
          </w:p>
        </w:tc>
        <w:tc>
          <w:tcPr>
            <w:tcW w:w="2232" w:type="dxa"/>
          </w:tcPr>
          <w:p w14:paraId="7FD723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68</w:t>
            </w:r>
          </w:p>
        </w:tc>
        <w:tc>
          <w:tcPr>
            <w:tcW w:w="2520" w:type="dxa"/>
          </w:tcPr>
          <w:p w14:paraId="7B6B91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М-8</w:t>
            </w:r>
          </w:p>
        </w:tc>
      </w:tr>
      <w:tr w:rsidR="00643896" w:rsidRPr="00640820" w14:paraId="3979C058" w14:textId="77777777" w:rsidTr="000D3BCB">
        <w:tc>
          <w:tcPr>
            <w:tcW w:w="1728" w:type="dxa"/>
          </w:tcPr>
          <w:p w14:paraId="040663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04205C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687865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6DE130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730048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6CDB70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52DBC08" w14:textId="77777777" w:rsidTr="000D3BCB">
        <w:tc>
          <w:tcPr>
            <w:tcW w:w="1728" w:type="dxa"/>
          </w:tcPr>
          <w:p w14:paraId="0ED4B1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10B705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Прикукский </w:t>
            </w:r>
          </w:p>
        </w:tc>
        <w:tc>
          <w:tcPr>
            <w:tcW w:w="1044" w:type="dxa"/>
          </w:tcPr>
          <w:p w14:paraId="585176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Прилуки</w:t>
            </w:r>
          </w:p>
        </w:tc>
        <w:tc>
          <w:tcPr>
            <w:tcW w:w="1044" w:type="dxa"/>
          </w:tcPr>
          <w:p w14:paraId="4837A3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Свердловск</w:t>
            </w:r>
          </w:p>
        </w:tc>
        <w:tc>
          <w:tcPr>
            <w:tcW w:w="2232" w:type="dxa"/>
          </w:tcPr>
          <w:p w14:paraId="199223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612</w:t>
            </w:r>
          </w:p>
        </w:tc>
        <w:tc>
          <w:tcPr>
            <w:tcW w:w="2520" w:type="dxa"/>
          </w:tcPr>
          <w:p w14:paraId="166D2B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ЗАБ-50-ТГ, 76мм снаряды</w:t>
            </w:r>
          </w:p>
        </w:tc>
      </w:tr>
      <w:tr w:rsidR="00643896" w:rsidRPr="00640820" w14:paraId="0FBCB480" w14:textId="77777777" w:rsidTr="000D3BCB">
        <w:tc>
          <w:tcPr>
            <w:tcW w:w="1728" w:type="dxa"/>
          </w:tcPr>
          <w:p w14:paraId="769374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11FC18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0F3D2E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39352B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47D82F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4BA839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B5E545E" w14:textId="77777777" w:rsidTr="000D3BCB">
        <w:tc>
          <w:tcPr>
            <w:tcW w:w="1728" w:type="dxa"/>
          </w:tcPr>
          <w:p w14:paraId="556550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2AE0E6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 Шевченко</w:t>
            </w:r>
          </w:p>
        </w:tc>
        <w:tc>
          <w:tcPr>
            <w:tcW w:w="1044" w:type="dxa"/>
          </w:tcPr>
          <w:p w14:paraId="10F6DE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Харьков</w:t>
            </w:r>
          </w:p>
        </w:tc>
        <w:tc>
          <w:tcPr>
            <w:tcW w:w="1044" w:type="dxa"/>
          </w:tcPr>
          <w:p w14:paraId="69B2F7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Свердловск</w:t>
            </w:r>
          </w:p>
        </w:tc>
        <w:tc>
          <w:tcPr>
            <w:tcW w:w="2232" w:type="dxa"/>
          </w:tcPr>
          <w:p w14:paraId="11C5B1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612</w:t>
            </w:r>
          </w:p>
        </w:tc>
        <w:tc>
          <w:tcPr>
            <w:tcW w:w="2520" w:type="dxa"/>
          </w:tcPr>
          <w:p w14:paraId="6825C0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ЗАБ-50-ТГ, 76мм снаряды</w:t>
            </w:r>
          </w:p>
        </w:tc>
      </w:tr>
      <w:tr w:rsidR="00643896" w:rsidRPr="00640820" w14:paraId="0841BBC4" w14:textId="77777777" w:rsidTr="000D3BCB">
        <w:tc>
          <w:tcPr>
            <w:tcW w:w="1728" w:type="dxa"/>
          </w:tcPr>
          <w:p w14:paraId="3CD75C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2D08AA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409259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498568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1DFE50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405497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08EC13A" w14:textId="77777777" w:rsidTr="000D3BCB">
        <w:tc>
          <w:tcPr>
            <w:tcW w:w="1728" w:type="dxa"/>
          </w:tcPr>
          <w:p w14:paraId="5CCD04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40251D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Красный Профинтерн</w:t>
            </w:r>
          </w:p>
        </w:tc>
        <w:tc>
          <w:tcPr>
            <w:tcW w:w="1044" w:type="dxa"/>
          </w:tcPr>
          <w:p w14:paraId="6AEDFA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Орджоникидзеград</w:t>
            </w:r>
          </w:p>
        </w:tc>
        <w:tc>
          <w:tcPr>
            <w:tcW w:w="1044" w:type="dxa"/>
          </w:tcPr>
          <w:p w14:paraId="46BE8A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Челябинск</w:t>
            </w:r>
          </w:p>
        </w:tc>
        <w:tc>
          <w:tcPr>
            <w:tcW w:w="2232" w:type="dxa"/>
          </w:tcPr>
          <w:p w14:paraId="16DB73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78</w:t>
            </w:r>
          </w:p>
        </w:tc>
        <w:tc>
          <w:tcPr>
            <w:tcW w:w="2520" w:type="dxa"/>
          </w:tcPr>
          <w:p w14:paraId="7BD7CA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М-13</w:t>
            </w:r>
          </w:p>
        </w:tc>
      </w:tr>
      <w:tr w:rsidR="00643896" w:rsidRPr="00640820" w14:paraId="12C68840" w14:textId="77777777" w:rsidTr="000D3BCB">
        <w:tc>
          <w:tcPr>
            <w:tcW w:w="1728" w:type="dxa"/>
          </w:tcPr>
          <w:p w14:paraId="1F979D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167EF9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20337F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72A0AE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195D5B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2D82EC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9171D57" w14:textId="77777777" w:rsidTr="000D3BCB">
        <w:tc>
          <w:tcPr>
            <w:tcW w:w="1728" w:type="dxa"/>
          </w:tcPr>
          <w:p w14:paraId="6565B3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09979A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Инжекторный НКПС</w:t>
            </w:r>
          </w:p>
        </w:tc>
        <w:tc>
          <w:tcPr>
            <w:tcW w:w="1044" w:type="dxa"/>
          </w:tcPr>
          <w:p w14:paraId="180DAE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c>
          <w:tcPr>
            <w:tcW w:w="1044" w:type="dxa"/>
          </w:tcPr>
          <w:p w14:paraId="5FE2EA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Челябинск</w:t>
            </w:r>
          </w:p>
        </w:tc>
        <w:tc>
          <w:tcPr>
            <w:tcW w:w="2232" w:type="dxa"/>
          </w:tcPr>
          <w:p w14:paraId="1F491A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78</w:t>
            </w:r>
          </w:p>
        </w:tc>
        <w:tc>
          <w:tcPr>
            <w:tcW w:w="2520" w:type="dxa"/>
          </w:tcPr>
          <w:p w14:paraId="529494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М-13</w:t>
            </w:r>
          </w:p>
        </w:tc>
      </w:tr>
      <w:tr w:rsidR="00643896" w:rsidRPr="00640820" w14:paraId="2BD1F008" w14:textId="77777777" w:rsidTr="000D3BCB">
        <w:tc>
          <w:tcPr>
            <w:tcW w:w="1728" w:type="dxa"/>
          </w:tcPr>
          <w:p w14:paraId="76CD4A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3CA47E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Опытный НКПС</w:t>
            </w:r>
          </w:p>
        </w:tc>
        <w:tc>
          <w:tcPr>
            <w:tcW w:w="1044" w:type="dxa"/>
          </w:tcPr>
          <w:p w14:paraId="0D89D4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c>
          <w:tcPr>
            <w:tcW w:w="1044" w:type="dxa"/>
          </w:tcPr>
          <w:p w14:paraId="7BA71D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Челябинск</w:t>
            </w:r>
          </w:p>
        </w:tc>
        <w:tc>
          <w:tcPr>
            <w:tcW w:w="2232" w:type="dxa"/>
          </w:tcPr>
          <w:p w14:paraId="5511A8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78</w:t>
            </w:r>
          </w:p>
        </w:tc>
        <w:tc>
          <w:tcPr>
            <w:tcW w:w="2520" w:type="dxa"/>
          </w:tcPr>
          <w:p w14:paraId="2167F2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М-13</w:t>
            </w:r>
          </w:p>
        </w:tc>
      </w:tr>
      <w:tr w:rsidR="00643896" w:rsidRPr="00640820" w14:paraId="373AF4F0" w14:textId="77777777" w:rsidTr="000D3BCB">
        <w:tc>
          <w:tcPr>
            <w:tcW w:w="1728" w:type="dxa"/>
          </w:tcPr>
          <w:p w14:paraId="2FF23B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7AE8FE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Электродный</w:t>
            </w:r>
          </w:p>
        </w:tc>
        <w:tc>
          <w:tcPr>
            <w:tcW w:w="1044" w:type="dxa"/>
          </w:tcPr>
          <w:p w14:paraId="578677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c>
          <w:tcPr>
            <w:tcW w:w="1044" w:type="dxa"/>
          </w:tcPr>
          <w:p w14:paraId="5C9E40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Челябинск</w:t>
            </w:r>
          </w:p>
        </w:tc>
        <w:tc>
          <w:tcPr>
            <w:tcW w:w="2232" w:type="dxa"/>
          </w:tcPr>
          <w:p w14:paraId="3E1FD8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78</w:t>
            </w:r>
          </w:p>
        </w:tc>
        <w:tc>
          <w:tcPr>
            <w:tcW w:w="2520" w:type="dxa"/>
          </w:tcPr>
          <w:p w14:paraId="66BB37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М-13</w:t>
            </w:r>
          </w:p>
        </w:tc>
      </w:tr>
      <w:tr w:rsidR="00643896" w:rsidRPr="00640820" w14:paraId="048EE41E" w14:textId="77777777" w:rsidTr="000D3BCB">
        <w:tc>
          <w:tcPr>
            <w:tcW w:w="1728" w:type="dxa"/>
          </w:tcPr>
          <w:p w14:paraId="6BD37C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2B5CD2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 Войтовича</w:t>
            </w:r>
          </w:p>
        </w:tc>
        <w:tc>
          <w:tcPr>
            <w:tcW w:w="1044" w:type="dxa"/>
          </w:tcPr>
          <w:p w14:paraId="22FBF7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c>
          <w:tcPr>
            <w:tcW w:w="1044" w:type="dxa"/>
          </w:tcPr>
          <w:p w14:paraId="375610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Челябинск</w:t>
            </w:r>
          </w:p>
        </w:tc>
        <w:tc>
          <w:tcPr>
            <w:tcW w:w="2232" w:type="dxa"/>
          </w:tcPr>
          <w:p w14:paraId="7BCD9F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78</w:t>
            </w:r>
          </w:p>
        </w:tc>
        <w:tc>
          <w:tcPr>
            <w:tcW w:w="2520" w:type="dxa"/>
          </w:tcPr>
          <w:p w14:paraId="1A5D33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М-13</w:t>
            </w:r>
          </w:p>
        </w:tc>
      </w:tr>
      <w:tr w:rsidR="00643896" w:rsidRPr="00640820" w14:paraId="0C65B630" w14:textId="77777777" w:rsidTr="000D3BCB">
        <w:tc>
          <w:tcPr>
            <w:tcW w:w="1728" w:type="dxa"/>
          </w:tcPr>
          <w:p w14:paraId="78D202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2BA789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Метрострой</w:t>
            </w:r>
          </w:p>
        </w:tc>
        <w:tc>
          <w:tcPr>
            <w:tcW w:w="1044" w:type="dxa"/>
          </w:tcPr>
          <w:p w14:paraId="5562DA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c>
          <w:tcPr>
            <w:tcW w:w="1044" w:type="dxa"/>
          </w:tcPr>
          <w:p w14:paraId="4C675F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Челябинск</w:t>
            </w:r>
          </w:p>
        </w:tc>
        <w:tc>
          <w:tcPr>
            <w:tcW w:w="2232" w:type="dxa"/>
          </w:tcPr>
          <w:p w14:paraId="34D298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78</w:t>
            </w:r>
          </w:p>
        </w:tc>
        <w:tc>
          <w:tcPr>
            <w:tcW w:w="2520" w:type="dxa"/>
          </w:tcPr>
          <w:p w14:paraId="0E41C6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М-13</w:t>
            </w:r>
          </w:p>
        </w:tc>
      </w:tr>
      <w:tr w:rsidR="00643896" w:rsidRPr="00640820" w14:paraId="7F05578E" w14:textId="77777777" w:rsidTr="000D3BCB">
        <w:tc>
          <w:tcPr>
            <w:tcW w:w="1728" w:type="dxa"/>
          </w:tcPr>
          <w:p w14:paraId="350B15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05475C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Ситцевая фабрика</w:t>
            </w:r>
          </w:p>
        </w:tc>
        <w:tc>
          <w:tcPr>
            <w:tcW w:w="1044" w:type="dxa"/>
          </w:tcPr>
          <w:p w14:paraId="1DB397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c>
          <w:tcPr>
            <w:tcW w:w="1044" w:type="dxa"/>
          </w:tcPr>
          <w:p w14:paraId="0DC31C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Челябинск</w:t>
            </w:r>
          </w:p>
        </w:tc>
        <w:tc>
          <w:tcPr>
            <w:tcW w:w="2232" w:type="dxa"/>
          </w:tcPr>
          <w:p w14:paraId="112F50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78</w:t>
            </w:r>
          </w:p>
        </w:tc>
        <w:tc>
          <w:tcPr>
            <w:tcW w:w="2520" w:type="dxa"/>
          </w:tcPr>
          <w:p w14:paraId="5F3493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М-13</w:t>
            </w:r>
          </w:p>
        </w:tc>
      </w:tr>
      <w:tr w:rsidR="00643896" w:rsidRPr="00640820" w14:paraId="7A75EF34" w14:textId="77777777" w:rsidTr="000D3BCB">
        <w:tc>
          <w:tcPr>
            <w:tcW w:w="1728" w:type="dxa"/>
          </w:tcPr>
          <w:p w14:paraId="0AFCD2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20228D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Карачаровский</w:t>
            </w:r>
          </w:p>
        </w:tc>
        <w:tc>
          <w:tcPr>
            <w:tcW w:w="1044" w:type="dxa"/>
          </w:tcPr>
          <w:p w14:paraId="689473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c>
          <w:tcPr>
            <w:tcW w:w="1044" w:type="dxa"/>
          </w:tcPr>
          <w:p w14:paraId="221397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Челябинск</w:t>
            </w:r>
          </w:p>
        </w:tc>
        <w:tc>
          <w:tcPr>
            <w:tcW w:w="2232" w:type="dxa"/>
          </w:tcPr>
          <w:p w14:paraId="649DA5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78</w:t>
            </w:r>
          </w:p>
        </w:tc>
        <w:tc>
          <w:tcPr>
            <w:tcW w:w="2520" w:type="dxa"/>
          </w:tcPr>
          <w:p w14:paraId="0EDE1F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М-13</w:t>
            </w:r>
          </w:p>
        </w:tc>
      </w:tr>
      <w:tr w:rsidR="00643896" w:rsidRPr="00640820" w14:paraId="60DE3906" w14:textId="77777777" w:rsidTr="000D3BCB">
        <w:tc>
          <w:tcPr>
            <w:tcW w:w="1728" w:type="dxa"/>
          </w:tcPr>
          <w:p w14:paraId="19669C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109DD2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Красный путь</w:t>
            </w:r>
          </w:p>
        </w:tc>
        <w:tc>
          <w:tcPr>
            <w:tcW w:w="1044" w:type="dxa"/>
          </w:tcPr>
          <w:p w14:paraId="11A2A7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c>
          <w:tcPr>
            <w:tcW w:w="1044" w:type="dxa"/>
          </w:tcPr>
          <w:p w14:paraId="27FA78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Челябинск</w:t>
            </w:r>
          </w:p>
        </w:tc>
        <w:tc>
          <w:tcPr>
            <w:tcW w:w="2232" w:type="dxa"/>
          </w:tcPr>
          <w:p w14:paraId="4EF5E2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78</w:t>
            </w:r>
          </w:p>
        </w:tc>
        <w:tc>
          <w:tcPr>
            <w:tcW w:w="2520" w:type="dxa"/>
          </w:tcPr>
          <w:p w14:paraId="4A029A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М-13</w:t>
            </w:r>
          </w:p>
        </w:tc>
      </w:tr>
      <w:tr w:rsidR="00643896" w:rsidRPr="00640820" w14:paraId="412319D0" w14:textId="77777777" w:rsidTr="000D3BCB">
        <w:tc>
          <w:tcPr>
            <w:tcW w:w="1728" w:type="dxa"/>
          </w:tcPr>
          <w:p w14:paraId="483E7E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2091C1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Шарикоподшипник</w:t>
            </w:r>
          </w:p>
        </w:tc>
        <w:tc>
          <w:tcPr>
            <w:tcW w:w="1044" w:type="dxa"/>
          </w:tcPr>
          <w:p w14:paraId="12BFE4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c>
          <w:tcPr>
            <w:tcW w:w="1044" w:type="dxa"/>
          </w:tcPr>
          <w:p w14:paraId="66B127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Челябинск</w:t>
            </w:r>
          </w:p>
        </w:tc>
        <w:tc>
          <w:tcPr>
            <w:tcW w:w="2232" w:type="dxa"/>
          </w:tcPr>
          <w:p w14:paraId="353438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78</w:t>
            </w:r>
          </w:p>
        </w:tc>
        <w:tc>
          <w:tcPr>
            <w:tcW w:w="2520" w:type="dxa"/>
          </w:tcPr>
          <w:p w14:paraId="2F71F0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М-13</w:t>
            </w:r>
          </w:p>
        </w:tc>
      </w:tr>
      <w:tr w:rsidR="00643896" w:rsidRPr="00640820" w14:paraId="464572F7" w14:textId="77777777" w:rsidTr="000D3BCB">
        <w:tc>
          <w:tcPr>
            <w:tcW w:w="1728" w:type="dxa"/>
          </w:tcPr>
          <w:p w14:paraId="7AA221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38F846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Кольчугинский</w:t>
            </w:r>
          </w:p>
        </w:tc>
        <w:tc>
          <w:tcPr>
            <w:tcW w:w="1044" w:type="dxa"/>
          </w:tcPr>
          <w:p w14:paraId="27AD45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Кольчугино</w:t>
            </w:r>
          </w:p>
        </w:tc>
        <w:tc>
          <w:tcPr>
            <w:tcW w:w="1044" w:type="dxa"/>
          </w:tcPr>
          <w:p w14:paraId="3D631B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Челябинск</w:t>
            </w:r>
          </w:p>
        </w:tc>
        <w:tc>
          <w:tcPr>
            <w:tcW w:w="2232" w:type="dxa"/>
          </w:tcPr>
          <w:p w14:paraId="1E2501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78</w:t>
            </w:r>
          </w:p>
        </w:tc>
        <w:tc>
          <w:tcPr>
            <w:tcW w:w="2520" w:type="dxa"/>
          </w:tcPr>
          <w:p w14:paraId="0CAC3A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М-13</w:t>
            </w:r>
          </w:p>
        </w:tc>
      </w:tr>
      <w:tr w:rsidR="00643896" w:rsidRPr="00640820" w14:paraId="274B33C3" w14:textId="77777777" w:rsidTr="000D3BCB">
        <w:tc>
          <w:tcPr>
            <w:tcW w:w="1728" w:type="dxa"/>
          </w:tcPr>
          <w:p w14:paraId="715843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6214E5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56AF21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179315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Pr>
          <w:p w14:paraId="00A742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Pr>
          <w:p w14:paraId="2B9C53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CC5E7C9" w14:textId="77777777" w:rsidTr="000D3BCB">
        <w:tc>
          <w:tcPr>
            <w:tcW w:w="1728" w:type="dxa"/>
          </w:tcPr>
          <w:p w14:paraId="0B0D8E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2219FD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ЦИТМ</w:t>
            </w:r>
          </w:p>
        </w:tc>
        <w:tc>
          <w:tcPr>
            <w:tcW w:w="1044" w:type="dxa"/>
          </w:tcPr>
          <w:p w14:paraId="5A1E02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c>
          <w:tcPr>
            <w:tcW w:w="1044" w:type="dxa"/>
          </w:tcPr>
          <w:p w14:paraId="4C41B5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Томск</w:t>
            </w:r>
          </w:p>
        </w:tc>
        <w:tc>
          <w:tcPr>
            <w:tcW w:w="2232" w:type="dxa"/>
          </w:tcPr>
          <w:p w14:paraId="0FD453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Ленинский просп., 5</w:t>
            </w:r>
          </w:p>
        </w:tc>
        <w:tc>
          <w:tcPr>
            <w:tcW w:w="2520" w:type="dxa"/>
          </w:tcPr>
          <w:p w14:paraId="5F8FDA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8D0F36E" w14:textId="77777777" w:rsidTr="000D3BCB">
        <w:tc>
          <w:tcPr>
            <w:tcW w:w="1728" w:type="dxa"/>
            <w:tcBorders>
              <w:bottom w:val="single" w:sz="12" w:space="0" w:color="auto"/>
            </w:tcBorders>
          </w:tcPr>
          <w:p w14:paraId="3F59CC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Borders>
              <w:bottom w:val="single" w:sz="12" w:space="0" w:color="auto"/>
            </w:tcBorders>
          </w:tcPr>
          <w:p w14:paraId="7317A8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Borders>
              <w:bottom w:val="single" w:sz="12" w:space="0" w:color="auto"/>
            </w:tcBorders>
          </w:tcPr>
          <w:p w14:paraId="6D9B4E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Borders>
              <w:bottom w:val="single" w:sz="12" w:space="0" w:color="auto"/>
            </w:tcBorders>
          </w:tcPr>
          <w:p w14:paraId="7A0EB0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32" w:type="dxa"/>
            <w:tcBorders>
              <w:bottom w:val="single" w:sz="12" w:space="0" w:color="auto"/>
            </w:tcBorders>
          </w:tcPr>
          <w:p w14:paraId="20A64A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520" w:type="dxa"/>
            <w:tcBorders>
              <w:bottom w:val="single" w:sz="12" w:space="0" w:color="auto"/>
            </w:tcBorders>
          </w:tcPr>
          <w:p w14:paraId="267EC8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bl>
    <w:p w14:paraId="3317A1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(10452, 10453)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18"/>
        <w:gridCol w:w="1302"/>
        <w:gridCol w:w="1201"/>
        <w:gridCol w:w="1101"/>
        <w:gridCol w:w="1726"/>
        <w:gridCol w:w="1870"/>
      </w:tblGrid>
      <w:tr w:rsidR="00643896" w:rsidRPr="00640820" w14:paraId="2BD59859" w14:textId="77777777" w:rsidTr="000D3BCB">
        <w:tc>
          <w:tcPr>
            <w:tcW w:w="918" w:type="dxa"/>
            <w:tcBorders>
              <w:top w:val="single" w:sz="12" w:space="0" w:color="auto"/>
            </w:tcBorders>
          </w:tcPr>
          <w:p w14:paraId="2C996E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w:t>
            </w:r>
          </w:p>
        </w:tc>
        <w:tc>
          <w:tcPr>
            <w:tcW w:w="1302" w:type="dxa"/>
            <w:tcBorders>
              <w:top w:val="single" w:sz="12" w:space="0" w:color="auto"/>
            </w:tcBorders>
          </w:tcPr>
          <w:p w14:paraId="1522A8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Куда</w:t>
            </w:r>
          </w:p>
        </w:tc>
        <w:tc>
          <w:tcPr>
            <w:tcW w:w="1201" w:type="dxa"/>
            <w:tcBorders>
              <w:top w:val="single" w:sz="12" w:space="0" w:color="auto"/>
            </w:tcBorders>
          </w:tcPr>
          <w:p w14:paraId="6D95E0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01" w:type="dxa"/>
            <w:tcBorders>
              <w:top w:val="single" w:sz="12" w:space="0" w:color="auto"/>
            </w:tcBorders>
          </w:tcPr>
          <w:p w14:paraId="29C5F5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Профиль</w:t>
            </w:r>
          </w:p>
        </w:tc>
        <w:tc>
          <w:tcPr>
            <w:tcW w:w="1726" w:type="dxa"/>
            <w:tcBorders>
              <w:top w:val="single" w:sz="12" w:space="0" w:color="auto"/>
            </w:tcBorders>
          </w:tcPr>
          <w:p w14:paraId="2A78DF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870" w:type="dxa"/>
            <w:tcBorders>
              <w:top w:val="single" w:sz="12" w:space="0" w:color="auto"/>
            </w:tcBorders>
          </w:tcPr>
          <w:p w14:paraId="7A1251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Откуда</w:t>
            </w:r>
          </w:p>
        </w:tc>
      </w:tr>
      <w:tr w:rsidR="00643896" w:rsidRPr="00640820" w14:paraId="1CD7C4F9" w14:textId="77777777" w:rsidTr="000D3BCB">
        <w:tc>
          <w:tcPr>
            <w:tcW w:w="918" w:type="dxa"/>
          </w:tcPr>
          <w:p w14:paraId="3C4251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572DD9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14FD6D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594F26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4C71F0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A3636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9BD80A9" w14:textId="77777777" w:rsidTr="000D3BCB">
        <w:tc>
          <w:tcPr>
            <w:tcW w:w="918" w:type="dxa"/>
          </w:tcPr>
          <w:p w14:paraId="1CAC40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173AEE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Казань</w:t>
            </w:r>
          </w:p>
        </w:tc>
        <w:tc>
          <w:tcPr>
            <w:tcW w:w="1201" w:type="dxa"/>
          </w:tcPr>
          <w:p w14:paraId="4AD74F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Мехкомбинат НКЛП, потом 4а</w:t>
            </w:r>
          </w:p>
        </w:tc>
        <w:tc>
          <w:tcPr>
            <w:tcW w:w="1101" w:type="dxa"/>
          </w:tcPr>
          <w:p w14:paraId="411AB2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РГМ, ГВМЗ, АПУВ, К-3</w:t>
            </w:r>
          </w:p>
        </w:tc>
        <w:tc>
          <w:tcPr>
            <w:tcW w:w="1726" w:type="dxa"/>
          </w:tcPr>
          <w:p w14:paraId="38518F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1870" w:type="dxa"/>
          </w:tcPr>
          <w:p w14:paraId="2C0DD5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Ленинград</w:t>
            </w:r>
          </w:p>
        </w:tc>
      </w:tr>
      <w:tr w:rsidR="00643896" w:rsidRPr="00640820" w14:paraId="51AAF0B0" w14:textId="77777777" w:rsidTr="000D3BCB">
        <w:tc>
          <w:tcPr>
            <w:tcW w:w="918" w:type="dxa"/>
          </w:tcPr>
          <w:p w14:paraId="65FD8D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4B17A0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6464FF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11BDC6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387820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37103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2791E9A" w14:textId="77777777" w:rsidTr="000D3BCB">
        <w:tc>
          <w:tcPr>
            <w:tcW w:w="918" w:type="dxa"/>
          </w:tcPr>
          <w:p w14:paraId="25E072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2E9439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Казань</w:t>
            </w:r>
          </w:p>
        </w:tc>
        <w:tc>
          <w:tcPr>
            <w:tcW w:w="1201" w:type="dxa"/>
          </w:tcPr>
          <w:p w14:paraId="078080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w:t>
            </w:r>
          </w:p>
        </w:tc>
        <w:tc>
          <w:tcPr>
            <w:tcW w:w="1101" w:type="dxa"/>
          </w:tcPr>
          <w:p w14:paraId="67CC1C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Пироксилиновый порох</w:t>
            </w:r>
          </w:p>
        </w:tc>
        <w:tc>
          <w:tcPr>
            <w:tcW w:w="1726" w:type="dxa"/>
          </w:tcPr>
          <w:p w14:paraId="1C5B51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w:t>
            </w:r>
          </w:p>
        </w:tc>
        <w:tc>
          <w:tcPr>
            <w:tcW w:w="1870" w:type="dxa"/>
          </w:tcPr>
          <w:p w14:paraId="766457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Алексин</w:t>
            </w:r>
          </w:p>
        </w:tc>
      </w:tr>
      <w:tr w:rsidR="00643896" w:rsidRPr="00640820" w14:paraId="15E133EA" w14:textId="77777777" w:rsidTr="000D3BCB">
        <w:tc>
          <w:tcPr>
            <w:tcW w:w="918" w:type="dxa"/>
          </w:tcPr>
          <w:p w14:paraId="7B979E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02B733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Казань</w:t>
            </w:r>
          </w:p>
        </w:tc>
        <w:tc>
          <w:tcPr>
            <w:tcW w:w="1201" w:type="dxa"/>
          </w:tcPr>
          <w:p w14:paraId="492C4A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w:t>
            </w:r>
          </w:p>
        </w:tc>
        <w:tc>
          <w:tcPr>
            <w:tcW w:w="1101" w:type="dxa"/>
          </w:tcPr>
          <w:p w14:paraId="43448F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38439F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tc>
        <w:tc>
          <w:tcPr>
            <w:tcW w:w="1870" w:type="dxa"/>
          </w:tcPr>
          <w:p w14:paraId="154F14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Шостка</w:t>
            </w:r>
          </w:p>
        </w:tc>
      </w:tr>
      <w:tr w:rsidR="00643896" w:rsidRPr="00640820" w14:paraId="2B61CCBC" w14:textId="77777777" w:rsidTr="000D3BCB">
        <w:tc>
          <w:tcPr>
            <w:tcW w:w="918" w:type="dxa"/>
          </w:tcPr>
          <w:p w14:paraId="7B915D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12C146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1BB776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685466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08DD6A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14126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129BC92" w14:textId="77777777" w:rsidTr="000D3BCB">
        <w:tc>
          <w:tcPr>
            <w:tcW w:w="918" w:type="dxa"/>
          </w:tcPr>
          <w:p w14:paraId="61F819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060918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Куйбышев</w:t>
            </w:r>
          </w:p>
        </w:tc>
        <w:tc>
          <w:tcPr>
            <w:tcW w:w="1201" w:type="dxa"/>
          </w:tcPr>
          <w:p w14:paraId="25FD1B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42</w:t>
            </w:r>
          </w:p>
        </w:tc>
        <w:tc>
          <w:tcPr>
            <w:tcW w:w="1101" w:type="dxa"/>
          </w:tcPr>
          <w:p w14:paraId="7A0C18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ВМ-7, ВМ-16</w:t>
            </w:r>
          </w:p>
        </w:tc>
        <w:tc>
          <w:tcPr>
            <w:tcW w:w="1726" w:type="dxa"/>
          </w:tcPr>
          <w:p w14:paraId="3D088F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398</w:t>
            </w:r>
          </w:p>
        </w:tc>
        <w:tc>
          <w:tcPr>
            <w:tcW w:w="1870" w:type="dxa"/>
          </w:tcPr>
          <w:p w14:paraId="0C64C6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r>
      <w:tr w:rsidR="00643896" w:rsidRPr="00640820" w14:paraId="437BBE5C" w14:textId="77777777" w:rsidTr="000D3BCB">
        <w:tc>
          <w:tcPr>
            <w:tcW w:w="918" w:type="dxa"/>
          </w:tcPr>
          <w:p w14:paraId="0933FA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2A1B8C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7DF866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3D8824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2AE6CC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337EC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830907A" w14:textId="77777777" w:rsidTr="000D3BCB">
        <w:tc>
          <w:tcPr>
            <w:tcW w:w="918" w:type="dxa"/>
          </w:tcPr>
          <w:p w14:paraId="7D42AC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01D17C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Н.Тагил</w:t>
            </w:r>
          </w:p>
        </w:tc>
        <w:tc>
          <w:tcPr>
            <w:tcW w:w="1201" w:type="dxa"/>
          </w:tcPr>
          <w:p w14:paraId="5C92A1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56</w:t>
            </w:r>
          </w:p>
        </w:tc>
        <w:tc>
          <w:tcPr>
            <w:tcW w:w="1101" w:type="dxa"/>
          </w:tcPr>
          <w:p w14:paraId="0043C9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Прессование шашек для малого и среднего калибра</w:t>
            </w:r>
          </w:p>
        </w:tc>
        <w:tc>
          <w:tcPr>
            <w:tcW w:w="1726" w:type="dxa"/>
          </w:tcPr>
          <w:p w14:paraId="439A82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571</w:t>
            </w:r>
          </w:p>
        </w:tc>
        <w:tc>
          <w:tcPr>
            <w:tcW w:w="1870" w:type="dxa"/>
          </w:tcPr>
          <w:p w14:paraId="198A42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r>
      <w:tr w:rsidR="00643896" w:rsidRPr="00640820" w14:paraId="2F80156B" w14:textId="77777777" w:rsidTr="000D3BCB">
        <w:tc>
          <w:tcPr>
            <w:tcW w:w="918" w:type="dxa"/>
          </w:tcPr>
          <w:p w14:paraId="2A237D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2E8E8D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Н.Тагил</w:t>
            </w:r>
          </w:p>
        </w:tc>
        <w:tc>
          <w:tcPr>
            <w:tcW w:w="1201" w:type="dxa"/>
          </w:tcPr>
          <w:p w14:paraId="2DCA7F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56</w:t>
            </w:r>
          </w:p>
        </w:tc>
        <w:tc>
          <w:tcPr>
            <w:tcW w:w="1101" w:type="dxa"/>
          </w:tcPr>
          <w:p w14:paraId="4C907C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Снаряжение малокалиберных снарядов</w:t>
            </w:r>
          </w:p>
        </w:tc>
        <w:tc>
          <w:tcPr>
            <w:tcW w:w="1726" w:type="dxa"/>
          </w:tcPr>
          <w:p w14:paraId="5E1132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113</w:t>
            </w:r>
          </w:p>
        </w:tc>
        <w:tc>
          <w:tcPr>
            <w:tcW w:w="1870" w:type="dxa"/>
          </w:tcPr>
          <w:p w14:paraId="54CBF4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Сельцо Брянское</w:t>
            </w:r>
          </w:p>
        </w:tc>
      </w:tr>
      <w:tr w:rsidR="00643896" w:rsidRPr="00640820" w14:paraId="523B6FFD" w14:textId="77777777" w:rsidTr="000D3BCB">
        <w:tc>
          <w:tcPr>
            <w:tcW w:w="918" w:type="dxa"/>
          </w:tcPr>
          <w:p w14:paraId="5FC284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4457CD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Н.Тагил</w:t>
            </w:r>
          </w:p>
        </w:tc>
        <w:tc>
          <w:tcPr>
            <w:tcW w:w="1201" w:type="dxa"/>
          </w:tcPr>
          <w:p w14:paraId="77823A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56</w:t>
            </w:r>
          </w:p>
        </w:tc>
        <w:tc>
          <w:tcPr>
            <w:tcW w:w="1101" w:type="dxa"/>
          </w:tcPr>
          <w:p w14:paraId="59F82F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Снаряжение ФАБ и мин</w:t>
            </w:r>
          </w:p>
        </w:tc>
        <w:tc>
          <w:tcPr>
            <w:tcW w:w="1726" w:type="dxa"/>
          </w:tcPr>
          <w:p w14:paraId="2145F3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55</w:t>
            </w:r>
          </w:p>
        </w:tc>
        <w:tc>
          <w:tcPr>
            <w:tcW w:w="1870" w:type="dxa"/>
          </w:tcPr>
          <w:p w14:paraId="13AC40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Павлоград</w:t>
            </w:r>
          </w:p>
        </w:tc>
      </w:tr>
      <w:tr w:rsidR="00643896" w:rsidRPr="00640820" w14:paraId="6206350C" w14:textId="77777777" w:rsidTr="000D3BCB">
        <w:tc>
          <w:tcPr>
            <w:tcW w:w="918" w:type="dxa"/>
          </w:tcPr>
          <w:p w14:paraId="4D4430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4BF249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29078E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21FD41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0BCDA4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B3818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06F1B0E" w14:textId="77777777" w:rsidTr="000D3BCB">
        <w:tc>
          <w:tcPr>
            <w:tcW w:w="918" w:type="dxa"/>
          </w:tcPr>
          <w:p w14:paraId="232DEE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341F54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Челябинск</w:t>
            </w:r>
          </w:p>
        </w:tc>
        <w:tc>
          <w:tcPr>
            <w:tcW w:w="1201" w:type="dxa"/>
          </w:tcPr>
          <w:p w14:paraId="310470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Склад УГМР, завод 62</w:t>
            </w:r>
          </w:p>
        </w:tc>
        <w:tc>
          <w:tcPr>
            <w:tcW w:w="1101" w:type="dxa"/>
          </w:tcPr>
          <w:p w14:paraId="1259AB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20мм, 25мм, 37мм снаряды</w:t>
            </w:r>
          </w:p>
        </w:tc>
        <w:tc>
          <w:tcPr>
            <w:tcW w:w="1726" w:type="dxa"/>
          </w:tcPr>
          <w:p w14:paraId="150457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62</w:t>
            </w:r>
          </w:p>
        </w:tc>
        <w:tc>
          <w:tcPr>
            <w:tcW w:w="1870" w:type="dxa"/>
          </w:tcPr>
          <w:p w14:paraId="62A78A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Ярославль</w:t>
            </w:r>
          </w:p>
        </w:tc>
      </w:tr>
      <w:tr w:rsidR="00643896" w:rsidRPr="00640820" w14:paraId="6A7BD8E2" w14:textId="77777777" w:rsidTr="000D3BCB">
        <w:tc>
          <w:tcPr>
            <w:tcW w:w="918" w:type="dxa"/>
          </w:tcPr>
          <w:p w14:paraId="516DBA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798D60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3FAC2E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4B75E8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056514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1E071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86AD227" w14:textId="77777777" w:rsidTr="000D3BCB">
        <w:tc>
          <w:tcPr>
            <w:tcW w:w="918" w:type="dxa"/>
          </w:tcPr>
          <w:p w14:paraId="2C3C54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2182C3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Н.Тагил</w:t>
            </w:r>
          </w:p>
        </w:tc>
        <w:tc>
          <w:tcPr>
            <w:tcW w:w="1201" w:type="dxa"/>
          </w:tcPr>
          <w:p w14:paraId="3083F8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63</w:t>
            </w:r>
          </w:p>
        </w:tc>
        <w:tc>
          <w:tcPr>
            <w:tcW w:w="1101" w:type="dxa"/>
          </w:tcPr>
          <w:p w14:paraId="51EA56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76мм сняряды, 152 мм снаряды</w:t>
            </w:r>
          </w:p>
        </w:tc>
        <w:tc>
          <w:tcPr>
            <w:tcW w:w="1726" w:type="dxa"/>
          </w:tcPr>
          <w:p w14:paraId="25FBF5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73</w:t>
            </w:r>
          </w:p>
        </w:tc>
        <w:tc>
          <w:tcPr>
            <w:tcW w:w="1870" w:type="dxa"/>
          </w:tcPr>
          <w:p w14:paraId="4E06DD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Сталино</w:t>
            </w:r>
          </w:p>
        </w:tc>
      </w:tr>
      <w:tr w:rsidR="00643896" w:rsidRPr="00640820" w14:paraId="4B4849DE" w14:textId="77777777" w:rsidTr="000D3BCB">
        <w:tc>
          <w:tcPr>
            <w:tcW w:w="918" w:type="dxa"/>
          </w:tcPr>
          <w:p w14:paraId="350D1D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533750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0C119D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1ACE62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7AAC97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A2A13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0123641" w14:textId="77777777" w:rsidTr="000D3BCB">
        <w:tc>
          <w:tcPr>
            <w:tcW w:w="918" w:type="dxa"/>
          </w:tcPr>
          <w:p w14:paraId="2F46A1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43BE66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Невьянск</w:t>
            </w:r>
          </w:p>
        </w:tc>
        <w:tc>
          <w:tcPr>
            <w:tcW w:w="1201" w:type="dxa"/>
          </w:tcPr>
          <w:p w14:paraId="7A7A83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68</w:t>
            </w:r>
          </w:p>
        </w:tc>
        <w:tc>
          <w:tcPr>
            <w:tcW w:w="1101" w:type="dxa"/>
          </w:tcPr>
          <w:p w14:paraId="490C80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М-8</w:t>
            </w:r>
          </w:p>
        </w:tc>
        <w:tc>
          <w:tcPr>
            <w:tcW w:w="1726" w:type="dxa"/>
          </w:tcPr>
          <w:p w14:paraId="7FB568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Харьковский куст</w:t>
            </w:r>
          </w:p>
        </w:tc>
        <w:tc>
          <w:tcPr>
            <w:tcW w:w="1870" w:type="dxa"/>
          </w:tcPr>
          <w:p w14:paraId="6D667E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Харьков</w:t>
            </w:r>
          </w:p>
        </w:tc>
      </w:tr>
      <w:tr w:rsidR="00643896" w:rsidRPr="00640820" w14:paraId="4CD2279B" w14:textId="77777777" w:rsidTr="000D3BCB">
        <w:tc>
          <w:tcPr>
            <w:tcW w:w="918" w:type="dxa"/>
          </w:tcPr>
          <w:p w14:paraId="25B80A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206FBF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Невьянск</w:t>
            </w:r>
          </w:p>
        </w:tc>
        <w:tc>
          <w:tcPr>
            <w:tcW w:w="1201" w:type="dxa"/>
          </w:tcPr>
          <w:p w14:paraId="7A0AE7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68</w:t>
            </w:r>
          </w:p>
        </w:tc>
        <w:tc>
          <w:tcPr>
            <w:tcW w:w="1101" w:type="dxa"/>
          </w:tcPr>
          <w:p w14:paraId="0F7072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85мм снаряды, А-10</w:t>
            </w:r>
          </w:p>
        </w:tc>
        <w:tc>
          <w:tcPr>
            <w:tcW w:w="1726" w:type="dxa"/>
          </w:tcPr>
          <w:p w14:paraId="67D509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567</w:t>
            </w:r>
          </w:p>
        </w:tc>
        <w:tc>
          <w:tcPr>
            <w:tcW w:w="1870" w:type="dxa"/>
          </w:tcPr>
          <w:p w14:paraId="72E817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Рязань</w:t>
            </w:r>
          </w:p>
        </w:tc>
      </w:tr>
      <w:tr w:rsidR="00643896" w:rsidRPr="00640820" w14:paraId="0E2C7996" w14:textId="77777777" w:rsidTr="000D3BCB">
        <w:tc>
          <w:tcPr>
            <w:tcW w:w="918" w:type="dxa"/>
          </w:tcPr>
          <w:p w14:paraId="354648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645016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Невьянск</w:t>
            </w:r>
          </w:p>
        </w:tc>
        <w:tc>
          <w:tcPr>
            <w:tcW w:w="1201" w:type="dxa"/>
          </w:tcPr>
          <w:p w14:paraId="6F83A6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68</w:t>
            </w:r>
          </w:p>
        </w:tc>
        <w:tc>
          <w:tcPr>
            <w:tcW w:w="1101" w:type="dxa"/>
          </w:tcPr>
          <w:p w14:paraId="289260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85мм снаряды</w:t>
            </w:r>
          </w:p>
        </w:tc>
        <w:tc>
          <w:tcPr>
            <w:tcW w:w="1726" w:type="dxa"/>
          </w:tcPr>
          <w:p w14:paraId="127CC9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70</w:t>
            </w:r>
          </w:p>
        </w:tc>
        <w:tc>
          <w:tcPr>
            <w:tcW w:w="1870" w:type="dxa"/>
          </w:tcPr>
          <w:p w14:paraId="5859F5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r>
      <w:tr w:rsidR="00643896" w:rsidRPr="00640820" w14:paraId="754149C1" w14:textId="77777777" w:rsidTr="000D3BCB">
        <w:tc>
          <w:tcPr>
            <w:tcW w:w="918" w:type="dxa"/>
          </w:tcPr>
          <w:p w14:paraId="5B411E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6C3DBD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1797B2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31962E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6987C0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7E2DC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9D5B951" w14:textId="77777777" w:rsidTr="000D3BCB">
        <w:tc>
          <w:tcPr>
            <w:tcW w:w="918" w:type="dxa"/>
          </w:tcPr>
          <w:p w14:paraId="64B768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6B1E92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В.Тура</w:t>
            </w:r>
          </w:p>
        </w:tc>
        <w:tc>
          <w:tcPr>
            <w:tcW w:w="1201" w:type="dxa"/>
          </w:tcPr>
          <w:p w14:paraId="0EDBE7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72</w:t>
            </w:r>
          </w:p>
        </w:tc>
        <w:tc>
          <w:tcPr>
            <w:tcW w:w="1101" w:type="dxa"/>
          </w:tcPr>
          <w:p w14:paraId="255C4B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152мм снаряды</w:t>
            </w:r>
          </w:p>
        </w:tc>
        <w:tc>
          <w:tcPr>
            <w:tcW w:w="1726" w:type="dxa"/>
          </w:tcPr>
          <w:p w14:paraId="60B927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73</w:t>
            </w:r>
          </w:p>
        </w:tc>
        <w:tc>
          <w:tcPr>
            <w:tcW w:w="1870" w:type="dxa"/>
          </w:tcPr>
          <w:p w14:paraId="3A1A9B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Сталино</w:t>
            </w:r>
          </w:p>
        </w:tc>
      </w:tr>
      <w:tr w:rsidR="00643896" w:rsidRPr="00640820" w14:paraId="4F141477" w14:textId="77777777" w:rsidTr="000D3BCB">
        <w:tc>
          <w:tcPr>
            <w:tcW w:w="918" w:type="dxa"/>
          </w:tcPr>
          <w:p w14:paraId="073324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500B44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5B431C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38A4B1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213EE8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56357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3493DF3" w14:textId="77777777" w:rsidTr="000D3BCB">
        <w:tc>
          <w:tcPr>
            <w:tcW w:w="918" w:type="dxa"/>
          </w:tcPr>
          <w:p w14:paraId="5061FF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5A8596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Челябинск</w:t>
            </w:r>
          </w:p>
        </w:tc>
        <w:tc>
          <w:tcPr>
            <w:tcW w:w="1201" w:type="dxa"/>
          </w:tcPr>
          <w:p w14:paraId="51E748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78</w:t>
            </w:r>
          </w:p>
        </w:tc>
        <w:tc>
          <w:tcPr>
            <w:tcW w:w="1101" w:type="dxa"/>
          </w:tcPr>
          <w:p w14:paraId="30D17B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М-13</w:t>
            </w:r>
          </w:p>
        </w:tc>
        <w:tc>
          <w:tcPr>
            <w:tcW w:w="1726" w:type="dxa"/>
          </w:tcPr>
          <w:p w14:paraId="6F7F70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Инжекторный НКПС</w:t>
            </w:r>
          </w:p>
        </w:tc>
        <w:tc>
          <w:tcPr>
            <w:tcW w:w="1870" w:type="dxa"/>
          </w:tcPr>
          <w:p w14:paraId="071748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r>
      <w:tr w:rsidR="00643896" w:rsidRPr="00640820" w14:paraId="0AFA0CAE" w14:textId="77777777" w:rsidTr="000D3BCB">
        <w:tc>
          <w:tcPr>
            <w:tcW w:w="918" w:type="dxa"/>
          </w:tcPr>
          <w:p w14:paraId="4BDA4C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10B0C2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68129D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2D25E4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21BED1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Опытный НКПС</w:t>
            </w:r>
          </w:p>
        </w:tc>
        <w:tc>
          <w:tcPr>
            <w:tcW w:w="1870" w:type="dxa"/>
          </w:tcPr>
          <w:p w14:paraId="3088CB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r>
      <w:tr w:rsidR="00643896" w:rsidRPr="00640820" w14:paraId="0FDA8E09" w14:textId="77777777" w:rsidTr="000D3BCB">
        <w:tc>
          <w:tcPr>
            <w:tcW w:w="918" w:type="dxa"/>
          </w:tcPr>
          <w:p w14:paraId="35C533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69546E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672560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1FF696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51F6E3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Электродный</w:t>
            </w:r>
          </w:p>
        </w:tc>
        <w:tc>
          <w:tcPr>
            <w:tcW w:w="1870" w:type="dxa"/>
          </w:tcPr>
          <w:p w14:paraId="0770DC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r>
      <w:tr w:rsidR="00643896" w:rsidRPr="00640820" w14:paraId="518EE0C2" w14:textId="77777777" w:rsidTr="000D3BCB">
        <w:tc>
          <w:tcPr>
            <w:tcW w:w="918" w:type="dxa"/>
          </w:tcPr>
          <w:p w14:paraId="4E87A4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44C327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0DDBAF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3FD976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14A00D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 Войтовича</w:t>
            </w:r>
          </w:p>
        </w:tc>
        <w:tc>
          <w:tcPr>
            <w:tcW w:w="1870" w:type="dxa"/>
          </w:tcPr>
          <w:p w14:paraId="5B406C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r>
      <w:tr w:rsidR="00643896" w:rsidRPr="00640820" w14:paraId="2EE6EABD" w14:textId="77777777" w:rsidTr="000D3BCB">
        <w:tc>
          <w:tcPr>
            <w:tcW w:w="918" w:type="dxa"/>
          </w:tcPr>
          <w:p w14:paraId="71515B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5922B7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23E62B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502C09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446EC6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Метрострой</w:t>
            </w:r>
          </w:p>
        </w:tc>
        <w:tc>
          <w:tcPr>
            <w:tcW w:w="1870" w:type="dxa"/>
          </w:tcPr>
          <w:p w14:paraId="68D0D7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r>
      <w:tr w:rsidR="00643896" w:rsidRPr="00640820" w14:paraId="36D9F901" w14:textId="77777777" w:rsidTr="000D3BCB">
        <w:tc>
          <w:tcPr>
            <w:tcW w:w="918" w:type="dxa"/>
          </w:tcPr>
          <w:p w14:paraId="6BC82D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7992D7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115BD6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0B3E32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6C197C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Ситцевая фабрика</w:t>
            </w:r>
          </w:p>
        </w:tc>
        <w:tc>
          <w:tcPr>
            <w:tcW w:w="1870" w:type="dxa"/>
          </w:tcPr>
          <w:p w14:paraId="28CF61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r>
      <w:tr w:rsidR="00643896" w:rsidRPr="00640820" w14:paraId="291BD657" w14:textId="77777777" w:rsidTr="000D3BCB">
        <w:tc>
          <w:tcPr>
            <w:tcW w:w="918" w:type="dxa"/>
          </w:tcPr>
          <w:p w14:paraId="633263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1F295B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10AF96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3B2126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01C9E5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Карачаровский</w:t>
            </w:r>
          </w:p>
        </w:tc>
        <w:tc>
          <w:tcPr>
            <w:tcW w:w="1870" w:type="dxa"/>
          </w:tcPr>
          <w:p w14:paraId="3969C0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r>
      <w:tr w:rsidR="00643896" w:rsidRPr="00640820" w14:paraId="2F003D03" w14:textId="77777777" w:rsidTr="000D3BCB">
        <w:tc>
          <w:tcPr>
            <w:tcW w:w="918" w:type="dxa"/>
          </w:tcPr>
          <w:p w14:paraId="2BFA8A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45A3AB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32F850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7B3DE4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108663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Красный путь</w:t>
            </w:r>
          </w:p>
        </w:tc>
        <w:tc>
          <w:tcPr>
            <w:tcW w:w="1870" w:type="dxa"/>
          </w:tcPr>
          <w:p w14:paraId="0E996D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r>
      <w:tr w:rsidR="00643896" w:rsidRPr="00640820" w14:paraId="42579FF6" w14:textId="77777777" w:rsidTr="000D3BCB">
        <w:tc>
          <w:tcPr>
            <w:tcW w:w="918" w:type="dxa"/>
          </w:tcPr>
          <w:p w14:paraId="373167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7D6F55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3323EB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03FE33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4A0EBD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Шарикоподшипник</w:t>
            </w:r>
          </w:p>
        </w:tc>
        <w:tc>
          <w:tcPr>
            <w:tcW w:w="1870" w:type="dxa"/>
          </w:tcPr>
          <w:p w14:paraId="327EB7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r>
      <w:tr w:rsidR="00643896" w:rsidRPr="00640820" w14:paraId="3C29128B" w14:textId="77777777" w:rsidTr="000D3BCB">
        <w:tc>
          <w:tcPr>
            <w:tcW w:w="918" w:type="dxa"/>
          </w:tcPr>
          <w:p w14:paraId="36A07F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464C0B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6E6669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69EE95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00DFF9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Кольчугинский</w:t>
            </w:r>
          </w:p>
        </w:tc>
        <w:tc>
          <w:tcPr>
            <w:tcW w:w="1870" w:type="dxa"/>
          </w:tcPr>
          <w:p w14:paraId="2B74D5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Кольчугино</w:t>
            </w:r>
          </w:p>
        </w:tc>
      </w:tr>
      <w:tr w:rsidR="00643896" w:rsidRPr="00640820" w14:paraId="65B4806D" w14:textId="77777777" w:rsidTr="000D3BCB">
        <w:tc>
          <w:tcPr>
            <w:tcW w:w="918" w:type="dxa"/>
          </w:tcPr>
          <w:p w14:paraId="0EB93C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735B35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0D1909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147DA4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3313D5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592 НКВ</w:t>
            </w:r>
          </w:p>
        </w:tc>
        <w:tc>
          <w:tcPr>
            <w:tcW w:w="1870" w:type="dxa"/>
          </w:tcPr>
          <w:p w14:paraId="1AFC8C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Мытищи</w:t>
            </w:r>
          </w:p>
        </w:tc>
      </w:tr>
      <w:tr w:rsidR="00643896" w:rsidRPr="00640820" w14:paraId="2F224121" w14:textId="77777777" w:rsidTr="000D3BCB">
        <w:tc>
          <w:tcPr>
            <w:tcW w:w="918" w:type="dxa"/>
          </w:tcPr>
          <w:p w14:paraId="58AFD1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6C0EB2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Челябинск</w:t>
            </w:r>
          </w:p>
        </w:tc>
        <w:tc>
          <w:tcPr>
            <w:tcW w:w="1201" w:type="dxa"/>
          </w:tcPr>
          <w:p w14:paraId="0AD46D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78</w:t>
            </w:r>
          </w:p>
        </w:tc>
        <w:tc>
          <w:tcPr>
            <w:tcW w:w="1101" w:type="dxa"/>
          </w:tcPr>
          <w:p w14:paraId="1282A5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посуда</w:t>
            </w:r>
          </w:p>
        </w:tc>
        <w:tc>
          <w:tcPr>
            <w:tcW w:w="1726" w:type="dxa"/>
          </w:tcPr>
          <w:p w14:paraId="391CC8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513</w:t>
            </w:r>
          </w:p>
        </w:tc>
        <w:tc>
          <w:tcPr>
            <w:tcW w:w="1870" w:type="dxa"/>
          </w:tcPr>
          <w:p w14:paraId="2031BC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Ростов на Дону</w:t>
            </w:r>
          </w:p>
        </w:tc>
      </w:tr>
      <w:tr w:rsidR="00643896" w:rsidRPr="00640820" w14:paraId="6CB361BB" w14:textId="77777777" w:rsidTr="000D3BCB">
        <w:tc>
          <w:tcPr>
            <w:tcW w:w="918" w:type="dxa"/>
          </w:tcPr>
          <w:p w14:paraId="502957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5D17FC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Челябинск</w:t>
            </w:r>
          </w:p>
        </w:tc>
        <w:tc>
          <w:tcPr>
            <w:tcW w:w="1201" w:type="dxa"/>
          </w:tcPr>
          <w:p w14:paraId="7C3210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Склад № 1 и № 2 УГРМ, 78</w:t>
            </w:r>
          </w:p>
        </w:tc>
        <w:tc>
          <w:tcPr>
            <w:tcW w:w="1101" w:type="dxa"/>
          </w:tcPr>
          <w:p w14:paraId="27A679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оборудование</w:t>
            </w:r>
          </w:p>
        </w:tc>
        <w:tc>
          <w:tcPr>
            <w:tcW w:w="1726" w:type="dxa"/>
          </w:tcPr>
          <w:p w14:paraId="38905F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258</w:t>
            </w:r>
          </w:p>
        </w:tc>
        <w:tc>
          <w:tcPr>
            <w:tcW w:w="1870" w:type="dxa"/>
          </w:tcPr>
          <w:p w14:paraId="15B21A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Осипенко</w:t>
            </w:r>
          </w:p>
        </w:tc>
      </w:tr>
      <w:tr w:rsidR="00643896" w:rsidRPr="00640820" w14:paraId="544D9FE5" w14:textId="77777777" w:rsidTr="000D3BCB">
        <w:tc>
          <w:tcPr>
            <w:tcW w:w="918" w:type="dxa"/>
          </w:tcPr>
          <w:p w14:paraId="38B930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337FE7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Челябинск</w:t>
            </w:r>
          </w:p>
        </w:tc>
        <w:tc>
          <w:tcPr>
            <w:tcW w:w="1201" w:type="dxa"/>
          </w:tcPr>
          <w:p w14:paraId="4CEE47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78</w:t>
            </w:r>
          </w:p>
        </w:tc>
        <w:tc>
          <w:tcPr>
            <w:tcW w:w="1101" w:type="dxa"/>
          </w:tcPr>
          <w:p w14:paraId="6C4540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М-13</w:t>
            </w:r>
          </w:p>
        </w:tc>
        <w:tc>
          <w:tcPr>
            <w:tcW w:w="1726" w:type="dxa"/>
          </w:tcPr>
          <w:p w14:paraId="37C409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220</w:t>
            </w:r>
          </w:p>
        </w:tc>
        <w:tc>
          <w:tcPr>
            <w:tcW w:w="1870" w:type="dxa"/>
          </w:tcPr>
          <w:p w14:paraId="76B336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r>
      <w:tr w:rsidR="00643896" w:rsidRPr="00640820" w14:paraId="0EE9AC89" w14:textId="77777777" w:rsidTr="000D3BCB">
        <w:tc>
          <w:tcPr>
            <w:tcW w:w="918" w:type="dxa"/>
          </w:tcPr>
          <w:p w14:paraId="40FBF0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1C4EF5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Челябинск</w:t>
            </w:r>
          </w:p>
        </w:tc>
        <w:tc>
          <w:tcPr>
            <w:tcW w:w="1201" w:type="dxa"/>
          </w:tcPr>
          <w:p w14:paraId="1C3D3D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78</w:t>
            </w:r>
          </w:p>
        </w:tc>
        <w:tc>
          <w:tcPr>
            <w:tcW w:w="1101" w:type="dxa"/>
          </w:tcPr>
          <w:p w14:paraId="746269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76мм снаряды, ФАБ-100</w:t>
            </w:r>
          </w:p>
        </w:tc>
        <w:tc>
          <w:tcPr>
            <w:tcW w:w="1726" w:type="dxa"/>
          </w:tcPr>
          <w:p w14:paraId="7E6524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73</w:t>
            </w:r>
          </w:p>
        </w:tc>
        <w:tc>
          <w:tcPr>
            <w:tcW w:w="1870" w:type="dxa"/>
          </w:tcPr>
          <w:p w14:paraId="09369B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Сталино</w:t>
            </w:r>
          </w:p>
        </w:tc>
      </w:tr>
      <w:tr w:rsidR="00643896" w:rsidRPr="00640820" w14:paraId="15497DFE" w14:textId="77777777" w:rsidTr="000D3BCB">
        <w:tc>
          <w:tcPr>
            <w:tcW w:w="918" w:type="dxa"/>
          </w:tcPr>
          <w:p w14:paraId="358CC7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74BD42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Челябинск</w:t>
            </w:r>
          </w:p>
        </w:tc>
        <w:tc>
          <w:tcPr>
            <w:tcW w:w="1201" w:type="dxa"/>
          </w:tcPr>
          <w:p w14:paraId="1BA437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78</w:t>
            </w:r>
          </w:p>
        </w:tc>
        <w:tc>
          <w:tcPr>
            <w:tcW w:w="1101" w:type="dxa"/>
          </w:tcPr>
          <w:p w14:paraId="05E922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М-13, станки</w:t>
            </w:r>
          </w:p>
        </w:tc>
        <w:tc>
          <w:tcPr>
            <w:tcW w:w="1726" w:type="dxa"/>
          </w:tcPr>
          <w:p w14:paraId="5BE1C4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70</w:t>
            </w:r>
          </w:p>
        </w:tc>
        <w:tc>
          <w:tcPr>
            <w:tcW w:w="1870" w:type="dxa"/>
          </w:tcPr>
          <w:p w14:paraId="7F4F03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r>
      <w:tr w:rsidR="00643896" w:rsidRPr="00640820" w14:paraId="0AD46862" w14:textId="77777777" w:rsidTr="000D3BCB">
        <w:tc>
          <w:tcPr>
            <w:tcW w:w="918" w:type="dxa"/>
          </w:tcPr>
          <w:p w14:paraId="3F732D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409F92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44BFBE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0B059C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7163D2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D8B7A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91F52CC" w14:textId="77777777" w:rsidTr="000D3BCB">
        <w:tc>
          <w:tcPr>
            <w:tcW w:w="918" w:type="dxa"/>
          </w:tcPr>
          <w:p w14:paraId="11B540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716FEB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Молотов</w:t>
            </w:r>
          </w:p>
        </w:tc>
        <w:tc>
          <w:tcPr>
            <w:tcW w:w="1201" w:type="dxa"/>
          </w:tcPr>
          <w:p w14:paraId="6DA432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98</w:t>
            </w:r>
          </w:p>
        </w:tc>
        <w:tc>
          <w:tcPr>
            <w:tcW w:w="1101" w:type="dxa"/>
          </w:tcPr>
          <w:p w14:paraId="4F375C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Пироксилин</w:t>
            </w:r>
          </w:p>
        </w:tc>
        <w:tc>
          <w:tcPr>
            <w:tcW w:w="1726" w:type="dxa"/>
          </w:tcPr>
          <w:p w14:paraId="19DF9B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101</w:t>
            </w:r>
          </w:p>
        </w:tc>
        <w:tc>
          <w:tcPr>
            <w:tcW w:w="1870" w:type="dxa"/>
          </w:tcPr>
          <w:p w14:paraId="325E5C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Каменск-Шахтинский</w:t>
            </w:r>
          </w:p>
        </w:tc>
      </w:tr>
      <w:tr w:rsidR="00643896" w:rsidRPr="00640820" w14:paraId="60AE75A8" w14:textId="77777777" w:rsidTr="000D3BCB">
        <w:tc>
          <w:tcPr>
            <w:tcW w:w="918" w:type="dxa"/>
          </w:tcPr>
          <w:p w14:paraId="71B85B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489A9C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Молотов</w:t>
            </w:r>
          </w:p>
        </w:tc>
        <w:tc>
          <w:tcPr>
            <w:tcW w:w="1201" w:type="dxa"/>
          </w:tcPr>
          <w:p w14:paraId="6E658A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98</w:t>
            </w:r>
          </w:p>
        </w:tc>
        <w:tc>
          <w:tcPr>
            <w:tcW w:w="1101" w:type="dxa"/>
          </w:tcPr>
          <w:p w14:paraId="4890F6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ТЭЦ</w:t>
            </w:r>
          </w:p>
        </w:tc>
        <w:tc>
          <w:tcPr>
            <w:tcW w:w="1726" w:type="dxa"/>
          </w:tcPr>
          <w:p w14:paraId="7C5904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w:t>
            </w:r>
          </w:p>
        </w:tc>
        <w:tc>
          <w:tcPr>
            <w:tcW w:w="1870" w:type="dxa"/>
          </w:tcPr>
          <w:p w14:paraId="7E215B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Алексин</w:t>
            </w:r>
          </w:p>
        </w:tc>
      </w:tr>
      <w:tr w:rsidR="00643896" w:rsidRPr="00640820" w14:paraId="4DDA98E6" w14:textId="77777777" w:rsidTr="000D3BCB">
        <w:tc>
          <w:tcPr>
            <w:tcW w:w="918" w:type="dxa"/>
          </w:tcPr>
          <w:p w14:paraId="1FE4A4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219895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Молотов</w:t>
            </w:r>
          </w:p>
        </w:tc>
        <w:tc>
          <w:tcPr>
            <w:tcW w:w="1201" w:type="dxa"/>
          </w:tcPr>
          <w:p w14:paraId="75AC5B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98</w:t>
            </w:r>
          </w:p>
        </w:tc>
        <w:tc>
          <w:tcPr>
            <w:tcW w:w="1101" w:type="dxa"/>
          </w:tcPr>
          <w:p w14:paraId="7040A9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Вальцмашины</w:t>
            </w:r>
          </w:p>
        </w:tc>
        <w:tc>
          <w:tcPr>
            <w:tcW w:w="1726" w:type="dxa"/>
          </w:tcPr>
          <w:p w14:paraId="7BB85F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59</w:t>
            </w:r>
          </w:p>
        </w:tc>
        <w:tc>
          <w:tcPr>
            <w:tcW w:w="1870" w:type="dxa"/>
          </w:tcPr>
          <w:p w14:paraId="6B44EA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Петровеньки</w:t>
            </w:r>
          </w:p>
        </w:tc>
      </w:tr>
      <w:tr w:rsidR="00643896" w:rsidRPr="00640820" w14:paraId="5C06C792" w14:textId="77777777" w:rsidTr="000D3BCB">
        <w:tc>
          <w:tcPr>
            <w:tcW w:w="918" w:type="dxa"/>
          </w:tcPr>
          <w:p w14:paraId="562883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6B5143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Молотов</w:t>
            </w:r>
          </w:p>
        </w:tc>
        <w:tc>
          <w:tcPr>
            <w:tcW w:w="1201" w:type="dxa"/>
          </w:tcPr>
          <w:p w14:paraId="278B8E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98</w:t>
            </w:r>
          </w:p>
        </w:tc>
        <w:tc>
          <w:tcPr>
            <w:tcW w:w="1101" w:type="dxa"/>
          </w:tcPr>
          <w:p w14:paraId="2FE603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состав МК, динамиты и аммониты</w:t>
            </w:r>
          </w:p>
        </w:tc>
        <w:tc>
          <w:tcPr>
            <w:tcW w:w="1726" w:type="dxa"/>
          </w:tcPr>
          <w:p w14:paraId="26170C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52</w:t>
            </w:r>
          </w:p>
        </w:tc>
        <w:tc>
          <w:tcPr>
            <w:tcW w:w="1870" w:type="dxa"/>
          </w:tcPr>
          <w:p w14:paraId="5D59E0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Поповка</w:t>
            </w:r>
          </w:p>
        </w:tc>
      </w:tr>
      <w:tr w:rsidR="00643896" w:rsidRPr="00640820" w14:paraId="25FD1ECF" w14:textId="77777777" w:rsidTr="000D3BCB">
        <w:tc>
          <w:tcPr>
            <w:tcW w:w="918" w:type="dxa"/>
          </w:tcPr>
          <w:p w14:paraId="0B231E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5D656F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Молотов</w:t>
            </w:r>
          </w:p>
        </w:tc>
        <w:tc>
          <w:tcPr>
            <w:tcW w:w="1201" w:type="dxa"/>
          </w:tcPr>
          <w:p w14:paraId="17686F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98</w:t>
            </w:r>
          </w:p>
        </w:tc>
        <w:tc>
          <w:tcPr>
            <w:tcW w:w="1101" w:type="dxa"/>
          </w:tcPr>
          <w:p w14:paraId="1C77C4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дымный порох</w:t>
            </w:r>
          </w:p>
        </w:tc>
        <w:tc>
          <w:tcPr>
            <w:tcW w:w="1726" w:type="dxa"/>
          </w:tcPr>
          <w:p w14:paraId="39C29F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c>
          <w:tcPr>
            <w:tcW w:w="1870" w:type="dxa"/>
          </w:tcPr>
          <w:p w14:paraId="7A72ED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Шлиссельбург</w:t>
            </w:r>
          </w:p>
        </w:tc>
      </w:tr>
      <w:tr w:rsidR="00643896" w:rsidRPr="00640820" w14:paraId="65A4F25C" w14:textId="77777777" w:rsidTr="000D3BCB">
        <w:tc>
          <w:tcPr>
            <w:tcW w:w="918" w:type="dxa"/>
          </w:tcPr>
          <w:p w14:paraId="7A93B4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0F76FF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Молотов</w:t>
            </w:r>
          </w:p>
        </w:tc>
        <w:tc>
          <w:tcPr>
            <w:tcW w:w="1201" w:type="dxa"/>
          </w:tcPr>
          <w:p w14:paraId="632BFC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98</w:t>
            </w:r>
          </w:p>
        </w:tc>
        <w:tc>
          <w:tcPr>
            <w:tcW w:w="1101" w:type="dxa"/>
          </w:tcPr>
          <w:p w14:paraId="297D77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Серная кислота</w:t>
            </w:r>
          </w:p>
        </w:tc>
        <w:tc>
          <w:tcPr>
            <w:tcW w:w="1726" w:type="dxa"/>
          </w:tcPr>
          <w:p w14:paraId="4D4F92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tc>
        <w:tc>
          <w:tcPr>
            <w:tcW w:w="1870" w:type="dxa"/>
          </w:tcPr>
          <w:p w14:paraId="00C6CC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Шостка</w:t>
            </w:r>
          </w:p>
        </w:tc>
      </w:tr>
      <w:tr w:rsidR="00643896" w:rsidRPr="00640820" w14:paraId="4818B00B" w14:textId="77777777" w:rsidTr="000D3BCB">
        <w:tc>
          <w:tcPr>
            <w:tcW w:w="918" w:type="dxa"/>
          </w:tcPr>
          <w:p w14:paraId="03F2A4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0E9498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Молотов</w:t>
            </w:r>
          </w:p>
        </w:tc>
        <w:tc>
          <w:tcPr>
            <w:tcW w:w="1201" w:type="dxa"/>
          </w:tcPr>
          <w:p w14:paraId="75B5B6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98</w:t>
            </w:r>
          </w:p>
        </w:tc>
        <w:tc>
          <w:tcPr>
            <w:tcW w:w="1101" w:type="dxa"/>
          </w:tcPr>
          <w:p w14:paraId="5718CD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Олеум, колоксилин</w:t>
            </w:r>
          </w:p>
        </w:tc>
        <w:tc>
          <w:tcPr>
            <w:tcW w:w="1726" w:type="dxa"/>
          </w:tcPr>
          <w:p w14:paraId="6D8DCC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w:t>
            </w:r>
          </w:p>
        </w:tc>
        <w:tc>
          <w:tcPr>
            <w:tcW w:w="1870" w:type="dxa"/>
          </w:tcPr>
          <w:p w14:paraId="73F2E3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Рошаль</w:t>
            </w:r>
          </w:p>
        </w:tc>
      </w:tr>
      <w:tr w:rsidR="00643896" w:rsidRPr="00640820" w14:paraId="33235213" w14:textId="77777777" w:rsidTr="000D3BCB">
        <w:tc>
          <w:tcPr>
            <w:tcW w:w="918" w:type="dxa"/>
          </w:tcPr>
          <w:p w14:paraId="762667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3A66C4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1388AD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7D8284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1326AE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DFB0C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0138299" w14:textId="77777777" w:rsidTr="000D3BCB">
        <w:tc>
          <w:tcPr>
            <w:tcW w:w="918" w:type="dxa"/>
          </w:tcPr>
          <w:p w14:paraId="6D105F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283E88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Копейск</w:t>
            </w:r>
          </w:p>
        </w:tc>
        <w:tc>
          <w:tcPr>
            <w:tcW w:w="1201" w:type="dxa"/>
          </w:tcPr>
          <w:p w14:paraId="0201EE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114</w:t>
            </w:r>
          </w:p>
        </w:tc>
        <w:tc>
          <w:tcPr>
            <w:tcW w:w="1101" w:type="dxa"/>
          </w:tcPr>
          <w:p w14:paraId="1F1B8D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ВВ, Снаряжение среднекалиберных снарядов</w:t>
            </w:r>
          </w:p>
        </w:tc>
        <w:tc>
          <w:tcPr>
            <w:tcW w:w="1726" w:type="dxa"/>
          </w:tcPr>
          <w:p w14:paraId="7F045D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113</w:t>
            </w:r>
          </w:p>
        </w:tc>
        <w:tc>
          <w:tcPr>
            <w:tcW w:w="1870" w:type="dxa"/>
          </w:tcPr>
          <w:p w14:paraId="659354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Сельцо Брянское</w:t>
            </w:r>
          </w:p>
        </w:tc>
      </w:tr>
      <w:tr w:rsidR="00643896" w:rsidRPr="00640820" w14:paraId="19253ECB" w14:textId="77777777" w:rsidTr="000D3BCB">
        <w:tc>
          <w:tcPr>
            <w:tcW w:w="918" w:type="dxa"/>
          </w:tcPr>
          <w:p w14:paraId="67860A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1C52EE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Копейск</w:t>
            </w:r>
          </w:p>
        </w:tc>
        <w:tc>
          <w:tcPr>
            <w:tcW w:w="1201" w:type="dxa"/>
          </w:tcPr>
          <w:p w14:paraId="348147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114</w:t>
            </w:r>
          </w:p>
        </w:tc>
        <w:tc>
          <w:tcPr>
            <w:tcW w:w="1101" w:type="dxa"/>
          </w:tcPr>
          <w:p w14:paraId="5E962B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421566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55</w:t>
            </w:r>
          </w:p>
        </w:tc>
        <w:tc>
          <w:tcPr>
            <w:tcW w:w="1870" w:type="dxa"/>
          </w:tcPr>
          <w:p w14:paraId="4A00BB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Павлоград</w:t>
            </w:r>
          </w:p>
        </w:tc>
      </w:tr>
      <w:tr w:rsidR="00643896" w:rsidRPr="00640820" w14:paraId="10109AF1" w14:textId="77777777" w:rsidTr="000D3BCB">
        <w:tc>
          <w:tcPr>
            <w:tcW w:w="918" w:type="dxa"/>
          </w:tcPr>
          <w:p w14:paraId="44E6B4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61B332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32A464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67BF27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2B6A1D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10D23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CAE9F68" w14:textId="77777777" w:rsidTr="000D3BCB">
        <w:tc>
          <w:tcPr>
            <w:tcW w:w="918" w:type="dxa"/>
          </w:tcPr>
          <w:p w14:paraId="6814D2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01CC7B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Новосибирск</w:t>
            </w:r>
          </w:p>
        </w:tc>
        <w:tc>
          <w:tcPr>
            <w:tcW w:w="1201" w:type="dxa"/>
          </w:tcPr>
          <w:p w14:paraId="1C9FFC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179</w:t>
            </w:r>
          </w:p>
        </w:tc>
        <w:tc>
          <w:tcPr>
            <w:tcW w:w="1101" w:type="dxa"/>
          </w:tcPr>
          <w:p w14:paraId="40A27B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20мм корпуса</w:t>
            </w:r>
          </w:p>
        </w:tc>
        <w:tc>
          <w:tcPr>
            <w:tcW w:w="1726" w:type="dxa"/>
          </w:tcPr>
          <w:p w14:paraId="346888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513</w:t>
            </w:r>
          </w:p>
        </w:tc>
        <w:tc>
          <w:tcPr>
            <w:tcW w:w="1870" w:type="dxa"/>
          </w:tcPr>
          <w:p w14:paraId="294CA6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Ростов на Дону</w:t>
            </w:r>
          </w:p>
        </w:tc>
      </w:tr>
      <w:tr w:rsidR="00643896" w:rsidRPr="00640820" w14:paraId="4B561980" w14:textId="77777777" w:rsidTr="000D3BCB">
        <w:tc>
          <w:tcPr>
            <w:tcW w:w="918" w:type="dxa"/>
          </w:tcPr>
          <w:p w14:paraId="522649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21E907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Новосибирск</w:t>
            </w:r>
          </w:p>
        </w:tc>
        <w:tc>
          <w:tcPr>
            <w:tcW w:w="1201" w:type="dxa"/>
          </w:tcPr>
          <w:p w14:paraId="03D07E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179</w:t>
            </w:r>
          </w:p>
        </w:tc>
        <w:tc>
          <w:tcPr>
            <w:tcW w:w="1101" w:type="dxa"/>
          </w:tcPr>
          <w:p w14:paraId="70A23F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снаряжение взрывателей</w:t>
            </w:r>
          </w:p>
        </w:tc>
        <w:tc>
          <w:tcPr>
            <w:tcW w:w="1726" w:type="dxa"/>
          </w:tcPr>
          <w:p w14:paraId="1B6590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358</w:t>
            </w:r>
          </w:p>
        </w:tc>
        <w:tc>
          <w:tcPr>
            <w:tcW w:w="1870" w:type="dxa"/>
          </w:tcPr>
          <w:p w14:paraId="226658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Теплый стан, Москва</w:t>
            </w:r>
          </w:p>
        </w:tc>
      </w:tr>
      <w:tr w:rsidR="00643896" w:rsidRPr="00640820" w14:paraId="692A1885" w14:textId="77777777" w:rsidTr="000D3BCB">
        <w:tc>
          <w:tcPr>
            <w:tcW w:w="918" w:type="dxa"/>
          </w:tcPr>
          <w:p w14:paraId="411D1E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152F21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Новосибирск</w:t>
            </w:r>
          </w:p>
        </w:tc>
        <w:tc>
          <w:tcPr>
            <w:tcW w:w="1201" w:type="dxa"/>
          </w:tcPr>
          <w:p w14:paraId="4C3643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179</w:t>
            </w:r>
          </w:p>
        </w:tc>
        <w:tc>
          <w:tcPr>
            <w:tcW w:w="1101" w:type="dxa"/>
          </w:tcPr>
          <w:p w14:paraId="58BD69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57мм, 76мм, 152мм, 20мм, гильзы, К-6</w:t>
            </w:r>
          </w:p>
        </w:tc>
        <w:tc>
          <w:tcPr>
            <w:tcW w:w="1726" w:type="dxa"/>
          </w:tcPr>
          <w:p w14:paraId="759668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187</w:t>
            </w:r>
          </w:p>
        </w:tc>
        <w:tc>
          <w:tcPr>
            <w:tcW w:w="1870" w:type="dxa"/>
          </w:tcPr>
          <w:p w14:paraId="262EB6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Тула</w:t>
            </w:r>
          </w:p>
        </w:tc>
      </w:tr>
      <w:tr w:rsidR="00643896" w:rsidRPr="00640820" w14:paraId="7773E575" w14:textId="77777777" w:rsidTr="000D3BCB">
        <w:tc>
          <w:tcPr>
            <w:tcW w:w="918" w:type="dxa"/>
          </w:tcPr>
          <w:p w14:paraId="0EFB97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64E2C8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Новосибирск</w:t>
            </w:r>
          </w:p>
        </w:tc>
        <w:tc>
          <w:tcPr>
            <w:tcW w:w="1201" w:type="dxa"/>
          </w:tcPr>
          <w:p w14:paraId="6B32B0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179</w:t>
            </w:r>
          </w:p>
        </w:tc>
        <w:tc>
          <w:tcPr>
            <w:tcW w:w="1101" w:type="dxa"/>
          </w:tcPr>
          <w:p w14:paraId="12B22A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76мм снаряды</w:t>
            </w:r>
          </w:p>
        </w:tc>
        <w:tc>
          <w:tcPr>
            <w:tcW w:w="1726" w:type="dxa"/>
          </w:tcPr>
          <w:p w14:paraId="581A4D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70</w:t>
            </w:r>
          </w:p>
        </w:tc>
        <w:tc>
          <w:tcPr>
            <w:tcW w:w="1870" w:type="dxa"/>
          </w:tcPr>
          <w:p w14:paraId="042416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r>
      <w:tr w:rsidR="00643896" w:rsidRPr="00640820" w14:paraId="508CF7FC" w14:textId="77777777" w:rsidTr="000D3BCB">
        <w:tc>
          <w:tcPr>
            <w:tcW w:w="918" w:type="dxa"/>
          </w:tcPr>
          <w:p w14:paraId="3436B8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324888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Новосибирск</w:t>
            </w:r>
          </w:p>
        </w:tc>
        <w:tc>
          <w:tcPr>
            <w:tcW w:w="1201" w:type="dxa"/>
          </w:tcPr>
          <w:p w14:paraId="23B821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179</w:t>
            </w:r>
          </w:p>
        </w:tc>
        <w:tc>
          <w:tcPr>
            <w:tcW w:w="1101" w:type="dxa"/>
          </w:tcPr>
          <w:p w14:paraId="69D950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РГМ, 45мм, 57мм, 122мм</w:t>
            </w:r>
          </w:p>
        </w:tc>
        <w:tc>
          <w:tcPr>
            <w:tcW w:w="1726" w:type="dxa"/>
          </w:tcPr>
          <w:p w14:paraId="50E9C2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65</w:t>
            </w:r>
          </w:p>
        </w:tc>
        <w:tc>
          <w:tcPr>
            <w:tcW w:w="1870" w:type="dxa"/>
          </w:tcPr>
          <w:p w14:paraId="32D5D6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Таганрог</w:t>
            </w:r>
          </w:p>
        </w:tc>
      </w:tr>
      <w:tr w:rsidR="00643896" w:rsidRPr="00640820" w14:paraId="7E07A7CF" w14:textId="77777777" w:rsidTr="000D3BCB">
        <w:tc>
          <w:tcPr>
            <w:tcW w:w="918" w:type="dxa"/>
          </w:tcPr>
          <w:p w14:paraId="4B126E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1D2E39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11514D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7704A9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08F900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3945E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09D335C" w14:textId="77777777" w:rsidTr="000D3BCB">
        <w:tc>
          <w:tcPr>
            <w:tcW w:w="918" w:type="dxa"/>
          </w:tcPr>
          <w:p w14:paraId="06BDAF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3602B2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Котовск</w:t>
            </w:r>
          </w:p>
        </w:tc>
        <w:tc>
          <w:tcPr>
            <w:tcW w:w="1201" w:type="dxa"/>
          </w:tcPr>
          <w:p w14:paraId="208F01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204</w:t>
            </w:r>
          </w:p>
        </w:tc>
        <w:tc>
          <w:tcPr>
            <w:tcW w:w="1101" w:type="dxa"/>
          </w:tcPr>
          <w:p w14:paraId="2949CD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0F4CFB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tc>
        <w:tc>
          <w:tcPr>
            <w:tcW w:w="1870" w:type="dxa"/>
          </w:tcPr>
          <w:p w14:paraId="175B9C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Шостка</w:t>
            </w:r>
          </w:p>
        </w:tc>
      </w:tr>
      <w:tr w:rsidR="00643896" w:rsidRPr="00640820" w14:paraId="655CEAC2" w14:textId="77777777" w:rsidTr="000D3BCB">
        <w:tc>
          <w:tcPr>
            <w:tcW w:w="918" w:type="dxa"/>
          </w:tcPr>
          <w:p w14:paraId="19C813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2BB184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5436EF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5A7E0A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306510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03466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95890A9" w14:textId="77777777" w:rsidTr="000D3BCB">
        <w:tc>
          <w:tcPr>
            <w:tcW w:w="918" w:type="dxa"/>
          </w:tcPr>
          <w:p w14:paraId="38A706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7ABD60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Муром</w:t>
            </w:r>
          </w:p>
        </w:tc>
        <w:tc>
          <w:tcPr>
            <w:tcW w:w="1201" w:type="dxa"/>
          </w:tcPr>
          <w:p w14:paraId="4E37B9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253</w:t>
            </w:r>
          </w:p>
        </w:tc>
        <w:tc>
          <w:tcPr>
            <w:tcW w:w="1101" w:type="dxa"/>
          </w:tcPr>
          <w:p w14:paraId="4ADC9D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0C928F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53</w:t>
            </w:r>
          </w:p>
        </w:tc>
        <w:tc>
          <w:tcPr>
            <w:tcW w:w="1870" w:type="dxa"/>
          </w:tcPr>
          <w:p w14:paraId="6D9788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Шостка</w:t>
            </w:r>
          </w:p>
        </w:tc>
      </w:tr>
      <w:tr w:rsidR="00643896" w:rsidRPr="00640820" w14:paraId="04474046" w14:textId="77777777" w:rsidTr="000D3BCB">
        <w:tc>
          <w:tcPr>
            <w:tcW w:w="918" w:type="dxa"/>
          </w:tcPr>
          <w:p w14:paraId="05B29A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2FED85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Муром</w:t>
            </w:r>
          </w:p>
        </w:tc>
        <w:tc>
          <w:tcPr>
            <w:tcW w:w="1201" w:type="dxa"/>
          </w:tcPr>
          <w:p w14:paraId="461DF9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253</w:t>
            </w:r>
          </w:p>
        </w:tc>
        <w:tc>
          <w:tcPr>
            <w:tcW w:w="1101" w:type="dxa"/>
          </w:tcPr>
          <w:p w14:paraId="07009E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капсюли</w:t>
            </w:r>
          </w:p>
        </w:tc>
        <w:tc>
          <w:tcPr>
            <w:tcW w:w="1726" w:type="dxa"/>
          </w:tcPr>
          <w:p w14:paraId="3DBCD6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1870" w:type="dxa"/>
          </w:tcPr>
          <w:p w14:paraId="108974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Ленинград</w:t>
            </w:r>
          </w:p>
        </w:tc>
      </w:tr>
      <w:tr w:rsidR="00643896" w:rsidRPr="00640820" w14:paraId="433F6E15" w14:textId="77777777" w:rsidTr="000D3BCB">
        <w:tc>
          <w:tcPr>
            <w:tcW w:w="918" w:type="dxa"/>
          </w:tcPr>
          <w:p w14:paraId="3C7974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1A859F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133567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02C64A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0C336A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B8FB5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8C065DD" w14:textId="77777777" w:rsidTr="000D3BCB">
        <w:tc>
          <w:tcPr>
            <w:tcW w:w="918" w:type="dxa"/>
          </w:tcPr>
          <w:p w14:paraId="736EF1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023AA4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Челябинск</w:t>
            </w:r>
          </w:p>
        </w:tc>
        <w:tc>
          <w:tcPr>
            <w:tcW w:w="1201" w:type="dxa"/>
          </w:tcPr>
          <w:p w14:paraId="1ED26C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254</w:t>
            </w:r>
          </w:p>
        </w:tc>
        <w:tc>
          <w:tcPr>
            <w:tcW w:w="1101" w:type="dxa"/>
          </w:tcPr>
          <w:p w14:paraId="09A0E9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капсюли, дымы, шашки</w:t>
            </w:r>
          </w:p>
        </w:tc>
        <w:tc>
          <w:tcPr>
            <w:tcW w:w="1726" w:type="dxa"/>
          </w:tcPr>
          <w:p w14:paraId="7D2694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w:t>
            </w:r>
          </w:p>
        </w:tc>
        <w:tc>
          <w:tcPr>
            <w:tcW w:w="1870" w:type="dxa"/>
          </w:tcPr>
          <w:p w14:paraId="4C18A6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Краснозаводск</w:t>
            </w:r>
          </w:p>
        </w:tc>
      </w:tr>
      <w:tr w:rsidR="00643896" w:rsidRPr="00640820" w14:paraId="4ED42392" w14:textId="77777777" w:rsidTr="000D3BCB">
        <w:tc>
          <w:tcPr>
            <w:tcW w:w="918" w:type="dxa"/>
          </w:tcPr>
          <w:p w14:paraId="3810AF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732F17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7093F3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76F0CA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0EA373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F7FA4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22E69F0" w14:textId="77777777" w:rsidTr="000D3BCB">
        <w:tc>
          <w:tcPr>
            <w:tcW w:w="918" w:type="dxa"/>
          </w:tcPr>
          <w:p w14:paraId="3B656B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3CD761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Н.Ломов</w:t>
            </w:r>
          </w:p>
        </w:tc>
        <w:tc>
          <w:tcPr>
            <w:tcW w:w="1201" w:type="dxa"/>
          </w:tcPr>
          <w:p w14:paraId="2DC580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255</w:t>
            </w:r>
          </w:p>
        </w:tc>
        <w:tc>
          <w:tcPr>
            <w:tcW w:w="1101" w:type="dxa"/>
          </w:tcPr>
          <w:p w14:paraId="0CF04B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АГМ, М-8</w:t>
            </w:r>
          </w:p>
        </w:tc>
        <w:tc>
          <w:tcPr>
            <w:tcW w:w="1726" w:type="dxa"/>
          </w:tcPr>
          <w:p w14:paraId="798F74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53</w:t>
            </w:r>
          </w:p>
        </w:tc>
        <w:tc>
          <w:tcPr>
            <w:tcW w:w="1870" w:type="dxa"/>
          </w:tcPr>
          <w:p w14:paraId="0F7B24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Шостка</w:t>
            </w:r>
          </w:p>
        </w:tc>
      </w:tr>
      <w:tr w:rsidR="00643896" w:rsidRPr="00640820" w14:paraId="2A84108B" w14:textId="77777777" w:rsidTr="000D3BCB">
        <w:tc>
          <w:tcPr>
            <w:tcW w:w="918" w:type="dxa"/>
          </w:tcPr>
          <w:p w14:paraId="49A2DC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07F108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44D8ED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512224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25EE17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9F5EC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FBB55B7" w14:textId="77777777" w:rsidTr="000D3BCB">
        <w:tc>
          <w:tcPr>
            <w:tcW w:w="918" w:type="dxa"/>
          </w:tcPr>
          <w:p w14:paraId="277B6A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44B0BD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Орск</w:t>
            </w:r>
          </w:p>
        </w:tc>
        <w:tc>
          <w:tcPr>
            <w:tcW w:w="1201" w:type="dxa"/>
          </w:tcPr>
          <w:p w14:paraId="4B569F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257</w:t>
            </w:r>
          </w:p>
        </w:tc>
        <w:tc>
          <w:tcPr>
            <w:tcW w:w="1101" w:type="dxa"/>
          </w:tcPr>
          <w:p w14:paraId="552CDD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гильзы 100мм и 120мм, 122мм морские, 152мм КАНЭ, 85мм, 76мм, 57мм</w:t>
            </w:r>
          </w:p>
        </w:tc>
        <w:tc>
          <w:tcPr>
            <w:tcW w:w="1726" w:type="dxa"/>
          </w:tcPr>
          <w:p w14:paraId="353C1C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176</w:t>
            </w:r>
          </w:p>
        </w:tc>
        <w:tc>
          <w:tcPr>
            <w:tcW w:w="1870" w:type="dxa"/>
          </w:tcPr>
          <w:p w14:paraId="5E0FD0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Тула</w:t>
            </w:r>
          </w:p>
        </w:tc>
      </w:tr>
      <w:tr w:rsidR="00643896" w:rsidRPr="00640820" w14:paraId="3ED2D9C4" w14:textId="77777777" w:rsidTr="000D3BCB">
        <w:tc>
          <w:tcPr>
            <w:tcW w:w="918" w:type="dxa"/>
          </w:tcPr>
          <w:p w14:paraId="70D413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1309E8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Орск</w:t>
            </w:r>
          </w:p>
        </w:tc>
        <w:tc>
          <w:tcPr>
            <w:tcW w:w="1201" w:type="dxa"/>
          </w:tcPr>
          <w:p w14:paraId="7E196A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257</w:t>
            </w:r>
          </w:p>
        </w:tc>
        <w:tc>
          <w:tcPr>
            <w:tcW w:w="1101" w:type="dxa"/>
          </w:tcPr>
          <w:p w14:paraId="30245B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7DCC7E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65 цех М</w:t>
            </w:r>
          </w:p>
        </w:tc>
        <w:tc>
          <w:tcPr>
            <w:tcW w:w="1870" w:type="dxa"/>
          </w:tcPr>
          <w:p w14:paraId="292300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Таганрог</w:t>
            </w:r>
          </w:p>
        </w:tc>
      </w:tr>
      <w:tr w:rsidR="00643896" w:rsidRPr="00640820" w14:paraId="0B09DA49" w14:textId="77777777" w:rsidTr="000D3BCB">
        <w:tc>
          <w:tcPr>
            <w:tcW w:w="918" w:type="dxa"/>
          </w:tcPr>
          <w:p w14:paraId="39F8FB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1FC54E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6F5D0C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5FA8D6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6B3A5A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8AAC9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BC67A6A" w14:textId="77777777" w:rsidTr="000D3BCB">
        <w:tc>
          <w:tcPr>
            <w:tcW w:w="918" w:type="dxa"/>
          </w:tcPr>
          <w:p w14:paraId="1407E3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НКБ, 504сс, 08/09/41</w:t>
            </w:r>
          </w:p>
        </w:tc>
        <w:tc>
          <w:tcPr>
            <w:tcW w:w="1302" w:type="dxa"/>
          </w:tcPr>
          <w:p w14:paraId="0DB771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Копейск</w:t>
            </w:r>
          </w:p>
        </w:tc>
        <w:tc>
          <w:tcPr>
            <w:tcW w:w="1201" w:type="dxa"/>
          </w:tcPr>
          <w:p w14:paraId="518F87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258</w:t>
            </w:r>
          </w:p>
        </w:tc>
        <w:tc>
          <w:tcPr>
            <w:tcW w:w="1101" w:type="dxa"/>
          </w:tcPr>
          <w:p w14:paraId="0A3DF6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107мм снаряды</w:t>
            </w:r>
          </w:p>
        </w:tc>
        <w:tc>
          <w:tcPr>
            <w:tcW w:w="1726" w:type="dxa"/>
          </w:tcPr>
          <w:p w14:paraId="062D91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258</w:t>
            </w:r>
          </w:p>
        </w:tc>
        <w:tc>
          <w:tcPr>
            <w:tcW w:w="1870" w:type="dxa"/>
          </w:tcPr>
          <w:p w14:paraId="1D3029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Осипенко</w:t>
            </w:r>
          </w:p>
        </w:tc>
      </w:tr>
      <w:tr w:rsidR="00643896" w:rsidRPr="00640820" w14:paraId="0651B470" w14:textId="77777777" w:rsidTr="000D3BCB">
        <w:tc>
          <w:tcPr>
            <w:tcW w:w="918" w:type="dxa"/>
          </w:tcPr>
          <w:p w14:paraId="685309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5496C6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375565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6217BD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43CF9F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F1DD3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5A7D210" w14:textId="77777777" w:rsidTr="000D3BCB">
        <w:tc>
          <w:tcPr>
            <w:tcW w:w="918" w:type="dxa"/>
          </w:tcPr>
          <w:p w14:paraId="0783E2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69A5D8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Златоуст</w:t>
            </w:r>
          </w:p>
        </w:tc>
        <w:tc>
          <w:tcPr>
            <w:tcW w:w="1201" w:type="dxa"/>
          </w:tcPr>
          <w:p w14:paraId="1A61DD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259</w:t>
            </w:r>
          </w:p>
        </w:tc>
        <w:tc>
          <w:tcPr>
            <w:tcW w:w="1101" w:type="dxa"/>
          </w:tcPr>
          <w:p w14:paraId="378703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100мм морские снаряды</w:t>
            </w:r>
          </w:p>
        </w:tc>
        <w:tc>
          <w:tcPr>
            <w:tcW w:w="1726" w:type="dxa"/>
          </w:tcPr>
          <w:p w14:paraId="51AE57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79</w:t>
            </w:r>
          </w:p>
        </w:tc>
        <w:tc>
          <w:tcPr>
            <w:tcW w:w="1870" w:type="dxa"/>
          </w:tcPr>
          <w:p w14:paraId="2864FF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Днепропетровск</w:t>
            </w:r>
          </w:p>
        </w:tc>
      </w:tr>
      <w:tr w:rsidR="00643896" w:rsidRPr="00640820" w14:paraId="7CE95A11" w14:textId="77777777" w:rsidTr="000D3BCB">
        <w:tc>
          <w:tcPr>
            <w:tcW w:w="918" w:type="dxa"/>
          </w:tcPr>
          <w:p w14:paraId="523285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772565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70AE46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68DDF7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266798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F431E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EFFC578" w14:textId="77777777" w:rsidTr="000D3BCB">
        <w:tc>
          <w:tcPr>
            <w:tcW w:w="918" w:type="dxa"/>
          </w:tcPr>
          <w:p w14:paraId="1F3147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409191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Молотов</w:t>
            </w:r>
          </w:p>
        </w:tc>
        <w:tc>
          <w:tcPr>
            <w:tcW w:w="1201" w:type="dxa"/>
          </w:tcPr>
          <w:p w14:paraId="2B7C7A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260</w:t>
            </w:r>
          </w:p>
        </w:tc>
        <w:tc>
          <w:tcPr>
            <w:tcW w:w="1101" w:type="dxa"/>
          </w:tcPr>
          <w:p w14:paraId="6176DE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М-50, ЗТН, К-20, МД-5, МГ-8</w:t>
            </w:r>
          </w:p>
        </w:tc>
        <w:tc>
          <w:tcPr>
            <w:tcW w:w="1726" w:type="dxa"/>
          </w:tcPr>
          <w:p w14:paraId="283436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260</w:t>
            </w:r>
          </w:p>
        </w:tc>
        <w:tc>
          <w:tcPr>
            <w:tcW w:w="1870" w:type="dxa"/>
          </w:tcPr>
          <w:p w14:paraId="760CAA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Владимир</w:t>
            </w:r>
          </w:p>
        </w:tc>
      </w:tr>
      <w:tr w:rsidR="00643896" w:rsidRPr="00640820" w14:paraId="4A6C827E" w14:textId="77777777" w:rsidTr="000D3BCB">
        <w:tc>
          <w:tcPr>
            <w:tcW w:w="918" w:type="dxa"/>
          </w:tcPr>
          <w:p w14:paraId="154763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6EB307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653AB9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18F82A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039373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AD437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E7C11CD" w14:textId="77777777" w:rsidTr="000D3BCB">
        <w:tc>
          <w:tcPr>
            <w:tcW w:w="918" w:type="dxa"/>
          </w:tcPr>
          <w:p w14:paraId="3FD6F4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34659C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Владимир</w:t>
            </w:r>
          </w:p>
        </w:tc>
        <w:tc>
          <w:tcPr>
            <w:tcW w:w="1201" w:type="dxa"/>
          </w:tcPr>
          <w:p w14:paraId="391FDC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260</w:t>
            </w:r>
          </w:p>
        </w:tc>
        <w:tc>
          <w:tcPr>
            <w:tcW w:w="1101" w:type="dxa"/>
          </w:tcPr>
          <w:p w14:paraId="164C0C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7E75DA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ГСИ-44</w:t>
            </w:r>
          </w:p>
        </w:tc>
        <w:tc>
          <w:tcPr>
            <w:tcW w:w="1870" w:type="dxa"/>
          </w:tcPr>
          <w:p w14:paraId="0A41EF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Ленинград</w:t>
            </w:r>
          </w:p>
        </w:tc>
      </w:tr>
      <w:tr w:rsidR="00643896" w:rsidRPr="00640820" w14:paraId="678CB1B4" w14:textId="77777777" w:rsidTr="000D3BCB">
        <w:tc>
          <w:tcPr>
            <w:tcW w:w="918" w:type="dxa"/>
          </w:tcPr>
          <w:p w14:paraId="18C39D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23848B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2EF419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658DCD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0C02F2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81779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C6268C5" w14:textId="77777777" w:rsidTr="000D3BCB">
        <w:tc>
          <w:tcPr>
            <w:tcW w:w="918" w:type="dxa"/>
          </w:tcPr>
          <w:p w14:paraId="1B8A44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22728A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Чапаевск</w:t>
            </w:r>
          </w:p>
        </w:tc>
        <w:tc>
          <w:tcPr>
            <w:tcW w:w="1201" w:type="dxa"/>
          </w:tcPr>
          <w:p w14:paraId="1F389D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309</w:t>
            </w:r>
          </w:p>
        </w:tc>
        <w:tc>
          <w:tcPr>
            <w:tcW w:w="1101" w:type="dxa"/>
          </w:tcPr>
          <w:p w14:paraId="59F696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капсюли, детонаторы</w:t>
            </w:r>
          </w:p>
        </w:tc>
        <w:tc>
          <w:tcPr>
            <w:tcW w:w="1726" w:type="dxa"/>
          </w:tcPr>
          <w:p w14:paraId="64078A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53</w:t>
            </w:r>
          </w:p>
        </w:tc>
        <w:tc>
          <w:tcPr>
            <w:tcW w:w="1870" w:type="dxa"/>
          </w:tcPr>
          <w:p w14:paraId="10579E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Шостка</w:t>
            </w:r>
          </w:p>
        </w:tc>
      </w:tr>
      <w:tr w:rsidR="00643896" w:rsidRPr="00640820" w14:paraId="3D42BB9D" w14:textId="77777777" w:rsidTr="000D3BCB">
        <w:tc>
          <w:tcPr>
            <w:tcW w:w="918" w:type="dxa"/>
          </w:tcPr>
          <w:p w14:paraId="3659F6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344047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210AAF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31FECB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16BEEA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53494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F6C6F62" w14:textId="77777777" w:rsidTr="000D3BCB">
        <w:tc>
          <w:tcPr>
            <w:tcW w:w="918" w:type="dxa"/>
          </w:tcPr>
          <w:p w14:paraId="44245C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4201C0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Новосибирск</w:t>
            </w:r>
          </w:p>
        </w:tc>
        <w:tc>
          <w:tcPr>
            <w:tcW w:w="1201" w:type="dxa"/>
          </w:tcPr>
          <w:p w14:paraId="5831F5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312</w:t>
            </w:r>
          </w:p>
        </w:tc>
        <w:tc>
          <w:tcPr>
            <w:tcW w:w="1101" w:type="dxa"/>
          </w:tcPr>
          <w:p w14:paraId="0F970D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30EBA9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113</w:t>
            </w:r>
          </w:p>
        </w:tc>
        <w:tc>
          <w:tcPr>
            <w:tcW w:w="1870" w:type="dxa"/>
          </w:tcPr>
          <w:p w14:paraId="5BCAD5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Сельцо Брянское</w:t>
            </w:r>
          </w:p>
        </w:tc>
      </w:tr>
      <w:tr w:rsidR="00643896" w:rsidRPr="00640820" w14:paraId="57A64312" w14:textId="77777777" w:rsidTr="000D3BCB">
        <w:tc>
          <w:tcPr>
            <w:tcW w:w="918" w:type="dxa"/>
          </w:tcPr>
          <w:p w14:paraId="4DF9AF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7ED699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Новосибирск</w:t>
            </w:r>
          </w:p>
        </w:tc>
        <w:tc>
          <w:tcPr>
            <w:tcW w:w="1201" w:type="dxa"/>
          </w:tcPr>
          <w:p w14:paraId="09DC1D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312</w:t>
            </w:r>
          </w:p>
        </w:tc>
        <w:tc>
          <w:tcPr>
            <w:tcW w:w="1101" w:type="dxa"/>
          </w:tcPr>
          <w:p w14:paraId="5C72C8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3A8C7E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55</w:t>
            </w:r>
          </w:p>
        </w:tc>
        <w:tc>
          <w:tcPr>
            <w:tcW w:w="1870" w:type="dxa"/>
          </w:tcPr>
          <w:p w14:paraId="3AE3FE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Павлоград</w:t>
            </w:r>
          </w:p>
        </w:tc>
      </w:tr>
      <w:tr w:rsidR="00643896" w:rsidRPr="00640820" w14:paraId="66EC02FB" w14:textId="77777777" w:rsidTr="000D3BCB">
        <w:tc>
          <w:tcPr>
            <w:tcW w:w="918" w:type="dxa"/>
          </w:tcPr>
          <w:p w14:paraId="2067DE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4BD2DA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730938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43B767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6E0B20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BE1F7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2702153" w14:textId="77777777" w:rsidTr="000D3BCB">
        <w:tc>
          <w:tcPr>
            <w:tcW w:w="918" w:type="dxa"/>
          </w:tcPr>
          <w:p w14:paraId="073B48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0846FD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266A75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5D180E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7F0304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1DEFB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05921B5" w14:textId="77777777" w:rsidTr="000D3BCB">
        <w:tc>
          <w:tcPr>
            <w:tcW w:w="918" w:type="dxa"/>
          </w:tcPr>
          <w:p w14:paraId="32BB4C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5665A7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Миасс</w:t>
            </w:r>
          </w:p>
        </w:tc>
        <w:tc>
          <w:tcPr>
            <w:tcW w:w="1201" w:type="dxa"/>
          </w:tcPr>
          <w:p w14:paraId="14C55A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316</w:t>
            </w:r>
          </w:p>
        </w:tc>
        <w:tc>
          <w:tcPr>
            <w:tcW w:w="1101" w:type="dxa"/>
          </w:tcPr>
          <w:p w14:paraId="7237AC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ФАБ-50, 100, МДШ, ДШ-100, 120мм мины</w:t>
            </w:r>
          </w:p>
        </w:tc>
        <w:tc>
          <w:tcPr>
            <w:tcW w:w="1726" w:type="dxa"/>
          </w:tcPr>
          <w:p w14:paraId="5CE382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561</w:t>
            </w:r>
          </w:p>
        </w:tc>
        <w:tc>
          <w:tcPr>
            <w:tcW w:w="1870" w:type="dxa"/>
          </w:tcPr>
          <w:p w14:paraId="1F133E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Лианозово</w:t>
            </w:r>
          </w:p>
        </w:tc>
      </w:tr>
      <w:tr w:rsidR="00643896" w:rsidRPr="00640820" w14:paraId="7FEE2C39" w14:textId="77777777" w:rsidTr="000D3BCB">
        <w:tc>
          <w:tcPr>
            <w:tcW w:w="918" w:type="dxa"/>
          </w:tcPr>
          <w:p w14:paraId="366EFD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5B10AA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Миасс</w:t>
            </w:r>
          </w:p>
        </w:tc>
        <w:tc>
          <w:tcPr>
            <w:tcW w:w="1201" w:type="dxa"/>
          </w:tcPr>
          <w:p w14:paraId="295EEB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316</w:t>
            </w:r>
          </w:p>
        </w:tc>
        <w:tc>
          <w:tcPr>
            <w:tcW w:w="1101" w:type="dxa"/>
          </w:tcPr>
          <w:p w14:paraId="397D80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ФАБ-50, 100, 250, 2000, ХАБ-100, 200, ПЛАБ-100, МЯДШ</w:t>
            </w:r>
          </w:p>
        </w:tc>
        <w:tc>
          <w:tcPr>
            <w:tcW w:w="1726" w:type="dxa"/>
          </w:tcPr>
          <w:p w14:paraId="1EB53A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67</w:t>
            </w:r>
          </w:p>
        </w:tc>
        <w:tc>
          <w:tcPr>
            <w:tcW w:w="1870" w:type="dxa"/>
          </w:tcPr>
          <w:p w14:paraId="29A37C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r>
      <w:tr w:rsidR="00643896" w:rsidRPr="00640820" w14:paraId="6A73F8A1" w14:textId="77777777" w:rsidTr="000D3BCB">
        <w:tc>
          <w:tcPr>
            <w:tcW w:w="918" w:type="dxa"/>
          </w:tcPr>
          <w:p w14:paraId="6F2382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404C12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416903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74B07D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31C8EA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3E104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ABCD9E6" w14:textId="77777777" w:rsidTr="000D3BCB">
        <w:tc>
          <w:tcPr>
            <w:tcW w:w="918" w:type="dxa"/>
          </w:tcPr>
          <w:p w14:paraId="7E161E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3195DD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Кемерово</w:t>
            </w:r>
          </w:p>
        </w:tc>
        <w:tc>
          <w:tcPr>
            <w:tcW w:w="1201" w:type="dxa"/>
          </w:tcPr>
          <w:p w14:paraId="5D5F23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319</w:t>
            </w:r>
          </w:p>
        </w:tc>
        <w:tc>
          <w:tcPr>
            <w:tcW w:w="1101" w:type="dxa"/>
          </w:tcPr>
          <w:p w14:paraId="25E117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ВВ</w:t>
            </w:r>
          </w:p>
        </w:tc>
        <w:tc>
          <w:tcPr>
            <w:tcW w:w="1726" w:type="dxa"/>
          </w:tcPr>
          <w:p w14:paraId="474C80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64</w:t>
            </w:r>
          </w:p>
        </w:tc>
        <w:tc>
          <w:tcPr>
            <w:tcW w:w="1870" w:type="dxa"/>
          </w:tcPr>
          <w:p w14:paraId="5CDB0E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Горловка</w:t>
            </w:r>
          </w:p>
        </w:tc>
      </w:tr>
      <w:tr w:rsidR="00643896" w:rsidRPr="00640820" w14:paraId="530433C1" w14:textId="77777777" w:rsidTr="000D3BCB">
        <w:tc>
          <w:tcPr>
            <w:tcW w:w="918" w:type="dxa"/>
          </w:tcPr>
          <w:p w14:paraId="1A0033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14D04B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Кемерово</w:t>
            </w:r>
          </w:p>
        </w:tc>
        <w:tc>
          <w:tcPr>
            <w:tcW w:w="1201" w:type="dxa"/>
          </w:tcPr>
          <w:p w14:paraId="15E24D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319</w:t>
            </w:r>
          </w:p>
        </w:tc>
        <w:tc>
          <w:tcPr>
            <w:tcW w:w="1101" w:type="dxa"/>
          </w:tcPr>
          <w:p w14:paraId="25C7F7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Олеум</w:t>
            </w:r>
          </w:p>
        </w:tc>
        <w:tc>
          <w:tcPr>
            <w:tcW w:w="1726" w:type="dxa"/>
          </w:tcPr>
          <w:p w14:paraId="037CE1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1870" w:type="dxa"/>
          </w:tcPr>
          <w:p w14:paraId="68D874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Рубежное</w:t>
            </w:r>
          </w:p>
        </w:tc>
      </w:tr>
      <w:tr w:rsidR="00643896" w:rsidRPr="00640820" w14:paraId="3BC503AE" w14:textId="77777777" w:rsidTr="000D3BCB">
        <w:tc>
          <w:tcPr>
            <w:tcW w:w="918" w:type="dxa"/>
          </w:tcPr>
          <w:p w14:paraId="634267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0599CF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78C405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130425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211A2A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3E679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596A016" w14:textId="77777777" w:rsidTr="000D3BCB">
        <w:tc>
          <w:tcPr>
            <w:tcW w:w="918" w:type="dxa"/>
          </w:tcPr>
          <w:p w14:paraId="102AF5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5B2231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Чебоксары</w:t>
            </w:r>
          </w:p>
        </w:tc>
        <w:tc>
          <w:tcPr>
            <w:tcW w:w="1201" w:type="dxa"/>
          </w:tcPr>
          <w:p w14:paraId="49C252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320</w:t>
            </w:r>
          </w:p>
        </w:tc>
        <w:tc>
          <w:tcPr>
            <w:tcW w:w="1101" w:type="dxa"/>
          </w:tcPr>
          <w:p w14:paraId="3EF5A1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26мм патроны, ЗАБ-100-65ТШ, 500-300ТШ, ФОТАБ</w:t>
            </w:r>
          </w:p>
        </w:tc>
        <w:tc>
          <w:tcPr>
            <w:tcW w:w="1726" w:type="dxa"/>
          </w:tcPr>
          <w:p w14:paraId="703328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w:t>
            </w:r>
          </w:p>
        </w:tc>
        <w:tc>
          <w:tcPr>
            <w:tcW w:w="1870" w:type="dxa"/>
          </w:tcPr>
          <w:p w14:paraId="75B255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Краснозаводск</w:t>
            </w:r>
          </w:p>
        </w:tc>
      </w:tr>
      <w:tr w:rsidR="00643896" w:rsidRPr="00640820" w14:paraId="55092245" w14:textId="77777777" w:rsidTr="000D3BCB">
        <w:tc>
          <w:tcPr>
            <w:tcW w:w="918" w:type="dxa"/>
          </w:tcPr>
          <w:p w14:paraId="0E8861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21021E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696B32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50760A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5B803E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1FA29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9333244" w14:textId="77777777" w:rsidTr="000D3BCB">
        <w:tc>
          <w:tcPr>
            <w:tcW w:w="918" w:type="dxa"/>
          </w:tcPr>
          <w:p w14:paraId="5A7482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42CE25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Орск</w:t>
            </w:r>
          </w:p>
        </w:tc>
        <w:tc>
          <w:tcPr>
            <w:tcW w:w="1201" w:type="dxa"/>
          </w:tcPr>
          <w:p w14:paraId="798CA2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322</w:t>
            </w:r>
          </w:p>
        </w:tc>
        <w:tc>
          <w:tcPr>
            <w:tcW w:w="1101" w:type="dxa"/>
          </w:tcPr>
          <w:p w14:paraId="234BAC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152мм снаряды</w:t>
            </w:r>
          </w:p>
        </w:tc>
        <w:tc>
          <w:tcPr>
            <w:tcW w:w="1726" w:type="dxa"/>
          </w:tcPr>
          <w:p w14:paraId="292309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79</w:t>
            </w:r>
          </w:p>
        </w:tc>
        <w:tc>
          <w:tcPr>
            <w:tcW w:w="1870" w:type="dxa"/>
          </w:tcPr>
          <w:p w14:paraId="4037D6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Днепропетровск</w:t>
            </w:r>
          </w:p>
        </w:tc>
      </w:tr>
      <w:tr w:rsidR="00643896" w:rsidRPr="00640820" w14:paraId="78623B42" w14:textId="77777777" w:rsidTr="000D3BCB">
        <w:tc>
          <w:tcPr>
            <w:tcW w:w="918" w:type="dxa"/>
          </w:tcPr>
          <w:p w14:paraId="7C1C33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60FEAB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24FFB4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00ABE8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5DFDF8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33CA3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B782E15" w14:textId="77777777" w:rsidTr="000D3BCB">
        <w:tc>
          <w:tcPr>
            <w:tcW w:w="918" w:type="dxa"/>
          </w:tcPr>
          <w:p w14:paraId="6B885C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695BCC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Кемерово</w:t>
            </w:r>
          </w:p>
        </w:tc>
        <w:tc>
          <w:tcPr>
            <w:tcW w:w="1201" w:type="dxa"/>
          </w:tcPr>
          <w:p w14:paraId="01D0A3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392</w:t>
            </w:r>
          </w:p>
        </w:tc>
        <w:tc>
          <w:tcPr>
            <w:tcW w:w="1101" w:type="dxa"/>
          </w:tcPr>
          <w:p w14:paraId="3C2E2F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центрифуги</w:t>
            </w:r>
          </w:p>
        </w:tc>
        <w:tc>
          <w:tcPr>
            <w:tcW w:w="1726" w:type="dxa"/>
          </w:tcPr>
          <w:p w14:paraId="52D622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Сумской завод НКОбМ</w:t>
            </w:r>
          </w:p>
        </w:tc>
        <w:tc>
          <w:tcPr>
            <w:tcW w:w="1870" w:type="dxa"/>
          </w:tcPr>
          <w:p w14:paraId="7BF971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Сумы</w:t>
            </w:r>
          </w:p>
        </w:tc>
      </w:tr>
      <w:tr w:rsidR="00643896" w:rsidRPr="00640820" w14:paraId="3755DF42" w14:textId="77777777" w:rsidTr="000D3BCB">
        <w:tc>
          <w:tcPr>
            <w:tcW w:w="918" w:type="dxa"/>
          </w:tcPr>
          <w:p w14:paraId="3C8CA7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7B1525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Кемерово</w:t>
            </w:r>
          </w:p>
        </w:tc>
        <w:tc>
          <w:tcPr>
            <w:tcW w:w="1201" w:type="dxa"/>
          </w:tcPr>
          <w:p w14:paraId="754E2B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392</w:t>
            </w:r>
          </w:p>
        </w:tc>
        <w:tc>
          <w:tcPr>
            <w:tcW w:w="1101" w:type="dxa"/>
          </w:tcPr>
          <w:p w14:paraId="52F222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Спец. укупорка</w:t>
            </w:r>
          </w:p>
        </w:tc>
        <w:tc>
          <w:tcPr>
            <w:tcW w:w="1726" w:type="dxa"/>
          </w:tcPr>
          <w:p w14:paraId="2E232F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323</w:t>
            </w:r>
          </w:p>
        </w:tc>
        <w:tc>
          <w:tcPr>
            <w:tcW w:w="1870" w:type="dxa"/>
          </w:tcPr>
          <w:p w14:paraId="16D653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Алексин</w:t>
            </w:r>
          </w:p>
        </w:tc>
      </w:tr>
      <w:tr w:rsidR="00643896" w:rsidRPr="00640820" w14:paraId="754E742A" w14:textId="77777777" w:rsidTr="000D3BCB">
        <w:tc>
          <w:tcPr>
            <w:tcW w:w="918" w:type="dxa"/>
          </w:tcPr>
          <w:p w14:paraId="7462A9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0813AB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Кемерово</w:t>
            </w:r>
          </w:p>
        </w:tc>
        <w:tc>
          <w:tcPr>
            <w:tcW w:w="1201" w:type="dxa"/>
          </w:tcPr>
          <w:p w14:paraId="75A96D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392</w:t>
            </w:r>
          </w:p>
        </w:tc>
        <w:tc>
          <w:tcPr>
            <w:tcW w:w="1101" w:type="dxa"/>
          </w:tcPr>
          <w:p w14:paraId="7FE758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Пироксилиновый порох</w:t>
            </w:r>
          </w:p>
        </w:tc>
        <w:tc>
          <w:tcPr>
            <w:tcW w:w="1726" w:type="dxa"/>
          </w:tcPr>
          <w:p w14:paraId="694A45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101</w:t>
            </w:r>
          </w:p>
        </w:tc>
        <w:tc>
          <w:tcPr>
            <w:tcW w:w="1870" w:type="dxa"/>
          </w:tcPr>
          <w:p w14:paraId="614D80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Каменск-Шахтинский</w:t>
            </w:r>
          </w:p>
        </w:tc>
      </w:tr>
      <w:tr w:rsidR="00643896" w:rsidRPr="00640820" w14:paraId="6BBD9112" w14:textId="77777777" w:rsidTr="000D3BCB">
        <w:tc>
          <w:tcPr>
            <w:tcW w:w="918" w:type="dxa"/>
          </w:tcPr>
          <w:p w14:paraId="5DCB71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60BF10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Кемерово</w:t>
            </w:r>
          </w:p>
        </w:tc>
        <w:tc>
          <w:tcPr>
            <w:tcW w:w="1201" w:type="dxa"/>
          </w:tcPr>
          <w:p w14:paraId="1CF327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392</w:t>
            </w:r>
          </w:p>
        </w:tc>
        <w:tc>
          <w:tcPr>
            <w:tcW w:w="1101" w:type="dxa"/>
          </w:tcPr>
          <w:p w14:paraId="3751E7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Пироксилиновый порох</w:t>
            </w:r>
          </w:p>
        </w:tc>
        <w:tc>
          <w:tcPr>
            <w:tcW w:w="1726" w:type="dxa"/>
          </w:tcPr>
          <w:p w14:paraId="5C219A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w:t>
            </w:r>
          </w:p>
        </w:tc>
        <w:tc>
          <w:tcPr>
            <w:tcW w:w="1870" w:type="dxa"/>
          </w:tcPr>
          <w:p w14:paraId="102B64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Алексин</w:t>
            </w:r>
          </w:p>
        </w:tc>
      </w:tr>
      <w:tr w:rsidR="00643896" w:rsidRPr="00640820" w14:paraId="53CE9649" w14:textId="77777777" w:rsidTr="000D3BCB">
        <w:tc>
          <w:tcPr>
            <w:tcW w:w="918" w:type="dxa"/>
          </w:tcPr>
          <w:p w14:paraId="627358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7E18DA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Кемерово</w:t>
            </w:r>
          </w:p>
        </w:tc>
        <w:tc>
          <w:tcPr>
            <w:tcW w:w="1201" w:type="dxa"/>
          </w:tcPr>
          <w:p w14:paraId="1A7729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392</w:t>
            </w:r>
          </w:p>
        </w:tc>
        <w:tc>
          <w:tcPr>
            <w:tcW w:w="1101" w:type="dxa"/>
          </w:tcPr>
          <w:p w14:paraId="687CE0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Пироксилиновый порох</w:t>
            </w:r>
          </w:p>
        </w:tc>
        <w:tc>
          <w:tcPr>
            <w:tcW w:w="1726" w:type="dxa"/>
          </w:tcPr>
          <w:p w14:paraId="19CC37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tc>
        <w:tc>
          <w:tcPr>
            <w:tcW w:w="1870" w:type="dxa"/>
          </w:tcPr>
          <w:p w14:paraId="4A73B4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Шостка</w:t>
            </w:r>
          </w:p>
        </w:tc>
      </w:tr>
      <w:tr w:rsidR="00643896" w:rsidRPr="00640820" w14:paraId="4ADAA86B" w14:textId="77777777" w:rsidTr="000D3BCB">
        <w:tc>
          <w:tcPr>
            <w:tcW w:w="918" w:type="dxa"/>
          </w:tcPr>
          <w:p w14:paraId="376840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357651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17109C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7360AF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5F3989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D6E48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7A36DAA" w14:textId="77777777" w:rsidTr="000D3BCB">
        <w:tc>
          <w:tcPr>
            <w:tcW w:w="918" w:type="dxa"/>
          </w:tcPr>
          <w:p w14:paraId="417BF7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4BC544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Аша</w:t>
            </w:r>
          </w:p>
        </w:tc>
        <w:tc>
          <w:tcPr>
            <w:tcW w:w="1201" w:type="dxa"/>
          </w:tcPr>
          <w:p w14:paraId="69DADD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401</w:t>
            </w:r>
          </w:p>
        </w:tc>
        <w:tc>
          <w:tcPr>
            <w:tcW w:w="1101" w:type="dxa"/>
          </w:tcPr>
          <w:p w14:paraId="0C7502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Термит</w:t>
            </w:r>
          </w:p>
        </w:tc>
        <w:tc>
          <w:tcPr>
            <w:tcW w:w="1726" w:type="dxa"/>
          </w:tcPr>
          <w:p w14:paraId="7FF9CE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401</w:t>
            </w:r>
          </w:p>
        </w:tc>
        <w:tc>
          <w:tcPr>
            <w:tcW w:w="1870" w:type="dxa"/>
          </w:tcPr>
          <w:p w14:paraId="2D7549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Реутово</w:t>
            </w:r>
          </w:p>
        </w:tc>
      </w:tr>
      <w:tr w:rsidR="00643896" w:rsidRPr="00640820" w14:paraId="75D24A00" w14:textId="77777777" w:rsidTr="000D3BCB">
        <w:tc>
          <w:tcPr>
            <w:tcW w:w="918" w:type="dxa"/>
          </w:tcPr>
          <w:p w14:paraId="23B2B9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1A85F3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1FD496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399D08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585C1C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0B75F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F177521" w14:textId="77777777" w:rsidTr="000D3BCB">
        <w:tc>
          <w:tcPr>
            <w:tcW w:w="918" w:type="dxa"/>
          </w:tcPr>
          <w:p w14:paraId="1F6DCC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52445C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Уфа</w:t>
            </w:r>
          </w:p>
        </w:tc>
        <w:tc>
          <w:tcPr>
            <w:tcW w:w="1201" w:type="dxa"/>
          </w:tcPr>
          <w:p w14:paraId="2399A3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505</w:t>
            </w:r>
          </w:p>
        </w:tc>
        <w:tc>
          <w:tcPr>
            <w:tcW w:w="1101" w:type="dxa"/>
          </w:tcPr>
          <w:p w14:paraId="582235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ВВ</w:t>
            </w:r>
          </w:p>
        </w:tc>
        <w:tc>
          <w:tcPr>
            <w:tcW w:w="1726" w:type="dxa"/>
          </w:tcPr>
          <w:p w14:paraId="33638F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1870" w:type="dxa"/>
          </w:tcPr>
          <w:p w14:paraId="0D8915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Рубежное</w:t>
            </w:r>
          </w:p>
        </w:tc>
      </w:tr>
      <w:tr w:rsidR="00643896" w:rsidRPr="00640820" w14:paraId="4C992391" w14:textId="77777777" w:rsidTr="000D3BCB">
        <w:tc>
          <w:tcPr>
            <w:tcW w:w="918" w:type="dxa"/>
          </w:tcPr>
          <w:p w14:paraId="21F54A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5A2F77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69F853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7696B4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0EA4B9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062E2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80614C2" w14:textId="77777777" w:rsidTr="000D3BCB">
        <w:tc>
          <w:tcPr>
            <w:tcW w:w="918" w:type="dxa"/>
          </w:tcPr>
          <w:p w14:paraId="29F659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6ACCC0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Омск</w:t>
            </w:r>
          </w:p>
        </w:tc>
        <w:tc>
          <w:tcPr>
            <w:tcW w:w="1201" w:type="dxa"/>
          </w:tcPr>
          <w:p w14:paraId="4C0E67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510</w:t>
            </w:r>
          </w:p>
        </w:tc>
        <w:tc>
          <w:tcPr>
            <w:tcW w:w="1101" w:type="dxa"/>
          </w:tcPr>
          <w:p w14:paraId="5FA17A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МП</w:t>
            </w:r>
          </w:p>
        </w:tc>
        <w:tc>
          <w:tcPr>
            <w:tcW w:w="1726" w:type="dxa"/>
          </w:tcPr>
          <w:p w14:paraId="50E7BD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Харьковский химпласт</w:t>
            </w:r>
          </w:p>
        </w:tc>
        <w:tc>
          <w:tcPr>
            <w:tcW w:w="1870" w:type="dxa"/>
          </w:tcPr>
          <w:p w14:paraId="65534E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Харьков</w:t>
            </w:r>
          </w:p>
        </w:tc>
      </w:tr>
      <w:tr w:rsidR="00643896" w:rsidRPr="00640820" w14:paraId="3D5BFCF6" w14:textId="77777777" w:rsidTr="000D3BCB">
        <w:tc>
          <w:tcPr>
            <w:tcW w:w="918" w:type="dxa"/>
          </w:tcPr>
          <w:p w14:paraId="2C573C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29B710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Омск</w:t>
            </w:r>
          </w:p>
        </w:tc>
        <w:tc>
          <w:tcPr>
            <w:tcW w:w="1201" w:type="dxa"/>
          </w:tcPr>
          <w:p w14:paraId="6EF34B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510</w:t>
            </w:r>
          </w:p>
        </w:tc>
        <w:tc>
          <w:tcPr>
            <w:tcW w:w="1101" w:type="dxa"/>
          </w:tcPr>
          <w:p w14:paraId="06AE36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МП</w:t>
            </w:r>
          </w:p>
        </w:tc>
        <w:tc>
          <w:tcPr>
            <w:tcW w:w="1726" w:type="dxa"/>
          </w:tcPr>
          <w:p w14:paraId="645BA1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510 </w:t>
            </w:r>
          </w:p>
        </w:tc>
        <w:tc>
          <w:tcPr>
            <w:tcW w:w="1870" w:type="dxa"/>
          </w:tcPr>
          <w:p w14:paraId="2A5942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Ногинск</w:t>
            </w:r>
          </w:p>
        </w:tc>
      </w:tr>
      <w:tr w:rsidR="00643896" w:rsidRPr="00640820" w14:paraId="4047E34B" w14:textId="77777777" w:rsidTr="000D3BCB">
        <w:tc>
          <w:tcPr>
            <w:tcW w:w="918" w:type="dxa"/>
          </w:tcPr>
          <w:p w14:paraId="0D0431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74D899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347FEF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2B02D2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2652D1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22A6A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F5D2947" w14:textId="77777777" w:rsidTr="000D3BCB">
        <w:tc>
          <w:tcPr>
            <w:tcW w:w="918" w:type="dxa"/>
          </w:tcPr>
          <w:p w14:paraId="20E796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6F7925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Омск</w:t>
            </w:r>
          </w:p>
        </w:tc>
        <w:tc>
          <w:tcPr>
            <w:tcW w:w="1201" w:type="dxa"/>
          </w:tcPr>
          <w:p w14:paraId="15A806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513а</w:t>
            </w:r>
          </w:p>
        </w:tc>
        <w:tc>
          <w:tcPr>
            <w:tcW w:w="1101" w:type="dxa"/>
          </w:tcPr>
          <w:p w14:paraId="6A0808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20мм гильзы</w:t>
            </w:r>
          </w:p>
        </w:tc>
        <w:tc>
          <w:tcPr>
            <w:tcW w:w="1726" w:type="dxa"/>
          </w:tcPr>
          <w:p w14:paraId="5127E4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513</w:t>
            </w:r>
          </w:p>
        </w:tc>
        <w:tc>
          <w:tcPr>
            <w:tcW w:w="1870" w:type="dxa"/>
          </w:tcPr>
          <w:p w14:paraId="02714B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Ростов на Дону</w:t>
            </w:r>
          </w:p>
        </w:tc>
      </w:tr>
      <w:tr w:rsidR="00643896" w:rsidRPr="00640820" w14:paraId="51D47FFD" w14:textId="77777777" w:rsidTr="000D3BCB">
        <w:tc>
          <w:tcPr>
            <w:tcW w:w="918" w:type="dxa"/>
          </w:tcPr>
          <w:p w14:paraId="44056A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1ECAFC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Омск</w:t>
            </w:r>
          </w:p>
        </w:tc>
        <w:tc>
          <w:tcPr>
            <w:tcW w:w="1201" w:type="dxa"/>
          </w:tcPr>
          <w:p w14:paraId="6C3F41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513а</w:t>
            </w:r>
          </w:p>
        </w:tc>
        <w:tc>
          <w:tcPr>
            <w:tcW w:w="1101" w:type="dxa"/>
          </w:tcPr>
          <w:p w14:paraId="51B5A9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20мм, 12.7мм,7.62мм, 23мм</w:t>
            </w:r>
          </w:p>
        </w:tc>
        <w:tc>
          <w:tcPr>
            <w:tcW w:w="1726" w:type="dxa"/>
          </w:tcPr>
          <w:p w14:paraId="414300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187</w:t>
            </w:r>
          </w:p>
        </w:tc>
        <w:tc>
          <w:tcPr>
            <w:tcW w:w="1870" w:type="dxa"/>
          </w:tcPr>
          <w:p w14:paraId="42870B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Тула</w:t>
            </w:r>
          </w:p>
        </w:tc>
      </w:tr>
      <w:tr w:rsidR="00643896" w:rsidRPr="00640820" w14:paraId="1E10D48D" w14:textId="77777777" w:rsidTr="000D3BCB">
        <w:tc>
          <w:tcPr>
            <w:tcW w:w="918" w:type="dxa"/>
          </w:tcPr>
          <w:p w14:paraId="603EE8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686942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2926FD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57C8F2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52F94A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0BC97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D63B9F9" w14:textId="77777777" w:rsidTr="000D3BCB">
        <w:tc>
          <w:tcPr>
            <w:tcW w:w="918" w:type="dxa"/>
          </w:tcPr>
          <w:p w14:paraId="06B6E4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316488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Куйбышев</w:t>
            </w:r>
          </w:p>
        </w:tc>
        <w:tc>
          <w:tcPr>
            <w:tcW w:w="1201" w:type="dxa"/>
          </w:tcPr>
          <w:p w14:paraId="78D65F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530</w:t>
            </w:r>
          </w:p>
        </w:tc>
        <w:tc>
          <w:tcPr>
            <w:tcW w:w="1101" w:type="dxa"/>
          </w:tcPr>
          <w:p w14:paraId="53152E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КВ-2</w:t>
            </w:r>
          </w:p>
        </w:tc>
        <w:tc>
          <w:tcPr>
            <w:tcW w:w="1726" w:type="dxa"/>
          </w:tcPr>
          <w:p w14:paraId="6EAE7B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530</w:t>
            </w:r>
          </w:p>
        </w:tc>
        <w:tc>
          <w:tcPr>
            <w:tcW w:w="1870" w:type="dxa"/>
          </w:tcPr>
          <w:p w14:paraId="36C0CC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Железнодорожный</w:t>
            </w:r>
          </w:p>
        </w:tc>
      </w:tr>
      <w:tr w:rsidR="00643896" w:rsidRPr="00640820" w14:paraId="043338DC" w14:textId="77777777" w:rsidTr="000D3BCB">
        <w:tc>
          <w:tcPr>
            <w:tcW w:w="918" w:type="dxa"/>
          </w:tcPr>
          <w:p w14:paraId="15E250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2643F1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178AA6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3D2800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42B951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A798D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780606D" w14:textId="77777777" w:rsidTr="000D3BCB">
        <w:tc>
          <w:tcPr>
            <w:tcW w:w="918" w:type="dxa"/>
          </w:tcPr>
          <w:p w14:paraId="3C1914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293394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Новосибирск</w:t>
            </w:r>
          </w:p>
        </w:tc>
        <w:tc>
          <w:tcPr>
            <w:tcW w:w="1201" w:type="dxa"/>
          </w:tcPr>
          <w:p w14:paraId="3ACAD5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564</w:t>
            </w:r>
          </w:p>
        </w:tc>
        <w:tc>
          <w:tcPr>
            <w:tcW w:w="1101" w:type="dxa"/>
          </w:tcPr>
          <w:p w14:paraId="125B6A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К-6, 20мм снаряды, 23мм снаряды, В-179</w:t>
            </w:r>
          </w:p>
        </w:tc>
        <w:tc>
          <w:tcPr>
            <w:tcW w:w="1726" w:type="dxa"/>
          </w:tcPr>
          <w:p w14:paraId="581DEF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512</w:t>
            </w:r>
          </w:p>
        </w:tc>
        <w:tc>
          <w:tcPr>
            <w:tcW w:w="1870" w:type="dxa"/>
          </w:tcPr>
          <w:p w14:paraId="0F6A99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Люберцы</w:t>
            </w:r>
          </w:p>
        </w:tc>
      </w:tr>
      <w:tr w:rsidR="00643896" w:rsidRPr="00640820" w14:paraId="66E50BEF" w14:textId="77777777" w:rsidTr="000D3BCB">
        <w:tc>
          <w:tcPr>
            <w:tcW w:w="918" w:type="dxa"/>
          </w:tcPr>
          <w:p w14:paraId="62FFF1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0FD6A1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37FDA9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196AC7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3063EF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4E52C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0467BA5" w14:textId="77777777" w:rsidTr="000D3BCB">
        <w:tc>
          <w:tcPr>
            <w:tcW w:w="918" w:type="dxa"/>
          </w:tcPr>
          <w:p w14:paraId="7C07C9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НКБ, 236сс 04/07/41</w:t>
            </w:r>
          </w:p>
        </w:tc>
        <w:tc>
          <w:tcPr>
            <w:tcW w:w="1302" w:type="dxa"/>
          </w:tcPr>
          <w:p w14:paraId="51CD39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Саратов</w:t>
            </w:r>
          </w:p>
        </w:tc>
        <w:tc>
          <w:tcPr>
            <w:tcW w:w="1201" w:type="dxa"/>
          </w:tcPr>
          <w:p w14:paraId="491D7A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Конд. Фабрика, потом 572</w:t>
            </w:r>
          </w:p>
        </w:tc>
        <w:tc>
          <w:tcPr>
            <w:tcW w:w="1101" w:type="dxa"/>
          </w:tcPr>
          <w:p w14:paraId="0AFBD2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станкоинструменты</w:t>
            </w:r>
          </w:p>
        </w:tc>
        <w:tc>
          <w:tcPr>
            <w:tcW w:w="1726" w:type="dxa"/>
          </w:tcPr>
          <w:p w14:paraId="79BF9B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177</w:t>
            </w:r>
          </w:p>
        </w:tc>
        <w:tc>
          <w:tcPr>
            <w:tcW w:w="1870" w:type="dxa"/>
          </w:tcPr>
          <w:p w14:paraId="46C435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Ленинград</w:t>
            </w:r>
          </w:p>
        </w:tc>
      </w:tr>
      <w:tr w:rsidR="00643896" w:rsidRPr="00640820" w14:paraId="7D4FEA6F" w14:textId="77777777" w:rsidTr="000D3BCB">
        <w:tc>
          <w:tcPr>
            <w:tcW w:w="918" w:type="dxa"/>
          </w:tcPr>
          <w:p w14:paraId="5B024F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02B44E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Саратов</w:t>
            </w:r>
          </w:p>
        </w:tc>
        <w:tc>
          <w:tcPr>
            <w:tcW w:w="1201" w:type="dxa"/>
          </w:tcPr>
          <w:p w14:paraId="5A2F1E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Конд. Фабрика, потом 572</w:t>
            </w:r>
          </w:p>
        </w:tc>
        <w:tc>
          <w:tcPr>
            <w:tcW w:w="1101" w:type="dxa"/>
          </w:tcPr>
          <w:p w14:paraId="5CC32F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К-6, К-20, В-179</w:t>
            </w:r>
          </w:p>
        </w:tc>
        <w:tc>
          <w:tcPr>
            <w:tcW w:w="1726" w:type="dxa"/>
          </w:tcPr>
          <w:p w14:paraId="4713DF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1870" w:type="dxa"/>
          </w:tcPr>
          <w:p w14:paraId="607180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Ленинград</w:t>
            </w:r>
          </w:p>
        </w:tc>
      </w:tr>
      <w:tr w:rsidR="00643896" w:rsidRPr="00640820" w14:paraId="165636F1" w14:textId="77777777" w:rsidTr="000D3BCB">
        <w:tc>
          <w:tcPr>
            <w:tcW w:w="918" w:type="dxa"/>
          </w:tcPr>
          <w:p w14:paraId="7DE190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5166A3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69A54D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059DE3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15205E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5E1E6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E8251C3" w14:textId="77777777" w:rsidTr="000D3BCB">
        <w:tc>
          <w:tcPr>
            <w:tcW w:w="918" w:type="dxa"/>
          </w:tcPr>
          <w:p w14:paraId="04868A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3871A2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Реж</w:t>
            </w:r>
          </w:p>
        </w:tc>
        <w:tc>
          <w:tcPr>
            <w:tcW w:w="1201" w:type="dxa"/>
          </w:tcPr>
          <w:p w14:paraId="7A6B0A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576</w:t>
            </w:r>
          </w:p>
        </w:tc>
        <w:tc>
          <w:tcPr>
            <w:tcW w:w="1101" w:type="dxa"/>
          </w:tcPr>
          <w:p w14:paraId="778598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Олеум</w:t>
            </w:r>
          </w:p>
        </w:tc>
        <w:tc>
          <w:tcPr>
            <w:tcW w:w="1726" w:type="dxa"/>
          </w:tcPr>
          <w:p w14:paraId="5B3227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101</w:t>
            </w:r>
          </w:p>
        </w:tc>
        <w:tc>
          <w:tcPr>
            <w:tcW w:w="1870" w:type="dxa"/>
          </w:tcPr>
          <w:p w14:paraId="2E1FA1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Каменск-Шахтинский</w:t>
            </w:r>
          </w:p>
        </w:tc>
      </w:tr>
      <w:tr w:rsidR="00643896" w:rsidRPr="00640820" w14:paraId="7990F0FB" w14:textId="77777777" w:rsidTr="000D3BCB">
        <w:tc>
          <w:tcPr>
            <w:tcW w:w="918" w:type="dxa"/>
          </w:tcPr>
          <w:p w14:paraId="38875F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3C5A80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Реж</w:t>
            </w:r>
          </w:p>
        </w:tc>
        <w:tc>
          <w:tcPr>
            <w:tcW w:w="1201" w:type="dxa"/>
          </w:tcPr>
          <w:p w14:paraId="76EDBD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576</w:t>
            </w:r>
          </w:p>
        </w:tc>
        <w:tc>
          <w:tcPr>
            <w:tcW w:w="1101" w:type="dxa"/>
          </w:tcPr>
          <w:p w14:paraId="199CB2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Пироксилиновый порох, азотная кислота</w:t>
            </w:r>
          </w:p>
        </w:tc>
        <w:tc>
          <w:tcPr>
            <w:tcW w:w="1726" w:type="dxa"/>
          </w:tcPr>
          <w:p w14:paraId="2B656F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w:t>
            </w:r>
          </w:p>
        </w:tc>
        <w:tc>
          <w:tcPr>
            <w:tcW w:w="1870" w:type="dxa"/>
          </w:tcPr>
          <w:p w14:paraId="6D7D43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Рошаль</w:t>
            </w:r>
          </w:p>
        </w:tc>
      </w:tr>
      <w:tr w:rsidR="00643896" w:rsidRPr="00640820" w14:paraId="371BBA33" w14:textId="77777777" w:rsidTr="000D3BCB">
        <w:tc>
          <w:tcPr>
            <w:tcW w:w="918" w:type="dxa"/>
          </w:tcPr>
          <w:p w14:paraId="4879D0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0441DB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6D8625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4E6828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0CF777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CA87E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4CB054F" w14:textId="77777777" w:rsidTr="000D3BCB">
        <w:tc>
          <w:tcPr>
            <w:tcW w:w="918" w:type="dxa"/>
          </w:tcPr>
          <w:p w14:paraId="3DC302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7D49AF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Соликамск</w:t>
            </w:r>
          </w:p>
        </w:tc>
        <w:tc>
          <w:tcPr>
            <w:tcW w:w="1201" w:type="dxa"/>
          </w:tcPr>
          <w:p w14:paraId="0EDE1A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577</w:t>
            </w:r>
          </w:p>
        </w:tc>
        <w:tc>
          <w:tcPr>
            <w:tcW w:w="1101" w:type="dxa"/>
          </w:tcPr>
          <w:p w14:paraId="79B2A8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Пироксилин</w:t>
            </w:r>
          </w:p>
        </w:tc>
        <w:tc>
          <w:tcPr>
            <w:tcW w:w="1726" w:type="dxa"/>
          </w:tcPr>
          <w:p w14:paraId="55F648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101</w:t>
            </w:r>
          </w:p>
        </w:tc>
        <w:tc>
          <w:tcPr>
            <w:tcW w:w="1870" w:type="dxa"/>
          </w:tcPr>
          <w:p w14:paraId="644E24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Каменск-Шахтинский</w:t>
            </w:r>
          </w:p>
        </w:tc>
      </w:tr>
      <w:tr w:rsidR="00643896" w:rsidRPr="00640820" w14:paraId="6F94F790" w14:textId="77777777" w:rsidTr="000D3BCB">
        <w:tc>
          <w:tcPr>
            <w:tcW w:w="918" w:type="dxa"/>
          </w:tcPr>
          <w:p w14:paraId="1B976C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1B3240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Соликамск</w:t>
            </w:r>
          </w:p>
        </w:tc>
        <w:tc>
          <w:tcPr>
            <w:tcW w:w="1201" w:type="dxa"/>
          </w:tcPr>
          <w:p w14:paraId="71EB26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577</w:t>
            </w:r>
          </w:p>
        </w:tc>
        <w:tc>
          <w:tcPr>
            <w:tcW w:w="1101" w:type="dxa"/>
          </w:tcPr>
          <w:p w14:paraId="65357AE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Нитроглицериновый порох</w:t>
            </w:r>
          </w:p>
        </w:tc>
        <w:tc>
          <w:tcPr>
            <w:tcW w:w="1726" w:type="dxa"/>
          </w:tcPr>
          <w:p w14:paraId="4FB9B5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59</w:t>
            </w:r>
          </w:p>
        </w:tc>
        <w:tc>
          <w:tcPr>
            <w:tcW w:w="1870" w:type="dxa"/>
          </w:tcPr>
          <w:p w14:paraId="228551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Петровеньки</w:t>
            </w:r>
          </w:p>
        </w:tc>
      </w:tr>
      <w:tr w:rsidR="00643896" w:rsidRPr="00640820" w14:paraId="0ADE030C" w14:textId="77777777" w:rsidTr="000D3BCB">
        <w:tc>
          <w:tcPr>
            <w:tcW w:w="918" w:type="dxa"/>
          </w:tcPr>
          <w:p w14:paraId="40EA3B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74F9CF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2E8CFE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721443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0E6275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2498E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CDD3C85" w14:textId="77777777" w:rsidTr="000D3BCB">
        <w:tc>
          <w:tcPr>
            <w:tcW w:w="918" w:type="dxa"/>
          </w:tcPr>
          <w:p w14:paraId="022797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43E960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Красноярск</w:t>
            </w:r>
          </w:p>
        </w:tc>
        <w:tc>
          <w:tcPr>
            <w:tcW w:w="1201" w:type="dxa"/>
          </w:tcPr>
          <w:p w14:paraId="6B2348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580</w:t>
            </w:r>
          </w:p>
        </w:tc>
        <w:tc>
          <w:tcPr>
            <w:tcW w:w="1101" w:type="dxa"/>
          </w:tcPr>
          <w:p w14:paraId="438EF6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оборудование</w:t>
            </w:r>
          </w:p>
        </w:tc>
        <w:tc>
          <w:tcPr>
            <w:tcW w:w="1726" w:type="dxa"/>
          </w:tcPr>
          <w:p w14:paraId="5E8FC0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204</w:t>
            </w:r>
          </w:p>
        </w:tc>
        <w:tc>
          <w:tcPr>
            <w:tcW w:w="1870" w:type="dxa"/>
          </w:tcPr>
          <w:p w14:paraId="4BE1B4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Котовск</w:t>
            </w:r>
          </w:p>
        </w:tc>
      </w:tr>
      <w:tr w:rsidR="00643896" w:rsidRPr="00640820" w14:paraId="071A2B70" w14:textId="77777777" w:rsidTr="000D3BCB">
        <w:tc>
          <w:tcPr>
            <w:tcW w:w="918" w:type="dxa"/>
          </w:tcPr>
          <w:p w14:paraId="3E6794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26C573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Красноярск</w:t>
            </w:r>
          </w:p>
        </w:tc>
        <w:tc>
          <w:tcPr>
            <w:tcW w:w="1201" w:type="dxa"/>
          </w:tcPr>
          <w:p w14:paraId="7FDB21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580</w:t>
            </w:r>
          </w:p>
        </w:tc>
        <w:tc>
          <w:tcPr>
            <w:tcW w:w="1101" w:type="dxa"/>
          </w:tcPr>
          <w:p w14:paraId="149932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Оборудование</w:t>
            </w:r>
          </w:p>
        </w:tc>
        <w:tc>
          <w:tcPr>
            <w:tcW w:w="1726" w:type="dxa"/>
          </w:tcPr>
          <w:p w14:paraId="5427ED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101</w:t>
            </w:r>
          </w:p>
        </w:tc>
        <w:tc>
          <w:tcPr>
            <w:tcW w:w="1870" w:type="dxa"/>
          </w:tcPr>
          <w:p w14:paraId="1AD8B8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Каменск-Шахтинский</w:t>
            </w:r>
          </w:p>
        </w:tc>
      </w:tr>
      <w:tr w:rsidR="00643896" w:rsidRPr="00640820" w14:paraId="770AFACD" w14:textId="77777777" w:rsidTr="000D3BCB">
        <w:tc>
          <w:tcPr>
            <w:tcW w:w="918" w:type="dxa"/>
          </w:tcPr>
          <w:p w14:paraId="120111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4DFD9D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Красноярск</w:t>
            </w:r>
          </w:p>
        </w:tc>
        <w:tc>
          <w:tcPr>
            <w:tcW w:w="1201" w:type="dxa"/>
          </w:tcPr>
          <w:p w14:paraId="1581DF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580</w:t>
            </w:r>
          </w:p>
        </w:tc>
        <w:tc>
          <w:tcPr>
            <w:tcW w:w="1101" w:type="dxa"/>
          </w:tcPr>
          <w:p w14:paraId="3263E8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Оборудование</w:t>
            </w:r>
          </w:p>
        </w:tc>
        <w:tc>
          <w:tcPr>
            <w:tcW w:w="1726" w:type="dxa"/>
          </w:tcPr>
          <w:p w14:paraId="3DD97D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w:t>
            </w:r>
          </w:p>
        </w:tc>
        <w:tc>
          <w:tcPr>
            <w:tcW w:w="1870" w:type="dxa"/>
          </w:tcPr>
          <w:p w14:paraId="5BC030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Алексин</w:t>
            </w:r>
          </w:p>
        </w:tc>
      </w:tr>
      <w:tr w:rsidR="00643896" w:rsidRPr="00640820" w14:paraId="09353601" w14:textId="77777777" w:rsidTr="000D3BCB">
        <w:tc>
          <w:tcPr>
            <w:tcW w:w="918" w:type="dxa"/>
          </w:tcPr>
          <w:p w14:paraId="7B4487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0EFEE6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Красноярск</w:t>
            </w:r>
          </w:p>
        </w:tc>
        <w:tc>
          <w:tcPr>
            <w:tcW w:w="1201" w:type="dxa"/>
          </w:tcPr>
          <w:p w14:paraId="63E92C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589 или 580</w:t>
            </w:r>
          </w:p>
        </w:tc>
        <w:tc>
          <w:tcPr>
            <w:tcW w:w="1101" w:type="dxa"/>
          </w:tcPr>
          <w:p w14:paraId="036C59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Пироксилиновый порох</w:t>
            </w:r>
          </w:p>
        </w:tc>
        <w:tc>
          <w:tcPr>
            <w:tcW w:w="1726" w:type="dxa"/>
          </w:tcPr>
          <w:p w14:paraId="6E9F79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tc>
        <w:tc>
          <w:tcPr>
            <w:tcW w:w="1870" w:type="dxa"/>
          </w:tcPr>
          <w:p w14:paraId="76FDFF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Шостка</w:t>
            </w:r>
          </w:p>
        </w:tc>
      </w:tr>
      <w:tr w:rsidR="00643896" w:rsidRPr="00640820" w14:paraId="6FA98C5E" w14:textId="77777777" w:rsidTr="000D3BCB">
        <w:tc>
          <w:tcPr>
            <w:tcW w:w="918" w:type="dxa"/>
          </w:tcPr>
          <w:p w14:paraId="596587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270929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Красноярск</w:t>
            </w:r>
          </w:p>
        </w:tc>
        <w:tc>
          <w:tcPr>
            <w:tcW w:w="1201" w:type="dxa"/>
          </w:tcPr>
          <w:p w14:paraId="259868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580</w:t>
            </w:r>
          </w:p>
        </w:tc>
        <w:tc>
          <w:tcPr>
            <w:tcW w:w="1101" w:type="dxa"/>
          </w:tcPr>
          <w:p w14:paraId="62FEB4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Оборудование</w:t>
            </w:r>
          </w:p>
        </w:tc>
        <w:tc>
          <w:tcPr>
            <w:tcW w:w="1726" w:type="dxa"/>
          </w:tcPr>
          <w:p w14:paraId="6071A2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w:t>
            </w:r>
          </w:p>
        </w:tc>
        <w:tc>
          <w:tcPr>
            <w:tcW w:w="1870" w:type="dxa"/>
          </w:tcPr>
          <w:p w14:paraId="028627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Рошаль</w:t>
            </w:r>
          </w:p>
        </w:tc>
      </w:tr>
      <w:tr w:rsidR="00643896" w:rsidRPr="00640820" w14:paraId="3852E22F" w14:textId="77777777" w:rsidTr="000D3BCB">
        <w:tc>
          <w:tcPr>
            <w:tcW w:w="918" w:type="dxa"/>
          </w:tcPr>
          <w:p w14:paraId="567ADB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423257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2059FB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371A3E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04E13A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F9C40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56AC131" w14:textId="77777777" w:rsidTr="000D3BCB">
        <w:tc>
          <w:tcPr>
            <w:tcW w:w="918" w:type="dxa"/>
          </w:tcPr>
          <w:p w14:paraId="5EBBF1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6B2400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Шадринск</w:t>
            </w:r>
          </w:p>
        </w:tc>
        <w:tc>
          <w:tcPr>
            <w:tcW w:w="1201" w:type="dxa"/>
          </w:tcPr>
          <w:p w14:paraId="5F292C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593</w:t>
            </w:r>
          </w:p>
        </w:tc>
        <w:tc>
          <w:tcPr>
            <w:tcW w:w="1101" w:type="dxa"/>
          </w:tcPr>
          <w:p w14:paraId="499D01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274954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tc>
        <w:tc>
          <w:tcPr>
            <w:tcW w:w="1870" w:type="dxa"/>
          </w:tcPr>
          <w:p w14:paraId="4339A4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Шостка</w:t>
            </w:r>
          </w:p>
        </w:tc>
      </w:tr>
      <w:tr w:rsidR="00643896" w:rsidRPr="00640820" w14:paraId="3DCABF6D" w14:textId="77777777" w:rsidTr="000D3BCB">
        <w:tc>
          <w:tcPr>
            <w:tcW w:w="918" w:type="dxa"/>
          </w:tcPr>
          <w:p w14:paraId="3B8233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0D1069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49A41E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38355C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722EFF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00228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55B371D" w14:textId="77777777" w:rsidTr="000D3BCB">
        <w:tc>
          <w:tcPr>
            <w:tcW w:w="918" w:type="dxa"/>
          </w:tcPr>
          <w:p w14:paraId="261E83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7BB9DD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Таватуй</w:t>
            </w:r>
          </w:p>
        </w:tc>
        <w:tc>
          <w:tcPr>
            <w:tcW w:w="1201" w:type="dxa"/>
          </w:tcPr>
          <w:p w14:paraId="246C61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594</w:t>
            </w:r>
          </w:p>
        </w:tc>
        <w:tc>
          <w:tcPr>
            <w:tcW w:w="1101" w:type="dxa"/>
          </w:tcPr>
          <w:p w14:paraId="6CF520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Динамиты и аммониты</w:t>
            </w:r>
          </w:p>
        </w:tc>
        <w:tc>
          <w:tcPr>
            <w:tcW w:w="1726" w:type="dxa"/>
          </w:tcPr>
          <w:p w14:paraId="12F28D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59</w:t>
            </w:r>
          </w:p>
        </w:tc>
        <w:tc>
          <w:tcPr>
            <w:tcW w:w="1870" w:type="dxa"/>
          </w:tcPr>
          <w:p w14:paraId="7E3B55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Петровеньки</w:t>
            </w:r>
          </w:p>
        </w:tc>
      </w:tr>
      <w:tr w:rsidR="00643896" w:rsidRPr="00640820" w14:paraId="7D7D8927" w14:textId="77777777" w:rsidTr="000D3BCB">
        <w:tc>
          <w:tcPr>
            <w:tcW w:w="918" w:type="dxa"/>
          </w:tcPr>
          <w:p w14:paraId="575E36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54587E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Таватуй</w:t>
            </w:r>
          </w:p>
        </w:tc>
        <w:tc>
          <w:tcPr>
            <w:tcW w:w="1201" w:type="dxa"/>
          </w:tcPr>
          <w:p w14:paraId="61E7B0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594</w:t>
            </w:r>
          </w:p>
        </w:tc>
        <w:tc>
          <w:tcPr>
            <w:tcW w:w="1101" w:type="dxa"/>
          </w:tcPr>
          <w:p w14:paraId="105CB6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ЦЭС</w:t>
            </w:r>
          </w:p>
        </w:tc>
        <w:tc>
          <w:tcPr>
            <w:tcW w:w="1726" w:type="dxa"/>
          </w:tcPr>
          <w:p w14:paraId="4FDDEE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tc>
        <w:tc>
          <w:tcPr>
            <w:tcW w:w="1870" w:type="dxa"/>
          </w:tcPr>
          <w:p w14:paraId="100DD3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Шостка</w:t>
            </w:r>
          </w:p>
        </w:tc>
      </w:tr>
      <w:tr w:rsidR="00643896" w:rsidRPr="00640820" w14:paraId="56ACAF45" w14:textId="77777777" w:rsidTr="000D3BCB">
        <w:tc>
          <w:tcPr>
            <w:tcW w:w="918" w:type="dxa"/>
          </w:tcPr>
          <w:p w14:paraId="540395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287A05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6C3355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0867BF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0F3BA0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D8447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DA455CA" w14:textId="77777777" w:rsidTr="000D3BCB">
        <w:tc>
          <w:tcPr>
            <w:tcW w:w="918" w:type="dxa"/>
          </w:tcPr>
          <w:p w14:paraId="39CCBD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7E7BF8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Киселевск</w:t>
            </w:r>
          </w:p>
        </w:tc>
        <w:tc>
          <w:tcPr>
            <w:tcW w:w="1201" w:type="dxa"/>
          </w:tcPr>
          <w:p w14:paraId="750698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605</w:t>
            </w:r>
          </w:p>
        </w:tc>
        <w:tc>
          <w:tcPr>
            <w:tcW w:w="1101" w:type="dxa"/>
          </w:tcPr>
          <w:p w14:paraId="19057C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М-8</w:t>
            </w:r>
          </w:p>
        </w:tc>
        <w:tc>
          <w:tcPr>
            <w:tcW w:w="1726" w:type="dxa"/>
          </w:tcPr>
          <w:p w14:paraId="028811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70</w:t>
            </w:r>
          </w:p>
        </w:tc>
        <w:tc>
          <w:tcPr>
            <w:tcW w:w="1870" w:type="dxa"/>
          </w:tcPr>
          <w:p w14:paraId="3904F1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r>
      <w:tr w:rsidR="00643896" w:rsidRPr="00640820" w14:paraId="375ABE9D" w14:textId="77777777" w:rsidTr="000D3BCB">
        <w:tc>
          <w:tcPr>
            <w:tcW w:w="918" w:type="dxa"/>
          </w:tcPr>
          <w:p w14:paraId="747BF1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51DCB6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1B5240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3D897B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5E5D7B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35F3A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BF3329A" w14:textId="77777777" w:rsidTr="000D3BCB">
        <w:tc>
          <w:tcPr>
            <w:tcW w:w="918" w:type="dxa"/>
          </w:tcPr>
          <w:p w14:paraId="2F4F56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11BAAD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Кемерово</w:t>
            </w:r>
          </w:p>
        </w:tc>
        <w:tc>
          <w:tcPr>
            <w:tcW w:w="1201" w:type="dxa"/>
          </w:tcPr>
          <w:p w14:paraId="418FF0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606</w:t>
            </w:r>
          </w:p>
        </w:tc>
        <w:tc>
          <w:tcPr>
            <w:tcW w:w="1101" w:type="dxa"/>
          </w:tcPr>
          <w:p w14:paraId="4A0941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23мм, гильзы</w:t>
            </w:r>
          </w:p>
        </w:tc>
        <w:tc>
          <w:tcPr>
            <w:tcW w:w="1726" w:type="dxa"/>
          </w:tcPr>
          <w:p w14:paraId="6034DC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187</w:t>
            </w:r>
          </w:p>
        </w:tc>
        <w:tc>
          <w:tcPr>
            <w:tcW w:w="1870" w:type="dxa"/>
          </w:tcPr>
          <w:p w14:paraId="66FBFB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Тула</w:t>
            </w:r>
          </w:p>
        </w:tc>
      </w:tr>
      <w:tr w:rsidR="00643896" w:rsidRPr="00640820" w14:paraId="5811A3B2" w14:textId="77777777" w:rsidTr="000D3BCB">
        <w:tc>
          <w:tcPr>
            <w:tcW w:w="918" w:type="dxa"/>
          </w:tcPr>
          <w:p w14:paraId="6BE929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6AE8AD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Кемерово</w:t>
            </w:r>
          </w:p>
        </w:tc>
        <w:tc>
          <w:tcPr>
            <w:tcW w:w="1201" w:type="dxa"/>
          </w:tcPr>
          <w:p w14:paraId="7B4B1C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606</w:t>
            </w:r>
          </w:p>
        </w:tc>
        <w:tc>
          <w:tcPr>
            <w:tcW w:w="1101" w:type="dxa"/>
          </w:tcPr>
          <w:p w14:paraId="0B9DF4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23мм, гильзы</w:t>
            </w:r>
          </w:p>
        </w:tc>
        <w:tc>
          <w:tcPr>
            <w:tcW w:w="1726" w:type="dxa"/>
          </w:tcPr>
          <w:p w14:paraId="45AEBD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510 </w:t>
            </w:r>
          </w:p>
        </w:tc>
        <w:tc>
          <w:tcPr>
            <w:tcW w:w="1870" w:type="dxa"/>
          </w:tcPr>
          <w:p w14:paraId="5BB8B5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Ногинск</w:t>
            </w:r>
          </w:p>
        </w:tc>
      </w:tr>
      <w:tr w:rsidR="00643896" w:rsidRPr="00640820" w14:paraId="11851788" w14:textId="77777777" w:rsidTr="000D3BCB">
        <w:tc>
          <w:tcPr>
            <w:tcW w:w="918" w:type="dxa"/>
          </w:tcPr>
          <w:p w14:paraId="37C1BC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1E64B1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17F95F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54DD04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3DF24D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39335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5EA013D" w14:textId="77777777" w:rsidTr="000D3BCB">
        <w:tc>
          <w:tcPr>
            <w:tcW w:w="918" w:type="dxa"/>
          </w:tcPr>
          <w:p w14:paraId="39E466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0A2F53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Киров</w:t>
            </w:r>
          </w:p>
        </w:tc>
        <w:tc>
          <w:tcPr>
            <w:tcW w:w="1201" w:type="dxa"/>
          </w:tcPr>
          <w:p w14:paraId="54A679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609</w:t>
            </w:r>
          </w:p>
        </w:tc>
        <w:tc>
          <w:tcPr>
            <w:tcW w:w="1101" w:type="dxa"/>
          </w:tcPr>
          <w:p w14:paraId="119140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ПП-3, МУВ, РПГ-40</w:t>
            </w:r>
          </w:p>
        </w:tc>
        <w:tc>
          <w:tcPr>
            <w:tcW w:w="1726" w:type="dxa"/>
          </w:tcPr>
          <w:p w14:paraId="0C6A36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58</w:t>
            </w:r>
          </w:p>
        </w:tc>
        <w:tc>
          <w:tcPr>
            <w:tcW w:w="1870" w:type="dxa"/>
          </w:tcPr>
          <w:p w14:paraId="61AF87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r>
      <w:tr w:rsidR="00643896" w:rsidRPr="00640820" w14:paraId="19510606" w14:textId="77777777" w:rsidTr="000D3BCB">
        <w:tc>
          <w:tcPr>
            <w:tcW w:w="918" w:type="dxa"/>
          </w:tcPr>
          <w:p w14:paraId="1D3E48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79811F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69AF50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05A581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396ED9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CA537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58E2D56" w14:textId="77777777" w:rsidTr="000D3BCB">
        <w:tc>
          <w:tcPr>
            <w:tcW w:w="918" w:type="dxa"/>
          </w:tcPr>
          <w:p w14:paraId="5460D9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2295AA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Миасс</w:t>
            </w:r>
          </w:p>
        </w:tc>
        <w:tc>
          <w:tcPr>
            <w:tcW w:w="1201" w:type="dxa"/>
          </w:tcPr>
          <w:p w14:paraId="62AD45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611</w:t>
            </w:r>
          </w:p>
        </w:tc>
        <w:tc>
          <w:tcPr>
            <w:tcW w:w="1101" w:type="dxa"/>
          </w:tcPr>
          <w:p w14:paraId="2C40D3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Снаряжение среднекалиберных снарядов, снаряжение ФАБ, Снаряжение малокалиберных снарядов, суррогатные ВВ</w:t>
            </w:r>
          </w:p>
        </w:tc>
        <w:tc>
          <w:tcPr>
            <w:tcW w:w="1726" w:type="dxa"/>
          </w:tcPr>
          <w:p w14:paraId="4DF92C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144</w:t>
            </w:r>
          </w:p>
        </w:tc>
        <w:tc>
          <w:tcPr>
            <w:tcW w:w="1870" w:type="dxa"/>
          </w:tcPr>
          <w:p w14:paraId="6B3BF0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Сталино</w:t>
            </w:r>
          </w:p>
        </w:tc>
      </w:tr>
      <w:tr w:rsidR="00643896" w:rsidRPr="00640820" w14:paraId="6DFA4817" w14:textId="77777777" w:rsidTr="000D3BCB">
        <w:tc>
          <w:tcPr>
            <w:tcW w:w="918" w:type="dxa"/>
          </w:tcPr>
          <w:p w14:paraId="6A6E37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2153FB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2DEBBF7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481D36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23BA4F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D8D3A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6E1541A" w14:textId="77777777" w:rsidTr="000D3BCB">
        <w:tc>
          <w:tcPr>
            <w:tcW w:w="918" w:type="dxa"/>
          </w:tcPr>
          <w:p w14:paraId="35AC7B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351D66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Свердловск</w:t>
            </w:r>
          </w:p>
        </w:tc>
        <w:tc>
          <w:tcPr>
            <w:tcW w:w="1201" w:type="dxa"/>
          </w:tcPr>
          <w:p w14:paraId="43F096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612</w:t>
            </w:r>
          </w:p>
        </w:tc>
        <w:tc>
          <w:tcPr>
            <w:tcW w:w="1101" w:type="dxa"/>
          </w:tcPr>
          <w:p w14:paraId="7FCF8F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ЗАБ-50-ТГ, 76мм снаряды</w:t>
            </w:r>
          </w:p>
        </w:tc>
        <w:tc>
          <w:tcPr>
            <w:tcW w:w="1726" w:type="dxa"/>
          </w:tcPr>
          <w:p w14:paraId="58C318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Прикукский </w:t>
            </w:r>
          </w:p>
        </w:tc>
        <w:tc>
          <w:tcPr>
            <w:tcW w:w="1870" w:type="dxa"/>
          </w:tcPr>
          <w:p w14:paraId="4F8044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Прилуки</w:t>
            </w:r>
          </w:p>
        </w:tc>
      </w:tr>
      <w:tr w:rsidR="00643896" w:rsidRPr="00640820" w14:paraId="2E012932" w14:textId="77777777" w:rsidTr="000D3BCB">
        <w:tc>
          <w:tcPr>
            <w:tcW w:w="918" w:type="dxa"/>
          </w:tcPr>
          <w:p w14:paraId="0D6423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55B90F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379EB8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5F125E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ЗАБ-50-ТГ, 76мм снаряды</w:t>
            </w:r>
          </w:p>
        </w:tc>
        <w:tc>
          <w:tcPr>
            <w:tcW w:w="1726" w:type="dxa"/>
          </w:tcPr>
          <w:p w14:paraId="5EBE96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 Шевченко</w:t>
            </w:r>
          </w:p>
        </w:tc>
        <w:tc>
          <w:tcPr>
            <w:tcW w:w="1870" w:type="dxa"/>
          </w:tcPr>
          <w:p w14:paraId="50A391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Харьков</w:t>
            </w:r>
          </w:p>
        </w:tc>
      </w:tr>
      <w:tr w:rsidR="00643896" w:rsidRPr="00640820" w14:paraId="6BA5C157" w14:textId="77777777" w:rsidTr="000D3BCB">
        <w:tc>
          <w:tcPr>
            <w:tcW w:w="918" w:type="dxa"/>
          </w:tcPr>
          <w:p w14:paraId="7D962B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051CDE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3F9676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0A5756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538D45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DBFA1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A340277" w14:textId="77777777" w:rsidTr="000D3BCB">
        <w:tc>
          <w:tcPr>
            <w:tcW w:w="918" w:type="dxa"/>
          </w:tcPr>
          <w:p w14:paraId="50F711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31570A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Касли</w:t>
            </w:r>
          </w:p>
        </w:tc>
        <w:tc>
          <w:tcPr>
            <w:tcW w:w="1201" w:type="dxa"/>
          </w:tcPr>
          <w:p w14:paraId="7338C3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613</w:t>
            </w:r>
          </w:p>
        </w:tc>
        <w:tc>
          <w:tcPr>
            <w:tcW w:w="1101" w:type="dxa"/>
          </w:tcPr>
          <w:p w14:paraId="63C344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82мм мины, 122мм, 152мм снаряды</w:t>
            </w:r>
          </w:p>
        </w:tc>
        <w:tc>
          <w:tcPr>
            <w:tcW w:w="1726" w:type="dxa"/>
          </w:tcPr>
          <w:p w14:paraId="55309D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61</w:t>
            </w:r>
          </w:p>
        </w:tc>
        <w:tc>
          <w:tcPr>
            <w:tcW w:w="1870" w:type="dxa"/>
          </w:tcPr>
          <w:p w14:paraId="4528D3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Липецк</w:t>
            </w:r>
          </w:p>
        </w:tc>
      </w:tr>
      <w:tr w:rsidR="00643896" w:rsidRPr="00640820" w14:paraId="6F5AAD02" w14:textId="77777777" w:rsidTr="000D3BCB">
        <w:tc>
          <w:tcPr>
            <w:tcW w:w="918" w:type="dxa"/>
          </w:tcPr>
          <w:p w14:paraId="484F6A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29A407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14C1B6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66866B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4DDA44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976D8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E1FD70E" w14:textId="77777777" w:rsidTr="000D3BCB">
        <w:tc>
          <w:tcPr>
            <w:tcW w:w="918" w:type="dxa"/>
          </w:tcPr>
          <w:p w14:paraId="04AC21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5A9CB4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Новосибирск</w:t>
            </w:r>
          </w:p>
        </w:tc>
        <w:tc>
          <w:tcPr>
            <w:tcW w:w="1201" w:type="dxa"/>
          </w:tcPr>
          <w:p w14:paraId="48B994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635</w:t>
            </w:r>
          </w:p>
        </w:tc>
        <w:tc>
          <w:tcPr>
            <w:tcW w:w="1101" w:type="dxa"/>
          </w:tcPr>
          <w:p w14:paraId="128368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Снаряжение среднекалиберных снарядов</w:t>
            </w:r>
          </w:p>
        </w:tc>
        <w:tc>
          <w:tcPr>
            <w:tcW w:w="1726" w:type="dxa"/>
          </w:tcPr>
          <w:p w14:paraId="5640EA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55</w:t>
            </w:r>
          </w:p>
        </w:tc>
        <w:tc>
          <w:tcPr>
            <w:tcW w:w="1870" w:type="dxa"/>
          </w:tcPr>
          <w:p w14:paraId="136894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Павлоград</w:t>
            </w:r>
          </w:p>
        </w:tc>
      </w:tr>
      <w:tr w:rsidR="00643896" w:rsidRPr="00640820" w14:paraId="221ADC72" w14:textId="77777777" w:rsidTr="000D3BCB">
        <w:tc>
          <w:tcPr>
            <w:tcW w:w="918" w:type="dxa"/>
          </w:tcPr>
          <w:p w14:paraId="168A02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4784A2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Новосибирск</w:t>
            </w:r>
          </w:p>
        </w:tc>
        <w:tc>
          <w:tcPr>
            <w:tcW w:w="1201" w:type="dxa"/>
          </w:tcPr>
          <w:p w14:paraId="466BEE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635</w:t>
            </w:r>
          </w:p>
        </w:tc>
        <w:tc>
          <w:tcPr>
            <w:tcW w:w="1101" w:type="dxa"/>
          </w:tcPr>
          <w:p w14:paraId="3596C9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Снаряжение ФАБ, третье производство</w:t>
            </w:r>
          </w:p>
        </w:tc>
        <w:tc>
          <w:tcPr>
            <w:tcW w:w="1726" w:type="dxa"/>
          </w:tcPr>
          <w:p w14:paraId="74C0CA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w:t>
            </w:r>
          </w:p>
        </w:tc>
        <w:tc>
          <w:tcPr>
            <w:tcW w:w="1870" w:type="dxa"/>
          </w:tcPr>
          <w:p w14:paraId="232A20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Электросталь</w:t>
            </w:r>
          </w:p>
        </w:tc>
      </w:tr>
      <w:tr w:rsidR="00643896" w:rsidRPr="00640820" w14:paraId="0F6B599B" w14:textId="77777777" w:rsidTr="000D3BCB">
        <w:tc>
          <w:tcPr>
            <w:tcW w:w="918" w:type="dxa"/>
          </w:tcPr>
          <w:p w14:paraId="7B87D4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24F349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2462DF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002D49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6470FF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E12B9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241A1D0" w14:textId="77777777" w:rsidTr="000D3BCB">
        <w:tc>
          <w:tcPr>
            <w:tcW w:w="918" w:type="dxa"/>
          </w:tcPr>
          <w:p w14:paraId="245944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0FABC7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Куйбышев</w:t>
            </w:r>
          </w:p>
        </w:tc>
        <w:tc>
          <w:tcPr>
            <w:tcW w:w="1201" w:type="dxa"/>
          </w:tcPr>
          <w:p w14:paraId="4C0FB8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647</w:t>
            </w:r>
          </w:p>
        </w:tc>
        <w:tc>
          <w:tcPr>
            <w:tcW w:w="1101" w:type="dxa"/>
          </w:tcPr>
          <w:p w14:paraId="123766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Дымный порох, бикфордов шнур</w:t>
            </w:r>
          </w:p>
        </w:tc>
        <w:tc>
          <w:tcPr>
            <w:tcW w:w="1726" w:type="dxa"/>
          </w:tcPr>
          <w:p w14:paraId="7267BC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52</w:t>
            </w:r>
          </w:p>
        </w:tc>
        <w:tc>
          <w:tcPr>
            <w:tcW w:w="1870" w:type="dxa"/>
          </w:tcPr>
          <w:p w14:paraId="10A4ED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Поповка, Ленинград</w:t>
            </w:r>
          </w:p>
        </w:tc>
      </w:tr>
      <w:tr w:rsidR="00643896" w:rsidRPr="00640820" w14:paraId="492D922B" w14:textId="77777777" w:rsidTr="000D3BCB">
        <w:tc>
          <w:tcPr>
            <w:tcW w:w="918" w:type="dxa"/>
          </w:tcPr>
          <w:p w14:paraId="4AE971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78C137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Куйбышев</w:t>
            </w:r>
          </w:p>
        </w:tc>
        <w:tc>
          <w:tcPr>
            <w:tcW w:w="1201" w:type="dxa"/>
          </w:tcPr>
          <w:p w14:paraId="278190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647</w:t>
            </w:r>
          </w:p>
        </w:tc>
        <w:tc>
          <w:tcPr>
            <w:tcW w:w="1101" w:type="dxa"/>
          </w:tcPr>
          <w:p w14:paraId="30A102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2BF549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c>
          <w:tcPr>
            <w:tcW w:w="1870" w:type="dxa"/>
          </w:tcPr>
          <w:p w14:paraId="7C0790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Шлиссельбург</w:t>
            </w:r>
          </w:p>
        </w:tc>
      </w:tr>
      <w:tr w:rsidR="00643896" w:rsidRPr="00640820" w14:paraId="6CB4E6ED" w14:textId="77777777" w:rsidTr="000D3BCB">
        <w:tc>
          <w:tcPr>
            <w:tcW w:w="918" w:type="dxa"/>
          </w:tcPr>
          <w:p w14:paraId="744D60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57894D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497DA4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740B75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76A641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33B15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A7A00B4" w14:textId="77777777" w:rsidTr="000D3BCB">
        <w:tc>
          <w:tcPr>
            <w:tcW w:w="918" w:type="dxa"/>
          </w:tcPr>
          <w:p w14:paraId="730C15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31B3BF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Куйбышев</w:t>
            </w:r>
          </w:p>
        </w:tc>
        <w:tc>
          <w:tcPr>
            <w:tcW w:w="1201" w:type="dxa"/>
          </w:tcPr>
          <w:p w14:paraId="57BF09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576 или 676</w:t>
            </w:r>
          </w:p>
        </w:tc>
        <w:tc>
          <w:tcPr>
            <w:tcW w:w="1101" w:type="dxa"/>
          </w:tcPr>
          <w:p w14:paraId="56CAF8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Бикфордов шнур</w:t>
            </w:r>
          </w:p>
        </w:tc>
        <w:tc>
          <w:tcPr>
            <w:tcW w:w="1726" w:type="dxa"/>
          </w:tcPr>
          <w:p w14:paraId="43BBDD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59</w:t>
            </w:r>
          </w:p>
        </w:tc>
        <w:tc>
          <w:tcPr>
            <w:tcW w:w="1870" w:type="dxa"/>
          </w:tcPr>
          <w:p w14:paraId="192E90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Петровеньки</w:t>
            </w:r>
          </w:p>
        </w:tc>
      </w:tr>
      <w:tr w:rsidR="00643896" w:rsidRPr="00640820" w14:paraId="341BCBE1" w14:textId="77777777" w:rsidTr="000D3BCB">
        <w:tc>
          <w:tcPr>
            <w:tcW w:w="918" w:type="dxa"/>
          </w:tcPr>
          <w:p w14:paraId="2579CC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4CB4FB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Куйбышев</w:t>
            </w:r>
          </w:p>
        </w:tc>
        <w:tc>
          <w:tcPr>
            <w:tcW w:w="1201" w:type="dxa"/>
          </w:tcPr>
          <w:p w14:paraId="5611CC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676</w:t>
            </w:r>
          </w:p>
        </w:tc>
        <w:tc>
          <w:tcPr>
            <w:tcW w:w="1101" w:type="dxa"/>
          </w:tcPr>
          <w:p w14:paraId="03DED2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Дымный порох, данафталиты</w:t>
            </w:r>
          </w:p>
        </w:tc>
        <w:tc>
          <w:tcPr>
            <w:tcW w:w="1726" w:type="dxa"/>
          </w:tcPr>
          <w:p w14:paraId="163EFC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tc>
        <w:tc>
          <w:tcPr>
            <w:tcW w:w="1870" w:type="dxa"/>
          </w:tcPr>
          <w:p w14:paraId="09699F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Шостка</w:t>
            </w:r>
          </w:p>
        </w:tc>
      </w:tr>
      <w:tr w:rsidR="00643896" w:rsidRPr="00640820" w14:paraId="504AFCAF" w14:textId="77777777" w:rsidTr="000D3BCB">
        <w:tc>
          <w:tcPr>
            <w:tcW w:w="918" w:type="dxa"/>
          </w:tcPr>
          <w:p w14:paraId="29694B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478D17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0AD39C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731761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6304CB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A0F84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5C323BD" w14:textId="77777777" w:rsidTr="000D3BCB">
        <w:tc>
          <w:tcPr>
            <w:tcW w:w="918" w:type="dxa"/>
          </w:tcPr>
          <w:p w14:paraId="67CCA4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30CA2E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Стерлитамак</w:t>
            </w:r>
          </w:p>
        </w:tc>
        <w:tc>
          <w:tcPr>
            <w:tcW w:w="1201" w:type="dxa"/>
          </w:tcPr>
          <w:p w14:paraId="576C45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850</w:t>
            </w:r>
          </w:p>
        </w:tc>
        <w:tc>
          <w:tcPr>
            <w:tcW w:w="1101" w:type="dxa"/>
          </w:tcPr>
          <w:p w14:paraId="6FC1D6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Олеум, азотная кислота, колоксилин</w:t>
            </w:r>
          </w:p>
        </w:tc>
        <w:tc>
          <w:tcPr>
            <w:tcW w:w="1726" w:type="dxa"/>
          </w:tcPr>
          <w:p w14:paraId="7A3DA0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59</w:t>
            </w:r>
          </w:p>
        </w:tc>
        <w:tc>
          <w:tcPr>
            <w:tcW w:w="1870" w:type="dxa"/>
          </w:tcPr>
          <w:p w14:paraId="2946A2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Петровеньки</w:t>
            </w:r>
          </w:p>
        </w:tc>
      </w:tr>
      <w:tr w:rsidR="00643896" w:rsidRPr="00640820" w14:paraId="711AD1D9" w14:textId="77777777" w:rsidTr="000D3BCB">
        <w:tc>
          <w:tcPr>
            <w:tcW w:w="918" w:type="dxa"/>
          </w:tcPr>
          <w:p w14:paraId="7A3ED5C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579C6E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2754FA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021937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1C80FF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BD90E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0894485" w14:textId="77777777" w:rsidTr="000D3BCB">
        <w:tc>
          <w:tcPr>
            <w:tcW w:w="918" w:type="dxa"/>
          </w:tcPr>
          <w:p w14:paraId="2CF175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46294F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Свердловск</w:t>
            </w:r>
          </w:p>
        </w:tc>
        <w:tc>
          <w:tcPr>
            <w:tcW w:w="1201" w:type="dxa"/>
          </w:tcPr>
          <w:p w14:paraId="39DEFA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3A3210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корпуса РГ-33</w:t>
            </w:r>
          </w:p>
        </w:tc>
        <w:tc>
          <w:tcPr>
            <w:tcW w:w="1726" w:type="dxa"/>
          </w:tcPr>
          <w:p w14:paraId="2DA3AC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308</w:t>
            </w:r>
          </w:p>
        </w:tc>
        <w:tc>
          <w:tcPr>
            <w:tcW w:w="1870" w:type="dxa"/>
          </w:tcPr>
          <w:p w14:paraId="7B26F4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Харьков</w:t>
            </w:r>
          </w:p>
        </w:tc>
      </w:tr>
      <w:tr w:rsidR="00643896" w:rsidRPr="00640820" w14:paraId="78BCDB50" w14:textId="77777777" w:rsidTr="000D3BCB">
        <w:tc>
          <w:tcPr>
            <w:tcW w:w="918" w:type="dxa"/>
          </w:tcPr>
          <w:p w14:paraId="4D166E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708974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6447CC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318A02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168879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CB78D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082E95C" w14:textId="77777777" w:rsidTr="000D3BCB">
        <w:tc>
          <w:tcPr>
            <w:tcW w:w="918" w:type="dxa"/>
          </w:tcPr>
          <w:p w14:paraId="00368E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НКБ, 440сс, 22/08/41</w:t>
            </w:r>
          </w:p>
        </w:tc>
        <w:tc>
          <w:tcPr>
            <w:tcW w:w="1302" w:type="dxa"/>
          </w:tcPr>
          <w:p w14:paraId="48061A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Новосибирск</w:t>
            </w:r>
          </w:p>
        </w:tc>
        <w:tc>
          <w:tcPr>
            <w:tcW w:w="1201" w:type="dxa"/>
          </w:tcPr>
          <w:p w14:paraId="2D362A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Артполигон</w:t>
            </w:r>
          </w:p>
        </w:tc>
        <w:tc>
          <w:tcPr>
            <w:tcW w:w="1101" w:type="dxa"/>
          </w:tcPr>
          <w:p w14:paraId="1216F7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Артполигон</w:t>
            </w:r>
          </w:p>
        </w:tc>
        <w:tc>
          <w:tcPr>
            <w:tcW w:w="1726" w:type="dxa"/>
          </w:tcPr>
          <w:p w14:paraId="1619A2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Павлоград</w:t>
            </w:r>
          </w:p>
        </w:tc>
        <w:tc>
          <w:tcPr>
            <w:tcW w:w="1870" w:type="dxa"/>
          </w:tcPr>
          <w:p w14:paraId="7081D9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DAE0F39" w14:textId="77777777" w:rsidTr="000D3BCB">
        <w:tc>
          <w:tcPr>
            <w:tcW w:w="918" w:type="dxa"/>
          </w:tcPr>
          <w:p w14:paraId="793F35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08FB24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25A42B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262F0A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75AD72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A14DE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E47F67D" w14:textId="77777777" w:rsidTr="000D3BCB">
        <w:tc>
          <w:tcPr>
            <w:tcW w:w="918" w:type="dxa"/>
          </w:tcPr>
          <w:p w14:paraId="098AC8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НКБ, 504сс, 08/09/41</w:t>
            </w:r>
          </w:p>
        </w:tc>
        <w:tc>
          <w:tcPr>
            <w:tcW w:w="1302" w:type="dxa"/>
          </w:tcPr>
          <w:p w14:paraId="2C45A1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Чапаевск</w:t>
            </w:r>
          </w:p>
        </w:tc>
        <w:tc>
          <w:tcPr>
            <w:tcW w:w="1201" w:type="dxa"/>
          </w:tcPr>
          <w:p w14:paraId="063EA9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Авиаполигон</w:t>
            </w:r>
          </w:p>
        </w:tc>
        <w:tc>
          <w:tcPr>
            <w:tcW w:w="1101" w:type="dxa"/>
          </w:tcPr>
          <w:p w14:paraId="2CF319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Авиаполигон</w:t>
            </w:r>
          </w:p>
        </w:tc>
        <w:tc>
          <w:tcPr>
            <w:tcW w:w="1726" w:type="dxa"/>
          </w:tcPr>
          <w:p w14:paraId="0521E0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Керчь</w:t>
            </w:r>
          </w:p>
        </w:tc>
        <w:tc>
          <w:tcPr>
            <w:tcW w:w="1870" w:type="dxa"/>
          </w:tcPr>
          <w:p w14:paraId="7FA6D5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1ECBF9C" w14:textId="77777777" w:rsidTr="000D3BCB">
        <w:tc>
          <w:tcPr>
            <w:tcW w:w="918" w:type="dxa"/>
          </w:tcPr>
          <w:p w14:paraId="69C7FE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38699D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46C45A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75CC19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31E9CB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120C9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161BF78" w14:textId="77777777" w:rsidTr="000D3BCB">
        <w:tc>
          <w:tcPr>
            <w:tcW w:w="918" w:type="dxa"/>
          </w:tcPr>
          <w:p w14:paraId="427F90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32DC12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3FBECA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Уральский артполигон</w:t>
            </w:r>
          </w:p>
        </w:tc>
        <w:tc>
          <w:tcPr>
            <w:tcW w:w="1101" w:type="dxa"/>
          </w:tcPr>
          <w:p w14:paraId="156CC4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Софринский артполигон</w:t>
            </w:r>
          </w:p>
        </w:tc>
        <w:tc>
          <w:tcPr>
            <w:tcW w:w="1726" w:type="dxa"/>
          </w:tcPr>
          <w:p w14:paraId="08B2E8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Софрино</w:t>
            </w:r>
          </w:p>
        </w:tc>
        <w:tc>
          <w:tcPr>
            <w:tcW w:w="1870" w:type="dxa"/>
          </w:tcPr>
          <w:p w14:paraId="528207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3FB923E" w14:textId="77777777" w:rsidTr="000D3BCB">
        <w:tc>
          <w:tcPr>
            <w:tcW w:w="918" w:type="dxa"/>
          </w:tcPr>
          <w:p w14:paraId="7DFB57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2E53F6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6627A3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19C951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5B43E7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718F8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6E72BD4" w14:textId="77777777" w:rsidTr="000D3BCB">
        <w:tc>
          <w:tcPr>
            <w:tcW w:w="918" w:type="dxa"/>
          </w:tcPr>
          <w:p w14:paraId="15264B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793165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Томск</w:t>
            </w:r>
          </w:p>
        </w:tc>
        <w:tc>
          <w:tcPr>
            <w:tcW w:w="1201" w:type="dxa"/>
          </w:tcPr>
          <w:p w14:paraId="76FE17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Ленинский просп., 5</w:t>
            </w:r>
          </w:p>
        </w:tc>
        <w:tc>
          <w:tcPr>
            <w:tcW w:w="1101" w:type="dxa"/>
          </w:tcPr>
          <w:p w14:paraId="0CE71E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198EE5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ЦИТМ</w:t>
            </w:r>
          </w:p>
        </w:tc>
        <w:tc>
          <w:tcPr>
            <w:tcW w:w="1870" w:type="dxa"/>
          </w:tcPr>
          <w:p w14:paraId="19F8BF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BA2F320" w14:textId="77777777" w:rsidTr="000D3BCB">
        <w:tc>
          <w:tcPr>
            <w:tcW w:w="918" w:type="dxa"/>
          </w:tcPr>
          <w:p w14:paraId="1D894A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36F116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5A080C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01DF3A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6BCDBB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E9A2C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27BA22F" w14:textId="77777777" w:rsidTr="000D3BCB">
        <w:tc>
          <w:tcPr>
            <w:tcW w:w="918" w:type="dxa"/>
          </w:tcPr>
          <w:p w14:paraId="0555C1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45FF8C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Новосибирск</w:t>
            </w:r>
          </w:p>
        </w:tc>
        <w:tc>
          <w:tcPr>
            <w:tcW w:w="1201" w:type="dxa"/>
          </w:tcPr>
          <w:p w14:paraId="77B389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Прокатный завод НКЧМ</w:t>
            </w:r>
          </w:p>
        </w:tc>
        <w:tc>
          <w:tcPr>
            <w:tcW w:w="1101" w:type="dxa"/>
          </w:tcPr>
          <w:p w14:paraId="3DA72E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51C13A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176</w:t>
            </w:r>
          </w:p>
        </w:tc>
        <w:tc>
          <w:tcPr>
            <w:tcW w:w="1870" w:type="dxa"/>
          </w:tcPr>
          <w:p w14:paraId="7CF5F3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Тула</w:t>
            </w:r>
          </w:p>
        </w:tc>
      </w:tr>
      <w:tr w:rsidR="00643896" w:rsidRPr="00640820" w14:paraId="5DB5CDA3" w14:textId="77777777" w:rsidTr="000D3BCB">
        <w:tc>
          <w:tcPr>
            <w:tcW w:w="918" w:type="dxa"/>
          </w:tcPr>
          <w:p w14:paraId="5C099D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77DAA3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Нытва</w:t>
            </w:r>
          </w:p>
        </w:tc>
        <w:tc>
          <w:tcPr>
            <w:tcW w:w="1201" w:type="dxa"/>
          </w:tcPr>
          <w:p w14:paraId="19B155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НКЧМ</w:t>
            </w:r>
          </w:p>
        </w:tc>
        <w:tc>
          <w:tcPr>
            <w:tcW w:w="1101" w:type="dxa"/>
          </w:tcPr>
          <w:p w14:paraId="4317A2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Биметалл</w:t>
            </w:r>
          </w:p>
        </w:tc>
        <w:tc>
          <w:tcPr>
            <w:tcW w:w="1726" w:type="dxa"/>
          </w:tcPr>
          <w:p w14:paraId="7CCE0B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176</w:t>
            </w:r>
          </w:p>
        </w:tc>
        <w:tc>
          <w:tcPr>
            <w:tcW w:w="1870" w:type="dxa"/>
          </w:tcPr>
          <w:p w14:paraId="079798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Тула</w:t>
            </w:r>
          </w:p>
        </w:tc>
      </w:tr>
      <w:tr w:rsidR="00643896" w:rsidRPr="00640820" w14:paraId="750419F4" w14:textId="77777777" w:rsidTr="000D3BCB">
        <w:tc>
          <w:tcPr>
            <w:tcW w:w="918" w:type="dxa"/>
          </w:tcPr>
          <w:p w14:paraId="229ED7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42BE624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1CCD25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0529FB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369C0E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BE9D7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9498D01" w14:textId="77777777" w:rsidTr="000D3BCB">
        <w:tc>
          <w:tcPr>
            <w:tcW w:w="918" w:type="dxa"/>
          </w:tcPr>
          <w:p w14:paraId="3964AD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666054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Молотов</w:t>
            </w:r>
          </w:p>
        </w:tc>
        <w:tc>
          <w:tcPr>
            <w:tcW w:w="1201" w:type="dxa"/>
          </w:tcPr>
          <w:p w14:paraId="18844C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РМЗ</w:t>
            </w:r>
          </w:p>
        </w:tc>
        <w:tc>
          <w:tcPr>
            <w:tcW w:w="1101" w:type="dxa"/>
          </w:tcPr>
          <w:p w14:paraId="266B97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ремонт</w:t>
            </w:r>
          </w:p>
        </w:tc>
        <w:tc>
          <w:tcPr>
            <w:tcW w:w="1726" w:type="dxa"/>
          </w:tcPr>
          <w:p w14:paraId="089BBB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101</w:t>
            </w:r>
          </w:p>
        </w:tc>
        <w:tc>
          <w:tcPr>
            <w:tcW w:w="1870" w:type="dxa"/>
          </w:tcPr>
          <w:p w14:paraId="59839D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Каменск-Шахтинский</w:t>
            </w:r>
          </w:p>
        </w:tc>
      </w:tr>
      <w:tr w:rsidR="00643896" w:rsidRPr="00640820" w14:paraId="6B3596A8" w14:textId="77777777" w:rsidTr="000D3BCB">
        <w:tc>
          <w:tcPr>
            <w:tcW w:w="918" w:type="dxa"/>
          </w:tcPr>
          <w:p w14:paraId="05B316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42708D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72F3ED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12E89B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00A392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E48D5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4446BFF" w14:textId="77777777" w:rsidTr="000D3BCB">
        <w:tc>
          <w:tcPr>
            <w:tcW w:w="918" w:type="dxa"/>
          </w:tcPr>
          <w:p w14:paraId="01E189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447258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Киров</w:t>
            </w:r>
          </w:p>
        </w:tc>
        <w:tc>
          <w:tcPr>
            <w:tcW w:w="1201" w:type="dxa"/>
          </w:tcPr>
          <w:p w14:paraId="71AB74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Искож</w:t>
            </w:r>
          </w:p>
        </w:tc>
        <w:tc>
          <w:tcPr>
            <w:tcW w:w="1101" w:type="dxa"/>
          </w:tcPr>
          <w:p w14:paraId="59A62D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572814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77</w:t>
            </w:r>
          </w:p>
        </w:tc>
        <w:tc>
          <w:tcPr>
            <w:tcW w:w="1870" w:type="dxa"/>
          </w:tcPr>
          <w:p w14:paraId="379B84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Ленинград</w:t>
            </w:r>
          </w:p>
        </w:tc>
      </w:tr>
      <w:tr w:rsidR="00643896" w:rsidRPr="00640820" w14:paraId="25C05987" w14:textId="77777777" w:rsidTr="000D3BCB">
        <w:tc>
          <w:tcPr>
            <w:tcW w:w="918" w:type="dxa"/>
          </w:tcPr>
          <w:p w14:paraId="2FEFF6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23CE40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3A9F1D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053B5B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513F24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E6C8F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AA59E51" w14:textId="77777777" w:rsidTr="000D3BCB">
        <w:tc>
          <w:tcPr>
            <w:tcW w:w="918" w:type="dxa"/>
          </w:tcPr>
          <w:p w14:paraId="5F374A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672E8B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Новая Ляля</w:t>
            </w:r>
          </w:p>
        </w:tc>
        <w:tc>
          <w:tcPr>
            <w:tcW w:w="1201" w:type="dxa"/>
          </w:tcPr>
          <w:p w14:paraId="7F9ACF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Бумкомбинат</w:t>
            </w:r>
          </w:p>
        </w:tc>
        <w:tc>
          <w:tcPr>
            <w:tcW w:w="1101" w:type="dxa"/>
          </w:tcPr>
          <w:p w14:paraId="710D47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минометные гильзы</w:t>
            </w:r>
          </w:p>
        </w:tc>
        <w:tc>
          <w:tcPr>
            <w:tcW w:w="1726" w:type="dxa"/>
          </w:tcPr>
          <w:p w14:paraId="258A57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58</w:t>
            </w:r>
          </w:p>
        </w:tc>
        <w:tc>
          <w:tcPr>
            <w:tcW w:w="1870" w:type="dxa"/>
          </w:tcPr>
          <w:p w14:paraId="47412E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r>
      <w:tr w:rsidR="00643896" w:rsidRPr="00640820" w14:paraId="25195482" w14:textId="77777777" w:rsidTr="000D3BCB">
        <w:tc>
          <w:tcPr>
            <w:tcW w:w="918" w:type="dxa"/>
          </w:tcPr>
          <w:p w14:paraId="2EB751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49B058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0D4697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68377A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33711D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w:t>
            </w:r>
          </w:p>
        </w:tc>
        <w:tc>
          <w:tcPr>
            <w:tcW w:w="1870" w:type="dxa"/>
          </w:tcPr>
          <w:p w14:paraId="15958B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Краснозаводск</w:t>
            </w:r>
          </w:p>
        </w:tc>
      </w:tr>
      <w:tr w:rsidR="00643896" w:rsidRPr="00640820" w14:paraId="534145CF" w14:textId="77777777" w:rsidTr="000D3BCB">
        <w:tc>
          <w:tcPr>
            <w:tcW w:w="918" w:type="dxa"/>
          </w:tcPr>
          <w:p w14:paraId="57CBD6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41F457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Pr>
          <w:p w14:paraId="55BEE1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Pr>
          <w:p w14:paraId="16EA6A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Pr>
          <w:p w14:paraId="39FA99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DDBC5D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57E99D7" w14:textId="77777777" w:rsidTr="000D3BCB">
        <w:tc>
          <w:tcPr>
            <w:tcW w:w="918" w:type="dxa"/>
          </w:tcPr>
          <w:p w14:paraId="0A1FF0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Pr>
          <w:p w14:paraId="065400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Кемерово</w:t>
            </w:r>
          </w:p>
        </w:tc>
        <w:tc>
          <w:tcPr>
            <w:tcW w:w="1201" w:type="dxa"/>
          </w:tcPr>
          <w:p w14:paraId="5FAF0E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РММ</w:t>
            </w:r>
          </w:p>
        </w:tc>
        <w:tc>
          <w:tcPr>
            <w:tcW w:w="1101" w:type="dxa"/>
          </w:tcPr>
          <w:p w14:paraId="59C3FC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Ремонт</w:t>
            </w:r>
          </w:p>
        </w:tc>
        <w:tc>
          <w:tcPr>
            <w:tcW w:w="1726" w:type="dxa"/>
          </w:tcPr>
          <w:p w14:paraId="4EBEAA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tc>
        <w:tc>
          <w:tcPr>
            <w:tcW w:w="1870" w:type="dxa"/>
          </w:tcPr>
          <w:p w14:paraId="039991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Шостка</w:t>
            </w:r>
          </w:p>
        </w:tc>
      </w:tr>
      <w:tr w:rsidR="00643896" w:rsidRPr="00640820" w14:paraId="512FB7E3" w14:textId="77777777" w:rsidTr="000D3BCB">
        <w:tc>
          <w:tcPr>
            <w:tcW w:w="918" w:type="dxa"/>
            <w:tcBorders>
              <w:bottom w:val="single" w:sz="12" w:space="0" w:color="auto"/>
            </w:tcBorders>
          </w:tcPr>
          <w:p w14:paraId="54E0A7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2" w:type="dxa"/>
            <w:tcBorders>
              <w:bottom w:val="single" w:sz="12" w:space="0" w:color="auto"/>
            </w:tcBorders>
          </w:tcPr>
          <w:p w14:paraId="4996C1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01" w:type="dxa"/>
            <w:tcBorders>
              <w:bottom w:val="single" w:sz="12" w:space="0" w:color="auto"/>
            </w:tcBorders>
          </w:tcPr>
          <w:p w14:paraId="3799AB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01" w:type="dxa"/>
            <w:tcBorders>
              <w:bottom w:val="single" w:sz="12" w:space="0" w:color="auto"/>
            </w:tcBorders>
          </w:tcPr>
          <w:p w14:paraId="1D53A0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26" w:type="dxa"/>
            <w:tcBorders>
              <w:bottom w:val="single" w:sz="12" w:space="0" w:color="auto"/>
            </w:tcBorders>
          </w:tcPr>
          <w:p w14:paraId="2C52E8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Borders>
              <w:bottom w:val="single" w:sz="12" w:space="0" w:color="auto"/>
            </w:tcBorders>
          </w:tcPr>
          <w:p w14:paraId="039DA0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tc>
      </w:tr>
    </w:tbl>
    <w:p w14:paraId="2EAE55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(10452, 10453)</w:t>
      </w:r>
    </w:p>
    <w:p w14:paraId="71099DF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FEEB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Модернизация радиостанции РСБ-Ф. Прекращение производства радиостанций 5АК. Создание первого автомобильного телеграфно-телефонного узла связи РГК в составе 15 аппаратов Бодо, 10 аппаратов СТ-35, соответствующей коммутационной аппаратуры и другого оборудования (11072).</w:t>
      </w:r>
    </w:p>
    <w:p w14:paraId="068AFF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D6F0B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 завод (Завод № 191 НКОП, НКАП, НКЭП, Завод «Радио-Лампа» НКТП, НКОП / г. Фрязино Московской обл./) эвакуирован в Ташкент и Уфу, в помещения школ № 53 и № 57 Сталинского района. В Уфу прибыл 41 вагон с оборудованием и кадрами. Организовано производство, которое тогда же, в 11.1941 г. преобразовано в самостоятельный ГС завод № 643 (будущий Уфимский электроламповый завод «Свет»).</w:t>
      </w:r>
    </w:p>
    <w:p w14:paraId="481237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1942 г. завод реэвакуирован на старое место и получил № 191а.</w:t>
      </w:r>
    </w:p>
    <w:p w14:paraId="7DDAE8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Директор (-23.01.1937 г.)-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Казарьян, (23.01-19.06.1937 г.)- Я.С. Жезлов (снят); и.о. (19.07-20.08.1937 г.)- С.Т. Валуев; (22.10.1937-08.1938 г.-&gt; А.Т. Храмов.</w:t>
      </w:r>
    </w:p>
    <w:p w14:paraId="521EF0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Помощник директора по найму и увольнению (7.09.1937 г.-)- П.П. Куликов.</w:t>
      </w:r>
    </w:p>
    <w:p w14:paraId="07F688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(-8.10.1937 г.)- К.Б. Романюк, (8.10.1937 г.-)- М.И. Гальдин.</w:t>
      </w:r>
    </w:p>
    <w:p w14:paraId="17DABE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технолог (1938-41 г.)- М.М. Федоров.</w:t>
      </w:r>
    </w:p>
    <w:p w14:paraId="3DBC46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цехов: (1936-38 г.)- М.М. Федоров.</w:t>
      </w:r>
    </w:p>
    <w:p w14:paraId="7AE2347D" w14:textId="77777777" w:rsidR="00EE3BE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640820">
        <w:rPr>
          <w:rFonts w:ascii="Times New Roman" w:hAnsi="Times New Roman"/>
          <w:color w:val="000000" w:themeColor="text1"/>
          <w:sz w:val="16"/>
          <w:szCs w:val="16"/>
        </w:rPr>
        <w:t>Производство: лампы: генераторные ГД-400, М-600 (1938); склянки с жидкостью «Гренэ» для морских мин (1939).</w:t>
      </w:r>
      <w:r w:rsidRPr="00640820">
        <w:rPr>
          <w:rFonts w:ascii="Times New Roman" w:hAnsi="Times New Roman"/>
          <w:color w:val="000000" w:themeColor="text1"/>
          <w:sz w:val="16"/>
          <w:szCs w:val="16"/>
          <w:vertAlign w:val="superscript"/>
        </w:rPr>
        <w:t>ш</w:t>
      </w:r>
    </w:p>
    <w:p w14:paraId="53049F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191а /г. Фрязино Московской обл./</w:t>
      </w:r>
    </w:p>
    <w:p w14:paraId="73779B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1942 г. завод № 191 НКЭП реэвакуирован на старое место и получил № 191а. С 05.1942 г. начался выпуск радиоламп для миноискателей, приемных и передающих радиостанций. Вскоре завод переименован в завод № 747 (11982).</w:t>
      </w:r>
    </w:p>
    <w:p w14:paraId="4E8C4F93" w14:textId="77777777" w:rsidR="00EE3BEC" w:rsidRPr="00640820" w:rsidRDefault="00EE3BEC" w:rsidP="00640820">
      <w:pPr>
        <w:autoSpaceDE w:val="0"/>
        <w:autoSpaceDN w:val="0"/>
        <w:adjustRightInd w:val="0"/>
        <w:spacing w:after="0" w:line="240" w:lineRule="auto"/>
        <w:jc w:val="both"/>
        <w:rPr>
          <w:rFonts w:ascii="Times New Roman" w:hAnsi="Times New Roman"/>
          <w:color w:val="000000" w:themeColor="text1"/>
          <w:sz w:val="16"/>
          <w:szCs w:val="16"/>
        </w:rPr>
      </w:pPr>
    </w:p>
    <w:p w14:paraId="77D5AC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 на площадку СРЗ им. Дзержинского НКМФ (Судостроительный завод им. Ф.Э. Дзержинского НКМФ, Туапсинский судоремонтный завод им. Ф.Э. Дзержинского (ТСРЗ) НКМФ, ММФ /г. Туапсе Краснодарского кр./) эвакуирована часть завода № 201 из Севастополя, здесь завод № 201 продолжил действовать под своим номером. Ему также были переданы судоремонтные мастерские Охраны водного района. Были построены кислородная станция, ацетиленовая, компрессорная. В 08.1942 г. завод № 201 вновь эвакуирован в Поти и Батуми.</w:t>
      </w:r>
    </w:p>
    <w:p w14:paraId="5B4836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Ремонт и постройка нефтеналивных барж, судовых двигателей (1967 г.).</w:t>
      </w:r>
    </w:p>
    <w:p w14:paraId="7C57BC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1970-е  г. проведена реконструкция Туапсинского СРЗ ММФ, он был оснащен импортным плавдоком на 30 тыс. т. В 1980-е  г. построены новые цехи и судоремонтные причалы.</w:t>
      </w:r>
      <w:r w:rsidRPr="00640820">
        <w:rPr>
          <w:rFonts w:ascii="Times New Roman" w:hAnsi="Times New Roman"/>
          <w:color w:val="000000" w:themeColor="text1"/>
          <w:sz w:val="16"/>
          <w:szCs w:val="16"/>
          <w:vertAlign w:val="superscript"/>
        </w:rPr>
        <w:t>116</w:t>
      </w:r>
    </w:p>
    <w:p w14:paraId="4CDED2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Гендиректор (2001 г.)-Ф. Морозов.</w:t>
      </w:r>
    </w:p>
    <w:p w14:paraId="1B34AE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малый десантный корабль пр. 106К «Сайгак» (1965-70) (11982).</w:t>
      </w:r>
    </w:p>
    <w:p w14:paraId="4F22C8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46896DE"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3B7079CC"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C38A2DD" w14:textId="77777777" w:rsidR="00333A9C" w:rsidRPr="00640820" w:rsidRDefault="00333A9C"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 ноября 1941 г. гитлеровцы, учитывая малую эффективность зажигательных бомб при бомбежке городов, перешли исключительно на фугасные бомбы. Фашистская авиация в этот период, ввиду близости своих войск к Москве, участила налеты. Бывали дни, когда случалось по 5-6 тревог в сутки. Не успевали давать отбой, как опять объявлялась тревога, даже в промежутках между тревогами бывали бомбардировки. В эти дни кроме Кремля также сильно пострадали и важные объекты, охрану которых обеспечивали подразделения 1-го отдела НКВД СССР, в частности, здания ЦК ВКП (б) на Старой площади и Большой театр (21004).</w:t>
      </w:r>
    </w:p>
    <w:p w14:paraId="23CCE0BD" w14:textId="77777777" w:rsidR="00333A9C" w:rsidRPr="00640820" w:rsidRDefault="00333A9C" w:rsidP="00640820">
      <w:pPr>
        <w:spacing w:after="0" w:line="240" w:lineRule="auto"/>
        <w:jc w:val="both"/>
        <w:rPr>
          <w:rFonts w:ascii="Times New Roman" w:hAnsi="Times New Roman"/>
          <w:color w:val="0070C0"/>
          <w:sz w:val="16"/>
          <w:szCs w:val="16"/>
        </w:rPr>
      </w:pPr>
    </w:p>
    <w:p w14:paraId="05D66E3B" w14:textId="77777777" w:rsidR="00333A9C" w:rsidRPr="00640820" w:rsidRDefault="00333A9C"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ноябре 1941 не</w:t>
      </w:r>
      <w:r w:rsidRPr="00640820">
        <w:rPr>
          <w:rFonts w:ascii="Times New Roman" w:hAnsi="Times New Roman"/>
          <w:color w:val="0070C0"/>
          <w:sz w:val="16"/>
          <w:szCs w:val="16"/>
        </w:rPr>
        <w:softHyphen/>
        <w:t>мецкая авиация совершила наибольшее число налётов на Москву — 41 (17 днём и 24 ночью). Однако количество самолётов, участвовавших в атаках на советскую столицу, по сравнению с октябрём снизилось с 1998 до 1953. В воздушное пространство столицы прорвалось 58 самолётов (20120).</w:t>
      </w:r>
    </w:p>
    <w:p w14:paraId="0E4F906C" w14:textId="77777777" w:rsidR="00333A9C" w:rsidRPr="00640820" w:rsidRDefault="00333A9C" w:rsidP="00640820">
      <w:pPr>
        <w:spacing w:after="0" w:line="240" w:lineRule="auto"/>
        <w:jc w:val="both"/>
        <w:rPr>
          <w:rFonts w:ascii="Times New Roman" w:hAnsi="Times New Roman"/>
          <w:color w:val="0070C0"/>
          <w:sz w:val="16"/>
          <w:szCs w:val="16"/>
        </w:rPr>
      </w:pPr>
    </w:p>
    <w:p w14:paraId="1D64418C" w14:textId="77777777" w:rsidR="00333A9C" w:rsidRPr="00640820" w:rsidRDefault="00333A9C"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ноябре 1941 в Ленинграде воздушная тревога объявлялась 79 раз, в состоянии тревоги город находился 65 ч 47 мин. За это время было сби</w:t>
      </w:r>
      <w:r w:rsidRPr="00640820">
        <w:rPr>
          <w:rFonts w:ascii="Times New Roman" w:hAnsi="Times New Roman"/>
          <w:color w:val="0070C0"/>
          <w:sz w:val="16"/>
          <w:szCs w:val="16"/>
        </w:rPr>
        <w:softHyphen/>
        <w:t>то всего 18 самолётов (20120).</w:t>
      </w:r>
    </w:p>
    <w:p w14:paraId="2A33682F" w14:textId="77777777" w:rsidR="00333A9C" w:rsidRPr="00640820" w:rsidRDefault="00333A9C" w:rsidP="00640820">
      <w:pPr>
        <w:spacing w:after="0" w:line="240" w:lineRule="auto"/>
        <w:jc w:val="both"/>
        <w:rPr>
          <w:rFonts w:ascii="Times New Roman" w:hAnsi="Times New Roman"/>
          <w:color w:val="0070C0"/>
          <w:sz w:val="16"/>
          <w:szCs w:val="16"/>
        </w:rPr>
      </w:pPr>
    </w:p>
    <w:p w14:paraId="1130A220" w14:textId="77777777" w:rsidR="00333A9C" w:rsidRPr="00640820" w:rsidRDefault="00333A9C"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но</w:t>
      </w:r>
      <w:r w:rsidRPr="00640820">
        <w:rPr>
          <w:rFonts w:ascii="Times New Roman" w:hAnsi="Times New Roman"/>
          <w:color w:val="0070C0"/>
          <w:sz w:val="16"/>
          <w:szCs w:val="16"/>
        </w:rPr>
        <w:softHyphen/>
        <w:t>ябре 1941 г. был сформирован Воронежско-Борисоглебский дивизионный район ПВО. Город прикрывала вышедшая из Киева и переформи</w:t>
      </w:r>
      <w:r w:rsidRPr="00640820">
        <w:rPr>
          <w:rFonts w:ascii="Times New Roman" w:hAnsi="Times New Roman"/>
          <w:color w:val="0070C0"/>
          <w:sz w:val="16"/>
          <w:szCs w:val="16"/>
        </w:rPr>
        <w:softHyphen/>
        <w:t>рованная 3-я дивизия ПВО и 101-я истребитель</w:t>
      </w:r>
      <w:r w:rsidRPr="00640820">
        <w:rPr>
          <w:rFonts w:ascii="Times New Roman" w:hAnsi="Times New Roman"/>
          <w:color w:val="0070C0"/>
          <w:sz w:val="16"/>
          <w:szCs w:val="16"/>
        </w:rPr>
        <w:softHyphen/>
        <w:t>ная авиационная дивизия. В состав 3-й дивизии ПВО входили 4-й ОДАЗ второго формирования и 25-й отряд аэростатов заграждения (ООАЗ). В обороне Воронежа участвовал также 9-й ООАЗ. Развёрнутый в 1942 г., он прикрывал авиацион</w:t>
      </w:r>
      <w:r w:rsidRPr="00640820">
        <w:rPr>
          <w:rFonts w:ascii="Times New Roman" w:hAnsi="Times New Roman"/>
          <w:color w:val="0070C0"/>
          <w:sz w:val="16"/>
          <w:szCs w:val="16"/>
        </w:rPr>
        <w:softHyphen/>
        <w:t>ные заводы города.</w:t>
      </w:r>
    </w:p>
    <w:p w14:paraId="11C8714E" w14:textId="77777777" w:rsidR="00333A9C" w:rsidRPr="00640820" w:rsidRDefault="00333A9C"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Первый массированный налёт на промыш</w:t>
      </w:r>
      <w:r w:rsidRPr="00640820">
        <w:rPr>
          <w:rFonts w:ascii="Times New Roman" w:hAnsi="Times New Roman"/>
          <w:color w:val="0070C0"/>
          <w:sz w:val="16"/>
          <w:szCs w:val="16"/>
        </w:rPr>
        <w:softHyphen/>
        <w:t>ленные объекты Воронежа авиация противника произвела 28 июня 1942 г. Отражая его, средства ПВО сбили пять самолётов. В последующие дни воздушные налёты на город усилились. Когда враг подошёл к стенам города, в отражении атак его сухопутных войск участвовали и аэростат- чики. Днём они вели бои на окраинах и в цен</w:t>
      </w:r>
      <w:r w:rsidRPr="00640820">
        <w:rPr>
          <w:rFonts w:ascii="Times New Roman" w:hAnsi="Times New Roman"/>
          <w:color w:val="0070C0"/>
          <w:sz w:val="16"/>
          <w:szCs w:val="16"/>
        </w:rPr>
        <w:softHyphen/>
        <w:t>тре города, а ночью продолжали боевую работу с аэростатами. В результате этих боёв враг смог захватить только правобережную часть города. За этот период 3-я дивизия ПВО по советским данным сбила 192 немецких самолёта. Позднее 25-й ООАЗ передислоцировали в г. Горький, а 4-й ОДАЗ — в Саратов (20120).</w:t>
      </w:r>
    </w:p>
    <w:p w14:paraId="51AF8258" w14:textId="77777777" w:rsidR="00333A9C" w:rsidRPr="00640820" w:rsidRDefault="00333A9C" w:rsidP="00640820">
      <w:pPr>
        <w:spacing w:after="0" w:line="240" w:lineRule="auto"/>
        <w:jc w:val="both"/>
        <w:rPr>
          <w:rFonts w:ascii="Times New Roman" w:hAnsi="Times New Roman"/>
          <w:color w:val="0070C0"/>
          <w:sz w:val="16"/>
          <w:szCs w:val="16"/>
        </w:rPr>
      </w:pPr>
    </w:p>
    <w:p w14:paraId="64FD54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ГКО постановил сформировать первые полки НЛБА (6,52).</w:t>
      </w:r>
    </w:p>
    <w:p w14:paraId="65B130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9A3E4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Ноябрь 1941 для 421-го дбап оказался заметно менее напряженным, чем октябрь: всего 43 самолето-вылета и одна потеря - при взлете из-за отказа двигателя летчик Бойко вынужден был посадить "на живот" командирский Ер-2 (хвостовой знак - "звезда", второй с таким обозначением). Бомбардировщики летали ночью на полный </w:t>
      </w:r>
      <w:r w:rsidRPr="00640820">
        <w:rPr>
          <w:rFonts w:ascii="Times New Roman" w:hAnsi="Times New Roman"/>
          <w:color w:val="000000" w:themeColor="text1"/>
          <w:sz w:val="16"/>
          <w:szCs w:val="16"/>
        </w:rPr>
        <w:lastRenderedPageBreak/>
        <w:t>радиус, имея целями Кенигсберг Данциг, Тильзит и Варшаву. Двигатели многих машин почти полностью выработали ресурс, что ухудшало и без того не блестящие взлетные свойства, а тут еще снежные заносы... В ходе одного из вылетов тяжело нагруженный Ер-2 при взлете зацепился крылом за телеграфный столб, однако, как бесстрастно отмечено в отчете полка, "летчик продолжил выполнение задания, поскольку считал, что самое трудное - взлет - уже сделано" (3322,24).</w:t>
      </w:r>
    </w:p>
    <w:p w14:paraId="7F74D7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08B9F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 прибывший вместе с новым командиром 81-й авиадивизией Головановым 212-й авиаполк объединили с 420-м авиаполком, и далее он действовал как 748-й дбап на самолетах ДБ-ЗФ (Ил-4). Оставшиеся бомбардировщики Ер-2 передали в 421-й дбап, который под наименованием 747-й дбап вошел в состав 81 -й дивизии.</w:t>
      </w:r>
    </w:p>
    <w:p w14:paraId="476159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Основная часть бомбардировщиков перелетела в Ковров Владимирской области. В связи с увеличившейся дальностью полетов в этот период несколько самолетов с дизельными двигателями подверглись дополнительным доработкам. С целью обеспечения продолжительности полета до 15 часов на них установили дополнительные масляные баки емкостью 400 литров. По мере выработки, борттехники подкачивали это дополнительное масло в рабочие баки. Было это придумано, конечно, не от хорошей жизни, а в связи с тем, что расход моторного масла на дизелях оказался значительным и попытки его уменьшения к положительному результату не приводили (12025).</w:t>
      </w:r>
    </w:p>
    <w:p w14:paraId="7CA0B7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C9E74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создали Севастопольский оборонительный район (359,189).</w:t>
      </w:r>
    </w:p>
    <w:p w14:paraId="25E975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85BDE82"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4773C352"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F18ED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ноября 1941 года в 38 городах Советского Союза, а в дальнейшем - еще в 115 были введены карточки на мясо, рыбу, жиры, крупу и макароны. В Мурманской области установить нормы гарантированного отпуска продуктов населению не удалось в связи с отсутствием достаточного количества продуктов, поэтому был принят другой порядок снабжения: все столовые в городах, за исключением одной столовой в Мурманске, переведены в закрытые, и к ним прикреплено все работающее население; все поступающие продукты направлялись в столовые и на снабжение больниц и детских учреждений. Такой порядок позволял рабочим и служащим, прикрепленным к столовым, получать ежемесячно 1 килограмм мяса, 1 килограмм рыбы и до полутора килограмм крупы. В то же время неработающее население, в том числе и дети, практически ничего кроме хлеба не получало. Как писал в феврале 1942 года заведующий облторготделом Прилуцкий наркому торговли Любимову, «Положение с питанием и обеспечением населения области необходимыми товарами исключительно тяжелое...Мы не обеспечиваем минимально снабжения рабочих нашей области...» (Там же, ф. Р-808, оп. 2, д. 9, л. 9, 10.) (11911).</w:t>
      </w:r>
    </w:p>
    <w:p w14:paraId="3A4B7B9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CD054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ноябре 1941 года старый большевик Рыловников-Рыльский писал помощнику Сталина Поскребышеву из Сталинграда: "Эвакуируя из гор. Сталино других, в конце всего из Донбасса эвакуирован и я в Новосибирск, но застрял в Сталинграде. Позвольте сказать по-большевистски прямо: я не видел такого беспорядка, хаоса и беспомощности за все годы революции. Народ произвольно движется на восток, буквально голодая, вынося невероятные страдания. И что плохо, так это неспособность властей по железной дороге и в городах организовать в широком масштабе питание, кипяток и теплый кров для живых людей. Почему это так, я спрашиваю? </w:t>
      </w:r>
    </w:p>
    <w:p w14:paraId="5F3634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Какая злонамеренная, враждебная, вражеская рука оставляет народ в пути на произвол судьбы? Знает ли обо всем этом ужасе и народном горе наш вождь и учитель тов. Сталин?" (11588).</w:t>
      </w:r>
    </w:p>
    <w:p w14:paraId="3D776D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9ADC9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Ноябрь 1941 г. Началась и 152 дня продолжалась бессменная служба работников ГАИ Ленинграда на “Дороге жизни”, проложенной по льду Ладожского озера. 60 постов круглосуточно обслуживали трассу. Под командованием капитана милиции П.А. Орлова сформирована милицейская дивизия из работников НКВД Молдавии, Украины, Ростовской области и Краснодарского края РСФСР. Фашистские солдаты свидетельствовали, что “бойцы полицай-дивизии дерутся как черти и в плен не сдаются” (10303).</w:t>
      </w:r>
    </w:p>
    <w:p w14:paraId="0B25DF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70B78BC"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1E2399A5"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6C9FE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ноябре 1941 многие летчики МиГов начали активно использовать реактивное оружие, что расширило боевые возможности истребителей. Так, авиаторы ВВС Западного фронта израсходовали за 30 дней снарядов РС-82 примерно столько же, сколько за все предыдущее военное время. Из отчетов 28-го иап следовало, что за последний осенний месяц 1941 г. экипажи выпустили 549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 а сбросили лишь две ФАБ-25. Их коллеги из 27-го иап в эти дни эффективно использовали реактивные снаряды не только по наземным, но также по воздушным целям. Как отмечал в одном из отчетов начальник истребительного отдела НИИ ВВС вое- нинженер 1 ранга В.Н. Фролов, "установка на МиГ-3 шести орудий РО-82 оказалась очень эффективна, поскольку позволила исправить неудовлетворительное вооружение истребителя. Бомбовое вооружение на них (как и других типах истребителей) применяется ограниченно, ввиду малой точности; очень часто стрельба реактивными снарядами заменяет сброс бомб" (12045).</w:t>
      </w:r>
    </w:p>
    <w:p w14:paraId="1E27BB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560DE1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года, во время отражения второго этапа немецкого наступления на Москву, танки Т-34 чаще всего применялись небольшими группами из засад на рубежах возможного движения противника. При необходимости при приближении немецких частей танки наносили короткие, неожиданные огневые удары. Примером могут служить действия 28-я танковой бригады (2 КВ, 2 Т-34 11 Т-26, 15 Т-60), занимавшей опорный пункт в районе Сычи на Волоколамском шоссе 16 ноября 1941 года.</w:t>
      </w:r>
    </w:p>
    <w:p w14:paraId="2036042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Танки бригады были расставлены в засадах, а для контратаки подготовлена группа из двух Т-34, двух КВ и нескольких Т-60. Немцы смяли части мотострелковой бригады, занимавшей позиции перед танкистами. Огнем из засад и контратакой 28-я танковая бригада сумела восстановить положение, при этом экипаж Т-34 политрука Бармина подбил 8 немецких танков, а экипаж Ошка-ли – 7 (12217).</w:t>
      </w:r>
    </w:p>
    <w:p w14:paraId="53496118"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411EC044"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53C2D5C8"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49034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Р-38 "Лайтнинг" получили боевое крещение в небе над Алеутскими островами (3457,88).</w:t>
      </w:r>
    </w:p>
    <w:p w14:paraId="5B453E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5E33B60" w14:textId="77777777" w:rsidR="00333A9C" w:rsidRPr="00640820" w:rsidRDefault="00333A9C"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Ноябрь 1941 Италия начинает переоборудование пассажирского лайнера SS Roma в первый итальянский авианосец, позже названный Aquila («Орел»). Переоборудование остановится в незавершенном состоянии, когда Италия сдастся союзникам в сентябре 1943 года, и не будет завершено (20794).</w:t>
      </w:r>
    </w:p>
    <w:p w14:paraId="6969ABCA" w14:textId="77777777" w:rsidR="00333A9C" w:rsidRPr="00640820" w:rsidRDefault="00333A9C" w:rsidP="00640820">
      <w:pPr>
        <w:spacing w:after="0" w:line="240" w:lineRule="auto"/>
        <w:jc w:val="both"/>
        <w:rPr>
          <w:rFonts w:ascii="Times New Roman" w:hAnsi="Times New Roman"/>
          <w:color w:val="0070C0"/>
          <w:sz w:val="16"/>
          <w:szCs w:val="16"/>
        </w:rPr>
      </w:pPr>
    </w:p>
    <w:p w14:paraId="15F05407" w14:textId="77777777" w:rsidR="00333A9C" w:rsidRPr="00640820" w:rsidRDefault="00333A9C"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ноябре 1941 г. началось изготовление установочной серии планирующих бомб Hs 293A-0 и переоборудование предсерийного бомбардировщика He 177A-0 «Грайф» и двух серийных Не 177А-1. В начале 1942 г. с борта одного из них состоялся первый успешный пуск Hs 293A-0, и в том же году пошла серия Hs 293A-1.</w:t>
      </w:r>
    </w:p>
    <w:p w14:paraId="3FD45CBF" w14:textId="77777777" w:rsidR="00333A9C" w:rsidRPr="00640820" w:rsidRDefault="00333A9C"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1940 г. опытные ракеты Hs 293V1, V3 и V3 были испытаны с бомбардировщика Не 111Н. Скорость 3-го экземпляра, не имевшего ЖРД, была мала, и от упрощения отказались.</w:t>
      </w:r>
    </w:p>
    <w:p w14:paraId="50F6DACF" w14:textId="77777777" w:rsidR="00333A9C" w:rsidRPr="00640820" w:rsidRDefault="00333A9C"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Семьдесят Do 217E-5 получили держатели ETC 2000/XII под консолями крыла для ракет Hs 293A-1, дополнительно изготовили несколько десятков комплектов полевой доработки Rustsatze 10 и R15 для строевых Do 217E-2 и E-4. Сорок Do 217K-2 с увеличенным по сравнению с бомбардировщиком Do 217K-1 крылом несли балки ETC 2000/XII для SD 1400 между фюзеляжем и мотогондолами, но блоков наведения хватило не для всех, и их досылали комплектами R15, которые, наряду с аналогичными R10, шли и для доработки строевых Do 217K-1. Для восполнения потерь позже построили еще сорок Do 217K-3. Подвеска снижала дальность Do 217, потому обычно под правое крыло подвешивали управляемый снаряд, а под левое — бак. В этом отношении лучше оказался Не 177А-3: комплект R3 позволял ему брать одну Hs 293 под фюзеляж и две под крыло, сохраняя достаточный радиус действия. Заказ на 40 самолетов был выдан в мае 1941 г. и был выполнен в 1942 г., причем последние 6 машин могли нести и ракеты, и планирующие бомбы SD 1400. Но они обогнали поступление нового оружия — и пошли в эскадру KG 40 Командования «Атлантика» как обычные бомбардировщики. (22906).</w:t>
      </w:r>
    </w:p>
    <w:p w14:paraId="293525B8" w14:textId="77777777" w:rsidR="00333A9C" w:rsidRPr="00640820" w:rsidRDefault="00333A9C" w:rsidP="00640820">
      <w:pPr>
        <w:spacing w:after="0" w:line="240" w:lineRule="auto"/>
        <w:jc w:val="both"/>
        <w:rPr>
          <w:rFonts w:ascii="Times New Roman" w:hAnsi="Times New Roman"/>
          <w:color w:val="0070C0"/>
          <w:sz w:val="16"/>
          <w:szCs w:val="16"/>
        </w:rPr>
      </w:pPr>
    </w:p>
    <w:p w14:paraId="0A7FC6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 по приказу начальника центра Пенемюнде Вальтера Дорнбергера работы по ракете Gleiter A4 («Скользящая» А4) были закрыты. Все силы немецких ракетчиков сосредоточились на доработке ракеты А4, с тем чтобы обеспечить ее боевое применение. Такой подход был для немцев тогда оправдан, так как большой объем задач, которые было необходимо разрешить при создании гибридной крылатой ракеты, отвлек бы слишком много рабочей силы центра Пенемюнде, и без того страдавшего от недостатка персонала.</w:t>
      </w:r>
    </w:p>
    <w:p w14:paraId="62FAA8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Когда положение немецко-фашистских войск на Восточном и Западном фронтах стало ухудшаться, ставка Гитлера выдвинула требование увеличить дальность стрельбы ракетами дальнего действия. Немецко-фашистское командование связывало надежды на перелом во Второй мировой войне с дальнобойными ракетами.</w:t>
      </w:r>
    </w:p>
    <w:p w14:paraId="451B29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Началась тотальная мобилизация всех сил Германии. Полковник Дорнбергер вспомнил о гибридной ракете. Отчеты, составленные по результатам опытов по гибридным крылатым ракетам, проведенных в аэродинамической трубе в 1940–1942 гг., в спешном порядке были извлечены из архива (11686).</w:t>
      </w:r>
    </w:p>
    <w:p w14:paraId="3E15A7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FBBD9A4" w14:textId="77777777" w:rsidR="000A1C3C" w:rsidRPr="00640820" w:rsidRDefault="000A1C3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ноябре 1941 года в США началась рагработка самоходной установки T35 GMC. По концепции T35 GMC во многом была похожа на У-20: на шасси среднего танка M4 установили новую башню, в которую поставили переделанную 76-мм зенитную пушку. Переработанная T35 GMC превратилась в M10 GMC, самую массовую американскую противотанковую САУ времён Второй мировой войны.</w:t>
      </w:r>
    </w:p>
    <w:p w14:paraId="4499566C" w14:textId="77777777" w:rsidR="000A1C3C" w:rsidRPr="00640820" w:rsidRDefault="000A1C3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Осенью 1943 года M10 GMC оказалась на испытаниях в СССР, где получила положительный отзыв. Правда, оценивали машину танкисты, да и самоходная артиллерия с начала 1943 года была переподчинена ГБТУ КА. Кто знает, как сложилась бы судьба советской башенной САУ, если бы её изначально заказывало Главное бронетанковое управление КА (17641).</w:t>
      </w:r>
    </w:p>
    <w:p w14:paraId="49955203" w14:textId="77777777" w:rsidR="000A1C3C" w:rsidRPr="00640820" w:rsidRDefault="000A1C3C" w:rsidP="00640820">
      <w:pPr>
        <w:spacing w:after="0" w:line="240" w:lineRule="auto"/>
        <w:jc w:val="both"/>
        <w:rPr>
          <w:rFonts w:ascii="Times New Roman" w:eastAsia="Times New Roman" w:hAnsi="Times New Roman"/>
          <w:color w:val="000000" w:themeColor="text1"/>
          <w:sz w:val="16"/>
          <w:szCs w:val="16"/>
          <w:lang w:eastAsia="ru-RU"/>
        </w:rPr>
      </w:pPr>
    </w:p>
    <w:p w14:paraId="007822B2" w14:textId="77777777" w:rsidR="000A1C3C" w:rsidRPr="00640820" w:rsidRDefault="000A1C3C"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ноябре 1941 года, согласно канадским данным, первая партия из 15 Valentine VI отправилась в СССР. Поставка затянулась. Об отправке первых танков канадского производства генерал-лейтенант Мартель, в то время занимавший пост главы Британской военной миссии в СССР, сообщил только 16 февраля 1942 года. По его словам, 15 Valentine VI отправились через океан на американском транспорте SS City Of Flint (17697).</w:t>
      </w:r>
    </w:p>
    <w:p w14:paraId="1BD7C5D5" w14:textId="77777777" w:rsidR="000A1C3C" w:rsidRPr="00640820" w:rsidRDefault="000A1C3C" w:rsidP="00640820">
      <w:pPr>
        <w:spacing w:after="0" w:line="240" w:lineRule="auto"/>
        <w:jc w:val="both"/>
        <w:rPr>
          <w:rFonts w:ascii="Times New Roman" w:eastAsia="Times New Roman" w:hAnsi="Times New Roman"/>
          <w:color w:val="000000" w:themeColor="text1"/>
          <w:sz w:val="16"/>
          <w:szCs w:val="16"/>
          <w:lang w:eastAsia="ru-RU"/>
        </w:rPr>
      </w:pPr>
    </w:p>
    <w:p w14:paraId="3FCD34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в John Dunning и Eugene Booth в Нью Йорке получили измеримое количество урана 235 при применении технологии разделения при использовании газового барьера и гаксофторида урана (2220).</w:t>
      </w:r>
    </w:p>
    <w:p w14:paraId="3E66D9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AB61A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 китайские коллаборационистский режим заявил о присоединении Китая к "антикоминтерновскому пакту". Для понимания ситуации в Китае важно, что ни Чан Кайши, ни его противники не были в состоянии эффективно контролировать положение даже в пределах собственных зон. Генералиссимус реально мог положиться только на часть верных лично ему войск. Большую часть вооруженных сил на стороне Чан Кайши составляли формирования местных милитаристов, "кормившихся" на территориях своих провинций или уездов. В Китае не было унифицированной организации армии, отсутствовала всеобщая воинская повинность и система пополнения вооруженных сил. Отдельные военачальники могли по своему усмотрению поддержать или не поддержать действия главнокомандующего и самостоятельно определять политику в отношении противостоящих японских вооруженных сил на месте.</w:t>
      </w:r>
    </w:p>
    <w:p w14:paraId="0714ED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Сходным образом японские оккупационные власти и режим Ван Цзинвея не могли контролировать ситуацию на местах полностью. Их власть распространялась на крупные города, транспортные узлы и полосы контроля вдоль главных железных дорог. Сельские районы выходили из-под контроля как только их покидали японские войска, которых просто не хватало для сплошной оккупации Китая.</w:t>
      </w:r>
    </w:p>
    <w:p w14:paraId="48F3C9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Именно поэтому в стране могли существовать целые районы, где власть принадлежала коммунистам, которые не подчинялись ни одному из китайских режимов. Самой крупной базой коммунистов оставался район г.Яньань в северной части провинции Шэнси - внутри зоны японского контроля. "Освобожденные районы" образовывались не в результате военных операций КПК против японцев. Как правило, это были территории, через которые только что прошел фронт боевых действий, уничтоживший или существенно ослабивший власть местной гоминьдановской администрации. Не участвовавшие в войне и поэтому хорошо сохранявшие боеспособность отряды КПК без труда отбирали власть у уцелевших правительственных чиновников и создавали собственные политические структуры.</w:t>
      </w:r>
    </w:p>
    <w:p w14:paraId="4B91D9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Районы, контролируемые коммунистами, были разбросаны на огромной территории от Манчжоу-го до о.Хайнань. Существовали они и в зоне номинального контроля Чан Кайши. Размеры и конфигурация контролируемых коммунистами территорий в течение войны многократно менялись в зависимости от того, насколько сильным было давление на них со стороны японских войск и формирований Чан Кайши. Со своей стороны и коммунистические формирования при необходимости вели партизанские боевые действия как против войск Чан Кайши, так и против японцев. Основную задачу КПК видела в накоплении сил для установления своей власти на всей территории Китая после изгнания из страны японских войск. Враждебные отношения между КПК и Чан Кайши, их взаимная подозрительность и острое соперничество не позволяли всем антияпонским силам в Китае выступить совместно, что снижало результативность борьбы с Японией.</w:t>
      </w:r>
    </w:p>
    <w:p w14:paraId="3542783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Престиж Чан Кайши подрывала деспотизм и коррумпированность его режима, которая была очевидна даже для наиболее сочувственно и заинтересованно относившихся к нему кругов американского истэблишмента и британской элиты. Китайские коммунисты, напротив, достаточно умело боролись за лидерство в деле национального освобождения, канализируя поднимающийся национализм в русло борьбы за торжество коммунистических идеалов - как их понимало руководство китайской компартии во главе с Мао Цзэдуном.</w:t>
      </w:r>
    </w:p>
    <w:p w14:paraId="520996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Соперничество коммунистов с гоминьданом не было единственной причиной малой эффективности попыток Китая противостоять военному давлению Японии. Сам Чан Кайши следовал стратегии пассивного сопротивления захватчикам. Он не предпринимал против японских войск наступательных операций. Пользуясь своим численным превосходством, китайские войска концентрировались на основных путях продвижения японских сил, создавая своего рода "пробки" из живой силы. Японский натиск наталкивался на сопротивление огромной человеческой массы. Поскольку военно-техническое превосходство было на стороне Японии, китайские войска в конце концов отступали. Однако за это время они успевали создать новую "пробку" на соседнем участке японского продвижения. Силы противника изматывались, а темпы наступления замедлялись. Огромные пространства Китая позволяли Чан Кайши отступать в глубь труднодоступных районов страны неограниченно долго. Стратегия Чан Кайши состояла в изматывании экономических и людских ресурсов Японии с тем, чтобы затем нанести ей решающее поражение при помощи Запада, а при возможности, и Советского Союза (3871).</w:t>
      </w:r>
    </w:p>
    <w:p w14:paraId="54E6C2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3B4AC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года Лоя Джирга Афганистана приняла решение о соблюдении нейтралитета во второй мировой войне. Нейтралитет соблюдался Афганистаном строго (3871).</w:t>
      </w:r>
    </w:p>
    <w:p w14:paraId="355D41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5B6D6AC"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62565974"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5B2903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ноябре-декабре 1941 г. опытный Ил-2 с ШФК-37 прини</w:t>
      </w:r>
      <w:r w:rsidRPr="00640820">
        <w:rPr>
          <w:rFonts w:ascii="Times New Roman" w:hAnsi="Times New Roman"/>
          <w:color w:val="000000" w:themeColor="text1"/>
          <w:sz w:val="16"/>
          <w:szCs w:val="16"/>
        </w:rPr>
        <w:softHyphen/>
        <w:t>мал участие в боевых действиях под Москвой в составе 312-го штурмового авиаполка 47-й смешанной авиадивизии по програм</w:t>
      </w:r>
      <w:r w:rsidRPr="00640820">
        <w:rPr>
          <w:rFonts w:ascii="Times New Roman" w:hAnsi="Times New Roman"/>
          <w:color w:val="000000" w:themeColor="text1"/>
          <w:sz w:val="16"/>
          <w:szCs w:val="16"/>
        </w:rPr>
        <w:softHyphen/>
        <w:t>ме войсковых испытаний и получил отрицательную оценку. «Лет</w:t>
      </w:r>
      <w:r w:rsidRPr="00640820">
        <w:rPr>
          <w:rFonts w:ascii="Times New Roman" w:hAnsi="Times New Roman"/>
          <w:color w:val="000000" w:themeColor="text1"/>
          <w:sz w:val="16"/>
          <w:szCs w:val="16"/>
        </w:rPr>
        <w:softHyphen/>
        <w:t>ный состав и ведущие сильно возражают против постановки на Ил-2 двух 37-мм пушек...», — отмечалось в одном из докладов ко</w:t>
      </w:r>
      <w:r w:rsidRPr="00640820">
        <w:rPr>
          <w:rFonts w:ascii="Times New Roman" w:hAnsi="Times New Roman"/>
          <w:color w:val="000000" w:themeColor="text1"/>
          <w:sz w:val="16"/>
          <w:szCs w:val="16"/>
        </w:rPr>
        <w:softHyphen/>
        <w:t>мандира 312-го авиаполка. Однако официальных данных о резуль</w:t>
      </w:r>
      <w:r w:rsidRPr="00640820">
        <w:rPr>
          <w:rFonts w:ascii="Times New Roman" w:hAnsi="Times New Roman"/>
          <w:color w:val="000000" w:themeColor="text1"/>
          <w:sz w:val="16"/>
          <w:szCs w:val="16"/>
        </w:rPr>
        <w:softHyphen/>
        <w:t>татах боевого применения Ил-2 с ШФК-37 под Москвой (отчета о войсковых испытаниях) пока найти не удалось (10695). В заключение «Доклада о войсковых испытаниях на боевое при</w:t>
      </w:r>
      <w:r w:rsidRPr="00640820">
        <w:rPr>
          <w:rFonts w:ascii="Times New Roman" w:hAnsi="Times New Roman"/>
          <w:color w:val="000000" w:themeColor="text1"/>
          <w:sz w:val="16"/>
          <w:szCs w:val="16"/>
        </w:rPr>
        <w:softHyphen/>
        <w:t>менение самолетов Ил-2 АМ-38, вооруженных 37-мм пушками конструкции ОКБ-15» (ответственные исполнители Белякин, Ни</w:t>
      </w:r>
      <w:r w:rsidRPr="00640820">
        <w:rPr>
          <w:rFonts w:ascii="Times New Roman" w:hAnsi="Times New Roman"/>
          <w:color w:val="000000" w:themeColor="text1"/>
          <w:sz w:val="16"/>
          <w:szCs w:val="16"/>
        </w:rPr>
        <w:softHyphen/>
        <w:t>китин, Лорченко) указывалось, что:</w:t>
      </w:r>
    </w:p>
    <w:p w14:paraId="4E5400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Самолеты Ил-2 с пушкой ШФК-37, испытание на боевое применение не дали должной эффективности в связи с недоработ</w:t>
      </w:r>
      <w:r w:rsidRPr="00640820">
        <w:rPr>
          <w:rFonts w:ascii="Times New Roman" w:hAnsi="Times New Roman"/>
          <w:color w:val="000000" w:themeColor="text1"/>
          <w:sz w:val="16"/>
          <w:szCs w:val="16"/>
        </w:rPr>
        <w:softHyphen/>
        <w:t>кой пушек, невозможностью ведения прицельного огня по точеч</w:t>
      </w:r>
      <w:r w:rsidRPr="00640820">
        <w:rPr>
          <w:rFonts w:ascii="Times New Roman" w:hAnsi="Times New Roman"/>
          <w:color w:val="000000" w:themeColor="text1"/>
          <w:sz w:val="16"/>
          <w:szCs w:val="16"/>
        </w:rPr>
        <w:softHyphen/>
        <w:t>ным целям, большим рассеиванием снарядов и ухудшением манев</w:t>
      </w:r>
      <w:r w:rsidRPr="00640820">
        <w:rPr>
          <w:rFonts w:ascii="Times New Roman" w:hAnsi="Times New Roman"/>
          <w:color w:val="000000" w:themeColor="text1"/>
          <w:sz w:val="16"/>
          <w:szCs w:val="16"/>
        </w:rPr>
        <w:softHyphen/>
        <w:t>ренности самолета.</w:t>
      </w:r>
    </w:p>
    <w:p w14:paraId="07968E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Считать необходимым иметь на вооружении ВВС КА самолеты Ил-2 с пушками 37 мм, обеспечивающими без</w:t>
      </w:r>
      <w:r w:rsidRPr="00640820">
        <w:rPr>
          <w:rFonts w:ascii="Times New Roman" w:hAnsi="Times New Roman"/>
          <w:color w:val="000000" w:themeColor="text1"/>
          <w:sz w:val="16"/>
          <w:szCs w:val="16"/>
        </w:rPr>
        <w:softHyphen/>
        <w:t>отказную работу пушечных установок и ведение прицельного огня, не допуская ухудшения летных качеств серийного самолета Ил-2». Доклад утвердил 3 марта 1943 г. главный инженер ВВС КА генерал А.И. Репин (10695).</w:t>
      </w:r>
    </w:p>
    <w:p w14:paraId="35D406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2093E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ноябре-декабре 1941 опытный Ил-2 ШФК-37 при</w:t>
      </w:r>
      <w:r w:rsidRPr="00640820">
        <w:rPr>
          <w:rFonts w:ascii="Times New Roman" w:hAnsi="Times New Roman"/>
          <w:color w:val="000000" w:themeColor="text1"/>
          <w:sz w:val="16"/>
          <w:szCs w:val="16"/>
        </w:rPr>
        <w:softHyphen/>
        <w:t xml:space="preserve">нимал участие в боевых действиях под Москвой в составе 312-го </w:t>
      </w:r>
      <w:r w:rsidRPr="00640820">
        <w:rPr>
          <w:rFonts w:ascii="Times New Roman" w:hAnsi="Times New Roman"/>
          <w:iCs/>
          <w:color w:val="000000" w:themeColor="text1"/>
          <w:sz w:val="16"/>
          <w:szCs w:val="16"/>
        </w:rPr>
        <w:t>шап</w:t>
      </w:r>
      <w:r w:rsidRPr="00640820">
        <w:rPr>
          <w:rFonts w:ascii="Times New Roman" w:hAnsi="Times New Roman"/>
          <w:color w:val="000000" w:themeColor="text1"/>
          <w:sz w:val="16"/>
          <w:szCs w:val="16"/>
        </w:rPr>
        <w:t xml:space="preserve"> 47-й </w:t>
      </w:r>
      <w:r w:rsidRPr="00640820">
        <w:rPr>
          <w:rFonts w:ascii="Times New Roman" w:hAnsi="Times New Roman"/>
          <w:iCs/>
          <w:color w:val="000000" w:themeColor="text1"/>
          <w:sz w:val="16"/>
          <w:szCs w:val="16"/>
        </w:rPr>
        <w:t xml:space="preserve">сад </w:t>
      </w:r>
      <w:r w:rsidRPr="00640820">
        <w:rPr>
          <w:rFonts w:ascii="Times New Roman" w:hAnsi="Times New Roman"/>
          <w:color w:val="000000" w:themeColor="text1"/>
          <w:sz w:val="16"/>
          <w:szCs w:val="16"/>
        </w:rPr>
        <w:t xml:space="preserve">по программе войсковых испытаний и получил отрицательную оценку. </w:t>
      </w:r>
      <w:r w:rsidRPr="00640820">
        <w:rPr>
          <w:rFonts w:ascii="Times New Roman" w:hAnsi="Times New Roman"/>
          <w:iCs/>
          <w:color w:val="000000" w:themeColor="text1"/>
          <w:sz w:val="16"/>
          <w:szCs w:val="16"/>
        </w:rPr>
        <w:t>"Летный состав и ведущие сильно возражают против постановки на Ил-2 двух 37-мм пушек...", -</w:t>
      </w:r>
      <w:r w:rsidRPr="00640820">
        <w:rPr>
          <w:rFonts w:ascii="Times New Roman" w:hAnsi="Times New Roman"/>
          <w:color w:val="000000" w:themeColor="text1"/>
          <w:sz w:val="16"/>
          <w:szCs w:val="16"/>
        </w:rPr>
        <w:t xml:space="preserve"> отмечалось в одном из док</w:t>
      </w:r>
      <w:r w:rsidRPr="00640820">
        <w:rPr>
          <w:rFonts w:ascii="Times New Roman" w:hAnsi="Times New Roman"/>
          <w:color w:val="000000" w:themeColor="text1"/>
          <w:sz w:val="16"/>
          <w:szCs w:val="16"/>
        </w:rPr>
        <w:softHyphen/>
        <w:t xml:space="preserve">ладов командира 312-го </w:t>
      </w:r>
      <w:r w:rsidRPr="00640820">
        <w:rPr>
          <w:rFonts w:ascii="Times New Roman" w:hAnsi="Times New Roman"/>
          <w:iCs/>
          <w:color w:val="000000" w:themeColor="text1"/>
          <w:sz w:val="16"/>
          <w:szCs w:val="16"/>
        </w:rPr>
        <w:t>шап.</w:t>
      </w:r>
      <w:r w:rsidRPr="00640820">
        <w:rPr>
          <w:rFonts w:ascii="Times New Roman" w:hAnsi="Times New Roman"/>
          <w:color w:val="000000" w:themeColor="text1"/>
          <w:sz w:val="16"/>
          <w:szCs w:val="16"/>
        </w:rPr>
        <w:t xml:space="preserve"> Однако официальных данных о результатах бо</w:t>
      </w:r>
      <w:r w:rsidRPr="00640820">
        <w:rPr>
          <w:rFonts w:ascii="Times New Roman" w:hAnsi="Times New Roman"/>
          <w:color w:val="000000" w:themeColor="text1"/>
          <w:sz w:val="16"/>
          <w:szCs w:val="16"/>
        </w:rPr>
        <w:softHyphen/>
        <w:t>евого применения Ил-2 с ШФК-37 под Москвой (отчета о войсковых испытани</w:t>
      </w:r>
      <w:r w:rsidRPr="00640820">
        <w:rPr>
          <w:rFonts w:ascii="Times New Roman" w:hAnsi="Times New Roman"/>
          <w:color w:val="000000" w:themeColor="text1"/>
          <w:sz w:val="16"/>
          <w:szCs w:val="16"/>
        </w:rPr>
        <w:softHyphen/>
        <w:t>ях) пока найти не удалось (6467).</w:t>
      </w:r>
    </w:p>
    <w:p w14:paraId="57BFE4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7A69F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ноябре-декабре 1941 г. опытный Ил-2, вооруженный 37-мм пушками Шпитального, все же был отправлен на фронт для проведения войсковых испытаний в составе 312-го шап. Там он получил отрицательную оценку военных. "Летный состав и ведущие сильно возражают против постановки на Ил-2 двух 37-мм пушек", - отмечалось в одном из докладов командира авиаполка. Несмотря на это, С.В. Ильюшин, не дожидаясь результатов испытаний, обратился к И.В. Сталину с предложением о серийном выпуске самолетов этой модификации: "Стрельба с самолета Ил-2 из этих пушек производит сильное впечатление мощностью огня и точностью попадания. Это уже настоящая летающая артиллерия… Достоинство самолета Ил-2 с установленными пушками состоит в том, что можно вести с самолета прицельную, очень точную стрельбу, и к тому же стрельбу начинать с дистанции 3-х и более километров, когда вражеские войска нашего самолета не видят и не слышат". Налицо было явное желание конструктора приукрасить реальное состояние дел (11148).</w:t>
      </w:r>
    </w:p>
    <w:p w14:paraId="4E36C5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64DC07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 декабре 1941 г. по некоторым данным самолет Ил-2 зав. № 1871704 с ШФК-37 проходил ис</w:t>
      </w:r>
      <w:r w:rsidRPr="00640820">
        <w:rPr>
          <w:rFonts w:ascii="Times New Roman" w:hAnsi="Times New Roman"/>
          <w:color w:val="000000" w:themeColor="text1"/>
          <w:sz w:val="16"/>
          <w:szCs w:val="16"/>
        </w:rPr>
        <w:softHyphen/>
        <w:t>пытания на боевое применение на Западном фронте и получил отрицательную оценку. «Летный состав и ведущие сильно возражают против постановки на Ил-2 двух 37-мм пушек » -докладывал командир 312-го шап подполковник Поморцев.</w:t>
      </w:r>
    </w:p>
    <w:p w14:paraId="0FDCEA3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материалах штаба ВВС в качестве недостатков установки ШФК-37 на Ил-2 указывалось, что вследствие неболь того темпа стрельбы пушек летчик в условиях боя не успевает «сразу использовать весь боекомплект в одном заходе” Кроме этого, самолет обладает пониженными возможностями по выполнению противозенитного маневра. Предлагалось установить 8 РО-132 для стрельбы бронебойными снарядами РБС- 132 которые должны были стать основным оружием Ил-2 - “истребитетеля танков” (11474,323).</w:t>
      </w:r>
    </w:p>
    <w:p w14:paraId="29125C8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73ABD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ноябре-декабре 1941 г. по некоторым данным самолет Ил-2 зав. №1861704 с ШФК-37 проходил испытания на боевое применение на Западном фронте и получил отрицательную оценку. "Летный состав и ведущие сильно возражают против постановки на Ил-2 двух 37-мм пушек...", - докладывал командир 312-го шап подполковник Поморцев.</w:t>
      </w:r>
    </w:p>
    <w:p w14:paraId="3094FF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материалах штаба ВВС в качестве основных недостатков установки ШФК-37 на Ил-2 указывалось, что вследствие небольшого темпа стрельбы пушек (в среднем 169 выстрелов в минуту) летчик в условиях боя не успевает "сразу использовать весь боекомплект в одном заходе". Кроме этого, самолет обладал пониженными возможностями по выполнению противозенитного маневра. Предлагалось установить 8 РО-132 для стрельбы бронебойными снарядами РБС-132, которые должны были стать основным оружием Ил-2 - "истребителя танков". Как известно, эти снаряды с успехом были испытаны в ходе битвы под Москвой и получили превосходные отзывы летного и командного состава 47-й сад, проводивших их войсковые испытания.</w:t>
      </w:r>
    </w:p>
    <w:p w14:paraId="5F18A1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Систематизацией данных по эффективности авиации в борьбе с танками и оценкой реальных возможностей авиационного вооружения фактически начали заниматься лишь с весны 1942 г. </w:t>
      </w:r>
    </w:p>
    <w:p w14:paraId="4EEB9F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Оказалось, что вооружение серийных Ил-2 (2 пушки ШВАК или ВЯ-23, 2 пулемета ШКАС, 8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 xml:space="preserve"> и 400 кг бомб) не отвечало требованиям надежного поражения бронетехники. При стрельбе из пушки ВЯ-23 устойчивое поражение наносилось только легким танкам и бронемашинам с броней до 20 мм. Пробитие и пролом 10-мм брони дверцы люка немецкой бронемашины </w:t>
      </w:r>
      <w:r w:rsidRPr="00640820">
        <w:rPr>
          <w:rFonts w:ascii="Times New Roman" w:hAnsi="Times New Roman"/>
          <w:color w:val="000000" w:themeColor="text1"/>
          <w:sz w:val="16"/>
          <w:szCs w:val="16"/>
          <w:lang w:val="en-US"/>
        </w:rPr>
        <w:t>SdKfz</w:t>
      </w:r>
      <w:r w:rsidRPr="00640820">
        <w:rPr>
          <w:rFonts w:ascii="Times New Roman" w:hAnsi="Times New Roman"/>
          <w:color w:val="000000" w:themeColor="text1"/>
          <w:sz w:val="16"/>
          <w:szCs w:val="16"/>
        </w:rPr>
        <w:t xml:space="preserve"> 250 в результате попадания бронебойно- зажигатепьного снаряда БЗ-20 пушки ШВАК</w:t>
      </w:r>
    </w:p>
    <w:p w14:paraId="4054AF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Пробитие боковой 10-мм брони немецкой бронемашины </w:t>
      </w:r>
      <w:r w:rsidRPr="00640820">
        <w:rPr>
          <w:rFonts w:ascii="Times New Roman" w:hAnsi="Times New Roman"/>
          <w:color w:val="000000" w:themeColor="text1"/>
          <w:sz w:val="16"/>
          <w:szCs w:val="16"/>
          <w:lang w:val="en-US"/>
        </w:rPr>
        <w:t>SdKfz</w:t>
      </w:r>
      <w:r w:rsidRPr="00640820">
        <w:rPr>
          <w:rFonts w:ascii="Times New Roman" w:hAnsi="Times New Roman"/>
          <w:color w:val="000000" w:themeColor="text1"/>
          <w:sz w:val="16"/>
          <w:szCs w:val="16"/>
        </w:rPr>
        <w:t xml:space="preserve"> 250 в результате попадания бронебойно- зажигательного снаряда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3-23 к пушке ВЯ-23.</w:t>
      </w:r>
    </w:p>
    <w:p w14:paraId="0BD037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отношении пушек ШВАК указывалось следующее: "Самолеты Ил-2, вооруженные пушками ШВАК по танкам использовать неэффективно, а лучше использовать их на 5-10 км в тылу по пехоте и горючему, обеспечивающему танки".</w:t>
      </w:r>
    </w:p>
    <w:p w14:paraId="4DE347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Что касается реактивных снарядов, то среди летного и командного состава существовали прямо противоположные точки зрения. Одни считали, что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 xml:space="preserve"> всех типов неэффективны вследствие их большого рассеивания. Другие, наоборот, полагали, что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 xml:space="preserve"> лучшее оружие против танков, и в этой связи настаивали на увеличении числа ракетных орудий до 10-12 на каждом самолете: "...Нерационально хорошую, дорогую машину посылать на штурмовку с малым числом РС".</w:t>
      </w:r>
    </w:p>
    <w:p w14:paraId="232F19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Инженерно-технический состав некоторых авиаполков собственными силами проводил доработку Ил-2, обеспечивая подвеску на самолет увеличенного числа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 xml:space="preserve">. Например, в начале 1942 г. на Северо-Западном фронте два серийных Ил-2 были оборудованы местными умельцами под подвеску 8 РС-82 и 8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-132 и затем успешно испытаны в боях. В строевых частях имелись варианты Ил-2 с подвеской 24 (!) РС-82.</w:t>
      </w:r>
    </w:p>
    <w:p w14:paraId="60F47F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Надо сказать, Ильюшин активно возражал против таких доработок, соглашаясь на установку ракетных орудий в тандем, что бы не так сильно снижалась скорость полета. В план опытного самолетостроения на 1942 г. была даже включена постройка варианта Ил-2 с подвеской 16 реактивных снарядов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-132 в тандем (скорость у земли - 360 км/ч) (12020).</w:t>
      </w:r>
    </w:p>
    <w:p w14:paraId="1EC5A7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FB53913" w14:textId="77777777" w:rsidR="00DD1D54" w:rsidRPr="00640820" w:rsidRDefault="00DD1D54" w:rsidP="00640820">
      <w:pPr>
        <w:pStyle w:val="a3"/>
        <w:rPr>
          <w:color w:val="000000" w:themeColor="text1"/>
          <w:lang w:val="ru-RU"/>
        </w:rPr>
      </w:pPr>
      <w:r w:rsidRPr="00640820">
        <w:rPr>
          <w:color w:val="000000" w:themeColor="text1"/>
          <w:lang w:val="ru-RU"/>
        </w:rPr>
        <w:t>В ноябре—декабре 1941 г. опытный Ил-2, вооруженный 37-мм пушками Шпитально</w:t>
      </w:r>
      <w:r w:rsidRPr="00640820">
        <w:rPr>
          <w:color w:val="000000" w:themeColor="text1"/>
          <w:lang w:val="ru-RU"/>
        </w:rPr>
        <w:softHyphen/>
        <w:t>го, все же отправили на фронт для проведения войсковых испытаний в составе 312-го шап. Там он получил отрицательную оценку военных: «Лётный состав и ведущие силь</w:t>
      </w:r>
      <w:r w:rsidRPr="00640820">
        <w:rPr>
          <w:color w:val="000000" w:themeColor="text1"/>
          <w:lang w:val="ru-RU"/>
        </w:rPr>
        <w:softHyphen/>
        <w:t>но возражают против постановки на Ил-2 двух 37-мм пушек», — отмечалось в одном из докладов командира авиаполка. Несмотря на это, С.В. Ильюшин, не дожидаясь резуль</w:t>
      </w:r>
      <w:r w:rsidRPr="00640820">
        <w:rPr>
          <w:color w:val="000000" w:themeColor="text1"/>
          <w:lang w:val="ru-RU"/>
        </w:rPr>
        <w:softHyphen/>
        <w:t>татов испытаний, обратился к И.В. Сталину с предложени</w:t>
      </w:r>
      <w:r w:rsidRPr="00640820">
        <w:rPr>
          <w:color w:val="000000" w:themeColor="text1"/>
          <w:lang w:val="ru-RU"/>
        </w:rPr>
        <w:softHyphen/>
        <w:t>ем о серийном выпуске са</w:t>
      </w:r>
      <w:r w:rsidRPr="00640820">
        <w:rPr>
          <w:color w:val="000000" w:themeColor="text1"/>
          <w:lang w:val="ru-RU"/>
        </w:rPr>
        <w:softHyphen/>
        <w:t>молётов этой модификации: «Стрельба с самолёта Ил-2 из этих пушек производит сильное впечатление мощно</w:t>
      </w:r>
      <w:r w:rsidRPr="00640820">
        <w:rPr>
          <w:color w:val="000000" w:themeColor="text1"/>
          <w:lang w:val="ru-RU"/>
        </w:rPr>
        <w:softHyphen/>
        <w:t>стью огня и точностью попа</w:t>
      </w:r>
      <w:r w:rsidRPr="00640820">
        <w:rPr>
          <w:color w:val="000000" w:themeColor="text1"/>
          <w:lang w:val="ru-RU"/>
        </w:rPr>
        <w:softHyphen/>
        <w:t>дания. Это уже настоящая летающая артиллерия... Дос</w:t>
      </w:r>
      <w:r w:rsidRPr="00640820">
        <w:rPr>
          <w:color w:val="000000" w:themeColor="text1"/>
          <w:lang w:val="ru-RU"/>
        </w:rPr>
        <w:softHyphen/>
        <w:t>тоинство самолёта Ил-2 с ус</w:t>
      </w:r>
      <w:r w:rsidRPr="00640820">
        <w:rPr>
          <w:color w:val="000000" w:themeColor="text1"/>
          <w:lang w:val="ru-RU"/>
        </w:rPr>
        <w:softHyphen/>
        <w:t>тановленными пушками сос</w:t>
      </w:r>
      <w:r w:rsidRPr="00640820">
        <w:rPr>
          <w:color w:val="000000" w:themeColor="text1"/>
          <w:lang w:val="ru-RU"/>
        </w:rPr>
        <w:softHyphen/>
        <w:t>тоит в том, что можно вести с самолёта прицельную, очень точную стрельбу, и к тому же стрельбу начинать с дистанции 3-х и более километров, когда вражеские войска нашего самолёта не видят и не слышат». Налицо было явное же</w:t>
      </w:r>
      <w:r w:rsidRPr="00640820">
        <w:rPr>
          <w:color w:val="000000" w:themeColor="text1"/>
          <w:lang w:val="ru-RU"/>
        </w:rPr>
        <w:softHyphen/>
        <w:t>лание конструктора приукрасить реальное состояние дел (15787).</w:t>
      </w:r>
    </w:p>
    <w:p w14:paraId="065B4906" w14:textId="77777777" w:rsidR="00DD1D54" w:rsidRPr="00640820" w:rsidRDefault="00DD1D54" w:rsidP="00640820">
      <w:pPr>
        <w:pStyle w:val="a3"/>
        <w:rPr>
          <w:color w:val="000000" w:themeColor="text1"/>
          <w:lang w:val="ru-RU"/>
        </w:rPr>
      </w:pPr>
    </w:p>
    <w:p w14:paraId="770D2AB7" w14:textId="77777777" w:rsidR="00DD5498" w:rsidRPr="00640820" w:rsidRDefault="00DD5498"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В ноябре—декабре 1941 г. Ил-2 зав. № 1861704 с пушками Ш-37 проходил испытания на боевое применение в 312-м шап 47-й сад ВВС Западного фронта и полу</w:t>
      </w:r>
      <w:r w:rsidRPr="00640820">
        <w:rPr>
          <w:color w:val="000000" w:themeColor="text1"/>
          <w:sz w:val="16"/>
          <w:szCs w:val="16"/>
        </w:rPr>
        <w:softHyphen/>
        <w:t>чил отрицательную оценку. «Летный состав и веду</w:t>
      </w:r>
      <w:r w:rsidRPr="00640820">
        <w:rPr>
          <w:color w:val="000000" w:themeColor="text1"/>
          <w:sz w:val="16"/>
          <w:szCs w:val="16"/>
        </w:rPr>
        <w:softHyphen/>
        <w:t>щие сильно возражают против постановки на Ил-2 2 37-мм пушек...» — отмечалось в одном из докла</w:t>
      </w:r>
      <w:r w:rsidRPr="00640820">
        <w:rPr>
          <w:color w:val="000000" w:themeColor="text1"/>
          <w:sz w:val="16"/>
          <w:szCs w:val="16"/>
        </w:rPr>
        <w:softHyphen/>
        <w:t>дов командира 312-го шап подполковника Поморцева (17500).</w:t>
      </w:r>
    </w:p>
    <w:p w14:paraId="4F2CAFE2" w14:textId="77777777" w:rsidR="00DD5498" w:rsidRPr="00640820" w:rsidRDefault="00DD5498" w:rsidP="00640820">
      <w:pPr>
        <w:spacing w:after="0" w:line="240" w:lineRule="auto"/>
        <w:jc w:val="both"/>
        <w:rPr>
          <w:rFonts w:ascii="Times New Roman" w:eastAsia="Times New Roman" w:hAnsi="Times New Roman"/>
          <w:color w:val="000000" w:themeColor="text1"/>
          <w:sz w:val="16"/>
          <w:szCs w:val="16"/>
          <w:lang w:eastAsia="ru-RU"/>
        </w:rPr>
      </w:pPr>
    </w:p>
    <w:p w14:paraId="00643F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ноябре-декабре 1941 построили пять И210 (ИХ) МиГ-3 с М-82 (1084,34).</w:t>
      </w:r>
    </w:p>
    <w:p w14:paraId="20DB65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BCDCA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ноябре-декабре 1941 построили пять И-210 (ИХ) МиГ-3 с М-82. Первый полет в декабре 1941 выполнил В.Е.Голофастов из НИИ ВВС, но первые же полеты показали сильную вибрацию хвостового оперения. Скорость сильно упала, передали на продувки в ЦАГИ и новая машина появилась только в конце 1942 (1084,34).</w:t>
      </w:r>
    </w:p>
    <w:p w14:paraId="40D129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7529F55" w14:textId="77777777" w:rsidR="00333A9C" w:rsidRPr="00640820" w:rsidRDefault="00333A9C"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ноябре–декабре 1941 г. все пять И-210 (МиГ-3 М-82) завод № 1 достроил, но их испытания продолжились уже без Марцелюка, который погиб 29 октября 1941 г. в катастрофе на транспортном самолете ПС-84, летя пассажиром по делам службы с несколькими военными начальниками и руководителями промышленности (23187).</w:t>
      </w:r>
    </w:p>
    <w:p w14:paraId="57B74D0E" w14:textId="77777777" w:rsidR="00333A9C" w:rsidRPr="00640820" w:rsidRDefault="00333A9C" w:rsidP="00640820">
      <w:pPr>
        <w:spacing w:after="0" w:line="240" w:lineRule="auto"/>
        <w:jc w:val="both"/>
        <w:rPr>
          <w:rFonts w:ascii="Times New Roman" w:hAnsi="Times New Roman"/>
          <w:color w:val="0070C0"/>
          <w:sz w:val="16"/>
          <w:szCs w:val="16"/>
        </w:rPr>
      </w:pPr>
    </w:p>
    <w:p w14:paraId="33211E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Ноябрь— декабрь 1941 г. — это вообще период наименьшего выпуска всей военной продукции за период войны (</w:t>
      </w:r>
      <w:r w:rsidRPr="00640820">
        <w:rPr>
          <w:rFonts w:ascii="Times New Roman" w:hAnsi="Times New Roman"/>
          <w:iCs/>
          <w:color w:val="000000" w:themeColor="text1"/>
          <w:sz w:val="16"/>
          <w:szCs w:val="16"/>
        </w:rPr>
        <w:t>Симонов Н.С.</w:t>
      </w:r>
      <w:r w:rsidRPr="00640820">
        <w:rPr>
          <w:rFonts w:ascii="Times New Roman" w:hAnsi="Times New Roman"/>
          <w:color w:val="000000" w:themeColor="text1"/>
          <w:sz w:val="16"/>
          <w:szCs w:val="16"/>
        </w:rPr>
        <w:t xml:space="preserve"> Военно-промышленный комплекс СССР в 1920—1950-е годы: темпы экономического роста, структура, организация производства в управление. М.,1996. С. 145). Последние меся</w:t>
      </w:r>
      <w:r w:rsidRPr="00640820">
        <w:rPr>
          <w:rFonts w:ascii="Times New Roman" w:hAnsi="Times New Roman"/>
          <w:color w:val="000000" w:themeColor="text1"/>
          <w:sz w:val="16"/>
          <w:szCs w:val="16"/>
        </w:rPr>
        <w:softHyphen/>
        <w:t>цы 1941 г. стали особенно тяжелым моментом для советской экономики. Вознесенский характеризует этот период как «са</w:t>
      </w:r>
      <w:r w:rsidRPr="00640820">
        <w:rPr>
          <w:rFonts w:ascii="Times New Roman" w:hAnsi="Times New Roman"/>
          <w:color w:val="000000" w:themeColor="text1"/>
          <w:sz w:val="16"/>
          <w:szCs w:val="16"/>
        </w:rPr>
        <w:softHyphen/>
        <w:t>мый тяжёлый и критический в истории военной экономики и прежде всего промышленности СССР» (</w:t>
      </w:r>
      <w:r w:rsidRPr="00640820">
        <w:rPr>
          <w:rFonts w:ascii="Times New Roman" w:hAnsi="Times New Roman"/>
          <w:iCs/>
          <w:color w:val="000000" w:themeColor="text1"/>
          <w:sz w:val="16"/>
          <w:szCs w:val="16"/>
        </w:rPr>
        <w:t>Вознесенский Н.А.</w:t>
      </w:r>
      <w:r w:rsidRPr="00640820">
        <w:rPr>
          <w:rFonts w:ascii="Times New Roman" w:hAnsi="Times New Roman"/>
          <w:color w:val="000000" w:themeColor="text1"/>
          <w:sz w:val="16"/>
          <w:szCs w:val="16"/>
        </w:rPr>
        <w:t xml:space="preserve"> Указ. соч. С. 41). Валовая продукция СССР с июля по ноябрь 1941 г, уменьшилась в 2,1 раза, прокат чёрных металлов упал в 3,1 раза, выплавка стали сократилась в 2,8 раза, производство шарикоподшипников —в 21 раз (</w:t>
      </w:r>
      <w:r w:rsidRPr="00640820">
        <w:rPr>
          <w:rFonts w:ascii="Times New Roman" w:hAnsi="Times New Roman"/>
          <w:iCs/>
          <w:color w:val="000000" w:themeColor="text1"/>
          <w:sz w:val="16"/>
          <w:szCs w:val="16"/>
        </w:rPr>
        <w:t>Савицкий И.М.</w:t>
      </w:r>
      <w:r w:rsidRPr="00640820">
        <w:rPr>
          <w:rFonts w:ascii="Times New Roman" w:hAnsi="Times New Roman"/>
          <w:color w:val="000000" w:themeColor="text1"/>
          <w:sz w:val="16"/>
          <w:szCs w:val="16"/>
        </w:rPr>
        <w:t xml:space="preserve"> Важнейший арсенал Сибири. Новосибирск, 2005. С. 43).</w:t>
      </w:r>
    </w:p>
    <w:p w14:paraId="188AF7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Особенно сложная картина складывалась с производ</w:t>
      </w:r>
      <w:r w:rsidRPr="00640820">
        <w:rPr>
          <w:rFonts w:ascii="Times New Roman" w:hAnsi="Times New Roman"/>
          <w:color w:val="000000" w:themeColor="text1"/>
          <w:sz w:val="16"/>
          <w:szCs w:val="16"/>
        </w:rPr>
        <w:softHyphen/>
        <w:t>ствами, которые были «привязаны» к соответствующим ме</w:t>
      </w:r>
      <w:r w:rsidRPr="00640820">
        <w:rPr>
          <w:rFonts w:ascii="Times New Roman" w:hAnsi="Times New Roman"/>
          <w:color w:val="000000" w:themeColor="text1"/>
          <w:sz w:val="16"/>
          <w:szCs w:val="16"/>
        </w:rPr>
        <w:softHyphen/>
        <w:t>сторождениям полезных ископаемых и вследствие этого не могли быть перенесены на новое место. Например, к ноябрю 1941 г. на территории, временно оккупированной вермахтом, остались Волховский и Днепровский алюминиевые заводы, обеспечивающие 60 % довоенного производства алюминия (</w:t>
      </w:r>
      <w:r w:rsidRPr="00640820">
        <w:rPr>
          <w:rFonts w:ascii="Times New Roman" w:hAnsi="Times New Roman"/>
          <w:iCs/>
          <w:color w:val="000000" w:themeColor="text1"/>
          <w:sz w:val="16"/>
          <w:szCs w:val="16"/>
        </w:rPr>
        <w:t>Гареев МЛ.</w:t>
      </w:r>
      <w:r w:rsidRPr="00640820">
        <w:rPr>
          <w:rFonts w:ascii="Times New Roman" w:hAnsi="Times New Roman"/>
          <w:color w:val="000000" w:themeColor="text1"/>
          <w:sz w:val="16"/>
          <w:szCs w:val="16"/>
        </w:rPr>
        <w:t xml:space="preserve"> Неоднозначные страницы войны. М., 1995. С. 111). Судьбу этих комбинатов разделили Никопольский трубный и Днепропетровский металлургический заводы, поставлявшие до войны 65 % тонкостенных труб на предприятия </w:t>
      </w:r>
      <w:r w:rsidRPr="00640820">
        <w:rPr>
          <w:rFonts w:ascii="Times New Roman" w:hAnsi="Times New Roman"/>
          <w:color w:val="000000" w:themeColor="text1"/>
          <w:sz w:val="16"/>
          <w:szCs w:val="16"/>
          <w:lang w:val="en-US"/>
        </w:rPr>
        <w:t>HKA</w:t>
      </w:r>
      <w:r w:rsidRPr="00640820">
        <w:rPr>
          <w:rFonts w:ascii="Times New Roman" w:hAnsi="Times New Roman"/>
          <w:color w:val="000000" w:themeColor="text1"/>
          <w:sz w:val="16"/>
          <w:szCs w:val="16"/>
        </w:rPr>
        <w:t>П (История металлургии лёгких сплавов в СССР. 1917—1945. М., 1983. С. 279).</w:t>
      </w:r>
    </w:p>
    <w:p w14:paraId="264E38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долю уральского промышленного района накануне войны приходилось только 5 % высококачественного металла, по</w:t>
      </w:r>
      <w:r w:rsidRPr="00640820">
        <w:rPr>
          <w:rFonts w:ascii="Times New Roman" w:hAnsi="Times New Roman"/>
          <w:color w:val="000000" w:themeColor="text1"/>
          <w:sz w:val="16"/>
          <w:szCs w:val="16"/>
        </w:rPr>
        <w:softHyphen/>
        <w:t>ставляемого авиапромышленности (</w:t>
      </w:r>
      <w:r w:rsidRPr="00640820">
        <w:rPr>
          <w:rFonts w:ascii="Times New Roman" w:hAnsi="Times New Roman"/>
          <w:iCs/>
          <w:color w:val="000000" w:themeColor="text1"/>
          <w:sz w:val="16"/>
          <w:szCs w:val="16"/>
        </w:rPr>
        <w:t>Туманов А.Т., Шалин Р.Е., Старков Д.П.</w:t>
      </w:r>
      <w:r w:rsidRPr="00640820">
        <w:rPr>
          <w:rFonts w:ascii="Times New Roman" w:hAnsi="Times New Roman"/>
          <w:color w:val="000000" w:themeColor="text1"/>
          <w:sz w:val="16"/>
          <w:szCs w:val="16"/>
        </w:rPr>
        <w:t xml:space="preserve"> Авиационное материаловеде</w:t>
      </w:r>
      <w:r w:rsidRPr="00640820">
        <w:rPr>
          <w:rFonts w:ascii="Times New Roman" w:hAnsi="Times New Roman"/>
          <w:color w:val="000000" w:themeColor="text1"/>
          <w:sz w:val="16"/>
          <w:szCs w:val="16"/>
        </w:rPr>
        <w:softHyphen/>
        <w:t>ние // Развитие авиационной науки и техники в СССР. М., 1980. С. 326). В результате к декабрю 1941 г. производство цветных металлов сократилось в 430 раз по сравнению с июнем того же года (</w:t>
      </w:r>
      <w:r w:rsidRPr="00640820">
        <w:rPr>
          <w:rFonts w:ascii="Times New Roman" w:hAnsi="Times New Roman"/>
          <w:iCs/>
          <w:color w:val="000000" w:themeColor="text1"/>
          <w:sz w:val="16"/>
          <w:szCs w:val="16"/>
        </w:rPr>
        <w:t>Шаров ВМ.</w:t>
      </w:r>
      <w:r w:rsidRPr="00640820">
        <w:rPr>
          <w:rFonts w:ascii="Times New Roman" w:hAnsi="Times New Roman"/>
          <w:color w:val="000000" w:themeColor="text1"/>
          <w:sz w:val="16"/>
          <w:szCs w:val="16"/>
        </w:rPr>
        <w:t xml:space="preserve"> Жизнь и деятельность С.М. Воронова</w:t>
      </w:r>
      <w:r w:rsidRPr="00640820">
        <w:rPr>
          <w:rFonts w:ascii="Times New Roman" w:hAnsi="Times New Roman"/>
          <w:iCs/>
          <w:color w:val="000000" w:themeColor="text1"/>
          <w:sz w:val="16"/>
          <w:szCs w:val="16"/>
          <w:lang w:val="en-US"/>
        </w:rPr>
        <w:t>II</w:t>
      </w:r>
      <w:r w:rsidRPr="00640820">
        <w:rPr>
          <w:rFonts w:ascii="Times New Roman" w:hAnsi="Times New Roman"/>
          <w:iCs/>
          <w:color w:val="000000" w:themeColor="text1"/>
          <w:sz w:val="16"/>
          <w:szCs w:val="16"/>
        </w:rPr>
        <w:t xml:space="preserve"> Воронов СМ.</w:t>
      </w:r>
      <w:r w:rsidRPr="00640820">
        <w:rPr>
          <w:rFonts w:ascii="Times New Roman" w:hAnsi="Times New Roman"/>
          <w:color w:val="000000" w:themeColor="text1"/>
          <w:sz w:val="16"/>
          <w:szCs w:val="16"/>
        </w:rPr>
        <w:t xml:space="preserve"> Из</w:t>
      </w:r>
      <w:r w:rsidRPr="00640820">
        <w:rPr>
          <w:rFonts w:ascii="Times New Roman" w:hAnsi="Times New Roman"/>
          <w:color w:val="000000" w:themeColor="text1"/>
          <w:sz w:val="16"/>
          <w:szCs w:val="16"/>
        </w:rPr>
        <w:softHyphen/>
        <w:t>бранные труды по лёгким сплавам. М., 1957. С. 160). Нехватка алюминия, без которого было невозможно производство используемых в авиации сплавов, побуждала советских авиаконструкторов предпринимать шаги по сокращению использования дефи</w:t>
      </w:r>
      <w:r w:rsidRPr="00640820">
        <w:rPr>
          <w:rFonts w:ascii="Times New Roman" w:hAnsi="Times New Roman"/>
          <w:color w:val="000000" w:themeColor="text1"/>
          <w:sz w:val="16"/>
          <w:szCs w:val="16"/>
        </w:rPr>
        <w:softHyphen/>
        <w:t>цитного материала в конструкциях самолётов. В частности, это обстоятельство привело к частичному отказу в годы вой</w:t>
      </w:r>
      <w:r w:rsidRPr="00640820">
        <w:rPr>
          <w:rFonts w:ascii="Times New Roman" w:hAnsi="Times New Roman"/>
          <w:color w:val="000000" w:themeColor="text1"/>
          <w:sz w:val="16"/>
          <w:szCs w:val="16"/>
        </w:rPr>
        <w:softHyphen/>
        <w:t>ны от металлических пропеллеров в пользу деревянных (</w:t>
      </w:r>
      <w:r w:rsidRPr="00640820">
        <w:rPr>
          <w:rFonts w:ascii="Times New Roman" w:hAnsi="Times New Roman"/>
          <w:iCs/>
          <w:color w:val="000000" w:themeColor="text1"/>
          <w:sz w:val="16"/>
          <w:szCs w:val="16"/>
        </w:rPr>
        <w:t>Галлай МЛ.</w:t>
      </w:r>
      <w:r w:rsidRPr="00640820">
        <w:rPr>
          <w:rFonts w:ascii="Times New Roman" w:hAnsi="Times New Roman"/>
          <w:color w:val="000000" w:themeColor="text1"/>
          <w:sz w:val="16"/>
          <w:szCs w:val="16"/>
        </w:rPr>
        <w:t xml:space="preserve"> Избранное. </w:t>
      </w:r>
      <w:r w:rsidRPr="00640820">
        <w:rPr>
          <w:rFonts w:ascii="Times New Roman" w:hAnsi="Times New Roman"/>
          <w:color w:val="000000" w:themeColor="text1"/>
          <w:sz w:val="16"/>
          <w:szCs w:val="16"/>
          <w:lang w:val="en-US"/>
        </w:rPr>
        <w:t>T</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 М., 1990. С. 28).</w:t>
      </w:r>
    </w:p>
    <w:p w14:paraId="21DED9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w:t>
      </w:r>
      <w:r w:rsidRPr="00640820">
        <w:rPr>
          <w:rFonts w:ascii="Times New Roman" w:hAnsi="Times New Roman"/>
          <w:color w:val="000000" w:themeColor="text1"/>
          <w:sz w:val="16"/>
          <w:szCs w:val="16"/>
          <w:lang w:val="en-US"/>
        </w:rPr>
        <w:t>IV</w:t>
      </w:r>
      <w:r w:rsidRPr="00640820">
        <w:rPr>
          <w:rFonts w:ascii="Times New Roman" w:hAnsi="Times New Roman"/>
          <w:color w:val="000000" w:themeColor="text1"/>
          <w:sz w:val="16"/>
          <w:szCs w:val="16"/>
        </w:rPr>
        <w:t xml:space="preserve"> квартале 1941 г. Урал стал единственным поставщи</w:t>
      </w:r>
      <w:r w:rsidRPr="00640820">
        <w:rPr>
          <w:rFonts w:ascii="Times New Roman" w:hAnsi="Times New Roman"/>
          <w:color w:val="000000" w:themeColor="text1"/>
          <w:sz w:val="16"/>
          <w:szCs w:val="16"/>
        </w:rPr>
        <w:softHyphen/>
        <w:t>ком алюминия, магния, никеля и кобальта (История металлургии лёгких сплавов в СССР. 1917—1945 г. М., 1983. - С. 283). Впрочем, авиа</w:t>
      </w:r>
      <w:r w:rsidRPr="00640820">
        <w:rPr>
          <w:rFonts w:ascii="Times New Roman" w:hAnsi="Times New Roman"/>
          <w:color w:val="000000" w:themeColor="text1"/>
          <w:sz w:val="16"/>
          <w:szCs w:val="16"/>
        </w:rPr>
        <w:softHyphen/>
        <w:t>строению алюминий сам по себе был не нужен — требова</w:t>
      </w:r>
      <w:r w:rsidRPr="00640820">
        <w:rPr>
          <w:rFonts w:ascii="Times New Roman" w:hAnsi="Times New Roman"/>
          <w:color w:val="000000" w:themeColor="text1"/>
          <w:sz w:val="16"/>
          <w:szCs w:val="16"/>
        </w:rPr>
        <w:softHyphen/>
        <w:t>лись различные детали, изготовленные из дюралюмина и других сплавов цветных металлов. Между тем после того, как заводы № 95 и 150 начали эвакуацию на Урал, а завод им. Ворошилова оказался отсечённым в блокадном Ленин</w:t>
      </w:r>
      <w:r w:rsidRPr="00640820">
        <w:rPr>
          <w:rFonts w:ascii="Times New Roman" w:hAnsi="Times New Roman"/>
          <w:color w:val="000000" w:themeColor="text1"/>
          <w:sz w:val="16"/>
          <w:szCs w:val="16"/>
        </w:rPr>
        <w:softHyphen/>
        <w:t>граде, с середины октября 1941 г. в СССР выпуск дюралюми</w:t>
      </w:r>
      <w:r w:rsidRPr="00640820">
        <w:rPr>
          <w:rFonts w:ascii="Times New Roman" w:hAnsi="Times New Roman"/>
          <w:color w:val="000000" w:themeColor="text1"/>
          <w:sz w:val="16"/>
          <w:szCs w:val="16"/>
        </w:rPr>
        <w:softHyphen/>
        <w:t>ниевого проката практически прекратился (История металлургии лёгких сплавов в СССР. 1917—1945 г. М., 1983. - С. 317). Эвакуация завода № 150 автоматически прекратила и производство заклёпоч</w:t>
      </w:r>
      <w:r w:rsidRPr="00640820">
        <w:rPr>
          <w:rFonts w:ascii="Times New Roman" w:hAnsi="Times New Roman"/>
          <w:color w:val="000000" w:themeColor="text1"/>
          <w:sz w:val="16"/>
          <w:szCs w:val="16"/>
        </w:rPr>
        <w:softHyphen/>
        <w:t>ной проволоки, что ставило авиапромышленность в прак</w:t>
      </w:r>
      <w:r w:rsidRPr="00640820">
        <w:rPr>
          <w:rFonts w:ascii="Times New Roman" w:hAnsi="Times New Roman"/>
          <w:color w:val="000000" w:themeColor="text1"/>
          <w:sz w:val="16"/>
          <w:szCs w:val="16"/>
        </w:rPr>
        <w:softHyphen/>
        <w:t>тически безвыходное положение. Весь авиавыпуск с ноября 1941 г. по апрель—май 1942 г., фактически, базировался на мобзапасы (12011).</w:t>
      </w:r>
    </w:p>
    <w:p w14:paraId="7D3863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75087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ноябре-декабре 1941 к коллективу нового предприятия - з-ду 156-81 добавились рабочие и служащие завода № 288 из Савелова. В кое-как приспособленных помещениях возобновилась работа по изготовлению опытного самолета "103В", на заводе его называли "Верочкой". Ее завершили в ноябре 1941 г., а в начале декабря Туполев смог доложить наркому Шахурину, что машина прошла наземные испытания и готова к полетам. 18 ноября заместитель наркома А.С. Яковлев разрешил поднять ее в воздух (11988).</w:t>
      </w:r>
    </w:p>
    <w:p w14:paraId="67783F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B1A06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и декабре 1941 года на площадях эвакуированного завода № 32 были организованы мастерские, которые наладили производство и выпуск винтовочно-шомпольных противотанковых гранат Сердюка ГС-1, гранатометов, ежей для противотанковых заграждений и пистолета-пулемета Шпагина (ППШ).</w:t>
      </w:r>
    </w:p>
    <w:p w14:paraId="007F6E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Характерными этапами с момента организации завода № 43 можно считать следующие:</w:t>
      </w:r>
    </w:p>
    <w:p w14:paraId="33CE22AE" w14:textId="77777777" w:rsidR="00165A9C" w:rsidRPr="00640820" w:rsidRDefault="00165A9C" w:rsidP="0064082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Работа завода в период ВОВ.</w:t>
      </w:r>
    </w:p>
    <w:p w14:paraId="06153E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C января 1942 года ро 4 квартал 1946 года завод 41 был в 3-е гл. управлении МАП, производство авиамоторостроения, директор завода Богданов А.П., гл. конструктор Урмин. 1943 год – директор Кочедыков А.С. С 4 квартала 1943 года – директор Казаков Н.Ф. Со 2 квартала 1946 года – директор Завитаев А.А., гл. конструктор Мужилов И.А. 4 квартал 1946 года – 2 квартал 1948 года – 8-е гл. управление МАП опытный завод, производство газотурбинных двигателей, директор Завитаев А.А., гл. конструктор проф. Уваров В.В., он же руководитель завода. Со 2 полугодия 1948 года – 4-е гл. управление МАП в числе серийных заводов, производство – разные агрегаты для авиамоторов, директор Мизюров Ю.А., гл. конструктор Тарасов П.Н. 3 квартал 1949 года – 1 квартал 1953 года – 2-е гл. управление МАП, производство стрелково-пушечного вооружения, Мизюров Ю.А., гл. конструктор Торопов И.И. С 1950 года – директор Лихачев И.А. 1 квартал 1953 года – 6-е гл. управление МАП, </w:t>
      </w:r>
      <w:r w:rsidRPr="00640820">
        <w:rPr>
          <w:rFonts w:ascii="Times New Roman" w:hAnsi="Times New Roman"/>
          <w:color w:val="000000" w:themeColor="text1"/>
          <w:sz w:val="16"/>
          <w:szCs w:val="16"/>
        </w:rPr>
        <w:lastRenderedPageBreak/>
        <w:t>производство – новая техника изделия “205”, директор Лихачев И.А., гл. конструктор Лавочкин. 1954-1955 гг. – изделие “207”, директор Секачев А.Я., гл. конструктор Лавочкин. 1955 год 4 квартал – 1 июля 1957 года – директор Секачев А.Я., гл. конструктор Грушин П.Д.</w:t>
      </w:r>
    </w:p>
    <w:p w14:paraId="781489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Москва А-130, Старо-Петровский проезд, д. 4. В 1955 году приказом МАП от 19 апреля № 268сс в соответствии с постановлением Правительства от 14 апреля № 720-435 завод № 41 передан в систему МОП с тем же профилем производства (9827).</w:t>
      </w:r>
    </w:p>
    <w:p w14:paraId="46E241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0F27E99"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21EFB06A"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34F9DAA"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ноябре-декабре 1941 г. выпуск военной продукции был наименьшим за все время войны. Если в августе 1941 г. было произведено 5 млн. артиллерийских выстрелов, то в ноябре лишь 3,2 млн.; боевых самолетов, соответственно, 2046 шт. и 448 шт. (18406).</w:t>
      </w:r>
    </w:p>
    <w:p w14:paraId="20603D5B" w14:textId="77777777" w:rsidR="003918E4" w:rsidRPr="00640820" w:rsidRDefault="003918E4" w:rsidP="00640820">
      <w:pPr>
        <w:spacing w:after="0" w:line="240" w:lineRule="auto"/>
        <w:jc w:val="both"/>
        <w:rPr>
          <w:rFonts w:ascii="Times New Roman" w:hAnsi="Times New Roman"/>
          <w:color w:val="000000" w:themeColor="text1"/>
          <w:sz w:val="16"/>
          <w:szCs w:val="16"/>
        </w:rPr>
      </w:pPr>
    </w:p>
    <w:p w14:paraId="271E8130"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ноября по декабрь 1941 г. ГКО принял по гексогену пять постановлений. Так, если постановление ГКО № 928сс от 20 ноября 1941 г. требовало наладить изготовление данного ВВ в количестве 95 т в месяц, то постановлением ГКО № 1013сс от 11 декабря 1941 г. специально созданной комиссии предписывалось выработать меры увеличения производства гексогена до 1000 т в месяц. Сама программа увеличения производства гексогена была представлена уже в постановлении ГКО № 1032сс от 14 декабря 1941 г. «О производстве гексогена». Согласно программе, в декабре 1941 г. планировалось произвести 30 т этого ВВ, в январе 1942 г. – 117, в феврале – 262, в марте – 470 и в мае – выйти на уровень 1037 т. К сожалению, в результате 17-летней работы советских химиков (1929–1945 гг.) в области разработки рентабельной технологии получения гексогена в стране не было создано достаточно развитой промышленности по его производству и необходимой для этого сырьевой базы. В годы войны из-за нехватки гексогена Красная армия не снабжалась в достаточном количестве снаряжёнными данным ВВ мощными боеприпасами, использование которых могло бы существенно повысить эффективность действия артиллерии и авиации.</w:t>
      </w:r>
    </w:p>
    <w:p w14:paraId="584ED099"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Резко возросший спрос на гексоген не мог быть удовлетворён и по причине отсутствия сырья – уротропина. Производство гексогена попало в зависимость от союзнических поставок (19153).</w:t>
      </w:r>
    </w:p>
    <w:p w14:paraId="62A56654" w14:textId="77777777" w:rsidR="003918E4" w:rsidRPr="00640820" w:rsidRDefault="003918E4" w:rsidP="00640820">
      <w:pPr>
        <w:spacing w:after="0" w:line="240" w:lineRule="auto"/>
        <w:jc w:val="both"/>
        <w:rPr>
          <w:rFonts w:ascii="Times New Roman" w:hAnsi="Times New Roman"/>
          <w:color w:val="000000" w:themeColor="text1"/>
          <w:sz w:val="16"/>
          <w:szCs w:val="16"/>
        </w:rPr>
      </w:pPr>
    </w:p>
    <w:p w14:paraId="7E53A22B" w14:textId="77777777" w:rsidR="00DD5498" w:rsidRPr="00640820" w:rsidRDefault="00DD5498"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августа по ноябрь 1941 из строя выбыло 303 предприятия по производству боеприпасов (177,400). В то же время в течение второго полугодия 1941 запасы боеприпасов основных артиллерийских калибров были почти полностью исчерпаны, а производство составило 54% от плана (177,402).</w:t>
      </w:r>
    </w:p>
    <w:p w14:paraId="69813CE9" w14:textId="77777777" w:rsidR="00DD5498" w:rsidRPr="00640820" w:rsidRDefault="00DD5498" w:rsidP="00640820">
      <w:pPr>
        <w:autoSpaceDE w:val="0"/>
        <w:autoSpaceDN w:val="0"/>
        <w:adjustRightInd w:val="0"/>
        <w:spacing w:after="0" w:line="240" w:lineRule="auto"/>
        <w:jc w:val="both"/>
        <w:rPr>
          <w:rFonts w:ascii="Times New Roman" w:hAnsi="Times New Roman"/>
          <w:color w:val="000000" w:themeColor="text1"/>
          <w:sz w:val="16"/>
          <w:szCs w:val="16"/>
        </w:rPr>
      </w:pPr>
    </w:p>
    <w:p w14:paraId="1E0AA910" w14:textId="77777777" w:rsidR="00F24BA9" w:rsidRPr="00640820" w:rsidRDefault="00F24BA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ноябре-декабре 1941 года коллектив завода №183, эвакуированный в Нижний Тагил, спроектирова танк, получивший индекс Т-34–3, который разрабатывался под руководством А. А. Морозова. Представлял он собой Т-34, в башне которого, помимо Ф-34, устанавливалась спарка 45-мм пушек. Экипаж увеличивался до 5 человек, причём командир освобождался от функций наводчика. Никакой информации о том, кто стал инициатором разработки Т-34–3, нет, хотя с большой вероятностью это мог быть тот же человек, который «заказал» КВ-7. По Т-34–3 были разработаны технический проект и конструкторская документация, но до изготовления даже опытного образца дело не дошло (15838).</w:t>
      </w:r>
    </w:p>
    <w:p w14:paraId="1A048C4D" w14:textId="77777777" w:rsidR="00F24BA9" w:rsidRPr="00640820" w:rsidRDefault="00F24BA9" w:rsidP="00640820">
      <w:pPr>
        <w:spacing w:after="0" w:line="240" w:lineRule="auto"/>
        <w:jc w:val="both"/>
        <w:rPr>
          <w:rFonts w:ascii="Times New Roman" w:hAnsi="Times New Roman"/>
          <w:color w:val="000000" w:themeColor="text1"/>
          <w:sz w:val="16"/>
          <w:szCs w:val="16"/>
        </w:rPr>
      </w:pPr>
    </w:p>
    <w:p w14:paraId="3B87365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 декабре 1941 г. в период освое</w:t>
      </w:r>
      <w:r w:rsidRPr="00640820">
        <w:rPr>
          <w:rFonts w:ascii="Times New Roman" w:hAnsi="Times New Roman"/>
          <w:color w:val="000000" w:themeColor="text1"/>
          <w:sz w:val="16"/>
          <w:szCs w:val="16"/>
        </w:rPr>
        <w:softHyphen/>
        <w:t>ния на ЧКЗ производства дизеля В-2 было изготовлено 130 танков КВ-1 с карбюраторным двигателем М-17 (вме</w:t>
      </w:r>
      <w:r w:rsidRPr="00640820">
        <w:rPr>
          <w:rFonts w:ascii="Times New Roman" w:hAnsi="Times New Roman"/>
          <w:color w:val="000000" w:themeColor="text1"/>
          <w:sz w:val="16"/>
          <w:szCs w:val="16"/>
        </w:rPr>
        <w:softHyphen/>
        <w:t>сто дизеля В-2К) (10703).</w:t>
      </w:r>
    </w:p>
    <w:p w14:paraId="4D3DB08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AA18F6" w14:textId="77777777" w:rsidR="00DD5498" w:rsidRPr="00640820" w:rsidRDefault="00DD5498"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За ноябрь-декабрь 1941 в СССР прибыло 49 танков Matilda III. За это время больше всего таких танков попало в 136-й танковый батальон (20 машин) и 132-й отдельный танковый батальон (12 танков). Обозначались они в советских документах как MK-II, МК-2 либо «Матильда».</w:t>
      </w:r>
    </w:p>
    <w:p w14:paraId="628C811D" w14:textId="77777777" w:rsidR="00DD5498" w:rsidRPr="00640820" w:rsidRDefault="00DD5498"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Британская машина была весьма специфичной. При массе среднего танка она имела бронирование на уровне КВ-1. Спарка дизельных двигателей Leyland обеспечивала «Матильде» невысокую скорость, что, впрочем, для танка сопровождения пехоты было вполне нормально.</w:t>
      </w:r>
    </w:p>
    <w:p w14:paraId="43421704" w14:textId="77777777" w:rsidR="00DD5498" w:rsidRPr="00640820" w:rsidRDefault="00DD5498"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Из 49 прибывших машин 6 танков имели размороженные двигатели. Это было связано с тем, что в качестве охлаждающей жидкости в их системах охлаждения использовалась вода, которая в пути замерзла. На многих прибывавших «Матильдах» были разморожены аккумуляторы, поскольку плотность электролита оказалась низкой.</w:t>
      </w:r>
    </w:p>
    <w:p w14:paraId="5979DA5B" w14:textId="77777777" w:rsidR="00DD5498" w:rsidRPr="00640820" w:rsidRDefault="00DD5498"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Имелись и другие проблемы. Часто принимающая сторона указывала на то, что танки поступают в неполной комплектации. При этом некоторые машины приходили с двойным комплектом ЗИП. В случае с «Матильдами» как класс отсутствовали буксирные тросы, больше трети танков не имели брезентов. Оказались разморожены и радиаторы, причём об этом факте начальник Главного автобронетанкового управления Красной армии (ГАБТУ КА) генерал-лейтенант Я. Н. Федоренко докладывал лично Микояну.</w:t>
      </w:r>
    </w:p>
    <w:p w14:paraId="32BAB019" w14:textId="77777777" w:rsidR="00DD5498" w:rsidRPr="00640820" w:rsidRDefault="00DD5498"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Иногда к дополнительным повреждениям приводило и незнание особенностей конструкции «Матильды» советскими специалистами. Носовая часть танка имела клиновидную форму, при этом к ней спереди крепились фальшборты, в которых находились отсеки для инструмента. Не зная об этой особенности, техники стали буксировать танк, зацепив тросы к этим самым фальшбортам, и оторвали их.</w:t>
      </w:r>
    </w:p>
    <w:p w14:paraId="3F027D28" w14:textId="77777777" w:rsidR="00DD5498" w:rsidRPr="00640820" w:rsidRDefault="00DD5498"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Поступавшие с конвоями машины попадали сначала в г. Горький (ныне Нижний Новгород), где был организован автобронетанковый центр, занимавшийся приёмкой иностранных машин. Проблемные танки стали головной болью специалистов центра. К началу декабря 1941 года из 137 прибывших в Горький английских танков («Матильд» и </w:t>
      </w:r>
      <w:hyperlink r:id="rId64" w:history="1">
        <w:r w:rsidRPr="00640820">
          <w:rPr>
            <w:rFonts w:ascii="Times New Roman" w:eastAsia="Times New Roman" w:hAnsi="Times New Roman"/>
            <w:color w:val="000000" w:themeColor="text1"/>
            <w:sz w:val="16"/>
            <w:szCs w:val="16"/>
            <w:lang w:eastAsia="ru-RU"/>
          </w:rPr>
          <w:t>«Валентайнов»</w:t>
        </w:r>
      </w:hyperlink>
      <w:r w:rsidRPr="00640820">
        <w:rPr>
          <w:rFonts w:ascii="Times New Roman" w:eastAsia="Times New Roman" w:hAnsi="Times New Roman"/>
          <w:color w:val="000000" w:themeColor="text1"/>
          <w:sz w:val="16"/>
          <w:szCs w:val="16"/>
          <w:lang w:eastAsia="ru-RU"/>
        </w:rPr>
        <w:t>) 58 оказались вышедшими из строя. Сотрудники Горьковского учебного автобронетанкового центра (АБТ Центра) были вынуждены ремонтировать их на месте с использованием присланных запчастей, которых остро не хватало. Проблемным местом оказались и аккумуляторы.</w:t>
      </w:r>
    </w:p>
    <w:p w14:paraId="5D884BB5" w14:textId="77777777" w:rsidR="00DD5498" w:rsidRPr="00640820" w:rsidRDefault="00DD5498"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Сотрудники АБТ Центра столкнулись и с другой напастью. Дело в том, что на «Матильде» имелся компрессор для управления приводами коробки передач, который на морозе работал неудовлетворительно. Здесь же переняли и «передовой опыт» вырывания передних фальшбортов при буксировке. Кроме того, выяснилось, что гладкая опорная поверхность траков «Матильды» способствовала скольжению танков по льду. На фронте это неоднократно приводило к тому, что танки улетали в кювет и переворачивались.</w:t>
      </w:r>
    </w:p>
    <w:p w14:paraId="50CD5956" w14:textId="77777777" w:rsidR="00DD5498" w:rsidRPr="00640820" w:rsidRDefault="00DD5498"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Ещё одной проблемой стали фальшборта, которые прикрывали ходовую часть. Часто они забивались снегом и грязью, которые, замерзая, лишали танк возможности двигаться.</w:t>
      </w:r>
    </w:p>
    <w:p w14:paraId="70E9185F" w14:textId="77777777" w:rsidR="00DD5498" w:rsidRPr="00640820" w:rsidRDefault="00DD5498"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Но самой большой проблемой «Матлильды» оказалось вооружение. Её 2-фунтовая (40 мм) пушка не имела в боекомплекте осколочно-фугасного боеприпаса. Концепция, согласно которой пушка предназначалась исключительно для борьбы с вражескими танками, не пересматривалась англичанами с 20-х годов, когда на вооружение был принят </w:t>
      </w:r>
      <w:hyperlink r:id="rId65" w:history="1">
        <w:r w:rsidRPr="00640820">
          <w:rPr>
            <w:rFonts w:ascii="Times New Roman" w:eastAsia="Times New Roman" w:hAnsi="Times New Roman"/>
            <w:color w:val="000000" w:themeColor="text1"/>
            <w:sz w:val="16"/>
            <w:szCs w:val="16"/>
            <w:lang w:eastAsia="ru-RU"/>
          </w:rPr>
          <w:t>Medium Tank Mk.I</w:t>
        </w:r>
      </w:hyperlink>
      <w:r w:rsidRPr="00640820">
        <w:rPr>
          <w:rFonts w:ascii="Times New Roman" w:eastAsia="Times New Roman" w:hAnsi="Times New Roman"/>
          <w:color w:val="000000" w:themeColor="text1"/>
          <w:sz w:val="16"/>
          <w:szCs w:val="16"/>
          <w:lang w:eastAsia="ru-RU"/>
        </w:rPr>
        <w:t>.</w:t>
      </w:r>
    </w:p>
    <w:p w14:paraId="3958F670" w14:textId="77777777" w:rsidR="00DD5498" w:rsidRPr="00640820" w:rsidRDefault="00DD5498"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При этом поначалу наши специалисты даже считали, что союзники не поставляют в СССР бронебойные снаряды с донными взрывателями, которые якобы существовали. На практике таких боеприпасов у англичан просто не было, и никто их злонамеренно не утаивал. Проблема со снарядами усугублялась тем, что запасных стволов к 2-фунтовой пушке в номенклатуре поставок вообще не значилось, а это означало, что при повреждении пушки или её выходе из строя «Матильда» становилась чисто пулемётным танком.</w:t>
      </w:r>
    </w:p>
    <w:p w14:paraId="24F2FF54" w14:textId="77777777" w:rsidR="00DD5498" w:rsidRPr="00640820" w:rsidRDefault="00DD5498"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Впрочем, и без этого шанс стать пулемётным танком был довольно высоким, поскольку с каждым танком поставлялось не более 5–6 боекомплектов. С учетом ожесточённости боёв осени-зимы 1941 года такого запаса снарядов вряд ли могло хватить надолго. Сложившаяся ситуация требовала решения, и как можно более быстрого (17662).</w:t>
      </w:r>
    </w:p>
    <w:p w14:paraId="193A0EC9" w14:textId="77777777" w:rsidR="00DD5498" w:rsidRPr="00640820" w:rsidRDefault="00DD5498" w:rsidP="00640820">
      <w:pPr>
        <w:spacing w:after="0" w:line="240" w:lineRule="auto"/>
        <w:jc w:val="both"/>
        <w:rPr>
          <w:rFonts w:ascii="Times New Roman" w:eastAsia="Times New Roman" w:hAnsi="Times New Roman"/>
          <w:color w:val="000000" w:themeColor="text1"/>
          <w:sz w:val="16"/>
          <w:szCs w:val="16"/>
          <w:lang w:eastAsia="ru-RU"/>
        </w:rPr>
      </w:pPr>
    </w:p>
    <w:p w14:paraId="635603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и октябре 1941 г., соответственно, обе лодки К-51 и К-52 были приняты во временную эксплуатацию. Стоимость постройки одной лодки составила от 16,2 до 24 млн руб. (3898)</w:t>
      </w:r>
    </w:p>
    <w:p w14:paraId="75D5B2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ноябре-декабре 1941 г. были сданы Щ-135, Щ-136, Щ-137 и Щ-138, собранные заводом 202 на Дальнем Востоке (3898).</w:t>
      </w:r>
    </w:p>
    <w:p w14:paraId="224098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314678F"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60D5A2D4"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ED47C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ноябре-декабре 1941 18 ТБ-3 14 тбап и 5 ТБ-3 1 и 3 аэ доставляли продовольствие в Ленинград. Сняли бомбодержатели, стремянки, часть оборудования (1859).</w:t>
      </w:r>
    </w:p>
    <w:p w14:paraId="38BCF4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406CE5B" w14:textId="77777777" w:rsidR="00F07966" w:rsidRPr="00640820" w:rsidRDefault="00F07966"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54275A04" w14:textId="77777777" w:rsidR="00F07966" w:rsidRPr="00640820" w:rsidRDefault="00F07966"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4B526F2" w14:textId="77777777" w:rsidR="00F07966" w:rsidRPr="00640820" w:rsidRDefault="00F07966" w:rsidP="00640820">
      <w:pPr>
        <w:pStyle w:val="ae"/>
        <w:shd w:val="clear" w:color="auto" w:fill="FFFFFF"/>
        <w:spacing w:before="0" w:after="0"/>
        <w:jc w:val="both"/>
        <w:rPr>
          <w:color w:val="000000" w:themeColor="text1"/>
          <w:sz w:val="16"/>
          <w:szCs w:val="16"/>
        </w:rPr>
      </w:pPr>
      <w:r w:rsidRPr="00640820">
        <w:rPr>
          <w:color w:val="000000" w:themeColor="text1"/>
          <w:sz w:val="16"/>
          <w:szCs w:val="16"/>
        </w:rPr>
        <w:t>В ноябре-декабре 1945 года на конференции в Париже были достигнуты Договоренности о режиме поставок в счет репараций из зон, оккупированных США, Великобританией и Францией. Эти договоренности были закреплены Договором от 14 января 1946 года. Его участниками стали 19 стран, включая Великобританию, США, Францию, а также Албанию, Грецию, Чехословакию и Югославию. Парижский договор устанавливал процентную долю от репараций для отдельных государств и предусматривал создание Межсоюзнического репарационного агентства (ИАРА; Inter-Allied Reparations Agency; штаб-квартира в Брюсселе), которое занималось учетом и распределением репараций.</w:t>
      </w:r>
    </w:p>
    <w:p w14:paraId="34A3BD13" w14:textId="77777777" w:rsidR="00F07966" w:rsidRPr="00640820" w:rsidRDefault="00F07966" w:rsidP="00640820">
      <w:pPr>
        <w:pStyle w:val="ae"/>
        <w:shd w:val="clear" w:color="auto" w:fill="FFFFFF"/>
        <w:spacing w:before="0" w:after="0"/>
        <w:jc w:val="both"/>
        <w:rPr>
          <w:color w:val="000000" w:themeColor="text1"/>
          <w:sz w:val="16"/>
          <w:szCs w:val="16"/>
        </w:rPr>
      </w:pPr>
      <w:r w:rsidRPr="00640820">
        <w:rPr>
          <w:color w:val="000000" w:themeColor="text1"/>
          <w:sz w:val="16"/>
          <w:szCs w:val="16"/>
        </w:rPr>
        <w:t xml:space="preserve">Конкретная общая сумма репараций, возложенных на Германию по итогам Второй мировой войны, на международном уровне закреплена не была. В 2000 году министерство финансов ФРГ подготовило отчет, в котором подчеркивалось, что "страны-победители брали репарационные выплаты в одностороннем порядке, </w:t>
      </w:r>
      <w:r w:rsidRPr="00640820">
        <w:rPr>
          <w:color w:val="000000" w:themeColor="text1"/>
          <w:sz w:val="16"/>
          <w:szCs w:val="16"/>
        </w:rPr>
        <w:lastRenderedPageBreak/>
        <w:t>и нормативных записей об этом не существует" (19845).</w:t>
      </w:r>
    </w:p>
    <w:p w14:paraId="08994D5C" w14:textId="77777777" w:rsidR="00F07966" w:rsidRPr="00640820" w:rsidRDefault="00F07966" w:rsidP="00640820">
      <w:pPr>
        <w:spacing w:after="0" w:line="240" w:lineRule="auto"/>
        <w:jc w:val="both"/>
        <w:rPr>
          <w:rFonts w:ascii="Times New Roman" w:hAnsi="Times New Roman"/>
          <w:color w:val="000000" w:themeColor="text1"/>
          <w:sz w:val="16"/>
          <w:szCs w:val="16"/>
        </w:rPr>
      </w:pPr>
    </w:p>
    <w:p w14:paraId="7C397286"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42EB700C"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D364F74"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концу осени 1941 г. производственные мощности по тротилу составляли лишь 120 000 т в год, ято было недостаточно, чтобы обеспечить войска необходимым для них минимумом потребления основного ВВ: требовалось около 140 000 т в год (19153).</w:t>
      </w:r>
    </w:p>
    <w:p w14:paraId="0792FFD8" w14:textId="77777777" w:rsidR="003918E4" w:rsidRPr="00640820" w:rsidRDefault="003918E4" w:rsidP="00640820">
      <w:pPr>
        <w:spacing w:after="0" w:line="240" w:lineRule="auto"/>
        <w:jc w:val="both"/>
        <w:rPr>
          <w:rFonts w:ascii="Times New Roman" w:hAnsi="Times New Roman"/>
          <w:color w:val="000000" w:themeColor="text1"/>
          <w:sz w:val="16"/>
          <w:szCs w:val="16"/>
        </w:rPr>
      </w:pPr>
    </w:p>
    <w:p w14:paraId="2D6DA7C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Поздней осенью 1941 г. И. Савин был командирован на завод № 37 с задачей скорейшей реализации башни с воз</w:t>
      </w:r>
      <w:r w:rsidRPr="00640820">
        <w:rPr>
          <w:rFonts w:ascii="Times New Roman" w:hAnsi="Times New Roman"/>
          <w:color w:val="000000" w:themeColor="text1"/>
          <w:sz w:val="16"/>
          <w:szCs w:val="16"/>
        </w:rPr>
        <w:softHyphen/>
        <w:t>можностью зенитной стрельбы из Т-40 (1-60). Однако до эвакуации в Свердловск выполнить это задание не удалось (10782).</w:t>
      </w:r>
    </w:p>
    <w:p w14:paraId="62C9905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B37C1F"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25ADB0A4"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35E55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поздней осени 1941 в связи с острой нехваткой в строе</w:t>
      </w:r>
      <w:r w:rsidRPr="00640820">
        <w:rPr>
          <w:rFonts w:ascii="Times New Roman" w:hAnsi="Times New Roman"/>
          <w:color w:val="000000" w:themeColor="text1"/>
          <w:sz w:val="16"/>
          <w:szCs w:val="16"/>
        </w:rPr>
        <w:softHyphen/>
        <w:t>вых частях ВВС КА технических средств для уборки от снега и укатки взлетно-посадочных полос в некоторых штурмо</w:t>
      </w:r>
      <w:r w:rsidRPr="00640820">
        <w:rPr>
          <w:rFonts w:ascii="Times New Roman" w:hAnsi="Times New Roman"/>
          <w:color w:val="000000" w:themeColor="text1"/>
          <w:sz w:val="16"/>
          <w:szCs w:val="16"/>
        </w:rPr>
        <w:softHyphen/>
        <w:t>вых авиаполках самолеты Ил-2 стали ис</w:t>
      </w:r>
      <w:r w:rsidRPr="00640820">
        <w:rPr>
          <w:rFonts w:ascii="Times New Roman" w:hAnsi="Times New Roman"/>
          <w:color w:val="000000" w:themeColor="text1"/>
          <w:sz w:val="16"/>
          <w:szCs w:val="16"/>
        </w:rPr>
        <w:softHyphen/>
        <w:t>пользовать с неубирающимися лыжами. В тех же авиаполках, где производилась укатка взлетно-посадочных полос, штур</w:t>
      </w:r>
      <w:r w:rsidRPr="00640820">
        <w:rPr>
          <w:rFonts w:ascii="Times New Roman" w:hAnsi="Times New Roman"/>
          <w:color w:val="000000" w:themeColor="text1"/>
          <w:sz w:val="16"/>
          <w:szCs w:val="16"/>
        </w:rPr>
        <w:softHyphen/>
        <w:t>мовики Ил-2 продолжали летать на ко</w:t>
      </w:r>
      <w:r w:rsidRPr="00640820">
        <w:rPr>
          <w:rFonts w:ascii="Times New Roman" w:hAnsi="Times New Roman"/>
          <w:color w:val="000000" w:themeColor="text1"/>
          <w:sz w:val="16"/>
          <w:szCs w:val="16"/>
        </w:rPr>
        <w:softHyphen/>
        <w:t>лесах (6467).</w:t>
      </w:r>
    </w:p>
    <w:p w14:paraId="24FC31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A0438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Поздней осенью 1941 г. на вооружение "люфтваффе" стал поступать истребитель Bf 109F-4, оснащенный еще более форсированным двигателем DB 601E. Этот вариант "мессера" вооружался 20-мм пушкой и парой 7,92-мм пулеметов, что приблизительно уравняло его по мощи огня с "Яками", в то время как по скорости и вертикальной маневренности он превосходил их во всем диапазоне высот! (9020).</w:t>
      </w:r>
    </w:p>
    <w:p w14:paraId="0EFFD0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6F9C4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Поздней осенью 1941 г., несмотря на серьезный кризис Люфтваффе, в это время отдали жизни за Родину многие опытные советские летчики. Среди тех, кто пилотировал МиГ-3, отметим заместителя командира 28-го иап ст. лейтенанта Г.Ф. Монастырского, не вернувшегося из боевого вылета 29 октября, командира 274-го иап майора С.И. Крайнева, погибшего в бою 15 ноября, и старшего лейтенанта А.А. Дмитриева из 15-го иап, для которого роковой бой произошел двумя днями раньше. С большой долей уверенности можно утверждать, что последний оказался наиболее результативным пилотом МиГ-3, одержавшим за неполные пять месяцев войны 15 побед лично и две в группе, а также уничтожившим неприятельский аэростат. Перед безвременной смертью грудь летчика украшали ордена Ленина и Красного Знамени, а в небе он провел более 800 часов.</w:t>
      </w:r>
    </w:p>
    <w:p w14:paraId="36E8CB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штабе 8-й сад объясняли серьезную убыль личного состава и материальной части в 15-м иап тем, что приходилось выполнять задачи на малых высотах в плохих погодных условиях, при низкой облачности - это снижало маневренность МиГа. Кроме того, сильная изношенность машин заставляла авиаторов действовать осторожно, не позволяла "выжимать" максимум из боевой техники.</w:t>
      </w:r>
    </w:p>
    <w:p w14:paraId="1BC707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еще большей степени сказанное выше относилось к 41-му иап, усилившему в начале 1942 г. ВВС Волховского фронта. Вряд ли какая-либо другая часть могла поспорить с подчиненными подполковника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Ершова по степени освоения МиГов, ведь перевооружение 41-го иап на МиГ-1 началось с января 1941 г. Затем полк получил МиГ-3, а с начала февраля 1942 г. его ввели в состав 2-й РАГ полковника Е.Г. Туренко, поставив задачу поддержать наступления наземных войск, прежде всего 2-й ударной армии, на Мясной Бор и затем на Любань. Среди летного состава выделялись ст. лейтенанты И.Д. Чулков, проведший на 28 января 1942 г. 187 вылетов и одержавший одиннадцать побед лично и одну в группе, А.А. Липилин (128, пять и три, соответственно), а также Д.Г. Коробченко и П.А. Тихомиров, проведшие по семь результативных боев.</w:t>
      </w:r>
    </w:p>
    <w:p w14:paraId="3D64E8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данным старшего инженера полка, истребители МиГ-3 и установленные на них моторы были сильно изношены, многие машины нуждались в серьезном ремонте еще до вступления в бой! При перебазировании 41-го иап на Волховский фронт неприятные предчувствия оправдались. При промежуточной посадке на Калининском аэродроме у одного самолета двигатель отказал, машина выскочила за пределы полосы, скапотировала, в результате чего молодой летчик погиб. Базирование полка на аэродроме Гремячево сопровождалось все новыми летными происшествиями, прежде всего по причине плохого выравнивания и укатки площадки. За период с 2 по 6 февраля при 44 боевых вылетах документы зафиксировали пять случаев зарывания МиГов в снег - количество исправных истребителей заметно сократилось.</w:t>
      </w:r>
    </w:p>
    <w:p w14:paraId="6337DA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Наиболее тяжелую потерю 41-й иап понес 3 февраля - не вернулся с задания при выполнении 201 боевого вылета наиболее результативный летчик части старший лейтенант Чулков. На подбитом самолете он уходил в сторону Малой Вишеры, после чего скрылся из виду. По немецким данным, пара "охотников" обнаружила одинокий истребитель, за которым тянулся темный след копоти, и добила его. 4 марта 1942 г. Чулкову (посмертно) и Липилину присвоили звание Героя Советского Союза.</w:t>
      </w:r>
    </w:p>
    <w:p w14:paraId="70C836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рассматриваемый период небоевые потери заметно превосходили боевые. В большинстве случаев выход из строя МиГов происходил, преимущественно, из-за различных поломок или неисправностей. А 18 февраля 1942 г. инженер полка доложил, что моторесурс имевшихся АМ-35А практически полностью выработан.</w:t>
      </w:r>
    </w:p>
    <w:p w14:paraId="4BE2A0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Здесь же, на Волховском фронте, весной 1942 г. был произведен анализ летных происшествий при выполнении учебной и боевой работы авиации с 1 января по 15 марта. Из отчета главного инженера ВВС объединения следовало: за истекшее время отмечались 542 отказа или других происшествий по вине материальной части. Почти половина всех неприятных фактов (256 случаев) произошла из-за производственных дефектов самолетов или моторов; летный и технический состав оказались виновны в 132 происшествиях, а остальные были обусловлены конструктивными дефектами (12045).</w:t>
      </w:r>
    </w:p>
    <w:p w14:paraId="502346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4594688"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1FF3CA84"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6ACEE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декабрю 1941 г. основная масса авиамо</w:t>
      </w:r>
      <w:r w:rsidRPr="00640820">
        <w:rPr>
          <w:rFonts w:ascii="Times New Roman" w:hAnsi="Times New Roman"/>
          <w:color w:val="000000" w:themeColor="text1"/>
          <w:sz w:val="16"/>
          <w:szCs w:val="16"/>
        </w:rPr>
        <w:softHyphen/>
        <w:t>торных и самолётостроительных предприятий, эвакуирован</w:t>
      </w:r>
      <w:r w:rsidRPr="00640820">
        <w:rPr>
          <w:rFonts w:ascii="Times New Roman" w:hAnsi="Times New Roman"/>
          <w:color w:val="000000" w:themeColor="text1"/>
          <w:sz w:val="16"/>
          <w:szCs w:val="16"/>
        </w:rPr>
        <w:softHyphen/>
        <w:t>ных на восток, сумела перебросить на но</w:t>
      </w:r>
      <w:r w:rsidRPr="00640820">
        <w:rPr>
          <w:rFonts w:ascii="Times New Roman" w:hAnsi="Times New Roman"/>
          <w:color w:val="000000" w:themeColor="text1"/>
          <w:sz w:val="16"/>
          <w:szCs w:val="16"/>
        </w:rPr>
        <w:softHyphen/>
        <w:t>вые площадки основной комплекс оборудования, а в январе— феврале 1942 г.—завершила монтажно-строительные работы и возобновила авиавыпуск (Захарченко А.В. Формирование авиапромышленного комплекса в По</w:t>
      </w:r>
      <w:r w:rsidRPr="00640820">
        <w:rPr>
          <w:rFonts w:ascii="Times New Roman" w:hAnsi="Times New Roman"/>
          <w:color w:val="000000" w:themeColor="text1"/>
          <w:sz w:val="16"/>
          <w:szCs w:val="16"/>
        </w:rPr>
        <w:softHyphen/>
        <w:t>волжье накануне и в годы Великой Отечественной войны (1940—1942 гг.). Самара, 2004. С.15). На 25 декабря 1941 г. из отправ</w:t>
      </w:r>
      <w:r w:rsidRPr="00640820">
        <w:rPr>
          <w:rFonts w:ascii="Times New Roman" w:hAnsi="Times New Roman"/>
          <w:color w:val="000000" w:themeColor="text1"/>
          <w:sz w:val="16"/>
          <w:szCs w:val="16"/>
        </w:rPr>
        <w:softHyphen/>
        <w:t>ленных в эвакуацию 39 814 единиц оборудования 28 114 уже были смонтированы на новом месте, а 15 773 — введены в строй и давали продукцию. Из 180 существовавших к нача</w:t>
      </w:r>
      <w:r w:rsidRPr="00640820">
        <w:rPr>
          <w:rFonts w:ascii="Times New Roman" w:hAnsi="Times New Roman"/>
          <w:color w:val="000000" w:themeColor="text1"/>
          <w:sz w:val="16"/>
          <w:szCs w:val="16"/>
        </w:rPr>
        <w:softHyphen/>
        <w:t>лу войны предприятий авиастроения функционировали 125. Остальные были законсервированы, ликвидированы или сли</w:t>
      </w:r>
      <w:r w:rsidRPr="00640820">
        <w:rPr>
          <w:rFonts w:ascii="Times New Roman" w:hAnsi="Times New Roman"/>
          <w:color w:val="000000" w:themeColor="text1"/>
          <w:sz w:val="16"/>
          <w:szCs w:val="16"/>
        </w:rPr>
        <w:softHyphen/>
        <w:t>ты с другими заводами.</w:t>
      </w:r>
    </w:p>
    <w:p w14:paraId="133B79AB" w14:textId="77777777" w:rsidR="00165A9C" w:rsidRPr="00640820" w:rsidRDefault="00165A9C" w:rsidP="00640820">
      <w:pPr>
        <w:tabs>
          <w:tab w:val="left" w:pos="421"/>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 было эвакуировано 85 % авиапредприятий, а также большое количество смежных производств. С июля по де</w:t>
      </w:r>
      <w:r w:rsidRPr="00640820">
        <w:rPr>
          <w:rFonts w:ascii="Times New Roman" w:hAnsi="Times New Roman"/>
          <w:color w:val="000000" w:themeColor="text1"/>
          <w:sz w:val="16"/>
          <w:szCs w:val="16"/>
        </w:rPr>
        <w:softHyphen/>
        <w:t>кабрь 1941 г. в эвакуацию было направлено свыше 100 авиа</w:t>
      </w:r>
      <w:r w:rsidRPr="00640820">
        <w:rPr>
          <w:rFonts w:ascii="Times New Roman" w:hAnsi="Times New Roman"/>
          <w:color w:val="000000" w:themeColor="text1"/>
          <w:sz w:val="16"/>
          <w:szCs w:val="16"/>
        </w:rPr>
        <w:softHyphen/>
        <w:t>предприятий (Самолётостроение в СССР. 1917—1945. Кн. 2. М., 1994. С. 214). Некоторые из авиазаводов проводили в пути к новым местам дислокации до 4 месяцев. Размещение на но</w:t>
      </w:r>
      <w:r w:rsidRPr="00640820">
        <w:rPr>
          <w:rFonts w:ascii="Times New Roman" w:hAnsi="Times New Roman"/>
          <w:color w:val="000000" w:themeColor="text1"/>
          <w:sz w:val="16"/>
          <w:szCs w:val="16"/>
        </w:rPr>
        <w:softHyphen/>
        <w:t>вых площадях такого большого числа промышленных объ</w:t>
      </w:r>
      <w:r w:rsidRPr="00640820">
        <w:rPr>
          <w:rFonts w:ascii="Times New Roman" w:hAnsi="Times New Roman"/>
          <w:color w:val="000000" w:themeColor="text1"/>
          <w:sz w:val="16"/>
          <w:szCs w:val="16"/>
        </w:rPr>
        <w:softHyphen/>
        <w:t>ектов столкнулось с многочисленными трудностями. При размещении на новых производственных площадках пред</w:t>
      </w:r>
      <w:r w:rsidRPr="00640820">
        <w:rPr>
          <w:rFonts w:ascii="Times New Roman" w:hAnsi="Times New Roman"/>
          <w:color w:val="000000" w:themeColor="text1"/>
          <w:sz w:val="16"/>
          <w:szCs w:val="16"/>
        </w:rPr>
        <w:softHyphen/>
        <w:t>почтение отдавалось базовым предприятиям отрасли — са</w:t>
      </w:r>
      <w:r w:rsidRPr="00640820">
        <w:rPr>
          <w:rFonts w:ascii="Times New Roman" w:hAnsi="Times New Roman"/>
          <w:color w:val="000000" w:themeColor="text1"/>
          <w:sz w:val="16"/>
          <w:szCs w:val="16"/>
        </w:rPr>
        <w:softHyphen/>
        <w:t>молетостроительным и моторостроительным заводам. Со</w:t>
      </w:r>
      <w:r w:rsidRPr="00640820">
        <w:rPr>
          <w:rFonts w:ascii="Times New Roman" w:hAnsi="Times New Roman"/>
          <w:color w:val="000000" w:themeColor="text1"/>
          <w:sz w:val="16"/>
          <w:szCs w:val="16"/>
        </w:rPr>
        <w:softHyphen/>
        <w:t>ответственно, агрегатные, приборные и вспомогательные предприятия были вынуждены размещаться по остаточному принципу — в зданиях бывших клубов, театров, учебных заведений, предприятии пищевои и лёгкой промышленности. В отдельных случаях таким заводам приходилось обживать подземные туннели, а то и вовсе развёртываться под откры</w:t>
      </w:r>
      <w:r w:rsidRPr="00640820">
        <w:rPr>
          <w:rFonts w:ascii="Times New Roman" w:hAnsi="Times New Roman"/>
          <w:color w:val="000000" w:themeColor="text1"/>
          <w:sz w:val="16"/>
          <w:szCs w:val="16"/>
        </w:rPr>
        <w:softHyphen/>
        <w:t>тым небом (Самолётостроение в СССР. 1917—1945. Кн. 2. М., 1994. С. 216). Ввиду этого для организации размещения и нала</w:t>
      </w:r>
      <w:r w:rsidRPr="00640820">
        <w:rPr>
          <w:rFonts w:ascii="Times New Roman" w:hAnsi="Times New Roman"/>
          <w:color w:val="000000" w:themeColor="text1"/>
          <w:sz w:val="16"/>
          <w:szCs w:val="16"/>
        </w:rPr>
        <w:softHyphen/>
        <w:t>живания межзаводской кооперации между авиастроительны</w:t>
      </w:r>
      <w:r w:rsidRPr="00640820">
        <w:rPr>
          <w:rFonts w:ascii="Times New Roman" w:hAnsi="Times New Roman"/>
          <w:color w:val="000000" w:themeColor="text1"/>
          <w:sz w:val="16"/>
          <w:szCs w:val="16"/>
        </w:rPr>
        <w:softHyphen/>
        <w:t>ми, авиамоторными и авиаагрегатными заводами в восточной части страны был создан специальный межотраслевой главк, в обязанности которого было вменено в контакте и взаимо</w:t>
      </w:r>
      <w:r w:rsidRPr="00640820">
        <w:rPr>
          <w:rFonts w:ascii="Times New Roman" w:hAnsi="Times New Roman"/>
          <w:color w:val="000000" w:themeColor="text1"/>
          <w:sz w:val="16"/>
          <w:szCs w:val="16"/>
        </w:rPr>
        <w:softHyphen/>
        <w:t>действии с местными органами власти обеспечить снабжение комплекса авиапредприятий всем необходимым (РГАЭ. Ф. 4372. Оп. 93. Д. 313. Л. 155) (12011).</w:t>
      </w:r>
    </w:p>
    <w:p w14:paraId="6BB745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0FBAC2A"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0208CA29"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64046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декабрю 1941 года, когда Белое море сковало льдом, важнейшее стратегическое значение приобрел Мурманский порт. Первые союзные конвои прибывали в Архангельск. Мурманский порт начал разгрузку импорта с 20 декабря 1941 года, когда под разгрузку встал пароход "Декабрист", имея на борту примерно 7000 тонн импортного груза. 11 января 1942 года в Мурманск прибыл первый союзный караван в количестве 9 судов, в их числе пароходы "Рейхкоунд", "Анероид", "Эмпайэр Активитти", "Эмпайэр Рикчанд", "Эмпайэр Ховард", "Эмпайэр Халлей", советский пароход "Чернышевский". В январе Мурманский порт принял еще два каравана, в их составе были суда Мурманского пароходства "Старый большевик" и "Ижора".Порт начал обработку караванов в сложных условиях -большая часть ценного оборудования, портальные и плавучие краны были эвакуированы, не хватало кадровых рабочих, мобилизованных на фронт. В зимнюю навигацию 1941-1942 гг., длившуюся 5 с половиной месяцев, с окончанием интенсивных перевозок в июне, порт принял 113 судов, обработал 407385 тонн импортных и 41137 тонн экспортных грузов. Наибольшее количество судов приходило под английским, а также под американским флагами. Были суда под панамским, гондурасским, датским, польским флагами. С прибывших судов выгружали танки, станки, автомашины, военно-стратегическое сырье, продовольствие. За границу отправляли лес, апатит, магнетит, хром, воск, асбест, растительное масло, пушнину (11910).</w:t>
      </w:r>
    </w:p>
    <w:p w14:paraId="0AEF0A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1857130" w14:textId="220410E6" w:rsidR="00333A9C" w:rsidRPr="00640820" w:rsidRDefault="00333A9C" w:rsidP="00640820">
      <w:pPr>
        <w:autoSpaceDE w:val="0"/>
        <w:autoSpaceDN w:val="0"/>
        <w:adjustRightInd w:val="0"/>
        <w:spacing w:after="0" w:line="240" w:lineRule="auto"/>
        <w:jc w:val="both"/>
        <w:rPr>
          <w:rFonts w:ascii="Times New Roman" w:hAnsi="Times New Roman"/>
          <w:i/>
          <w:iCs/>
          <w:color w:val="000000" w:themeColor="text1"/>
          <w:sz w:val="16"/>
          <w:szCs w:val="16"/>
        </w:rPr>
      </w:pPr>
      <w:r w:rsidRPr="00640820">
        <w:rPr>
          <w:rFonts w:ascii="Times New Roman" w:hAnsi="Times New Roman"/>
          <w:i/>
          <w:iCs/>
          <w:color w:val="000000" w:themeColor="text1"/>
          <w:sz w:val="16"/>
          <w:szCs w:val="16"/>
        </w:rPr>
        <w:t>За рубежом:</w:t>
      </w:r>
    </w:p>
    <w:p w14:paraId="1DF82734" w14:textId="77777777" w:rsidR="00333A9C" w:rsidRPr="00640820" w:rsidRDefault="00333A9C" w:rsidP="00640820">
      <w:pPr>
        <w:autoSpaceDE w:val="0"/>
        <w:autoSpaceDN w:val="0"/>
        <w:adjustRightInd w:val="0"/>
        <w:spacing w:after="0" w:line="240" w:lineRule="auto"/>
        <w:jc w:val="both"/>
        <w:rPr>
          <w:rFonts w:ascii="Times New Roman" w:hAnsi="Times New Roman"/>
          <w:i/>
          <w:iCs/>
          <w:color w:val="000000" w:themeColor="text1"/>
          <w:sz w:val="16"/>
          <w:szCs w:val="16"/>
        </w:rPr>
      </w:pPr>
    </w:p>
    <w:p w14:paraId="11091290" w14:textId="77777777" w:rsidR="00333A9C" w:rsidRPr="00640820" w:rsidRDefault="00333A9C"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lastRenderedPageBreak/>
        <w:t>К началу декабря 1941 Флот имел полсотни G4M1 из общего числа 180 построенных «рикко». Еще 11 января 1941 года они были объединены в 11-й Воздушный Флот (коку кантай) для ведения стратегических операций (22842).</w:t>
      </w:r>
    </w:p>
    <w:p w14:paraId="2419CAF9" w14:textId="77777777" w:rsidR="00333A9C" w:rsidRPr="00640820" w:rsidRDefault="00333A9C" w:rsidP="00640820">
      <w:pPr>
        <w:spacing w:after="0" w:line="240" w:lineRule="auto"/>
        <w:jc w:val="both"/>
        <w:rPr>
          <w:rFonts w:ascii="Times New Roman" w:hAnsi="Times New Roman"/>
          <w:color w:val="0070C0"/>
          <w:sz w:val="16"/>
          <w:szCs w:val="16"/>
        </w:rPr>
      </w:pPr>
    </w:p>
    <w:p w14:paraId="0F71191A" w14:textId="6754095D"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00DCB1D2"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D9E81AF" w14:textId="77777777" w:rsidR="00B51DAF" w:rsidRPr="00640820" w:rsidRDefault="00B51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декабря 1941 г. Приказ № 66с по Наркомату танковой промышленности СССР о развертывании работы по изготовлению корпусов, бронеспинок и бронедеталей самолета Ил-2 на Куйбышевском заводе.</w:t>
      </w:r>
    </w:p>
    <w:p w14:paraId="34E1D97D" w14:textId="77777777" w:rsidR="00B51DAF" w:rsidRPr="00640820" w:rsidRDefault="00B51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Подлинник (рассекречено).</w:t>
      </w:r>
    </w:p>
    <w:p w14:paraId="57615741" w14:textId="77777777" w:rsidR="00B51DAF" w:rsidRPr="00640820" w:rsidRDefault="00B51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РГАЭ ф. 8752, оп. 4, д. 6, л. 68 (18959).</w:t>
      </w:r>
    </w:p>
    <w:p w14:paraId="4C5D3BB5" w14:textId="77777777" w:rsidR="00B51DAF" w:rsidRPr="00640820" w:rsidRDefault="00B51DAF" w:rsidP="00640820">
      <w:pPr>
        <w:spacing w:after="0" w:line="240" w:lineRule="auto"/>
        <w:jc w:val="both"/>
        <w:rPr>
          <w:rFonts w:ascii="Times New Roman" w:hAnsi="Times New Roman"/>
          <w:color w:val="000000" w:themeColor="text1"/>
          <w:sz w:val="16"/>
          <w:szCs w:val="16"/>
        </w:rPr>
      </w:pPr>
    </w:p>
    <w:p w14:paraId="7C2299C9" w14:textId="77777777" w:rsidR="006A6BE8" w:rsidRPr="00640820" w:rsidRDefault="006A6BE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 декабря 1941 г.Из приказа по Наркомату танковой промышленности СССР</w:t>
      </w:r>
    </w:p>
    <w:p w14:paraId="56729B7F" w14:textId="77777777" w:rsidR="006A6BE8" w:rsidRPr="00640820" w:rsidRDefault="006A6BE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О восстановлении эвакуированных заводов и организации производства бронекорпусов для самолета Ил-2</w:t>
      </w:r>
    </w:p>
    <w:p w14:paraId="05C42B23" w14:textId="77777777" w:rsidR="006A6BE8" w:rsidRPr="00640820" w:rsidRDefault="006A6BE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г. Челябинск</w:t>
      </w:r>
      <w:r w:rsidRPr="00640820">
        <w:rPr>
          <w:rFonts w:ascii="Times New Roman" w:hAnsi="Times New Roman"/>
          <w:color w:val="0070C0"/>
          <w:sz w:val="16"/>
          <w:szCs w:val="16"/>
        </w:rPr>
        <w:tab/>
        <w:t>1 декабря 1941 г.</w:t>
      </w:r>
    </w:p>
    <w:p w14:paraId="51B78294" w14:textId="77777777" w:rsidR="006A6BE8" w:rsidRPr="00640820" w:rsidRDefault="006A6BE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Сов.секретно</w:t>
      </w:r>
    </w:p>
    <w:p w14:paraId="08194FB2" w14:textId="77777777" w:rsidR="006A6BE8" w:rsidRPr="00640820" w:rsidRDefault="006A6BE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Во исполнение постановления Государственного Комитета Обороны от 21 ноября 1941 года “О восстановлении эвакуированных заводов-поставщиков авиационной промышленности” и в целях обеспечения бесперебойного снабжения заводов Наркомавиапрома материалами и кооперированными изделиями, ПРИКАЗЫВАЮ:</w:t>
      </w:r>
    </w:p>
    <w:p w14:paraId="4E1310AB" w14:textId="77777777" w:rsidR="006A6BE8" w:rsidRPr="00640820" w:rsidRDefault="006A6BE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3. Директору Куйбышевского механического завода тов. Каневскому, наряду с организацией производства корпусов для танков, организовать также производство бронекорпусов Ил-2, эвакуированное в г. Куйбышев с Подольского завода им. Орджоникидзе, и бронеспинок, бронедеталей для всех типов самолетов, доведя мощность Куйбышевского механического завода по изготовлению бронекорпусов Ил-2 к 1 февраля 1942 г. до 700 штук в месяц, а по выпуску бронеспинок и бронедеталей до 1700 комплектов в месяц.</w:t>
      </w:r>
    </w:p>
    <w:p w14:paraId="4C734204" w14:textId="77777777" w:rsidR="006A6BE8" w:rsidRPr="00640820" w:rsidRDefault="006A6BE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4. Предупредить директоров заводов: ...Куйбышевского - тов. - Каневского.., выполняющих заказы и производящих поставки заводам авиационной промышленности, что они лично отвечают за восстановление в кратчайшие сроки эвакуированных заводов и бесперебойное снабжение, и установить, что выполнение заказов Наркомавиапрома должно производиться наравне с заказами по танкам и боеприпасам...</w:t>
      </w:r>
    </w:p>
    <w:p w14:paraId="7CB881BF" w14:textId="77777777" w:rsidR="006A6BE8" w:rsidRPr="00640820" w:rsidRDefault="006A6BE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Зам. Народного Комиссара танковой промышленности Союза ССР Зальцман</w:t>
      </w:r>
    </w:p>
    <w:p w14:paraId="4D56649D" w14:textId="77777777" w:rsidR="006A6BE8" w:rsidRPr="00640820" w:rsidRDefault="006A6BE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ГАСО</w:t>
      </w:r>
      <w:r w:rsidRPr="00640820">
        <w:rPr>
          <w:rFonts w:ascii="Times New Roman" w:hAnsi="Times New Roman"/>
          <w:color w:val="0070C0"/>
          <w:sz w:val="16"/>
          <w:szCs w:val="16"/>
          <w:lang w:val="en-US"/>
        </w:rPr>
        <w:t xml:space="preserve">. </w:t>
      </w:r>
      <w:r w:rsidRPr="00640820">
        <w:rPr>
          <w:rFonts w:ascii="Times New Roman" w:hAnsi="Times New Roman"/>
          <w:color w:val="0070C0"/>
          <w:sz w:val="16"/>
          <w:szCs w:val="16"/>
        </w:rPr>
        <w:t>Ф</w:t>
      </w:r>
      <w:r w:rsidRPr="00640820">
        <w:rPr>
          <w:rFonts w:ascii="Times New Roman" w:hAnsi="Times New Roman"/>
          <w:color w:val="0070C0"/>
          <w:sz w:val="16"/>
          <w:szCs w:val="16"/>
          <w:lang w:val="en-US"/>
        </w:rPr>
        <w:t xml:space="preserve">. P-4131. On. 3. </w:t>
      </w:r>
      <w:r w:rsidRPr="00640820">
        <w:rPr>
          <w:rFonts w:ascii="Times New Roman" w:hAnsi="Times New Roman"/>
          <w:color w:val="0070C0"/>
          <w:sz w:val="16"/>
          <w:szCs w:val="16"/>
        </w:rPr>
        <w:t>Д</w:t>
      </w:r>
      <w:r w:rsidRPr="00640820">
        <w:rPr>
          <w:rFonts w:ascii="Times New Roman" w:hAnsi="Times New Roman"/>
          <w:color w:val="0070C0"/>
          <w:sz w:val="16"/>
          <w:szCs w:val="16"/>
          <w:lang w:val="en-US"/>
        </w:rPr>
        <w:t xml:space="preserve">. 2. </w:t>
      </w:r>
      <w:r w:rsidRPr="00640820">
        <w:rPr>
          <w:rFonts w:ascii="Times New Roman" w:hAnsi="Times New Roman"/>
          <w:color w:val="0070C0"/>
          <w:sz w:val="16"/>
          <w:szCs w:val="16"/>
        </w:rPr>
        <w:t>Л</w:t>
      </w:r>
      <w:r w:rsidRPr="00640820">
        <w:rPr>
          <w:rFonts w:ascii="Times New Roman" w:hAnsi="Times New Roman"/>
          <w:color w:val="0070C0"/>
          <w:sz w:val="16"/>
          <w:szCs w:val="16"/>
          <w:lang w:val="en-US"/>
        </w:rPr>
        <w:t xml:space="preserve">. 1, 2. </w:t>
      </w:r>
      <w:r w:rsidRPr="00640820">
        <w:rPr>
          <w:rFonts w:ascii="Times New Roman" w:hAnsi="Times New Roman"/>
          <w:color w:val="0070C0"/>
          <w:sz w:val="16"/>
          <w:szCs w:val="16"/>
        </w:rPr>
        <w:t>Завер. Копия (21196).</w:t>
      </w:r>
    </w:p>
    <w:p w14:paraId="065EA7FE" w14:textId="77777777" w:rsidR="006A6BE8" w:rsidRPr="00640820" w:rsidRDefault="006A6BE8" w:rsidP="00640820">
      <w:pPr>
        <w:spacing w:after="0" w:line="240" w:lineRule="auto"/>
        <w:jc w:val="both"/>
        <w:rPr>
          <w:rFonts w:ascii="Times New Roman" w:hAnsi="Times New Roman"/>
          <w:color w:val="0070C0"/>
          <w:sz w:val="16"/>
          <w:szCs w:val="16"/>
        </w:rPr>
      </w:pPr>
    </w:p>
    <w:p w14:paraId="73A260CB" w14:textId="77777777" w:rsidR="006A6BE8" w:rsidRPr="00640820" w:rsidRDefault="006A6BE8"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декабря 1941 года вышел приказ № 66с НКТП Челябинск</w:t>
      </w:r>
    </w:p>
    <w:p w14:paraId="37683A6B" w14:textId="77777777" w:rsidR="006A6BE8" w:rsidRPr="00640820" w:rsidRDefault="006A6BE8"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решением ГКО от 21 ноября 1941 года:</w:t>
      </w:r>
    </w:p>
    <w:p w14:paraId="3495D94A" w14:textId="77777777" w:rsidR="006A6BE8" w:rsidRPr="00640820" w:rsidRDefault="006A6BE8"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Директору Куйбышевского завода (бывш. Особстроя НКВД) немедленно развернуть работы по подготовке производства корпусов ИЛ-2, бронеспинок и бронедеталей, эвакуированного Подольского завода им. Орджоникидзе.</w:t>
      </w:r>
    </w:p>
    <w:p w14:paraId="73BDAB1F" w14:textId="77777777" w:rsidR="006A6BE8" w:rsidRPr="00640820" w:rsidRDefault="006A6BE8"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Обеспечить выпуск корпусов ИЛ-2 к 1 февраля 1942 года до 700 в месяц, бронеспинок и бронедеталей до 1700 комплектов в месяц (6042, 68).</w:t>
      </w:r>
    </w:p>
    <w:p w14:paraId="4E5AA9CA" w14:textId="77777777" w:rsidR="006A6BE8" w:rsidRPr="00640820" w:rsidRDefault="006A6BE8"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C85DE1"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color w:val="000000" w:themeColor="text1"/>
          <w:sz w:val="16"/>
          <w:szCs w:val="16"/>
        </w:rPr>
        <w:t>1 декабря 1941 г. вышел приказ НКАП, в соответствии с которым самолеты ДБ-3Ф стали оснащать подвесными топливными баками. Баки общей емкостью 700 л подвешивались к внешним бомбодержателям, и вместимость топливной системы ДБ-3Ф увеличилась на 525 кг. Летные данные самолета несколько снизились, но максимальная дальность полета стала равной 3800 км. Испытания самолета с подвесными баками проводил фронтовой летчик Герой Советского Союза А.И.М</w:t>
      </w:r>
    </w:p>
    <w:p w14:paraId="34C65363"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779BD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декабря 1941 вышел приказ НКАП N 1154сс "О дальней и тяжелой бомбардировочной авиации" (1331,56).</w:t>
      </w:r>
    </w:p>
    <w:p w14:paraId="547539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исполнение постановления ГКО N 977сс от 30 ноября 1941:</w:t>
      </w:r>
    </w:p>
    <w:p w14:paraId="302E8D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Директору завода 124 Окулову:</w:t>
      </w:r>
    </w:p>
    <w:p w14:paraId="04E50A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переделать 8 самолетов ТБ-7 под моторы АМ-35А к 1 января 1942</w:t>
      </w:r>
    </w:p>
    <w:p w14:paraId="61C169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сдать новых 7 самолетов ТБ-7 с моторами АМ-35А к 1 февраля 1942, из них 5 самолетов к 25 января 1942</w:t>
      </w:r>
    </w:p>
    <w:p w14:paraId="53E611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 всех самолетах ТБ-7 установить: автопилоты, приборы Ночь-1, альфометры, антиобледенители на винт.</w:t>
      </w:r>
    </w:p>
    <w:p w14:paraId="3C486E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на 7 новых самолетах ТБ-7 установить дополнительные антиобледенители на стекла и кромки крыльев</w:t>
      </w:r>
    </w:p>
    <w:p w14:paraId="41D46E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Начальнику ремонтного отдела НКАП Ленкину обеспечить проводку к подвесным бакам на 20 самолетах ДБ-3Ф к 15 декабря 1941 (1331,56).</w:t>
      </w:r>
    </w:p>
    <w:p w14:paraId="0DAFC1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A978CF4" w14:textId="77777777" w:rsidR="00EE3BEC" w:rsidRPr="00640820" w:rsidRDefault="00EE3BEC" w:rsidP="00640820">
      <w:pPr>
        <w:pStyle w:val="book"/>
        <w:ind w:firstLine="0"/>
        <w:jc w:val="both"/>
        <w:rPr>
          <w:color w:val="000000" w:themeColor="text1"/>
          <w:sz w:val="16"/>
          <w:szCs w:val="16"/>
        </w:rPr>
      </w:pPr>
      <w:r w:rsidRPr="00640820">
        <w:rPr>
          <w:color w:val="000000" w:themeColor="text1"/>
          <w:sz w:val="16"/>
          <w:szCs w:val="16"/>
        </w:rPr>
        <w:t xml:space="preserve">На 1 декабря 1941 НКЛ СССР изготовил лишь 94 аэросаней (выпущены заводом №41), а остальные заводы не смогли поставить ни одной машины. Новым постановлением ГКО от4 декабря 1941 г. НКЛ СССР на декабрь был установлен план выпуска – 700 аэросаней (завод №41 – 200, фабрика «Красный Октябрь» – 130, Ивановский комбинат – 70, завод им. Куйбышева – 100, завод им. Ермана – 150 и </w:t>
      </w:r>
      <w:r w:rsidRPr="00640820">
        <w:rPr>
          <w:rStyle w:val="highlight"/>
          <w:color w:val="000000" w:themeColor="text1"/>
          <w:sz w:val="16"/>
          <w:szCs w:val="16"/>
        </w:rPr>
        <w:t> Бекетовский  комбинат </w:t>
      </w:r>
      <w:r w:rsidRPr="00640820">
        <w:rPr>
          <w:color w:val="000000" w:themeColor="text1"/>
          <w:sz w:val="16"/>
          <w:szCs w:val="16"/>
        </w:rPr>
        <w:t xml:space="preserve"> – 50). Фактически же за декабрь 1941 г. заводы №41, им. Куйбышева и им. Ермана изготовили только 67 аэросаней (15468).</w:t>
      </w:r>
    </w:p>
    <w:p w14:paraId="13072849" w14:textId="77777777" w:rsidR="00EE3BEC" w:rsidRPr="00640820" w:rsidRDefault="00EE3BEC" w:rsidP="00640820">
      <w:pPr>
        <w:pStyle w:val="book"/>
        <w:ind w:firstLine="0"/>
        <w:jc w:val="both"/>
        <w:rPr>
          <w:color w:val="000000" w:themeColor="text1"/>
          <w:sz w:val="16"/>
          <w:szCs w:val="16"/>
        </w:rPr>
      </w:pPr>
      <w:r w:rsidRPr="00640820">
        <w:rPr>
          <w:color w:val="000000" w:themeColor="text1"/>
          <w:sz w:val="16"/>
          <w:szCs w:val="16"/>
        </w:rPr>
        <w:t>О причинах невыполнения постановления ГКО писал заместитель наркома НКВД Кобулов: «Поданным НКВД СССР НКСП и НКЛ не выполняют постановлений ГКО №51бсс от августа 1941 г. и №993сс от декабря 1941 г. о сборке и поставке АБТУ КА аэросаней НКЛ-16. Предприятия этих наркоматов должны поставить в 1941 г. 1600 боевых аэросаней, однако на 15 декабря 1941 г. сдано только 109 учебных аэросаней.</w:t>
      </w:r>
    </w:p>
    <w:p w14:paraId="14A1427A" w14:textId="77777777" w:rsidR="00EE3BEC" w:rsidRPr="00640820" w:rsidRDefault="00EE3BEC" w:rsidP="00640820">
      <w:pPr>
        <w:pStyle w:val="book"/>
        <w:ind w:firstLine="0"/>
        <w:jc w:val="both"/>
        <w:rPr>
          <w:color w:val="000000" w:themeColor="text1"/>
          <w:sz w:val="16"/>
          <w:szCs w:val="16"/>
        </w:rPr>
      </w:pPr>
      <w:r w:rsidRPr="00640820">
        <w:rPr>
          <w:color w:val="000000" w:themeColor="text1"/>
          <w:sz w:val="16"/>
          <w:szCs w:val="16"/>
        </w:rPr>
        <w:t>Наркоматы Черной и Цветной металлургии, химической, текстильной, пищевой, резиновой, танковой и автомобильной промышленности, среднего и тяжелого машиностроения, промстройматериалов в свою очередь срывают выполнение распоряжения СНК №9186рс от 30 августа 1941 г. и 11873рс от 12 октября 1941г. о поставке деталей и механизмов заводам НКСП и НКЛ, производящим аэросани.</w:t>
      </w:r>
    </w:p>
    <w:p w14:paraId="09800084" w14:textId="77777777" w:rsidR="00EE3BEC" w:rsidRPr="00640820" w:rsidRDefault="00EE3BEC" w:rsidP="00640820">
      <w:pPr>
        <w:pStyle w:val="book"/>
        <w:ind w:firstLine="0"/>
        <w:jc w:val="both"/>
        <w:rPr>
          <w:color w:val="000000" w:themeColor="text1"/>
          <w:sz w:val="16"/>
          <w:szCs w:val="16"/>
        </w:rPr>
      </w:pPr>
      <w:r w:rsidRPr="00640820">
        <w:rPr>
          <w:color w:val="000000" w:themeColor="text1"/>
          <w:sz w:val="16"/>
          <w:szCs w:val="16"/>
        </w:rPr>
        <w:t>НКАП из 300 толкающих винтов №257 не поставил НКСП ни одного, а НКЛ из 3200 только 104.</w:t>
      </w:r>
    </w:p>
    <w:p w14:paraId="0EA0724A" w14:textId="77777777" w:rsidR="00EE3BEC" w:rsidRPr="00640820" w:rsidRDefault="00EE3BEC" w:rsidP="00640820">
      <w:pPr>
        <w:pStyle w:val="book"/>
        <w:ind w:firstLine="0"/>
        <w:jc w:val="both"/>
        <w:rPr>
          <w:color w:val="000000" w:themeColor="text1"/>
          <w:sz w:val="16"/>
          <w:szCs w:val="16"/>
        </w:rPr>
      </w:pPr>
      <w:r w:rsidRPr="00640820">
        <w:rPr>
          <w:color w:val="000000" w:themeColor="text1"/>
          <w:sz w:val="16"/>
          <w:szCs w:val="16"/>
        </w:rPr>
        <w:t>НКСМ из 300 комплектов электрооборудования не поставил НКСП ни одного. Заводы «АТЭ-1» и «ЗЭМ» НКСМ эвакуированы из Москвы и до настоящего времени не восстановлены.</w:t>
      </w:r>
    </w:p>
    <w:p w14:paraId="3C4D4C69" w14:textId="77777777" w:rsidR="00EE3BEC" w:rsidRPr="00640820" w:rsidRDefault="00EE3BEC" w:rsidP="00640820">
      <w:pPr>
        <w:pStyle w:val="book"/>
        <w:ind w:firstLine="0"/>
        <w:jc w:val="both"/>
        <w:rPr>
          <w:color w:val="000000" w:themeColor="text1"/>
          <w:sz w:val="16"/>
          <w:szCs w:val="16"/>
        </w:rPr>
      </w:pPr>
      <w:r w:rsidRPr="00640820">
        <w:rPr>
          <w:color w:val="000000" w:themeColor="text1"/>
          <w:sz w:val="16"/>
          <w:szCs w:val="16"/>
        </w:rPr>
        <w:t>Мастерские ГВФ из 300 моторов М-11 поставили НКСП только 43, а НКЛ из 1650 только 139.</w:t>
      </w:r>
    </w:p>
    <w:p w14:paraId="7C793594" w14:textId="77777777" w:rsidR="00EE3BEC" w:rsidRPr="00640820" w:rsidRDefault="00EE3BEC" w:rsidP="00640820">
      <w:pPr>
        <w:pStyle w:val="book"/>
        <w:ind w:firstLine="0"/>
        <w:jc w:val="both"/>
        <w:rPr>
          <w:color w:val="000000" w:themeColor="text1"/>
          <w:sz w:val="16"/>
          <w:szCs w:val="16"/>
        </w:rPr>
      </w:pPr>
      <w:r w:rsidRPr="00640820">
        <w:rPr>
          <w:color w:val="000000" w:themeColor="text1"/>
          <w:sz w:val="16"/>
          <w:szCs w:val="16"/>
        </w:rPr>
        <w:t>Наркомтяжмаш поставок деталей совершенно не производил».</w:t>
      </w:r>
    </w:p>
    <w:p w14:paraId="51095C03" w14:textId="77777777" w:rsidR="00EE3BEC" w:rsidRPr="00640820" w:rsidRDefault="00EE3BEC" w:rsidP="00640820">
      <w:pPr>
        <w:pStyle w:val="book"/>
        <w:ind w:firstLine="0"/>
        <w:jc w:val="both"/>
        <w:rPr>
          <w:color w:val="000000" w:themeColor="text1"/>
          <w:sz w:val="16"/>
          <w:szCs w:val="16"/>
        </w:rPr>
      </w:pPr>
      <w:r w:rsidRPr="00640820">
        <w:rPr>
          <w:color w:val="000000" w:themeColor="text1"/>
          <w:sz w:val="16"/>
          <w:szCs w:val="16"/>
        </w:rPr>
        <w:t>Подобная картина наблюдалась практически на всех мобилизованных заводах. Предприятия наркомата (кроме завода №41) не обладали достаточным опытом выпуска конструктивно сложных изделий и не были оснащены необходимым оборудованием. Имелся некомплект кадров, усугубившийся с мобилизацией в армию сотрудников-мужчин (15468).</w:t>
      </w:r>
    </w:p>
    <w:p w14:paraId="6F1BB2A2"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Выпуск аэросаней заводами НКЛ за период 1941—1945 гг.</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453"/>
        <w:gridCol w:w="790"/>
        <w:gridCol w:w="1398"/>
        <w:gridCol w:w="1516"/>
        <w:gridCol w:w="1220"/>
        <w:gridCol w:w="790"/>
        <w:gridCol w:w="1750"/>
        <w:gridCol w:w="1411"/>
      </w:tblGrid>
      <w:tr w:rsidR="00643896" w:rsidRPr="00640820" w14:paraId="58422280" w14:textId="77777777" w:rsidTr="0087788A">
        <w:trPr>
          <w:tblCellSpacing w:w="15" w:type="dxa"/>
        </w:trPr>
        <w:tc>
          <w:tcPr>
            <w:tcW w:w="0" w:type="auto"/>
            <w:vAlign w:val="center"/>
            <w:hideMark/>
          </w:tcPr>
          <w:p w14:paraId="14A0DF00"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w:t>
            </w:r>
          </w:p>
        </w:tc>
        <w:tc>
          <w:tcPr>
            <w:tcW w:w="0" w:type="auto"/>
            <w:vAlign w:val="center"/>
            <w:hideMark/>
          </w:tcPr>
          <w:p w14:paraId="7A97B712"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№41</w:t>
            </w:r>
          </w:p>
        </w:tc>
        <w:tc>
          <w:tcPr>
            <w:tcW w:w="0" w:type="auto"/>
            <w:vAlign w:val="center"/>
            <w:hideMark/>
          </w:tcPr>
          <w:p w14:paraId="295736F6"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«Красный Октябрь»</w:t>
            </w:r>
          </w:p>
        </w:tc>
        <w:tc>
          <w:tcPr>
            <w:tcW w:w="0" w:type="auto"/>
            <w:vAlign w:val="center"/>
            <w:hideMark/>
          </w:tcPr>
          <w:p w14:paraId="11E433F1"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 Куйбышева</w:t>
            </w:r>
          </w:p>
        </w:tc>
        <w:tc>
          <w:tcPr>
            <w:tcW w:w="0" w:type="auto"/>
            <w:vAlign w:val="center"/>
            <w:hideMark/>
          </w:tcPr>
          <w:p w14:paraId="7AA95D58"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 Ермана</w:t>
            </w:r>
          </w:p>
        </w:tc>
        <w:tc>
          <w:tcPr>
            <w:tcW w:w="0" w:type="auto"/>
            <w:vAlign w:val="center"/>
            <w:hideMark/>
          </w:tcPr>
          <w:p w14:paraId="4E6EED08"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№43</w:t>
            </w:r>
          </w:p>
        </w:tc>
        <w:tc>
          <w:tcPr>
            <w:tcW w:w="0" w:type="auto"/>
            <w:vAlign w:val="center"/>
            <w:hideMark/>
          </w:tcPr>
          <w:p w14:paraId="108833AF"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Style w:val="highlight"/>
                <w:rFonts w:ascii="Times New Roman" w:hAnsi="Times New Roman"/>
                <w:color w:val="000000" w:themeColor="text1"/>
                <w:sz w:val="16"/>
                <w:szCs w:val="16"/>
              </w:rPr>
              <w:t> Бекетовский  комбинат </w:t>
            </w:r>
          </w:p>
        </w:tc>
        <w:tc>
          <w:tcPr>
            <w:tcW w:w="0" w:type="auto"/>
            <w:vAlign w:val="center"/>
            <w:hideMark/>
          </w:tcPr>
          <w:p w14:paraId="54338A01"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Итого по наркомату</w:t>
            </w:r>
          </w:p>
        </w:tc>
      </w:tr>
      <w:tr w:rsidR="00643896" w:rsidRPr="00640820" w14:paraId="4877DA1F" w14:textId="77777777" w:rsidTr="0087788A">
        <w:trPr>
          <w:tblCellSpacing w:w="15" w:type="dxa"/>
        </w:trPr>
        <w:tc>
          <w:tcPr>
            <w:tcW w:w="0" w:type="auto"/>
            <w:vAlign w:val="center"/>
            <w:hideMark/>
          </w:tcPr>
          <w:p w14:paraId="7C32760B"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 выпуска на 1941 г.</w:t>
            </w:r>
          </w:p>
        </w:tc>
        <w:tc>
          <w:tcPr>
            <w:tcW w:w="0" w:type="auto"/>
            <w:vAlign w:val="center"/>
            <w:hideMark/>
          </w:tcPr>
          <w:p w14:paraId="36E77344"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400</w:t>
            </w:r>
          </w:p>
        </w:tc>
        <w:tc>
          <w:tcPr>
            <w:tcW w:w="0" w:type="auto"/>
            <w:vAlign w:val="center"/>
            <w:hideMark/>
          </w:tcPr>
          <w:p w14:paraId="683DC780"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w:t>
            </w:r>
          </w:p>
        </w:tc>
        <w:tc>
          <w:tcPr>
            <w:tcW w:w="0" w:type="auto"/>
            <w:vAlign w:val="center"/>
            <w:hideMark/>
          </w:tcPr>
          <w:p w14:paraId="251B6480"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175</w:t>
            </w:r>
          </w:p>
        </w:tc>
        <w:tc>
          <w:tcPr>
            <w:tcW w:w="0" w:type="auto"/>
            <w:vAlign w:val="center"/>
            <w:hideMark/>
          </w:tcPr>
          <w:p w14:paraId="26EB44AA"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220</w:t>
            </w:r>
          </w:p>
        </w:tc>
        <w:tc>
          <w:tcPr>
            <w:tcW w:w="0" w:type="auto"/>
            <w:vAlign w:val="center"/>
            <w:hideMark/>
          </w:tcPr>
          <w:p w14:paraId="2AB5F025"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w:t>
            </w:r>
          </w:p>
        </w:tc>
        <w:tc>
          <w:tcPr>
            <w:tcW w:w="0" w:type="auto"/>
            <w:vAlign w:val="center"/>
            <w:hideMark/>
          </w:tcPr>
          <w:p w14:paraId="20CA92BC"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180</w:t>
            </w:r>
          </w:p>
        </w:tc>
        <w:tc>
          <w:tcPr>
            <w:tcW w:w="0" w:type="auto"/>
            <w:vAlign w:val="center"/>
            <w:hideMark/>
          </w:tcPr>
          <w:p w14:paraId="166C013A"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1475</w:t>
            </w:r>
          </w:p>
        </w:tc>
      </w:tr>
      <w:tr w:rsidR="00643896" w:rsidRPr="00640820" w14:paraId="4324F1F8" w14:textId="77777777" w:rsidTr="0087788A">
        <w:trPr>
          <w:tblCellSpacing w:w="15" w:type="dxa"/>
        </w:trPr>
        <w:tc>
          <w:tcPr>
            <w:tcW w:w="0" w:type="auto"/>
            <w:vAlign w:val="center"/>
            <w:hideMark/>
          </w:tcPr>
          <w:p w14:paraId="38F7BF1D"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Принято военной приемкой в 1941 г.</w:t>
            </w:r>
          </w:p>
        </w:tc>
        <w:tc>
          <w:tcPr>
            <w:tcW w:w="0" w:type="auto"/>
            <w:vAlign w:val="center"/>
            <w:hideMark/>
          </w:tcPr>
          <w:p w14:paraId="136B8BF0"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113</w:t>
            </w:r>
          </w:p>
        </w:tc>
        <w:tc>
          <w:tcPr>
            <w:tcW w:w="0" w:type="auto"/>
            <w:vAlign w:val="center"/>
            <w:hideMark/>
          </w:tcPr>
          <w:p w14:paraId="1FE425D8"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w:t>
            </w:r>
          </w:p>
        </w:tc>
        <w:tc>
          <w:tcPr>
            <w:tcW w:w="0" w:type="auto"/>
            <w:vAlign w:val="center"/>
            <w:hideMark/>
          </w:tcPr>
          <w:p w14:paraId="0E8C9707"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w:t>
            </w:r>
          </w:p>
        </w:tc>
        <w:tc>
          <w:tcPr>
            <w:tcW w:w="0" w:type="auto"/>
            <w:vAlign w:val="center"/>
            <w:hideMark/>
          </w:tcPr>
          <w:p w14:paraId="428AACED"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c>
          <w:tcPr>
            <w:tcW w:w="0" w:type="auto"/>
            <w:vAlign w:val="center"/>
            <w:hideMark/>
          </w:tcPr>
          <w:p w14:paraId="5D18E194"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0" w:type="auto"/>
            <w:vAlign w:val="center"/>
            <w:hideMark/>
          </w:tcPr>
          <w:p w14:paraId="1E92D0AC"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0" w:type="auto"/>
            <w:vAlign w:val="center"/>
            <w:hideMark/>
          </w:tcPr>
          <w:p w14:paraId="015C0B2A"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155</w:t>
            </w:r>
          </w:p>
        </w:tc>
      </w:tr>
      <w:tr w:rsidR="00643896" w:rsidRPr="00640820" w14:paraId="57908C39" w14:textId="77777777" w:rsidTr="0087788A">
        <w:trPr>
          <w:tblCellSpacing w:w="15" w:type="dxa"/>
        </w:trPr>
        <w:tc>
          <w:tcPr>
            <w:tcW w:w="0" w:type="auto"/>
            <w:vAlign w:val="center"/>
            <w:hideMark/>
          </w:tcPr>
          <w:p w14:paraId="7B639B45"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 выпуска на 1942 г.</w:t>
            </w:r>
          </w:p>
        </w:tc>
        <w:tc>
          <w:tcPr>
            <w:tcW w:w="0" w:type="auto"/>
            <w:vAlign w:val="center"/>
            <w:hideMark/>
          </w:tcPr>
          <w:p w14:paraId="3748AC1D"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290</w:t>
            </w:r>
          </w:p>
        </w:tc>
        <w:tc>
          <w:tcPr>
            <w:tcW w:w="0" w:type="auto"/>
            <w:vAlign w:val="center"/>
            <w:hideMark/>
          </w:tcPr>
          <w:p w14:paraId="79FFACB9"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140</w:t>
            </w:r>
          </w:p>
        </w:tc>
        <w:tc>
          <w:tcPr>
            <w:tcW w:w="0" w:type="auto"/>
            <w:vAlign w:val="center"/>
            <w:hideMark/>
          </w:tcPr>
          <w:p w14:paraId="60922D64"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w:t>
            </w:r>
          </w:p>
        </w:tc>
        <w:tc>
          <w:tcPr>
            <w:tcW w:w="0" w:type="auto"/>
            <w:vAlign w:val="center"/>
            <w:hideMark/>
          </w:tcPr>
          <w:p w14:paraId="62E43CA7"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w:t>
            </w:r>
          </w:p>
        </w:tc>
        <w:tc>
          <w:tcPr>
            <w:tcW w:w="0" w:type="auto"/>
            <w:vAlign w:val="center"/>
            <w:hideMark/>
          </w:tcPr>
          <w:p w14:paraId="68F7BF03"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120</w:t>
            </w:r>
          </w:p>
        </w:tc>
        <w:tc>
          <w:tcPr>
            <w:tcW w:w="0" w:type="auto"/>
            <w:vAlign w:val="center"/>
            <w:hideMark/>
          </w:tcPr>
          <w:p w14:paraId="0367C8F5"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w:t>
            </w:r>
          </w:p>
        </w:tc>
        <w:tc>
          <w:tcPr>
            <w:tcW w:w="0" w:type="auto"/>
            <w:vAlign w:val="center"/>
            <w:hideMark/>
          </w:tcPr>
          <w:p w14:paraId="3F9523F0"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550</w:t>
            </w:r>
          </w:p>
        </w:tc>
      </w:tr>
      <w:tr w:rsidR="00643896" w:rsidRPr="00640820" w14:paraId="0516A2B8" w14:textId="77777777" w:rsidTr="0087788A">
        <w:trPr>
          <w:tblCellSpacing w:w="15" w:type="dxa"/>
        </w:trPr>
        <w:tc>
          <w:tcPr>
            <w:tcW w:w="0" w:type="auto"/>
            <w:vAlign w:val="center"/>
            <w:hideMark/>
          </w:tcPr>
          <w:p w14:paraId="5F603EF9"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Принято военной приемкой в 1942 г.</w:t>
            </w:r>
          </w:p>
        </w:tc>
        <w:tc>
          <w:tcPr>
            <w:tcW w:w="0" w:type="auto"/>
            <w:vAlign w:val="center"/>
            <w:hideMark/>
          </w:tcPr>
          <w:p w14:paraId="0A5CAF40"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416</w:t>
            </w:r>
          </w:p>
        </w:tc>
        <w:tc>
          <w:tcPr>
            <w:tcW w:w="0" w:type="auto"/>
            <w:vAlign w:val="center"/>
            <w:hideMark/>
          </w:tcPr>
          <w:p w14:paraId="20BBE718"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286</w:t>
            </w:r>
          </w:p>
        </w:tc>
        <w:tc>
          <w:tcPr>
            <w:tcW w:w="0" w:type="auto"/>
            <w:vAlign w:val="center"/>
            <w:hideMark/>
          </w:tcPr>
          <w:p w14:paraId="639D4A13"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190</w:t>
            </w:r>
          </w:p>
        </w:tc>
        <w:tc>
          <w:tcPr>
            <w:tcW w:w="0" w:type="auto"/>
            <w:vAlign w:val="center"/>
            <w:hideMark/>
          </w:tcPr>
          <w:p w14:paraId="242FAA3F"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118</w:t>
            </w:r>
          </w:p>
        </w:tc>
        <w:tc>
          <w:tcPr>
            <w:tcW w:w="0" w:type="auto"/>
            <w:vAlign w:val="center"/>
            <w:hideMark/>
          </w:tcPr>
          <w:p w14:paraId="53A30994"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179</w:t>
            </w:r>
          </w:p>
        </w:tc>
        <w:tc>
          <w:tcPr>
            <w:tcW w:w="0" w:type="auto"/>
            <w:vAlign w:val="center"/>
            <w:hideMark/>
          </w:tcPr>
          <w:p w14:paraId="30B352AD"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54</w:t>
            </w:r>
          </w:p>
        </w:tc>
        <w:tc>
          <w:tcPr>
            <w:tcW w:w="0" w:type="auto"/>
            <w:vAlign w:val="center"/>
            <w:hideMark/>
          </w:tcPr>
          <w:p w14:paraId="6A777D81"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1243</w:t>
            </w:r>
          </w:p>
        </w:tc>
      </w:tr>
      <w:tr w:rsidR="00643896" w:rsidRPr="00640820" w14:paraId="18704010" w14:textId="77777777" w:rsidTr="0087788A">
        <w:trPr>
          <w:tblCellSpacing w:w="15" w:type="dxa"/>
        </w:trPr>
        <w:tc>
          <w:tcPr>
            <w:tcW w:w="0" w:type="auto"/>
            <w:vAlign w:val="center"/>
            <w:hideMark/>
          </w:tcPr>
          <w:p w14:paraId="506D330D"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 выпуска на 1943 г.</w:t>
            </w:r>
          </w:p>
        </w:tc>
        <w:tc>
          <w:tcPr>
            <w:tcW w:w="0" w:type="auto"/>
            <w:vAlign w:val="center"/>
            <w:hideMark/>
          </w:tcPr>
          <w:p w14:paraId="084C5B22"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345</w:t>
            </w:r>
          </w:p>
        </w:tc>
        <w:tc>
          <w:tcPr>
            <w:tcW w:w="0" w:type="auto"/>
            <w:vAlign w:val="center"/>
            <w:hideMark/>
          </w:tcPr>
          <w:p w14:paraId="7450DFEB"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w:t>
            </w:r>
          </w:p>
        </w:tc>
        <w:tc>
          <w:tcPr>
            <w:tcW w:w="0" w:type="auto"/>
            <w:vAlign w:val="center"/>
            <w:hideMark/>
          </w:tcPr>
          <w:p w14:paraId="5DAB3FE4"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0" w:type="auto"/>
            <w:vAlign w:val="center"/>
            <w:hideMark/>
          </w:tcPr>
          <w:p w14:paraId="0DBF020C"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0" w:type="auto"/>
            <w:vAlign w:val="center"/>
            <w:hideMark/>
          </w:tcPr>
          <w:p w14:paraId="73BE2F44"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135</w:t>
            </w:r>
          </w:p>
        </w:tc>
        <w:tc>
          <w:tcPr>
            <w:tcW w:w="0" w:type="auto"/>
            <w:vAlign w:val="center"/>
            <w:hideMark/>
          </w:tcPr>
          <w:p w14:paraId="62284AA6"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0" w:type="auto"/>
            <w:vAlign w:val="center"/>
            <w:hideMark/>
          </w:tcPr>
          <w:p w14:paraId="3EC4A164"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680</w:t>
            </w:r>
          </w:p>
        </w:tc>
      </w:tr>
      <w:tr w:rsidR="00643896" w:rsidRPr="00640820" w14:paraId="64E70E59" w14:textId="77777777" w:rsidTr="0087788A">
        <w:trPr>
          <w:tblCellSpacing w:w="15" w:type="dxa"/>
        </w:trPr>
        <w:tc>
          <w:tcPr>
            <w:tcW w:w="0" w:type="auto"/>
            <w:vAlign w:val="center"/>
            <w:hideMark/>
          </w:tcPr>
          <w:p w14:paraId="25566B46"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Принято военной приемкой в 1943 г.</w:t>
            </w:r>
          </w:p>
        </w:tc>
        <w:tc>
          <w:tcPr>
            <w:tcW w:w="0" w:type="auto"/>
            <w:vAlign w:val="center"/>
            <w:hideMark/>
          </w:tcPr>
          <w:p w14:paraId="7F5E1E83"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391</w:t>
            </w:r>
          </w:p>
        </w:tc>
        <w:tc>
          <w:tcPr>
            <w:tcW w:w="0" w:type="auto"/>
            <w:vAlign w:val="center"/>
            <w:hideMark/>
          </w:tcPr>
          <w:p w14:paraId="58C58FBC"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81</w:t>
            </w:r>
          </w:p>
        </w:tc>
        <w:tc>
          <w:tcPr>
            <w:tcW w:w="0" w:type="auto"/>
            <w:vAlign w:val="center"/>
            <w:hideMark/>
          </w:tcPr>
          <w:p w14:paraId="2E27FAC9"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0" w:type="auto"/>
            <w:vAlign w:val="center"/>
            <w:hideMark/>
          </w:tcPr>
          <w:p w14:paraId="4ECCC28A"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0" w:type="auto"/>
            <w:vAlign w:val="center"/>
            <w:hideMark/>
          </w:tcPr>
          <w:p w14:paraId="205019F3"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150</w:t>
            </w:r>
          </w:p>
        </w:tc>
        <w:tc>
          <w:tcPr>
            <w:tcW w:w="0" w:type="auto"/>
            <w:vAlign w:val="center"/>
            <w:hideMark/>
          </w:tcPr>
          <w:p w14:paraId="3C0055BF"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0" w:type="auto"/>
            <w:vAlign w:val="center"/>
            <w:hideMark/>
          </w:tcPr>
          <w:p w14:paraId="73E64B63"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622</w:t>
            </w:r>
          </w:p>
        </w:tc>
      </w:tr>
      <w:tr w:rsidR="00643896" w:rsidRPr="00640820" w14:paraId="447C8369" w14:textId="77777777" w:rsidTr="0087788A">
        <w:trPr>
          <w:tblCellSpacing w:w="15" w:type="dxa"/>
        </w:trPr>
        <w:tc>
          <w:tcPr>
            <w:tcW w:w="0" w:type="auto"/>
            <w:vAlign w:val="center"/>
            <w:hideMark/>
          </w:tcPr>
          <w:p w14:paraId="0F1E5011"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 выпуска на 1944 г.</w:t>
            </w:r>
          </w:p>
        </w:tc>
        <w:tc>
          <w:tcPr>
            <w:tcW w:w="0" w:type="auto"/>
            <w:vAlign w:val="center"/>
            <w:hideMark/>
          </w:tcPr>
          <w:p w14:paraId="18F24697"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500</w:t>
            </w:r>
          </w:p>
        </w:tc>
        <w:tc>
          <w:tcPr>
            <w:tcW w:w="0" w:type="auto"/>
            <w:vAlign w:val="center"/>
            <w:hideMark/>
          </w:tcPr>
          <w:p w14:paraId="218ABAFE"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0" w:type="auto"/>
            <w:vAlign w:val="center"/>
            <w:hideMark/>
          </w:tcPr>
          <w:p w14:paraId="62345539"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0" w:type="auto"/>
            <w:vAlign w:val="center"/>
            <w:hideMark/>
          </w:tcPr>
          <w:p w14:paraId="0CB65955"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0" w:type="auto"/>
            <w:vAlign w:val="center"/>
            <w:hideMark/>
          </w:tcPr>
          <w:p w14:paraId="4A8DBB64"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0" w:type="auto"/>
            <w:vAlign w:val="center"/>
            <w:hideMark/>
          </w:tcPr>
          <w:p w14:paraId="3A5AB6EE"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0" w:type="auto"/>
            <w:vAlign w:val="center"/>
            <w:hideMark/>
          </w:tcPr>
          <w:p w14:paraId="4528ACDD"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500</w:t>
            </w:r>
          </w:p>
        </w:tc>
      </w:tr>
      <w:tr w:rsidR="00643896" w:rsidRPr="00640820" w14:paraId="4ABE09A4" w14:textId="77777777" w:rsidTr="0087788A">
        <w:trPr>
          <w:tblCellSpacing w:w="15" w:type="dxa"/>
        </w:trPr>
        <w:tc>
          <w:tcPr>
            <w:tcW w:w="0" w:type="auto"/>
            <w:vAlign w:val="center"/>
            <w:hideMark/>
          </w:tcPr>
          <w:p w14:paraId="77CA26E9"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Принято военной приемкой в 1944 г.</w:t>
            </w:r>
          </w:p>
        </w:tc>
        <w:tc>
          <w:tcPr>
            <w:tcW w:w="0" w:type="auto"/>
            <w:vAlign w:val="center"/>
            <w:hideMark/>
          </w:tcPr>
          <w:p w14:paraId="2143BBB2"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424</w:t>
            </w:r>
          </w:p>
        </w:tc>
        <w:tc>
          <w:tcPr>
            <w:tcW w:w="0" w:type="auto"/>
            <w:vAlign w:val="center"/>
            <w:hideMark/>
          </w:tcPr>
          <w:p w14:paraId="3E8469AA"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0" w:type="auto"/>
            <w:vAlign w:val="center"/>
            <w:hideMark/>
          </w:tcPr>
          <w:p w14:paraId="78D67BF7"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0" w:type="auto"/>
            <w:vAlign w:val="center"/>
            <w:hideMark/>
          </w:tcPr>
          <w:p w14:paraId="575EB16F"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0" w:type="auto"/>
            <w:vAlign w:val="center"/>
            <w:hideMark/>
          </w:tcPr>
          <w:p w14:paraId="66C9CF28"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0" w:type="auto"/>
            <w:vAlign w:val="center"/>
            <w:hideMark/>
          </w:tcPr>
          <w:p w14:paraId="671D1795"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0" w:type="auto"/>
            <w:vAlign w:val="center"/>
            <w:hideMark/>
          </w:tcPr>
          <w:p w14:paraId="621E981A"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424</w:t>
            </w:r>
          </w:p>
        </w:tc>
      </w:tr>
      <w:tr w:rsidR="00643896" w:rsidRPr="00640820" w14:paraId="171A9C1C" w14:textId="77777777" w:rsidTr="0087788A">
        <w:trPr>
          <w:tblCellSpacing w:w="15" w:type="dxa"/>
        </w:trPr>
        <w:tc>
          <w:tcPr>
            <w:tcW w:w="0" w:type="auto"/>
            <w:vAlign w:val="center"/>
            <w:hideMark/>
          </w:tcPr>
          <w:p w14:paraId="7784BD81"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 выпуска на 1945 г.</w:t>
            </w:r>
          </w:p>
        </w:tc>
        <w:tc>
          <w:tcPr>
            <w:tcW w:w="0" w:type="auto"/>
            <w:vAlign w:val="center"/>
            <w:hideMark/>
          </w:tcPr>
          <w:p w14:paraId="3A66F167"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75</w:t>
            </w:r>
          </w:p>
        </w:tc>
        <w:tc>
          <w:tcPr>
            <w:tcW w:w="0" w:type="auto"/>
            <w:vAlign w:val="center"/>
            <w:hideMark/>
          </w:tcPr>
          <w:p w14:paraId="1A47D9DB"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0" w:type="auto"/>
            <w:vAlign w:val="center"/>
            <w:hideMark/>
          </w:tcPr>
          <w:p w14:paraId="517D6D71"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0" w:type="auto"/>
            <w:vAlign w:val="center"/>
            <w:hideMark/>
          </w:tcPr>
          <w:p w14:paraId="53DC5B72"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0" w:type="auto"/>
            <w:vAlign w:val="center"/>
            <w:hideMark/>
          </w:tcPr>
          <w:p w14:paraId="47AD049F"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0" w:type="auto"/>
            <w:vAlign w:val="center"/>
            <w:hideMark/>
          </w:tcPr>
          <w:p w14:paraId="53972A4B"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0" w:type="auto"/>
            <w:vAlign w:val="center"/>
            <w:hideMark/>
          </w:tcPr>
          <w:p w14:paraId="693E539D"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75</w:t>
            </w:r>
          </w:p>
        </w:tc>
      </w:tr>
      <w:tr w:rsidR="00643896" w:rsidRPr="00640820" w14:paraId="2F87C44E" w14:textId="77777777" w:rsidTr="0087788A">
        <w:trPr>
          <w:tblCellSpacing w:w="15" w:type="dxa"/>
        </w:trPr>
        <w:tc>
          <w:tcPr>
            <w:tcW w:w="0" w:type="auto"/>
            <w:vAlign w:val="center"/>
            <w:hideMark/>
          </w:tcPr>
          <w:p w14:paraId="72E38B20"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Принято военной приемкой в 1945 г.</w:t>
            </w:r>
          </w:p>
        </w:tc>
        <w:tc>
          <w:tcPr>
            <w:tcW w:w="0" w:type="auto"/>
            <w:vAlign w:val="center"/>
            <w:hideMark/>
          </w:tcPr>
          <w:p w14:paraId="1E5D4A3B"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w:t>
            </w:r>
          </w:p>
        </w:tc>
        <w:tc>
          <w:tcPr>
            <w:tcW w:w="0" w:type="auto"/>
            <w:vAlign w:val="center"/>
            <w:hideMark/>
          </w:tcPr>
          <w:p w14:paraId="7BF579CB"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0" w:type="auto"/>
            <w:vAlign w:val="center"/>
            <w:hideMark/>
          </w:tcPr>
          <w:p w14:paraId="134E6213"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0" w:type="auto"/>
            <w:vAlign w:val="center"/>
            <w:hideMark/>
          </w:tcPr>
          <w:p w14:paraId="41153A29"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0" w:type="auto"/>
            <w:vAlign w:val="center"/>
            <w:hideMark/>
          </w:tcPr>
          <w:p w14:paraId="666506C4"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0" w:type="auto"/>
            <w:vAlign w:val="center"/>
            <w:hideMark/>
          </w:tcPr>
          <w:p w14:paraId="4CC17F2B"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0" w:type="auto"/>
            <w:vAlign w:val="center"/>
            <w:hideMark/>
          </w:tcPr>
          <w:p w14:paraId="36387907"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w:t>
            </w:r>
          </w:p>
        </w:tc>
      </w:tr>
    </w:tbl>
    <w:p w14:paraId="0682B81C" w14:textId="77777777" w:rsidR="00EE3BEC" w:rsidRPr="00640820" w:rsidRDefault="00EE3BEC" w:rsidP="00640820">
      <w:pPr>
        <w:pStyle w:val="book"/>
        <w:ind w:firstLine="0"/>
        <w:jc w:val="both"/>
        <w:rPr>
          <w:color w:val="000000" w:themeColor="text1"/>
          <w:sz w:val="16"/>
          <w:szCs w:val="16"/>
        </w:rPr>
      </w:pPr>
      <w:r w:rsidRPr="00640820">
        <w:rPr>
          <w:color w:val="000000" w:themeColor="text1"/>
          <w:sz w:val="16"/>
          <w:szCs w:val="16"/>
        </w:rPr>
        <w:t>(15468).</w:t>
      </w:r>
    </w:p>
    <w:p w14:paraId="5FDDC07E" w14:textId="77777777" w:rsidR="00EE3BEC" w:rsidRPr="00640820" w:rsidRDefault="00EE3BEC" w:rsidP="00640820">
      <w:pPr>
        <w:pStyle w:val="book"/>
        <w:ind w:firstLine="0"/>
        <w:jc w:val="both"/>
        <w:rPr>
          <w:color w:val="000000" w:themeColor="text1"/>
          <w:sz w:val="16"/>
          <w:szCs w:val="16"/>
        </w:rPr>
      </w:pPr>
    </w:p>
    <w:p w14:paraId="592E9610"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6B3FBA0D"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6D187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декабря 1941 вышло Постановление ГКО № 988 О т.т. Соловьеве Н.В., Смирнове И.Е., Савкине В.Г., Пугачевском Б.И., Каплуновском А.П., Абрамове К.К., Орлове И.А. и Жаворонкове В.Г. РГАНИР, Фонд ГКО, д. 16, лл. 3 (11012).</w:t>
      </w:r>
    </w:p>
    <w:p w14:paraId="2F49E5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0F21D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декабря 1941 вышло Постановление ГКО № 989 Об исключении из комплектации 120 мм полкового миномета передка и колесного минометного хода. РГАНИР, Фонд ГКО, д. 16, лл. 4 (11012).</w:t>
      </w:r>
    </w:p>
    <w:p w14:paraId="2370C7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89341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декабря 1941 года было приостановлено начатое 1 июня 1941 года валовое производство 57-мм ПТП ЗИС-2 и. За это время была изготовлена 371 пушка. Причин приостановки производства ЗИС-2 было много. Основная из них - отсутствие достойных целей на поле боя. Даже на больших дистанциях, свыше 1,5 км, пушка легко пробивала броню любого немецкого танка. А после больших боевых и эксплуатационных потерь немецких танков, к декабрю 1941 года большинство танков, шедших на Москву, было чешского и французского производства. Кроме того, производство 57-мм выстрелов было плохо налажено и был риск, что пушки ЗИС-2 останутся без патронов. После 1917 года пушки и снаряды калибра 57 мм не изготавливались. И наконец, были велики технологические трудности изготовления такого длинного ствола (в 73 калибра) (3861).</w:t>
      </w:r>
    </w:p>
    <w:p w14:paraId="0444E4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20D5E9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декабря 1941 г. было остановлено серийное производство ЗИС-2 и ЗИС-4, которое шло с 1 ав</w:t>
      </w:r>
      <w:r w:rsidRPr="00640820">
        <w:rPr>
          <w:rFonts w:ascii="Times New Roman" w:hAnsi="Times New Roman"/>
          <w:color w:val="000000" w:themeColor="text1"/>
          <w:sz w:val="16"/>
          <w:szCs w:val="16"/>
        </w:rPr>
        <w:softHyphen/>
        <w:t>густа и было прекращено ввиду трудностей производ</w:t>
      </w:r>
      <w:r w:rsidRPr="00640820">
        <w:rPr>
          <w:rFonts w:ascii="Times New Roman" w:hAnsi="Times New Roman"/>
          <w:color w:val="000000" w:themeColor="text1"/>
          <w:sz w:val="16"/>
          <w:szCs w:val="16"/>
        </w:rPr>
        <w:softHyphen/>
        <w:t>ственного характера, загруженности завода «Баррикады» и недостатка боеприпасов производство 57-мм артсистем. Задел по ним был законсервирован. Сегодня трудно однозначно оценить выпуск истреби</w:t>
      </w:r>
      <w:r w:rsidRPr="00640820">
        <w:rPr>
          <w:rFonts w:ascii="Times New Roman" w:hAnsi="Times New Roman"/>
          <w:color w:val="000000" w:themeColor="text1"/>
          <w:sz w:val="16"/>
          <w:szCs w:val="16"/>
        </w:rPr>
        <w:softHyphen/>
        <w:t>телей Т-34-57. В 1941 г. НКВ отчитался о сдаче 100 шт. орудий ЗИС-4, причем 30 шт. до начала эвакуации завода № 183. Бесспорно, что в сентябре 11 шт. 57-мм пушек бы</w:t>
      </w:r>
      <w:r w:rsidRPr="00640820">
        <w:rPr>
          <w:rFonts w:ascii="Times New Roman" w:hAnsi="Times New Roman"/>
          <w:color w:val="000000" w:themeColor="text1"/>
          <w:sz w:val="16"/>
          <w:szCs w:val="16"/>
        </w:rPr>
        <w:softHyphen/>
        <w:t>ло передано на завод № 183, а 42 орудия этого типа 20 де</w:t>
      </w:r>
      <w:r w:rsidRPr="00640820">
        <w:rPr>
          <w:rFonts w:ascii="Times New Roman" w:hAnsi="Times New Roman"/>
          <w:color w:val="000000" w:themeColor="text1"/>
          <w:sz w:val="16"/>
          <w:szCs w:val="16"/>
        </w:rPr>
        <w:softHyphen/>
        <w:t>кабря 1941 г. были возвращены с завода № 112 на завод № 92. Пока известен лишь один достоверный факт применения на фронте танковой бригады, в составе которой были танки Т-34-57. Все остальные предположения о дей</w:t>
      </w:r>
      <w:r w:rsidRPr="00640820">
        <w:rPr>
          <w:rFonts w:ascii="Times New Roman" w:hAnsi="Times New Roman"/>
          <w:color w:val="000000" w:themeColor="text1"/>
          <w:sz w:val="16"/>
          <w:szCs w:val="16"/>
        </w:rPr>
        <w:softHyphen/>
        <w:t>ствии таких танков могут быть объяснены наличием в бригадах САУ ЗИС-30, так как бесспорных доказательств наличия в Т-34 57-мм орудий пока нет (11417).</w:t>
      </w:r>
    </w:p>
    <w:p w14:paraId="35F35C7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2F1A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декабря 1941 года официально приняли на вооружение 37-мм авиапушки НС-37 ОКБ-16 со стволом от мотор-пушки МП-20 для танка Т-60, а 1 января 1942 года она получила обозначение ТНШ-1 (танковая Нудельмана-Шпитального-1) или ТНШ-20, как ее стали называть позже (3862).</w:t>
      </w:r>
    </w:p>
    <w:p w14:paraId="2E0EB4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5348B3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декабря 1941 артсистема удовлетворила всем требованиям бронетанкового управле</w:t>
      </w:r>
      <w:r w:rsidRPr="00640820">
        <w:rPr>
          <w:rFonts w:ascii="Times New Roman" w:hAnsi="Times New Roman"/>
          <w:color w:val="000000" w:themeColor="text1"/>
          <w:sz w:val="16"/>
          <w:szCs w:val="16"/>
        </w:rPr>
        <w:softHyphen/>
        <w:t>ния и была принята на вооружение под названием «20-мм автоматическая танковая пушка обр. 1941 г. с ленточным питанием», а 1 января 1942 г. она получила индекс ТНШ-1, или ТНШ-20 (Танковая Нудельмана-Шпитального) (10782).</w:t>
      </w:r>
    </w:p>
    <w:p w14:paraId="4BCD60B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0465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декабря 1941 под Павловской свободой боевые повреждения получил танк А-20, который попал в отдельный танковый батальон 22 тбр, сформированный ГАБТУ РККА из танков, имевшихся на НИИБТ в Кубинке. Через 4 дня отремонтировали и поддерживал корпус г Л.М.Доватора, был подбит, эвакуирован в тыл и потерялся (3881,47).</w:t>
      </w:r>
    </w:p>
    <w:p w14:paraId="40B05C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8E10B4E" w14:textId="77777777" w:rsidR="00FA3B67" w:rsidRPr="00640820" w:rsidRDefault="00FA3B67"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 декабря 1941 года вышло Распоряжение Государственного комитета обороны (ГКО) о проведении испытаний перевооружённой «Матильды». Продолжались испытания со 2 по 11 число. Основной их целью было изучение перевооружённого танка на предмет соответствия заданным характеристикам и условиям работы экипажа (17662).</w:t>
      </w:r>
    </w:p>
    <w:p w14:paraId="7C7B85BA" w14:textId="77777777" w:rsidR="00FA3B67" w:rsidRPr="00640820" w:rsidRDefault="00FA3B67" w:rsidP="00640820">
      <w:pPr>
        <w:spacing w:after="0" w:line="240" w:lineRule="auto"/>
        <w:jc w:val="both"/>
        <w:rPr>
          <w:rFonts w:ascii="Times New Roman" w:eastAsia="Times New Roman" w:hAnsi="Times New Roman"/>
          <w:color w:val="000000" w:themeColor="text1"/>
          <w:sz w:val="16"/>
          <w:szCs w:val="16"/>
          <w:lang w:eastAsia="ru-RU"/>
        </w:rPr>
      </w:pPr>
    </w:p>
    <w:p w14:paraId="29C61A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декабря 1941 Уральский танковый завод им. И.В.С. N 183, в котором объединили ХТЗ с Уралвагонзаводом в Нижнем Тагиле стал делать корпуса, а с 8 - танки Т-34 (424,12).</w:t>
      </w:r>
    </w:p>
    <w:p w14:paraId="300573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C22A827"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декабря 1941 г.</w:t>
      </w:r>
    </w:p>
    <w:p w14:paraId="3899B477"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РГАЭ Фонд 8752 Опись 1 Дело 2 лист 58</w:t>
      </w:r>
    </w:p>
    <w:p w14:paraId="7BACF9F7"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w:t>
      </w:r>
    </w:p>
    <w:p w14:paraId="35FE7689"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НАРОДНОГО КОМИССАРА ТАНКОВОЙ ПРОМЫШЛЕННОСТИ СОЮЗА ССР</w:t>
      </w:r>
    </w:p>
    <w:p w14:paraId="7E163EB5"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К-52/95</w:t>
      </w:r>
    </w:p>
    <w:p w14:paraId="367096E6"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Н. Тагил</w:t>
      </w:r>
    </w:p>
    <w:p w14:paraId="1859B3D3"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декабря 1941 г.</w:t>
      </w:r>
    </w:p>
    <w:p w14:paraId="445456F5"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 РАБОТЕ КОРПУСНО-СБОРОЧНОГО ЦЕХА ЗАВОДА № 183".</w:t>
      </w:r>
    </w:p>
    <w:p w14:paraId="7298BC68"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Корпусно-сборочный цех завода № 183 благодаря хорошей организации эвакуации, быстрому монтажу оборудования и освоению сборки корпусов и бешен начал первым выполнять график по сдаче корпусов и башен на сборку машин. </w:t>
      </w:r>
    </w:p>
    <w:p w14:paraId="6880E5F4"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ПРИКАЗЫВАЮ:</w:t>
      </w:r>
    </w:p>
    <w:p w14:paraId="3402AB5E"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Начальника цеха – тов. СОЙБЕЛЬМАНА Михаила Исидоровича и его заместителя – тов. МАХОНИНА Евгения Прокопьевича за хорошо проведенную эвакуацию цеха и быстрое начало выдачи на сборку корпусов и башен, – премировать каждого по 3.000 рублей. </w:t>
      </w:r>
    </w:p>
    <w:p w14:paraId="6574F3F0"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Помощника начальника цеха – тов. КОБЗАНА Григория Яковлевича за быструю наладку станков и процесса выпуска корпусов – премировать в размере 3.000 рублей. </w:t>
      </w:r>
    </w:p>
    <w:p w14:paraId="52BF2045"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Выделить в распоряжение начальника корпусно-сборочного цеха т. СОЙБЕЛЬМАНА – 50.000 рублей – для премирования лучших инженерно-технических работников и рабочих цеха.</w:t>
      </w:r>
    </w:p>
    <w:p w14:paraId="0945C7FE"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НАРОДНЫЙ КОМИССАР ТАНКОВОЙ ПРОМЫШЛЕННОСТИ СОЮЗА ССР</w:t>
      </w:r>
    </w:p>
    <w:p w14:paraId="55161558"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подпись (В. МАЛЫШЕВ) (18445).</w:t>
      </w:r>
    </w:p>
    <w:p w14:paraId="4B3DA20A" w14:textId="77777777" w:rsidR="003918E4" w:rsidRPr="00640820" w:rsidRDefault="003918E4" w:rsidP="00640820">
      <w:pPr>
        <w:spacing w:after="0" w:line="240" w:lineRule="auto"/>
        <w:jc w:val="both"/>
        <w:rPr>
          <w:rFonts w:ascii="Times New Roman" w:hAnsi="Times New Roman"/>
          <w:color w:val="000000" w:themeColor="text1"/>
          <w:sz w:val="16"/>
          <w:szCs w:val="16"/>
        </w:rPr>
      </w:pPr>
    </w:p>
    <w:p w14:paraId="167E4801"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декабря 1941 г.</w:t>
      </w:r>
    </w:p>
    <w:p w14:paraId="059D1733"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РГАЭ Фонд 8752 Опись 1 Дело 2 лист 59 – 60</w:t>
      </w:r>
    </w:p>
    <w:p w14:paraId="768FA1EB"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w:t>
      </w:r>
    </w:p>
    <w:p w14:paraId="7F439C85"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НАРОДНОГО КОМИССАРА ТАНКОВОЙ ПРОМЫШЛЕННОСТИ СОЮЗА ССР</w:t>
      </w:r>
    </w:p>
    <w:p w14:paraId="5FD886BC"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К-54/96</w:t>
      </w:r>
    </w:p>
    <w:p w14:paraId="10B5D435"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Н. Тагил</w:t>
      </w:r>
    </w:p>
    <w:p w14:paraId="2A9ABD09"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декабря 1941 г.</w:t>
      </w:r>
    </w:p>
    <w:p w14:paraId="0D52DC90"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выдающиеся достижения и освоение в короткий срок отливки литых башен и траков для танков, и за выполнение установленного мною графика отливки башен – ПРИКАЗЫВАЮ: </w:t>
      </w:r>
    </w:p>
    <w:p w14:paraId="3EE42F11"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Объявить благодарность от имени Народного Комиссара танковой промышленности – Заместителю Главного металлурга завода № 183 – тов. Малярову Павлину Петровичу и премировать его 5.000 рублей. </w:t>
      </w:r>
    </w:p>
    <w:p w14:paraId="52EE8634"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Объявить благодарность от имени Народного Комиссара Танковой Промышленности и премировать денежной премией следующих товарищей, показавших наилучшие образцы работы в освоении литых башен и траков: </w:t>
      </w:r>
    </w:p>
    <w:p w14:paraId="239F495E"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По цеху 563.</w:t>
      </w:r>
    </w:p>
    <w:p w14:paraId="30CE51C6"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Брагин И.И. – Зам. Начальника цеха – 3.000 руб. </w:t>
      </w:r>
    </w:p>
    <w:p w14:paraId="7623DC5D"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Бычков П.В. – Механик цеха – 1.500 руб. </w:t>
      </w:r>
    </w:p>
    <w:p w14:paraId="58C9C7E8"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Николайчик П.П. – Начальник цеха – 2.500 руб. </w:t>
      </w:r>
    </w:p>
    <w:p w14:paraId="5006ED51"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Горбунов И.М. – Руководитель группы стального литья – 1.000 руб. </w:t>
      </w:r>
    </w:p>
    <w:p w14:paraId="34CB14B1"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Гаврилов – Технолог – 1.000 руб. </w:t>
      </w:r>
    </w:p>
    <w:p w14:paraId="6DE5A317"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Шеин Л.Н. – Мастер – 800 руб. </w:t>
      </w:r>
    </w:p>
    <w:p w14:paraId="1DAE8C90"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Грищук – Мастер формовки – 1.000 руб. </w:t>
      </w:r>
    </w:p>
    <w:p w14:paraId="4C5336AB"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8. Башкиров П.М. – Главный технолог цеха – 1.500 руб. </w:t>
      </w:r>
    </w:p>
    <w:p w14:paraId="2F652D77"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Козленков – Мастер сборки – 1.000 руб. </w:t>
      </w:r>
    </w:p>
    <w:p w14:paraId="578E04EC"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Фокин Н.В. – Старший мастер стержней – 1.000 руб. </w:t>
      </w:r>
    </w:p>
    <w:p w14:paraId="7E5FB1A4"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Чуб М.Ф. – Старший мастер подготовки – 1.000 руб. </w:t>
      </w:r>
    </w:p>
    <w:p w14:paraId="382ECD99"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Романов Н.И. – Старший мастер очистки – 1.000 руб. </w:t>
      </w:r>
    </w:p>
    <w:p w14:paraId="76924B82"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Маркин – Старший мастер заливки – 800 руб. </w:t>
      </w:r>
    </w:p>
    <w:p w14:paraId="6567ADC4"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Забайкин А.В. – Главный технолог отдела – 1.500 руб. </w:t>
      </w:r>
    </w:p>
    <w:p w14:paraId="558215A3"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Полисар – Парторг цеха – 1.000 руб. </w:t>
      </w:r>
    </w:p>
    <w:p w14:paraId="7A84FB75"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Юкалов И.Н. – Заместитель начальника цеха – 1.500 руб. </w:t>
      </w:r>
    </w:p>
    <w:p w14:paraId="5AAFB143"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Цонде Л.И. – Заместитель начальника отдела – 1.500 руб. </w:t>
      </w:r>
    </w:p>
    <w:p w14:paraId="213037A0"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Позюрич – Формовщик – 500 руб. </w:t>
      </w:r>
    </w:p>
    <w:p w14:paraId="51D2B843"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Васильев – Формовщик – 500 руб. </w:t>
      </w:r>
    </w:p>
    <w:p w14:paraId="1BF3B297"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Мельников – Формовщик – 500 руб. </w:t>
      </w:r>
    </w:p>
    <w:p w14:paraId="6F1712EF"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Горохов – Формовщик – 500 руб. </w:t>
      </w:r>
    </w:p>
    <w:p w14:paraId="633E50FC"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Смирнов – Стерженщик – 500 руб. </w:t>
      </w:r>
    </w:p>
    <w:p w14:paraId="68B5BE9E"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Лиманова – Стерженщица – 500 руб. </w:t>
      </w:r>
    </w:p>
    <w:p w14:paraId="1F5EA2E5"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Гончарова – Стерженщица – 500 руб. </w:t>
      </w:r>
    </w:p>
    <w:p w14:paraId="0C9BE976"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Миронов – Бригадир слесарей – 500 руб. </w:t>
      </w:r>
    </w:p>
    <w:p w14:paraId="5458052B"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Кононов – Слесарь – 500 руб. </w:t>
      </w:r>
    </w:p>
    <w:p w14:paraId="4FCB3064"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Пермякова – Сварщица – 500 руб. </w:t>
      </w:r>
    </w:p>
    <w:p w14:paraId="410C4A23"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Сережина – Старший мастер формовки – 1.000 руб. </w:t>
      </w:r>
    </w:p>
    <w:p w14:paraId="0F850A71"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По цеху 561.</w:t>
      </w:r>
    </w:p>
    <w:p w14:paraId="7DEE4FD6"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Масленников – Начальник мартеновского цеха – 2.000 руб. </w:t>
      </w:r>
    </w:p>
    <w:p w14:paraId="3A79CD30"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Калягин А.В. – Заместитель начальника цеха – 1.000 руб. </w:t>
      </w:r>
    </w:p>
    <w:p w14:paraId="6DC17B6F"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Шейко – Помощник начальника цеха – 1.000 руб. </w:t>
      </w:r>
    </w:p>
    <w:p w14:paraId="32A938BA"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 Масленников В.Д. – Инженер по спец. – 1.000 руб. </w:t>
      </w:r>
    </w:p>
    <w:p w14:paraId="20F20486"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 Степченко – Сталевар – 800 руб. </w:t>
      </w:r>
    </w:p>
    <w:p w14:paraId="7FA4510F"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33. Крюков – Сталевар – 800 руб. </w:t>
      </w:r>
    </w:p>
    <w:p w14:paraId="5DC6981F"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34. Мишуков – Сталевар – 800 руб. </w:t>
      </w:r>
    </w:p>
    <w:p w14:paraId="26C6B7DA"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 Винцевский – Начальник модельного цеха – 1.500 руб. </w:t>
      </w:r>
    </w:p>
    <w:p w14:paraId="3087F0D3"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36. Зубарев – Заместитель начальника цеха – 1.500 руб. </w:t>
      </w:r>
    </w:p>
    <w:p w14:paraId="6A2EA531"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37. Ганжа – Мастер – 1.000 руб. </w:t>
      </w:r>
    </w:p>
    <w:p w14:paraId="1A844123"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 Подлевский – Модельщик – 500 руб. </w:t>
      </w:r>
    </w:p>
    <w:p w14:paraId="5EC3AA9D"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 Кубрак – Модельщик – 500 руб. </w:t>
      </w:r>
    </w:p>
    <w:p w14:paraId="13752D24"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 Пешер – Контролер – 500 руб. </w:t>
      </w:r>
    </w:p>
    <w:p w14:paraId="11518B55"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41. Простолупов А.П. – Начальник печного цеха – 1.000 руб. </w:t>
      </w:r>
    </w:p>
    <w:p w14:paraId="005AF9C6"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42. Кобяков П.В. – Начальник технической части – 1.000 руб. </w:t>
      </w:r>
    </w:p>
    <w:p w14:paraId="3D2CD5C1"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По цеху 550.</w:t>
      </w:r>
    </w:p>
    <w:p w14:paraId="7C112920"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43. Грачев В.А. – Начальник цеха – 3.000 руб. </w:t>
      </w:r>
    </w:p>
    <w:p w14:paraId="39639AF3"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44. Болдовкин А.И. – Механик цеха – 1.500 руб. </w:t>
      </w:r>
    </w:p>
    <w:p w14:paraId="3D3C2C87"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 Костинский Д.С. – Начальник отделения – 1.000 руб. </w:t>
      </w:r>
    </w:p>
    <w:p w14:paraId="4884FF20"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46. Демин Г.И. – Старший мастер плавки – 1.200 руб. </w:t>
      </w:r>
    </w:p>
    <w:p w14:paraId="313C3E6D"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47. Пастернак Н.В. – Старший мастер формовки – 1.000 руб. </w:t>
      </w:r>
    </w:p>
    <w:p w14:paraId="6F33A03B"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48. Комаров И. – Начальник технической части – 1.000 руб. </w:t>
      </w:r>
    </w:p>
    <w:p w14:paraId="2A96DFF6"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49. Малкин Г.С. – Старший мастер подготовки – 1.000 руб. </w:t>
      </w:r>
    </w:p>
    <w:p w14:paraId="791AA2D3"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 Сергеев С.П. – Мастер мех. – 800 руб. </w:t>
      </w:r>
    </w:p>
    <w:p w14:paraId="0DE57D47"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51. Лищенко И.А. – Мастер мех. – 800 руб. </w:t>
      </w:r>
    </w:p>
    <w:p w14:paraId="3803D3C0"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52. Белецкий – Мастер формовки – 800 руб. </w:t>
      </w:r>
    </w:p>
    <w:p w14:paraId="05DF471E"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53. Кобяков – Мастер стержневки – 800 руб. </w:t>
      </w:r>
    </w:p>
    <w:p w14:paraId="61B7FF9F"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54. Перевалов – Мастер – 800 руб. </w:t>
      </w:r>
    </w:p>
    <w:p w14:paraId="6AD659AA"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55. Павлова – Бригадир формовки – 500 руб. </w:t>
      </w:r>
    </w:p>
    <w:p w14:paraId="3C3AC5F8"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56. Назаров – Сталевар – 500 руб. </w:t>
      </w:r>
    </w:p>
    <w:p w14:paraId="35C994A2"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57. Левашов А.Н. – Парторг цеха – 1.000 руб. </w:t>
      </w:r>
    </w:p>
    <w:p w14:paraId="1157E704"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58. Малоштанов А.А. – Конструктор – 1.000 руб. </w:t>
      </w:r>
    </w:p>
    <w:p w14:paraId="744647F6"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59. Набутовский М.А. – Конструктор – 1.000 руб.</w:t>
      </w:r>
    </w:p>
    <w:p w14:paraId="47439B75"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НАРОДНЫЙ КОМИССАР ТАНКОВОЙ ПРОМЫШЛЕННОСТИ СОЮЗА ССР</w:t>
      </w:r>
    </w:p>
    <w:p w14:paraId="07AFB159"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подпись (В. МАЛЫШЕВ) (18444).</w:t>
      </w:r>
    </w:p>
    <w:p w14:paraId="7A334EA3" w14:textId="77777777" w:rsidR="003918E4" w:rsidRPr="00640820" w:rsidRDefault="003918E4" w:rsidP="00640820">
      <w:pPr>
        <w:spacing w:after="0" w:line="240" w:lineRule="auto"/>
        <w:jc w:val="both"/>
        <w:rPr>
          <w:rFonts w:ascii="Times New Roman" w:hAnsi="Times New Roman"/>
          <w:color w:val="000000" w:themeColor="text1"/>
          <w:sz w:val="16"/>
          <w:szCs w:val="16"/>
        </w:rPr>
      </w:pPr>
    </w:p>
    <w:p w14:paraId="1D5CC2F8" w14:textId="77777777" w:rsidR="003918E4" w:rsidRPr="00640820" w:rsidRDefault="003918E4"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1 декабря 1941 года </w:t>
      </w:r>
    </w:p>
    <w:p w14:paraId="0AB07266" w14:textId="77777777" w:rsidR="003918E4" w:rsidRPr="00640820" w:rsidRDefault="003918E4"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ПРИКАЗ № 49сс</w:t>
      </w:r>
    </w:p>
    <w:p w14:paraId="2E215F6A" w14:textId="77777777" w:rsidR="003918E4" w:rsidRPr="00640820" w:rsidRDefault="003918E4"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 НАРОДНОМУ КОМИССАРИАТУ ТАНКОВОЙ ПРОЫШЛЕННОСТИ СССР</w:t>
      </w:r>
    </w:p>
    <w:p w14:paraId="51562D5D" w14:textId="77777777" w:rsidR="003918E4" w:rsidRPr="00640820" w:rsidRDefault="003918E4"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Челябинск</w:t>
      </w:r>
    </w:p>
    <w:p w14:paraId="72172A0A" w14:textId="77777777" w:rsidR="003918E4" w:rsidRPr="00640820" w:rsidRDefault="003918E4"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 декабря 1941 г ода .</w:t>
      </w:r>
    </w:p>
    <w:p w14:paraId="7DB4B8FD" w14:textId="77777777" w:rsidR="003918E4" w:rsidRPr="00640820" w:rsidRDefault="003918E4"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Во исполнение постановления Государственного Комитета Оборони от</w:t>
      </w:r>
      <w:r w:rsidRPr="00640820">
        <w:rPr>
          <w:rFonts w:ascii="Times New Roman" w:eastAsia="Times New Roman" w:hAnsi="Times New Roman"/>
          <w:b/>
          <w:bCs/>
          <w:i/>
          <w:iCs/>
          <w:color w:val="000000" w:themeColor="text1"/>
          <w:sz w:val="16"/>
          <w:szCs w:val="16"/>
          <w:lang w:eastAsia="ru-RU"/>
        </w:rPr>
        <w:t xml:space="preserve"> </w:t>
      </w:r>
      <w:r w:rsidRPr="00640820">
        <w:rPr>
          <w:rFonts w:ascii="Times New Roman" w:eastAsia="Times New Roman" w:hAnsi="Times New Roman"/>
          <w:bCs/>
          <w:iCs/>
          <w:color w:val="000000" w:themeColor="text1"/>
          <w:sz w:val="16"/>
          <w:szCs w:val="16"/>
          <w:lang w:eastAsia="ru-RU"/>
        </w:rPr>
        <w:t>21</w:t>
      </w:r>
      <w:r w:rsidRPr="00640820">
        <w:rPr>
          <w:rFonts w:ascii="Times New Roman" w:eastAsia="Times New Roman" w:hAnsi="Times New Roman"/>
          <w:color w:val="000000" w:themeColor="text1"/>
          <w:sz w:val="16"/>
          <w:szCs w:val="16"/>
          <w:lang w:eastAsia="ru-RU"/>
        </w:rPr>
        <w:t xml:space="preserve"> ноября 1941 года "О восстановлении эвакуи</w:t>
      </w:r>
      <w:r w:rsidRPr="00640820">
        <w:rPr>
          <w:rFonts w:ascii="Times New Roman" w:eastAsia="Times New Roman" w:hAnsi="Times New Roman"/>
          <w:color w:val="000000" w:themeColor="text1"/>
          <w:sz w:val="16"/>
          <w:szCs w:val="16"/>
          <w:lang w:eastAsia="ru-RU"/>
        </w:rPr>
        <w:softHyphen/>
        <w:t>рованных заводов-поставщиков авиационной промышленности и в целях обеспечения бесперебойного снабжения заводов Наркомавиапрома материалами и кооперированными изделиями,- ПРИКАЗЫВАЮ:</w:t>
      </w:r>
    </w:p>
    <w:p w14:paraId="1929CFC1" w14:textId="77777777" w:rsidR="003918E4" w:rsidRPr="00640820" w:rsidRDefault="003918E4"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...3. Директору Куйбышевского механического завода тов. Каневскому, наряду с организацией производства корпусов для танков, организовать также производство бронекорпусов ИЛ-2, эвакуированное в г.Куйбышев с Подольского завода им. Орджоникидзе, и бронеспинок ,бронедеталей для всех типов самолетов, доведя мощность Куйбышевского механи</w:t>
      </w:r>
      <w:r w:rsidRPr="00640820">
        <w:rPr>
          <w:rFonts w:ascii="Times New Roman" w:eastAsia="Times New Roman" w:hAnsi="Times New Roman"/>
          <w:color w:val="000000" w:themeColor="text1"/>
          <w:sz w:val="16"/>
          <w:szCs w:val="16"/>
          <w:lang w:eastAsia="ru-RU"/>
        </w:rPr>
        <w:softHyphen/>
        <w:t>ческого з вода по изготовлению броне корпусов ИЛ-2 к 1 февраля 1942 г. до 700 штук в месяц, а по выпуску броне</w:t>
      </w:r>
      <w:r w:rsidRPr="00640820">
        <w:rPr>
          <w:rFonts w:ascii="Times New Roman" w:eastAsia="Times New Roman" w:hAnsi="Times New Roman"/>
          <w:color w:val="000000" w:themeColor="text1"/>
          <w:sz w:val="16"/>
          <w:szCs w:val="16"/>
          <w:lang w:eastAsia="ru-RU"/>
        </w:rPr>
        <w:softHyphen/>
        <w:t>спинок и бронедеталей до 1700 комплектов в месяц.</w:t>
      </w:r>
    </w:p>
    <w:p w14:paraId="7413CCBE" w14:textId="77777777" w:rsidR="003918E4" w:rsidRPr="00640820" w:rsidRDefault="003918E4"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4.Предупр едить директоров заводов: СТЗ тов.Горегляд, № 183 тов. Максарева, зам. дир. Кировского т.Махонина, № 264 тов. Щербина, № 174 тов. Кацнельсон, Куйбышевского- тов .Каневского и Ижорского тов. Музрукова, выполняющих заказы и производящих поставки заводам авиационной про</w:t>
      </w:r>
      <w:r w:rsidRPr="00640820">
        <w:rPr>
          <w:rFonts w:ascii="Times New Roman" w:eastAsia="Times New Roman" w:hAnsi="Times New Roman"/>
          <w:color w:val="000000" w:themeColor="text1"/>
          <w:sz w:val="16"/>
          <w:szCs w:val="16"/>
          <w:lang w:eastAsia="ru-RU"/>
        </w:rPr>
        <w:softHyphen/>
        <w:t>мышленности, что они лично отвечают за</w:t>
      </w:r>
      <w:r w:rsidRPr="00640820">
        <w:rPr>
          <w:rFonts w:ascii="Times New Roman" w:eastAsia="Times New Roman" w:hAnsi="Times New Roman"/>
          <w:color w:val="000000" w:themeColor="text1"/>
          <w:sz w:val="16"/>
          <w:szCs w:val="16"/>
        </w:rPr>
        <w:t xml:space="preserve"> </w:t>
      </w:r>
      <w:r w:rsidRPr="00640820">
        <w:rPr>
          <w:rFonts w:ascii="Times New Roman" w:eastAsia="Times New Roman" w:hAnsi="Times New Roman"/>
          <w:color w:val="000000" w:themeColor="text1"/>
          <w:sz w:val="16"/>
          <w:szCs w:val="16"/>
          <w:lang w:eastAsia="ru-RU"/>
        </w:rPr>
        <w:t>восстановление в кратчайшие сроки эвакуированных заводов и бесперебойное снабжение и установить, что выполнение заказов наркоммавиапромы долж о производиться наравне с заказами по тапкам и боеприпасам.</w:t>
      </w:r>
    </w:p>
    <w:p w14:paraId="36A2869E" w14:textId="77777777" w:rsidR="003918E4" w:rsidRPr="00640820" w:rsidRDefault="003918E4"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Вышеуказанным постановлением Г</w:t>
      </w:r>
      <w:r w:rsidRPr="00640820">
        <w:rPr>
          <w:rFonts w:ascii="Times New Roman" w:eastAsia="Times New Roman" w:hAnsi="Times New Roman"/>
          <w:color w:val="000000" w:themeColor="text1"/>
          <w:sz w:val="16"/>
          <w:szCs w:val="16"/>
          <w:lang w:val="en-US"/>
        </w:rPr>
        <w:t>o</w:t>
      </w:r>
      <w:r w:rsidRPr="00640820">
        <w:rPr>
          <w:rFonts w:ascii="Times New Roman" w:eastAsia="Times New Roman" w:hAnsi="Times New Roman"/>
          <w:color w:val="000000" w:themeColor="text1"/>
          <w:sz w:val="16"/>
          <w:szCs w:val="16"/>
        </w:rPr>
        <w:t>с</w:t>
      </w:r>
      <w:r w:rsidRPr="00640820">
        <w:rPr>
          <w:rFonts w:ascii="Times New Roman" w:eastAsia="Times New Roman" w:hAnsi="Times New Roman"/>
          <w:color w:val="000000" w:themeColor="text1"/>
          <w:sz w:val="16"/>
          <w:szCs w:val="16"/>
          <w:lang w:eastAsia="ru-RU"/>
        </w:rPr>
        <w:t>ударственный Комитет Обороны обязал НКПС тов.Кагановича Л.М.:</w:t>
      </w:r>
    </w:p>
    <w:p w14:paraId="14131CF7" w14:textId="77777777" w:rsidR="003918E4" w:rsidRPr="00640820" w:rsidRDefault="003918E4"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а/ дать указание всем начальникам дорог и отделений о беспарепятственной подаче вагонов под грузы, отпразляемые в адреса заводов авиационной промышленности заводами- поставщиками, допуская также отправку мелких партий ба</w:t>
      </w:r>
      <w:r w:rsidRPr="00640820">
        <w:rPr>
          <w:rFonts w:ascii="Times New Roman" w:eastAsia="Times New Roman" w:hAnsi="Times New Roman"/>
          <w:color w:val="000000" w:themeColor="text1"/>
          <w:sz w:val="16"/>
          <w:szCs w:val="16"/>
          <w:lang w:eastAsia="ru-RU"/>
        </w:rPr>
        <w:softHyphen/>
        <w:t>гажом .</w:t>
      </w:r>
    </w:p>
    <w:p w14:paraId="3C4AE0BC" w14:textId="77777777" w:rsidR="003918E4" w:rsidRPr="00640820" w:rsidRDefault="003918E4"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б/ перевозку этих грузов производить наравне с военными;</w:t>
      </w:r>
    </w:p>
    <w:p w14:paraId="1F9C5E32" w14:textId="77777777" w:rsidR="003918E4" w:rsidRPr="00640820" w:rsidRDefault="003918E4"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обеспечить бесперебойную подачу вагонов под изделия заводов авиапромышленности, перевозимые в порядке внутрен</w:t>
      </w:r>
      <w:r w:rsidRPr="00640820">
        <w:rPr>
          <w:rFonts w:ascii="Times New Roman" w:eastAsia="Times New Roman" w:hAnsi="Times New Roman"/>
          <w:color w:val="000000" w:themeColor="text1"/>
          <w:sz w:val="16"/>
          <w:szCs w:val="16"/>
          <w:lang w:eastAsia="ru-RU"/>
        </w:rPr>
        <w:softHyphen/>
        <w:t>ней кооперации, доставляя эти грузы наравне с военными, разрешив сопровождать эти грузы специальными проводниками;</w:t>
      </w:r>
    </w:p>
    <w:p w14:paraId="4CD66C18" w14:textId="77777777" w:rsidR="003918E4" w:rsidRPr="00640820" w:rsidRDefault="003918E4"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принять меры, обеспечивающие ускоренное продвиже</w:t>
      </w:r>
      <w:r w:rsidRPr="00640820">
        <w:rPr>
          <w:rFonts w:ascii="Times New Roman" w:eastAsia="Times New Roman" w:hAnsi="Times New Roman"/>
          <w:color w:val="000000" w:themeColor="text1"/>
          <w:sz w:val="16"/>
          <w:szCs w:val="16"/>
          <w:lang w:eastAsia="ru-RU"/>
        </w:rPr>
        <w:softHyphen/>
        <w:t>ние эшелонов эвакуируемых заводов-поставщиков авиапромыш</w:t>
      </w:r>
      <w:r w:rsidRPr="00640820">
        <w:rPr>
          <w:rFonts w:ascii="Times New Roman" w:eastAsia="Times New Roman" w:hAnsi="Times New Roman"/>
          <w:color w:val="000000" w:themeColor="text1"/>
          <w:sz w:val="16"/>
          <w:szCs w:val="16"/>
          <w:lang w:eastAsia="ru-RU"/>
        </w:rPr>
        <w:softHyphen/>
        <w:t>ленности и в первую очередь завода " Электросталь".</w:t>
      </w:r>
    </w:p>
    <w:p w14:paraId="58FDBCF1" w14:textId="77777777" w:rsidR="003918E4" w:rsidRPr="00640820" w:rsidRDefault="003918E4" w:rsidP="00640820">
      <w:pPr>
        <w:spacing w:after="0" w:line="240" w:lineRule="auto"/>
        <w:jc w:val="both"/>
        <w:rPr>
          <w:rFonts w:ascii="Times New Roman" w:hAnsi="Times New Roman"/>
          <w:color w:val="000000" w:themeColor="text1"/>
          <w:sz w:val="16"/>
          <w:szCs w:val="16"/>
        </w:rPr>
      </w:pPr>
      <w:r w:rsidRPr="00640820">
        <w:rPr>
          <w:rFonts w:ascii="Times New Roman" w:eastAsia="Times New Roman" w:hAnsi="Times New Roman"/>
          <w:color w:val="000000" w:themeColor="text1"/>
          <w:sz w:val="16"/>
          <w:szCs w:val="16"/>
        </w:rPr>
        <w:t>п/п Зам</w:t>
      </w:r>
      <w:r w:rsidRPr="00640820">
        <w:rPr>
          <w:rFonts w:ascii="Times New Roman" w:eastAsia="Times New Roman" w:hAnsi="Times New Roman"/>
          <w:color w:val="000000" w:themeColor="text1"/>
          <w:sz w:val="16"/>
          <w:szCs w:val="16"/>
          <w:lang w:eastAsia="ru-RU"/>
        </w:rPr>
        <w:t>. Народного Комиссара Танковой Промышленности Союза ССР - Зальцман (19793).</w:t>
      </w:r>
    </w:p>
    <w:p w14:paraId="19465CCB" w14:textId="77777777" w:rsidR="003918E4" w:rsidRPr="00640820" w:rsidRDefault="003918E4" w:rsidP="00640820">
      <w:pPr>
        <w:spacing w:after="0" w:line="240" w:lineRule="auto"/>
        <w:jc w:val="both"/>
        <w:rPr>
          <w:rFonts w:ascii="Times New Roman" w:hAnsi="Times New Roman"/>
          <w:color w:val="000000" w:themeColor="text1"/>
          <w:sz w:val="16"/>
          <w:szCs w:val="16"/>
        </w:rPr>
      </w:pPr>
    </w:p>
    <w:p w14:paraId="69B23E3B" w14:textId="77777777" w:rsidR="006A6BE8" w:rsidRPr="00640820" w:rsidRDefault="006A6BE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shd w:val="clear" w:color="auto" w:fill="FFFFFF"/>
        </w:rPr>
        <w:t xml:space="preserve">1 декабря 1941 года последовало распоряжение ГКО о проведении испытаний Valentine с советской 45-мм пушкой. Переделали танк с WD-номером T.27526, изготовленный на Metropolitan Cammell Carriage and Wagon Company (MCCW). Испытания прошли они в период со 2 по 11 декабря. Сначала прошли испытания на </w:t>
      </w:r>
      <w:r w:rsidRPr="00640820">
        <w:rPr>
          <w:rFonts w:ascii="Times New Roman" w:hAnsi="Times New Roman"/>
          <w:color w:val="0070C0"/>
          <w:sz w:val="16"/>
          <w:szCs w:val="16"/>
          <w:shd w:val="clear" w:color="auto" w:fill="FFFFFF"/>
        </w:rPr>
        <w:lastRenderedPageBreak/>
        <w:t>заводском полигоне, где после 20 выстрелов обычным зарядом и 20 усиленным орудие признали выдержавшим проверку на прочность. Также вполне успешно прошли испытания и дальнейшие испытания. Наиболее серьёзным дефектом стало перекрещивание рукояток механизмов наводки в крайних положениях. Остальные дефекты более-менее соответствовали тем же проблемам, которые наблюдались и на обычном танке (22723).</w:t>
      </w:r>
    </w:p>
    <w:p w14:paraId="760A51A5" w14:textId="77777777" w:rsidR="006A6BE8" w:rsidRPr="00640820" w:rsidRDefault="006A6BE8" w:rsidP="00640820">
      <w:pPr>
        <w:spacing w:after="0" w:line="240" w:lineRule="auto"/>
        <w:jc w:val="both"/>
        <w:rPr>
          <w:rFonts w:ascii="Times New Roman" w:hAnsi="Times New Roman"/>
          <w:color w:val="0070C0"/>
          <w:sz w:val="16"/>
          <w:szCs w:val="16"/>
        </w:rPr>
      </w:pPr>
    </w:p>
    <w:p w14:paraId="69DF515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декабря 1941 года вышел Приказ НКБ № 660:</w:t>
      </w:r>
    </w:p>
    <w:p w14:paraId="37418D8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 лаборатории НИИ-6 (за исключением лабораторий пиротехники, зажигательных составов и нитроглицериновых порохов), а также КБ и зарядное бюро сосредоточить в Кемерово на комбинатах №№ 392 и 319.</w:t>
      </w:r>
    </w:p>
    <w:p w14:paraId="68DFD3C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Немедленно приступить к организации работы филиала НИИ-6 при заводе № 320 (Чебоксары) по пиротехнике и зажигательным составам, наименовав его филиал № 1 НИИ-6.</w:t>
      </w:r>
    </w:p>
    <w:p w14:paraId="6DCC61A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заводе № 98 в Молотове организовать филиал НИИ-6 по нитроглицериновым порохам, наименовав его филиал № 2 НИИ-6 (5673, 183-184).</w:t>
      </w:r>
    </w:p>
    <w:p w14:paraId="54CBB7E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5C2B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декабря 1941 г. по приказу НКБ № 660 на заводе № 320 в Чебоксарах на базе эвакуированной пиротехнической лаборатории института организовали Филиал № 1 НИИ-6 НКБ. Филиал действовал по 05.1943 г. Далее- это опять пиротехническая лаборатория НИИ-6.</w:t>
      </w:r>
    </w:p>
    <w:p w14:paraId="38F832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(1941 г.-)- А.П. Ионов, Н.Ф.Ус.</w:t>
      </w:r>
    </w:p>
    <w:p w14:paraId="24BA11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начальника (1941 г.-)- И.И. Вернидуб.</w:t>
      </w:r>
    </w:p>
    <w:p w14:paraId="112C97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Технический руководитель (1941 г.-)- И.И. Вернидуб (11982).</w:t>
      </w:r>
    </w:p>
    <w:p w14:paraId="76B66487" w14:textId="77777777" w:rsidR="00EE3BEC" w:rsidRPr="00640820" w:rsidRDefault="00EE3BE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3B884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декабря 1941 года вышел Приказ НКБ № 662:</w:t>
      </w:r>
    </w:p>
    <w:p w14:paraId="5CE7E1B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принятом ликероводочном заводе в Омске разместить эвакуированное взрывательное производство завода № 510, который передать в систему 2 Гл. управления.</w:t>
      </w:r>
    </w:p>
    <w:p w14:paraId="46CBD04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заводом оставить присвоенный ему № 510 (5673, 190).</w:t>
      </w:r>
    </w:p>
    <w:p w14:paraId="1400F0C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20FD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 декабря 1941 состолся объединенный пленум Удмуртского обкома и Ижевского горкома ВКП (б) о задачах по освоению выпуска пулеметов "Максим" на Ижевском мотоциклетном заводе </w:t>
      </w:r>
    </w:p>
    <w:p w14:paraId="239F36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выступления первого секретаря Удмуртского обкома ВКП (б), уполномоченного ГКО СССР по Удмуртской АССР А.П. Чекинова на заседании объединенного пленума Удмуртского обкома и Ижевского горкома ВКП (б) о задачах по освоению выпуска пулеметов "Максим" на Ижевском мотоциклетном заводе</w:t>
      </w:r>
    </w:p>
    <w:p w14:paraId="2E04EC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Строго секретно</w:t>
      </w:r>
    </w:p>
    <w:p w14:paraId="0DFF24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 не могли не заметить выражение, которое я употребляю здесь: "в последние дни". Это не случайность. В самом деле, жизнь так быстро шагает вперед, что каждый день мы получаем все новое и новое. В процессе подготовки материала к пленуму обкома я должен был пересмотреть материал по одному нашему ответственному заводу в республике. Речь идет о мотозаводе. Я должен был несколько отложить это дело в силу того, что задачи, которые поставлены сейчас перед заводом целиком изменились, и на нашей с вами совести сейчас лежит - в течение декабря оснастить, отлить и пустить в производство на мотозаводе пулемет "Максим". Государственный Комитет Обороны нашел нужным производить на этом заводе вместо мотоциклов пулемет "Максим".</w:t>
      </w:r>
    </w:p>
    <w:p w14:paraId="101659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Думаю, что задача эта нам по плечу. Однако, должен предупредить товарищей с мотозавода, товарищей из районного комитета партии, что это очень трудное дело. Пулемет "Максим", пожалуй, потруднее технологически, несмотря на то, что это всемирно-известная система. Технологически трудная машина.</w:t>
      </w:r>
    </w:p>
    <w:p w14:paraId="44872E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того, чтобы освоить в такой короткий срок, баснословно короткий срок - за месяц - с оснасткой пустить в производство пулемет на заводе, который никогда его не делал. Задача колоссальная, но она должна быть решена любой ценой. Пулемет "Максим" нужен позарез и мы должны его дать. Основное производство, которое было в Туле доехало, но пулемета "Максим" пока не дает. И этот перерыв, видимо, создал острую нужду в пулемете.</w:t>
      </w:r>
    </w:p>
    <w:p w14:paraId="11064A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Есть просьба поправить место в руководстве мотозавода. Нужно будет попробовать, но, прямо говоря, дело чести мотозавода, дело чести городской партийной организации задание по выпуску пулемета выполнить. [...] </w:t>
      </w:r>
    </w:p>
    <w:p w14:paraId="395D72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ЦДНИ УР, ф.16, оп.1, д.3192, л.22. Подлинник. Машинопись (9681).</w:t>
      </w:r>
    </w:p>
    <w:p w14:paraId="50F4A1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3E636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декабря 1941 г. была Правительственная телеграмма о создании Томского завода «Манометр» Правительственная 3 адреса</w:t>
      </w:r>
    </w:p>
    <w:p w14:paraId="41BFE0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Томск секретарю горкома ВКП(б)</w:t>
      </w:r>
    </w:p>
    <w:p w14:paraId="7923DF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копия: председателю горисполкома</w:t>
      </w:r>
    </w:p>
    <w:p w14:paraId="703B52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копия: Томскому заводу изм. приборов</w:t>
      </w:r>
    </w:p>
    <w:p w14:paraId="2EC8F5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Ранее эвакуированные из Ленинграда в Томск заводы «Молодой ударник», Оптико-механический и ЛЕНГЗИП, объединенные в Томский завод измерительных приборов, передан[ы] в распоряжение директора завода «Манометр» со всеми отведенными производственными и вспомогательными площадями для создания единого Томского завода «Манометр». Прошу оказать содействие для быстрейшего развертывания производства манометров в размерах, обеспечивающих их нормальную работу для авиационной и танковой промышленности.</w:t>
      </w:r>
    </w:p>
    <w:p w14:paraId="6E7486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Наркомминвооружения Паршин. А-12668.</w:t>
      </w:r>
    </w:p>
    <w:p w14:paraId="0764C4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ЦДНИ ТО. Ф. 80. Оп.3. Д. 88. Л. 197 (11014).</w:t>
      </w:r>
    </w:p>
    <w:p w14:paraId="3FC44B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88D71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декабря 1941г. на базе эвакуированного в Томск московского завода «Манометр» был основан Завод № 838 НКМВ, Завод «Манометр» НКМВ, Томский манометровый завод ММиП, ОАО «Манотомь» /г. Томск Новосибирской обл. (1942г.) пр. Тимирязева, 68 «Манометр» (1948г.)/ /634061 г. Томск пр. Комсомольский, 62/. Размещен на площадке бывшего ликеро-водочного завода. Выпуск продукции начат в 01.1942г. и составлял в годы войны 1-1,5 тыс. приборов в сутки. В 06.1942г. завод - в ведении Главприбора НКМВ. В соответствии с пост. СНК № 837-430сс от 3.06.1942г. и приказом НКМВ № 250с от 7.07.1942г. завод «Манометр» НКМВ переименован в завод № 838 в ведении 5ГУ.</w:t>
      </w:r>
    </w:p>
    <w:p w14:paraId="1538E5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1947-48г. Томский манометровый завод - в ведении Главлаборприбора ММиП.</w:t>
      </w:r>
    </w:p>
    <w:p w14:paraId="42CD72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предприятия (1947г.) цехи: основные: приборостроения № 3, механической обработки манометров № 4, манометровый № 5, покрытий № 6, штамповочный № 8, литейный № 10; вспомогательные: паросиловой № 1, экспериментальный № 2, инструментальный № 7, ремонтно-механический № 9, электроцех № 11, столярно- тарный№ 12.</w:t>
      </w:r>
    </w:p>
    <w:p w14:paraId="5EADA6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объем производства увеличен в 2,5 раза. Завод выпускал манометры, манометрические краны, лаги, регуляторы давления, шахтные скоростемеры, тахометры.</w:t>
      </w:r>
    </w:p>
    <w:p w14:paraId="46CF25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1952г. решением правительства было начато строительство нового завода, которому был поручен выпуск аммиачных и электроконтактных манометров, термометров. В 1958-61г. на новой площадке по Тимирязевскому (затем- Комсомольскому) пр. были построены новые корпуса № 1, 2, 3 и 4. В 1968г. построен корпус № 5. Были созданы ЦЗЛ, лаборатория измерительной техники, контрольно-испытательная станция. В 1970-е-80-е г. номенклатура выпускаемых приборов расширена до 60 наименований. В 1980-е г. был проведено техническое перевооружение предприятия. Действовало 12 производственных цехов.</w:t>
      </w:r>
    </w:p>
    <w:p w14:paraId="13E0D0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1993г. предприятие акционировано и преобразовано в ОАО «Манотомь».</w:t>
      </w:r>
    </w:p>
    <w:p w14:paraId="329906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2000-х г. выпускалось более 30 типов приборов.</w:t>
      </w:r>
    </w:p>
    <w:p w14:paraId="33ACFF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(1946г.)- 329 ед., (1947г.)- 416 ед.</w:t>
      </w:r>
    </w:p>
    <w:p w14:paraId="0ED5C6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территории (1947г.)- 2,74 га; застройки (1947г.)- 6321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производственная (1946г.)- 3650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(1947г.)- 4289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3A293E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(1946г.)- 934 чел., (1947г.)- 959 чел., (1980-е)- 4500 чел., (2000-е)-1100 чел.</w:t>
      </w:r>
    </w:p>
    <w:p w14:paraId="5B3C65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(1941г.)- Б. Пиль, (06.1942г.)- Жуков, (1948г.)- Баранов.</w:t>
      </w:r>
    </w:p>
    <w:p w14:paraId="36FBE3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(1942-46г.)- Ю.Я. Базилевский, (1948г.)- Спивак.</w:t>
      </w:r>
    </w:p>
    <w:p w14:paraId="786112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взрыватель КВ-2 (ВОВ);</w:t>
      </w:r>
      <w:r w:rsidRPr="00640820">
        <w:rPr>
          <w:rFonts w:ascii="Times New Roman" w:hAnsi="Times New Roman"/>
          <w:iCs/>
          <w:color w:val="000000" w:themeColor="text1"/>
          <w:sz w:val="16"/>
          <w:szCs w:val="16"/>
        </w:rPr>
        <w:t xml:space="preserve"> манометры:</w:t>
      </w:r>
      <w:r w:rsidRPr="00640820">
        <w:rPr>
          <w:rFonts w:ascii="Times New Roman" w:hAnsi="Times New Roman"/>
          <w:color w:val="000000" w:themeColor="text1"/>
          <w:sz w:val="16"/>
          <w:szCs w:val="16"/>
        </w:rPr>
        <w:t xml:space="preserve"> гидравлические МГ-Н, паровозные МП-А, ФД, пульсирующие, тормозные ИТ-150, финиметры, кислородные М-60, аммиачные М-</w:t>
      </w:r>
      <w:r w:rsidRPr="00640820">
        <w:rPr>
          <w:rFonts w:ascii="Times New Roman" w:hAnsi="Times New Roman"/>
          <w:color w:val="000000" w:themeColor="text1"/>
          <w:sz w:val="16"/>
          <w:szCs w:val="16"/>
          <w:lang w:val="en-US"/>
        </w:rPr>
        <w:t>AM</w:t>
      </w:r>
      <w:r w:rsidRPr="00640820">
        <w:rPr>
          <w:rFonts w:ascii="Times New Roman" w:hAnsi="Times New Roman"/>
          <w:color w:val="000000" w:themeColor="text1"/>
          <w:sz w:val="16"/>
          <w:szCs w:val="16"/>
        </w:rPr>
        <w:t>, артиллерийские, дифференциальные, котловые; тахометры ТС-120, краны: манометрические КТК, контрольные, ПК; предохранительные клапаны ППК (1947).</w:t>
      </w:r>
      <w:r w:rsidRPr="00640820">
        <w:rPr>
          <w:rFonts w:ascii="Times New Roman" w:hAnsi="Times New Roman"/>
          <w:color w:val="000000" w:themeColor="text1"/>
          <w:sz w:val="16"/>
          <w:szCs w:val="16"/>
          <w:vertAlign w:val="superscript"/>
        </w:rPr>
        <w:t>129</w:t>
      </w:r>
    </w:p>
    <w:p w14:paraId="3F01B0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EE81A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декабря 1941 Адмиралтейцы приступили к ремонту ледокольного парохода "Волынец" и эсминца "Стойкий", поврежденного во время эвакуации гарнизона с полуострова Ханко (10671).</w:t>
      </w:r>
    </w:p>
    <w:p w14:paraId="69577B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C2848CA"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107D4EF1"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24A3A0F"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 декабря </w:t>
      </w:r>
      <w:r w:rsidRPr="00640820">
        <w:rPr>
          <w:rFonts w:ascii="Times New Roman" w:hAnsi="Times New Roman"/>
          <w:color w:val="000000" w:themeColor="text1"/>
          <w:sz w:val="16"/>
          <w:szCs w:val="16"/>
        </w:rPr>
        <w:t>в 1941 году утреннее сообщение Совинформбюро:</w:t>
      </w:r>
    </w:p>
    <w:p w14:paraId="64A2285D"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1 декабря наши части вели бои с противником на всех фронтах.</w:t>
      </w:r>
    </w:p>
    <w:p w14:paraId="3BF36C99"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семидневных боях на одном из участков Юго-Западного фронта наши бойцы уничтожили 15 немецких танков, 10 бронемашин, 50 автомашин, 11 орудий, 15 пулемётов, 3 миномётные батареи и истребили свыше 1.500 немецких солдат и офицеров.</w:t>
      </w:r>
    </w:p>
    <w:p w14:paraId="049A0A3E"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Группа советских самолётов лейтенанта тов. Иванова, внезапно атаковав скопление противника в деревне Д., уничтожила 10 немецких танков, 15 танкеток, 75 автомашин, 4 орудия, 5 пулемётно-зенитных установок и штабную машину противника.</w:t>
      </w:r>
    </w:p>
    <w:p w14:paraId="2487AC24"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Нарвском лагере для советских военнопленных фашистское командование создало невыносимую обстановку. Красноармейцы спят вповалку на голой земле под открытым небом. Охранники из отрядов «СС» отняли у пленных шинели, телогрейки, валенки, бельё и взамен этого выдали ветхое, пришедшее в негодность летнее обмундирование немецких солдат. Военнопленных заставляют по 14 часов в сутки выполнять изнурительные земляные работы. Изверги запрягают по 5-10 красноармейцев в сани и принуждают их перевозить железнодорожные рельсы. Установлены факты, что военнопленных, одетых в немецкую форму, направляют на передовые линии фронта для строительства укреплении и подвоза боеприпасов. Охранники избивают изнурённых и раненых красноармейцев. Все это приводит к массовым заболеваниям. От голода и болезней в лагерях умирает много военнопленных.</w:t>
      </w:r>
    </w:p>
    <w:p w14:paraId="03E39CBA"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Трудящиеся Туркмении своей самоотверженной работой укрепляют обороноспособность Советского Союза. Многие предприятия республики уже выполнили производственные планы 1941 года. 18 ноября закончил годовую программу Байрам-Алийский хлопкозавод, давший стране продукцию исключительно высшего и первого сортов. На 49 дней раньше срока выполнила годовой план Ашхабадская шёлкомотальная фабрика. Коллектив этой фабрики, значительно сократив расходование сырья, сэкономил государству 670 тысяч рублей. Закончили годовую программу Ашхабадский хлопкозавод и Чарджуйские шёлкомотальная и ватная фабрики. На больших скоростях водят поезда машинисты Ашхабадской железной дороги. Инициаторы сталинских вахт среди железнодорожников Туркмении машинисты т.т. Климов и Ковалевич за одну поездку сэкономили 1.682 килограмма нефти. От паровозных бригад не отстают стахановцы подсобных цехов-депо. Токари т.т. Иванов и Боярский ежедневно выполняют по 350-360 процентов нормы.» (14847).</w:t>
      </w:r>
    </w:p>
    <w:p w14:paraId="4E002F29" w14:textId="77777777" w:rsidR="00EE3BEC" w:rsidRPr="00640820" w:rsidRDefault="00EE3BEC" w:rsidP="00640820">
      <w:pPr>
        <w:spacing w:after="0" w:line="240" w:lineRule="auto"/>
        <w:jc w:val="both"/>
        <w:rPr>
          <w:rFonts w:ascii="Times New Roman" w:hAnsi="Times New Roman"/>
          <w:color w:val="000000" w:themeColor="text1"/>
          <w:sz w:val="16"/>
          <w:szCs w:val="16"/>
        </w:rPr>
      </w:pPr>
    </w:p>
    <w:p w14:paraId="781E1C72"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 декабря </w:t>
      </w:r>
      <w:r w:rsidRPr="00640820">
        <w:rPr>
          <w:rFonts w:ascii="Times New Roman" w:hAnsi="Times New Roman"/>
          <w:color w:val="000000" w:themeColor="text1"/>
          <w:sz w:val="16"/>
          <w:szCs w:val="16"/>
        </w:rPr>
        <w:t>в 1941 году вечернее сообщение Совинформбюро:</w:t>
      </w:r>
    </w:p>
    <w:p w14:paraId="3636387A"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1 декабря наши войска вели бои с противником на всех фронтах. На Западном фронте отбито несколько ожесточённых атак противника с большими для него потерями. На Ростовском участке фронта советские войска продолжают преследовать немецкие войска. Захвачены новые трофеи.</w:t>
      </w:r>
    </w:p>
    <w:p w14:paraId="59216BEC"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30 ноября уничтожено 59 немецких самолётов. Наши потери — 17 самолётов.</w:t>
      </w:r>
    </w:p>
    <w:p w14:paraId="72362123"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 декабря под Москвой огнём зенитной артиллерии сбито 4 немецких самолёта.</w:t>
      </w:r>
    </w:p>
    <w:p w14:paraId="21A224D7"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30 ноября нашей авиацией уничтожено и выведено из строя 215 немецких танков, 6 бронемашин, 1.400 автомашин с войсками и грузами, 34 полевых орудия и 20 минометов, 400 повозок с военным снаряжением, 5 автоцистерн с горючим, крупный склад горючего, истреблено и рассеяно более 3 полков вражеской пехоты.</w:t>
      </w:r>
    </w:p>
    <w:p w14:paraId="646C1FF3"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Часть тов. Березина, действующая на одном из участков Западного фронта, в ожесточённом бою с противником уничтожила 2 танка, 18 бронемашин, 90 автомашин с военными грузами, 3 миномётных батареи, несколько орудий и два больших обоза с боеприпасами. На поле боя осталось 1.500 убитых немецких солдат и офицеров.</w:t>
      </w:r>
    </w:p>
    <w:p w14:paraId="231290EF"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Бойцы части тов. Ларичева, действующей на одном из участков Северо-Западного фронта, за 8 дней боёв отбили у немцев 15 населённых пунктов и захватили 3 исправных танка, 16 миномётов, 400 винтовок и много других трофеев.</w:t>
      </w:r>
    </w:p>
    <w:p w14:paraId="1A4EEAA2"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Смелым налётом кавалеристы старшего лейтенанта Еременко захватили у противника 130 грузовых, 30 легковых машин и 70 мотоциклов.</w:t>
      </w:r>
    </w:p>
    <w:p w14:paraId="608BF91B"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Партизаны Тульской области успешно истребляют немецких солдат, уничтожают вооружение и транспорт фашистской армии. Партизанский отряд тов. Ч. минировал в одном селении два уцелевших дома. Ночью, когда немцы, занявшие село, улеглись спать, дома были взорваны. Уничтожено 17 гитлеровцев. Объединённые партизанские отряды совершили в ночь под 20 ноября нападение на колонну немцев. Фашисты расположились на отдых, оставив у грузовых машин часовых. Партизаны бесшумно сняли часовых, перегрузили на сани 12 станковых пулемётов, 85 винтовок, 20 автоматов, ящик с пистолетами и много боеприпасов. Затем машины были облиты бензином и подожжены. Выскакивающих из палаток и землянок немецких солдат партизаны расстреляли из пулемётов и перекололи штыками. Всего во время этой операции истреблено около 120 фашистских захватчиков.</w:t>
      </w:r>
    </w:p>
    <w:p w14:paraId="74E059BF"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Письма немецких солдат с Восточного фронта к своим родным с каждым днём становятся всё мрачнее. Ефрейтор Вилли Гратте пишет своим родственникам: «Многие товарищи уже поплатились своей молодой жизнью... Безлюдье и запустение вокруг. Нам ещё предстоят тяжёлые бои, из которых лишь немногие возвратятся на родину, если вообще кто-либо возвратится».</w:t>
      </w:r>
    </w:p>
    <w:p w14:paraId="5DDFE587"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Георг Бишоф сообщает своему бывшему сослуживцу ефрейтору Людвигу Клумпе: «...Были тяжёлые и ожесточённые бои. Тебе, вероятно, хочется знать, кого уже</w:t>
      </w:r>
    </w:p>
    <w:p w14:paraId="717550AB"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нет между нами. Убито 20 человек. Я тебе их всех перечислю: Генке, Леве, Видау, Френк, Керкелинг, Лендлин, Синитц Дреспе, Рубель, Брандштеттер, Шейне-ман, Ланоин, Крюгер, Афльфред, Гейнц, Гальц, Ферт, Квальман, Бухвальд, Наффен. Число раненых дошло до 60. Нас осталась лишь маленькая кучка, которой удалось вырваться из ада. Витт также ранен. И Герберт ранен. Всех не перечислишь». На невыносимые холода жалуется в письме к своей жене и солдат Гюнтер: «У нас уже снег... Собачий холод. Я хотел бы быть с вами дома, а не в холодной России. Пришли мне 2 пары тёплых носков и пару обмоток. Должен кончать, так как у меня застыли пальцы». Немецкий офицер Ганс пишет жене Лотте в Берлин: «...Наша кучка опять уменьшилась. Убиты лейтенант Бреннеке, которого ты знаешь, один унтер-офицер и 4 солдата. Я выкарабкался. Тут у нас уже чувствительный холод…»</w:t>
      </w:r>
    </w:p>
    <w:p w14:paraId="3CA4AE27"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Немецкие захватчики продолжают грабить крестьян оккупированных областей Франции. Недавно фашисты вторично провели реквизицию зерна, льна и других сельскохозяйственных продуктов, В департаменте Сены немцы забрали у крестьян лошадей, оставшихся от первой реквизиции.</w:t>
      </w:r>
    </w:p>
    <w:p w14:paraId="14B9D5BA"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Грабежи и насилия, совершаемые немецкими извергами, ещё более усилили движение французских патриотов. В окрестностях города Ножан-ле-Ретру недавно сгорели 15 складов реквизированного хлеба. Многочисленные пожары складов с зерном произошли и в Уаз. В Бовэ патриоты сожгли немецкий склад льна стоимостью в два миллиона франков.»</w:t>
      </w:r>
    </w:p>
    <w:p w14:paraId="384905F4"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Переполох в стане гитлеровской банды.</w:t>
      </w:r>
    </w:p>
    <w:p w14:paraId="6476431F"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«Взятие Ростова советскими войсками вызвало большой переполох в стане немецко-фашистской банды. Вся германская печать в течение нескольких дней описывала «завоевание Ростова» войсками генерала Клевета и якобы уничтожение советских войск на этом участке фронта. Теперь, когда фашисты вынуждены невразумительно сообщить немецкому народу и всему миру, что неоднократно «уничтоженные» советские войска взяли обратно Ростов, гитлеровские пустобрёхи попали в весьма затруднительное положение. Окончательно запутавшись в попытках как-то объяснить собственную брехню, немцы объявили в дополнении к сводке германского командования от 29 ноября, что Ростов был взят не советскими войсками, а... гражданским населением города. В сводке германского командования говорится, что «большевики побудили население Ростова к борьбе в тылу германских войск» и что «этот противоречащий международным правилам способ борьбы привёл к тому, что германские войска, занявшие Ростов, получили приказ очистить внутреннюю часть города». Однако, выпустив в свет это смехотворное сообщение, гитлеровские дурачки, видимо, забыли, что они только два дня назад объявили, будто бы население Ростова встретило германские войска «со слезами радости на глазах».</w:t>
      </w:r>
    </w:p>
    <w:p w14:paraId="27F9E22A"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Таким образом гитлеровская шайка вконец запуталась в собственной непролазной лжи.</w:t>
      </w:r>
    </w:p>
    <w:p w14:paraId="3866404C"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Лишь одна правда проскользнула в очередную немецкую сводку — это признание диких зверств гитлеровцев в дни оккупации города. В сводке германского командования сообщается, что оккупационные войска получили приказ «Беспощадно провести необходимые репрессивные мероприятия против населения, которое приняло участие в борьбе в тылу у германских войск».</w:t>
      </w:r>
    </w:p>
    <w:p w14:paraId="45BD71AF"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Население Ростова в течение нескольких дней подвергалось беспощадному истреблению, диким зверствам и издевательствам со стороны немецко-фашистских захватчиков.</w:t>
      </w:r>
    </w:p>
    <w:p w14:paraId="0FBF2AC2"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Нельзя не отметить также следующего обстоятельства. В дополнении к сводке германского командования германское информационное бюро сквозь зубы процедило, что «большевики, возможно, выпустят теперь сообщения о том, что они обратно отвоевали Ростов. Но об этом не может быть и речи».</w:t>
      </w:r>
    </w:p>
    <w:p w14:paraId="33D80255"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Однако над Ростовом снова развевается славное советское знамя.</w:t>
      </w:r>
    </w:p>
    <w:p w14:paraId="00DE5704"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Плохи, очень плохи стали дела гитлеровских брехунов.»</w:t>
      </w:r>
    </w:p>
    <w:p w14:paraId="6CBCE9A6"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последний час.</w:t>
      </w:r>
    </w:p>
    <w:p w14:paraId="265C8429"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Трофеи наших южных армий.</w:t>
      </w:r>
    </w:p>
    <w:p w14:paraId="4646EBD7"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результате разгрома группы немецких войск генерала Клейста наши войска, освободившие Ростов и продолжающие своё наступление на запад от Ростова, захватили следующие трофеи: танков — 118, орудий — 210, пулемётов — 306, миномётов — 178, винтовок — 4.050, автомашин — 871 и много другого вооружения и военного имущества.</w:t>
      </w:r>
    </w:p>
    <w:p w14:paraId="29D273DE"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Сведения эти неполные и предварительные, так как нет пока возможности подсчитать в разгаре наступления все трофеи.</w:t>
      </w:r>
    </w:p>
    <w:p w14:paraId="09B3E08C"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Наибольшее количество трофеев выпало на долю нашей 37 армии во главе с генерал-майором тов. Лопатиным, которая собственно и решила своими умелыми действиями судьбу войск генерала Клейста.</w:t>
      </w:r>
    </w:p>
    <w:p w14:paraId="54BA069E"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7 дней операций в районе Ростова наши самолёты и зенитные орудия сбили 102 самолета противника.» (14847).</w:t>
      </w:r>
    </w:p>
    <w:p w14:paraId="7F9CB83B" w14:textId="77777777" w:rsidR="00EE3BEC" w:rsidRPr="00640820" w:rsidRDefault="00EE3BEC" w:rsidP="00640820">
      <w:pPr>
        <w:spacing w:after="0" w:line="240" w:lineRule="auto"/>
        <w:jc w:val="both"/>
        <w:rPr>
          <w:rFonts w:ascii="Times New Roman" w:hAnsi="Times New Roman"/>
          <w:color w:val="000000" w:themeColor="text1"/>
          <w:sz w:val="16"/>
          <w:szCs w:val="16"/>
        </w:rPr>
      </w:pPr>
    </w:p>
    <w:p w14:paraId="3A54B1A9"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 декабря </w:t>
      </w:r>
      <w:r w:rsidRPr="00640820">
        <w:rPr>
          <w:rFonts w:ascii="Times New Roman" w:hAnsi="Times New Roman"/>
          <w:color w:val="000000" w:themeColor="text1"/>
          <w:sz w:val="16"/>
          <w:szCs w:val="16"/>
        </w:rPr>
        <w:t>в 1941 году началась Наро-Фоминская оборонительная операция войск центра Западного фронта (генерал армии Г.К.Жуков), продолжавшаяся до 5 декабря (14847).</w:t>
      </w:r>
    </w:p>
    <w:p w14:paraId="5E306E8B" w14:textId="77777777" w:rsidR="00EE3BEC" w:rsidRPr="00640820" w:rsidRDefault="00EE3BEC" w:rsidP="00640820">
      <w:pPr>
        <w:spacing w:after="0" w:line="240" w:lineRule="auto"/>
        <w:jc w:val="both"/>
        <w:rPr>
          <w:rFonts w:ascii="Times New Roman" w:hAnsi="Times New Roman"/>
          <w:color w:val="000000" w:themeColor="text1"/>
          <w:sz w:val="16"/>
          <w:szCs w:val="16"/>
        </w:rPr>
      </w:pPr>
    </w:p>
    <w:p w14:paraId="030DB5A6" w14:textId="77777777" w:rsidR="00EE3BEC" w:rsidRPr="00640820" w:rsidRDefault="00EE3BEC"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 декабря </w:t>
      </w:r>
      <w:r w:rsidRPr="00640820">
        <w:rPr>
          <w:rFonts w:ascii="Times New Roman" w:hAnsi="Times New Roman"/>
          <w:color w:val="000000" w:themeColor="text1"/>
          <w:sz w:val="16"/>
          <w:szCs w:val="16"/>
        </w:rPr>
        <w:t>в 1941 году начало партизанского рейда объединённого отряда (затем соединения) С.А.Ковпака и С.В.Руднева на Сумщину из Хинельских лесов (на стыке Брянской и Курской области), продолжавшегося до февраля 1942 г (14847).</w:t>
      </w:r>
    </w:p>
    <w:p w14:paraId="3FFE4B0A" w14:textId="77777777" w:rsidR="00EE3BEC" w:rsidRPr="00640820" w:rsidRDefault="00EE3BEC" w:rsidP="00640820">
      <w:pPr>
        <w:spacing w:after="0" w:line="240" w:lineRule="auto"/>
        <w:jc w:val="both"/>
        <w:rPr>
          <w:rFonts w:ascii="Times New Roman" w:hAnsi="Times New Roman"/>
          <w:color w:val="000000" w:themeColor="text1"/>
          <w:sz w:val="16"/>
          <w:szCs w:val="16"/>
        </w:rPr>
      </w:pPr>
    </w:p>
    <w:p w14:paraId="5B7B65C4" w14:textId="77777777" w:rsidR="006A6BE8" w:rsidRPr="00640820" w:rsidRDefault="006A6BE8" w:rsidP="00640820">
      <w:pPr>
        <w:shd w:val="clear" w:color="auto" w:fill="FFFFFF"/>
        <w:spacing w:after="0" w:line="240" w:lineRule="auto"/>
        <w:jc w:val="both"/>
        <w:rPr>
          <w:rFonts w:ascii="Times New Roman" w:hAnsi="Times New Roman"/>
          <w:color w:val="0070C0"/>
          <w:sz w:val="16"/>
          <w:szCs w:val="16"/>
        </w:rPr>
      </w:pPr>
      <w:r w:rsidRPr="00640820">
        <w:rPr>
          <w:rFonts w:ascii="Times New Roman" w:eastAsia="Times New Roman" w:hAnsi="Times New Roman"/>
          <w:color w:val="0070C0"/>
          <w:sz w:val="16"/>
          <w:szCs w:val="16"/>
        </w:rPr>
        <w:t>1 декабря 1941 г. командир 61-го шап подполковник С.Н. Мамушкин был вынужден направить на имя Командующего ГУ ВВС РККА генерал-полковника П.Ф. Жигарева письмо, в котором обращал внимание руководства ВВС на совершенно недопустимое положение дел с подготовкой летного состава для штурмовых авиаполков в центрах формирования.</w:t>
      </w:r>
    </w:p>
    <w:p w14:paraId="27FBE7B9" w14:textId="77777777" w:rsidR="006A6BE8" w:rsidRPr="00640820" w:rsidRDefault="006A6BE8" w:rsidP="00640820">
      <w:pPr>
        <w:shd w:val="clear" w:color="auto" w:fill="FFFFFF"/>
        <w:spacing w:after="0" w:line="240" w:lineRule="auto"/>
        <w:jc w:val="both"/>
        <w:rPr>
          <w:rFonts w:ascii="Times New Roman" w:hAnsi="Times New Roman"/>
          <w:color w:val="0070C0"/>
          <w:sz w:val="16"/>
          <w:szCs w:val="16"/>
        </w:rPr>
      </w:pPr>
      <w:r w:rsidRPr="00640820">
        <w:rPr>
          <w:rFonts w:ascii="Times New Roman" w:eastAsia="Times New Roman" w:hAnsi="Times New Roman"/>
          <w:color w:val="0070C0"/>
          <w:sz w:val="16"/>
          <w:szCs w:val="16"/>
        </w:rPr>
        <w:t>«Необходимо решительным образом перестроить подготовку полков для выполнения боевых заданий на фронте. Спешки в этом вопросе не должно быть, ибо есть горькие опыты отдельных полков, которые существовали на фронте один-два дня, по причине того, что зачастую полки формировались за один-два дня до отлета - отсюда командиры всех степеней в полку не знали своих подчиненных не только по их технике пи</w:t>
      </w:r>
      <w:r w:rsidRPr="00640820">
        <w:rPr>
          <w:rFonts w:ascii="Times New Roman" w:eastAsia="Times New Roman" w:hAnsi="Times New Roman"/>
          <w:color w:val="0070C0"/>
          <w:sz w:val="16"/>
          <w:szCs w:val="16"/>
        </w:rPr>
        <w:softHyphen/>
        <w:t>лотирования, но даже по фамилиям», - писал Мамушкин (ЦАМО РФ, ф. 208, оп. 2589, д. 66, л. 55-56)</w:t>
      </w:r>
      <w:r w:rsidRPr="00640820">
        <w:rPr>
          <w:rFonts w:ascii="Times New Roman" w:eastAsia="Times New Roman" w:hAnsi="Times New Roman"/>
          <w:color w:val="0070C0"/>
          <w:sz w:val="16"/>
          <w:szCs w:val="16"/>
          <w:vertAlign w:val="superscript"/>
        </w:rPr>
        <w:t>1</w:t>
      </w:r>
      <w:r w:rsidRPr="00640820">
        <w:rPr>
          <w:rFonts w:ascii="Times New Roman" w:eastAsia="Times New Roman" w:hAnsi="Times New Roman"/>
          <w:color w:val="0070C0"/>
          <w:sz w:val="16"/>
          <w:szCs w:val="16"/>
        </w:rPr>
        <w:t>. (20186).</w:t>
      </w:r>
    </w:p>
    <w:p w14:paraId="05F55DAE" w14:textId="77777777" w:rsidR="006A6BE8" w:rsidRPr="00640820" w:rsidRDefault="006A6BE8" w:rsidP="00640820">
      <w:pPr>
        <w:shd w:val="clear" w:color="auto" w:fill="FFFFFF"/>
        <w:spacing w:after="0" w:line="240" w:lineRule="auto"/>
        <w:jc w:val="both"/>
        <w:rPr>
          <w:rFonts w:ascii="Times New Roman" w:hAnsi="Times New Roman"/>
          <w:color w:val="0070C0"/>
          <w:sz w:val="16"/>
          <w:szCs w:val="16"/>
        </w:rPr>
      </w:pPr>
    </w:p>
    <w:p w14:paraId="19919F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декабря 1941 г. ко</w:t>
      </w:r>
      <w:r w:rsidRPr="00640820">
        <w:rPr>
          <w:rFonts w:ascii="Times New Roman" w:hAnsi="Times New Roman"/>
          <w:color w:val="000000" w:themeColor="text1"/>
          <w:sz w:val="16"/>
          <w:szCs w:val="16"/>
        </w:rPr>
        <w:softHyphen/>
        <w:t xml:space="preserve">мандир 61-го </w:t>
      </w:r>
      <w:r w:rsidRPr="00640820">
        <w:rPr>
          <w:rFonts w:ascii="Times New Roman" w:hAnsi="Times New Roman"/>
          <w:iCs/>
          <w:color w:val="000000" w:themeColor="text1"/>
          <w:sz w:val="16"/>
          <w:szCs w:val="16"/>
        </w:rPr>
        <w:t>шап</w:t>
      </w:r>
      <w:r w:rsidRPr="00640820">
        <w:rPr>
          <w:rFonts w:ascii="Times New Roman" w:hAnsi="Times New Roman"/>
          <w:color w:val="000000" w:themeColor="text1"/>
          <w:sz w:val="16"/>
          <w:szCs w:val="16"/>
        </w:rPr>
        <w:t xml:space="preserve"> п-п-к С.Н.Мамушкин был вынужден направить на имя Началь</w:t>
      </w:r>
      <w:r w:rsidRPr="00640820">
        <w:rPr>
          <w:rFonts w:ascii="Times New Roman" w:hAnsi="Times New Roman"/>
          <w:color w:val="000000" w:themeColor="text1"/>
          <w:sz w:val="16"/>
          <w:szCs w:val="16"/>
        </w:rPr>
        <w:softHyphen/>
        <w:t>ника ГУ ВВС КА генерал-полковника П.Ф.Жигарева письмо, в котором обра</w:t>
      </w:r>
      <w:r w:rsidRPr="00640820">
        <w:rPr>
          <w:rFonts w:ascii="Times New Roman" w:hAnsi="Times New Roman"/>
          <w:color w:val="000000" w:themeColor="text1"/>
          <w:sz w:val="16"/>
          <w:szCs w:val="16"/>
        </w:rPr>
        <w:softHyphen/>
        <w:t>щал внимание руководства ВВС на со</w:t>
      </w:r>
      <w:r w:rsidRPr="00640820">
        <w:rPr>
          <w:rFonts w:ascii="Times New Roman" w:hAnsi="Times New Roman"/>
          <w:color w:val="000000" w:themeColor="text1"/>
          <w:sz w:val="16"/>
          <w:szCs w:val="16"/>
        </w:rPr>
        <w:softHyphen/>
        <w:t>вершенно недопустимое положение дел с подготовкой летного состава для штурмовых авиаполков в центрах фор</w:t>
      </w:r>
      <w:r w:rsidRPr="00640820">
        <w:rPr>
          <w:rFonts w:ascii="Times New Roman" w:hAnsi="Times New Roman"/>
          <w:color w:val="000000" w:themeColor="text1"/>
          <w:sz w:val="16"/>
          <w:szCs w:val="16"/>
        </w:rPr>
        <w:softHyphen/>
        <w:t xml:space="preserve">мирования </w:t>
      </w:r>
      <w:r w:rsidRPr="00640820">
        <w:rPr>
          <w:rFonts w:ascii="Times New Roman" w:hAnsi="Times New Roman"/>
          <w:iCs/>
          <w:color w:val="000000" w:themeColor="text1"/>
          <w:sz w:val="16"/>
          <w:szCs w:val="16"/>
        </w:rPr>
        <w:t>("так как штурмовые авиа</w:t>
      </w:r>
      <w:r w:rsidRPr="00640820">
        <w:rPr>
          <w:rFonts w:ascii="Times New Roman" w:hAnsi="Times New Roman"/>
          <w:iCs/>
          <w:color w:val="000000" w:themeColor="text1"/>
          <w:sz w:val="16"/>
          <w:szCs w:val="16"/>
        </w:rPr>
        <w:softHyphen/>
        <w:t>полки отправляются на фронт не впол</w:t>
      </w:r>
      <w:r w:rsidRPr="00640820">
        <w:rPr>
          <w:rFonts w:ascii="Times New Roman" w:hAnsi="Times New Roman"/>
          <w:iCs/>
          <w:color w:val="000000" w:themeColor="text1"/>
          <w:sz w:val="16"/>
          <w:szCs w:val="16"/>
        </w:rPr>
        <w:softHyphen/>
        <w:t>не подготовленными"}</w:t>
      </w:r>
      <w:r w:rsidRPr="00640820">
        <w:rPr>
          <w:rFonts w:ascii="Times New Roman" w:hAnsi="Times New Roman"/>
          <w:color w:val="000000" w:themeColor="text1"/>
          <w:sz w:val="16"/>
          <w:szCs w:val="16"/>
        </w:rPr>
        <w:t xml:space="preserve"> и неправильное применение самолетов Ил-2 на фронте (в плохую погоду, для разведки, совмес</w:t>
      </w:r>
      <w:r w:rsidRPr="00640820">
        <w:rPr>
          <w:rFonts w:ascii="Times New Roman" w:hAnsi="Times New Roman"/>
          <w:color w:val="000000" w:themeColor="text1"/>
          <w:sz w:val="16"/>
          <w:szCs w:val="16"/>
        </w:rPr>
        <w:softHyphen/>
        <w:t>тно с самолетами устаревших типов и т.д.), приводящие к значительным поте</w:t>
      </w:r>
      <w:r w:rsidRPr="00640820">
        <w:rPr>
          <w:rFonts w:ascii="Times New Roman" w:hAnsi="Times New Roman"/>
          <w:color w:val="000000" w:themeColor="text1"/>
          <w:sz w:val="16"/>
          <w:szCs w:val="16"/>
        </w:rPr>
        <w:softHyphen/>
        <w:t>рям в летном составе и технике.</w:t>
      </w:r>
    </w:p>
    <w:p w14:paraId="029317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"Необходимо решительным образом перестроить подготовку полков для вы</w:t>
      </w:r>
      <w:r w:rsidRPr="00640820">
        <w:rPr>
          <w:rFonts w:ascii="Times New Roman" w:hAnsi="Times New Roman"/>
          <w:iCs/>
          <w:color w:val="000000" w:themeColor="text1"/>
          <w:sz w:val="16"/>
          <w:szCs w:val="16"/>
        </w:rPr>
        <w:softHyphen/>
        <w:t>полнения боевых заданий на фронте....Спешки в этом вопросе не должно быть, ибо есть горькие опыты отдельных полков, которые существовали на фрон</w:t>
      </w:r>
      <w:r w:rsidRPr="00640820">
        <w:rPr>
          <w:rFonts w:ascii="Times New Roman" w:hAnsi="Times New Roman"/>
          <w:iCs/>
          <w:color w:val="000000" w:themeColor="text1"/>
          <w:sz w:val="16"/>
          <w:szCs w:val="16"/>
        </w:rPr>
        <w:softHyphen/>
        <w:t>те один-два дня, по причине того, что зачастую полки формировались за один-два дня до отлета - отсюда командиры всех степеней в полку не знали своих подчиненных не только по их технике пи</w:t>
      </w:r>
      <w:r w:rsidRPr="00640820">
        <w:rPr>
          <w:rFonts w:ascii="Times New Roman" w:hAnsi="Times New Roman"/>
          <w:iCs/>
          <w:color w:val="000000" w:themeColor="text1"/>
          <w:sz w:val="16"/>
          <w:szCs w:val="16"/>
        </w:rPr>
        <w:softHyphen/>
        <w:t>лотирования, но даже по фамилиям", -</w:t>
      </w:r>
      <w:r w:rsidRPr="00640820">
        <w:rPr>
          <w:rFonts w:ascii="Times New Roman" w:hAnsi="Times New Roman"/>
          <w:color w:val="000000" w:themeColor="text1"/>
          <w:sz w:val="16"/>
          <w:szCs w:val="16"/>
        </w:rPr>
        <w:t>писал п-п-к Мамушкин (6467).</w:t>
      </w:r>
    </w:p>
    <w:p w14:paraId="5FEAE17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0D79C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декабря 1941 г. в письме на имя Начальника ГУ ВВС КА генерала Жигарева командир 61-го шап подполковник С. Н. Ма- мушкин обращал внимание руководства ВВС на совершенно недопустимое положение дел с подготовкой летного состава для штурмовых авиаполков в центрах формирования.</w:t>
      </w:r>
    </w:p>
    <w:p w14:paraId="7A999D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"Необходимо решительным образом перестроить подготовку полков для выполнения боевых заданий на фронте. Необходимо существующую систему подготовки летного состава в резервных полках дополнить подготовкой во вновь сформированных полках, готовящихся к боевой работе. Надо ликвидировать холостой ход отличившегося летного состава в ожидании для отлета на фронт. Необходимо с первого дня прибытия руководящего состава полка комплектовать его летсо- ставом, выделить 2-3 самолета и ежедневно заниматься отработкой всех элементов полета, связанных с боевой работой. ...Спешки в этом вопросе не должно быть, ибо есть горькие опыты отдельных полков, которые существовали на фронте один-два дня, по причине того, что зачастую полки формировались за один-два дня до отлета - отсюда командиры всех степеней в полку не знали своих подчиненных не только по их технике пилотирования, но даже по фамилиям. Конечно, это не нормально, надо создать в спокойных условиях еще в период формирования и доукомплектования полную уверенность командира в своих подчиненных и у подчиненных в своих командирах. Отработав основной и главный вопрос техники пилотирования (одиночно, звеном и эскадрильей), научив параллельно с этим отличному знанию матчасти и правилам сохранения и восстановления ориентировки - можно смело сказать, что потери в материальной части и летного состава штурмовой авиации резко сократятся и качество выполнения боевых заданий значительно улучшится", - писал подполковник Мамушкин.</w:t>
      </w:r>
    </w:p>
    <w:p w14:paraId="723EFA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сожалению, тяжелое положение на фронтах, эвакуация промышленности и авиационных учебных центров не позволило командованию ВВС предпринять действенные меры по улучшению системы обучения и боевой подготовки маршевых авиаполков. К тому же еще не были полностью исчерпаны возможности внутренних военных округов по восполнению убыли летного состава на фронте. Это вселяло некоторую уверенность в том, что еще есть время и после стабилизации положения на фронте удастся решить и проблему подготовки летного состава (12020).</w:t>
      </w:r>
    </w:p>
    <w:p w14:paraId="7514429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декабря 1941 вышло Постановление ГКО № 987 [О назначении Глотова В.С. уполномоченным УГМР при ЗакФ.] (7017, 2).</w:t>
      </w:r>
    </w:p>
    <w:p w14:paraId="254BA21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96940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состоянию на 1 декабря 1941 г. в составе действующей армии на</w:t>
      </w:r>
      <w:r w:rsidRPr="00640820">
        <w:rPr>
          <w:rFonts w:ascii="Times New Roman" w:hAnsi="Times New Roman"/>
          <w:color w:val="000000" w:themeColor="text1"/>
          <w:sz w:val="16"/>
          <w:szCs w:val="16"/>
        </w:rPr>
        <w:softHyphen/>
        <w:t>считывался 1731 танк, причем 1214 из них были легкими. В оборонитель</w:t>
      </w:r>
      <w:r w:rsidRPr="00640820">
        <w:rPr>
          <w:rFonts w:ascii="Times New Roman" w:hAnsi="Times New Roman"/>
          <w:color w:val="000000" w:themeColor="text1"/>
          <w:sz w:val="16"/>
          <w:szCs w:val="16"/>
        </w:rPr>
        <w:softHyphen/>
        <w:t>ных боях под Москвой участвовало 667 советских танков (205 - тяжелых и средних, 462 - легких). Противник, имевший к этому времени под Москвой около 1000 танков и самоходных установок, был разгромлен (10703).</w:t>
      </w:r>
    </w:p>
    <w:p w14:paraId="68BA203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73D7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C 1 по 5 декабря 1941 была Наро-Фоминская оборонительная операция. Несмотря на 5 кратный перевес оборона выдержала (2438,438).</w:t>
      </w:r>
    </w:p>
    <w:p w14:paraId="422C53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998EE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декабря 1941 КА контратаковала в районе Тулы (2260).</w:t>
      </w:r>
    </w:p>
    <w:p w14:paraId="3B012E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753C5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декабря 1941 закончилась оборона о. Ханко (3481).</w:t>
      </w:r>
    </w:p>
    <w:p w14:paraId="23CEFE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710ED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декабря 1941 закончилась Ростовская операция (3481).</w:t>
      </w:r>
    </w:p>
    <w:p w14:paraId="3F739C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1361E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1941—январе 1942 гг. наиболее совершенный линкор "Парижская коммуна" совершил семь боевых походов для оказа</w:t>
      </w:r>
      <w:r w:rsidRPr="00640820">
        <w:rPr>
          <w:rFonts w:ascii="Times New Roman" w:hAnsi="Times New Roman"/>
          <w:color w:val="000000" w:themeColor="text1"/>
          <w:sz w:val="16"/>
          <w:szCs w:val="16"/>
        </w:rPr>
        <w:softHyphen/>
        <w:t>ния огневой поддержки нашим войскам под Севастополем и на по</w:t>
      </w:r>
      <w:r w:rsidRPr="00640820">
        <w:rPr>
          <w:rFonts w:ascii="Times New Roman" w:hAnsi="Times New Roman"/>
          <w:color w:val="000000" w:themeColor="text1"/>
          <w:sz w:val="16"/>
          <w:szCs w:val="16"/>
        </w:rPr>
        <w:softHyphen/>
        <w:t>бережье Керченского п-ова. От действий противника линкор по</w:t>
      </w:r>
      <w:r w:rsidRPr="00640820">
        <w:rPr>
          <w:rFonts w:ascii="Times New Roman" w:hAnsi="Times New Roman"/>
          <w:color w:val="000000" w:themeColor="text1"/>
          <w:sz w:val="16"/>
          <w:szCs w:val="16"/>
        </w:rPr>
        <w:softHyphen/>
        <w:t>вреждений не получил. Большой расход боезапаса вызвал быстрый расстрел орудий ГК, которые весной 1942 г. были заменены на но</w:t>
      </w:r>
      <w:r w:rsidRPr="00640820">
        <w:rPr>
          <w:rFonts w:ascii="Times New Roman" w:hAnsi="Times New Roman"/>
          <w:color w:val="000000" w:themeColor="text1"/>
          <w:sz w:val="16"/>
          <w:szCs w:val="16"/>
        </w:rPr>
        <w:softHyphen/>
        <w:t>вые. Орудия и артустановки линкоров в целом выдержали суровую проверку войной, только на "Марате" 11 сентября 1941 г. на 125-м выстреле разорвало среднее орудие носовой башни (3898).</w:t>
      </w:r>
    </w:p>
    <w:p w14:paraId="243719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0E181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 декабре 1941 г. минный заградитель Марти сбил шесть самолетов противника. 3 апреля 1942 г. он был удостоен гвардейского звания, а после войны под наименованием "Ока" (с 1948 г.) продолжал нести службу до 1961 г., когда был использован в качестве мишени при ракетнь1х стрельбах и пошел на слом (3898).</w:t>
      </w:r>
    </w:p>
    <w:p w14:paraId="1634E2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5D9C3FE"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0E40A6F7"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1521457" w14:textId="77777777" w:rsidR="00B51DAF" w:rsidRPr="00640820" w:rsidRDefault="00B51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декабря 1941. К этому времени в Москве из 4,5 миллиона жителей осталось 2,5 миллиона (18697).</w:t>
      </w:r>
    </w:p>
    <w:p w14:paraId="24E339CE" w14:textId="77777777" w:rsidR="00B51DAF" w:rsidRPr="00640820" w:rsidRDefault="00B51DAF" w:rsidP="00640820">
      <w:pPr>
        <w:spacing w:after="0" w:line="240" w:lineRule="auto"/>
        <w:jc w:val="both"/>
        <w:rPr>
          <w:rFonts w:ascii="Times New Roman" w:hAnsi="Times New Roman"/>
          <w:color w:val="000000" w:themeColor="text1"/>
          <w:sz w:val="16"/>
          <w:szCs w:val="16"/>
        </w:rPr>
      </w:pPr>
    </w:p>
    <w:p w14:paraId="3C2D526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декабря 1941 вышло Постановление ГКО № 986 Об ответственности за расхищение снегозащитных ограждений на железнодорожном транспорте. (7017, 1).</w:t>
      </w:r>
    </w:p>
    <w:p w14:paraId="31BF069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6CD282" w14:textId="77777777" w:rsidR="0099687D" w:rsidRPr="00640820" w:rsidRDefault="0099687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декабря 1941 г. постановление ГКО № 986с от “Об ответственности за расхищение снегозащитных ограждений на железнодорожном транспорте”’ устанавливало, что кража снегозащитных ограждений, защищавших железнодорожные пути, являлась кражей общественной (социалистической) собственности и должна была наказываться по Постановлению ЦИК и СНК СССР от 7 августа 1932 г. “Об охране имущества государственных предприятий, колхозов и кооперащш и укреплении общественной (социалистической) coбcтвeннocти”, которое объявляло людей, покущавщихся на социалистическую собственность, врагами народа и в качестве наказания предусматривало расстрел с конфискацией имущества (при наличии смягчающих вину обстоятельств могло быть назначено наказание в виде лищения свободы на срок не менее десяти лет). Не секрет, что деревянные снегозащитные ограждения использовались переселенными или эвакуированными лицами для отопления своих вагонов, теплушек, землянок, особенно в зимних условия, поэтому часто человек стоял перед выбором — либо замерзнуть в т.н. «телячьем вагоне», либо попасть под “расстрельную” статью. Не говоря уже о том, что данное и многие другие постановления ГКО имели гриф «секретно» (17460).</w:t>
      </w:r>
    </w:p>
    <w:p w14:paraId="51D47E2C" w14:textId="77777777" w:rsidR="0099687D" w:rsidRPr="00640820" w:rsidRDefault="0099687D" w:rsidP="00640820">
      <w:pPr>
        <w:spacing w:after="0" w:line="240" w:lineRule="auto"/>
        <w:jc w:val="both"/>
        <w:rPr>
          <w:rFonts w:ascii="Times New Roman" w:hAnsi="Times New Roman"/>
          <w:color w:val="000000" w:themeColor="text1"/>
          <w:sz w:val="16"/>
          <w:szCs w:val="16"/>
        </w:rPr>
      </w:pPr>
    </w:p>
    <w:p w14:paraId="5FF9399F"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77246838"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ABF15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декабря 1941 года вышло распоряжение Министерства авиации, в котором санкционировалось продолжение работ над боевой версией самолета – «Me-163B». Первоначальный же вариант «Ме-163» стал называться «Ме-163А».</w:t>
      </w:r>
    </w:p>
    <w:p w14:paraId="1FB8AF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шести опытных «Me-163A» была выпущена серия из 10 «Me-163A-0». Они собирались на Вольф Хирт, заводе в Геттингене, и должны были использоваться в качестве учебных.</w:t>
      </w:r>
    </w:p>
    <w:p w14:paraId="0B37D7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1943 году было создано секретное подразделение «Еrрrоbundskommando 16» («Ekdo 16»), к которому стали прикомандировывать наиболее подготовленных пилотов, зачастую переводя их из боевых частей с линии фронта. Из-за повышенного внимания англичан и американцев к Пенемюнде, весь проект перевели на новый объект, расположенный в Бад Цвишенан – небольшую железнодорожную станцию недалеко от Ольденбурга.</w:t>
      </w:r>
    </w:p>
    <w:p w14:paraId="785A46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Программа подготовки пилотов начиналась с изучения материальной части, принципа работы двигателя и тренировок в барокамере. Для многих летчиков новый самолет, получивший к тому времени официальное наименование «Messerschmitt Me-163 Komet» («Комета»), казался чем-то совершенно фантастическим. Крохотный треугольный самолетик, оставляя за собой густой шлейф фиолетово-сиреневого выхлопа, мгновенно пробегал короткий отрезок бетонной взлетно-посадочной полосы и еще через несколько мгновений круто уходил вверх. Менее чем через минуту он уже скрывался из виду, и лишь дымный шлейф позволял понять, куда делся самолет.</w:t>
      </w:r>
    </w:p>
    <w:p w14:paraId="3A623F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Сложности испытаний ракетоплана, да и обучения тридцати пилотов, заключались в том, что, кроме очевидных преимуществ «Me-163» имел и целый ряд существенных недостатков.</w:t>
      </w:r>
    </w:p>
    <w:p w14:paraId="6634EC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частности, малые размеры планера не оставляли конструкторам места для расположения механизма убирания шасси. Конструкция крыла не позволяла разместить в нем что-либо еще, кроме топливных баков. Да и баки удалось расположить лишь в корне крыла. Первая треть фюзеляжа была занята довольно тесной пилотской кабиной с приборной панелью и элементами управления. Задняя треть вмещала сам ракетный двигатель Вальтера с длинным раструбом сопла. Всю центральную часть занимали топливные баки, отделенные от кресла пилота огнеупорной перегородкой. Места для убирания шасси не было вовсе, а сделать их неубирающимися не позволяла высокая скорость полета. В процессе работ были предложены различные идеи, но в конце концов конструкторы остановились на варианте сделать шасси съемными (сбрасываемыми после взлета), а посадку производить на центральную лыжу, выдвигаемую из-под фюзеляжа.</w:t>
      </w:r>
    </w:p>
    <w:p w14:paraId="175D75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«Ме-163» имел довольно маленькие крылья, – на расчетных скоростях большой несущей площади и не требовалось, но это оборачивалось высокими посадочными скоростями. Скорость при касании составляла 220 км/ч, и любая ошибка пилотирования могла стать последней в жизни пилота. Посадка производилась после полного прекращения процесса горения в камере сгорания, так что возможности прибавить газу и зайти на второй круг не оставалось. Поэтому промах мимо заданной точки касания практически всегда означал вылет за пределы полосы, опрокидывание машины и ее сильное повреждение. Топливные баки никогда не оставались сухими, а случайное смешение остатков компонентов топлива означало сильный взрыв и гибель пилота.</w:t>
      </w:r>
    </w:p>
    <w:p w14:paraId="77819E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Компромисс дался чрезвычайно тяжело. Столь необычный способ посадки ограничивал базирование перспективных истребителей исключительно аэродромами с бетонированными взлетно-посадочными полосами. Вторым важным ограничением, которое пока не удавалось преодолеть, было чрезвычайно малое время полета. Благодаря самовоспламеняющемуся топливу отпала необходимость в зажигании, а ради пущей экономии веса пришлось отказаться и от топливных насосов. Перед взлетом пилот запускал маленький компрессор, создающий в топливных баках избыточное давление. Вытесняемое топливо поступало в камеру сгорания, где смешивалось и загоралось, создавая необходимую тягу. Во время полета избыточное давление в топливных баках создавалось бортовым компрессором, питающимся от электрогенератора, приводимого в действие обычным ветряком, размещенным в носовой части фюзеляжа и раскручиваемым набегающим потоком воздуха. Однако запаса топлива хватало всего на десять минут работы двигателя. Сам процесс горения был неуправляем, поэтому после включения насоса остановить взлет уже не представлялось возможным, а сам полет продолжался до полной выработки горючего. Пилот должен был постоянно помнить о том, насколько он удалился от своего аэродрома, ибо после остановки двигателя ему ничего не оставалось, как только планировать в сторону аэродрома, гасить скорость, выпускать лыжу и молиться.</w:t>
      </w:r>
    </w:p>
    <w:p w14:paraId="42991E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хранение топлива было сопряжено с достаточно высокими затратами. Это особенно касалось «Т-Stoff», для которого требовалось создавать отдельные и хорошо изолированные хранилища – например, он мог взорваться, от того, что в резервуар попала муха.</w:t>
      </w:r>
    </w:p>
    <w:p w14:paraId="074192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 меньше хлопот топливо доставляло из-за своей высокой агрессивности. Оно быстро растворяло любую органику, и опасным было попадание на одежду даже небольшого его количества. Однако размеры ракетоплана были столь малы, что использовать приходилось практически каждый кубический сантиметр внутреннего объема. Потому емкости под второй компонент были размещены прямо в пилотской кабине.</w:t>
      </w:r>
    </w:p>
    <w:p w14:paraId="798AC6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Ситуация на фронтах обострялась день ото дня, и Геринг, несмотря на имеющиеся недочеты, санкционировали начало серийного производства истребителей «Ме-163В». Ракетоплан вооружили двумя 30-миллиметровыми пушками и передали в боевые эскадрильи люфтваффе.</w:t>
      </w:r>
    </w:p>
    <w:p w14:paraId="5BF5531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«Комета» развивала огромную скорость, и командование полагало, что бортовые стрелки бомбардировщиков и истребители противника физически не смогут попасть в скоростной самолет такого малого размера. Как показали последующие события, этот расчет полностью оправдался. Те члены экипажей бомбардировщиков, которым довелось столкнуться в небе с немецкими ракетопланами, вспоминают об этом до сих пор. Самолеты странной формы возникали из ниоткуда, как ужасном кошмаре, совершенно безнаказанно прошивали бомбардировщик очередями автоматических авиационных пушек и растворялись в окружающем пространстве так же внезапно, как появлялись. Все, что успевали заметить ошарашенные бортстрелки, это опознавательные знаки люфтваффе, нанесенные на фюзеляж (11688).</w:t>
      </w:r>
    </w:p>
    <w:p w14:paraId="6D8144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325A7CC" w14:textId="77777777" w:rsidR="0099687D" w:rsidRPr="00640820" w:rsidRDefault="0099687D"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декабря 1941 был совершен перелет Милан - Рим на реактивном КК-1 (316,113).</w:t>
      </w:r>
    </w:p>
    <w:p w14:paraId="26A2F994" w14:textId="77777777" w:rsidR="0099687D" w:rsidRPr="00640820" w:rsidRDefault="0099687D" w:rsidP="00640820">
      <w:pPr>
        <w:autoSpaceDE w:val="0"/>
        <w:autoSpaceDN w:val="0"/>
        <w:adjustRightInd w:val="0"/>
        <w:spacing w:after="0" w:line="240" w:lineRule="auto"/>
        <w:jc w:val="both"/>
        <w:rPr>
          <w:rFonts w:ascii="Times New Roman" w:hAnsi="Times New Roman"/>
          <w:color w:val="000000" w:themeColor="text1"/>
          <w:sz w:val="16"/>
          <w:szCs w:val="16"/>
        </w:rPr>
      </w:pPr>
    </w:p>
    <w:p w14:paraId="35C98E88" w14:textId="77777777" w:rsidR="006A6BE8" w:rsidRPr="00640820" w:rsidRDefault="006A6BE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 декабря 1941 основан Гражданский воздушный патруль в США (20794).</w:t>
      </w:r>
    </w:p>
    <w:p w14:paraId="106DD4D8" w14:textId="77777777" w:rsidR="006A6BE8" w:rsidRPr="00640820" w:rsidRDefault="006A6BE8" w:rsidP="00640820">
      <w:pPr>
        <w:spacing w:after="0" w:line="240" w:lineRule="auto"/>
        <w:jc w:val="both"/>
        <w:rPr>
          <w:rFonts w:ascii="Times New Roman" w:hAnsi="Times New Roman"/>
          <w:color w:val="0070C0"/>
          <w:sz w:val="16"/>
          <w:szCs w:val="16"/>
        </w:rPr>
      </w:pPr>
    </w:p>
    <w:p w14:paraId="554D6C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December 1 1941 Reaffirmation by Marshals Petain and Goering of Franco-German collaboration at St. Florentine (1223).</w:t>
      </w:r>
    </w:p>
    <w:p w14:paraId="164DD3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42B8B6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декабря 1941 Маршал Петэн и Г.Геринг подтвердили франко-немецкое сотрудничество в Ст. Флорентине (1223).</w:t>
      </w:r>
    </w:p>
    <w:p w14:paraId="434C07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6C634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декабря 1941 Того отклонил предложения США по урегулированию на Тихом океане как нереалистичные и фантастичные (2100).</w:t>
      </w:r>
    </w:p>
    <w:p w14:paraId="0CDE79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DE542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декабря 1941 Британия объявила чрезвычайную ситуацию в Малайе после японского нападения (2100).</w:t>
      </w:r>
    </w:p>
    <w:p w14:paraId="6F345A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680B6F8" w14:textId="77777777" w:rsidR="0099687D" w:rsidRPr="00640820" w:rsidRDefault="0099687D"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 декабря </w:t>
      </w:r>
      <w:r w:rsidRPr="00640820">
        <w:rPr>
          <w:rFonts w:ascii="Times New Roman" w:hAnsi="Times New Roman"/>
          <w:color w:val="000000" w:themeColor="text1"/>
          <w:sz w:val="16"/>
          <w:szCs w:val="16"/>
        </w:rPr>
        <w:t>в 1941 году император Японии принял решение о начале военных действий против Великобритании (14847).</w:t>
      </w:r>
    </w:p>
    <w:p w14:paraId="52F8133F" w14:textId="77777777" w:rsidR="0099687D" w:rsidRPr="00640820" w:rsidRDefault="0099687D" w:rsidP="00640820">
      <w:pPr>
        <w:spacing w:after="0" w:line="240" w:lineRule="auto"/>
        <w:jc w:val="both"/>
        <w:rPr>
          <w:rFonts w:ascii="Times New Roman" w:hAnsi="Times New Roman"/>
          <w:color w:val="000000" w:themeColor="text1"/>
          <w:sz w:val="16"/>
          <w:szCs w:val="16"/>
        </w:rPr>
      </w:pPr>
    </w:p>
    <w:p w14:paraId="120738D9"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3A1C91F5"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5183586" w14:textId="77777777" w:rsidR="002568A6" w:rsidRPr="00640820" w:rsidRDefault="002568A6" w:rsidP="00640820">
      <w:pPr>
        <w:pStyle w:val="rteindent11"/>
        <w:shd w:val="clear" w:color="auto" w:fill="FFFFFF"/>
        <w:spacing w:before="0" w:beforeAutospacing="0" w:after="0"/>
        <w:ind w:left="0" w:firstLine="0"/>
        <w:rPr>
          <w:color w:val="000000" w:themeColor="text1"/>
          <w:sz w:val="16"/>
          <w:szCs w:val="16"/>
        </w:rPr>
      </w:pPr>
      <w:r w:rsidRPr="00640820">
        <w:rPr>
          <w:color w:val="000000" w:themeColor="text1"/>
          <w:sz w:val="16"/>
          <w:szCs w:val="16"/>
        </w:rPr>
        <w:t>2 декабря 1941 была телеграмма И.В.С.</w:t>
      </w:r>
    </w:p>
    <w:p w14:paraId="3CCA477F" w14:textId="77777777" w:rsidR="002568A6" w:rsidRPr="00640820" w:rsidRDefault="002568A6"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ИРКУТСК </w:t>
      </w:r>
      <w:bookmarkStart w:id="6" w:name="YANDEX_6"/>
      <w:bookmarkEnd w:id="6"/>
      <w:r w:rsidRPr="00640820">
        <w:rPr>
          <w:rFonts w:ascii="Times New Roman" w:hAnsi="Times New Roman"/>
          <w:color w:val="000000" w:themeColor="text1"/>
          <w:sz w:val="16"/>
          <w:szCs w:val="16"/>
        </w:rPr>
        <w:t xml:space="preserve"> ДИРЕКТОРУ  ЗАВОДА 125 </w:t>
      </w:r>
      <w:bookmarkStart w:id="7" w:name="YANDEX_7"/>
      <w:bookmarkEnd w:id="7"/>
      <w:r w:rsidRPr="00640820">
        <w:rPr>
          <w:rFonts w:ascii="Times New Roman" w:hAnsi="Times New Roman"/>
          <w:color w:val="000000" w:themeColor="text1"/>
          <w:sz w:val="16"/>
          <w:szCs w:val="16"/>
        </w:rPr>
        <w:t> ИОСИЛОВИЧУ</w:t>
      </w:r>
    </w:p>
    <w:p w14:paraId="3725A9AE" w14:textId="77777777" w:rsidR="002568A6" w:rsidRPr="00640820" w:rsidRDefault="002568A6"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ВОЕНПРЕДУ ЯРОШЕНКО ПАРТОРГУ ЗАВОДА ЗЕНКОВУ</w:t>
      </w:r>
    </w:p>
    <w:p w14:paraId="3AEB4A2F" w14:textId="77777777" w:rsidR="002568A6" w:rsidRPr="00640820" w:rsidRDefault="002568A6"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СЕКРЕТАРЮ ИРКУТСКОГО ОБКОМА ПАРТИИ КАЧАЛИНУ.</w:t>
      </w:r>
    </w:p>
    <w:p w14:paraId="6F89BBF9" w14:textId="77777777" w:rsidR="002568A6" w:rsidRPr="00640820" w:rsidRDefault="002568A6"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ТО ВРЕМЯ КАК ФРОНТ НУЖДАЕТСЯ В САМОЛЕТАХ НА ЗАВОДЕ ПО ВИНЕ </w:t>
      </w:r>
      <w:bookmarkStart w:id="8" w:name="YANDEX_8"/>
      <w:bookmarkEnd w:id="8"/>
      <w:r w:rsidRPr="00640820">
        <w:rPr>
          <w:rFonts w:ascii="Times New Roman" w:hAnsi="Times New Roman"/>
          <w:color w:val="000000" w:themeColor="text1"/>
          <w:sz w:val="16"/>
          <w:szCs w:val="16"/>
        </w:rPr>
        <w:t xml:space="preserve"> ДИРЕКТОРА  </w:t>
      </w:r>
      <w:bookmarkStart w:id="9" w:name="YANDEX_9"/>
      <w:bookmarkEnd w:id="9"/>
      <w:r w:rsidRPr="00640820">
        <w:rPr>
          <w:rFonts w:ascii="Times New Roman" w:hAnsi="Times New Roman"/>
          <w:color w:val="000000" w:themeColor="text1"/>
          <w:sz w:val="16"/>
          <w:szCs w:val="16"/>
        </w:rPr>
        <w:t xml:space="preserve"> ИОСИЛОВИЧА  ПАРТОРГА ЗЕНКОВА ВОЕНПРЕДА ЯРОШЕНКО И ПРИ ПОПУСТИТЕЛЬСТВЕ СЕКРЕТАРЯ ИРКУТСКОГО ОБКОМА ПАРТИИ КАЧАЛИНА СИСТЕМАТИЧЕСКИ НАКАПЛИВАЕТСЯ БОЛЬШОЕ КОЛИЧЕСТВО ГОТОВЫХ САМОЛЕТОВ ТЧК. ТАК НА 1 ДЕКАБРЯ </w:t>
      </w:r>
      <w:bookmarkStart w:id="10" w:name="YANDEX_10"/>
      <w:bookmarkEnd w:id="10"/>
      <w:r w:rsidRPr="00640820">
        <w:rPr>
          <w:rFonts w:ascii="Times New Roman" w:hAnsi="Times New Roman"/>
          <w:color w:val="000000" w:themeColor="text1"/>
          <w:sz w:val="16"/>
          <w:szCs w:val="16"/>
        </w:rPr>
        <w:t> 1941  ГОДА СКОПИЛОСЬ 70 ГОТОВЫХ САМОЛЕТОВ ПЕ-2 ТЧК. ГОСУДАРСТВЕННЫЙ КОМИТЕТ ОБОРОНЫ ОБЯЗЫВАЕТ ВАС НЕМЕДЛЯ ПОКОНЧИТЬ С ТАКИМ ОТНОШЕНИЕМ К ДЕЛУ ОБОРОНЫ СТРАНЫ ЗПТ, ПРИНЯТЬ МЕРЫ К ТОМУ ЧТОБЫ ДО 5 ДЕКАБРЯ ВСЕ ГОТОВЫЕ САМОЛЕТЫ БЫЛИ ОТПРАВЛЕНЫ С ЗАВОДА В ЧАСТИ ВВС ТЧК. ВПРЕДЬ ОБЕСПЕЧИТЬ СВОЕВРЕМЕННУЮ ОТПРАВКУ ГОТОВЫХ САМОЛЕТОВ ЗАВОДА В ЧАСТИ ВВС ТЧК. ОТЧЕТ О ПРИНЯТЫХ МЕРАХ И О РЕЗУЛЬТАТАХ ДОЛОЖИТЕ ГОКО 6 ДЕКАБРЯ 1941 ГОДА ТЧК. ГОСУДАРСТВЕННЫЙ КОМИТЕТ ОБОРОНЫ НАЗНАЧАЕТ НА ЗАВОД 125 СЕКРЕТАРЯ ИРКУТСКОГО ОБКОМА ПАРТИИ ПО АВИАЦИОННОЙ ПРОМЫШЛЕННОСТИ КРАСНОВА УПОЛНОМОЧЕННЫМ ГОСУДАРСТВЕННОГО КОМИТЕТА ОБОРОНЫ И ВОЗЛАГАЕТ НА НЕГО СПЕЦИАЛЬНУЮ ОБЯЗАННОСТЬ ПО ОБЕСПЕЧЕНИЮ БЫСТРЕЙШЕЙ ОТПРАВКИ ГОТОВЫХ САМОЛЕТОВ С ЗАВОДА В ЧАСТИ ВВС ТЧК. УПОЛНОМОЧЕННОМУ ГОКО ПРЕДОСТАВЛЯЕТСЯ ПРАВО КОНТРОЛЯ ЗА РАБОТОЙ ДИРЕКТОРА И ВОЕНПРЕДА ЗАВОДА 125 В ОТНОШЕНИИ ВЫПОЛНЕНИЯ ПОСЛЕДНИМИ ОБЯЗАННОСТЕЙ ПО ОТПРАВКЕ ГОТОВЫХ САМОЛЕТОВ В ЧАСТИ ВВС А ТАКЖЕ ПРАВО ПРИВЛЕЧЕНИЯ К ОТВЕТСТВЕН НОСТИ ДИРЕКТОРА ЗАВОДА И ВОЕНПРЕДА ЗА ЗАДЕРЖКУ ОТПРАВКИ САМОЛЕТОВ ТЧК. ГОСУДАРСТВЕННЫЙ КОМИТЕТ ОБОРОНЫ ПРЕДУПРЕЖДАЕТ ЧТО ВИНОВНЫЕ В ЗАДЕРЖКЕ ОТПРАВКИ ГОТОВЫХ САМОЛЕТОВ ПОДЛЕЖАТ УГОЛОВНОЙ ОТВЕТСТВЕННОСТИ ТЧК. ГОСУДАРСТВЕННЫЙ КОМИТЕТ ОБОРОНЫ ОБЯЗЫВАЕТ КРАСНОВА ПО ЗАВОДУ 125 НЕ РЕЖЕ ОДНОГО РАЗА В ПЯТЬ ДНЕЙ ДОКЛАДЫВАТЬ В ГОКО ОБ ОТПРАВКЕ ГОТОВЫХ САМОЛЕТОВ В ЧАСТИ ВВС ТЧК. 2 ДЕКАБРЯ 1941 ГОДА</w:t>
      </w:r>
    </w:p>
    <w:p w14:paraId="11FD2390" w14:textId="77777777" w:rsidR="002568A6" w:rsidRPr="00640820" w:rsidRDefault="002568A6"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ПРЕДСЕДАТЕЛЬ ГОСУДАРСТВЕННОГО КОМИТЕТА ОБОРОНЫ И СТАЛИН</w:t>
      </w:r>
    </w:p>
    <w:p w14:paraId="374A1890" w14:textId="77777777" w:rsidR="002568A6" w:rsidRPr="00640820" w:rsidRDefault="002568A6"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ПРИНЯЛА БОЙКО 2/12 1230</w:t>
      </w:r>
    </w:p>
    <w:p w14:paraId="309D3091" w14:textId="77777777" w:rsidR="002568A6" w:rsidRPr="00640820" w:rsidRDefault="002568A6" w:rsidP="00640820">
      <w:pPr>
        <w:pStyle w:val="rteindent11"/>
        <w:shd w:val="clear" w:color="auto" w:fill="FFFFFF"/>
        <w:spacing w:before="0" w:beforeAutospacing="0" w:after="0"/>
        <w:ind w:left="0" w:firstLine="0"/>
        <w:rPr>
          <w:color w:val="000000" w:themeColor="text1"/>
          <w:sz w:val="16"/>
          <w:szCs w:val="16"/>
        </w:rPr>
      </w:pPr>
    </w:p>
    <w:p w14:paraId="195D05DE" w14:textId="77777777" w:rsidR="002568A6" w:rsidRPr="00640820" w:rsidRDefault="002568A6"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2-го декабря 1941 года в адрес Иркутского ОК ВКП(б) и руководства завода № 125 приходит грозная телеграмма И.В. Сталина, в которой он от имени Государственного Комитета Обороны приказывает «немедля покончить с таким преступным отношением к делу обороны страны, принять меры к тому, чтобы до 5 декабря все готовые самолеты были отправлены с завода в части ВВС... Государственный Комитет Обороны предупреждает, что виновные в задержке отправки готовых самолетов подлежат уголовной ответственности».</w:t>
      </w:r>
    </w:p>
    <w:p w14:paraId="20B6CB4D" w14:textId="77777777" w:rsidR="002568A6" w:rsidRPr="00640820" w:rsidRDefault="002568A6"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Одновременно на завод поступает телеграмма от Наркома авиапромышленности А.И. Шахурина (43):</w:t>
      </w:r>
    </w:p>
    <w:p w14:paraId="1FA1FE8C" w14:textId="77777777" w:rsidR="002568A6" w:rsidRPr="00640820" w:rsidRDefault="002568A6" w:rsidP="00640820">
      <w:pPr>
        <w:pStyle w:val="rteindent11"/>
        <w:shd w:val="clear" w:color="auto" w:fill="FFFFFF"/>
        <w:spacing w:before="0" w:beforeAutospacing="0" w:after="0"/>
        <w:ind w:left="0" w:firstLine="0"/>
        <w:rPr>
          <w:rStyle w:val="af0"/>
          <w:i w:val="0"/>
          <w:color w:val="000000" w:themeColor="text1"/>
          <w:sz w:val="16"/>
          <w:szCs w:val="16"/>
        </w:rPr>
      </w:pPr>
      <w:r w:rsidRPr="00640820">
        <w:rPr>
          <w:rStyle w:val="af0"/>
          <w:i w:val="0"/>
          <w:color w:val="000000" w:themeColor="text1"/>
          <w:sz w:val="16"/>
          <w:szCs w:val="16"/>
        </w:rPr>
        <w:t>За исключением 40-а самолетов, которые будут оправлены лётом, остальные отправляйте по железной дороге назначением в Казань, приступайте к упаковке и отправке немедленно (15223).</w:t>
      </w:r>
    </w:p>
    <w:p w14:paraId="24AF15D4" w14:textId="77777777" w:rsidR="002568A6" w:rsidRPr="00640820" w:rsidRDefault="002568A6" w:rsidP="00640820">
      <w:pPr>
        <w:autoSpaceDE w:val="0"/>
        <w:autoSpaceDN w:val="0"/>
        <w:adjustRightInd w:val="0"/>
        <w:spacing w:after="0" w:line="240" w:lineRule="auto"/>
        <w:jc w:val="both"/>
        <w:rPr>
          <w:rStyle w:val="af0"/>
          <w:rFonts w:ascii="Times New Roman" w:hAnsi="Times New Roman"/>
          <w:i w:val="0"/>
          <w:color w:val="000000" w:themeColor="text1"/>
          <w:sz w:val="16"/>
          <w:szCs w:val="16"/>
        </w:rPr>
      </w:pPr>
    </w:p>
    <w:p w14:paraId="6BE53F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декабря 1941 г. по заводу был издан приказ, положивший начало новому этапу его развития – освоению и производству более экономичных и надежных двигателей, таких как АШ-82 ФН (1850 л. с.) для истребителей и бомбардировщиков. Начал работать завод на выпуск продукции в ноябре месяце, дав за ноябрь – 9,3 %, в декабре – 27,6 % и в январе 1942 г. – 100 % программы (ЦДНИОО. Ф. 17. Оп. 1. Д. 2977. Л. 15.). В мае 1942 г. коллективу завода было при</w:t>
      </w:r>
      <w:r w:rsidRPr="00640820">
        <w:rPr>
          <w:rFonts w:ascii="Times New Roman" w:hAnsi="Times New Roman"/>
          <w:color w:val="000000" w:themeColor="text1"/>
          <w:sz w:val="16"/>
          <w:szCs w:val="16"/>
        </w:rPr>
        <w:softHyphen/>
        <w:t>суждено первое место во Всесоюзном соцсо</w:t>
      </w:r>
      <w:r w:rsidRPr="00640820">
        <w:rPr>
          <w:rFonts w:ascii="Times New Roman" w:hAnsi="Times New Roman"/>
          <w:color w:val="000000" w:themeColor="text1"/>
          <w:sz w:val="16"/>
          <w:szCs w:val="16"/>
        </w:rPr>
        <w:softHyphen/>
        <w:t>ревновании и вручено переходящее Красное знамя ГКО. В первый год работы много сил уходило на обустройство производства и людей. Объекты были разбросаны, другие срочно строились. В 1942 начали возводить горячие цехи. Большая проблема была с алю</w:t>
      </w:r>
      <w:r w:rsidRPr="00640820">
        <w:rPr>
          <w:rFonts w:ascii="Times New Roman" w:hAnsi="Times New Roman"/>
          <w:color w:val="000000" w:themeColor="text1"/>
          <w:sz w:val="16"/>
          <w:szCs w:val="16"/>
        </w:rPr>
        <w:softHyphen/>
        <w:t>миниевым, бронзовым и чугунным литьем (11896).</w:t>
      </w:r>
    </w:p>
    <w:p w14:paraId="54B2C7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BF5C3B6" w14:textId="77777777" w:rsidR="00C46090" w:rsidRPr="00640820" w:rsidRDefault="00C4609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lastRenderedPageBreak/>
        <w:t>2 декабря 1941 г.</w:t>
      </w:r>
    </w:p>
    <w:p w14:paraId="0E61E9D9" w14:textId="77777777" w:rsidR="00C46090" w:rsidRPr="00640820" w:rsidRDefault="00C4609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Докладная записка заместителя начальника ЦАГИ В. И. Поликовского заместителю наркома авиационной промышленности СССР</w:t>
      </w:r>
    </w:p>
    <w:p w14:paraId="5D54DD4E" w14:textId="77777777" w:rsidR="00C46090" w:rsidRPr="00640820" w:rsidRDefault="00C4609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А. С. Яковлеву о строительстве лаборатории в Новосибирске</w:t>
      </w:r>
    </w:p>
    <w:p w14:paraId="1BBAF160" w14:textId="77777777" w:rsidR="00C46090" w:rsidRPr="00640820" w:rsidRDefault="00C4609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Москва</w:t>
      </w:r>
      <w:r w:rsidRPr="00640820">
        <w:rPr>
          <w:rFonts w:ascii="Times New Roman" w:hAnsi="Times New Roman"/>
          <w:color w:val="0070C0"/>
          <w:sz w:val="16"/>
          <w:szCs w:val="16"/>
        </w:rPr>
        <w:tab/>
        <w:t>2 декабря 1941 г.</w:t>
      </w:r>
    </w:p>
    <w:p w14:paraId="6DCAA2E6" w14:textId="77777777" w:rsidR="00C46090" w:rsidRPr="00640820" w:rsidRDefault="00C4609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Секретно</w:t>
      </w:r>
    </w:p>
    <w:p w14:paraId="11D84625" w14:textId="77777777" w:rsidR="00C46090" w:rsidRPr="00640820" w:rsidRDefault="00C4609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Государственный комитет обороны Союза ССР постановил 19 августа текущего года (постановление № 513с), в целях создания на востоке Союза научно-исследовательской базы для авиации, построить в городе Новосибирске аэродинамическую лабораторию с трубой типа Т-103 со сроком пуска в мае 1942 г. и жилой дом на 600 чел.</w:t>
      </w:r>
    </w:p>
    <w:p w14:paraId="3107C532" w14:textId="77777777" w:rsidR="00C46090" w:rsidRPr="00640820" w:rsidRDefault="00C4609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соответствии с Вашим личным решением в проектируемую лабораторию был включен также и зал статикодинамических испытаний самолетных конструкций.</w:t>
      </w:r>
    </w:p>
    <w:p w14:paraId="1224DB25" w14:textId="77777777" w:rsidR="00C46090" w:rsidRPr="00640820" w:rsidRDefault="00C4609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настоящее время во всем Союзе осталась только одна действующая аэродинамическая труба в Казани; эта труба ни по своим размерам, ни по скорости потока не в состоянии более или менее удовлетворительно обслужить опытное самолетостроение и усовершенствовние серийных самолетов.</w:t>
      </w:r>
    </w:p>
    <w:p w14:paraId="2AF7D4F6" w14:textId="77777777" w:rsidR="00C46090" w:rsidRPr="00640820" w:rsidRDefault="00C4609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Кроме того, относительная близость Казанской лаборатории к фронту может привести к разрушению трубы и остановке по тем или иным причинам (нарушение энергоснабжения и пр.). В этом случае в Союзе вообще не останется ни одной аэродинамической трубы, и опытное самолетостроение будет поставлено в условия, при которых даже вопросы продольной устойчивости придется решать чисто расчетным путем или же обращаться за испытанием модели в американские лаборатории.</w:t>
      </w:r>
    </w:p>
    <w:p w14:paraId="00B1B5E4" w14:textId="77777777" w:rsidR="00C46090" w:rsidRPr="00640820" w:rsidRDefault="00C4609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Действующих лабораторий прочности с современным оборудованием в настоящее время в Союзе также не имеется.</w:t>
      </w:r>
    </w:p>
    <w:p w14:paraId="3C9B9B1C" w14:textId="77777777" w:rsidR="00C46090" w:rsidRPr="00640820" w:rsidRDefault="00C4609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этих условиях постройка трубы и статико-динамической лаборатории в Новосибирске приобретает совершенно исключительно [е] оборонное значение.</w:t>
      </w:r>
    </w:p>
    <w:p w14:paraId="389A4C41" w14:textId="77777777" w:rsidR="00C46090" w:rsidRPr="00640820" w:rsidRDefault="00C4609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Современное состояние строительства и темпы ведения строительных работ 7-м Строительным трестом ни в коей мере не могут обеспечить пуска лаборатории в срок, установленный Государственным комитетом обороны.</w:t>
      </w:r>
    </w:p>
    <w:p w14:paraId="126C18B5" w14:textId="77777777" w:rsidR="00C46090" w:rsidRPr="00640820" w:rsidRDefault="00C4609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Основной причиной отставания строительства является, по мнению ЦАГИ, перегрузка треста № 755, который выполняет одновременно строительство заводских цехов, жилых бараков и лаборатории; в вопросах обеспечения строительства лаборатории рабочей силой руководствуется очередностью, не соответствующей значению лаборатории в деле обороны страны.</w:t>
      </w:r>
    </w:p>
    <w:p w14:paraId="57FC88FB" w14:textId="77777777" w:rsidR="00C46090" w:rsidRPr="00640820" w:rsidRDefault="00C4609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ЦАГИ полагает, что в вопросах обеспечения длительной обороны строительство лаборатории должно быть поставлено в равной очереди со строительством заводских цехов.</w:t>
      </w:r>
    </w:p>
    <w:p w14:paraId="0E1FEBFD" w14:textId="77777777" w:rsidR="00C46090" w:rsidRPr="00640820" w:rsidRDefault="00C4609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ЦАГИ просит:</w:t>
      </w:r>
    </w:p>
    <w:p w14:paraId="79AD047A" w14:textId="77777777" w:rsidR="00C46090" w:rsidRPr="00640820" w:rsidRDefault="00C4609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Утвердить очередность строительства лаборатории как равную с очередностью строительства заводских цехов и выдать эту утвержденную очередность управляющему трестом № 7 к руководству.</w:t>
      </w:r>
    </w:p>
    <w:p w14:paraId="7D91A5AB" w14:textId="77777777" w:rsidR="00C46090" w:rsidRPr="00640820" w:rsidRDefault="00C4609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Зам. начальника ЦАГИ доктор технических наук, профессор</w:t>
      </w:r>
      <w:r w:rsidRPr="00640820">
        <w:rPr>
          <w:rFonts w:ascii="Times New Roman" w:hAnsi="Times New Roman"/>
          <w:color w:val="0070C0"/>
          <w:sz w:val="16"/>
          <w:szCs w:val="16"/>
        </w:rPr>
        <w:tab/>
        <w:t>В. И. Поликовский</w:t>
      </w:r>
    </w:p>
    <w:p w14:paraId="578D79F2" w14:textId="77777777" w:rsidR="00C46090" w:rsidRPr="00640820" w:rsidRDefault="00C4609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xml:space="preserve">РГА в г. Самаре. Ф. </w:t>
      </w:r>
      <w:r w:rsidRPr="00640820">
        <w:rPr>
          <w:rFonts w:ascii="Times New Roman" w:hAnsi="Times New Roman"/>
          <w:color w:val="0070C0"/>
          <w:sz w:val="16"/>
          <w:szCs w:val="16"/>
          <w:lang w:val="en-US"/>
        </w:rPr>
        <w:t>P</w:t>
      </w:r>
      <w:r w:rsidRPr="00640820">
        <w:rPr>
          <w:rFonts w:ascii="Times New Roman" w:hAnsi="Times New Roman"/>
          <w:color w:val="0070C0"/>
          <w:sz w:val="16"/>
          <w:szCs w:val="16"/>
        </w:rPr>
        <w:t xml:space="preserve">-465. </w:t>
      </w:r>
      <w:r w:rsidRPr="00640820">
        <w:rPr>
          <w:rFonts w:ascii="Times New Roman" w:hAnsi="Times New Roman"/>
          <w:color w:val="0070C0"/>
          <w:sz w:val="16"/>
          <w:szCs w:val="16"/>
          <w:lang w:val="en-US"/>
        </w:rPr>
        <w:t>On</w:t>
      </w:r>
      <w:r w:rsidRPr="00640820">
        <w:rPr>
          <w:rFonts w:ascii="Times New Roman" w:hAnsi="Times New Roman"/>
          <w:color w:val="0070C0"/>
          <w:sz w:val="16"/>
          <w:szCs w:val="16"/>
        </w:rPr>
        <w:t>. 3-6. Д. 3. Л. 6-7.</w:t>
      </w:r>
    </w:p>
    <w:p w14:paraId="698C173F" w14:textId="77777777" w:rsidR="00C46090" w:rsidRPr="00640820" w:rsidRDefault="00C4609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Копия. Машинопись.</w:t>
      </w:r>
    </w:p>
    <w:p w14:paraId="3E64C007" w14:textId="77777777" w:rsidR="00C46090" w:rsidRPr="00640820" w:rsidRDefault="00C4609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Опубликовано: Создание вооружения для РККА: 1920-1945 гг.: обзор и публикация документов из фондов РГА в г. Самаре. Самара, 2012. Т. 1. С. 223-224 (20636).</w:t>
      </w:r>
    </w:p>
    <w:p w14:paraId="3A2794D9" w14:textId="77777777" w:rsidR="00C46090" w:rsidRPr="00640820" w:rsidRDefault="00C46090" w:rsidP="00640820">
      <w:pPr>
        <w:spacing w:after="0" w:line="240" w:lineRule="auto"/>
        <w:jc w:val="both"/>
        <w:rPr>
          <w:rFonts w:ascii="Times New Roman" w:hAnsi="Times New Roman"/>
          <w:color w:val="0070C0"/>
          <w:sz w:val="16"/>
          <w:szCs w:val="16"/>
        </w:rPr>
      </w:pPr>
    </w:p>
    <w:p w14:paraId="699D3B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декабря 1941 г. распоряжением Совета Народных Комиссаров СССР ЦИАТИМ, который находился в эвакуации в Уфе, был объединен с Государственным научно-исследовательским химическим институтом высоких давлений (ГИВД). Приказом Министерства нефтяной промышленности СССР от 15 ноября 1954 г. ЦИАТИМ был объединен с ВНИГИ и ВНИИТнефть (12102).</w:t>
      </w:r>
    </w:p>
    <w:p w14:paraId="501070D9" w14:textId="77777777" w:rsidR="002568A6" w:rsidRPr="00640820" w:rsidRDefault="002568A6"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1C623CE"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495849B0"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B0FB3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декабря 1941 года при эвакуации из Ханко была сделана попытка уничтожить ж/д батареи N 9 и 17. 305-мм стволы были взорваны, сломаны противооткатные устройства, тележки затоплены. Тем не менее финнам удалось восстановить 305-мм батарею. Тележки подняли из воды, противооткатные устройства восстановили, а стволы получили через оккупированную Францию с однотипного с "Императрицей Марией" линкора "Александр III", который в 1920 году угнали белые в Бизерту. Восстановили и 180-мм батарею, но окончательно ее ввести в строй не удалось (3861).</w:t>
      </w:r>
    </w:p>
    <w:p w14:paraId="04563E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B9ABB2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декабря 1941 года вышел приказ № 51с НКТП Челябинск</w:t>
      </w:r>
    </w:p>
    <w:p w14:paraId="7A0B8DD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основании распоряжения СНК за № 195кс о передаче Горьковского завода “Гудок Октября” в систему НКАП:</w:t>
      </w:r>
    </w:p>
    <w:p w14:paraId="284DE29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Директору завода № 112 приступить к производственного плана завода “Гудок Октября” …………(6042, 28).</w:t>
      </w:r>
    </w:p>
    <w:p w14:paraId="4EFAF1E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1F2175"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декабря 1941</w:t>
      </w:r>
    </w:p>
    <w:p w14:paraId="2153469E"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РГАЭ Фонд 8752 Опись 4 Дело 6 лист 25</w:t>
      </w:r>
    </w:p>
    <w:p w14:paraId="12C8EF52"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мч. 1.XII. 288.</w:t>
      </w:r>
    </w:p>
    <w:p w14:paraId="4191E10D"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Секретно.</w:t>
      </w:r>
    </w:p>
    <w:p w14:paraId="14737569"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w:t>
      </w:r>
    </w:p>
    <w:p w14:paraId="2C6BEDC6"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НАРОДНОМУ КОМИССАРИАТУ ТАНКОВОЙ ПРОМЫШЛЕННОСТИ СОЮЗА ССР</w:t>
      </w:r>
    </w:p>
    <w:p w14:paraId="438D9A59"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51с</w:t>
      </w:r>
    </w:p>
    <w:p w14:paraId="2A6724DF"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Челябинск</w:t>
      </w:r>
    </w:p>
    <w:p w14:paraId="51FE3F00"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декабря 1941 г.</w:t>
      </w:r>
    </w:p>
    <w:p w14:paraId="21C3C17D"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основании распоряжения СНК за № 195кс, о передаче Горьковского завода "Гудок Октября" в систему Наркомавиапрома, – ПРИКАЗЫВАЮ: </w:t>
      </w:r>
    </w:p>
    <w:p w14:paraId="6DE28DC2"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Директору завода № 112 тов. МИХАЛЕВУ приступить к выполнению производственного плана завода "Гудок Октября" на 1941 г. по производству деталей № 4 к М-8 и сборке гусеничных лент к танкам Т-34, для чего принять от завода "Гудок Октября" заготовку на детали № 4 к М-8 и всех рабочих, занятых на сборке гусеничных лент.</w:t>
      </w:r>
    </w:p>
    <w:p w14:paraId="276531E8"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НАРОДНОГО КОМИССАРА ТАНКОВОЙ ПРОМЫШЛЕННОСТИ СОЮЗА ССР</w:t>
      </w:r>
    </w:p>
    <w:p w14:paraId="70385071"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подпись (ЗАЛЬЦМАН)</w:t>
      </w:r>
    </w:p>
    <w:p w14:paraId="3B7303F9"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Отп. 1 экз. + 10 экз. отп. 2.XII.41 г. мч. (18189).</w:t>
      </w:r>
    </w:p>
    <w:p w14:paraId="466C4A4A" w14:textId="77777777" w:rsidR="00C30BD0" w:rsidRPr="00640820" w:rsidRDefault="00C30BD0" w:rsidP="00640820">
      <w:pPr>
        <w:spacing w:after="0" w:line="240" w:lineRule="auto"/>
        <w:jc w:val="both"/>
        <w:rPr>
          <w:rFonts w:ascii="Times New Roman" w:hAnsi="Times New Roman"/>
          <w:color w:val="000000" w:themeColor="text1"/>
          <w:sz w:val="16"/>
          <w:szCs w:val="16"/>
        </w:rPr>
      </w:pPr>
    </w:p>
    <w:p w14:paraId="436AC2C3" w14:textId="77777777" w:rsidR="00FA3B67" w:rsidRPr="00640820" w:rsidRDefault="00FA3B67"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Со 2 по 11 декабря 1941 проходили испытаний перевооружённой «Матильды». Основной их целью было изучение перевооружённого танка на предмет соответствия заданным характеристикам и условиям работы экипажа.</w:t>
      </w:r>
    </w:p>
    <w:p w14:paraId="71BE906C" w14:textId="77777777" w:rsidR="00FA3B67" w:rsidRPr="00640820" w:rsidRDefault="00FA3B67"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качестве подопытного образца был использован танк Matilda III с WD-номером 10157. С танка были сняты пушка вместе со спаренным пулемётом BESA, орудийная маска вместе с рамкой и бронировкой, укладки для снарядов и патронных коробов, ручной пулемёт Bren вместе с его креплением, сидение командира, радиостанция и некоторые другие детали. Пушку, пулемёт BESA и боекомплект вместе с укладками предполагалось использовать в качестве ремфонда, а Bren – передать в пехоту.</w:t>
      </w:r>
    </w:p>
    <w:p w14:paraId="36B77A6B" w14:textId="77777777" w:rsidR="00FA3B67" w:rsidRPr="00640820" w:rsidRDefault="00FA3B67"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Вместо штатного орудия в башню была установлена 76-мм пушка ЗИС-5. При этом рамку орудия пришлось слегка переделать, подгоняя её для установки в другой танк. Бронировка маски при этом использовалась от опытной пушки ЗИС-5. Между башней и бронировкой рамки была установлена специальная прокладка. На опытном образце её выполнили из углеродистой стали, а в серии предполагалось делать её из броневой.</w:t>
      </w:r>
    </w:p>
    <w:p w14:paraId="37E02606" w14:textId="77777777" w:rsidR="00FA3B67" w:rsidRPr="00640820" w:rsidRDefault="00FA3B67"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 пушкой был спарен советский пулемёт ДТ, что полностью исключало зависимость модернизированной «Матильды» от поставок боеприпасов из Англии. Кроме того, был изменён стопор орудия в положении по-походному. Ножной спуск временно был снят, но на серийном образце его планировали вернуть на место.</w:t>
      </w:r>
    </w:p>
    <w:p w14:paraId="2D1F9523" w14:textId="77777777" w:rsidR="00FA3B67" w:rsidRPr="00640820" w:rsidRDefault="00FA3B67"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Сидение наводчика было заменено на конструкцию, позаимствованную из Т-34, при этом пришлось заново изготовить кронштейн его крепления к башне. Также пришлось делать заново стойки крепления полика. Подъёмный механизм был позаимствован от ЗИС-5. Поворотный механизм оказался сдвинут назад. Вытяжной вентилятор в крыше башни был приподнят вверх на 50 мм, а его бронеколпак пришлось поменять на новую конструкцию.</w:t>
      </w:r>
    </w:p>
    <w:p w14:paraId="2FA93B34" w14:textId="77777777" w:rsidR="00FA3B67" w:rsidRPr="00640820" w:rsidRDefault="00FA3B67"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Полностью пришлось переделывать и укладки снарядов. В танк установили горизонтальную боковую укладку на 28 выстрелов (4 ящика по 7 выстрелов в каждом). Также появились вертикальная боковая укладка на 6 выстрелов и укладка в полу (4 ящика по 5 выстрелов в каждом). Таким образом, возимый боекомплект танка составил 54 выстрела. Конечно, это не 77 выстрелов, как на Т-34, но тоже вполне неплохо. Для сравнения, штатный боезапас «Матильды» с английским вооружением составлял 69 2-фунтовых снарядов.</w:t>
      </w:r>
    </w:p>
    <w:p w14:paraId="0A510B6B" w14:textId="77777777" w:rsidR="00FA3B67" w:rsidRPr="00640820" w:rsidRDefault="00FA3B67"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Выяснилось, что усилие на маховике подъёмного механизма не превышает 6 килограмм, то есть находится в пределах нормы. При горизонтальном положении системы усилие на механизме поворота башни не превышало 5 килограмм, но при максимальном возвышении орудия и крене танка в 6 градусов оно возрастало до 30 кг. Впрочем, описанная проблема была присуща не только перевооружённой «Матильде»: то же самое наблюдалось и на Т-34. Предлагалось либо мириться с этим недостатком, либо в кормовой части башни размещать противовес массой в тонну.</w:t>
      </w:r>
    </w:p>
    <w:p w14:paraId="622FACF5" w14:textId="77777777" w:rsidR="00FA3B67" w:rsidRPr="00640820" w:rsidRDefault="00FA3B67"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lastRenderedPageBreak/>
        <w:t>Гораздо большей проблемой стало то, что круговому обстрелу мешали жалюзи на крыше моторного отделения, которые упирались в нижнюю часть бронировки. Для решения этой проблемы предлагалось подрезать 4 секции жалюзи, а также на 50 мм подрезать снизу бронировку.</w:t>
      </w:r>
    </w:p>
    <w:p w14:paraId="5A0B2FD5" w14:textId="77777777" w:rsidR="00FA3B67" w:rsidRPr="00640820" w:rsidRDefault="00FA3B67"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ходе испытаний пробегом не было обнаружено никаких дефектов.</w:t>
      </w:r>
    </w:p>
    <w:p w14:paraId="7A36EFBE" w14:textId="77777777" w:rsidR="00FA3B67" w:rsidRPr="00640820" w:rsidRDefault="00FA3B67"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 итогам испытаний «Матильды» было получено следующее заключение:</w:t>
      </w:r>
    </w:p>
    <w:p w14:paraId="28984569" w14:textId="77777777" w:rsidR="00FA3B67" w:rsidRPr="00640820" w:rsidRDefault="00FA3B67"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iCs/>
          <w:color w:val="000000" w:themeColor="text1"/>
          <w:sz w:val="16"/>
          <w:szCs w:val="16"/>
          <w:lang w:eastAsia="ru-RU"/>
        </w:rPr>
        <w:t>«1. В результате сравнения английского и отечественного вооружения, осмотра новой установки и испытания стрельбой и возкой считаем, что перевооружение танка M-IIA 76,2 мм пушкой ЗИС-5 и 7,62 мм пулеметом ДТ – целесообразно.</w:t>
      </w:r>
    </w:p>
    <w:p w14:paraId="74AB8A82" w14:textId="77777777" w:rsidR="00FA3B67" w:rsidRPr="00640820" w:rsidRDefault="00FA3B67"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iCs/>
          <w:color w:val="000000" w:themeColor="text1"/>
          <w:sz w:val="16"/>
          <w:szCs w:val="16"/>
          <w:lang w:eastAsia="ru-RU"/>
        </w:rPr>
        <w:t>2. Необходимо провести дополнительные изменения в башне, перечисленные в разделе V.</w:t>
      </w:r>
    </w:p>
    <w:p w14:paraId="73ED945C" w14:textId="77777777" w:rsidR="00FA3B67" w:rsidRPr="00640820" w:rsidRDefault="00FA3B67"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iCs/>
          <w:color w:val="000000" w:themeColor="text1"/>
          <w:sz w:val="16"/>
          <w:szCs w:val="16"/>
          <w:lang w:eastAsia="ru-RU"/>
        </w:rPr>
        <w:t>3. Считаем целесообразным организовать изготовление новых и доделку старых деталей башни на заводе «Красное Сормово» №112.</w:t>
      </w:r>
    </w:p>
    <w:p w14:paraId="7C61866D" w14:textId="77777777" w:rsidR="00FA3B67" w:rsidRPr="00640820" w:rsidRDefault="00FA3B67"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iCs/>
          <w:color w:val="000000" w:themeColor="text1"/>
          <w:sz w:val="16"/>
          <w:szCs w:val="16"/>
          <w:lang w:eastAsia="ru-RU"/>
        </w:rPr>
        <w:t>4. Вновь изготовленные и измененные детали комплектно необходимо подавать вместе с танком в ремонтную мастерскую, располагающую подъемными средствами и сварочной аппаратурой»</w:t>
      </w:r>
      <w:r w:rsidRPr="00640820">
        <w:rPr>
          <w:rFonts w:ascii="Times New Roman" w:eastAsia="Times New Roman" w:hAnsi="Times New Roman"/>
          <w:color w:val="000000" w:themeColor="text1"/>
          <w:sz w:val="16"/>
          <w:szCs w:val="16"/>
          <w:lang w:eastAsia="ru-RU"/>
        </w:rPr>
        <w:t xml:space="preserve"> (17662).</w:t>
      </w:r>
    </w:p>
    <w:p w14:paraId="446F114A" w14:textId="77777777" w:rsidR="00FA3B67" w:rsidRPr="00640820" w:rsidRDefault="00FA3B67" w:rsidP="00640820">
      <w:pPr>
        <w:spacing w:after="0" w:line="240" w:lineRule="auto"/>
        <w:jc w:val="both"/>
        <w:rPr>
          <w:rFonts w:ascii="Times New Roman" w:eastAsia="Times New Roman" w:hAnsi="Times New Roman"/>
          <w:color w:val="000000" w:themeColor="text1"/>
          <w:sz w:val="16"/>
          <w:szCs w:val="16"/>
          <w:lang w:eastAsia="ru-RU"/>
        </w:rPr>
      </w:pPr>
    </w:p>
    <w:p w14:paraId="73F709F0" w14:textId="77777777" w:rsidR="00FA3B67" w:rsidRPr="00640820" w:rsidRDefault="00FA3B67"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 декабря 1941 танк «Валентайна» с новой пушкой вышел на испытания. Точную дату, когда впервые был поднят вопрос о перевооружении «Матильды», и "Валентайна" определить так и не удалось. Вероятнее всего, произошло это в середине ноября, когда начала решаться аналогичная проблема с вооружением танка «Валентайн», также включавшего 2-фунтовую пушку.</w:t>
      </w:r>
    </w:p>
    <w:p w14:paraId="67453605" w14:textId="77777777" w:rsidR="00FA3B67" w:rsidRPr="00640820" w:rsidRDefault="00FA3B67"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Инициатором перевооружения «Валентайна» выступил начальник кафедры артиллерии Военной академии механизации и моторизации (ВАММ), военный инженер 1-го ранга Н. С. Огурцов. Он обратился к начальнику КБ завода №92 В. Г. Грабину, а тот, в свою очередь, поставил задачу старшему инженеру-конструктору П. Ф. Муравьёву. Достаточно быстро был разработан проект установки 45-мм пушки в башню Valentine II.</w:t>
      </w:r>
    </w:p>
    <w:p w14:paraId="65364524" w14:textId="77777777" w:rsidR="00FA3B67" w:rsidRPr="00640820" w:rsidRDefault="00FA3B67"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случае с «Матильдой» ситуация выглядела несколько иначе. Несмотря на то что основным вооружением этого танка была такая же 2-фунтовая пушка, как у «Валентайна», перевооружать «Матильду» на «сорокопятку» советские специалисты не пожелали. По массе «Матильда» относилась к средним танкам, по уровню бронирования – скорее к тяжёлым, а внутренние габариты её трёхместной башни вполне позволяли установить в неё орудие посолиднее.</w:t>
      </w:r>
    </w:p>
    <w:p w14:paraId="6E07626C" w14:textId="77777777" w:rsidR="00FA3B67" w:rsidRPr="00640820" w:rsidRDefault="00FA3B67"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Такое орудие у КБ завода №92 имелось. Речь идёт о 76-мм танковой пушке ЗИС-5, которая, в свою очередь, являлась вариацией на тему танковой пушки Ф-34. Диаметр башенного погона «Матильды», составлявший 1370 мм, вполне позволял осуществить подобную замену. Когда именно началось проектирование установки ЗИС-5 в башню «Матильды», неизвестно, но судя по тому, что на испытания перевооружённый танк вышел в тот же день, что и Valentine II с 45-мм пушкой, работы шли параллельно (17662).</w:t>
      </w:r>
    </w:p>
    <w:p w14:paraId="2C57BC1A" w14:textId="77777777" w:rsidR="00FA3B67" w:rsidRPr="00640820" w:rsidRDefault="00FA3B67" w:rsidP="00640820">
      <w:pPr>
        <w:spacing w:after="0" w:line="240" w:lineRule="auto"/>
        <w:jc w:val="both"/>
        <w:rPr>
          <w:rFonts w:ascii="Times New Roman" w:eastAsia="Times New Roman" w:hAnsi="Times New Roman"/>
          <w:color w:val="000000" w:themeColor="text1"/>
          <w:sz w:val="16"/>
          <w:szCs w:val="16"/>
          <w:lang w:eastAsia="ru-RU"/>
        </w:rPr>
      </w:pPr>
    </w:p>
    <w:p w14:paraId="08F55ECC" w14:textId="77777777" w:rsidR="006A6BE8" w:rsidRPr="00640820" w:rsidRDefault="006A6BE8" w:rsidP="00640820">
      <w:pPr>
        <w:spacing w:after="0" w:line="240" w:lineRule="auto"/>
        <w:jc w:val="both"/>
        <w:rPr>
          <w:rFonts w:ascii="Times New Roman" w:hAnsi="Times New Roman"/>
          <w:color w:val="0070C0"/>
          <w:sz w:val="16"/>
          <w:szCs w:val="16"/>
          <w:shd w:val="clear" w:color="auto" w:fill="FFFFFF"/>
        </w:rPr>
      </w:pPr>
      <w:r w:rsidRPr="00640820">
        <w:rPr>
          <w:rFonts w:ascii="Times New Roman" w:hAnsi="Times New Roman"/>
          <w:color w:val="0070C0"/>
          <w:sz w:val="16"/>
          <w:szCs w:val="16"/>
          <w:shd w:val="clear" w:color="auto" w:fill="FFFFFF"/>
        </w:rPr>
        <w:t>2 декабря 1941 года начались испытания перевооруженного танка Valentine</w:t>
      </w:r>
    </w:p>
    <w:p w14:paraId="48426092" w14:textId="77777777" w:rsidR="006A6BE8" w:rsidRPr="00640820" w:rsidRDefault="006A6BE8" w:rsidP="00640820">
      <w:pPr>
        <w:spacing w:after="0" w:line="240" w:lineRule="auto"/>
        <w:jc w:val="both"/>
        <w:rPr>
          <w:rFonts w:ascii="Times New Roman" w:hAnsi="Times New Roman"/>
          <w:color w:val="0070C0"/>
          <w:sz w:val="16"/>
          <w:szCs w:val="16"/>
          <w:shd w:val="clear" w:color="auto" w:fill="FFFFFF"/>
        </w:rPr>
      </w:pPr>
      <w:r w:rsidRPr="00640820">
        <w:rPr>
          <w:rFonts w:ascii="Times New Roman" w:hAnsi="Times New Roman"/>
          <w:color w:val="0070C0"/>
          <w:sz w:val="16"/>
          <w:szCs w:val="16"/>
          <w:shd w:val="clear" w:color="auto" w:fill="FFFFFF"/>
        </w:rPr>
        <w:t>Работы по перевооружению Valentine на заводе №92 возглавил П.Ф. Муравьёв, начальник "танкового" подразделения КБ</w:t>
      </w:r>
    </w:p>
    <w:p w14:paraId="357F9E2D" w14:textId="77777777" w:rsidR="006A6BE8" w:rsidRPr="00640820" w:rsidRDefault="006A6BE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shd w:val="clear" w:color="auto" w:fill="FFFFFF"/>
        </w:rPr>
        <w:t>Испытания прошли они в период со 2 по 11 декабря. Сначала прошли испытания на заводском полигоне, где после 20 выстрелов обычным зарядом и 20 усиленным орудие признали выдержавшим проверку на прочность. Также вполне успешно прошли испытания и дальнейшие испытания. Наиболее серьёзным дефектом стало перекрещивание рукояток механизмов наводки в крайних положениях. Остальные дефекты более-менее соответствовали тем же проблемам, которые наблюдались и на обычном танке.</w:t>
      </w:r>
    </w:p>
    <w:p w14:paraId="7BE3F5B7" w14:textId="77777777" w:rsidR="006A6BE8" w:rsidRPr="00640820" w:rsidRDefault="006A6BE8" w:rsidP="00640820">
      <w:pPr>
        <w:spacing w:after="0" w:line="240" w:lineRule="auto"/>
        <w:jc w:val="both"/>
        <w:rPr>
          <w:rFonts w:ascii="Times New Roman" w:hAnsi="Times New Roman"/>
          <w:color w:val="0070C0"/>
          <w:sz w:val="16"/>
          <w:szCs w:val="16"/>
          <w:shd w:val="clear" w:color="auto" w:fill="FFFFFF"/>
        </w:rPr>
      </w:pPr>
      <w:r w:rsidRPr="00640820">
        <w:rPr>
          <w:rFonts w:ascii="Times New Roman" w:hAnsi="Times New Roman"/>
          <w:color w:val="0070C0"/>
          <w:sz w:val="16"/>
          <w:szCs w:val="16"/>
          <w:shd w:val="clear" w:color="auto" w:fill="FFFFFF"/>
        </w:rPr>
        <w:t>В письме от 20 ноября 1941 года Огурцов уже рапортует о том, что КБ завода №92 не просто начала разработку, а уже установила новую орудийную установку в танк, после чего провело пробные стрельбы. Оперативность, которая заслуживает уважения. Для понимания сути вопроса, конвой PQ-2 прибыл 30 октября 1941 года, еще некоторое время понадобилось на обнаружение приёмкой проблем. Итого отдел Муравьёва разработал новую установку, а также изготовил опытный образец менее чем за 3 недели. И это не единственный такой случай: опытный истребителя танков ЗИС-30 также был создан за считанные недели. То, что САУ пошла в серию сильно позже, это уже другой вопрос. Но в Горьком умели выполнять важные задания с впечатляющей быстротой.</w:t>
      </w:r>
    </w:p>
    <w:p w14:paraId="735677B8" w14:textId="77777777" w:rsidR="006A6BE8" w:rsidRPr="00640820" w:rsidRDefault="006A6BE8" w:rsidP="00640820">
      <w:pPr>
        <w:spacing w:after="0" w:line="240" w:lineRule="auto"/>
        <w:jc w:val="both"/>
        <w:rPr>
          <w:rFonts w:ascii="Times New Roman" w:hAnsi="Times New Roman"/>
          <w:color w:val="0070C0"/>
          <w:sz w:val="16"/>
          <w:szCs w:val="16"/>
          <w:shd w:val="clear" w:color="auto" w:fill="FFFFFF"/>
        </w:rPr>
      </w:pPr>
      <w:r w:rsidRPr="00640820">
        <w:rPr>
          <w:rFonts w:ascii="Times New Roman" w:hAnsi="Times New Roman"/>
          <w:color w:val="0070C0"/>
          <w:sz w:val="16"/>
          <w:szCs w:val="16"/>
          <w:shd w:val="clear" w:color="auto" w:fill="FFFFFF"/>
        </w:rPr>
        <w:t>Главным фактором, повлиявшим на сроки изготовления орудийной установки (она получила заводской индекс Ф-95) стало максимальное использование готовых решений. Совсем новую установку 45-мм пушки делать не стали, взяв за основу конструкцию для Т-26/БТ. Она была вполне компактной и принципиально помещалась в амбразуру Valentine. Больше того, ее пришлось увеличивать: по длине она выросла на 56 мм, а по диаметру на 12 мм. Для этого приварили дополнительные цапфы и пластины. Гильзоулавливатель укоротили на 105 мм и изменили его мешок, также приварив пару пластин для придания равновесия системе. Дополнительный противовес был приварен и на люльку. Подвижную и неподвижную бронировку системы изготовили заново, но ставились они на штатную переднюю часть башни. В результате объем переделок был существенно меньше, а заодно сохранили и 2-дюймовый (51-мм) миномет. Его наши военные оценили и убирать не собирались.</w:t>
      </w:r>
    </w:p>
    <w:p w14:paraId="573BD2FE" w14:textId="77777777" w:rsidR="006A6BE8" w:rsidRPr="00640820" w:rsidRDefault="006A6BE8" w:rsidP="00640820">
      <w:pPr>
        <w:spacing w:after="0" w:line="240" w:lineRule="auto"/>
        <w:jc w:val="both"/>
        <w:rPr>
          <w:rFonts w:ascii="Times New Roman" w:hAnsi="Times New Roman"/>
          <w:color w:val="0070C0"/>
          <w:sz w:val="16"/>
          <w:szCs w:val="16"/>
          <w:shd w:val="clear" w:color="auto" w:fill="FFFFFF"/>
        </w:rPr>
      </w:pPr>
      <w:r w:rsidRPr="00640820">
        <w:rPr>
          <w:rFonts w:ascii="Times New Roman" w:hAnsi="Times New Roman"/>
          <w:color w:val="0070C0"/>
          <w:sz w:val="16"/>
          <w:szCs w:val="16"/>
          <w:shd w:val="clear" w:color="auto" w:fill="FFFFFF"/>
        </w:rPr>
        <w:t>Вместе с 45-мм орудийной установкой поставили и советский подъемный механизм. Для этого изготовили несколько монтажных деталей. Штатный поворотный механизм оставили, но при этом перенесли назад на 250 мм. Также пришлось перерабатывать укладки. Поскольку вместе с 45-мм пушкой поставили и советский пулемет ДТ, то сделали укладки под дисковые магазины. Всего их поместилось 38 штук. Под 45-мм унитарные патроны сделали укладку на 32 штуки, также часть английских укладок переделали, увеличив диаметр отверстий. В общей сложности боекомплект составил 91 унитар, для сравнения, у Valentine II штатный боекомплект составлял 60 унитаров. Высвободился и английский телескопический прицел, вместо него поставили советский ТОП.</w:t>
      </w:r>
    </w:p>
    <w:p w14:paraId="2D1A2B92" w14:textId="77777777" w:rsidR="006A6BE8" w:rsidRPr="00640820" w:rsidRDefault="006A6BE8" w:rsidP="00640820">
      <w:pPr>
        <w:spacing w:after="0" w:line="240" w:lineRule="auto"/>
        <w:jc w:val="both"/>
        <w:rPr>
          <w:rFonts w:ascii="Times New Roman" w:hAnsi="Times New Roman"/>
          <w:color w:val="0070C0"/>
          <w:sz w:val="16"/>
          <w:szCs w:val="16"/>
          <w:shd w:val="clear" w:color="auto" w:fill="FFFFFF"/>
        </w:rPr>
      </w:pPr>
      <w:r w:rsidRPr="00640820">
        <w:rPr>
          <w:rFonts w:ascii="Times New Roman" w:hAnsi="Times New Roman"/>
          <w:color w:val="0070C0"/>
          <w:sz w:val="16"/>
          <w:szCs w:val="16"/>
          <w:shd w:val="clear" w:color="auto" w:fill="FFFFFF"/>
        </w:rPr>
        <w:t>Таким образом переделали танк с WD-номером T.27526, изготовленный на Metropolitan Cammell Carriage and Wagon Company (MCCW).</w:t>
      </w:r>
    </w:p>
    <w:p w14:paraId="60065CF3" w14:textId="77777777" w:rsidR="006A6BE8" w:rsidRPr="00640820" w:rsidRDefault="006A6BE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shd w:val="clear" w:color="auto" w:fill="FFFFFF"/>
        </w:rPr>
        <w:t>По результатам испытаний комиссия рекомендовала доработать выявленные недостатки и начать перевооружение английских машин. Особых проблем бы это не вызвало (22723).</w:t>
      </w:r>
    </w:p>
    <w:p w14:paraId="6F28B91B" w14:textId="77777777" w:rsidR="006A6BE8" w:rsidRPr="00640820" w:rsidRDefault="006A6BE8" w:rsidP="00640820">
      <w:pPr>
        <w:spacing w:after="0" w:line="240" w:lineRule="auto"/>
        <w:jc w:val="both"/>
        <w:rPr>
          <w:rFonts w:ascii="Times New Roman" w:hAnsi="Times New Roman"/>
          <w:color w:val="0070C0"/>
          <w:sz w:val="16"/>
          <w:szCs w:val="16"/>
        </w:rPr>
      </w:pPr>
    </w:p>
    <w:p w14:paraId="3CD7F674"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 декабря 1941 года первый уральский бронепоезд «Пермский рабочий» отправился на фронт. Получив 1 ноября 1941 года приказ о строительстве бронепоезда, руководители и специалисты Пермского паровозного депо немедленно приступили к его исполнению, имея под рукой только местные резервы. Под бронепаровоз взяли только что вышедшую из среднего ремонта «овечку», к ней добавили четыре двухосные платформы. Поскольку броневая сталь отсутствовала и взять ее было негде (армии все же в первую очередь нужны были танки), для бронирования паровоза и платформ пустили «сырую», то есть термически не обработанную сталь. Это сразу создало массу проблем. Часть стальных листов сразу испортили сваркой: в местах прихваток с каркасом броня закаливалась и становилась хрупкой, неоднородной со всем листом. После этого решили крепить ее на болты. Но сразу возникла новая проблема: сверла стальные листы не брали, отверстия под болты пришлось вырезать автогеном. Работа в результате затягивалась. Цилиндрическую часть котла, бак тендера, зенитную башню на тендере закрыли броней толщиной </w:t>
      </w:r>
      <w:smartTag w:uri="urn:schemas-microsoft-com:office:smarttags" w:element="metricconverter">
        <w:smartTagPr>
          <w:attr w:name="ProductID" w:val="1945 г"/>
        </w:smartTagPr>
        <w:r w:rsidRPr="00640820">
          <w:rPr>
            <w:rFonts w:ascii="Times New Roman" w:hAnsi="Times New Roman"/>
            <w:color w:val="000000" w:themeColor="text1"/>
            <w:sz w:val="16"/>
            <w:szCs w:val="16"/>
          </w:rPr>
          <w:t>30 мм</w:t>
        </w:r>
      </w:smartTag>
      <w:r w:rsidRPr="00640820">
        <w:rPr>
          <w:rFonts w:ascii="Times New Roman" w:hAnsi="Times New Roman"/>
          <w:color w:val="000000" w:themeColor="text1"/>
          <w:sz w:val="16"/>
          <w:szCs w:val="16"/>
        </w:rPr>
        <w:t>. Бронеплощадки и цилиндрические башни на них покрыли листами 15-мм стали, но в два слоя с воздушной прослойкой 70-</w:t>
      </w:r>
      <w:smartTag w:uri="urn:schemas-microsoft-com:office:smarttags" w:element="metricconverter">
        <w:smartTagPr>
          <w:attr w:name="ProductID" w:val="1945 г"/>
        </w:smartTagPr>
        <w:r w:rsidRPr="00640820">
          <w:rPr>
            <w:rFonts w:ascii="Times New Roman" w:hAnsi="Times New Roman"/>
            <w:color w:val="000000" w:themeColor="text1"/>
            <w:sz w:val="16"/>
            <w:szCs w:val="16"/>
          </w:rPr>
          <w:t>75 мм</w:t>
        </w:r>
      </w:smartTag>
      <w:r w:rsidRPr="00640820">
        <w:rPr>
          <w:rFonts w:ascii="Times New Roman" w:hAnsi="Times New Roman"/>
          <w:color w:val="000000" w:themeColor="text1"/>
          <w:sz w:val="16"/>
          <w:szCs w:val="16"/>
        </w:rPr>
        <w:t>. На потолок бронебашни поставили 20-мм броню, палубу тендера застлали 15-мм листами, командирскую рубку обшили 40-мм сталью, а будку машиниста – 45-мм. Для вооружения строящегося бронепоезда Главное артиллерийское управление РККА, больше озабоченное снабжением фронта, прислало сплошной антиквариат: 4 зенитные пушки образца 1914 года, 16 станковых пулеметов «браунинг» и 4 ручных пулемета ДТ. Станковые пулеметы монтировались по четыре на каждой бронеплощадке; ручные – по одному в шаровых установках на бронебашнях (15218).</w:t>
      </w:r>
    </w:p>
    <w:p w14:paraId="4416A525" w14:textId="77777777" w:rsidR="002568A6" w:rsidRPr="00640820" w:rsidRDefault="002568A6" w:rsidP="00640820">
      <w:pPr>
        <w:spacing w:after="0" w:line="240" w:lineRule="auto"/>
        <w:jc w:val="both"/>
        <w:rPr>
          <w:rFonts w:ascii="Times New Roman" w:hAnsi="Times New Roman"/>
          <w:color w:val="000000" w:themeColor="text1"/>
          <w:sz w:val="16"/>
          <w:szCs w:val="16"/>
        </w:rPr>
      </w:pPr>
    </w:p>
    <w:p w14:paraId="33CA5096"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738263A7"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C3603B6"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 декабря</w:t>
      </w:r>
      <w:r w:rsidRPr="00640820">
        <w:rPr>
          <w:rFonts w:ascii="Times New Roman" w:hAnsi="Times New Roman"/>
          <w:color w:val="000000" w:themeColor="text1"/>
          <w:sz w:val="16"/>
          <w:szCs w:val="16"/>
        </w:rPr>
        <w:t xml:space="preserve"> в 1941 году утреннее сообщение Совинформбюро:</w:t>
      </w:r>
    </w:p>
    <w:p w14:paraId="6F395BAB"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2 декабря наши войска вели бои с противником на всех фронтах.</w:t>
      </w:r>
    </w:p>
    <w:p w14:paraId="067EA763"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Наша часть, действующая на одном из участков Западного фронта, разгромила усиленный батальон противника и захватила 14 миномётов, 3 станковых пулемёта, орудие, 75 ящиков патронов, 160 пулемётных лент и другие трофеи.</w:t>
      </w:r>
    </w:p>
    <w:p w14:paraId="43E8229C"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участков Юго-Западного фронта советские кавалеристы выбили противника из села О., уничтожили 400 немецких солдат и офицеров и захватили три орудия.</w:t>
      </w:r>
    </w:p>
    <w:p w14:paraId="3B848381"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Группа советских автоматчиков под руководством красноармейца И. Ткачёва совершила два успешных налёта на немцев, засевших в деревне. Отважные автоматчики уничтожили два миномёта, три станковых пулемёта и истребили около 80 солдат противника.</w:t>
      </w:r>
    </w:p>
    <w:p w14:paraId="65B5B49E"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Партизаны районов Донбасса, захваченных немцами, беспощадно истребляют фашистских оккупантов. Недавно партизанский отряд тов. К. вступил в бой с ротой немецких солдат. Партизаны перебили 52 и ранили 27 фашистов. Остальные обратились в бегство. Отряд захватил ручной пулемёт, много винтовок и автоматов. Другой партизанский отряд под командованием тов. А. напал на группу немцев, расположившуюся в селе. Советские патриоты выбили немцев из села, уничтожив при этом до 40 солдат неприятеля. Исключительную храбрость проявил боец этого отряда молодой шахтёр тов. Л., истребивший несколько немецких офицеров и солдат.</w:t>
      </w:r>
    </w:p>
    <w:p w14:paraId="06DEF98D"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ответ на призыв товарища Сталина давать фронту больше хлеба, мяса, сырья для промышленности колхозы и машинно-тракторные станции проявляют большевистскую заботу об урожае будущего года. Во всех МТС Чкаловской области усиливается темп ремонта тракторов. За последние пять дней в области отремонтировано 233 трактора. Деятельно готовятся к весне колхозники Яны-Курганского района, Кзыл-Ординской области. Десятки тысяч гектаров подняты под зябь. Во всех колхозах района засыпан семенной и страховой фонды. Производится очистка семян и заготовка удобрений. Колхозники Шугнанского, Бартангского, Рошткалинского и Ваханского районов, Горно-Бадахшанской Автономной области, закончили вспашку зяби. Поднято 5.300 гектаров. Идёт очистка семян, заготовка </w:t>
      </w:r>
      <w:r w:rsidRPr="00640820">
        <w:rPr>
          <w:rFonts w:ascii="Times New Roman" w:hAnsi="Times New Roman"/>
          <w:color w:val="000000" w:themeColor="text1"/>
          <w:sz w:val="16"/>
          <w:szCs w:val="16"/>
        </w:rPr>
        <w:lastRenderedPageBreak/>
        <w:t>местных удобрений. Колхозы намечают в будущем году значительно расширить посевные площади. Тысячи колхозников вышли на раскорчёвку кустарников и распашку целинных земель.» (14848).</w:t>
      </w:r>
    </w:p>
    <w:p w14:paraId="33185C22" w14:textId="77777777" w:rsidR="002568A6" w:rsidRPr="00640820" w:rsidRDefault="002568A6" w:rsidP="00640820">
      <w:pPr>
        <w:spacing w:after="0" w:line="240" w:lineRule="auto"/>
        <w:jc w:val="both"/>
        <w:rPr>
          <w:rFonts w:ascii="Times New Roman" w:hAnsi="Times New Roman"/>
          <w:color w:val="000000" w:themeColor="text1"/>
          <w:sz w:val="16"/>
          <w:szCs w:val="16"/>
        </w:rPr>
      </w:pPr>
    </w:p>
    <w:p w14:paraId="489349E3"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 декабря</w:t>
      </w:r>
      <w:r w:rsidRPr="00640820">
        <w:rPr>
          <w:rFonts w:ascii="Times New Roman" w:hAnsi="Times New Roman"/>
          <w:color w:val="000000" w:themeColor="text1"/>
          <w:sz w:val="16"/>
          <w:szCs w:val="16"/>
        </w:rPr>
        <w:t xml:space="preserve"> в 1941 году вечернее сообщение Совинформбюро:</w:t>
      </w:r>
    </w:p>
    <w:p w14:paraId="55865285"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2 декабря наши войска вели бои с противником на всех фронтах. На Западном фронте отбито несколько ожесточённых атак немецко-фашистских войск. Враг понёс большие потери людьми и вооружением. На Ростовском участке фронта советские войска продолжали преследовать противника.</w:t>
      </w:r>
    </w:p>
    <w:p w14:paraId="1D1895FB"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 декабря уничтожено 12 немецких самолётов. Наши потери — 4 самолёта.</w:t>
      </w:r>
    </w:p>
    <w:p w14:paraId="533E739B"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 декабря под Москвой сбито 17 немецких самолётов.</w:t>
      </w:r>
    </w:p>
    <w:p w14:paraId="1DE5EEB5"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 декабря одной нашей авиачастью уничтожено и выведено из строя 13 немецких танков, 300 автомашин с войсками и грузами, 30 полевых и зенитных орудий, 2 автоцистерны с горючим, истреблено и рассеяно более 2 батальонов вражеской пехоты.</w:t>
      </w:r>
    </w:p>
    <w:p w14:paraId="190350BA"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Бойцы тов. Масленникова в бою на одном из участков Западного фронта уничтожили 2 миномётных батареи противника, 10 станковых пулемётов, 8 дерево-земляных точек, подожгли базу с горючим и истребили до 1.000 немецких солдат и офицеров.</w:t>
      </w:r>
    </w:p>
    <w:p w14:paraId="2F3CA12D"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Части тов. Федюнинского, действующие на одном из участков Ленинградского фронта, в результате двухдневных боёв захватили у противника 8 танков, 14 орудий, 32 пулемёта, 2 радиостанции и много других трофеев.</w:t>
      </w:r>
    </w:p>
    <w:p w14:paraId="43FFF844"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Батарея противотанковых орудий младшего лейтенанта Зверева в одном бою уничтожила 2 немецких танка. Шесть немецких танков подбил расчёт старшины Матвеева и сержанта Бабаева.</w:t>
      </w:r>
    </w:p>
    <w:p w14:paraId="4DE41607"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Героический подвиг совершил сержант тов. Белов. Во время боя тов. Белов хладнокровно вёл по врагу меткий огонь из своей 3-линейной винтовки, истребляя немецких оккупантов одного за другим. Когда наша часть пошла в контратаку, храбрый сержант начал уничтожать фашистов штыком и прикладом. Всего за один этот бой тов. Белов, несмотря на ранение, истребил 41 фашистского солдата.</w:t>
      </w:r>
    </w:p>
    <w:p w14:paraId="422DF5C4"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Боевая деятельность партизан Ленинградской области не прекращается ни на один день. Партизанский отряд тов. Г. совершил ночью налёт на деревню Т., где расположилось на отдых фашистское подразделение. Часовые, утомлённые походом, тоже заснули. Партизаны перебили всех немцев и захватили много оружия и ценных документов. В оккупированных районах на дорогах в связи с холодами застряло много автомашин и танков противника. Партизаны из отряда тов. К. выслеживают отставшие от колонн танки и грузовики, уничтожают охрану, ремонтные бригады немцев и сжигают машины. Только за два дня бойцы отряда сожгли танк и 13 грузовых машин с продовольствием и боеприпасами. Смелое нападение на отставшие от своей части танки врага совершил отряд тов. И. Перебив немецких танкистов, грабивших население в деревне П., партизаны бутылками с горючим и гранатами уничтожили 2 немецких танка.</w:t>
      </w:r>
    </w:p>
    <w:p w14:paraId="783A3744"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Людские резервы гитлеровской Германии быстро истощаются. Взятый в плен санитар 95 полка 17 немецкой пехотной дивизии Иоганнес Юнг показал: «25 сентября наша рота была укомплектована. В ней было 180 человек. Теперь же осталось 38 человек. Были такие дни, когда мне приходилось вывозить до 28 тяжело раненных солдат». Солдат 80 полка 34 немецкой пехотной дивизии Бартельс Вольфрам говорит: «Наша рота почти полностью уничтожена». Из немецкого тыла немецким солдатам родные сообщают, что фашистские власти, стремясь заткнуть огромные бреши в рядах германской армии, гонят на Восточный фронт всех, кого только можно: больных, уродов, полуинвалидов и т. п. «Август Шпигельберг и Веркер Флех, как ты знаешь, тяжело больны туберкулёзом, но они мобилизованы в среду,— пишут родные солдата Вилли.— Посмешище нашей деревни, урод Пауль Диргард должен отправиться завтра утром в свою часть. Скоро здесь совсем не будет парней». Солдату Иосифу Рольф сообщает его жена: «Фрицу приходится очень плохо в солдатах. 14 дней он служил и больше не мог. Он плохо стрелял. Тогда его заставили надеть противогаз и 20 раз обежать двор казармы. Конечно, он свалился с ног. Тогда его оттащили в околоток».</w:t>
      </w:r>
    </w:p>
    <w:p w14:paraId="6C672E73"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Трест «Грузнефть» досрочно выполнял годовой план добычи нефти. В дни Отечественной войны ежесуточная добыча выросла на 18 процентов, значительно снижена себестоимость добываемой нефти. Ранее бездействовавшие скважины уже дали десятки тысяч тонн нефти. В ходе соревнования отличились мастера по добыче нефти Догснадзе, Давидян, Каликов, буровые мастера Бакашвили, Кочиевахмедов и Пипия. Вдвое увеличились ряды двухсотников. В оставшееся до конца года время нефтяники Грузии обязались дать стране сверх плана ещё много тысяч тонн нефти.» (14848).</w:t>
      </w:r>
    </w:p>
    <w:p w14:paraId="4D6DF0A1" w14:textId="77777777" w:rsidR="002568A6" w:rsidRPr="00640820" w:rsidRDefault="002568A6" w:rsidP="00640820">
      <w:pPr>
        <w:spacing w:after="0" w:line="240" w:lineRule="auto"/>
        <w:jc w:val="both"/>
        <w:rPr>
          <w:rFonts w:ascii="Times New Roman" w:hAnsi="Times New Roman"/>
          <w:color w:val="000000" w:themeColor="text1"/>
          <w:sz w:val="16"/>
          <w:szCs w:val="16"/>
        </w:rPr>
      </w:pPr>
    </w:p>
    <w:p w14:paraId="0DB53E43"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 декабря</w:t>
      </w:r>
      <w:r w:rsidRPr="00640820">
        <w:rPr>
          <w:rFonts w:ascii="Times New Roman" w:hAnsi="Times New Roman"/>
          <w:color w:val="000000" w:themeColor="text1"/>
          <w:sz w:val="16"/>
          <w:szCs w:val="16"/>
        </w:rPr>
        <w:t xml:space="preserve"> в 1941 году Балтийский Флот после 160-дневной обороны оставляет базу в Ханко. Все корабли перебазируются в Ленинград и Кронштадт (14848).</w:t>
      </w:r>
    </w:p>
    <w:p w14:paraId="7D2247C9" w14:textId="77777777" w:rsidR="002568A6" w:rsidRPr="00640820" w:rsidRDefault="002568A6" w:rsidP="00640820">
      <w:pPr>
        <w:spacing w:after="0" w:line="240" w:lineRule="auto"/>
        <w:jc w:val="both"/>
        <w:rPr>
          <w:rFonts w:ascii="Times New Roman" w:hAnsi="Times New Roman"/>
          <w:color w:val="000000" w:themeColor="text1"/>
          <w:sz w:val="16"/>
          <w:szCs w:val="16"/>
        </w:rPr>
      </w:pPr>
    </w:p>
    <w:p w14:paraId="2728D3BF"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 декабря</w:t>
      </w:r>
      <w:r w:rsidRPr="00640820">
        <w:rPr>
          <w:rFonts w:ascii="Times New Roman" w:hAnsi="Times New Roman"/>
          <w:color w:val="000000" w:themeColor="text1"/>
          <w:sz w:val="16"/>
          <w:szCs w:val="16"/>
        </w:rPr>
        <w:t xml:space="preserve"> в 1941 году для встречи премьер-министра польского эмигрантского правительства генерала В.Сикорского сформирована Сводная рота Отдельной мотострелковой дивизии особого назначения войск НКВД под командованием лейтенанта В.Т.Огрызко, которая положила начало созданию роты почетного караула Московского гарнизона (14848).</w:t>
      </w:r>
    </w:p>
    <w:p w14:paraId="64500540" w14:textId="77777777" w:rsidR="002568A6" w:rsidRPr="00640820" w:rsidRDefault="002568A6" w:rsidP="00640820">
      <w:pPr>
        <w:spacing w:after="0" w:line="240" w:lineRule="auto"/>
        <w:jc w:val="both"/>
        <w:rPr>
          <w:rFonts w:ascii="Times New Roman" w:hAnsi="Times New Roman"/>
          <w:color w:val="000000" w:themeColor="text1"/>
          <w:sz w:val="16"/>
          <w:szCs w:val="16"/>
        </w:rPr>
      </w:pPr>
    </w:p>
    <w:p w14:paraId="6CE6514C"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 декабря</w:t>
      </w:r>
      <w:r w:rsidRPr="00640820">
        <w:rPr>
          <w:rFonts w:ascii="Times New Roman" w:hAnsi="Times New Roman"/>
          <w:color w:val="000000" w:themeColor="text1"/>
          <w:sz w:val="16"/>
          <w:szCs w:val="16"/>
        </w:rPr>
        <w:t xml:space="preserve"> в 1941 году противник вклинился в оборону войск центра Западного фронта южнее Наро-Фоминска на 8-9 км. Завершилась Ростовская операция войск Южного фронта. Предотвращен прорыв противника на Кавказ. Войска 1-й немецкой танковой армии отброшены к западу от Ростова-на-Дону на 60-80 км. Соединения 2-й немецкой танковой армии предпринимают последнюю неудачную попытку овладеть Тулой (14848).</w:t>
      </w:r>
    </w:p>
    <w:p w14:paraId="5AC9C3C6" w14:textId="77777777" w:rsidR="002568A6" w:rsidRPr="00640820" w:rsidRDefault="002568A6" w:rsidP="00640820">
      <w:pPr>
        <w:spacing w:after="0" w:line="240" w:lineRule="auto"/>
        <w:jc w:val="both"/>
        <w:rPr>
          <w:rFonts w:ascii="Times New Roman" w:hAnsi="Times New Roman"/>
          <w:color w:val="000000" w:themeColor="text1"/>
          <w:sz w:val="16"/>
          <w:szCs w:val="16"/>
        </w:rPr>
      </w:pPr>
    </w:p>
    <w:p w14:paraId="096863D1"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 декабря</w:t>
      </w:r>
      <w:r w:rsidRPr="00640820">
        <w:rPr>
          <w:rFonts w:ascii="Times New Roman" w:hAnsi="Times New Roman"/>
          <w:color w:val="000000" w:themeColor="text1"/>
          <w:sz w:val="16"/>
          <w:szCs w:val="16"/>
        </w:rPr>
        <w:t xml:space="preserve"> в 1941 году с военно-морской базы Ханко эвакуировано в Ленинград свыше 22 тысяч человек с вооружением, техникой и продовольствием. 160-дневная оборона Ханко воспрепятствовала прорыву немецко-фашистского флота в Финский залив, сковала часть финской армии, снизив ее активность на северных подступах к Ленинграду (14848).</w:t>
      </w:r>
    </w:p>
    <w:p w14:paraId="04C9F716" w14:textId="77777777" w:rsidR="002568A6" w:rsidRPr="00640820" w:rsidRDefault="002568A6" w:rsidP="00640820">
      <w:pPr>
        <w:spacing w:after="0" w:line="240" w:lineRule="auto"/>
        <w:jc w:val="both"/>
        <w:rPr>
          <w:rFonts w:ascii="Times New Roman" w:hAnsi="Times New Roman"/>
          <w:color w:val="000000" w:themeColor="text1"/>
          <w:sz w:val="16"/>
          <w:szCs w:val="16"/>
        </w:rPr>
      </w:pPr>
    </w:p>
    <w:p w14:paraId="5318B6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ночь на 2 декабря 1941 бомбардировщики ВВС МВО сожгли на аэродроме в районе Клина 20 самолетов (518,232).</w:t>
      </w:r>
    </w:p>
    <w:p w14:paraId="761566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E0A63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декабря 1941 л 65 шап разгромили автоколонну из 100 машин около Солнечногорска (341,74).</w:t>
      </w:r>
    </w:p>
    <w:p w14:paraId="5F8D14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25E95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ночь на 2 декабря 1941 б ВВС МВО на аэродроме в районе Клина уничтожили до 20 самолетов (341,74).</w:t>
      </w:r>
    </w:p>
    <w:p w14:paraId="41A87D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7D905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декабря 1941 были отбиты попытки охватить Тулу с севера (341,75).</w:t>
      </w:r>
    </w:p>
    <w:p w14:paraId="5BB584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DB948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декабря 1941 диверсанты (капитан Гроза, назвавшийся личным представителем И.В.С.) пытались захватить ЦА (575,170). Хотели принять парашютистов (1836,128).</w:t>
      </w:r>
    </w:p>
    <w:p w14:paraId="281386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0224C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декабря 1941 фашистское командование предприняло последнюю попытку прорваться к Москве. Вражеские танки и пехота нанесли удар в районе Нефедьева, но не смогли пройти дальше первой линии обороны 258-го полка 9-й гвардейской дивизии. Когда наблюдательный пункт командира полка М. А. Суханова оказался под угрозой окружения; он вызвал на себя огонь артиллерии. Вместе с воинами 18й стрелковой дивизии и прибывшим из резерва подкреплением защитники Нефедьева отбросили фашистов, которые оставили на поле боя подбитые танки и пять орудий. С этого времени наметился перелом в ходе военных действий. Первыми перешли в наступление воины-ополченцы. 1308-й полк, в рядах которого сражались красногорцы, 3 декабря освободил селение Ладушкино и усадьбу совхоза “Общественник”, а 5 декабря деревни Шеметково и Надовражино. В бою за освобождение села Дедова Д. М. Каськович сменил погибшего комиссара полка. 8 декабря основные силы 9й гвардейской дивизии сломили упорное сопротивление противника в районе деревни Ленине и села Рождествена, а через три дня советские войска освободили от фашистов город Истру (9691).</w:t>
      </w:r>
    </w:p>
    <w:p w14:paraId="0EDE9A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CEA65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декабря 1941 танки немецкого разведбатальона появились в Химках.</w:t>
      </w:r>
    </w:p>
    <w:p w14:paraId="174B16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6A574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December 2, 1941: Soviet troops evacuate the last territory (near Leningrad and in Carelia) taken from Finland in the 1939-1940 war (3819).</w:t>
      </w:r>
    </w:p>
    <w:p w14:paraId="047726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69FD1A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декабря 1941 последние советские части были эвакуированы с земель, захваченных у Финляндии в ходе кампании 1939-1940 гг. (3819).</w:t>
      </w:r>
    </w:p>
    <w:p w14:paraId="2DF401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4D983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декабря 1941 г. На военно-морской базе Ханко, перед эвакуацией советско­го гарнизона саперами Красной Армии взорваны стволы железнодорожных артустановок ТМ-III-12, выведены из строя их системы управления, противооткатные устройства. Тележки, вагоны-арсеналы и большая часть оборудования транспортеров затоплены в море. С Ханко ушел последний отряд советских кораблей, эвакуируя гарнизон базы (11454).</w:t>
      </w:r>
    </w:p>
    <w:p w14:paraId="2795AF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04905F4" w14:textId="77777777" w:rsidR="006A6BE8" w:rsidRPr="00640820" w:rsidRDefault="006A6BE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xml:space="preserve">2 декабря 1941 Адольф Гитлер приказывает Fliegerkorps II Люфтваффе передислоцировать из Советского Союза в Сицилии и в Северную Африку и вместе с Fliegerkorps X образует Luftflotte 2 под командованием фельдмаршала Кессельринга. Гитлер приказывает Кессельрингу добиться превосходства в воздухе над южной Италией и Северной Африка, подавить силы союзников на Мальте и обеспечить безопасный проход конвоев стран Оси в Северную Африку, парализовать морское </w:t>
      </w:r>
      <w:r w:rsidRPr="00640820">
        <w:rPr>
          <w:rFonts w:ascii="Times New Roman" w:hAnsi="Times New Roman"/>
          <w:color w:val="0070C0"/>
          <w:sz w:val="16"/>
          <w:szCs w:val="16"/>
        </w:rPr>
        <w:lastRenderedPageBreak/>
        <w:t>движение союзников в Средиземном море и не допустить прибытия союзных поставок в Тобрук и Мальту. Передислокация изменит баланс сил на в Средиземном море в пользу Оси (20794).</w:t>
      </w:r>
    </w:p>
    <w:p w14:paraId="3C765C73" w14:textId="77777777" w:rsidR="006A6BE8" w:rsidRPr="00640820" w:rsidRDefault="006A6BE8" w:rsidP="00640820">
      <w:pPr>
        <w:spacing w:after="0" w:line="240" w:lineRule="auto"/>
        <w:jc w:val="both"/>
        <w:rPr>
          <w:rFonts w:ascii="Times New Roman" w:hAnsi="Times New Roman"/>
          <w:color w:val="0070C0"/>
          <w:sz w:val="16"/>
          <w:szCs w:val="16"/>
        </w:rPr>
      </w:pPr>
    </w:p>
    <w:p w14:paraId="3A83F9D1" w14:textId="77777777" w:rsidR="006A6BE8" w:rsidRPr="00640820" w:rsidRDefault="006A6BE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 декабря 1941 года перевооруженная 76 мм пушкой Matilda III с WD-номером 10157 (изготовлен судостроительной верфью Harland &amp; Wolff Ltd. в Белфасте) вышла на испытания. Менялось не только орудие, но и спаренный пулемет. Вместо BESA ставился ДТ, тем самым снимался вопрос и обеспечения зарубежными патронами. Снятое с танка вооружение отправлялось в ремфонд, тем самым частично снимался вопрос обеспечения запасными пушками и запчастями к ним. Ставился и отечественный прицел ТОП.</w:t>
      </w:r>
    </w:p>
    <w:p w14:paraId="741398BF" w14:textId="77777777" w:rsidR="006A6BE8" w:rsidRPr="00640820" w:rsidRDefault="006A6BE8" w:rsidP="00640820">
      <w:pPr>
        <w:spacing w:after="0" w:line="240" w:lineRule="auto"/>
        <w:jc w:val="both"/>
        <w:rPr>
          <w:rFonts w:ascii="Times New Roman" w:hAnsi="Times New Roman"/>
          <w:color w:val="0070C0"/>
          <w:sz w:val="16"/>
          <w:szCs w:val="16"/>
          <w:shd w:val="clear" w:color="auto" w:fill="FFFFFF"/>
        </w:rPr>
      </w:pPr>
      <w:r w:rsidRPr="00640820">
        <w:rPr>
          <w:rFonts w:ascii="Times New Roman" w:hAnsi="Times New Roman"/>
          <w:color w:val="0070C0"/>
          <w:sz w:val="16"/>
          <w:szCs w:val="16"/>
          <w:shd w:val="clear" w:color="auto" w:fill="FFFFFF"/>
        </w:rPr>
        <w:t>Выбор именно ЗИС-5 как наиболее подходящего оружия, объяснялся особенностью установки. Дело в том, что штатная орудийная установка "Матильды" крепилась к башне на болтах, аналогично КВ-1. Больше того, установка КВ-1, с небольшими доработками, вполне себе вставала в амбразуру башни английского танка. Требовалось лишь несколько подрезать снизу левую щеку неподвижной бронировки и просверлить отверстия под новый подъемный механизм. Также между башней и орудийной установкой ставилась специальная прокладка, благодаря которой установка была немного выдвинута вперед. Тем самым отчасти КБ завода №92 попытались немного компенсировать чрезмерные габариты системы внутри башни. Прокладка добавляла лишние 280 кг массы, на опытном образце ее делали из углеродистой стали. В серийном варианте она заменялась на полноценную броню.</w:t>
      </w:r>
    </w:p>
    <w:p w14:paraId="2ED7BEB7" w14:textId="77777777" w:rsidR="006A6BE8" w:rsidRPr="00640820" w:rsidRDefault="006A6BE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связи с установкой нового вооружения вносилось 12 пунктов изменений внутри боевого отделения. Разумеется, менялись укладки унитарных патронов и пулеметных дисков. За счет того, что боезапас распихали по всему боевому отделению, общий боекомплект снизился незначительно - с 69 до 54 унитаров. Для ведения боя этого было более-менее достаточно. Также нашлось место для 26 дисков для ДТ, 15 гранат Ф-1 и штатных 10 дымовых шашек для мортирок на борту башни. Сиденье наводчика, вместе с креплением, бралось от Т-34, на 50 мм приподняли башенный вентилятор, дорабатывать пришлось привод поворота башни. В связи особенностью установки орудия оставили только ручной спуск, далее предполагалось вернуть и ножной спуск. Также имелись планы заменить поворотный механизм башни на тот, что использовался у Т-34 (22545).</w:t>
      </w:r>
    </w:p>
    <w:p w14:paraId="25BC388A" w14:textId="77777777" w:rsidR="006A6BE8" w:rsidRPr="00640820" w:rsidRDefault="006A6BE8" w:rsidP="00640820">
      <w:pPr>
        <w:spacing w:after="0" w:line="240" w:lineRule="auto"/>
        <w:jc w:val="both"/>
        <w:rPr>
          <w:rFonts w:ascii="Times New Roman" w:hAnsi="Times New Roman"/>
          <w:color w:val="0070C0"/>
          <w:sz w:val="16"/>
          <w:szCs w:val="16"/>
        </w:rPr>
      </w:pPr>
    </w:p>
    <w:p w14:paraId="3485DBBC"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0E4B7EBC"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149B8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декабря 1941 после переговоров с польским правительством в Москве подписали декларацию о дружбе и взаимной помощи с польским правительством в изгнании (512,136).</w:t>
      </w:r>
    </w:p>
    <w:p w14:paraId="0426CF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FE1D0A8"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750EA570"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DEDA3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декабря 1941 года постановлением Государственного комитета обороны за N249 за подписью И.Сталина было решено организовать в Баку производство серийногояистребителя “ЯК-3”. В соответствии с этим и состоялось постановление Совета народных комиссаров республики и ЦК КП(б) Азербайджана. Оперативо была разработана целая программа для строительства производных цехов и лабораторий, подготовка технических кадров. В Новосибирск, на завод N153 Народного комиссариата авиационной промышленности, где производился выпуск этого типа самолетов, была направленна группа специалистов. За короткий срок было необходимо подготовить 300 токарей, 400 слесарей, 200 столяров, 30 газосварщиков и 30 электромантеров высокого класса (10684).</w:t>
      </w:r>
    </w:p>
    <w:p w14:paraId="30A898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EE07158" w14:textId="77777777" w:rsidR="00D60467" w:rsidRPr="00640820" w:rsidRDefault="00D6046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декабря 1941 г. ИЗ ПОСТАНОВЛЕНИЯ БЮРО НОВОСИБИРСКОГО ОБКОМА ВКП(б) «О МЕРАХ ПО УВЕЛИЧЕНИЮ ВЫПУСКА САМОЛЕТОВ В ДЕКАБРЕ - ЯНВАРЕ НА ЗАВОДЕ № 153 ИМЕНИ ЧКАЛОВА</w:t>
      </w:r>
    </w:p>
    <w:p w14:paraId="13690A86" w14:textId="77777777" w:rsidR="00D60467" w:rsidRPr="00640820" w:rsidRDefault="00D6046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увеличились производственные площади, парк станочного оборудования, накоплен необходимый опыт массового производства, обеспечивающие возможность выполнения декабрьского плана и доведения выпуска самолетов в январе месяце до 8—10 штук в сутки. Однако хозяйственные и партийные руководители завода плохо используют имеющиеся на заводе огромные резервы оборудования, материалов, рабочей силы, возросшие производственные возможности для увеличения выпуска продукции. Вследствие неорганизованности технологического процесса производства и отсутствия должной дисциплины и ответственности среди руководящих работников цехов на заводе имеют место большие простои станочного оборудования и рабочих (по цеху № 1 простои за октябрь составили около 40 процентов рабочего времени, по цеху № 3 — около 25 процентов. Аналогичное положение с простоями в цехе № 39 по фабрике «Стандарт», в цехе № 43, в цехе № 6 и других). Ввод в действие прибывшего оборудования завода № 301 и развертывание работы по выпуску машины ЯК-7 ведется недопустимо медленно. Мощности станочного оборудования используются нерационально, малопроизводительно. На заводе преобладают полукустарные, малопроизводительные методы работы. Штамповка деталей, кокильное литье, пресс-формы, приспособления, поточно-стендовая сборка агрегатов и другие организационно-технические мероприятия, увеличивающие производительность труда, дающие экономию материалов и взаимозаменяемость деталей и агрегатов, внедряются исключительно медленно. Производственная, трудовая дисциплина, особенно среди инженерно-технического и руководящего состава работников, слабая. Имеют место прогулы, опоздания на работу, невыполнение норм выработки и заданий, производительность труда низкая (65 процентов к плану). Директор завода, начальники цехов не используют полностью предоставленные им права для установления твердого порядка на производстве и не добились беспрекословного исполнения своих приказов и распоряжений. При попустительстве директора завода тов. Романова и старшего военпреда т. Быкова качество сдаваемых машин на летно-испытательную станцию находится в неудовлетворительном состоянии. В результате этого на заводе № 153 к 1 декабря 1941 года скопилось большое количество самолетов. Обком ВКП(б) считает такое отношение к делу снабжения фронта боевыми самолетами преступным. Уровень массово-политической работы не отвечает задачам, стоящим перед заводом, и не охватывает всех вопросов жизни завода, особенно в отстающих цехах. Партийный комитет завода не уделяет должного внимания борьбе с прогулами и опозданиями, поднятию производительности труда, своевременной ликвидации срыва выполнения графика и отправки самолетов на фронт. Рост числа стахановцев-двухсотников на заводе идет медленно и не соответствует производственным возможностям и политической активности рабочих и инженерно-технических работников. Бюро обкома ВКЩб) ПОСТАНОВЛЯЕТ:</w:t>
      </w:r>
    </w:p>
    <w:p w14:paraId="3FC56A15" w14:textId="77777777" w:rsidR="00D60467" w:rsidRPr="00640820" w:rsidRDefault="00D6046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Обязать Новосибирский горком ВКП(б), Дзержинский райком ВКП(б) и партийный комитет завода мобилизовать рабочих, инженерно-технических работников и служащих на выполнение приказа заместителя наркома тов. Яковлева, добиваясь своевременного проведения в жизнь всех намеченных мероприятий.</w:t>
      </w:r>
    </w:p>
    <w:p w14:paraId="13837256" w14:textId="77777777" w:rsidR="00D60467" w:rsidRPr="00640820" w:rsidRDefault="00D6046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Одобрить представленные директором завода т. Романовым организационно-технические мероприятия по увеличению выпуска самолетов в декабре — январе месяцах. Обязать директора и партийный комитет завода установить строжайший ежедневный контроль за исполнением в установленные сроки организационно-технических мероприятий по каждому цеху и принимать своевременно исчерпывающие меры к выполнению суточных графиков задела деталей и сдачи продукции, привлекая к ответственности лиц, виновных в срыве графика.</w:t>
      </w:r>
    </w:p>
    <w:p w14:paraId="34C60464" w14:textId="77777777" w:rsidR="00D60467" w:rsidRPr="00640820" w:rsidRDefault="00D6046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Бюро обкома ВКП(б) требует от хозяйственных и партийных руководителей завода немедленно ликвидировать простои рабочих и станочного оборудования, добиться полного использования на работе каждого станка и приспособления, имеющихся на заводе, решительно внедрять высокопроизводительные методы работы (штамповка деталей, пресс-формы, кокильное литье, бес пере наладочная работа станков, поточно-стендовая сборка и др.)- Уточнить существующие нормы выработки, устранить кустарщину в производстве, осуществить взаимозаменяемость деталей и узлов, поточно-кооперационную организацию труда, экономное расходование материалов, инструментов.</w:t>
      </w:r>
    </w:p>
    <w:p w14:paraId="2BA33E2E" w14:textId="77777777" w:rsidR="00D60467" w:rsidRPr="00640820" w:rsidRDefault="00D6046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Обязать директора завода тов. Романова и партийный комитет принять исчерпывающие меры к укреплению трудовой и производственно-технической дисциплины на заводе, ликвидировать прогулы и опоздания на работу. Навести порядок в работе заводских столовых, изжить потери рабочего времени ... Добиться использования мастерами, начальниками цехов предоставленных им прав и обязанностей. Резко сократить текучесть и частую сменяемость начальников цехов и мастеров.</w:t>
      </w:r>
    </w:p>
    <w:p w14:paraId="309539FD" w14:textId="77777777" w:rsidR="00D60467" w:rsidRPr="00640820" w:rsidRDefault="00D6046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В целях ускорения выпуска машин ЯК-7 обязать директора завода тов. Романова ... обеспечить кадрами инженерно-технических работников и рабочих участки по машине ЯК-7, ускорить размещение оборудования и цехов для машины ЯК-7, приняв срочные меры к окончанию строительства корпуса № 69.</w:t>
      </w:r>
    </w:p>
    <w:p w14:paraId="67DE5921" w14:textId="77777777" w:rsidR="00D60467" w:rsidRPr="00640820" w:rsidRDefault="00D6046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Обязать директора завода тов. Романова укрепить единоначалие на заводе, потребовать от руководящих работников завода (заместителя директора, главного технолога, главного инженера, начальника производства и др.) равную ответственность как за выпуск машины ЯК-7, так и ЛАГТ-3.</w:t>
      </w:r>
    </w:p>
    <w:p w14:paraId="580E25FF" w14:textId="77777777" w:rsidR="00D60467" w:rsidRPr="00640820" w:rsidRDefault="00D6046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В целях усиления мощности завода для увеличения выпуска самолетов ... обязать директора Кузнецкого металлургического комбината тов. Белана изготовить заводу № 153 металл для кузнечных штампов из стали 5 хгм — 500 штук; обязать тов. Котляра, директора завода № 69, принять заказы завода № 153 на литье под давлением деталей из цветных металлов; обязать директоров заводов № 69 т. Котляра, «Электросигнал» т. Озерского, прожекторного завода т. Эстрина изготовить к 25 декабря для завода № 153 штампы для холодной штамповки и приспособления в количествах, согласно приложению.</w:t>
      </w:r>
    </w:p>
    <w:p w14:paraId="31D48DC4" w14:textId="77777777" w:rsidR="00D60467" w:rsidRPr="00640820" w:rsidRDefault="00D6046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Для обеспечения потребности завода в кадрах рабочих и инженерно-технических работников ... обязать директора завода т. Романова привести в соответствие штаты управления завода и цехов; подготовить в декабре — январе месяцах 1 500 человек производственных рабочих из числа служащих, обслуживающего персонала и подсобных рабочих, имеющихся на заводе; перевести в декабре месяце 250 человек инженеров из аппарата завода на производственную работу в цехах.</w:t>
      </w:r>
    </w:p>
    <w:p w14:paraId="424F61C8" w14:textId="77777777" w:rsidR="00D60467" w:rsidRPr="00640820" w:rsidRDefault="00D6046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Поручить отделу кадров обкома ВКП(б) в десятидневный срок направить на завод № 153 из городов и районов области 150 человек столяров.</w:t>
      </w:r>
    </w:p>
    <w:p w14:paraId="7A671DBA" w14:textId="77777777" w:rsidR="00D60467" w:rsidRPr="00640820" w:rsidRDefault="00D6046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Обязать тов. Капустина (управляющего трестом № 7) закончить строительство и сдать в эксплуатацию заводу № 153: две камеры лесосушилки на заводе — к 15 декабря, пять камер лесосушилки — к 25 декабря, цех экспедиции - к 5 декабря, термические мастерские цехов 2—5 — к 20 декабря, фабрику-кухню — к 1 января 1942 года.</w:t>
      </w:r>
    </w:p>
    <w:p w14:paraId="60EC743C" w14:textId="77777777" w:rsidR="00D60467" w:rsidRPr="00640820" w:rsidRDefault="00D6046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12. Обязать облисполком и отдел химической промышленности обкома ВКП(б), совместно с директором завода № 153, срочно разместить на предприятиях области для обеспечения нужд завода № 153: производство казеинового клея; производство лаков, красок, шпаклевок, других химических продуктов, идущих на производство самолетов; производство резиновых и кожаных изделий.</w:t>
      </w:r>
    </w:p>
    <w:p w14:paraId="6A3411D0" w14:textId="77777777" w:rsidR="00D60467" w:rsidRPr="00640820" w:rsidRDefault="00D6046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Обязать директора Кемеровского коксохимического завода тов. Максимова обеспечить производство и отгрузку смоляного клея в размерах полной потребности завода № 153.</w:t>
      </w:r>
    </w:p>
    <w:p w14:paraId="6A9C479B" w14:textId="77777777" w:rsidR="00D60467" w:rsidRPr="00640820" w:rsidRDefault="00D6046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Поручить облисполкому: выделить наряды на покупку в колхозах области 50 лошадей для завода № 153; обязать облторготдел к 15 декабря открыть в соцгороде имени Чкалова коммерческий продуктовый магазин; решить вопрос о передаче заводу № 153 одного совхоза.</w:t>
      </w:r>
    </w:p>
    <w:p w14:paraId="0873E67F" w14:textId="77777777" w:rsidR="00D60467" w:rsidRPr="00640820" w:rsidRDefault="00D6046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Просить ЦК ВКП(б) и СНК СССР: в связи с возросшим количеством авиационных заводов в Новосибирской области установить должность секретаря обкома ВКП(б) по авиационной промышленности; обязать Госплан и Наркомхоз выделить для перевозок рабочих завода № 153 восемь моторных и 20 прицепных трамвайных вагонов; обязать наркома авиапромышленности тов. Шахурина, ввиду перегруженности железнодорожного транспорта и отдаленности завода от снабжающих его центров, выделить для завода № 153 два транспортных самолета с целью бесперебойного снабжения агрегатами и необходимыми материалами; выделить с эвакуированных заводов для завода Ms 153 недостающие до комплектной мощности 50 штук револьверных станков типа 1 336, 1 338; 30 штук токарных станков; 4 штуки бесцентрово-шлифовальных станков. Направить на завод № 153 высококвалифицированных слесарей-сборщиков самолетов 150 человек, гидравликов - 100 человек, столяров-сборщиков — 150 человек.</w:t>
      </w:r>
    </w:p>
    <w:p w14:paraId="615E39CD" w14:textId="77777777" w:rsidR="00D60467" w:rsidRPr="00640820" w:rsidRDefault="00D6046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Обязать Госплан СССР, Наркомат авиационной промышленности выделить для пуска новых цехов завода № 153 необходимое количество калориферов, труб, кабеля, провода. Обязать Наркомат тяжелого машиностроения разместить на Уралвагонзаводе 46 наименований деталей крупных штамповок для завода № 153 имени Чкалова.</w:t>
      </w:r>
    </w:p>
    <w:p w14:paraId="76DC58FE" w14:textId="77777777" w:rsidR="00D60467" w:rsidRPr="00640820" w:rsidRDefault="00D6046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Секретарь Новосибирского обкома ВКП(б) М. Кулагин</w:t>
      </w:r>
    </w:p>
    <w:p w14:paraId="7E4EFB36" w14:textId="77777777" w:rsidR="00D60467" w:rsidRPr="00640820" w:rsidRDefault="00D6046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ГАНО. Ф. П-4. Оп. 33. Д. 503.д.. Л. 14-21. Подлинник. Документ (протокол № 249. п. 54) датирован 3 декабря 1941 г. (12159)/</w:t>
      </w:r>
    </w:p>
    <w:p w14:paraId="37083909" w14:textId="77777777" w:rsidR="00D60467" w:rsidRPr="00640820" w:rsidRDefault="00D60467" w:rsidP="00640820">
      <w:pPr>
        <w:spacing w:after="0" w:line="240" w:lineRule="auto"/>
        <w:jc w:val="both"/>
        <w:rPr>
          <w:rFonts w:ascii="Times New Roman" w:hAnsi="Times New Roman"/>
          <w:color w:val="000000" w:themeColor="text1"/>
          <w:sz w:val="16"/>
          <w:szCs w:val="16"/>
        </w:rPr>
      </w:pPr>
    </w:p>
    <w:p w14:paraId="5180CF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декабря 1941 г. завершился боевой путь КОР-1, когда он был выведен из строя в результате огневого налета немецкой дальнобойной артиллерии на аэродром Куликово поле (9966).</w:t>
      </w:r>
    </w:p>
    <w:p w14:paraId="55B1F5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72D724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декабря 1941 Зам. НКАП Кузнецов писал письмо № 7727 вс/бн Швернику:</w:t>
      </w:r>
    </w:p>
    <w:p w14:paraId="158622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Постановлением Совета по эвакуации № 162 СЭ от 14 октября з-ды 290, 293. 468 эвакуируются в Билимбай, свердловская обл. на площади ф-ла з-да 468 (1377, 21).</w:t>
      </w:r>
    </w:p>
    <w:p w14:paraId="55E47E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9C2B9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декабря 1941 Зам. НКАП Кузнецов писал письмо № 7729 вс/бн Швернику:</w:t>
      </w:r>
    </w:p>
    <w:p w14:paraId="7E4940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Постановлением Совета по эвакуации № 130 СЭ от 7 октября з-д 472 эвакуируется в Кузнецк, Пензенская обл. на площади з-да 34 (1377, 20).</w:t>
      </w:r>
    </w:p>
    <w:p w14:paraId="5B4D00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41D878A"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6BE58050"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E786C5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декабря 1941 года вышел Приказ НКБ № 664</w:t>
      </w:r>
    </w:p>
    <w:p w14:paraId="4CE0C8A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исполнение постановления ГКО от 25 ноября 1941 года за № 959:</w:t>
      </w:r>
    </w:p>
    <w:p w14:paraId="667F7FD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Создать при НКБ СКБ по улучшению боевых качеств существующих и по разработке новых конструкций винтовочных противотанковых гранат и присвоить СКБ № 35.</w:t>
      </w:r>
    </w:p>
    <w:p w14:paraId="445869F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Основной задачей СКБ на сегодняшний день считать создание такой винтовочной противотанковой гранаты, которая пробивала бы броню толщиной в 40-50 мм на расстоянии в 60-70 и больше метров.</w:t>
      </w:r>
    </w:p>
    <w:p w14:paraId="0EE71E0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Начальником СКБ назначить Сердюка А.К.</w:t>
      </w:r>
    </w:p>
    <w:p w14:paraId="5377A37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СКБ разместить на территории завода № 58 в Москве (5673, 196).</w:t>
      </w:r>
    </w:p>
    <w:p w14:paraId="2FC723E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B88785" w14:textId="77777777" w:rsidR="00BB00A7" w:rsidRPr="00640820" w:rsidRDefault="00BB00A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декабря 1941 г. Из постановления бюро Башкирского обкома ВКП(б) о выполнении постановления ГКО о производстве ручных и ружейных противотанковых гранат.</w:t>
      </w:r>
    </w:p>
    <w:p w14:paraId="1333BACF" w14:textId="77777777" w:rsidR="00BB00A7" w:rsidRPr="00640820" w:rsidRDefault="00BB00A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 ГКО от 29/Х1-41 г. о производстве противотанковых ружейных и ручных гранат принять к неуклонному исполнению.</w:t>
      </w:r>
    </w:p>
    <w:p w14:paraId="4292413C" w14:textId="77777777" w:rsidR="00BB00A7" w:rsidRPr="00640820" w:rsidRDefault="00BB00A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Установить план производства противотанковых ружейных гранат по предприятиям Башкирии на декабрь месяц 30 тысяч штук, в том числе:</w:t>
      </w:r>
    </w:p>
    <w:p w14:paraId="7FDD70D0" w14:textId="77777777" w:rsidR="00BB00A7" w:rsidRPr="00640820" w:rsidRDefault="00BB00A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w:t>
      </w:r>
      <w:r w:rsidRPr="00640820">
        <w:rPr>
          <w:rFonts w:ascii="Times New Roman" w:hAnsi="Times New Roman"/>
          <w:color w:val="000000" w:themeColor="text1"/>
          <w:sz w:val="16"/>
          <w:szCs w:val="16"/>
        </w:rPr>
        <w:tab/>
        <w:t>заводу [им.] КИМ НКМП</w:t>
      </w:r>
      <w:r w:rsidRPr="00640820">
        <w:rPr>
          <w:rFonts w:ascii="Times New Roman" w:hAnsi="Times New Roman"/>
          <w:color w:val="000000" w:themeColor="text1"/>
          <w:sz w:val="16"/>
          <w:szCs w:val="16"/>
        </w:rPr>
        <w:tab/>
        <w:t>—15000 штук;</w:t>
      </w:r>
    </w:p>
    <w:p w14:paraId="6D3DC97B" w14:textId="77777777" w:rsidR="00BB00A7" w:rsidRPr="00640820" w:rsidRDefault="00BB00A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w:t>
      </w:r>
      <w:r w:rsidRPr="00640820">
        <w:rPr>
          <w:rFonts w:ascii="Times New Roman" w:hAnsi="Times New Roman"/>
          <w:color w:val="000000" w:themeColor="text1"/>
          <w:sz w:val="16"/>
          <w:szCs w:val="16"/>
        </w:rPr>
        <w:tab/>
        <w:t>Благовещенскому заводу</w:t>
      </w:r>
    </w:p>
    <w:p w14:paraId="76675F81" w14:textId="77777777" w:rsidR="00BB00A7" w:rsidRPr="00640820" w:rsidRDefault="00BB00A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 Точисского НКНП СССР</w:t>
      </w:r>
      <w:r w:rsidRPr="00640820">
        <w:rPr>
          <w:rFonts w:ascii="Times New Roman" w:hAnsi="Times New Roman"/>
          <w:color w:val="000000" w:themeColor="text1"/>
          <w:sz w:val="16"/>
          <w:szCs w:val="16"/>
        </w:rPr>
        <w:tab/>
        <w:t>—15000 штук.</w:t>
      </w:r>
    </w:p>
    <w:p w14:paraId="76C7C063" w14:textId="77777777" w:rsidR="00BB00A7" w:rsidRPr="00640820" w:rsidRDefault="00BB00A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Обязать директора завода [им.] КИМ тов. Лагно и директора Благовещенского завода Наркомнефти обеспечить выполнение установленного задания ГКО по производству противотанковых ружейных гранат в декабре месяце, наряду с этим обеспечить выполнение недовыполненной части ноябрьского задания...</w:t>
      </w:r>
    </w:p>
    <w:p w14:paraId="682C7ECA" w14:textId="77777777" w:rsidR="00BB00A7" w:rsidRPr="00640820" w:rsidRDefault="00BB00A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...предложить директорам заводов т. Масальскому — завод № 161, тов. Баландину—№ 384, тов. Плешкову — [№]</w:t>
      </w:r>
      <w:r w:rsidRPr="00640820">
        <w:rPr>
          <w:rFonts w:ascii="Times New Roman" w:hAnsi="Times New Roman"/>
          <w:color w:val="000000" w:themeColor="text1"/>
          <w:sz w:val="16"/>
          <w:szCs w:val="16"/>
        </w:rPr>
        <w:tab/>
        <w:t>628, тов. Янгирову — Башкооппромсовет безусловно</w:t>
      </w:r>
    </w:p>
    <w:p w14:paraId="0E08E9B9" w14:textId="77777777" w:rsidR="00BB00A7" w:rsidRPr="00640820" w:rsidRDefault="00BB00A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обеспечить изготовление отдельных деталей для противотанковых ружейных гранат в размерах, установленных постановлением бюро обкома ВКП(б) от 15/Х1-1941 г. № 88...</w:t>
      </w:r>
    </w:p>
    <w:p w14:paraId="06FB05A0" w14:textId="77777777" w:rsidR="00BB00A7" w:rsidRPr="00640820" w:rsidRDefault="00BB00A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Секретарь обкома ВКП(б) И. Аношин</w:t>
      </w:r>
    </w:p>
    <w:p w14:paraId="67136D11" w14:textId="77777777" w:rsidR="00BB00A7" w:rsidRPr="00640820" w:rsidRDefault="00BB00A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ЦГЛОО РБ. Ф. 122. Оп. 21. Д. 104. Лл. 123—125. Подлинник (17279).</w:t>
      </w:r>
    </w:p>
    <w:p w14:paraId="6F4C09E0" w14:textId="77777777" w:rsidR="00BB00A7" w:rsidRPr="00640820" w:rsidRDefault="00BB00A7" w:rsidP="00640820">
      <w:pPr>
        <w:spacing w:after="0" w:line="240" w:lineRule="auto"/>
        <w:jc w:val="both"/>
        <w:rPr>
          <w:rFonts w:ascii="Times New Roman" w:hAnsi="Times New Roman"/>
          <w:color w:val="000000" w:themeColor="text1"/>
          <w:sz w:val="16"/>
          <w:szCs w:val="16"/>
        </w:rPr>
      </w:pPr>
    </w:p>
    <w:p w14:paraId="569312AD" w14:textId="77777777" w:rsidR="008D057C" w:rsidRPr="00640820" w:rsidRDefault="008D057C"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3 декабря 1941 г.</w:t>
      </w:r>
    </w:p>
    <w:p w14:paraId="634064C4" w14:textId="77777777" w:rsidR="008D057C" w:rsidRPr="00640820" w:rsidRDefault="008D057C"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Письмо директора НИИ-13 П. П. Шипулина секретарю Очерского районного комитета ВКП(б) с просьбой изготовить один опытный экземпляр 82 мм упрощенного миномета, разработанного НИИ-13</w:t>
      </w:r>
    </w:p>
    <w:p w14:paraId="38669EF3" w14:textId="77777777" w:rsidR="008D057C" w:rsidRPr="00640820" w:rsidRDefault="008D057C"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3 декабря 1941 г.</w:t>
      </w:r>
    </w:p>
    <w:p w14:paraId="53ECB1C2" w14:textId="77777777" w:rsidR="008D057C" w:rsidRPr="00640820" w:rsidRDefault="008D057C"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г. Молотов</w:t>
      </w:r>
    </w:p>
    <w:p w14:paraId="3A6C4561" w14:textId="77777777" w:rsidR="008D057C" w:rsidRPr="00640820" w:rsidRDefault="008D057C"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СКВ НИИ-13 НКВ разработало упрощенную конструкцию 82 мм батальонного миномета, дающего экономию в станке и трудочасах при изготовлении на 30-35 % и сокращающую расход дорогостоящих легированных материалов. Указанный упрощенный миномет рассматривался техсоветом НКВ и принят для изготовления опытной партии, с целью производства испытаний и последующего принятия его на вооружение.</w:t>
      </w:r>
    </w:p>
    <w:p w14:paraId="66AE7546" w14:textId="77777777" w:rsidR="008D057C" w:rsidRPr="00640820" w:rsidRDefault="008D057C"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Быстрота принятия его на вооружение и замена им штатного миномета (с целью увеличения валового выпуска) целиком зависит от</w:t>
      </w:r>
    </w:p>
    <w:p w14:paraId="4DD5F2DE" w14:textId="77777777" w:rsidR="008D057C" w:rsidRPr="00640820" w:rsidRDefault="008D057C"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срока изготовления опытного образца.</w:t>
      </w:r>
    </w:p>
    <w:p w14:paraId="23D312D4" w14:textId="77777777" w:rsidR="008D057C" w:rsidRPr="00640820" w:rsidRDefault="008D057C"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НИИ-13 просит Очерский машиностроительный завод изготовить один опытный образец 82 мм упрощенного миномета, Прошу Вас</w:t>
      </w:r>
    </w:p>
    <w:p w14:paraId="7386233B" w14:textId="77777777" w:rsidR="008D057C" w:rsidRPr="00640820" w:rsidRDefault="008D057C"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оказать содействие для быстрого изготовления заводом указанного образца.</w:t>
      </w:r>
    </w:p>
    <w:p w14:paraId="7C0294ED" w14:textId="77777777" w:rsidR="008D057C" w:rsidRPr="00640820" w:rsidRDefault="008D057C"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Директор НИИ-13 Шипулин</w:t>
      </w:r>
    </w:p>
    <w:p w14:paraId="0A184A1A" w14:textId="77777777" w:rsidR="008D057C" w:rsidRPr="00640820" w:rsidRDefault="008D057C"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Начальник СКВ Шавырин</w:t>
      </w:r>
    </w:p>
    <w:p w14:paraId="60DF809D" w14:textId="77777777" w:rsidR="008D057C" w:rsidRPr="00640820" w:rsidRDefault="008D057C"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ПермГАСПИ. Ф. 550. Оп. 3. Д. 278. Л. 82. Подлинник. Машинопись (20706).</w:t>
      </w:r>
    </w:p>
    <w:p w14:paraId="7955F793" w14:textId="77777777" w:rsidR="008D057C" w:rsidRPr="00640820" w:rsidRDefault="008D057C" w:rsidP="00640820">
      <w:pPr>
        <w:spacing w:after="0" w:line="240" w:lineRule="auto"/>
        <w:jc w:val="both"/>
        <w:rPr>
          <w:rFonts w:ascii="Times New Roman" w:hAnsi="Times New Roman"/>
          <w:color w:val="0070C0"/>
          <w:sz w:val="16"/>
          <w:szCs w:val="16"/>
        </w:rPr>
      </w:pPr>
    </w:p>
    <w:p w14:paraId="5323DB5F" w14:textId="77777777" w:rsidR="00BB00A7" w:rsidRPr="00640820" w:rsidRDefault="00BB00A7" w:rsidP="00640820">
      <w:pPr>
        <w:spacing w:after="0" w:line="240" w:lineRule="auto"/>
        <w:jc w:val="both"/>
        <w:rPr>
          <w:rFonts w:ascii="Times New Roman" w:hAnsi="Times New Roman"/>
          <w:color w:val="000000" w:themeColor="text1"/>
          <w:sz w:val="16"/>
          <w:szCs w:val="16"/>
        </w:rPr>
      </w:pPr>
      <w:r w:rsidRPr="00640820">
        <w:rPr>
          <w:rStyle w:val="46"/>
          <w:rFonts w:ascii="Times New Roman" w:cs="Times New Roman"/>
          <w:color w:val="000000" w:themeColor="text1"/>
          <w:sz w:val="16"/>
          <w:szCs w:val="16"/>
        </w:rPr>
        <w:t xml:space="preserve">3 декабря 1941 г. </w:t>
      </w:r>
      <w:r w:rsidRPr="00640820">
        <w:rPr>
          <w:rFonts w:ascii="Times New Roman" w:hAnsi="Times New Roman"/>
          <w:color w:val="000000" w:themeColor="text1"/>
          <w:sz w:val="16"/>
          <w:szCs w:val="16"/>
        </w:rPr>
        <w:t>Постановление бюро Башкирского обкома ВКП|б) о дополнительном оснащении станочным оборудованием Уфимского завода пишущих машин им. КИМ в связи с переводом его на производство ружейных противотанковых гранат.</w:t>
      </w:r>
    </w:p>
    <w:p w14:paraId="21A3B53D" w14:textId="77777777" w:rsidR="00BB00A7" w:rsidRPr="00640820" w:rsidRDefault="00BB00A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целях обеспечения завода им. КИМ необходимым оборудованием изъять и передать заводу им. КИМ:</w:t>
      </w:r>
    </w:p>
    <w:p w14:paraId="206CA3F4" w14:textId="77777777" w:rsidR="00BB00A7" w:rsidRPr="00640820" w:rsidRDefault="00BB00A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w:t>
      </w:r>
      <w:r w:rsidRPr="00640820">
        <w:rPr>
          <w:rFonts w:ascii="Times New Roman" w:hAnsi="Times New Roman"/>
          <w:color w:val="000000" w:themeColor="text1"/>
          <w:sz w:val="16"/>
          <w:szCs w:val="16"/>
        </w:rPr>
        <w:tab/>
        <w:t>с Уфимского ПРЗ станки, согласно приложению № 1*;</w:t>
      </w:r>
    </w:p>
    <w:p w14:paraId="02DA835D" w14:textId="77777777" w:rsidR="00BB00A7" w:rsidRPr="00640820" w:rsidRDefault="00BB00A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w:t>
      </w:r>
      <w:r w:rsidRPr="00640820">
        <w:rPr>
          <w:rFonts w:ascii="Times New Roman" w:hAnsi="Times New Roman"/>
          <w:color w:val="000000" w:themeColor="text1"/>
          <w:sz w:val="16"/>
          <w:szCs w:val="16"/>
        </w:rPr>
        <w:tab/>
        <w:t>с Уфимской автобазы заготзерно — кругло шлифовальный станок ЗГ-12;</w:t>
      </w:r>
    </w:p>
    <w:p w14:paraId="13EE3159" w14:textId="77777777" w:rsidR="00BB00A7" w:rsidRPr="00640820" w:rsidRDefault="00BB00A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w:t>
      </w:r>
      <w:r w:rsidRPr="00640820">
        <w:rPr>
          <w:rFonts w:ascii="Times New Roman" w:hAnsi="Times New Roman"/>
          <w:color w:val="000000" w:themeColor="text1"/>
          <w:sz w:val="16"/>
          <w:szCs w:val="16"/>
        </w:rPr>
        <w:tab/>
        <w:t>у Башкоопинсоюза из артели «Луч» два эксцентриковых пресса и из артели «Ширпотреб» протяжной станок для калибровки стали;</w:t>
      </w:r>
    </w:p>
    <w:p w14:paraId="33E7DD68" w14:textId="77777777" w:rsidR="00BB00A7" w:rsidRPr="00640820" w:rsidRDefault="00BB00A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w:t>
      </w:r>
      <w:r w:rsidRPr="00640820">
        <w:rPr>
          <w:rFonts w:ascii="Times New Roman" w:hAnsi="Times New Roman"/>
          <w:color w:val="000000" w:themeColor="text1"/>
          <w:sz w:val="16"/>
          <w:szCs w:val="16"/>
        </w:rPr>
        <w:tab/>
        <w:t>с завода им. Коминтерна НКМП РСФСР пресс эксцентриковый 75 тонн.</w:t>
      </w:r>
    </w:p>
    <w:p w14:paraId="6125A07E" w14:textId="77777777" w:rsidR="00BB00A7" w:rsidRPr="00640820" w:rsidRDefault="00BB00A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Обязать директора ПРЗ тов. Беляева, управляющего Баш- конторой заготзерно тов. Павлова, председателя Башкоопинсоюза тов. Галина и директора завода им. Коминтерна тов. Титкова немедленно передать упомянутое оборудование заводу им. КИМ.</w:t>
      </w:r>
    </w:p>
    <w:p w14:paraId="7B8AE713" w14:textId="77777777" w:rsidR="00BB00A7" w:rsidRPr="00640820" w:rsidRDefault="00BB00A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Обязать директора завода им. КИМ тов. Лагно немедленно приступить к установке и монтажу означенного оборудования с расчетом пуска его в эксплуатацию в течение первой половины декабря 1941 года.</w:t>
      </w:r>
    </w:p>
    <w:p w14:paraId="1ACFB3EC" w14:textId="77777777" w:rsidR="00BB00A7" w:rsidRPr="00640820" w:rsidRDefault="00BB00A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Секретарь обкома ВКП (б) Аношин (17279).</w:t>
      </w:r>
    </w:p>
    <w:p w14:paraId="2D362D7E" w14:textId="77777777" w:rsidR="00BB00A7" w:rsidRPr="00640820" w:rsidRDefault="00BB00A7" w:rsidP="00640820">
      <w:pPr>
        <w:spacing w:after="0" w:line="240" w:lineRule="auto"/>
        <w:jc w:val="both"/>
        <w:rPr>
          <w:rFonts w:ascii="Times New Roman" w:hAnsi="Times New Roman"/>
          <w:color w:val="000000" w:themeColor="text1"/>
          <w:sz w:val="16"/>
          <w:szCs w:val="16"/>
        </w:rPr>
      </w:pPr>
    </w:p>
    <w:p w14:paraId="127BFC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3 декабря 1941 была направлена Телеграмма Томского горкома ВКП (б) о выполнении правительственного распоряжения о создании завода «Манометр» Молния</w:t>
      </w:r>
    </w:p>
    <w:p w14:paraId="3994E6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Правительственная</w:t>
      </w:r>
    </w:p>
    <w:p w14:paraId="2050DE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Наркомминвооружения Паршину</w:t>
      </w:r>
    </w:p>
    <w:p w14:paraId="596AB9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Вашу телеграмму А-12668 [сообщаем, что] ТОМГЗИП передан [заводу] «Манометр». Горком утвердил врио директора завода ТРАХМАНА, врио главного инженера ПИЛЬ. Секретарь горкомпарта ЧЕРНЫШЕВ</w:t>
      </w:r>
    </w:p>
    <w:p w14:paraId="6E5E40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ЦДНИ ТО. Ф.80. Оп.3. Д.88. Л. 201а. (11014)</w:t>
      </w:r>
    </w:p>
    <w:p w14:paraId="30DA71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73CAA12"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декабря 1941 г.</w:t>
      </w:r>
    </w:p>
    <w:p w14:paraId="7D555CD6"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РГАЭ Фонд 8752 Опись 1 Дело 2 лист 76 – 77</w:t>
      </w:r>
    </w:p>
    <w:p w14:paraId="4ED777F3"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w:t>
      </w:r>
    </w:p>
    <w:p w14:paraId="3B218902"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НАРОДНОГО КОМИССАРА ТАНКОВОЙ ПРОМЫШЛЕННОСТИ СОЮЗА ССР</w:t>
      </w:r>
    </w:p>
    <w:p w14:paraId="1091E281"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57/104</w:t>
      </w:r>
    </w:p>
    <w:p w14:paraId="47AB1AFF"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Н. Тагил</w:t>
      </w:r>
    </w:p>
    <w:p w14:paraId="0A3781F4"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декабря 1941 г.</w:t>
      </w:r>
    </w:p>
    <w:p w14:paraId="0E8134E7"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Проверкой на месте установлено, что мое распоряжение от 6/XI-с.г. об укомплектовании рабочей силой танкового и броневого производства завода № 183 – не выполнено. Вместо сокращения вспомогательных рабочих, служащих и инженерно-технических работников, предусмотренного моим распоряжением, и перевода их для работы непосредственно на рабочие места, – на заводе на 1/XII-с.г. допущено увеличение числа указанных категорий работников по сравнению с положением, имевшем место на 1/XI-с.г. </w:t>
      </w:r>
    </w:p>
    <w:p w14:paraId="0DD72B6E"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исполнение моего распоряжения Директор завода № 183 тов. МАКСАРЕВ ограничился формальным изданием приказа и не обеспечил систематического контроля за ходом его выполнения. Помощник директора завода по кадрам тов. ФИРСОВ, которому было поручено практическое проведение в жизнь этого важнейшего мероприятия, в результате безответственного отношения к исполнению распоряжения Наркомата и приказа Директора завода, – сорвал всю эту работу. </w:t>
      </w:r>
    </w:p>
    <w:p w14:paraId="12A9E691"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Несмотря на мои неоднократные указания об увеличении охвата рабочих сдельщиной, сдельная оплата труда на заводе находится на низком уровне: по цехам танкостроения и бронепроизводства охват рабочих сдельщиной составлял в ноябре месяце 47%, а по таким важнейшим цехам, как цехи №№ "110", "119", "125", "130" и "160" всего лишь 41,5%. </w:t>
      </w:r>
    </w:p>
    <w:p w14:paraId="1AFF06B8"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ПРИКАЗЫВАЮ:</w:t>
      </w:r>
    </w:p>
    <w:p w14:paraId="44B1839B"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За невыполнение моего распоряжения от 6/XI-с.г. Помощнику директора завода по кадрам тов. ФИРСОВУ поставить на вид, предупредив его, что в дальнейшем за подобное отношение к делу на него будет наложено более суровое наказание. </w:t>
      </w:r>
    </w:p>
    <w:p w14:paraId="6912A514"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Директору завода – тов. МАКСАРЕВУ обеспечить должный контроль за выполнением распоряжений Наркомата и своих личных приказов. </w:t>
      </w:r>
    </w:p>
    <w:p w14:paraId="0B53CCF5"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В целях предотвращения в дальнейшем излишества во вспомогательных рабочих, служащих и инженерно-технических работниках, – установить по заводу № 183 следующие штаты этих категорий работников на декабрь: </w:t>
      </w:r>
    </w:p>
    <w:p w14:paraId="28EA7A91"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инженерно-технических работников – 1.900 чел., в т.ч. по заводоуправлению – 400 чел. </w:t>
      </w:r>
    </w:p>
    <w:p w14:paraId="466CE2EB"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Служащих – 600 чел. в т.ч. по заводоуправлению – 280 чел. </w:t>
      </w:r>
    </w:p>
    <w:p w14:paraId="5A4A2DD5"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Вспомогательных рабочих – 5.300 чел. </w:t>
      </w:r>
    </w:p>
    <w:p w14:paraId="6ACD23C3"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Директору завода – тов. МАКСАРЕВУ обеспечить немедленный перевод всех освобождающихся в связи с установлением новых штатов служащих и инженерно-технических работников в цеха, непосредственно на рабочие места. </w:t>
      </w:r>
    </w:p>
    <w:p w14:paraId="5AE1D272"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Установить, что все вновь прибывающие на завод служащие, инженерно-технические работники и рабочие направляются только в цеха танкового и броневого производства, допуская в отдельных случаях замену менее квалифицированных ИТР и счетных работников за счет прибывающих более квалифицированных. </w:t>
      </w:r>
    </w:p>
    <w:p w14:paraId="24533AC1"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Установить следующий охват сдельной оплатой рабочих цехов танкостроения и бронепроизводства: </w:t>
      </w:r>
    </w:p>
    <w:p w14:paraId="2801C1B3"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15 декабря с.г. – не ниже 55% всех рабочих </w:t>
      </w:r>
    </w:p>
    <w:p w14:paraId="6670C3B8"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1 января 1942 г. не ниже 70%. </w:t>
      </w:r>
    </w:p>
    <w:p w14:paraId="0F1165EE"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Директору завода – тов. МАКСАРЕВУ устранить безнарядную работу и обеспечить заблаговременную выдачу каждому рабочему наряда, с указанием нормы выработки в штуках-деталях и цены за работу. </w:t>
      </w:r>
    </w:p>
    <w:p w14:paraId="29800725"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Начальнику отдела рабочих кадров и зарплаты Наркомтанкопрома – тов. КРУПЫШЕВУ проверить выполнение данного приказа и 1/I-42 г. мне доложить.</w:t>
      </w:r>
    </w:p>
    <w:p w14:paraId="2F9EEC50"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НАРОДНЫЙ КОМИССАР ТАНКОВОЙ ПРОМЫШЛЕННОСТИ СССР</w:t>
      </w:r>
    </w:p>
    <w:p w14:paraId="7EDC72AE"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подпись (В. МАЛЫШЕВ) (18443).</w:t>
      </w:r>
    </w:p>
    <w:p w14:paraId="6A287133" w14:textId="77777777" w:rsidR="00C30BD0" w:rsidRPr="00640820" w:rsidRDefault="00C30BD0" w:rsidP="00640820">
      <w:pPr>
        <w:spacing w:after="0" w:line="240" w:lineRule="auto"/>
        <w:jc w:val="both"/>
        <w:rPr>
          <w:rFonts w:ascii="Times New Roman" w:hAnsi="Times New Roman"/>
          <w:color w:val="000000" w:themeColor="text1"/>
          <w:sz w:val="16"/>
          <w:szCs w:val="16"/>
        </w:rPr>
      </w:pPr>
    </w:p>
    <w:p w14:paraId="2C8B9243" w14:textId="77777777" w:rsidR="00D60467" w:rsidRPr="00640820" w:rsidRDefault="00D6046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 декабря 1941 г. танк А-20 в составе 22-й ТБр, приданной 108-й стрелковой дивизии, участвовал в наступлении в районе западнее Павловской Слободы. В течение дня боевых действий противнику удалось подбить три танка, одним из которых был танк А-20. </w:t>
      </w:r>
    </w:p>
    <w:p w14:paraId="0176DAED" w14:textId="77777777" w:rsidR="00D60467" w:rsidRPr="00640820" w:rsidRDefault="00D6046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докладной записке от 3 декабря 1941 г. своему непосредственному начальнику капитану М. Криволапову старший помощник начальника 1-го отделения автобронетанкового отдела 5-й армии капитан В.Е. Гальчин сообщил, что в подвижной группе подполковника И.П. Ермакова имелись </w:t>
      </w:r>
      <w:r w:rsidRPr="00640820">
        <w:rPr>
          <w:rFonts w:ascii="Times New Roman" w:hAnsi="Times New Roman"/>
          <w:iCs/>
          <w:color w:val="000000" w:themeColor="text1"/>
          <w:sz w:val="16"/>
          <w:szCs w:val="16"/>
        </w:rPr>
        <w:t>«на ходу: Т-34 – 7, КВ – 1, Т-26 – 2, Т-30 – 2, Т-60 – 5, БТ – 4, БА-10 – 1, ФАИ – 1, Т-50 – ремонт ?, А-20 – ремонт»</w:t>
      </w:r>
      <w:r w:rsidRPr="00640820">
        <w:rPr>
          <w:rFonts w:ascii="Times New Roman" w:hAnsi="Times New Roman"/>
          <w:color w:val="000000" w:themeColor="text1"/>
          <w:sz w:val="16"/>
          <w:szCs w:val="16"/>
        </w:rPr>
        <w:t xml:space="preserve">. </w:t>
      </w:r>
    </w:p>
    <w:p w14:paraId="47B96D9F" w14:textId="77777777" w:rsidR="00D60467" w:rsidRPr="00640820" w:rsidRDefault="00D6046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связи с тем, что полученные танком А-20 в бою повреждения устранить силами и средствами ремонтно-восстановительной роты 22-й танковой бригады не представлялось возможным, машина была эвакуирована и передана в 25-ю подвижную ремонтную базу (ПРБ) Западного фронта. В декабре 1941 г. 25-я ПРБ дислоцировалась на территории завода «Красная труба» в подмосковном посёлке Фили. Из-за отсутствия дизеля В-2 ремонт танка А-20 был завершен только весной 1942 г. </w:t>
      </w:r>
    </w:p>
    <w:p w14:paraId="2FAF3718" w14:textId="77777777" w:rsidR="00D60467" w:rsidRPr="00640820" w:rsidRDefault="00D6046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Вот что по этому поводу рассказал бывший в то время командиром отделения монтажных работ 25-й ПРБ сержант А.В. Лунев: </w:t>
      </w:r>
    </w:p>
    <w:p w14:paraId="6FE159D9" w14:textId="77777777" w:rsidR="00D60467" w:rsidRPr="00640820" w:rsidRDefault="00D60467"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«В первые же дни войны на заводе № 183, где я работал, из числа добровольцев – рабочих и инженерно-технических работников – было укомплектовано несколько подвижных танкоремонтных баз (ПРБ). На них была возложена задача восстанавливать поврежденные машины в полевых условиях и оказывать помощь фронтовикам в освоении нового танка Т-34. </w:t>
      </w:r>
    </w:p>
    <w:p w14:paraId="3340DAA3" w14:textId="77777777" w:rsidR="00D60467" w:rsidRPr="00640820" w:rsidRDefault="00D60467"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&lt;...&gt;</w:t>
      </w:r>
    </w:p>
    <w:p w14:paraId="5A105BFB" w14:textId="77777777" w:rsidR="00D60467" w:rsidRPr="00640820" w:rsidRDefault="00D60467"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На изрядно разбитом, покрытом выгоревшим брезентом грузовике мы, семеро рабочих, носились по фронтовым дорогам, спешили туда, где так нужна была наша помощь. Вместе с войсками проделали тяжелый путь отступления от Смоленска к Москве. Когда наши солдаты насмерть стали на подступах к столице, мы обосновались в подмосковном посёлке Фили. Десятки отремонтированных машин были возвращены в строй, чтобы участвовать в исторической битве за Москву. </w:t>
      </w:r>
    </w:p>
    <w:p w14:paraId="40A591F0" w14:textId="77777777" w:rsidR="00D60467" w:rsidRPr="00640820" w:rsidRDefault="00D60467" w:rsidP="00640820">
      <w:pPr>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Как-то в числе повреждённых танков попал в наши руки опытный образец А-20. Встреча с ним была подобна встрече со старым другом. Вспомнились горячие дни работы над созданием этой машины, совместные с конструкторами бдения над её сборкой и доводкой. </w:t>
      </w:r>
    </w:p>
    <w:p w14:paraId="2ADC714A" w14:textId="77777777" w:rsidR="00D60467" w:rsidRPr="00640820" w:rsidRDefault="00D60467" w:rsidP="00640820">
      <w:pPr>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А-20 был восстановлен. С болью в душе проводил я танк за пределы посёлка, мысленно пожелав удачи в боях с фашистами. Больше мы его не встречали».</w:t>
      </w:r>
      <w:r w:rsidRPr="00640820">
        <w:rPr>
          <w:rFonts w:ascii="Times New Roman" w:hAnsi="Times New Roman"/>
          <w:color w:val="000000" w:themeColor="text1"/>
          <w:sz w:val="16"/>
          <w:szCs w:val="16"/>
        </w:rPr>
        <w:t xml:space="preserve"> </w:t>
      </w:r>
    </w:p>
    <w:p w14:paraId="65F2FA33" w14:textId="77777777" w:rsidR="00D60467" w:rsidRPr="00640820" w:rsidRDefault="00D60467" w:rsidP="00640820">
      <w:pPr>
        <w:pStyle w:val="ae"/>
        <w:spacing w:before="0" w:after="0"/>
        <w:jc w:val="both"/>
        <w:rPr>
          <w:bCs/>
          <w:color w:val="000000" w:themeColor="text1"/>
          <w:sz w:val="16"/>
          <w:szCs w:val="16"/>
        </w:rPr>
      </w:pPr>
      <w:r w:rsidRPr="00640820">
        <w:rPr>
          <w:bCs/>
          <w:color w:val="000000" w:themeColor="text1"/>
          <w:sz w:val="16"/>
          <w:szCs w:val="16"/>
        </w:rPr>
        <w:t>[Т-34: путь к Победе: Воспоминания танкостроителей и танкистов. Сост.: К.М. Слободин, В.Д. Листровой,</w:t>
      </w:r>
    </w:p>
    <w:p w14:paraId="357559F5" w14:textId="77777777" w:rsidR="00D60467" w:rsidRPr="00640820" w:rsidRDefault="00D60467" w:rsidP="00640820">
      <w:pPr>
        <w:pStyle w:val="ae"/>
        <w:spacing w:before="0" w:after="0"/>
        <w:jc w:val="both"/>
        <w:rPr>
          <w:color w:val="000000" w:themeColor="text1"/>
          <w:sz w:val="16"/>
          <w:szCs w:val="16"/>
        </w:rPr>
      </w:pPr>
      <w:r w:rsidRPr="00640820">
        <w:rPr>
          <w:bCs/>
          <w:color w:val="000000" w:themeColor="text1"/>
          <w:sz w:val="16"/>
          <w:szCs w:val="16"/>
        </w:rPr>
        <w:t>Издательство политической литературы Украины, 1989, С 194 – 195]</w:t>
      </w:r>
    </w:p>
    <w:p w14:paraId="7208E744" w14:textId="77777777" w:rsidR="00D60467" w:rsidRPr="00640820" w:rsidRDefault="00D6046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сожалению, и мы в архивных документах не нашли никаких сведений о дальнейшей судьбе этого танка (17625).</w:t>
      </w:r>
    </w:p>
    <w:p w14:paraId="5A9CFEAF" w14:textId="77777777" w:rsidR="00D60467" w:rsidRPr="00640820" w:rsidRDefault="00D60467" w:rsidP="00640820">
      <w:pPr>
        <w:spacing w:after="0" w:line="240" w:lineRule="auto"/>
        <w:jc w:val="both"/>
        <w:rPr>
          <w:rFonts w:ascii="Times New Roman" w:eastAsia="Times New Roman" w:hAnsi="Times New Roman"/>
          <w:color w:val="000000" w:themeColor="text1"/>
          <w:sz w:val="16"/>
          <w:szCs w:val="16"/>
          <w:lang w:eastAsia="ru-RU"/>
        </w:rPr>
      </w:pPr>
    </w:p>
    <w:p w14:paraId="53E357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декабря 1941 на Ладожском озере адмиралтейцы начали замену зенитного вооружения на канонерской лодке "Нора"; работа протекала в тяжелейших условиях, без грузоподъемных средств, на открытом рейде, во льдах, закончена 18 декабря (10671).</w:t>
      </w:r>
    </w:p>
    <w:p w14:paraId="539F4C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14841F2"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6C16A565"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BD414A5"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3 декабря </w:t>
      </w:r>
      <w:r w:rsidRPr="00640820">
        <w:rPr>
          <w:rFonts w:ascii="Times New Roman" w:hAnsi="Times New Roman"/>
          <w:color w:val="000000" w:themeColor="text1"/>
          <w:sz w:val="16"/>
          <w:szCs w:val="16"/>
        </w:rPr>
        <w:t>в 1941 году утреннее сообщение Совинформбюро:</w:t>
      </w:r>
    </w:p>
    <w:p w14:paraId="5228C8A5"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3 декабря наши части вели бои с противником на всех фронтах.</w:t>
      </w:r>
    </w:p>
    <w:p w14:paraId="01A63F75"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Гвардейское артиллерийское подразделение тов. Ланского, действующее на одном из участков Западного фронта, в ожесточённых боях с немцами уничтожило 54 вражеских автомашины, одну артиллерийскую и 11 миномётных батарей и свыше 30 пулемётов. Одним из последних огневых налётов артиллеристы истребили около 800 немецких солдат и офицеров.</w:t>
      </w:r>
    </w:p>
    <w:p w14:paraId="61DD12FD"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Лётчики тов. Трофимова, действующие на Западном фронте, за один день уничтожили 3 немецких танка, 139 автомашин с пехотой и военными грузами, подавили 16 зенитных точек и истребили более 400 солдат и офицеров противника. За этот же день лётчики уничтожили и повредили на аэродромах 14 немецких самолётов.</w:t>
      </w:r>
    </w:p>
    <w:p w14:paraId="792E698C"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Младший лейтенант Любезнов огнём из противотанкового орудия уничтожил 3 вражеских танка.</w:t>
      </w:r>
    </w:p>
    <w:p w14:paraId="04940BE9"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Фашистские мерзавцы продолжают издевательства и насилия над населением оккупированных советских районов. В деревнях Войносолово, Семейское и Рагожицы, Ленин градской области, немецкие захватчики ограбили крестьян, подчистую забрав не только хлеб и скот, во всё бельё и тёплые вещи. Ежедневно фашисты гонят </w:t>
      </w:r>
      <w:r w:rsidRPr="00640820">
        <w:rPr>
          <w:rFonts w:ascii="Times New Roman" w:hAnsi="Times New Roman"/>
          <w:color w:val="000000" w:themeColor="text1"/>
          <w:sz w:val="16"/>
          <w:szCs w:val="16"/>
        </w:rPr>
        <w:lastRenderedPageBreak/>
        <w:t>население на принудительные работы. Жителей заставляют работать по 16 часов: строить дороги, собирать металлический лом, гильзы от снарядов. Никакой оплаты за работу никому не выдают. Опоздавших на работу немцы арестовывают и увозят в неизвестном направлении. Десятки людей расстреляны. Дикую расправу учинили гитлеровские палачи над крестьянами деревни Бабино. Проездом в деревне остановилось несколько немецких офицеров. Они потребовали указать им дорогу на Чигиринские хутора. Один колхозник выполнил их требование. Но не прошла легковая машина офицеров и несколько километров по указанному пути, как наскочила на мины и взорвалась. На другой день в деревню нагрянул карательный отряд. Фашистские изверги загнали всех мужчин и женщин в едва замёрзший пруд, установили пулемёты и заявили: «Пока не сознаетесь, кто минировал дорогу, будете стоять в воде». Чтобы избавить своих односельчан от мук, шестидесятилетний колхозник Тарас Морозов принял вину на себя. Фашисты сожгли деревню дотла, а Морозова и всех мужчин угнали в лагерь, где их замучили и расстреляли.</w:t>
      </w:r>
    </w:p>
    <w:p w14:paraId="3E999A6C"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Патриоты Голландии, несмотря на жесточайший террор фашистов, не прекращают борьбу против немецких оккупантов. Почти каждый день в Амстердаме исчезают немецкие солдаты, трупы которых власти обнаруживают в каналах или в глухих переулках. Недавно возник большой пожар на авиационном заводе Фокер. Огонь уничтожил все заводские здания. В результате пожаров уничтожены также большие запасы бензина и фуража оккупационной гитлеровской армии.</w:t>
      </w:r>
    </w:p>
    <w:p w14:paraId="25C60497"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Шахтёры восточных угольных районов нашей страны героически борются за увеличение добычи угля. Старый горняк шахты имени Калинина (посёлок Губаха, Молотовской области) пенсионер Хусайн Исмагилов предложил восстановить шахту, заброшенную десять лет назад. Руководство треста «Андреевуголь» поддержало инициативу тов. Исмагилова. Работы велась Исмагиловым и горняками-пенсионерами т.т. Шалагиным, Каримовым, Шибаевым и другими. За короткий срок пенсионеры, которым существенную помощь оказывали домохозяйки, восстановили шахту, которая теперь выдаёт уголь. Горняки шахты имени 1-го мая того же треста досрочно выполнили годовой план угледобычи. В ответ на призыв товарища Сталина оказывать всемерную помощь фронту горняки обязались ежедневно перевыполнять сменные задания. Сейчас шахта систематически перевыполняет план на 10-15 процентов. Машинист Карагандинской шахты № 33/34 тов. Тютяев, встав на сталинскую вахту, обязался выполнять две-три нормы за смену. За 23 дня ноября он вы полнил месячную норму на 721 процент. Значительно увеличили выработку горняки Киргизского угольного бассейна. Они добывают теперь угля на 20 процентов больше, чем в первом полугодии. Коллективы шахт Джал, Кизыл-Кия и штольни «Капитальная» уже выдают топливо в счёт второй годовой нормы.» (14849).</w:t>
      </w:r>
    </w:p>
    <w:p w14:paraId="38AAE927" w14:textId="77777777" w:rsidR="002568A6" w:rsidRPr="00640820" w:rsidRDefault="002568A6" w:rsidP="00640820">
      <w:pPr>
        <w:spacing w:after="0" w:line="240" w:lineRule="auto"/>
        <w:jc w:val="both"/>
        <w:rPr>
          <w:rFonts w:ascii="Times New Roman" w:hAnsi="Times New Roman"/>
          <w:color w:val="000000" w:themeColor="text1"/>
          <w:sz w:val="16"/>
          <w:szCs w:val="16"/>
        </w:rPr>
      </w:pPr>
    </w:p>
    <w:p w14:paraId="0FBF3DE9"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3 декабря </w:t>
      </w:r>
      <w:r w:rsidRPr="00640820">
        <w:rPr>
          <w:rFonts w:ascii="Times New Roman" w:hAnsi="Times New Roman"/>
          <w:color w:val="000000" w:themeColor="text1"/>
          <w:sz w:val="16"/>
          <w:szCs w:val="16"/>
        </w:rPr>
        <w:t>в 1941 году вечернее сообщение Совинформбюро:</w:t>
      </w:r>
    </w:p>
    <w:p w14:paraId="36B6C4B9"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3 декабря наши войска вели бои с противником на всех фронтах.</w:t>
      </w:r>
    </w:p>
    <w:p w14:paraId="1CA5C613"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 декабря уничтожено 58 немецких самолётов. Наши потери - 17 самолётов.</w:t>
      </w:r>
    </w:p>
    <w:p w14:paraId="1EAC8AB7"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 декабря нашей авиацией уничтожено и выведено из строя 154 немецких танка, 1.114 автомашин с войсками и грузами, 50 полевых и зенитных орудий, 15 автоцистерн с горючим, 254 подводы с грузом, истреблено и рассеяно много вражеской пехоты.</w:t>
      </w:r>
    </w:p>
    <w:p w14:paraId="5C5250B7"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участков Западного фронта артиллеристы части тов. Гетмана в последнем бою уничтожили 9 танков, 3 бронемашины немцев и истребили большое количество солдат и офицеров противника.</w:t>
      </w:r>
    </w:p>
    <w:p w14:paraId="5CEF6C32"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десять дней боёв части тов. Бондарева, действующие на одном из участков Ленинградского фронта, уничтожили 20 немецких орудий, 27 пулемётов, несколько миномётов, много автоматов и противотанковых ружей.</w:t>
      </w:r>
    </w:p>
    <w:p w14:paraId="6816B3B2"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Бойцы подразделений т.т. Сергеева и Алексеенко, действующих на одном из участков Южного фронта, за один день захватили 28 немецких танков, 41 автомашину, 21 орудие, 14 пулемётов, 400 противотанковых мин и много другого вооружения.</w:t>
      </w:r>
    </w:p>
    <w:p w14:paraId="49F8A554"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Партизаны Крыма за два дня, по далеко не полным данным, истребили свыше 150 немецких солдат и офицеров, уничтожили 11 грузовых машин, 4 станковых пулемёта и 3 автоцистерны с горючим. Успешно действуют в Крыму партизаны-снайперы. За десять дней снайперы уничтожили 312 немецких солдат и 39 офицеров. Партизаны, действующие в захваченных немцами районах Тульской области, на рассвете атаковали конный обоз противника. В завязавшейся схватке истреблено 22 немецких солдата, уничтожено 17 конных повозок с продовольствием и тёплой одеждой, награбленной фашистами в оккупированных деревнях. Партизаны Смоленской области сожгли совершивший вынужденную посадку транспортный немецкий самолет, уничтожили его экипаж и трёх фашистских офицеров, из которых один был в чине полковника.</w:t>
      </w:r>
    </w:p>
    <w:p w14:paraId="62EB7668"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Непрерывным потоком поступают от трудящихся взносы в фонд обороны СССР. На 1 ноября поступило 916,9 миллиона рублей деньгами, на 1.294.395 тысяч рублей облигаций государственных займов, много платины, золота, серебра, драгоценных вещей и иностранной валюты. К 1 декабря в отделения и главную кассу Московской городской конторы Госбанка от трудящихся города Москвы поступили денежные взносы в размере 98.628 тысяч рублей. Кроме того, москвичи передали в фонд обороны на 5.527 рублей золотой монеты, 2 килограмма 215 граммов платины, 7 килограммов 862 грамма золота, 393 килограмма 486 граммов серебра и другие ценности. Колхозники вносят в фонд обороны родины зерно, мясо, овощи, шерсть, молочные продукты. Колхозники сельхозартели «Буревестник», Смоленского района, Алтайского края, внесли 120 пудов мяса, 2.400 пудов хлеба. Колхоз «Память Чкалова» внёс в фонд обороны 1.800 пудов хлеба. Колхозы имени Кирова, «7-й съезд Советов», имени Сталина, имени Куйбышева сдали в фонд обороны 7.950 пудов зерна.» (14849).</w:t>
      </w:r>
    </w:p>
    <w:p w14:paraId="7E2A6D63" w14:textId="77777777" w:rsidR="002568A6" w:rsidRPr="00640820" w:rsidRDefault="002568A6" w:rsidP="00640820">
      <w:pPr>
        <w:spacing w:after="0" w:line="240" w:lineRule="auto"/>
        <w:jc w:val="both"/>
        <w:rPr>
          <w:rFonts w:ascii="Times New Roman" w:hAnsi="Times New Roman"/>
          <w:color w:val="000000" w:themeColor="text1"/>
          <w:sz w:val="16"/>
          <w:szCs w:val="16"/>
        </w:rPr>
      </w:pPr>
    </w:p>
    <w:p w14:paraId="3CB3679A"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3 декабря </w:t>
      </w:r>
      <w:r w:rsidRPr="00640820">
        <w:rPr>
          <w:rFonts w:ascii="Times New Roman" w:hAnsi="Times New Roman"/>
          <w:color w:val="000000" w:themeColor="text1"/>
          <w:sz w:val="16"/>
          <w:szCs w:val="16"/>
        </w:rPr>
        <w:t>в 1941 году бойцам и командирам формировавшейся в Горьковской области 201-й латышской стрелковой дивизии был зачитан приказ о том, что период обучения дивизии закончен и она отправляется на фронт для участия в обороне Москвы. На следующий день началась погрузка в эшелоны (14849).</w:t>
      </w:r>
    </w:p>
    <w:p w14:paraId="499A4381" w14:textId="77777777" w:rsidR="002568A6" w:rsidRPr="00640820" w:rsidRDefault="002568A6" w:rsidP="00640820">
      <w:pPr>
        <w:spacing w:after="0" w:line="240" w:lineRule="auto"/>
        <w:jc w:val="both"/>
        <w:rPr>
          <w:rFonts w:ascii="Times New Roman" w:hAnsi="Times New Roman"/>
          <w:color w:val="000000" w:themeColor="text1"/>
          <w:sz w:val="16"/>
          <w:szCs w:val="16"/>
        </w:rPr>
      </w:pPr>
    </w:p>
    <w:p w14:paraId="3E1C8D6C"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3 декабря </w:t>
      </w:r>
      <w:r w:rsidRPr="00640820">
        <w:rPr>
          <w:rFonts w:ascii="Times New Roman" w:hAnsi="Times New Roman"/>
          <w:color w:val="000000" w:themeColor="text1"/>
          <w:sz w:val="16"/>
          <w:szCs w:val="16"/>
        </w:rPr>
        <w:t>в 1941 году войска 54-й армии Ленинградского фронта перешли в наступление в районе Войбокало (западнее Волхова) и потеснили противника в южном направлении. Войска 33-й армии центра Западного фронта выбили противника из Юшкова (14849).</w:t>
      </w:r>
    </w:p>
    <w:p w14:paraId="686A2EBD" w14:textId="77777777" w:rsidR="002568A6" w:rsidRPr="00640820" w:rsidRDefault="002568A6" w:rsidP="00640820">
      <w:pPr>
        <w:spacing w:after="0" w:line="240" w:lineRule="auto"/>
        <w:jc w:val="both"/>
        <w:rPr>
          <w:rFonts w:ascii="Times New Roman" w:hAnsi="Times New Roman"/>
          <w:color w:val="000000" w:themeColor="text1"/>
          <w:sz w:val="16"/>
          <w:szCs w:val="16"/>
        </w:rPr>
      </w:pPr>
    </w:p>
    <w:p w14:paraId="4C9005F1"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3 декабря </w:t>
      </w:r>
      <w:r w:rsidRPr="00640820">
        <w:rPr>
          <w:rFonts w:ascii="Times New Roman" w:hAnsi="Times New Roman"/>
          <w:color w:val="000000" w:themeColor="text1"/>
          <w:sz w:val="16"/>
          <w:szCs w:val="16"/>
        </w:rPr>
        <w:t>в 1941 году подводная лодка "К-3" под командованием капитан-лейтенанта Малафеева провела самый результативный артиллерийский бой в истории советского подводного флота. В пролив Бустансунд (между полуостровом Порсангер и островом Рейнё) скрытно проникла ПЛ "К-3" под командованием капитан-лейтенанта Кузьмы Ивановича Малафеева. Вскроре им был обнаружен конвой, направлявшийся в Гаммерфест. Он состоял из транспорта "Альткирх" (4713 брт) и трех кораблей ПЛО. На перископной глубине с дистанции 17 каб командир ПЛ произвел четырёхторпедный залп с временным интервалом 9 секунд из носовых торпедных аппаратов. Подводники слышали 2 глухих взрыва - предположительно был поврежден транспорт. Однако противник обнаружил ПЛ и начал ожесточенное бомбометание. ПЛ "К-3", погружаясь на 60-и метровую глубину, неожиданно ударилась о подводную скалу, хотя, судя по навигационной карте, глубина в этих координатах должна была быть не менее 115 м. Мощными взрывами глубинных бомб подводный крейсер резко подбросило вверх, а затем швырнуло на дно. От разрывов и нескольких ударов о скалистый грунт потекли междубортные цистерны, Соляр, поднимаясь на поверхность, демаскировал ПЛ. Тогда находившийся на борту командир дивизиона ПЛ капитан 2 ранга М.И.Гаджиев принял решение всплыть и навязать противнику артиллерийский бой. Как только продули главный балласт и ПЛ "К-3" показалась на поверхности, Гаджиев и командир Малафеев стремительно поднялись в ограждение рубки. Прямо на ПЛ строем фронта шли противолодочные корабли. Когда "К-3" дала полный ход, неожиданно отказал правый дизельный двигатель - возможно, в топливо попала забортная вода. Один из кораблей противника открыл огонь из орудия и двух скорострельных автоматов. Но и наши подводники, быстро открыв артиллерийский огонь, добились прямого попадания. Сначала скрылся под водой объятый пламенем и чёрным дымом корабль ПЛО "UJ-1708" ("Фёрер"), а за ним и другой корабль - "UJ-1403" ("Мекленбург"), получивший серьёзные повреждения. Уцелевший корабль "UJ-1416", круто развернувшись, обратился в бегство. В течение 265 минут подводниками было израсходовано 42 снаряда калибра 100-мм и столько же снарядов калибра 45-мм. Так "К-3" принесла советским подводникам первую победу в артиллерийской дуэли с германскими кораблями ПЛО (14849).</w:t>
      </w:r>
    </w:p>
    <w:p w14:paraId="4C40BD00" w14:textId="77777777" w:rsidR="002568A6" w:rsidRPr="00640820" w:rsidRDefault="002568A6" w:rsidP="00640820">
      <w:pPr>
        <w:spacing w:after="0" w:line="240" w:lineRule="auto"/>
        <w:jc w:val="both"/>
        <w:rPr>
          <w:rFonts w:ascii="Times New Roman" w:hAnsi="Times New Roman"/>
          <w:color w:val="000000" w:themeColor="text1"/>
          <w:sz w:val="16"/>
          <w:szCs w:val="16"/>
        </w:rPr>
      </w:pPr>
    </w:p>
    <w:p w14:paraId="6A9F89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декабря 1941 г. приказом наркома обороны № 0015 во исполнение постановления Государственного комитета обороны от 30 ноября 1941 г., 81-я авиационная дивизия была преобразована в 3-ю авиационную дивизию дальнего действия с особым подчинением. Документ, подписанный Иосифом Сталиным, предусматривал весьма широкие права командира дивизии по назначению и перемещению личного состава вплоть до заместителя командира полка и присвоению воинских званий до майора включительно. Приказы по присвоению званий от майора и выше, а также по перемещениям и назначениям, начиная с командира полка, подписывались лично Верховным Главнокомандующим. Штаб дивизии перевели в Москву и разместили в окрестностях Центрального аэродрома, в здании Петровского дворца - там ранее находилась Военно-воздушная академия имени Жуковского (12025).</w:t>
      </w:r>
    </w:p>
    <w:p w14:paraId="0570D8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51BA6B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декабря 1941 г. немецкая дальнобойная артиллерия обстреляла аэ</w:t>
      </w:r>
      <w:r w:rsidRPr="00640820">
        <w:rPr>
          <w:rFonts w:ascii="Times New Roman" w:hAnsi="Times New Roman"/>
          <w:color w:val="000000" w:themeColor="text1"/>
          <w:sz w:val="16"/>
          <w:szCs w:val="16"/>
        </w:rPr>
        <w:softHyphen/>
        <w:t>родром Куликово поле под Севастополем, в результате чего был уничтожен один И-5, выведены из строя один И-153 и один КОР-1. Дальнейших упоминаний о КОР-1 на Черноморском флоте не встречается (11107).</w:t>
      </w:r>
    </w:p>
    <w:p w14:paraId="20D8444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BF2F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декабря 1941 г. в артиллерийском бою с немецкими противолодочными кораблями К- 3 потопила один и повредила два ко</w:t>
      </w:r>
      <w:r w:rsidRPr="00640820">
        <w:rPr>
          <w:rFonts w:ascii="Times New Roman" w:hAnsi="Times New Roman"/>
          <w:color w:val="000000" w:themeColor="text1"/>
          <w:sz w:val="16"/>
          <w:szCs w:val="16"/>
        </w:rPr>
        <w:softHyphen/>
        <w:t>рабля ПЛО (3898).</w:t>
      </w:r>
    </w:p>
    <w:p w14:paraId="7899C2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DC8CD4C" w14:textId="77777777" w:rsidR="00C30BD0" w:rsidRPr="00640820" w:rsidRDefault="00C30BD0"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5B78BA0B" w14:textId="77777777" w:rsidR="00C30BD0" w:rsidRPr="00640820" w:rsidRDefault="00C30BD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186253E"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 декабря 1941 г. СНК СССР разрешил выплатить в декабре зарплату рабочим, ИТР и служащим временно не работающих предприятий из расчета их среднего заработка. На многих заводах были организованы стационары и лечебное усиленное питание для работников. Например, на заводе № 616 через них прошли соответственно 660 и 1360 человек. Удавалось даже эвакуировать часть квалифицированных специалистов. Так было со 130 работниками все того же завода № 616, </w:t>
      </w:r>
      <w:r w:rsidRPr="00640820">
        <w:rPr>
          <w:rFonts w:ascii="Times New Roman" w:hAnsi="Times New Roman"/>
          <w:color w:val="000000" w:themeColor="text1"/>
          <w:sz w:val="16"/>
          <w:szCs w:val="16"/>
        </w:rPr>
        <w:lastRenderedPageBreak/>
        <w:t>которых вывезли на «Большую землю» самолетами. Так было и со специалистами «Красной зари», эвакуированных для организации завода № 1 НКО в Москву по «Дороге жизни». В.А. Восканян в самом начале января 1942 г. обращается к секретарю Ленинградского горкома ВКП (б) Капустину по поводу стремительного «выхода из строя» ведущих работников вакуумного производства. Без сохранения этих специалистов, бывших по сути дела «штучным товаром», и речи не могло быть о восстановлении производства радиоламп и других вакуумных изделий. По настоятельной просьбе Восканяна специальным решением Военного совета Ленинградского фронта заводу № 211 было выделено 150 талонов на получение обедов без вырезки из них продуктовых карточек (18297).</w:t>
      </w:r>
    </w:p>
    <w:p w14:paraId="524F8EEB" w14:textId="77777777" w:rsidR="00C30BD0" w:rsidRPr="00640820" w:rsidRDefault="00C30BD0" w:rsidP="00640820">
      <w:pPr>
        <w:spacing w:after="0" w:line="240" w:lineRule="auto"/>
        <w:jc w:val="both"/>
        <w:rPr>
          <w:rFonts w:ascii="Times New Roman" w:hAnsi="Times New Roman"/>
          <w:color w:val="000000" w:themeColor="text1"/>
          <w:sz w:val="16"/>
          <w:szCs w:val="16"/>
        </w:rPr>
      </w:pPr>
    </w:p>
    <w:p w14:paraId="512AAD94"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6D51E94B"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A6FDC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3-4 декабря 1941 проходили советско-польские переговоры в Москве (3186).</w:t>
      </w:r>
    </w:p>
    <w:p w14:paraId="307D51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29ACD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декабря 1941 года была подготовлена справка реферат IV Е5 4-го отдела РСХА (гестапо) «Об организации и деятельности советской разведки»:</w:t>
      </w:r>
    </w:p>
    <w:p w14:paraId="17DC54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«Как неоднократно было установлено, советские торговые представительства, как и дипломатические представительства, втянуты в разведслужбу. Деятельность торговых представительств лежит главным образом в области экономического шпионажа. На основе ранее заключенных торговых договоров сотрудники торговых представительств имели возможность посещать предприятия и наблюдать за ходом производства предназначенных для них машин и товаров. При этом не всегда удавалось предотвратить ознакомление русских с процессом, который следовало держать секретно из экономических соображений.</w:t>
      </w:r>
    </w:p>
    <w:p w14:paraId="7AAA13F1"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Письменные материалы, захваченные после начала германо-русской войны в здешних торговых представительствах, дали многочисленные доказательства того, что торговые представительства занимались главным образом шпионажем» (</w:t>
      </w:r>
      <w:r w:rsidRPr="00640820">
        <w:rPr>
          <w:rFonts w:ascii="Times New Roman" w:hAnsi="Times New Roman"/>
          <w:color w:val="000000" w:themeColor="text1"/>
          <w:sz w:val="16"/>
          <w:szCs w:val="16"/>
        </w:rPr>
        <w:t>Полмар Н., Аллен Т. Энциклопедия шпионажа. — М., 1999, с. 48.</w:t>
      </w:r>
      <w:r w:rsidRPr="00640820">
        <w:rPr>
          <w:rFonts w:ascii="Times New Roman" w:hAnsi="Times New Roman"/>
          <w:iCs/>
          <w:color w:val="000000" w:themeColor="text1"/>
          <w:sz w:val="16"/>
          <w:szCs w:val="16"/>
        </w:rPr>
        <w:t>).</w:t>
      </w:r>
    </w:p>
    <w:p w14:paraId="69CBF8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«Среди так называемых русских возвращенцев советская разведслужба широко проводила ловлю своих агентов. Что касается русских возвращенцев, то здесь идет речь о таких людях, которые в период системы — будь то следствие безработицы или из чувства симпатии</w:t>
      </w:r>
      <w:r w:rsidRPr="00640820">
        <w:rPr>
          <w:rFonts w:ascii="Times New Roman" w:hAnsi="Times New Roman"/>
          <w:color w:val="000000" w:themeColor="text1"/>
          <w:sz w:val="16"/>
          <w:szCs w:val="16"/>
        </w:rPr>
        <w:t xml:space="preserve"> — </w:t>
      </w:r>
      <w:r w:rsidRPr="00640820">
        <w:rPr>
          <w:rFonts w:ascii="Times New Roman" w:hAnsi="Times New Roman"/>
          <w:iCs/>
          <w:color w:val="000000" w:themeColor="text1"/>
          <w:sz w:val="16"/>
          <w:szCs w:val="16"/>
        </w:rPr>
        <w:t>выехали в Советскую Россию, и о специалистах, которые на основе договоров с согласия германского правительства были направлены на работу в СССР. Эти люди возвращались в Германию либо по окончании срока действия договора, либо, осознав, что Советский Союз отнюдь не является раем. Выяснилось, что почти все эти вовращенцы были завербованы или дали обязательства работать на советскую разведку. Осталось неизвестным, сколько из них сообщило германским учреждением о том, что они завербованы или дали обязательство работать на советскую разведку. Во всяком случае, советская разведслужба обеспечила себе в лице части такой категории хороший источник информации, тем более, что, возвратившись (в Германию) специалисты опять получили здесь работу на военных предприятиях»(</w:t>
      </w:r>
      <w:r w:rsidRPr="00640820">
        <w:rPr>
          <w:rFonts w:ascii="Times New Roman" w:hAnsi="Times New Roman"/>
          <w:color w:val="000000" w:themeColor="text1"/>
          <w:sz w:val="16"/>
          <w:szCs w:val="16"/>
        </w:rPr>
        <w:t xml:space="preserve"> Органы государственной безопасности СССР в Великой Отечественной войне. Т. 2. Кн. 2. Начало. 1 сентября — 31 декабря 1941 года. — М., 2000, с. 584-585.</w:t>
      </w:r>
      <w:r w:rsidRPr="00640820">
        <w:rPr>
          <w:rFonts w:ascii="Times New Roman" w:hAnsi="Times New Roman"/>
          <w:iCs/>
          <w:color w:val="000000" w:themeColor="text1"/>
          <w:sz w:val="16"/>
          <w:szCs w:val="16"/>
        </w:rPr>
        <w:t xml:space="preserve">) </w:t>
      </w:r>
      <w:r w:rsidRPr="00640820">
        <w:rPr>
          <w:rFonts w:ascii="Times New Roman" w:hAnsi="Times New Roman"/>
          <w:color w:val="000000" w:themeColor="text1"/>
          <w:sz w:val="16"/>
          <w:szCs w:val="16"/>
        </w:rPr>
        <w:t>(11765).</w:t>
      </w:r>
    </w:p>
    <w:p w14:paraId="50FF27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796B1AB"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1B2AC983"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38158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декабря 1941 было подписано германо-румынское соглашение об экономическом сотрудничестве (3186).</w:t>
      </w:r>
    </w:p>
    <w:p w14:paraId="243272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E57F54D"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4F6A5214"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CDBB1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декабря 1941 Зам. наркома Воронин писал письмо Н-36/59 Зам. нач. заказов и вооружения ВВС Селезневу:</w:t>
      </w:r>
    </w:p>
    <w:p w14:paraId="5337DB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заводе 126 отсутствуют в настоящее время детали бронезащиты для ДБ-3Ф.</w:t>
      </w:r>
    </w:p>
    <w:p w14:paraId="20ED60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Т.к. самолеты ДБ-3Ф отправляются в Бузулук, где производится их сборка, прошу дать согласие на отправку самолетов без деталей бронезащиты с тем, чтобы в Бузулук будут отправлены детали бронезащиты и там смонтированы силами завода 126 (2554,20).</w:t>
      </w:r>
    </w:p>
    <w:p w14:paraId="4DADFA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666B2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ночь с 4 на 5 декабря 1941 (при температуре -26 градусов) в 154-м иап "лопнули 9 маслорадиаторов моторов Аллисон V-1710, несмотря на прогрев через каждые 1,5-2 часа". Кроме того, в моторах V-1710 стояли подшипники с вкладышами из так называемого "белого сплава" (свинец, серебро и немного кадмия). Такие подшипники лучше работали при высоких оборотах и больших нагрузках, но очень чувствительно реагировали на качество масла и попадание в нее пыли, а также требовали тщательной регулировки при установке. Кроме того, "Аллисон" имел целый набор кратковременных форсированных режимов, пользоваться которыми надо было очень умело. В противном случае перегревалось масло, плавились и заклинивали подшипники, отрывались шатуны. Все это часто приводило к авариям. Из-за дефектов маслосистемы в воздухе случались пожары - так, например, горел самолет Героя Советского Союза И.Харитонова в 964-м полку. Моторы V-1710 в первое время вырабатывали в нашей стране не более 35-40% ресурса. Положение осложнялось нехваткой запасных частей. Не выдерживали и лопались камеры колес, загустевала смесь в гидросистеме, из-за чего плохо выпускались шасси. Боролись с этим по-разному. Масло на ночь стали сливать, для чего сделали сливные крапы. Импортные гидросмесь и антифриз "Престон" меняли на отечественные, более морозостойкие (3457,62).</w:t>
      </w:r>
    </w:p>
    <w:p w14:paraId="4CEC39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D77C3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декабря 1941 вышло Постановление ГКО № 995 О материально-техническом обеспечении программы по самолетам и моторам НКАП на декабрь 1941 года. РГАНИР, Фонд ГКО, д. 16, лл. 40-42, 43-59 (11012).</w:t>
      </w:r>
    </w:p>
    <w:p w14:paraId="169B41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D375F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декабря 1941 вышло Постановление ГКО № 993 Об обеспечении выпуска аэросаней для Красной Армии. РГАНИР, Фонд ГКО, д. 16, лл. 26-29 (11012).</w:t>
      </w:r>
    </w:p>
    <w:p w14:paraId="305328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149EC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декабря 1941 г. ПОСТАНОВЛЕНИЕ № ГКО-993сс</w:t>
      </w:r>
    </w:p>
    <w:p w14:paraId="0BF345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Москва, Кремль </w:t>
      </w:r>
    </w:p>
    <w:p w14:paraId="0EBD8E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 обеспечении выпуска аэросаней для Красной Армии</w:t>
      </w:r>
    </w:p>
    <w:p w14:paraId="18FF4C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Государственный Комитет Обороны устанавливает, что в результате безответственного отношения Наркомлеса СССР (т. Салтыкова), Наркомрыбпрома СССР (т. Ишкова), Наркомморфлота (т. Дукельского), Наркомречфлота (т. Шашкова) и Наркомместпром РСФСР (т. Смиряева) к выполнению, это важнейшее оборонное задание сорвано. </w:t>
      </w:r>
    </w:p>
    <w:p w14:paraId="151AF6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Ни одно из предприятий Наркомрыбпрома СССР, Наркомморфлота и Наркомречфлота до сих пор не выпустило ни одной машины, а Наркомлес СССР из 1600 штук аэросаней выпустил только 94 штуки. </w:t>
      </w:r>
    </w:p>
    <w:p w14:paraId="4672C7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Наркомлес СССР (т. Салтыков) грубо нарушил установленные Государственным Комитетом Обороны сроки составления рабочих чертежей на аэросани, выдав наркоматам эти чертежи с опозданием на целый месяц, и не оказал наркоматам необходимой технической помощи в организации производства аэросаней. </w:t>
      </w:r>
    </w:p>
    <w:p w14:paraId="3C5F23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Наркомречфлот (т. Шашков) беспечно отнесся к выполнению задания Государственного Комитета Обороны по выпуску к 1 октября 1941 г. опытных образцов боевых аэросаней с автомобильными и мотоциклетными моторами, в результате чего эти опытные образцы еще до сих пор не изготовлены. </w:t>
      </w:r>
    </w:p>
    <w:p w14:paraId="28F096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Наркомместпром РСФСР (т. Смиряев), несмотря на данное им 9 октября с.г. Совнаркому СССР обещание выправить положение с выпуском арматуры, крепежных изделий и металлических узлов аэросаней, до сих пор не развернул производство этих изделий, сорвав поставку их наркоматам, изготовляющим аэросани. </w:t>
      </w:r>
    </w:p>
    <w:p w14:paraId="30CD80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Государственный Комитет Обороны постановляет: </w:t>
      </w:r>
    </w:p>
    <w:p w14:paraId="56D365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 Предупредить Народного Комиссара рыбной промышленности СССР т. Ишкова А.А., исполняющего обязанности Наркома лесной промышленности т. Салтыкова М.И., Народного Комиссара Морского Флота т. Дукельского С.С., Народного Комиссара речного флота т. Шашкова З.А. и Наркома Местной промышленности РСФСР т. Смирнова В.П., что если они в течение декабря 1941 года не выправят положение с выпуском аэросаней, они будут привлечены к строгой ответственности. </w:t>
      </w:r>
    </w:p>
    <w:p w14:paraId="06E069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 Обязать исполняющего обязанности Народного комиссара лесной промышленности СССР т. Салтыкова, Народного Комиссара Рыбной промышленности СССР т. Ишкова, исполняющего обязанности Народного комиссара судостроительной промышленности т. Каплуна, Народного Комиссара Морского Флота т. Дукельского и Народного Комиссара Речного флота т. Шашкова под их личную ответственность обеспечить выпуск в декабре 1941 года следующего количества аэросаней: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648"/>
        <w:gridCol w:w="292"/>
        <w:gridCol w:w="686"/>
        <w:gridCol w:w="1872"/>
        <w:gridCol w:w="1278"/>
      </w:tblGrid>
      <w:tr w:rsidR="00643896" w:rsidRPr="00640820" w14:paraId="28B01FD8" w14:textId="77777777" w:rsidTr="000D3BCB">
        <w:trPr>
          <w:jc w:val="center"/>
        </w:trPr>
        <w:tc>
          <w:tcPr>
            <w:tcW w:w="3648" w:type="dxa"/>
            <w:tcBorders>
              <w:top w:val="single" w:sz="12" w:space="0" w:color="auto"/>
            </w:tcBorders>
          </w:tcPr>
          <w:p w14:paraId="6A3EE2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Наркомлес СССР</w:t>
            </w:r>
          </w:p>
        </w:tc>
        <w:tc>
          <w:tcPr>
            <w:tcW w:w="292" w:type="dxa"/>
            <w:tcBorders>
              <w:top w:val="single" w:sz="12" w:space="0" w:color="auto"/>
            </w:tcBorders>
          </w:tcPr>
          <w:p w14:paraId="0989E7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86" w:type="dxa"/>
            <w:tcBorders>
              <w:top w:val="single" w:sz="12" w:space="0" w:color="auto"/>
            </w:tcBorders>
          </w:tcPr>
          <w:p w14:paraId="0A87BF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700</w:t>
            </w:r>
          </w:p>
        </w:tc>
        <w:tc>
          <w:tcPr>
            <w:tcW w:w="1872" w:type="dxa"/>
            <w:tcBorders>
              <w:top w:val="single" w:sz="12" w:space="0" w:color="auto"/>
            </w:tcBorders>
          </w:tcPr>
          <w:p w14:paraId="14C9FA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аэросаней</w:t>
            </w:r>
          </w:p>
        </w:tc>
        <w:tc>
          <w:tcPr>
            <w:tcW w:w="1278" w:type="dxa"/>
            <w:tcBorders>
              <w:top w:val="single" w:sz="12" w:space="0" w:color="auto"/>
            </w:tcBorders>
          </w:tcPr>
          <w:p w14:paraId="239BBD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НКЛ-16</w:t>
            </w:r>
          </w:p>
        </w:tc>
      </w:tr>
      <w:tr w:rsidR="00643896" w:rsidRPr="00640820" w14:paraId="53A8D29C" w14:textId="77777777" w:rsidTr="000D3BCB">
        <w:trPr>
          <w:jc w:val="center"/>
        </w:trPr>
        <w:tc>
          <w:tcPr>
            <w:tcW w:w="3648" w:type="dxa"/>
          </w:tcPr>
          <w:p w14:paraId="07C27A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Наркомрыбпром СССР</w:t>
            </w:r>
          </w:p>
        </w:tc>
        <w:tc>
          <w:tcPr>
            <w:tcW w:w="292" w:type="dxa"/>
          </w:tcPr>
          <w:p w14:paraId="4AF2F8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86" w:type="dxa"/>
          </w:tcPr>
          <w:p w14:paraId="66219F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500</w:t>
            </w:r>
          </w:p>
        </w:tc>
        <w:tc>
          <w:tcPr>
            <w:tcW w:w="1872" w:type="dxa"/>
          </w:tcPr>
          <w:p w14:paraId="32EECB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78" w:type="dxa"/>
          </w:tcPr>
          <w:p w14:paraId="0DF38E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4CA2BC2F" w14:textId="77777777" w:rsidTr="000D3BCB">
        <w:trPr>
          <w:jc w:val="center"/>
        </w:trPr>
        <w:tc>
          <w:tcPr>
            <w:tcW w:w="3648" w:type="dxa"/>
          </w:tcPr>
          <w:p w14:paraId="0EA482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Наркомсудпром</w:t>
            </w:r>
          </w:p>
        </w:tc>
        <w:tc>
          <w:tcPr>
            <w:tcW w:w="292" w:type="dxa"/>
          </w:tcPr>
          <w:p w14:paraId="58234B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86" w:type="dxa"/>
          </w:tcPr>
          <w:p w14:paraId="5D0B7C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w:t>
            </w:r>
          </w:p>
        </w:tc>
        <w:tc>
          <w:tcPr>
            <w:tcW w:w="1872" w:type="dxa"/>
          </w:tcPr>
          <w:p w14:paraId="1CA573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78" w:type="dxa"/>
          </w:tcPr>
          <w:p w14:paraId="125B1E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2113CA52" w14:textId="77777777" w:rsidTr="000D3BCB">
        <w:trPr>
          <w:jc w:val="center"/>
        </w:trPr>
        <w:tc>
          <w:tcPr>
            <w:tcW w:w="3648" w:type="dxa"/>
          </w:tcPr>
          <w:p w14:paraId="1A1A24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Наркомморфлот</w:t>
            </w:r>
          </w:p>
        </w:tc>
        <w:tc>
          <w:tcPr>
            <w:tcW w:w="292" w:type="dxa"/>
          </w:tcPr>
          <w:p w14:paraId="77ED888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86" w:type="dxa"/>
          </w:tcPr>
          <w:p w14:paraId="6E9BCF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500</w:t>
            </w:r>
          </w:p>
        </w:tc>
        <w:tc>
          <w:tcPr>
            <w:tcW w:w="1872" w:type="dxa"/>
          </w:tcPr>
          <w:p w14:paraId="6A640D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78" w:type="dxa"/>
          </w:tcPr>
          <w:p w14:paraId="1B7636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НКЛ-26</w:t>
            </w:r>
          </w:p>
        </w:tc>
      </w:tr>
      <w:tr w:rsidR="00643896" w:rsidRPr="00640820" w14:paraId="3D9BCB84" w14:textId="77777777" w:rsidTr="000D3BCB">
        <w:trPr>
          <w:jc w:val="center"/>
        </w:trPr>
        <w:tc>
          <w:tcPr>
            <w:tcW w:w="3648" w:type="dxa"/>
          </w:tcPr>
          <w:p w14:paraId="0F457E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Наркомречфлот</w:t>
            </w:r>
          </w:p>
        </w:tc>
        <w:tc>
          <w:tcPr>
            <w:tcW w:w="292" w:type="dxa"/>
          </w:tcPr>
          <w:p w14:paraId="78218E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86" w:type="dxa"/>
          </w:tcPr>
          <w:p w14:paraId="3A701B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w:t>
            </w:r>
          </w:p>
        </w:tc>
        <w:tc>
          <w:tcPr>
            <w:tcW w:w="1872" w:type="dxa"/>
          </w:tcPr>
          <w:p w14:paraId="79CD6D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78" w:type="dxa"/>
          </w:tcPr>
          <w:p w14:paraId="58F156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7DAB562B" w14:textId="77777777" w:rsidTr="000D3BCB">
        <w:trPr>
          <w:jc w:val="center"/>
        </w:trPr>
        <w:tc>
          <w:tcPr>
            <w:tcW w:w="3648" w:type="dxa"/>
            <w:tcBorders>
              <w:bottom w:val="single" w:sz="12" w:space="0" w:color="auto"/>
            </w:tcBorders>
          </w:tcPr>
          <w:p w14:paraId="1CDB67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w:t>
            </w:r>
          </w:p>
        </w:tc>
        <w:tc>
          <w:tcPr>
            <w:tcW w:w="292" w:type="dxa"/>
            <w:tcBorders>
              <w:bottom w:val="single" w:sz="12" w:space="0" w:color="auto"/>
            </w:tcBorders>
          </w:tcPr>
          <w:p w14:paraId="280BB2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86" w:type="dxa"/>
            <w:tcBorders>
              <w:bottom w:val="single" w:sz="12" w:space="0" w:color="auto"/>
            </w:tcBorders>
          </w:tcPr>
          <w:p w14:paraId="63D2C0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w:t>
            </w:r>
          </w:p>
        </w:tc>
        <w:tc>
          <w:tcPr>
            <w:tcW w:w="1872" w:type="dxa"/>
            <w:tcBorders>
              <w:bottom w:val="single" w:sz="12" w:space="0" w:color="auto"/>
            </w:tcBorders>
          </w:tcPr>
          <w:p w14:paraId="2723B8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78" w:type="dxa"/>
            <w:tcBorders>
              <w:bottom w:val="single" w:sz="12" w:space="0" w:color="auto"/>
            </w:tcBorders>
          </w:tcPr>
          <w:p w14:paraId="2065D5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НКЛ-32</w:t>
            </w:r>
          </w:p>
        </w:tc>
      </w:tr>
    </w:tbl>
    <w:p w14:paraId="3115B8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 Обязать Наркомлес СССР (т. Салтыкова), Наркомрыбпром СССР (т. Ишкова), Наркомсудпром (т. Каплуна), Наркомморфлот (т. Дукельского) и Наркомречфлот (т. Шашкова): </w:t>
      </w:r>
    </w:p>
    <w:p w14:paraId="2962D3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а) в двухдневный срок установить предприятиям суточный график выпуска аэросаней; </w:t>
      </w:r>
    </w:p>
    <w:p w14:paraId="4F5F6D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б) представлять в Совнарком СССР 5-дневные сводки о выполнении суточных графиков выпуска аэросаней. </w:t>
      </w:r>
    </w:p>
    <w:p w14:paraId="1AF16B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4. Обязать НКО (т. Яковлева) и Наркомат Вооружения (т. Устинова) выделить и поставить в декабре 1941 года для вооружения боевых аэросаней по мере их фактического выпуска Наркомморфлоту 500 пулеметов "ДТ" и Наркомречфлоту 600 пулеметов "ДТ" и 300 пулеметов "Березина". </w:t>
      </w:r>
    </w:p>
    <w:p w14:paraId="3AAC8A9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5. Обязать Наркомчермет (т. Тевосяна) закончить к 10 декабря 1941 г. поставку Наркомлесу СССР, Наркомрыбпрому СССР, Наркомсудпрому, Наркомморфлоту и Наркомречфлоту тонкостенных электросварных труб, выделенных им распоряжением Совнаркома СССР от 12 октября 1941 г. № 11873 рс. </w:t>
      </w:r>
    </w:p>
    <w:p w14:paraId="084E4F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6. Обязать Наркомсредмаш (т. Акопова): </w:t>
      </w:r>
    </w:p>
    <w:p w14:paraId="3F3A76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а) изготовить в декабре 1941 г. 2859 комплектов пружин для амортизаторов к аэросаням с поставкой их в следующие сроки: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4" w:type="dxa"/>
          <w:right w:w="24" w:type="dxa"/>
        </w:tblCellMar>
        <w:tblLook w:val="0000" w:firstRow="0" w:lastRow="0" w:firstColumn="0" w:lastColumn="0" w:noHBand="0" w:noVBand="0"/>
      </w:tblPr>
      <w:tblGrid>
        <w:gridCol w:w="2989"/>
        <w:gridCol w:w="2365"/>
        <w:gridCol w:w="4235"/>
      </w:tblGrid>
      <w:tr w:rsidR="00643896" w:rsidRPr="00640820" w14:paraId="55FAC31F" w14:textId="77777777" w:rsidTr="000D3BCB">
        <w:trPr>
          <w:jc w:val="center"/>
        </w:trPr>
        <w:tc>
          <w:tcPr>
            <w:tcW w:w="2989" w:type="dxa"/>
            <w:tcBorders>
              <w:top w:val="single" w:sz="12" w:space="0" w:color="auto"/>
            </w:tcBorders>
          </w:tcPr>
          <w:p w14:paraId="40E272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2365" w:type="dxa"/>
            <w:tcBorders>
              <w:top w:val="single" w:sz="12" w:space="0" w:color="auto"/>
            </w:tcBorders>
          </w:tcPr>
          <w:p w14:paraId="4A4BFD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10.XII.41 г.</w:t>
            </w:r>
          </w:p>
        </w:tc>
        <w:tc>
          <w:tcPr>
            <w:tcW w:w="4235" w:type="dxa"/>
            <w:tcBorders>
              <w:top w:val="single" w:sz="12" w:space="0" w:color="auto"/>
            </w:tcBorders>
          </w:tcPr>
          <w:p w14:paraId="604F1C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10.XII.41 г. до 1.I.42 г.</w:t>
            </w:r>
          </w:p>
        </w:tc>
      </w:tr>
      <w:tr w:rsidR="00643896" w:rsidRPr="00640820" w14:paraId="13A48312" w14:textId="77777777" w:rsidTr="000D3BCB">
        <w:trPr>
          <w:jc w:val="center"/>
        </w:trPr>
        <w:tc>
          <w:tcPr>
            <w:tcW w:w="2989" w:type="dxa"/>
          </w:tcPr>
          <w:p w14:paraId="101C65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Наркомлесу СССР</w:t>
            </w:r>
          </w:p>
        </w:tc>
        <w:tc>
          <w:tcPr>
            <w:tcW w:w="2365" w:type="dxa"/>
          </w:tcPr>
          <w:p w14:paraId="2C649A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540</w:t>
            </w:r>
          </w:p>
        </w:tc>
        <w:tc>
          <w:tcPr>
            <w:tcW w:w="4235" w:type="dxa"/>
          </w:tcPr>
          <w:p w14:paraId="2A9AE7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400</w:t>
            </w:r>
          </w:p>
        </w:tc>
      </w:tr>
      <w:tr w:rsidR="00643896" w:rsidRPr="00640820" w14:paraId="5C33B601" w14:textId="77777777" w:rsidTr="000D3BCB">
        <w:trPr>
          <w:jc w:val="center"/>
        </w:trPr>
        <w:tc>
          <w:tcPr>
            <w:tcW w:w="2989" w:type="dxa"/>
          </w:tcPr>
          <w:p w14:paraId="294500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Наркомрыбпрому СССР</w:t>
            </w:r>
          </w:p>
        </w:tc>
        <w:tc>
          <w:tcPr>
            <w:tcW w:w="2365" w:type="dxa"/>
          </w:tcPr>
          <w:p w14:paraId="572F8E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240</w:t>
            </w:r>
          </w:p>
        </w:tc>
        <w:tc>
          <w:tcPr>
            <w:tcW w:w="4235" w:type="dxa"/>
          </w:tcPr>
          <w:p w14:paraId="566E2F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70</w:t>
            </w:r>
          </w:p>
        </w:tc>
      </w:tr>
      <w:tr w:rsidR="00643896" w:rsidRPr="00640820" w14:paraId="297E3D33" w14:textId="77777777" w:rsidTr="000D3BCB">
        <w:trPr>
          <w:jc w:val="center"/>
        </w:trPr>
        <w:tc>
          <w:tcPr>
            <w:tcW w:w="2989" w:type="dxa"/>
          </w:tcPr>
          <w:p w14:paraId="46DA2D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Наркомсудпрому</w:t>
            </w:r>
          </w:p>
        </w:tc>
        <w:tc>
          <w:tcPr>
            <w:tcW w:w="2365" w:type="dxa"/>
          </w:tcPr>
          <w:p w14:paraId="3B21276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205</w:t>
            </w:r>
          </w:p>
        </w:tc>
        <w:tc>
          <w:tcPr>
            <w:tcW w:w="4235" w:type="dxa"/>
          </w:tcPr>
          <w:p w14:paraId="01F184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w:t>
            </w:r>
          </w:p>
        </w:tc>
      </w:tr>
      <w:tr w:rsidR="00643896" w:rsidRPr="00640820" w14:paraId="387669D4" w14:textId="77777777" w:rsidTr="000D3BCB">
        <w:trPr>
          <w:jc w:val="center"/>
        </w:trPr>
        <w:tc>
          <w:tcPr>
            <w:tcW w:w="2989" w:type="dxa"/>
          </w:tcPr>
          <w:p w14:paraId="6AFE8E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Наркомморфлоту</w:t>
            </w:r>
          </w:p>
        </w:tc>
        <w:tc>
          <w:tcPr>
            <w:tcW w:w="2365" w:type="dxa"/>
          </w:tcPr>
          <w:p w14:paraId="42B314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260</w:t>
            </w:r>
          </w:p>
        </w:tc>
        <w:tc>
          <w:tcPr>
            <w:tcW w:w="4235" w:type="dxa"/>
          </w:tcPr>
          <w:p w14:paraId="6B2654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1A26543A" w14:textId="77777777" w:rsidTr="000D3BCB">
        <w:trPr>
          <w:jc w:val="center"/>
        </w:trPr>
        <w:tc>
          <w:tcPr>
            <w:tcW w:w="2989" w:type="dxa"/>
            <w:tcBorders>
              <w:bottom w:val="single" w:sz="12" w:space="0" w:color="auto"/>
            </w:tcBorders>
          </w:tcPr>
          <w:p w14:paraId="31C6BC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Наркомречфлоту</w:t>
            </w:r>
          </w:p>
        </w:tc>
        <w:tc>
          <w:tcPr>
            <w:tcW w:w="2365" w:type="dxa"/>
            <w:tcBorders>
              <w:bottom w:val="single" w:sz="12" w:space="0" w:color="auto"/>
            </w:tcBorders>
          </w:tcPr>
          <w:p w14:paraId="304C06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635</w:t>
            </w:r>
          </w:p>
        </w:tc>
        <w:tc>
          <w:tcPr>
            <w:tcW w:w="4235" w:type="dxa"/>
            <w:tcBorders>
              <w:bottom w:val="single" w:sz="12" w:space="0" w:color="auto"/>
            </w:tcBorders>
          </w:tcPr>
          <w:p w14:paraId="6F93F4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400</w:t>
            </w:r>
          </w:p>
        </w:tc>
      </w:tr>
    </w:tbl>
    <w:p w14:paraId="4B79EB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изготовить в течение декабря 1941 года на Горьковском автомобильном заводе им. Молотова 5000 шестерен для стартеров к аэросаням, в том числе:</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810"/>
        <w:gridCol w:w="4841"/>
        <w:gridCol w:w="1063"/>
        <w:gridCol w:w="1063"/>
      </w:tblGrid>
      <w:tr w:rsidR="00643896" w:rsidRPr="00640820" w14:paraId="2F2182DF" w14:textId="77777777" w:rsidTr="000D3BCB">
        <w:trPr>
          <w:jc w:val="center"/>
        </w:trPr>
        <w:tc>
          <w:tcPr>
            <w:tcW w:w="810" w:type="dxa"/>
            <w:tcBorders>
              <w:top w:val="single" w:sz="12" w:space="0" w:color="auto"/>
            </w:tcBorders>
          </w:tcPr>
          <w:p w14:paraId="1F4E0F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w:t>
            </w:r>
          </w:p>
        </w:tc>
        <w:tc>
          <w:tcPr>
            <w:tcW w:w="4841" w:type="dxa"/>
            <w:tcBorders>
              <w:top w:val="single" w:sz="12" w:space="0" w:color="auto"/>
            </w:tcBorders>
          </w:tcPr>
          <w:p w14:paraId="10B00A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Наркомлеса СССР</w:t>
            </w:r>
          </w:p>
        </w:tc>
        <w:tc>
          <w:tcPr>
            <w:tcW w:w="1063" w:type="dxa"/>
            <w:tcBorders>
              <w:top w:val="single" w:sz="12" w:space="0" w:color="auto"/>
            </w:tcBorders>
          </w:tcPr>
          <w:p w14:paraId="4C8CAE7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1600</w:t>
            </w:r>
          </w:p>
        </w:tc>
        <w:tc>
          <w:tcPr>
            <w:tcW w:w="1063" w:type="dxa"/>
            <w:tcBorders>
              <w:top w:val="single" w:sz="12" w:space="0" w:color="auto"/>
            </w:tcBorders>
          </w:tcPr>
          <w:p w14:paraId="4C0D23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штук</w:t>
            </w:r>
          </w:p>
        </w:tc>
      </w:tr>
      <w:tr w:rsidR="00643896" w:rsidRPr="00640820" w14:paraId="50867881" w14:textId="77777777" w:rsidTr="000D3BCB">
        <w:trPr>
          <w:jc w:val="center"/>
        </w:trPr>
        <w:tc>
          <w:tcPr>
            <w:tcW w:w="810" w:type="dxa"/>
          </w:tcPr>
          <w:p w14:paraId="33A684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4841" w:type="dxa"/>
          </w:tcPr>
          <w:p w14:paraId="162679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Наркомрыбпрома СССР</w:t>
            </w:r>
          </w:p>
        </w:tc>
        <w:tc>
          <w:tcPr>
            <w:tcW w:w="1063" w:type="dxa"/>
          </w:tcPr>
          <w:p w14:paraId="5D1C0C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1100</w:t>
            </w:r>
          </w:p>
        </w:tc>
        <w:tc>
          <w:tcPr>
            <w:tcW w:w="1063" w:type="dxa"/>
          </w:tcPr>
          <w:p w14:paraId="1813F4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30B39E67" w14:textId="77777777" w:rsidTr="000D3BCB">
        <w:trPr>
          <w:jc w:val="center"/>
        </w:trPr>
        <w:tc>
          <w:tcPr>
            <w:tcW w:w="810" w:type="dxa"/>
          </w:tcPr>
          <w:p w14:paraId="51C9C8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4841" w:type="dxa"/>
          </w:tcPr>
          <w:p w14:paraId="451516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Наркомсудпрома</w:t>
            </w:r>
          </w:p>
        </w:tc>
        <w:tc>
          <w:tcPr>
            <w:tcW w:w="1063" w:type="dxa"/>
          </w:tcPr>
          <w:p w14:paraId="550723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w:t>
            </w:r>
          </w:p>
        </w:tc>
        <w:tc>
          <w:tcPr>
            <w:tcW w:w="1063" w:type="dxa"/>
          </w:tcPr>
          <w:p w14:paraId="0DF951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5DEFD454" w14:textId="77777777" w:rsidTr="000D3BCB">
        <w:trPr>
          <w:jc w:val="center"/>
        </w:trPr>
        <w:tc>
          <w:tcPr>
            <w:tcW w:w="810" w:type="dxa"/>
          </w:tcPr>
          <w:p w14:paraId="75D096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4841" w:type="dxa"/>
          </w:tcPr>
          <w:p w14:paraId="5E3173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Наркомморфлота</w:t>
            </w:r>
          </w:p>
        </w:tc>
        <w:tc>
          <w:tcPr>
            <w:tcW w:w="1063" w:type="dxa"/>
          </w:tcPr>
          <w:p w14:paraId="2A1835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1000</w:t>
            </w:r>
          </w:p>
        </w:tc>
        <w:tc>
          <w:tcPr>
            <w:tcW w:w="1063" w:type="dxa"/>
          </w:tcPr>
          <w:p w14:paraId="7DD135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738B4D54" w14:textId="77777777" w:rsidTr="000D3BCB">
        <w:trPr>
          <w:jc w:val="center"/>
        </w:trPr>
        <w:tc>
          <w:tcPr>
            <w:tcW w:w="810" w:type="dxa"/>
            <w:tcBorders>
              <w:bottom w:val="single" w:sz="12" w:space="0" w:color="auto"/>
            </w:tcBorders>
          </w:tcPr>
          <w:p w14:paraId="54B194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4841" w:type="dxa"/>
            <w:tcBorders>
              <w:bottom w:val="single" w:sz="12" w:space="0" w:color="auto"/>
            </w:tcBorders>
          </w:tcPr>
          <w:p w14:paraId="3B9221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Наркомречфлота</w:t>
            </w:r>
          </w:p>
        </w:tc>
        <w:tc>
          <w:tcPr>
            <w:tcW w:w="1063" w:type="dxa"/>
            <w:tcBorders>
              <w:bottom w:val="single" w:sz="12" w:space="0" w:color="auto"/>
            </w:tcBorders>
          </w:tcPr>
          <w:p w14:paraId="70214CB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1000</w:t>
            </w:r>
          </w:p>
        </w:tc>
        <w:tc>
          <w:tcPr>
            <w:tcW w:w="1063" w:type="dxa"/>
            <w:tcBorders>
              <w:bottom w:val="single" w:sz="12" w:space="0" w:color="auto"/>
            </w:tcBorders>
          </w:tcPr>
          <w:p w14:paraId="488A0F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bl>
    <w:p w14:paraId="422297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закончить поставку необходимого количества автомобильной фурнитуры для производства аэросаней не позднее 20 декабря 1941 г.</w:t>
      </w:r>
    </w:p>
    <w:p w14:paraId="440CEA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Обязать Наркомтанкопром (т. Малышева) изготовить на Сталинградском тракторном заводе 2170 комплектов пружин для амортизаторов к аэросаням и поставить их в следующие сроки предприятиям, производящим аэросани:</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4" w:type="dxa"/>
          <w:right w:w="24" w:type="dxa"/>
        </w:tblCellMar>
        <w:tblLook w:val="0000" w:firstRow="0" w:lastRow="0" w:firstColumn="0" w:lastColumn="0" w:noHBand="0" w:noVBand="0"/>
      </w:tblPr>
      <w:tblGrid>
        <w:gridCol w:w="5882"/>
        <w:gridCol w:w="1349"/>
        <w:gridCol w:w="2356"/>
      </w:tblGrid>
      <w:tr w:rsidR="00643896" w:rsidRPr="00640820" w14:paraId="6CC3B0D2" w14:textId="77777777" w:rsidTr="000D3BCB">
        <w:trPr>
          <w:jc w:val="center"/>
        </w:trPr>
        <w:tc>
          <w:tcPr>
            <w:tcW w:w="5882" w:type="dxa"/>
            <w:tcBorders>
              <w:top w:val="single" w:sz="12" w:space="0" w:color="auto"/>
            </w:tcBorders>
          </w:tcPr>
          <w:p w14:paraId="3E9AEF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349" w:type="dxa"/>
            <w:tcBorders>
              <w:top w:val="single" w:sz="12" w:space="0" w:color="auto"/>
            </w:tcBorders>
          </w:tcPr>
          <w:p w14:paraId="58D9A2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10.XII.41 г.</w:t>
            </w:r>
          </w:p>
        </w:tc>
        <w:tc>
          <w:tcPr>
            <w:tcW w:w="2356" w:type="dxa"/>
            <w:tcBorders>
              <w:top w:val="single" w:sz="12" w:space="0" w:color="auto"/>
            </w:tcBorders>
          </w:tcPr>
          <w:p w14:paraId="302A95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10.XII.41 г. до 1.I.42 г.</w:t>
            </w:r>
          </w:p>
        </w:tc>
      </w:tr>
      <w:tr w:rsidR="00643896" w:rsidRPr="00640820" w14:paraId="588273F6" w14:textId="77777777" w:rsidTr="000D3BCB">
        <w:trPr>
          <w:jc w:val="center"/>
        </w:trPr>
        <w:tc>
          <w:tcPr>
            <w:tcW w:w="5882" w:type="dxa"/>
          </w:tcPr>
          <w:p w14:paraId="2A6366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 Ермака Наркомлеса СССР (г. Сталинград)</w:t>
            </w:r>
          </w:p>
        </w:tc>
        <w:tc>
          <w:tcPr>
            <w:tcW w:w="1349" w:type="dxa"/>
          </w:tcPr>
          <w:p w14:paraId="42591F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125</w:t>
            </w:r>
          </w:p>
        </w:tc>
        <w:tc>
          <w:tcPr>
            <w:tcW w:w="2356" w:type="dxa"/>
          </w:tcPr>
          <w:p w14:paraId="70145EB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w:t>
            </w:r>
          </w:p>
        </w:tc>
      </w:tr>
      <w:tr w:rsidR="00643896" w:rsidRPr="00640820" w14:paraId="6705DB8E" w14:textId="77777777" w:rsidTr="000D3BCB">
        <w:trPr>
          <w:jc w:val="center"/>
        </w:trPr>
        <w:tc>
          <w:tcPr>
            <w:tcW w:w="5882" w:type="dxa"/>
          </w:tcPr>
          <w:p w14:paraId="1FA78A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Бекетовский завод Наркомлеса СССР (г. Сталинград)</w:t>
            </w:r>
          </w:p>
        </w:tc>
        <w:tc>
          <w:tcPr>
            <w:tcW w:w="1349" w:type="dxa"/>
          </w:tcPr>
          <w:p w14:paraId="797333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w:t>
            </w:r>
          </w:p>
        </w:tc>
        <w:tc>
          <w:tcPr>
            <w:tcW w:w="2356" w:type="dxa"/>
          </w:tcPr>
          <w:p w14:paraId="539DC7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85</w:t>
            </w:r>
          </w:p>
        </w:tc>
      </w:tr>
      <w:tr w:rsidR="00643896" w:rsidRPr="00640820" w14:paraId="40AC27AA" w14:textId="77777777" w:rsidTr="000D3BCB">
        <w:trPr>
          <w:jc w:val="center"/>
        </w:trPr>
        <w:tc>
          <w:tcPr>
            <w:tcW w:w="5882" w:type="dxa"/>
          </w:tcPr>
          <w:p w14:paraId="66C4D4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 Куйбышева Наркомлеса СССР (г. Сталинград)</w:t>
            </w:r>
          </w:p>
        </w:tc>
        <w:tc>
          <w:tcPr>
            <w:tcW w:w="1349" w:type="dxa"/>
          </w:tcPr>
          <w:p w14:paraId="281D78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w:t>
            </w:r>
          </w:p>
        </w:tc>
        <w:tc>
          <w:tcPr>
            <w:tcW w:w="2356" w:type="dxa"/>
          </w:tcPr>
          <w:p w14:paraId="0DB054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80</w:t>
            </w:r>
          </w:p>
        </w:tc>
      </w:tr>
      <w:tr w:rsidR="00643896" w:rsidRPr="00640820" w14:paraId="44978B35" w14:textId="77777777" w:rsidTr="000D3BCB">
        <w:trPr>
          <w:jc w:val="center"/>
        </w:trPr>
        <w:tc>
          <w:tcPr>
            <w:tcW w:w="5882" w:type="dxa"/>
          </w:tcPr>
          <w:p w14:paraId="277A89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Астраханская судоверфь Наркомрыбпрома СССР</w:t>
            </w:r>
          </w:p>
        </w:tc>
        <w:tc>
          <w:tcPr>
            <w:tcW w:w="1349" w:type="dxa"/>
          </w:tcPr>
          <w:p w14:paraId="230991B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410</w:t>
            </w:r>
          </w:p>
        </w:tc>
        <w:tc>
          <w:tcPr>
            <w:tcW w:w="2356" w:type="dxa"/>
          </w:tcPr>
          <w:p w14:paraId="41285D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400</w:t>
            </w:r>
          </w:p>
        </w:tc>
      </w:tr>
      <w:tr w:rsidR="00643896" w:rsidRPr="00640820" w14:paraId="77CCC658" w14:textId="77777777" w:rsidTr="000D3BCB">
        <w:trPr>
          <w:jc w:val="center"/>
        </w:trPr>
        <w:tc>
          <w:tcPr>
            <w:tcW w:w="5882" w:type="dxa"/>
          </w:tcPr>
          <w:p w14:paraId="04C441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 X-летия Октябрьской Революции Наркомморфлота (г. Астрахань)</w:t>
            </w:r>
          </w:p>
        </w:tc>
        <w:tc>
          <w:tcPr>
            <w:tcW w:w="1349" w:type="dxa"/>
          </w:tcPr>
          <w:p w14:paraId="780AFB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85</w:t>
            </w:r>
          </w:p>
        </w:tc>
        <w:tc>
          <w:tcPr>
            <w:tcW w:w="2356" w:type="dxa"/>
          </w:tcPr>
          <w:p w14:paraId="58600C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70</w:t>
            </w:r>
          </w:p>
        </w:tc>
      </w:tr>
      <w:tr w:rsidR="00643896" w:rsidRPr="00640820" w14:paraId="434A7527" w14:textId="77777777" w:rsidTr="000D3BCB">
        <w:trPr>
          <w:jc w:val="center"/>
        </w:trPr>
        <w:tc>
          <w:tcPr>
            <w:tcW w:w="5882" w:type="dxa"/>
          </w:tcPr>
          <w:p w14:paraId="05E206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 Закавказской федерации Наркомморфлота (г. Баку)</w:t>
            </w:r>
          </w:p>
        </w:tc>
        <w:tc>
          <w:tcPr>
            <w:tcW w:w="1349" w:type="dxa"/>
          </w:tcPr>
          <w:p w14:paraId="4B11995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w:t>
            </w:r>
          </w:p>
        </w:tc>
        <w:tc>
          <w:tcPr>
            <w:tcW w:w="2356" w:type="dxa"/>
          </w:tcPr>
          <w:p w14:paraId="7D33B2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160</w:t>
            </w:r>
          </w:p>
        </w:tc>
      </w:tr>
      <w:tr w:rsidR="00643896" w:rsidRPr="00640820" w14:paraId="199A3737" w14:textId="77777777" w:rsidTr="000D3BCB">
        <w:trPr>
          <w:jc w:val="center"/>
        </w:trPr>
        <w:tc>
          <w:tcPr>
            <w:tcW w:w="5882" w:type="dxa"/>
            <w:tcBorders>
              <w:bottom w:val="single" w:sz="12" w:space="0" w:color="auto"/>
            </w:tcBorders>
          </w:tcPr>
          <w:p w14:paraId="1A7D37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 Парижской Коммуны Наркомморфлота (г. Баку)</w:t>
            </w:r>
          </w:p>
        </w:tc>
        <w:tc>
          <w:tcPr>
            <w:tcW w:w="1349" w:type="dxa"/>
            <w:tcBorders>
              <w:bottom w:val="single" w:sz="12" w:space="0" w:color="auto"/>
            </w:tcBorders>
          </w:tcPr>
          <w:p w14:paraId="50CCDD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135</w:t>
            </w:r>
          </w:p>
        </w:tc>
        <w:tc>
          <w:tcPr>
            <w:tcW w:w="2356" w:type="dxa"/>
            <w:tcBorders>
              <w:bottom w:val="single" w:sz="12" w:space="0" w:color="auto"/>
            </w:tcBorders>
          </w:tcPr>
          <w:p w14:paraId="5E55B8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120</w:t>
            </w:r>
          </w:p>
        </w:tc>
      </w:tr>
    </w:tbl>
    <w:p w14:paraId="4C44EA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Обязать Наркомавиапром (т. Шахурина) отгрузить в декабре 1941 г. для производства аэросаней 3000 деревянных толкающих винтов к мотору М-11, в том числе 600 винтов с Ленинградского завода № 162 и 2400 винтов с заводов №№ 383, 449 и 168 с поставкой указанного количества винтов в следующие сроки:</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4" w:type="dxa"/>
          <w:right w:w="24" w:type="dxa"/>
        </w:tblCellMar>
        <w:tblLook w:val="0000" w:firstRow="0" w:lastRow="0" w:firstColumn="0" w:lastColumn="0" w:noHBand="0" w:noVBand="0"/>
      </w:tblPr>
      <w:tblGrid>
        <w:gridCol w:w="2850"/>
        <w:gridCol w:w="2258"/>
        <w:gridCol w:w="4480"/>
      </w:tblGrid>
      <w:tr w:rsidR="00643896" w:rsidRPr="00640820" w14:paraId="1A033026" w14:textId="77777777" w:rsidTr="000D3BCB">
        <w:trPr>
          <w:jc w:val="center"/>
        </w:trPr>
        <w:tc>
          <w:tcPr>
            <w:tcW w:w="2850" w:type="dxa"/>
            <w:tcBorders>
              <w:top w:val="single" w:sz="12" w:space="0" w:color="auto"/>
            </w:tcBorders>
          </w:tcPr>
          <w:p w14:paraId="0AD9DA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2258" w:type="dxa"/>
            <w:tcBorders>
              <w:top w:val="single" w:sz="12" w:space="0" w:color="auto"/>
            </w:tcBorders>
          </w:tcPr>
          <w:p w14:paraId="628F2D0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10.XII.41 г.</w:t>
            </w:r>
          </w:p>
        </w:tc>
        <w:tc>
          <w:tcPr>
            <w:tcW w:w="4480" w:type="dxa"/>
            <w:tcBorders>
              <w:top w:val="single" w:sz="12" w:space="0" w:color="auto"/>
            </w:tcBorders>
          </w:tcPr>
          <w:p w14:paraId="29BEDB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10.XII.41 г. до 20.XII.41 г.</w:t>
            </w:r>
          </w:p>
        </w:tc>
      </w:tr>
      <w:tr w:rsidR="00643896" w:rsidRPr="00640820" w14:paraId="11B04413" w14:textId="77777777" w:rsidTr="000D3BCB">
        <w:trPr>
          <w:jc w:val="center"/>
        </w:trPr>
        <w:tc>
          <w:tcPr>
            <w:tcW w:w="2850" w:type="dxa"/>
          </w:tcPr>
          <w:p w14:paraId="075AF2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Наркомлесу СССР</w:t>
            </w:r>
          </w:p>
        </w:tc>
        <w:tc>
          <w:tcPr>
            <w:tcW w:w="2258" w:type="dxa"/>
          </w:tcPr>
          <w:p w14:paraId="4707AB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400</w:t>
            </w:r>
          </w:p>
        </w:tc>
        <w:tc>
          <w:tcPr>
            <w:tcW w:w="4480" w:type="dxa"/>
          </w:tcPr>
          <w:p w14:paraId="0C396A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400</w:t>
            </w:r>
          </w:p>
        </w:tc>
      </w:tr>
      <w:tr w:rsidR="00643896" w:rsidRPr="00640820" w14:paraId="0AC7F3B6" w14:textId="77777777" w:rsidTr="000D3BCB">
        <w:trPr>
          <w:jc w:val="center"/>
        </w:trPr>
        <w:tc>
          <w:tcPr>
            <w:tcW w:w="2850" w:type="dxa"/>
          </w:tcPr>
          <w:p w14:paraId="32304B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Наркомрыбпрому СССР</w:t>
            </w:r>
          </w:p>
        </w:tc>
        <w:tc>
          <w:tcPr>
            <w:tcW w:w="2258" w:type="dxa"/>
          </w:tcPr>
          <w:p w14:paraId="01CEE7A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w:t>
            </w:r>
          </w:p>
        </w:tc>
        <w:tc>
          <w:tcPr>
            <w:tcW w:w="4480" w:type="dxa"/>
          </w:tcPr>
          <w:p w14:paraId="799957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w:t>
            </w:r>
          </w:p>
        </w:tc>
      </w:tr>
      <w:tr w:rsidR="00643896" w:rsidRPr="00640820" w14:paraId="39E73828" w14:textId="77777777" w:rsidTr="000D3BCB">
        <w:trPr>
          <w:jc w:val="center"/>
        </w:trPr>
        <w:tc>
          <w:tcPr>
            <w:tcW w:w="2850" w:type="dxa"/>
          </w:tcPr>
          <w:p w14:paraId="33DD55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Наркомсудпрому</w:t>
            </w:r>
          </w:p>
        </w:tc>
        <w:tc>
          <w:tcPr>
            <w:tcW w:w="2258" w:type="dxa"/>
          </w:tcPr>
          <w:p w14:paraId="4D3434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150</w:t>
            </w:r>
          </w:p>
        </w:tc>
        <w:tc>
          <w:tcPr>
            <w:tcW w:w="4480" w:type="dxa"/>
          </w:tcPr>
          <w:p w14:paraId="66C1F5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150</w:t>
            </w:r>
          </w:p>
        </w:tc>
      </w:tr>
      <w:tr w:rsidR="00643896" w:rsidRPr="00640820" w14:paraId="4B6EF7C7" w14:textId="77777777" w:rsidTr="000D3BCB">
        <w:trPr>
          <w:jc w:val="center"/>
        </w:trPr>
        <w:tc>
          <w:tcPr>
            <w:tcW w:w="2850" w:type="dxa"/>
          </w:tcPr>
          <w:p w14:paraId="76621F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Наркомморфлоту</w:t>
            </w:r>
          </w:p>
        </w:tc>
        <w:tc>
          <w:tcPr>
            <w:tcW w:w="2258" w:type="dxa"/>
          </w:tcPr>
          <w:p w14:paraId="2D629B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w:t>
            </w:r>
          </w:p>
        </w:tc>
        <w:tc>
          <w:tcPr>
            <w:tcW w:w="4480" w:type="dxa"/>
          </w:tcPr>
          <w:p w14:paraId="3AE703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w:t>
            </w:r>
          </w:p>
        </w:tc>
      </w:tr>
      <w:tr w:rsidR="00643896" w:rsidRPr="00640820" w14:paraId="2680AD3D" w14:textId="77777777" w:rsidTr="000D3BCB">
        <w:trPr>
          <w:jc w:val="center"/>
        </w:trPr>
        <w:tc>
          <w:tcPr>
            <w:tcW w:w="2850" w:type="dxa"/>
            <w:tcBorders>
              <w:bottom w:val="single" w:sz="12" w:space="0" w:color="auto"/>
            </w:tcBorders>
          </w:tcPr>
          <w:p w14:paraId="7B2466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Наркомречфлоту</w:t>
            </w:r>
          </w:p>
        </w:tc>
        <w:tc>
          <w:tcPr>
            <w:tcW w:w="2258" w:type="dxa"/>
            <w:tcBorders>
              <w:bottom w:val="single" w:sz="12" w:space="0" w:color="auto"/>
            </w:tcBorders>
          </w:tcPr>
          <w:p w14:paraId="3E7896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350</w:t>
            </w:r>
          </w:p>
        </w:tc>
        <w:tc>
          <w:tcPr>
            <w:tcW w:w="4480" w:type="dxa"/>
            <w:tcBorders>
              <w:bottom w:val="single" w:sz="12" w:space="0" w:color="auto"/>
            </w:tcBorders>
          </w:tcPr>
          <w:p w14:paraId="332B7D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350</w:t>
            </w:r>
          </w:p>
        </w:tc>
      </w:tr>
    </w:tbl>
    <w:p w14:paraId="3182C5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9. Обязать Главное Управление Гражданского Воздушного Флота (т. Молокова) обеспечить вывоз самолетами указанных в п. 8 настоящего постановления 600 винтов с Ленинградского завода № 162 не позднее 10 декабря 1941 г. </w:t>
      </w:r>
    </w:p>
    <w:p w14:paraId="00E9CA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10. Обязать Наркомтанкопром (т. Носенко) поставить не позднее 10 декабря 1941 года для изготовления боевых аэросаней 1000 комплектов бронедеталей, в том числе Наркомморфлоту 500 комплектов и Наркомречфлоту 500 комплектов. </w:t>
      </w:r>
    </w:p>
    <w:p w14:paraId="240739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11. Обязать Заместителя Председателя Совнаркома РСФСР (т. Пекшева), Народного Комиссара Местной Промышленности РСФСР (т. Смиряева) и Начальника Управления промкооперации при Совнаркоме РСФСР (т. Кравчука) под их личную ответственность обеспечить поставку для производства аэросаней арматуры, крепежных изделий, металлических узлов и деталей, подлежащих изготовлению на предприятиях местной промышленности и промкооперации, не позднее 1 января 1942 г. </w:t>
      </w:r>
    </w:p>
    <w:p w14:paraId="44235F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12. Обязать НКЛес СССР тов. Салтыкова и ГАБТУ тов. Бирюкова в двухдневный срок внести поправки в действующие технические условия на аэросани в сторону их упрощения, в частности: </w:t>
      </w:r>
    </w:p>
    <w:p w14:paraId="1C2562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а) выбросить из употребления для саней нитрошпаклевку и авиалак; </w:t>
      </w:r>
    </w:p>
    <w:p w14:paraId="613A1F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б) рамы делать не из авиационных труб, а сварных, или даже из углового железа, следя лишь за весовыми данными; </w:t>
      </w:r>
    </w:p>
    <w:p w14:paraId="0DDF51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ограждение пропеллера делать не из железа, а из дерева; </w:t>
      </w:r>
    </w:p>
    <w:p w14:paraId="4B54C0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 баки не ожидать готовые, а разрешить делать на месте из железа, даже неоцинкованного; </w:t>
      </w:r>
    </w:p>
    <w:p w14:paraId="0D5CD1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 кузов делать не только из авиационной фанеры, но из всякой другой; </w:t>
      </w:r>
    </w:p>
    <w:p w14:paraId="3CD1242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е) упростить турель; </w:t>
      </w:r>
    </w:p>
    <w:p w14:paraId="3E64DB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ж) разрешить выпуск без стартера, оставив для него место и крепление. </w:t>
      </w:r>
    </w:p>
    <w:p w14:paraId="3E48E7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13. Обязать НКПС (т. Арутюнова) обеспечить перевозку материалов и комплектующего оборудования для производства аэросаней, установив диспетчерское наблюдение за доставкой в срок тонкостенных электросварных труб, пружин для амортизаторов, автомобильной фурнитуры и электрооборудования, деревянных толкающих винтов, комплектов бронедеталей, крепежных изделий, арматуры, металлических узлов и лакокрасочных материалов. </w:t>
      </w:r>
    </w:p>
    <w:p w14:paraId="0DD89EF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14. Обязать Главное Управление Гражданского Воздушного Флота (т. Молокова) перевозить самолетами по заявкам Наркомлеса СССР, Наркомрыбпрома СССР, Наркомсудпрома, Наркомморфлота и Наркомречфлота следующие изделия, необходимые для изготовления аэросаней: пружины для амортизаторов, деревянные толкающие винты к мотору М-11, электрооборудование и измерительную аппаратуру. </w:t>
      </w:r>
    </w:p>
    <w:p w14:paraId="4A56E40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15. Выделить на премирование рабочих и инженерно-технических работников, занятых на изготовлении аэросаней, 550 тысяч рублей за счет резервного фонда Совнаркома СССР, в том числе: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286"/>
        <w:gridCol w:w="295"/>
        <w:gridCol w:w="715"/>
        <w:gridCol w:w="1135"/>
        <w:gridCol w:w="1344"/>
      </w:tblGrid>
      <w:tr w:rsidR="00643896" w:rsidRPr="00640820" w14:paraId="06313902" w14:textId="77777777" w:rsidTr="000D3BCB">
        <w:trPr>
          <w:jc w:val="center"/>
        </w:trPr>
        <w:tc>
          <w:tcPr>
            <w:tcW w:w="4286" w:type="dxa"/>
            <w:tcBorders>
              <w:top w:val="single" w:sz="12" w:space="0" w:color="auto"/>
            </w:tcBorders>
          </w:tcPr>
          <w:p w14:paraId="02770E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Наркомлесу СССР</w:t>
            </w:r>
          </w:p>
        </w:tc>
        <w:tc>
          <w:tcPr>
            <w:tcW w:w="295" w:type="dxa"/>
            <w:tcBorders>
              <w:top w:val="single" w:sz="12" w:space="0" w:color="auto"/>
            </w:tcBorders>
          </w:tcPr>
          <w:p w14:paraId="2C7801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15" w:type="dxa"/>
            <w:tcBorders>
              <w:top w:val="single" w:sz="12" w:space="0" w:color="auto"/>
            </w:tcBorders>
          </w:tcPr>
          <w:p w14:paraId="12EE2A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150</w:t>
            </w:r>
          </w:p>
        </w:tc>
        <w:tc>
          <w:tcPr>
            <w:tcW w:w="1135" w:type="dxa"/>
            <w:tcBorders>
              <w:top w:val="single" w:sz="12" w:space="0" w:color="auto"/>
            </w:tcBorders>
          </w:tcPr>
          <w:p w14:paraId="55F1AA6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тысяч</w:t>
            </w:r>
          </w:p>
        </w:tc>
        <w:tc>
          <w:tcPr>
            <w:tcW w:w="1344" w:type="dxa"/>
            <w:tcBorders>
              <w:top w:val="single" w:sz="12" w:space="0" w:color="auto"/>
            </w:tcBorders>
          </w:tcPr>
          <w:p w14:paraId="3323F9C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рублей</w:t>
            </w:r>
          </w:p>
        </w:tc>
      </w:tr>
      <w:tr w:rsidR="00643896" w:rsidRPr="00640820" w14:paraId="5730860F" w14:textId="77777777" w:rsidTr="000D3BCB">
        <w:trPr>
          <w:jc w:val="center"/>
        </w:trPr>
        <w:tc>
          <w:tcPr>
            <w:tcW w:w="4286" w:type="dxa"/>
          </w:tcPr>
          <w:p w14:paraId="2964B7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Наркомрыбпрому СССР </w:t>
            </w:r>
          </w:p>
        </w:tc>
        <w:tc>
          <w:tcPr>
            <w:tcW w:w="295" w:type="dxa"/>
          </w:tcPr>
          <w:p w14:paraId="17E739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15" w:type="dxa"/>
          </w:tcPr>
          <w:p w14:paraId="1C8DDD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w:t>
            </w:r>
          </w:p>
        </w:tc>
        <w:tc>
          <w:tcPr>
            <w:tcW w:w="1135" w:type="dxa"/>
          </w:tcPr>
          <w:p w14:paraId="0967BC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344" w:type="dxa"/>
          </w:tcPr>
          <w:p w14:paraId="6BAFED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1525A88B" w14:textId="77777777" w:rsidTr="000D3BCB">
        <w:trPr>
          <w:jc w:val="center"/>
        </w:trPr>
        <w:tc>
          <w:tcPr>
            <w:tcW w:w="4286" w:type="dxa"/>
          </w:tcPr>
          <w:p w14:paraId="7B93BF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Наркомсудпрому</w:t>
            </w:r>
          </w:p>
        </w:tc>
        <w:tc>
          <w:tcPr>
            <w:tcW w:w="295" w:type="dxa"/>
          </w:tcPr>
          <w:p w14:paraId="6E2641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15" w:type="dxa"/>
          </w:tcPr>
          <w:p w14:paraId="4C98A3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w:t>
            </w:r>
          </w:p>
        </w:tc>
        <w:tc>
          <w:tcPr>
            <w:tcW w:w="1135" w:type="dxa"/>
          </w:tcPr>
          <w:p w14:paraId="16C51A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344" w:type="dxa"/>
          </w:tcPr>
          <w:p w14:paraId="22A0FD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4AB4D4AB" w14:textId="77777777" w:rsidTr="000D3BCB">
        <w:trPr>
          <w:jc w:val="center"/>
        </w:trPr>
        <w:tc>
          <w:tcPr>
            <w:tcW w:w="4286" w:type="dxa"/>
          </w:tcPr>
          <w:p w14:paraId="60BF8D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Наркомморфлоту</w:t>
            </w:r>
          </w:p>
        </w:tc>
        <w:tc>
          <w:tcPr>
            <w:tcW w:w="295" w:type="dxa"/>
          </w:tcPr>
          <w:p w14:paraId="2F9E79A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15" w:type="dxa"/>
          </w:tcPr>
          <w:p w14:paraId="6DADF2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w:t>
            </w:r>
          </w:p>
        </w:tc>
        <w:tc>
          <w:tcPr>
            <w:tcW w:w="1135" w:type="dxa"/>
          </w:tcPr>
          <w:p w14:paraId="45319C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344" w:type="dxa"/>
          </w:tcPr>
          <w:p w14:paraId="1B4896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23C15C29" w14:textId="77777777" w:rsidTr="000D3BCB">
        <w:trPr>
          <w:jc w:val="center"/>
        </w:trPr>
        <w:tc>
          <w:tcPr>
            <w:tcW w:w="4286" w:type="dxa"/>
            <w:tcBorders>
              <w:bottom w:val="single" w:sz="12" w:space="0" w:color="auto"/>
            </w:tcBorders>
          </w:tcPr>
          <w:p w14:paraId="164F8C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Наркомречфлоту</w:t>
            </w:r>
          </w:p>
        </w:tc>
        <w:tc>
          <w:tcPr>
            <w:tcW w:w="295" w:type="dxa"/>
            <w:tcBorders>
              <w:bottom w:val="single" w:sz="12" w:space="0" w:color="auto"/>
            </w:tcBorders>
          </w:tcPr>
          <w:p w14:paraId="04BC7F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15" w:type="dxa"/>
            <w:tcBorders>
              <w:bottom w:val="single" w:sz="12" w:space="0" w:color="auto"/>
            </w:tcBorders>
          </w:tcPr>
          <w:p w14:paraId="4E7CD4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150</w:t>
            </w:r>
          </w:p>
        </w:tc>
        <w:tc>
          <w:tcPr>
            <w:tcW w:w="1135" w:type="dxa"/>
            <w:tcBorders>
              <w:bottom w:val="single" w:sz="12" w:space="0" w:color="auto"/>
            </w:tcBorders>
          </w:tcPr>
          <w:p w14:paraId="25EFC7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344" w:type="dxa"/>
            <w:tcBorders>
              <w:bottom w:val="single" w:sz="12" w:space="0" w:color="auto"/>
            </w:tcBorders>
          </w:tcPr>
          <w:p w14:paraId="7AC647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bl>
    <w:p w14:paraId="4BF952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16. Возложить на т. Пономаренко наблюдение за выполнением настоящего постановления. </w:t>
      </w:r>
    </w:p>
    <w:p w14:paraId="36DD29D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ПРЕДСЕДАТЕЛЬ ГОСУДАРСТВЕННОГО КОМИТЕТА ОБОРОНЫ И. СТАЛИН </w:t>
      </w:r>
    </w:p>
    <w:p w14:paraId="5D9C21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Выписки посланы: т.т. Молотову, Вознесенскому, Салтыкову, Ишкову, Дукельскому, Шашкову, Каплун, Пономаренко, Сабурову, Федоренко, Чадаеву - все; </w:t>
      </w:r>
    </w:p>
    <w:p w14:paraId="49CDAF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Наркомам - соответственно (11434).</w:t>
      </w:r>
    </w:p>
    <w:p w14:paraId="72D582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401275E" w14:textId="77777777" w:rsidR="00BB00A7" w:rsidRPr="00640820" w:rsidRDefault="00BB00A7"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4 декабря 1941: «В.срочно.Сов.секретно.</w:t>
      </w:r>
    </w:p>
    <w:p w14:paraId="3B5002B6" w14:textId="77777777" w:rsidR="00BB00A7" w:rsidRPr="00640820" w:rsidRDefault="00BB00A7"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Зам. начальника Главного управления связи КА Военинженеру 1 ранга тов.Малькову.</w:t>
      </w:r>
    </w:p>
    <w:p w14:paraId="0784D77D" w14:textId="77777777" w:rsidR="00BB00A7" w:rsidRPr="00640820" w:rsidRDefault="00BB00A7"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В связи с введением на вооружение самолетов Пе-3 во 2 ДРАП и необходимостью вести работу с аэродромов подскока имеющаяся в Монино одна стационарная радиостанция 11-АК не обеспечивает радиосвязи во время полетов при ведении дальней радиосвязи с основного аэродрома и аэродрома подскока.</w:t>
      </w:r>
    </w:p>
    <w:p w14:paraId="0E4B81F2" w14:textId="77777777" w:rsidR="00BB00A7" w:rsidRPr="00640820" w:rsidRDefault="00BB00A7"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Прошу Вашего распоряжения об отпуске и отправке одной радиостанции РАФ на авто по адресу: Монино – аэродром, командиру 2-го Дальнего разведывательного авиаполка главного командования ВВС КА…</w:t>
      </w:r>
    </w:p>
    <w:p w14:paraId="01C4E8D9" w14:textId="77777777" w:rsidR="00BB00A7" w:rsidRPr="00640820" w:rsidRDefault="00BB00A7"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Зам. начальника Связи ВВС Красной Армии Полковник Васильев».</w:t>
      </w:r>
    </w:p>
    <w:p w14:paraId="7A258EB1" w14:textId="77777777" w:rsidR="00BB00A7" w:rsidRPr="00640820" w:rsidRDefault="00BB00A7"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На документе несколько резолюций, свидетельствующих о поиске незадействованной радиостанции. Последняя из них следующая: «Дана разнарядка на 197-й (горьковский радиозавод) от 3.12…отправить своим ходом. Распоряжение передано по прямому проводу 4.12.41 майором Волосюк. (Подпись.)» (17424).</w:t>
      </w:r>
    </w:p>
    <w:p w14:paraId="0DE00F8C" w14:textId="77777777" w:rsidR="00BB00A7" w:rsidRPr="00640820" w:rsidRDefault="00BB00A7"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p>
    <w:p w14:paraId="67C11FFC"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76F4F43D"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E4AC55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декабря 1941 года вышел Приказ НКБ № 43</w:t>
      </w:r>
    </w:p>
    <w:p w14:paraId="05826EB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основании Постановления ГКО № 959 от 25 ноября 1941 года об организации СКБ при НКБ:</w:t>
      </w:r>
    </w:p>
    <w:p w14:paraId="77DDDB2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Организовать при НКБ СКБ по винтовочным противотанковым гранатам – СКБ-1 (5679, 113).</w:t>
      </w:r>
    </w:p>
    <w:p w14:paraId="152CAF3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49F72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декабря 1941 года вышел Приказ НКБ № 45</w:t>
      </w:r>
    </w:p>
    <w:p w14:paraId="269B021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целях использования мощностей оставшегося после эвакуации НИИ-24 оборудования создать филиал НИИ-24 в Москве (5679, 114).</w:t>
      </w:r>
    </w:p>
    <w:p w14:paraId="23ABCFF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555B79" w14:textId="77777777" w:rsidR="006C36C3" w:rsidRPr="00640820" w:rsidRDefault="006C36C3"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4 декабря 1941 года НКВ очертил круг разработчиков артиллерии для перспективных САУ. Завод №92 им. Сталина отвечал за артиллерийскую часть для опытных образцов «штурмовых орудий поддержки мотомеханизированных частей». Что же касается упомянутого универсального шасси, то разработанные под руководством Гинзбурга тактико-технические требования (ТТТ) были выданы по линии Наркомата танковой промышленности. Курировавший тему Гинзбург на тот момент занимал должность заместителя начальника 2-го отдела Народного комиссариата танковой промышленности (НКТП). Согласно требованиям, в качестве вооружения предполагалось использовать либо Ф-22 УСВ, либо 76-мм танковую пушку ЗИС-5.</w:t>
      </w:r>
    </w:p>
    <w:p w14:paraId="12A2DB4B" w14:textId="77777777" w:rsidR="006C36C3" w:rsidRPr="00640820" w:rsidRDefault="006C36C3"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Между тем, самоходная артиллерия являлась вотчиной другой структуры – Главного артиллерийского управления Красной Армии (ГАУ КА) (17683).</w:t>
      </w:r>
    </w:p>
    <w:p w14:paraId="0CC397C7" w14:textId="77777777" w:rsidR="006C36C3" w:rsidRPr="00640820" w:rsidRDefault="006C36C3" w:rsidP="00640820">
      <w:pPr>
        <w:spacing w:after="0" w:line="240" w:lineRule="auto"/>
        <w:jc w:val="both"/>
        <w:rPr>
          <w:rFonts w:ascii="Times New Roman" w:eastAsia="Times New Roman" w:hAnsi="Times New Roman"/>
          <w:color w:val="000000" w:themeColor="text1"/>
          <w:sz w:val="16"/>
          <w:szCs w:val="16"/>
          <w:lang w:eastAsia="ru-RU"/>
        </w:rPr>
      </w:pPr>
    </w:p>
    <w:p w14:paraId="46A264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декабря 1941 вышло постановление ГКО, которым на Ижевский мотоциклетный завод была возложена почетная задача обеспечения Красной Армии пулеметом "Максим". Инженеры и служащие ИМЗ в небывало короткий срок закончили подготовку производства, освоили сложное производство и через 5 месяцев завод № 524 достигнул проектной мощности.</w:t>
      </w:r>
    </w:p>
    <w:p w14:paraId="5EF131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ЦДНИ УР, ф. 306, оп.1, д.41, л.31, Копия. Машинопись (9681).</w:t>
      </w:r>
    </w:p>
    <w:p w14:paraId="65F2D34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DA00530" w14:textId="77777777" w:rsidR="00A83C20" w:rsidRPr="00640820" w:rsidRDefault="00A83C2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4 декабря 1941 года началось изготовление танкетки ТИС-1, а закончили ее 2 января 1942 года, после чего провели ходовые испытания.</w:t>
      </w:r>
    </w:p>
    <w:p w14:paraId="2EF404AA" w14:textId="77777777" w:rsidR="00A83C20" w:rsidRPr="00640820" w:rsidRDefault="00A83C2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походном положении оператор танкетки двигался в сидячем положении. Приводил ее в движение подержанный мотор от мотоцикла Norton мощностью 9 л.с. Для тестового образца этого было достаточно. В дальнейшем предполагалось поставить более мощный двигатель (порядка 18 л.с.), тот же мотор от ТИЗ АМ-600 вполне подошел бы. Разместили мотор в кормовой части корпуса. В боевом положении мотор размещался между ног оператора. Решение немного спорное, но мы же не будем спрашивать, где размещается мотор на мотоцикле? При отсутствии груза предполагалось возить в танкетке еще пару человек. То есть она превращалась в транспортер. При использовании проектного мотора максимальная скорость оценивалась в 30 км/ч, для поддержки пехоты или лыжников этого вполне хватало. Согласно расчетам, у танкетки было крайне низкое удельное давление на грунт. Она как бы ползла на брюхе, а вместо привычных гусениц использовались грунтозацепы, соединенные в две гусеничные ленты. Что же касается вооружения, то Куфарев предполагал использование любых типов пулеметов, либо противотанковых ружей. По крайней мере, габариты машины вполне позволяли поставить тот же ДТ (22573).</w:t>
      </w:r>
    </w:p>
    <w:p w14:paraId="6263BBE8" w14:textId="77777777" w:rsidR="00A83C20" w:rsidRPr="00640820" w:rsidRDefault="00A83C20" w:rsidP="00640820">
      <w:pPr>
        <w:spacing w:after="0" w:line="240" w:lineRule="auto"/>
        <w:jc w:val="both"/>
        <w:rPr>
          <w:rFonts w:ascii="Times New Roman" w:hAnsi="Times New Roman"/>
          <w:color w:val="0070C0"/>
          <w:sz w:val="16"/>
          <w:szCs w:val="16"/>
        </w:rPr>
      </w:pPr>
    </w:p>
    <w:p w14:paraId="2FA111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декабря 1941г. по пр. НКЭП № В-157а/с «в связи с выполнением заводом заказов по кабельным изделиям только для нужд обороны, требующие секретности в производстве», завод «Электропровод» (Завод № 198 НКЭП, Завод «Электропровод» НКЭП /г. Москва Николоямской туп./) переименован в завод № 198.</w:t>
      </w:r>
      <w:r w:rsidRPr="00640820">
        <w:rPr>
          <w:rFonts w:ascii="Times New Roman" w:hAnsi="Times New Roman"/>
          <w:color w:val="000000" w:themeColor="text1"/>
          <w:sz w:val="16"/>
          <w:szCs w:val="16"/>
          <w:vertAlign w:val="superscript"/>
        </w:rPr>
        <w:t>149</w:t>
      </w:r>
    </w:p>
    <w:p w14:paraId="511CF43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НКЭП от 12.02.1942г. в Подольске на месте эвакуированного завода «Винилпровод» организован филиал московского завода «Электропровод» (с 1947г. - самостоятельный завод № 683).</w:t>
      </w:r>
    </w:p>
    <w:p w14:paraId="5ED2C2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«Электропровод» был в 1975г.</w:t>
      </w:r>
    </w:p>
    <w:p w14:paraId="568B92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(12.1941г.)- Л.И. Бершадский.</w:t>
      </w:r>
    </w:p>
    <w:p w14:paraId="438F54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(12.1941г.)- Г.К. Русецкий.</w:t>
      </w:r>
    </w:p>
    <w:p w14:paraId="6CB7EE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(12.1941г.)- Г.К. Русецкий (11982).</w:t>
      </w:r>
    </w:p>
    <w:p w14:paraId="6749E3AF" w14:textId="77777777" w:rsidR="002568A6" w:rsidRPr="00640820" w:rsidRDefault="002568A6" w:rsidP="00640820">
      <w:pPr>
        <w:autoSpaceDE w:val="0"/>
        <w:autoSpaceDN w:val="0"/>
        <w:adjustRightInd w:val="0"/>
        <w:spacing w:after="0" w:line="240" w:lineRule="auto"/>
        <w:jc w:val="both"/>
        <w:rPr>
          <w:rFonts w:ascii="Times New Roman" w:hAnsi="Times New Roman"/>
          <w:color w:val="000000" w:themeColor="text1"/>
          <w:sz w:val="16"/>
          <w:szCs w:val="16"/>
        </w:rPr>
      </w:pPr>
    </w:p>
    <w:p w14:paraId="18B0AB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декабря 1941 вышло Постановление ГКО № 990 Об увеличении производства 120 мм мины. РГАНИР, Фонд ГКО, д. 16, лл. 5-6, 7-8 (11012).</w:t>
      </w:r>
    </w:p>
    <w:p w14:paraId="4CA01D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5A3D46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декабря 1941 вышло Постановление ГКО № 991 Об увеличении выработки зажигательных смесей КС. РГАНИР, Фонд ГКО, д. 16, лл. 9, 10 (11012).</w:t>
      </w:r>
    </w:p>
    <w:p w14:paraId="691958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C54C2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декабря 1941 вышло Постановление ГКО № 994 О материально-техническом обеспечении программы по танкам на декабрь 1941 г. РГАНИР, Фонд ГКО, д. 16, лл. 30-32, 33-39 (11012).</w:t>
      </w:r>
    </w:p>
    <w:p w14:paraId="2AA7E4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5EFEF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декабря 1941 вышло Постановление ГКО № 992 О программе военного судостроения на 1942 гоРГАНИР, Фонд ГКО, д. РГАНИР, Фонд ГКО, д. 16, лл. 11-14, 15-25 (11012).</w:t>
      </w:r>
    </w:p>
    <w:p w14:paraId="60D4C09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CECA0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декабря 1941 вышло постановление ГКО N 992 о недопустимости свертывания военного судостроения, но смогли делать только малые суда (1566,165).</w:t>
      </w:r>
    </w:p>
    <w:p w14:paraId="7CE719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8D244F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декабря 1941 г. ГКО в постановлении № 992 отметил как недопустимый факт — свертывание военного судостроения и указал, что выполнение установленной программы военного судо</w:t>
      </w:r>
      <w:r w:rsidRPr="00640820">
        <w:rPr>
          <w:rFonts w:ascii="Times New Roman" w:hAnsi="Times New Roman"/>
          <w:color w:val="000000" w:themeColor="text1"/>
          <w:sz w:val="16"/>
          <w:szCs w:val="16"/>
        </w:rPr>
        <w:softHyphen/>
        <w:t>строения следует рассматривать как важнейшее оборонное зада</w:t>
      </w:r>
      <w:r w:rsidRPr="00640820">
        <w:rPr>
          <w:rFonts w:ascii="Times New Roman" w:hAnsi="Times New Roman"/>
          <w:color w:val="000000" w:themeColor="text1"/>
          <w:sz w:val="16"/>
          <w:szCs w:val="16"/>
        </w:rPr>
        <w:softHyphen/>
        <w:t>ние. Однако, данное постановление могло быть выполнено только по отношению к малым боевым кораблям (торпедные ка</w:t>
      </w:r>
      <w:r w:rsidRPr="00640820">
        <w:rPr>
          <w:rFonts w:ascii="Times New Roman" w:hAnsi="Times New Roman"/>
          <w:color w:val="000000" w:themeColor="text1"/>
          <w:sz w:val="16"/>
          <w:szCs w:val="16"/>
        </w:rPr>
        <w:softHyphen/>
        <w:t>тера, тральщики, охотники за подводными лодками), к производ</w:t>
      </w:r>
      <w:r w:rsidRPr="00640820">
        <w:rPr>
          <w:rFonts w:ascii="Times New Roman" w:hAnsi="Times New Roman"/>
          <w:color w:val="000000" w:themeColor="text1"/>
          <w:sz w:val="16"/>
          <w:szCs w:val="16"/>
        </w:rPr>
        <w:softHyphen/>
        <w:t>ству которых по распоряжению правительства дополнительно привлекли предприятия НКРечфлота и НКМорфлота (1566).</w:t>
      </w:r>
    </w:p>
    <w:p w14:paraId="45AD911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A366B6"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4DA821AB"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62076E3"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4 декабря </w:t>
      </w:r>
      <w:r w:rsidRPr="00640820">
        <w:rPr>
          <w:rFonts w:ascii="Times New Roman" w:hAnsi="Times New Roman"/>
          <w:color w:val="000000" w:themeColor="text1"/>
          <w:sz w:val="16"/>
          <w:szCs w:val="16"/>
        </w:rPr>
        <w:t>в 1941 году утреннее сообщение Совинформбюро:</w:t>
      </w:r>
    </w:p>
    <w:p w14:paraId="667DAD2B"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4 декабря наши войска вели бои с противником на всех фронтах.</w:t>
      </w:r>
    </w:p>
    <w:p w14:paraId="7E692821"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Часть тов. Полозкова, действующая на одном из участков Юго-Западного фронта, в боях за деревню И. уничтожила 10 танков и 20 автомашин немцев.</w:t>
      </w:r>
    </w:p>
    <w:p w14:paraId="23356E34"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Бойцы тов. Свиридова, действующие на одном из участков Ленинградского фронта, в бою с противником уничтожили 4 немецких орудия, 2 миномета, 2 пулемёта, разрушили 5 ДЗОТов и истребили свыше 200 немецких солдат и офицеров.</w:t>
      </w:r>
    </w:p>
    <w:p w14:paraId="53D1903D"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Воентехник 2-го ранга Феоктистов вместе с сапёрами Пастичем и Приведенцевым пробрались в расположение противника и взорвали вражескую крупную дерево-земляную огневую точку с орудием и гарнизоном. Другая группа сапёр сняла 80 противотанковых мин, расставленных немцами, и принесла их в расположение своей части.</w:t>
      </w:r>
    </w:p>
    <w:p w14:paraId="29975BB6"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Немецкие оккупанты зверски издеваются над жителями захваченных ими районов. В деревне Скачково, Смоленской области, немцы забрали у крестьян весь скот, хлеб, одежду. Женщин, пытавшихся протестовать против грабежа и произвола, фашисты расстреляли вместе с детьми. Колхозники тт. Васенков, Шляхтенко и Величанский, пришедшие из оккупированных районов в расположение наших частей, рассказывают: «На станции Присельская немцы устроили концентрационный лагерь для крестьян. Фашисты согнали туда стариков, подростков и даже 12-летних детей. Всех заключённых заставляют работать по 14 и больше часов в сутки». Алексей Величанский, который вместе с 360 колхозниками пробыл в этом лагере 12 дней, говорит: «Все крестьяне, несмотря на морозы, ночуют под открытым небом за проволочными заграждениями. Кормят арестованных грязным, несолёным супом, который выдают в заржавленных банках из-под консервов. За 12 дней колхозники ни разу не получали хлеба. За малейшее уклонение от работы люди расстреливаются на месте». Ещё хуже обращаются фашистские изверги с заключёнными в лагере под Смоленской. В этом лагере ежедневно умирают от холода и голода многие колхозники, колхозницы и их дети.</w:t>
      </w:r>
    </w:p>
    <w:p w14:paraId="2EA63002"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Югославские партизаны ведут успешную борьбу против фашистских оккупантов. Недавно немецко-итальянские войска предприняли наступление на город Рудник, находящийся в руках партизан. После ожесточённого боя фашисты были вынуждены в беспорядке отступить, потеряв свыше 600 человек убитыми и ранеными. Партизаны захватили большое количество пулемётов, винтовок, гранат и другого вооружения. В конце ноября произошёл бой между партизанами и отрядом штурмовиков близ деревни Иошаница. Фашистская банда была обращена в паническое бегство. На поле сражения осталось 85 трупов штурмовиков и много оружия.</w:t>
      </w:r>
    </w:p>
    <w:p w14:paraId="388C7CDE"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каждым месяцем растут ряды стахановцев, в несколько раз перевыполняющих нормы. Молодой токарь завода имени 1-го Мая в гор. Баку тов. Ага Кулиев, освоив производство новой ответственной детали, выполнял нормы на 300-375 процентов. Затем он, работая одновременно на двух станках, стал давать по 700-750 процентов. 17-летняя Мария Колесникова, дочь мобилизованного в Красную Армию нефтяника, овладев профессией токаря, выполняет норму на 315-320 процентов. В цехе, где работают т.т. Кулиев и Колесникова, производительность труда каждого станочника выросла по сравнению с сентябрём в среднем в два раза. Токари Кузьмов, Соломин, Мирзоев, Яшин, Кантеев и другие перевыполняют свои нормы в 4-5 раз. На Челябинском тракторном заводе сотни работниц, заменивших ушедших на </w:t>
      </w:r>
      <w:r w:rsidRPr="00640820">
        <w:rPr>
          <w:rFonts w:ascii="Times New Roman" w:hAnsi="Times New Roman"/>
          <w:color w:val="000000" w:themeColor="text1"/>
          <w:sz w:val="16"/>
          <w:szCs w:val="16"/>
        </w:rPr>
        <w:lastRenderedPageBreak/>
        <w:t>фронт мужчин, стали двухсотницами и трёхсотницами. Стахановка механического цеха Анна Филимонова систематически даёт 2,5 нормы, токарь Федосия Баннова — три нормы, сверловщица Ульяна Зырянова и нарезчица Дарья Сазонова — более трёх норм.» (14850).</w:t>
      </w:r>
    </w:p>
    <w:p w14:paraId="009F16B6" w14:textId="77777777" w:rsidR="002568A6" w:rsidRPr="00640820" w:rsidRDefault="002568A6" w:rsidP="00640820">
      <w:pPr>
        <w:spacing w:after="0" w:line="240" w:lineRule="auto"/>
        <w:jc w:val="both"/>
        <w:rPr>
          <w:rFonts w:ascii="Times New Roman" w:hAnsi="Times New Roman"/>
          <w:color w:val="000000" w:themeColor="text1"/>
          <w:sz w:val="16"/>
          <w:szCs w:val="16"/>
        </w:rPr>
      </w:pPr>
    </w:p>
    <w:p w14:paraId="7236F139"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4 декабря </w:t>
      </w:r>
      <w:r w:rsidRPr="00640820">
        <w:rPr>
          <w:rFonts w:ascii="Times New Roman" w:hAnsi="Times New Roman"/>
          <w:color w:val="000000" w:themeColor="text1"/>
          <w:sz w:val="16"/>
          <w:szCs w:val="16"/>
        </w:rPr>
        <w:t>в 1941 году вечернее сообщение Совинформбюро:</w:t>
      </w:r>
    </w:p>
    <w:p w14:paraId="40D0FEE2"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4 декабря наши войска вели бои с противником на всех фронтах.</w:t>
      </w:r>
    </w:p>
    <w:p w14:paraId="2CCF0E20"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3 декабря в воздушных боях сбито 5 немецких самолётов. Наши потери — 1 самолёт.</w:t>
      </w:r>
    </w:p>
    <w:p w14:paraId="1E5DBC4A"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4 декабря под Москвой сбит 21 немецкий самолёт.</w:t>
      </w:r>
    </w:p>
    <w:p w14:paraId="0D0D347C"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3 декабря нашей авиацией уничтожено 24 немецких танка, 2 бронемашины, 335 автомашин с войсками и грузами, 10 полевых орудий, 21 зенитная точка, 4 автоцистерны с горючим, 30 подвод с грузом, истреблено и рассеяно до полка вражеской пехоты и 100 всадников.</w:t>
      </w:r>
    </w:p>
    <w:p w14:paraId="4EA3251B"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участков Западного фронта наши части разгромили вражескую колонну. Немцы потеряли свыше 1.100 солдат и офицеров и 12 танков. Захвачено 40 пленных. На этом же участке бойцы тов. Новикова истребили 300 фашистских солдат и офицеров. На другом участке Западного фронта бойцы тов. Масленникова за 3 дня боёв уничтожили 8 немецких артиллерийских орудий, 11 миномётов, 22 пулемёта, 2 рации и истребили 3.000 солдат и офицеров противника.</w:t>
      </w:r>
    </w:p>
    <w:p w14:paraId="63D34F27"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части, действующие на одном из участков Юго-Западного фронта, за два дня боёв уничтожили 15 немецких танков, 8 бронемашин, 40 автомашин и истребили 700 фашистских солдат и офицеров.</w:t>
      </w:r>
    </w:p>
    <w:p w14:paraId="3C907CE9"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Пулемётный расчёт сержанта М.С.Михеенко сбил за последнюю неделю боёв 6 вражеских самолётов. Меткие пулемётчики-зенитчики уничтожили два «Юнкерса-88», два «Дорнье-215», один «Мессершмитт-109» и один «Хеншель-126».</w:t>
      </w:r>
    </w:p>
    <w:p w14:paraId="0E14C626"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Партизанские отряды, действующие в оккупированных немцами районах Калининской области, по далеко не полным данным, истребили много сотен фашистских солдат и офицеров, взорвали 21 мост, в том числе 2 железнодорожных, 2 артиллерийских склада, железнодорожный состав с боеприпасами, 13 автомашин со снарядами, сожгли 2 склада с горючим, нефтебазу с 300 тонн бензина, уничтожили 4 склада, много автомашин и повозок с обмундированием и пустили под откос 3 железнодорожных состава с войсками. Партизанское движение в Калининской области с каждым днём растёт и крепнет.</w:t>
      </w:r>
    </w:p>
    <w:p w14:paraId="4E024891"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время разгрома под Ростовом-на-Дону немецкой дивизии СС «Викинг» нашими частями захвачено большое количество неотправленных писем солдат из полка «Нордланд». Письма говорят о том, что даже отборные гитлеровские головорезы крайне изнурены и жаждут скорейшего возвращения домой. Солдат Карл пишет домой: «...Если бы нам удалось теперь выбраться из России, то для нас не было бы большей радости, потому что пребывание здесь — это самоубийство». Вилли Франц жалуется: «...В России очень холодно, все мы замерзаем. Наша дивизия находится здесь уже 16 дней. Всё это время мы голодаем: нечего есть. Нам ничего не доставляют. Ещё несколько слов о мучениях, которые причиняют нам вши. Моё тело покрылось ранами. Скорей бы домой». Солдат Келлер пишет: «...У нас у всех одна мысль, один пароль — домой, в Германию». Лейтенант Гетлих в своём письме родным признаёт, что он ошибся. Гетлих надеялся, что война скоро кончится, но сейчас он убедился, что «борьба будет очень упорной и жестокой». Унтер-офицер Бойме в своём письме описывает один из многих фронтовых дней: «...Сегодня у нас ад. Это продолжается уже три дня. Русские стреляют днём и ночью. Они отличаются невиданным упорством, каждую минуту мы ожидаем смерти» (14850).</w:t>
      </w:r>
    </w:p>
    <w:p w14:paraId="48A6B552" w14:textId="77777777" w:rsidR="002568A6" w:rsidRPr="00640820" w:rsidRDefault="002568A6" w:rsidP="00640820">
      <w:pPr>
        <w:spacing w:after="0" w:line="240" w:lineRule="auto"/>
        <w:jc w:val="both"/>
        <w:rPr>
          <w:rFonts w:ascii="Times New Roman" w:hAnsi="Times New Roman"/>
          <w:color w:val="000000" w:themeColor="text1"/>
          <w:sz w:val="16"/>
          <w:szCs w:val="16"/>
        </w:rPr>
      </w:pPr>
    </w:p>
    <w:p w14:paraId="3E86F2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декабря 1941 г. комэск 152-го ИАП ст. л-т Репников Николай Федорович во главе звена И-16 вылетел на разведку. На обратном пути летчики проштурмовали колонну войск противника, а затем обнаружили 7 вражеских истребителей, летевших в сторону Беломорканала. У Репникова боезапас был израсходован, и он решил таранить неприятеля в лобовой атаке. При этом погиб и был посмертно удостоен звания Героя Советского Союза. Согласно финским данным, группа Репникова вела бой в районе г. Медвежьегорск с “Морана-ми” из LeLv 28. От удара советского летчика потерян борт MS-329, и погиб сержант Томминен, имевший на счету 6 1/2 победы. Интересно, что, описывая этот бой, одни финские исследователи записывают на счет своего летчика сбитый МиГ-3, другие - “Харрикейн” (10205).</w:t>
      </w:r>
    </w:p>
    <w:p w14:paraId="5A004F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8E3F6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декабря 1941 наступление на Москву по плану Тайфун захлебнулось из-за отсутствия боеспособных самолетов и морозов (2100).</w:t>
      </w:r>
    </w:p>
    <w:p w14:paraId="3C7C8F0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1885431"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4 декабря </w:t>
      </w:r>
      <w:r w:rsidRPr="00640820">
        <w:rPr>
          <w:rFonts w:ascii="Times New Roman" w:hAnsi="Times New Roman"/>
          <w:color w:val="000000" w:themeColor="text1"/>
          <w:sz w:val="16"/>
          <w:szCs w:val="16"/>
        </w:rPr>
        <w:t>в 1941 году войска левого крыла Западного фронта нанесли контрудар в районе Костово, Ревякино, окружили часть 4-й немецкой танковой дивизии и восстановили связь Тулы с Москвой (14850).</w:t>
      </w:r>
    </w:p>
    <w:p w14:paraId="3612A24F" w14:textId="77777777" w:rsidR="002568A6" w:rsidRPr="00640820" w:rsidRDefault="002568A6" w:rsidP="00640820">
      <w:pPr>
        <w:spacing w:after="0" w:line="240" w:lineRule="auto"/>
        <w:jc w:val="both"/>
        <w:rPr>
          <w:rFonts w:ascii="Times New Roman" w:hAnsi="Times New Roman"/>
          <w:color w:val="000000" w:themeColor="text1"/>
          <w:sz w:val="16"/>
          <w:szCs w:val="16"/>
        </w:rPr>
      </w:pPr>
    </w:p>
    <w:p w14:paraId="03E9879F"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4 декабря </w:t>
      </w:r>
      <w:r w:rsidRPr="00640820">
        <w:rPr>
          <w:rFonts w:ascii="Times New Roman" w:hAnsi="Times New Roman"/>
          <w:color w:val="000000" w:themeColor="text1"/>
          <w:sz w:val="16"/>
          <w:szCs w:val="16"/>
        </w:rPr>
        <w:t>в 1941 году завершилась Калининская операция. Советские войска закрепились на рубеже восточнее Велижарова, севернее Мартынова, западнее, севернее и восточнее Калинина, левый берег Волги, Волжское водохранилище; сковали 13 пехотных дивизий противника, не позволив перебросить их под Москву (14850).</w:t>
      </w:r>
    </w:p>
    <w:p w14:paraId="310486D9" w14:textId="77777777" w:rsidR="002568A6" w:rsidRPr="00640820" w:rsidRDefault="002568A6" w:rsidP="00640820">
      <w:pPr>
        <w:spacing w:after="0" w:line="240" w:lineRule="auto"/>
        <w:jc w:val="both"/>
        <w:rPr>
          <w:rFonts w:ascii="Times New Roman" w:hAnsi="Times New Roman"/>
          <w:color w:val="000000" w:themeColor="text1"/>
          <w:sz w:val="16"/>
          <w:szCs w:val="16"/>
        </w:rPr>
      </w:pPr>
    </w:p>
    <w:p w14:paraId="15B6137E"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4 декабря </w:t>
      </w:r>
      <w:r w:rsidRPr="00640820">
        <w:rPr>
          <w:rFonts w:ascii="Times New Roman" w:hAnsi="Times New Roman"/>
          <w:color w:val="000000" w:themeColor="text1"/>
          <w:sz w:val="16"/>
          <w:szCs w:val="16"/>
        </w:rPr>
        <w:t>в 1941 году Гудериан докладывает о температуре воздуха в районе наступления его армии - минус 31 градус (14850).</w:t>
      </w:r>
    </w:p>
    <w:p w14:paraId="05168864" w14:textId="77777777" w:rsidR="002568A6" w:rsidRPr="00640820" w:rsidRDefault="002568A6" w:rsidP="00640820">
      <w:pPr>
        <w:spacing w:after="0" w:line="240" w:lineRule="auto"/>
        <w:jc w:val="both"/>
        <w:rPr>
          <w:rFonts w:ascii="Times New Roman" w:hAnsi="Times New Roman"/>
          <w:color w:val="000000" w:themeColor="text1"/>
          <w:sz w:val="16"/>
          <w:szCs w:val="16"/>
        </w:rPr>
      </w:pPr>
    </w:p>
    <w:p w14:paraId="4C7B1FF8"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4 декабря </w:t>
      </w:r>
      <w:r w:rsidRPr="00640820">
        <w:rPr>
          <w:rFonts w:ascii="Times New Roman" w:hAnsi="Times New Roman"/>
          <w:color w:val="000000" w:themeColor="text1"/>
          <w:sz w:val="16"/>
          <w:szCs w:val="16"/>
        </w:rPr>
        <w:t>в 1941 году пулеметный расчет сержанта М.С.Михеенко сбил за последнюю неделю боев 6 вражеских самолетов. Меткие пулеметчики-зенитчики уничтожили два "Юнкерса-88", два "Дорнье-215", один "Мессершмитт-109" и один "Хеншель-126" (14850).</w:t>
      </w:r>
    </w:p>
    <w:p w14:paraId="2A865D6A" w14:textId="77777777" w:rsidR="002568A6" w:rsidRPr="00640820" w:rsidRDefault="002568A6" w:rsidP="00640820">
      <w:pPr>
        <w:spacing w:after="0" w:line="240" w:lineRule="auto"/>
        <w:jc w:val="both"/>
        <w:rPr>
          <w:rFonts w:ascii="Times New Roman" w:hAnsi="Times New Roman"/>
          <w:color w:val="000000" w:themeColor="text1"/>
          <w:sz w:val="16"/>
          <w:szCs w:val="16"/>
        </w:rPr>
      </w:pPr>
    </w:p>
    <w:p w14:paraId="7FBA69B2"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2D75C8BA"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AA2532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декабря 1941 в Семипалатинске начал работу эвакуированный Киевский театр имени Ивана Франко (4962).</w:t>
      </w:r>
    </w:p>
    <w:p w14:paraId="605DA36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51F6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декабря 1941 г. согласно Командованию 18-й армии:</w:t>
      </w:r>
    </w:p>
    <w:p w14:paraId="7A5AA4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Отдел 1с</w:t>
      </w:r>
    </w:p>
    <w:p w14:paraId="02573C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Адресат: ОКВ, начальник Генштаба</w:t>
      </w:r>
    </w:p>
    <w:p w14:paraId="67B1AD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Сообщение о Петербурге № 9</w:t>
      </w:r>
    </w:p>
    <w:p w14:paraId="266CB6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Новые сведения об оборонительных мероприятиях.</w:t>
      </w:r>
    </w:p>
    <w:p w14:paraId="33A04E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Почти во всех публичных парках на случай налетов немецкой авиации сделаны бомбоубежища. Сообщают, что щели перекрыты балками и досками и на полметра засыпаны землей. Железнодорожная насыпь от Витебского вокзала (0 7) до реки Екатерингофка (R 2) превращена в оборонительное сооружение.</w:t>
      </w:r>
    </w:p>
    <w:p w14:paraId="27DFB8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Заграждения, сделанные из рельсов, расположены на всех магистралях, ведущих в Петербург на глубину около 500 м, особенно на Московском шоссе.</w:t>
      </w:r>
    </w:p>
    <w:p w14:paraId="4CB2BD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Противотанковые рвы глубиной в 1,5 м и шириной в 5,5 м тянутся на южной окраине Петербурга от Турухтанного через Автово 2, Среднюю Рогатку и до Витебского вокзала .</w:t>
      </w:r>
    </w:p>
    <w:p w14:paraId="0016454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Сообщают, что между Обухово и Московским шоссе находятся различные доты, работы на некоторых из них еще продолжаются. У Рыбацкого также расположены большое количество дотов. Они находятся на западной стороне трамвайной линии на проспекте Обуховской обороны (V 14) в 2 км западнее Рыбацкого.</w:t>
      </w:r>
    </w:p>
    <w:p w14:paraId="716BFDF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Северный берег Черной речки сильно срыт с тем чтобы использовать реку как противотанковое сооружение.</w:t>
      </w:r>
    </w:p>
    <w:p w14:paraId="56FA08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Съемка с воздуха подтвердила наличие оборонительных сооружений на Обводном канале, о которых сообщалось в предыдущем донесении. Часть этих сооружений еще достраивается. Пять объектов находятся между Екатерингофкой и Витебским вокзалом и один объект — между Витебским вокзалом и Невой.</w:t>
      </w:r>
    </w:p>
    <w:p w14:paraId="511B76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Артиллерийские батареи:</w:t>
      </w:r>
    </w:p>
    <w:p w14:paraId="25ADA5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в саду Трудящихся (М 5/6) орудия установлены на прямую наводку в направлении проспекта 25-го октября, ул. Дзержинского и ул. Майорова.</w:t>
      </w:r>
    </w:p>
    <w:p w14:paraId="11B51B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на площади Жертв Революции (М 7), в) в парке к югу от Смольного (L 10),</w:t>
      </w:r>
    </w:p>
    <w:p w14:paraId="6BE9A1B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две батареи тяжелых орудий (240 мм) по 4 орудия в каждой находятся в саду артиллерийского училища (261 0 6),</w:t>
      </w:r>
    </w:p>
    <w:p w14:paraId="7CEF20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 одна батарея корабельных орудий (приблизительно калибра 300 мм), смонтированных на железнодорожной платформе, находится на путях, ведущих к мельнице Ленина (328 Р 9/10),</w:t>
      </w:r>
    </w:p>
    <w:p w14:paraId="7CB858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 на Васильевском острове в садике перед Биржей (М 5/6),</w:t>
      </w:r>
    </w:p>
    <w:p w14:paraId="471A08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ж) тяжелая батарея находится в садике (О 10),</w:t>
      </w:r>
    </w:p>
    <w:p w14:paraId="4CD4B6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 на западном берегу Васильевского острова в Галерной гавани (О 2). Данные по а, б, в, е, ж, з подтверждены аэрофотосъемкой.</w:t>
      </w:r>
    </w:p>
    <w:p w14:paraId="176B11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Расположение сил ПВО:</w:t>
      </w:r>
    </w:p>
    <w:p w14:paraId="0186F3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на площади Жертв Революции расположены 8 зенитных орудий, 5 к северу от памятника и 3 — к югу от него,</w:t>
      </w:r>
    </w:p>
    <w:p w14:paraId="313B75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одна зенитная батарея (калибр 88 мм) находится напротив мясокомбината в 50 м к северо-западу в открытом поле,</w:t>
      </w:r>
    </w:p>
    <w:p w14:paraId="510BBF6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в совхозе им. Бадаева у Шушар в 50 м от перекрестка находится зенитная батарея (калибр 88 мм),</w:t>
      </w:r>
    </w:p>
    <w:p w14:paraId="4AB9C4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на территории завода (551 S 6) находится тяжелое зенитное орудие,</w:t>
      </w:r>
    </w:p>
    <w:p w14:paraId="53BE71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 на крыше управления НКВД (L 8) имеется легкое зенитное орудие,</w:t>
      </w:r>
    </w:p>
    <w:p w14:paraId="4C0829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 на крыше музея Ленина (L 7) расположено легкое зенитное орудие ,</w:t>
      </w:r>
    </w:p>
    <w:p w14:paraId="702F09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ж) на крыше здания Биржи находится легкое зенитное орудие.</w:t>
      </w:r>
    </w:p>
    <w:p w14:paraId="578C2F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2.Положение со снабжением:</w:t>
      </w:r>
    </w:p>
    <w:p w14:paraId="381907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1.) Продовольствие</w:t>
      </w:r>
    </w:p>
    <w:p w14:paraId="33303B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Поскольку в продовольственном отношении Петербург всегда был дотационным, в доблокадный период, вероятно, в Петербурге и Кронштадте было запасено определенное количество продовольствия. Помимо этих запасов в Петербург попала большая часть крупного рогатого скота из областей, которые оставляла Красная Армия, а также часть собранного урожая зерна. Кроме того, известно, что в город еще долгое время доставлялось продовольствие через Тихвин — Ладожское озеро, а также транспортной авиацией. Объем этих перевозок (в деталях) не известен, но несомненно, что они способствовали растягиванию имевшихся запасов.</w:t>
      </w:r>
    </w:p>
    <w:p w14:paraId="5C7750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результате взятия Тихвина подвоз значительного количества продовольствия через Ладожское озеро и далее по железной дороге был прерван. Однако необходимо учитывать, что до последнего момента русские хоть и в меньших количествах, но использовали вновь освобожденный путь подвоза продовольствия через Ладожское озеро. На основании наблюдений последних дней о полетах транспортной авиации в Петербург можно сделать вывод о том, что еще остается возможным доставка продовольствия воздушным путем извне.</w:t>
      </w:r>
    </w:p>
    <w:p w14:paraId="685FFB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Однако в настоящее время доставка продовольствия извне в Петербург возможна лишь в малых количествах; поэтому город вынужден обходиться имеющимися у него запасами, которые, судя по продолжающимся сокращениям норм, уже не являются очень большими.</w:t>
      </w:r>
    </w:p>
    <w:p w14:paraId="4537D6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Исходя из этого, продовольственное положение города поначалу в течение долгого времени могло оставаться стабильным, а затем совершенно определенно ухудшилось (см. таблицы).</w:t>
      </w:r>
    </w:p>
    <w:p w14:paraId="0A304C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начала ноября стало заметным ухудшившееся продовольственное положение гражданского населения, тем более, что часть населения из-за плохой организации в деле распределения продовольствия полагающиеся ей продукты или вообще не могла получить или же делала это, преодолевая большие трудности. Это отразилось и на здоровье горожан.</w:t>
      </w:r>
    </w:p>
    <w:p w14:paraId="79E454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Распространились болезни, особенно желудочно-кишечного тракта. Часто по причине слабости у рабочих и работниц имеют место случаи потери сознания на рабочем месте. Отмечены первые случаи голодной смерти. Можно сделать вывод о том, что в ближайшие недели произойдет дальнейшее значительное ухудшение продовольственного положения гражданского населения в Петербурге.</w:t>
      </w:r>
    </w:p>
    <w:p w14:paraId="47979C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Таблица А.</w:t>
      </w:r>
    </w:p>
    <w:p w14:paraId="1E548B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Сентябрь Начало октября рабочие иждивенцы дети рабочие иждивенцы дети Хлеб 600 400 400 400 200 200 Мясо 500 250 250 - - - Крупа - - - 600 300 300 Сахар - - - 300 - - Конфеты - - - 250 - - Картофель Можно достать Нельзя достать Уголь То же То же Масло - 1 - 1 - 100 50 100 1 - 10 ноября 11- 20 ноября 21 - 30 ноября Рабоч. Иждив. Дети Рабоч. Иждив. Дети Рабоч. Иждив. Дети Хлеб 400 200 200 300 150 150 250 125 125 Сахар 250 100 - 150 50 50 150 50 50 Конф. 350 250 - 350 250/150 - 350 250/150 - Крупа 500 250/150 - 500 300/200 - 500 350 350 Раст. масло ? 150 - 300 150/100 - - 150 ? Масло 150 75 150 - - 185 280 - ? Колбаса 500 250 250 500 250 - 500 250 - Рыба 100 100 100 - - - - - - В годовщину революции 7 ноября всем был выдан праздничный набор, состоявший из плитки молочного шоколада, пол-литра красного вина и 200 г соленых помидоров.</w:t>
      </w:r>
    </w:p>
    <w:p w14:paraId="2C7C1A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начала ноября хлеб выпекается с использованием примеси муки овса; кроме того, установлено, что с начала ноября в хлеб добавляются жмыхи.</w:t>
      </w:r>
    </w:p>
    <w:p w14:paraId="3014DA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Большая часть общественных столовых закрыта, а оставшиеся работают как рабочие столовые. Пища, которую в них выдают, состоит из капусты, перлового супа, большей частью без мяса.</w:t>
      </w:r>
    </w:p>
    <w:p w14:paraId="2B1199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середине ноября в Красной Армии также произошло сокращение норм выдачи продовольствия. По показаниям перебежчиков красноармейцы получают в день вместо 600 г хлеба всего 300 г, а также 100 г сухарей и дважды (утром и вечером) горячий жидкий суп с макаронами или картофелем.</w:t>
      </w:r>
    </w:p>
    <w:p w14:paraId="5D3FB5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Положение войск противника, защищающих Ораниенбаум, по показаниям перебежчиков, еще намного хуже.</w:t>
      </w:r>
    </w:p>
    <w:p w14:paraId="70131A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Топливо:</w:t>
      </w:r>
    </w:p>
    <w:p w14:paraId="27D992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Имеет место большая нехватка топлива. Дрова, уголь и торф едва ли можно получить. Деревянные части разрушенных зданий используются в качестве топлива.</w:t>
      </w:r>
    </w:p>
    <w:p w14:paraId="60DE8E8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Вода, газ и электричество:</w:t>
      </w:r>
    </w:p>
    <w:p w14:paraId="550E00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Из-за разрушения электростанции (141) и газовой станции (151) нарушено снабжение некоторых районов города. Ограничено также движение трамваев, а в отдельных районах оно приостановлено полностью.</w:t>
      </w:r>
    </w:p>
    <w:p w14:paraId="152778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Кольцевая железная дорога, связывающая все вокзалы Петербурга, все еще работает. Поезда ходят ежечасно. Железная дорога используется в первую очередь для решения проблем снабжения.</w:t>
      </w:r>
    </w:p>
    <w:p w14:paraId="2646E5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Горючее</w:t>
      </w:r>
    </w:p>
    <w:p w14:paraId="08DF23E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Горючего для автомашин очень не хватает, так что большая их часть простаивает.</w:t>
      </w:r>
    </w:p>
    <w:p w14:paraId="737175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Керосин</w:t>
      </w:r>
    </w:p>
    <w:p w14:paraId="62AC80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еще выдавали по 1,5 л керосина в месяц. В ноябре керосин больше не выдают.</w:t>
      </w:r>
    </w:p>
    <w:p w14:paraId="0EC8B86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Настроение и пропаганда.</w:t>
      </w:r>
    </w:p>
    <w:p w14:paraId="4556641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НКВД проводит в городе политику жесткого террора. Слежка за населением еще более усилилась. Тюрьмы переполнены.</w:t>
      </w:r>
    </w:p>
    <w:p w14:paraId="1E4999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Настроение населения стало антисемитским. Прежде всего, против дальнейшего продолжения войны выступают женщины. Однако, несмотря на усталость населения от войны, нельзя рассчитывать на активное выступление против Советов (выделено нами — Н.Л.) Повсюду отмечается пассивное равнодушие населения.</w:t>
      </w:r>
    </w:p>
    <w:p w14:paraId="0886F5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Деятельность агентов</w:t>
      </w:r>
    </w:p>
    <w:p w14:paraId="3C8F61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Вербовка агентов для работы в немецком тылу проводится в значительно большем объеме. Сообщают, что каждый день через линию фронта засылаются агенты, в том числе и с парашютом.</w:t>
      </w:r>
    </w:p>
    <w:p w14:paraId="63ABC4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Разрушения.</w:t>
      </w:r>
    </w:p>
    <w:p w14:paraId="4FAC4C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офицерский госпиталь (№ 83 М 10),</w:t>
      </w:r>
    </w:p>
    <w:p w14:paraId="1FF9A1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помещения для работающих в госпитале, расположенные в западной части Петровского острова,</w:t>
      </w:r>
    </w:p>
    <w:p w14:paraId="46BCAE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Дом культуры (L 6),</w:t>
      </w:r>
    </w:p>
    <w:p w14:paraId="4F91CF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Мариинский театр (N 0 5).</w:t>
      </w:r>
    </w:p>
    <w:p w14:paraId="27CEF5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Объекты, обозначенные в п.п. а, б, в , г, разрушены.</w:t>
      </w:r>
    </w:p>
    <w:p w14:paraId="49ACB0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 продовольственный склад № 1 на ул. Моисеенко. Запасы мяса, яиц, сахара и муки сгорели,</w:t>
      </w:r>
    </w:p>
    <w:p w14:paraId="00F819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 Фрунзенский универмаг на углу Обводного канала и Международного проспекта (Р 6) пострадал в результате артобстрелов.</w:t>
      </w:r>
    </w:p>
    <w:p w14:paraId="490220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Разрушения на военных предприятиях</w:t>
      </w:r>
    </w:p>
    <w:p w14:paraId="71B781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«Севкабель» (563 № 2) получил серьезные повреждения в результате бомбежки,</w:t>
      </w:r>
    </w:p>
    <w:p w14:paraId="27F460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Трамвайный парк им. Блохина (9377 к 7) пострадал в результате пожара,</w:t>
      </w:r>
    </w:p>
    <w:p w14:paraId="651B10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«Ленинградская Правда». Разрушения, о которых шла речь в донесении № 8, устранены, поскольку газета не выходила всего в течение 5 дней,</w:t>
      </w:r>
    </w:p>
    <w:p w14:paraId="5A63D3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«Московская Правда» не выходила в течение нескольких дней и сейчас издается в том же формате, что и «Ленинградская Правда», из чего можно сделать вывод, что типография также была разрушена.</w:t>
      </w:r>
    </w:p>
    <w:p w14:paraId="42B757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Военная промышленность</w:t>
      </w:r>
    </w:p>
    <w:p w14:paraId="0EAD91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бывшей фабрике по производству лыж, расположенной к северу от железнодорожных путей между станциями Волковская и Цветочная, как сообщают, выпускаются детали для самолетов (R S 6/7).</w:t>
      </w:r>
    </w:p>
    <w:p w14:paraId="33BE47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Общая информация</w:t>
      </w:r>
    </w:p>
    <w:p w14:paraId="25D91CC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Из-за нехватки бензина доставка раненых на главные сборные пункты осуществляется не автобусами, а лошадьми. Автобусы ходят только между главными сборными пунктами раненых и госпиталями.</w:t>
      </w:r>
    </w:p>
    <w:p w14:paraId="15317F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лошадей значительно сократилось. Заметна нехватка фуража.</w:t>
      </w:r>
    </w:p>
    <w:p w14:paraId="26FD7A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Сообщают, что специалисты и члены их семей по-прежнему эвакуируются транспортной авиацией.</w:t>
      </w:r>
    </w:p>
    <w:p w14:paraId="6556429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Национальный Архив США. Командование 18-й армии. Отдел 1с. Микрофильм. Т-312/ 1580, 176-82 (11814).</w:t>
      </w:r>
    </w:p>
    <w:p w14:paraId="394555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3DAB90B"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68F99EE1"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B510D4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декабря 1941 в Москве подписано советско-польская декларация о дружбе и взаимопомощи (4962).</w:t>
      </w:r>
    </w:p>
    <w:p w14:paraId="7F7854E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5F285F"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4 декабря </w:t>
      </w:r>
      <w:r w:rsidRPr="00640820">
        <w:rPr>
          <w:rFonts w:ascii="Times New Roman" w:hAnsi="Times New Roman"/>
          <w:color w:val="000000" w:themeColor="text1"/>
          <w:sz w:val="16"/>
          <w:szCs w:val="16"/>
        </w:rPr>
        <w:t>в 1941 году в Москве Председатель СНК СССР И.В.Сталин и премьер-министр польского эмигрантского правительства В.Сикорский подписали Декларацию о дружбе и взаимной помощи. Провозглашалось, что оба государства совместно со своими союзниками будут вести войну до полной победы над фашистской Германией; выдвинута идея создания международной организации демокрвтических стран в целях обеспечения прочного мира и недопущения новой агрессии (14850).</w:t>
      </w:r>
    </w:p>
    <w:p w14:paraId="4B9C8C5E" w14:textId="77777777" w:rsidR="002568A6" w:rsidRPr="00640820" w:rsidRDefault="002568A6" w:rsidP="00640820">
      <w:pPr>
        <w:spacing w:after="0" w:line="240" w:lineRule="auto"/>
        <w:jc w:val="both"/>
        <w:rPr>
          <w:rFonts w:ascii="Times New Roman" w:hAnsi="Times New Roman"/>
          <w:color w:val="000000" w:themeColor="text1"/>
          <w:sz w:val="16"/>
          <w:szCs w:val="16"/>
        </w:rPr>
      </w:pPr>
    </w:p>
    <w:p w14:paraId="4FC1D368"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59D80DC7"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09572B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4 декабря 1941 в Англии объявлено, что все незамужние девушки 20-30 лет призываются на службу в полицию и пожарную охрану (4962).</w:t>
      </w:r>
    </w:p>
    <w:p w14:paraId="105DE39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F1ECC7" w14:textId="77777777" w:rsidR="002568A6" w:rsidRPr="00640820" w:rsidRDefault="002568A6"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4 декабря </w:t>
      </w:r>
      <w:r w:rsidRPr="00640820">
        <w:rPr>
          <w:rFonts w:ascii="Times New Roman" w:hAnsi="Times New Roman"/>
          <w:color w:val="000000" w:themeColor="text1"/>
          <w:sz w:val="16"/>
          <w:szCs w:val="16"/>
        </w:rPr>
        <w:t>в 1941 году правительство США распространило закон о Ленд-лизе на Турцию (14850).</w:t>
      </w:r>
    </w:p>
    <w:p w14:paraId="681579F6" w14:textId="77777777" w:rsidR="002568A6" w:rsidRPr="00640820" w:rsidRDefault="002568A6" w:rsidP="00640820">
      <w:pPr>
        <w:spacing w:after="0" w:line="240" w:lineRule="auto"/>
        <w:jc w:val="both"/>
        <w:rPr>
          <w:rFonts w:ascii="Times New Roman" w:hAnsi="Times New Roman"/>
          <w:color w:val="000000" w:themeColor="text1"/>
          <w:sz w:val="16"/>
          <w:szCs w:val="16"/>
        </w:rPr>
      </w:pPr>
    </w:p>
    <w:p w14:paraId="1AF4D352"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3D5BBB6B"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331CE6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декабря 1941 г. Народному комиссару авиапромышленности А.И.Шахурину от замести</w:t>
      </w:r>
      <w:r w:rsidRPr="00640820">
        <w:rPr>
          <w:rFonts w:ascii="Times New Roman" w:hAnsi="Times New Roman"/>
          <w:color w:val="000000" w:themeColor="text1"/>
          <w:sz w:val="16"/>
          <w:szCs w:val="16"/>
        </w:rPr>
        <w:softHyphen/>
        <w:t>теля НКАП СССР А.И.Кузнецова поступило письмо: «10-е управление ГУ ВВС КА сообщило, что на самолете Су-2 прошла испытания установ</w:t>
      </w:r>
      <w:r w:rsidRPr="00640820">
        <w:rPr>
          <w:rFonts w:ascii="Times New Roman" w:hAnsi="Times New Roman"/>
          <w:color w:val="000000" w:themeColor="text1"/>
          <w:sz w:val="16"/>
          <w:szCs w:val="16"/>
        </w:rPr>
        <w:softHyphen/>
        <w:t>ка РО-82, допускающая переход на РО-132». Директору завода №135 Кузину с 1 ноября предписывалось «ввести ракетную установку под РС-82 в серию и выпускать все самолеты Су-2 оборудованными этими ракет</w:t>
      </w:r>
      <w:r w:rsidRPr="00640820">
        <w:rPr>
          <w:rFonts w:ascii="Times New Roman" w:hAnsi="Times New Roman"/>
          <w:color w:val="000000" w:themeColor="text1"/>
          <w:sz w:val="16"/>
          <w:szCs w:val="16"/>
        </w:rPr>
        <w:softHyphen/>
        <w:t>ными установками» (11402).</w:t>
      </w:r>
    </w:p>
    <w:p w14:paraId="28C88A7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755F9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декабря 1941 г. в НПП "Аэросила" разработан и запущен в серию воздушный винт АВ-5 для Пе-2 (6395).</w:t>
      </w:r>
    </w:p>
    <w:p w14:paraId="21E0D23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EE32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декабря 1941 на заводе 150 разработали винт АВ-5 для Пе-2 (2668).</w:t>
      </w:r>
    </w:p>
    <w:p w14:paraId="750E3F0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E958A7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декабря 1941 в г. Куйбышеве выпуск МиГ-3 возобновился сдачей военпредам первых двух самолётов. В дальнейшем планировалось вы</w:t>
      </w:r>
      <w:r w:rsidRPr="00640820">
        <w:rPr>
          <w:rFonts w:ascii="Times New Roman" w:hAnsi="Times New Roman"/>
          <w:color w:val="000000" w:themeColor="text1"/>
          <w:sz w:val="16"/>
          <w:szCs w:val="16"/>
        </w:rPr>
        <w:softHyphen/>
        <w:t>пускать по две машины ежесуточно с тем, чтобы до конца года обеспе</w:t>
      </w:r>
      <w:r w:rsidRPr="00640820">
        <w:rPr>
          <w:rFonts w:ascii="Times New Roman" w:hAnsi="Times New Roman"/>
          <w:color w:val="000000" w:themeColor="text1"/>
          <w:sz w:val="16"/>
          <w:szCs w:val="16"/>
        </w:rPr>
        <w:softHyphen/>
        <w:t>чить постройку 50 истребителей. В тоже время производство штурмо</w:t>
      </w:r>
      <w:r w:rsidRPr="00640820">
        <w:rPr>
          <w:rFonts w:ascii="Times New Roman" w:hAnsi="Times New Roman"/>
          <w:color w:val="000000" w:themeColor="text1"/>
          <w:sz w:val="16"/>
          <w:szCs w:val="16"/>
        </w:rPr>
        <w:softHyphen/>
        <w:t>виков Ил-2 планировалось развер</w:t>
      </w:r>
      <w:r w:rsidRPr="00640820">
        <w:rPr>
          <w:rFonts w:ascii="Times New Roman" w:hAnsi="Times New Roman"/>
          <w:color w:val="000000" w:themeColor="text1"/>
          <w:sz w:val="16"/>
          <w:szCs w:val="16"/>
        </w:rPr>
        <w:softHyphen/>
        <w:t>нуть не ранее 15 декабря с выпус</w:t>
      </w:r>
      <w:r w:rsidRPr="00640820">
        <w:rPr>
          <w:rFonts w:ascii="Times New Roman" w:hAnsi="Times New Roman"/>
          <w:color w:val="000000" w:themeColor="text1"/>
          <w:sz w:val="16"/>
          <w:szCs w:val="16"/>
        </w:rPr>
        <w:softHyphen/>
        <w:t>ком по одному самолёту ежесуточ</w:t>
      </w:r>
      <w:r w:rsidRPr="00640820">
        <w:rPr>
          <w:rFonts w:ascii="Times New Roman" w:hAnsi="Times New Roman"/>
          <w:color w:val="000000" w:themeColor="text1"/>
          <w:sz w:val="16"/>
          <w:szCs w:val="16"/>
        </w:rPr>
        <w:softHyphen/>
        <w:t>но, то есть до конца года завод предполагал выпустить не более 10-15 машин при плане 100. Это объяс</w:t>
      </w:r>
      <w:r w:rsidRPr="00640820">
        <w:rPr>
          <w:rFonts w:ascii="Times New Roman" w:hAnsi="Times New Roman"/>
          <w:color w:val="000000" w:themeColor="text1"/>
          <w:sz w:val="16"/>
          <w:szCs w:val="16"/>
        </w:rPr>
        <w:softHyphen/>
        <w:t>нялось небольшим заделом, приве</w:t>
      </w:r>
      <w:r w:rsidRPr="00640820">
        <w:rPr>
          <w:rFonts w:ascii="Times New Roman" w:hAnsi="Times New Roman"/>
          <w:color w:val="000000" w:themeColor="text1"/>
          <w:sz w:val="16"/>
          <w:szCs w:val="16"/>
        </w:rPr>
        <w:softHyphen/>
        <w:t>зённым из Москвы, а также отсут</w:t>
      </w:r>
      <w:r w:rsidRPr="00640820">
        <w:rPr>
          <w:rFonts w:ascii="Times New Roman" w:hAnsi="Times New Roman"/>
          <w:color w:val="000000" w:themeColor="text1"/>
          <w:sz w:val="16"/>
          <w:szCs w:val="16"/>
        </w:rPr>
        <w:softHyphen/>
        <w:t>ствием ряда крупных агрегатов, таких как шасси и хвостовые части фюзеляжа. Выпуск Ил-2 на заводе №18 тоже не отвечал требования фронта. Естественно такой расклад не мог удовлетворить руководство страны. Последовавшая 23 декаб</w:t>
      </w:r>
      <w:r w:rsidRPr="00640820">
        <w:rPr>
          <w:rFonts w:ascii="Times New Roman" w:hAnsi="Times New Roman"/>
          <w:color w:val="000000" w:themeColor="text1"/>
          <w:sz w:val="16"/>
          <w:szCs w:val="16"/>
        </w:rPr>
        <w:softHyphen/>
        <w:t>ря известная телеграмма И.В. Ста</w:t>
      </w:r>
      <w:r w:rsidRPr="00640820">
        <w:rPr>
          <w:rFonts w:ascii="Times New Roman" w:hAnsi="Times New Roman"/>
          <w:color w:val="000000" w:themeColor="text1"/>
          <w:sz w:val="16"/>
          <w:szCs w:val="16"/>
        </w:rPr>
        <w:softHyphen/>
        <w:t>лина окончательно решила судьбу штурмовика Ил-2 и истребителя МиГ-3.</w:t>
      </w:r>
    </w:p>
    <w:p w14:paraId="09EE190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втором полугодии авиазавод №1 выпустил 1737 истребителей МиГ-3. Из этого количества воен</w:t>
      </w:r>
      <w:r w:rsidRPr="00640820">
        <w:rPr>
          <w:rFonts w:ascii="Times New Roman" w:hAnsi="Times New Roman"/>
          <w:color w:val="000000" w:themeColor="text1"/>
          <w:sz w:val="16"/>
          <w:szCs w:val="16"/>
        </w:rPr>
        <w:softHyphen/>
        <w:t>ное представительство приняло 1642 самолёта. В строевые части ВВС КА была отправлена 1691 машина. Для авиации ВМФ в 1941 г. из 162 принятых МиГ-3 поставлено 157 самолётов (в первом полуго</w:t>
      </w:r>
      <w:r w:rsidRPr="00640820">
        <w:rPr>
          <w:rFonts w:ascii="Times New Roman" w:hAnsi="Times New Roman"/>
          <w:color w:val="000000" w:themeColor="text1"/>
          <w:sz w:val="16"/>
          <w:szCs w:val="16"/>
        </w:rPr>
        <w:softHyphen/>
        <w:t>дии 67, во втором 90, из них 25 в июле, 10 в августе, 47 в сентябре и восемь в октябре), а пять переад</w:t>
      </w:r>
      <w:r w:rsidRPr="00640820">
        <w:rPr>
          <w:rFonts w:ascii="Times New Roman" w:hAnsi="Times New Roman"/>
          <w:color w:val="000000" w:themeColor="text1"/>
          <w:sz w:val="16"/>
          <w:szCs w:val="16"/>
        </w:rPr>
        <w:softHyphen/>
        <w:t>ресовано ГУ ВВС КА (11761).</w:t>
      </w:r>
    </w:p>
    <w:p w14:paraId="0E41F51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63150C" w14:textId="77777777" w:rsidR="002568A6" w:rsidRPr="00640820" w:rsidRDefault="002568A6" w:rsidP="00640820">
      <w:pPr>
        <w:pStyle w:val="a3"/>
        <w:rPr>
          <w:color w:val="000000" w:themeColor="text1"/>
          <w:lang w:val="ru-RU"/>
        </w:rPr>
      </w:pPr>
      <w:r w:rsidRPr="00640820">
        <w:rPr>
          <w:color w:val="000000" w:themeColor="text1"/>
          <w:lang w:val="ru-RU"/>
        </w:rPr>
        <w:t>5 декабря 1941 возобновился сдачей военпредам первых двух самолётов выпуск МиГ-3 на новом месте в Куйбышеве. В дальнейшем планировалось выпускать по две машины ежедневно с тем, что</w:t>
      </w:r>
      <w:r w:rsidRPr="00640820">
        <w:rPr>
          <w:color w:val="000000" w:themeColor="text1"/>
          <w:lang w:val="ru-RU"/>
        </w:rPr>
        <w:softHyphen/>
        <w:t>бы обеспечить до конца года постройку 50 истребителей. В то же время производство Ил-2 планировалось развернуть не ранее 15 декабря с выпуском по одному штурмовику в день, то есть, до конца года завод предполагал выпустить не более 10-15 машин при плане 100. Это объяснялось небольшим заделом, привезённым из Москвы, а также отсутствием ряда крупных агрегатов, таких как шасси и хвостовые части фюзеляжа. Выпуск Ил-2 на заводе № 18 тоже не отвечал требованиям фронта. Естественно, такой расклад не мог удовлетворить руководство страны. Последовавшая 23 декабря известная телеграмма И.В. Сталина окончательно решила судьбу штурмовика Ил-2 и истребителя МиГ-3.</w:t>
      </w:r>
    </w:p>
    <w:p w14:paraId="5B2B239B" w14:textId="77777777" w:rsidR="002568A6" w:rsidRPr="00640820" w:rsidRDefault="002568A6" w:rsidP="00640820">
      <w:pPr>
        <w:pStyle w:val="a3"/>
        <w:rPr>
          <w:color w:val="000000" w:themeColor="text1"/>
          <w:lang w:val="ru-RU"/>
        </w:rPr>
      </w:pPr>
      <w:r w:rsidRPr="00640820">
        <w:rPr>
          <w:color w:val="000000" w:themeColor="text1"/>
          <w:lang w:val="ru-RU"/>
        </w:rPr>
        <w:t>В связи с прекращением производства МиГ-3 их выпуск в 1941 г. ограничился 3100 маши</w:t>
      </w:r>
      <w:r w:rsidRPr="00640820">
        <w:rPr>
          <w:color w:val="000000" w:themeColor="text1"/>
          <w:lang w:val="ru-RU"/>
        </w:rPr>
        <w:softHyphen/>
        <w:t>нами. Из них во втором полугодии завод № 1 выпустил 1737. В этот же период военное пред</w:t>
      </w:r>
      <w:r w:rsidRPr="00640820">
        <w:rPr>
          <w:color w:val="000000" w:themeColor="text1"/>
          <w:lang w:val="ru-RU"/>
        </w:rPr>
        <w:softHyphen/>
        <w:t>ставительство приняло 1642 самолёта и отправило в строевые части 1691 машину. В свою очередь авиация ВМФ получила 90 МиГ-3, из них 25 в июле, 10 в августе, 47 в сентябре и 8 в октябре. Кроме этого, пять флотских машин было переадресовано ВВС КА (15976).</w:t>
      </w:r>
    </w:p>
    <w:p w14:paraId="2101DEA2" w14:textId="77777777" w:rsidR="002568A6" w:rsidRPr="00640820" w:rsidRDefault="002568A6" w:rsidP="00640820">
      <w:pPr>
        <w:pStyle w:val="a3"/>
        <w:rPr>
          <w:color w:val="000000" w:themeColor="text1"/>
          <w:lang w:val="ru-RU"/>
        </w:rPr>
      </w:pPr>
    </w:p>
    <w:p w14:paraId="5FC6A0D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5 декабря 1941 в куйбышеве на заводе № 1 стали собирать по два МИГ-3 в день. Руководство уже пове</w:t>
      </w:r>
      <w:r w:rsidRPr="00640820">
        <w:rPr>
          <w:rFonts w:ascii="Times New Roman" w:hAnsi="Times New Roman"/>
          <w:color w:val="000000" w:themeColor="text1"/>
          <w:sz w:val="16"/>
          <w:szCs w:val="16"/>
        </w:rPr>
        <w:softHyphen/>
        <w:t>рило: к концу месяца кризис удастся преодолеть (9984).</w:t>
      </w:r>
    </w:p>
    <w:p w14:paraId="6215A74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BF58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5 декабря 1941 завод № 1 в Куйбышеве ежедневно сдавал по две машины. Руководство считало, что к концу года кризис удастся преодолеть. Но поздним вечером 23 декабря директор завода № 1 получил вторую правительственную телеграмму, которая повергла его в шок. Еще не прочитав подписи, Третьяков по стилистике текста понял, кто является его автором:</w:t>
      </w:r>
    </w:p>
    <w:p w14:paraId="0EA22E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 подвели нашу страну, нашу Красную Армию. Вы не изволите до сих пор выпускать Ил-2. Самолеты Ил-2 нужны нашей Красной Армии теперь как воздух, как хлеб... Третьяков дает МиГ-3 по одной, по две штуки. Это насмешка над страной, Красной Армией. Прошу Вас не выводить правительство из терпения и требую, чтобы выпускали побольше Илов. Предупреждаю последний раз. СТАЛИН".</w:t>
      </w:r>
    </w:p>
    <w:p w14:paraId="7EE4E2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Судьба МиГа была решена. К трем ноябрьским МиГ-3 добавились еще 27 истребителей, принятых в следующем месяце. На заводе имелся задел по деталям, узлам, комплектующим примерно на 50-60 МиГ-3, но ослушаться указания "сверху" Третьяков не мог. Неимоверными усилиями удалось до наступления Нового года сдать всего три штурмовика, поскольку задел по Илам совершенно отсутствовал (12045).</w:t>
      </w:r>
    </w:p>
    <w:p w14:paraId="2DE2C6F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FF89B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декабря 1941 года Приказом наркома Гудкова направили на завод № 21 для внедрения в серию Гу-82 и ЛаГГ-3 с противотанковой пушкой (Гу-37). Но это назначение так и не состоялось. Рассказывают, что когда Гудков приехал в Горький, то Лавочкин не подписал ему пропуск, оставив за воротами предприятия своего бывшего соавтора. Михаил Иванович со своими проектами вынужден был вернуться в Москву (12032).</w:t>
      </w:r>
    </w:p>
    <w:p w14:paraId="2F750A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8286D23"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декабря 1941 г. М. И. Гудкова направили на завод № 21 для внедрения самолета ЛаГГ-3 под мотор М-82 в серию, но этого не случилось, а после появления самолета Ла-5 работы прекратили. Два истребителя, получившие название Гу-82 были построены осенью 1941 г. на заводе № 301, максимальная скорость оказалась чуть меньше чем у ЛаГГ-3, зато дальность больше. В план IV квартала 1941 г. ОКБ завода № 21 включили разработку самолета ЛаГГ-3 с мотором М-82 со сроком изготовления опытного экземпляра в феврале 1942 г. Но до конца 1941 г. подготовили лишь половину необходимых агрегатов, поскольку А. С. Ла вочкин основную ставку сделал на двигатель М-107П. Потребность в такой работе возникла чуть позже, когда стало ясно, что М-107 еще не доведен и серийное производство ЛаГГ-3 оказалось под угрозой. В марте 1942 г. самолет ЛаГГ-3 М-82 выкатили на аэродром, а 3 июня вышел приказ о запуске самолета в серийное производство (19727).</w:t>
      </w:r>
    </w:p>
    <w:p w14:paraId="01EFB814" w14:textId="77777777" w:rsidR="00C30BD0" w:rsidRPr="00640820" w:rsidRDefault="00C30BD0" w:rsidP="00640820">
      <w:pPr>
        <w:spacing w:after="0" w:line="240" w:lineRule="auto"/>
        <w:jc w:val="both"/>
        <w:rPr>
          <w:rFonts w:ascii="Times New Roman" w:hAnsi="Times New Roman"/>
          <w:color w:val="000000" w:themeColor="text1"/>
          <w:sz w:val="16"/>
          <w:szCs w:val="16"/>
        </w:rPr>
      </w:pPr>
    </w:p>
    <w:p w14:paraId="64757B0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декабря 1941 вышел приказ НКАП № 1138с:</w:t>
      </w:r>
    </w:p>
    <w:p w14:paraId="09FCC7D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дополнение к приказу НКАП № 1137 от 29 ноября 1941:</w:t>
      </w:r>
    </w:p>
    <w:p w14:paraId="418BFC0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Вновь организованному з-ду на площадях бывшего з-да 161 в Москве присвоить № 480,</w:t>
      </w:r>
    </w:p>
    <w:p w14:paraId="32500F0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Д-м з-да № 480 назначить А.И.Филипповых.</w:t>
      </w:r>
    </w:p>
    <w:p w14:paraId="445D56C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Шахурин (1338, 68).</w:t>
      </w:r>
    </w:p>
    <w:p w14:paraId="4BD63AC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9A9AA5" w14:textId="77777777" w:rsidR="00D16B42" w:rsidRPr="00640820" w:rsidRDefault="00D16B42"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5 декабря</w:t>
      </w:r>
      <w:r w:rsidRPr="00640820">
        <w:rPr>
          <w:rFonts w:ascii="Times New Roman" w:hAnsi="Times New Roman"/>
          <w:color w:val="000000" w:themeColor="text1"/>
          <w:sz w:val="16"/>
          <w:szCs w:val="16"/>
        </w:rPr>
        <w:t xml:space="preserve"> в 1941 году в НПП «Аэросила» коллективом Ступинского ОКБ разработан и запущен в серию воздушный винт прямой схемы «АВ-5ЛВ-139» для «Пе-2». Винт был надежен в работе, конструктивно прост и по своим характеристикам в полной мере соответствовал требованиям самолетчиков. Ступинский винт заменил на самолете лицензионный винт «ВИШ-61», производимый московским заводом №28. Став основным фронтовым бомбардировщиком, этот самолет с моторами «М-105» В.Я.Климова и вышеупомянутыми ступинскими винтами производился в больших количествах. Всего было выпущено свыше 11 тысяч «Пе-2» и в два раза большее количество воздушных винтов (14851).</w:t>
      </w:r>
    </w:p>
    <w:p w14:paraId="6A2B936A" w14:textId="77777777" w:rsidR="00D16B42" w:rsidRPr="00640820" w:rsidRDefault="00D16B42" w:rsidP="00640820">
      <w:pPr>
        <w:spacing w:after="0" w:line="240" w:lineRule="auto"/>
        <w:jc w:val="both"/>
        <w:rPr>
          <w:rFonts w:ascii="Times New Roman" w:hAnsi="Times New Roman"/>
          <w:color w:val="000000" w:themeColor="text1"/>
          <w:sz w:val="16"/>
          <w:szCs w:val="16"/>
        </w:rPr>
      </w:pPr>
    </w:p>
    <w:p w14:paraId="24C343D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декабря 1941 г. пушка ТНШ была принята на вооружение и производилась на трех заводах НКВ до 1943 г. От крыльевой пушки был использован ствол длиной 82,4 калибра, а от турельной — тяга перезаряжания. Спус</w:t>
      </w:r>
      <w:r w:rsidRPr="00640820">
        <w:rPr>
          <w:rFonts w:ascii="Times New Roman" w:hAnsi="Times New Roman"/>
          <w:color w:val="000000" w:themeColor="text1"/>
          <w:sz w:val="16"/>
          <w:szCs w:val="16"/>
        </w:rPr>
        <w:softHyphen/>
        <w:t>ковой механизм и затыльник были сконструированы заново. Действие автоматики пушки было основано на использовании энергии порохо</w:t>
      </w:r>
      <w:r w:rsidRPr="00640820">
        <w:rPr>
          <w:rFonts w:ascii="Times New Roman" w:hAnsi="Times New Roman"/>
          <w:color w:val="000000" w:themeColor="text1"/>
          <w:sz w:val="16"/>
          <w:szCs w:val="16"/>
        </w:rPr>
        <w:softHyphen/>
        <w:t>вых газов. Темп стрельбы пушки составлял 600 выстр./мин., а боевая скорострельность - 200 выстр./мин. Пушка имела ленточное питание. Каждая лента, состоявшая из 58 выстрелов и 58 разъемных звеньев, ук</w:t>
      </w:r>
      <w:r w:rsidRPr="00640820">
        <w:rPr>
          <w:rFonts w:ascii="Times New Roman" w:hAnsi="Times New Roman"/>
          <w:color w:val="000000" w:themeColor="text1"/>
          <w:sz w:val="16"/>
          <w:szCs w:val="16"/>
        </w:rPr>
        <w:softHyphen/>
        <w:t>ладывалась в коробку, устанавливавшуюся на специальном кронштейне под пушкой. Выброс стреляных гильз из башни наружу под брониров</w:t>
      </w:r>
      <w:r w:rsidRPr="00640820">
        <w:rPr>
          <w:rFonts w:ascii="Times New Roman" w:hAnsi="Times New Roman"/>
          <w:color w:val="000000" w:themeColor="text1"/>
          <w:sz w:val="16"/>
          <w:szCs w:val="16"/>
        </w:rPr>
        <w:softHyphen/>
        <w:t>ку ствола осуществлялся через трубку газоотвода, а звеньев лент - по направляющей на днище танка. Из пушки можно было вести стрельбу на дальности до 2000 м осколочно-трассирующими и осколочно-зажи-гательными снарядами с взрывателем мгновенного действия, а также бронебойно-зажигательными снарядами с карбид-вольфрамовыми сер</w:t>
      </w:r>
      <w:r w:rsidRPr="00640820">
        <w:rPr>
          <w:rFonts w:ascii="Times New Roman" w:hAnsi="Times New Roman"/>
          <w:color w:val="000000" w:themeColor="text1"/>
          <w:sz w:val="16"/>
          <w:szCs w:val="16"/>
        </w:rPr>
        <w:softHyphen/>
        <w:t>дечниками. Существенным недостатком автоматической пушки ТНШ были от</w:t>
      </w:r>
      <w:r w:rsidRPr="00640820">
        <w:rPr>
          <w:rFonts w:ascii="Times New Roman" w:hAnsi="Times New Roman"/>
          <w:color w:val="000000" w:themeColor="text1"/>
          <w:sz w:val="16"/>
          <w:szCs w:val="16"/>
        </w:rPr>
        <w:softHyphen/>
        <w:t>носительно низкое осколочное действие и малая бронепробиваемость 20-мм снарядов. Дальнейшие работы по повышению огневой мощи легких танков, которые предусматривали установку 23-мм авиационной пушки ВЯ и 37-мм пушек ЗИС-19 и ЗИС-19БМ, остались на стадии опытных разра</w:t>
      </w:r>
      <w:r w:rsidRPr="00640820">
        <w:rPr>
          <w:rFonts w:ascii="Times New Roman" w:hAnsi="Times New Roman"/>
          <w:color w:val="000000" w:themeColor="text1"/>
          <w:sz w:val="16"/>
          <w:szCs w:val="16"/>
        </w:rPr>
        <w:softHyphen/>
        <w:t>боток, поскольку на вооружение был принят легкий танк Т-70 с 45-мм пушкой 20К (10703).</w:t>
      </w:r>
    </w:p>
    <w:p w14:paraId="720F66E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EA874D"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67556C69"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32CF75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5/6 декабря 1941 года вышел Приказ НКБ № 47</w:t>
      </w:r>
    </w:p>
    <w:p w14:paraId="7F1AE1A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целью создания базы по изготовлению порохов организовать филиал завода № 512 на территории завода в Люберцах (5679, 119).</w:t>
      </w:r>
    </w:p>
    <w:p w14:paraId="4550DF2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8E8AB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5 декабря 1941 г. считается началом деятельности завода № 254 (Завод № 254 НКОП, НКБ, п/я 65, Завод «Сельмаш» МСХМ, Челябинский завод производства сигнальных средств (ЧЗПСС), ПО «Сигнал», ГП «ПО «Сигнал» Росбоеприпаса /г. Копейск Челябинской обл./ / г. Челябинск п/я 65 «Марс» (1943 г.)/ /454010 (454139)  г. Челябинск ул. Новороссийская, 2 тел. 53-37-60/), когда приказом НКБ было назначено руководство завода. В 1941 г. утверждено первое проектное задание на строительство завода. В 12.1942-04.1943 г. - в ведении 6ГУ НКБ. Имел обозначение «п/я 65» (1943 г.).</w:t>
      </w:r>
    </w:p>
    <w:p w14:paraId="596BEE8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12.1941 г. выпущена первая продукция- трассеры, зажигательные и дымовые шашки. В 01.1942 г. первую продукцию выпустил инструментальный цех. По приказу НКБ от 22.02.1942 г. завод был обязан к 20.03.1942 г. построить два здания капсюльного производства; три здания, погребки и склад для производства гранат и запалов. Выпуск гранат начат 10.02.1942 г. в еще недостроенных корпусах; в 05.1942 г. пущено капсюльное производство. По приказу НКБ от 16.09.1942 г. на заводе создано производство азидных капсюлей. В 1942 г. построено 16 производственных корпусов общей площадью 4311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освоен выпуск 33 военных изделий. В 1943 г. построено 22 промышленных объекта общей площадью 12,8 тыс.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 т.ч. 4 корпуса азидного производства, пущеного в 06.1943 г., здание сушки составов, котельная, центральная распределительная подстанция. В составе завода цехи (1943 г.): основные: № 1 (капсюли), № 2 (гильзовый), № 3 (дымовые шашки), № 4 (производство гранат), № 5 (пиротехнический); вспомогательные: № 6, 7, 8, 9, 10, 11. В годы войны освоен выпуск более 50 изделий.</w:t>
      </w:r>
    </w:p>
    <w:p w14:paraId="1CABD5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06.1945 г. завод переведен на программу мирного времени. Объем выпуска продукции сокращен почти вдвое, прекращен выпуск трассеров и зажигательных шашек, номенклатура сокращена до 14 изделий. Начат выпуск пиротехники для железных дорог, охотничьих патронов, ТНП из целлулоида, деталей и узлов для сельхозмашин; всего 28 наименований гражданской продукции. Разработано проектное задание по реконструкции завода. В 1946 г. проведена перестройка производства: разборка деревянных зданий и перекрытий, строительство кирпичных корпусов, их обваловка. Были реконструированы цеха: капсюльный, гильзовый, производства дымовых средств, гранат, пиротехнический, дерево-тарный, кузнечно-сварочный, азидный. Инструментальный, картонажный и металлотарный цеха переведены в другие помещения. Построены здания ЦЗЛ, ремонтно-механического цеха. В 1946 г. завод получил название «Сельмаш» и передан в МСХМ. В 1947 г. номенклатура гражданской продукции расширена до 38 наименований (выпускались машины и продукция для борьбы с сельскохозяйственными вредителями: опрыскиватели, протравливатели, корне-клубнемойки, дымовые шашки; позже выпускались детали к шахтным подъемникам, ТНП: игрушки, канцелярские принадлежности, мебель). Затем, в 1948-56 г. увеличено производство оборонной продукции; освоен выпуск трассеров, шашек, запалов, терок, гранат, сигнальных патронов. Построена мастерская снаряжения реактивных двигателей и гранат. В 1957 г. в соответствии с ПСМ от 14.09.1954 г. разработано новое комплексное задание на реконструкцию и строительство завода. Определен состав завода: 5 цехов основного производства; цех, включающий ЦЗЛ, испытательные станцию и площадку, тир; цеха: корпусов дымовых и посадочных шашек, металлической тары и арматуры, картонажный, штамповки капсюлей, инструментальный, деревотарный; блок ремонтных цехов; склады ВВ и готовой продукции; транспортное и энергетическое хозяйство. Предусматривалось введение новых техпроцессов, конвейерных и роторных линий производства. В 1962 г. создан цех механизации и автоматизации для изготовления нестандартного оборудования.</w:t>
      </w:r>
    </w:p>
    <w:p w14:paraId="072ED6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11.1955 г. при заводе создано СКТБ.</w:t>
      </w:r>
    </w:p>
    <w:p w14:paraId="2AF83B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1960-е  г. освоено новое направление - выпуск различных сигналов бедствия: ракет, патронов, шашек (световых, звуковых и дымовых, для подачи сигналов днем и ночью). В 1960-е  г. изготовлялось большое количество оснастки высокого класса точности для других предприятий. Был выделен отдельный корпус под производство электрораспределительных пунктов.</w:t>
      </w:r>
    </w:p>
    <w:p w14:paraId="101761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от 14.02.1970 г. был организован филиал Завода производства сигнальных средств в  г. Еманжелинске (Челябинской обл.) на базе наземных сооружений бывшей шахты. На основной площадке были построены: здание сборки сигнальных и осветительных патронов, блок механических цехов вспомогательного производства, компрессорная.</w:t>
      </w:r>
    </w:p>
    <w:p w14:paraId="6BF20D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1979-91 г. освоен выпуск новых типов вопламенителей, трассеров, дымовых гранат, помеховых патронов, пиронагревателей. В конце 1970-х  г. создано производство гальваноэлементов, оно было оснащено японским и немецким (ГДР) оборудованием. В 1990-91 г. завод выпускал до 60 млн. шт. в год.</w:t>
      </w:r>
    </w:p>
    <w:p w14:paraId="400E1D4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1967 г. завод № 254 переименован в ЧЗПСС. В соответствии с ПСМ от 2.03.1973 г. и приказом от 12.02.1979 г. на базе завода и Еманжелинского филиала создано ПО «Сигнал».</w:t>
      </w:r>
    </w:p>
    <w:p w14:paraId="788562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1980-е  г. организован участок по разливу лакокрасочных материалов; создано производство машин для обеспыливания хлопка, стеллажей для торговли и общепита.</w:t>
      </w:r>
    </w:p>
    <w:p w14:paraId="3010E2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1998 г. предприятие не получило оборонного заказа, была начата процедура банкротства, и введено внешнее управление.</w:t>
      </w:r>
    </w:p>
    <w:p w14:paraId="12CF045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2AE5AF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(1943 г.): производственная- 29568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вспомогательная- 1461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прочая- 100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4880446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(1.01.1939 г.)- 47 чел., (12.1942 г.)- 2510 чел.</w:t>
      </w:r>
      <w:r w:rsidRPr="00640820">
        <w:rPr>
          <w:rFonts w:ascii="Times New Roman" w:hAnsi="Times New Roman"/>
          <w:color w:val="000000" w:themeColor="text1"/>
          <w:sz w:val="16"/>
          <w:szCs w:val="16"/>
          <w:vertAlign w:val="superscript"/>
        </w:rPr>
        <w:t>132</w:t>
      </w:r>
    </w:p>
    <w:p w14:paraId="7BCDC2D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Директор строительства (1938-39 г.)- М.А. Рза-аде, (1939-40 г.)- И.А. Реутов, (1940 г.-)- А.З. Селиверстов. Директор (5.12.1941-лето 1942 г.)- В.И. Куликов. Начальник (лето 1942-51 г.)- С.М. Беленький. Директор (1951- 53 г.)- Н.Н. Береговой, (1953 г.-)-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xml:space="preserve">. Курдюмов, (-1978 г.)-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Ушков, (1978-79 г.)- Н.Ф. Вихорев. Гендиректор (1979-98 г.)- Н.Ф. Вихорев, (1998-2006 г.-)- Н.А. Шумилов.</w:t>
      </w:r>
    </w:p>
    <w:p w14:paraId="1FB8A9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Гл. инженер (5.12.1941-04.1943 г.-)-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Курдюмов, (1977 г.-)- Н.Ф. Вихорев.</w:t>
      </w:r>
    </w:p>
    <w:p w14:paraId="0A4FE1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инженера (1971 г.-)- Н.Ф. Вихорев.</w:t>
      </w:r>
    </w:p>
    <w:p w14:paraId="3588C4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(ВОВ)- К.А. Митин.</w:t>
      </w:r>
    </w:p>
    <w:p w14:paraId="5AE581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Гл. технолог (5.12.1941 г.-)- Каплунник. Гл. механик (5.12.1941 г.-)-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Ройтман. Гл. энергетик (5.12.1941 г.-)- Сизов.</w:t>
      </w:r>
    </w:p>
    <w:p w14:paraId="31A663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производства (5.12.1941 г.-)- Каплунник.</w:t>
      </w:r>
    </w:p>
    <w:p w14:paraId="5747925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цехов: механизации и автоматизации (1962 г.-)- П.В. Будовский; электрораспределительных пунктов (1960-е)- Б.И. Каганов, Я.И. Усиков, А.И. Телегин; (1941 г.-)- А. Кузнецов, (ВОВ)- Н. Г. Грубов, (ВОВ)- А.Ф. Спиридонов, (ВОВ)- А.А. Кашенков. Руководитель экспериментальной мастерской- М.А. Кемаев.</w:t>
      </w:r>
    </w:p>
    <w:p w14:paraId="6FC6D2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w:t>
      </w:r>
      <w:r w:rsidRPr="00640820">
        <w:rPr>
          <w:rFonts w:ascii="Times New Roman" w:hAnsi="Times New Roman"/>
          <w:iCs/>
          <w:color w:val="000000" w:themeColor="text1"/>
          <w:sz w:val="16"/>
          <w:szCs w:val="16"/>
        </w:rPr>
        <w:t xml:space="preserve"> гранаты:</w:t>
      </w:r>
      <w:r w:rsidRPr="00640820">
        <w:rPr>
          <w:rFonts w:ascii="Times New Roman" w:hAnsi="Times New Roman"/>
          <w:color w:val="000000" w:themeColor="text1"/>
          <w:sz w:val="16"/>
          <w:szCs w:val="16"/>
        </w:rPr>
        <w:t xml:space="preserve"> ручные Ф-1 (1943), РГД-33 (02.1942-), РГ-42 (1942-43-), дымовые (1943); реактивные противотанковые РПГ-26 (7П27), РПГ-27 (7П30) (2004); гильзы для РГ-33, колпачки;</w:t>
      </w:r>
      <w:r w:rsidRPr="00640820">
        <w:rPr>
          <w:rFonts w:ascii="Times New Roman" w:hAnsi="Times New Roman"/>
          <w:iCs/>
          <w:color w:val="000000" w:themeColor="text1"/>
          <w:sz w:val="16"/>
          <w:szCs w:val="16"/>
        </w:rPr>
        <w:t xml:space="preserve"> капсюли: - </w:t>
      </w:r>
      <w:r w:rsidRPr="00640820">
        <w:rPr>
          <w:rFonts w:ascii="Times New Roman" w:hAnsi="Times New Roman"/>
          <w:color w:val="000000" w:themeColor="text1"/>
          <w:sz w:val="16"/>
          <w:szCs w:val="16"/>
        </w:rPr>
        <w:t>воспламенители: для патронов 7,62- мм, 12,7-мм, для «Маузер», для РГ-33, для КВМ-3 (1943), охотничьих (1950- е-60-е); -детонаторы ТАТ-1, ТАТ-2 (1943-); зажигательные авиабомбы ЗАБ-2,5 (1943-); шашки: дымовые МДШ, ДШ-100, ДМ-11 (1943), для борьбы с насекомыми Д-20, Г-17 (1970-е), нейтральные НДШ (1970-е); зажигательные, имитации разрывов артиллерийских снарядов (ШИРАС) (-1945; 1950-е); трассеры ЗИК, МД-5; шашки 20-мм, 23-мм;</w:t>
      </w:r>
      <w:r w:rsidRPr="00640820">
        <w:rPr>
          <w:rFonts w:ascii="Times New Roman" w:hAnsi="Times New Roman"/>
          <w:iCs/>
          <w:color w:val="000000" w:themeColor="text1"/>
          <w:sz w:val="16"/>
          <w:szCs w:val="16"/>
        </w:rPr>
        <w:t xml:space="preserve"> патроны:</w:t>
      </w:r>
      <w:r w:rsidRPr="00640820">
        <w:rPr>
          <w:rFonts w:ascii="Times New Roman" w:hAnsi="Times New Roman"/>
          <w:color w:val="000000" w:themeColor="text1"/>
          <w:sz w:val="16"/>
          <w:szCs w:val="16"/>
        </w:rPr>
        <w:t xml:space="preserve"> сигнальные и осветительные 26-мм, реактивные РОКС (1943), охотничьи (1950- е-60-е); бомба САБ-100-55 (1943);</w:t>
      </w:r>
      <w:r w:rsidRPr="00640820">
        <w:rPr>
          <w:rFonts w:ascii="Times New Roman" w:hAnsi="Times New Roman"/>
          <w:color w:val="000000" w:themeColor="text1"/>
          <w:sz w:val="16"/>
          <w:szCs w:val="16"/>
          <w:vertAlign w:val="superscript"/>
        </w:rPr>
        <w:t>Ь2</w:t>
      </w:r>
      <w:r w:rsidRPr="00640820">
        <w:rPr>
          <w:rFonts w:ascii="Times New Roman" w:hAnsi="Times New Roman"/>
          <w:color w:val="000000" w:themeColor="text1"/>
          <w:sz w:val="16"/>
          <w:szCs w:val="16"/>
        </w:rPr>
        <w:t xml:space="preserve"> сигналы бедствия: сигнальные ракеты (световые, звуковые, парашютные) (1960-е-), светодымящиеся буйки, сигнальный буй для ПЛ (для глубин до 450 м) (2000-е), сигнал охотника (1980- е); изд. «Пламя»; пиротехнические изделия промышленно-технического назначения; профессиональные высотные фейерверки; пиротехнические игрушки: фейерверки, бенгальские огни, римские свечи, хлопушки (1980-е-); электрораспределительные пункты ПР-9000 (1960-70); гальваноэлементы А-316, А-343 (1979-); алюминиевая посуда (1970-е).</w:t>
      </w:r>
    </w:p>
    <w:p w14:paraId="399793F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СКТБ завода № 254</w:t>
      </w:r>
    </w:p>
    <w:p w14:paraId="07141C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в 11.1954 г. В 1957 г. при СКТБ создана экспериментальная мастерская для изготовления первых вариантов узлов и станков.</w:t>
      </w:r>
    </w:p>
    <w:p w14:paraId="29986B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1955 г. разработано 108 проектов нестандартного оборудования.</w:t>
      </w:r>
    </w:p>
    <w:p w14:paraId="576B4B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И.О. начальника (11.1954 г.-)- Б.А. Кудрявый. Начальник-</w:t>
      </w:r>
      <w:r w:rsidRPr="00640820">
        <w:rPr>
          <w:rFonts w:ascii="Times New Roman" w:hAnsi="Times New Roman"/>
          <w:iCs/>
          <w:color w:val="000000" w:themeColor="text1"/>
          <w:sz w:val="16"/>
          <w:szCs w:val="16"/>
        </w:rPr>
        <w:t xml:space="preserve"> Я.И.</w:t>
      </w:r>
      <w:r w:rsidRPr="00640820">
        <w:rPr>
          <w:rFonts w:ascii="Times New Roman" w:hAnsi="Times New Roman"/>
          <w:color w:val="000000" w:themeColor="text1"/>
          <w:sz w:val="16"/>
          <w:szCs w:val="16"/>
        </w:rPr>
        <w:t xml:space="preserve"> Рон, (1970-81 г.)- И.М. Хазанов.</w:t>
      </w:r>
    </w:p>
    <w:p w14:paraId="4A4B56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Создано:</w:t>
      </w:r>
      <w:r w:rsidRPr="00640820">
        <w:rPr>
          <w:rFonts w:ascii="Times New Roman" w:hAnsi="Times New Roman"/>
          <w:color w:val="000000" w:themeColor="text1"/>
          <w:sz w:val="16"/>
          <w:szCs w:val="16"/>
        </w:rPr>
        <w:t xml:space="preserve"> линия прессования таблеток «Ферракут», линия подготовки компонентов.</w:t>
      </w:r>
    </w:p>
    <w:p w14:paraId="4735C8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Еманжелинский филиал ЧЗПСС</w:t>
      </w:r>
    </w:p>
    <w:p w14:paraId="756718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от 14.02.1970 г. был организован филиал Завода производства сигнальных средств в  г. Еманжелинске (Челябинской обл.) на базе наземных сооружений бывшей шахты. Ему было передано 19 сооружений постройки 1939 г. общей площадью 10,5 тыс.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 т.ч. котельная, механическая мастерская, телефонная станция, компрессорная, инструментальный цех, гараж, подстанция, здание аглофабрики, кузница, шлифовальное отделение, склад ГСМ. На их базе требовалось организовать цех по производству деталей из пластмасс, полиэтиленовой укупорки, нейтральных дымовых средств и выпустить первую продукцию в 111-м квартале 1970 г.</w:t>
      </w:r>
    </w:p>
    <w:p w14:paraId="0F1588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от 2.03.1973 г. и приказом от 12.02.1979 г. было создано ПО «Сигнал», в состав которого вошел филиал.</w:t>
      </w:r>
    </w:p>
    <w:p w14:paraId="481026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(1970 г.-)- А.П. Шитяков (11982).</w:t>
      </w:r>
    </w:p>
    <w:p w14:paraId="2EA29C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F4A63FD" w14:textId="77777777" w:rsidR="00D16B42" w:rsidRPr="00640820" w:rsidRDefault="00D16B42"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5 декабря</w:t>
      </w:r>
      <w:r w:rsidRPr="00640820">
        <w:rPr>
          <w:rFonts w:ascii="Times New Roman" w:hAnsi="Times New Roman"/>
          <w:color w:val="000000" w:themeColor="text1"/>
          <w:sz w:val="16"/>
          <w:szCs w:val="16"/>
        </w:rPr>
        <w:t xml:space="preserve"> в 1941 году в соответствии с третьим пятилетним планом развития народного хозяйства страны на 1938—1942 годы. Совнарком СССР 23 октября 1938 года принял решение о строительстве капсюльно-пиротехнического завода на Урале. Площадку под строительство завода выбрали на юго-восточном берегу озера Смолино на окраине города Челябинска. Приказом Наркома оборонной промышленности СССР от 4 ноября 1938 года заводу был присвоен № 254. На 1 января 1939 год в штате завода было 47 человек, из них 35 рабочих, остальные ИТР, служащие, МОП. Постановлением президиума Челябинского облисполкома (протокол от 10 июля 1939 года) утвержден отвод земель под строительство промышленных зданий и жилищно-культурно-бытовых помещений завода. Постановлением Совета народных комиссаров СССР от 9 января 1940 года утверждена площадка завода. С началом Великой Отечественной войны по Приказу НКБ СССР от 10 октября 1941 года на завод № 254 были эвакуированы гильзовый капсюльный, пиротехнический и дерево-тарный цеха завода № 11. Началом деятельности завода № 254 считается 5 декабря 1941 года. В декабре 1941 года на заводе осуществили выпуск первых образцов военной продукции: трассеров, зажигательных шашек, дымовых шашек. В январе 1942 года инструментальным цехом был произведен первый выпуск инструмента. В 1942 году на заводе было освоено 33 изделия военной техники: ручные гранаты Ф-1, РГД-33, РГ-42, капсюли, шашки дымовые, трассеры, 26-мм осветительные и сигнальные патроны. Объем производства военной продукции в 1943 году увеличился по сравнению с 1942 годом в 6 раз. Был освоен выпуск новых изделий, в том числе капсюлей-детонаторов ТАТ-1 и зажигательных авиабомб ЗАБ-2,5. За годы Великой Отечественной войны завод сформировался как комплекс по производству капсюлей, средств пиротехники, гранат с достаточно развитым </w:t>
      </w:r>
      <w:r w:rsidRPr="00640820">
        <w:rPr>
          <w:rFonts w:ascii="Times New Roman" w:hAnsi="Times New Roman"/>
          <w:color w:val="000000" w:themeColor="text1"/>
          <w:sz w:val="16"/>
          <w:szCs w:val="16"/>
        </w:rPr>
        <w:lastRenderedPageBreak/>
        <w:t>вспомогательным хозяйством и энергетикой. Было освоено более 50 наименований изделий. С июня 1945 года завод был переведен на программу мирного времени. Многие изделия военной техники были сняты с производства. Объем выпуска продукции по сравнению с 1944 годом сократился почти вдвое. Заказы на оборонные изделия резко сократились. Катастрофическим оказалось финансовое состояние. Руководство завода принимало меры по выводу из кризисного состояния. Начали освоение пиротехнических изделий для нужд железнодорожников, охотничьих патронов, ранее не выпускавшихся промышленностью. В течение 1946 года была завершена перестройка производства цехов. Профиль завода с его основной номенклатурой был сохранен. Наряду с этим был освоен выпуск гражданских изделий, всего 28 наименований. Основная номенклатура сузилась до 14 наименований изделий. С 1946 года завод назывался «Сельмаги». Завод был передан Министерству сельскохозяйственного машиностроения. 1947 год считается годом дальнейшего наращивания выпуска гражданской продукции и товаров народного потребления. Их номенклатура была расширена до 38 наименований и являлась максимальной во всей истории завода. Последующие 1948—1956 годы характеризуются ростом объемов за счет выпуска основной номенклатуры оборонного профиля. Были освоены новые виды изделий: трассеры, шашки имитации разрывов артиллерийских снарядов (ШИРАС), запалы, терки, гранаты, сигнальные патроны и другие. В 1957 году проектный институт в соответствии с Постановлением Совета Министров СССР от 14 сентября 1954 года, разработал комплексное задание на реконструкцию и строительство завода. Проектом также предусматривалось введение новых технологических процессов снаряжения гранат, создание комплексов оборудования с полной механизацией производства дымовых шашек, механизация приготовления пиро- технических составов. Производство зажигательных шашек переводилось на роторные линии, вводились внутрицеховые и межцеховые подвесные конвейеры. С 1959 года на заводе началось производство новых средств для Вооруженных Сил, такие как реактивные патроны, запускаемые с руки, и другие осветительные и сигнальные средства. Дальнейшее развитие завода в 1966—1978 годы осуществлялось по проектному заданию, разработанному проектным институтом в 1965 году на основании Постановления Совета Министров СССР от 23 июня 1954 года и дополнения к проектному заданию строительства и реконструкции предприятия. С 1967 года завод стал именоваться «Челябинский завод производства сигнальных средств». В новую номенклатуру взамен устаревших изделий были введены более современные виды реактивных патронов, гранат, дымовых гранат и других средств военной техники. Задание по созданию производственных мощностей, установленное заводу Министерством по Постановлению ЦК КПСС и Совета Министров СССР, потребовало значительного расширения промышленной площадки и перераспределения производства дымовых изделий, наземных патронов и др. С этой целью по Приказу Министра от 14 февраля 1970 года на базе наземных сооружений бывшей шахты в г. Еманжелинске (Челябинская область) был создан филиал завода. С 1979 года с целью повышения эффективности производства и дальнейшего совершенствования организации управления в соответствии с Постановлением ЦК КПСС от 2 марта 1973 г. и Приказом Министра от 12 февраля 1979 года на базе Челябинского завода производства сигнальных средств (ЧЗПСС) и Еманжелинского филиала было образовано производственное объединение «Сигнал». В период с 1979 по 1991 год был освоен целый ряд изделий военной техники, в том числе воспламенители, трассеры, дымовые гранаты, помеховые патроны, пиронагреватели и так далее, а также гражданские изделия и ТИП. Освоение новых изделий осуществлялось небольшими установочными партиями, зачастую с доработками и совершенствованием или заменой конструкции и технологии, что потребовало от инженерно-технических служб и производственных подразделений приложения максимальных усилий, оперативного твор- ческого подхода к решению технических проблем. В отдельные годы выпуск новых изделий занимал в общем объеме более 50% (14851).</w:t>
      </w:r>
    </w:p>
    <w:p w14:paraId="53EAA7A4" w14:textId="77777777" w:rsidR="00D16B42" w:rsidRPr="00640820" w:rsidRDefault="00D16B42" w:rsidP="00640820">
      <w:pPr>
        <w:spacing w:after="0" w:line="240" w:lineRule="auto"/>
        <w:jc w:val="both"/>
        <w:rPr>
          <w:rFonts w:ascii="Times New Roman" w:hAnsi="Times New Roman"/>
          <w:color w:val="000000" w:themeColor="text1"/>
          <w:sz w:val="16"/>
          <w:szCs w:val="16"/>
        </w:rPr>
      </w:pPr>
    </w:p>
    <w:p w14:paraId="6C2E2A6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декабря 1941 г. Снаряжательный завод № 637 НКБ (Завод № 637 НКБ, п/я 25, Эльбанский механический завод, ФГУП «Дальневосточное ПО (ДВПО) «Восход» Росбоеприпаса /ст. Эльбан Дальневосточной ж/д п/я 25 «Енисей» (1943 г.)/ /682610 пос. Эльбан Хабаровского кр. ул. Заводская, 1/) выпустил первую продукцию.</w:t>
      </w:r>
    </w:p>
    <w:p w14:paraId="421D738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12.1942-11.1943 г. -введении 1ГУ НКБ.</w:t>
      </w:r>
    </w:p>
    <w:p w14:paraId="7EE4FD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завода цехи (1943 г.): основные: № 1 (снаряды, Ф-1, М-50), № 2 (АО-Ю, -25), № 3 (запалы), № 4 (снаряды, мины 82-мм), № 5 (ФАБ), № 6 (суррогатные ВВ), № 7 (снаряды 122-мм, мины 120-мм), № 8 (испытания запалов), высверловочная мастерская; вспомогательные: ремонтно-механическая мастерская, заводская лаборатория, котельная.</w:t>
      </w:r>
    </w:p>
    <w:p w14:paraId="31E93E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боеприпасов. По 1.12.1944 г. выпущено 15.588 тыс. шт. боеприпасов.</w:t>
      </w:r>
    </w:p>
    <w:p w14:paraId="5C00078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Указу Президента РФ № 1009 от 4.08.2004 г. вошло в перечень стратегических оборонных предприятий.</w:t>
      </w:r>
    </w:p>
    <w:p w14:paraId="082E3D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(1943 г.): производственная- 7792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вспомогательная- 913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прочая- 1211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710402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(12.1942 г.)- 1093 чел.</w:t>
      </w:r>
    </w:p>
    <w:p w14:paraId="41D876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Директор (04.1943 г.)-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Кошелев.</w:t>
      </w:r>
    </w:p>
    <w:p w14:paraId="2858063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(04.1943 г.)- Сергеев.</w:t>
      </w:r>
    </w:p>
    <w:p w14:paraId="53F45A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технолог (04.1943 г.)- Секрет.</w:t>
      </w:r>
    </w:p>
    <w:p w14:paraId="60479D1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граната Ф-1; мины: М-50, 82-мм, 120-мм; снаряды: 76-мм, 122-мм; бомбы: АО-Ю, АО-25, ФАБ-100, -250; мина ЯМ-5М; взрыватель АМ-А, запал Ковешникова (1943);</w:t>
      </w:r>
      <w:r w:rsidRPr="00640820">
        <w:rPr>
          <w:rFonts w:ascii="Times New Roman" w:hAnsi="Times New Roman"/>
          <w:color w:val="000000" w:themeColor="text1"/>
          <w:sz w:val="16"/>
          <w:szCs w:val="16"/>
          <w:vertAlign w:val="superscript"/>
        </w:rPr>
        <w:t>132</w:t>
      </w:r>
      <w:r w:rsidRPr="00640820">
        <w:rPr>
          <w:rFonts w:ascii="Times New Roman" w:hAnsi="Times New Roman"/>
          <w:color w:val="000000" w:themeColor="text1"/>
          <w:sz w:val="16"/>
          <w:szCs w:val="16"/>
        </w:rPr>
        <w:t xml:space="preserve"> (2000-е): патроны охотничьи; эмали ПФ-115, ПФ-266; спецодежда, белье (11982).</w:t>
      </w:r>
    </w:p>
    <w:p w14:paraId="3662CA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70945ED" w14:textId="77777777" w:rsidR="00D16B42" w:rsidRPr="00640820" w:rsidRDefault="00D16B42"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5 декабря</w:t>
      </w:r>
      <w:r w:rsidRPr="00640820">
        <w:rPr>
          <w:rFonts w:ascii="Times New Roman" w:hAnsi="Times New Roman"/>
          <w:color w:val="000000" w:themeColor="text1"/>
          <w:sz w:val="16"/>
          <w:szCs w:val="16"/>
        </w:rPr>
        <w:t xml:space="preserve"> в 1941 году образовано ФГУП "Дальневосточное ПО "Восход" – посёлок городского типа Эльбан </w:t>
      </w:r>
    </w:p>
    <w:p w14:paraId="09CC5996" w14:textId="77777777" w:rsidR="00D16B42" w:rsidRPr="00640820" w:rsidRDefault="00D16B42" w:rsidP="00640820">
      <w:pPr>
        <w:spacing w:after="0" w:line="240" w:lineRule="auto"/>
        <w:jc w:val="both"/>
        <w:rPr>
          <w:rFonts w:ascii="Times New Roman" w:hAnsi="Times New Roman"/>
          <w:color w:val="000000" w:themeColor="text1"/>
          <w:sz w:val="16"/>
          <w:szCs w:val="16"/>
        </w:rPr>
      </w:pPr>
    </w:p>
    <w:p w14:paraId="7F9583B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декабря 1941 Госкомитет обороны приказал остановить производство 57-мм противотанковых орудий и перейти на выпуск 76-мм пушек. Первые серийные ЗИС-3 фактически представляли собой ЗИС-2, для которых не было годных 57-мм стволов. Вместо них ставились стволы от Ф-22УСВ с дульным тормозом. Орудия поступили на фронт в конце 1941 г. [84 — Мальгинов В. Такие разные ЗИС-3.// М-хобби, № 9 (75), 2006, с. 34–35.] И только потом Грабин сумел убедить Сталина разрешить-таки производство ранее завернутой военными ЗИС-3. Так появился привычный вариант этой пушки. Вопреки распространенному мнению, орудие ЗИС-3 отнюдь не являлось «шедевром в проектировании артиллерийских систем», а, наоборот, уступало по тактико-техническим характеристикам даже своим предшественницам. [85 — Мальгинов В. Против танков.// М-хобби, № 2 (68), 2006, с. 28–30.] Да и внешний вид у нее был довольно неказистый. Но война есть война, времени на поиски и эксперименты больше не было. Да и альтернативы у пушки ЗИС-3, «благодаря» бурной деятельности товарища Грабина, у страны не было. Но главный итог деятельности артиллерийских заводов СССР в 30-е годы состоял в том, что в 1941 г. Красная Армия осталась без полноценных противотанковых орудий. Бронебойный снаряд 45-мм пушки 53-К весил всего 1,4 кг. Поэтому броню он пробивал только при качественном изготовлении, чего и в помине не было. Что касается 76мм пушек, которые практически монополизировало КБ Грабина, то ни одну из них нельзя в полной мере назвать противотанковой (11741).</w:t>
      </w:r>
    </w:p>
    <w:p w14:paraId="25EAF47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B19C8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5 декабря 1941 в серию на СТЗ пошли упрощенные корпуса Т-34, поступающие с завода № 264 (9050,20).</w:t>
      </w:r>
    </w:p>
    <w:p w14:paraId="55CDAC7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5E6C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декабря 1941 года был подготовлен Акт:</w:t>
      </w:r>
    </w:p>
    <w:p w14:paraId="1782F1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основании приказа зам. наркома общего машиностроения от 14 ноября 1941 года и приказа Главлегмаша от 26 ноября 1941 года за № 12 произведена приемка бывшего завода трикотажных машин Главлегмаша на правах филиала формового завода № 3</w:t>
      </w:r>
    </w:p>
    <w:p w14:paraId="157DD4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Московский завод трикотажных машин после эвакуации был закрыт (эвакуирован в г. Очер). Во второй половине ноября 1941 года из оставшегося оборудования было организовано новое производство, выполняющее заказы НКМВ и райкома ВКП(б).</w:t>
      </w:r>
    </w:p>
    <w:p w14:paraId="173B34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завода трикотажных машин: Москва, Калужский пер., 4 (8659,1).</w:t>
      </w:r>
    </w:p>
    <w:p w14:paraId="556C5C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92084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декабря 1941 года мотоциклетный завод Главмотовелопрома НК среднего машиностроения, который 23 ноября 1941 года на основании постановления ГКО стал заводом № 524, был передан в систему оборонной промышленности.</w:t>
      </w:r>
    </w:p>
    <w:p w14:paraId="2F88E4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Основной задачей организации завода № 524 и передачи его в Министерство вооружения было в основном изготовление пулемета системы “Максим”, станка системы Соколова и изготовление запасных деталей и узлов пулемета “Максим”. Указанная продукция изготовлялась на заводе с 1942 года до 1945 года включительно.</w:t>
      </w:r>
    </w:p>
    <w:p w14:paraId="31B7565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1945 года завод изготавливал охотничьи ружья, электромоторные пилы, а также тракторные детали для с/х.</w:t>
      </w:r>
    </w:p>
    <w:p w14:paraId="61792D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1948 году заводом был освоен из оборонной продукции автомат системы Калашникова (АК-47).</w:t>
      </w:r>
    </w:p>
    <w:p w14:paraId="00C955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1949 года завод был передан в 4 гл. управление МОП с прекращением выпуска всех изделий ранее изготовлявшихся на заводе и переводом завода на освоение новых производств.</w:t>
      </w:r>
    </w:p>
    <w:p w14:paraId="46F04E9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Первоначальной базой на которой был организован Мотоциклетный завод, служили помещения бывшей частной фабрики охотружей.</w:t>
      </w:r>
    </w:p>
    <w:p w14:paraId="0C04A7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Ижевск, п/я 33</w:t>
      </w:r>
    </w:p>
    <w:p w14:paraId="299B470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 Фомин</w:t>
      </w:r>
    </w:p>
    <w:p w14:paraId="450083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Территория завода расположена в центральной части Ижевска, между улицами М. Горького, Красной и переулками Бородина и Красногеройским (9560).</w:t>
      </w:r>
    </w:p>
    <w:p w14:paraId="3FBCDD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B9133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декабря 1941 Балтийский завод завершил переоборудование ледокола "Молотов" во вспомогательный крейсер (10671).</w:t>
      </w:r>
    </w:p>
    <w:p w14:paraId="1C82E60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4BF0124"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0E9BAC2E"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5291BFC" w14:textId="77777777" w:rsidR="00D16B42" w:rsidRPr="00640820" w:rsidRDefault="00D16B42"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5 декабря</w:t>
      </w:r>
      <w:r w:rsidRPr="00640820">
        <w:rPr>
          <w:rFonts w:ascii="Times New Roman" w:hAnsi="Times New Roman"/>
          <w:color w:val="000000" w:themeColor="text1"/>
          <w:sz w:val="16"/>
          <w:szCs w:val="16"/>
        </w:rPr>
        <w:t xml:space="preserve"> в 1941 году утреннее сообщение Совинформбюро:</w:t>
      </w:r>
    </w:p>
    <w:p w14:paraId="152339AA" w14:textId="77777777" w:rsidR="00D16B42" w:rsidRPr="00640820" w:rsidRDefault="00D16B4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течение ночи на 5 декабря наши части вели бои с противником на всех фронтах.</w:t>
      </w:r>
    </w:p>
    <w:p w14:paraId="0367DB32" w14:textId="77777777" w:rsidR="00D16B42" w:rsidRPr="00640820" w:rsidRDefault="00D16B4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бойцы в ожесточённом бою с противником на одном из участков Западного фронта за один день уничтожили 12 ненецких танков, 10 орудий, 5 миномётов и истребили 1.300 вражеских солдат и офицеров. На другом участке фронта уничтожено 15 немецких танков.</w:t>
      </w:r>
    </w:p>
    <w:p w14:paraId="4250B5A0" w14:textId="77777777" w:rsidR="00D16B42" w:rsidRPr="00640820" w:rsidRDefault="00D16B4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Части Южного фронта, преследуя отступающие немецкие войска, за один день освободили около 90 населённых пунктов. Бойцы тов. Харитонова за три дня боёв захватили у немцев 34 танка, 53 орудия, 58 пулемётов, 154 машины и много других трофеев.</w:t>
      </w:r>
    </w:p>
    <w:p w14:paraId="2D549843" w14:textId="77777777" w:rsidR="00D16B42" w:rsidRPr="00640820" w:rsidRDefault="00D16B4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Лейтенант Желновский и красноармейцы Денисов, Зимин и Петров ночью проникли в тыл противника. Смелые разведчики уничтожили легковую машину с белофинскими офицерами, грузовую машину с немецкими солдатами, а также сожгли два дома вместе с расположившимися в них пехотинцами неприятеля.</w:t>
      </w:r>
    </w:p>
    <w:p w14:paraId="216213B7" w14:textId="77777777" w:rsidR="00D16B42" w:rsidRPr="00640820" w:rsidRDefault="00D16B4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 ударами Красной Армии воинственный пыл фашистских вояк непрерывно снижается. Пленный солдат 55 полка 77 немецкой пехотной дивизии Фридрих Рейншток говорит: «Дисциплина в немецкой армии поддерживается силой оружия. Один пулемётчик отказался стрелять. Тогда фельдфебель Буйс застрелил его из пистолета. Второй случай: другой пулемётчик заявил, что у него пулемёт не работает и он не может стрелять. Тогда к нему подошёл майор Лох и застрелил его». Ефрейтор группы связи 449 полка 137 немецкой пехотной дивизии Маркус Хехембергер заявил: «Настроение солдат плохое, но мы не можем говорить об этом открыто. Не дай бог, кто-нибудь подслушает... Все мысли у солдат полны одним — скорее вернуться назад. У нас имеется немало случаев членовредительства, чтобы попасть в лазарет и таким образом, выйти из войны».</w:t>
      </w:r>
    </w:p>
    <w:p w14:paraId="4A9B10FF" w14:textId="77777777" w:rsidR="00D16B42" w:rsidRPr="00640820" w:rsidRDefault="00D16B4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Греции на железнодорожной линии между станциями Эдесса и Верия греческие партизаны организовали крушение немецкого воинского эшелона. Убито и ранено-больше 120 солдат.</w:t>
      </w:r>
    </w:p>
    <w:p w14:paraId="39E7E559" w14:textId="77777777" w:rsidR="00D16B42" w:rsidRPr="00640820" w:rsidRDefault="00D16B4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Быстрее овладеть профессией, полностью заменить на производстве своих отцов и братьев, ушедших на фронт, — таково стремление молодых патриотов, учеников ремесленных и железнодорожных училищ в школ ФЗО. В городе Горьком ученики-сталевары т.т. Пинаев, Ломтев, Бугров, Курков, и другие успешно совмещают профессии сталевара, канавщика и ковшевого. Они уже выпускают скоростные плавки, выполняют нормы на 120 и более процентов. Ученики вальцовщики холодного проката т.т. Щелкунов, Глотов и Ванюшин отлично справляются с обязанностями вальцовщиков. Тов. Щелкунов освоил также специальность отжигальщика ленты и систематически выполняет нормы взрослого рабочего на 130-135 процентов. Ученик электрослесарь т. Окис заменил мобилизованного в Красную Армию мастера и успешно руководит группой электрослесарей нового набора, Берчогурская школа ФЗО, Актюбинской области, готовит 250 забойщиков и электрослесарей. Все они сочетают учёбу с работой на производстве. Отличники учёбы т.т. Абылкасимов и Пионткович прекрасно владеют отбойным молотком. Они перевыполняют нормы взрослых рабочих. Молодые шахтёры Калымского прииска «Утиный» т.т. Рогулин и Мамаев внедрили скоростной метод проходки и выполняют план на 440 процентов. В депо Оловянная железной дороги имени Молотова молодые патриоты т.т. Романенко и Лазарев вырабатывают в день по 4 нормы.» (14851).</w:t>
      </w:r>
    </w:p>
    <w:p w14:paraId="10565197" w14:textId="77777777" w:rsidR="00D16B42" w:rsidRPr="00640820" w:rsidRDefault="00D16B42" w:rsidP="00640820">
      <w:pPr>
        <w:spacing w:after="0" w:line="240" w:lineRule="auto"/>
        <w:jc w:val="both"/>
        <w:rPr>
          <w:rFonts w:ascii="Times New Roman" w:hAnsi="Times New Roman"/>
          <w:color w:val="000000" w:themeColor="text1"/>
          <w:sz w:val="16"/>
          <w:szCs w:val="16"/>
        </w:rPr>
      </w:pPr>
    </w:p>
    <w:p w14:paraId="5A84C18E" w14:textId="77777777" w:rsidR="00D16B42" w:rsidRPr="00640820" w:rsidRDefault="00D16B42"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5 декабря</w:t>
      </w:r>
      <w:r w:rsidRPr="00640820">
        <w:rPr>
          <w:rFonts w:ascii="Times New Roman" w:hAnsi="Times New Roman"/>
          <w:color w:val="000000" w:themeColor="text1"/>
          <w:sz w:val="16"/>
          <w:szCs w:val="16"/>
        </w:rPr>
        <w:t xml:space="preserve"> в 1941 году вечернее сообщение Совинформбюро:</w:t>
      </w:r>
    </w:p>
    <w:p w14:paraId="32024B2A" w14:textId="77777777" w:rsidR="00D16B42" w:rsidRPr="00640820" w:rsidRDefault="00D16B4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5 декабря наши войска вели бои с противником на всех фронтах. На Западном фронте наши войска отбили несколько ожесточённых атак противника, а на ряде участков в результате успешных контратак улучшили свои позиции. За 4 декабря в воздушных боях сбито 35 немецких самолётов. Наши потери — 13 самолётов.</w:t>
      </w:r>
    </w:p>
    <w:p w14:paraId="1D0A5749" w14:textId="77777777" w:rsidR="00D16B42" w:rsidRPr="00640820" w:rsidRDefault="00D16B4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4 декабря нашей авиацией уничтожено 65 немецких танков, несколько бронемашин, 380 автомашин с войсками и грузами, 15 полевых и зенитных орудий, 9 автоцистерн с горючим, 145 подвод с грудами и войсками, истреблено и рассеяно до двух полков вражеской пехоты и 150 всадников.</w:t>
      </w:r>
    </w:p>
    <w:p w14:paraId="30C35ADF" w14:textId="77777777" w:rsidR="00D16B42" w:rsidRPr="00640820" w:rsidRDefault="00D16B4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участков Западного фронта противник ценою огромных потерь потеснил наши части и вклинился в нашу оборону. В этом районе немцы сосредоточили до двух пехотных дивизий и одну танковую дивизию. Наши части, перейдя в контрнаступление, после упорных боёв сломили сопротивление противника. Немецкие части начали отход, который затем превратился в беспорядочное отступление. Наши войска заняли ряд населённых пунктов и полностью восстановили свои позиции. Немцы оставили на поле боя несколько тысяч трупов солдат и офицеров. Захвачено 53 подбитых немецких танка, несколько бронемашин, 65 орудий, 50 пулемётов, 35 миномётов, более 500 винтовок, 49 автомашин, 102 повозки, много мотоциклов, велосипедов, а также много боеприпасов.</w:t>
      </w:r>
    </w:p>
    <w:p w14:paraId="5181DE33" w14:textId="77777777" w:rsidR="00D16B42" w:rsidRPr="00640820" w:rsidRDefault="00D16B4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большим успехом действуют в тылу фашистских войск партизаны Карелии. Партизанский отряд под командованием лесничего тов. 3. за последнюю пятидневку ноября истребил до 70 немецких и финских солдат. Отряд совершил нападение на лагерь фашистских резервистов. Забросав бараки гранатами и бутылками с горючей жидкостью, партизаны уничтожили свыше 40 вражеских солдат. Партизанский отряд тов. Д. успешно уничтожает автомашины с боеприпасами и живой силой противника. Партизаны минировали ряд участков дороги, по которой немецко-фашистские войска получали боеприпасы и продовольствие, и устроили многочисленные засады. Благодаря боевым действиям партизан финские части в течение ряда дней не получали снарядов, патронов и продовольствия.</w:t>
      </w:r>
    </w:p>
    <w:p w14:paraId="7E362569" w14:textId="77777777" w:rsidR="00D16B42" w:rsidRPr="00640820" w:rsidRDefault="00D16B4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Растёт трудовой подъём на заводах и фабриках Сталинградской области. На заводе «Баррикады» многие рабочие выполняют задания на 200 процентов. Работница тов. Голованова вырабатывает в смену пять-шесть норм. На заводе «Красный Октябрь" сталевары непрерывно увеличивают выпуск скоростных плавок. Стахановцы тт. Даниленко и Алёшкин, применяя скоростные методы, добились большой экономии в расходовании топлива. За последний месяц они сэкономили 104 тонны мазута. Стахановцы тт. Яблочкин, Дрынкин успешно освоили выпуск новых видов оборонной продукции. Стахановец тов. Терещенко, работая на трёх станках, увеличил производительность труда в четыре раза.» (14851).</w:t>
      </w:r>
    </w:p>
    <w:p w14:paraId="7E463A02" w14:textId="77777777" w:rsidR="00D16B42" w:rsidRPr="00640820" w:rsidRDefault="00D16B42" w:rsidP="00640820">
      <w:pPr>
        <w:spacing w:after="0" w:line="240" w:lineRule="auto"/>
        <w:jc w:val="both"/>
        <w:rPr>
          <w:rFonts w:ascii="Times New Roman" w:hAnsi="Times New Roman"/>
          <w:color w:val="000000" w:themeColor="text1"/>
          <w:sz w:val="16"/>
          <w:szCs w:val="16"/>
        </w:rPr>
      </w:pPr>
    </w:p>
    <w:p w14:paraId="672C4B25" w14:textId="77777777" w:rsidR="00D16B42" w:rsidRPr="00640820" w:rsidRDefault="00D16B42"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5 декабря</w:t>
      </w:r>
      <w:r w:rsidRPr="00640820">
        <w:rPr>
          <w:rFonts w:ascii="Times New Roman" w:hAnsi="Times New Roman"/>
          <w:color w:val="000000" w:themeColor="text1"/>
          <w:sz w:val="16"/>
          <w:szCs w:val="16"/>
        </w:rPr>
        <w:t xml:space="preserve"> в 1941 году начало контрнаступления советских войск против немецко-фашистских войск в битве под Москвой. День воинской славы России. В начале сентября 1941 года немецко-фашистское командование приступило к подготовке операции по захвату Москвы. Замысел операции предусматривал мощными ударами крупных группировок окружить основные силы войск Красной Армии, прикрывавших столицу, и уничтожить их в районах Брянска и Вязьмы, а затем стремительно обойти Москву с севера и юга с целью ее захвата. Операция по взятию Москвы получила кодовое название «Тайфун». Генеральное наступление немецких войск 30 сентября 1941 года. 2 октября перешли в наступление основные группировки немецких войск в районе Смоленска. Гитлеровцам удалось прорвать оборону и к 7 октября окружить четыре советские армии западнее Вязьмы и две - южнее Брянска. Путь на Москву, как полагало немецкое командование, был открыт. Но советские войска в течение двух недель в упорных боях сковывали около 20 немецких дивизий. В это время спешно укреплялась Можайская линия обороны, срочно подтягивались резервные войска. С Ленинградского фронта был отозван Георгий Жуков, который 10 октября вступил в командование Западным фронтом. Несмотря на большие потери, гитлеровцы продолжали рваться к Москве. Они захватили Калинин, Можайск, Малоярославец. Бои шли уже в 80-100 километрах от столицы. В первых числах ноября наступление немцев было остановлено почти на всех участках. Противнику не удалось овладеть Москвой и тем самым победоносно закончить войну на востоке. Но гитлеровцы не смирились с неудачей и не оставили намерений захватить советскую столицу. В спешном порядке подтягивались резервы, проводилась перегруппировка войск для нанесения решающего удара. Советское командование также воспользовалось передышкой в боях для подтягивания к Западному фронту сформированных в Сибири и на Урале дивизий. Несколько дивизий были переброшены под Москву с маньчжурской границы. В середине ноября 1941 года немецкие войска вновь перешли в наступление, но встретили упорное и мужественное сопротивление советских воинов. Особенно отличилась 316-я стрелковая дивизия под командованием генерала Ивана Панфилова, отразившая в первый день наступления несколько танковых атак врага. Упорные бои шли у стен Тулы, в районе Наро-Фоминска и Клина, под Дмитровом и Каширой. Наступление немецких войск стало ослабевать. Создались благоприятные условия для перехода Красной Армии в контрнаступление. Советские войска перешли в наступление 5 декабря 1941 года, разгромили ударные группировки группы армий «Центр» и сняли угрозу, нависшую над Москвой. На полях Подмосковья было нанесено первое крупное поражение немецко-фашистской армии во второй мировой войне, развеян миф о ее непобедимости. В битве под Москвой гитлеровцы потеряли в общей сложности более полумиллиона человек, 1300 танков, 2500 орудий, более 15 тысяч машин и много другой техники. Красная Армия вырвала у врага стратегическую инициативу и создала условия для перехода в общее наступление (14851).</w:t>
      </w:r>
    </w:p>
    <w:p w14:paraId="294BC45A" w14:textId="77777777" w:rsidR="00D16B42" w:rsidRPr="00640820" w:rsidRDefault="00D16B42" w:rsidP="00640820">
      <w:pPr>
        <w:spacing w:after="0" w:line="240" w:lineRule="auto"/>
        <w:jc w:val="both"/>
        <w:rPr>
          <w:rFonts w:ascii="Times New Roman" w:hAnsi="Times New Roman"/>
          <w:color w:val="000000" w:themeColor="text1"/>
          <w:sz w:val="16"/>
          <w:szCs w:val="16"/>
        </w:rPr>
      </w:pPr>
    </w:p>
    <w:p w14:paraId="1E38E0DD" w14:textId="77777777" w:rsidR="00A83C20" w:rsidRPr="00640820" w:rsidRDefault="00A83C2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По 5 декабря 1941 г. за весь период воздушной операции против Москвы (с 22 июля немец</w:t>
      </w:r>
      <w:r w:rsidRPr="00640820">
        <w:rPr>
          <w:rFonts w:ascii="Times New Roman" w:hAnsi="Times New Roman"/>
          <w:color w:val="0070C0"/>
          <w:sz w:val="16"/>
          <w:szCs w:val="16"/>
        </w:rPr>
        <w:softHyphen/>
        <w:t>ко-фашистская авиация предприняла на столи</w:t>
      </w:r>
      <w:r w:rsidRPr="00640820">
        <w:rPr>
          <w:rFonts w:ascii="Times New Roman" w:hAnsi="Times New Roman"/>
          <w:color w:val="0070C0"/>
          <w:sz w:val="16"/>
          <w:szCs w:val="16"/>
        </w:rPr>
        <w:softHyphen/>
        <w:t>цу СССР 122 налёта. В них участвовало свыше 8000 самолётов, из которых к городу прорвалось лишь 229. За это время части ПВО уничтожили 952 вражеских самолёта и свыше 130 подбили (20120).</w:t>
      </w:r>
    </w:p>
    <w:p w14:paraId="07173FDA" w14:textId="77777777" w:rsidR="00A83C20" w:rsidRPr="00640820" w:rsidRDefault="00A83C20" w:rsidP="00640820">
      <w:pPr>
        <w:spacing w:after="0" w:line="240" w:lineRule="auto"/>
        <w:jc w:val="both"/>
        <w:rPr>
          <w:rFonts w:ascii="Times New Roman" w:hAnsi="Times New Roman"/>
          <w:color w:val="0070C0"/>
          <w:sz w:val="16"/>
          <w:szCs w:val="16"/>
        </w:rPr>
      </w:pPr>
    </w:p>
    <w:p w14:paraId="21F93F33" w14:textId="77777777" w:rsidR="00A83C20" w:rsidRPr="00640820" w:rsidRDefault="00A83C20"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5 декабря 1941 Советы начинают крупное контрнаступление, чтобы отбросить немецкие войска из Подмосковья. Только на западном участке советского наступления Советы выделяют 1376 самолетов для поддержки наступления, противодействуя 580 немецким самолетам. В юго-западном секторе 286 имеющихся советских самолетов предпринимают согласованные усилия по уничтожению 2-й танковой армии, совершив за месяц 5066 боевых вылетов (20794).</w:t>
      </w:r>
    </w:p>
    <w:p w14:paraId="71FA596C" w14:textId="77777777" w:rsidR="00A83C20" w:rsidRPr="00640820" w:rsidRDefault="00A83C20" w:rsidP="00640820">
      <w:pPr>
        <w:spacing w:after="0" w:line="240" w:lineRule="auto"/>
        <w:jc w:val="both"/>
        <w:rPr>
          <w:rFonts w:ascii="Times New Roman" w:hAnsi="Times New Roman"/>
          <w:color w:val="0070C0"/>
          <w:sz w:val="16"/>
          <w:szCs w:val="16"/>
        </w:rPr>
      </w:pPr>
    </w:p>
    <w:p w14:paraId="5AB8787A" w14:textId="77777777" w:rsidR="00D16B42" w:rsidRPr="00640820" w:rsidRDefault="00D16B42"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5 декабря</w:t>
      </w:r>
      <w:r w:rsidRPr="00640820">
        <w:rPr>
          <w:rFonts w:ascii="Times New Roman" w:hAnsi="Times New Roman"/>
          <w:color w:val="000000" w:themeColor="text1"/>
          <w:sz w:val="16"/>
          <w:szCs w:val="16"/>
        </w:rPr>
        <w:t xml:space="preserve"> в 1941 году завершилась Наро-Фоминская операция. Войска центра Западного фронта оттеснили противника на позиции севернее Кубинки и южнее Наро-Фоминска, сорвали его последнюю попытку прорваться к Москве (14851).</w:t>
      </w:r>
    </w:p>
    <w:p w14:paraId="71F2BA9B" w14:textId="77777777" w:rsidR="00D16B42" w:rsidRPr="00640820" w:rsidRDefault="00D16B42" w:rsidP="00640820">
      <w:pPr>
        <w:spacing w:after="0" w:line="240" w:lineRule="auto"/>
        <w:jc w:val="both"/>
        <w:rPr>
          <w:rFonts w:ascii="Times New Roman" w:hAnsi="Times New Roman"/>
          <w:color w:val="000000" w:themeColor="text1"/>
          <w:sz w:val="16"/>
          <w:szCs w:val="16"/>
        </w:rPr>
      </w:pPr>
    </w:p>
    <w:p w14:paraId="07EDC7CB" w14:textId="77777777" w:rsidR="00D16B42" w:rsidRPr="00640820" w:rsidRDefault="00D16B42"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5 декабря</w:t>
      </w:r>
      <w:r w:rsidRPr="00640820">
        <w:rPr>
          <w:rFonts w:ascii="Times New Roman" w:hAnsi="Times New Roman"/>
          <w:color w:val="000000" w:themeColor="text1"/>
          <w:sz w:val="16"/>
          <w:szCs w:val="16"/>
        </w:rPr>
        <w:t xml:space="preserve"> в 1941 году завершилась Клинско-Солнечногорская операция. В результате контрударов в районах Дмитрова, Яхромы, Красной Поляны и Крюково советские войска остановили продвижение противника, который был вынужден перейти к обороне (14851).</w:t>
      </w:r>
    </w:p>
    <w:p w14:paraId="48167769" w14:textId="77777777" w:rsidR="00D16B42" w:rsidRPr="00640820" w:rsidRDefault="00D16B42" w:rsidP="00640820">
      <w:pPr>
        <w:spacing w:after="0" w:line="240" w:lineRule="auto"/>
        <w:jc w:val="both"/>
        <w:rPr>
          <w:rFonts w:ascii="Times New Roman" w:hAnsi="Times New Roman"/>
          <w:color w:val="000000" w:themeColor="text1"/>
          <w:sz w:val="16"/>
          <w:szCs w:val="16"/>
        </w:rPr>
      </w:pPr>
    </w:p>
    <w:p w14:paraId="20EFC79F" w14:textId="77777777" w:rsidR="00D16B42" w:rsidRPr="00640820" w:rsidRDefault="00D16B42"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5 декабря</w:t>
      </w:r>
      <w:r w:rsidRPr="00640820">
        <w:rPr>
          <w:rFonts w:ascii="Times New Roman" w:hAnsi="Times New Roman"/>
          <w:color w:val="000000" w:themeColor="text1"/>
          <w:sz w:val="16"/>
          <w:szCs w:val="16"/>
        </w:rPr>
        <w:t xml:space="preserve"> в 1941 году завершилась Тульская операция войск левого крыла Западного фронта, имевшая существенное значение для стабилизации линии фронта на южных подступах к Москве. Противник начал отход из выступа северо-восточнее Тулы (14851).</w:t>
      </w:r>
    </w:p>
    <w:p w14:paraId="29C9D563" w14:textId="77777777" w:rsidR="00D16B42" w:rsidRPr="00640820" w:rsidRDefault="00D16B42" w:rsidP="00640820">
      <w:pPr>
        <w:spacing w:after="0" w:line="240" w:lineRule="auto"/>
        <w:jc w:val="both"/>
        <w:rPr>
          <w:rFonts w:ascii="Times New Roman" w:hAnsi="Times New Roman"/>
          <w:color w:val="000000" w:themeColor="text1"/>
          <w:sz w:val="16"/>
          <w:szCs w:val="16"/>
        </w:rPr>
      </w:pPr>
    </w:p>
    <w:p w14:paraId="3F0BFA6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5 декабря 1941 г. во фронтовых соединениях ВВС Красной Армии насчитывалось 97/37 бомбардировщиков и 14/6 разведчиков типа СБ (12027).</w:t>
      </w:r>
    </w:p>
    <w:p w14:paraId="4992072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22A27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5-6 декабря 1941 в ходе зимнего контрнаступления Красной Армии "пешки" уже играли заметную роль. 172 Пе-2 (из них 114 боеспособных) составляли 29% всей бомбардировочной авиации. Они выполняли разнообразные боевые задачи, но основное внимание уделяли поражению гитлеровских войск и техники на поле боя - на это уходило более трех четвертей всех самолето-вылетов (12042).</w:t>
      </w:r>
    </w:p>
    <w:p w14:paraId="2632D3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6D55D8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состоянию на 5 декабря 1941 г. в составе ВВС Западного фронта имелось 45 ночных бомбардировщиков типа Р-5 (5016).</w:t>
      </w:r>
    </w:p>
    <w:p w14:paraId="4272BD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6E4167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5 декабря 1941 г. на фронте находились 263 ЛаГГ-3, принадлежавших ВВС и истребительной авиации ПВО, а еще 23 располагал флот. Из-за сокращения производства, вызванного эвакуацией многих заводов на восток, этот самолет ненадолго стал наиболее распространенным истребителем нового поколения в нашей авиации. Так, на Калининском фронте в январе 1942 г. ЛаГГ-3 оказался самым массовым типом. На самом же деле их там имелось немного, всего 23 штуки (11983).</w:t>
      </w:r>
    </w:p>
    <w:p w14:paraId="373F24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C70EE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декабря 1941, по данным штабов 6-го иак П ВО несмотря на морозную погоду с дымкой, а местами с метелью, соединение выполнило 481 вылет, из которых 99 было направлено на поражение наземных войск противника (12045).</w:t>
      </w:r>
    </w:p>
    <w:p w14:paraId="63814D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28300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декабря 1941 началось контрнаступление под Москвой. ВВС использовал до 1200 самолетов (340,64).</w:t>
      </w:r>
    </w:p>
    <w:p w14:paraId="26C160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Наступали войска КФ, ЗФ и ЮЗФ (с 6 декабря 1941), но из-за недостатка дб и ш в составе фронтов авиаподготовка ограничивалась действиями нба (518,135).</w:t>
      </w:r>
    </w:p>
    <w:p w14:paraId="63A6C8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Московской контрнаступательной операции участвовало 26.6% всего боевого состава фронтовой авиации (518,113). Наступали в полосе от Калинина до Ельца на фронте протяженностью 1000 км. Всего использовали около 1000 самолетов для действий севернее и северо-западнее Москвы и только 200 на левом фланге (340,64).</w:t>
      </w:r>
    </w:p>
    <w:p w14:paraId="105D45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 немцев было 700 машин, но у нас 35% были неисправными (341,79).</w:t>
      </w:r>
    </w:p>
    <w:p w14:paraId="6546AC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началу контрнаступления на удалении 15-30 км от фронта были организованы аэродромы для засад и и аэродромы подскока для ш. Запасы были на 2-3 вылета полка. Фронтовые склады были в 250-500 км от фронта и там были запасы на 15-20 дней (341,82).</w:t>
      </w:r>
    </w:p>
    <w:p w14:paraId="634457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ходе контрнаступления Красной Армии под Москвой, начавшегося 5 декабря, Пе-2 уже играли заметную роль. 172 Пе-2 (из них 114 боеспособных) составляли 29% всей использованной в этой операции бомбардировочной авиации. Они выполняли разнообразные боевые задачи, но основное внимание уделяли поражению гитлеровских войск и техники на поле боя - на это уходило более трех четвертей всех самолето-вылетов (3542).</w:t>
      </w:r>
    </w:p>
    <w:p w14:paraId="4FEC19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FA29C0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5-6 декабря 1941 г. войска Калинин</w:t>
      </w:r>
      <w:r w:rsidRPr="00640820">
        <w:rPr>
          <w:rFonts w:ascii="Times New Roman" w:hAnsi="Times New Roman"/>
          <w:color w:val="000000" w:themeColor="text1"/>
          <w:sz w:val="16"/>
          <w:szCs w:val="16"/>
        </w:rPr>
        <w:softHyphen/>
        <w:t>ского, Западного и Юго-Западного фрон</w:t>
      </w:r>
      <w:r w:rsidRPr="00640820">
        <w:rPr>
          <w:rFonts w:ascii="Times New Roman" w:hAnsi="Times New Roman"/>
          <w:color w:val="000000" w:themeColor="text1"/>
          <w:sz w:val="16"/>
          <w:szCs w:val="16"/>
        </w:rPr>
        <w:softHyphen/>
        <w:t>тов перешли в решительное контрнас</w:t>
      </w:r>
      <w:r w:rsidRPr="00640820">
        <w:rPr>
          <w:rFonts w:ascii="Times New Roman" w:hAnsi="Times New Roman"/>
          <w:color w:val="000000" w:themeColor="text1"/>
          <w:sz w:val="16"/>
          <w:szCs w:val="16"/>
        </w:rPr>
        <w:softHyphen/>
        <w:t>тупление на калининском, клинском, во</w:t>
      </w:r>
      <w:r w:rsidRPr="00640820">
        <w:rPr>
          <w:rFonts w:ascii="Times New Roman" w:hAnsi="Times New Roman"/>
          <w:color w:val="000000" w:themeColor="text1"/>
          <w:sz w:val="16"/>
          <w:szCs w:val="16"/>
        </w:rPr>
        <w:softHyphen/>
        <w:t>локоламском, сталиногорском и Богородицком направлениях. Накануне контрнаступления группи</w:t>
      </w:r>
      <w:r w:rsidRPr="00640820">
        <w:rPr>
          <w:rFonts w:ascii="Times New Roman" w:hAnsi="Times New Roman"/>
          <w:color w:val="000000" w:themeColor="text1"/>
          <w:sz w:val="16"/>
          <w:szCs w:val="16"/>
        </w:rPr>
        <w:softHyphen/>
        <w:t>ровка штурмовой авиации на московс</w:t>
      </w:r>
      <w:r w:rsidRPr="00640820">
        <w:rPr>
          <w:rFonts w:ascii="Times New Roman" w:hAnsi="Times New Roman"/>
          <w:color w:val="000000" w:themeColor="text1"/>
          <w:sz w:val="16"/>
          <w:szCs w:val="16"/>
        </w:rPr>
        <w:softHyphen/>
        <w:t>ком направлении включала 10 штурмо</w:t>
      </w:r>
      <w:r w:rsidRPr="00640820">
        <w:rPr>
          <w:rFonts w:ascii="Times New Roman" w:hAnsi="Times New Roman"/>
          <w:color w:val="000000" w:themeColor="text1"/>
          <w:sz w:val="16"/>
          <w:szCs w:val="16"/>
        </w:rPr>
        <w:softHyphen/>
        <w:t>вых авиаполков. В их составах имелось 82 Ил-2 (15 машин в составе Калининс</w:t>
      </w:r>
      <w:r w:rsidRPr="00640820">
        <w:rPr>
          <w:rFonts w:ascii="Times New Roman" w:hAnsi="Times New Roman"/>
          <w:color w:val="000000" w:themeColor="text1"/>
          <w:sz w:val="16"/>
          <w:szCs w:val="16"/>
        </w:rPr>
        <w:softHyphen/>
        <w:t>кого, 13 - в составе Юго-Западного и 54 - в составе Западного фронтов), из них 23 были неисправными (6 Ил-2 на Калининском, 13 - на Западном и 4 ма</w:t>
      </w:r>
      <w:r w:rsidRPr="00640820">
        <w:rPr>
          <w:rFonts w:ascii="Times New Roman" w:hAnsi="Times New Roman"/>
          <w:color w:val="000000" w:themeColor="text1"/>
          <w:sz w:val="16"/>
          <w:szCs w:val="16"/>
        </w:rPr>
        <w:softHyphen/>
        <w:t>шины на Юго-Западном фронтах). Кро</w:t>
      </w:r>
      <w:r w:rsidRPr="00640820">
        <w:rPr>
          <w:rFonts w:ascii="Times New Roman" w:hAnsi="Times New Roman"/>
          <w:color w:val="000000" w:themeColor="text1"/>
          <w:sz w:val="16"/>
          <w:szCs w:val="16"/>
        </w:rPr>
        <w:softHyphen/>
        <w:t>ме этого, ВВС трех фронтов имели: бом</w:t>
      </w:r>
      <w:r w:rsidRPr="00640820">
        <w:rPr>
          <w:rFonts w:ascii="Times New Roman" w:hAnsi="Times New Roman"/>
          <w:color w:val="000000" w:themeColor="text1"/>
          <w:sz w:val="16"/>
          <w:szCs w:val="16"/>
        </w:rPr>
        <w:softHyphen/>
        <w:t>бардировщиков (Пе-2, Су-2, СБ, ТБ-3) -115 исправных и 91 неисправных, истре</w:t>
      </w:r>
      <w:r w:rsidRPr="00640820">
        <w:rPr>
          <w:rFonts w:ascii="Times New Roman" w:hAnsi="Times New Roman"/>
          <w:color w:val="000000" w:themeColor="text1"/>
          <w:sz w:val="16"/>
          <w:szCs w:val="16"/>
        </w:rPr>
        <w:softHyphen/>
        <w:t>бителей (Як-1, Ми Г-З.ЛаГГ-3, И-16, И-153) - 272 исправных и 141 неисправных, ночных легких бомбардировщиков Р-5, P-Z - 45 машин, из них 12 неисправных. В общей сложности авиационная груп</w:t>
      </w:r>
      <w:r w:rsidRPr="00640820">
        <w:rPr>
          <w:rFonts w:ascii="Times New Roman" w:hAnsi="Times New Roman"/>
          <w:color w:val="000000" w:themeColor="text1"/>
          <w:sz w:val="16"/>
          <w:szCs w:val="16"/>
        </w:rPr>
        <w:softHyphen/>
        <w:t>пировка, обеспечивающая контрнаступ</w:t>
      </w:r>
      <w:r w:rsidRPr="00640820">
        <w:rPr>
          <w:rFonts w:ascii="Times New Roman" w:hAnsi="Times New Roman"/>
          <w:color w:val="000000" w:themeColor="text1"/>
          <w:sz w:val="16"/>
          <w:szCs w:val="16"/>
        </w:rPr>
        <w:softHyphen/>
        <w:t>ление Красной Армии под Москвой, включала 746 боевых самолетов. Люфтваффе в полосе группы армий "Центр" могли задействовать около 615 боевых машин. При активной поддержке авиации войска Красной Армии в течение пер</w:t>
      </w:r>
      <w:r w:rsidRPr="00640820">
        <w:rPr>
          <w:rFonts w:ascii="Times New Roman" w:hAnsi="Times New Roman"/>
          <w:color w:val="000000" w:themeColor="text1"/>
          <w:sz w:val="16"/>
          <w:szCs w:val="16"/>
        </w:rPr>
        <w:softHyphen/>
        <w:t>вых дней прорвали тактическую зону обороны противника и продвинулись на 10-12 км вглубь. Немцы начали отход, пытаясь удержать Калинин, Клин, Крюко</w:t>
      </w:r>
      <w:r w:rsidRPr="00640820">
        <w:rPr>
          <w:rFonts w:ascii="Times New Roman" w:hAnsi="Times New Roman"/>
          <w:color w:val="000000" w:themeColor="text1"/>
          <w:sz w:val="16"/>
          <w:szCs w:val="16"/>
        </w:rPr>
        <w:softHyphen/>
        <w:t>во, Солнечногорск.</w:t>
      </w:r>
    </w:p>
    <w:p w14:paraId="0C4894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всех дорогах к западу от Москвы образовались большие скопления авто</w:t>
      </w:r>
      <w:r w:rsidRPr="00640820">
        <w:rPr>
          <w:rFonts w:ascii="Times New Roman" w:hAnsi="Times New Roman"/>
          <w:color w:val="000000" w:themeColor="text1"/>
          <w:sz w:val="16"/>
          <w:szCs w:val="16"/>
        </w:rPr>
        <w:softHyphen/>
        <w:t>машин, танков, бронемашин и другой боевой техники. По докладам экипажей мотомехколонны противника имели "бесконечную длину", танки, бронемаши</w:t>
      </w:r>
      <w:r w:rsidRPr="00640820">
        <w:rPr>
          <w:rFonts w:ascii="Times New Roman" w:hAnsi="Times New Roman"/>
          <w:color w:val="000000" w:themeColor="text1"/>
          <w:sz w:val="16"/>
          <w:szCs w:val="16"/>
        </w:rPr>
        <w:softHyphen/>
        <w:t>ны, автомашины и другая боевая техни</w:t>
      </w:r>
      <w:r w:rsidRPr="00640820">
        <w:rPr>
          <w:rFonts w:ascii="Times New Roman" w:hAnsi="Times New Roman"/>
          <w:color w:val="000000" w:themeColor="text1"/>
          <w:sz w:val="16"/>
          <w:szCs w:val="16"/>
        </w:rPr>
        <w:softHyphen/>
        <w:t>ка располагались в 4-5 рядов. Кроме того, ввиду общей паники и неразбери</w:t>
      </w:r>
      <w:r w:rsidRPr="00640820">
        <w:rPr>
          <w:rFonts w:ascii="Times New Roman" w:hAnsi="Times New Roman"/>
          <w:color w:val="000000" w:themeColor="text1"/>
          <w:sz w:val="16"/>
          <w:szCs w:val="16"/>
        </w:rPr>
        <w:softHyphen/>
        <w:t>хи, сопутствующих массовому отходу войск, прикрытие мотомехколонн огне</w:t>
      </w:r>
      <w:r w:rsidRPr="00640820">
        <w:rPr>
          <w:rFonts w:ascii="Times New Roman" w:hAnsi="Times New Roman"/>
          <w:color w:val="000000" w:themeColor="text1"/>
          <w:sz w:val="16"/>
          <w:szCs w:val="16"/>
        </w:rPr>
        <w:softHyphen/>
        <w:t>выми средствами ПВО зачастую не орга</w:t>
      </w:r>
      <w:r w:rsidRPr="00640820">
        <w:rPr>
          <w:rFonts w:ascii="Times New Roman" w:hAnsi="Times New Roman"/>
          <w:color w:val="000000" w:themeColor="text1"/>
          <w:sz w:val="16"/>
          <w:szCs w:val="16"/>
        </w:rPr>
        <w:softHyphen/>
        <w:t>низовывалось вовсе, а если и организо</w:t>
      </w:r>
      <w:r w:rsidRPr="00640820">
        <w:rPr>
          <w:rFonts w:ascii="Times New Roman" w:hAnsi="Times New Roman"/>
          <w:color w:val="000000" w:themeColor="text1"/>
          <w:sz w:val="16"/>
          <w:szCs w:val="16"/>
        </w:rPr>
        <w:softHyphen/>
        <w:t>вывалось, то из рук вон плохо. В этих условиях штурмовик Ил-2 с блеском продемонстрировал свои лучшие каче</w:t>
      </w:r>
      <w:r w:rsidRPr="00640820">
        <w:rPr>
          <w:rFonts w:ascii="Times New Roman" w:hAnsi="Times New Roman"/>
          <w:color w:val="000000" w:themeColor="text1"/>
          <w:sz w:val="16"/>
          <w:szCs w:val="16"/>
        </w:rPr>
        <w:softHyphen/>
        <w:t>ства, помноженные на возросший бое</w:t>
      </w:r>
      <w:r w:rsidRPr="00640820">
        <w:rPr>
          <w:rFonts w:ascii="Times New Roman" w:hAnsi="Times New Roman"/>
          <w:color w:val="000000" w:themeColor="text1"/>
          <w:sz w:val="16"/>
          <w:szCs w:val="16"/>
        </w:rPr>
        <w:softHyphen/>
        <w:t>вой опыт советских летчиков. Именно в этих боях, "горбатый" получил у немцев прозвище - "черная смерть"...(6467).</w:t>
      </w:r>
    </w:p>
    <w:p w14:paraId="577AC7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C403E8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декабря 1941 года контрнаступления под Москвой танковые части большей частью придавались стрелковым и кавалерийским дивизиям для их непосредственной поддержке на поле боя. Также они применялись для прорыва обороны совместно с пехотой, обходов и охватов опорных пунктах противника.</w:t>
      </w:r>
    </w:p>
    <w:p w14:paraId="67AC0D9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Следует сказать, что из-за того, что контрнаступление началось без паузы, сразу после завершения оборонительной операции. Поэтому многие танковые части имели крайне ограниченное время на подготовку операции, а опыта наступления, тем более в зимних условиях, по существу не было.</w:t>
      </w:r>
    </w:p>
    <w:p w14:paraId="4E927BC6"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Зимние условия наступления накладывали на действия танковых частей свои особенности. Так. в условиях снега (до 35 см, после пурги 9, 23-25 декабря имелись заносы до 80 см) и мороза (5-15 градусов ниже нуля) имелись большие проблемы с запуском двигателей, а также с движением танков по снегу. Например, Т-26, БТ и Т-60 двигались по снегу медленно, из-за чего несли большие потери. Как показала практика, лучшую проходимость в условиях зимы показали танки Т-34 и КВ, по следам которых уже двигались легкие танки (12217).</w:t>
      </w:r>
    </w:p>
    <w:p w14:paraId="64A348EC"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6731787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декабря 1941 советские войска перешли в контрнаступление под Москвой (4962).</w:t>
      </w:r>
    </w:p>
    <w:p w14:paraId="6FE6B12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2671FF" w14:textId="77777777" w:rsidR="00D16B42" w:rsidRPr="00640820" w:rsidRDefault="00D16B42"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5 декабря</w:t>
      </w:r>
      <w:r w:rsidRPr="00640820">
        <w:rPr>
          <w:rFonts w:ascii="Times New Roman" w:hAnsi="Times New Roman"/>
          <w:color w:val="000000" w:themeColor="text1"/>
          <w:sz w:val="16"/>
          <w:szCs w:val="16"/>
        </w:rPr>
        <w:t xml:space="preserve"> в 1941 году началась Калининская наступательная операция войск Калининского фронта (22, 29, 31-я, с середины декабря — 30-я, с 22 декабря — 39-я армии резерва Ставки ВГК), продолжавшаяся до 7 января 1942. В наступление перешли 29-я и 31-я армии. Указом Президиума Верховного Совета СССР от 3 декабря 1966 г. за мужество и героизм, проявленные трудящимися Калининской (ныне Тверской) области в борьбе с немецко-фашистскими захватчиками, и за достигнутые успехи в восстановлении народного хозяйства Калининская область была награждена орденом Ленина</w:t>
      </w:r>
    </w:p>
    <w:p w14:paraId="5DEFF4DD" w14:textId="77777777" w:rsidR="00D16B42" w:rsidRPr="00640820" w:rsidRDefault="00D16B42" w:rsidP="00640820">
      <w:pPr>
        <w:spacing w:after="0" w:line="240" w:lineRule="auto"/>
        <w:jc w:val="both"/>
        <w:rPr>
          <w:rFonts w:ascii="Times New Roman" w:hAnsi="Times New Roman"/>
          <w:color w:val="000000" w:themeColor="text1"/>
          <w:sz w:val="16"/>
          <w:szCs w:val="16"/>
        </w:rPr>
      </w:pPr>
    </w:p>
    <w:p w14:paraId="5991A9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5 декабря 1941 по 7 января 1942 была Калининская операция и город освободили, продвинувшись на 60-120 км (2438,263).</w:t>
      </w:r>
    </w:p>
    <w:p w14:paraId="4410A1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D0938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5 декабря 1941 по 20 апреля 1942 была Московская наступательная операция. Продвинулись на 150-400 км (2438,419).</w:t>
      </w:r>
    </w:p>
    <w:p w14:paraId="75BFE64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DF356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декабря 1941 немцы приостановили наступление на Москву из-за морозов (2260).</w:t>
      </w:r>
    </w:p>
    <w:p w14:paraId="5B4DBC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03D50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5 декабря 1941 по 20 апреля 1942 была наступательная фаза битвы за Москву (2438,106).</w:t>
      </w:r>
    </w:p>
    <w:p w14:paraId="5B37D5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801F0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5 декабря 1941 г. в контрнаступлении наших войск под Москвой участвовали две танковые дивизии, 14 бригад и 13 отдельных танковых батальонов. Здесь отличилась в частности 8-я танковая бригада, действовавшая на клинском направлении. Она шла с боями на юг по тылам противника и утром 9 декабря, захватив населенный пункт Ямуга, между Клином и Калинином перерезала Ленинградское шоссе, по которому осуществлялась связь между московской и калининской группировками врага. Это явилось решающим моментом в разгроме немцев на этом участке фронта. (3862).</w:t>
      </w:r>
    </w:p>
    <w:p w14:paraId="4D8017B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московской наступательной операции (5.12.1941 г. - 7.01.1942 г.) наши потери составили 429 танков. (3862).</w:t>
      </w:r>
    </w:p>
    <w:p w14:paraId="461B35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CD8B90B" w14:textId="77777777" w:rsidR="00D16B42"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413FAE51" w14:textId="77777777" w:rsidR="00D16B42" w:rsidRPr="00640820" w:rsidRDefault="00D16B42"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30F32AA" w14:textId="77777777" w:rsidR="00D16B42" w:rsidRPr="00640820" w:rsidRDefault="00D16B42"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5 декабря</w:t>
      </w:r>
      <w:r w:rsidRPr="00640820">
        <w:rPr>
          <w:rFonts w:ascii="Times New Roman" w:hAnsi="Times New Roman"/>
          <w:color w:val="000000" w:themeColor="text1"/>
          <w:sz w:val="16"/>
          <w:szCs w:val="16"/>
        </w:rPr>
        <w:t xml:space="preserve"> в 1941 году Президиум Верховного Совета СССР принял Указ "Об отсрочке выборов в Верховный Совет СССР" (на один год ввиду обстоятельств военного времени) (14851).</w:t>
      </w:r>
    </w:p>
    <w:p w14:paraId="39178A69" w14:textId="77777777" w:rsidR="00D16B42" w:rsidRPr="00640820" w:rsidRDefault="00D16B42" w:rsidP="00640820">
      <w:pPr>
        <w:spacing w:after="0" w:line="240" w:lineRule="auto"/>
        <w:jc w:val="both"/>
        <w:rPr>
          <w:rFonts w:ascii="Times New Roman" w:hAnsi="Times New Roman"/>
          <w:color w:val="000000" w:themeColor="text1"/>
          <w:sz w:val="16"/>
          <w:szCs w:val="16"/>
        </w:rPr>
      </w:pPr>
    </w:p>
    <w:p w14:paraId="5725B223" w14:textId="77777777" w:rsidR="00D07D2B"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5C2FDA4E" w14:textId="77777777" w:rsidR="00D07D2B" w:rsidRPr="00640820" w:rsidRDefault="00D07D2B"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2D6CA43" w14:textId="77777777" w:rsidR="00D07D2B" w:rsidRPr="00640820" w:rsidRDefault="00D07D2B"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5 декабря</w:t>
      </w:r>
      <w:r w:rsidRPr="00640820">
        <w:rPr>
          <w:rFonts w:ascii="Times New Roman" w:hAnsi="Times New Roman"/>
          <w:color w:val="000000" w:themeColor="text1"/>
          <w:sz w:val="16"/>
          <w:szCs w:val="16"/>
        </w:rPr>
        <w:t xml:space="preserve"> в 1941 году британский министр иностранных дел Энтони Иден прибывает с визитом в Москву, чтобы обсудить со Сталиным и народным комиссаром иностранных дел Молотовым положение на фронтах (14851).</w:t>
      </w:r>
    </w:p>
    <w:p w14:paraId="751A43B4" w14:textId="77777777" w:rsidR="00D07D2B" w:rsidRPr="00640820" w:rsidRDefault="00D07D2B" w:rsidP="00640820">
      <w:pPr>
        <w:spacing w:after="0" w:line="240" w:lineRule="auto"/>
        <w:jc w:val="both"/>
        <w:rPr>
          <w:rFonts w:ascii="Times New Roman" w:hAnsi="Times New Roman"/>
          <w:color w:val="000000" w:themeColor="text1"/>
          <w:sz w:val="16"/>
          <w:szCs w:val="16"/>
        </w:rPr>
      </w:pPr>
    </w:p>
    <w:p w14:paraId="0BA448A7"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3883F6AD"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09F50EB" w14:textId="77777777" w:rsidR="00650B79" w:rsidRPr="00640820" w:rsidRDefault="00650B79"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5 декабря 1941 состоялся первый полет Kawanishi E15K Shiun («Фиолетовое Облако»), союзное название «Норма» (20794)..</w:t>
      </w:r>
    </w:p>
    <w:p w14:paraId="3AF01C0A" w14:textId="77777777" w:rsidR="00650B79" w:rsidRPr="00640820" w:rsidRDefault="00650B79" w:rsidP="00640820">
      <w:pPr>
        <w:spacing w:after="0" w:line="240" w:lineRule="auto"/>
        <w:jc w:val="both"/>
        <w:rPr>
          <w:rFonts w:ascii="Times New Roman" w:hAnsi="Times New Roman"/>
          <w:color w:val="0070C0"/>
          <w:sz w:val="16"/>
          <w:szCs w:val="16"/>
        </w:rPr>
      </w:pPr>
    </w:p>
    <w:p w14:paraId="28708F37" w14:textId="77777777" w:rsidR="00650B79" w:rsidRPr="00640820" w:rsidRDefault="00650B79"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lastRenderedPageBreak/>
        <w:t>5 декабря 1941 – Первый полёт скоростного поплавкового разведчика Kawanishi E15K Shiun (“Фиолетовое облако”), названного союзниками  “Norm” (22715).</w:t>
      </w:r>
    </w:p>
    <w:p w14:paraId="0132F3D2" w14:textId="77777777" w:rsidR="00650B79" w:rsidRPr="00640820" w:rsidRDefault="00650B79" w:rsidP="00640820">
      <w:pPr>
        <w:spacing w:after="0" w:line="240" w:lineRule="auto"/>
        <w:jc w:val="both"/>
        <w:rPr>
          <w:rFonts w:ascii="Times New Roman" w:hAnsi="Times New Roman"/>
          <w:color w:val="0070C0"/>
          <w:sz w:val="16"/>
          <w:szCs w:val="16"/>
        </w:rPr>
      </w:pPr>
    </w:p>
    <w:p w14:paraId="399B13A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December 5, 1941 Estonia is converted into Generalkommissariat Estland. The supreme power transfers to a German civilian government headed by Commissar-General Karl-Siegmund Litzmann, with directors of the Estonian Self-Government and German regional commissars subordinated to him. The German occupation of Estonia has begun (1224).</w:t>
      </w:r>
    </w:p>
    <w:p w14:paraId="0D4EC2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219A65E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lang w:val="en-US"/>
        </w:rPr>
        <w:t xml:space="preserve">5 </w:t>
      </w:r>
      <w:r w:rsidRPr="00640820">
        <w:rPr>
          <w:rFonts w:ascii="Times New Roman" w:hAnsi="Times New Roman"/>
          <w:color w:val="000000" w:themeColor="text1"/>
          <w:sz w:val="16"/>
          <w:szCs w:val="16"/>
        </w:rPr>
        <w:t>декабря</w:t>
      </w:r>
      <w:r w:rsidRPr="00640820">
        <w:rPr>
          <w:rFonts w:ascii="Times New Roman" w:hAnsi="Times New Roman"/>
          <w:color w:val="000000" w:themeColor="text1"/>
          <w:sz w:val="16"/>
          <w:szCs w:val="16"/>
          <w:lang w:val="en-US"/>
        </w:rPr>
        <w:t xml:space="preserve"> 1941 </w:t>
      </w:r>
      <w:r w:rsidRPr="00640820">
        <w:rPr>
          <w:rFonts w:ascii="Times New Roman" w:hAnsi="Times New Roman"/>
          <w:color w:val="000000" w:themeColor="text1"/>
          <w:sz w:val="16"/>
          <w:szCs w:val="16"/>
        </w:rPr>
        <w:t>ЭстониябылапреобразованавГенералкомиссариат</w:t>
      </w:r>
      <w:r w:rsidRPr="00640820">
        <w:rPr>
          <w:rFonts w:ascii="Times New Roman" w:hAnsi="Times New Roman"/>
          <w:color w:val="000000" w:themeColor="text1"/>
          <w:sz w:val="16"/>
          <w:szCs w:val="16"/>
          <w:lang w:val="en-US"/>
        </w:rPr>
        <w:t xml:space="preserve"> Estland. </w:t>
      </w:r>
      <w:r w:rsidRPr="00640820">
        <w:rPr>
          <w:rFonts w:ascii="Times New Roman" w:hAnsi="Times New Roman"/>
          <w:color w:val="000000" w:themeColor="text1"/>
          <w:sz w:val="16"/>
          <w:szCs w:val="16"/>
        </w:rPr>
        <w:t>Высшая власть была передана немецкому гражданскому правительству и генеральным комиссаром стал Karl-Siegmund Litzmann. Началась немецкая оккупация Эстонии (1224).</w:t>
      </w:r>
    </w:p>
    <w:p w14:paraId="3B4355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12119A0" w14:textId="77777777" w:rsidR="00D07D2B" w:rsidRPr="00640820" w:rsidRDefault="00D07D2B"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5 декабря</w:t>
      </w:r>
      <w:r w:rsidRPr="00640820">
        <w:rPr>
          <w:rFonts w:ascii="Times New Roman" w:hAnsi="Times New Roman"/>
          <w:color w:val="000000" w:themeColor="text1"/>
          <w:sz w:val="16"/>
          <w:szCs w:val="16"/>
        </w:rPr>
        <w:t xml:space="preserve"> в 1941 году Эстония включена в Рейхскомиссариат Остланд (14851).</w:t>
      </w:r>
    </w:p>
    <w:p w14:paraId="0DE0D82F" w14:textId="77777777" w:rsidR="00D07D2B" w:rsidRPr="00640820" w:rsidRDefault="00D07D2B" w:rsidP="00640820">
      <w:pPr>
        <w:spacing w:after="0" w:line="240" w:lineRule="auto"/>
        <w:jc w:val="both"/>
        <w:rPr>
          <w:rFonts w:ascii="Times New Roman" w:hAnsi="Times New Roman"/>
          <w:color w:val="000000" w:themeColor="text1"/>
          <w:sz w:val="16"/>
          <w:szCs w:val="16"/>
        </w:rPr>
      </w:pPr>
    </w:p>
    <w:p w14:paraId="05D23A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декабря 1941 Великобритания объявила войну Финляндии, Венгрии и Румынии после их отказа прекратить военные действия против СССР (3907,231).</w:t>
      </w:r>
    </w:p>
    <w:p w14:paraId="6D162A4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661930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декабря 1941 американский авианосец “Лексингтон” покинул базу ВМС в Пирл-Харборе, благодаря чему он избежал японской бомбардировки и уничтожения (4962).</w:t>
      </w:r>
    </w:p>
    <w:p w14:paraId="68516EB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107AA2" w14:textId="77777777" w:rsidR="00D07D2B" w:rsidRPr="00640820" w:rsidRDefault="00D07D2B"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5 декабря</w:t>
      </w:r>
      <w:r w:rsidRPr="00640820">
        <w:rPr>
          <w:rFonts w:ascii="Times New Roman" w:hAnsi="Times New Roman"/>
          <w:color w:val="000000" w:themeColor="text1"/>
          <w:sz w:val="16"/>
          <w:szCs w:val="16"/>
        </w:rPr>
        <w:t xml:space="preserve"> в 1941 году американский авианосец "Лексингтон" покидает базу ВМС в Пирл-Харборе, благодаря чему избегает японской бомбардировки и уничтожения (14851).</w:t>
      </w:r>
    </w:p>
    <w:p w14:paraId="6E3D55C4" w14:textId="77777777" w:rsidR="00D07D2B" w:rsidRPr="00640820" w:rsidRDefault="00D07D2B" w:rsidP="00640820">
      <w:pPr>
        <w:spacing w:after="0" w:line="240" w:lineRule="auto"/>
        <w:jc w:val="both"/>
        <w:rPr>
          <w:rFonts w:ascii="Times New Roman" w:hAnsi="Times New Roman"/>
          <w:color w:val="000000" w:themeColor="text1"/>
          <w:sz w:val="16"/>
          <w:szCs w:val="16"/>
        </w:rPr>
      </w:pPr>
    </w:p>
    <w:p w14:paraId="421033E5"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декабря 1941 правительство Австралии отменило посылку солдат в Англию в связи с надвигающейся угрозой вступления в войну Японии (4962).</w:t>
      </w:r>
    </w:p>
    <w:p w14:paraId="02A39D0E"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CCD2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декабря 1941 руководитель военных исследований поручил подготовить отчет по урановому проекту и объявил, что прекратит поддержку проекта, если в обозримом будущем не появятся конкретные результаты (2221).</w:t>
      </w:r>
    </w:p>
    <w:p w14:paraId="21BF6BC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79653FC" w14:textId="77777777" w:rsidR="00D07D2B" w:rsidRPr="00640820" w:rsidRDefault="00D07D2B"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5 декабря</w:t>
      </w:r>
      <w:r w:rsidRPr="00640820">
        <w:rPr>
          <w:rFonts w:ascii="Times New Roman" w:hAnsi="Times New Roman"/>
          <w:color w:val="000000" w:themeColor="text1"/>
          <w:sz w:val="16"/>
          <w:szCs w:val="16"/>
        </w:rPr>
        <w:t xml:space="preserve"> в 1941 году Лондон сообщил, что операцию “Матадор” можно будет начать, если японские войска нарушат территориальную целостность Таиланда. В Сингапуре объявлено военное положение (14851).</w:t>
      </w:r>
    </w:p>
    <w:p w14:paraId="6D20C834" w14:textId="77777777" w:rsidR="00D07D2B" w:rsidRPr="00640820" w:rsidRDefault="00D07D2B" w:rsidP="00640820">
      <w:pPr>
        <w:spacing w:after="0" w:line="240" w:lineRule="auto"/>
        <w:jc w:val="both"/>
        <w:rPr>
          <w:rFonts w:ascii="Times New Roman" w:hAnsi="Times New Roman"/>
          <w:color w:val="000000" w:themeColor="text1"/>
          <w:sz w:val="16"/>
          <w:szCs w:val="16"/>
        </w:rPr>
      </w:pPr>
    </w:p>
    <w:p w14:paraId="1DAD750B" w14:textId="77777777" w:rsidR="00D07D2B" w:rsidRPr="00640820" w:rsidRDefault="00D07D2B"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5 декабря</w:t>
      </w:r>
      <w:r w:rsidRPr="00640820">
        <w:rPr>
          <w:rFonts w:ascii="Times New Roman" w:hAnsi="Times New Roman"/>
          <w:color w:val="000000" w:themeColor="text1"/>
          <w:sz w:val="16"/>
          <w:szCs w:val="16"/>
        </w:rPr>
        <w:t xml:space="preserve"> в 1941 году правительство Австралии отменяет посылку солдат в Англию в связи с надвигающейся угрозой вступления в войну Японии (14851).</w:t>
      </w:r>
    </w:p>
    <w:p w14:paraId="226FEE1B" w14:textId="77777777" w:rsidR="00D07D2B" w:rsidRPr="00640820" w:rsidRDefault="00D07D2B" w:rsidP="00640820">
      <w:pPr>
        <w:spacing w:after="0" w:line="240" w:lineRule="auto"/>
        <w:jc w:val="both"/>
        <w:rPr>
          <w:rFonts w:ascii="Times New Roman" w:hAnsi="Times New Roman"/>
          <w:color w:val="000000" w:themeColor="text1"/>
          <w:sz w:val="16"/>
          <w:szCs w:val="16"/>
        </w:rPr>
      </w:pPr>
    </w:p>
    <w:p w14:paraId="3B0E43BF"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2D49CA3C"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6F4D476" w14:textId="77777777" w:rsidR="000C4C73" w:rsidRPr="00640820" w:rsidRDefault="000C4C7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6 декабря 1941 г. из Воронежа ушел последний эшелон завода № 18. Вслед за ним на самолете в Куйбышев вылетел директор завода Шенкман (21520).</w:t>
      </w:r>
    </w:p>
    <w:p w14:paraId="798759FA" w14:textId="77777777" w:rsidR="000C4C73" w:rsidRPr="00640820" w:rsidRDefault="000C4C73" w:rsidP="00640820">
      <w:pPr>
        <w:spacing w:after="0" w:line="240" w:lineRule="auto"/>
        <w:jc w:val="both"/>
        <w:rPr>
          <w:rFonts w:ascii="Times New Roman" w:hAnsi="Times New Roman"/>
          <w:color w:val="0070C0"/>
          <w:sz w:val="16"/>
          <w:szCs w:val="16"/>
        </w:rPr>
      </w:pPr>
    </w:p>
    <w:p w14:paraId="02E01D18" w14:textId="77777777" w:rsidR="00F83395" w:rsidRPr="00640820" w:rsidRDefault="00F83395"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6 декабря 1941 г. на имя командующего ВВС КА генерал-полковника Жигарева от заместителя на</w:t>
      </w:r>
      <w:r w:rsidRPr="00640820">
        <w:rPr>
          <w:color w:val="000000" w:themeColor="text1"/>
          <w:sz w:val="16"/>
          <w:szCs w:val="16"/>
        </w:rPr>
        <w:softHyphen/>
        <w:t>чальника ГУ ВВС генерал-майора Жарова поступи</w:t>
      </w:r>
      <w:r w:rsidRPr="00640820">
        <w:rPr>
          <w:color w:val="000000" w:themeColor="text1"/>
          <w:sz w:val="16"/>
          <w:szCs w:val="16"/>
        </w:rPr>
        <w:softHyphen/>
        <w:t>ли материалы по вопросу усиления огневой мощи стрелково-пушечного вооружения боевых самоле</w:t>
      </w:r>
      <w:r w:rsidRPr="00640820">
        <w:rPr>
          <w:color w:val="000000" w:themeColor="text1"/>
          <w:sz w:val="16"/>
          <w:szCs w:val="16"/>
        </w:rPr>
        <w:softHyphen/>
        <w:t>тов постройки 1942 г.</w:t>
      </w:r>
    </w:p>
    <w:p w14:paraId="6AC8C528" w14:textId="77777777" w:rsidR="00F83395" w:rsidRPr="00640820" w:rsidRDefault="00F83395"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Жаров просил Жигарева «рассмотреть данный вопрос на Военном совете ВВС КА и выйти с хода</w:t>
      </w:r>
      <w:r w:rsidRPr="00640820">
        <w:rPr>
          <w:color w:val="000000" w:themeColor="text1"/>
          <w:sz w:val="16"/>
          <w:szCs w:val="16"/>
        </w:rPr>
        <w:softHyphen/>
        <w:t>тайством в Правительство об утверждении предла</w:t>
      </w:r>
      <w:r w:rsidRPr="00640820">
        <w:rPr>
          <w:color w:val="000000" w:themeColor="text1"/>
          <w:sz w:val="16"/>
          <w:szCs w:val="16"/>
        </w:rPr>
        <w:softHyphen/>
        <w:t>гаемой системы усиления вооружения самолетов». Необходимо было согласовать проекты письма председателю ГКО Сталину, постановления ГКО «Об усилении стрелково-пушечного вооружения само</w:t>
      </w:r>
      <w:r w:rsidRPr="00640820">
        <w:rPr>
          <w:color w:val="000000" w:themeColor="text1"/>
          <w:sz w:val="16"/>
          <w:szCs w:val="16"/>
        </w:rPr>
        <w:softHyphen/>
        <w:t>летов, подлежащих поставке ВВС КА в 1942 г.» и сам перечень вооружения самолетов.</w:t>
      </w:r>
    </w:p>
    <w:p w14:paraId="33408C84" w14:textId="77777777" w:rsidR="00F83395" w:rsidRPr="00640820" w:rsidRDefault="00F83395"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Из документов следовало, что основная серия самолета ЛаГГ-3 должна была выпускаться с пушкой ВЯ (90 патронов), двумя пулеметами БС (350 пат</w:t>
      </w:r>
      <w:r w:rsidRPr="00640820">
        <w:rPr>
          <w:color w:val="000000" w:themeColor="text1"/>
          <w:sz w:val="16"/>
          <w:szCs w:val="16"/>
        </w:rPr>
        <w:softHyphen/>
        <w:t>ронов) и шестью ракетными орудиями РО-82. Се</w:t>
      </w:r>
      <w:r w:rsidRPr="00640820">
        <w:rPr>
          <w:color w:val="000000" w:themeColor="text1"/>
          <w:sz w:val="16"/>
          <w:szCs w:val="16"/>
        </w:rPr>
        <w:softHyphen/>
        <w:t>рию противотанковых истребителей ЛаГГ-3 с пуш</w:t>
      </w:r>
      <w:r w:rsidRPr="00640820">
        <w:rPr>
          <w:color w:val="000000" w:themeColor="text1"/>
          <w:sz w:val="16"/>
          <w:szCs w:val="16"/>
        </w:rPr>
        <w:softHyphen/>
        <w:t>кой Ш-37 (20 патронов) и двумя пулеметами БС (320 патронов) планировалось выпустить в количе</w:t>
      </w:r>
      <w:r w:rsidRPr="00640820">
        <w:rPr>
          <w:color w:val="000000" w:themeColor="text1"/>
          <w:sz w:val="16"/>
          <w:szCs w:val="16"/>
        </w:rPr>
        <w:softHyphen/>
        <w:t>стве 60 самолетов.</w:t>
      </w:r>
    </w:p>
    <w:p w14:paraId="4E5B6D9B" w14:textId="77777777" w:rsidR="00F83395" w:rsidRPr="00640820" w:rsidRDefault="00F83395"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Самолеты Ил-2 в варианте «истребителя тан</w:t>
      </w:r>
      <w:r w:rsidRPr="00640820">
        <w:rPr>
          <w:color w:val="000000" w:themeColor="text1"/>
          <w:sz w:val="16"/>
          <w:szCs w:val="16"/>
        </w:rPr>
        <w:softHyphen/>
        <w:t>ков» — 2 пушки Ш-37 (80 патронов), два пулеме</w:t>
      </w:r>
      <w:r w:rsidRPr="00640820">
        <w:rPr>
          <w:color w:val="000000" w:themeColor="text1"/>
          <w:sz w:val="16"/>
          <w:szCs w:val="16"/>
        </w:rPr>
        <w:softHyphen/>
        <w:t>та ШКАС (1500 патронов), 8 РО-82 (или РО-132) и 200 кг бомб (только в перегрузку) — предпола галось выпустить также в количестве 60 единиц. Штурмовики массовой серии отличались только установкой пушек ВЯ (325 патрон) и увеличенной до 400 кг (600 кг в перегрузку) бомбовой нагрузкой.</w:t>
      </w:r>
    </w:p>
    <w:p w14:paraId="2488C25B" w14:textId="77777777" w:rsidR="00F83395" w:rsidRPr="00640820" w:rsidRDefault="00F83395"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То есть основным оружием авиации против тан</w:t>
      </w:r>
      <w:r w:rsidRPr="00640820">
        <w:rPr>
          <w:color w:val="000000" w:themeColor="text1"/>
          <w:sz w:val="16"/>
          <w:szCs w:val="16"/>
        </w:rPr>
        <w:softHyphen/>
        <w:t>ков в 1942 г., помимо осколочных (25 кг и выше) и фугасных (50 кг и выше) бомб, должны были стать пушки калибра 23 и 37 мм и ракетные снаряды с бронебойной и осколочно-фугасной боевой частью.</w:t>
      </w:r>
    </w:p>
    <w:p w14:paraId="2D94D7E1" w14:textId="77777777" w:rsidR="00F83395" w:rsidRPr="00640820" w:rsidRDefault="00F83395"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Соответственно этим планам перед промыш</w:t>
      </w:r>
      <w:r w:rsidRPr="00640820">
        <w:rPr>
          <w:color w:val="000000" w:themeColor="text1"/>
          <w:sz w:val="16"/>
          <w:szCs w:val="16"/>
        </w:rPr>
        <w:softHyphen/>
        <w:t>ленностью ставилась задача скорейшего разверты</w:t>
      </w:r>
      <w:r w:rsidRPr="00640820">
        <w:rPr>
          <w:color w:val="000000" w:themeColor="text1"/>
          <w:sz w:val="16"/>
          <w:szCs w:val="16"/>
        </w:rPr>
        <w:softHyphen/>
        <w:t>вания массового производства ракетных осколоч</w:t>
      </w:r>
      <w:r w:rsidRPr="00640820">
        <w:rPr>
          <w:color w:val="000000" w:themeColor="text1"/>
          <w:sz w:val="16"/>
          <w:szCs w:val="16"/>
        </w:rPr>
        <w:softHyphen/>
        <w:t>но-фугасных снарядов РОФС-132 и бронебойных РБС-82 и РБС-132 (17500).</w:t>
      </w:r>
    </w:p>
    <w:p w14:paraId="422A9CC5" w14:textId="77777777" w:rsidR="00F83395" w:rsidRPr="00640820" w:rsidRDefault="00F83395" w:rsidP="00640820">
      <w:pPr>
        <w:spacing w:after="0" w:line="240" w:lineRule="auto"/>
        <w:jc w:val="both"/>
        <w:rPr>
          <w:rFonts w:ascii="Times New Roman" w:eastAsia="Times New Roman" w:hAnsi="Times New Roman"/>
          <w:color w:val="000000" w:themeColor="text1"/>
          <w:sz w:val="16"/>
          <w:szCs w:val="16"/>
          <w:lang w:eastAsia="ru-RU"/>
        </w:rPr>
      </w:pPr>
    </w:p>
    <w:p w14:paraId="77CCF6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декабря 1941 года начальник 10 управления ГУ ВВС бригинженер Бибиков писал письмо N 198795с зам. наркома Авиапрома Дементьеву.</w:t>
      </w:r>
    </w:p>
    <w:p w14:paraId="0D220A2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вопросу: установки пулеметов Березина на самолете ДБ-3ф в частях ВВС.</w:t>
      </w:r>
    </w:p>
    <w:p w14:paraId="6DEC1FD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Опыт боевой работы на самолете ДБ-3ф показал необходимость усилить стрелковое вооружение самолета.</w:t>
      </w:r>
    </w:p>
    <w:p w14:paraId="168EFC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Самолет ДБ-3ф вооруженный пулеметами ШКАС кал. 7,62 мм не может отражать атак истребителей противника вооруженных крупнокалиберными пулеметами кал. 12,7 мм и пушками.</w:t>
      </w:r>
    </w:p>
    <w:p w14:paraId="067618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Прошу дать задание Вашим заводам срочно произвести установку пулемета Березина кал. 12,7 мм на турели МВ-3 конструкции Шебанова с запасом патронов 200-250 шт., на 40 действующих самолетах ДБ-3ф, которые ведут боевую работу по особому заданию Главного командования.</w:t>
      </w:r>
    </w:p>
    <w:p w14:paraId="7B9E22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Срок окончания этой работы прошу установить 30 декабря 41 г. Пункты производства работы:</w:t>
      </w:r>
    </w:p>
    <w:p w14:paraId="7C94FD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Сасово (Рязань) 51 АД - 20 с-тов</w:t>
      </w:r>
    </w:p>
    <w:p w14:paraId="7AC5EC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Разсказово (Тамбов) 42 АД - 20 с-тов (2708,236).</w:t>
      </w:r>
    </w:p>
    <w:p w14:paraId="160CFFA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BB75CBE" w14:textId="77777777" w:rsidR="00D07D2B" w:rsidRPr="00640820" w:rsidRDefault="00D07D2B" w:rsidP="00640820">
      <w:pPr>
        <w:widowControl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декабря 1941 года Горьковский городской комитет обороны рассмотрел вопрос о состоянии производства авиационных моторов М-105, Автозаводу указано обеспечить безусловное выполнение декабрьского плана по сдаче моторов М-105 в количестве 180 штук (15218).</w:t>
      </w:r>
    </w:p>
    <w:p w14:paraId="146DA0AB" w14:textId="77777777" w:rsidR="00D07D2B" w:rsidRPr="00640820" w:rsidRDefault="00D07D2B" w:rsidP="00640820">
      <w:pPr>
        <w:widowControl w:val="0"/>
        <w:spacing w:after="0" w:line="240" w:lineRule="auto"/>
        <w:jc w:val="both"/>
        <w:rPr>
          <w:rFonts w:ascii="Times New Roman" w:hAnsi="Times New Roman"/>
          <w:color w:val="000000" w:themeColor="text1"/>
          <w:sz w:val="16"/>
          <w:szCs w:val="16"/>
        </w:rPr>
      </w:pPr>
    </w:p>
    <w:p w14:paraId="4CB98A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декабря 1941 вышло Постановление ГКО № 996 Об объединении заводов НКАП № 39 и 125. РГАНИР, Фонд ГКО, д. 16, лл. 60 (11012).</w:t>
      </w:r>
    </w:p>
    <w:p w14:paraId="04F2DF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4735C33" w14:textId="77777777" w:rsidR="002E22AF" w:rsidRPr="00640820" w:rsidRDefault="002E22AF" w:rsidP="00640820">
      <w:pPr>
        <w:pStyle w:val="47"/>
        <w:shd w:val="clear" w:color="auto" w:fill="auto"/>
        <w:spacing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6 декабря 1941 вышло Постановление ГКО № 996 Об объединении заводов НКАП № 39 и 125</w:t>
      </w:r>
    </w:p>
    <w:p w14:paraId="08A5026C" w14:textId="77777777" w:rsidR="002E22AF" w:rsidRPr="00640820" w:rsidRDefault="002E22AF" w:rsidP="00640820">
      <w:pPr>
        <w:pStyle w:val="5f1"/>
        <w:shd w:val="clear" w:color="auto" w:fill="auto"/>
        <w:tabs>
          <w:tab w:val="left" w:pos="1543"/>
        </w:tabs>
        <w:spacing w:after="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Государственный Комитет Обороны постановляет:</w:t>
      </w:r>
    </w:p>
    <w:p w14:paraId="3D5AA04F" w14:textId="77777777" w:rsidR="002E22AF" w:rsidRPr="00640820" w:rsidRDefault="002E22AF" w:rsidP="00640820">
      <w:pPr>
        <w:pStyle w:val="5f1"/>
        <w:shd w:val="clear" w:color="auto" w:fill="auto"/>
        <w:tabs>
          <w:tab w:val="left" w:pos="1543"/>
        </w:tabs>
        <w:spacing w:after="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1. Завод № 39 Наркомавиапрома, эвакуированный на площади завода № 125 в гор.Иркутск, объединить с заводом № 125, присвоив об"единенному заводу № 39.</w:t>
      </w:r>
    </w:p>
    <w:p w14:paraId="58C4BD95" w14:textId="77777777" w:rsidR="002E22AF" w:rsidRPr="00640820" w:rsidRDefault="002E22AF" w:rsidP="00640820">
      <w:pPr>
        <w:pStyle w:val="5f1"/>
        <w:shd w:val="clear" w:color="auto" w:fill="auto"/>
        <w:tabs>
          <w:tab w:val="left" w:pos="1543"/>
        </w:tabs>
        <w:spacing w:after="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2. Утвердить директором завода № 39 - тов.Иосиловича и главным инженером тов.Абрамова.</w:t>
      </w:r>
    </w:p>
    <w:p w14:paraId="0EA9D087" w14:textId="77777777" w:rsidR="002E22AF" w:rsidRPr="00640820" w:rsidRDefault="002E22AF"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3. Обязать завод № 39 в Иркутске выпускать только бом</w:t>
      </w:r>
      <w:r w:rsidRPr="00640820">
        <w:rPr>
          <w:rFonts w:ascii="Times New Roman" w:hAnsi="Times New Roman" w:cs="Times New Roman"/>
          <w:color w:val="000000" w:themeColor="text1"/>
          <w:sz w:val="16"/>
          <w:szCs w:val="16"/>
        </w:rPr>
        <w:softHyphen/>
        <w:t>бардировщики Пе-2 и разведчики Пе-3 с существующим на Пе-2 вооружением.</w:t>
      </w:r>
    </w:p>
    <w:p w14:paraId="23B184E4" w14:textId="77777777" w:rsidR="002E22AF" w:rsidRPr="00640820" w:rsidRDefault="002E22AF" w:rsidP="00640820">
      <w:pPr>
        <w:pStyle w:val="5f1"/>
        <w:shd w:val="clear" w:color="auto" w:fill="auto"/>
        <w:spacing w:after="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4. Обязать завод № 39 выпускать 90% Пе-2 и 10% разведчиков Пе-3, не считая имеющихся в заделе самолетов Пе-3 (19287).</w:t>
      </w:r>
    </w:p>
    <w:p w14:paraId="6C43DAFE" w14:textId="77777777" w:rsidR="002E22AF" w:rsidRPr="00640820" w:rsidRDefault="002E22AF" w:rsidP="00640820">
      <w:pPr>
        <w:autoSpaceDE w:val="0"/>
        <w:autoSpaceDN w:val="0"/>
        <w:adjustRightInd w:val="0"/>
        <w:spacing w:after="0" w:line="240" w:lineRule="auto"/>
        <w:jc w:val="both"/>
        <w:rPr>
          <w:rFonts w:ascii="Times New Roman" w:hAnsi="Times New Roman"/>
          <w:color w:val="000000" w:themeColor="text1"/>
          <w:sz w:val="16"/>
          <w:szCs w:val="16"/>
        </w:rPr>
      </w:pPr>
    </w:p>
    <w:p w14:paraId="02353D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декабря 1941 вышло постановление ГКО по объединению завода 39 и завода 125 в Иркутске (883).</w:t>
      </w:r>
    </w:p>
    <w:p w14:paraId="4F723D9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CB15E63" w14:textId="77777777" w:rsidR="00C30BD0" w:rsidRPr="00640820" w:rsidRDefault="00C30BD0"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6 декабря 1941 г.</w:t>
      </w:r>
    </w:p>
    <w:p w14:paraId="6B7EE3F7" w14:textId="77777777" w:rsidR="00C30BD0" w:rsidRPr="00640820" w:rsidRDefault="00C30BD0"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Из докладной записки1 заместителя начальника цеха № 5 завода № 477 И.В. Барташева секретарю</w:t>
      </w:r>
    </w:p>
    <w:p w14:paraId="7DFC5910" w14:textId="77777777" w:rsidR="00C30BD0" w:rsidRPr="00640820" w:rsidRDefault="00C30BD0"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Красноярского крайкома ВКП (б) И.Г. Голубеву</w:t>
      </w:r>
    </w:p>
    <w:p w14:paraId="54F1AF06" w14:textId="77777777" w:rsidR="00C30BD0" w:rsidRPr="00640820" w:rsidRDefault="00C30BD0"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г. Красноярск 6 декабря 1941 г.</w:t>
      </w:r>
    </w:p>
    <w:p w14:paraId="56D46EE4" w14:textId="77777777" w:rsidR="00C30BD0" w:rsidRPr="00640820" w:rsidRDefault="00C30BD0"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Считаю своим долгом донести до Вашего сведения о ряде безобразий, [произошедших] за период эвакуации завода № 477 с места его бывшего местонахождения [в] Лаптево в г. Красноярск.</w:t>
      </w:r>
    </w:p>
    <w:p w14:paraId="2EAF0861" w14:textId="77777777" w:rsidR="00C30BD0" w:rsidRPr="00640820" w:rsidRDefault="00C30BD0"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Ряд недостатков на сегодняшний день тормозит начало работ и долгое время будет отражаться на развитии дальнейших работ по заводу.</w:t>
      </w:r>
    </w:p>
    <w:p w14:paraId="0BE14C21" w14:textId="77777777" w:rsidR="00C30BD0" w:rsidRPr="00640820" w:rsidRDefault="00C30BD0"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1. После погрузки двух эшелонов была полная необходимость оставшееся имущество погрузить [в] третий эшелон с количеством вагонов не менее 50 шт[ук]. Был погружен, но не отправлен автотранспорт, весь конный парк брошен. Не перевезен карбид в количестве 15-20 тонн. Закупленная в день отъезда мука (60 тонн), картошка (два вагона) также оставлены в Лаптево, и ряд других материалов, и это тогда, когда ряд работников изъявил согласие для сформирования и погрузки третьего эшелона и отправки его при любых обстоятельствах;</w:t>
      </w:r>
    </w:p>
    <w:p w14:paraId="5D324E20" w14:textId="77777777" w:rsidR="00C30BD0" w:rsidRPr="00640820" w:rsidRDefault="00C30BD0"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lastRenderedPageBreak/>
        <w:t>2. При разгрузке эшелонов в г. Красноярске допущен ряд грубых ошибок. Материалы разгружались из вагонов без предварительной проверки сохранности их в пути. Перед перевозкой никто не проверил профиля пути от разгрузочной площадки до завода, и каким транспортом что перевозить. Так, например, грузы с верхним центром тяжести перевозились на автомашинах, что делать было, конечно, нельзя. Техусловиями и инструкциями на перевозку этих грузов никто обеспечен не был, что привело к поломкам ценного</w:t>
      </w:r>
    </w:p>
    <w:p w14:paraId="6DEC0E0B" w14:textId="77777777" w:rsidR="00C30BD0" w:rsidRPr="00640820" w:rsidRDefault="00C30BD0"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оборудования. Отдельные начальники цехов, боясь, что принадлежащее их цехам оборудование будет поломано, занимались этим сами вместо работ по организации цехов к пуску, снимая для этого рабочих с первоочередных работ, что не могло не отразиться на своевременном пуске завода. Сгруженные материалы перевозились без сопровождающих, вследствие чего ряд материалов ушел на сторону, не попав на завод (как факт – многочисленные аресты за кражи при перевозках). Перевозка оборудования и материалов затянулась более чем на месяц по причинам бесхозяйственности, так как при наличии транспорта отсутствовали рабочие и наоборот;</w:t>
      </w:r>
    </w:p>
    <w:p w14:paraId="13E3B5D5" w14:textId="77777777" w:rsidR="00C30BD0" w:rsidRPr="00640820" w:rsidRDefault="00C30BD0"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3. Завозка всего оборудования и материалов с разгрузочной площадки на завод протекала стихийно, все сваливалось в общие груды без предварительной сортировки по своему назначению и только потом разбиралось. Повторная разборка и перевозка требовала затрат и так недостающего транспорта, рабочей силы и увеличивало процент повреждения и поломок как оборудования, так и материалов, способствуя излишними перетаскиваниями еще большему хищению. […]</w:t>
      </w:r>
    </w:p>
    <w:p w14:paraId="21C36D58" w14:textId="77777777" w:rsidR="00C30BD0" w:rsidRPr="00640820" w:rsidRDefault="00C30BD0"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Подпись Барташев</w:t>
      </w:r>
    </w:p>
    <w:p w14:paraId="61468EF3" w14:textId="77777777" w:rsidR="00C30BD0" w:rsidRPr="00640820" w:rsidRDefault="00C30BD0"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Пометы: 1). «Секрет[но]. Заведите дело для завода № 477. Этот материал в дело.</w:t>
      </w:r>
    </w:p>
    <w:p w14:paraId="6AE6F324" w14:textId="77777777" w:rsidR="00C30BD0" w:rsidRPr="00640820" w:rsidRDefault="00C30BD0"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15 декабря. Подпись1»; 2). «Тов. Шумбасову. Разберитесь и дайте указание руко-</w:t>
      </w:r>
    </w:p>
    <w:p w14:paraId="390A9760" w14:textId="77777777" w:rsidR="00C30BD0" w:rsidRPr="00640820" w:rsidRDefault="00C30BD0"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водителю завода принять соответствующие меры. Подпись».</w:t>
      </w:r>
    </w:p>
    <w:p w14:paraId="665E1BE8" w14:textId="77777777" w:rsidR="00C30BD0" w:rsidRPr="00640820" w:rsidRDefault="00C30BD0"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640820">
        <w:rPr>
          <w:rFonts w:ascii="Times New Roman" w:eastAsia="TimesNewRomanPSMT" w:hAnsi="Times New Roman"/>
          <w:iCs/>
          <w:color w:val="000000" w:themeColor="text1"/>
          <w:sz w:val="16"/>
          <w:szCs w:val="16"/>
        </w:rPr>
        <w:t>КГКУ «ГАКК». Ф.П-26. Оп. 3. Д. 162. Л. 105-106. Подлинник. Машинопись (19799).</w:t>
      </w:r>
    </w:p>
    <w:p w14:paraId="436191E9" w14:textId="77777777" w:rsidR="00C30BD0" w:rsidRPr="00640820" w:rsidRDefault="00C30BD0" w:rsidP="00640820">
      <w:pPr>
        <w:autoSpaceDE w:val="0"/>
        <w:autoSpaceDN w:val="0"/>
        <w:adjustRightInd w:val="0"/>
        <w:spacing w:after="0" w:line="240" w:lineRule="auto"/>
        <w:jc w:val="both"/>
        <w:rPr>
          <w:rFonts w:ascii="Times New Roman" w:eastAsia="TimesNewRomanPSMT" w:hAnsi="Times New Roman"/>
          <w:iCs/>
          <w:color w:val="000000" w:themeColor="text1"/>
          <w:sz w:val="16"/>
          <w:szCs w:val="16"/>
        </w:rPr>
      </w:pPr>
    </w:p>
    <w:p w14:paraId="11277070"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31113588"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C3F68C3" w14:textId="77777777" w:rsidR="00C30BD0" w:rsidRPr="00640820" w:rsidRDefault="00C30BD0" w:rsidP="00640820">
      <w:pPr>
        <w:spacing w:after="0" w:line="240" w:lineRule="auto"/>
        <w:jc w:val="both"/>
        <w:textAlignment w:val="baseline"/>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6 декабря 1941 года в докладе первого секретаря МК и МГК ВКП(б) А. С. Щербакова о производстве гранат московскими заводами говорилось: «Неудовлетворительное выполнение плана по РПГ-40 объясняется, с одной стороны, эвакуацией ряда предприятий, изготовляющих детали к этой гранате (заводы КИМ и № 191), и, с другой стороны, тем, что бюро комплектации НКБ не занималось работой предприятий… Без гранат, и в первую очередь противотанковых гранат, сейчас воевать нельзя. Мы обязаны дать фронту, всем нашим бойцам столько гранат, сколько нужно. А в ноябре по корпусам гранат план не выполнен, а по снаряжению гранат дело обстоит архиплохо. С большими трудностями развертывается снаряжение гранат РПГ-40 и РГД-33. Лишь со второй половины ноября выпуск гранат начал возрастать изо дня в день» (18988).</w:t>
      </w:r>
    </w:p>
    <w:p w14:paraId="27A2F02F" w14:textId="77777777" w:rsidR="00C30BD0" w:rsidRPr="00640820" w:rsidRDefault="00C30BD0" w:rsidP="00640820">
      <w:pPr>
        <w:spacing w:after="0" w:line="240" w:lineRule="auto"/>
        <w:jc w:val="both"/>
        <w:textAlignment w:val="baseline"/>
        <w:rPr>
          <w:rFonts w:ascii="Times New Roman" w:eastAsia="Times New Roman" w:hAnsi="Times New Roman"/>
          <w:color w:val="000000" w:themeColor="text1"/>
          <w:sz w:val="16"/>
          <w:szCs w:val="16"/>
          <w:lang w:eastAsia="ru-RU"/>
        </w:rPr>
      </w:pPr>
    </w:p>
    <w:p w14:paraId="30E511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6 декабря 1941 г. была изготовлена первая продукция завода № 518 (Завод № 518 НКЦМ, Уральский завод «Т» НКЦМ, МЦМ, Ревдинский завод по обработке цветных металлов (ОЦМ), АО «Ревдинский завод ОЦМ» /623282  г. Ревда-2 Свердловской обл./) - радиаторные трубки (этот день стал днем рождения завода). 20.12.1941 г. сдана в эксплуатацию первая электроплавильная печь. Пост. ГКО № 1087 от 30.12.1941 г. заводу утвержден план по выпуску радиаторных трубок на 01.1942 г., а 24.01.1942 г. вновь вышло постановление ГКО № 1204 о выпуске радиаторных трубок. В 01.1942 г. начали выпуск продукции цеха № За и 36. В 02.1942 г. выдал первые трубные заготовки пресс усилием 600 тс; в марте пущен инструментальный цех № 5; в мае выдал первую продукцию - плоскоовальную трубку цех № 8, размещенный в депо железнодорожного цеха Средне-Уральского медеплавильного завода. В 05.1943 г. пущен прокатный стан, затем - литейный цех. Освоен выпуск тонкостенных, капиллярных и конденсаторных труб Л68. В </w:t>
      </w:r>
      <w:r w:rsidRPr="00640820">
        <w:rPr>
          <w:rFonts w:ascii="Times New Roman" w:hAnsi="Times New Roman"/>
          <w:color w:val="000000" w:themeColor="text1"/>
          <w:sz w:val="16"/>
          <w:szCs w:val="16"/>
          <w:lang w:val="en-US"/>
        </w:rPr>
        <w:t>IV</w:t>
      </w:r>
      <w:r w:rsidRPr="00640820">
        <w:rPr>
          <w:rFonts w:ascii="Times New Roman" w:hAnsi="Times New Roman"/>
          <w:color w:val="000000" w:themeColor="text1"/>
          <w:sz w:val="16"/>
          <w:szCs w:val="16"/>
        </w:rPr>
        <w:t xml:space="preserve"> квартале 1943 г. введен в строй ремонтно-механический цех. В 1945 г. ликвидирован цех № 8 в депо СУМЗа, его оборудование размещено в цехах № 3 и 4. Установлен опытный станок для обработки шашки. В 1946 г. установлена новая печь для отжига труб. Освоен новый вид продукции из медно-никелевых и никелевых сплавов для электронной промышленности, плоскоовальных труб для тепловозов. ЦЗЛ переведена в новое помещение - цех № 8.</w:t>
      </w:r>
    </w:p>
    <w:p w14:paraId="5EED2B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1947 г. завод «Т» - в ведении МЦМ.</w:t>
      </w:r>
    </w:p>
    <w:p w14:paraId="4BB82E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(1942 г.)- 2357 чел.</w:t>
      </w:r>
    </w:p>
    <w:p w14:paraId="73EEEC0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(07-11.1941 г.)- Н.И. Шагурин, (11-12.1941 г.)-  Г.А. Мельничук, (12.1941-42 г.-)- С.М. Петров, (1943 г.- )- И.Я. Берковский.</w:t>
      </w:r>
    </w:p>
    <w:p w14:paraId="2FE2E0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(08.1941 г.)- В.В. Жолобов.</w:t>
      </w:r>
    </w:p>
    <w:p w14:paraId="2DDDB57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(08.1941 г.)- В.В. Жолобов.</w:t>
      </w:r>
    </w:p>
    <w:p w14:paraId="2D870C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алмазные наконечники для прессов Роквелла (1947) (11982).</w:t>
      </w:r>
    </w:p>
    <w:p w14:paraId="31027F92" w14:textId="77777777" w:rsidR="00BB00A7" w:rsidRPr="00640820" w:rsidRDefault="00BB00A7"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p>
    <w:p w14:paraId="47E4C3E1" w14:textId="77777777" w:rsidR="00D07D2B" w:rsidRPr="00640820" w:rsidRDefault="00D07D2B" w:rsidP="00640820">
      <w:pPr>
        <w:widowControl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6 декабря 1941 года ГКО обязал директора автозавода им. Молотова Лоскутова обеспечить выполнение плана ГКО по выпуску 82-мм батальонных минометов в количестве 1000 шт. в декабре </w:t>
      </w:r>
      <w:smartTag w:uri="urn:schemas-microsoft-com:office:smarttags" w:element="metricconverter">
        <w:smartTagPr>
          <w:attr w:name="ProductID" w:val="1945 г"/>
        </w:smartTagPr>
        <w:r w:rsidRPr="00640820">
          <w:rPr>
            <w:rFonts w:ascii="Times New Roman" w:hAnsi="Times New Roman"/>
            <w:color w:val="000000" w:themeColor="text1"/>
            <w:sz w:val="16"/>
            <w:szCs w:val="16"/>
          </w:rPr>
          <w:t>1941 г</w:t>
        </w:r>
      </w:smartTag>
      <w:r w:rsidRPr="00640820">
        <w:rPr>
          <w:rFonts w:ascii="Times New Roman" w:hAnsi="Times New Roman"/>
          <w:color w:val="000000" w:themeColor="text1"/>
          <w:sz w:val="16"/>
          <w:szCs w:val="16"/>
        </w:rPr>
        <w:t xml:space="preserve">. В тот же день выходит приказ по заводу о начале с 9 декабря </w:t>
      </w:r>
      <w:smartTag w:uri="urn:schemas-microsoft-com:office:smarttags" w:element="metricconverter">
        <w:smartTagPr>
          <w:attr w:name="ProductID" w:val="1945 г"/>
        </w:smartTagPr>
        <w:r w:rsidRPr="00640820">
          <w:rPr>
            <w:rFonts w:ascii="Times New Roman" w:hAnsi="Times New Roman"/>
            <w:color w:val="000000" w:themeColor="text1"/>
            <w:sz w:val="16"/>
            <w:szCs w:val="16"/>
          </w:rPr>
          <w:t>1941 г</w:t>
        </w:r>
      </w:smartTag>
      <w:r w:rsidRPr="00640820">
        <w:rPr>
          <w:rFonts w:ascii="Times New Roman" w:hAnsi="Times New Roman"/>
          <w:color w:val="000000" w:themeColor="text1"/>
          <w:sz w:val="16"/>
          <w:szCs w:val="16"/>
        </w:rPr>
        <w:t xml:space="preserve">. сборки машин «Мормон-Херрингтон». 15 декабря </w:t>
      </w:r>
      <w:smartTag w:uri="urn:schemas-microsoft-com:office:smarttags" w:element="metricconverter">
        <w:smartTagPr>
          <w:attr w:name="ProductID" w:val="1945 г"/>
        </w:smartTagPr>
        <w:r w:rsidRPr="00640820">
          <w:rPr>
            <w:rFonts w:ascii="Times New Roman" w:hAnsi="Times New Roman"/>
            <w:color w:val="000000" w:themeColor="text1"/>
            <w:sz w:val="16"/>
            <w:szCs w:val="16"/>
          </w:rPr>
          <w:t>1941 г</w:t>
        </w:r>
      </w:smartTag>
      <w:r w:rsidRPr="00640820">
        <w:rPr>
          <w:rFonts w:ascii="Times New Roman" w:hAnsi="Times New Roman"/>
          <w:color w:val="000000" w:themeColor="text1"/>
          <w:sz w:val="16"/>
          <w:szCs w:val="16"/>
        </w:rPr>
        <w:t xml:space="preserve">. издан приказ об организации в Москве станции обслуживания и ремонта Т-60 с командированием бригады специалистов (В.Д. Майборода – руководитель бригады, Г.А. Веденяпин – зам. руководителя). 24 декабря </w:t>
      </w:r>
      <w:smartTag w:uri="urn:schemas-microsoft-com:office:smarttags" w:element="metricconverter">
        <w:smartTagPr>
          <w:attr w:name="ProductID" w:val="1945 г"/>
        </w:smartTagPr>
        <w:r w:rsidRPr="00640820">
          <w:rPr>
            <w:rFonts w:ascii="Times New Roman" w:hAnsi="Times New Roman"/>
            <w:color w:val="000000" w:themeColor="text1"/>
            <w:sz w:val="16"/>
            <w:szCs w:val="16"/>
          </w:rPr>
          <w:t>1941 г</w:t>
        </w:r>
      </w:smartTag>
      <w:r w:rsidRPr="00640820">
        <w:rPr>
          <w:rFonts w:ascii="Times New Roman" w:hAnsi="Times New Roman"/>
          <w:color w:val="000000" w:themeColor="text1"/>
          <w:sz w:val="16"/>
          <w:szCs w:val="16"/>
        </w:rPr>
        <w:t>. выходит приказ о производстве на автозаводе аэросаней (в соответствии с решением ГКО и личным указанием И.В. Сталина) (15218).</w:t>
      </w:r>
    </w:p>
    <w:p w14:paraId="2E3B5F4A" w14:textId="77777777" w:rsidR="00D07D2B" w:rsidRPr="00640820" w:rsidRDefault="00D07D2B" w:rsidP="00640820">
      <w:pPr>
        <w:widowControl w:val="0"/>
        <w:spacing w:after="0" w:line="240" w:lineRule="auto"/>
        <w:jc w:val="both"/>
        <w:rPr>
          <w:rFonts w:ascii="Times New Roman" w:hAnsi="Times New Roman"/>
          <w:color w:val="000000" w:themeColor="text1"/>
          <w:sz w:val="16"/>
          <w:szCs w:val="16"/>
        </w:rPr>
      </w:pPr>
    </w:p>
    <w:p w14:paraId="36C3577A" w14:textId="77777777" w:rsidR="00D07D2B" w:rsidRPr="00640820" w:rsidRDefault="00D07D2B" w:rsidP="00640820">
      <w:pPr>
        <w:widowControl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декабря 1941года вышел приказ о начале сборки с 9.12.</w:t>
      </w:r>
      <w:smartTag w:uri="urn:schemas-microsoft-com:office:smarttags" w:element="metricconverter">
        <w:smartTagPr>
          <w:attr w:name="ProductID" w:val="1945 г"/>
        </w:smartTagPr>
        <w:r w:rsidRPr="00640820">
          <w:rPr>
            <w:rFonts w:ascii="Times New Roman" w:hAnsi="Times New Roman"/>
            <w:color w:val="000000" w:themeColor="text1"/>
            <w:sz w:val="16"/>
            <w:szCs w:val="16"/>
          </w:rPr>
          <w:t>1941 г</w:t>
        </w:r>
      </w:smartTag>
      <w:r w:rsidRPr="00640820">
        <w:rPr>
          <w:rFonts w:ascii="Times New Roman" w:hAnsi="Times New Roman"/>
          <w:color w:val="000000" w:themeColor="text1"/>
          <w:sz w:val="16"/>
          <w:szCs w:val="16"/>
        </w:rPr>
        <w:t xml:space="preserve">. машин «Мормон-Херрингтон». Грузовик типа </w:t>
      </w:r>
      <w:r w:rsidRPr="00640820">
        <w:rPr>
          <w:rFonts w:ascii="Times New Roman" w:hAnsi="Times New Roman"/>
          <w:color w:val="000000" w:themeColor="text1"/>
          <w:sz w:val="16"/>
          <w:szCs w:val="16"/>
          <w:lang w:val="en-US"/>
        </w:rPr>
        <w:t>Ford</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Marmon</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HarringtonHH</w:t>
      </w:r>
      <w:r w:rsidRPr="00640820">
        <w:rPr>
          <w:rFonts w:ascii="Times New Roman" w:hAnsi="Times New Roman"/>
          <w:color w:val="000000" w:themeColor="text1"/>
          <w:sz w:val="16"/>
          <w:szCs w:val="16"/>
        </w:rPr>
        <w:t xml:space="preserve">-6 </w:t>
      </w:r>
      <w:r w:rsidRPr="00640820">
        <w:rPr>
          <w:rFonts w:ascii="Times New Roman" w:hAnsi="Times New Roman"/>
          <w:color w:val="000000" w:themeColor="text1"/>
          <w:sz w:val="16"/>
          <w:szCs w:val="16"/>
          <w:lang w:val="en-US"/>
        </w:rPr>
        <w:t>COE</w:t>
      </w:r>
      <w:r w:rsidRPr="00640820">
        <w:rPr>
          <w:rFonts w:ascii="Times New Roman" w:hAnsi="Times New Roman"/>
          <w:color w:val="000000" w:themeColor="text1"/>
          <w:sz w:val="16"/>
          <w:szCs w:val="16"/>
        </w:rPr>
        <w:t>-4 (у нас эту машину называли короче – «Форд-Мармон») – один из немногих грузовых автомобилей ленд-лиза с кабиной над двигателем. Кабина и кузов у этой машины были цельнометаллическими. Ветровое стекло разделалось вертикальной стойкой пополам, причем каждое из стекол могло откидываться независимо. Двигатель был изолирован от пола тремя стальными крышками с плотными прокладками – одной центральной и двумя боковыми, обеспечивающими легкий доступ к агрегатам двигателя, требовавшим регулировки (15218).</w:t>
      </w:r>
    </w:p>
    <w:p w14:paraId="7EFFA2A2" w14:textId="77777777" w:rsidR="00D07D2B" w:rsidRPr="00640820" w:rsidRDefault="00D07D2B" w:rsidP="00640820">
      <w:pPr>
        <w:widowControl w:val="0"/>
        <w:spacing w:after="0" w:line="240" w:lineRule="auto"/>
        <w:jc w:val="both"/>
        <w:rPr>
          <w:rFonts w:ascii="Times New Roman" w:hAnsi="Times New Roman"/>
          <w:color w:val="000000" w:themeColor="text1"/>
          <w:sz w:val="16"/>
          <w:szCs w:val="16"/>
        </w:rPr>
      </w:pPr>
    </w:p>
    <w:p w14:paraId="300F0D59" w14:textId="77777777" w:rsidR="00D07D2B" w:rsidRPr="00640820" w:rsidRDefault="00D07D2B" w:rsidP="00640820">
      <w:pPr>
        <w:widowControl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6 декабря 1941 выходит приказ по заводу о начале с 9 декабря </w:t>
      </w:r>
      <w:smartTag w:uri="urn:schemas-microsoft-com:office:smarttags" w:element="metricconverter">
        <w:smartTagPr>
          <w:attr w:name="ProductID" w:val="1945 г"/>
        </w:smartTagPr>
        <w:r w:rsidRPr="00640820">
          <w:rPr>
            <w:rFonts w:ascii="Times New Roman" w:hAnsi="Times New Roman"/>
            <w:color w:val="000000" w:themeColor="text1"/>
            <w:sz w:val="16"/>
            <w:szCs w:val="16"/>
          </w:rPr>
          <w:t>1941 г</w:t>
        </w:r>
      </w:smartTag>
      <w:r w:rsidRPr="00640820">
        <w:rPr>
          <w:rFonts w:ascii="Times New Roman" w:hAnsi="Times New Roman"/>
          <w:color w:val="000000" w:themeColor="text1"/>
          <w:sz w:val="16"/>
          <w:szCs w:val="16"/>
        </w:rPr>
        <w:t xml:space="preserve">. сборки машин «Мормон-Херрингтон». 15 декабря </w:t>
      </w:r>
      <w:smartTag w:uri="urn:schemas-microsoft-com:office:smarttags" w:element="metricconverter">
        <w:smartTagPr>
          <w:attr w:name="ProductID" w:val="1945 г"/>
        </w:smartTagPr>
        <w:r w:rsidRPr="00640820">
          <w:rPr>
            <w:rFonts w:ascii="Times New Roman" w:hAnsi="Times New Roman"/>
            <w:color w:val="000000" w:themeColor="text1"/>
            <w:sz w:val="16"/>
            <w:szCs w:val="16"/>
          </w:rPr>
          <w:t>1941 г</w:t>
        </w:r>
      </w:smartTag>
      <w:r w:rsidRPr="00640820">
        <w:rPr>
          <w:rFonts w:ascii="Times New Roman" w:hAnsi="Times New Roman"/>
          <w:color w:val="000000" w:themeColor="text1"/>
          <w:sz w:val="16"/>
          <w:szCs w:val="16"/>
        </w:rPr>
        <w:t xml:space="preserve">. издан приказ об организации в Москве станции обслуживания и ремонта Т-60 с командированием бригады специалистов (В.Д. Майборода – руководитель бригады, Г.А. Веденяпин – зам. руководителя). 24 декабря </w:t>
      </w:r>
      <w:smartTag w:uri="urn:schemas-microsoft-com:office:smarttags" w:element="metricconverter">
        <w:smartTagPr>
          <w:attr w:name="ProductID" w:val="1945 г"/>
        </w:smartTagPr>
        <w:r w:rsidRPr="00640820">
          <w:rPr>
            <w:rFonts w:ascii="Times New Roman" w:hAnsi="Times New Roman"/>
            <w:color w:val="000000" w:themeColor="text1"/>
            <w:sz w:val="16"/>
            <w:szCs w:val="16"/>
          </w:rPr>
          <w:t>1941 г</w:t>
        </w:r>
      </w:smartTag>
      <w:r w:rsidRPr="00640820">
        <w:rPr>
          <w:rFonts w:ascii="Times New Roman" w:hAnsi="Times New Roman"/>
          <w:color w:val="000000" w:themeColor="text1"/>
          <w:sz w:val="16"/>
          <w:szCs w:val="16"/>
        </w:rPr>
        <w:t>. выходит приказ о производстве на автозаводе аэросаней (в соответствии с решением ГКО и личным указанием И.В. Сталина) (15218).</w:t>
      </w:r>
    </w:p>
    <w:p w14:paraId="4C7FE9C5" w14:textId="77777777" w:rsidR="00D07D2B" w:rsidRPr="00640820" w:rsidRDefault="00D07D2B" w:rsidP="00640820">
      <w:pPr>
        <w:widowControl w:val="0"/>
        <w:spacing w:after="0" w:line="240" w:lineRule="auto"/>
        <w:jc w:val="both"/>
        <w:rPr>
          <w:rFonts w:ascii="Times New Roman" w:hAnsi="Times New Roman"/>
          <w:color w:val="000000" w:themeColor="text1"/>
          <w:sz w:val="16"/>
          <w:szCs w:val="16"/>
        </w:rPr>
      </w:pPr>
    </w:p>
    <w:p w14:paraId="1011851E" w14:textId="77777777" w:rsidR="000C4C73" w:rsidRPr="00640820" w:rsidRDefault="000C4C7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6 декабря 1941 в соответствии с приказом НКСМ СССР на базе оставшегося в Москве оборудования, для выполнения заданий НКСМ по спецпроизводству, организуется филиал НАТИ, эвакуированного в Мелекес. Его директо</w:t>
      </w:r>
      <w:r w:rsidRPr="00640820">
        <w:rPr>
          <w:rFonts w:ascii="Times New Roman" w:hAnsi="Times New Roman"/>
          <w:color w:val="0070C0"/>
          <w:sz w:val="16"/>
          <w:szCs w:val="16"/>
        </w:rPr>
        <w:softHyphen/>
        <w:t>ром назначался и.о. главного инженера и зам. дирек</w:t>
      </w:r>
      <w:r w:rsidRPr="00640820">
        <w:rPr>
          <w:rFonts w:ascii="Times New Roman" w:hAnsi="Times New Roman"/>
          <w:color w:val="0070C0"/>
          <w:sz w:val="16"/>
          <w:szCs w:val="16"/>
        </w:rPr>
        <w:softHyphen/>
        <w:t>тора Л.Ф. Киселев. За филиалом в Москве остава</w:t>
      </w:r>
      <w:r w:rsidRPr="00640820">
        <w:rPr>
          <w:rFonts w:ascii="Times New Roman" w:hAnsi="Times New Roman"/>
          <w:color w:val="0070C0"/>
          <w:sz w:val="16"/>
          <w:szCs w:val="16"/>
        </w:rPr>
        <w:softHyphen/>
        <w:t>лись числиться сотрудники, находящиеся на службе в ПВО Москвы и в ополчении (22518).</w:t>
      </w:r>
    </w:p>
    <w:p w14:paraId="0B2C84BA" w14:textId="77777777" w:rsidR="000C4C73" w:rsidRPr="00640820" w:rsidRDefault="000C4C73" w:rsidP="00640820">
      <w:pPr>
        <w:spacing w:after="0" w:line="240" w:lineRule="auto"/>
        <w:jc w:val="both"/>
        <w:rPr>
          <w:rFonts w:ascii="Times New Roman" w:hAnsi="Times New Roman"/>
          <w:color w:val="0070C0"/>
          <w:sz w:val="16"/>
          <w:szCs w:val="16"/>
        </w:rPr>
      </w:pPr>
    </w:p>
    <w:p w14:paraId="62380D9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декабря 1941 года вышел приказ № 670сс/58сс НКБ и НКТП Челябинск</w:t>
      </w:r>
    </w:p>
    <w:p w14:paraId="1B6F6B8C"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постановлением СНК № 2237-1024сс от 1 декабря 1941 года:</w:t>
      </w:r>
    </w:p>
    <w:p w14:paraId="1C7DAB1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Передать в ведение НКБ следующие заводы НКТП:</w:t>
      </w:r>
    </w:p>
    <w:p w14:paraId="1C191A9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Бисертский завод с эвакуированными цехами заводов: им. Орджоникидзе, Станконормаль и шлифовальных станков.</w:t>
      </w:r>
    </w:p>
    <w:p w14:paraId="0A1D39F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Саровский завод.</w:t>
      </w:r>
    </w:p>
    <w:p w14:paraId="1E468EC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Саратовский станкозавод с передачей оборудования, занятого на производстве 45 мм снарядов с Саратовского завода зуборезных станков.</w:t>
      </w:r>
    </w:p>
    <w:p w14:paraId="13E0496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Акмолинский завод им. ОГПУ.</w:t>
      </w:r>
    </w:p>
    <w:p w14:paraId="1E6CB77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Челябинский станкозавод вместе с эвакуированным оборудованием Московского Индустриально-инструкторского техникума (6042, 42).</w:t>
      </w:r>
    </w:p>
    <w:p w14:paraId="4BC7B2F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2979E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декабря 1941 вышло Постановление ГКО № 998 О плане производства и поставках основных средств связи для Главного управления связи КА в декабре 1941 года. (7017, 62-63).</w:t>
      </w:r>
    </w:p>
    <w:p w14:paraId="1D37954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658067" w14:textId="77777777" w:rsidR="00D07D2B" w:rsidRPr="00640820" w:rsidRDefault="00D07D2B"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6 декабря 1941 года под грифом «Совершенно секретно» ГКО принял постановление «О плане производства и поставки основных средств связи для Главного Управления Связи Красной Армии в декабре 1941 года». Постановление чуть запоздало: декабрь-то уже начался. Очевидно, у ГКО были другие, более важные дела. А, может быть, разработчики постановления выжидали конца ноября, чтобы более точно знать положение дел в этом месяце и доложить ГКО более правильную информацию.</w:t>
      </w:r>
    </w:p>
    <w:p w14:paraId="68FBEC8C" w14:textId="77777777" w:rsidR="00D07D2B" w:rsidRPr="00640820" w:rsidRDefault="00D07D2B"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В постановлении говорится:</w:t>
      </w:r>
    </w:p>
    <w:p w14:paraId="23AE9DE3" w14:textId="77777777" w:rsidR="00D07D2B" w:rsidRPr="00640820" w:rsidRDefault="00D07D2B"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«1. Отметить крайне неудовлетворительное выполнение Наркомэлектропромом (тт. Кабанов и Зубович) в ноябре 1941 года военного заказа по основным средствам связи для Главного Управления Связи Красной Армии и особенно по войсковым радиостанциям РАФ, РСБ, РБ и военно-полевым телефонным аппаратам…</w:t>
      </w:r>
    </w:p>
    <w:p w14:paraId="7CEBDDEF" w14:textId="77777777" w:rsidR="00D07D2B" w:rsidRPr="00640820" w:rsidRDefault="00D07D2B"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640820">
        <w:rPr>
          <w:rFonts w:ascii="Times New Roman" w:eastAsia="TimesNewRoman" w:hAnsi="Times New Roman"/>
          <w:color w:val="000000" w:themeColor="text1"/>
          <w:sz w:val="16"/>
          <w:szCs w:val="16"/>
        </w:rPr>
        <w:t>2. Предупредить Наркомэлектропром (тт.Кабанова и Зубовича), а также директоров заводов: № 197 (т.Беляева), № 3 (т.Никифорова), № 203 (т.Воронцова), №628 (т.Клебанова), №629 (т.Иванова), №326 (т.Салманова) об их личной ответственности за выполнение военного заказа по основным средствам связи, как важного государственного задания» (17424).</w:t>
      </w:r>
    </w:p>
    <w:p w14:paraId="7FAE1D2C" w14:textId="77777777" w:rsidR="00D07D2B" w:rsidRPr="00640820" w:rsidRDefault="00D07D2B" w:rsidP="00640820">
      <w:pPr>
        <w:autoSpaceDE w:val="0"/>
        <w:autoSpaceDN w:val="0"/>
        <w:adjustRightInd w:val="0"/>
        <w:spacing w:after="0" w:line="240" w:lineRule="auto"/>
        <w:jc w:val="both"/>
        <w:rPr>
          <w:rFonts w:ascii="Times New Roman" w:eastAsia="TimesNewRoman" w:hAnsi="Times New Roman"/>
          <w:color w:val="000000" w:themeColor="text1"/>
          <w:sz w:val="16"/>
          <w:szCs w:val="16"/>
        </w:rPr>
      </w:pPr>
    </w:p>
    <w:p w14:paraId="55A20AD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декабря 1941 вышло Постановление ГКО № 999 О производстве походных кухонь в декабре 1941 г. и в январе 1942 года. (7017, 64-65,66-67).</w:t>
      </w:r>
    </w:p>
    <w:p w14:paraId="448766B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7CA804" w14:textId="77777777" w:rsidR="00C30BD0" w:rsidRPr="00640820" w:rsidRDefault="00C30BD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декабря 1941 г.</w:t>
      </w:r>
    </w:p>
    <w:p w14:paraId="5E466F01" w14:textId="77777777" w:rsidR="00C30BD0" w:rsidRPr="00640820" w:rsidRDefault="00C30BD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ВОПРОСЫ, РЕШЕННЫЕ ОПРОСОМ ЧЛЕНОВ БЮРО ГК ВКП(б)</w:t>
      </w:r>
    </w:p>
    <w:p w14:paraId="4F1D5320" w14:textId="77777777" w:rsidR="00C30BD0" w:rsidRPr="00640820" w:rsidRDefault="00C30BD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6 декабря 1941 г.</w:t>
      </w:r>
    </w:p>
    <w:p w14:paraId="330AE3B1" w14:textId="77777777" w:rsidR="00C30BD0" w:rsidRPr="00640820" w:rsidRDefault="00C30BD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131гс. — Об изготовлении минометных установок на автомашине ГАЗ-АА (особая папка).</w:t>
      </w:r>
    </w:p>
    <w:p w14:paraId="43CDDAD0" w14:textId="77777777" w:rsidR="00C30BD0" w:rsidRPr="00640820" w:rsidRDefault="00C30BD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Обязать директора 1 ЛАРЗа т. Карогодского выдать ЛОНИТОМАШ из числа ожидающих ремонта автомашины ГАЗ-АА — 10 шт.</w:t>
      </w:r>
    </w:p>
    <w:p w14:paraId="4B502B6A" w14:textId="77777777" w:rsidR="00C30BD0" w:rsidRPr="00640820" w:rsidRDefault="00C30BD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Обязать ЛОНИТОМАШ (т. Комлева) отремонтировать автомашины, смонтировать минометные установки, броневое прикрытие и сдать все до 20.ХII артиллерийскому управлению Ленфронта.</w:t>
      </w:r>
    </w:p>
    <w:p w14:paraId="5D9E50C8" w14:textId="77777777" w:rsidR="00C30BD0" w:rsidRPr="00640820" w:rsidRDefault="00C30BD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Подписи — Кузнецов, Попков, Капустин, Никитин.</w:t>
      </w:r>
    </w:p>
    <w:p w14:paraId="1D8DE93E" w14:textId="77777777" w:rsidR="00C30BD0" w:rsidRPr="00640820" w:rsidRDefault="00C30BD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ЦГАИПД СПб. Ф. 25. Оп. 2а. Д. 165. Л. 53. Бланк опросного голосования. Оригинал, машинопись. Подписи — автографы (19720).</w:t>
      </w:r>
    </w:p>
    <w:p w14:paraId="6839A82B" w14:textId="77777777" w:rsidR="00C30BD0" w:rsidRPr="00640820" w:rsidRDefault="00C30BD0" w:rsidP="00640820">
      <w:pPr>
        <w:autoSpaceDE w:val="0"/>
        <w:autoSpaceDN w:val="0"/>
        <w:adjustRightInd w:val="0"/>
        <w:spacing w:after="0" w:line="240" w:lineRule="auto"/>
        <w:jc w:val="both"/>
        <w:rPr>
          <w:rFonts w:ascii="Times New Roman" w:hAnsi="Times New Roman"/>
          <w:color w:val="000000" w:themeColor="text1"/>
          <w:sz w:val="16"/>
          <w:szCs w:val="16"/>
        </w:rPr>
      </w:pPr>
    </w:p>
    <w:p w14:paraId="06F55FC1"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0E671255"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3370898" w14:textId="77777777" w:rsidR="00D07D2B" w:rsidRPr="00640820" w:rsidRDefault="00D07D2B"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6 декабря</w:t>
      </w:r>
      <w:r w:rsidRPr="00640820">
        <w:rPr>
          <w:rFonts w:ascii="Times New Roman" w:hAnsi="Times New Roman"/>
          <w:color w:val="000000" w:themeColor="text1"/>
          <w:sz w:val="16"/>
          <w:szCs w:val="16"/>
        </w:rPr>
        <w:t xml:space="preserve"> в 1941 году утреннее сообщение Совинформбюро:</w:t>
      </w:r>
    </w:p>
    <w:p w14:paraId="11516E29" w14:textId="77777777" w:rsidR="00D07D2B" w:rsidRPr="00640820" w:rsidRDefault="00D07D2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6 декабря наши войска вели бои с противником на всех фронтах.</w:t>
      </w:r>
    </w:p>
    <w:p w14:paraId="7BFBE48C" w14:textId="77777777" w:rsidR="00D07D2B" w:rsidRPr="00640820" w:rsidRDefault="00D07D2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Часть тов. Орлова, действующая на одном из участков Западного фронта, за один день боевых действий уничтожила 20 немецких танков и батальон вражеской пехоты, захватила 4 станковых пулемёта, 4 миномёта, 12 автомашин и много других трофеев. На другом участке фронта бойцы тов. Лизюкова уничтожили 8 танков, несколько орудий, истребили свыше двух батальонов вражеской пехоты и захватили 10 станковых пулемётов, 4 миномёта и другое вооружение.</w:t>
      </w:r>
    </w:p>
    <w:p w14:paraId="097BBDE8" w14:textId="77777777" w:rsidR="00D07D2B" w:rsidRPr="00640820" w:rsidRDefault="00D07D2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Часть тов. Шепетова, действующая на одном из участков Южного фронта, в одном бою уничтожила 5 немецких танков 2 миномётные батареи и захватила большой склад боеприпасов противника.</w:t>
      </w:r>
    </w:p>
    <w:p w14:paraId="6B31283F" w14:textId="77777777" w:rsidR="00D07D2B" w:rsidRPr="00640820" w:rsidRDefault="00D07D2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Экипаж танка младшего лейтенанта тов. Ермолаева в одном бою уничтожил 5 противотанковых пушек, разрушил вражеский ДЗОТ, два блиндажа и истребил роту пехоты противника.</w:t>
      </w:r>
    </w:p>
    <w:p w14:paraId="57E1F737" w14:textId="77777777" w:rsidR="00D07D2B" w:rsidRPr="00640820" w:rsidRDefault="00D07D2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Смелое нападение на фашистов совершил неподалёку от гор. Орла партизанский отряд тов. 3. Бойцы отряда взорвала мост через реку Н. Вскоре у переправы скопилось 15 автомашин с боеприпасами и различным военным снаряжением. Выдвинув пулемёты к опушке леса, партизаны открыли по противнику сильный огонь. В это время ударили бойцы отряда, зашедшие во фланги врага. В результате двухчасового боя противник потерял убитыми и ранеными до 45 человек. Партизанам достались многочисленные трофеи. Автомашины и груз сожжены. 25 ноября на железнодорожной станции С. партизаны взорвали 3 цистерны с бензином. Возникший пожар уничтожил несколько складов с военным снаряжением немцев.</w:t>
      </w:r>
    </w:p>
    <w:p w14:paraId="12D5DC6A" w14:textId="77777777" w:rsidR="00D07D2B" w:rsidRPr="00640820" w:rsidRDefault="00D07D2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Всё шире развёртывается патриотическое движение в Югославии. Многочисленные партизанские отряды успешно истребляют немецких оккупантов, 26 ноября южнее Белграда крупный партизанский отряд разбил наголову роту итальянских стрелков.</w:t>
      </w:r>
    </w:p>
    <w:p w14:paraId="31758369" w14:textId="77777777" w:rsidR="00D07D2B" w:rsidRPr="00640820" w:rsidRDefault="00D07D2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Упорные бои развернулись западнее города Прибой. Итальянцы пустили в ход авиацию и артиллерию. Несмотря на это, партизаны разгромили свыше батальона фашистов и заняли ряд населённых пунктов. От немецких и итальянских оккупантов освобождена значительная территория.</w:t>
      </w:r>
    </w:p>
    <w:p w14:paraId="043F0FC4" w14:textId="77777777" w:rsidR="00D07D2B" w:rsidRPr="00640820" w:rsidRDefault="00D07D2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Трудящиеся Свердловской области самоотверженным трудом помогают Красной Армии истреблять фашистских захватчиков. Знатный бурщик Красногвардейского рудника Илларион Янкин вырабатывает свыше 8 норм в смену. Коллектив железного рудника горы Высокой, в условиях сильных морозов, дал в три с половиной раза больше руды, чем за такое же время в прошлом году. На 18 процентов перевыполняет план мастер отражательной печи Красно-уральского завода тов. Сабенин. Смена волочильщиков тов. Нечипоренко Первоуральского новотрубного завода на десять дней раньше срока закончила ноябрьскую программу. Предложение рационализатора одного из уральских заводов т. Королькова ускорило расточку одной ответственной детали в три раза.</w:t>
      </w:r>
    </w:p>
    <w:p w14:paraId="024C83A9" w14:textId="77777777" w:rsidR="00D07D2B" w:rsidRPr="00640820" w:rsidRDefault="00D07D2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Успешно работают и уральские колхозники. В артели имени Сталина, Краснополянского района, намолачивают за день 100 центнеров зерна вместо 70 по плану. Члены колхоза «Передовик», Тугулымского района, сдали в фонд обороны СССР 50 центнеров хлеба, 6 голов крупного рогатого скота, много птицы.» (14852).</w:t>
      </w:r>
    </w:p>
    <w:p w14:paraId="4C639960" w14:textId="77777777" w:rsidR="00D07D2B" w:rsidRPr="00640820" w:rsidRDefault="00D07D2B" w:rsidP="00640820">
      <w:pPr>
        <w:spacing w:after="0" w:line="240" w:lineRule="auto"/>
        <w:jc w:val="both"/>
        <w:rPr>
          <w:rFonts w:ascii="Times New Roman" w:hAnsi="Times New Roman"/>
          <w:color w:val="000000" w:themeColor="text1"/>
          <w:sz w:val="16"/>
          <w:szCs w:val="16"/>
        </w:rPr>
      </w:pPr>
    </w:p>
    <w:p w14:paraId="23FFCD73" w14:textId="77777777" w:rsidR="00D07D2B" w:rsidRPr="00640820" w:rsidRDefault="00D07D2B"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6 декабря</w:t>
      </w:r>
      <w:r w:rsidRPr="00640820">
        <w:rPr>
          <w:rFonts w:ascii="Times New Roman" w:hAnsi="Times New Roman"/>
          <w:color w:val="000000" w:themeColor="text1"/>
          <w:sz w:val="16"/>
          <w:szCs w:val="16"/>
        </w:rPr>
        <w:t xml:space="preserve"> в 1941 году вечернее сообщение Совинформбюро:</w:t>
      </w:r>
    </w:p>
    <w:p w14:paraId="27796987" w14:textId="77777777" w:rsidR="00D07D2B" w:rsidRPr="00640820" w:rsidRDefault="00D07D2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6 декабря наши войска вели бои с противником на всех фронтах.</w:t>
      </w:r>
    </w:p>
    <w:p w14:paraId="77D23515" w14:textId="77777777" w:rsidR="00D07D2B" w:rsidRPr="00640820" w:rsidRDefault="00D07D2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5 декабря сбито 14 немецких самолётов. Наши потери — 4 самолёта.</w:t>
      </w:r>
    </w:p>
    <w:p w14:paraId="564B6D0D" w14:textId="77777777" w:rsidR="00D07D2B" w:rsidRPr="00640820" w:rsidRDefault="00D07D2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6 декабря под Москвой сбито 3 немецких самолёта.</w:t>
      </w:r>
    </w:p>
    <w:p w14:paraId="26A36078" w14:textId="77777777" w:rsidR="00D07D2B" w:rsidRPr="00640820" w:rsidRDefault="00D07D2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5 декабря нашей авиацией уничтожено 70 немецких танков, более 330 авто-машин с войсками и грузами, 7 полевых орудий, 9 автоцистерн с горючим, свыше 200 подвод с боеприпасами, истреблено и рассеяно 2 полка вражеской пехоты и 300 всадников.</w:t>
      </w:r>
    </w:p>
    <w:p w14:paraId="64B89FC7" w14:textId="77777777" w:rsidR="00D07D2B" w:rsidRPr="00640820" w:rsidRDefault="00D07D2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Части тов. Юшкевича, действующие на одном из участков Калининского направления фронта, в ожесточённых боях выбили немцев из ряда населённых пунктов, истребив при этом свыше 350 солдат и офицеров противника и захватив 6 орудий, несколько пулемётов и большое количество боеприпасов.</w:t>
      </w:r>
    </w:p>
    <w:p w14:paraId="19D67A60" w14:textId="77777777" w:rsidR="00D07D2B" w:rsidRPr="00640820" w:rsidRDefault="00D07D2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Артиллеристы частей тов. Захаркина, действующих на Западном фронте, в ночь на 5 декабря уничтожили 8 немецких минометных батарей, 1 артиллерийскую батарею, 3 пулемётные точки и истребили до роты пехоты противника.</w:t>
      </w:r>
    </w:p>
    <w:p w14:paraId="542169A0" w14:textId="77777777" w:rsidR="00D07D2B" w:rsidRPr="00640820" w:rsidRDefault="00D07D2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Бойцы тов. Лопатина за два дня боевых действий на одном из участков Южного фронта уничтожили 19 немецких танков, 16 автомашин и захватили 17 орудий, 54 автомашины с боеприпасами и другими военными грузами, 3 трактора, 7 миномётов, 8 пулемётов, много снарядов и патронов.</w:t>
      </w:r>
    </w:p>
    <w:p w14:paraId="20DDF42C" w14:textId="77777777" w:rsidR="00D07D2B" w:rsidRPr="00640820" w:rsidRDefault="00D07D2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Немецкие захватчики строят бараки и землянки, чтобы укрыться от зимней стужи. Партизанские отряды, действующие в тылу врага на Калининском направлении фронта, выкуривают немцев из их убежищ. Бойцы отряда тов. И. 27 ноября ночью окружили посёлок, который построили фашисты недалеко от фронта, и подожгли его. Немцы, выскакивавшие из горящих бараков, попадали под меткий огонь партизан. В течение часа славные патриоты истребили 38 немецких солдат. Отлично действуют партизаны-снайперы из отряда, где командиром тов. К. Из укрытий они поражают немецких солдат, водителей автомашин, выводят из строя, бронебойными пулями автоцистерны с горючим. За два дня партизаны убили 19 солдат и 4 офицеров, уничтожили 4 автоцистерны с горючим и 2 бронемашины. Партизанский отряд тов. М. за несколько дней уничтожил 7 автомашин с боеприпасами и продовольствием.</w:t>
      </w:r>
    </w:p>
    <w:p w14:paraId="7DECF5AD" w14:textId="77777777" w:rsidR="00D07D2B" w:rsidRPr="00640820" w:rsidRDefault="00D07D2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Трудящиеся Омской области самоотверженным трудом помогают Красной Армии истреблять немецко-фашистских захватчиков. Коллектив Тюменского завода имени Кирова досрочно выполнил годовую производственную программу. Успешно выполнили годовые задания Омская картографическая фабрика, паровозо-вагоноремонтный завод и другие предприятия. Замечательные образцы трудового героизма показывают рабочие паровозо-вагоноремонтного завода. Стахановец Алексеев выполняет по 6-8 норм за смену. Работая на трёх станках, токарь Стрелин выполняет норму на 700-800 процентов. Стахановец завода, где директором тов. Лукин, Алексей Ростов работает за шестерых.</w:t>
      </w:r>
    </w:p>
    <w:p w14:paraId="0699E8CF" w14:textId="77777777" w:rsidR="00D07D2B" w:rsidRPr="00640820" w:rsidRDefault="00D07D2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Колхозники области дают для Красной Армии и страны много сельскохозяйственных продуктов. Колхоз «Искра», Калачинского района, продал государству 18 тысяч пудов хлеба и, кроме того, внёс в фонд, обороны СССР 1.800 пудов зерна. Колхоз имени Сталина, Шербакульского района, продал государству 14 тысяч пудов зерна и 2.400 пудов внёс в фонд обороны страны. Колхоз «Степь», Русско-Полянского района, выполнив план хлебосдачи, продал государству 6.000 пудов зерна. Полученные деньги колхозники внесли в фонд обороны. Колхозы Полтавского района откармливают для Красной Армии 1.400 свиней. Колхозы Еланского сельсовета, Нижне-Тавдинского района, досрочно рассчитавшись с государством, сдали в фонд обороны 2.400 пудов хлеба, 72 пуда мяса и поставили на откорм для Красной Армии 50 свиней. Трудящиеся Омской области внесли в фонд обороны страны около 14 млн. рублей наличными и больше чем на 19 млн. рублей облигаций государственных займов.» (14852).</w:t>
      </w:r>
    </w:p>
    <w:p w14:paraId="59850385" w14:textId="77777777" w:rsidR="00D07D2B" w:rsidRPr="00640820" w:rsidRDefault="00D07D2B" w:rsidP="00640820">
      <w:pPr>
        <w:spacing w:after="0" w:line="240" w:lineRule="auto"/>
        <w:jc w:val="both"/>
        <w:rPr>
          <w:rFonts w:ascii="Times New Roman" w:hAnsi="Times New Roman"/>
          <w:color w:val="000000" w:themeColor="text1"/>
          <w:sz w:val="16"/>
          <w:szCs w:val="16"/>
        </w:rPr>
      </w:pPr>
    </w:p>
    <w:p w14:paraId="77BDDF18" w14:textId="77777777" w:rsidR="007C4777" w:rsidRPr="00640820" w:rsidRDefault="007C4777"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6 декабря 1941 г. приказом наркома обороны 215</w:t>
      </w:r>
      <w:r w:rsidRPr="00640820">
        <w:rPr>
          <w:rFonts w:ascii="Times New Roman" w:hAnsi="Times New Roman"/>
          <w:color w:val="0070C0"/>
          <w:sz w:val="16"/>
          <w:szCs w:val="16"/>
        </w:rPr>
        <w:noBreakHyphen/>
        <w:t>й шап, командиром которого к этому времени вместо майора Рейно был уже назначен бывший командир эскадрильи 61</w:t>
      </w:r>
      <w:r w:rsidRPr="00640820">
        <w:rPr>
          <w:rFonts w:ascii="Times New Roman" w:hAnsi="Times New Roman"/>
          <w:color w:val="0070C0"/>
          <w:sz w:val="16"/>
          <w:szCs w:val="16"/>
        </w:rPr>
        <w:noBreakHyphen/>
        <w:t>го шап капитан Филатов, стал первым гвардейским штурмовым авиаполком ВВС Красной армии. Согласно официальным советским данным, за два месяца боев, с 21 августа по октябрь 1941 г., летчики полка в общей сложности уничтожили и вывели из строя 183 немецких танка, 474 грузовика и 120 артиллерийских орудий, а также 68 самолетов.</w:t>
      </w:r>
    </w:p>
    <w:p w14:paraId="4A248C8F" w14:textId="3A148D30" w:rsidR="007C4777" w:rsidRPr="00640820" w:rsidRDefault="007C4777"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Присвоение звания «гвардейский» влекло за собой существенные изменения в жизни авиаполка. Его штат увеличивался до трех эскадрилий, и он в обязательном порядке подлежал полному укомплектованию как личным составом, так и материальной частью. Размер денежного содержания для рядового состава увеличивался вдвое, а для офицеров – в полтора раза. Приказом наркома обороны от 28 мая 1942 г. были введены специальные гвардейские воинские звания, а приказ № 407 от 4 мая 1943 г. устанавливал, что перевод личного состава гвардейских частей в другие подразделения мог производиться лишь с разрешения командующего ВВС. Тем самым руководство старалось всячески выделить гвардейские полки и подчеркнуть их элитный характер по сравнению с обычными «линейными» авиаполками (23199).</w:t>
      </w:r>
    </w:p>
    <w:p w14:paraId="77313911" w14:textId="77777777" w:rsidR="007C4777" w:rsidRPr="00640820" w:rsidRDefault="007C4777" w:rsidP="00640820">
      <w:pPr>
        <w:spacing w:after="0" w:line="240" w:lineRule="auto"/>
        <w:jc w:val="both"/>
        <w:rPr>
          <w:rFonts w:ascii="Times New Roman" w:hAnsi="Times New Roman"/>
          <w:color w:val="0070C0"/>
          <w:sz w:val="16"/>
          <w:szCs w:val="16"/>
        </w:rPr>
      </w:pPr>
    </w:p>
    <w:p w14:paraId="26384EB0" w14:textId="77777777" w:rsidR="00D07D2B" w:rsidRPr="00640820" w:rsidRDefault="00D07D2B"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6 декабря</w:t>
      </w:r>
      <w:r w:rsidRPr="00640820">
        <w:rPr>
          <w:rFonts w:ascii="Times New Roman" w:hAnsi="Times New Roman"/>
          <w:color w:val="000000" w:themeColor="text1"/>
          <w:sz w:val="16"/>
          <w:szCs w:val="16"/>
        </w:rPr>
        <w:t xml:space="preserve"> в 1941 году началась Тульская наступательная операция войск левого крыла Западного фронта (10, 49, 50-я армии, 1-й гвардейский кавалерийский корпус, рубеж обороны — от Тулы до Мордвес, Серебряные Пруды, Михайлов, Чернава) при поддержке фронтовой авиации, продолжавшаяся до 16 декабря (14852).</w:t>
      </w:r>
    </w:p>
    <w:p w14:paraId="592F6EF5" w14:textId="77777777" w:rsidR="00D07D2B" w:rsidRPr="00640820" w:rsidRDefault="00D07D2B" w:rsidP="00640820">
      <w:pPr>
        <w:spacing w:after="0" w:line="240" w:lineRule="auto"/>
        <w:jc w:val="both"/>
        <w:rPr>
          <w:rFonts w:ascii="Times New Roman" w:hAnsi="Times New Roman"/>
          <w:color w:val="000000" w:themeColor="text1"/>
          <w:sz w:val="16"/>
          <w:szCs w:val="16"/>
        </w:rPr>
      </w:pPr>
    </w:p>
    <w:p w14:paraId="0BC08F9D" w14:textId="77777777" w:rsidR="00D07D2B" w:rsidRPr="00640820" w:rsidRDefault="00D07D2B"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6 декабря</w:t>
      </w:r>
      <w:r w:rsidRPr="00640820">
        <w:rPr>
          <w:rFonts w:ascii="Times New Roman" w:hAnsi="Times New Roman"/>
          <w:color w:val="000000" w:themeColor="text1"/>
          <w:sz w:val="16"/>
          <w:szCs w:val="16"/>
        </w:rPr>
        <w:t xml:space="preserve"> в 1941 году началась Елецкая наступательная операция войск правого крыла Юго-Западного фронта (генерал-лейтенант Ф.Я.Костенко). Завершилась 16 декабря. Освобождено около 400 населенных пунктов, уничтожено почти 16 тысяч солдат и офицеров противника. 9 декабря был освобожден город Елец (14852).</w:t>
      </w:r>
    </w:p>
    <w:p w14:paraId="75522F02" w14:textId="77777777" w:rsidR="00D07D2B" w:rsidRPr="00640820" w:rsidRDefault="00D07D2B" w:rsidP="00640820">
      <w:pPr>
        <w:spacing w:after="0" w:line="240" w:lineRule="auto"/>
        <w:jc w:val="both"/>
        <w:rPr>
          <w:rFonts w:ascii="Times New Roman" w:hAnsi="Times New Roman"/>
          <w:color w:val="000000" w:themeColor="text1"/>
          <w:sz w:val="16"/>
          <w:szCs w:val="16"/>
        </w:rPr>
      </w:pPr>
    </w:p>
    <w:p w14:paraId="6CE249AC" w14:textId="77777777" w:rsidR="00D07D2B" w:rsidRPr="00640820" w:rsidRDefault="00D07D2B"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6 декабря</w:t>
      </w:r>
      <w:r w:rsidRPr="00640820">
        <w:rPr>
          <w:rFonts w:ascii="Times New Roman" w:hAnsi="Times New Roman"/>
          <w:color w:val="000000" w:themeColor="text1"/>
          <w:sz w:val="16"/>
          <w:szCs w:val="16"/>
        </w:rPr>
        <w:t xml:space="preserve"> в 1941 году Начальник германского Генерального штаба Франц Гальдер записал в дневнике: "Фюрер заявил, что одними цифрами невозможно объяснить проблему соотношения сил. Наши потери составляют 500 000 человек. Русские потеряли 8-10 млн. человек. Потери русских по меньшей мере в 10 раз превышают наши потери. Они потеряли 78 тысяч орудий. Артиллерия противника достигла нулевого уровня". В тот момент Гитлер еще ничего не знал о начавшемся советском контрнаступлении (14852).</w:t>
      </w:r>
    </w:p>
    <w:p w14:paraId="403145B1" w14:textId="77777777" w:rsidR="00D07D2B" w:rsidRPr="00640820" w:rsidRDefault="00D07D2B" w:rsidP="00640820">
      <w:pPr>
        <w:spacing w:after="0" w:line="240" w:lineRule="auto"/>
        <w:jc w:val="both"/>
        <w:rPr>
          <w:rFonts w:ascii="Times New Roman" w:hAnsi="Times New Roman"/>
          <w:color w:val="000000" w:themeColor="text1"/>
          <w:sz w:val="16"/>
          <w:szCs w:val="16"/>
        </w:rPr>
      </w:pPr>
    </w:p>
    <w:p w14:paraId="3D4B7B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(7 - 337,55) декабря 1941 состоялось рождение авиационной гвардии (108,42). Гвардейскими стали 6 полков - 29, 526, 155 иап, 31 бап, 129 иап и 215 шап (пп Л.Д.Рейно) (259,37). С другой стороны, считается, что штурмовой авиаполк, сформированный из заб завода, который был направлен на защиту Москвы, как раз и стал первым гвардейским ШАП и стал называться 6-м Московским шап (180,81). В этом нет противоречия, так как 215 шап как раз и был переименован в 6 гшап (337,55).</w:t>
      </w:r>
    </w:p>
    <w:p w14:paraId="13BBB2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2C28FB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6 декабря 1941 по 31 января 1942 состоялось советское наступление (2238,9). Это наступал ЗФ. Провели авиаподготовку ночью и сделали 150 вылетов. Бомбардировали штабы, узлы связи, резервы на направлении главных ударов. Одновременно ударили по аэродромам в районе Клина и Ватулино. Авиагруппа Петрова сосредоточилась на поддержке 30 и 1УА, а ВВЧС Зфронта и другие части - 16А и особенно 20А. За 3 дня наступления выполнили 800 вылетов. Немцы пытались бомбить, но были отбиты (341,82).</w:t>
      </w:r>
    </w:p>
    <w:p w14:paraId="1D0FEC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6E035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декабря 1941 началось наступление ЮЗФ - 13А и 3А по Елецкой группировке. авиация делала всего по 60 вылетов в день. ДБА работала днем и ночью и в т.ч. по ж/д Новгород-Псков и Суммы-Киев (341,84).</w:t>
      </w:r>
    </w:p>
    <w:p w14:paraId="627CA2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2856926"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декабря 1941 года командир 1-й гвардейской танковой бригады генерал-майором М.Е. Катуковым писал: «</w:t>
      </w:r>
      <w:r w:rsidRPr="00640820">
        <w:rPr>
          <w:rStyle w:val="af0"/>
          <w:rFonts w:ascii="Times New Roman" w:hAnsi="Times New Roman"/>
          <w:i w:val="0"/>
          <w:color w:val="000000" w:themeColor="text1"/>
          <w:sz w:val="16"/>
          <w:szCs w:val="16"/>
        </w:rPr>
        <w:t>Противник… часто пропускает передовые части и потом ведет огонь с тыла по нашим войскам, сбрасывает бутылки с горючим на наши танки</w:t>
      </w:r>
      <w:r w:rsidRPr="00640820">
        <w:rPr>
          <w:rFonts w:ascii="Times New Roman" w:hAnsi="Times New Roman"/>
          <w:color w:val="000000" w:themeColor="text1"/>
          <w:sz w:val="16"/>
          <w:szCs w:val="16"/>
        </w:rPr>
        <w:t>». В германских инструкциях упомянуты бутылки, наполняемые бензином, загущенным маслом и снабженные запалом в виде фитиля или спичек (12233).</w:t>
      </w:r>
    </w:p>
    <w:p w14:paraId="331FBB36"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p>
    <w:p w14:paraId="635DC96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декабря 1941 согласно сообщению Совинформбюро за первый день контрнаступления под Москвой авиация уничтожила и повредила 115 танков, несколько бронемашин, более 750 а/м, 50 орудий, 150 повозок, 4 полка (438,827).</w:t>
      </w:r>
    </w:p>
    <w:p w14:paraId="200362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CD3C3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6 по 16 декабря 1941 состоялась Елецкая операция. Продвинулись на 80-100 км, окружили и уничтожили 2 дивизии (2438,227).</w:t>
      </w:r>
    </w:p>
    <w:p w14:paraId="22FC876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CE483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6 по 25 декабря 1941 состоялась Клинско-Солнечногорская наступательная операция и продвинулись на 90-110 км, освободив Клин, Истру, Солнечногорск (2438,316).</w:t>
      </w:r>
    </w:p>
    <w:p w14:paraId="75982E2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A2ED419"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218BA5C4"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6CA8C2A" w14:textId="77777777" w:rsidR="000C4C73" w:rsidRPr="00640820" w:rsidRDefault="000C4C7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6 декабря 1941 г. фирма «Локхид» начала проектирование двухмоторного морского торпедоносца-бомбардировщика V-135, но на следующий день японская палубная авиация напала на Перл-Харбор. А когда США вступили в войну и с Германией, «Локхид» оказался загружен другими заказами и мог предложить Флоту лишь переоборудовать двухмоторные авиалайнеры L-18 «Электра» (23002).</w:t>
      </w:r>
    </w:p>
    <w:p w14:paraId="236FDB1C" w14:textId="77777777" w:rsidR="000C4C73" w:rsidRPr="00640820" w:rsidRDefault="000C4C73" w:rsidP="00640820">
      <w:pPr>
        <w:spacing w:after="0" w:line="240" w:lineRule="auto"/>
        <w:jc w:val="both"/>
        <w:rPr>
          <w:rFonts w:ascii="Times New Roman" w:hAnsi="Times New Roman"/>
          <w:color w:val="0070C0"/>
          <w:sz w:val="16"/>
          <w:szCs w:val="16"/>
        </w:rPr>
      </w:pPr>
    </w:p>
    <w:p w14:paraId="15358F53" w14:textId="77777777" w:rsidR="000C4C73" w:rsidRPr="00640820" w:rsidRDefault="000C4C7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xml:space="preserve">6 декабря 1941 г. — за день до нападения Японии на Перл-Харбор и вступления США в войну в фирме Локхид начались работы по проекту V-135 под руководством Главного конструктора Джона Б. Уэссела. Построить такой самолет, получивший позже обозначение P2V «Нептун» в честь бога морей древних римлян, предложил вице-президент филиала фирмы Локхид «Вега» в Бербанке (Калифорния) В. Шорт. </w:t>
      </w:r>
    </w:p>
    <w:p w14:paraId="42C827F0" w14:textId="77777777" w:rsidR="000C4C73" w:rsidRPr="00640820" w:rsidRDefault="000C4C7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Это был первый самолет американского флота наземного базирования, который специально создавался для патрулирования морских пространств. В отличие от гидросамолетов, для которых длина разбега не имела большого значения, «Нептун» должен был взлетать с небольших аэродромов, неся большой запас топлива, разнообразное оборудование и вооружение. Для него была задана дальность 8000 км и продолжительность полета с крейсерской скоростью 280 км/ч (максимальная скорость требовалась для такого самолета очень большая — 480 км/ч) с учетом взлета, набора высоты и посадки получалась почти 30 часов, из них 28,5 ч — на крейсерском участке. Для этого требовалось 17750 л топлива и около 500 л масла. Семь членов экипажа весили 570 кг, а поскольку полет продолжался более суток, на борту кроме пайков пришлось предусмотреть и определенные удобства для них. Существенную долю веса составляли вооружение, целевое и съемное оборудование — 3600 и 1000 кг соответственно. В итоге максимальная масса этого двухмоторного самолета должна была составить 26700 кг, т.е. как у типовой четырехмоторной машины тех лет. При посадочной скорости 120 км/ч и коэффициенте подъемной силы 2,2 площадь крыла должна была составить 86,9 кв.м, что соответствовало нагрузке на крыло 308 кг/кв.м. В техническом задании с учетом запаса был указан максимальный вес самолета 26300 кг при площади крыла 93 кв.м (1000 кв.фт.). Достижение таких параметров требовало очень высокой весовой культуры, т.к. полезная нагрузка машины должна была превышать 50% ее веса, что в то время для боевого самолета было почти недостижимо (23020).</w:t>
      </w:r>
    </w:p>
    <w:p w14:paraId="13B0F24A" w14:textId="77777777" w:rsidR="000C4C73" w:rsidRPr="00640820" w:rsidRDefault="000C4C73" w:rsidP="00640820">
      <w:pPr>
        <w:spacing w:after="0" w:line="240" w:lineRule="auto"/>
        <w:jc w:val="both"/>
        <w:rPr>
          <w:rFonts w:ascii="Times New Roman" w:hAnsi="Times New Roman"/>
          <w:color w:val="0070C0"/>
          <w:sz w:val="16"/>
          <w:szCs w:val="16"/>
        </w:rPr>
      </w:pPr>
    </w:p>
    <w:p w14:paraId="05630C26" w14:textId="77777777" w:rsidR="00D07D2B" w:rsidRPr="00640820" w:rsidRDefault="00D07D2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декабря 1941 секция S-1 Управления по исследованиям и развитию была реорганизована и стала осуществлять координацию всем проектом по созданию атомной бомбы (2220).</w:t>
      </w:r>
    </w:p>
    <w:p w14:paraId="43D5CD45" w14:textId="77777777" w:rsidR="00D07D2B" w:rsidRPr="00640820" w:rsidRDefault="00D07D2B" w:rsidP="00640820">
      <w:pPr>
        <w:autoSpaceDE w:val="0"/>
        <w:autoSpaceDN w:val="0"/>
        <w:adjustRightInd w:val="0"/>
        <w:spacing w:after="0" w:line="240" w:lineRule="auto"/>
        <w:jc w:val="both"/>
        <w:rPr>
          <w:rFonts w:ascii="Times New Roman" w:hAnsi="Times New Roman"/>
          <w:color w:val="000000" w:themeColor="text1"/>
          <w:sz w:val="16"/>
          <w:szCs w:val="16"/>
        </w:rPr>
      </w:pPr>
    </w:p>
    <w:p w14:paraId="7C30A422" w14:textId="77777777" w:rsidR="00D07D2B" w:rsidRPr="00640820" w:rsidRDefault="00D07D2B"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6 декабря</w:t>
      </w:r>
      <w:r w:rsidRPr="00640820">
        <w:rPr>
          <w:rFonts w:ascii="Times New Roman" w:hAnsi="Times New Roman"/>
          <w:color w:val="000000" w:themeColor="text1"/>
          <w:sz w:val="16"/>
          <w:szCs w:val="16"/>
        </w:rPr>
        <w:t xml:space="preserve"> в 1941 году после доклада Дж.Томсона в США принято решение начать работы по разработке ядерного оружия (14852).</w:t>
      </w:r>
    </w:p>
    <w:p w14:paraId="7115A4E9" w14:textId="77777777" w:rsidR="00D07D2B" w:rsidRPr="00640820" w:rsidRDefault="00D07D2B" w:rsidP="00640820">
      <w:pPr>
        <w:spacing w:after="0" w:line="240" w:lineRule="auto"/>
        <w:jc w:val="both"/>
        <w:rPr>
          <w:rFonts w:ascii="Times New Roman" w:hAnsi="Times New Roman"/>
          <w:color w:val="000000" w:themeColor="text1"/>
          <w:sz w:val="16"/>
          <w:szCs w:val="16"/>
        </w:rPr>
      </w:pPr>
    </w:p>
    <w:p w14:paraId="666462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6 </w:t>
      </w:r>
      <w:r w:rsidRPr="00640820">
        <w:rPr>
          <w:rFonts w:ascii="Times New Roman" w:hAnsi="Times New Roman"/>
          <w:color w:val="000000" w:themeColor="text1"/>
          <w:sz w:val="16"/>
          <w:szCs w:val="16"/>
        </w:rPr>
        <w:t>декабря</w:t>
      </w:r>
      <w:r w:rsidRPr="00640820">
        <w:rPr>
          <w:rFonts w:ascii="Times New Roman" w:hAnsi="Times New Roman"/>
          <w:color w:val="000000" w:themeColor="text1"/>
          <w:sz w:val="16"/>
          <w:szCs w:val="16"/>
          <w:lang w:val="en-US"/>
        </w:rPr>
        <w:t xml:space="preserve"> 1941 British declaration of war against Finland, Hungary, and Rumania (1223).</w:t>
      </w:r>
    </w:p>
    <w:p w14:paraId="34248D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7953DF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декабря 1941 Англия объявила войну против Финляндии и Румынии (1223) и Венгрии (2260).</w:t>
      </w:r>
    </w:p>
    <w:p w14:paraId="21B03B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0D77BA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декабря 1941 Англия объявила войну Финляндии, Венгрии и Румынии (4962).</w:t>
      </w:r>
    </w:p>
    <w:p w14:paraId="65AFAC8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79ADD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декабря 1941 президент США Ф. Рузвельт призвал императора Японии Хирохито не допустить войны (4962).</w:t>
      </w:r>
    </w:p>
    <w:p w14:paraId="1A0F531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F3A3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December 6 1941 President Roosevelt's message to the Japanese Emperor on the Pacific conversations (1223).</w:t>
      </w:r>
    </w:p>
    <w:p w14:paraId="15E0A2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65D65C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декабря 1941 Ф.Д.Р. предложил японскому императору начать переговоры (1223).</w:t>
      </w:r>
    </w:p>
    <w:p w14:paraId="6B9ADF2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F7076FF"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0891F094"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1C70C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декабря 1941 Туполев смог доложить наркому Шахурину, что машина 103В прошла наземные испытания и готова к полетам. 18 ноября заместитель наркома А.С. Яковлев разрешил поднять ее в воздух (11988).</w:t>
      </w:r>
    </w:p>
    <w:p w14:paraId="2C3271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C8A1BE9" w14:textId="77777777" w:rsidR="000C4C73" w:rsidRPr="00640820" w:rsidRDefault="000C4C7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lang w:eastAsia="ru-RU" w:bidi="ru-RU"/>
        </w:rPr>
        <w:t>В начале декабря 1940 г. прика</w:t>
      </w:r>
      <w:r w:rsidRPr="00640820">
        <w:rPr>
          <w:rFonts w:ascii="Times New Roman" w:hAnsi="Times New Roman"/>
          <w:color w:val="0070C0"/>
          <w:sz w:val="16"/>
          <w:szCs w:val="16"/>
          <w:lang w:eastAsia="ru-RU" w:bidi="ru-RU"/>
        </w:rPr>
        <w:softHyphen/>
        <w:t>зом НКАП уже был назначен экипаж для проведения заводских испытаний само</w:t>
      </w:r>
      <w:r w:rsidRPr="00640820">
        <w:rPr>
          <w:rFonts w:ascii="Times New Roman" w:hAnsi="Times New Roman"/>
          <w:color w:val="0070C0"/>
          <w:sz w:val="16"/>
          <w:szCs w:val="16"/>
          <w:lang w:eastAsia="ru-RU" w:bidi="ru-RU"/>
        </w:rPr>
        <w:softHyphen/>
        <w:t>лета «103»; название ФБ далее не при</w:t>
      </w:r>
      <w:r w:rsidRPr="00640820">
        <w:rPr>
          <w:rFonts w:ascii="Times New Roman" w:hAnsi="Times New Roman"/>
          <w:color w:val="0070C0"/>
          <w:sz w:val="16"/>
          <w:szCs w:val="16"/>
          <w:lang w:eastAsia="ru-RU" w:bidi="ru-RU"/>
        </w:rPr>
        <w:softHyphen/>
        <w:t>менялось. Летать на машине предстояло М.А. Нюхтикову и Ф.Ф. Опадчему. Нео</w:t>
      </w:r>
      <w:r w:rsidRPr="00640820">
        <w:rPr>
          <w:rFonts w:ascii="Times New Roman" w:hAnsi="Times New Roman"/>
          <w:color w:val="0070C0"/>
          <w:sz w:val="16"/>
          <w:szCs w:val="16"/>
          <w:lang w:eastAsia="ru-RU" w:bidi="ru-RU"/>
        </w:rPr>
        <w:softHyphen/>
        <w:t>фициально бомбардировщик имел еще одно обозначение - «58», или АНТ-58. Тем самым он продолжал цепочку ма</w:t>
      </w:r>
      <w:r w:rsidRPr="00640820">
        <w:rPr>
          <w:rFonts w:ascii="Times New Roman" w:hAnsi="Times New Roman"/>
          <w:color w:val="0070C0"/>
          <w:sz w:val="16"/>
          <w:szCs w:val="16"/>
          <w:lang w:eastAsia="ru-RU" w:bidi="ru-RU"/>
        </w:rPr>
        <w:softHyphen/>
        <w:t>шин, начатую некогда АНТ-1. Номера всех самолетов, созданных под руковод</w:t>
      </w:r>
      <w:r w:rsidRPr="00640820">
        <w:rPr>
          <w:rFonts w:ascii="Times New Roman" w:hAnsi="Times New Roman"/>
          <w:color w:val="0070C0"/>
          <w:sz w:val="16"/>
          <w:szCs w:val="16"/>
          <w:lang w:eastAsia="ru-RU" w:bidi="ru-RU"/>
        </w:rPr>
        <w:softHyphen/>
        <w:t>ством Туполева, давались в хронологи</w:t>
      </w:r>
      <w:r w:rsidRPr="00640820">
        <w:rPr>
          <w:rFonts w:ascii="Times New Roman" w:hAnsi="Times New Roman"/>
          <w:color w:val="0070C0"/>
          <w:sz w:val="16"/>
          <w:szCs w:val="16"/>
          <w:lang w:eastAsia="ru-RU" w:bidi="ru-RU"/>
        </w:rPr>
        <w:softHyphen/>
        <w:t>ческом порядке.</w:t>
      </w:r>
    </w:p>
    <w:p w14:paraId="495D8A1E" w14:textId="77777777" w:rsidR="000C4C73" w:rsidRPr="00640820" w:rsidRDefault="000C4C7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lang w:eastAsia="ru-RU" w:bidi="ru-RU"/>
        </w:rPr>
        <w:t>Для первого самолета «103» имелись два мотора АМ-37. Но ресурс их до пер</w:t>
      </w:r>
      <w:r w:rsidRPr="00640820">
        <w:rPr>
          <w:rFonts w:ascii="Times New Roman" w:hAnsi="Times New Roman"/>
          <w:color w:val="0070C0"/>
          <w:sz w:val="16"/>
          <w:szCs w:val="16"/>
          <w:lang w:eastAsia="ru-RU" w:bidi="ru-RU"/>
        </w:rPr>
        <w:softHyphen/>
        <w:t>вой переборки не превышал 50 часов. Поэтому на заводе №24 дополнительно заказали еще три, попросив изготовить срочно. Эти три двигателя должны были иметь редукцию 0,59, а не 0,73, как уже установленные на машине.</w:t>
      </w:r>
    </w:p>
    <w:p w14:paraId="24887DE3" w14:textId="77777777" w:rsidR="000C4C73" w:rsidRPr="00640820" w:rsidRDefault="000C4C7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lang w:eastAsia="ru-RU" w:bidi="ru-RU"/>
        </w:rPr>
        <w:t>По сравнению с постановлением Ко</w:t>
      </w:r>
      <w:r w:rsidRPr="00640820">
        <w:rPr>
          <w:rFonts w:ascii="Times New Roman" w:hAnsi="Times New Roman"/>
          <w:color w:val="0070C0"/>
          <w:sz w:val="16"/>
          <w:szCs w:val="16"/>
          <w:lang w:eastAsia="ru-RU" w:bidi="ru-RU"/>
        </w:rPr>
        <w:softHyphen/>
        <w:t>митета обороны завод опоздал на во</w:t>
      </w:r>
      <w:r w:rsidRPr="00640820">
        <w:rPr>
          <w:rFonts w:ascii="Times New Roman" w:hAnsi="Times New Roman"/>
          <w:color w:val="0070C0"/>
          <w:sz w:val="16"/>
          <w:szCs w:val="16"/>
          <w:lang w:eastAsia="ru-RU" w:bidi="ru-RU"/>
        </w:rPr>
        <w:softHyphen/>
        <w:t>семь дней. Самолет был завершен 8 ян</w:t>
      </w:r>
      <w:r w:rsidRPr="00640820">
        <w:rPr>
          <w:rFonts w:ascii="Times New Roman" w:hAnsi="Times New Roman"/>
          <w:color w:val="0070C0"/>
          <w:sz w:val="16"/>
          <w:szCs w:val="16"/>
          <w:lang w:eastAsia="ru-RU" w:bidi="ru-RU"/>
        </w:rPr>
        <w:softHyphen/>
        <w:t>варя 1941 г.</w:t>
      </w:r>
    </w:p>
    <w:p w14:paraId="235230E7" w14:textId="77777777" w:rsidR="000C4C73" w:rsidRPr="00640820" w:rsidRDefault="000C4C7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lang w:eastAsia="ru-RU" w:bidi="ru-RU"/>
        </w:rPr>
        <w:lastRenderedPageBreak/>
        <w:t>Сначала поднять бомбардировщик в воздух намеревались с аэродрома в Раменском. Но потом учли, что дорога делает несколько крутых поворотов, проходит через узкий мост через реку Пехорка. Предстояло преодолеть кру</w:t>
      </w:r>
      <w:r w:rsidRPr="00640820">
        <w:rPr>
          <w:rFonts w:ascii="Times New Roman" w:hAnsi="Times New Roman"/>
          <w:color w:val="0070C0"/>
          <w:sz w:val="16"/>
          <w:szCs w:val="16"/>
          <w:lang w:eastAsia="ru-RU" w:bidi="ru-RU"/>
        </w:rPr>
        <w:softHyphen/>
        <w:t>той подъем и узкие деревенские улицы со стоящими вдоль проезжей части те</w:t>
      </w:r>
      <w:r w:rsidRPr="00640820">
        <w:rPr>
          <w:rFonts w:ascii="Times New Roman" w:hAnsi="Times New Roman"/>
          <w:color w:val="0070C0"/>
          <w:sz w:val="16"/>
          <w:szCs w:val="16"/>
          <w:lang w:eastAsia="ru-RU" w:bidi="ru-RU"/>
        </w:rPr>
        <w:softHyphen/>
        <w:t>леграфными столбами. Нарком авиапро</w:t>
      </w:r>
      <w:r w:rsidRPr="00640820">
        <w:rPr>
          <w:rFonts w:ascii="Times New Roman" w:hAnsi="Times New Roman"/>
          <w:color w:val="0070C0"/>
          <w:sz w:val="16"/>
          <w:szCs w:val="16"/>
          <w:lang w:eastAsia="ru-RU" w:bidi="ru-RU"/>
        </w:rPr>
        <w:softHyphen/>
        <w:t>мышленности договорился с военными, и в ночь с 9 на 10 января 1941 г. самолет повезли в Щелково (21061).</w:t>
      </w:r>
    </w:p>
    <w:p w14:paraId="232AD3AE" w14:textId="77777777" w:rsidR="000C4C73" w:rsidRPr="00640820" w:rsidRDefault="000C4C73" w:rsidP="00640820">
      <w:pPr>
        <w:spacing w:after="0" w:line="240" w:lineRule="auto"/>
        <w:jc w:val="both"/>
        <w:rPr>
          <w:rFonts w:ascii="Times New Roman" w:hAnsi="Times New Roman"/>
          <w:color w:val="0070C0"/>
          <w:sz w:val="16"/>
          <w:szCs w:val="16"/>
          <w:lang w:eastAsia="ru-RU" w:bidi="ru-RU"/>
        </w:rPr>
      </w:pPr>
    </w:p>
    <w:p w14:paraId="3D0771CF" w14:textId="77777777" w:rsidR="000C4C73" w:rsidRPr="00640820" w:rsidRDefault="000C4C73" w:rsidP="00640820">
      <w:pPr>
        <w:spacing w:after="0" w:line="240" w:lineRule="auto"/>
        <w:jc w:val="both"/>
        <w:rPr>
          <w:rFonts w:ascii="Times New Roman" w:hAnsi="Times New Roman"/>
          <w:color w:val="0070C0"/>
          <w:sz w:val="16"/>
          <w:szCs w:val="16"/>
          <w:lang w:eastAsia="ru-RU" w:bidi="ru-RU"/>
        </w:rPr>
      </w:pPr>
      <w:r w:rsidRPr="00640820">
        <w:rPr>
          <w:rFonts w:ascii="Times New Roman" w:hAnsi="Times New Roman"/>
          <w:color w:val="0070C0"/>
          <w:sz w:val="16"/>
          <w:szCs w:val="16"/>
          <w:lang w:eastAsia="ru-RU" w:bidi="ru-RU"/>
        </w:rPr>
        <w:t>В начале декабря 1941 Туполев смог доложить наркому Шахурину, что машина 103В прошла наземные испытания и готова к полетам. 18 ноября заместитель наркома А.С. Яковлев разрешил поднять ее в воздух. При эвакуации узлы и агрегаты не</w:t>
      </w:r>
      <w:r w:rsidRPr="00640820">
        <w:rPr>
          <w:rFonts w:ascii="Times New Roman" w:hAnsi="Times New Roman"/>
          <w:color w:val="0070C0"/>
          <w:sz w:val="16"/>
          <w:szCs w:val="16"/>
          <w:lang w:eastAsia="ru-RU" w:bidi="ru-RU"/>
        </w:rPr>
        <w:softHyphen/>
        <w:t>законченного самолета «103В» вывезли в Омск. Там созда</w:t>
      </w:r>
      <w:r w:rsidRPr="00640820">
        <w:rPr>
          <w:rFonts w:ascii="Times New Roman" w:hAnsi="Times New Roman"/>
          <w:color w:val="0070C0"/>
          <w:sz w:val="16"/>
          <w:szCs w:val="16"/>
          <w:lang w:eastAsia="ru-RU" w:bidi="ru-RU"/>
        </w:rPr>
        <w:softHyphen/>
        <w:t>вался новый самолетостроительный завод №166. Ему передали сооружения недо</w:t>
      </w:r>
      <w:r w:rsidRPr="00640820">
        <w:rPr>
          <w:rFonts w:ascii="Times New Roman" w:hAnsi="Times New Roman"/>
          <w:color w:val="0070C0"/>
          <w:sz w:val="16"/>
          <w:szCs w:val="16"/>
          <w:lang w:eastAsia="ru-RU" w:bidi="ru-RU"/>
        </w:rPr>
        <w:softHyphen/>
        <w:t>строенного автосборочного предприятия и завода автомобильных прицепов. Туда пе</w:t>
      </w:r>
      <w:r w:rsidRPr="00640820">
        <w:rPr>
          <w:rFonts w:ascii="Times New Roman" w:hAnsi="Times New Roman"/>
          <w:color w:val="0070C0"/>
          <w:sz w:val="16"/>
          <w:szCs w:val="16"/>
          <w:lang w:eastAsia="ru-RU" w:bidi="ru-RU"/>
        </w:rPr>
        <w:softHyphen/>
        <w:t>ревезли персонал и оборудование завода №156 и завода №81 из подмосковного Ту</w:t>
      </w:r>
      <w:r w:rsidRPr="00640820">
        <w:rPr>
          <w:rFonts w:ascii="Times New Roman" w:hAnsi="Times New Roman"/>
          <w:color w:val="0070C0"/>
          <w:sz w:val="16"/>
          <w:szCs w:val="16"/>
          <w:lang w:eastAsia="ru-RU" w:bidi="ru-RU"/>
        </w:rPr>
        <w:softHyphen/>
        <w:t>шина. Последний перед эвакуацией гото</w:t>
      </w:r>
      <w:r w:rsidRPr="00640820">
        <w:rPr>
          <w:rFonts w:ascii="Times New Roman" w:hAnsi="Times New Roman"/>
          <w:color w:val="0070C0"/>
          <w:sz w:val="16"/>
          <w:szCs w:val="16"/>
          <w:lang w:eastAsia="ru-RU" w:bidi="ru-RU"/>
        </w:rPr>
        <w:softHyphen/>
        <w:t>вился начать выпуск истребителей Як-1. В ноябре - декабре к коллективу нового предприятия добавились рабочие и служа</w:t>
      </w:r>
      <w:r w:rsidRPr="00640820">
        <w:rPr>
          <w:rFonts w:ascii="Times New Roman" w:hAnsi="Times New Roman"/>
          <w:color w:val="0070C0"/>
          <w:sz w:val="16"/>
          <w:szCs w:val="16"/>
          <w:lang w:eastAsia="ru-RU" w:bidi="ru-RU"/>
        </w:rPr>
        <w:softHyphen/>
        <w:t>щие завода №288 из Савелова. В кое-как приспособленных помеще</w:t>
      </w:r>
      <w:r w:rsidRPr="00640820">
        <w:rPr>
          <w:rFonts w:ascii="Times New Roman" w:hAnsi="Times New Roman"/>
          <w:color w:val="0070C0"/>
          <w:sz w:val="16"/>
          <w:szCs w:val="16"/>
          <w:lang w:eastAsia="ru-RU" w:bidi="ru-RU"/>
        </w:rPr>
        <w:softHyphen/>
        <w:t>ниях возобновилась работа по изготовле</w:t>
      </w:r>
      <w:r w:rsidRPr="00640820">
        <w:rPr>
          <w:rFonts w:ascii="Times New Roman" w:hAnsi="Times New Roman"/>
          <w:color w:val="0070C0"/>
          <w:sz w:val="16"/>
          <w:szCs w:val="16"/>
          <w:lang w:eastAsia="ru-RU" w:bidi="ru-RU"/>
        </w:rPr>
        <w:softHyphen/>
        <w:t>нию самолета «103В», на заводе его назы</w:t>
      </w:r>
      <w:r w:rsidRPr="00640820">
        <w:rPr>
          <w:rFonts w:ascii="Times New Roman" w:hAnsi="Times New Roman"/>
          <w:color w:val="0070C0"/>
          <w:sz w:val="16"/>
          <w:szCs w:val="16"/>
          <w:lang w:eastAsia="ru-RU" w:bidi="ru-RU"/>
        </w:rPr>
        <w:softHyphen/>
        <w:t>вали «Верочкой» (21061).</w:t>
      </w:r>
    </w:p>
    <w:p w14:paraId="61A5E37F" w14:textId="77777777" w:rsidR="000C4C73" w:rsidRPr="00640820" w:rsidRDefault="000C4C73" w:rsidP="00640820">
      <w:pPr>
        <w:spacing w:after="0" w:line="240" w:lineRule="auto"/>
        <w:jc w:val="both"/>
        <w:rPr>
          <w:rFonts w:ascii="Times New Roman" w:hAnsi="Times New Roman"/>
          <w:color w:val="0070C0"/>
          <w:sz w:val="16"/>
          <w:szCs w:val="16"/>
        </w:rPr>
      </w:pPr>
    </w:p>
    <w:p w14:paraId="263CF9A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декабря 1941 А.В.Чесалов в качестве И.о. начальника ЛИИ НКАП утвердил краткий отчет о летных испытаниях ЛаГГ-3 N 31217-71, подписанный 26 ноября 1940</w:t>
      </w:r>
    </w:p>
    <w:p w14:paraId="0C42A4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Полетный вес 3340, длина совка в/р 345 мм, м/р - 250 мм</w:t>
      </w:r>
    </w:p>
    <w:p w14:paraId="73B2A5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Прикрытие совка м/р со 100 мм до 40 мм щели увеличивает макс. скорость на 10 км/час</w:t>
      </w:r>
    </w:p>
    <w:p w14:paraId="277D76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Полное закрытие совка в/р по сравнению с полностью открытым увеличивает скорость на 20 км/час (температура находится в пределах нормы - 100-110 гр при нарудной температуре -7-10</w:t>
      </w:r>
    </w:p>
    <w:p w14:paraId="13374D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Заключение:</w:t>
      </w:r>
    </w:p>
    <w:p w14:paraId="4B9EB1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Для зимних условий рекомендовать уменьшить открытие совка м/р на ЛаГГ-3 со 100 до 40 мм</w:t>
      </w:r>
    </w:p>
    <w:p w14:paraId="2206FD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Ввести в инструкцию для л ЛаГГ-3 для частей ВВС условие: зимой все полеты совершать при полностью закрытом совке в/р</w:t>
      </w:r>
    </w:p>
    <w:p w14:paraId="0135F5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Подписал Зам. Нач. 2 лаб. ЛИИ Строев 26 ноября 1941 (774,7).</w:t>
      </w:r>
    </w:p>
    <w:p w14:paraId="0E0E75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BB46898" w14:textId="77777777" w:rsidR="00165A9C" w:rsidRPr="00640820" w:rsidRDefault="00165A9C" w:rsidP="00640820">
      <w:pPr>
        <w:tabs>
          <w:tab w:val="left" w:pos="446"/>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декабря 1941 г. в Свердловск была направлена комиссия, состоящая из 35 специалистов Всесоюзного института авиаматериаловедения и Наркомата авиапромышленности. Основной целью комиссии стало раз</w:t>
      </w:r>
      <w:r w:rsidRPr="00640820">
        <w:rPr>
          <w:rFonts w:ascii="Times New Roman" w:hAnsi="Times New Roman"/>
          <w:color w:val="000000" w:themeColor="text1"/>
          <w:sz w:val="16"/>
          <w:szCs w:val="16"/>
        </w:rPr>
        <w:softHyphen/>
        <w:t>мещение заказов НКАП среди уральских металлургических и металлообрабатывающих заводов (Самолётостроение в СССР. 1917—1945. Кн. 2. М., 1994. С. 217). Этот почин вскоре был распространён практически на весь Урал и Западную Сибирь, всего к поставкам аваистроителям было вновь привлечено 18 заводов этих регионов. Руководство страны всячески сти</w:t>
      </w:r>
      <w:r w:rsidRPr="00640820">
        <w:rPr>
          <w:rFonts w:ascii="Times New Roman" w:hAnsi="Times New Roman"/>
          <w:color w:val="000000" w:themeColor="text1"/>
          <w:sz w:val="16"/>
          <w:szCs w:val="16"/>
        </w:rPr>
        <w:softHyphen/>
        <w:t>мулировало этот процесс — заводы-поставщики НКАП еже</w:t>
      </w:r>
      <w:r w:rsidRPr="00640820">
        <w:rPr>
          <w:rFonts w:ascii="Times New Roman" w:hAnsi="Times New Roman"/>
          <w:color w:val="000000" w:themeColor="text1"/>
          <w:sz w:val="16"/>
          <w:szCs w:val="16"/>
        </w:rPr>
        <w:softHyphen/>
        <w:t>квартально премировались, причём сумма премии составляла 2 % от стоимости отгруженных в адрес НКАП сырья и полу</w:t>
      </w:r>
      <w:r w:rsidRPr="00640820">
        <w:rPr>
          <w:rFonts w:ascii="Times New Roman" w:hAnsi="Times New Roman"/>
          <w:color w:val="000000" w:themeColor="text1"/>
          <w:sz w:val="16"/>
          <w:szCs w:val="16"/>
        </w:rPr>
        <w:softHyphen/>
        <w:t>фабрикатов. В свою очередь, партийное руководство соответ</w:t>
      </w:r>
      <w:r w:rsidRPr="00640820">
        <w:rPr>
          <w:rFonts w:ascii="Times New Roman" w:hAnsi="Times New Roman"/>
          <w:color w:val="000000" w:themeColor="text1"/>
          <w:sz w:val="16"/>
          <w:szCs w:val="16"/>
        </w:rPr>
        <w:softHyphen/>
        <w:t>ствующих краёв и областей было обязано, в случае срывов заказов НКАП, командировать на неблагополучные заводы- поставщики своих представителей и оказывать таким заводам необходимую помощь оборудованием и рабочей силой. Син</w:t>
      </w:r>
      <w:r w:rsidRPr="00640820">
        <w:rPr>
          <w:rFonts w:ascii="Times New Roman" w:hAnsi="Times New Roman"/>
          <w:color w:val="000000" w:themeColor="text1"/>
          <w:sz w:val="16"/>
          <w:szCs w:val="16"/>
        </w:rPr>
        <w:softHyphen/>
        <w:t>хронно с поиском новых поставщиков шёл поиск новых тех</w:t>
      </w:r>
      <w:r w:rsidRPr="00640820">
        <w:rPr>
          <w:rFonts w:ascii="Times New Roman" w:hAnsi="Times New Roman"/>
          <w:color w:val="000000" w:themeColor="text1"/>
          <w:sz w:val="16"/>
          <w:szCs w:val="16"/>
        </w:rPr>
        <w:softHyphen/>
        <w:t>нологий, позволявших обойти «узкие места» производства. Цельнокатанные трубы заменялись на электросварные, вме</w:t>
      </w:r>
      <w:r w:rsidRPr="00640820">
        <w:rPr>
          <w:rFonts w:ascii="Times New Roman" w:hAnsi="Times New Roman"/>
          <w:color w:val="000000" w:themeColor="text1"/>
          <w:sz w:val="16"/>
          <w:szCs w:val="16"/>
        </w:rPr>
        <w:softHyphen/>
        <w:t>сто прессовки при производстве алюминиевых прутков ста</w:t>
      </w:r>
      <w:r w:rsidRPr="00640820">
        <w:rPr>
          <w:rFonts w:ascii="Times New Roman" w:hAnsi="Times New Roman"/>
          <w:color w:val="000000" w:themeColor="text1"/>
          <w:sz w:val="16"/>
          <w:szCs w:val="16"/>
        </w:rPr>
        <w:softHyphen/>
        <w:t>ли применять прокатку и т.д. На авиапредприятиях вводился жёсткий режим экономии, на некоторых заводах перешли на самоснабжение, обеспечивая себя необходимыми полуфабри</w:t>
      </w:r>
      <w:r w:rsidRPr="00640820">
        <w:rPr>
          <w:rFonts w:ascii="Times New Roman" w:hAnsi="Times New Roman"/>
          <w:color w:val="000000" w:themeColor="text1"/>
          <w:sz w:val="16"/>
          <w:szCs w:val="16"/>
        </w:rPr>
        <w:softHyphen/>
        <w:t>катами. Ряд авиазаводов пошли по пути «самообеспечения», налаживая на своих мощностях выпуск комплектующих, ко</w:t>
      </w:r>
      <w:r w:rsidRPr="00640820">
        <w:rPr>
          <w:rFonts w:ascii="Times New Roman" w:hAnsi="Times New Roman"/>
          <w:color w:val="000000" w:themeColor="text1"/>
          <w:sz w:val="16"/>
          <w:szCs w:val="16"/>
        </w:rPr>
        <w:softHyphen/>
        <w:t>торые ранее поступали от смежников. Так, например, на за</w:t>
      </w:r>
      <w:r w:rsidRPr="00640820">
        <w:rPr>
          <w:rFonts w:ascii="Times New Roman" w:hAnsi="Times New Roman"/>
          <w:color w:val="000000" w:themeColor="text1"/>
          <w:sz w:val="16"/>
          <w:szCs w:val="16"/>
        </w:rPr>
        <w:softHyphen/>
        <w:t>воде им. Сталина (К сожалению, однозначно идентифицировать этот завод не представля</w:t>
      </w:r>
      <w:r w:rsidRPr="00640820">
        <w:rPr>
          <w:rFonts w:ascii="Times New Roman" w:hAnsi="Times New Roman"/>
          <w:color w:val="000000" w:themeColor="text1"/>
          <w:sz w:val="16"/>
          <w:szCs w:val="16"/>
        </w:rPr>
        <w:softHyphen/>
        <w:t>ется возможным — такое наименование носили авиапредприяткя № 19,125 и 154) был построен 500-тонный пресс для вы</w:t>
      </w:r>
      <w:r w:rsidRPr="00640820">
        <w:rPr>
          <w:rFonts w:ascii="Times New Roman" w:hAnsi="Times New Roman"/>
          <w:color w:val="000000" w:themeColor="text1"/>
          <w:sz w:val="16"/>
          <w:szCs w:val="16"/>
        </w:rPr>
        <w:softHyphen/>
        <w:t xml:space="preserve">пуска профилей и труб, ранее поставлявшихся заводом № 95; на казанском предприятии № 387 организовали изготовление необходимого при производстве самолета У-2 аэролака </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 xml:space="preserve"> и П покрытия; в связи с временным прекращением поставок с завода № 305, саратовский самолетостроительный завод на</w:t>
      </w:r>
      <w:r w:rsidRPr="00640820">
        <w:rPr>
          <w:rFonts w:ascii="Times New Roman" w:hAnsi="Times New Roman"/>
          <w:color w:val="000000" w:themeColor="text1"/>
          <w:sz w:val="16"/>
          <w:szCs w:val="16"/>
        </w:rPr>
        <w:softHyphen/>
        <w:t>ладил выпуск нормалей и т.д. (</w:t>
      </w:r>
      <w:r w:rsidRPr="00640820">
        <w:rPr>
          <w:rFonts w:ascii="Times New Roman" w:hAnsi="Times New Roman"/>
          <w:iCs/>
          <w:color w:val="000000" w:themeColor="text1"/>
          <w:sz w:val="16"/>
          <w:szCs w:val="16"/>
        </w:rPr>
        <w:t>Захарченко А.В.</w:t>
      </w:r>
      <w:r w:rsidRPr="00640820">
        <w:rPr>
          <w:rFonts w:ascii="Times New Roman" w:hAnsi="Times New Roman"/>
          <w:color w:val="000000" w:themeColor="text1"/>
          <w:sz w:val="16"/>
          <w:szCs w:val="16"/>
        </w:rPr>
        <w:t xml:space="preserve"> Формирование авиапромышленного комплекса в По</w:t>
      </w:r>
      <w:r w:rsidRPr="00640820">
        <w:rPr>
          <w:rFonts w:ascii="Times New Roman" w:hAnsi="Times New Roman"/>
          <w:color w:val="000000" w:themeColor="text1"/>
          <w:sz w:val="16"/>
          <w:szCs w:val="16"/>
        </w:rPr>
        <w:softHyphen/>
        <w:t xml:space="preserve">волжье накануне и в годы Великой Отечественной войны (1940—1942 гг.). Самара, 2004. С. 19). Очевидно, что </w:t>
      </w:r>
      <w:r w:rsidRPr="00640820">
        <w:rPr>
          <w:rFonts w:ascii="Times New Roman" w:hAnsi="Times New Roman"/>
          <w:color w:val="000000" w:themeColor="text1"/>
          <w:sz w:val="16"/>
          <w:szCs w:val="16"/>
          <w:lang w:val="en-US"/>
        </w:rPr>
        <w:t>IV</w:t>
      </w:r>
      <w:r w:rsidRPr="00640820">
        <w:rPr>
          <w:rFonts w:ascii="Times New Roman" w:hAnsi="Times New Roman"/>
          <w:color w:val="000000" w:themeColor="text1"/>
          <w:sz w:val="16"/>
          <w:szCs w:val="16"/>
        </w:rPr>
        <w:t xml:space="preserve"> квартал 1941 г. был моментом наиболее глубокого спада авиавыпуска. Уже в </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 xml:space="preserve"> квартале 1942 г. начал</w:t>
      </w:r>
      <w:r w:rsidRPr="00640820">
        <w:rPr>
          <w:rFonts w:ascii="Times New Roman" w:hAnsi="Times New Roman"/>
          <w:color w:val="000000" w:themeColor="text1"/>
          <w:sz w:val="16"/>
          <w:szCs w:val="16"/>
        </w:rPr>
        <w:softHyphen/>
        <w:t>ся некоторый рост; а в Ш квартале 1942 г. советская авиапро</w:t>
      </w:r>
      <w:r w:rsidRPr="00640820">
        <w:rPr>
          <w:rFonts w:ascii="Times New Roman" w:hAnsi="Times New Roman"/>
          <w:color w:val="000000" w:themeColor="text1"/>
          <w:sz w:val="16"/>
          <w:szCs w:val="16"/>
        </w:rPr>
        <w:softHyphen/>
        <w:t>мышленность превысила отметку Ш квартала 1941 г. (12011).</w:t>
      </w:r>
    </w:p>
    <w:p w14:paraId="331D86D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ECAD2C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первых числах декабря 1942 поезд с людьми завода № 288 прибыл в Омск. 25 декабря туда доставили оборудование и задел самолетных деталей и агрегатов (10685).</w:t>
      </w:r>
    </w:p>
    <w:p w14:paraId="1603F82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52BE70" w14:textId="77777777" w:rsidR="009160A2"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4E60AE38" w14:textId="77777777" w:rsidR="009160A2" w:rsidRPr="00640820" w:rsidRDefault="009160A2"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E088AE2" w14:textId="77777777" w:rsidR="00F83395" w:rsidRPr="00640820" w:rsidRDefault="00F833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начале декабря 1941 года был подготовлен тематический план работ по артиллерийским самоходным установкам. Среди предлагавшихся к разработке машин фигурировал и 85-мм истребитель танков на базе Т-34, исполнителем для которого указывался завод №8. Поскольку завод №8 к тому моменту только разворачивался на новом месте, фактически разработку самоходной установки возложили на УЗТМ. В то время Уралмаш именовался Ижорским заводом, поскольку предприятие с этим названием также оказалось эвакуировано в Свердловск (17641).</w:t>
      </w:r>
    </w:p>
    <w:p w14:paraId="58C4F98F" w14:textId="77777777" w:rsidR="00F83395" w:rsidRPr="00640820" w:rsidRDefault="00F83395" w:rsidP="00640820">
      <w:pPr>
        <w:pStyle w:val="129"/>
        <w:shd w:val="clear" w:color="auto" w:fill="auto"/>
        <w:spacing w:after="0" w:line="240" w:lineRule="auto"/>
        <w:jc w:val="both"/>
        <w:rPr>
          <w:color w:val="000000" w:themeColor="text1"/>
          <w:sz w:val="16"/>
          <w:szCs w:val="16"/>
        </w:rPr>
      </w:pPr>
    </w:p>
    <w:p w14:paraId="17A6CDBA" w14:textId="77777777" w:rsidR="00F83395" w:rsidRPr="00640820" w:rsidRDefault="00F833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В начале декабря 1941 года Главным артиллерийским управлением Красной Армии (ГАУ КА) был подготовлен тематический план работ по артиллерийским самоходным установкам. В их число вошёл и </w:t>
      </w:r>
      <w:hyperlink r:id="rId66" w:history="1">
        <w:r w:rsidRPr="00640820">
          <w:rPr>
            <w:rFonts w:ascii="Times New Roman" w:eastAsia="Times New Roman" w:hAnsi="Times New Roman"/>
            <w:color w:val="000000" w:themeColor="text1"/>
            <w:sz w:val="16"/>
            <w:szCs w:val="16"/>
            <w:lang w:eastAsia="ru-RU"/>
          </w:rPr>
          <w:t>85-мм истребитель танков на базе Т-34</w:t>
        </w:r>
      </w:hyperlink>
      <w:r w:rsidRPr="00640820">
        <w:rPr>
          <w:rFonts w:ascii="Times New Roman" w:eastAsia="Times New Roman" w:hAnsi="Times New Roman"/>
          <w:color w:val="000000" w:themeColor="text1"/>
          <w:sz w:val="16"/>
          <w:szCs w:val="16"/>
          <w:lang w:eastAsia="ru-RU"/>
        </w:rPr>
        <w:t>, исполнителем для которого указывался завод №8. Этот проект, также известный под обозначением У-20, оказался жертвой заданных к нему тактико-технических требований. Согласно им, завод не имел право вносить изменения в шасси Т-34. Конструкторы смогли создать такую САУ, но она не «вписалась» в другие требования ГАУ КА (17663).</w:t>
      </w:r>
    </w:p>
    <w:p w14:paraId="752F05D3" w14:textId="77777777" w:rsidR="00F83395" w:rsidRPr="00640820" w:rsidRDefault="00F83395" w:rsidP="00640820">
      <w:pPr>
        <w:spacing w:after="0" w:line="240" w:lineRule="auto"/>
        <w:jc w:val="both"/>
        <w:rPr>
          <w:rFonts w:ascii="Times New Roman" w:hAnsi="Times New Roman"/>
          <w:color w:val="000000" w:themeColor="text1"/>
          <w:sz w:val="16"/>
          <w:szCs w:val="16"/>
        </w:rPr>
      </w:pPr>
    </w:p>
    <w:p w14:paraId="27FF64C4" w14:textId="77777777" w:rsidR="00F83395" w:rsidRPr="00640820" w:rsidRDefault="00F833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В начале декабря 1941 в распоряжении советской разведки оказались и очень подробные данные о производстве английских танков. Полученные разведчиками цифры поквартального выпуска отлично вписываются в современные данные из английских источников. Первые 15 лёгких танков Mk.VII были выпущены в 4 квартале 1940 года, 30 </w:t>
      </w:r>
      <w:r w:rsidRPr="00640820">
        <w:rPr>
          <w:rFonts w:ascii="Times New Roman" w:eastAsia="Times New Roman" w:hAnsi="Times New Roman"/>
          <w:iCs/>
          <w:color w:val="000000" w:themeColor="text1"/>
          <w:sz w:val="16"/>
          <w:szCs w:val="16"/>
          <w:lang w:eastAsia="ru-RU"/>
        </w:rPr>
        <w:t xml:space="preserve">— </w:t>
      </w:r>
      <w:r w:rsidRPr="00640820">
        <w:rPr>
          <w:rFonts w:ascii="Times New Roman" w:eastAsia="Times New Roman" w:hAnsi="Times New Roman"/>
          <w:color w:val="000000" w:themeColor="text1"/>
          <w:sz w:val="16"/>
          <w:szCs w:val="16"/>
          <w:lang w:eastAsia="ru-RU"/>
        </w:rPr>
        <w:t xml:space="preserve">в 1 квартале 1941 года и 20 </w:t>
      </w:r>
      <w:r w:rsidRPr="00640820">
        <w:rPr>
          <w:rFonts w:ascii="Times New Roman" w:eastAsia="Times New Roman" w:hAnsi="Times New Roman"/>
          <w:iCs/>
          <w:color w:val="000000" w:themeColor="text1"/>
          <w:sz w:val="16"/>
          <w:szCs w:val="16"/>
          <w:lang w:eastAsia="ru-RU"/>
        </w:rPr>
        <w:t xml:space="preserve">— </w:t>
      </w:r>
      <w:r w:rsidRPr="00640820">
        <w:rPr>
          <w:rFonts w:ascii="Times New Roman" w:eastAsia="Times New Roman" w:hAnsi="Times New Roman"/>
          <w:color w:val="000000" w:themeColor="text1"/>
          <w:sz w:val="16"/>
          <w:szCs w:val="16"/>
          <w:lang w:eastAsia="ru-RU"/>
        </w:rPr>
        <w:t>в третьем. Ещё 35 танков ожидалось получить до конца года.</w:t>
      </w:r>
    </w:p>
    <w:p w14:paraId="0BC98973" w14:textId="77777777" w:rsidR="00F83395" w:rsidRPr="00640820" w:rsidRDefault="00F833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Эти цифры прекрасно соотносятся с данными по выпуску «Тетрархов»: их регистрационные номера начинались с T.9266 и заканчивались T.9365, то есть общий выпуск составил 100 машин. В сообщении разведки указывалось, что производство лёгких танков на 1 квартал 1942 года не запланировано, что явно свидетельствовало о прекращении их выпуска. Кроме того, имелись сведения об имевшихся планах по выпуску нового танка Light Tank Mk.8 с массой 10 тонн и более толстой броней (17648).</w:t>
      </w:r>
    </w:p>
    <w:p w14:paraId="4DAAB6E0" w14:textId="77777777" w:rsidR="00F83395" w:rsidRPr="00640820" w:rsidRDefault="00F83395" w:rsidP="00640820">
      <w:pPr>
        <w:spacing w:after="0" w:line="240" w:lineRule="auto"/>
        <w:jc w:val="both"/>
        <w:rPr>
          <w:rFonts w:ascii="Times New Roman" w:hAnsi="Times New Roman"/>
          <w:color w:val="000000" w:themeColor="text1"/>
          <w:sz w:val="16"/>
          <w:szCs w:val="16"/>
        </w:rPr>
      </w:pPr>
    </w:p>
    <w:p w14:paraId="29368EC3" w14:textId="77777777" w:rsidR="009160A2" w:rsidRPr="00640820" w:rsidRDefault="009160A2" w:rsidP="00640820">
      <w:pPr>
        <w:widowControl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начале декабря 1941 началась сборка ГАЗ-64-125. 9 января 1942 года новая машина совершила первый пробег. Новый бронеавтомобиль изготавливался на базе полноприводного автомобиля ГАЗ-64, производство которого началось в августе 1941 года. Для установки бронекорпуса шасси пришлось переработать – изменить расположение педалей, рычагов, установить амортизатор от ГАЗ М-1 и торсионный стабилизатор боковой устойчивости на задней подвеске, установить бензобак повышенной емкости, несколько укоротить раму и т.д. Корпус машины сваривался из </w:t>
      </w:r>
      <w:smartTag w:uri="urn:schemas-microsoft-com:office:smarttags" w:element="metricconverter">
        <w:smartTagPr>
          <w:attr w:name="ProductID" w:val="1945 г"/>
        </w:smartTagPr>
        <w:r w:rsidRPr="00640820">
          <w:rPr>
            <w:rFonts w:ascii="Times New Roman" w:hAnsi="Times New Roman"/>
            <w:color w:val="000000" w:themeColor="text1"/>
            <w:sz w:val="16"/>
            <w:szCs w:val="16"/>
          </w:rPr>
          <w:t>15 мм</w:t>
        </w:r>
      </w:smartTag>
      <w:r w:rsidRPr="00640820">
        <w:rPr>
          <w:rFonts w:ascii="Times New Roman" w:hAnsi="Times New Roman"/>
          <w:color w:val="000000" w:themeColor="text1"/>
          <w:sz w:val="16"/>
          <w:szCs w:val="16"/>
        </w:rPr>
        <w:t xml:space="preserve"> бронелистов, установленных под большими углами наклона к вертикали для лучшей пулестойкости. Форма бронекорпуса во многом была заимствована от ЛБ-62 и немецкого броневика </w:t>
      </w:r>
      <w:r w:rsidRPr="00640820">
        <w:rPr>
          <w:rFonts w:ascii="Times New Roman" w:hAnsi="Times New Roman"/>
          <w:color w:val="000000" w:themeColor="text1"/>
          <w:sz w:val="16"/>
          <w:szCs w:val="16"/>
          <w:lang w:val="en-US"/>
        </w:rPr>
        <w:t>Sd</w:t>
      </w:r>
      <w:r w:rsidRPr="00640820">
        <w:rPr>
          <w:rFonts w:ascii="Times New Roman" w:hAnsi="Times New Roman"/>
          <w:color w:val="000000" w:themeColor="text1"/>
          <w:sz w:val="16"/>
          <w:szCs w:val="16"/>
        </w:rPr>
        <w:t xml:space="preserve">. </w:t>
      </w:r>
      <w:r w:rsidRPr="00640820">
        <w:rPr>
          <w:rFonts w:ascii="Times New Roman" w:hAnsi="Times New Roman"/>
          <w:color w:val="000000" w:themeColor="text1"/>
          <w:sz w:val="16"/>
          <w:szCs w:val="16"/>
          <w:lang w:val="en-US"/>
        </w:rPr>
        <w:t>Kfz</w:t>
      </w:r>
      <w:r w:rsidRPr="00640820">
        <w:rPr>
          <w:rFonts w:ascii="Times New Roman" w:hAnsi="Times New Roman"/>
          <w:color w:val="000000" w:themeColor="text1"/>
          <w:sz w:val="16"/>
          <w:szCs w:val="16"/>
        </w:rPr>
        <w:t xml:space="preserve">. 221. Для посадки экипажа (водитель и командир) в бортах корпуса имелись две двери. Наблюдение за дорогой водитель вел через небольшой лючок в лобовом листе корпуса со смотровой щелью, закрытой стеклоблоком «Триплекс» от танка Т-60. Вооружение – пулемет ДТ – размещалось во вращающейся восьмигранной башне, которая крепилась к тумбе, установленной на полу машины. Боекомплект состоял из 20 магазинов к пулемету (1260 патронов). Установка пулемета обеспечивала ведение огня как по наземным, так и по воздушным целям (угол возвышения 75 градусов). Башня не имела крыши, а закрывалась сверху откидными противогранатными сетками (по типу немецких бронемашин </w:t>
      </w:r>
      <w:r w:rsidRPr="00640820">
        <w:rPr>
          <w:rFonts w:ascii="Times New Roman" w:hAnsi="Times New Roman"/>
          <w:color w:val="000000" w:themeColor="text1"/>
          <w:sz w:val="16"/>
          <w:szCs w:val="16"/>
          <w:lang w:val="en-US"/>
        </w:rPr>
        <w:t>Sd</w:t>
      </w:r>
      <w:r w:rsidRPr="00640820">
        <w:rPr>
          <w:rFonts w:ascii="Times New Roman" w:hAnsi="Times New Roman"/>
          <w:color w:val="000000" w:themeColor="text1"/>
          <w:sz w:val="16"/>
          <w:szCs w:val="16"/>
        </w:rPr>
        <w:t xml:space="preserve">. </w:t>
      </w:r>
      <w:r w:rsidRPr="00640820">
        <w:rPr>
          <w:rFonts w:ascii="Times New Roman" w:hAnsi="Times New Roman"/>
          <w:color w:val="000000" w:themeColor="text1"/>
          <w:sz w:val="16"/>
          <w:szCs w:val="16"/>
          <w:lang w:val="en-US"/>
        </w:rPr>
        <w:t>Kfz</w:t>
      </w:r>
      <w:r w:rsidRPr="00640820">
        <w:rPr>
          <w:rFonts w:ascii="Times New Roman" w:hAnsi="Times New Roman"/>
          <w:color w:val="000000" w:themeColor="text1"/>
          <w:sz w:val="16"/>
          <w:szCs w:val="16"/>
        </w:rPr>
        <w:t xml:space="preserve">. 221 и </w:t>
      </w:r>
      <w:r w:rsidRPr="00640820">
        <w:rPr>
          <w:rFonts w:ascii="Times New Roman" w:hAnsi="Times New Roman"/>
          <w:color w:val="000000" w:themeColor="text1"/>
          <w:sz w:val="16"/>
          <w:szCs w:val="16"/>
          <w:lang w:val="en-US"/>
        </w:rPr>
        <w:t>Sd</w:t>
      </w:r>
      <w:r w:rsidRPr="00640820">
        <w:rPr>
          <w:rFonts w:ascii="Times New Roman" w:hAnsi="Times New Roman"/>
          <w:color w:val="000000" w:themeColor="text1"/>
          <w:sz w:val="16"/>
          <w:szCs w:val="16"/>
        </w:rPr>
        <w:t xml:space="preserve">. </w:t>
      </w:r>
      <w:r w:rsidRPr="00640820">
        <w:rPr>
          <w:rFonts w:ascii="Times New Roman" w:hAnsi="Times New Roman"/>
          <w:color w:val="000000" w:themeColor="text1"/>
          <w:sz w:val="16"/>
          <w:szCs w:val="16"/>
          <w:lang w:val="en-US"/>
        </w:rPr>
        <w:t>Kfz</w:t>
      </w:r>
      <w:r w:rsidRPr="00640820">
        <w:rPr>
          <w:rFonts w:ascii="Times New Roman" w:hAnsi="Times New Roman"/>
          <w:color w:val="000000" w:themeColor="text1"/>
          <w:sz w:val="16"/>
          <w:szCs w:val="16"/>
        </w:rPr>
        <w:t xml:space="preserve"> .222). Для наблюдения за полем боя командир, находящийся в башне, имел в своем распоряжении две смотровые щели со стеклами «Триплекс» в правом и левом бортах. Бронеавтомобиль оборудовался радиостанцией РБ со штыревой антенной. Броневик имел характерные черты машины, изготовленной в тяжелое военное время – минимум контрольных приборов на щитке водителя (спидометр и аэротермометр), упрощенное электрооборудование (например, была только одна передняя фара), только самый необходимый ЗИП (15218).</w:t>
      </w:r>
    </w:p>
    <w:p w14:paraId="2D0F8B15" w14:textId="77777777" w:rsidR="009160A2" w:rsidRPr="00640820" w:rsidRDefault="009160A2" w:rsidP="00640820">
      <w:pPr>
        <w:widowControl w:val="0"/>
        <w:spacing w:after="0" w:line="240" w:lineRule="auto"/>
        <w:jc w:val="both"/>
        <w:rPr>
          <w:rFonts w:ascii="Times New Roman" w:hAnsi="Times New Roman"/>
          <w:color w:val="000000" w:themeColor="text1"/>
          <w:sz w:val="16"/>
          <w:szCs w:val="16"/>
        </w:rPr>
      </w:pPr>
    </w:p>
    <w:p w14:paraId="48577FF7"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5FD510AD"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BEDB6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декабря 1941 последние английские летчики вернулись из Мурманска домой на крейсере Кения (1119,17).</w:t>
      </w:r>
    </w:p>
    <w:p w14:paraId="398EB8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335AA0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декабря 1941 г. ВТ-521 (б. "Иосиф Сталин"), приняв на борт 5589 чел. из гарнизона ВМБ Ханко, на переходе в Кронш</w:t>
      </w:r>
      <w:r w:rsidRPr="00640820">
        <w:rPr>
          <w:rFonts w:ascii="Times New Roman" w:hAnsi="Times New Roman"/>
          <w:color w:val="000000" w:themeColor="text1"/>
          <w:sz w:val="16"/>
          <w:szCs w:val="16"/>
        </w:rPr>
        <w:softHyphen/>
        <w:t>тадт подорвался на трех минах, потерял ход и был отнесен к эстонскому побережью. Кораблям охранения удалось снять все</w:t>
      </w:r>
      <w:r w:rsidRPr="00640820">
        <w:rPr>
          <w:rFonts w:ascii="Times New Roman" w:hAnsi="Times New Roman"/>
          <w:color w:val="000000" w:themeColor="text1"/>
          <w:sz w:val="16"/>
          <w:szCs w:val="16"/>
        </w:rPr>
        <w:softHyphen/>
        <w:t>го 1740 чел., остальные погибли или (большинство) попали в плен (3898).</w:t>
      </w:r>
    </w:p>
    <w:p w14:paraId="2CC964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516E50E" w14:textId="77777777" w:rsidR="00D26169" w:rsidRPr="00640820" w:rsidRDefault="00D26169"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1A5E17B7" w14:textId="77777777" w:rsidR="00D26169" w:rsidRPr="00640820" w:rsidRDefault="00D26169"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6C081DA" w14:textId="77777777" w:rsidR="00D26169" w:rsidRPr="00640820" w:rsidRDefault="00D26169" w:rsidP="00640820">
      <w:pPr>
        <w:pStyle w:val="ae"/>
        <w:shd w:val="clear" w:color="auto" w:fill="FFFFFF"/>
        <w:spacing w:before="0" w:after="0"/>
        <w:jc w:val="both"/>
        <w:rPr>
          <w:color w:val="000000" w:themeColor="text1"/>
          <w:sz w:val="16"/>
          <w:szCs w:val="16"/>
        </w:rPr>
      </w:pPr>
      <w:r w:rsidRPr="00640820">
        <w:rPr>
          <w:color w:val="000000" w:themeColor="text1"/>
          <w:sz w:val="16"/>
          <w:szCs w:val="16"/>
        </w:rPr>
        <w:lastRenderedPageBreak/>
        <w:t>7 декабря 1941 года, на четырнадцатый день после прибытия из Воронежа последнего эшелона, завод № 18 собрал из привезенных деталей первый самолет Ил-2. Вслед за ним 10 декабря выпустил на новом месте свой первый МиГ-3 завод № 1. К концу декабря было выпущено 27 таких машин и три штурмовика Ил-2. Но 18 декабря на завод пришла грозная телеграмма от Сталина (19827).</w:t>
      </w:r>
    </w:p>
    <w:p w14:paraId="42424EC7" w14:textId="77777777" w:rsidR="00D26169" w:rsidRPr="00640820" w:rsidRDefault="00D26169" w:rsidP="00640820">
      <w:pPr>
        <w:pStyle w:val="ae"/>
        <w:shd w:val="clear" w:color="auto" w:fill="FFFFFF"/>
        <w:spacing w:before="0" w:after="0"/>
        <w:jc w:val="both"/>
        <w:rPr>
          <w:color w:val="000000" w:themeColor="text1"/>
          <w:sz w:val="16"/>
          <w:szCs w:val="16"/>
        </w:rPr>
      </w:pPr>
    </w:p>
    <w:p w14:paraId="04D5062F"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7B5ADD09"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7DEA9AA"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декабря 1941</w:t>
      </w:r>
    </w:p>
    <w:p w14:paraId="641FC149"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РГАЭ Фонд 8752 Опись 4 Дело 6 лист 69</w:t>
      </w:r>
    </w:p>
    <w:p w14:paraId="31470841"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398. 8.XII.41 г.</w:t>
      </w:r>
    </w:p>
    <w:p w14:paraId="0D146D53"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 секретно </w:t>
      </w:r>
    </w:p>
    <w:p w14:paraId="63B2B61C"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w:t>
      </w:r>
    </w:p>
    <w:p w14:paraId="5A012969"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НАРОДНОГО КОМИССАРА ТАНКОВОЙ ПРОМЫШЛЕННОСТИ</w:t>
      </w:r>
    </w:p>
    <w:p w14:paraId="799E87CB"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67сс</w:t>
      </w:r>
    </w:p>
    <w:p w14:paraId="51CC711A"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Гор. Челябинск</w:t>
      </w:r>
    </w:p>
    <w:p w14:paraId="2B1BE41D"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Декабря 1941 г.</w:t>
      </w:r>
    </w:p>
    <w:p w14:paraId="680AF510"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целях полного обеспечения дизельмоторами выпускаемых танков Кировским заводом – "КВ" и заводом № 183 – Т-34 в декабре 41 г. – ПРИКАЗЫВАЮ: </w:t>
      </w:r>
    </w:p>
    <w:p w14:paraId="0768606D"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w:t>
      </w:r>
    </w:p>
    <w:p w14:paraId="4A47E181"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Директору Кировского завода тов. ЗАЛЬЦМАНУ И.М.: </w:t>
      </w:r>
    </w:p>
    <w:p w14:paraId="42A2FCA3"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обеспечить выпуск танков КВ в декабре месяце моторами собственного производства; </w:t>
      </w:r>
    </w:p>
    <w:p w14:paraId="01C2CCD7"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доукомплектовать 14 шт. дизельмоторов В-4, полученных из Харькова и отгрузить их до 25-го декабря 41 г. заводу № 174 в г. Чкалов. </w:t>
      </w:r>
    </w:p>
    <w:p w14:paraId="2938FC7E"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2.</w:t>
      </w:r>
    </w:p>
    <w:p w14:paraId="0A3B43F2"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Директору завода № 76 тов. КОЧЕТКОВУ Д.Е. обеспечить отгрузку ежесуточно равномерными партиями дизельмоторов в декабре 41 г.: </w:t>
      </w:r>
    </w:p>
    <w:p w14:paraId="1EAA610D"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В2К – Кировскому заводу (включая отгруженные с 1-го декабря) – 120 шт.; </w:t>
      </w:r>
    </w:p>
    <w:p w14:paraId="0959E3CD"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В2-34 – Заводу № 183 до 1-го января 42 г. – 140 шт. </w:t>
      </w:r>
    </w:p>
    <w:p w14:paraId="5884EC2A"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3.</w:t>
      </w:r>
    </w:p>
    <w:p w14:paraId="7E64E60A"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Директорам заводов: Кировского – тов. ЗАЛЬЦМАНУ и № 76 тов. КОЧЕТКОВУ обеспечить использование деталей не полностью удовлетворяющих техусловиям для дизельмоторов В2К для дизельмоторов В2-34 и В-4.</w:t>
      </w:r>
    </w:p>
    <w:p w14:paraId="7FDA0537"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НАРОДНЫЙ КОМИССАР ТАНКОВОЙ ПРОМЫШЛЕННОСТИ СОЮЗА ССР</w:t>
      </w:r>
    </w:p>
    <w:p w14:paraId="6A070B49"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подпись В. МАЛЫШЕВ</w:t>
      </w:r>
    </w:p>
    <w:p w14:paraId="2B48D68C" w14:textId="77777777" w:rsidR="00C30BD0" w:rsidRPr="00640820" w:rsidRDefault="00C30BD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экз. отп. 8.XII.41 г. кс. (18190).</w:t>
      </w:r>
    </w:p>
    <w:p w14:paraId="245B8956" w14:textId="77777777" w:rsidR="00C30BD0" w:rsidRPr="00640820" w:rsidRDefault="00C30BD0" w:rsidP="00640820">
      <w:pPr>
        <w:spacing w:after="0" w:line="240" w:lineRule="auto"/>
        <w:jc w:val="both"/>
        <w:rPr>
          <w:rFonts w:ascii="Times New Roman" w:hAnsi="Times New Roman"/>
          <w:color w:val="000000" w:themeColor="text1"/>
          <w:sz w:val="16"/>
          <w:szCs w:val="16"/>
        </w:rPr>
      </w:pPr>
    </w:p>
    <w:p w14:paraId="66B05ED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декабря 1941 г. в Шадринск на площадку Мотороремонтного завода, куда был эвакуирован Прилукский завод противопожарного оборудования (ППО) им. Войкова, прибыло оборудование эвакуированного Экспериментального завода сложного автоматостроения для пищевой промышленности им. Калинина из Москвы. Также на площадку МРЗ был эвакуирован завод полиграфических машин из Ленинграда. В результате объединения заводов был создан единый завод ППО (Завод № 815 НКВМ, Шадринский мотороремонтный завод (МРЗ), Завод противопожарного оборудования НКМВ, Шадринский завод полиграфических машин («Полиграфмаш») ММиП, ОАО «Шадринский завод транспортного машиностроения» /г. Шадринск пл. Революции «Молот» (1948г.)/ /641878 г. Шадринск Курганской обл. ул. Первомайская, 5/). В 06.1942г. завод № 815 - в ведении треста ППО НКМВ, приказом НКМВ № 250с от 7.07.1942г. завод передан в ведение ЗГУ.</w:t>
      </w:r>
      <w:r w:rsidRPr="00640820">
        <w:rPr>
          <w:rFonts w:ascii="Times New Roman" w:hAnsi="Times New Roman"/>
          <w:color w:val="000000" w:themeColor="text1"/>
          <w:sz w:val="16"/>
          <w:szCs w:val="16"/>
          <w:vertAlign w:val="superscript"/>
        </w:rPr>
        <w:t>129</w:t>
      </w:r>
    </w:p>
    <w:p w14:paraId="17342E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24.12.1941г. был введен в строй минометный цех № 2, к 1.01.1942г. выпущены первые минометы, в 03.1942г.- первая партия 50-мм мин. Приказом НКМВ № 236сс от 6.07.1942г. заводу поручено организовать производство 82-мм агитационных мин с выпуском в 08.1942г. 10 тыс. штук. Пост. ГКО № 1962сс от 4.07.1942г. и приказом НКМВ № 237сс от 7.07.1942г. заводу установлен план выпуска на 3-й квартал 1942г. 50-мм минометов- 1200 шт. В 1943г. освоен выпуск 6 новых изделий. В 1945г. начат переход на выпуск гражданской продукции.</w:t>
      </w:r>
    </w:p>
    <w:p w14:paraId="47D8C7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1946г. завод № 815 преобразован в завод «Полиграфмаш», в 1947-48г. завод - в ведении Главполиграфмаша ММиП.</w:t>
      </w:r>
    </w:p>
    <w:p w14:paraId="6273EE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предприятия (1947г.) цехи: основные: машиностроительный, станкостроительный, литейный; вспомогательные: кузнечно-прессовый, инструментальный, ремонтно-механический, электроцех.</w:t>
      </w:r>
    </w:p>
    <w:p w14:paraId="14998D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1996г. завод «Полиграфмаш» обанкрочен и ликвидирован.</w:t>
      </w:r>
    </w:p>
    <w:p w14:paraId="61D2F8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(1946г.)- 285 ед., (1947г.)- 281 ед.</w:t>
      </w:r>
    </w:p>
    <w:p w14:paraId="759103B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территории (1947г.)- 2,0 га; застройки (1947г.)- 8170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производственная (1946-47г.)- 5570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5747DA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(1946г.)- 1053 чел., (1947г.)- 956 чел.</w:t>
      </w:r>
    </w:p>
    <w:p w14:paraId="7A8D66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(06.1942г.)- Стругацкий, (1948г.)- Седелев.</w:t>
      </w:r>
    </w:p>
    <w:p w14:paraId="1DADA9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(1948г.)- Росаткевич.</w:t>
      </w:r>
    </w:p>
    <w:p w14:paraId="2A41FF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50-мм минометы; мины: 50-мм, 82-мм, АМБ, детали для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 xml:space="preserve"> М-8, М-13 (1942); машина печатная тигельная ТЦ, Т2, ТТ-1; пресс ручной позолотный ПЗ-1; мотопомпа М; станки: токарный Т-1, токарный специальный ТЛ-1, часовой К-8 (1947).</w:t>
      </w:r>
      <w:r w:rsidRPr="00640820">
        <w:rPr>
          <w:rFonts w:ascii="Times New Roman" w:hAnsi="Times New Roman"/>
          <w:color w:val="000000" w:themeColor="text1"/>
          <w:sz w:val="16"/>
          <w:szCs w:val="16"/>
          <w:vertAlign w:val="superscript"/>
        </w:rPr>
        <w:t>124</w:t>
      </w:r>
    </w:p>
    <w:p w14:paraId="40F374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Прилукский завод противопожарного оборудования (ППО) им. Войкова ММиП /Украина пос. Ладан Прилукского р-на Черниговской обл. «Огнетушитель» (1948г.)/</w:t>
      </w:r>
    </w:p>
    <w:p w14:paraId="56C5F91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1941г. действовал цех № 1 по производству авиационных взрывателей.</w:t>
      </w:r>
    </w:p>
    <w:p w14:paraId="03F11D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10.1941г. завод был эвакуирован в Шадринск на площадку Мотороремонтного завода; производство ЗАБ-50 эвакуировано в Свердловск на площадку завода № 612 НКБ.</w:t>
      </w:r>
    </w:p>
    <w:p w14:paraId="53FEE7A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Затем завод был восстановлен в Прилуках. В 1947-48г. завод - в ведении ГлавУППО ММиП.</w:t>
      </w:r>
    </w:p>
    <w:p w14:paraId="750A88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предприятия (1947г.) цехи: основные: огнетушительный, механический, литейный, сборочный пожарных машин, деревообделочный; вспомогательные: ремонтный, инструментальный, сантехнический.</w:t>
      </w:r>
    </w:p>
    <w:p w14:paraId="3019E6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(1939г.)- 110 ед., (1946г.)- 128 ед, (1947г.)- 246 ед.</w:t>
      </w:r>
    </w:p>
    <w:p w14:paraId="6C9E42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территории (1947г.)- 21,65 га; застройки (1947г.)- 20474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производственная (1939г.)-</w:t>
      </w:r>
    </w:p>
    <w:p w14:paraId="0E6DD3C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9600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(1946г.)- 9113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(1947г.)- 9767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26625E3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(1939г.)- 1651 чел, (1946г.)- 520 чел, (1947г.)- 594 чел.</w:t>
      </w:r>
    </w:p>
    <w:p w14:paraId="26C57D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(1948г.)- Реутов.</w:t>
      </w:r>
    </w:p>
    <w:p w14:paraId="017B246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(1948г.)- Бурко.</w:t>
      </w:r>
    </w:p>
    <w:p w14:paraId="6C2FC94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авиационные взрыватели «АМБ б/в» (-1941); автонасосы ПМГ-3, огнетушители ОП-3, ОП-1, спринклерная головка 2СП, дренчлерная головка (1947) (11982).</w:t>
      </w:r>
      <w:r w:rsidRPr="00640820">
        <w:rPr>
          <w:rFonts w:ascii="Times New Roman" w:hAnsi="Times New Roman"/>
          <w:color w:val="000000" w:themeColor="text1"/>
          <w:sz w:val="16"/>
          <w:szCs w:val="16"/>
          <w:vertAlign w:val="superscript"/>
        </w:rPr>
        <w:t>129</w:t>
      </w:r>
    </w:p>
    <w:p w14:paraId="00495E1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9AA9D4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декабря 1941 года вышел приказ № 62сс НКТП Челябинск</w:t>
      </w:r>
    </w:p>
    <w:p w14:paraId="415F696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Постановлением ГКО от 13 октября 1941 года “О строительстве заводов легких танков и завода танковых дизелей” и постановлением ГКО от 14 ноября 1941 года НКТП обязывается приступить в ноябре 1941 года к строительству двух новых заводов легких танков Т-50 в Барнауле и Челябинске и завода по производству дизелей для танков Т-50 в Барнауле (6042, 55).</w:t>
      </w:r>
    </w:p>
    <w:p w14:paraId="045AA13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E8558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декабря 1941 матроса-инженера Е.Г.Ледина, зам. НК боеприпасов К.С.Гамова и ГИ Московского Главка НКБ П.В.Лактионова пригласили на совещание к И.В.С. У.Г.Ледин доложил о новых ВВ на основе гексогена А-IX-2 - решили делать бронебойно-зажигательные противотанковые снаряды, а также снаряжать ФАБ. Через неделю вышло постановление ГКО. Потом следующее - в феврале 1942 (5484,435).</w:t>
      </w:r>
    </w:p>
    <w:p w14:paraId="2326415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DA54E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декабря 1941 года был утвержден Устав завода № 524 НКВ (9202)</w:t>
      </w:r>
    </w:p>
    <w:p w14:paraId="19C2FD38"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879153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декабря 1941 вышло Распоряжение ГКО № 1000 Задание НКУП и НКПС по обеспечению уральских заводов НКЧМ коксующимся и энергетическим углем в декабре. РГАНИР, Фонд ГКО, д. 16, лл. 68 (11012).</w:t>
      </w:r>
    </w:p>
    <w:p w14:paraId="082F26C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3EFBE05"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6F5986DA"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8974C82" w14:textId="77777777" w:rsidR="009160A2" w:rsidRPr="00640820" w:rsidRDefault="009160A2"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7 декабря </w:t>
      </w:r>
      <w:r w:rsidRPr="00640820">
        <w:rPr>
          <w:rFonts w:ascii="Times New Roman" w:hAnsi="Times New Roman"/>
          <w:color w:val="000000" w:themeColor="text1"/>
          <w:sz w:val="16"/>
          <w:szCs w:val="16"/>
        </w:rPr>
        <w:t>в 1941 году утреннее сообщение Совинформбюро:</w:t>
      </w:r>
    </w:p>
    <w:p w14:paraId="3F5F060C" w14:textId="77777777" w:rsidR="009160A2" w:rsidRPr="00640820" w:rsidRDefault="009160A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течение ночи на 7 декабря наши войска вели бои с противником на всех фронтах.</w:t>
      </w:r>
    </w:p>
    <w:p w14:paraId="3B77C6A3" w14:textId="77777777" w:rsidR="009160A2" w:rsidRPr="00640820" w:rsidRDefault="009160A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Бойцы тов. Говорова за два дня боёв на одном из участков Западного фронта захватили 11 немецких танков, 13 орудий, 14 миномётов, 27 пулемётов и истребили 1.500 солдат и офицеров противника.</w:t>
      </w:r>
    </w:p>
    <w:p w14:paraId="7D0C319B" w14:textId="77777777" w:rsidR="009160A2" w:rsidRPr="00640820" w:rsidRDefault="009160A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лётчики, действующие на Южном фронте, за двенадцать дней боевых действий сбили 82 немецких самолёта, уничтожили 147 вражеских танков, 86 орудий, 23 миномёта, 24 зенитных установки, более 2.600 автомашин с пехотой и военными грузами и истребили свыше 8.000 солдат и офицеров противника.</w:t>
      </w:r>
    </w:p>
    <w:p w14:paraId="57D7F1B5" w14:textId="77777777" w:rsidR="009160A2" w:rsidRPr="00640820" w:rsidRDefault="009160A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Жители сёл и деревень Ростовской области, освобождённых Красной Армией от немецко-фашистских захватчиков, рассказывают о неслыханных муках и издевательствах, которые они претерпели от гитлеровцев. Фашисты ограбили всех дочиста, многих изувечили, убили. «Наше село Родионово-Несветаевка, — говорит колхозник Михаил Григорьевич Федоренко, - немцы заняли в начале ноября. Ко мне в дом ввалились 10 фашистских солдат и заявили, что они будут у меня жить. Они распоряжались моим добром, как хозяева, и брали всё, что им нравилось. Мне запретили запирать шкаф, сундук. Немцы забрали у меня муку, мясо, кур, сапоги, перчатки, носки и другие вещи». В селе Астахово немцы пробыли 12 дней. За это время они ограбили всех крестьян. У колхозника Леонида Осипова фашисты забрали все вещи, одеяла и подушки. У Антипа Стального отобрали всю одежду и обувь. В селе Маяки фашистские мародёры останавливали прохожих на улице и снимали с них полушубки, пальто и сапоги. Они раздели на улице Михаила Земляного, Марию Кириченко и других. В селе Нижне-Крепинское немецко-фашистские мерзавцы зверски замучили шахтёра Трофима Гончарова.</w:t>
      </w:r>
    </w:p>
    <w:p w14:paraId="126083E6" w14:textId="77777777" w:rsidR="009160A2" w:rsidRPr="00640820" w:rsidRDefault="009160A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Показания немецких военнопленных, захваченных на Южном фронте, свидетельствуют о дальнейшем росте антифашистских и антивоенных настроений среди германских солдат. Пленный ефрейтор 230 полка 76 пехотной дивизии Иозеф Рупрат говорит: «Я ненавижу эту разбойничью войну, начатую Гитлером. Я выбрал подходящий момент и сдался в плен, захватив с собой и пулемёт. Настроение в роте очень плохое. Война солдатам страшно надоела. Они желают как можно скорее уехать домой. Недавно из нашей роты дезертировал стрелок Люкфельд. Солдаты не верят тому, что написано в немецких газетах, и говорят, что это сплошное враньё». Пленный обер-ефрейтор 64 полка 16 немецкой танковой дивизии Вильгельм Буш рассказывает: «Уже полтора месяца мы не мылись. Белья у нас нет, все завшивели. Особенно донимает сейчас холод. Шинели очень тонкие, да и мундиры поистрепались. За последнее время резко ухудшилось питание. Жиров почти не дают. Наша рота последние 14 дней вовсе не получала горячей пищи. Нет перевязочных материалов. Настроение на фронте у солдат скверное. Но говорят солдаты с оглядкой, ибо поблизости может оказаться наци, а за каждое неосторожное слово грозит обвинение в разложении войск и смерть».</w:t>
      </w:r>
    </w:p>
    <w:p w14:paraId="1BB0CB8D" w14:textId="77777777" w:rsidR="009160A2" w:rsidRPr="00640820" w:rsidRDefault="009160A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Греческие партизаны совершили нападение на итальянских стрелков в районе города Коница. Во время перестрелки уничтожено 12 итальянских солдат и 2 офицера. Партизаны захватили 8 винтовок, 2 автомата и станковый пулемёт. В порту Керкира партизаны захватили небольшое итальянское судно, перебили команду и затопили его. Крупное столкновение между греческими патриотами и итальянскими солдатами произошло у города Флорина. Колонна итальянских солдат подверглась пулемётному обстрелу и понесла тяжёлые потери.» (14853).</w:t>
      </w:r>
    </w:p>
    <w:p w14:paraId="687D8E27" w14:textId="77777777" w:rsidR="009160A2" w:rsidRPr="00640820" w:rsidRDefault="009160A2" w:rsidP="00640820">
      <w:pPr>
        <w:spacing w:after="0" w:line="240" w:lineRule="auto"/>
        <w:jc w:val="both"/>
        <w:rPr>
          <w:rFonts w:ascii="Times New Roman" w:hAnsi="Times New Roman"/>
          <w:color w:val="000000" w:themeColor="text1"/>
          <w:sz w:val="16"/>
          <w:szCs w:val="16"/>
        </w:rPr>
      </w:pPr>
    </w:p>
    <w:p w14:paraId="33C35545" w14:textId="77777777" w:rsidR="009160A2" w:rsidRPr="00640820" w:rsidRDefault="009160A2"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7 декабря </w:t>
      </w:r>
      <w:r w:rsidRPr="00640820">
        <w:rPr>
          <w:rFonts w:ascii="Times New Roman" w:hAnsi="Times New Roman"/>
          <w:color w:val="000000" w:themeColor="text1"/>
          <w:sz w:val="16"/>
          <w:szCs w:val="16"/>
        </w:rPr>
        <w:t>в 1941 году вечернее сообщение Совинформбюро:</w:t>
      </w:r>
    </w:p>
    <w:p w14:paraId="67AB0F81" w14:textId="77777777" w:rsidR="009160A2" w:rsidRPr="00640820" w:rsidRDefault="009160A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7 декабря наши войска вели бои с противником на всех фронтах. На ряде участков ЗАПАДНОГО фронта наши части, отбив ожесточённые атаки противника, своими контратаками нанесли немецким войскам большой урон в технике и живой силе и продвинулись вперёд.</w:t>
      </w:r>
    </w:p>
    <w:p w14:paraId="287EC718" w14:textId="77777777" w:rsidR="009160A2" w:rsidRPr="00640820" w:rsidRDefault="009160A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6 декабря уничтожен 31 немецкий самолёт. Наши потери — 7 самолётов.</w:t>
      </w:r>
    </w:p>
    <w:p w14:paraId="22A8A788" w14:textId="77777777" w:rsidR="009160A2" w:rsidRPr="00640820" w:rsidRDefault="009160A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7 декабря под Москвой сбито 5 ненецких самолётов.</w:t>
      </w:r>
    </w:p>
    <w:p w14:paraId="3B2FCEA5" w14:textId="77777777" w:rsidR="009160A2" w:rsidRPr="00640820" w:rsidRDefault="009160A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6 декабря нашей авиацией уничтожено и повреждено 115 немецких танков, несколько бронемашин, более 750 автомашин с войсками и грузами, около 50 полевых и зенитных орудий, свыше 150 подвод с боеприпасами, более 40 мотоциклов, истреблено или рассеяно до 4 полков вражеской пехоты.</w:t>
      </w:r>
    </w:p>
    <w:p w14:paraId="3417594C" w14:textId="77777777" w:rsidR="009160A2" w:rsidRPr="00640820" w:rsidRDefault="009160A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Гвардейская часть тов. Осликовского, действующая на одном из участков Сталиногорского направления фронта, за несколько дней упорных боёв выбила немцев из 20 населённых пунктов, истребив при этом более тысячи немецких солдат и офицеров. Бойцы уничтожили 2 немецких танка, 4 артиллерийские и миномётные батареи и захватили много трофеев.</w:t>
      </w:r>
    </w:p>
    <w:p w14:paraId="7EC98BC7" w14:textId="77777777" w:rsidR="009160A2" w:rsidRPr="00640820" w:rsidRDefault="009160A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Красноармеец Кващук оказался в окружении 8 немцев. Храбрый боец меткой очередью из пулемёта-пистолета сразил офицера и шесть фашистских солдат. Седьмого солдата тов. Кващук оглушил ударом приклада.</w:t>
      </w:r>
    </w:p>
    <w:p w14:paraId="150442F6" w14:textId="77777777" w:rsidR="009160A2" w:rsidRPr="00640820" w:rsidRDefault="009160A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Успешно действуют советские партизаны в оккупированных районах Ленинградской области. Партизанский отряд товарища Д. разрушает железнодорожные коммуникации противника, задерживая тем самым переброску фашистских войск, боеприпасов и продовольствия к линии фронта. За короткий срок отряд организовал крушение 8 воинских поездов противника. Недавно партизаны сожгли склад, в котором немцы хранили 600 мешков зерна, отобранного у колхозников. Партизанские отряды под руководством товарищей М. и Т. истребили 105 немецких солдат и офицеров, уничтожили 15 грузовых автомашин и 2 вражеских танка. Партизанский отряд под командованием товарища М. за 3 месяца боевых действий истребил 16 немецких офицеров, 176 солдат, уничтожил 31 автомашину с боеприпасами и продовольствием, один штабной автобус и 24 мотоцикла.</w:t>
      </w:r>
    </w:p>
    <w:p w14:paraId="5F899FF9" w14:textId="77777777" w:rsidR="009160A2" w:rsidRPr="00640820" w:rsidRDefault="009160A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Письма из германского тыла, найденные у убитых и пленных немецких солдат, проникнуты тревогой. Солдату Вилли Лумм пишут из Лейпцига: «...Рухнула последняя надежда, что война окончится до наступления зимы. Уже пришла зима, а конца войны не видно. Это страшно угнетает. Люди ходят с поникшей головой. Фрау Опендорф убита горем. Её муж где-то под Санкт-Петербургом отморозил ноги... Говорят, что каждый день из России приходят поезда с обмороженными солдатами. Многие жен-шины ежедневно осаждают вокзал в надежде узнать от раненых что-либо о своих родных, но полиция всех разгоняет и никого не подпускает близко... Ты наверно тоже мёрзнешь...» Лейтенанту Вольфу Гертс пишет его мать: «К нам в последнее время приходит много тревожных известий. Посылаю тебе два объявления из газет о гибели твоих двух школьных товарищей. Их родители потрясены. Убитые ведь были единственными сыновьями... Все утверждают, что главная борьба с русскими ещё впереди, так как они неустрашимы и готовы всем пожертвовать для победы». Жена ефрейтора Адольфа Клейнбекера из Штеттина сообщает мужу: «...Все, о ком ты спрашиваешь, уже не здесь. Кто на фронте, кто в казармах в разных городах и странах. Даже такие калеки, как Роберт Кеппер и Эмиль Бюлер, на что-то понадобились. Их забрали с месяц назад. Вообще в городе не видно совсем мужчин».</w:t>
      </w:r>
    </w:p>
    <w:p w14:paraId="3DCAEDAC" w14:textId="77777777" w:rsidR="009160A2" w:rsidRPr="00640820" w:rsidRDefault="009160A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Близ города Бергена (Норвегия) взлетел на воздух немецкий склад боеприпасов. Взрывом уничтожено 15 немецких солдат и 2 офицера. Это уже третий склад, взорванный норвежскими патриотами за последний месяц.» (14853).</w:t>
      </w:r>
    </w:p>
    <w:p w14:paraId="2D0CADA3" w14:textId="77777777" w:rsidR="009160A2" w:rsidRPr="00640820" w:rsidRDefault="009160A2" w:rsidP="00640820">
      <w:pPr>
        <w:spacing w:after="0" w:line="240" w:lineRule="auto"/>
        <w:jc w:val="both"/>
        <w:rPr>
          <w:rFonts w:ascii="Times New Roman" w:hAnsi="Times New Roman"/>
          <w:color w:val="000000" w:themeColor="text1"/>
          <w:sz w:val="16"/>
          <w:szCs w:val="16"/>
        </w:rPr>
      </w:pPr>
    </w:p>
    <w:p w14:paraId="5A6E0A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C 7 декабря 1941 АДД переключилась с задач поддержки войск на удары по ж/д узлам и эшелонам на перегонах стараясь сорвать подвоз боеприпасов и войск. С 7 по 18 декабря выполнили 251 вылет, сбросили 156 т бомб, разрушили 32 станции, 85 эшелонов 83 танка и автомашины (340,66).</w:t>
      </w:r>
    </w:p>
    <w:p w14:paraId="4AA8CF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91DD2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декабря 1941 л 172 иап, 41 иап и 120 иап совместно со ш 65 шап и б 40 и 120 бап разгромили группировку немцев в 15 км восточнее Солнечногорска, уничтожив 28 танков и до 2 рот пехоты (3417,23).</w:t>
      </w:r>
    </w:p>
    <w:p w14:paraId="1824C2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555B5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по 16 декабря 1941 проходила Елецкая наступательная операция войск правого крыла ЮЗФ (Ф.Я.Костенко). освободили 4900 населенных пунктов и уничтожили 16 тыс. солдат и офицеров (3398,430).</w:t>
      </w:r>
    </w:p>
    <w:p w14:paraId="541E79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01E9E36" w14:textId="77777777" w:rsidR="009160A2"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21A8512A" w14:textId="77777777" w:rsidR="009160A2" w:rsidRPr="00640820" w:rsidRDefault="009160A2"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13E800A" w14:textId="77777777" w:rsidR="009160A2" w:rsidRPr="00640820" w:rsidRDefault="009160A2"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7 декабря </w:t>
      </w:r>
      <w:r w:rsidRPr="00640820">
        <w:rPr>
          <w:rFonts w:ascii="Times New Roman" w:hAnsi="Times New Roman"/>
          <w:color w:val="000000" w:themeColor="text1"/>
          <w:sz w:val="16"/>
          <w:szCs w:val="16"/>
        </w:rPr>
        <w:t>в 1941 году Финляндия официально возвратила в свой состав территории, потерянные в советско-финской войне (14853).</w:t>
      </w:r>
    </w:p>
    <w:p w14:paraId="65C2D9EB" w14:textId="77777777" w:rsidR="009160A2" w:rsidRPr="00640820" w:rsidRDefault="009160A2" w:rsidP="00640820">
      <w:pPr>
        <w:spacing w:after="0" w:line="240" w:lineRule="auto"/>
        <w:jc w:val="both"/>
        <w:rPr>
          <w:rFonts w:ascii="Times New Roman" w:hAnsi="Times New Roman"/>
          <w:color w:val="000000" w:themeColor="text1"/>
          <w:sz w:val="16"/>
          <w:szCs w:val="16"/>
        </w:rPr>
      </w:pPr>
    </w:p>
    <w:p w14:paraId="7F2F07D9"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4A4D1D39"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B66E442" w14:textId="77777777" w:rsidR="009160A2" w:rsidRPr="00640820" w:rsidRDefault="009160A2"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7 декабря </w:t>
      </w:r>
      <w:r w:rsidRPr="00640820">
        <w:rPr>
          <w:rFonts w:ascii="Times New Roman" w:hAnsi="Times New Roman"/>
          <w:color w:val="000000" w:themeColor="text1"/>
          <w:sz w:val="16"/>
          <w:szCs w:val="16"/>
        </w:rPr>
        <w:t>в 1941 году в ночь с 7-8-е декабря части Африканского корпуса Роммеля, под натиском наступающей 8-й британской армии были вынуждены снять блокаду Тубрука и начать отступление из Киренаики (14853).</w:t>
      </w:r>
    </w:p>
    <w:p w14:paraId="054F7592" w14:textId="77777777" w:rsidR="009160A2" w:rsidRPr="00640820" w:rsidRDefault="009160A2" w:rsidP="00640820">
      <w:pPr>
        <w:spacing w:after="0" w:line="240" w:lineRule="auto"/>
        <w:jc w:val="both"/>
        <w:rPr>
          <w:rFonts w:ascii="Times New Roman" w:hAnsi="Times New Roman"/>
          <w:color w:val="000000" w:themeColor="text1"/>
          <w:sz w:val="16"/>
          <w:szCs w:val="16"/>
        </w:rPr>
      </w:pPr>
    </w:p>
    <w:p w14:paraId="545E215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December 7 1941 Hitler issues Night and Fog (Nacht und Nebel) decree (1050).</w:t>
      </w:r>
    </w:p>
    <w:p w14:paraId="3A3266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3A87403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декабря 1941 А.Гитлер выпустил декрет, названный Ночь и туман (1050).</w:t>
      </w:r>
    </w:p>
    <w:p w14:paraId="71B847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590E7C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декабря 1941 Гитлер издал приказ о начале операции “Мрак и туман” по уничтожению “врагов Рейха” во Франции, Бельгии и Голландии (4962).</w:t>
      </w:r>
    </w:p>
    <w:p w14:paraId="63181B8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E3DA6A" w14:textId="77777777" w:rsidR="009160A2" w:rsidRPr="00640820" w:rsidRDefault="009160A2"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7 декабря </w:t>
      </w:r>
      <w:r w:rsidRPr="00640820">
        <w:rPr>
          <w:rFonts w:ascii="Times New Roman" w:hAnsi="Times New Roman"/>
          <w:color w:val="000000" w:themeColor="text1"/>
          <w:sz w:val="16"/>
          <w:szCs w:val="16"/>
        </w:rPr>
        <w:t>в 1941 году Адольф Гитлер издает приказ о начале операции "Мрак и туман" по уничтожению "врагов Рейха" во Франции, Бельгии и Голландии. Всего было арестовано 8639 человек (14853).</w:t>
      </w:r>
    </w:p>
    <w:p w14:paraId="763ED0F9" w14:textId="77777777" w:rsidR="009160A2" w:rsidRPr="00640820" w:rsidRDefault="009160A2" w:rsidP="00640820">
      <w:pPr>
        <w:spacing w:after="0" w:line="240" w:lineRule="auto"/>
        <w:jc w:val="both"/>
        <w:rPr>
          <w:rFonts w:ascii="Times New Roman" w:hAnsi="Times New Roman"/>
          <w:color w:val="000000" w:themeColor="text1"/>
          <w:sz w:val="16"/>
          <w:szCs w:val="16"/>
        </w:rPr>
      </w:pPr>
    </w:p>
    <w:p w14:paraId="62E3D0B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декабря 1941 японская авиация уничтожила американский флот в Пирл-Харборе, что послужило поводом для вступления в войну США (4962).</w:t>
      </w:r>
    </w:p>
    <w:p w14:paraId="58CA40C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235B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lastRenderedPageBreak/>
        <w:t>December 7 1941 Japanese reply rejecting United States note of November 26, delivered at Washington (1223).</w:t>
      </w:r>
    </w:p>
    <w:p w14:paraId="017DBF7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05A6F80E" w14:textId="77777777" w:rsidR="00A96601" w:rsidRPr="00640820" w:rsidRDefault="00A9660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7 декабря (8 декабря к западу от международной линии перемены дат ) 1941 Императорский флот Японии совершает разрушительно успешную внезапную атаку на Перл-Харбор и другие военные объекты США на острове Оаху, Гавайи . Шесть авианосцев двумя волнами запустили 353 боевых самолета. Они потопили пять американских линкоров и десять других кораблей, повредили три других линкора и уничтожили 188 американских самолетов, в результате чего было убито 2402 и ранено 1282 человека. Японцы теряют 29 самолетов, пять сверхмалых подводных лодок и 65 убитыми.</w:t>
      </w:r>
    </w:p>
    <w:p w14:paraId="7186D8B8" w14:textId="77777777" w:rsidR="00A96601" w:rsidRPr="00640820" w:rsidRDefault="00A96601" w:rsidP="00640820">
      <w:pPr>
        <w:spacing w:after="0" w:line="240" w:lineRule="auto"/>
        <w:jc w:val="both"/>
        <w:rPr>
          <w:rFonts w:ascii="Times New Roman" w:hAnsi="Times New Roman"/>
          <w:color w:val="0070C0"/>
          <w:sz w:val="16"/>
          <w:szCs w:val="16"/>
        </w:rPr>
      </w:pPr>
    </w:p>
    <w:p w14:paraId="502826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декабря 1941 Япония ответила отказом на американские предложения о переговорах (1223).</w:t>
      </w:r>
    </w:p>
    <w:p w14:paraId="2F5911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6F2F92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 December 1941 Japan declares war on USA and England by bombing Pearl Harbour (270).</w:t>
      </w:r>
    </w:p>
    <w:p w14:paraId="324C2E2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2F9416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декабря 1941 Япония объявила войну США и Англии начав с бомбардировки Перл Харбора (270).</w:t>
      </w:r>
    </w:p>
    <w:p w14:paraId="5F3EF88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DD21D4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декабря 1941 произошло нападение Японии на США. Японцы имели 2525 и 360 пошли на Перл Харбор с 6 авианосцев (88,164).</w:t>
      </w:r>
    </w:p>
    <w:p w14:paraId="50B90CE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63095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другим данным Перл Харбор был 17 декабря 1941 (103,164).</w:t>
      </w:r>
    </w:p>
    <w:p w14:paraId="70E6B67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DF3B8F1" w14:textId="77777777" w:rsidR="009160A2" w:rsidRPr="00640820" w:rsidRDefault="009160A2"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7 декабря </w:t>
      </w:r>
      <w:r w:rsidRPr="00640820">
        <w:rPr>
          <w:rFonts w:ascii="Times New Roman" w:hAnsi="Times New Roman"/>
          <w:color w:val="000000" w:themeColor="text1"/>
          <w:sz w:val="16"/>
          <w:szCs w:val="16"/>
        </w:rPr>
        <w:t>в 1941 году нападение авианосных и подводных сил флота Японии на главную военно-морскую базу Тихоокеанского Флота США Пирл-Харбор "вынудив" США вступить во II Мировую Войну – самая удачная по эффективности военная операция Вооруженных сил Японии. С японских авианосцев в воздух поднимается 360 самолетов. Ровно в 7.40 они уже находятся над базой США Перл-Харбор на Гавайях, где в то время находилось 93 американских корабля - почти весь Тихоокеанский флот США. В результате нападения японцы топят 4 линкора, 1 крейсер, 2 нефтеналивных судна, сильно повреждают большое количество других судов, уничтожают 311 самолетов и более 4 тысяч американских военнослужащих. Так ознаменовалось вступление Японии во Вторую мировую войну (14853).</w:t>
      </w:r>
    </w:p>
    <w:p w14:paraId="6A0AE62A" w14:textId="77777777" w:rsidR="009160A2" w:rsidRPr="00640820" w:rsidRDefault="009160A2" w:rsidP="00640820">
      <w:pPr>
        <w:spacing w:after="0" w:line="240" w:lineRule="auto"/>
        <w:jc w:val="both"/>
        <w:rPr>
          <w:rFonts w:ascii="Times New Roman" w:hAnsi="Times New Roman"/>
          <w:color w:val="000000" w:themeColor="text1"/>
          <w:sz w:val="16"/>
          <w:szCs w:val="16"/>
        </w:rPr>
      </w:pPr>
    </w:p>
    <w:p w14:paraId="3F2CD9A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декабря 1941 Канада объявила войну Японии (4962).</w:t>
      </w:r>
    </w:p>
    <w:p w14:paraId="36A7F52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74A6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 December 1941 Declaration of war by Netherlands East Indies and Canada against Japan (1223).</w:t>
      </w:r>
    </w:p>
    <w:p w14:paraId="6A189B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4D12D82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декабря 1941 Голландская Восточная Индия и Канада объявили войну Японии (1223).</w:t>
      </w:r>
    </w:p>
    <w:p w14:paraId="66FAB7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B7065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 December 1941 Japan launches attack on Malaya and invades Thailand (270).</w:t>
      </w:r>
    </w:p>
    <w:p w14:paraId="61E874D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2DD7C9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декабря 1941 Япония вторглась в Таиланд и Малайзию (270).</w:t>
      </w:r>
    </w:p>
    <w:p w14:paraId="4A47F8B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61D8941"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7627575B"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E4F28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декабря 1941 приказом НКАП объединили завод 39 и завод 125 в Иркутске и назвали 39 по постановлению ГКО (883).</w:t>
      </w:r>
    </w:p>
    <w:p w14:paraId="1DD5A78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Утвердить директором завода 39 Иосилович, ГИ - Абрамова</w:t>
      </w:r>
    </w:p>
    <w:p w14:paraId="28891B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Директору завода 39 в Иркутске:</w:t>
      </w:r>
    </w:p>
    <w:p w14:paraId="2EFD141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выпускать только бомбардировщики Пе-2 и разведчики Пе-3 с существующим на Пе-2 вооружением</w:t>
      </w:r>
    </w:p>
    <w:p w14:paraId="3DF897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самолеты Пе-2 выпускать 90% и 10% разведчиков Пе-3, не считая имеющихся в заделе самолетов Пе-3</w:t>
      </w:r>
    </w:p>
    <w:p w14:paraId="04CBF3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обеспечить производство самолетов Пе-2 на заводе 39 в Иркутске по чертежам завода 22</w:t>
      </w:r>
    </w:p>
    <w:p w14:paraId="1F5525F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Ведущим по отношению к заводу 39 в Иркутске - утвердить завод 22 (1338,74).</w:t>
      </w:r>
    </w:p>
    <w:p w14:paraId="209E3F7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1F462D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декабря 1941 издан приказ народного комиссара об объединении двух заводов – имени Сталина и Менжинского. С 19 декабря 1941 года это одно предприятие: ордена Ленина и ордена Трудового Красного Знамени авиазавод № 39 имени И.В. Сталина. Директором утвержден И.Б. Иосилович, главным инженером – менжинец В.И. Абрамов (11884).</w:t>
      </w:r>
    </w:p>
    <w:p w14:paraId="4780799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6C58B92" w14:textId="77777777" w:rsidR="001E6A20" w:rsidRPr="00640820" w:rsidRDefault="001E6A20"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8 декабря 1941 года ПРИКАЗ НАРОДНОГО КОМИССАРА АВИАЦИОННОЙ ПРОМЫШЛЕННОСТИ СССР № 1139с</w:t>
      </w:r>
    </w:p>
    <w:p w14:paraId="0388213B" w14:textId="77777777" w:rsidR="001E6A20" w:rsidRPr="00640820" w:rsidRDefault="001E6A20"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Город Москва. 8 декабря 1941 года</w:t>
      </w:r>
    </w:p>
    <w:p w14:paraId="186F88F6" w14:textId="77777777" w:rsidR="001E6A20" w:rsidRPr="00640820" w:rsidRDefault="001E6A20"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ОБ ОБЪЕДИНЕНИИ ЗАВОДОВ № 39 и № 125.</w:t>
      </w:r>
    </w:p>
    <w:p w14:paraId="09E60582" w14:textId="77777777" w:rsidR="001E6A20" w:rsidRPr="00640820" w:rsidRDefault="001E6A20"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Во исполнение Постановления Государственного Комитета Обороны от 6/ХII – 1941 года за № 966с ПРИКАЗЫВАЮ:</w:t>
      </w:r>
    </w:p>
    <w:p w14:paraId="586E1249" w14:textId="77777777" w:rsidR="001E6A20" w:rsidRPr="00640820" w:rsidRDefault="001E6A20"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1. Завод № 39 НКАП, эвакуированный на площади завода № 125 в город Иркутск, объединить с заводом № 125, присвоив объединенному заводу № 39.</w:t>
      </w:r>
    </w:p>
    <w:p w14:paraId="11C04DFE" w14:textId="77777777" w:rsidR="001E6A20" w:rsidRPr="00640820" w:rsidRDefault="001E6A20"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2. Утвердить директором завода № 39 тов. Иосилович и главным инжtнером тов. Абрамова.</w:t>
      </w:r>
    </w:p>
    <w:p w14:paraId="197CCA17" w14:textId="77777777" w:rsidR="001E6A20" w:rsidRPr="00640820" w:rsidRDefault="001E6A20"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3. Директору завода № 39 в гор. Иркутске тов. Иосилович:</w:t>
      </w:r>
    </w:p>
    <w:p w14:paraId="63618C66" w14:textId="77777777" w:rsidR="001E6A20" w:rsidRPr="00640820" w:rsidRDefault="001E6A20"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а) выпускать только бомбардировщики Пе-2 и разведчики Пе-3 с существующим на Пе-2 вооружением;</w:t>
      </w:r>
    </w:p>
    <w:p w14:paraId="3054202A" w14:textId="77777777" w:rsidR="001E6A20" w:rsidRPr="00640820" w:rsidRDefault="001E6A20"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б) самолеты Пе-2 выпускать 90% и 10% разведчиков Пе-3, не считая имеющихся в заделе самолетов Пе-3;</w:t>
      </w:r>
    </w:p>
    <w:p w14:paraId="2662AF72" w14:textId="77777777" w:rsidR="001E6A20" w:rsidRPr="00640820" w:rsidRDefault="001E6A20"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в) обеспечить производство самолетов Пе-2 на заводе № 39 в городе Иркутске по чертежам завода № 22;</w:t>
      </w:r>
    </w:p>
    <w:p w14:paraId="32F16721" w14:textId="77777777" w:rsidR="001E6A20" w:rsidRPr="00640820" w:rsidRDefault="001E6A20"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г) разрешить пользоваться чертежами завода № 39 только при использовании эвакуированного задела завода № 39, после чего чертежи завода № 39 из производства изъять.</w:t>
      </w:r>
    </w:p>
    <w:p w14:paraId="720E3819" w14:textId="77777777" w:rsidR="001E6A20" w:rsidRPr="00640820" w:rsidRDefault="001E6A20"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4. Ведущим по отношению к заводу № 39 в Иркутске – утвердить завод № 22.</w:t>
      </w:r>
    </w:p>
    <w:p w14:paraId="268B127E" w14:textId="77777777" w:rsidR="001E6A20" w:rsidRPr="00640820" w:rsidRDefault="001E6A20"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НАРОДНЫЙ КОМИССАР АВИАЦИОННОЙ ПРОМЫШЛЕННОСТИ А. ШАХУРИН</w:t>
      </w:r>
    </w:p>
    <w:p w14:paraId="4051258B" w14:textId="77777777" w:rsidR="001E6A20" w:rsidRPr="00640820" w:rsidRDefault="001E6A20"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Этот приказ НКАП в письменном виде получен из Москвы только 7-го января 1942 года, но до коллектива завода № 125 был доведен, по-видимому, последним приказом директора от 18-го декабря 1941 года (48):</w:t>
      </w:r>
    </w:p>
    <w:p w14:paraId="041A2110" w14:textId="77777777" w:rsidR="001E6A20" w:rsidRPr="00640820" w:rsidRDefault="001E6A20"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ПРИКАЗ ПО ЗАВОДУ № 125 им. СТАЛИНА № 1137 от 18 декабря 1941 г.</w:t>
      </w:r>
    </w:p>
    <w:p w14:paraId="797314F0" w14:textId="77777777" w:rsidR="001E6A20" w:rsidRPr="00640820" w:rsidRDefault="001E6A20"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Объявляю приказ Народного Комиссара Авиационной промышленности № 1139с от 8 декабря 1941 года:</w:t>
      </w:r>
    </w:p>
    <w:p w14:paraId="4EF728E2" w14:textId="77777777" w:rsidR="001E6A20" w:rsidRPr="00640820" w:rsidRDefault="001E6A20"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1. Объединить завод № 125 им. Сталина и дважды орденоносный – ордена Ленина и ордена Трудового Красного Знамени – завод № 39 им. Менжинского с 19 декабря 1941 г. под наименованием: «Дважды орденоносный Ордена Ленина и ордена Трудового Красного Знамени – завод № 39 Народного Комиссариата Авиационной промышленности СССР.</w:t>
      </w:r>
    </w:p>
    <w:p w14:paraId="7AE83CF1" w14:textId="77777777" w:rsidR="001E6A20" w:rsidRPr="00640820" w:rsidRDefault="001E6A20"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2. Директором завода № 39 утвердить ИОСИЛОВИЧА Исаака Борисовича.</w:t>
      </w:r>
    </w:p>
    <w:p w14:paraId="3A76D765" w14:textId="77777777" w:rsidR="001E6A20" w:rsidRPr="00640820" w:rsidRDefault="001E6A20"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3. Главным инженером завода № 39 утвердить Абрамова Виктора Ивановича.</w:t>
      </w:r>
    </w:p>
    <w:p w14:paraId="7C32229E" w14:textId="77777777" w:rsidR="001E6A20" w:rsidRPr="00640820" w:rsidRDefault="001E6A20"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Подписал Народный Комиссар Авиапромышленности т. Шахурин А.И.</w:t>
      </w:r>
    </w:p>
    <w:p w14:paraId="2A66FAF1" w14:textId="77777777" w:rsidR="001E6A20" w:rsidRPr="00640820" w:rsidRDefault="001E6A20" w:rsidP="00640820">
      <w:pPr>
        <w:pStyle w:val="rteindent11"/>
        <w:shd w:val="clear" w:color="auto" w:fill="FFFFFF"/>
        <w:spacing w:before="0" w:beforeAutospacing="0" w:after="0"/>
        <w:ind w:left="0" w:firstLine="0"/>
        <w:rPr>
          <w:rStyle w:val="af0"/>
          <w:i w:val="0"/>
          <w:color w:val="000000" w:themeColor="text1"/>
          <w:sz w:val="16"/>
          <w:szCs w:val="16"/>
        </w:rPr>
      </w:pPr>
      <w:r w:rsidRPr="00640820">
        <w:rPr>
          <w:rStyle w:val="af0"/>
          <w:i w:val="0"/>
          <w:color w:val="000000" w:themeColor="text1"/>
          <w:sz w:val="16"/>
          <w:szCs w:val="16"/>
        </w:rPr>
        <w:t>ДИРЕКТОР ЗАВОДА № 125 им. СТАЛИНА ИОСИЛОВИЧ И.Б (15223).</w:t>
      </w:r>
    </w:p>
    <w:p w14:paraId="4BB5A69F" w14:textId="77777777" w:rsidR="001E6A20" w:rsidRPr="00640820" w:rsidRDefault="001E6A20" w:rsidP="00640820">
      <w:pPr>
        <w:pStyle w:val="rteindent11"/>
        <w:shd w:val="clear" w:color="auto" w:fill="FFFFFF"/>
        <w:spacing w:before="0" w:beforeAutospacing="0" w:after="0"/>
        <w:ind w:left="0" w:firstLine="0"/>
        <w:rPr>
          <w:rStyle w:val="af0"/>
          <w:i w:val="0"/>
          <w:color w:val="000000" w:themeColor="text1"/>
          <w:sz w:val="16"/>
          <w:szCs w:val="16"/>
        </w:rPr>
      </w:pPr>
    </w:p>
    <w:p w14:paraId="12C60F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декабря 1941 г. приказом НКАП № 1139с в соответствии с пост. ГКО № 996с от 6.12.1941 г. завод № 39 (Краснознаменный завод № 39 им. В.Р. Менжинского НКВМ, ВСНХ, НКТП, НКОП, НКАП, «Ремвоздухзавод № 1» УВВС, Завод «Авиаработник», Иркутский машиностроительный завод, Иркутский авиационный завод (ИАЗ) им. 60-летия СССР, А-3621, Иркутское авиационное производственное объединение (ИАПО), ОАО «ИАПО», ОАО «ИАЗ» / г. Москва Беговой пр. п/я 2400 «Колесо» (1938 г.);  г. Иркутск/ /664020  г. Иркутск ул. Новаторов, 3 ИАПО: тел. 42-11-68, -58; «Иркут»: 32-29-09/ /Московское представительство: ул. Б. Молчановка, 30/7 стр. 2 тел. 290-34-04; 121019 Б. Афанасьевский пер., 15 тел. 291-41-66/) объединен с заводом № 125 с образованием единого «Дважды орденоносного ордена Ленина и ордена Трудового Красного Знамени завода № 39 НКАП». В состав завода № 39 влит также завод № 104 НКАП. Перебазирование длилось 4 месяца, из Москвы прибыло 17.000 чел. Около тысячи из них перевели на завод № 99. Производственные площади на 1.01.1942 г. составили 111 тыс.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533A931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площадке эвакуированного завода в Москве с 10.1941 г. образовались самолетные Ремонтные мастерские при Ремотделе НКАП. На их базе по приказу № 3 с от 2.01.1942 г. организован завод № 81 при 10ГУ НКАП.</w:t>
      </w:r>
    </w:p>
    <w:p w14:paraId="092AEC79" w14:textId="77777777" w:rsidR="00165A9C" w:rsidRPr="00640820" w:rsidRDefault="00165A9C" w:rsidP="00640820">
      <w:pPr>
        <w:tabs>
          <w:tab w:val="left" w:pos="8454"/>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новом месте в Иркутске продолжено производство самолетов. Пост. ГКО № 1376сс от 3.03.1942 г. заводу утвержден суточный план на 03.1942 г. по выпуску Пе-2: с 1 по 5 марта - 12 машин, с 6 по 10 - 13, с 11 по 20 - 20 и с 21 по 31 марта - 25 машин. На 1942 г. заводу дан план на 587 Пе-2. 4.03.1942 г. вышло постановление </w:t>
      </w:r>
      <w:r w:rsidRPr="00640820">
        <w:rPr>
          <w:rFonts w:ascii="Times New Roman" w:hAnsi="Times New Roman"/>
          <w:color w:val="000000" w:themeColor="text1"/>
          <w:sz w:val="16"/>
          <w:szCs w:val="16"/>
        </w:rPr>
        <w:lastRenderedPageBreak/>
        <w:t xml:space="preserve">ГКО № 1385 о выпуске на заводе самолета Пе-3. Но по приказу НКАП № 589с от 5.08.1942 г. производство Пе-2 требовалось прекратить, сосредоточившись на выпуске Ил-4. Последний Пе-2 был выпущен 22.08.1942 г. С 10.1942 г. начался выпуск Ил-4. Последние выпущены в 07.1944 г. </w:t>
      </w:r>
    </w:p>
    <w:p w14:paraId="4EBE9A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ГКО № 2999 от 7.03.1943 г., 10 марта на заводе № 39 начата постройка самолета Ил-6 с дизелями М-30Б.</w:t>
      </w:r>
    </w:p>
    <w:p w14:paraId="012B92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 ГКО № 4170 от 21.09.1943 г. на заводе в серию запущен Ер-2, 1-я машина взлетела 15.02.1944 г. Пост. ГКО № 8004 от 25.05.1945 г. самолет снят с производства.</w:t>
      </w:r>
    </w:p>
    <w:p w14:paraId="7F8CAB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1944 г. часть оборудования завода передана для формирования нового завода № 473 НКАП.</w:t>
      </w:r>
    </w:p>
    <w:p w14:paraId="529622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СМ СССР № 473-192сс от 28.02.1946 г. и приказом № 83сс от 3.03.1946 г. заводу поручено освоить выпуск Ту-2. Внедрение самолета в серию было приостановлено из-за пожара в 10.1946 г., в результате которого полностью сгорел главный корпус. После этого началась реконструкция завода. Освоено литье и обработка деталей из магниевых сплавов. 1-й серийный Ту-2 построен 30.06.1947 г., в 11.1947 г. построен первый Ту-2Р.</w:t>
      </w:r>
    </w:p>
    <w:p w14:paraId="64AE55A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Во время выпуска Ан-12 (1957-62 г.) на заводе организовано представительство ОКБ-473, которое возглавляли А.И. Швирин,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Леонтьев, В.З. Брагилевский,  Г.А. Луговой.</w:t>
      </w:r>
    </w:p>
    <w:p w14:paraId="0F191A0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МАП № 181 от 29.07.1965 г. на заводе начался выпуск Ан-24Т.</w:t>
      </w:r>
    </w:p>
    <w:p w14:paraId="510731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СМ СССР № 713-342 от 26.06.1957 г. передан в ведение СНХ РСФСР.</w:t>
      </w:r>
    </w:p>
    <w:p w14:paraId="1BF5F6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имел названия: ИАЗ им. 60-летия СССР (до 1989 г.), с 1989 г.- ИАПО. 13.10.1992 г. ИАПО преобразовано в ОАО «ИАПО». В 1997 г. ИАПО приобрело ТАНТК им. Бериева, в 1999 г.- ОКБ «Русская авионика». В 2000 г. на базе ИАПО создана НПК «Иркут», 19.12.2002 г. ИАПО переименовано в ОАО «НПК «Иркут». ОАО «ИАЗ» является филиалом НПК «Иркут» (2006 г.).</w:t>
      </w:r>
    </w:p>
    <w:p w14:paraId="460A929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1997 г. ИАЗ первым из предприятий авиационной промышленности России получил Сертификат соответствия системы обеспечения качества производства международному стандарту </w:t>
      </w:r>
      <w:r w:rsidRPr="00640820">
        <w:rPr>
          <w:rFonts w:ascii="Times New Roman" w:hAnsi="Times New Roman"/>
          <w:color w:val="000000" w:themeColor="text1"/>
          <w:sz w:val="16"/>
          <w:szCs w:val="16"/>
          <w:lang w:val="en-US"/>
        </w:rPr>
        <w:t>ISO</w:t>
      </w:r>
      <w:r w:rsidRPr="00640820">
        <w:rPr>
          <w:rFonts w:ascii="Times New Roman" w:hAnsi="Times New Roman"/>
          <w:color w:val="000000" w:themeColor="text1"/>
          <w:sz w:val="16"/>
          <w:szCs w:val="16"/>
        </w:rPr>
        <w:t xml:space="preserve"> 9002.</w:t>
      </w:r>
    </w:p>
    <w:p w14:paraId="1EA726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 ИАПО входит Летно-испытательный центр, который осуществляет всесторонние испытания готового самолета, его пилотажно-навигационного комплекса и систем вооружения.</w:t>
      </w:r>
    </w:p>
    <w:p w14:paraId="0D813AD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Планировалось производство автожира А-002 (2004 г.). В 2006 г. построен 4-й экземпляр Бе-200, в 2007 г.- 5-й (еще два - в производстве). В 2007 г. запущен в серию Як-130. В 2008 г. планировалось поставить 6 машин ВВС РФ.</w:t>
      </w:r>
    </w:p>
    <w:p w14:paraId="31BC04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(11.1940 г.)- 829 металлорежущих станков.</w:t>
      </w:r>
    </w:p>
    <w:p w14:paraId="14FFE9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(1.01.1942 г.)- 16.879 чел.</w:t>
      </w:r>
    </w:p>
    <w:p w14:paraId="38A446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(1931 г.)- Е.С. Пауфлер,</w:t>
      </w:r>
      <w:r w:rsidRPr="00640820">
        <w:rPr>
          <w:rFonts w:ascii="Times New Roman" w:hAnsi="Times New Roman"/>
          <w:color w:val="000000" w:themeColor="text1"/>
          <w:sz w:val="16"/>
          <w:szCs w:val="16"/>
          <w:vertAlign w:val="superscript"/>
        </w:rPr>
        <w:t>38</w:t>
      </w:r>
      <w:r w:rsidRPr="00640820">
        <w:rPr>
          <w:rFonts w:ascii="Times New Roman" w:hAnsi="Times New Roman"/>
          <w:color w:val="000000" w:themeColor="text1"/>
          <w:sz w:val="16"/>
          <w:szCs w:val="16"/>
        </w:rPr>
        <w:t xml:space="preserve"> (04.1932 г.)- С. Марголин, (-06-11.07.1937 г.)- И.Б. Кацва, (11.07- 9.12.1937 г.)-  Г. Г. Бурмистров, (9.12.1937-09.1940 г.)- В.И. Журавлев, (09.1940-09.1941 г.)- Л.П. Соколов (затем- директор завода № 166), (09-12.1941 г.; 02.1942-45 г.)- В.И. Абрамов</w:t>
      </w:r>
      <w:r w:rsidRPr="00640820">
        <w:rPr>
          <w:rFonts w:ascii="Times New Roman" w:hAnsi="Times New Roman"/>
          <w:color w:val="000000" w:themeColor="text1"/>
          <w:sz w:val="16"/>
          <w:szCs w:val="16"/>
          <w:vertAlign w:val="superscript"/>
        </w:rPr>
        <w:t>34</w:t>
      </w:r>
      <w:r w:rsidRPr="00640820">
        <w:rPr>
          <w:rFonts w:ascii="Times New Roman" w:hAnsi="Times New Roman"/>
          <w:color w:val="000000" w:themeColor="text1"/>
          <w:sz w:val="16"/>
          <w:szCs w:val="16"/>
        </w:rPr>
        <w:t>, (12.1941-02.1942 г.)- И.Б. Иосилович, (- 1945 г.)- В.И. Журавлев, (1946 г.)- К.А. Петров. Гендиректор (1992 г.)-  Г.Н. Горбунов, (1993-97 г.)- А.И. Федоров, (1998-2006 г.-)- В.В. Ковальков.</w:t>
      </w:r>
    </w:p>
    <w:p w14:paraId="112E4E9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(13.01.1933 г.-)- С.В. Ильюшин, (06.1937 г.)- Д.В. Голяев. Зам. гендиректора по ВЭД, маркетингу и сервисному обслуживанию (-1994-97 г.)- А. Г. Белов. Помощник директора по найму и увольнению (-11.07.1937 г.)- Е.И. Левков, (13.11.1937-09.1938 г.-)- В.В. Полетаев.</w:t>
      </w:r>
    </w:p>
    <w:p w14:paraId="388AAB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Технический директор (2002 г.)- А.А. Вепрев.</w:t>
      </w:r>
    </w:p>
    <w:p w14:paraId="3ADEB4D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(1933-36 г.)- Б.П. Лисунов, (06.1937; -12.1937-07.1938 г.-&gt; Д.В. Голяев, (09.1937 г.)- Н.Н. Леонтьев, (12.1941-02.1942 г.)- В.И. Абрамов, (02.1942 г.-)- К.А. Петров, (1946 г.)- И.К. Ситников, (1989 г.-&gt; А.И. Федоров, (2002 г.)- В.В. Ковальков.</w:t>
      </w:r>
    </w:p>
    <w:p w14:paraId="0CCC397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производства (10.12.1937 г.-)- П.М. Морозов. Начальник ОП (-04-06.1938 г.-)- К.А. Петров. Директор производства (2002 г.)- С.И. Василенко.</w:t>
      </w:r>
    </w:p>
    <w:p w14:paraId="11C5DEF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начальника производства (10.12.1937 г.-)- Ф.М. Матвеев.</w:t>
      </w:r>
    </w:p>
    <w:p w14:paraId="6F07041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(22.02.1938-40 г.)- С.В. Ильюшин, (08.1940-02.1941 г.)- В.М. Петляков.</w:t>
      </w:r>
    </w:p>
    <w:p w14:paraId="7B35C5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конструктора (1938 г.)- В.В. Калинин.</w:t>
      </w:r>
    </w:p>
    <w:p w14:paraId="58EE0C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управления поставок и сервиса (2002 г.)- Ю.В. Белозеров.</w:t>
      </w:r>
    </w:p>
    <w:p w14:paraId="3F64D47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конструктора (-1943 г.)- В.П. Иванов.</w:t>
      </w:r>
    </w:p>
    <w:p w14:paraId="1A38B9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программы Су-30МКИ (1998-99 г.)- В.И. Барковский.</w:t>
      </w:r>
    </w:p>
    <w:p w14:paraId="0D4425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ЛИС (09.1938 г.)- Грязнов, (02.1942-43 г.)- Ш.Б. Бидзинашвшга.</w:t>
      </w:r>
    </w:p>
    <w:p w14:paraId="0A5BE2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начальника цеха: (12.1937-02.1938 г.)- И.К. Седин, (-04-06.1938 г.-)- Е.Е. Буксанов.</w:t>
      </w:r>
    </w:p>
    <w:p w14:paraId="0207227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ОТК (09.1938 г.)-  Г.Е. Петров.</w:t>
      </w:r>
    </w:p>
    <w:p w14:paraId="66C1D03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И.О. начальника СКБ (4.08.1938 г.-)- Анисимов.</w:t>
      </w:r>
    </w:p>
    <w:p w14:paraId="345D0B5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Руководители групп: (1935-37 г.)- И.Л. Макаров.</w:t>
      </w:r>
    </w:p>
    <w:p w14:paraId="708A19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Летчики-испытатели:  Г.Е. Буланов, (1944 г.)- Н.С. Бушкевич, (1967 г.)- С.М. Куркай, В.Б. Максименков, (1967 г.)-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Пранцкявичус, (1966 г.)- к Г.И. Старостенко, И.И. Тихонов, В.М. Токарев, (1967 г.)- В.Н. Трубников, А.А. Холодов, (-1966-67 Г.-)- Э.Н. Чельцов, (1935 г.)- В.П. Чкалов, И.П. Яшин.</w:t>
      </w:r>
    </w:p>
    <w:p w14:paraId="7D14275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самолеты: И-5, «ТШ»- 2, «ДИС»- 2, МБР-1 - 1, МДР-1 - 1, «ШОМ»- 1, ТБ-5 (1931)- 1, МБР-2 (1931)- 1, АИР-б (1932-33)- 3, И-</w:t>
      </w:r>
      <w:r w:rsidRPr="00640820">
        <w:rPr>
          <w:rFonts w:ascii="Times New Roman" w:hAnsi="Times New Roman"/>
          <w:color w:val="000000" w:themeColor="text1"/>
          <w:sz w:val="16"/>
          <w:szCs w:val="16"/>
          <w:lang w:val="en-US"/>
        </w:rPr>
        <w:t>Z</w:t>
      </w:r>
      <w:r w:rsidRPr="00640820">
        <w:rPr>
          <w:rFonts w:ascii="Times New Roman" w:hAnsi="Times New Roman"/>
          <w:color w:val="000000" w:themeColor="text1"/>
          <w:sz w:val="16"/>
          <w:szCs w:val="16"/>
        </w:rPr>
        <w:t xml:space="preserve"> (И-7, 1933)- 22, И-15 (1934-35)- 49, ТБ-3 (1932-34)- 50, И-16 (1934-36)- 58, ДИ-6 (1936)- 10, ЦКБ-26 (1936)-1, ДБ-3 (1936-40), ДБ-ЗФ (1939-44)- всего 1588, БШ-2 (1939)- 2, ДБ-4 (1940)- 2, Пе-2 (1941-42)- 896 (764</w:t>
      </w:r>
      <w:r w:rsidRPr="00640820">
        <w:rPr>
          <w:rFonts w:ascii="Times New Roman" w:hAnsi="Times New Roman"/>
          <w:color w:val="000000" w:themeColor="text1"/>
          <w:sz w:val="16"/>
          <w:szCs w:val="16"/>
          <w:vertAlign w:val="superscript"/>
        </w:rPr>
        <w:t>31</w:t>
      </w:r>
      <w:r w:rsidRPr="00640820">
        <w:rPr>
          <w:rFonts w:ascii="Times New Roman" w:hAnsi="Times New Roman"/>
          <w:color w:val="000000" w:themeColor="text1"/>
          <w:sz w:val="16"/>
          <w:szCs w:val="16"/>
        </w:rPr>
        <w:t>), Пе-Збис (1941,43)- 209, Ер-2 (1943-45)- 391, Ил-6 (1943)- 1, Ту-2 (1947-50)- 218, «81» (Ту- 14, 1949)- 1, Ту-14 (1951-53)- 87,</w:t>
      </w:r>
      <w:r w:rsidRPr="00640820">
        <w:rPr>
          <w:rFonts w:ascii="Times New Roman" w:hAnsi="Times New Roman"/>
          <w:color w:val="000000" w:themeColor="text1"/>
          <w:sz w:val="16"/>
          <w:szCs w:val="16"/>
          <w:vertAlign w:val="superscript"/>
        </w:rPr>
        <w:t>31</w:t>
      </w:r>
      <w:r w:rsidRPr="00640820">
        <w:rPr>
          <w:rFonts w:ascii="Times New Roman" w:hAnsi="Times New Roman"/>
          <w:color w:val="000000" w:themeColor="text1"/>
          <w:sz w:val="16"/>
          <w:szCs w:val="16"/>
        </w:rPr>
        <w:t xml:space="preserve"> Ил-28 (1953-57)- 459,</w:t>
      </w:r>
      <w:r w:rsidRPr="00640820">
        <w:rPr>
          <w:rFonts w:ascii="Times New Roman" w:hAnsi="Times New Roman"/>
          <w:color w:val="000000" w:themeColor="text1"/>
          <w:sz w:val="16"/>
          <w:szCs w:val="16"/>
          <w:vertAlign w:val="superscript"/>
        </w:rPr>
        <w:t>31</w:t>
      </w:r>
      <w:r w:rsidRPr="00640820">
        <w:rPr>
          <w:rFonts w:ascii="Times New Roman" w:hAnsi="Times New Roman"/>
          <w:color w:val="000000" w:themeColor="text1"/>
          <w:sz w:val="16"/>
          <w:szCs w:val="16"/>
        </w:rPr>
        <w:t xml:space="preserve"> Ан-12 (1957-62)- 155, Як-28 (1959-71)- 737,</w:t>
      </w:r>
      <w:r w:rsidRPr="00640820">
        <w:rPr>
          <w:rFonts w:ascii="Times New Roman" w:hAnsi="Times New Roman"/>
          <w:color w:val="000000" w:themeColor="text1"/>
          <w:sz w:val="16"/>
          <w:szCs w:val="16"/>
          <w:vertAlign w:val="superscript"/>
        </w:rPr>
        <w:t>31</w:t>
      </w:r>
      <w:r w:rsidRPr="00640820">
        <w:rPr>
          <w:rFonts w:ascii="Times New Roman" w:hAnsi="Times New Roman"/>
          <w:color w:val="000000" w:themeColor="text1"/>
          <w:sz w:val="16"/>
          <w:szCs w:val="16"/>
        </w:rPr>
        <w:t xml:space="preserve"> Ан-24Т (1966-71)- 164, АН-24РТ (1966-71)- 62, МиГ-23УБ (1970-78), МиГ-27 (1973-77)- 560, МиГ -27К (1977-82)- 200, МиГ-27М (1978-83)- 150, Су-27УБ (1986-), Су-30 (1991-2004-), Як-112 (1993-), Бе-200 (1996, 1998-2007-)- 5, Як- 130 (2007-); оперение и воздухозаборники для Ту-160; опытная партия ракет 10Х (1940-е); катапультная установка АКУ-58-1 для Х-58 (1975-).</w:t>
      </w:r>
    </w:p>
    <w:p w14:paraId="093667C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Заводские №: 39010 (И-</w:t>
      </w:r>
      <w:r w:rsidRPr="00640820">
        <w:rPr>
          <w:rFonts w:ascii="Times New Roman" w:hAnsi="Times New Roman"/>
          <w:color w:val="000000" w:themeColor="text1"/>
          <w:sz w:val="16"/>
          <w:szCs w:val="16"/>
          <w:lang w:val="en-US"/>
        </w:rPr>
        <w:t>Z</w:t>
      </w:r>
      <w:r w:rsidRPr="00640820">
        <w:rPr>
          <w:rFonts w:ascii="Times New Roman" w:hAnsi="Times New Roman"/>
          <w:color w:val="000000" w:themeColor="text1"/>
          <w:sz w:val="16"/>
          <w:szCs w:val="16"/>
        </w:rPr>
        <w:t>, 1933 г.), 3039002 (ДБ-3), 10013901 (Ту-2); 390905 (Ил-4): 39- номер завода, 09- серия, 05- номер машины в серии; 3920903 (Як-28); 7910309 (Ан-24): 7- год выпуска, 9- номер завода, 1- тип изделия, 03- серия, 09- номер машины в серии (11982).</w:t>
      </w:r>
    </w:p>
    <w:p w14:paraId="0737630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2DDFBE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декабря 1941 г. иркутский авиазавод №125 имени Сталина по приказу НКАП № 1139 был официально объединен с дважды орденоносным заводом №39 имени Менжинского под название "Дважды орденоносный ордена Ленина и ордена Трудового Красного Знамени завод №39". Подобные метаморфозы происходили тогда по всему Союзу и логика перенумерований до сих пор не понятна. Но следует иметь в виду, что начиная с декабря 1941 г. завод №22 располагался уже не в подмосковных Филях, а в Казани, 39-й завод соответственно приобрел иркутскую "прописку".</w:t>
      </w:r>
    </w:p>
    <w:p w14:paraId="49166F6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1941 г. в связи с катастрофическим положением на фронтах и приближением фашистских войск к Москве вышло постановление Совета эвакуации (такой орган существовал с июля 1941 г.) за №14323сс о вывозе из Москвы старейшего авиазавода, увенчанного орденами Ленина и Трудового Красного Знамени - завода № 39 им. Менжинского.</w:t>
      </w:r>
    </w:p>
    <w:p w14:paraId="7CBD17E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станцию Иннокентьевская стали прибывать эшелоны со станками и людьми. Составы с грузовыми платформами загонялись по ветке непосредственно на территорию авиазавода, где начиналась разгрузка. Директором иркутского авиазавода в то время был назначен И.Б. Иосилович. Он вместе с главным инженером московского авиазавода В.И.Абрамовым возглавил процесс приема людей и оборудования. Четыре месяца длилась "перестановка" оборудования и расстановка людей.</w:t>
      </w:r>
    </w:p>
    <w:p w14:paraId="7D4A4C4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Москвы в Иркутск прибыло 17 000 человек сотрудников с членами семей. В поселке завода разместили две тысячи, еще тысячу человек отправили в Улан-Удэ на завод №99 (он в то время являлся филиалом 39-го завода). Остальным пришлось заселяться в самом Иркутске, где проводилось грандиозное "уплотнение". Для связи с заводом был даже изменен график движения пригородных поездов от городского вокзала до станции Иннокентьевская. На заводе открыли три 11 продуктовых магазина.</w:t>
      </w:r>
    </w:p>
    <w:p w14:paraId="265C76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Москвичам надо было привыкать жить в новой обстановке и непривычном климате.</w:t>
      </w:r>
    </w:p>
    <w:p w14:paraId="4432C78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Людям необходимо было притереться друг к другу, усвоить новые правила, привычки, даже традиции. В мирное время все это породило бы массу проблем, но в то время правил прагматизм, а не эмоции.</w:t>
      </w:r>
    </w:p>
    <w:p w14:paraId="6B1D6D4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Выбор Иркутска при эвакуации завода №39 был определен единством продукции - самолета Пе-2. Но некоторое время два завода существовали под одной крышей под разными номерами, каждый со своей производственной программой и службами. Нормальной такую ситуацию назвать было трудно.</w:t>
      </w:r>
    </w:p>
    <w:p w14:paraId="62F6BB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социальной точки зрения объединение давало выигрыш всем. Исчезло деление на "иркутян" и "москвичей", прекратились дрязги снабженцев. Технический уровень предприятия резко возрос благодаря усилению кадрового потенциала, расширению станочного парка и внедрению новых технологических процессов, происходил обмен опытом работы обоих коллективов. Наркомат оставил директором молодого, но уже опытного и инициативного Иосиловича, а главным инженером к нему назначил москвича с завода №39 - В.А. Абрамова.</w:t>
      </w:r>
    </w:p>
    <w:p w14:paraId="2E88B9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Слияние заводов №№125, 104 и 99 и эвакуация московского завода №39 резко увеличило производственные площади, численность оборудования и количество работающих. Если по состоянию на 1 января 1941 г. на 125-м заводе работало 7364 человека, а производственные площади равнялись 49 414 кв. м, то через год численность персонала возросла более чем вдвое - до 16 879 человек, а площадь завода превысила 111 тыс. кв. м.</w:t>
      </w:r>
    </w:p>
    <w:p w14:paraId="4E4D9F2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новому году предстояло построить четыре барака и сдать пять жилых домов, реконструировать баковый цех и начать строительство нового сборочного корпуса.</w:t>
      </w:r>
    </w:p>
    <w:p w14:paraId="12E0852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Постановка в серию Пе-2 сыграла роль мощного катализатора в технологическом развитии завода. С приездом москвичей и установкой их оборудования на заводе было широко внедрено в производство серно-кислотное анодирование дюралюминиевых деталей, сверление отверстий в хромансилиевых поясах до термообработки, цветное анодирование трубопроводов с помощью органических красителей и ряд других новых для иркутян процессов.</w:t>
      </w:r>
    </w:p>
    <w:p w14:paraId="4A60C9B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Работать приходилось в совершенно непривычном темпе. С началом войны НКАП ввел суточный график выпуска самолетов, за выполнением которого следил диспетчер, докладывавший утром наркому А.И. Шахурину о выполнении дневного плана по выпуску боевых машин, но сдаче их военпредам, по отгрузке на заводы отрасли моторов и пропеллеров. План на 1941 г. предусматривал выпуск на заводе №39 в Москве и на заводе №125 в Иркутске самолетов Пе-2 и параллельно с ними - тяжелых истребителей Пе-3.</w:t>
      </w:r>
    </w:p>
    <w:p w14:paraId="7E2638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Пе-3 отличался от базовой машины тремя дополнительными топливными баками в фюзеляже, отсутствием тормозных решеток и зашитой носовой частью фюзеляжа. Экипаж сократили до двух человек - летчика и штурмана (выполнявшего по совместительству функции стрелка). Вооружение Пе-3 состояло из двух пулеметов БК и трех пулеметов ШКАС, кроме того в перегрузочном варианте он мог нести до 700 кг бомб на внешней подвеске.</w:t>
      </w:r>
    </w:p>
    <w:p w14:paraId="1B4BF5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выпуску Пе-3 объединенный завод №39 отчитался теми машинами, которые были построены в августе-октябре 1941 г. еще в Москве, а всего до конца 1941 г. в Иркутске построили 196 самолетов Пе-2.</w:t>
      </w:r>
    </w:p>
    <w:p w14:paraId="4C062F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1942 г. заводу спустили план по выпуску 587 бомбардировщиков Пе-2. Из них в январе были построены 87 машин с темпом выпуска сначала два самолета в день, начиная с 5 января - три, а с 23 января темп возрос до пяти машин в сутки (12037).</w:t>
      </w:r>
    </w:p>
    <w:p w14:paraId="2459FC0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B27466E"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1CC5BD49"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8FB4C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декабря 1941 на 183 заводе в Нижнем Тагиле выпустили первые Т-34 (1031,13).</w:t>
      </w:r>
    </w:p>
    <w:p w14:paraId="0BAEA55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609F4F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декабря 1941 первые 25 танков Т-34 выпустил эвакуированный Харьковский тракторный завод (4962).</w:t>
      </w:r>
    </w:p>
    <w:p w14:paraId="070772F6"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D208E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декабря 1941 года Уральским танковым заводом был выпущен первый танк Т-34 (9154).</w:t>
      </w:r>
    </w:p>
    <w:p w14:paraId="6BAD69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6C1BBE9" w14:textId="77777777" w:rsidR="001E6A20" w:rsidRPr="00640820" w:rsidRDefault="001E6A20"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8 декабря</w:t>
      </w:r>
      <w:r w:rsidRPr="00640820">
        <w:rPr>
          <w:rFonts w:ascii="Times New Roman" w:hAnsi="Times New Roman"/>
          <w:color w:val="000000" w:themeColor="text1"/>
          <w:sz w:val="16"/>
          <w:szCs w:val="16"/>
        </w:rPr>
        <w:t xml:space="preserve"> в 1941 году в Нижнем Тагиле, на заводе N183 (создан на базе Уралвагонзавода и эвакуированного из Харькова завода N183 имени Коминтерна) из "харьковского" запаса деталей собраны первые 25 танков Т-34 (14854).</w:t>
      </w:r>
    </w:p>
    <w:p w14:paraId="0152C805" w14:textId="77777777" w:rsidR="001E6A20" w:rsidRPr="00640820" w:rsidRDefault="001E6A20" w:rsidP="00640820">
      <w:pPr>
        <w:spacing w:after="0" w:line="240" w:lineRule="auto"/>
        <w:jc w:val="both"/>
        <w:rPr>
          <w:rFonts w:ascii="Times New Roman" w:hAnsi="Times New Roman"/>
          <w:color w:val="000000" w:themeColor="text1"/>
          <w:sz w:val="16"/>
          <w:szCs w:val="16"/>
        </w:rPr>
      </w:pPr>
    </w:p>
    <w:p w14:paraId="5FD00A5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декабря 1941 г. в Нижнем Тагиле на УВЗ был собран первый танк Т-34, а к 31 декабря военным представителям были переданы 25 боевых ма</w:t>
      </w:r>
      <w:r w:rsidRPr="00640820">
        <w:rPr>
          <w:rFonts w:ascii="Times New Roman" w:hAnsi="Times New Roman"/>
          <w:color w:val="000000" w:themeColor="text1"/>
          <w:sz w:val="16"/>
          <w:szCs w:val="16"/>
        </w:rPr>
        <w:softHyphen/>
        <w:t>шин, собранных из деталей и узлов, привезенных из Харькова. К янва</w:t>
      </w:r>
      <w:r w:rsidRPr="00640820">
        <w:rPr>
          <w:rFonts w:ascii="Times New Roman" w:hAnsi="Times New Roman"/>
          <w:color w:val="000000" w:themeColor="text1"/>
          <w:sz w:val="16"/>
          <w:szCs w:val="16"/>
        </w:rPr>
        <w:softHyphen/>
        <w:t>рю 1942 г. в чертежи деталей танка заводом № 183 было внесено разных конструктивных изменений, упрощающих их изготовление, по 770 наи</w:t>
      </w:r>
      <w:r w:rsidRPr="00640820">
        <w:rPr>
          <w:rFonts w:ascii="Times New Roman" w:hAnsi="Times New Roman"/>
          <w:color w:val="000000" w:themeColor="text1"/>
          <w:sz w:val="16"/>
          <w:szCs w:val="16"/>
        </w:rPr>
        <w:softHyphen/>
        <w:t>менованиям. Кроме того, на танке было отменено (без замены другими деталями) 1265 наименований или 5641 деталь, сокращена на 20% но</w:t>
      </w:r>
      <w:r w:rsidRPr="00640820">
        <w:rPr>
          <w:rFonts w:ascii="Times New Roman" w:hAnsi="Times New Roman"/>
          <w:color w:val="000000" w:themeColor="text1"/>
          <w:sz w:val="16"/>
          <w:szCs w:val="16"/>
        </w:rPr>
        <w:softHyphen/>
        <w:t>менклатура применявшихся на танке нормалей, отменено 206 наимено</w:t>
      </w:r>
      <w:r w:rsidRPr="00640820">
        <w:rPr>
          <w:rFonts w:ascii="Times New Roman" w:hAnsi="Times New Roman"/>
          <w:color w:val="000000" w:themeColor="text1"/>
          <w:sz w:val="16"/>
          <w:szCs w:val="16"/>
        </w:rPr>
        <w:softHyphen/>
        <w:t>ваний покупных изделий. Трудоемкость по механической обработке бронедеталей корпуса танка была снижена с 260 до 80 нормо-часов (10703).</w:t>
      </w:r>
    </w:p>
    <w:p w14:paraId="4B2A3B2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2BE9F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декабря 1941 года УВЗ собрал на новом месте 25 танков, положив начало танковому производству в Нижнем Тагиле. Но собраны эти танки были из деталей, привезённых из Харькова. Заводу ещё только предстояло организовать полноценное производство, и именно здесь встретились наибольшие затруднения. В феврале эти затруднения привели к тому, что директор завода Ю. Е. Максарёв лишился своей должности ( впрочем, ненадолго, всего на несколько месяцев), уступив её директору Кировского завода И. М. Зальцману. Новый директор провёл ряд энергичных мер, и в марте месячное производство завода превысило производство в Харькове.</w:t>
      </w:r>
    </w:p>
    <w:p w14:paraId="65BA5A7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этом фоне неплохо выглядят результаты эвакуации Мариупольского завода имени Ильича. Там с самого начала ориентировались на то, что вывозить надо в первую очередь ценное и уникальное оборудование, которого на заводе было немало. Ещё в июле специальным постановлением ГКО заводу приказывалось вывести уникальный прокатный стан с диаметром вальцов 1250 миллиметров. Этот гигантский прокатный стан был создан для проката брони для так и не построенных линкоров типа “Советский Союз”. Для того, чтобы вывезти этого гиганта, потребовалось 800 вагонов. Впрочем, и без этого гигантского прокатного стана на заводе было немало ценного оборудования, которое пришлось эвакуировать в сентябре – октябре 1941. Например, это гигантский пресс фирмы “Шлеман”, весивший 2.300 тонн и создававший давление в 15.000 тонн. Его тоже удалось вывезти. Кроме того, были полностью эвакуированы два прокатных стана, ещё один был вывезен частично, а от трёх были вывезены отдельные детали. Было вывезено немало другого уникального оборудования. Из цеха № 100, занятого производством танковых корпусов, вывезли 5 прессов, 40 шлифовальных машин, 20 огнерезных машин для резки бронелиста, 62 металлообрабатывающих станка. Из других цехов было вывезено 5 мартеновских печей ,179 единиц другого оборудования (11510).</w:t>
      </w:r>
    </w:p>
    <w:p w14:paraId="392CEB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B5F2B9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декабря 1941 года заводе № 183 собрал на новом месте 25 танков, положив начало танковому производству в Нижнем Тагиле. Но собраны эти танки были из деталей, привезённых из Харькова. Заводу ещё только предстояло организовать полноценное производство, и именно здесь встретились наибольшие затруднения. Возможно, директор завода Ю. Е. Максарёв слишком торопился выгрузить станки и объявить об их вводе в строй, и в результате не было продумано размещение оборудования. В феврале трудности с производством танков привели к тому, что директор завода лишился своей должности (впрочем, ненадолго, всего на несколько месяцев), уступив её директору Кировского завода И. М. Зальцману. Новый директор провёл ряд энергичных мер, и в марте месячное производство завода превысило производство в Харькове (12290).</w:t>
      </w:r>
    </w:p>
    <w:p w14:paraId="5D18B71E"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1835E3A0" w14:textId="77777777" w:rsidR="00904B18" w:rsidRPr="00640820" w:rsidRDefault="00904B1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8 декабря 1941 г. завод № 183  собрал на новом месте 25 танков, положив начало танковому производству в Нижнем Тагиле. Но собраны эти танки были из деталей, привезённых из Харькова. Заводу ещё только предстояло организовать полноценное производство, и именно здесь встретились наибольшие затруднения. Возможно, директор завода Ю. Е. Максарёв слишком торопился выгрузить станки и объявить об их вводе в строй, и в результате не было продумано размещение оборудования. В феврале трудности с производством танков привели к тому, что директор завода лишился своей должности (впрочем, ненадолго, всего на несколько месяцев), уступив её директору Кировского завода И. М. Зальцману. Новый директор провёл ряд энергичных мер, и в марте месячное производство завода превысило производство в Харькове </w:t>
      </w:r>
      <w:r w:rsidR="00401AC5" w:rsidRPr="00640820">
        <w:rPr>
          <w:rFonts w:ascii="Times New Roman" w:hAnsi="Times New Roman"/>
          <w:color w:val="000000" w:themeColor="text1"/>
          <w:sz w:val="16"/>
          <w:szCs w:val="16"/>
        </w:rPr>
        <w:t>(19807</w:t>
      </w:r>
      <w:r w:rsidRPr="00640820">
        <w:rPr>
          <w:rFonts w:ascii="Times New Roman" w:hAnsi="Times New Roman"/>
          <w:color w:val="000000" w:themeColor="text1"/>
          <w:sz w:val="16"/>
          <w:szCs w:val="16"/>
        </w:rPr>
        <w:t>).</w:t>
      </w:r>
    </w:p>
    <w:p w14:paraId="666A2FEA" w14:textId="77777777" w:rsidR="00904B18" w:rsidRPr="00640820" w:rsidRDefault="00904B18" w:rsidP="00640820">
      <w:pPr>
        <w:spacing w:after="0" w:line="240" w:lineRule="auto"/>
        <w:jc w:val="both"/>
        <w:rPr>
          <w:rFonts w:ascii="Times New Roman" w:hAnsi="Times New Roman"/>
          <w:color w:val="000000" w:themeColor="text1"/>
          <w:sz w:val="16"/>
          <w:szCs w:val="16"/>
        </w:rPr>
      </w:pPr>
    </w:p>
    <w:p w14:paraId="12BD0618" w14:textId="77777777" w:rsidR="00F83395" w:rsidRPr="00640820" w:rsidRDefault="00F833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8 декабря 1941 264 завод своим ходом покинуло первые пять Т-60, ушедших в 21-й и 22-й запасные учебные танковые полки. Всего же за декабрь 1941 года в Красноармейске успели сдать 45 машин. Завод № 264 стал вторым после Горьковского автозавода предприятием, запустившим столь нужный армии малый танк в крупную серию.</w:t>
      </w:r>
    </w:p>
    <w:p w14:paraId="789F7146" w14:textId="77777777" w:rsidR="00F83395" w:rsidRPr="00640820" w:rsidRDefault="00F833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Отдельно стоит упомянуть продукцию завода «Красный Октябрь». Несмотря на то что Т-60 в основном был сварной конструкции, его корпус имел и клёпаные соединения. Например, половинки бортов собирались именно на клёпках. Хватало клёпок и в других местах: они использовались при креплении главной передачи, соединении листов днища, установке буксирных крюков, «ресничек» смотровых приборов корпуса и башни, петель люков и т. д. Кроме того, хватало и штампованных деталей, некоторые из них имели сложную форму. Специфика производства на «Красном Октябре» привела к тому, что вместо клёпок здесь применялась сварка, местами довольно грубо выглядящая (17677).</w:t>
      </w:r>
    </w:p>
    <w:p w14:paraId="17C9913A" w14:textId="77777777" w:rsidR="00F83395" w:rsidRPr="00640820" w:rsidRDefault="00F83395" w:rsidP="00640820">
      <w:pPr>
        <w:spacing w:after="0" w:line="240" w:lineRule="auto"/>
        <w:jc w:val="both"/>
        <w:rPr>
          <w:rFonts w:ascii="Times New Roman" w:hAnsi="Times New Roman"/>
          <w:color w:val="000000" w:themeColor="text1"/>
          <w:sz w:val="16"/>
          <w:szCs w:val="16"/>
        </w:rPr>
      </w:pPr>
    </w:p>
    <w:p w14:paraId="2AD52F3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декабря 1941 Начали свою деятельность в Томске заводы «Москабель» и «Электропровод», размещенные в Доме пауки им. Макушина и электромеханическом техникуме. Позже на их основе был создан завод «Томкабель» (11858).</w:t>
      </w:r>
    </w:p>
    <w:p w14:paraId="4F81465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D737C8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декабря 1941 г. начали действовать на новом месте заводы «Томкабель» и «Сибкабель», созданные в Томске на площади Дома науки им. Макушина и электромеханического техникума, куда были эвакуированы московские заводы «Москабель» и «Электропровод». По распоряжению СНК № 12506-р от 7.07.1942 г. они объединены в ГС кабельный завод «Сибкабель» в ведении ГУ электрокабельной промышленности НКЭП. По приказу НКЭП № МК-325 от 15.08.1942 г. завод «Сибкабель» переименован в ГС завод № 631. 12.06.1954 г. завод № 631 (ГС завод № 631 НКЭП, ГС кабельный завод «Сибкабель» НКЭП, Томский кабельный завод («Томкабель») МЭТП /634059  г. Томск ул. Смирнова, 3/) переименован в Томский кабельный завод «Томкабель» МЭТП.</w:t>
      </w:r>
    </w:p>
    <w:p w14:paraId="427C03A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04.1952 г. на базе завода создан НИИ кабельной промышленности.</w:t>
      </w:r>
    </w:p>
    <w:p w14:paraId="2AA41C1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1955 г. в состав завода влит завод № 673. С 07.1957 г. «Томкабель»- в ведении Томского СНХ, с 03.1963 г. - в ведении Управления электротехнической промышленности Западно-Сибирского совнархоза.</w:t>
      </w:r>
      <w:r w:rsidRPr="00640820">
        <w:rPr>
          <w:rFonts w:ascii="Times New Roman" w:hAnsi="Times New Roman"/>
          <w:color w:val="000000" w:themeColor="text1"/>
          <w:sz w:val="16"/>
          <w:szCs w:val="16"/>
          <w:vertAlign w:val="superscript"/>
        </w:rPr>
        <w:t>80</w:t>
      </w:r>
      <w:r w:rsidRPr="00640820">
        <w:rPr>
          <w:rFonts w:ascii="Times New Roman" w:hAnsi="Times New Roman"/>
          <w:color w:val="000000" w:themeColor="text1"/>
          <w:sz w:val="16"/>
          <w:szCs w:val="16"/>
        </w:rPr>
        <w:t xml:space="preserve"> С 1966 г.- вновь в ведении МЭТП.</w:t>
      </w:r>
    </w:p>
    <w:p w14:paraId="74D782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1971 г. на базе заводов «Томкабель», «Эмальпровод», «Металлист» ( г. Колпашево Томской обл.) и НИИ кабельной промышленности с опытным производством создано ПО «Сибкабель» МЭТП.</w:t>
      </w:r>
    </w:p>
    <w:p w14:paraId="0AB8BC1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кабели: силовые, шахтные, морские; электропровод.</w:t>
      </w:r>
    </w:p>
    <w:p w14:paraId="6C144F8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НИИ Кабельной промышленности МЭТП</w:t>
      </w:r>
    </w:p>
    <w:p w14:paraId="623B45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 в 04.1952 г. на базе завода «Томкабель». В 1971 г. НИИ с опытным производством вошел в состав ПО «Сибкабель». Был в 2002 г.</w:t>
      </w:r>
    </w:p>
    <w:p w14:paraId="16DDBC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«Сибкабель» МЭТП, НПО, АППО, АОЗТ, ЗАО «Сибкабель» /643003  г. Томск ул. Пушкина, 46/ /Московское представительство:  г. Москва ш. Энтузиастов, 5/</w:t>
      </w:r>
    </w:p>
    <w:p w14:paraId="53895FE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ПО «Сибкабель» МЭТП создано в 1971 г. на базе заводов «Томкабель», «Эмальпровод», «Металлист» ( г. Колпашево Томской обл.) и НИИ кабельной промышленности с опытным производством. В 1992 г. предприятие преобразовано в АОЗТ «Сибкабель» (11982).</w:t>
      </w:r>
    </w:p>
    <w:p w14:paraId="5830A1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CB4100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декабря 1941 вышло Постановление ГКО № 1003 О строительстве железнодорожной линии Кизляр - Астрахань. (7017, 71).</w:t>
      </w:r>
    </w:p>
    <w:p w14:paraId="02D86F4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32E0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декабря 1941 СНК принял постановление "О развитии добычи угля в восточных районах СССР" (338,27).</w:t>
      </w:r>
    </w:p>
    <w:p w14:paraId="6ECBF3F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 ЗК поработали</w:t>
      </w:r>
    </w:p>
    <w:p w14:paraId="215BA6F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42065C2"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79ECA721"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6D48D29" w14:textId="77777777" w:rsidR="001E6A20" w:rsidRPr="00640820" w:rsidRDefault="001E6A20"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8 декабря</w:t>
      </w:r>
      <w:r w:rsidRPr="00640820">
        <w:rPr>
          <w:rFonts w:ascii="Times New Roman" w:hAnsi="Times New Roman"/>
          <w:color w:val="000000" w:themeColor="text1"/>
          <w:sz w:val="16"/>
          <w:szCs w:val="16"/>
        </w:rPr>
        <w:t xml:space="preserve"> в 1941 году утреннее сообщение Совинформбюро:</w:t>
      </w:r>
    </w:p>
    <w:p w14:paraId="23380E3A" w14:textId="77777777" w:rsidR="001E6A20" w:rsidRPr="00640820" w:rsidRDefault="001E6A2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8 декабря наши войска вели бои с противником на всех фронтах.</w:t>
      </w:r>
    </w:p>
    <w:p w14:paraId="3886809E" w14:textId="77777777" w:rsidR="001E6A20" w:rsidRPr="00640820" w:rsidRDefault="001E6A2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Часть тов. Голубева, действующая на одном из участков Западного фронта, в ожесточённом бою с противником захватила 8 немецких танков, 4 орудия, 4 миномёта, несколько автомашин и истребила около 1.000 вражеских солдат и офицеров. На другом участке фронта бойцы тов. Говорова за три дня боёв захватили 17 немецких танков, 17 орудий, 20 миномётов и много других трофеев.</w:t>
      </w:r>
    </w:p>
    <w:p w14:paraId="1B00F40F" w14:textId="77777777" w:rsidR="001E6A20" w:rsidRPr="00640820" w:rsidRDefault="001E6A2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Бойцы тов. Филиппова отбили на одном из участков Южного фронта две ожесточённые контратаки противника и уничтожили семь вражеских танков.</w:t>
      </w:r>
    </w:p>
    <w:p w14:paraId="0E9FA1F1" w14:textId="77777777" w:rsidR="001E6A20" w:rsidRPr="00640820" w:rsidRDefault="001E6A2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Медицинская сестра тов. Масютина вынесла с поля боя 35 раненых бойцов с их оружием.</w:t>
      </w:r>
    </w:p>
    <w:p w14:paraId="1D1460C3" w14:textId="77777777" w:rsidR="001E6A20" w:rsidRPr="00640820" w:rsidRDefault="001E6A2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Письма от родных и знакомых, обнаруженные у убитых и пленных немецких солдат, свидетельствуют о дальнейшем ухудшении продовольственного положения Германии. Жена солдата Пауля Сайферта пишет мужу: «Карточки служат теперь заменителями продовольствия: вместо хлеба, жиров и овощей мы получаем много различных карточек. Их выдают нам очень аккуратно, но по ним ничего нельзя получить. За последние четыре дня я не получила ни крошки хлеба, хотя простояла добрую полсотню часов в очередях. Будет ли когда-нибудь конец этому? Долго ли ещё будут морить нас и наших детей голодом?». Такого же содержания письмо получил Адольф Бюргер от матери. Она пишет сыну: «Мы голодаем, как никогда. Продукты совсем исчезли. Их нельзя купить даже за большие деньги».</w:t>
      </w:r>
    </w:p>
    <w:p w14:paraId="31D0D3E2" w14:textId="77777777" w:rsidR="001E6A20" w:rsidRPr="00640820" w:rsidRDefault="001E6A2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Самоотверженно работают трудящиеся Горьковской области, с каждым днём увеличивая производство всего необходимого для фронта. Свыше 60 бригад завода имени Молотова выполняют план на 200 и более процентов. Стахановец завода тов. Шубин дает по 9-10 норм в смену. На заводе имени Ленина бригада цеха № 1 тов. Гаврюшиной выполнила одно важное задание за одни сутки вместо трёх суток по плану. Машинист депо Горький-Сортировочная тов. Бризов со своей бригадой провёл тяжеловесный поезд с превышением нормы груза на 300 тонн. Стахановцы артели имени Штанге (город Павлов) тт. Неудачин, Власов, Сорокин и Найдёнов ежедневно выпускают продукции для фронта столько, сколько в мирное время давали 30 человек. Успешно работает и колхозное крестьянство Горьковской области. Колхозы и совхозы перевыполнили план сева зерновых. В 1941 году поголовье крупного рогатого скота в колхозах области увеличилось на 16,1 процента, свиней — на 39,6 процента, овец — на 34,7 процента. Рабочие, колхозники и интеллигенция области внесли в фонд обороны СССР свыше 20 миллионов рублей и дали для Красной Армии полмиллиона разных тёплых вещей. Колхозники Пыщугского района ежемесячно отчисляют в фонд обороны СССР по однодневному заработку. Кроме того, они сдали в фонд обороны 100 голов скота, 100 центнеров зерна и внесли 57 тысяч рублей деньгами.» (14854).</w:t>
      </w:r>
    </w:p>
    <w:p w14:paraId="335D6409" w14:textId="77777777" w:rsidR="001E6A20" w:rsidRPr="00640820" w:rsidRDefault="001E6A20" w:rsidP="00640820">
      <w:pPr>
        <w:spacing w:after="0" w:line="240" w:lineRule="auto"/>
        <w:jc w:val="both"/>
        <w:rPr>
          <w:rFonts w:ascii="Times New Roman" w:hAnsi="Times New Roman"/>
          <w:color w:val="000000" w:themeColor="text1"/>
          <w:sz w:val="16"/>
          <w:szCs w:val="16"/>
        </w:rPr>
      </w:pPr>
    </w:p>
    <w:p w14:paraId="20D38C6E" w14:textId="77777777" w:rsidR="001E6A20" w:rsidRPr="00640820" w:rsidRDefault="001E6A20"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8 декабря</w:t>
      </w:r>
      <w:r w:rsidRPr="00640820">
        <w:rPr>
          <w:rFonts w:ascii="Times New Roman" w:hAnsi="Times New Roman"/>
          <w:color w:val="000000" w:themeColor="text1"/>
          <w:sz w:val="16"/>
          <w:szCs w:val="16"/>
        </w:rPr>
        <w:t xml:space="preserve"> в 1941 году вечернее сообщение Совинформбюро:</w:t>
      </w:r>
    </w:p>
    <w:p w14:paraId="6EBF25A9" w14:textId="77777777" w:rsidR="001E6A20" w:rsidRPr="00640820" w:rsidRDefault="001E6A2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8 декабря наши войска вели бои с противником на всех фронтах. На ряде участков ЗАПАДНОГО фронта наши части контратаками нанесли немецким войскам большой урон в живой силе и технике и выбили противника из ряда населённых пунктов.</w:t>
      </w:r>
    </w:p>
    <w:p w14:paraId="3614AC19" w14:textId="77777777" w:rsidR="001E6A20" w:rsidRPr="00640820" w:rsidRDefault="001E6A2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7 декабря уничтожено 44 немецких самолёта. Наши потери — 11 самолётов.</w:t>
      </w:r>
    </w:p>
    <w:p w14:paraId="521AFD8B" w14:textId="77777777" w:rsidR="001E6A20" w:rsidRPr="00640820" w:rsidRDefault="001E6A2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7 декабря под Москвой было сбито не 5 немецких самолётов, как об этом сообщалось ранее, а 11 немецких самолётов.</w:t>
      </w:r>
    </w:p>
    <w:p w14:paraId="707D9BC1" w14:textId="77777777" w:rsidR="001E6A20" w:rsidRPr="00640820" w:rsidRDefault="001E6A2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Нашими кораблями в Чёрном море потоплен транспорт противника водоизмещением в 4.000 тонн.</w:t>
      </w:r>
    </w:p>
    <w:p w14:paraId="1DCD2849" w14:textId="77777777" w:rsidR="001E6A20" w:rsidRPr="00640820" w:rsidRDefault="001E6A2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7 декабря нашей авиацией уничтожено и повреждено 128 немецких танков, 940 автомашин с войсками и грузами, 200 подвод с боеприпасами, 12 автоцистерн с горючим, 19 полевых и зенитных орудий, истреблено или рассеяно свыше 3 полков вражеской пехоты.</w:t>
      </w:r>
    </w:p>
    <w:p w14:paraId="628F4505" w14:textId="77777777" w:rsidR="001E6A20" w:rsidRPr="00640820" w:rsidRDefault="001E6A2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Наша часть, действующая на одном из участков Западного фронта, за 6 дней боёв уничтожила 36 немецких танков, 119 автомашин с военными грузами, 166 мотоциклов, 17 полевых орудий, 15 миномётов, 8 станковых пулемётов, 8 противотанковых орудий, 8 легковых автомашин и 64 переносные рации.</w:t>
      </w:r>
    </w:p>
    <w:p w14:paraId="2D57BC1D" w14:textId="77777777" w:rsidR="001E6A20" w:rsidRPr="00640820" w:rsidRDefault="001E6A2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Бойцы тов. Гордона на одном из участков Юго-Западного фронта окружили четыре села, занятых немцами, и истребили находившихся в них до 2.000 солдат и офицеров противника. Захвачено 35 пулемётов и другие трофеи.</w:t>
      </w:r>
    </w:p>
    <w:p w14:paraId="19D88293" w14:textId="77777777" w:rsidR="001E6A20" w:rsidRPr="00640820" w:rsidRDefault="001E6A2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прифронтовых районах Донбасса, захваченных немецкими оккупантами, успешно действуют партизанские отряды. Недавно партизаны прислали письмо о своих боевых делах. Приводим выдержки из этого письма.</w:t>
      </w:r>
    </w:p>
    <w:p w14:paraId="2215F34F" w14:textId="77777777" w:rsidR="001E6A20" w:rsidRPr="00640820" w:rsidRDefault="001E6A2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ноября. Очистили лес от банды, посланной фашистами для уничтожения партизан.</w:t>
      </w:r>
    </w:p>
    <w:p w14:paraId="3F23D020" w14:textId="77777777" w:rsidR="001E6A20" w:rsidRPr="00640820" w:rsidRDefault="001E6A2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ноября. Произвели налёт на село П., где уничтожили 40 фашистов.</w:t>
      </w:r>
    </w:p>
    <w:p w14:paraId="5BF43ED4" w14:textId="77777777" w:rsidR="001E6A20" w:rsidRPr="00640820" w:rsidRDefault="001E6A2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ноября. Совершили налёт на село Б. Убито 15 фашистов.</w:t>
      </w:r>
    </w:p>
    <w:p w14:paraId="441B37BD" w14:textId="77777777" w:rsidR="001E6A20" w:rsidRPr="00640820" w:rsidRDefault="001E6A2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ноября. После обстрела советскими артиллеристами немецкой колонны мы ударили с тыла по отступающему врагу и захватили две повозки штаба 176 артиллерийского полка фашистов, пулемёт, автомат, карты и ряд других документов.</w:t>
      </w:r>
    </w:p>
    <w:p w14:paraId="633616A3" w14:textId="77777777" w:rsidR="001E6A20" w:rsidRPr="00640820" w:rsidRDefault="001E6A2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ноября. Произвели вторичный налёт на село Б., где немцы вели подготовку к наступлению. В завязавшемся бою уничтожили до 100 немецких солдат и офицеров.</w:t>
      </w:r>
    </w:p>
    <w:p w14:paraId="2D0F6846" w14:textId="77777777" w:rsidR="001E6A20" w:rsidRPr="00640820" w:rsidRDefault="001E6A2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ноября. Ударили по немцам с тыла в тот момент, когда они атаковали расположение одного из подразделений Красной Армии, нанесли немцам большой урон, забрали пулемёт, миномёт и одно противотанковое орудие».</w:t>
      </w:r>
    </w:p>
    <w:p w14:paraId="431FFEFA" w14:textId="77777777" w:rsidR="001E6A20" w:rsidRPr="00640820" w:rsidRDefault="001E6A2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«Сообщения об огромных потерях немецко-фашистской армии на Восточном фронте приводят в удручающее состояние население Германии. Приводим краткие выдержки из писем, посланных из германского тыла на фронт. Солдату Максу пишет его невеста Анни из Алленштейна: «Убит второй брат Люси, младший. 14 июля был убит Стефан, а теперь уже второй. Мать Люси лежала 2 дня в конвульсиях...». Солдат Альберт получил от своей знакомой Физилер письмо следующего содержания: «Что Майзель убит, вы, наверное, уже знаете. Единственный сын Лохнера тоже убит. Многие наши знакомые уже погибли. В Мюнстере-Шварцахе в монастыре устроен лазарет. Там сейчас около 350 раненых. Да, Россия стоит нам больше жертв, чем все остальные войны вместе взятые». Солдату Ленцу пишет его жена: «Вчера две мои лучшие подруги были вне себя от горя: они получили с фронта официальные извещения, а ты ведь знаешь, каково теперь их содержание». Невеста солдата Папперль сообщает своему жениху: «Каждый день приходится без конца слушать о том, что много немецких солдат погибает». Унтер-офицеру Гергарду Леману пишет его знакомая Гильдегард: «...Когда же, наконец, всё это кончится? Брат Габриэля и сын Эдлиха убиты. Кунтер лежит тяжело раненный в лазарете». Отец ефрейтора Зигфрида Бокелоха извещает сына: «Фриц Гольштейн из Тоденмана убит, а его брат сидит в крепости за дезертирство...».</w:t>
      </w:r>
    </w:p>
    <w:p w14:paraId="3D85837A" w14:textId="77777777" w:rsidR="001E6A20" w:rsidRPr="00640820" w:rsidRDefault="001E6A2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Немецко-фашистские мерзавцы продолжают истреблять население Прибалтики. В Риге гестапо организовало специальный суд, который за десять дней своей деятельности приговорил 62З человека к расстрелу и 1.235 человек к многолетнему заключению в концентрационных лагерях. 29 ноября суд приговорил 11 жителей Риги к расстрелу за отказ внести по 500 марок в фонд «народной помощи». В Апе фашисты арестовали группу жителей, не сдавших для германской армии лыжи и лыжные костюмы. Из 9 человек двое расстреляны, а остальные сосланы в концентрационные лагери.»</w:t>
      </w:r>
    </w:p>
    <w:p w14:paraId="4611C42C" w14:textId="77777777" w:rsidR="001E6A20" w:rsidRPr="00640820" w:rsidRDefault="001E6A2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последний час.</w:t>
      </w:r>
    </w:p>
    <w:p w14:paraId="329FB88E" w14:textId="77777777" w:rsidR="001E6A20" w:rsidRPr="00640820" w:rsidRDefault="001E6A2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Еще удар по войскам врага.</w:t>
      </w:r>
    </w:p>
    <w:p w14:paraId="347800FE" w14:textId="77777777" w:rsidR="001E6A20" w:rsidRPr="00640820" w:rsidRDefault="001E6A2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«Дней десять назад группа немецких войск генерала Шмидта, действующая на юго-востоке от Ленинграда, захватила г. Тихвин и близлежащие районы. Немцы ставили себе целью прервать сообщение между Ленинградом и Волховским районом и тем поставить ленинградские войска в критическое положение. В течение 10 дней шла борьба за Тихвин с переменным успехом. Вчера, 9 декабря, наши войска во главе с генералом армии тов. МЕРЕЦКОВЫМ наголову разбили войска генерала Шмидта и заняли г. Тихвин. В боях за Тихвин разгромлены 12 танковая, 18 моторизованная и 61 пехотная дивизии противника. Немцы оставили на поле боя более 7000 трупов. Остатки этих дивизий, переодевшись в крестьянское платье и бросив вооружение, разбежались в лесах в сторону Будогощь. Захвачены большие трофеи, которые подсчитываются.» (14854).</w:t>
      </w:r>
    </w:p>
    <w:p w14:paraId="7ACAEF34" w14:textId="77777777" w:rsidR="001E6A20" w:rsidRPr="00640820" w:rsidRDefault="001E6A20" w:rsidP="00640820">
      <w:pPr>
        <w:spacing w:after="0" w:line="240" w:lineRule="auto"/>
        <w:jc w:val="both"/>
        <w:rPr>
          <w:rFonts w:ascii="Times New Roman" w:hAnsi="Times New Roman"/>
          <w:color w:val="000000" w:themeColor="text1"/>
          <w:sz w:val="16"/>
          <w:szCs w:val="16"/>
        </w:rPr>
      </w:pPr>
    </w:p>
    <w:p w14:paraId="5647A369" w14:textId="77777777" w:rsidR="001E6A20" w:rsidRPr="00640820" w:rsidRDefault="001E6A20"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8 декабря</w:t>
      </w:r>
      <w:r w:rsidRPr="00640820">
        <w:rPr>
          <w:rFonts w:ascii="Times New Roman" w:hAnsi="Times New Roman"/>
          <w:color w:val="000000" w:themeColor="text1"/>
          <w:sz w:val="16"/>
          <w:szCs w:val="16"/>
        </w:rPr>
        <w:t xml:space="preserve"> в 1941 году рождение авиационной гвардии. Шесть полков ВВС переименованы в гвардейские. 29-й истребительный авиационный полк в 1-й гвардейский истребительный авиационный полк.526-й истребительный авиационный полк в 2-й гвардейский истребительный авиационный полк. 155-й истребительный авиационный полк в 3-й гвардейский истребительный авиационный полк. 31-й бомбардировочный авиационный полк в 4-й гвардейский бомбардировочный авиационный полк. 129-й истребительный авиационный полк в 5-й гвардейский истребительный авиационный полк. 215-й штурмовой авиационный полк в 6-й гвардейский штурмовой авиационный полк (14854).</w:t>
      </w:r>
    </w:p>
    <w:p w14:paraId="1554E75C" w14:textId="77777777" w:rsidR="001E6A20" w:rsidRPr="00640820" w:rsidRDefault="001E6A20" w:rsidP="00640820">
      <w:pPr>
        <w:spacing w:after="0" w:line="240" w:lineRule="auto"/>
        <w:jc w:val="both"/>
        <w:rPr>
          <w:rFonts w:ascii="Times New Roman" w:hAnsi="Times New Roman"/>
          <w:color w:val="000000" w:themeColor="text1"/>
          <w:sz w:val="16"/>
          <w:szCs w:val="16"/>
        </w:rPr>
      </w:pPr>
    </w:p>
    <w:p w14:paraId="753C83B1"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декабря 1941 года Приказ по войскам Западного фронта содержит такие примеры: «</w:t>
      </w:r>
      <w:r w:rsidRPr="00640820">
        <w:rPr>
          <w:rStyle w:val="af0"/>
          <w:rFonts w:ascii="Times New Roman" w:hAnsi="Times New Roman"/>
          <w:i w:val="0"/>
          <w:color w:val="000000" w:themeColor="text1"/>
          <w:sz w:val="16"/>
          <w:szCs w:val="16"/>
        </w:rPr>
        <w:t xml:space="preserve">Введенный 3.12.41 в действие огневой вал на фронте 5-й армии горел в течение 4 часов, высота пламени достигала 2–3 метров, а местами 4–5 метров. Танки противника вынуждены были изменить боевой курс и двигаться вдоль фронта обороны, подставив под огонь ПТО наиболее уязвимую (боковую) часть, в результате чего артиллерией и противотанковыми ружьями, бутылками и огнеметами перед валом </w:t>
      </w:r>
      <w:r w:rsidRPr="00640820">
        <w:rPr>
          <w:rStyle w:val="af0"/>
          <w:rFonts w:ascii="Times New Roman" w:hAnsi="Times New Roman"/>
          <w:i w:val="0"/>
          <w:color w:val="000000" w:themeColor="text1"/>
          <w:sz w:val="16"/>
          <w:szCs w:val="16"/>
        </w:rPr>
        <w:lastRenderedPageBreak/>
        <w:t>было уничтожено до 20 танков противника. Заграждения, устроенные из бутылок с горючей жидкостью, задержали движение танков противника, а часть из них на этих полях загорелась. Всего бутылочных полей на фронте 5-й армии было устроено 15 с общим расходом бутылок до 70 000 штук</w:t>
      </w:r>
      <w:r w:rsidRPr="00640820">
        <w:rPr>
          <w:rFonts w:ascii="Times New Roman" w:hAnsi="Times New Roman"/>
          <w:color w:val="000000" w:themeColor="text1"/>
          <w:sz w:val="16"/>
          <w:szCs w:val="16"/>
        </w:rPr>
        <w:t>» (12233).</w:t>
      </w:r>
    </w:p>
    <w:p w14:paraId="2D952440" w14:textId="77777777" w:rsidR="00165A9C" w:rsidRPr="00640820" w:rsidRDefault="00165A9C" w:rsidP="00640820">
      <w:pPr>
        <w:shd w:val="clear" w:color="auto" w:fill="FFFFFF"/>
        <w:spacing w:after="0" w:line="240" w:lineRule="auto"/>
        <w:jc w:val="both"/>
        <w:rPr>
          <w:rFonts w:ascii="Times New Roman" w:hAnsi="Times New Roman"/>
          <w:color w:val="000000" w:themeColor="text1"/>
          <w:sz w:val="16"/>
          <w:szCs w:val="16"/>
        </w:rPr>
      </w:pPr>
    </w:p>
    <w:p w14:paraId="4D9C63F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декабря 1941 вышла директива ОКВ N 39 о переходе немецких войск к стратегической обороне (3186).</w:t>
      </w:r>
    </w:p>
    <w:p w14:paraId="03B40E3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D913343"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декабря 1941 Гитлер издал директиву № 39 о переходе к обороне под Москвой, провал блицкрига (4962).</w:t>
      </w:r>
    </w:p>
    <w:p w14:paraId="3668536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555E61" w14:textId="77777777" w:rsidR="00A036FC" w:rsidRPr="00640820" w:rsidRDefault="00A036FC"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8 декабря</w:t>
      </w:r>
      <w:r w:rsidRPr="00640820">
        <w:rPr>
          <w:rFonts w:ascii="Times New Roman" w:hAnsi="Times New Roman"/>
          <w:color w:val="000000" w:themeColor="text1"/>
          <w:sz w:val="16"/>
          <w:szCs w:val="16"/>
        </w:rPr>
        <w:t xml:space="preserve"> в 1941 году ОКВ отдало директиву N 39 о переходе немецких войск к стратегической обороне на всем советско-германском фронте: "Суровая зимняя погода, наступившая неожиданно рано на Востоке, и возникшие в результате этого трудности с доставкой продовольствия и боеприпасов, вынуждают нас немедленно приостановить все главные наступательные операции и перейти к обороне. Осуществление всех оборонительных операций должно решаться с учетом цели, которую они предназначены обеспечить, а именно:</w:t>
      </w:r>
    </w:p>
    <w:p w14:paraId="75128AA6" w14:textId="77777777" w:rsidR="00A036FC" w:rsidRPr="00640820" w:rsidRDefault="00A036F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удержать районы, представляющие огромную оперативную и экономическую важность для противника;</w:t>
      </w:r>
    </w:p>
    <w:p w14:paraId="635DF338" w14:textId="77777777" w:rsidR="00A036FC" w:rsidRPr="00640820" w:rsidRDefault="00A036F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дать возможность войскам на Востоке отдохнуть и максимально восстановить силы;</w:t>
      </w:r>
    </w:p>
    <w:p w14:paraId="2648A15C" w14:textId="77777777" w:rsidR="00A036FC" w:rsidRPr="00640820" w:rsidRDefault="00A036F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тем самым обеспечить подходящие условия для возобновления крупномасштабных наступательных операций в 1942 году" (14854).</w:t>
      </w:r>
    </w:p>
    <w:p w14:paraId="4B62FD1F" w14:textId="77777777" w:rsidR="00A036FC" w:rsidRPr="00640820" w:rsidRDefault="00A036FC" w:rsidP="00640820">
      <w:pPr>
        <w:spacing w:after="0" w:line="240" w:lineRule="auto"/>
        <w:jc w:val="both"/>
        <w:rPr>
          <w:rFonts w:ascii="Times New Roman" w:hAnsi="Times New Roman"/>
          <w:color w:val="000000" w:themeColor="text1"/>
          <w:sz w:val="16"/>
          <w:szCs w:val="16"/>
        </w:rPr>
      </w:pPr>
    </w:p>
    <w:p w14:paraId="2F9558AB"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0F7759C3"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0BB45CF" w14:textId="77777777" w:rsidR="00904B18" w:rsidRPr="00640820" w:rsidRDefault="00904B1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декабря 1941. Решение исполкома Моссовета: "Установить норму выдачи на одного человека в месяц: соли - 400 (четыреста) грамм, спичек - 3 (три) коробки" (18697).</w:t>
      </w:r>
    </w:p>
    <w:p w14:paraId="5B720A56" w14:textId="77777777" w:rsidR="00904B18" w:rsidRPr="00640820" w:rsidRDefault="00904B18" w:rsidP="00640820">
      <w:pPr>
        <w:spacing w:after="0" w:line="240" w:lineRule="auto"/>
        <w:jc w:val="both"/>
        <w:rPr>
          <w:rFonts w:ascii="Times New Roman" w:hAnsi="Times New Roman"/>
          <w:color w:val="000000" w:themeColor="text1"/>
          <w:sz w:val="16"/>
          <w:szCs w:val="16"/>
        </w:rPr>
      </w:pPr>
    </w:p>
    <w:p w14:paraId="41037410"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декабря 1941 вышло Постановление ГКО № 1001 О расселении польских граждан в Киргизской и Узбекской ССР. (7017, 69).</w:t>
      </w:r>
    </w:p>
    <w:p w14:paraId="3C88561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5B86B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декабря 1941 вышло Постановление ГКО № 1002 О мобилизации в Узбекистане лошадей, автомашин и повозок с упряжью. (7017, 70).</w:t>
      </w:r>
    </w:p>
    <w:p w14:paraId="334D37C9"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61F1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декабря 1941 нацисты начали использование душегубок (1798).</w:t>
      </w:r>
    </w:p>
    <w:p w14:paraId="2C6D954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3038C8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декабря 1941 года подача электроэнергии прекратилась так неожиданно, что десятки трамваев и троллейбусов застряли посреди улиц Ленинграда (10739).</w:t>
      </w:r>
    </w:p>
    <w:p w14:paraId="3A33979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84BA006" w14:textId="77777777" w:rsidR="00A036F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3846F60C" w14:textId="77777777" w:rsidR="00A036FC" w:rsidRPr="00640820" w:rsidRDefault="00A036F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55A0B78" w14:textId="77777777" w:rsidR="00A036FC" w:rsidRPr="00640820" w:rsidRDefault="00A036FC"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8 декабря</w:t>
      </w:r>
      <w:r w:rsidRPr="00640820">
        <w:rPr>
          <w:rFonts w:ascii="Times New Roman" w:hAnsi="Times New Roman"/>
          <w:color w:val="000000" w:themeColor="text1"/>
          <w:sz w:val="16"/>
          <w:szCs w:val="16"/>
        </w:rPr>
        <w:t xml:space="preserve"> в 1941 году президент США Рузвельт в обращении к Сталину призвал СССР принять участие в войне с Японией, однако Сталин дипломатично отклонил это предложение, сославшись на невозможность войны на два фронта (14854).</w:t>
      </w:r>
    </w:p>
    <w:p w14:paraId="3A76BDA8" w14:textId="77777777" w:rsidR="00A036FC" w:rsidRPr="00640820" w:rsidRDefault="00A036FC" w:rsidP="00640820">
      <w:pPr>
        <w:spacing w:after="0" w:line="240" w:lineRule="auto"/>
        <w:jc w:val="both"/>
        <w:rPr>
          <w:rFonts w:ascii="Times New Roman" w:hAnsi="Times New Roman"/>
          <w:color w:val="000000" w:themeColor="text1"/>
          <w:sz w:val="16"/>
          <w:szCs w:val="16"/>
        </w:rPr>
      </w:pPr>
    </w:p>
    <w:p w14:paraId="78569F4F" w14:textId="77777777" w:rsidR="00A036FC" w:rsidRPr="00640820" w:rsidRDefault="00A036FC"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8 декабря</w:t>
      </w:r>
      <w:r w:rsidRPr="00640820">
        <w:rPr>
          <w:rFonts w:ascii="Times New Roman" w:hAnsi="Times New Roman"/>
          <w:color w:val="000000" w:themeColor="text1"/>
          <w:sz w:val="16"/>
          <w:szCs w:val="16"/>
        </w:rPr>
        <w:t xml:space="preserve"> в 1941 году американские журналисты, находящиеся в Куйбышеве, получив известие о нападении Японии на США, спровоцировали драку с японскими журналистами, находящимися в городе (14854).</w:t>
      </w:r>
    </w:p>
    <w:p w14:paraId="2E2A8C44" w14:textId="77777777" w:rsidR="00A036FC" w:rsidRPr="00640820" w:rsidRDefault="00A036FC" w:rsidP="00640820">
      <w:pPr>
        <w:spacing w:after="0" w:line="240" w:lineRule="auto"/>
        <w:jc w:val="both"/>
        <w:rPr>
          <w:rFonts w:ascii="Times New Roman" w:hAnsi="Times New Roman"/>
          <w:color w:val="000000" w:themeColor="text1"/>
          <w:sz w:val="16"/>
          <w:szCs w:val="16"/>
        </w:rPr>
      </w:pPr>
    </w:p>
    <w:p w14:paraId="3153DC34"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79338603"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8A91A19" w14:textId="77777777" w:rsidR="00A036FC" w:rsidRPr="00640820" w:rsidRDefault="00A036F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декабря 1941 состоялся первый полет ХР-63 Кингкобра (2255).</w:t>
      </w:r>
    </w:p>
    <w:p w14:paraId="1A5B1869" w14:textId="77777777" w:rsidR="00A036FC" w:rsidRPr="00640820" w:rsidRDefault="00A036FC" w:rsidP="00640820">
      <w:pPr>
        <w:autoSpaceDE w:val="0"/>
        <w:autoSpaceDN w:val="0"/>
        <w:adjustRightInd w:val="0"/>
        <w:spacing w:after="0" w:line="240" w:lineRule="auto"/>
        <w:jc w:val="both"/>
        <w:rPr>
          <w:rFonts w:ascii="Times New Roman" w:hAnsi="Times New Roman"/>
          <w:color w:val="000000" w:themeColor="text1"/>
          <w:sz w:val="16"/>
          <w:szCs w:val="16"/>
        </w:rPr>
      </w:pPr>
    </w:p>
    <w:p w14:paraId="33C43A21" w14:textId="77777777" w:rsidR="001E6A20" w:rsidRPr="00640820" w:rsidRDefault="001E6A2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декабря 1941 из министерства пришла бумага с предложением приспособить конструкцию Харрикейн под другую пушку Роллс-Ройс ВР с ленточным питанием. Как ни странно, боезапас здесь был меньше - всего 12 снарядов. Оба варианта, пройдя испытания, были запущены в серию, но вскоре все противотанковые машины, обозначенные 110, стали комплектоваться пушками Виккерс 5. Большая часть выпущенных "Харрикейнов" 110 отправилась за рубеж, в основном, на Ближний Восток, и была оснащена тропическими фильтрами. Первые серии имели такую же бронезащиту, как истребитель "Харрикейн" 11С, но в частях ее снимали полностью или частично, чтобы улучшить летные данные (15129).</w:t>
      </w:r>
    </w:p>
    <w:p w14:paraId="09F6D07E" w14:textId="77777777" w:rsidR="001E6A20" w:rsidRPr="00640820" w:rsidRDefault="001E6A20" w:rsidP="00640820">
      <w:pPr>
        <w:spacing w:after="0" w:line="240" w:lineRule="auto"/>
        <w:jc w:val="both"/>
        <w:rPr>
          <w:rFonts w:ascii="Times New Roman" w:hAnsi="Times New Roman"/>
          <w:color w:val="000000" w:themeColor="text1"/>
          <w:sz w:val="16"/>
          <w:szCs w:val="16"/>
        </w:rPr>
      </w:pPr>
    </w:p>
    <w:p w14:paraId="5CA936B5" w14:textId="77777777" w:rsidR="00A036FC" w:rsidRPr="00640820" w:rsidRDefault="00A036FC"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8 декабря</w:t>
      </w:r>
      <w:r w:rsidRPr="00640820">
        <w:rPr>
          <w:rFonts w:ascii="Times New Roman" w:hAnsi="Times New Roman"/>
          <w:color w:val="000000" w:themeColor="text1"/>
          <w:sz w:val="16"/>
          <w:szCs w:val="16"/>
        </w:rPr>
        <w:t xml:space="preserve"> в 1941 году первый полёт поплавкового истребителя «Nakajima» «A6M2-N» (14854).</w:t>
      </w:r>
    </w:p>
    <w:p w14:paraId="62A49BCA" w14:textId="77777777" w:rsidR="00A036FC" w:rsidRPr="00640820" w:rsidRDefault="00A036FC" w:rsidP="00640820">
      <w:pPr>
        <w:spacing w:after="0" w:line="240" w:lineRule="auto"/>
        <w:jc w:val="both"/>
        <w:rPr>
          <w:rFonts w:ascii="Times New Roman" w:hAnsi="Times New Roman"/>
          <w:color w:val="000000" w:themeColor="text1"/>
          <w:sz w:val="16"/>
          <w:szCs w:val="16"/>
        </w:rPr>
      </w:pPr>
    </w:p>
    <w:p w14:paraId="4857ACE5" w14:textId="77777777" w:rsidR="00A96601" w:rsidRPr="00640820" w:rsidRDefault="00A9660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xml:space="preserve">8 декабря 1941 состоялся первый полет Накадзима A6M2-N (союзное название "Руф") (20794). </w:t>
      </w:r>
    </w:p>
    <w:p w14:paraId="6690B1F8" w14:textId="77777777" w:rsidR="00A96601" w:rsidRPr="00640820" w:rsidRDefault="00A96601" w:rsidP="00640820">
      <w:pPr>
        <w:spacing w:after="0" w:line="240" w:lineRule="auto"/>
        <w:jc w:val="both"/>
        <w:rPr>
          <w:rFonts w:ascii="Times New Roman" w:hAnsi="Times New Roman"/>
          <w:color w:val="0070C0"/>
          <w:sz w:val="16"/>
          <w:szCs w:val="16"/>
        </w:rPr>
      </w:pPr>
    </w:p>
    <w:p w14:paraId="61393BDF" w14:textId="77777777" w:rsidR="00A96601" w:rsidRPr="00640820" w:rsidRDefault="00A9660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8 декабря 1942 японские воздушные атаки уничтожить половину самолетов объединенных военно - воздушные сил на Дальнем Востоке на Филиппинских островах. Японские самолеты также начинают атаки на Гонконг, Гуам и остров Уэйк. Когда начинается японское вторжение в Малайю, самолеты британских ВВС атакуют японские корабли в Южно-Китайском море у пляжа вторжения в Кота-Бару в Британской Малайе, поражая Авадзисан Мару, штабной корабль генерал-майора Хироши Такуми, командующего Императорской японской армии. Однако высадка 18 - й дивизии прошла успешно и до конца дня японцы захватила аэродром в Кота-Бару. Во время японского вторжения в Малайю лейтенант ВВС Императорской японской армии Йохей Хиноки и его ведомый одержали первую победу в воздухе на истребителе Nakajima Ki-43 Hayabusa (« Сокол-сапсан »; у союзники известный под именем «Оскар»), заставив истребитель RAF No. 34-я эскадрилья Bristol Blenheim Mark IV, который пытался бомбить японский плацдарм в Британской Малайе, приземлиться на аэродроме Мачанг. США объявляют войну Японии (20794).</w:t>
      </w:r>
    </w:p>
    <w:p w14:paraId="6BBACAED" w14:textId="77777777" w:rsidR="00A96601" w:rsidRPr="00640820" w:rsidRDefault="00A96601" w:rsidP="00640820">
      <w:pPr>
        <w:spacing w:after="0" w:line="240" w:lineRule="auto"/>
        <w:jc w:val="both"/>
        <w:rPr>
          <w:rFonts w:ascii="Times New Roman" w:hAnsi="Times New Roman"/>
          <w:color w:val="0070C0"/>
          <w:sz w:val="16"/>
          <w:szCs w:val="16"/>
        </w:rPr>
      </w:pPr>
    </w:p>
    <w:p w14:paraId="7807E77F" w14:textId="77777777" w:rsidR="00A96601" w:rsidRPr="00640820" w:rsidRDefault="00A9660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8-10 декабря 1941 - года, американские войска на Филлипинах потеряли половину авиации. Американская авиация насчитывала 8 тыс. человек личного состава и около 200 самолетов, в том числе 35 тяжелых бомбардировщиков и 107 истребителей. Неожиданному нападению японцев под командованием генерала Хоммэ на Филиппины предшествовала систематическая бомбардировка аэродромов и ключевых пунктов на острове Лусон. В результате на земле было сразу же уничтожено около 50% американских самолетов. Затем, начиная с 10 декабря производилась высадка десантов сначала на северном побережье Лусона у Апарри, затем у Вигана, Легаспи и в других пунктах (22712).</w:t>
      </w:r>
    </w:p>
    <w:p w14:paraId="6248E7A6" w14:textId="77777777" w:rsidR="00A96601" w:rsidRPr="00640820" w:rsidRDefault="00A96601" w:rsidP="00640820">
      <w:pPr>
        <w:spacing w:after="0" w:line="240" w:lineRule="auto"/>
        <w:jc w:val="both"/>
        <w:rPr>
          <w:rFonts w:ascii="Times New Roman" w:hAnsi="Times New Roman"/>
          <w:color w:val="0070C0"/>
          <w:sz w:val="16"/>
          <w:szCs w:val="16"/>
        </w:rPr>
      </w:pPr>
    </w:p>
    <w:p w14:paraId="5FF96CA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декабря 1941 начали работать газовые камеры в лагере Челмно (Kulmnhof), а Belzec в марте 1942, в Sobibor в апреле-мае 1942 и в Treblinka в июле 1942 (2238,9).</w:t>
      </w:r>
    </w:p>
    <w:p w14:paraId="7EC9F51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4CC7CE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декабря 1941 возле Лодзи начал действовать фашистский концлагерь для евреев Хелмно (4962).</w:t>
      </w:r>
    </w:p>
    <w:p w14:paraId="53E1567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BE8F7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декабря 1941 японцы напали на английские Малайзию и Таиланд, правительство Таиланда сразу капитулировало (4962).</w:t>
      </w:r>
    </w:p>
    <w:p w14:paraId="57935EBD"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A6589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December 8 1941 Japan declares war on the United States and Great Britain; the United States and Great Britain declare war on Japan (1037).</w:t>
      </w:r>
    </w:p>
    <w:p w14:paraId="47A09FB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781B548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декабря 1941 Япония объявила войну США и Англии начав с бомбардировки Перл Харбора, а те - объявили войну Японии (270).</w:t>
      </w:r>
    </w:p>
    <w:p w14:paraId="4B8638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7334E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December 08/09 1941 Japanese attack Maylaya and Phillippines (1242).</w:t>
      </w:r>
    </w:p>
    <w:p w14:paraId="064A60C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6E704D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8/9 декабря 1941 Япония вторглась в Таиланд и Малайзию (270). Это была Малайская операция, которая длилась до 15 февраля и была нацелена на захват Малакки и Сингапура. Анличане потеряли 140 тыс. против 10 тыс. японцев (2438,387).</w:t>
      </w:r>
    </w:p>
    <w:p w14:paraId="654C78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1C63411" w14:textId="77777777" w:rsidR="00A036FC" w:rsidRPr="00640820" w:rsidRDefault="00A036FC"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8 декабря</w:t>
      </w:r>
      <w:r w:rsidRPr="00640820">
        <w:rPr>
          <w:rFonts w:ascii="Times New Roman" w:hAnsi="Times New Roman"/>
          <w:color w:val="000000" w:themeColor="text1"/>
          <w:sz w:val="16"/>
          <w:szCs w:val="16"/>
        </w:rPr>
        <w:t xml:space="preserve"> в 1941 году японские войска захватывают авиабазу Виктория-Пойнт в Южной Бирме (современная Мьянма) и начинают наступление в Малайзии. Британские войска отступают в Сингапур (14854).</w:t>
      </w:r>
    </w:p>
    <w:p w14:paraId="6BC85254" w14:textId="77777777" w:rsidR="00A036FC" w:rsidRPr="00640820" w:rsidRDefault="00A036FC" w:rsidP="00640820">
      <w:pPr>
        <w:spacing w:after="0" w:line="240" w:lineRule="auto"/>
        <w:jc w:val="both"/>
        <w:rPr>
          <w:rFonts w:ascii="Times New Roman" w:hAnsi="Times New Roman"/>
          <w:color w:val="000000" w:themeColor="text1"/>
          <w:sz w:val="16"/>
          <w:szCs w:val="16"/>
        </w:rPr>
      </w:pPr>
    </w:p>
    <w:p w14:paraId="7F0B5EC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декабря 1941 г. японские корабли атаковали британскую военную эскадру у берегов Малайи. Одновременно началась высадка японских десантов в Малайе и на Филиппинах. С согласия правительства Таиланда (в январе 1942 г. Таиланд сам объявил войну США и Великобритании) японские войска прошли через таиландскую территорию и начали боевые действия против британских войск в Бирме (3871).</w:t>
      </w:r>
    </w:p>
    <w:p w14:paraId="723F87F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A4F7422" w14:textId="77777777" w:rsidR="00A036FC" w:rsidRPr="00640820" w:rsidRDefault="00A036FC"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8 декабря</w:t>
      </w:r>
      <w:r w:rsidRPr="00640820">
        <w:rPr>
          <w:rFonts w:ascii="Times New Roman" w:hAnsi="Times New Roman"/>
          <w:color w:val="000000" w:themeColor="text1"/>
          <w:sz w:val="16"/>
          <w:szCs w:val="16"/>
        </w:rPr>
        <w:t xml:space="preserve"> в 1941 году (8-10 декабря) английские войска в Малайе потеряли треть авиации (14854).</w:t>
      </w:r>
    </w:p>
    <w:p w14:paraId="252703C3" w14:textId="77777777" w:rsidR="00A036FC" w:rsidRPr="00640820" w:rsidRDefault="00A036FC" w:rsidP="00640820">
      <w:pPr>
        <w:spacing w:after="0" w:line="240" w:lineRule="auto"/>
        <w:jc w:val="both"/>
        <w:rPr>
          <w:rFonts w:ascii="Times New Roman" w:hAnsi="Times New Roman"/>
          <w:color w:val="000000" w:themeColor="text1"/>
          <w:sz w:val="16"/>
          <w:szCs w:val="16"/>
        </w:rPr>
      </w:pPr>
    </w:p>
    <w:p w14:paraId="64C80749" w14:textId="77777777" w:rsidR="00A036FC" w:rsidRPr="00640820" w:rsidRDefault="00A036FC"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8 декабря</w:t>
      </w:r>
      <w:r w:rsidRPr="00640820">
        <w:rPr>
          <w:rFonts w:ascii="Times New Roman" w:hAnsi="Times New Roman"/>
          <w:color w:val="000000" w:themeColor="text1"/>
          <w:sz w:val="16"/>
          <w:szCs w:val="16"/>
        </w:rPr>
        <w:t xml:space="preserve"> в 1941 году США, Британия, и Австралия объявляют войну Японии на следующий день после нападения на Перл-Харбор (14854).</w:t>
      </w:r>
    </w:p>
    <w:p w14:paraId="68CC653E" w14:textId="77777777" w:rsidR="00A036FC" w:rsidRPr="00640820" w:rsidRDefault="00A036FC" w:rsidP="00640820">
      <w:pPr>
        <w:spacing w:after="0" w:line="240" w:lineRule="auto"/>
        <w:jc w:val="both"/>
        <w:rPr>
          <w:rFonts w:ascii="Times New Roman" w:hAnsi="Times New Roman"/>
          <w:color w:val="000000" w:themeColor="text1"/>
          <w:sz w:val="16"/>
          <w:szCs w:val="16"/>
        </w:rPr>
      </w:pPr>
    </w:p>
    <w:p w14:paraId="0454E0AE" w14:textId="77777777" w:rsidR="00A036FC" w:rsidRPr="00640820" w:rsidRDefault="00A036FC"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8 декабря</w:t>
      </w:r>
      <w:r w:rsidRPr="00640820">
        <w:rPr>
          <w:rFonts w:ascii="Times New Roman" w:hAnsi="Times New Roman"/>
          <w:color w:val="000000" w:themeColor="text1"/>
          <w:sz w:val="16"/>
          <w:szCs w:val="16"/>
        </w:rPr>
        <w:t xml:space="preserve"> в 1941 году японские войска нападают на острова Уэйк и Гуам, американские владения в Тихом океане и оккупируют их (14854).</w:t>
      </w:r>
    </w:p>
    <w:p w14:paraId="473C2EEE" w14:textId="77777777" w:rsidR="00A036FC" w:rsidRPr="00640820" w:rsidRDefault="00A036FC" w:rsidP="00640820">
      <w:pPr>
        <w:spacing w:after="0" w:line="240" w:lineRule="auto"/>
        <w:jc w:val="both"/>
        <w:rPr>
          <w:rFonts w:ascii="Times New Roman" w:hAnsi="Times New Roman"/>
          <w:color w:val="000000" w:themeColor="text1"/>
          <w:sz w:val="16"/>
          <w:szCs w:val="16"/>
        </w:rPr>
      </w:pPr>
    </w:p>
    <w:p w14:paraId="6AE1316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декабря 1941 США и Британия объявили войну Японии (4962).</w:t>
      </w:r>
    </w:p>
    <w:p w14:paraId="5C305D08"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6DF36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декабря 1941 войну Японии объявили Великобритания и ее доминионы. Одновременно, наконец, войну Японии формально объявил Чан Кайши. Начавшаяся в сентябре 1939 г. с германо-польского конфликта война окончательно приобрела общемировой характер (3871).</w:t>
      </w:r>
    </w:p>
    <w:p w14:paraId="03201ED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24C2F8C" w14:textId="77777777" w:rsidR="00A036FC" w:rsidRPr="00640820" w:rsidRDefault="00A036FC"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8 декабря</w:t>
      </w:r>
      <w:r w:rsidRPr="00640820">
        <w:rPr>
          <w:rFonts w:ascii="Times New Roman" w:hAnsi="Times New Roman"/>
          <w:color w:val="000000" w:themeColor="text1"/>
          <w:sz w:val="16"/>
          <w:szCs w:val="16"/>
        </w:rPr>
        <w:t xml:space="preserve"> в 1941 году (8-10 декабря) американские войска на Филлипинах потеряли половину авиации. Американская авиация насчитывала 8 тысяч человек личного состава и около 200 самолетов, в том числе 35 тяжелых бомбардировщиков и 107 истребителей. Неожиданному нападению японцев под командованием генерала Хоммэ на Филиппины предшествовала систематическая бомбардировка аэродромов и ключевых пунктов на острове Лусон. В результате на земле было сразу же уничтожено около 50% американских самолетов. Затем, начиная с 10 декабря производилась высадка десантов сначала на северном побережье Лусона у Апарри, затем у Вигана, Легаспи и в других пунктах (14854).</w:t>
      </w:r>
    </w:p>
    <w:p w14:paraId="3FC8B0A1" w14:textId="77777777" w:rsidR="00A036FC" w:rsidRPr="00640820" w:rsidRDefault="00A036FC" w:rsidP="00640820">
      <w:pPr>
        <w:spacing w:after="0" w:line="240" w:lineRule="auto"/>
        <w:jc w:val="both"/>
        <w:rPr>
          <w:rFonts w:ascii="Times New Roman" w:hAnsi="Times New Roman"/>
          <w:color w:val="000000" w:themeColor="text1"/>
          <w:sz w:val="16"/>
          <w:szCs w:val="16"/>
        </w:rPr>
      </w:pPr>
    </w:p>
    <w:p w14:paraId="112CE5C1" w14:textId="77777777" w:rsidR="00A036FC" w:rsidRPr="00640820" w:rsidRDefault="00A036FC"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8 декабря</w:t>
      </w:r>
      <w:r w:rsidRPr="00640820">
        <w:rPr>
          <w:rFonts w:ascii="Times New Roman" w:hAnsi="Times New Roman"/>
          <w:color w:val="000000" w:themeColor="text1"/>
          <w:sz w:val="16"/>
          <w:szCs w:val="16"/>
        </w:rPr>
        <w:t xml:space="preserve"> в 1941 году подобное ожидало и англичан. В этот день Сингапур пережил первый воздушный налет. В 1 час. 30 мин. ночи в этот же день сильный японский десант высадился в Кота–Бару и после ожесточенного боя занял аэродром. 9 декабря произошла катастрофа, которая больше всего подорвала моральный дух англичан. Японские самолеты, пользуясь отсутствием английской авиации, потопили линейные корабли “Принс оф Уэлс” и “Рипалс” (14854).</w:t>
      </w:r>
    </w:p>
    <w:p w14:paraId="0276E413" w14:textId="77777777" w:rsidR="00A036FC" w:rsidRPr="00640820" w:rsidRDefault="00A036FC" w:rsidP="00640820">
      <w:pPr>
        <w:spacing w:after="0" w:line="240" w:lineRule="auto"/>
        <w:jc w:val="both"/>
        <w:rPr>
          <w:rFonts w:ascii="Times New Roman" w:hAnsi="Times New Roman"/>
          <w:color w:val="000000" w:themeColor="text1"/>
          <w:sz w:val="16"/>
          <w:szCs w:val="16"/>
        </w:rPr>
      </w:pPr>
    </w:p>
    <w:p w14:paraId="261860E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December 8 1941 United States and Britain declare war on Japan (1050).</w:t>
      </w:r>
    </w:p>
    <w:p w14:paraId="104A5A0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0F6BD2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декабря 1941 США и Великобритания объявили войну Японии (1050).</w:t>
      </w:r>
    </w:p>
    <w:p w14:paraId="366E8F3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A78E4E8" w14:textId="77777777" w:rsidR="001E6A20" w:rsidRPr="00640820" w:rsidRDefault="001E6A20"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8 декабря</w:t>
      </w:r>
      <w:r w:rsidRPr="00640820">
        <w:rPr>
          <w:rFonts w:ascii="Times New Roman" w:hAnsi="Times New Roman"/>
          <w:color w:val="000000" w:themeColor="text1"/>
          <w:sz w:val="16"/>
          <w:szCs w:val="16"/>
        </w:rPr>
        <w:t xml:space="preserve"> в 1941 году Япония объявила войну Великобритании и США (14854).</w:t>
      </w:r>
    </w:p>
    <w:p w14:paraId="1AF26D67" w14:textId="77777777" w:rsidR="001E6A20" w:rsidRPr="00640820" w:rsidRDefault="001E6A20" w:rsidP="00640820">
      <w:pPr>
        <w:spacing w:after="0" w:line="240" w:lineRule="auto"/>
        <w:jc w:val="both"/>
        <w:rPr>
          <w:rFonts w:ascii="Times New Roman" w:hAnsi="Times New Roman"/>
          <w:color w:val="000000" w:themeColor="text1"/>
          <w:sz w:val="16"/>
          <w:szCs w:val="16"/>
        </w:rPr>
      </w:pPr>
    </w:p>
    <w:p w14:paraId="615BC9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декабря 1941 японские войска вторглись в Таиланд под предлогом защиты от англичан. Тайская авиация пыталась сопротивляться (3939,44).</w:t>
      </w:r>
    </w:p>
    <w:p w14:paraId="193DFB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9D6F16E" w14:textId="77777777" w:rsidR="001E6A20" w:rsidRPr="00640820" w:rsidRDefault="001E6A20"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8 декабря</w:t>
      </w:r>
      <w:r w:rsidRPr="00640820">
        <w:rPr>
          <w:rFonts w:ascii="Times New Roman" w:hAnsi="Times New Roman"/>
          <w:color w:val="000000" w:themeColor="text1"/>
          <w:sz w:val="16"/>
          <w:szCs w:val="16"/>
        </w:rPr>
        <w:t xml:space="preserve"> в 1941 году японские войска высадились на юге Таиланда, а также перешли границу страны со стороны Индокитая (14854).</w:t>
      </w:r>
    </w:p>
    <w:p w14:paraId="45F8F2C2" w14:textId="77777777" w:rsidR="001E6A20" w:rsidRPr="00640820" w:rsidRDefault="001E6A20" w:rsidP="00640820">
      <w:pPr>
        <w:spacing w:after="0" w:line="240" w:lineRule="auto"/>
        <w:jc w:val="both"/>
        <w:rPr>
          <w:rFonts w:ascii="Times New Roman" w:hAnsi="Times New Roman"/>
          <w:color w:val="000000" w:themeColor="text1"/>
          <w:sz w:val="16"/>
          <w:szCs w:val="16"/>
        </w:rPr>
      </w:pPr>
    </w:p>
    <w:p w14:paraId="7A85E898" w14:textId="77777777" w:rsidR="001E6A20" w:rsidRPr="00640820" w:rsidRDefault="001E6A20"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8 декабря</w:t>
      </w:r>
      <w:r w:rsidRPr="00640820">
        <w:rPr>
          <w:rFonts w:ascii="Times New Roman" w:hAnsi="Times New Roman"/>
          <w:color w:val="000000" w:themeColor="text1"/>
          <w:sz w:val="16"/>
          <w:szCs w:val="16"/>
        </w:rPr>
        <w:t xml:space="preserve"> в 1941 году Япония объявила проливы Лаперуза, Сангайский и Татарский своими морскими оборонительными зонами (14854).</w:t>
      </w:r>
    </w:p>
    <w:p w14:paraId="7E39138A" w14:textId="77777777" w:rsidR="001E6A20" w:rsidRPr="00640820" w:rsidRDefault="001E6A20" w:rsidP="00640820">
      <w:pPr>
        <w:spacing w:after="0" w:line="240" w:lineRule="auto"/>
        <w:jc w:val="both"/>
        <w:rPr>
          <w:rFonts w:ascii="Times New Roman" w:hAnsi="Times New Roman"/>
          <w:color w:val="000000" w:themeColor="text1"/>
          <w:sz w:val="16"/>
          <w:szCs w:val="16"/>
        </w:rPr>
      </w:pPr>
    </w:p>
    <w:p w14:paraId="6EAF8CF1"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5FBEE479"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94FD79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9 декабря 1941 г. на заводе № 166 построили третий опытный самолет, получивший обозначение "103-В" (АНТ-60).</w:t>
      </w:r>
    </w:p>
    <w:p w14:paraId="470E895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сравнению с предшественником претерпела изменение конструкция консолей крыла, а количество топливных баков возросло до 20, вмешавших 3070 литров бензина. Члены экипажа получили броневую защиту, доработали фонарь передней кабины, основные опоры шасси и многое другое.</w:t>
      </w:r>
    </w:p>
    <w:p w14:paraId="13B754A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Вооружение состояло из двух неподвижных пушек ШВАК в центроплане (вне зон, ометаемых воздушными винтами) и пары пулеметов ШКАС (в носовой части фюзеляжа), стрелявших вперед. Для зашиты задней полусферы предусмотрели по одному ШКАСу у штурмана и у стрелка-радиста (на установке ТСС-1), и в люковой установке ЛУ - у стрелка. Под крылом допускалась подвеска до десяти реактивных снарядов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-132. Для бомбометания с пикирования имелись тормозные решетки.</w:t>
      </w:r>
    </w:p>
    <w:p w14:paraId="7B383FA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расчетам эта машина, получившая в народе прозвище "Верочка", должна была развивать скорость у земли 470 км/ч, а на высоте 7000 метров - 576 км/ч и летать на расстояние до 2400 км. Однако на деле характеристики получились заметно ниже (12035).</w:t>
      </w:r>
    </w:p>
    <w:p w14:paraId="37EF86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B0C53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декабря 1941 вышел приказ НКАП о переходе 292 завода на выпуск И-30 (Як-3) вместо Як-1, но в марте 1942 - отменили (65,38).</w:t>
      </w:r>
    </w:p>
    <w:p w14:paraId="22E1031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67A9908" w14:textId="77777777" w:rsidR="00A96601" w:rsidRPr="00640820" w:rsidRDefault="00A9660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9 декабря 1941 года во исполнение распоряжения Наркома Авиационной промышленности т. Шахурина А.И. о проектировании и постройке самолета ЛАГГ-3 с мотором М-82 вышел приказ по заводу №93, в соответствии с которым срок вывода первой машины на аэродром из сборочного цеха №210 был определен - 15/1-1942года (21100).</w:t>
      </w:r>
    </w:p>
    <w:p w14:paraId="484D83EC" w14:textId="77777777" w:rsidR="00A96601" w:rsidRPr="00640820" w:rsidRDefault="00A96601" w:rsidP="00640820">
      <w:pPr>
        <w:spacing w:after="0" w:line="240" w:lineRule="auto"/>
        <w:jc w:val="both"/>
        <w:rPr>
          <w:rFonts w:ascii="Times New Roman" w:hAnsi="Times New Roman"/>
          <w:color w:val="0070C0"/>
          <w:sz w:val="16"/>
          <w:szCs w:val="16"/>
        </w:rPr>
      </w:pPr>
    </w:p>
    <w:p w14:paraId="2D40D72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9 декабря 1941 года НКВД СССР докладывал в Совнарком: </w:t>
      </w:r>
    </w:p>
    <w:p w14:paraId="2B8BFE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 сообщению НКВД Узбекской ССР, прибывшие в Узбекистан в порядке эвакуации заводы 'Ростсельмаш', 'Калибр', 'Электростанок', 1-й и 2-й парашютные и заводы Наркомата авиационной промышленности #84, 154 и 478 медленно восстанавливаются из-за плохой организации работ и нечеткости указаний со стороны отдельных наркоматов. </w:t>
      </w:r>
    </w:p>
    <w:p w14:paraId="34B4A7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 заводу 'Калибр' с 15 по 20 ноября текущего года прибыло 32 вагона с оборудованием, материалами и рабочими. 14 вагонов этого завода было разгружено, и оборудование размещено в цехах, после этого Наркомат танкостроения СССР дал распоряжение о переадресовке завода 'Калибр' на Урал. В связи с этим прибывшие 20 ноября 16 вагонов с оборудованием и рабочими до настоящего время не разгружены. Рабочие живут в неотепленных вагонах. </w:t>
      </w:r>
    </w:p>
    <w:p w14:paraId="119935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Эвакуированный завод #478 по распоряжению Наркомата авиационной промышленности СССР должен был слиться с заводом #84. На основании этого оборудование и материалы были перевезены на площадку завода #84. Рабочие с семьями в количестве 800 человек также были размещены на жилой площади этого завода. </w:t>
      </w:r>
    </w:p>
    <w:p w14:paraId="3DA4B7B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20 ноября текущего года заводом #84 было получено распоряжение НКАП о разделении заводов и переадресовке завода #478 в Куйбышев, а 22 ноября из НКАП получено снова указание, подтверждающее слияние заводов. Вследствие этого сорваны сроки разгрузки и размещения оборудования. </w:t>
      </w:r>
    </w:p>
    <w:p w14:paraId="7329157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 заводам #84 и 'Ростсельмаш' из-за плохой организации работ, отсутствия транспорта и подъемных кранов вагоны под разгрузкой простаивают по несколько дней. Рабочие указанных заводов на разгрузку оборудования не мобилизованы. Часть выделенных рабочих для разгрузки оборудования на работу не выходит. Охрана оборудования и материалов организована плохо, в результате этого имеются случаи хищения инструмента, цветных металлов и других материалов" (11299). </w:t>
      </w:r>
    </w:p>
    <w:p w14:paraId="0A2947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C9E638B"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135DC5C8"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F794DE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декабря 1941 г. Каменским заводом сельхозмашин был выпущена первая продукция - корпуса мин, этот день стал официальным днем рождения завода. В 06.1942 г. Каменский завод - в ведении Главсельмаша НКМВ. В соответствии с пост, правительства № 837-430сс от 3.06.1942 г. и приказом НКМВ № 250с от 7.07.1942 г. Каменский завод сельхозмашин НКМВ переименован в завод № 704 в ведении 1 ГУ (Завод № 704 НКМВ , Каменский завод сельскохозяйственных машин НКМВ, ГС завод сельскохозяйственного машиностроения «Белинсксельмаш»,</w:t>
      </w:r>
    </w:p>
    <w:p w14:paraId="3BAEF60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ЗАО «Белинсксельмаш» /ст. Белинская/ /442246  г. Каменка Пензенской обл. ул. Чернышевского, 1 тел. (84156) 2-22-01/).</w:t>
      </w:r>
      <w:r w:rsidRPr="00640820">
        <w:rPr>
          <w:rFonts w:ascii="Times New Roman" w:hAnsi="Times New Roman"/>
          <w:color w:val="000000" w:themeColor="text1"/>
          <w:sz w:val="16"/>
          <w:szCs w:val="16"/>
          <w:vertAlign w:val="superscript"/>
        </w:rPr>
        <w:t>129</w:t>
      </w:r>
    </w:p>
    <w:p w14:paraId="42224E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специализировался на производстве сеялок. В 1950-53 г. выпущено более 60 тыс. сеялок. С 1953 г. начато производство картофелесажалок. Единственный в РСФСР завод по выпуску' картофелепосадочных машин (1960-е  г.).</w:t>
      </w:r>
    </w:p>
    <w:p w14:paraId="391A2AA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разработки новых образцов техники при заводе создано собственное КБ.</w:t>
      </w:r>
    </w:p>
    <w:p w14:paraId="3BE4581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2001 г. до 11.2004 г. входил в группу МАИР, затем продан АО «Красная звезда».</w:t>
      </w:r>
    </w:p>
    <w:p w14:paraId="421510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(08.1941 г.)- менее 200 чел., (03.1946 г.)- 1655 чел.</w:t>
      </w:r>
    </w:p>
    <w:p w14:paraId="3D27C3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(06.1942 г.)- Шинкаревич. Гендиректор (2005 г.)- В.Б. Мельников.</w:t>
      </w:r>
    </w:p>
    <w:p w14:paraId="3976FD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коммерческий (2005 г.)- В.И. Балицкий; по качеству (2005 г.)- С.В. Жиляев.</w:t>
      </w:r>
    </w:p>
    <w:p w14:paraId="24F9F98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сбыта (2005 г.)- И.Ю. Улитина; снабжения (2005 г.)- Д.В. Анчуткин.</w:t>
      </w:r>
    </w:p>
    <w:p w14:paraId="24E648C5" w14:textId="77777777" w:rsidR="00A036F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45-мм снаряды, 50-мм мины (1942);</w:t>
      </w:r>
      <w:r w:rsidRPr="00640820">
        <w:rPr>
          <w:rFonts w:ascii="Times New Roman" w:hAnsi="Times New Roman"/>
          <w:iCs/>
          <w:color w:val="000000" w:themeColor="text1"/>
          <w:sz w:val="16"/>
          <w:szCs w:val="16"/>
        </w:rPr>
        <w:t xml:space="preserve"> сеялки:</w:t>
      </w:r>
      <w:r w:rsidRPr="00640820">
        <w:rPr>
          <w:rFonts w:ascii="Times New Roman" w:hAnsi="Times New Roman"/>
          <w:color w:val="000000" w:themeColor="text1"/>
          <w:sz w:val="16"/>
          <w:szCs w:val="16"/>
        </w:rPr>
        <w:t xml:space="preserve"> зерновые СД-12 (1943-), СД-24 (1949-), СЗГ-9, -2,1 (1969-72), СЗУ-3,6 (1972-80-), С3-3,6А (2000-е); льна СЛ-44 (1949-), узкорядные СЗУ-3,6 (1972-), СУБ-48 (1956- 69), стерневые зернотуковые СКП-2,1 (2000-е), СЗК-4,5, свекловичная ССТ-12В (2000-е); картофелесажалки: СКГ-4 (1953-), СН-4Б (1959-), КСН-90, СКМ-6, САЯ-4, КСМ-6, КСМ-4 (1982-), КСНД-2, «Крот» (2000-е); картофелекопатель КТН-2В (2000-е); </w:t>
      </w:r>
      <w:r w:rsidRPr="00640820">
        <w:rPr>
          <w:rFonts w:ascii="Times New Roman" w:hAnsi="Times New Roman"/>
          <w:color w:val="000000" w:themeColor="text1"/>
          <w:sz w:val="16"/>
          <w:szCs w:val="16"/>
        </w:rPr>
        <w:lastRenderedPageBreak/>
        <w:t>культиваторы: КНК-4,0, -6,0, КПЭ-3,8, КПС-4 (2000-е), УКРМР-5,4, окучник ОК-1,4 (2000-е); плуги: ПЛН-3-35, безотвальные ПБ-5, ПБ-9 (2000-е); борона БЗС-1,0, пресс-подборщик ПФ-350, грабли-ворошилка ГВР-4,5М, корнеподъемник УКН-1,3 (2000-</w:t>
      </w:r>
      <w:r w:rsidRPr="00640820">
        <w:rPr>
          <w:rFonts w:ascii="Times New Roman" w:hAnsi="Times New Roman"/>
          <w:color w:val="000000" w:themeColor="text1"/>
          <w:sz w:val="16"/>
          <w:szCs w:val="16"/>
          <w:lang w:val="en-US"/>
        </w:rPr>
        <w:t>e</w:t>
      </w:r>
      <w:r w:rsidRPr="00640820">
        <w:rPr>
          <w:rFonts w:ascii="Times New Roman" w:hAnsi="Times New Roman"/>
          <w:color w:val="000000" w:themeColor="text1"/>
          <w:sz w:val="16"/>
          <w:szCs w:val="16"/>
        </w:rPr>
        <w:t>).^-</w:t>
      </w:r>
      <w:r w:rsidRPr="00640820">
        <w:rPr>
          <w:rFonts w:ascii="Times New Roman" w:hAnsi="Times New Roman"/>
          <w:strike/>
          <w:color w:val="000000" w:themeColor="text1"/>
          <w:sz w:val="16"/>
          <w:szCs w:val="16"/>
          <w:vertAlign w:val="superscript"/>
          <w:lang w:val="en-US"/>
        </w:rPr>
        <w:t>wwbsmsura</w:t>
      </w:r>
      <w:r w:rsidRPr="00640820">
        <w:rPr>
          <w:rFonts w:ascii="Times New Roman" w:hAnsi="Times New Roman"/>
          <w:color w:val="000000" w:themeColor="text1"/>
          <w:sz w:val="16"/>
          <w:szCs w:val="16"/>
          <w:vertAlign w:val="superscript"/>
          <w:lang w:val="en-US"/>
        </w:rPr>
        <w:t>ru</w:t>
      </w:r>
    </w:p>
    <w:p w14:paraId="3182852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«Красная звезда» НКМВ /г. Кировоград/</w:t>
      </w:r>
    </w:p>
    <w:p w14:paraId="773B365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08.1941 г. завод эвакуирован в  г. Каменка.</w:t>
      </w:r>
    </w:p>
    <w:p w14:paraId="35A03C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4.05.1944 г. вышло постановление ГКО № 5816 о неотложных мерах по восстановлению завода сельскохозяйственного машиностроения «Красная звезда» в Кировограде.</w:t>
      </w:r>
    </w:p>
    <w:p w14:paraId="5F49BA9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(03.1946 г.)- 2910 чел. (11982).</w:t>
      </w:r>
    </w:p>
    <w:p w14:paraId="2A895568" w14:textId="77777777" w:rsidR="00A036FC" w:rsidRPr="00640820" w:rsidRDefault="00A036FC" w:rsidP="00640820">
      <w:pPr>
        <w:autoSpaceDE w:val="0"/>
        <w:autoSpaceDN w:val="0"/>
        <w:adjustRightInd w:val="0"/>
        <w:spacing w:after="0" w:line="240" w:lineRule="auto"/>
        <w:jc w:val="both"/>
        <w:rPr>
          <w:rFonts w:ascii="Times New Roman" w:hAnsi="Times New Roman"/>
          <w:color w:val="000000" w:themeColor="text1"/>
          <w:sz w:val="16"/>
          <w:szCs w:val="16"/>
        </w:rPr>
      </w:pPr>
    </w:p>
    <w:p w14:paraId="719E42F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декабря 1941 года был приказ НКТП №70с. В нём В. А. Малышев поставил перед директором завода № 183 Ю. Е. Максарёвым следующие задачи:</w:t>
      </w:r>
    </w:p>
    <w:p w14:paraId="5F7C8CF8"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Внедрить на заводе автотракторную технологию, для чего:</w:t>
      </w:r>
    </w:p>
    <w:p w14:paraId="4838F49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к 10.1.1942 г. отработать технологический процесс на основные узлы и детали с переводом их на полуавтоматы, многорезцовые и револьверные станки, тем самым сократить потребности в недостающем станочном оборудовании.</w:t>
      </w:r>
    </w:p>
    <w:p w14:paraId="4C0D01CD"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С целью освобождения прессового оборудования и снятия механической обработки, к 15 декабря с. г. перевести ряд трудоёмких деталей, по предложению конструкторов, со штампов на стальное литьё, в частности, перевести на стальное литьё: ведущее колесо, опорные катки, внутренний барабан бортовых фрикционов и т. д.</w:t>
      </w:r>
    </w:p>
    <w:p w14:paraId="2A0AFC5A"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К 20 января 1942 г. организовать на заводе № 183 литьё из ковкого чугуна, с выпуском в сутки 6 тн. литья.</w:t>
      </w:r>
    </w:p>
    <w:p w14:paraId="027FCB3C"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Пересмотреть конструкцию узлов деталей танка в части:</w:t>
      </w:r>
    </w:p>
    <w:p w14:paraId="7BA47BA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перевода с горячей штамповки и стального литья на холодную штамповку и ковкий чугун;</w:t>
      </w:r>
    </w:p>
    <w:p w14:paraId="7028EB72"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уменьшение количества нормального крепежа;</w:t>
      </w:r>
    </w:p>
    <w:p w14:paraId="6CDD584B"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сокращения ЗИПа.</w:t>
      </w:r>
    </w:p>
    <w:p w14:paraId="02911409"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К 15.1.1942 г. под руководством академика ПАТОНА внедрить на заводе конвейерную автоматическую сварку корпусов с помощью сварочных автоматов» (РГАЭ. Ф. 8752. Оп. 4. Д. 6. Л. 79).</w:t>
      </w:r>
    </w:p>
    <w:p w14:paraId="12BA4835"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этом приказе термин «автотракторная технология» использован как синоним технологии массового производства, так как в СССР технологии массового производства в наибольшей мере использовались в автомобильной и тракторной промышленности. Более того, сами принципы массового производства зародились именно в автомобильной промышленности, где их первым начал применять американский предприниматель и организатор производства Генри Форд. В приказе в первую очередь обращено внимание на переход к использованию более производительных специализированных станков, позволявших одновременно обрабатывать несколько деталей. Это считалось ключевым признаком массового производства. Новые задачи ставятся перед конструкторами. Пока речь идёт только о некоторых изменениях в конструкции танка и технологии производства, таких, как переход от горячей штамповки к холодной и от стального литья к литью из ковкого чугуна, что было связано с решением проблемы нехватки некоторых видов сырья и оборудования. Ещё нет речи о таких масштабных работах по переделке и упрощению конструкции танка, которые были проведены несколько позднее, но уже намечена стратегия наращивания объёмов производства за счёт изменения конструкции танка и более тесной взаимосвязи конструкторов и производства. Следующей задачей ставится освоение метода автоматической сварки корпусов академика Патона. Этот революционный метод резко сократил расход рабочей силы на производство сварочных работ и снизил требования к уровню подготовки занятого этими работами персонала.</w:t>
      </w:r>
    </w:p>
    <w:p w14:paraId="0F70CFCF" w14:textId="77777777" w:rsidR="00165A9C" w:rsidRPr="00640820" w:rsidRDefault="00165A9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Далее в приказе излагался план пополнения станочной базы завода № 183. Часть оборудования должна была быть получена с других заводов НКТП, а часть - изготовлена самостоятельно. В приказе чётко определены типы, специализация и количество станков. Это говорит о том, что к этому моменту уже существовали определённые детальные планы организации производства и расчёты требующегося для этого оборудования (12290).</w:t>
      </w:r>
    </w:p>
    <w:p w14:paraId="75E0E54E" w14:textId="77777777" w:rsidR="00165A9C" w:rsidRPr="00640820" w:rsidRDefault="00165A9C" w:rsidP="00640820">
      <w:pPr>
        <w:spacing w:after="0" w:line="240" w:lineRule="auto"/>
        <w:jc w:val="both"/>
        <w:rPr>
          <w:rFonts w:ascii="Times New Roman" w:hAnsi="Times New Roman"/>
          <w:color w:val="000000" w:themeColor="text1"/>
          <w:sz w:val="16"/>
          <w:szCs w:val="16"/>
        </w:rPr>
      </w:pPr>
    </w:p>
    <w:p w14:paraId="4FC9C883"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декабря 1941</w:t>
      </w:r>
    </w:p>
    <w:p w14:paraId="0B1E2814"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РГАЭ Фонд 8752 Опись 4 Дело 6 лист 75 – 79</w:t>
      </w:r>
    </w:p>
    <w:p w14:paraId="1EF43C9E"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6.XII.1941 г. № 423. зт.</w:t>
      </w:r>
    </w:p>
    <w:p w14:paraId="1AC63977"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СЕКРЕТНО </w:t>
      </w:r>
    </w:p>
    <w:p w14:paraId="41974952"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w:t>
      </w:r>
    </w:p>
    <w:p w14:paraId="63E4A661"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НАРОДНОГО КОМИССАРА ТАНКОВОЙ ПРОМЫШЛЕННОСТИ СОЮЗА ССР</w:t>
      </w:r>
    </w:p>
    <w:p w14:paraId="55CFBE0A"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70с</w:t>
      </w:r>
    </w:p>
    <w:p w14:paraId="1DBA6791"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Челябинск</w:t>
      </w:r>
    </w:p>
    <w:p w14:paraId="1323E8AA"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декабря 1941 г.</w:t>
      </w:r>
    </w:p>
    <w:p w14:paraId="63A18411"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обеспечения январского плана выпуска танков Т-34 на заводе № 183, ПРИКАЗЫВАЮ: </w:t>
      </w:r>
    </w:p>
    <w:p w14:paraId="465476DD"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w:t>
      </w:r>
    </w:p>
    <w:p w14:paraId="3160CB56"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Директору завода № 183 т. МАКСАРЕВУ Ю.Е.</w:t>
      </w:r>
    </w:p>
    <w:p w14:paraId="69656DEB"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Внедрить на заводе автотракторную технологию, для чего: </w:t>
      </w:r>
    </w:p>
    <w:p w14:paraId="7336BBBE"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к 10.1.1942 г. отработать технологический процесс на основные узлы, детали с переводом их на полуавтоматы, многорезцовые и револьверные станки, тем самым сократить потребность в недостающем станочном оборудовании. </w:t>
      </w:r>
    </w:p>
    <w:p w14:paraId="15CD4D08"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С целью освобождения прессового оборудования и снятия механической обработки, к 15 декабря с.г. перевести ряд трудоемких деталей, по предложению конструкторов, со штампов на стальное литье, в частности перевести на стальное литье: ведущее колесо, опорные катки, внутренний барабан бортовых фрикционов и т.д. </w:t>
      </w:r>
    </w:p>
    <w:p w14:paraId="0010D9B1"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К 20 января 1942 г. организовать на заводе № 183 литье из ковкого чугуна, с выпуском в сутки до 6 тн. литья. </w:t>
      </w:r>
    </w:p>
    <w:p w14:paraId="217C0E1B"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Пересмотреть конструкцию узлов деталей танка в части: </w:t>
      </w:r>
    </w:p>
    <w:p w14:paraId="2F35DB22"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перевода с горячей штамповки и стального литья на холодную штамповку и ковкий чугун; </w:t>
      </w:r>
    </w:p>
    <w:p w14:paraId="402466BE"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уменьшения количества нормального крепежа; </w:t>
      </w:r>
    </w:p>
    <w:p w14:paraId="4F865420"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сокращения ЗИПа. </w:t>
      </w:r>
    </w:p>
    <w:p w14:paraId="6F5625F1"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К 15.1.1942 г. под руководством академика ПАТОНА внедрить на заводе конвейерную автоматическую сварку корпусов с помощью сварочных автоматов. </w:t>
      </w:r>
    </w:p>
    <w:p w14:paraId="56FA71FB"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Обеспечить прием и установку оборудования эвакуированного Станкозавода им. Орджоникидзе и перестроить его работу на изготовление отдельных узлов и деталей танка общей трудоемкостью не менее 250 станкочасов на машину. </w:t>
      </w:r>
    </w:p>
    <w:p w14:paraId="60F38585"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Директору завода им. Орджоникидзе ЛЮЛЬЧЕНКО к 10.1.1942 г. закончить имеющийся задел по станкам типа 116 и 118 и наладить на этих станках обработку деталей завода 183. </w:t>
      </w:r>
    </w:p>
    <w:p w14:paraId="79562943"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На базе оборудования Инструментального цеха завода им. Орджоникидзе с добавлением необходимых 150 – 200 станков закончить монтаж вновь строящегося корпуса инструментального цеха и не позже 10.1.1942 г. настроить его на изготовление остродефицитного нормального и специального режущего и мерительного инструмента, считая работу по пуску данного цеха ударной и решающей для выполнения программы завода. </w:t>
      </w:r>
    </w:p>
    <w:p w14:paraId="7979E965"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Прибывающее оборудование Инструментального цеха завода им. Орджоникидзе временно установить в существующем инструментальном цехе завода и полностью использовать его на изготовлении оснастки. </w:t>
      </w:r>
    </w:p>
    <w:p w14:paraId="54FBC3D9"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Не допускать загрузки инструментальных цехов производственной программой завода. </w:t>
      </w:r>
    </w:p>
    <w:p w14:paraId="599534EC"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II.</w:t>
      </w:r>
    </w:p>
    <w:p w14:paraId="4C1C1A73"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Директору Станкостроительного завода им. Горького в г. Кизеле т. БЕРШАДСКОМУ не позднее 12.XII.1941 г. принять от завода № 183 и не позднее 1.1.1942 г. приступить к выпуску нижеследующих узлов машины Т-34: </w:t>
      </w:r>
    </w:p>
    <w:p w14:paraId="6D2F8A03"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19 группа кулиса и управление – 30 компл. в сутки </w:t>
      </w:r>
    </w:p>
    <w:p w14:paraId="53CE85EE"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20 группа управление – 30 компл. в сутки </w:t>
      </w:r>
    </w:p>
    <w:p w14:paraId="34F4EA95"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34 группа поворотный механизм башни – 30 компл. в сутки </w:t>
      </w:r>
    </w:p>
    <w:p w14:paraId="32D817EB"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домкраты и 75 наименований разного ЗИПа – 30 компл. в сутки </w:t>
      </w:r>
    </w:p>
    <w:p w14:paraId="271A5848"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нормального крепежа в количестве 1 миллион шт. в месяц </w:t>
      </w:r>
    </w:p>
    <w:p w14:paraId="38B987B1"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Имеющиеся в заделе на заводе им. Горького 8 автоматов закончить изготовлением в кратчайший срок и использовать дополнительно для изготовления нормалей для завода № 183. </w:t>
      </w:r>
    </w:p>
    <w:p w14:paraId="40975A5B"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III.</w:t>
      </w:r>
    </w:p>
    <w:p w14:paraId="097232B9"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Директору завода им. Ленина в г. Стерлитамаке тов. ЭЛЬЦИНУ спроектировать, изготовить и сдать наладкой, в соответствии с техническими заданиями завода № 183, следующие станки: </w:t>
      </w:r>
    </w:p>
    <w:p w14:paraId="7D1098A1"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а) специальный вертикально-сверлильный расточной станок для обработки гнезд под подшипники колес в количестве 6 штук. Из них: 3 станка к 1.1.1942 г. и 3 станка к 15.1.1942 г.; </w:t>
      </w:r>
    </w:p>
    <w:p w14:paraId="00BC45E3"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вертикально-сверлильный расточной многошпиндельный станок для обработки балансиров в количестве 2-х шт., со сроком изготовления – 20.1.1942 г.; </w:t>
      </w:r>
    </w:p>
    <w:p w14:paraId="51D1D06F"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вертикально-сверлильных многошпиндельных станков для обсверливания разных деталей машины в количестве 10 шт. Из них: 3 станка к 1.1.1942 г. и 7 станков к 15.1.1942 г.; </w:t>
      </w:r>
    </w:p>
    <w:p w14:paraId="79360A4A"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Съемных многошпиндельных сверлильных головок с кондукторами для наличного парка станков завода № 183 в количестве 75 шт. Из них: 40 шт. к 1.1.1942 г. и 35 шт. к 20.1.1942 г. </w:t>
      </w:r>
    </w:p>
    <w:p w14:paraId="2935A7A1"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IV.</w:t>
      </w:r>
    </w:p>
    <w:p w14:paraId="0A6C90F3"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Изготовить по чертежам завода № 183 приспособления для обработки деталей. </w:t>
      </w:r>
    </w:p>
    <w:p w14:paraId="02017C5E"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директору завода "Коммунар" в г. Саракташ – 50 приспособлений; </w:t>
      </w:r>
    </w:p>
    <w:p w14:paraId="0E0CDD92"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директору Чкаловского станкозавода т. РЯБЦЕВУ – 50 приспособлений; </w:t>
      </w:r>
    </w:p>
    <w:p w14:paraId="1E9CDF18"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директору завода им. Горького в г. Кизел т. БЕРШАДСКОМУ – 75 приспособлений, </w:t>
      </w:r>
    </w:p>
    <w:p w14:paraId="032756EB"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 сроками изготовления – 25 дней со дня получения чертежей, но не позже 20 января 1942 г. </w:t>
      </w:r>
    </w:p>
    <w:p w14:paraId="173E1585"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Директору ЭНИМС т. МАСЛЕННИКОВУ к 1.II.1942 г. спроектировать, изготовить и сдать в налаженном виде в соответствии с заданием завода № 183 комплект станков для обработки бандажей колес под обрезинку с пропускной способностью 800 деталей в сутки. </w:t>
      </w:r>
    </w:p>
    <w:p w14:paraId="43CC3FDF"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Директору Горьковского завода фрезерных станков т. РЯБЦЕВУ к 1.II.1942 г. изготовить и сдать в налаженном виде в соответствии с техническим заданием завода № 183 2 продольно-фрезерных и 3 – 4 шпиндельных станка для обработки плоскостей разъема корпуса коробки скоростей. </w:t>
      </w:r>
    </w:p>
    <w:p w14:paraId="0DBB3378"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V.</w:t>
      </w:r>
    </w:p>
    <w:p w14:paraId="61B233D2"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Директору Кировского завода в г. Челябинске тов. ЗАЛЬЦМАН И.М.: </w:t>
      </w:r>
    </w:p>
    <w:p w14:paraId="0C7AE618"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Спроектировать и изготовить штампы для горячей штамповки по номенклатуре завода № 183 в количестве 75 комплектов в декабре и январе 1942 г. из кубиков заказчика. </w:t>
      </w:r>
    </w:p>
    <w:p w14:paraId="61D9E249"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Изготовить по чертежам завода № 183 30 штампов для холодной штамповки деталей со сроком сдачи в декабре и январе 1942 г. </w:t>
      </w:r>
    </w:p>
    <w:p w14:paraId="7ECAF3DD"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Не позже 15.XII.1941 г. откомандировать на завод № 183 3-х опытных специалистов по холодной штамповке. </w:t>
      </w:r>
    </w:p>
    <w:p w14:paraId="4AFA7453"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Отлить по моделям завода № 183 в течение декабря с.г. и января 1942 г. 300 комплектов корпусов коробки скоростей из алюминия. </w:t>
      </w:r>
    </w:p>
    <w:p w14:paraId="054D648E"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В течение декабря с.г. и января 1942 г. изготовить заводу № 183 следующий инструмент: </w:t>
      </w:r>
    </w:p>
    <w:p w14:paraId="05174B3F"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70 шт. долбяков и 4 комплекта протяжек, </w:t>
      </w:r>
    </w:p>
    <w:p w14:paraId="69AE5114"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провести обработку в части затыловки, термообработки и шлифовки следующего инструмента: </w:t>
      </w:r>
    </w:p>
    <w:p w14:paraId="5F695803"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75 штук червячных фрез, </w:t>
      </w:r>
    </w:p>
    <w:p w14:paraId="67624C92"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штук модельных червячных фрез, </w:t>
      </w:r>
    </w:p>
    <w:p w14:paraId="412062F1"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штук резьбовых фрез, </w:t>
      </w:r>
    </w:p>
    <w:p w14:paraId="12809297"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обеспечив равномерную подачу инструмента в указанные сроки. </w:t>
      </w:r>
    </w:p>
    <w:p w14:paraId="698478EE"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VI.</w:t>
      </w:r>
    </w:p>
    <w:p w14:paraId="1A2026A5"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Моему заместителю т. ПЕТРОСЬЯНЦ: </w:t>
      </w:r>
    </w:p>
    <w:p w14:paraId="5E7735CC"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Обеспечить завод № 183 необходимыми станками согласно списка № 1 за счет передачи их с других заводов и изготовления новых. </w:t>
      </w:r>
    </w:p>
    <w:p w14:paraId="1E57B33F"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Перебросить с Кировского завода следующие штамповочные молота: </w:t>
      </w:r>
    </w:p>
    <w:p w14:paraId="25842D16"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молот мощностью 0,8 тн. – 1 шт. </w:t>
      </w:r>
    </w:p>
    <w:p w14:paraId="5AC27D7B"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молот мощностью 4 тн. – 1 шт. (без шабота) </w:t>
      </w:r>
    </w:p>
    <w:p w14:paraId="7254C560"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Заместителю начальника Технического отдела НКТП тов. РЫБКИНУ А.П. к 10.XII.1941 г. откомандировать на завод № 183 группу опытных конструкторов и технологов по проектированию приспособлений, многорезцовых наладок и спецстанков в составе не менее 40 – 50 человек на срок не менее 2-х мес. </w:t>
      </w:r>
    </w:p>
    <w:p w14:paraId="3924F115"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Начальнику Главснаба НКТП тов. РОЗИНУ к 15.XII.1941 г. обеспечить завод № 183 пластинками "Победит", необходимыми для изготовления сверл по обработки брони в количестве 2000 шт. согласно спецификации завода и 100 кгр. американского карболоида для наплавки зубил и специнструмента по обработке брони. </w:t>
      </w:r>
    </w:p>
    <w:p w14:paraId="59417A2F"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Учитывая исключительную важность в короткий срок обеспечить на заводе № 183 выпуск большого количества танков, уверен, что все директора заводов, коим поручено этим приказом изготовить для завода № 183 станки, инструмент, штамповку и т.д., выполнят с честью возложенные на них обязательства и не сорвут выпуск танков.</w:t>
      </w:r>
    </w:p>
    <w:p w14:paraId="3FF948D2"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НАРОДНЫЙ КОМИССАР ТАНКОВОЙ ПРОМЫШЛЕННОСТИ СОЮЗА ССР</w:t>
      </w:r>
    </w:p>
    <w:p w14:paraId="596B81C5" w14:textId="77777777" w:rsidR="00DE7A4A" w:rsidRPr="00640820" w:rsidRDefault="00DE7A4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подпись (В. МАЛЫШЕВ)</w:t>
      </w:r>
    </w:p>
    <w:p w14:paraId="0C5E4879" w14:textId="77777777" w:rsidR="00DE7A4A" w:rsidRPr="00640820" w:rsidRDefault="00DE7A4A" w:rsidP="00640820">
      <w:pPr>
        <w:spacing w:after="0" w:line="240" w:lineRule="auto"/>
        <w:jc w:val="both"/>
        <w:rPr>
          <w:rFonts w:ascii="Times New Roman" w:hAnsi="Times New Roman"/>
          <w:color w:val="000000" w:themeColor="text1"/>
          <w:sz w:val="16"/>
          <w:szCs w:val="16"/>
        </w:rPr>
      </w:pPr>
    </w:p>
    <w:p w14:paraId="180EFEA2" w14:textId="77777777" w:rsidR="00E31893" w:rsidRPr="00640820" w:rsidRDefault="00E31893"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декабря 1941 г. нарком танковой промышленности В.А. Малышев поставил перед директором завода № 183 Е.Ю. Максарёвым задачу "внедрить на заводе автотракторную технологию" (РГАЭ, ф. 8752, оп. 1, д. 82, л. 167-169; оп. 4, д. 2, л. 21.). В данном случае термин "автотракторная технология" был использован Малышевым как синоним технологии массового производства, так как в СССР до войны именно в автотракторной промышленности она была реализована в наибольшей мере. При этом в первую очередь обращалось внимание на изменения техпроцесса для перехода к использованию более производительных специализированных станков - полуавтоматов, многорезцовых, револьверных и др. Следующая задача - переход к более широкому использованию литья, особенно для изготовления трудоемких деталей. Наконец, была поставлена задача освоения метода академика Патона по автоматической сварке корпусов. Он резко сокращал расход рабочей силы при сварке и снижал требования к уровню подготовки персонала (11786).</w:t>
      </w:r>
    </w:p>
    <w:p w14:paraId="124B5AEE" w14:textId="77777777" w:rsidR="00E31893" w:rsidRPr="00640820" w:rsidRDefault="00E31893" w:rsidP="00640820">
      <w:pPr>
        <w:autoSpaceDE w:val="0"/>
        <w:autoSpaceDN w:val="0"/>
        <w:adjustRightInd w:val="0"/>
        <w:spacing w:after="0" w:line="240" w:lineRule="auto"/>
        <w:jc w:val="both"/>
        <w:rPr>
          <w:rFonts w:ascii="Times New Roman" w:hAnsi="Times New Roman"/>
          <w:color w:val="000000" w:themeColor="text1"/>
          <w:sz w:val="16"/>
          <w:szCs w:val="16"/>
        </w:rPr>
      </w:pPr>
    </w:p>
    <w:p w14:paraId="6FEC1A46" w14:textId="77777777" w:rsidR="00E31893" w:rsidRPr="00640820" w:rsidRDefault="00E31893"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9 декабря 1941 года вышел приказ наркома танковой промышленности В. А. Малышева № 70с: </w:t>
      </w:r>
    </w:p>
    <w:p w14:paraId="4FB8EA03" w14:textId="77777777" w:rsidR="00E31893" w:rsidRPr="00640820" w:rsidRDefault="00E31893"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 Внедрить на заводе автотракторную технологию (В этом приказе термин "автотракторная технология" использован как синоним технологии массового производства, так как в СССР технологии массового производства в наибольшей мере использовались в автомобильной и тракторной промышленности.), для чего: </w:t>
      </w:r>
    </w:p>
    <w:p w14:paraId="03F6553A" w14:textId="77777777" w:rsidR="00E31893" w:rsidRPr="00640820" w:rsidRDefault="00E31893"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к 10.1.1942 г. отработать технологический процесс на основные узлы и детали с переводом их на полуавтоматы, многорезцовые и револьверные станки, тем самым сократить потребности в недостающем станочном оборудовании.</w:t>
      </w:r>
    </w:p>
    <w:p w14:paraId="1C304746" w14:textId="77777777" w:rsidR="00E31893" w:rsidRPr="00640820" w:rsidRDefault="00E31893"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С целью освобождения прессового оборудования и снятия механической обработки, к 15 декабря с. г. перевести ряд трудоёмких деталей, по предложению конструкторов, со штампов на стальное литьё, в частности, перевести на стальное литьё: ведущее колесо, опорные катки, внутренний барабан бортовых фрикционов и т. д.</w:t>
      </w:r>
    </w:p>
    <w:p w14:paraId="032AFA90" w14:textId="77777777" w:rsidR="00E31893" w:rsidRPr="00640820" w:rsidRDefault="00E31893"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К 20 января 1942 г. организовать на заводе # 183 литьё из ковкого чугуна, с выпуском в сутки 6 тн. литья.</w:t>
      </w:r>
    </w:p>
    <w:p w14:paraId="22DB0748" w14:textId="77777777" w:rsidR="00E31893" w:rsidRPr="00640820" w:rsidRDefault="00E31893"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Пересмотреть конструкцию узлов деталей танка в части:</w:t>
      </w:r>
    </w:p>
    <w:p w14:paraId="47B32C00" w14:textId="77777777" w:rsidR="00E31893" w:rsidRPr="00640820" w:rsidRDefault="00E31893"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перевода с горячей штамповки и стального литья на холодную штамповку и ковкий чугун; …</w:t>
      </w:r>
    </w:p>
    <w:p w14:paraId="3FABDA7C" w14:textId="77777777" w:rsidR="00E31893" w:rsidRPr="00640820" w:rsidRDefault="00E31893"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К 15.1.1942 г. под руководством академика ПАТОНА внедрить на заводе конвейерную автоматическую сварку корпусов с помощью сварочных автоматов" (РГАЭ. Ф. 8752. Оп. 4. Д. 6. Л. 79.) (11787).</w:t>
      </w:r>
    </w:p>
    <w:p w14:paraId="3EE9A2C2" w14:textId="77777777" w:rsidR="00E31893" w:rsidRPr="00640820" w:rsidRDefault="00E31893" w:rsidP="00640820">
      <w:pPr>
        <w:autoSpaceDE w:val="0"/>
        <w:autoSpaceDN w:val="0"/>
        <w:adjustRightInd w:val="0"/>
        <w:spacing w:after="0" w:line="240" w:lineRule="auto"/>
        <w:jc w:val="both"/>
        <w:rPr>
          <w:rFonts w:ascii="Times New Roman" w:hAnsi="Times New Roman"/>
          <w:color w:val="000000" w:themeColor="text1"/>
          <w:sz w:val="16"/>
          <w:szCs w:val="16"/>
        </w:rPr>
      </w:pPr>
    </w:p>
    <w:p w14:paraId="2415D2E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декабря 1941 г. вышла СПРАВКА ГАБТУ ОБ ОТГРУЗКЕ ЗАГРАНИЧНЫХ ТАНКОВ И АВТОМАШИН (Данные сведения получены 9 декабря 1941 г. от заместителя наркома внешней торговли СССР т. Крутикова)</w:t>
      </w:r>
    </w:p>
    <w:p w14:paraId="7448CD5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Англия, Америка обязаны по соглашению с нами давать 500 танков ежемесячно из них:</w:t>
      </w:r>
    </w:p>
    <w:p w14:paraId="27FB8D1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Англия — 250;</w:t>
      </w:r>
    </w:p>
    <w:p w14:paraId="7861055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Америка — 250.</w:t>
      </w:r>
    </w:p>
    <w:p w14:paraId="3D1603B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Англия взяла на себя обязательство поставлять ежемесячно 200 транспортеров.</w:t>
      </w:r>
    </w:p>
    <w:p w14:paraId="10985C2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Получено за октябрь и ноябрь месяцы из Англии 304 танка. Недогруз составляет 196 танков.</w:t>
      </w:r>
    </w:p>
    <w:p w14:paraId="4014A04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Всего получено из Англии по 8 декабря с.г. 324 танка, из них: 142 типа «Матильда» и 182 типа «Валентин».</w:t>
      </w:r>
    </w:p>
    <w:p w14:paraId="7256C37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В Архангельск прибыл еще один караван судов, в котором находится 81 танк. К разгрузке тан</w:t>
      </w:r>
      <w:r w:rsidRPr="00640820">
        <w:rPr>
          <w:rFonts w:ascii="Times New Roman" w:hAnsi="Times New Roman"/>
          <w:color w:val="000000" w:themeColor="text1"/>
          <w:sz w:val="16"/>
          <w:szCs w:val="16"/>
        </w:rPr>
        <w:softHyphen/>
        <w:t>ков еще не приступали.</w:t>
      </w:r>
    </w:p>
    <w:p w14:paraId="0596E65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В Америке закуплено 166 танков, из них 94 легких и 72 средних.</w:t>
      </w:r>
    </w:p>
    <w:p w14:paraId="090E324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Отправлено и находится в пути 62 танка, из которых 47 погружено в октябре и 15 в ноябре. По средним танкам доставлено в порт 42 штуки, из которых 10 погружено на пароходы, но еще не от</w:t>
      </w:r>
      <w:r w:rsidRPr="00640820">
        <w:rPr>
          <w:rFonts w:ascii="Times New Roman" w:hAnsi="Times New Roman"/>
          <w:color w:val="000000" w:themeColor="text1"/>
          <w:sz w:val="16"/>
          <w:szCs w:val="16"/>
        </w:rPr>
        <w:softHyphen/>
        <w:t>правлено.</w:t>
      </w:r>
    </w:p>
    <w:p w14:paraId="00AA9B0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Первая партия американских танков в количестве 47 легких танков ожидается в Архангельске 20-30 числах декабря с.г.</w:t>
      </w:r>
    </w:p>
    <w:p w14:paraId="2C09B32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С американскими танками едет 66 американских специалистов (квалификация и специаль</w:t>
      </w:r>
      <w:r w:rsidRPr="00640820">
        <w:rPr>
          <w:rFonts w:ascii="Times New Roman" w:hAnsi="Times New Roman"/>
          <w:color w:val="000000" w:themeColor="text1"/>
          <w:sz w:val="16"/>
          <w:szCs w:val="16"/>
        </w:rPr>
        <w:softHyphen/>
        <w:t>ность неизвестна). Американские специалисты будут доставлены распоряжением наркома внешней торговли в Архангельск и будут переданы НКО.</w:t>
      </w:r>
    </w:p>
    <w:p w14:paraId="0B2AE30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Проект условий содержания и оплаты американских специалистов, посланный в Америку нар</w:t>
      </w:r>
      <w:r w:rsidRPr="00640820">
        <w:rPr>
          <w:rFonts w:ascii="Times New Roman" w:hAnsi="Times New Roman"/>
          <w:color w:val="000000" w:themeColor="text1"/>
          <w:sz w:val="16"/>
          <w:szCs w:val="16"/>
        </w:rPr>
        <w:softHyphen/>
        <w:t>комом внешней торговли на согласование, прилагаю.</w:t>
      </w:r>
    </w:p>
    <w:p w14:paraId="0754F65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8. В Америке будет закупаться ежемесячно 10000 автомобилей, из них будут доставляться через Иран 2000 штук, путь Нью-Йорк - Персидский залив составляет около 55 дней. Англия обязалась поставить нам 2000 автомашин (срок не указан).</w:t>
      </w:r>
    </w:p>
    <w:p w14:paraId="617B924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В Америке до 9 декабря с.г. закуплено 10500 грузовых автомашин (считая уже полученные 500 автомашин фирмы «Мармон-Херингтон» и 5000 разведывательных машин типа «Пигмей» (1000 ти</w:t>
      </w:r>
      <w:r w:rsidRPr="00640820">
        <w:rPr>
          <w:rFonts w:ascii="Times New Roman" w:hAnsi="Times New Roman"/>
          <w:color w:val="000000" w:themeColor="text1"/>
          <w:sz w:val="16"/>
          <w:szCs w:val="16"/>
        </w:rPr>
        <w:softHyphen/>
        <w:t>па Бантам и 4000 типа Виллис).</w:t>
      </w:r>
    </w:p>
    <w:p w14:paraId="5CA6A89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них доставлено в порты 5080 грузовых автомашин, погружено на переходы 2577 штук, из ко</w:t>
      </w:r>
      <w:r w:rsidRPr="00640820">
        <w:rPr>
          <w:rFonts w:ascii="Times New Roman" w:hAnsi="Times New Roman"/>
          <w:color w:val="000000" w:themeColor="text1"/>
          <w:sz w:val="16"/>
          <w:szCs w:val="16"/>
        </w:rPr>
        <w:softHyphen/>
        <w:t>торых 2077 штук находится в пути. Разведывательных машин доставлено в порты 744 штуки, из них находится в пути 72 штуки.</w:t>
      </w:r>
    </w:p>
    <w:p w14:paraId="009F348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ожидается прибытие 900 штук автомашин, в январе около 5000 штук.</w:t>
      </w:r>
    </w:p>
    <w:p w14:paraId="76ADE57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Лимитирует доставку морской транспорт и пропускная способность Архангельского порта. В последнем предполагается разгружать ежемесячно в зимний период около 30 пароходов. Для дос</w:t>
      </w:r>
      <w:r w:rsidRPr="00640820">
        <w:rPr>
          <w:rFonts w:ascii="Times New Roman" w:hAnsi="Times New Roman"/>
          <w:color w:val="000000" w:themeColor="text1"/>
          <w:sz w:val="16"/>
          <w:szCs w:val="16"/>
        </w:rPr>
        <w:softHyphen/>
        <w:t>тавки 10000 автомашин требуется 50 пароходов.</w:t>
      </w:r>
    </w:p>
    <w:p w14:paraId="0848232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Первые пароходы на Иран прибудут в начале февраля 1942 г. На месте выгрузки они будут собираться и затем своим ходом их необходимо перегонять к нам в Советский Союз.</w:t>
      </w:r>
    </w:p>
    <w:p w14:paraId="527A55C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перегонки машин потребуется 2000 шоферов. Бензин для доставки автомашин будет заку</w:t>
      </w:r>
      <w:r w:rsidRPr="00640820">
        <w:rPr>
          <w:rFonts w:ascii="Times New Roman" w:hAnsi="Times New Roman"/>
          <w:color w:val="000000" w:themeColor="text1"/>
          <w:sz w:val="16"/>
          <w:szCs w:val="16"/>
        </w:rPr>
        <w:softHyphen/>
        <w:t>паться Наркомвнешторгом в Иране.</w:t>
      </w:r>
    </w:p>
    <w:p w14:paraId="3A39AAB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Требующиеся для обслуживания танков и автомашин специалисты монтажники, ремонтни</w:t>
      </w:r>
      <w:r w:rsidRPr="00640820">
        <w:rPr>
          <w:rFonts w:ascii="Times New Roman" w:hAnsi="Times New Roman"/>
          <w:color w:val="000000" w:themeColor="text1"/>
          <w:sz w:val="16"/>
          <w:szCs w:val="16"/>
        </w:rPr>
        <w:softHyphen/>
        <w:t>ки, инструктора могут быть командированы по нашей заявке Наркомвнешторгом, которым будет сделан соответствующий запрос в Англию и Америку.</w:t>
      </w:r>
    </w:p>
    <w:p w14:paraId="51578FF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Приложение. Условия содержания и оплаты американских специалистов</w:t>
      </w:r>
      <w:r w:rsidRPr="00640820">
        <w:rPr>
          <w:rFonts w:ascii="Times New Roman" w:hAnsi="Times New Roman"/>
          <w:color w:val="000000" w:themeColor="text1"/>
          <w:sz w:val="16"/>
          <w:szCs w:val="16"/>
          <w:vertAlign w:val="superscript"/>
        </w:rPr>
        <w:t>9</w:t>
      </w:r>
      <w:r w:rsidRPr="00640820">
        <w:rPr>
          <w:rFonts w:ascii="Times New Roman" w:hAnsi="Times New Roman"/>
          <w:color w:val="000000" w:themeColor="text1"/>
          <w:sz w:val="16"/>
          <w:szCs w:val="16"/>
        </w:rPr>
        <w:t>.</w:t>
      </w:r>
    </w:p>
    <w:p w14:paraId="2739D96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Заместитель начальника ГАБТУ КА генерал-майор технических войск Лебедев</w:t>
      </w:r>
    </w:p>
    <w:p w14:paraId="71554D5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kern w:val="65535"/>
          <w:sz w:val="16"/>
          <w:szCs w:val="16"/>
        </w:rPr>
      </w:pPr>
      <w:r w:rsidRPr="00640820">
        <w:rPr>
          <w:rFonts w:ascii="Times New Roman" w:hAnsi="Times New Roman"/>
          <w:color w:val="000000" w:themeColor="text1"/>
          <w:kern w:val="65535"/>
          <w:sz w:val="16"/>
          <w:szCs w:val="16"/>
        </w:rPr>
        <w:t>ЦАМО. Ф. 38. Оп. 11355. Д. 648. Л. 117-118. Подлинник (11211).</w:t>
      </w:r>
    </w:p>
    <w:p w14:paraId="7085843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kern w:val="65535"/>
          <w:sz w:val="16"/>
          <w:szCs w:val="16"/>
        </w:rPr>
      </w:pPr>
    </w:p>
    <w:p w14:paraId="4D2DD1A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декабря 1941 г. вышел ОТЧЕТ ПОМОЩНИКА НАЧАЛЬНИКА РЭУ ГАБТУ О СОСТОЯНИИ И РАБОТЕ РЕМОНТНЫХ БАЗ НКО СССР</w:t>
      </w:r>
    </w:p>
    <w:p w14:paraId="71D1AD6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Доношу о состоянии и работе эвакуированных ремонтных баз НКО СССР.</w:t>
      </w:r>
    </w:p>
    <w:p w14:paraId="13F5C37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Рембаза № 1</w:t>
      </w:r>
    </w:p>
    <w:p w14:paraId="5658D36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ноября 1941 г. первый эшелон рембазы прибыл на станцию Пугачевск.</w:t>
      </w:r>
    </w:p>
    <w:p w14:paraId="28B2ACC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Постановлением исполнительного комитета Пугачевского районного совета рембазе № 1 пред</w:t>
      </w:r>
      <w:r w:rsidRPr="00640820">
        <w:rPr>
          <w:rFonts w:ascii="Times New Roman" w:hAnsi="Times New Roman"/>
          <w:color w:val="000000" w:themeColor="text1"/>
          <w:sz w:val="16"/>
          <w:szCs w:val="16"/>
        </w:rPr>
        <w:softHyphen/>
        <w:t>ставлены помещения МТМ и МТС, склада Госсортфонда и бытовые помещения пищекомбината для размещения столовой.</w:t>
      </w:r>
    </w:p>
    <w:p w14:paraId="6999FA2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постановлению горисполкома рабочие и служащие расселяются в порядке уплотнения на жилфонде г. Пугачева.</w:t>
      </w:r>
    </w:p>
    <w:p w14:paraId="531F3B3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Общее количество производственных помещений (исключая складские и вспомогательные) -1860кв.м.</w:t>
      </w:r>
    </w:p>
    <w:p w14:paraId="702F363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Оборудование МТМ не демонтировано и с 22 ноября используется для обслуживания главного механика рембазы.</w:t>
      </w:r>
    </w:p>
    <w:p w14:paraId="5E3F031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Начат монтаж станков, заложены фундаменты для стендов испытательной станции и кузнечных молотов. Готовы к началу работ — сварочная, литейная и кузница. 5 декабря начат ремонт моторов Т-26. Выпуск моторов из ремонта ожидается 20 декабря 1941 г. На декабрь месяц рембазе спущено плановое задание — 25 капитальных ремонтов Т-26 (в условных единицах).</w:t>
      </w:r>
    </w:p>
    <w:p w14:paraId="32675F8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Рембаза имеет 318 человек рабочих и служащих. 100 человек находится с эшелоном, следующим в г. Пугачевск.</w:t>
      </w:r>
    </w:p>
    <w:p w14:paraId="42C9934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расширения производственных площадей рембазы путем упрощенного строительства хоз</w:t>
      </w:r>
      <w:r w:rsidRPr="00640820">
        <w:rPr>
          <w:rFonts w:ascii="Times New Roman" w:hAnsi="Times New Roman"/>
          <w:color w:val="000000" w:themeColor="text1"/>
          <w:sz w:val="16"/>
          <w:szCs w:val="16"/>
        </w:rPr>
        <w:softHyphen/>
        <w:t>способом и разрешения вопросов электроснабжения, теплофикации и т.п. на рембазу командирова</w:t>
      </w:r>
      <w:r w:rsidRPr="00640820">
        <w:rPr>
          <w:rFonts w:ascii="Times New Roman" w:hAnsi="Times New Roman"/>
          <w:color w:val="000000" w:themeColor="text1"/>
          <w:sz w:val="16"/>
          <w:szCs w:val="16"/>
        </w:rPr>
        <w:softHyphen/>
        <w:t>на бригада в составе 6 человек из оперативной группы КЭУ.</w:t>
      </w:r>
    </w:p>
    <w:p w14:paraId="4A2378E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Рембаза № 2</w:t>
      </w:r>
    </w:p>
    <w:p w14:paraId="4DE1667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Эшелоны рембазы № 2 прибыли в г. Актюбинск 13 ноября 1941 г. для размещения рембазы на вспомогательных площадях комбината НКВД, отведенных рембазе постановлением Эвакосовета. Актюбинский обком НКВД ВКП(б) опротестовал решение Эвакосовета и переотправил эшелоны рембазы на ст. Яйсан Оренбургской железной дороги (100 км от Актюбинска в сторону Куйбышева).</w:t>
      </w:r>
    </w:p>
    <w:p w14:paraId="5B25DB4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ст. Яйсан имеется кирпичное здание МТМ с печным отоплением площадью 1200 кв.м и шесть саманных зданий не утепленных — площадью до 3500 кв.м и один навес площадью 1500 кв.м. Кроме этого, в одном километре от МТМ находятся три саманных неотепленных постройки площадью 1600 кв.м. Водопровода нет.</w:t>
      </w:r>
    </w:p>
    <w:p w14:paraId="565ABF2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МТМ имеется электростанция мощностью 20 квч.</w:t>
      </w:r>
    </w:p>
    <w:p w14:paraId="7265605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Рабочие и служащие расселены в окрестностях ст. Яйсан.</w:t>
      </w:r>
    </w:p>
    <w:p w14:paraId="362DC38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Ввиду отсутствия требуемого количества площадей на рембазе № 2 принято решение присту</w:t>
      </w:r>
      <w:r w:rsidRPr="00640820">
        <w:rPr>
          <w:rFonts w:ascii="Times New Roman" w:hAnsi="Times New Roman"/>
          <w:color w:val="000000" w:themeColor="text1"/>
          <w:sz w:val="16"/>
          <w:szCs w:val="16"/>
        </w:rPr>
        <w:softHyphen/>
        <w:t>пить к упрощенному строительству хозспособом. Для оказания помощи по приспособлению поме</w:t>
      </w:r>
      <w:r w:rsidRPr="00640820">
        <w:rPr>
          <w:rFonts w:ascii="Times New Roman" w:hAnsi="Times New Roman"/>
          <w:color w:val="000000" w:themeColor="text1"/>
          <w:sz w:val="16"/>
          <w:szCs w:val="16"/>
        </w:rPr>
        <w:softHyphen/>
        <w:t>щений к строительству дополнительных площадей на рембазу № 2 командировано из г. Чкалова опе</w:t>
      </w:r>
      <w:r w:rsidRPr="00640820">
        <w:rPr>
          <w:rFonts w:ascii="Times New Roman" w:hAnsi="Times New Roman"/>
          <w:color w:val="000000" w:themeColor="text1"/>
          <w:sz w:val="16"/>
          <w:szCs w:val="16"/>
        </w:rPr>
        <w:softHyphen/>
        <w:t>ративная бригада КЭУ из 6 человек.</w:t>
      </w:r>
    </w:p>
    <w:p w14:paraId="14B29DF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Рембаза получила плановое задание на декабрь месяц 1941 г. и задание на 1 квартал 1942 г.</w:t>
      </w:r>
    </w:p>
    <w:p w14:paraId="2362954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Рембаза № 3.</w:t>
      </w:r>
    </w:p>
    <w:p w14:paraId="18056D0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Постановлением Эвакосовета от 11 ноября 1941 г. для размещения рембазы № 3 отведено поме</w:t>
      </w:r>
      <w:r w:rsidRPr="00640820">
        <w:rPr>
          <w:rFonts w:ascii="Times New Roman" w:hAnsi="Times New Roman"/>
          <w:color w:val="000000" w:themeColor="text1"/>
          <w:sz w:val="16"/>
          <w:szCs w:val="16"/>
        </w:rPr>
        <w:softHyphen/>
        <w:t>щение Выровской МТМ Тогайского района Куйбышевской области (40 км от г. Ульяновска).</w:t>
      </w:r>
    </w:p>
    <w:p w14:paraId="2334942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Производственная площадь Выровской МТМ 2500 кв.м. Помещения в удовлетворительном со</w:t>
      </w:r>
      <w:r w:rsidRPr="00640820">
        <w:rPr>
          <w:rFonts w:ascii="Times New Roman" w:hAnsi="Times New Roman"/>
          <w:color w:val="000000" w:themeColor="text1"/>
          <w:sz w:val="16"/>
          <w:szCs w:val="16"/>
        </w:rPr>
        <w:softHyphen/>
        <w:t>стоянии и требующие ремонта.</w:t>
      </w:r>
    </w:p>
    <w:p w14:paraId="3323E07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kern w:val="65535"/>
          <w:sz w:val="16"/>
          <w:szCs w:val="16"/>
        </w:rPr>
      </w:pPr>
      <w:r w:rsidRPr="00640820">
        <w:rPr>
          <w:rFonts w:ascii="Times New Roman" w:hAnsi="Times New Roman"/>
          <w:color w:val="000000" w:themeColor="text1"/>
          <w:kern w:val="65535"/>
          <w:sz w:val="16"/>
          <w:szCs w:val="16"/>
        </w:rPr>
        <w:t>Куйбышевский обком ВКП(б) и облисполком оказывает сопротивление размещению рембазы на площадях Выровской МТМ, ссылаясь на постановление ЦК ВКП(б) - СНК от 17 ноября 1941 г., освобождающее предприятие НКЗ и НКСовхозов от заказов НКО и полного переключения этих пред</w:t>
      </w:r>
      <w:r w:rsidRPr="00640820">
        <w:rPr>
          <w:rFonts w:ascii="Times New Roman" w:hAnsi="Times New Roman"/>
          <w:color w:val="000000" w:themeColor="text1"/>
          <w:kern w:val="65535"/>
          <w:sz w:val="16"/>
          <w:szCs w:val="16"/>
        </w:rPr>
        <w:softHyphen/>
        <w:t>приятий для ремонта тракторов к посевной кампании.</w:t>
      </w:r>
    </w:p>
    <w:p w14:paraId="02667E8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рембазы № 3 подполковник т. Дудинов прибыл в Куйбышев, где получил указания о немедленном занятии МТМ и развертывании рембазы. Эшелоны рембазы разгружнены на ст. Вы-ры 22 ноября. Рабочие расселены в селе Выры в 5 км от МТМ.</w:t>
      </w:r>
    </w:p>
    <w:p w14:paraId="311110A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Энергией рембаза не обеспечена ввиду того, что локомотив МТМ, работающий на генератор, тре</w:t>
      </w:r>
      <w:r w:rsidRPr="00640820">
        <w:rPr>
          <w:rFonts w:ascii="Times New Roman" w:hAnsi="Times New Roman"/>
          <w:color w:val="000000" w:themeColor="text1"/>
          <w:sz w:val="16"/>
          <w:szCs w:val="16"/>
        </w:rPr>
        <w:softHyphen/>
        <w:t>бует ремонта. Рембаза имеет свою смонтированную установку на 80 кВт.ч, вывезенную из Москвы.</w:t>
      </w:r>
    </w:p>
    <w:p w14:paraId="76B9C4E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 обращаюсь в Госконтроль за помощью, так как Эвакосовет своего решения не отменил, а об</w:t>
      </w:r>
      <w:r w:rsidRPr="00640820">
        <w:rPr>
          <w:rFonts w:ascii="Times New Roman" w:hAnsi="Times New Roman"/>
          <w:color w:val="000000" w:themeColor="text1"/>
          <w:sz w:val="16"/>
          <w:szCs w:val="16"/>
        </w:rPr>
        <w:softHyphen/>
        <w:t>ластные и районные организации не содействуют размещению рембазы на площадях МТМ.</w:t>
      </w:r>
    </w:p>
    <w:p w14:paraId="4FC456D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Рембаза № 5.</w:t>
      </w:r>
    </w:p>
    <w:p w14:paraId="3A437C0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Рембаза при содействии военного совета УрВО и Свердловского обкома ВКП(б) разместилась на площадях Свердловского авторемонтного завода.</w:t>
      </w:r>
    </w:p>
    <w:p w14:paraId="49FAB65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 оборудование, материалы, запчасти, рабочие и служащие переданы рембазе № 5.</w:t>
      </w:r>
    </w:p>
    <w:p w14:paraId="3231391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Рембаза подчинена АБТУ УрВО.</w:t>
      </w:r>
    </w:p>
    <w:p w14:paraId="2567DDE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Рембаза № 6.</w:t>
      </w:r>
    </w:p>
    <w:p w14:paraId="1CB8C9C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Вопрос о передаче рембазе № 6 производственных цехов кожевенного завода им. Чкалова по</w:t>
      </w:r>
      <w:r w:rsidRPr="00640820">
        <w:rPr>
          <w:rFonts w:ascii="Times New Roman" w:hAnsi="Times New Roman"/>
          <w:color w:val="000000" w:themeColor="text1"/>
          <w:sz w:val="16"/>
          <w:szCs w:val="16"/>
        </w:rPr>
        <w:softHyphen/>
        <w:t>ставлен перед Госпланом и СНК СССР. До настоящего времени вопрос не разрешен. Завод им. Чка</w:t>
      </w:r>
      <w:r w:rsidRPr="00640820">
        <w:rPr>
          <w:rFonts w:ascii="Times New Roman" w:hAnsi="Times New Roman"/>
          <w:color w:val="000000" w:themeColor="text1"/>
          <w:sz w:val="16"/>
          <w:szCs w:val="16"/>
        </w:rPr>
        <w:softHyphen/>
        <w:t>лова передан рембазе № 6 постановлением Горьковского обкома ВКГТ(б) и рембаза № 6 приступила к освоению указанных площадей.</w:t>
      </w:r>
    </w:p>
    <w:p w14:paraId="782094A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Рембаза № 7.</w:t>
      </w:r>
    </w:p>
    <w:p w14:paraId="14F2C21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Дислоцирована в г. Астрахань и размещается на площадях:</w:t>
      </w:r>
    </w:p>
    <w:p w14:paraId="400C27C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Астраханского трам. парка площадью — 1660 кв.м.</w:t>
      </w:r>
    </w:p>
    <w:p w14:paraId="2D5F8F3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Помещения автобазы — 2280 кв.м.</w:t>
      </w:r>
    </w:p>
    <w:p w14:paraId="4606A74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Мастерских и складах промкомбината — 828 кв.м.</w:t>
      </w:r>
    </w:p>
    <w:p w14:paraId="084BDDE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Помещения, отведенные для рембазы, приводятся в порядок в соответствии с технологически</w:t>
      </w:r>
      <w:r w:rsidRPr="00640820">
        <w:rPr>
          <w:rFonts w:ascii="Times New Roman" w:hAnsi="Times New Roman"/>
          <w:color w:val="000000" w:themeColor="text1"/>
          <w:sz w:val="16"/>
          <w:szCs w:val="16"/>
        </w:rPr>
        <w:softHyphen/>
        <w:t>ми планировками. Часть помещений требует достройки. Приступлено к монтажу станочного обору</w:t>
      </w:r>
      <w:r w:rsidRPr="00640820">
        <w:rPr>
          <w:rFonts w:ascii="Times New Roman" w:hAnsi="Times New Roman"/>
          <w:color w:val="000000" w:themeColor="text1"/>
          <w:sz w:val="16"/>
          <w:szCs w:val="16"/>
        </w:rPr>
        <w:softHyphen/>
        <w:t>дования.</w:t>
      </w:r>
    </w:p>
    <w:p w14:paraId="618DC17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Рембаза приступает к ремонту с 15 декабря 1941 г.</w:t>
      </w:r>
    </w:p>
    <w:p w14:paraId="1643A91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этого, Уральский обком ВКП(б) предоставил рембазе производственные помещения на ст. Переметная Рязано-Уральской железной дороги, в которых будет организован филиал рембазы по ремонту агрегатов.</w:t>
      </w:r>
    </w:p>
    <w:p w14:paraId="3CBA3C9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Филиал размещается на площадях:</w:t>
      </w:r>
    </w:p>
    <w:p w14:paraId="4FB3E61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школы механизации,</w:t>
      </w:r>
    </w:p>
    <w:p w14:paraId="438DF94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корпусов № 22 и 23,</w:t>
      </w:r>
    </w:p>
    <w:p w14:paraId="38A0461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зданий бывшей бани,</w:t>
      </w:r>
    </w:p>
    <w:p w14:paraId="77AD0C5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зданий бывшего госбанка,</w:t>
      </w:r>
    </w:p>
    <w:p w14:paraId="44C00DD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 гаража Каменского совхоза.</w:t>
      </w:r>
    </w:p>
    <w:p w14:paraId="16E105F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подготовительных работ по организации филиала направлена бригада рембазы № 7.</w:t>
      </w:r>
    </w:p>
    <w:p w14:paraId="51ADD7E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Необходимое филиалу оборудование будет переброшено на ст. Переметная при получении ва</w:t>
      </w:r>
      <w:r w:rsidRPr="00640820">
        <w:rPr>
          <w:rFonts w:ascii="Times New Roman" w:hAnsi="Times New Roman"/>
          <w:color w:val="000000" w:themeColor="text1"/>
          <w:sz w:val="16"/>
          <w:szCs w:val="16"/>
        </w:rPr>
        <w:softHyphen/>
        <w:t>гонов. Для переброски требуется: 50 крытых и 10 людских вагонов — всего 60 ед. со ст. Астрахань на ст. Переметная Р.У. ж.д.</w:t>
      </w:r>
    </w:p>
    <w:p w14:paraId="15407B3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Рембаза представила заявки на материально техническое снабжение. На декабрь и 1 квартал 1942 г. рембазе выдано задание.</w:t>
      </w:r>
    </w:p>
    <w:p w14:paraId="65C456C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Рембаза № 8.</w:t>
      </w:r>
    </w:p>
    <w:p w14:paraId="38411F8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Для размещения рембазы № 8 отведены:</w:t>
      </w:r>
    </w:p>
    <w:p w14:paraId="356349B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помещения завода им. Вахитова, состоящие из:</w:t>
      </w:r>
    </w:p>
    <w:p w14:paraId="3D10033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гаража площадью 1040 кв.м,</w:t>
      </w:r>
    </w:p>
    <w:p w14:paraId="2A5839F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недостроенного бондарного цеха — 1560кв.м,</w:t>
      </w:r>
    </w:p>
    <w:p w14:paraId="15B54CB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столярного цеха — 220 кв.м,</w:t>
      </w:r>
    </w:p>
    <w:p w14:paraId="674BFB7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кузнечного цеха — 230 кв.м.</w:t>
      </w:r>
    </w:p>
    <w:p w14:paraId="68FAE3E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kern w:val="65535"/>
          <w:sz w:val="16"/>
          <w:szCs w:val="16"/>
        </w:rPr>
      </w:pPr>
      <w:r w:rsidRPr="00640820">
        <w:rPr>
          <w:rFonts w:ascii="Times New Roman" w:hAnsi="Times New Roman"/>
          <w:color w:val="000000" w:themeColor="text1"/>
          <w:kern w:val="65535"/>
          <w:sz w:val="16"/>
          <w:szCs w:val="16"/>
        </w:rPr>
        <w:t>б) помещения кожобувного комбината «СПАРТАК», складские неутепленные помещения — 1000кв.м,</w:t>
      </w:r>
    </w:p>
    <w:p w14:paraId="7C06601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склад ГУТАПа и трудколонии НКВД — 650 кв.м,</w:t>
      </w:r>
    </w:p>
    <w:p w14:paraId="1BA2767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временного гаража управления Связи 120 кв.м,</w:t>
      </w:r>
    </w:p>
    <w:p w14:paraId="42A811D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 складские помещения — 450 кв.м,</w:t>
      </w:r>
    </w:p>
    <w:p w14:paraId="44C1580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 вулканизационное отделение — 160 кв.м.</w:t>
      </w:r>
    </w:p>
    <w:p w14:paraId="485B904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Помещения завода им. Вахитова переданы распоряжением СНК Татреспублики. Остальные по</w:t>
      </w:r>
      <w:r w:rsidRPr="00640820">
        <w:rPr>
          <w:rFonts w:ascii="Times New Roman" w:hAnsi="Times New Roman"/>
          <w:color w:val="000000" w:themeColor="text1"/>
          <w:sz w:val="16"/>
          <w:szCs w:val="16"/>
        </w:rPr>
        <w:softHyphen/>
        <w:t>мещения переданы Горисполкомом г. Казани.</w:t>
      </w:r>
    </w:p>
    <w:p w14:paraId="7BBA344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Постановлением Совета народных комиссаров Тат. АССР от 9 октября 1941 г. № 509/1282сс рем-базе № 8 передан во временную эксплуатацию Казанский ипподром Наркомата земледелия Тат. АССР со всеми постройками площадью до 2000 кв.м.</w:t>
      </w:r>
    </w:p>
    <w:p w14:paraId="31737A4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ноября 1941 г. Советом по эвакуации за подписью т. Первухи послано телеграфное распоря</w:t>
      </w:r>
      <w:r w:rsidRPr="00640820">
        <w:rPr>
          <w:rFonts w:ascii="Times New Roman" w:hAnsi="Times New Roman"/>
          <w:color w:val="000000" w:themeColor="text1"/>
          <w:sz w:val="16"/>
          <w:szCs w:val="16"/>
        </w:rPr>
        <w:softHyphen/>
        <w:t>жение № 77/сэ в г. Казань в СНК АССР и обком ВКП(б) о выделении рембазе № 8 дополнительных помещений за счет помещений гаражей автоуправления.</w:t>
      </w:r>
    </w:p>
    <w:p w14:paraId="3625E4F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Отведенные рембазе № 8 помещения требуют ремонта и приспособления их для цехов рембазы. Строительные работы ведутся 46 участком военного строительства, а часть работ производится хоз</w:t>
      </w:r>
      <w:r w:rsidRPr="00640820">
        <w:rPr>
          <w:rFonts w:ascii="Times New Roman" w:hAnsi="Times New Roman"/>
          <w:color w:val="000000" w:themeColor="text1"/>
          <w:sz w:val="16"/>
          <w:szCs w:val="16"/>
        </w:rPr>
        <w:softHyphen/>
        <w:t>способом.</w:t>
      </w:r>
    </w:p>
    <w:p w14:paraId="66CD609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оказания помощи по вопросам строительства КЭУ направлена оперативная бригада в г. Ка</w:t>
      </w:r>
      <w:r w:rsidRPr="00640820">
        <w:rPr>
          <w:rFonts w:ascii="Times New Roman" w:hAnsi="Times New Roman"/>
          <w:color w:val="000000" w:themeColor="text1"/>
          <w:sz w:val="16"/>
          <w:szCs w:val="16"/>
        </w:rPr>
        <w:softHyphen/>
        <w:t>зань в расположение т. Клочкова.</w:t>
      </w:r>
    </w:p>
    <w:p w14:paraId="6FFEAB8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 оборудование принадлежащее рембазе № 8 вывезено полностью за исключением одного стенда прижига моторов ЗИС.</w:t>
      </w:r>
    </w:p>
    <w:p w14:paraId="18069EB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Харькова рембаза убыла 3 октября и прибыла в г. Казань 25 октября. К 1 ноября установлено и частично пущено оборудование механического цеха. К 10 ноября смонтирован моторный цех и на</w:t>
      </w:r>
      <w:r w:rsidRPr="00640820">
        <w:rPr>
          <w:rFonts w:ascii="Times New Roman" w:hAnsi="Times New Roman"/>
          <w:color w:val="000000" w:themeColor="text1"/>
          <w:sz w:val="16"/>
          <w:szCs w:val="16"/>
        </w:rPr>
        <w:softHyphen/>
        <w:t>чата работа по ремонту моторов. Демонтажно-монтажные цеха еще не размещены. Ремонт машин начат во временно занятых помещениях (гараж связи, танкотехническое училище).</w:t>
      </w:r>
    </w:p>
    <w:p w14:paraId="5103184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Личный состав рембазы размещен полностью в домах жилуправлений и частных владельцев в порядке уплотнения.</w:t>
      </w:r>
    </w:p>
    <w:p w14:paraId="7EC6970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Монтаж оборудования начат 25 октября 1941 г.</w:t>
      </w:r>
    </w:p>
    <w:p w14:paraId="239C0B4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Механический цех начал работу 1 октября 1941 г.</w:t>
      </w:r>
    </w:p>
    <w:p w14:paraId="346A989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Слесарное отделение (15 рабочих мест) — 1 ноября.</w:t>
      </w:r>
    </w:p>
    <w:p w14:paraId="786D7A6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Монтажный цех — 3 ноября.</w:t>
      </w:r>
    </w:p>
    <w:p w14:paraId="1AFCAFA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Кузнечно-сварочное отделение — 5 ноября.</w:t>
      </w:r>
    </w:p>
    <w:p w14:paraId="6AEC9B5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Гальваническое отделение — 25 ноября.</w:t>
      </w:r>
    </w:p>
    <w:p w14:paraId="120F955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Инструментальный цех — 5 ноября.</w:t>
      </w:r>
    </w:p>
    <w:p w14:paraId="7AE0406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Монтаж оборудования полностью не закончен из-за неподготовленности помещений.</w:t>
      </w:r>
    </w:p>
    <w:p w14:paraId="0814AD6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процессе оборудования цеха по ремонту мотоциклов, тракторов и вулканизационная мастерская.</w:t>
      </w:r>
    </w:p>
    <w:p w14:paraId="1C4D228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процессе погрузок и разгрузок имели место случаи мелких поломок станков (рукоятки, махо</w:t>
      </w:r>
      <w:r w:rsidRPr="00640820">
        <w:rPr>
          <w:rFonts w:ascii="Times New Roman" w:hAnsi="Times New Roman"/>
          <w:color w:val="000000" w:themeColor="text1"/>
          <w:sz w:val="16"/>
          <w:szCs w:val="16"/>
        </w:rPr>
        <w:softHyphen/>
        <w:t>вички и т.д.). В настоящее время все поломки ликвидируются текущим ремонтом станков на рембазе.</w:t>
      </w:r>
    </w:p>
    <w:p w14:paraId="56338F2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Общее состояние оборудования — хорошее.</w:t>
      </w:r>
    </w:p>
    <w:p w14:paraId="1306D44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Электроэнергией рембаза обеспечена. Водоснабжение требует ряда сантехнических работ.</w:t>
      </w:r>
    </w:p>
    <w:p w14:paraId="0809B7B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Снабжение запчастями осуществляется через склад № 423.</w:t>
      </w:r>
    </w:p>
    <w:p w14:paraId="77D9320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Рембазе выдано плановое задание на декабрь 1941 г. и на 1 квартал 1942 г.</w:t>
      </w:r>
    </w:p>
    <w:p w14:paraId="62622FB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Рембаза № 9</w:t>
      </w:r>
    </w:p>
    <w:p w14:paraId="6BCE017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Находится в г. Тамбове. В Госплане СССР возбуждено ходатайство о подборе соответствующе</w:t>
      </w:r>
      <w:r w:rsidRPr="00640820">
        <w:rPr>
          <w:rFonts w:ascii="Times New Roman" w:hAnsi="Times New Roman"/>
          <w:color w:val="000000" w:themeColor="text1"/>
          <w:sz w:val="16"/>
          <w:szCs w:val="16"/>
        </w:rPr>
        <w:softHyphen/>
        <w:t>го помещения для возможной эвакуации.</w:t>
      </w:r>
    </w:p>
    <w:p w14:paraId="591ACE4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Рембаза № 12</w:t>
      </w:r>
    </w:p>
    <w:p w14:paraId="74676B0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Дислоцирована в г. Прохладный Кабардино-Балкарской АССР и размещена на базе мотороре</w:t>
      </w:r>
      <w:r w:rsidRPr="00640820">
        <w:rPr>
          <w:rFonts w:ascii="Times New Roman" w:hAnsi="Times New Roman"/>
          <w:color w:val="000000" w:themeColor="text1"/>
          <w:sz w:val="16"/>
          <w:szCs w:val="16"/>
        </w:rPr>
        <w:softHyphen/>
        <w:t>монтного завода НКЗ, который по решению СНК АССР передан рембазе № 12.</w:t>
      </w:r>
    </w:p>
    <w:p w14:paraId="3E82D0F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Территория мотороремонтного завода находится в 3 местах.</w:t>
      </w:r>
    </w:p>
    <w:p w14:paraId="3B96E49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kern w:val="65535"/>
          <w:sz w:val="16"/>
          <w:szCs w:val="16"/>
        </w:rPr>
      </w:pPr>
      <w:r w:rsidRPr="00640820">
        <w:rPr>
          <w:rFonts w:ascii="Times New Roman" w:hAnsi="Times New Roman"/>
          <w:color w:val="000000" w:themeColor="text1"/>
          <w:kern w:val="65535"/>
          <w:sz w:val="16"/>
          <w:szCs w:val="16"/>
        </w:rPr>
        <w:t>Основного монтажного цеха для ремонта колесных машин рембаза не имеет. Рембаза приступи</w:t>
      </w:r>
      <w:r w:rsidRPr="00640820">
        <w:rPr>
          <w:rFonts w:ascii="Times New Roman" w:hAnsi="Times New Roman"/>
          <w:color w:val="000000" w:themeColor="text1"/>
          <w:kern w:val="65535"/>
          <w:sz w:val="16"/>
          <w:szCs w:val="16"/>
        </w:rPr>
        <w:softHyphen/>
        <w:t>ла к окончанию строительства цеха металлизации мотороремонтного завода. Ассигнования по стро</w:t>
      </w:r>
      <w:r w:rsidRPr="00640820">
        <w:rPr>
          <w:rFonts w:ascii="Times New Roman" w:hAnsi="Times New Roman"/>
          <w:color w:val="000000" w:themeColor="text1"/>
          <w:kern w:val="65535"/>
          <w:sz w:val="16"/>
          <w:szCs w:val="16"/>
        </w:rPr>
        <w:softHyphen/>
        <w:t>ительству СНК АССР переданы рембазе.</w:t>
      </w:r>
    </w:p>
    <w:p w14:paraId="26CCB81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демонтажно-монтажных работ рембазой временно занято помещение гаража автотреста, позволяющее производить одновременно ремонт 5-6 машин.</w:t>
      </w:r>
    </w:p>
    <w:p w14:paraId="16C03E6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1 и 2 территории ремзавода имеются небольшие силовые станции по 50 кВт.ч каждая. От го</w:t>
      </w:r>
      <w:r w:rsidRPr="00640820">
        <w:rPr>
          <w:rFonts w:ascii="Times New Roman" w:hAnsi="Times New Roman"/>
          <w:color w:val="000000" w:themeColor="text1"/>
          <w:sz w:val="16"/>
          <w:szCs w:val="16"/>
        </w:rPr>
        <w:softHyphen/>
        <w:t>рода электроэнергию получить невозможно.</w:t>
      </w:r>
    </w:p>
    <w:p w14:paraId="6825BCC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 склада № 412 рембазе отпущены два дизельных мотора ЧТЗ, которые будут использованы для увеличения мощностей электростанций.</w:t>
      </w:r>
    </w:p>
    <w:p w14:paraId="0AC8A25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Эвакуация рембазы из г. Харькова произведена на 39 автомашинах и 90 вагонах в двухосном на</w:t>
      </w:r>
      <w:r w:rsidRPr="00640820">
        <w:rPr>
          <w:rFonts w:ascii="Times New Roman" w:hAnsi="Times New Roman"/>
          <w:color w:val="000000" w:themeColor="text1"/>
          <w:sz w:val="16"/>
          <w:szCs w:val="16"/>
        </w:rPr>
        <w:softHyphen/>
        <w:t>числении.</w:t>
      </w:r>
    </w:p>
    <w:p w14:paraId="4E09DC3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этого числа вагонов отправлено в адрес:</w:t>
      </w:r>
    </w:p>
    <w:p w14:paraId="6B51412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Рембазе № 13 — Навтлуг — 3 вагона — моторы и КПП Т-26.</w:t>
      </w:r>
    </w:p>
    <w:p w14:paraId="273D70F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Рембазе № 6 — Кожевенная — 11 вагонов моторы и броня.</w:t>
      </w:r>
    </w:p>
    <w:p w14:paraId="7B22F6C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Рембазе № 9 — Тамбов — 10 вагонов — тракторы СТЗ-НАТИ.</w:t>
      </w:r>
    </w:p>
    <w:p w14:paraId="07636FE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Рембазе № 11 — Лиски — 5 вагонов оборудования, запчастей и задел моторного цеха.</w:t>
      </w:r>
    </w:p>
    <w:p w14:paraId="0CC942A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Рембазе № 12 — Прохладный — 61 вагон с оборудованием, запчастями ремфондом и прочим имуществом.</w:t>
      </w:r>
    </w:p>
    <w:p w14:paraId="200E773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вагонов с ремфондом моторов и разным имуществом отправлены из Харькова 17 октября, до сих пор на рембазу не прибыли.</w:t>
      </w:r>
    </w:p>
    <w:p w14:paraId="6600CA4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Рембаза № 11 организована решением военного совета Юго-Западного фронта из состава рем</w:t>
      </w:r>
      <w:r w:rsidRPr="00640820">
        <w:rPr>
          <w:rFonts w:ascii="Times New Roman" w:hAnsi="Times New Roman"/>
          <w:color w:val="000000" w:themeColor="text1"/>
          <w:sz w:val="16"/>
          <w:szCs w:val="16"/>
        </w:rPr>
        <w:softHyphen/>
        <w:t>базы № 12 и эвакуирована в район Лиски.</w:t>
      </w:r>
    </w:p>
    <w:p w14:paraId="475C05D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Прибывшее в Прохладный оборудование уже установлено в соответствии с имеющейся энерги</w:t>
      </w:r>
      <w:r w:rsidRPr="00640820">
        <w:rPr>
          <w:rFonts w:ascii="Times New Roman" w:hAnsi="Times New Roman"/>
          <w:color w:val="000000" w:themeColor="text1"/>
          <w:sz w:val="16"/>
          <w:szCs w:val="16"/>
        </w:rPr>
        <w:softHyphen/>
        <w:t>ей и работают монтажный и механический цеха.</w:t>
      </w:r>
    </w:p>
    <w:p w14:paraId="3057F37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рембазы № 12 вывезено все имущество за исключением части ремфонда (транспортные ма</w:t>
      </w:r>
      <w:r w:rsidRPr="00640820">
        <w:rPr>
          <w:rFonts w:ascii="Times New Roman" w:hAnsi="Times New Roman"/>
          <w:color w:val="000000" w:themeColor="text1"/>
          <w:sz w:val="16"/>
          <w:szCs w:val="16"/>
        </w:rPr>
        <w:softHyphen/>
        <w:t>шины) требующие восстановительного ремонта сданные по акту 3-му сектору обороны г. Харькова.</w:t>
      </w:r>
    </w:p>
    <w:p w14:paraId="39244CE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Рембаза в г. Прохладном отдалена от складов с запчастями и снабжается из Навтлуг, Астрахани, Сталинграда.</w:t>
      </w:r>
    </w:p>
    <w:p w14:paraId="40A76C5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месяце рембаза выпустила из ремонта Т-26 — 2 машины, БТ - 3 машины, ГАЗ-АА — 10 шт., КПП Т-26 - 12 шт., моторов Т-26 - 10 шт.</w:t>
      </w:r>
    </w:p>
    <w:p w14:paraId="71F3724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Начальнику рембазы дано указание принять все меры для обеспечения планомерной работы ба</w:t>
      </w:r>
      <w:r w:rsidRPr="00640820">
        <w:rPr>
          <w:rFonts w:ascii="Times New Roman" w:hAnsi="Times New Roman"/>
          <w:color w:val="000000" w:themeColor="text1"/>
          <w:sz w:val="16"/>
          <w:szCs w:val="16"/>
        </w:rPr>
        <w:softHyphen/>
        <w:t>зы, организации планового снабжения и расширения производственных площадей, не прерывая ра</w:t>
      </w:r>
      <w:r w:rsidRPr="00640820">
        <w:rPr>
          <w:rFonts w:ascii="Times New Roman" w:hAnsi="Times New Roman"/>
          <w:color w:val="000000" w:themeColor="text1"/>
          <w:sz w:val="16"/>
          <w:szCs w:val="16"/>
        </w:rPr>
        <w:softHyphen/>
        <w:t>боту имеющихся цехов.</w:t>
      </w:r>
    </w:p>
    <w:p w14:paraId="237434F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Рембаза № 42</w:t>
      </w:r>
    </w:p>
    <w:p w14:paraId="3C207E2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размещения рембазы выделены два производственных здания в разных местах города ____</w:t>
      </w:r>
      <w:r w:rsidRPr="00640820">
        <w:rPr>
          <w:rFonts w:ascii="Times New Roman" w:hAnsi="Times New Roman"/>
          <w:color w:val="000000" w:themeColor="text1"/>
          <w:sz w:val="16"/>
          <w:szCs w:val="16"/>
          <w:vertAlign w:val="superscript"/>
        </w:rPr>
        <w:t>ш</w:t>
      </w:r>
      <w:r w:rsidRPr="00640820">
        <w:rPr>
          <w:rFonts w:ascii="Times New Roman" w:hAnsi="Times New Roman"/>
          <w:color w:val="000000" w:themeColor="text1"/>
          <w:sz w:val="16"/>
          <w:szCs w:val="16"/>
        </w:rPr>
        <w:t>, суммарной площадью до 1200 кв.м.</w:t>
      </w:r>
    </w:p>
    <w:p w14:paraId="4593C41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Котельный цех завода «Рыбосудомотор».</w:t>
      </w:r>
    </w:p>
    <w:p w14:paraId="50D70CE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Первый этаж завода безалкогольных напитков.</w:t>
      </w:r>
    </w:p>
    <w:p w14:paraId="65171CF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Оба здания требуют ремонта. Рабочей силой база не обеспечена. К монтажу оборудования рем</w:t>
      </w:r>
      <w:r w:rsidRPr="00640820">
        <w:rPr>
          <w:rFonts w:ascii="Times New Roman" w:hAnsi="Times New Roman"/>
          <w:color w:val="000000" w:themeColor="text1"/>
          <w:sz w:val="16"/>
          <w:szCs w:val="16"/>
        </w:rPr>
        <w:softHyphen/>
        <w:t>база не приступила. Рембаза № 66 Размещается в г. Бугуруслане на площадях:</w:t>
      </w:r>
    </w:p>
    <w:p w14:paraId="42BEECC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Бугурусланской МТМ,</w:t>
      </w:r>
    </w:p>
    <w:p w14:paraId="318F296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Бугурусланской МТС,</w:t>
      </w:r>
    </w:p>
    <w:p w14:paraId="5C33047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Складов ГУТАП.</w:t>
      </w:r>
    </w:p>
    <w:p w14:paraId="2C402D9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Общей площадью - производственной - 2600 кв.м,</w:t>
      </w:r>
    </w:p>
    <w:p w14:paraId="3521CF3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складской - 840 кв.м,</w:t>
      </w:r>
    </w:p>
    <w:p w14:paraId="6D16AD1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навесов - 960 кв.м,</w:t>
      </w:r>
    </w:p>
    <w:p w14:paraId="19FB5C3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подсобной - 50 кв.м.</w:t>
      </w:r>
    </w:p>
    <w:p w14:paraId="5B0CA1F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kern w:val="65535"/>
          <w:sz w:val="16"/>
          <w:szCs w:val="16"/>
        </w:rPr>
      </w:pPr>
      <w:r w:rsidRPr="00640820">
        <w:rPr>
          <w:rFonts w:ascii="Times New Roman" w:hAnsi="Times New Roman"/>
          <w:color w:val="000000" w:themeColor="text1"/>
          <w:kern w:val="65535"/>
          <w:sz w:val="16"/>
          <w:szCs w:val="16"/>
        </w:rPr>
        <w:t>Для размещения управления рембазы передан Бугуруслане кий дом учителя. Распоряжением Совета по эвакуации № 15411сэ от 5 декабря 1941 г. рембазе № 66 передан га</w:t>
      </w:r>
      <w:r w:rsidRPr="00640820">
        <w:rPr>
          <w:rFonts w:ascii="Times New Roman" w:hAnsi="Times New Roman"/>
          <w:color w:val="000000" w:themeColor="text1"/>
          <w:kern w:val="65535"/>
          <w:sz w:val="16"/>
          <w:szCs w:val="16"/>
        </w:rPr>
        <w:softHyphen/>
        <w:t>раж Бугурусланнефти площадью 800 кв.м.</w:t>
      </w:r>
    </w:p>
    <w:p w14:paraId="0EAF26C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Этим же распоряжением ГАБТУ обязано к 1 марта 1942 г. построить здание упрощенного типа для размещения рембазы. В город Бугуруслан выехала оперативная бригада КЭУ в распоряжение начальника рембазы для проведения строительных работ хозспособом.</w:t>
      </w:r>
    </w:p>
    <w:p w14:paraId="706E644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Часть оборудования рембазы, завезенного в г. Куйбышев, перебрасывается в г. Бугуруслан. В г. Пензу командирован представитель рембазы за получением генератора для электростанции. Рем-базе выданы два трактора ЧТЗ для транспортных работ. Плановое задание на декабрь месяц и на 1 квартал 1942 г. рембазе выдано.</w:t>
      </w:r>
    </w:p>
    <w:p w14:paraId="560A9B9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Рембаза № 83</w:t>
      </w:r>
    </w:p>
    <w:p w14:paraId="6FFEC92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Советом по эвакуации рембаза размещена в следующих помещениях:</w:t>
      </w:r>
    </w:p>
    <w:p w14:paraId="1C773E2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Автобусный парк площадью — 1972кв.м.</w:t>
      </w:r>
    </w:p>
    <w:p w14:paraId="25980A2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Стройдвор площадью — 1190 кв.м.</w:t>
      </w:r>
    </w:p>
    <w:p w14:paraId="54CA458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Кроватная фабрика площадью — 430 кв.м.</w:t>
      </w:r>
    </w:p>
    <w:p w14:paraId="6EDADB5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Рембаза размещена вполне удовлетворительно. К плановому ремонту приступлено с 15 октября 1941 г.</w:t>
      </w:r>
    </w:p>
    <w:p w14:paraId="5D1E278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Ремфондом (тракторами ЧТЗ) рембаза обеспечена.</w:t>
      </w:r>
    </w:p>
    <w:p w14:paraId="68DFF88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Рембаза не укомплектована рабочей силой. Со стороны РЭУ приняты меры через облвоенкомат по укомплектованию рембазы военнообязанными неподнимаемых возрастов.</w:t>
      </w:r>
    </w:p>
    <w:p w14:paraId="734D541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Рембаза № 90</w:t>
      </w:r>
    </w:p>
    <w:p w14:paraId="78A0C1E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Первый эшелон рембазы разгрузился на ст. Котельнич 3 ноября. Второй эшелон разгрузился 10 ноября.</w:t>
      </w:r>
    </w:p>
    <w:p w14:paraId="4A3BFEB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размещения рембазы отведены:</w:t>
      </w:r>
    </w:p>
    <w:p w14:paraId="7AA7315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механический завод, состоящий из:</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992"/>
        <w:gridCol w:w="567"/>
        <w:gridCol w:w="1945"/>
        <w:gridCol w:w="890"/>
      </w:tblGrid>
      <w:tr w:rsidR="00643896" w:rsidRPr="00640820" w14:paraId="6CC658BD" w14:textId="77777777" w:rsidTr="000D3BCB">
        <w:tc>
          <w:tcPr>
            <w:tcW w:w="1951" w:type="dxa"/>
            <w:tcBorders>
              <w:top w:val="single" w:sz="12" w:space="0" w:color="auto"/>
            </w:tcBorders>
          </w:tcPr>
          <w:p w14:paraId="7B1D547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Конторское помещение</w:t>
            </w:r>
          </w:p>
        </w:tc>
        <w:tc>
          <w:tcPr>
            <w:tcW w:w="992" w:type="dxa"/>
            <w:tcBorders>
              <w:top w:val="single" w:sz="12" w:space="0" w:color="auto"/>
            </w:tcBorders>
          </w:tcPr>
          <w:p w14:paraId="2F3E1BF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- 124кв.м</w:t>
            </w:r>
          </w:p>
          <w:p w14:paraId="7CC4B31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12" w:space="0" w:color="auto"/>
            </w:tcBorders>
          </w:tcPr>
          <w:p w14:paraId="2118698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p w14:paraId="4096368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5" w:type="dxa"/>
            <w:tcBorders>
              <w:top w:val="single" w:sz="12" w:space="0" w:color="auto"/>
            </w:tcBorders>
          </w:tcPr>
          <w:p w14:paraId="5DB730A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Навес</w:t>
            </w:r>
          </w:p>
        </w:tc>
        <w:tc>
          <w:tcPr>
            <w:tcW w:w="890" w:type="dxa"/>
            <w:tcBorders>
              <w:top w:val="single" w:sz="12" w:space="0" w:color="auto"/>
            </w:tcBorders>
          </w:tcPr>
          <w:p w14:paraId="57D3A0A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274 кв.м</w:t>
            </w:r>
          </w:p>
        </w:tc>
      </w:tr>
      <w:tr w:rsidR="00643896" w:rsidRPr="00640820" w14:paraId="1168B100" w14:textId="77777777" w:rsidTr="000D3BCB">
        <w:tc>
          <w:tcPr>
            <w:tcW w:w="1951" w:type="dxa"/>
          </w:tcPr>
          <w:p w14:paraId="10474E7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Литейный цех</w:t>
            </w:r>
          </w:p>
        </w:tc>
        <w:tc>
          <w:tcPr>
            <w:tcW w:w="992" w:type="dxa"/>
          </w:tcPr>
          <w:p w14:paraId="1A99CBD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- 112кв.м</w:t>
            </w:r>
          </w:p>
          <w:p w14:paraId="192D380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6CACD8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w:t>
            </w:r>
          </w:p>
          <w:p w14:paraId="5D3C0A0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5" w:type="dxa"/>
          </w:tcPr>
          <w:p w14:paraId="6359F27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Хозсклад</w:t>
            </w:r>
          </w:p>
        </w:tc>
        <w:tc>
          <w:tcPr>
            <w:tcW w:w="890" w:type="dxa"/>
          </w:tcPr>
          <w:p w14:paraId="0CB8322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48 кв.м</w:t>
            </w:r>
          </w:p>
        </w:tc>
      </w:tr>
      <w:tr w:rsidR="00643896" w:rsidRPr="00640820" w14:paraId="3D6BD4A3" w14:textId="77777777" w:rsidTr="000D3BCB">
        <w:tc>
          <w:tcPr>
            <w:tcW w:w="1951" w:type="dxa"/>
          </w:tcPr>
          <w:p w14:paraId="785B14A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Токарный цех</w:t>
            </w:r>
          </w:p>
        </w:tc>
        <w:tc>
          <w:tcPr>
            <w:tcW w:w="992" w:type="dxa"/>
          </w:tcPr>
          <w:p w14:paraId="5933573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- 86 кв.м</w:t>
            </w:r>
          </w:p>
          <w:p w14:paraId="21A5435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C14B46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w:t>
            </w:r>
          </w:p>
          <w:p w14:paraId="2159807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5" w:type="dxa"/>
          </w:tcPr>
          <w:p w14:paraId="01A19BF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Навес</w:t>
            </w:r>
          </w:p>
        </w:tc>
        <w:tc>
          <w:tcPr>
            <w:tcW w:w="890" w:type="dxa"/>
          </w:tcPr>
          <w:p w14:paraId="2FE9F51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- 141 кв.м</w:t>
            </w:r>
          </w:p>
        </w:tc>
      </w:tr>
      <w:tr w:rsidR="00643896" w:rsidRPr="00640820" w14:paraId="2C662DC2" w14:textId="77777777" w:rsidTr="000D3BCB">
        <w:tc>
          <w:tcPr>
            <w:tcW w:w="1951" w:type="dxa"/>
          </w:tcPr>
          <w:p w14:paraId="6CC9446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Токарный цех</w:t>
            </w:r>
          </w:p>
        </w:tc>
        <w:tc>
          <w:tcPr>
            <w:tcW w:w="992" w:type="dxa"/>
          </w:tcPr>
          <w:p w14:paraId="0052C53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- 125кв.м</w:t>
            </w:r>
          </w:p>
          <w:p w14:paraId="0265A57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08A1DE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w:t>
            </w:r>
          </w:p>
          <w:p w14:paraId="1DA8F97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5" w:type="dxa"/>
          </w:tcPr>
          <w:p w14:paraId="7676779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Навес д/пожарн. Машин</w:t>
            </w:r>
          </w:p>
        </w:tc>
        <w:tc>
          <w:tcPr>
            <w:tcW w:w="890" w:type="dxa"/>
          </w:tcPr>
          <w:p w14:paraId="39D7F1D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- 25 кв.м</w:t>
            </w:r>
          </w:p>
        </w:tc>
      </w:tr>
      <w:tr w:rsidR="00643896" w:rsidRPr="00640820" w14:paraId="0F25257D" w14:textId="77777777" w:rsidTr="000D3BCB">
        <w:tc>
          <w:tcPr>
            <w:tcW w:w="1951" w:type="dxa"/>
          </w:tcPr>
          <w:p w14:paraId="66F6451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Инструментальный цех</w:t>
            </w:r>
          </w:p>
        </w:tc>
        <w:tc>
          <w:tcPr>
            <w:tcW w:w="992" w:type="dxa"/>
          </w:tcPr>
          <w:p w14:paraId="10C5667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- 45 кв.м</w:t>
            </w:r>
          </w:p>
          <w:p w14:paraId="7FF988C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301ED9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w:t>
            </w:r>
          </w:p>
          <w:p w14:paraId="1C03F6C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5" w:type="dxa"/>
          </w:tcPr>
          <w:p w14:paraId="5F1FB42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Фуражный склад</w:t>
            </w:r>
          </w:p>
        </w:tc>
        <w:tc>
          <w:tcPr>
            <w:tcW w:w="890" w:type="dxa"/>
          </w:tcPr>
          <w:p w14:paraId="5E4EC69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- 19 кв.м</w:t>
            </w:r>
          </w:p>
        </w:tc>
      </w:tr>
      <w:tr w:rsidR="00643896" w:rsidRPr="00640820" w14:paraId="1027A604" w14:textId="77777777" w:rsidTr="000D3BCB">
        <w:tc>
          <w:tcPr>
            <w:tcW w:w="1951" w:type="dxa"/>
          </w:tcPr>
          <w:p w14:paraId="1F1BDA5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Слесарный цех</w:t>
            </w:r>
          </w:p>
        </w:tc>
        <w:tc>
          <w:tcPr>
            <w:tcW w:w="992" w:type="dxa"/>
          </w:tcPr>
          <w:p w14:paraId="0A9422B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- 240 кв.м</w:t>
            </w:r>
          </w:p>
          <w:p w14:paraId="7004513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0ABC40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p w14:paraId="088C2AD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5" w:type="dxa"/>
          </w:tcPr>
          <w:p w14:paraId="045556E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Жилой дом</w:t>
            </w:r>
          </w:p>
        </w:tc>
        <w:tc>
          <w:tcPr>
            <w:tcW w:w="890" w:type="dxa"/>
          </w:tcPr>
          <w:p w14:paraId="58F37DA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- 140 кв.м</w:t>
            </w:r>
          </w:p>
        </w:tc>
      </w:tr>
      <w:tr w:rsidR="00643896" w:rsidRPr="00640820" w14:paraId="39CA0452" w14:textId="77777777" w:rsidTr="000D3BCB">
        <w:tc>
          <w:tcPr>
            <w:tcW w:w="1951" w:type="dxa"/>
          </w:tcPr>
          <w:p w14:paraId="5C18AC1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Кузница</w:t>
            </w:r>
          </w:p>
        </w:tc>
        <w:tc>
          <w:tcPr>
            <w:tcW w:w="992" w:type="dxa"/>
          </w:tcPr>
          <w:p w14:paraId="398EB08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- 107 кв.м</w:t>
            </w:r>
          </w:p>
          <w:p w14:paraId="3216A0B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91FF0A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w:t>
            </w:r>
          </w:p>
          <w:p w14:paraId="4961348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5" w:type="dxa"/>
          </w:tcPr>
          <w:p w14:paraId="312804E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Жилой дом</w:t>
            </w:r>
          </w:p>
        </w:tc>
        <w:tc>
          <w:tcPr>
            <w:tcW w:w="890" w:type="dxa"/>
          </w:tcPr>
          <w:p w14:paraId="67516CD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- 90 кв.м</w:t>
            </w:r>
          </w:p>
        </w:tc>
      </w:tr>
      <w:tr w:rsidR="00643896" w:rsidRPr="00640820" w14:paraId="29CEB97B" w14:textId="77777777" w:rsidTr="000D3BCB">
        <w:tc>
          <w:tcPr>
            <w:tcW w:w="1951" w:type="dxa"/>
          </w:tcPr>
          <w:p w14:paraId="161493C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Жестяницкий цех</w:t>
            </w:r>
          </w:p>
        </w:tc>
        <w:tc>
          <w:tcPr>
            <w:tcW w:w="992" w:type="dxa"/>
          </w:tcPr>
          <w:p w14:paraId="2E7733C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- 126 кв.м</w:t>
            </w:r>
          </w:p>
          <w:p w14:paraId="2E095ED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888FF6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w:t>
            </w:r>
          </w:p>
          <w:p w14:paraId="7ABAF85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5" w:type="dxa"/>
          </w:tcPr>
          <w:p w14:paraId="71D53CD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kern w:val="65535"/>
                <w:sz w:val="16"/>
                <w:szCs w:val="16"/>
              </w:rPr>
            </w:pPr>
            <w:r w:rsidRPr="00640820">
              <w:rPr>
                <w:rFonts w:ascii="Times New Roman" w:hAnsi="Times New Roman"/>
                <w:color w:val="000000" w:themeColor="text1"/>
                <w:kern w:val="65535"/>
                <w:sz w:val="16"/>
                <w:szCs w:val="16"/>
              </w:rPr>
              <w:t>Конюшня</w:t>
            </w:r>
          </w:p>
        </w:tc>
        <w:tc>
          <w:tcPr>
            <w:tcW w:w="890" w:type="dxa"/>
          </w:tcPr>
          <w:p w14:paraId="1C8B5F2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- 315 кв.м</w:t>
            </w:r>
          </w:p>
        </w:tc>
      </w:tr>
      <w:tr w:rsidR="00643896" w:rsidRPr="00640820" w14:paraId="28193C23" w14:textId="77777777" w:rsidTr="000D3BCB">
        <w:tc>
          <w:tcPr>
            <w:tcW w:w="1951" w:type="dxa"/>
          </w:tcPr>
          <w:p w14:paraId="7AAE7AB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Цех главного механика</w:t>
            </w:r>
          </w:p>
        </w:tc>
        <w:tc>
          <w:tcPr>
            <w:tcW w:w="992" w:type="dxa"/>
          </w:tcPr>
          <w:p w14:paraId="12A7F42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- 90 кв.м</w:t>
            </w:r>
          </w:p>
          <w:p w14:paraId="504DBB3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113A79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5" w:type="dxa"/>
          </w:tcPr>
          <w:p w14:paraId="7A10FC5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0" w:type="dxa"/>
          </w:tcPr>
          <w:p w14:paraId="78AD36B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EA2F67A" w14:textId="77777777" w:rsidTr="000D3BCB">
        <w:tc>
          <w:tcPr>
            <w:tcW w:w="1951" w:type="dxa"/>
          </w:tcPr>
          <w:p w14:paraId="6B24D7F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помещения «Птицекомбината»</w:t>
            </w:r>
          </w:p>
        </w:tc>
        <w:tc>
          <w:tcPr>
            <w:tcW w:w="992" w:type="dxa"/>
          </w:tcPr>
          <w:p w14:paraId="7F7E02F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04558E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5" w:type="dxa"/>
          </w:tcPr>
          <w:p w14:paraId="1F6FC02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0" w:type="dxa"/>
          </w:tcPr>
          <w:p w14:paraId="1D2A664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7E6A752" w14:textId="77777777" w:rsidTr="000D3BCB">
        <w:tc>
          <w:tcPr>
            <w:tcW w:w="1951" w:type="dxa"/>
          </w:tcPr>
          <w:p w14:paraId="4CD69F1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Монтажный цех -495кв.м 7.</w:t>
            </w:r>
          </w:p>
        </w:tc>
        <w:tc>
          <w:tcPr>
            <w:tcW w:w="992" w:type="dxa"/>
          </w:tcPr>
          <w:p w14:paraId="60A2A12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- 495 кв.м</w:t>
            </w:r>
          </w:p>
        </w:tc>
        <w:tc>
          <w:tcPr>
            <w:tcW w:w="567" w:type="dxa"/>
          </w:tcPr>
          <w:p w14:paraId="5A0D46E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w:t>
            </w:r>
          </w:p>
        </w:tc>
        <w:tc>
          <w:tcPr>
            <w:tcW w:w="1945" w:type="dxa"/>
          </w:tcPr>
          <w:p w14:paraId="4A66282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Склад деревянный</w:t>
            </w:r>
          </w:p>
        </w:tc>
        <w:tc>
          <w:tcPr>
            <w:tcW w:w="890" w:type="dxa"/>
          </w:tcPr>
          <w:p w14:paraId="4C1EE29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 кв.м</w:t>
            </w:r>
          </w:p>
        </w:tc>
      </w:tr>
      <w:tr w:rsidR="00643896" w:rsidRPr="00640820" w14:paraId="61F1444E" w14:textId="77777777" w:rsidTr="000D3BCB">
        <w:tc>
          <w:tcPr>
            <w:tcW w:w="1951" w:type="dxa"/>
          </w:tcPr>
          <w:p w14:paraId="46ADDC0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Столярный/сборка узлов -71кв.м 8.</w:t>
            </w:r>
          </w:p>
        </w:tc>
        <w:tc>
          <w:tcPr>
            <w:tcW w:w="992" w:type="dxa"/>
          </w:tcPr>
          <w:p w14:paraId="16DF510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- 71 кв.м</w:t>
            </w:r>
          </w:p>
        </w:tc>
        <w:tc>
          <w:tcPr>
            <w:tcW w:w="567" w:type="dxa"/>
          </w:tcPr>
          <w:p w14:paraId="1033B0B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w:t>
            </w:r>
          </w:p>
        </w:tc>
        <w:tc>
          <w:tcPr>
            <w:tcW w:w="1945" w:type="dxa"/>
          </w:tcPr>
          <w:p w14:paraId="2A0F210B"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Аккумуляторная</w:t>
            </w:r>
          </w:p>
        </w:tc>
        <w:tc>
          <w:tcPr>
            <w:tcW w:w="890" w:type="dxa"/>
          </w:tcPr>
          <w:p w14:paraId="21735E3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кв.м</w:t>
            </w:r>
          </w:p>
        </w:tc>
      </w:tr>
      <w:tr w:rsidR="00643896" w:rsidRPr="00640820" w14:paraId="04307F9E" w14:textId="77777777" w:rsidTr="000D3BCB">
        <w:tc>
          <w:tcPr>
            <w:tcW w:w="1951" w:type="dxa"/>
          </w:tcPr>
          <w:p w14:paraId="7FD6619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Малярный - 170кв.м 9.</w:t>
            </w:r>
          </w:p>
        </w:tc>
        <w:tc>
          <w:tcPr>
            <w:tcW w:w="992" w:type="dxa"/>
          </w:tcPr>
          <w:p w14:paraId="5E6BB8D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- 170 кв.м</w:t>
            </w:r>
          </w:p>
        </w:tc>
        <w:tc>
          <w:tcPr>
            <w:tcW w:w="567" w:type="dxa"/>
          </w:tcPr>
          <w:p w14:paraId="659F3D90"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tc>
        <w:tc>
          <w:tcPr>
            <w:tcW w:w="1945" w:type="dxa"/>
          </w:tcPr>
          <w:p w14:paraId="2909AA4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Общежитие</w:t>
            </w:r>
          </w:p>
        </w:tc>
        <w:tc>
          <w:tcPr>
            <w:tcW w:w="890" w:type="dxa"/>
          </w:tcPr>
          <w:p w14:paraId="72D583D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195 кв.м</w:t>
            </w:r>
          </w:p>
        </w:tc>
      </w:tr>
      <w:tr w:rsidR="00643896" w:rsidRPr="00640820" w14:paraId="5EB3A265" w14:textId="77777777" w:rsidTr="000D3BCB">
        <w:tc>
          <w:tcPr>
            <w:tcW w:w="1951" w:type="dxa"/>
          </w:tcPr>
          <w:p w14:paraId="539C8B1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Склад комплектовки -172кв.м 10.</w:t>
            </w:r>
          </w:p>
        </w:tc>
        <w:tc>
          <w:tcPr>
            <w:tcW w:w="992" w:type="dxa"/>
          </w:tcPr>
          <w:p w14:paraId="378FEDA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- 172 кв.м</w:t>
            </w:r>
          </w:p>
        </w:tc>
        <w:tc>
          <w:tcPr>
            <w:tcW w:w="567" w:type="dxa"/>
          </w:tcPr>
          <w:p w14:paraId="279C2D4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1945" w:type="dxa"/>
          </w:tcPr>
          <w:p w14:paraId="2D80E27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Жилой дом 2-х этажный</w:t>
            </w:r>
          </w:p>
        </w:tc>
        <w:tc>
          <w:tcPr>
            <w:tcW w:w="890" w:type="dxa"/>
          </w:tcPr>
          <w:p w14:paraId="447BDBF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225 кв.м</w:t>
            </w:r>
          </w:p>
        </w:tc>
      </w:tr>
      <w:tr w:rsidR="00643896" w:rsidRPr="00640820" w14:paraId="1DC26B14" w14:textId="77777777" w:rsidTr="000D3BCB">
        <w:tc>
          <w:tcPr>
            <w:tcW w:w="1951" w:type="dxa"/>
          </w:tcPr>
          <w:p w14:paraId="2C69F7F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Склад автопарка -83кв.м 11.</w:t>
            </w:r>
          </w:p>
        </w:tc>
        <w:tc>
          <w:tcPr>
            <w:tcW w:w="992" w:type="dxa"/>
          </w:tcPr>
          <w:p w14:paraId="7859F76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- 83 кв.м</w:t>
            </w:r>
          </w:p>
        </w:tc>
        <w:tc>
          <w:tcPr>
            <w:tcW w:w="567" w:type="dxa"/>
          </w:tcPr>
          <w:p w14:paraId="2E74E0E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w:t>
            </w:r>
          </w:p>
        </w:tc>
        <w:tc>
          <w:tcPr>
            <w:tcW w:w="1945" w:type="dxa"/>
          </w:tcPr>
          <w:p w14:paraId="54E466C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Контора</w:t>
            </w:r>
          </w:p>
        </w:tc>
        <w:tc>
          <w:tcPr>
            <w:tcW w:w="890" w:type="dxa"/>
          </w:tcPr>
          <w:p w14:paraId="5947422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225 кв.м</w:t>
            </w:r>
          </w:p>
        </w:tc>
      </w:tr>
      <w:tr w:rsidR="00643896" w:rsidRPr="00640820" w14:paraId="41CA31F5" w14:textId="77777777" w:rsidTr="000D3BCB">
        <w:tc>
          <w:tcPr>
            <w:tcW w:w="1951" w:type="dxa"/>
          </w:tcPr>
          <w:p w14:paraId="4692909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Электроцех - 35 кв.м</w:t>
            </w:r>
          </w:p>
        </w:tc>
        <w:tc>
          <w:tcPr>
            <w:tcW w:w="992" w:type="dxa"/>
          </w:tcPr>
          <w:p w14:paraId="7FC2D9A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- 33 кв.м</w:t>
            </w:r>
          </w:p>
        </w:tc>
        <w:tc>
          <w:tcPr>
            <w:tcW w:w="567" w:type="dxa"/>
          </w:tcPr>
          <w:p w14:paraId="71240CB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5" w:type="dxa"/>
          </w:tcPr>
          <w:p w14:paraId="0F07D16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0" w:type="dxa"/>
          </w:tcPr>
          <w:p w14:paraId="39F9DE1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F491291" w14:textId="77777777" w:rsidTr="000D3BCB">
        <w:tc>
          <w:tcPr>
            <w:tcW w:w="1951" w:type="dxa"/>
          </w:tcPr>
          <w:p w14:paraId="04EB6BC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помещения Ремесленного училища</w:t>
            </w:r>
          </w:p>
        </w:tc>
        <w:tc>
          <w:tcPr>
            <w:tcW w:w="992" w:type="dxa"/>
          </w:tcPr>
          <w:p w14:paraId="5692A11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23AA32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5" w:type="dxa"/>
          </w:tcPr>
          <w:p w14:paraId="2E911689"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0" w:type="dxa"/>
          </w:tcPr>
          <w:p w14:paraId="0F1A4EA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3F22BBC" w14:textId="77777777" w:rsidTr="000D3BCB">
        <w:tc>
          <w:tcPr>
            <w:tcW w:w="1951" w:type="dxa"/>
          </w:tcPr>
          <w:p w14:paraId="315A4F12"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Сушилка -42кв.м</w:t>
            </w:r>
          </w:p>
        </w:tc>
        <w:tc>
          <w:tcPr>
            <w:tcW w:w="992" w:type="dxa"/>
          </w:tcPr>
          <w:p w14:paraId="70982BE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42 кв.м</w:t>
            </w:r>
          </w:p>
        </w:tc>
        <w:tc>
          <w:tcPr>
            <w:tcW w:w="567" w:type="dxa"/>
          </w:tcPr>
          <w:p w14:paraId="18D8DF8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c>
          <w:tcPr>
            <w:tcW w:w="1945" w:type="dxa"/>
          </w:tcPr>
          <w:p w14:paraId="5304619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Силовая</w:t>
            </w:r>
          </w:p>
        </w:tc>
        <w:tc>
          <w:tcPr>
            <w:tcW w:w="890" w:type="dxa"/>
          </w:tcPr>
          <w:p w14:paraId="6A218B8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55 кв.м</w:t>
            </w:r>
          </w:p>
        </w:tc>
      </w:tr>
      <w:tr w:rsidR="00643896" w:rsidRPr="00640820" w14:paraId="6869C29E" w14:textId="77777777" w:rsidTr="000D3BCB">
        <w:tc>
          <w:tcPr>
            <w:tcW w:w="1951" w:type="dxa"/>
            <w:tcBorders>
              <w:bottom w:val="single" w:sz="12" w:space="0" w:color="auto"/>
            </w:tcBorders>
          </w:tcPr>
          <w:p w14:paraId="1C848A8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Склад - 140 кв.м</w:t>
            </w:r>
          </w:p>
        </w:tc>
        <w:tc>
          <w:tcPr>
            <w:tcW w:w="992" w:type="dxa"/>
            <w:tcBorders>
              <w:bottom w:val="single" w:sz="12" w:space="0" w:color="auto"/>
            </w:tcBorders>
          </w:tcPr>
          <w:p w14:paraId="23C38F4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140 кв.м</w:t>
            </w:r>
          </w:p>
        </w:tc>
        <w:tc>
          <w:tcPr>
            <w:tcW w:w="567" w:type="dxa"/>
            <w:tcBorders>
              <w:bottom w:val="single" w:sz="12" w:space="0" w:color="auto"/>
            </w:tcBorders>
          </w:tcPr>
          <w:p w14:paraId="205D352C"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1945" w:type="dxa"/>
            <w:tcBorders>
              <w:bottom w:val="single" w:sz="12" w:space="0" w:color="auto"/>
            </w:tcBorders>
          </w:tcPr>
          <w:p w14:paraId="32CD954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Столярная</w:t>
            </w:r>
          </w:p>
        </w:tc>
        <w:tc>
          <w:tcPr>
            <w:tcW w:w="890" w:type="dxa"/>
            <w:tcBorders>
              <w:bottom w:val="single" w:sz="12" w:space="0" w:color="auto"/>
            </w:tcBorders>
          </w:tcPr>
          <w:p w14:paraId="13E58D4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278 кв.м</w:t>
            </w:r>
          </w:p>
        </w:tc>
      </w:tr>
    </w:tbl>
    <w:p w14:paraId="3C5C21D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работ по размещению и развертыванию ремонтных баз, проделаны следующие работы:</w:t>
      </w:r>
    </w:p>
    <w:p w14:paraId="358ABA9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Намечены предприятия для развертывания ремонтных предприятий в районах Урала и Запад</w:t>
      </w:r>
      <w:r w:rsidRPr="00640820">
        <w:rPr>
          <w:rFonts w:ascii="Times New Roman" w:hAnsi="Times New Roman"/>
          <w:color w:val="000000" w:themeColor="text1"/>
          <w:sz w:val="16"/>
          <w:szCs w:val="16"/>
        </w:rPr>
        <w:softHyphen/>
        <w:t>ной Сибири для Наркомата автотранспорта РСФСР с задачей производства ремонта для НКО. По этому материалу подготовлен проект Правительства.</w:t>
      </w:r>
    </w:p>
    <w:p w14:paraId="26247D3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Приступлено к работе по созданию дополнительных рембаз на территории округов, главным образом тракторных.</w:t>
      </w:r>
    </w:p>
    <w:p w14:paraId="60E431F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Разрешено ПриВО создать хозрасчетную рембазу в г. Ульяновске.</w:t>
      </w:r>
    </w:p>
    <w:p w14:paraId="2D5ED20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Возбуждено ходатайство в СНК об отводе помещения для организации дополнительной рем-базы в 25 км от Куйбышева для ремонта трофейных танков и машин.</w:t>
      </w:r>
    </w:p>
    <w:p w14:paraId="29AB96C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Разработаны годовые плановые задания по ремонту на базах на 1942 г.</w:t>
      </w:r>
    </w:p>
    <w:p w14:paraId="36C43A6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Составлены заявки на 1942 г. для рембаз.</w:t>
      </w:r>
    </w:p>
    <w:p w14:paraId="2100EFF6"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Разработаны директивные указания, технико-экономические показатели (контрольные циф</w:t>
      </w:r>
      <w:r w:rsidRPr="00640820">
        <w:rPr>
          <w:rFonts w:ascii="Times New Roman" w:hAnsi="Times New Roman"/>
          <w:color w:val="000000" w:themeColor="text1"/>
          <w:sz w:val="16"/>
          <w:szCs w:val="16"/>
        </w:rPr>
        <w:softHyphen/>
        <w:t>ры) и формы производственных заданий для составления производственно-финансовых планов на 1942г.</w:t>
      </w:r>
    </w:p>
    <w:p w14:paraId="3C027DD8"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Составлена сметная заявка по обеспечению денежными средствами гарнизонных мастер</w:t>
      </w:r>
      <w:r w:rsidRPr="00640820">
        <w:rPr>
          <w:rFonts w:ascii="Times New Roman" w:hAnsi="Times New Roman"/>
          <w:color w:val="000000" w:themeColor="text1"/>
          <w:sz w:val="16"/>
          <w:szCs w:val="16"/>
        </w:rPr>
        <w:softHyphen/>
        <w:t>ских на 1942 г.</w:t>
      </w:r>
    </w:p>
    <w:p w14:paraId="46A29A44"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Заготовлены карточки технического состояния гарнизонных мастерских (ДВФ и ЗабВО уже высланы) для заполнения по состоянию мастерских на 1.1.1942 г.</w:t>
      </w:r>
    </w:p>
    <w:p w14:paraId="6704F187"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Разработана заявка на 1942 г. на предметы электрохозяйства, потребные для гарнизонных мастерских.</w:t>
      </w:r>
    </w:p>
    <w:p w14:paraId="43B2A52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Разработаны и согласованы с ФУ при НКО основные технико-экономические показатели ра</w:t>
      </w:r>
      <w:r w:rsidRPr="00640820">
        <w:rPr>
          <w:rFonts w:ascii="Times New Roman" w:hAnsi="Times New Roman"/>
          <w:color w:val="000000" w:themeColor="text1"/>
          <w:sz w:val="16"/>
          <w:szCs w:val="16"/>
        </w:rPr>
        <w:softHyphen/>
        <w:t>боты рембаз на 1942 г. и на 1 квартал 1942 г. (снижение себестоимости, рост производительности труда, фонды зарплаты, размеры финансирования и пр.).</w:t>
      </w:r>
    </w:p>
    <w:p w14:paraId="3777A715"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Выслана рембазам и округам директива о составлении промфинпланов на 1 квартал 1942 г. с приложением форм промфинплана и инструкции по его составлению.</w:t>
      </w:r>
    </w:p>
    <w:p w14:paraId="0451B48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Высланы центральным рембазам производственные задания на декабрь 1941 г. и на 1 квартал 1942г.</w:t>
      </w:r>
    </w:p>
    <w:p w14:paraId="4D86BDEF"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Согласован с ФУ при НКО порядок, по которому с 1.1.1942 г. отпуск запчастей рембазам про</w:t>
      </w:r>
      <w:r w:rsidRPr="00640820">
        <w:rPr>
          <w:rFonts w:ascii="Times New Roman" w:hAnsi="Times New Roman"/>
          <w:color w:val="000000" w:themeColor="text1"/>
          <w:sz w:val="16"/>
          <w:szCs w:val="16"/>
        </w:rPr>
        <w:softHyphen/>
        <w:t>изводится без оплаты, о чем сообщено военным округам и рембазам.</w:t>
      </w:r>
    </w:p>
    <w:p w14:paraId="45316A7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Разработан, согласован с ФУ при НКО и сообщен рембазам и военным округам порядок уче</w:t>
      </w:r>
      <w:r w:rsidRPr="00640820">
        <w:rPr>
          <w:rFonts w:ascii="Times New Roman" w:hAnsi="Times New Roman"/>
          <w:color w:val="000000" w:themeColor="text1"/>
          <w:sz w:val="16"/>
          <w:szCs w:val="16"/>
        </w:rPr>
        <w:softHyphen/>
        <w:t>та запасных частей на рембазах в условиях их бесплатного отпуска, а также порядок расчетов за из</w:t>
      </w:r>
      <w:r w:rsidRPr="00640820">
        <w:rPr>
          <w:rFonts w:ascii="Times New Roman" w:hAnsi="Times New Roman"/>
          <w:color w:val="000000" w:themeColor="text1"/>
          <w:sz w:val="16"/>
          <w:szCs w:val="16"/>
        </w:rPr>
        <w:softHyphen/>
        <w:t>готовленные и отремонтированные рембазами запчасти в 1942 г.</w:t>
      </w:r>
    </w:p>
    <w:p w14:paraId="13CD4B1E"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Разработано и представлено в ФУ НКО Положение о премиальном вознаграждении работни</w:t>
      </w:r>
      <w:r w:rsidRPr="00640820">
        <w:rPr>
          <w:rFonts w:ascii="Times New Roman" w:hAnsi="Times New Roman"/>
          <w:color w:val="000000" w:themeColor="text1"/>
          <w:sz w:val="16"/>
          <w:szCs w:val="16"/>
        </w:rPr>
        <w:softHyphen/>
        <w:t>ков рембаз за перевыполнение производственных заданий, а также Инструкция о порядке утвер</w:t>
      </w:r>
      <w:r w:rsidRPr="00640820">
        <w:rPr>
          <w:rFonts w:ascii="Times New Roman" w:hAnsi="Times New Roman"/>
          <w:color w:val="000000" w:themeColor="text1"/>
          <w:sz w:val="16"/>
          <w:szCs w:val="16"/>
        </w:rPr>
        <w:softHyphen/>
        <w:t>ждения и выдачи рембазам месячных оперативных производственных заданий.</w:t>
      </w:r>
    </w:p>
    <w:p w14:paraId="45C77E1D"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Составлены, согласованы с ФО ГАБТУ КА и утверждены в ФУ при НКО сметы расходов по эвакуации рембаз №1,2, 3, 22, 66, 7 и 90.</w:t>
      </w:r>
    </w:p>
    <w:p w14:paraId="113DEB91"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Оказана практическая помощь рембазам по перечислению денежных средств на расчетные счета рембаз по месту нового расквартирования (рембазам №№ 1, 2, 3, 22, 66, мастерской ЛКБТКУКС).</w:t>
      </w:r>
    </w:p>
    <w:p w14:paraId="0F82C2AA"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Составлены (и рассылаются) указания рембазам по составлению годовых отчетов за 1941 г. и т.п.</w:t>
      </w:r>
    </w:p>
    <w:p w14:paraId="2672B4F3" w14:textId="77777777" w:rsidR="00165A9C" w:rsidRPr="00640820" w:rsidRDefault="00165A9C"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Помощник начальника РЭУ ГАБТУ КА военинженер 1 ранга Борейко</w:t>
      </w:r>
    </w:p>
    <w:p w14:paraId="199482C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kern w:val="65535"/>
          <w:sz w:val="16"/>
          <w:szCs w:val="16"/>
        </w:rPr>
      </w:pPr>
      <w:r w:rsidRPr="00640820">
        <w:rPr>
          <w:rFonts w:ascii="Times New Roman" w:hAnsi="Times New Roman"/>
          <w:color w:val="000000" w:themeColor="text1"/>
          <w:kern w:val="65535"/>
          <w:sz w:val="16"/>
          <w:szCs w:val="16"/>
        </w:rPr>
        <w:t>ЦАМО. Ф. 38. Оп. 11364. Д. 273. Л. 79-83. Копия (11211).</w:t>
      </w:r>
    </w:p>
    <w:p w14:paraId="716AD8F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kern w:val="65535"/>
          <w:sz w:val="16"/>
          <w:szCs w:val="16"/>
        </w:rPr>
      </w:pPr>
    </w:p>
    <w:p w14:paraId="2B12B4E1" w14:textId="77777777" w:rsidR="00E31893" w:rsidRPr="00640820" w:rsidRDefault="00E3189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декабря 1941 года</w:t>
      </w:r>
    </w:p>
    <w:p w14:paraId="07B1EF49" w14:textId="77777777" w:rsidR="00E31893" w:rsidRPr="00640820" w:rsidRDefault="00E3189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доклада заместителя наркома внутренних дел СССР комиссара госбезопасности 3-го ранга Б. З. Кобулова заместителю председателя Совнаркома СССР А. Н. Косыгину.</w:t>
      </w:r>
    </w:p>
    <w:p w14:paraId="50358B4D" w14:textId="77777777" w:rsidR="00E31893" w:rsidRPr="00640820" w:rsidRDefault="00E3189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сообщению НКВД Узбекской ССР, прибывшие в Узбекистан в порядке эвакуации заводы "Ростсельмаш", "Калибр", "Электростанок", 1-й и 2-й парашютные и заводы Наркомата Авиационной Промышленности N84, 154 и 478 медленно восстанавливаются из-за плохой организации работ и нечеткости указаний со стороны отдельных наркоматов.</w:t>
      </w:r>
    </w:p>
    <w:p w14:paraId="312DE343" w14:textId="77777777" w:rsidR="00E31893" w:rsidRPr="00640820" w:rsidRDefault="00E3189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заводу "Калибр" с 15 по 20-е ноября т. г. прибыло 32 вагона с оборудованием, материалами и рабочими.</w:t>
      </w:r>
    </w:p>
    <w:p w14:paraId="48745675" w14:textId="77777777" w:rsidR="00E31893" w:rsidRPr="00640820" w:rsidRDefault="00E3189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14 вагонов этого завода были разгружены, и оборудование размещено в цехах, после этого Наркомат танкостроения СССР дал распоряжение о переадресовке завода "Калибр" на Урал.</w:t>
      </w:r>
    </w:p>
    <w:p w14:paraId="3225AD88" w14:textId="77777777" w:rsidR="00E31893" w:rsidRPr="00640820" w:rsidRDefault="00E3189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связи с этим прибывшие 20 ноября т. г., 16 вагонов с оборудованием и рабочими до настоящего времени не разгружены. Рабочие живут в неотепленных (так в тексте) вагонах.</w:t>
      </w:r>
    </w:p>
    <w:p w14:paraId="6A7F0AE1" w14:textId="77777777" w:rsidR="00E31893" w:rsidRPr="00640820" w:rsidRDefault="00E3189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результате несогласованности на Каслинский чугунолитейный завод направлено для размещения 3 предприятия</w:t>
      </w:r>
    </w:p>
    <w:p w14:paraId="26D136BA" w14:textId="77777777" w:rsidR="00E31893" w:rsidRPr="00640820" w:rsidRDefault="00E3189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Эвакуированный завод N478 по распоряжению Наркомата Авиационной Промышленности СССР должен был слиться с заводом N84. На основании этого оборудование и материалы были перевезены на площадку завода N84. Рабочие с семьями в количестве 800 человек также были размещены на жилой площади этого завода.</w:t>
      </w:r>
    </w:p>
    <w:p w14:paraId="432D4102" w14:textId="77777777" w:rsidR="00E31893" w:rsidRPr="00640820" w:rsidRDefault="00E3189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ноября т. г. заводом N84 было получено распоряжение НКАП о разделении заводов и переадресовке завода N478 в Куйбышев, а 22 ноября из НКАП получено снова указание, подтверждающее слияние заводов. Вследствие этого сорваны сроки разгрузки и размещения оборудования.</w:t>
      </w:r>
    </w:p>
    <w:p w14:paraId="3A23AF7C" w14:textId="77777777" w:rsidR="00E31893" w:rsidRPr="00640820" w:rsidRDefault="00E3189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заводам N84 и "Ростсельмаш" из-за плохой организации работ, отсутствия транспорта и подъемных кранов вагоны под разгрузкой простаивают по несколько дней. Рабочие указанных заводов на разгрузку оборудования не мобилизованы. Часть выделенных рабочих для разгрузки оборудования на работу не выходит.</w:t>
      </w:r>
    </w:p>
    <w:p w14:paraId="06100603" w14:textId="77777777" w:rsidR="00E31893" w:rsidRPr="00640820" w:rsidRDefault="00E3189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Охрана оборудования и материалов организована плохо, в результате этого имеются случаи хищения инструмента, цветных металлов и других материалов (19797).</w:t>
      </w:r>
    </w:p>
    <w:p w14:paraId="2FC34C06" w14:textId="77777777" w:rsidR="00E31893" w:rsidRPr="00640820" w:rsidRDefault="00E31893" w:rsidP="00640820">
      <w:pPr>
        <w:spacing w:after="0" w:line="240" w:lineRule="auto"/>
        <w:jc w:val="both"/>
        <w:rPr>
          <w:rFonts w:ascii="Times New Roman" w:hAnsi="Times New Roman"/>
          <w:color w:val="000000" w:themeColor="text1"/>
          <w:sz w:val="16"/>
          <w:szCs w:val="16"/>
        </w:rPr>
      </w:pPr>
    </w:p>
    <w:p w14:paraId="72485F1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декабря 1941 вышло Постановление ГКО № 1004 О строительстве железнодорожных линий Боровичи - Хвойная и Весьегонск - Суда. (7017, 72).</w:t>
      </w:r>
    </w:p>
    <w:p w14:paraId="5D74D82F"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967364"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декабря 1941 вышло Постановление ГКО № 1007 [О вооружении разведывательных органов ДА индивидуальными зажигательными средствами.] (7017, 75).</w:t>
      </w:r>
    </w:p>
    <w:p w14:paraId="34D5A7E2"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9659CE"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39FFD900"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734B270" w14:textId="77777777" w:rsidR="00A036FC" w:rsidRPr="00640820" w:rsidRDefault="00A036FC"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9 декабря</w:t>
      </w:r>
      <w:r w:rsidRPr="00640820">
        <w:rPr>
          <w:rFonts w:ascii="Times New Roman" w:hAnsi="Times New Roman"/>
          <w:color w:val="000000" w:themeColor="text1"/>
          <w:sz w:val="16"/>
          <w:szCs w:val="16"/>
        </w:rPr>
        <w:t xml:space="preserve"> в 1941 году утреннее сообщение Совинформбюро:</w:t>
      </w:r>
    </w:p>
    <w:p w14:paraId="2BAE3992" w14:textId="77777777" w:rsidR="00A036FC" w:rsidRPr="00640820" w:rsidRDefault="00A036F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ночь на 9 декабря наши войска вели бои с противником на всех фронтах.</w:t>
      </w:r>
    </w:p>
    <w:p w14:paraId="55E3696F" w14:textId="77777777" w:rsidR="00A036FC" w:rsidRPr="00640820" w:rsidRDefault="00A036F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Части тов. Юшкевича, действующие на одном из участков Западного фронта, уничтожили 10 немецких блиндажей и истребили 350 солдат и офицеров противника. На другом участке фронта бойцы тов. Масленникова уничтожили 20 немецких дерево-земляных укреплений, артиллерийскую и две миномётных батареи и истребили до 400 вражеских солдат и офицеров.</w:t>
      </w:r>
    </w:p>
    <w:p w14:paraId="1050A789" w14:textId="77777777" w:rsidR="00A036FC" w:rsidRPr="00640820" w:rsidRDefault="00A036F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Лётчики тов. Трифонова, действующие на Западном фронте, за один день боевых действий уничтожили 10 немецких танков, более 60 автомашин, около 80 повозок с боеприпасами и истребили 800 солдат и офицеров противника.</w:t>
      </w:r>
    </w:p>
    <w:p w14:paraId="0137EEF1" w14:textId="77777777" w:rsidR="00A036FC" w:rsidRPr="00640820" w:rsidRDefault="00A036F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Наша часть, действующая на одном из участков Юго-Западного фронта, совершив ночной налёт на противника, захватила 6 пушек, 32 пулемёта, 12 миномётов и 3 вражеских знамени.</w:t>
      </w:r>
    </w:p>
    <w:p w14:paraId="59D6418E" w14:textId="77777777" w:rsidR="00A036FC" w:rsidRPr="00640820" w:rsidRDefault="00A036F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Бежавшие из фашистского плена сержант Будянский и красноармейцы Компанеец М., Капурин Г., Санкачев Т., Савченко И., Подгорный И., Бойко С. и другие рассказали о неслыханных зверствах, чинимых гитлеровцами над пленными красноармейцами и мирными жителями оккупированных районов: «Нас 4 дня держали в яме, не давали ни пищи, ни воды. Затем погнали в Кременчуг, а оттуда на станцию Павлыш. Изнемогавших расстреливали на дороге. В селе Знаменка немцы убили мальчика и ранили старуху за то, что они бросили кукурузу пленным красноармейцам. В одну из ночей нам удалась бежать. Пробираясь к своим частям, мы видели, как фашисты зверски расправляются с населением. В селе Яновка немцы забрали у населения весь хлеб, свиней коров, кур, гусей и домашние вещи. Когда немцы стали забирать у колхозницы, фамилию которой мы не запомнили, последнюю свинью, она заплакала. Тогда изверги закололи женщину штыком. В колхозе «Червоне село», зайдя во двор к колхознице, фашисты перестреляли из автоматов всех уток. Колхозница не выдержала и попросила их прекратить стрельбу. Её тут же расстреляли. В селе Тымми немцы убили мальчика за то, что он подошёл к немецким танкам. В селе Софиевка за убийство одного итальянского офицера фашисты расстреляли 50 женщин и детей».</w:t>
      </w:r>
    </w:p>
    <w:p w14:paraId="0B9DD2A9" w14:textId="77777777" w:rsidR="00A036FC" w:rsidRPr="00640820" w:rsidRDefault="00A036F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Бельгийские патриоты произвели нападение на немецкую батарею тяжёлых орудий юго-западнее гор. Бланкенберга. Перебив 17 фашистских артиллеристов, патриоты взорвали склад с боеприпасами и вывели из строя два орудия и три зенитные установки. По всей Бельгии распространяются листовки с призывом истреблять фашистских солдат, взрывать их склады и уничтожать немецкое оружие.</w:t>
      </w:r>
    </w:p>
    <w:p w14:paraId="40A755D1" w14:textId="77777777" w:rsidR="00A036FC" w:rsidRPr="00640820" w:rsidRDefault="00A036F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Советские патриотки успешно заменяют мужчин, ушедших на фронт. В Красноярском крае за время войны более тысячи женщин выдвинуто на руководящую работу в колхозах и совхозах. С большим уважением в Краснотуранском районе произносят имя председателя правления колхоза Виктории Дытля. Она вывела артель из отстающих в передовые. Одним из первых в районе колхоз выполнил все обязательства перед государством. Образец умелого руководства советской работой в дни войны показывает колхозница Тюхтетского района Ефросинья Сенькова, избранная председателем Васильевского сельсовета. Отлично справляется со своими обязанностями заместитель председателя правления колхоза «Октябрь», Арысского района, Южно-Казахстанской области, Урбыкуль Утебаева. Под её руководством в колхозе построено 10 новых построек для скота, заготовлено вдоволь кормов на зиму. В Приморье за время Отечественной войны 650 женщин выдвинуто на различные участки общественной, государственной и хозяйственной работы. Способным организатором показала себя работница Софья Михайловна Стрижак, назначенная техноруком рыбозавода Владивостокского Горрыбкомбината. Под её руководством коллектив рыбозавода отлично справился со специальным заданием. Коллектив ежемесячно перевыполняет план. На заводе нет рабочих, которые бы не выполняли своих норм. На нефтяных промыслах Бугуруслана командные должности заняли многие женщины. Тов. Самойленко заменила мастера по добыче нефти, ушедшего на фронт. Бригада под её руководством увеличила добычу нефти.» (14855).</w:t>
      </w:r>
    </w:p>
    <w:p w14:paraId="6E940425" w14:textId="77777777" w:rsidR="00A036FC" w:rsidRPr="00640820" w:rsidRDefault="00A036FC" w:rsidP="00640820">
      <w:pPr>
        <w:spacing w:after="0" w:line="240" w:lineRule="auto"/>
        <w:jc w:val="both"/>
        <w:rPr>
          <w:rFonts w:ascii="Times New Roman" w:hAnsi="Times New Roman"/>
          <w:color w:val="000000" w:themeColor="text1"/>
          <w:sz w:val="16"/>
          <w:szCs w:val="16"/>
        </w:rPr>
      </w:pPr>
    </w:p>
    <w:p w14:paraId="3F6FFBBF" w14:textId="77777777" w:rsidR="00A036FC" w:rsidRPr="00640820" w:rsidRDefault="00A036FC"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9 декабря</w:t>
      </w:r>
      <w:r w:rsidRPr="00640820">
        <w:rPr>
          <w:rFonts w:ascii="Times New Roman" w:hAnsi="Times New Roman"/>
          <w:color w:val="000000" w:themeColor="text1"/>
          <w:sz w:val="16"/>
          <w:szCs w:val="16"/>
        </w:rPr>
        <w:t xml:space="preserve"> в 1941 году вечернее сообщение Совинформбюро:</w:t>
      </w:r>
    </w:p>
    <w:p w14:paraId="4619B56A" w14:textId="77777777" w:rsidR="00A036FC" w:rsidRPr="00640820" w:rsidRDefault="00A036F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9 декабря наши войска вели бои с противником на всех фронтах. На ряде участков ЗАПАДНОГО и ЮГО-ЗАПАДНОГО фронтов наши части, преодолевая упорное сопротивление противника, продвинулись вперёд и заняли несколько населённых пунктов.</w:t>
      </w:r>
    </w:p>
    <w:p w14:paraId="635173FB" w14:textId="77777777" w:rsidR="00A036FC" w:rsidRPr="00640820" w:rsidRDefault="00A036F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8 декабря уничтожено 6 немецких самолётов. Наши потеря — 3 самолёта.</w:t>
      </w:r>
    </w:p>
    <w:p w14:paraId="46DB412B" w14:textId="77777777" w:rsidR="00A036FC" w:rsidRPr="00640820" w:rsidRDefault="00A036F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8 декабря одна из наших авиачастей уничтожила и повредила 4 немецких танка, 2 бронемашины, 70 автомашин с войсками и грузами, 5 полевых и зенитных орудий, более 20 подвод с боеприпасами, истребила или рассеяла более двух рот вражеской пехоты.</w:t>
      </w:r>
    </w:p>
    <w:p w14:paraId="645FF86B" w14:textId="77777777" w:rsidR="00A036FC" w:rsidRPr="00640820" w:rsidRDefault="00A036F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Части командира Захаркина, действующие на одном из участков Тульского направления фронта, стремительными ударами выбили немцев из ряда населённых пунктов. Только за один день наши бойцы захватили 15 немецких танков, 2 бронемашины, 41 автомашину, 5 орудий, 3 миномёта, 18 пулемётов и истребили свыше 600 солдат и офицеров противника. В ходе боёв уничтожено большое количество танков, орудий и другого вооружения немцев.</w:t>
      </w:r>
    </w:p>
    <w:p w14:paraId="50CA0CFE" w14:textId="77777777" w:rsidR="00A036FC" w:rsidRPr="00640820" w:rsidRDefault="00A036F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 наша часть, действующая на Калининском участке фронта, в результате ожесточённых боёв выбила немцев из семи населённых пунктов и истребила 1.500 солдат и офицеров противника. Захвачены 18 немецких орудий, 10 миномётов, 17 радиостанций, 19 пулемётов, 13 автомашин, много другого вооружения и боеприпасов.</w:t>
      </w:r>
    </w:p>
    <w:p w14:paraId="72614A3B" w14:textId="77777777" w:rsidR="00A036FC" w:rsidRPr="00640820" w:rsidRDefault="00A036F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Артиллеристы подразделения тов. Бызеева, действующего на Ленинградском фронте, огневым налётом уничтожили вражескую миномётную батарею и истребила свыше 100 вражеских солдат и офицеров.</w:t>
      </w:r>
    </w:p>
    <w:p w14:paraId="1969B119" w14:textId="77777777" w:rsidR="00A036FC" w:rsidRPr="00640820" w:rsidRDefault="00A036F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Партизаны Калининской области беспощадно уничтожают немецких захватчиков, укрывающихся от мороза в землянках, бараках и в уцелевших деревенских домах. Партизанский отряд, где командиром тов. М., действует сейчас на лыжах. Все бойцы отряда в белых халатах. На днях бойцы этого отряда окружили в лесу группу фашистских солдат, устроивших привал в лесу. Немцы развели костры и начали быстро отогреваться. Неожиданно налетели партизаны. Несколько удачно брошенных гранат сразу же вывело из строя больше десятка немецких захватчиков. Воспользовавшись паникой среди фашистов, партизаны перестреляли врагов всех до единого. Всего в лесу было истреблено 27 солдат, захвачено 17 винтовок, 4 автомата и 2 ручных пулемёта. Партизаны-лыжники из отряда тов. Н. напали на два танковых экипажа фашистов. Немцы никак не могли завести замёрзшие моторы. Уничтожив танкистов, партизаны сняли оружие с машин и подожгли танки. Крупный успех выпал на долю партизанского отряда тов. И. Бойцы этого отряда после тщательной разведки произвели нападение на запасный аэродром противника, где находились три немецких самолёта. Партизаны облили самолёты бензином и сожгли их.</w:t>
      </w:r>
    </w:p>
    <w:p w14:paraId="06BBC2B5" w14:textId="77777777" w:rsidR="00A036FC" w:rsidRPr="00640820" w:rsidRDefault="00A036F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широких слоях населения Финляндии всё более усиливается недовольство губительной для Финляндии войной. Военнопленный Вирта Вейкко рассказал: «В тылу говорят, что самые молодые и здоровые мужчины гибнут на фронте. Скоро никого не останется. Везде и всюду считают Германию главным виновником страданий и бессмысленных жертв финского народа. Гитлер и его финские прихвостни заставили вашу страну вступить в эту бойню». Военнопленный Леуто Аорре сообщает о враждебном отношении финского населения к немецким войскам. Военнопленный Иоганн Мансисто заявил, что «уже теперь Финляндия превратилась в зависимую от Германии и порабощённую немцами страну». Письмо солдату Саартамайнену от его жены проникнуто тревогой и страхом: «Здесь совсем не осталось мужчин... Скоро в стране останутся одни старики. Когда же кончится эта страшная война, которая ведёт к гибели наш народ!».</w:t>
      </w:r>
    </w:p>
    <w:p w14:paraId="6C295D30" w14:textId="77777777" w:rsidR="00A036FC" w:rsidRPr="00640820" w:rsidRDefault="00A036F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Французские патриоты самоотверженно борются против фашистских оккупантов. На днях близ Гавра произошло крушение немецкого воинского поезда, направлявшегося на Восточный фронт. Под обломками вагонов погибли сотни гитлеровских солдат. В Париже патриоты подожгли гараж, в котором находились немецкие военные грузовые машины. Огонь уничтожил 15 автомобилей.»</w:t>
      </w:r>
    </w:p>
    <w:p w14:paraId="09E8E690" w14:textId="77777777" w:rsidR="00A036FC" w:rsidRPr="00640820" w:rsidRDefault="00A036F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последний час.</w:t>
      </w:r>
    </w:p>
    <w:p w14:paraId="46E1D9FC" w14:textId="77777777" w:rsidR="00A036FC" w:rsidRPr="00640820" w:rsidRDefault="00A036F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Еще удар по войскам врага.</w:t>
      </w:r>
    </w:p>
    <w:p w14:paraId="617470D0" w14:textId="77777777" w:rsidR="00A036FC" w:rsidRPr="00640820" w:rsidRDefault="00A036F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первых числах декабря развернулись крупные бои в районе гор. Елец. Немецкие войска, сосредоточив значительные силы, потеснили наши части и захватили город. Войска Красной Армии Юго-Западного фронта, перейдя в контратаки, в течение 4 дней вели ожесточённую борьбу за г. Елец. 9 декабря наши войска во главе с генерал-лейтенантом Костенко разгромили немецко-фашистские войска и заняли гор. Елец. В боях в районе гор. Елец полностью разгромлены 2 пехотные дивизии противника — 45 дивизия генерала Матернера и 95 дивизия генерала Сикст фон Армин. Противник потерял на поле боя 12 тысяч убитыми и ранеными. Нашими частями захвачены большие трофеи. По предварительным данным, захвачено: до 90 орудий разных калибров, свыше 150 миномётов, около 200 пулемётов, до 200 автомашин, более 100 мотоциклов, большое количество боеприпасов и много другого военного имущества. Сбор и подсчёт трофеев продолжаются.»</w:t>
      </w:r>
    </w:p>
    <w:p w14:paraId="4B18B45A" w14:textId="77777777" w:rsidR="00A036FC" w:rsidRPr="00640820" w:rsidRDefault="00A036FC" w:rsidP="00640820">
      <w:pPr>
        <w:spacing w:after="0" w:line="240" w:lineRule="auto"/>
        <w:jc w:val="both"/>
        <w:rPr>
          <w:rFonts w:ascii="Times New Roman" w:hAnsi="Times New Roman"/>
          <w:color w:val="000000" w:themeColor="text1"/>
          <w:sz w:val="16"/>
          <w:szCs w:val="16"/>
        </w:rPr>
      </w:pPr>
    </w:p>
    <w:p w14:paraId="2FD8F211" w14:textId="77777777" w:rsidR="00A96601" w:rsidRPr="00640820" w:rsidRDefault="00A9660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9-14 декабря  1941 со снижением немецкой воздушной угрозы Москве, советские войска противовоздушной обороны - бойцы 6 - го истребительного авиационного корпуса - присоединяются к фронтовой авиации ВВС СССР для поддержки советского зимнего наземное наступление, атакуя  отступающие немецкие войска к западу от Москвы рядом Клином, Солнечногорском и других места в сильный снегопад и сильные морозы (20794).</w:t>
      </w:r>
    </w:p>
    <w:p w14:paraId="30CB466D" w14:textId="77777777" w:rsidR="00A96601" w:rsidRPr="00640820" w:rsidRDefault="00A96601" w:rsidP="00640820">
      <w:pPr>
        <w:spacing w:after="0" w:line="240" w:lineRule="auto"/>
        <w:jc w:val="both"/>
        <w:rPr>
          <w:rFonts w:ascii="Times New Roman" w:hAnsi="Times New Roman"/>
          <w:color w:val="0070C0"/>
          <w:sz w:val="16"/>
          <w:szCs w:val="16"/>
        </w:rPr>
      </w:pPr>
    </w:p>
    <w:p w14:paraId="0DCBC3E7" w14:textId="77777777" w:rsidR="00A036FC" w:rsidRPr="00640820" w:rsidRDefault="00A036FC"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9 декабря</w:t>
      </w:r>
      <w:r w:rsidRPr="00640820">
        <w:rPr>
          <w:rFonts w:ascii="Times New Roman" w:hAnsi="Times New Roman"/>
          <w:color w:val="000000" w:themeColor="text1"/>
          <w:sz w:val="16"/>
          <w:szCs w:val="16"/>
        </w:rPr>
        <w:t xml:space="preserve"> в 1941 году войска Юго-Западного фронта освободили Елец (14855).</w:t>
      </w:r>
    </w:p>
    <w:p w14:paraId="5D273B46" w14:textId="77777777" w:rsidR="00A036FC" w:rsidRPr="00640820" w:rsidRDefault="00A036FC" w:rsidP="00640820">
      <w:pPr>
        <w:spacing w:after="0" w:line="240" w:lineRule="auto"/>
        <w:jc w:val="both"/>
        <w:rPr>
          <w:rFonts w:ascii="Times New Roman" w:hAnsi="Times New Roman"/>
          <w:color w:val="000000" w:themeColor="text1"/>
          <w:sz w:val="16"/>
          <w:szCs w:val="16"/>
        </w:rPr>
      </w:pPr>
    </w:p>
    <w:p w14:paraId="4519DBC6" w14:textId="77777777" w:rsidR="00A036FC" w:rsidRPr="00640820" w:rsidRDefault="00A036FC"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9 декабря</w:t>
      </w:r>
      <w:r w:rsidRPr="00640820">
        <w:rPr>
          <w:rFonts w:ascii="Times New Roman" w:hAnsi="Times New Roman"/>
          <w:color w:val="000000" w:themeColor="text1"/>
          <w:sz w:val="16"/>
          <w:szCs w:val="16"/>
        </w:rPr>
        <w:t xml:space="preserve"> в 1941 году войска Западного фронта освободили Венев (14855).</w:t>
      </w:r>
    </w:p>
    <w:p w14:paraId="0C1111A0" w14:textId="77777777" w:rsidR="00A036FC" w:rsidRPr="00640820" w:rsidRDefault="00A036FC" w:rsidP="00640820">
      <w:pPr>
        <w:spacing w:after="0" w:line="240" w:lineRule="auto"/>
        <w:jc w:val="both"/>
        <w:rPr>
          <w:rFonts w:ascii="Times New Roman" w:hAnsi="Times New Roman"/>
          <w:color w:val="000000" w:themeColor="text1"/>
          <w:sz w:val="16"/>
          <w:szCs w:val="16"/>
        </w:rPr>
      </w:pPr>
    </w:p>
    <w:p w14:paraId="05DDE0AC" w14:textId="77777777" w:rsidR="00A036FC" w:rsidRPr="00640820" w:rsidRDefault="00A036FC"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9 декабря</w:t>
      </w:r>
      <w:r w:rsidRPr="00640820">
        <w:rPr>
          <w:rFonts w:ascii="Times New Roman" w:hAnsi="Times New Roman"/>
          <w:color w:val="000000" w:themeColor="text1"/>
          <w:sz w:val="16"/>
          <w:szCs w:val="16"/>
        </w:rPr>
        <w:t xml:space="preserve"> в 1941 году войска 31-й армии Калининского фронта прорвали оборону противника, перерезали шоссе Калинин — Тургиново и создали во взаимодействии с 20-й армией угрозу окружения противника в районе Калинина (14855).</w:t>
      </w:r>
    </w:p>
    <w:p w14:paraId="2C00ED25" w14:textId="77777777" w:rsidR="00A036FC" w:rsidRPr="00640820" w:rsidRDefault="00A036FC" w:rsidP="00640820">
      <w:pPr>
        <w:spacing w:after="0" w:line="240" w:lineRule="auto"/>
        <w:jc w:val="both"/>
        <w:rPr>
          <w:rFonts w:ascii="Times New Roman" w:hAnsi="Times New Roman"/>
          <w:color w:val="000000" w:themeColor="text1"/>
          <w:sz w:val="16"/>
          <w:szCs w:val="16"/>
        </w:rPr>
      </w:pPr>
    </w:p>
    <w:p w14:paraId="3A9662E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декабря 1941 702 нбап на У-2 бомбил Клин и эта операция вызвала интерес Москвы (4543, 23).</w:t>
      </w:r>
    </w:p>
    <w:p w14:paraId="365E310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68BE15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декабря 1941 из состава части 122 М.Расковой был выделен женский иап 586 - 25 ж для Як-1 (4618,8).</w:t>
      </w:r>
    </w:p>
    <w:p w14:paraId="4F4F98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BAD4D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декабря 1941 воздушная разведка установила начало массового отхода противника по дороге Клин - Теряева Слобода и решили ударить (340,66).</w:t>
      </w:r>
    </w:p>
    <w:p w14:paraId="028E58D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9F1E4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декабря 1941 воздушная разведка установила массовый отход противника, который стремился на ЗН выйти из окружения, по дороге Клин-Теряева Слобода. авиация сосредоточилась на разгроме отступающих частей (341,83).</w:t>
      </w:r>
    </w:p>
    <w:p w14:paraId="3FE734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3D16281"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декабря 1941 вышло Постановление ГКО № 1006 [О назначении Омельченко Г.А. зам. Нач. ГУ связи КА без освобождения от должности зам. наркома связи СССР.] (7017, 74).</w:t>
      </w:r>
    </w:p>
    <w:p w14:paraId="32BCAC9B"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36839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декабря 1941 был освобожден Тихвин и появилась возможность создания дороги жизни (2070,62).</w:t>
      </w:r>
    </w:p>
    <w:p w14:paraId="4561E93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83C4B1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декабря 1941 войска ЮЗФ освободили Елец, а войска 4А - Тихвин (3186).</w:t>
      </w:r>
    </w:p>
    <w:p w14:paraId="1C191A48"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A11F1B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December 9, 1941: The Red Army recaptures Klin and Tikvin. China declares war on Japan, Germany and Italy (3819).</w:t>
      </w:r>
    </w:p>
    <w:p w14:paraId="6D7367E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7F65E20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декабря 1941 КА отбила Клин и Тихвин (3819).</w:t>
      </w:r>
    </w:p>
    <w:p w14:paraId="029C3F8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F3D8E3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декабря 1941 утром, захватив населенный пункт Ямуга, между Клином и Калинином 8-я танковая бригада перерезала Ленинградское шоссе, по которому осуществлялась связь между московской и калининской группировками врага. Это явилось решающим моментом в разгроме немцев на этом участке фронта (3905).</w:t>
      </w:r>
    </w:p>
    <w:p w14:paraId="3786612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948E47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декабря 1941 вышло Постановление ГКО № 1005 О сформировании 30 отдельных огнеметных рот и запасного огнеметного батальона. РГАНИР, Фонд ГКО, д. 16, лл. 73 (11012).</w:t>
      </w:r>
    </w:p>
    <w:p w14:paraId="3C725D6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A7662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декабря 1941 вышло Постановление ГКО № 1008 О т.т. Куликове П.Н. и Смирнове П.К. . РГАНИР, Фонд ГКО, д. 16, лл. 76 (11012).</w:t>
      </w:r>
    </w:p>
    <w:p w14:paraId="7AA8156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D49C9D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декабря 1941 вышло Постановление ГКО № 1009 О тов. Родионове М.И. . РГАНИР, Фонд ГКО, д. 16, лл. 77 (11012).</w:t>
      </w:r>
    </w:p>
    <w:p w14:paraId="32D00FC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72FAD9C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декабря 1941 вышло Постановление ГКО № 1010 О т.т. Сенине Г.С. и Найденове П.А. . РГАНИР, Фонд ГКО, д. 16, лл. 78 (11012).</w:t>
      </w:r>
    </w:p>
    <w:p w14:paraId="1C818AE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0B9764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декабря 1941 вышло Постановление ГКО № 1011 О т.т. Кривулине А.М., Клишине Г.Т., Панжине С.З., Яшечкине Ф.В., Яковлеве Н.В., Кузнецове В.А. и Желобанове Н.Т. . РГАНИР, Фонд ГКО, д. 16, лл. 79 (11012).</w:t>
      </w:r>
    </w:p>
    <w:p w14:paraId="55FBB03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3A47584" w14:textId="77777777" w:rsidR="00D26169" w:rsidRPr="00640820" w:rsidRDefault="00D26169"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473D17A1" w14:textId="77777777" w:rsidR="00D26169" w:rsidRPr="00640820" w:rsidRDefault="00D26169"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DC04AB1" w14:textId="77777777" w:rsidR="00D26169" w:rsidRPr="00640820" w:rsidRDefault="00D26169" w:rsidP="00640820">
      <w:pPr>
        <w:pStyle w:val="ae"/>
        <w:shd w:val="clear" w:color="auto" w:fill="FFFFFF"/>
        <w:spacing w:before="0" w:after="0"/>
        <w:jc w:val="both"/>
        <w:rPr>
          <w:color w:val="000000" w:themeColor="text1"/>
          <w:sz w:val="16"/>
          <w:szCs w:val="16"/>
        </w:rPr>
      </w:pPr>
      <w:r w:rsidRPr="00640820">
        <w:rPr>
          <w:color w:val="000000" w:themeColor="text1"/>
          <w:sz w:val="16"/>
          <w:szCs w:val="16"/>
        </w:rPr>
        <w:t>9 декабря 1941 в Куйбышеве в зал ресторана«Гранд Отель», где спокойно обедали члены японской миссии, вошла группа возбужденных американских дипломатов и журналистов. Очевидцы вспоминали, что все началось со словесной перепалки. Потом в ход пошли кулаки. Зазвенела разбитая посуда, опрокидывались столы и стулья. Как рассказывали работники ресторана, иностранцы дрались «совсем по-самарски, зло, дико, грубо». Пришлось вызывать милицию, и она, ничего не понимая, еле уняла драчунов.</w:t>
      </w:r>
    </w:p>
    <w:p w14:paraId="24FE1B8E" w14:textId="77777777" w:rsidR="00D26169" w:rsidRPr="00640820" w:rsidRDefault="00D26169" w:rsidP="00640820">
      <w:pPr>
        <w:pStyle w:val="ae"/>
        <w:shd w:val="clear" w:color="auto" w:fill="FFFFFF"/>
        <w:spacing w:before="0" w:after="0"/>
        <w:jc w:val="both"/>
        <w:rPr>
          <w:color w:val="000000" w:themeColor="text1"/>
          <w:sz w:val="16"/>
          <w:szCs w:val="16"/>
        </w:rPr>
      </w:pPr>
      <w:r w:rsidRPr="00640820">
        <w:rPr>
          <w:color w:val="000000" w:themeColor="text1"/>
          <w:sz w:val="16"/>
          <w:szCs w:val="16"/>
        </w:rPr>
        <w:t>Лишь на следующий день выяснилась причина потасовки: американцы узнали о разгроме японской авиацией своего флота в Пирл-Харборе. Янки не ожидали мощного налета вражеских торпедоносцев и потеряли пять из восьми крупных линкоров, множество крейсеров, эсминцев и вспомогательных судов. Это было крупнейшее поражение США в годы Второй мировой войны. 10 декабря 1941 года японская авиация совершила еще один мощный налет и потопила в Сиамском заливе английский линкор «Принц Уэльский» и крейсер «Рипалс», после чего Великобритания объявила войну Японии. Но на этот раз в Куйбышеве обошлось без драки.</w:t>
      </w:r>
    </w:p>
    <w:p w14:paraId="4373D35A" w14:textId="77777777" w:rsidR="00D26169" w:rsidRPr="00640820" w:rsidRDefault="00D26169" w:rsidP="00640820">
      <w:pPr>
        <w:pStyle w:val="ae"/>
        <w:shd w:val="clear" w:color="auto" w:fill="FFFFFF"/>
        <w:spacing w:before="0" w:after="0"/>
        <w:jc w:val="both"/>
        <w:rPr>
          <w:color w:val="000000" w:themeColor="text1"/>
          <w:sz w:val="16"/>
          <w:szCs w:val="16"/>
        </w:rPr>
      </w:pPr>
      <w:r w:rsidRPr="00640820">
        <w:rPr>
          <w:color w:val="000000" w:themeColor="text1"/>
          <w:sz w:val="16"/>
          <w:szCs w:val="16"/>
        </w:rPr>
        <w:t>Посольство Великобритании располагалось в доме № 106 по улице Степана Разина, а посольство США на Некрасовской, 62. Именно здесь решались многие вопросы по поставкам в нашу страну военной техники и продовольствия.</w:t>
      </w:r>
    </w:p>
    <w:p w14:paraId="4D800973" w14:textId="77777777" w:rsidR="00D26169" w:rsidRPr="00640820" w:rsidRDefault="00D26169" w:rsidP="00640820">
      <w:pPr>
        <w:pStyle w:val="ae"/>
        <w:shd w:val="clear" w:color="auto" w:fill="FFFFFF"/>
        <w:spacing w:before="0" w:after="0"/>
        <w:jc w:val="both"/>
        <w:rPr>
          <w:color w:val="000000" w:themeColor="text1"/>
          <w:sz w:val="16"/>
          <w:szCs w:val="16"/>
        </w:rPr>
      </w:pPr>
      <w:r w:rsidRPr="00640820">
        <w:rPr>
          <w:color w:val="000000" w:themeColor="text1"/>
          <w:sz w:val="16"/>
          <w:szCs w:val="16"/>
        </w:rPr>
        <w:t>В Куйбышеве дипломаты не бедствовали. Им полагалось в месяц 8 килограммов мяса (в то время как рабочим военных заводов по 1,5 кг), 30 килограммов хлеба, 8 килограммов сахара и 10 литров спиртных напитков. С водкой был явный перебор.</w:t>
      </w:r>
    </w:p>
    <w:p w14:paraId="43F74DE1" w14:textId="77777777" w:rsidR="00D26169" w:rsidRPr="00640820" w:rsidRDefault="00D26169" w:rsidP="00640820">
      <w:pPr>
        <w:pStyle w:val="ae"/>
        <w:shd w:val="clear" w:color="auto" w:fill="FFFFFF"/>
        <w:spacing w:before="0" w:after="0"/>
        <w:jc w:val="both"/>
        <w:rPr>
          <w:color w:val="000000" w:themeColor="text1"/>
          <w:sz w:val="16"/>
          <w:szCs w:val="16"/>
        </w:rPr>
      </w:pPr>
      <w:r w:rsidRPr="00640820">
        <w:rPr>
          <w:color w:val="000000" w:themeColor="text1"/>
          <w:sz w:val="16"/>
          <w:szCs w:val="16"/>
        </w:rPr>
        <w:t>Работники госбезопасности установили, что некоторые сотрудники посольств скрытно выезжали за город и там меняли водку на другие продукты и овощи. Об этом доложили заместителю наркома иностранных дел А.Я.Вышинскому, и он распорядился сократить норму отпуска спиртного вдвое. Но его все равно хватало, и иностранцы часто наведывались в свой магазин на улице Куйбышева, 72, где по воспоминаниям шведского дипломата Сверкера Острема «всегда была в продаже за дешевые деньги икра, а также связанная с ней водка – в неограниченном количестве» (19828).</w:t>
      </w:r>
    </w:p>
    <w:p w14:paraId="0173870F" w14:textId="77777777" w:rsidR="00D26169" w:rsidRPr="00640820" w:rsidRDefault="00D26169" w:rsidP="00640820">
      <w:pPr>
        <w:pStyle w:val="ae"/>
        <w:shd w:val="clear" w:color="auto" w:fill="FFFFFF"/>
        <w:spacing w:before="0" w:after="0"/>
        <w:jc w:val="both"/>
        <w:rPr>
          <w:color w:val="000000" w:themeColor="text1"/>
          <w:sz w:val="16"/>
          <w:szCs w:val="16"/>
        </w:rPr>
      </w:pPr>
    </w:p>
    <w:p w14:paraId="48110784" w14:textId="77777777" w:rsidR="00165A9C"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505A2E37" w14:textId="77777777" w:rsidR="00165A9C" w:rsidRPr="00640820" w:rsidRDefault="00165A9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770E843" w14:textId="77777777" w:rsidR="00A96601" w:rsidRPr="00640820" w:rsidRDefault="00A9660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9 декабря 1941 линкор «Принц Уэльский», линейный крейсер «Рипалс» и пять эсминцев обнаружила подлодка I-56, а затем самолет-разведчик C5M-2. Против эскадры были брошены 60 дальних бомбардировщиков G3M-2, 26 новейших тяжелых G4M-1 с торпедами и 800-кг бомбами, обеспечивали операцию дальние разведчики — 2 С5М-1 и 9 G3M-2. Один из них и навел утром 10 декабря ударную группу на корабли, отчаянно пытавшиеся спастись маневром. Первая волна бомбардировщиков через час догнала англичан, и в первой же атаке 250-кг бомба, сброшенная G3M-2, угодила прямо в середину «Рипалса». Через два часа непрерывных бомбардировок «Принц Уэльский» и «Рипалс» пошли ко дну, унося с собой более тысячи моряков из 3000, находившихся на них. Среди погибших был и сэр Том Филипс. По докладам экипажей бомбардировщиков линкор был поражен 2-мя бомбами и семью торпедами, а линейный крейсер получил одну бомбу и 14 торпед, боевые потери составили всего три самолета: 1 G3M-2 и 2 G4M1, еще два были тяжело повреждены, 25 имели пробоины, но из них вынужденную посадку совершил лишь один, остальные вернулись на базу (22811).</w:t>
      </w:r>
    </w:p>
    <w:p w14:paraId="718B341E" w14:textId="77777777" w:rsidR="00A96601" w:rsidRPr="00640820" w:rsidRDefault="00A96601" w:rsidP="00640820">
      <w:pPr>
        <w:spacing w:after="0" w:line="240" w:lineRule="auto"/>
        <w:jc w:val="both"/>
        <w:rPr>
          <w:rFonts w:ascii="Times New Roman" w:hAnsi="Times New Roman"/>
          <w:color w:val="0070C0"/>
          <w:sz w:val="16"/>
          <w:szCs w:val="16"/>
        </w:rPr>
      </w:pPr>
    </w:p>
    <w:p w14:paraId="045B64AE" w14:textId="77777777" w:rsidR="00A96601" w:rsidRPr="00640820" w:rsidRDefault="00A9660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lastRenderedPageBreak/>
        <w:t>9 декабря 1941 японский самолет, который приземлился на захваченных аэродромы на Patani и Singora, Таиланд , в предыдущий день уже уничтожил на земле 60 британских самолетов из 100, базирующихся в северном Малаом (20794).</w:t>
      </w:r>
    </w:p>
    <w:p w14:paraId="41320B67" w14:textId="77777777" w:rsidR="00A96601" w:rsidRPr="00640820" w:rsidRDefault="00A96601" w:rsidP="00640820">
      <w:pPr>
        <w:spacing w:after="0" w:line="240" w:lineRule="auto"/>
        <w:jc w:val="both"/>
        <w:rPr>
          <w:rFonts w:ascii="Times New Roman" w:hAnsi="Times New Roman"/>
          <w:color w:val="0070C0"/>
          <w:sz w:val="16"/>
          <w:szCs w:val="16"/>
        </w:rPr>
      </w:pPr>
    </w:p>
    <w:p w14:paraId="2EABE26D" w14:textId="77777777" w:rsidR="00A036FC" w:rsidRPr="00640820" w:rsidRDefault="00A036FC"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9 декабря</w:t>
      </w:r>
      <w:r w:rsidRPr="00640820">
        <w:rPr>
          <w:rFonts w:ascii="Times New Roman" w:hAnsi="Times New Roman"/>
          <w:color w:val="000000" w:themeColor="text1"/>
          <w:sz w:val="16"/>
          <w:szCs w:val="16"/>
        </w:rPr>
        <w:t xml:space="preserve"> в 1941 году японские войска высадились на Малайском полуострове (14855).</w:t>
      </w:r>
    </w:p>
    <w:p w14:paraId="131A3F66" w14:textId="77777777" w:rsidR="00A036FC" w:rsidRPr="00640820" w:rsidRDefault="00A036FC" w:rsidP="00640820">
      <w:pPr>
        <w:spacing w:after="0" w:line="240" w:lineRule="auto"/>
        <w:jc w:val="both"/>
        <w:rPr>
          <w:rFonts w:ascii="Times New Roman" w:hAnsi="Times New Roman"/>
          <w:color w:val="000000" w:themeColor="text1"/>
          <w:sz w:val="16"/>
          <w:szCs w:val="16"/>
        </w:rPr>
      </w:pPr>
    </w:p>
    <w:p w14:paraId="70FEF0B0" w14:textId="77777777" w:rsidR="00A036FC" w:rsidRPr="00640820" w:rsidRDefault="00A036FC"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9 декабря</w:t>
      </w:r>
      <w:r w:rsidRPr="00640820">
        <w:rPr>
          <w:rFonts w:ascii="Times New Roman" w:hAnsi="Times New Roman"/>
          <w:color w:val="000000" w:themeColor="text1"/>
          <w:sz w:val="16"/>
          <w:szCs w:val="16"/>
        </w:rPr>
        <w:t xml:space="preserve"> в 1941 году (9-10 декабря) японские войска заняли острова Гилберта (14855).</w:t>
      </w:r>
    </w:p>
    <w:p w14:paraId="7F647875" w14:textId="77777777" w:rsidR="00A036FC" w:rsidRPr="00640820" w:rsidRDefault="00A036FC" w:rsidP="00640820">
      <w:pPr>
        <w:spacing w:after="0" w:line="240" w:lineRule="auto"/>
        <w:jc w:val="both"/>
        <w:rPr>
          <w:rFonts w:ascii="Times New Roman" w:hAnsi="Times New Roman"/>
          <w:color w:val="000000" w:themeColor="text1"/>
          <w:sz w:val="16"/>
          <w:szCs w:val="16"/>
        </w:rPr>
      </w:pPr>
    </w:p>
    <w:p w14:paraId="4C6E2FB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lang w:val="en-US"/>
        </w:rPr>
        <w:t xml:space="preserve">December 9 1941 Japan invaded Thailand, which capitulated. </w:t>
      </w:r>
      <w:r w:rsidRPr="00640820">
        <w:rPr>
          <w:rFonts w:ascii="Times New Roman" w:hAnsi="Times New Roman"/>
          <w:color w:val="000000" w:themeColor="text1"/>
          <w:sz w:val="16"/>
          <w:szCs w:val="16"/>
        </w:rPr>
        <w:t>(1223).</w:t>
      </w:r>
    </w:p>
    <w:p w14:paraId="3A2877A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3D8275F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декабря 1941 Япония вторглась в Таиланд и тот капитулировал (1223).</w:t>
      </w:r>
    </w:p>
    <w:p w14:paraId="50F5599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6F7A6777"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декабря 1941 Китай объявил войну Японии, Германии и Италии (4962).</w:t>
      </w:r>
    </w:p>
    <w:p w14:paraId="45E0453A" w14:textId="77777777" w:rsidR="00165A9C" w:rsidRPr="00640820" w:rsidRDefault="00165A9C"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CCABC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December 9 1941 China declares war on Japan, Germany, and Italy (1037).</w:t>
      </w:r>
    </w:p>
    <w:p w14:paraId="11E76FE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76BCACA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декабря 1941 Китай объвил войну Японии, Германии и Италии (1037).</w:t>
      </w:r>
    </w:p>
    <w:p w14:paraId="3F37BA23"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7ECB12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декабря 1941 гоминьдановское правительство Китая объявило войну Германии и Италии (3186).</w:t>
      </w:r>
    </w:p>
    <w:p w14:paraId="2E54CFE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06B7B2C0"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December 9 1941 Declarations of war against Japan by Nicaragua, Honduras, El Salvador, Guatemala, Haiti, the Dominican Republic, the Netherlands, the Free French, and Panama (1223).</w:t>
      </w:r>
    </w:p>
    <w:p w14:paraId="5051123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5134B719"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декабря 1941 войну против Японии объявили Никарагуа, Гондурас, Эль Сальвадор, Гватемала, Гаити, Диминиканская республика, Нидерланды, Свободная Франция и Панами (1223).</w:t>
      </w:r>
    </w:p>
    <w:p w14:paraId="6E61223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F6B1DB5"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December 9 1941 Severance of diplomatic relations with Japan by Mexico, Colombia, Belgium, and Egypt (1223).</w:t>
      </w:r>
    </w:p>
    <w:p w14:paraId="6B5F6E5C"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4719B5C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декабря 1941 дипломатические отношения с Японией разорвали Мексика, Колумбия, Бельгия и Египет (1223).</w:t>
      </w:r>
    </w:p>
    <w:p w14:paraId="40609FBD"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55DCF1D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December 9 1941 Declarations of war against Japan announced by Australia, South Africa, and New Zealand; also against Japan, Germany, and Italy by China (1223).</w:t>
      </w:r>
    </w:p>
    <w:p w14:paraId="1835EF2A"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6824EAFB"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декабря 1941 войну против Японии объявили Австралия, Южная Африка, Новая Зеландия, а Китай также объявил войну Германии и Италии (1223).</w:t>
      </w:r>
    </w:p>
    <w:p w14:paraId="6B579F6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B8A6AA4"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December 9 1941 Costa Rica declared war against Japan (1223).</w:t>
      </w:r>
    </w:p>
    <w:p w14:paraId="2829C8C2"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66077046"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декабря 1941 войну Японии объявила Коста Рика (1223).</w:t>
      </w:r>
    </w:p>
    <w:p w14:paraId="466B174E"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1569D811"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декабря 1941 Ф.Д.Р. сказал народу о том, что необходимо готовиться к длительной войне (2100).</w:t>
      </w:r>
    </w:p>
    <w:p w14:paraId="1892B7A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4F9C5357"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декабря 1941 в Великобритании вышел новый закон о воинской повинности, понизивший возраст призывников до 18.5 лет и перевел в категорию военнообязанных незамужних женщин в возрасте от 20 до 30 лет (3907,231).</w:t>
      </w:r>
    </w:p>
    <w:p w14:paraId="3B3609FF" w14:textId="77777777" w:rsidR="00165A9C" w:rsidRPr="00640820" w:rsidRDefault="00165A9C" w:rsidP="00640820">
      <w:pPr>
        <w:autoSpaceDE w:val="0"/>
        <w:autoSpaceDN w:val="0"/>
        <w:adjustRightInd w:val="0"/>
        <w:spacing w:after="0" w:line="240" w:lineRule="auto"/>
        <w:jc w:val="both"/>
        <w:rPr>
          <w:rFonts w:ascii="Times New Roman" w:hAnsi="Times New Roman"/>
          <w:color w:val="000000" w:themeColor="text1"/>
          <w:sz w:val="16"/>
          <w:szCs w:val="16"/>
        </w:rPr>
      </w:pPr>
    </w:p>
    <w:p w14:paraId="232A49DD"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28606F0A"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6909E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декабря 1941 взлетел первый Ил-2, построенный в Куйбышеве. Первые штурмовики были собраны через месяц после прихода первого эшелона - из готовых заделов, привезенных из Воронежа (180,81).</w:t>
      </w:r>
    </w:p>
    <w:p w14:paraId="4521A7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725C71B" w14:textId="77777777" w:rsidR="00A61934" w:rsidRPr="00640820" w:rsidRDefault="00A61934" w:rsidP="00640820">
      <w:pPr>
        <w:pStyle w:val="ae"/>
        <w:spacing w:before="0" w:after="0"/>
        <w:jc w:val="both"/>
        <w:textAlignment w:val="baseline"/>
        <w:rPr>
          <w:color w:val="000000" w:themeColor="text1"/>
          <w:sz w:val="16"/>
          <w:szCs w:val="16"/>
        </w:rPr>
      </w:pPr>
      <w:r w:rsidRPr="00640820">
        <w:rPr>
          <w:color w:val="000000" w:themeColor="text1"/>
          <w:sz w:val="16"/>
          <w:szCs w:val="16"/>
        </w:rPr>
        <w:t>10 декабря 1941 г. был готов первый «куйбышевский» Ил-2. Правда, собрали его в основном из деталей, привезенных из Воронежа. Руководство завода получило приказ: с 5 января 1942 г. собирать по пять машин в день.</w:t>
      </w:r>
    </w:p>
    <w:p w14:paraId="3F542C74" w14:textId="77777777" w:rsidR="00A61934" w:rsidRPr="00640820" w:rsidRDefault="00A61934" w:rsidP="00640820">
      <w:pPr>
        <w:pStyle w:val="ae"/>
        <w:spacing w:before="0" w:after="0"/>
        <w:jc w:val="both"/>
        <w:textAlignment w:val="baseline"/>
        <w:rPr>
          <w:color w:val="000000" w:themeColor="text1"/>
          <w:sz w:val="16"/>
          <w:szCs w:val="16"/>
        </w:rPr>
      </w:pPr>
      <w:r w:rsidRPr="00640820">
        <w:rPr>
          <w:color w:val="000000" w:themeColor="text1"/>
          <w:sz w:val="16"/>
          <w:szCs w:val="16"/>
        </w:rPr>
        <w:t>Поблизости от завода № 18 разместились эвакуированные из Москвы авиазаводы № 1 им. Осоавиахима и № 24 им. Фрунзе, завод гидроавтоматики № 305, завод стрелкового вооружения № 525 и др. Все они занялись изготовлением деталей для Ил-2. Затем сюда же прибыл эшелон с оборудованием и рабочими завода № 207, предназначавшегося для производства бронекорпусов. Все это размещалось в уже практически отстроенных корпусах, после чего оставалось лишь наладить производство. Попутно в Куйбышевскую область свозились десятки тысяч заключенных (19522).</w:t>
      </w:r>
    </w:p>
    <w:p w14:paraId="1B3A2939" w14:textId="77777777" w:rsidR="00A61934" w:rsidRPr="00640820" w:rsidRDefault="00A61934" w:rsidP="00640820">
      <w:pPr>
        <w:pStyle w:val="ae"/>
        <w:spacing w:before="0" w:after="0"/>
        <w:jc w:val="both"/>
        <w:textAlignment w:val="baseline"/>
        <w:rPr>
          <w:color w:val="000000" w:themeColor="text1"/>
          <w:sz w:val="16"/>
          <w:szCs w:val="16"/>
        </w:rPr>
      </w:pPr>
    </w:p>
    <w:p w14:paraId="214C2356" w14:textId="77777777" w:rsidR="00EB2FA8" w:rsidRPr="00640820" w:rsidRDefault="00EB2FA8"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10 декабря </w:t>
      </w:r>
      <w:r w:rsidRPr="00640820">
        <w:rPr>
          <w:rFonts w:ascii="Times New Roman" w:hAnsi="Times New Roman"/>
          <w:color w:val="000000" w:themeColor="text1"/>
          <w:sz w:val="16"/>
          <w:szCs w:val="16"/>
        </w:rPr>
        <w:t>в 1941 году первый полет штурмовика «Ил-2», построенного в Куйбышеве на эвакуированном заводе № 18, К.К.Рыков (14856).</w:t>
      </w:r>
    </w:p>
    <w:p w14:paraId="00F4537E" w14:textId="77777777" w:rsidR="00EB2FA8" w:rsidRPr="00640820" w:rsidRDefault="00EB2FA8" w:rsidP="00640820">
      <w:pPr>
        <w:spacing w:after="0" w:line="240" w:lineRule="auto"/>
        <w:jc w:val="both"/>
        <w:rPr>
          <w:rFonts w:ascii="Times New Roman" w:hAnsi="Times New Roman"/>
          <w:color w:val="000000" w:themeColor="text1"/>
          <w:sz w:val="16"/>
          <w:szCs w:val="16"/>
        </w:rPr>
      </w:pPr>
    </w:p>
    <w:p w14:paraId="3833B38F" w14:textId="77777777" w:rsidR="00BE13FF" w:rsidRPr="00640820" w:rsidRDefault="00BE13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декабря 1941 года завод 18 в Куйбышеве выпустил из своих цехов первый штурмовик Ил-2 (19823).</w:t>
      </w:r>
    </w:p>
    <w:p w14:paraId="327C43ED" w14:textId="77777777" w:rsidR="00BE13FF" w:rsidRPr="00640820" w:rsidRDefault="00BE13FF" w:rsidP="00640820">
      <w:pPr>
        <w:spacing w:after="0" w:line="240" w:lineRule="auto"/>
        <w:jc w:val="both"/>
        <w:rPr>
          <w:rFonts w:ascii="Times New Roman" w:hAnsi="Times New Roman"/>
          <w:color w:val="000000" w:themeColor="text1"/>
          <w:sz w:val="16"/>
          <w:szCs w:val="16"/>
        </w:rPr>
      </w:pPr>
    </w:p>
    <w:p w14:paraId="6446AB45" w14:textId="77777777" w:rsidR="00BE13FF" w:rsidRPr="00640820" w:rsidRDefault="00BE13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декабря 1941 был выпущен в полет первый штурмовик Ил-2, построенный на новой площадке завода. Поднять в воздух эту машину поручили заместителю начальника летно-испытательной станции летчику-испытателю подполковнику Евгению Никитовичу Ломакину. Готовила ее к полету бригада бортмеханика Н. М. Смирницкого.</w:t>
      </w:r>
    </w:p>
    <w:p w14:paraId="06255D8C" w14:textId="77777777" w:rsidR="00BE13FF" w:rsidRPr="00640820" w:rsidRDefault="00BE13FF" w:rsidP="00640820">
      <w:pPr>
        <w:spacing w:after="0" w:line="240" w:lineRule="auto"/>
        <w:jc w:val="both"/>
        <w:rPr>
          <w:rFonts w:ascii="Times New Roman" w:hAnsi="Times New Roman"/>
          <w:color w:val="000000" w:themeColor="text1"/>
          <w:sz w:val="16"/>
          <w:szCs w:val="16"/>
        </w:rPr>
      </w:pPr>
    </w:p>
    <w:p w14:paraId="6282716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10 декабря 1942 выпуск Ил-2 на заводе № 18 удалось возобновить лишь Ежесуточный выпуск за месяц составил 1—3 само лета. При этом первые самолеты собирались из задела, приве</w:t>
      </w:r>
      <w:r w:rsidRPr="00640820">
        <w:rPr>
          <w:rFonts w:ascii="Times New Roman" w:hAnsi="Times New Roman"/>
          <w:color w:val="000000" w:themeColor="text1"/>
          <w:sz w:val="16"/>
          <w:szCs w:val="16"/>
        </w:rPr>
        <w:softHyphen/>
        <w:t>зенного из Воронежа. Особенно тяжелое положение сложилось на заводе № 1, так как у него совершенно не было никакого задела по самоле</w:t>
      </w:r>
      <w:r w:rsidRPr="00640820">
        <w:rPr>
          <w:rFonts w:ascii="Times New Roman" w:hAnsi="Times New Roman"/>
          <w:color w:val="000000" w:themeColor="text1"/>
          <w:sz w:val="16"/>
          <w:szCs w:val="16"/>
        </w:rPr>
        <w:softHyphen/>
        <w:t>ту Ил-2. Все приходилось делать с нуля. Неимоверными уси</w:t>
      </w:r>
      <w:r w:rsidRPr="00640820">
        <w:rPr>
          <w:rFonts w:ascii="Times New Roman" w:hAnsi="Times New Roman"/>
          <w:color w:val="000000" w:themeColor="text1"/>
          <w:sz w:val="16"/>
          <w:szCs w:val="16"/>
        </w:rPr>
        <w:softHyphen/>
        <w:t>лиями заводчан к концу декабря удалось сдать военным три штурмовика. Здесь необходимо сказать, в каких условиях налаживался вы</w:t>
      </w:r>
      <w:r w:rsidRPr="00640820">
        <w:rPr>
          <w:rFonts w:ascii="Times New Roman" w:hAnsi="Times New Roman"/>
          <w:color w:val="000000" w:themeColor="text1"/>
          <w:sz w:val="16"/>
          <w:szCs w:val="16"/>
        </w:rPr>
        <w:softHyphen/>
        <w:t>пуск самолетов Ил-2. Практически все цеха новой группы куй</w:t>
      </w:r>
      <w:r w:rsidRPr="00640820">
        <w:rPr>
          <w:rFonts w:ascii="Times New Roman" w:hAnsi="Times New Roman"/>
          <w:color w:val="000000" w:themeColor="text1"/>
          <w:sz w:val="16"/>
          <w:szCs w:val="16"/>
        </w:rPr>
        <w:softHyphen/>
        <w:t>бышевских заводов не имели крыши, не говоря уже об отопле</w:t>
      </w:r>
      <w:r w:rsidRPr="00640820">
        <w:rPr>
          <w:rFonts w:ascii="Times New Roman" w:hAnsi="Times New Roman"/>
          <w:color w:val="000000" w:themeColor="text1"/>
          <w:sz w:val="16"/>
          <w:szCs w:val="16"/>
        </w:rPr>
        <w:softHyphen/>
        <w:t>нии и прочих удобствах. Станки устанавливались прямо под от</w:t>
      </w:r>
      <w:r w:rsidRPr="00640820">
        <w:rPr>
          <w:rFonts w:ascii="Times New Roman" w:hAnsi="Times New Roman"/>
          <w:color w:val="000000" w:themeColor="text1"/>
          <w:sz w:val="16"/>
          <w:szCs w:val="16"/>
        </w:rPr>
        <w:softHyphen/>
        <w:t>крытым небом. Между тем в ноябре 1941 г. температура воздуха доходила до — 30°С и ниже. Да еше вдобавок с ветерком. Голой рукой за рукоятки станков браться было нельзя — прилипнет. В цехах разжигали костры: в железных бочках, на листовом желе</w:t>
      </w:r>
      <w:r w:rsidRPr="00640820">
        <w:rPr>
          <w:rFonts w:ascii="Times New Roman" w:hAnsi="Times New Roman"/>
          <w:color w:val="000000" w:themeColor="text1"/>
          <w:sz w:val="16"/>
          <w:szCs w:val="16"/>
        </w:rPr>
        <w:softHyphen/>
        <w:t>зе, в ямах. У таких костров по очереди грелись рабочие и вновь вставали к покрытым инеем и снегом станкам. Из цехов после смены никуда не уходили, поскольку здесь же многие и жили. В цеховых бытовках организовывались «спальные» уголки. Столо</w:t>
      </w:r>
      <w:r w:rsidRPr="00640820">
        <w:rPr>
          <w:rFonts w:ascii="Times New Roman" w:hAnsi="Times New Roman"/>
          <w:color w:val="000000" w:themeColor="text1"/>
          <w:sz w:val="16"/>
          <w:szCs w:val="16"/>
        </w:rPr>
        <w:softHyphen/>
        <w:t>вых не было. Вместо них в цехах работали пункты горячего пита</w:t>
      </w:r>
      <w:r w:rsidRPr="00640820">
        <w:rPr>
          <w:rFonts w:ascii="Times New Roman" w:hAnsi="Times New Roman"/>
          <w:color w:val="000000" w:themeColor="text1"/>
          <w:sz w:val="16"/>
          <w:szCs w:val="16"/>
        </w:rPr>
        <w:softHyphen/>
        <w:t>ния, где можно было получить хлеб, суп и кипяток. Однако люди работали и совершали массовый трудовой подвиг. Достаточно сказать, что огромный пресс «Бердсборо», вес отдельных деталей которого достигал 70 т, был смонтирован и отлажен всего за 25 дней. В мирное время на эту работу ушло полгода. Строительство аэродрома вблизи заводских площадок еще только начиналось. Его постоянно заносило снегом, а расчи</w:t>
      </w:r>
      <w:r w:rsidRPr="00640820">
        <w:rPr>
          <w:rFonts w:ascii="Times New Roman" w:hAnsi="Times New Roman"/>
          <w:color w:val="000000" w:themeColor="text1"/>
          <w:sz w:val="16"/>
          <w:szCs w:val="16"/>
        </w:rPr>
        <w:softHyphen/>
        <w:t>щать было нечем. На заводах отсутствовало необходимое обо</w:t>
      </w:r>
      <w:r w:rsidRPr="00640820">
        <w:rPr>
          <w:rFonts w:ascii="Times New Roman" w:hAnsi="Times New Roman"/>
          <w:color w:val="000000" w:themeColor="text1"/>
          <w:sz w:val="16"/>
          <w:szCs w:val="16"/>
        </w:rPr>
        <w:softHyphen/>
        <w:t>рудование и техника для организации полноценных летно-ис-пытательных станций, обеспечивающих облет и приемку по</w:t>
      </w:r>
      <w:r w:rsidRPr="00640820">
        <w:rPr>
          <w:rFonts w:ascii="Times New Roman" w:hAnsi="Times New Roman"/>
          <w:color w:val="000000" w:themeColor="text1"/>
          <w:sz w:val="16"/>
          <w:szCs w:val="16"/>
        </w:rPr>
        <w:softHyphen/>
        <w:t>строенных самолетов. В этих условиях совместным решением ВВС и НКАП принимается решение: военной приемке на заводах принимать Ил-2 по сборке путем отработки всех систем на земле, затем самолеты частично разбирать, грузить на же</w:t>
      </w:r>
      <w:r w:rsidRPr="00640820">
        <w:rPr>
          <w:rFonts w:ascii="Times New Roman" w:hAnsi="Times New Roman"/>
          <w:color w:val="000000" w:themeColor="text1"/>
          <w:sz w:val="16"/>
          <w:szCs w:val="16"/>
        </w:rPr>
        <w:softHyphen/>
        <w:t>лезнодорожные платформы и эшелоном отправлять в Москву, где вновь собирать, облетывать и осуществлять окончательную приемку самолетов «по бою» (11474,247).</w:t>
      </w:r>
    </w:p>
    <w:p w14:paraId="4145DA2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CE10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10 декабря 1941 выпуск Ил-2 на заводе № 18 удалось возобновить. Ежесуточный выпуск за месяц составил 1-3 самолета. При этом первые самолеты собирались из задела, привезенного из Воронежа. Особенно тяжелое положение сложилось на заводе № 1, так как у него совершенно не было никакого задела по самолету Ил-2. Все приходилось делать с нуля. Неимоверными усилиями заводчан к концу декабря удалось сдать военным три штурмовика.</w:t>
      </w:r>
    </w:p>
    <w:p w14:paraId="0F4A00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Здесь необходимо сказать, в каких условиях налаживался выпуск самолетов Ил-2.</w:t>
      </w:r>
    </w:p>
    <w:p w14:paraId="24F8DF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Практически все цеха новой группы куйбышевских заводов не имели крыши, не говоря уже об отоплении и прочих удобствах. Станки устанавливались прямо под открытым небом. Между тем в ноябре 1941 г. температура воздуха доходила до -30°С и ниже. Да еще вдобавок с ветерком. Голой рукой за рукоятки станков браться было нельзя - прилипнет. В цехах разжигали костры: в железных бочках, на листовом железе, в ямах. У таких костров по очереди грелись рабочие и вновь вставали к </w:t>
      </w:r>
      <w:r w:rsidRPr="00640820">
        <w:rPr>
          <w:rFonts w:ascii="Times New Roman" w:hAnsi="Times New Roman"/>
          <w:color w:val="000000" w:themeColor="text1"/>
          <w:sz w:val="16"/>
          <w:szCs w:val="16"/>
        </w:rPr>
        <w:lastRenderedPageBreak/>
        <w:t>покрытым инеем и снегом станкам. Из цехов после смены никуда не уходили, поскольку здесь же многие и жили. В цеховых бытовках организовывались «спальные» уголки. Столовых не было. Вместо них в цехах работали пункты горячего питания, где можно было получить хлеб, суп и кипяток. Однако люди работали и совершали массовый трудовой подвиг. Достаточно сказать, что огромный пресс «Бердсборо», вес отдельных деталей которого достигал 70 т, был смонтирован и отлажен всего за 25 дней. В мирное время на эту работу ушло полгода.</w:t>
      </w:r>
    </w:p>
    <w:p w14:paraId="7AACF2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Строительство аэродрома вблизи заводских площадок еще только начиналось. Его постоянно заносило снегом, а расчищать было нечем. На заводах отсутствовало необходимое оборудование и техника для организации полноценных летно-испытательных станций, обеспечивающих облет и приемку построенных самолетов. В этих условиях совместным решением ВВС и НКАП принимается решение: военной приемке на заводах принимать Ил-2 по сборке путем отработки всех систем на земле, затем самолеты частично разбирать, грузить на железнодорожные платформы и эшелоном отправлять в Москву, где вновь собирать, облетывать и осуществлять окончательную приемку самолетов «по бою».</w:t>
      </w:r>
    </w:p>
    <w:p w14:paraId="57CD43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Между тем на фронтах шли ожесточенные бои и наземные войска, как никогда, нуждались в поддержке штурмовиков, которых катастрофически не хватало. Было даже принято решение изъять из запасных авиаполков часть самолетов Ил-2 и передать их на укомплектование маршевых авиаполков (11921).</w:t>
      </w:r>
    </w:p>
    <w:p w14:paraId="78A124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909373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10 декабря 1941 выпуск Ил-2 на заводе №18 удалось возобновить. Ежесуточный выпуск за месяц составил 1-3 самолета. При этом первые самолеты собирались из задела, привезенного из Воронежа.</w:t>
      </w:r>
    </w:p>
    <w:p w14:paraId="519864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Особенно тяжелое положение сложилось на заводе № 1, так как у него совершенно не было никакого задела по самолету Ил-2. Все приходилось делать с нуля. Неимоверными усилиями заводчан к концу декабря удалось сдать военным три штурмовика.</w:t>
      </w:r>
    </w:p>
    <w:p w14:paraId="5E42C7C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Здесь необходимо сказать, в каких условиях налаживался выпуск самолетов Ил-2. Практически все цеха новой группы куйбышевских заводов не имели крыши, не говоря уже об отоплении и прочих удобствах. Станки устанавливались прямо под открытым небом. Между тем в ноябре 1941 г. температура воздуха доходила до - 30°С и ниже. Да еше вдобавок с ветерком. Голой рукой за рукоятки станков браться было нельзя - прилипнет. В цехах разжигали костры: в железных бочках, на листовом железе, в ямах. У таких костров по очереди грелись рабочие и вновь вставали к покрытым инеем и снегом станкам. Из цехов после смены никуда не уходили, поскольку здесь же многие и жили. В цеховых бытовках организовывались "спальные" уголки. Столовых не было. Вместо них в цехах работали пункты горячего питания, где можно было получить хлеб, суп и кипяток. Однако люди работали и совершали массовый трудовой подвиг. Достаточно сказать, что огромный пресс "Бердсбо- ро", вес отдельных деталей которого достигал 70 т, был смонтирован и отлажен всего за 25 дней. В мирное время на эту работу ушло полгода.</w:t>
      </w:r>
    </w:p>
    <w:p w14:paraId="42F6BF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Строительство аэродрома вблизи заводских площадок еще только начиналось. Его постоянно заносило снегом, а расчищать было нечем. На заводах отсутствовало необходимое оборудование и техника для организации полноценных летно-испытатель- ных станций, обеспечивающих облет и приемку построенных самолетов. В этих условиях совместным решением ВВС и НКАП принимается решение: военной приемке на заводах принимать Ил-2 по сборке путем отработки всех систем на земле, затем самолеты частично разбирать, грузить на железнодорожные платформы и эшелоном отправлять в Москву, где вновь собирать, облетывать и осуществлять окончательную приемку самолетов "по бою".</w:t>
      </w:r>
    </w:p>
    <w:p w14:paraId="0F1345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Между тем на фронтах шли ожесточенные бои и наземные войска, как никогда, нуждались в поддержке штурмовиков, которых катастрофически не хватало. Было даже принято решение, изъять из запасных авиаполков часть самолетов Ил-2 и передать их на укомплектование маршевых авиаполков (12020).</w:t>
      </w:r>
    </w:p>
    <w:p w14:paraId="715E1E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2B6E8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декабря 1941 года Шахурин писал письмо N Н-36/111 Сталину.</w:t>
      </w:r>
    </w:p>
    <w:p w14:paraId="7DEF26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Посылаем Вам проекты постановлений ГКО по вопросам:</w:t>
      </w:r>
    </w:p>
    <w:p w14:paraId="5A9E7F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 постройке специальных консолей крыльев самолета ДБ-3Ф с увеличенными бензобаками;</w:t>
      </w:r>
    </w:p>
    <w:p w14:paraId="0D7BAB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 постройке опытного образца самолета ДБ-3Ф с моторами М-82 с деревянным фюзеляжем и консолями крыльев.</w:t>
      </w:r>
    </w:p>
    <w:p w14:paraId="5C6668B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Просим их утвердить.</w:t>
      </w:r>
    </w:p>
    <w:p w14:paraId="5FCBBE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Проект постановление ГКО</w:t>
      </w:r>
    </w:p>
    <w:p w14:paraId="264A7BD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(8/XII-41 г.).</w:t>
      </w:r>
    </w:p>
    <w:p w14:paraId="127DBE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 постройке специальных консолей крыльев</w:t>
      </w:r>
    </w:p>
    <w:p w14:paraId="7CF85A3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самолета ДБ-3Ф с увеличенными бензобаками.</w:t>
      </w:r>
    </w:p>
    <w:p w14:paraId="5EAAD0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ГКО постановляет:</w:t>
      </w:r>
    </w:p>
    <w:p w14:paraId="5A19C9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Обязать Наркомавиапром, директора завода N 126 - Тимофеева и гл. конструктора С.В.И. изготовить и сдать ВВС 40 серийных самолетов ДБ-3Ф со специальными консолями крыльев с увеличенной емкостью бензобаков по образцу и чертежам гл. конструктора С.В.И. и установить на этих самолетах дополнительные маслобаки.</w:t>
      </w:r>
    </w:p>
    <w:p w14:paraId="2A44C8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Самолеты сдать в следующие сроки:</w:t>
      </w:r>
    </w:p>
    <w:p w14:paraId="2BDA4E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самолетов в феврале 1942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643896" w:rsidRPr="00640820" w14:paraId="142AB6B1" w14:textId="77777777" w:rsidTr="000D3BCB">
        <w:tc>
          <w:tcPr>
            <w:tcW w:w="2254" w:type="dxa"/>
            <w:tcBorders>
              <w:top w:val="single" w:sz="12" w:space="0" w:color="auto"/>
            </w:tcBorders>
          </w:tcPr>
          <w:p w14:paraId="70FACA8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2254" w:type="dxa"/>
            <w:tcBorders>
              <w:top w:val="single" w:sz="12" w:space="0" w:color="auto"/>
            </w:tcBorders>
          </w:tcPr>
          <w:p w14:paraId="603835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2254" w:type="dxa"/>
            <w:tcBorders>
              <w:top w:val="single" w:sz="12" w:space="0" w:color="auto"/>
            </w:tcBorders>
          </w:tcPr>
          <w:p w14:paraId="67653E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марте</w:t>
            </w:r>
          </w:p>
        </w:tc>
        <w:tc>
          <w:tcPr>
            <w:tcW w:w="2254" w:type="dxa"/>
            <w:tcBorders>
              <w:top w:val="single" w:sz="12" w:space="0" w:color="auto"/>
            </w:tcBorders>
          </w:tcPr>
          <w:p w14:paraId="322A19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66555A2D" w14:textId="77777777" w:rsidTr="000D3BCB">
        <w:tc>
          <w:tcPr>
            <w:tcW w:w="2254" w:type="dxa"/>
            <w:tcBorders>
              <w:bottom w:val="single" w:sz="12" w:space="0" w:color="auto"/>
            </w:tcBorders>
          </w:tcPr>
          <w:p w14:paraId="45AF52E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2254" w:type="dxa"/>
            <w:tcBorders>
              <w:bottom w:val="single" w:sz="12" w:space="0" w:color="auto"/>
            </w:tcBorders>
          </w:tcPr>
          <w:p w14:paraId="720C67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2254" w:type="dxa"/>
            <w:tcBorders>
              <w:bottom w:val="single" w:sz="12" w:space="0" w:color="auto"/>
            </w:tcBorders>
          </w:tcPr>
          <w:p w14:paraId="60E680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апреле</w:t>
            </w:r>
          </w:p>
        </w:tc>
        <w:tc>
          <w:tcPr>
            <w:tcW w:w="2254" w:type="dxa"/>
            <w:tcBorders>
              <w:bottom w:val="single" w:sz="12" w:space="0" w:color="auto"/>
            </w:tcBorders>
          </w:tcPr>
          <w:p w14:paraId="05D20D5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bl>
    <w:p w14:paraId="73715F5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Проект постановления ГКО</w:t>
      </w:r>
    </w:p>
    <w:p w14:paraId="5F6280A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(8/XII-41 г.).</w:t>
      </w:r>
    </w:p>
    <w:p w14:paraId="60EDE1B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 постройке опытного образца самолета</w:t>
      </w:r>
    </w:p>
    <w:p w14:paraId="20F987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ДБ-3Ф с моторами М-82 с деревянным</w:t>
      </w:r>
    </w:p>
    <w:p w14:paraId="1FD86D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фюзеляжем и консолями крыльев</w:t>
      </w:r>
    </w:p>
    <w:p w14:paraId="4CFE97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ГКО постановляет:</w:t>
      </w:r>
    </w:p>
    <w:p w14:paraId="5DF5F2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Обязать Наркомавиапром, директора завода N 126 - Тимофеева и гл. конструктора С.В.И. построить к 1 апреля 1942 года один самолет ДБ-3Ф с моторами М-82, деревянными фюзеляжем и консолями крыльев по чертежам гл. конструктора С.В.И.</w:t>
      </w:r>
    </w:p>
    <w:p w14:paraId="3F648F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Обязать ВВС - Жигарева в 15-дневный срок провести летные испытания самолета и результаты испытаний представить в ГКО (2758,19).</w:t>
      </w:r>
    </w:p>
    <w:p w14:paraId="0FE80F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4AB4C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декабря 1941 Нач. 2-й лаб. ЛИИ М.А.Тайк направил подписанный 26 ноября 1940 Зам. Нач. 2 лаб. ЛИИ Строевым краткий отчет о летных испытаниях ЛаГГ-3 N 31217-71, который в начале декабря 1941 А.В.Чесалов в качестве И.о. начальника ЛИИ НКАП утвердил.</w:t>
      </w:r>
    </w:p>
    <w:p w14:paraId="4A9654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Полетный вес 3340, длина совка в/р 345 мм, м/р - 250 мм</w:t>
      </w:r>
    </w:p>
    <w:p w14:paraId="042B2F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Прикрытие совка м/р со 100 мм до 40 мм щели увеличивает макс. скорость на 10 км/час</w:t>
      </w:r>
    </w:p>
    <w:p w14:paraId="07D3FFC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Полное закрытие совка в/р по сравнению с полностью открытым увеличивает скорость на 20 км/час (температура находится в пределах нормы - 100-110 гр при нарудной температуре -7-10</w:t>
      </w:r>
    </w:p>
    <w:p w14:paraId="6B07D7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Заключение:</w:t>
      </w:r>
    </w:p>
    <w:p w14:paraId="26DC4B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Для зимних условий рекомендовать уменьшить открытие совка м/р на ЛаГГ-3 со 100 до 40 мм</w:t>
      </w:r>
    </w:p>
    <w:p w14:paraId="6C5561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Ввести в инструкцию для л ЛаГГ-3 для частей ВВС условие: зимой все полеты совершать при полностью закрытом совке в/р</w:t>
      </w:r>
    </w:p>
    <w:p w14:paraId="228942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Подписал Зам. Нач. 2 лаб. ЛИИ Строев 26 ноября 1941 (774,7).</w:t>
      </w:r>
    </w:p>
    <w:p w14:paraId="06D8CA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3769977" w14:textId="77777777" w:rsidR="003156BD" w:rsidRPr="00640820" w:rsidRDefault="003156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декабря 1941 эвакуированный в Саратов в октябре 1941 г. аппарат НКАП был переведен в Куйбышев, ставший временной столицей. Там он был развернут на базе ранее созданной оперативной группы НКАП. Вторая оперативная группа функционировала в Москве (после эвакуации оттуда НКАП), выполняя роль центрального диспетчерского пункта, куда предприятия направляли сводки о количестве выпущенной продукции. В нее входили Шахурин, Дементьев, Воронин, Кузнецов, Хруничев и др. Решением ГКО от 7 января 1942 г. московская группа обрела статус главной и стала организационным ядром после реэвакуации НКАП (18305).</w:t>
      </w:r>
    </w:p>
    <w:p w14:paraId="77EA15C3" w14:textId="77777777" w:rsidR="003156BD" w:rsidRPr="00640820" w:rsidRDefault="003156BD" w:rsidP="00640820">
      <w:pPr>
        <w:spacing w:after="0" w:line="240" w:lineRule="auto"/>
        <w:jc w:val="both"/>
        <w:rPr>
          <w:rFonts w:ascii="Times New Roman" w:hAnsi="Times New Roman"/>
          <w:color w:val="000000" w:themeColor="text1"/>
          <w:sz w:val="16"/>
          <w:szCs w:val="16"/>
        </w:rPr>
      </w:pPr>
    </w:p>
    <w:p w14:paraId="45DC58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декабря 1941 г. по приказу НКАП № 1144с на заводе № 161 в Уфе организован ОКО по свечам. Из-за неудовлетворительной работы ОКБ по приказу № 788с от 19.10.1942 г. Воронков снят, назначен Чекунов. После ВОВ- в 8ГУ МАП. Созданы агрегаты системы зажигания для РД-012. Разработка систем управления двигателями (1993-94). Работы (2002 г.): разработка свечей и агрегатов зажигания для ракетных и авиационных поршневых и ГТД, двигателей внутреннего сгорания; электронной аппаратуры для САУ ГТД; оптические пирометрические преобразователи и ионизационные датчики пламени; диагностические установки для нефтеперерабатывающих установок; бытовые автномные системы грячего водоснабжения. По Указу Президента РФ № 1009 от 4.08.2004 г. вошло в число стратегических оборонных предприятий. Численность персонала (2002 г.)- 520 чел. Гл. конструктор (-1940 г.-)- Чижиков, (12.1941-10.1942 г.)- П.Ф. Воронков, (10.1942-03.1946 г.-)- Н.К. Чекунов, (-1998-2002 г.-)- Е.В. Распопов. Зам. гл. конструктора (09.1940 г.-)- А.А. Смирнов. Гендиректор (-1998-2002 г.-)- Е.В. Распопов. Директор опытного завода (2002 г.)- В.М. Камалов (10776).</w:t>
      </w:r>
    </w:p>
    <w:p w14:paraId="3129D6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D1FF4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декабря 1941 г по приказу № 1144с на заводе № 161 в Уфе было организован ОКО по свечам. Из-за неудовлетворительной работы ОКБ по приказу № 788с от 19.10.1942 г. Воронков снят, назначен Чекунов.</w:t>
      </w:r>
    </w:p>
    <w:p w14:paraId="3DF250F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После ВОВ- в 8ГУ МАП, в 08.1957 г.- в ведении ЗГУ МАП.</w:t>
      </w:r>
    </w:p>
    <w:p w14:paraId="14192E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1950-е  г. начата разработка емкостных систем зажигания, электронных ограничителей температуры и корректоров оборотов для ГТД.</w:t>
      </w:r>
    </w:p>
    <w:p w14:paraId="25267B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Созданы агрегаты системы зажигания для РД-012. Разработка систем управления двигателями (1993-94).</w:t>
      </w:r>
    </w:p>
    <w:p w14:paraId="504C25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(2002 г.): разработка и производство: свечи и агрегаты зажигания для ракетных и авиационных поршневых и ГТД, двигателей внутреннего сгорания; электронная аппаратура для САУ ГТД; оптические пирометрические преобразователи и ионизационные датчики пламени; диагностические установки для нефтеперерабатывающих установок; бытовые автономные системы грячего водоснабжения. (2004 г.): разработка электронной аппаратуры управления с полной ответственностью (</w:t>
      </w:r>
      <w:r w:rsidRPr="00640820">
        <w:rPr>
          <w:rFonts w:ascii="Times New Roman" w:hAnsi="Times New Roman"/>
          <w:color w:val="000000" w:themeColor="text1"/>
          <w:sz w:val="16"/>
          <w:szCs w:val="16"/>
          <w:lang w:val="en-US"/>
        </w:rPr>
        <w:t>FADEC</w:t>
      </w:r>
      <w:r w:rsidRPr="00640820">
        <w:rPr>
          <w:rFonts w:ascii="Times New Roman" w:hAnsi="Times New Roman"/>
          <w:color w:val="000000" w:themeColor="text1"/>
          <w:sz w:val="16"/>
          <w:szCs w:val="16"/>
        </w:rPr>
        <w:t>).</w:t>
      </w:r>
    </w:p>
    <w:p w14:paraId="143ED0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48C0C3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УНПП (2004 г.): конструкторские отделения: по системам зажигания для ГТД; по САУ и контроля для ГТД; по системам управления объектами ТЭК; завод.</w:t>
      </w:r>
    </w:p>
    <w:p w14:paraId="2610C0A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(2002 г.)- 520 чел.</w:t>
      </w:r>
    </w:p>
    <w:p w14:paraId="6BBCA2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(-1940 г.-)- Чижиков, (12.1941-10.1942 г.)- П.Ф. Воронков, (10.1942-03.1946 г.-)- Н.К. Чекунов, (-1998-2005 г.-)- Е.В. Распопов {6.05.1953-}.</w:t>
      </w:r>
      <w:r w:rsidRPr="00640820">
        <w:rPr>
          <w:rFonts w:ascii="Times New Roman" w:hAnsi="Times New Roman"/>
          <w:color w:val="000000" w:themeColor="text1"/>
          <w:sz w:val="16"/>
          <w:szCs w:val="16"/>
          <w:vertAlign w:val="superscript"/>
        </w:rPr>
        <w:t>49</w:t>
      </w:r>
    </w:p>
    <w:p w14:paraId="3EA110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конструктора (09.1940 г.-)- А.А. Смирнов.</w:t>
      </w:r>
    </w:p>
    <w:p w14:paraId="43FF37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Гендиректор (-1998-2005 г.-)- Е.В. Распопов.</w:t>
      </w:r>
      <w:r w:rsidRPr="00640820">
        <w:rPr>
          <w:rFonts w:ascii="Times New Roman" w:hAnsi="Times New Roman"/>
          <w:color w:val="000000" w:themeColor="text1"/>
          <w:sz w:val="16"/>
          <w:szCs w:val="16"/>
          <w:vertAlign w:val="superscript"/>
        </w:rPr>
        <w:t>49</w:t>
      </w:r>
    </w:p>
    <w:p w14:paraId="30F696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гендиректора (2004 г.)- Б.С. Дорфман.</w:t>
      </w:r>
    </w:p>
    <w:p w14:paraId="7F088F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по экономике, финансам, маркетингу и коммерции (2004 г.)- Б.С. Дорфман.</w:t>
      </w:r>
    </w:p>
    <w:p w14:paraId="06879B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опытного завода (2002 г.)- В.М. Камалов.</w:t>
      </w:r>
      <w:r w:rsidRPr="00640820">
        <w:rPr>
          <w:rFonts w:ascii="Times New Roman" w:hAnsi="Times New Roman"/>
          <w:color w:val="000000" w:themeColor="text1"/>
          <w:sz w:val="16"/>
          <w:szCs w:val="16"/>
          <w:vertAlign w:val="superscript"/>
        </w:rPr>
        <w:t>69</w:t>
      </w:r>
    </w:p>
    <w:p w14:paraId="1B51FF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Руководитель службы по сбыту, маркетингу и ВЭД (2004 г.)-  Г.Н. Мельникова. Начальники отделов: ОМТС (2004 г.)- В.В. Шабашов. Начальник бюро кадров (2004 г.)- Т.А. Кудрявцева.</w:t>
      </w:r>
    </w:p>
    <w:p w14:paraId="33B759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(2004) электронные блоки: ЭРРД-436 для Д-436, ЭРРД-14, ЭСУ-34М для ТВ7-117; агрегаты зажигания для ГТД: ПВФ-22-7, ПВФ-11-3, СКН-11, СКНА-22, АПЗТ-2; свечи зажигания: СП-92П, СП-24ВИ, СП- 06ВП, СП-89П, СП-04М, СП-99НК, СП-02, СП-70, ПСЗ-1; системы зажигания для наземных ГТУ; плазменно- струйная система зажигания; оптический пирометрический преобразователь ОПП-94К-1,25; САУ и контроля для ГПА; станция катодной защиты подземных металлических сооружений; эндоскоп для объектов ТЭК; ОЭС контроля КС ГТУ; электронный коммутатор ЭКМ-2М, катушка зажигания КЗ-1М для системы зажигания автомобиля «Ока»; электрический розжиг БЭП для бытовой газопламенной аппаратуры; электрические водонагреватели АСГВС-50, -80, -150 (11982).</w:t>
      </w:r>
    </w:p>
    <w:p w14:paraId="1BF85D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226CF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декабря 1941 г. Постановление бюро Волжского РК ВКП (б) и исполнительного комитета райсовета депутатов трудящихся Марийской АССР о размещении завода № 168 НКАП на площадях Волжского древкомбината</w:t>
      </w:r>
    </w:p>
    <w:p w14:paraId="45E266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решением Совета по эвакуации № 186 от 12 ноября 1941 г. о размещении завода № 168 на Волжском древкомбинате, бюро райкома ВКП (б) и исполком районного Совета депутатов трудящихся постановляют:</w:t>
      </w:r>
    </w:p>
    <w:p w14:paraId="197258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Предложить директору древкомбината т. Петрову и директору завода № 168 т. Шпакову разместить завод № 168 на производственных площадях древкомбината, сохранив катушечное производство.</w:t>
      </w:r>
    </w:p>
    <w:p w14:paraId="52A95F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Обязать тт. Петрова и Шпакова немедленно разместить цеха согласно утвержденных рабочих технологических планировок начальником 11 Главка НКАП СССР в следующих производственных помещениях:</w:t>
      </w:r>
    </w:p>
    <w:p w14:paraId="46BC4E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Сушильне хозяйство завода № 168 в трех камерах сушильного хозяйства комбината. С дальнейшим переоборудованием их под систему камерной сушки, кроме того, имеющуюся необорудованную седьмую камеру оборудовать и пустить в эксплуатацию не позднее 1 февраля 1942 года.</w:t>
      </w:r>
    </w:p>
    <w:p w14:paraId="4127C4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Раскроечно-заготовительный цех на площадях заготовительного цеха древкомбината, с выполнением программы по этому цеху древкомбината.</w:t>
      </w:r>
    </w:p>
    <w:p w14:paraId="2D98D5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Слесарно-механический цех временно совместно с катушечным цехом.</w:t>
      </w:r>
    </w:p>
    <w:p w14:paraId="5B3CD0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Инструментальный цех на площадях первого этажа цеха разделки отходов комбината, сохранив при этом железобетонные сооружения для дальнейшей его эксплуатации по прямому назначению. Не позднее мая месяца 1942 года.</w:t>
      </w:r>
    </w:p>
    <w:p w14:paraId="471BA3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 Цех приспособления на площадях второго этажа цеха разделки отходов комбината.</w:t>
      </w:r>
    </w:p>
    <w:p w14:paraId="0A49F9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 Цех лонжеронный на площадях второго этажа сушильного хозяйства комбината.</w:t>
      </w:r>
    </w:p>
    <w:p w14:paraId="52F248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ж) Цех детальной сборки на площадях второго этажа сушильного корпуса (над катушкой).</w:t>
      </w:r>
    </w:p>
    <w:p w14:paraId="33CE6D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 Крыльевой и центропланный цех на площадях старого пожарного депо и автогаража.</w:t>
      </w:r>
    </w:p>
    <w:p w14:paraId="1143FD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 сборочный и фюзеляжный в новом построенном корпусе цеха стройдеталей, обязав т. Петрова в пятидневный срок полностью закончить строительство указанного цеха.</w:t>
      </w:r>
    </w:p>
    <w:p w14:paraId="7854E89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Центральный материальный склад на 50 процентов площади склада готовой продукции.</w:t>
      </w:r>
    </w:p>
    <w:p w14:paraId="6C6BADA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 Лошадей разместить в помещении конного парка.</w:t>
      </w:r>
    </w:p>
    <w:p w14:paraId="79F13C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В соответствии с указанием Наркомлеса СССР директору древкомбината т. Перову сдать, а директору завода № 168 т. Шпакову принять все производственные здания и помещения согласно п. 2 настоящего постановления по состоянию на 1 декабря.1941 года.</w:t>
      </w:r>
    </w:p>
    <w:p w14:paraId="36B759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Обязать директора древкомбината т. Петрова и директора Марбумкомбината т. Горбунова обеспечить снабжение завода № 168 необходимым количеством пара, электроэнергией и водой.</w:t>
      </w:r>
    </w:p>
    <w:p w14:paraId="32E4C3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Предложить директору древкомбината т. Петрову обеспечить размещение рабочих, служащих и ИТР завода № 168 за счет максимального уплотнения жилфонда древкомбината.</w:t>
      </w:r>
    </w:p>
    <w:p w14:paraId="0D3963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Часть рабочих, служащих и ИТР завода № 168 через исполкомы городского совета и Мамасевского сельсовета разместить в индивидуальных поселках и в колхозах: "Красный Октябрь", им. Шмидта, "У-Пасу" и "Тосурт".</w:t>
      </w:r>
    </w:p>
    <w:p w14:paraId="6DAAE3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Обязать директора древкомбината т. Петрова, секретаря партбюро т. Кувшинникова, директора завода № 168 т. Шпакова и парторга ЦК ВКП (б) т. Конкина обеспечить немедленное размещение и пуск завода № 168 и выполнение производственных программ по заводу и древкомбинату.</w:t>
      </w:r>
    </w:p>
    <w:p w14:paraId="4FF66D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Обязать директора завода № 168 т. Шпакова немедленно развернуть новое строительство согласно титульного списка, утвержденного начальником 11 Главка НКАП СССР. Кроме того, немедленно приступить к строительству второй очереди цеха стройдеталей закончив его строительство к 1 января 1942 года.</w:t>
      </w:r>
    </w:p>
    <w:p w14:paraId="3BD7DF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Просить СНК Марийской АССР выделить на декабрь месяц 1941 года заводу № 168 тысячу кубометров лесоматериала.</w:t>
      </w:r>
    </w:p>
    <w:p w14:paraId="639A86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Секретарь Волжского РК ВКП (б) Шабарин.</w:t>
      </w:r>
    </w:p>
    <w:p w14:paraId="3A16DC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Председатель исполкома районного Совета Седов</w:t>
      </w:r>
    </w:p>
    <w:p w14:paraId="1A1C94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ГА Республики Марий Эл, ф. Р-747, оп. 1, д. 2, л. 13-14 (11608).</w:t>
      </w:r>
    </w:p>
    <w:p w14:paraId="5584EF3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7D9BE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декабря 1941 вышло постановление СНК N 2264-1037с "О сокращении штатов аппарата НКАП и о переводе НКАП в Куйбышев (1210).</w:t>
      </w:r>
    </w:p>
    <w:p w14:paraId="277538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Странно, наступление под Москвой уже началось - видно не очень верили. Во всяком случае, С.В.И. везло.</w:t>
      </w:r>
    </w:p>
    <w:p w14:paraId="56F754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Дело в том, что хотели с 1588 до 775, а эвакуировать из Саратова - в Куйбышев (1199,3).</w:t>
      </w:r>
    </w:p>
    <w:p w14:paraId="69645A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9E7FDCE" w14:textId="77777777" w:rsidR="00EB2FA8" w:rsidRPr="00640820" w:rsidRDefault="00EB2FA8"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10 декабря </w:t>
      </w:r>
      <w:r w:rsidRPr="00640820">
        <w:rPr>
          <w:rFonts w:ascii="Times New Roman" w:hAnsi="Times New Roman"/>
          <w:color w:val="000000" w:themeColor="text1"/>
          <w:sz w:val="16"/>
          <w:szCs w:val="16"/>
        </w:rPr>
        <w:t>в 1941 году вышло постановление СНК СССР "О сокращении штатов аппарата НКАП и о переводе НКАП в Куйбышев” (14856).</w:t>
      </w:r>
    </w:p>
    <w:p w14:paraId="6400A186" w14:textId="77777777" w:rsidR="00EB2FA8" w:rsidRPr="00640820" w:rsidRDefault="00EB2FA8" w:rsidP="00640820">
      <w:pPr>
        <w:spacing w:after="0" w:line="240" w:lineRule="auto"/>
        <w:jc w:val="both"/>
        <w:rPr>
          <w:rFonts w:ascii="Times New Roman" w:hAnsi="Times New Roman"/>
          <w:color w:val="000000" w:themeColor="text1"/>
          <w:sz w:val="16"/>
          <w:szCs w:val="16"/>
        </w:rPr>
      </w:pPr>
    </w:p>
    <w:p w14:paraId="07417BC8"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763662EC"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F7DEB93" w14:textId="77777777" w:rsidR="003C65D8" w:rsidRPr="00640820" w:rsidRDefault="003C65D8" w:rsidP="00640820">
      <w:pPr>
        <w:pStyle w:val="a3"/>
        <w:rPr>
          <w:color w:val="000000" w:themeColor="text1"/>
          <w:lang w:val="ru-RU"/>
        </w:rPr>
      </w:pPr>
      <w:r w:rsidRPr="00640820">
        <w:rPr>
          <w:color w:val="000000" w:themeColor="text1"/>
          <w:lang w:val="ru-RU"/>
        </w:rPr>
        <w:t>К 10 декабря 1941 инженеры Н.Н. Ефимов и К.Н. Ильин ОКБ-3 УЗТМ закончилась начатую в ноябре разработку артиллерийской части строенной установки. В качестве главного конструктора системы, получившей заводской индекс У-13, выступал Ф.Ф. Петров. Значи</w:t>
      </w:r>
      <w:r w:rsidRPr="00640820">
        <w:rPr>
          <w:color w:val="000000" w:themeColor="text1"/>
          <w:lang w:val="ru-RU"/>
        </w:rPr>
        <w:softHyphen/>
        <w:t>тельную роль в создании У-13 сыграл прибывший в октябре 1941 года из Ленинграда Л.И. Горлицкий, на тот момент занимавший должность начальника артиллерийского КБ Кировского завода. На новом месте Лев Израилевич стал заместителем главного конструктора. Система У-13 прикрывалась общей орудийной маской, которая снизу дополни</w:t>
      </w:r>
      <w:r w:rsidRPr="00640820">
        <w:rPr>
          <w:color w:val="000000" w:themeColor="text1"/>
          <w:lang w:val="ru-RU"/>
        </w:rPr>
        <w:softHyphen/>
        <w:t>тельно защищалась от заклинивания бронелистом (17484).</w:t>
      </w:r>
    </w:p>
    <w:p w14:paraId="3CC33959" w14:textId="77777777" w:rsidR="003C65D8" w:rsidRPr="00640820" w:rsidRDefault="003C65D8" w:rsidP="00640820">
      <w:pPr>
        <w:spacing w:after="0" w:line="240" w:lineRule="auto"/>
        <w:jc w:val="both"/>
        <w:rPr>
          <w:rFonts w:ascii="Times New Roman" w:hAnsi="Times New Roman"/>
          <w:color w:val="000000" w:themeColor="text1"/>
          <w:sz w:val="16"/>
          <w:szCs w:val="16"/>
        </w:rPr>
      </w:pPr>
    </w:p>
    <w:p w14:paraId="287BE818" w14:textId="77777777" w:rsidR="002357E4" w:rsidRPr="00640820" w:rsidRDefault="002357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декабря 1941 г. Приказ № 596 Народного комиссариата среднего машиностроения СССР о немедленной передаче сотрудников и оборудования (по списку) Куйбышевского подшипникового завода в распоряжение Саратовского подшипникового завода в целях обеспечения быстрейшего выпуска авиационных и танковых подшипников на Саратовском подшипниковом заводе.</w:t>
      </w:r>
    </w:p>
    <w:p w14:paraId="3483B59D" w14:textId="77777777" w:rsidR="002357E4" w:rsidRPr="00640820" w:rsidRDefault="002357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Подлинник.</w:t>
      </w:r>
    </w:p>
    <w:p w14:paraId="3BDB1A28" w14:textId="77777777" w:rsidR="002357E4" w:rsidRPr="00640820" w:rsidRDefault="002357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Куйбышев</w:t>
      </w:r>
    </w:p>
    <w:p w14:paraId="5F874D5E" w14:textId="77777777" w:rsidR="002357E4" w:rsidRPr="00640820" w:rsidRDefault="002357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РГАЭ ф. 8115, оп. 1, д. 317, лл. 173 – 175. (18959).</w:t>
      </w:r>
    </w:p>
    <w:p w14:paraId="64AFEB02" w14:textId="77777777" w:rsidR="002357E4" w:rsidRPr="00640820" w:rsidRDefault="002357E4" w:rsidP="00640820">
      <w:pPr>
        <w:spacing w:after="0" w:line="240" w:lineRule="auto"/>
        <w:jc w:val="both"/>
        <w:rPr>
          <w:rFonts w:ascii="Times New Roman" w:hAnsi="Times New Roman"/>
          <w:color w:val="000000" w:themeColor="text1"/>
          <w:sz w:val="16"/>
          <w:szCs w:val="16"/>
        </w:rPr>
      </w:pPr>
    </w:p>
    <w:p w14:paraId="46121A6B" w14:textId="77777777" w:rsidR="003156BD" w:rsidRPr="00640820" w:rsidRDefault="003156BD" w:rsidP="00640820">
      <w:pPr>
        <w:shd w:val="clear" w:color="auto" w:fill="FFFFFF"/>
        <w:spacing w:after="0" w:line="240" w:lineRule="auto"/>
        <w:jc w:val="both"/>
        <w:rPr>
          <w:rFonts w:ascii="Times New Roman" w:hAnsi="Times New Roman"/>
          <w:color w:val="0070C0"/>
          <w:sz w:val="16"/>
          <w:szCs w:val="16"/>
        </w:rPr>
      </w:pPr>
      <w:r w:rsidRPr="00640820">
        <w:rPr>
          <w:rStyle w:val="731"/>
          <w:rFonts w:ascii="Times New Roman" w:hAnsi="Times New Roman" w:cs="Times New Roman"/>
          <w:color w:val="0070C0"/>
          <w:sz w:val="16"/>
          <w:szCs w:val="16"/>
        </w:rPr>
        <w:lastRenderedPageBreak/>
        <w:t>10 декабря 1941, как только стали извест</w:t>
      </w:r>
      <w:r w:rsidRPr="00640820">
        <w:rPr>
          <w:rStyle w:val="731"/>
          <w:rFonts w:ascii="Times New Roman" w:hAnsi="Times New Roman" w:cs="Times New Roman"/>
          <w:color w:val="0070C0"/>
          <w:sz w:val="16"/>
          <w:szCs w:val="16"/>
        </w:rPr>
        <w:softHyphen/>
        <w:t>ны первые результаты испытаний СУ-35, в СКБ УЗТМ закипела работа. На создание эскизного про</w:t>
      </w:r>
      <w:r w:rsidRPr="00640820">
        <w:rPr>
          <w:rStyle w:val="731"/>
          <w:rFonts w:ascii="Times New Roman" w:hAnsi="Times New Roman" w:cs="Times New Roman"/>
          <w:color w:val="0070C0"/>
          <w:sz w:val="16"/>
          <w:szCs w:val="16"/>
        </w:rPr>
        <w:softHyphen/>
        <w:t>екта переделанной САУ понадобилось менее недели. Уже 15 декабря в Свердловске про</w:t>
      </w:r>
      <w:r w:rsidRPr="00640820">
        <w:rPr>
          <w:rStyle w:val="731"/>
          <w:rFonts w:ascii="Times New Roman" w:hAnsi="Times New Roman" w:cs="Times New Roman"/>
          <w:color w:val="0070C0"/>
          <w:sz w:val="16"/>
          <w:szCs w:val="16"/>
        </w:rPr>
        <w:softHyphen/>
        <w:t>шло совещание, на котором рассмотрели улучшенный вариант У-35. В общей сложно</w:t>
      </w:r>
      <w:r w:rsidRPr="00640820">
        <w:rPr>
          <w:rStyle w:val="731"/>
          <w:rFonts w:ascii="Times New Roman" w:hAnsi="Times New Roman" w:cs="Times New Roman"/>
          <w:color w:val="0070C0"/>
          <w:sz w:val="16"/>
          <w:szCs w:val="16"/>
        </w:rPr>
        <w:softHyphen/>
        <w:t>сти проект машины претерпел около полуто</w:t>
      </w:r>
      <w:r w:rsidRPr="00640820">
        <w:rPr>
          <w:rStyle w:val="731"/>
          <w:rFonts w:ascii="Times New Roman" w:hAnsi="Times New Roman" w:cs="Times New Roman"/>
          <w:color w:val="0070C0"/>
          <w:sz w:val="16"/>
          <w:szCs w:val="16"/>
        </w:rPr>
        <w:softHyphen/>
        <w:t>ра десятка изменений. Среди них новая кон</w:t>
      </w:r>
      <w:r w:rsidRPr="00640820">
        <w:rPr>
          <w:rStyle w:val="731"/>
          <w:rFonts w:ascii="Times New Roman" w:hAnsi="Times New Roman" w:cs="Times New Roman"/>
          <w:color w:val="0070C0"/>
          <w:sz w:val="16"/>
          <w:szCs w:val="16"/>
        </w:rPr>
        <w:softHyphen/>
        <w:t>струкция лобового листа, ставшего единым (до того он состоял из двух частей), суще</w:t>
      </w:r>
      <w:r w:rsidRPr="00640820">
        <w:rPr>
          <w:rStyle w:val="731"/>
          <w:rFonts w:ascii="Times New Roman" w:hAnsi="Times New Roman" w:cs="Times New Roman"/>
          <w:color w:val="0070C0"/>
          <w:sz w:val="16"/>
          <w:szCs w:val="16"/>
        </w:rPr>
        <w:softHyphen/>
        <w:t>ственное изменение размещения экипажа, переделка смотровых приборов. Часть тех</w:t>
      </w:r>
      <w:r w:rsidRPr="00640820">
        <w:rPr>
          <w:rStyle w:val="731"/>
          <w:rFonts w:ascii="Times New Roman" w:hAnsi="Times New Roman" w:cs="Times New Roman"/>
          <w:color w:val="0070C0"/>
          <w:sz w:val="16"/>
          <w:szCs w:val="16"/>
        </w:rPr>
        <w:softHyphen/>
        <w:t>нических решений было позаимствовано из конструкции СГ-2. При этом, правда, Н.В. Курин не решился на существенное расшире</w:t>
      </w:r>
      <w:r w:rsidRPr="00640820">
        <w:rPr>
          <w:rStyle w:val="731"/>
          <w:rFonts w:ascii="Times New Roman" w:hAnsi="Times New Roman" w:cs="Times New Roman"/>
          <w:color w:val="0070C0"/>
          <w:sz w:val="16"/>
          <w:szCs w:val="16"/>
        </w:rPr>
        <w:softHyphen/>
        <w:t>ние боевого отделения, как это сделали на заводе №592. Позже данное решение, напря</w:t>
      </w:r>
      <w:r w:rsidRPr="00640820">
        <w:rPr>
          <w:rStyle w:val="731"/>
          <w:rFonts w:ascii="Times New Roman" w:hAnsi="Times New Roman" w:cs="Times New Roman"/>
          <w:color w:val="0070C0"/>
          <w:sz w:val="16"/>
          <w:szCs w:val="16"/>
        </w:rPr>
        <w:softHyphen/>
        <w:t>мую связанное со сроками, существенно повлияло на боевые характеристики СУ-35. Но в тот момент именно время развертыва</w:t>
      </w:r>
      <w:r w:rsidRPr="00640820">
        <w:rPr>
          <w:rStyle w:val="731"/>
          <w:rFonts w:ascii="Times New Roman" w:hAnsi="Times New Roman" w:cs="Times New Roman"/>
          <w:color w:val="0070C0"/>
          <w:sz w:val="16"/>
          <w:szCs w:val="16"/>
        </w:rPr>
        <w:softHyphen/>
        <w:t xml:space="preserve">ния массового производства, а не удобство работы экипажа, было одним из главнейших факторов. Спустя всего две недели на УЗТМ начали сдавать первые серийные СУ-35. Из- за сжатых сроков приходилось подгонять </w:t>
      </w:r>
      <w:r w:rsidRPr="00640820">
        <w:rPr>
          <w:rStyle w:val="751"/>
          <w:rFonts w:ascii="Times New Roman" w:hAnsi="Times New Roman" w:cs="Times New Roman"/>
          <w:color w:val="0070C0"/>
          <w:sz w:val="16"/>
          <w:szCs w:val="16"/>
        </w:rPr>
        <w:t>детали практически на коленке - для самохо</w:t>
      </w:r>
      <w:r w:rsidRPr="00640820">
        <w:rPr>
          <w:rStyle w:val="751"/>
          <w:rFonts w:ascii="Times New Roman" w:hAnsi="Times New Roman" w:cs="Times New Roman"/>
          <w:color w:val="0070C0"/>
          <w:sz w:val="16"/>
          <w:szCs w:val="16"/>
        </w:rPr>
        <w:softHyphen/>
        <w:t>док установочной партии на это закрывали глаза. Благодаря такому подходу требование о выпуске 25 машин все же удалось выпол</w:t>
      </w:r>
      <w:r w:rsidRPr="00640820">
        <w:rPr>
          <w:rStyle w:val="751"/>
          <w:rFonts w:ascii="Times New Roman" w:hAnsi="Times New Roman" w:cs="Times New Roman"/>
          <w:color w:val="0070C0"/>
          <w:sz w:val="16"/>
          <w:szCs w:val="16"/>
        </w:rPr>
        <w:softHyphen/>
        <w:t>нить.</w:t>
      </w:r>
    </w:p>
    <w:p w14:paraId="3F8C4B1F" w14:textId="77777777" w:rsidR="003156BD" w:rsidRPr="00640820" w:rsidRDefault="003156BD" w:rsidP="00640820">
      <w:pPr>
        <w:pStyle w:val="1151"/>
        <w:shd w:val="clear" w:color="auto" w:fill="auto"/>
        <w:spacing w:before="0" w:line="240" w:lineRule="auto"/>
        <w:rPr>
          <w:rFonts w:ascii="Times New Roman" w:hAnsi="Times New Roman" w:cs="Times New Roman"/>
          <w:color w:val="0070C0"/>
          <w:sz w:val="16"/>
          <w:szCs w:val="16"/>
        </w:rPr>
      </w:pPr>
      <w:r w:rsidRPr="00640820">
        <w:rPr>
          <w:rStyle w:val="751"/>
          <w:rFonts w:ascii="Times New Roman" w:hAnsi="Times New Roman" w:cs="Times New Roman"/>
          <w:color w:val="0070C0"/>
          <w:sz w:val="16"/>
          <w:szCs w:val="16"/>
        </w:rPr>
        <w:t>Не вдаваясь глубоко в технические осо</w:t>
      </w:r>
      <w:r w:rsidRPr="00640820">
        <w:rPr>
          <w:rStyle w:val="751"/>
          <w:rFonts w:ascii="Times New Roman" w:hAnsi="Times New Roman" w:cs="Times New Roman"/>
          <w:color w:val="0070C0"/>
          <w:sz w:val="16"/>
          <w:szCs w:val="16"/>
        </w:rPr>
        <w:softHyphen/>
        <w:t>бенности детища СКБ УЗТМ, стоит остано</w:t>
      </w:r>
      <w:r w:rsidRPr="00640820">
        <w:rPr>
          <w:rStyle w:val="751"/>
          <w:rFonts w:ascii="Times New Roman" w:hAnsi="Times New Roman" w:cs="Times New Roman"/>
          <w:color w:val="0070C0"/>
          <w:sz w:val="16"/>
          <w:szCs w:val="16"/>
        </w:rPr>
        <w:softHyphen/>
        <w:t>виться на том, почему получилась именно такая машина. Советская школа танкострое</w:t>
      </w:r>
      <w:r w:rsidRPr="00640820">
        <w:rPr>
          <w:rStyle w:val="751"/>
          <w:rFonts w:ascii="Times New Roman" w:hAnsi="Times New Roman" w:cs="Times New Roman"/>
          <w:color w:val="0070C0"/>
          <w:sz w:val="16"/>
          <w:szCs w:val="16"/>
        </w:rPr>
        <w:softHyphen/>
        <w:t>ния, с точки зрения подхода к САУ, мало чем отличалась от общемировых тенденций. Даже сейчас некоторые продолжают считать, что САУ - это просто танк с рубкой вместо башни и с орудием побольше. В действитель</w:t>
      </w:r>
      <w:r w:rsidRPr="00640820">
        <w:rPr>
          <w:rStyle w:val="751"/>
          <w:rFonts w:ascii="Times New Roman" w:hAnsi="Times New Roman" w:cs="Times New Roman"/>
          <w:color w:val="0070C0"/>
          <w:sz w:val="16"/>
          <w:szCs w:val="16"/>
        </w:rPr>
        <w:softHyphen/>
        <w:t>ности все не так просто. Как показывает практика, наиболее удачными получались те САУ, которые разрабатывались либо на спе</w:t>
      </w:r>
      <w:r w:rsidRPr="00640820">
        <w:rPr>
          <w:rStyle w:val="751"/>
          <w:rFonts w:ascii="Times New Roman" w:hAnsi="Times New Roman" w:cs="Times New Roman"/>
          <w:color w:val="0070C0"/>
          <w:sz w:val="16"/>
          <w:szCs w:val="16"/>
        </w:rPr>
        <w:softHyphen/>
        <w:t>циальном шасси, либо на шасси с использо</w:t>
      </w:r>
      <w:r w:rsidRPr="00640820">
        <w:rPr>
          <w:rStyle w:val="751"/>
          <w:rFonts w:ascii="Times New Roman" w:hAnsi="Times New Roman" w:cs="Times New Roman"/>
          <w:color w:val="0070C0"/>
          <w:sz w:val="16"/>
          <w:szCs w:val="16"/>
        </w:rPr>
        <w:softHyphen/>
        <w:t>ванием агрегатов серийного танка. Примера</w:t>
      </w:r>
      <w:r w:rsidRPr="00640820">
        <w:rPr>
          <w:rStyle w:val="751"/>
          <w:rFonts w:ascii="Times New Roman" w:hAnsi="Times New Roman" w:cs="Times New Roman"/>
          <w:color w:val="0070C0"/>
          <w:sz w:val="16"/>
          <w:szCs w:val="16"/>
        </w:rPr>
        <w:softHyphen/>
        <w:t xml:space="preserve">ми таких машин являются советская СУ-76 и американская </w:t>
      </w:r>
      <w:r w:rsidRPr="00640820">
        <w:rPr>
          <w:rStyle w:val="751"/>
          <w:rFonts w:ascii="Times New Roman" w:hAnsi="Times New Roman" w:cs="Times New Roman"/>
          <w:color w:val="0070C0"/>
          <w:sz w:val="16"/>
          <w:szCs w:val="16"/>
          <w:lang w:val="en-US"/>
        </w:rPr>
        <w:t>GMC</w:t>
      </w:r>
      <w:r w:rsidRPr="00640820">
        <w:rPr>
          <w:rStyle w:val="751"/>
          <w:rFonts w:ascii="Times New Roman" w:hAnsi="Times New Roman" w:cs="Times New Roman"/>
          <w:color w:val="0070C0"/>
          <w:sz w:val="16"/>
          <w:szCs w:val="16"/>
          <w:lang w:val="ru-RU"/>
        </w:rPr>
        <w:t xml:space="preserve"> </w:t>
      </w:r>
      <w:r w:rsidRPr="00640820">
        <w:rPr>
          <w:rStyle w:val="751"/>
          <w:rFonts w:ascii="Times New Roman" w:hAnsi="Times New Roman" w:cs="Times New Roman"/>
          <w:color w:val="0070C0"/>
          <w:sz w:val="16"/>
          <w:szCs w:val="16"/>
          <w:lang w:val="en-US"/>
        </w:rPr>
        <w:t>M</w:t>
      </w:r>
      <w:r w:rsidRPr="00640820">
        <w:rPr>
          <w:rStyle w:val="751"/>
          <w:rFonts w:ascii="Times New Roman" w:hAnsi="Times New Roman" w:cs="Times New Roman"/>
          <w:color w:val="0070C0"/>
          <w:sz w:val="16"/>
          <w:szCs w:val="16"/>
          <w:lang w:val="ru-RU"/>
        </w:rPr>
        <w:t xml:space="preserve">18. </w:t>
      </w:r>
      <w:r w:rsidRPr="00640820">
        <w:rPr>
          <w:rStyle w:val="751"/>
          <w:rFonts w:ascii="Times New Roman" w:hAnsi="Times New Roman" w:cs="Times New Roman"/>
          <w:color w:val="0070C0"/>
          <w:sz w:val="16"/>
          <w:szCs w:val="16"/>
        </w:rPr>
        <w:t>Другое дело, что такие машины были меньшинством во всем мировом парке самоходок. Гораздо чаще для создания САУ использовали уже готовое шасси танка, которое минимально изменяли, после чего туда ставили более мощное, чем у танка на той же базе, вооружение. Таким был рецепт изготовления подавляющего боль</w:t>
      </w:r>
      <w:r w:rsidRPr="00640820">
        <w:rPr>
          <w:rStyle w:val="751"/>
          <w:rFonts w:ascii="Times New Roman" w:hAnsi="Times New Roman" w:cs="Times New Roman"/>
          <w:color w:val="0070C0"/>
          <w:sz w:val="16"/>
          <w:szCs w:val="16"/>
        </w:rPr>
        <w:softHyphen/>
        <w:t>шинства средних САУ военного периода. С одной стороны, так можно было довольно быстро освоить производство машины, но, с другой стороны, почти автоматически появлялся и ряд проблем, таких как далеко не оптимальные условия работы расчета и небольшой боезапас. Ближе к середине войны возникла новая проблема - перегруз</w:t>
      </w:r>
      <w:r w:rsidRPr="00640820">
        <w:rPr>
          <w:rStyle w:val="751"/>
          <w:rFonts w:ascii="Times New Roman" w:hAnsi="Times New Roman" w:cs="Times New Roman"/>
          <w:color w:val="0070C0"/>
          <w:sz w:val="16"/>
          <w:szCs w:val="16"/>
        </w:rPr>
        <w:softHyphen/>
        <w:t>ка передних опорных катков. Наиболее акту</w:t>
      </w:r>
      <w:r w:rsidRPr="00640820">
        <w:rPr>
          <w:rStyle w:val="751"/>
          <w:rFonts w:ascii="Times New Roman" w:hAnsi="Times New Roman" w:cs="Times New Roman"/>
          <w:color w:val="0070C0"/>
          <w:sz w:val="16"/>
          <w:szCs w:val="16"/>
        </w:rPr>
        <w:softHyphen/>
        <w:t>альной она оказалась для машин советского и немецкого производства, у которых тяже</w:t>
      </w:r>
      <w:r w:rsidRPr="00640820">
        <w:rPr>
          <w:rStyle w:val="751"/>
          <w:rFonts w:ascii="Times New Roman" w:hAnsi="Times New Roman" w:cs="Times New Roman"/>
          <w:color w:val="0070C0"/>
          <w:sz w:val="16"/>
          <w:szCs w:val="16"/>
        </w:rPr>
        <w:softHyphen/>
        <w:t>лые орудийные установки размещались в передней части корпуса.</w:t>
      </w:r>
    </w:p>
    <w:p w14:paraId="042AAC59" w14:textId="77777777" w:rsidR="003156BD" w:rsidRPr="00640820" w:rsidRDefault="003156BD" w:rsidP="00640820">
      <w:pPr>
        <w:pStyle w:val="1151"/>
        <w:shd w:val="clear" w:color="auto" w:fill="auto"/>
        <w:spacing w:before="0" w:line="240" w:lineRule="auto"/>
        <w:rPr>
          <w:rFonts w:ascii="Times New Roman" w:hAnsi="Times New Roman" w:cs="Times New Roman"/>
          <w:color w:val="0070C0"/>
          <w:sz w:val="16"/>
          <w:szCs w:val="16"/>
        </w:rPr>
      </w:pPr>
      <w:r w:rsidRPr="00640820">
        <w:rPr>
          <w:rStyle w:val="751"/>
          <w:rFonts w:ascii="Times New Roman" w:hAnsi="Times New Roman" w:cs="Times New Roman"/>
          <w:color w:val="0070C0"/>
          <w:sz w:val="16"/>
          <w:szCs w:val="16"/>
        </w:rPr>
        <w:t>В случае с СУ-35 (с апреля 1943 года ее переименовали в СУ-122), дополнительной проблемой стало то, что первоначально САУ находились в юрисдикции ГАУ КА (Главное артиллерийское управление Красной Армии) и НКВ (Наркомат Вооружений). С этим связана существенная ошибка, допу</w:t>
      </w:r>
      <w:r w:rsidRPr="00640820">
        <w:rPr>
          <w:rStyle w:val="751"/>
          <w:rFonts w:ascii="Times New Roman" w:hAnsi="Times New Roman" w:cs="Times New Roman"/>
          <w:color w:val="0070C0"/>
          <w:sz w:val="16"/>
          <w:szCs w:val="16"/>
        </w:rPr>
        <w:softHyphen/>
        <w:t>щенная во время разработки. Вопреки мне</w:t>
      </w:r>
      <w:r w:rsidRPr="00640820">
        <w:rPr>
          <w:rStyle w:val="751"/>
          <w:rFonts w:ascii="Times New Roman" w:hAnsi="Times New Roman" w:cs="Times New Roman"/>
          <w:color w:val="0070C0"/>
          <w:sz w:val="16"/>
          <w:szCs w:val="16"/>
        </w:rPr>
        <w:softHyphen/>
        <w:t>нию ГАБТУ КА (Главное автобронетанковое управление Красной Армии), где почти сразу предлагали ставить самоходную версию тан</w:t>
      </w:r>
      <w:r w:rsidRPr="00640820">
        <w:rPr>
          <w:rStyle w:val="751"/>
          <w:rFonts w:ascii="Times New Roman" w:hAnsi="Times New Roman" w:cs="Times New Roman"/>
          <w:color w:val="0070C0"/>
          <w:sz w:val="16"/>
          <w:szCs w:val="16"/>
        </w:rPr>
        <w:softHyphen/>
        <w:t>ковой системы У-11, в НКВ и ГАУ настояли на использовании гаубицы М-30. Аргументиро</w:t>
      </w:r>
      <w:r w:rsidRPr="00640820">
        <w:rPr>
          <w:rStyle w:val="751"/>
          <w:rFonts w:ascii="Times New Roman" w:hAnsi="Times New Roman" w:cs="Times New Roman"/>
          <w:color w:val="0070C0"/>
          <w:sz w:val="16"/>
          <w:szCs w:val="16"/>
        </w:rPr>
        <w:softHyphen/>
        <w:t>валось это тем, что в серийном производстве У-11 не находилась, а М-30 в буксируемом варианте уже выпускалась на УЗТМ. То, что массивные противооткатные устройства тре</w:t>
      </w:r>
      <w:r w:rsidRPr="00640820">
        <w:rPr>
          <w:rStyle w:val="751"/>
          <w:rFonts w:ascii="Times New Roman" w:hAnsi="Times New Roman" w:cs="Times New Roman"/>
          <w:color w:val="0070C0"/>
          <w:sz w:val="16"/>
          <w:szCs w:val="16"/>
        </w:rPr>
        <w:softHyphen/>
        <w:t>бовалось дополнительно защищать громозд</w:t>
      </w:r>
      <w:r w:rsidRPr="00640820">
        <w:rPr>
          <w:rStyle w:val="751"/>
          <w:rFonts w:ascii="Times New Roman" w:hAnsi="Times New Roman" w:cs="Times New Roman"/>
          <w:color w:val="0070C0"/>
          <w:sz w:val="16"/>
          <w:szCs w:val="16"/>
        </w:rPr>
        <w:softHyphen/>
        <w:t>кой и тяжелой бронировкой, там никого не смущало.</w:t>
      </w:r>
    </w:p>
    <w:p w14:paraId="74227BC4" w14:textId="77777777" w:rsidR="003156BD" w:rsidRPr="00640820" w:rsidRDefault="003156BD" w:rsidP="00640820">
      <w:pPr>
        <w:shd w:val="clear" w:color="auto" w:fill="FFFFFF"/>
        <w:spacing w:after="0" w:line="240" w:lineRule="auto"/>
        <w:jc w:val="both"/>
        <w:rPr>
          <w:rFonts w:ascii="Times New Roman" w:hAnsi="Times New Roman"/>
          <w:color w:val="0070C0"/>
          <w:sz w:val="16"/>
          <w:szCs w:val="16"/>
        </w:rPr>
      </w:pPr>
      <w:r w:rsidRPr="00640820">
        <w:rPr>
          <w:rStyle w:val="751"/>
          <w:rFonts w:ascii="Times New Roman" w:hAnsi="Times New Roman" w:cs="Times New Roman"/>
          <w:color w:val="0070C0"/>
          <w:sz w:val="16"/>
          <w:szCs w:val="16"/>
        </w:rPr>
        <w:t>Дополнительной проблемой было то, что в НКТП и ГАБТУ КА весьма специфично пред</w:t>
      </w:r>
      <w:r w:rsidRPr="00640820">
        <w:rPr>
          <w:rStyle w:val="751"/>
          <w:rFonts w:ascii="Times New Roman" w:hAnsi="Times New Roman" w:cs="Times New Roman"/>
          <w:color w:val="0070C0"/>
          <w:sz w:val="16"/>
          <w:szCs w:val="16"/>
        </w:rPr>
        <w:softHyphen/>
        <w:t>ставляли себе организацию производства САУ. Достаточно сказать, что первоначально еще весной 1942 года к выполнению задания хотели подключить головной по производ</w:t>
      </w:r>
      <w:r w:rsidRPr="00640820">
        <w:rPr>
          <w:rStyle w:val="751"/>
          <w:rFonts w:ascii="Times New Roman" w:hAnsi="Times New Roman" w:cs="Times New Roman"/>
          <w:color w:val="0070C0"/>
          <w:sz w:val="16"/>
          <w:szCs w:val="16"/>
        </w:rPr>
        <w:softHyphen/>
        <w:t xml:space="preserve">ству танков Т-34 на Урале тагильский завод </w:t>
      </w:r>
      <w:r w:rsidRPr="00640820">
        <w:rPr>
          <w:rStyle w:val="761"/>
          <w:rFonts w:ascii="Times New Roman" w:hAnsi="Times New Roman" w:cs="Times New Roman"/>
          <w:color w:val="0070C0"/>
          <w:sz w:val="16"/>
          <w:szCs w:val="16"/>
        </w:rPr>
        <w:t>№183. В случае с УЗТМ, производство Т-34 никто не отменял (в отличие от завода №38, где ради СУ-12 прекратили выпуск Т-70Б). В Свердловске только ближе к концу 1942 года смогли ежемесячно выпускать по 100 Т-34, и тут на них свалилась программа по выпуску ежемесячно еще и по 100 СУ-35. Чудес не бывает: уже в январе УЗТМ сорвал план по выпуску и Т-34, и СУ-35. Танков выпустили 50 штук, а САУ и того меньше - 32 штуки. В даль</w:t>
      </w:r>
      <w:r w:rsidRPr="00640820">
        <w:rPr>
          <w:rStyle w:val="761"/>
          <w:rFonts w:ascii="Times New Roman" w:hAnsi="Times New Roman" w:cs="Times New Roman"/>
          <w:color w:val="0070C0"/>
          <w:sz w:val="16"/>
          <w:szCs w:val="16"/>
        </w:rPr>
        <w:softHyphen/>
        <w:t>нейшем наблюдались своеобразные «каче</w:t>
      </w:r>
      <w:r w:rsidRPr="00640820">
        <w:rPr>
          <w:rStyle w:val="761"/>
          <w:rFonts w:ascii="Times New Roman" w:hAnsi="Times New Roman" w:cs="Times New Roman"/>
          <w:color w:val="0070C0"/>
          <w:sz w:val="16"/>
          <w:szCs w:val="16"/>
        </w:rPr>
        <w:softHyphen/>
        <w:t>ли»: в какой-то из месяцев план полностью выполнялся только по СУ-35, а в какой-то - только по Т-34. Так было вплоть до прекраще</w:t>
      </w:r>
      <w:r w:rsidRPr="00640820">
        <w:rPr>
          <w:rStyle w:val="761"/>
          <w:rFonts w:ascii="Times New Roman" w:hAnsi="Times New Roman" w:cs="Times New Roman"/>
          <w:color w:val="0070C0"/>
          <w:sz w:val="16"/>
          <w:szCs w:val="16"/>
        </w:rPr>
        <w:softHyphen/>
        <w:t>ния выпуска СУ-122 в августе 1943 года. Тогда же сняли с производства и Т-34, оста</w:t>
      </w:r>
      <w:r w:rsidRPr="00640820">
        <w:rPr>
          <w:rStyle w:val="761"/>
          <w:rFonts w:ascii="Times New Roman" w:hAnsi="Times New Roman" w:cs="Times New Roman"/>
          <w:color w:val="0070C0"/>
          <w:sz w:val="16"/>
          <w:szCs w:val="16"/>
        </w:rPr>
        <w:softHyphen/>
        <w:t>вив на конвейере только СУ-85, которые начали строить как раз в августе 1943 года. Легко себе представить, что произошло бы с планом по еще более остро необходимым фронту танкам на заводе №183, если бы им поручили выпуск самоходных установок. Справедливости ради, такое непонимание было не только в СССР. Подобными странно</w:t>
      </w:r>
      <w:r w:rsidRPr="00640820">
        <w:rPr>
          <w:rStyle w:val="761"/>
          <w:rFonts w:ascii="Times New Roman" w:hAnsi="Times New Roman" w:cs="Times New Roman"/>
          <w:color w:val="0070C0"/>
          <w:sz w:val="16"/>
          <w:szCs w:val="16"/>
        </w:rPr>
        <w:softHyphen/>
        <w:t xml:space="preserve">стями грешили те же самые немцы, которые спускали на завод фирмы </w:t>
      </w:r>
      <w:r w:rsidRPr="00640820">
        <w:rPr>
          <w:rStyle w:val="761"/>
          <w:rFonts w:ascii="Times New Roman" w:hAnsi="Times New Roman" w:cs="Times New Roman"/>
          <w:color w:val="0070C0"/>
          <w:sz w:val="16"/>
          <w:szCs w:val="16"/>
          <w:lang w:val="en-US"/>
        </w:rPr>
        <w:t>ALkett</w:t>
      </w:r>
      <w:r w:rsidRPr="00640820">
        <w:rPr>
          <w:rStyle w:val="761"/>
          <w:rFonts w:ascii="Times New Roman" w:hAnsi="Times New Roman" w:cs="Times New Roman"/>
          <w:color w:val="0070C0"/>
          <w:sz w:val="16"/>
          <w:szCs w:val="16"/>
        </w:rPr>
        <w:t xml:space="preserve"> - к тому вре</w:t>
      </w:r>
      <w:r w:rsidRPr="00640820">
        <w:rPr>
          <w:rStyle w:val="761"/>
          <w:rFonts w:ascii="Times New Roman" w:hAnsi="Times New Roman" w:cs="Times New Roman"/>
          <w:color w:val="0070C0"/>
          <w:sz w:val="16"/>
          <w:szCs w:val="16"/>
        </w:rPr>
        <w:softHyphen/>
        <w:t xml:space="preserve">мени единственного производителя </w:t>
      </w:r>
      <w:r w:rsidRPr="00640820">
        <w:rPr>
          <w:rStyle w:val="761"/>
          <w:rFonts w:ascii="Times New Roman" w:hAnsi="Times New Roman" w:cs="Times New Roman"/>
          <w:color w:val="0070C0"/>
          <w:sz w:val="16"/>
          <w:szCs w:val="16"/>
          <w:lang w:val="en-US"/>
        </w:rPr>
        <w:t>StuG</w:t>
      </w:r>
      <w:r w:rsidRPr="00640820">
        <w:rPr>
          <w:rStyle w:val="761"/>
          <w:rFonts w:ascii="Times New Roman" w:hAnsi="Times New Roman" w:cs="Times New Roman"/>
          <w:color w:val="0070C0"/>
          <w:sz w:val="16"/>
          <w:szCs w:val="16"/>
        </w:rPr>
        <w:t xml:space="preserve"> III - заказы на производство танков </w:t>
      </w:r>
      <w:r w:rsidRPr="00640820">
        <w:rPr>
          <w:rStyle w:val="761"/>
          <w:rFonts w:ascii="Times New Roman" w:hAnsi="Times New Roman" w:cs="Times New Roman"/>
          <w:color w:val="0070C0"/>
          <w:sz w:val="16"/>
          <w:szCs w:val="16"/>
          <w:lang w:val="en-US"/>
        </w:rPr>
        <w:t>Pz</w:t>
      </w:r>
      <w:r w:rsidRPr="00640820">
        <w:rPr>
          <w:rStyle w:val="761"/>
          <w:rFonts w:ascii="Times New Roman" w:hAnsi="Times New Roman" w:cs="Times New Roman"/>
          <w:color w:val="0070C0"/>
          <w:sz w:val="16"/>
          <w:szCs w:val="16"/>
        </w:rPr>
        <w:t>.</w:t>
      </w:r>
      <w:r w:rsidRPr="00640820">
        <w:rPr>
          <w:rStyle w:val="761"/>
          <w:rFonts w:ascii="Times New Roman" w:hAnsi="Times New Roman" w:cs="Times New Roman"/>
          <w:color w:val="0070C0"/>
          <w:sz w:val="16"/>
          <w:szCs w:val="16"/>
          <w:lang w:val="en-US"/>
        </w:rPr>
        <w:t>Kpfw</w:t>
      </w:r>
      <w:r w:rsidRPr="00640820">
        <w:rPr>
          <w:rStyle w:val="761"/>
          <w:rFonts w:ascii="Times New Roman" w:hAnsi="Times New Roman" w:cs="Times New Roman"/>
          <w:color w:val="0070C0"/>
          <w:sz w:val="16"/>
          <w:szCs w:val="16"/>
        </w:rPr>
        <w:t xml:space="preserve">. III. Тот же самый </w:t>
      </w:r>
      <w:r w:rsidRPr="00640820">
        <w:rPr>
          <w:rStyle w:val="761"/>
          <w:rFonts w:ascii="Times New Roman" w:hAnsi="Times New Roman" w:cs="Times New Roman"/>
          <w:color w:val="0070C0"/>
          <w:sz w:val="16"/>
          <w:szCs w:val="16"/>
          <w:lang w:val="en-US"/>
        </w:rPr>
        <w:t>ALkett</w:t>
      </w:r>
      <w:r w:rsidRPr="00640820">
        <w:rPr>
          <w:rStyle w:val="761"/>
          <w:rFonts w:ascii="Times New Roman" w:hAnsi="Times New Roman" w:cs="Times New Roman"/>
          <w:color w:val="0070C0"/>
          <w:sz w:val="16"/>
          <w:szCs w:val="16"/>
        </w:rPr>
        <w:t xml:space="preserve"> периодически загру</w:t>
      </w:r>
      <w:r w:rsidRPr="00640820">
        <w:rPr>
          <w:rStyle w:val="761"/>
          <w:rFonts w:ascii="Times New Roman" w:hAnsi="Times New Roman" w:cs="Times New Roman"/>
          <w:color w:val="0070C0"/>
          <w:sz w:val="16"/>
          <w:szCs w:val="16"/>
        </w:rPr>
        <w:softHyphen/>
        <w:t>жали выпуском других САУ, так что «плаваю</w:t>
      </w:r>
      <w:r w:rsidRPr="00640820">
        <w:rPr>
          <w:rStyle w:val="761"/>
          <w:rFonts w:ascii="Times New Roman" w:hAnsi="Times New Roman" w:cs="Times New Roman"/>
          <w:color w:val="0070C0"/>
          <w:sz w:val="16"/>
          <w:szCs w:val="16"/>
        </w:rPr>
        <w:softHyphen/>
        <w:t>щие» цифры выпуска не должны удивлять.</w:t>
      </w:r>
    </w:p>
    <w:p w14:paraId="69F2F933" w14:textId="77777777" w:rsidR="003156BD" w:rsidRPr="00640820" w:rsidRDefault="003156BD" w:rsidP="00640820">
      <w:pPr>
        <w:pStyle w:val="1151"/>
        <w:shd w:val="clear" w:color="auto" w:fill="auto"/>
        <w:spacing w:before="0" w:line="240" w:lineRule="auto"/>
        <w:rPr>
          <w:rFonts w:ascii="Times New Roman" w:hAnsi="Times New Roman" w:cs="Times New Roman"/>
          <w:color w:val="0070C0"/>
          <w:sz w:val="16"/>
          <w:szCs w:val="16"/>
        </w:rPr>
      </w:pPr>
      <w:r w:rsidRPr="00640820">
        <w:rPr>
          <w:rStyle w:val="761"/>
          <w:rFonts w:ascii="Times New Roman" w:hAnsi="Times New Roman" w:cs="Times New Roman"/>
          <w:color w:val="0070C0"/>
          <w:sz w:val="16"/>
          <w:szCs w:val="16"/>
        </w:rPr>
        <w:t>Требования как можно быстрее запу</w:t>
      </w:r>
      <w:r w:rsidRPr="00640820">
        <w:rPr>
          <w:rStyle w:val="761"/>
          <w:rFonts w:ascii="Times New Roman" w:hAnsi="Times New Roman" w:cs="Times New Roman"/>
          <w:color w:val="0070C0"/>
          <w:sz w:val="16"/>
          <w:szCs w:val="16"/>
        </w:rPr>
        <w:softHyphen/>
        <w:t>стить СУ-35 в серию привело к не самому лучшему результату. Расширение боевого отделения так и не произошло, в результате уже с января 1943 года из воинских частей, куда поступили первые СУ-35, массово пошли жалобы на тесноту. Разумеется, в ходе переработки У-35 в СУ-35 некоторые переделки имели место, так что внутри стало все-таки просторнее. Тем не менее, боевое отделение так и осталось тесным. Специфи</w:t>
      </w:r>
      <w:r w:rsidRPr="00640820">
        <w:rPr>
          <w:rStyle w:val="761"/>
          <w:rFonts w:ascii="Times New Roman" w:hAnsi="Times New Roman" w:cs="Times New Roman"/>
          <w:color w:val="0070C0"/>
          <w:sz w:val="16"/>
          <w:szCs w:val="16"/>
        </w:rPr>
        <w:softHyphen/>
        <w:t>ка боевого отделения была таковой, что наводчик сидел не лицом по направлению к движению, а боком, да и остальной расчет также сидел бочком. Использование штат</w:t>
      </w:r>
      <w:r w:rsidRPr="00640820">
        <w:rPr>
          <w:rStyle w:val="761"/>
          <w:rFonts w:ascii="Times New Roman" w:hAnsi="Times New Roman" w:cs="Times New Roman"/>
          <w:color w:val="0070C0"/>
          <w:sz w:val="16"/>
          <w:szCs w:val="16"/>
        </w:rPr>
        <w:softHyphen/>
        <w:t>ной гаубицы М-30, в которую вносили мини</w:t>
      </w:r>
      <w:r w:rsidRPr="00640820">
        <w:rPr>
          <w:rStyle w:val="761"/>
          <w:rFonts w:ascii="Times New Roman" w:hAnsi="Times New Roman" w:cs="Times New Roman"/>
          <w:color w:val="0070C0"/>
          <w:sz w:val="16"/>
          <w:szCs w:val="16"/>
        </w:rPr>
        <w:softHyphen/>
        <w:t>мальное число изменений, также внесло свою лепту в создание не самого просторно</w:t>
      </w:r>
      <w:r w:rsidRPr="00640820">
        <w:rPr>
          <w:rStyle w:val="761"/>
          <w:rFonts w:ascii="Times New Roman" w:hAnsi="Times New Roman" w:cs="Times New Roman"/>
          <w:color w:val="0070C0"/>
          <w:sz w:val="16"/>
          <w:szCs w:val="16"/>
        </w:rPr>
        <w:softHyphen/>
        <w:t>го боевого отделения.</w:t>
      </w:r>
    </w:p>
    <w:p w14:paraId="294F020E" w14:textId="77777777" w:rsidR="003156BD" w:rsidRPr="00640820" w:rsidRDefault="003156BD" w:rsidP="00640820">
      <w:pPr>
        <w:pStyle w:val="1151"/>
        <w:shd w:val="clear" w:color="auto" w:fill="auto"/>
        <w:spacing w:before="0" w:line="240" w:lineRule="auto"/>
        <w:rPr>
          <w:rStyle w:val="770"/>
          <w:rFonts w:ascii="Times New Roman" w:hAnsi="Times New Roman" w:cs="Times New Roman"/>
          <w:color w:val="0070C0"/>
          <w:sz w:val="16"/>
          <w:szCs w:val="16"/>
        </w:rPr>
      </w:pPr>
      <w:r w:rsidRPr="00640820">
        <w:rPr>
          <w:rStyle w:val="761"/>
          <w:rFonts w:ascii="Times New Roman" w:hAnsi="Times New Roman" w:cs="Times New Roman"/>
          <w:color w:val="0070C0"/>
          <w:sz w:val="16"/>
          <w:szCs w:val="16"/>
        </w:rPr>
        <w:t>Руководство ГАУ и НКВ начало что-то подозревать только после массовых жалоб, а до того упорно отвергало саму мысль сделать специальную самоходную установку. Ирония судьбы в том, что такую самоходку КБ завода №8 спроектировало еще летом 1942 года на базе 122-мм артиллерийской системы У-11. У нее и длина отката была куда меньше, и откат</w:t>
      </w:r>
      <w:r w:rsidRPr="00640820">
        <w:rPr>
          <w:rStyle w:val="761"/>
          <w:rFonts w:ascii="Times New Roman" w:hAnsi="Times New Roman" w:cs="Times New Roman"/>
          <w:color w:val="0070C0"/>
          <w:sz w:val="16"/>
          <w:szCs w:val="16"/>
        </w:rPr>
        <w:softHyphen/>
        <w:t>ные механизмы не торчали более чем на метр вперед, и наведение осуществлялось только наводчиком. Да и уровень защиты был выше. Однако, помимо требований унификации, существенным препятствием было еще и то, что У-11 являлось детищем не ГАУ или НКВ, а</w:t>
      </w:r>
      <w:r w:rsidRPr="00640820">
        <w:rPr>
          <w:rStyle w:val="761"/>
          <w:rFonts w:ascii="Times New Roman" w:hAnsi="Times New Roman" w:cs="Times New Roman"/>
          <w:color w:val="0070C0"/>
          <w:sz w:val="16"/>
          <w:szCs w:val="16"/>
          <w:lang w:val="ru-RU"/>
        </w:rPr>
        <w:t xml:space="preserve"> </w:t>
      </w:r>
      <w:r w:rsidRPr="00640820">
        <w:rPr>
          <w:rStyle w:val="761"/>
          <w:rFonts w:ascii="Times New Roman" w:hAnsi="Times New Roman" w:cs="Times New Roman"/>
          <w:color w:val="0070C0"/>
          <w:sz w:val="16"/>
          <w:szCs w:val="16"/>
        </w:rPr>
        <w:t>НКТП, а «танкисты» с «артиллеристами» часто уживались примерно так же дружно, как кошка с собакой. В результате самоход</w:t>
      </w:r>
      <w:r w:rsidRPr="00640820">
        <w:rPr>
          <w:rStyle w:val="761"/>
          <w:rFonts w:ascii="Times New Roman" w:hAnsi="Times New Roman" w:cs="Times New Roman"/>
          <w:color w:val="0070C0"/>
          <w:sz w:val="16"/>
          <w:szCs w:val="16"/>
        </w:rPr>
        <w:softHyphen/>
        <w:t>ная версия У-11 существовала только в виде проектов, а в серию пошла боевая машина с М-30. Поэтому у СУ-35, как уже говорилось, было не только тесное боевое отделение, но еще и перегруз носовой части, а командир, помимо функции радиста, выполнял еще и работу наводчика по вертикали. После вала жалоб из частей стало ясно, что надо что-то делать. 21 января 1943 года в Свердловске состоялось техническое совещание, темой которого стало устранение недостатков и проведение «большой модернизации» СУ-35. Так начались работы по СУ-35М, позже пере</w:t>
      </w:r>
      <w:r w:rsidRPr="00640820">
        <w:rPr>
          <w:rStyle w:val="770"/>
          <w:rFonts w:ascii="Times New Roman" w:hAnsi="Times New Roman" w:cs="Times New Roman"/>
          <w:color w:val="0070C0"/>
          <w:sz w:val="16"/>
          <w:szCs w:val="16"/>
        </w:rPr>
        <w:t>именованной в СУ-122М. Впрочем, расширен</w:t>
      </w:r>
      <w:r w:rsidRPr="00640820">
        <w:rPr>
          <w:rStyle w:val="770"/>
          <w:rFonts w:ascii="Times New Roman" w:hAnsi="Times New Roman" w:cs="Times New Roman"/>
          <w:color w:val="0070C0"/>
          <w:sz w:val="16"/>
          <w:szCs w:val="16"/>
        </w:rPr>
        <w:softHyphen/>
        <w:t>ное боевое отделение так и не получила ни СУ-122, ни СУ-85, ни СУ-100</w:t>
      </w:r>
      <w:r w:rsidRPr="00640820">
        <w:rPr>
          <w:rStyle w:val="770"/>
          <w:rFonts w:ascii="Times New Roman" w:hAnsi="Times New Roman" w:cs="Times New Roman"/>
          <w:color w:val="0070C0"/>
          <w:sz w:val="16"/>
          <w:szCs w:val="16"/>
          <w:lang w:val="ru-RU"/>
        </w:rPr>
        <w:t xml:space="preserve"> (19892)</w:t>
      </w:r>
      <w:r w:rsidRPr="00640820">
        <w:rPr>
          <w:rStyle w:val="770"/>
          <w:rFonts w:ascii="Times New Roman" w:hAnsi="Times New Roman" w:cs="Times New Roman"/>
          <w:color w:val="0070C0"/>
          <w:sz w:val="16"/>
          <w:szCs w:val="16"/>
        </w:rPr>
        <w:t>.</w:t>
      </w:r>
    </w:p>
    <w:p w14:paraId="570E9579" w14:textId="77777777" w:rsidR="003156BD" w:rsidRPr="00640820" w:rsidRDefault="003156BD" w:rsidP="00640820">
      <w:pPr>
        <w:pStyle w:val="1151"/>
        <w:shd w:val="clear" w:color="auto" w:fill="auto"/>
        <w:spacing w:before="0" w:line="240" w:lineRule="auto"/>
        <w:rPr>
          <w:rFonts w:ascii="Times New Roman" w:hAnsi="Times New Roman" w:cs="Times New Roman"/>
          <w:color w:val="0070C0"/>
          <w:sz w:val="16"/>
          <w:szCs w:val="16"/>
        </w:rPr>
      </w:pPr>
    </w:p>
    <w:p w14:paraId="7935E603" w14:textId="77777777" w:rsidR="002357E4" w:rsidRPr="00640820" w:rsidRDefault="002357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декабря 1941 г. в записке Госплана СССР от указывалось, что при эвакуации предприятий отбор оборудования для монтажа проводился во многом случайно, без учета комплектности отдельных видов оборудования и особенно оборудования производственного и энергетического. Демонтировав оборудование, наркоматы не организовали учета этого оборудования и контроля за продвижением его в пути, в результате чего эшелоны с эвакуированным оборудованием прибывали к месту назначения, как правило, с большим опозданием, частями и некомплектно. </w:t>
      </w:r>
    </w:p>
    <w:p w14:paraId="23C60737" w14:textId="77777777" w:rsidR="002357E4" w:rsidRPr="00640820" w:rsidRDefault="002357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Наркоматы в основном всю работу по эвакуации оборудования и продвижения его в пути переложили на НКПС. Скорость продвижения поездов с оборудованием НКПС была установлена 400 км в сутки, фактически же поезда с эвакуированным оборудованием продвигались со скоростью 200 км в сутки, а в отдельных случаях - менее 100 км. Большинство поездов не имели номеров маршрутов, что затрудняло наблюдение за их продвижением. Значительная часть оборудования следовала в поездах отдельными вагонами, которые после переформирования составов в пути выпадали из учета. </w:t>
      </w:r>
    </w:p>
    <w:p w14:paraId="7F0F81D9" w14:textId="77777777" w:rsidR="002357E4" w:rsidRPr="00640820" w:rsidRDefault="002357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Медленно велся монтаж оборудования, ввод его в эксплуатацию.</w:t>
      </w:r>
    </w:p>
    <w:p w14:paraId="10F55CDE" w14:textId="77777777" w:rsidR="002357E4" w:rsidRPr="00640820" w:rsidRDefault="002357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Острой была нехватка квалифицированного персонала. Наркоматы при вывозе оборудования предприятий не обеспечили эвакуации необходимого количества квалифицированных рабочих, а на местах не организовали подготовку новых кадров из местного и эвакуированного населения.[10]</w:t>
      </w:r>
    </w:p>
    <w:p w14:paraId="2FF86E04" w14:textId="77777777" w:rsidR="002357E4" w:rsidRPr="00640820" w:rsidRDefault="002357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тем же причинам: экстремальность ситуации и дезорганизация работы аппарата управления, – не удалось выполнить план 4 квартала 1941 г. по новому строительству (18406).</w:t>
      </w:r>
    </w:p>
    <w:p w14:paraId="68A16039" w14:textId="77777777" w:rsidR="002357E4" w:rsidRPr="00640820" w:rsidRDefault="002357E4" w:rsidP="00640820">
      <w:pPr>
        <w:spacing w:after="0" w:line="240" w:lineRule="auto"/>
        <w:jc w:val="both"/>
        <w:rPr>
          <w:rFonts w:ascii="Times New Roman" w:hAnsi="Times New Roman"/>
          <w:color w:val="000000" w:themeColor="text1"/>
          <w:sz w:val="16"/>
          <w:szCs w:val="16"/>
        </w:rPr>
      </w:pPr>
    </w:p>
    <w:p w14:paraId="11F56392" w14:textId="77777777" w:rsidR="002357E4" w:rsidRPr="00640820" w:rsidRDefault="002357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декабря 1941 г. записке Госплана СССР «О ходе восстановления эвакуированных предприятий по наркоматам» говорится следующее: «При эвакуации предприятий отбор оборудования для монтажа проводится во многом случайно, без учета комплектности отдельных видов оборудования и особенно оборудования производственного и энергетического.</w:t>
      </w:r>
    </w:p>
    <w:p w14:paraId="0DF98AFE" w14:textId="77777777" w:rsidR="002357E4" w:rsidRPr="00640820" w:rsidRDefault="002357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Демонтировав оборудование, наркоматы не организовали учета этого оборудования и контроля за продвижением его в пути, в результате чего эшелоны с эвакуированным оборудованием прибывают к месту назначения, как правило, с большим опозданием, частями и некомплектно.</w:t>
      </w:r>
    </w:p>
    <w:p w14:paraId="3955F988" w14:textId="77777777" w:rsidR="002357E4" w:rsidRPr="00640820" w:rsidRDefault="002357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Большинство наркоматов всю работу по эвакуации оборудования и продвижения его в пути переложили на НКПС. Скорость продвижения поездов с оборудованием НКПС'ом установлена 400 км в сутки, фактически же по вине НКПС поезда с эвакуированным оборудованием продвигаются со скоростью 200 км в сутки, а в отдельных случаях менее 100 км. Большинство поездов не имеют номеров маршрутов, что затрудняет наблюдение за их продвижением. Значительная часть оборудования следует в поездах отдельными вагонами, которые после переформирования составов в пути выпадают из учета. Большое количество маршрутов на различных станциях простаивают по неделе и более. При отсутствии контроля со стороны промышленных наркоматов за продвижением оборудования в пути, все это удлиняет сроки перевозки, срывает установленные графики монтажа оборудования из-за его некомплектности.</w:t>
      </w:r>
    </w:p>
    <w:p w14:paraId="3252A648" w14:textId="77777777" w:rsidR="002357E4" w:rsidRPr="00640820" w:rsidRDefault="002357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общем отставании монтажных работ еще более значительно отстает ввод в действие смонтированного оборудования, в результате чего восстанавливаемые предприятия систематически не выполняют заданий по выпуску готовой продукции.</w:t>
      </w:r>
    </w:p>
    <w:p w14:paraId="27C1E3C3" w14:textId="77777777" w:rsidR="002357E4" w:rsidRPr="00640820" w:rsidRDefault="002357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Основная причина задержки ввода в действие оборудования состоит в остром недостатке квалифицированных рабочих... Как правило, наркоматы при вывозе оборудования предприятий не обеспечили эвакуации необходимого количества квалифицированных рабочих, а на местах не организовали подготовку новых кадров из местного и эвакуированного населения».</w:t>
      </w:r>
    </w:p>
    <w:p w14:paraId="544B6DE1" w14:textId="77777777" w:rsidR="002357E4" w:rsidRPr="00640820" w:rsidRDefault="002357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докладе Госплана СССР «О ходе восстановления эвакуированных предприятий по наркоматам» от 10 декабря 1941 г. сообщалось, что установленный решениями ГКО график ввода в Действие эвакуированных предприятий не выдерживается как по Причине «неудовлетворительной организации во всех наркоматах дела эвакуации», так и «неудовлетворительной организации работ по восстановлению эвакуированных предприятий».</w:t>
      </w:r>
    </w:p>
    <w:p w14:paraId="6CC339DC" w14:textId="77777777" w:rsidR="002357E4" w:rsidRPr="00640820" w:rsidRDefault="002357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отечественной литературе об эвакуации советской промышленности на Восток всегда писали как о «героической эпопее», значение которой не умаляют, а наоборот, даже подчеркивают негативные детали и аспекты, обусловленные экстремальностью ситуации и вытекающей из нее дезорганизованности работы государственного аппарата (18677).</w:t>
      </w:r>
    </w:p>
    <w:p w14:paraId="188FA70F" w14:textId="77777777" w:rsidR="002357E4" w:rsidRPr="00640820" w:rsidRDefault="002357E4" w:rsidP="00640820">
      <w:pPr>
        <w:spacing w:after="0" w:line="240" w:lineRule="auto"/>
        <w:jc w:val="both"/>
        <w:rPr>
          <w:rFonts w:ascii="Times New Roman" w:hAnsi="Times New Roman"/>
          <w:color w:val="000000" w:themeColor="text1"/>
          <w:sz w:val="16"/>
          <w:szCs w:val="16"/>
        </w:rPr>
      </w:pPr>
    </w:p>
    <w:p w14:paraId="5A08A0EC"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10 декабря 1941 г. в подготовленном Госпланом докладе «О ходе восстановления эвакуированных предприятий по наркоматам» указывалось, что большинство предприятий оборонных наркоматов, эвакуированные в районы Урала, Западной Сибири, Казахстана и Средней Азии, не выполнили монтаж и ввод в действие оборудования в сроки, предусмотренные графиками восстановления эвакуированных предприятий.</w:t>
      </w:r>
    </w:p>
    <w:p w14:paraId="18125999"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Отставание монтажных работ и ввода в действие эвакуированных предприятии объяснялось в документе следующими причинами:</w:t>
      </w:r>
    </w:p>
    <w:p w14:paraId="13041096"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«Во-первых, неудовлетворительной организацией дела эвакуации промышленного оборудования и продвижения его из прифронтовой полосы к месту назначения. При эвакуации многих предприятий отбор оборудования для демонтажа производился случайно, без учета комплектности…оборудования...</w:t>
      </w:r>
    </w:p>
    <w:p w14:paraId="1DFD0158"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Большинство наркоматов всю работу по эвакуации оборудования и продвижению его в пути переложили на НКПС. НКПС в свою очередь не обеспечил своевременную подачу порожних нагонов… и установленной скорости продвижения оборудования в пути. Вместо установленной НКПС скорости движения поездов… в 400 км в сутки, фактически поезда продвигаются со скоростью 200 км, а в отдельных случаях менее 100 км. Большинство поездов не имеют номеров маршрутов, что затрудняет наблюдение за их продвижением. Значительная часть оборудования следует в поездах отдельными вагонами, которые после переформирования составов теряются в пути. Большое количество маршрутов на различных станциях простаивает по неделе и более…</w:t>
      </w:r>
    </w:p>
    <w:p w14:paraId="0E293EF3"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Во-вторых неудовлетворительной организацией работ по восстановлению эвакуированных предприятий». Ключевой проблемой восстановления эвакуированных предприятий стал острый недостаток квалифицированных рабочих, особенно токарей, фрезеровщиков, шлифовальщиков и слесарей. В документе указывалось, что «наркоматы при вывозе оборудования предприятий не обеспечили эвакуации необходимого количества квалифицированных рабочих».</w:t>
      </w:r>
    </w:p>
    <w:p w14:paraId="5F60A9AC"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целом количество эвакуированных рабочих составляло 30-40 % общей численности рабочих, занятых на предприятиях до их эвакуации. Дополнительная потребность в рабочей силе для восстановления эвакуированных предприятий и пуска их на полную мощность составляла около 500 тыс. человек. По одной только группе авиационных предприятий г.Куйбышева не хватало около 30000 рабочих. Аналогичной была ситуация на большинстве эвакуированных заводов.</w:t>
      </w:r>
    </w:p>
    <w:p w14:paraId="1A5A0A92"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Ликвидировать недостаток рабочей силы рекомендовалось путем использования трудовых резервов «среди эвакуированного населения, потерявшего связи со своей прежней работой”, а также женского населения: «по предварительным расчетам количество женщин в возрасте от 16 до 40 лет, которые могут быть вовлечены в производство составляет не менее 300 тыс. человек».</w:t>
      </w:r>
    </w:p>
    <w:p w14:paraId="0B5449C6"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«Узким местом» процесса восстановления стала проблема жилья. Строительство упрощенных жилых помещений для эвакуированных велось наркоматами «крайне неудовлетворительно». Так, Нарком вооружения должен был в IУ квартале 1941 г. построить для рабочих 26 эвакуированных заводов жилища упрощенного типа на 69 тыс. человек. Фактически на 15 ноября 1941г. было построено бараков и землянок всего лишь на 21 тыс. человек, что составляло 31% от плана (12291).</w:t>
      </w:r>
    </w:p>
    <w:p w14:paraId="3B9EF664" w14:textId="77777777" w:rsidR="00045010" w:rsidRPr="00640820" w:rsidRDefault="00045010" w:rsidP="00640820">
      <w:pPr>
        <w:spacing w:after="0" w:line="240" w:lineRule="auto"/>
        <w:jc w:val="both"/>
        <w:rPr>
          <w:rFonts w:ascii="Times New Roman" w:hAnsi="Times New Roman"/>
          <w:color w:val="000000" w:themeColor="text1"/>
          <w:sz w:val="16"/>
          <w:szCs w:val="16"/>
        </w:rPr>
      </w:pPr>
    </w:p>
    <w:p w14:paraId="5C5F1C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декабря 1941 г. по пр. НКЭП № В-189а/с «в связи с выполнением заводом заказов по кабельным изделиям только для нужд обороны, требующие секретности в производстве», завод «Москабель» (Завод № 330 НКЭП, Завод «Москабель» НКТП, ПО, ЗАО «Москабель», ГК «Москабельмет» /111024  г. Москва ул. 2-я Кабельная, 2/), основанный в 1885 г., был переименован в завод № 330.</w:t>
      </w:r>
    </w:p>
    <w:p w14:paraId="47D1F0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(1941 г.): провода: военно-полевые, танковые, самолетные, артиллерийские; снарядные пояски.</w:t>
      </w:r>
    </w:p>
    <w:p w14:paraId="5BFC22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после начала войны завод эвакуирован в Томск, размещен в Доме науки и электромеханическом техникуме. Начал действовать на новом месте 8.12.1941 г. Позже на его базе создан «Томсккабель».</w:t>
      </w:r>
    </w:p>
    <w:p w14:paraId="72BC88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19.01.1942 г. вышло постановление ГКО № 1175 о возвращении эвакуированного оборудования завода «Москабель», и производство было восстановлено на прежнем месте. В 1943 г. имелся прокатный цех.</w:t>
      </w:r>
    </w:p>
    <w:p w14:paraId="45C082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1975 г. на базе завода создано </w:t>
      </w:r>
      <w:r w:rsidRPr="00640820">
        <w:rPr>
          <w:rFonts w:ascii="Times New Roman" w:hAnsi="Times New Roman"/>
          <w:color w:val="000000" w:themeColor="text1"/>
          <w:sz w:val="16"/>
          <w:szCs w:val="16"/>
          <w:lang w:val="en-US"/>
        </w:rPr>
        <w:t>IIO</w:t>
      </w:r>
      <w:r w:rsidRPr="00640820">
        <w:rPr>
          <w:rFonts w:ascii="Times New Roman" w:hAnsi="Times New Roman"/>
          <w:color w:val="000000" w:themeColor="text1"/>
          <w:sz w:val="16"/>
          <w:szCs w:val="16"/>
        </w:rPr>
        <w:t xml:space="preserve"> «Москабель».</w:t>
      </w:r>
    </w:p>
    <w:p w14:paraId="0567FBA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(12.1941 г.)- И.И. Мамлин. Гендиректор (-2000-03 г.-)- М.К. Портнов.</w:t>
      </w:r>
    </w:p>
    <w:p w14:paraId="012CDF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(12.1941 г.)- В.А. Привезенцев.</w:t>
      </w:r>
    </w:p>
    <w:p w14:paraId="317C6D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(12.1941 г.)- В.А. Привезенцев.</w:t>
      </w:r>
    </w:p>
    <w:p w14:paraId="0D71ED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цехов: энергоцеха (1940-41 г.)- М.Ф. Куртюков; (-1933 г.)- В.Д. Калмыков.</w:t>
      </w:r>
    </w:p>
    <w:p w14:paraId="66C2DD3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антенна КТТА-12к (11982).</w:t>
      </w:r>
    </w:p>
    <w:p w14:paraId="5CAD0C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5C4EB7A"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декабря 1941 года вышел приказ № 587 НКВ</w:t>
      </w:r>
    </w:p>
    <w:p w14:paraId="1E8A9FE2"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Считать действующими в системе НКВ заводы (стройки, организации).</w:t>
      </w:r>
    </w:p>
    <w:p w14:paraId="47245E9E"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Отдел</w:t>
      </w:r>
    </w:p>
    <w:p w14:paraId="594EB21B"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4 – Красноярск</w:t>
      </w:r>
    </w:p>
    <w:p w14:paraId="3B13A66D"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7 - Ленинград</w:t>
      </w:r>
    </w:p>
    <w:p w14:paraId="7BE47DA8"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8 - Свердловск</w:t>
      </w:r>
    </w:p>
    <w:p w14:paraId="07B5A2FA"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13 – Усть-Катавск</w:t>
      </w:r>
    </w:p>
    <w:p w14:paraId="5E39F78F"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92 - Горький</w:t>
      </w:r>
    </w:p>
    <w:p w14:paraId="70DAFF44"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106 - Хабаровск</w:t>
      </w:r>
    </w:p>
    <w:p w14:paraId="1C7FB723"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172 - Молотов</w:t>
      </w:r>
    </w:p>
    <w:p w14:paraId="6AA16EB0"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221 - Сталинград</w:t>
      </w:r>
    </w:p>
    <w:p w14:paraId="4E203FE3"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232 - Ленинград</w:t>
      </w:r>
    </w:p>
    <w:p w14:paraId="463FBB29"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235 - Воткинск</w:t>
      </w:r>
    </w:p>
    <w:p w14:paraId="15FBE99E"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371 - Ленинград</w:t>
      </w:r>
    </w:p>
    <w:p w14:paraId="7C3DFE14"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592 - Мытищи</w:t>
      </w:r>
    </w:p>
    <w:p w14:paraId="7149417E"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Отдел</w:t>
      </w:r>
    </w:p>
    <w:p w14:paraId="22628546"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2 - Ковров</w:t>
      </w:r>
    </w:p>
    <w:p w14:paraId="389F83B4"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66 - Златоуст</w:t>
      </w:r>
    </w:p>
    <w:p w14:paraId="5A8C6FD9"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74 - Ижевск</w:t>
      </w:r>
    </w:p>
    <w:p w14:paraId="58ABC168"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367 – Вятские Поляны</w:t>
      </w:r>
    </w:p>
    <w:p w14:paraId="502789FF"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385 - Златоуст</w:t>
      </w:r>
    </w:p>
    <w:p w14:paraId="17E5E5F6"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525 - Куйбышев</w:t>
      </w:r>
    </w:p>
    <w:p w14:paraId="69B3DE8A"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614 - Саратов</w:t>
      </w:r>
    </w:p>
    <w:p w14:paraId="346D3B9C"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314 - Медногорск</w:t>
      </w:r>
    </w:p>
    <w:p w14:paraId="5D94A397"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швейных машин - Кокчетав</w:t>
      </w:r>
    </w:p>
    <w:p w14:paraId="2A54C27B"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швейных иголок – Арти</w:t>
      </w:r>
    </w:p>
    <w:p w14:paraId="10B5AE5F"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Гл. управление</w:t>
      </w:r>
    </w:p>
    <w:p w14:paraId="24EF2324"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69 - Новосибирск</w:t>
      </w:r>
    </w:p>
    <w:p w14:paraId="0523F180"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217 - Свердловск</w:t>
      </w:r>
    </w:p>
    <w:p w14:paraId="4EF471AC"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237 - Казань</w:t>
      </w:r>
    </w:p>
    <w:p w14:paraId="12B9B9D7"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297 – Иошкар-Ола</w:t>
      </w:r>
    </w:p>
    <w:p w14:paraId="7A1B2539"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349 - Ленинград</w:t>
      </w:r>
    </w:p>
    <w:p w14:paraId="7E6FFDC7"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350 - Новосибирск</w:t>
      </w:r>
    </w:p>
    <w:p w14:paraId="2967C816"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353 - Томск</w:t>
      </w:r>
    </w:p>
    <w:p w14:paraId="0D73B329"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354 - Ночка</w:t>
      </w:r>
    </w:p>
    <w:p w14:paraId="2AACE418"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355 - Томск</w:t>
      </w:r>
    </w:p>
    <w:p w14:paraId="45B72909"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356 - Свердловск</w:t>
      </w:r>
    </w:p>
    <w:p w14:paraId="1EAE2094"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357 - Омск</w:t>
      </w:r>
    </w:p>
    <w:p w14:paraId="19248D3C"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542 - Сарс</w:t>
      </w:r>
    </w:p>
    <w:p w14:paraId="2A4AE481"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Гл. управление</w:t>
      </w:r>
    </w:p>
    <w:p w14:paraId="162CFB10"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3 - Ульяновск</w:t>
      </w:r>
    </w:p>
    <w:p w14:paraId="56A85241"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17 - Барнаул</w:t>
      </w:r>
    </w:p>
    <w:p w14:paraId="12685F5B"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Завод № 38 - Юрюзань</w:t>
      </w:r>
    </w:p>
    <w:p w14:paraId="491EF46F"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44 - Москва</w:t>
      </w:r>
    </w:p>
    <w:p w14:paraId="43942003"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46 - Свердловск</w:t>
      </w:r>
    </w:p>
    <w:p w14:paraId="249CFD31"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188 - Новосибирск</w:t>
      </w:r>
    </w:p>
    <w:p w14:paraId="35A9FC12"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529 – Новая Ляля</w:t>
      </w:r>
    </w:p>
    <w:p w14:paraId="55380C04"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60 - Фрунзе</w:t>
      </w:r>
    </w:p>
    <w:p w14:paraId="6231C83F"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537 - Киров</w:t>
      </w:r>
    </w:p>
    <w:p w14:paraId="2ADC0E14"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540 - Иркутск</w:t>
      </w:r>
    </w:p>
    <w:p w14:paraId="5714CC0A"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541 - Челябинск</w:t>
      </w:r>
    </w:p>
    <w:p w14:paraId="53E46D01"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543 - Казань</w:t>
      </w:r>
    </w:p>
    <w:p w14:paraId="7D36A33D"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545 – Чкалов</w:t>
      </w:r>
    </w:p>
    <w:p w14:paraId="3421603C"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Металлургический отдел</w:t>
      </w:r>
    </w:p>
    <w:p w14:paraId="7F75A80C"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71 – Ижевск</w:t>
      </w:r>
    </w:p>
    <w:p w14:paraId="5FBCD4C9"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ГСПКИ-40</w:t>
      </w:r>
    </w:p>
    <w:p w14:paraId="6A3C09BE"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538 - Москва</w:t>
      </w:r>
    </w:p>
    <w:p w14:paraId="1C4EBF5A"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управление капитального строительства</w:t>
      </w:r>
    </w:p>
    <w:p w14:paraId="140FA6CE"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Строящийся завод № 267 - Семеновка</w:t>
      </w:r>
    </w:p>
    <w:p w14:paraId="377EEEC6"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Строящийся завод № 313 - Комсомольск</w:t>
      </w:r>
    </w:p>
    <w:p w14:paraId="1B9AF5C7"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Строящийся завод № 359 - Семеновка</w:t>
      </w:r>
    </w:p>
    <w:p w14:paraId="22D39096"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Строящийся завод № 526 - Сталинск</w:t>
      </w:r>
    </w:p>
    <w:p w14:paraId="295E944C"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Строящийся завод № 587 - Тюмень</w:t>
      </w:r>
    </w:p>
    <w:p w14:paraId="2C6BFE3A"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Строящийся завод “Т” - Юрга</w:t>
      </w:r>
    </w:p>
    <w:p w14:paraId="4604D003"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Строящийся завод № 544 – Глазов</w:t>
      </w:r>
    </w:p>
    <w:p w14:paraId="41ACCDDE"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Технический отдел</w:t>
      </w:r>
    </w:p>
    <w:p w14:paraId="1D62A221"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ЦКБ –14 – Златоуст</w:t>
      </w:r>
    </w:p>
    <w:p w14:paraId="6BF295B7"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ОКБ-15 – Ижевск</w:t>
      </w:r>
    </w:p>
    <w:p w14:paraId="5466837E"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ОКБ-16 – Нытва</w:t>
      </w:r>
    </w:p>
    <w:p w14:paraId="7BCF55E8"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ОКБ-43 – Иошкар-Ола</w:t>
      </w:r>
    </w:p>
    <w:p w14:paraId="5C1F9D04"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ОКБЛ-46 – Молотов</w:t>
      </w:r>
    </w:p>
    <w:p w14:paraId="43D7867C"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ГСПИ-7 – Свердловск</w:t>
      </w:r>
    </w:p>
    <w:p w14:paraId="3E4F0954"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НИИ-13 – Молотов</w:t>
      </w:r>
    </w:p>
    <w:p w14:paraId="7925C3E3"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ГСПКИ-40 – Молотов</w:t>
      </w:r>
    </w:p>
    <w:p w14:paraId="38D8DCA4"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ГОИ – Иошкар-Ола</w:t>
      </w:r>
    </w:p>
    <w:p w14:paraId="72955F1C"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ОТБ-НКВД – Томск</w:t>
      </w:r>
    </w:p>
    <w:p w14:paraId="676EA5B6"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Считать находящимися в состоянии консервации и временно прекратившими производственную деятельность заводы №№ 352 (Новочеркасск), 460 (Подольск), 507 (Лопасня), 509 и 8 (Москва), 66 (Тула), 38 (Тула), 17 (Подольск), 188 (Подольск), 69 (Павшино), 46 (Кунцево), 217 (Москва), 355 (Загорск), 367 (Загорск), 356 (Москва), 4 (Коломна), 314 (Тула), 60 (Ворошиловград), 350 (Ленинград).</w:t>
      </w:r>
    </w:p>
    <w:p w14:paraId="1AD830BA"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Исключить из списка предприятий и организаций НКВ как ликвидированные или влившиеся в другие предприятия и организации заводы №№ 54, 393, 524, 535, 536, 539, 586, 588, 589, 622 и 621 (6287, 208-205).</w:t>
      </w:r>
    </w:p>
    <w:p w14:paraId="72D221D7"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691FE2" w14:textId="77777777" w:rsidR="00EB2FA8" w:rsidRPr="00640820" w:rsidRDefault="00EB2FA8" w:rsidP="00640820">
      <w:pPr>
        <w:spacing w:after="0" w:line="240" w:lineRule="auto"/>
        <w:jc w:val="both"/>
        <w:rPr>
          <w:rStyle w:val="Bodytext9"/>
          <w:rFonts w:eastAsia="Calibri"/>
          <w:color w:val="000000" w:themeColor="text1"/>
          <w:sz w:val="16"/>
          <w:szCs w:val="16"/>
        </w:rPr>
      </w:pPr>
      <w:bookmarkStart w:id="11" w:name="bookmark133"/>
      <w:r w:rsidRPr="00640820">
        <w:rPr>
          <w:rStyle w:val="Bodytext9"/>
          <w:rFonts w:eastAsia="Calibri"/>
          <w:color w:val="000000" w:themeColor="text1"/>
          <w:sz w:val="16"/>
          <w:szCs w:val="16"/>
        </w:rPr>
        <w:t xml:space="preserve">На 10 декабря 1941 г. </w:t>
      </w:r>
      <w:r w:rsidRPr="00640820">
        <w:rPr>
          <w:rStyle w:val="Heading22"/>
          <w:rFonts w:eastAsia="Calibri"/>
          <w:color w:val="000000" w:themeColor="text1"/>
          <w:sz w:val="16"/>
          <w:szCs w:val="16"/>
        </w:rPr>
        <w:t>Список предприятий Москвы и Московской области, полностью или на 90% закончивших эвакуацию к 5—12 декабря 1941 г. (</w:t>
      </w:r>
      <w:r w:rsidRPr="00640820">
        <w:rPr>
          <w:rStyle w:val="Footnote2"/>
          <w:rFonts w:eastAsia="Calibri"/>
          <w:color w:val="000000" w:themeColor="text1"/>
          <w:sz w:val="16"/>
          <w:szCs w:val="16"/>
        </w:rPr>
        <w:t>ГАРФ. Ф. 6822. Оп. 1. Д. 495. Л. 105-109</w:t>
      </w:r>
      <w:r w:rsidRPr="00640820">
        <w:rPr>
          <w:rStyle w:val="Heading22"/>
          <w:rFonts w:eastAsia="Calibri"/>
          <w:color w:val="000000" w:themeColor="text1"/>
          <w:sz w:val="16"/>
          <w:szCs w:val="16"/>
        </w:rPr>
        <w:t>)</w:t>
      </w:r>
    </w:p>
    <w:p w14:paraId="15F8CE70" w14:textId="77777777" w:rsidR="00EB2FA8" w:rsidRPr="00640820" w:rsidRDefault="00EB2FA8" w:rsidP="00640820">
      <w:pPr>
        <w:spacing w:after="0" w:line="240" w:lineRule="auto"/>
        <w:jc w:val="both"/>
        <w:rPr>
          <w:rFonts w:ascii="Times New Roman" w:hAnsi="Times New Roman"/>
          <w:color w:val="000000" w:themeColor="text1"/>
          <w:sz w:val="16"/>
          <w:szCs w:val="16"/>
        </w:rPr>
      </w:pPr>
      <w:r w:rsidRPr="00640820">
        <w:rPr>
          <w:rStyle w:val="Bodytext9"/>
          <w:rFonts w:eastAsia="Calibri"/>
          <w:color w:val="000000" w:themeColor="text1"/>
          <w:sz w:val="16"/>
          <w:szCs w:val="16"/>
        </w:rPr>
        <w:t>Наркомавиапром (на 10.12.1941 г.)</w:t>
      </w:r>
      <w:bookmarkEnd w:id="11"/>
    </w:p>
    <w:p w14:paraId="05144E0C" w14:textId="77777777" w:rsidR="00EB2FA8" w:rsidRPr="00640820" w:rsidRDefault="00EB2FA8"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Полностью закончили эвакуацию — 37 предприятий из 54 (в т. ч. заводы № 1, 20, 33, 39, 51, 84, 132, 145, 119, 120, 156, 161, 214, 240, 261, ЦАГИ и др.).</w:t>
      </w:r>
    </w:p>
    <w:p w14:paraId="7702E50B" w14:textId="77777777" w:rsidR="00EB2FA8" w:rsidRPr="00640820" w:rsidRDefault="00EB2FA8"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Закончили эвакуацию более чем на 90% — 12 предприятий (в т. ч. заводы № 22, 24, 34, 49, 213, 301, 468, 472 и др.).</w:t>
      </w:r>
    </w:p>
    <w:p w14:paraId="4519CA29" w14:textId="77777777" w:rsidR="00EB2FA8" w:rsidRPr="00640820" w:rsidRDefault="00EB2FA8" w:rsidP="00640820">
      <w:pPr>
        <w:spacing w:after="0" w:line="240" w:lineRule="auto"/>
        <w:jc w:val="both"/>
        <w:rPr>
          <w:rFonts w:ascii="Times New Roman" w:hAnsi="Times New Roman"/>
          <w:color w:val="000000" w:themeColor="text1"/>
          <w:sz w:val="16"/>
          <w:szCs w:val="16"/>
        </w:rPr>
      </w:pPr>
      <w:bookmarkStart w:id="12" w:name="bookmark134"/>
      <w:r w:rsidRPr="00640820">
        <w:rPr>
          <w:rStyle w:val="Bodytext9"/>
          <w:rFonts w:eastAsia="Calibri"/>
          <w:color w:val="000000" w:themeColor="text1"/>
          <w:sz w:val="16"/>
          <w:szCs w:val="16"/>
        </w:rPr>
        <w:t>Наркомбоеприпасов (на 10.12.1941 г.)</w:t>
      </w:r>
      <w:bookmarkEnd w:id="12"/>
    </w:p>
    <w:p w14:paraId="096D67C8" w14:textId="77777777" w:rsidR="00EB2FA8" w:rsidRPr="00640820" w:rsidRDefault="00EB2FA8"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Полностью закончили эвакуацию — 2 завода (№ 571, 176).</w:t>
      </w:r>
    </w:p>
    <w:p w14:paraId="453311D0" w14:textId="77777777" w:rsidR="00EB2FA8" w:rsidRPr="00640820" w:rsidRDefault="00EB2FA8"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Закончили эвакуацию более чем на 90% — 4 предприятия (заводы № 70, 401, 561 и др.)</w:t>
      </w:r>
    </w:p>
    <w:p w14:paraId="533F2E34" w14:textId="77777777" w:rsidR="00EB2FA8" w:rsidRPr="00640820" w:rsidRDefault="00EB2FA8" w:rsidP="00640820">
      <w:pPr>
        <w:spacing w:after="0" w:line="240" w:lineRule="auto"/>
        <w:jc w:val="both"/>
        <w:rPr>
          <w:rFonts w:ascii="Times New Roman" w:hAnsi="Times New Roman"/>
          <w:color w:val="000000" w:themeColor="text1"/>
          <w:sz w:val="16"/>
          <w:szCs w:val="16"/>
        </w:rPr>
      </w:pPr>
      <w:bookmarkStart w:id="13" w:name="bookmark135"/>
      <w:r w:rsidRPr="00640820">
        <w:rPr>
          <w:rStyle w:val="Bodytext9"/>
          <w:rFonts w:eastAsia="Calibri"/>
          <w:color w:val="000000" w:themeColor="text1"/>
          <w:sz w:val="16"/>
          <w:szCs w:val="16"/>
        </w:rPr>
        <w:t>Наркомвооружения (на 10.12.1941 г.)</w:t>
      </w:r>
      <w:bookmarkEnd w:id="13"/>
    </w:p>
    <w:p w14:paraId="39DC7255" w14:textId="77777777" w:rsidR="00EB2FA8" w:rsidRPr="00640820" w:rsidRDefault="00EB2FA8"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Полностью закончили эвакуацию — завод № 69.</w:t>
      </w:r>
    </w:p>
    <w:p w14:paraId="591B00DE" w14:textId="77777777" w:rsidR="00EB2FA8" w:rsidRPr="00640820" w:rsidRDefault="00EB2FA8"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Закончили эвакуацию более чем на 90% — 4 предприятия (заводы № 8, 4, 355, 217).</w:t>
      </w:r>
    </w:p>
    <w:p w14:paraId="7BFD2441" w14:textId="77777777" w:rsidR="00EB2FA8" w:rsidRPr="00640820" w:rsidRDefault="00EB2FA8" w:rsidP="00640820">
      <w:pPr>
        <w:spacing w:after="0" w:line="240" w:lineRule="auto"/>
        <w:jc w:val="both"/>
        <w:rPr>
          <w:rFonts w:ascii="Times New Roman" w:hAnsi="Times New Roman"/>
          <w:color w:val="000000" w:themeColor="text1"/>
          <w:sz w:val="16"/>
          <w:szCs w:val="16"/>
        </w:rPr>
      </w:pPr>
      <w:bookmarkStart w:id="14" w:name="bookmark136"/>
      <w:r w:rsidRPr="00640820">
        <w:rPr>
          <w:rStyle w:val="Bodytext9"/>
          <w:rFonts w:eastAsia="Calibri"/>
          <w:color w:val="000000" w:themeColor="text1"/>
          <w:sz w:val="16"/>
          <w:szCs w:val="16"/>
        </w:rPr>
        <w:t>Наркомтанкопром (на 12.12.1941 г.)</w:t>
      </w:r>
      <w:bookmarkEnd w:id="14"/>
    </w:p>
    <w:p w14:paraId="3964C920" w14:textId="77777777" w:rsidR="00EB2FA8" w:rsidRPr="00640820" w:rsidRDefault="00EB2FA8"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Полностью закончили эвакуацию — ТВЧ.</w:t>
      </w:r>
    </w:p>
    <w:p w14:paraId="6A849FAC" w14:textId="77777777" w:rsidR="00EB2FA8" w:rsidRPr="00640820" w:rsidRDefault="00EB2FA8"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 xml:space="preserve">Закончили более чем на 90% — 2 предприятия (заводы № 37 и КИМ). </w:t>
      </w:r>
      <w:r w:rsidRPr="00640820">
        <w:rPr>
          <w:rStyle w:val="Bodytext10ptBold"/>
          <w:b w:val="0"/>
          <w:color w:val="000000" w:themeColor="text1"/>
          <w:sz w:val="16"/>
          <w:szCs w:val="16"/>
        </w:rPr>
        <w:t>Наркомминвооружения (на 10.12.1941 г.)</w:t>
      </w:r>
    </w:p>
    <w:p w14:paraId="7CEE7B86" w14:textId="77777777" w:rsidR="00EB2FA8" w:rsidRPr="00640820" w:rsidRDefault="00EB2FA8"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Полностью закончили эвакуацию — 8 предприятий (в т. ч. 1-й и 2-й часовые заводы, им. КИМ, им. Калинина).</w:t>
      </w:r>
    </w:p>
    <w:p w14:paraId="6405AF0D" w14:textId="77777777" w:rsidR="00EB2FA8" w:rsidRPr="00640820" w:rsidRDefault="00EB2FA8"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Закончили более чем на 90% — завод «Компрессор».</w:t>
      </w:r>
    </w:p>
    <w:p w14:paraId="49196ACD" w14:textId="77777777" w:rsidR="00EB2FA8" w:rsidRPr="00640820" w:rsidRDefault="00EB2FA8" w:rsidP="00640820">
      <w:pPr>
        <w:spacing w:after="0" w:line="240" w:lineRule="auto"/>
        <w:jc w:val="both"/>
        <w:rPr>
          <w:rFonts w:ascii="Times New Roman" w:hAnsi="Times New Roman"/>
          <w:color w:val="000000" w:themeColor="text1"/>
          <w:sz w:val="16"/>
          <w:szCs w:val="16"/>
        </w:rPr>
      </w:pPr>
      <w:bookmarkStart w:id="15" w:name="bookmark137"/>
      <w:r w:rsidRPr="00640820">
        <w:rPr>
          <w:rStyle w:val="Bodytext9"/>
          <w:rFonts w:eastAsia="Calibri"/>
          <w:color w:val="000000" w:themeColor="text1"/>
          <w:sz w:val="16"/>
          <w:szCs w:val="16"/>
        </w:rPr>
        <w:t>Наркомсудпром (на 10.12.1941 г.)</w:t>
      </w:r>
      <w:bookmarkEnd w:id="15"/>
    </w:p>
    <w:p w14:paraId="6F231595" w14:textId="77777777" w:rsidR="00EB2FA8" w:rsidRPr="00640820" w:rsidRDefault="00EB2FA8"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Полностью закончили эвакуацию — завод № 252. Закончили более чем на 90% — 3 предприятия.</w:t>
      </w:r>
    </w:p>
    <w:p w14:paraId="2FFFF08A" w14:textId="77777777" w:rsidR="00EB2FA8" w:rsidRPr="00640820" w:rsidRDefault="00EB2FA8" w:rsidP="00640820">
      <w:pPr>
        <w:spacing w:after="0" w:line="240" w:lineRule="auto"/>
        <w:jc w:val="both"/>
        <w:rPr>
          <w:rFonts w:ascii="Times New Roman" w:hAnsi="Times New Roman"/>
          <w:color w:val="000000" w:themeColor="text1"/>
          <w:sz w:val="16"/>
          <w:szCs w:val="16"/>
        </w:rPr>
      </w:pPr>
      <w:bookmarkStart w:id="16" w:name="bookmark138"/>
      <w:r w:rsidRPr="00640820">
        <w:rPr>
          <w:rStyle w:val="Bodytext9"/>
          <w:rFonts w:eastAsia="Calibri"/>
          <w:color w:val="000000" w:themeColor="text1"/>
          <w:sz w:val="16"/>
          <w:szCs w:val="16"/>
        </w:rPr>
        <w:t>Наркомсредмаш (на 5.12.1941 г.)</w:t>
      </w:r>
      <w:bookmarkEnd w:id="16"/>
    </w:p>
    <w:p w14:paraId="08BB97E8" w14:textId="77777777" w:rsidR="00EB2FA8" w:rsidRPr="00640820" w:rsidRDefault="00EB2FA8"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Полностью закончили эвакуацию — завод «Рессора».</w:t>
      </w:r>
    </w:p>
    <w:p w14:paraId="1FBF547C" w14:textId="77777777" w:rsidR="00EB2FA8" w:rsidRPr="00640820" w:rsidRDefault="00EB2FA8"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Закончили от 50 до 90% — 5 предприятий (в т. ч. заводы ЗИС — на 67,9%, ГПЗ-1 — на 10,5%, ГПЗ-2 — на 79% и др.)</w:t>
      </w:r>
    </w:p>
    <w:p w14:paraId="0A18CB2D" w14:textId="77777777" w:rsidR="00EB2FA8" w:rsidRPr="00640820" w:rsidRDefault="00EB2FA8" w:rsidP="00640820">
      <w:pPr>
        <w:spacing w:after="0" w:line="240" w:lineRule="auto"/>
        <w:jc w:val="both"/>
        <w:rPr>
          <w:rFonts w:ascii="Times New Roman" w:hAnsi="Times New Roman"/>
          <w:color w:val="000000" w:themeColor="text1"/>
          <w:sz w:val="16"/>
          <w:szCs w:val="16"/>
        </w:rPr>
      </w:pPr>
      <w:bookmarkStart w:id="17" w:name="bookmark139"/>
      <w:r w:rsidRPr="00640820">
        <w:rPr>
          <w:rStyle w:val="Bodytext9"/>
          <w:rFonts w:eastAsia="Calibri"/>
          <w:color w:val="000000" w:themeColor="text1"/>
          <w:sz w:val="16"/>
          <w:szCs w:val="16"/>
        </w:rPr>
        <w:t>Наркомэлектропром (на 10.12.1941 г.)</w:t>
      </w:r>
      <w:bookmarkEnd w:id="17"/>
    </w:p>
    <w:p w14:paraId="743744AD" w14:textId="77777777" w:rsidR="00EB2FA8" w:rsidRPr="00640820" w:rsidRDefault="00EB2FA8"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Полностью закончили эвакуацию — 5 предприятий. Закончили более чем на 90% — 5 заводов.</w:t>
      </w:r>
    </w:p>
    <w:p w14:paraId="07529E0E" w14:textId="77777777" w:rsidR="00EB2FA8" w:rsidRPr="00640820" w:rsidRDefault="00EB2FA8" w:rsidP="00640820">
      <w:pPr>
        <w:spacing w:after="0" w:line="240" w:lineRule="auto"/>
        <w:jc w:val="both"/>
        <w:rPr>
          <w:rFonts w:ascii="Times New Roman" w:hAnsi="Times New Roman"/>
          <w:color w:val="000000" w:themeColor="text1"/>
          <w:sz w:val="16"/>
          <w:szCs w:val="16"/>
        </w:rPr>
      </w:pPr>
      <w:bookmarkStart w:id="18" w:name="bookmark140"/>
      <w:r w:rsidRPr="00640820">
        <w:rPr>
          <w:rStyle w:val="Bodytext9"/>
          <w:rFonts w:eastAsia="Calibri"/>
          <w:color w:val="000000" w:themeColor="text1"/>
          <w:sz w:val="16"/>
          <w:szCs w:val="16"/>
        </w:rPr>
        <w:t>Наркомнефть (на 1.12.1941 г.)</w:t>
      </w:r>
      <w:bookmarkEnd w:id="18"/>
    </w:p>
    <w:p w14:paraId="078646A5" w14:textId="77777777" w:rsidR="00EB2FA8" w:rsidRPr="00640820" w:rsidRDefault="00EB2FA8"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Полностью закончили эвакуацию — завод № 8.</w:t>
      </w:r>
    </w:p>
    <w:p w14:paraId="4550ED53" w14:textId="77777777" w:rsidR="00EB2FA8" w:rsidRPr="00640820" w:rsidRDefault="00EB2FA8" w:rsidP="00640820">
      <w:pPr>
        <w:spacing w:after="0" w:line="240" w:lineRule="auto"/>
        <w:jc w:val="both"/>
        <w:rPr>
          <w:rFonts w:ascii="Times New Roman" w:hAnsi="Times New Roman"/>
          <w:color w:val="000000" w:themeColor="text1"/>
          <w:sz w:val="16"/>
          <w:szCs w:val="16"/>
        </w:rPr>
      </w:pPr>
      <w:bookmarkStart w:id="19" w:name="bookmark141"/>
      <w:r w:rsidRPr="00640820">
        <w:rPr>
          <w:rStyle w:val="Bodytext9"/>
          <w:rFonts w:eastAsia="Calibri"/>
          <w:color w:val="000000" w:themeColor="text1"/>
          <w:sz w:val="16"/>
          <w:szCs w:val="16"/>
        </w:rPr>
        <w:t>Наркохимпром (на 10.12.1941 г.)</w:t>
      </w:r>
      <w:bookmarkEnd w:id="19"/>
    </w:p>
    <w:p w14:paraId="4CAD6AA2" w14:textId="77777777" w:rsidR="00EB2FA8" w:rsidRPr="00640820" w:rsidRDefault="00EB2FA8"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Полностью закончили эвакуацию — 2 предприятия.</w:t>
      </w:r>
    </w:p>
    <w:p w14:paraId="33E0AEC1" w14:textId="77777777" w:rsidR="00EB2FA8" w:rsidRPr="00640820" w:rsidRDefault="00EB2FA8" w:rsidP="00640820">
      <w:pPr>
        <w:spacing w:after="0" w:line="240" w:lineRule="auto"/>
        <w:jc w:val="both"/>
        <w:rPr>
          <w:rFonts w:ascii="Times New Roman" w:hAnsi="Times New Roman"/>
          <w:color w:val="000000" w:themeColor="text1"/>
          <w:sz w:val="16"/>
          <w:szCs w:val="16"/>
        </w:rPr>
      </w:pPr>
      <w:bookmarkStart w:id="20" w:name="bookmark142"/>
      <w:r w:rsidRPr="00640820">
        <w:rPr>
          <w:rStyle w:val="Bodytext9"/>
          <w:rFonts w:eastAsia="Calibri"/>
          <w:color w:val="000000" w:themeColor="text1"/>
          <w:sz w:val="16"/>
          <w:szCs w:val="16"/>
        </w:rPr>
        <w:t>Наркомцветмет (на 21.11.1941 г.)</w:t>
      </w:r>
      <w:bookmarkEnd w:id="20"/>
    </w:p>
    <w:p w14:paraId="4D9CFD27" w14:textId="77777777" w:rsidR="00EB2FA8" w:rsidRPr="00640820" w:rsidRDefault="00EB2FA8"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Полностью закончили эвакуацию — 10 предприятий.</w:t>
      </w:r>
    </w:p>
    <w:p w14:paraId="1AA88F3F" w14:textId="77777777" w:rsidR="00EB2FA8" w:rsidRPr="00640820" w:rsidRDefault="00EB2FA8" w:rsidP="00640820">
      <w:pPr>
        <w:spacing w:after="0" w:line="240" w:lineRule="auto"/>
        <w:jc w:val="both"/>
        <w:rPr>
          <w:rFonts w:ascii="Times New Roman" w:hAnsi="Times New Roman"/>
          <w:color w:val="000000" w:themeColor="text1"/>
          <w:sz w:val="16"/>
          <w:szCs w:val="16"/>
        </w:rPr>
      </w:pPr>
      <w:bookmarkStart w:id="21" w:name="bookmark143"/>
      <w:r w:rsidRPr="00640820">
        <w:rPr>
          <w:rStyle w:val="Bodytext9"/>
          <w:rFonts w:eastAsia="Calibri"/>
          <w:color w:val="000000" w:themeColor="text1"/>
          <w:sz w:val="16"/>
          <w:szCs w:val="16"/>
        </w:rPr>
        <w:t>Наркомлегпром (на 5.12.1941 г.)</w:t>
      </w:r>
      <w:bookmarkEnd w:id="21"/>
    </w:p>
    <w:p w14:paraId="4F8C21B4" w14:textId="77777777" w:rsidR="00EB2FA8" w:rsidRPr="00640820" w:rsidRDefault="00EB2FA8"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Полностью закончили эвакуацию — 15 предприятий.</w:t>
      </w:r>
    </w:p>
    <w:p w14:paraId="4DF5CA9C" w14:textId="77777777" w:rsidR="00EB2FA8" w:rsidRPr="00640820" w:rsidRDefault="00EB2FA8"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Закончили более чем на 90% — з-д «Моспласткож».</w:t>
      </w:r>
    </w:p>
    <w:p w14:paraId="696AA2CD" w14:textId="77777777" w:rsidR="00EB2FA8" w:rsidRPr="00640820" w:rsidRDefault="00EB2FA8" w:rsidP="00640820">
      <w:pPr>
        <w:spacing w:after="0" w:line="240" w:lineRule="auto"/>
        <w:jc w:val="both"/>
        <w:rPr>
          <w:rFonts w:ascii="Times New Roman" w:hAnsi="Times New Roman"/>
          <w:color w:val="000000" w:themeColor="text1"/>
          <w:sz w:val="16"/>
          <w:szCs w:val="16"/>
        </w:rPr>
      </w:pPr>
      <w:bookmarkStart w:id="22" w:name="bookmark144"/>
      <w:r w:rsidRPr="00640820">
        <w:rPr>
          <w:rStyle w:val="Bodytext9"/>
          <w:rFonts w:eastAsia="Calibri"/>
          <w:color w:val="000000" w:themeColor="text1"/>
          <w:sz w:val="16"/>
          <w:szCs w:val="16"/>
        </w:rPr>
        <w:t>Наркомтекстильпром (на 5.12.1941 г.)</w:t>
      </w:r>
      <w:bookmarkEnd w:id="22"/>
    </w:p>
    <w:p w14:paraId="3AF49466" w14:textId="77777777" w:rsidR="00EB2FA8" w:rsidRPr="00640820" w:rsidRDefault="00EB2FA8"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Полностью закончили эвакуацию — 6 предприятий.</w:t>
      </w:r>
    </w:p>
    <w:p w14:paraId="53EDE58B" w14:textId="77777777" w:rsidR="00EB2FA8" w:rsidRPr="00640820" w:rsidRDefault="00EB2FA8"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Закончили эвакуации более чем на 90% — 4 предприятия.</w:t>
      </w:r>
    </w:p>
    <w:p w14:paraId="688BF330" w14:textId="77777777" w:rsidR="00EB2FA8" w:rsidRPr="00640820" w:rsidRDefault="00EB2FA8" w:rsidP="00640820">
      <w:pPr>
        <w:spacing w:after="0" w:line="240" w:lineRule="auto"/>
        <w:jc w:val="both"/>
        <w:rPr>
          <w:rFonts w:ascii="Times New Roman" w:hAnsi="Times New Roman"/>
          <w:color w:val="000000" w:themeColor="text1"/>
          <w:sz w:val="16"/>
          <w:szCs w:val="16"/>
        </w:rPr>
      </w:pPr>
      <w:bookmarkStart w:id="23" w:name="bookmark145"/>
      <w:r w:rsidRPr="00640820">
        <w:rPr>
          <w:rStyle w:val="Bodytext9"/>
          <w:rFonts w:eastAsia="Calibri"/>
          <w:color w:val="000000" w:themeColor="text1"/>
          <w:sz w:val="16"/>
          <w:szCs w:val="16"/>
        </w:rPr>
        <w:t>Наркомздрав (на 5.12.1941 г.)</w:t>
      </w:r>
      <w:bookmarkEnd w:id="23"/>
    </w:p>
    <w:p w14:paraId="5BFD75A4" w14:textId="77777777" w:rsidR="00EB2FA8" w:rsidRPr="00640820" w:rsidRDefault="00EB2FA8"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Полностью закончили эвакуацию — 5 предприятий.</w:t>
      </w:r>
    </w:p>
    <w:p w14:paraId="2597026D" w14:textId="77777777" w:rsidR="00EB2FA8" w:rsidRPr="00640820" w:rsidRDefault="00EB2FA8"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Таким образом, к 12 декабря 1941 г. полностью эвакуировано по 14 наркоматам из Мо</w:t>
      </w:r>
      <w:r w:rsidRPr="00640820">
        <w:rPr>
          <w:rStyle w:val="16"/>
          <w:rFonts w:ascii="Times New Roman" w:cs="Times New Roman"/>
          <w:color w:val="000000" w:themeColor="text1"/>
          <w:spacing w:val="0"/>
          <w:u w:val="none"/>
        </w:rPr>
        <w:softHyphen/>
        <w:t>сквы и Московской обл. — 101 предприятие, а на более чем 90% завершили эвакуацию — 41 предприятие (15123).</w:t>
      </w:r>
    </w:p>
    <w:p w14:paraId="2D44CE04" w14:textId="77777777" w:rsidR="00EB2FA8" w:rsidRPr="00640820" w:rsidRDefault="00EB2FA8" w:rsidP="00640820">
      <w:pPr>
        <w:spacing w:after="0" w:line="240" w:lineRule="auto"/>
        <w:jc w:val="both"/>
        <w:rPr>
          <w:rStyle w:val="Heading22"/>
          <w:rFonts w:eastAsia="Calibri"/>
          <w:color w:val="000000" w:themeColor="text1"/>
          <w:sz w:val="16"/>
          <w:szCs w:val="16"/>
        </w:rPr>
      </w:pPr>
      <w:bookmarkStart w:id="24" w:name="bookmark149"/>
    </w:p>
    <w:p w14:paraId="43A02EB1" w14:textId="77777777" w:rsidR="00EB2FA8" w:rsidRPr="00640820" w:rsidRDefault="00EB2FA8" w:rsidP="00640820">
      <w:pPr>
        <w:spacing w:after="0" w:line="240" w:lineRule="auto"/>
        <w:jc w:val="both"/>
        <w:rPr>
          <w:rStyle w:val="Bodytext9"/>
          <w:rFonts w:eastAsia="Calibri"/>
          <w:color w:val="000000" w:themeColor="text1"/>
          <w:sz w:val="16"/>
          <w:szCs w:val="16"/>
        </w:rPr>
      </w:pPr>
      <w:r w:rsidRPr="00640820">
        <w:rPr>
          <w:rStyle w:val="Heading22"/>
          <w:rFonts w:eastAsia="Calibri"/>
          <w:color w:val="000000" w:themeColor="text1"/>
          <w:sz w:val="16"/>
          <w:szCs w:val="16"/>
        </w:rPr>
        <w:t>10 декабря 1941 г. из справки об эвакуации предприятий г. Москвы и Московской области на 10 декабря 1941 г.</w:t>
      </w:r>
    </w:p>
    <w:p w14:paraId="732C21D3" w14:textId="77777777" w:rsidR="00EB2FA8" w:rsidRPr="00640820" w:rsidRDefault="00EB2FA8" w:rsidP="00640820">
      <w:pPr>
        <w:spacing w:after="0" w:line="240" w:lineRule="auto"/>
        <w:jc w:val="both"/>
        <w:rPr>
          <w:rFonts w:ascii="Times New Roman" w:hAnsi="Times New Roman"/>
          <w:color w:val="000000" w:themeColor="text1"/>
          <w:sz w:val="16"/>
          <w:szCs w:val="16"/>
        </w:rPr>
      </w:pPr>
      <w:r w:rsidRPr="00640820">
        <w:rPr>
          <w:rStyle w:val="Bodytext9"/>
          <w:rFonts w:eastAsia="Calibri"/>
          <w:color w:val="000000" w:themeColor="text1"/>
          <w:sz w:val="16"/>
          <w:szCs w:val="16"/>
        </w:rPr>
        <w:t>Размеры проведенной эвакуации</w:t>
      </w:r>
      <w:bookmarkEnd w:id="24"/>
    </w:p>
    <w:p w14:paraId="7F1AA092" w14:textId="77777777" w:rsidR="00EB2FA8" w:rsidRPr="00640820" w:rsidRDefault="00EB2FA8"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Эвакуируемые предприятия г. Москвы и [Московской] области с начала эвакуации по 10 декабря с. г. отгрузили 100,3 тыс. вагонов, из них с оборудованием — 43,6 тыс., с матери</w:t>
      </w:r>
      <w:r w:rsidRPr="00640820">
        <w:rPr>
          <w:rStyle w:val="16"/>
          <w:rFonts w:ascii="Times New Roman" w:cs="Times New Roman"/>
          <w:color w:val="000000" w:themeColor="text1"/>
          <w:spacing w:val="0"/>
          <w:u w:val="none"/>
        </w:rPr>
        <w:softHyphen/>
        <w:t>алами — 26,7 тыс., с людьми — 18,1 тыс. вагонов.</w:t>
      </w:r>
    </w:p>
    <w:p w14:paraId="3B8F0A3C" w14:textId="77777777" w:rsidR="00EB2FA8" w:rsidRPr="00640820" w:rsidRDefault="00EB2FA8"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Для окончания эвакуации требовалось еще отгрузить 42,9 тыс. вагонов (в т. ч. 9,8 тыс. — с оборудованием, 19,3 тыс. — с материалами, 3 тыс. — с людьми).</w:t>
      </w:r>
    </w:p>
    <w:p w14:paraId="798869BF" w14:textId="77777777" w:rsidR="00EB2FA8" w:rsidRPr="00640820" w:rsidRDefault="00EB2FA8"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lastRenderedPageBreak/>
        <w:t>Всего же подлежало отгрузке (т. е. требовалось для прямой эвакуации) 143,2 тыс. вагонов (в т. ч. 53,5 тыс. — для оборудования], 46 тыс. — для материалов, 26,1 тыс. — для эвак[уации] людей).</w:t>
      </w:r>
    </w:p>
    <w:p w14:paraId="014DCF4F" w14:textId="77777777" w:rsidR="00EB2FA8" w:rsidRPr="00640820" w:rsidRDefault="00EB2FA8"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Таким образом, намеченный наркоматами объем эвакуации был выполнен на 70,1% (в т. ч. по оборудованию — на 81,6%, по мат[ериа]лам — на 58,1% и по эвакуации людей — на 85,1%). Все это свидетельствует, что в первую очередь эвакуировалось оборудование] и люди, а затем мат[ериа]лы, причем цветные металлы, качественные стали и кабель эвакуировались также в первую очередь.</w:t>
      </w:r>
    </w:p>
    <w:p w14:paraId="2116B430" w14:textId="77777777" w:rsidR="00EB2FA8" w:rsidRPr="00640820" w:rsidRDefault="00EB2FA8"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Часть наркоматов почти полностью отгрузили намеченное количество вагонов: Нарком- авиапром отгрузил 94,7%, Наркомцветмет — 93,8%, Наркомсвязь — 98,6% и т. д. Другие наркоматы эвакуировали свои предприятия менее чем наполовину: Наркомтяжмаш — на 37,3%, Наркомхимпром — на 43,2%, Наркомстройматериалов — на 26,5%, Наркомлегпром — на 33,8%.</w:t>
      </w:r>
    </w:p>
    <w:p w14:paraId="7F0B4889" w14:textId="77777777" w:rsidR="00EB2FA8" w:rsidRPr="00640820" w:rsidRDefault="00EB2FA8"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 .Из числа 441 эвакуированного] предприятия намеченное кол[ичест]во вагонов полно</w:t>
      </w:r>
      <w:r w:rsidRPr="00640820">
        <w:rPr>
          <w:rStyle w:val="16"/>
          <w:rFonts w:ascii="Times New Roman" w:cs="Times New Roman"/>
          <w:color w:val="000000" w:themeColor="text1"/>
          <w:spacing w:val="0"/>
          <w:u w:val="none"/>
        </w:rPr>
        <w:softHyphen/>
        <w:t>стью отгрузили — 96 предприятий, 39 предприятий отгрузили от 90 до 100% вагонов, 27 пред</w:t>
      </w:r>
      <w:r w:rsidRPr="00640820">
        <w:rPr>
          <w:rStyle w:val="16"/>
          <w:rFonts w:ascii="Times New Roman" w:cs="Times New Roman"/>
          <w:color w:val="000000" w:themeColor="text1"/>
          <w:spacing w:val="0"/>
          <w:u w:val="none"/>
        </w:rPr>
        <w:softHyphen/>
        <w:t>приятий — от 80 до 90%, 92 предприятия — от 50 до 80%, 127 предприятий — не более 50% и 44 предприятия к отгрузке оборудования, материалов и эвакуации людей не приступили.</w:t>
      </w:r>
    </w:p>
    <w:p w14:paraId="6EEAB6D3" w14:textId="77777777" w:rsidR="00EB2FA8" w:rsidRPr="00640820" w:rsidRDefault="00EB2FA8" w:rsidP="00640820">
      <w:pPr>
        <w:pStyle w:val="621"/>
        <w:shd w:val="clear" w:color="auto" w:fill="auto"/>
        <w:spacing w:before="0" w:line="240" w:lineRule="auto"/>
        <w:rPr>
          <w:rStyle w:val="16"/>
          <w:rFonts w:ascii="Times New Roman" w:cs="Times New Roman"/>
          <w:color w:val="000000" w:themeColor="text1"/>
          <w:spacing w:val="0"/>
          <w:u w:val="none"/>
        </w:rPr>
      </w:pPr>
      <w:r w:rsidRPr="00640820">
        <w:rPr>
          <w:rStyle w:val="16"/>
          <w:rFonts w:ascii="Times New Roman" w:cs="Times New Roman"/>
          <w:color w:val="000000" w:themeColor="text1"/>
          <w:spacing w:val="0"/>
          <w:u w:val="none"/>
        </w:rPr>
        <w:t>.По отдельным наркоматам значительное число предприятий эвакуацию закончили. Например, по Наркомавиапрому из 54 предприятий 37 полностью закончили эвакуацию и 12 предприятий — более чем на 90%, по Наркомвооружению 8 предприятий из 19 закончили эвакуацию.</w:t>
      </w:r>
    </w:p>
    <w:p w14:paraId="3D74B969" w14:textId="77777777" w:rsidR="00EB2FA8" w:rsidRPr="00640820" w:rsidRDefault="00EB2FA8"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Есть наркоматы, по которым значительное число предприятий не закончили эвакуацию. Так, например, по Наркомбоеприпасов из 21 предприятия эвакуацию полностью закончили 2 предприятия и 4 — более чем на 90%, по Наркомтанкопрому из 28 предприятий закончило эвакуацию только одно предприятие и 2 предприятия — более чем на 90%, по Наркомтяж- машу из 8 предприятий ни одно не закончило эвакуацию, 6 предприятий отгрузили менее половины и 2 предприятия от 50 до 80% намеченного числа вагонов. По Наркомлегпрому из 61 предприятия закончили эвакуацию лишь 15 предприятий, 14 предприятий отгрузку и не начинали...</w:t>
      </w:r>
    </w:p>
    <w:p w14:paraId="41F9B541" w14:textId="77777777" w:rsidR="00EB2FA8" w:rsidRPr="00640820" w:rsidRDefault="00EB2FA8" w:rsidP="00640820">
      <w:pPr>
        <w:spacing w:after="0" w:line="240" w:lineRule="auto"/>
        <w:jc w:val="both"/>
        <w:rPr>
          <w:rFonts w:ascii="Times New Roman" w:hAnsi="Times New Roman"/>
          <w:color w:val="000000" w:themeColor="text1"/>
          <w:sz w:val="16"/>
          <w:szCs w:val="16"/>
        </w:rPr>
      </w:pPr>
      <w:bookmarkStart w:id="25" w:name="bookmark150"/>
      <w:r w:rsidRPr="00640820">
        <w:rPr>
          <w:rStyle w:val="Bodytext9"/>
          <w:rFonts w:eastAsia="Calibri"/>
          <w:color w:val="000000" w:themeColor="text1"/>
          <w:sz w:val="16"/>
          <w:szCs w:val="16"/>
        </w:rPr>
        <w:t>Эвакуация людей</w:t>
      </w:r>
      <w:bookmarkEnd w:id="25"/>
    </w:p>
    <w:p w14:paraId="23AB5CBA" w14:textId="77777777" w:rsidR="00EB2FA8" w:rsidRPr="00640820" w:rsidRDefault="00EB2FA8"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С начала эвакуации и по 10 декабря предприятиями и наркоматами было эвакуировано 564,2 тыс. работников с членами семей, в том числе работников — 254,7 тыс. человек.</w:t>
      </w:r>
    </w:p>
    <w:p w14:paraId="00110472" w14:textId="77777777" w:rsidR="00EB2FA8" w:rsidRPr="00640820" w:rsidRDefault="00EB2FA8"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По Наркомавиапрому было эвакуировано 277,5 тыс. человек, в том числе 119,8 тыс. работников, по Наркомбоеприпасов — эвакуировано 19,6 тыс. работников, по Наркомво- оружению — 40,4 тыс. работников и т. д.</w:t>
      </w:r>
    </w:p>
    <w:p w14:paraId="27E437B9" w14:textId="77777777" w:rsidR="00EB2FA8" w:rsidRPr="00640820" w:rsidRDefault="00EB2FA8"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Для окончания эвакуации требовалось еще вывезти 101,4 тыс. человек, в том числе тыс. работников.</w:t>
      </w:r>
    </w:p>
    <w:p w14:paraId="793A716C" w14:textId="77777777" w:rsidR="00EB2FA8" w:rsidRPr="00640820" w:rsidRDefault="00EB2FA8" w:rsidP="00640820">
      <w:pPr>
        <w:spacing w:after="0" w:line="240" w:lineRule="auto"/>
        <w:jc w:val="both"/>
        <w:rPr>
          <w:rFonts w:ascii="Times New Roman" w:hAnsi="Times New Roman"/>
          <w:color w:val="000000" w:themeColor="text1"/>
          <w:sz w:val="16"/>
          <w:szCs w:val="16"/>
        </w:rPr>
      </w:pPr>
      <w:bookmarkStart w:id="26" w:name="bookmark151"/>
      <w:r w:rsidRPr="00640820">
        <w:rPr>
          <w:rStyle w:val="Bodytext9"/>
          <w:rFonts w:eastAsia="Calibri"/>
          <w:color w:val="000000" w:themeColor="text1"/>
          <w:sz w:val="16"/>
          <w:szCs w:val="16"/>
        </w:rPr>
        <w:t>Эвакуация оборудования</w:t>
      </w:r>
      <w:bookmarkEnd w:id="26"/>
    </w:p>
    <w:p w14:paraId="521E3312" w14:textId="77777777" w:rsidR="00EB2FA8" w:rsidRPr="00640820" w:rsidRDefault="00EB2FA8"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С оборудованием было эвакуировано 43,6 тыс. вагонов, или 81,6% от намеченного по пла</w:t>
      </w:r>
      <w:r w:rsidRPr="00640820">
        <w:rPr>
          <w:rStyle w:val="16"/>
          <w:rFonts w:ascii="Times New Roman" w:cs="Times New Roman"/>
          <w:color w:val="000000" w:themeColor="text1"/>
          <w:spacing w:val="0"/>
          <w:u w:val="none"/>
        </w:rPr>
        <w:softHyphen/>
        <w:t>ну. При этом Наркомавиапром отгрузил 99,6%, т. е. почти закончил эвакуацию оборудования, Наркомвооружения отгрузил 94,6%, Наркомтанкопром — 92,3%, Наркомсудпром — 90,1% и т. д. Другие наркоматы произвели вывоз оборудования в меньшей степени: Наркомтяж- маш — 56%, Накомэлектростанции — 56,1%, Наркомхимпром — 51,8%, Наркомлегпром — 39,6% и т. д.</w:t>
      </w:r>
    </w:p>
    <w:p w14:paraId="6B9A16AC" w14:textId="77777777" w:rsidR="00EB2FA8" w:rsidRPr="00640820" w:rsidRDefault="00EB2FA8"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Основное место среди эвакооборудования занимает металлообрабатывающее обору</w:t>
      </w:r>
      <w:r w:rsidRPr="00640820">
        <w:rPr>
          <w:rStyle w:val="16"/>
          <w:rFonts w:ascii="Times New Roman" w:cs="Times New Roman"/>
          <w:color w:val="000000" w:themeColor="text1"/>
          <w:spacing w:val="0"/>
          <w:u w:val="none"/>
        </w:rPr>
        <w:softHyphen/>
        <w:t>дование оборонной промышленности и машиностроения. С оборудованием предприятий оборонной промышленности было отгружено 28,6% тыс. вагонов, или 65,5% общего числа вагонов с оборудованием.</w:t>
      </w:r>
    </w:p>
    <w:p w14:paraId="1164BC39" w14:textId="77777777" w:rsidR="00EB2FA8" w:rsidRPr="00640820" w:rsidRDefault="00EB2FA8"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По 9 наркоматам оборонной промышленности и машиностроения с начала эвакуации по 10 декабря было отгружено 112,8 тыс. ед. оборудования, в т. ч. 85 тыс. металлорежущих станков и около 5 тыс. ед. кузнечнопрессового оборудования.</w:t>
      </w:r>
    </w:p>
    <w:p w14:paraId="6095945F" w14:textId="77777777" w:rsidR="00EB2FA8" w:rsidRPr="00640820" w:rsidRDefault="00EB2FA8"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Предприятиями Наркомавиапрома было эвакуировано 26,7 тыс. ед. оборудования], Наркомвооружения — 24,4 тыс., Наркомсредмаша — 17,1 тыс. ед. оборудования]. Остались неотгруженными на 10/</w:t>
      </w:r>
      <w:r w:rsidRPr="00640820">
        <w:rPr>
          <w:rStyle w:val="16"/>
          <w:rFonts w:ascii="Times New Roman" w:cs="Times New Roman"/>
          <w:color w:val="000000" w:themeColor="text1"/>
          <w:spacing w:val="0"/>
          <w:u w:val="none"/>
          <w:lang w:val="en-US"/>
        </w:rPr>
        <w:t>XII</w:t>
      </w:r>
      <w:r w:rsidRPr="00640820">
        <w:rPr>
          <w:rStyle w:val="16"/>
          <w:rFonts w:ascii="Times New Roman" w:cs="Times New Roman"/>
          <w:color w:val="000000" w:themeColor="text1"/>
          <w:spacing w:val="0"/>
          <w:u w:val="none"/>
        </w:rPr>
        <w:t>-1941 г. около 13 тыс. оборудования.</w:t>
      </w:r>
    </w:p>
    <w:p w14:paraId="6569ED28" w14:textId="77777777" w:rsidR="00EB2FA8" w:rsidRPr="00640820" w:rsidRDefault="00EB2FA8"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По предприятиям Наркомтекстиля было отгружено 419,3 тыс. прядильных веретен, 54,4 тыс. крутильных веретен, 6,379 ткацких станков, шерстяной промышленности — 59,9 тыс. прядильных веретен, 1596 ткацких станков и т. д.</w:t>
      </w:r>
    </w:p>
    <w:p w14:paraId="2BBBFFE8" w14:textId="77777777" w:rsidR="00EB2FA8" w:rsidRPr="00640820" w:rsidRDefault="00EB2FA8" w:rsidP="00640820">
      <w:pPr>
        <w:spacing w:after="0" w:line="240" w:lineRule="auto"/>
        <w:jc w:val="both"/>
        <w:rPr>
          <w:rFonts w:ascii="Times New Roman" w:hAnsi="Times New Roman"/>
          <w:color w:val="000000" w:themeColor="text1"/>
          <w:sz w:val="16"/>
          <w:szCs w:val="16"/>
        </w:rPr>
      </w:pPr>
      <w:bookmarkStart w:id="27" w:name="bookmark152"/>
      <w:r w:rsidRPr="00640820">
        <w:rPr>
          <w:rStyle w:val="Bodytext9"/>
          <w:rFonts w:eastAsia="Calibri"/>
          <w:color w:val="000000" w:themeColor="text1"/>
          <w:sz w:val="16"/>
          <w:szCs w:val="16"/>
        </w:rPr>
        <w:t>Эвакуация сырья и материалов</w:t>
      </w:r>
      <w:bookmarkEnd w:id="27"/>
    </w:p>
    <w:p w14:paraId="66554218" w14:textId="77777777" w:rsidR="00EB2FA8" w:rsidRPr="00640820" w:rsidRDefault="00EB2FA8"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Главное внимание уделялось вывозу цветных металлов, спецсталей и кабельных изделий.</w:t>
      </w:r>
    </w:p>
    <w:p w14:paraId="6FD57240" w14:textId="77777777" w:rsidR="00EB2FA8" w:rsidRPr="00640820" w:rsidRDefault="00EB2FA8"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На 10/</w:t>
      </w:r>
      <w:r w:rsidRPr="00640820">
        <w:rPr>
          <w:rStyle w:val="16"/>
          <w:rFonts w:ascii="Times New Roman" w:cs="Times New Roman"/>
          <w:color w:val="000000" w:themeColor="text1"/>
          <w:spacing w:val="0"/>
          <w:u w:val="none"/>
          <w:lang w:val="en-US"/>
        </w:rPr>
        <w:t>XII</w:t>
      </w:r>
      <w:r w:rsidRPr="00640820">
        <w:rPr>
          <w:rStyle w:val="16"/>
          <w:rFonts w:ascii="Times New Roman" w:cs="Times New Roman"/>
          <w:color w:val="000000" w:themeColor="text1"/>
          <w:spacing w:val="0"/>
          <w:u w:val="none"/>
        </w:rPr>
        <w:t>-1941 г. было отгружено около 113 тыс. тонн цветных металлов, осталось не отгружено 3,9 тыс. тонн цветных металлов.</w:t>
      </w:r>
    </w:p>
    <w:p w14:paraId="6A8CF1CA" w14:textId="77777777" w:rsidR="00EB2FA8" w:rsidRPr="00640820" w:rsidRDefault="00EB2FA8"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Спецсталей было отгружено 27,0 тыс. тонн, осталось не отгружено 2,6 тыс. тонн.</w:t>
      </w:r>
    </w:p>
    <w:p w14:paraId="3C24CBFE" w14:textId="77777777" w:rsidR="00EB2FA8" w:rsidRPr="00640820" w:rsidRDefault="00EB2FA8"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Кабельных изделий отгружено 1504,8 тонн и 205,6 км, остались не отгруженными 4111,1 тонн и 13,7 км.</w:t>
      </w:r>
    </w:p>
    <w:p w14:paraId="6AB2A18B" w14:textId="77777777" w:rsidR="00EB2FA8" w:rsidRPr="00640820" w:rsidRDefault="00EB2FA8"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Всего эвакуация сырья и материалов заняла 26,7 тыс. вагонов, но осталось неотгружен</w:t>
      </w:r>
      <w:r w:rsidRPr="00640820">
        <w:rPr>
          <w:rStyle w:val="16"/>
          <w:rFonts w:ascii="Times New Roman" w:cs="Times New Roman"/>
          <w:color w:val="000000" w:themeColor="text1"/>
          <w:spacing w:val="0"/>
          <w:u w:val="none"/>
        </w:rPr>
        <w:softHyphen/>
        <w:t>ными еще 19,3 тыс. вагонов.</w:t>
      </w:r>
    </w:p>
    <w:p w14:paraId="61EC3C44" w14:textId="77777777" w:rsidR="00EB2FA8" w:rsidRPr="00640820" w:rsidRDefault="00EB2FA8" w:rsidP="00640820">
      <w:pPr>
        <w:spacing w:after="0" w:line="240" w:lineRule="auto"/>
        <w:jc w:val="both"/>
        <w:rPr>
          <w:rFonts w:ascii="Times New Roman" w:hAnsi="Times New Roman"/>
          <w:color w:val="000000" w:themeColor="text1"/>
          <w:sz w:val="16"/>
          <w:szCs w:val="16"/>
        </w:rPr>
      </w:pPr>
      <w:bookmarkStart w:id="28" w:name="bookmark153"/>
      <w:r w:rsidRPr="00640820">
        <w:rPr>
          <w:rStyle w:val="Bodytext9"/>
          <w:rFonts w:eastAsia="Calibri"/>
          <w:color w:val="000000" w:themeColor="text1"/>
          <w:sz w:val="16"/>
          <w:szCs w:val="16"/>
        </w:rPr>
        <w:t>Характеристика данного отчетного материала</w:t>
      </w:r>
      <w:bookmarkEnd w:id="28"/>
    </w:p>
    <w:p w14:paraId="3ED0F6B0" w14:textId="77777777" w:rsidR="00EB2FA8" w:rsidRPr="00640820" w:rsidRDefault="00EB2FA8"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Итоги проведенной эвакуации из Москвы и области были составлены на основе пя</w:t>
      </w:r>
      <w:r w:rsidRPr="00640820">
        <w:rPr>
          <w:rStyle w:val="16"/>
          <w:rFonts w:ascii="Times New Roman" w:cs="Times New Roman"/>
          <w:color w:val="000000" w:themeColor="text1"/>
          <w:spacing w:val="0"/>
          <w:u w:val="none"/>
        </w:rPr>
        <w:softHyphen/>
        <w:t>тидневных отчетов наркоматов. Т. к. единая форма отчетности не была утверждена, а был установлен только перечень показателей, наркоматы представляли отчеты по самым раз</w:t>
      </w:r>
      <w:r w:rsidRPr="00640820">
        <w:rPr>
          <w:rStyle w:val="16"/>
          <w:rFonts w:ascii="Times New Roman" w:cs="Times New Roman"/>
          <w:color w:val="000000" w:themeColor="text1"/>
          <w:spacing w:val="0"/>
          <w:u w:val="none"/>
        </w:rPr>
        <w:softHyphen/>
        <w:t>нообразным формам, понимая круг и содержание показателей по-разному. Некоторые НК, например НКавиапром, вовсе не указывали в отчетах числа отгруженных вагонов, давая сведения только о количестве отгруженных станков и количестве тонн отгруженных метал</w:t>
      </w:r>
      <w:r w:rsidRPr="00640820">
        <w:rPr>
          <w:rStyle w:val="16"/>
          <w:rFonts w:ascii="Times New Roman" w:cs="Times New Roman"/>
          <w:color w:val="000000" w:themeColor="text1"/>
          <w:spacing w:val="0"/>
          <w:u w:val="none"/>
        </w:rPr>
        <w:softHyphen/>
        <w:t>лов. Не всегда давалась разбивка станков по их видам, о числе эвакуированных людей не всегда соблюдалось, сколько из них было работников и т. п. Приходилось брать среднюю величину при общих подсчетах.</w:t>
      </w:r>
    </w:p>
    <w:p w14:paraId="71948CAF" w14:textId="77777777" w:rsidR="00EB2FA8" w:rsidRPr="00640820" w:rsidRDefault="00EB2FA8" w:rsidP="00640820">
      <w:pPr>
        <w:pStyle w:val="621"/>
        <w:shd w:val="clear" w:color="auto" w:fill="auto"/>
        <w:spacing w:before="0" w:line="240" w:lineRule="auto"/>
        <w:rPr>
          <w:color w:val="000000" w:themeColor="text1"/>
          <w:sz w:val="16"/>
          <w:szCs w:val="16"/>
        </w:rPr>
      </w:pPr>
      <w:r w:rsidRPr="00640820">
        <w:rPr>
          <w:rStyle w:val="16"/>
          <w:rFonts w:ascii="Times New Roman" w:cs="Times New Roman"/>
          <w:color w:val="000000" w:themeColor="text1"/>
          <w:spacing w:val="0"/>
          <w:u w:val="none"/>
        </w:rPr>
        <w:t>В целом данные об эвакуации не преувеличены, а наоборот, несколько преуменьшены. Данные итоги можно считать достаточно полными и достаточно точно отражающими раз</w:t>
      </w:r>
      <w:r w:rsidRPr="00640820">
        <w:rPr>
          <w:rStyle w:val="16"/>
          <w:rFonts w:ascii="Times New Roman" w:cs="Times New Roman"/>
          <w:color w:val="000000" w:themeColor="text1"/>
          <w:spacing w:val="0"/>
          <w:u w:val="none"/>
        </w:rPr>
        <w:softHyphen/>
        <w:t>меры произведенной эвакуации из Москвы и области.</w:t>
      </w:r>
    </w:p>
    <w:p w14:paraId="6AE6121A" w14:textId="77777777" w:rsidR="00EB2FA8" w:rsidRPr="00640820" w:rsidRDefault="00EB2FA8" w:rsidP="00640820">
      <w:pPr>
        <w:pStyle w:val="621"/>
        <w:shd w:val="clear" w:color="auto" w:fill="auto"/>
        <w:spacing w:before="0" w:line="240" w:lineRule="auto"/>
        <w:rPr>
          <w:rStyle w:val="16"/>
          <w:rFonts w:ascii="Times New Roman" w:cs="Times New Roman"/>
          <w:color w:val="000000" w:themeColor="text1"/>
          <w:spacing w:val="0"/>
          <w:u w:val="none"/>
        </w:rPr>
      </w:pPr>
      <w:r w:rsidRPr="00640820">
        <w:rPr>
          <w:rStyle w:val="Heading22"/>
          <w:color w:val="000000" w:themeColor="text1"/>
          <w:sz w:val="16"/>
          <w:szCs w:val="16"/>
        </w:rPr>
        <w:t>В середине ноября 1941 Справка о месте размещения наркоматов после их эвакуации из Москвы (15123).</w:t>
      </w:r>
    </w:p>
    <w:p w14:paraId="17516B74" w14:textId="77777777" w:rsidR="00EB2FA8" w:rsidRPr="00640820" w:rsidRDefault="00EB2FA8" w:rsidP="00640820">
      <w:pPr>
        <w:pStyle w:val="621"/>
        <w:shd w:val="clear" w:color="auto" w:fill="auto"/>
        <w:spacing w:before="0" w:line="240" w:lineRule="auto"/>
        <w:rPr>
          <w:rStyle w:val="16"/>
          <w:rFonts w:ascii="Times New Roman" w:cs="Times New Roman"/>
          <w:color w:val="000000" w:themeColor="text1"/>
          <w:spacing w:val="0"/>
          <w:u w:val="none"/>
        </w:rPr>
      </w:pPr>
    </w:p>
    <w:p w14:paraId="29940C4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декабря 1941 вышел доклад Госплана "О ходе восстановления эвакуированных предприятий оборонной промышленности" - о том, что с эвакуацией был бардак полный и много оборудования потерялось. Скорость вместо запланированных 400 км/сутки была всего 200, а иногда и 100, монтаж затянулся (1566,141).</w:t>
      </w:r>
    </w:p>
    <w:p w14:paraId="2FA87A3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D64F86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декабря 1941 г. докладе Госплана СССР «О ходе восстановления эвакуиро</w:t>
      </w:r>
      <w:r w:rsidRPr="00640820">
        <w:rPr>
          <w:rFonts w:ascii="Times New Roman" w:hAnsi="Times New Roman"/>
          <w:color w:val="000000" w:themeColor="text1"/>
          <w:sz w:val="16"/>
          <w:szCs w:val="16"/>
        </w:rPr>
        <w:softHyphen/>
        <w:t>ванных предприятий по наркоматам» говорилось:</w:t>
      </w:r>
    </w:p>
    <w:p w14:paraId="559972C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что установленный решениями ГКО график ввода в действие эвакуированных предприятий не выдерживается как по причине «неудовлетворительной организации во всех наркоматах дела эвакуации», так и «неудовлетворительной организации работ по восстановлению эвакуированных предприятий» (РГАЭ ф. 4372, оп. 93, д. 70, л. 220).</w:t>
      </w:r>
    </w:p>
    <w:p w14:paraId="7AD46E4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эвакуации предприятий отбор оборудования для монта</w:t>
      </w:r>
      <w:r w:rsidRPr="00640820">
        <w:rPr>
          <w:rFonts w:ascii="Times New Roman" w:hAnsi="Times New Roman"/>
          <w:color w:val="000000" w:themeColor="text1"/>
          <w:sz w:val="16"/>
          <w:szCs w:val="16"/>
        </w:rPr>
        <w:softHyphen/>
        <w:t>жа проводится во многом случайно, без учета комплектности от</w:t>
      </w:r>
      <w:r w:rsidRPr="00640820">
        <w:rPr>
          <w:rFonts w:ascii="Times New Roman" w:hAnsi="Times New Roman"/>
          <w:color w:val="000000" w:themeColor="text1"/>
          <w:sz w:val="16"/>
          <w:szCs w:val="16"/>
        </w:rPr>
        <w:softHyphen/>
        <w:t>дельных видов оборудования и особенно оборудования производ</w:t>
      </w:r>
      <w:r w:rsidRPr="00640820">
        <w:rPr>
          <w:rFonts w:ascii="Times New Roman" w:hAnsi="Times New Roman"/>
          <w:color w:val="000000" w:themeColor="text1"/>
          <w:sz w:val="16"/>
          <w:szCs w:val="16"/>
        </w:rPr>
        <w:softHyphen/>
        <w:t>ственного и энергетического.</w:t>
      </w:r>
    </w:p>
    <w:p w14:paraId="429809B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Демонтировав оборудование, наркоматы не организовали уче</w:t>
      </w:r>
      <w:r w:rsidRPr="00640820">
        <w:rPr>
          <w:rFonts w:ascii="Times New Roman" w:hAnsi="Times New Roman"/>
          <w:color w:val="000000" w:themeColor="text1"/>
          <w:sz w:val="16"/>
          <w:szCs w:val="16"/>
        </w:rPr>
        <w:softHyphen/>
        <w:t>та этого оборудования и контроля за продвижением его в пути, в результате чего эшелоны с эвакуированным оборудованием прибывают к месту назначения, как правило, с большим опозда</w:t>
      </w:r>
      <w:r w:rsidRPr="00640820">
        <w:rPr>
          <w:rFonts w:ascii="Times New Roman" w:hAnsi="Times New Roman"/>
          <w:color w:val="000000" w:themeColor="text1"/>
          <w:sz w:val="16"/>
          <w:szCs w:val="16"/>
        </w:rPr>
        <w:softHyphen/>
        <w:t>нием, частями и некомплектно.</w:t>
      </w:r>
    </w:p>
    <w:p w14:paraId="5DB97CA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Большинство наркоматов всю работу по эвакуации оборудова</w:t>
      </w:r>
      <w:r w:rsidRPr="00640820">
        <w:rPr>
          <w:rFonts w:ascii="Times New Roman" w:hAnsi="Times New Roman"/>
          <w:color w:val="000000" w:themeColor="text1"/>
          <w:sz w:val="16"/>
          <w:szCs w:val="16"/>
        </w:rPr>
        <w:softHyphen/>
        <w:t>ния и продвижения его в пути переложили на НКПС. Скорость продвижения поездов с оборудованием НКПС'ом установлена 400 км в сутки, фактически же по вине НКПС поезда с эваку</w:t>
      </w:r>
      <w:r w:rsidRPr="00640820">
        <w:rPr>
          <w:rFonts w:ascii="Times New Roman" w:hAnsi="Times New Roman"/>
          <w:color w:val="000000" w:themeColor="text1"/>
          <w:sz w:val="16"/>
          <w:szCs w:val="16"/>
        </w:rPr>
        <w:softHyphen/>
        <w:t>ированным оборудованием продвигаются со скоростью 200 км в сутки, а в отдельных случаях менее 100 км. Большинство поез</w:t>
      </w:r>
      <w:r w:rsidRPr="00640820">
        <w:rPr>
          <w:rFonts w:ascii="Times New Roman" w:hAnsi="Times New Roman"/>
          <w:color w:val="000000" w:themeColor="text1"/>
          <w:sz w:val="16"/>
          <w:szCs w:val="16"/>
        </w:rPr>
        <w:softHyphen/>
        <w:t>дов не имеют номеров маршрутов, что затрудняет наблюдение за их продвижением. Значительная часть оборудования следует в поездах отдельными вагонами, которые после переформирования составов в пути выпадают из учета. Большое количество маршру</w:t>
      </w:r>
      <w:r w:rsidRPr="00640820">
        <w:rPr>
          <w:rFonts w:ascii="Times New Roman" w:hAnsi="Times New Roman"/>
          <w:color w:val="000000" w:themeColor="text1"/>
          <w:sz w:val="16"/>
          <w:szCs w:val="16"/>
        </w:rPr>
        <w:softHyphen/>
        <w:t>тов на различных станциях простаивают по неделе и более. При отсутствии контроля со стороны промышленных наркоматов за продвижением оборудования в пути, все это удлиняет сроки пе</w:t>
      </w:r>
      <w:r w:rsidRPr="00640820">
        <w:rPr>
          <w:rFonts w:ascii="Times New Roman" w:hAnsi="Times New Roman"/>
          <w:color w:val="000000" w:themeColor="text1"/>
          <w:sz w:val="16"/>
          <w:szCs w:val="16"/>
        </w:rPr>
        <w:softHyphen/>
        <w:t>ревозки, срывает установленные графики монтажа оборудования из-за его некомплектности.</w:t>
      </w:r>
    </w:p>
    <w:p w14:paraId="2FEF33C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общем отставании монтажных работ еще более значи</w:t>
      </w:r>
      <w:r w:rsidRPr="00640820">
        <w:rPr>
          <w:rFonts w:ascii="Times New Roman" w:hAnsi="Times New Roman"/>
          <w:color w:val="000000" w:themeColor="text1"/>
          <w:sz w:val="16"/>
          <w:szCs w:val="16"/>
        </w:rPr>
        <w:softHyphen/>
        <w:t>тельно отстает ввод в действие смонтированного оборудования, в результате чего восстанавливаемые предприятия систематиче</w:t>
      </w:r>
      <w:r w:rsidRPr="00640820">
        <w:rPr>
          <w:rFonts w:ascii="Times New Roman" w:hAnsi="Times New Roman"/>
          <w:color w:val="000000" w:themeColor="text1"/>
          <w:sz w:val="16"/>
          <w:szCs w:val="16"/>
        </w:rPr>
        <w:softHyphen/>
        <w:t>ски не выполняют заданий по выпуску готовой продукции.</w:t>
      </w:r>
    </w:p>
    <w:p w14:paraId="06A367B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Основная причина задержки ввода в действие оборудования состоит в остром недостатке квалифицированных рабочих... Как правило, наркоматы при вывозе оборудования предприятий не обеспечили эвакуации необходимого количества квалифициро</w:t>
      </w:r>
      <w:r w:rsidRPr="00640820">
        <w:rPr>
          <w:rFonts w:ascii="Times New Roman" w:hAnsi="Times New Roman"/>
          <w:color w:val="000000" w:themeColor="text1"/>
          <w:sz w:val="16"/>
          <w:szCs w:val="16"/>
        </w:rPr>
        <w:softHyphen/>
        <w:t>ванных рабочих, а на местах не организовали подготовку новых кадров из местного и эвакуированного населения» /6/ (1566)/.</w:t>
      </w:r>
    </w:p>
    <w:p w14:paraId="45CD9C7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F82651"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79E2EE41"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1DB2522" w14:textId="77777777" w:rsidR="00EB2FA8" w:rsidRPr="00640820" w:rsidRDefault="00EB2FA8"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10 декабря </w:t>
      </w:r>
      <w:r w:rsidRPr="00640820">
        <w:rPr>
          <w:rFonts w:ascii="Times New Roman" w:hAnsi="Times New Roman"/>
          <w:color w:val="000000" w:themeColor="text1"/>
          <w:sz w:val="16"/>
          <w:szCs w:val="16"/>
        </w:rPr>
        <w:t>в 1941 году утреннее сообщение Совинформбюро:</w:t>
      </w:r>
    </w:p>
    <w:p w14:paraId="1F2C4406" w14:textId="77777777" w:rsidR="00EB2FA8" w:rsidRPr="00640820" w:rsidRDefault="00EB2FA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10 декабря наши войска вели бои с противником на всех фронтах.</w:t>
      </w:r>
    </w:p>
    <w:p w14:paraId="003A5647" w14:textId="77777777" w:rsidR="00EB2FA8" w:rsidRPr="00640820" w:rsidRDefault="00EB2FA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Лётчики тов. Юфимчука, действующие на Калининском направлении фронта, за один день боевых действий уничтожили 10 немецких танков, 67 автомашин с пехотой и военными грузами, около 80 повозок с боеприпасами и истребили 600 солдат и офицеров противника.</w:t>
      </w:r>
    </w:p>
    <w:p w14:paraId="590C88D4" w14:textId="77777777" w:rsidR="00EB2FA8" w:rsidRPr="00640820" w:rsidRDefault="00EB2FA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последние три дня боевых действий артиллеристы командира Калиновского уничтожили 9 артиллерийских и 18 миномётных батарей немцев, 3 дерево-земляные огневые точки, наблюдательный пункт и истребили внезапными огневыми налётами до полка вражеской пехоты.</w:t>
      </w:r>
    </w:p>
    <w:p w14:paraId="50EA1F35" w14:textId="77777777" w:rsidR="00EB2FA8" w:rsidRPr="00640820" w:rsidRDefault="00EB2FA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Продовольственное снабжение немецко-фашистских войск непрерывно ухудшается. Пленный Карл Ширмер говорит: «Холод, вши и голод причиняют немецким солдатам много страданий. Целыми неделями мы не получаем горячей пищи. Хорошо ещё, если есть кусок хлеба, а часто и этого нет». Пленный солдат Лискоф </w:t>
      </w:r>
      <w:r w:rsidRPr="00640820">
        <w:rPr>
          <w:rFonts w:ascii="Times New Roman" w:hAnsi="Times New Roman"/>
          <w:color w:val="000000" w:themeColor="text1"/>
          <w:sz w:val="16"/>
          <w:szCs w:val="16"/>
        </w:rPr>
        <w:lastRenderedPageBreak/>
        <w:t>рассказывает: «Питание в армии становится всё хуже и хуже. День, когда удаётся покушать досыта, считается большим праздником...». Многочисленные жалобы на скверное питание и голод встречаются и в письмах, найденных у убитых и пленных немецких солдат. Ефрейтор Шпанкер пишет своей матери: «Живём впроголодь... Раньше нам давали один хлебец на двоих, а теперь такой же хлебец дают на 5 человек...». Солдат Эрвин Рутмунд жалуется жене: «Вдоволь мы никогда не кушаем, и было бы не плохо получить от тебя что-нибудь. Сегодня я съел кусок заплесневелого хлеба: другого нет. Если бы я сейчас вернулся домой, ты бы меня не узнала. От меня остались только кости да кожа. На голове много-много седых волос». Однако в немецком тылу с продовольствием ещё хуже, чем в армии. Вот что пишет солдату Гансу Ширингеру его жена из Кельна: «Так больше жить нельзя. Мы хотим жить; понимаешь, жить. К чорту авантюры наших правителей... Голод схватил нас за горло... Как тяжело и больно... Куда несёт нас наша судьба».</w:t>
      </w:r>
    </w:p>
    <w:p w14:paraId="40BC1596" w14:textId="77777777" w:rsidR="00EB2FA8" w:rsidRPr="00640820" w:rsidRDefault="00EB2FA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Рабочие, колхозники и интеллигенция Советской Грузии, выполняя указания товарища Сталина, самоотверженно помогают фронту. В Грузии широко развернулось освоение новых видов оборонной продукции. Многие крупнейшие предприятия республики — тбилисский паровозо-вагоноремонтный завод имели Сталина, трест «Ткварчелуголь», трест «Грузнефть», машиностроительный завод имени Берия, Тбилисская чаеразвесочная фабрика и другие — досрочно выполнили годовые планы. Непрерывно растут ряды стахановцев, вдвое и больше перевыполняющих нормы. По инициативе общественных организаций на заводе имени Сталина созданы стахановские школы двухсотников. Все окончившие эти школы добились выполнения норм не ниже 200 процентов. По 4-5 норм за смену выполняют стахановцы завода имени Сталина т.т. Вешапели, Оханашвили, Элисабедашвили; стахановцы батумского машиностроительного завода имени Берия т.т. Каракозов и Сытая; стахановцы Тбилисского машиностроительного завода т.т. Гасишвили, Кордзадзе и другие. Энергично работают на колхозных полях и плантациях колхозники Грузии. Собрано 58.075 тыс. килограммов зелёного чайного листа — на 7 миллионов килограммов больше, чем в прошлом году. Небывалый рекорд сбора чая установила стахановка Ингирского колхоза Киония Сарсания. Недавно она собрала 1.966 килограммов чайного листа. Весь свой заработок за этот день она передала в фонд обороны. На 30 тыс. гектаров расширилась в этом году площадь под озимым севом. Грузия в текущем году даст 15.000 тонн высококачественного табака. В республике за время войны подготовлено 1.700 трактористов, главным образом женщин.» (14856).</w:t>
      </w:r>
    </w:p>
    <w:p w14:paraId="0A94F376" w14:textId="77777777" w:rsidR="00EB2FA8" w:rsidRPr="00640820" w:rsidRDefault="00EB2FA8" w:rsidP="00640820">
      <w:pPr>
        <w:spacing w:after="0" w:line="240" w:lineRule="auto"/>
        <w:jc w:val="both"/>
        <w:rPr>
          <w:rFonts w:ascii="Times New Roman" w:hAnsi="Times New Roman"/>
          <w:color w:val="000000" w:themeColor="text1"/>
          <w:sz w:val="16"/>
          <w:szCs w:val="16"/>
        </w:rPr>
      </w:pPr>
    </w:p>
    <w:p w14:paraId="0F4CB2CA" w14:textId="77777777" w:rsidR="00EB2FA8" w:rsidRPr="00640820" w:rsidRDefault="00EB2FA8"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10 декабря </w:t>
      </w:r>
      <w:r w:rsidRPr="00640820">
        <w:rPr>
          <w:rFonts w:ascii="Times New Roman" w:hAnsi="Times New Roman"/>
          <w:color w:val="000000" w:themeColor="text1"/>
          <w:sz w:val="16"/>
          <w:szCs w:val="16"/>
        </w:rPr>
        <w:t>в 1941 году вечернее сообщение Совинформбюро:</w:t>
      </w:r>
    </w:p>
    <w:p w14:paraId="0C739659" w14:textId="77777777" w:rsidR="00EB2FA8" w:rsidRPr="00640820" w:rsidRDefault="00EB2FA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10 декабря наши войска вели бои с противником на всех фронтах. На ряде участков ЗАПАДНОГО и ЮГО-ЗАПАДНОГО фронтов наши части продвинулись вперёд и заняли ряд населённых пунктов.</w:t>
      </w:r>
    </w:p>
    <w:p w14:paraId="495B9931" w14:textId="77777777" w:rsidR="00EB2FA8" w:rsidRPr="00640820" w:rsidRDefault="00EB2FA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9 декабря уничтожено 7 немецких самолётов.</w:t>
      </w:r>
    </w:p>
    <w:p w14:paraId="5A10C3DE" w14:textId="77777777" w:rsidR="00EB2FA8" w:rsidRPr="00640820" w:rsidRDefault="00EB2FA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9 декабря наша авиация уничтожила и повредила 14 немецких танков, 620 автомашин с войсками и грузами, 20 полевых и зенитных орудий с прислугой, более 280 подвод с боеприпасами, истребила или рассеяла более полка вражеской пехоты.</w:t>
      </w:r>
    </w:p>
    <w:p w14:paraId="5036F809" w14:textId="77777777" w:rsidR="00EB2FA8" w:rsidRPr="00640820" w:rsidRDefault="00EB2FA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Части тов. Лелюшенко, действующие на одном из участков Западного фронта, за два дня боёв истребили 2.800 солдат и офицеров противника, выбив немцев из ряда населённых пунктов. В числе захваченных нашими бойцами трофеев — 7 танков, 12 тяжёлых орудий, 18 противотанковых орудий, 200 грузовых и 12 легковых автомашин, 80 пулемётов и 100 автоматов. На другом участке фронта бойцы тов. Кузнецова за один день боёв освободили от фашистских захватчиков свыше 40 селений, истребили около 2.000 немецких солдат и офицеров и захватили 75 танков, 200 автомашин, 112 мотоциклов, 2 склада с боеприпасами, много орудий, пулемётов и автоматов.</w:t>
      </w:r>
    </w:p>
    <w:p w14:paraId="67D649AF" w14:textId="77777777" w:rsidR="00EB2FA8" w:rsidRPr="00640820" w:rsidRDefault="00EB2FA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Лётчики авиачасти тов. Холзажова, действующие на Ленинградском фронте, за несколько дней боевых действий уничтожили 70 немецких автомашин с боеприпасами, 10 полевых орудий, 14 зенитно-пулемётных точек, взорвали базу горючего и истребили до 4 рот пехоты противника.</w:t>
      </w:r>
    </w:p>
    <w:p w14:paraId="22D5A54E" w14:textId="77777777" w:rsidR="00EB2FA8" w:rsidRPr="00640820" w:rsidRDefault="00EB2FA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ожесточённом бою с немецко-фашистскими захватчиками был выведен из строя пулемётный расчёт старшего сержанта Бондарева. Раненый тов. Бондарев остался один у своего пулемёта. Фашисты под прикрытием миномётного огня двинули на позицию, занимаемую мужественным пулемётчиком, взвод автоматчиков. Тов. Бондарев встретил фашистов ураганным огнём и истребил почти весь немецкий взвод. Только 3 автоматчикам удалось, убежать с поля боя.</w:t>
      </w:r>
    </w:p>
    <w:p w14:paraId="793355EF" w14:textId="77777777" w:rsidR="00EB2FA8" w:rsidRPr="00640820" w:rsidRDefault="00EB2FA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Партизанский отряд тов. Х.., действующий в одном из районов Московской области, оккупированных немцами, ведёт успешную борьбу против фашистских захватчиков. На одной из дорог член отряда тов. С. противотанковыми гранатами уничтожил немецкий танк и его экипаж. Вскоре на дороге показалась штабная машина. Партизаны забросали автомобиль гранатами и расстреляли сидевших в нём офицеров. На днях партизаны Б. и С. отправились на разведку. Им встретились два немецких офицера. Фашисты приказали партизану С. снять валенки. С. стал медленно снимать валенки, делая вид, что они ему тесны. Тогда офицер выстрелил в партизана и ранил его. В тот же момент партизан Б. выстрелил во второго офицера и убил его. Раненый партизан С., зажимая свою рану рукой, побежал за вторым, бросившимся наутёк офицером и ранил его. Отстреливаясь, фашист пятился назад. С., подойдя к нему, в упор застрелил офицера. В это время со стороны населённого пункта немцы открыли по партизанам огонь. Славные патриоты, взяв у офицеров документы и оружие, скрылись в лесу.</w:t>
      </w:r>
    </w:p>
    <w:p w14:paraId="41749F4B" w14:textId="77777777" w:rsidR="00EB2FA8" w:rsidRPr="00640820" w:rsidRDefault="00EB2FA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Устраивая на дорогах засады, партизаны уничтожают связистов, грузовые машины и повозки немцев. Успешное нападение совершил отряд на вражеский продовольственный обоз. Перебив охрану, партизаны часть грузов захватили с собой, а остальное уничтожили. Несколько дней спустя отряд уничтожил фашистский самолёт, сделавший вынужденную посадку. Только за последнее время партизаны отряда тов. X. истребили 40 немецких солдат и 11 офицеров. Установив связь с командованием частей Красной Армии, славные советские патриоты помогли уничтожить фашистский артиллерийский склад, радиостанцию и разгромить аэродром, где находилось 35 самолётов противника.</w:t>
      </w:r>
    </w:p>
    <w:p w14:paraId="320FE89F" w14:textId="77777777" w:rsidR="00EB2FA8" w:rsidRPr="00640820" w:rsidRDefault="00EB2FA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Неудачи немецко-фашистских войск под Москвой вызывают большую тревогу среди немецких солдат. Солдат 6 роты 86 мотополка 10 танковой дивизии Химе Герберт показал: «В последнее время 6 рота 10 танковой дивизии имела в наличии только 20 человек. Пятая рота — всего 8 человек. Остальные убиты и ранены. Из 200 танков, которыми располагала 10 танковая дивизия, осталось 30-40 танков. Германские войска под Москвой несут исключительно большие потери». Обер-ефрейтор 1 роты 66 зенитного дивизиона 17 танковой дивизии Вальтер Фермер показал: «17 танковая дивизия потеряла свыше 50 процентов танков. Велики также людские потери. Наша рота, например, в последних боях потеряла 60 человек убитыми и ранеными. Если раньше говорили о предстоящем падении Москвы и близком конце войны, то теперь этому никто не верит». Военнопленный из штабной роты 240 пехотного полка 106 пехотной дивизии Фис Вернер показал: «Только за последние 3 дня боёв 240 пехотный полк потерял 500 человек убитыми и ранеными. В штабной роте из 130 человек осталось 40 человек. Настроение солдат с каждым днём ухудшается. Многие солдаты больны. В победу Германии многие уже перестают верить. Они недовольны войной, хотят домой». Солдат 3 мотоциклетной роты 59 мотострелкового полка 20 танковой дивизии Ферпас Вильгельм показал: «Настроение солдат стало очень плохое. В роте имеется более 50 процентов обмороженных и много больных гриппом. Солдаты возмущены и начинают уже открыто выражать недовольство войной».</w:t>
      </w:r>
    </w:p>
    <w:p w14:paraId="275BF694" w14:textId="77777777" w:rsidR="00EB2FA8" w:rsidRPr="00640820" w:rsidRDefault="00EB2FA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Чешские патриоты в начале декабря взорвали в Млада-Болеславе готовый к отправке состав с вооружением для германской армии. За последние десять дней в Чехословакии в результате диверсий на военных заводах и железных дорогах уничтожено 25 танков и 19 орудий. Сообщают, что чешские военные предприятия выпустили в ноябре продукции на 7 процентов меньше, чем в октябре.»</w:t>
      </w:r>
    </w:p>
    <w:p w14:paraId="0E0F44F0" w14:textId="77777777" w:rsidR="00EB2FA8" w:rsidRPr="00640820" w:rsidRDefault="00EB2FA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последний час.</w:t>
      </w:r>
    </w:p>
    <w:p w14:paraId="7AD4755D" w14:textId="77777777" w:rsidR="00EB2FA8" w:rsidRPr="00640820" w:rsidRDefault="00EB2FA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Трофеи наших войск под Тихвином.</w:t>
      </w:r>
    </w:p>
    <w:p w14:paraId="43A76A3E" w14:textId="77777777" w:rsidR="00EB2FA8" w:rsidRPr="00640820" w:rsidRDefault="00EB2FA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предварительным и неполным данным, под Тихвином нашими войсками захвачено: орудий — 42, миномётов — 66, пулемётов — 190, танков — 27, бронемашин — 10, автомашин — 102, автоматов — 110, винтовок — 2.700, снарядов — 28.000, мин — 17.500, гранат — 30.000, патронов винтовочных — 210.000.и много другого военного имущества.»</w:t>
      </w:r>
    </w:p>
    <w:p w14:paraId="08A3B74D" w14:textId="77777777" w:rsidR="00EB2FA8" w:rsidRPr="00640820" w:rsidRDefault="00EB2FA8" w:rsidP="00640820">
      <w:pPr>
        <w:spacing w:after="0" w:line="240" w:lineRule="auto"/>
        <w:jc w:val="both"/>
        <w:rPr>
          <w:rFonts w:ascii="Times New Roman" w:hAnsi="Times New Roman"/>
          <w:color w:val="000000" w:themeColor="text1"/>
          <w:sz w:val="16"/>
          <w:szCs w:val="16"/>
        </w:rPr>
      </w:pPr>
    </w:p>
    <w:p w14:paraId="0BBBB2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10 и 11 декабря 1941 истребители 6-го иак всех типов выполнили 300 вылетов на штурмовку отходящих колонн врага у станции Румянцево и Ново-Петровское (по Волоколамскому направлению). Обычно в составе звеньев или более крупными подразделениями МиГи проносились над дорогами, забитыми техникой неприятеля. Некогда стройная система германской войсковой ПВО была деморализована в результате неожиданного для немцев поворота событий и стала неспособной прикрывать перегруппировку и отход наземных войск. Потери наших истребителей в те дни были незначительными.</w:t>
      </w:r>
    </w:p>
    <w:p w14:paraId="3AB150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зимние месяцы 1941 - 1942 гг. при штурмовках неприятеля типичными стали действия смешанных групп самолетов. При этом МиГ-3, как правило, шли первыми на скоростях, близких к максимальным. В их задачи входило связывание боем патрулей "мес- сершмиттов" и отвлечение на себя огня зенитной артиллерии. Иногда до подхода групп бомбардировщиков и штурмовиков МиГи залпами реактивных снарядов поражали обнаруженные огневые точки противника.</w:t>
      </w:r>
    </w:p>
    <w:p w14:paraId="3F5DF1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Наша авиация, включая многочисленные части на МиГ-3, внесла заметный вклад в успехи наземных войск. По данным штаба войск ПВО, летчиками 6-го иак до конца 1941 г. было уничтожено 311 танков, до 3000 автомобилей, 58 бронемашин, 16 бензоцистерн, 650 повозок с грузом; подавлен огонь 50 батарей, 175 зенитных пулеметных точек; рассеяно и частично уничтожено не менее 15 000 немецких солдат и офицеров (12045).</w:t>
      </w:r>
    </w:p>
    <w:p w14:paraId="11FCAD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58655F6"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2D9C7A3D"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70A2E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декабря 1941 началась атака на Тобрук (2100).</w:t>
      </w:r>
    </w:p>
    <w:p w14:paraId="0CACBB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9974B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December 10 1941 Aircraft from Enterprise attacked and sank the Japanese submarine I-70 in waters north of the Hawaiian Islands. This was one of the submarines used to scout the Hawaiian area in connection with the Pearl Harbor attack and the first Japanese combatant ship sunk by United States aircraft during World War II (1090).</w:t>
      </w:r>
    </w:p>
    <w:p w14:paraId="1C3961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7A98AD7C" w14:textId="77777777" w:rsidR="003156BD" w:rsidRPr="00640820" w:rsidRDefault="003156B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lastRenderedPageBreak/>
        <w:t>10 декабря 1941 во французском Индокитае бомбардировщики Mitsubishi G3M (название в отчетности ОВС «Нелл») императорского флота Японии нападают на линкор Принц Уэльский (53) и Крейсер Отпоре (1916) Королевских ВМС в Южно - Китайском море к востоку от Малайи и топят их торпедами. Это первые крупные корабли, потопленные в море только самолетами. На Филиппинах 54 японских военно-морских бомбардировщика систематически уничтожают верфь Cavite Navy Yard и значительную часть соседнего Cavite с помощью высокоточных бомбардировок с высоты 20 000 футов (6096 м) во время двухчасовой атаки. Подводная лодка USS Sealion (SS-195) затонула у причала военно-морского флота, став первой американской подводной лодкой, потопленной в результате действий противника. После смелой атаки на японские корабли у Филиппин капитан ВВС США Колин Келли, пилот B-17C Flying Fortress, становится одним из первых американских героев Второй мировой войны, когда он достаточно долго находится за штурвалом своего подбитого бомбардировщика, чтобы его команда смогла выпрыгнуть с парашютами, и погиб, когда его самолет взорвался. Сообщается, что он намеренно направил свой подбитый самолет в японский линкор « Харуна». Дуглас SBD Неустрашимый пикирующий бомбардировщик с авианосца USS Enterprise (CV-6), пилотируемый лейтенантом Clarence E. Дикинсон, потопил японскую подводную лодку I-70 на северо - восток от Оаху. I-70 – стала первой японской подводной лодкой, потопленной силами противника, и первый военный корабль противника, потопленный вооруженными силами США во время Второй мировой войны (20794).</w:t>
      </w:r>
    </w:p>
    <w:p w14:paraId="4E446E8D" w14:textId="77777777" w:rsidR="003156BD" w:rsidRPr="00640820" w:rsidRDefault="003156BD" w:rsidP="00640820">
      <w:pPr>
        <w:spacing w:after="0" w:line="240" w:lineRule="auto"/>
        <w:jc w:val="both"/>
        <w:rPr>
          <w:rFonts w:ascii="Times New Roman" w:hAnsi="Times New Roman"/>
          <w:color w:val="0070C0"/>
          <w:sz w:val="16"/>
          <w:szCs w:val="16"/>
        </w:rPr>
      </w:pPr>
    </w:p>
    <w:p w14:paraId="3251F569" w14:textId="77777777" w:rsidR="003156BD" w:rsidRPr="00640820" w:rsidRDefault="003156B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10 декабря 1941 первая волна японских бомбардировщиков G3M-2 и торпедоносцев G4M-1 догнала английскую боевую группу из линкора «Принц Уэльский», линейного крейсера «Рипалс» и пяти эсминцев, и в первой же атаке 250-кг бомба, сброшенная G3M-2, угодила прямо в середину «Рипалса». Через два часа непрерывных бомбардировок «Принц Уэльский» и «Рипалс» пошли ко дну, унося с собой более тысячи моряков из 3000, находившихся на них. Среди погибших был и сэр Том Филипс. По докладам экипажей бомбардировщиков линкор был поражен 2-мя бомбами и семью торпедами, а линейный крейсер получил одну бомбу и 14 торпед, боевые потери составили всего три самолета: 1 G3M-2 и 2 G4M1, еще два были тяжело повреждены, 25 имели пробоины, но из них вынужденную посадку совершил лишь один, остальные вернулись на базу (22811).</w:t>
      </w:r>
    </w:p>
    <w:p w14:paraId="0D407CFD" w14:textId="77777777" w:rsidR="003156BD" w:rsidRPr="00640820" w:rsidRDefault="003156BD" w:rsidP="00640820">
      <w:pPr>
        <w:spacing w:after="0" w:line="240" w:lineRule="auto"/>
        <w:jc w:val="both"/>
        <w:rPr>
          <w:rFonts w:ascii="Times New Roman" w:hAnsi="Times New Roman"/>
          <w:color w:val="0070C0"/>
          <w:sz w:val="16"/>
          <w:szCs w:val="16"/>
        </w:rPr>
      </w:pPr>
    </w:p>
    <w:p w14:paraId="60593F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декабря 1941 самолеты авианосца Энтерпрайз атаковали и потопили подводную лодку И-70 в водах на север от Гавай. Это было первое японское судно, уничтоженное США в ходе ВММ (1090).</w:t>
      </w:r>
    </w:p>
    <w:p w14:paraId="5AE5B7A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9C2D3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декабря 1941 капитан Келли на Б-17Д таранил японский линкор Харуна (304).</w:t>
      </w:r>
    </w:p>
    <w:p w14:paraId="023926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58BA0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December 10 1941 Japanese attack Cavite (1242).</w:t>
      </w:r>
    </w:p>
    <w:p w14:paraId="3894F5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458C7A1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10 </w:t>
      </w:r>
      <w:r w:rsidRPr="00640820">
        <w:rPr>
          <w:rFonts w:ascii="Times New Roman" w:hAnsi="Times New Roman"/>
          <w:color w:val="000000" w:themeColor="text1"/>
          <w:sz w:val="16"/>
          <w:szCs w:val="16"/>
        </w:rPr>
        <w:t>декабря</w:t>
      </w:r>
      <w:r w:rsidRPr="00640820">
        <w:rPr>
          <w:rFonts w:ascii="Times New Roman" w:hAnsi="Times New Roman"/>
          <w:color w:val="000000" w:themeColor="text1"/>
          <w:sz w:val="16"/>
          <w:szCs w:val="16"/>
          <w:lang w:val="en-US"/>
        </w:rPr>
        <w:t xml:space="preserve"> 1941 </w:t>
      </w:r>
      <w:r w:rsidRPr="00640820">
        <w:rPr>
          <w:rFonts w:ascii="Times New Roman" w:hAnsi="Times New Roman"/>
          <w:color w:val="000000" w:themeColor="text1"/>
          <w:sz w:val="16"/>
          <w:szCs w:val="16"/>
        </w:rPr>
        <w:t>японцыатаковали</w:t>
      </w:r>
      <w:r w:rsidRPr="00640820">
        <w:rPr>
          <w:rFonts w:ascii="Times New Roman" w:hAnsi="Times New Roman"/>
          <w:color w:val="000000" w:themeColor="text1"/>
          <w:sz w:val="16"/>
          <w:szCs w:val="16"/>
          <w:lang w:val="en-US"/>
        </w:rPr>
        <w:t xml:space="preserve"> Cavite (1242).</w:t>
      </w:r>
    </w:p>
    <w:p w14:paraId="393541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4B1D3C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декабря 1941 японские самолеты потопили английские корабли Prince of Walles и Repulse недалеко от побережья Малайзии (2238,10).</w:t>
      </w:r>
    </w:p>
    <w:p w14:paraId="3B94FB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D900C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декабря 1941 японская авиация у берегов Малайи потопила британские корабли Принс оф Уэлс и Рипалс (3186).</w:t>
      </w:r>
    </w:p>
    <w:p w14:paraId="7A38BC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DA69E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декабря 1941 японцы высадились в Люзоне (Филиппины) (2268,10).</w:t>
      </w:r>
    </w:p>
    <w:p w14:paraId="2C18AB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98254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декабря 1941 японские войска высадились на о Лусон и Гуам (3186).</w:t>
      </w:r>
    </w:p>
    <w:p w14:paraId="27FFB5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7D36D1B" w14:textId="77777777" w:rsidR="00EB2FA8" w:rsidRPr="00640820" w:rsidRDefault="00EB2FA8"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10 декабря </w:t>
      </w:r>
      <w:r w:rsidRPr="00640820">
        <w:rPr>
          <w:rFonts w:ascii="Times New Roman" w:hAnsi="Times New Roman"/>
          <w:color w:val="000000" w:themeColor="text1"/>
          <w:sz w:val="16"/>
          <w:szCs w:val="16"/>
        </w:rPr>
        <w:t>в 1941 году японские войска высадились на островах Лузон и Виган (Филлипинские острова). Японские морские коммандос захватили американскую военную базу на острове Гуам. Японские самолёты потопили британские линкоры "Prince of Wales" и "Repulse" у берегов Малайского полуострова (14856).</w:t>
      </w:r>
    </w:p>
    <w:p w14:paraId="250D634D" w14:textId="77777777" w:rsidR="00EB2FA8" w:rsidRPr="00640820" w:rsidRDefault="00EB2FA8" w:rsidP="00640820">
      <w:pPr>
        <w:spacing w:after="0" w:line="240" w:lineRule="auto"/>
        <w:jc w:val="both"/>
        <w:rPr>
          <w:rFonts w:ascii="Times New Roman" w:hAnsi="Times New Roman"/>
          <w:color w:val="000000" w:themeColor="text1"/>
          <w:sz w:val="16"/>
          <w:szCs w:val="16"/>
        </w:rPr>
      </w:pPr>
    </w:p>
    <w:p w14:paraId="0DA7472F" w14:textId="77777777" w:rsidR="00EB2FA8" w:rsidRPr="00640820" w:rsidRDefault="00EB2FA8"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10 декабря </w:t>
      </w:r>
      <w:r w:rsidRPr="00640820">
        <w:rPr>
          <w:rFonts w:ascii="Times New Roman" w:hAnsi="Times New Roman"/>
          <w:color w:val="000000" w:themeColor="text1"/>
          <w:sz w:val="16"/>
          <w:szCs w:val="16"/>
        </w:rPr>
        <w:t>в 1941 году в Сан-Франциско объявлена воздушная тревога (14856).</w:t>
      </w:r>
    </w:p>
    <w:p w14:paraId="6562911E" w14:textId="77777777" w:rsidR="00EB2FA8" w:rsidRPr="00640820" w:rsidRDefault="00EB2FA8" w:rsidP="00640820">
      <w:pPr>
        <w:spacing w:after="0" w:line="240" w:lineRule="auto"/>
        <w:jc w:val="both"/>
        <w:rPr>
          <w:rFonts w:ascii="Times New Roman" w:hAnsi="Times New Roman"/>
          <w:color w:val="000000" w:themeColor="text1"/>
          <w:sz w:val="16"/>
          <w:szCs w:val="16"/>
        </w:rPr>
      </w:pPr>
    </w:p>
    <w:p w14:paraId="11660A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December 10 1941 Cuba declared war against Japan (1223).</w:t>
      </w:r>
    </w:p>
    <w:p w14:paraId="12BA6C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14E2B7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декабря 1941 войну Японии объявила Куба (1223).</w:t>
      </w:r>
    </w:p>
    <w:p w14:paraId="58B34E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1C73E16"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03A5D69F"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C27325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первой декаде октября 1941 на основании решения ГКО от 6 октября 1941 г. была развернута массовая эвакуация рабочих, ИТР, служащих.: танкового производства ЛКЗ и членов их семей на Урал, где с началом; войны, продолжая выпуск тракторов и проведя перестройку цехов, кол-; лектив ЧТЗ осваивал серийный выпуск тяжелых танков. Главным инженером завода был назначен прибывший из Харькова с завода № 1831 С.Н. Махонин, в конце июня на ЧТЗ из Ленинграда прибыл Н.Л. Духов, который вступил в должность главного конструктора танкового производства завода. Вскоре на завод начали прибывать специалисты-танкостроители из Ленинграда. Слияние двух заводов - ленинградского и уральского - позволило создать мощный центр по производству тяже</w:t>
      </w:r>
      <w:r w:rsidRPr="00640820">
        <w:rPr>
          <w:rFonts w:ascii="Times New Roman" w:hAnsi="Times New Roman"/>
          <w:color w:val="000000" w:themeColor="text1"/>
          <w:sz w:val="16"/>
          <w:szCs w:val="16"/>
        </w:rPr>
        <w:softHyphen/>
        <w:t>лых танков - Челябинский Кировский завод, именовавшийся в печати "Танкоградом". В него вошли также коллективы Харьковского дизель</w:t>
      </w:r>
      <w:r w:rsidRPr="00640820">
        <w:rPr>
          <w:rFonts w:ascii="Times New Roman" w:hAnsi="Times New Roman"/>
          <w:color w:val="000000" w:themeColor="text1"/>
          <w:sz w:val="16"/>
          <w:szCs w:val="16"/>
        </w:rPr>
        <w:softHyphen/>
        <w:t>ного завода № 75 и специалисты ряда других заводов (СТЗ, московско</w:t>
      </w:r>
      <w:r w:rsidRPr="00640820">
        <w:rPr>
          <w:rFonts w:ascii="Times New Roman" w:hAnsi="Times New Roman"/>
          <w:color w:val="000000" w:themeColor="text1"/>
          <w:sz w:val="16"/>
          <w:szCs w:val="16"/>
        </w:rPr>
        <w:softHyphen/>
        <w:t>го станкостроительного завода "Красный пролетарий"), эвакуирован</w:t>
      </w:r>
      <w:r w:rsidRPr="00640820">
        <w:rPr>
          <w:rFonts w:ascii="Times New Roman" w:hAnsi="Times New Roman"/>
          <w:color w:val="000000" w:themeColor="text1"/>
          <w:sz w:val="16"/>
          <w:szCs w:val="16"/>
        </w:rPr>
        <w:softHyphen/>
        <w:t>ных из центральных областей страны. Директором завода был назначен И.М. Зальцман. Основными поставщиками бронекорпусов и башен для производства тяжелых танков КВ являлись Уралмаш (УЗТМ) и Челя</w:t>
      </w:r>
      <w:r w:rsidRPr="00640820">
        <w:rPr>
          <w:rFonts w:ascii="Times New Roman" w:hAnsi="Times New Roman"/>
          <w:color w:val="000000" w:themeColor="text1"/>
          <w:sz w:val="16"/>
          <w:szCs w:val="16"/>
        </w:rPr>
        <w:softHyphen/>
        <w:t>бинский бронекорпусной завод № 200. Вооружение и прицелы постав</w:t>
      </w:r>
      <w:r w:rsidRPr="00640820">
        <w:rPr>
          <w:rFonts w:ascii="Times New Roman" w:hAnsi="Times New Roman"/>
          <w:color w:val="000000" w:themeColor="text1"/>
          <w:sz w:val="16"/>
          <w:szCs w:val="16"/>
        </w:rPr>
        <w:softHyphen/>
        <w:t>лялись заводами № 9,75, 221, входившими в состав наркомата вооруже</w:t>
      </w:r>
      <w:r w:rsidRPr="00640820">
        <w:rPr>
          <w:rFonts w:ascii="Times New Roman" w:hAnsi="Times New Roman"/>
          <w:color w:val="000000" w:themeColor="text1"/>
          <w:sz w:val="16"/>
          <w:szCs w:val="16"/>
        </w:rPr>
        <w:softHyphen/>
        <w:t>ния (НКВ). Ядром коллектива конструкторов явилось СКБ-2, эвакуированное из Ленинграда, в которое входили Н.Л. Духов, Е.П. Дедов, А.С. Ермола</w:t>
      </w:r>
      <w:r w:rsidRPr="00640820">
        <w:rPr>
          <w:rFonts w:ascii="Times New Roman" w:hAnsi="Times New Roman"/>
          <w:color w:val="000000" w:themeColor="text1"/>
          <w:sz w:val="16"/>
          <w:szCs w:val="16"/>
        </w:rPr>
        <w:softHyphen/>
        <w:t>ев, Д.Д. Кекелидзе, К.И. Кузьмин, Ф.А. Маришкин, Г.А. Михайлов, С.В. Мицкевич, Г.Н. Москвин, Г.А. Серегин, Н.М. Синев, Л.Е. Сычев, В.И. Торотько, И.Я. Трашутин, С.Ф. Федоренко, Н.Ф. Шашмурин, Н.Д. Швелидзе и Н.В. Цейц (10703).</w:t>
      </w:r>
    </w:p>
    <w:p w14:paraId="56C3A76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FAB653"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6F314AB1"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10B5F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декабря 1941 Дир. Сталинградского завода 264 НКТП Щербина сообщал о том, что он лишен возможности обеспечивать своевременную отгрузку бронекорпусов Ил-2 в Куйбышев, бронеспинки и бронедетали для всех самолетных заводов, т.к. не дают вагонов (2554,41).</w:t>
      </w:r>
    </w:p>
    <w:p w14:paraId="3C5BFE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03114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декабря 1941 вышло Постановление ГКО № 1014 О срочной сборке и отправке самолетов в части ВВС. РГАНИР, Фонд ГКО, д. 16, лл. 82 (11012).</w:t>
      </w:r>
    </w:p>
    <w:p w14:paraId="65DEDF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237E2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декабря 1941 вышел приказ НКАП N 893 по замене материалов (1680,157).</w:t>
      </w:r>
    </w:p>
    <w:p w14:paraId="2509EB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88A3D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декабря 1941 г. вышло постановление ГКО № 1014 о переводе серийного производства самолета «103В» с завода № 166 на завод № 22. 3.01.1942 г. вышло новое постановление ГКО № 1094 о подготовке серийного производства самолета «103» на заводе № 22 (о сокращении элементов гидрооборудования и дистанционного управления на самолете), пост. ГКО № 1396 от 6.03.1942 г. оно отменено (11982).</w:t>
      </w:r>
    </w:p>
    <w:p w14:paraId="3A5B40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9C14ABC" w14:textId="77777777" w:rsidR="00EB2FA8" w:rsidRPr="00640820" w:rsidRDefault="00EB2FA8"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11 декабря 1941 г. и 3 января 1942 г. Постановлениями ГКО на заводе №22 в Казани разворачивалось производст</w:t>
      </w:r>
      <w:r w:rsidRPr="00640820">
        <w:rPr>
          <w:rFonts w:ascii="Times New Roman" w:cs="Times New Roman"/>
          <w:color w:val="000000" w:themeColor="text1"/>
          <w:spacing w:val="0"/>
        </w:rPr>
        <w:softHyphen/>
        <w:t>во самолетов «103У» 2АМ-37 вместо вы</w:t>
      </w:r>
      <w:r w:rsidRPr="00640820">
        <w:rPr>
          <w:rFonts w:ascii="Times New Roman" w:cs="Times New Roman"/>
          <w:color w:val="000000" w:themeColor="text1"/>
          <w:spacing w:val="0"/>
        </w:rPr>
        <w:softHyphen/>
        <w:t>пускавшегося здесь пикирующего бом</w:t>
      </w:r>
      <w:r w:rsidRPr="00640820">
        <w:rPr>
          <w:rFonts w:ascii="Times New Roman" w:cs="Times New Roman"/>
          <w:color w:val="000000" w:themeColor="text1"/>
          <w:spacing w:val="0"/>
        </w:rPr>
        <w:softHyphen/>
        <w:t>бардировщика Пе-2 2М-105. Однако уже в конце января это решение отменили. Выпуск «пешек» на казанском заводе №22 сохранялся, а производство само</w:t>
      </w:r>
      <w:r w:rsidRPr="00640820">
        <w:rPr>
          <w:rFonts w:ascii="Times New Roman" w:cs="Times New Roman"/>
          <w:color w:val="000000" w:themeColor="text1"/>
          <w:spacing w:val="0"/>
        </w:rPr>
        <w:softHyphen/>
        <w:t>летов «103В» 2М-82А оставалось за ом</w:t>
      </w:r>
      <w:r w:rsidRPr="00640820">
        <w:rPr>
          <w:rFonts w:ascii="Times New Roman" w:cs="Times New Roman"/>
          <w:color w:val="000000" w:themeColor="text1"/>
          <w:spacing w:val="0"/>
        </w:rPr>
        <w:softHyphen/>
        <w:t>ским заводом №166. Одновременно из производственной программы завода №24 исключалось задание по выпуску моторов АМ-37, поскольку его произ</w:t>
      </w:r>
      <w:r w:rsidRPr="00640820">
        <w:rPr>
          <w:rFonts w:ascii="Times New Roman" w:cs="Times New Roman"/>
          <w:color w:val="000000" w:themeColor="text1"/>
          <w:spacing w:val="0"/>
        </w:rPr>
        <w:softHyphen/>
        <w:t>водство связывалось в первую очередь с большой серией самолета «103У». Все проектируемые и строящиеся под мотор АМ-37 новые боевые самоле</w:t>
      </w:r>
      <w:r w:rsidRPr="00640820">
        <w:rPr>
          <w:rFonts w:ascii="Times New Roman" w:cs="Times New Roman"/>
          <w:color w:val="000000" w:themeColor="text1"/>
          <w:spacing w:val="0"/>
        </w:rPr>
        <w:softHyphen/>
        <w:t>ты в расчет, очевидно, не шли. Вме</w:t>
      </w:r>
      <w:r w:rsidRPr="00640820">
        <w:rPr>
          <w:rFonts w:ascii="Times New Roman" w:cs="Times New Roman"/>
          <w:color w:val="000000" w:themeColor="text1"/>
          <w:spacing w:val="0"/>
        </w:rPr>
        <w:softHyphen/>
        <w:t>сте с тем А.А. Микулин и директор заво</w:t>
      </w:r>
      <w:r w:rsidRPr="00640820">
        <w:rPr>
          <w:rFonts w:ascii="Times New Roman" w:cs="Times New Roman"/>
          <w:color w:val="000000" w:themeColor="text1"/>
          <w:spacing w:val="0"/>
        </w:rPr>
        <w:softHyphen/>
        <w:t>да №24 М.С. Жезлов получили задание обеспечить доводку и проведение госу</w:t>
      </w:r>
      <w:r w:rsidRPr="00640820">
        <w:rPr>
          <w:rFonts w:ascii="Times New Roman" w:cs="Times New Roman"/>
          <w:color w:val="000000" w:themeColor="text1"/>
          <w:spacing w:val="0"/>
        </w:rPr>
        <w:softHyphen/>
        <w:t>дарственных испытаний модификации мотора АМ-37 с двухскоростным нагне</w:t>
      </w:r>
      <w:r w:rsidRPr="00640820">
        <w:rPr>
          <w:rFonts w:ascii="Times New Roman" w:cs="Times New Roman"/>
          <w:color w:val="000000" w:themeColor="text1"/>
          <w:spacing w:val="0"/>
        </w:rPr>
        <w:softHyphen/>
        <w:t>тателем и взлетной мощностью не менее" 1600 л.с. Этот вариант мотора начал разрабатываться еще в 1941 г. и полу</w:t>
      </w:r>
      <w:r w:rsidRPr="00640820">
        <w:rPr>
          <w:rFonts w:ascii="Times New Roman" w:cs="Times New Roman"/>
          <w:color w:val="000000" w:themeColor="text1"/>
          <w:spacing w:val="0"/>
        </w:rPr>
        <w:softHyphen/>
        <w:t>чил обозначение АМ-39. В дальнейшем мотор отрабатывался на основе узлов и агрегатов сначала серийного мотора АМ-38, а затем его преемника на кон</w:t>
      </w:r>
      <w:r w:rsidRPr="00640820">
        <w:rPr>
          <w:rFonts w:ascii="Times New Roman" w:cs="Times New Roman"/>
          <w:color w:val="000000" w:themeColor="text1"/>
          <w:spacing w:val="0"/>
        </w:rPr>
        <w:softHyphen/>
        <w:t>вейере - АМ-38ф.</w:t>
      </w:r>
    </w:p>
    <w:p w14:paraId="675D0069" w14:textId="77777777" w:rsidR="00EB2FA8" w:rsidRPr="00640820" w:rsidRDefault="00EB2FA8"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Таким образом, зимой 1941-1942 гг. производство моторов АМ-37 и практи</w:t>
      </w:r>
      <w:r w:rsidRPr="00640820">
        <w:rPr>
          <w:rFonts w:ascii="Times New Roman" w:cs="Times New Roman"/>
          <w:color w:val="000000" w:themeColor="text1"/>
          <w:spacing w:val="0"/>
        </w:rPr>
        <w:softHyphen/>
        <w:t>чески все работы по нему были свер</w:t>
      </w:r>
      <w:r w:rsidRPr="00640820">
        <w:rPr>
          <w:rFonts w:ascii="Times New Roman" w:cs="Times New Roman"/>
          <w:color w:val="000000" w:themeColor="text1"/>
          <w:spacing w:val="0"/>
        </w:rPr>
        <w:softHyphen/>
        <w:t>нуты, а ОКБ Микулина и завод №24 сосредоточились на доводке и совер</w:t>
      </w:r>
      <w:r w:rsidRPr="00640820">
        <w:rPr>
          <w:rFonts w:ascii="Times New Roman" w:cs="Times New Roman"/>
          <w:color w:val="000000" w:themeColor="text1"/>
          <w:spacing w:val="0"/>
        </w:rPr>
        <w:softHyphen/>
        <w:t>шенствовании моторов АМ-38 для штур</w:t>
      </w:r>
      <w:r w:rsidRPr="00640820">
        <w:rPr>
          <w:rFonts w:ascii="Times New Roman" w:cs="Times New Roman"/>
          <w:color w:val="000000" w:themeColor="text1"/>
          <w:spacing w:val="0"/>
        </w:rPr>
        <w:softHyphen/>
        <w:t>мовиков Ил-2, а также на разработке моторов АМ-38ф, АМ-42 и АМ-39 (15755).</w:t>
      </w:r>
    </w:p>
    <w:p w14:paraId="75E5AE7B" w14:textId="77777777" w:rsidR="00EB2FA8" w:rsidRPr="00640820" w:rsidRDefault="00EB2FA8" w:rsidP="00640820">
      <w:pPr>
        <w:pStyle w:val="27"/>
        <w:shd w:val="clear" w:color="auto" w:fill="auto"/>
        <w:spacing w:after="0" w:line="240" w:lineRule="auto"/>
        <w:ind w:firstLine="0"/>
        <w:rPr>
          <w:rFonts w:ascii="Times New Roman" w:cs="Times New Roman"/>
          <w:color w:val="000000" w:themeColor="text1"/>
          <w:spacing w:val="0"/>
        </w:rPr>
      </w:pPr>
    </w:p>
    <w:p w14:paraId="0763ABEF" w14:textId="77777777" w:rsidR="00EB2FA8" w:rsidRPr="00640820" w:rsidRDefault="00EB2FA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11 декабря 1941 г. Из докладной записки организатора организационно-инструкторского отдела ЦК ВКП (б) заместителю заведующего организационно-инструкторским отделом ЦК ВКП (б) о работе промышленных предприятий г. Казани – об эвакуированных предприятиях</w:t>
      </w:r>
    </w:p>
    <w:p w14:paraId="15C79E0F" w14:textId="77777777" w:rsidR="00EB2FA8" w:rsidRPr="00640820" w:rsidRDefault="00EB2FA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Всего в Татарскую АССР эвакуировано свыше 70 предприятий, значительное число которых уже вступило в строй действующих предприятий, но до сих пор еще не выполняет заданных планов. Так, например, завод № 387, 2 августа 1941 г. выехав из Ленинграда, 29 августа начал давать продукцию. В октябре месяце завод недодал 27, в ноябре – 39 машин, главным образом, в результате отсутствия лака, казеинового клея и др. Однако завод № 387 с помощью обкома ВКП (б) добился изготовления на месте заменителей клея и лака. Кроме получаемых из Днепропетровска, оси для У-2 завод начал изготовлять в своем механическом цехе. ИТР и рабочими завода внедрено в производство 64 детали, изготовленные из заменителей. Если до войны обтекатель шасси, обода изготовлялись из дюраля, то теперь они изготовляются из переклейки. Завод № 387 добился того, что сейчас на каждой машине экономится 39 килограммов цветных металлов. Если раньше завод затрачивал на изготовление 1 машины около 3000 человеко-часов, то теперь, в период военного времени, затрачивается только 1215 человеко-часов. Завод № 387, кроме производства машин У-2, производит изготовление лыж и изделия № 31 для Горьковского завода. Завод также значительно увеличил выпуск инструмента за счет отхода. Положителен в этом ответ механического цеха завода (начальник цеха тов. Зимуков), которым ноябрьский план выполнен на 105 %, 10 дней декабря месяца дают 103 %, хотя подавляющее число рабочих цеха – это учащиеся школ ФЗО. В механическом цехе крепкая трудовая дисциплина, совершенно нет прогулов и других нарушений. Цехом проводится жесткая экономия металла, в результате за ноябрь – декабрь месяцы использовано свыше 50000 выбракованных деталей, валявшихся до этого на свалке. Постановка массово-политической работы в цехе организована образцово, хорошо организована наглядная агитация, работа парторганизации, комсомола, профсоюза целиком направлена на борьбу за выполнение плана.</w:t>
      </w:r>
    </w:p>
    <w:p w14:paraId="26075BB3" w14:textId="77777777" w:rsidR="00EB2FA8" w:rsidRPr="00640820" w:rsidRDefault="00EB2FA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387 мог бы выполнить полностью заданный ему план по выпуску машин, так как сейчас есть готовых свыше 80 шт., но вся беда состоит лишь в том, что завод с большими перебоями получает моторы для У-2. Завод № 154 (Воронеж), снабжающий 387-ой завод моторами, эвакуирован и в настоящее время находится еще на колесах в Ташкентской области, хотя выгоднее было бы завод № 154 иметь в Поволжье, так как потребителями его продукции является завод № 387 и завод, расположенный в г. Чкаловске, теперь же, даже в случае вступления завода № 154 в строй, транспортировка моторов будет занимать продолжительное время, что естественно будет влиять на работу завода № 387 и завода в г. Чкаловске.</w:t>
      </w:r>
    </w:p>
    <w:p w14:paraId="0355A8FD" w14:textId="77777777" w:rsidR="00EB2FA8" w:rsidRPr="00640820" w:rsidRDefault="00EB2FA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Большие трудности перед заводом № 387, да и другими заводами НКАП, встали в связи с отсутствием на нефтебазах г. Казани бензина (Б-70) и масла (МК), необходимых для проведения испытательных полетов, что также является тормозом в сдаче готовой продукции ВВС.</w:t>
      </w:r>
    </w:p>
    <w:p w14:paraId="0840A5EA" w14:textId="77777777" w:rsidR="00EB2FA8" w:rsidRPr="00640820" w:rsidRDefault="00EB2FA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22 размещен на площадке завода № 124 и с 1 декабря 1941 г. вступил в строй, но график выполняет пока лишь только на 1/3. Причинами неудовлетворительной работы является острая нужда в кадрах, так как до сих пор из Москвы рабочие и специалисты приезжают небольшими группами, и, кроме того, ощущается недостаток электроэнергии и вызывает необходимость быстрого расширения ТЭЦ завода № 124. НКАП запланировал отправку на ТЭЦ завода одной турбины и котла, но до сих пор дело расширения ТЭЦ остается по-прежнему без изменений.</w:t>
      </w:r>
    </w:p>
    <w:p w14:paraId="3329B7BC" w14:textId="77777777" w:rsidR="00EB2FA8" w:rsidRPr="00640820" w:rsidRDefault="00EB2FA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16 размещается на площадке завода № 27 и с ноября месяца вступил в строй, но до сих пор графика не выполняет. Завод ноябрьскую программу по валовой продукции выполнил на 44,5 % и по товарной - на 24 %. В этом сказывается еще несработанность коллективов 27 и 16 заводов, а также отсутствие на заводе № 27 литейной, в результате чего отсутствует технологическая цепочка.</w:t>
      </w:r>
    </w:p>
    <w:p w14:paraId="627A63D6" w14:textId="77777777" w:rsidR="00EB2FA8" w:rsidRPr="00640820" w:rsidRDefault="00EB2FA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379 прибыл из Ленинграда только с частью оборудования, захватив всего 120 человек рабочих. Областные организации пополнили цехи завода оборудованием с предприятий г. Казани и частично кадрами с других заводов, однако завод менее чем на половину обеспечен рабочей силой и до сих пор своего производственного плана не выполняет. Наркомат вооружения не принимает никаких мер к обеспечению завода квалифицированной рабочей силой и ИТР.</w:t>
      </w:r>
    </w:p>
    <w:p w14:paraId="0C54FFF5" w14:textId="77777777" w:rsidR="00EB2FA8" w:rsidRPr="00640820" w:rsidRDefault="00EB2FA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Аналогичное положение и по другим эвакуированным в г. Казань предприятиям.</w:t>
      </w:r>
    </w:p>
    <w:p w14:paraId="33EC0D1B" w14:textId="77777777" w:rsidR="00EB2FA8" w:rsidRPr="00640820" w:rsidRDefault="00EB2FA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ЦГА ИПД РТ. Ф. 15. Оп. 5. Д.129. Л. 153-156. Фотокопия (15494).</w:t>
      </w:r>
    </w:p>
    <w:p w14:paraId="01BF9A02" w14:textId="77777777" w:rsidR="00EB2FA8" w:rsidRPr="00640820" w:rsidRDefault="00EB2FA8" w:rsidP="00640820">
      <w:pPr>
        <w:spacing w:after="0" w:line="240" w:lineRule="auto"/>
        <w:jc w:val="both"/>
        <w:rPr>
          <w:rFonts w:ascii="Times New Roman" w:hAnsi="Times New Roman"/>
          <w:color w:val="000000" w:themeColor="text1"/>
          <w:sz w:val="16"/>
          <w:szCs w:val="16"/>
        </w:rPr>
      </w:pPr>
    </w:p>
    <w:p w14:paraId="2E83DF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декабря 1941 г., ввиду поражения вермахта под Мо</w:t>
      </w:r>
      <w:r w:rsidRPr="00640820">
        <w:rPr>
          <w:rFonts w:ascii="Times New Roman" w:hAnsi="Times New Roman"/>
          <w:color w:val="000000" w:themeColor="text1"/>
          <w:sz w:val="16"/>
          <w:szCs w:val="16"/>
        </w:rPr>
        <w:softHyphen/>
        <w:t>сквой, было решено прекратить вывоз оборудования из сто</w:t>
      </w:r>
      <w:r w:rsidRPr="00640820">
        <w:rPr>
          <w:rFonts w:ascii="Times New Roman" w:hAnsi="Times New Roman"/>
          <w:color w:val="000000" w:themeColor="text1"/>
          <w:sz w:val="16"/>
          <w:szCs w:val="16"/>
        </w:rPr>
        <w:softHyphen/>
        <w:t>лицы. Первый этап эвакуации завершился. Теперь на первый план вышла проблема организации массового производства авиатехники в восточных регионах страны. Победа в Москов</w:t>
      </w:r>
      <w:r w:rsidRPr="00640820">
        <w:rPr>
          <w:rFonts w:ascii="Times New Roman" w:hAnsi="Times New Roman"/>
          <w:color w:val="000000" w:themeColor="text1"/>
          <w:sz w:val="16"/>
          <w:szCs w:val="16"/>
        </w:rPr>
        <w:softHyphen/>
        <w:t>ском сражении позволила зимой 1941/42 г. начать реэвакуа</w:t>
      </w:r>
      <w:r w:rsidRPr="00640820">
        <w:rPr>
          <w:rFonts w:ascii="Times New Roman" w:hAnsi="Times New Roman"/>
          <w:color w:val="000000" w:themeColor="text1"/>
          <w:sz w:val="16"/>
          <w:szCs w:val="16"/>
        </w:rPr>
        <w:softHyphen/>
        <w:t>цию научно-исследовательской базы НКАП, завершившуюся к концу 1942 г. (Самолётостроение в СССР. 1917—1945. Кн. 2. М., 1994. С. 219) (12011).</w:t>
      </w:r>
    </w:p>
    <w:p w14:paraId="143505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133AF46"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46D7EDA4"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4C484EB" w14:textId="77777777" w:rsidR="002357E4" w:rsidRPr="00640820" w:rsidRDefault="002357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декабря 1941 вышло Постановление ГКО № 1013 Поручено комиссии в составе Маленкова Г.М. и др. определить необходимость применения нового взрывчатого вещества</w:t>
      </w:r>
    </w:p>
    <w:p w14:paraId="622C0B21" w14:textId="77777777" w:rsidR="002357E4" w:rsidRPr="00640820" w:rsidRDefault="002357E4"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Поручить комиссии в составе т.т.Маленкова, Пономаренко, Гамова, Ледина, Локтионова, Салтыкова, Денисова, Мышкова и Солдатова:</w:t>
      </w:r>
    </w:p>
    <w:p w14:paraId="4EB3D012" w14:textId="77777777" w:rsidR="002357E4" w:rsidRPr="00640820" w:rsidRDefault="002357E4" w:rsidP="00640820">
      <w:pPr>
        <w:tabs>
          <w:tab w:val="left" w:pos="1518"/>
        </w:tabs>
        <w:spacing w:after="0" w:line="240" w:lineRule="auto"/>
        <w:jc w:val="both"/>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1. Определить необходимость применения нового взрывча</w:t>
      </w:r>
      <w:r w:rsidRPr="00640820">
        <w:rPr>
          <w:rFonts w:ascii="Times New Roman" w:eastAsia="Times New Roman" w:hAnsi="Times New Roman"/>
          <w:color w:val="000000" w:themeColor="text1"/>
          <w:sz w:val="16"/>
          <w:szCs w:val="16"/>
        </w:rPr>
        <w:softHyphen/>
        <w:t>того вещества А-1Х-2 для снарядов и авиабомб.</w:t>
      </w:r>
    </w:p>
    <w:p w14:paraId="63422FA2" w14:textId="77777777" w:rsidR="002357E4" w:rsidRPr="00640820" w:rsidRDefault="002357E4" w:rsidP="00640820">
      <w:pPr>
        <w:tabs>
          <w:tab w:val="left" w:pos="1533"/>
        </w:tabs>
        <w:spacing w:after="0" w:line="240" w:lineRule="auto"/>
        <w:jc w:val="both"/>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2. Выработать меры увеличения производства гексогена до 1000 тонн в месяц (19288).</w:t>
      </w:r>
    </w:p>
    <w:p w14:paraId="7D2A45AC" w14:textId="77777777" w:rsidR="002357E4" w:rsidRPr="00640820" w:rsidRDefault="002357E4" w:rsidP="00640820">
      <w:pPr>
        <w:autoSpaceDE w:val="0"/>
        <w:autoSpaceDN w:val="0"/>
        <w:adjustRightInd w:val="0"/>
        <w:spacing w:after="0" w:line="240" w:lineRule="auto"/>
        <w:jc w:val="both"/>
        <w:rPr>
          <w:rFonts w:ascii="Times New Roman" w:hAnsi="Times New Roman"/>
          <w:color w:val="000000" w:themeColor="text1"/>
          <w:sz w:val="16"/>
          <w:szCs w:val="16"/>
        </w:rPr>
      </w:pPr>
    </w:p>
    <w:p w14:paraId="59BFBFEF" w14:textId="77777777" w:rsidR="00EB2FA8" w:rsidRPr="00640820" w:rsidRDefault="00EB2FA8" w:rsidP="00640820">
      <w:pPr>
        <w:pStyle w:val="ae"/>
        <w:shd w:val="clear" w:color="auto" w:fill="FFFFFF"/>
        <w:spacing w:before="0" w:after="0"/>
        <w:jc w:val="both"/>
        <w:rPr>
          <w:color w:val="000000" w:themeColor="text1"/>
          <w:sz w:val="16"/>
          <w:szCs w:val="16"/>
        </w:rPr>
      </w:pPr>
      <w:r w:rsidRPr="00640820">
        <w:rPr>
          <w:color w:val="000000" w:themeColor="text1"/>
          <w:sz w:val="16"/>
          <w:szCs w:val="16"/>
        </w:rPr>
        <w:t>11 декабря 1941 на Уральском артиллерийском полигоне (ныне Нижнетагильский институт испытания металлов (НТИИМ)) закончили испытания стрельбой пушки М75, но из-за занятости испытаниями других систем отчёт о них был составлен только ко 2 января 1942 года.</w:t>
      </w:r>
    </w:p>
    <w:p w14:paraId="2C3315C2" w14:textId="77777777" w:rsidR="00EB2FA8" w:rsidRPr="00640820" w:rsidRDefault="00EB2FA8" w:rsidP="00640820">
      <w:pPr>
        <w:pStyle w:val="ae"/>
        <w:shd w:val="clear" w:color="auto" w:fill="FFFFFF"/>
        <w:spacing w:before="0" w:after="0"/>
        <w:jc w:val="both"/>
        <w:rPr>
          <w:color w:val="000000" w:themeColor="text1"/>
          <w:sz w:val="16"/>
          <w:szCs w:val="16"/>
        </w:rPr>
      </w:pPr>
      <w:r w:rsidRPr="00640820">
        <w:rPr>
          <w:color w:val="000000" w:themeColor="text1"/>
          <w:sz w:val="16"/>
          <w:szCs w:val="16"/>
        </w:rPr>
        <w:t>Общие выводы по испытаниям оказались крайне неоднозначными. Во-первых, живучесть трубы была определена всего в 250–300 выстрелов, что было явно недостаточным. Во-вторых, возникли серьёзные проблемы с бронепробиваемостью. Пушка пробила лист толщиной 152 мм, но случилось это на дистанции всего 100 метров. На дистанции в километр обстрел даже не проводился, поскольку корпуса снарядов оказались непрочными.</w:t>
      </w:r>
    </w:p>
    <w:p w14:paraId="3ED67676" w14:textId="77777777" w:rsidR="00EB2FA8" w:rsidRPr="00640820" w:rsidRDefault="00EB2FA8" w:rsidP="00640820">
      <w:pPr>
        <w:pStyle w:val="ae"/>
        <w:shd w:val="clear" w:color="auto" w:fill="FFFFFF"/>
        <w:spacing w:before="0" w:after="0"/>
        <w:jc w:val="both"/>
        <w:rPr>
          <w:color w:val="000000" w:themeColor="text1"/>
          <w:sz w:val="16"/>
          <w:szCs w:val="16"/>
        </w:rPr>
      </w:pPr>
      <w:r w:rsidRPr="00640820">
        <w:rPr>
          <w:color w:val="000000" w:themeColor="text1"/>
          <w:sz w:val="16"/>
          <w:szCs w:val="16"/>
        </w:rPr>
        <w:t>Впрочем, это было хронической проблемой советских бронебойных снарядов большинства систем, стоявших на вооружении, и решить её удалось далеко не сразу. Реальная скорострельность пушки оказалась всего 5–6 выстрелов в минуту. Наблюдались большие проблемы и с экстракцией гильз. В итоге М75 признали не выдержавшей испытания.</w:t>
      </w:r>
    </w:p>
    <w:p w14:paraId="448B758B" w14:textId="77777777" w:rsidR="00EB2FA8" w:rsidRPr="00640820" w:rsidRDefault="00EB2FA8" w:rsidP="00640820">
      <w:pPr>
        <w:pStyle w:val="ae"/>
        <w:shd w:val="clear" w:color="auto" w:fill="FFFFFF"/>
        <w:spacing w:before="0" w:after="0"/>
        <w:jc w:val="both"/>
        <w:rPr>
          <w:color w:val="000000" w:themeColor="text1"/>
          <w:sz w:val="16"/>
          <w:szCs w:val="16"/>
        </w:rPr>
      </w:pPr>
      <w:r w:rsidRPr="00640820">
        <w:rPr>
          <w:color w:val="000000" w:themeColor="text1"/>
          <w:sz w:val="16"/>
          <w:szCs w:val="16"/>
        </w:rPr>
        <w:t>Потенциально довести М75 до ума завод №172, конечно, мог. Схожие проблемы имели многие пушки, в том числе противотанковые. Ход испытаний показал, каким образом можно устранить выявленные недостатки. Кроме того, как уже говорилось выше, Уральский артиллерийский полигон не был приспособлен к полноценным испытаниям, и в условиях завода можно было решить многие возникшие на полигоне проблемы (17108).</w:t>
      </w:r>
    </w:p>
    <w:p w14:paraId="352925D2" w14:textId="77777777" w:rsidR="00EB2FA8" w:rsidRPr="00640820" w:rsidRDefault="00EB2FA8" w:rsidP="00640820">
      <w:pPr>
        <w:pStyle w:val="ae"/>
        <w:shd w:val="clear" w:color="auto" w:fill="FFFFFF"/>
        <w:spacing w:before="0" w:after="0"/>
        <w:jc w:val="both"/>
        <w:rPr>
          <w:color w:val="000000" w:themeColor="text1"/>
          <w:sz w:val="16"/>
          <w:szCs w:val="16"/>
        </w:rPr>
      </w:pPr>
    </w:p>
    <w:p w14:paraId="069CB858" w14:textId="77777777" w:rsidR="00F83395" w:rsidRPr="00640820" w:rsidRDefault="00F833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11 декабря 1941 закончились стрельбы из М75 на Уральском артиллерийском полигоне (ныне Нижнетагильский институт испытания металлов (НТИИМ)). Огонь вёлся из системы №1 с 5 октября 1941. 16 октября, после 105 выстрелов, по предложению завода №172 испытания приостановили. Связано это было с необходимостью изготовления нового клина и ряда других деталей. Испытания возобновились 3 ноября. После 402 выстрелов из-за большого разгара нарезной части канала ствола трубу №5 заменили на трубу №4. Испытания стрельбой закончили 11 декабря, но из-за занятости испытаниями других систем отчёт о них был составлен только ко 2 января 1942 года.</w:t>
      </w:r>
    </w:p>
    <w:p w14:paraId="4558AD48" w14:textId="77777777" w:rsidR="00F83395" w:rsidRPr="00640820" w:rsidRDefault="00F833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Общие выводы по испытаниям оказались крайне неоднозначными. Во-первых, живучесть трубы была определена всего в 250–300 выстрелов, что было явно недостаточным. Во-вторых, возникли серьёзные проблемы с бронепробиваемостью. Пушка пробила лист толщиной 152 мм, но случилось это на дистанции всего 100 метров. На дистанции в километр обстрел даже не проводился, поскольку корпуса снарядов оказались непрочными.</w:t>
      </w:r>
    </w:p>
    <w:p w14:paraId="75FC8E87" w14:textId="77777777" w:rsidR="00F83395" w:rsidRPr="00640820" w:rsidRDefault="00F833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Впрочем, это было хронической проблемой советских бронебойных снарядов большинства систем, стоявших на вооружении, и решить её удалось далеко не сразу. Реальная скорострельность пушки оказалась всего 5–6 выстрелов в минуту. Наблюдались большие проблемы и с экстракцией гильз. В итоге М75 признали не выдержавшей испытания.</w:t>
      </w:r>
    </w:p>
    <w:p w14:paraId="74F4B60B" w14:textId="77777777" w:rsidR="00F83395" w:rsidRPr="00640820" w:rsidRDefault="00F833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Потенциально довести М75 до ума завод №172, конечно, мог. Схожие проблемы имели многие пушки, в том числе противотанковые. Ход испытаний показал, каким образом можно устранить выявленные недостатки. Кроме того, как уже говорилось выше, Уральский артиллерийский полигон не был приспособлен к полноценным испытаниям, и в условиях завода можно было решить многие возникшие на полигоне проблемы (17650).</w:t>
      </w:r>
    </w:p>
    <w:p w14:paraId="6AF8BE80" w14:textId="77777777" w:rsidR="00F83395" w:rsidRPr="00640820" w:rsidRDefault="00F83395" w:rsidP="00640820">
      <w:pPr>
        <w:spacing w:after="0" w:line="240" w:lineRule="auto"/>
        <w:jc w:val="both"/>
        <w:rPr>
          <w:rFonts w:ascii="Times New Roman" w:hAnsi="Times New Roman"/>
          <w:color w:val="000000" w:themeColor="text1"/>
          <w:sz w:val="16"/>
          <w:szCs w:val="16"/>
        </w:rPr>
      </w:pPr>
    </w:p>
    <w:p w14:paraId="63B134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декабря 1941 НКТП предписал КБ ХПЗ на УТЗ им. Сталина провести комплекс работ по утсранению конструкционных недостатков Т-34 и предусмотреть увеличение лобовой брони до 60 мм. КБ выделили помещение и в январе-феврале 1942 организовали опытный цех (7518, 25).</w:t>
      </w:r>
    </w:p>
    <w:p w14:paraId="2028B0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3FB62F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декабря 1941 начальником БТУ АБТУ был рассмотнен эскизный проект КВ-13 (10782). Инициатором был Гинзбург, который мотивировал свою позицию тем, что существующий танк КВ «недостаточ</w:t>
      </w:r>
      <w:r w:rsidRPr="00640820">
        <w:rPr>
          <w:rFonts w:ascii="Times New Roman" w:hAnsi="Times New Roman"/>
          <w:color w:val="000000" w:themeColor="text1"/>
          <w:sz w:val="16"/>
          <w:szCs w:val="16"/>
        </w:rPr>
        <w:softHyphen/>
        <w:t>но технологичен и в существующем виде непригоден для массового выпуска в условиях военного времени». По его мнению, танки КВ (да и Т-34) в условиях войны должны бы</w:t>
      </w:r>
      <w:r w:rsidRPr="00640820">
        <w:rPr>
          <w:rFonts w:ascii="Times New Roman" w:hAnsi="Times New Roman"/>
          <w:color w:val="000000" w:themeColor="text1"/>
          <w:sz w:val="16"/>
          <w:szCs w:val="16"/>
        </w:rPr>
        <w:softHyphen/>
        <w:t>ли быть сменены неким «единым танком», обладающим мас</w:t>
      </w:r>
      <w:r w:rsidRPr="00640820">
        <w:rPr>
          <w:rFonts w:ascii="Times New Roman" w:hAnsi="Times New Roman"/>
          <w:color w:val="000000" w:themeColor="text1"/>
          <w:sz w:val="16"/>
          <w:szCs w:val="16"/>
        </w:rPr>
        <w:softHyphen/>
        <w:t>сой, как у Т-34, но не свыше 32 т, с броней толщиной не менее 60— 75-мм и имеющим вооружение из 76-мм пушки и двух пулеметов. При этом скорость движения по местности такого танка должна была составлять 20—25 км/ч при макси</w:t>
      </w:r>
      <w:r w:rsidRPr="00640820">
        <w:rPr>
          <w:rFonts w:ascii="Times New Roman" w:hAnsi="Times New Roman"/>
          <w:color w:val="000000" w:themeColor="text1"/>
          <w:sz w:val="16"/>
          <w:szCs w:val="16"/>
        </w:rPr>
        <w:softHyphen/>
        <w:t>мальной не ниже 45—48 км/ч. Наличие такого единого танка позволило бы, по его мне</w:t>
      </w:r>
      <w:r w:rsidRPr="00640820">
        <w:rPr>
          <w:rFonts w:ascii="Times New Roman" w:hAnsi="Times New Roman"/>
          <w:color w:val="000000" w:themeColor="text1"/>
          <w:sz w:val="16"/>
          <w:szCs w:val="16"/>
        </w:rPr>
        <w:softHyphen/>
        <w:t>нию, не только снизить трудоемкость изготовления танков в условиях эвакуации, но и значительно упростить вопросы ремонта, обеспечения и снабжения, а также обучения и ком</w:t>
      </w:r>
      <w:r w:rsidRPr="00640820">
        <w:rPr>
          <w:rFonts w:ascii="Times New Roman" w:hAnsi="Times New Roman"/>
          <w:color w:val="000000" w:themeColor="text1"/>
          <w:sz w:val="16"/>
          <w:szCs w:val="16"/>
        </w:rPr>
        <w:softHyphen/>
        <w:t xml:space="preserve">плектования танковых войск в целом. Нарком, очевидно, разделял эту точку зрения, но только в случае если новый танк будет проще в изготовлении не только танка КВ, но и Т-34, ибо в этом случае </w:t>
      </w:r>
      <w:r w:rsidRPr="00640820">
        <w:rPr>
          <w:rFonts w:ascii="Times New Roman" w:hAnsi="Times New Roman"/>
          <w:color w:val="000000" w:themeColor="text1"/>
          <w:sz w:val="16"/>
          <w:szCs w:val="16"/>
        </w:rPr>
        <w:lastRenderedPageBreak/>
        <w:t>освоение его производства не снизи</w:t>
      </w:r>
      <w:r w:rsidRPr="00640820">
        <w:rPr>
          <w:rFonts w:ascii="Times New Roman" w:hAnsi="Times New Roman"/>
          <w:color w:val="000000" w:themeColor="text1"/>
          <w:sz w:val="16"/>
          <w:szCs w:val="16"/>
        </w:rPr>
        <w:softHyphen/>
        <w:t>ло бы общего выпуска танков на предприятиях Наркомата. Сегодня можно только предполагать, когда ТТТ на но</w:t>
      </w:r>
      <w:r w:rsidRPr="00640820">
        <w:rPr>
          <w:rFonts w:ascii="Times New Roman" w:hAnsi="Times New Roman"/>
          <w:color w:val="000000" w:themeColor="text1"/>
          <w:sz w:val="16"/>
          <w:szCs w:val="16"/>
        </w:rPr>
        <w:softHyphen/>
        <w:t>вый «средний танк усиленного бронирования» поступили в конструкторские бюро. Проект КВ-13, или «Объекта 233», произвел на военных, несомненно, сильное впечатление. Группа конструкторов под руководством С. Махонина предлагала, казалось бы, не</w:t>
      </w:r>
      <w:r w:rsidRPr="00640820">
        <w:rPr>
          <w:rFonts w:ascii="Times New Roman" w:hAnsi="Times New Roman"/>
          <w:color w:val="000000" w:themeColor="text1"/>
          <w:sz w:val="16"/>
          <w:szCs w:val="16"/>
        </w:rPr>
        <w:softHyphen/>
        <w:t>вероятное. Вместо 48-тонного КВ-1 выпускать 30-тонный танк, защищенный броней толщиной не менее 75 мм, и при этом совершенно обойтись без броневого проката большой толщины. Расчетная величина максимальной скорости но</w:t>
      </w:r>
      <w:r w:rsidRPr="00640820">
        <w:rPr>
          <w:rFonts w:ascii="Times New Roman" w:hAnsi="Times New Roman"/>
          <w:color w:val="000000" w:themeColor="text1"/>
          <w:sz w:val="16"/>
          <w:szCs w:val="16"/>
        </w:rPr>
        <w:softHyphen/>
        <w:t>вого танка должна была достигать 60—65 км/час! То есть на</w:t>
      </w:r>
      <w:r w:rsidRPr="00640820">
        <w:rPr>
          <w:rFonts w:ascii="Times New Roman" w:hAnsi="Times New Roman"/>
          <w:color w:val="000000" w:themeColor="text1"/>
          <w:sz w:val="16"/>
          <w:szCs w:val="16"/>
        </w:rPr>
        <w:softHyphen/>
        <w:t>лицо была попытка угодить этой машиной всем требовани</w:t>
      </w:r>
      <w:r w:rsidRPr="00640820">
        <w:rPr>
          <w:rFonts w:ascii="Times New Roman" w:hAnsi="Times New Roman"/>
          <w:color w:val="000000" w:themeColor="text1"/>
          <w:sz w:val="16"/>
          <w:szCs w:val="16"/>
        </w:rPr>
        <w:softHyphen/>
        <w:t>ям военных и производственников. Согласно записке, сори</w:t>
      </w:r>
      <w:r w:rsidRPr="00640820">
        <w:rPr>
          <w:rFonts w:ascii="Times New Roman" w:hAnsi="Times New Roman"/>
          <w:color w:val="000000" w:themeColor="text1"/>
          <w:sz w:val="16"/>
          <w:szCs w:val="16"/>
        </w:rPr>
        <w:softHyphen/>
        <w:t>ентировавшись на КВ-13, АБТУ получало средний танк с бронированием тяжелого, подвижностью легкого и стои</w:t>
      </w:r>
      <w:r w:rsidRPr="00640820">
        <w:rPr>
          <w:rFonts w:ascii="Times New Roman" w:hAnsi="Times New Roman"/>
          <w:color w:val="000000" w:themeColor="text1"/>
          <w:sz w:val="16"/>
          <w:szCs w:val="16"/>
        </w:rPr>
        <w:softHyphen/>
        <w:t>мостью почти на треть меньшей, чем серийный Т-34. Это было похоже на чудо (10782).</w:t>
      </w:r>
    </w:p>
    <w:p w14:paraId="6E0FCB6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FA56E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11 до 23 декабря 1941 доработанный в ноябре КВ-7 прошел отстрел на полигоне, после чего отправлен в Москву для показа высшему командованию Красной Армии. В отчете, зачитанном в ходе показа, отмечалась низкая кучность орудий, и главное — сбивание прицела, которое происходило из-за большого плеча — расстояния между осью вращения блока орудий и осью бокового орудия. Кроме того, из-за несовершенства конструкции спуска ведение огня зал</w:t>
      </w:r>
      <w:r w:rsidRPr="00640820">
        <w:rPr>
          <w:rFonts w:ascii="Times New Roman" w:hAnsi="Times New Roman"/>
          <w:color w:val="000000" w:themeColor="text1"/>
          <w:sz w:val="16"/>
          <w:szCs w:val="16"/>
        </w:rPr>
        <w:softHyphen/>
        <w:t>пами приводило к очередям, ведущим к резким рывкам ору</w:t>
      </w:r>
      <w:r w:rsidRPr="00640820">
        <w:rPr>
          <w:rFonts w:ascii="Times New Roman" w:hAnsi="Times New Roman"/>
          <w:color w:val="000000" w:themeColor="text1"/>
          <w:sz w:val="16"/>
          <w:szCs w:val="16"/>
        </w:rPr>
        <w:softHyphen/>
        <w:t>дийной установки в разные стороны, и потому было призна</w:t>
      </w:r>
      <w:r w:rsidRPr="00640820">
        <w:rPr>
          <w:rFonts w:ascii="Times New Roman" w:hAnsi="Times New Roman"/>
          <w:color w:val="000000" w:themeColor="text1"/>
          <w:sz w:val="16"/>
          <w:szCs w:val="16"/>
        </w:rPr>
        <w:softHyphen/>
        <w:t>но нецелесообразным. Многие ветераны вкладывали в уста К.Е. Ворошилова, осматривавшего щит с пробоинами от снарядов КВ-7, фразу о том, что он считал, что артиллерия --точная наука. В документах по итогам испытаний такая фра</w:t>
      </w:r>
      <w:r w:rsidRPr="00640820">
        <w:rPr>
          <w:rFonts w:ascii="Times New Roman" w:hAnsi="Times New Roman"/>
          <w:color w:val="000000" w:themeColor="text1"/>
          <w:sz w:val="16"/>
          <w:szCs w:val="16"/>
        </w:rPr>
        <w:softHyphen/>
        <w:t>за не значится, но бывший нарком обороны высказал поже</w:t>
      </w:r>
      <w:r w:rsidRPr="00640820">
        <w:rPr>
          <w:rFonts w:ascii="Times New Roman" w:hAnsi="Times New Roman"/>
          <w:color w:val="000000" w:themeColor="text1"/>
          <w:sz w:val="16"/>
          <w:szCs w:val="16"/>
        </w:rPr>
        <w:softHyphen/>
        <w:t>лание установить в КВ-7 поменьше орудий, но помощнее (11417).</w:t>
      </w:r>
    </w:p>
    <w:p w14:paraId="14E4AFC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37AF9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11 по 23 декабря 1941 года опытный образец строенной пушечной установки под заводским индексом У-13 изготовили на Уралмашзаводе в период и испытали отстрелом на стенде на полигоне завода. Окончательная сборка машины, получившей обозначение КВ-7, была выполнена на ЧКЗ в начале 1942 года. Эта машина стала первой тяжелой самоходной артиллерийской установкой, созданной в СССР в годы Великой Отечественной войны. Впервые примененная на этой машине рамочная конструкция установки орудий впоследствии использовалась почти на всех советских самоходках. По сравнению с тумбовыми установками, она обеспечивала наиболее компактное размещение орудия внутри боевой рубки. </w:t>
      </w:r>
    </w:p>
    <w:p w14:paraId="075744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После нескольких заводских пробегов самоход КВ-7 в спешном порядке отправили в Москву. Несмотря на то что КВ-7 проектировался по заявкам военных как «штурмовой танк с массированным артогнем, способный наиболее успешно подавлять артбатареи и разрушать оборонительные сооружения противника», он не получил одобрения у представителей ГБТУ и командования Красной Армии. В качестве главных недостатков машины отмечались: </w:t>
      </w:r>
    </w:p>
    <w:p w14:paraId="39F7B2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наличие в одном блоке орудий различных калибров с различной баллистикой, что не позволяло вести прицельную стрельбу одновременно из трех орудий, так как в зависимости от дистанции до цели углы вертикального наведения орудий различны; </w:t>
      </w:r>
    </w:p>
    <w:p w14:paraId="6E76C2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при стрельбе из крайних орудий, благодаря наличию значительного расстояния между осью вращения блока орудий и осью бокового орудия, происходила большая сбиваемость наводки в горизонтальной плоскости, постоянно увеличивавшаяся в процессе стрельбы. Своим постановлением № 11 Юсе от 6 января 1942 года ГКО «отставил представленный трехорудийный образец КВ-7 и постановил вооружить КВ-7 спаренной установкой 76-мм орудий». </w:t>
      </w:r>
    </w:p>
    <w:p w14:paraId="5D1AA0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Спаренная установка вооружения (заводской индекс У-14) была разработана в КБ УЗТМ в январе 1942 года конструкторами Н.В.Куриным, Т.Ф.Ксюниным и др. По первоначальному графику ЧКЗ планировал изготовить второй экземпляр КВ-7 к 5 февраля 1942 года. Однако из-за недостатка кадров и большого объема работ по обеспечению серийного выпуска КВ-1 второй экземпляр был собран только в апреле и в течение мая — июня проходил испытания. </w:t>
      </w:r>
    </w:p>
    <w:p w14:paraId="618A9E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Эту машину вооружили спаренной системой из двух 76-мм танковых пушек ЗИС-5, размещенных в общей люльке. Огонь мог вестись залпом из двух орудий или одиночными выстрелами из любой пушки. Скорострельность спаренной установки достигала 15 выстр./мин. В боекомплект входили 150 выстрелов к пушкам и 2646 патронов к двум пулеметам ДТ, размещенным аналогично первому образцу КВ-7. Эту САУ продемонстрировали высшему командованию РККА, но на вооружение не приняли. К этому времени стало ясно, что установка в танке или самоходке двух орудий не оправдана, и работы по КВ-7 прекратили (11638).</w:t>
      </w:r>
    </w:p>
    <w:p w14:paraId="1DFB8A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5FD0A6B"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пе</w:t>
      </w:r>
      <w:r w:rsidRPr="00640820">
        <w:rPr>
          <w:rFonts w:ascii="Times New Roman" w:hAnsi="Times New Roman"/>
          <w:color w:val="000000" w:themeColor="text1"/>
          <w:sz w:val="16"/>
          <w:szCs w:val="16"/>
        </w:rPr>
        <w:softHyphen/>
        <w:t>риод с 11 по 23 декабря 1941 года на Уралмашзаводе изготовили опытный образец строенной пушеч</w:t>
      </w:r>
      <w:r w:rsidRPr="00640820">
        <w:rPr>
          <w:rFonts w:ascii="Times New Roman" w:hAnsi="Times New Roman"/>
          <w:color w:val="000000" w:themeColor="text1"/>
          <w:sz w:val="16"/>
          <w:szCs w:val="16"/>
        </w:rPr>
        <w:softHyphen/>
        <w:t>ной установки под заводским индексом У-13 и ис</w:t>
      </w:r>
      <w:r w:rsidRPr="00640820">
        <w:rPr>
          <w:rFonts w:ascii="Times New Roman" w:hAnsi="Times New Roman"/>
          <w:color w:val="000000" w:themeColor="text1"/>
          <w:sz w:val="16"/>
          <w:szCs w:val="16"/>
        </w:rPr>
        <w:softHyphen/>
        <w:t>пытали отстрелом на стенде на полигоне завода. Окончательная сборка машины, получившей обозначение КВ-7, была вы</w:t>
      </w:r>
      <w:r w:rsidRPr="00640820">
        <w:rPr>
          <w:rFonts w:ascii="Times New Roman" w:hAnsi="Times New Roman"/>
          <w:color w:val="000000" w:themeColor="text1"/>
          <w:sz w:val="16"/>
          <w:szCs w:val="16"/>
        </w:rPr>
        <w:softHyphen/>
        <w:t>полнена на ЧКЗ в начале 1942 года. Эта машина стала первой тяжелой самоход</w:t>
      </w:r>
      <w:r w:rsidRPr="00640820">
        <w:rPr>
          <w:rFonts w:ascii="Times New Roman" w:hAnsi="Times New Roman"/>
          <w:color w:val="000000" w:themeColor="text1"/>
          <w:sz w:val="16"/>
          <w:szCs w:val="16"/>
        </w:rPr>
        <w:softHyphen/>
        <w:t>ной артиллерийской установкой, создан</w:t>
      </w:r>
      <w:r w:rsidRPr="00640820">
        <w:rPr>
          <w:rFonts w:ascii="Times New Roman" w:hAnsi="Times New Roman"/>
          <w:color w:val="000000" w:themeColor="text1"/>
          <w:sz w:val="16"/>
          <w:szCs w:val="16"/>
        </w:rPr>
        <w:softHyphen/>
        <w:t>ной в СССР в годы Великой Отечествен</w:t>
      </w:r>
      <w:r w:rsidRPr="00640820">
        <w:rPr>
          <w:rFonts w:ascii="Times New Roman" w:hAnsi="Times New Roman"/>
          <w:color w:val="000000" w:themeColor="text1"/>
          <w:sz w:val="16"/>
          <w:szCs w:val="16"/>
        </w:rPr>
        <w:softHyphen/>
        <w:t>ной войны. Впервые примененная на этой машине рамочная конструкция ус</w:t>
      </w:r>
      <w:r w:rsidRPr="00640820">
        <w:rPr>
          <w:rFonts w:ascii="Times New Roman" w:hAnsi="Times New Roman"/>
          <w:color w:val="000000" w:themeColor="text1"/>
          <w:sz w:val="16"/>
          <w:szCs w:val="16"/>
        </w:rPr>
        <w:softHyphen/>
        <w:t>тановки орудий впоследствии использо</w:t>
      </w:r>
      <w:r w:rsidRPr="00640820">
        <w:rPr>
          <w:rFonts w:ascii="Times New Roman" w:hAnsi="Times New Roman"/>
          <w:color w:val="000000" w:themeColor="text1"/>
          <w:sz w:val="16"/>
          <w:szCs w:val="16"/>
        </w:rPr>
        <w:softHyphen/>
        <w:t>валась почти на всех советских самоход</w:t>
      </w:r>
      <w:r w:rsidRPr="00640820">
        <w:rPr>
          <w:rFonts w:ascii="Times New Roman" w:hAnsi="Times New Roman"/>
          <w:color w:val="000000" w:themeColor="text1"/>
          <w:sz w:val="16"/>
          <w:szCs w:val="16"/>
        </w:rPr>
        <w:softHyphen/>
        <w:t>ках. По сравнению с тумбовыми установ</w:t>
      </w:r>
      <w:r w:rsidRPr="00640820">
        <w:rPr>
          <w:rFonts w:ascii="Times New Roman" w:hAnsi="Times New Roman"/>
          <w:color w:val="000000" w:themeColor="text1"/>
          <w:sz w:val="16"/>
          <w:szCs w:val="16"/>
        </w:rPr>
        <w:softHyphen/>
        <w:t>ками, она обеспечивала наиболее компактное размещение орудия внутри боевой рубки.</w:t>
      </w:r>
    </w:p>
    <w:p w14:paraId="6785945E" w14:textId="77777777" w:rsidR="00EF2C46" w:rsidRPr="00640820" w:rsidRDefault="00EF2C46"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Учитывая сжатые сроки проектирова</w:t>
      </w:r>
      <w:r w:rsidRPr="00640820">
        <w:rPr>
          <w:rFonts w:ascii="Times New Roman" w:cs="Times New Roman"/>
          <w:color w:val="000000" w:themeColor="text1"/>
          <w:spacing w:val="0"/>
        </w:rPr>
        <w:softHyphen/>
        <w:t>ния, в качестве шасси взяли без измене</w:t>
      </w:r>
      <w:r w:rsidRPr="00640820">
        <w:rPr>
          <w:rFonts w:ascii="Times New Roman" w:cs="Times New Roman"/>
          <w:color w:val="000000" w:themeColor="text1"/>
          <w:spacing w:val="0"/>
        </w:rPr>
        <w:softHyphen/>
        <w:t>ний ходовую часть танка КВ-1. В перед</w:t>
      </w:r>
      <w:r w:rsidRPr="00640820">
        <w:rPr>
          <w:rFonts w:ascii="Times New Roman" w:cs="Times New Roman"/>
          <w:color w:val="000000" w:themeColor="text1"/>
          <w:spacing w:val="0"/>
        </w:rPr>
        <w:softHyphen/>
        <w:t>ней части корпуса смонтировали боевую рубку, сваренную из 75-мм броневых ли</w:t>
      </w:r>
      <w:r w:rsidRPr="00640820">
        <w:rPr>
          <w:rFonts w:ascii="Times New Roman" w:cs="Times New Roman"/>
          <w:color w:val="000000" w:themeColor="text1"/>
          <w:spacing w:val="0"/>
        </w:rPr>
        <w:softHyphen/>
        <w:t>стов. Кроме того, лобовые листы корпуса и рубки усилили 20-мм броневыми экра</w:t>
      </w:r>
      <w:r w:rsidRPr="00640820">
        <w:rPr>
          <w:rFonts w:ascii="Times New Roman" w:cs="Times New Roman"/>
          <w:color w:val="000000" w:themeColor="text1"/>
          <w:spacing w:val="0"/>
        </w:rPr>
        <w:softHyphen/>
        <w:t>нами. Рубка была шире корпуса, поэтому с бортов выходила за его габариты и на</w:t>
      </w:r>
      <w:r w:rsidRPr="00640820">
        <w:rPr>
          <w:rFonts w:ascii="Times New Roman" w:cs="Times New Roman"/>
          <w:color w:val="000000" w:themeColor="text1"/>
          <w:spacing w:val="0"/>
        </w:rPr>
        <w:softHyphen/>
        <w:t>висала над гусеницами. Из-за больших, по сравнению с танком, габаритов воору</w:t>
      </w:r>
      <w:r w:rsidRPr="00640820">
        <w:rPr>
          <w:rFonts w:ascii="Times New Roman" w:cs="Times New Roman"/>
          <w:color w:val="000000" w:themeColor="text1"/>
          <w:spacing w:val="0"/>
        </w:rPr>
        <w:softHyphen/>
        <w:t>жения в машине пришлось изменить расположение топливных и масляных ба</w:t>
      </w:r>
      <w:r w:rsidRPr="00640820">
        <w:rPr>
          <w:rFonts w:ascii="Times New Roman" w:cs="Times New Roman"/>
          <w:color w:val="000000" w:themeColor="text1"/>
          <w:spacing w:val="0"/>
        </w:rPr>
        <w:softHyphen/>
        <w:t>ков.</w:t>
      </w:r>
    </w:p>
    <w:p w14:paraId="0A99D0C3"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Артиллерийские орудия, согласно зада</w:t>
      </w:r>
      <w:r w:rsidRPr="00640820">
        <w:rPr>
          <w:rFonts w:ascii="Times New Roman" w:hAnsi="Times New Roman"/>
          <w:color w:val="000000" w:themeColor="text1"/>
          <w:sz w:val="16"/>
          <w:szCs w:val="16"/>
        </w:rPr>
        <w:softHyphen/>
        <w:t>нию, должны были быть смонтированы в едином блоке. Предполагалось, что одна машина, вооруженная тремя пушками, сможет более эффективно обеспечить поражение различных целей при сопро</w:t>
      </w:r>
      <w:r w:rsidRPr="00640820">
        <w:rPr>
          <w:rFonts w:ascii="Times New Roman" w:hAnsi="Times New Roman"/>
          <w:color w:val="000000" w:themeColor="text1"/>
          <w:sz w:val="16"/>
          <w:szCs w:val="16"/>
        </w:rPr>
        <w:softHyphen/>
        <w:t>вождении танков. В итоге вооружение машины состояло из строенных на об</w:t>
      </w:r>
      <w:r w:rsidRPr="00640820">
        <w:rPr>
          <w:rFonts w:ascii="Times New Roman" w:hAnsi="Times New Roman"/>
          <w:color w:val="000000" w:themeColor="text1"/>
          <w:sz w:val="16"/>
          <w:szCs w:val="16"/>
        </w:rPr>
        <w:softHyphen/>
        <w:t>щей люльке одной 76-мм танковой пуш</w:t>
      </w:r>
      <w:r w:rsidRPr="00640820">
        <w:rPr>
          <w:rFonts w:ascii="Times New Roman" w:hAnsi="Times New Roman"/>
          <w:color w:val="000000" w:themeColor="text1"/>
          <w:sz w:val="16"/>
          <w:szCs w:val="16"/>
        </w:rPr>
        <w:softHyphen/>
        <w:t>ки Ф-34 и двух 45-мм танковых пушек 20К обр. 1932/34 г. Конструкция установ</w:t>
      </w:r>
      <w:r w:rsidRPr="00640820">
        <w:rPr>
          <w:rFonts w:ascii="Times New Roman" w:hAnsi="Times New Roman"/>
          <w:color w:val="000000" w:themeColor="text1"/>
          <w:sz w:val="16"/>
          <w:szCs w:val="16"/>
        </w:rPr>
        <w:softHyphen/>
        <w:t>ки позволяла производить одновремен</w:t>
      </w:r>
      <w:r w:rsidRPr="00640820">
        <w:rPr>
          <w:rFonts w:ascii="Times New Roman" w:hAnsi="Times New Roman"/>
          <w:color w:val="000000" w:themeColor="text1"/>
          <w:sz w:val="16"/>
          <w:szCs w:val="16"/>
        </w:rPr>
        <w:softHyphen/>
        <w:t>ный залп из трех орудий или вести оди</w:t>
      </w:r>
      <w:r w:rsidRPr="00640820">
        <w:rPr>
          <w:rFonts w:ascii="Times New Roman" w:hAnsi="Times New Roman"/>
          <w:color w:val="000000" w:themeColor="text1"/>
          <w:sz w:val="16"/>
          <w:szCs w:val="16"/>
        </w:rPr>
        <w:softHyphen/>
        <w:t>ночный огонь из любого из них. Общая люлька с полосками и гнездами для крепления противооткатных устройств всех трех орудий имела возможность с помощью подъемного механизма вертикально вращаться на горизонтальных цапфах, закрепленных в массивной рам</w:t>
      </w:r>
      <w:r w:rsidRPr="00640820">
        <w:rPr>
          <w:rFonts w:ascii="Times New Roman" w:hAnsi="Times New Roman"/>
          <w:color w:val="000000" w:themeColor="text1"/>
          <w:sz w:val="16"/>
          <w:szCs w:val="16"/>
        </w:rPr>
        <w:softHyphen/>
        <w:t>ке. В свою очередь, рамка могла с помо</w:t>
      </w:r>
      <w:r w:rsidRPr="00640820">
        <w:rPr>
          <w:rFonts w:ascii="Times New Roman" w:hAnsi="Times New Roman"/>
          <w:color w:val="000000" w:themeColor="text1"/>
          <w:sz w:val="16"/>
          <w:szCs w:val="16"/>
        </w:rPr>
        <w:softHyphen/>
        <w:t>щью поворотного механизма горизон</w:t>
      </w:r>
      <w:r w:rsidRPr="00640820">
        <w:rPr>
          <w:rFonts w:ascii="Times New Roman" w:hAnsi="Times New Roman"/>
          <w:color w:val="000000" w:themeColor="text1"/>
          <w:sz w:val="16"/>
          <w:szCs w:val="16"/>
        </w:rPr>
        <w:softHyphen/>
        <w:t>тально вращаться на вертикальных цап</w:t>
      </w:r>
      <w:r w:rsidRPr="00640820">
        <w:rPr>
          <w:rFonts w:ascii="Times New Roman" w:hAnsi="Times New Roman"/>
          <w:color w:val="000000" w:themeColor="text1"/>
          <w:sz w:val="16"/>
          <w:szCs w:val="16"/>
        </w:rPr>
        <w:softHyphen/>
        <w:t>фах, закрепленных в неподвижной бронировке, установленной на корпусе машины. Таким образом, наведение всех трех орудий производилось одновремен</w:t>
      </w:r>
      <w:r w:rsidRPr="00640820">
        <w:rPr>
          <w:rFonts w:ascii="Times New Roman" w:hAnsi="Times New Roman"/>
          <w:color w:val="000000" w:themeColor="text1"/>
          <w:sz w:val="16"/>
          <w:szCs w:val="16"/>
        </w:rPr>
        <w:softHyphen/>
        <w:t>но общими механизмами. Вертикальный угол наведения составлял от +15° до -5°, горизонтальный — 15°, то есть по 7°30' в каждую сторону. Неподвижная брони</w:t>
      </w:r>
      <w:r w:rsidRPr="00640820">
        <w:rPr>
          <w:rFonts w:ascii="Times New Roman" w:hAnsi="Times New Roman"/>
          <w:color w:val="000000" w:themeColor="text1"/>
          <w:sz w:val="16"/>
          <w:szCs w:val="16"/>
        </w:rPr>
        <w:softHyphen/>
        <w:t>ровка прикрывалась подвижным щитом толщиной 100 мм. Зазор между подвиж</w:t>
      </w:r>
      <w:r w:rsidRPr="00640820">
        <w:rPr>
          <w:rFonts w:ascii="Times New Roman" w:hAnsi="Times New Roman"/>
          <w:color w:val="000000" w:themeColor="text1"/>
          <w:sz w:val="16"/>
          <w:szCs w:val="16"/>
        </w:rPr>
        <w:softHyphen/>
        <w:t>ной бронировкой и корпусом машины был защищен броневым прикрытием. При стрельбе из пушек использовался телескопический прицел ТМФД-7. Вспо</w:t>
      </w:r>
      <w:r w:rsidRPr="00640820">
        <w:rPr>
          <w:rFonts w:ascii="Times New Roman" w:hAnsi="Times New Roman"/>
          <w:color w:val="000000" w:themeColor="text1"/>
          <w:sz w:val="16"/>
          <w:szCs w:val="16"/>
        </w:rPr>
        <w:softHyphen/>
        <w:t>могательным вооружением служили два пулемета ДТ, установленные в шаровых опорах: один - в лобовом листе корпуса, второй — в кормовом листе боевой руб</w:t>
      </w:r>
      <w:r w:rsidRPr="00640820">
        <w:rPr>
          <w:rFonts w:ascii="Times New Roman" w:hAnsi="Times New Roman"/>
          <w:color w:val="000000" w:themeColor="text1"/>
          <w:sz w:val="16"/>
          <w:szCs w:val="16"/>
        </w:rPr>
        <w:softHyphen/>
        <w:t>ки. Боекомплект машины состоял из 93 выстрелов калибра 76 мм, 200 выстрелов калибра 45 мм и 3591 патрона к пулеме</w:t>
      </w:r>
      <w:r w:rsidRPr="00640820">
        <w:rPr>
          <w:rFonts w:ascii="Times New Roman" w:hAnsi="Times New Roman"/>
          <w:color w:val="000000" w:themeColor="text1"/>
          <w:sz w:val="16"/>
          <w:szCs w:val="16"/>
        </w:rPr>
        <w:softHyphen/>
        <w:t>там ДТ. Экипаж установки включал шесть человек. Механик-водитель и стрелок-радист находились в отделении управления аналогично танку КВ-1. В боевом отделении слева от орудий разме</w:t>
      </w:r>
      <w:r w:rsidRPr="00640820">
        <w:rPr>
          <w:rFonts w:ascii="Times New Roman" w:hAnsi="Times New Roman"/>
          <w:color w:val="000000" w:themeColor="text1"/>
          <w:sz w:val="16"/>
          <w:szCs w:val="16"/>
        </w:rPr>
        <w:softHyphen/>
        <w:t>щался наводчик, за ним — первый заря</w:t>
      </w:r>
      <w:r w:rsidRPr="00640820">
        <w:rPr>
          <w:rFonts w:ascii="Times New Roman" w:hAnsi="Times New Roman"/>
          <w:color w:val="000000" w:themeColor="text1"/>
          <w:sz w:val="16"/>
          <w:szCs w:val="16"/>
        </w:rPr>
        <w:softHyphen/>
        <w:t>жающий, справа от орудий впереди — ко</w:t>
      </w:r>
      <w:r w:rsidRPr="00640820">
        <w:rPr>
          <w:rFonts w:ascii="Times New Roman" w:hAnsi="Times New Roman"/>
          <w:color w:val="000000" w:themeColor="text1"/>
          <w:sz w:val="16"/>
          <w:szCs w:val="16"/>
        </w:rPr>
        <w:softHyphen/>
        <w:t>мандир машины, за ним — второй заря</w:t>
      </w:r>
      <w:r w:rsidRPr="00640820">
        <w:rPr>
          <w:rFonts w:ascii="Times New Roman" w:hAnsi="Times New Roman"/>
          <w:color w:val="000000" w:themeColor="text1"/>
          <w:sz w:val="16"/>
          <w:szCs w:val="16"/>
        </w:rPr>
        <w:softHyphen/>
        <w:t>жающий (15232).</w:t>
      </w:r>
    </w:p>
    <w:p w14:paraId="49EA90EC" w14:textId="77777777" w:rsidR="00EF2C46" w:rsidRPr="00640820" w:rsidRDefault="00EF2C46" w:rsidP="00640820">
      <w:pPr>
        <w:spacing w:after="0" w:line="240" w:lineRule="auto"/>
        <w:jc w:val="both"/>
        <w:rPr>
          <w:rFonts w:ascii="Times New Roman" w:hAnsi="Times New Roman"/>
          <w:color w:val="000000" w:themeColor="text1"/>
          <w:sz w:val="16"/>
          <w:szCs w:val="16"/>
        </w:rPr>
      </w:pPr>
    </w:p>
    <w:p w14:paraId="46C67D8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декабря 1941 г. была подготовлена ДОКЛАДНАЯ ЗАПИСКА НАЧАЛЬНИКУ ГАБТУ О ЗАКАЗАХ И ПОСТАВКЕ ИМПОРТНЫХ АВТОМАШИН</w:t>
      </w:r>
    </w:p>
    <w:p w14:paraId="47CAB56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Сообщаем о ходе реализации и отгрузке грузовых автомобилей по состоянию на 30.11.1941 г., согласно сообщения Амторга:</w:t>
      </w:r>
    </w:p>
    <w:p w14:paraId="469E18F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 Заказы, размещенные в октябре с.г. на 5200 грузовиков.</w:t>
      </w:r>
    </w:p>
    <w:p w14:paraId="3A2FBE4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Заказ № 41401 на 1000 грузовиков «Студебекер» 2,5 т, 3-осные, со всеми ведущими колесами, б цилиндровым двигателем «Геркулес» модели 1 ХД. Шины — вездеходы 7,5x20 — восьмислойные. Кузов с брезентовым верхом и откидными сидениями для бойцов.</w:t>
      </w:r>
    </w:p>
    <w:p w14:paraId="54A4674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транспортирования грузовиков морем и упаковки колеса, капот, кабина и кузов сняты, руль разъединен.</w:t>
      </w:r>
    </w:p>
    <w:p w14:paraId="421A66A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Упаковка осуществляется следующим образом:</w:t>
      </w:r>
    </w:p>
    <w:p w14:paraId="09E020E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 ящик — 1 шасси с колесами;</w:t>
      </w:r>
    </w:p>
    <w:p w14:paraId="765B25C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 ящик — 2 кабинки;</w:t>
      </w:r>
    </w:p>
    <w:p w14:paraId="21C4C6F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 место — 2 кузова связаны вместе с уложенными вниз брезентовыми верхами. Таким образом, каждые 2 грузовика транспортируются в 4 ящиках.</w:t>
      </w:r>
    </w:p>
    <w:p w14:paraId="1511C7D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Заказ № 41395 на 500 грузовиков «Интернашионал» по той же спецификации, как грузовики «Студебекер», за исключением мотора, который фирма «Интернашионал Харвестер Ко» ставит сво</w:t>
      </w:r>
      <w:r w:rsidRPr="00640820">
        <w:rPr>
          <w:rFonts w:ascii="Times New Roman" w:hAnsi="Times New Roman"/>
          <w:color w:val="000000" w:themeColor="text1"/>
          <w:sz w:val="16"/>
          <w:szCs w:val="16"/>
        </w:rPr>
        <w:softHyphen/>
        <w:t>его производства. Фирма «Студебекер» и «Интернашионал Харвестер» строят свои грузовики по об</w:t>
      </w:r>
      <w:r w:rsidRPr="00640820">
        <w:rPr>
          <w:rFonts w:ascii="Times New Roman" w:hAnsi="Times New Roman"/>
          <w:color w:val="000000" w:themeColor="text1"/>
          <w:sz w:val="16"/>
          <w:szCs w:val="16"/>
        </w:rPr>
        <w:softHyphen/>
        <w:t>щей спецификации американского военного ведомства. Метод упаковки и транспортирования тот же, что и у фирмы «Студебекер», т.е. 2 грузовика упакованы и перевозятся в 4 ящиках.</w:t>
      </w:r>
    </w:p>
    <w:p w14:paraId="662BB82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Заказ № 41402 на 2000 грузовиков «Форд» 1,5 тонн, 2-осные с приводом на задние колеса, дви</w:t>
      </w:r>
      <w:r w:rsidRPr="00640820">
        <w:rPr>
          <w:rFonts w:ascii="Times New Roman" w:hAnsi="Times New Roman"/>
          <w:color w:val="000000" w:themeColor="text1"/>
          <w:sz w:val="16"/>
          <w:szCs w:val="16"/>
        </w:rPr>
        <w:softHyphen/>
        <w:t>гатель 90 НР.</w:t>
      </w:r>
    </w:p>
    <w:p w14:paraId="36457DF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них 300 машин имеют стандартные покрышки размером 32x6, десятислойные, 1700 грузови</w:t>
      </w:r>
      <w:r w:rsidRPr="00640820">
        <w:rPr>
          <w:rFonts w:ascii="Times New Roman" w:hAnsi="Times New Roman"/>
          <w:color w:val="000000" w:themeColor="text1"/>
          <w:sz w:val="16"/>
          <w:szCs w:val="16"/>
        </w:rPr>
        <w:softHyphen/>
        <w:t>ков снабжены шинами типа вездеходы размером 7,5x20, восьмислойными.</w:t>
      </w:r>
    </w:p>
    <w:p w14:paraId="22FE9B5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Упаковка грузовиков производится со снятыми колесами, крыльями, радиаторами, кабинами, кузовом и разъединенным рулем.</w:t>
      </w:r>
    </w:p>
    <w:p w14:paraId="1C992E7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Упаковка грузовиков для морской перевозки фирмой «Форд» производится двумя способами.</w:t>
      </w:r>
    </w:p>
    <w:p w14:paraId="3B9791D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вариант, по которому упаковано 200 грузовиков «Форд»:</w:t>
      </w:r>
    </w:p>
    <w:p w14:paraId="40C301C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ящик — 1 шасси;</w:t>
      </w:r>
    </w:p>
    <w:p w14:paraId="1428283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ящик — 2 кабины;</w:t>
      </w:r>
    </w:p>
    <w:p w14:paraId="639C195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место — 2 платформы кузовов;</w:t>
      </w:r>
    </w:p>
    <w:p w14:paraId="76857B3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место — 2 комплекта бортов 2 грузовиков.</w:t>
      </w:r>
    </w:p>
    <w:p w14:paraId="79D3FD6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Следовательно, каждые два грузовика транспортируются в пяти ящиках.</w:t>
      </w:r>
    </w:p>
    <w:p w14:paraId="54AD93A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вариант, по которому упакованы 1800 грузовиков «Форд»:</w:t>
      </w:r>
    </w:p>
    <w:p w14:paraId="2206B79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ящик — 2 шасси;</w:t>
      </w:r>
    </w:p>
    <w:p w14:paraId="76BE566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1 ящик — 2 кабины;</w:t>
      </w:r>
    </w:p>
    <w:p w14:paraId="7F06785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место — 2 платформы с 2 комплектами бортов.</w:t>
      </w:r>
    </w:p>
    <w:p w14:paraId="3644E08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Таким образом, по второму варианту каждые 2 грузовика транспортируются в 3 ящиках.</w:t>
      </w:r>
    </w:p>
    <w:p w14:paraId="0B676DC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Заказ № 41403 на 1700 грузовиков «Додж» 1,5 тонн, двухосные с приводом на задние колеса, мотор шестицилиндровый 115 НР.</w:t>
      </w:r>
    </w:p>
    <w:p w14:paraId="19EBE62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1100 грузовиков снабжены десятислойными стандартными покрышками 32x6, а 600 грузовиков снабжены покрышками — вездеходами, восьмислойными размера 7,5x20.</w:t>
      </w:r>
    </w:p>
    <w:p w14:paraId="09E9451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Грузовики упакованы с демонтированными колесами, крыльями, радиатором, кабиной, кузовом и разъединенным рулем:</w:t>
      </w:r>
    </w:p>
    <w:p w14:paraId="550CD59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ящик — 1 шасси;</w:t>
      </w:r>
    </w:p>
    <w:p w14:paraId="686B690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ящик — 2 кабины;</w:t>
      </w:r>
    </w:p>
    <w:p w14:paraId="7BA8596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место — 2 платформы;</w:t>
      </w:r>
    </w:p>
    <w:p w14:paraId="047B936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место — 2 комплекта бортов.</w:t>
      </w:r>
    </w:p>
    <w:p w14:paraId="13D3749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Таким образом, каждые 2 грузовика транспортируются в 5 ящиках.</w:t>
      </w:r>
    </w:p>
    <w:p w14:paraId="322BD2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kern w:val="65535"/>
          <w:sz w:val="16"/>
          <w:szCs w:val="16"/>
        </w:rPr>
      </w:pPr>
      <w:r w:rsidRPr="00640820">
        <w:rPr>
          <w:rFonts w:ascii="Times New Roman" w:hAnsi="Times New Roman"/>
          <w:color w:val="000000" w:themeColor="text1"/>
          <w:kern w:val="65535"/>
          <w:sz w:val="16"/>
          <w:szCs w:val="16"/>
        </w:rPr>
        <w:t>Запасные части для перечисленных выше 5200 заказанных грузовиков поставляются по нормам и спецификациям Америкарккого Военного Ведомства. Комплекты запчастей включают на каждые 100 грузовиков несколько агрегатов в сборе.</w:t>
      </w:r>
    </w:p>
    <w:p w14:paraId="5643643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сборки грузовиков «Додж» требуется закрытое гаражное помещение, оборудованное подъ</w:t>
      </w:r>
      <w:r w:rsidRPr="00640820">
        <w:rPr>
          <w:rFonts w:ascii="Times New Roman" w:hAnsi="Times New Roman"/>
          <w:color w:val="000000" w:themeColor="text1"/>
          <w:sz w:val="16"/>
          <w:szCs w:val="16"/>
        </w:rPr>
        <w:softHyphen/>
        <w:t>емным краном.</w:t>
      </w:r>
    </w:p>
    <w:p w14:paraId="7269102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каждые 100 грузовиков «Додж» отправляются 2 комплекта специального инструмента для ре</w:t>
      </w:r>
      <w:r w:rsidRPr="00640820">
        <w:rPr>
          <w:rFonts w:ascii="Times New Roman" w:hAnsi="Times New Roman"/>
          <w:color w:val="000000" w:themeColor="text1"/>
          <w:sz w:val="16"/>
          <w:szCs w:val="16"/>
        </w:rPr>
        <w:softHyphen/>
        <w:t>гулировки передка и заднего моста.</w:t>
      </w:r>
    </w:p>
    <w:p w14:paraId="439CED5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Аккумуляторы всех машин отправляются в сухом состоянии и должны заполняться и заряжаться в Союзе.</w:t>
      </w:r>
    </w:p>
    <w:p w14:paraId="764A590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II. Заказы, размещенные в ноябре на 4800 грузовиков.</w:t>
      </w:r>
    </w:p>
    <w:p w14:paraId="1D47533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«Дженерал Моторс» - 1200 грузовиков 2,5 тонны, трехосные с приводом на все колеса.</w:t>
      </w:r>
    </w:p>
    <w:p w14:paraId="54512D6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«Шевроле» - 1200 грузовиков 1,5 тонны, двухосные с приводом на все колеса.</w:t>
      </w:r>
    </w:p>
    <w:p w14:paraId="4947343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«Форд» - 1200 грузовиков 1,5 тонны, как по заказу № 41402.</w:t>
      </w:r>
    </w:p>
    <w:p w14:paraId="4BA9EDA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«Додж» - 1200 грузовиков 1,5 тонны, как по заказу № 41403.</w:t>
      </w:r>
    </w:p>
    <w:p w14:paraId="510E0B4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Амторг сообщает, что американские фирмы в состоянии поставить 10000 грузовиков разного тоннажа в месяц, однако имеются трудности с получением тоннажа для морского транспортирова</w:t>
      </w:r>
      <w:r w:rsidRPr="00640820">
        <w:rPr>
          <w:rFonts w:ascii="Times New Roman" w:hAnsi="Times New Roman"/>
          <w:color w:val="000000" w:themeColor="text1"/>
          <w:sz w:val="16"/>
          <w:szCs w:val="16"/>
        </w:rPr>
        <w:softHyphen/>
        <w:t>ния такого количества машин.</w:t>
      </w:r>
    </w:p>
    <w:p w14:paraId="22D4BD0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Амторг добивается обеспечения его необходимым тоннажем, и будет размещать заказы на ко</w:t>
      </w:r>
      <w:r w:rsidRPr="00640820">
        <w:rPr>
          <w:rFonts w:ascii="Times New Roman" w:hAnsi="Times New Roman"/>
          <w:color w:val="000000" w:themeColor="text1"/>
          <w:sz w:val="16"/>
          <w:szCs w:val="16"/>
        </w:rPr>
        <w:softHyphen/>
        <w:t>личества, вывоз которых гарантируется ежемесячно.</w:t>
      </w:r>
    </w:p>
    <w:p w14:paraId="56647B8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оформления дальнейших заказов Амторг просит срочно ответить на выдвинутые американ</w:t>
      </w:r>
      <w:r w:rsidRPr="00640820">
        <w:rPr>
          <w:rFonts w:ascii="Times New Roman" w:hAnsi="Times New Roman"/>
          <w:color w:val="000000" w:themeColor="text1"/>
          <w:sz w:val="16"/>
          <w:szCs w:val="16"/>
        </w:rPr>
        <w:softHyphen/>
        <w:t>ским военным ведомством вопросы:</w:t>
      </w:r>
    </w:p>
    <w:p w14:paraId="67E3B68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Нужны ли прицепы для грузовиков «Дженерал Моторс» и «Шевроле»?</w:t>
      </w:r>
    </w:p>
    <w:p w14:paraId="25DEDDC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Потребность в легких, средних и тяжелых грузовиках, т.е. необходимое соотношение 1,5-тон</w:t>
      </w:r>
      <w:r w:rsidRPr="00640820">
        <w:rPr>
          <w:rFonts w:ascii="Times New Roman" w:hAnsi="Times New Roman"/>
          <w:color w:val="000000" w:themeColor="text1"/>
          <w:sz w:val="16"/>
          <w:szCs w:val="16"/>
        </w:rPr>
        <w:softHyphen/>
        <w:t>ных, 2,5-тонных и 3-тонных грузовиков.</w:t>
      </w:r>
    </w:p>
    <w:p w14:paraId="71EF92C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Имеется ли потребность в 5-тонных и более тяжелых грузовиках?</w:t>
      </w:r>
    </w:p>
    <w:p w14:paraId="0EDEDAE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Какой процент из закупаемых грузовиков желательно иметь со всеми ведущими колесами?</w:t>
      </w:r>
    </w:p>
    <w:p w14:paraId="168168A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Ход отгрузки из портов США по пароходам приведен в прилагаемой таблице.</w:t>
      </w:r>
    </w:p>
    <w:p w14:paraId="7D997F9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Просим Вас сообщить нам фамилии Ваших уполномоченных представителей в портах для ин</w:t>
      </w:r>
      <w:r w:rsidRPr="00640820">
        <w:rPr>
          <w:rFonts w:ascii="Times New Roman" w:hAnsi="Times New Roman"/>
          <w:color w:val="000000" w:themeColor="text1"/>
          <w:sz w:val="16"/>
          <w:szCs w:val="16"/>
        </w:rPr>
        <w:softHyphen/>
        <w:t>формации их о судах, имеющих прибыть с грузовиками.</w:t>
      </w:r>
    </w:p>
    <w:p w14:paraId="04C2019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Нами дано указание в Архангельск уполномоченному НКВТ в отношении разнарядки грузови</w:t>
      </w:r>
      <w:r w:rsidRPr="00640820">
        <w:rPr>
          <w:rFonts w:ascii="Times New Roman" w:hAnsi="Times New Roman"/>
          <w:color w:val="000000" w:themeColor="text1"/>
          <w:sz w:val="16"/>
          <w:szCs w:val="16"/>
        </w:rPr>
        <w:softHyphen/>
        <w:t>ков руководствоваться и исполнять указания Вашего полномочного представителя.</w:t>
      </w:r>
    </w:p>
    <w:p w14:paraId="21C4611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Приложение: ведомость отгрузок.</w:t>
      </w:r>
    </w:p>
    <w:p w14:paraId="05CE6C2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председателя в/о «Технопромимпорт» Баяр</w:t>
      </w:r>
    </w:p>
    <w:p w14:paraId="5B17ED1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Приложение</w:t>
      </w:r>
    </w:p>
    <w:p w14:paraId="3FF015F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Ведомость отгрузок</w:t>
      </w:r>
    </w:p>
    <w:tbl>
      <w:tblPr>
        <w:tblW w:w="0" w:type="auto"/>
        <w:tblInd w:w="40" w:type="dxa"/>
        <w:tblLayout w:type="fixed"/>
        <w:tblCellMar>
          <w:left w:w="40" w:type="dxa"/>
          <w:right w:w="40" w:type="dxa"/>
        </w:tblCellMar>
        <w:tblLook w:val="0000" w:firstRow="0" w:lastRow="0" w:firstColumn="0" w:lastColumn="0" w:noHBand="0" w:noVBand="0"/>
      </w:tblPr>
      <w:tblGrid>
        <w:gridCol w:w="1123"/>
        <w:gridCol w:w="230"/>
        <w:gridCol w:w="470"/>
        <w:gridCol w:w="710"/>
        <w:gridCol w:w="595"/>
        <w:gridCol w:w="701"/>
        <w:gridCol w:w="586"/>
        <w:gridCol w:w="586"/>
        <w:gridCol w:w="710"/>
        <w:gridCol w:w="710"/>
        <w:gridCol w:w="595"/>
        <w:gridCol w:w="691"/>
        <w:gridCol w:w="586"/>
        <w:gridCol w:w="451"/>
        <w:gridCol w:w="826"/>
      </w:tblGrid>
      <w:tr w:rsidR="00643896" w:rsidRPr="00640820" w14:paraId="448CAE63" w14:textId="77777777" w:rsidTr="000D3BCB">
        <w:trPr>
          <w:trHeight w:val="134"/>
        </w:trPr>
        <w:tc>
          <w:tcPr>
            <w:tcW w:w="1123" w:type="dxa"/>
            <w:tcBorders>
              <w:top w:val="single" w:sz="6" w:space="0" w:color="auto"/>
              <w:left w:val="single" w:sz="6" w:space="0" w:color="auto"/>
              <w:bottom w:val="nil"/>
              <w:right w:val="single" w:sz="6" w:space="0" w:color="auto"/>
            </w:tcBorders>
          </w:tcPr>
          <w:p w14:paraId="7886EFC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Заказанное и отгруженное количество на п/х</w:t>
            </w:r>
          </w:p>
          <w:p w14:paraId="6BA8AF3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0" w:type="dxa"/>
            <w:gridSpan w:val="2"/>
            <w:tcBorders>
              <w:top w:val="single" w:sz="6" w:space="0" w:color="auto"/>
              <w:left w:val="single" w:sz="6" w:space="0" w:color="auto"/>
              <w:bottom w:val="nil"/>
              <w:right w:val="single" w:sz="6" w:space="0" w:color="auto"/>
            </w:tcBorders>
          </w:tcPr>
          <w:p w14:paraId="415653E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Заказ фирма тоннаж тип</w:t>
            </w:r>
          </w:p>
          <w:p w14:paraId="27DDA20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47" w:type="dxa"/>
            <w:gridSpan w:val="12"/>
            <w:tcBorders>
              <w:top w:val="single" w:sz="6" w:space="0" w:color="auto"/>
              <w:left w:val="single" w:sz="6" w:space="0" w:color="auto"/>
              <w:bottom w:val="single" w:sz="6" w:space="0" w:color="auto"/>
              <w:right w:val="single" w:sz="6" w:space="0" w:color="auto"/>
            </w:tcBorders>
          </w:tcPr>
          <w:p w14:paraId="7C9EC47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Заказы выданные в октябре 1941 года</w:t>
            </w:r>
          </w:p>
          <w:p w14:paraId="71E3A06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9055FA7" w14:textId="77777777" w:rsidTr="000D3BCB">
        <w:trPr>
          <w:trHeight w:val="787"/>
        </w:trPr>
        <w:tc>
          <w:tcPr>
            <w:tcW w:w="1123" w:type="dxa"/>
            <w:tcBorders>
              <w:top w:val="nil"/>
              <w:left w:val="single" w:sz="6" w:space="0" w:color="auto"/>
              <w:bottom w:val="nil"/>
              <w:right w:val="single" w:sz="6" w:space="0" w:color="auto"/>
            </w:tcBorders>
          </w:tcPr>
          <w:p w14:paraId="640ADD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FD730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0" w:type="dxa"/>
            <w:gridSpan w:val="2"/>
            <w:tcBorders>
              <w:top w:val="nil"/>
              <w:left w:val="single" w:sz="6" w:space="0" w:color="auto"/>
              <w:bottom w:val="single" w:sz="6" w:space="0" w:color="auto"/>
              <w:right w:val="single" w:sz="6" w:space="0" w:color="auto"/>
            </w:tcBorders>
          </w:tcPr>
          <w:p w14:paraId="4D62EA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6BAF1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305" w:type="dxa"/>
            <w:gridSpan w:val="2"/>
            <w:tcBorders>
              <w:top w:val="single" w:sz="6" w:space="0" w:color="auto"/>
              <w:left w:val="single" w:sz="6" w:space="0" w:color="auto"/>
              <w:bottom w:val="single" w:sz="6" w:space="0" w:color="auto"/>
              <w:right w:val="single" w:sz="6" w:space="0" w:color="auto"/>
            </w:tcBorders>
          </w:tcPr>
          <w:p w14:paraId="2CCFE5D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Заказ № 41402 «Студебеккер» тип 3-осный со всеми ведущими колесами, тон 2,5 т Мотор: «Геркулес 1ХД»,6-цил.</w:t>
            </w:r>
          </w:p>
          <w:p w14:paraId="3EB0316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7" w:type="dxa"/>
            <w:gridSpan w:val="2"/>
            <w:tcBorders>
              <w:top w:val="single" w:sz="6" w:space="0" w:color="auto"/>
              <w:left w:val="single" w:sz="6" w:space="0" w:color="auto"/>
              <w:bottom w:val="single" w:sz="6" w:space="0" w:color="auto"/>
              <w:right w:val="single" w:sz="6" w:space="0" w:color="auto"/>
            </w:tcBorders>
          </w:tcPr>
          <w:p w14:paraId="086347C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Заказ N9 41 395 «Интернашионал Харвестер» тип 3-осный со всеми ведущими колесами, тон 2,5 т Мотор: «Интернашионал Харвестер»</w:t>
            </w:r>
          </w:p>
          <w:p w14:paraId="63C4981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gridSpan w:val="2"/>
            <w:tcBorders>
              <w:top w:val="single" w:sz="6" w:space="0" w:color="auto"/>
              <w:left w:val="single" w:sz="6" w:space="0" w:color="auto"/>
              <w:bottom w:val="single" w:sz="6" w:space="0" w:color="auto"/>
              <w:right w:val="single" w:sz="6" w:space="0" w:color="auto"/>
            </w:tcBorders>
          </w:tcPr>
          <w:p w14:paraId="080AC60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Заказ № 41402 «Форд» тип 2-осный с двумя ведущими колесами, тон 1,5 т. Мотор: «форд 90 НР»</w:t>
            </w:r>
          </w:p>
          <w:p w14:paraId="205BCC1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5" w:type="dxa"/>
            <w:gridSpan w:val="2"/>
            <w:tcBorders>
              <w:top w:val="single" w:sz="6" w:space="0" w:color="auto"/>
              <w:left w:val="single" w:sz="6" w:space="0" w:color="auto"/>
              <w:bottom w:val="single" w:sz="6" w:space="0" w:color="auto"/>
              <w:right w:val="single" w:sz="6" w:space="0" w:color="auto"/>
            </w:tcBorders>
          </w:tcPr>
          <w:p w14:paraId="7CB073A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Заказ № 41403 «Додж» тил 2-осный с двумя ведущими колесами, тон 1,5 т Мотор: «Додж 6-цил 115 НР»</w:t>
            </w:r>
          </w:p>
          <w:p w14:paraId="1850BDF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gridSpan w:val="2"/>
            <w:tcBorders>
              <w:top w:val="single" w:sz="6" w:space="0" w:color="auto"/>
              <w:left w:val="single" w:sz="6" w:space="0" w:color="auto"/>
              <w:bottom w:val="single" w:sz="6" w:space="0" w:color="auto"/>
              <w:right w:val="single" w:sz="6" w:space="0" w:color="auto"/>
            </w:tcBorders>
          </w:tcPr>
          <w:p w14:paraId="6C942B2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 заказано в октябре Отгружено на 30.11.41 г</w:t>
            </w:r>
          </w:p>
          <w:p w14:paraId="0B487E7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gridSpan w:val="2"/>
            <w:tcBorders>
              <w:top w:val="single" w:sz="6" w:space="0" w:color="auto"/>
              <w:left w:val="single" w:sz="6" w:space="0" w:color="auto"/>
              <w:bottom w:val="single" w:sz="6" w:space="0" w:color="auto"/>
              <w:right w:val="single" w:sz="6" w:space="0" w:color="auto"/>
            </w:tcBorders>
          </w:tcPr>
          <w:p w14:paraId="77295D0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Бантам</w:t>
            </w:r>
          </w:p>
          <w:p w14:paraId="08E374D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038AF01" w14:textId="77777777" w:rsidTr="000D3BCB">
        <w:trPr>
          <w:trHeight w:val="125"/>
        </w:trPr>
        <w:tc>
          <w:tcPr>
            <w:tcW w:w="1123" w:type="dxa"/>
            <w:tcBorders>
              <w:top w:val="nil"/>
              <w:left w:val="single" w:sz="6" w:space="0" w:color="auto"/>
              <w:bottom w:val="single" w:sz="6" w:space="0" w:color="auto"/>
              <w:right w:val="single" w:sz="6" w:space="0" w:color="auto"/>
            </w:tcBorders>
          </w:tcPr>
          <w:p w14:paraId="7E3348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06F92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0" w:type="dxa"/>
            <w:gridSpan w:val="2"/>
            <w:tcBorders>
              <w:top w:val="single" w:sz="6" w:space="0" w:color="auto"/>
              <w:left w:val="single" w:sz="6" w:space="0" w:color="auto"/>
              <w:bottom w:val="single" w:sz="6" w:space="0" w:color="auto"/>
              <w:right w:val="single" w:sz="6" w:space="0" w:color="auto"/>
            </w:tcBorders>
          </w:tcPr>
          <w:p w14:paraId="2357557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Дата</w:t>
            </w:r>
          </w:p>
          <w:p w14:paraId="687783C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4C088F8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кол-во</w:t>
            </w:r>
          </w:p>
          <w:p w14:paraId="7F76835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00993F8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сумма в $</w:t>
            </w:r>
          </w:p>
          <w:p w14:paraId="1227DED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1E9B9C3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кол-во</w:t>
            </w:r>
          </w:p>
          <w:p w14:paraId="52C3E5D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4055701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сумма в $</w:t>
            </w:r>
          </w:p>
          <w:p w14:paraId="28B9F1A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00778E1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кол-во</w:t>
            </w:r>
          </w:p>
          <w:p w14:paraId="0592278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53040BF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сумма в $</w:t>
            </w:r>
          </w:p>
          <w:p w14:paraId="5D4CBDF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64215BA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КОЛ-ВО</w:t>
            </w:r>
          </w:p>
          <w:p w14:paraId="6EC670E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4DE6608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сумма в $</w:t>
            </w:r>
          </w:p>
          <w:p w14:paraId="1A12ED3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6322673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Кол-во</w:t>
            </w:r>
          </w:p>
          <w:p w14:paraId="39DD75F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0003D3F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сумма в $</w:t>
            </w:r>
          </w:p>
          <w:p w14:paraId="2DE82E0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3F3BC22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кол-во</w:t>
            </w:r>
          </w:p>
          <w:p w14:paraId="7295200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DF9E53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сумма в X</w:t>
            </w:r>
          </w:p>
          <w:p w14:paraId="56DB257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ACBE7E2" w14:textId="77777777" w:rsidTr="000D3BCB">
        <w:trPr>
          <w:trHeight w:val="144"/>
        </w:trPr>
        <w:tc>
          <w:tcPr>
            <w:tcW w:w="1123" w:type="dxa"/>
            <w:tcBorders>
              <w:top w:val="single" w:sz="6" w:space="0" w:color="auto"/>
              <w:left w:val="single" w:sz="6" w:space="0" w:color="auto"/>
              <w:bottom w:val="single" w:sz="6" w:space="0" w:color="auto"/>
              <w:right w:val="single" w:sz="6" w:space="0" w:color="auto"/>
            </w:tcBorders>
          </w:tcPr>
          <w:p w14:paraId="099E875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Фрайр Рок</w:t>
            </w:r>
          </w:p>
          <w:p w14:paraId="21BBD80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0" w:type="dxa"/>
            <w:tcBorders>
              <w:top w:val="single" w:sz="6" w:space="0" w:color="auto"/>
              <w:left w:val="single" w:sz="6" w:space="0" w:color="auto"/>
              <w:bottom w:val="single" w:sz="6" w:space="0" w:color="auto"/>
              <w:right w:val="single" w:sz="6" w:space="0" w:color="auto"/>
            </w:tcBorders>
          </w:tcPr>
          <w:p w14:paraId="3E5A29F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w:t>
            </w:r>
          </w:p>
          <w:p w14:paraId="24093B9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113F7BD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25.10</w:t>
            </w:r>
          </w:p>
          <w:p w14:paraId="4B7F20E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671F0FE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w:t>
            </w:r>
          </w:p>
          <w:p w14:paraId="2DB292D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36B7641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158256</w:t>
            </w:r>
          </w:p>
          <w:p w14:paraId="3486E1F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3597183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8805B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7D50F9C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8A2FA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1E52736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w:t>
            </w:r>
          </w:p>
          <w:p w14:paraId="5C21310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006366E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116.000</w:t>
            </w:r>
          </w:p>
          <w:p w14:paraId="006FD26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5CE7D0D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4400B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7FDC508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0977D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00488E8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166</w:t>
            </w:r>
          </w:p>
          <w:p w14:paraId="7A91068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28B3F39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274.256</w:t>
            </w:r>
          </w:p>
          <w:p w14:paraId="1A95811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7485110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EB786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7763A0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9C934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5EA7DB3" w14:textId="77777777" w:rsidTr="000D3BCB">
        <w:trPr>
          <w:trHeight w:val="144"/>
        </w:trPr>
        <w:tc>
          <w:tcPr>
            <w:tcW w:w="1123" w:type="dxa"/>
            <w:tcBorders>
              <w:top w:val="single" w:sz="6" w:space="0" w:color="auto"/>
              <w:left w:val="single" w:sz="6" w:space="0" w:color="auto"/>
              <w:bottom w:val="single" w:sz="6" w:space="0" w:color="auto"/>
              <w:right w:val="single" w:sz="6" w:space="0" w:color="auto"/>
            </w:tcBorders>
          </w:tcPr>
          <w:p w14:paraId="0B8BAD0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Импайр Мевис,</w:t>
            </w:r>
          </w:p>
          <w:p w14:paraId="087AD7C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0" w:type="dxa"/>
            <w:tcBorders>
              <w:top w:val="single" w:sz="6" w:space="0" w:color="auto"/>
              <w:left w:val="single" w:sz="6" w:space="0" w:color="auto"/>
              <w:bottom w:val="single" w:sz="6" w:space="0" w:color="auto"/>
              <w:right w:val="single" w:sz="6" w:space="0" w:color="auto"/>
            </w:tcBorders>
          </w:tcPr>
          <w:p w14:paraId="6BB4405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w:t>
            </w:r>
          </w:p>
          <w:p w14:paraId="7D14FDA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2954DF5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ЗОЮ</w:t>
            </w:r>
          </w:p>
          <w:p w14:paraId="3808F26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4A49606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46</w:t>
            </w:r>
          </w:p>
          <w:p w14:paraId="7C03D4E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3A0AEC4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201 855</w:t>
            </w:r>
          </w:p>
          <w:p w14:paraId="5016EAC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1A3AD59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p w14:paraId="5E20421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1694567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4770</w:t>
            </w:r>
          </w:p>
          <w:p w14:paraId="53C581C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5B10566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120</w:t>
            </w:r>
          </w:p>
          <w:p w14:paraId="1CCFA69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65364A9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114360</w:t>
            </w:r>
          </w:p>
          <w:p w14:paraId="6ED85FF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7DE764A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p w14:paraId="310CF1F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58ABA3D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B851E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792B07F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197</w:t>
            </w:r>
          </w:p>
          <w:p w14:paraId="02DDBB5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0F69CBC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320 985</w:t>
            </w:r>
          </w:p>
          <w:p w14:paraId="68BC82B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22EE9D8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1D82E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234C43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58776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41E57E5" w14:textId="77777777" w:rsidTr="000D3BCB">
        <w:trPr>
          <w:trHeight w:val="144"/>
        </w:trPr>
        <w:tc>
          <w:tcPr>
            <w:tcW w:w="1123" w:type="dxa"/>
            <w:tcBorders>
              <w:top w:val="single" w:sz="6" w:space="0" w:color="auto"/>
              <w:left w:val="single" w:sz="6" w:space="0" w:color="auto"/>
              <w:bottom w:val="single" w:sz="6" w:space="0" w:color="auto"/>
              <w:right w:val="single" w:sz="6" w:space="0" w:color="auto"/>
            </w:tcBorders>
          </w:tcPr>
          <w:p w14:paraId="0FE4F22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Меридиан</w:t>
            </w:r>
          </w:p>
          <w:p w14:paraId="5D29950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0" w:type="dxa"/>
            <w:tcBorders>
              <w:top w:val="single" w:sz="6" w:space="0" w:color="auto"/>
              <w:left w:val="single" w:sz="6" w:space="0" w:color="auto"/>
              <w:bottom w:val="single" w:sz="6" w:space="0" w:color="auto"/>
              <w:right w:val="single" w:sz="6" w:space="0" w:color="auto"/>
            </w:tcBorders>
          </w:tcPr>
          <w:p w14:paraId="1F46505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w:t>
            </w:r>
          </w:p>
          <w:p w14:paraId="6784A83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67362FE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3.11</w:t>
            </w:r>
          </w:p>
          <w:p w14:paraId="24D9912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49A2814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94</w:t>
            </w:r>
          </w:p>
          <w:p w14:paraId="7A45464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4EA6A77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274679</w:t>
            </w:r>
          </w:p>
          <w:p w14:paraId="6A73D37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7883E4B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E9A5E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7C8D968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D3D71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7FF03DE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120</w:t>
            </w:r>
          </w:p>
          <w:p w14:paraId="3E85083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1097F7C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135647</w:t>
            </w:r>
          </w:p>
          <w:p w14:paraId="310934B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4937CC0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9C402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1155F6C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EA003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1116635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214</w:t>
            </w:r>
          </w:p>
          <w:p w14:paraId="22ECFC8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789FD82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410326</w:t>
            </w:r>
          </w:p>
          <w:p w14:paraId="27340A3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1279975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AE80A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A8B318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F9041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B8A1275" w14:textId="77777777" w:rsidTr="000D3BCB">
        <w:trPr>
          <w:trHeight w:val="144"/>
        </w:trPr>
        <w:tc>
          <w:tcPr>
            <w:tcW w:w="1123" w:type="dxa"/>
            <w:tcBorders>
              <w:top w:val="single" w:sz="6" w:space="0" w:color="auto"/>
              <w:left w:val="single" w:sz="6" w:space="0" w:color="auto"/>
              <w:bottom w:val="single" w:sz="6" w:space="0" w:color="auto"/>
              <w:right w:val="single" w:sz="6" w:space="0" w:color="auto"/>
            </w:tcBorders>
          </w:tcPr>
          <w:p w14:paraId="3B1EC3D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Эль Океано</w:t>
            </w:r>
          </w:p>
          <w:p w14:paraId="264C965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0" w:type="dxa"/>
            <w:tcBorders>
              <w:top w:val="single" w:sz="6" w:space="0" w:color="auto"/>
              <w:left w:val="single" w:sz="6" w:space="0" w:color="auto"/>
              <w:bottom w:val="single" w:sz="6" w:space="0" w:color="auto"/>
              <w:right w:val="single" w:sz="6" w:space="0" w:color="auto"/>
            </w:tcBorders>
          </w:tcPr>
          <w:p w14:paraId="632FF25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w:t>
            </w:r>
          </w:p>
          <w:p w14:paraId="417043E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0AE8CD8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3.11</w:t>
            </w:r>
          </w:p>
          <w:p w14:paraId="2021962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43891A8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136</w:t>
            </w:r>
          </w:p>
          <w:p w14:paraId="7DCC4D4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21BE075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352 899</w:t>
            </w:r>
          </w:p>
          <w:p w14:paraId="122B9CF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2E30C6A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42E81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41CE7CE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9A1C0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18332E2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w:t>
            </w:r>
          </w:p>
          <w:p w14:paraId="7E7DC18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3975C5C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80419</w:t>
            </w:r>
          </w:p>
          <w:p w14:paraId="7630976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412CB11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92B09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188CBC7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27CD0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13F108D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186</w:t>
            </w:r>
          </w:p>
          <w:p w14:paraId="20ECF9A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3E320B1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433.318</w:t>
            </w:r>
          </w:p>
          <w:p w14:paraId="20E0CE5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6B57EC8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72</w:t>
            </w:r>
          </w:p>
          <w:p w14:paraId="27195DC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330067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67 948</w:t>
            </w:r>
          </w:p>
          <w:p w14:paraId="3475F02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2BF0BA1" w14:textId="77777777" w:rsidTr="000D3BCB">
        <w:trPr>
          <w:trHeight w:val="144"/>
        </w:trPr>
        <w:tc>
          <w:tcPr>
            <w:tcW w:w="1123" w:type="dxa"/>
            <w:tcBorders>
              <w:top w:val="single" w:sz="6" w:space="0" w:color="auto"/>
              <w:left w:val="single" w:sz="6" w:space="0" w:color="auto"/>
              <w:bottom w:val="single" w:sz="6" w:space="0" w:color="auto"/>
              <w:right w:val="single" w:sz="6" w:space="0" w:color="auto"/>
            </w:tcBorders>
          </w:tcPr>
          <w:p w14:paraId="6AF2DEA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Петровский</w:t>
            </w:r>
          </w:p>
          <w:p w14:paraId="0253B55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0" w:type="dxa"/>
            <w:tcBorders>
              <w:top w:val="single" w:sz="6" w:space="0" w:color="auto"/>
              <w:left w:val="single" w:sz="6" w:space="0" w:color="auto"/>
              <w:bottom w:val="single" w:sz="6" w:space="0" w:color="auto"/>
              <w:right w:val="single" w:sz="6" w:space="0" w:color="auto"/>
            </w:tcBorders>
          </w:tcPr>
          <w:p w14:paraId="605F640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w:t>
            </w:r>
          </w:p>
          <w:p w14:paraId="468E241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560B36E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5.11</w:t>
            </w:r>
          </w:p>
          <w:p w14:paraId="0746571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3088146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828CD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7E62693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6AB9D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3968781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D42EB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2212432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A7336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766C5A3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w:t>
            </w:r>
          </w:p>
          <w:p w14:paraId="35CD378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1CD94B7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69020</w:t>
            </w:r>
          </w:p>
          <w:p w14:paraId="5731820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21571AC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ABB11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46B4B26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2D732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73A7BFE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w:t>
            </w:r>
          </w:p>
          <w:p w14:paraId="0579590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1B5A560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69.020</w:t>
            </w:r>
          </w:p>
          <w:p w14:paraId="73A2887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3D59C26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83B16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23A6B6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3823B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78ED745" w14:textId="77777777" w:rsidTr="000D3BCB">
        <w:trPr>
          <w:trHeight w:val="144"/>
        </w:trPr>
        <w:tc>
          <w:tcPr>
            <w:tcW w:w="1123" w:type="dxa"/>
            <w:tcBorders>
              <w:top w:val="single" w:sz="6" w:space="0" w:color="auto"/>
              <w:left w:val="single" w:sz="6" w:space="0" w:color="auto"/>
              <w:bottom w:val="single" w:sz="6" w:space="0" w:color="auto"/>
              <w:right w:val="single" w:sz="6" w:space="0" w:color="auto"/>
            </w:tcBorders>
          </w:tcPr>
          <w:p w14:paraId="062E0BC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Чалмлей</w:t>
            </w:r>
          </w:p>
          <w:p w14:paraId="2F85FD6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0" w:type="dxa"/>
            <w:tcBorders>
              <w:top w:val="single" w:sz="6" w:space="0" w:color="auto"/>
              <w:left w:val="single" w:sz="6" w:space="0" w:color="auto"/>
              <w:bottom w:val="single" w:sz="6" w:space="0" w:color="auto"/>
              <w:right w:val="single" w:sz="6" w:space="0" w:color="auto"/>
            </w:tcBorders>
          </w:tcPr>
          <w:p w14:paraId="425614E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w:t>
            </w:r>
          </w:p>
          <w:p w14:paraId="7B6DCC1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3E3C9D0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511</w:t>
            </w:r>
          </w:p>
          <w:p w14:paraId="3661C2D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5F7C275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136</w:t>
            </w:r>
          </w:p>
          <w:p w14:paraId="38FD224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21894B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333,918</w:t>
            </w:r>
          </w:p>
          <w:p w14:paraId="640E470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12C714B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723CB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0B8F437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1B2AA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37412CE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94</w:t>
            </w:r>
          </w:p>
          <w:p w14:paraId="5A637B2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3578184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90.140</w:t>
            </w:r>
          </w:p>
          <w:p w14:paraId="5B4738F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56618D9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827BC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3D26C0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8775B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59BB4B7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230</w:t>
            </w:r>
          </w:p>
          <w:p w14:paraId="014ADC3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2FEFD8F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424.058</w:t>
            </w:r>
          </w:p>
          <w:p w14:paraId="1F64510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66856D3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BAEBB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8F1DE3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E5CA4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B4F39CF" w14:textId="77777777" w:rsidTr="000D3BCB">
        <w:trPr>
          <w:trHeight w:val="144"/>
        </w:trPr>
        <w:tc>
          <w:tcPr>
            <w:tcW w:w="1123" w:type="dxa"/>
            <w:tcBorders>
              <w:top w:val="single" w:sz="6" w:space="0" w:color="auto"/>
              <w:left w:val="single" w:sz="6" w:space="0" w:color="auto"/>
              <w:bottom w:val="single" w:sz="6" w:space="0" w:color="auto"/>
              <w:right w:val="single" w:sz="6" w:space="0" w:color="auto"/>
            </w:tcBorders>
          </w:tcPr>
          <w:p w14:paraId="6DE5501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Моунт Иване</w:t>
            </w:r>
          </w:p>
          <w:p w14:paraId="113EE4B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0" w:type="dxa"/>
            <w:tcBorders>
              <w:top w:val="single" w:sz="6" w:space="0" w:color="auto"/>
              <w:left w:val="single" w:sz="6" w:space="0" w:color="auto"/>
              <w:bottom w:val="single" w:sz="6" w:space="0" w:color="auto"/>
              <w:right w:val="single" w:sz="6" w:space="0" w:color="auto"/>
            </w:tcBorders>
          </w:tcPr>
          <w:p w14:paraId="34D9104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w:t>
            </w:r>
          </w:p>
          <w:p w14:paraId="06525EC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210B53E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101</w:t>
            </w:r>
          </w:p>
          <w:p w14:paraId="4A9ED40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4A390E3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E2857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5226A58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AA207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2CAB391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w:t>
            </w:r>
          </w:p>
          <w:p w14:paraId="3FB9D70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577A55A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663033</w:t>
            </w:r>
          </w:p>
          <w:p w14:paraId="0B3486B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791FEF6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30C1C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3E86A3F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4D2F2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021768C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72</w:t>
            </w:r>
          </w:p>
          <w:p w14:paraId="571C54B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74E9EA6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79251</w:t>
            </w:r>
          </w:p>
          <w:p w14:paraId="4CD396E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6C50785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272</w:t>
            </w:r>
          </w:p>
          <w:p w14:paraId="6624FDA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34234F3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742284</w:t>
            </w:r>
          </w:p>
          <w:p w14:paraId="49A324F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12CDB06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F4703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78225A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EA731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9813849" w14:textId="77777777" w:rsidTr="000D3BCB">
        <w:trPr>
          <w:trHeight w:val="144"/>
        </w:trPr>
        <w:tc>
          <w:tcPr>
            <w:tcW w:w="1123" w:type="dxa"/>
            <w:tcBorders>
              <w:top w:val="single" w:sz="6" w:space="0" w:color="auto"/>
              <w:left w:val="single" w:sz="6" w:space="0" w:color="auto"/>
              <w:bottom w:val="single" w:sz="6" w:space="0" w:color="auto"/>
              <w:right w:val="single" w:sz="6" w:space="0" w:color="auto"/>
            </w:tcBorders>
          </w:tcPr>
          <w:p w14:paraId="2969BA5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Колд Харбор</w:t>
            </w:r>
          </w:p>
          <w:p w14:paraId="581DF35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0" w:type="dxa"/>
            <w:tcBorders>
              <w:top w:val="single" w:sz="6" w:space="0" w:color="auto"/>
              <w:left w:val="single" w:sz="6" w:space="0" w:color="auto"/>
              <w:bottom w:val="single" w:sz="6" w:space="0" w:color="auto"/>
              <w:right w:val="single" w:sz="6" w:space="0" w:color="auto"/>
            </w:tcBorders>
          </w:tcPr>
          <w:p w14:paraId="100E489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w:t>
            </w:r>
          </w:p>
          <w:p w14:paraId="0F03DB3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21FCB6D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11.1</w:t>
            </w:r>
          </w:p>
          <w:p w14:paraId="76FE963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1FD4B1F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BC146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73671AF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8353D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2A35648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5DA88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6D17A3C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F1F2F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63039FA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210</w:t>
            </w:r>
          </w:p>
          <w:p w14:paraId="1D1108B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3188F52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271078</w:t>
            </w:r>
          </w:p>
          <w:p w14:paraId="6E32BA3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2B1F3F1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C3AD6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35E0C2D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9F1A8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14C8986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210</w:t>
            </w:r>
          </w:p>
          <w:p w14:paraId="6E8AD96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5FC3B45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271.078</w:t>
            </w:r>
          </w:p>
          <w:p w14:paraId="71EA38C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41904B6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AABCF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C2008D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FF703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9A90828" w14:textId="77777777" w:rsidTr="000D3BCB">
        <w:trPr>
          <w:trHeight w:val="144"/>
        </w:trPr>
        <w:tc>
          <w:tcPr>
            <w:tcW w:w="1123" w:type="dxa"/>
            <w:tcBorders>
              <w:top w:val="single" w:sz="6" w:space="0" w:color="auto"/>
              <w:left w:val="single" w:sz="6" w:space="0" w:color="auto"/>
              <w:bottom w:val="single" w:sz="6" w:space="0" w:color="auto"/>
              <w:right w:val="single" w:sz="6" w:space="0" w:color="auto"/>
            </w:tcBorders>
          </w:tcPr>
          <w:p w14:paraId="6D5932D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Комилес</w:t>
            </w:r>
          </w:p>
          <w:p w14:paraId="120058B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0" w:type="dxa"/>
            <w:tcBorders>
              <w:top w:val="single" w:sz="6" w:space="0" w:color="auto"/>
              <w:left w:val="single" w:sz="6" w:space="0" w:color="auto"/>
              <w:bottom w:val="single" w:sz="6" w:space="0" w:color="auto"/>
              <w:right w:val="single" w:sz="6" w:space="0" w:color="auto"/>
            </w:tcBorders>
          </w:tcPr>
          <w:p w14:paraId="3258530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w:t>
            </w:r>
          </w:p>
          <w:p w14:paraId="0174FDC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00382F1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111</w:t>
            </w:r>
          </w:p>
          <w:p w14:paraId="0672FB2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041A6AF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34</w:t>
            </w:r>
          </w:p>
          <w:p w14:paraId="0487292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50416BD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86265</w:t>
            </w:r>
          </w:p>
          <w:p w14:paraId="78D2A7C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447B25E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69FA2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53AE0E2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617DD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5225066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7490A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1FDF8AE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E0872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09AE993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38EB5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44A81A1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FE409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57FFF4C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34</w:t>
            </w:r>
          </w:p>
          <w:p w14:paraId="115F860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18A5E32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86.265</w:t>
            </w:r>
          </w:p>
          <w:p w14:paraId="2F075D5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489522E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68F6A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1CA118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0EFA6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E3CAC5A" w14:textId="77777777" w:rsidTr="000D3BCB">
        <w:trPr>
          <w:trHeight w:val="144"/>
        </w:trPr>
        <w:tc>
          <w:tcPr>
            <w:tcW w:w="1123" w:type="dxa"/>
            <w:tcBorders>
              <w:top w:val="single" w:sz="6" w:space="0" w:color="auto"/>
              <w:left w:val="single" w:sz="6" w:space="0" w:color="auto"/>
              <w:bottom w:val="single" w:sz="6" w:space="0" w:color="auto"/>
              <w:right w:val="single" w:sz="6" w:space="0" w:color="auto"/>
            </w:tcBorders>
          </w:tcPr>
          <w:p w14:paraId="04AA9CA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Анероид</w:t>
            </w:r>
          </w:p>
          <w:p w14:paraId="2047ABE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0" w:type="dxa"/>
            <w:tcBorders>
              <w:top w:val="single" w:sz="6" w:space="0" w:color="auto"/>
              <w:left w:val="single" w:sz="6" w:space="0" w:color="auto"/>
              <w:bottom w:val="single" w:sz="6" w:space="0" w:color="auto"/>
              <w:right w:val="single" w:sz="6" w:space="0" w:color="auto"/>
            </w:tcBorders>
          </w:tcPr>
          <w:p w14:paraId="78996C9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w:t>
            </w:r>
          </w:p>
          <w:p w14:paraId="30E8C4B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6CD04A5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12 1</w:t>
            </w:r>
          </w:p>
          <w:p w14:paraId="0DC0067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1AC461E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104</w:t>
            </w:r>
          </w:p>
          <w:p w14:paraId="7AEC21D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4FDA65C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263,871</w:t>
            </w:r>
          </w:p>
          <w:p w14:paraId="087E8FA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7A5AD5A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C2966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090F915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48178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29BBEDE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190</w:t>
            </w:r>
          </w:p>
          <w:p w14:paraId="29A2E94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69DAFB6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211.962</w:t>
            </w:r>
          </w:p>
          <w:p w14:paraId="10EBF01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46659ED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8C19D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70C9191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D5419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2942A9A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294</w:t>
            </w:r>
          </w:p>
          <w:p w14:paraId="7D735D7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4DD6348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475 133</w:t>
            </w:r>
          </w:p>
          <w:p w14:paraId="2DA9771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594B27C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4165B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EE708D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4A521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9DA3D22" w14:textId="77777777" w:rsidTr="000D3BCB">
        <w:trPr>
          <w:trHeight w:val="144"/>
        </w:trPr>
        <w:tc>
          <w:tcPr>
            <w:tcW w:w="1123" w:type="dxa"/>
            <w:tcBorders>
              <w:top w:val="single" w:sz="6" w:space="0" w:color="auto"/>
              <w:left w:val="single" w:sz="6" w:space="0" w:color="auto"/>
              <w:bottom w:val="single" w:sz="6" w:space="0" w:color="auto"/>
              <w:right w:val="single" w:sz="6" w:space="0" w:color="auto"/>
            </w:tcBorders>
          </w:tcPr>
          <w:p w14:paraId="68ACCAA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Эл Кастой</w:t>
            </w:r>
          </w:p>
          <w:p w14:paraId="47E7D10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0" w:type="dxa"/>
            <w:tcBorders>
              <w:top w:val="single" w:sz="6" w:space="0" w:color="auto"/>
              <w:left w:val="single" w:sz="6" w:space="0" w:color="auto"/>
              <w:bottom w:val="single" w:sz="6" w:space="0" w:color="auto"/>
              <w:right w:val="single" w:sz="6" w:space="0" w:color="auto"/>
            </w:tcBorders>
          </w:tcPr>
          <w:p w14:paraId="234A90E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w:t>
            </w:r>
          </w:p>
          <w:p w14:paraId="7EA67AF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53C8F9C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201</w:t>
            </w:r>
          </w:p>
          <w:p w14:paraId="602408C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6172D72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w:t>
            </w:r>
          </w:p>
          <w:p w14:paraId="0DB4A08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57E243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65968</w:t>
            </w:r>
          </w:p>
          <w:p w14:paraId="33404A6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4472B43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77C22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305FF96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F0D1B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6DA9603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356</w:t>
            </w:r>
          </w:p>
          <w:p w14:paraId="15DE2EE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07BAEC1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449.289</w:t>
            </w:r>
          </w:p>
          <w:p w14:paraId="28FF74A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6B2B567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A1736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4D5955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CEA00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41DE886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382</w:t>
            </w:r>
          </w:p>
          <w:p w14:paraId="1122EF0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043951D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515.257</w:t>
            </w:r>
          </w:p>
          <w:p w14:paraId="26064F1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5B15345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200</w:t>
            </w:r>
          </w:p>
          <w:p w14:paraId="5784F72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30A199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196511</w:t>
            </w:r>
          </w:p>
          <w:p w14:paraId="5585675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11C09F8" w14:textId="77777777" w:rsidTr="000D3BCB">
        <w:trPr>
          <w:trHeight w:val="144"/>
        </w:trPr>
        <w:tc>
          <w:tcPr>
            <w:tcW w:w="1123" w:type="dxa"/>
            <w:tcBorders>
              <w:top w:val="single" w:sz="6" w:space="0" w:color="auto"/>
              <w:left w:val="single" w:sz="6" w:space="0" w:color="auto"/>
              <w:bottom w:val="single" w:sz="6" w:space="0" w:color="auto"/>
              <w:right w:val="single" w:sz="6" w:space="0" w:color="auto"/>
            </w:tcBorders>
          </w:tcPr>
          <w:p w14:paraId="44683AF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Африкандер</w:t>
            </w:r>
          </w:p>
          <w:p w14:paraId="6DAAC1B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0" w:type="dxa"/>
            <w:tcBorders>
              <w:top w:val="single" w:sz="6" w:space="0" w:color="auto"/>
              <w:left w:val="single" w:sz="6" w:space="0" w:color="auto"/>
              <w:bottom w:val="single" w:sz="6" w:space="0" w:color="auto"/>
              <w:right w:val="single" w:sz="6" w:space="0" w:color="auto"/>
            </w:tcBorders>
          </w:tcPr>
          <w:p w14:paraId="4AD654D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w:t>
            </w:r>
          </w:p>
          <w:p w14:paraId="1B824B9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7099FD1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201</w:t>
            </w:r>
          </w:p>
          <w:p w14:paraId="5E8F98D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45E7A4E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AE3D9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517D6D2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D1137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16E55D3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p w14:paraId="78366A7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5A9F1C6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31 236</w:t>
            </w:r>
          </w:p>
          <w:p w14:paraId="2510F4F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1693140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7532E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622DBAC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624FD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499E8B4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212</w:t>
            </w:r>
          </w:p>
          <w:p w14:paraId="6252134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01B9BD7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240413</w:t>
            </w:r>
          </w:p>
          <w:p w14:paraId="4DA66D0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04B2580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222</w:t>
            </w:r>
          </w:p>
          <w:p w14:paraId="48E6E56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5CFB350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271649</w:t>
            </w:r>
          </w:p>
          <w:p w14:paraId="2C2DFF2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7BA211B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8EB38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48A53A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B71E8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1853DED" w14:textId="77777777" w:rsidTr="000D3BCB">
        <w:trPr>
          <w:trHeight w:val="144"/>
        </w:trPr>
        <w:tc>
          <w:tcPr>
            <w:tcW w:w="1123" w:type="dxa"/>
            <w:tcBorders>
              <w:top w:val="single" w:sz="6" w:space="0" w:color="auto"/>
              <w:left w:val="single" w:sz="6" w:space="0" w:color="auto"/>
              <w:bottom w:val="single" w:sz="6" w:space="0" w:color="auto"/>
              <w:right w:val="single" w:sz="6" w:space="0" w:color="auto"/>
            </w:tcBorders>
          </w:tcPr>
          <w:p w14:paraId="5BB76DD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Визиристан</w:t>
            </w:r>
          </w:p>
          <w:p w14:paraId="26FEEAB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0" w:type="dxa"/>
            <w:tcBorders>
              <w:top w:val="single" w:sz="6" w:space="0" w:color="auto"/>
              <w:left w:val="single" w:sz="6" w:space="0" w:color="auto"/>
              <w:bottom w:val="single" w:sz="6" w:space="0" w:color="auto"/>
              <w:right w:val="single" w:sz="6" w:space="0" w:color="auto"/>
            </w:tcBorders>
          </w:tcPr>
          <w:p w14:paraId="1C802FA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w:t>
            </w:r>
          </w:p>
          <w:p w14:paraId="7CAFD43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006DC3B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22 1</w:t>
            </w:r>
          </w:p>
          <w:p w14:paraId="0DFAD72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6B1C63B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2AF89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7A90115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F56DC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79812FD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159FC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149E75C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18EB7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3D0F345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410</w:t>
            </w:r>
          </w:p>
          <w:p w14:paraId="0B56BE5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19D13BA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700318</w:t>
            </w:r>
          </w:p>
          <w:p w14:paraId="0AE9DE3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48FEC37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9C894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404AA68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E47FE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7B0BDDD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410</w:t>
            </w:r>
          </w:p>
          <w:p w14:paraId="1149826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4C1C7D6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700 318</w:t>
            </w:r>
          </w:p>
          <w:p w14:paraId="7C0416B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43E9123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6CEC2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0AC46A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1FF84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D2C5F8E" w14:textId="77777777" w:rsidTr="000D3BCB">
        <w:trPr>
          <w:trHeight w:val="144"/>
        </w:trPr>
        <w:tc>
          <w:tcPr>
            <w:tcW w:w="1123" w:type="dxa"/>
            <w:tcBorders>
              <w:top w:val="single" w:sz="6" w:space="0" w:color="auto"/>
              <w:left w:val="single" w:sz="6" w:space="0" w:color="auto"/>
              <w:bottom w:val="single" w:sz="6" w:space="0" w:color="auto"/>
              <w:right w:val="single" w:sz="6" w:space="0" w:color="auto"/>
            </w:tcBorders>
          </w:tcPr>
          <w:p w14:paraId="3FA5570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Нева строй</w:t>
            </w:r>
          </w:p>
          <w:p w14:paraId="4509A98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0" w:type="dxa"/>
            <w:tcBorders>
              <w:top w:val="single" w:sz="6" w:space="0" w:color="auto"/>
              <w:left w:val="single" w:sz="6" w:space="0" w:color="auto"/>
              <w:bottom w:val="single" w:sz="6" w:space="0" w:color="auto"/>
              <w:right w:val="single" w:sz="6" w:space="0" w:color="auto"/>
            </w:tcBorders>
          </w:tcPr>
          <w:p w14:paraId="1EB85F2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w:t>
            </w:r>
          </w:p>
          <w:p w14:paraId="22282CB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7A4873D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281</w:t>
            </w:r>
          </w:p>
          <w:p w14:paraId="48911FF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0284931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126</w:t>
            </w:r>
          </w:p>
          <w:p w14:paraId="330A8D1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36D3F27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445508</w:t>
            </w:r>
          </w:p>
          <w:p w14:paraId="7C08BB4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7605980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A5A9C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216FB09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D603D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315D51E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1BD0C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1A243AA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EBF26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48BE9D4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A37FA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42644C7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D5FFD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58C4C50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126</w:t>
            </w:r>
          </w:p>
          <w:p w14:paraId="0FC87DC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198E376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445508</w:t>
            </w:r>
          </w:p>
          <w:p w14:paraId="7FEF2FE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160E469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80</w:t>
            </w:r>
          </w:p>
          <w:p w14:paraId="3CB7621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23A74D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78462</w:t>
            </w:r>
          </w:p>
          <w:p w14:paraId="77A0C18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4BD3D80" w14:textId="77777777" w:rsidTr="000D3BCB">
        <w:trPr>
          <w:trHeight w:val="144"/>
        </w:trPr>
        <w:tc>
          <w:tcPr>
            <w:tcW w:w="1123" w:type="dxa"/>
            <w:tcBorders>
              <w:top w:val="single" w:sz="6" w:space="0" w:color="auto"/>
              <w:left w:val="single" w:sz="6" w:space="0" w:color="auto"/>
              <w:bottom w:val="single" w:sz="6" w:space="0" w:color="auto"/>
              <w:right w:val="single" w:sz="6" w:space="0" w:color="auto"/>
            </w:tcBorders>
          </w:tcPr>
          <w:p w14:paraId="5A5AC7C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Рей Каунт</w:t>
            </w:r>
          </w:p>
          <w:p w14:paraId="67AF7E4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0" w:type="dxa"/>
            <w:tcBorders>
              <w:top w:val="single" w:sz="6" w:space="0" w:color="auto"/>
              <w:left w:val="single" w:sz="6" w:space="0" w:color="auto"/>
              <w:bottom w:val="single" w:sz="6" w:space="0" w:color="auto"/>
              <w:right w:val="single" w:sz="6" w:space="0" w:color="auto"/>
            </w:tcBorders>
          </w:tcPr>
          <w:p w14:paraId="528D3BB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w:t>
            </w:r>
          </w:p>
          <w:p w14:paraId="0F38E35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1475CD0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281</w:t>
            </w:r>
          </w:p>
          <w:p w14:paraId="06486D2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238F32B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w:t>
            </w:r>
          </w:p>
          <w:p w14:paraId="4798E13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4F04827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20298</w:t>
            </w:r>
          </w:p>
          <w:p w14:paraId="7B0E3C1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C2419E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03250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53AFB96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69ACE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4C1A914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224</w:t>
            </w:r>
          </w:p>
          <w:p w14:paraId="3245151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1F46A5D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327979</w:t>
            </w:r>
          </w:p>
          <w:p w14:paraId="7455E3F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1E16EB3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4AAC9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7BCD0B1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2FDF4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3B948F5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232</w:t>
            </w:r>
          </w:p>
          <w:p w14:paraId="4D4CB8F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13603E2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348277</w:t>
            </w:r>
          </w:p>
          <w:p w14:paraId="6E3C81D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224E90C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15745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11C269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01163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2A34543" w14:textId="77777777" w:rsidTr="000D3BCB">
        <w:trPr>
          <w:trHeight w:val="163"/>
        </w:trPr>
        <w:tc>
          <w:tcPr>
            <w:tcW w:w="1123" w:type="dxa"/>
            <w:tcBorders>
              <w:top w:val="single" w:sz="6" w:space="0" w:color="auto"/>
              <w:left w:val="single" w:sz="6" w:space="0" w:color="auto"/>
              <w:bottom w:val="single" w:sz="6" w:space="0" w:color="auto"/>
              <w:right w:val="single" w:sz="6" w:space="0" w:color="auto"/>
            </w:tcBorders>
          </w:tcPr>
          <w:p w14:paraId="1AED405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Рафаэль Симмес</w:t>
            </w:r>
          </w:p>
          <w:p w14:paraId="1AC98E7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0" w:type="dxa"/>
            <w:tcBorders>
              <w:top w:val="single" w:sz="6" w:space="0" w:color="auto"/>
              <w:left w:val="single" w:sz="6" w:space="0" w:color="auto"/>
              <w:bottom w:val="single" w:sz="6" w:space="0" w:color="auto"/>
              <w:right w:val="single" w:sz="6" w:space="0" w:color="auto"/>
            </w:tcBorders>
          </w:tcPr>
          <w:p w14:paraId="416C1F3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w:t>
            </w:r>
          </w:p>
          <w:p w14:paraId="6BF53CB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3A2829B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3 12</w:t>
            </w:r>
          </w:p>
          <w:p w14:paraId="31D5A33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6BE2EB8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54</w:t>
            </w:r>
          </w:p>
          <w:p w14:paraId="7B72EB5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02BA68B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105 293</w:t>
            </w:r>
          </w:p>
          <w:p w14:paraId="444F98F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3CACBBF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B4AB7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33236DF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3E863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06B055B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94</w:t>
            </w:r>
          </w:p>
          <w:p w14:paraId="35D3E2B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1CADF6B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104998</w:t>
            </w:r>
          </w:p>
          <w:p w14:paraId="58DE17E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5B47E1D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w:t>
            </w:r>
          </w:p>
          <w:p w14:paraId="6FAEF42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25D9653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221 753</w:t>
            </w:r>
          </w:p>
          <w:p w14:paraId="200CE24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295245F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348</w:t>
            </w:r>
          </w:p>
          <w:p w14:paraId="5453E69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31C1BCA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432 044</w:t>
            </w:r>
          </w:p>
          <w:p w14:paraId="706EC99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6538F39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E6796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8CCDE3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76478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CA4E3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kern w:val="65535"/>
          <w:sz w:val="16"/>
          <w:szCs w:val="16"/>
        </w:rPr>
      </w:pPr>
      <w:r w:rsidRPr="00640820">
        <w:rPr>
          <w:rFonts w:ascii="Times New Roman" w:hAnsi="Times New Roman"/>
          <w:color w:val="000000" w:themeColor="text1"/>
          <w:kern w:val="65535"/>
          <w:sz w:val="16"/>
          <w:szCs w:val="16"/>
        </w:rPr>
        <w:t>Примечание. 1. Указанная стоимость машин является окончательной, так как Амторгом, сог</w:t>
      </w:r>
      <w:r w:rsidRPr="00640820">
        <w:rPr>
          <w:rFonts w:ascii="Times New Roman" w:hAnsi="Times New Roman"/>
          <w:color w:val="000000" w:themeColor="text1"/>
          <w:kern w:val="65535"/>
          <w:sz w:val="16"/>
          <w:szCs w:val="16"/>
        </w:rPr>
        <w:softHyphen/>
        <w:t>ласно его телеграмм, еще не получил счета от Военного министерства. Суммы включают также стоимость запчастей, смазочных масел, спирта и антиморозных препаратов, отправляемых с ка</w:t>
      </w:r>
      <w:r w:rsidRPr="00640820">
        <w:rPr>
          <w:rFonts w:ascii="Times New Roman" w:hAnsi="Times New Roman"/>
          <w:color w:val="000000" w:themeColor="text1"/>
          <w:kern w:val="65535"/>
          <w:sz w:val="16"/>
          <w:szCs w:val="16"/>
        </w:rPr>
        <w:softHyphen/>
        <w:t>ждой партией машин.</w:t>
      </w:r>
    </w:p>
    <w:p w14:paraId="7CC3D56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Буквы в первой графе после названия парохода означают порты назначения: «А» - Архан</w:t>
      </w:r>
      <w:r w:rsidRPr="00640820">
        <w:rPr>
          <w:rFonts w:ascii="Times New Roman" w:hAnsi="Times New Roman"/>
          <w:color w:val="000000" w:themeColor="text1"/>
          <w:sz w:val="16"/>
          <w:szCs w:val="16"/>
        </w:rPr>
        <w:softHyphen/>
        <w:t>гельск и «П» - Персидский залив.</w:t>
      </w:r>
    </w:p>
    <w:p w14:paraId="7FDE0D5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ЦАМО. Ф. 38. Оп. 11386. Д. 123. Л. 1-4 (11211).</w:t>
      </w:r>
    </w:p>
    <w:p w14:paraId="04B3468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A5AD9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декабря 1941 г. вышла СПРАВКА АТУ О ВЫПУСКЕ ТРАКТОРОВ ЗАВОДАМИ ПРОМЫШЛЕННОСТИ И ПОТРЕБНОСТИ В НИХ КРАСНОЙ АРМИИ</w:t>
      </w:r>
    </w:p>
    <w:p w14:paraId="2B01600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 1 декабря 1941 года выпуск тракторов Челябинским и Сталинградским тракторными заво</w:t>
      </w:r>
      <w:r w:rsidRPr="00640820">
        <w:rPr>
          <w:rFonts w:ascii="Times New Roman" w:hAnsi="Times New Roman"/>
          <w:color w:val="000000" w:themeColor="text1"/>
          <w:sz w:val="16"/>
          <w:szCs w:val="16"/>
        </w:rPr>
        <w:softHyphen/>
        <w:t>дами прекращен на основании Постановления ГКО № 892 от 13.11.1941 г. и Политбюро ЦК ВКП(б) от 17.11.1941 г. (протокол № 35).</w:t>
      </w:r>
    </w:p>
    <w:p w14:paraId="6ECEEFF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За 11 месяцев 1941 года НКО с заводов промышленности получил 13000 тракторов и независи</w:t>
      </w:r>
      <w:r w:rsidRPr="00640820">
        <w:rPr>
          <w:rFonts w:ascii="Times New Roman" w:hAnsi="Times New Roman"/>
          <w:color w:val="000000" w:themeColor="text1"/>
          <w:sz w:val="16"/>
          <w:szCs w:val="16"/>
        </w:rPr>
        <w:softHyphen/>
        <w:t>мо от этого текущая потребность в них войсковых частей составляет — 20000 штук.</w:t>
      </w:r>
    </w:p>
    <w:p w14:paraId="13D9ED9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АТУ ГАБТУ Красной Армии бригинженер Тягунов</w:t>
      </w:r>
    </w:p>
    <w:p w14:paraId="2A7C9FA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Военный комиссар АТУ ГАБТУ Красной Армии ст. батальонный комиссар Лозовский</w:t>
      </w:r>
    </w:p>
    <w:p w14:paraId="0A06D0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kern w:val="65535"/>
          <w:sz w:val="16"/>
          <w:szCs w:val="16"/>
        </w:rPr>
      </w:pPr>
      <w:r w:rsidRPr="00640820">
        <w:rPr>
          <w:rFonts w:ascii="Times New Roman" w:hAnsi="Times New Roman"/>
          <w:color w:val="000000" w:themeColor="text1"/>
          <w:kern w:val="65535"/>
          <w:sz w:val="16"/>
          <w:szCs w:val="16"/>
        </w:rPr>
        <w:t>ЦАМО. Ф. 38. Оп. 11386. Д. 22. Л. 35. Копия (11211).</w:t>
      </w:r>
    </w:p>
    <w:p w14:paraId="427F1C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kern w:val="65535"/>
          <w:sz w:val="16"/>
          <w:szCs w:val="16"/>
        </w:rPr>
      </w:pPr>
    </w:p>
    <w:p w14:paraId="21674E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декабря 1941 вышло Постановление ГКО № 1013 Поручено комиссии в составе Маленкова Г.М. и др. определить необходимость применения нового взрывчатого вещества. РГАНИР, Фонд ГКО, д. 16, лл. 81 (11012).</w:t>
      </w:r>
    </w:p>
    <w:p w14:paraId="133C1C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40D39D4" w14:textId="77777777" w:rsidR="002E22AF" w:rsidRPr="00640820" w:rsidRDefault="002E22AF" w:rsidP="00640820">
      <w:pPr>
        <w:pStyle w:val="47"/>
        <w:shd w:val="clear" w:color="auto" w:fill="auto"/>
        <w:spacing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11 декабря 1941 вышло Постановление ГКО № 1013 Поручено комиссии в составе Маленкова Г.М. и др. определить необходимость применения нового взрывчатого вещества</w:t>
      </w:r>
    </w:p>
    <w:p w14:paraId="0A702D58" w14:textId="77777777" w:rsidR="002E22AF" w:rsidRPr="00640820" w:rsidRDefault="002E22AF"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Поручить комиссии в составе т.т.Маленкова, Пономаренко, Гамова, Ледина, Локтионова, Салтыкова, Денисова, Мышкова и Солдатова:</w:t>
      </w:r>
    </w:p>
    <w:p w14:paraId="0C884CB5" w14:textId="77777777" w:rsidR="002E22AF" w:rsidRPr="00640820" w:rsidRDefault="002E22AF" w:rsidP="00640820">
      <w:pPr>
        <w:tabs>
          <w:tab w:val="left" w:pos="1518"/>
        </w:tabs>
        <w:spacing w:after="0" w:line="240" w:lineRule="auto"/>
        <w:jc w:val="both"/>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1. Определить необходимость применения нового взрывча</w:t>
      </w:r>
      <w:r w:rsidRPr="00640820">
        <w:rPr>
          <w:rFonts w:ascii="Times New Roman" w:eastAsia="Times New Roman" w:hAnsi="Times New Roman"/>
          <w:color w:val="000000" w:themeColor="text1"/>
          <w:sz w:val="16"/>
          <w:szCs w:val="16"/>
        </w:rPr>
        <w:softHyphen/>
        <w:t>того вещества А-1Х-2 для снарядов и авиабомб.</w:t>
      </w:r>
    </w:p>
    <w:p w14:paraId="63F37705" w14:textId="77777777" w:rsidR="002E22AF" w:rsidRPr="00640820" w:rsidRDefault="002E22AF" w:rsidP="00640820">
      <w:pPr>
        <w:tabs>
          <w:tab w:val="left" w:pos="1533"/>
        </w:tabs>
        <w:spacing w:after="0" w:line="240" w:lineRule="auto"/>
        <w:jc w:val="both"/>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2. Выработать меры увеличения производства гексогена до 1000 тонн в месяц (19288).</w:t>
      </w:r>
    </w:p>
    <w:p w14:paraId="0E29EEA9" w14:textId="77777777" w:rsidR="002E22AF" w:rsidRPr="00640820" w:rsidRDefault="002E22AF" w:rsidP="00640820">
      <w:pPr>
        <w:autoSpaceDE w:val="0"/>
        <w:autoSpaceDN w:val="0"/>
        <w:adjustRightInd w:val="0"/>
        <w:spacing w:after="0" w:line="240" w:lineRule="auto"/>
        <w:jc w:val="both"/>
        <w:rPr>
          <w:rFonts w:ascii="Times New Roman" w:hAnsi="Times New Roman"/>
          <w:color w:val="000000" w:themeColor="text1"/>
          <w:sz w:val="16"/>
          <w:szCs w:val="16"/>
        </w:rPr>
      </w:pPr>
    </w:p>
    <w:p w14:paraId="79B575D3"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417614D7"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A0A593D"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11 декабря</w:t>
      </w:r>
      <w:r w:rsidRPr="00640820">
        <w:rPr>
          <w:rFonts w:ascii="Times New Roman" w:hAnsi="Times New Roman"/>
          <w:color w:val="000000" w:themeColor="text1"/>
          <w:sz w:val="16"/>
          <w:szCs w:val="16"/>
        </w:rPr>
        <w:t xml:space="preserve"> в 1941 году утреннее сообщение Совинформбюро:</w:t>
      </w:r>
    </w:p>
    <w:p w14:paraId="2A0E70E6"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ночь на 11 декабря наши войска вели бои с противником на всех фронтах.</w:t>
      </w:r>
    </w:p>
    <w:p w14:paraId="070DE513"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бойцы в ожесточённом бою с противником на одном из участков Западного фронта уничтожили 6 немецких танков, 2 миномётных батареи, 8 станковых пулемётов и захватили 21 танк противника.</w:t>
      </w:r>
    </w:p>
    <w:p w14:paraId="3B19C240"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Гвардейская часть майора Зубова, действующая на Сталиногорском направлении фронта, выбила немцев из 6 населённых пунктов. В бою с противником наши бойцы истребили свыше 1.000 фашистских солдат и офицеров, захватили 12 автомашин, 1 танк, 2 рации и много других трофеев.</w:t>
      </w:r>
    </w:p>
    <w:p w14:paraId="663DDB80"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Отступающие на Южном фронте германские части Клейста подвергаются непрерывным нападениям партизанских отрядов. Бойцы партизанского отряда, которым командует председатель городского совета тов. В., организовали засаду у дороги, по которой бежали немецкие солдаты. За одну только ночь снайперы партизанского отряда перестреляли до 80 фашистов, отбили восемь грузовых машин с награбленны ми вещами, захватили одно орудие, несколько ящиков со снарядами и до сотни винтовок. Партизанский отряд кубанских казаков ночью налетел на роту немцев и изрубил её всю до единого человека. Командир этого отряда, участник войны 1914-1918 гг., тов. 3. за последние пять дней восемь раз водил своих бойцов в атаку. За это время казаки истребили до 250 солдат и офицеров, захватили 36 конных повозок, два орудия, семь пулемётов, сожгли до 40 автомашин. Успешно действуют и другие партизанские отряды на этом участке фронта. Командиры партизанских отрядов сообщают о многочисленных трофеях, захваченных ими у врага, об истреблении сотен немецко-фашистских злодеев.</w:t>
      </w:r>
    </w:p>
    <w:p w14:paraId="6E1ABDED"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Немецко-фашистские мерзавцы продолжают свои чудовищные злодеяния в оккупированных ими советских районах. В деревне Гриденка, Ленинградской области, немцы дочиста ограбили крестьян. Забрали у них все продукты питания и различные тёплые вещи. Бандиты не брезговали ничем: хватали кастрюли, вёдра, детские игрушки. Группа фашистов обнаружила в избе у 60-летнего старика Сергеева оставленную кем-то листовку к немецким солдатам. Гитлеровцы тут же у избы расстреляли старика. Другого жителя деревни, Исаака Григорьева, немцы до бесчувствия избили за то, что он спрятал от них керосиновую лампу. Ночью на улице деревни застряла легковая машина немецкого офицера. Чтобы осветить улицу, фашист поджёг дом колхозника Степана Семенова. В деревне Заостровье у гражданина Панвина немецкие солдаты обнаружили компас. За хранение компаса Панвин был привязан к дереву и подвергнут жестокой пытке. В деревню Гостибинцы прибыл карательный отряд немецких извергов. Согнав всех жителей деревни на одну из улиц, бандиты потребовали выдачи якобы скрывающихся здесь партизан. Не получив ответа, офицер приказал солдатам раздеть всех крестьян, в том числе и детей, догола и жестоко избить их палками. После этого злодеи заставили женщин вырыть большую яму и расстреляли возле неё 13 крестьян. В деревне Замосточье гитлеровские бандиты, обнаружив у бригадира колхоза пустую сумку от противогаза, расстреляли его.</w:t>
      </w:r>
    </w:p>
    <w:p w14:paraId="12F513AD"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Средней Азии и Закавказье с большим успехом проходят заготовки сырья для текстильных фабрик. Колхозы и совхозы вырастили небывало высокий урожай хлопка. Тысячи стахановских звеньев колхозов Узбекистана, Таджикистана, Азербайджана и других республик собрали и сдали государству по 50-100 центнеров хлопка-сырца с каждого гектара. В колхозе имени Чапаева, Сталинабадского района, Таджикской ССР, звено Гафурджан Бабаева получило свыше 100 центнеров хлопка-сырца. В Киргизии и Таджикистане, выполнивших задолго до срока годовые планы хлопкозаготовок, колхозы продолжают сдавать государству тысячи тонн хлопка-сырца. Хлопководы Узбекистана берутся в этом сезоне дать более 100 тысяч тонн хлопка сверх плана. Луговский район, Джамбульской области, план сдачи хлопка выполнил на 305 процентов.» (14857).</w:t>
      </w:r>
    </w:p>
    <w:p w14:paraId="5F00A0F3" w14:textId="77777777" w:rsidR="000304BE" w:rsidRPr="00640820" w:rsidRDefault="000304BE" w:rsidP="00640820">
      <w:pPr>
        <w:spacing w:after="0" w:line="240" w:lineRule="auto"/>
        <w:jc w:val="both"/>
        <w:rPr>
          <w:rFonts w:ascii="Times New Roman" w:hAnsi="Times New Roman"/>
          <w:color w:val="000000" w:themeColor="text1"/>
          <w:sz w:val="16"/>
          <w:szCs w:val="16"/>
        </w:rPr>
      </w:pPr>
    </w:p>
    <w:p w14:paraId="362B6098"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11 декабря</w:t>
      </w:r>
      <w:r w:rsidRPr="00640820">
        <w:rPr>
          <w:rFonts w:ascii="Times New Roman" w:hAnsi="Times New Roman"/>
          <w:color w:val="000000" w:themeColor="text1"/>
          <w:sz w:val="16"/>
          <w:szCs w:val="16"/>
        </w:rPr>
        <w:t xml:space="preserve"> в 1941 году вечернее сообщение Совинформбюро:</w:t>
      </w:r>
    </w:p>
    <w:p w14:paraId="39258AA6"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11 декабря наши войска вели бои с противником на всех фронтах. На ряде участков Западного и Юго-Западного фронтов наши части, ведя ожесточённые бои с противником, продолжали продвигаться вперёд и заняли ряд населённых пунктов.</w:t>
      </w:r>
    </w:p>
    <w:p w14:paraId="7044DD91"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10 декабря уничтожено 6 немецких самолётов. Наши потери — 2 самолёта.</w:t>
      </w:r>
    </w:p>
    <w:p w14:paraId="1CF4E6A9"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10 декабря наша авиация уничтожила и повредила 20 немецких танков, 420 автомашин с войсками и грузами, уничтожила 40 полевых и зенитных орудий с прислугой, 140 подвод с боеприпасами, истребила или рассеяла до полка вражеской пехоты.</w:t>
      </w:r>
    </w:p>
    <w:p w14:paraId="7A4192EB"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Часть тов. Юшкевича, действующая на одном из участков Калининского направления фронта, сломив упорное сопротивление противника, выбила немцев из нескольких населённых пунктов. Наши бойцы захватили 13 станковых и 2 крупнокалиберных пулемёта, 5 орудий, 6 миномётов, 11 автомашин, 175 велосипедов, 4.500 мин, много винтовок, автоматов и другие трофеи.</w:t>
      </w:r>
    </w:p>
    <w:p w14:paraId="40AE440C"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последние несколько дней кавалеристы тов. Семёнова истребили 450 немецких солдат и офицеров и захватили 8 орудий, 38 пулемётов, 69 автоматов, 276 мотоциклов, 69 автомашин.</w:t>
      </w:r>
    </w:p>
    <w:p w14:paraId="787551CE"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Танковый экипаж лейтенанта Синицына вступил в бой с вражеской колонной. Героические танкисты вышли из ожесточённой схватки победителями, уничтожив 3 немецких танка, бронемашину и транспортную автомашину.</w:t>
      </w:r>
    </w:p>
    <w:p w14:paraId="47D036AF"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Партизанские отряды, действующие в оккупированных районах Ленинградской области, накопив боевой опыт, наносят всё больший урон немецким захватчикам. За последнее время партизаны пустили под откос 14 поездов, направлявшихся на Ленинградский фронт. В результате уничтожено свыше 200 вагонов с немецкими солдатами, боеприпасами и вооружением. Группа партизан товарища С. организовала крушение эшелона в 55 вагонов, во время которого погибли сотни немецких </w:t>
      </w:r>
      <w:r w:rsidRPr="00640820">
        <w:rPr>
          <w:rFonts w:ascii="Times New Roman" w:hAnsi="Times New Roman"/>
          <w:color w:val="000000" w:themeColor="text1"/>
          <w:sz w:val="16"/>
          <w:szCs w:val="16"/>
        </w:rPr>
        <w:lastRenderedPageBreak/>
        <w:t>солдат. Партизаны, которыми командует товарищ Н., взорвали железнодорожное полотно в 3 километрах от станции Г., в результате чего шедший с немецкими войсками эшелон потерпел крушение. Движение на этом участке дороги было прервано. Узнав, что фашисты стали подвозить войска и боеприпасы по шоссейной дороге, партизаны взорвали мост, уничтожив предварительно узел связи, соединяющий посты по охране моста со штабом части. По поступившим с 1 по 5 декабря от части партизанских отрядов Ленинградской области сведениям, советскими патриотами истреблено 930 немецких солдат и 29 офицеров. Партизаны сожгли 6 баз и складов с горючим, продовольствием, фуражом и обмундированием, взорвали 3 склада с боеприпасами, уничтожили 8 мостов, 14 линий телефонной и телеграфной связи, а также 187 грузовых, 9 легковых автомашин и 4 вездехода с прицепами.</w:t>
      </w:r>
    </w:p>
    <w:p w14:paraId="19CEB251"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Германские власти обеспокоены частым исчезновением солдат немецких частей, расквартированных в прибалтийских республиках. В пригородах Риги почти каждое утро находят трупы немецких солдат. Вечером на улицах города немцы появляются только группами. На окраине Каунаса вечером 3 декабря был обстрелян из-за реки взвод немецких солдат. Убито 2 и ранено 4 человека.</w:t>
      </w:r>
    </w:p>
    <w:p w14:paraId="299B7FA1"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Самоотверженно работают трудящиеся Новосибирской области. 2 декабря Кузбасс выполнил годовую программу угледобычи. Горняки взяли обязательство до конца года выдать сверх плана сотни тысяч тонн угля. Забойщик шахты имени Кирова треста «Ленинуголь» тов. Гиро выполняет норму на 790 процентов. Коллектив цеха промывки паровозного депо станции Тайга, Томской железной дороги, 5 декабря, намного перевыполнив план, отчислил свой дневной заработок — свыше полутора тысяч рублей — в фонд обороны СССР. Слесарь Ганжа выполнил задание на 378 процентов, электросварщик Пустовой — на 454 процента.</w:t>
      </w:r>
    </w:p>
    <w:p w14:paraId="4D7C11CA"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декабря германское информационное бюро сообщило, что немецкие самолёты бомбардировали авиационный завод в Рыбинске и якобы разрушили два цеха этого завода.</w:t>
      </w:r>
    </w:p>
    <w:p w14:paraId="2BC3451B"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Советское Информбюро сообщает, что немецкие самолёты действительно сбросили несколько бомб на цехи Рыбинского завода. Однако немцы лишь зря потратили бензин на полёт в Рыбинск. Их старания были напрасны, так как всё оборудование и рабочие этого завода были своевременно эвакуированы в глубокий тыл. Немецкие бомбы не повредили и не могли в силу этого повредить ни одного станка. Так как бомбы были сброшены в пустые цехи завода, то жертв во время налёта также не было.»</w:t>
      </w:r>
    </w:p>
    <w:p w14:paraId="7D3EE4A9"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Жулики и шулера из игорного дома «Гитлер и К°».</w:t>
      </w:r>
    </w:p>
    <w:p w14:paraId="70D72F03"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«Известно, что хвастун Гитлер на весь мир растрезвонил о том, что 7 ноября 1941 года состоится торжественный парад фашистских войск на Красной площади в Москве. Известно также, что парад на Красной площади 7 ноября 1941 года действительно состоялся, но то был парад не разбойничьих гитлеровских орд, а парад войск Красной Армии. Получив от советских войск ряд чувствительных ударов, гитлеровские жулики перестали бахвалиться о парадах. Более того, немецкое командование вдруг совершенно переменило тон в своих сообщениях. В последних сводках банда Гитлера уже не сообщает о продолжающемся «по плану» наступлении своих войск. Немцы заявляют о том, будто бы на Восточном франте свирепствуют морозы и снегопады и что «продолжение военных операций на Восточном фронте и их характер обуславливаются отныне наступлением русской зимы. Так как условия погоды не допускают больших наступательных операций, германское командование отказывается от таковых. На широком пространстве Восточного фронта происходят лишь операции местного значения».</w:t>
      </w:r>
    </w:p>
    <w:p w14:paraId="0A337D9B"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Итак, немецко-фашистские жулики и шулера вопят, будто их наступление прервала суровая зима, морозы и снегопады.</w:t>
      </w:r>
    </w:p>
    <w:p w14:paraId="74664BFE"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Всё это является, конечно, сплошным враньём от начала до конца, ибо воровская армия Гитлера стала получать один за другим могучие удары от Красной Армии, независимо от наступающей зимы. В самом деле, первая серьёзная победа советских войск произошла в районе Ростова-на-Дону, где не было тогда ни морозов, ни снега. В районе Москвы, которой хотели овладеть немцы, но вынуждены были отступить, настоящей зимы ещё не было, ибо морозы, как правило, ещё не превышали 3-5 градусов. Наоборот, погода была благоприятна для немцев. Зима началась в этом году поздно и медленно.</w:t>
      </w:r>
    </w:p>
    <w:p w14:paraId="137E4151"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Дело, следовательно, не в морозах, не в «наступлении зимней погоды», а в том, что зарвавшиеся гитлеровские картёжники просчитались в своих кровавых планах. А людоед Гитлер решил для «своих прогулок избрать подальше закоулок»: с Восточного фронта он уехал в Берлин, чтобы снять с себя ответственность за возможное поражение своей армии зимой этого года. Бьёт сейчас немецко-фашистских захватчиков не «ужасный мороз», но наша доблестная Красная Армия. Морозы же, настоящие русские морозы, ещё впереди.</w:t>
      </w:r>
    </w:p>
    <w:p w14:paraId="6D9C8595"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Что же касается так называемых «операций местного значения», то об этом следует заметить следующее. Когда гитлеровские войска заняли Ростов, то они раструбили на весь мир об этом, как о величайшей победе, открывшей им путь на Кавказ. Когда же Красная Армия вырвала Ростов у немецко-фашистских захватчиков, то немецкое командование лепечет, что это-де «операция местного значения». Когда гитлеровские войска заняли Тихвин, то они раструбили на весь мир об этом, как о величайшей победе, поставившей в критическое положение ленинградские войска. Когда же Красная Армия вырвала Тихвин у немцев, то немецкое командование лепечет теперь, что это-де «операция местного значения». Когда фашисты захватили Елец, то они оповестили мир, что это крупнейшая их победа. Когда же наши части вырвали Елец у гитлеровцев, то они опять лепечут об «операции местного значения». Мелкие шулера из игорного дома «Гитлер и К°»...»</w:t>
      </w:r>
    </w:p>
    <w:p w14:paraId="28BD9812"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последний час.</w:t>
      </w:r>
    </w:p>
    <w:p w14:paraId="0C7FB698"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Провал немецкого плана окружения и взятия Москвы.</w:t>
      </w:r>
    </w:p>
    <w:p w14:paraId="1A8CA6B5"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Поражение немецких войск на подступах Москвы.</w:t>
      </w:r>
    </w:p>
    <w:p w14:paraId="20E43E27"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16 ноября 1941 года германские войска, развернув против Западного фронта 13 танковых, 33 пехотных и 5 мотопехотных дивизий, начали второе генеральное наступление на Москву.</w:t>
      </w:r>
    </w:p>
    <w:p w14:paraId="6F31342F"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Противник имел целью, путём охвата и одновременного глубокого обхода флангов фронта, выйти нам в тыл и окружить и занять Москву. Он имел задачу занять Тулу, Каширу, Рязань и Коломну — на юге, далее</w:t>
      </w:r>
    </w:p>
    <w:p w14:paraId="4DABDCFE"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занять Клин, Солнечногорск, Рогачев, Яхрому, Дмитров — на севере и потом ударить на Москву с трёх сторон и занять её. Для этого были сосредоточены: против нашего правого фланга, на Клинско-Солнечногорско-Дмитровском направлении, — третья и четвёртая танковые группы генералов Гоот и Хюпнера в составе 1-ой, 2-ой, 5-ой, 6-ой, 7-ой, 10-ой и 11-ой танковых дивизий, 36-ой и 14-ой мотопехотных дивизий, 23-й, 106-ой и 35-ой пехотных дивизий; против левого фланга, на Тульско-Каширско-Рязанском направлении, — вторая бронетанковая армия генерала Гудериана в составе 3-ей, 4-ой, 17-ой и 18-ой танковых дивизий, 10-ой и 29-ой мотопехотных дивизий, 167-ой пехотной дивизии; против центра действовали 9-ый, 7-ой, 20-й, 12-ый, 13-ый и 43-ий армейские корпуса, 19-ая и 20-ая танковые дивизии противника.</w:t>
      </w:r>
    </w:p>
    <w:p w14:paraId="5549E818"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6 декабря наши войска вели ожесточённые оборонительные бои, сдерживая наступление ударных фланговых группировок противника и отражая его вспомогательные удары на Истринском, Звенигородском и Наро-Фоминском направлениях. В ходе этих боёв противник понёс значительные потери. С 16 ноября по 6 декабря по далеко не полным данным нашими войсками было уничтожено и захвачено, не считая действий авиации: танков — 777, автомашин — 534, орудий — 178, миномётов — 119, пулемётов — 224; потери противника убитыми — 55.170 человек.</w:t>
      </w:r>
    </w:p>
    <w:p w14:paraId="0F59C92C"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декабря 1941 г. войска нашего Западного фронта, измотав противника в предшествующих боях, перешли в контрнаступление против его ударных фланговых группировок. В результате начатого наступления обе эти группировки разбиты и поспешно отходят, бросая технику, вооружение и неся огромные потери.</w:t>
      </w:r>
    </w:p>
    <w:p w14:paraId="02875868"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исходу 11 декабря 1941 г. мы имели такую картину:</w:t>
      </w:r>
    </w:p>
    <w:p w14:paraId="1D5742D5"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войска генерала Лелюшенко, сбивая 1-ю танковую, 14-ю и 36-ю мотопехотные дивизии противника и заняв Рогачев, окружили г. Клин;</w:t>
      </w:r>
    </w:p>
    <w:p w14:paraId="37ABAFF0"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войска генерала Кузнецова, захватив г. Яхрому, преследуют отходящие 6-ю, 7-ю танковые и 23-ю пехотную дивизии противника и вышли юго-западнее Клина;</w:t>
      </w:r>
    </w:p>
    <w:p w14:paraId="50894A66"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войска, где начальником штаба генерал Сандапов, преследуя 2-ю танковую и 106-ю пехотную дивизии противника, заняли г. Солнечногорск;</w:t>
      </w:r>
    </w:p>
    <w:p w14:paraId="3DF81E72"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войска генерала Рокоссовского, преследуя 5-ю, 10-ю и 11-ю танковые дивизии, дивизию «СС» и 35-ю пехотную дивизию противника, заняли г. Истру;</w:t>
      </w:r>
    </w:p>
    <w:p w14:paraId="72B4CAC3"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 войска генерала Говорова прорвали оборону 252-й, 87-й, 78-й и 267-й пехотных дивизий противника и заняли районы Кулебякино-Локотня;</w:t>
      </w:r>
    </w:p>
    <w:p w14:paraId="1CD38265"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 войска генерала Болдина, разбив северо-восточнее Тулы 3-ю, 4-ю танковые дивизии и полк «СС» («Великая Германия») противника, развивают наступление, тесня и охватывая 296-ю пехотную дивизию противника;</w:t>
      </w:r>
    </w:p>
    <w:p w14:paraId="793E115D"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ж) 1-й гвардейский кавалерийский корпус генерала Белова, последовательно разбив 17-ю танковую, 29-ю мотопехотную и 167-ю пехотную дивизии противника, преследует их остатки и занял город Венёв и Сталиногорск;</w:t>
      </w:r>
    </w:p>
    <w:p w14:paraId="5D2D1139"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 войска генерала Голикова, отбрасывая на юго-запад части 18-й танковой и 10-й мотопехотной дивизий противника, заняли г. Михайлов и г. Епифань.</w:t>
      </w:r>
    </w:p>
    <w:p w14:paraId="24FA9C0A"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перехода в наступление, с 6 по 10 декабря, частями наших войск занято и освобождено от немцев свыше 400 населённых пунктов.</w:t>
      </w:r>
    </w:p>
    <w:p w14:paraId="3D40E76D"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6 по 10 декабря захвачено: танков — 386, автомашин — 4.317, мотоциклов — 704, орудий — 305, миномётов — 101, пулемётов — 515, автоматов — 546.</w:t>
      </w:r>
    </w:p>
    <w:p w14:paraId="7DFB187C"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этот же срок нашими войсками уничтожено, не считая действий авиации: танков — 271, автомашин — 565, орудий — 92, миномётов — 119, пулемётов — 131.</w:t>
      </w:r>
    </w:p>
    <w:p w14:paraId="24E74FB9"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захвачено огромное количество другого вооружения, боеприпасов, обмундирования и разного имущества. Немцы потеряли на поле боя за эти дни свыше 30.000 убитыми.</w:t>
      </w:r>
    </w:p>
    <w:p w14:paraId="58EA3DA7"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итоге за время с 16 ноября по 10 декабря сего года захвачено и уничтожено, без учёта действий авиации: танков — 1.434, автомашин — 5.416, орудий — 575, миномётов — 339, пулемётов — 870. Потери немцев только по указанным выше армиям за это время составляют свыше 85.000 убитыми.</w:t>
      </w:r>
    </w:p>
    <w:p w14:paraId="2D4C1A84"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Сведения эти неполные и предварительные, так как нет пока возможности подсчитать, ввиду продолжающегося наступления, все трофеи.</w:t>
      </w:r>
    </w:p>
    <w:p w14:paraId="5BA2148A"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Германское информационное бюро писало в начале декабря:</w:t>
      </w:r>
    </w:p>
    <w:p w14:paraId="73FAE31F"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«Германское командование будет рассматривать Москву как свою основную цель даже в том случае, если Сталин попытается перенести центр тяжести военных операций в другое место. Германские круги заявляют, что германское наступление на столицу большевиков продвинулось так далеко, что уже можно рассмотреть внутреннюю часть города Москвы через хороший бинокль».</w:t>
      </w:r>
    </w:p>
    <w:p w14:paraId="7AE8192A"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Теперь уже несомненно, что этот хвастливый план окружения и взятия Москвы провалился с треском. Немцы здесь явным образом потерпели поражение.</w:t>
      </w:r>
    </w:p>
    <w:p w14:paraId="351A58AB" w14:textId="77777777" w:rsidR="000304BE" w:rsidRPr="00640820" w:rsidRDefault="000304B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Немцы жалуются на зиму и утверждают, что зима помешала им осуществить план занятия Москвы. Но, во-первых, настоящей зимы ещё нет у нас под Москвой, ибо морозы достигают у нас не более 3-5 градусов. Во-вторых, жалобы на зиму означают, что немцы не позаботились снабдить свою армию тёплым обмундированием, хотя они на весь мир прокричали, что они давно уже готовы к зимней кампании. А не снабдили они свою армию зимним обмундированием потому, что надеялись кончить войну до наступления зимы. Надежды немцев, как видно, не оправдались. Здесь был допущен немцами серьёзный и опасный просчёт. Но просчёт в немецких планах никак уж нельзя объяснить зимними условиями кампании. Не зима тут виновата, а органический дефект в работе германского командования в области планирования войны.» (14857).</w:t>
      </w:r>
    </w:p>
    <w:p w14:paraId="4EC86E10" w14:textId="77777777" w:rsidR="000304BE" w:rsidRPr="00640820" w:rsidRDefault="000304BE" w:rsidP="00640820">
      <w:pPr>
        <w:spacing w:after="0" w:line="240" w:lineRule="auto"/>
        <w:jc w:val="both"/>
        <w:rPr>
          <w:rFonts w:ascii="Times New Roman" w:hAnsi="Times New Roman"/>
          <w:color w:val="000000" w:themeColor="text1"/>
          <w:sz w:val="16"/>
          <w:szCs w:val="16"/>
        </w:rPr>
      </w:pPr>
    </w:p>
    <w:p w14:paraId="7A3342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11 декабря 1941 согласно сообщению Совинформбюро за первые пять дней контрнаступления под Москвой авиация уничтожила и повредила 284 танков, и бронемашин, более 3148 а/м, 143 орудия, 5880 повозок, 13 полков пехоты. Л Г.А.Григорьев сбил 17 самолетов, а К.Н.Титенков - 6. Было совершено 22 тарана, в т.ч. А.Н.Катрич на высоте 8000 м (438,827).</w:t>
      </w:r>
    </w:p>
    <w:p w14:paraId="1B9522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3615AF0" w14:textId="77777777" w:rsidR="002357E4" w:rsidRPr="00640820" w:rsidRDefault="002357E4" w:rsidP="00640820">
      <w:pPr>
        <w:pStyle w:val="ae"/>
        <w:spacing w:before="0" w:after="0"/>
        <w:jc w:val="both"/>
        <w:textAlignment w:val="baseline"/>
        <w:rPr>
          <w:color w:val="000000" w:themeColor="text1"/>
          <w:sz w:val="16"/>
          <w:szCs w:val="16"/>
        </w:rPr>
      </w:pPr>
      <w:r w:rsidRPr="00640820">
        <w:rPr>
          <w:color w:val="000000" w:themeColor="text1"/>
          <w:sz w:val="16"/>
          <w:szCs w:val="16"/>
        </w:rPr>
        <w:t>11 декабря 1941 ВВС ЮЗФ выполнили 127 самолето-вылетов, из которых 107 «на атаку». При этом, по советским данным, было уничтожено 8 танков, 120 машин, 40 повозок, 30 всадников, 900 пехотинцев, 5 орудий, 1 автоцистерна, а также разрушено 17 зданий и подавлено 17 зенитно-пулеметных точек. С задания не вернулось три самолета: некие «10002», «10021» и «20008».</w:t>
      </w:r>
    </w:p>
    <w:p w14:paraId="08EA7338" w14:textId="77777777" w:rsidR="002357E4" w:rsidRPr="00640820" w:rsidRDefault="002357E4" w:rsidP="00640820">
      <w:pPr>
        <w:pStyle w:val="ae"/>
        <w:spacing w:before="0" w:after="0"/>
        <w:jc w:val="both"/>
        <w:textAlignment w:val="baseline"/>
        <w:rPr>
          <w:color w:val="000000" w:themeColor="text1"/>
          <w:sz w:val="16"/>
          <w:szCs w:val="16"/>
        </w:rPr>
      </w:pPr>
      <w:r w:rsidRPr="00640820">
        <w:rPr>
          <w:color w:val="000000" w:themeColor="text1"/>
          <w:sz w:val="16"/>
          <w:szCs w:val="16"/>
        </w:rPr>
        <w:t>Слово «подавлено», так же как и другие размытые определения типа «рассеяно» и «разогнано», также не имело точной расшифровки. Что представляла собой подавленная (не уничтоженная, не атакованная) пулеметная точка? Пулемет, получивший в результате обстрела, бомбардировки, пуска ракет повреждения и выведенный из строя, или пулемет, на время атаки просто прекративший огонь? И как определяли, что «точка» была именно подавлена, а не перестала стрелять из-за того, что на ней закончились боеприпасы или шла перезарядка? Понятно, что такие термины позволяли, не имея конкретных подтверждений, составлять впечатляющие отчеты и быстро пополнять, наряду с перебитыми всадниками и повозками, боевые счета летчиков (19522).</w:t>
      </w:r>
    </w:p>
    <w:p w14:paraId="2552F081" w14:textId="77777777" w:rsidR="002357E4" w:rsidRPr="00640820" w:rsidRDefault="002357E4" w:rsidP="00640820">
      <w:pPr>
        <w:pStyle w:val="ae"/>
        <w:spacing w:before="0" w:after="0"/>
        <w:jc w:val="both"/>
        <w:textAlignment w:val="baseline"/>
        <w:rPr>
          <w:color w:val="000000" w:themeColor="text1"/>
          <w:sz w:val="16"/>
          <w:szCs w:val="16"/>
        </w:rPr>
      </w:pPr>
    </w:p>
    <w:p w14:paraId="79E15170"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11 декабря</w:t>
      </w:r>
      <w:r w:rsidRPr="00640820">
        <w:rPr>
          <w:rFonts w:ascii="Times New Roman" w:hAnsi="Times New Roman"/>
          <w:color w:val="000000" w:themeColor="text1"/>
          <w:sz w:val="16"/>
          <w:szCs w:val="16"/>
        </w:rPr>
        <w:t xml:space="preserve"> в 1941 году войска Западного фронтаа освободили города Истру и Новомосковск; за 5 дней наступления (с 6 по 10 декабря) ими освобождено свыше 400 населённых пунктов. Отступая из Исты, немецкие войска взорвали главный собор Новоиерусалимского монастыря (14857).</w:t>
      </w:r>
    </w:p>
    <w:p w14:paraId="53FE27F4" w14:textId="77777777" w:rsidR="00EF2C46" w:rsidRPr="00640820" w:rsidRDefault="00EF2C46" w:rsidP="00640820">
      <w:pPr>
        <w:spacing w:after="0" w:line="240" w:lineRule="auto"/>
        <w:jc w:val="both"/>
        <w:rPr>
          <w:rFonts w:ascii="Times New Roman" w:hAnsi="Times New Roman"/>
          <w:color w:val="000000" w:themeColor="text1"/>
          <w:sz w:val="16"/>
          <w:szCs w:val="16"/>
        </w:rPr>
      </w:pPr>
    </w:p>
    <w:p w14:paraId="584F95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декабря 1941 была освобождена Истра (3481).</w:t>
      </w:r>
    </w:p>
    <w:p w14:paraId="002C21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7FE8D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декабря 1941 вышло Постановление ГКО № 1012 О заместителе начальника Управления снабжения горючим Красной Армии (назначение заместителем начальника Управления снабжения горючим Красной Армии Кормилицина М.И.). РГАНИР, Фонд ГКО, д. 16, лл. 80 (11012).</w:t>
      </w:r>
    </w:p>
    <w:p w14:paraId="3B7CDF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09392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декабря 1941 вышло Постановление ГКО № 1015 О формировании дорожно-эксплуатационных, дорожно- и мостостроительных батальонов. РГАНИР, Фонд ГКО, д. 16, лл. 83 (11012).</w:t>
      </w:r>
    </w:p>
    <w:p w14:paraId="785E18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CEC7C93" w14:textId="77777777" w:rsidR="002357E4" w:rsidRPr="00640820" w:rsidRDefault="002357E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2773E65A" w14:textId="77777777" w:rsidR="002357E4" w:rsidRPr="00640820" w:rsidRDefault="002357E4"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458C118" w14:textId="77777777" w:rsidR="002357E4" w:rsidRPr="00640820" w:rsidRDefault="002357E4"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декабря 1941 - после победы под Москвой - Совет по эвакуации принял решение о прекращении эвакуации из Москвы (173,214).</w:t>
      </w:r>
    </w:p>
    <w:p w14:paraId="7BF48A9C" w14:textId="77777777" w:rsidR="002357E4" w:rsidRPr="00640820" w:rsidRDefault="002357E4" w:rsidP="00640820">
      <w:pPr>
        <w:autoSpaceDE w:val="0"/>
        <w:autoSpaceDN w:val="0"/>
        <w:adjustRightInd w:val="0"/>
        <w:spacing w:after="0" w:line="240" w:lineRule="auto"/>
        <w:jc w:val="both"/>
        <w:rPr>
          <w:rFonts w:ascii="Times New Roman" w:hAnsi="Times New Roman"/>
          <w:color w:val="000000" w:themeColor="text1"/>
          <w:sz w:val="16"/>
          <w:szCs w:val="16"/>
        </w:rPr>
      </w:pPr>
    </w:p>
    <w:p w14:paraId="6F767B27" w14:textId="77777777" w:rsidR="002357E4" w:rsidRPr="00640820" w:rsidRDefault="002357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декабря 1941 г. после контрнаступления Красной Армии под Москвой Совет по эвакуации при СНК СССР распорядился прекратить перебазирование людей, имущества и техники из столицы. К этому времени из Москвы в глубокий тыл были отправлены 277504 работника отрасли и членов их семей, 26711 единиц различного оборудования. А всего с июня по декабрь 1941 г. на восток вывезли свыше 100 авиапредприятий, дававших до войны до 3/4 объема всей отраслевой продукции (18305).</w:t>
      </w:r>
    </w:p>
    <w:p w14:paraId="2F5F8A5E" w14:textId="77777777" w:rsidR="002357E4" w:rsidRPr="00640820" w:rsidRDefault="002357E4" w:rsidP="00640820">
      <w:pPr>
        <w:spacing w:after="0" w:line="240" w:lineRule="auto"/>
        <w:jc w:val="both"/>
        <w:rPr>
          <w:rFonts w:ascii="Times New Roman" w:hAnsi="Times New Roman"/>
          <w:color w:val="000000" w:themeColor="text1"/>
          <w:sz w:val="16"/>
          <w:szCs w:val="16"/>
        </w:rPr>
      </w:pPr>
    </w:p>
    <w:p w14:paraId="7F4C1415"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24AB64F6"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E4D0A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декабря 1941 А.Гитлер в Рейхстаге сообщил, что на Восточном фронте было захвачено и уничтожено 17332 русских самолетов. Г.К.Жуков писал, что с 1 января 1939 по 22 июня 1941 мы сделали 17745 (238,116).</w:t>
      </w:r>
    </w:p>
    <w:p w14:paraId="4C9CC2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4F02B5D"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11 декабря</w:t>
      </w:r>
      <w:r w:rsidRPr="00640820">
        <w:rPr>
          <w:rFonts w:ascii="Times New Roman" w:hAnsi="Times New Roman"/>
          <w:color w:val="000000" w:themeColor="text1"/>
          <w:sz w:val="16"/>
          <w:szCs w:val="16"/>
        </w:rPr>
        <w:t xml:space="preserve"> в 1941 году японцы оккупируют Гуам (14857).</w:t>
      </w:r>
    </w:p>
    <w:p w14:paraId="7CBC5A03" w14:textId="77777777" w:rsidR="00EF2C46" w:rsidRPr="00640820" w:rsidRDefault="00EF2C46" w:rsidP="00640820">
      <w:pPr>
        <w:spacing w:after="0" w:line="240" w:lineRule="auto"/>
        <w:jc w:val="both"/>
        <w:rPr>
          <w:rFonts w:ascii="Times New Roman" w:hAnsi="Times New Roman"/>
          <w:color w:val="000000" w:themeColor="text1"/>
          <w:sz w:val="16"/>
          <w:szCs w:val="16"/>
        </w:rPr>
      </w:pPr>
    </w:p>
    <w:p w14:paraId="60D60D04" w14:textId="77777777" w:rsidR="00EF2C46" w:rsidRPr="00640820" w:rsidRDefault="00EF2C46"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December 11, 1941: In a speech before the Reichstag Hitler, after denouncing the un-neutral and warlike anti-German policies of President Roosevelt and citing Germany's obligations under the Tri-Partite Pact with Japan and Italy, declares war on the United States. His ally, Mussolini, follows suit some hours later. Costa Rica, Cuba, the Dominican Republic and Nicaragua declare war on Germany (3819).</w:t>
      </w:r>
    </w:p>
    <w:p w14:paraId="0EBE29E6" w14:textId="77777777" w:rsidR="00EF2C46" w:rsidRPr="00640820" w:rsidRDefault="00EF2C46"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305A0F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декабря 1941 Германия, Италия и Япония подписали соглашение о совместной войне против США и Англии (3186).</w:t>
      </w:r>
    </w:p>
    <w:p w14:paraId="0A0076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799AF2F" w14:textId="77777777" w:rsidR="003156BD" w:rsidRPr="00640820" w:rsidRDefault="003156B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11 декабря 1941 Соединенные Штаты обмениваются объявлениями войны с Германией и Италией (20794).</w:t>
      </w:r>
    </w:p>
    <w:p w14:paraId="4DE26D6C" w14:textId="77777777" w:rsidR="003156BD" w:rsidRPr="00640820" w:rsidRDefault="003156BD" w:rsidP="00640820">
      <w:pPr>
        <w:spacing w:after="0" w:line="240" w:lineRule="auto"/>
        <w:jc w:val="both"/>
        <w:rPr>
          <w:rFonts w:ascii="Times New Roman" w:hAnsi="Times New Roman"/>
          <w:color w:val="0070C0"/>
          <w:sz w:val="16"/>
          <w:szCs w:val="16"/>
        </w:rPr>
      </w:pPr>
    </w:p>
    <w:p w14:paraId="028CAFCA" w14:textId="77777777" w:rsidR="003156BD" w:rsidRPr="00640820" w:rsidRDefault="003156B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11 декабря 1941 четыре истребителя F4F Wildcat корпуса морской пехоты США на острове Уэйк играют важную роль в отражении японского вторжения на остров (20794).</w:t>
      </w:r>
    </w:p>
    <w:p w14:paraId="6A408CE8" w14:textId="77777777" w:rsidR="003156BD" w:rsidRPr="00640820" w:rsidRDefault="003156BD" w:rsidP="00640820">
      <w:pPr>
        <w:spacing w:after="0" w:line="240" w:lineRule="auto"/>
        <w:jc w:val="both"/>
        <w:rPr>
          <w:rFonts w:ascii="Times New Roman" w:hAnsi="Times New Roman"/>
          <w:color w:val="0070C0"/>
          <w:sz w:val="16"/>
          <w:szCs w:val="16"/>
        </w:rPr>
      </w:pPr>
    </w:p>
    <w:p w14:paraId="496A86C9" w14:textId="77777777" w:rsidR="003156BD" w:rsidRPr="00640820" w:rsidRDefault="003156B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11 декабря 1941 Служащий в Королевских канадских ВВС США «No. 412 - й эскадрильи» американский поэт и авиатор Джон Гиллеспи Маги, Jr. , погибает, когда его Супермарин Spitfire сталкивается с тренировочным самолетом Airspeed Оксфорд в Roxholme, Линкольншир, Англия. Пилот Оксфорда также погибает (20794).</w:t>
      </w:r>
    </w:p>
    <w:p w14:paraId="16C1AA15" w14:textId="77777777" w:rsidR="003156BD" w:rsidRPr="00640820" w:rsidRDefault="003156BD" w:rsidP="00640820">
      <w:pPr>
        <w:spacing w:after="0" w:line="240" w:lineRule="auto"/>
        <w:jc w:val="both"/>
        <w:rPr>
          <w:rFonts w:ascii="Times New Roman" w:hAnsi="Times New Roman"/>
          <w:color w:val="0070C0"/>
          <w:sz w:val="16"/>
          <w:szCs w:val="16"/>
        </w:rPr>
      </w:pPr>
    </w:p>
    <w:p w14:paraId="1EA6B209" w14:textId="77777777" w:rsidR="003156BD" w:rsidRPr="00640820" w:rsidRDefault="003156B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11 декабря 1941 летающие лодки PBY Catalina ВМС США прибывают в Натал, Бразилия, чтобы начать патрулирование бразильского побережья и южной части Атлантического океана (20794).</w:t>
      </w:r>
    </w:p>
    <w:p w14:paraId="7C08C4E7" w14:textId="77777777" w:rsidR="003156BD" w:rsidRPr="00640820" w:rsidRDefault="003156BD" w:rsidP="00640820">
      <w:pPr>
        <w:spacing w:after="0" w:line="240" w:lineRule="auto"/>
        <w:jc w:val="both"/>
        <w:rPr>
          <w:rFonts w:ascii="Times New Roman" w:hAnsi="Times New Roman"/>
          <w:color w:val="0070C0"/>
          <w:sz w:val="16"/>
          <w:szCs w:val="16"/>
        </w:rPr>
      </w:pPr>
    </w:p>
    <w:p w14:paraId="4EC5AA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декабря 1941 Германия и Италия объявили войну США (3186).</w:t>
      </w:r>
    </w:p>
    <w:p w14:paraId="102DB9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523AD6F"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декабря 1941 Германия провозгласила войну США (4962).</w:t>
      </w:r>
    </w:p>
    <w:p w14:paraId="04C146A2"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BF5706"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декабря 1941 США объявили войну Германии и Италии (4962).</w:t>
      </w:r>
    </w:p>
    <w:p w14:paraId="187A2E11"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45EE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декабря 1941 войну США объявили Германия и Италия (3871).</w:t>
      </w:r>
    </w:p>
    <w:p w14:paraId="6FCB86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DEFF109"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11 декабря</w:t>
      </w:r>
      <w:r w:rsidRPr="00640820">
        <w:rPr>
          <w:rFonts w:ascii="Times New Roman" w:hAnsi="Times New Roman"/>
          <w:color w:val="000000" w:themeColor="text1"/>
          <w:sz w:val="16"/>
          <w:szCs w:val="16"/>
        </w:rPr>
        <w:t xml:space="preserve"> в 1941 году США объявили войну Германии и Италии. Президент Рузвельт, обращаясь по этому поводу к Конгрессу, заявил: «Никогда прежде не было большей угрозы жизни, свободе и цивилизации». Сенат и Палата представителей Конгресса США единодушно проголосовали за объявление войны Германии и Италии, главным союзникам напавшей три дня назад на страну Японии (14857).</w:t>
      </w:r>
    </w:p>
    <w:p w14:paraId="28FEDB62" w14:textId="77777777" w:rsidR="00EF2C46" w:rsidRPr="00640820" w:rsidRDefault="00EF2C46" w:rsidP="00640820">
      <w:pPr>
        <w:spacing w:after="0" w:line="240" w:lineRule="auto"/>
        <w:jc w:val="both"/>
        <w:rPr>
          <w:rFonts w:ascii="Times New Roman" w:hAnsi="Times New Roman"/>
          <w:color w:val="000000" w:themeColor="text1"/>
          <w:sz w:val="16"/>
          <w:szCs w:val="16"/>
        </w:rPr>
      </w:pPr>
    </w:p>
    <w:p w14:paraId="543314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December 11 1941 Germany and Italy declare war on the United States, which then declares war on them (1037).</w:t>
      </w:r>
    </w:p>
    <w:p w14:paraId="46B37E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6F194F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 December 1941 Germany and Italy declare war on the USA and vice versa (270).</w:t>
      </w:r>
    </w:p>
    <w:p w14:paraId="3918F4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0D5858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lang w:val="en-US"/>
        </w:rPr>
        <w:t xml:space="preserve">December 11 1941 United States declared by joint resolutions a state of war with Germany and Italy. </w:t>
      </w:r>
      <w:r w:rsidRPr="00640820">
        <w:rPr>
          <w:rFonts w:ascii="Times New Roman" w:hAnsi="Times New Roman"/>
          <w:color w:val="000000" w:themeColor="text1"/>
          <w:sz w:val="16"/>
          <w:szCs w:val="16"/>
        </w:rPr>
        <w:t>(1223).</w:t>
      </w:r>
    </w:p>
    <w:p w14:paraId="113E06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37D33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декабря 1941 Германия и Италия объявили войну США, которые в свою очередь также объвили войну им (1037;1223;270).</w:t>
      </w:r>
    </w:p>
    <w:p w14:paraId="453BA1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BAA65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December 11 1941 Costa Rica, Cuba, Guatemala, Nicaragua, and the Dominican Republic declared war against Germany and Italy (1223).</w:t>
      </w:r>
    </w:p>
    <w:p w14:paraId="72F905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5642E3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декабря 1941 войну Германии и Италии объявили Коста Рика, Куба, Гватемала, Никарагуа и Доминиканская республика (1223).</w:t>
      </w:r>
    </w:p>
    <w:p w14:paraId="5F2D6F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D1C75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December 11 1941 Poland declared a state of war with Japan (1223).</w:t>
      </w:r>
    </w:p>
    <w:p w14:paraId="77DDE2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16547D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декабря 1941 Польша объявила войну Японии (1223).</w:t>
      </w:r>
    </w:p>
    <w:p w14:paraId="4252A8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815F9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December 11 1941 Mexico severed diplomatic relations with Germany and Italy (1223).</w:t>
      </w:r>
    </w:p>
    <w:p w14:paraId="7E072D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7456D1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декабря 1941 Мексика разорвала дип. отношения с Германией и Италией (1223).</w:t>
      </w:r>
    </w:p>
    <w:p w14:paraId="41B161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D0727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December 11 1941 Haiti, Panama, and Honduras declared war against Germany and Italy (1223).</w:t>
      </w:r>
    </w:p>
    <w:p w14:paraId="267209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7FD0E2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декабря 1941 войну Германии и Италии объявили Гаити, Панама и Гондурас (1223).</w:t>
      </w:r>
    </w:p>
    <w:p w14:paraId="0B9B9D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BF490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December 11 1941 Rumania declared a state of war with the United States (1223).</w:t>
      </w:r>
    </w:p>
    <w:p w14:paraId="20641F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3C2B9E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декабря 1941 Румыния объявила войну США (1223).</w:t>
      </w:r>
    </w:p>
    <w:p w14:paraId="706A79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FC1D1D2"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099B432E"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46CDFA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декабря 1941 на 292 завод приезжал А.И.Шахурин, чтобы понять, почему не выполняются приказы от 2 и 9 ноября, а также 4 и 11 ноября об увеличении выпуска Як-1. Увидел, что проблема в раскисшем аэродроме и решил отправлять машины поездом для облета в Раменках - ЛИИ (198,23).</w:t>
      </w:r>
    </w:p>
    <w:p w14:paraId="7FCDD0E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5D32A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декабря 1941 по заданию ГКО для выяснения обстановки на саратовский авиазавод прибыл нарком авиапромышленности А.И. Шахурин. Он ознакомился с истинным положением дел, изучил предложения заводчан и 19 декабря отдал приказ об отправке самолетов, прошедших полный цикл наземных испытаний (отстрел вооружения, опробование моторов и систем) под Москву. Самолеты перевозили вначале в ящиках, а затем просто на платформах с отстыкованными для перевозки по железной дороге крыльями. На новом месте машины быстро собирали, облетывали и немедленно вручали заказчику - ВВС КА. Всего с 6 по 21 января было отгружено для последующей сборки и облета 110 самолетов (20 машин было отправлено в адрес ЦАГИ (Раменское), 10 на завод № 301 (Химки) и 80 на завод № 30 (Пресня) ГАСО ф.Р-1261 оп.З д.218). В процессе продвижения эшелонов их груз переадресовали. Фактически самолеты поступили только на завод № 30 (74 машины) и № 301 (36 машин). Все самолеты были отправлены в части (40 в январе и 69 в феврале), за исключением одного, задержавшегося на заводе № 30 из-за замены мотора (12048).</w:t>
      </w:r>
    </w:p>
    <w:p w14:paraId="61068D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1E369A2" w14:textId="77777777" w:rsidR="00173061" w:rsidRPr="00640820" w:rsidRDefault="0017306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12 декабря 1941 И.В.С. разразился резким по тону постановлением ГКО «Вопросы НКАП», гласившим: «Ввиду того, что нарком авиационной промышленности стал работать из рук вон плохо, провалил все планы производства и выдачи самолётов и моторов, и таким образом подвёл страну и Красную Армию, Государственный комитет обороны постановляет: 1). Поставить Наркомат авиационной промышленности под контроль тт. Берия и Маленкова, обязать этих товарищей принять все необходимые срочные меры для развёртывания производства самолётов… 2). Обязать наркома авиационной промышленности и его заместителей беспрекословно выполнять все указания тт. Берия и Маленкова…» (21417).</w:t>
      </w:r>
    </w:p>
    <w:p w14:paraId="6C5867A1" w14:textId="77777777" w:rsidR="00173061" w:rsidRPr="00640820" w:rsidRDefault="00173061" w:rsidP="00640820">
      <w:pPr>
        <w:spacing w:after="0" w:line="240" w:lineRule="auto"/>
        <w:jc w:val="both"/>
        <w:rPr>
          <w:rFonts w:ascii="Times New Roman" w:hAnsi="Times New Roman"/>
          <w:color w:val="0070C0"/>
          <w:sz w:val="16"/>
          <w:szCs w:val="16"/>
        </w:rPr>
      </w:pPr>
    </w:p>
    <w:p w14:paraId="53777F3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декабря 1941 начальники Главков НКАП согласовывали Список КБ и опытных заводов, подлежащих передаче Опытным отделам Главков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1842"/>
        <w:gridCol w:w="1701"/>
        <w:gridCol w:w="1560"/>
      </w:tblGrid>
      <w:tr w:rsidR="00643896" w:rsidRPr="00640820" w14:paraId="77D2C902" w14:textId="77777777" w:rsidTr="000D3BCB">
        <w:tc>
          <w:tcPr>
            <w:tcW w:w="534" w:type="dxa"/>
            <w:tcBorders>
              <w:top w:val="single" w:sz="12" w:space="0" w:color="auto"/>
            </w:tcBorders>
          </w:tcPr>
          <w:p w14:paraId="2A595E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п/п</w:t>
            </w:r>
          </w:p>
        </w:tc>
        <w:tc>
          <w:tcPr>
            <w:tcW w:w="1842" w:type="dxa"/>
            <w:tcBorders>
              <w:top w:val="single" w:sz="12" w:space="0" w:color="auto"/>
            </w:tcBorders>
          </w:tcPr>
          <w:p w14:paraId="418EA4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Наименование</w:t>
            </w:r>
          </w:p>
        </w:tc>
        <w:tc>
          <w:tcPr>
            <w:tcW w:w="1701" w:type="dxa"/>
            <w:tcBorders>
              <w:top w:val="single" w:sz="12" w:space="0" w:color="auto"/>
            </w:tcBorders>
          </w:tcPr>
          <w:p w14:paraId="184478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ГК</w:t>
            </w:r>
          </w:p>
        </w:tc>
        <w:tc>
          <w:tcPr>
            <w:tcW w:w="1560" w:type="dxa"/>
            <w:tcBorders>
              <w:top w:val="single" w:sz="12" w:space="0" w:color="auto"/>
            </w:tcBorders>
          </w:tcPr>
          <w:p w14:paraId="15BC67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Передается</w:t>
            </w:r>
          </w:p>
        </w:tc>
      </w:tr>
      <w:tr w:rsidR="00643896" w:rsidRPr="00640820" w14:paraId="04446A5C" w14:textId="77777777" w:rsidTr="000D3BCB">
        <w:tc>
          <w:tcPr>
            <w:tcW w:w="534" w:type="dxa"/>
          </w:tcPr>
          <w:p w14:paraId="6C7657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1842" w:type="dxa"/>
          </w:tcPr>
          <w:p w14:paraId="12F8403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ОКБ-1</w:t>
            </w:r>
          </w:p>
        </w:tc>
        <w:tc>
          <w:tcPr>
            <w:tcW w:w="1701" w:type="dxa"/>
          </w:tcPr>
          <w:p w14:paraId="58C421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Микоян</w:t>
            </w:r>
          </w:p>
        </w:tc>
        <w:tc>
          <w:tcPr>
            <w:tcW w:w="1560" w:type="dxa"/>
          </w:tcPr>
          <w:p w14:paraId="773D431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Главк</w:t>
            </w:r>
          </w:p>
        </w:tc>
      </w:tr>
      <w:tr w:rsidR="00643896" w:rsidRPr="00640820" w14:paraId="563246FB" w14:textId="77777777" w:rsidTr="000D3BCB">
        <w:tc>
          <w:tcPr>
            <w:tcW w:w="534" w:type="dxa"/>
          </w:tcPr>
          <w:p w14:paraId="4FB0EF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1842" w:type="dxa"/>
          </w:tcPr>
          <w:p w14:paraId="51D3EA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115</w:t>
            </w:r>
          </w:p>
        </w:tc>
        <w:tc>
          <w:tcPr>
            <w:tcW w:w="1701" w:type="dxa"/>
          </w:tcPr>
          <w:p w14:paraId="49D3A0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Яковлев</w:t>
            </w:r>
          </w:p>
        </w:tc>
        <w:tc>
          <w:tcPr>
            <w:tcW w:w="1560" w:type="dxa"/>
          </w:tcPr>
          <w:p w14:paraId="56BE1B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AF7B626" w14:textId="77777777" w:rsidTr="000D3BCB">
        <w:tc>
          <w:tcPr>
            <w:tcW w:w="534" w:type="dxa"/>
          </w:tcPr>
          <w:p w14:paraId="61D9F59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c>
          <w:tcPr>
            <w:tcW w:w="1842" w:type="dxa"/>
          </w:tcPr>
          <w:p w14:paraId="01AF2C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ОКБ-21</w:t>
            </w:r>
          </w:p>
        </w:tc>
        <w:tc>
          <w:tcPr>
            <w:tcW w:w="1701" w:type="dxa"/>
          </w:tcPr>
          <w:p w14:paraId="384236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Лавочкин</w:t>
            </w:r>
          </w:p>
        </w:tc>
        <w:tc>
          <w:tcPr>
            <w:tcW w:w="1560" w:type="dxa"/>
          </w:tcPr>
          <w:p w14:paraId="5F2EA1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EA279F4" w14:textId="77777777" w:rsidTr="000D3BCB">
        <w:tc>
          <w:tcPr>
            <w:tcW w:w="534" w:type="dxa"/>
          </w:tcPr>
          <w:p w14:paraId="2C139E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1842" w:type="dxa"/>
          </w:tcPr>
          <w:p w14:paraId="07A824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ОКБ-301</w:t>
            </w:r>
          </w:p>
        </w:tc>
        <w:tc>
          <w:tcPr>
            <w:tcW w:w="1701" w:type="dxa"/>
          </w:tcPr>
          <w:p w14:paraId="588947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Гудков</w:t>
            </w:r>
          </w:p>
        </w:tc>
        <w:tc>
          <w:tcPr>
            <w:tcW w:w="1560" w:type="dxa"/>
          </w:tcPr>
          <w:p w14:paraId="257B84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4EC0495" w14:textId="77777777" w:rsidTr="000D3BCB">
        <w:tc>
          <w:tcPr>
            <w:tcW w:w="534" w:type="dxa"/>
          </w:tcPr>
          <w:p w14:paraId="0A2D32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1842" w:type="dxa"/>
          </w:tcPr>
          <w:p w14:paraId="02E6D1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51</w:t>
            </w:r>
          </w:p>
        </w:tc>
        <w:tc>
          <w:tcPr>
            <w:tcW w:w="1701" w:type="dxa"/>
          </w:tcPr>
          <w:p w14:paraId="6C08A9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Поликарпов</w:t>
            </w:r>
          </w:p>
        </w:tc>
        <w:tc>
          <w:tcPr>
            <w:tcW w:w="1560" w:type="dxa"/>
          </w:tcPr>
          <w:p w14:paraId="236356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940328F" w14:textId="77777777" w:rsidTr="000D3BCB">
        <w:tc>
          <w:tcPr>
            <w:tcW w:w="534" w:type="dxa"/>
          </w:tcPr>
          <w:p w14:paraId="5D78A4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c>
          <w:tcPr>
            <w:tcW w:w="1842" w:type="dxa"/>
          </w:tcPr>
          <w:p w14:paraId="7854D3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293</w:t>
            </w:r>
          </w:p>
        </w:tc>
        <w:tc>
          <w:tcPr>
            <w:tcW w:w="1701" w:type="dxa"/>
          </w:tcPr>
          <w:p w14:paraId="69551E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Болховитинов</w:t>
            </w:r>
          </w:p>
        </w:tc>
        <w:tc>
          <w:tcPr>
            <w:tcW w:w="1560" w:type="dxa"/>
          </w:tcPr>
          <w:p w14:paraId="0181BD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762A7B1" w14:textId="77777777" w:rsidTr="000D3BCB">
        <w:tc>
          <w:tcPr>
            <w:tcW w:w="534" w:type="dxa"/>
          </w:tcPr>
          <w:p w14:paraId="5EE086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w:t>
            </w:r>
          </w:p>
        </w:tc>
        <w:tc>
          <w:tcPr>
            <w:tcW w:w="1842" w:type="dxa"/>
          </w:tcPr>
          <w:p w14:paraId="66A4CB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289</w:t>
            </w:r>
          </w:p>
        </w:tc>
        <w:tc>
          <w:tcPr>
            <w:tcW w:w="1701" w:type="dxa"/>
          </w:tcPr>
          <w:p w14:paraId="5B0E77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Сухой</w:t>
            </w:r>
          </w:p>
        </w:tc>
        <w:tc>
          <w:tcPr>
            <w:tcW w:w="1560" w:type="dxa"/>
          </w:tcPr>
          <w:p w14:paraId="5518E6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A186972" w14:textId="77777777" w:rsidTr="000D3BCB">
        <w:tc>
          <w:tcPr>
            <w:tcW w:w="534" w:type="dxa"/>
          </w:tcPr>
          <w:p w14:paraId="5EC8101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w:t>
            </w:r>
          </w:p>
        </w:tc>
        <w:tc>
          <w:tcPr>
            <w:tcW w:w="1842" w:type="dxa"/>
          </w:tcPr>
          <w:p w14:paraId="3C1DED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ОКБ-135</w:t>
            </w:r>
          </w:p>
        </w:tc>
        <w:tc>
          <w:tcPr>
            <w:tcW w:w="1701" w:type="dxa"/>
          </w:tcPr>
          <w:p w14:paraId="63222C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Грушин</w:t>
            </w:r>
          </w:p>
        </w:tc>
        <w:tc>
          <w:tcPr>
            <w:tcW w:w="1560" w:type="dxa"/>
          </w:tcPr>
          <w:p w14:paraId="312240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49FDCA1" w14:textId="77777777" w:rsidTr="000D3BCB">
        <w:tc>
          <w:tcPr>
            <w:tcW w:w="534" w:type="dxa"/>
          </w:tcPr>
          <w:p w14:paraId="6591F5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tc>
        <w:tc>
          <w:tcPr>
            <w:tcW w:w="1842" w:type="dxa"/>
          </w:tcPr>
          <w:p w14:paraId="2B76E8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ОКБ-207</w:t>
            </w:r>
          </w:p>
        </w:tc>
        <w:tc>
          <w:tcPr>
            <w:tcW w:w="1701" w:type="dxa"/>
          </w:tcPr>
          <w:p w14:paraId="0BD3C8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Кочерыгин</w:t>
            </w:r>
          </w:p>
        </w:tc>
        <w:tc>
          <w:tcPr>
            <w:tcW w:w="1560" w:type="dxa"/>
          </w:tcPr>
          <w:p w14:paraId="56B764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9B3571E" w14:textId="77777777" w:rsidTr="000D3BCB">
        <w:tc>
          <w:tcPr>
            <w:tcW w:w="534" w:type="dxa"/>
          </w:tcPr>
          <w:p w14:paraId="13DFFB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1842" w:type="dxa"/>
          </w:tcPr>
          <w:p w14:paraId="12AD52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ОКБ-МАИ</w:t>
            </w:r>
          </w:p>
        </w:tc>
        <w:tc>
          <w:tcPr>
            <w:tcW w:w="1701" w:type="dxa"/>
          </w:tcPr>
          <w:p w14:paraId="1E4292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Братухин</w:t>
            </w:r>
          </w:p>
        </w:tc>
        <w:tc>
          <w:tcPr>
            <w:tcW w:w="1560" w:type="dxa"/>
          </w:tcPr>
          <w:p w14:paraId="7B00D3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B68F646" w14:textId="77777777" w:rsidTr="000D3BCB">
        <w:tc>
          <w:tcPr>
            <w:tcW w:w="534" w:type="dxa"/>
          </w:tcPr>
          <w:p w14:paraId="202203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w:t>
            </w:r>
          </w:p>
        </w:tc>
        <w:tc>
          <w:tcPr>
            <w:tcW w:w="1842" w:type="dxa"/>
          </w:tcPr>
          <w:p w14:paraId="53DAD0F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290</w:t>
            </w:r>
          </w:p>
        </w:tc>
        <w:tc>
          <w:tcPr>
            <w:tcW w:w="1701" w:type="dxa"/>
          </w:tcPr>
          <w:p w14:paraId="0C8ED6F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Камов</w:t>
            </w:r>
          </w:p>
        </w:tc>
        <w:tc>
          <w:tcPr>
            <w:tcW w:w="1560" w:type="dxa"/>
          </w:tcPr>
          <w:p w14:paraId="5ED98F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6708104" w14:textId="77777777" w:rsidTr="000D3BCB">
        <w:tc>
          <w:tcPr>
            <w:tcW w:w="534" w:type="dxa"/>
          </w:tcPr>
          <w:p w14:paraId="64BCB7E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w:t>
            </w:r>
          </w:p>
        </w:tc>
        <w:tc>
          <w:tcPr>
            <w:tcW w:w="1842" w:type="dxa"/>
          </w:tcPr>
          <w:p w14:paraId="36E7853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ОКБ-39</w:t>
            </w:r>
          </w:p>
        </w:tc>
        <w:tc>
          <w:tcPr>
            <w:tcW w:w="1701" w:type="dxa"/>
          </w:tcPr>
          <w:p w14:paraId="6AEE4B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Ильюшин</w:t>
            </w:r>
          </w:p>
        </w:tc>
        <w:tc>
          <w:tcPr>
            <w:tcW w:w="1560" w:type="dxa"/>
          </w:tcPr>
          <w:p w14:paraId="52C8A5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10-й Главк</w:t>
            </w:r>
          </w:p>
        </w:tc>
      </w:tr>
      <w:tr w:rsidR="00643896" w:rsidRPr="00640820" w14:paraId="3AA6A752" w14:textId="77777777" w:rsidTr="000D3BCB">
        <w:tc>
          <w:tcPr>
            <w:tcW w:w="534" w:type="dxa"/>
          </w:tcPr>
          <w:p w14:paraId="551277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w:t>
            </w:r>
          </w:p>
        </w:tc>
        <w:tc>
          <w:tcPr>
            <w:tcW w:w="1842" w:type="dxa"/>
          </w:tcPr>
          <w:p w14:paraId="407E7B6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ОКБ-22</w:t>
            </w:r>
          </w:p>
        </w:tc>
        <w:tc>
          <w:tcPr>
            <w:tcW w:w="1701" w:type="dxa"/>
          </w:tcPr>
          <w:p w14:paraId="4F520B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Петляков</w:t>
            </w:r>
          </w:p>
        </w:tc>
        <w:tc>
          <w:tcPr>
            <w:tcW w:w="1560" w:type="dxa"/>
          </w:tcPr>
          <w:p w14:paraId="198912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8F99988" w14:textId="77777777" w:rsidTr="000D3BCB">
        <w:tc>
          <w:tcPr>
            <w:tcW w:w="534" w:type="dxa"/>
          </w:tcPr>
          <w:p w14:paraId="266DBD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w:t>
            </w:r>
          </w:p>
        </w:tc>
        <w:tc>
          <w:tcPr>
            <w:tcW w:w="1842" w:type="dxa"/>
          </w:tcPr>
          <w:p w14:paraId="5B01E6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ОКБ-166</w:t>
            </w:r>
          </w:p>
        </w:tc>
        <w:tc>
          <w:tcPr>
            <w:tcW w:w="1701" w:type="dxa"/>
          </w:tcPr>
          <w:p w14:paraId="72E7AF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Туполев</w:t>
            </w:r>
          </w:p>
        </w:tc>
        <w:tc>
          <w:tcPr>
            <w:tcW w:w="1560" w:type="dxa"/>
          </w:tcPr>
          <w:p w14:paraId="3D4A5D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7E58311" w14:textId="77777777" w:rsidTr="000D3BCB">
        <w:tc>
          <w:tcPr>
            <w:tcW w:w="534" w:type="dxa"/>
          </w:tcPr>
          <w:p w14:paraId="4A83D9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1842" w:type="dxa"/>
          </w:tcPr>
          <w:p w14:paraId="3F45E2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ОТБ</w:t>
            </w:r>
          </w:p>
        </w:tc>
        <w:tc>
          <w:tcPr>
            <w:tcW w:w="1701" w:type="dxa"/>
          </w:tcPr>
          <w:p w14:paraId="770119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Мясищев</w:t>
            </w:r>
          </w:p>
        </w:tc>
        <w:tc>
          <w:tcPr>
            <w:tcW w:w="1560" w:type="dxa"/>
          </w:tcPr>
          <w:p w14:paraId="003A4E9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8C245A8" w14:textId="77777777" w:rsidTr="000D3BCB">
        <w:tc>
          <w:tcPr>
            <w:tcW w:w="534" w:type="dxa"/>
          </w:tcPr>
          <w:p w14:paraId="1AE214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w:t>
            </w:r>
          </w:p>
        </w:tc>
        <w:tc>
          <w:tcPr>
            <w:tcW w:w="1842" w:type="dxa"/>
          </w:tcPr>
          <w:p w14:paraId="6E325A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ОКБ-156</w:t>
            </w:r>
          </w:p>
        </w:tc>
        <w:tc>
          <w:tcPr>
            <w:tcW w:w="1701" w:type="dxa"/>
          </w:tcPr>
          <w:p w14:paraId="1CBEB4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Архангельский</w:t>
            </w:r>
          </w:p>
        </w:tc>
        <w:tc>
          <w:tcPr>
            <w:tcW w:w="1560" w:type="dxa"/>
          </w:tcPr>
          <w:p w14:paraId="5B1326B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88F00D0" w14:textId="77777777" w:rsidTr="000D3BCB">
        <w:tc>
          <w:tcPr>
            <w:tcW w:w="534" w:type="dxa"/>
          </w:tcPr>
          <w:p w14:paraId="1FF6F0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w:t>
            </w:r>
          </w:p>
        </w:tc>
        <w:tc>
          <w:tcPr>
            <w:tcW w:w="1842" w:type="dxa"/>
          </w:tcPr>
          <w:p w14:paraId="5F739BB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288</w:t>
            </w:r>
          </w:p>
        </w:tc>
        <w:tc>
          <w:tcPr>
            <w:tcW w:w="1701" w:type="dxa"/>
          </w:tcPr>
          <w:p w14:paraId="71295B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Бериев</w:t>
            </w:r>
          </w:p>
        </w:tc>
        <w:tc>
          <w:tcPr>
            <w:tcW w:w="1560" w:type="dxa"/>
          </w:tcPr>
          <w:p w14:paraId="5AA720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9AE0474" w14:textId="77777777" w:rsidTr="000D3BCB">
        <w:tc>
          <w:tcPr>
            <w:tcW w:w="534" w:type="dxa"/>
          </w:tcPr>
          <w:p w14:paraId="011F19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w:t>
            </w:r>
          </w:p>
        </w:tc>
        <w:tc>
          <w:tcPr>
            <w:tcW w:w="1842" w:type="dxa"/>
          </w:tcPr>
          <w:p w14:paraId="211E8F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з-да № 30</w:t>
            </w:r>
          </w:p>
        </w:tc>
        <w:tc>
          <w:tcPr>
            <w:tcW w:w="1701" w:type="dxa"/>
          </w:tcPr>
          <w:p w14:paraId="2C7646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Четвериков</w:t>
            </w:r>
          </w:p>
        </w:tc>
        <w:tc>
          <w:tcPr>
            <w:tcW w:w="1560" w:type="dxa"/>
          </w:tcPr>
          <w:p w14:paraId="507D80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3A38F14" w14:textId="77777777" w:rsidTr="000D3BCB">
        <w:tc>
          <w:tcPr>
            <w:tcW w:w="534" w:type="dxa"/>
          </w:tcPr>
          <w:p w14:paraId="23EDDF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w:t>
            </w:r>
          </w:p>
        </w:tc>
        <w:tc>
          <w:tcPr>
            <w:tcW w:w="1842" w:type="dxa"/>
          </w:tcPr>
          <w:p w14:paraId="77A64F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240</w:t>
            </w:r>
          </w:p>
        </w:tc>
        <w:tc>
          <w:tcPr>
            <w:tcW w:w="1701" w:type="dxa"/>
          </w:tcPr>
          <w:p w14:paraId="425370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Ермолаев</w:t>
            </w:r>
          </w:p>
        </w:tc>
        <w:tc>
          <w:tcPr>
            <w:tcW w:w="1560" w:type="dxa"/>
          </w:tcPr>
          <w:p w14:paraId="160688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1CAC806" w14:textId="77777777" w:rsidTr="000D3BCB">
        <w:tc>
          <w:tcPr>
            <w:tcW w:w="534" w:type="dxa"/>
          </w:tcPr>
          <w:p w14:paraId="04B4AC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1842" w:type="dxa"/>
          </w:tcPr>
          <w:p w14:paraId="2249F0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ОКБ-84</w:t>
            </w:r>
          </w:p>
        </w:tc>
        <w:tc>
          <w:tcPr>
            <w:tcW w:w="1701" w:type="dxa"/>
          </w:tcPr>
          <w:p w14:paraId="098B2F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Мосолов</w:t>
            </w:r>
          </w:p>
        </w:tc>
        <w:tc>
          <w:tcPr>
            <w:tcW w:w="1560" w:type="dxa"/>
          </w:tcPr>
          <w:p w14:paraId="3B9F1A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3ABF53D" w14:textId="77777777" w:rsidTr="000D3BCB">
        <w:tc>
          <w:tcPr>
            <w:tcW w:w="534" w:type="dxa"/>
          </w:tcPr>
          <w:p w14:paraId="3B6873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w:t>
            </w:r>
          </w:p>
        </w:tc>
        <w:tc>
          <w:tcPr>
            <w:tcW w:w="1842" w:type="dxa"/>
          </w:tcPr>
          <w:p w14:paraId="312325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468</w:t>
            </w:r>
          </w:p>
        </w:tc>
        <w:tc>
          <w:tcPr>
            <w:tcW w:w="1701" w:type="dxa"/>
          </w:tcPr>
          <w:p w14:paraId="2C6A33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Привалов</w:t>
            </w:r>
          </w:p>
        </w:tc>
        <w:tc>
          <w:tcPr>
            <w:tcW w:w="1560" w:type="dxa"/>
          </w:tcPr>
          <w:p w14:paraId="01361AB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84F2E09" w14:textId="77777777" w:rsidTr="000D3BCB">
        <w:tc>
          <w:tcPr>
            <w:tcW w:w="534" w:type="dxa"/>
          </w:tcPr>
          <w:p w14:paraId="46EBEA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w:t>
            </w:r>
          </w:p>
        </w:tc>
        <w:tc>
          <w:tcPr>
            <w:tcW w:w="1842" w:type="dxa"/>
          </w:tcPr>
          <w:p w14:paraId="638923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Н.Е.</w:t>
            </w:r>
          </w:p>
        </w:tc>
        <w:tc>
          <w:tcPr>
            <w:tcW w:w="1701" w:type="dxa"/>
          </w:tcPr>
          <w:p w14:paraId="1F31D6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Надирадзе</w:t>
            </w:r>
          </w:p>
        </w:tc>
        <w:tc>
          <w:tcPr>
            <w:tcW w:w="1560" w:type="dxa"/>
          </w:tcPr>
          <w:p w14:paraId="55F1CC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0F557F8" w14:textId="77777777" w:rsidTr="000D3BCB">
        <w:tc>
          <w:tcPr>
            <w:tcW w:w="534" w:type="dxa"/>
          </w:tcPr>
          <w:p w14:paraId="50A5E0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w:t>
            </w:r>
          </w:p>
        </w:tc>
        <w:tc>
          <w:tcPr>
            <w:tcW w:w="1842" w:type="dxa"/>
          </w:tcPr>
          <w:p w14:paraId="06B077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ОКБ-1-32</w:t>
            </w:r>
          </w:p>
        </w:tc>
        <w:tc>
          <w:tcPr>
            <w:tcW w:w="1701" w:type="dxa"/>
          </w:tcPr>
          <w:p w14:paraId="3AD4BF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Шульгин</w:t>
            </w:r>
          </w:p>
        </w:tc>
        <w:tc>
          <w:tcPr>
            <w:tcW w:w="1560" w:type="dxa"/>
          </w:tcPr>
          <w:p w14:paraId="0ED232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2-й Главк</w:t>
            </w:r>
          </w:p>
        </w:tc>
      </w:tr>
      <w:tr w:rsidR="00643896" w:rsidRPr="00640820" w14:paraId="3E4BEB21" w14:textId="77777777" w:rsidTr="000D3BCB">
        <w:tc>
          <w:tcPr>
            <w:tcW w:w="534" w:type="dxa"/>
          </w:tcPr>
          <w:p w14:paraId="4F3C94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w:t>
            </w:r>
          </w:p>
        </w:tc>
        <w:tc>
          <w:tcPr>
            <w:tcW w:w="1842" w:type="dxa"/>
          </w:tcPr>
          <w:p w14:paraId="620EFA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ОКБ-2-32</w:t>
            </w:r>
          </w:p>
        </w:tc>
        <w:tc>
          <w:tcPr>
            <w:tcW w:w="1701" w:type="dxa"/>
          </w:tcPr>
          <w:p w14:paraId="73BFA3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Веневидов-Можаровский</w:t>
            </w:r>
          </w:p>
        </w:tc>
        <w:tc>
          <w:tcPr>
            <w:tcW w:w="1560" w:type="dxa"/>
          </w:tcPr>
          <w:p w14:paraId="19E341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DF1AE82" w14:textId="77777777" w:rsidTr="000D3BCB">
        <w:tc>
          <w:tcPr>
            <w:tcW w:w="534" w:type="dxa"/>
          </w:tcPr>
          <w:p w14:paraId="01881C8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w:t>
            </w:r>
          </w:p>
        </w:tc>
        <w:tc>
          <w:tcPr>
            <w:tcW w:w="1842" w:type="dxa"/>
          </w:tcPr>
          <w:p w14:paraId="5DBAD1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ОКБ-3-32</w:t>
            </w:r>
          </w:p>
        </w:tc>
        <w:tc>
          <w:tcPr>
            <w:tcW w:w="1701" w:type="dxa"/>
          </w:tcPr>
          <w:p w14:paraId="62FFB03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Торопов</w:t>
            </w:r>
          </w:p>
        </w:tc>
        <w:tc>
          <w:tcPr>
            <w:tcW w:w="1560" w:type="dxa"/>
          </w:tcPr>
          <w:p w14:paraId="0617E6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F8E6705" w14:textId="77777777" w:rsidTr="000D3BCB">
        <w:tc>
          <w:tcPr>
            <w:tcW w:w="534" w:type="dxa"/>
          </w:tcPr>
          <w:p w14:paraId="1BC0A9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w:t>
            </w:r>
          </w:p>
        </w:tc>
        <w:tc>
          <w:tcPr>
            <w:tcW w:w="1842" w:type="dxa"/>
          </w:tcPr>
          <w:p w14:paraId="493008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ОКБ-487 (454)</w:t>
            </w:r>
          </w:p>
        </w:tc>
        <w:tc>
          <w:tcPr>
            <w:tcW w:w="1701" w:type="dxa"/>
          </w:tcPr>
          <w:p w14:paraId="52C1CF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Шебанов</w:t>
            </w:r>
          </w:p>
        </w:tc>
        <w:tc>
          <w:tcPr>
            <w:tcW w:w="1560" w:type="dxa"/>
          </w:tcPr>
          <w:p w14:paraId="70531D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7E9D084" w14:textId="77777777" w:rsidTr="000D3BCB">
        <w:tc>
          <w:tcPr>
            <w:tcW w:w="534" w:type="dxa"/>
          </w:tcPr>
          <w:p w14:paraId="551308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w:t>
            </w:r>
          </w:p>
        </w:tc>
        <w:tc>
          <w:tcPr>
            <w:tcW w:w="1842" w:type="dxa"/>
          </w:tcPr>
          <w:p w14:paraId="56476B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ОКБ-145</w:t>
            </w:r>
          </w:p>
        </w:tc>
        <w:tc>
          <w:tcPr>
            <w:tcW w:w="1701" w:type="dxa"/>
          </w:tcPr>
          <w:p w14:paraId="0CF266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Картуков</w:t>
            </w:r>
          </w:p>
        </w:tc>
        <w:tc>
          <w:tcPr>
            <w:tcW w:w="1560" w:type="dxa"/>
          </w:tcPr>
          <w:p w14:paraId="4A591E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4781554" w14:textId="77777777" w:rsidTr="000D3BCB">
        <w:tc>
          <w:tcPr>
            <w:tcW w:w="534" w:type="dxa"/>
          </w:tcPr>
          <w:p w14:paraId="3FF1474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w:t>
            </w:r>
          </w:p>
        </w:tc>
        <w:tc>
          <w:tcPr>
            <w:tcW w:w="1842" w:type="dxa"/>
          </w:tcPr>
          <w:p w14:paraId="264905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ОКБ-34</w:t>
            </w:r>
          </w:p>
        </w:tc>
        <w:tc>
          <w:tcPr>
            <w:tcW w:w="1701" w:type="dxa"/>
          </w:tcPr>
          <w:p w14:paraId="5A5D3A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Воронин</w:t>
            </w:r>
          </w:p>
        </w:tc>
        <w:tc>
          <w:tcPr>
            <w:tcW w:w="1560" w:type="dxa"/>
          </w:tcPr>
          <w:p w14:paraId="45A8B6C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223C4F3" w14:textId="77777777" w:rsidTr="000D3BCB">
        <w:tc>
          <w:tcPr>
            <w:tcW w:w="534" w:type="dxa"/>
          </w:tcPr>
          <w:p w14:paraId="3DD724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w:t>
            </w:r>
          </w:p>
        </w:tc>
        <w:tc>
          <w:tcPr>
            <w:tcW w:w="1842" w:type="dxa"/>
          </w:tcPr>
          <w:p w14:paraId="019041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ОКБ-120</w:t>
            </w:r>
          </w:p>
        </w:tc>
        <w:tc>
          <w:tcPr>
            <w:tcW w:w="1701" w:type="dxa"/>
          </w:tcPr>
          <w:p w14:paraId="162CA4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Флеров</w:t>
            </w:r>
          </w:p>
        </w:tc>
        <w:tc>
          <w:tcPr>
            <w:tcW w:w="1560" w:type="dxa"/>
          </w:tcPr>
          <w:p w14:paraId="49BD66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A0D19A5" w14:textId="77777777" w:rsidTr="000D3BCB">
        <w:tc>
          <w:tcPr>
            <w:tcW w:w="534" w:type="dxa"/>
          </w:tcPr>
          <w:p w14:paraId="314744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c>
          <w:tcPr>
            <w:tcW w:w="1842" w:type="dxa"/>
          </w:tcPr>
          <w:p w14:paraId="1615A1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ОКБ-119</w:t>
            </w:r>
          </w:p>
        </w:tc>
        <w:tc>
          <w:tcPr>
            <w:tcW w:w="1701" w:type="dxa"/>
          </w:tcPr>
          <w:p w14:paraId="56F246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Самсонов</w:t>
            </w:r>
          </w:p>
        </w:tc>
        <w:tc>
          <w:tcPr>
            <w:tcW w:w="1560" w:type="dxa"/>
          </w:tcPr>
          <w:p w14:paraId="279A006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4A33E35" w14:textId="77777777" w:rsidTr="000D3BCB">
        <w:tc>
          <w:tcPr>
            <w:tcW w:w="534" w:type="dxa"/>
          </w:tcPr>
          <w:p w14:paraId="439DC6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w:t>
            </w:r>
          </w:p>
        </w:tc>
        <w:tc>
          <w:tcPr>
            <w:tcW w:w="1842" w:type="dxa"/>
          </w:tcPr>
          <w:p w14:paraId="16DBBE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ОКБ-266</w:t>
            </w:r>
          </w:p>
        </w:tc>
        <w:tc>
          <w:tcPr>
            <w:tcW w:w="1701" w:type="dxa"/>
          </w:tcPr>
          <w:p w14:paraId="0730C4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Енгибарян</w:t>
            </w:r>
          </w:p>
        </w:tc>
        <w:tc>
          <w:tcPr>
            <w:tcW w:w="1560" w:type="dxa"/>
          </w:tcPr>
          <w:p w14:paraId="74E6C8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4-й Главк</w:t>
            </w:r>
          </w:p>
        </w:tc>
      </w:tr>
      <w:tr w:rsidR="00643896" w:rsidRPr="00640820" w14:paraId="1DBDDEC3" w14:textId="77777777" w:rsidTr="000D3BCB">
        <w:tc>
          <w:tcPr>
            <w:tcW w:w="534" w:type="dxa"/>
          </w:tcPr>
          <w:p w14:paraId="15965D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w:t>
            </w:r>
          </w:p>
        </w:tc>
        <w:tc>
          <w:tcPr>
            <w:tcW w:w="1842" w:type="dxa"/>
          </w:tcPr>
          <w:p w14:paraId="44A041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294</w:t>
            </w:r>
          </w:p>
        </w:tc>
        <w:tc>
          <w:tcPr>
            <w:tcW w:w="1701" w:type="dxa"/>
          </w:tcPr>
          <w:p w14:paraId="52F015E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Михайлов-Голубков</w:t>
            </w:r>
          </w:p>
        </w:tc>
        <w:tc>
          <w:tcPr>
            <w:tcW w:w="1560" w:type="dxa"/>
          </w:tcPr>
          <w:p w14:paraId="5F8573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5-й Главк</w:t>
            </w:r>
          </w:p>
        </w:tc>
      </w:tr>
      <w:tr w:rsidR="00643896" w:rsidRPr="00640820" w14:paraId="365F8F2B" w14:textId="77777777" w:rsidTr="000D3BCB">
        <w:tc>
          <w:tcPr>
            <w:tcW w:w="534" w:type="dxa"/>
          </w:tcPr>
          <w:p w14:paraId="18179C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33.</w:t>
            </w:r>
          </w:p>
        </w:tc>
        <w:tc>
          <w:tcPr>
            <w:tcW w:w="1842" w:type="dxa"/>
          </w:tcPr>
          <w:p w14:paraId="5CCD8E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ЦАГИ</w:t>
            </w:r>
          </w:p>
        </w:tc>
        <w:tc>
          <w:tcPr>
            <w:tcW w:w="1701" w:type="dxa"/>
          </w:tcPr>
          <w:p w14:paraId="54D36B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Шишкин</w:t>
            </w:r>
          </w:p>
        </w:tc>
        <w:tc>
          <w:tcPr>
            <w:tcW w:w="1560" w:type="dxa"/>
          </w:tcPr>
          <w:p w14:paraId="4DC269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Отдел по руководству НИИ</w:t>
            </w:r>
          </w:p>
        </w:tc>
      </w:tr>
      <w:tr w:rsidR="00643896" w:rsidRPr="00640820" w14:paraId="59358081" w14:textId="77777777" w:rsidTr="000D3BCB">
        <w:tc>
          <w:tcPr>
            <w:tcW w:w="534" w:type="dxa"/>
          </w:tcPr>
          <w:p w14:paraId="0B0422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34.</w:t>
            </w:r>
          </w:p>
        </w:tc>
        <w:tc>
          <w:tcPr>
            <w:tcW w:w="1842" w:type="dxa"/>
          </w:tcPr>
          <w:p w14:paraId="38B576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ЛИИ</w:t>
            </w:r>
          </w:p>
        </w:tc>
        <w:tc>
          <w:tcPr>
            <w:tcW w:w="1701" w:type="dxa"/>
          </w:tcPr>
          <w:p w14:paraId="248BA9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Чесалов</w:t>
            </w:r>
          </w:p>
        </w:tc>
        <w:tc>
          <w:tcPr>
            <w:tcW w:w="1560" w:type="dxa"/>
          </w:tcPr>
          <w:p w14:paraId="1D04B8E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C71C647" w14:textId="77777777" w:rsidTr="000D3BCB">
        <w:tc>
          <w:tcPr>
            <w:tcW w:w="534" w:type="dxa"/>
          </w:tcPr>
          <w:p w14:paraId="748FBC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w:t>
            </w:r>
          </w:p>
        </w:tc>
        <w:tc>
          <w:tcPr>
            <w:tcW w:w="1842" w:type="dxa"/>
          </w:tcPr>
          <w:p w14:paraId="494D48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БНТ</w:t>
            </w:r>
          </w:p>
        </w:tc>
        <w:tc>
          <w:tcPr>
            <w:tcW w:w="1701" w:type="dxa"/>
          </w:tcPr>
          <w:p w14:paraId="34E7C9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Леонтьев</w:t>
            </w:r>
          </w:p>
        </w:tc>
        <w:tc>
          <w:tcPr>
            <w:tcW w:w="1560" w:type="dxa"/>
          </w:tcPr>
          <w:p w14:paraId="3B2E5B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9132558" w14:textId="77777777" w:rsidTr="000D3BCB">
        <w:tc>
          <w:tcPr>
            <w:tcW w:w="534" w:type="dxa"/>
            <w:tcBorders>
              <w:bottom w:val="single" w:sz="12" w:space="0" w:color="auto"/>
            </w:tcBorders>
          </w:tcPr>
          <w:p w14:paraId="33D097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36.</w:t>
            </w:r>
          </w:p>
        </w:tc>
        <w:tc>
          <w:tcPr>
            <w:tcW w:w="1842" w:type="dxa"/>
            <w:tcBorders>
              <w:bottom w:val="single" w:sz="12" w:space="0" w:color="auto"/>
            </w:tcBorders>
          </w:tcPr>
          <w:p w14:paraId="64440C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ВИАМ</w:t>
            </w:r>
          </w:p>
        </w:tc>
        <w:tc>
          <w:tcPr>
            <w:tcW w:w="1701" w:type="dxa"/>
            <w:tcBorders>
              <w:bottom w:val="single" w:sz="12" w:space="0" w:color="auto"/>
            </w:tcBorders>
          </w:tcPr>
          <w:p w14:paraId="219BFB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Туманов</w:t>
            </w:r>
          </w:p>
        </w:tc>
        <w:tc>
          <w:tcPr>
            <w:tcW w:w="1560" w:type="dxa"/>
            <w:tcBorders>
              <w:bottom w:val="single" w:sz="12" w:space="0" w:color="auto"/>
            </w:tcBorders>
          </w:tcPr>
          <w:p w14:paraId="780DEB9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bl>
    <w:p w14:paraId="7E8C6A9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Подписал Нач. 7 Главка НКАП Н.Петров (2879.</w:t>
      </w:r>
    </w:p>
    <w:p w14:paraId="6BE344C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D374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12 октября 1941 на восток ушел первый эшелон с оборудованием завода № 154. Сначала предприятие намеревались эвакуировать в Ташкент, но потом отправили еще дальше - в Андижан. Станки стали монтировать в амбарах хлопкозавода № 2. Никто не думал, что там придется целыми днями работать людям - темно и душно. Но выбирать было не из чего. В декабре завод № 154 выпустил 34 мотора, используя задел деталей. В целом производство М-11 по сравнению с 1940 г. упало примерно на треть (11479).</w:t>
      </w:r>
    </w:p>
    <w:p w14:paraId="331C6D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4A7D6A4" w14:textId="77777777" w:rsidR="002357E4" w:rsidRPr="00640820" w:rsidRDefault="002357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декабря 1941 г. Приказ № 599 Народного комиссариата среднего машиностроения СССР о немедленном размещении и монтаже оборудования цеха авиационных и танковых подшипников на Куйбышевском подшипниковом заводе.</w:t>
      </w:r>
    </w:p>
    <w:p w14:paraId="15E24126" w14:textId="77777777" w:rsidR="002357E4" w:rsidRPr="00640820" w:rsidRDefault="002357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Подлинник.</w:t>
      </w:r>
    </w:p>
    <w:p w14:paraId="23EA140A" w14:textId="77777777" w:rsidR="002357E4" w:rsidRPr="00640820" w:rsidRDefault="002357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РГАЭ ф. 8115, оп. 1, д. 317, л. 180. (18959)</w:t>
      </w:r>
    </w:p>
    <w:p w14:paraId="660F972D" w14:textId="77777777" w:rsidR="002357E4" w:rsidRPr="00640820" w:rsidRDefault="002357E4" w:rsidP="00640820">
      <w:pPr>
        <w:spacing w:after="0" w:line="240" w:lineRule="auto"/>
        <w:jc w:val="both"/>
        <w:rPr>
          <w:rFonts w:ascii="Times New Roman" w:hAnsi="Times New Roman"/>
          <w:color w:val="000000" w:themeColor="text1"/>
          <w:sz w:val="16"/>
          <w:szCs w:val="16"/>
        </w:rPr>
      </w:pPr>
    </w:p>
    <w:p w14:paraId="7F27877D"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2A85C710"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93286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декабря 1941 г. Завод № 564 НКБ, п/я 23, Новосибирский завод точного машиностроения «Точмаш», ПО «Комета» им. С.П. Королева, ФГУП «Комета» Росбоеприпаса, ОАО «Комета» /г. Новосибирск п/я 25 (1943 г.)/ /630015  г. Новосибирск ул. Королева, 40/ выпустил первую продукцию. К 1.01.1942 г. восстановлено производство: корпусов снарядов: 20-мм - 5,4 млн. шт. в год, 23-мм - 1,32 млн. шт.; взрывателей: К-6 - 1,8 млн. шт., В-179 -</w:t>
      </w:r>
      <w:r w:rsidRPr="00640820">
        <w:rPr>
          <w:rFonts w:ascii="Times New Roman" w:hAnsi="Times New Roman"/>
          <w:iCs/>
          <w:color w:val="000000" w:themeColor="text1"/>
          <w:sz w:val="16"/>
          <w:szCs w:val="16"/>
        </w:rPr>
        <w:t xml:space="preserve"> 360</w:t>
      </w:r>
      <w:r w:rsidRPr="00640820">
        <w:rPr>
          <w:rFonts w:ascii="Times New Roman" w:hAnsi="Times New Roman"/>
          <w:color w:val="000000" w:themeColor="text1"/>
          <w:sz w:val="16"/>
          <w:szCs w:val="16"/>
        </w:rPr>
        <w:t xml:space="preserve"> тыс. шт. Завод полностью вступил в строй во 2-й половине 1943 г.</w:t>
      </w:r>
    </w:p>
    <w:p w14:paraId="524BC2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12.1942-09.1944 г. - в ведении 2ГУ НКБ. Имел обозначение «п/я 25(3)» (1943 г.).</w:t>
      </w:r>
    </w:p>
    <w:p w14:paraId="3F6C0F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Выпускал снаряды, авиабомбы, взрыватели. В соответствии с пост. ГКО № 3696 от 6.07.1943 г. на завод откомандировано 8 радиоспециалистов для производства радиостанций А-7; в соответствии с пост. ГКО № 4606 от 20.11.1943 г. на заводы № 564 и 677 мобилизовано 950 чел. 21.04.1944 г. вышло распоряжение ГКО № 5698 о мерах по обеспечению увеличения производства на заводе взрывателей для артснарядов. 11.10.1944 г. - распоряжение ГКО № 6694 о поставке заводу спецукупорки для взрывателей и освобождении завода от ремонта электромоторов. 20.04.1945 г. вышло распоряжение ГКО № 8232 о мерах по переносу производства радиостанций А-7 с завода.</w:t>
      </w:r>
    </w:p>
    <w:p w14:paraId="2FA5FC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1950-х  г. завод перепрофилирован на производство точного машиностроения. Проведена реконструкция. Начато освоение выпуска магнитофонов. Позднее освоен выпуск переносных радиостанций.</w:t>
      </w:r>
    </w:p>
    <w:p w14:paraId="0DCC89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Имел наименование «п/я 23». В '1960-е  г.- в ведении Управления точного машиностроения Западно- Сибирского совнархоза.</w:t>
      </w:r>
      <w:r w:rsidRPr="00640820">
        <w:rPr>
          <w:rFonts w:ascii="Times New Roman" w:hAnsi="Times New Roman"/>
          <w:color w:val="000000" w:themeColor="text1"/>
          <w:sz w:val="16"/>
          <w:szCs w:val="16"/>
          <w:vertAlign w:val="superscript"/>
        </w:rPr>
        <w:t>80</w:t>
      </w:r>
    </w:p>
    <w:p w14:paraId="7AB6C1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было в 1975 г. По Указу Президента РФ № 1009 от 4.08.2004 г. ФГУП «Комета» вошло в число стратегических оборонных предприятий. В 2005 г. предприятие было акционировано и преобразовано в ОАО. Проведена реструктуризация, производственные мощности (более 1000 единиц оборудования) сосредоточены в одном 4-этажном корпусе. ФГУП «Комета» в 2009 г. являлось банкротом.</w:t>
      </w:r>
    </w:p>
    <w:p w14:paraId="5026B8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(1943 г.)- 1426 ед.</w:t>
      </w:r>
    </w:p>
    <w:p w14:paraId="789334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производственная (1943 г.)- 20228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(2005 г.)- 12 тыс.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вспомогательная (1943 г.)- 4700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426317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(12.1942 г.)- 6205 чел.</w:t>
      </w:r>
    </w:p>
    <w:p w14:paraId="6E9714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(04.1943 г.)- Безбородов, (1944-45 г.-)- П.В. Родионов, (1950-е)- М.Н. Королев.</w:t>
      </w:r>
    </w:p>
    <w:p w14:paraId="35052F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(08.1942 г.-)- П.В. Родионов.</w:t>
      </w:r>
    </w:p>
    <w:p w14:paraId="230B4C1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мобилизационно-планового (04.1943 г.)- Любарский.</w:t>
      </w:r>
    </w:p>
    <w:p w14:paraId="0373F2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взрыватели: КТМ-1, В-179 (1943); снаряды 20-мм; радиостанции: РБС (1943),</w:t>
      </w:r>
      <w:r w:rsidRPr="00640820">
        <w:rPr>
          <w:rFonts w:ascii="Times New Roman" w:hAnsi="Times New Roman"/>
          <w:color w:val="000000" w:themeColor="text1"/>
          <w:sz w:val="16"/>
          <w:szCs w:val="16"/>
          <w:vertAlign w:val="superscript"/>
        </w:rPr>
        <w:t>132</w:t>
      </w:r>
      <w:r w:rsidRPr="00640820">
        <w:rPr>
          <w:rFonts w:ascii="Times New Roman" w:hAnsi="Times New Roman"/>
          <w:color w:val="000000" w:themeColor="text1"/>
          <w:sz w:val="16"/>
          <w:szCs w:val="16"/>
        </w:rPr>
        <w:t xml:space="preserve"> А-7 (1945), переносные радиостанции; магнето;</w:t>
      </w:r>
      <w:r w:rsidRPr="00640820">
        <w:rPr>
          <w:rFonts w:ascii="Times New Roman" w:hAnsi="Times New Roman"/>
          <w:iCs/>
          <w:color w:val="000000" w:themeColor="text1"/>
          <w:sz w:val="16"/>
          <w:szCs w:val="16"/>
        </w:rPr>
        <w:t xml:space="preserve"> магнитофоны:</w:t>
      </w:r>
      <w:r w:rsidRPr="00640820">
        <w:rPr>
          <w:rFonts w:ascii="Times New Roman" w:hAnsi="Times New Roman"/>
          <w:color w:val="000000" w:themeColor="text1"/>
          <w:sz w:val="16"/>
          <w:szCs w:val="16"/>
        </w:rPr>
        <w:t xml:space="preserve"> «Мелодия МГ-56», «Комета», «Комета МГ-201, -206, -209, - 212С, -214, -220С, -225С, -230С, -101С, -118С, -120С, МК-120С»; магнитола «Гродно»; видеомагнитофон «Кадр- 103СЦ»; антенна «Комета АА-01» (11982).</w:t>
      </w:r>
    </w:p>
    <w:p w14:paraId="1221EC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A7E97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декабря 1941 вышло Постановление ГКО № 1017 Об организации производства 50 мм ротных минометов на заводе "Красный Профинтерн". РГАНИР, Фонд ГКО, д. 16, лл. 85 (11012).</w:t>
      </w:r>
    </w:p>
    <w:p w14:paraId="259554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CDB64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декабря 1941 вышло Постановление ГКО № 1018 Об организации дублера по производству пулеметов (ДП и ДТ) и магазинов к ним. РГАНИР, Фонд ГКО, д. 16, лл. 86 (11012).</w:t>
      </w:r>
    </w:p>
    <w:p w14:paraId="37B7B4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D83B9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декабря 1941 вышло Постановление ГКО № 1019 Об организации производства магазинов к пулеметам ДП и ДТ на заводе № 2 НКВ (г.Ковров). РГАНИР, Фонд ГКО, д. 16, лл. 87 (11012).</w:t>
      </w:r>
    </w:p>
    <w:p w14:paraId="617729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378F1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12 декабря 1941 г. Пост. ГКО № 1019 заводу ИНЗ-2 (Инструментальный завод № 2 (ИНЗ-2) им. К.О. Киркиж ВСНХ, НКТП, Ковровский пулеметный завод ГУВП ВСНХ, ГС завод № 2 им. К.О. Киркиж НКОП, ГС Ордена Ленина и ордена Трудового Красного Знамени завод № 2 им. К.О. Киркижа НКВ, Завод № 2 им. В.А. Дегтярева </w:t>
      </w:r>
      <w:r w:rsidRPr="00640820">
        <w:rPr>
          <w:rFonts w:ascii="Times New Roman" w:hAnsi="Times New Roman"/>
          <w:color w:val="000000" w:themeColor="text1"/>
          <w:sz w:val="16"/>
          <w:szCs w:val="16"/>
          <w:lang w:val="en-US"/>
        </w:rPr>
        <w:t>MB</w:t>
      </w:r>
      <w:r w:rsidRPr="00640820">
        <w:rPr>
          <w:rFonts w:ascii="Times New Roman" w:hAnsi="Times New Roman"/>
          <w:color w:val="000000" w:themeColor="text1"/>
          <w:sz w:val="16"/>
          <w:szCs w:val="16"/>
        </w:rPr>
        <w:t>, А-7393, ПО, ГП, АООТ, ОАО «Завод им. В.А. Дегтярева» (ЗиД) /г. Ковров Нижегородской ж/д/ /601900 г. Ковров Владимирской обл. ул. Труда, 4 тел. 303-89, 326-90) поручен выпуск магазинов к пулеметам ДП и ДТ (11982).</w:t>
      </w:r>
    </w:p>
    <w:p w14:paraId="41E301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CBC7186"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декабря 1941 вышло Постановление ГКО № 1020 [О сохранении в Ярославле действующей мощности шинного завода.] (7017, 88 ).</w:t>
      </w:r>
    </w:p>
    <w:p w14:paraId="245BF11B"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3D60F6"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2BBDBA80"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8A8812A"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12 декабря </w:t>
      </w:r>
      <w:r w:rsidRPr="00640820">
        <w:rPr>
          <w:rFonts w:ascii="Times New Roman" w:hAnsi="Times New Roman"/>
          <w:color w:val="000000" w:themeColor="text1"/>
          <w:sz w:val="16"/>
          <w:szCs w:val="16"/>
        </w:rPr>
        <w:t>в 1941 году утреннее сообщение Совинформбюро:</w:t>
      </w:r>
    </w:p>
    <w:p w14:paraId="636FF8BB"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12 декабря наши войска вели бои с противником на всех фронтах.</w:t>
      </w:r>
    </w:p>
    <w:p w14:paraId="59A5FAEB"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Части тов. Крючёнкина, действующие на одном из участков Юго-Западного фронта, за три дня боёв отбили у немцев 28 населённых пунктов и истребили свыше 1.000 немецких солдат и офицеров. Захвачено много орудий и пулемётов. На другом участке фронта наши бойцы за один день захватили 12 немецких орудий, 94 пулемёта, 20 автомобилей, 300 лошадей и много других трофеев.</w:t>
      </w:r>
    </w:p>
    <w:p w14:paraId="4F97F32B"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лётчики, действующие на Южном фронте, за один день боевых действий уничтожили 5 танков, 250 автомашин, 6 штабных автобусов, 4 орудия, 100 подвод с боеприпасами, 18 зенитных пулемётов, 3 миномёта и цистерну с горючим.</w:t>
      </w:r>
    </w:p>
    <w:p w14:paraId="1358A4BF"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Группа разведчиков во главе со старшим лейтенантом тов. Колтуновым забросала гранатами помещение немецкого штаба, расположившегося в деревне К. Отважные разведчики гранатами и огнём из автоматов истребили 2 фашистских офицеров и 33 солдата.</w:t>
      </w:r>
    </w:p>
    <w:p w14:paraId="4AB4EAFC"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Партизаны районов Украины, захваченных немцами, ведут беспощадную борьбу с фашистскими захватчиками. Партизанский отрад тов. Ч., действующий в приазовских районах, на днях уничтожил 6 рыбацких шаланд, на которых немцы перевозили мины, и 37 автомашин с боеприпасами. Смело действует партизанский отряд, организованный председателем колхоза тов. М. По дороге к пункту М. следовала транспортная колонна противника. Напав на эту колонну, отряд уничтожил 45 немецких автомашин с боеприпасами и обмундированием. Затем этот же отряд уничтожил 19 немецких солдат, прибывших в село забирать хлеб у населения. В соседнем селе партизанский отрад тов. Л. в одну ночь уничтожил 61 фашиста, в том числе 11 офицеров. 28 ноября разведка донесла, что неподалёку расположился отряд немецких автоматчиков. Партизанский отряд тов. А. немедленно вступил с ними в бой. Уничтожив 60 автоматчиков, партизаны обратили остальных в бегство. Отряд тов. Е. установил, что по дороге к станции движется обоз противника в сопровождении немецких пехотинцев. Партизаны устроили засаду. Подпустив немцев на близкое расстояние, отряд открыл пулемётный огонь. Убито 30 немецких солдат, уничтожено 20 подвод, 53 лошади.</w:t>
      </w:r>
    </w:p>
    <w:p w14:paraId="19A796D9"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Недавно на одном из участков Ленинградского фронта взята в плен группа немцев. Солдат 22 пехотного полка 1 пехотной дивизии Отто Шульц заявил, что его полк из-за больших потерь был расформирован и влит в 1 и 43 пехотные полки. Роты этих двух полков стали насчитывать по 150 человек личного состава. Однако за последнюю неделю 43 полк понёс большие потери, и в ротах его осталось всего лишь по 80-90 человек. Солдаты, несмотря на наступившие зимние холода, одеты в летнее обмундирование. Всё чаще случаи обмораживания. Недавно рота получила из Германии 50 пар лыж. Однако солдаты ходить на лыжах не могут. Солдат 22 пехотного полка Франц Гляикснер сообщил: «За 8 дней пребывания на передовых позициях 5 рота, состоящая из 180 человек, потеряла свыше 60 процентов всего состава, в том числе командира роты и взводного офицера. Потери в других ротах ещё больше. Особенно большой урон понесли парашютные части, в ротах которых осталось по 9-12 человек».</w:t>
      </w:r>
    </w:p>
    <w:p w14:paraId="4D52B961"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окраине города Гулин (Чехословакия) взорван склад вооружения германской армии. Взрывом уничтожено 15 орудий, 12 танков и до 1.000 винтовок, подготовленных к отправке на Восточный фронт.» (14858).</w:t>
      </w:r>
    </w:p>
    <w:p w14:paraId="799EA111" w14:textId="77777777" w:rsidR="00EF2C46" w:rsidRPr="00640820" w:rsidRDefault="00EF2C46" w:rsidP="00640820">
      <w:pPr>
        <w:spacing w:after="0" w:line="240" w:lineRule="auto"/>
        <w:jc w:val="both"/>
        <w:rPr>
          <w:rFonts w:ascii="Times New Roman" w:hAnsi="Times New Roman"/>
          <w:color w:val="000000" w:themeColor="text1"/>
          <w:sz w:val="16"/>
          <w:szCs w:val="16"/>
        </w:rPr>
      </w:pPr>
    </w:p>
    <w:p w14:paraId="5595F96B"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12 декабря </w:t>
      </w:r>
      <w:r w:rsidRPr="00640820">
        <w:rPr>
          <w:rFonts w:ascii="Times New Roman" w:hAnsi="Times New Roman"/>
          <w:color w:val="000000" w:themeColor="text1"/>
          <w:sz w:val="16"/>
          <w:szCs w:val="16"/>
        </w:rPr>
        <w:t>в 1941 году вечернее сообщение Совинформбюро:</w:t>
      </w:r>
    </w:p>
    <w:p w14:paraId="758E5B9A"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течение 12 декабря наши войска вели бои с противником на всех фронтах. На ряде участков Западного и Юго-Западного фронтов наши части, ведя ожесточённые бои с противником, продолжали продвигаться вперёд и заняли несколько населённых пунктов.</w:t>
      </w:r>
    </w:p>
    <w:p w14:paraId="715D2C10"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11 декабря уничтожено 11 немецких самолётов.</w:t>
      </w:r>
    </w:p>
    <w:p w14:paraId="1E704B3D"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12 декабря под Москвой в воздушных боях сбито 5 немецких самолётов.</w:t>
      </w:r>
    </w:p>
    <w:p w14:paraId="55032C84"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11 декабря частями нашей авиации уничтожено и повреждено 7 немецких танков, 418 автомашин с войсками и грузами, 5 штабных автобусов, уничтожено 14 полевых и зенитных орудий с прислугой, 110 подвод с боеприпасами, 13 автоцистерн с горючим, истреблено или рассеяно 2 батальона вражеской пехоты.</w:t>
      </w:r>
    </w:p>
    <w:p w14:paraId="75CF971F"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части, действующие на одном из участков Западного фронта, за один день боёв с противником захватили 8 немецких танков, 10 орудий, 48 пулемётов, 100 автомашин, 120 автоматов и склад боеприпасов. На другом участке фронта кавалеристы тов. Белова за несколько дней боёв захватили 50 танков, 40 орудий, 2.000 автомашин, 100 мотоциклов и много других трофеев.</w:t>
      </w:r>
    </w:p>
    <w:p w14:paraId="37E571EE"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бойцы в бою с противником на одном из участков Юго-Западного фронта захватили 11 орудий, 7 миномётов, 37 пулемётов, 114 повозок с имуществом, много винтовок и автоматов. Части тт. Багдасарова и Козина захватили 32 пулемёта, 10 миномётов и другие трофеи.</w:t>
      </w:r>
    </w:p>
    <w:p w14:paraId="78508010"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Геройский подвиг совершил красноармеец тов. Сыплепов. В бою с противником он поджёг бутылками с горючей жидкостью 2 немецких танка, уничтожил гранатами пулемётное гнездо вместе с расчётом и истребил 10 немецких солдат.</w:t>
      </w:r>
    </w:p>
    <w:p w14:paraId="434DE664"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Партизаны Калининской области успешно уничтожают транспорты германской армии. Партизанский отряд тов. К. атаковал на днях немецкий санный обоз. В руки партизан попади 3 тысячи консервных банок, 5 бочек спирта, 220 пар валенок, 300 полушубков. Как выяснилось, валенки и полушубки немецкие захватчики отобрали у крестьян окрестных деревень. Партизаны-лыжники из отряда тов. С. атаковали ночью землянки немцев недалеко от фронта. Бесшумно сняв часового, закутанного в женские платки, партизаны забросали землянки гранатами и обстреляли немцев из автоматов. Услышав взрывы гранат и треск автоматов, немцы послали к месту происшествия роту солдат. Бойцы боевого охранения партизан встретили их огнём из пулемётов и автоматов. Фашистская пехота вынуждена была отступить. При отступлении немцы попали под огонь своих же частей, которые, боясь окружения, начали стрелять из миномётов и орудий. В результате лихого налёта партизан немецкие захватчики потеряли убитыми и ранеными около 200 солдат.</w:t>
      </w:r>
    </w:p>
    <w:p w14:paraId="1E8C587B"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части, действующие на Южном фронте, захватили в плен большое количество немецких солдат. Показания пленных свидетельствуют о том, что даже среди отборных гитлеровских войск в связи с затяжным характером войны и огромными потерями началось глухое брожение.</w:t>
      </w:r>
    </w:p>
    <w:p w14:paraId="092B2B79"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Пленный солдат 7 роты полка СС «Адольф Гитлер», член гитлеровской организации молодёжи Эрих Горвиг сообщил следующее: «Наш полк, который состоит из одних добровольцев, понёс большие потери.</w:t>
      </w:r>
    </w:p>
    <w:p w14:paraId="582F6AB1"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7 роте из 200 с лишним солдат осталось 43 человека. Настроение солдат всегда было бодрое и воинственное, но за последнее время оно резко снизилось. Наступили холода, а зимнего обмундирования нет, питание ухудшилось, солдаты завшивели, полк несёт большие потери — всё это очень действует на солдат. Они начинают всё больше выражать недовольство. Партизаны не давали нам покоя. В Таганроге они недавно взорвали немецкую комендатуру...». Старший ефрейтор 11 роты 178 пехотного полка 76 пехотной дивизии Вильгельм Крайзе рассказал: «Беспрерывные перебои в снабжении вызывают нарекания и возмущение солдат. Очень много больных, медикаментов нет. Растёт неприязнь солдат к офицерам. Командир 9 роты обер-лейтенант Лилиенталь особенно жестоко обращался с солдатами. Недавно на привале Лилиенталь отошёл в сторону и присел отдохнуть. Вскоре раздался выстрел, и офицер свалился. Врач установил, что Лилиенталь убит выстрелом в затылок».</w:t>
      </w:r>
    </w:p>
    <w:p w14:paraId="2E1CE8CF"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последний час.</w:t>
      </w:r>
    </w:p>
    <w:p w14:paraId="261C253E"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Трофеи наших войск в районе Ельца.</w:t>
      </w:r>
    </w:p>
    <w:p w14:paraId="20CD7F69"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сообщении Совинформбюро от 11 декабря были опубликованы предварительные данные о трофеях, захваченных войсками генерала Костенко в боях в районе города Ельца. В настоящее время получены более полные сведения о трофеях. Войсками генерала Костенко захвачено у немцев: орудий — 226, пулемётов — 319, автоматов — 165, винтовок — 1.240, автомашин — 907, повозок — 1.055, лошадей — 1.260, снарядов — 30 тысяч, мин — 5 тысяч, патронов — 500 тысяч.» (14858).</w:t>
      </w:r>
    </w:p>
    <w:p w14:paraId="069DA85A" w14:textId="77777777" w:rsidR="00EF2C46" w:rsidRPr="00640820" w:rsidRDefault="00EF2C46" w:rsidP="00640820">
      <w:pPr>
        <w:spacing w:after="0" w:line="240" w:lineRule="auto"/>
        <w:jc w:val="both"/>
        <w:rPr>
          <w:rFonts w:ascii="Times New Roman" w:hAnsi="Times New Roman"/>
          <w:color w:val="000000" w:themeColor="text1"/>
          <w:sz w:val="16"/>
          <w:szCs w:val="16"/>
        </w:rPr>
      </w:pPr>
    </w:p>
    <w:p w14:paraId="695049ED"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12 декабря </w:t>
      </w:r>
      <w:r w:rsidRPr="00640820">
        <w:rPr>
          <w:rFonts w:ascii="Times New Roman" w:hAnsi="Times New Roman"/>
          <w:color w:val="000000" w:themeColor="text1"/>
          <w:sz w:val="16"/>
          <w:szCs w:val="16"/>
        </w:rPr>
        <w:t>в 1941 году в городе Бузулук началось формирование 1-го отдельного чехословацкого батальона (14858).</w:t>
      </w:r>
    </w:p>
    <w:p w14:paraId="48310301" w14:textId="77777777" w:rsidR="00EF2C46" w:rsidRPr="00640820" w:rsidRDefault="00EF2C46" w:rsidP="00640820">
      <w:pPr>
        <w:spacing w:after="0" w:line="240" w:lineRule="auto"/>
        <w:jc w:val="both"/>
        <w:rPr>
          <w:rFonts w:ascii="Times New Roman" w:hAnsi="Times New Roman"/>
          <w:color w:val="000000" w:themeColor="text1"/>
          <w:sz w:val="16"/>
          <w:szCs w:val="16"/>
        </w:rPr>
      </w:pPr>
    </w:p>
    <w:p w14:paraId="1B4D2B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декабря 1941 эскадрилья б ЧМФ под командой А.П.Цурцумии бомбила танки, врытые возле Армянска. Атаковали 13 и, но отбились и сбили один (438,828).</w:t>
      </w:r>
    </w:p>
    <w:p w14:paraId="7A8AF4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FD341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декабря 1941 года Приказом Народного Комиссара Обороны СССР первые шесть авиационных полков, отличившихся, в основном, в оборонительных сражениях на подступах к Москве и Ленинграду, получили звание “Гвардейских”. С самого начала обязательным положением приказов о присвоении гвардейского звания был перевод полков на новый штат в составе 3-х эскадрилий и укомплектование личным составом и самолетами полностью. Жестких критериев, по которым присваивалось гвардейское звание, установлено не было. Каким был результат представления к этому званию, зависело не только от объективной оценки заслуг той или иной части, но и от факторов субъективного характера, а также “разнарядкой”. Так, 2-й иап представлялся к званию еще в начале 1942 г., но стал гвардейским 85-м иап только в марте 1943 г. Множество бесспорно прославленных полков, прошедших в составе действующей армии всю войну, гвардейскими так и не стали, а всего три-четыре недели боевых действий против Японии пополнили гвардейскую семью несколькими авиаполками ВВС Тихоокеанского флота. Были прецеденты (в авиации дальнего действия - АДД), когда части и соединения сразу формировались гвардейскими (развертывались из гвардейских). Пропуски в нумерации гвардейских частей свидетельствуют и о том, что в ряде случаев не были подписаны уже подготовленные приказы (9396).</w:t>
      </w:r>
    </w:p>
    <w:p w14:paraId="267436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35E29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декабря 1941 войска ЗФ освободили Солнечногорск (3186).</w:t>
      </w:r>
    </w:p>
    <w:p w14:paraId="5E5D73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22FF6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декабря 1941 началось формирование первого чехословацкого батальона (3481).</w:t>
      </w:r>
    </w:p>
    <w:p w14:paraId="45042E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C857F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декабря 1941 вышло Постановление ГКО № 1016 О формировании ремонтно-восстановительных частей связи. РГАНИР, Фонд ГКО, д. 16, лл. 84 (11012).</w:t>
      </w:r>
    </w:p>
    <w:p w14:paraId="3872FD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E8363D5"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01999EDA"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7225E5B" w14:textId="77777777" w:rsidR="003156BD" w:rsidRPr="00640820" w:rsidRDefault="003156B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12 декабря 1941 года</w:t>
      </w:r>
    </w:p>
    <w:p w14:paraId="6C8A9D93" w14:textId="77777777" w:rsidR="003156BD" w:rsidRPr="00640820" w:rsidRDefault="003156B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Из доклада промышленного совета по производству оборудования для самолетов от 12 декабря 1941 года об увеличении выпуска военной продукции</w:t>
      </w:r>
    </w:p>
    <w:p w14:paraId="1CCC0C69" w14:textId="77777777" w:rsidR="003156BD" w:rsidRPr="00640820" w:rsidRDefault="003156B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«Промышленный совет при рейхсмаршале по производству оборудования для самолетов» создан господином рейхсмаршалом для использования опыта крупных руководителей промышленности в целях повышения производительности в авиационной промышленности с привлечением имперского министерства авиации.</w:t>
      </w:r>
    </w:p>
    <w:p w14:paraId="5B04E34C" w14:textId="77777777" w:rsidR="003156BD" w:rsidRPr="00640820" w:rsidRDefault="003156B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Состав промышленного совета подобран таким образом, чтобы использовать одновременно опыт других отраслей авиационной промышленности, особенно таких, которые уже имеют большие достижения в организации серийного производства...</w:t>
      </w:r>
    </w:p>
    <w:p w14:paraId="6590BB91" w14:textId="77777777" w:rsidR="003156BD" w:rsidRPr="00640820" w:rsidRDefault="003156B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Хотя опыт войны надо возможно быстрее внедрять в практику, чтобы оружие было всегда современным и превосходящим, теперь, учитывая объявление войны с США, необходимо также добиваться значительного увеличения производства оправдавших себя образцов. Для этого - надо в кратчайшие сроки рационализировать методы производства в авиационной промышленности и значительно увеличить выпуск продукции с имеющейся рабочей силой и материалами. Выполнение этих задач возложено на промышленный совет...</w:t>
      </w:r>
    </w:p>
    <w:p w14:paraId="7C788529" w14:textId="77777777" w:rsidR="003156BD" w:rsidRPr="00640820" w:rsidRDefault="003156B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Поскольку с таким небольшим штабом сотрудников нельзя провести широкую рационализацию производства и поскольку по мере расширения авиационной промышленности все настойчивее выдвигалось требование о более строгом руководстве, все однотипные отрасли авиационной промышленности объединены по предложению промышленного совета в производственные объединения.</w:t>
      </w:r>
    </w:p>
    <w:p w14:paraId="36996DC8" w14:textId="77777777" w:rsidR="003156BD" w:rsidRPr="00640820" w:rsidRDefault="003156B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Прежде чем излагать задачи руководителей производственных объединений и директивы по рационализации производства, надо коротко сказать, что имперский министр вооружения и боеприпасов создал подобные объединения в сфере своей компетенции, в которых, правда, ответственность возложена на отдельных лиц, в то время как в авиационной промышленности ее несет фирма, которая стоит во главе объединения, и только потом назначенный этой фирмой руководитель объединения.</w:t>
      </w:r>
    </w:p>
    <w:p w14:paraId="37155D1C" w14:textId="77777777" w:rsidR="003156BD" w:rsidRPr="00640820" w:rsidRDefault="003156B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Однако с министром вооружения и боеприпасов имеется договоренность о необходимости избегать параллелизма в работе в одних и тех же отраслях производства (например, электротехника, точная механика и оптика, сталь и т. д.) и стремиться поэтому к тому, чтобы обоими такими объединениями руководили по возможности одни и те же лица, которые смогут тогда по совместительству разрешать проблемы, с одной стороны, производства военных самолетов и, с другой — вооружений и боеприпасов. Назначенные генеральным инспектором по снабжению ВВС руководители объединений имеют настолько большие полномочия, что могут объединять заказы, выданные имперским министерством авиации и распределенные промышленностью, и перераспределять их так, чтобы было гарантировано наиболее рациональное производство. В случае возникновения необходимости переместить заказы надо договариваться с соответствующей инспекцией вооружений...</w:t>
      </w:r>
    </w:p>
    <w:p w14:paraId="49A1D1A4" w14:textId="77777777" w:rsidR="003156BD" w:rsidRPr="00640820" w:rsidRDefault="003156B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После создания промышленного совета в конце мая 1941 года [док. 161] была сразу же начата работа по рационализации производства, которая уже дала хорошие результаты во многих областях...</w:t>
      </w:r>
    </w:p>
    <w:p w14:paraId="5FF44B94" w14:textId="77777777" w:rsidR="003156BD" w:rsidRPr="00640820" w:rsidRDefault="003156B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lastRenderedPageBreak/>
        <w:t>Промышленный совет выделяет для этой цели производственным объединениям определенное число инженеров и техников, а для проведения связанных с этим научно-исследовательских работ Германский трудовой фронт выделил промышленному совету известное количество рабочих групп, которые в соответствии с потребностью будут использоваться в наиболее важных местах...</w:t>
      </w:r>
    </w:p>
    <w:p w14:paraId="3A046626" w14:textId="77777777" w:rsidR="003156BD" w:rsidRPr="00640820" w:rsidRDefault="003156B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Поскольку в централизованном порядке нельзя разрешить все вопросы использования рабочей силы, для решения таких вопросов местного значения с согласия имперского министра труда господина д-ра Тодта в комитеты вооружений назначены специальные уполномоченные по производству военных самолетов. Это руководители предприятий, предложенные генеральным инспектором по снабжению военно-воздушных сил, которые работают на добровольных началах и добиваются тесного сотрудничества между всеми властями, занятыми вопросами распределения рабочей силы и производственных мощностей (инспекции вооружений, команды вооружений, уполномоченные военных округов, комиссии испытаний, комитеты вооружений, земельные биржи труда, управления сельского хозяйства и т. д.).</w:t>
      </w:r>
    </w:p>
    <w:p w14:paraId="55CFA389" w14:textId="77777777" w:rsidR="003156BD" w:rsidRPr="00640820" w:rsidRDefault="003156B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НЦА, Потсдам, Управление военной экономики и вооружений ОКВ, фильм № 2324 (20477).</w:t>
      </w:r>
    </w:p>
    <w:p w14:paraId="19C18F8B" w14:textId="77777777" w:rsidR="003156BD" w:rsidRPr="00640820" w:rsidRDefault="003156BD" w:rsidP="00640820">
      <w:pPr>
        <w:spacing w:after="0" w:line="240" w:lineRule="auto"/>
        <w:jc w:val="both"/>
        <w:rPr>
          <w:rFonts w:ascii="Times New Roman" w:hAnsi="Times New Roman"/>
          <w:color w:val="0070C0"/>
          <w:sz w:val="16"/>
          <w:szCs w:val="16"/>
        </w:rPr>
      </w:pPr>
    </w:p>
    <w:p w14:paraId="1E776FAA" w14:textId="77777777" w:rsidR="00005334" w:rsidRPr="00640820" w:rsidRDefault="0000533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К 12 декабря 1941 японцы будут иметь полное превосходство в воздухе над северной Малайей (20794).</w:t>
      </w:r>
    </w:p>
    <w:p w14:paraId="67039523" w14:textId="77777777" w:rsidR="00005334" w:rsidRPr="00640820" w:rsidRDefault="00005334" w:rsidP="00640820">
      <w:pPr>
        <w:spacing w:after="0" w:line="240" w:lineRule="auto"/>
        <w:jc w:val="both"/>
        <w:rPr>
          <w:rFonts w:ascii="Times New Roman" w:hAnsi="Times New Roman"/>
          <w:color w:val="0070C0"/>
          <w:sz w:val="16"/>
          <w:szCs w:val="16"/>
        </w:rPr>
      </w:pPr>
    </w:p>
    <w:p w14:paraId="0F7D4B64" w14:textId="77777777" w:rsidR="00005334" w:rsidRPr="00640820" w:rsidRDefault="0000533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12 декабря 1941 - ВМС США создают Службу морского воздушного транспорта (NATS) для обеспечения срочной доставки материальных средств передовым силам, когда доставка кораблем занимает слишком много времени (20794).</w:t>
      </w:r>
    </w:p>
    <w:p w14:paraId="54C1EF7A" w14:textId="77777777" w:rsidR="00005334" w:rsidRPr="00640820" w:rsidRDefault="00005334" w:rsidP="00640820">
      <w:pPr>
        <w:spacing w:after="0" w:line="240" w:lineRule="auto"/>
        <w:jc w:val="both"/>
        <w:rPr>
          <w:rFonts w:ascii="Times New Roman" w:hAnsi="Times New Roman"/>
          <w:color w:val="0070C0"/>
          <w:sz w:val="16"/>
          <w:szCs w:val="16"/>
        </w:rPr>
      </w:pPr>
    </w:p>
    <w:p w14:paraId="7D6FB4B5"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декабря 1941 гитлеровцами совершены массовые аресты евреев в Париже (4962).</w:t>
      </w:r>
    </w:p>
    <w:p w14:paraId="417487B4"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86E4D3"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декабря 1941 судно “Стурма” с 769 евреями на борту отправилось в Палестину (английские власти отказали беженцам в праве на въезд и по возвращении судно было затоплено советской подлодкой) (4962).</w:t>
      </w:r>
    </w:p>
    <w:p w14:paraId="080543BA"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03FE93"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декабря 1941 японскими самолетами у берегов Индокитая уничтожены английский крейсер “Рипалс” и линкор “Принц Уэльский” (4962).</w:t>
      </w:r>
    </w:p>
    <w:p w14:paraId="2D4A3C99"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038257"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65AC0564"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357B99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13 декабря 1941 по докладу военпредов завода № 1 было разгружено 1910 станков, из кото</w:t>
      </w:r>
      <w:r w:rsidRPr="00640820">
        <w:rPr>
          <w:rFonts w:ascii="Times New Roman" w:hAnsi="Times New Roman"/>
          <w:color w:val="000000" w:themeColor="text1"/>
          <w:sz w:val="16"/>
          <w:szCs w:val="16"/>
        </w:rPr>
        <w:softHyphen/>
        <w:t>рых 1881 единица оборудования установлена, 1531 подключено и на 1020 станках уже работали. Из-за жилищных трудностей только 7598 рабочих (из 13886 прибывших) смогли приступить к работе на новом месте. Высказывались надежды: в ближайшие дни их количество пополнят еще примерно 500 человек. Об</w:t>
      </w:r>
      <w:r w:rsidRPr="00640820">
        <w:rPr>
          <w:rFonts w:ascii="Times New Roman" w:hAnsi="Times New Roman"/>
          <w:color w:val="000000" w:themeColor="text1"/>
          <w:sz w:val="16"/>
          <w:szCs w:val="16"/>
        </w:rPr>
        <w:softHyphen/>
        <w:t>щая производственная площадь цехов мало отлича</w:t>
      </w:r>
      <w:r w:rsidRPr="00640820">
        <w:rPr>
          <w:rFonts w:ascii="Times New Roman" w:hAnsi="Times New Roman"/>
          <w:color w:val="000000" w:themeColor="text1"/>
          <w:sz w:val="16"/>
          <w:szCs w:val="16"/>
        </w:rPr>
        <w:softHyphen/>
        <w:t>лась от той, что имелась в Москве накануне эвакуа</w:t>
      </w:r>
      <w:r w:rsidRPr="00640820">
        <w:rPr>
          <w:rFonts w:ascii="Times New Roman" w:hAnsi="Times New Roman"/>
          <w:color w:val="000000" w:themeColor="text1"/>
          <w:sz w:val="16"/>
          <w:szCs w:val="16"/>
        </w:rPr>
        <w:softHyphen/>
        <w:t>ции, а вот довести численность сотрудников до половины от ранее имевшихся долго не удавалось, особенно не хватало производственных рабочих. Те, кто приехал, размещались преимущественно в казармах у завода им. Масленникова. Строительная же площадка самолетостроительного завода находи</w:t>
      </w:r>
      <w:r w:rsidRPr="00640820">
        <w:rPr>
          <w:rFonts w:ascii="Times New Roman" w:hAnsi="Times New Roman"/>
          <w:color w:val="000000" w:themeColor="text1"/>
          <w:sz w:val="16"/>
          <w:szCs w:val="16"/>
        </w:rPr>
        <w:softHyphen/>
        <w:t>лась на так называемой Безымянке, в 13 км от жилья большинства рабочих. Кроме трамваев, доехать на работу и обратно можно было заводскими автобуса</w:t>
      </w:r>
      <w:r w:rsidRPr="00640820">
        <w:rPr>
          <w:rFonts w:ascii="Times New Roman" w:hAnsi="Times New Roman"/>
          <w:color w:val="000000" w:themeColor="text1"/>
          <w:sz w:val="16"/>
          <w:szCs w:val="16"/>
        </w:rPr>
        <w:softHyphen/>
        <w:t>ми, но в пургу и метель транспорт замирал; приходи</w:t>
      </w:r>
      <w:r w:rsidRPr="00640820">
        <w:rPr>
          <w:rFonts w:ascii="Times New Roman" w:hAnsi="Times New Roman"/>
          <w:color w:val="000000" w:themeColor="text1"/>
          <w:sz w:val="16"/>
          <w:szCs w:val="16"/>
        </w:rPr>
        <w:softHyphen/>
        <w:t>лось добираться до завода пешком. По воспомина</w:t>
      </w:r>
      <w:r w:rsidRPr="00640820">
        <w:rPr>
          <w:rFonts w:ascii="Times New Roman" w:hAnsi="Times New Roman"/>
          <w:color w:val="000000" w:themeColor="text1"/>
          <w:sz w:val="16"/>
          <w:szCs w:val="16"/>
        </w:rPr>
        <w:softHyphen/>
        <w:t>ниям одного из ветеранов ОКБ, С.Люшина, к сильной тоске москвичей по своему городу приме</w:t>
      </w:r>
      <w:r w:rsidRPr="00640820">
        <w:rPr>
          <w:rFonts w:ascii="Times New Roman" w:hAnsi="Times New Roman"/>
          <w:color w:val="000000" w:themeColor="text1"/>
          <w:sz w:val="16"/>
          <w:szCs w:val="16"/>
        </w:rPr>
        <w:softHyphen/>
        <w:t>шивалось постоянное чувство беспокойства от со</w:t>
      </w:r>
      <w:r w:rsidRPr="00640820">
        <w:rPr>
          <w:rFonts w:ascii="Times New Roman" w:hAnsi="Times New Roman"/>
          <w:color w:val="000000" w:themeColor="text1"/>
          <w:sz w:val="16"/>
          <w:szCs w:val="16"/>
        </w:rPr>
        <w:softHyphen/>
        <w:t>седства с большим количеством заключенных, кото</w:t>
      </w:r>
      <w:r w:rsidRPr="00640820">
        <w:rPr>
          <w:rFonts w:ascii="Times New Roman" w:hAnsi="Times New Roman"/>
          <w:color w:val="000000" w:themeColor="text1"/>
          <w:sz w:val="16"/>
          <w:szCs w:val="16"/>
        </w:rPr>
        <w:softHyphen/>
        <w:t>рые продолжали работать на строительстве завода: только, бывало, отвернешься, как вещь буквально исчезала в воздухе (9984).</w:t>
      </w:r>
    </w:p>
    <w:p w14:paraId="27780E7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D04D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декабря 1941 года вышел приказа № 350 НКАН, но согласно телеграфного распоряжения зам. наркома авиапрома приемка в эксплуатацию построенного завода № 116 была произведена 26 апреля 1942 года. С 1941 года, в соответствии с Постановлением СНК и ЦК ВКП(б) от 7 декабря 1940 года, заводу была установлена программа по серийному выпуску самолетов типа УТ-2, а в 1947 году параллельно с производством самолетов УТ-2 и катеров КС-1 (запланированных заводу в 1946 году) была утверждена программа по освоению и серийному выпуску цельнометаллического самолета ЯК-18.</w:t>
      </w:r>
    </w:p>
    <w:p w14:paraId="294329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приказом МАП от 6 января 1955 года за № 3сс/ов в 1955 году завод перешел на серийное производство самолета ЯК-18У, выпуск которого прекращен в четвертом квартале 1957 года в связи с переходом на серийное производство самолета ЯК-18А.</w:t>
      </w:r>
    </w:p>
    <w:p w14:paraId="10950A9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г. Арсеньев Приморского края</w:t>
      </w:r>
    </w:p>
    <w:p w14:paraId="40C396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Площадка завода находится в районе г. Арсеньев в 278 км от Владивостока.</w:t>
      </w:r>
    </w:p>
    <w:p w14:paraId="2A7CF1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Производственный профиль – серийный выпуск самолета ЯК-18А. В 1956 году параллельно с выпуском самолета ЯК-18У завод приступил к серийному производству деревянного планера ЛФ-109 “Пионер”, выпуск которого прекращен в третьем квартале 1957 года в связи с переходом на серийный выпуск планера “Приморец” цельнометаллической конструкции (9675).</w:t>
      </w:r>
    </w:p>
    <w:p w14:paraId="164754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96F00BC" w14:textId="77777777" w:rsidR="002357E4" w:rsidRPr="00640820" w:rsidRDefault="002357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shd w:val="clear" w:color="auto" w:fill="FFFFFF"/>
        </w:rPr>
        <w:t>13 декабря 1941 г. И-20/132 Секретно экз.№ 1</w:t>
      </w:r>
    </w:p>
    <w:p w14:paraId="427BF9A0" w14:textId="77777777" w:rsidR="002357E4" w:rsidRPr="00640820" w:rsidRDefault="002357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shd w:val="clear" w:color="auto" w:fill="FFFFFF"/>
        </w:rPr>
        <w:t>ПРЕДСЕДАТЕЛЮ ГОСУДАРСТВЕННОГО КОМИТЕТА ОБОРОНЫ ТОВАРИЩУ СТАЛИНУ И. В.</w:t>
      </w:r>
    </w:p>
    <w:p w14:paraId="292433FC" w14:textId="77777777" w:rsidR="002357E4" w:rsidRPr="00640820" w:rsidRDefault="002357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shd w:val="clear" w:color="auto" w:fill="FFFFFF"/>
        </w:rPr>
        <w:t>В ближайшее время в Безымянском лагере НКВД в Куйбышеве из заключенных, работающих на строительстве заводов НКАП, освобождается около 30 тысяч человек заключенных с незначительными преступлениями (прогулы, опоздания и пр.).</w:t>
      </w:r>
    </w:p>
    <w:p w14:paraId="6CEB219C" w14:textId="77777777" w:rsidR="002357E4" w:rsidRPr="00640820" w:rsidRDefault="002357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shd w:val="clear" w:color="auto" w:fill="FFFFFF"/>
        </w:rPr>
        <w:t>Среди них большое количество квалифицированных рабочих: токарей, слесарей, монтеров, монтажников, строителей и др. специальностей, необходимых Наркомату авиационной промышленности.</w:t>
      </w:r>
    </w:p>
    <w:p w14:paraId="1375606D" w14:textId="77777777" w:rsidR="002357E4" w:rsidRPr="00640820" w:rsidRDefault="002357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shd w:val="clear" w:color="auto" w:fill="FFFFFF"/>
        </w:rPr>
        <w:t>По данным, полученным тов. Дементьевым в НКО в Куйбышеве, основная квалифицированная часть освобождаемых в количестве 18 тысяч человек передается в НКО как военнообязанные, из них около 9 тысяч призываются в армию, а остальные 9 тысяч организуются в воинские рабочие батальоны, которые будут передаваться предприятиям.</w:t>
      </w:r>
    </w:p>
    <w:p w14:paraId="1900E7BA" w14:textId="77777777" w:rsidR="002357E4" w:rsidRPr="00640820" w:rsidRDefault="002357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shd w:val="clear" w:color="auto" w:fill="FFFFFF"/>
        </w:rPr>
        <w:t>В целях обеспечения заводов № 1, 18, 24 рабочей силой для выполнения производственной программы и окончания строительства отдельных решающих программу объектов, прошу закрепить из освобождаемых квалифицированную часть в количестве 15—18 тысяч человек за строительством и заводами НКАП в городе Куйбышеве.</w:t>
      </w:r>
    </w:p>
    <w:p w14:paraId="52C691E7" w14:textId="77777777" w:rsidR="002357E4" w:rsidRPr="00640820" w:rsidRDefault="002357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shd w:val="clear" w:color="auto" w:fill="FFFFFF"/>
        </w:rPr>
        <w:t>Проект решения по этому вопросу прилагаю.</w:t>
      </w:r>
    </w:p>
    <w:p w14:paraId="26D821C3" w14:textId="77777777" w:rsidR="002357E4" w:rsidRPr="00640820" w:rsidRDefault="002357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shd w:val="clear" w:color="auto" w:fill="FFFFFF"/>
        </w:rPr>
        <w:t>А. Шахурин».</w:t>
      </w:r>
    </w:p>
    <w:p w14:paraId="4C93FD52" w14:textId="77777777" w:rsidR="002357E4" w:rsidRPr="00640820" w:rsidRDefault="002357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shd w:val="clear" w:color="auto" w:fill="FFFFFF"/>
        </w:rPr>
        <w:t>АПРФ. Ф. 3. On. 46. Д. 34. Л. 21. Подлинник.</w:t>
      </w:r>
    </w:p>
    <w:p w14:paraId="646A1791" w14:textId="77777777" w:rsidR="002357E4" w:rsidRPr="00640820" w:rsidRDefault="002357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shd w:val="clear" w:color="auto" w:fill="FFFFFF"/>
        </w:rPr>
        <w:t>Служебная записка отпечатана на бланке народного комиссара авиационной промышленности Союза ССР. Имеется резолюция И. В. Сталина: «т. Берия».</w:t>
      </w:r>
    </w:p>
    <w:p w14:paraId="5516FB47" w14:textId="77777777" w:rsidR="002357E4" w:rsidRPr="00640820" w:rsidRDefault="002357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shd w:val="clear" w:color="auto" w:fill="FFFFFF"/>
        </w:rPr>
        <w:t>По этому вопросу специального постановления ГКО не было. Однако на проекте постановления, представленном А. И. Шаху-риным, имеется резолюция: «Тов. Щаденко. Надо для НКАП это сделать. Л. Берия. 25/ХП-41 г.» (19798).</w:t>
      </w:r>
    </w:p>
    <w:p w14:paraId="6DB2B851" w14:textId="77777777" w:rsidR="002357E4" w:rsidRPr="00640820" w:rsidRDefault="002357E4" w:rsidP="00640820">
      <w:pPr>
        <w:spacing w:after="0" w:line="240" w:lineRule="auto"/>
        <w:jc w:val="both"/>
        <w:rPr>
          <w:rFonts w:ascii="Times New Roman" w:hAnsi="Times New Roman"/>
          <w:color w:val="000000" w:themeColor="text1"/>
          <w:sz w:val="16"/>
          <w:szCs w:val="16"/>
          <w:shd w:val="clear" w:color="auto" w:fill="FFFFFF"/>
        </w:rPr>
      </w:pPr>
    </w:p>
    <w:p w14:paraId="7C560058"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0A58392B"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595CA36"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декабря 1941 года вышел приказ № 87с/642с НКТП Челябинск и Наркомата среднего машиностроения</w:t>
      </w:r>
    </w:p>
    <w:p w14:paraId="0E7B5E2D"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исполнение постановления СНК от 1 декабря 1941 года за № 2237-1024с:</w:t>
      </w:r>
    </w:p>
    <w:p w14:paraId="2DD88ED5"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НКТП передать, а Наркомату среднего машиностроения принять следующие инструментальные и абразивные заводы:</w:t>
      </w:r>
    </w:p>
    <w:p w14:paraId="67EC5AD7"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“Калибр”</w:t>
      </w:r>
    </w:p>
    <w:p w14:paraId="7165E5A9"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Московский инструментальный завод “МИЗ”</w:t>
      </w:r>
    </w:p>
    <w:p w14:paraId="6D287263"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“Фрезер” им. Калинина</w:t>
      </w:r>
    </w:p>
    <w:p w14:paraId="43B932AE"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“Красный инструментальщик”</w:t>
      </w:r>
    </w:p>
    <w:p w14:paraId="32DA1AA6"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 Воскова, филиал в Новосибирске</w:t>
      </w:r>
    </w:p>
    <w:p w14:paraId="743D192F"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Чкаловский завод режущего инструмента</w:t>
      </w:r>
    </w:p>
    <w:p w14:paraId="66FC19D5"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Миасский напиловочный завод с эвакуированным Серпуховским и Ворошиловградским напиловочным заводами</w:t>
      </w:r>
    </w:p>
    <w:p w14:paraId="7077E0A9"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Экспериментальный завод режущего инструмента – ЭЗРИ</w:t>
      </w:r>
    </w:p>
    <w:p w14:paraId="41F29CE5"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Главабразив со следующими заводами:</w:t>
      </w:r>
    </w:p>
    <w:p w14:paraId="1379CD71"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Челябинский абразивный</w:t>
      </w:r>
    </w:p>
    <w:p w14:paraId="42CB3022"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Златоустовский абразивный</w:t>
      </w:r>
    </w:p>
    <w:p w14:paraId="08025827"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Челябинский завод шлифизделий</w:t>
      </w:r>
    </w:p>
    <w:p w14:paraId="5CFC94CD"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Косулинский</w:t>
      </w:r>
    </w:p>
    <w:p w14:paraId="60E564FF"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Хайтинский</w:t>
      </w:r>
    </w:p>
    <w:p w14:paraId="5B607363"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Теченская наждачная фабрика</w:t>
      </w:r>
    </w:p>
    <w:p w14:paraId="1E377442"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“Красный Тигель” г. Сталинск</w:t>
      </w:r>
    </w:p>
    <w:p w14:paraId="5073D2E7"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Рудоуправление “Семиз-Бугу” (6043, 98).</w:t>
      </w:r>
    </w:p>
    <w:p w14:paraId="066EDA56"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BAD6B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декабря 1941 года вышел приказ № 120 НК танковой промышленности</w:t>
      </w:r>
    </w:p>
    <w:p w14:paraId="4BCC94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Уральский турбинный завод “Уралтурбозавод” НК танковой промышленности впредь именовать завод № 76 (8709).</w:t>
      </w:r>
    </w:p>
    <w:p w14:paraId="026356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DD12AC3" w14:textId="77777777" w:rsidR="00173061" w:rsidRPr="00640820" w:rsidRDefault="00173061" w:rsidP="00640820">
      <w:pPr>
        <w:shd w:val="clear" w:color="auto" w:fill="FFFFFF"/>
        <w:spacing w:after="0" w:line="240" w:lineRule="auto"/>
        <w:jc w:val="both"/>
        <w:rPr>
          <w:rFonts w:ascii="Times New Roman" w:eastAsia="Times New Roman" w:hAnsi="Times New Roman"/>
          <w:color w:val="0070C0"/>
          <w:sz w:val="16"/>
          <w:szCs w:val="16"/>
          <w:lang w:eastAsia="ru-RU"/>
        </w:rPr>
      </w:pPr>
      <w:r w:rsidRPr="00640820">
        <w:rPr>
          <w:rFonts w:ascii="Times New Roman" w:eastAsia="Times New Roman" w:hAnsi="Times New Roman"/>
          <w:color w:val="0070C0"/>
          <w:sz w:val="16"/>
          <w:szCs w:val="16"/>
          <w:lang w:eastAsia="ru-RU"/>
        </w:rPr>
        <w:t>13 декабря 1941 техническая документация по орудию У-11 уже была готова. К разработке привлекли А.С. Шнейдмана, который на Кировском Заводе, а затем на ЧКЗ, отвечал за установку вооружения в КВ. Для установки У-11 было решено использовать литые башни, которые как раз изготовлялись в Свердловске. Объем переделки как самого колпака (так именовалась в документации башня), так и орудийной установки, был невелик. Немного изменялась амбразура башни, бронировка системы, а также установка смотровых приборов. В связи с тем, что габариты У-11 были больше, чем у ЗИС-5, вертикальный сектор наводки оказался в пределах от -3,5 до +19 градусов (20860).</w:t>
      </w:r>
    </w:p>
    <w:p w14:paraId="0C6263BE" w14:textId="77777777" w:rsidR="00173061" w:rsidRPr="00640820" w:rsidRDefault="00173061" w:rsidP="00640820">
      <w:pPr>
        <w:shd w:val="clear" w:color="auto" w:fill="FFFFFF"/>
        <w:spacing w:after="0" w:line="240" w:lineRule="auto"/>
        <w:jc w:val="both"/>
        <w:rPr>
          <w:rFonts w:ascii="Times New Roman" w:eastAsia="Times New Roman" w:hAnsi="Times New Roman"/>
          <w:color w:val="0070C0"/>
          <w:sz w:val="16"/>
          <w:szCs w:val="16"/>
          <w:lang w:eastAsia="ru-RU"/>
        </w:rPr>
      </w:pPr>
    </w:p>
    <w:p w14:paraId="38097D1D" w14:textId="77777777" w:rsidR="002357E4" w:rsidRPr="00640820" w:rsidRDefault="002357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декабря 1941</w:t>
      </w:r>
    </w:p>
    <w:p w14:paraId="5F1186EB" w14:textId="77777777" w:rsidR="002357E4" w:rsidRPr="00640820" w:rsidRDefault="002357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РГАЭ Фонд 8752 Опись 4 Дело 7 лист 25</w:t>
      </w:r>
    </w:p>
    <w:p w14:paraId="3E71DDDB" w14:textId="77777777" w:rsidR="002357E4" w:rsidRPr="00640820" w:rsidRDefault="002357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мч. 10.XII. 422.</w:t>
      </w:r>
    </w:p>
    <w:p w14:paraId="3158F765" w14:textId="77777777" w:rsidR="002357E4" w:rsidRPr="00640820" w:rsidRDefault="002357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Секретно. </w:t>
      </w:r>
    </w:p>
    <w:p w14:paraId="3D17B98E" w14:textId="77777777" w:rsidR="002357E4" w:rsidRPr="00640820" w:rsidRDefault="002357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w:t>
      </w:r>
    </w:p>
    <w:p w14:paraId="52364A96" w14:textId="77777777" w:rsidR="002357E4" w:rsidRPr="00640820" w:rsidRDefault="002357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НАРОДНОМУ КОМИССАРИАТУ ТАНКОВОЙ ПРОМЫШЛЕННОСТИ СОЮЗА ССР</w:t>
      </w:r>
    </w:p>
    <w:p w14:paraId="07D839B5" w14:textId="77777777" w:rsidR="002357E4" w:rsidRPr="00640820" w:rsidRDefault="002357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81с</w:t>
      </w:r>
    </w:p>
    <w:p w14:paraId="0D2A86BC" w14:textId="77777777" w:rsidR="002357E4" w:rsidRPr="00640820" w:rsidRDefault="002357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Челябинск.</w:t>
      </w:r>
    </w:p>
    <w:p w14:paraId="337F93B1" w14:textId="77777777" w:rsidR="002357E4" w:rsidRPr="00640820" w:rsidRDefault="002357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декабря 1941 г.</w:t>
      </w:r>
    </w:p>
    <w:p w14:paraId="4051CC63" w14:textId="77777777" w:rsidR="002357E4" w:rsidRPr="00640820" w:rsidRDefault="002357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целях обеспечения выпуска танков на заводе № 112, – ПРИКАЗЫВАЮ: </w:t>
      </w:r>
    </w:p>
    <w:p w14:paraId="1D1AB8B3" w14:textId="77777777" w:rsidR="002357E4" w:rsidRPr="00640820" w:rsidRDefault="002357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Начальнику 2-го Главного Управления тов. ВЯТКИНУ организовать на з-де Электропривод (з-д № 238) производство стартеров СТ-61М. </w:t>
      </w:r>
    </w:p>
    <w:p w14:paraId="252C707D" w14:textId="77777777" w:rsidR="002357E4" w:rsidRPr="00640820" w:rsidRDefault="002357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Директору Г.З.Ф.С. тов. РЯБОВУ обеспечить механической обработкой детали стартера СТ-61М по спецификации з-да № 238. </w:t>
      </w:r>
    </w:p>
    <w:p w14:paraId="34E42D7F" w14:textId="77777777" w:rsidR="002357E4" w:rsidRPr="00640820" w:rsidRDefault="002357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Поставку стартеров СТ-61М для з-да № 112 начать с 1-го января 1942 г. </w:t>
      </w:r>
    </w:p>
    <w:p w14:paraId="30B242EB" w14:textId="77777777" w:rsidR="002357E4" w:rsidRPr="00640820" w:rsidRDefault="002357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Начальнику 3-го отдела НКТП тов. ВАСИНУ включить в программу этих заводов производство стартеров СТ-61М с указанием количества и сроков поставки.</w:t>
      </w:r>
    </w:p>
    <w:p w14:paraId="41BE0CC9" w14:textId="77777777" w:rsidR="002357E4" w:rsidRPr="00640820" w:rsidRDefault="002357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НАРОДНОГО КОМИССАРА ТАНКОВОЙ ПРОМЫШЛЕННОСТИ СОЮЗА ССР</w:t>
      </w:r>
    </w:p>
    <w:p w14:paraId="32FD4593" w14:textId="77777777" w:rsidR="002357E4" w:rsidRPr="00640820" w:rsidRDefault="002357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подпись (ЗАЛЬЦМАН)</w:t>
      </w:r>
    </w:p>
    <w:p w14:paraId="3962E7FA" w14:textId="77777777" w:rsidR="002357E4" w:rsidRPr="00640820" w:rsidRDefault="002357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(19192).</w:t>
      </w:r>
    </w:p>
    <w:p w14:paraId="226A37EA" w14:textId="77777777" w:rsidR="002357E4" w:rsidRPr="00640820" w:rsidRDefault="002357E4" w:rsidP="00640820">
      <w:pPr>
        <w:spacing w:after="0" w:line="240" w:lineRule="auto"/>
        <w:jc w:val="both"/>
        <w:rPr>
          <w:rFonts w:ascii="Times New Roman" w:hAnsi="Times New Roman"/>
          <w:color w:val="000000" w:themeColor="text1"/>
          <w:sz w:val="16"/>
          <w:szCs w:val="16"/>
        </w:rPr>
      </w:pPr>
    </w:p>
    <w:p w14:paraId="5FEFDA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декабря 1941 г. по приказу НКТП № 120 УТЗ (Завод № 76 НКТП, п/я 257, Уральский турбинный завод (УТЗ) им. Кирова НКТМ, Уральский турбомоторный завод, ПО «Турбомоторный завод им. К.Е. Ворошилова» (ТМЗ), ОАО «ТМЗ», ЗАО «УТЗ», ООО «Уральский дизель-моторный завод» /620040 (620017)  г. Екатеринбург ул. Фронтовых Бригад, 18 тел. 326-42-11, -41-09/) дизельное производство формируется в самостоятельный завод № 76. Было решение о передачи части станков с завода № 76 НКТП на завод № 212 НКСП, пост. ГКО № 1103 от 4.01.1942 г. это решение отменено. С 5.04.1946(8) г. моторный и турбинный заводы объединены, и предприятие получило название Уральский турбомоторный завод. Имел наименование «п/я 257». В 1976 г. на его базе создано ПО «Турбомоторный завод (ТМЗ) им. К.Е. Ворошилова».</w:t>
      </w:r>
    </w:p>
    <w:p w14:paraId="0F9F7B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завод специализирован на выпуск только паровых теплофикационных турбин. Была изготовлена по собственному проекту особо мощная турбина мощностью 500 тыс. кВТ для АЭС. В 1950-е  г. из паротурбинного производства выделилось газотурбинное направление.</w:t>
      </w:r>
    </w:p>
    <w:p w14:paraId="743FC3C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11.2003 г. в ходе внешнего управления на базе активов ТМЗ создано ЗАО «Уральский турбинный завод». В 02.2004 г. на ТМЗ введено конкурсное производство. Входил в состав ПС «РЕНОВА» (2000-е). В 2007 г.- ООО «Уральский дизель-моторный завод».</w:t>
      </w:r>
    </w:p>
    <w:p w14:paraId="4D45F2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(2002 г.): паровые и газовые турбины для ТЭЦ, турбинные компрессоры, конденсаторы; дизельные двигатели и генераторы; газоперекачивающие агрегаты (ГПА); водоподогреватели.</w:t>
      </w:r>
    </w:p>
    <w:p w14:paraId="0F6A3B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2003 г. построено 767 паровых турбин и 570 газовых.</w:t>
      </w:r>
    </w:p>
    <w:p w14:paraId="796E83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(2002 г.)- 8500 чел.</w:t>
      </w:r>
    </w:p>
    <w:p w14:paraId="1FC6DD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Д.Е. Кочетков, (1944 г.)- п Л.С. Савельев. Гендиректор (-2001-02 г.-)- А.А. Чубаров, (2004 г.)- С. Зырянов, (2005 г.)- А.А. Шленский, (2007 г.)- В.В. Ермолаев.</w:t>
      </w:r>
    </w:p>
    <w:p w14:paraId="2B1950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Конкурсный управляющий (02.2004 г.-)- В. Сенцов.</w:t>
      </w:r>
    </w:p>
    <w:p w14:paraId="052295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гендиректора (2005 г.)- В.А. Ковалев, (2007 г.)- Е.Ю. Кислицын. Зам. гендиректора: (2005 г.)- В.Н. Никонов; по коммерческой политике (2007 г.)- И.Н. Рыбин; по инжинирингу (2007 г.)- Ф.А. Шамрай; по технической политике (2007 г.)- В.В. Кортенко.</w:t>
      </w:r>
    </w:p>
    <w:p w14:paraId="1AD478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Директор: технический (2005 г.)- В.П. Брытков; по продажам и сервису ЭО (2007 г.)- Н.Н. Дудин; по ГПА (2007 г.)- К.Я. Марков; по снабжению и логистике (2005 г.)- А.Ю. Долганов, (2007 г.)- О.В. Бухарин; по производству и.о. (2005 г.)- И.И. Кельш; (2007 г.)- А.Д. Скоринов; по подготовке производства (2007 г.)- В.А. Зинченко; по управлению заказами (2007 г.)- А.В. Ченский; по эксплуатации (2007 г.)- </w:t>
      </w:r>
      <w:r w:rsidRPr="00640820">
        <w:rPr>
          <w:rFonts w:ascii="Times New Roman" w:hAnsi="Times New Roman"/>
          <w:color w:val="000000" w:themeColor="text1"/>
          <w:sz w:val="16"/>
          <w:szCs w:val="16"/>
          <w:lang w:val="en-US"/>
        </w:rPr>
        <w:t>JI</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 xml:space="preserve">. Зайков; по экономике и финансам (2005 г.)- В. Г. Кореняк, (2007 г.)- Ф.А. Писчасов; по финансовому контроллингу (2007 г.)- П.В. Волошин; по маркетингу и сбыту (2005 г.)-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Гагаев, (2007 г.)- Е.Ю. Бенедиктова; по качеству (2005 г.)- И.М. Насретдинов, по развитию, качеству и инновациям- И.О. (2007 г.)- В.М. Рутицкий; по правовым вопросам (2007 г.)- Е.Б. Волобуева; по персоналу (2007 г.)- О.И. Щеголева.</w:t>
      </w:r>
    </w:p>
    <w:p w14:paraId="64251C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(2005 г.)- Е.А. Хлебцов.</w:t>
      </w:r>
    </w:p>
    <w:p w14:paraId="7EBA64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(12.1941 г.)- Т. Чупахин.</w:t>
      </w:r>
    </w:p>
    <w:p w14:paraId="4F9EF5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ОТК (2005 г.)- И.М. Насретдинов.</w:t>
      </w:r>
    </w:p>
    <w:p w14:paraId="203E7C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дизели: танковый В-2 (1941-), для буровых установок В2-300 (1945-), В2-300АТ (1956-), У1Д6 и У2Д6 для экскаваторов и маневровых тепловозов, УД6 (1955-), ДМ-21 (1979-2007-), 8ДМ-21А для БелАЗов (1979-); турбины: паровая АТ-12 (1941-), Т-250, Т-110; газовые: утилизационная бескомпрессорная ГУБТ, ТГУ- 11; передвижная электростанция ЭЛ-100 (1950-е).</w:t>
      </w:r>
    </w:p>
    <w:p w14:paraId="18421F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СКБм завода</w:t>
      </w:r>
    </w:p>
    <w:p w14:paraId="3BB917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05.1944 г. организованы конструкторские бригады для разработки двух вариантов проектов двигателей для народного хозяйства: 6-цилиндрового дизеля мощностью в 180 л.с. и 12-цилиндрового дизеля мощностью 500 л.с. для передвижных электростанций, тяжелых грузовиков и судов. Затем на базе бригад сформировано СКБм. В его составе организованы два отдела: опытных работ и серийных дизелей. Создается экспериментальная база СКБм. В 1950-54 г. опытный отдел СКБм работал над 16-цилиндровым двухвальным транспортным двигателем 2ДГ8М.</w:t>
      </w:r>
    </w:p>
    <w:p w14:paraId="46C00F3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(2005 г.)- В.В. Лашманов.</w:t>
      </w:r>
    </w:p>
    <w:p w14:paraId="511458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дизели: для САУ СУ-100 «ДГ» (1952); 2ДГ8М (1954), В2-600ТК, Д6-250ТК; передвижная электростанция ЭЛ-100 (1950-е) (11982).</w:t>
      </w:r>
    </w:p>
    <w:p w14:paraId="1492C2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D4A9F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13 декабря 1941 г. ГКО постановил, что Наркомсредмаш, Наркомтяжмаш, Наркомлеспром, Наркомат минометного вооружения СССР и Наркомместпром РСФСР должны передать НКТП 19 тыс. рабочих. Наркоматы же передавали НКТП к 10 января 1942 г. только 3 152 человека и больше передавать отказались (РГАЭ, ф. 8752, on. 1, д. 24, л. 14.). Они также испытывали проблемы с людьми и не могли дать больше, так как в этом случае их собственная деятельность оказалась бы под угрозой срыва. В этой ситуации на помощь НКТП пришел Наркомат обороны. 5 января 1942 г. он передал НКТП для работы на его заводах 13 тыс. человек из числа военнообязанных (РГАЭ, ф. 8752, on. 1, д. 24, л. 14.). Наркомат обороны помогал НКТП и в дальнейшем: так, например, 13 мая 1942 г. заместитель наркома обороны Е.А. Щаденко выделил для НКТП 14.5 тыс. военнослужащих, выписывающихся из госпиталей (РГАЭ, ф. 8752, on. 1, д. 24, л. 14.). Однако их квалификация была низкой. В свою очередь, руководство НКТП решило максимально сократить число вспомогательных рабочих, служащих и ИТР. Определенное представление о том, из каких источников пополнялись ряды рабочих предприятий НКТН, могут дать сведения по заводу № 183. Эвакуировано из Харькова было 2.5 тыс. человек. В Нижнем Тагиле к ним присоединилось 6 234 производственных и 5813 вспомогательных рабочих с Уральского вагоностроительного завода. 550 рабочих прибыли из Мариуполя и других мест. В 1942 г. были приняты на работу еще 25 064 человека. Самым массовым источником пополнения рабочей силы оказались стройтрудколонны. Это были формирования Наркомата обороны, состоявшие из военнообязанных, признанных непригодными к использованию в других частях, в том числе и по национальному признаку (Работников стройтрудколонны нельзя отождествлять, как это теперь часто делается, с узниками ГУЛАГа. Стройтрудколонны в составе промышленных наркоматов просуществовали недолго. На основании постановлений ГКО от 21 марта и 3 апреля их расформировали, их начальствующий состав и часть рядовых были отправлены в Красную армию, а оставшиеся на предприятиях бывшие военнослужащие стройтрудколонн были демобилизованы и переданы предприятиям с распространением на них действующего трудового законодательства (Там же, ф. 8752, оп. 4, д. 110, л. 1-2).). Всего завод получил 9 200 человек из пяти стройтрудколонн, работавших до этого на территории завода. Еще 7 400 человек НКО передал заводу из числа ограниченно годных к </w:t>
      </w:r>
      <w:r w:rsidRPr="00640820">
        <w:rPr>
          <w:rFonts w:ascii="Times New Roman" w:hAnsi="Times New Roman"/>
          <w:color w:val="000000" w:themeColor="text1"/>
          <w:sz w:val="16"/>
          <w:szCs w:val="16"/>
        </w:rPr>
        <w:lastRenderedPageBreak/>
        <w:t>военной службе. 8 719 человек были приняты на завод в порядке свободного приема. В основном это были подростки, женщины и пенсионеры. 1 903 человека поступили на завод из системы трудовых резервов (РГАЭ, ф. 8798, оп. 4, д. 17, л. 283.). Основная масса пришедших на завод работников относилась к категории неквалифицированной рабочей силы. Поэтому было решено обучать новичков в процессе производства. Опытные рабочие брали их на обучение. Конечно, такой способ не мог дать быстрого эффекта, и проблема квалификации кадров сохранялась до конца войны. Из-за того, что многие новые работники не имели необходимой квалификации, страдало качество. Немалую работу пришлось провести, чтобы создать относительно приемлемые условия жизни для рабочих. Самой острой проблемой было обеспечение эвакуированных жильем. Некоторым, не слишком большим заводам, например заводу № 37 в Свердловске, удалось решить ее за счет местных ресурсов, но на самых крупных предприятиях сложилась более сложная ситуация. Так, в распоряжение завода № 183 перешло 208 тыс. кв. м жилья, принадлежащего ранее Уральскому вагоностроительному заводу. Таким образом, удалось расселить 6 790 человек, в основном семьи рабочих и служащих завода № 183 из Харькова. Кроме того, к 1 января 1942 г. были построены землянки (55.5 тыс. кв. м) и бараки (32.4 тыс. кв. м), что позволило расселить примерно 20 тыс. человек (РГАЭ, ф. 8798, оп. 4, д. 17, л. 283.). Положение с жильем на заводе несколько улучшилось летом, когда так называемым хозяйственным способом было возведено значительное количество жилья. Одновременно были приведены в надлежащее состояние бараки: стены оштукатурили, а двухъярусные нары заменили на кровати. Правительство выделило для завода 15 тыс. комплектов постельного белья. Всего в распоряжении НКТП на 1 января 1942 г. находилось 1 092 312 кв. м жилья, в котором проживали 272 341 человек (11786).</w:t>
      </w:r>
    </w:p>
    <w:p w14:paraId="12CB79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2FECA2E"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декабря 1941 года появилось постановление ГКО, которое предписывало Наркомсредмашу, Наркомтяжмашу, Наркомместпрому РСФСР, Наркомлеспрому и Наркомату минометного вооружения передать НКТП 19.000 рабочих. Таким путём проблема нехватки рабочей силы в танковой промышленности действительно могла бы быть частично решена. Однако решение ГКО было фактически не выполнено. На 10 января 1942 года указанные наркоматы передали НКТП всего 3.152 человек, и больше передавать отказались (РГАЭ. Ф. 8752. Оп. 1. Д. 24. Л. 14). Попытки НКТП добиться от них выполнения постановления ГКО окончились безрезультатно, так же, как и жалобы в высшие инстанции. Потребности танковой промышленности в рабочей силе были отчасти удовлетворены, когда 5 января 1942 года Народный комиссариат обороны передал НКТП 13.000 военнообязанных для работы на заводах наркомата (РГАЭ. Ф. 8752. Оп. 1. Д. 24. Л. 14). Правда, вместо квалифицированных рабочих заводам пришлось довольствоваться неквалифицированными призывниками. Между тем, проблема нехватки рабочей силы на заводах НКТП сохранялась. В марте 1942 года некомплект рабочей силы заводов НКТП оценивался в 24.460 человек (РГАЭ. Ф. 8752. Оп. 4. Д. 110. Л. 92). Наркомат обороны и дальше продолжал помогать НКТП, направляя ему рабочую силу. Например, 13 мая 1942 года зам. Наркома обороны Е. А. Щаденко выделил для НКТП 14,5 тысяч раненых, выписывающихся из госпиталей (РГАЭ. Ф. 8752. Оп. 4. Д. 110. Л. 214). Пополнения рядов работников НКТП за счет вооруженных сил происходили и позднее (12290).</w:t>
      </w:r>
    </w:p>
    <w:p w14:paraId="239F104B" w14:textId="77777777" w:rsidR="00045010" w:rsidRPr="00640820" w:rsidRDefault="00045010" w:rsidP="00640820">
      <w:pPr>
        <w:spacing w:after="0" w:line="240" w:lineRule="auto"/>
        <w:jc w:val="both"/>
        <w:rPr>
          <w:rFonts w:ascii="Times New Roman" w:hAnsi="Times New Roman"/>
          <w:color w:val="000000" w:themeColor="text1"/>
          <w:sz w:val="16"/>
          <w:szCs w:val="16"/>
        </w:rPr>
      </w:pPr>
    </w:p>
    <w:p w14:paraId="2840CEF6"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5950724E"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E3E0A5A"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13 декабря</w:t>
      </w:r>
      <w:r w:rsidRPr="00640820">
        <w:rPr>
          <w:rFonts w:ascii="Times New Roman" w:hAnsi="Times New Roman"/>
          <w:color w:val="000000" w:themeColor="text1"/>
          <w:sz w:val="16"/>
          <w:szCs w:val="16"/>
        </w:rPr>
        <w:t xml:space="preserve"> в 1941 году утреннее сообщение Совинформбюро:</w:t>
      </w:r>
    </w:p>
    <w:p w14:paraId="2D200DBE"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13 декабря наши войска вели бои с противником на всех фронтах.</w:t>
      </w:r>
    </w:p>
    <w:p w14:paraId="41BBECFE"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Бойцы тов. Астанина в двухдневных боях на одном из участков Ленинградского фронта выбили немцев из населённого пункта, разрушили 14 дерево-земляных огневых точек и 6 блиндажей противника, уничтожили 5 тяжёлых орудий, захватили 2 пушки, 3 миномёта, много пулемётов, автоматов, винтовок, боеприпасов и истребили свыше 400 немецких солдат и офицеров.</w:t>
      </w:r>
    </w:p>
    <w:p w14:paraId="617FA43D"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Бойцы тов. Есаулова в ожесточённом бою с противником на одном из участков Калининского направления фронта выбили немцев из населённого пункта И., разгромили штаб 236 немецкого артполка, уничтожили 6 орудий и истребили 100 солдат и офицеров противника.</w:t>
      </w:r>
    </w:p>
    <w:p w14:paraId="78CC9B70"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Подразделение тов. Рыбанюка, действующее на одном из участков Южного фронта, рассеяло 50 полк 111 немецкой пехотной дивизии и завладело станцией Б. На поле боя осталось 429 убитых немецких солдат и офицеров. Наши бойцы захватили 2 орудия, 2 миномёта, 50 ящиков мин, 65 ящиков патронов и другие трофеи.</w:t>
      </w:r>
    </w:p>
    <w:p w14:paraId="5C740B60"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Взвод сержанта тов. Поросёнкова в течение одного боя трижды ходил в штыковую атаку на противника и истребил свыше 150 немецко-фашистских оккупантов. Сам тов. Поросёнков заколол в этом бою 11 вражеских солдат.</w:t>
      </w:r>
    </w:p>
    <w:p w14:paraId="6AE54D18"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Вырвавшиеся из фашистского плена красноармейцы Никитин, Тайкин и Максимов рассказали о зверском обращении немецко-фашистских мерзавцев с пленными бойцами и командирами Красной Армии. «Нас, небольшую группу красноармейцев, попавших в плен,— сообщили они,— немецкие солдаты немедленно раздели. С нас сняли полушубки, перчатки, сапоги и босыми погнали по снегу на минное поле. На минах погибли 6 бойцов». Бежавшая из захваченного немцами города Сольцы гр. Житникова рассказала: «Я видела, как фашисты вели по дороге 8 раненых и измученных красноармейцев. Немцы подталкивали их в спину штыками и били прикладами. Видя, что пленные дальше итти не могут, изверги расстреляли их тут же у дороги», Житникова, находившаяся некоторое время вместе с другими мирными советскими гражданами в немецком лагере «для военнопленных» в селении Костун, рассказывает далее: «Немцы давали нам всего лишь несколько мёрзлых картошек в день. Работать заставляли с утра до поздней ночи. Однажды во время переклички женщина с ребёнком обратилась к офицеру с просьбой освободить её от работы. Офицер разрешил ей покинуть лагерь, Но не успела она сделать несколько шагов, как фашист выстрелил ей в спину и убил».</w:t>
      </w:r>
    </w:p>
    <w:p w14:paraId="79CB8F25"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Рабочие, колхозники и интеллигенция Краснодарского края самоотверженным трудом помогают Красной Армии истреблять гитлеровских захватчиков. На месяц раньше срока выполнила годовой план Краснодарская фабрика имени РККА. Большинство рабочих этой фабрики значительно перевыполняет нормы. Токарь Краснодарского завода имени Седина тов. Межов выполняет норму на 800-1.000 процентов. Слесарь завода имени Калинина тов. Варяница систематически даёт по четыре нормы в смену. За 11 месяцев он выполнил два с половиной годовых задания. Колхозы Краснодарского края успешно выполняют хлебопоставки. Наряду с этим они продали государству больше 86 тысяч центнеров мяса, 172 тысячи гектолитров молока и много других продуктов. Трудящиеся Краснодарского края за время войны внесли в фонд обороны страны 21 миллион рублей деньгами, на 51 миллион рублей облигаций госзаймов, 13 тысяч центнеров хлеба, много мяса и других сельскохозяйственных продуктов.» (14859).</w:t>
      </w:r>
    </w:p>
    <w:p w14:paraId="113F8158" w14:textId="77777777" w:rsidR="00EF2C46" w:rsidRPr="00640820" w:rsidRDefault="00EF2C46" w:rsidP="00640820">
      <w:pPr>
        <w:spacing w:after="0" w:line="240" w:lineRule="auto"/>
        <w:jc w:val="both"/>
        <w:rPr>
          <w:rFonts w:ascii="Times New Roman" w:hAnsi="Times New Roman"/>
          <w:color w:val="000000" w:themeColor="text1"/>
          <w:sz w:val="16"/>
          <w:szCs w:val="16"/>
        </w:rPr>
      </w:pPr>
    </w:p>
    <w:p w14:paraId="4C51CD08"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13 декабря</w:t>
      </w:r>
      <w:r w:rsidRPr="00640820">
        <w:rPr>
          <w:rFonts w:ascii="Times New Roman" w:hAnsi="Times New Roman"/>
          <w:color w:val="000000" w:themeColor="text1"/>
          <w:sz w:val="16"/>
          <w:szCs w:val="16"/>
        </w:rPr>
        <w:t xml:space="preserve"> в 1941 году вечернее сообщение Совинформбюро:</w:t>
      </w:r>
    </w:p>
    <w:p w14:paraId="7933915B"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13 декабря наши войска вели бои с противником на всех фронтах. На ряде участков Западного и Юго-Западного фронтов советские войска, ведя ожесточённые бои с противником, продолжали продвигаться вперёд. Наши части заняли города Ливны и Ефремов.</w:t>
      </w:r>
    </w:p>
    <w:p w14:paraId="4A5C4E03"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12 декабря уничтожено 7 немецких самолётов. Наши потери — 2 самолёта.</w:t>
      </w:r>
    </w:p>
    <w:p w14:paraId="5229AFF7"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12 декабря наши лётчики, действующие на Западном фронте, уничтожили и повредили 20 немецких танков, 350 автомашин с войсками и грузами, уничтожили 10 полевых и зенитных орудий с прислугой, более 60 подвод с боеприпасами, автоцистерну с горючим, истребили или рассеяли до полка вражеской пехоты.</w:t>
      </w:r>
    </w:p>
    <w:p w14:paraId="24507FA2"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Гвардейские части генерал-майора тов. Белова, преследуя отходящего противника, за один день освободили от немецко-фашистских захватчиков 25 населённых пунктов и захватили 19 танков, 3 орудия, 119 автомашин и много других трофеев.</w:t>
      </w:r>
    </w:p>
    <w:p w14:paraId="3F3D28B7"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Разведчики-автоматчики под руководством командиров Ковалёва и Мазного произвели смелый налёт на село, занятое немцами. Разведчики забросали гранатами дома, в которых находились фашисты. В результате налёта истреблено 150 немецких солдат и офицеров, сожжено 19 грузовых машин, 6 автоцистерн с горючим, уничтожено 3 танка, 1 танкетка, 1 орудие, 3 миномёта и 4 пулемёта.</w:t>
      </w:r>
    </w:p>
    <w:p w14:paraId="284FDD88"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тылу фашистских войск на Западном фронте партизаны не дают покоя немецким захватчикам ни днём, ни ночью. Отряд тов. Д., взаимодействуя с частями Красной Армии, успешно громит врага. В последнем бою он захватил у противника 20 противотанковых орудий, 160 снарядов, уничтожил 6 автомашин, истребил 6 немецких офицеров и около 100 солдат. Отряд тов. Р. в одном из районов разрушил казарму и блокпост, взорвал полотно железной дороги, уничтожил 9 транспортных машин, 6 мотоциклов, 1 бронемашину и истребил 35 фашистов. Другой партизанский отряд взорвал 2 склада с оружием, мост через реку, уничтожил 13 автомашин, 2 станковых пулемёта и истребил около 90 немецких солдат. Успешно действует партизанский отряд под командованием тов. П. Он взорвал железнодорожный мост, уничтожил автомашину. В бою партизаны убили 35 немцев, захватили 11 винтовок. Смелые налёты партизан изматывают врага. В одном районе партизаны дважды совершали нападение на немецкие колонны, двигавшиеся на фронт. За два налёта партизаны уничтожили 50 немцев, 80 лошадей, 20 повозок. Через несколько дней партизаны опять появились на магистрали. Они истребили 60 фашистов, захватили легковую машину, две автомашины с минами, кухню, много патронов и другого имущества.</w:t>
      </w:r>
    </w:p>
    <w:p w14:paraId="1AF27736"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Показания военнопленных, письма, найденные у убитых немецких солдат и офицеров, а также документы, захваченные нашими частями, свидетельствуют о дальнейшем ухудшении физического состояния немецких войск. В записке «Состояние здоровья войск», написанной 29 ноября 1941 года на имя командира полка врачом 2 батальона 173 немецкого пехотного полка, захваченной нашими частями на одном из участков Западного фронта, говорится: «Проведённое 29 ноября 1941 г. санитарное освидетельствование доказывает, что состояние здоровья войск на сегодняшний день является мало удовлетворительным». Далее автор записки отмечает массовые случаи заболевания «ревматизмом, бронхитом, катаром желудка и слабостью мочевого пузыря. 100 процентов войск заражены вшивостью в очень сильной степени. Вследствие вшивости и недостаточного ухода за телом возросли кожные заболевания, особенно экзема и нарывы на коже (фурункулы). Почти 50 процентов людского состава, прошедшего медосвидетельствование, нуждаются в неотложном лечении зубов; половина из них сильно страдает зубной болью. Всё более часты случаи обмораживания 1 и 2 степени. Вследствие массовых заболеваний боеспособность части значительно снизилась по сравнению с прежней. С точки зрения врачебной батальон на сегодняшний день боеспособен только условно».</w:t>
      </w:r>
    </w:p>
    <w:p w14:paraId="62D40D0F"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Немецкие и итальянские оккупанты вывозят из Греции все запасы продовольствия. Через порты Пирей и Салоники в Италию и Германию ежедневно отбывают пароходы с награбленным хлопком, табаком и фруктами. В стране царит голод. 4 декабря в порту Пирей голодная толпа разгромила продовольственный склад. Вызванные в порт отряды итальянских жандармов были встречены камнями и дубинками. Во время стычки убито 3 жандарма. Многие жители Афин выброшены из своих квартир на улицу. В ряде больших зданий города организованы госпитали для раненных на Восточном фронте германских солдат.» (14859).</w:t>
      </w:r>
    </w:p>
    <w:p w14:paraId="7C05EC5C" w14:textId="77777777" w:rsidR="00EF2C46" w:rsidRPr="00640820" w:rsidRDefault="00EF2C46" w:rsidP="00640820">
      <w:pPr>
        <w:spacing w:after="0" w:line="240" w:lineRule="auto"/>
        <w:jc w:val="both"/>
        <w:rPr>
          <w:rFonts w:ascii="Times New Roman" w:hAnsi="Times New Roman"/>
          <w:color w:val="000000" w:themeColor="text1"/>
          <w:sz w:val="16"/>
          <w:szCs w:val="16"/>
        </w:rPr>
      </w:pPr>
    </w:p>
    <w:p w14:paraId="0A49858E"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13 декабря</w:t>
      </w:r>
      <w:r w:rsidRPr="00640820">
        <w:rPr>
          <w:rFonts w:ascii="Times New Roman" w:hAnsi="Times New Roman"/>
          <w:color w:val="000000" w:themeColor="text1"/>
          <w:sz w:val="16"/>
          <w:szCs w:val="16"/>
        </w:rPr>
        <w:t xml:space="preserve"> в 1941 году экипаж танка БТ-7 27-го бронетанкового дивизиона 20-й горно-кавалерийской дивизии, находясь в дозоре в 1,5-2х км от деревни Денисиха (район Кубинки), уничтожил три немецких танка Pz.III, причем два из них - тараном. Танк находился в засаде, на лесной опушке. Обнаружив вышедшие из леса два немецких танка, танкисты огнем пушки один подожгли, второй решили таранить. Удар пришелся по ведущему колесу, у "тройки" лопнула гусеница. У "бетешки" мотор не заглох, и танкисты, протащив юзом вражеский танк, сбросили его с обрыва в реку. Затем БТ-7 вернулся на исходную позицию. В это время из леса вышел еще один Т-3 и остановился у первого подбитого "немца". У БТ-7 закончились бронебойные снаряды, и этот танк тоже решили таранить. При ударе у немца срезало ведущее колесо и лопнула гусеница, у БТ-7 заглох мотор. Заведя мотор с четвертой попытки, наши несколько раз стрельнули фугасными снарядами по немецкому танку "для убедительности", и вернулись на исходную. В войну случаи тарана танков танками были не единичны, однако для тарана нашими танкистами использовались более тяжелые машины - Т-34 и КВ. Данный случай уникален. Он удивителен именно тем, что наши танкисты успешно таранили более тяжелого и лучше защищенного врага на довольно легкой (как по массе, так и по бронированию) машине (14859).</w:t>
      </w:r>
    </w:p>
    <w:p w14:paraId="41953D14" w14:textId="77777777" w:rsidR="00EF2C46" w:rsidRPr="00640820" w:rsidRDefault="00EF2C46" w:rsidP="00640820">
      <w:pPr>
        <w:spacing w:after="0" w:line="240" w:lineRule="auto"/>
        <w:jc w:val="both"/>
        <w:rPr>
          <w:rFonts w:ascii="Times New Roman" w:hAnsi="Times New Roman"/>
          <w:color w:val="000000" w:themeColor="text1"/>
          <w:sz w:val="16"/>
          <w:szCs w:val="16"/>
        </w:rPr>
      </w:pPr>
    </w:p>
    <w:p w14:paraId="1554ED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декабря 1941 5 и атаковали аэродром в районе Ватулино и повредили 7 машин (341,83).</w:t>
      </w:r>
    </w:p>
    <w:p w14:paraId="76225B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F158F5D"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декабря 1941 Берлинское радио сообщило, что из-за морозов взятие Москвы откладывается до весны (4962).</w:t>
      </w:r>
    </w:p>
    <w:p w14:paraId="192995F7"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6ADA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декабря 1941 объявили о контрнаступлении под Москвой (180,82) В Правде опубликовали портреты отличившихся генералов и в т.ч. Власова (2070,49).</w:t>
      </w:r>
    </w:p>
    <w:p w14:paraId="7D4E56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169422C"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13 декабря</w:t>
      </w:r>
      <w:r w:rsidRPr="00640820">
        <w:rPr>
          <w:rFonts w:ascii="Times New Roman" w:hAnsi="Times New Roman"/>
          <w:color w:val="000000" w:themeColor="text1"/>
          <w:sz w:val="16"/>
          <w:szCs w:val="16"/>
        </w:rPr>
        <w:t xml:space="preserve"> в 1941 году войска правого крыла Юго-Западного фронта освободили город Ефремов и завершили окружение основных сил двух немецких пехотных дивизий в районе западнее Ельца (14859).</w:t>
      </w:r>
    </w:p>
    <w:p w14:paraId="7E1C72DD" w14:textId="77777777" w:rsidR="00EF2C46" w:rsidRPr="00640820" w:rsidRDefault="00EF2C46" w:rsidP="00640820">
      <w:pPr>
        <w:spacing w:after="0" w:line="240" w:lineRule="auto"/>
        <w:jc w:val="both"/>
        <w:rPr>
          <w:rFonts w:ascii="Times New Roman" w:hAnsi="Times New Roman"/>
          <w:color w:val="000000" w:themeColor="text1"/>
          <w:sz w:val="16"/>
          <w:szCs w:val="16"/>
        </w:rPr>
      </w:pPr>
    </w:p>
    <w:p w14:paraId="246F832B"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13 декабря</w:t>
      </w:r>
      <w:r w:rsidRPr="00640820">
        <w:rPr>
          <w:rFonts w:ascii="Times New Roman" w:hAnsi="Times New Roman"/>
          <w:color w:val="000000" w:themeColor="text1"/>
          <w:sz w:val="16"/>
          <w:szCs w:val="16"/>
        </w:rPr>
        <w:t xml:space="preserve"> в 1941 году на ряде участков Западного и Юго-Западного фронтов советские войска продолжали продвигаться вперед и заняли города Ливны и Ефремов (14859).</w:t>
      </w:r>
    </w:p>
    <w:p w14:paraId="6507DE43" w14:textId="77777777" w:rsidR="00EF2C46" w:rsidRPr="00640820" w:rsidRDefault="00EF2C46" w:rsidP="00640820">
      <w:pPr>
        <w:spacing w:after="0" w:line="240" w:lineRule="auto"/>
        <w:jc w:val="both"/>
        <w:rPr>
          <w:rFonts w:ascii="Times New Roman" w:hAnsi="Times New Roman"/>
          <w:color w:val="000000" w:themeColor="text1"/>
          <w:sz w:val="16"/>
          <w:szCs w:val="16"/>
        </w:rPr>
      </w:pPr>
    </w:p>
    <w:p w14:paraId="79E6A1C7"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13 декабря</w:t>
      </w:r>
      <w:r w:rsidRPr="00640820">
        <w:rPr>
          <w:rFonts w:ascii="Times New Roman" w:hAnsi="Times New Roman"/>
          <w:color w:val="000000" w:themeColor="text1"/>
          <w:sz w:val="16"/>
          <w:szCs w:val="16"/>
        </w:rPr>
        <w:t xml:space="preserve"> в 1941 году началось наступление на центральном участке Западного фронта против 4-й немецкой армии. Войска правого крыла Западного фронта освободили г. Ефремов и завершили окружение двух пехотных дивизий противника в районе западнее Ельца (14859).</w:t>
      </w:r>
    </w:p>
    <w:p w14:paraId="1FD94FA6" w14:textId="77777777" w:rsidR="00EF2C46" w:rsidRPr="00640820" w:rsidRDefault="00EF2C46" w:rsidP="00640820">
      <w:pPr>
        <w:spacing w:after="0" w:line="240" w:lineRule="auto"/>
        <w:jc w:val="both"/>
        <w:rPr>
          <w:rFonts w:ascii="Times New Roman" w:hAnsi="Times New Roman"/>
          <w:color w:val="000000" w:themeColor="text1"/>
          <w:sz w:val="16"/>
          <w:szCs w:val="16"/>
        </w:rPr>
      </w:pPr>
    </w:p>
    <w:p w14:paraId="6ED14C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декабря 1941 в бой под Москвой впервые вступили горьковские же Т-60 (3862).</w:t>
      </w:r>
    </w:p>
    <w:p w14:paraId="6E756E3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A130B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rPr>
        <w:t xml:space="preserve">13 декабря 1941 экипаж БТ-7 27 бронетанкового дивизиона 20 горно-кавалерийской дивизии (ком. Н.Обухин, водитель П.А.Тайнин) , действовавший в головном разведовательном дозоре у д. Денисиха в районе Кубинки подбил 3 Т-III. Один - двумя последними бронебойными снарядами, один - таранив и сбросив с обрыва в реку Озерни, третий - также таранил - единственный случай двойного тарана в одном бою </w:t>
      </w:r>
      <w:r w:rsidRPr="00640820">
        <w:rPr>
          <w:rFonts w:ascii="Times New Roman" w:hAnsi="Times New Roman"/>
          <w:color w:val="000000" w:themeColor="text1"/>
          <w:sz w:val="16"/>
          <w:szCs w:val="16"/>
          <w:lang w:val="en-US"/>
        </w:rPr>
        <w:t>(7615, 22).</w:t>
      </w:r>
    </w:p>
    <w:p w14:paraId="37A84D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4EAE0E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December 13, 1941: In the East, the Red Army launches a counter-offensive from the Kalinin area toward besieged Leningrad. German forces of Heeresgruppe Mitte (von Bock) evacuate Tula (3819).</w:t>
      </w:r>
    </w:p>
    <w:p w14:paraId="067428C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314C4E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lang w:val="en-US"/>
        </w:rPr>
        <w:t xml:space="preserve">13 </w:t>
      </w:r>
      <w:r w:rsidRPr="00640820">
        <w:rPr>
          <w:rFonts w:ascii="Times New Roman" w:hAnsi="Times New Roman"/>
          <w:color w:val="000000" w:themeColor="text1"/>
          <w:sz w:val="16"/>
          <w:szCs w:val="16"/>
        </w:rPr>
        <w:t>декабря</w:t>
      </w:r>
      <w:r w:rsidRPr="00640820">
        <w:rPr>
          <w:rFonts w:ascii="Times New Roman" w:hAnsi="Times New Roman"/>
          <w:color w:val="000000" w:themeColor="text1"/>
          <w:sz w:val="16"/>
          <w:szCs w:val="16"/>
          <w:lang w:val="en-US"/>
        </w:rPr>
        <w:t xml:space="preserve"> 1941 </w:t>
      </w:r>
      <w:r w:rsidRPr="00640820">
        <w:rPr>
          <w:rFonts w:ascii="Times New Roman" w:hAnsi="Times New Roman"/>
          <w:color w:val="000000" w:themeColor="text1"/>
          <w:sz w:val="16"/>
          <w:szCs w:val="16"/>
        </w:rPr>
        <w:t>КАначалановоенаступлениенаЛенинград</w:t>
      </w:r>
      <w:r w:rsidRPr="00640820">
        <w:rPr>
          <w:rFonts w:ascii="Times New Roman" w:hAnsi="Times New Roman"/>
          <w:color w:val="000000" w:themeColor="text1"/>
          <w:sz w:val="16"/>
          <w:szCs w:val="16"/>
          <w:lang w:val="en-US"/>
        </w:rPr>
        <w:t xml:space="preserve">. </w:t>
      </w:r>
      <w:r w:rsidRPr="00640820">
        <w:rPr>
          <w:rFonts w:ascii="Times New Roman" w:hAnsi="Times New Roman"/>
          <w:color w:val="000000" w:themeColor="text1"/>
          <w:sz w:val="16"/>
          <w:szCs w:val="16"/>
        </w:rPr>
        <w:t>Немецкие части Группы Центр оставили Тулу (3819).</w:t>
      </w:r>
    </w:p>
    <w:p w14:paraId="575A3B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B9D4F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декабря 1941 вышло Постановление ГКО № 1022 О сформировании банных и банно-прачечных поездов. РГАНИР, Фонд ГКО, д. 16, лл. 90 (11012).</w:t>
      </w:r>
    </w:p>
    <w:p w14:paraId="1CF9B19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21DF645"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427D92CD"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675A53A" w14:textId="77777777" w:rsidR="002357E4" w:rsidRPr="00640820" w:rsidRDefault="002357E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декабря 1941. Газета "Правда" опубликовала сообщение Совинформбюро: "Провал немецкого плана окружения и взятия Москвы. Поражение немецких войск на подступах Москвы" (18697).</w:t>
      </w:r>
    </w:p>
    <w:p w14:paraId="4A508B58" w14:textId="77777777" w:rsidR="002357E4" w:rsidRPr="00640820" w:rsidRDefault="002357E4" w:rsidP="00640820">
      <w:pPr>
        <w:spacing w:after="0" w:line="240" w:lineRule="auto"/>
        <w:jc w:val="both"/>
        <w:rPr>
          <w:rFonts w:ascii="Times New Roman" w:hAnsi="Times New Roman"/>
          <w:color w:val="000000" w:themeColor="text1"/>
          <w:sz w:val="16"/>
          <w:szCs w:val="16"/>
        </w:rPr>
      </w:pPr>
    </w:p>
    <w:p w14:paraId="0EFE90AE"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декабря 1941 вышло Постановление ГКО № 1021 [Об отмене постановления Ярославского комитета обороны от 28 октября 1941 г. о продаже на местном рынке 920 тыс. банок консервов и 10 т сливочного масла и возврате их для использования по государственному плану снабжения.] (7017, 89).</w:t>
      </w:r>
    </w:p>
    <w:p w14:paraId="5701114A"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0138EB"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4CF184EF"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8859E70"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13 декабря</w:t>
      </w:r>
      <w:r w:rsidRPr="00640820">
        <w:rPr>
          <w:rFonts w:ascii="Times New Roman" w:hAnsi="Times New Roman"/>
          <w:color w:val="000000" w:themeColor="text1"/>
          <w:sz w:val="16"/>
          <w:szCs w:val="16"/>
        </w:rPr>
        <w:t xml:space="preserve"> в 1941 году генерал-квартирмейстер Генерального штаба ОКХ Э.Вагнер писал Розенбергу, что военное положение требует привлечения населения оккупированных районов СССР на немецкую сторону, а поэтому необходимо развивать антибольшевистское движение (14859).</w:t>
      </w:r>
    </w:p>
    <w:p w14:paraId="691C11D1" w14:textId="77777777" w:rsidR="00EF2C46" w:rsidRPr="00640820" w:rsidRDefault="00EF2C46" w:rsidP="00640820">
      <w:pPr>
        <w:spacing w:after="0" w:line="240" w:lineRule="auto"/>
        <w:jc w:val="both"/>
        <w:rPr>
          <w:rFonts w:ascii="Times New Roman" w:hAnsi="Times New Roman"/>
          <w:color w:val="000000" w:themeColor="text1"/>
          <w:sz w:val="16"/>
          <w:szCs w:val="16"/>
        </w:rPr>
      </w:pPr>
    </w:p>
    <w:p w14:paraId="74E464AD"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декабря 1941 англичане потопили два итальянских крейсера в Средиземном море (4962).</w:t>
      </w:r>
    </w:p>
    <w:p w14:paraId="78F7344F"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9EB7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декабря 1941 началась британское наступление в Ливии (2100).</w:t>
      </w:r>
    </w:p>
    <w:p w14:paraId="69F0C7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526B025"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декабря 1941 внезапной атакой на Филиппинах японцами уничтожена половина американских ВВС в Тихом океане (4962).</w:t>
      </w:r>
    </w:p>
    <w:p w14:paraId="48405AAD"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E37384"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13 декабря</w:t>
      </w:r>
      <w:r w:rsidRPr="00640820">
        <w:rPr>
          <w:rFonts w:ascii="Times New Roman" w:hAnsi="Times New Roman"/>
          <w:color w:val="000000" w:themeColor="text1"/>
          <w:sz w:val="16"/>
          <w:szCs w:val="16"/>
        </w:rPr>
        <w:t xml:space="preserve"> в 1941 году внезапной атакой на Филиппинах (это через 6 дней после Перл-Харбора!) японцами уничтожается половина американских ВВС в Тихом океане (14859).</w:t>
      </w:r>
    </w:p>
    <w:p w14:paraId="1BD37289" w14:textId="77777777" w:rsidR="00EF2C46" w:rsidRPr="00640820" w:rsidRDefault="00EF2C46" w:rsidP="00640820">
      <w:pPr>
        <w:spacing w:after="0" w:line="240" w:lineRule="auto"/>
        <w:jc w:val="both"/>
        <w:rPr>
          <w:rFonts w:ascii="Times New Roman" w:hAnsi="Times New Roman"/>
          <w:color w:val="000000" w:themeColor="text1"/>
          <w:sz w:val="16"/>
          <w:szCs w:val="16"/>
        </w:rPr>
      </w:pPr>
    </w:p>
    <w:p w14:paraId="19DDB4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December 13 1941 El Salvador declared war against Germany and Italy (1223).</w:t>
      </w:r>
    </w:p>
    <w:p w14:paraId="696679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1B3E99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декабря 1941 Сальвадор объявил войну Германии и Италии (1223).</w:t>
      </w:r>
    </w:p>
    <w:p w14:paraId="4BA3E7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9F106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December 13 1941 Hungary declared a state of war with the United States (1223).</w:t>
      </w:r>
    </w:p>
    <w:p w14:paraId="5E9DC8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66143B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декабря Венгрия объявила войну США (1223).</w:t>
      </w:r>
    </w:p>
    <w:p w14:paraId="312AA5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C27DD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December 13 1941 Bulgaria declared a state of war against the United States and the United Kingdom (1223).</w:t>
      </w:r>
    </w:p>
    <w:p w14:paraId="306D29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66ED24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декабря 1941 Болгария объявила войну США и Англии (1223).</w:t>
      </w:r>
    </w:p>
    <w:p w14:paraId="32AED0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78172A6" w14:textId="77777777" w:rsidR="00EF2C46" w:rsidRPr="00640820" w:rsidRDefault="00EF2C46"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13 декабря</w:t>
      </w:r>
      <w:r w:rsidRPr="00640820">
        <w:rPr>
          <w:rFonts w:ascii="Times New Roman" w:hAnsi="Times New Roman"/>
          <w:color w:val="000000" w:themeColor="text1"/>
          <w:sz w:val="16"/>
          <w:szCs w:val="16"/>
        </w:rPr>
        <w:t xml:space="preserve"> в 1941 году Венгрия, Румыния, Болгария и Словакия объявили войну Соединенным Штатам и Великобритании (14859).</w:t>
      </w:r>
    </w:p>
    <w:p w14:paraId="3C183454" w14:textId="77777777" w:rsidR="00EF2C46" w:rsidRPr="00640820" w:rsidRDefault="00EF2C46" w:rsidP="00640820">
      <w:pPr>
        <w:spacing w:after="0" w:line="240" w:lineRule="auto"/>
        <w:jc w:val="both"/>
        <w:rPr>
          <w:rFonts w:ascii="Times New Roman" w:hAnsi="Times New Roman"/>
          <w:color w:val="000000" w:themeColor="text1"/>
          <w:sz w:val="16"/>
          <w:szCs w:val="16"/>
        </w:rPr>
      </w:pPr>
    </w:p>
    <w:p w14:paraId="079C5542" w14:textId="77777777" w:rsidR="00285B16" w:rsidRPr="00640820" w:rsidRDefault="00285B16" w:rsidP="00640820">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13 декабря 1941 г. Болгария вместе с Румынией и Словакией объявила войну Англии и США. Однако участие Болгарии в войне 1941-1944 гг. свелось к па</w:t>
      </w:r>
      <w:r w:rsidRPr="00640820">
        <w:rPr>
          <w:rFonts w:ascii="Times New Roman" w:hAnsi="Times New Roman" w:cs="Times New Roman"/>
          <w:color w:val="000000" w:themeColor="text1"/>
          <w:sz w:val="16"/>
          <w:szCs w:val="16"/>
        </w:rPr>
        <w:softHyphen/>
        <w:t>трулированию малыми судами и авиацией своих территориальных вод в Черном море и авиацией небольшого района Эгейского моря. Корабли и самолеты Болгарии несколько раз атаковали советские и британские подводные лодки, но не потопили ни одной. В свою очередь, до 5 сентября 1944 г. наши подводные лодки потопили несколько болгарских судов и высадили на болгарский берег не</w:t>
      </w:r>
      <w:r w:rsidRPr="00640820">
        <w:rPr>
          <w:rFonts w:ascii="Times New Roman" w:hAnsi="Times New Roman" w:cs="Times New Roman"/>
          <w:color w:val="000000" w:themeColor="text1"/>
          <w:sz w:val="16"/>
          <w:szCs w:val="16"/>
        </w:rPr>
        <w:softHyphen/>
        <w:t>сколько групп диверсантов (19104).</w:t>
      </w:r>
    </w:p>
    <w:p w14:paraId="137F772E" w14:textId="77777777" w:rsidR="00285B16" w:rsidRPr="00640820" w:rsidRDefault="00285B16" w:rsidP="00640820">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1C0BEE03" w14:textId="77777777" w:rsidR="00285B16" w:rsidRPr="00640820" w:rsidRDefault="00285B16" w:rsidP="00640820">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lastRenderedPageBreak/>
        <w:t xml:space="preserve">К 13 декабря 1941 г. в составе болгарской авиации имелось 102 истребителя. Из них 73 - «Авиа» В-534 «Доган» (болгарское название), 18 - ВМ09Е «Стрела» и И - </w:t>
      </w:r>
      <w:r w:rsidRPr="00640820">
        <w:rPr>
          <w:rFonts w:ascii="Times New Roman" w:hAnsi="Times New Roman" w:cs="Times New Roman"/>
          <w:color w:val="000000" w:themeColor="text1"/>
          <w:sz w:val="16"/>
          <w:szCs w:val="16"/>
          <w:lang w:val="en-US"/>
        </w:rPr>
        <w:t>PZL</w:t>
      </w:r>
      <w:r w:rsidRPr="00640820">
        <w:rPr>
          <w:rFonts w:ascii="Times New Roman" w:hAnsi="Times New Roman" w:cs="Times New Roman"/>
          <w:color w:val="000000" w:themeColor="text1"/>
          <w:sz w:val="16"/>
          <w:szCs w:val="16"/>
        </w:rPr>
        <w:t xml:space="preserve"> Р-24В «Ястреб». Всего в составе болгарской авиации, включая транспортные и учебно- тренировочные машины, был 561 самолет.</w:t>
      </w:r>
    </w:p>
    <w:p w14:paraId="10B6BBD0" w14:textId="77777777" w:rsidR="00285B16" w:rsidRPr="00640820" w:rsidRDefault="00285B16" w:rsidP="00640820">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Зимой 1941/42 г. Германия передала болгарской авиации девять В</w:t>
      </w:r>
      <w:r w:rsidRPr="00640820">
        <w:rPr>
          <w:rFonts w:ascii="Times New Roman" w:hAnsi="Times New Roman" w:cs="Times New Roman"/>
          <w:color w:val="000000" w:themeColor="text1"/>
          <w:sz w:val="16"/>
          <w:szCs w:val="16"/>
          <w:lang w:val="en-US"/>
        </w:rPr>
        <w:t>f</w:t>
      </w:r>
      <w:r w:rsidRPr="00640820">
        <w:rPr>
          <w:rFonts w:ascii="Times New Roman" w:hAnsi="Times New Roman" w:cs="Times New Roman"/>
          <w:color w:val="000000" w:themeColor="text1"/>
          <w:sz w:val="16"/>
          <w:szCs w:val="16"/>
        </w:rPr>
        <w:t xml:space="preserve">109Е-7, после чего поставки немецких самолетов прекратились. Сказывалось тяжелое положение немцев на Восточном фронте. Лишь в марте 1943 г. Германия поставила Болгарии 16 </w:t>
      </w:r>
      <w:r w:rsidRPr="00640820">
        <w:rPr>
          <w:rFonts w:ascii="Times New Roman" w:hAnsi="Times New Roman" w:cs="Times New Roman"/>
          <w:color w:val="000000" w:themeColor="text1"/>
          <w:sz w:val="16"/>
          <w:szCs w:val="16"/>
          <w:lang w:val="en-US"/>
        </w:rPr>
        <w:t>Bf</w:t>
      </w:r>
      <w:r w:rsidRPr="00640820">
        <w:rPr>
          <w:rFonts w:ascii="Times New Roman" w:hAnsi="Times New Roman" w:cs="Times New Roman"/>
          <w:color w:val="000000" w:themeColor="text1"/>
          <w:sz w:val="16"/>
          <w:szCs w:val="16"/>
        </w:rPr>
        <w:t>-109</w:t>
      </w:r>
      <w:r w:rsidRPr="00640820">
        <w:rPr>
          <w:rFonts w:ascii="Times New Roman" w:hAnsi="Times New Roman" w:cs="Times New Roman"/>
          <w:color w:val="000000" w:themeColor="text1"/>
          <w:sz w:val="16"/>
          <w:szCs w:val="16"/>
          <w:lang w:val="en-US"/>
        </w:rPr>
        <w:t>G</w:t>
      </w:r>
      <w:r w:rsidRPr="00640820">
        <w:rPr>
          <w:rFonts w:ascii="Times New Roman" w:hAnsi="Times New Roman" w:cs="Times New Roman"/>
          <w:color w:val="000000" w:themeColor="text1"/>
          <w:sz w:val="16"/>
          <w:szCs w:val="16"/>
        </w:rPr>
        <w:t>-2, а летом - еще 13 таких машин.</w:t>
      </w:r>
    </w:p>
    <w:p w14:paraId="4D4FE26B" w14:textId="77777777" w:rsidR="00285B16" w:rsidRPr="00640820" w:rsidRDefault="00285B16" w:rsidP="00640820">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Кроме того, было поставлено несколько десятков зенитных ору</w:t>
      </w:r>
      <w:r w:rsidRPr="00640820">
        <w:rPr>
          <w:rFonts w:ascii="Times New Roman" w:hAnsi="Times New Roman" w:cs="Times New Roman"/>
          <w:color w:val="000000" w:themeColor="text1"/>
          <w:sz w:val="16"/>
          <w:szCs w:val="16"/>
        </w:rPr>
        <w:softHyphen/>
        <w:t>дий. Немцы развернули в Болгарии сеть из восьми РЛС «Фрейя» (19104).</w:t>
      </w:r>
    </w:p>
    <w:p w14:paraId="0CAE0422" w14:textId="77777777" w:rsidR="00285B16" w:rsidRPr="00640820" w:rsidRDefault="00285B16" w:rsidP="00640820">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0AE136FD"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декабря 1941 из-за массовых горных оползней в горах Перу погибло около трех тысяч человек (4962).</w:t>
      </w:r>
    </w:p>
    <w:p w14:paraId="7D0748F2"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865F3B"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0D0022E5"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947511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декабря 1941 г. в ходе восковых испытаний ракетно-бронебойных снарядов РБС-82, РБС-132 и ракетно-осколочно-фугасных РОФС-132 на базе 47-й авиади</w:t>
      </w:r>
      <w:r w:rsidRPr="00640820">
        <w:rPr>
          <w:rFonts w:ascii="Times New Roman" w:hAnsi="Times New Roman"/>
          <w:color w:val="000000" w:themeColor="text1"/>
          <w:sz w:val="16"/>
          <w:szCs w:val="16"/>
        </w:rPr>
        <w:softHyphen/>
        <w:t>визии Западного фронта летчики 312-го штурмового авиаполка подпол</w:t>
      </w:r>
      <w:r w:rsidRPr="00640820">
        <w:rPr>
          <w:rFonts w:ascii="Times New Roman" w:hAnsi="Times New Roman"/>
          <w:color w:val="000000" w:themeColor="text1"/>
          <w:sz w:val="16"/>
          <w:szCs w:val="16"/>
        </w:rPr>
        <w:softHyphen/>
        <w:t>ковника Поморцева, которые проходили в период с 22 ноября 1941 г. по 22 января 1942 г., состоялся боевой вылет старшего лейтенанта Баранова на Ил-2 с 4хРБС-132. Огонь по грузовикам и средним тан</w:t>
      </w:r>
      <w:r w:rsidRPr="00640820">
        <w:rPr>
          <w:rFonts w:ascii="Times New Roman" w:hAnsi="Times New Roman"/>
          <w:color w:val="000000" w:themeColor="text1"/>
          <w:sz w:val="16"/>
          <w:szCs w:val="16"/>
        </w:rPr>
        <w:softHyphen/>
        <w:t>кам он вел сначала залпом парой снарядов, а затем одиночными выстре</w:t>
      </w:r>
      <w:r w:rsidRPr="00640820">
        <w:rPr>
          <w:rFonts w:ascii="Times New Roman" w:hAnsi="Times New Roman"/>
          <w:color w:val="000000" w:themeColor="text1"/>
          <w:sz w:val="16"/>
          <w:szCs w:val="16"/>
        </w:rPr>
        <w:softHyphen/>
        <w:t xml:space="preserve">лами. Прямыми попаданиями были выведены из строя два танка и два автомобиля. Один из снарядов в самом центре прошил грузовик, крытый .тентом, и взорвался в грунте под ним. Второй, по-видимому, попал </w:t>
      </w:r>
      <w:r w:rsidRPr="00640820">
        <w:rPr>
          <w:rFonts w:ascii="Times New Roman" w:hAnsi="Times New Roman"/>
          <w:color w:val="000000" w:themeColor="text1"/>
          <w:sz w:val="16"/>
          <w:szCs w:val="16"/>
          <w:vertAlign w:val="superscript"/>
        </w:rPr>
        <w:t>в</w:t>
      </w:r>
      <w:r w:rsidRPr="00640820">
        <w:rPr>
          <w:rFonts w:ascii="Times New Roman" w:hAnsi="Times New Roman"/>
          <w:color w:val="000000" w:themeColor="text1"/>
          <w:sz w:val="16"/>
          <w:szCs w:val="16"/>
        </w:rPr>
        <w:t xml:space="preserve"> бензобак соседнего грузовика, поскольку вызвал сильный взрыв и большой пожар. Остальные два снаряда угодили в танки, но характер Разрушений оценить не удалось, так как дистанция стрельбы была 500-600 м с небольшим пикированием под углом 7-10° на скорости 330 км/ч.</w:t>
      </w:r>
    </w:p>
    <w:p w14:paraId="1FFF4F3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Чтобы проследить действие боеприпасов по цели, старший лейтенант настаивал на увеличении дистанции стрельбы, а боеприпасы такого ро</w:t>
      </w:r>
      <w:r w:rsidRPr="00640820">
        <w:rPr>
          <w:rFonts w:ascii="Times New Roman" w:hAnsi="Times New Roman"/>
          <w:color w:val="000000" w:themeColor="text1"/>
          <w:sz w:val="16"/>
          <w:szCs w:val="16"/>
        </w:rPr>
        <w:softHyphen/>
        <w:t>да рекомендовал применять исключительно по бронецелям (11402).</w:t>
      </w:r>
    </w:p>
    <w:p w14:paraId="208E41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C83F8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декабря 1941 Зам. НКАП Дементьев писал письмо N К-5196 Нач. 10 Управления ГУ ВВС КА би Бибикову на N 198642с от 19 декабря 1941 о том, что задел Су-2 на 135 заводе будет выпущен в нормальном варианте. Выпуск Су-2 в варианте разведчика и корректировщика потребует ряда переделок, что отразится на завершении задела Су-2 и подготовке выпуска Ил-2 (2636,38).</w:t>
      </w:r>
    </w:p>
    <w:p w14:paraId="3DD71F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0E0DF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декабря 1941 вышло Постановление ГКО № 1027 Вопросы НКАП. (Перевод НКАП под контроль членов ГКО). РГАНИР, Фонд ГКО, д. 16, лл. 96 (11012).</w:t>
      </w:r>
    </w:p>
    <w:p w14:paraId="4DE15A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96C73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ГКО при</w:t>
      </w:r>
      <w:r w:rsidRPr="00640820">
        <w:rPr>
          <w:rFonts w:ascii="Times New Roman" w:hAnsi="Times New Roman"/>
          <w:color w:val="000000" w:themeColor="text1"/>
          <w:sz w:val="16"/>
          <w:szCs w:val="16"/>
        </w:rPr>
        <w:softHyphen/>
        <w:t>нял специальное постановление «Вопросы НКАП», в кото</w:t>
      </w:r>
      <w:r w:rsidRPr="00640820">
        <w:rPr>
          <w:rFonts w:ascii="Times New Roman" w:hAnsi="Times New Roman"/>
          <w:color w:val="000000" w:themeColor="text1"/>
          <w:sz w:val="16"/>
          <w:szCs w:val="16"/>
        </w:rPr>
        <w:softHyphen/>
        <w:t>ром, помимо прочего, говорилось: «Ввиду того, что НКАП стал работать в последнее время из рук вон плохо, провалил все планы производства и выдачи самолётов и моторов и под</w:t>
      </w:r>
      <w:r w:rsidRPr="00640820">
        <w:rPr>
          <w:rFonts w:ascii="Times New Roman" w:hAnsi="Times New Roman"/>
          <w:color w:val="000000" w:themeColor="text1"/>
          <w:sz w:val="16"/>
          <w:szCs w:val="16"/>
        </w:rPr>
        <w:softHyphen/>
        <w:t>вёл тем самым страну и Красную Армию, Государственный Комитет Обороны постановляет:</w:t>
      </w:r>
    </w:p>
    <w:p w14:paraId="309228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Поставить НКАП под контроль членов ГКО тт. Берия и Маленкова, обязав этих товарищей принять все необходимые срочные меры для развёртывания производства самолётов...</w:t>
      </w:r>
    </w:p>
    <w:p w14:paraId="721650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Обязать наркома авиапромышленности и его замов бес</w:t>
      </w:r>
      <w:r w:rsidRPr="00640820">
        <w:rPr>
          <w:rFonts w:ascii="Times New Roman" w:hAnsi="Times New Roman"/>
          <w:color w:val="000000" w:themeColor="text1"/>
          <w:sz w:val="16"/>
          <w:szCs w:val="16"/>
        </w:rPr>
        <w:softHyphen/>
        <w:t>прекословно выполнять все указания тт. Берия и Маленкова по производству моторов, самолётов и всякого рода агрега</w:t>
      </w:r>
      <w:r w:rsidRPr="00640820">
        <w:rPr>
          <w:rFonts w:ascii="Times New Roman" w:hAnsi="Times New Roman"/>
          <w:color w:val="000000" w:themeColor="text1"/>
          <w:sz w:val="16"/>
          <w:szCs w:val="16"/>
        </w:rPr>
        <w:softHyphen/>
        <w:t>тов. ...» (Куманёв Г.А. Говорят сталинские наркомы. Смоленск, 2005. С. 215.) (12011).</w:t>
      </w:r>
    </w:p>
    <w:p w14:paraId="5D14CB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Специально подчёркивалась важность и срочность сооружения в районе Москвы новых авиастрои</w:t>
      </w:r>
      <w:r w:rsidRPr="00640820">
        <w:rPr>
          <w:rFonts w:ascii="Times New Roman" w:hAnsi="Times New Roman"/>
          <w:color w:val="000000" w:themeColor="text1"/>
          <w:sz w:val="16"/>
          <w:szCs w:val="16"/>
        </w:rPr>
        <w:softHyphen/>
        <w:t>тельных заводов (Куманёв Г.А. Говорят сталинские наркомы. Смоленск, 2002. С. 212) (12011).</w:t>
      </w:r>
    </w:p>
    <w:p w14:paraId="01C1B3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F22AA4A" w14:textId="77777777" w:rsidR="00173061" w:rsidRPr="00640820" w:rsidRDefault="00173061" w:rsidP="00640820">
      <w:pPr>
        <w:spacing w:after="0" w:line="240" w:lineRule="auto"/>
        <w:jc w:val="both"/>
        <w:rPr>
          <w:rFonts w:ascii="Times New Roman" w:hAnsi="Times New Roman"/>
          <w:color w:val="0070C0"/>
          <w:sz w:val="16"/>
          <w:szCs w:val="16"/>
          <w:lang w:eastAsia="ru-RU" w:bidi="ru-RU"/>
        </w:rPr>
      </w:pPr>
      <w:r w:rsidRPr="00640820">
        <w:rPr>
          <w:rFonts w:ascii="Times New Roman" w:hAnsi="Times New Roman"/>
          <w:color w:val="0070C0"/>
          <w:sz w:val="16"/>
          <w:szCs w:val="16"/>
          <w:lang w:eastAsia="ru-RU" w:bidi="ru-RU"/>
        </w:rPr>
        <w:t>14 дека</w:t>
      </w:r>
      <w:r w:rsidRPr="00640820">
        <w:rPr>
          <w:rFonts w:ascii="Times New Roman" w:hAnsi="Times New Roman"/>
          <w:color w:val="0070C0"/>
          <w:sz w:val="16"/>
          <w:szCs w:val="16"/>
          <w:lang w:eastAsia="ru-RU" w:bidi="ru-RU"/>
        </w:rPr>
        <w:softHyphen/>
        <w:t>бря 1941 И.В. Сталин подписал постановление, в котором говорилось: «...Наркомат авиа</w:t>
      </w:r>
      <w:r w:rsidRPr="00640820">
        <w:rPr>
          <w:rFonts w:ascii="Times New Roman" w:hAnsi="Times New Roman"/>
          <w:color w:val="0070C0"/>
          <w:sz w:val="16"/>
          <w:szCs w:val="16"/>
          <w:lang w:eastAsia="ru-RU" w:bidi="ru-RU"/>
        </w:rPr>
        <w:softHyphen/>
        <w:t>промышленности стал работать в послед</w:t>
      </w:r>
      <w:r w:rsidRPr="00640820">
        <w:rPr>
          <w:rFonts w:ascii="Times New Roman" w:hAnsi="Times New Roman"/>
          <w:color w:val="0070C0"/>
          <w:sz w:val="16"/>
          <w:szCs w:val="16"/>
          <w:lang w:eastAsia="ru-RU" w:bidi="ru-RU"/>
        </w:rPr>
        <w:softHyphen/>
        <w:t>нее время из рук вон плохо, провалил все планы производства и выдачи самолетов и подвел таким образом страну и Крас</w:t>
      </w:r>
      <w:r w:rsidRPr="00640820">
        <w:rPr>
          <w:rFonts w:ascii="Times New Roman" w:hAnsi="Times New Roman"/>
          <w:color w:val="0070C0"/>
          <w:sz w:val="16"/>
          <w:szCs w:val="16"/>
          <w:lang w:eastAsia="ru-RU" w:bidi="ru-RU"/>
        </w:rPr>
        <w:softHyphen/>
        <w:t>ную Армию...» (21061).</w:t>
      </w:r>
    </w:p>
    <w:p w14:paraId="0FEB8C49" w14:textId="77777777" w:rsidR="00173061" w:rsidRPr="00640820" w:rsidRDefault="00173061" w:rsidP="00640820">
      <w:pPr>
        <w:spacing w:after="0" w:line="240" w:lineRule="auto"/>
        <w:jc w:val="both"/>
        <w:rPr>
          <w:rFonts w:ascii="Times New Roman" w:hAnsi="Times New Roman"/>
          <w:color w:val="0070C0"/>
          <w:sz w:val="16"/>
          <w:szCs w:val="16"/>
          <w:lang w:eastAsia="ru-RU" w:bidi="ru-RU"/>
        </w:rPr>
      </w:pPr>
    </w:p>
    <w:p w14:paraId="7F1932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декабря 1941 г. приказ НКАП приказал присвоить Мебельной фабрике № 4 наименование «Завод №388». Директор мебельной фабрики В.Е.Мурков остался и директором завода №388 (10752).</w:t>
      </w:r>
    </w:p>
    <w:p w14:paraId="04A2E9A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8E9B7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декабря 1941 г. вслед за передачей предприятия в авиапром нарком А.Шахурин приказал присвоить предприятию наименование «Завод №388». Директор мебельной фабрики В.Е.Мурков остался и директором завода №388.</w:t>
      </w:r>
    </w:p>
    <w:p w14:paraId="392FC1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История завода в годы Великой Отечественной войны отражает все трудности, неразбериху и чиновную суету того времени. Приказы о мобилизации и бронировании рабочей силы, эвакуации и реэвакуации оборудования, изменении профиля продукции и т.п. противоречили и меняли друг друга, не успев поступить к исполнению. Только завод №388 наладил производство лыж, как выяснилось, что зимой аэродромы проще укатывать, чем оснащать боевые самолеты лыжами. Завод №388 перешел на выпуск воздушно-десантного оборудования, и заводские бригады приступили к ремонту планеров А-7 на аэродроме «Медвежьи озера».</w:t>
      </w:r>
    </w:p>
    <w:p w14:paraId="7820DA9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Примерно в это время, в связи с нехваткой на фронте бомбардировщиков, среди авиационных специалистов получила развитие идея планера — воздушного прицепа. Концепция предусматривала буксировку боевым самолетом на жесткой штанге-«дышле» беспилотного планера с тяжелой авиабомбой на борту. При подлете к цели летчик самолета-буксировщика отцеплял воздушный прицеп или сбрасывал с него бомбу. За разработку такого нового вида оружия взялся главный конструктор О.К.Антонов, построивший и успешно испытавший в феврале 1942 г. в Тюмени первый прототип воздушного прицепа. Вскоре Антонов вернулся в Москву из эвакуации, и на заводе №388 был организован опытный цех под руководством инженера Синягина. Здесь создавались два летательных аппарата: воздушный прицеп истребительный ВПИ, или А-ИП, и воздушный прицеп бомбардировочный ВПБ, или А-БП. Они различались размерами и представляли собой бесфюзеляжные летательные аппараты с прямым крылом, вертикальным оперением и шасси на высоких стойках, закрытых обтекателями. Между стойками шасси к крылу подвешивалась бомба. Воздушные прицепы можно считать первыми летательными аппаратами, созданными на будущем ''МВЗ им. М.Л.Миля''. Летчик-испытатель М.Л.Галлай опробовал в ЛИИ в мае-июне 1942 г. буксировку ВПИ за истребителем ЛаГГ-3 и «кукурузником» По-2. Прицеп поступил в серийное производство. Всего завод №388 построил 22 воздушных прицепа.</w:t>
      </w:r>
    </w:p>
    <w:p w14:paraId="1F6FD9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сожалению, практического применения воздушные прицепы не получили из-за сложности обучения их буксировке — планер сильно раскачивал самолет. Озабоченное загрузкой производственных мощностей завода №388 руководство НКАП решило, в соответствии с актуальной в то время программой замены дюралюминиевых частей самолетов на более дешевые деревянные, попутно выпускать на заводе какие-либо деревянные агрегаты. Сначала на завод пришел приказ об освоении выпуска крыльев для истребителя Як-7, но уже через несколько дней вместо него поступило распоряжение начать строительство фюзеляжей пикирующего бомбардировщика Пе-2 для казанского авиазавода №22. Однако испытания Пе-2, оснащенных тяжелыми деревянными фюзеляжами, показали их непригодность для боевого использования. После сдачи 36-го фюзеляжа их выпуск на заводе №388 прекратили. В конце августа 1942 г. опытный цех воздушно-десантного оборудования переехал с завода №388 на завод №464 в Тушино и вскоре завод на 2-й Рыбинской перестал существовать как самостоятельное предприятие (11242).</w:t>
      </w:r>
    </w:p>
    <w:p w14:paraId="20F913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E640D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декабря 1941 г. по приказу № 1164с на площадке бывшей мебельной фабрики № 4 НКлеса в начале 1942 г. был образован завод № 388 в системе 6ГУ НКАП для обеспечения выпуска авиационных лыж.</w:t>
      </w:r>
    </w:p>
    <w:p w14:paraId="2F625C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Планировалось организовать производство крыльев для Як-3, деревянных агрегатов для Пе-2 и МиГ-3.</w:t>
      </w:r>
    </w:p>
    <w:p w14:paraId="6B954C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 приказу № 300с от 20.04.1942 г. завод передан из 6ГУ в 11ГУ, планировалось наладить ремонт десантно- транспортного имущества ВДВ КА. С середины 1942 г. началось производство воздушных прицепов ВП-И, ВП-Б конструкции </w:t>
      </w:r>
      <w:r w:rsidRPr="00640820">
        <w:rPr>
          <w:rFonts w:ascii="Times New Roman" w:hAnsi="Times New Roman"/>
          <w:color w:val="000000" w:themeColor="text1"/>
          <w:sz w:val="16"/>
          <w:szCs w:val="16"/>
          <w:lang w:val="en-US"/>
        </w:rPr>
        <w:t>O</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K</w:t>
      </w:r>
      <w:r w:rsidRPr="00640820">
        <w:rPr>
          <w:rFonts w:ascii="Times New Roman" w:hAnsi="Times New Roman"/>
          <w:color w:val="000000" w:themeColor="text1"/>
          <w:sz w:val="16"/>
          <w:szCs w:val="16"/>
        </w:rPr>
        <w:t>. Антонова.</w:t>
      </w:r>
    </w:p>
    <w:p w14:paraId="59B591E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707с от 16.09.1942 г. завод № 388 влит в состав завода № 464 НКАП.</w:t>
      </w:r>
    </w:p>
    <w:p w14:paraId="25AAB7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(03.1942 г.)- В.Е. Мурков.</w:t>
      </w:r>
    </w:p>
    <w:p w14:paraId="2154B4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Начальник КО (середина-конец 1942 г.)- </w:t>
      </w:r>
      <w:r w:rsidRPr="00640820">
        <w:rPr>
          <w:rFonts w:ascii="Times New Roman" w:hAnsi="Times New Roman"/>
          <w:color w:val="000000" w:themeColor="text1"/>
          <w:sz w:val="16"/>
          <w:szCs w:val="16"/>
          <w:lang w:val="en-US"/>
        </w:rPr>
        <w:t>O</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K</w:t>
      </w:r>
      <w:r w:rsidRPr="00640820">
        <w:rPr>
          <w:rFonts w:ascii="Times New Roman" w:hAnsi="Times New Roman"/>
          <w:color w:val="000000" w:themeColor="text1"/>
          <w:sz w:val="16"/>
          <w:szCs w:val="16"/>
        </w:rPr>
        <w:t>. Антонов (11982).</w:t>
      </w:r>
    </w:p>
    <w:p w14:paraId="499B6263" w14:textId="77777777" w:rsidR="00F575EB" w:rsidRPr="00640820" w:rsidRDefault="00F575EB" w:rsidP="00640820">
      <w:pPr>
        <w:autoSpaceDE w:val="0"/>
        <w:autoSpaceDN w:val="0"/>
        <w:adjustRightInd w:val="0"/>
        <w:spacing w:after="0" w:line="240" w:lineRule="auto"/>
        <w:jc w:val="both"/>
        <w:rPr>
          <w:rFonts w:ascii="Times New Roman" w:hAnsi="Times New Roman"/>
          <w:color w:val="000000" w:themeColor="text1"/>
          <w:sz w:val="16"/>
          <w:szCs w:val="16"/>
        </w:rPr>
      </w:pPr>
    </w:p>
    <w:p w14:paraId="691A5C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декабря 1941 г. по приказу № 1164с в Москве на площадке бывшей фабрики № 6 НКлеса был образован Завод № 457 НКАП /г. Москва Наставнический пер., 3 (02.1942 г.)/. Производство деревянных деталей для Пе-2, МиГ-3.</w:t>
      </w:r>
    </w:p>
    <w:p w14:paraId="334E75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707с от 16.09.1942 г. завод влит в состав завода № 464 НКАП и выбыл из числа действующих.</w:t>
      </w:r>
    </w:p>
    <w:p w14:paraId="640AEC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(1941 г.-)- И.К. Лукичев (11982).</w:t>
      </w:r>
    </w:p>
    <w:p w14:paraId="122C5E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B2A8F4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декабря 1941 г. на площадке переданной в НКАП мебельной фабрики № 2 им. Мазевского НКлеса по приказу № 1164с был создан новый завод № 165 в системе 6ГУ НКАП для производства авиационных лыж.</w:t>
      </w:r>
    </w:p>
    <w:p w14:paraId="3AC798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159с от 27.02.1942 г. завод № 165 переименован в ГС завод № 497.</w:t>
      </w:r>
    </w:p>
    <w:p w14:paraId="163D83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(12.1941 г.-)- Д.И. Степин (11982).</w:t>
      </w:r>
    </w:p>
    <w:p w14:paraId="50DF4B77" w14:textId="77777777" w:rsidR="00F575EB" w:rsidRPr="00640820" w:rsidRDefault="00F575EB" w:rsidP="00640820">
      <w:pPr>
        <w:autoSpaceDE w:val="0"/>
        <w:autoSpaceDN w:val="0"/>
        <w:adjustRightInd w:val="0"/>
        <w:spacing w:after="0" w:line="240" w:lineRule="auto"/>
        <w:jc w:val="both"/>
        <w:rPr>
          <w:rFonts w:ascii="Times New Roman" w:hAnsi="Times New Roman"/>
          <w:color w:val="000000" w:themeColor="text1"/>
          <w:sz w:val="16"/>
          <w:szCs w:val="16"/>
        </w:rPr>
      </w:pPr>
    </w:p>
    <w:p w14:paraId="215EEB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декабря 1941 г. на площадке мебельной фабрики № 3 НКлеса по приказу НКАП № 1164с в Москве был основан новый завод № 169 для выпуска авиационных лыж (Завод № 169 НКАП /г. Москва ул. Ольховская, 4 (1942 г.)/).</w:t>
      </w:r>
    </w:p>
    <w:p w14:paraId="517B5E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приказам № 39с от 15.01.1942 г. и № 154с от 27.02.1942 г. в состав завода № 169 НКАП включена площадка завода № 45 НКАП (ул. Ольховская, 14; бывшие мастерские МАВИАТ) со всем оборудованием и кадрами в качестве механических цехов.</w:t>
      </w:r>
    </w:p>
    <w:p w14:paraId="04EE48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627с от 13.08.1942 г. завод был разделен: деревообрабатывающие цеха (бывшая мебельная фабрика) переданы в качестве филиала заводу № 30 для изготовления деревянных частей самолетов и переведены из 6ГУ в ЮГУ; механические цеха оставлены в 6ГУ (планировалось передать их заводу № 482 НКАП).</w:t>
      </w:r>
    </w:p>
    <w:p w14:paraId="446CFA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(12.1941 г.-)- А.А. Ткаченко (11982).</w:t>
      </w:r>
    </w:p>
    <w:p w14:paraId="23E077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5546DF1" w14:textId="77777777" w:rsidR="005B05F8" w:rsidRPr="00640820" w:rsidRDefault="005B05F8"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14 декабря 1941 г. в ходе войсковых испытаний (вторых по счету) реактивных снарядов РБС-82, РБС-132 и РОФС-132 в 47-й сад старший лейтенант Баранов из 312-го шап реактивными снарядами РБС-132 с планирования под углом 7—10° атаковал колонну автомашин и средних танков. Стрельба велась оди</w:t>
      </w:r>
      <w:r w:rsidRPr="00640820">
        <w:rPr>
          <w:color w:val="000000" w:themeColor="text1"/>
          <w:sz w:val="16"/>
          <w:szCs w:val="16"/>
        </w:rPr>
        <w:softHyphen/>
        <w:t>ночными выстрелами с дистанции 800—900 м. Пря</w:t>
      </w:r>
      <w:r w:rsidRPr="00640820">
        <w:rPr>
          <w:color w:val="000000" w:themeColor="text1"/>
          <w:sz w:val="16"/>
          <w:szCs w:val="16"/>
        </w:rPr>
        <w:softHyphen/>
        <w:t>мыми попаданиями были поражены 2 автомашины и 2 танка. Один РБС прошел через середину кры</w:t>
      </w:r>
      <w:r w:rsidRPr="00640820">
        <w:rPr>
          <w:color w:val="000000" w:themeColor="text1"/>
          <w:sz w:val="16"/>
          <w:szCs w:val="16"/>
        </w:rPr>
        <w:softHyphen/>
        <w:t>той автомашины и разорвался на земле около нее, второй — произвел сильный взрыв автомашины и вызвал большой пожар. Два других РБС-132 по</w:t>
      </w:r>
      <w:r w:rsidRPr="00640820">
        <w:rPr>
          <w:color w:val="000000" w:themeColor="text1"/>
          <w:sz w:val="16"/>
          <w:szCs w:val="16"/>
        </w:rPr>
        <w:softHyphen/>
        <w:t>пали в танки, но характер разрушения, нанесенный танкам, из-за малой высоты полета и малой дис</w:t>
      </w:r>
      <w:r w:rsidRPr="00640820">
        <w:rPr>
          <w:color w:val="000000" w:themeColor="text1"/>
          <w:sz w:val="16"/>
          <w:szCs w:val="16"/>
        </w:rPr>
        <w:softHyphen/>
        <w:t>танции стрельбы проследить не удалось. В отчете о применении РБС-132 Баранов указал, что РБС-132 целесообразно применять только по бронирован</w:t>
      </w:r>
      <w:r w:rsidRPr="00640820">
        <w:rPr>
          <w:color w:val="000000" w:themeColor="text1"/>
          <w:sz w:val="16"/>
          <w:szCs w:val="16"/>
        </w:rPr>
        <w:softHyphen/>
        <w:t>ным целям.</w:t>
      </w:r>
    </w:p>
    <w:p w14:paraId="430AA299" w14:textId="77777777" w:rsidR="005B05F8" w:rsidRPr="00640820" w:rsidRDefault="005B05F8"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20 декабря 1941 г. однополчанин Баранова командир эскадрильи капитан Заноздра осуще</w:t>
      </w:r>
      <w:r w:rsidRPr="00640820">
        <w:rPr>
          <w:color w:val="000000" w:themeColor="text1"/>
          <w:sz w:val="16"/>
          <w:szCs w:val="16"/>
        </w:rPr>
        <w:softHyphen/>
        <w:t>ствил пуск РБС-132 по автомашинам и 3—4 тан кам, находящимся на стоянке у отдельного дома. Стрельба велась с планирования под углом 10° с дистанции 600—800 м. Летчиком были отмечены большие огненные взрывы, кучность стрельбы — хорошая.</w:t>
      </w:r>
    </w:p>
    <w:p w14:paraId="0A0C9EBA" w14:textId="77777777" w:rsidR="005B05F8" w:rsidRPr="00640820" w:rsidRDefault="005B05F8"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24 декабря 1941 г. 3 летчика дивизии успешно атаковали реактивными снарядами наземные цели.</w:t>
      </w:r>
    </w:p>
    <w:p w14:paraId="21320290" w14:textId="77777777" w:rsidR="005B05F8" w:rsidRPr="00640820" w:rsidRDefault="005B05F8"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Лейтенант Уваров с планирования под углом 5—7° с дистанции 400—550 м вел стрельбу по тан</w:t>
      </w:r>
      <w:r w:rsidRPr="00640820">
        <w:rPr>
          <w:color w:val="000000" w:themeColor="text1"/>
          <w:sz w:val="16"/>
          <w:szCs w:val="16"/>
        </w:rPr>
        <w:softHyphen/>
        <w:t>кам и автомашинам. Снаряды легли в районе цели на расстоянии 1—2 м один от другого. После попа</w:t>
      </w:r>
      <w:r w:rsidRPr="00640820">
        <w:rPr>
          <w:color w:val="000000" w:themeColor="text1"/>
          <w:sz w:val="16"/>
          <w:szCs w:val="16"/>
        </w:rPr>
        <w:softHyphen/>
        <w:t>дания в дом, около которого были танки и автома</w:t>
      </w:r>
      <w:r w:rsidRPr="00640820">
        <w:rPr>
          <w:color w:val="000000" w:themeColor="text1"/>
          <w:sz w:val="16"/>
          <w:szCs w:val="16"/>
        </w:rPr>
        <w:softHyphen/>
        <w:t>шины, последовал сильный взрыв, сопровождаю</w:t>
      </w:r>
      <w:r w:rsidRPr="00640820">
        <w:rPr>
          <w:color w:val="000000" w:themeColor="text1"/>
          <w:sz w:val="16"/>
          <w:szCs w:val="16"/>
        </w:rPr>
        <w:softHyphen/>
        <w:t>щийся черным дымом. Дом взлетел на воздух.</w:t>
      </w:r>
    </w:p>
    <w:p w14:paraId="1699229C" w14:textId="77777777" w:rsidR="005B05F8" w:rsidRPr="00640820" w:rsidRDefault="005B05F8"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Капитан Фомин вел стрельбу РБС-82 с дистан</w:t>
      </w:r>
      <w:r w:rsidRPr="00640820">
        <w:rPr>
          <w:color w:val="000000" w:themeColor="text1"/>
          <w:sz w:val="16"/>
          <w:szCs w:val="16"/>
        </w:rPr>
        <w:softHyphen/>
        <w:t>ции 400—500 м с бреющего полета. Снаряды легли в 2—3 м друг от друга. При взрывах было много черного дыма, который не позволил рассмотреть количество пораженных целей.</w:t>
      </w:r>
    </w:p>
    <w:p w14:paraId="0BD17B6A" w14:textId="77777777" w:rsidR="005B05F8" w:rsidRPr="00640820" w:rsidRDefault="005B05F8"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Старшина Сидоренко атаковал группу танков и автомашин с дистанции 400—500 м. Угол плани</w:t>
      </w:r>
      <w:r w:rsidRPr="00640820">
        <w:rPr>
          <w:color w:val="000000" w:themeColor="text1"/>
          <w:sz w:val="16"/>
          <w:szCs w:val="16"/>
        </w:rPr>
        <w:softHyphen/>
        <w:t>рования 5—10°. Снаряды легли в радиусе 1—2 м друг от друга. Прямых попаданий в танки заметить не удалось, но движение колонны прекратилось.</w:t>
      </w:r>
    </w:p>
    <w:p w14:paraId="7E784295" w14:textId="77777777" w:rsidR="005B05F8" w:rsidRPr="00640820" w:rsidRDefault="005B05F8"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9 января 1942 г. капитан Заноздра 4 снарядами РОФС-132 с дистанции 600 м под углом планирова</w:t>
      </w:r>
      <w:r w:rsidRPr="00640820">
        <w:rPr>
          <w:color w:val="000000" w:themeColor="text1"/>
          <w:sz w:val="16"/>
          <w:szCs w:val="16"/>
        </w:rPr>
        <w:softHyphen/>
        <w:t>ния 5—6° атаковал 4 немецких танка. Разрывы сна</w:t>
      </w:r>
      <w:r w:rsidRPr="00640820">
        <w:rPr>
          <w:color w:val="000000" w:themeColor="text1"/>
          <w:sz w:val="16"/>
          <w:szCs w:val="16"/>
        </w:rPr>
        <w:softHyphen/>
        <w:t>рядов были в радиусе 50 м. Характер поражения заметить не удалось.</w:t>
      </w:r>
    </w:p>
    <w:p w14:paraId="669F4D5B" w14:textId="77777777" w:rsidR="005B05F8" w:rsidRPr="00640820" w:rsidRDefault="005B05F8"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В этот же день младший лейтенант Балашов вел стрельбу снарядами РОФС-132 по колонне ав</w:t>
      </w:r>
      <w:r w:rsidRPr="00640820">
        <w:rPr>
          <w:color w:val="000000" w:themeColor="text1"/>
          <w:sz w:val="16"/>
          <w:szCs w:val="16"/>
        </w:rPr>
        <w:softHyphen/>
        <w:t>томашин и повозок с дистанции 700 м. Снаряды упали посреди дороги, по которой двигалась ав</w:t>
      </w:r>
      <w:r w:rsidRPr="00640820">
        <w:rPr>
          <w:color w:val="000000" w:themeColor="text1"/>
          <w:sz w:val="16"/>
          <w:szCs w:val="16"/>
        </w:rPr>
        <w:softHyphen/>
        <w:t>токолонна, и вызвали большой взрыв. Силой взры</w:t>
      </w:r>
      <w:r w:rsidRPr="00640820">
        <w:rPr>
          <w:color w:val="000000" w:themeColor="text1"/>
          <w:sz w:val="16"/>
          <w:szCs w:val="16"/>
        </w:rPr>
        <w:softHyphen/>
        <w:t>ва обломки от автомашин подбросило на высоту до 70 м. Движение по дороге разорвалось метров на пятьдесят.</w:t>
      </w:r>
    </w:p>
    <w:p w14:paraId="08678663" w14:textId="77777777" w:rsidR="005B05F8" w:rsidRPr="00640820" w:rsidRDefault="005B05F8"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9 января 1942 г. старший лейтенант Баранов вы</w:t>
      </w:r>
      <w:r w:rsidRPr="00640820">
        <w:rPr>
          <w:color w:val="000000" w:themeColor="text1"/>
          <w:sz w:val="16"/>
          <w:szCs w:val="16"/>
        </w:rPr>
        <w:softHyphen/>
        <w:t>пустил по железнодорожному составу 7 РОФС-132. Атаку летчик произвел с юго-востока от железной дороги, а погрузка вагонов шла с северной сто</w:t>
      </w:r>
      <w:r w:rsidRPr="00640820">
        <w:rPr>
          <w:color w:val="000000" w:themeColor="text1"/>
          <w:sz w:val="16"/>
          <w:szCs w:val="16"/>
        </w:rPr>
        <w:softHyphen/>
        <w:t>роны. Первый залп из 2 снарядов был выполнен с дистанции 1000 м, снаряды прошли над вагонами и разорвались на площадке, где в ожидании по</w:t>
      </w:r>
      <w:r w:rsidRPr="00640820">
        <w:rPr>
          <w:color w:val="000000" w:themeColor="text1"/>
          <w:sz w:val="16"/>
          <w:szCs w:val="16"/>
        </w:rPr>
        <w:softHyphen/>
        <w:t>грузки скопилось большое количество автомашин и танков. Остальные 5 снарядов летчик выпустил непосредственно по вагонам и добился прямых попаданий. Всего было разбито 8 вагонов. В 2 ваго</w:t>
      </w:r>
      <w:r w:rsidRPr="00640820">
        <w:rPr>
          <w:color w:val="000000" w:themeColor="text1"/>
          <w:sz w:val="16"/>
          <w:szCs w:val="16"/>
        </w:rPr>
        <w:softHyphen/>
        <w:t>нах произошел сильный взрыв, сопровождавший</w:t>
      </w:r>
      <w:r w:rsidRPr="00640820">
        <w:rPr>
          <w:color w:val="000000" w:themeColor="text1"/>
          <w:sz w:val="16"/>
          <w:szCs w:val="16"/>
        </w:rPr>
        <w:softHyphen/>
        <w:t>ся облаком дыма, другие же вагоны разлетелись в щепки.</w:t>
      </w:r>
    </w:p>
    <w:p w14:paraId="069B2DC7" w14:textId="77777777" w:rsidR="005B05F8" w:rsidRPr="00640820" w:rsidRDefault="005B05F8" w:rsidP="00640820">
      <w:pPr>
        <w:pStyle w:val="129"/>
        <w:shd w:val="clear" w:color="auto" w:fill="auto"/>
        <w:tabs>
          <w:tab w:val="left" w:pos="596"/>
        </w:tabs>
        <w:spacing w:after="0" w:line="240" w:lineRule="auto"/>
        <w:jc w:val="both"/>
        <w:rPr>
          <w:color w:val="000000" w:themeColor="text1"/>
          <w:sz w:val="16"/>
          <w:szCs w:val="16"/>
        </w:rPr>
      </w:pPr>
      <w:r w:rsidRPr="00640820">
        <w:rPr>
          <w:color w:val="000000" w:themeColor="text1"/>
          <w:sz w:val="16"/>
          <w:szCs w:val="16"/>
        </w:rPr>
        <w:t>11 января 1942 Балашов нанес удар по скоплению автомашин и живой силы в населенном пункте. Условия стрельбы те же, как и в предыдущем вы</w:t>
      </w:r>
      <w:r w:rsidRPr="00640820">
        <w:rPr>
          <w:color w:val="000000" w:themeColor="text1"/>
          <w:sz w:val="16"/>
          <w:szCs w:val="16"/>
        </w:rPr>
        <w:softHyphen/>
        <w:t>лете. Силой взрыва в центре скопления автомашин крупные части машин подбросило выше самолета, а стоящий вблизи дом частично разрушился и за</w:t>
      </w:r>
      <w:r w:rsidRPr="00640820">
        <w:rPr>
          <w:color w:val="000000" w:themeColor="text1"/>
          <w:sz w:val="16"/>
          <w:szCs w:val="16"/>
        </w:rPr>
        <w:softHyphen/>
        <w:t>горелся.</w:t>
      </w:r>
    </w:p>
    <w:p w14:paraId="0A37EC69" w14:textId="77777777" w:rsidR="005B05F8" w:rsidRPr="00640820" w:rsidRDefault="005B05F8" w:rsidP="00640820">
      <w:pPr>
        <w:pStyle w:val="129"/>
        <w:shd w:val="clear" w:color="auto" w:fill="auto"/>
        <w:tabs>
          <w:tab w:val="left" w:pos="591"/>
        </w:tabs>
        <w:spacing w:after="0" w:line="240" w:lineRule="auto"/>
        <w:jc w:val="both"/>
        <w:rPr>
          <w:color w:val="000000" w:themeColor="text1"/>
          <w:sz w:val="16"/>
          <w:szCs w:val="16"/>
        </w:rPr>
      </w:pPr>
      <w:r w:rsidRPr="00640820">
        <w:rPr>
          <w:color w:val="000000" w:themeColor="text1"/>
          <w:sz w:val="16"/>
          <w:szCs w:val="16"/>
        </w:rPr>
        <w:t>12 января 1942 стрельба РСами велась Балашовым также по скоплению живой силы и техники. Авто</w:t>
      </w:r>
      <w:r w:rsidRPr="00640820">
        <w:rPr>
          <w:color w:val="000000" w:themeColor="text1"/>
          <w:sz w:val="16"/>
          <w:szCs w:val="16"/>
        </w:rPr>
        <w:softHyphen/>
        <w:t>машины стояли замаскированными около домов, а людской состав, по-видимому, находился в домах. В результате прямых попаданий в дома последние разлетались в щепки и возникали пожары. Столб дыма и пыли поднялся над местами взрыва метров на тридцать.</w:t>
      </w:r>
    </w:p>
    <w:p w14:paraId="1E7525B4" w14:textId="77777777" w:rsidR="005B05F8" w:rsidRPr="00640820" w:rsidRDefault="005B05F8"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В этот же день старший лейтенант Баранов ата</w:t>
      </w:r>
      <w:r w:rsidRPr="00640820">
        <w:rPr>
          <w:color w:val="000000" w:themeColor="text1"/>
          <w:sz w:val="16"/>
          <w:szCs w:val="16"/>
        </w:rPr>
        <w:softHyphen/>
        <w:t>ковал колонну автомашин и гужевого транспорта немцев вблизи одного из населенных пунктов. По докладу летчика, было уничтожено около 15 под</w:t>
      </w:r>
      <w:r w:rsidRPr="00640820">
        <w:rPr>
          <w:color w:val="000000" w:themeColor="text1"/>
          <w:sz w:val="16"/>
          <w:szCs w:val="16"/>
        </w:rPr>
        <w:softHyphen/>
        <w:t>вод и автомашин с прислугой.</w:t>
      </w:r>
    </w:p>
    <w:p w14:paraId="0F342EA7" w14:textId="77777777" w:rsidR="005B05F8" w:rsidRPr="00640820" w:rsidRDefault="005B05F8"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Два реактивных снаряда летчик выпустил по ко</w:t>
      </w:r>
      <w:r w:rsidRPr="00640820">
        <w:rPr>
          <w:color w:val="000000" w:themeColor="text1"/>
          <w:sz w:val="16"/>
          <w:szCs w:val="16"/>
        </w:rPr>
        <w:softHyphen/>
        <w:t>лонне гужевого транспорта в составе до 35 подвод. Снаряды попали в середину колонны. По-видимому, в повозках были боеприпасы, так как произошел сильный взрыв и в воздух взлетели обломки по</w:t>
      </w:r>
      <w:r w:rsidRPr="00640820">
        <w:rPr>
          <w:color w:val="000000" w:themeColor="text1"/>
          <w:sz w:val="16"/>
          <w:szCs w:val="16"/>
        </w:rPr>
        <w:softHyphen/>
        <w:t>возок, куски лошадей и людей. Боясь повреждения самолета, Баранову пришлось резко «взять гор</w:t>
      </w:r>
      <w:r w:rsidRPr="00640820">
        <w:rPr>
          <w:color w:val="000000" w:themeColor="text1"/>
          <w:sz w:val="16"/>
          <w:szCs w:val="16"/>
        </w:rPr>
        <w:softHyphen/>
        <w:t>ку». Один РС был выпущен по дому, где скопилось много солдат противника. От прямого попадания дом совершенно развалился и загорелся, обломки взлетели на высоту до 50 м. Остальными снарядами были атакованы автомашины, которые разлетались в щепки и горели.</w:t>
      </w:r>
    </w:p>
    <w:p w14:paraId="5FEE825A" w14:textId="77777777" w:rsidR="005B05F8" w:rsidRPr="00640820" w:rsidRDefault="005B05F8"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В этот же день капитан Фомин снарядами РОФС-132 с высоты 15—20 м с дистанции 500— 450 м произвел эффектную стрельбу по скоплению автомашин в деревне. Летчик наблюдал сильные взрывы, черный дым и летящие обломки автома</w:t>
      </w:r>
      <w:r w:rsidRPr="00640820">
        <w:rPr>
          <w:color w:val="000000" w:themeColor="text1"/>
          <w:sz w:val="16"/>
          <w:szCs w:val="16"/>
        </w:rPr>
        <w:softHyphen/>
        <w:t>шин. Например, колесо от автомашины взлетело в воздух на высоту до 80 м примерно в 200 м впе</w:t>
      </w:r>
      <w:r w:rsidRPr="00640820">
        <w:rPr>
          <w:color w:val="000000" w:themeColor="text1"/>
          <w:sz w:val="16"/>
          <w:szCs w:val="16"/>
        </w:rPr>
        <w:softHyphen/>
        <w:t>реди самолета, чтобы избежать столкновения, капи</w:t>
      </w:r>
      <w:r w:rsidRPr="00640820">
        <w:rPr>
          <w:color w:val="000000" w:themeColor="text1"/>
          <w:sz w:val="16"/>
          <w:szCs w:val="16"/>
        </w:rPr>
        <w:softHyphen/>
        <w:t>тану пришлось отвернуть в сторону. По-видимому, снаряд попал в машину с боеприпасами.</w:t>
      </w:r>
    </w:p>
    <w:p w14:paraId="5C0B8DB0" w14:textId="77777777" w:rsidR="005B05F8" w:rsidRPr="00640820" w:rsidRDefault="005B05F8"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13 января 1942 г. лейтенант Коротков вел стрельбу реактивными снарядами по населенно</w:t>
      </w:r>
      <w:r w:rsidRPr="00640820">
        <w:rPr>
          <w:color w:val="000000" w:themeColor="text1"/>
          <w:sz w:val="16"/>
          <w:szCs w:val="16"/>
        </w:rPr>
        <w:softHyphen/>
        <w:t>му пункту и автомашинам в нем. Им было отмече</w:t>
      </w:r>
      <w:r w:rsidRPr="00640820">
        <w:rPr>
          <w:color w:val="000000" w:themeColor="text1"/>
          <w:sz w:val="16"/>
          <w:szCs w:val="16"/>
        </w:rPr>
        <w:softHyphen/>
        <w:t>но, что при попадании снаряда в деревянный дом последний разрушается и немедленно загорается, автомашины превращаются в обломки, которые взлетают выше самолета, и при стрельбе с малой дистанции возможно повреждение самолета.</w:t>
      </w:r>
    </w:p>
    <w:p w14:paraId="42476E5B" w14:textId="77777777" w:rsidR="005B05F8" w:rsidRPr="00640820" w:rsidRDefault="005B05F8"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В отчете о войсковых испытаниях реактивных снарядов РБС-82, РБС-132 и РОФС-132 в боевых ус</w:t>
      </w:r>
      <w:r w:rsidRPr="00640820">
        <w:rPr>
          <w:color w:val="000000" w:themeColor="text1"/>
          <w:sz w:val="16"/>
          <w:szCs w:val="16"/>
        </w:rPr>
        <w:softHyphen/>
        <w:t>ловиях летный состав 47-й сад сделал следующие выводы:</w:t>
      </w:r>
    </w:p>
    <w:p w14:paraId="49617598" w14:textId="77777777" w:rsidR="005B05F8" w:rsidRPr="00640820" w:rsidRDefault="005B05F8"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«1) РБС-82 является мощным оружием истреби</w:t>
      </w:r>
      <w:r w:rsidRPr="00640820">
        <w:rPr>
          <w:color w:val="000000" w:themeColor="text1"/>
          <w:sz w:val="16"/>
          <w:szCs w:val="16"/>
        </w:rPr>
        <w:softHyphen/>
        <w:t>тельной авиации для поражения танков, бронема</w:t>
      </w:r>
      <w:r w:rsidRPr="00640820">
        <w:rPr>
          <w:color w:val="000000" w:themeColor="text1"/>
          <w:sz w:val="16"/>
          <w:szCs w:val="16"/>
        </w:rPr>
        <w:softHyphen/>
        <w:t>шин, бронепоездов и других объектов, имеющих броневое покрытие до 50 мм. Применение целесо</w:t>
      </w:r>
      <w:r w:rsidRPr="00640820">
        <w:rPr>
          <w:color w:val="000000" w:themeColor="text1"/>
          <w:sz w:val="16"/>
          <w:szCs w:val="16"/>
        </w:rPr>
        <w:softHyphen/>
        <w:t>образно на пикировании с углом не менее 60° или на планировании с углами до 15°. Наличие РБС-82 делает самолет-истребитель мощным орудием для борьбы с танками противника;</w:t>
      </w:r>
    </w:p>
    <w:p w14:paraId="3AE92E92" w14:textId="77777777" w:rsidR="005B05F8" w:rsidRPr="00640820" w:rsidRDefault="005B05F8" w:rsidP="00640820">
      <w:pPr>
        <w:pStyle w:val="129"/>
        <w:shd w:val="clear" w:color="auto" w:fill="auto"/>
        <w:tabs>
          <w:tab w:val="left" w:pos="582"/>
        </w:tabs>
        <w:spacing w:after="0" w:line="240" w:lineRule="auto"/>
        <w:jc w:val="both"/>
        <w:rPr>
          <w:color w:val="000000" w:themeColor="text1"/>
          <w:sz w:val="16"/>
          <w:szCs w:val="16"/>
        </w:rPr>
      </w:pPr>
      <w:r w:rsidRPr="00640820">
        <w:rPr>
          <w:color w:val="000000" w:themeColor="text1"/>
          <w:sz w:val="16"/>
          <w:szCs w:val="16"/>
        </w:rPr>
        <w:t>2) РБС-132 является мощным огневым сред</w:t>
      </w:r>
      <w:r w:rsidRPr="00640820">
        <w:rPr>
          <w:color w:val="000000" w:themeColor="text1"/>
          <w:sz w:val="16"/>
          <w:szCs w:val="16"/>
        </w:rPr>
        <w:softHyphen/>
        <w:t>ством для поражения бронированных целей про</w:t>
      </w:r>
      <w:r w:rsidRPr="00640820">
        <w:rPr>
          <w:color w:val="000000" w:themeColor="text1"/>
          <w:sz w:val="16"/>
          <w:szCs w:val="16"/>
        </w:rPr>
        <w:softHyphen/>
        <w:t>тивника стрельбой с самолетов штурмовиков и бомбардировщиков с горизонтального, планиру</w:t>
      </w:r>
      <w:r w:rsidRPr="00640820">
        <w:rPr>
          <w:color w:val="000000" w:themeColor="text1"/>
          <w:sz w:val="16"/>
          <w:szCs w:val="16"/>
        </w:rPr>
        <w:softHyphen/>
        <w:t>ющего или пикирующего полета. В число этих це</w:t>
      </w:r>
      <w:r w:rsidRPr="00640820">
        <w:rPr>
          <w:color w:val="000000" w:themeColor="text1"/>
          <w:sz w:val="16"/>
          <w:szCs w:val="16"/>
        </w:rPr>
        <w:softHyphen/>
        <w:t>лей могут входить: тяжелые танки, бронепоезда, ба</w:t>
      </w:r>
      <w:r w:rsidRPr="00640820">
        <w:rPr>
          <w:color w:val="000000" w:themeColor="text1"/>
          <w:sz w:val="16"/>
          <w:szCs w:val="16"/>
        </w:rPr>
        <w:softHyphen/>
        <w:t>тареи береговой обороны, морские и речные суда, имеющие бронирование до 75 мм, а также полевые бетонированные сооружения и каменные строения гражданского типа. Самолет Ил-2, вооруженный РБС-132, будет являться мощным штурмовиком для действия по бронированным и сильно укреплен</w:t>
      </w:r>
      <w:r w:rsidRPr="00640820">
        <w:rPr>
          <w:color w:val="000000" w:themeColor="text1"/>
          <w:sz w:val="16"/>
          <w:szCs w:val="16"/>
        </w:rPr>
        <w:softHyphen/>
        <w:t>ным целям;</w:t>
      </w:r>
    </w:p>
    <w:p w14:paraId="1EAC7587" w14:textId="77777777" w:rsidR="005B05F8" w:rsidRPr="00640820" w:rsidRDefault="005B05F8" w:rsidP="00640820">
      <w:pPr>
        <w:pStyle w:val="129"/>
        <w:shd w:val="clear" w:color="auto" w:fill="auto"/>
        <w:tabs>
          <w:tab w:val="left" w:pos="543"/>
        </w:tabs>
        <w:spacing w:after="0" w:line="240" w:lineRule="auto"/>
        <w:jc w:val="both"/>
        <w:rPr>
          <w:color w:val="000000" w:themeColor="text1"/>
          <w:sz w:val="16"/>
          <w:szCs w:val="16"/>
        </w:rPr>
      </w:pPr>
      <w:r w:rsidRPr="00640820">
        <w:rPr>
          <w:color w:val="000000" w:themeColor="text1"/>
          <w:sz w:val="16"/>
          <w:szCs w:val="16"/>
        </w:rPr>
        <w:t>3) РОФС-132 является мощным снарядом оско</w:t>
      </w:r>
      <w:r w:rsidRPr="00640820">
        <w:rPr>
          <w:color w:val="000000" w:themeColor="text1"/>
          <w:sz w:val="16"/>
          <w:szCs w:val="16"/>
        </w:rPr>
        <w:softHyphen/>
        <w:t>лочно-фугасного действия. Применение его на са</w:t>
      </w:r>
      <w:r w:rsidRPr="00640820">
        <w:rPr>
          <w:color w:val="000000" w:themeColor="text1"/>
          <w:sz w:val="16"/>
          <w:szCs w:val="16"/>
        </w:rPr>
        <w:softHyphen/>
        <w:t>молете Ил-2 в 8—10 раз увеличивает его огневую мощь в сравнении с применением штатного РС-82 и в 3—4 раза со штатным РС-132;</w:t>
      </w:r>
    </w:p>
    <w:p w14:paraId="59257164" w14:textId="77777777" w:rsidR="005B05F8" w:rsidRPr="00640820" w:rsidRDefault="005B05F8" w:rsidP="00640820">
      <w:pPr>
        <w:pStyle w:val="129"/>
        <w:shd w:val="clear" w:color="auto" w:fill="auto"/>
        <w:tabs>
          <w:tab w:val="left" w:pos="548"/>
        </w:tabs>
        <w:spacing w:after="0" w:line="240" w:lineRule="auto"/>
        <w:jc w:val="both"/>
        <w:rPr>
          <w:color w:val="000000" w:themeColor="text1"/>
          <w:sz w:val="16"/>
          <w:szCs w:val="16"/>
        </w:rPr>
      </w:pPr>
      <w:r w:rsidRPr="00640820">
        <w:rPr>
          <w:color w:val="000000" w:themeColor="text1"/>
          <w:sz w:val="16"/>
          <w:szCs w:val="16"/>
        </w:rPr>
        <w:t>4) установить точное количество пораженных целей не было возможности. Летчики, летавшие с РБС-82, отмечали прямые попадания в танки, дома и автомашины. Со слов летчиков, летавших с РБС-132, можно считать, что выведено из строя не менее 20 танков, 35—40 автомашин и разрушено несколько строений, используемых противником. По единодушному заключению летчиков, летавших с РОФС-132, действие этого снаряда у цели исклю</w:t>
      </w:r>
      <w:r w:rsidRPr="00640820">
        <w:rPr>
          <w:color w:val="000000" w:themeColor="text1"/>
          <w:sz w:val="16"/>
          <w:szCs w:val="16"/>
        </w:rPr>
        <w:softHyphen/>
        <w:t>чительно сильное и превосходящее «все ожида</w:t>
      </w:r>
      <w:r w:rsidRPr="00640820">
        <w:rPr>
          <w:color w:val="000000" w:themeColor="text1"/>
          <w:sz w:val="16"/>
          <w:szCs w:val="16"/>
        </w:rPr>
        <w:softHyphen/>
        <w:t>ния». Действием РОФС-132 противнику нанесен большой ущерб;</w:t>
      </w:r>
    </w:p>
    <w:p w14:paraId="0C7BEFC2" w14:textId="77777777" w:rsidR="005B05F8" w:rsidRPr="00640820" w:rsidRDefault="005B05F8" w:rsidP="00640820">
      <w:pPr>
        <w:pStyle w:val="129"/>
        <w:shd w:val="clear" w:color="auto" w:fill="auto"/>
        <w:tabs>
          <w:tab w:val="left" w:pos="529"/>
        </w:tabs>
        <w:spacing w:after="0" w:line="240" w:lineRule="auto"/>
        <w:jc w:val="both"/>
        <w:rPr>
          <w:color w:val="000000" w:themeColor="text1"/>
          <w:sz w:val="16"/>
          <w:szCs w:val="16"/>
        </w:rPr>
      </w:pPr>
      <w:r w:rsidRPr="00640820">
        <w:rPr>
          <w:color w:val="000000" w:themeColor="text1"/>
          <w:sz w:val="16"/>
          <w:szCs w:val="16"/>
        </w:rPr>
        <w:t>5) метеорологические условия и обстановка на фронте не позволили полностью использовать ра</w:t>
      </w:r>
      <w:r w:rsidRPr="00640820">
        <w:rPr>
          <w:color w:val="000000" w:themeColor="text1"/>
          <w:sz w:val="16"/>
          <w:szCs w:val="16"/>
        </w:rPr>
        <w:softHyphen/>
        <w:t>кетные бронебойные снаряды. Ввиду отсутствия скоплений бронетанковых сил противника на отве</w:t>
      </w:r>
      <w:r w:rsidRPr="00640820">
        <w:rPr>
          <w:color w:val="000000" w:themeColor="text1"/>
          <w:sz w:val="16"/>
          <w:szCs w:val="16"/>
        </w:rPr>
        <w:softHyphen/>
        <w:t>денном участке фронта не было возможности ши</w:t>
      </w:r>
      <w:r w:rsidRPr="00640820">
        <w:rPr>
          <w:color w:val="000000" w:themeColor="text1"/>
          <w:sz w:val="16"/>
          <w:szCs w:val="16"/>
        </w:rPr>
        <w:softHyphen/>
        <w:t>роко применять РБС и по инициативе оперативной группы в 47 АД были применены РОФС-132.</w:t>
      </w:r>
    </w:p>
    <w:p w14:paraId="09A9A492" w14:textId="77777777" w:rsidR="005B05F8" w:rsidRPr="00640820" w:rsidRDefault="005B05F8"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За время работы израсходовано: РБС-82 — 60 шт., РБС-132 — 80 шт., РОФС-132 — 200 шт.» (17500).</w:t>
      </w:r>
    </w:p>
    <w:p w14:paraId="4C1B2644" w14:textId="77777777" w:rsidR="005B05F8" w:rsidRPr="00640820" w:rsidRDefault="005B05F8" w:rsidP="00640820">
      <w:pPr>
        <w:spacing w:after="0" w:line="240" w:lineRule="auto"/>
        <w:jc w:val="both"/>
        <w:rPr>
          <w:rFonts w:ascii="Times New Roman" w:hAnsi="Times New Roman"/>
          <w:color w:val="000000" w:themeColor="text1"/>
          <w:sz w:val="16"/>
          <w:szCs w:val="16"/>
        </w:rPr>
      </w:pPr>
    </w:p>
    <w:p w14:paraId="4897E581"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064C67CC"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C36C019"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декабря 1941 года постановлением ГКО в состав НКТП были включены два завода: Омский паровозоремонтный и эвакуируемый на его территорию Ворошиловоградский паровозостроительный. Два завода сливались в один (получивший № 173), которому было поручено производить танки Т-50 (12290).</w:t>
      </w:r>
    </w:p>
    <w:p w14:paraId="1B744165" w14:textId="77777777" w:rsidR="00045010" w:rsidRPr="00640820" w:rsidRDefault="00045010" w:rsidP="00640820">
      <w:pPr>
        <w:spacing w:after="0" w:line="240" w:lineRule="auto"/>
        <w:jc w:val="both"/>
        <w:rPr>
          <w:rFonts w:ascii="Times New Roman" w:hAnsi="Times New Roman"/>
          <w:color w:val="000000" w:themeColor="text1"/>
          <w:sz w:val="16"/>
          <w:szCs w:val="16"/>
        </w:rPr>
      </w:pPr>
    </w:p>
    <w:p w14:paraId="55FD90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декабря 1941 г. Постановление тульского городского комитета обороны о создании ремонтной базы по восстановлению танков и автобронемашин</w:t>
      </w:r>
    </w:p>
    <w:p w14:paraId="7B8AB8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 Обязать и. о. начальника завода НКПС т. Морозова организовать в суточный срок ремонтную базу по ремонту танков и автобронемашин. </w:t>
      </w:r>
    </w:p>
    <w:p w14:paraId="13D4F88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 Предложить т. Морозову отвести автобронетанковой подвижной ремонтной базе № 15 один цех для ремонта машин и предоставить в суточный срок помещение для жилья. </w:t>
      </w:r>
    </w:p>
    <w:p w14:paraId="6C4FB1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Председатель Тульского городского комитета обороны Жаворонков</w:t>
      </w:r>
    </w:p>
    <w:p w14:paraId="485F46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ТОПА, ф. 3039, оп. 1, д. 1. л. 46. Подлинник.</w:t>
      </w:r>
    </w:p>
    <w:p w14:paraId="0A249AB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Битва за Тулу. Изд. 3- е, стр. 155 (12077).</w:t>
      </w:r>
    </w:p>
    <w:p w14:paraId="3950930F"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2676D8"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декабря 1941 вышло Постановление ГКО № 1024 О мероприятиях по улучшению охраны железных дорог. (7017, 92-93).</w:t>
      </w:r>
    </w:p>
    <w:p w14:paraId="55AA38D9"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53CAC0"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декабря 1941 вышло Постановление ГКО № 1026 Об обеспечении грузчиками Мурманского, Бакинского и Красноводского портов. (7017, 95).</w:t>
      </w:r>
    </w:p>
    <w:p w14:paraId="6F96137F"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76D0C4"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декабря 1941 вышло Постановление ГКО № 1028 Об организации производства 120 мм полкового миномета на предприятиях города Москвы. (7017, 97-98).</w:t>
      </w:r>
    </w:p>
    <w:p w14:paraId="4833E31E"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9CCFBE"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декабря 1941 вышло Постановление ГКО № 1029 [О немедленной организации в Куйбышеве узла связи НКО, вводе в эксплуатацию Куйбышевской радиостанции НКО, обеспечении телефонным кабелем линии связи Куйбышева с радиостанцией НКО.] (7017, 99).</w:t>
      </w:r>
    </w:p>
    <w:p w14:paraId="5FDA5755"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5531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декабря 1941 г. вышло Постановление ГКО № 1031 «О проведении испытания вещества А-</w:t>
      </w:r>
      <w:r w:rsidRPr="00640820">
        <w:rPr>
          <w:rFonts w:ascii="Times New Roman" w:hAnsi="Times New Roman"/>
          <w:color w:val="000000" w:themeColor="text1"/>
          <w:sz w:val="16"/>
          <w:szCs w:val="16"/>
          <w:lang w:val="en-US"/>
        </w:rPr>
        <w:t>IX</w:t>
      </w:r>
      <w:r w:rsidRPr="00640820">
        <w:rPr>
          <w:rFonts w:ascii="Times New Roman" w:hAnsi="Times New Roman"/>
          <w:color w:val="000000" w:themeColor="text1"/>
          <w:sz w:val="16"/>
          <w:szCs w:val="16"/>
        </w:rPr>
        <w:t>-2» (Д. 29. Л.41).</w:t>
      </w:r>
    </w:p>
    <w:p w14:paraId="1D4FF2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F0EF3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декабря 1941 вышло Постановление ГКО № 1032 О производстве гексогена. РГАНИР, Фонд ГКО, д. 16, лл. 102-105 (11012).</w:t>
      </w:r>
    </w:p>
    <w:p w14:paraId="1B8D12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E1DE1B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декабря 1941 вышло Постановление ГКО № 1033 О создании специального экспериментально-производственного бюро при НКБ. РГАНИР, Фонд ГКО, д. 16, лл. 106 (11012).</w:t>
      </w:r>
    </w:p>
    <w:p w14:paraId="2B688AE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4A5E249"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4AE6FBF6"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A5CE65C"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14 декабря</w:t>
      </w:r>
      <w:r w:rsidRPr="00640820">
        <w:rPr>
          <w:rFonts w:ascii="Times New Roman" w:hAnsi="Times New Roman"/>
          <w:color w:val="000000" w:themeColor="text1"/>
          <w:sz w:val="16"/>
          <w:szCs w:val="16"/>
        </w:rPr>
        <w:t xml:space="preserve"> в 1941 году утреннее сообщение Совинформбюро:</w:t>
      </w:r>
    </w:p>
    <w:p w14:paraId="78FE10AA"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14 декабря наши войска вели бои с противником на всех фронтах.</w:t>
      </w:r>
    </w:p>
    <w:p w14:paraId="45D24145"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Бойцы тов. Кузнецова, действующие на одном из участков Западного фронта, за день боёв захватили 24 немецких танка, 9 бронемашин, 16 орудий, 7 миномётов, 186 автомашин, 54 мотоцикла и много боеприпасов.</w:t>
      </w:r>
    </w:p>
    <w:p w14:paraId="2E1EC31E"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лётчики, действующие на Южном фронте, за один день боевых действий сбили 8 самолётов противника, уничтожили 7 немецких танков, более 200 автомашин, 11 орудий с прислугой, 5 автоцистерн с горючим, более 70 подвод с боеприпасами и истребили около 1.000 солдат и офицеров противника.</w:t>
      </w:r>
    </w:p>
    <w:p w14:paraId="6D302193"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Наша часть, действующая на одном из участков Ленинградского фронта, выбила немцев из населённого пункта К., истребила 400 немцев, уничтожила 5 тяжёлых орудий и захватила 2 орудия, 3 миномёта, 3 пулемёта и другие трофеи.</w:t>
      </w:r>
    </w:p>
    <w:p w14:paraId="6A84EFC6"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Успешно борется с фашистскими захватчиками партизанский отряд, действующий в одном из районов Московской области, оккупированном немцами. Смелыми налётами он нарушает коммуникации противника, препятствуя подвозу войск и боеприпасов к Западному фронту. Недавно группа партизан минировала в районе разъезда Е. железнодорожный мост. При прохождении воинского эшелона произошёл взрыв моста и крушение поезда. Погибло большое количество немецких солдат. Несколько дней спустя партизаны сожгли 5-тонную автомашину с грузом бензина, уничтожив при этом 3 немецких солдат. Вслед за этим группа партизан недалеко от разъезда М. пустила под откос поезд противника с боеприпасами и продовольствием. Отряд в ряде мест минировал дороги и порвал телефонные провода.</w:t>
      </w:r>
    </w:p>
    <w:p w14:paraId="08EF6403"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большим подъёмом работают в дни войны рабочие, колхозники и интеллигенция Дагестанской АССР. На механическом заводе, где директором тов. Гоконаев, быстро растут ряды стахановцев, перевыполняющих свои нормы в несколько раз. Лакировщица Власова, поступившая в июле на завод ученицей, сейчас работает за шестерых. Тов. Житкова работает на четырёх фрезерных станках и на каждом из них даёт до трёх норм. Текстильная фабрика, завод имени Слепнёва, рыбный трест и десятки других предприятий республики выполнили годовой план. Консервный завод, где директором тов. Яковлев, уже выполнил полтора годовых плана. Успешно завершили сельскохозяйственный год многие колхозы республики. Колхоз имени Ворошилова, Докузпаринского района, досрочно закончил сев, обмолот, подъём зяби и выполнил свои обязательства перед государством. Перевыполнил план развития овцеводства, основной отрасли своего хозяйства, крупнейший в республике колхоз имени Сталина, Гунибского района. Колхоз сдал государству сверх плана десятки тонн животноводческой продукции. «Ничего не пожалеем для разгрома врага, — говорят колхозники, — будем работать ещё больше и лучше, дадим фронту, стране изобилие сельскохозяйственных продуктов». Колхозники республики внесли в фонд обороны СССР 100 тысяч рублей деньгами, 2.000 овец, 5.000 килограммов шерсти и 1.000 овчин.» (14860).</w:t>
      </w:r>
    </w:p>
    <w:p w14:paraId="62DC7BD6" w14:textId="77777777" w:rsidR="00F575EB" w:rsidRPr="00640820" w:rsidRDefault="00F575EB" w:rsidP="00640820">
      <w:pPr>
        <w:spacing w:after="0" w:line="240" w:lineRule="auto"/>
        <w:jc w:val="both"/>
        <w:rPr>
          <w:rFonts w:ascii="Times New Roman" w:hAnsi="Times New Roman"/>
          <w:color w:val="000000" w:themeColor="text1"/>
          <w:sz w:val="16"/>
          <w:szCs w:val="16"/>
        </w:rPr>
      </w:pPr>
    </w:p>
    <w:p w14:paraId="3F87BC26"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14 декабря</w:t>
      </w:r>
      <w:r w:rsidRPr="00640820">
        <w:rPr>
          <w:rFonts w:ascii="Times New Roman" w:hAnsi="Times New Roman"/>
          <w:color w:val="000000" w:themeColor="text1"/>
          <w:sz w:val="16"/>
          <w:szCs w:val="16"/>
        </w:rPr>
        <w:t xml:space="preserve"> в 1941 году вечернее сообщение Совинформбюро:</w:t>
      </w:r>
    </w:p>
    <w:p w14:paraId="5549DDDD"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14 декабря наши войска вели бои с противником на всех фронтах. На ряде участков Западного и Юго-Западного фронтов наши войска, ведя ожесточённые бои с противником, продолжали продвигаться вперёд и заняли станцию Узловая — юго-восточнее Тулы, Верховье — северо-западнее города Ливны и Дубна — западнее Тулы.</w:t>
      </w:r>
    </w:p>
    <w:p w14:paraId="0DD13BE2"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13 декабря уничтожено 15 немецких самолётов. Наши потери — 4 самолёта.</w:t>
      </w:r>
    </w:p>
    <w:p w14:paraId="2EF3035A"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14 декабря под Москвой в воздушных боях сбито 5 немецких самолётов.</w:t>
      </w:r>
    </w:p>
    <w:p w14:paraId="3BD45AA7"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Нашими кораблями в Чёрном море потоплен транспорт противника водоизмещением в 6.000 тонн.</w:t>
      </w:r>
    </w:p>
    <w:p w14:paraId="5CA69308"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13 декабря наша авиация уничтожила и повредила 26 немецких танков и несколько бронемашин, 600 автомашин с войсками и грузами, уничтожила 30 полевых и зенитных орудий с прислугой, 300 подвод с боеприпасами, 5 автоцистерн с горючим, истребила или рассеяла полк вражеской пехоты, взорвала 5 железнодорожных составов с боеприпасами.</w:t>
      </w:r>
    </w:p>
    <w:p w14:paraId="7D6375FD"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Бойцы тов. Ремизова за день боёв на одном из участков Западного фронта захватили 11 немецких танков, 15 автомашин, 6 орудий, 33 пулемёта, 4 миномёта и другие трофеи.</w:t>
      </w:r>
    </w:p>
    <w:p w14:paraId="6BB2742D"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Наша часть, действующая на одном из участков Юго-Западного фронта, в четырёхдневном бою с противником захватила 50 немецких орудий, 126 пулемётов, 20 миномётов, 85 автоматов, 63 автомашины, 450 повозок, 825 лошадей, 220 ящиков с минами и много других трофеев.</w:t>
      </w:r>
    </w:p>
    <w:p w14:paraId="381FD98F"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Части тов. Федюнинского, действующие на одном из участков Ленинградского фронта, за два дня боёв уничтожили 4 немецких танка, 2 орудия, 20 станковых пулемётов, 18 грузовых машин и истребили около 700 солдат и офицеров противника.</w:t>
      </w:r>
    </w:p>
    <w:p w14:paraId="38EA1C7D"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Партизанские отряды, действующие в оккупированных районах Ленинградской области, за последние 10-15 дней нанесли противнику большой урон; они истребили 12 немецких офицеров и 246 солдат, сожгли 12 домов с находившимися в них фашистами, взорвали 16 вагонов с боеприпасами и вооружением, уничтожили 2 железнодорожных и 7 шоссейных мостов, 3 танка, 8 грузовых и 2 легковые автомашины, один обоз и 78 повозок с боеприпасами и продовольствием, разрушили 20 линий полевой телефонной связи, вырезали на расстоянии свыше километра и зарыли в лесу 8 линий многожильного кабеля. Успешно действовал партизанский отряд под командованием тов. Г. Разведка отряда донесла, что по шоссе движется большая автоколонна противника. К заранее выбранному месту была выслана группа партизан. Бойцы забросали автомашины десятками гранат. В результате этой операции было уничтожено 6 автомашин с боеприпасами и продуктами и истреблено 16 немецких солдат. Группа партизан под руководством председателя сельсовета тов. М. пустила под откос воинский эшелон с боеприпасами. Группа партизан-разведчиков во главе со счетоводом колхоза тов. Т. встретила танк противника. Первым в танк бросил гранату тов. П., работник промкомбината. Вслед за ним по нескольку гранат бросили продавец сельпо тов. Л. и колхозник тов. С. Танк остановился. Выскочившие из него 2 фашиста тут же были убиты. Партизаны, взяв из танка ручной пулемёт, автомат и 2 пистолета, взорвали танк и благополучно вернулись на свою базу.</w:t>
      </w:r>
    </w:p>
    <w:p w14:paraId="0853C393"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Провал гитлеровского плана окружения и взятия Москвы, огромные потери фашистских войск на Восточном фронте подтачивают и разъедают германскую военную машину изнутри. Пленный ефрейтор 1 роты 187 полка 87 немецкой пехотной дивизии Вальтер Рокштросс заявил: «Наша рота, неоднократно получавшая пополнения, опять понесла крупные потери и насчитывает сейчас 65 солдат, сведённых в два взвода. Старых солдат в роте осталось всего несколько человек, остальные убиты, ранены. У солдат нет ни малейших признаков воодушевления. Резко снизилась воинская дисциплина. Оружие теперь не чистят, как раньше, а сваливают в кучу, как попало. Давно уже не было осмотра оружия. Когда нужно итти в наряд, поднимается ругань». Старший ефрейтор 7 роты 240 полка 106 немецкой пехотной дивизии Л. Ноберт сообщил: «106 дивизия потеряла 60 проц. личного состава. Она дважды получала крупные пополнения — в августе и в октябре. Штабной батальон, в котором я служил, потерял половину солдат и командира батальона...». Ефрейтор 3 роты 111 мотополка 11 танковой дивизии Эльберман рассказал об огромных потерях 111 полка: «В 3 роте, — говорит Эльберман, — из 220 солдат осталось 50 человек. В полку много 18-летних юнцов и 45-летних резервистов. В других ротах встречаются и 50-летние».</w:t>
      </w:r>
    </w:p>
    <w:p w14:paraId="1082A1EA"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линии Скопле — Велес югославские партизаны пустили под откос поезд с немецкими войсками, посланными на ликвидацию партизанского движения. Под обломками вагонов погибло свыше 70 фашистов. Это — уже третий воинский поезд, уничтоженный за последнее время партизанами на этой линии.»</w:t>
      </w:r>
    </w:p>
    <w:p w14:paraId="7E8A5ABB"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последний час.</w:t>
      </w:r>
    </w:p>
    <w:p w14:paraId="1CC7B823"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Трофеи наших войск при взятии города Клина.</w:t>
      </w:r>
    </w:p>
    <w:p w14:paraId="34EFE876"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взятии города Клина, по предварительным и неполным данным, войска Западного фронта захватили у немцев следующие трофеи: танков — 122, бронемашин — 18, автомашин — более 1.000, орудий — 80, миномётов — 120, пулемётов — 250, автоматов — 800, артиллерийских снарядов — более 10.000, патронов — свыше 2.000.000 и много другого военного имущества. Подсчёт трофеев продолжается. В боях в районе Клина немцы потеряли более 13.000 убитыми и ранеными. При взятии Клина разгромлены 14 мотопехотная дивизия генерала Фюрста, 36 мотопехотная дивизия генерала фон Веркштерна, 7 танковая дивизия и 900 учебная бригада полковника Краузе.» (14860).</w:t>
      </w:r>
    </w:p>
    <w:p w14:paraId="72B5D739" w14:textId="77777777" w:rsidR="00F575EB" w:rsidRPr="00640820" w:rsidRDefault="00F575EB" w:rsidP="00640820">
      <w:pPr>
        <w:spacing w:after="0" w:line="240" w:lineRule="auto"/>
        <w:jc w:val="both"/>
        <w:rPr>
          <w:rFonts w:ascii="Times New Roman" w:hAnsi="Times New Roman"/>
          <w:color w:val="000000" w:themeColor="text1"/>
          <w:sz w:val="16"/>
          <w:szCs w:val="16"/>
        </w:rPr>
      </w:pPr>
    </w:p>
    <w:p w14:paraId="450E962D" w14:textId="77777777" w:rsidR="00285B16" w:rsidRPr="00640820" w:rsidRDefault="00285B16" w:rsidP="00640820">
      <w:pPr>
        <w:pStyle w:val="ae"/>
        <w:spacing w:before="0" w:after="0"/>
        <w:jc w:val="both"/>
        <w:textAlignment w:val="baseline"/>
        <w:rPr>
          <w:color w:val="000000" w:themeColor="text1"/>
          <w:sz w:val="16"/>
          <w:szCs w:val="16"/>
        </w:rPr>
      </w:pPr>
      <w:r w:rsidRPr="00640820">
        <w:rPr>
          <w:color w:val="000000" w:themeColor="text1"/>
          <w:sz w:val="16"/>
          <w:szCs w:val="16"/>
        </w:rPr>
        <w:lastRenderedPageBreak/>
        <w:t>14 декабря 1941 ВВС ЮЗФ было выполнено 118 вылетов на атаку наземных объектов, в ходе которых штурмовики и истребители записали на свой счет 2 танка, 206 автомобилей, 2 автобуса, 50 повозок и др. При этом один Ил-2 разбился на своем аэродроме во время взлета (19522).</w:t>
      </w:r>
    </w:p>
    <w:p w14:paraId="5BA4088C" w14:textId="77777777" w:rsidR="00285B16" w:rsidRPr="00640820" w:rsidRDefault="00285B16" w:rsidP="00640820">
      <w:pPr>
        <w:pStyle w:val="ae"/>
        <w:spacing w:before="0" w:after="0"/>
        <w:jc w:val="both"/>
        <w:textAlignment w:val="baseline"/>
        <w:rPr>
          <w:color w:val="000000" w:themeColor="text1"/>
          <w:sz w:val="16"/>
          <w:szCs w:val="16"/>
        </w:rPr>
      </w:pPr>
    </w:p>
    <w:p w14:paraId="3EE8D8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декабря 1941 л В.Ковалев направил горящий истребитель на зенитную батарею у Волоколамского ш (455,163).</w:t>
      </w:r>
    </w:p>
    <w:p w14:paraId="05CC20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30625A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декабря 1941 согласно сообщению Совинформбюро л ВВС БФ нанесли массированный удар по немецким судам вблизи Либавы, потопили 6 транспортов водоизмещением 24 тыс. т и повредили транспорт в 5 тыс. т, а в бухте Данцига торпедировали транспорт в 6 тыс. т (438,829).</w:t>
      </w:r>
    </w:p>
    <w:p w14:paraId="1DDE9E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07C2E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rPr>
        <w:t>14 декабря 1941 л 11 ап Московской зоны ПВО л В.Е.Ковалев во время штурмовки конницы был подбит и направил машину на Збатарею. ПрисвоилиГСС</w:t>
      </w:r>
      <w:r w:rsidRPr="00640820">
        <w:rPr>
          <w:rFonts w:ascii="Times New Roman" w:hAnsi="Times New Roman"/>
          <w:color w:val="000000" w:themeColor="text1"/>
          <w:sz w:val="16"/>
          <w:szCs w:val="16"/>
          <w:lang w:val="en-US"/>
        </w:rPr>
        <w:t xml:space="preserve"> (438,829).</w:t>
      </w:r>
    </w:p>
    <w:p w14:paraId="370FAD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6F8C57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December 14, 1941: German forces evacuate Kalinin 100 miles NW of Moscow (3819).</w:t>
      </w:r>
    </w:p>
    <w:p w14:paraId="760AE1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1A7246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декабря 1941 немецкие части оставили Калинин (3819).</w:t>
      </w:r>
    </w:p>
    <w:p w14:paraId="2CF91CE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BD6BD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декабря 1941 на железных дорогах постановлением ГКО № 1024 была создана этапная служба с открытием этапных комендатур, которые впоследствии (1942 г.) были переименованы в этапно-заградительные (9090).</w:t>
      </w:r>
    </w:p>
    <w:p w14:paraId="2834CE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CE40E8D"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14 декабря</w:t>
      </w:r>
      <w:r w:rsidRPr="00640820">
        <w:rPr>
          <w:rFonts w:ascii="Times New Roman" w:hAnsi="Times New Roman"/>
          <w:color w:val="000000" w:themeColor="text1"/>
          <w:sz w:val="16"/>
          <w:szCs w:val="16"/>
        </w:rPr>
        <w:t xml:space="preserve"> в 1941 году японская осадная артиллерия начала бомбардировку Гонконга. Подожжен и потоплен советский пароход ДГМП «Кречет», несмотря на отчетливо видимые советские опознавательные знаки и Государственный флаг СССР. Убиты осколками снарядов 2 члена экипажа парохода ДГМП «Свирьстрой» и «Сергей Лазо» (14860).</w:t>
      </w:r>
    </w:p>
    <w:p w14:paraId="240EF437" w14:textId="77777777" w:rsidR="00F575EB" w:rsidRPr="00640820" w:rsidRDefault="00F575EB" w:rsidP="00640820">
      <w:pPr>
        <w:spacing w:after="0" w:line="240" w:lineRule="auto"/>
        <w:jc w:val="both"/>
        <w:rPr>
          <w:rFonts w:ascii="Times New Roman" w:hAnsi="Times New Roman"/>
          <w:color w:val="000000" w:themeColor="text1"/>
          <w:sz w:val="16"/>
          <w:szCs w:val="16"/>
        </w:rPr>
      </w:pPr>
    </w:p>
    <w:p w14:paraId="6CBBB646"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784C8287"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A3872D9"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14 декабря</w:t>
      </w:r>
      <w:r w:rsidRPr="00640820">
        <w:rPr>
          <w:rFonts w:ascii="Times New Roman" w:hAnsi="Times New Roman"/>
          <w:color w:val="000000" w:themeColor="text1"/>
          <w:sz w:val="16"/>
          <w:szCs w:val="16"/>
        </w:rPr>
        <w:t xml:space="preserve"> в 1941 году Музей-усадьба Л.Н.Толстого "Ясная Поляна" (Тульская область) была освобождена от фашистских захватчиков (14860).</w:t>
      </w:r>
    </w:p>
    <w:p w14:paraId="529AC7C5" w14:textId="77777777" w:rsidR="00F575EB" w:rsidRPr="00640820" w:rsidRDefault="00F575EB" w:rsidP="00640820">
      <w:pPr>
        <w:spacing w:after="0" w:line="240" w:lineRule="auto"/>
        <w:jc w:val="both"/>
        <w:rPr>
          <w:rFonts w:ascii="Times New Roman" w:hAnsi="Times New Roman"/>
          <w:color w:val="000000" w:themeColor="text1"/>
          <w:sz w:val="16"/>
          <w:szCs w:val="16"/>
        </w:rPr>
      </w:pPr>
    </w:p>
    <w:p w14:paraId="16EEC1B6"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декабря 1941 вышло Постановление ГКО № 1023 [Об отсрочке дообложения налогами хозяйств кулаков и мулл в ряде районов ЧИАССР.] (7017, 91).</w:t>
      </w:r>
    </w:p>
    <w:p w14:paraId="608A213B"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29C487"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декабря 1941 вышло Постановление ГКО № 1025 [О разминировании объектов на предприятиях Москвы, утвержденных к проведению "спецмероприятий".] (7017, 94).</w:t>
      </w:r>
    </w:p>
    <w:p w14:paraId="13653EB2"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03D985" w14:textId="77777777" w:rsidR="00173061" w:rsidRPr="00640820" w:rsidRDefault="0017306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14 декабря 1941 года ГКО принял постановление «О разминировании объектов на предприятиях Москвы в связи с изменившейся обстановкой на Западном фронте».</w:t>
      </w:r>
    </w:p>
    <w:p w14:paraId="19BCADA4" w14:textId="77777777" w:rsidR="00173061" w:rsidRPr="00640820" w:rsidRDefault="0017306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Совершенно секретно.</w:t>
      </w:r>
    </w:p>
    <w:p w14:paraId="765E3CC0" w14:textId="77777777" w:rsidR="00173061" w:rsidRPr="00640820" w:rsidRDefault="0017306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Государственный Комитет Обороны</w:t>
      </w:r>
    </w:p>
    <w:p w14:paraId="184D793B" w14:textId="77777777" w:rsidR="00173061" w:rsidRPr="00640820" w:rsidRDefault="0017306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Постановление № ГКО-1025сс от 14 декабря 1941 г. Москва Кремль.</w:t>
      </w:r>
    </w:p>
    <w:p w14:paraId="6F307A10" w14:textId="77777777" w:rsidR="00173061" w:rsidRPr="00640820" w:rsidRDefault="0017306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связи с изменившейся обстановкой на Западном фронте разминировать объекты на предприятиях г. Москвы, утвержденные к проведению спецмероприятий.</w:t>
      </w:r>
    </w:p>
    <w:p w14:paraId="31C7A968" w14:textId="77777777" w:rsidR="00173061" w:rsidRPr="00640820" w:rsidRDefault="0017306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Имеющиеся районные тройки сохранить, а технический аппарат и исполнителей на предприятиях обратить к выполнению прямых обязанностей, имея списки на случай надобности.</w:t>
      </w:r>
    </w:p>
    <w:p w14:paraId="53BABC58" w14:textId="77777777" w:rsidR="00173061" w:rsidRPr="00640820" w:rsidRDefault="0017306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ПРЕДСЕДАТЕЛЬ ГОСУДАРСТВЕННОГО КОМИТЕТА ОБОРОНЫ И. СТАЛИН</w:t>
      </w:r>
    </w:p>
    <w:p w14:paraId="3DD85356" w14:textId="77777777" w:rsidR="00173061" w:rsidRPr="00640820" w:rsidRDefault="0017306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Выписки посланы: т.т. Берия, Щербакову, Серову, Попову (МГК), Журавлеву, Шапошникову.</w:t>
      </w:r>
    </w:p>
    <w:p w14:paraId="2F01DC24" w14:textId="77777777" w:rsidR="00173061" w:rsidRPr="00640820" w:rsidRDefault="0017306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Основание: РГАСПИ, фонд 644, опись 1, д. 16, л.94 (21191).</w:t>
      </w:r>
    </w:p>
    <w:p w14:paraId="75671902" w14:textId="77777777" w:rsidR="00173061" w:rsidRPr="00640820" w:rsidRDefault="00173061" w:rsidP="00640820">
      <w:pPr>
        <w:spacing w:after="0" w:line="240" w:lineRule="auto"/>
        <w:jc w:val="both"/>
        <w:rPr>
          <w:rFonts w:ascii="Times New Roman" w:hAnsi="Times New Roman"/>
          <w:color w:val="0070C0"/>
          <w:sz w:val="16"/>
          <w:szCs w:val="16"/>
        </w:rPr>
      </w:pPr>
    </w:p>
    <w:p w14:paraId="2E22E95D"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декабря 1941 вышло Постановление ГКО № 1030 О борьбе с эпидемическими заболеваниями в г. Сталинграде. (7017, 100).</w:t>
      </w:r>
    </w:p>
    <w:p w14:paraId="0C5F5F31"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D39C70"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6E255305"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8EEDAF5"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декабря 1941 у Александрии немецкой подлодкой затоплен английский крейсер “Галатея” (4962).</w:t>
      </w:r>
    </w:p>
    <w:p w14:paraId="6E52B175"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6EC824"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14 декабря</w:t>
      </w:r>
      <w:r w:rsidRPr="00640820">
        <w:rPr>
          <w:rFonts w:ascii="Times New Roman" w:hAnsi="Times New Roman"/>
          <w:color w:val="000000" w:themeColor="text1"/>
          <w:sz w:val="16"/>
          <w:szCs w:val="16"/>
        </w:rPr>
        <w:t xml:space="preserve"> в 1941 году японские войска высадились на острове Борнео (14860).</w:t>
      </w:r>
    </w:p>
    <w:p w14:paraId="360109FC" w14:textId="77777777" w:rsidR="00F575EB" w:rsidRPr="00640820" w:rsidRDefault="00F575EB" w:rsidP="00640820">
      <w:pPr>
        <w:spacing w:after="0" w:line="240" w:lineRule="auto"/>
        <w:jc w:val="both"/>
        <w:rPr>
          <w:rFonts w:ascii="Times New Roman" w:hAnsi="Times New Roman"/>
          <w:color w:val="000000" w:themeColor="text1"/>
          <w:sz w:val="16"/>
          <w:szCs w:val="16"/>
        </w:rPr>
      </w:pPr>
    </w:p>
    <w:p w14:paraId="13F11E21" w14:textId="77777777" w:rsidR="00173061" w:rsidRPr="00640820" w:rsidRDefault="0017306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14–19 декабря 1941 самолеты ВМС Японии с атолла Кваджалейн неоднократно наносят удары по острову Уэйк  (20794).</w:t>
      </w:r>
    </w:p>
    <w:p w14:paraId="241D9BA7" w14:textId="77777777" w:rsidR="00173061" w:rsidRPr="00640820" w:rsidRDefault="00173061" w:rsidP="00640820">
      <w:pPr>
        <w:spacing w:after="0" w:line="240" w:lineRule="auto"/>
        <w:jc w:val="both"/>
        <w:rPr>
          <w:rFonts w:ascii="Times New Roman" w:hAnsi="Times New Roman"/>
          <w:color w:val="0070C0"/>
          <w:sz w:val="16"/>
          <w:szCs w:val="16"/>
        </w:rPr>
      </w:pPr>
    </w:p>
    <w:p w14:paraId="60E8DA97"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6016CF16"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6135EF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декабря 1941 года директор-гл. конструктор завода N 289 Сухой писал письмо N 35/1768с Шахурину.</w:t>
      </w:r>
    </w:p>
    <w:p w14:paraId="102F6A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Одноместный бронированный штурмовик Су-6 М-71, проходивший заводские испытания в ЛИИ НКАП, имеет следующие летные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643896" w:rsidRPr="00640820" w14:paraId="39090C86" w14:textId="77777777" w:rsidTr="000D3BCB">
        <w:tc>
          <w:tcPr>
            <w:tcW w:w="2818" w:type="dxa"/>
            <w:tcBorders>
              <w:top w:val="single" w:sz="12" w:space="0" w:color="auto"/>
            </w:tcBorders>
          </w:tcPr>
          <w:p w14:paraId="061378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Максимальная скорость </w:t>
            </w:r>
          </w:p>
        </w:tc>
        <w:tc>
          <w:tcPr>
            <w:tcW w:w="2818" w:type="dxa"/>
            <w:tcBorders>
              <w:top w:val="single" w:sz="12" w:space="0" w:color="auto"/>
            </w:tcBorders>
          </w:tcPr>
          <w:p w14:paraId="33F510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 земли на номинальной мощности равна</w:t>
            </w:r>
          </w:p>
        </w:tc>
        <w:tc>
          <w:tcPr>
            <w:tcW w:w="2818" w:type="dxa"/>
            <w:tcBorders>
              <w:top w:val="single" w:sz="12" w:space="0" w:color="auto"/>
            </w:tcBorders>
          </w:tcPr>
          <w:p w14:paraId="5B8283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460 км/час</w:t>
            </w:r>
          </w:p>
        </w:tc>
      </w:tr>
      <w:tr w:rsidR="00643896" w:rsidRPr="00640820" w14:paraId="5C9DABA9" w14:textId="77777777" w:rsidTr="000D3BCB">
        <w:tc>
          <w:tcPr>
            <w:tcW w:w="2818" w:type="dxa"/>
          </w:tcPr>
          <w:p w14:paraId="2B3251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447595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5 минутном форсаже равна</w:t>
            </w:r>
          </w:p>
        </w:tc>
        <w:tc>
          <w:tcPr>
            <w:tcW w:w="2818" w:type="dxa"/>
          </w:tcPr>
          <w:p w14:paraId="6DF7F5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504 км/час</w:t>
            </w:r>
          </w:p>
        </w:tc>
      </w:tr>
      <w:tr w:rsidR="00643896" w:rsidRPr="00640820" w14:paraId="1F702DF0" w14:textId="77777777" w:rsidTr="000D3BCB">
        <w:tc>
          <w:tcPr>
            <w:tcW w:w="2818" w:type="dxa"/>
            <w:tcBorders>
              <w:bottom w:val="single" w:sz="12" w:space="0" w:color="auto"/>
            </w:tcBorders>
          </w:tcPr>
          <w:p w14:paraId="27CF6BB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Borders>
              <w:bottom w:val="single" w:sz="12" w:space="0" w:color="auto"/>
            </w:tcBorders>
          </w:tcPr>
          <w:p w14:paraId="5B63B5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высоте 5700</w:t>
            </w:r>
          </w:p>
        </w:tc>
        <w:tc>
          <w:tcPr>
            <w:tcW w:w="2818" w:type="dxa"/>
            <w:tcBorders>
              <w:bottom w:val="single" w:sz="12" w:space="0" w:color="auto"/>
            </w:tcBorders>
          </w:tcPr>
          <w:p w14:paraId="1B296E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550 км/час</w:t>
            </w:r>
          </w:p>
        </w:tc>
      </w:tr>
    </w:tbl>
    <w:p w14:paraId="2D9F06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Скорости даны при наличии 8 балок РО-82.</w:t>
      </w:r>
    </w:p>
    <w:p w14:paraId="48CF5D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Время набора высоты 2000 м равно 2,5 минуты.</w:t>
      </w:r>
    </w:p>
    <w:p w14:paraId="56397A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Практический потолок - 10000 м.</w:t>
      </w:r>
    </w:p>
    <w:p w14:paraId="762FA6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Дальность на высоте 500 м при средней скорости 440 км/час - равна 700 км</w:t>
      </w:r>
    </w:p>
    <w:p w14:paraId="1D0159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Дальность на высоте 500 м при скорости 375 км равна 900 км.</w:t>
      </w:r>
    </w:p>
    <w:p w14:paraId="57C9A5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Бронирование летчика и расположенного под ним бензобака выполнено с учетом защиты от пули крупнокалиберного пулемета - снизу 6 мм, сбоку 6 и 8 мм, сзади 13 мм; спереди пилота прозрачная броня 65 мм.</w:t>
      </w:r>
    </w:p>
    <w:p w14:paraId="6DE769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Вооружение самолета состоит из 10 штук РО калибром 132 или 82, 2-х пушек Волкова-Ярцева калибром 23 мм, установленных в крыльях совместно с 4 пулеметами Шкас; предусмотрена установка 2-х синхронных пулеметов Шкас.</w:t>
      </w:r>
    </w:p>
    <w:p w14:paraId="61D65F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Нормальная бомбовая нагрузка 150 кг; емкость грузового отсека позволяет вместить до 400 кг бомб калибром от 1,5 до 100 кг.</w:t>
      </w:r>
    </w:p>
    <w:p w14:paraId="780DBA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Согласно отчета ЛИИ НКАП самолет Су-6 обладает путевой и поперечной устойчивостью, а так же продольной устойчивостью с зажатой и брошенной ручкой; приемистость самолета и эффективность рулей хорошая; тенденций к развороту на разбеге и пробеге нет; бафтинг отсутствует; самолет прост и приятен в пилотировании и доступен для летчиков средней квалификации.</w:t>
      </w:r>
    </w:p>
    <w:p w14:paraId="41B9B8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облете летчиками ЛИИ были даны следующие отзывы о самолете Су-6.</w:t>
      </w:r>
    </w:p>
    <w:p w14:paraId="0CF8BE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Летчик Гринчик А.Н.</w:t>
      </w:r>
    </w:p>
    <w:p w14:paraId="3DB51DF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"Обладая нормальным запасом устойчивости, самолет легок в управлении и не требует от летчика особого внимания. Самолет обладает хорошей маневренностью. Характерна легкость работы всей конструкции машины; летчик не ощущает напряжения или тряски самолета ни при эволюциях, ни при полете на больших скоростях".</w:t>
      </w:r>
    </w:p>
    <w:p w14:paraId="684B8E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Летчик Федоров В.П. подтверждает те же моменты и пишет: "Более простого и приятного самолета по технике пилотирования я в своей практике не встречал".</w:t>
      </w:r>
    </w:p>
    <w:p w14:paraId="35B53B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Летчик Шиянов Г.М.</w:t>
      </w:r>
    </w:p>
    <w:p w14:paraId="04AA68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"Самолет очень прост и приятен в пилотировании. Имеет хороший обзор при хорошем бронировании. В пилотаже напоминает американские самолеты Северский и Нортроп. Необычайно "плотен" в воздухе и хорошо ведет себя на больших скоростях.</w:t>
      </w:r>
    </w:p>
    <w:p w14:paraId="187ED98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скоростях по прибору 500-550 км/час летчик совершенно не чувствует напряжения самолета.</w:t>
      </w:r>
    </w:p>
    <w:p w14:paraId="556C66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Самолет имеет хорошую скороподъемность и маневренность. Мотор работает хорошо, приемистость самолета отличная.</w:t>
      </w:r>
    </w:p>
    <w:p w14:paraId="3AA1BD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своей простоте самолет допускает вылет на нем летчика ниже средней квалификации".</w:t>
      </w:r>
    </w:p>
    <w:p w14:paraId="69FC7F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Летчик Галлай И.Л.</w:t>
      </w:r>
    </w:p>
    <w:p w14:paraId="16B80E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"Гармоничность всех рулей между собой, а также между отклонениями и эффективностью каждого руля - очень хорошая, что делает самолет весьма приятным и пилотировании.</w:t>
      </w:r>
    </w:p>
    <w:p w14:paraId="2DFE65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всех известных мне самолетов по приятности в пилотировании Су-6 занимает второе место (первое принадлежит Нортропу, с которым Су-6 имеет много общего).</w:t>
      </w:r>
    </w:p>
    <w:p w14:paraId="1387D1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целом самолет производит отличное впечатление - приятный в пилотировании, доступный по своей простоте для летчика средней квалификации, неутомительный в полете".</w:t>
      </w:r>
    </w:p>
    <w:p w14:paraId="5C8600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Таким образом, самолет Су-6, имея хорошее вооружение и бронирование, показал хорошую маневренность и управляемость при максимальной скорости у земли 500 км/час.</w:t>
      </w:r>
    </w:p>
    <w:p w14:paraId="1BBBC1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такими данными самолет не только может с успехом выполнять противотанковые действия, но и полностью противостоять атакам немецких истребителей, скорость которых у земли порядка 500 км/час.</w:t>
      </w:r>
    </w:p>
    <w:p w14:paraId="0CED6F8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Особое значение приобретает простота управления самолетом, что должно сказаться на увеличении количества боевых вылетов летчика в день, тем самым как бы увеличивая количество самолетов, участвующих в бою.</w:t>
      </w:r>
    </w:p>
    <w:p w14:paraId="0BDD36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технологической обработки и тактической проверки самолета я считал бы целесообразным построить несколько экземпляров Су-6. Завод N 19 имеет 6 свободных моторов М-71 и опытный цех Швецова может свободно изготовить еще столько же моторов и помочь механическими работами при изготовлении самолетов.</w:t>
      </w:r>
    </w:p>
    <w:p w14:paraId="407396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Прошу Вашего распоряжения о постройке заводом N 289 девяти экземпляров Су-6 М-71 в первой половине 1942 года (2759,92).</w:t>
      </w:r>
    </w:p>
    <w:p w14:paraId="2D6AB4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19451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декабря 1941 М.П.Васякин выполнил первый полет головного 103В с М-82 и АВ-5-167 (4,176). От завода 166 ви был Е.К.Стоман, а от ВВС ви Мируц, л Жданов и ш Цветков. Есть данные, что первый полет выполнил не М.П.Васякин, а Я.Г.Пауль (1835,18). Из-за неудовлетворительной работы двигателей испытаний затянулись до 22 августа 1942 (1835,18).</w:t>
      </w:r>
    </w:p>
    <w:p w14:paraId="61FD1B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6039A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декабря 1941 года состоялся первый вылет ма</w:t>
      </w:r>
      <w:r w:rsidRPr="00640820">
        <w:rPr>
          <w:rFonts w:ascii="Times New Roman" w:hAnsi="Times New Roman"/>
          <w:color w:val="000000" w:themeColor="text1"/>
          <w:sz w:val="16"/>
          <w:szCs w:val="16"/>
        </w:rPr>
        <w:softHyphen/>
        <w:t>шины «103В» с 2 М-82 на заводе № 166 под управлением летчика-ис</w:t>
      </w:r>
      <w:r w:rsidRPr="00640820">
        <w:rPr>
          <w:rFonts w:ascii="Times New Roman" w:hAnsi="Times New Roman"/>
          <w:color w:val="000000" w:themeColor="text1"/>
          <w:sz w:val="16"/>
          <w:szCs w:val="16"/>
        </w:rPr>
        <w:softHyphen/>
        <w:t>пытателя М.П. Васякина. Однако дальней</w:t>
      </w:r>
      <w:r w:rsidRPr="00640820">
        <w:rPr>
          <w:rFonts w:ascii="Times New Roman" w:hAnsi="Times New Roman"/>
          <w:color w:val="000000" w:themeColor="text1"/>
          <w:sz w:val="16"/>
          <w:szCs w:val="16"/>
        </w:rPr>
        <w:softHyphen/>
        <w:t>шие испытания затянулись на 7,5 месяцев - до 1 августа 1942 года. Как отмечалось потом в отчете по испытаниям: «Основные причины за</w:t>
      </w:r>
      <w:r w:rsidRPr="00640820">
        <w:rPr>
          <w:rFonts w:ascii="Times New Roman" w:hAnsi="Times New Roman"/>
          <w:color w:val="000000" w:themeColor="text1"/>
          <w:sz w:val="16"/>
          <w:szCs w:val="16"/>
        </w:rPr>
        <w:softHyphen/>
        <w:t>тяжки испытаний: неудовлетворитель</w:t>
      </w:r>
      <w:r w:rsidRPr="00640820">
        <w:rPr>
          <w:rFonts w:ascii="Times New Roman" w:hAnsi="Times New Roman"/>
          <w:color w:val="000000" w:themeColor="text1"/>
          <w:sz w:val="16"/>
          <w:szCs w:val="16"/>
        </w:rPr>
        <w:softHyphen/>
        <w:t>ная работа моторов М-82 и длитель</w:t>
      </w:r>
      <w:r w:rsidRPr="00640820">
        <w:rPr>
          <w:rFonts w:ascii="Times New Roman" w:hAnsi="Times New Roman"/>
          <w:color w:val="000000" w:themeColor="text1"/>
          <w:sz w:val="16"/>
          <w:szCs w:val="16"/>
        </w:rPr>
        <w:softHyphen/>
        <w:t>ная доводка винто-моторной группы. Во время испытаний было заменено восемь моторов... Из-за неудовлет</w:t>
      </w:r>
      <w:r w:rsidRPr="00640820">
        <w:rPr>
          <w:rFonts w:ascii="Times New Roman" w:hAnsi="Times New Roman"/>
          <w:color w:val="000000" w:themeColor="text1"/>
          <w:sz w:val="16"/>
          <w:szCs w:val="16"/>
        </w:rPr>
        <w:softHyphen/>
        <w:t>ворительной работы моторов само</w:t>
      </w:r>
      <w:r w:rsidRPr="00640820">
        <w:rPr>
          <w:rFonts w:ascii="Times New Roman" w:hAnsi="Times New Roman"/>
          <w:color w:val="000000" w:themeColor="text1"/>
          <w:sz w:val="16"/>
          <w:szCs w:val="16"/>
        </w:rPr>
        <w:softHyphen/>
        <w:t>лет простоял 132 дня, что составляет 57,7% времени, потраченного на ис</w:t>
      </w:r>
      <w:r w:rsidRPr="00640820">
        <w:rPr>
          <w:rFonts w:ascii="Times New Roman" w:hAnsi="Times New Roman"/>
          <w:color w:val="000000" w:themeColor="text1"/>
          <w:sz w:val="16"/>
          <w:szCs w:val="16"/>
        </w:rPr>
        <w:softHyphen/>
        <w:t>пытания» (10686).</w:t>
      </w:r>
    </w:p>
    <w:p w14:paraId="135136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384CFE0" w14:textId="77777777" w:rsidR="00173061" w:rsidRPr="00640820" w:rsidRDefault="0017306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lang w:eastAsia="ru-RU" w:bidi="ru-RU"/>
        </w:rPr>
        <w:t>15 дека</w:t>
      </w:r>
      <w:r w:rsidRPr="00640820">
        <w:rPr>
          <w:rFonts w:ascii="Times New Roman" w:hAnsi="Times New Roman"/>
          <w:color w:val="0070C0"/>
          <w:sz w:val="16"/>
          <w:szCs w:val="16"/>
          <w:lang w:eastAsia="ru-RU" w:bidi="ru-RU"/>
        </w:rPr>
        <w:softHyphen/>
        <w:t>бря 1941 состоялся первый полет 103В. На борту самолета находились лет</w:t>
      </w:r>
      <w:r w:rsidRPr="00640820">
        <w:rPr>
          <w:rFonts w:ascii="Times New Roman" w:hAnsi="Times New Roman"/>
          <w:color w:val="0070C0"/>
          <w:sz w:val="16"/>
          <w:szCs w:val="16"/>
          <w:lang w:eastAsia="ru-RU" w:bidi="ru-RU"/>
        </w:rPr>
        <w:softHyphen/>
        <w:t>чик М.П. Васякин и штурман Н.М. Пан</w:t>
      </w:r>
      <w:r w:rsidRPr="00640820">
        <w:rPr>
          <w:rFonts w:ascii="Times New Roman" w:hAnsi="Times New Roman"/>
          <w:color w:val="0070C0"/>
          <w:sz w:val="16"/>
          <w:szCs w:val="16"/>
          <w:lang w:eastAsia="ru-RU" w:bidi="ru-RU"/>
        </w:rPr>
        <w:softHyphen/>
        <w:t>ченко. Шасси убирать не стали. Испытания рассматривались как совместные - завод</w:t>
      </w:r>
      <w:r w:rsidRPr="00640820">
        <w:rPr>
          <w:rFonts w:ascii="Times New Roman" w:hAnsi="Times New Roman"/>
          <w:color w:val="0070C0"/>
          <w:sz w:val="16"/>
          <w:szCs w:val="16"/>
          <w:lang w:eastAsia="ru-RU" w:bidi="ru-RU"/>
        </w:rPr>
        <w:softHyphen/>
        <w:t>ские и государственные одновременно. Шли они долго - семь с половиной меся</w:t>
      </w:r>
      <w:r w:rsidRPr="00640820">
        <w:rPr>
          <w:rFonts w:ascii="Times New Roman" w:hAnsi="Times New Roman"/>
          <w:color w:val="0070C0"/>
          <w:sz w:val="16"/>
          <w:szCs w:val="16"/>
          <w:lang w:eastAsia="ru-RU" w:bidi="ru-RU"/>
        </w:rPr>
        <w:softHyphen/>
        <w:t>цев, но намеченную программу завершить так и не удалось. Причиной стала недо</w:t>
      </w:r>
      <w:r w:rsidRPr="00640820">
        <w:rPr>
          <w:rFonts w:ascii="Times New Roman" w:hAnsi="Times New Roman"/>
          <w:color w:val="0070C0"/>
          <w:sz w:val="16"/>
          <w:szCs w:val="16"/>
          <w:lang w:eastAsia="ru-RU" w:bidi="ru-RU"/>
        </w:rPr>
        <w:softHyphen/>
        <w:t>статочная надежность моторов; за время испытаний на «103В» заменили восемь двигателей. Около двух третей времени, 132 дня, машина простояла в ремонте.</w:t>
      </w:r>
    </w:p>
    <w:p w14:paraId="4927BD3C" w14:textId="77777777" w:rsidR="00173061" w:rsidRPr="00640820" w:rsidRDefault="0017306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lang w:eastAsia="ru-RU" w:bidi="ru-RU"/>
        </w:rPr>
        <w:t>Максимальная скорость, достигну</w:t>
      </w:r>
      <w:r w:rsidRPr="00640820">
        <w:rPr>
          <w:rFonts w:ascii="Times New Roman" w:hAnsi="Times New Roman"/>
          <w:color w:val="0070C0"/>
          <w:sz w:val="16"/>
          <w:szCs w:val="16"/>
          <w:lang w:eastAsia="ru-RU" w:bidi="ru-RU"/>
        </w:rPr>
        <w:softHyphen/>
        <w:t>тая в ходе испытаний, равнялась 525 км/ч. Но надо сказать, что это мало отразилось на реальных боевых качествах машины. Дело в том, что основными высотами боевого применения считались 3000-4000 м, а в этом диапазоне ухудшения данных по сравнению с вариантом с АМ-37 не про</w:t>
      </w:r>
      <w:r w:rsidRPr="00640820">
        <w:rPr>
          <w:rFonts w:ascii="Times New Roman" w:hAnsi="Times New Roman"/>
          <w:color w:val="0070C0"/>
          <w:sz w:val="16"/>
          <w:szCs w:val="16"/>
          <w:lang w:eastAsia="ru-RU" w:bidi="ru-RU"/>
        </w:rPr>
        <w:softHyphen/>
        <w:t>изошло. За время испытаний имели ме</w:t>
      </w:r>
      <w:r w:rsidRPr="00640820">
        <w:rPr>
          <w:rFonts w:ascii="Times New Roman" w:hAnsi="Times New Roman"/>
          <w:color w:val="0070C0"/>
          <w:sz w:val="16"/>
          <w:szCs w:val="16"/>
          <w:lang w:eastAsia="ru-RU" w:bidi="ru-RU"/>
        </w:rPr>
        <w:softHyphen/>
        <w:t>сто три случая аварийного выпуска шасси пневмогидравлической системой, причем каждый раз давление воздуха оказыва</w:t>
      </w:r>
      <w:r w:rsidRPr="00640820">
        <w:rPr>
          <w:rFonts w:ascii="Times New Roman" w:hAnsi="Times New Roman"/>
          <w:color w:val="0070C0"/>
          <w:sz w:val="16"/>
          <w:szCs w:val="16"/>
          <w:lang w:eastAsia="ru-RU" w:bidi="ru-RU"/>
        </w:rPr>
        <w:softHyphen/>
        <w:t>лось недостаточным, и приходилось пять- семь минут подкачивать баллон компрес</w:t>
      </w:r>
      <w:r w:rsidRPr="00640820">
        <w:rPr>
          <w:rFonts w:ascii="Times New Roman" w:hAnsi="Times New Roman"/>
          <w:color w:val="0070C0"/>
          <w:sz w:val="16"/>
          <w:szCs w:val="16"/>
          <w:lang w:eastAsia="ru-RU" w:bidi="ru-RU"/>
        </w:rPr>
        <w:softHyphen/>
        <w:t>сором АК-50. Механики перебрали ци</w:t>
      </w:r>
      <w:r w:rsidRPr="00640820">
        <w:rPr>
          <w:rFonts w:ascii="Times New Roman" w:hAnsi="Times New Roman"/>
          <w:color w:val="0070C0"/>
          <w:sz w:val="16"/>
          <w:szCs w:val="16"/>
          <w:lang w:eastAsia="ru-RU" w:bidi="ru-RU"/>
        </w:rPr>
        <w:softHyphen/>
        <w:t>линдры основной системы выпуска, ги</w:t>
      </w:r>
      <w:r w:rsidRPr="00640820">
        <w:rPr>
          <w:rFonts w:ascii="Times New Roman" w:hAnsi="Times New Roman"/>
          <w:color w:val="0070C0"/>
          <w:sz w:val="16"/>
          <w:szCs w:val="16"/>
          <w:lang w:eastAsia="ru-RU" w:bidi="ru-RU"/>
        </w:rPr>
        <w:softHyphen/>
        <w:t>дравлической, после чего неприятности исчезли. Несколько раз самопроизвольно выпадало из своего отсека костыльное колесо. Летчик жаловался на тормоза: усилие на педалях оказалось слишком большим. Недостаточно жесткий фонарь отсасывало в полете; замки его были неу</w:t>
      </w:r>
      <w:r w:rsidRPr="00640820">
        <w:rPr>
          <w:rFonts w:ascii="Times New Roman" w:hAnsi="Times New Roman"/>
          <w:color w:val="0070C0"/>
          <w:sz w:val="16"/>
          <w:szCs w:val="16"/>
          <w:lang w:eastAsia="ru-RU" w:bidi="ru-RU"/>
        </w:rPr>
        <w:softHyphen/>
        <w:t>добны и ненадежны.</w:t>
      </w:r>
    </w:p>
    <w:p w14:paraId="14938030" w14:textId="77777777" w:rsidR="00173061" w:rsidRPr="00640820" w:rsidRDefault="0017306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lang w:eastAsia="ru-RU" w:bidi="ru-RU"/>
        </w:rPr>
        <w:t>Наземный состав высказывал пре</w:t>
      </w:r>
      <w:r w:rsidRPr="00640820">
        <w:rPr>
          <w:rFonts w:ascii="Times New Roman" w:hAnsi="Times New Roman"/>
          <w:color w:val="0070C0"/>
          <w:sz w:val="16"/>
          <w:szCs w:val="16"/>
          <w:lang w:eastAsia="ru-RU" w:bidi="ru-RU"/>
        </w:rPr>
        <w:softHyphen/>
        <w:t>тензии в отношении неудобства доступа к некоторым агрегатам. К фюзеляжным бензобакам мешали подобраться бом</w:t>
      </w:r>
      <w:r w:rsidRPr="00640820">
        <w:rPr>
          <w:rFonts w:ascii="Times New Roman" w:hAnsi="Times New Roman"/>
          <w:color w:val="0070C0"/>
          <w:sz w:val="16"/>
          <w:szCs w:val="16"/>
          <w:lang w:eastAsia="ru-RU" w:bidi="ru-RU"/>
        </w:rPr>
        <w:softHyphen/>
        <w:t>бодержатели и раскосы фюзеляжа, к ко</w:t>
      </w:r>
      <w:r w:rsidRPr="00640820">
        <w:rPr>
          <w:rFonts w:ascii="Times New Roman" w:hAnsi="Times New Roman"/>
          <w:color w:val="0070C0"/>
          <w:sz w:val="16"/>
          <w:szCs w:val="16"/>
          <w:lang w:eastAsia="ru-RU" w:bidi="ru-RU"/>
        </w:rPr>
        <w:softHyphen/>
        <w:t>стылю - броня и трубы парашютных ракет. Очень трудно было извлечь баки из кес</w:t>
      </w:r>
      <w:r w:rsidRPr="00640820">
        <w:rPr>
          <w:rFonts w:ascii="Times New Roman" w:hAnsi="Times New Roman"/>
          <w:color w:val="0070C0"/>
          <w:sz w:val="16"/>
          <w:szCs w:val="16"/>
          <w:lang w:eastAsia="ru-RU" w:bidi="ru-RU"/>
        </w:rPr>
        <w:softHyphen/>
        <w:t>сона крыла.</w:t>
      </w:r>
    </w:p>
    <w:p w14:paraId="79A97FA9" w14:textId="77777777" w:rsidR="00173061" w:rsidRPr="00640820" w:rsidRDefault="0017306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lang w:eastAsia="ru-RU" w:bidi="ru-RU"/>
        </w:rPr>
        <w:t>С другой стороны, экипаж отметил от</w:t>
      </w:r>
      <w:r w:rsidRPr="00640820">
        <w:rPr>
          <w:rFonts w:ascii="Times New Roman" w:hAnsi="Times New Roman"/>
          <w:color w:val="0070C0"/>
          <w:sz w:val="16"/>
          <w:szCs w:val="16"/>
          <w:lang w:eastAsia="ru-RU" w:bidi="ru-RU"/>
        </w:rPr>
        <w:softHyphen/>
        <w:t>личный обзор из кабины, простоту руле</w:t>
      </w:r>
      <w:r w:rsidRPr="00640820">
        <w:rPr>
          <w:rFonts w:ascii="Times New Roman" w:hAnsi="Times New Roman"/>
          <w:color w:val="0070C0"/>
          <w:sz w:val="16"/>
          <w:szCs w:val="16"/>
          <w:lang w:eastAsia="ru-RU" w:bidi="ru-RU"/>
        </w:rPr>
        <w:softHyphen/>
        <w:t>ния по земле, взлета и посадки. Тенден</w:t>
      </w:r>
      <w:r w:rsidRPr="00640820">
        <w:rPr>
          <w:rFonts w:ascii="Times New Roman" w:hAnsi="Times New Roman"/>
          <w:color w:val="0070C0"/>
          <w:sz w:val="16"/>
          <w:szCs w:val="16"/>
          <w:lang w:eastAsia="ru-RU" w:bidi="ru-RU"/>
        </w:rPr>
        <w:softHyphen/>
        <w:t>ции к сваливанию на крыло не отмеча</w:t>
      </w:r>
      <w:r w:rsidRPr="00640820">
        <w:rPr>
          <w:rFonts w:ascii="Times New Roman" w:hAnsi="Times New Roman"/>
          <w:color w:val="0070C0"/>
          <w:sz w:val="16"/>
          <w:szCs w:val="16"/>
          <w:lang w:eastAsia="ru-RU" w:bidi="ru-RU"/>
        </w:rPr>
        <w:softHyphen/>
        <w:t>лись. В этом отношении «103В» значи</w:t>
      </w:r>
      <w:r w:rsidRPr="00640820">
        <w:rPr>
          <w:rFonts w:ascii="Times New Roman" w:hAnsi="Times New Roman"/>
          <w:color w:val="0070C0"/>
          <w:sz w:val="16"/>
          <w:szCs w:val="16"/>
          <w:lang w:eastAsia="ru-RU" w:bidi="ru-RU"/>
        </w:rPr>
        <w:softHyphen/>
        <w:t>тельно превосходил основной в то время советский бомбардировщик Пе-2. Устой</w:t>
      </w:r>
      <w:r w:rsidRPr="00640820">
        <w:rPr>
          <w:rFonts w:ascii="Times New Roman" w:hAnsi="Times New Roman"/>
          <w:color w:val="0070C0"/>
          <w:sz w:val="16"/>
          <w:szCs w:val="16"/>
          <w:lang w:eastAsia="ru-RU" w:bidi="ru-RU"/>
        </w:rPr>
        <w:softHyphen/>
        <w:t>чивость и управляемость произвели на пилота хорошее впечатление. Васякин за</w:t>
      </w:r>
      <w:r w:rsidRPr="00640820">
        <w:rPr>
          <w:rFonts w:ascii="Times New Roman" w:hAnsi="Times New Roman"/>
          <w:color w:val="0070C0"/>
          <w:sz w:val="16"/>
          <w:szCs w:val="16"/>
          <w:lang w:eastAsia="ru-RU" w:bidi="ru-RU"/>
        </w:rPr>
        <w:softHyphen/>
        <w:t>писал в отчете: «Особенно приятна попе</w:t>
      </w:r>
      <w:r w:rsidRPr="00640820">
        <w:rPr>
          <w:rFonts w:ascii="Times New Roman" w:hAnsi="Times New Roman"/>
          <w:color w:val="0070C0"/>
          <w:sz w:val="16"/>
          <w:szCs w:val="16"/>
          <w:lang w:eastAsia="ru-RU" w:bidi="ru-RU"/>
        </w:rPr>
        <w:softHyphen/>
        <w:t>речная устойчивость». Самолет был очень устойчив на пикировании. При полетном весе до 10 500 кг машина уверенно ле</w:t>
      </w:r>
      <w:r w:rsidRPr="00640820">
        <w:rPr>
          <w:rFonts w:ascii="Times New Roman" w:hAnsi="Times New Roman"/>
          <w:color w:val="0070C0"/>
          <w:sz w:val="16"/>
          <w:szCs w:val="16"/>
          <w:lang w:eastAsia="ru-RU" w:bidi="ru-RU"/>
        </w:rPr>
        <w:softHyphen/>
        <w:t>тела на одном моторе.</w:t>
      </w:r>
    </w:p>
    <w:p w14:paraId="76936882" w14:textId="77777777" w:rsidR="00173061" w:rsidRPr="00640820" w:rsidRDefault="0017306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lang w:eastAsia="ru-RU" w:bidi="ru-RU"/>
        </w:rPr>
        <w:t>Полеты «103В» приостановили 1 авгу</w:t>
      </w:r>
      <w:r w:rsidRPr="00640820">
        <w:rPr>
          <w:rFonts w:ascii="Times New Roman" w:hAnsi="Times New Roman"/>
          <w:color w:val="0070C0"/>
          <w:sz w:val="16"/>
          <w:szCs w:val="16"/>
          <w:lang w:eastAsia="ru-RU" w:bidi="ru-RU"/>
        </w:rPr>
        <w:softHyphen/>
        <w:t>ста 1942 г. Главный инженер ВВС А.К. Ре</w:t>
      </w:r>
      <w:r w:rsidRPr="00640820">
        <w:rPr>
          <w:rFonts w:ascii="Times New Roman" w:hAnsi="Times New Roman"/>
          <w:color w:val="0070C0"/>
          <w:sz w:val="16"/>
          <w:szCs w:val="16"/>
          <w:lang w:eastAsia="ru-RU" w:bidi="ru-RU"/>
        </w:rPr>
        <w:softHyphen/>
        <w:t>пин распорядился: «Испытания прекра</w:t>
      </w:r>
      <w:r w:rsidRPr="00640820">
        <w:rPr>
          <w:rFonts w:ascii="Times New Roman" w:hAnsi="Times New Roman"/>
          <w:color w:val="0070C0"/>
          <w:sz w:val="16"/>
          <w:szCs w:val="16"/>
          <w:lang w:eastAsia="ru-RU" w:bidi="ru-RU"/>
        </w:rPr>
        <w:softHyphen/>
        <w:t>тить. Характеристики самолета и оценки работы агрегатов дать по серийному са</w:t>
      </w:r>
      <w:r w:rsidRPr="00640820">
        <w:rPr>
          <w:rFonts w:ascii="Times New Roman" w:hAnsi="Times New Roman"/>
          <w:color w:val="0070C0"/>
          <w:sz w:val="16"/>
          <w:szCs w:val="16"/>
          <w:lang w:eastAsia="ru-RU" w:bidi="ru-RU"/>
        </w:rPr>
        <w:softHyphen/>
        <w:t>молету Ту-2». Именно под этим обозна</w:t>
      </w:r>
      <w:r w:rsidRPr="00640820">
        <w:rPr>
          <w:rFonts w:ascii="Times New Roman" w:hAnsi="Times New Roman"/>
          <w:color w:val="0070C0"/>
          <w:sz w:val="16"/>
          <w:szCs w:val="16"/>
          <w:lang w:eastAsia="ru-RU" w:bidi="ru-RU"/>
        </w:rPr>
        <w:softHyphen/>
        <w:t>чением собирались выпускать новую ма</w:t>
      </w:r>
      <w:r w:rsidRPr="00640820">
        <w:rPr>
          <w:rFonts w:ascii="Times New Roman" w:hAnsi="Times New Roman"/>
          <w:color w:val="0070C0"/>
          <w:sz w:val="16"/>
          <w:szCs w:val="16"/>
          <w:lang w:eastAsia="ru-RU" w:bidi="ru-RU"/>
        </w:rPr>
        <w:softHyphen/>
        <w:t>шину. В соответствии с системой, введен</w:t>
      </w:r>
      <w:r w:rsidRPr="00640820">
        <w:rPr>
          <w:rFonts w:ascii="Times New Roman" w:hAnsi="Times New Roman"/>
          <w:color w:val="0070C0"/>
          <w:sz w:val="16"/>
          <w:szCs w:val="16"/>
          <w:lang w:eastAsia="ru-RU" w:bidi="ru-RU"/>
        </w:rPr>
        <w:softHyphen/>
        <w:t>ной в декабре 1940 г., были взяты две первые буквы фамилии главного кон</w:t>
      </w:r>
      <w:r w:rsidRPr="00640820">
        <w:rPr>
          <w:rFonts w:ascii="Times New Roman" w:hAnsi="Times New Roman"/>
          <w:color w:val="0070C0"/>
          <w:sz w:val="16"/>
          <w:szCs w:val="16"/>
          <w:lang w:eastAsia="ru-RU" w:bidi="ru-RU"/>
        </w:rPr>
        <w:softHyphen/>
        <w:t>структора, переставшего быть безымян</w:t>
      </w:r>
      <w:r w:rsidRPr="00640820">
        <w:rPr>
          <w:rFonts w:ascii="Times New Roman" w:hAnsi="Times New Roman"/>
          <w:color w:val="0070C0"/>
          <w:sz w:val="16"/>
          <w:szCs w:val="16"/>
          <w:lang w:eastAsia="ru-RU" w:bidi="ru-RU"/>
        </w:rPr>
        <w:softHyphen/>
        <w:t>ным арестантом, а цифра «2» (первая чет</w:t>
      </w:r>
      <w:r w:rsidRPr="00640820">
        <w:rPr>
          <w:rFonts w:ascii="Times New Roman" w:hAnsi="Times New Roman"/>
          <w:color w:val="0070C0"/>
          <w:sz w:val="16"/>
          <w:szCs w:val="16"/>
          <w:lang w:eastAsia="ru-RU" w:bidi="ru-RU"/>
        </w:rPr>
        <w:softHyphen/>
        <w:t>ная) показывала, что это первый бом</w:t>
      </w:r>
      <w:r w:rsidRPr="00640820">
        <w:rPr>
          <w:rFonts w:ascii="Times New Roman" w:hAnsi="Times New Roman"/>
          <w:color w:val="0070C0"/>
          <w:sz w:val="16"/>
          <w:szCs w:val="16"/>
          <w:lang w:eastAsia="ru-RU" w:bidi="ru-RU"/>
        </w:rPr>
        <w:softHyphen/>
        <w:t>бардировщик, созданный конструктором. Официально обозначение Ту-2 присвоили постановлением ГКО от 26 марта 1942 г. Это была первая машина, получившая марку «Ту», ставшую позднее знаменитой.</w:t>
      </w:r>
    </w:p>
    <w:p w14:paraId="101D35A5" w14:textId="77777777" w:rsidR="00173061" w:rsidRPr="00640820" w:rsidRDefault="00173061" w:rsidP="00640820">
      <w:pPr>
        <w:spacing w:after="0" w:line="240" w:lineRule="auto"/>
        <w:jc w:val="both"/>
        <w:rPr>
          <w:rFonts w:ascii="Times New Roman" w:hAnsi="Times New Roman"/>
          <w:color w:val="0070C0"/>
          <w:sz w:val="16"/>
          <w:szCs w:val="16"/>
          <w:lang w:eastAsia="ru-RU" w:bidi="ru-RU"/>
        </w:rPr>
      </w:pPr>
      <w:r w:rsidRPr="00640820">
        <w:rPr>
          <w:rFonts w:ascii="Times New Roman" w:hAnsi="Times New Roman"/>
          <w:color w:val="0070C0"/>
          <w:sz w:val="16"/>
          <w:szCs w:val="16"/>
          <w:lang w:eastAsia="ru-RU" w:bidi="ru-RU"/>
        </w:rPr>
        <w:t>В выводах отчета по совместным испы</w:t>
      </w:r>
      <w:r w:rsidRPr="00640820">
        <w:rPr>
          <w:rFonts w:ascii="Times New Roman" w:hAnsi="Times New Roman"/>
          <w:color w:val="0070C0"/>
          <w:sz w:val="16"/>
          <w:szCs w:val="16"/>
          <w:lang w:eastAsia="ru-RU" w:bidi="ru-RU"/>
        </w:rPr>
        <w:softHyphen/>
        <w:t>таниям указали: «...самолет«103В» 2 М-82А по своей управляемости, устойчивости, взлетно-посадочным свойствам, а также маневренности и температурным режимам ВМГ удовлетворяет требованиям». Туполев при разборе результатов полетов сказал: «Васякин дал путевку в небо Ту-2» (21061).</w:t>
      </w:r>
    </w:p>
    <w:p w14:paraId="4B9FBC81" w14:textId="77777777" w:rsidR="00173061" w:rsidRPr="00640820" w:rsidRDefault="00173061" w:rsidP="00640820">
      <w:pPr>
        <w:spacing w:after="0" w:line="240" w:lineRule="auto"/>
        <w:jc w:val="both"/>
        <w:rPr>
          <w:rFonts w:ascii="Times New Roman" w:hAnsi="Times New Roman"/>
          <w:color w:val="0070C0"/>
          <w:sz w:val="16"/>
          <w:szCs w:val="16"/>
        </w:rPr>
      </w:pPr>
    </w:p>
    <w:p w14:paraId="2DA60A40" w14:textId="77777777" w:rsidR="00F575EB" w:rsidRPr="00640820" w:rsidRDefault="00F575EB" w:rsidP="00640820">
      <w:pPr>
        <w:pStyle w:val="a3"/>
        <w:rPr>
          <w:color w:val="000000" w:themeColor="text1"/>
          <w:lang w:val="ru-RU"/>
        </w:rPr>
      </w:pPr>
      <w:r w:rsidRPr="00640820">
        <w:rPr>
          <w:color w:val="000000" w:themeColor="text1"/>
          <w:lang w:val="ru-RU"/>
        </w:rPr>
        <w:t>15 декабря 1941 г. под управлением лётчика-испытателя М.П. Васякина состоялся первый вылет машины «103В» с 2 М-82. Однако дальнейшие испытания затянулись на 7,5 месяцев до 1 августа 1942 г. Как отмечалось потом в отчете по испытаниям:</w:t>
      </w:r>
    </w:p>
    <w:p w14:paraId="55E402FA" w14:textId="77777777" w:rsidR="00F575EB" w:rsidRPr="00640820" w:rsidRDefault="00F575EB" w:rsidP="00640820">
      <w:pPr>
        <w:pStyle w:val="a3"/>
        <w:rPr>
          <w:color w:val="000000" w:themeColor="text1"/>
          <w:lang w:val="ru-RU"/>
        </w:rPr>
      </w:pPr>
      <w:r w:rsidRPr="00640820">
        <w:rPr>
          <w:color w:val="000000" w:themeColor="text1"/>
          <w:lang w:val="ru-RU"/>
        </w:rPr>
        <w:t>«Основные причины затяжки испытаний: неудовлетворительная работа моторов М-82 и длительная доводка винто-моторной группы. Во время испытаний было заменено во</w:t>
      </w:r>
      <w:r w:rsidRPr="00640820">
        <w:rPr>
          <w:color w:val="000000" w:themeColor="text1"/>
          <w:lang w:val="ru-RU"/>
        </w:rPr>
        <w:softHyphen/>
        <w:t>семь моторов... Из-за неудовлетворительной работы моторов самолёт простоял 132 дня, что составляет 57,7% времени, потраченного на испытания» (15788).</w:t>
      </w:r>
    </w:p>
    <w:p w14:paraId="275326D6" w14:textId="77777777" w:rsidR="00F575EB" w:rsidRPr="00640820" w:rsidRDefault="00F575EB" w:rsidP="00640820">
      <w:pPr>
        <w:pStyle w:val="a3"/>
        <w:rPr>
          <w:color w:val="000000" w:themeColor="text1"/>
          <w:lang w:val="ru-RU"/>
        </w:rPr>
      </w:pPr>
    </w:p>
    <w:p w14:paraId="3C059671" w14:textId="77777777" w:rsidR="007627BD" w:rsidRPr="00640820" w:rsidRDefault="007627BD" w:rsidP="00640820">
      <w:pPr>
        <w:spacing w:after="0" w:line="240" w:lineRule="auto"/>
        <w:jc w:val="both"/>
        <w:rPr>
          <w:rFonts w:ascii="Times New Roman" w:hAnsi="Times New Roman"/>
          <w:bCs/>
          <w:color w:val="000000" w:themeColor="text1"/>
          <w:sz w:val="16"/>
          <w:szCs w:val="16"/>
        </w:rPr>
      </w:pPr>
      <w:r w:rsidRPr="00640820">
        <w:rPr>
          <w:rFonts w:ascii="Times New Roman" w:hAnsi="Times New Roman"/>
          <w:bCs/>
          <w:color w:val="000000" w:themeColor="text1"/>
          <w:sz w:val="16"/>
          <w:szCs w:val="16"/>
        </w:rPr>
        <w:t>15 декабря</w:t>
      </w:r>
      <w:r w:rsidRPr="00640820">
        <w:rPr>
          <w:rFonts w:ascii="Times New Roman" w:hAnsi="Times New Roman"/>
          <w:color w:val="000000" w:themeColor="text1"/>
          <w:sz w:val="16"/>
          <w:szCs w:val="16"/>
        </w:rPr>
        <w:t xml:space="preserve"> в 1941 году состоялся первый полет бомбардировщика «103В» («Ту-2») с двигателями М-82А, экипаж М.П.Васякина. После начала войны большая часть заключенных специалистов выпускается на свободу и эвакуируется в Омск, где одновременно с созданием серийного завода по выпуску туполевского бомбардировщика идет доработка проектов "103" и "103У", в соотстветствии с нуждами военного времени. Машина приспосабливается под новую силовую установку с двигателями воздушного охлаждения М-82 (самолет "103В", "60").</w:t>
      </w:r>
    </w:p>
    <w:p w14:paraId="3D693774" w14:textId="77777777" w:rsidR="007627BD" w:rsidRPr="00640820" w:rsidRDefault="007627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Осенью 1941 года в коллектив вливается А.А. Архангельский с частью своего ОКБ. В декабре 1941 года опытный самолет "103В" уходит в первый полет, начинаются испытания и доводки новой машины (14861).</w:t>
      </w:r>
    </w:p>
    <w:p w14:paraId="08814525" w14:textId="77777777" w:rsidR="007627BD" w:rsidRPr="00640820" w:rsidRDefault="007627BD" w:rsidP="00640820">
      <w:pPr>
        <w:spacing w:after="0" w:line="240" w:lineRule="auto"/>
        <w:jc w:val="both"/>
        <w:rPr>
          <w:rFonts w:ascii="Times New Roman" w:hAnsi="Times New Roman"/>
          <w:color w:val="000000" w:themeColor="text1"/>
          <w:sz w:val="16"/>
          <w:szCs w:val="16"/>
        </w:rPr>
      </w:pPr>
    </w:p>
    <w:p w14:paraId="624654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 декабря 1941 по 31 июля 1942 на аэродроме завода 166 в Омске проходили совместные испытания 103В (Ту-2) (796,26) с М-82А и АВ-5-167 (826). Первый вылет был 24 января 1942, но была вынужденная посадка и с 25.01 по 26.02 - чинили и не было моторов. С 27.02 по 13.03 ставили моторы. 14.03 был пробный полет. С 15.03 по 17.03.1942 заменяли цилиндр N 5 (826).</w:t>
      </w:r>
    </w:p>
    <w:p w14:paraId="3F2134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7DF9C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декабря 1941 состоялся первый полет 103В. На борту самолета находились летчик М.П. Васякин и штурман Н.М. Панченко. Шасси убирать не стали. Испытания рассматривались как совместные - заводские и государственные одновременно. Шли они долго - семь с половиной месяцев, но намеченную программу завершить так и не удалось. Причиной стала недостаточная надежность моторов; за время испытаний на "103В" заменили восемь двигателей, 132 дня машина простояла в ремонте.</w:t>
      </w:r>
    </w:p>
    <w:p w14:paraId="58902F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Максимальная скорость, достигнутая в ходе испытаний, равнялась 525 км/ч, что значительно уступало утвержденной постановлением ГКО цифре в 576 км/ч. Но надо сказать, что это мало отразилось на реальных боевых качествах машины. Дело в том, что основными высотами боевого применения считались 3000 - 4000 м, а в этом диапазоне ухудшения данных по сравнению с вариантом с АМ-37 не произошло. За время испытаний было три случая аварийного выпуска шасси пневмогид- равлической системой, причем каждый раз давление воздуха оказывалось недостаточным и приходилось пять-семь минут подкачивать баллон компрессором АК-50. Механики перебрали цилиндры основной системы выпуска, гидравлической, после чего неприятности исчезли. Несколько раз самопроизвольно выпадало из своего отсека костыльное колесо. Летчик жаловался на тормоза: усилие на педалях было слишком большим. Недостаточно жесткий фонарь отсасывало в полете; замки его были неудобны и ненадежны.</w:t>
      </w:r>
    </w:p>
    <w:p w14:paraId="2E7594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Наземный состав высказывал претензии в отношении неудобства доступа к некоторым агрегатам. К фюзеляжным бензобакам мешали подобраться бомбодержатели и раскосы фюзеляжа, к костылю - броня и трубы парашютных ракет. Очень трудно было извлечь баки из кессона крыла.</w:t>
      </w:r>
    </w:p>
    <w:p w14:paraId="6FD633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другой стороны, экипаж отметил отличный обзор из кабины, простоту руления по земле, взлета и посадки. Тенденции к сваливанию на крыло не отмечались. В этом отношении "103В" значительно превосходил основной в то время советский бомбардировщик Пе-2. Устойчивость и управляемость произвели на пилота хорошее впечатление.</w:t>
      </w:r>
    </w:p>
    <w:p w14:paraId="0793CF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Васякин записал в отчете: "Особенно приятна поперечная устойчивость". Самолет был очень устойчив на пикировании. При полетном весе до 10 500 кг машина уверенно летела на одном моторе.</w:t>
      </w:r>
    </w:p>
    <w:p w14:paraId="4C8AC8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Полеты приостановили 1 августа 1942 г. Заместитель командующего ВВС Репин распорядился: "Испытания прекратить. Характеристики самолета и оценки работы агрегатов дать по серийному самолету Ту-2". Именно под этим обозначением собирались выпускать новую машину. В соответствии с системой, введенной в декабре </w:t>
      </w:r>
      <w:r w:rsidRPr="00640820">
        <w:rPr>
          <w:rFonts w:ascii="Times New Roman" w:hAnsi="Times New Roman"/>
          <w:color w:val="000000" w:themeColor="text1"/>
          <w:sz w:val="16"/>
          <w:szCs w:val="16"/>
        </w:rPr>
        <w:lastRenderedPageBreak/>
        <w:t>1940 г., были взяты две первые буквы фамилии главного конструктора, переставшего быть безымянным арестантом, а цифра "2" (первая четная) показывала, что это первый бомбардировщик, созданный конструктором. Официально обозначение Ту-2 присвоили постановлением ГКО от 26 марта 1942 г. Это была первая машина, получившая марку "Ту", ставшую позднее знаменитой.</w:t>
      </w:r>
    </w:p>
    <w:p w14:paraId="032D0A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выводах отчета по совместным испытаниям указали: "...самолет "103В" 2 М-82А по своей управляемости, устойчивости, взлетно-поса- дочным свойствам, а также маневренности и температурным режимам ВМГ удовлетворяет требованиям". Туполев при разборе результатов полетов сказал: "Васякин дал путевку в небо Ту-2".</w:t>
      </w:r>
    </w:p>
    <w:p w14:paraId="720A38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Самолет спешно готовился к запуску в серийное производство. ВВС требовали от серийных бомбардировщиков увеличения скорости до цифры, предписанной постановлением, упростить и сделать более надежными гидросистему и тормозную систему, ввести бронирование снизу, заменить оба верхних пулемета на крупнокалиберные БС (12,7 мм) и предусмотреть подвеску химического вооружения (выливных приборов). Туполев считал выполнение этих требований вполне реальным, но занимающим некоторое время, так что делать все это собирались постепенно.</w:t>
      </w:r>
    </w:p>
    <w:p w14:paraId="0D334F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Данные опытных образцов самолета "103"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643896" w:rsidRPr="00640820" w14:paraId="1258A95A" w14:textId="77777777" w:rsidTr="000D3BCB">
        <w:tc>
          <w:tcPr>
            <w:tcW w:w="2802" w:type="dxa"/>
            <w:tcBorders>
              <w:top w:val="single" w:sz="12" w:space="0" w:color="auto"/>
            </w:tcBorders>
          </w:tcPr>
          <w:p w14:paraId="04891E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2802" w:type="dxa"/>
            <w:tcBorders>
              <w:top w:val="single" w:sz="12" w:space="0" w:color="auto"/>
            </w:tcBorders>
          </w:tcPr>
          <w:p w14:paraId="1B6F623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"103"</w:t>
            </w:r>
          </w:p>
        </w:tc>
        <w:tc>
          <w:tcPr>
            <w:tcW w:w="2802" w:type="dxa"/>
            <w:tcBorders>
              <w:top w:val="single" w:sz="12" w:space="0" w:color="auto"/>
            </w:tcBorders>
          </w:tcPr>
          <w:p w14:paraId="1B176C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"103У"</w:t>
            </w:r>
          </w:p>
        </w:tc>
        <w:tc>
          <w:tcPr>
            <w:tcW w:w="2802" w:type="dxa"/>
            <w:tcBorders>
              <w:top w:val="single" w:sz="12" w:space="0" w:color="auto"/>
            </w:tcBorders>
          </w:tcPr>
          <w:p w14:paraId="6CB90D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"103В"</w:t>
            </w:r>
          </w:p>
        </w:tc>
      </w:tr>
      <w:tr w:rsidR="00643896" w:rsidRPr="00640820" w14:paraId="340CF7BF" w14:textId="77777777" w:rsidTr="000D3BCB">
        <w:tc>
          <w:tcPr>
            <w:tcW w:w="2802" w:type="dxa"/>
          </w:tcPr>
          <w:p w14:paraId="6E658A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Тип двигателей</w:t>
            </w:r>
          </w:p>
        </w:tc>
        <w:tc>
          <w:tcPr>
            <w:tcW w:w="2802" w:type="dxa"/>
          </w:tcPr>
          <w:p w14:paraId="4874DD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АМ-37</w:t>
            </w:r>
          </w:p>
        </w:tc>
        <w:tc>
          <w:tcPr>
            <w:tcW w:w="2802" w:type="dxa"/>
          </w:tcPr>
          <w:p w14:paraId="4663C4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АМ-37</w:t>
            </w:r>
          </w:p>
        </w:tc>
        <w:tc>
          <w:tcPr>
            <w:tcW w:w="2802" w:type="dxa"/>
          </w:tcPr>
          <w:p w14:paraId="7C71C7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М-82</w:t>
            </w:r>
          </w:p>
        </w:tc>
      </w:tr>
      <w:tr w:rsidR="00643896" w:rsidRPr="00640820" w14:paraId="0F748520" w14:textId="77777777" w:rsidTr="000D3BCB">
        <w:tc>
          <w:tcPr>
            <w:tcW w:w="2802" w:type="dxa"/>
          </w:tcPr>
          <w:p w14:paraId="708936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Размах крыла, м</w:t>
            </w:r>
          </w:p>
        </w:tc>
        <w:tc>
          <w:tcPr>
            <w:tcW w:w="2802" w:type="dxa"/>
          </w:tcPr>
          <w:p w14:paraId="5AFBA2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18,8</w:t>
            </w:r>
          </w:p>
        </w:tc>
        <w:tc>
          <w:tcPr>
            <w:tcW w:w="2802" w:type="dxa"/>
          </w:tcPr>
          <w:p w14:paraId="02A3C9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18,8</w:t>
            </w:r>
          </w:p>
        </w:tc>
        <w:tc>
          <w:tcPr>
            <w:tcW w:w="2802" w:type="dxa"/>
          </w:tcPr>
          <w:p w14:paraId="6067F6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18,8</w:t>
            </w:r>
          </w:p>
        </w:tc>
      </w:tr>
      <w:tr w:rsidR="00643896" w:rsidRPr="00640820" w14:paraId="12C4616A" w14:textId="77777777" w:rsidTr="000D3BCB">
        <w:tc>
          <w:tcPr>
            <w:tcW w:w="2802" w:type="dxa"/>
          </w:tcPr>
          <w:p w14:paraId="0423D4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Площадь крыла, м2</w:t>
            </w:r>
          </w:p>
        </w:tc>
        <w:tc>
          <w:tcPr>
            <w:tcW w:w="2802" w:type="dxa"/>
          </w:tcPr>
          <w:p w14:paraId="6DAB3E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48,5</w:t>
            </w:r>
          </w:p>
        </w:tc>
        <w:tc>
          <w:tcPr>
            <w:tcW w:w="2802" w:type="dxa"/>
          </w:tcPr>
          <w:p w14:paraId="5D969C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48,5</w:t>
            </w:r>
          </w:p>
        </w:tc>
        <w:tc>
          <w:tcPr>
            <w:tcW w:w="2802" w:type="dxa"/>
          </w:tcPr>
          <w:p w14:paraId="75F6A9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48,5</w:t>
            </w:r>
          </w:p>
        </w:tc>
      </w:tr>
      <w:tr w:rsidR="00643896" w:rsidRPr="00640820" w14:paraId="37D03FF4" w14:textId="77777777" w:rsidTr="000D3BCB">
        <w:tc>
          <w:tcPr>
            <w:tcW w:w="2802" w:type="dxa"/>
          </w:tcPr>
          <w:p w14:paraId="12D9D8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Длина самолета, м</w:t>
            </w:r>
          </w:p>
        </w:tc>
        <w:tc>
          <w:tcPr>
            <w:tcW w:w="2802" w:type="dxa"/>
          </w:tcPr>
          <w:p w14:paraId="4A65D4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13,2</w:t>
            </w:r>
          </w:p>
        </w:tc>
        <w:tc>
          <w:tcPr>
            <w:tcW w:w="2802" w:type="dxa"/>
          </w:tcPr>
          <w:p w14:paraId="3FA457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13,8</w:t>
            </w:r>
          </w:p>
        </w:tc>
        <w:tc>
          <w:tcPr>
            <w:tcW w:w="2802" w:type="dxa"/>
          </w:tcPr>
          <w:p w14:paraId="1ED04AB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13,7</w:t>
            </w:r>
          </w:p>
        </w:tc>
      </w:tr>
      <w:tr w:rsidR="00643896" w:rsidRPr="00640820" w14:paraId="5643DFD4" w14:textId="77777777" w:rsidTr="000D3BCB">
        <w:tc>
          <w:tcPr>
            <w:tcW w:w="2802" w:type="dxa"/>
          </w:tcPr>
          <w:p w14:paraId="4B3240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Вес, кг: пустого</w:t>
            </w:r>
          </w:p>
        </w:tc>
        <w:tc>
          <w:tcPr>
            <w:tcW w:w="2802" w:type="dxa"/>
          </w:tcPr>
          <w:p w14:paraId="61ED6F3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7626</w:t>
            </w:r>
          </w:p>
        </w:tc>
        <w:tc>
          <w:tcPr>
            <w:tcW w:w="2802" w:type="dxa"/>
          </w:tcPr>
          <w:p w14:paraId="6CD049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7823</w:t>
            </w:r>
          </w:p>
        </w:tc>
        <w:tc>
          <w:tcPr>
            <w:tcW w:w="2802" w:type="dxa"/>
          </w:tcPr>
          <w:p w14:paraId="0DB0E4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7335</w:t>
            </w:r>
          </w:p>
        </w:tc>
      </w:tr>
      <w:tr w:rsidR="00643896" w:rsidRPr="00640820" w14:paraId="3384785F" w14:textId="77777777" w:rsidTr="000D3BCB">
        <w:tc>
          <w:tcPr>
            <w:tcW w:w="2802" w:type="dxa"/>
          </w:tcPr>
          <w:p w14:paraId="04EEB8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полетный нормальный </w:t>
            </w:r>
          </w:p>
        </w:tc>
        <w:tc>
          <w:tcPr>
            <w:tcW w:w="2802" w:type="dxa"/>
          </w:tcPr>
          <w:p w14:paraId="552B19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9950 </w:t>
            </w:r>
          </w:p>
        </w:tc>
        <w:tc>
          <w:tcPr>
            <w:tcW w:w="2802" w:type="dxa"/>
          </w:tcPr>
          <w:p w14:paraId="716CA5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10448</w:t>
            </w:r>
          </w:p>
        </w:tc>
        <w:tc>
          <w:tcPr>
            <w:tcW w:w="2802" w:type="dxa"/>
          </w:tcPr>
          <w:p w14:paraId="701D6A5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10230</w:t>
            </w:r>
          </w:p>
        </w:tc>
      </w:tr>
      <w:tr w:rsidR="00643896" w:rsidRPr="00640820" w14:paraId="7F2156B6" w14:textId="77777777" w:rsidTr="000D3BCB">
        <w:tc>
          <w:tcPr>
            <w:tcW w:w="2802" w:type="dxa"/>
          </w:tcPr>
          <w:p w14:paraId="7C0AB1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полетный максимальный</w:t>
            </w:r>
          </w:p>
        </w:tc>
        <w:tc>
          <w:tcPr>
            <w:tcW w:w="2802" w:type="dxa"/>
          </w:tcPr>
          <w:p w14:paraId="41427F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10 992</w:t>
            </w:r>
          </w:p>
        </w:tc>
        <w:tc>
          <w:tcPr>
            <w:tcW w:w="2802" w:type="dxa"/>
          </w:tcPr>
          <w:p w14:paraId="2F166F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11498</w:t>
            </w:r>
          </w:p>
        </w:tc>
        <w:tc>
          <w:tcPr>
            <w:tcW w:w="2802" w:type="dxa"/>
          </w:tcPr>
          <w:p w14:paraId="0AB93B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11700</w:t>
            </w:r>
          </w:p>
        </w:tc>
      </w:tr>
      <w:tr w:rsidR="00643896" w:rsidRPr="00640820" w14:paraId="12B0337D" w14:textId="77777777" w:rsidTr="000D3BCB">
        <w:tc>
          <w:tcPr>
            <w:tcW w:w="2802" w:type="dxa"/>
          </w:tcPr>
          <w:p w14:paraId="3D088A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Скорость максимальная, км/ч: у земли </w:t>
            </w:r>
          </w:p>
        </w:tc>
        <w:tc>
          <w:tcPr>
            <w:tcW w:w="2802" w:type="dxa"/>
          </w:tcPr>
          <w:p w14:paraId="0BC8E3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482</w:t>
            </w:r>
          </w:p>
        </w:tc>
        <w:tc>
          <w:tcPr>
            <w:tcW w:w="2802" w:type="dxa"/>
          </w:tcPr>
          <w:p w14:paraId="34DDCB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469</w:t>
            </w:r>
          </w:p>
        </w:tc>
        <w:tc>
          <w:tcPr>
            <w:tcW w:w="2802" w:type="dxa"/>
          </w:tcPr>
          <w:p w14:paraId="3BD5C3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460</w:t>
            </w:r>
          </w:p>
        </w:tc>
      </w:tr>
      <w:tr w:rsidR="00643896" w:rsidRPr="00640820" w14:paraId="304A96E6" w14:textId="77777777" w:rsidTr="000D3BCB">
        <w:tc>
          <w:tcPr>
            <w:tcW w:w="2802" w:type="dxa"/>
          </w:tcPr>
          <w:p w14:paraId="0CB3EF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на высоте</w:t>
            </w:r>
          </w:p>
        </w:tc>
        <w:tc>
          <w:tcPr>
            <w:tcW w:w="2802" w:type="dxa"/>
          </w:tcPr>
          <w:p w14:paraId="6DFB61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635</w:t>
            </w:r>
          </w:p>
        </w:tc>
        <w:tc>
          <w:tcPr>
            <w:tcW w:w="2802" w:type="dxa"/>
          </w:tcPr>
          <w:p w14:paraId="5FEB74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610</w:t>
            </w:r>
          </w:p>
        </w:tc>
        <w:tc>
          <w:tcPr>
            <w:tcW w:w="2802" w:type="dxa"/>
          </w:tcPr>
          <w:p w14:paraId="66D910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528</w:t>
            </w:r>
          </w:p>
        </w:tc>
      </w:tr>
      <w:tr w:rsidR="00643896" w:rsidRPr="00640820" w14:paraId="78F2D4BC" w14:textId="77777777" w:rsidTr="000D3BCB">
        <w:tc>
          <w:tcPr>
            <w:tcW w:w="2802" w:type="dxa"/>
          </w:tcPr>
          <w:p w14:paraId="388BC1E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Потолок практический, м</w:t>
            </w:r>
          </w:p>
        </w:tc>
        <w:tc>
          <w:tcPr>
            <w:tcW w:w="2802" w:type="dxa"/>
          </w:tcPr>
          <w:p w14:paraId="649ABE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10 600</w:t>
            </w:r>
          </w:p>
        </w:tc>
        <w:tc>
          <w:tcPr>
            <w:tcW w:w="2802" w:type="dxa"/>
          </w:tcPr>
          <w:p w14:paraId="1F907F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10 500</w:t>
            </w:r>
          </w:p>
        </w:tc>
        <w:tc>
          <w:tcPr>
            <w:tcW w:w="2802" w:type="dxa"/>
          </w:tcPr>
          <w:p w14:paraId="0585CC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9000</w:t>
            </w:r>
          </w:p>
        </w:tc>
      </w:tr>
      <w:tr w:rsidR="00643896" w:rsidRPr="00640820" w14:paraId="0FB02B92" w14:textId="77777777" w:rsidTr="000D3BCB">
        <w:tc>
          <w:tcPr>
            <w:tcW w:w="2802" w:type="dxa"/>
          </w:tcPr>
          <w:p w14:paraId="16D816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Время набора высоты 5000 м, мин</w:t>
            </w:r>
          </w:p>
        </w:tc>
        <w:tc>
          <w:tcPr>
            <w:tcW w:w="2802" w:type="dxa"/>
          </w:tcPr>
          <w:p w14:paraId="7ADE3D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8,6</w:t>
            </w:r>
          </w:p>
        </w:tc>
        <w:tc>
          <w:tcPr>
            <w:tcW w:w="2802" w:type="dxa"/>
          </w:tcPr>
          <w:p w14:paraId="3AE885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9,5</w:t>
            </w:r>
          </w:p>
        </w:tc>
        <w:tc>
          <w:tcPr>
            <w:tcW w:w="2802" w:type="dxa"/>
          </w:tcPr>
          <w:p w14:paraId="054DAB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8,86 1)</w:t>
            </w:r>
          </w:p>
        </w:tc>
      </w:tr>
      <w:tr w:rsidR="00643896" w:rsidRPr="00640820" w14:paraId="6C378D29" w14:textId="77777777" w:rsidTr="000D3BCB">
        <w:tc>
          <w:tcPr>
            <w:tcW w:w="2802" w:type="dxa"/>
          </w:tcPr>
          <w:p w14:paraId="748427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Дальность полета, км: нормальная максимальная</w:t>
            </w:r>
          </w:p>
        </w:tc>
        <w:tc>
          <w:tcPr>
            <w:tcW w:w="2802" w:type="dxa"/>
          </w:tcPr>
          <w:p w14:paraId="0CF2F5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1612</w:t>
            </w:r>
          </w:p>
        </w:tc>
        <w:tc>
          <w:tcPr>
            <w:tcW w:w="2802" w:type="dxa"/>
          </w:tcPr>
          <w:p w14:paraId="5FB018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1800</w:t>
            </w:r>
          </w:p>
        </w:tc>
        <w:tc>
          <w:tcPr>
            <w:tcW w:w="2802" w:type="dxa"/>
          </w:tcPr>
          <w:p w14:paraId="01B3DD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2000</w:t>
            </w:r>
          </w:p>
        </w:tc>
      </w:tr>
      <w:tr w:rsidR="00643896" w:rsidRPr="00640820" w14:paraId="251BE736" w14:textId="77777777" w:rsidTr="000D3BCB">
        <w:tc>
          <w:tcPr>
            <w:tcW w:w="2802" w:type="dxa"/>
          </w:tcPr>
          <w:p w14:paraId="2A2F4A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2802" w:type="dxa"/>
          </w:tcPr>
          <w:p w14:paraId="735CCE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2500</w:t>
            </w:r>
          </w:p>
        </w:tc>
        <w:tc>
          <w:tcPr>
            <w:tcW w:w="2802" w:type="dxa"/>
          </w:tcPr>
          <w:p w14:paraId="4A76C18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2802" w:type="dxa"/>
          </w:tcPr>
          <w:p w14:paraId="48EC1C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r>
      <w:tr w:rsidR="00643896" w:rsidRPr="00640820" w14:paraId="23EE6BB2" w14:textId="77777777" w:rsidTr="000D3BCB">
        <w:tc>
          <w:tcPr>
            <w:tcW w:w="2802" w:type="dxa"/>
          </w:tcPr>
          <w:p w14:paraId="3A81BA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Разбег, м</w:t>
            </w:r>
          </w:p>
        </w:tc>
        <w:tc>
          <w:tcPr>
            <w:tcW w:w="2802" w:type="dxa"/>
          </w:tcPr>
          <w:p w14:paraId="1DDA40E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440</w:t>
            </w:r>
          </w:p>
        </w:tc>
        <w:tc>
          <w:tcPr>
            <w:tcW w:w="2802" w:type="dxa"/>
          </w:tcPr>
          <w:p w14:paraId="58F83B6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435</w:t>
            </w:r>
          </w:p>
        </w:tc>
        <w:tc>
          <w:tcPr>
            <w:tcW w:w="2802" w:type="dxa"/>
          </w:tcPr>
          <w:p w14:paraId="460AB5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576</w:t>
            </w:r>
          </w:p>
        </w:tc>
      </w:tr>
      <w:tr w:rsidR="00643896" w:rsidRPr="00640820" w14:paraId="2066D1F8" w14:textId="77777777" w:rsidTr="000D3BCB">
        <w:tc>
          <w:tcPr>
            <w:tcW w:w="2802" w:type="dxa"/>
          </w:tcPr>
          <w:p w14:paraId="0CA651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Пробег, м</w:t>
            </w:r>
          </w:p>
        </w:tc>
        <w:tc>
          <w:tcPr>
            <w:tcW w:w="2802" w:type="dxa"/>
          </w:tcPr>
          <w:p w14:paraId="639CD9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730</w:t>
            </w:r>
          </w:p>
        </w:tc>
        <w:tc>
          <w:tcPr>
            <w:tcW w:w="2802" w:type="dxa"/>
          </w:tcPr>
          <w:p w14:paraId="1352B2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765</w:t>
            </w:r>
          </w:p>
        </w:tc>
        <w:tc>
          <w:tcPr>
            <w:tcW w:w="2802" w:type="dxa"/>
          </w:tcPr>
          <w:p w14:paraId="66A699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640</w:t>
            </w:r>
          </w:p>
        </w:tc>
      </w:tr>
      <w:tr w:rsidR="00643896" w:rsidRPr="00640820" w14:paraId="071E6BA3" w14:textId="77777777" w:rsidTr="000D3BCB">
        <w:tc>
          <w:tcPr>
            <w:tcW w:w="2802" w:type="dxa"/>
          </w:tcPr>
          <w:p w14:paraId="2391ED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Экипаж, чел.</w:t>
            </w:r>
          </w:p>
        </w:tc>
        <w:tc>
          <w:tcPr>
            <w:tcW w:w="2802" w:type="dxa"/>
          </w:tcPr>
          <w:p w14:paraId="303F593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w:t>
            </w:r>
          </w:p>
        </w:tc>
        <w:tc>
          <w:tcPr>
            <w:tcW w:w="2802" w:type="dxa"/>
          </w:tcPr>
          <w:p w14:paraId="094EA9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w:t>
            </w:r>
          </w:p>
        </w:tc>
        <w:tc>
          <w:tcPr>
            <w:tcW w:w="2802" w:type="dxa"/>
          </w:tcPr>
          <w:p w14:paraId="29BE5DB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w:t>
            </w:r>
          </w:p>
        </w:tc>
      </w:tr>
      <w:tr w:rsidR="00643896" w:rsidRPr="00640820" w14:paraId="2F4E58A8" w14:textId="77777777" w:rsidTr="000D3BCB">
        <w:tc>
          <w:tcPr>
            <w:tcW w:w="2802" w:type="dxa"/>
          </w:tcPr>
          <w:p w14:paraId="3513EF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Бомбовая нагрузка, кг: нормальная максимальная</w:t>
            </w:r>
          </w:p>
        </w:tc>
        <w:tc>
          <w:tcPr>
            <w:tcW w:w="2802" w:type="dxa"/>
          </w:tcPr>
          <w:p w14:paraId="58C9B78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1000/2000</w:t>
            </w:r>
          </w:p>
        </w:tc>
        <w:tc>
          <w:tcPr>
            <w:tcW w:w="2802" w:type="dxa"/>
          </w:tcPr>
          <w:p w14:paraId="4D9392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1000/2000</w:t>
            </w:r>
          </w:p>
        </w:tc>
        <w:tc>
          <w:tcPr>
            <w:tcW w:w="2802" w:type="dxa"/>
          </w:tcPr>
          <w:p w14:paraId="315545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1000/2000</w:t>
            </w:r>
          </w:p>
        </w:tc>
      </w:tr>
      <w:tr w:rsidR="00643896" w:rsidRPr="00640820" w14:paraId="2E4EC10A" w14:textId="77777777" w:rsidTr="000D3BCB">
        <w:tc>
          <w:tcPr>
            <w:tcW w:w="2802" w:type="dxa"/>
          </w:tcPr>
          <w:p w14:paraId="6BABE58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Вооружение, кол-вохкалибр</w:t>
            </w:r>
          </w:p>
        </w:tc>
        <w:tc>
          <w:tcPr>
            <w:tcW w:w="2802" w:type="dxa"/>
          </w:tcPr>
          <w:p w14:paraId="3C91EE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2x20; 4x7,62</w:t>
            </w:r>
          </w:p>
        </w:tc>
        <w:tc>
          <w:tcPr>
            <w:tcW w:w="2802" w:type="dxa"/>
          </w:tcPr>
          <w:p w14:paraId="45737D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2x20; 5x7,62</w:t>
            </w:r>
          </w:p>
        </w:tc>
        <w:tc>
          <w:tcPr>
            <w:tcW w:w="2802" w:type="dxa"/>
          </w:tcPr>
          <w:p w14:paraId="7AB289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2х202); 5x7,62</w:t>
            </w:r>
          </w:p>
        </w:tc>
      </w:tr>
      <w:tr w:rsidR="00643896" w:rsidRPr="00640820" w14:paraId="50B00E3E" w14:textId="77777777" w:rsidTr="000D3BCB">
        <w:tc>
          <w:tcPr>
            <w:tcW w:w="2802" w:type="dxa"/>
            <w:tcBorders>
              <w:bottom w:val="single" w:sz="12" w:space="0" w:color="auto"/>
            </w:tcBorders>
          </w:tcPr>
          <w:p w14:paraId="1E5057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2802" w:type="dxa"/>
            <w:tcBorders>
              <w:bottom w:val="single" w:sz="12" w:space="0" w:color="auto"/>
            </w:tcBorders>
          </w:tcPr>
          <w:p w14:paraId="0B2C47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2802" w:type="dxa"/>
            <w:tcBorders>
              <w:bottom w:val="single" w:sz="12" w:space="0" w:color="auto"/>
            </w:tcBorders>
          </w:tcPr>
          <w:p w14:paraId="3CC700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2802" w:type="dxa"/>
            <w:tcBorders>
              <w:bottom w:val="single" w:sz="12" w:space="0" w:color="auto"/>
            </w:tcBorders>
          </w:tcPr>
          <w:p w14:paraId="396E1F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bl>
    <w:p w14:paraId="0D1F40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 на высоту 4500 м; 2) - в ходе испытаний - 2</w:t>
      </w:r>
      <w:r w:rsidRPr="00640820">
        <w:rPr>
          <w:rFonts w:ascii="Times New Roman" w:hAnsi="Times New Roman"/>
          <w:color w:val="000000" w:themeColor="text1"/>
          <w:sz w:val="16"/>
          <w:szCs w:val="16"/>
          <w:lang w:val="en-US"/>
        </w:rPr>
        <w:t>x</w:t>
      </w:r>
      <w:r w:rsidRPr="00640820">
        <w:rPr>
          <w:rFonts w:ascii="Times New Roman" w:hAnsi="Times New Roman"/>
          <w:color w:val="000000" w:themeColor="text1"/>
          <w:sz w:val="16"/>
          <w:szCs w:val="16"/>
        </w:rPr>
        <w:t>20, 1</w:t>
      </w:r>
      <w:r w:rsidRPr="00640820">
        <w:rPr>
          <w:rFonts w:ascii="Times New Roman" w:hAnsi="Times New Roman"/>
          <w:color w:val="000000" w:themeColor="text1"/>
          <w:sz w:val="16"/>
          <w:szCs w:val="16"/>
          <w:lang w:val="en-US"/>
        </w:rPr>
        <w:t>x</w:t>
      </w:r>
      <w:r w:rsidRPr="00640820">
        <w:rPr>
          <w:rFonts w:ascii="Times New Roman" w:hAnsi="Times New Roman"/>
          <w:color w:val="000000" w:themeColor="text1"/>
          <w:sz w:val="16"/>
          <w:szCs w:val="16"/>
        </w:rPr>
        <w:t>12,7, 4</w:t>
      </w:r>
      <w:r w:rsidRPr="00640820">
        <w:rPr>
          <w:rFonts w:ascii="Times New Roman" w:hAnsi="Times New Roman"/>
          <w:color w:val="000000" w:themeColor="text1"/>
          <w:sz w:val="16"/>
          <w:szCs w:val="16"/>
          <w:lang w:val="en-US"/>
        </w:rPr>
        <w:t>x</w:t>
      </w:r>
      <w:r w:rsidRPr="00640820">
        <w:rPr>
          <w:rFonts w:ascii="Times New Roman" w:hAnsi="Times New Roman"/>
          <w:color w:val="000000" w:themeColor="text1"/>
          <w:sz w:val="16"/>
          <w:szCs w:val="16"/>
        </w:rPr>
        <w:t>7,62, дополнительно ракетное вооружение 10хРС-132 и 4хРС-82 (назад по полету)</w:t>
      </w:r>
    </w:p>
    <w:p w14:paraId="02EC29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"Верочка" осталась в распоряжении конструкторского бюро. Ее использовали для опробования различных новинок, предполагавшихся к внедрению в серию (11988).</w:t>
      </w:r>
    </w:p>
    <w:p w14:paraId="3900E2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1FD27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декабря 1941 г. началась летные испытания "103-В", фактически ставшие государственными. Ведущими по ней были инженер В.А. Мируц и летчик М.П. Васякин из НИИ ВВС и штурман Н.М. Панченко (видимо тоже военный).</w:t>
      </w:r>
    </w:p>
    <w:p w14:paraId="17CF3E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Испытания проходили трудно. Особенно много хлопот доставляли моторы, которые неоднократно заменяли, к тому же их карбюраторы допускали большой перерасход горючего и, нередко, не позволяли двигателям развивать расчетную мощность. Несмотря на это, Туполев в конце декабря 1941 года сделал заявление о превосходстве самолета "103-В" над машиной с моторами АМ-37. ГКО быстро отреагировало на это, и 3 января было подписано постановление, обязывавшее НКАП развернуть серийное производство самолета с мотором М-82 на заводе № 22 в Казани.</w:t>
      </w:r>
    </w:p>
    <w:p w14:paraId="048BE1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Государственные испытания "103-В" завершились лишь в августе 1942 г. По их результатам удалось определить, что максимальная скорость у земли не превосходит 460 км/ч, а на высоте 3000 метров - 525 км/ч. Хотя это было значительно меньше, чем ожидалось, но вопрос о серийном производстве машины был давно решен.</w:t>
      </w:r>
    </w:p>
    <w:p w14:paraId="054DF3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Таблица № 1.</w:t>
      </w:r>
    </w:p>
    <w:p w14:paraId="1A8445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Основные данные опытных экземпляров самолета "103"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643896" w:rsidRPr="00640820" w14:paraId="0A580F7D" w14:textId="77777777" w:rsidTr="000D3BCB">
        <w:tc>
          <w:tcPr>
            <w:tcW w:w="2802" w:type="dxa"/>
            <w:tcBorders>
              <w:top w:val="single" w:sz="12" w:space="0" w:color="auto"/>
            </w:tcBorders>
          </w:tcPr>
          <w:p w14:paraId="5F61A5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Borders>
              <w:top w:val="single" w:sz="12" w:space="0" w:color="auto"/>
            </w:tcBorders>
          </w:tcPr>
          <w:p w14:paraId="4023A0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"103""</w:t>
            </w:r>
          </w:p>
        </w:tc>
        <w:tc>
          <w:tcPr>
            <w:tcW w:w="2802" w:type="dxa"/>
            <w:tcBorders>
              <w:top w:val="single" w:sz="12" w:space="0" w:color="auto"/>
            </w:tcBorders>
          </w:tcPr>
          <w:p w14:paraId="31CAF9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"103-У"</w:t>
            </w:r>
          </w:p>
        </w:tc>
        <w:tc>
          <w:tcPr>
            <w:tcW w:w="2802" w:type="dxa"/>
            <w:tcBorders>
              <w:top w:val="single" w:sz="12" w:space="0" w:color="auto"/>
            </w:tcBorders>
          </w:tcPr>
          <w:p w14:paraId="52DD2EC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"103-В"</w:t>
            </w:r>
          </w:p>
        </w:tc>
      </w:tr>
      <w:tr w:rsidR="00643896" w:rsidRPr="00640820" w14:paraId="1A513455" w14:textId="77777777" w:rsidTr="000D3BCB">
        <w:tc>
          <w:tcPr>
            <w:tcW w:w="2802" w:type="dxa"/>
          </w:tcPr>
          <w:p w14:paraId="6F56F2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Двигатель</w:t>
            </w:r>
          </w:p>
        </w:tc>
        <w:tc>
          <w:tcPr>
            <w:tcW w:w="2802" w:type="dxa"/>
          </w:tcPr>
          <w:p w14:paraId="75A876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АМ-37</w:t>
            </w:r>
          </w:p>
        </w:tc>
        <w:tc>
          <w:tcPr>
            <w:tcW w:w="2802" w:type="dxa"/>
          </w:tcPr>
          <w:p w14:paraId="5ACA26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АМ-37</w:t>
            </w:r>
          </w:p>
        </w:tc>
        <w:tc>
          <w:tcPr>
            <w:tcW w:w="2802" w:type="dxa"/>
          </w:tcPr>
          <w:p w14:paraId="183DEA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М-82</w:t>
            </w:r>
          </w:p>
        </w:tc>
      </w:tr>
      <w:tr w:rsidR="00643896" w:rsidRPr="00640820" w14:paraId="3D316D02" w14:textId="77777777" w:rsidTr="000D3BCB">
        <w:tc>
          <w:tcPr>
            <w:tcW w:w="2802" w:type="dxa"/>
          </w:tcPr>
          <w:p w14:paraId="38515D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Взлетная мощность, л.с.</w:t>
            </w:r>
          </w:p>
        </w:tc>
        <w:tc>
          <w:tcPr>
            <w:tcW w:w="2802" w:type="dxa"/>
          </w:tcPr>
          <w:p w14:paraId="247CA8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2x140021</w:t>
            </w:r>
          </w:p>
        </w:tc>
        <w:tc>
          <w:tcPr>
            <w:tcW w:w="2802" w:type="dxa"/>
          </w:tcPr>
          <w:p w14:paraId="5D6A6D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2x14002'</w:t>
            </w:r>
          </w:p>
        </w:tc>
        <w:tc>
          <w:tcPr>
            <w:tcW w:w="2802" w:type="dxa"/>
          </w:tcPr>
          <w:p w14:paraId="570A32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2х170051</w:t>
            </w:r>
          </w:p>
        </w:tc>
      </w:tr>
      <w:tr w:rsidR="00643896" w:rsidRPr="00640820" w14:paraId="35D2FF1C" w14:textId="77777777" w:rsidTr="000D3BCB">
        <w:tc>
          <w:tcPr>
            <w:tcW w:w="2802" w:type="dxa"/>
          </w:tcPr>
          <w:p w14:paraId="2C2FC3D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Размах крыла, м</w:t>
            </w:r>
          </w:p>
        </w:tc>
        <w:tc>
          <w:tcPr>
            <w:tcW w:w="2802" w:type="dxa"/>
          </w:tcPr>
          <w:p w14:paraId="3F78C7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18,8</w:t>
            </w:r>
          </w:p>
        </w:tc>
        <w:tc>
          <w:tcPr>
            <w:tcW w:w="2802" w:type="dxa"/>
          </w:tcPr>
          <w:p w14:paraId="179C96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18,86</w:t>
            </w:r>
          </w:p>
        </w:tc>
        <w:tc>
          <w:tcPr>
            <w:tcW w:w="2802" w:type="dxa"/>
          </w:tcPr>
          <w:p w14:paraId="6D461C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18,86</w:t>
            </w:r>
          </w:p>
        </w:tc>
      </w:tr>
      <w:tr w:rsidR="00643896" w:rsidRPr="00640820" w14:paraId="24A55182" w14:textId="77777777" w:rsidTr="000D3BCB">
        <w:tc>
          <w:tcPr>
            <w:tcW w:w="2802" w:type="dxa"/>
          </w:tcPr>
          <w:p w14:paraId="7A91AFE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Длина, м</w:t>
            </w:r>
          </w:p>
        </w:tc>
        <w:tc>
          <w:tcPr>
            <w:tcW w:w="2802" w:type="dxa"/>
          </w:tcPr>
          <w:p w14:paraId="4216563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13,2</w:t>
            </w:r>
          </w:p>
        </w:tc>
        <w:tc>
          <w:tcPr>
            <w:tcW w:w="2802" w:type="dxa"/>
          </w:tcPr>
          <w:p w14:paraId="6DF624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13,7</w:t>
            </w:r>
          </w:p>
        </w:tc>
        <w:tc>
          <w:tcPr>
            <w:tcW w:w="2802" w:type="dxa"/>
          </w:tcPr>
          <w:p w14:paraId="16D280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13,8</w:t>
            </w:r>
          </w:p>
        </w:tc>
      </w:tr>
      <w:tr w:rsidR="00643896" w:rsidRPr="00640820" w14:paraId="3D0B7BEF" w14:textId="77777777" w:rsidTr="000D3BCB">
        <w:tc>
          <w:tcPr>
            <w:tcW w:w="2802" w:type="dxa"/>
          </w:tcPr>
          <w:p w14:paraId="7534B1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Площадь крыла, м2</w:t>
            </w:r>
          </w:p>
        </w:tc>
        <w:tc>
          <w:tcPr>
            <w:tcW w:w="2802" w:type="dxa"/>
          </w:tcPr>
          <w:p w14:paraId="019613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48,52</w:t>
            </w:r>
          </w:p>
        </w:tc>
        <w:tc>
          <w:tcPr>
            <w:tcW w:w="2802" w:type="dxa"/>
          </w:tcPr>
          <w:p w14:paraId="7586B7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48,52</w:t>
            </w:r>
          </w:p>
        </w:tc>
        <w:tc>
          <w:tcPr>
            <w:tcW w:w="2802" w:type="dxa"/>
          </w:tcPr>
          <w:p w14:paraId="4C2831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48,52</w:t>
            </w:r>
          </w:p>
        </w:tc>
      </w:tr>
      <w:tr w:rsidR="00643896" w:rsidRPr="00640820" w14:paraId="4A203238" w14:textId="77777777" w:rsidTr="000D3BCB">
        <w:tc>
          <w:tcPr>
            <w:tcW w:w="2802" w:type="dxa"/>
          </w:tcPr>
          <w:p w14:paraId="7C9E60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Вес взлетный, кг</w:t>
            </w:r>
          </w:p>
        </w:tc>
        <w:tc>
          <w:tcPr>
            <w:tcW w:w="2802" w:type="dxa"/>
          </w:tcPr>
          <w:p w14:paraId="62E274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2802" w:type="dxa"/>
          </w:tcPr>
          <w:p w14:paraId="24AC45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2802" w:type="dxa"/>
          </w:tcPr>
          <w:p w14:paraId="7FFA8D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4995A749" w14:textId="77777777" w:rsidTr="000D3BCB">
        <w:tc>
          <w:tcPr>
            <w:tcW w:w="2802" w:type="dxa"/>
          </w:tcPr>
          <w:p w14:paraId="503362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нормальный</w:t>
            </w:r>
          </w:p>
        </w:tc>
        <w:tc>
          <w:tcPr>
            <w:tcW w:w="2802" w:type="dxa"/>
          </w:tcPr>
          <w:p w14:paraId="5E506E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10 992</w:t>
            </w:r>
          </w:p>
        </w:tc>
        <w:tc>
          <w:tcPr>
            <w:tcW w:w="2802" w:type="dxa"/>
          </w:tcPr>
          <w:p w14:paraId="4EB8C9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10 435</w:t>
            </w:r>
          </w:p>
        </w:tc>
        <w:tc>
          <w:tcPr>
            <w:tcW w:w="2802" w:type="dxa"/>
          </w:tcPr>
          <w:p w14:paraId="220F8C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10 343</w:t>
            </w:r>
          </w:p>
        </w:tc>
      </w:tr>
      <w:tr w:rsidR="00643896" w:rsidRPr="00640820" w14:paraId="0460CE8C" w14:textId="77777777" w:rsidTr="000D3BCB">
        <w:tc>
          <w:tcPr>
            <w:tcW w:w="2802" w:type="dxa"/>
          </w:tcPr>
          <w:p w14:paraId="0D3F89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максимальный</w:t>
            </w:r>
          </w:p>
        </w:tc>
        <w:tc>
          <w:tcPr>
            <w:tcW w:w="2802" w:type="dxa"/>
          </w:tcPr>
          <w:p w14:paraId="5996D8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11 990</w:t>
            </w:r>
          </w:p>
        </w:tc>
        <w:tc>
          <w:tcPr>
            <w:tcW w:w="2802" w:type="dxa"/>
          </w:tcPr>
          <w:p w14:paraId="0B078A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12 478</w:t>
            </w:r>
          </w:p>
        </w:tc>
        <w:tc>
          <w:tcPr>
            <w:tcW w:w="2802" w:type="dxa"/>
          </w:tcPr>
          <w:p w14:paraId="3B4FEDC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11 773</w:t>
            </w:r>
          </w:p>
        </w:tc>
      </w:tr>
      <w:tr w:rsidR="00643896" w:rsidRPr="00640820" w14:paraId="1D225063" w14:textId="77777777" w:rsidTr="000D3BCB">
        <w:tc>
          <w:tcPr>
            <w:tcW w:w="2802" w:type="dxa"/>
          </w:tcPr>
          <w:p w14:paraId="10E084A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Вес топлива, кг</w:t>
            </w:r>
          </w:p>
        </w:tc>
        <w:tc>
          <w:tcPr>
            <w:tcW w:w="2802" w:type="dxa"/>
          </w:tcPr>
          <w:p w14:paraId="104D28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1612</w:t>
            </w:r>
          </w:p>
        </w:tc>
        <w:tc>
          <w:tcPr>
            <w:tcW w:w="2802" w:type="dxa"/>
          </w:tcPr>
          <w:p w14:paraId="7B1399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825/1800</w:t>
            </w:r>
          </w:p>
        </w:tc>
        <w:tc>
          <w:tcPr>
            <w:tcW w:w="2802" w:type="dxa"/>
          </w:tcPr>
          <w:p w14:paraId="3A0642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950/230081</w:t>
            </w:r>
          </w:p>
        </w:tc>
      </w:tr>
      <w:tr w:rsidR="00643896" w:rsidRPr="00640820" w14:paraId="5FF33491" w14:textId="77777777" w:rsidTr="000D3BCB">
        <w:tc>
          <w:tcPr>
            <w:tcW w:w="2802" w:type="dxa"/>
          </w:tcPr>
          <w:p w14:paraId="4872AC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Вес пустого, кг</w:t>
            </w:r>
          </w:p>
        </w:tc>
        <w:tc>
          <w:tcPr>
            <w:tcW w:w="2802" w:type="dxa"/>
          </w:tcPr>
          <w:p w14:paraId="7246D5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7626</w:t>
            </w:r>
          </w:p>
        </w:tc>
        <w:tc>
          <w:tcPr>
            <w:tcW w:w="2802" w:type="dxa"/>
          </w:tcPr>
          <w:p w14:paraId="227046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7823</w:t>
            </w:r>
          </w:p>
        </w:tc>
        <w:tc>
          <w:tcPr>
            <w:tcW w:w="2802" w:type="dxa"/>
          </w:tcPr>
          <w:p w14:paraId="484025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7335</w:t>
            </w:r>
          </w:p>
        </w:tc>
      </w:tr>
      <w:tr w:rsidR="00643896" w:rsidRPr="00640820" w14:paraId="174AD42F" w14:textId="77777777" w:rsidTr="000D3BCB">
        <w:tc>
          <w:tcPr>
            <w:tcW w:w="2802" w:type="dxa"/>
          </w:tcPr>
          <w:p w14:paraId="103498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Скорость макс., км/ч</w:t>
            </w:r>
          </w:p>
        </w:tc>
        <w:tc>
          <w:tcPr>
            <w:tcW w:w="2802" w:type="dxa"/>
          </w:tcPr>
          <w:p w14:paraId="4CBD3B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2802" w:type="dxa"/>
          </w:tcPr>
          <w:p w14:paraId="128F2E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2802" w:type="dxa"/>
          </w:tcPr>
          <w:p w14:paraId="19F2EB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504A9DC1" w14:textId="77777777" w:rsidTr="000D3BCB">
        <w:tc>
          <w:tcPr>
            <w:tcW w:w="2802" w:type="dxa"/>
          </w:tcPr>
          <w:p w14:paraId="2CBAC1B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у земли</w:t>
            </w:r>
          </w:p>
        </w:tc>
        <w:tc>
          <w:tcPr>
            <w:tcW w:w="2802" w:type="dxa"/>
          </w:tcPr>
          <w:p w14:paraId="13A6CE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482</w:t>
            </w:r>
          </w:p>
        </w:tc>
        <w:tc>
          <w:tcPr>
            <w:tcW w:w="2802" w:type="dxa"/>
          </w:tcPr>
          <w:p w14:paraId="0145D9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469</w:t>
            </w:r>
          </w:p>
        </w:tc>
        <w:tc>
          <w:tcPr>
            <w:tcW w:w="2802" w:type="dxa"/>
          </w:tcPr>
          <w:p w14:paraId="6FC0BE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460</w:t>
            </w:r>
          </w:p>
        </w:tc>
      </w:tr>
      <w:tr w:rsidR="00643896" w:rsidRPr="00640820" w14:paraId="05F4B0FE" w14:textId="77777777" w:rsidTr="000D3BCB">
        <w:tc>
          <w:tcPr>
            <w:tcW w:w="2802" w:type="dxa"/>
          </w:tcPr>
          <w:p w14:paraId="5992C91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на высоте, м</w:t>
            </w:r>
          </w:p>
        </w:tc>
        <w:tc>
          <w:tcPr>
            <w:tcW w:w="2802" w:type="dxa"/>
          </w:tcPr>
          <w:p w14:paraId="6F3A02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635/8000</w:t>
            </w:r>
          </w:p>
        </w:tc>
        <w:tc>
          <w:tcPr>
            <w:tcW w:w="2802" w:type="dxa"/>
          </w:tcPr>
          <w:p w14:paraId="1F7AEA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610/780031</w:t>
            </w:r>
          </w:p>
        </w:tc>
        <w:tc>
          <w:tcPr>
            <w:tcW w:w="2802" w:type="dxa"/>
          </w:tcPr>
          <w:p w14:paraId="499576A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528/32006'</w:t>
            </w:r>
          </w:p>
        </w:tc>
      </w:tr>
      <w:tr w:rsidR="00643896" w:rsidRPr="00640820" w14:paraId="1346B4E4" w14:textId="77777777" w:rsidTr="000D3BCB">
        <w:tc>
          <w:tcPr>
            <w:tcW w:w="2802" w:type="dxa"/>
          </w:tcPr>
          <w:p w14:paraId="1736C4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Время набора высоты 5000 м,</w:t>
            </w:r>
          </w:p>
        </w:tc>
        <w:tc>
          <w:tcPr>
            <w:tcW w:w="2802" w:type="dxa"/>
          </w:tcPr>
          <w:p w14:paraId="2B0D42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мин 8,6</w:t>
            </w:r>
          </w:p>
        </w:tc>
        <w:tc>
          <w:tcPr>
            <w:tcW w:w="2802" w:type="dxa"/>
          </w:tcPr>
          <w:p w14:paraId="36B29A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9,5</w:t>
            </w:r>
          </w:p>
        </w:tc>
        <w:tc>
          <w:tcPr>
            <w:tcW w:w="2802" w:type="dxa"/>
          </w:tcPr>
          <w:p w14:paraId="7CE90A8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8,86/4500</w:t>
            </w:r>
          </w:p>
        </w:tc>
      </w:tr>
      <w:tr w:rsidR="00643896" w:rsidRPr="00640820" w14:paraId="579B106F" w14:textId="77777777" w:rsidTr="000D3BCB">
        <w:tc>
          <w:tcPr>
            <w:tcW w:w="2802" w:type="dxa"/>
          </w:tcPr>
          <w:p w14:paraId="1A9657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Практический потолок, м</w:t>
            </w:r>
          </w:p>
        </w:tc>
        <w:tc>
          <w:tcPr>
            <w:tcW w:w="2802" w:type="dxa"/>
          </w:tcPr>
          <w:p w14:paraId="14A517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10600</w:t>
            </w:r>
          </w:p>
        </w:tc>
        <w:tc>
          <w:tcPr>
            <w:tcW w:w="2802" w:type="dxa"/>
          </w:tcPr>
          <w:p w14:paraId="1C84D7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10500</w:t>
            </w:r>
          </w:p>
        </w:tc>
        <w:tc>
          <w:tcPr>
            <w:tcW w:w="2802" w:type="dxa"/>
          </w:tcPr>
          <w:p w14:paraId="2F43D0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9000</w:t>
            </w:r>
          </w:p>
        </w:tc>
      </w:tr>
      <w:tr w:rsidR="00643896" w:rsidRPr="00640820" w14:paraId="411AACB8" w14:textId="77777777" w:rsidTr="000D3BCB">
        <w:tc>
          <w:tcPr>
            <w:tcW w:w="2802" w:type="dxa"/>
          </w:tcPr>
          <w:p w14:paraId="72D252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Дальность максимальная, км</w:t>
            </w:r>
          </w:p>
        </w:tc>
        <w:tc>
          <w:tcPr>
            <w:tcW w:w="2802" w:type="dxa"/>
          </w:tcPr>
          <w:p w14:paraId="09C08D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198041</w:t>
            </w:r>
          </w:p>
        </w:tc>
        <w:tc>
          <w:tcPr>
            <w:tcW w:w="2802" w:type="dxa"/>
          </w:tcPr>
          <w:p w14:paraId="3AFE2C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18984'</w:t>
            </w:r>
          </w:p>
        </w:tc>
        <w:tc>
          <w:tcPr>
            <w:tcW w:w="2802" w:type="dxa"/>
          </w:tcPr>
          <w:p w14:paraId="43F24A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200071</w:t>
            </w:r>
          </w:p>
        </w:tc>
      </w:tr>
      <w:tr w:rsidR="00643896" w:rsidRPr="00640820" w14:paraId="1DCE386C" w14:textId="77777777" w:rsidTr="000D3BCB">
        <w:tc>
          <w:tcPr>
            <w:tcW w:w="2802" w:type="dxa"/>
          </w:tcPr>
          <w:p w14:paraId="3760E2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Разбег/пробег, м</w:t>
            </w:r>
          </w:p>
        </w:tc>
        <w:tc>
          <w:tcPr>
            <w:tcW w:w="2802" w:type="dxa"/>
          </w:tcPr>
          <w:p w14:paraId="1AE83D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440/730</w:t>
            </w:r>
          </w:p>
        </w:tc>
        <w:tc>
          <w:tcPr>
            <w:tcW w:w="2802" w:type="dxa"/>
          </w:tcPr>
          <w:p w14:paraId="5A8AC3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435/765</w:t>
            </w:r>
          </w:p>
        </w:tc>
        <w:tc>
          <w:tcPr>
            <w:tcW w:w="2802" w:type="dxa"/>
          </w:tcPr>
          <w:p w14:paraId="188ABF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516/640</w:t>
            </w:r>
          </w:p>
        </w:tc>
      </w:tr>
      <w:tr w:rsidR="00643896" w:rsidRPr="00640820" w14:paraId="2B88C092" w14:textId="77777777" w:rsidTr="000D3BCB">
        <w:tc>
          <w:tcPr>
            <w:tcW w:w="2802" w:type="dxa"/>
          </w:tcPr>
          <w:p w14:paraId="0B573D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Скорость посадочная, км/ч</w:t>
            </w:r>
          </w:p>
        </w:tc>
        <w:tc>
          <w:tcPr>
            <w:tcW w:w="2802" w:type="dxa"/>
          </w:tcPr>
          <w:p w14:paraId="2CDBA5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152</w:t>
            </w:r>
          </w:p>
        </w:tc>
        <w:tc>
          <w:tcPr>
            <w:tcW w:w="2802" w:type="dxa"/>
          </w:tcPr>
          <w:p w14:paraId="015AE7D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155</w:t>
            </w:r>
          </w:p>
        </w:tc>
        <w:tc>
          <w:tcPr>
            <w:tcW w:w="2802" w:type="dxa"/>
          </w:tcPr>
          <w:p w14:paraId="177CD8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152</w:t>
            </w:r>
          </w:p>
        </w:tc>
      </w:tr>
      <w:tr w:rsidR="00643896" w:rsidRPr="00640820" w14:paraId="52613721" w14:textId="77777777" w:rsidTr="000D3BCB">
        <w:tc>
          <w:tcPr>
            <w:tcW w:w="2802" w:type="dxa"/>
            <w:tcBorders>
              <w:bottom w:val="single" w:sz="12" w:space="0" w:color="auto"/>
            </w:tcBorders>
          </w:tcPr>
          <w:p w14:paraId="38506B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Экипаж, чел.</w:t>
            </w:r>
          </w:p>
        </w:tc>
        <w:tc>
          <w:tcPr>
            <w:tcW w:w="2802" w:type="dxa"/>
            <w:tcBorders>
              <w:bottom w:val="single" w:sz="12" w:space="0" w:color="auto"/>
            </w:tcBorders>
          </w:tcPr>
          <w:p w14:paraId="003DE5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w:t>
            </w:r>
          </w:p>
        </w:tc>
        <w:tc>
          <w:tcPr>
            <w:tcW w:w="2802" w:type="dxa"/>
            <w:tcBorders>
              <w:bottom w:val="single" w:sz="12" w:space="0" w:color="auto"/>
            </w:tcBorders>
          </w:tcPr>
          <w:p w14:paraId="61A2F7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w:t>
            </w:r>
          </w:p>
        </w:tc>
        <w:tc>
          <w:tcPr>
            <w:tcW w:w="2802" w:type="dxa"/>
            <w:tcBorders>
              <w:bottom w:val="single" w:sz="12" w:space="0" w:color="auto"/>
            </w:tcBorders>
          </w:tcPr>
          <w:p w14:paraId="440A18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w:t>
            </w:r>
          </w:p>
        </w:tc>
      </w:tr>
    </w:tbl>
    <w:p w14:paraId="768CD3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 По результатам государственных испытаний.</w:t>
      </w:r>
    </w:p>
    <w:p w14:paraId="138BEF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На высоте 6000 м - 1400 л.с.</w:t>
      </w:r>
    </w:p>
    <w:p w14:paraId="7A6F038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На высоте 6500 м - 580 км/ч.</w:t>
      </w:r>
    </w:p>
    <w:p w14:paraId="0FE7DE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На высоте 7000 м.</w:t>
      </w:r>
    </w:p>
    <w:p w14:paraId="4D58BA3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Номинальная мощность на высоте 5400 м - 1330 л.с.</w:t>
      </w:r>
    </w:p>
    <w:p w14:paraId="5FECF4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На 1-й скорости нагнетателя. На высоте 6000 м - 530 км/ч.</w:t>
      </w:r>
    </w:p>
    <w:p w14:paraId="205C4E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Со скоростью 0,9 от максимального значения.</w:t>
      </w:r>
    </w:p>
    <w:p w14:paraId="1047D6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Объем топливных баков 3070 литров.</w:t>
      </w:r>
    </w:p>
    <w:p w14:paraId="2EF915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Опытный "103-В" оставили в ОКБ и на нем проверялись различные усовершенствования, в том числе и с двигателями АШ-82ФН. 25 марта 1943 года машина с двигателями АШ-82ФН, пилотируемая И.И. Шелестом (инженер Г.И. Поярков и бортмеханик В. Александров), потерпела при посадке аварию из-за не вставшей на замок левой опоры шасси. Видимо, в том полете проверялись доработки двигателей, поскольку 2 апреля Туполев доложил наркому Шахури- ну, что на опытном Ту-2М-82 в Омске выполнили два полета после установки магнето повышенной высотности и новых М-82 с нагнетателями, имеющими 11 лопаток вместо 22-х, но со старыми серийными карбюраторами. В итоге, максимальная скорость самолета у земли возросла до 528 км/ч, а на высоте - до 568 км/ч.</w:t>
      </w:r>
    </w:p>
    <w:p w14:paraId="24C027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омским Ту-2 (возможно, с опытной машиной "103-В") связан один любопытный эпизод.</w:t>
      </w:r>
    </w:p>
    <w:p w14:paraId="7AC464B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1943 году, - как рассказывал Л.Л. Кербер, - понадобилось перегнать Ту-2 из Омска в Москву. В то время через Омск изредка перегоняли на фронт американские скоростные истребители "Аэрокобра". Поскольку в экипаже Ту-2 был штурман, лидировать группу перегона решили поручить летчику А.Д. Перелету. На утро "Аэрокобры" взлетели и построились. Ту-2 занял впереди строя место лидера и лег курсом на Свердловск (ныне Екатеринбург).</w:t>
      </w:r>
    </w:p>
    <w:p w14:paraId="5B5816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Очень скоро выяснилось, что скорости американских истребителей для того, чтобы угнаться за нашим бомбардировщиком, не хватает. Придя на следующий день на аэродром, А.Д. Перелет обнаружил, что на хвосте его самолета кто-то из истребителей написал: "Не догонишь".</w:t>
      </w:r>
    </w:p>
    <w:p w14:paraId="5D7050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Свердловске с вылетом Ту-2 немного замешкались и, так как погода была отменная, группу "Аэрокобр" выпустили раньше. А.Д. Перелет догнал их возле Сарапула, обошел строй, занял свое место в голове и в Казань пришел первым.</w:t>
      </w:r>
    </w:p>
    <w:p w14:paraId="38CA53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Ночью на носу Ту-2 появилась вторая надпись: "Не уйдешь". С этими надписями Ту-2 и прилетел в Москву" (12035).</w:t>
      </w:r>
    </w:p>
    <w:p w14:paraId="44E47B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C5CD5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декабря 1941 г. последовало решение о отправке в тыл “законченного доводкой и техосмотром” самолет “Б-I” А.А.А.. Дальнейшая его судьба неясна. Конструкторский коллектив А.А.Архангельского вместе с его руководителем впоследствии вошел в состав туполевского КБ (6206, 21).</w:t>
      </w:r>
    </w:p>
    <w:p w14:paraId="60665E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2356B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декабря 1941 года была подготовлена Сводка изготовления и доводки опытных моторов в 1940-1941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851"/>
        <w:gridCol w:w="850"/>
        <w:gridCol w:w="1418"/>
        <w:gridCol w:w="1513"/>
        <w:gridCol w:w="842"/>
        <w:gridCol w:w="1614"/>
        <w:gridCol w:w="850"/>
        <w:gridCol w:w="1984"/>
      </w:tblGrid>
      <w:tr w:rsidR="00643896" w:rsidRPr="00640820" w14:paraId="4660C61F" w14:textId="77777777" w:rsidTr="000D3BCB">
        <w:tc>
          <w:tcPr>
            <w:tcW w:w="675" w:type="dxa"/>
            <w:tcBorders>
              <w:top w:val="single" w:sz="12" w:space="0" w:color="auto"/>
            </w:tcBorders>
          </w:tcPr>
          <w:p w14:paraId="665DAC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w:t>
            </w:r>
          </w:p>
        </w:tc>
        <w:tc>
          <w:tcPr>
            <w:tcW w:w="851" w:type="dxa"/>
            <w:tcBorders>
              <w:top w:val="single" w:sz="12" w:space="0" w:color="auto"/>
            </w:tcBorders>
          </w:tcPr>
          <w:p w14:paraId="329FA2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Шифр</w:t>
            </w:r>
          </w:p>
        </w:tc>
        <w:tc>
          <w:tcPr>
            <w:tcW w:w="850" w:type="dxa"/>
            <w:tcBorders>
              <w:top w:val="single" w:sz="12" w:space="0" w:color="auto"/>
            </w:tcBorders>
          </w:tcPr>
          <w:p w14:paraId="313598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Когда</w:t>
            </w:r>
          </w:p>
        </w:tc>
        <w:tc>
          <w:tcPr>
            <w:tcW w:w="1418" w:type="dxa"/>
            <w:tcBorders>
              <w:top w:val="single" w:sz="12" w:space="0" w:color="auto"/>
            </w:tcBorders>
          </w:tcPr>
          <w:p w14:paraId="70233E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Состояние работ</w:t>
            </w:r>
          </w:p>
        </w:tc>
        <w:tc>
          <w:tcPr>
            <w:tcW w:w="1513" w:type="dxa"/>
            <w:tcBorders>
              <w:top w:val="single" w:sz="12" w:space="0" w:color="auto"/>
            </w:tcBorders>
          </w:tcPr>
          <w:p w14:paraId="1328DF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Сроки окончания</w:t>
            </w:r>
          </w:p>
        </w:tc>
        <w:tc>
          <w:tcPr>
            <w:tcW w:w="842" w:type="dxa"/>
            <w:tcBorders>
              <w:top w:val="single" w:sz="12" w:space="0" w:color="auto"/>
            </w:tcBorders>
          </w:tcPr>
          <w:p w14:paraId="220F10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Borders>
              <w:top w:val="single" w:sz="12" w:space="0" w:color="auto"/>
            </w:tcBorders>
          </w:tcPr>
          <w:p w14:paraId="36F778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Сроки окончания</w:t>
            </w:r>
          </w:p>
        </w:tc>
        <w:tc>
          <w:tcPr>
            <w:tcW w:w="850" w:type="dxa"/>
            <w:tcBorders>
              <w:top w:val="single" w:sz="12" w:space="0" w:color="auto"/>
            </w:tcBorders>
          </w:tcPr>
          <w:p w14:paraId="4EE411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Borders>
              <w:top w:val="single" w:sz="12" w:space="0" w:color="auto"/>
            </w:tcBorders>
          </w:tcPr>
          <w:p w14:paraId="1E91471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Состояние работ на 1.XII.41 г.</w:t>
            </w:r>
          </w:p>
        </w:tc>
      </w:tr>
      <w:tr w:rsidR="00643896" w:rsidRPr="00640820" w14:paraId="2E5073E1" w14:textId="77777777" w:rsidTr="000D3BCB">
        <w:tc>
          <w:tcPr>
            <w:tcW w:w="675" w:type="dxa"/>
          </w:tcPr>
          <w:p w14:paraId="099D76C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E21F6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опытн.</w:t>
            </w:r>
          </w:p>
        </w:tc>
        <w:tc>
          <w:tcPr>
            <w:tcW w:w="850" w:type="dxa"/>
          </w:tcPr>
          <w:p w14:paraId="15DCC4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начаты</w:t>
            </w:r>
          </w:p>
        </w:tc>
        <w:tc>
          <w:tcPr>
            <w:tcW w:w="1418" w:type="dxa"/>
          </w:tcPr>
          <w:p w14:paraId="515F17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1.I.41 г.</w:t>
            </w:r>
          </w:p>
        </w:tc>
        <w:tc>
          <w:tcPr>
            <w:tcW w:w="1513" w:type="dxa"/>
          </w:tcPr>
          <w:p w14:paraId="48121D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доводки мотора до</w:t>
            </w:r>
          </w:p>
        </w:tc>
        <w:tc>
          <w:tcPr>
            <w:tcW w:w="842" w:type="dxa"/>
          </w:tcPr>
          <w:p w14:paraId="79F998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776744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доводки мотора до</w:t>
            </w:r>
          </w:p>
        </w:tc>
        <w:tc>
          <w:tcPr>
            <w:tcW w:w="850" w:type="dxa"/>
          </w:tcPr>
          <w:p w14:paraId="4FACF8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39C0A39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3194FD8" w14:textId="77777777" w:rsidTr="000D3BCB">
        <w:tc>
          <w:tcPr>
            <w:tcW w:w="675" w:type="dxa"/>
          </w:tcPr>
          <w:p w14:paraId="5F7A56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433B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мотора</w:t>
            </w:r>
          </w:p>
        </w:tc>
        <w:tc>
          <w:tcPr>
            <w:tcW w:w="850" w:type="dxa"/>
          </w:tcPr>
          <w:p w14:paraId="755B4C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w:t>
            </w:r>
          </w:p>
        </w:tc>
        <w:tc>
          <w:tcPr>
            <w:tcW w:w="1418" w:type="dxa"/>
          </w:tcPr>
          <w:p w14:paraId="4A9DEF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280070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 часов</w:t>
            </w:r>
          </w:p>
        </w:tc>
        <w:tc>
          <w:tcPr>
            <w:tcW w:w="842" w:type="dxa"/>
          </w:tcPr>
          <w:p w14:paraId="33F90C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747323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 часов</w:t>
            </w:r>
          </w:p>
        </w:tc>
        <w:tc>
          <w:tcPr>
            <w:tcW w:w="850" w:type="dxa"/>
          </w:tcPr>
          <w:p w14:paraId="00274D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7EDDEE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E5495E3" w14:textId="77777777" w:rsidTr="000D3BCB">
        <w:tc>
          <w:tcPr>
            <w:tcW w:w="675" w:type="dxa"/>
          </w:tcPr>
          <w:p w14:paraId="1D18C4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4289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5AF05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66383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12C8C7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w:t>
            </w:r>
          </w:p>
        </w:tc>
        <w:tc>
          <w:tcPr>
            <w:tcW w:w="842" w:type="dxa"/>
          </w:tcPr>
          <w:p w14:paraId="3B9B7B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Фактич.</w:t>
            </w:r>
          </w:p>
        </w:tc>
        <w:tc>
          <w:tcPr>
            <w:tcW w:w="1614" w:type="dxa"/>
          </w:tcPr>
          <w:p w14:paraId="56D3639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w:t>
            </w:r>
          </w:p>
        </w:tc>
        <w:tc>
          <w:tcPr>
            <w:tcW w:w="850" w:type="dxa"/>
          </w:tcPr>
          <w:p w14:paraId="069FA9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Фактич.</w:t>
            </w:r>
          </w:p>
        </w:tc>
        <w:tc>
          <w:tcPr>
            <w:tcW w:w="1984" w:type="dxa"/>
          </w:tcPr>
          <w:p w14:paraId="363305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1BC4F81" w14:textId="77777777" w:rsidTr="000D3BCB">
        <w:tc>
          <w:tcPr>
            <w:tcW w:w="675" w:type="dxa"/>
          </w:tcPr>
          <w:p w14:paraId="6E0716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0E6FD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89F56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3B425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610FB3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плану</w:t>
            </w:r>
          </w:p>
        </w:tc>
        <w:tc>
          <w:tcPr>
            <w:tcW w:w="842" w:type="dxa"/>
          </w:tcPr>
          <w:p w14:paraId="325FAC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1B60146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плану</w:t>
            </w:r>
          </w:p>
        </w:tc>
        <w:tc>
          <w:tcPr>
            <w:tcW w:w="850" w:type="dxa"/>
          </w:tcPr>
          <w:p w14:paraId="4FFC79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23BFD7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EAB4AC8" w14:textId="77777777" w:rsidTr="000D3BCB">
        <w:tc>
          <w:tcPr>
            <w:tcW w:w="675" w:type="dxa"/>
          </w:tcPr>
          <w:p w14:paraId="0042CC3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w:t>
            </w:r>
          </w:p>
        </w:tc>
        <w:tc>
          <w:tcPr>
            <w:tcW w:w="851" w:type="dxa"/>
          </w:tcPr>
          <w:p w14:paraId="1DA08D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М-71</w:t>
            </w:r>
          </w:p>
        </w:tc>
        <w:tc>
          <w:tcPr>
            <w:tcW w:w="850" w:type="dxa"/>
          </w:tcPr>
          <w:p w14:paraId="3354F09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1939 г.</w:t>
            </w:r>
          </w:p>
        </w:tc>
        <w:tc>
          <w:tcPr>
            <w:tcW w:w="1418" w:type="dxa"/>
          </w:tcPr>
          <w:p w14:paraId="5C9E68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Построены</w:t>
            </w:r>
          </w:p>
        </w:tc>
        <w:tc>
          <w:tcPr>
            <w:tcW w:w="1513" w:type="dxa"/>
          </w:tcPr>
          <w:p w14:paraId="441472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январь</w:t>
            </w:r>
          </w:p>
        </w:tc>
        <w:tc>
          <w:tcPr>
            <w:tcW w:w="842" w:type="dxa"/>
          </w:tcPr>
          <w:p w14:paraId="5F8981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январь</w:t>
            </w:r>
          </w:p>
        </w:tc>
        <w:tc>
          <w:tcPr>
            <w:tcW w:w="1614" w:type="dxa"/>
          </w:tcPr>
          <w:p w14:paraId="393A0D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август</w:t>
            </w:r>
          </w:p>
        </w:tc>
        <w:tc>
          <w:tcPr>
            <w:tcW w:w="850" w:type="dxa"/>
          </w:tcPr>
          <w:p w14:paraId="0321E7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984" w:type="dxa"/>
          </w:tcPr>
          <w:p w14:paraId="46AB24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Проведено 4 сточасовых заводских</w:t>
            </w:r>
          </w:p>
        </w:tc>
      </w:tr>
      <w:tr w:rsidR="00643896" w:rsidRPr="00640820" w14:paraId="59B8CE0D" w14:textId="77777777" w:rsidTr="000D3BCB">
        <w:tc>
          <w:tcPr>
            <w:tcW w:w="675" w:type="dxa"/>
          </w:tcPr>
          <w:p w14:paraId="7C60B9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5AB75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DD2AC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563C66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опытные</w:t>
            </w:r>
          </w:p>
        </w:tc>
        <w:tc>
          <w:tcPr>
            <w:tcW w:w="1513" w:type="dxa"/>
          </w:tcPr>
          <w:p w14:paraId="663AEC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2" w:type="dxa"/>
          </w:tcPr>
          <w:p w14:paraId="7D8686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 г.</w:t>
            </w:r>
          </w:p>
        </w:tc>
        <w:tc>
          <w:tcPr>
            <w:tcW w:w="1614" w:type="dxa"/>
          </w:tcPr>
          <w:p w14:paraId="2CED62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 г.</w:t>
            </w:r>
          </w:p>
        </w:tc>
        <w:tc>
          <w:tcPr>
            <w:tcW w:w="850" w:type="dxa"/>
          </w:tcPr>
          <w:p w14:paraId="29DE0E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 г.</w:t>
            </w:r>
          </w:p>
        </w:tc>
        <w:tc>
          <w:tcPr>
            <w:tcW w:w="1984" w:type="dxa"/>
          </w:tcPr>
          <w:p w14:paraId="46D0F7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испытания. Мотор по основным</w:t>
            </w:r>
          </w:p>
        </w:tc>
      </w:tr>
      <w:tr w:rsidR="00643896" w:rsidRPr="00640820" w14:paraId="3EE17285" w14:textId="77777777" w:rsidTr="000D3BCB">
        <w:tc>
          <w:tcPr>
            <w:tcW w:w="675" w:type="dxa"/>
          </w:tcPr>
          <w:p w14:paraId="21C5BE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2A6FB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90DC9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0EAC4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образцы и</w:t>
            </w:r>
          </w:p>
        </w:tc>
        <w:tc>
          <w:tcPr>
            <w:tcW w:w="1513" w:type="dxa"/>
          </w:tcPr>
          <w:p w14:paraId="796FC2E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2" w:type="dxa"/>
          </w:tcPr>
          <w:p w14:paraId="4F94B0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1640E2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22AC7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4E30BD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деталям дефектов не имеет за</w:t>
            </w:r>
          </w:p>
        </w:tc>
      </w:tr>
      <w:tr w:rsidR="00643896" w:rsidRPr="00640820" w14:paraId="4ACAF2B4" w14:textId="77777777" w:rsidTr="000D3BCB">
        <w:tc>
          <w:tcPr>
            <w:tcW w:w="675" w:type="dxa"/>
          </w:tcPr>
          <w:p w14:paraId="69F32E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4E00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8729B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FC56C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проведены</w:t>
            </w:r>
          </w:p>
        </w:tc>
        <w:tc>
          <w:tcPr>
            <w:tcW w:w="1513" w:type="dxa"/>
          </w:tcPr>
          <w:p w14:paraId="53E5F7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2" w:type="dxa"/>
          </w:tcPr>
          <w:p w14:paraId="385A38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783A46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EB3A0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7C18498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исключением клапанов выхлопа.</w:t>
            </w:r>
          </w:p>
        </w:tc>
      </w:tr>
      <w:tr w:rsidR="00643896" w:rsidRPr="00640820" w14:paraId="6AF9C454" w14:textId="77777777" w:rsidTr="000D3BCB">
        <w:tc>
          <w:tcPr>
            <w:tcW w:w="675" w:type="dxa"/>
          </w:tcPr>
          <w:p w14:paraId="66CDB1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C26A6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1BBFC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53C0C6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 час. зав.</w:t>
            </w:r>
          </w:p>
        </w:tc>
        <w:tc>
          <w:tcPr>
            <w:tcW w:w="1513" w:type="dxa"/>
          </w:tcPr>
          <w:p w14:paraId="258FD9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2" w:type="dxa"/>
          </w:tcPr>
          <w:p w14:paraId="1AAA82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1A6895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93509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42C06B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C03412B" w14:textId="77777777" w:rsidTr="000D3BCB">
        <w:tc>
          <w:tcPr>
            <w:tcW w:w="675" w:type="dxa"/>
          </w:tcPr>
          <w:p w14:paraId="0AEDCB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9805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623EA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AEA3C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испытания</w:t>
            </w:r>
          </w:p>
        </w:tc>
        <w:tc>
          <w:tcPr>
            <w:tcW w:w="1513" w:type="dxa"/>
          </w:tcPr>
          <w:p w14:paraId="571833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2" w:type="dxa"/>
          </w:tcPr>
          <w:p w14:paraId="56762A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0E3C18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27364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0FD791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B771714" w14:textId="77777777" w:rsidTr="000D3BCB">
        <w:tc>
          <w:tcPr>
            <w:tcW w:w="675" w:type="dxa"/>
          </w:tcPr>
          <w:p w14:paraId="03E7FA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w:t>
            </w:r>
          </w:p>
        </w:tc>
        <w:tc>
          <w:tcPr>
            <w:tcW w:w="851" w:type="dxa"/>
          </w:tcPr>
          <w:p w14:paraId="758E08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М-82</w:t>
            </w:r>
          </w:p>
        </w:tc>
        <w:tc>
          <w:tcPr>
            <w:tcW w:w="850" w:type="dxa"/>
          </w:tcPr>
          <w:p w14:paraId="64F686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1940 г.</w:t>
            </w:r>
          </w:p>
        </w:tc>
        <w:tc>
          <w:tcPr>
            <w:tcW w:w="1418" w:type="dxa"/>
          </w:tcPr>
          <w:p w14:paraId="609BB7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Проведены</w:t>
            </w:r>
          </w:p>
        </w:tc>
        <w:tc>
          <w:tcPr>
            <w:tcW w:w="1513" w:type="dxa"/>
          </w:tcPr>
          <w:p w14:paraId="50E46E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март</w:t>
            </w:r>
          </w:p>
        </w:tc>
        <w:tc>
          <w:tcPr>
            <w:tcW w:w="842" w:type="dxa"/>
          </w:tcPr>
          <w:p w14:paraId="6663AE1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март</w:t>
            </w:r>
          </w:p>
        </w:tc>
        <w:tc>
          <w:tcPr>
            <w:tcW w:w="1614" w:type="dxa"/>
          </w:tcPr>
          <w:p w14:paraId="191B22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июль</w:t>
            </w:r>
          </w:p>
        </w:tc>
        <w:tc>
          <w:tcPr>
            <w:tcW w:w="850" w:type="dxa"/>
          </w:tcPr>
          <w:p w14:paraId="40F4D5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июль</w:t>
            </w:r>
          </w:p>
        </w:tc>
        <w:tc>
          <w:tcPr>
            <w:tcW w:w="1984" w:type="dxa"/>
          </w:tcPr>
          <w:p w14:paraId="0BC1F8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Мотор внедрен в серийное пр-во</w:t>
            </w:r>
          </w:p>
        </w:tc>
      </w:tr>
      <w:tr w:rsidR="00643896" w:rsidRPr="00640820" w14:paraId="4650E7CF" w14:textId="77777777" w:rsidTr="000D3BCB">
        <w:tc>
          <w:tcPr>
            <w:tcW w:w="675" w:type="dxa"/>
          </w:tcPr>
          <w:p w14:paraId="12BD2D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8AACB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911689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BE616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 часовые</w:t>
            </w:r>
          </w:p>
        </w:tc>
        <w:tc>
          <w:tcPr>
            <w:tcW w:w="1513" w:type="dxa"/>
          </w:tcPr>
          <w:p w14:paraId="64FF44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2" w:type="dxa"/>
          </w:tcPr>
          <w:p w14:paraId="2FEF1C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 г.</w:t>
            </w:r>
          </w:p>
        </w:tc>
        <w:tc>
          <w:tcPr>
            <w:tcW w:w="1614" w:type="dxa"/>
          </w:tcPr>
          <w:p w14:paraId="033561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 г.</w:t>
            </w:r>
          </w:p>
        </w:tc>
        <w:tc>
          <w:tcPr>
            <w:tcW w:w="850" w:type="dxa"/>
          </w:tcPr>
          <w:p w14:paraId="31F7B3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 г.</w:t>
            </w:r>
          </w:p>
        </w:tc>
        <w:tc>
          <w:tcPr>
            <w:tcW w:w="1984" w:type="dxa"/>
          </w:tcPr>
          <w:p w14:paraId="069CBE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июня 1941 г.</w:t>
            </w:r>
          </w:p>
        </w:tc>
      </w:tr>
      <w:tr w:rsidR="00643896" w:rsidRPr="00640820" w14:paraId="4B95972A" w14:textId="77777777" w:rsidTr="000D3BCB">
        <w:tc>
          <w:tcPr>
            <w:tcW w:w="675" w:type="dxa"/>
          </w:tcPr>
          <w:p w14:paraId="28D9DD8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1411A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1F71C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00572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заводские</w:t>
            </w:r>
          </w:p>
        </w:tc>
        <w:tc>
          <w:tcPr>
            <w:tcW w:w="1513" w:type="dxa"/>
          </w:tcPr>
          <w:p w14:paraId="0C0702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2" w:type="dxa"/>
          </w:tcPr>
          <w:p w14:paraId="04034B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0D850B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41276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134EA8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E28A72C" w14:textId="77777777" w:rsidTr="000D3BCB">
        <w:tc>
          <w:tcPr>
            <w:tcW w:w="675" w:type="dxa"/>
          </w:tcPr>
          <w:p w14:paraId="44D50C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4EBB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373BF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A80C5B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испытания</w:t>
            </w:r>
          </w:p>
        </w:tc>
        <w:tc>
          <w:tcPr>
            <w:tcW w:w="1513" w:type="dxa"/>
          </w:tcPr>
          <w:p w14:paraId="392F19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2" w:type="dxa"/>
          </w:tcPr>
          <w:p w14:paraId="5EECCA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3D28D4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26171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4F4F3E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0C00829" w14:textId="77777777" w:rsidTr="000D3BCB">
        <w:tc>
          <w:tcPr>
            <w:tcW w:w="675" w:type="dxa"/>
          </w:tcPr>
          <w:p w14:paraId="68A20A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w:t>
            </w:r>
          </w:p>
        </w:tc>
        <w:tc>
          <w:tcPr>
            <w:tcW w:w="851" w:type="dxa"/>
          </w:tcPr>
          <w:p w14:paraId="2B671C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М-89</w:t>
            </w:r>
          </w:p>
        </w:tc>
        <w:tc>
          <w:tcPr>
            <w:tcW w:w="850" w:type="dxa"/>
          </w:tcPr>
          <w:p w14:paraId="2DC822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1940 г.</w:t>
            </w:r>
          </w:p>
        </w:tc>
        <w:tc>
          <w:tcPr>
            <w:tcW w:w="1418" w:type="dxa"/>
          </w:tcPr>
          <w:p w14:paraId="71F300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Проведены</w:t>
            </w:r>
          </w:p>
        </w:tc>
        <w:tc>
          <w:tcPr>
            <w:tcW w:w="1513" w:type="dxa"/>
          </w:tcPr>
          <w:p w14:paraId="127392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апрель</w:t>
            </w:r>
          </w:p>
        </w:tc>
        <w:tc>
          <w:tcPr>
            <w:tcW w:w="842" w:type="dxa"/>
          </w:tcPr>
          <w:p w14:paraId="76C1FE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апрель</w:t>
            </w:r>
          </w:p>
        </w:tc>
        <w:tc>
          <w:tcPr>
            <w:tcW w:w="1614" w:type="dxa"/>
          </w:tcPr>
          <w:p w14:paraId="0B59E2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июль</w:t>
            </w:r>
          </w:p>
        </w:tc>
        <w:tc>
          <w:tcPr>
            <w:tcW w:w="850" w:type="dxa"/>
          </w:tcPr>
          <w:p w14:paraId="12431C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июль</w:t>
            </w:r>
          </w:p>
        </w:tc>
        <w:tc>
          <w:tcPr>
            <w:tcW w:w="1984" w:type="dxa"/>
          </w:tcPr>
          <w:p w14:paraId="339C5D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Мотор испытания закончил</w:t>
            </w:r>
          </w:p>
        </w:tc>
      </w:tr>
      <w:tr w:rsidR="00643896" w:rsidRPr="00640820" w14:paraId="2AD3E93B" w14:textId="77777777" w:rsidTr="000D3BCB">
        <w:tc>
          <w:tcPr>
            <w:tcW w:w="675" w:type="dxa"/>
          </w:tcPr>
          <w:p w14:paraId="3205C2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1F9AA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22011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3550A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предварит.</w:t>
            </w:r>
          </w:p>
        </w:tc>
        <w:tc>
          <w:tcPr>
            <w:tcW w:w="1513" w:type="dxa"/>
          </w:tcPr>
          <w:p w14:paraId="10819D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 г.</w:t>
            </w:r>
          </w:p>
        </w:tc>
        <w:tc>
          <w:tcPr>
            <w:tcW w:w="842" w:type="dxa"/>
          </w:tcPr>
          <w:p w14:paraId="5783709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 г.</w:t>
            </w:r>
          </w:p>
        </w:tc>
        <w:tc>
          <w:tcPr>
            <w:tcW w:w="1614" w:type="dxa"/>
          </w:tcPr>
          <w:p w14:paraId="68843DA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 г.</w:t>
            </w:r>
          </w:p>
        </w:tc>
        <w:tc>
          <w:tcPr>
            <w:tcW w:w="850" w:type="dxa"/>
          </w:tcPr>
          <w:p w14:paraId="343F25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 г.</w:t>
            </w:r>
          </w:p>
        </w:tc>
        <w:tc>
          <w:tcPr>
            <w:tcW w:w="1984" w:type="dxa"/>
          </w:tcPr>
          <w:p w14:paraId="759687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удовлетворительно, в серийное</w:t>
            </w:r>
          </w:p>
        </w:tc>
      </w:tr>
      <w:tr w:rsidR="00643896" w:rsidRPr="00640820" w14:paraId="0339961B" w14:textId="77777777" w:rsidTr="000D3BCB">
        <w:tc>
          <w:tcPr>
            <w:tcW w:w="675" w:type="dxa"/>
          </w:tcPr>
          <w:p w14:paraId="1EA74C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2A1E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1D45E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5B3140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заводские</w:t>
            </w:r>
          </w:p>
        </w:tc>
        <w:tc>
          <w:tcPr>
            <w:tcW w:w="1513" w:type="dxa"/>
          </w:tcPr>
          <w:p w14:paraId="0B78DB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2" w:type="dxa"/>
          </w:tcPr>
          <w:p w14:paraId="367BBC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43EE40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634B1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4E8299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не внедрен, заменен</w:t>
            </w:r>
          </w:p>
        </w:tc>
      </w:tr>
      <w:tr w:rsidR="00643896" w:rsidRPr="00640820" w14:paraId="16AA20C1" w14:textId="77777777" w:rsidTr="000D3BCB">
        <w:tc>
          <w:tcPr>
            <w:tcW w:w="675" w:type="dxa"/>
          </w:tcPr>
          <w:p w14:paraId="53403A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1A2F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1A096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8CA476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испытания</w:t>
            </w:r>
          </w:p>
        </w:tc>
        <w:tc>
          <w:tcPr>
            <w:tcW w:w="1513" w:type="dxa"/>
          </w:tcPr>
          <w:p w14:paraId="732318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2" w:type="dxa"/>
          </w:tcPr>
          <w:p w14:paraId="246399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1BF215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12EE0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6E5A3B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форсированный мотор М-89Б.</w:t>
            </w:r>
          </w:p>
        </w:tc>
      </w:tr>
      <w:tr w:rsidR="00643896" w:rsidRPr="00640820" w14:paraId="47F6FDC3" w14:textId="77777777" w:rsidTr="000D3BCB">
        <w:tc>
          <w:tcPr>
            <w:tcW w:w="675" w:type="dxa"/>
          </w:tcPr>
          <w:p w14:paraId="17B751E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w:t>
            </w:r>
          </w:p>
        </w:tc>
        <w:tc>
          <w:tcPr>
            <w:tcW w:w="851" w:type="dxa"/>
          </w:tcPr>
          <w:p w14:paraId="6ECCB5F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М-89НВ</w:t>
            </w:r>
          </w:p>
        </w:tc>
        <w:tc>
          <w:tcPr>
            <w:tcW w:w="850" w:type="dxa"/>
          </w:tcPr>
          <w:p w14:paraId="3E6DE2C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 г.</w:t>
            </w:r>
          </w:p>
        </w:tc>
        <w:tc>
          <w:tcPr>
            <w:tcW w:w="1418" w:type="dxa"/>
          </w:tcPr>
          <w:p w14:paraId="18A0E3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работам</w:t>
            </w:r>
          </w:p>
        </w:tc>
        <w:tc>
          <w:tcPr>
            <w:tcW w:w="1513" w:type="dxa"/>
          </w:tcPr>
          <w:p w14:paraId="6F351F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июль</w:t>
            </w:r>
          </w:p>
        </w:tc>
        <w:tc>
          <w:tcPr>
            <w:tcW w:w="842" w:type="dxa"/>
          </w:tcPr>
          <w:p w14:paraId="6414E6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июль</w:t>
            </w:r>
          </w:p>
        </w:tc>
        <w:tc>
          <w:tcPr>
            <w:tcW w:w="1614" w:type="dxa"/>
          </w:tcPr>
          <w:p w14:paraId="10E963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август</w:t>
            </w:r>
          </w:p>
        </w:tc>
        <w:tc>
          <w:tcPr>
            <w:tcW w:w="850" w:type="dxa"/>
          </w:tcPr>
          <w:p w14:paraId="64AC86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984" w:type="dxa"/>
          </w:tcPr>
          <w:p w14:paraId="49A7DD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BAD87E5" w14:textId="77777777" w:rsidTr="000D3BCB">
        <w:tc>
          <w:tcPr>
            <w:tcW w:w="675" w:type="dxa"/>
          </w:tcPr>
          <w:p w14:paraId="69720E8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7A573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144DA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99009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приступлено</w:t>
            </w:r>
          </w:p>
        </w:tc>
        <w:tc>
          <w:tcPr>
            <w:tcW w:w="1513" w:type="dxa"/>
          </w:tcPr>
          <w:p w14:paraId="35B9CA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 г.</w:t>
            </w:r>
          </w:p>
        </w:tc>
        <w:tc>
          <w:tcPr>
            <w:tcW w:w="842" w:type="dxa"/>
          </w:tcPr>
          <w:p w14:paraId="33A3A4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 г.</w:t>
            </w:r>
          </w:p>
        </w:tc>
        <w:tc>
          <w:tcPr>
            <w:tcW w:w="1614" w:type="dxa"/>
          </w:tcPr>
          <w:p w14:paraId="27FCEF6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 г.</w:t>
            </w:r>
          </w:p>
        </w:tc>
        <w:tc>
          <w:tcPr>
            <w:tcW w:w="850" w:type="dxa"/>
          </w:tcPr>
          <w:p w14:paraId="2D7806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70A100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EF1DC8F" w14:textId="77777777" w:rsidTr="000D3BCB">
        <w:tc>
          <w:tcPr>
            <w:tcW w:w="675" w:type="dxa"/>
          </w:tcPr>
          <w:p w14:paraId="7B4349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6801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3FC4C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11648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II кв.</w:t>
            </w:r>
          </w:p>
        </w:tc>
        <w:tc>
          <w:tcPr>
            <w:tcW w:w="1513" w:type="dxa"/>
          </w:tcPr>
          <w:p w14:paraId="7EDE19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2" w:type="dxa"/>
          </w:tcPr>
          <w:p w14:paraId="297BF5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138EF1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DD000E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5FBF0A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03B65B6" w14:textId="77777777" w:rsidTr="000D3BCB">
        <w:tc>
          <w:tcPr>
            <w:tcW w:w="675" w:type="dxa"/>
          </w:tcPr>
          <w:p w14:paraId="5FA71E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3BE36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990CE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33E83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 г.</w:t>
            </w:r>
          </w:p>
        </w:tc>
        <w:tc>
          <w:tcPr>
            <w:tcW w:w="1513" w:type="dxa"/>
          </w:tcPr>
          <w:p w14:paraId="5058BB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2" w:type="dxa"/>
          </w:tcPr>
          <w:p w14:paraId="770C96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3906B4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13CDC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26E312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3E34BA1" w14:textId="77777777" w:rsidTr="000D3BCB">
        <w:tc>
          <w:tcPr>
            <w:tcW w:w="675" w:type="dxa"/>
          </w:tcPr>
          <w:p w14:paraId="31B9DC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w:t>
            </w:r>
          </w:p>
        </w:tc>
        <w:tc>
          <w:tcPr>
            <w:tcW w:w="851" w:type="dxa"/>
          </w:tcPr>
          <w:p w14:paraId="4244254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М-89Б</w:t>
            </w:r>
          </w:p>
        </w:tc>
        <w:tc>
          <w:tcPr>
            <w:tcW w:w="850" w:type="dxa"/>
          </w:tcPr>
          <w:p w14:paraId="4B57B3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 г.</w:t>
            </w:r>
          </w:p>
        </w:tc>
        <w:tc>
          <w:tcPr>
            <w:tcW w:w="1418" w:type="dxa"/>
          </w:tcPr>
          <w:p w14:paraId="7E8CDA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Инициативная</w:t>
            </w:r>
          </w:p>
        </w:tc>
        <w:tc>
          <w:tcPr>
            <w:tcW w:w="1513" w:type="dxa"/>
          </w:tcPr>
          <w:p w14:paraId="7CB222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42" w:type="dxa"/>
          </w:tcPr>
          <w:p w14:paraId="58EF796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614" w:type="dxa"/>
          </w:tcPr>
          <w:p w14:paraId="76125D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декабрь</w:t>
            </w:r>
          </w:p>
        </w:tc>
        <w:tc>
          <w:tcPr>
            <w:tcW w:w="850" w:type="dxa"/>
          </w:tcPr>
          <w:p w14:paraId="39954C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984" w:type="dxa"/>
          </w:tcPr>
          <w:p w14:paraId="2F9435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Предъявлен в сентябре на</w:t>
            </w:r>
          </w:p>
        </w:tc>
      </w:tr>
      <w:tr w:rsidR="00643896" w:rsidRPr="00640820" w14:paraId="600AF5E9" w14:textId="77777777" w:rsidTr="000D3BCB">
        <w:tc>
          <w:tcPr>
            <w:tcW w:w="675" w:type="dxa"/>
          </w:tcPr>
          <w:p w14:paraId="21D952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3931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23FBB5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2019D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тема начата</w:t>
            </w:r>
          </w:p>
        </w:tc>
        <w:tc>
          <w:tcPr>
            <w:tcW w:w="1513" w:type="dxa"/>
          </w:tcPr>
          <w:p w14:paraId="0315E5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2" w:type="dxa"/>
          </w:tcPr>
          <w:p w14:paraId="7A13028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465495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 г.</w:t>
            </w:r>
          </w:p>
        </w:tc>
        <w:tc>
          <w:tcPr>
            <w:tcW w:w="850" w:type="dxa"/>
          </w:tcPr>
          <w:p w14:paraId="35E6809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66E0FB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совместное 50 час. испытание,</w:t>
            </w:r>
          </w:p>
        </w:tc>
      </w:tr>
      <w:tr w:rsidR="00643896" w:rsidRPr="00640820" w14:paraId="366D0F74" w14:textId="77777777" w:rsidTr="000D3BCB">
        <w:tc>
          <w:tcPr>
            <w:tcW w:w="675" w:type="dxa"/>
          </w:tcPr>
          <w:p w14:paraId="1F88D8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E9F6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DABA1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C59DA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заводом с</w:t>
            </w:r>
          </w:p>
        </w:tc>
        <w:tc>
          <w:tcPr>
            <w:tcW w:w="1513" w:type="dxa"/>
          </w:tcPr>
          <w:p w14:paraId="0E28F4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2" w:type="dxa"/>
          </w:tcPr>
          <w:p w14:paraId="54267D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63BA78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3B6E3F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1A547D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которое прервано в связи с</w:t>
            </w:r>
          </w:p>
        </w:tc>
      </w:tr>
      <w:tr w:rsidR="00643896" w:rsidRPr="00640820" w14:paraId="285CD879" w14:textId="77777777" w:rsidTr="000D3BCB">
        <w:tc>
          <w:tcPr>
            <w:tcW w:w="675" w:type="dxa"/>
          </w:tcPr>
          <w:p w14:paraId="10F6A7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17B92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CA3A4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CDF79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июня 1941 г.</w:t>
            </w:r>
          </w:p>
        </w:tc>
        <w:tc>
          <w:tcPr>
            <w:tcW w:w="1513" w:type="dxa"/>
          </w:tcPr>
          <w:p w14:paraId="74497F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2" w:type="dxa"/>
          </w:tcPr>
          <w:p w14:paraId="42B15C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2923BE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B6049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17FB8C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перебазированием ЦИАМ"а.</w:t>
            </w:r>
          </w:p>
        </w:tc>
      </w:tr>
      <w:tr w:rsidR="00643896" w:rsidRPr="00640820" w14:paraId="562F0264" w14:textId="77777777" w:rsidTr="000D3BCB">
        <w:tc>
          <w:tcPr>
            <w:tcW w:w="675" w:type="dxa"/>
          </w:tcPr>
          <w:p w14:paraId="0CE958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w:t>
            </w:r>
          </w:p>
        </w:tc>
        <w:tc>
          <w:tcPr>
            <w:tcW w:w="851" w:type="dxa"/>
          </w:tcPr>
          <w:p w14:paraId="6EF5D9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М-90</w:t>
            </w:r>
          </w:p>
        </w:tc>
        <w:tc>
          <w:tcPr>
            <w:tcW w:w="850" w:type="dxa"/>
          </w:tcPr>
          <w:p w14:paraId="68B383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1939 г.</w:t>
            </w:r>
          </w:p>
        </w:tc>
        <w:tc>
          <w:tcPr>
            <w:tcW w:w="1418" w:type="dxa"/>
          </w:tcPr>
          <w:p w14:paraId="49D5D4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Мотор</w:t>
            </w:r>
          </w:p>
        </w:tc>
        <w:tc>
          <w:tcPr>
            <w:tcW w:w="1513" w:type="dxa"/>
          </w:tcPr>
          <w:p w14:paraId="2B5391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сент.</w:t>
            </w:r>
          </w:p>
        </w:tc>
        <w:tc>
          <w:tcPr>
            <w:tcW w:w="842" w:type="dxa"/>
          </w:tcPr>
          <w:p w14:paraId="400D40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614" w:type="dxa"/>
          </w:tcPr>
          <w:p w14:paraId="577C2F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ноябрь</w:t>
            </w:r>
          </w:p>
        </w:tc>
        <w:tc>
          <w:tcPr>
            <w:tcW w:w="850" w:type="dxa"/>
          </w:tcPr>
          <w:p w14:paraId="522998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984" w:type="dxa"/>
          </w:tcPr>
          <w:p w14:paraId="20CC3C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Подготовлен к предъявлению на 50</w:t>
            </w:r>
          </w:p>
        </w:tc>
      </w:tr>
      <w:tr w:rsidR="00643896" w:rsidRPr="00640820" w14:paraId="21E69B37" w14:textId="77777777" w:rsidTr="000D3BCB">
        <w:tc>
          <w:tcPr>
            <w:tcW w:w="675" w:type="dxa"/>
          </w:tcPr>
          <w:p w14:paraId="647B8C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BE3A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6C991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DDD09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находился в</w:t>
            </w:r>
          </w:p>
        </w:tc>
        <w:tc>
          <w:tcPr>
            <w:tcW w:w="1513" w:type="dxa"/>
          </w:tcPr>
          <w:p w14:paraId="23C9B8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 г.</w:t>
            </w:r>
          </w:p>
        </w:tc>
        <w:tc>
          <w:tcPr>
            <w:tcW w:w="842" w:type="dxa"/>
          </w:tcPr>
          <w:p w14:paraId="0CAE26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101804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 г.</w:t>
            </w:r>
          </w:p>
        </w:tc>
        <w:tc>
          <w:tcPr>
            <w:tcW w:w="850" w:type="dxa"/>
          </w:tcPr>
          <w:p w14:paraId="045E4C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30B4C4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часовые совместные испытания.</w:t>
            </w:r>
          </w:p>
        </w:tc>
      </w:tr>
      <w:tr w:rsidR="00643896" w:rsidRPr="00640820" w14:paraId="670FFA9E" w14:textId="77777777" w:rsidTr="000D3BCB">
        <w:tc>
          <w:tcPr>
            <w:tcW w:w="675" w:type="dxa"/>
          </w:tcPr>
          <w:p w14:paraId="26DD55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3795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35E40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1D7D0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доводке</w:t>
            </w:r>
          </w:p>
        </w:tc>
        <w:tc>
          <w:tcPr>
            <w:tcW w:w="1513" w:type="dxa"/>
          </w:tcPr>
          <w:p w14:paraId="0F5674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2" w:type="dxa"/>
          </w:tcPr>
          <w:p w14:paraId="02B18F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70D9CF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F0D6E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7165BC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078C167" w14:textId="77777777" w:rsidTr="000D3BCB">
        <w:tc>
          <w:tcPr>
            <w:tcW w:w="675" w:type="dxa"/>
          </w:tcPr>
          <w:p w14:paraId="6B0E6E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C3E5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D419B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8E67C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заводскими</w:t>
            </w:r>
          </w:p>
        </w:tc>
        <w:tc>
          <w:tcPr>
            <w:tcW w:w="1513" w:type="dxa"/>
          </w:tcPr>
          <w:p w14:paraId="4D46AD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2" w:type="dxa"/>
          </w:tcPr>
          <w:p w14:paraId="2B7B29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2EEDFB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AE9361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5FCDAD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96552C4" w14:textId="77777777" w:rsidTr="000D3BCB">
        <w:tc>
          <w:tcPr>
            <w:tcW w:w="675" w:type="dxa"/>
          </w:tcPr>
          <w:p w14:paraId="63A07F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4878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A32F5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500E5F3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испытаниями</w:t>
            </w:r>
          </w:p>
        </w:tc>
        <w:tc>
          <w:tcPr>
            <w:tcW w:w="1513" w:type="dxa"/>
          </w:tcPr>
          <w:p w14:paraId="5267DB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2" w:type="dxa"/>
          </w:tcPr>
          <w:p w14:paraId="756D2B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782D98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84992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097505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3E0704D" w14:textId="77777777" w:rsidTr="000D3BCB">
        <w:tc>
          <w:tcPr>
            <w:tcW w:w="675" w:type="dxa"/>
          </w:tcPr>
          <w:p w14:paraId="6F2517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w:t>
            </w:r>
          </w:p>
        </w:tc>
        <w:tc>
          <w:tcPr>
            <w:tcW w:w="851" w:type="dxa"/>
          </w:tcPr>
          <w:p w14:paraId="7CFAABB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АМ-39</w:t>
            </w:r>
          </w:p>
        </w:tc>
        <w:tc>
          <w:tcPr>
            <w:tcW w:w="850" w:type="dxa"/>
          </w:tcPr>
          <w:p w14:paraId="379BBD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1940 г.</w:t>
            </w:r>
          </w:p>
        </w:tc>
        <w:tc>
          <w:tcPr>
            <w:tcW w:w="1418" w:type="dxa"/>
          </w:tcPr>
          <w:p w14:paraId="6CD479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Проектирован.</w:t>
            </w:r>
          </w:p>
        </w:tc>
        <w:tc>
          <w:tcPr>
            <w:tcW w:w="1513" w:type="dxa"/>
          </w:tcPr>
          <w:p w14:paraId="2E4B3D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август</w:t>
            </w:r>
          </w:p>
        </w:tc>
        <w:tc>
          <w:tcPr>
            <w:tcW w:w="842" w:type="dxa"/>
          </w:tcPr>
          <w:p w14:paraId="1776D4F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614" w:type="dxa"/>
          </w:tcPr>
          <w:p w14:paraId="44D4FDF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декабрь</w:t>
            </w:r>
          </w:p>
        </w:tc>
        <w:tc>
          <w:tcPr>
            <w:tcW w:w="850" w:type="dxa"/>
          </w:tcPr>
          <w:p w14:paraId="3A1FDE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984" w:type="dxa"/>
          </w:tcPr>
          <w:p w14:paraId="73AF37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Мотор не построен, доводка </w:t>
            </w:r>
          </w:p>
        </w:tc>
      </w:tr>
      <w:tr w:rsidR="00643896" w:rsidRPr="00640820" w14:paraId="055E63F3" w14:textId="77777777" w:rsidTr="000D3BCB">
        <w:tc>
          <w:tcPr>
            <w:tcW w:w="675" w:type="dxa"/>
          </w:tcPr>
          <w:p w14:paraId="74410D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BBEE9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ABC94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F89CE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 проведены</w:t>
            </w:r>
          </w:p>
        </w:tc>
        <w:tc>
          <w:tcPr>
            <w:tcW w:w="1513" w:type="dxa"/>
          </w:tcPr>
          <w:p w14:paraId="64BA91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2" w:type="dxa"/>
          </w:tcPr>
          <w:p w14:paraId="64722E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0B6EA9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F78249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2F204E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нагнетателя производится на АМ-37</w:t>
            </w:r>
          </w:p>
        </w:tc>
      </w:tr>
      <w:tr w:rsidR="00643896" w:rsidRPr="00640820" w14:paraId="45B2A86D" w14:textId="77777777" w:rsidTr="000D3BCB">
        <w:tc>
          <w:tcPr>
            <w:tcW w:w="675" w:type="dxa"/>
          </w:tcPr>
          <w:p w14:paraId="112D08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7BEB6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A5C64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58B3B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эксперимент.</w:t>
            </w:r>
          </w:p>
        </w:tc>
        <w:tc>
          <w:tcPr>
            <w:tcW w:w="1513" w:type="dxa"/>
          </w:tcPr>
          <w:p w14:paraId="4977D2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2" w:type="dxa"/>
          </w:tcPr>
          <w:p w14:paraId="14CCDF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12A206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CED63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6A07BB8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80D9704" w14:textId="77777777" w:rsidTr="000D3BCB">
        <w:tc>
          <w:tcPr>
            <w:tcW w:w="675" w:type="dxa"/>
          </w:tcPr>
          <w:p w14:paraId="71F42AC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19CB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B95DC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F33BE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w:t>
            </w:r>
          </w:p>
        </w:tc>
        <w:tc>
          <w:tcPr>
            <w:tcW w:w="1513" w:type="dxa"/>
          </w:tcPr>
          <w:p w14:paraId="1F1BDD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2" w:type="dxa"/>
          </w:tcPr>
          <w:p w14:paraId="0B13AC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0CD56F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32164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63192E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EC8BE5E" w14:textId="77777777" w:rsidTr="000D3BCB">
        <w:tc>
          <w:tcPr>
            <w:tcW w:w="675" w:type="dxa"/>
          </w:tcPr>
          <w:p w14:paraId="1C675B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w:t>
            </w:r>
          </w:p>
        </w:tc>
        <w:tc>
          <w:tcPr>
            <w:tcW w:w="851" w:type="dxa"/>
          </w:tcPr>
          <w:p w14:paraId="442A6E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АМ-37</w:t>
            </w:r>
          </w:p>
        </w:tc>
        <w:tc>
          <w:tcPr>
            <w:tcW w:w="850" w:type="dxa"/>
          </w:tcPr>
          <w:p w14:paraId="2AD5C7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1939 г.</w:t>
            </w:r>
          </w:p>
        </w:tc>
        <w:tc>
          <w:tcPr>
            <w:tcW w:w="1418" w:type="dxa"/>
          </w:tcPr>
          <w:p w14:paraId="66582E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Проходил</w:t>
            </w:r>
          </w:p>
        </w:tc>
        <w:tc>
          <w:tcPr>
            <w:tcW w:w="1513" w:type="dxa"/>
          </w:tcPr>
          <w:p w14:paraId="5FFEA0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42" w:type="dxa"/>
          </w:tcPr>
          <w:p w14:paraId="466041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614" w:type="dxa"/>
          </w:tcPr>
          <w:p w14:paraId="75ACF8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февраль</w:t>
            </w:r>
          </w:p>
        </w:tc>
        <w:tc>
          <w:tcPr>
            <w:tcW w:w="850" w:type="dxa"/>
          </w:tcPr>
          <w:p w14:paraId="07C9F41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июль</w:t>
            </w:r>
          </w:p>
        </w:tc>
        <w:tc>
          <w:tcPr>
            <w:tcW w:w="1984" w:type="dxa"/>
          </w:tcPr>
          <w:p w14:paraId="69A660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Мотор внедрен в серийное пр-во.</w:t>
            </w:r>
          </w:p>
        </w:tc>
      </w:tr>
      <w:tr w:rsidR="00643896" w:rsidRPr="00640820" w14:paraId="421ABD40" w14:textId="77777777" w:rsidTr="000D3BCB">
        <w:tc>
          <w:tcPr>
            <w:tcW w:w="675" w:type="dxa"/>
          </w:tcPr>
          <w:p w14:paraId="663BDA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13CAB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F9C15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1F307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заводские</w:t>
            </w:r>
          </w:p>
        </w:tc>
        <w:tc>
          <w:tcPr>
            <w:tcW w:w="1513" w:type="dxa"/>
          </w:tcPr>
          <w:p w14:paraId="336D04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2" w:type="dxa"/>
          </w:tcPr>
          <w:p w14:paraId="7846D4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5051E5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 г.</w:t>
            </w:r>
          </w:p>
        </w:tc>
        <w:tc>
          <w:tcPr>
            <w:tcW w:w="850" w:type="dxa"/>
          </w:tcPr>
          <w:p w14:paraId="70DB346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 г.</w:t>
            </w:r>
          </w:p>
        </w:tc>
        <w:tc>
          <w:tcPr>
            <w:tcW w:w="1984" w:type="dxa"/>
          </w:tcPr>
          <w:p w14:paraId="247546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2C7EB67" w14:textId="77777777" w:rsidTr="000D3BCB">
        <w:tc>
          <w:tcPr>
            <w:tcW w:w="675" w:type="dxa"/>
          </w:tcPr>
          <w:p w14:paraId="16DB26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5940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B1D70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362C7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испытания</w:t>
            </w:r>
          </w:p>
        </w:tc>
        <w:tc>
          <w:tcPr>
            <w:tcW w:w="1513" w:type="dxa"/>
          </w:tcPr>
          <w:p w14:paraId="1F7CFDA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2" w:type="dxa"/>
          </w:tcPr>
          <w:p w14:paraId="191A9A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2C949D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C7184C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09FEE5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DBA98A2" w14:textId="77777777" w:rsidTr="000D3BCB">
        <w:tc>
          <w:tcPr>
            <w:tcW w:w="675" w:type="dxa"/>
          </w:tcPr>
          <w:p w14:paraId="1A9E7F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8564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16920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910B5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доводке</w:t>
            </w:r>
          </w:p>
        </w:tc>
        <w:tc>
          <w:tcPr>
            <w:tcW w:w="1513" w:type="dxa"/>
          </w:tcPr>
          <w:p w14:paraId="61220B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2" w:type="dxa"/>
          </w:tcPr>
          <w:p w14:paraId="72293C4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32FA823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F61DC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784302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EA7E7B9" w14:textId="77777777" w:rsidTr="000D3BCB">
        <w:tc>
          <w:tcPr>
            <w:tcW w:w="675" w:type="dxa"/>
          </w:tcPr>
          <w:p w14:paraId="3A7E66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E1CF8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8877D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0E203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100 час.</w:t>
            </w:r>
          </w:p>
        </w:tc>
        <w:tc>
          <w:tcPr>
            <w:tcW w:w="1513" w:type="dxa"/>
          </w:tcPr>
          <w:p w14:paraId="599FADE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2" w:type="dxa"/>
          </w:tcPr>
          <w:p w14:paraId="5DDE923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3E9C1D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6124F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0776ABC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D7F71D0" w14:textId="77777777" w:rsidTr="000D3BCB">
        <w:tc>
          <w:tcPr>
            <w:tcW w:w="675" w:type="dxa"/>
          </w:tcPr>
          <w:p w14:paraId="3A7191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E8C2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979CB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089F0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ресурса</w:t>
            </w:r>
          </w:p>
        </w:tc>
        <w:tc>
          <w:tcPr>
            <w:tcW w:w="1513" w:type="dxa"/>
          </w:tcPr>
          <w:p w14:paraId="26DA16A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2" w:type="dxa"/>
          </w:tcPr>
          <w:p w14:paraId="17A341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6D0782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425988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415A3A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E0F05D4" w14:textId="77777777" w:rsidTr="000D3BCB">
        <w:tc>
          <w:tcPr>
            <w:tcW w:w="675" w:type="dxa"/>
          </w:tcPr>
          <w:p w14:paraId="5D3DFD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w:t>
            </w:r>
          </w:p>
        </w:tc>
        <w:tc>
          <w:tcPr>
            <w:tcW w:w="851" w:type="dxa"/>
          </w:tcPr>
          <w:p w14:paraId="2E3B6E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АМ-38</w:t>
            </w:r>
          </w:p>
        </w:tc>
        <w:tc>
          <w:tcPr>
            <w:tcW w:w="850" w:type="dxa"/>
          </w:tcPr>
          <w:p w14:paraId="3915E0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1940 г.</w:t>
            </w:r>
          </w:p>
        </w:tc>
        <w:tc>
          <w:tcPr>
            <w:tcW w:w="1418" w:type="dxa"/>
          </w:tcPr>
          <w:p w14:paraId="176297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Заводская</w:t>
            </w:r>
          </w:p>
        </w:tc>
        <w:tc>
          <w:tcPr>
            <w:tcW w:w="1513" w:type="dxa"/>
          </w:tcPr>
          <w:p w14:paraId="3C6093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февраль</w:t>
            </w:r>
          </w:p>
        </w:tc>
        <w:tc>
          <w:tcPr>
            <w:tcW w:w="842" w:type="dxa"/>
          </w:tcPr>
          <w:p w14:paraId="601880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март</w:t>
            </w:r>
          </w:p>
        </w:tc>
        <w:tc>
          <w:tcPr>
            <w:tcW w:w="1614" w:type="dxa"/>
          </w:tcPr>
          <w:p w14:paraId="26FA59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июнь</w:t>
            </w:r>
          </w:p>
        </w:tc>
        <w:tc>
          <w:tcPr>
            <w:tcW w:w="850" w:type="dxa"/>
          </w:tcPr>
          <w:p w14:paraId="6D4F0A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июнь</w:t>
            </w:r>
          </w:p>
        </w:tc>
        <w:tc>
          <w:tcPr>
            <w:tcW w:w="1984" w:type="dxa"/>
          </w:tcPr>
          <w:p w14:paraId="0C427F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Мотор внедрен в серийное пр-во.</w:t>
            </w:r>
          </w:p>
        </w:tc>
      </w:tr>
      <w:tr w:rsidR="00643896" w:rsidRPr="00640820" w14:paraId="1C3C985B" w14:textId="77777777" w:rsidTr="000D3BCB">
        <w:tc>
          <w:tcPr>
            <w:tcW w:w="675" w:type="dxa"/>
          </w:tcPr>
          <w:p w14:paraId="515F86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AE6F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7007BE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89D03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доводка до</w:t>
            </w:r>
          </w:p>
        </w:tc>
        <w:tc>
          <w:tcPr>
            <w:tcW w:w="1513" w:type="dxa"/>
          </w:tcPr>
          <w:p w14:paraId="2A93E9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 г.</w:t>
            </w:r>
          </w:p>
        </w:tc>
        <w:tc>
          <w:tcPr>
            <w:tcW w:w="842" w:type="dxa"/>
          </w:tcPr>
          <w:p w14:paraId="07672A8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 г.</w:t>
            </w:r>
          </w:p>
        </w:tc>
        <w:tc>
          <w:tcPr>
            <w:tcW w:w="1614" w:type="dxa"/>
          </w:tcPr>
          <w:p w14:paraId="1BD6D8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 г.</w:t>
            </w:r>
          </w:p>
        </w:tc>
        <w:tc>
          <w:tcPr>
            <w:tcW w:w="850" w:type="dxa"/>
          </w:tcPr>
          <w:p w14:paraId="1C4167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 г.</w:t>
            </w:r>
          </w:p>
        </w:tc>
        <w:tc>
          <w:tcPr>
            <w:tcW w:w="1984" w:type="dxa"/>
          </w:tcPr>
          <w:p w14:paraId="1433A4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40B8812" w14:textId="77777777" w:rsidTr="000D3BCB">
        <w:tc>
          <w:tcPr>
            <w:tcW w:w="675" w:type="dxa"/>
          </w:tcPr>
          <w:p w14:paraId="5BAD9A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0AFA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64760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B3CDC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 часового</w:t>
            </w:r>
          </w:p>
        </w:tc>
        <w:tc>
          <w:tcPr>
            <w:tcW w:w="1513" w:type="dxa"/>
          </w:tcPr>
          <w:p w14:paraId="58E48F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2" w:type="dxa"/>
          </w:tcPr>
          <w:p w14:paraId="5359F3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3CEC06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5B1DC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536991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D16CEAC" w14:textId="77777777" w:rsidTr="000D3BCB">
        <w:tc>
          <w:tcPr>
            <w:tcW w:w="675" w:type="dxa"/>
          </w:tcPr>
          <w:p w14:paraId="196FD4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2AF6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5402D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A0D12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ресурса</w:t>
            </w:r>
          </w:p>
        </w:tc>
        <w:tc>
          <w:tcPr>
            <w:tcW w:w="1513" w:type="dxa"/>
          </w:tcPr>
          <w:p w14:paraId="2286F8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2" w:type="dxa"/>
          </w:tcPr>
          <w:p w14:paraId="2EEB56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156DAD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BA1DB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7B5B6A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0680B04" w14:textId="77777777" w:rsidTr="000D3BCB">
        <w:tc>
          <w:tcPr>
            <w:tcW w:w="675" w:type="dxa"/>
          </w:tcPr>
          <w:p w14:paraId="6F0386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w:t>
            </w:r>
          </w:p>
        </w:tc>
        <w:tc>
          <w:tcPr>
            <w:tcW w:w="851" w:type="dxa"/>
          </w:tcPr>
          <w:p w14:paraId="754084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М-105Ф</w:t>
            </w:r>
          </w:p>
        </w:tc>
        <w:tc>
          <w:tcPr>
            <w:tcW w:w="850" w:type="dxa"/>
          </w:tcPr>
          <w:p w14:paraId="47274B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 г.</w:t>
            </w:r>
          </w:p>
        </w:tc>
        <w:tc>
          <w:tcPr>
            <w:tcW w:w="1418" w:type="dxa"/>
          </w:tcPr>
          <w:p w14:paraId="499418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Проведено</w:t>
            </w:r>
          </w:p>
        </w:tc>
        <w:tc>
          <w:tcPr>
            <w:tcW w:w="1513" w:type="dxa"/>
          </w:tcPr>
          <w:p w14:paraId="516B41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апрель</w:t>
            </w:r>
          </w:p>
        </w:tc>
        <w:tc>
          <w:tcPr>
            <w:tcW w:w="842" w:type="dxa"/>
          </w:tcPr>
          <w:p w14:paraId="1AC26D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июль</w:t>
            </w:r>
          </w:p>
        </w:tc>
        <w:tc>
          <w:tcPr>
            <w:tcW w:w="1614" w:type="dxa"/>
          </w:tcPr>
          <w:p w14:paraId="2FEE91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октябрь</w:t>
            </w:r>
          </w:p>
        </w:tc>
        <w:tc>
          <w:tcPr>
            <w:tcW w:w="850" w:type="dxa"/>
          </w:tcPr>
          <w:p w14:paraId="6E538D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984" w:type="dxa"/>
          </w:tcPr>
          <w:p w14:paraId="166233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Мотор проходит заводскую доводку </w:t>
            </w:r>
          </w:p>
        </w:tc>
      </w:tr>
      <w:tr w:rsidR="00643896" w:rsidRPr="00640820" w14:paraId="03DB9BCA" w14:textId="77777777" w:rsidTr="000D3BCB">
        <w:tc>
          <w:tcPr>
            <w:tcW w:w="675" w:type="dxa"/>
          </w:tcPr>
          <w:p w14:paraId="427B70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891C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B1DA9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C0CF9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проектирование</w:t>
            </w:r>
          </w:p>
        </w:tc>
        <w:tc>
          <w:tcPr>
            <w:tcW w:w="1513" w:type="dxa"/>
          </w:tcPr>
          <w:p w14:paraId="48C065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 г.</w:t>
            </w:r>
          </w:p>
        </w:tc>
        <w:tc>
          <w:tcPr>
            <w:tcW w:w="842" w:type="dxa"/>
          </w:tcPr>
          <w:p w14:paraId="17FB24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 г.</w:t>
            </w:r>
          </w:p>
        </w:tc>
        <w:tc>
          <w:tcPr>
            <w:tcW w:w="1614" w:type="dxa"/>
          </w:tcPr>
          <w:p w14:paraId="18A4A6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 г.</w:t>
            </w:r>
          </w:p>
        </w:tc>
        <w:tc>
          <w:tcPr>
            <w:tcW w:w="850" w:type="dxa"/>
          </w:tcPr>
          <w:p w14:paraId="7FA1D5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7E970D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100 часов.</w:t>
            </w:r>
          </w:p>
        </w:tc>
      </w:tr>
      <w:tr w:rsidR="00643896" w:rsidRPr="00640820" w14:paraId="646CCC36" w14:textId="77777777" w:rsidTr="000D3BCB">
        <w:tc>
          <w:tcPr>
            <w:tcW w:w="675" w:type="dxa"/>
          </w:tcPr>
          <w:p w14:paraId="1AF44A8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DD0F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3B948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625CA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 эксперимент.</w:t>
            </w:r>
          </w:p>
        </w:tc>
        <w:tc>
          <w:tcPr>
            <w:tcW w:w="1513" w:type="dxa"/>
          </w:tcPr>
          <w:p w14:paraId="62CAC6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2" w:type="dxa"/>
          </w:tcPr>
          <w:p w14:paraId="1831745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3C47D2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A5B47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0AD9E6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8D5453E" w14:textId="77777777" w:rsidTr="000D3BCB">
        <w:tc>
          <w:tcPr>
            <w:tcW w:w="675" w:type="dxa"/>
          </w:tcPr>
          <w:p w14:paraId="3CE31C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C139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2CA65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994EF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w:t>
            </w:r>
          </w:p>
        </w:tc>
        <w:tc>
          <w:tcPr>
            <w:tcW w:w="1513" w:type="dxa"/>
          </w:tcPr>
          <w:p w14:paraId="31A5D1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2" w:type="dxa"/>
          </w:tcPr>
          <w:p w14:paraId="41557F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081057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5F7F9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451DF1E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E719C06" w14:textId="77777777" w:rsidTr="000D3BCB">
        <w:tc>
          <w:tcPr>
            <w:tcW w:w="675" w:type="dxa"/>
          </w:tcPr>
          <w:p w14:paraId="18CE22B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w:t>
            </w:r>
          </w:p>
        </w:tc>
        <w:tc>
          <w:tcPr>
            <w:tcW w:w="851" w:type="dxa"/>
          </w:tcPr>
          <w:p w14:paraId="371642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М-107</w:t>
            </w:r>
          </w:p>
        </w:tc>
        <w:tc>
          <w:tcPr>
            <w:tcW w:w="850" w:type="dxa"/>
          </w:tcPr>
          <w:p w14:paraId="6C081D1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1940 г.</w:t>
            </w:r>
          </w:p>
        </w:tc>
        <w:tc>
          <w:tcPr>
            <w:tcW w:w="1418" w:type="dxa"/>
          </w:tcPr>
          <w:p w14:paraId="0E51EB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Эксперимент.</w:t>
            </w:r>
          </w:p>
        </w:tc>
        <w:tc>
          <w:tcPr>
            <w:tcW w:w="1513" w:type="dxa"/>
          </w:tcPr>
          <w:p w14:paraId="77D4CF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42" w:type="dxa"/>
          </w:tcPr>
          <w:p w14:paraId="3A3574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июль</w:t>
            </w:r>
          </w:p>
        </w:tc>
        <w:tc>
          <w:tcPr>
            <w:tcW w:w="1614" w:type="dxa"/>
          </w:tcPr>
          <w:p w14:paraId="2FBA51E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май</w:t>
            </w:r>
          </w:p>
        </w:tc>
        <w:tc>
          <w:tcPr>
            <w:tcW w:w="850" w:type="dxa"/>
          </w:tcPr>
          <w:p w14:paraId="19E51F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984" w:type="dxa"/>
          </w:tcPr>
          <w:p w14:paraId="05E7F3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Мотор проходит заводскую доводку </w:t>
            </w:r>
          </w:p>
        </w:tc>
      </w:tr>
      <w:tr w:rsidR="00643896" w:rsidRPr="00640820" w14:paraId="1D943973" w14:textId="77777777" w:rsidTr="000D3BCB">
        <w:tc>
          <w:tcPr>
            <w:tcW w:w="675" w:type="dxa"/>
          </w:tcPr>
          <w:p w14:paraId="577B51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EC7B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B4BCC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5F9B7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 проектные</w:t>
            </w:r>
          </w:p>
        </w:tc>
        <w:tc>
          <w:tcPr>
            <w:tcW w:w="1513" w:type="dxa"/>
          </w:tcPr>
          <w:p w14:paraId="780202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2" w:type="dxa"/>
          </w:tcPr>
          <w:p w14:paraId="002396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 г.</w:t>
            </w:r>
          </w:p>
        </w:tc>
        <w:tc>
          <w:tcPr>
            <w:tcW w:w="1614" w:type="dxa"/>
          </w:tcPr>
          <w:p w14:paraId="70626D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 г.</w:t>
            </w:r>
          </w:p>
        </w:tc>
        <w:tc>
          <w:tcPr>
            <w:tcW w:w="850" w:type="dxa"/>
          </w:tcPr>
          <w:p w14:paraId="0B1EDB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39E83D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100 часов.</w:t>
            </w:r>
          </w:p>
        </w:tc>
      </w:tr>
      <w:tr w:rsidR="00643896" w:rsidRPr="00640820" w14:paraId="01A8CE22" w14:textId="77777777" w:rsidTr="000D3BCB">
        <w:tc>
          <w:tcPr>
            <w:tcW w:w="675" w:type="dxa"/>
          </w:tcPr>
          <w:p w14:paraId="5A6CAB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FA16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64C36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4D04C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w:t>
            </w:r>
          </w:p>
        </w:tc>
        <w:tc>
          <w:tcPr>
            <w:tcW w:w="1513" w:type="dxa"/>
          </w:tcPr>
          <w:p w14:paraId="660D52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2" w:type="dxa"/>
          </w:tcPr>
          <w:p w14:paraId="2816D8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0F70F1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AEA8E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136415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746A786" w14:textId="77777777" w:rsidTr="000D3BCB">
        <w:tc>
          <w:tcPr>
            <w:tcW w:w="675" w:type="dxa"/>
          </w:tcPr>
          <w:p w14:paraId="43F89C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w:t>
            </w:r>
          </w:p>
        </w:tc>
        <w:tc>
          <w:tcPr>
            <w:tcW w:w="851" w:type="dxa"/>
          </w:tcPr>
          <w:p w14:paraId="33AA3C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М-120</w:t>
            </w:r>
          </w:p>
        </w:tc>
        <w:tc>
          <w:tcPr>
            <w:tcW w:w="850" w:type="dxa"/>
          </w:tcPr>
          <w:p w14:paraId="24D048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1939 г.</w:t>
            </w:r>
          </w:p>
        </w:tc>
        <w:tc>
          <w:tcPr>
            <w:tcW w:w="1418" w:type="dxa"/>
          </w:tcPr>
          <w:p w14:paraId="658973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Проектирование</w:t>
            </w:r>
          </w:p>
        </w:tc>
        <w:tc>
          <w:tcPr>
            <w:tcW w:w="1513" w:type="dxa"/>
          </w:tcPr>
          <w:p w14:paraId="652B53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июль</w:t>
            </w:r>
          </w:p>
        </w:tc>
        <w:tc>
          <w:tcPr>
            <w:tcW w:w="842" w:type="dxa"/>
          </w:tcPr>
          <w:p w14:paraId="4A1E686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614" w:type="dxa"/>
          </w:tcPr>
          <w:p w14:paraId="0B9703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сент.</w:t>
            </w:r>
          </w:p>
        </w:tc>
        <w:tc>
          <w:tcPr>
            <w:tcW w:w="850" w:type="dxa"/>
          </w:tcPr>
          <w:p w14:paraId="3B68F4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984" w:type="dxa"/>
          </w:tcPr>
          <w:p w14:paraId="4477E9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Мотор проходит заводскую доводку</w:t>
            </w:r>
          </w:p>
        </w:tc>
      </w:tr>
      <w:tr w:rsidR="00643896" w:rsidRPr="00640820" w14:paraId="116949EC" w14:textId="77777777" w:rsidTr="000D3BCB">
        <w:tc>
          <w:tcPr>
            <w:tcW w:w="675" w:type="dxa"/>
          </w:tcPr>
          <w:p w14:paraId="7C95A4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D302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104AB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B2DE0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 изготовление</w:t>
            </w:r>
          </w:p>
        </w:tc>
        <w:tc>
          <w:tcPr>
            <w:tcW w:w="1513" w:type="dxa"/>
          </w:tcPr>
          <w:p w14:paraId="3A15FB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 г.</w:t>
            </w:r>
          </w:p>
        </w:tc>
        <w:tc>
          <w:tcPr>
            <w:tcW w:w="842" w:type="dxa"/>
          </w:tcPr>
          <w:p w14:paraId="7850E9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5319AC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 г.</w:t>
            </w:r>
          </w:p>
        </w:tc>
        <w:tc>
          <w:tcPr>
            <w:tcW w:w="850" w:type="dxa"/>
          </w:tcPr>
          <w:p w14:paraId="1B066F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60E377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50 и 100 часов.</w:t>
            </w:r>
          </w:p>
        </w:tc>
      </w:tr>
      <w:tr w:rsidR="00643896" w:rsidRPr="00640820" w14:paraId="2383C1BB" w14:textId="77777777" w:rsidTr="000D3BCB">
        <w:tc>
          <w:tcPr>
            <w:tcW w:w="675" w:type="dxa"/>
          </w:tcPr>
          <w:p w14:paraId="0F4594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B5E4A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B53D7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A8A26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опытных</w:t>
            </w:r>
          </w:p>
        </w:tc>
        <w:tc>
          <w:tcPr>
            <w:tcW w:w="1513" w:type="dxa"/>
          </w:tcPr>
          <w:p w14:paraId="70E611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2" w:type="dxa"/>
          </w:tcPr>
          <w:p w14:paraId="452B5D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2BBA5A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72B5F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45F358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104511A" w14:textId="77777777" w:rsidTr="000D3BCB">
        <w:tc>
          <w:tcPr>
            <w:tcW w:w="675" w:type="dxa"/>
          </w:tcPr>
          <w:p w14:paraId="10ABF29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861B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6CDF13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5AB3FE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образцов</w:t>
            </w:r>
          </w:p>
        </w:tc>
        <w:tc>
          <w:tcPr>
            <w:tcW w:w="1513" w:type="dxa"/>
          </w:tcPr>
          <w:p w14:paraId="75BEEC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2" w:type="dxa"/>
          </w:tcPr>
          <w:p w14:paraId="3876D5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41D782B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3BEE5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4D848C3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FDDA752" w14:textId="77777777" w:rsidTr="000D3BCB">
        <w:tc>
          <w:tcPr>
            <w:tcW w:w="675" w:type="dxa"/>
          </w:tcPr>
          <w:p w14:paraId="4DA84FF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w:t>
            </w:r>
          </w:p>
        </w:tc>
        <w:tc>
          <w:tcPr>
            <w:tcW w:w="851" w:type="dxa"/>
          </w:tcPr>
          <w:p w14:paraId="4D1000B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М-250</w:t>
            </w:r>
          </w:p>
        </w:tc>
        <w:tc>
          <w:tcPr>
            <w:tcW w:w="850" w:type="dxa"/>
          </w:tcPr>
          <w:p w14:paraId="79F7FB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1939 г.</w:t>
            </w:r>
          </w:p>
        </w:tc>
        <w:tc>
          <w:tcPr>
            <w:tcW w:w="1418" w:type="dxa"/>
          </w:tcPr>
          <w:p w14:paraId="3965AB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Проводилось</w:t>
            </w:r>
          </w:p>
        </w:tc>
        <w:tc>
          <w:tcPr>
            <w:tcW w:w="1513" w:type="dxa"/>
          </w:tcPr>
          <w:p w14:paraId="0C6E99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октябрь</w:t>
            </w:r>
          </w:p>
        </w:tc>
        <w:tc>
          <w:tcPr>
            <w:tcW w:w="842" w:type="dxa"/>
          </w:tcPr>
          <w:p w14:paraId="09F8AF4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614" w:type="dxa"/>
          </w:tcPr>
          <w:p w14:paraId="2469A1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апрель</w:t>
            </w:r>
          </w:p>
        </w:tc>
        <w:tc>
          <w:tcPr>
            <w:tcW w:w="850" w:type="dxa"/>
          </w:tcPr>
          <w:p w14:paraId="036CEE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984" w:type="dxa"/>
          </w:tcPr>
          <w:p w14:paraId="04F902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Мотор проходит заводскую доводку</w:t>
            </w:r>
          </w:p>
        </w:tc>
      </w:tr>
      <w:tr w:rsidR="00643896" w:rsidRPr="00640820" w14:paraId="25DEAC5F" w14:textId="77777777" w:rsidTr="000D3BCB">
        <w:tc>
          <w:tcPr>
            <w:tcW w:w="675" w:type="dxa"/>
          </w:tcPr>
          <w:p w14:paraId="5568CB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4D4D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0B073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C3C43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изготовление</w:t>
            </w:r>
          </w:p>
        </w:tc>
        <w:tc>
          <w:tcPr>
            <w:tcW w:w="1513" w:type="dxa"/>
          </w:tcPr>
          <w:p w14:paraId="1F02C2E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 г.</w:t>
            </w:r>
          </w:p>
        </w:tc>
        <w:tc>
          <w:tcPr>
            <w:tcW w:w="842" w:type="dxa"/>
          </w:tcPr>
          <w:p w14:paraId="47FBFC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2905FF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1942 г.</w:t>
            </w:r>
          </w:p>
        </w:tc>
        <w:tc>
          <w:tcPr>
            <w:tcW w:w="850" w:type="dxa"/>
          </w:tcPr>
          <w:p w14:paraId="661B16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384E10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50 часов.</w:t>
            </w:r>
          </w:p>
        </w:tc>
      </w:tr>
      <w:tr w:rsidR="00643896" w:rsidRPr="00640820" w14:paraId="5D12FE05" w14:textId="77777777" w:rsidTr="000D3BCB">
        <w:tc>
          <w:tcPr>
            <w:tcW w:w="675" w:type="dxa"/>
          </w:tcPr>
          <w:p w14:paraId="6A8791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DE999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5B8C4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C5C45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опытных</w:t>
            </w:r>
          </w:p>
        </w:tc>
        <w:tc>
          <w:tcPr>
            <w:tcW w:w="1513" w:type="dxa"/>
          </w:tcPr>
          <w:p w14:paraId="4ADF76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2" w:type="dxa"/>
          </w:tcPr>
          <w:p w14:paraId="79CC57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2F3841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C3D0A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6CD907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FFBB046" w14:textId="77777777" w:rsidTr="000D3BCB">
        <w:tc>
          <w:tcPr>
            <w:tcW w:w="675" w:type="dxa"/>
          </w:tcPr>
          <w:p w14:paraId="3CA7F2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1620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5F740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95F6D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образцов</w:t>
            </w:r>
          </w:p>
        </w:tc>
        <w:tc>
          <w:tcPr>
            <w:tcW w:w="1513" w:type="dxa"/>
          </w:tcPr>
          <w:p w14:paraId="4CF42EB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2" w:type="dxa"/>
          </w:tcPr>
          <w:p w14:paraId="4EB185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0B5BDA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DE091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0B29DC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A1D7D03" w14:textId="77777777" w:rsidTr="000D3BCB">
        <w:tc>
          <w:tcPr>
            <w:tcW w:w="675" w:type="dxa"/>
          </w:tcPr>
          <w:p w14:paraId="55A64E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w:t>
            </w:r>
          </w:p>
        </w:tc>
        <w:tc>
          <w:tcPr>
            <w:tcW w:w="851" w:type="dxa"/>
          </w:tcPr>
          <w:p w14:paraId="6822A7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МБ-100</w:t>
            </w:r>
          </w:p>
        </w:tc>
        <w:tc>
          <w:tcPr>
            <w:tcW w:w="850" w:type="dxa"/>
          </w:tcPr>
          <w:p w14:paraId="146FFC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1940 г.</w:t>
            </w:r>
          </w:p>
        </w:tc>
        <w:tc>
          <w:tcPr>
            <w:tcW w:w="1418" w:type="dxa"/>
          </w:tcPr>
          <w:p w14:paraId="27303B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Проектирование</w:t>
            </w:r>
          </w:p>
        </w:tc>
        <w:tc>
          <w:tcPr>
            <w:tcW w:w="1513" w:type="dxa"/>
          </w:tcPr>
          <w:p w14:paraId="0073B3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март</w:t>
            </w:r>
          </w:p>
        </w:tc>
        <w:tc>
          <w:tcPr>
            <w:tcW w:w="842" w:type="dxa"/>
          </w:tcPr>
          <w:p w14:paraId="71AE38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614" w:type="dxa"/>
          </w:tcPr>
          <w:p w14:paraId="43C29D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октябрь</w:t>
            </w:r>
          </w:p>
        </w:tc>
        <w:tc>
          <w:tcPr>
            <w:tcW w:w="850" w:type="dxa"/>
          </w:tcPr>
          <w:p w14:paraId="1C128F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984" w:type="dxa"/>
          </w:tcPr>
          <w:p w14:paraId="0F0A52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Проводится изготовление опытных</w:t>
            </w:r>
          </w:p>
        </w:tc>
      </w:tr>
      <w:tr w:rsidR="00643896" w:rsidRPr="00640820" w14:paraId="61C38D4F" w14:textId="77777777" w:rsidTr="000D3BCB">
        <w:tc>
          <w:tcPr>
            <w:tcW w:w="675" w:type="dxa"/>
          </w:tcPr>
          <w:p w14:paraId="7851A7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86F6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7AF9E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75AE1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148026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1942 г.</w:t>
            </w:r>
          </w:p>
        </w:tc>
        <w:tc>
          <w:tcPr>
            <w:tcW w:w="842" w:type="dxa"/>
          </w:tcPr>
          <w:p w14:paraId="134167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4F3A75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1942 г.</w:t>
            </w:r>
          </w:p>
        </w:tc>
        <w:tc>
          <w:tcPr>
            <w:tcW w:w="850" w:type="dxa"/>
          </w:tcPr>
          <w:p w14:paraId="10BF94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20AB2B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образцов.</w:t>
            </w:r>
          </w:p>
        </w:tc>
      </w:tr>
      <w:tr w:rsidR="00643896" w:rsidRPr="00640820" w14:paraId="55B235D0" w14:textId="77777777" w:rsidTr="000D3BCB">
        <w:tc>
          <w:tcPr>
            <w:tcW w:w="675" w:type="dxa"/>
          </w:tcPr>
          <w:p w14:paraId="2610E7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ЦИАМ</w:t>
            </w:r>
          </w:p>
        </w:tc>
        <w:tc>
          <w:tcPr>
            <w:tcW w:w="851" w:type="dxa"/>
          </w:tcPr>
          <w:p w14:paraId="719FC78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М-300</w:t>
            </w:r>
          </w:p>
        </w:tc>
        <w:tc>
          <w:tcPr>
            <w:tcW w:w="850" w:type="dxa"/>
          </w:tcPr>
          <w:p w14:paraId="19B61C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1939 г.</w:t>
            </w:r>
          </w:p>
        </w:tc>
        <w:tc>
          <w:tcPr>
            <w:tcW w:w="1418" w:type="dxa"/>
          </w:tcPr>
          <w:p w14:paraId="7A7107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Изготовление</w:t>
            </w:r>
          </w:p>
        </w:tc>
        <w:tc>
          <w:tcPr>
            <w:tcW w:w="1513" w:type="dxa"/>
          </w:tcPr>
          <w:p w14:paraId="5D27D3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42" w:type="dxa"/>
          </w:tcPr>
          <w:p w14:paraId="5BEE04E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553DF3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50" w:type="dxa"/>
          </w:tcPr>
          <w:p w14:paraId="44A890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984" w:type="dxa"/>
          </w:tcPr>
          <w:p w14:paraId="11ADDA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Проведена обкатка мотора на газу </w:t>
            </w:r>
          </w:p>
        </w:tc>
      </w:tr>
      <w:tr w:rsidR="00643896" w:rsidRPr="00640820" w14:paraId="2F6371D4" w14:textId="77777777" w:rsidTr="000D3BCB">
        <w:tc>
          <w:tcPr>
            <w:tcW w:w="675" w:type="dxa"/>
          </w:tcPr>
          <w:p w14:paraId="30C74B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99C6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E71ED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3BED0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опытных</w:t>
            </w:r>
          </w:p>
        </w:tc>
        <w:tc>
          <w:tcPr>
            <w:tcW w:w="1513" w:type="dxa"/>
          </w:tcPr>
          <w:p w14:paraId="6A4D3A1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провести</w:t>
            </w:r>
          </w:p>
        </w:tc>
        <w:tc>
          <w:tcPr>
            <w:tcW w:w="842" w:type="dxa"/>
          </w:tcPr>
          <w:p w14:paraId="2FBB1D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38614B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7AA9B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371157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2000 об/мин.</w:t>
            </w:r>
          </w:p>
        </w:tc>
      </w:tr>
      <w:tr w:rsidR="00643896" w:rsidRPr="00640820" w14:paraId="461D9E40" w14:textId="77777777" w:rsidTr="000D3BCB">
        <w:tc>
          <w:tcPr>
            <w:tcW w:w="675" w:type="dxa"/>
          </w:tcPr>
          <w:p w14:paraId="151297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4FA5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B7F7C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4D218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образцов</w:t>
            </w:r>
          </w:p>
        </w:tc>
        <w:tc>
          <w:tcPr>
            <w:tcW w:w="1513" w:type="dxa"/>
          </w:tcPr>
          <w:p w14:paraId="4AF493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испыт. до</w:t>
            </w:r>
          </w:p>
        </w:tc>
        <w:tc>
          <w:tcPr>
            <w:tcW w:w="842" w:type="dxa"/>
          </w:tcPr>
          <w:p w14:paraId="23D952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632C16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D787A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01F243B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6D3A57B" w14:textId="77777777" w:rsidTr="000D3BCB">
        <w:tc>
          <w:tcPr>
            <w:tcW w:w="675" w:type="dxa"/>
          </w:tcPr>
          <w:p w14:paraId="794CC9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1C80E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2DB1D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B155D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2DA698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заявл.</w:t>
            </w:r>
          </w:p>
        </w:tc>
        <w:tc>
          <w:tcPr>
            <w:tcW w:w="842" w:type="dxa"/>
          </w:tcPr>
          <w:p w14:paraId="6B2B6D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7C128FF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F2A0A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3AD2DF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DC85164" w14:textId="77777777" w:rsidTr="000D3BCB">
        <w:tc>
          <w:tcPr>
            <w:tcW w:w="675" w:type="dxa"/>
          </w:tcPr>
          <w:p w14:paraId="408043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BB29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E2F23E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18097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7D3D1F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данных и</w:t>
            </w:r>
          </w:p>
        </w:tc>
        <w:tc>
          <w:tcPr>
            <w:tcW w:w="842" w:type="dxa"/>
          </w:tcPr>
          <w:p w14:paraId="2CE9F2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25F7DB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0BB03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118531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AF51CB5" w14:textId="77777777" w:rsidTr="000D3BCB">
        <w:tc>
          <w:tcPr>
            <w:tcW w:w="675" w:type="dxa"/>
          </w:tcPr>
          <w:p w14:paraId="48E740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8FDFB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C86A9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516FA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13" w:type="dxa"/>
          </w:tcPr>
          <w:p w14:paraId="1DA51C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работосп.</w:t>
            </w:r>
          </w:p>
        </w:tc>
        <w:tc>
          <w:tcPr>
            <w:tcW w:w="842" w:type="dxa"/>
          </w:tcPr>
          <w:p w14:paraId="623BBD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28EB00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A9096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77DD96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158ECC9" w14:textId="77777777" w:rsidTr="000D3BCB">
        <w:tc>
          <w:tcPr>
            <w:tcW w:w="675" w:type="dxa"/>
          </w:tcPr>
          <w:p w14:paraId="785B0E3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ЦИАМ</w:t>
            </w:r>
          </w:p>
        </w:tc>
        <w:tc>
          <w:tcPr>
            <w:tcW w:w="851" w:type="dxa"/>
          </w:tcPr>
          <w:p w14:paraId="583D323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М105ПД</w:t>
            </w:r>
          </w:p>
        </w:tc>
        <w:tc>
          <w:tcPr>
            <w:tcW w:w="850" w:type="dxa"/>
          </w:tcPr>
          <w:p w14:paraId="3EBD3B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1940 г.</w:t>
            </w:r>
          </w:p>
        </w:tc>
        <w:tc>
          <w:tcPr>
            <w:tcW w:w="1418" w:type="dxa"/>
          </w:tcPr>
          <w:p w14:paraId="7C9FB8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Отработка</w:t>
            </w:r>
          </w:p>
        </w:tc>
        <w:tc>
          <w:tcPr>
            <w:tcW w:w="1513" w:type="dxa"/>
          </w:tcPr>
          <w:p w14:paraId="166480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42" w:type="dxa"/>
          </w:tcPr>
          <w:p w14:paraId="28A078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614" w:type="dxa"/>
          </w:tcPr>
          <w:p w14:paraId="2F3792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июнь</w:t>
            </w:r>
          </w:p>
        </w:tc>
        <w:tc>
          <w:tcPr>
            <w:tcW w:w="850" w:type="dxa"/>
          </w:tcPr>
          <w:p w14:paraId="01FC5A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июль</w:t>
            </w:r>
          </w:p>
        </w:tc>
        <w:tc>
          <w:tcPr>
            <w:tcW w:w="1984" w:type="dxa"/>
          </w:tcPr>
          <w:p w14:paraId="492B68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Мотор внедрялся в серийное пр-во,</w:t>
            </w:r>
          </w:p>
        </w:tc>
      </w:tr>
      <w:tr w:rsidR="00643896" w:rsidRPr="00640820" w14:paraId="5F7B3EF3" w14:textId="77777777" w:rsidTr="000D3BCB">
        <w:tc>
          <w:tcPr>
            <w:tcW w:w="675" w:type="dxa"/>
          </w:tcPr>
          <w:p w14:paraId="6B80A9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FDC0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ED7C1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63805A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50 час.</w:t>
            </w:r>
          </w:p>
        </w:tc>
        <w:tc>
          <w:tcPr>
            <w:tcW w:w="1513" w:type="dxa"/>
          </w:tcPr>
          <w:p w14:paraId="5E3CCB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2" w:type="dxa"/>
          </w:tcPr>
          <w:p w14:paraId="5D56E7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69E8E9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 г.</w:t>
            </w:r>
          </w:p>
        </w:tc>
        <w:tc>
          <w:tcPr>
            <w:tcW w:w="850" w:type="dxa"/>
          </w:tcPr>
          <w:p w14:paraId="2751DE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 г.</w:t>
            </w:r>
          </w:p>
        </w:tc>
        <w:tc>
          <w:tcPr>
            <w:tcW w:w="1984" w:type="dxa"/>
          </w:tcPr>
          <w:p w14:paraId="0AD319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 в связи с перебазировкой з-да</w:t>
            </w:r>
          </w:p>
        </w:tc>
      </w:tr>
      <w:tr w:rsidR="00643896" w:rsidRPr="00640820" w14:paraId="3E3A76BC" w14:textId="77777777" w:rsidTr="000D3BCB">
        <w:tc>
          <w:tcPr>
            <w:tcW w:w="675" w:type="dxa"/>
          </w:tcPr>
          <w:p w14:paraId="162AE6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DFE1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5D2FCC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A37FB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ресурса</w:t>
            </w:r>
          </w:p>
        </w:tc>
        <w:tc>
          <w:tcPr>
            <w:tcW w:w="1513" w:type="dxa"/>
          </w:tcPr>
          <w:p w14:paraId="70B5EA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2" w:type="dxa"/>
          </w:tcPr>
          <w:p w14:paraId="0DFCAE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31B120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3293F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10739C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внедрение в серию прекращено.</w:t>
            </w:r>
          </w:p>
        </w:tc>
      </w:tr>
      <w:tr w:rsidR="00643896" w:rsidRPr="00640820" w14:paraId="599C7E55" w14:textId="77777777" w:rsidTr="000D3BCB">
        <w:tc>
          <w:tcPr>
            <w:tcW w:w="675" w:type="dxa"/>
          </w:tcPr>
          <w:p w14:paraId="63E9D9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5256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AC8048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6637C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w:t>
            </w:r>
          </w:p>
        </w:tc>
        <w:tc>
          <w:tcPr>
            <w:tcW w:w="1513" w:type="dxa"/>
          </w:tcPr>
          <w:p w14:paraId="119CB4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2" w:type="dxa"/>
          </w:tcPr>
          <w:p w14:paraId="43B4694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7B37D41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7D01D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75FBD8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9C0123F" w14:textId="77777777" w:rsidTr="000D3BCB">
        <w:tc>
          <w:tcPr>
            <w:tcW w:w="675" w:type="dxa"/>
          </w:tcPr>
          <w:p w14:paraId="63A756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ЦИАМ</w:t>
            </w:r>
          </w:p>
        </w:tc>
        <w:tc>
          <w:tcPr>
            <w:tcW w:w="851" w:type="dxa"/>
          </w:tcPr>
          <w:p w14:paraId="25AB5B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М105ПТ</w:t>
            </w:r>
          </w:p>
        </w:tc>
        <w:tc>
          <w:tcPr>
            <w:tcW w:w="850" w:type="dxa"/>
          </w:tcPr>
          <w:p w14:paraId="39DD72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1940 г.</w:t>
            </w:r>
          </w:p>
        </w:tc>
        <w:tc>
          <w:tcPr>
            <w:tcW w:w="1418" w:type="dxa"/>
          </w:tcPr>
          <w:p w14:paraId="7F7F7A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Экспериментал.</w:t>
            </w:r>
          </w:p>
        </w:tc>
        <w:tc>
          <w:tcPr>
            <w:tcW w:w="1513" w:type="dxa"/>
          </w:tcPr>
          <w:p w14:paraId="587E5D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мая</w:t>
            </w:r>
          </w:p>
        </w:tc>
        <w:tc>
          <w:tcPr>
            <w:tcW w:w="842" w:type="dxa"/>
          </w:tcPr>
          <w:p w14:paraId="02E5F7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614" w:type="dxa"/>
          </w:tcPr>
          <w:p w14:paraId="4B4C69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50" w:type="dxa"/>
          </w:tcPr>
          <w:p w14:paraId="4D693C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984" w:type="dxa"/>
          </w:tcPr>
          <w:p w14:paraId="595054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Мотор подготовлен к 50 часовым</w:t>
            </w:r>
          </w:p>
        </w:tc>
      </w:tr>
      <w:tr w:rsidR="00643896" w:rsidRPr="00640820" w14:paraId="1E23C751" w14:textId="77777777" w:rsidTr="000D3BCB">
        <w:tc>
          <w:tcPr>
            <w:tcW w:w="675" w:type="dxa"/>
          </w:tcPr>
          <w:p w14:paraId="588905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B96A1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CC8FA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53180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отработан</w:t>
            </w:r>
          </w:p>
        </w:tc>
        <w:tc>
          <w:tcPr>
            <w:tcW w:w="1513" w:type="dxa"/>
          </w:tcPr>
          <w:p w14:paraId="170C99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2" w:type="dxa"/>
          </w:tcPr>
          <w:p w14:paraId="595E0A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07B27E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5BE73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565BE3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заводским испытаниям.</w:t>
            </w:r>
          </w:p>
        </w:tc>
      </w:tr>
      <w:tr w:rsidR="00643896" w:rsidRPr="00640820" w14:paraId="3B4EEFAF" w14:textId="77777777" w:rsidTr="000D3BCB">
        <w:tc>
          <w:tcPr>
            <w:tcW w:w="675" w:type="dxa"/>
          </w:tcPr>
          <w:p w14:paraId="5DA23FB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7379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CFA56B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ADE0D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опытный</w:t>
            </w:r>
          </w:p>
        </w:tc>
        <w:tc>
          <w:tcPr>
            <w:tcW w:w="1513" w:type="dxa"/>
          </w:tcPr>
          <w:p w14:paraId="73C4C2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2" w:type="dxa"/>
          </w:tcPr>
          <w:p w14:paraId="5E5900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1779C54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59215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4059423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48C7B83" w14:textId="77777777" w:rsidTr="000D3BCB">
        <w:tc>
          <w:tcPr>
            <w:tcW w:w="675" w:type="dxa"/>
          </w:tcPr>
          <w:p w14:paraId="5E4DD8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655B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A614D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1D764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экземпляр</w:t>
            </w:r>
          </w:p>
        </w:tc>
        <w:tc>
          <w:tcPr>
            <w:tcW w:w="1513" w:type="dxa"/>
          </w:tcPr>
          <w:p w14:paraId="6F436A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2" w:type="dxa"/>
          </w:tcPr>
          <w:p w14:paraId="085058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0D72DB3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A50D0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594C70B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354A93F" w14:textId="77777777" w:rsidTr="000D3BCB">
        <w:tc>
          <w:tcPr>
            <w:tcW w:w="675" w:type="dxa"/>
          </w:tcPr>
          <w:p w14:paraId="7C6B2D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ЦИАМ</w:t>
            </w:r>
          </w:p>
        </w:tc>
        <w:tc>
          <w:tcPr>
            <w:tcW w:w="851" w:type="dxa"/>
          </w:tcPr>
          <w:p w14:paraId="36BA8A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АМ-38 с</w:t>
            </w:r>
          </w:p>
        </w:tc>
        <w:tc>
          <w:tcPr>
            <w:tcW w:w="850" w:type="dxa"/>
          </w:tcPr>
          <w:p w14:paraId="2D5E9F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1940 г.</w:t>
            </w:r>
          </w:p>
        </w:tc>
        <w:tc>
          <w:tcPr>
            <w:tcW w:w="1418" w:type="dxa"/>
          </w:tcPr>
          <w:p w14:paraId="220747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Экспериментал.</w:t>
            </w:r>
          </w:p>
        </w:tc>
        <w:tc>
          <w:tcPr>
            <w:tcW w:w="1513" w:type="dxa"/>
          </w:tcPr>
          <w:p w14:paraId="0C52AF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сент.</w:t>
            </w:r>
          </w:p>
        </w:tc>
        <w:tc>
          <w:tcPr>
            <w:tcW w:w="842" w:type="dxa"/>
          </w:tcPr>
          <w:p w14:paraId="5B1219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614" w:type="dxa"/>
          </w:tcPr>
          <w:p w14:paraId="606941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50" w:type="dxa"/>
          </w:tcPr>
          <w:p w14:paraId="411225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984" w:type="dxa"/>
          </w:tcPr>
          <w:p w14:paraId="7028AB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октября мотор предъявлен на</w:t>
            </w:r>
          </w:p>
        </w:tc>
      </w:tr>
      <w:tr w:rsidR="00643896" w:rsidRPr="00640820" w14:paraId="3C140E61" w14:textId="77777777" w:rsidTr="000D3BCB">
        <w:tc>
          <w:tcPr>
            <w:tcW w:w="675" w:type="dxa"/>
          </w:tcPr>
          <w:p w14:paraId="41EDCF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498CE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ТК-3</w:t>
            </w:r>
          </w:p>
        </w:tc>
        <w:tc>
          <w:tcPr>
            <w:tcW w:w="850" w:type="dxa"/>
          </w:tcPr>
          <w:p w14:paraId="2FAEE11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2FF11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отработан</w:t>
            </w:r>
          </w:p>
        </w:tc>
        <w:tc>
          <w:tcPr>
            <w:tcW w:w="1513" w:type="dxa"/>
          </w:tcPr>
          <w:p w14:paraId="6E3CAD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2" w:type="dxa"/>
          </w:tcPr>
          <w:p w14:paraId="28D818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052393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0E4D8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26523D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50-ти часовые совместные испытан.</w:t>
            </w:r>
          </w:p>
        </w:tc>
      </w:tr>
      <w:tr w:rsidR="00643896" w:rsidRPr="00640820" w14:paraId="5096339E" w14:textId="77777777" w:rsidTr="000D3BCB">
        <w:tc>
          <w:tcPr>
            <w:tcW w:w="675" w:type="dxa"/>
          </w:tcPr>
          <w:p w14:paraId="687869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E73E0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E8558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C9A0E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опытный</w:t>
            </w:r>
          </w:p>
        </w:tc>
        <w:tc>
          <w:tcPr>
            <w:tcW w:w="1513" w:type="dxa"/>
          </w:tcPr>
          <w:p w14:paraId="0D3A173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2" w:type="dxa"/>
          </w:tcPr>
          <w:p w14:paraId="0899A9B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0A11B5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45FEF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4F782E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4C85178" w14:textId="77777777" w:rsidTr="000D3BCB">
        <w:tc>
          <w:tcPr>
            <w:tcW w:w="675" w:type="dxa"/>
          </w:tcPr>
          <w:p w14:paraId="2D470BD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9E0FF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FD787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A6D24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экземпляр</w:t>
            </w:r>
          </w:p>
        </w:tc>
        <w:tc>
          <w:tcPr>
            <w:tcW w:w="1513" w:type="dxa"/>
          </w:tcPr>
          <w:p w14:paraId="78168D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2" w:type="dxa"/>
          </w:tcPr>
          <w:p w14:paraId="144692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726DF7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FB94D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02E34B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233BB95" w14:textId="77777777" w:rsidTr="000D3BCB">
        <w:tc>
          <w:tcPr>
            <w:tcW w:w="675" w:type="dxa"/>
          </w:tcPr>
          <w:p w14:paraId="73EA4B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ЦИАМ</w:t>
            </w:r>
          </w:p>
        </w:tc>
        <w:tc>
          <w:tcPr>
            <w:tcW w:w="851" w:type="dxa"/>
          </w:tcPr>
          <w:p w14:paraId="7E4E16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М-82 с</w:t>
            </w:r>
          </w:p>
        </w:tc>
        <w:tc>
          <w:tcPr>
            <w:tcW w:w="850" w:type="dxa"/>
          </w:tcPr>
          <w:p w14:paraId="14B3B2C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1940 г.</w:t>
            </w:r>
          </w:p>
        </w:tc>
        <w:tc>
          <w:tcPr>
            <w:tcW w:w="1418" w:type="dxa"/>
          </w:tcPr>
          <w:p w14:paraId="4CDD43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Экспериментал.</w:t>
            </w:r>
          </w:p>
        </w:tc>
        <w:tc>
          <w:tcPr>
            <w:tcW w:w="1513" w:type="dxa"/>
          </w:tcPr>
          <w:p w14:paraId="5F7701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ноябрь</w:t>
            </w:r>
          </w:p>
        </w:tc>
        <w:tc>
          <w:tcPr>
            <w:tcW w:w="842" w:type="dxa"/>
          </w:tcPr>
          <w:p w14:paraId="738FB8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614" w:type="dxa"/>
          </w:tcPr>
          <w:p w14:paraId="6B9993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50" w:type="dxa"/>
          </w:tcPr>
          <w:p w14:paraId="7DB5D6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984" w:type="dxa"/>
          </w:tcPr>
          <w:p w14:paraId="43F111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Проведены 50 часовые заводские</w:t>
            </w:r>
          </w:p>
        </w:tc>
      </w:tr>
      <w:tr w:rsidR="00643896" w:rsidRPr="00640820" w14:paraId="4BFF599F" w14:textId="77777777" w:rsidTr="000D3BCB">
        <w:tc>
          <w:tcPr>
            <w:tcW w:w="675" w:type="dxa"/>
          </w:tcPr>
          <w:p w14:paraId="65B00F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575E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8D72C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1E418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отработан</w:t>
            </w:r>
          </w:p>
        </w:tc>
        <w:tc>
          <w:tcPr>
            <w:tcW w:w="1513" w:type="dxa"/>
          </w:tcPr>
          <w:p w14:paraId="468ED4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2" w:type="dxa"/>
          </w:tcPr>
          <w:p w14:paraId="7088A4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450E81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87C86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3C3B5A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испытания.</w:t>
            </w:r>
          </w:p>
        </w:tc>
      </w:tr>
      <w:tr w:rsidR="00643896" w:rsidRPr="00640820" w14:paraId="08B9A438" w14:textId="77777777" w:rsidTr="000D3BCB">
        <w:tc>
          <w:tcPr>
            <w:tcW w:w="675" w:type="dxa"/>
          </w:tcPr>
          <w:p w14:paraId="1E1E0A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8472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117B8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6067D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опытный</w:t>
            </w:r>
          </w:p>
        </w:tc>
        <w:tc>
          <w:tcPr>
            <w:tcW w:w="1513" w:type="dxa"/>
          </w:tcPr>
          <w:p w14:paraId="1218C5A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2" w:type="dxa"/>
          </w:tcPr>
          <w:p w14:paraId="5B62B2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Pr>
          <w:p w14:paraId="747882C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E3DC5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32E14F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0AFB987" w14:textId="77777777" w:rsidTr="000D3BCB">
        <w:tc>
          <w:tcPr>
            <w:tcW w:w="675" w:type="dxa"/>
            <w:tcBorders>
              <w:bottom w:val="single" w:sz="12" w:space="0" w:color="auto"/>
            </w:tcBorders>
          </w:tcPr>
          <w:p w14:paraId="54DDB7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bottom w:val="single" w:sz="12" w:space="0" w:color="auto"/>
            </w:tcBorders>
          </w:tcPr>
          <w:p w14:paraId="58C495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bottom w:val="single" w:sz="12" w:space="0" w:color="auto"/>
            </w:tcBorders>
          </w:tcPr>
          <w:p w14:paraId="08AA8A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bottom w:val="single" w:sz="12" w:space="0" w:color="auto"/>
            </w:tcBorders>
          </w:tcPr>
          <w:p w14:paraId="118AA5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экземпляр (1684,12)</w:t>
            </w:r>
          </w:p>
        </w:tc>
        <w:tc>
          <w:tcPr>
            <w:tcW w:w="1513" w:type="dxa"/>
            <w:tcBorders>
              <w:bottom w:val="single" w:sz="12" w:space="0" w:color="auto"/>
            </w:tcBorders>
          </w:tcPr>
          <w:p w14:paraId="0EED44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2" w:type="dxa"/>
            <w:tcBorders>
              <w:bottom w:val="single" w:sz="12" w:space="0" w:color="auto"/>
            </w:tcBorders>
          </w:tcPr>
          <w:p w14:paraId="3F6972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614" w:type="dxa"/>
            <w:tcBorders>
              <w:bottom w:val="single" w:sz="12" w:space="0" w:color="auto"/>
            </w:tcBorders>
          </w:tcPr>
          <w:p w14:paraId="4B5606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bottom w:val="single" w:sz="12" w:space="0" w:color="auto"/>
            </w:tcBorders>
          </w:tcPr>
          <w:p w14:paraId="3E5466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Borders>
              <w:bottom w:val="single" w:sz="12" w:space="0" w:color="auto"/>
            </w:tcBorders>
          </w:tcPr>
          <w:p w14:paraId="46DDA9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bl>
    <w:p w14:paraId="306D40E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A5F44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декабря 1941 был подготовлен краткий отчет 8 ГУ НКАП о выполнении плана опытных работ ОКБ и Заводов за 1941 и письмом N 3618 Воликова был направлен Зам. НКАП А.И.Кузнецову (1684,6).</w:t>
      </w:r>
    </w:p>
    <w:p w14:paraId="63CBC6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B88A4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декабря 1941 года был подготовлен Краткий отчет 8 главного управления НКАП о выполнении плана опытных работ ОКБ заводов за 1941 год.</w:t>
      </w:r>
    </w:p>
    <w:p w14:paraId="642299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Общие выводы.</w:t>
      </w:r>
    </w:p>
    <w:p w14:paraId="1E77F6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План опытных работ по моторам и агрегатам на 1941 г. имел следующие основные особенности определенные решениями Правительства и ЦК ВКП(б) с учетом военной обстановки 1941 г.:</w:t>
      </w:r>
    </w:p>
    <w:p w14:paraId="7B36CC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в плане были выделены основные, первоочередные объекты мощностью 1300-1700 л.с., обеспечивающие перевооружение ВВС. Эти первоочередные объекты должны были доводиться в кратчайшие сроки и внедряться в серийное производство и эксплуатацию в 1941 году.</w:t>
      </w:r>
    </w:p>
    <w:p w14:paraId="005AEC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Экспериментально-исследовательские работы были направлены на обеспечение выполнения основных опытных объектов.</w:t>
      </w:r>
    </w:p>
    <w:p w14:paraId="3B2333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Подчеркивалась необходимость создания новых, мощных моторов от 2000 л.с. и выше, как искание новых путей развития авиамоторостроения.</w:t>
      </w:r>
    </w:p>
    <w:p w14:paraId="5087BE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Была отражена необходимость одновременного широкого развития, как моторов жидкостного, так и воздушного охлаждения.</w:t>
      </w:r>
    </w:p>
    <w:p w14:paraId="02B674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этими основными положениями, к числу первоочередных моторов были отнесены: моторы М-105Ф, АМ-37, АМ-38, М-82, М-107, М-89, М-90, М-30 и М-40.</w:t>
      </w:r>
    </w:p>
    <w:p w14:paraId="2C93F0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числу новых мощных моторов в том числе и моторов со специальными агрегатами наддува и новым процессом зажигания, относились: М-71, М-120, М-250, М-300, МБ-100, М-105БПД, М-105ПТ и М-107ФЗ.</w:t>
      </w:r>
    </w:p>
    <w:p w14:paraId="426F55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Научно-исследовательские работы охватывали главным образом следующие вопросы:</w:t>
      </w:r>
    </w:p>
    <w:p w14:paraId="442F7B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повышение мощности и экономичности двигателей (исследование влияния геометрических размеров цилиндров на тепловую напряженность и экономичность, исследование влияния фаз газораспределения, непосредственный впрыск топлива исследование авиационных топлив с октановым числом 100 и др.).</w:t>
      </w:r>
    </w:p>
    <w:p w14:paraId="6CACFD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Повышение высотности (улучшение гидравлики центробежных нагнетателей, гидромуфты, Т.К., объемные нагнетатели и др.).</w:t>
      </w:r>
    </w:p>
    <w:p w14:paraId="438041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Надежность и прочность двигателей (улучшение форм клапанов, улучшение форм подшипников и система смазки, исследование коленвалов на крутильные колебания и т.д.).</w:t>
      </w:r>
    </w:p>
    <w:p w14:paraId="2A4BB9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II. Выполнение плана опытных работ.</w:t>
      </w:r>
    </w:p>
    <w:p w14:paraId="3628BA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Выполнение плана опытных работ 1941 г. делится на два периода: до нападения гитлеровской Германии на СССР и период войны.</w:t>
      </w:r>
    </w:p>
    <w:p w14:paraId="53792F3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Первый период характеризуется значительным выполнением плана работ в соответствии с намеченными сроками.</w:t>
      </w:r>
    </w:p>
    <w:p w14:paraId="6B1570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Опытные отделы имели возможность сосредоточить все внимание на опытных объектах, используя в значительной мере производственные мощности серийных цехов.</w:t>
      </w:r>
    </w:p>
    <w:p w14:paraId="307B74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результате проведенных работ в первом полугодии были закончены:</w:t>
      </w:r>
    </w:p>
    <w:p w14:paraId="0B2AD2B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50-ти часовыми совместными испытаниями моторы: АМ-38, М-105Ф, М-107, М-89 НВ, М-82, М-71, М-105 ПД и М-30.</w:t>
      </w:r>
    </w:p>
    <w:p w14:paraId="04E1CD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б) 100 часовыми государственными испытаниями моторы: АМ-37, АМ-38, М-89, М-82, М-105 ПД, М-30, из них не внедренными в серийное производство остались моторы М-89 и М-105 ПД. Мотор М-89 - по причине отставания по своим техническим данным сравнительно с рядом современных моторов и в результате </w:t>
      </w:r>
      <w:r w:rsidRPr="00640820">
        <w:rPr>
          <w:rFonts w:ascii="Times New Roman" w:hAnsi="Times New Roman"/>
          <w:color w:val="000000" w:themeColor="text1"/>
          <w:sz w:val="16"/>
          <w:szCs w:val="16"/>
        </w:rPr>
        <w:lastRenderedPageBreak/>
        <w:t>проведенных работ, позволивших форсировать мотор М-89 по мощности. Мотор М-105 ПД, ввиду отсутствия производственной базы для его производства, и наличия моторов М-105Ф и М-107, имеющих лучшие технические данные.</w:t>
      </w:r>
    </w:p>
    <w:p w14:paraId="65875C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В течение 1941 г. летными испытаниями были отработаны следующие моторы:</w:t>
      </w:r>
    </w:p>
    <w:p w14:paraId="14EEE21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АМ-37 и АМ-38 на самолетах Миг-3, Ил-2 и 103</w:t>
      </w:r>
    </w:p>
    <w:p w14:paraId="2B63FC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М-82 на самолетах Миг-9, И-185, Ил-4, Лагг-3, Су-2.</w:t>
      </w:r>
    </w:p>
    <w:p w14:paraId="35ED93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М-30 на самолете ТБ-7</w:t>
      </w:r>
    </w:p>
    <w:p w14:paraId="763CF5A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М-71 на самолетах И-185 и Су-6.</w:t>
      </w:r>
    </w:p>
    <w:p w14:paraId="1BA86D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М-89 на самолетах ДБ-3Ф, Су-2 и ТА-3.</w:t>
      </w:r>
    </w:p>
    <w:p w14:paraId="278CB1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Применение новых и модернизированных моторов позволило улучшить тактико-технические данные самолетов, как по скорости, так и по маневренности и грузоподъемности, кроме того, создан ряд самолетов дублеров, отработанных с моторами жидкостного и воздушного охлаждения.</w:t>
      </w:r>
    </w:p>
    <w:p w14:paraId="5B8058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Наряду с этим выполнением плана в первом полугодии, работы по доводке моторов М-107, М-120, АМ-39 не были закончены в установленные сроки по причинам: встретившихся технических трудностей и недостаточной оперативности, при решении этих трудностей, ОКБ-заводов. По этим же причинам не была обеспечена доводка в установленные сроки моторов М-90 до 50-часового ресурса и мотора М-71 до сточасового ресурса.</w:t>
      </w:r>
    </w:p>
    <w:p w14:paraId="65D5CA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военный период работа опытных отделов была перестроена и подчинена требованиям фронта.</w:t>
      </w:r>
    </w:p>
    <w:p w14:paraId="55BD9D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Опытные отделы заводов N 24, 19, 16, 33, 20, 132, 28 и 150 были загружены заказами серийного производства, что сузило фронт работ по опытным моторам и агрегатам, кроме того в III и IV кв. перебазирование заводов N 29, 16, 24, 26, 33, 20, ЦИАМ, 132, 28, 150 и 161 вынудило временно прекратить опытные и научно-исследовательские работы на период развертывания заводов на новых базах.</w:t>
      </w:r>
    </w:p>
    <w:p w14:paraId="664EED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Научно-исследовательские работы, в основном проводимые ЦИАМ"ом в 1941 году, выполнены лишь в незначительной мере. Из проведенных в 1941 году работ только одна тема "реактивные патрубки" нашли практическое применение на самолетах Лагг-3. Большинство же научно-исследовательских тем остались невыполненными вследствие устремленности ЦИАМ"а на постройку опытных объектов как моторов, так и их агрегатов, а именно: М-300, М-105-ПД, М-105 ПТ, ГТУ-3, М-107, Ф3, ТК-3, АМ-35А-НВ и М-40, что привело к рассредоточению сил и внимания к проводимым работам и не обеспечило производственных возможностей для реализации заданной научно-исследовательской тематики.</w:t>
      </w:r>
    </w:p>
    <w:p w14:paraId="7D027F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III. Состояние производственных баз опытных отделов.</w:t>
      </w:r>
    </w:p>
    <w:p w14:paraId="63E686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Проведенное на основе решений ЦК ВКП(б) и правительства расширение опытных баз и обеспечение их производственным и экспериментальным оборудованием, хотя и не в полной мере, все же позволило опытным отделам проводить самостоятельную постройку опытных объектов, кооперируясь с серийными цехами лишь по отдельным деталям моторов.</w:t>
      </w:r>
    </w:p>
    <w:p w14:paraId="1DCB353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Увеличение количества экспериментального оборудования так же позволило расширить круг работ и проводить в отдельных случаях поэлементную отработку мотора, так например: на заводе N 19 введение в строй установок ВМУ и УВО, позволило проводить отработку ряда узлов моторов в условиях близких к летным испытаниям.</w:t>
      </w:r>
    </w:p>
    <w:p w14:paraId="17C50F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Проведены испытания по запуску в зимнее время, при высоких температурах головок цилиндров с переменным обдувом цилиндров, проведены исследования нагнетателя:</w:t>
      </w:r>
    </w:p>
    <w:p w14:paraId="7DEF20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заводе N 29. Отработка нагнетателя была проведена на специальной нагнетательной установке.</w:t>
      </w:r>
    </w:p>
    <w:p w14:paraId="59C160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заводе N 33-29 - созданы установки по отработке насосов непосредственного вспрыска топлива и автоматике и др. экспериментальные установки по отработке отдельных деталей и узлов моторов.</w:t>
      </w:r>
    </w:p>
    <w:p w14:paraId="6AAB51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Таким образом, в итоге работ 1940-1941 г. опытное моторо и агрегатостроение, по сравнению с предыдущими годами, дало небольшое количество законченных доводкой новых типов внедренных в серийное производство, обеспечив значительный прирост мощности отдельных моторов (см. таблицы N 1 и 2 стр. 5 и 6).</w:t>
      </w:r>
    </w:p>
    <w:p w14:paraId="495C71A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обмену опытом между КБ и научно-исследовательскими институтами.</w:t>
      </w:r>
    </w:p>
    <w:p w14:paraId="7A805D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указанием наркома об обмене опытом между констр. отделами, научно-исследовательскими институтами в 1941 г. организации и обмену опытом было уделено значительное внимание:</w:t>
      </w:r>
    </w:p>
    <w:p w14:paraId="299B1D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В начале 1941 г. было проведено ряд совещаний в 8 Гл. управлении с отчетами гл. конструкторов, при чем отчеты были подвергнуты широкому техническому обсуждению.</w:t>
      </w:r>
    </w:p>
    <w:p w14:paraId="3ED8A7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Была проведена техническая конференция в ЦИАМ"е с обсуждением ряда докладов - о развитии заграничного и отечественного моторостроения, вопросам высотности, прочности и др.</w:t>
      </w:r>
    </w:p>
    <w:p w14:paraId="18A48A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Практиковалась организация технической помощи отдельным заводам: з-ду N 24 по вопросу устранения явлений "помпажа" на моторе АМ-35 (комиссия Климова); з-ду N 29 по карбюраторам и насосу непосредственного впрыска топлива; з-ду N 26 по турбокомпрессору (ЦИАМ), з-ду N 19 по нагнетателю, турбокомпрессорам и другим работам.</w:t>
      </w:r>
    </w:p>
    <w:p w14:paraId="7B57EE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Такая организация обмена опытом вызвала широкий отклик и дала практические результаты.</w:t>
      </w:r>
    </w:p>
    <w:p w14:paraId="775607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Необходимо в 1942 г. расширить и углубить этот опыт.</w:t>
      </w:r>
    </w:p>
    <w:p w14:paraId="3A7631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Таблица N 2.</w:t>
      </w:r>
    </w:p>
    <w:p w14:paraId="635D34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Среднегодового прироста мощности по основным моторам.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3827"/>
        <w:gridCol w:w="3827"/>
      </w:tblGrid>
      <w:tr w:rsidR="00643896" w:rsidRPr="00640820" w14:paraId="69E3C5FC" w14:textId="77777777" w:rsidTr="000D3BCB">
        <w:tc>
          <w:tcPr>
            <w:tcW w:w="2802" w:type="dxa"/>
            <w:tcBorders>
              <w:top w:val="single" w:sz="12" w:space="0" w:color="auto"/>
            </w:tcBorders>
          </w:tcPr>
          <w:p w14:paraId="09B902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Семья моторов</w:t>
            </w:r>
          </w:p>
        </w:tc>
        <w:tc>
          <w:tcPr>
            <w:tcW w:w="3827" w:type="dxa"/>
            <w:tcBorders>
              <w:top w:val="single" w:sz="12" w:space="0" w:color="auto"/>
            </w:tcBorders>
          </w:tcPr>
          <w:p w14:paraId="19ADEF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Средний % прироста</w:t>
            </w:r>
          </w:p>
        </w:tc>
        <w:tc>
          <w:tcPr>
            <w:tcW w:w="3827" w:type="dxa"/>
            <w:tcBorders>
              <w:top w:val="single" w:sz="12" w:space="0" w:color="auto"/>
            </w:tcBorders>
          </w:tcPr>
          <w:p w14:paraId="40BE91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B884BDA" w14:textId="77777777" w:rsidTr="000D3BCB">
        <w:tc>
          <w:tcPr>
            <w:tcW w:w="2802" w:type="dxa"/>
          </w:tcPr>
          <w:p w14:paraId="622F51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3827" w:type="dxa"/>
          </w:tcPr>
          <w:p w14:paraId="4C68C0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мощности по годам:</w:t>
            </w:r>
          </w:p>
        </w:tc>
        <w:tc>
          <w:tcPr>
            <w:tcW w:w="3827" w:type="dxa"/>
          </w:tcPr>
          <w:p w14:paraId="69A289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9B56300" w14:textId="77777777" w:rsidTr="000D3BCB">
        <w:tc>
          <w:tcPr>
            <w:tcW w:w="2802" w:type="dxa"/>
          </w:tcPr>
          <w:p w14:paraId="56D29E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3827" w:type="dxa"/>
          </w:tcPr>
          <w:p w14:paraId="6922BF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1934-1939 г.</w:t>
            </w:r>
          </w:p>
        </w:tc>
        <w:tc>
          <w:tcPr>
            <w:tcW w:w="3827" w:type="dxa"/>
          </w:tcPr>
          <w:p w14:paraId="750E89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1940-1941 г.</w:t>
            </w:r>
          </w:p>
        </w:tc>
      </w:tr>
      <w:tr w:rsidR="00643896" w:rsidRPr="00640820" w14:paraId="4316A2A4" w14:textId="77777777" w:rsidTr="000D3BCB">
        <w:tc>
          <w:tcPr>
            <w:tcW w:w="2802" w:type="dxa"/>
          </w:tcPr>
          <w:p w14:paraId="4EA3DA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АМ-34-Ам-35, АМ-37-38</w:t>
            </w:r>
          </w:p>
        </w:tc>
        <w:tc>
          <w:tcPr>
            <w:tcW w:w="3827" w:type="dxa"/>
          </w:tcPr>
          <w:p w14:paraId="7F0B08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3827" w:type="dxa"/>
          </w:tcPr>
          <w:p w14:paraId="6559DA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w:t>
            </w:r>
          </w:p>
        </w:tc>
      </w:tr>
      <w:tr w:rsidR="00643896" w:rsidRPr="00640820" w14:paraId="7008A942" w14:textId="77777777" w:rsidTr="000D3BCB">
        <w:tc>
          <w:tcPr>
            <w:tcW w:w="2802" w:type="dxa"/>
          </w:tcPr>
          <w:p w14:paraId="566A3B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М-85, М-87, М-88, М-89</w:t>
            </w:r>
          </w:p>
        </w:tc>
        <w:tc>
          <w:tcPr>
            <w:tcW w:w="3827" w:type="dxa"/>
          </w:tcPr>
          <w:p w14:paraId="448519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w:t>
            </w:r>
          </w:p>
        </w:tc>
        <w:tc>
          <w:tcPr>
            <w:tcW w:w="3827" w:type="dxa"/>
          </w:tcPr>
          <w:p w14:paraId="413381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r>
      <w:tr w:rsidR="00643896" w:rsidRPr="00640820" w14:paraId="22B45B1B" w14:textId="77777777" w:rsidTr="000D3BCB">
        <w:tc>
          <w:tcPr>
            <w:tcW w:w="2802" w:type="dxa"/>
          </w:tcPr>
          <w:p w14:paraId="175243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М-25-М-62</w:t>
            </w:r>
          </w:p>
        </w:tc>
        <w:tc>
          <w:tcPr>
            <w:tcW w:w="3827" w:type="dxa"/>
          </w:tcPr>
          <w:p w14:paraId="4A0224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w:t>
            </w:r>
          </w:p>
        </w:tc>
        <w:tc>
          <w:tcPr>
            <w:tcW w:w="3827" w:type="dxa"/>
          </w:tcPr>
          <w:p w14:paraId="4F4199C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Прироста мощности не было.</w:t>
            </w:r>
          </w:p>
        </w:tc>
      </w:tr>
      <w:tr w:rsidR="00643896" w:rsidRPr="00640820" w14:paraId="4BEF4A82" w14:textId="77777777" w:rsidTr="000D3BCB">
        <w:tc>
          <w:tcPr>
            <w:tcW w:w="2802" w:type="dxa"/>
            <w:tcBorders>
              <w:bottom w:val="single" w:sz="12" w:space="0" w:color="auto"/>
            </w:tcBorders>
          </w:tcPr>
          <w:p w14:paraId="7C17D4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М-100, М-103, М-105, М-105Ф</w:t>
            </w:r>
          </w:p>
        </w:tc>
        <w:tc>
          <w:tcPr>
            <w:tcW w:w="3827" w:type="dxa"/>
            <w:tcBorders>
              <w:bottom w:val="single" w:sz="12" w:space="0" w:color="auto"/>
            </w:tcBorders>
          </w:tcPr>
          <w:p w14:paraId="392EEE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tc>
        <w:tc>
          <w:tcPr>
            <w:tcW w:w="3827" w:type="dxa"/>
            <w:tcBorders>
              <w:bottom w:val="single" w:sz="12" w:space="0" w:color="auto"/>
            </w:tcBorders>
          </w:tcPr>
          <w:p w14:paraId="587642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w:t>
            </w:r>
          </w:p>
        </w:tc>
      </w:tr>
    </w:tbl>
    <w:p w14:paraId="360A48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Примечание:</w:t>
      </w:r>
    </w:p>
    <w:p w14:paraId="438FFA9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Среднегодовой прирост мощности лучших заграничных фирм как например: Райт-Циклон; Испано; Бристоль и др. составлял не менее 10%.</w:t>
      </w:r>
    </w:p>
    <w:p w14:paraId="058D20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Наше авиамоторостроение на протяжении 5-ти лет с 1934-1939 г. давало прирост мощности 5-9%, т.е. отставало от заграницы, и только в период 1940-1941 г. дало значительный прирост мощности - до 25% по некоторым моторам.</w:t>
      </w:r>
    </w:p>
    <w:p w14:paraId="1229E6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Среди наших КБ лучшие результаты в период 1934-1939 г.г. имели завод N 26 и N 19.</w:t>
      </w:r>
    </w:p>
    <w:p w14:paraId="6C77F6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N 24 до 1940 г. слабо развивал мотор Ам-34.</w:t>
      </w:r>
    </w:p>
    <w:p w14:paraId="514893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В 1940-1941 г.г. лучших результатов добился завод N 19, отработав два новых, мощных мотора и з-д N 24 давший значительный прирост мощности по основному мотору.</w:t>
      </w:r>
    </w:p>
    <w:p w14:paraId="685CDD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Сводка изготовления и доводки опытных моторов 1940-1941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67"/>
        <w:gridCol w:w="867"/>
        <w:gridCol w:w="867"/>
        <w:gridCol w:w="2327"/>
        <w:gridCol w:w="689"/>
        <w:gridCol w:w="870"/>
        <w:gridCol w:w="1124"/>
        <w:gridCol w:w="861"/>
        <w:gridCol w:w="2125"/>
      </w:tblGrid>
      <w:tr w:rsidR="00643896" w:rsidRPr="00640820" w14:paraId="25A95894" w14:textId="77777777" w:rsidTr="000D3BCB">
        <w:tc>
          <w:tcPr>
            <w:tcW w:w="867" w:type="dxa"/>
            <w:tcBorders>
              <w:top w:val="single" w:sz="12" w:space="0" w:color="auto"/>
            </w:tcBorders>
          </w:tcPr>
          <w:p w14:paraId="4D9900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w:t>
            </w:r>
          </w:p>
        </w:tc>
        <w:tc>
          <w:tcPr>
            <w:tcW w:w="867" w:type="dxa"/>
            <w:tcBorders>
              <w:top w:val="single" w:sz="12" w:space="0" w:color="auto"/>
            </w:tcBorders>
          </w:tcPr>
          <w:p w14:paraId="01C0CA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Шифр</w:t>
            </w:r>
          </w:p>
        </w:tc>
        <w:tc>
          <w:tcPr>
            <w:tcW w:w="867" w:type="dxa"/>
            <w:tcBorders>
              <w:top w:val="single" w:sz="12" w:space="0" w:color="auto"/>
            </w:tcBorders>
          </w:tcPr>
          <w:p w14:paraId="5C31373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Когда</w:t>
            </w:r>
          </w:p>
        </w:tc>
        <w:tc>
          <w:tcPr>
            <w:tcW w:w="2327" w:type="dxa"/>
            <w:tcBorders>
              <w:top w:val="single" w:sz="12" w:space="0" w:color="auto"/>
            </w:tcBorders>
          </w:tcPr>
          <w:p w14:paraId="67205F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Состояние работ на 1.I.41 г.</w:t>
            </w:r>
          </w:p>
        </w:tc>
        <w:tc>
          <w:tcPr>
            <w:tcW w:w="689" w:type="dxa"/>
            <w:tcBorders>
              <w:top w:val="single" w:sz="12" w:space="0" w:color="auto"/>
            </w:tcBorders>
          </w:tcPr>
          <w:p w14:paraId="5FF2E7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70" w:type="dxa"/>
            <w:tcBorders>
              <w:top w:val="single" w:sz="12" w:space="0" w:color="auto"/>
            </w:tcBorders>
          </w:tcPr>
          <w:p w14:paraId="0496BE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Сводки окончания</w:t>
            </w:r>
          </w:p>
        </w:tc>
        <w:tc>
          <w:tcPr>
            <w:tcW w:w="1124" w:type="dxa"/>
            <w:tcBorders>
              <w:top w:val="single" w:sz="12" w:space="0" w:color="auto"/>
            </w:tcBorders>
          </w:tcPr>
          <w:p w14:paraId="261834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Сроки окончания</w:t>
            </w:r>
          </w:p>
        </w:tc>
        <w:tc>
          <w:tcPr>
            <w:tcW w:w="861" w:type="dxa"/>
            <w:tcBorders>
              <w:top w:val="single" w:sz="12" w:space="0" w:color="auto"/>
            </w:tcBorders>
          </w:tcPr>
          <w:p w14:paraId="09B474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5" w:type="dxa"/>
            <w:tcBorders>
              <w:top w:val="single" w:sz="12" w:space="0" w:color="auto"/>
            </w:tcBorders>
          </w:tcPr>
          <w:p w14:paraId="6AF074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Состояние работ на 1.XII.41</w:t>
            </w:r>
          </w:p>
        </w:tc>
      </w:tr>
      <w:tr w:rsidR="00643896" w:rsidRPr="00640820" w14:paraId="651A855A" w14:textId="77777777" w:rsidTr="000D3BCB">
        <w:tc>
          <w:tcPr>
            <w:tcW w:w="867" w:type="dxa"/>
          </w:tcPr>
          <w:p w14:paraId="6CB7F3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6809C3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опытн.</w:t>
            </w:r>
          </w:p>
        </w:tc>
        <w:tc>
          <w:tcPr>
            <w:tcW w:w="867" w:type="dxa"/>
          </w:tcPr>
          <w:p w14:paraId="59A47E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начаты</w:t>
            </w:r>
          </w:p>
        </w:tc>
        <w:tc>
          <w:tcPr>
            <w:tcW w:w="2327" w:type="dxa"/>
          </w:tcPr>
          <w:p w14:paraId="168AF0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89" w:type="dxa"/>
          </w:tcPr>
          <w:p w14:paraId="6B4991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70" w:type="dxa"/>
          </w:tcPr>
          <w:p w14:paraId="00723A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24" w:type="dxa"/>
          </w:tcPr>
          <w:p w14:paraId="394984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доводки мотора до</w:t>
            </w:r>
          </w:p>
        </w:tc>
        <w:tc>
          <w:tcPr>
            <w:tcW w:w="861" w:type="dxa"/>
          </w:tcPr>
          <w:p w14:paraId="54696C3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5" w:type="dxa"/>
          </w:tcPr>
          <w:p w14:paraId="6B6A39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доводки мотора</w:t>
            </w:r>
          </w:p>
        </w:tc>
      </w:tr>
      <w:tr w:rsidR="00643896" w:rsidRPr="00640820" w14:paraId="051EA0B5" w14:textId="77777777" w:rsidTr="000D3BCB">
        <w:tc>
          <w:tcPr>
            <w:tcW w:w="867" w:type="dxa"/>
          </w:tcPr>
          <w:p w14:paraId="457AB6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0FB32AD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мотора</w:t>
            </w:r>
          </w:p>
        </w:tc>
        <w:tc>
          <w:tcPr>
            <w:tcW w:w="867" w:type="dxa"/>
          </w:tcPr>
          <w:p w14:paraId="677F22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w:t>
            </w:r>
          </w:p>
        </w:tc>
        <w:tc>
          <w:tcPr>
            <w:tcW w:w="2327" w:type="dxa"/>
          </w:tcPr>
          <w:p w14:paraId="136691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89" w:type="dxa"/>
          </w:tcPr>
          <w:p w14:paraId="60E5C7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70" w:type="dxa"/>
          </w:tcPr>
          <w:p w14:paraId="6A276A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24" w:type="dxa"/>
          </w:tcPr>
          <w:p w14:paraId="0526533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 часов</w:t>
            </w:r>
          </w:p>
        </w:tc>
        <w:tc>
          <w:tcPr>
            <w:tcW w:w="861" w:type="dxa"/>
          </w:tcPr>
          <w:p w14:paraId="2A52F1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5" w:type="dxa"/>
          </w:tcPr>
          <w:p w14:paraId="4B0475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100 часов</w:t>
            </w:r>
          </w:p>
        </w:tc>
      </w:tr>
      <w:tr w:rsidR="00643896" w:rsidRPr="00640820" w14:paraId="7A5ED0F8" w14:textId="77777777" w:rsidTr="000D3BCB">
        <w:tc>
          <w:tcPr>
            <w:tcW w:w="867" w:type="dxa"/>
          </w:tcPr>
          <w:p w14:paraId="0307E4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60CC09F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0EA75B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327" w:type="dxa"/>
          </w:tcPr>
          <w:p w14:paraId="455D823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89" w:type="dxa"/>
          </w:tcPr>
          <w:p w14:paraId="2F58D5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w:t>
            </w:r>
          </w:p>
        </w:tc>
        <w:tc>
          <w:tcPr>
            <w:tcW w:w="870" w:type="dxa"/>
          </w:tcPr>
          <w:p w14:paraId="7DFE2DC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Фактич.</w:t>
            </w:r>
          </w:p>
        </w:tc>
        <w:tc>
          <w:tcPr>
            <w:tcW w:w="1124" w:type="dxa"/>
          </w:tcPr>
          <w:p w14:paraId="1B2EC8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w:t>
            </w:r>
          </w:p>
        </w:tc>
        <w:tc>
          <w:tcPr>
            <w:tcW w:w="861" w:type="dxa"/>
          </w:tcPr>
          <w:p w14:paraId="6CC983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Фактич.</w:t>
            </w:r>
          </w:p>
        </w:tc>
        <w:tc>
          <w:tcPr>
            <w:tcW w:w="2125" w:type="dxa"/>
          </w:tcPr>
          <w:p w14:paraId="09D639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712DA15" w14:textId="77777777" w:rsidTr="000D3BCB">
        <w:tc>
          <w:tcPr>
            <w:tcW w:w="867" w:type="dxa"/>
          </w:tcPr>
          <w:p w14:paraId="2283A4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2F5B8C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6621CB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327" w:type="dxa"/>
          </w:tcPr>
          <w:p w14:paraId="3986C9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89" w:type="dxa"/>
          </w:tcPr>
          <w:p w14:paraId="02DCD6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плану</w:t>
            </w:r>
          </w:p>
        </w:tc>
        <w:tc>
          <w:tcPr>
            <w:tcW w:w="870" w:type="dxa"/>
          </w:tcPr>
          <w:p w14:paraId="6D306F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24" w:type="dxa"/>
          </w:tcPr>
          <w:p w14:paraId="763C93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плану</w:t>
            </w:r>
          </w:p>
        </w:tc>
        <w:tc>
          <w:tcPr>
            <w:tcW w:w="861" w:type="dxa"/>
          </w:tcPr>
          <w:p w14:paraId="0CF1FD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5" w:type="dxa"/>
          </w:tcPr>
          <w:p w14:paraId="3AA7EB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C30D8AA" w14:textId="77777777" w:rsidTr="000D3BCB">
        <w:tc>
          <w:tcPr>
            <w:tcW w:w="867" w:type="dxa"/>
          </w:tcPr>
          <w:p w14:paraId="094542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w:t>
            </w:r>
          </w:p>
        </w:tc>
        <w:tc>
          <w:tcPr>
            <w:tcW w:w="867" w:type="dxa"/>
          </w:tcPr>
          <w:p w14:paraId="4116FC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М-71</w:t>
            </w:r>
          </w:p>
        </w:tc>
        <w:tc>
          <w:tcPr>
            <w:tcW w:w="867" w:type="dxa"/>
          </w:tcPr>
          <w:p w14:paraId="29EC4B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1939</w:t>
            </w:r>
          </w:p>
        </w:tc>
        <w:tc>
          <w:tcPr>
            <w:tcW w:w="2327" w:type="dxa"/>
          </w:tcPr>
          <w:p w14:paraId="690C61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Построены опытные образцы и</w:t>
            </w:r>
          </w:p>
        </w:tc>
        <w:tc>
          <w:tcPr>
            <w:tcW w:w="689" w:type="dxa"/>
          </w:tcPr>
          <w:p w14:paraId="1AF8C9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январь</w:t>
            </w:r>
          </w:p>
        </w:tc>
        <w:tc>
          <w:tcPr>
            <w:tcW w:w="870" w:type="dxa"/>
          </w:tcPr>
          <w:p w14:paraId="556277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январь</w:t>
            </w:r>
          </w:p>
        </w:tc>
        <w:tc>
          <w:tcPr>
            <w:tcW w:w="1124" w:type="dxa"/>
          </w:tcPr>
          <w:p w14:paraId="3D9980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август</w:t>
            </w:r>
          </w:p>
        </w:tc>
        <w:tc>
          <w:tcPr>
            <w:tcW w:w="861" w:type="dxa"/>
          </w:tcPr>
          <w:p w14:paraId="44D746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2125" w:type="dxa"/>
          </w:tcPr>
          <w:p w14:paraId="11C0CA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Проведено 4 100 час. зав.</w:t>
            </w:r>
          </w:p>
        </w:tc>
      </w:tr>
      <w:tr w:rsidR="00643896" w:rsidRPr="00640820" w14:paraId="331C2462" w14:textId="77777777" w:rsidTr="000D3BCB">
        <w:tc>
          <w:tcPr>
            <w:tcW w:w="867" w:type="dxa"/>
          </w:tcPr>
          <w:p w14:paraId="68F4C2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10D4CE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4EF0E6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327" w:type="dxa"/>
          </w:tcPr>
          <w:p w14:paraId="0AC184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проведены 50 час. зав.</w:t>
            </w:r>
          </w:p>
        </w:tc>
        <w:tc>
          <w:tcPr>
            <w:tcW w:w="689" w:type="dxa"/>
          </w:tcPr>
          <w:p w14:paraId="3D1272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w:t>
            </w:r>
          </w:p>
        </w:tc>
        <w:tc>
          <w:tcPr>
            <w:tcW w:w="870" w:type="dxa"/>
          </w:tcPr>
          <w:p w14:paraId="07C2EB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w:t>
            </w:r>
          </w:p>
        </w:tc>
        <w:tc>
          <w:tcPr>
            <w:tcW w:w="1124" w:type="dxa"/>
          </w:tcPr>
          <w:p w14:paraId="5BC0A7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w:t>
            </w:r>
          </w:p>
        </w:tc>
        <w:tc>
          <w:tcPr>
            <w:tcW w:w="861" w:type="dxa"/>
          </w:tcPr>
          <w:p w14:paraId="08E0AF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5" w:type="dxa"/>
          </w:tcPr>
          <w:p w14:paraId="2EB3645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испытания. Мотор по осн.</w:t>
            </w:r>
          </w:p>
        </w:tc>
      </w:tr>
      <w:tr w:rsidR="00643896" w:rsidRPr="00640820" w14:paraId="579EE91F" w14:textId="77777777" w:rsidTr="000D3BCB">
        <w:tc>
          <w:tcPr>
            <w:tcW w:w="867" w:type="dxa"/>
          </w:tcPr>
          <w:p w14:paraId="59AC9CD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4E09CAC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68B448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327" w:type="dxa"/>
          </w:tcPr>
          <w:p w14:paraId="674D15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Испытания.</w:t>
            </w:r>
          </w:p>
        </w:tc>
        <w:tc>
          <w:tcPr>
            <w:tcW w:w="689" w:type="dxa"/>
          </w:tcPr>
          <w:p w14:paraId="133294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70" w:type="dxa"/>
          </w:tcPr>
          <w:p w14:paraId="16649B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24" w:type="dxa"/>
          </w:tcPr>
          <w:p w14:paraId="2CA937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1" w:type="dxa"/>
          </w:tcPr>
          <w:p w14:paraId="72B18F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5" w:type="dxa"/>
          </w:tcPr>
          <w:p w14:paraId="20D2F2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деталям дефектов не имеет</w:t>
            </w:r>
          </w:p>
        </w:tc>
      </w:tr>
      <w:tr w:rsidR="00643896" w:rsidRPr="00640820" w14:paraId="668DC082" w14:textId="77777777" w:rsidTr="000D3BCB">
        <w:tc>
          <w:tcPr>
            <w:tcW w:w="867" w:type="dxa"/>
          </w:tcPr>
          <w:p w14:paraId="066239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0131C7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6DAD7E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327" w:type="dxa"/>
          </w:tcPr>
          <w:p w14:paraId="33E5A8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89" w:type="dxa"/>
          </w:tcPr>
          <w:p w14:paraId="0C8501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70" w:type="dxa"/>
          </w:tcPr>
          <w:p w14:paraId="6596EF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24" w:type="dxa"/>
          </w:tcPr>
          <w:p w14:paraId="6A7F36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1" w:type="dxa"/>
          </w:tcPr>
          <w:p w14:paraId="2D6B2E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5" w:type="dxa"/>
          </w:tcPr>
          <w:p w14:paraId="03E4409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исключением клапанов</w:t>
            </w:r>
          </w:p>
        </w:tc>
      </w:tr>
      <w:tr w:rsidR="00643896" w:rsidRPr="00640820" w14:paraId="355AEC57" w14:textId="77777777" w:rsidTr="000D3BCB">
        <w:tc>
          <w:tcPr>
            <w:tcW w:w="867" w:type="dxa"/>
          </w:tcPr>
          <w:p w14:paraId="671F20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30216BB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0D2DDC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327" w:type="dxa"/>
          </w:tcPr>
          <w:p w14:paraId="335F4A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89" w:type="dxa"/>
          </w:tcPr>
          <w:p w14:paraId="69CADB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70" w:type="dxa"/>
          </w:tcPr>
          <w:p w14:paraId="26479F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24" w:type="dxa"/>
          </w:tcPr>
          <w:p w14:paraId="24CDFD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1" w:type="dxa"/>
          </w:tcPr>
          <w:p w14:paraId="0D8D1F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5" w:type="dxa"/>
          </w:tcPr>
          <w:p w14:paraId="79FB36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выхлопа.</w:t>
            </w:r>
          </w:p>
        </w:tc>
      </w:tr>
      <w:tr w:rsidR="00643896" w:rsidRPr="00640820" w14:paraId="00AFE45E" w14:textId="77777777" w:rsidTr="000D3BCB">
        <w:tc>
          <w:tcPr>
            <w:tcW w:w="867" w:type="dxa"/>
          </w:tcPr>
          <w:p w14:paraId="7C2986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w:t>
            </w:r>
          </w:p>
        </w:tc>
        <w:tc>
          <w:tcPr>
            <w:tcW w:w="867" w:type="dxa"/>
          </w:tcPr>
          <w:p w14:paraId="6027D4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М-82</w:t>
            </w:r>
          </w:p>
        </w:tc>
        <w:tc>
          <w:tcPr>
            <w:tcW w:w="867" w:type="dxa"/>
          </w:tcPr>
          <w:p w14:paraId="73103B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1940</w:t>
            </w:r>
          </w:p>
        </w:tc>
        <w:tc>
          <w:tcPr>
            <w:tcW w:w="2327" w:type="dxa"/>
          </w:tcPr>
          <w:p w14:paraId="50C366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Проведены 50 часовые заводские</w:t>
            </w:r>
          </w:p>
        </w:tc>
        <w:tc>
          <w:tcPr>
            <w:tcW w:w="689" w:type="dxa"/>
          </w:tcPr>
          <w:p w14:paraId="732F3B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март</w:t>
            </w:r>
          </w:p>
        </w:tc>
        <w:tc>
          <w:tcPr>
            <w:tcW w:w="870" w:type="dxa"/>
          </w:tcPr>
          <w:p w14:paraId="7610F06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март</w:t>
            </w:r>
          </w:p>
        </w:tc>
        <w:tc>
          <w:tcPr>
            <w:tcW w:w="1124" w:type="dxa"/>
          </w:tcPr>
          <w:p w14:paraId="02E28A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июль</w:t>
            </w:r>
          </w:p>
        </w:tc>
        <w:tc>
          <w:tcPr>
            <w:tcW w:w="861" w:type="dxa"/>
          </w:tcPr>
          <w:p w14:paraId="47E3C7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июль</w:t>
            </w:r>
          </w:p>
        </w:tc>
        <w:tc>
          <w:tcPr>
            <w:tcW w:w="2125" w:type="dxa"/>
          </w:tcPr>
          <w:p w14:paraId="0856B0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Мотор внедрен в серийное</w:t>
            </w:r>
          </w:p>
        </w:tc>
      </w:tr>
      <w:tr w:rsidR="00643896" w:rsidRPr="00640820" w14:paraId="7FE76F6C" w14:textId="77777777" w:rsidTr="000D3BCB">
        <w:tc>
          <w:tcPr>
            <w:tcW w:w="867" w:type="dxa"/>
          </w:tcPr>
          <w:p w14:paraId="76D89F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6F7451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5C5B0F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327" w:type="dxa"/>
          </w:tcPr>
          <w:p w14:paraId="2C80C1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испытания.</w:t>
            </w:r>
          </w:p>
        </w:tc>
        <w:tc>
          <w:tcPr>
            <w:tcW w:w="689" w:type="dxa"/>
          </w:tcPr>
          <w:p w14:paraId="628E7F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w:t>
            </w:r>
          </w:p>
        </w:tc>
        <w:tc>
          <w:tcPr>
            <w:tcW w:w="870" w:type="dxa"/>
          </w:tcPr>
          <w:p w14:paraId="0FC55C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w:t>
            </w:r>
          </w:p>
        </w:tc>
        <w:tc>
          <w:tcPr>
            <w:tcW w:w="1124" w:type="dxa"/>
          </w:tcPr>
          <w:p w14:paraId="217F50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w:t>
            </w:r>
          </w:p>
        </w:tc>
        <w:tc>
          <w:tcPr>
            <w:tcW w:w="861" w:type="dxa"/>
          </w:tcPr>
          <w:p w14:paraId="2C357C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w:t>
            </w:r>
          </w:p>
        </w:tc>
        <w:tc>
          <w:tcPr>
            <w:tcW w:w="2125" w:type="dxa"/>
          </w:tcPr>
          <w:p w14:paraId="1AEFE31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с июня 1941 г.</w:t>
            </w:r>
          </w:p>
        </w:tc>
      </w:tr>
      <w:tr w:rsidR="00643896" w:rsidRPr="00640820" w14:paraId="0D7BC868" w14:textId="77777777" w:rsidTr="000D3BCB">
        <w:tc>
          <w:tcPr>
            <w:tcW w:w="867" w:type="dxa"/>
          </w:tcPr>
          <w:p w14:paraId="6CAA77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w:t>
            </w:r>
          </w:p>
        </w:tc>
        <w:tc>
          <w:tcPr>
            <w:tcW w:w="867" w:type="dxa"/>
          </w:tcPr>
          <w:p w14:paraId="62B447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М-89</w:t>
            </w:r>
          </w:p>
        </w:tc>
        <w:tc>
          <w:tcPr>
            <w:tcW w:w="867" w:type="dxa"/>
          </w:tcPr>
          <w:p w14:paraId="3922D8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1940</w:t>
            </w:r>
          </w:p>
        </w:tc>
        <w:tc>
          <w:tcPr>
            <w:tcW w:w="2327" w:type="dxa"/>
          </w:tcPr>
          <w:p w14:paraId="08EA19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Проведены предварительные</w:t>
            </w:r>
          </w:p>
        </w:tc>
        <w:tc>
          <w:tcPr>
            <w:tcW w:w="689" w:type="dxa"/>
          </w:tcPr>
          <w:p w14:paraId="17EE9A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апрель</w:t>
            </w:r>
          </w:p>
        </w:tc>
        <w:tc>
          <w:tcPr>
            <w:tcW w:w="870" w:type="dxa"/>
          </w:tcPr>
          <w:p w14:paraId="37B4DB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апрель</w:t>
            </w:r>
          </w:p>
        </w:tc>
        <w:tc>
          <w:tcPr>
            <w:tcW w:w="1124" w:type="dxa"/>
          </w:tcPr>
          <w:p w14:paraId="305B45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июль</w:t>
            </w:r>
          </w:p>
        </w:tc>
        <w:tc>
          <w:tcPr>
            <w:tcW w:w="861" w:type="dxa"/>
          </w:tcPr>
          <w:p w14:paraId="389367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июль</w:t>
            </w:r>
          </w:p>
        </w:tc>
        <w:tc>
          <w:tcPr>
            <w:tcW w:w="2125" w:type="dxa"/>
          </w:tcPr>
          <w:p w14:paraId="0A0218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Мотор испытан. закончил</w:t>
            </w:r>
          </w:p>
        </w:tc>
      </w:tr>
      <w:tr w:rsidR="00643896" w:rsidRPr="00640820" w14:paraId="3E222209" w14:textId="77777777" w:rsidTr="000D3BCB">
        <w:tc>
          <w:tcPr>
            <w:tcW w:w="867" w:type="dxa"/>
          </w:tcPr>
          <w:p w14:paraId="60C3E4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5628586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64D336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327" w:type="dxa"/>
          </w:tcPr>
          <w:p w14:paraId="15CDDF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заводские испытания.</w:t>
            </w:r>
          </w:p>
        </w:tc>
        <w:tc>
          <w:tcPr>
            <w:tcW w:w="689" w:type="dxa"/>
          </w:tcPr>
          <w:p w14:paraId="16107D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w:t>
            </w:r>
          </w:p>
        </w:tc>
        <w:tc>
          <w:tcPr>
            <w:tcW w:w="870" w:type="dxa"/>
          </w:tcPr>
          <w:p w14:paraId="11AEDE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w:t>
            </w:r>
          </w:p>
        </w:tc>
        <w:tc>
          <w:tcPr>
            <w:tcW w:w="1124" w:type="dxa"/>
          </w:tcPr>
          <w:p w14:paraId="7CA71D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w:t>
            </w:r>
          </w:p>
        </w:tc>
        <w:tc>
          <w:tcPr>
            <w:tcW w:w="861" w:type="dxa"/>
          </w:tcPr>
          <w:p w14:paraId="322CDA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w:t>
            </w:r>
          </w:p>
        </w:tc>
        <w:tc>
          <w:tcPr>
            <w:tcW w:w="2125" w:type="dxa"/>
          </w:tcPr>
          <w:p w14:paraId="7DD060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удовлетворительно, в</w:t>
            </w:r>
          </w:p>
        </w:tc>
      </w:tr>
      <w:tr w:rsidR="00643896" w:rsidRPr="00640820" w14:paraId="381DBEF4" w14:textId="77777777" w:rsidTr="000D3BCB">
        <w:tc>
          <w:tcPr>
            <w:tcW w:w="867" w:type="dxa"/>
          </w:tcPr>
          <w:p w14:paraId="3E807C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6222DA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6E1EB4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327" w:type="dxa"/>
          </w:tcPr>
          <w:p w14:paraId="2B0A6E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89" w:type="dxa"/>
          </w:tcPr>
          <w:p w14:paraId="4A4DF6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70" w:type="dxa"/>
          </w:tcPr>
          <w:p w14:paraId="2BF391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24" w:type="dxa"/>
          </w:tcPr>
          <w:p w14:paraId="3A186C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1" w:type="dxa"/>
          </w:tcPr>
          <w:p w14:paraId="561162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5" w:type="dxa"/>
          </w:tcPr>
          <w:p w14:paraId="73F279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серийное производство не</w:t>
            </w:r>
          </w:p>
        </w:tc>
      </w:tr>
      <w:tr w:rsidR="00643896" w:rsidRPr="00640820" w14:paraId="0ABAEF7B" w14:textId="77777777" w:rsidTr="000D3BCB">
        <w:tc>
          <w:tcPr>
            <w:tcW w:w="867" w:type="dxa"/>
          </w:tcPr>
          <w:p w14:paraId="68337A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19DEDF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163C9E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327" w:type="dxa"/>
          </w:tcPr>
          <w:p w14:paraId="2E979F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89" w:type="dxa"/>
          </w:tcPr>
          <w:p w14:paraId="09E04F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70" w:type="dxa"/>
          </w:tcPr>
          <w:p w14:paraId="7D50DE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24" w:type="dxa"/>
          </w:tcPr>
          <w:p w14:paraId="228408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1" w:type="dxa"/>
          </w:tcPr>
          <w:p w14:paraId="3E34D2B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5" w:type="dxa"/>
          </w:tcPr>
          <w:p w14:paraId="0B850F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внедрен, заменен на</w:t>
            </w:r>
          </w:p>
        </w:tc>
      </w:tr>
      <w:tr w:rsidR="00643896" w:rsidRPr="00640820" w14:paraId="488F4CF4" w14:textId="77777777" w:rsidTr="000D3BCB">
        <w:tc>
          <w:tcPr>
            <w:tcW w:w="867" w:type="dxa"/>
          </w:tcPr>
          <w:p w14:paraId="4081FF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562B061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4B9626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327" w:type="dxa"/>
          </w:tcPr>
          <w:p w14:paraId="5A4858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89" w:type="dxa"/>
          </w:tcPr>
          <w:p w14:paraId="248286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70" w:type="dxa"/>
          </w:tcPr>
          <w:p w14:paraId="3E8150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24" w:type="dxa"/>
          </w:tcPr>
          <w:p w14:paraId="01F39E1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1" w:type="dxa"/>
          </w:tcPr>
          <w:p w14:paraId="7A0521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5" w:type="dxa"/>
          </w:tcPr>
          <w:p w14:paraId="31DEB9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форсированный мотор</w:t>
            </w:r>
          </w:p>
        </w:tc>
      </w:tr>
      <w:tr w:rsidR="00643896" w:rsidRPr="00640820" w14:paraId="0DB67779" w14:textId="77777777" w:rsidTr="000D3BCB">
        <w:tc>
          <w:tcPr>
            <w:tcW w:w="867" w:type="dxa"/>
          </w:tcPr>
          <w:p w14:paraId="3C880B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4A33C5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3F29FC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327" w:type="dxa"/>
          </w:tcPr>
          <w:p w14:paraId="48D811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89" w:type="dxa"/>
          </w:tcPr>
          <w:p w14:paraId="2437229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70" w:type="dxa"/>
          </w:tcPr>
          <w:p w14:paraId="723651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24" w:type="dxa"/>
          </w:tcPr>
          <w:p w14:paraId="28DE64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1" w:type="dxa"/>
          </w:tcPr>
          <w:p w14:paraId="76D246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5" w:type="dxa"/>
          </w:tcPr>
          <w:p w14:paraId="7BE14F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М-89Б.</w:t>
            </w:r>
          </w:p>
        </w:tc>
      </w:tr>
      <w:tr w:rsidR="00643896" w:rsidRPr="00640820" w14:paraId="6729A646" w14:textId="77777777" w:rsidTr="000D3BCB">
        <w:tc>
          <w:tcPr>
            <w:tcW w:w="867" w:type="dxa"/>
          </w:tcPr>
          <w:p w14:paraId="2C1211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w:t>
            </w:r>
          </w:p>
        </w:tc>
        <w:tc>
          <w:tcPr>
            <w:tcW w:w="867" w:type="dxa"/>
          </w:tcPr>
          <w:p w14:paraId="4C46C1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М-89НВ</w:t>
            </w:r>
          </w:p>
        </w:tc>
        <w:tc>
          <w:tcPr>
            <w:tcW w:w="867" w:type="dxa"/>
          </w:tcPr>
          <w:p w14:paraId="5176ACD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w:t>
            </w:r>
          </w:p>
        </w:tc>
        <w:tc>
          <w:tcPr>
            <w:tcW w:w="2327" w:type="dxa"/>
          </w:tcPr>
          <w:p w14:paraId="50D189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работам приступлено во II</w:t>
            </w:r>
          </w:p>
        </w:tc>
        <w:tc>
          <w:tcPr>
            <w:tcW w:w="689" w:type="dxa"/>
          </w:tcPr>
          <w:p w14:paraId="11A135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июль</w:t>
            </w:r>
          </w:p>
        </w:tc>
        <w:tc>
          <w:tcPr>
            <w:tcW w:w="870" w:type="dxa"/>
          </w:tcPr>
          <w:p w14:paraId="7095E9E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июль</w:t>
            </w:r>
          </w:p>
        </w:tc>
        <w:tc>
          <w:tcPr>
            <w:tcW w:w="1124" w:type="dxa"/>
          </w:tcPr>
          <w:p w14:paraId="423AD6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август</w:t>
            </w:r>
          </w:p>
        </w:tc>
        <w:tc>
          <w:tcPr>
            <w:tcW w:w="861" w:type="dxa"/>
          </w:tcPr>
          <w:p w14:paraId="66374A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2125" w:type="dxa"/>
          </w:tcPr>
          <w:p w14:paraId="722096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 же.</w:t>
            </w:r>
          </w:p>
        </w:tc>
      </w:tr>
      <w:tr w:rsidR="00643896" w:rsidRPr="00640820" w14:paraId="2536EBE5" w14:textId="77777777" w:rsidTr="000D3BCB">
        <w:tc>
          <w:tcPr>
            <w:tcW w:w="867" w:type="dxa"/>
          </w:tcPr>
          <w:p w14:paraId="43DCA9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036991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041212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327" w:type="dxa"/>
          </w:tcPr>
          <w:p w14:paraId="445C2A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кв. 1941 г.</w:t>
            </w:r>
          </w:p>
        </w:tc>
        <w:tc>
          <w:tcPr>
            <w:tcW w:w="689" w:type="dxa"/>
          </w:tcPr>
          <w:p w14:paraId="1EC879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w:t>
            </w:r>
          </w:p>
        </w:tc>
        <w:tc>
          <w:tcPr>
            <w:tcW w:w="870" w:type="dxa"/>
          </w:tcPr>
          <w:p w14:paraId="0BDD50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w:t>
            </w:r>
          </w:p>
        </w:tc>
        <w:tc>
          <w:tcPr>
            <w:tcW w:w="1124" w:type="dxa"/>
          </w:tcPr>
          <w:p w14:paraId="445D45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w:t>
            </w:r>
          </w:p>
        </w:tc>
        <w:tc>
          <w:tcPr>
            <w:tcW w:w="861" w:type="dxa"/>
          </w:tcPr>
          <w:p w14:paraId="49368E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5" w:type="dxa"/>
          </w:tcPr>
          <w:p w14:paraId="4D03C8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3B1BA4A" w14:textId="77777777" w:rsidTr="000D3BCB">
        <w:tc>
          <w:tcPr>
            <w:tcW w:w="867" w:type="dxa"/>
          </w:tcPr>
          <w:p w14:paraId="47046F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w:t>
            </w:r>
          </w:p>
        </w:tc>
        <w:tc>
          <w:tcPr>
            <w:tcW w:w="867" w:type="dxa"/>
          </w:tcPr>
          <w:p w14:paraId="103694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М-89Б</w:t>
            </w:r>
          </w:p>
        </w:tc>
        <w:tc>
          <w:tcPr>
            <w:tcW w:w="867" w:type="dxa"/>
          </w:tcPr>
          <w:p w14:paraId="18E667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w:t>
            </w:r>
          </w:p>
        </w:tc>
        <w:tc>
          <w:tcPr>
            <w:tcW w:w="2327" w:type="dxa"/>
          </w:tcPr>
          <w:p w14:paraId="5A2B45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Инициативная тема начата</w:t>
            </w:r>
          </w:p>
        </w:tc>
        <w:tc>
          <w:tcPr>
            <w:tcW w:w="689" w:type="dxa"/>
          </w:tcPr>
          <w:p w14:paraId="492866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70" w:type="dxa"/>
          </w:tcPr>
          <w:p w14:paraId="2DF519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24" w:type="dxa"/>
          </w:tcPr>
          <w:p w14:paraId="2EE14C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декабрь</w:t>
            </w:r>
          </w:p>
        </w:tc>
        <w:tc>
          <w:tcPr>
            <w:tcW w:w="861" w:type="dxa"/>
          </w:tcPr>
          <w:p w14:paraId="143AD9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2125" w:type="dxa"/>
          </w:tcPr>
          <w:p w14:paraId="30AE8F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Предъявлен в сентябре на</w:t>
            </w:r>
          </w:p>
        </w:tc>
      </w:tr>
      <w:tr w:rsidR="00643896" w:rsidRPr="00640820" w14:paraId="75E0308E" w14:textId="77777777" w:rsidTr="000D3BCB">
        <w:tc>
          <w:tcPr>
            <w:tcW w:w="867" w:type="dxa"/>
          </w:tcPr>
          <w:p w14:paraId="44446B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0FEDEC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358B06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327" w:type="dxa"/>
          </w:tcPr>
          <w:p w14:paraId="318013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заводом с июня 1941 г.</w:t>
            </w:r>
          </w:p>
        </w:tc>
        <w:tc>
          <w:tcPr>
            <w:tcW w:w="689" w:type="dxa"/>
          </w:tcPr>
          <w:p w14:paraId="197BB6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70" w:type="dxa"/>
          </w:tcPr>
          <w:p w14:paraId="3A1762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24" w:type="dxa"/>
          </w:tcPr>
          <w:p w14:paraId="2E32ED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w:t>
            </w:r>
          </w:p>
        </w:tc>
        <w:tc>
          <w:tcPr>
            <w:tcW w:w="861" w:type="dxa"/>
          </w:tcPr>
          <w:p w14:paraId="72C8A4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5" w:type="dxa"/>
          </w:tcPr>
          <w:p w14:paraId="166D30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совместное 50 часовое</w:t>
            </w:r>
          </w:p>
        </w:tc>
      </w:tr>
      <w:tr w:rsidR="00643896" w:rsidRPr="00640820" w14:paraId="24877B94" w14:textId="77777777" w:rsidTr="000D3BCB">
        <w:tc>
          <w:tcPr>
            <w:tcW w:w="867" w:type="dxa"/>
          </w:tcPr>
          <w:p w14:paraId="34B3B1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6CB5BC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13143B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327" w:type="dxa"/>
          </w:tcPr>
          <w:p w14:paraId="0A2B16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89" w:type="dxa"/>
          </w:tcPr>
          <w:p w14:paraId="31F9DB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70" w:type="dxa"/>
          </w:tcPr>
          <w:p w14:paraId="5974CA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24" w:type="dxa"/>
          </w:tcPr>
          <w:p w14:paraId="707A74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1" w:type="dxa"/>
          </w:tcPr>
          <w:p w14:paraId="24DB0F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5" w:type="dxa"/>
          </w:tcPr>
          <w:p w14:paraId="02E4F49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испытание, которое</w:t>
            </w:r>
          </w:p>
        </w:tc>
      </w:tr>
      <w:tr w:rsidR="00643896" w:rsidRPr="00640820" w14:paraId="0C096C76" w14:textId="77777777" w:rsidTr="000D3BCB">
        <w:tc>
          <w:tcPr>
            <w:tcW w:w="867" w:type="dxa"/>
          </w:tcPr>
          <w:p w14:paraId="7C9C9D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1F61AB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010354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327" w:type="dxa"/>
          </w:tcPr>
          <w:p w14:paraId="77BB5E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89" w:type="dxa"/>
          </w:tcPr>
          <w:p w14:paraId="6A12B8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70" w:type="dxa"/>
          </w:tcPr>
          <w:p w14:paraId="6B4139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24" w:type="dxa"/>
          </w:tcPr>
          <w:p w14:paraId="4046BA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1" w:type="dxa"/>
          </w:tcPr>
          <w:p w14:paraId="745AE4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5" w:type="dxa"/>
          </w:tcPr>
          <w:p w14:paraId="5DEA99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прервано в связи с</w:t>
            </w:r>
          </w:p>
        </w:tc>
      </w:tr>
      <w:tr w:rsidR="00643896" w:rsidRPr="00640820" w14:paraId="4B7246C3" w14:textId="77777777" w:rsidTr="000D3BCB">
        <w:tc>
          <w:tcPr>
            <w:tcW w:w="867" w:type="dxa"/>
          </w:tcPr>
          <w:p w14:paraId="609293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723C19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06B985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327" w:type="dxa"/>
          </w:tcPr>
          <w:p w14:paraId="163EE6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89" w:type="dxa"/>
          </w:tcPr>
          <w:p w14:paraId="06265D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70" w:type="dxa"/>
          </w:tcPr>
          <w:p w14:paraId="08DE52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24" w:type="dxa"/>
          </w:tcPr>
          <w:p w14:paraId="541629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1" w:type="dxa"/>
          </w:tcPr>
          <w:p w14:paraId="713214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5" w:type="dxa"/>
          </w:tcPr>
          <w:p w14:paraId="294808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перебазированием ЦИАМ.</w:t>
            </w:r>
          </w:p>
        </w:tc>
      </w:tr>
      <w:tr w:rsidR="00643896" w:rsidRPr="00640820" w14:paraId="3FA42EC0" w14:textId="77777777" w:rsidTr="000D3BCB">
        <w:tc>
          <w:tcPr>
            <w:tcW w:w="867" w:type="dxa"/>
          </w:tcPr>
          <w:p w14:paraId="7A117E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w:t>
            </w:r>
          </w:p>
        </w:tc>
        <w:tc>
          <w:tcPr>
            <w:tcW w:w="867" w:type="dxa"/>
          </w:tcPr>
          <w:p w14:paraId="0C3A88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М-90</w:t>
            </w:r>
          </w:p>
        </w:tc>
        <w:tc>
          <w:tcPr>
            <w:tcW w:w="867" w:type="dxa"/>
          </w:tcPr>
          <w:p w14:paraId="3C84B4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1939</w:t>
            </w:r>
          </w:p>
        </w:tc>
        <w:tc>
          <w:tcPr>
            <w:tcW w:w="2327" w:type="dxa"/>
          </w:tcPr>
          <w:p w14:paraId="4A05B9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Мотор находился в доводке</w:t>
            </w:r>
          </w:p>
        </w:tc>
        <w:tc>
          <w:tcPr>
            <w:tcW w:w="689" w:type="dxa"/>
          </w:tcPr>
          <w:p w14:paraId="58B5C0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сент.</w:t>
            </w:r>
          </w:p>
        </w:tc>
        <w:tc>
          <w:tcPr>
            <w:tcW w:w="870" w:type="dxa"/>
          </w:tcPr>
          <w:p w14:paraId="4FA3A5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24" w:type="dxa"/>
          </w:tcPr>
          <w:p w14:paraId="54160CB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ноябрь</w:t>
            </w:r>
          </w:p>
        </w:tc>
        <w:tc>
          <w:tcPr>
            <w:tcW w:w="861" w:type="dxa"/>
          </w:tcPr>
          <w:p w14:paraId="6CF3CD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2125" w:type="dxa"/>
          </w:tcPr>
          <w:p w14:paraId="601FD1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Подготовлен к предъявлен.</w:t>
            </w:r>
          </w:p>
        </w:tc>
      </w:tr>
      <w:tr w:rsidR="00643896" w:rsidRPr="00640820" w14:paraId="08638B3F" w14:textId="77777777" w:rsidTr="000D3BCB">
        <w:tc>
          <w:tcPr>
            <w:tcW w:w="867" w:type="dxa"/>
          </w:tcPr>
          <w:p w14:paraId="18A250B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25FF7B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554258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327" w:type="dxa"/>
          </w:tcPr>
          <w:p w14:paraId="6D4B82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заводскими испытаниями.</w:t>
            </w:r>
          </w:p>
        </w:tc>
        <w:tc>
          <w:tcPr>
            <w:tcW w:w="689" w:type="dxa"/>
          </w:tcPr>
          <w:p w14:paraId="04D540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w:t>
            </w:r>
          </w:p>
        </w:tc>
        <w:tc>
          <w:tcPr>
            <w:tcW w:w="870" w:type="dxa"/>
          </w:tcPr>
          <w:p w14:paraId="042B19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24" w:type="dxa"/>
          </w:tcPr>
          <w:p w14:paraId="046C09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w:t>
            </w:r>
          </w:p>
        </w:tc>
        <w:tc>
          <w:tcPr>
            <w:tcW w:w="861" w:type="dxa"/>
          </w:tcPr>
          <w:p w14:paraId="3FBCB7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5" w:type="dxa"/>
          </w:tcPr>
          <w:p w14:paraId="45DB47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50 часовые совместные</w:t>
            </w:r>
          </w:p>
        </w:tc>
      </w:tr>
      <w:tr w:rsidR="00643896" w:rsidRPr="00640820" w14:paraId="048391A1" w14:textId="77777777" w:rsidTr="000D3BCB">
        <w:tc>
          <w:tcPr>
            <w:tcW w:w="867" w:type="dxa"/>
          </w:tcPr>
          <w:p w14:paraId="6DE1A7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04D791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5D0392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327" w:type="dxa"/>
          </w:tcPr>
          <w:p w14:paraId="6D13EEA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89" w:type="dxa"/>
          </w:tcPr>
          <w:p w14:paraId="30B66A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70" w:type="dxa"/>
          </w:tcPr>
          <w:p w14:paraId="611A22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24" w:type="dxa"/>
          </w:tcPr>
          <w:p w14:paraId="42AE8B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1" w:type="dxa"/>
          </w:tcPr>
          <w:p w14:paraId="3D2866E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5" w:type="dxa"/>
          </w:tcPr>
          <w:p w14:paraId="5200D1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испытания.</w:t>
            </w:r>
          </w:p>
        </w:tc>
      </w:tr>
      <w:tr w:rsidR="00643896" w:rsidRPr="00640820" w14:paraId="217B68CB" w14:textId="77777777" w:rsidTr="000D3BCB">
        <w:tc>
          <w:tcPr>
            <w:tcW w:w="867" w:type="dxa"/>
          </w:tcPr>
          <w:p w14:paraId="467677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24 </w:t>
            </w:r>
          </w:p>
        </w:tc>
        <w:tc>
          <w:tcPr>
            <w:tcW w:w="867" w:type="dxa"/>
          </w:tcPr>
          <w:p w14:paraId="49C006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АМ-39</w:t>
            </w:r>
          </w:p>
        </w:tc>
        <w:tc>
          <w:tcPr>
            <w:tcW w:w="867" w:type="dxa"/>
          </w:tcPr>
          <w:p w14:paraId="66CA26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1940</w:t>
            </w:r>
          </w:p>
        </w:tc>
        <w:tc>
          <w:tcPr>
            <w:tcW w:w="2327" w:type="dxa"/>
          </w:tcPr>
          <w:p w14:paraId="742E0D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Проектирование и проведены</w:t>
            </w:r>
          </w:p>
        </w:tc>
        <w:tc>
          <w:tcPr>
            <w:tcW w:w="689" w:type="dxa"/>
          </w:tcPr>
          <w:p w14:paraId="25C715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август</w:t>
            </w:r>
          </w:p>
        </w:tc>
        <w:tc>
          <w:tcPr>
            <w:tcW w:w="870" w:type="dxa"/>
          </w:tcPr>
          <w:p w14:paraId="6187FB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24" w:type="dxa"/>
          </w:tcPr>
          <w:p w14:paraId="38BF3B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декабрь</w:t>
            </w:r>
          </w:p>
        </w:tc>
        <w:tc>
          <w:tcPr>
            <w:tcW w:w="861" w:type="dxa"/>
          </w:tcPr>
          <w:p w14:paraId="1B5CF7A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2125" w:type="dxa"/>
          </w:tcPr>
          <w:p w14:paraId="589685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Мотор не построен,</w:t>
            </w:r>
          </w:p>
        </w:tc>
      </w:tr>
      <w:tr w:rsidR="00643896" w:rsidRPr="00640820" w14:paraId="3D54DBCE" w14:textId="77777777" w:rsidTr="000D3BCB">
        <w:tc>
          <w:tcPr>
            <w:tcW w:w="867" w:type="dxa"/>
          </w:tcPr>
          <w:p w14:paraId="166FED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5EE95D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39A7DA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327" w:type="dxa"/>
          </w:tcPr>
          <w:p w14:paraId="778907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экспериментальные работы.</w:t>
            </w:r>
          </w:p>
        </w:tc>
        <w:tc>
          <w:tcPr>
            <w:tcW w:w="689" w:type="dxa"/>
          </w:tcPr>
          <w:p w14:paraId="5EFA79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70" w:type="dxa"/>
          </w:tcPr>
          <w:p w14:paraId="4A0F86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24" w:type="dxa"/>
          </w:tcPr>
          <w:p w14:paraId="50A8F8C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1" w:type="dxa"/>
          </w:tcPr>
          <w:p w14:paraId="7D5BEC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5" w:type="dxa"/>
          </w:tcPr>
          <w:p w14:paraId="4A97D1B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Доводка нагнетателя </w:t>
            </w:r>
          </w:p>
        </w:tc>
      </w:tr>
      <w:tr w:rsidR="00643896" w:rsidRPr="00640820" w14:paraId="72669A96" w14:textId="77777777" w:rsidTr="000D3BCB">
        <w:tc>
          <w:tcPr>
            <w:tcW w:w="867" w:type="dxa"/>
          </w:tcPr>
          <w:p w14:paraId="7B8139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278841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31575F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327" w:type="dxa"/>
          </w:tcPr>
          <w:p w14:paraId="7FF573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89" w:type="dxa"/>
          </w:tcPr>
          <w:p w14:paraId="065DD7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70" w:type="dxa"/>
          </w:tcPr>
          <w:p w14:paraId="591147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24" w:type="dxa"/>
          </w:tcPr>
          <w:p w14:paraId="06E272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1" w:type="dxa"/>
          </w:tcPr>
          <w:p w14:paraId="384373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5" w:type="dxa"/>
          </w:tcPr>
          <w:p w14:paraId="0EC338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производится на АМ-37.</w:t>
            </w:r>
          </w:p>
        </w:tc>
      </w:tr>
      <w:tr w:rsidR="00643896" w:rsidRPr="00640820" w14:paraId="68A0067D" w14:textId="77777777" w:rsidTr="000D3BCB">
        <w:tc>
          <w:tcPr>
            <w:tcW w:w="867" w:type="dxa"/>
          </w:tcPr>
          <w:p w14:paraId="65455A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w:t>
            </w:r>
          </w:p>
        </w:tc>
        <w:tc>
          <w:tcPr>
            <w:tcW w:w="867" w:type="dxa"/>
          </w:tcPr>
          <w:p w14:paraId="30A77A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АМ-37</w:t>
            </w:r>
          </w:p>
        </w:tc>
        <w:tc>
          <w:tcPr>
            <w:tcW w:w="867" w:type="dxa"/>
          </w:tcPr>
          <w:p w14:paraId="2406B7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1939</w:t>
            </w:r>
          </w:p>
        </w:tc>
        <w:tc>
          <w:tcPr>
            <w:tcW w:w="2327" w:type="dxa"/>
          </w:tcPr>
          <w:p w14:paraId="30AD7D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Проходил заводские испытания</w:t>
            </w:r>
          </w:p>
        </w:tc>
        <w:tc>
          <w:tcPr>
            <w:tcW w:w="689" w:type="dxa"/>
          </w:tcPr>
          <w:p w14:paraId="0AA82D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70" w:type="dxa"/>
          </w:tcPr>
          <w:p w14:paraId="70D3F4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24" w:type="dxa"/>
          </w:tcPr>
          <w:p w14:paraId="0E55E5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февраль</w:t>
            </w:r>
          </w:p>
        </w:tc>
        <w:tc>
          <w:tcPr>
            <w:tcW w:w="861" w:type="dxa"/>
          </w:tcPr>
          <w:p w14:paraId="105608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июль</w:t>
            </w:r>
          </w:p>
        </w:tc>
        <w:tc>
          <w:tcPr>
            <w:tcW w:w="2125" w:type="dxa"/>
          </w:tcPr>
          <w:p w14:paraId="4F897D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Мотор внедрен в серийное</w:t>
            </w:r>
          </w:p>
        </w:tc>
      </w:tr>
      <w:tr w:rsidR="00643896" w:rsidRPr="00640820" w14:paraId="28D5F1F2" w14:textId="77777777" w:rsidTr="000D3BCB">
        <w:tc>
          <w:tcPr>
            <w:tcW w:w="867" w:type="dxa"/>
          </w:tcPr>
          <w:p w14:paraId="5E25E0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6E29ED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5979A9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327" w:type="dxa"/>
          </w:tcPr>
          <w:p w14:paraId="2B5B2B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доводке до 100 час. ресурса.</w:t>
            </w:r>
          </w:p>
        </w:tc>
        <w:tc>
          <w:tcPr>
            <w:tcW w:w="689" w:type="dxa"/>
          </w:tcPr>
          <w:p w14:paraId="63A7D5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70" w:type="dxa"/>
          </w:tcPr>
          <w:p w14:paraId="38BE41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24" w:type="dxa"/>
          </w:tcPr>
          <w:p w14:paraId="75DAB6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w:t>
            </w:r>
          </w:p>
        </w:tc>
        <w:tc>
          <w:tcPr>
            <w:tcW w:w="861" w:type="dxa"/>
          </w:tcPr>
          <w:p w14:paraId="629C17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w:t>
            </w:r>
          </w:p>
        </w:tc>
        <w:tc>
          <w:tcPr>
            <w:tcW w:w="2125" w:type="dxa"/>
          </w:tcPr>
          <w:p w14:paraId="1931DC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w:t>
            </w:r>
          </w:p>
        </w:tc>
      </w:tr>
      <w:tr w:rsidR="00643896" w:rsidRPr="00640820" w14:paraId="365F7350" w14:textId="77777777" w:rsidTr="000D3BCB">
        <w:tc>
          <w:tcPr>
            <w:tcW w:w="867" w:type="dxa"/>
          </w:tcPr>
          <w:p w14:paraId="32AF873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w:t>
            </w:r>
          </w:p>
        </w:tc>
        <w:tc>
          <w:tcPr>
            <w:tcW w:w="867" w:type="dxa"/>
          </w:tcPr>
          <w:p w14:paraId="12E3FD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АМ-38</w:t>
            </w:r>
          </w:p>
        </w:tc>
        <w:tc>
          <w:tcPr>
            <w:tcW w:w="867" w:type="dxa"/>
          </w:tcPr>
          <w:p w14:paraId="4F710B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1940</w:t>
            </w:r>
          </w:p>
        </w:tc>
        <w:tc>
          <w:tcPr>
            <w:tcW w:w="2327" w:type="dxa"/>
          </w:tcPr>
          <w:p w14:paraId="3EC8D9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Заводская доводка до 50 час.</w:t>
            </w:r>
          </w:p>
        </w:tc>
        <w:tc>
          <w:tcPr>
            <w:tcW w:w="689" w:type="dxa"/>
          </w:tcPr>
          <w:p w14:paraId="3A4398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февраль</w:t>
            </w:r>
          </w:p>
        </w:tc>
        <w:tc>
          <w:tcPr>
            <w:tcW w:w="870" w:type="dxa"/>
          </w:tcPr>
          <w:p w14:paraId="4E38E4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март</w:t>
            </w:r>
          </w:p>
        </w:tc>
        <w:tc>
          <w:tcPr>
            <w:tcW w:w="1124" w:type="dxa"/>
          </w:tcPr>
          <w:p w14:paraId="7790BB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июнь</w:t>
            </w:r>
          </w:p>
        </w:tc>
        <w:tc>
          <w:tcPr>
            <w:tcW w:w="861" w:type="dxa"/>
          </w:tcPr>
          <w:p w14:paraId="068490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июнь</w:t>
            </w:r>
          </w:p>
        </w:tc>
        <w:tc>
          <w:tcPr>
            <w:tcW w:w="2125" w:type="dxa"/>
          </w:tcPr>
          <w:p w14:paraId="26AF83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Мотор внедрен в серийное</w:t>
            </w:r>
          </w:p>
        </w:tc>
      </w:tr>
      <w:tr w:rsidR="00643896" w:rsidRPr="00640820" w14:paraId="24DE12A0" w14:textId="77777777" w:rsidTr="000D3BCB">
        <w:tc>
          <w:tcPr>
            <w:tcW w:w="867" w:type="dxa"/>
          </w:tcPr>
          <w:p w14:paraId="06D78D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166A54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082F8D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327" w:type="dxa"/>
          </w:tcPr>
          <w:p w14:paraId="2359BDB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ресурса.</w:t>
            </w:r>
          </w:p>
        </w:tc>
        <w:tc>
          <w:tcPr>
            <w:tcW w:w="689" w:type="dxa"/>
          </w:tcPr>
          <w:p w14:paraId="44D020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w:t>
            </w:r>
          </w:p>
        </w:tc>
        <w:tc>
          <w:tcPr>
            <w:tcW w:w="870" w:type="dxa"/>
          </w:tcPr>
          <w:p w14:paraId="7F74D9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w:t>
            </w:r>
          </w:p>
        </w:tc>
        <w:tc>
          <w:tcPr>
            <w:tcW w:w="1124" w:type="dxa"/>
          </w:tcPr>
          <w:p w14:paraId="40D782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w:t>
            </w:r>
          </w:p>
        </w:tc>
        <w:tc>
          <w:tcPr>
            <w:tcW w:w="861" w:type="dxa"/>
          </w:tcPr>
          <w:p w14:paraId="26BFDC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w:t>
            </w:r>
          </w:p>
        </w:tc>
        <w:tc>
          <w:tcPr>
            <w:tcW w:w="2125" w:type="dxa"/>
          </w:tcPr>
          <w:p w14:paraId="2989C1D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w:t>
            </w:r>
          </w:p>
        </w:tc>
      </w:tr>
      <w:tr w:rsidR="00643896" w:rsidRPr="00640820" w14:paraId="294282B3" w14:textId="77777777" w:rsidTr="000D3BCB">
        <w:tc>
          <w:tcPr>
            <w:tcW w:w="867" w:type="dxa"/>
          </w:tcPr>
          <w:p w14:paraId="767D3C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w:t>
            </w:r>
          </w:p>
        </w:tc>
        <w:tc>
          <w:tcPr>
            <w:tcW w:w="867" w:type="dxa"/>
          </w:tcPr>
          <w:p w14:paraId="3D85B83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М-105Ф</w:t>
            </w:r>
          </w:p>
        </w:tc>
        <w:tc>
          <w:tcPr>
            <w:tcW w:w="867" w:type="dxa"/>
          </w:tcPr>
          <w:p w14:paraId="4DF8C9C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w:t>
            </w:r>
          </w:p>
        </w:tc>
        <w:tc>
          <w:tcPr>
            <w:tcW w:w="2327" w:type="dxa"/>
          </w:tcPr>
          <w:p w14:paraId="5C60DE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Проведено проектирование и</w:t>
            </w:r>
          </w:p>
        </w:tc>
        <w:tc>
          <w:tcPr>
            <w:tcW w:w="689" w:type="dxa"/>
          </w:tcPr>
          <w:p w14:paraId="0B4AC2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апрель</w:t>
            </w:r>
          </w:p>
        </w:tc>
        <w:tc>
          <w:tcPr>
            <w:tcW w:w="870" w:type="dxa"/>
          </w:tcPr>
          <w:p w14:paraId="4E0CD3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июль</w:t>
            </w:r>
          </w:p>
        </w:tc>
        <w:tc>
          <w:tcPr>
            <w:tcW w:w="1124" w:type="dxa"/>
          </w:tcPr>
          <w:p w14:paraId="5D2237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октябрь</w:t>
            </w:r>
          </w:p>
        </w:tc>
        <w:tc>
          <w:tcPr>
            <w:tcW w:w="861" w:type="dxa"/>
          </w:tcPr>
          <w:p w14:paraId="04BF6DF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2125" w:type="dxa"/>
          </w:tcPr>
          <w:p w14:paraId="3EE9C5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Мотор проходит заводскую</w:t>
            </w:r>
          </w:p>
        </w:tc>
      </w:tr>
      <w:tr w:rsidR="00643896" w:rsidRPr="00640820" w14:paraId="429FF9A4" w14:textId="77777777" w:rsidTr="000D3BCB">
        <w:tc>
          <w:tcPr>
            <w:tcW w:w="867" w:type="dxa"/>
          </w:tcPr>
          <w:p w14:paraId="779CC6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546C5CB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5C2D5E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327" w:type="dxa"/>
          </w:tcPr>
          <w:p w14:paraId="53A255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экспериментальные работы.</w:t>
            </w:r>
          </w:p>
        </w:tc>
        <w:tc>
          <w:tcPr>
            <w:tcW w:w="689" w:type="dxa"/>
          </w:tcPr>
          <w:p w14:paraId="15AE22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w:t>
            </w:r>
          </w:p>
        </w:tc>
        <w:tc>
          <w:tcPr>
            <w:tcW w:w="870" w:type="dxa"/>
          </w:tcPr>
          <w:p w14:paraId="547B65B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w:t>
            </w:r>
          </w:p>
        </w:tc>
        <w:tc>
          <w:tcPr>
            <w:tcW w:w="1124" w:type="dxa"/>
          </w:tcPr>
          <w:p w14:paraId="1CFA5F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w:t>
            </w:r>
          </w:p>
        </w:tc>
        <w:tc>
          <w:tcPr>
            <w:tcW w:w="861" w:type="dxa"/>
          </w:tcPr>
          <w:p w14:paraId="4C27A2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5" w:type="dxa"/>
          </w:tcPr>
          <w:p w14:paraId="27A366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доводку до 100 часов.</w:t>
            </w:r>
          </w:p>
        </w:tc>
      </w:tr>
      <w:tr w:rsidR="00643896" w:rsidRPr="00640820" w14:paraId="7456E02A" w14:textId="77777777" w:rsidTr="000D3BCB">
        <w:tc>
          <w:tcPr>
            <w:tcW w:w="867" w:type="dxa"/>
          </w:tcPr>
          <w:p w14:paraId="0E38EA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w:t>
            </w:r>
          </w:p>
        </w:tc>
        <w:tc>
          <w:tcPr>
            <w:tcW w:w="867" w:type="dxa"/>
          </w:tcPr>
          <w:p w14:paraId="3894E6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М-107</w:t>
            </w:r>
          </w:p>
        </w:tc>
        <w:tc>
          <w:tcPr>
            <w:tcW w:w="867" w:type="dxa"/>
          </w:tcPr>
          <w:p w14:paraId="434AA5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1940</w:t>
            </w:r>
          </w:p>
        </w:tc>
        <w:tc>
          <w:tcPr>
            <w:tcW w:w="2327" w:type="dxa"/>
          </w:tcPr>
          <w:p w14:paraId="21C156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Экспериментальные и проектные</w:t>
            </w:r>
          </w:p>
        </w:tc>
        <w:tc>
          <w:tcPr>
            <w:tcW w:w="689" w:type="dxa"/>
          </w:tcPr>
          <w:p w14:paraId="111C6E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70" w:type="dxa"/>
          </w:tcPr>
          <w:p w14:paraId="0AC36B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июль</w:t>
            </w:r>
          </w:p>
        </w:tc>
        <w:tc>
          <w:tcPr>
            <w:tcW w:w="1124" w:type="dxa"/>
          </w:tcPr>
          <w:p w14:paraId="060325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май</w:t>
            </w:r>
          </w:p>
        </w:tc>
        <w:tc>
          <w:tcPr>
            <w:tcW w:w="861" w:type="dxa"/>
          </w:tcPr>
          <w:p w14:paraId="41D56C9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2125" w:type="dxa"/>
          </w:tcPr>
          <w:p w14:paraId="33B2FB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Мотор проходит заводскую</w:t>
            </w:r>
          </w:p>
        </w:tc>
      </w:tr>
      <w:tr w:rsidR="00643896" w:rsidRPr="00640820" w14:paraId="4883D46F" w14:textId="77777777" w:rsidTr="000D3BCB">
        <w:tc>
          <w:tcPr>
            <w:tcW w:w="867" w:type="dxa"/>
          </w:tcPr>
          <w:p w14:paraId="43E2AA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69B061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2E965F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327" w:type="dxa"/>
          </w:tcPr>
          <w:p w14:paraId="59EACB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w:t>
            </w:r>
          </w:p>
        </w:tc>
        <w:tc>
          <w:tcPr>
            <w:tcW w:w="689" w:type="dxa"/>
          </w:tcPr>
          <w:p w14:paraId="1F9F4D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w:t>
            </w:r>
          </w:p>
        </w:tc>
        <w:tc>
          <w:tcPr>
            <w:tcW w:w="870" w:type="dxa"/>
          </w:tcPr>
          <w:p w14:paraId="3D5C87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24" w:type="dxa"/>
          </w:tcPr>
          <w:p w14:paraId="21D767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w:t>
            </w:r>
          </w:p>
        </w:tc>
        <w:tc>
          <w:tcPr>
            <w:tcW w:w="861" w:type="dxa"/>
          </w:tcPr>
          <w:p w14:paraId="5FAAF3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5" w:type="dxa"/>
          </w:tcPr>
          <w:p w14:paraId="3C4545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доводку до 100 часов.</w:t>
            </w:r>
          </w:p>
        </w:tc>
      </w:tr>
      <w:tr w:rsidR="00643896" w:rsidRPr="00640820" w14:paraId="058E00F1" w14:textId="77777777" w:rsidTr="000D3BCB">
        <w:tc>
          <w:tcPr>
            <w:tcW w:w="867" w:type="dxa"/>
          </w:tcPr>
          <w:p w14:paraId="04798E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w:t>
            </w:r>
          </w:p>
        </w:tc>
        <w:tc>
          <w:tcPr>
            <w:tcW w:w="867" w:type="dxa"/>
          </w:tcPr>
          <w:p w14:paraId="466163F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М-120</w:t>
            </w:r>
          </w:p>
        </w:tc>
        <w:tc>
          <w:tcPr>
            <w:tcW w:w="867" w:type="dxa"/>
          </w:tcPr>
          <w:p w14:paraId="214504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1939</w:t>
            </w:r>
          </w:p>
        </w:tc>
        <w:tc>
          <w:tcPr>
            <w:tcW w:w="2327" w:type="dxa"/>
          </w:tcPr>
          <w:p w14:paraId="6FD4038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Проектирование и изготовление</w:t>
            </w:r>
          </w:p>
        </w:tc>
        <w:tc>
          <w:tcPr>
            <w:tcW w:w="689" w:type="dxa"/>
          </w:tcPr>
          <w:p w14:paraId="3399353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июль</w:t>
            </w:r>
          </w:p>
        </w:tc>
        <w:tc>
          <w:tcPr>
            <w:tcW w:w="870" w:type="dxa"/>
          </w:tcPr>
          <w:p w14:paraId="179AE4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24" w:type="dxa"/>
          </w:tcPr>
          <w:p w14:paraId="2C498A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сент.</w:t>
            </w:r>
          </w:p>
        </w:tc>
        <w:tc>
          <w:tcPr>
            <w:tcW w:w="861" w:type="dxa"/>
          </w:tcPr>
          <w:p w14:paraId="1C4605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2125" w:type="dxa"/>
          </w:tcPr>
          <w:p w14:paraId="453B0D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Мотор проходит заводскую</w:t>
            </w:r>
          </w:p>
        </w:tc>
      </w:tr>
      <w:tr w:rsidR="00643896" w:rsidRPr="00640820" w14:paraId="57C6E589" w14:textId="77777777" w:rsidTr="000D3BCB">
        <w:tc>
          <w:tcPr>
            <w:tcW w:w="867" w:type="dxa"/>
          </w:tcPr>
          <w:p w14:paraId="33C6D4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6DC965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624D9F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327" w:type="dxa"/>
          </w:tcPr>
          <w:p w14:paraId="56F341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опытных образцов.</w:t>
            </w:r>
          </w:p>
        </w:tc>
        <w:tc>
          <w:tcPr>
            <w:tcW w:w="689" w:type="dxa"/>
          </w:tcPr>
          <w:p w14:paraId="4D22F3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w:t>
            </w:r>
          </w:p>
        </w:tc>
        <w:tc>
          <w:tcPr>
            <w:tcW w:w="870" w:type="dxa"/>
          </w:tcPr>
          <w:p w14:paraId="50DBD9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24" w:type="dxa"/>
          </w:tcPr>
          <w:p w14:paraId="1D3268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w:t>
            </w:r>
          </w:p>
        </w:tc>
        <w:tc>
          <w:tcPr>
            <w:tcW w:w="861" w:type="dxa"/>
          </w:tcPr>
          <w:p w14:paraId="31E287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5" w:type="dxa"/>
          </w:tcPr>
          <w:p w14:paraId="5A7BBB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доводку до 50 и 100 часов.</w:t>
            </w:r>
          </w:p>
        </w:tc>
      </w:tr>
      <w:tr w:rsidR="00643896" w:rsidRPr="00640820" w14:paraId="42B1554A" w14:textId="77777777" w:rsidTr="000D3BCB">
        <w:tc>
          <w:tcPr>
            <w:tcW w:w="867" w:type="dxa"/>
          </w:tcPr>
          <w:p w14:paraId="04609E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w:t>
            </w:r>
          </w:p>
        </w:tc>
        <w:tc>
          <w:tcPr>
            <w:tcW w:w="867" w:type="dxa"/>
          </w:tcPr>
          <w:p w14:paraId="09BF87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М-250</w:t>
            </w:r>
          </w:p>
        </w:tc>
        <w:tc>
          <w:tcPr>
            <w:tcW w:w="867" w:type="dxa"/>
          </w:tcPr>
          <w:p w14:paraId="13AB15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1939</w:t>
            </w:r>
          </w:p>
        </w:tc>
        <w:tc>
          <w:tcPr>
            <w:tcW w:w="2327" w:type="dxa"/>
          </w:tcPr>
          <w:p w14:paraId="255DAA1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Производилось изготовление</w:t>
            </w:r>
          </w:p>
        </w:tc>
        <w:tc>
          <w:tcPr>
            <w:tcW w:w="689" w:type="dxa"/>
          </w:tcPr>
          <w:p w14:paraId="155393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октябрь</w:t>
            </w:r>
          </w:p>
        </w:tc>
        <w:tc>
          <w:tcPr>
            <w:tcW w:w="870" w:type="dxa"/>
          </w:tcPr>
          <w:p w14:paraId="425F5E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24" w:type="dxa"/>
          </w:tcPr>
          <w:p w14:paraId="5FCBF2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апрель</w:t>
            </w:r>
          </w:p>
        </w:tc>
        <w:tc>
          <w:tcPr>
            <w:tcW w:w="861" w:type="dxa"/>
          </w:tcPr>
          <w:p w14:paraId="2E34CC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2125" w:type="dxa"/>
          </w:tcPr>
          <w:p w14:paraId="3A96B5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Мотор проходит заводскую </w:t>
            </w:r>
          </w:p>
        </w:tc>
      </w:tr>
      <w:tr w:rsidR="00643896" w:rsidRPr="00640820" w14:paraId="6067AB68" w14:textId="77777777" w:rsidTr="000D3BCB">
        <w:tc>
          <w:tcPr>
            <w:tcW w:w="867" w:type="dxa"/>
          </w:tcPr>
          <w:p w14:paraId="2821DE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366E81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48612E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327" w:type="dxa"/>
          </w:tcPr>
          <w:p w14:paraId="5354AF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опытных образцов.</w:t>
            </w:r>
          </w:p>
        </w:tc>
        <w:tc>
          <w:tcPr>
            <w:tcW w:w="689" w:type="dxa"/>
          </w:tcPr>
          <w:p w14:paraId="72E52F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w:t>
            </w:r>
          </w:p>
        </w:tc>
        <w:tc>
          <w:tcPr>
            <w:tcW w:w="870" w:type="dxa"/>
          </w:tcPr>
          <w:p w14:paraId="5D54B5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24" w:type="dxa"/>
          </w:tcPr>
          <w:p w14:paraId="15D32E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1942</w:t>
            </w:r>
          </w:p>
        </w:tc>
        <w:tc>
          <w:tcPr>
            <w:tcW w:w="861" w:type="dxa"/>
          </w:tcPr>
          <w:p w14:paraId="61A88D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5" w:type="dxa"/>
          </w:tcPr>
          <w:p w14:paraId="1A5C42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доводку до 50 час.</w:t>
            </w:r>
          </w:p>
        </w:tc>
      </w:tr>
      <w:tr w:rsidR="00643896" w:rsidRPr="00640820" w14:paraId="41CC71E2" w14:textId="77777777" w:rsidTr="000D3BCB">
        <w:tc>
          <w:tcPr>
            <w:tcW w:w="867" w:type="dxa"/>
          </w:tcPr>
          <w:p w14:paraId="04279A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w:t>
            </w:r>
          </w:p>
        </w:tc>
        <w:tc>
          <w:tcPr>
            <w:tcW w:w="867" w:type="dxa"/>
          </w:tcPr>
          <w:p w14:paraId="7E51E7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МБ-100</w:t>
            </w:r>
          </w:p>
        </w:tc>
        <w:tc>
          <w:tcPr>
            <w:tcW w:w="867" w:type="dxa"/>
          </w:tcPr>
          <w:p w14:paraId="272B9D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1940</w:t>
            </w:r>
          </w:p>
        </w:tc>
        <w:tc>
          <w:tcPr>
            <w:tcW w:w="2327" w:type="dxa"/>
          </w:tcPr>
          <w:p w14:paraId="4F547C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Проектирование.</w:t>
            </w:r>
          </w:p>
        </w:tc>
        <w:tc>
          <w:tcPr>
            <w:tcW w:w="689" w:type="dxa"/>
          </w:tcPr>
          <w:p w14:paraId="772626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март</w:t>
            </w:r>
          </w:p>
        </w:tc>
        <w:tc>
          <w:tcPr>
            <w:tcW w:w="870" w:type="dxa"/>
          </w:tcPr>
          <w:p w14:paraId="0D946B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24" w:type="dxa"/>
          </w:tcPr>
          <w:p w14:paraId="11F40DD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октябрь</w:t>
            </w:r>
          </w:p>
        </w:tc>
        <w:tc>
          <w:tcPr>
            <w:tcW w:w="861" w:type="dxa"/>
          </w:tcPr>
          <w:p w14:paraId="5AC3AE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2125" w:type="dxa"/>
          </w:tcPr>
          <w:p w14:paraId="201788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Производится изготовлен.</w:t>
            </w:r>
          </w:p>
        </w:tc>
      </w:tr>
      <w:tr w:rsidR="00643896" w:rsidRPr="00640820" w14:paraId="56008D64" w14:textId="77777777" w:rsidTr="000D3BCB">
        <w:tc>
          <w:tcPr>
            <w:tcW w:w="867" w:type="dxa"/>
          </w:tcPr>
          <w:p w14:paraId="5B39C6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5278E0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02588D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327" w:type="dxa"/>
          </w:tcPr>
          <w:p w14:paraId="1A2AFF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89" w:type="dxa"/>
          </w:tcPr>
          <w:p w14:paraId="7EAA33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1942</w:t>
            </w:r>
          </w:p>
        </w:tc>
        <w:tc>
          <w:tcPr>
            <w:tcW w:w="870" w:type="dxa"/>
          </w:tcPr>
          <w:p w14:paraId="62770F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24" w:type="dxa"/>
          </w:tcPr>
          <w:p w14:paraId="0C980E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1942</w:t>
            </w:r>
          </w:p>
        </w:tc>
        <w:tc>
          <w:tcPr>
            <w:tcW w:w="861" w:type="dxa"/>
          </w:tcPr>
          <w:p w14:paraId="4081B9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5" w:type="dxa"/>
          </w:tcPr>
          <w:p w14:paraId="4BA6B8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опытных образцов.</w:t>
            </w:r>
          </w:p>
        </w:tc>
      </w:tr>
      <w:tr w:rsidR="00643896" w:rsidRPr="00640820" w14:paraId="755AEBAC" w14:textId="77777777" w:rsidTr="000D3BCB">
        <w:tc>
          <w:tcPr>
            <w:tcW w:w="867" w:type="dxa"/>
          </w:tcPr>
          <w:p w14:paraId="6E3D2A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ЦИАМ</w:t>
            </w:r>
          </w:p>
        </w:tc>
        <w:tc>
          <w:tcPr>
            <w:tcW w:w="867" w:type="dxa"/>
          </w:tcPr>
          <w:p w14:paraId="3B9207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М-300</w:t>
            </w:r>
          </w:p>
        </w:tc>
        <w:tc>
          <w:tcPr>
            <w:tcW w:w="867" w:type="dxa"/>
          </w:tcPr>
          <w:p w14:paraId="6C2BC4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1939</w:t>
            </w:r>
          </w:p>
        </w:tc>
        <w:tc>
          <w:tcPr>
            <w:tcW w:w="2327" w:type="dxa"/>
          </w:tcPr>
          <w:p w14:paraId="6630E8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Изготовление опытных образцов.</w:t>
            </w:r>
          </w:p>
        </w:tc>
        <w:tc>
          <w:tcPr>
            <w:tcW w:w="689" w:type="dxa"/>
          </w:tcPr>
          <w:p w14:paraId="7D670C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Провести</w:t>
            </w:r>
          </w:p>
        </w:tc>
        <w:tc>
          <w:tcPr>
            <w:tcW w:w="870" w:type="dxa"/>
          </w:tcPr>
          <w:p w14:paraId="754615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24" w:type="dxa"/>
          </w:tcPr>
          <w:p w14:paraId="1CC32E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61" w:type="dxa"/>
          </w:tcPr>
          <w:p w14:paraId="06D576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2125" w:type="dxa"/>
          </w:tcPr>
          <w:p w14:paraId="464237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Проведена обкатка мотора</w:t>
            </w:r>
          </w:p>
        </w:tc>
      </w:tr>
      <w:tr w:rsidR="00643896" w:rsidRPr="00640820" w14:paraId="636A2979" w14:textId="77777777" w:rsidTr="000D3BCB">
        <w:tc>
          <w:tcPr>
            <w:tcW w:w="867" w:type="dxa"/>
          </w:tcPr>
          <w:p w14:paraId="3C102D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53B075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338682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327" w:type="dxa"/>
          </w:tcPr>
          <w:p w14:paraId="4A4C5D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89" w:type="dxa"/>
          </w:tcPr>
          <w:p w14:paraId="6EA539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испыт.</w:t>
            </w:r>
          </w:p>
        </w:tc>
        <w:tc>
          <w:tcPr>
            <w:tcW w:w="870" w:type="dxa"/>
          </w:tcPr>
          <w:p w14:paraId="538D8A1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24" w:type="dxa"/>
          </w:tcPr>
          <w:p w14:paraId="77F886B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1" w:type="dxa"/>
          </w:tcPr>
          <w:p w14:paraId="145561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5" w:type="dxa"/>
          </w:tcPr>
          <w:p w14:paraId="2A8FA2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газу до 2000 об/мин.</w:t>
            </w:r>
          </w:p>
        </w:tc>
      </w:tr>
      <w:tr w:rsidR="00643896" w:rsidRPr="00640820" w14:paraId="35B7C975" w14:textId="77777777" w:rsidTr="000D3BCB">
        <w:tc>
          <w:tcPr>
            <w:tcW w:w="867" w:type="dxa"/>
          </w:tcPr>
          <w:p w14:paraId="7AC5FC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1880D3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213B5C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327" w:type="dxa"/>
          </w:tcPr>
          <w:p w14:paraId="7D4B2B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89" w:type="dxa"/>
          </w:tcPr>
          <w:p w14:paraId="47CD8D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заявл.</w:t>
            </w:r>
          </w:p>
        </w:tc>
        <w:tc>
          <w:tcPr>
            <w:tcW w:w="870" w:type="dxa"/>
          </w:tcPr>
          <w:p w14:paraId="33B0A0F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24" w:type="dxa"/>
          </w:tcPr>
          <w:p w14:paraId="1A1B55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1" w:type="dxa"/>
          </w:tcPr>
          <w:p w14:paraId="25B79D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5" w:type="dxa"/>
          </w:tcPr>
          <w:p w14:paraId="10194D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9BA675A" w14:textId="77777777" w:rsidTr="000D3BCB">
        <w:tc>
          <w:tcPr>
            <w:tcW w:w="867" w:type="dxa"/>
          </w:tcPr>
          <w:p w14:paraId="66B86D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4C55C1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10F2D1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327" w:type="dxa"/>
          </w:tcPr>
          <w:p w14:paraId="4E62A1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89" w:type="dxa"/>
          </w:tcPr>
          <w:p w14:paraId="38DC97E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данных и</w:t>
            </w:r>
          </w:p>
        </w:tc>
        <w:tc>
          <w:tcPr>
            <w:tcW w:w="870" w:type="dxa"/>
          </w:tcPr>
          <w:p w14:paraId="01BC78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24" w:type="dxa"/>
          </w:tcPr>
          <w:p w14:paraId="36686CF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1" w:type="dxa"/>
          </w:tcPr>
          <w:p w14:paraId="5F293A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5" w:type="dxa"/>
          </w:tcPr>
          <w:p w14:paraId="4BA6669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3F5717A" w14:textId="77777777" w:rsidTr="000D3BCB">
        <w:tc>
          <w:tcPr>
            <w:tcW w:w="867" w:type="dxa"/>
          </w:tcPr>
          <w:p w14:paraId="0F1BBFE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369D39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48AB8C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327" w:type="dxa"/>
          </w:tcPr>
          <w:p w14:paraId="784726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89" w:type="dxa"/>
          </w:tcPr>
          <w:p w14:paraId="5CA8EC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работосп.</w:t>
            </w:r>
          </w:p>
        </w:tc>
        <w:tc>
          <w:tcPr>
            <w:tcW w:w="870" w:type="dxa"/>
          </w:tcPr>
          <w:p w14:paraId="5782FCF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24" w:type="dxa"/>
          </w:tcPr>
          <w:p w14:paraId="572F9B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1" w:type="dxa"/>
          </w:tcPr>
          <w:p w14:paraId="585DE2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5" w:type="dxa"/>
          </w:tcPr>
          <w:p w14:paraId="24BCA43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0E5482C" w14:textId="77777777" w:rsidTr="000D3BCB">
        <w:tc>
          <w:tcPr>
            <w:tcW w:w="867" w:type="dxa"/>
          </w:tcPr>
          <w:p w14:paraId="2A0F53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ЦИАМ</w:t>
            </w:r>
          </w:p>
        </w:tc>
        <w:tc>
          <w:tcPr>
            <w:tcW w:w="867" w:type="dxa"/>
          </w:tcPr>
          <w:p w14:paraId="290EAA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М105ПД</w:t>
            </w:r>
          </w:p>
        </w:tc>
        <w:tc>
          <w:tcPr>
            <w:tcW w:w="867" w:type="dxa"/>
          </w:tcPr>
          <w:p w14:paraId="32A91D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1940</w:t>
            </w:r>
          </w:p>
        </w:tc>
        <w:tc>
          <w:tcPr>
            <w:tcW w:w="2327" w:type="dxa"/>
          </w:tcPr>
          <w:p w14:paraId="1CE162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Отработка до 50 час. Ресурса</w:t>
            </w:r>
          </w:p>
        </w:tc>
        <w:tc>
          <w:tcPr>
            <w:tcW w:w="689" w:type="dxa"/>
          </w:tcPr>
          <w:p w14:paraId="0D8EB1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70" w:type="dxa"/>
          </w:tcPr>
          <w:p w14:paraId="3640873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24" w:type="dxa"/>
          </w:tcPr>
          <w:p w14:paraId="648FFE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июнь</w:t>
            </w:r>
          </w:p>
        </w:tc>
        <w:tc>
          <w:tcPr>
            <w:tcW w:w="861" w:type="dxa"/>
          </w:tcPr>
          <w:p w14:paraId="032E02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июль</w:t>
            </w:r>
          </w:p>
        </w:tc>
        <w:tc>
          <w:tcPr>
            <w:tcW w:w="2125" w:type="dxa"/>
          </w:tcPr>
          <w:p w14:paraId="1715F8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Мотор внедрялся в серийн.</w:t>
            </w:r>
          </w:p>
        </w:tc>
      </w:tr>
      <w:tr w:rsidR="00643896" w:rsidRPr="00640820" w14:paraId="6CE5DED5" w14:textId="77777777" w:rsidTr="000D3BCB">
        <w:tc>
          <w:tcPr>
            <w:tcW w:w="867" w:type="dxa"/>
          </w:tcPr>
          <w:p w14:paraId="370EA8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48692B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05BF00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327" w:type="dxa"/>
          </w:tcPr>
          <w:p w14:paraId="0B921C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w:t>
            </w:r>
          </w:p>
        </w:tc>
        <w:tc>
          <w:tcPr>
            <w:tcW w:w="689" w:type="dxa"/>
          </w:tcPr>
          <w:p w14:paraId="7F6A5C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70" w:type="dxa"/>
          </w:tcPr>
          <w:p w14:paraId="2E5910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24" w:type="dxa"/>
          </w:tcPr>
          <w:p w14:paraId="29E71C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w:t>
            </w:r>
          </w:p>
        </w:tc>
        <w:tc>
          <w:tcPr>
            <w:tcW w:w="861" w:type="dxa"/>
          </w:tcPr>
          <w:p w14:paraId="223AA7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w:t>
            </w:r>
          </w:p>
        </w:tc>
        <w:tc>
          <w:tcPr>
            <w:tcW w:w="2125" w:type="dxa"/>
          </w:tcPr>
          <w:p w14:paraId="3F3846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но в связи</w:t>
            </w:r>
          </w:p>
        </w:tc>
      </w:tr>
      <w:tr w:rsidR="00643896" w:rsidRPr="00640820" w14:paraId="5531D9A8" w14:textId="77777777" w:rsidTr="000D3BCB">
        <w:tc>
          <w:tcPr>
            <w:tcW w:w="867" w:type="dxa"/>
          </w:tcPr>
          <w:p w14:paraId="49A282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7A78EC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0C1F01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327" w:type="dxa"/>
          </w:tcPr>
          <w:p w14:paraId="1C8D3D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89" w:type="dxa"/>
          </w:tcPr>
          <w:p w14:paraId="7169EA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70" w:type="dxa"/>
          </w:tcPr>
          <w:p w14:paraId="07558D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24" w:type="dxa"/>
          </w:tcPr>
          <w:p w14:paraId="782E14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1" w:type="dxa"/>
          </w:tcPr>
          <w:p w14:paraId="1ACD4F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5" w:type="dxa"/>
          </w:tcPr>
          <w:p w14:paraId="517A20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перебазировкой завода</w:t>
            </w:r>
          </w:p>
        </w:tc>
      </w:tr>
      <w:tr w:rsidR="00643896" w:rsidRPr="00640820" w14:paraId="2FE726D6" w14:textId="77777777" w:rsidTr="000D3BCB">
        <w:tc>
          <w:tcPr>
            <w:tcW w:w="867" w:type="dxa"/>
          </w:tcPr>
          <w:p w14:paraId="7477E4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36827C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46FFF9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327" w:type="dxa"/>
          </w:tcPr>
          <w:p w14:paraId="651376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89" w:type="dxa"/>
          </w:tcPr>
          <w:p w14:paraId="36A570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70" w:type="dxa"/>
          </w:tcPr>
          <w:p w14:paraId="03E611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24" w:type="dxa"/>
          </w:tcPr>
          <w:p w14:paraId="2C4542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1" w:type="dxa"/>
          </w:tcPr>
          <w:p w14:paraId="781A08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5" w:type="dxa"/>
          </w:tcPr>
          <w:p w14:paraId="19D588A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внедрение в серию</w:t>
            </w:r>
          </w:p>
        </w:tc>
      </w:tr>
      <w:tr w:rsidR="00643896" w:rsidRPr="00640820" w14:paraId="7D812C48" w14:textId="77777777" w:rsidTr="000D3BCB">
        <w:tc>
          <w:tcPr>
            <w:tcW w:w="867" w:type="dxa"/>
          </w:tcPr>
          <w:p w14:paraId="51C9A8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406057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4B0F06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327" w:type="dxa"/>
          </w:tcPr>
          <w:p w14:paraId="1A6F664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89" w:type="dxa"/>
          </w:tcPr>
          <w:p w14:paraId="3EB429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70" w:type="dxa"/>
          </w:tcPr>
          <w:p w14:paraId="2097E7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24" w:type="dxa"/>
          </w:tcPr>
          <w:p w14:paraId="7EA4D5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1" w:type="dxa"/>
          </w:tcPr>
          <w:p w14:paraId="1499BF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5" w:type="dxa"/>
          </w:tcPr>
          <w:p w14:paraId="695F06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прекращено.</w:t>
            </w:r>
          </w:p>
        </w:tc>
      </w:tr>
      <w:tr w:rsidR="00643896" w:rsidRPr="00640820" w14:paraId="7BAB9687" w14:textId="77777777" w:rsidTr="000D3BCB">
        <w:tc>
          <w:tcPr>
            <w:tcW w:w="867" w:type="dxa"/>
          </w:tcPr>
          <w:p w14:paraId="5F8CB9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ЦИАМ</w:t>
            </w:r>
          </w:p>
        </w:tc>
        <w:tc>
          <w:tcPr>
            <w:tcW w:w="867" w:type="dxa"/>
          </w:tcPr>
          <w:p w14:paraId="34B41F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М105ПТ</w:t>
            </w:r>
          </w:p>
        </w:tc>
        <w:tc>
          <w:tcPr>
            <w:tcW w:w="867" w:type="dxa"/>
          </w:tcPr>
          <w:p w14:paraId="7D25F1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1940</w:t>
            </w:r>
          </w:p>
        </w:tc>
        <w:tc>
          <w:tcPr>
            <w:tcW w:w="2327" w:type="dxa"/>
          </w:tcPr>
          <w:p w14:paraId="33B982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Экспериментально отработан</w:t>
            </w:r>
          </w:p>
        </w:tc>
        <w:tc>
          <w:tcPr>
            <w:tcW w:w="689" w:type="dxa"/>
          </w:tcPr>
          <w:p w14:paraId="6ECCE0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мая</w:t>
            </w:r>
          </w:p>
        </w:tc>
        <w:tc>
          <w:tcPr>
            <w:tcW w:w="870" w:type="dxa"/>
          </w:tcPr>
          <w:p w14:paraId="44D1EB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24" w:type="dxa"/>
          </w:tcPr>
          <w:p w14:paraId="4444B9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61" w:type="dxa"/>
          </w:tcPr>
          <w:p w14:paraId="1B8BB8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2125" w:type="dxa"/>
          </w:tcPr>
          <w:p w14:paraId="5A3343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Мотор подготовлен к 50</w:t>
            </w:r>
          </w:p>
        </w:tc>
      </w:tr>
      <w:tr w:rsidR="00643896" w:rsidRPr="00640820" w14:paraId="0B0C051B" w14:textId="77777777" w:rsidTr="000D3BCB">
        <w:tc>
          <w:tcPr>
            <w:tcW w:w="867" w:type="dxa"/>
          </w:tcPr>
          <w:p w14:paraId="00BABA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1683F6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5F8458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327" w:type="dxa"/>
          </w:tcPr>
          <w:p w14:paraId="735349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опытный эземпляр.</w:t>
            </w:r>
          </w:p>
        </w:tc>
        <w:tc>
          <w:tcPr>
            <w:tcW w:w="689" w:type="dxa"/>
          </w:tcPr>
          <w:p w14:paraId="5D3D88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70" w:type="dxa"/>
          </w:tcPr>
          <w:p w14:paraId="1CBBA0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24" w:type="dxa"/>
          </w:tcPr>
          <w:p w14:paraId="6511E0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1" w:type="dxa"/>
          </w:tcPr>
          <w:p w14:paraId="79D3F7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5" w:type="dxa"/>
          </w:tcPr>
          <w:p w14:paraId="53B969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часовым зав. испытаниям.</w:t>
            </w:r>
          </w:p>
        </w:tc>
      </w:tr>
      <w:tr w:rsidR="00643896" w:rsidRPr="00640820" w14:paraId="3E0D97A5" w14:textId="77777777" w:rsidTr="000D3BCB">
        <w:tc>
          <w:tcPr>
            <w:tcW w:w="867" w:type="dxa"/>
          </w:tcPr>
          <w:p w14:paraId="672C9A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ЦИАМ</w:t>
            </w:r>
          </w:p>
        </w:tc>
        <w:tc>
          <w:tcPr>
            <w:tcW w:w="867" w:type="dxa"/>
          </w:tcPr>
          <w:p w14:paraId="35431FB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АМ-38</w:t>
            </w:r>
          </w:p>
        </w:tc>
        <w:tc>
          <w:tcPr>
            <w:tcW w:w="867" w:type="dxa"/>
          </w:tcPr>
          <w:p w14:paraId="6B23E1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1940</w:t>
            </w:r>
          </w:p>
        </w:tc>
        <w:tc>
          <w:tcPr>
            <w:tcW w:w="2327" w:type="dxa"/>
          </w:tcPr>
          <w:p w14:paraId="5A90E2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Экспериментально отработан</w:t>
            </w:r>
          </w:p>
        </w:tc>
        <w:tc>
          <w:tcPr>
            <w:tcW w:w="689" w:type="dxa"/>
          </w:tcPr>
          <w:p w14:paraId="033BC7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сент.</w:t>
            </w:r>
          </w:p>
        </w:tc>
        <w:tc>
          <w:tcPr>
            <w:tcW w:w="870" w:type="dxa"/>
          </w:tcPr>
          <w:p w14:paraId="2753641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24" w:type="dxa"/>
          </w:tcPr>
          <w:p w14:paraId="45332F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61" w:type="dxa"/>
          </w:tcPr>
          <w:p w14:paraId="57AC89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2125" w:type="dxa"/>
          </w:tcPr>
          <w:p w14:paraId="1127C7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октября мотор предъявл.</w:t>
            </w:r>
          </w:p>
        </w:tc>
      </w:tr>
      <w:tr w:rsidR="00643896" w:rsidRPr="00640820" w14:paraId="1F14AAE5" w14:textId="77777777" w:rsidTr="000D3BCB">
        <w:tc>
          <w:tcPr>
            <w:tcW w:w="867" w:type="dxa"/>
          </w:tcPr>
          <w:p w14:paraId="2A7F6A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7514A8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ТК-3</w:t>
            </w:r>
          </w:p>
        </w:tc>
        <w:tc>
          <w:tcPr>
            <w:tcW w:w="867" w:type="dxa"/>
          </w:tcPr>
          <w:p w14:paraId="349020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327" w:type="dxa"/>
          </w:tcPr>
          <w:p w14:paraId="1846E8E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опытный экземпляр.</w:t>
            </w:r>
          </w:p>
        </w:tc>
        <w:tc>
          <w:tcPr>
            <w:tcW w:w="689" w:type="dxa"/>
          </w:tcPr>
          <w:p w14:paraId="7360F7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70" w:type="dxa"/>
          </w:tcPr>
          <w:p w14:paraId="6A02C0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24" w:type="dxa"/>
          </w:tcPr>
          <w:p w14:paraId="06ACB0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1" w:type="dxa"/>
          </w:tcPr>
          <w:p w14:paraId="29FCFC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5" w:type="dxa"/>
          </w:tcPr>
          <w:p w14:paraId="696692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50-ти час. совместные</w:t>
            </w:r>
          </w:p>
        </w:tc>
      </w:tr>
      <w:tr w:rsidR="00643896" w:rsidRPr="00640820" w14:paraId="1BCB891A" w14:textId="77777777" w:rsidTr="000D3BCB">
        <w:tc>
          <w:tcPr>
            <w:tcW w:w="867" w:type="dxa"/>
          </w:tcPr>
          <w:p w14:paraId="76ECDC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77DB79C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39DB63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327" w:type="dxa"/>
          </w:tcPr>
          <w:p w14:paraId="3097D0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89" w:type="dxa"/>
          </w:tcPr>
          <w:p w14:paraId="4B2B83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70" w:type="dxa"/>
          </w:tcPr>
          <w:p w14:paraId="5F66B5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24" w:type="dxa"/>
          </w:tcPr>
          <w:p w14:paraId="02555C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1" w:type="dxa"/>
          </w:tcPr>
          <w:p w14:paraId="1FCCAD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5" w:type="dxa"/>
          </w:tcPr>
          <w:p w14:paraId="0A1D29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испытания.</w:t>
            </w:r>
          </w:p>
        </w:tc>
      </w:tr>
      <w:tr w:rsidR="00643896" w:rsidRPr="00640820" w14:paraId="25215357" w14:textId="77777777" w:rsidTr="000D3BCB">
        <w:tc>
          <w:tcPr>
            <w:tcW w:w="867" w:type="dxa"/>
          </w:tcPr>
          <w:p w14:paraId="6A5774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ЦИАМ</w:t>
            </w:r>
          </w:p>
        </w:tc>
        <w:tc>
          <w:tcPr>
            <w:tcW w:w="867" w:type="dxa"/>
          </w:tcPr>
          <w:p w14:paraId="383050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М-82 с</w:t>
            </w:r>
          </w:p>
        </w:tc>
        <w:tc>
          <w:tcPr>
            <w:tcW w:w="867" w:type="dxa"/>
          </w:tcPr>
          <w:p w14:paraId="308FED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1940</w:t>
            </w:r>
          </w:p>
        </w:tc>
        <w:tc>
          <w:tcPr>
            <w:tcW w:w="2327" w:type="dxa"/>
          </w:tcPr>
          <w:p w14:paraId="1C96EF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Экспериментально отработан</w:t>
            </w:r>
          </w:p>
        </w:tc>
        <w:tc>
          <w:tcPr>
            <w:tcW w:w="689" w:type="dxa"/>
          </w:tcPr>
          <w:p w14:paraId="65750E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ноябрь</w:t>
            </w:r>
          </w:p>
        </w:tc>
        <w:tc>
          <w:tcPr>
            <w:tcW w:w="870" w:type="dxa"/>
          </w:tcPr>
          <w:p w14:paraId="56A7B7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24" w:type="dxa"/>
          </w:tcPr>
          <w:p w14:paraId="7B3E23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61" w:type="dxa"/>
          </w:tcPr>
          <w:p w14:paraId="19F2C21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2125" w:type="dxa"/>
          </w:tcPr>
          <w:p w14:paraId="110C6F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Проведены 50 часовые</w:t>
            </w:r>
          </w:p>
        </w:tc>
      </w:tr>
      <w:tr w:rsidR="00643896" w:rsidRPr="00640820" w14:paraId="6E7ECA38" w14:textId="77777777" w:rsidTr="000D3BCB">
        <w:tc>
          <w:tcPr>
            <w:tcW w:w="867" w:type="dxa"/>
            <w:tcBorders>
              <w:bottom w:val="single" w:sz="12" w:space="0" w:color="auto"/>
            </w:tcBorders>
          </w:tcPr>
          <w:p w14:paraId="0A86EA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Borders>
              <w:bottom w:val="single" w:sz="12" w:space="0" w:color="auto"/>
            </w:tcBorders>
          </w:tcPr>
          <w:p w14:paraId="74E000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ТК-3</w:t>
            </w:r>
          </w:p>
        </w:tc>
        <w:tc>
          <w:tcPr>
            <w:tcW w:w="867" w:type="dxa"/>
            <w:tcBorders>
              <w:bottom w:val="single" w:sz="12" w:space="0" w:color="auto"/>
            </w:tcBorders>
          </w:tcPr>
          <w:p w14:paraId="5073B4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327" w:type="dxa"/>
            <w:tcBorders>
              <w:bottom w:val="single" w:sz="12" w:space="0" w:color="auto"/>
            </w:tcBorders>
          </w:tcPr>
          <w:p w14:paraId="01F209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опытный экземпляр.</w:t>
            </w:r>
          </w:p>
        </w:tc>
        <w:tc>
          <w:tcPr>
            <w:tcW w:w="689" w:type="dxa"/>
            <w:tcBorders>
              <w:bottom w:val="single" w:sz="12" w:space="0" w:color="auto"/>
            </w:tcBorders>
          </w:tcPr>
          <w:p w14:paraId="3D6430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70" w:type="dxa"/>
            <w:tcBorders>
              <w:bottom w:val="single" w:sz="12" w:space="0" w:color="auto"/>
            </w:tcBorders>
          </w:tcPr>
          <w:p w14:paraId="47A36C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24" w:type="dxa"/>
            <w:tcBorders>
              <w:bottom w:val="single" w:sz="12" w:space="0" w:color="auto"/>
            </w:tcBorders>
          </w:tcPr>
          <w:p w14:paraId="637E52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61" w:type="dxa"/>
            <w:tcBorders>
              <w:bottom w:val="single" w:sz="12" w:space="0" w:color="auto"/>
            </w:tcBorders>
          </w:tcPr>
          <w:p w14:paraId="003AC5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25" w:type="dxa"/>
            <w:tcBorders>
              <w:bottom w:val="single" w:sz="12" w:space="0" w:color="auto"/>
            </w:tcBorders>
          </w:tcPr>
          <w:p w14:paraId="69AB5F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испытания.</w:t>
            </w:r>
          </w:p>
        </w:tc>
      </w:tr>
    </w:tbl>
    <w:p w14:paraId="1120AE9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Срок сроков летных испытаний мотора М-82 был вызван следующими причинами:</w:t>
      </w:r>
    </w:p>
    <w:p w14:paraId="2DD5E3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Отсутствие доведенного по расходам топлива карбюратора АК-82БП.</w:t>
      </w:r>
    </w:p>
    <w:p w14:paraId="01984F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Неудовлетворительного качества моторов поставленных серийным производством для летных испытаний.</w:t>
      </w:r>
    </w:p>
    <w:p w14:paraId="4B34A5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Плохое качество моторов первого выпуска объясняется допущением технического произвола выразившимся в выпуске моторов в серийном производстве отличных от принятого эталона и небрежной сборки.</w:t>
      </w:r>
    </w:p>
    <w:p w14:paraId="3DB7D5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ОКБ завода N 24.</w:t>
      </w:r>
    </w:p>
    <w:p w14:paraId="5077D5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Тематика опытных работ.</w:t>
      </w:r>
    </w:p>
    <w:p w14:paraId="204209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Планом опытных работ ОКБ завода на 1941 г. были заданы следующие темы:</w:t>
      </w:r>
    </w:p>
    <w:p w14:paraId="20778C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Окончание доводки и сдача на гос. 100 часовые испытания мотора АМ-37.</w:t>
      </w:r>
    </w:p>
    <w:p w14:paraId="25661F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Срок выполнения 1.II-41 г.</w:t>
      </w:r>
    </w:p>
    <w:p w14:paraId="59C46C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Окончание доводки и сдача на совместные 50-ти часовые и гос. 100 час. испытания мотора Ам-38.</w:t>
      </w:r>
    </w:p>
    <w:p w14:paraId="5F7625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Срок выполнения:</w:t>
      </w:r>
    </w:p>
    <w:p w14:paraId="5287B4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Совместные 50-ти часовые испытания - 1.II.41 г.</w:t>
      </w:r>
    </w:p>
    <w:p w14:paraId="3B2BFD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Гос. 100 час. испытания - 1.VI-41 г.</w:t>
      </w:r>
    </w:p>
    <w:p w14:paraId="21AA47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Изготовление и сдача на гос. 100 часовые испытания нового мотора Ам-39:</w:t>
      </w:r>
    </w:p>
    <w:p w14:paraId="1C8CF9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Срок выполнения:</w:t>
      </w:r>
    </w:p>
    <w:p w14:paraId="67482B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совместные 50-ти часовые испытания - 1.VIII-41 г.</w:t>
      </w:r>
    </w:p>
    <w:p w14:paraId="56BE58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гос. 100 часовые испытания - 1.XII-41 г.</w:t>
      </w:r>
    </w:p>
    <w:p w14:paraId="5F5F2C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Изготовление и сдача на гос. 100 часовые испытания нового мотора Ам-37 у/в.</w:t>
      </w:r>
    </w:p>
    <w:p w14:paraId="614166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Срок выполнения:</w:t>
      </w:r>
    </w:p>
    <w:p w14:paraId="24F5CB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совместные 50-ти часовые испытания - 1.IX-41 г.</w:t>
      </w:r>
    </w:p>
    <w:p w14:paraId="048B18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гос. 100 часовые испытания - 1.XI-41 г.</w:t>
      </w:r>
    </w:p>
    <w:p w14:paraId="672C4E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5. Доводка совместно с ЦИАМ"ом и сдача на совместные 50-ти часовые испытания мотора Ам-38 ТК.</w:t>
      </w:r>
    </w:p>
    <w:p w14:paraId="29C93C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Срок выполнения - 1.I-42 г.</w:t>
      </w:r>
    </w:p>
    <w:p w14:paraId="281B69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Доводка и сдача на совместные 50-ти часовые испытания мотора Ам-35А Н.В.</w:t>
      </w:r>
    </w:p>
    <w:p w14:paraId="3EAE4C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Срок выполнения - 1.IX-41 г.</w:t>
      </w:r>
    </w:p>
    <w:p w14:paraId="3FBA90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мотору АМ-38.</w:t>
      </w:r>
    </w:p>
    <w:p w14:paraId="735536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Совместные 50-ти часовые испытания мотор Ам-38 прошел в феврале 1941 г.</w:t>
      </w:r>
    </w:p>
    <w:p w14:paraId="272BA9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совместных и длительных заводских испытаниях были вскрыты следующие основные дефекты мотора:</w:t>
      </w:r>
    </w:p>
    <w:p w14:paraId="50FF79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прогар клапанов выхлопа;</w:t>
      </w:r>
    </w:p>
    <w:p w14:paraId="73E82A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Недостаточная жесткость головки и рубашки блока, а также неудовлетворительная циркуляция воды;</w:t>
      </w:r>
    </w:p>
    <w:p w14:paraId="2CAEE8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Трещины в опорах верхнего картера;</w:t>
      </w:r>
    </w:p>
    <w:p w14:paraId="4D2C0C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Трещины по проушинам шатунов;</w:t>
      </w:r>
    </w:p>
    <w:p w14:paraId="2DF58E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 Задир поршней и поломка перемычек между поршневыми кольцами и др.</w:t>
      </w:r>
    </w:p>
    <w:p w14:paraId="406456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основе анализа указанных дефектов и проведенных экспериментально доводочных работ были внедрены следующие конструктивные изменения обеспечившие 100 часовую надежную работу мотора:</w:t>
      </w:r>
    </w:p>
    <w:p w14:paraId="645AA4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Клапан выпуска, для улучшения теплоотвода от грибка к направляющей, имеет увеличенный до 22 мм диаметр штока вместо 18 и увеличенный до 27 см куб. объем натрия вместо 13,5 см куб.</w:t>
      </w:r>
    </w:p>
    <w:p w14:paraId="046719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Увеличена жесткость головки блока за счет утолщения стенок камеры сгорания - верхних с 2-х мм до 4 мм и боковых до 3,5 мм. Кроме того, толщина стенка головки со стороны выхлопа на 3 мм и со стороны всасывания, на 1,5 мм.</w:t>
      </w:r>
    </w:p>
    <w:p w14:paraId="023BB6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головке применен сплав 6340, вместо ранее применявшем сплава "У".</w:t>
      </w:r>
    </w:p>
    <w:p w14:paraId="47C3A0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Для улучшения циркуляции воды в рубашке блока у 6 цилиндра добавлены 2 отверстия диаметром 11 мм. Для увеличения жесткости рубашки, стенки ее утолщены с 10 мм до 12 мм.</w:t>
      </w:r>
    </w:p>
    <w:p w14:paraId="36F267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Верхний картер усилен на 27%. Усилению подверглись: стенки опор подшипников, которые выполнены двойными и лапы крепления мотора к мотораме.</w:t>
      </w:r>
    </w:p>
    <w:p w14:paraId="0C8372F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Для устранения задира поршней и поломки перемычек увеличен диаметральный зазор между поршнем и гильзой цилиндра на 0,1 мм. Перемычка между двумя верхними кольцами усилена на 0,5 мм и др.</w:t>
      </w:r>
    </w:p>
    <w:p w14:paraId="29DE40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результате проведенных конструктивных улучшений - мотор АМ-38, в июне 1941 г., удовлетворительно прошел государственные 100 часовые испытания и внедрен в серийное производство.</w:t>
      </w:r>
    </w:p>
    <w:p w14:paraId="4E588A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мотору АМ-37.</w:t>
      </w:r>
    </w:p>
    <w:p w14:paraId="35B7D3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Мотор АМ-37 совместные 50-ти часовые испытания прошел в мае 1940 г. По мотору дважды устанавливались сроки государственных испытаний (1 августа 1940 г. и 1 февраля 1941 г.), но ввиду наличия тех же дефектов, которые были вскрыты и на моторе АМ-38, мотор государственных испытаний в указанные сроки не прошел.</w:t>
      </w:r>
    </w:p>
    <w:p w14:paraId="68269D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 как мотор АМ-37 отличается от мотора АМ-38 только передаточным числом и диаметром крыльчатки нагнетателя, внесение тех же конструктивных изменений, которые были осуществлены на моторе АМ-38, обеспечили 100 часовую надежную работу мотору АМ-37.</w:t>
      </w:r>
    </w:p>
    <w:p w14:paraId="2C87B7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июле мотор Ам-37 прошел 100 часовые государственные испытания и был внедрен в серийное производство.</w:t>
      </w:r>
    </w:p>
    <w:p w14:paraId="6D9658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Мотор АМ-38 и АМ-37 отработаны летными испытаниями на самолетах "ИЛ-2", "103" и МИГ-3.</w:t>
      </w:r>
    </w:p>
    <w:p w14:paraId="3BC096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Выявленные летными испытаниями дефекты устранены.</w:t>
      </w:r>
    </w:p>
    <w:p w14:paraId="666141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мотору АМ-39.</w:t>
      </w:r>
    </w:p>
    <w:p w14:paraId="3C27AA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Установленные сроки 50-ти часовых совместных и гос. испытаний ОКБ завода не выполнены.</w:t>
      </w:r>
    </w:p>
    <w:p w14:paraId="58C5B3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Созданная конструкция 2-х скоростного нагнетателя надежную работу мотора не обеспечила по причине горения фрикционного механизма нагнетателя. Нагнетатель переконструирован и проходит доводочные испытания.</w:t>
      </w:r>
    </w:p>
    <w:p w14:paraId="33792B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мотору Ам-37 у/в.</w:t>
      </w:r>
    </w:p>
    <w:p w14:paraId="4A803A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Установленные сроки 50-ти часовых совместных и гос. испытаний ОКБ завода не выполнены. Изготовленный образец мотора был передан на завод N 301, где производилась компоновка винтомоторной группы. За отсутствием спец. балансирного станка мотор заводской доводке не подвергался. На самолетной установке мотор также не испытан.</w:t>
      </w:r>
    </w:p>
    <w:p w14:paraId="344BDD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мотору АМ-38 ТК.</w:t>
      </w:r>
    </w:p>
    <w:p w14:paraId="5D7D37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с.г. мотор передан ЦИАМ"у для предъявления на совместные 50-ти часовые испытания. Работы проводились в ЦИАМ"е.</w:t>
      </w:r>
    </w:p>
    <w:p w14:paraId="27C974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мотору АМ-35А Н.В.</w:t>
      </w:r>
    </w:p>
    <w:p w14:paraId="76915A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Установленный срок совместных 50-ти часовых испытаний не выполнен. Отработка мотора с "НВ" проводилась ЦИАМ (см. отчет ЦИАМ).</w:t>
      </w:r>
    </w:p>
    <w:p w14:paraId="415504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Общие выводы.</w:t>
      </w:r>
    </w:p>
    <w:p w14:paraId="759C50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В 1941 г. ОКБ завода N 24 добилось значительных успехов закончив доводку моторов АМ-37 и АМ-38, внедрение их в серийное производство и эксплуатации на новых самолетах: МИГ-3, Ил-2 и самолете 103.</w:t>
      </w:r>
    </w:p>
    <w:p w14:paraId="08D43E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Наряду с бесспорными достижениями по опытным объектам, завод N 24 имеет и ряд недостатков в работе:</w:t>
      </w:r>
    </w:p>
    <w:p w14:paraId="517774C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завод затянул доводку мотора АМ-37 не сумев своевременно вскрыть дефекты мотора и наметить правильные конструктивные изменения для их устранения.</w:t>
      </w:r>
    </w:p>
    <w:p w14:paraId="6EC714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ОКБ завода игнорировало опыт других заводов и институтов, вследствие чего до сего времени моторы завода выходят с односкоростным нагнетателем снижая данные мотора.</w:t>
      </w:r>
    </w:p>
    <w:p w14:paraId="66735D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КБ завода недооценивало поэлементную отработку мотора и экспериментальные работы, по этой причине дефекты на моторе тянулись годами т.к. доводились на целом моторе.</w:t>
      </w:r>
    </w:p>
    <w:p w14:paraId="72D591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Главный конструктор не занимался развитием опытно-экспериментальной базы. Ряд заводов напр.: N 26; 19; 29 уже в 1940 году имели значительно развитые опытные базы, а на заводе N 24 только в 1940 г. было приступлено к их строительству и оборудованию.</w:t>
      </w:r>
    </w:p>
    <w:p w14:paraId="062C31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ОКБ завода имея крупных дефектов по основному мотору, не устранив их, приступило к проектированию и доводке мотора АМ-36. Это отвлекало КБ от доводки основной семьи моторов АМ-35, приводило к срыву сроков по этим моторам и не могло дать практических результатов по мотору АМ-36.</w:t>
      </w:r>
    </w:p>
    <w:p w14:paraId="686144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связи с этим, и крупными конструктивными дефектами, обнаруженными при доводке, мотор АМ-36 пришлось законсервировать.</w:t>
      </w:r>
    </w:p>
    <w:p w14:paraId="768D47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Лаборатория и испытательная станция ОКБ также имеют ряд установок: 2 стенда; установку для испытания нагнетателей, установки для испытания агрегатов, установку ВОКЕШ и др. установки позволяющие проводить поэлементную отработку отдельных узлов мотора. Заводу и ОКБ необходимо форсировать изготовление первой опытной партии моторов.</w:t>
      </w:r>
    </w:p>
    <w:p w14:paraId="250390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ОКБ з-да N 29.</w:t>
      </w:r>
    </w:p>
    <w:p w14:paraId="14D0A0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постановлением Правительства и приказом наркома N 460сс от 20.V.с.г. завод N 29 должен был закончить в 1941 г. следующие работы:</w:t>
      </w:r>
    </w:p>
    <w:p w14:paraId="22A9F5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Провести 100 часовые государственные испытания мотора М90 в ноябре 1941 г., выпустить 100 моторов и подготовить к 1 января 1942 г. серийный выпуск мотора.</w:t>
      </w:r>
    </w:p>
    <w:p w14:paraId="6D3A9B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Провести государственное испытание мотора М89 к 15 июля 1941 г.</w:t>
      </w:r>
    </w:p>
    <w:p w14:paraId="7C5C98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Провести 100 часовое испытание мотора М89 с насосом непосредственного впрыска топлива к 15 августа 1941 г.</w:t>
      </w:r>
    </w:p>
    <w:p w14:paraId="075043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Выполнение плана заводом:</w:t>
      </w:r>
    </w:p>
    <w:p w14:paraId="2D44C2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мотору М-90.</w:t>
      </w:r>
    </w:p>
    <w:p w14:paraId="41F96FB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Мотор М-90.</w:t>
      </w:r>
    </w:p>
    <w:p w14:paraId="19400A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Мотор М-90, ввиду ненадежной силовой схемы (поломки коленчатого вала и шатунов), неудовлетворительной работы цилиндровой группы (прогар поршней и недобор мощности) и неудовлетворительной работы нагнетателя и промежуточной крышки, был подвергнут коренному переконструированию в первом квартале 1941 г.</w:t>
      </w:r>
    </w:p>
    <w:p w14:paraId="48D2AD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Были переконструированы: а) коленчатый вал - проведено его усиление и передняя опора выполнена по схеме М85.</w:t>
      </w:r>
    </w:p>
    <w:p w14:paraId="555E67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Переконструирована цилиндровая группа - выхлоп цилиндров передней звезды направлен назад, увеличено оребрение цилиндров, улучшена гидравлика и улучшена конструкция поршня с применением конических поршневых колец.</w:t>
      </w:r>
    </w:p>
    <w:p w14:paraId="21B91B9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Промежуточная крышка - закреплена наглухо к картеру стальными шпильками, корпус нагнетателя сделан разъемным.</w:t>
      </w:r>
    </w:p>
    <w:p w14:paraId="556372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Переконструированы муфты первой и второй скорости нагнетателя.</w:t>
      </w:r>
    </w:p>
    <w:p w14:paraId="6326B7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Это переконструирование позволило уменьшить диаметр мотора до 1280 мм и удлинить носок редуктора.</w:t>
      </w:r>
    </w:p>
    <w:p w14:paraId="5F4809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Первые экземпляры этого мотора были изготовлены в июле 1941 г. Мотор развил на испытании заданные мощности и прошел 50 часовое заводское испытание.</w:t>
      </w:r>
    </w:p>
    <w:p w14:paraId="69AF55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Задержка в доводке мотора произошла вследствие срыва сроков изготовления первых опытных образцов и совершенно неудовлетворительной работы карбюратора АК90 б/п, который не обеспечивал заданных расходов, не обеспечивал стабильности расходов топлива при заданной регулировке и имел другие дефекты.</w:t>
      </w:r>
    </w:p>
    <w:p w14:paraId="06693C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Основная же причина, которая обусловила срыв сроков, заключается в том, что в начале августа было решено перебазировать завод, что привело к прекращению доводки мотора на несколько месяцев (август-ноябрь 1941 г.).</w:t>
      </w:r>
    </w:p>
    <w:p w14:paraId="0E43C5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Для отработки винтомоторных групп на самолетах Поликарпова, Кочерыгина и Сухого были выделены работающие макеты и по одному летному мотору с ресурсом работы - 25 час.</w:t>
      </w:r>
    </w:p>
    <w:p w14:paraId="59039E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Отработка винтомоторных групп на земле закончена и самолеты подготовлены (в основном) к заводским летным испытаниям.</w:t>
      </w:r>
    </w:p>
    <w:p w14:paraId="7AECD2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мотору М-89.</w:t>
      </w:r>
    </w:p>
    <w:p w14:paraId="6A4176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Постановление правительства и приказа наркома по мотору М89 - выполнены в срок. Мотор прошел государственные испытания на установленных данных, т.е. Ne=1300 Л.С.; Nc=1250 л.с.; Н=3500 м и Nе=1150 л.с. Н=5750 м.</w:t>
      </w:r>
    </w:p>
    <w:p w14:paraId="6C6872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Так же проведены в срок и 50 часовые совместные испытания мотора М89 с насосом непосредственного впрыска топлива. Насос типа "Деккель" производства з-да N 296.</w:t>
      </w:r>
    </w:p>
    <w:p w14:paraId="7DF71F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Мотор М89 прошел заводские летные испытания на самолете ДБ-3Ф на заводе N 29 и на самолете Су-2 на заводе N 135.</w:t>
      </w:r>
    </w:p>
    <w:p w14:paraId="0C6F90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мотор М-89 прошел государственное испытание на самолете ТБ-3.</w:t>
      </w:r>
    </w:p>
    <w:p w14:paraId="2EF97B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Учитывая, что по своим данным мотор М89 отставал от некоторых современных моторов, и что произведенные конструктивные изменения позволяют дальнейшее форсирование мотора, заводом в качестве инициативной темы были проведены испытания при которых получены следующие данные:</w:t>
      </w:r>
    </w:p>
    <w:p w14:paraId="33F5C1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Nвзлет.=1600 л.с.</w:t>
      </w:r>
    </w:p>
    <w:p w14:paraId="76010F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Nе нI=1450 л.с.; Н=2000 м</w:t>
      </w:r>
    </w:p>
    <w:p w14:paraId="21B2E8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Nе нII=1300 л.с.; Н=5000 м.</w:t>
      </w:r>
    </w:p>
    <w:p w14:paraId="679470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Расход топлива на крейсерском режиме 200-205 гр/л.с.ч.</w:t>
      </w:r>
    </w:p>
    <w:p w14:paraId="449ED9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Это увеличение мощности было получено за счет некоторого уменьшения высотности, увеличения степени сжатия и улучшения наполнения за счет увеличения клапана выхлопа (сечение в свету) и улучшения гидравлики цилиндра.</w:t>
      </w:r>
    </w:p>
    <w:p w14:paraId="1D01C4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Остальные конструктивные изменения сводились к упрочнению некоторых деталей, напр.: передней и задней промежуточных крышек.</w:t>
      </w:r>
    </w:p>
    <w:p w14:paraId="67D917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этих данных в июле 1941 г. мотор прошел два 50-ти часовых заводских испытания: одно с карбюратором и второе с насосом непосредственного впрыска топлива.</w:t>
      </w:r>
    </w:p>
    <w:p w14:paraId="0E79F3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В соответствии с указанием КО и приказом наркома от 22.VIII-41 г. N 799с заводу было предложено мотор М89 в серийное производство не запускать, а довести мотор М89Б до 100 часового ресурса и провести государственное испытание к 15 декабря 1941 г.</w:t>
      </w:r>
    </w:p>
    <w:p w14:paraId="7782C7E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Мотор был предъявлен в сентябре на 50 часовое совместное испытание в ЦИАМ, которое не было закончено ввиду перебазирования ЦИАМ.</w:t>
      </w:r>
    </w:p>
    <w:p w14:paraId="6F3C30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Перебазирование завода и ЦИАМ отодвигают сроки окончания государственных испытаний на 2 - 3 месяца.</w:t>
      </w:r>
    </w:p>
    <w:p w14:paraId="732160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На самолете Су-2 приступлено к заводским летным испытаниям мотора М89Б. Сделано 5 полетов до высоты 5000м. Мотор работает хорошо.</w:t>
      </w:r>
    </w:p>
    <w:p w14:paraId="6284F4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Произведенные экспериментальные исследования дают основание ожидать дальнейшего повышения прироста мощности во втором полугодии 1942 г. еще на 5-6% за счет улучшения гидравлики и повышения оборотов мотора, т.е. получить на моторе:</w:t>
      </w:r>
    </w:p>
    <w:p w14:paraId="21B22C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Nе взл.=1700 л.с.</w:t>
      </w:r>
    </w:p>
    <w:p w14:paraId="4B6149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Nе нI=1550 л.с.; Н=2000 м</w:t>
      </w:r>
    </w:p>
    <w:p w14:paraId="6E6070E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Nе нII=1400 л.с.; Н=5200 м.</w:t>
      </w:r>
    </w:p>
    <w:p w14:paraId="04D87A1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Причины срыва сроков по опытным объектам.</w:t>
      </w:r>
    </w:p>
    <w:p w14:paraId="7FD121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некоторых объективных причин обусловивших невыполнение плана опытных работ, технических трудностей встретившихся при доводке моторов, особенно М90. на сроках доводки отразились и ряд организационных недостатков имевших место в работе КБ и завода;</w:t>
      </w:r>
    </w:p>
    <w:p w14:paraId="14F253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Главный инженер Авраменко и ряд конструкторов по мотору М-90 упорно тормозили работу по переконструированию мотора М-90 пытаясь доводить его в старой схеме. Это отражалось на ходе доводки, особенно на изготовлении первой партии переконструированных моторов, причем в место выхода первого мотора на испытания 1 июня 1941 г., мотор был изготовлен только к 15 июля с опозданием на 1 1/2 м-це по вине серийных цехов.</w:t>
      </w:r>
    </w:p>
    <w:p w14:paraId="2F84B5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Главный конструктор, в первый период работы, не всегда правильно давал решения по устранению выявленных дефектов, поэтому в производство шло много случайных, мало продуманных вариантов напр.: недостаточное усиление промежуточных крышек мотора М89, главных шатунов и др.</w:t>
      </w:r>
    </w:p>
    <w:p w14:paraId="1126C4C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Ряд имевших место в эксплуатации существенных дефектов на моторе М-88 как-то: повышенный расход масла, разрушение муфты второй скорости нагнетателя, неудовлетворительная работа карбюратора, требовали значительного внимания со стороны констр. отдела, отвлекая работников от выполнения основного плана опытных работ.</w:t>
      </w:r>
    </w:p>
    <w:p w14:paraId="1756F8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На заводе N 29 очень долго сохранялись традиции доводить детали и узлы моторов на целом моторе. Поэлементная отработка игнорировалась. Отработка нового цилиндра мотора М89Б, когда была исследована гидравлика головки цилиндра на специальной установке и гидравлика нагнетателя, дали разительные результаты: взлетная мощность мотора была увеличена с 1300 л.с. до 1600 л.с. без повышения наддува и оборотов.</w:t>
      </w:r>
    </w:p>
    <w:p w14:paraId="7E809A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Проведение торсиографирования мотора М90 дало возможность устранить поломку коленчатого вала и найти правильное решение по повышению его жесткости.</w:t>
      </w:r>
    </w:p>
    <w:p w14:paraId="26A6D7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Опыт поэлементной отработки опытных деталей и узлов нужно всемерно развивать на заводе и дальше.</w:t>
      </w:r>
    </w:p>
    <w:p w14:paraId="69B3D8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III. По ЦИАМ"у.</w:t>
      </w:r>
    </w:p>
    <w:p w14:paraId="3397E8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По мотору М-105ПД (двухступенчатым нагнетателем).</w:t>
      </w:r>
    </w:p>
    <w:p w14:paraId="65C535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Мотор М-105 ПД создан на базе серийного мотора М-105П с заменой серийного нагнетателя - двухступенчатым нагнетателем с турбомуфтами.</w:t>
      </w:r>
    </w:p>
    <w:p w14:paraId="59AF7D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сравнении с серийным мотором М-105П, мотор М-105ПД имеет преимущество по мощности и высотности:</w:t>
      </w:r>
    </w:p>
    <w:p w14:paraId="3C7CF5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взлетная мощность больше на 70 л.с. (6,4%).</w:t>
      </w:r>
    </w:p>
    <w:p w14:paraId="20E25A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Номинальная мощность на расчетной высоте,</w:t>
      </w:r>
    </w:p>
    <w:p w14:paraId="26AC6E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ступени (2000 м больше на 100 л.с.) 9,1%),</w:t>
      </w:r>
    </w:p>
    <w:p w14:paraId="401872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Номинальная мощность на расчетной высоте (2 ступени) 6000 м больше на 250 л.с. (31%).</w:t>
      </w:r>
    </w:p>
    <w:p w14:paraId="04F538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Применение турбомуфт в приводе нагнетателя обеспечивает изменение мощности между расчетными высотами 1-й и 2-й ступени....</w:t>
      </w:r>
    </w:p>
    <w:p w14:paraId="4E82DA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V. По винтостроению.</w:t>
      </w:r>
    </w:p>
    <w:p w14:paraId="0D00B6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Учитывая быстрый рост отечественной и заграничной авиации и возросшие требования ее к воздушным винтам, тематический план опытных работ на 1941 г. поставил перед конструкторами задачу направленную на создание и исследование специальных воздушных винтов для обеспечения истребительной и бомбардировочной авиации винтами. С этой целью в тематический план конструкторских бюро были включены электромеханические, гидромеханические и 4-х и 6-ти лопастные винты, с флюгерами и реверсивными свойствами, под моторы мощностью 1500-3000 л.с., а также соосные винты.</w:t>
      </w:r>
    </w:p>
    <w:p w14:paraId="6F5A78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ОКБ комбината 150.</w:t>
      </w:r>
    </w:p>
    <w:p w14:paraId="7CD831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Винт АВ-7.</w:t>
      </w:r>
    </w:p>
    <w:p w14:paraId="0CE63E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3-х лопастной гидромеханический винт постоянных оборотов с установкой лопастей во флюгерное положение, под моторы М-90, М-71 и М-120.</w:t>
      </w:r>
    </w:p>
    <w:p w14:paraId="77FFC9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Срок окончания государственного испытания по плану 1.Х.41 г.</w:t>
      </w:r>
    </w:p>
    <w:p w14:paraId="2AD176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Винт АВ-7 был спроектирован в двух вариантах, отличающиеся в конструкции цилиндровой группы. В результате заводских испытаний была отработана окончательная схема винта и изготовлено 5 шт. опытных образцов, из которых: 1 винт подготовлен для летных и государственных испытаний и остальные 4 винта для испытаний моторов. Срок окончания государственного испытания не выдержан. Причиной невыполнения плана частично являлось отсутствием мотора для отработки и заводского испытания винта и отсутствие специальной электроаппаратуры для ввода и вывода винта во флюгерное положение. Окончание темы должно перейти на 1942 год.</w:t>
      </w:r>
    </w:p>
    <w:p w14:paraId="40CC55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Винт АВ-9. 4-х лопастной гидромеханический винт постоянных оборотов с диапазоном поворота лопастей в 35 градусов под моторы мощностью до 2000 л.с.</w:t>
      </w:r>
    </w:p>
    <w:p w14:paraId="7A010B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Срок окончания гос. стендового испытания по плану 25.VIII-41 г. Винт АВ-9 был спроектирован, изготовлен и прошел 50-ти часовое заводское испытание на моторе М-90 и в сентябре был подготовлен для проведения гос. испытания.</w:t>
      </w:r>
    </w:p>
    <w:p w14:paraId="151E16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для проверки аэродинамики и улучшения взлетных качеств самолетов было изготовлено 5 винтов АВ-9 для самолета Миг-3 с мотором М-82, Пе-2 с мотором М-105 и 102у с мотором М-120.</w:t>
      </w:r>
    </w:p>
    <w:p w14:paraId="3E59AD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Эта в срок не выполнена. Причиной задержки являлось отсутствие специальных штамповок и задержка испытания моторным заводом. К концу 1941 г. эта тема должна быть закончена.</w:t>
      </w:r>
    </w:p>
    <w:p w14:paraId="115314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Винт АВ-8.</w:t>
      </w:r>
    </w:p>
    <w:p w14:paraId="3B4403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3-х лопастный гидромеханический винт постоянных оборотов с установкой лопастей во флюгерное и реверсивное положение.</w:t>
      </w:r>
    </w:p>
    <w:p w14:paraId="3B5668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Тема должна закончиться заводским испытаниям 1.XII-41 г.</w:t>
      </w:r>
    </w:p>
    <w:p w14:paraId="7CE15D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Эта тема не выполнена, до настоящего времени винт находится в стадии проектирования.</w:t>
      </w:r>
    </w:p>
    <w:p w14:paraId="6CBA03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Винт АВ-20.</w:t>
      </w:r>
    </w:p>
    <w:p w14:paraId="372D9C8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3-х лопастной гидромеханический винт постоянных оборотов с установкой лопастей во флюгерное положение.</w:t>
      </w:r>
    </w:p>
    <w:p w14:paraId="6BDBF7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Срок окончания заводского испытания по плану 1.XII-41 г.</w:t>
      </w:r>
    </w:p>
    <w:p w14:paraId="70AE57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Эта тема в срок не выполнена, до настоящего времени винт находится в стадии проектирования.</w:t>
      </w:r>
    </w:p>
    <w:p w14:paraId="6B6CF36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Тема была дана как экспериментальная для предварительного изучения схемы винта в 1941 г. и ее невыполнение в срок не отразится на обеспечении самолетов винтами.</w:t>
      </w:r>
    </w:p>
    <w:p w14:paraId="4DC198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Винт АВ-5 с.л.</w:t>
      </w:r>
    </w:p>
    <w:p w14:paraId="16F4B2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3-х лопастной гидромеханический винт постоянных оборотов со стальными полыми лопастями.</w:t>
      </w:r>
    </w:p>
    <w:p w14:paraId="445F74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Тема переходящая с 1940 г. должна закончиться по плану заводским испытанием.</w:t>
      </w:r>
    </w:p>
    <w:p w14:paraId="1D0C67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Проводимая работа с винтом с пустотелыми стальными лопастями начатая в 1940 г., до сих пор не дала положительных результатов.</w:t>
      </w:r>
    </w:p>
    <w:p w14:paraId="7FE09C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Лопасти, изготовленные методом сварки двух отдельно штампованных половинок при испытании на стенде давали трещины в местах сварки. После этого было решено изготовить лопасти целыми из специальных конических трубных штамповок, для этой цели на заводах Ленина и Энгельса в Днепропетровске в течение 4-5 месяцев изготовлялись слитки, штампы и конические трубные штамповки, которые не удалось получить из-за эвакуации заводов. Поэтому тема осталась невыполненной.</w:t>
      </w:r>
    </w:p>
    <w:p w14:paraId="66E737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Внеплановые работы.</w:t>
      </w:r>
    </w:p>
    <w:p w14:paraId="4F4302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выполнения тематического плана ОКБ комбината 150 в значительной степени было загружено внеплановой работой по выполнению приказов Наркома и распоряжений 8-го главного управления.</w:t>
      </w:r>
    </w:p>
    <w:p w14:paraId="58B4CF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Внеплановая работа состояла из:</w:t>
      </w:r>
    </w:p>
    <w:p w14:paraId="2B8A42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Подбора новых винтов к серийным самолетам с целью улучшения взлетных качеств самолетов.</w:t>
      </w:r>
    </w:p>
    <w:p w14:paraId="721FC4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Подбора новых винтов к серийным самолетам Миг-3, Ил-2, Су-2 и др., вследствие перевода последних на эксплуатацию с новыми моторами.</w:t>
      </w:r>
    </w:p>
    <w:p w14:paraId="47BC3B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Выполнения приказа N 176с о проведении сравнительных летных испытаний самолетов Миг-3, Пе-2, Лагг-3 и Як-1 с серийными винтами ВИШ-61 и ВИШ-105 с несколькими вариантами лопастей.</w:t>
      </w:r>
    </w:p>
    <w:p w14:paraId="1B4004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Изготовлено 5 новых винтов АВ-10 под мотор М-107 с носком вала по ст. N 8, два винта сейчас проходят на моторе М-107 испытание.</w:t>
      </w:r>
    </w:p>
    <w:p w14:paraId="01E98A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Проведена работа по замене дефицитных цветных материалов деталей втулки винта и кожи для уплотнительных манжет.</w:t>
      </w:r>
    </w:p>
    <w:p w14:paraId="777D8C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Ведется проектирование нового винта для мотора М-32.</w:t>
      </w:r>
    </w:p>
    <w:p w14:paraId="267272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Изготовлено большое количество винтов с различными лопастями для испытания опытных самолетов Миг-9, Ил-4, Су-6, 102, 103у, Ер-2, И-185 и др.</w:t>
      </w:r>
    </w:p>
    <w:p w14:paraId="0F8FC3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ОКБ N 1 завода N 28.</w:t>
      </w:r>
    </w:p>
    <w:p w14:paraId="193BD7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Винт ВИШ-62.</w:t>
      </w:r>
    </w:p>
    <w:p w14:paraId="27CAA9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3-х лопастной гидромеханический винт постоянных оборотов с установкой лопастей во флюгерное положение под моторы М-105П и М-107П.</w:t>
      </w:r>
    </w:p>
    <w:p w14:paraId="24CEBD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Тема должна закончиться государственным испытанием винта 1.XI.41 г.</w:t>
      </w:r>
    </w:p>
    <w:p w14:paraId="2A46DE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Винт ВИШ-62 спроектирован и изготовлено около 10 опытных образцов с различными лопастями для летных испытаний самолетов завода N 156.</w:t>
      </w:r>
    </w:p>
    <w:p w14:paraId="7BE54D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Проведено заводское испытание винта и длительная наработка на моторе М-105 П, для проверки прочности винта.</w:t>
      </w:r>
    </w:p>
    <w:p w14:paraId="26CF8D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настоящее время винт ВИШ-62 подготавливается для гос. стендовых испытаний. Тема с небольшим опозданием будет выполнена.</w:t>
      </w:r>
    </w:p>
    <w:p w14:paraId="037BBC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Винт ВИШ-70.</w:t>
      </w:r>
    </w:p>
    <w:p w14:paraId="3CF5CEF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4-х лопастной гидромеханический винт постоянных оборотов с установкой лопастей во флюгерное положение и второй вариант этого винта с установкой лопастей в положение реверса.</w:t>
      </w:r>
    </w:p>
    <w:p w14:paraId="3D11C6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Тема должна закончиться по плану заводским испытанием 1.XI.41 г.</w:t>
      </w:r>
    </w:p>
    <w:p w14:paraId="6E0298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Проектные работы закончены обеих вариантов. Винт с флюгерным свойством находится в изготовлении - готовность 60%. Винт с реверсивным свойством находится в окончательной стадии производства. Тема с опозданием будет выполнена.</w:t>
      </w:r>
    </w:p>
    <w:p w14:paraId="74A538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Внеплановые работы.</w:t>
      </w:r>
    </w:p>
    <w:p w14:paraId="017601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выполнения тематического плана ОКБ N 1 было загружено внеплановой работой по доводке серийного винта ВИШ-61, изготовлением новых лопастей для самолетов Пе-2, Як-1, Лагг-3, 102, 103 и изысканию наилучшего профиля лопасти для повышения КПД винта.</w:t>
      </w:r>
    </w:p>
    <w:p w14:paraId="2721E5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Спроектированы и изготовлены новые винты ВИШ-62 с флюгерным свойством под мотор М-107 с носком вала по стандарту N 8, которые в настоящее время проходят испытания на заводе N 26.</w:t>
      </w:r>
    </w:p>
    <w:p w14:paraId="5A669C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Также проведена большая работа по замене цветных металлов и замены кожи для уплотнительных манжет, в результате которой найден материал заменяющий кожу.</w:t>
      </w:r>
    </w:p>
    <w:p w14:paraId="2DA11E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настоящее время эти манжеты внедряются в серийное производство.</w:t>
      </w:r>
    </w:p>
    <w:p w14:paraId="192146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ОКБ N 2 завода N 28.</w:t>
      </w:r>
    </w:p>
    <w:p w14:paraId="2C98B7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N 2 Никифорова имело следующий тематический план:</w:t>
      </w:r>
    </w:p>
    <w:p w14:paraId="79D47B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ВЭМ-107 - электромеханический винт типа УДМ с регулятором постоянных оборотов и для моторов М-35, М-105 и М-107.</w:t>
      </w:r>
    </w:p>
    <w:p w14:paraId="679E41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ВЭМ-100. 4-х лопастной электромеханический винт к моторам 1400-2000 л.с.</w:t>
      </w:r>
    </w:p>
    <w:p w14:paraId="3D47EB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ВЭМ-102. Электромеханический винт с плавающими лопастями к моторам АМ-35А и М-105. По всем этим темам была развернута работа.</w:t>
      </w:r>
    </w:p>
    <w:p w14:paraId="0B1A6C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июня оборудование опытного цеха завода 28 было вывезено в г. Павлово для организации серийного завода N 467. В связи с ликвидацией на заводе N 28 опытной базы конструкторское бюро Никифорова было реорганизовано и ряд конструкторов были переведены в серийное производство заводов 28 и 467.</w:t>
      </w:r>
    </w:p>
    <w:p w14:paraId="0FB2AC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результате все опытные работы по указанным темам были закрыты. 21 июля КБ Никифорова)было восстановлено со штатом в 10 чел. и переведено на завод N 467 для доводки электромеханического винта ВЭМ-107 с регулятором пост. оборотов.</w:t>
      </w:r>
    </w:p>
    <w:p w14:paraId="549E7E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Эту работу Никифорову пришлось восстанавливать вновь и к настоящему моменту им проведено сравнительное испытание винта на стенде с регуляторами постоянных оборотов конструкции завода N 213, ЦИАМ и типа VDМ.</w:t>
      </w:r>
    </w:p>
    <w:p w14:paraId="5F6F0F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Ввиду эвакуации заводов закончить гос. испытание в указанный срок 1.Х не удалось. К концу 1941 г. работа должна быть закончена.</w:t>
      </w:r>
    </w:p>
    <w:p w14:paraId="42A1AC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ОКБ завода N 467.</w:t>
      </w:r>
    </w:p>
    <w:p w14:paraId="4F66AC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Винт ВИШ-201.</w:t>
      </w:r>
    </w:p>
    <w:p w14:paraId="31009B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5-ти лопастной пневмогидравлический винт к моторам мощностью 2000-3000 л.с. с флюгерным свойством. Тема должна закончиться заводским испытанием к 15.XII.</w:t>
      </w:r>
    </w:p>
    <w:p w14:paraId="7F67D0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Винт спроектирован и изготовлено 2 опытных образца. С 1.Х винт прошел испытание в трубе ЦАГИ и был установлен на самолет Ил-2 для летных испытаний. Испытание в трубе ЦАГИ показали хорошие результаты 6 лоп. винта увеличивающего тягу по сравнению с 3-х лоп. винтом на 40%.</w:t>
      </w:r>
    </w:p>
    <w:p w14:paraId="4CB435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Винт ВИШ-202.</w:t>
      </w:r>
    </w:p>
    <w:p w14:paraId="3867D2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Соосный гидромеханический винт к мотору М-300. Тема должна закончиться заводским испытанием 1.Х. Винт изготовлен, но испытание задерживается из-за неготовности мотора.</w:t>
      </w:r>
    </w:p>
    <w:p w14:paraId="01FD1D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Винт ВИШ-204.</w:t>
      </w:r>
    </w:p>
    <w:p w14:paraId="666C7B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Соосный гидромеханический винт к мотору М-250. Винт изготовлен и находится на заводском испытании на заводе N 16. Ввиду эвакуации завода N 16 дальнейшее испытание временно задерживается.</w:t>
      </w:r>
    </w:p>
    <w:p w14:paraId="6ABBF2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Винт УВ. Универсальный винт к моторам Ам-35А и М71 с флюгерным и реверсивным свойством. Тема должна закончиться летным испытанием 1.XII.41 г.</w:t>
      </w:r>
    </w:p>
    <w:p w14:paraId="4748CB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Винт спроектирован и изготовлен. В октябре в ЦАГИ проводилась проверка работы механизма винта. Работа была приостановлена из-за переезда ЦАГИ в другой город.</w:t>
      </w:r>
    </w:p>
    <w:p w14:paraId="4EB1EA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по деревянным лопастям:</w:t>
      </w:r>
    </w:p>
    <w:p w14:paraId="1A8F1C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Опытные работы по деревянным лопастям проводятся ОКБ завода N 167, которое входит в 6-е главное управление. Но вместе с тем, 8-е главное управление также занималось и деревянными лопастями. К октябрю по деревянным лопастям была проделана следующая работа:</w:t>
      </w:r>
    </w:p>
    <w:p w14:paraId="7F4666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Проведены испытания винта ВИШ-22Д с деревянными лопастями на самолетах СБ и Миг-3. Для самолетов СБ винты запущены в серийное производство.</w:t>
      </w:r>
    </w:p>
    <w:p w14:paraId="4AD12F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Изготовлены опытные винты АВ-5 с деревянными лопастями для самолетов Миг-3, Пе-2, Лагг-3 и Су-2. На самолетах Миг-3 с мотором Ам-35А и Пе-2 с мотором М-105 испытания показали, что скорости самолетов с деревянными лопастями по сравнению с дюралевыми снижаются от 2 до 5 процентов. Вообще же аэродинамические испытания и испытания на прочность показали, что при небольшом улучшении деревянных лопастей, с точки зрения повышения КПД, дюралевые лопасти вполне могут быть заменены в металлической втулке деревянными лопастями.</w:t>
      </w:r>
    </w:p>
    <w:p w14:paraId="560929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Выводы.</w:t>
      </w:r>
    </w:p>
    <w:p w14:paraId="389575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результате развертывания опытных работ к 1941 г. в области винтостроения были получены значительные достижения. В 1941 г. отработаны для истребительной и бомбардировочной авиации автоматические винты АВ-5 и ВИШ-61.</w:t>
      </w:r>
    </w:p>
    <w:p w14:paraId="58BBAD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Несмотря на достигнутые успехи и технический рост специалистов конструкторов, приходится сделать вывод, что ОКБ винтовых заводов с поставленной перед ним задачей в 1941 г. не справились. Тематический план в целом на 1941 г. по срокам не выполнен.</w:t>
      </w:r>
    </w:p>
    <w:p w14:paraId="32FB4B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Невыполнение тематического плана объясняется следующими основными причинами:</w:t>
      </w:r>
    </w:p>
    <w:p w14:paraId="6D99FA4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 Главные конструктора недостаточно уделяли внимание объектам находящимся в серийном производстве. Вскрытые в эксплуатации дефекты глубоко не изучались и автоматически переносились на новые конструкции винтов. Несмотря на то, что явление раскрутки было обнаружено еще в 1940 г. на винте АВ-1, главные </w:t>
      </w:r>
      <w:r w:rsidRPr="00640820">
        <w:rPr>
          <w:rFonts w:ascii="Times New Roman" w:hAnsi="Times New Roman"/>
          <w:color w:val="000000" w:themeColor="text1"/>
          <w:sz w:val="16"/>
          <w:szCs w:val="16"/>
        </w:rPr>
        <w:lastRenderedPageBreak/>
        <w:t>конструктора глубоко этим вопросом не занимались в результате чего в 1941 г. раскрутка повторилась и на новых винтах АВ-5 и ВИШ-61, что приводило к временной задержке производства винтов.</w:t>
      </w:r>
    </w:p>
    <w:p w14:paraId="472381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При проектировании и выборе новых схем винтов главные конструктора заводов 28, 467 и комбината 150 не обменивались опытом в работе, в результате чего в эксплуатации на разных самолетах с одними и теми же моторами находятся три винта АВ-5, ВИШ-61 и ВИШ-105, принципиально не отличающиеся друг от друга.</w:t>
      </w:r>
    </w:p>
    <w:p w14:paraId="382495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Наличие трех однотипных, но различных по конструкции винтов значительно усложняет эксплуатацию и их производство на винтовых и смежных заводах (многотипность подшипников, манжет и др. деталей).</w:t>
      </w:r>
    </w:p>
    <w:p w14:paraId="6E98AA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Организационная структура ОКБ была окончательно отработана. Ведущие конструкторы по каждой теме были выделены только в середине года, в результате чего начальники бригад вели одновременно несколько тем.</w:t>
      </w:r>
    </w:p>
    <w:p w14:paraId="71CAE3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Существование трех конструкторских бюро на заводе N 28 (Кузьмина, Заславского, Бас-Дубова и Никифорова) с небольшой опытной базой приводило к срыву сроков испытания и доводки опытных винтов.</w:t>
      </w:r>
    </w:p>
    <w:p w14:paraId="0F98E61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настоящее время все ОКБ рассредоточены по разным винтовым заводам.</w:t>
      </w:r>
    </w:p>
    <w:p w14:paraId="77BF7B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Кроме указанных недостатков в работе конструкторских бюро, невыполнение тематического плана по винтам в значительной степени объясняется загрузкой опытных отделов заказами серийного производства для нужд фронта, вынужденным временным перерывом в работе, в связи с эвакуацией заводов, а также внеплановыми работами (1684,7).</w:t>
      </w:r>
    </w:p>
    <w:p w14:paraId="07F6E5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5BDC61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15 декабря 1941 г. Томским электроламповым заводом в ведении НКЭП была изготовлена первая 1000 авиационных ламп (этот день стал днем рождения завода). В конце декабря 1941 г. сюда эвакуирован также Запрудненский стекольный завод, в 01.1942 г. электроламповое и стекольное производства объединены. 11.11.1942 г. Томский электроламповый переименован в ГС завод № 660 (Завод № 660 НКЭП, МПСС, </w:t>
      </w:r>
      <w:r w:rsidRPr="00640820">
        <w:rPr>
          <w:rFonts w:ascii="Times New Roman" w:hAnsi="Times New Roman"/>
          <w:color w:val="000000" w:themeColor="text1"/>
          <w:sz w:val="16"/>
          <w:szCs w:val="16"/>
          <w:lang w:val="en-US"/>
        </w:rPr>
        <w:t>MPTTI</w:t>
      </w:r>
      <w:r w:rsidRPr="00640820">
        <w:rPr>
          <w:rFonts w:ascii="Times New Roman" w:hAnsi="Times New Roman"/>
          <w:color w:val="000000" w:themeColor="text1"/>
          <w:sz w:val="16"/>
          <w:szCs w:val="16"/>
        </w:rPr>
        <w:t>, СНХ, п/я 134, Томский электроламповый завод (ТЭЛЗ) МЭТП РСФСР, АОЗТ, ЗАО «ТЭЛЗ» /634034  г. Томск пр. Кирова, 5/). Позднее получил наименование «п/я 134». С 28.06.1946 г. передан в ведете 5ГУ МПСС, с 1.01.1953 г.- 12ГУ МПСС, а с 1954 г.- в ведении МРТП.</w:t>
      </w:r>
    </w:p>
    <w:p w14:paraId="7C662E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1945 г. на заводе действовало 8 сборочных линий, а к 1958 г.- 14. В 1964-66 г. построен новый производственный корпус № 2, в котором размещены сборочный и заготовителный цехи.</w:t>
      </w:r>
    </w:p>
    <w:p w14:paraId="7719DB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1957 г. завод - в ведении Томского СНХ, с 1963 г. - Управления радиотехнической и электронной промышленности Западно-Сибирского СНХ,</w:t>
      </w:r>
      <w:r w:rsidRPr="00640820">
        <w:rPr>
          <w:rFonts w:ascii="Times New Roman" w:hAnsi="Times New Roman"/>
          <w:color w:val="000000" w:themeColor="text1"/>
          <w:sz w:val="16"/>
          <w:szCs w:val="16"/>
          <w:vertAlign w:val="superscript"/>
        </w:rPr>
        <w:t>80</w:t>
      </w:r>
      <w:r w:rsidRPr="00640820">
        <w:rPr>
          <w:rFonts w:ascii="Times New Roman" w:hAnsi="Times New Roman"/>
          <w:color w:val="000000" w:themeColor="text1"/>
          <w:sz w:val="16"/>
          <w:szCs w:val="16"/>
        </w:rPr>
        <w:t xml:space="preserve"> с 1966 г. - в ведении МЭТП РСФСР.</w:t>
      </w:r>
    </w:p>
    <w:p w14:paraId="3613D9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1960-е  г. выпускал специальные лампы и колбы для различных приборов и узлов оборонной техники. В 1975 г. завод выпустил 123 млн. ламп, а в 1982 г.- 133 млн. шт. Всего к началу 2000-х  г. выпущено более 4,6 млрд ламп.</w:t>
      </w:r>
    </w:p>
    <w:p w14:paraId="328994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1992 г. завод преобразован в АОЗТ ТЭЛЗ. В 2003 г. вошло в состав холдинга В.А.В.С.</w:t>
      </w:r>
    </w:p>
    <w:p w14:paraId="630556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2008 г. предприятие находилось в процессе внешнего наблюдения.</w:t>
      </w:r>
    </w:p>
    <w:p w14:paraId="5ECD13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(15.09.1964 г.)- 2668 чел.</w:t>
      </w:r>
      <w:r w:rsidRPr="00640820">
        <w:rPr>
          <w:rFonts w:ascii="Times New Roman" w:hAnsi="Times New Roman"/>
          <w:color w:val="000000" w:themeColor="text1"/>
          <w:sz w:val="16"/>
          <w:szCs w:val="16"/>
          <w:vertAlign w:val="superscript"/>
        </w:rPr>
        <w:t>80</w:t>
      </w:r>
    </w:p>
    <w:p w14:paraId="7C62B6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(01.1942-70 г.)- А.Т. Иванов. Гендиректор (2005 г.)- М.В. Казаков, (2007 г.-)- В. Голубев (11982).</w:t>
      </w:r>
    </w:p>
    <w:p w14:paraId="720793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7C09752"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2279FF61"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D46F6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15 декабря 1941 г. на площадку Сарсинского стекольного завода, основанного в 1859 г., куда в июле-августе 1941 г. былиэвакуированы из Ленинграда часть завода № 354 и зеркальный завод, был эвакуирован бутылочный завод из Константиновки. По приказу НКВ на базе эвакуированных заводов создан новый завод № 542 (Завод № 542 НКВ, </w:t>
      </w:r>
      <w:r w:rsidRPr="00640820">
        <w:rPr>
          <w:rFonts w:ascii="Times New Roman" w:hAnsi="Times New Roman"/>
          <w:color w:val="000000" w:themeColor="text1"/>
          <w:sz w:val="16"/>
          <w:szCs w:val="16"/>
          <w:lang w:val="en-US"/>
        </w:rPr>
        <w:t>MB</w:t>
      </w:r>
      <w:r w:rsidRPr="00640820">
        <w:rPr>
          <w:rFonts w:ascii="Times New Roman" w:hAnsi="Times New Roman"/>
          <w:color w:val="000000" w:themeColor="text1"/>
          <w:sz w:val="16"/>
          <w:szCs w:val="16"/>
        </w:rPr>
        <w:t xml:space="preserve">, Сарсинский стекольный завод, Сарсинский деревообрабатывающий комбинат (ДОК) </w:t>
      </w:r>
      <w:r w:rsidRPr="00640820">
        <w:rPr>
          <w:rFonts w:ascii="Times New Roman" w:hAnsi="Times New Roman"/>
          <w:color w:val="000000" w:themeColor="text1"/>
          <w:sz w:val="16"/>
          <w:szCs w:val="16"/>
          <w:lang w:val="en-US"/>
        </w:rPr>
        <w:t>MOM</w:t>
      </w:r>
      <w:r w:rsidRPr="00640820">
        <w:rPr>
          <w:rFonts w:ascii="Times New Roman" w:hAnsi="Times New Roman"/>
          <w:color w:val="000000" w:themeColor="text1"/>
          <w:sz w:val="16"/>
          <w:szCs w:val="16"/>
        </w:rPr>
        <w:t>, ООО «Сарсинский ДОК» /ст. Чад Молотовской обл./ /617870 пос. Саре Пермской обл. ул. Советская, 39/). Производство оптического стекла.</w:t>
      </w:r>
    </w:p>
    <w:p w14:paraId="667979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 приказу </w:t>
      </w:r>
      <w:r w:rsidRPr="00640820">
        <w:rPr>
          <w:rFonts w:ascii="Times New Roman" w:hAnsi="Times New Roman"/>
          <w:color w:val="000000" w:themeColor="text1"/>
          <w:sz w:val="16"/>
          <w:szCs w:val="16"/>
          <w:lang w:val="en-US"/>
        </w:rPr>
        <w:t>MB</w:t>
      </w:r>
      <w:r w:rsidRPr="00640820">
        <w:rPr>
          <w:rFonts w:ascii="Times New Roman" w:hAnsi="Times New Roman"/>
          <w:color w:val="000000" w:themeColor="text1"/>
          <w:sz w:val="16"/>
          <w:szCs w:val="16"/>
        </w:rPr>
        <w:t xml:space="preserve"> № 10 от 3.04.1946 г. завод № 542 перепрофилирован со стекольного производства на деревообработку. Оборудование по производству оптического стекла демонтировано, основная часть эвакуированных специалистов вернулась назад.</w:t>
      </w:r>
    </w:p>
    <w:p w14:paraId="5D2B1EC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Далее завод выпускал стандартные сборные дома для строительства рабочих поселков при заводах </w:t>
      </w:r>
      <w:r w:rsidRPr="00640820">
        <w:rPr>
          <w:rFonts w:ascii="Times New Roman" w:hAnsi="Times New Roman"/>
          <w:color w:val="000000" w:themeColor="text1"/>
          <w:sz w:val="16"/>
          <w:szCs w:val="16"/>
          <w:lang w:val="en-US"/>
        </w:rPr>
        <w:t>MB</w:t>
      </w:r>
      <w:r w:rsidRPr="00640820">
        <w:rPr>
          <w:rFonts w:ascii="Times New Roman" w:hAnsi="Times New Roman"/>
          <w:color w:val="000000" w:themeColor="text1"/>
          <w:sz w:val="16"/>
          <w:szCs w:val="16"/>
        </w:rPr>
        <w:t xml:space="preserve"> на Урале (до 5 тыс. в год).</w:t>
      </w:r>
    </w:p>
    <w:p w14:paraId="5A4860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1960-х  г. комбинат - в ведении </w:t>
      </w:r>
      <w:r w:rsidRPr="00640820">
        <w:rPr>
          <w:rFonts w:ascii="Times New Roman" w:hAnsi="Times New Roman"/>
          <w:color w:val="000000" w:themeColor="text1"/>
          <w:sz w:val="16"/>
          <w:szCs w:val="16"/>
          <w:lang w:val="en-US"/>
        </w:rPr>
        <w:t>MOM</w:t>
      </w:r>
      <w:r w:rsidRPr="00640820">
        <w:rPr>
          <w:rFonts w:ascii="Times New Roman" w:hAnsi="Times New Roman"/>
          <w:color w:val="000000" w:themeColor="text1"/>
          <w:sz w:val="16"/>
          <w:szCs w:val="16"/>
        </w:rPr>
        <w:t>.</w:t>
      </w:r>
    </w:p>
    <w:p w14:paraId="25B789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2000-е  г. выпускал более 200 наименований изделий.</w:t>
      </w:r>
    </w:p>
    <w:p w14:paraId="0D1437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(1990-е)- 1050 чел.</w:t>
      </w:r>
    </w:p>
    <w:p w14:paraId="5BA280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(1.12.1941 г.-)- Н.С. Голубев; и.о. директора (-03.1942 г.)- Н.Ф. Буторин; (03.1942 г.-)- С.И. Новиков.</w:t>
      </w:r>
    </w:p>
    <w:p w14:paraId="0435B9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Помощник директора по кадрам (12.1941 г.-)- Н.Ф. Буторин (11982).</w:t>
      </w:r>
    </w:p>
    <w:p w14:paraId="1C203E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BF907F0" w14:textId="77777777" w:rsidR="007627BD" w:rsidRPr="00640820" w:rsidRDefault="007627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15 декабря</w:t>
      </w:r>
      <w:r w:rsidRPr="00640820">
        <w:rPr>
          <w:rFonts w:ascii="Times New Roman" w:hAnsi="Times New Roman"/>
          <w:color w:val="000000" w:themeColor="text1"/>
          <w:sz w:val="16"/>
          <w:szCs w:val="16"/>
        </w:rPr>
        <w:t xml:space="preserve"> в 1941 году завершается эвакуация Ворошиловградского паровозостроительного завода (14861).</w:t>
      </w:r>
    </w:p>
    <w:p w14:paraId="3BB230CB" w14:textId="77777777" w:rsidR="007627BD" w:rsidRPr="00640820" w:rsidRDefault="007627BD" w:rsidP="00640820">
      <w:pPr>
        <w:spacing w:after="0" w:line="240" w:lineRule="auto"/>
        <w:jc w:val="both"/>
        <w:rPr>
          <w:rFonts w:ascii="Times New Roman" w:hAnsi="Times New Roman"/>
          <w:color w:val="000000" w:themeColor="text1"/>
          <w:sz w:val="16"/>
          <w:szCs w:val="16"/>
        </w:rPr>
      </w:pPr>
    </w:p>
    <w:p w14:paraId="3E06B4D6" w14:textId="77777777" w:rsidR="00285B16" w:rsidRPr="00640820" w:rsidRDefault="00285B1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декабря 1941</w:t>
      </w:r>
    </w:p>
    <w:p w14:paraId="22544E76" w14:textId="77777777" w:rsidR="00285B16" w:rsidRPr="00640820" w:rsidRDefault="00285B1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РГАЭ Фонд 8752 Опись 4 Дело 7 лист 80</w:t>
      </w:r>
    </w:p>
    <w:p w14:paraId="1752BABE" w14:textId="77777777" w:rsidR="00285B16" w:rsidRPr="00640820" w:rsidRDefault="00285B1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мч. 13.XII. 584.</w:t>
      </w:r>
    </w:p>
    <w:p w14:paraId="5BD2D580" w14:textId="77777777" w:rsidR="00285B16" w:rsidRPr="00640820" w:rsidRDefault="00285B1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Секретно. </w:t>
      </w:r>
    </w:p>
    <w:p w14:paraId="42557E78" w14:textId="77777777" w:rsidR="00285B16" w:rsidRPr="00640820" w:rsidRDefault="00285B1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w:t>
      </w:r>
    </w:p>
    <w:p w14:paraId="64E19BCE" w14:textId="77777777" w:rsidR="00285B16" w:rsidRPr="00640820" w:rsidRDefault="00285B1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НАРОДНОГО КОМИССАРА ТАНКОВОЙ ПРОМЫШЛЕННОСТИ СОЮЗА ССР</w:t>
      </w:r>
    </w:p>
    <w:p w14:paraId="3E23225A" w14:textId="77777777" w:rsidR="00285B16" w:rsidRPr="00640820" w:rsidRDefault="00285B1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89с</w:t>
      </w:r>
    </w:p>
    <w:p w14:paraId="64E99B7A" w14:textId="77777777" w:rsidR="00285B16" w:rsidRPr="00640820" w:rsidRDefault="00285B1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Челябинск.</w:t>
      </w:r>
    </w:p>
    <w:p w14:paraId="70FE8DC7" w14:textId="77777777" w:rsidR="00285B16" w:rsidRPr="00640820" w:rsidRDefault="00285B1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декабря 1941 г.</w:t>
      </w:r>
    </w:p>
    <w:p w14:paraId="70921229" w14:textId="77777777" w:rsidR="00285B16" w:rsidRPr="00640820" w:rsidRDefault="00285B1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исполнение распоряжения Совнаркома Союза ССР от 27/XI-41 г. № 13040-рс, – ПРИКАЗЫВАЮ: </w:t>
      </w:r>
    </w:p>
    <w:p w14:paraId="2ECFAD4D" w14:textId="77777777" w:rsidR="00285B16" w:rsidRPr="00640820" w:rsidRDefault="00285B1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Директору завода № 76 тов. КОЧЕТКОВУ принять всех рабочих и ИТР, эвакуированных с ХТГЗ в г. Свердловск, впредь до восстановления работы ХТГЗ.</w:t>
      </w:r>
    </w:p>
    <w:p w14:paraId="703826EE" w14:textId="77777777" w:rsidR="00285B16" w:rsidRPr="00640820" w:rsidRDefault="00285B1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НАРОДНОГО КОМИССАРА ТАНКОВОЙ ПРОМЫШЛЕННОСТИ СОЮЗА ССР</w:t>
      </w:r>
    </w:p>
    <w:p w14:paraId="353A6F00" w14:textId="77777777" w:rsidR="00285B16" w:rsidRPr="00640820" w:rsidRDefault="00285B1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подпись (И. ЗАЛЬЦМАН)</w:t>
      </w:r>
    </w:p>
    <w:p w14:paraId="1DC11444" w14:textId="77777777" w:rsidR="00285B16" w:rsidRPr="00640820" w:rsidRDefault="00285B1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Отп. 1 экз. </w:t>
      </w:r>
    </w:p>
    <w:p w14:paraId="13333033" w14:textId="77777777" w:rsidR="00285B16" w:rsidRPr="00640820" w:rsidRDefault="00285B1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 Крупышев</w:t>
      </w:r>
    </w:p>
    <w:p w14:paraId="2DCCD08C" w14:textId="77777777" w:rsidR="00285B16" w:rsidRPr="00640820" w:rsidRDefault="00285B1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(18193).</w:t>
      </w:r>
    </w:p>
    <w:p w14:paraId="2569514B" w14:textId="77777777" w:rsidR="00285B16" w:rsidRPr="00640820" w:rsidRDefault="00285B16" w:rsidP="00640820">
      <w:pPr>
        <w:spacing w:after="0" w:line="240" w:lineRule="auto"/>
        <w:jc w:val="both"/>
        <w:rPr>
          <w:rFonts w:ascii="Times New Roman" w:hAnsi="Times New Roman"/>
          <w:color w:val="000000" w:themeColor="text1"/>
          <w:sz w:val="16"/>
          <w:szCs w:val="16"/>
        </w:rPr>
      </w:pPr>
    </w:p>
    <w:p w14:paraId="54607A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 декабря 1941 года на новом танковом заводе № 37 в Свердловске (главный конструктор Г.С. Суренян, затем Н.А. Попов), в основном из деталей, привезенных из Москвы, собрали первые 20 танков Т-30 и Т-60, которые прошли 1 января 1942 года по улицам Свердловска, предварительно проведя отстрел своего оружия на специально построенном полигоне. За первый квартал 1942 года завод произвел уже 512 машин (3862).</w:t>
      </w:r>
    </w:p>
    <w:p w14:paraId="143CA2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53BE694" w14:textId="77777777" w:rsidR="005B05F8" w:rsidRPr="00640820" w:rsidRDefault="005B05F8"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 15 декабря 1941 года техническая документация по У-11 была готова. К работам со стороны ЧТЗ был подключен конструктор А.С. Шнейдман, курировавший вопрос вооружения тяжелого танка. Система вполне вписалась в башню КВ-1,правда, пришлось немного изменить амбразуру, орудийную маску, установку смотровых приборов и сделать новую подвижную бронировку. По проекту угол склонения У-11 составил −3,5 градуса, большим его сделать не давали откатные механизмы (17680).</w:t>
      </w:r>
    </w:p>
    <w:p w14:paraId="1609A544" w14:textId="77777777" w:rsidR="005B05F8" w:rsidRPr="00640820" w:rsidRDefault="005B05F8" w:rsidP="00640820">
      <w:pPr>
        <w:spacing w:after="0" w:line="240" w:lineRule="auto"/>
        <w:jc w:val="both"/>
        <w:rPr>
          <w:rFonts w:ascii="Times New Roman" w:hAnsi="Times New Roman"/>
          <w:color w:val="000000" w:themeColor="text1"/>
          <w:sz w:val="16"/>
          <w:szCs w:val="16"/>
        </w:rPr>
      </w:pPr>
    </w:p>
    <w:p w14:paraId="0B15F1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декабря 1941 г. на площадке завода № 50 НКТП (возможно, это завод «Большевик»), куда были эвакуированы и влиты в его состав несколько предприятий: танковый завод из Москвы (вероятно, это завод № 37; вошел в состав завода «Большевик» в середине 1942 г.), автомобильный завод из Москвы, бронекорпусное производство из Подольска, сталинградский завод, был выпущен первый танк Т-60. Затем выпускались САУ, узлы для артиллерийских установок.</w:t>
      </w:r>
    </w:p>
    <w:p w14:paraId="63EFE5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продолжено производство артиллерийских установок, в т.ч. самоходных.</w:t>
      </w:r>
    </w:p>
    <w:p w14:paraId="054CBA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6B88A3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базе УВЗ в 2006 г. планировалось создание холдинга, в который также войдут Уралтрансмаш, ООО «ЧТЗ- Уралтрак», Завод № 9.</w:t>
      </w:r>
    </w:p>
    <w:p w14:paraId="73EFE8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Имелись производства (2000-е): литейное, кузнечное, механообрабатывающее, защитных покрытий, пластмасс, сварочное, сборочно-монтажных работ, производства инструмента и средств механизации.</w:t>
      </w:r>
    </w:p>
    <w:p w14:paraId="55C874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(1947-49 г.)- К.Д. Петухов. Гендиректор (2001 г.)- А.Н. Шарков, (-08.2003 г.)- Ю. Зибарев. И.О. гендиректора (08.2003-04 г.-)- Ю.С. Комратов.</w:t>
      </w:r>
    </w:p>
    <w:p w14:paraId="063355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гендиректора (-08.2003 г.)- Ю. Комратов.</w:t>
      </w:r>
    </w:p>
    <w:p w14:paraId="7A508869" w14:textId="77777777" w:rsidR="00F575EB"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lastRenderedPageBreak/>
        <w:t>Производство:</w:t>
      </w:r>
      <w:r w:rsidRPr="00640820">
        <w:rPr>
          <w:rFonts w:ascii="Times New Roman" w:hAnsi="Times New Roman"/>
          <w:color w:val="000000" w:themeColor="text1"/>
          <w:sz w:val="16"/>
          <w:szCs w:val="16"/>
        </w:rPr>
        <w:t xml:space="preserve"> танк Т-60 (1941-42)- 1238; САУ СУ-122, СУ-85 (ВОВ); ЗРК «Круг» (1960-е); самоходные: гаубицы 152-мм 2СЗМ «Акация», 9С19 «Мста-С», пушка 152-мм 2С5 «Гиацинт», миномет 240-мм «Тюльпан»; 2С1 «Гвоздика» (2004), БТР-60ПБ (2005), БТР-70 (2005); минный заградитель ГМЗ-З (2004); узлы и запчасти для танков Т-54, Т-55, Т-72, СУ-122, СУ-85, СУ-100; трамвай 71-402 «Спектр» (1995-), автосцепки для подвижного состава, автоматическое устройство заграждения ж/д переездов УЗП; лифтовые лебедки (1997-); нефтяное оборудование: станки-качалки ПШГН (2004), приводы штанговых глубинных насосов (15 модификаций).</w:t>
      </w:r>
    </w:p>
    <w:p w14:paraId="7E8E12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КБ завода</w:t>
      </w:r>
    </w:p>
    <w:p w14:paraId="2B749A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Действовало в 2000-е  г.</w:t>
      </w:r>
    </w:p>
    <w:p w14:paraId="3351E1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Л.И. Горлицкий.</w:t>
      </w:r>
    </w:p>
    <w:p w14:paraId="673C73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Создано:</w:t>
      </w:r>
      <w:r w:rsidRPr="00640820">
        <w:rPr>
          <w:rFonts w:ascii="Times New Roman" w:hAnsi="Times New Roman"/>
          <w:color w:val="000000" w:themeColor="text1"/>
          <w:sz w:val="16"/>
          <w:szCs w:val="16"/>
        </w:rPr>
        <w:t xml:space="preserve"> самоходная гаубица 2СЗ «Акация», самоходный миномет 2С4 «Тюльпан» (11982).</w:t>
      </w:r>
    </w:p>
    <w:p w14:paraId="152DA8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396F6DE"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декабря 1941 года вышел приказ НКТП № 92с, который был разослан:</w:t>
      </w:r>
    </w:p>
    <w:p w14:paraId="21895B12"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СТЗ – Сталинград</w:t>
      </w:r>
    </w:p>
    <w:p w14:paraId="2D7792C3"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174 – Ленинград</w:t>
      </w:r>
    </w:p>
    <w:p w14:paraId="5F4618C8"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УТЗ – Свердловский завод № 76</w:t>
      </w:r>
    </w:p>
    <w:p w14:paraId="1F31979C"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Ижорский завод – Ленинград</w:t>
      </w:r>
    </w:p>
    <w:p w14:paraId="4C92052D"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“Красное Сормово” – Горьковский завод № 112</w:t>
      </w:r>
    </w:p>
    <w:p w14:paraId="18DD7075"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183 – Харьков</w:t>
      </w:r>
    </w:p>
    <w:p w14:paraId="022FFB92"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Кировский завод – Ленинград</w:t>
      </w:r>
    </w:p>
    <w:p w14:paraId="05D2B2F6"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37 – Москва</w:t>
      </w:r>
    </w:p>
    <w:p w14:paraId="7F282D34"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Коломенский машиностроительный завод № 38</w:t>
      </w:r>
    </w:p>
    <w:p w14:paraId="435B30AC"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173 – Омск</w:t>
      </w:r>
    </w:p>
    <w:p w14:paraId="1C670CBB"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200 – Челябинск</w:t>
      </w:r>
    </w:p>
    <w:p w14:paraId="38601808"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Станконормаль № 221 – Москва</w:t>
      </w:r>
    </w:p>
    <w:p w14:paraId="5986CA4A"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“Комсомолец” № 222 – Егорьевск</w:t>
      </w:r>
    </w:p>
    <w:p w14:paraId="230B5B7E"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 Ильича № 223 – Ленинград</w:t>
      </w:r>
    </w:p>
    <w:p w14:paraId="05C1A5C0"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револьверных станков и автоматов № 224 – Ленинград</w:t>
      </w:r>
    </w:p>
    <w:p w14:paraId="71007A55"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Новочеркасский станкозавод № 225 Троицк</w:t>
      </w:r>
    </w:p>
    <w:p w14:paraId="3A6208F0"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“Металлист” № 226 – Мелитополь</w:t>
      </w:r>
    </w:p>
    <w:p w14:paraId="5DFDB4FB"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Соль-Илецкий завод № 227</w:t>
      </w:r>
    </w:p>
    <w:p w14:paraId="6914DA32"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 Кирова (Тбилиси) - № 228</w:t>
      </w:r>
    </w:p>
    <w:p w14:paraId="6003A846"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 Седина № 229 – Краснодар</w:t>
      </w:r>
    </w:p>
    <w:p w14:paraId="075B65CB"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 XVI партсъезда № 230 – Новосибирск</w:t>
      </w:r>
    </w:p>
    <w:p w14:paraId="585CC07C"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Клинский станкозавод № 231</w:t>
      </w:r>
    </w:p>
    <w:p w14:paraId="79514789"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Дмитровский станкозавод № 232</w:t>
      </w:r>
    </w:p>
    <w:p w14:paraId="3E324197"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Центролит № 233 – Тбилиси</w:t>
      </w:r>
    </w:p>
    <w:p w14:paraId="290B0A36"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 Калинина № 234</w:t>
      </w:r>
    </w:p>
    <w:p w14:paraId="2793709E"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 “8 летия Октября” № 235</w:t>
      </w:r>
    </w:p>
    <w:p w14:paraId="5E541D50"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Барнаульский завод № 236</w:t>
      </w:r>
    </w:p>
    <w:p w14:paraId="5BF55D94"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Электростанок № 237</w:t>
      </w:r>
    </w:p>
    <w:p w14:paraId="6F13D699"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Электропривод № 238</w:t>
      </w:r>
    </w:p>
    <w:p w14:paraId="671C91A2"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ТВЧ № 239</w:t>
      </w:r>
    </w:p>
    <w:p w14:paraId="4E0BDCFA"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низковольтной аппаратуры № 240</w:t>
      </w:r>
    </w:p>
    <w:p w14:paraId="38293697"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Гидропривод № 241</w:t>
      </w:r>
    </w:p>
    <w:p w14:paraId="20201B8B"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Станколит № 242</w:t>
      </w:r>
    </w:p>
    <w:p w14:paraId="0ACD716D"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Центролит № 243</w:t>
      </w:r>
    </w:p>
    <w:p w14:paraId="0685127B"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Ремонтный завод (бывш. Реммаштрест) № 244</w:t>
      </w:r>
    </w:p>
    <w:p w14:paraId="3A22AEC8"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“Вперед” № 245</w:t>
      </w:r>
    </w:p>
    <w:p w14:paraId="5F980E0A"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Ремонтные мастерские № 246</w:t>
      </w:r>
    </w:p>
    <w:p w14:paraId="675F783D"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Ремонтные мастерские № 247</w:t>
      </w:r>
    </w:p>
    <w:p w14:paraId="5494977F"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Ремонтные мастерские № 248</w:t>
      </w:r>
    </w:p>
    <w:p w14:paraId="6384CD15"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Кулебакский металлургический завод № 178</w:t>
      </w:r>
    </w:p>
    <w:p w14:paraId="78BC98AF"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264</w:t>
      </w:r>
    </w:p>
    <w:p w14:paraId="763A6DA7"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Муромский завод № 176</w:t>
      </w:r>
    </w:p>
    <w:p w14:paraId="3A8D9814"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Выксунский машиностроительный завод ДРО № 177</w:t>
      </w:r>
    </w:p>
    <w:p w14:paraId="65100D35"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Саратовский завод № 180</w:t>
      </w:r>
    </w:p>
    <w:p w14:paraId="33D79135"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Куйбышевский механический завод</w:t>
      </w:r>
    </w:p>
    <w:p w14:paraId="6FEA67C2"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“Красный пролетарий” № 5</w:t>
      </w:r>
    </w:p>
    <w:p w14:paraId="0E9B5E96"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 Молотова № 6</w:t>
      </w:r>
    </w:p>
    <w:p w14:paraId="7988638D"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шлифовальных станков № 7</w:t>
      </w:r>
    </w:p>
    <w:p w14:paraId="006007DF"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 Орджоникидзе № 184</w:t>
      </w:r>
    </w:p>
    <w:p w14:paraId="7F1A9BFF"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 Горького</w:t>
      </w:r>
    </w:p>
    <w:p w14:paraId="3ADF895D"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Гидропривод № 186</w:t>
      </w:r>
    </w:p>
    <w:p w14:paraId="2CA58316"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Горьковский завод фрезерных станков № 113</w:t>
      </w:r>
    </w:p>
    <w:p w14:paraId="64A2B5B6"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Станкопатрон - № 114 Муром</w:t>
      </w:r>
    </w:p>
    <w:p w14:paraId="5121F556"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 Компартии Франции - № 115 Муром</w:t>
      </w:r>
    </w:p>
    <w:p w14:paraId="1ECDC580"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Чкаловский станкостроительный завод № 173</w:t>
      </w:r>
    </w:p>
    <w:p w14:paraId="571E907F"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“Коммуна” № 171</w:t>
      </w:r>
    </w:p>
    <w:p w14:paraId="4A9A3F8A"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Чкаловский завод кузнечно-прессового оборудования № 172</w:t>
      </w:r>
    </w:p>
    <w:p w14:paraId="1A845E16"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 ЦК машиностроения № 179 Куйбышев</w:t>
      </w:r>
    </w:p>
    <w:p w14:paraId="631A3A5F"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 Ленина № 39</w:t>
      </w:r>
    </w:p>
    <w:p w14:paraId="003E3A30"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Саратовский завод зуборезных станков № 181</w:t>
      </w:r>
    </w:p>
    <w:p w14:paraId="6E4AF796"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“Станкоконструкция”</w:t>
      </w:r>
    </w:p>
    <w:p w14:paraId="4D091F84"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180 Саратов</w:t>
      </w:r>
    </w:p>
    <w:p w14:paraId="720AF413"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185 Кизел (6043, 114-112).</w:t>
      </w:r>
    </w:p>
    <w:p w14:paraId="2942770A"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DD711A" w14:textId="77777777" w:rsidR="00F575EB" w:rsidRPr="00640820" w:rsidRDefault="00F575EB" w:rsidP="00640820">
      <w:pPr>
        <w:widowControl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15 декабря </w:t>
      </w:r>
      <w:smartTag w:uri="urn:schemas-microsoft-com:office:smarttags" w:element="metricconverter">
        <w:smartTagPr>
          <w:attr w:name="ProductID" w:val="1945 г"/>
        </w:smartTagPr>
        <w:r w:rsidRPr="00640820">
          <w:rPr>
            <w:rFonts w:ascii="Times New Roman" w:hAnsi="Times New Roman"/>
            <w:color w:val="000000" w:themeColor="text1"/>
            <w:sz w:val="16"/>
            <w:szCs w:val="16"/>
          </w:rPr>
          <w:t>1941 г</w:t>
        </w:r>
      </w:smartTag>
      <w:r w:rsidRPr="00640820">
        <w:rPr>
          <w:rFonts w:ascii="Times New Roman" w:hAnsi="Times New Roman"/>
          <w:color w:val="000000" w:themeColor="text1"/>
          <w:sz w:val="16"/>
          <w:szCs w:val="16"/>
        </w:rPr>
        <w:t xml:space="preserve">. издан приказ об организации в Москве станции обслуживания и ремонта Т-60 с командированием бригады специалистов (В.Д. Майборода – руководитель бригады, Г.А. Веденяпин – зам. руководителя). 24 декабря </w:t>
      </w:r>
      <w:smartTag w:uri="urn:schemas-microsoft-com:office:smarttags" w:element="metricconverter">
        <w:smartTagPr>
          <w:attr w:name="ProductID" w:val="1945 г"/>
        </w:smartTagPr>
        <w:r w:rsidRPr="00640820">
          <w:rPr>
            <w:rFonts w:ascii="Times New Roman" w:hAnsi="Times New Roman"/>
            <w:color w:val="000000" w:themeColor="text1"/>
            <w:sz w:val="16"/>
            <w:szCs w:val="16"/>
          </w:rPr>
          <w:t>1941 г</w:t>
        </w:r>
      </w:smartTag>
      <w:r w:rsidRPr="00640820">
        <w:rPr>
          <w:rFonts w:ascii="Times New Roman" w:hAnsi="Times New Roman"/>
          <w:color w:val="000000" w:themeColor="text1"/>
          <w:sz w:val="16"/>
          <w:szCs w:val="16"/>
        </w:rPr>
        <w:t>. выходит приказ о производстве на автозаводе аэросаней (в соответствии с решением ГКО и личным указанием И.В. Сталина) (15218).</w:t>
      </w:r>
    </w:p>
    <w:p w14:paraId="4B48F4AC" w14:textId="77777777" w:rsidR="00F575EB" w:rsidRPr="00640820" w:rsidRDefault="00F575EB" w:rsidP="00640820">
      <w:pPr>
        <w:widowControl w:val="0"/>
        <w:spacing w:after="0" w:line="240" w:lineRule="auto"/>
        <w:jc w:val="both"/>
        <w:rPr>
          <w:rFonts w:ascii="Times New Roman" w:hAnsi="Times New Roman"/>
          <w:color w:val="000000" w:themeColor="text1"/>
          <w:sz w:val="16"/>
          <w:szCs w:val="16"/>
        </w:rPr>
      </w:pPr>
    </w:p>
    <w:p w14:paraId="48DF38A2"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декабря 1941 завершилась эвакуация Ворошиловградского паровозостроительного завода (4962).</w:t>
      </w:r>
    </w:p>
    <w:p w14:paraId="368C8A00"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96F2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декабря 1941 вышло Постановление ГКО № 1034 О т.т. Запорожец А.И., Земенкове М.Н., Горохове П.И., Васильеве Г.А., Зуеве И.В. и Пронине А.М. . РГАНИР, Фонд ГКО, д. 16, лл. 107 (11012).</w:t>
      </w:r>
    </w:p>
    <w:p w14:paraId="61D289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4F53D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декабря 1941 вышло Постановление ГКО № 1035 О тов. Самсонове А.А. . РГАНИР, Фонд ГКО, д. 16, лл. 108 (11012).</w:t>
      </w:r>
    </w:p>
    <w:p w14:paraId="2F5464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39E0C41"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lastRenderedPageBreak/>
        <w:t>Армия:</w:t>
      </w:r>
    </w:p>
    <w:p w14:paraId="71490535"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959BC2A"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15 декабря</w:t>
      </w:r>
      <w:r w:rsidRPr="00640820">
        <w:rPr>
          <w:rFonts w:ascii="Times New Roman" w:hAnsi="Times New Roman"/>
          <w:color w:val="000000" w:themeColor="text1"/>
          <w:sz w:val="16"/>
          <w:szCs w:val="16"/>
        </w:rPr>
        <w:t xml:space="preserve"> в 1941 году утреннее сообщение Совинформбюро:</w:t>
      </w:r>
    </w:p>
    <w:p w14:paraId="22945F1E"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15 декабря наши войска вели бои с противником на всех фронтах.</w:t>
      </w:r>
    </w:p>
    <w:p w14:paraId="3111BCCB"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Наша часть, действующая на одном из участков Западного фронта, за один день боёв захватила у противника 24 танка, 9 бронемашин, 16 орудий, 186 автомашин, 54 миномёта и много боеприпасов.</w:t>
      </w:r>
    </w:p>
    <w:p w14:paraId="108488BF"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Бойцы тов. Руссиянова в ожесточённом бою с противником на одном из участков Юго-Западного фронта захватили 19 орудий, 10 пулемётов, 23 автомашины и уничтожили свыше 800 немецких солдат и офицеров.</w:t>
      </w:r>
    </w:p>
    <w:p w14:paraId="477EC86D"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Десять красноармейцев под руководством младшего политрука тов. Полянского в одном бою уничтожили 75 фашистов, потеряв при этом трёх человек ранеными.</w:t>
      </w:r>
    </w:p>
    <w:p w14:paraId="65DBCA8C"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Успешно действуют партизаны Тульской области. Бойцы партизанского отряда «Смерть фашизму» подожгли сарай, где хранились боеприпасы немцев. Взрывом снарядов было уничтожено несколько десятков фашистов. У деревни С. группа партизан устроила засаду. Вскоре на просёлочной дороге появилась немецкая автомашина с полковым миномётом. Партизаны забросали грузовик гранатами и зажигательными бутылками и уничтожили 7 немецких солдат, входивших в миномётный расчёт. Другая группа партизан перерезала в нескольких местах важный телефонный кабель, нарушив связь между штабом и подразделениями немецкого корпуса. Партизаны отбили у немцев большой обоз с боеприпасами и оружием.</w:t>
      </w:r>
    </w:p>
    <w:p w14:paraId="3BF64B9B"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Жители сёл и городов Московской области, освобождённых частями Красной Армии от гитлеровских оккупантов, рассказывают о чудовищных зверствах немецко-фашистских мерзавцев. В деревне Белый Раст немецкие солдаты поставили в качестве мишени 12-летнего мальчика Володю Ткачёва и открыли по нему стрельбу из автоматов. Тело Володи было прострелено 21 пулей. В этой же деревне фашисты расстреляли без всякой причины мать четырёх малолетних детей колхозницу Мосолову Ирину Васильевну. В селе Зарамушки фашисты расстреляли колхозницу Метлову — 67 лет, Голощёкину Екатерину — 60 лет, Соколову Аграфену — 40 лет, Корднова Якова — 58 лет и других. В деревне Овсянниково немцы захватили в плен несколько раненых красноармейцев. Всех их раздели, разули и заперли в холодный сарай. Уходя из деревни, изверги расстреляли всех пленных. Трём бойцам фашисты выкололи глаза, перебили голени, на щеках вырезали звёзды и прокололи горло штыком. По деревне Пучки, шёл колхозник Терёхин Иван Гаврилович со своей женой Полиной Борисовной. Несколько немецких солдат схватили Полину и на глазах у мужа поочерёдно её изнасиловали, а затем убили. Колхозник Терёхин, пытавшийся защитить свою жену, был также застрелен. Немецкие захватчики ограбили население: они забирали всё что попадалось на глаза. Так, например, у гражданки села Никольское Сергеевой Аграфены Сергеевны гитлеровские разбойники забрали матрац, самовар, чайник, чайную посуду, лукошко с мукой, спички, сахар, дамский жакет, топор, пилу, детские игрушки и даже сетку для процеживания молока.</w:t>
      </w:r>
    </w:p>
    <w:p w14:paraId="72BF3E9D"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Миллионы советских женщин с энтузиазмом трудятся на заводах, фабриках, шахтах и железных дорогах, помогая Красной Армии истреблять немецко-фашистских захватчиков. Лучшие забойщицы шахты имени Кирова Черемховского угольного бассейна получили звание мастеров угля. В числе передовых стахановцев шахты — запальщицы Баженова, Быкова и Алекбергова. Забойщицы шахты Танчук и Мусина вместо 13 тонн в смену добывают по 20 тонн. На Балхашмедьстрое многие женщины овладели несколькими профессиями и успешно совмещают их. Мотористка Быконь, отлично обслуживая моторы, в то же время работает на токарном станке, выполняя полторы нормы. Мотористка Камнева самостоятельно ремонтирует бетономешалки, лебёдки и другие механизмы. Более 200 женщин настойчиво овладевают мужскими профессиями в Верхне-Иртышском пароходстве. Десятки женщин выдвинуты командирами производства на предприятиях Махач-Калы. На заводе, где директором тов. Сергеев, т.т. Волобуева и Нужина назначены цеховыми мастерами. Под их руководством молодые работницы успешно справляются с фронтовыми заказами. На днях завод досрочно выполнил программу четвёртого квартала.» (14861).</w:t>
      </w:r>
    </w:p>
    <w:p w14:paraId="2DD20DEA" w14:textId="77777777" w:rsidR="00F575EB" w:rsidRPr="00640820" w:rsidRDefault="00F575EB" w:rsidP="00640820">
      <w:pPr>
        <w:spacing w:after="0" w:line="240" w:lineRule="auto"/>
        <w:jc w:val="both"/>
        <w:rPr>
          <w:rFonts w:ascii="Times New Roman" w:hAnsi="Times New Roman"/>
          <w:color w:val="000000" w:themeColor="text1"/>
          <w:sz w:val="16"/>
          <w:szCs w:val="16"/>
        </w:rPr>
      </w:pPr>
    </w:p>
    <w:p w14:paraId="6E6C8DAA"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15 декабря</w:t>
      </w:r>
      <w:r w:rsidRPr="00640820">
        <w:rPr>
          <w:rFonts w:ascii="Times New Roman" w:hAnsi="Times New Roman"/>
          <w:color w:val="000000" w:themeColor="text1"/>
          <w:sz w:val="16"/>
          <w:szCs w:val="16"/>
        </w:rPr>
        <w:t xml:space="preserve"> в 1941 году вечернее сообщение Совинформбюро:</w:t>
      </w:r>
    </w:p>
    <w:p w14:paraId="5583B3C9"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15 декабря наши войска вели бои с противником на всех фронтах. На ряде участков Западного и Юго-Западного фронтов наши войска, ведя ожесточённые бои с противником, продолжали продвигаться вперёд и заняли г. Клин, Ясную Поляну — южнее Тулы, Дедилово и Богородицк — юго-восточнее Тулы.</w:t>
      </w:r>
    </w:p>
    <w:p w14:paraId="3894F7C4"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14 декабря уничтожено 24 немецких самолёта. Наши потери — 7 самолётов.</w:t>
      </w:r>
    </w:p>
    <w:p w14:paraId="45F1FA90"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15 декабря под Москвой в воздушных боях сбито 6 немецких самолётов.</w:t>
      </w:r>
    </w:p>
    <w:p w14:paraId="6F26306A"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14 декабря наши лётчики, действующие на Западном фронте, уничтожили и повредили 42 немецких танка, более 1050 автомашин с войсками и грузами, уничтожили 30 полевых и зенитных орудий с прислугой, свыше 300 повозок с боеприпасами, 24 автоцистерны с горючим, истребили или рассеяли три полка вражеской пехоты.</w:t>
      </w:r>
    </w:p>
    <w:p w14:paraId="271C4500"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части, действующие на одном из участков Калининского направления фронта, за семь дней боёв с противником уничтожили 7 немецких танков, 103 автомашины, 33 артиллерийских орудия, 51 пулемёт, 41 миномёт и захватили 3 танка, 44 орудия, 35 миномётов, 117 пулемётов, 67 автоматов, 24 автомашины, 4500 снарядов, около 200.000 патронов, 4 знамени и много других трофеев. За это время немцы потеряли убитыми и ранеными 8.000 солдат и офицеров.</w:t>
      </w:r>
    </w:p>
    <w:p w14:paraId="028FD976"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 наша часть, действующая на Западном фронте, в результате ожесточённого боя с противником выбила немцев из 3 населённых пунктов, захватила 6 тяжёлых орудий, 40 повозок с военным имуществом и истребила 450 немецких солдат и офицеров.</w:t>
      </w:r>
    </w:p>
    <w:p w14:paraId="639629C7"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Войска генерала Лелюшенко за один день боёв с противником захватили 8 немецких танков, 6 орудий, 16 пулемётов, 58 автомашин и другие трофеи.</w:t>
      </w:r>
    </w:p>
    <w:p w14:paraId="12CDB40E"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разведчики, проникнув в расположение противника, взорвали 3 немецких дерево-земляных огневых точки, уничтожили 3 орудия, 6 пулемётов, истребили до 200 немецких солдат и офицеров.</w:t>
      </w:r>
    </w:p>
    <w:p w14:paraId="788131C2"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Успешно борется против фашистских захватчиков партизанский отряд тов. Б., действующий в одном из районов Московской области, оккупированных немцами. 10 декабря партизаны совершили смелое нападение на отряд немцев, охранявший большой транспорт с боеприпасами. Растерявшиеся немецкие солдаты не смогли оказать сопротивления. Отважные советские патриоты истребили 100 фашистов и уничтожили 360 тысяч патронов, 100 авиабомб, 30 ящиков гранат, 300 снарядов, 25 тонн горючего, 100 автопокрышек и другое военное имущество. Партизаны непрерывно наносят врагу удары, разрушают связь, уничтожают транспорты. Только за последнее время отряд тов. Б. разрушил телефонно-телеграфные линии в 25 местах, взорвал 10 автомашин с боеприпасами, 14 автомашин с вражеской пехотой и несколько автоцистерн с горючим. В результате немецкая автоколонна из 300 пятитонных грузовиков, не получив бензина, была остановлена на 14 часов и подверглась ожесточённой бомбардировке советской авиации.</w:t>
      </w:r>
    </w:p>
    <w:p w14:paraId="0F5ED3EB"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Жители сёл Ростовской области, освобождённых от немецко-фашистских захватчиков, рассказывают о неслыханных зверствах и повальных грабежах, производимых гитлеровской грабьармией. В селе Новоспасовка, в доме колхозницы Елены Гамовой, поселилось несколько немецких солдат. Вечером они устроили попойку. Двухлетний сын колхозницы, проснувшись, заплакал. Один из фашистских извергов вырвал ребёнка из рук матери и сунул его в горящую печь. В этом же селе немцы облили бензином крестьянку Марфу Ковпак и подожгли её. В селении Генеральская фашисты изнасиловали, а затем замучили и расстреляли Надежду Гуртовую и её 14-летнюю дочь. Неслыханное зверство фашистские людоеды учинили над пленными красноармейцами. Во дворе колхозника Булашёва фашисты замучили и сожгли 10 пленных красноармейцев; во дворе колхозника Братченко замучили и сожгли 19 пленных красноармейцев. При освобождении нашими частями сёл Любимая и Балабаново в погребах обнаружены трупы пленных красноармейцев. У многих из них выколоты глаза, отрезаны уши, носы, отрублены руки, ноги.»</w:t>
      </w:r>
    </w:p>
    <w:p w14:paraId="43F49C56"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Очередная брехня Гитлера.</w:t>
      </w:r>
    </w:p>
    <w:p w14:paraId="1A1E7167"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декабря Гитлер выступил в своём зверинце — «рейхстаге» — с очередным трюком.</w:t>
      </w:r>
    </w:p>
    <w:p w14:paraId="1CF12DF3"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Ввиду того, что в Германии почти нет семьи, не потерявшей на Восточном фронте сына, отца, брата или мужа, Гитлеру уже невозможно было даже в своём балагане ничего не сообщить о потерях немецко-фашистской армии в войне против Советского Союза. И вот Гитлер огласил «германские потери». Оказывается, что за всё время военных действий с СССР, а имению с 22 июня по 1 декабря 1941 года, германская армия якобы потеряла всего-навсего лишь 162.314 убитыми, 571.767 ранеными и 33.334 пропавшими без вести, т. е. всего 767.415 человек.</w:t>
      </w:r>
    </w:p>
    <w:p w14:paraId="6B7C7939"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Эти цифры не могут не вызвать смеха. Уж кому-кому, а людоеду-то Гитлеру известны настоящие потери его разбойничьих орд. Эти потери настолько огромны, что гитлеровская шайка никогда не решится оповестить о них немецкий народ. Лишь на одном Западном фронте с 16 ноября по 10 декабря, т. е. меньше чем за месяц, свыше 85.000 немецких солдат и офицеров нашло себе могилу на дальних подступах к советской столице. За пять же месяцев войны на Восточном фронте полегло костьми целое поколение немцев. Убитыми, ранеными и пленными немцы потеряли около 6 миллионов солдат и офицеров.</w:t>
      </w:r>
    </w:p>
    <w:p w14:paraId="21437785"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Гитлер заявил также, что общее число пленных русских достигает 3.806.000 человек. На самом деле наши потери пропавшими без вести за 5 месяцев войны составляют всего 520.000, куда входят и пленные. Астрономические цифры русских, якобы захваченных в плен немцами, подсчитывались, очевидно, в игорном доме шулеров и фальшивомонетчиков из компании Гитлера. Гитлер, очевидно, причисляет к пленным мирное население покинутых нами районов, мобилизованное немцами для дорожных, строительных и всяких других подсобных работ. На каком собственно основании? Есть ли для немцев пределы нарушения элементарных международных прав?</w:t>
      </w:r>
    </w:p>
    <w:p w14:paraId="344CEDE0"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Кстати сказать, Гитлер так и не решился на этот раз поведать о потерях немцев в вооружении и военной технике. В связи с этим не лишне будет напомнить, что гитлеровская армия только за пять месяцев военных действий на Во-сточном фронте потеряла до 19.000 орудий, более 15.000 танков и около 13.000 самолётов. Сюда не входят огромные потери в технике и вооружении гитлеровской армии, которые она понесла с 16 ноября по 10 декабря на подступах к Москве.</w:t>
      </w:r>
    </w:p>
    <w:p w14:paraId="064E8BEF"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Такова та горькая правда, которую так нагло и безуспешно пытается скрыть от немецкого народа и мирового общественного мнения людоед Гитлер.»</w:t>
      </w:r>
    </w:p>
    <w:p w14:paraId="0E5B1656"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последний час.</w:t>
      </w:r>
    </w:p>
    <w:p w14:paraId="577491CB"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Еще удар по войскам врага.</w:t>
      </w:r>
    </w:p>
    <w:p w14:paraId="2E0A0D90"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«После ожесточенных боёв войска Калининского фронта 16 декабря с. г. овладели городом Калинин. В боях в районе города Калинин наши войска нанесли крупное поражение 9 немецкой армии генерал-полковника Штраус, разгромив 86, 110, 129, 161, 162 и 251 пехотные дивизии, входившие в состав этой армии. Остатки разбитых дивизий противника отступают на запад. В боях за город Калинин отличились войска генерал-лейтенанта т. Масленникова и генерал-майора т. Юшкевича. Захвачены большие трофеи, которые подсчитываются. Наши войска преследуют и уничтожают отходящего противника.» (14861).</w:t>
      </w:r>
    </w:p>
    <w:p w14:paraId="52B7079B" w14:textId="77777777" w:rsidR="00F575EB" w:rsidRPr="00640820" w:rsidRDefault="00F575EB" w:rsidP="00640820">
      <w:pPr>
        <w:spacing w:after="0" w:line="240" w:lineRule="auto"/>
        <w:jc w:val="both"/>
        <w:rPr>
          <w:rFonts w:ascii="Times New Roman" w:hAnsi="Times New Roman"/>
          <w:color w:val="000000" w:themeColor="text1"/>
          <w:sz w:val="16"/>
          <w:szCs w:val="16"/>
        </w:rPr>
      </w:pPr>
    </w:p>
    <w:p w14:paraId="52ABAB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декабря 1941 г. 40 сбап был преобразован из скоростного бомбардировочного в авиационный полк разведчиков Главного Командования Красной Армии (40-й апр ГК КА), а позднее он получил более привычное наименование - 40-й дальний разведывательный авиационный полк (драп). Экипажи проходили переучивание, не выходя из боев. Теперь они стали “глазами” Ставки Верховного Главнокомандования и вели стратегическую разведку на широком фронте от предгорьев Кавказа до Калинина. Самолеты полка регулярно появлялись над крупнейшими немецкими аэродромами Сеща, Олсуфьево, Брянск и Орел, отслеживали движение железнодорожных эшелонов в глубине оккупированной территории. В период подготовки операции на окружение 6-й немецкой армии в районе Сталинграда полк участвовал в фотографировании оборонительных позиций немецких, румынских и итальянских войск, в результате чего была разработана единая фотокарта всего района, предназначенная для высшего военного руководства.</w:t>
      </w:r>
    </w:p>
    <w:p w14:paraId="1ED6F1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Личный состав полка выполнил ряд доработок на своих машинах в интересах повышения их обороноспособности и дальности полета. Так, на фюзеляжах “пешек” монтировали пару реактивных орудий РО-82 для стрельбы назад. Часть Пе-3 оснастили качающимися установками для аэрофотоаппаратов АФА-1, а в хвостовой части мотогондол на месте бомбоотсеков разместили дополнительные бензобаки. По состоянию на 1 января 1943 г. полк располагал 11 самолетами Пе-3, что составляло 38 % от боевого состава. Впоследствии в полку постепенно стала увеличиваться доля самолетов А-20В “Бостон”, а численность Пе-3 уменьшилось до трех-четырех единиц (4476).</w:t>
      </w:r>
    </w:p>
    <w:p w14:paraId="36FC92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279C8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декабря 1941 г. 40-й бап на Пе-3 преобразовали в авиационный полк разведчиков Главного Командования Красной Армии (40-й апр ГК КА), позднее он получил более привычное наименование 40-й дальний разведывательный авиационный полк (драп). Экипажи полка переучивались, не выходя из боев. Теперь они стали "глазами" Ставки Верховного Главнокомандования и вели стратегическую разведку на широком фронте от предгорьев Кавказа до Калинина.</w:t>
      </w:r>
    </w:p>
    <w:p w14:paraId="6501D0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Самолеты полка регулярно появлялись над крупнейшими немецкими аэродромами Сеша, Олсуфьево, Брянск и Орел, отслеживали движение железнодорожных эшелонов в глубине оккупированной территории. В период подготовки операции на окружение 6-й немецкой армии в районе Сталинграда полк участвовал в сплошном фотографировании оборонительных позиций немецких, румынских и итальянских войск, в результате чего была получена единая фотокарта всего района для высшего военного руководства страны.</w:t>
      </w:r>
    </w:p>
    <w:p w14:paraId="11A88A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Личный состав полка выполнил ряд доработок на своих машинах с целью повышения их обороноспособности и дальности полета.</w:t>
      </w:r>
    </w:p>
    <w:p w14:paraId="09C40B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 на фюзеляжах "пешек" монтировали пару реактивных орудий РО-82 для стрельбы назад. Часть Пе-3 оснастили качающимися установками для аэрофотоаппаратов АФА-1, а в хвостовой части мотогондол на месте бомбоотсеков разместили дополнительные бензобаки (12042).</w:t>
      </w:r>
    </w:p>
    <w:p w14:paraId="410C63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34156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декабря 1941 пять и 43 сад под командованием Т.К.Романенко вступили в бой с 40 б и 15 и и уничтожили 3 не имея потерь (341,83).</w:t>
      </w:r>
    </w:p>
    <w:p w14:paraId="4CA2FF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Г.К.О. писал: "Контрнаступательные действия правого крыла ЗФ шли непрерывно. Их активно поддерживала авиация фронта, авиация ПВО и АДД, которой командовал А.Е.Голованов. Авиация наносила мощные удары по артиллерийским позициям, танковым частям, командным пунктам, а когда началось отступление гитлеровских войск штурмовала и бомбила пехотные, бронетанковые и автотранспортные колонны. В результате все дороги на Запад после отхода войск противника были забиты его техникой и автомашинами." (340,66).</w:t>
      </w:r>
    </w:p>
    <w:p w14:paraId="2426F6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5C83B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состоянию на 15 декабря 1941 г. указы</w:t>
      </w:r>
      <w:r w:rsidRPr="00640820">
        <w:rPr>
          <w:rFonts w:ascii="Times New Roman" w:hAnsi="Times New Roman"/>
          <w:color w:val="000000" w:themeColor="text1"/>
          <w:sz w:val="16"/>
          <w:szCs w:val="16"/>
        </w:rPr>
        <w:softHyphen/>
        <w:t>вался следующий боевой состав 2-й АГ ВВС СФ. [ЦВМА, фонд 75, дело 26920]</w:t>
      </w:r>
    </w:p>
    <w:p w14:paraId="6D9581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ТБ-3 - 3 шт., капитан Антюшев и ст. л-т Меркулов 11 и 12 октября соответственно от</w:t>
      </w:r>
      <w:r w:rsidRPr="00640820">
        <w:rPr>
          <w:rFonts w:ascii="Times New Roman" w:hAnsi="Times New Roman"/>
          <w:color w:val="000000" w:themeColor="text1"/>
          <w:sz w:val="16"/>
          <w:szCs w:val="16"/>
        </w:rPr>
        <w:softHyphen/>
        <w:t>правлены в Новую Ладогу. Командир корабля к-н Бузаев 3.12.41 г. - на аэродром Ваенга.</w:t>
      </w:r>
    </w:p>
    <w:p w14:paraId="1B8B87C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ГСТ - 1 шт., командир корабля капитан Кржижевский. 12 октября отправлен в Москву в распоряжение генерал-майора авиации Коробкова.</w:t>
      </w:r>
    </w:p>
    <w:p w14:paraId="52E3D0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ПС-84 (Ли-2) - 2 шт., Бахтинов с 15.11.41 г. - в распоряжении ВВС СФ (Ваенга). Второй са</w:t>
      </w:r>
      <w:r w:rsidRPr="00640820">
        <w:rPr>
          <w:rFonts w:ascii="Times New Roman" w:hAnsi="Times New Roman"/>
          <w:color w:val="000000" w:themeColor="text1"/>
          <w:sz w:val="16"/>
          <w:szCs w:val="16"/>
        </w:rPr>
        <w:softHyphen/>
        <w:t>молет требует капитального ремонта после аварии. Часть агрегатов снята и передана на Дуглас Махоткина и Крузе.</w:t>
      </w:r>
    </w:p>
    <w:p w14:paraId="08BCF3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Дорнье «Валь» - 2 шт., 11 сентября коман</w:t>
      </w:r>
      <w:r w:rsidRPr="00640820">
        <w:rPr>
          <w:rFonts w:ascii="Times New Roman" w:hAnsi="Times New Roman"/>
          <w:color w:val="000000" w:themeColor="text1"/>
          <w:sz w:val="16"/>
          <w:szCs w:val="16"/>
        </w:rPr>
        <w:softHyphen/>
        <w:t>дующий БВФ приказал полеты на ДВ не про</w:t>
      </w:r>
      <w:r w:rsidRPr="00640820">
        <w:rPr>
          <w:rFonts w:ascii="Times New Roman" w:hAnsi="Times New Roman"/>
          <w:color w:val="000000" w:themeColor="text1"/>
          <w:sz w:val="16"/>
          <w:szCs w:val="16"/>
        </w:rPr>
        <w:softHyphen/>
        <w:t>изводить. Как вылетавшие ресурс они отправ</w:t>
      </w:r>
      <w:r w:rsidRPr="00640820">
        <w:rPr>
          <w:rFonts w:ascii="Times New Roman" w:hAnsi="Times New Roman"/>
          <w:color w:val="000000" w:themeColor="text1"/>
          <w:sz w:val="16"/>
          <w:szCs w:val="16"/>
        </w:rPr>
        <w:softHyphen/>
        <w:t>лены в Красноярск и сданы авиаремонтному заводу.</w:t>
      </w:r>
    </w:p>
    <w:p w14:paraId="53D071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МБР-2 - 2 шт., 1 декабря один МБР-2 потер</w:t>
      </w:r>
      <w:r w:rsidRPr="00640820">
        <w:rPr>
          <w:rFonts w:ascii="Times New Roman" w:hAnsi="Times New Roman"/>
          <w:color w:val="000000" w:themeColor="text1"/>
          <w:sz w:val="16"/>
          <w:szCs w:val="16"/>
        </w:rPr>
        <w:softHyphen/>
        <w:t>пел аварию (находится в Корабельная), ре</w:t>
      </w:r>
      <w:r w:rsidRPr="00640820">
        <w:rPr>
          <w:rFonts w:ascii="Times New Roman" w:hAnsi="Times New Roman"/>
          <w:color w:val="000000" w:themeColor="text1"/>
          <w:sz w:val="16"/>
          <w:szCs w:val="16"/>
        </w:rPr>
        <w:softHyphen/>
        <w:t>монту не подлежит.</w:t>
      </w:r>
    </w:p>
    <w:p w14:paraId="7E986E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Р-5 -1 шт., исправен, Мезень.</w:t>
      </w:r>
    </w:p>
    <w:p w14:paraId="38DD56F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У-2 -1 шт., исправен, Ягодник.</w:t>
      </w:r>
    </w:p>
    <w:p w14:paraId="1E5D7FB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2-я АГ просуществовала до середины 1942 г. Летом самолеты авиагруппы подчини</w:t>
      </w:r>
      <w:r w:rsidRPr="00640820">
        <w:rPr>
          <w:rFonts w:ascii="Times New Roman" w:hAnsi="Times New Roman"/>
          <w:color w:val="000000" w:themeColor="text1"/>
          <w:sz w:val="16"/>
          <w:szCs w:val="16"/>
        </w:rPr>
        <w:softHyphen/>
        <w:t>ли северному отряду БВФ, в оперативное под</w:t>
      </w:r>
      <w:r w:rsidRPr="00640820">
        <w:rPr>
          <w:rFonts w:ascii="Times New Roman" w:hAnsi="Times New Roman"/>
          <w:color w:val="000000" w:themeColor="text1"/>
          <w:sz w:val="16"/>
          <w:szCs w:val="16"/>
        </w:rPr>
        <w:softHyphen/>
        <w:t>чинение которого придавали пять самолетов 2-й АГ (два МБР-2, один Р-6, один СБ). Согласно оперативной директиве №004/0П авиагруппе под командованием майора Крестьянова следовало перебазироваться на аэродром Нарьян-Мар (для разведки, поиска и уничтожения подводных лодок противника в случаях попыток их выхода в восточную часть Баренцева моря).</w:t>
      </w:r>
    </w:p>
    <w:p w14:paraId="03F98E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Однако уже в августе было принято реше</w:t>
      </w:r>
      <w:r w:rsidRPr="00640820">
        <w:rPr>
          <w:rFonts w:ascii="Times New Roman" w:hAnsi="Times New Roman"/>
          <w:color w:val="000000" w:themeColor="text1"/>
          <w:sz w:val="16"/>
          <w:szCs w:val="16"/>
        </w:rPr>
        <w:softHyphen/>
        <w:t>ние о реорганизации в 3-ю авиагруппу. На ос</w:t>
      </w:r>
      <w:r w:rsidRPr="00640820">
        <w:rPr>
          <w:rFonts w:ascii="Times New Roman" w:hAnsi="Times New Roman"/>
          <w:color w:val="000000" w:themeColor="text1"/>
          <w:sz w:val="16"/>
          <w:szCs w:val="16"/>
        </w:rPr>
        <w:softHyphen/>
        <w:t>новании приказа командующего СФ №0433 от 11.8.42 г. в составе Беломорской флотилии была организована 3-я АГ со штабом на о. Ягодник. В состав 3-й АГ вошли 16-й транс</w:t>
      </w:r>
      <w:r w:rsidRPr="00640820">
        <w:rPr>
          <w:rFonts w:ascii="Times New Roman" w:hAnsi="Times New Roman"/>
          <w:color w:val="000000" w:themeColor="text1"/>
          <w:sz w:val="16"/>
          <w:szCs w:val="16"/>
        </w:rPr>
        <w:softHyphen/>
        <w:t>портный авиаотряд, 49-я морская разведыва</w:t>
      </w:r>
      <w:r w:rsidRPr="00640820">
        <w:rPr>
          <w:rFonts w:ascii="Times New Roman" w:hAnsi="Times New Roman"/>
          <w:color w:val="000000" w:themeColor="text1"/>
          <w:sz w:val="16"/>
          <w:szCs w:val="16"/>
        </w:rPr>
        <w:softHyphen/>
        <w:t>тельная эскадрилья (оз. Холмовское), 24-е звено связи (Соловецкие острова), 11-я учеб</w:t>
      </w:r>
      <w:r w:rsidRPr="00640820">
        <w:rPr>
          <w:rFonts w:ascii="Times New Roman" w:hAnsi="Times New Roman"/>
          <w:color w:val="000000" w:themeColor="text1"/>
          <w:sz w:val="16"/>
          <w:szCs w:val="16"/>
        </w:rPr>
        <w:softHyphen/>
        <w:t>ная авиаэскадрилья. 3-я авиагруппа получила авиабазу, ремонтные мастерские и ремонтный поезд, авиасклад, роту связи и прочее. Одним словом, созданная в начале войны импрови</w:t>
      </w:r>
      <w:r w:rsidRPr="00640820">
        <w:rPr>
          <w:rFonts w:ascii="Times New Roman" w:hAnsi="Times New Roman"/>
          <w:color w:val="000000" w:themeColor="text1"/>
          <w:sz w:val="16"/>
          <w:szCs w:val="16"/>
        </w:rPr>
        <w:softHyphen/>
        <w:t>зированная авиагруппа со временем превра</w:t>
      </w:r>
      <w:r w:rsidRPr="00640820">
        <w:rPr>
          <w:rFonts w:ascii="Times New Roman" w:hAnsi="Times New Roman"/>
          <w:color w:val="000000" w:themeColor="text1"/>
          <w:sz w:val="16"/>
          <w:szCs w:val="16"/>
        </w:rPr>
        <w:softHyphen/>
        <w:t>тилась в полноценное войсковое подразделе</w:t>
      </w:r>
      <w:r w:rsidRPr="00640820">
        <w:rPr>
          <w:rFonts w:ascii="Times New Roman" w:hAnsi="Times New Roman"/>
          <w:color w:val="000000" w:themeColor="text1"/>
          <w:sz w:val="16"/>
          <w:szCs w:val="16"/>
        </w:rPr>
        <w:softHyphen/>
        <w:t>ние. Использовались Ли-2, У-2, МБР-2. Что касется самолетов Дорнье «Валь»,то их военная история закончилась в 1941 г. (11977).</w:t>
      </w:r>
    </w:p>
    <w:p w14:paraId="17E49F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8D82FB3" w14:textId="77777777" w:rsidR="007627BD" w:rsidRPr="00640820" w:rsidRDefault="007627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15 декабря</w:t>
      </w:r>
      <w:r w:rsidRPr="00640820">
        <w:rPr>
          <w:rFonts w:ascii="Times New Roman" w:hAnsi="Times New Roman"/>
          <w:color w:val="000000" w:themeColor="text1"/>
          <w:sz w:val="16"/>
          <w:szCs w:val="16"/>
        </w:rPr>
        <w:t xml:space="preserve"> в 1941 году в ходе битвы под Москвой войска 30-й (Д.Д.Лелюшенко) и 1-й ударной (В.И.Кузнецов) армий освободили от немецко-фашистских захватчиков город Клин (14861).</w:t>
      </w:r>
    </w:p>
    <w:p w14:paraId="58AAAF62" w14:textId="77777777" w:rsidR="007627BD" w:rsidRPr="00640820" w:rsidRDefault="007627BD" w:rsidP="00640820">
      <w:pPr>
        <w:spacing w:after="0" w:line="240" w:lineRule="auto"/>
        <w:jc w:val="both"/>
        <w:rPr>
          <w:rFonts w:ascii="Times New Roman" w:hAnsi="Times New Roman"/>
          <w:color w:val="000000" w:themeColor="text1"/>
          <w:sz w:val="16"/>
          <w:szCs w:val="16"/>
        </w:rPr>
      </w:pPr>
    </w:p>
    <w:p w14:paraId="271715C6" w14:textId="77777777" w:rsidR="007627BD" w:rsidRPr="00640820" w:rsidRDefault="007627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15 декабря</w:t>
      </w:r>
      <w:r w:rsidRPr="00640820">
        <w:rPr>
          <w:rFonts w:ascii="Times New Roman" w:hAnsi="Times New Roman"/>
          <w:color w:val="000000" w:themeColor="text1"/>
          <w:sz w:val="16"/>
          <w:szCs w:val="16"/>
        </w:rPr>
        <w:t xml:space="preserve"> в 1941 году экипажи Московской авиагруппы особого назначения ГВФ выбросили в район Теряевой Слободы 415 парашютистов, которые, захватив дороги, сорвали отход гитлеровских войск и техники из города Клина (14861).</w:t>
      </w:r>
    </w:p>
    <w:p w14:paraId="3BAB183C" w14:textId="77777777" w:rsidR="007627BD" w:rsidRPr="00640820" w:rsidRDefault="007627BD" w:rsidP="00640820">
      <w:pPr>
        <w:spacing w:after="0" w:line="240" w:lineRule="auto"/>
        <w:jc w:val="both"/>
        <w:rPr>
          <w:rFonts w:ascii="Times New Roman" w:hAnsi="Times New Roman"/>
          <w:color w:val="000000" w:themeColor="text1"/>
          <w:sz w:val="16"/>
          <w:szCs w:val="16"/>
        </w:rPr>
      </w:pPr>
    </w:p>
    <w:p w14:paraId="2DCD7E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ночь на 15 декабря 1941 западнее Теряевой Слободы выбросили парашютный десант в составе 415 чел. и к концу декабря он соединился с 30А (341,83).</w:t>
      </w:r>
    </w:p>
    <w:p w14:paraId="3F742F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7591E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декабря 1941 в районе западнее Теряевой слободы был выброшен тактический воздушный десант из 415 чел., чтобы перерезать пути отхода противника из Клина. К концу декабря соединился с силами 30-й армии (340,66).</w:t>
      </w:r>
    </w:p>
    <w:p w14:paraId="60E502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CDF7EBA" w14:textId="77777777" w:rsidR="00173061" w:rsidRPr="00640820" w:rsidRDefault="0017306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15–16 декабря (ночь) 1941 Советский Союз выполняет первый в своей истории боевой парашютный десант, высадив 415 человек в тылу немецких войск у Теряевой слободы в поддержку наступления 30-й советской армии. Из-за плохой координации действий и отсутствия истребительного прикрытия советские десантники несут тяжелые потери и едва ускользают от уничтожения (20794).</w:t>
      </w:r>
    </w:p>
    <w:p w14:paraId="350D7FB6" w14:textId="77777777" w:rsidR="00173061" w:rsidRPr="00640820" w:rsidRDefault="00173061" w:rsidP="00640820">
      <w:pPr>
        <w:spacing w:after="0" w:line="240" w:lineRule="auto"/>
        <w:jc w:val="both"/>
        <w:rPr>
          <w:rFonts w:ascii="Times New Roman" w:hAnsi="Times New Roman"/>
          <w:color w:val="0070C0"/>
          <w:sz w:val="16"/>
          <w:szCs w:val="16"/>
        </w:rPr>
      </w:pPr>
    </w:p>
    <w:p w14:paraId="61E9304C" w14:textId="77777777" w:rsidR="00173061" w:rsidRPr="00640820" w:rsidRDefault="0017306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15 дека</w:t>
      </w:r>
      <w:r w:rsidRPr="00640820">
        <w:rPr>
          <w:rFonts w:ascii="Times New Roman" w:hAnsi="Times New Roman"/>
          <w:color w:val="0070C0"/>
          <w:sz w:val="16"/>
          <w:szCs w:val="16"/>
        </w:rPr>
        <w:softHyphen/>
        <w:t>бря 1941 - Экипажи Московской авиагруппы особого назначения ГВФ выбросили в район Теряевой Слободы 415 парашютистов, которые, захватив дороги, сорвали отход гитлеровских войск и техники из города Клина (22702).</w:t>
      </w:r>
    </w:p>
    <w:p w14:paraId="49EEC2E1" w14:textId="77777777" w:rsidR="00173061" w:rsidRPr="00640820" w:rsidRDefault="00173061" w:rsidP="00640820">
      <w:pPr>
        <w:spacing w:after="0" w:line="240" w:lineRule="auto"/>
        <w:jc w:val="both"/>
        <w:rPr>
          <w:rFonts w:ascii="Times New Roman" w:hAnsi="Times New Roman"/>
          <w:color w:val="0070C0"/>
          <w:sz w:val="16"/>
          <w:szCs w:val="16"/>
        </w:rPr>
      </w:pPr>
    </w:p>
    <w:p w14:paraId="4CAED1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декабря 1941 войска ЗФ освободили Клин (3186).</w:t>
      </w:r>
    </w:p>
    <w:p w14:paraId="69A943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D901B7D"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3C7B398A"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E5B46A3" w14:textId="77777777" w:rsidR="00285B16" w:rsidRPr="00640820" w:rsidRDefault="00285B1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декабря 1941. Постановление Политбюро ЦК ВКП(б) о переезде аппарата ЦКВКП(б) из Куйбышева в Москву.</w:t>
      </w:r>
    </w:p>
    <w:p w14:paraId="6EB1BD71" w14:textId="77777777" w:rsidR="00285B16" w:rsidRPr="00640820" w:rsidRDefault="00285B16" w:rsidP="00640820">
      <w:pPr>
        <w:spacing w:after="0" w:line="240" w:lineRule="auto"/>
        <w:jc w:val="both"/>
        <w:rPr>
          <w:rFonts w:ascii="Times New Roman" w:hAnsi="Times New Roman"/>
          <w:color w:val="000000" w:themeColor="text1"/>
          <w:sz w:val="16"/>
          <w:szCs w:val="16"/>
        </w:rPr>
      </w:pPr>
    </w:p>
    <w:p w14:paraId="33BD9D46" w14:textId="77777777" w:rsidR="00F575EB" w:rsidRPr="00640820" w:rsidRDefault="00F575EB" w:rsidP="00640820">
      <w:pPr>
        <w:pStyle w:val="621"/>
        <w:shd w:val="clear" w:color="auto" w:fill="auto"/>
        <w:tabs>
          <w:tab w:val="left" w:pos="762"/>
        </w:tabs>
        <w:spacing w:before="0" w:line="240" w:lineRule="auto"/>
        <w:rPr>
          <w:color w:val="000000" w:themeColor="text1"/>
          <w:sz w:val="16"/>
          <w:szCs w:val="16"/>
        </w:rPr>
      </w:pPr>
      <w:r w:rsidRPr="00640820">
        <w:rPr>
          <w:rStyle w:val="Heading22"/>
          <w:color w:val="000000" w:themeColor="text1"/>
          <w:sz w:val="16"/>
          <w:szCs w:val="16"/>
        </w:rPr>
        <w:t>15 декабря 1941 г.Справка о количестве размещенного в областях, краях и республиках эвакуированного из прифронтовой полосы населения по состоянию на 15 декабря 1941 г.</w:t>
      </w:r>
    </w:p>
    <w:tbl>
      <w:tblPr>
        <w:tblW w:w="0" w:type="auto"/>
        <w:jc w:val="center"/>
        <w:tblLayout w:type="fixed"/>
        <w:tblCellMar>
          <w:left w:w="10" w:type="dxa"/>
          <w:right w:w="10" w:type="dxa"/>
        </w:tblCellMar>
        <w:tblLook w:val="0000" w:firstRow="0" w:lastRow="0" w:firstColumn="0" w:lastColumn="0" w:noHBand="0" w:noVBand="0"/>
      </w:tblPr>
      <w:tblGrid>
        <w:gridCol w:w="3518"/>
        <w:gridCol w:w="4723"/>
      </w:tblGrid>
      <w:tr w:rsidR="00643896" w:rsidRPr="00640820" w14:paraId="3AECCE3D" w14:textId="77777777" w:rsidTr="0087788A">
        <w:trPr>
          <w:trHeight w:val="240"/>
          <w:jc w:val="center"/>
        </w:trPr>
        <w:tc>
          <w:tcPr>
            <w:tcW w:w="3518" w:type="dxa"/>
            <w:tcBorders>
              <w:top w:val="single" w:sz="4" w:space="0" w:color="auto"/>
              <w:left w:val="single" w:sz="4" w:space="0" w:color="auto"/>
              <w:bottom w:val="single" w:sz="4" w:space="0" w:color="auto"/>
              <w:right w:val="single" w:sz="4" w:space="0" w:color="auto"/>
            </w:tcBorders>
            <w:shd w:val="clear" w:color="auto" w:fill="FFFFFF"/>
          </w:tcPr>
          <w:p w14:paraId="0C475EC6"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6"/>
                <w:rFonts w:eastAsia="Calibri"/>
                <w:color w:val="000000" w:themeColor="text1"/>
                <w:sz w:val="16"/>
                <w:szCs w:val="16"/>
              </w:rPr>
              <w:lastRenderedPageBreak/>
              <w:t>Наименование краев, областей и республик</w:t>
            </w:r>
          </w:p>
        </w:tc>
        <w:tc>
          <w:tcPr>
            <w:tcW w:w="4723" w:type="dxa"/>
            <w:tcBorders>
              <w:top w:val="single" w:sz="4" w:space="0" w:color="auto"/>
              <w:left w:val="single" w:sz="4" w:space="0" w:color="auto"/>
              <w:bottom w:val="single" w:sz="4" w:space="0" w:color="auto"/>
              <w:right w:val="single" w:sz="4" w:space="0" w:color="auto"/>
            </w:tcBorders>
            <w:shd w:val="clear" w:color="auto" w:fill="FFFFFF"/>
          </w:tcPr>
          <w:p w14:paraId="290B8B54"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6"/>
                <w:rFonts w:eastAsia="Calibri"/>
                <w:color w:val="000000" w:themeColor="text1"/>
                <w:sz w:val="16"/>
                <w:szCs w:val="16"/>
              </w:rPr>
              <w:t>Количество человек (тыс.)</w:t>
            </w:r>
          </w:p>
        </w:tc>
      </w:tr>
      <w:tr w:rsidR="00643896" w:rsidRPr="00640820" w14:paraId="720B86C1" w14:textId="77777777" w:rsidTr="0087788A">
        <w:trPr>
          <w:trHeight w:val="235"/>
          <w:jc w:val="center"/>
        </w:trPr>
        <w:tc>
          <w:tcPr>
            <w:tcW w:w="3518" w:type="dxa"/>
            <w:tcBorders>
              <w:top w:val="single" w:sz="4" w:space="0" w:color="auto"/>
              <w:left w:val="single" w:sz="4" w:space="0" w:color="auto"/>
              <w:bottom w:val="single" w:sz="4" w:space="0" w:color="auto"/>
              <w:right w:val="single" w:sz="4" w:space="0" w:color="auto"/>
            </w:tcBorders>
            <w:shd w:val="clear" w:color="auto" w:fill="FFFFFF"/>
          </w:tcPr>
          <w:p w14:paraId="29B0C0E5"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Алтайский край</w:t>
            </w:r>
          </w:p>
        </w:tc>
        <w:tc>
          <w:tcPr>
            <w:tcW w:w="4723" w:type="dxa"/>
            <w:tcBorders>
              <w:top w:val="single" w:sz="4" w:space="0" w:color="auto"/>
              <w:left w:val="single" w:sz="4" w:space="0" w:color="auto"/>
              <w:bottom w:val="single" w:sz="4" w:space="0" w:color="auto"/>
              <w:right w:val="single" w:sz="4" w:space="0" w:color="auto"/>
            </w:tcBorders>
            <w:shd w:val="clear" w:color="auto" w:fill="FFFFFF"/>
          </w:tcPr>
          <w:p w14:paraId="7CE4D6A6"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81,4</w:t>
            </w:r>
          </w:p>
        </w:tc>
      </w:tr>
      <w:tr w:rsidR="00643896" w:rsidRPr="00640820" w14:paraId="28734784" w14:textId="77777777" w:rsidTr="0087788A">
        <w:trPr>
          <w:trHeight w:val="230"/>
          <w:jc w:val="center"/>
        </w:trPr>
        <w:tc>
          <w:tcPr>
            <w:tcW w:w="3518" w:type="dxa"/>
            <w:tcBorders>
              <w:top w:val="single" w:sz="4" w:space="0" w:color="auto"/>
              <w:left w:val="single" w:sz="4" w:space="0" w:color="auto"/>
              <w:bottom w:val="single" w:sz="4" w:space="0" w:color="auto"/>
              <w:right w:val="single" w:sz="4" w:space="0" w:color="auto"/>
            </w:tcBorders>
            <w:shd w:val="clear" w:color="auto" w:fill="FFFFFF"/>
          </w:tcPr>
          <w:p w14:paraId="3F3D7C0C"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Краснодарский край</w:t>
            </w:r>
          </w:p>
        </w:tc>
        <w:tc>
          <w:tcPr>
            <w:tcW w:w="4723" w:type="dxa"/>
            <w:tcBorders>
              <w:top w:val="single" w:sz="4" w:space="0" w:color="auto"/>
              <w:left w:val="single" w:sz="4" w:space="0" w:color="auto"/>
              <w:bottom w:val="single" w:sz="4" w:space="0" w:color="auto"/>
              <w:right w:val="single" w:sz="4" w:space="0" w:color="auto"/>
            </w:tcBorders>
            <w:shd w:val="clear" w:color="auto" w:fill="FFFFFF"/>
          </w:tcPr>
          <w:p w14:paraId="34CC9B6C"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226,7</w:t>
            </w:r>
          </w:p>
        </w:tc>
      </w:tr>
      <w:tr w:rsidR="00643896" w:rsidRPr="00640820" w14:paraId="60048F29" w14:textId="77777777" w:rsidTr="0087788A">
        <w:trPr>
          <w:trHeight w:val="235"/>
          <w:jc w:val="center"/>
        </w:trPr>
        <w:tc>
          <w:tcPr>
            <w:tcW w:w="3518" w:type="dxa"/>
            <w:tcBorders>
              <w:top w:val="single" w:sz="4" w:space="0" w:color="auto"/>
              <w:left w:val="single" w:sz="4" w:space="0" w:color="auto"/>
              <w:bottom w:val="single" w:sz="4" w:space="0" w:color="auto"/>
              <w:right w:val="single" w:sz="4" w:space="0" w:color="auto"/>
            </w:tcBorders>
            <w:shd w:val="clear" w:color="auto" w:fill="FFFFFF"/>
          </w:tcPr>
          <w:p w14:paraId="698B5F27"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Красноярский край</w:t>
            </w:r>
          </w:p>
        </w:tc>
        <w:tc>
          <w:tcPr>
            <w:tcW w:w="4723" w:type="dxa"/>
            <w:tcBorders>
              <w:top w:val="single" w:sz="4" w:space="0" w:color="auto"/>
              <w:left w:val="single" w:sz="4" w:space="0" w:color="auto"/>
              <w:bottom w:val="single" w:sz="4" w:space="0" w:color="auto"/>
              <w:right w:val="single" w:sz="4" w:space="0" w:color="auto"/>
            </w:tcBorders>
            <w:shd w:val="clear" w:color="auto" w:fill="FFFFFF"/>
          </w:tcPr>
          <w:p w14:paraId="22CE50F5"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100,0</w:t>
            </w:r>
          </w:p>
        </w:tc>
      </w:tr>
      <w:tr w:rsidR="00643896" w:rsidRPr="00640820" w14:paraId="7B9B2FF6" w14:textId="77777777" w:rsidTr="0087788A">
        <w:trPr>
          <w:trHeight w:val="235"/>
          <w:jc w:val="center"/>
        </w:trPr>
        <w:tc>
          <w:tcPr>
            <w:tcW w:w="3518" w:type="dxa"/>
            <w:tcBorders>
              <w:top w:val="single" w:sz="4" w:space="0" w:color="auto"/>
              <w:left w:val="single" w:sz="4" w:space="0" w:color="auto"/>
              <w:bottom w:val="single" w:sz="4" w:space="0" w:color="auto"/>
              <w:right w:val="single" w:sz="4" w:space="0" w:color="auto"/>
            </w:tcBorders>
            <w:shd w:val="clear" w:color="auto" w:fill="FFFFFF"/>
          </w:tcPr>
          <w:p w14:paraId="29F4EEAA"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Орджоникидзевский край</w:t>
            </w:r>
          </w:p>
        </w:tc>
        <w:tc>
          <w:tcPr>
            <w:tcW w:w="4723" w:type="dxa"/>
            <w:tcBorders>
              <w:top w:val="single" w:sz="4" w:space="0" w:color="auto"/>
              <w:left w:val="single" w:sz="4" w:space="0" w:color="auto"/>
              <w:bottom w:val="single" w:sz="4" w:space="0" w:color="auto"/>
              <w:right w:val="single" w:sz="4" w:space="0" w:color="auto"/>
            </w:tcBorders>
            <w:shd w:val="clear" w:color="auto" w:fill="FFFFFF"/>
          </w:tcPr>
          <w:p w14:paraId="3474B046"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226,9</w:t>
            </w:r>
          </w:p>
        </w:tc>
      </w:tr>
      <w:tr w:rsidR="00643896" w:rsidRPr="00640820" w14:paraId="080FF8C3" w14:textId="77777777" w:rsidTr="0087788A">
        <w:trPr>
          <w:trHeight w:val="235"/>
          <w:jc w:val="center"/>
        </w:trPr>
        <w:tc>
          <w:tcPr>
            <w:tcW w:w="3518" w:type="dxa"/>
            <w:tcBorders>
              <w:top w:val="single" w:sz="4" w:space="0" w:color="auto"/>
              <w:left w:val="single" w:sz="4" w:space="0" w:color="auto"/>
              <w:bottom w:val="single" w:sz="4" w:space="0" w:color="auto"/>
              <w:right w:val="single" w:sz="4" w:space="0" w:color="auto"/>
            </w:tcBorders>
            <w:shd w:val="clear" w:color="auto" w:fill="FFFFFF"/>
          </w:tcPr>
          <w:p w14:paraId="0B8BFBF6"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Архангельская обл.</w:t>
            </w:r>
          </w:p>
        </w:tc>
        <w:tc>
          <w:tcPr>
            <w:tcW w:w="4723" w:type="dxa"/>
            <w:tcBorders>
              <w:top w:val="single" w:sz="4" w:space="0" w:color="auto"/>
              <w:left w:val="single" w:sz="4" w:space="0" w:color="auto"/>
              <w:bottom w:val="single" w:sz="4" w:space="0" w:color="auto"/>
              <w:right w:val="single" w:sz="4" w:space="0" w:color="auto"/>
            </w:tcBorders>
            <w:shd w:val="clear" w:color="auto" w:fill="FFFFFF"/>
          </w:tcPr>
          <w:p w14:paraId="144DCF22"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78,8</w:t>
            </w:r>
          </w:p>
        </w:tc>
      </w:tr>
      <w:tr w:rsidR="00643896" w:rsidRPr="00640820" w14:paraId="6B297550" w14:textId="77777777" w:rsidTr="0087788A">
        <w:trPr>
          <w:trHeight w:val="230"/>
          <w:jc w:val="center"/>
        </w:trPr>
        <w:tc>
          <w:tcPr>
            <w:tcW w:w="3518" w:type="dxa"/>
            <w:tcBorders>
              <w:top w:val="single" w:sz="4" w:space="0" w:color="auto"/>
              <w:left w:val="single" w:sz="4" w:space="0" w:color="auto"/>
              <w:bottom w:val="single" w:sz="4" w:space="0" w:color="auto"/>
              <w:right w:val="single" w:sz="4" w:space="0" w:color="auto"/>
            </w:tcBorders>
            <w:shd w:val="clear" w:color="auto" w:fill="FFFFFF"/>
          </w:tcPr>
          <w:p w14:paraId="67C70729"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Вологодская обл.</w:t>
            </w:r>
          </w:p>
        </w:tc>
        <w:tc>
          <w:tcPr>
            <w:tcW w:w="4723" w:type="dxa"/>
            <w:tcBorders>
              <w:top w:val="single" w:sz="4" w:space="0" w:color="auto"/>
              <w:left w:val="single" w:sz="4" w:space="0" w:color="auto"/>
              <w:bottom w:val="single" w:sz="4" w:space="0" w:color="auto"/>
              <w:right w:val="single" w:sz="4" w:space="0" w:color="auto"/>
            </w:tcBorders>
            <w:shd w:val="clear" w:color="auto" w:fill="FFFFFF"/>
          </w:tcPr>
          <w:p w14:paraId="596AA42F"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134,5</w:t>
            </w:r>
          </w:p>
        </w:tc>
      </w:tr>
      <w:tr w:rsidR="00643896" w:rsidRPr="00640820" w14:paraId="57081E2E" w14:textId="77777777" w:rsidTr="0087788A">
        <w:trPr>
          <w:trHeight w:val="235"/>
          <w:jc w:val="center"/>
        </w:trPr>
        <w:tc>
          <w:tcPr>
            <w:tcW w:w="3518" w:type="dxa"/>
            <w:tcBorders>
              <w:top w:val="single" w:sz="4" w:space="0" w:color="auto"/>
              <w:left w:val="single" w:sz="4" w:space="0" w:color="auto"/>
              <w:bottom w:val="single" w:sz="4" w:space="0" w:color="auto"/>
              <w:right w:val="single" w:sz="4" w:space="0" w:color="auto"/>
            </w:tcBorders>
            <w:shd w:val="clear" w:color="auto" w:fill="FFFFFF"/>
          </w:tcPr>
          <w:p w14:paraId="308680E3"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Воронежская обл.</w:t>
            </w:r>
          </w:p>
        </w:tc>
        <w:tc>
          <w:tcPr>
            <w:tcW w:w="4723" w:type="dxa"/>
            <w:tcBorders>
              <w:top w:val="single" w:sz="4" w:space="0" w:color="auto"/>
              <w:left w:val="single" w:sz="4" w:space="0" w:color="auto"/>
              <w:bottom w:val="single" w:sz="4" w:space="0" w:color="auto"/>
              <w:right w:val="single" w:sz="4" w:space="0" w:color="auto"/>
            </w:tcBorders>
            <w:shd w:val="clear" w:color="auto" w:fill="FFFFFF"/>
          </w:tcPr>
          <w:p w14:paraId="330B6400"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94,5</w:t>
            </w:r>
          </w:p>
        </w:tc>
      </w:tr>
      <w:tr w:rsidR="00643896" w:rsidRPr="00640820" w14:paraId="180D9E6D" w14:textId="77777777" w:rsidTr="0087788A">
        <w:trPr>
          <w:trHeight w:val="235"/>
          <w:jc w:val="center"/>
        </w:trPr>
        <w:tc>
          <w:tcPr>
            <w:tcW w:w="3518" w:type="dxa"/>
            <w:tcBorders>
              <w:top w:val="single" w:sz="4" w:space="0" w:color="auto"/>
              <w:left w:val="single" w:sz="4" w:space="0" w:color="auto"/>
              <w:bottom w:val="single" w:sz="4" w:space="0" w:color="auto"/>
              <w:right w:val="single" w:sz="4" w:space="0" w:color="auto"/>
            </w:tcBorders>
            <w:shd w:val="clear" w:color="auto" w:fill="FFFFFF"/>
          </w:tcPr>
          <w:p w14:paraId="6D7A9DCE"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Горьковская обл.</w:t>
            </w:r>
          </w:p>
        </w:tc>
        <w:tc>
          <w:tcPr>
            <w:tcW w:w="4723" w:type="dxa"/>
            <w:tcBorders>
              <w:top w:val="single" w:sz="4" w:space="0" w:color="auto"/>
              <w:left w:val="single" w:sz="4" w:space="0" w:color="auto"/>
              <w:bottom w:val="single" w:sz="4" w:space="0" w:color="auto"/>
              <w:right w:val="single" w:sz="4" w:space="0" w:color="auto"/>
            </w:tcBorders>
            <w:shd w:val="clear" w:color="auto" w:fill="FFFFFF"/>
          </w:tcPr>
          <w:p w14:paraId="1404D289"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145,5</w:t>
            </w:r>
          </w:p>
        </w:tc>
      </w:tr>
      <w:tr w:rsidR="00643896" w:rsidRPr="00640820" w14:paraId="79A051F5" w14:textId="77777777" w:rsidTr="0087788A">
        <w:trPr>
          <w:trHeight w:val="230"/>
          <w:jc w:val="center"/>
        </w:trPr>
        <w:tc>
          <w:tcPr>
            <w:tcW w:w="3518" w:type="dxa"/>
            <w:tcBorders>
              <w:top w:val="single" w:sz="4" w:space="0" w:color="auto"/>
              <w:left w:val="single" w:sz="4" w:space="0" w:color="auto"/>
              <w:bottom w:val="single" w:sz="4" w:space="0" w:color="auto"/>
              <w:right w:val="single" w:sz="4" w:space="0" w:color="auto"/>
            </w:tcBorders>
            <w:shd w:val="clear" w:color="auto" w:fill="FFFFFF"/>
          </w:tcPr>
          <w:p w14:paraId="5D83681B"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Ивановская обл.</w:t>
            </w:r>
          </w:p>
        </w:tc>
        <w:tc>
          <w:tcPr>
            <w:tcW w:w="4723" w:type="dxa"/>
            <w:tcBorders>
              <w:top w:val="single" w:sz="4" w:space="0" w:color="auto"/>
              <w:left w:val="single" w:sz="4" w:space="0" w:color="auto"/>
              <w:bottom w:val="single" w:sz="4" w:space="0" w:color="auto"/>
              <w:right w:val="single" w:sz="4" w:space="0" w:color="auto"/>
            </w:tcBorders>
            <w:shd w:val="clear" w:color="auto" w:fill="FFFFFF"/>
          </w:tcPr>
          <w:p w14:paraId="153DA99B"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60,0</w:t>
            </w:r>
          </w:p>
        </w:tc>
      </w:tr>
      <w:tr w:rsidR="00643896" w:rsidRPr="00640820" w14:paraId="7A624F2A" w14:textId="77777777" w:rsidTr="0087788A">
        <w:trPr>
          <w:trHeight w:val="235"/>
          <w:jc w:val="center"/>
        </w:trPr>
        <w:tc>
          <w:tcPr>
            <w:tcW w:w="3518" w:type="dxa"/>
            <w:tcBorders>
              <w:top w:val="single" w:sz="4" w:space="0" w:color="auto"/>
              <w:left w:val="single" w:sz="4" w:space="0" w:color="auto"/>
              <w:bottom w:val="single" w:sz="4" w:space="0" w:color="auto"/>
              <w:right w:val="single" w:sz="4" w:space="0" w:color="auto"/>
            </w:tcBorders>
            <w:shd w:val="clear" w:color="auto" w:fill="FFFFFF"/>
          </w:tcPr>
          <w:p w14:paraId="16751C1E"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Иркутская обл.</w:t>
            </w:r>
          </w:p>
        </w:tc>
        <w:tc>
          <w:tcPr>
            <w:tcW w:w="4723" w:type="dxa"/>
            <w:tcBorders>
              <w:top w:val="single" w:sz="4" w:space="0" w:color="auto"/>
              <w:left w:val="single" w:sz="4" w:space="0" w:color="auto"/>
              <w:bottom w:val="single" w:sz="4" w:space="0" w:color="auto"/>
              <w:right w:val="single" w:sz="4" w:space="0" w:color="auto"/>
            </w:tcBorders>
            <w:shd w:val="clear" w:color="auto" w:fill="FFFFFF"/>
          </w:tcPr>
          <w:p w14:paraId="25C464F8"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14,0</w:t>
            </w:r>
          </w:p>
        </w:tc>
      </w:tr>
      <w:tr w:rsidR="00643896" w:rsidRPr="00640820" w14:paraId="3AEAE36A" w14:textId="77777777" w:rsidTr="0087788A">
        <w:trPr>
          <w:trHeight w:val="235"/>
          <w:jc w:val="center"/>
        </w:trPr>
        <w:tc>
          <w:tcPr>
            <w:tcW w:w="3518" w:type="dxa"/>
            <w:tcBorders>
              <w:top w:val="single" w:sz="4" w:space="0" w:color="auto"/>
              <w:left w:val="single" w:sz="4" w:space="0" w:color="auto"/>
              <w:bottom w:val="single" w:sz="4" w:space="0" w:color="auto"/>
              <w:right w:val="single" w:sz="4" w:space="0" w:color="auto"/>
            </w:tcBorders>
            <w:shd w:val="clear" w:color="auto" w:fill="FFFFFF"/>
          </w:tcPr>
          <w:p w14:paraId="2883ECA1"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Калининская обл.</w:t>
            </w:r>
          </w:p>
        </w:tc>
        <w:tc>
          <w:tcPr>
            <w:tcW w:w="4723" w:type="dxa"/>
            <w:tcBorders>
              <w:top w:val="single" w:sz="4" w:space="0" w:color="auto"/>
              <w:left w:val="single" w:sz="4" w:space="0" w:color="auto"/>
              <w:bottom w:val="single" w:sz="4" w:space="0" w:color="auto"/>
              <w:right w:val="single" w:sz="4" w:space="0" w:color="auto"/>
            </w:tcBorders>
            <w:shd w:val="clear" w:color="auto" w:fill="FFFFFF"/>
          </w:tcPr>
          <w:p w14:paraId="6819A564"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41,3</w:t>
            </w:r>
          </w:p>
        </w:tc>
      </w:tr>
      <w:tr w:rsidR="00643896" w:rsidRPr="00640820" w14:paraId="702FD3E1" w14:textId="77777777" w:rsidTr="0087788A">
        <w:trPr>
          <w:trHeight w:val="230"/>
          <w:jc w:val="center"/>
        </w:trPr>
        <w:tc>
          <w:tcPr>
            <w:tcW w:w="3518" w:type="dxa"/>
            <w:tcBorders>
              <w:top w:val="single" w:sz="4" w:space="0" w:color="auto"/>
              <w:left w:val="single" w:sz="4" w:space="0" w:color="auto"/>
              <w:bottom w:val="single" w:sz="4" w:space="0" w:color="auto"/>
              <w:right w:val="single" w:sz="4" w:space="0" w:color="auto"/>
            </w:tcBorders>
            <w:shd w:val="clear" w:color="auto" w:fill="FFFFFF"/>
          </w:tcPr>
          <w:p w14:paraId="60233D89"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Кировская обл.</w:t>
            </w:r>
          </w:p>
        </w:tc>
        <w:tc>
          <w:tcPr>
            <w:tcW w:w="4723" w:type="dxa"/>
            <w:tcBorders>
              <w:top w:val="single" w:sz="4" w:space="0" w:color="auto"/>
              <w:left w:val="single" w:sz="4" w:space="0" w:color="auto"/>
              <w:bottom w:val="single" w:sz="4" w:space="0" w:color="auto"/>
              <w:right w:val="single" w:sz="4" w:space="0" w:color="auto"/>
            </w:tcBorders>
            <w:shd w:val="clear" w:color="auto" w:fill="FFFFFF"/>
          </w:tcPr>
          <w:p w14:paraId="42FC9D6A"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178,2</w:t>
            </w:r>
          </w:p>
        </w:tc>
      </w:tr>
      <w:tr w:rsidR="00643896" w:rsidRPr="00640820" w14:paraId="2D7965C0" w14:textId="77777777" w:rsidTr="0087788A">
        <w:trPr>
          <w:trHeight w:val="235"/>
          <w:jc w:val="center"/>
        </w:trPr>
        <w:tc>
          <w:tcPr>
            <w:tcW w:w="3518" w:type="dxa"/>
            <w:tcBorders>
              <w:top w:val="single" w:sz="4" w:space="0" w:color="auto"/>
              <w:left w:val="single" w:sz="4" w:space="0" w:color="auto"/>
              <w:bottom w:val="single" w:sz="4" w:space="0" w:color="auto"/>
              <w:right w:val="single" w:sz="4" w:space="0" w:color="auto"/>
            </w:tcBorders>
            <w:shd w:val="clear" w:color="auto" w:fill="FFFFFF"/>
          </w:tcPr>
          <w:p w14:paraId="75E05FE9"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Курская обл.</w:t>
            </w:r>
          </w:p>
        </w:tc>
        <w:tc>
          <w:tcPr>
            <w:tcW w:w="4723" w:type="dxa"/>
            <w:tcBorders>
              <w:top w:val="single" w:sz="4" w:space="0" w:color="auto"/>
              <w:left w:val="single" w:sz="4" w:space="0" w:color="auto"/>
              <w:bottom w:val="single" w:sz="4" w:space="0" w:color="auto"/>
              <w:right w:val="single" w:sz="4" w:space="0" w:color="auto"/>
            </w:tcBorders>
            <w:shd w:val="clear" w:color="auto" w:fill="FFFFFF"/>
          </w:tcPr>
          <w:p w14:paraId="3BCC738B"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25,0</w:t>
            </w:r>
          </w:p>
        </w:tc>
      </w:tr>
      <w:tr w:rsidR="00643896" w:rsidRPr="00640820" w14:paraId="2D188C1B" w14:textId="77777777" w:rsidTr="0087788A">
        <w:trPr>
          <w:trHeight w:val="235"/>
          <w:jc w:val="center"/>
        </w:trPr>
        <w:tc>
          <w:tcPr>
            <w:tcW w:w="3518" w:type="dxa"/>
            <w:tcBorders>
              <w:top w:val="single" w:sz="4" w:space="0" w:color="auto"/>
              <w:left w:val="single" w:sz="4" w:space="0" w:color="auto"/>
              <w:bottom w:val="single" w:sz="4" w:space="0" w:color="auto"/>
              <w:right w:val="single" w:sz="4" w:space="0" w:color="auto"/>
            </w:tcBorders>
            <w:shd w:val="clear" w:color="auto" w:fill="FFFFFF"/>
          </w:tcPr>
          <w:p w14:paraId="254150D1"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Куйбышевская обл.</w:t>
            </w:r>
          </w:p>
        </w:tc>
        <w:tc>
          <w:tcPr>
            <w:tcW w:w="4723" w:type="dxa"/>
            <w:tcBorders>
              <w:top w:val="single" w:sz="4" w:space="0" w:color="auto"/>
              <w:left w:val="single" w:sz="4" w:space="0" w:color="auto"/>
              <w:bottom w:val="single" w:sz="4" w:space="0" w:color="auto"/>
              <w:right w:val="single" w:sz="4" w:space="0" w:color="auto"/>
            </w:tcBorders>
            <w:shd w:val="clear" w:color="auto" w:fill="FFFFFF"/>
          </w:tcPr>
          <w:p w14:paraId="55C62223"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200,0</w:t>
            </w:r>
          </w:p>
        </w:tc>
      </w:tr>
      <w:tr w:rsidR="00643896" w:rsidRPr="00640820" w14:paraId="48D73D84" w14:textId="77777777" w:rsidTr="0087788A">
        <w:trPr>
          <w:trHeight w:val="230"/>
          <w:jc w:val="center"/>
        </w:trPr>
        <w:tc>
          <w:tcPr>
            <w:tcW w:w="3518" w:type="dxa"/>
            <w:tcBorders>
              <w:top w:val="single" w:sz="4" w:space="0" w:color="auto"/>
              <w:left w:val="single" w:sz="4" w:space="0" w:color="auto"/>
              <w:bottom w:val="single" w:sz="4" w:space="0" w:color="auto"/>
              <w:right w:val="single" w:sz="4" w:space="0" w:color="auto"/>
            </w:tcBorders>
            <w:shd w:val="clear" w:color="auto" w:fill="FFFFFF"/>
          </w:tcPr>
          <w:p w14:paraId="21C3B729"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Молотовская обл.</w:t>
            </w:r>
          </w:p>
        </w:tc>
        <w:tc>
          <w:tcPr>
            <w:tcW w:w="4723" w:type="dxa"/>
            <w:tcBorders>
              <w:top w:val="single" w:sz="4" w:space="0" w:color="auto"/>
              <w:left w:val="single" w:sz="4" w:space="0" w:color="auto"/>
              <w:bottom w:val="single" w:sz="4" w:space="0" w:color="auto"/>
              <w:right w:val="single" w:sz="4" w:space="0" w:color="auto"/>
            </w:tcBorders>
            <w:shd w:val="clear" w:color="auto" w:fill="FFFFFF"/>
          </w:tcPr>
          <w:p w14:paraId="6C566114"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164,5</w:t>
            </w:r>
          </w:p>
        </w:tc>
      </w:tr>
      <w:tr w:rsidR="00643896" w:rsidRPr="00640820" w14:paraId="7CF9F6AB" w14:textId="77777777" w:rsidTr="0087788A">
        <w:trPr>
          <w:trHeight w:val="235"/>
          <w:jc w:val="center"/>
        </w:trPr>
        <w:tc>
          <w:tcPr>
            <w:tcW w:w="3518" w:type="dxa"/>
            <w:tcBorders>
              <w:top w:val="single" w:sz="4" w:space="0" w:color="auto"/>
              <w:left w:val="single" w:sz="4" w:space="0" w:color="auto"/>
              <w:bottom w:val="single" w:sz="4" w:space="0" w:color="auto"/>
              <w:right w:val="single" w:sz="4" w:space="0" w:color="auto"/>
            </w:tcBorders>
            <w:shd w:val="clear" w:color="auto" w:fill="FFFFFF"/>
          </w:tcPr>
          <w:p w14:paraId="045FD789"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Новосибирская обл.</w:t>
            </w:r>
          </w:p>
        </w:tc>
        <w:tc>
          <w:tcPr>
            <w:tcW w:w="4723" w:type="dxa"/>
            <w:tcBorders>
              <w:top w:val="single" w:sz="4" w:space="0" w:color="auto"/>
              <w:left w:val="single" w:sz="4" w:space="0" w:color="auto"/>
              <w:bottom w:val="single" w:sz="4" w:space="0" w:color="auto"/>
              <w:right w:val="single" w:sz="4" w:space="0" w:color="auto"/>
            </w:tcBorders>
            <w:shd w:val="clear" w:color="auto" w:fill="FFFFFF"/>
          </w:tcPr>
          <w:p w14:paraId="6BDC496E"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180,7</w:t>
            </w:r>
          </w:p>
        </w:tc>
      </w:tr>
      <w:tr w:rsidR="00643896" w:rsidRPr="00640820" w14:paraId="26237ECC" w14:textId="77777777" w:rsidTr="0087788A">
        <w:trPr>
          <w:trHeight w:val="235"/>
          <w:jc w:val="center"/>
        </w:trPr>
        <w:tc>
          <w:tcPr>
            <w:tcW w:w="3518" w:type="dxa"/>
            <w:tcBorders>
              <w:top w:val="single" w:sz="4" w:space="0" w:color="auto"/>
              <w:left w:val="single" w:sz="4" w:space="0" w:color="auto"/>
              <w:bottom w:val="single" w:sz="4" w:space="0" w:color="auto"/>
              <w:right w:val="single" w:sz="4" w:space="0" w:color="auto"/>
            </w:tcBorders>
            <w:shd w:val="clear" w:color="auto" w:fill="FFFFFF"/>
          </w:tcPr>
          <w:p w14:paraId="1C790C1D"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Омская обл.</w:t>
            </w:r>
          </w:p>
        </w:tc>
        <w:tc>
          <w:tcPr>
            <w:tcW w:w="4723" w:type="dxa"/>
            <w:tcBorders>
              <w:top w:val="single" w:sz="4" w:space="0" w:color="auto"/>
              <w:left w:val="single" w:sz="4" w:space="0" w:color="auto"/>
              <w:bottom w:val="single" w:sz="4" w:space="0" w:color="auto"/>
              <w:right w:val="single" w:sz="4" w:space="0" w:color="auto"/>
            </w:tcBorders>
            <w:shd w:val="clear" w:color="auto" w:fill="FFFFFF"/>
          </w:tcPr>
          <w:p w14:paraId="6AD2701A"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169,6</w:t>
            </w:r>
          </w:p>
        </w:tc>
      </w:tr>
      <w:tr w:rsidR="00643896" w:rsidRPr="00640820" w14:paraId="703C1DC7" w14:textId="77777777" w:rsidTr="0087788A">
        <w:trPr>
          <w:trHeight w:val="230"/>
          <w:jc w:val="center"/>
        </w:trPr>
        <w:tc>
          <w:tcPr>
            <w:tcW w:w="3518" w:type="dxa"/>
            <w:tcBorders>
              <w:top w:val="single" w:sz="4" w:space="0" w:color="auto"/>
              <w:left w:val="single" w:sz="4" w:space="0" w:color="auto"/>
              <w:bottom w:val="single" w:sz="4" w:space="0" w:color="auto"/>
              <w:right w:val="single" w:sz="4" w:space="0" w:color="auto"/>
            </w:tcBorders>
            <w:shd w:val="clear" w:color="auto" w:fill="FFFFFF"/>
          </w:tcPr>
          <w:p w14:paraId="3AC41A92"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Пензенская обл.</w:t>
            </w:r>
          </w:p>
        </w:tc>
        <w:tc>
          <w:tcPr>
            <w:tcW w:w="4723" w:type="dxa"/>
            <w:tcBorders>
              <w:top w:val="single" w:sz="4" w:space="0" w:color="auto"/>
              <w:left w:val="single" w:sz="4" w:space="0" w:color="auto"/>
              <w:bottom w:val="single" w:sz="4" w:space="0" w:color="auto"/>
              <w:right w:val="single" w:sz="4" w:space="0" w:color="auto"/>
            </w:tcBorders>
            <w:shd w:val="clear" w:color="auto" w:fill="FFFFFF"/>
          </w:tcPr>
          <w:p w14:paraId="103C314D"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113,6</w:t>
            </w:r>
          </w:p>
        </w:tc>
      </w:tr>
      <w:tr w:rsidR="00643896" w:rsidRPr="00640820" w14:paraId="43351C29" w14:textId="77777777" w:rsidTr="0087788A">
        <w:trPr>
          <w:trHeight w:val="235"/>
          <w:jc w:val="center"/>
        </w:trPr>
        <w:tc>
          <w:tcPr>
            <w:tcW w:w="3518" w:type="dxa"/>
            <w:tcBorders>
              <w:top w:val="single" w:sz="4" w:space="0" w:color="auto"/>
              <w:left w:val="single" w:sz="4" w:space="0" w:color="auto"/>
              <w:bottom w:val="single" w:sz="4" w:space="0" w:color="auto"/>
              <w:right w:val="single" w:sz="4" w:space="0" w:color="auto"/>
            </w:tcBorders>
            <w:shd w:val="clear" w:color="auto" w:fill="FFFFFF"/>
          </w:tcPr>
          <w:p w14:paraId="4D4F4E15"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Ростовская обл.</w:t>
            </w:r>
          </w:p>
        </w:tc>
        <w:tc>
          <w:tcPr>
            <w:tcW w:w="4723" w:type="dxa"/>
            <w:tcBorders>
              <w:top w:val="single" w:sz="4" w:space="0" w:color="auto"/>
              <w:left w:val="single" w:sz="4" w:space="0" w:color="auto"/>
              <w:bottom w:val="single" w:sz="4" w:space="0" w:color="auto"/>
              <w:right w:val="single" w:sz="4" w:space="0" w:color="auto"/>
            </w:tcBorders>
            <w:shd w:val="clear" w:color="auto" w:fill="FFFFFF"/>
          </w:tcPr>
          <w:p w14:paraId="76735FF4"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183,0</w:t>
            </w:r>
          </w:p>
        </w:tc>
      </w:tr>
      <w:tr w:rsidR="00643896" w:rsidRPr="00640820" w14:paraId="6362F91B" w14:textId="77777777" w:rsidTr="0087788A">
        <w:trPr>
          <w:trHeight w:val="235"/>
          <w:jc w:val="center"/>
        </w:trPr>
        <w:tc>
          <w:tcPr>
            <w:tcW w:w="3518" w:type="dxa"/>
            <w:tcBorders>
              <w:top w:val="single" w:sz="4" w:space="0" w:color="auto"/>
              <w:left w:val="single" w:sz="4" w:space="0" w:color="auto"/>
              <w:bottom w:val="single" w:sz="4" w:space="0" w:color="auto"/>
              <w:right w:val="single" w:sz="4" w:space="0" w:color="auto"/>
            </w:tcBorders>
            <w:shd w:val="clear" w:color="auto" w:fill="FFFFFF"/>
          </w:tcPr>
          <w:p w14:paraId="678628EF"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Рязанская обл.</w:t>
            </w:r>
          </w:p>
        </w:tc>
        <w:tc>
          <w:tcPr>
            <w:tcW w:w="4723" w:type="dxa"/>
            <w:tcBorders>
              <w:top w:val="single" w:sz="4" w:space="0" w:color="auto"/>
              <w:left w:val="single" w:sz="4" w:space="0" w:color="auto"/>
              <w:bottom w:val="single" w:sz="4" w:space="0" w:color="auto"/>
              <w:right w:val="single" w:sz="4" w:space="0" w:color="auto"/>
            </w:tcBorders>
            <w:shd w:val="clear" w:color="auto" w:fill="FFFFFF"/>
          </w:tcPr>
          <w:p w14:paraId="20DD4313"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234,5</w:t>
            </w:r>
          </w:p>
        </w:tc>
      </w:tr>
      <w:tr w:rsidR="00643896" w:rsidRPr="00640820" w14:paraId="3A254F4C" w14:textId="77777777" w:rsidTr="0087788A">
        <w:trPr>
          <w:trHeight w:val="235"/>
          <w:jc w:val="center"/>
        </w:trPr>
        <w:tc>
          <w:tcPr>
            <w:tcW w:w="3518" w:type="dxa"/>
            <w:tcBorders>
              <w:top w:val="single" w:sz="4" w:space="0" w:color="auto"/>
              <w:left w:val="single" w:sz="4" w:space="0" w:color="auto"/>
              <w:bottom w:val="single" w:sz="4" w:space="0" w:color="auto"/>
              <w:right w:val="single" w:sz="4" w:space="0" w:color="auto"/>
            </w:tcBorders>
            <w:shd w:val="clear" w:color="auto" w:fill="FFFFFF"/>
          </w:tcPr>
          <w:p w14:paraId="66FB6C67"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Саратовская обл.</w:t>
            </w:r>
          </w:p>
        </w:tc>
        <w:tc>
          <w:tcPr>
            <w:tcW w:w="4723" w:type="dxa"/>
            <w:tcBorders>
              <w:top w:val="single" w:sz="4" w:space="0" w:color="auto"/>
              <w:left w:val="single" w:sz="4" w:space="0" w:color="auto"/>
              <w:bottom w:val="single" w:sz="4" w:space="0" w:color="auto"/>
              <w:right w:val="single" w:sz="4" w:space="0" w:color="auto"/>
            </w:tcBorders>
            <w:shd w:val="clear" w:color="auto" w:fill="FFFFFF"/>
          </w:tcPr>
          <w:p w14:paraId="567AA553"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230,5</w:t>
            </w:r>
          </w:p>
        </w:tc>
      </w:tr>
      <w:tr w:rsidR="00643896" w:rsidRPr="00640820" w14:paraId="1420B984" w14:textId="77777777" w:rsidTr="0087788A">
        <w:trPr>
          <w:trHeight w:val="230"/>
          <w:jc w:val="center"/>
        </w:trPr>
        <w:tc>
          <w:tcPr>
            <w:tcW w:w="3518" w:type="dxa"/>
            <w:tcBorders>
              <w:top w:val="single" w:sz="4" w:space="0" w:color="auto"/>
              <w:left w:val="single" w:sz="4" w:space="0" w:color="auto"/>
              <w:bottom w:val="single" w:sz="4" w:space="0" w:color="auto"/>
              <w:right w:val="single" w:sz="4" w:space="0" w:color="auto"/>
            </w:tcBorders>
            <w:shd w:val="clear" w:color="auto" w:fill="FFFFFF"/>
          </w:tcPr>
          <w:p w14:paraId="445FF0E6"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Свердловская обл.</w:t>
            </w:r>
          </w:p>
        </w:tc>
        <w:tc>
          <w:tcPr>
            <w:tcW w:w="4723" w:type="dxa"/>
            <w:tcBorders>
              <w:top w:val="single" w:sz="4" w:space="0" w:color="auto"/>
              <w:left w:val="single" w:sz="4" w:space="0" w:color="auto"/>
              <w:bottom w:val="single" w:sz="4" w:space="0" w:color="auto"/>
              <w:right w:val="single" w:sz="4" w:space="0" w:color="auto"/>
            </w:tcBorders>
            <w:shd w:val="clear" w:color="auto" w:fill="FFFFFF"/>
          </w:tcPr>
          <w:p w14:paraId="2FA97CAD"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317,0</w:t>
            </w:r>
          </w:p>
        </w:tc>
      </w:tr>
      <w:tr w:rsidR="00643896" w:rsidRPr="00640820" w14:paraId="725194E8" w14:textId="77777777" w:rsidTr="0087788A">
        <w:trPr>
          <w:trHeight w:val="235"/>
          <w:jc w:val="center"/>
        </w:trPr>
        <w:tc>
          <w:tcPr>
            <w:tcW w:w="3518" w:type="dxa"/>
            <w:tcBorders>
              <w:top w:val="single" w:sz="4" w:space="0" w:color="auto"/>
              <w:left w:val="single" w:sz="4" w:space="0" w:color="auto"/>
              <w:bottom w:val="single" w:sz="4" w:space="0" w:color="auto"/>
              <w:right w:val="single" w:sz="4" w:space="0" w:color="auto"/>
            </w:tcBorders>
            <w:shd w:val="clear" w:color="auto" w:fill="FFFFFF"/>
          </w:tcPr>
          <w:p w14:paraId="4679A710"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Сталинградская обл.</w:t>
            </w:r>
          </w:p>
        </w:tc>
        <w:tc>
          <w:tcPr>
            <w:tcW w:w="4723" w:type="dxa"/>
            <w:tcBorders>
              <w:top w:val="single" w:sz="4" w:space="0" w:color="auto"/>
              <w:left w:val="single" w:sz="4" w:space="0" w:color="auto"/>
              <w:bottom w:val="single" w:sz="4" w:space="0" w:color="auto"/>
              <w:right w:val="single" w:sz="4" w:space="0" w:color="auto"/>
            </w:tcBorders>
            <w:shd w:val="clear" w:color="auto" w:fill="FFFFFF"/>
          </w:tcPr>
          <w:p w14:paraId="440AEDCC"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183,5</w:t>
            </w:r>
          </w:p>
        </w:tc>
      </w:tr>
      <w:tr w:rsidR="00643896" w:rsidRPr="00640820" w14:paraId="786D4767" w14:textId="77777777" w:rsidTr="0087788A">
        <w:trPr>
          <w:trHeight w:val="235"/>
          <w:jc w:val="center"/>
        </w:trPr>
        <w:tc>
          <w:tcPr>
            <w:tcW w:w="3518" w:type="dxa"/>
            <w:tcBorders>
              <w:top w:val="single" w:sz="4" w:space="0" w:color="auto"/>
              <w:left w:val="single" w:sz="4" w:space="0" w:color="auto"/>
              <w:bottom w:val="single" w:sz="4" w:space="0" w:color="auto"/>
              <w:right w:val="single" w:sz="4" w:space="0" w:color="auto"/>
            </w:tcBorders>
            <w:shd w:val="clear" w:color="auto" w:fill="FFFFFF"/>
          </w:tcPr>
          <w:p w14:paraId="3ECA7467"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Тамбовская обл.</w:t>
            </w:r>
          </w:p>
        </w:tc>
        <w:tc>
          <w:tcPr>
            <w:tcW w:w="4723" w:type="dxa"/>
            <w:tcBorders>
              <w:top w:val="single" w:sz="4" w:space="0" w:color="auto"/>
              <w:left w:val="single" w:sz="4" w:space="0" w:color="auto"/>
              <w:bottom w:val="single" w:sz="4" w:space="0" w:color="auto"/>
              <w:right w:val="single" w:sz="4" w:space="0" w:color="auto"/>
            </w:tcBorders>
            <w:shd w:val="clear" w:color="auto" w:fill="FFFFFF"/>
          </w:tcPr>
          <w:p w14:paraId="77E07173"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108,7</w:t>
            </w:r>
          </w:p>
        </w:tc>
      </w:tr>
      <w:tr w:rsidR="00643896" w:rsidRPr="00640820" w14:paraId="1381DFE6" w14:textId="77777777" w:rsidTr="0087788A">
        <w:trPr>
          <w:trHeight w:val="230"/>
          <w:jc w:val="center"/>
        </w:trPr>
        <w:tc>
          <w:tcPr>
            <w:tcW w:w="3518" w:type="dxa"/>
            <w:tcBorders>
              <w:top w:val="single" w:sz="4" w:space="0" w:color="auto"/>
              <w:left w:val="single" w:sz="4" w:space="0" w:color="auto"/>
              <w:bottom w:val="single" w:sz="4" w:space="0" w:color="auto"/>
              <w:right w:val="single" w:sz="4" w:space="0" w:color="auto"/>
            </w:tcBorders>
            <w:shd w:val="clear" w:color="auto" w:fill="FFFFFF"/>
          </w:tcPr>
          <w:p w14:paraId="135939B9"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Тульская обл.</w:t>
            </w:r>
          </w:p>
        </w:tc>
        <w:tc>
          <w:tcPr>
            <w:tcW w:w="4723" w:type="dxa"/>
            <w:tcBorders>
              <w:top w:val="single" w:sz="4" w:space="0" w:color="auto"/>
              <w:left w:val="single" w:sz="4" w:space="0" w:color="auto"/>
              <w:bottom w:val="single" w:sz="4" w:space="0" w:color="auto"/>
              <w:right w:val="single" w:sz="4" w:space="0" w:color="auto"/>
            </w:tcBorders>
            <w:shd w:val="clear" w:color="auto" w:fill="FFFFFF"/>
          </w:tcPr>
          <w:p w14:paraId="6108390F"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69,1</w:t>
            </w:r>
          </w:p>
        </w:tc>
      </w:tr>
      <w:tr w:rsidR="00643896" w:rsidRPr="00640820" w14:paraId="26EBB2B3" w14:textId="77777777" w:rsidTr="0087788A">
        <w:trPr>
          <w:trHeight w:val="235"/>
          <w:jc w:val="center"/>
        </w:trPr>
        <w:tc>
          <w:tcPr>
            <w:tcW w:w="3518" w:type="dxa"/>
            <w:tcBorders>
              <w:top w:val="single" w:sz="4" w:space="0" w:color="auto"/>
              <w:left w:val="single" w:sz="4" w:space="0" w:color="auto"/>
              <w:bottom w:val="single" w:sz="4" w:space="0" w:color="auto"/>
              <w:right w:val="single" w:sz="4" w:space="0" w:color="auto"/>
            </w:tcBorders>
            <w:shd w:val="clear" w:color="auto" w:fill="FFFFFF"/>
          </w:tcPr>
          <w:p w14:paraId="78774029"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Челябинская обл.</w:t>
            </w:r>
          </w:p>
        </w:tc>
        <w:tc>
          <w:tcPr>
            <w:tcW w:w="4723" w:type="dxa"/>
            <w:tcBorders>
              <w:top w:val="single" w:sz="4" w:space="0" w:color="auto"/>
              <w:left w:val="single" w:sz="4" w:space="0" w:color="auto"/>
              <w:bottom w:val="single" w:sz="4" w:space="0" w:color="auto"/>
              <w:right w:val="single" w:sz="4" w:space="0" w:color="auto"/>
            </w:tcBorders>
            <w:shd w:val="clear" w:color="auto" w:fill="FFFFFF"/>
          </w:tcPr>
          <w:p w14:paraId="11E55B49"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350,4</w:t>
            </w:r>
          </w:p>
        </w:tc>
      </w:tr>
      <w:tr w:rsidR="00643896" w:rsidRPr="00640820" w14:paraId="2B9AB1C5" w14:textId="77777777" w:rsidTr="0087788A">
        <w:trPr>
          <w:trHeight w:val="235"/>
          <w:jc w:val="center"/>
        </w:trPr>
        <w:tc>
          <w:tcPr>
            <w:tcW w:w="3518" w:type="dxa"/>
            <w:tcBorders>
              <w:top w:val="single" w:sz="4" w:space="0" w:color="auto"/>
              <w:left w:val="single" w:sz="4" w:space="0" w:color="auto"/>
              <w:bottom w:val="single" w:sz="4" w:space="0" w:color="auto"/>
              <w:right w:val="single" w:sz="4" w:space="0" w:color="auto"/>
            </w:tcBorders>
            <w:shd w:val="clear" w:color="auto" w:fill="FFFFFF"/>
          </w:tcPr>
          <w:p w14:paraId="3B3332D4"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Чкаловская обл.</w:t>
            </w:r>
          </w:p>
        </w:tc>
        <w:tc>
          <w:tcPr>
            <w:tcW w:w="4723" w:type="dxa"/>
            <w:tcBorders>
              <w:top w:val="single" w:sz="4" w:space="0" w:color="auto"/>
              <w:left w:val="single" w:sz="4" w:space="0" w:color="auto"/>
              <w:bottom w:val="single" w:sz="4" w:space="0" w:color="auto"/>
              <w:right w:val="single" w:sz="4" w:space="0" w:color="auto"/>
            </w:tcBorders>
            <w:shd w:val="clear" w:color="auto" w:fill="FFFFFF"/>
          </w:tcPr>
          <w:p w14:paraId="3631B287"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188,0</w:t>
            </w:r>
          </w:p>
        </w:tc>
      </w:tr>
      <w:tr w:rsidR="00643896" w:rsidRPr="00640820" w14:paraId="406EB288" w14:textId="77777777" w:rsidTr="0087788A">
        <w:trPr>
          <w:trHeight w:val="230"/>
          <w:jc w:val="center"/>
        </w:trPr>
        <w:tc>
          <w:tcPr>
            <w:tcW w:w="3518" w:type="dxa"/>
            <w:tcBorders>
              <w:top w:val="single" w:sz="4" w:space="0" w:color="auto"/>
              <w:left w:val="single" w:sz="4" w:space="0" w:color="auto"/>
              <w:bottom w:val="single" w:sz="4" w:space="0" w:color="auto"/>
              <w:right w:val="single" w:sz="4" w:space="0" w:color="auto"/>
            </w:tcBorders>
            <w:shd w:val="clear" w:color="auto" w:fill="FFFFFF"/>
          </w:tcPr>
          <w:p w14:paraId="68A2AC67"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Ярославская обл.</w:t>
            </w:r>
          </w:p>
        </w:tc>
        <w:tc>
          <w:tcPr>
            <w:tcW w:w="4723" w:type="dxa"/>
            <w:tcBorders>
              <w:top w:val="single" w:sz="4" w:space="0" w:color="auto"/>
              <w:left w:val="single" w:sz="4" w:space="0" w:color="auto"/>
              <w:bottom w:val="single" w:sz="4" w:space="0" w:color="auto"/>
              <w:right w:val="single" w:sz="4" w:space="0" w:color="auto"/>
            </w:tcBorders>
            <w:shd w:val="clear" w:color="auto" w:fill="FFFFFF"/>
          </w:tcPr>
          <w:p w14:paraId="43BCE374"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168,2</w:t>
            </w:r>
          </w:p>
        </w:tc>
      </w:tr>
      <w:tr w:rsidR="00643896" w:rsidRPr="00640820" w14:paraId="4941F15C" w14:textId="77777777" w:rsidTr="0087788A">
        <w:trPr>
          <w:trHeight w:val="235"/>
          <w:jc w:val="center"/>
        </w:trPr>
        <w:tc>
          <w:tcPr>
            <w:tcW w:w="3518" w:type="dxa"/>
            <w:tcBorders>
              <w:top w:val="single" w:sz="4" w:space="0" w:color="auto"/>
              <w:left w:val="single" w:sz="4" w:space="0" w:color="auto"/>
              <w:bottom w:val="single" w:sz="4" w:space="0" w:color="auto"/>
              <w:right w:val="single" w:sz="4" w:space="0" w:color="auto"/>
            </w:tcBorders>
            <w:shd w:val="clear" w:color="auto" w:fill="FFFFFF"/>
          </w:tcPr>
          <w:p w14:paraId="71C3D9A1"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Башкирская АССР</w:t>
            </w:r>
          </w:p>
        </w:tc>
        <w:tc>
          <w:tcPr>
            <w:tcW w:w="4723" w:type="dxa"/>
            <w:tcBorders>
              <w:top w:val="single" w:sz="4" w:space="0" w:color="auto"/>
              <w:left w:val="single" w:sz="4" w:space="0" w:color="auto"/>
              <w:bottom w:val="single" w:sz="4" w:space="0" w:color="auto"/>
              <w:right w:val="single" w:sz="4" w:space="0" w:color="auto"/>
            </w:tcBorders>
            <w:shd w:val="clear" w:color="auto" w:fill="FFFFFF"/>
          </w:tcPr>
          <w:p w14:paraId="0180E79C"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194,3</w:t>
            </w:r>
          </w:p>
        </w:tc>
      </w:tr>
      <w:tr w:rsidR="00643896" w:rsidRPr="00640820" w14:paraId="0AFD0E41" w14:textId="77777777" w:rsidTr="0087788A">
        <w:trPr>
          <w:trHeight w:val="235"/>
          <w:jc w:val="center"/>
        </w:trPr>
        <w:tc>
          <w:tcPr>
            <w:tcW w:w="3518" w:type="dxa"/>
            <w:tcBorders>
              <w:top w:val="single" w:sz="4" w:space="0" w:color="auto"/>
              <w:left w:val="single" w:sz="4" w:space="0" w:color="auto"/>
              <w:bottom w:val="single" w:sz="4" w:space="0" w:color="auto"/>
              <w:right w:val="single" w:sz="4" w:space="0" w:color="auto"/>
            </w:tcBorders>
            <w:shd w:val="clear" w:color="auto" w:fill="FFFFFF"/>
          </w:tcPr>
          <w:p w14:paraId="01D53E47"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Дагестанская АССР</w:t>
            </w:r>
          </w:p>
        </w:tc>
        <w:tc>
          <w:tcPr>
            <w:tcW w:w="4723" w:type="dxa"/>
            <w:tcBorders>
              <w:top w:val="single" w:sz="4" w:space="0" w:color="auto"/>
              <w:left w:val="single" w:sz="4" w:space="0" w:color="auto"/>
              <w:bottom w:val="single" w:sz="4" w:space="0" w:color="auto"/>
              <w:right w:val="single" w:sz="4" w:space="0" w:color="auto"/>
            </w:tcBorders>
            <w:shd w:val="clear" w:color="auto" w:fill="FFFFFF"/>
          </w:tcPr>
          <w:p w14:paraId="6CC2DF4A"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11,0</w:t>
            </w:r>
          </w:p>
        </w:tc>
      </w:tr>
      <w:tr w:rsidR="00643896" w:rsidRPr="00640820" w14:paraId="06F96A6E" w14:textId="77777777" w:rsidTr="0087788A">
        <w:trPr>
          <w:trHeight w:val="230"/>
          <w:jc w:val="center"/>
        </w:trPr>
        <w:tc>
          <w:tcPr>
            <w:tcW w:w="3518" w:type="dxa"/>
            <w:tcBorders>
              <w:top w:val="single" w:sz="4" w:space="0" w:color="auto"/>
              <w:left w:val="single" w:sz="4" w:space="0" w:color="auto"/>
              <w:bottom w:val="single" w:sz="4" w:space="0" w:color="auto"/>
              <w:right w:val="single" w:sz="4" w:space="0" w:color="auto"/>
            </w:tcBorders>
            <w:shd w:val="clear" w:color="auto" w:fill="FFFFFF"/>
          </w:tcPr>
          <w:p w14:paraId="29187B1A"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Коми АССР</w:t>
            </w:r>
          </w:p>
        </w:tc>
        <w:tc>
          <w:tcPr>
            <w:tcW w:w="4723" w:type="dxa"/>
            <w:tcBorders>
              <w:top w:val="single" w:sz="4" w:space="0" w:color="auto"/>
              <w:left w:val="single" w:sz="4" w:space="0" w:color="auto"/>
              <w:bottom w:val="single" w:sz="4" w:space="0" w:color="auto"/>
              <w:right w:val="single" w:sz="4" w:space="0" w:color="auto"/>
            </w:tcBorders>
            <w:shd w:val="clear" w:color="auto" w:fill="FFFFFF"/>
          </w:tcPr>
          <w:p w14:paraId="2B3763B9"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13,1</w:t>
            </w:r>
          </w:p>
        </w:tc>
      </w:tr>
      <w:tr w:rsidR="00643896" w:rsidRPr="00640820" w14:paraId="54FE1844" w14:textId="77777777" w:rsidTr="0087788A">
        <w:trPr>
          <w:trHeight w:val="235"/>
          <w:jc w:val="center"/>
        </w:trPr>
        <w:tc>
          <w:tcPr>
            <w:tcW w:w="3518" w:type="dxa"/>
            <w:tcBorders>
              <w:top w:val="single" w:sz="4" w:space="0" w:color="auto"/>
              <w:left w:val="single" w:sz="4" w:space="0" w:color="auto"/>
              <w:bottom w:val="single" w:sz="4" w:space="0" w:color="auto"/>
              <w:right w:val="single" w:sz="4" w:space="0" w:color="auto"/>
            </w:tcBorders>
            <w:shd w:val="clear" w:color="auto" w:fill="FFFFFF"/>
          </w:tcPr>
          <w:p w14:paraId="2974B69C"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Марийская АССР</w:t>
            </w:r>
          </w:p>
        </w:tc>
        <w:tc>
          <w:tcPr>
            <w:tcW w:w="4723" w:type="dxa"/>
            <w:tcBorders>
              <w:top w:val="single" w:sz="4" w:space="0" w:color="auto"/>
              <w:left w:val="single" w:sz="4" w:space="0" w:color="auto"/>
              <w:bottom w:val="single" w:sz="4" w:space="0" w:color="auto"/>
              <w:right w:val="single" w:sz="4" w:space="0" w:color="auto"/>
            </w:tcBorders>
            <w:shd w:val="clear" w:color="auto" w:fill="FFFFFF"/>
          </w:tcPr>
          <w:p w14:paraId="7D8E3E6F"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37,5</w:t>
            </w:r>
          </w:p>
        </w:tc>
      </w:tr>
      <w:tr w:rsidR="00643896" w:rsidRPr="00640820" w14:paraId="5AEF5604" w14:textId="77777777" w:rsidTr="0087788A">
        <w:trPr>
          <w:trHeight w:val="235"/>
          <w:jc w:val="center"/>
        </w:trPr>
        <w:tc>
          <w:tcPr>
            <w:tcW w:w="3518" w:type="dxa"/>
            <w:tcBorders>
              <w:top w:val="single" w:sz="4" w:space="0" w:color="auto"/>
              <w:left w:val="single" w:sz="4" w:space="0" w:color="auto"/>
              <w:bottom w:val="single" w:sz="4" w:space="0" w:color="auto"/>
              <w:right w:val="single" w:sz="4" w:space="0" w:color="auto"/>
            </w:tcBorders>
            <w:shd w:val="clear" w:color="auto" w:fill="FFFFFF"/>
          </w:tcPr>
          <w:p w14:paraId="32F5D0EE"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Мордовская АССР</w:t>
            </w:r>
          </w:p>
        </w:tc>
        <w:tc>
          <w:tcPr>
            <w:tcW w:w="4723" w:type="dxa"/>
            <w:tcBorders>
              <w:top w:val="single" w:sz="4" w:space="0" w:color="auto"/>
              <w:left w:val="single" w:sz="4" w:space="0" w:color="auto"/>
              <w:bottom w:val="single" w:sz="4" w:space="0" w:color="auto"/>
              <w:right w:val="single" w:sz="4" w:space="0" w:color="auto"/>
            </w:tcBorders>
            <w:shd w:val="clear" w:color="auto" w:fill="FFFFFF"/>
          </w:tcPr>
          <w:p w14:paraId="1B5D0757"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60,3</w:t>
            </w:r>
          </w:p>
        </w:tc>
      </w:tr>
      <w:tr w:rsidR="00643896" w:rsidRPr="00640820" w14:paraId="57EB51B9" w14:textId="77777777" w:rsidTr="0087788A">
        <w:trPr>
          <w:trHeight w:val="235"/>
          <w:jc w:val="center"/>
        </w:trPr>
        <w:tc>
          <w:tcPr>
            <w:tcW w:w="3518" w:type="dxa"/>
            <w:tcBorders>
              <w:top w:val="single" w:sz="4" w:space="0" w:color="auto"/>
              <w:left w:val="single" w:sz="4" w:space="0" w:color="auto"/>
              <w:bottom w:val="single" w:sz="4" w:space="0" w:color="auto"/>
              <w:right w:val="single" w:sz="4" w:space="0" w:color="auto"/>
            </w:tcBorders>
            <w:shd w:val="clear" w:color="auto" w:fill="FFFFFF"/>
          </w:tcPr>
          <w:p w14:paraId="2AC3C73F"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Татарская АССР</w:t>
            </w:r>
          </w:p>
        </w:tc>
        <w:tc>
          <w:tcPr>
            <w:tcW w:w="4723" w:type="dxa"/>
            <w:tcBorders>
              <w:top w:val="single" w:sz="4" w:space="0" w:color="auto"/>
              <w:left w:val="single" w:sz="4" w:space="0" w:color="auto"/>
              <w:bottom w:val="single" w:sz="4" w:space="0" w:color="auto"/>
              <w:right w:val="single" w:sz="4" w:space="0" w:color="auto"/>
            </w:tcBorders>
            <w:shd w:val="clear" w:color="auto" w:fill="FFFFFF"/>
          </w:tcPr>
          <w:p w14:paraId="33BF9607"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187,1</w:t>
            </w:r>
          </w:p>
        </w:tc>
      </w:tr>
      <w:tr w:rsidR="00643896" w:rsidRPr="00640820" w14:paraId="13BEBF07" w14:textId="77777777" w:rsidTr="0087788A">
        <w:trPr>
          <w:trHeight w:val="230"/>
          <w:jc w:val="center"/>
        </w:trPr>
        <w:tc>
          <w:tcPr>
            <w:tcW w:w="3518" w:type="dxa"/>
            <w:tcBorders>
              <w:top w:val="single" w:sz="4" w:space="0" w:color="auto"/>
              <w:left w:val="single" w:sz="4" w:space="0" w:color="auto"/>
              <w:bottom w:val="single" w:sz="4" w:space="0" w:color="auto"/>
              <w:right w:val="single" w:sz="4" w:space="0" w:color="auto"/>
            </w:tcBorders>
            <w:shd w:val="clear" w:color="auto" w:fill="FFFFFF"/>
          </w:tcPr>
          <w:p w14:paraId="79AB1579"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Удмуртская АССР</w:t>
            </w:r>
          </w:p>
        </w:tc>
        <w:tc>
          <w:tcPr>
            <w:tcW w:w="4723" w:type="dxa"/>
            <w:tcBorders>
              <w:top w:val="single" w:sz="4" w:space="0" w:color="auto"/>
              <w:left w:val="single" w:sz="4" w:space="0" w:color="auto"/>
              <w:bottom w:val="single" w:sz="4" w:space="0" w:color="auto"/>
              <w:right w:val="single" w:sz="4" w:space="0" w:color="auto"/>
            </w:tcBorders>
            <w:shd w:val="clear" w:color="auto" w:fill="FFFFFF"/>
          </w:tcPr>
          <w:p w14:paraId="3363B90C"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30,9</w:t>
            </w:r>
          </w:p>
        </w:tc>
      </w:tr>
      <w:tr w:rsidR="00643896" w:rsidRPr="00640820" w14:paraId="0B1A8F5C" w14:textId="77777777" w:rsidTr="0087788A">
        <w:trPr>
          <w:trHeight w:val="235"/>
          <w:jc w:val="center"/>
        </w:trPr>
        <w:tc>
          <w:tcPr>
            <w:tcW w:w="3518" w:type="dxa"/>
            <w:tcBorders>
              <w:top w:val="single" w:sz="4" w:space="0" w:color="auto"/>
              <w:left w:val="single" w:sz="4" w:space="0" w:color="auto"/>
              <w:bottom w:val="single" w:sz="4" w:space="0" w:color="auto"/>
              <w:right w:val="single" w:sz="4" w:space="0" w:color="auto"/>
            </w:tcBorders>
            <w:shd w:val="clear" w:color="auto" w:fill="FFFFFF"/>
          </w:tcPr>
          <w:p w14:paraId="17B335D4"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Чувашская АССР</w:t>
            </w:r>
          </w:p>
        </w:tc>
        <w:tc>
          <w:tcPr>
            <w:tcW w:w="4723" w:type="dxa"/>
            <w:tcBorders>
              <w:top w:val="single" w:sz="4" w:space="0" w:color="auto"/>
              <w:left w:val="single" w:sz="4" w:space="0" w:color="auto"/>
              <w:bottom w:val="single" w:sz="4" w:space="0" w:color="auto"/>
              <w:right w:val="single" w:sz="4" w:space="0" w:color="auto"/>
            </w:tcBorders>
            <w:shd w:val="clear" w:color="auto" w:fill="FFFFFF"/>
          </w:tcPr>
          <w:p w14:paraId="5124C807"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62,6</w:t>
            </w:r>
          </w:p>
        </w:tc>
      </w:tr>
      <w:tr w:rsidR="00643896" w:rsidRPr="00640820" w14:paraId="63B6EA80" w14:textId="77777777" w:rsidTr="0087788A">
        <w:trPr>
          <w:trHeight w:val="442"/>
          <w:jc w:val="center"/>
        </w:trPr>
        <w:tc>
          <w:tcPr>
            <w:tcW w:w="3518" w:type="dxa"/>
            <w:tcBorders>
              <w:top w:val="single" w:sz="4" w:space="0" w:color="auto"/>
              <w:left w:val="single" w:sz="4" w:space="0" w:color="auto"/>
              <w:bottom w:val="single" w:sz="4" w:space="0" w:color="auto"/>
              <w:right w:val="single" w:sz="4" w:space="0" w:color="auto"/>
            </w:tcBorders>
            <w:shd w:val="clear" w:color="auto" w:fill="FFFFFF"/>
          </w:tcPr>
          <w:p w14:paraId="14FA7598"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Казахская ССР</w:t>
            </w:r>
          </w:p>
        </w:tc>
        <w:tc>
          <w:tcPr>
            <w:tcW w:w="4723" w:type="dxa"/>
            <w:tcBorders>
              <w:top w:val="single" w:sz="4" w:space="0" w:color="auto"/>
              <w:left w:val="single" w:sz="4" w:space="0" w:color="auto"/>
              <w:bottom w:val="single" w:sz="4" w:space="0" w:color="auto"/>
              <w:right w:val="single" w:sz="4" w:space="0" w:color="auto"/>
            </w:tcBorders>
            <w:shd w:val="clear" w:color="auto" w:fill="FFFFFF"/>
          </w:tcPr>
          <w:p w14:paraId="677E1265"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371,3</w:t>
            </w:r>
          </w:p>
          <w:p w14:paraId="6A94A626"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(кроме того, здесь расселено 232 тыс. немцев Поволжья)</w:t>
            </w:r>
          </w:p>
        </w:tc>
      </w:tr>
      <w:tr w:rsidR="00643896" w:rsidRPr="00640820" w14:paraId="27D9E199" w14:textId="77777777" w:rsidTr="0087788A">
        <w:trPr>
          <w:trHeight w:val="235"/>
          <w:jc w:val="center"/>
        </w:trPr>
        <w:tc>
          <w:tcPr>
            <w:tcW w:w="3518" w:type="dxa"/>
            <w:tcBorders>
              <w:top w:val="single" w:sz="4" w:space="0" w:color="auto"/>
              <w:left w:val="single" w:sz="4" w:space="0" w:color="auto"/>
              <w:bottom w:val="single" w:sz="4" w:space="0" w:color="auto"/>
              <w:right w:val="single" w:sz="4" w:space="0" w:color="auto"/>
            </w:tcBorders>
            <w:shd w:val="clear" w:color="auto" w:fill="FFFFFF"/>
          </w:tcPr>
          <w:p w14:paraId="7B4F2383"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Узбекская ССР</w:t>
            </w:r>
          </w:p>
        </w:tc>
        <w:tc>
          <w:tcPr>
            <w:tcW w:w="4723" w:type="dxa"/>
            <w:tcBorders>
              <w:top w:val="single" w:sz="4" w:space="0" w:color="auto"/>
              <w:left w:val="single" w:sz="4" w:space="0" w:color="auto"/>
              <w:bottom w:val="single" w:sz="4" w:space="0" w:color="auto"/>
              <w:right w:val="single" w:sz="4" w:space="0" w:color="auto"/>
            </w:tcBorders>
            <w:shd w:val="clear" w:color="auto" w:fill="FFFFFF"/>
          </w:tcPr>
          <w:p w14:paraId="261251D3"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603,0</w:t>
            </w:r>
          </w:p>
        </w:tc>
      </w:tr>
      <w:tr w:rsidR="00643896" w:rsidRPr="00640820" w14:paraId="3C12DC98" w14:textId="77777777" w:rsidTr="0087788A">
        <w:trPr>
          <w:trHeight w:val="235"/>
          <w:jc w:val="center"/>
        </w:trPr>
        <w:tc>
          <w:tcPr>
            <w:tcW w:w="3518" w:type="dxa"/>
            <w:tcBorders>
              <w:top w:val="single" w:sz="4" w:space="0" w:color="auto"/>
              <w:left w:val="single" w:sz="4" w:space="0" w:color="auto"/>
              <w:bottom w:val="single" w:sz="4" w:space="0" w:color="auto"/>
              <w:right w:val="single" w:sz="4" w:space="0" w:color="auto"/>
            </w:tcBorders>
            <w:shd w:val="clear" w:color="auto" w:fill="FFFFFF"/>
          </w:tcPr>
          <w:p w14:paraId="6CB06B2B"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Ворошиловградская обл.</w:t>
            </w:r>
          </w:p>
        </w:tc>
        <w:tc>
          <w:tcPr>
            <w:tcW w:w="4723" w:type="dxa"/>
            <w:tcBorders>
              <w:top w:val="single" w:sz="4" w:space="0" w:color="auto"/>
              <w:left w:val="single" w:sz="4" w:space="0" w:color="auto"/>
              <w:bottom w:val="single" w:sz="4" w:space="0" w:color="auto"/>
              <w:right w:val="single" w:sz="4" w:space="0" w:color="auto"/>
            </w:tcBorders>
            <w:shd w:val="clear" w:color="auto" w:fill="FFFFFF"/>
          </w:tcPr>
          <w:p w14:paraId="470C407D"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30,0</w:t>
            </w:r>
          </w:p>
        </w:tc>
      </w:tr>
      <w:tr w:rsidR="00643896" w:rsidRPr="00640820" w14:paraId="401C19B9" w14:textId="77777777" w:rsidTr="0087788A">
        <w:trPr>
          <w:trHeight w:val="240"/>
          <w:jc w:val="center"/>
        </w:trPr>
        <w:tc>
          <w:tcPr>
            <w:tcW w:w="3518" w:type="dxa"/>
            <w:tcBorders>
              <w:top w:val="single" w:sz="4" w:space="0" w:color="auto"/>
              <w:left w:val="single" w:sz="4" w:space="0" w:color="auto"/>
              <w:bottom w:val="single" w:sz="4" w:space="0" w:color="auto"/>
              <w:right w:val="single" w:sz="4" w:space="0" w:color="auto"/>
            </w:tcBorders>
            <w:shd w:val="clear" w:color="auto" w:fill="FFFFFF"/>
          </w:tcPr>
          <w:p w14:paraId="3AA57D40"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Всего</w:t>
            </w:r>
          </w:p>
        </w:tc>
        <w:tc>
          <w:tcPr>
            <w:tcW w:w="4723" w:type="dxa"/>
            <w:tcBorders>
              <w:top w:val="single" w:sz="4" w:space="0" w:color="auto"/>
              <w:left w:val="single" w:sz="4" w:space="0" w:color="auto"/>
              <w:bottom w:val="single" w:sz="4" w:space="0" w:color="auto"/>
              <w:right w:val="single" w:sz="4" w:space="0" w:color="auto"/>
            </w:tcBorders>
            <w:shd w:val="clear" w:color="auto" w:fill="FFFFFF"/>
          </w:tcPr>
          <w:p w14:paraId="79C2C568" w14:textId="77777777" w:rsidR="00F575EB" w:rsidRPr="00640820" w:rsidRDefault="00F575EB" w:rsidP="00640820">
            <w:pPr>
              <w:framePr w:wrap="notBeside" w:vAnchor="text" w:hAnchor="text" w:xAlign="center" w:y="1"/>
              <w:spacing w:after="0" w:line="240" w:lineRule="auto"/>
              <w:jc w:val="both"/>
              <w:rPr>
                <w:rFonts w:ascii="Times New Roman" w:hAnsi="Times New Roman"/>
                <w:color w:val="000000" w:themeColor="text1"/>
                <w:sz w:val="16"/>
                <w:szCs w:val="16"/>
              </w:rPr>
            </w:pPr>
            <w:r w:rsidRPr="00640820">
              <w:rPr>
                <w:rStyle w:val="Bodytext2"/>
                <w:rFonts w:eastAsia="Calibri"/>
                <w:color w:val="000000" w:themeColor="text1"/>
                <w:sz w:val="16"/>
                <w:szCs w:val="16"/>
              </w:rPr>
              <w:t>ок. 5 870</w:t>
            </w:r>
          </w:p>
        </w:tc>
      </w:tr>
    </w:tbl>
    <w:p w14:paraId="11139A43" w14:textId="77777777" w:rsidR="00F575EB" w:rsidRPr="00640820" w:rsidRDefault="00F575EB" w:rsidP="00640820">
      <w:pPr>
        <w:spacing w:after="0" w:line="240" w:lineRule="auto"/>
        <w:jc w:val="both"/>
        <w:rPr>
          <w:rStyle w:val="Bodytext2"/>
          <w:rFonts w:eastAsia="Calibri"/>
          <w:color w:val="000000" w:themeColor="text1"/>
          <w:sz w:val="16"/>
          <w:szCs w:val="16"/>
        </w:rPr>
      </w:pPr>
      <w:r w:rsidRPr="00640820">
        <w:rPr>
          <w:rStyle w:val="Bodytext2"/>
          <w:rFonts w:eastAsia="Calibri"/>
          <w:color w:val="000000" w:themeColor="text1"/>
          <w:sz w:val="16"/>
          <w:szCs w:val="16"/>
        </w:rPr>
        <w:t>(15123).</w:t>
      </w:r>
    </w:p>
    <w:p w14:paraId="3811BDD4" w14:textId="77777777" w:rsidR="00F575EB" w:rsidRPr="00640820" w:rsidRDefault="00F575EB" w:rsidP="00640820">
      <w:pPr>
        <w:spacing w:after="0" w:line="240" w:lineRule="auto"/>
        <w:jc w:val="both"/>
        <w:rPr>
          <w:rStyle w:val="Bodytext2"/>
          <w:rFonts w:eastAsia="Calibri"/>
          <w:color w:val="000000" w:themeColor="text1"/>
          <w:sz w:val="16"/>
          <w:szCs w:val="16"/>
        </w:rPr>
      </w:pPr>
    </w:p>
    <w:p w14:paraId="1BAC3E6B" w14:textId="77777777" w:rsidR="00F575EB" w:rsidRPr="00640820" w:rsidRDefault="00F575EB"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15 декабря</w:t>
      </w:r>
      <w:r w:rsidRPr="00640820">
        <w:rPr>
          <w:rFonts w:ascii="Times New Roman" w:hAnsi="Times New Roman"/>
          <w:color w:val="000000" w:themeColor="text1"/>
          <w:sz w:val="16"/>
          <w:szCs w:val="16"/>
        </w:rPr>
        <w:t xml:space="preserve"> в 1941 году газета "Правда" печатает лозунг "Пусть горит земля под ногами оккупантов!" (14861).</w:t>
      </w:r>
    </w:p>
    <w:p w14:paraId="39E33E87" w14:textId="77777777" w:rsidR="00F575EB" w:rsidRPr="00640820" w:rsidRDefault="00F575EB" w:rsidP="00640820">
      <w:pPr>
        <w:spacing w:after="0" w:line="240" w:lineRule="auto"/>
        <w:jc w:val="both"/>
        <w:rPr>
          <w:rFonts w:ascii="Times New Roman" w:hAnsi="Times New Roman"/>
          <w:color w:val="000000" w:themeColor="text1"/>
          <w:sz w:val="16"/>
          <w:szCs w:val="16"/>
        </w:rPr>
      </w:pPr>
    </w:p>
    <w:p w14:paraId="5DE28899"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декабря 1941 газета “Правда” напечатала лозунг “Пусть горит земля под ногами оккупантов” (4962).</w:t>
      </w:r>
    </w:p>
    <w:p w14:paraId="569F4154"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9A1500" w14:textId="77777777" w:rsidR="00045010" w:rsidRPr="00640820" w:rsidRDefault="00045010" w:rsidP="00640820">
      <w:pPr>
        <w:autoSpaceDE w:val="0"/>
        <w:autoSpaceDN w:val="0"/>
        <w:adjustRightInd w:val="0"/>
        <w:spacing w:after="0" w:line="240" w:lineRule="auto"/>
        <w:jc w:val="both"/>
        <w:rPr>
          <w:rFonts w:ascii="Times New Roman" w:hAnsi="Times New Roman"/>
          <w:i/>
          <w:color w:val="000000" w:themeColor="text1"/>
          <w:sz w:val="16"/>
          <w:szCs w:val="16"/>
        </w:rPr>
      </w:pPr>
      <w:r w:rsidRPr="00640820">
        <w:rPr>
          <w:rFonts w:ascii="Times New Roman" w:hAnsi="Times New Roman"/>
          <w:i/>
          <w:color w:val="000000" w:themeColor="text1"/>
          <w:sz w:val="16"/>
          <w:szCs w:val="16"/>
        </w:rPr>
        <w:t>Внутренняя политика:</w:t>
      </w:r>
    </w:p>
    <w:p w14:paraId="5024608A"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i/>
          <w:color w:val="000000" w:themeColor="text1"/>
          <w:sz w:val="16"/>
          <w:szCs w:val="16"/>
        </w:rPr>
      </w:pPr>
    </w:p>
    <w:p w14:paraId="1E9869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декабря 1941 вышло Постановление ГКО № 1036 Инструкция комиссии по закупке вооружения в Иране. РГАНИР, Фонд ГКО, д. 16, лл. 109, 110-112 (11012).</w:t>
      </w:r>
    </w:p>
    <w:p w14:paraId="58078B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46EA2A1"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1361CEB6"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A43D5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декабря 1941 г. вышло ПОСТАНОВЛЕНИЕ № ГКО-1036сс</w:t>
      </w:r>
    </w:p>
    <w:p w14:paraId="077141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Москва, Кремль </w:t>
      </w:r>
    </w:p>
    <w:p w14:paraId="1ED882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Инструкция комиссии по закупке вооружения в Иране</w:t>
      </w:r>
    </w:p>
    <w:p w14:paraId="73015A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Утвердить инструкцию комиссии по закупке вооружения в Иране </w:t>
      </w:r>
    </w:p>
    <w:p w14:paraId="15FD9C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ПРЕДСЕДАТЕЛЬ ГОСУДАРСТВЕННОГО </w:t>
      </w:r>
    </w:p>
    <w:p w14:paraId="3D74B8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КОМИТЕТА ОБОРОНЫ И. СТАЛИН </w:t>
      </w:r>
    </w:p>
    <w:p w14:paraId="41E7BA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Выписки посланы: т.т. Молотову, Микояну, Шапошникову. </w:t>
      </w:r>
    </w:p>
    <w:p w14:paraId="71FB44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Утверждено Государственным Комитетом Обороны 15.XII-1941 г., № 1036сс. </w:t>
      </w:r>
    </w:p>
    <w:p w14:paraId="4F784A3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ИНСТРУКЦИЯ КОМИССИИ ПО ЗАКУПКЕ ВООРУЖЕНИЯ В ИРАНЕ. </w:t>
      </w:r>
    </w:p>
    <w:p w14:paraId="54C4E1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 Добиться немедленного осмотра, приемки и отправки в СССР обещанных иранским военном министром 100 тысяч винтовок, 800 легких пулеметов, 400 станковых пулеметов и 10 миллионов патронов. При этом Комиссия должна регулярно информировать т.т. Молотова и Микояна о результатах осмотра и приемки вооружения, о графике отгрузки и ходе самой отгрузки. </w:t>
      </w:r>
    </w:p>
    <w:p w14:paraId="20002F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 Добиться, чтобы количество поставляемых нам винтовок, пулеметов и патронов было увеличено против указанных в первом пункте количеств и сообщить свои предложения по этому вопросу в Москву. </w:t>
      </w:r>
    </w:p>
    <w:p w14:paraId="422F0B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 Обратить особое внимание на сообщение т. Смирнова от 15 ноября о том, что в Иране имеется станковых пулеметов "Максим" до 8 тысяч штук и легких пулеметов - до 10 тысяч штук, которые, если в самом деле имеются, приобрести для нас во что бы то ни стало. </w:t>
      </w:r>
    </w:p>
    <w:p w14:paraId="21CA9E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4. Ввиду желания англичан получить часть иранского вооружения, считать возможным уступить англичанам имеющиеся в Иране самолеты и танки, но при этом добиваться, чтобы все годные для нашей армии пулеметы и винтовки были направлены в СССР. </w:t>
      </w:r>
    </w:p>
    <w:p w14:paraId="753CA4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Уступить также англичанам артиллерийские орудия и снаряды к ним при условии, если англичане в свою очередь откажутся от иранских пулеметов в нашу пользу. </w:t>
      </w:r>
    </w:p>
    <w:p w14:paraId="328383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5. Выяснить возможность производства в Иране необходимого нам количества патронов к пулеметам и винтовкам тех калибров, которые отличаются от наших. Свои предложения сообщить в Москву. </w:t>
      </w:r>
    </w:p>
    <w:p w14:paraId="7A58EA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6. Осмотреть пулеметный завод в Тегеране и выяснить мероприятия, необходимые для пуска его в кратчайший срок, исходя из того, что все производимые во время настоящей войны пулеметы должны поступать в СССР и что для налаживания этого производства СССР может предоставить некоторые материалы, в импорте которых нуждается Иран. При этом считать особенно желательным, как можно скорее наладить производство станковых пулеметов "Максим". </w:t>
      </w:r>
    </w:p>
    <w:p w14:paraId="40371B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7. Проследить за тем, чтобы задержанное в г. Ассобе оборудование и инструменты для пулеметного завода, в соответствии с обещанием Идена, было доставлено по назначению. </w:t>
      </w:r>
    </w:p>
    <w:p w14:paraId="1D36D5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Комиссия должна получить из Москвы дополнительные указания о том, какое транзитное оборудование и материалы, находящиеся в СССР, будут направлены в Иран для пулеметного завода. </w:t>
      </w:r>
    </w:p>
    <w:p w14:paraId="5B9ADC6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8. Выяснить возможность, количество и условия производства в Иране винтовок для СССР и сообщить в Москву свои предложения по этому вопросу. </w:t>
      </w:r>
    </w:p>
    <w:p w14:paraId="5F073D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9. В отношении условий оплаты за приобретаемое вооружение из имеющихся запасов иранской армии согласиться на следующее: </w:t>
      </w:r>
    </w:p>
    <w:p w14:paraId="33CD6E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а) пулеметы "Максим" оплатить полностью наличными (в валюте - по желанию Ирана); </w:t>
      </w:r>
    </w:p>
    <w:p w14:paraId="6B1A92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б) остальные пулеметы, винтовки и патроны оплачивать наличными в размере 50%, а другие 50% - по окончании войны возвратить Ирану натурой или валютой (по желанию Ирана). </w:t>
      </w:r>
    </w:p>
    <w:p w14:paraId="756680D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10. Выяснить и сообщить в Москву свои предложения об условиях оплаты стоимости пулеметов и винтовок, которые будут производиться в Иране для СССР. При этом иметь в виду, что как оплата поставок производимого в Иране оружия, так и возможные поставки наших материалов для этого производства должны производиться в иранской валюте. </w:t>
      </w:r>
    </w:p>
    <w:p w14:paraId="7869B6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11. Комиссия должна советоваться по порученным ей вопросам с послом и торгпредом. </w:t>
      </w:r>
    </w:p>
    <w:p w14:paraId="0A9703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12. За выполнение настоящей Инструкции Комиссия несет ответственность непосредственно перед Правительством. </w:t>
      </w:r>
    </w:p>
    <w:p w14:paraId="5E5C30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Верно: Сухова (11434).</w:t>
      </w:r>
    </w:p>
    <w:p w14:paraId="11AB92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E2D76E7"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31378796"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A594F26"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декабря 1941 в Париже фашистами казнен лидер французских коммунистов Габриэль Пери (4962).</w:t>
      </w:r>
    </w:p>
    <w:p w14:paraId="0F3E2D7D"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63CF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декабря 1941 г Роммель решил эвакуироваться из Киренаики (2260).</w:t>
      </w:r>
    </w:p>
    <w:p w14:paraId="1311D4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E109E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декабря 1941 англичане начали выводить войска из Малайзии и Бирмы (2260).</w:t>
      </w:r>
    </w:p>
    <w:p w14:paraId="4E992E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5A9462E" w14:textId="77777777" w:rsidR="007627BD" w:rsidRPr="00640820" w:rsidRDefault="007627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15 декабря</w:t>
      </w:r>
      <w:r w:rsidRPr="00640820">
        <w:rPr>
          <w:rFonts w:ascii="Times New Roman" w:hAnsi="Times New Roman"/>
          <w:color w:val="000000" w:themeColor="text1"/>
          <w:sz w:val="16"/>
          <w:szCs w:val="16"/>
        </w:rPr>
        <w:t xml:space="preserve"> в 1941 году японские войска перешли границу Бирмы. Вместе с японскими войсками на территорию Бирмы вступили части Армии независимости Бирмы, сформированной в Сиаме (14861).</w:t>
      </w:r>
    </w:p>
    <w:p w14:paraId="29F652FD" w14:textId="77777777" w:rsidR="007627BD" w:rsidRPr="00640820" w:rsidRDefault="007627BD" w:rsidP="00640820">
      <w:pPr>
        <w:spacing w:after="0" w:line="240" w:lineRule="auto"/>
        <w:jc w:val="both"/>
        <w:rPr>
          <w:rFonts w:ascii="Times New Roman" w:hAnsi="Times New Roman"/>
          <w:color w:val="000000" w:themeColor="text1"/>
          <w:sz w:val="16"/>
          <w:szCs w:val="16"/>
        </w:rPr>
      </w:pPr>
    </w:p>
    <w:p w14:paraId="69DA8C8C"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004ED27F"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AEDFA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первой половине декабря 1941 судя по журналу боевых действий, 421 дбап полк отдыхал и приводил в порядок технику. На всех самолетах завершили установку стрелковых башен ТАТ с пулеметами БТ взамен малоэффективных МВ-3 со ШКАСами. Вероятно, в это время произошло перераспределение бомбардировщиков между эскадрильями и их "перенумерация". В дальнейшем заметно чаще стали упоминаться самолеты с голубыми и белыми цифрами на килях, а вот желтая "5" осталась в одиночестве, зато появились красные с номерами "5" и "7" (скорее всего, из полка Новодранова). Одновременно в ДБА прошла реорганизация: 81-ю дивизию расформировали, авиаполк ТБ-7 сделали отдельным (с присвоением нового номера - 746), а гусевский полк, получивший номер 747, был включен во вновь созданную 3-ю ад под командованием Голованова (3322,23).</w:t>
      </w:r>
    </w:p>
    <w:p w14:paraId="46AAFD1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8BCE0EF"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710DE86B"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D9A48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середине декабря 1941 специали</w:t>
      </w:r>
      <w:r w:rsidRPr="00640820">
        <w:rPr>
          <w:rFonts w:ascii="Times New Roman" w:hAnsi="Times New Roman"/>
          <w:color w:val="000000" w:themeColor="text1"/>
          <w:sz w:val="16"/>
          <w:szCs w:val="16"/>
        </w:rPr>
        <w:softHyphen/>
        <w:t>сты НИИ ВВС вышли с предложением об установке на новый штурмовик мо</w:t>
      </w:r>
      <w:r w:rsidRPr="00640820">
        <w:rPr>
          <w:rFonts w:ascii="Times New Roman" w:hAnsi="Times New Roman"/>
          <w:color w:val="000000" w:themeColor="text1"/>
          <w:sz w:val="16"/>
          <w:szCs w:val="16"/>
        </w:rPr>
        <w:softHyphen/>
        <w:t>тора М-82 112И (М-82ИР) с односко</w:t>
      </w:r>
      <w:r w:rsidRPr="00640820">
        <w:rPr>
          <w:rFonts w:ascii="Times New Roman" w:hAnsi="Times New Roman"/>
          <w:color w:val="000000" w:themeColor="text1"/>
          <w:sz w:val="16"/>
          <w:szCs w:val="16"/>
        </w:rPr>
        <w:softHyphen/>
        <w:t>ростным нагнетателем и форсирован</w:t>
      </w:r>
      <w:r w:rsidRPr="00640820">
        <w:rPr>
          <w:rFonts w:ascii="Times New Roman" w:hAnsi="Times New Roman"/>
          <w:color w:val="000000" w:themeColor="text1"/>
          <w:sz w:val="16"/>
          <w:szCs w:val="16"/>
        </w:rPr>
        <w:softHyphen/>
        <w:t>ным по мощности на малых высотах, ко</w:t>
      </w:r>
      <w:r w:rsidRPr="00640820">
        <w:rPr>
          <w:rFonts w:ascii="Times New Roman" w:hAnsi="Times New Roman"/>
          <w:color w:val="000000" w:themeColor="text1"/>
          <w:sz w:val="16"/>
          <w:szCs w:val="16"/>
        </w:rPr>
        <w:softHyphen/>
        <w:t>торый в ноябре успешно прошел 100-часовые испытания на стенде. Предло</w:t>
      </w:r>
      <w:r w:rsidRPr="00640820">
        <w:rPr>
          <w:rFonts w:ascii="Times New Roman" w:hAnsi="Times New Roman"/>
          <w:color w:val="000000" w:themeColor="text1"/>
          <w:sz w:val="16"/>
          <w:szCs w:val="16"/>
        </w:rPr>
        <w:softHyphen/>
        <w:t>жение было принято, и модифицированный мотор установили на штурмовик (6467).</w:t>
      </w:r>
    </w:p>
    <w:p w14:paraId="62DD66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2ADF42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середине декабря 1941 года П.О.Сухой в своем обращении к А.И.Шахурину предложил: «Для тех</w:t>
      </w:r>
      <w:r w:rsidRPr="00640820">
        <w:rPr>
          <w:rFonts w:ascii="Times New Roman" w:hAnsi="Times New Roman"/>
          <w:color w:val="000000" w:themeColor="text1"/>
          <w:sz w:val="16"/>
          <w:szCs w:val="16"/>
        </w:rPr>
        <w:softHyphen/>
        <w:t>нологической отработки и тактичес</w:t>
      </w:r>
      <w:r w:rsidRPr="00640820">
        <w:rPr>
          <w:rFonts w:ascii="Times New Roman" w:hAnsi="Times New Roman"/>
          <w:color w:val="000000" w:themeColor="text1"/>
          <w:sz w:val="16"/>
          <w:szCs w:val="16"/>
        </w:rPr>
        <w:softHyphen/>
        <w:t>кой проверки самолета...построить несколько экземпляров Су-6.</w:t>
      </w:r>
    </w:p>
    <w:p w14:paraId="467B5BB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№19 имеет 6 свободных моторов М-71, а опытный цех Шве</w:t>
      </w:r>
      <w:r w:rsidRPr="00640820">
        <w:rPr>
          <w:rFonts w:ascii="Times New Roman" w:hAnsi="Times New Roman"/>
          <w:color w:val="000000" w:themeColor="text1"/>
          <w:sz w:val="16"/>
          <w:szCs w:val="16"/>
        </w:rPr>
        <w:softHyphen/>
        <w:t>цова может свободно изготовить еще столько же моторов и помочь механическими работами при из</w:t>
      </w:r>
      <w:r w:rsidRPr="00640820">
        <w:rPr>
          <w:rFonts w:ascii="Times New Roman" w:hAnsi="Times New Roman"/>
          <w:color w:val="000000" w:themeColor="text1"/>
          <w:sz w:val="16"/>
          <w:szCs w:val="16"/>
        </w:rPr>
        <w:softHyphen/>
        <w:t>готовлении самолетов.</w:t>
      </w:r>
    </w:p>
    <w:p w14:paraId="057B8C5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Прошу Вашего распоряжения о постройке заводом №289 девяти экземпляров Су-6 М-71 в первой половине 1942 года» (11845).</w:t>
      </w:r>
    </w:p>
    <w:p w14:paraId="6FC403A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CC146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середине декабря 1941 почти все стены заводских корпусов находились в строительных ле</w:t>
      </w:r>
      <w:r w:rsidRPr="00640820">
        <w:rPr>
          <w:rFonts w:ascii="Times New Roman" w:hAnsi="Times New Roman"/>
          <w:color w:val="000000" w:themeColor="text1"/>
          <w:sz w:val="16"/>
          <w:szCs w:val="16"/>
        </w:rPr>
        <w:softHyphen/>
        <w:t>сах, местами сугробами снега засыпало строитель</w:t>
      </w:r>
      <w:r w:rsidRPr="00640820">
        <w:rPr>
          <w:rFonts w:ascii="Times New Roman" w:hAnsi="Times New Roman"/>
          <w:color w:val="000000" w:themeColor="text1"/>
          <w:sz w:val="16"/>
          <w:szCs w:val="16"/>
        </w:rPr>
        <w:softHyphen/>
        <w:t>ную технику. Люди продолжали вручную переносить станки, снятые с железнодорожных платформ, в еще недостроенные цеха завода № 1. Практически ни один из них до конца года не имел крыши. Редактор газеты «Все для фронта» А.С.Магид тогда писал:</w:t>
      </w:r>
    </w:p>
    <w:p w14:paraId="29376FE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декабря. Никогда не видели такого, с чем встречаемся здесь на каждом шагу. Станки устанав</w:t>
      </w:r>
      <w:r w:rsidRPr="00640820">
        <w:rPr>
          <w:rFonts w:ascii="Times New Roman" w:hAnsi="Times New Roman"/>
          <w:color w:val="000000" w:themeColor="text1"/>
          <w:sz w:val="16"/>
          <w:szCs w:val="16"/>
        </w:rPr>
        <w:softHyphen/>
        <w:t>ливают в цехах одновременно с возведением стен. В цехах начинают выпускать самолеты, когда еще нет окон, нет крыш. Снег покрывает человека, станок, но работа продолжается...</w:t>
      </w:r>
    </w:p>
    <w:p w14:paraId="4ECC215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декабря. В цехах у Третьякова вырыли ямы, в них наложили дров, полили мазутом и зажгли, рабо</w:t>
      </w:r>
      <w:r w:rsidRPr="00640820">
        <w:rPr>
          <w:rFonts w:ascii="Times New Roman" w:hAnsi="Times New Roman"/>
          <w:color w:val="000000" w:themeColor="text1"/>
          <w:sz w:val="16"/>
          <w:szCs w:val="16"/>
        </w:rPr>
        <w:softHyphen/>
        <w:t>чие по очереди подходят к кострам, греются. Из це</w:t>
      </w:r>
      <w:r w:rsidRPr="00640820">
        <w:rPr>
          <w:rFonts w:ascii="Times New Roman" w:hAnsi="Times New Roman"/>
          <w:color w:val="000000" w:themeColor="text1"/>
          <w:sz w:val="16"/>
          <w:szCs w:val="16"/>
        </w:rPr>
        <w:softHyphen/>
        <w:t>хов никуда не уходят. Здесь же и живут. Столовых еще нет. Где-то есть раздаточная, выдают что-то похожее на суп...» (9984).</w:t>
      </w:r>
    </w:p>
    <w:p w14:paraId="08280A8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29BE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середине декабря 1941 г. нарком Шахурин в письме И.В. Стали</w:t>
      </w:r>
      <w:r w:rsidRPr="00640820">
        <w:rPr>
          <w:rFonts w:ascii="Times New Roman" w:hAnsi="Times New Roman"/>
          <w:color w:val="000000" w:themeColor="text1"/>
          <w:sz w:val="16"/>
          <w:szCs w:val="16"/>
        </w:rPr>
        <w:softHyphen/>
        <w:t>ну писал: «...считаю необходимым принять решение о выпуске мото</w:t>
      </w:r>
      <w:r w:rsidRPr="00640820">
        <w:rPr>
          <w:rFonts w:ascii="Times New Roman" w:hAnsi="Times New Roman"/>
          <w:color w:val="000000" w:themeColor="text1"/>
          <w:sz w:val="16"/>
          <w:szCs w:val="16"/>
        </w:rPr>
        <w:softHyphen/>
        <w:t>ров АМ-37. Учитывая потребность московского и омского заводов по предлагаемой программе выпуска самолетов «103» с моторами АМ-37, завод нужно ориентировать на выпуск 3500 моторов в 1942 году...» (10781).</w:t>
      </w:r>
    </w:p>
    <w:p w14:paraId="737A66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B1606EB" w14:textId="77777777" w:rsidR="003E3671" w:rsidRPr="00640820" w:rsidRDefault="003E367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середине декабря 1941 года началась отгрузка в СССР«Бостон» Mk. III, и к 31 декабря было отправлено 44 машины.</w:t>
      </w:r>
    </w:p>
    <w:p w14:paraId="57143385" w14:textId="77777777" w:rsidR="003E3671" w:rsidRPr="00640820" w:rsidRDefault="003E367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xml:space="preserve">Поначалу варианты для экспорта и «домашнего употребления» сильно рознились, и чтобы не сорвать поставки бомбардировщиков Англии и в то же время обеспечить свою авиацию, было решено создать унифицированную модификацию. Для внутреннего потребления она выпускалась под обозначением А-20С, а на экспорт — «Бостон» Mk. III. Именно эта модификация была закуплена нашей миссией в США. Отгрузка </w:t>
      </w:r>
    </w:p>
    <w:p w14:paraId="3D096077" w14:textId="77777777" w:rsidR="003E3671" w:rsidRPr="00640820" w:rsidRDefault="003E367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Но из-за трудностей организации конвоев из Великобритании в северные порты СССР фактически было получено только 3 самолета, остальные пошли в разобранном виде через Ирак. Среди заказанных А-20С оказались и прошедшие уже капремонт бывшие английские «Бостон» Mk.III, и самолеты, не успевшие попасть в капитулировавшую Голландию (22856).</w:t>
      </w:r>
    </w:p>
    <w:p w14:paraId="2BC68555" w14:textId="77777777" w:rsidR="003E3671" w:rsidRPr="00640820" w:rsidRDefault="003E3671" w:rsidP="00640820">
      <w:pPr>
        <w:spacing w:after="0" w:line="240" w:lineRule="auto"/>
        <w:jc w:val="both"/>
        <w:rPr>
          <w:rFonts w:ascii="Times New Roman" w:hAnsi="Times New Roman"/>
          <w:color w:val="0070C0"/>
          <w:sz w:val="16"/>
          <w:szCs w:val="16"/>
        </w:rPr>
      </w:pPr>
    </w:p>
    <w:p w14:paraId="583AB722" w14:textId="77777777" w:rsidR="003E3671" w:rsidRPr="00640820" w:rsidRDefault="003E3671"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5F906EB0" w14:textId="77777777" w:rsidR="003E3671" w:rsidRPr="00640820" w:rsidRDefault="003E3671"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E1F8544" w14:textId="77777777" w:rsidR="003E3671" w:rsidRPr="00640820" w:rsidRDefault="003E367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середине декабря 1941 возобновляются работы в первом отделе НАТИ. Сюда из других отделов переводят</w:t>
      </w:r>
      <w:r w:rsidRPr="00640820">
        <w:rPr>
          <w:rFonts w:ascii="Times New Roman" w:hAnsi="Times New Roman"/>
          <w:color w:val="0070C0"/>
          <w:sz w:val="16"/>
          <w:szCs w:val="16"/>
        </w:rPr>
        <w:softHyphen/>
        <w:t>ся инженеры И.И. Дронг, Е.Г. Попов, Н.И. Коротонош- ко, Аникеев (22518).</w:t>
      </w:r>
    </w:p>
    <w:p w14:paraId="5A485E63" w14:textId="77777777" w:rsidR="003E3671" w:rsidRPr="00640820" w:rsidRDefault="003E3671" w:rsidP="00640820">
      <w:pPr>
        <w:spacing w:after="0" w:line="240" w:lineRule="auto"/>
        <w:jc w:val="both"/>
        <w:rPr>
          <w:rFonts w:ascii="Times New Roman" w:hAnsi="Times New Roman"/>
          <w:color w:val="0070C0"/>
          <w:sz w:val="16"/>
          <w:szCs w:val="16"/>
        </w:rPr>
      </w:pPr>
    </w:p>
    <w:p w14:paraId="1C5CFE16" w14:textId="06A31B54" w:rsidR="003E3671" w:rsidRPr="00640820" w:rsidRDefault="003E3671" w:rsidP="00640820">
      <w:pPr>
        <w:autoSpaceDE w:val="0"/>
        <w:autoSpaceDN w:val="0"/>
        <w:adjustRightInd w:val="0"/>
        <w:spacing w:after="0" w:line="240" w:lineRule="auto"/>
        <w:jc w:val="both"/>
        <w:rPr>
          <w:rFonts w:ascii="Times New Roman" w:hAnsi="Times New Roman"/>
          <w:i/>
          <w:iCs/>
          <w:color w:val="000000" w:themeColor="text1"/>
          <w:sz w:val="16"/>
          <w:szCs w:val="16"/>
        </w:rPr>
      </w:pPr>
      <w:r w:rsidRPr="00640820">
        <w:rPr>
          <w:rFonts w:ascii="Times New Roman" w:hAnsi="Times New Roman"/>
          <w:i/>
          <w:iCs/>
          <w:color w:val="000000" w:themeColor="text1"/>
          <w:sz w:val="16"/>
          <w:szCs w:val="16"/>
        </w:rPr>
        <w:t>Армия:</w:t>
      </w:r>
    </w:p>
    <w:p w14:paraId="3DB9851F" w14:textId="77777777" w:rsidR="003E3671" w:rsidRPr="00640820" w:rsidRDefault="003E3671" w:rsidP="00640820">
      <w:pPr>
        <w:autoSpaceDE w:val="0"/>
        <w:autoSpaceDN w:val="0"/>
        <w:adjustRightInd w:val="0"/>
        <w:spacing w:after="0" w:line="240" w:lineRule="auto"/>
        <w:jc w:val="both"/>
        <w:rPr>
          <w:rFonts w:ascii="Times New Roman" w:hAnsi="Times New Roman"/>
          <w:i/>
          <w:iCs/>
          <w:color w:val="000000" w:themeColor="text1"/>
          <w:sz w:val="16"/>
          <w:szCs w:val="16"/>
        </w:rPr>
      </w:pPr>
    </w:p>
    <w:p w14:paraId="3A5C219C" w14:textId="77777777" w:rsidR="003E3671" w:rsidRPr="00640820" w:rsidRDefault="003E367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середине декабря 1941 советская воздушная разведка подтверждает крупномасштабный вывод немецких войск к западу от Клина в ответ на советское зимнее контрнаступление (20794).</w:t>
      </w:r>
    </w:p>
    <w:p w14:paraId="7B822B12" w14:textId="77777777" w:rsidR="003E3671" w:rsidRPr="00640820" w:rsidRDefault="003E3671" w:rsidP="00640820">
      <w:pPr>
        <w:spacing w:after="0" w:line="240" w:lineRule="auto"/>
        <w:jc w:val="both"/>
        <w:rPr>
          <w:rFonts w:ascii="Times New Roman" w:hAnsi="Times New Roman"/>
          <w:color w:val="0070C0"/>
          <w:sz w:val="16"/>
          <w:szCs w:val="16"/>
        </w:rPr>
      </w:pPr>
    </w:p>
    <w:p w14:paraId="39CBBFC9" w14:textId="368C417F"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58894E38"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68AB022"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декабря 1941 года вышел приказ № 90сс НКТП Челябинск</w:t>
      </w:r>
    </w:p>
    <w:p w14:paraId="3193D082"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Ряд заводов вопросу обеспечения бронекорпусами ИЛ-2, бронеспинками, бронекозырьками и бронедеталями для всех типов самолетов совершенно недостаточно уделяли внимания, в результате чего завод № 183 не обеспечил выполнение программы по ИЛ-2 и до сего времени не сдал ни одного бронекорпуса.</w:t>
      </w:r>
    </w:p>
    <w:p w14:paraId="0EB2E1FF"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Гл. управление регулярно планировал ежемесячную программу выпуска ИЛ-2: по заводу № 177, по заводу № 264. Завод № 177 совершенно не выпускал данной продукции, т.к. часть оборудования, занятого по производству ИЛ-2 была переброшена на Куйбышевский механический завод. Завод № 264 – план октября выполнен только на 34%, а ноября – 36% (6043, 105).</w:t>
      </w:r>
    </w:p>
    <w:p w14:paraId="7F94B425"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CFFEB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декабря 1941 вышел приказ НКАП N 1168с "В целях обеспечения комплектной сдачи авиалыж типа Ил-2 приказываю:</w:t>
      </w:r>
    </w:p>
    <w:p w14:paraId="746B249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ГК завода 45 Горбунову в 2-х дневный срок отработать конструкцию подвески авиалыж на резиновой шнуровой амортизации</w:t>
      </w:r>
    </w:p>
    <w:p w14:paraId="4D68AA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Директору завода 156 Гулянскому в 3-х дневный срок изготовить два комплекта кабанов амортизационных цепей и направить авиалыжи в Ремонтные мастерские завода 84 для монтажа и проведения испытаний</w:t>
      </w:r>
    </w:p>
    <w:p w14:paraId="435FCA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Нач. ремонтных мастерских завода 84 Н.Н.Леонтьеву:</w:t>
      </w:r>
    </w:p>
    <w:p w14:paraId="4CF1305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выделить одну машину Ил-2 для установки и монтажа авиалыж</w:t>
      </w:r>
    </w:p>
    <w:p w14:paraId="5BD758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произвести летные испытания авиалыж на машине и совместно с представителями ВВС дать заключение о конструкции подвески авиалыж к 21 декабря 1941</w:t>
      </w:r>
    </w:p>
    <w:p w14:paraId="6F73FE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Директору завода 156 Гулянскому:</w:t>
      </w:r>
    </w:p>
    <w:p w14:paraId="5003353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обеспечить комплексное изготовление кабанов и амортизаторов для авиалыж типа Ил-2 в количестве 200 комплектов до 1 января 1942</w:t>
      </w:r>
    </w:p>
    <w:p w14:paraId="261DA6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организовать установку кабанов на авиалыжи, а также их окончательную отделку</w:t>
      </w:r>
    </w:p>
    <w:p w14:paraId="5A873B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Директору завода 165 Степину поставить для завода 156 до 25 декабря 1941 100 комплектов авиалыж Ил-2</w:t>
      </w:r>
    </w:p>
    <w:p w14:paraId="1114DA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Директору завода 457 Лукичеву поставить заводу 156 до 25 декабря 1941 100 комплектов авиалыж Ил-2 (1330,46).</w:t>
      </w:r>
    </w:p>
    <w:p w14:paraId="680E99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32DE2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декабря 1941 в письме N 33 Ком. ВВС Жигарев писал А.И.Ш.:</w:t>
      </w:r>
    </w:p>
    <w:p w14:paraId="62542A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"выполнение программы по выпуску самолетов заводами НКАП идет крайне неудовлетворительно.</w:t>
      </w:r>
    </w:p>
    <w:p w14:paraId="51EEF4C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1941 подлежало поставить 1210, а поставлено 454</w:t>
      </w:r>
    </w:p>
    <w:p w14:paraId="573110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первые 15 дней декабря подлежало поставить 831 боевой самолет, а фактически поставлено 208.</w:t>
      </w:r>
    </w:p>
    <w:p w14:paraId="1064C7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Бомбардировщиков подлежало поставить 190, а поставлено 36, штурмовиков - 154, а 7, истребителей - 487, а поставлено 165...(2554,48).</w:t>
      </w:r>
    </w:p>
    <w:p w14:paraId="0534DF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8784155"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186F3465"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D39CA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декабря 1941 г. был несчастный случай в ГСНИИ42 (г. Москва, нынешний ГСНИИОХТ), связанный с нарушением норм техники безопасности. Гибель аппаратчика (9067).</w:t>
      </w:r>
    </w:p>
    <w:p w14:paraId="2D14B9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F17D02C" w14:textId="77777777" w:rsidR="003C65D8" w:rsidRPr="00640820" w:rsidRDefault="003C65D8" w:rsidP="00640820">
      <w:pPr>
        <w:pStyle w:val="162"/>
        <w:shd w:val="clear" w:color="auto" w:fill="auto"/>
        <w:spacing w:line="240" w:lineRule="auto"/>
        <w:jc w:val="both"/>
        <w:rPr>
          <w:color w:val="000000" w:themeColor="text1"/>
          <w:sz w:val="16"/>
          <w:szCs w:val="16"/>
        </w:rPr>
      </w:pPr>
      <w:r w:rsidRPr="00640820">
        <w:rPr>
          <w:rFonts w:eastAsia="Calibri"/>
          <w:color w:val="000000" w:themeColor="text1"/>
          <w:sz w:val="16"/>
          <w:szCs w:val="16"/>
        </w:rPr>
        <w:t>16 декабря 1941 в адрес Федоренко было направлено письмо от Малышева:</w:t>
      </w:r>
    </w:p>
    <w:p w14:paraId="1F99E1FB" w14:textId="77777777" w:rsidR="003C65D8" w:rsidRPr="00640820" w:rsidRDefault="003C65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«Организацию базы по производству танков на паровозоремонтном заводе в гор. Ташкенте считаю в настоящее время нецелесообразной по следующим причинам:</w:t>
      </w:r>
    </w:p>
    <w:p w14:paraId="6D7F2449" w14:textId="77777777" w:rsidR="003C65D8" w:rsidRPr="00640820" w:rsidRDefault="003C65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заводе нет своей металлургической и топливной базы.</w:t>
      </w:r>
    </w:p>
    <w:p w14:paraId="419FF703" w14:textId="77777777" w:rsidR="003C65D8" w:rsidRPr="00640820" w:rsidRDefault="003C65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имеет совершенно недостаточный станочный парк.</w:t>
      </w:r>
    </w:p>
    <w:p w14:paraId="30D3F68C" w14:textId="77777777" w:rsidR="003C65D8" w:rsidRPr="00640820" w:rsidRDefault="003C65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Отдаленность завода от промышленных центров, близлежащие границы.</w:t>
      </w:r>
    </w:p>
    <w:p w14:paraId="4EA62523" w14:textId="77777777" w:rsidR="003C65D8" w:rsidRPr="00640820" w:rsidRDefault="003C65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Отсутствие практики в литье 20-мм брони на наших заводах.</w:t>
      </w:r>
    </w:p>
    <w:p w14:paraId="56EB861B" w14:textId="77777777" w:rsidR="003C65D8" w:rsidRPr="00640820" w:rsidRDefault="003C65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Считаю целесообразным загрузить станочное оборудование Ташкент</w:t>
      </w:r>
      <w:r w:rsidRPr="00640820">
        <w:rPr>
          <w:rFonts w:ascii="Times New Roman" w:hAnsi="Times New Roman"/>
          <w:color w:val="000000" w:themeColor="text1"/>
          <w:sz w:val="16"/>
          <w:szCs w:val="16"/>
        </w:rPr>
        <w:softHyphen/>
        <w:t>ского паровозоремонтного завода изготовлением танковых запасных ча</w:t>
      </w:r>
      <w:r w:rsidRPr="00640820">
        <w:rPr>
          <w:rFonts w:ascii="Times New Roman" w:hAnsi="Times New Roman"/>
          <w:color w:val="000000" w:themeColor="text1"/>
          <w:sz w:val="16"/>
          <w:szCs w:val="16"/>
        </w:rPr>
        <w:softHyphen/>
        <w:t>стей и ремонтом железнодорожных бронеплощадок» (17485).</w:t>
      </w:r>
    </w:p>
    <w:p w14:paraId="2484A435" w14:textId="77777777" w:rsidR="003C65D8" w:rsidRPr="00640820" w:rsidRDefault="003C65D8" w:rsidP="00640820">
      <w:pPr>
        <w:spacing w:after="0" w:line="240" w:lineRule="auto"/>
        <w:jc w:val="both"/>
        <w:rPr>
          <w:rFonts w:ascii="Times New Roman" w:hAnsi="Times New Roman"/>
          <w:color w:val="000000" w:themeColor="text1"/>
          <w:sz w:val="16"/>
          <w:szCs w:val="16"/>
        </w:rPr>
      </w:pPr>
    </w:p>
    <w:p w14:paraId="0F9C5C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декабря 1941 г. была выпущена первая продукция заводом (Завод № 734 НКРП, Свердловский завод резинотехнических изделий (РТИ), ГП «Екатеринбургский завод «Каучук», ОАО «Уральский завод РТИ» /г. Свердловск/ /620085  г. Екатеринбург ул. Титова, 11/) (этот день считается днем рождения завода).</w:t>
      </w:r>
    </w:p>
    <w:p w14:paraId="7C9172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734 НКРП создан на базе эвакуированных в Свердловск на площадку недостроенного мясокомбината заводов: московского «Каучука», ленинградского «Красного треугольника» и киевского «Красного резинщика» (в соответствии с пост. ГКО № 99сс от 11.07.1941 г. основная часть завода подлежала эвакуации в Свердловск на площадку убойно-утилизационного корпуса мясокомбината). В начале войны был единственным действующим заводом РТИ.</w:t>
      </w:r>
    </w:p>
    <w:p w14:paraId="72D10A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15.12.1943 г. вышло распоряжение ГКО № 4782 о мерах по обеспечению производства на заводе транспортерной ленты и приводных ремней для угольной и металлургической промышленности.</w:t>
      </w:r>
    </w:p>
    <w:p w14:paraId="58928F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1950 г. начато строительство на новой площадке завода. В 1959 г. завод полностью переведен на новую площадку и стал крупнейшим в стране заводом РТИ. Было заменено около 60% оборудования. В 1966-70 г. были построены и введены в эксплуатацию первый в стране корпус широких транспортерных лент и корпус № 65 производства особо важных изделий. Входил в холдинг ОАО «Металлоинвест» (2003 г.).</w:t>
      </w:r>
    </w:p>
    <w:p w14:paraId="09A52F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(2000-е): транспортерная лента: специальная шириной 1400-3500 мм (единственный завод в стране); повышенной теплостойкости до 200 °С; рукава: всасывающие диаметром 150-250 мм; для кислородно- дыхательной аппаратуры.</w:t>
      </w:r>
    </w:p>
    <w:p w14:paraId="212D7F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территории (2000-е )- 42 га.</w:t>
      </w:r>
    </w:p>
    <w:p w14:paraId="697B86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Гендиректор (-2001 г.)- М.М. Михалевич, (2001-02 г.-)- В. Г. Матушкин.</w:t>
      </w:r>
    </w:p>
    <w:p w14:paraId="42D538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Исполнительный директор (2005 г.)- И. Веревочкин.</w:t>
      </w:r>
    </w:p>
    <w:p w14:paraId="08ED9C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E8945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1914-16 г. был построен Завод «Каучук» НКРП, «Красный каучук» /г. Москва ул. Усачева, 11/. Поставлял продукцию для авиационной промышленности (1917 г.). В 1923 г. назывался «Красный каучук».</w:t>
      </w:r>
    </w:p>
    <w:p w14:paraId="1335FC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Разработан и построен дирижабль «Московский химик-резинщик» («МХР», Д-1, 1925 г.), проект- Н.В. Фомина. Изготовлялись оболочки для дирижаблей: «Комсомольская правда» (1930 г.).</w:t>
      </w:r>
    </w:p>
    <w:p w14:paraId="1925FD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1936 г. аэроцех (по производству авиационных покрышек) завода «Каучук» переведен на ЯШЗ. В 1938 г. завод выпускал также авиационные приборные амортизаторы.</w:t>
      </w:r>
    </w:p>
    <w:p w14:paraId="616C509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09.1941 г. цех № 7 завода эвакуирован в Саратов на завод № 306 НКАП; часть завода эвакуирована в Свердловск, где организован завод № 734 НКРП.</w:t>
      </w:r>
    </w:p>
    <w:p w14:paraId="135BE7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24.02.1942 г. вышло постановление ГКО № 1348 о частичном восстановлении производства на заводе «Каучук» НКРП.</w:t>
      </w:r>
    </w:p>
    <w:p w14:paraId="47D599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1950-х  г. совместно с заводом № 30 МАП построен стратостат «СССР-1», в 1953 г. на нем установлен рекорд высоты подъема (11982).</w:t>
      </w:r>
    </w:p>
    <w:p w14:paraId="687334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6AF98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«Красный резинщик» НКРП /г. Киев/</w:t>
      </w:r>
    </w:p>
    <w:p w14:paraId="39695C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ГКО № 99сс от 11.07.1941 г. завод подлежал эвакуации в Свердловск на площадку убойно-утилизационного корпуса мясокомбината (основная часть) и в Казань на площадку завода СК-4. В Свердловске завод вошел в состав вновь созданного завода № 734 НКРП (11982).</w:t>
      </w:r>
    </w:p>
    <w:p w14:paraId="1A0CA2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1BAA3AE"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20265043"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8E1CC2A" w14:textId="77777777" w:rsidR="007627BD" w:rsidRPr="00640820" w:rsidRDefault="007627BD"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16 декабря </w:t>
      </w:r>
      <w:r w:rsidRPr="00640820">
        <w:rPr>
          <w:rFonts w:ascii="Times New Roman" w:hAnsi="Times New Roman"/>
          <w:color w:val="000000" w:themeColor="text1"/>
          <w:sz w:val="16"/>
          <w:szCs w:val="16"/>
        </w:rPr>
        <w:t>в 1941 году утреннее сообщение Совинформбюро:</w:t>
      </w:r>
    </w:p>
    <w:p w14:paraId="09625F72" w14:textId="77777777" w:rsidR="007627BD" w:rsidRPr="00640820" w:rsidRDefault="007627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16 декабря наши войска вели бои с противником на всех фронтах.</w:t>
      </w:r>
    </w:p>
    <w:p w14:paraId="1DF45961" w14:textId="77777777" w:rsidR="007627BD" w:rsidRPr="00640820" w:rsidRDefault="007627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Наша часть, действующая на одном из участков Юго-Западного фронта, захватила 200 немецких автомашин, 60 ящиков взрывчатых веществ, 144 ящика со снарядами и другие трофеи. На другом участке фронта наши бойцы захватили 13 орудий, 3 миномёта, 15 пулемётов и авторемонтную мастерскую противника.</w:t>
      </w:r>
    </w:p>
    <w:p w14:paraId="4215A439" w14:textId="77777777" w:rsidR="007627BD" w:rsidRPr="00640820" w:rsidRDefault="007627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Лётчики авиачасти, которой командует тов. Шевченко, за один месяц боевых действий сбили в воздушных боях 26 немецких самолётов и уничтожили 54 немецких танка, более 1.000 автомашин с пехотой и военными грузами, 36 орудий, 10 автоцистерн с горючим и истребили свыше 1.300 солдат и офицеров противника.</w:t>
      </w:r>
    </w:p>
    <w:p w14:paraId="5349EB35" w14:textId="77777777" w:rsidR="007627BD" w:rsidRPr="00640820" w:rsidRDefault="007627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Красноармеец Темиргазин, получив задание расчистить путь для наступления роты, выдвинулся вперёд и открыл огонь из своего пулемёта. Под прикрытием пулемётного огня рота пошла в атаку и заняла назначенный рубеж. В этом бою тов. Темиргазин уничтожил 50 немецких солдат.</w:t>
      </w:r>
    </w:p>
    <w:p w14:paraId="55D13B8D" w14:textId="77777777" w:rsidR="007627BD" w:rsidRPr="00640820" w:rsidRDefault="007627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Тульские партизаны за последнее время истребили больше 300 немецких солдат и офицеров, уничтожили 7 пулемётов, 11 грузовых машин, 49 повозок, 3 орудия и 2 штабных автобуса. Смело громит врага партизанский отряд тов. С. Бойцы этого отряда подожгли четыре немецких барака, которые фашисты выстроили на месте </w:t>
      </w:r>
      <w:r w:rsidRPr="00640820">
        <w:rPr>
          <w:rFonts w:ascii="Times New Roman" w:hAnsi="Times New Roman"/>
          <w:color w:val="000000" w:themeColor="text1"/>
          <w:sz w:val="16"/>
          <w:szCs w:val="16"/>
        </w:rPr>
        <w:lastRenderedPageBreak/>
        <w:t>сгоревшей деревни К. Когда из бараков выбежали немецкие солдаты и офицеры, партизаны уничтожили их гранатами и ружейным огнём. В этой операции истреблено 70 гитлеровцев.</w:t>
      </w:r>
    </w:p>
    <w:p w14:paraId="56E66E42" w14:textId="77777777" w:rsidR="007627BD" w:rsidRPr="00640820" w:rsidRDefault="007627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декабря объединённые силы трёх партизанских отрядов разгромили обоз из 27 повозок, который охранялся взводом немецких кавалеристов. Обоз и солдаты целиком уничтожены.</w:t>
      </w:r>
    </w:p>
    <w:p w14:paraId="6120B23E" w14:textId="77777777" w:rsidR="007627BD" w:rsidRPr="00640820" w:rsidRDefault="007627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Голландские патриоты ведут упорную борьбу против немецких оккупантов. 10 декабря произошло ещё одно крушение немецкого воинского поезда. В результате крушения разбито 4 тяжёлых орудия, много различного снаряжения, убито и ранено до 50 немецких солдат и офицеров.</w:t>
      </w:r>
    </w:p>
    <w:p w14:paraId="3E62CD50" w14:textId="77777777" w:rsidR="007627BD" w:rsidRPr="00640820" w:rsidRDefault="007627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Отвечая на призыв товарища Сталина подчинить всю работу интересам фронта, армия советских железнодорожников изо дня в день добивается новых успехов. Несмотря на зимние условия, машинисты третьего отделения Карагандинской дороги водят угольные маршруты на больших скоростях. Бригады машинистов Кравченко и Долганцева доставили на станцию Анар состав с углём на два с половиной часа раньше расписания. Машинисты Сазонов и Терещенко гружёный состав привели в Анар на полтора часа раньше срока. Больших успехов добились главные кондуктора Алтухов и Зозуля. На днях они привели на станцию Тюлькубас (Турксиб) сборный поезд на 6 часов раньше срока, предусмотренного графиком. Машинисты Владивостокского узла в октябре провели 67 тяжеловесных составов, а за десять дней декабря — 48. Несмотря на морозы, паровозные бригады узла в ноябре сэкономили 660 тонн угля, а за 10 дней декабря — 280 тонн. Машинист депо Ворошилов-Уссурийский тов. Скоп обязался увеличить пробег локомотива между подъёмочными ремонтами в два с половиной раза против нормы. Тов. Скоп перевыполнил своё обязательство. Паровоз пробежал 118.715 километров и находится в хорошем состоянии. Бригада тов. Скоп сэкономила на смазке, топливе и ремонте 44.000 рублей.» (14862).</w:t>
      </w:r>
    </w:p>
    <w:p w14:paraId="6F6B5944" w14:textId="77777777" w:rsidR="007627BD" w:rsidRPr="00640820" w:rsidRDefault="007627BD" w:rsidP="00640820">
      <w:pPr>
        <w:spacing w:after="0" w:line="240" w:lineRule="auto"/>
        <w:jc w:val="both"/>
        <w:rPr>
          <w:rFonts w:ascii="Times New Roman" w:hAnsi="Times New Roman"/>
          <w:color w:val="000000" w:themeColor="text1"/>
          <w:sz w:val="16"/>
          <w:szCs w:val="16"/>
        </w:rPr>
      </w:pPr>
    </w:p>
    <w:p w14:paraId="044C726E" w14:textId="77777777" w:rsidR="007627BD" w:rsidRPr="00640820" w:rsidRDefault="007627BD"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16 декабря </w:t>
      </w:r>
      <w:r w:rsidRPr="00640820">
        <w:rPr>
          <w:rFonts w:ascii="Times New Roman" w:hAnsi="Times New Roman"/>
          <w:color w:val="000000" w:themeColor="text1"/>
          <w:sz w:val="16"/>
          <w:szCs w:val="16"/>
        </w:rPr>
        <w:t>в 1941 году вечернее сообщение Совинформбюро:</w:t>
      </w:r>
    </w:p>
    <w:p w14:paraId="03CE88A8" w14:textId="77777777" w:rsidR="007627BD" w:rsidRPr="00640820" w:rsidRDefault="007627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16 декабря наши войска вели бои с противником на всех фронтах. На ряде участков Западного, Калининского и Юго-Западного фронтов наши войска, ведя ожесточённые бои с противником, продолжали продвигаться вперёд, заняли ряд населённых пунктов и среди них города Калинин, Высоковск — западнее Клина, Ново-Петровское — западнее Истры, Волово — юго-восточнее Тулы.</w:t>
      </w:r>
    </w:p>
    <w:p w14:paraId="255D4C55" w14:textId="77777777" w:rsidR="007627BD" w:rsidRPr="00640820" w:rsidRDefault="007627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15 декабря уничтожено 16 немецких самолётов, наши потери — 4 самолёта.</w:t>
      </w:r>
    </w:p>
    <w:p w14:paraId="07460E4E" w14:textId="77777777" w:rsidR="007627BD" w:rsidRPr="00640820" w:rsidRDefault="007627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15 декабря наша авиация уничтожила и повредила 43 немецких танка, 3 бронемашины, более 640 автомашин с войсками и грузами, уничтожила 4 полевых орудия с прислугой, 7 зенитных пулемётов, свыше 130 повозок с боеприпасами, 2 автоцистерны с горючим, истребила или рассеяла 2 полка вражеской пехоты.</w:t>
      </w:r>
    </w:p>
    <w:p w14:paraId="259F8D5F" w14:textId="77777777" w:rsidR="007627BD" w:rsidRPr="00640820" w:rsidRDefault="007627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Гвардейские кавалерийские части генерала Белова, действующие на южном участке Западного фронта, за один день боёв овладели 6 населёнными пунктами и захватили у немцев 3 вагона с боеприпасами, 11 автоцистерн, 3 танка, 10 орудий, 30 пулемётов, 5 миномётов и другие трофеи. Части генерала Рокоссовского за это же время захватили 35 немецких орудий, 24 пулемёта, 2 миномёта и 39 автомашин.</w:t>
      </w:r>
    </w:p>
    <w:p w14:paraId="74FF307A" w14:textId="77777777" w:rsidR="007627BD" w:rsidRPr="00640820" w:rsidRDefault="007627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Красноармеец тов. Воробьёв подкрался к немецкому блиндажу и меткими выстрелами уничтожил 2 часовых. Выбежавших из блиндажа немцев тов. Воробьёв забросал гранатами. В этом бою отважный красноармеец истребил 25 фашистских солдат.</w:t>
      </w:r>
    </w:p>
    <w:p w14:paraId="7CF3B6A5" w14:textId="77777777" w:rsidR="007627BD" w:rsidRPr="00640820" w:rsidRDefault="007627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Отступающие на Юго-Западном фронте немецкие оккупанты подвергаются с тыла непрерывным атакам советских партизан. Бойцы-партизаны тт. Д. и К. из засады в течение одного только дня подстрелили 14 немецких солдат и 5 офицеров. Расположившийся на окраине села Н. отступавший штаб немецкого батальона подвергся нападению партизан и был полностью уничтожен. Смелый налёт на зенитную батарею врага совершил партизанский отряд председателя сельского совета тов. Ш. Прикрывая отступление своих частей, немецкое командование установило три зенитных орудия на опушке леса, недалеко от села Г. Партизаны ночью проникли в лес, надели белые халаты и к рассвету подползли к немецким орудиям. Одна группа бойцов атаковала фашистские палатки и шалаши в лесу, другая перебила часовых и уничтожила орудия, боеприпасы и три автомашины. Немцы потеряли 29 человек. На дорогах, по которым откатываются немецкие войска, партизаны делают завалы, минируют отдельные участки дорог, взрывают мосты. У села 3. на минах взорвалось три грузовика с немецкими солдатами.</w:t>
      </w:r>
    </w:p>
    <w:p w14:paraId="2CB2E1BC" w14:textId="77777777" w:rsidR="007627BD" w:rsidRPr="00640820" w:rsidRDefault="007627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Жители сёл и городов Московской области, освобождённых Красной Армией от немецких захватчиков, рассказывают о чудовищных преступлениях фашистских мерзавцев. В деревне Ершово немцы собрали в церкви 100 человек местных граждан и пленных красноармейцев. Затем церковь была взорвана вместе с находившимися в ней людьми. В селении Высоково, Истринского района, злодеи расстреляли 70-летнего старика Григорьева Ф. Ё. только за то, что он попросил их не сжигать его избу. В этой же деревне немецкий офицер изнасиловал беременную женщину, мать двух маленьких детей. Из деревни Боровки, Звенигородского района, фашисты угнали с собой женщин, оставив их малолетних детей на произвол судьбы. В дом помощника машиниста станции Подмосковная т. Лодзатова П. А. явился немецкий офицер. Он изрубил топором всю мебель, а бельё и ценные вещи унёс с собой. При отходе из города Истры фашисты забирали у населения всё, что попадалось под руки: гребешки, ёлочные украшения, посуду, одежду, бельё. Многих жителей города они раздевали и разували на улице.</w:t>
      </w:r>
    </w:p>
    <w:p w14:paraId="658AC4A2" w14:textId="77777777" w:rsidR="007627BD" w:rsidRPr="00640820" w:rsidRDefault="007627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последнее время особенно быстро ухудшается моральное состояние немецкой армии. Пленные гитлеровцы всё чаще заявляют о том, что фашистская Германия обречена на поражение. Взятый на днях в плен солдат 3 дивизиона 23 немецкой пехотной дивизии Эдмунд Шифке показал: «В последних боях под Москвой 67 пехотный полк понёс исключительно большие потери. В ротах осталось не более 20-25 человек. Солдаты голодают и рыщут по деревням, отбирая силой продукты у населения. Мы уже потеряли веру в победу. Солдаты открыто говорят между собой о бесполезности войны и проклинают Гитлера». Пленный солдат 1 батальона 321 пехотного полка Алоиз Буш рассказал: «Питание в германской армии заметно ухудшилось. Солдаты часто голодают и в связи с этим выражают своё недовольство. Одеты наши солдаты плохо. Наступившие морозы ухудшили и без того плохое настроение солдат. Все только и думают, как бы уехать домой». Пленный солдат 1 батальона 187 пехотного полка Вильгельм Геннингер заявил: «Питание плохое, хлеба выдают мало. Солдаты живут впроголодь. Очень холодно. В моём взводе обморозили руки и ноги 15 человек. Бани и стирки белья у нас не было уже около 2 месяцев. Многие солдаты и даже некоторые офицеры настроены против войны, так как понимают, что война окончится крахом Германии. Даже командир взвода нацист фельдфебель Энгельгарт в разговоре с солдатами на днях сказал, что он уже сыт по горло этой войной и больше не хочет воевать».</w:t>
      </w:r>
    </w:p>
    <w:p w14:paraId="17A664CE" w14:textId="77777777" w:rsidR="007627BD" w:rsidRPr="00640820" w:rsidRDefault="007627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последний час.</w:t>
      </w:r>
    </w:p>
    <w:p w14:paraId="6575E02A" w14:textId="77777777" w:rsidR="007627BD" w:rsidRPr="00640820" w:rsidRDefault="007627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Трофеи наших войск при взятии города Калинина.</w:t>
      </w:r>
    </w:p>
    <w:p w14:paraId="7625A756" w14:textId="77777777" w:rsidR="007627BD" w:rsidRPr="00640820" w:rsidRDefault="007627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взятии города Калинина, по предварительным и неполным данным, войска Калининского фронта захватили у немцев следующие трофеи: орудий разного калибра — 190, из них 4 тяжёлых двенадцатидюймовых, танков — 31, самолётов — 9, автомашин — около 1.000, миномётов — 160, пулемётов — 303, автоматов — 292, велосипедов — 1.300, мотоциклов — 47, винтовок — 4.500, снарядов — 21.000, мин — 12.500, патронов — свыше 500.000, радиостанций — 18, боевых знамён — 4. Кроме того захвачены два склада боеприпасов, склад с обмундированием, повозки, кабель и много другого военного имущества. Подсчёт трофеев продолжается. В боях в районе Калинина немцы потеряли только убитыми более 10.000 солдат и офицеров.» (14862).</w:t>
      </w:r>
    </w:p>
    <w:p w14:paraId="1D9186A8" w14:textId="77777777" w:rsidR="007627BD" w:rsidRPr="00640820" w:rsidRDefault="007627BD" w:rsidP="00640820">
      <w:pPr>
        <w:spacing w:after="0" w:line="240" w:lineRule="auto"/>
        <w:jc w:val="both"/>
        <w:rPr>
          <w:rFonts w:ascii="Times New Roman" w:hAnsi="Times New Roman"/>
          <w:color w:val="000000" w:themeColor="text1"/>
          <w:sz w:val="16"/>
          <w:szCs w:val="16"/>
        </w:rPr>
      </w:pPr>
    </w:p>
    <w:p w14:paraId="72E78A9C" w14:textId="77777777" w:rsidR="007627BD" w:rsidRPr="00640820" w:rsidRDefault="007627BD"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16 декабря </w:t>
      </w:r>
      <w:r w:rsidRPr="00640820">
        <w:rPr>
          <w:rFonts w:ascii="Times New Roman" w:hAnsi="Times New Roman"/>
          <w:color w:val="000000" w:themeColor="text1"/>
          <w:sz w:val="16"/>
          <w:szCs w:val="16"/>
        </w:rPr>
        <w:t>в 1941 году освобожден от немецко-фашистких захватчиков город Калинин (ныне Тверь) войсками Калининского фронта (14862).</w:t>
      </w:r>
    </w:p>
    <w:p w14:paraId="37BD69A0" w14:textId="77777777" w:rsidR="007627BD" w:rsidRPr="00640820" w:rsidRDefault="007627BD" w:rsidP="00640820">
      <w:pPr>
        <w:spacing w:after="0" w:line="240" w:lineRule="auto"/>
        <w:jc w:val="both"/>
        <w:rPr>
          <w:rFonts w:ascii="Times New Roman" w:hAnsi="Times New Roman"/>
          <w:color w:val="000000" w:themeColor="text1"/>
          <w:sz w:val="16"/>
          <w:szCs w:val="16"/>
        </w:rPr>
      </w:pPr>
    </w:p>
    <w:p w14:paraId="7889E8C7" w14:textId="77777777" w:rsidR="007627BD" w:rsidRPr="00640820" w:rsidRDefault="007627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декабря 1941 утром два истребителя «Китихаук» из 30-го разведывательного авиаполка провели разведку в районе Керченского пролива и Камыш-Буруна. В 7 ч. 10 мин. они обнаружили там две БДБ у стенки и одну БДБ в судоремонтном заводе. В 10 часов гидросамолет управления МБР-2 под прикрытием восьми истребителей Як-9 вылетел в район атаки. В 10 ч. 30 мин. ВУ-41 в сопровождении торпедных катеров № 62 и № 81 вышли из Тамани. До 11 ч. 50 мин. их прикрывали пять Як-9 и восемь ЛаГГ-3. Еще пять Як-9 вылетели для наблюдения и аэрофотосъемки результатов удара. Кроме того, шесть штурмовиков Ил-2 под прикрытием восьми Як-9 в 10 ч. 55 мин. вылетели на Камыш-Бурун с задачей подавления вражеской артиллерии. В 11 ч. 04 мин. торпедный катер № 81 снял с катера ВУ-41 команду, а через 9 минут оператор с МБР-2 отдал на брандер приказ: «Боевой ход». В 11 ч. 28 мин. немцы открыли артиллерийский огонь по ВУ-41. Сразу же наши штурмовики начали атаку неприятельских батарей, и стрельба по катеру стала менее интенсивной, но был сбит один наш Ил-2. Вскоре оператор потерял управление ВУ-41, и тот по невыясненной причине взорвался в полутора милях к востоку от косы Камыш-Бурун. Больше попыток использования радиоуправляемых катеров у нас не делалось. В послевоенные годы на заводе № 5 было построено 32 радиоуправляемых торпедных катера по проекту 183Ц. Увы, буква «Ц» выдает назначение этого катера — радиоуправляемая надводная высокоскоростная цель. По ним работала артиллерия надводных кораблей, авиации и наши первые комплексы противокорабельных крылатых ракет. Позже на базе катера пр. 205 было построено 9 радиоуправляемых катеров-целей по проекту 1392КЦ и три катера-водителя целей пр.1392В (15117).</w:t>
      </w:r>
    </w:p>
    <w:p w14:paraId="5DB40956" w14:textId="77777777" w:rsidR="007627BD" w:rsidRPr="00640820" w:rsidRDefault="007627BD" w:rsidP="00640820">
      <w:pPr>
        <w:spacing w:after="0" w:line="240" w:lineRule="auto"/>
        <w:jc w:val="both"/>
        <w:rPr>
          <w:rFonts w:ascii="Times New Roman" w:hAnsi="Times New Roman"/>
          <w:color w:val="000000" w:themeColor="text1"/>
          <w:sz w:val="16"/>
          <w:szCs w:val="16"/>
        </w:rPr>
      </w:pPr>
    </w:p>
    <w:p w14:paraId="5ED70993" w14:textId="77777777" w:rsidR="007627BD" w:rsidRPr="00640820" w:rsidRDefault="007627BD"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16 декабря </w:t>
      </w:r>
      <w:r w:rsidRPr="00640820">
        <w:rPr>
          <w:rFonts w:ascii="Times New Roman" w:hAnsi="Times New Roman"/>
          <w:color w:val="000000" w:themeColor="text1"/>
          <w:sz w:val="16"/>
          <w:szCs w:val="16"/>
        </w:rPr>
        <w:t>в 1941 году войска 52-й отдельной армии разгромили немецкий гарнизон в городе Большая Вишера и начали продвижение к реке Волхов. Войска Западного фронта освободили город Высоковск. Завершилась Тульская операция: снята осада Тулы, нанесено существенное поражение 2-й танковой армии противника, остатки которой отброшены на 130 км, ликвидирована угроза обхода Москвы с юга. Войска левого крыла Западного фронта вышли на рубеж Алексин, Щёкино, форсировали реку Упа. Завершилась Елецкая операция: советские войска продвинулись на 80-100 км, ликвидировали так называемый Елецкий выступ, нанесли существенное поражение 2-й немецкой армии, отвлекли на себя часть сил 2-й танковой армии, оказав этим помощь войскам левого крыла Западного фронта (14862).</w:t>
      </w:r>
    </w:p>
    <w:p w14:paraId="7A97245D" w14:textId="77777777" w:rsidR="007627BD" w:rsidRPr="00640820" w:rsidRDefault="007627BD" w:rsidP="00640820">
      <w:pPr>
        <w:spacing w:after="0" w:line="240" w:lineRule="auto"/>
        <w:jc w:val="both"/>
        <w:rPr>
          <w:rFonts w:ascii="Times New Roman" w:hAnsi="Times New Roman"/>
          <w:color w:val="000000" w:themeColor="text1"/>
          <w:sz w:val="16"/>
          <w:szCs w:val="16"/>
        </w:rPr>
      </w:pPr>
    </w:p>
    <w:p w14:paraId="135B0D6E" w14:textId="77777777" w:rsidR="007627BD" w:rsidRPr="00640820" w:rsidRDefault="007627BD"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16 декабря </w:t>
      </w:r>
      <w:r w:rsidRPr="00640820">
        <w:rPr>
          <w:rFonts w:ascii="Times New Roman" w:hAnsi="Times New Roman"/>
          <w:color w:val="000000" w:themeColor="text1"/>
          <w:sz w:val="16"/>
          <w:szCs w:val="16"/>
        </w:rPr>
        <w:t>в 1941 году в Куйбышеве построен бункер для членов Советского правительства. Он мог на время бомбежки (на несколько часов) разместить около 100 человек. По размерам бункер превосходил все известные зарубежные постройки на тот момент - гитлеровские бункеры в Берлине (16 метров) и Виннице (12 метров), убежища Черчилля в Лондоне (2 этажа) и Рузвельта в США (2 этажа). Кабинет Сталина и зал заседаний (площадью около 70 кв. метров) расположились на глубине в 37 метров (14862).</w:t>
      </w:r>
    </w:p>
    <w:p w14:paraId="271F025D" w14:textId="77777777" w:rsidR="007627BD" w:rsidRPr="00640820" w:rsidRDefault="007627BD" w:rsidP="00640820">
      <w:pPr>
        <w:spacing w:after="0" w:line="240" w:lineRule="auto"/>
        <w:jc w:val="both"/>
        <w:rPr>
          <w:rFonts w:ascii="Times New Roman" w:hAnsi="Times New Roman"/>
          <w:color w:val="000000" w:themeColor="text1"/>
          <w:sz w:val="16"/>
          <w:szCs w:val="16"/>
        </w:rPr>
      </w:pPr>
    </w:p>
    <w:p w14:paraId="6BAA759C" w14:textId="77777777" w:rsidR="007627BD" w:rsidRPr="00640820" w:rsidRDefault="007627BD"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lastRenderedPageBreak/>
        <w:t xml:space="preserve">16 декабря </w:t>
      </w:r>
      <w:r w:rsidRPr="00640820">
        <w:rPr>
          <w:rFonts w:ascii="Times New Roman" w:hAnsi="Times New Roman"/>
          <w:color w:val="000000" w:themeColor="text1"/>
          <w:sz w:val="16"/>
          <w:szCs w:val="16"/>
        </w:rPr>
        <w:t>в 1941 году экипаж летчика Ивана Сергеевича Черных совершил подвиг. Группа советских бомбардировщиков вылетела для бомбежки скопления противника на дальних подступах к Ленинграду. Когда бомбардировщики приблизились к цели, их встретил шквальный огонь зениток противника. Один из вражеских снарядов попал в бомбардировщик, которым командовал младший лейтенант Черных. Его самолет запылал. Летчик, теряя сознание от ожогов, последними усилиями направил бомбардировщик на автомашины врага, и горящий самолет на большой скорости врезался в центр вражеской колонны, похоронив под обломками взорвавшихся машин много гитлеровцев. Всем членам экипажа бомбардировщика было посмертно присвоено звание Героев Советского Союза (14862).</w:t>
      </w:r>
    </w:p>
    <w:p w14:paraId="056EDAFC" w14:textId="77777777" w:rsidR="007627BD" w:rsidRPr="00640820" w:rsidRDefault="007627BD" w:rsidP="00640820">
      <w:pPr>
        <w:spacing w:after="0" w:line="240" w:lineRule="auto"/>
        <w:jc w:val="both"/>
        <w:rPr>
          <w:rFonts w:ascii="Times New Roman" w:hAnsi="Times New Roman"/>
          <w:color w:val="000000" w:themeColor="text1"/>
          <w:sz w:val="16"/>
          <w:szCs w:val="16"/>
        </w:rPr>
      </w:pPr>
    </w:p>
    <w:p w14:paraId="08D3AC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декабря 1941 левое крыло ЗФ (10А) наступала на Михайлов, а 50А и 1ГКК - восточнее Тулы. авиация могла делать лишь по 90-100 вылетов в день. Отбросили на 130 км (341,84).</w:t>
      </w:r>
    </w:p>
    <w:p w14:paraId="3B7B17A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 за 10 дней наступления выполнили 6950 вылетов (341,84).</w:t>
      </w:r>
    </w:p>
    <w:p w14:paraId="7C483C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A3AC0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декабря 1941 л 124 бап мл. л. И.С.Черных во время бомбардировки на подступах к Ленинграду был подбит и направил горящую машину на скопление а/м. Вместе с ним погибли ш С.К.Косинов и с-р Н.П.Губин. Стали ГСС (438,829).</w:t>
      </w:r>
    </w:p>
    <w:p w14:paraId="3B045D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17E4BE5"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декабря 1941 советские войска отбили у фашистов Калинин (4962).</w:t>
      </w:r>
    </w:p>
    <w:p w14:paraId="55324FE1"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2F53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декабря 1941 войска КФ освободили Клин (3186). За 12 суток авиация выполнила 560 вылетов и после прорыва обороны (продвижение было 15-30 км) усилия были направлены на поражение отходящих частей и прикрытие собственных (341,82).</w:t>
      </w:r>
    </w:p>
    <w:p w14:paraId="60AB595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88E36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декабря 1941 войска ЗФ вышли на рубеж Дорино, Высоковск, Ново-Петровское и за 10 дней для поддержки войск выполнили 3600 вылетов (341,83).</w:t>
      </w:r>
    </w:p>
    <w:p w14:paraId="72E07B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8ECC811"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1EC3ED33"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D6F79C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декабря 1941 года было получено:</w:t>
      </w:r>
    </w:p>
    <w:p w14:paraId="189F55E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 РУЗВЕЛЬТ И. В. СТАЛИНУ*</w:t>
      </w:r>
    </w:p>
    <w:p w14:paraId="33AF68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моему мнению, крайне важно предпринять немедленно шаги с целью подготовки почвы для совместных действий не только на ближайшие недели, но также для окончательного поражения гитлеризма. Я очень хотел бы встретиться и переговорить с Вами лично, но так как это в настоящее время невозможно, то я предпринимаю три предварительных шага, которые, я надеюсь, подготовят более постоянное совместное планирование.</w:t>
      </w:r>
    </w:p>
    <w:p w14:paraId="6B56E0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Я предлагаю генералиссимусу Чан Кай-ши созвать немедленно в Чунцине конференцию в составе китайского, советского, британского, голландского и американского представителей. Эта группа должна бы собраться не позже 17 декабря и доложить результаты своим правительствам совершенно конфиденциально к субботе, 20 декабря. Это должно дать нам предварительное представление об общей проблеме под углом зрения Чунцина.</w:t>
      </w:r>
    </w:p>
    <w:p w14:paraId="7EE965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Я прошу британцев собрать в Сингапуре военно-морскую конференцию, которая представила бы к субботе, 20 декабря, свой доклад, составленный главным образом под углом зрения операций в южной зоне.</w:t>
      </w:r>
    </w:p>
    <w:p w14:paraId="5AEEE2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Я был бы очень рад, если бы Вы лично переговорили с американским, британским и китайским послами в Москве к сообщили мне Ваши предложения по всему вопросу к субботе, 20-го.</w:t>
      </w:r>
    </w:p>
    <w:p w14:paraId="1986B3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В течение ближайшей недели я подвергну обсуждению те же вопросы со здешними британскими миссиями и сообщу Вам о положении, как оно представляется отсюда. Я имел хорошую беседу с Литвиновым, и я вполне понимаю Ваши непосредственные задачи. Я хочу еще раз сообщить Вам о всеобщем подлинном энтузиазме в Соединенных Штатах по поводу успехов Ваших армий в защите Вашей великой нации. Позволяю себе надеяться, что предварительные конференции, намеченные мною на ближайшую неделю, приведут к установлению более постоянной организации для планирования наших усилий. Гопкинс и я шлем Вам свои личные горячие приветы.</w:t>
      </w:r>
    </w:p>
    <w:p w14:paraId="5FA0A9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РУЗВЕЛЬТ (7430).</w:t>
      </w:r>
    </w:p>
    <w:p w14:paraId="318E1E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42CDD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16-17 декабря 1941 состоялась миссия А.Идена в Москву (1348,246).</w:t>
      </w:r>
    </w:p>
    <w:p w14:paraId="384D1C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144D8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декабря 1941 г. Антони Иден встретился со Сталиным и Молотовым. Сталин решил обсудить с Иденом принципиальный вопрос послевоенного мироустройства. Реальное противодействие германской и японской агрессии только начиналось, но Сталин хотел добиться от западных партнеров признания легитимности его территориальных завоеваний и вообще предложить план послевоенного устройства Европы. Сталина беспокоила Атлантическая хартия, которая противоречила его планам послевоенного урегулирования. Успехи советской армии давали Сталину основания наступать и в дипломатическом взаимодействии. Однако, принимая во внимание тот факт, что, несмотря на недавние победы, положение СССР оставалось катастрофическим, заботы о послевоенном мироустройстве могли показаться, мягко говоря, преждевременными. Но Сталин упорно давил на Идена: если западные партнеры не могли предложить реального военного сотрудничества, они должны согласиться хотя бы на политическое.</w:t>
      </w:r>
    </w:p>
    <w:p w14:paraId="493358E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Сталин предложил следующее послевоенное урегулирование. Восточная Пруссия передается Польше, Тильзит и германская территория к северу от Немана - Литовской ССР. Рейнская область отделяется от Германии. Австрия и, возможно, Бавария обретают независимость. Если Франция теряет статус великой державы, то Великобритания занимает Булонь и Дюнкерк как военные базы, а также опорные пункты в Бельгии и Нидерландах. Сталин не возражал и против британских баз в Норвегии и Швеции. Советская западная граница должна была проходить по состоянию на 22 июня 1941 г. Это подразумевало британское согласие на аннексию СССР Прибалтики, Бессарабии и признание новой советско-финляндской границы. Румыния к тому же должна была предоставить СССР военно-воздушные базы. Иными словами, Сталин приглашал Лондон разделить Европу, все еще видя в Британии гегемона западного мира. Он предложил подписать соответствующий секретный протокол.</w:t>
      </w:r>
    </w:p>
    <w:p w14:paraId="51E5A5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Иден осторожно заметил, что без консультации с кабинетом он не готов подписывать протокол и что британское правительство еще не пришло к окончательному мнению о послевоенных границах. Сталин и Молотов тем не менее настаивали на признании новых советских границ. Иден сослался, как того и опасался Сталин, на Атлантическую хартию. Сталин задал прямой вопрос: уж не считает ли Иден, что Атлантическая хартия направлена против Советского Союза? Не собирается ли Великобритания расчленить СССР? Иден поспешил заверить Сталина, что отказ его правительства признать новые советские границы вовсе не объясняется тем, что оно полагает, будто это противоречит Атлантической хартии. Иден пообещал проконсультироваться с Вашингтоном и британскими доминионами (3871).</w:t>
      </w:r>
    </w:p>
    <w:p w14:paraId="720BFF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15BEB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декабря 1941 года отправились на погрузку первые два "Мустанга" из 10, предназначающихся для СССР, а последние машины этой партии прибыли в СССР 14 мая 1942 года (3457,87).</w:t>
      </w:r>
    </w:p>
    <w:p w14:paraId="4E66B0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48CC80E"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37E3A078"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28FFE33"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декабря 1941 гауляйтор Польши Ханс Франк призвал к полному уничтожению евреев (4962).</w:t>
      </w:r>
    </w:p>
    <w:p w14:paraId="5917C5DD"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0E993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December 16 1941 Rommel begins retreat to El Agheila in North Africa (1050).</w:t>
      </w:r>
    </w:p>
    <w:p w14:paraId="4B1966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287DC5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декабря 1941 Роммель начал отход от Ель Агхейла в Северной Африке (1050).</w:t>
      </w:r>
    </w:p>
    <w:p w14:paraId="7C0E52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C7E2A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December 16, 1941. Lt. Boyd "Buzz" Wagner becomes the first American USAAF ace of World War II by shooting down his fifth Japanese plane over the Philippines (1089).</w:t>
      </w:r>
    </w:p>
    <w:p w14:paraId="1F35E09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70F6D2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декабря 1941 л Boyd "Buzz" Wagner стал первым американским асом ВМВ, сбив 5-й японский самолет на Филипинах (1089).</w:t>
      </w:r>
    </w:p>
    <w:p w14:paraId="47F5A4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5BA9121"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декабря 1941 на воду спущен японский корабль “Ямато” - самый большой линкор в мире (4962).</w:t>
      </w:r>
    </w:p>
    <w:p w14:paraId="515E7F7F"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4E032E"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16 декабря </w:t>
      </w:r>
      <w:r w:rsidRPr="00640820">
        <w:rPr>
          <w:rFonts w:ascii="Times New Roman" w:hAnsi="Times New Roman"/>
          <w:color w:val="000000" w:themeColor="text1"/>
          <w:sz w:val="16"/>
          <w:szCs w:val="16"/>
        </w:rPr>
        <w:t>в 1941 году столкнулись авианосец «Иллюстрас» и «Формидейбл» (14862).</w:t>
      </w:r>
    </w:p>
    <w:p w14:paraId="18DCBF99" w14:textId="77777777" w:rsidR="006C1BE5" w:rsidRPr="00640820" w:rsidRDefault="006C1BE5" w:rsidP="00640820">
      <w:pPr>
        <w:spacing w:after="0" w:line="240" w:lineRule="auto"/>
        <w:jc w:val="both"/>
        <w:rPr>
          <w:rFonts w:ascii="Times New Roman" w:hAnsi="Times New Roman"/>
          <w:color w:val="000000" w:themeColor="text1"/>
          <w:sz w:val="16"/>
          <w:szCs w:val="16"/>
        </w:rPr>
      </w:pPr>
    </w:p>
    <w:p w14:paraId="67AF19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декабря 1941 было введено осадное положение в Аргентине (2443,422).</w:t>
      </w:r>
    </w:p>
    <w:p w14:paraId="437D1F9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232C3F2"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6093E2B2"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46CA0F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декабря 1941 г. на пустующих площадях завода №1 был создан завод № 30. При этом для обес</w:t>
      </w:r>
      <w:r w:rsidRPr="00640820">
        <w:rPr>
          <w:rFonts w:ascii="Times New Roman" w:hAnsi="Times New Roman"/>
          <w:color w:val="000000" w:themeColor="text1"/>
          <w:sz w:val="16"/>
          <w:szCs w:val="16"/>
        </w:rPr>
        <w:softHyphen/>
        <w:t>печения его бесперебойной работы в марте на площадке эва</w:t>
      </w:r>
      <w:r w:rsidRPr="00640820">
        <w:rPr>
          <w:rFonts w:ascii="Times New Roman" w:hAnsi="Times New Roman"/>
          <w:color w:val="000000" w:themeColor="text1"/>
          <w:sz w:val="16"/>
          <w:szCs w:val="16"/>
        </w:rPr>
        <w:softHyphen/>
        <w:t>куированного завода № 24 был организован 45-й моторострои</w:t>
      </w:r>
      <w:r w:rsidRPr="00640820">
        <w:rPr>
          <w:rFonts w:ascii="Times New Roman" w:hAnsi="Times New Roman"/>
          <w:color w:val="000000" w:themeColor="text1"/>
          <w:sz w:val="16"/>
          <w:szCs w:val="16"/>
        </w:rPr>
        <w:softHyphen/>
        <w:t>тельный завод (11474,248).</w:t>
      </w:r>
    </w:p>
    <w:p w14:paraId="766785C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834A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декабря 1941 вышло Постановление ГКО № 1038 Об организации на площади эвакуированного завода № 1 в Москве - самолетостроительного завода по выпуску истребителей Як-1. РГАНИР, Фонд ГКО, д. 16, лл. 114-115 (11012).</w:t>
      </w:r>
    </w:p>
    <w:p w14:paraId="53CE07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1FF2B2D" w14:textId="77777777" w:rsidR="002E22AF" w:rsidRPr="00640820" w:rsidRDefault="002E22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декабря 1941 вышло Постановление ГКО № 1038 Об организации на площади эвакуированного завода № 1 в Москве - самолетостроительного завода по выпуску истребителей Як-1</w:t>
      </w:r>
    </w:p>
    <w:p w14:paraId="552823A1" w14:textId="77777777" w:rsidR="002E22AF" w:rsidRPr="00640820" w:rsidRDefault="002E22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Государственный Комитет Обороны постановляет:</w:t>
      </w:r>
    </w:p>
    <w:p w14:paraId="7FEBBFDC" w14:textId="77777777" w:rsidR="002E22AF" w:rsidRPr="00640820" w:rsidRDefault="002E22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Обязать Наркомавиапром - тов.Шахурина организовать на площади эвакуированного завода № 1 в гор.Москве - завод по выпуску самолетов Як-1, присвоив ему № 30.</w:t>
      </w:r>
    </w:p>
    <w:p w14:paraId="122C5C1A" w14:textId="77777777" w:rsidR="002E22AF" w:rsidRPr="00640820" w:rsidRDefault="002E22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Утвердить директором завода № 30 тов.Агаджанова С.И., главным инженером - тов.Шапиро Н.А.</w:t>
      </w:r>
    </w:p>
    <w:p w14:paraId="4AD60A9E" w14:textId="77777777" w:rsidR="002E22AF" w:rsidRPr="00640820" w:rsidRDefault="002E22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Утвердить программу выпуска самолетов Як-1 в 1942 го</w:t>
      </w:r>
      <w:r w:rsidRPr="00640820">
        <w:rPr>
          <w:rFonts w:ascii="Times New Roman" w:hAnsi="Times New Roman"/>
          <w:color w:val="000000" w:themeColor="text1"/>
          <w:sz w:val="16"/>
          <w:szCs w:val="16"/>
        </w:rPr>
        <w:softHyphen/>
        <w:t>ду на заводе № 30 в количестве 1145 штук, в том числе:</w:t>
      </w:r>
    </w:p>
    <w:p w14:paraId="10621995" w14:textId="77777777" w:rsidR="002E22AF" w:rsidRPr="00640820" w:rsidRDefault="002E22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марте - 5</w:t>
      </w:r>
    </w:p>
    <w:p w14:paraId="1E7C15DD" w14:textId="77777777" w:rsidR="002E22AF" w:rsidRPr="00640820" w:rsidRDefault="002E22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апреле - 20</w:t>
      </w:r>
    </w:p>
    <w:p w14:paraId="195F839F" w14:textId="77777777" w:rsidR="002E22AF" w:rsidRPr="00640820" w:rsidRDefault="002E22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мае - 50</w:t>
      </w:r>
    </w:p>
    <w:p w14:paraId="0049376B" w14:textId="77777777" w:rsidR="002E22AF" w:rsidRPr="00640820" w:rsidRDefault="002E22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июне - 90</w:t>
      </w:r>
    </w:p>
    <w:p w14:paraId="13DFB062" w14:textId="77777777" w:rsidR="002E22AF" w:rsidRPr="00640820" w:rsidRDefault="002E22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июле - 120</w:t>
      </w:r>
    </w:p>
    <w:p w14:paraId="077E4F09" w14:textId="77777777" w:rsidR="002E22AF" w:rsidRPr="00640820" w:rsidRDefault="002E22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августе - 150</w:t>
      </w:r>
    </w:p>
    <w:p w14:paraId="13AACD4B" w14:textId="77777777" w:rsidR="002E22AF" w:rsidRPr="00640820" w:rsidRDefault="002E22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сентябре - 150</w:t>
      </w:r>
    </w:p>
    <w:p w14:paraId="1A9264AF" w14:textId="77777777" w:rsidR="002E22AF" w:rsidRPr="00640820" w:rsidRDefault="002E22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октябре - 175</w:t>
      </w:r>
    </w:p>
    <w:p w14:paraId="7D2D6093" w14:textId="77777777" w:rsidR="002E22AF" w:rsidRPr="00640820" w:rsidRDefault="002E22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ноябре - 175</w:t>
      </w:r>
    </w:p>
    <w:p w14:paraId="50DED2FB" w14:textId="77777777" w:rsidR="002E22AF" w:rsidRPr="00640820" w:rsidRDefault="002E22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- 210</w:t>
      </w:r>
    </w:p>
    <w:p w14:paraId="0F50C2AD" w14:textId="77777777" w:rsidR="002E22AF" w:rsidRPr="00640820" w:rsidRDefault="002E22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Обязать Наркомавиапром (тов.Шахурина) перебросить с заводов НКАП в Куйбышеве, заводу № 30 - 700 единиц оборудования</w:t>
      </w:r>
    </w:p>
    <w:p w14:paraId="28491202" w14:textId="77777777" w:rsidR="002E22AF" w:rsidRPr="00640820" w:rsidRDefault="002E22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Обязать Госплан СССР тов.Сабурова и секретаря МГК ВКПСб) - тов.Попова до 1-го января 1942 года мобилизовать обо</w:t>
      </w:r>
      <w:r w:rsidRPr="00640820">
        <w:rPr>
          <w:rFonts w:ascii="Times New Roman" w:hAnsi="Times New Roman"/>
          <w:color w:val="000000" w:themeColor="text1"/>
          <w:sz w:val="16"/>
          <w:szCs w:val="16"/>
        </w:rPr>
        <w:softHyphen/>
        <w:t>рудование для завода № 30 на заводах гор.Москвы, а также из числа эвакуированных, находящихся на Московском железнодорож</w:t>
      </w:r>
      <w:r w:rsidRPr="00640820">
        <w:rPr>
          <w:rFonts w:ascii="Times New Roman" w:hAnsi="Times New Roman"/>
          <w:color w:val="000000" w:themeColor="text1"/>
          <w:sz w:val="16"/>
          <w:szCs w:val="16"/>
        </w:rPr>
        <w:softHyphen/>
        <w:t>ном узле 300 станков, по спесификации НКАП.</w:t>
      </w:r>
    </w:p>
    <w:p w14:paraId="1644A22F" w14:textId="77777777" w:rsidR="002E22AF" w:rsidRPr="00640820" w:rsidRDefault="002E22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Обязать Наркомвнешторг (тов.Микояна):</w:t>
      </w:r>
    </w:p>
    <w:p w14:paraId="620E952D" w14:textId="77777777" w:rsidR="002E22AF" w:rsidRPr="00640820" w:rsidRDefault="002E22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сообщить НКАП к 20 декабря 1941 года спесификацию импортного оборудования, уже прибывшего в СССР и находящегося в г.Архангельске,</w:t>
      </w:r>
    </w:p>
    <w:p w14:paraId="647DD0B6" w14:textId="77777777" w:rsidR="002E22AF" w:rsidRPr="00640820" w:rsidRDefault="002E22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все прибывпее и пригодное для заводов НКАП оборудо</w:t>
      </w:r>
      <w:r w:rsidRPr="00640820">
        <w:rPr>
          <w:rFonts w:ascii="Times New Roman" w:hAnsi="Times New Roman"/>
          <w:color w:val="000000" w:themeColor="text1"/>
          <w:sz w:val="16"/>
          <w:szCs w:val="16"/>
        </w:rPr>
        <w:softHyphen/>
        <w:t>вание немедленно передать в распоряжение Наркомавиапрома,</w:t>
      </w:r>
    </w:p>
    <w:p w14:paraId="49BCCF80" w14:textId="77777777" w:rsidR="002E22AF" w:rsidRPr="00640820" w:rsidRDefault="002E22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обеспечить за счет заказов НКАП и других Наркоматов до 1 февраля 1942 года поставку заводу 300 - 350 единиц им</w:t>
      </w:r>
      <w:r w:rsidRPr="00640820">
        <w:rPr>
          <w:rFonts w:ascii="Times New Roman" w:hAnsi="Times New Roman"/>
          <w:color w:val="000000" w:themeColor="text1"/>
          <w:sz w:val="16"/>
          <w:szCs w:val="16"/>
        </w:rPr>
        <w:softHyphen/>
        <w:t>портного оборудования, в том числе: металлорежущего, кузнечно-прессового и лабораторного, по спесификации Наркомавиапро</w:t>
      </w:r>
      <w:r w:rsidRPr="00640820">
        <w:rPr>
          <w:rFonts w:ascii="Times New Roman" w:hAnsi="Times New Roman"/>
          <w:color w:val="000000" w:themeColor="text1"/>
          <w:sz w:val="16"/>
          <w:szCs w:val="16"/>
        </w:rPr>
        <w:softHyphen/>
        <w:t>ма, согласованной с Наркомвнелторгом.</w:t>
      </w:r>
    </w:p>
    <w:p w14:paraId="6B71453A" w14:textId="77777777" w:rsidR="002E22AF" w:rsidRPr="00640820" w:rsidRDefault="002E22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Обязать Наркомавиапром передать с завода 292 заво</w:t>
      </w:r>
      <w:r w:rsidRPr="00640820">
        <w:rPr>
          <w:rFonts w:ascii="Times New Roman" w:hAnsi="Times New Roman"/>
          <w:color w:val="000000" w:themeColor="text1"/>
          <w:sz w:val="16"/>
          <w:szCs w:val="16"/>
        </w:rPr>
        <w:softHyphen/>
        <w:t>ду № 30 всю техническую документацию к 1 января 1942 года и пять самолетов Як-1 в деталях и агрегатах в счет программы завода № 292 к 15 января 1942 года.</w:t>
      </w:r>
    </w:p>
    <w:p w14:paraId="7379B934" w14:textId="77777777" w:rsidR="002E22AF" w:rsidRPr="00640820" w:rsidRDefault="002E22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Обязать Наркомфин СССР (тов.Зверева) выделить заводу № 30 на организацию завода и постановку производства самоле</w:t>
      </w:r>
      <w:r w:rsidRPr="00640820">
        <w:rPr>
          <w:rFonts w:ascii="Times New Roman" w:hAnsi="Times New Roman"/>
          <w:color w:val="000000" w:themeColor="text1"/>
          <w:sz w:val="16"/>
          <w:szCs w:val="16"/>
        </w:rPr>
        <w:softHyphen/>
        <w:t>тов Як-1 из резервного фонда СНК СССР - 10 млн.рублей</w:t>
      </w:r>
    </w:p>
    <w:p w14:paraId="1FC2F8E7" w14:textId="77777777" w:rsidR="002E22AF" w:rsidRPr="00640820" w:rsidRDefault="002E22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Обязать Главметаллосбыт Наркомчермета передать с московских заводов и своей баэы заводу № 30 не поэднее 15-го января 1942 года по спесификации завода №i 30:</w:t>
      </w:r>
    </w:p>
    <w:p w14:paraId="15D376E2" w14:textId="77777777" w:rsidR="002E22AF" w:rsidRPr="00640820" w:rsidRDefault="002E22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сортового металла - 600 тонн</w:t>
      </w:r>
    </w:p>
    <w:p w14:paraId="6C848215" w14:textId="77777777" w:rsidR="002E22AF" w:rsidRPr="00640820" w:rsidRDefault="00AC580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fldChar w:fldCharType="begin"/>
      </w:r>
      <w:r w:rsidR="002E22AF" w:rsidRPr="00640820">
        <w:rPr>
          <w:rFonts w:ascii="Times New Roman" w:hAnsi="Times New Roman"/>
          <w:color w:val="000000" w:themeColor="text1"/>
          <w:sz w:val="16"/>
          <w:szCs w:val="16"/>
        </w:rPr>
        <w:instrText xml:space="preserve"> TOC \o "1-3" \h \z </w:instrText>
      </w:r>
      <w:r w:rsidRPr="00640820">
        <w:rPr>
          <w:rFonts w:ascii="Times New Roman" w:hAnsi="Times New Roman"/>
          <w:color w:val="000000" w:themeColor="text1"/>
          <w:sz w:val="16"/>
          <w:szCs w:val="16"/>
        </w:rPr>
        <w:fldChar w:fldCharType="separate"/>
      </w:r>
      <w:r w:rsidR="002E22AF" w:rsidRPr="00640820">
        <w:rPr>
          <w:rFonts w:ascii="Times New Roman" w:hAnsi="Times New Roman"/>
          <w:color w:val="000000" w:themeColor="text1"/>
          <w:sz w:val="16"/>
          <w:szCs w:val="16"/>
        </w:rPr>
        <w:t>листового металла - 300 "</w:t>
      </w:r>
    </w:p>
    <w:p w14:paraId="327F527F" w14:textId="77777777" w:rsidR="002E22AF" w:rsidRPr="00640820" w:rsidRDefault="002E22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стали углеродистой - 300 п</w:t>
      </w:r>
    </w:p>
    <w:p w14:paraId="598C9725" w14:textId="77777777" w:rsidR="002E22AF" w:rsidRPr="00640820" w:rsidRDefault="002E22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сталей инструментальных - 200 п</w:t>
      </w:r>
    </w:p>
    <w:p w14:paraId="018F4B73" w14:textId="77777777" w:rsidR="002E22AF" w:rsidRPr="00640820" w:rsidRDefault="002E22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т.ч.быстро</w:t>
      </w:r>
      <w:r w:rsidR="00430E4D" w:rsidRPr="00640820">
        <w:rPr>
          <w:rFonts w:ascii="Times New Roman" w:hAnsi="Times New Roman"/>
          <w:color w:val="000000" w:themeColor="text1"/>
          <w:sz w:val="16"/>
          <w:szCs w:val="16"/>
        </w:rPr>
        <w:t>р</w:t>
      </w:r>
      <w:r w:rsidRPr="00640820">
        <w:rPr>
          <w:rFonts w:ascii="Times New Roman" w:hAnsi="Times New Roman"/>
          <w:color w:val="000000" w:themeColor="text1"/>
          <w:sz w:val="16"/>
          <w:szCs w:val="16"/>
        </w:rPr>
        <w:t>еза - 10 "</w:t>
      </w:r>
    </w:p>
    <w:p w14:paraId="714E288E" w14:textId="77777777" w:rsidR="002E22AF" w:rsidRPr="00640820" w:rsidRDefault="002E22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Обязать Наркомтанкопром выделить заводу № 30 по его  спесификации из наличия московских баз до 15 января 1942 года инструмент на сумму 600 тыс.рублей, в том числе:</w:t>
      </w:r>
    </w:p>
    <w:p w14:paraId="5E76CF1D" w14:textId="77777777" w:rsidR="002E22AF" w:rsidRPr="00640820" w:rsidRDefault="002E22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режущего инструмента на - 150 тыс.рублей</w:t>
      </w:r>
    </w:p>
    <w:p w14:paraId="0EF476C3" w14:textId="77777777" w:rsidR="002E22AF" w:rsidRPr="00640820" w:rsidRDefault="002E22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быстрорежущих сверл и напильников на</w:t>
      </w:r>
      <w:r w:rsidRPr="00640820">
        <w:rPr>
          <w:rFonts w:ascii="Times New Roman" w:hAnsi="Times New Roman"/>
          <w:color w:val="000000" w:themeColor="text1"/>
          <w:sz w:val="16"/>
          <w:szCs w:val="16"/>
        </w:rPr>
        <w:tab/>
        <w:t>- 100 " "</w:t>
      </w:r>
    </w:p>
    <w:p w14:paraId="537CC78B" w14:textId="77777777" w:rsidR="002E22AF" w:rsidRPr="00640820" w:rsidRDefault="002E22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Обязать НКАП выделить заводу не позднее 10 января 1942 года следующий автотранспорт:</w:t>
      </w:r>
    </w:p>
    <w:p w14:paraId="74FFFBE1" w14:textId="77777777" w:rsidR="002E22AF" w:rsidRPr="00640820" w:rsidRDefault="002E22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автомашин грузовых 5 тн. - 10 штук</w:t>
      </w:r>
    </w:p>
    <w:p w14:paraId="1B6EE585" w14:textId="77777777" w:rsidR="002E22AF" w:rsidRPr="00640820" w:rsidRDefault="002E22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тн. - 30 и</w:t>
      </w:r>
    </w:p>
    <w:p w14:paraId="0867DFAF" w14:textId="77777777" w:rsidR="002E22AF" w:rsidRPr="00640820" w:rsidRDefault="002E22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-"- 1,5 тн. - 10 "</w:t>
      </w:r>
    </w:p>
    <w:p w14:paraId="13FCF12D" w14:textId="77777777" w:rsidR="002E22AF" w:rsidRPr="00640820" w:rsidRDefault="002E22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легковых - 5</w:t>
      </w:r>
      <w:r w:rsidR="00AC5806" w:rsidRPr="00640820">
        <w:rPr>
          <w:rFonts w:ascii="Times New Roman" w:hAnsi="Times New Roman"/>
          <w:color w:val="000000" w:themeColor="text1"/>
          <w:sz w:val="16"/>
          <w:szCs w:val="16"/>
        </w:rPr>
        <w:fldChar w:fldCharType="end"/>
      </w:r>
    </w:p>
    <w:p w14:paraId="69BD1274" w14:textId="77777777" w:rsidR="002E22AF" w:rsidRPr="00640820" w:rsidRDefault="002E22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Обязать Народного Комиссара Резиновой Промышленности (тов.Митрохина) обеспечить не позднее 1 января 1942 года по</w:t>
      </w:r>
      <w:r w:rsidRPr="00640820">
        <w:rPr>
          <w:rFonts w:ascii="Times New Roman" w:hAnsi="Times New Roman"/>
          <w:color w:val="000000" w:themeColor="text1"/>
          <w:sz w:val="16"/>
          <w:szCs w:val="16"/>
        </w:rPr>
        <w:softHyphen/>
        <w:t>ставку заводу № 30 авторезины для грузовых автомашин - 50 комплектов,</w:t>
      </w:r>
    </w:p>
    <w:p w14:paraId="1579D472" w14:textId="77777777" w:rsidR="002E22AF" w:rsidRPr="00640820" w:rsidRDefault="002E22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Обязать Народного Комиссара Путей сообщения (т.Кага</w:t>
      </w:r>
      <w:r w:rsidRPr="00640820">
        <w:rPr>
          <w:rFonts w:ascii="Times New Roman" w:hAnsi="Times New Roman"/>
          <w:color w:val="000000" w:themeColor="text1"/>
          <w:sz w:val="16"/>
          <w:szCs w:val="16"/>
        </w:rPr>
        <w:softHyphen/>
        <w:t>новича) передать заводу № 30 неустановленные Метростроем два компрессора суммарной производительности не ниже 100 куб.меров</w:t>
      </w:r>
    </w:p>
    <w:p w14:paraId="7DD7C6E4" w14:textId="77777777" w:rsidR="002E22AF" w:rsidRPr="00640820" w:rsidRDefault="002E22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Обязать Народного Комиссара Торговли СССР (т.Любимо</w:t>
      </w:r>
      <w:r w:rsidRPr="00640820">
        <w:rPr>
          <w:rFonts w:ascii="Times New Roman" w:hAnsi="Times New Roman"/>
          <w:color w:val="000000" w:themeColor="text1"/>
          <w:sz w:val="16"/>
          <w:szCs w:val="16"/>
        </w:rPr>
        <w:softHyphen/>
        <w:t>ва) немедленно организовать на фабрике-кухне № 4 столовую и полностью восстановить закрытую торговую сеть для обслужива</w:t>
      </w:r>
      <w:r w:rsidRPr="00640820">
        <w:rPr>
          <w:rFonts w:ascii="Times New Roman" w:hAnsi="Times New Roman"/>
          <w:color w:val="000000" w:themeColor="text1"/>
          <w:sz w:val="16"/>
          <w:szCs w:val="16"/>
        </w:rPr>
        <w:softHyphen/>
        <w:t>ния работающих на заводе № 30 по нормам и контингентам, уста</w:t>
      </w:r>
      <w:r w:rsidRPr="00640820">
        <w:rPr>
          <w:rFonts w:ascii="Times New Roman" w:hAnsi="Times New Roman"/>
          <w:color w:val="000000" w:themeColor="text1"/>
          <w:sz w:val="16"/>
          <w:szCs w:val="16"/>
        </w:rPr>
        <w:softHyphen/>
        <w:t>новленным для действующих предприятий Наркомавиапрома.</w:t>
      </w:r>
    </w:p>
    <w:p w14:paraId="59F622D8" w14:textId="77777777" w:rsidR="002E22AF" w:rsidRPr="00640820" w:rsidRDefault="002E22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Обязать Народного Комиссара Авиационной Промышленно</w:t>
      </w:r>
      <w:r w:rsidRPr="00640820">
        <w:rPr>
          <w:rFonts w:ascii="Times New Roman" w:hAnsi="Times New Roman"/>
          <w:color w:val="000000" w:themeColor="text1"/>
          <w:sz w:val="16"/>
          <w:szCs w:val="16"/>
        </w:rPr>
        <w:softHyphen/>
        <w:t>сти (тов.Шахурина) перевести не позднее 1 января 1942 года на завод № 30 группу конструкторов и технологов с заводов НКАП в количестве 100 человек.</w:t>
      </w:r>
    </w:p>
    <w:p w14:paraId="52A3A8C9" w14:textId="77777777" w:rsidR="002E22AF" w:rsidRPr="00640820" w:rsidRDefault="002E22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Отнести завод № 30 к предприятиям НКАП первой категории.</w:t>
      </w:r>
    </w:p>
    <w:p w14:paraId="6B8F0B92" w14:textId="77777777" w:rsidR="002E22AF" w:rsidRPr="00640820" w:rsidRDefault="002E22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Обязать Зам.наркома - тов.Воронина повседневно, не</w:t>
      </w:r>
      <w:r w:rsidRPr="00640820">
        <w:rPr>
          <w:rFonts w:ascii="Times New Roman" w:hAnsi="Times New Roman"/>
          <w:color w:val="000000" w:themeColor="text1"/>
          <w:sz w:val="16"/>
          <w:szCs w:val="16"/>
        </w:rPr>
        <w:softHyphen/>
        <w:t>посредственно заниматься организацией завода № 30 и обеспе</w:t>
      </w:r>
      <w:r w:rsidRPr="00640820">
        <w:rPr>
          <w:rFonts w:ascii="Times New Roman" w:hAnsi="Times New Roman"/>
          <w:color w:val="000000" w:themeColor="text1"/>
          <w:sz w:val="16"/>
          <w:szCs w:val="16"/>
        </w:rPr>
        <w:softHyphen/>
        <w:t>чить своевременный пуск его в соответствии с сроками настояще</w:t>
      </w:r>
      <w:r w:rsidRPr="00640820">
        <w:rPr>
          <w:rFonts w:ascii="Times New Roman" w:hAnsi="Times New Roman"/>
          <w:color w:val="000000" w:themeColor="text1"/>
          <w:sz w:val="16"/>
          <w:szCs w:val="16"/>
        </w:rPr>
        <w:softHyphen/>
        <w:t>го постановления (19290).</w:t>
      </w:r>
    </w:p>
    <w:p w14:paraId="69BBD719" w14:textId="77777777" w:rsidR="002E22AF" w:rsidRPr="00640820" w:rsidRDefault="002E22AF" w:rsidP="00640820">
      <w:pPr>
        <w:spacing w:after="0" w:line="240" w:lineRule="auto"/>
        <w:jc w:val="both"/>
        <w:rPr>
          <w:rFonts w:ascii="Times New Roman" w:hAnsi="Times New Roman"/>
          <w:color w:val="000000" w:themeColor="text1"/>
          <w:sz w:val="16"/>
          <w:szCs w:val="16"/>
        </w:rPr>
      </w:pPr>
    </w:p>
    <w:p w14:paraId="6637CC0C" w14:textId="77777777" w:rsidR="006B7E44" w:rsidRPr="00640820" w:rsidRDefault="006B7E44"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декабря 1941 г. в соответствии с пост. ГКО № 1038 на территории завода № 1 образован новый Завод № 30 НКАП по выпуску самолетов Як-1 (11982).</w:t>
      </w:r>
    </w:p>
    <w:p w14:paraId="059BCCC4" w14:textId="77777777" w:rsidR="006B7E44" w:rsidRPr="00640820" w:rsidRDefault="006B7E44" w:rsidP="00640820">
      <w:pPr>
        <w:autoSpaceDE w:val="0"/>
        <w:autoSpaceDN w:val="0"/>
        <w:adjustRightInd w:val="0"/>
        <w:spacing w:after="0" w:line="240" w:lineRule="auto"/>
        <w:jc w:val="both"/>
        <w:rPr>
          <w:rFonts w:ascii="Times New Roman" w:hAnsi="Times New Roman"/>
          <w:color w:val="000000" w:themeColor="text1"/>
          <w:sz w:val="16"/>
          <w:szCs w:val="16"/>
        </w:rPr>
      </w:pPr>
    </w:p>
    <w:p w14:paraId="450B3DF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декабря 1941 на пло</w:t>
      </w:r>
      <w:r w:rsidRPr="00640820">
        <w:rPr>
          <w:rFonts w:ascii="Times New Roman" w:hAnsi="Times New Roman"/>
          <w:color w:val="000000" w:themeColor="text1"/>
          <w:sz w:val="16"/>
          <w:szCs w:val="16"/>
        </w:rPr>
        <w:softHyphen/>
        <w:t>щадях эвакуированного завода № 1 организовали са</w:t>
      </w:r>
      <w:r w:rsidRPr="00640820">
        <w:rPr>
          <w:rFonts w:ascii="Times New Roman" w:hAnsi="Times New Roman"/>
          <w:color w:val="000000" w:themeColor="text1"/>
          <w:sz w:val="16"/>
          <w:szCs w:val="16"/>
        </w:rPr>
        <w:softHyphen/>
        <w:t>молетостроительный завод, получивший № 30. Предприятию поручалось, начиная с марта 1942 г., выпускать истребители Як—1, а директору завода № 1 Третьякову предписывалось срочно вернуть из Куйбышева 700 единиц оборудования. При</w:t>
      </w:r>
      <w:r w:rsidRPr="00640820">
        <w:rPr>
          <w:rFonts w:ascii="Times New Roman" w:hAnsi="Times New Roman"/>
          <w:color w:val="000000" w:themeColor="text1"/>
          <w:sz w:val="16"/>
          <w:szCs w:val="16"/>
        </w:rPr>
        <w:softHyphen/>
        <w:t>нятое по инициативе Яковлева решение не учитыва</w:t>
      </w:r>
      <w:r w:rsidRPr="00640820">
        <w:rPr>
          <w:rFonts w:ascii="Times New Roman" w:hAnsi="Times New Roman"/>
          <w:color w:val="000000" w:themeColor="text1"/>
          <w:sz w:val="16"/>
          <w:szCs w:val="16"/>
        </w:rPr>
        <w:softHyphen/>
        <w:t>ло специфики работы завода № 1 до эвакуации. Кро</w:t>
      </w:r>
      <w:r w:rsidRPr="00640820">
        <w:rPr>
          <w:rFonts w:ascii="Times New Roman" w:hAnsi="Times New Roman"/>
          <w:color w:val="000000" w:themeColor="text1"/>
          <w:sz w:val="16"/>
          <w:szCs w:val="16"/>
        </w:rPr>
        <w:softHyphen/>
        <w:t>ме того, в Москве остро не хватало рабочих рук для нужд авиапромышленности. Ни одного Як—1 на за</w:t>
      </w:r>
      <w:r w:rsidRPr="00640820">
        <w:rPr>
          <w:rFonts w:ascii="Times New Roman" w:hAnsi="Times New Roman"/>
          <w:color w:val="000000" w:themeColor="text1"/>
          <w:sz w:val="16"/>
          <w:szCs w:val="16"/>
        </w:rPr>
        <w:softHyphen/>
        <w:t>воде № 30 собрать не удалось (9984).</w:t>
      </w:r>
    </w:p>
    <w:p w14:paraId="5B55008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010B2F"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декабря 1941 вышло решение ГКО об организации на площадях эвакуированного 1 завода нового завода 30, который с марта 1942 должен был делать Як-1. 24 декабря вышел новый приказ - делать Як-3 (Як-7А), а 15 января 1942 - делать Ил-2 (198,20).</w:t>
      </w:r>
    </w:p>
    <w:p w14:paraId="2E16FE5D"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p>
    <w:p w14:paraId="43290C07"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декабря 1941 вышел приказ НКАП N 1169сс в исполнение постановления ГКО “Об организации на площадях эвакуированного 1 завода нового самолетостроительного завода 30 по выпуску истребителя Як-1”</w:t>
      </w:r>
    </w:p>
    <w:p w14:paraId="18BF4502"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ГКО за № 1038 от 17 декабря 1941 постановил:</w:t>
      </w:r>
    </w:p>
    <w:p w14:paraId="7CC716BE"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Организовать на площадях эвакуированного з-да № 1 в г. Москве завод по выпуску с-тов Як-1, присвоив ему № 30.</w:t>
      </w:r>
    </w:p>
    <w:p w14:paraId="7CC07FFD"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Установить программу выпуска с-тов Як-1 в 1942 г. на заводе № 30 в количестве 1145 шт., в т.ч. в марте - 5, в апреле - 20, в мае - 50, июне - 90, июле - 120, в августе - 150 и т.д.</w:t>
      </w:r>
    </w:p>
    <w:p w14:paraId="7FFB0E9C"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Директору завода № 290 Левину - передать документиацию</w:t>
      </w:r>
    </w:p>
    <w:p w14:paraId="5D6C60B2"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Подписал ио нач. ПГУ Шиц (1328,4).</w:t>
      </w:r>
    </w:p>
    <w:p w14:paraId="21C66768"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p>
    <w:p w14:paraId="5379B2FB"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декабря 1941 года на основании решения ГКО за № 1038сс на территории завода эвакуированного завода № 1 им. Сталина был организован самолетостроительный завод № 30.</w:t>
      </w:r>
    </w:p>
    <w:p w14:paraId="7ED43BD8"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Решением ГКО от 14 января 1942 года за № 1149сс заводу был установлен выпуск ИЛ-2.</w:t>
      </w:r>
    </w:p>
    <w:p w14:paraId="2F08C68E"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время ВОВ завод выпускал до 12 самолетов вдень.</w:t>
      </w:r>
    </w:p>
    <w:p w14:paraId="7EB5FD70"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окончании ВОВ изготовление Ил-2 было прекращено и до 1946 года завод занимался работами:</w:t>
      </w:r>
    </w:p>
    <w:p w14:paraId="26C8B94F"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Переделкой самолета СМ-47 на пассажирский</w:t>
      </w:r>
    </w:p>
    <w:p w14:paraId="7D79DCD8"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Изготовлением шасси к пассажирским самолетам ПС-52 для завода № 84</w:t>
      </w:r>
    </w:p>
    <w:p w14:paraId="471A3FCE"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Изготовлением деталей самолета ТУ-2 для завода № 23</w:t>
      </w:r>
    </w:p>
    <w:p w14:paraId="550EAD0F"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Изготовлением пассажирского самолета ЛИ-215. В 1946 году на основании приказа МАП за № 673с от 21 октября 1946 года завод организовал производство самолетов ИЛ-12, перешел на серийное изготовление этого самолета и выпускал их в вариантах пассажирского, десантного и транспортного вплоть до 4 квартала 1949 года.</w:t>
      </w:r>
    </w:p>
    <w:p w14:paraId="2F11EF84"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Постановлением СМ от 14 ноября 1949 года за № 5223-194сс и приказом МАП от 17 ноября 1949 года за № 913сс завод прекратил производство самолетов ИЛ-12 и с начала 1950 года приступил к подготовке производства реактивных самолетов ИЛ-28. В декабре 1949 года завод № 381, территориально расположенный рядом с заводом № 30 был объединен с последним.</w:t>
      </w:r>
    </w:p>
    <w:p w14:paraId="5E1E7757"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381 до ВОВ находился в Ленинграде. В начале войны был эвакуирован в Нижний Тагил. В начале мая 1943 года был перебазирован из Нижнего Тагила в Москву, где расположился на территории и производственных площадях завода № 39, эвакуированного в Иркутск.</w:t>
      </w:r>
    </w:p>
    <w:p w14:paraId="51D51D05"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Постановлением Правительства от 12 августа 1955 года производство на заводе № 30 самолетов Ил-28 было прекращено</w:t>
      </w:r>
    </w:p>
    <w:p w14:paraId="77C72F8A"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 Воронин П.А.</w:t>
      </w:r>
    </w:p>
    <w:p w14:paraId="2F77C276"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Москва 40, Первый Боткинский проезд, п/я 2402</w:t>
      </w:r>
    </w:p>
    <w:p w14:paraId="206BF020"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Производственный профиль – самолетостроение (9815).</w:t>
      </w:r>
    </w:p>
    <w:p w14:paraId="67E7CB7F"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p>
    <w:p w14:paraId="4276B91A"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декабря 1941 г. приказом № 1169сс и приказом № 1170сс от 18.12.1941 г. в соответствии с пост. ГКО № 1038сс от 17 декабря 1941 г. на территории эвакуированного завода № 1 НКАП для производства Як-1 был организован новый завод № 30. Новый завод комплектовался оборудованием с завода № 1 НКАП, кадрами с заводов № 292, № 31, № 21 и др. Для скорейшего ввода в строй в его состав переданы мощности: часть кадров и оборудования завода № 135 (по приказу № 79сс от 26.01.1942 г.), часть мощностей заводов № 450 и № 240, оборудование с заводов № 1 Оргавиапрома, № 35, № 24. Сюда передана часть оборудования и личного состава эвакуированного завода № 30 из Подберезья.</w:t>
      </w:r>
    </w:p>
    <w:p w14:paraId="5FA7FED9"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Выпуск Як-1 не был налажен, а с 01.1942 г. (в соответствии с пост.ениями ГКО № 1149 от 14.01.1942 г. и от 25.01.1942 г.) началось освоение выпуска Ил-2. В соответствии с пост. ГКО № 2374 от 5.10.1942 г. запущен в серию двухместный Ил-2 с двигателем АМ-38. К концу октября завод должен был выпустить 60 машин. Пост. ГКО № 3144 от 8.04.1943 г. на заводе был запущен в серию двухместный Ил-2 с двумя пушками НС-37. В 05.1943 г. завод должн был выпустить 50 новых машин. Пост. ГКО № 4554 от 12.11.1943 г. заводу предписано перейти на выпуск Ил-2 с пушками ВЯ вместо НС-37. 3.04.1944 г. вышло постановление ГКО № 5526 об ускорении производства Ил-2 с металлическими крыльями на заводе.</w:t>
      </w:r>
    </w:p>
    <w:p w14:paraId="4AE8B3F5"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1942 г. при заводе действовали два филиала. Филиал № 1 завода № 30 - бывший цех ширпотреба завода № 1 по пер. Авиационному (на 1946 г.- ул. Красноармейская). По приказу № 319с от 26.04.1942 г. филиал № 1 некоторое время находился в подчинении нового завода № 134 НКАП. Далее планировалось передать с 1.09.1945 г. филиал в ведение завода № 240. Но по приказу НКАП № 6с от 11.01.1946 г. филиал был передан в подчинение ЦАГИ для укрепления его производственной базы (под опытный завод) со всеми сооружениями и личным составом с доукомплектацией штата 600-ми квалифицированными рабочими.</w:t>
      </w:r>
    </w:p>
    <w:p w14:paraId="5C4C91C6"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 приказу № 627с от 13.08.1942 г. деревообрабатывающие цеха завода № 169 </w:t>
      </w:r>
      <w:r w:rsidRPr="00640820">
        <w:rPr>
          <w:rFonts w:ascii="Times New Roman" w:hAnsi="Times New Roman"/>
          <w:color w:val="000000" w:themeColor="text1"/>
          <w:sz w:val="16"/>
          <w:szCs w:val="16"/>
          <w:lang w:val="en-US"/>
        </w:rPr>
        <w:t>HKAII</w:t>
      </w:r>
      <w:r w:rsidRPr="00640820">
        <w:rPr>
          <w:rFonts w:ascii="Times New Roman" w:hAnsi="Times New Roman"/>
          <w:color w:val="000000" w:themeColor="text1"/>
          <w:sz w:val="16"/>
          <w:szCs w:val="16"/>
        </w:rPr>
        <w:t xml:space="preserve"> (бывшая мебельная фабрика № 3 НКлеса) переданы в качестве филиала № 2 заводу № 30 для изготовления деревянных частей самолетов и переведены из 6ГУ в ЮГУ. В соответствии с пост. СМ СССР № 1612с от 5.07.1945 г. и приказом № 306с/203пс от 24.07.1945 г. Филиал № 2 передан обратно со всем оборудованием и личным составом в НК леса.</w:t>
      </w:r>
    </w:p>
    <w:p w14:paraId="0081359F"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499с от 31.12.1945 г. заводу была передана часть оборудования и личного состава расформированного завода № 261 ( г. В. Нейвинск).</w:t>
      </w:r>
    </w:p>
    <w:p w14:paraId="77F2BC52"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производство военных самолетов прекращено. Большинство цехов выпускало гражданскую продукцию: керосинки, посуду, газовые плиты, холодильники. Предприятие выполняло большие заказы по восстановлению паровозов, троллейбусов. Авиационное производство ограничивалось переделкой С-47 в пассажирский вариант ПС-84, производством шасси для ПС-84, деталей для Ту-2 и Ил-2. Велась подготовка к выпуску Ли-2П и Ил-12.</w:t>
      </w:r>
    </w:p>
    <w:p w14:paraId="362F9266"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1946 г. на заводе организовано представительство ОКБ Ильюшина (представители: (1946 г.-)- А.П. Наумов, (1948-49 г.)- В.П. Яценко,С.М. Громов, (1957 г.)- Б.П. Чирков, Н. Г. Папковская).</w:t>
      </w:r>
    </w:p>
    <w:p w14:paraId="5A1014C4"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середины 1946 г. заводом временно использовалась территория по Хорошевскому шоссе (Октябрьское поле), принадлежавшая Всесоюзному институту экспериментальной медицины. По приказу № 351сс от 5.06.1946 г. территория со всеми сооружениями передана Лаборатории № 2 АН.</w:t>
      </w:r>
    </w:p>
    <w:p w14:paraId="35F98882"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СМ СССР № 5223-1994сс от 14.11.1949 г. и приказом МАП № 913с от 17.04.1949 г. в состав завода № 30 с 1.10.1949 г. влит Московский Завод № 381 МАП, располагавшийся рядом, для обеспечения производства Ил-28.</w:t>
      </w:r>
    </w:p>
    <w:p w14:paraId="40F6ACE2"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1950-х  г. на заводе совместно с заводом «Каучук» построен стратостат «СССР-1», в 1953 г. на нем установлен рекорд высоты подъема.</w:t>
      </w:r>
    </w:p>
    <w:p w14:paraId="525322C8"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 от 21.07.1950 г. на заводе начат серийный выпуск Ил-28У, по решению правительства от 8.12.1951 г. - Ил-28Р.</w:t>
      </w:r>
    </w:p>
    <w:p w14:paraId="5A6A33D6"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16-10 от 5.01.1956 г. выпущена войсковая серия бомбардировщика Як-26.</w:t>
      </w:r>
    </w:p>
    <w:p w14:paraId="37538923"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 299-118 от 11.04.1964 г. на заводе начато освоение производства МиГ-21У.</w:t>
      </w:r>
    </w:p>
    <w:p w14:paraId="1AC0C8E0"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Изготавливал комплектующие для ОК «Буран».</w:t>
      </w:r>
    </w:p>
    <w:p w14:paraId="70E705F3"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1957 г. находился в ведении ЮГУ МАП. В соответствии с пост. СМ СССР № 713-342 от 26.06.1957 г. передан в ведение Управления агрегатостроения МосгорСНХ РСФСР. До 1963 г. имел открытое наименование «п/я 2402», затем - «А-1122». В 1963 г. завод № 30 переименован в ММЗ «Знамя труда». В 1965 г. завод передан в ведение 6ГУ МАП. В 1974 г. на базе ММЗ «Знамя труда» организовано Московское авиационное ПО им. П.В. Дементьева.</w:t>
      </w:r>
    </w:p>
    <w:p w14:paraId="69DC2D8A"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распоряжением Правительства РФ от 05.1995 г. в 1996 г. объединены МАПО им. П.В. Дементьева и АНПК «МиГ» им. А.И. Микояна, образовав Московское авиационное производственно-научное объединение (МАПНО) «МИГ» (МАПО «МиГ»), в которое вошло также ОКБ Камова. В конце 1999 г. МАЛО было преобразовано в РСК «МиГ».</w:t>
      </w:r>
    </w:p>
    <w:p w14:paraId="3ECC077C"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(09.1943 г.)- Смирнов, (02.1945 г.)- Ф. Г. Нестеров, (1946-82 г.-)- П.А. Воронин. Гендиректор (1994- 95 г.)- В. Кузьмин.</w:t>
      </w:r>
    </w:p>
    <w:p w14:paraId="3447FFA8"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(2000 г.)- О. Чуканцев.</w:t>
      </w:r>
    </w:p>
    <w:p w14:paraId="4927A12E"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по производству (2000 г.)- О. Чуканцев.</w:t>
      </w:r>
    </w:p>
    <w:p w14:paraId="105F30B0"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 конструктор (2000 г.)- Н.Ф. Никитин.</w:t>
      </w:r>
    </w:p>
    <w:p w14:paraId="2EDB94A6"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П.В. Дементьев.</w:t>
      </w:r>
    </w:p>
    <w:p w14:paraId="38E26D6F"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СКО (1948 г.)- Усиков.</w:t>
      </w:r>
    </w:p>
    <w:p w14:paraId="618D1FF4"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самолеты: Ил-2 (1942-45)- 8865, Ил-12 (1946-49)- 663, Ил-28 (1948-55), Ил-14 (1954-58), Як- 26 (1956)- 10, Ил-18 (1957-69)-564, Су-9 (1959-61)- 176, МиГ-21 (1964-74), МиГ-21У (1964-), Ил-38 (1965(7)-72)- 65, МиГ-23С (1969-70)- 50, МиГ-29, МиГ-29К (1988)- 2, Ил-114, Т-101, «Авиатика» МАИ-890, Ил-103, МиГ-АТ (11982).</w:t>
      </w:r>
    </w:p>
    <w:p w14:paraId="7E0FAB4E"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p>
    <w:p w14:paraId="3A2BBD1B"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17 декабря 1941 г. решением Государственного комитета обороны (ГКО) на пустующих площадях эвакуированного завода № 1 в Москве организуется завод </w:t>
      </w:r>
      <w:r w:rsidRPr="00640820">
        <w:rPr>
          <w:rFonts w:ascii="Times New Roman" w:hAnsi="Times New Roman"/>
          <w:color w:val="000000" w:themeColor="text1"/>
          <w:sz w:val="16"/>
          <w:szCs w:val="16"/>
          <w:lang w:val="en-US"/>
        </w:rPr>
        <w:t>N</w:t>
      </w:r>
      <w:r w:rsidRPr="00640820">
        <w:rPr>
          <w:rFonts w:ascii="Times New Roman" w:hAnsi="Times New Roman"/>
          <w:color w:val="000000" w:themeColor="text1"/>
          <w:sz w:val="16"/>
          <w:szCs w:val="16"/>
        </w:rPr>
        <w:t>° 30, который с марта 1942 г. должен был приступить к изготовлению Як-1 (всего за 1942 г. на этом заводе планировалось выпустить 1145 самолетов).</w:t>
      </w:r>
    </w:p>
    <w:p w14:paraId="3B0292B2"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Но реалии войны продиктовали иные требования и большей части этих планов не суждено было сбыться. В связи с эвакуацией завода № 47 в г. Чкалов завод № 492 не был развернут. Задание по выпуску Як-1, перешедшее от этого завода к заводу № 47 вскоре (постановлением ГКО от 17 февраля 1942 г.), было отменено. Для тренировки и обучения летного состава не хватало самолетов УТ-2, выпускавшихся этим заводом. Из переданных заводом № 292 (г. Саратов) 11 полных комплектов деталей и узлов, построено было всего два самолета Як-1. Остальные 9 собрать не смогли, с одной стороны, из-за увеличения плана выпуска УТ-2, а с другой стороны, из-за отсутствия моторов, винтов, колес, радиаторов и других готовых изделий, не полученных от заводов-поставщиков. В Тбилиси были эвакуированы заводы № 31 и № 45, которые объединились с заводами № 448 и № 131, и, получив обозначение № 31 и № 131, перешли на изготовление другой продукции. </w:t>
      </w:r>
    </w:p>
    <w:p w14:paraId="6CC280FE"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Сложная ситуация сложилась на заводе № 153. Постановление ГКО от 14 августа 1941 г. предписывало внедрить улучшенный вариант Як-1, отличающийся от выпускаемых заводом № 292 увеличенным диаметром колес, отъемной моторамой и наличием радиостанции. Однако внедрен был не Як-1, а Як-7 с вооружением из двух пулеметов ШКАС и пушки МП-20 ШВАК, который выпускал эвакуировавшийся из Москвы в Новосибирск завод № 301. Этот вариант Як-7 официально именовался заводом № 301 как "Як-1 типа Як-7", и в этом видится источник неправильного истолкования постановления ГКО. Чтобы избежать путаницы в докладах завод № 153 в апреле 1942 г. присвоил этой модификации наименование Як-7А. Однако ей же в правительстве и наркомате успели уже присвоить индекс Як-3. Поэтому по постановлениям ГКО и приказам наркома авиапромышленности о переходе ряда заводов НКАП на выпуск самолетов Як-3 в действительности внедрялся самолет Як-7А. Это запутало отчетность НКАП тогда, а вместе с тем и многих исследователей в наши дни. Остается лишь добавить, что индексом Як-3 всего обозначалось четыре типа машин ОКБ. Это - И-30; нереализованный проект одноместного двухмоторного тяжелого истребителя (задание было отменено 27 июля 1941 г. в связи с началом войны); Як-7А и, наконец, легкий истребитель Як-3 в конце войны.</w:t>
      </w:r>
    </w:p>
    <w:p w14:paraId="7CDB714D" w14:textId="77777777" w:rsidR="00285B16" w:rsidRPr="00640820" w:rsidRDefault="00285B1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30, еше не успев начать подготовку к производству Як-1, 24 декабря 1941 г. (всего через неделю после предыдущего постановления ГКО) переводится на выпуск Як-3, а еще через две недели, 15 января 1942 г., заводу ставится задача строить уже Ил-2 (12048).</w:t>
      </w:r>
    </w:p>
    <w:p w14:paraId="09969F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17 декабря 1941 вышло Постановление ГКО № 1039 Об организации на площади эвакуированного завода № 22 в Москве самолетостроительного завода по производству бомбардировщиков 103. РГАНИР, Фонд ГКО, д. 16, лл. 116-118 (11012).</w:t>
      </w:r>
    </w:p>
    <w:p w14:paraId="727FDC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CFDFEC3" w14:textId="77777777" w:rsidR="004902DB" w:rsidRPr="00640820" w:rsidRDefault="004902DB" w:rsidP="00640820">
      <w:pPr>
        <w:pStyle w:val="35"/>
        <w:shd w:val="clear" w:color="auto" w:fill="auto"/>
        <w:spacing w:after="0" w:line="240" w:lineRule="auto"/>
        <w:jc w:val="both"/>
        <w:rPr>
          <w:rFonts w:ascii="Times New Roman" w:cs="Times New Roman"/>
          <w:color w:val="0070C0"/>
          <w:spacing w:val="0"/>
          <w:sz w:val="16"/>
          <w:szCs w:val="16"/>
        </w:rPr>
      </w:pPr>
      <w:r w:rsidRPr="00640820">
        <w:rPr>
          <w:rFonts w:ascii="Times New Roman" w:cs="Times New Roman"/>
          <w:color w:val="0070C0"/>
          <w:spacing w:val="0"/>
          <w:sz w:val="16"/>
          <w:szCs w:val="16"/>
        </w:rPr>
        <w:t>17 декабря 1941 г. было принято правительственное реше</w:t>
      </w:r>
      <w:r w:rsidRPr="00640820">
        <w:rPr>
          <w:rFonts w:ascii="Times New Roman" w:cs="Times New Roman"/>
          <w:color w:val="0070C0"/>
          <w:spacing w:val="0"/>
          <w:sz w:val="16"/>
          <w:szCs w:val="16"/>
        </w:rPr>
        <w:softHyphen/>
        <w:t>ние об организации в Москве нового авиазавода № 30, которо</w:t>
      </w:r>
      <w:r w:rsidRPr="00640820">
        <w:rPr>
          <w:rFonts w:ascii="Times New Roman" w:cs="Times New Roman"/>
          <w:color w:val="0070C0"/>
          <w:spacing w:val="0"/>
          <w:sz w:val="16"/>
          <w:szCs w:val="16"/>
        </w:rPr>
        <w:softHyphen/>
        <w:t>му также поручили выпуск Ил-2. В кооперации с ним предстояло работать двум вновь образованным предприятиям: московско</w:t>
      </w:r>
      <w:r w:rsidRPr="00640820">
        <w:rPr>
          <w:rFonts w:ascii="Times New Roman" w:cs="Times New Roman"/>
          <w:color w:val="0070C0"/>
          <w:spacing w:val="0"/>
          <w:sz w:val="16"/>
          <w:szCs w:val="16"/>
        </w:rPr>
        <w:softHyphen/>
        <w:t>му моторостроительному № 45 и подольскому машинострои</w:t>
      </w:r>
      <w:r w:rsidRPr="00640820">
        <w:rPr>
          <w:rFonts w:ascii="Times New Roman" w:cs="Times New Roman"/>
          <w:color w:val="0070C0"/>
          <w:spacing w:val="0"/>
          <w:sz w:val="16"/>
          <w:szCs w:val="16"/>
        </w:rPr>
        <w:softHyphen/>
        <w:t>тельному № 125, который стал производить бронекорпуса. Он принял эстафету от эвакуированного в Свердловск (ныне — Екатеринбург) завода им. Орджоникидзе. Значительная часть коллектива этого предприятия попала в Куйбышев, составив основу нового 207-го завода, призванного поставлять броне</w:t>
      </w:r>
      <w:r w:rsidRPr="00640820">
        <w:rPr>
          <w:rFonts w:ascii="Times New Roman" w:cs="Times New Roman"/>
          <w:color w:val="0070C0"/>
          <w:spacing w:val="0"/>
          <w:sz w:val="16"/>
          <w:szCs w:val="16"/>
        </w:rPr>
        <w:softHyphen/>
        <w:t>корпуса авиазаводам № 1 и № 18 (19854).</w:t>
      </w:r>
    </w:p>
    <w:p w14:paraId="27233803" w14:textId="77777777" w:rsidR="004902DB" w:rsidRPr="00640820" w:rsidRDefault="004902DB" w:rsidP="00640820">
      <w:pPr>
        <w:pStyle w:val="35"/>
        <w:shd w:val="clear" w:color="auto" w:fill="auto"/>
        <w:spacing w:after="0" w:line="240" w:lineRule="auto"/>
        <w:jc w:val="both"/>
        <w:rPr>
          <w:rFonts w:ascii="Times New Roman" w:cs="Times New Roman"/>
          <w:color w:val="0070C0"/>
          <w:spacing w:val="0"/>
          <w:sz w:val="16"/>
          <w:szCs w:val="16"/>
        </w:rPr>
      </w:pPr>
    </w:p>
    <w:p w14:paraId="2E2B5365" w14:textId="77777777" w:rsidR="006C122B" w:rsidRPr="00640820" w:rsidRDefault="006C122B" w:rsidP="00640820">
      <w:pPr>
        <w:pStyle w:val="47"/>
        <w:shd w:val="clear" w:color="auto" w:fill="auto"/>
        <w:spacing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17 декабря 1941 вышло Постановление ГКО № 1039 Об организации на площади эвакуированного завода № 22 в Москве самолетостроительного завода по производству бомбардировщиков 103</w:t>
      </w:r>
    </w:p>
    <w:p w14:paraId="4F2B190A" w14:textId="77777777" w:rsidR="006C122B" w:rsidRPr="00640820" w:rsidRDefault="006C122B" w:rsidP="00640820">
      <w:pPr>
        <w:pStyle w:val="47"/>
        <w:shd w:val="clear" w:color="auto" w:fill="auto"/>
        <w:spacing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Государственный Комитет Обороны постановляет:</w:t>
      </w:r>
    </w:p>
    <w:p w14:paraId="436C7C2F" w14:textId="77777777" w:rsidR="006C122B" w:rsidRPr="00640820" w:rsidRDefault="006C122B" w:rsidP="00640820">
      <w:pPr>
        <w:pStyle w:val="47"/>
        <w:shd w:val="clear" w:color="auto" w:fill="auto"/>
        <w:spacing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1.Обязать НКАП (т.Шахурина) организовать в г.Москве, на производственной площади эвакуированного завода № 22 НКАП - самолетостроительный эавод, присвоив ему № 23, для производ</w:t>
      </w:r>
      <w:r w:rsidRPr="00640820">
        <w:rPr>
          <w:rFonts w:ascii="Times New Roman" w:hAnsi="Times New Roman" w:cs="Times New Roman"/>
          <w:color w:val="000000" w:themeColor="text1"/>
          <w:sz w:val="16"/>
          <w:szCs w:val="16"/>
        </w:rPr>
        <w:softHyphen/>
        <w:t>ства двухмоторных бомбардировщиков 103, конструкции т.Туполе</w:t>
      </w:r>
      <w:r w:rsidRPr="00640820">
        <w:rPr>
          <w:rFonts w:ascii="Times New Roman" w:hAnsi="Times New Roman" w:cs="Times New Roman"/>
          <w:color w:val="000000" w:themeColor="text1"/>
          <w:sz w:val="16"/>
          <w:szCs w:val="16"/>
        </w:rPr>
        <w:softHyphen/>
        <w:t>ва,</w:t>
      </w:r>
    </w:p>
    <w:p w14:paraId="33E4F1F7" w14:textId="77777777" w:rsidR="006C122B" w:rsidRPr="00640820" w:rsidRDefault="006C122B" w:rsidP="00640820">
      <w:pPr>
        <w:pStyle w:val="47"/>
        <w:shd w:val="clear" w:color="auto" w:fill="auto"/>
        <w:tabs>
          <w:tab w:val="left" w:pos="2153"/>
        </w:tabs>
        <w:spacing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2. Утвердить директором завода № 23 - т.Лещенко С,М..глав</w:t>
      </w:r>
      <w:r w:rsidRPr="00640820">
        <w:rPr>
          <w:rFonts w:ascii="Times New Roman" w:hAnsi="Times New Roman" w:cs="Times New Roman"/>
          <w:color w:val="000000" w:themeColor="text1"/>
          <w:sz w:val="16"/>
          <w:szCs w:val="16"/>
        </w:rPr>
        <w:softHyphen/>
        <w:t>ным инженером завода т.Корнеева М.Н. и главным конструктором т.Туполева А.Н, по совместительству с основной работой на за</w:t>
      </w:r>
      <w:r w:rsidRPr="00640820">
        <w:rPr>
          <w:rFonts w:ascii="Times New Roman" w:hAnsi="Times New Roman" w:cs="Times New Roman"/>
          <w:color w:val="000000" w:themeColor="text1"/>
          <w:sz w:val="16"/>
          <w:szCs w:val="16"/>
        </w:rPr>
        <w:softHyphen/>
        <w:t>воде № 166.</w:t>
      </w:r>
    </w:p>
    <w:p w14:paraId="712350DE" w14:textId="77777777" w:rsidR="006C122B" w:rsidRPr="00640820" w:rsidRDefault="006C122B" w:rsidP="00640820">
      <w:pPr>
        <w:pStyle w:val="47"/>
        <w:shd w:val="clear" w:color="auto" w:fill="auto"/>
        <w:tabs>
          <w:tab w:val="left" w:pos="2288"/>
        </w:tabs>
        <w:spacing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3. Установить заводу № 23 на 1942 год программу выпуска самолетов 103 с мотором АМ-37 в количестве 557 единиц, в том числе:</w:t>
      </w:r>
    </w:p>
    <w:p w14:paraId="72E24111" w14:textId="77777777" w:rsidR="006C122B" w:rsidRPr="00640820" w:rsidRDefault="006C122B" w:rsidP="00640820">
      <w:pPr>
        <w:pStyle w:val="47"/>
        <w:shd w:val="clear" w:color="auto" w:fill="auto"/>
        <w:tabs>
          <w:tab w:val="left" w:pos="3673"/>
        </w:tabs>
        <w:spacing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в м а е - 2 самолета</w:t>
      </w:r>
    </w:p>
    <w:p w14:paraId="6CE72315" w14:textId="77777777" w:rsidR="006C122B" w:rsidRPr="00640820" w:rsidRDefault="006C122B" w:rsidP="00640820">
      <w:pPr>
        <w:pStyle w:val="47"/>
        <w:shd w:val="clear" w:color="auto" w:fill="auto"/>
        <w:tabs>
          <w:tab w:val="left" w:pos="3673"/>
        </w:tabs>
        <w:spacing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в и ю н е - 10 самолетов</w:t>
      </w:r>
    </w:p>
    <w:p w14:paraId="7A39CAD8" w14:textId="77777777" w:rsidR="006C122B" w:rsidRPr="00640820" w:rsidRDefault="006C122B" w:rsidP="00640820">
      <w:pPr>
        <w:pStyle w:val="47"/>
        <w:shd w:val="clear" w:color="auto" w:fill="auto"/>
        <w:tabs>
          <w:tab w:val="left" w:pos="3673"/>
        </w:tabs>
        <w:spacing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в и ю л - 30 самолетов</w:t>
      </w:r>
    </w:p>
    <w:p w14:paraId="1627C82B" w14:textId="77777777" w:rsidR="006C122B" w:rsidRPr="00640820" w:rsidRDefault="006C122B" w:rsidP="00640820">
      <w:pPr>
        <w:pStyle w:val="47"/>
        <w:shd w:val="clear" w:color="auto" w:fill="auto"/>
        <w:tabs>
          <w:tab w:val="left" w:pos="3680"/>
        </w:tabs>
        <w:spacing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в августе - 60 самолетов</w:t>
      </w:r>
    </w:p>
    <w:p w14:paraId="0F36CB4D" w14:textId="77777777" w:rsidR="006C122B" w:rsidRPr="00640820" w:rsidRDefault="006C122B" w:rsidP="00640820">
      <w:pPr>
        <w:pStyle w:val="47"/>
        <w:shd w:val="clear" w:color="auto" w:fill="auto"/>
        <w:tabs>
          <w:tab w:val="left" w:pos="3673"/>
        </w:tabs>
        <w:spacing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в сентябре - 100 самолетов</w:t>
      </w:r>
    </w:p>
    <w:p w14:paraId="44220CDC" w14:textId="77777777" w:rsidR="006C122B" w:rsidRPr="00640820" w:rsidRDefault="006C122B" w:rsidP="00640820">
      <w:pPr>
        <w:pStyle w:val="47"/>
        <w:shd w:val="clear" w:color="auto" w:fill="auto"/>
        <w:tabs>
          <w:tab w:val="left" w:pos="3673"/>
        </w:tabs>
        <w:spacing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в октябре - 125 самолетов</w:t>
      </w:r>
    </w:p>
    <w:p w14:paraId="69541D20" w14:textId="77777777" w:rsidR="006C122B" w:rsidRPr="00640820" w:rsidRDefault="006C122B" w:rsidP="00640820">
      <w:pPr>
        <w:pStyle w:val="47"/>
        <w:shd w:val="clear" w:color="auto" w:fill="auto"/>
        <w:tabs>
          <w:tab w:val="left" w:pos="3680"/>
        </w:tabs>
        <w:spacing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в ноябре - 150 самолетов</w:t>
      </w:r>
    </w:p>
    <w:p w14:paraId="5AEE4039" w14:textId="77777777" w:rsidR="006C122B" w:rsidRPr="00640820" w:rsidRDefault="006C122B" w:rsidP="00640820">
      <w:pPr>
        <w:pStyle w:val="47"/>
        <w:shd w:val="clear" w:color="auto" w:fill="auto"/>
        <w:tabs>
          <w:tab w:val="left" w:pos="3673"/>
        </w:tabs>
        <w:spacing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в декабре - 180 самолетов.</w:t>
      </w:r>
    </w:p>
    <w:p w14:paraId="01229E42" w14:textId="77777777" w:rsidR="006C122B" w:rsidRPr="00640820" w:rsidRDefault="006C122B" w:rsidP="00640820">
      <w:pPr>
        <w:pStyle w:val="47"/>
        <w:shd w:val="clear" w:color="auto" w:fill="auto"/>
        <w:tabs>
          <w:tab w:val="left" w:pos="1145"/>
        </w:tabs>
        <w:spacing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4. Обязать НКАП (т.Шахурина):</w:t>
      </w:r>
    </w:p>
    <w:p w14:paraId="281DEB65" w14:textId="77777777" w:rsidR="006C122B" w:rsidRPr="00640820" w:rsidRDefault="006C122B" w:rsidP="00640820">
      <w:pPr>
        <w:pStyle w:val="47"/>
        <w:shd w:val="clear" w:color="auto" w:fill="auto"/>
        <w:tabs>
          <w:tab w:val="left" w:pos="2385"/>
        </w:tabs>
        <w:spacing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а) отобрать и доставить на завод № 23 не позднее 1 ян</w:t>
      </w:r>
      <w:r w:rsidRPr="00640820">
        <w:rPr>
          <w:rFonts w:ascii="Times New Roman" w:hAnsi="Times New Roman" w:cs="Times New Roman"/>
          <w:color w:val="000000" w:themeColor="text1"/>
          <w:sz w:val="16"/>
          <w:szCs w:val="16"/>
        </w:rPr>
        <w:softHyphen/>
        <w:t>варя 1942 года из наличия на Казанских заводах НКАП 700 еди</w:t>
      </w:r>
      <w:r w:rsidRPr="00640820">
        <w:rPr>
          <w:rFonts w:ascii="Times New Roman" w:hAnsi="Times New Roman" w:cs="Times New Roman"/>
          <w:color w:val="000000" w:themeColor="text1"/>
          <w:sz w:val="16"/>
          <w:szCs w:val="16"/>
        </w:rPr>
        <w:softHyphen/>
        <w:t>ниц оборудования по спесификации завода № 23;</w:t>
      </w:r>
    </w:p>
    <w:p w14:paraId="1EDC5BFC" w14:textId="77777777" w:rsidR="006C122B" w:rsidRPr="00640820" w:rsidRDefault="006C122B" w:rsidP="00640820">
      <w:pPr>
        <w:pStyle w:val="47"/>
        <w:shd w:val="clear" w:color="auto" w:fill="auto"/>
        <w:tabs>
          <w:tab w:val="left" w:pos="2410"/>
        </w:tabs>
        <w:spacing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б) передать заводу № 23 эвакуированный эавод № 30.</w:t>
      </w:r>
    </w:p>
    <w:p w14:paraId="06C18CCF" w14:textId="77777777" w:rsidR="006C122B" w:rsidRPr="00640820" w:rsidRDefault="006C122B" w:rsidP="00640820">
      <w:pPr>
        <w:pStyle w:val="47"/>
        <w:shd w:val="clear" w:color="auto" w:fill="auto"/>
        <w:tabs>
          <w:tab w:val="left" w:pos="1103"/>
        </w:tabs>
        <w:spacing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5. Обязать Секретаря МГК ВКП(б) - т.Попова и Госплан СССР- т.Сабурова до 1.1-42г. мобилизовать оборудование для завода № 23 на эаводах гор.Москвы, а также эвакуированное оборудова</w:t>
      </w:r>
      <w:r w:rsidRPr="00640820">
        <w:rPr>
          <w:rFonts w:ascii="Times New Roman" w:hAnsi="Times New Roman" w:cs="Times New Roman"/>
          <w:color w:val="000000" w:themeColor="text1"/>
          <w:sz w:val="16"/>
          <w:szCs w:val="16"/>
        </w:rPr>
        <w:softHyphen/>
        <w:t>ние, находящееся на московском железнодорожном узле в количе</w:t>
      </w:r>
      <w:r w:rsidRPr="00640820">
        <w:rPr>
          <w:rFonts w:ascii="Times New Roman" w:hAnsi="Times New Roman" w:cs="Times New Roman"/>
          <w:color w:val="000000" w:themeColor="text1"/>
          <w:sz w:val="16"/>
          <w:szCs w:val="16"/>
        </w:rPr>
        <w:softHyphen/>
        <w:t>стве 400 единиц, по спесификации НКАП.</w:t>
      </w:r>
    </w:p>
    <w:p w14:paraId="4A438A26" w14:textId="77777777" w:rsidR="006C122B" w:rsidRPr="00640820" w:rsidRDefault="006C122B" w:rsidP="00640820">
      <w:pPr>
        <w:pStyle w:val="47"/>
        <w:shd w:val="clear" w:color="auto" w:fill="auto"/>
        <w:tabs>
          <w:tab w:val="left" w:pos="1103"/>
        </w:tabs>
        <w:spacing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6. Обязать Наркомвнешторг - тов.Микояна не повднее 1.П- 1942 г. передать эаводу № 23 импортное оборудование за счет закавов НКАП и других наркоматов в количестве 500 единиц, по спесификации НКАП.</w:t>
      </w:r>
    </w:p>
    <w:p w14:paraId="1C17A4B1" w14:textId="77777777" w:rsidR="006C122B" w:rsidRPr="00640820" w:rsidRDefault="006C122B" w:rsidP="00640820">
      <w:pPr>
        <w:pStyle w:val="47"/>
        <w:shd w:val="clear" w:color="auto" w:fill="auto"/>
        <w:tabs>
          <w:tab w:val="left" w:pos="1138"/>
        </w:tabs>
        <w:spacing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7. Для обеспечения воздухом эавода №</w:t>
      </w:r>
      <w:r w:rsidRPr="00640820">
        <w:rPr>
          <w:rFonts w:ascii="Times New Roman" w:eastAsia="SimHei" w:hAnsi="Times New Roman" w:cs="Times New Roman"/>
          <w:color w:val="000000" w:themeColor="text1"/>
          <w:sz w:val="16"/>
          <w:szCs w:val="16"/>
        </w:rPr>
        <w:t xml:space="preserve"> 23 обяэать:</w:t>
      </w:r>
    </w:p>
    <w:p w14:paraId="5215E408" w14:textId="77777777" w:rsidR="006C122B" w:rsidRPr="00640820" w:rsidRDefault="006C122B" w:rsidP="00640820">
      <w:pPr>
        <w:pStyle w:val="47"/>
        <w:shd w:val="clear" w:color="auto" w:fill="auto"/>
        <w:tabs>
          <w:tab w:val="left" w:pos="1138"/>
        </w:tabs>
        <w:spacing w:line="240" w:lineRule="auto"/>
        <w:ind w:firstLine="0"/>
        <w:jc w:val="both"/>
        <w:rPr>
          <w:rFonts w:ascii="Times New Roman" w:hAnsi="Times New Roman" w:cs="Times New Roman"/>
          <w:color w:val="000000" w:themeColor="text1"/>
          <w:sz w:val="16"/>
          <w:szCs w:val="16"/>
        </w:rPr>
      </w:pPr>
      <w:r w:rsidRPr="00640820">
        <w:rPr>
          <w:rFonts w:ascii="Times New Roman" w:eastAsia="SimHei" w:hAnsi="Times New Roman" w:cs="Times New Roman"/>
          <w:color w:val="000000" w:themeColor="text1"/>
          <w:sz w:val="16"/>
          <w:szCs w:val="16"/>
        </w:rPr>
        <w:t>а)Метрострой НКПС - т.Самодурова немедленно передать</w:t>
      </w:r>
      <w:r w:rsidRPr="00640820">
        <w:rPr>
          <w:rFonts w:ascii="Times New Roman" w:hAnsi="Times New Roman" w:cs="Times New Roman"/>
          <w:color w:val="000000" w:themeColor="text1"/>
          <w:sz w:val="16"/>
          <w:szCs w:val="16"/>
        </w:rPr>
        <w:t xml:space="preserve"> эаводу № 23 один 100 куб.компрессор;</w:t>
      </w:r>
    </w:p>
    <w:p w14:paraId="2CD9D68E" w14:textId="77777777" w:rsidR="006C122B" w:rsidRPr="00640820" w:rsidRDefault="006C122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НКАП - т.Шахурина вернуть из Кавани к 1.1-42 года на эавод № 23 два 60 кубовых компрессора иэ числа эвакуирован</w:t>
      </w:r>
      <w:r w:rsidRPr="00640820">
        <w:rPr>
          <w:rFonts w:ascii="Times New Roman" w:hAnsi="Times New Roman"/>
          <w:color w:val="000000" w:themeColor="text1"/>
          <w:sz w:val="16"/>
          <w:szCs w:val="16"/>
        </w:rPr>
        <w:softHyphen/>
        <w:t>ных с завода № 22.</w:t>
      </w:r>
    </w:p>
    <w:p w14:paraId="3C08E2A6" w14:textId="77777777" w:rsidR="006C122B" w:rsidRPr="00640820" w:rsidRDefault="006C122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Компрессора передать вместе со всей пусковой аппарату</w:t>
      </w:r>
      <w:r w:rsidRPr="00640820">
        <w:rPr>
          <w:rFonts w:ascii="Times New Roman" w:hAnsi="Times New Roman"/>
          <w:color w:val="000000" w:themeColor="text1"/>
          <w:sz w:val="16"/>
          <w:szCs w:val="16"/>
        </w:rPr>
        <w:softHyphen/>
        <w:t>рой, рессиверами и обвязкой.</w:t>
      </w:r>
    </w:p>
    <w:p w14:paraId="3BEBC4B6" w14:textId="77777777" w:rsidR="006C122B" w:rsidRPr="00640820" w:rsidRDefault="006C122B" w:rsidP="00640820">
      <w:pPr>
        <w:tabs>
          <w:tab w:val="left" w:pos="928"/>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Для восстановления силового хозяйства обязать Наокомзем - т.Бенедиктова И.А.:</w:t>
      </w:r>
    </w:p>
    <w:p w14:paraId="5EE63BC1" w14:textId="77777777" w:rsidR="006C122B" w:rsidRPr="00640820" w:rsidRDefault="006C122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передать для завода № 23 с Всесоюзной Сельскохозяй</w:t>
      </w:r>
      <w:r w:rsidRPr="00640820">
        <w:rPr>
          <w:rFonts w:ascii="Times New Roman" w:hAnsi="Times New Roman"/>
          <w:color w:val="000000" w:themeColor="text1"/>
          <w:sz w:val="16"/>
          <w:szCs w:val="16"/>
        </w:rPr>
        <w:softHyphen/>
        <w:t>ственной выставки:</w:t>
      </w:r>
    </w:p>
    <w:p w14:paraId="418F3973" w14:textId="77777777" w:rsidR="006C122B" w:rsidRPr="00640820" w:rsidRDefault="006C122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два трансформатора по 560 ква один трансформатор на 1000 ква &amp; а трансформатора по 320 ква один трансформатор на 160 ква;</w:t>
      </w:r>
    </w:p>
    <w:p w14:paraId="2E9BBE8E" w14:textId="77777777" w:rsidR="006C122B" w:rsidRPr="00640820" w:rsidRDefault="006C122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НКАП - т.Шахурина укомплектовать завод № 23 осталь</w:t>
      </w:r>
      <w:r w:rsidRPr="00640820">
        <w:rPr>
          <w:rFonts w:ascii="Times New Roman" w:hAnsi="Times New Roman"/>
          <w:color w:val="000000" w:themeColor="text1"/>
          <w:sz w:val="16"/>
          <w:szCs w:val="16"/>
        </w:rPr>
        <w:softHyphen/>
        <w:t>ными силовыми трансформаторами, из числа эвакуированных с эа- водов, в первую очередь с завода № 22 в Казани.</w:t>
      </w:r>
    </w:p>
    <w:p w14:paraId="27EA15E5" w14:textId="77777777" w:rsidR="006C122B" w:rsidRPr="00640820" w:rsidRDefault="006C122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 трансформаторы должны быть переданы с масляными вык</w:t>
      </w:r>
      <w:r w:rsidRPr="00640820">
        <w:rPr>
          <w:rFonts w:ascii="Times New Roman" w:hAnsi="Times New Roman"/>
          <w:color w:val="000000" w:themeColor="text1"/>
          <w:sz w:val="16"/>
          <w:szCs w:val="16"/>
        </w:rPr>
        <w:softHyphen/>
        <w:t>лючателями, трансформаторами тока, реле и прочей необходимой аппаратурой.</w:t>
      </w:r>
    </w:p>
    <w:p w14:paraId="5A56B088" w14:textId="77777777" w:rsidR="006C122B" w:rsidRPr="00640820" w:rsidRDefault="006C122B" w:rsidP="00640820">
      <w:pPr>
        <w:tabs>
          <w:tab w:val="left" w:pos="943"/>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Обивать Наркомтяямаш - т.Казакова обеспечить, начиная с 25 декабря 1941 года, поставку заводу № 23 ежедневно 250 бал</w:t>
      </w:r>
      <w:r w:rsidRPr="00640820">
        <w:rPr>
          <w:rFonts w:ascii="Times New Roman" w:hAnsi="Times New Roman"/>
          <w:color w:val="000000" w:themeColor="text1"/>
          <w:sz w:val="16"/>
          <w:szCs w:val="16"/>
        </w:rPr>
        <w:softHyphen/>
        <w:t>лонов кислорода с тарой.</w:t>
      </w:r>
    </w:p>
    <w:p w14:paraId="4ABF300A" w14:textId="77777777" w:rsidR="006C122B" w:rsidRPr="00640820" w:rsidRDefault="006C122B" w:rsidP="00640820">
      <w:pPr>
        <w:tabs>
          <w:tab w:val="left" w:pos="1058"/>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Обяэать:</w:t>
      </w:r>
    </w:p>
    <w:p w14:paraId="23A2D949" w14:textId="77777777" w:rsidR="006C122B" w:rsidRPr="00640820" w:rsidRDefault="006C122B" w:rsidP="00640820">
      <w:pPr>
        <w:tabs>
          <w:tab w:val="left" w:pos="2495"/>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Наркомсредмаш - т.Акопова поставить заводу № 23 до 1-го января 1942 г.- 50 автомашин ГАЗ;</w:t>
      </w:r>
    </w:p>
    <w:p w14:paraId="39767D58" w14:textId="77777777" w:rsidR="006C122B" w:rsidRPr="00640820" w:rsidRDefault="006C122B" w:rsidP="00640820">
      <w:pPr>
        <w:tabs>
          <w:tab w:val="left" w:pos="1430"/>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НКАП - т.Шахурина выделить с заводов НКАП и поставить заводу № 23 до 1.1-?2г. - 50 автомашин.</w:t>
      </w:r>
    </w:p>
    <w:p w14:paraId="11B358D0" w14:textId="77777777" w:rsidR="006C122B" w:rsidRPr="00640820" w:rsidRDefault="006C122B" w:rsidP="00640820">
      <w:pPr>
        <w:tabs>
          <w:tab w:val="left" w:pos="1063"/>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Обязать Нарпомташс</w:t>
      </w:r>
      <w:r w:rsidRPr="00640820">
        <w:rPr>
          <w:rFonts w:ascii="Times New Roman" w:hAnsi="Times New Roman"/>
          <w:color w:val="000000" w:themeColor="text1"/>
          <w:sz w:val="16"/>
          <w:szCs w:val="16"/>
          <w:lang w:val="en-US"/>
        </w:rPr>
        <w:t>onptfiS</w:t>
      </w:r>
      <w:r w:rsidRPr="00640820">
        <w:rPr>
          <w:rFonts w:ascii="Times New Roman" w:hAnsi="Times New Roman"/>
          <w:color w:val="000000" w:themeColor="text1"/>
          <w:sz w:val="16"/>
          <w:szCs w:val="16"/>
        </w:rPr>
        <w:t xml:space="preserve"> выделить эаводу № 23 по спе- сификации иэ наличия московских баз до 15 января 1942 года инструмент на сумму 600 тыс.рублей, в том числе: режущего ин</w:t>
      </w:r>
      <w:r w:rsidRPr="00640820">
        <w:rPr>
          <w:rFonts w:ascii="Times New Roman" w:hAnsi="Times New Roman"/>
          <w:color w:val="000000" w:themeColor="text1"/>
          <w:sz w:val="16"/>
          <w:szCs w:val="16"/>
        </w:rPr>
        <w:softHyphen/>
        <w:t>струмента на 150 тыс.рублей, быстрорежущего инструмента,сверл и напильников на 100 тыс.рублей.</w:t>
      </w:r>
    </w:p>
    <w:p w14:paraId="2862CDC0" w14:textId="77777777" w:rsidR="006C122B" w:rsidRPr="00640820" w:rsidRDefault="006C122B" w:rsidP="00640820">
      <w:pPr>
        <w:tabs>
          <w:tab w:val="left" w:pos="1058"/>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Обязать Моссовет - т.Пронина выделить не позднее 20 декабря с,г. для производства восстановительных и монтажных работ в распоряжение завода</w:t>
      </w:r>
      <w:r w:rsidRPr="00640820">
        <w:rPr>
          <w:rStyle w:val="TrebuchetMS0"/>
          <w:rFonts w:ascii="Times New Roman" w:hAnsi="Times New Roman" w:cs="Times New Roman"/>
          <w:color w:val="000000" w:themeColor="text1"/>
          <w:sz w:val="16"/>
          <w:szCs w:val="16"/>
        </w:rPr>
        <w:t xml:space="preserve"> № 23</w:t>
      </w:r>
      <w:r w:rsidRPr="00640820">
        <w:rPr>
          <w:rFonts w:ascii="Times New Roman" w:hAnsi="Times New Roman"/>
          <w:color w:val="000000" w:themeColor="text1"/>
          <w:sz w:val="16"/>
          <w:szCs w:val="16"/>
        </w:rPr>
        <w:t xml:space="preserve"> - 250 человек монтажников из организации Мосэнергомонтаж, на срок до окончания монтажа.</w:t>
      </w:r>
    </w:p>
    <w:p w14:paraId="717BFC57" w14:textId="77777777" w:rsidR="006C122B" w:rsidRPr="00640820" w:rsidRDefault="006C122B" w:rsidP="00640820">
      <w:pPr>
        <w:tabs>
          <w:tab w:val="left" w:pos="1055"/>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Для укомплектования завода № 23 инженерно-техничес</w:t>
      </w:r>
      <w:r w:rsidRPr="00640820">
        <w:rPr>
          <w:rFonts w:ascii="Times New Roman" w:hAnsi="Times New Roman"/>
          <w:color w:val="000000" w:themeColor="text1"/>
          <w:sz w:val="16"/>
          <w:szCs w:val="16"/>
        </w:rPr>
        <w:softHyphen/>
        <w:t>кими работниками и рабочими обязать НКАП т.Шахурина:</w:t>
      </w:r>
    </w:p>
    <w:p w14:paraId="3C8C7B49" w14:textId="77777777" w:rsidR="006C122B" w:rsidRPr="00640820" w:rsidRDefault="006C122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перевеэти не позднее 25 декабря с.г. с казанских и куй</w:t>
      </w:r>
      <w:r w:rsidRPr="00640820">
        <w:rPr>
          <w:rFonts w:ascii="Times New Roman" w:hAnsi="Times New Roman"/>
          <w:color w:val="000000" w:themeColor="text1"/>
          <w:sz w:val="16"/>
          <w:szCs w:val="16"/>
        </w:rPr>
        <w:softHyphen/>
        <w:t>бышевских эаводов НКАП - 200 человек технологов, конструкторов по инструменту и приспособлениям и не позднее 1-го января 1942 года с завода № 22: мастеров - 250 человек, ИТР - 250чел. контролеров - 100 человек;</w:t>
      </w:r>
    </w:p>
    <w:p w14:paraId="746265B9" w14:textId="77777777" w:rsidR="006C122B" w:rsidRPr="00640820" w:rsidRDefault="006C122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б)организовать на заводе № 23 к 1.1-42г. ив работников Оргавиапрома и Гипроавио </w:t>
      </w:r>
      <w:r w:rsidRPr="00640820">
        <w:rPr>
          <w:rFonts w:ascii="Times New Roman" w:hAnsi="Times New Roman"/>
          <w:color w:val="000000" w:themeColor="text1"/>
          <w:sz w:val="16"/>
          <w:szCs w:val="16"/>
          <w:lang w:val="en-US"/>
        </w:rPr>
        <w:t>rpy</w:t>
      </w:r>
      <w:r w:rsidRPr="00640820">
        <w:rPr>
          <w:rFonts w:ascii="Times New Roman" w:hAnsi="Times New Roman"/>
          <w:color w:val="000000" w:themeColor="text1"/>
          <w:sz w:val="16"/>
          <w:szCs w:val="16"/>
        </w:rPr>
        <w:t>пп</w:t>
      </w:r>
      <w:r w:rsidRPr="00640820">
        <w:rPr>
          <w:rFonts w:ascii="Times New Roman" w:hAnsi="Times New Roman"/>
          <w:color w:val="000000" w:themeColor="text1"/>
          <w:sz w:val="16"/>
          <w:szCs w:val="16"/>
          <w:lang w:val="en-US"/>
        </w:rPr>
        <w:t>v</w:t>
      </w:r>
      <w:r w:rsidRPr="00640820">
        <w:rPr>
          <w:rFonts w:ascii="Times New Roman" w:hAnsi="Times New Roman"/>
          <w:color w:val="000000" w:themeColor="text1"/>
          <w:sz w:val="16"/>
          <w:szCs w:val="16"/>
        </w:rPr>
        <w:t xml:space="preserve"> технологов и конструкторов приспособленцев в количестве 300 человек во главе с начальни</w:t>
      </w:r>
      <w:r w:rsidRPr="00640820">
        <w:rPr>
          <w:rFonts w:ascii="Times New Roman" w:hAnsi="Times New Roman"/>
          <w:color w:val="000000" w:themeColor="text1"/>
          <w:sz w:val="16"/>
          <w:szCs w:val="16"/>
        </w:rPr>
        <w:softHyphen/>
        <w:t>ком Оргавиапрома - т.Лисицыным.</w:t>
      </w:r>
    </w:p>
    <w:p w14:paraId="7DE571F9" w14:textId="77777777" w:rsidR="006C122B" w:rsidRPr="00640820" w:rsidRDefault="006C122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Обязать Московский городской комитет ВКП(б) т.Попова оказать НКАП содействие в наборе для завода № 23 500 инженерно технических работников и 7000 рабочих различных специальностей за счет оставшихся от эвакуированных предприятий г.Москвы.</w:t>
      </w:r>
    </w:p>
    <w:p w14:paraId="665262C1" w14:textId="77777777" w:rsidR="006C122B" w:rsidRPr="00640820" w:rsidRDefault="006C122B" w:rsidP="00640820">
      <w:pPr>
        <w:tabs>
          <w:tab w:val="left" w:pos="1063"/>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Обяэать Наркомат танковой промышленности - т.Малыше</w:t>
      </w:r>
      <w:r w:rsidRPr="00640820">
        <w:rPr>
          <w:rFonts w:ascii="Times New Roman" w:hAnsi="Times New Roman"/>
          <w:color w:val="000000" w:themeColor="text1"/>
          <w:sz w:val="16"/>
          <w:szCs w:val="16"/>
        </w:rPr>
        <w:softHyphen/>
        <w:t>ва на Кировском заводе (г.Челябинск) производить штамповку 24 наименований крупных деталей самолета 103, обеспечив их своими штампами.</w:t>
      </w:r>
    </w:p>
    <w:p w14:paraId="01A3655A" w14:textId="77777777" w:rsidR="006C122B" w:rsidRPr="00640820" w:rsidRDefault="006C122B" w:rsidP="00640820">
      <w:pPr>
        <w:tabs>
          <w:tab w:val="left" w:pos="1070"/>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Обязать НКАП - т.Шахурина разместить на эаводах НКАП заказы по изготовлению станковых приспособлений, кондукторов и штампов в количестве 400 наименований  по чертежам и техни</w:t>
      </w:r>
      <w:r w:rsidRPr="00640820">
        <w:rPr>
          <w:rFonts w:ascii="Times New Roman" w:hAnsi="Times New Roman"/>
          <w:color w:val="000000" w:themeColor="text1"/>
          <w:sz w:val="16"/>
          <w:szCs w:val="16"/>
        </w:rPr>
        <w:softHyphen/>
        <w:t>ческим условиям завода 23, со сроками поставки: 200 наимено</w:t>
      </w:r>
      <w:r w:rsidRPr="00640820">
        <w:rPr>
          <w:rFonts w:ascii="Times New Roman" w:hAnsi="Times New Roman"/>
          <w:color w:val="000000" w:themeColor="text1"/>
          <w:sz w:val="16"/>
          <w:szCs w:val="16"/>
        </w:rPr>
        <w:softHyphen/>
        <w:t>ваний - к 15.Ш-42г. и 200 наименований - к 15.1У-42г.</w:t>
      </w:r>
    </w:p>
    <w:p w14:paraId="7473DC00" w14:textId="77777777" w:rsidR="006C122B" w:rsidRPr="00640820" w:rsidRDefault="006C122B" w:rsidP="00640820">
      <w:pPr>
        <w:tabs>
          <w:tab w:val="left" w:pos="1070"/>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Обязать НКАП - т.Шахурина совместно с НКПС - т.Кагановичем составить график перевозок оборудования.инженерно-техни- ческого персонала*и рабочих для завода № 23, а НКПС - т.Кагано вичу обеспечить перевозку по графику до 1,1-42г.</w:t>
      </w:r>
    </w:p>
    <w:p w14:paraId="1BCBCF95" w14:textId="77777777" w:rsidR="006C122B" w:rsidRPr="00640820" w:rsidRDefault="006C122B" w:rsidP="00640820">
      <w:pPr>
        <w:tabs>
          <w:tab w:val="left" w:pos="1070"/>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Обяэать Наркомфин СССР - т.Зверева выделить из ре</w:t>
      </w:r>
      <w:r w:rsidRPr="00640820">
        <w:rPr>
          <w:rFonts w:ascii="Times New Roman" w:hAnsi="Times New Roman"/>
          <w:color w:val="000000" w:themeColor="text1"/>
          <w:sz w:val="16"/>
          <w:szCs w:val="16"/>
        </w:rPr>
        <w:softHyphen/>
        <w:t>зервного фонда СНК СССР - 21 млн.рублей на постановку ново</w:t>
      </w:r>
      <w:r w:rsidRPr="00640820">
        <w:rPr>
          <w:rFonts w:ascii="Times New Roman" w:hAnsi="Times New Roman"/>
          <w:color w:val="000000" w:themeColor="text1"/>
          <w:sz w:val="16"/>
          <w:szCs w:val="16"/>
        </w:rPr>
        <w:softHyphen/>
        <w:t>го производства самолетов 103 по смете, представленной заво</w:t>
      </w:r>
      <w:r w:rsidRPr="00640820">
        <w:rPr>
          <w:rFonts w:ascii="Times New Roman" w:hAnsi="Times New Roman"/>
          <w:color w:val="000000" w:themeColor="text1"/>
          <w:sz w:val="16"/>
          <w:szCs w:val="16"/>
        </w:rPr>
        <w:softHyphen/>
        <w:t>дом № 23.</w:t>
      </w:r>
    </w:p>
    <w:p w14:paraId="74E75593" w14:textId="77777777" w:rsidR="006C122B" w:rsidRPr="00640820" w:rsidRDefault="006C122B" w:rsidP="00640820">
      <w:pPr>
        <w:tabs>
          <w:tab w:val="left" w:pos="1070"/>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Обязать Наркомторг СССР - т.Любимова восстановить к 25.ХП.41г. закрытую торговую сеть и общественное питание для обеспечения инженерно-технических работников, рабочих и служащих завода № 23 по нормам и контингентам, установленным для действующих заводов авиапромышленности.</w:t>
      </w:r>
    </w:p>
    <w:p w14:paraId="69CAEF6C" w14:textId="77777777" w:rsidR="006C122B" w:rsidRPr="00640820" w:rsidRDefault="006C122B" w:rsidP="00640820">
      <w:pPr>
        <w:pStyle w:val="47"/>
        <w:shd w:val="clear" w:color="auto" w:fill="auto"/>
        <w:spacing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20. Обязать Заместителя Наркома - т.Дементьева повседнев</w:t>
      </w:r>
      <w:r w:rsidRPr="00640820">
        <w:rPr>
          <w:rFonts w:ascii="Times New Roman" w:hAnsi="Times New Roman" w:cs="Times New Roman"/>
          <w:color w:val="000000" w:themeColor="text1"/>
          <w:sz w:val="16"/>
          <w:szCs w:val="16"/>
        </w:rPr>
        <w:softHyphen/>
        <w:t>но, непосредственно заниматься организацией завода № 23 и обе</w:t>
      </w:r>
      <w:r w:rsidRPr="00640820">
        <w:rPr>
          <w:rFonts w:ascii="Times New Roman" w:hAnsi="Times New Roman" w:cs="Times New Roman"/>
          <w:color w:val="000000" w:themeColor="text1"/>
          <w:sz w:val="16"/>
          <w:szCs w:val="16"/>
        </w:rPr>
        <w:softHyphen/>
        <w:t>спечить своевременный пуск его в соответствии со сроками ус</w:t>
      </w:r>
      <w:r w:rsidRPr="00640820">
        <w:rPr>
          <w:rFonts w:ascii="Times New Roman" w:hAnsi="Times New Roman" w:cs="Times New Roman"/>
          <w:color w:val="000000" w:themeColor="text1"/>
          <w:sz w:val="16"/>
          <w:szCs w:val="16"/>
        </w:rPr>
        <w:softHyphen/>
        <w:t>тановленными настоящим постановлением (19291).</w:t>
      </w:r>
    </w:p>
    <w:p w14:paraId="294FE85D" w14:textId="77777777" w:rsidR="006C122B" w:rsidRPr="00640820" w:rsidRDefault="006C122B" w:rsidP="00640820">
      <w:pPr>
        <w:autoSpaceDE w:val="0"/>
        <w:autoSpaceDN w:val="0"/>
        <w:adjustRightInd w:val="0"/>
        <w:spacing w:after="0" w:line="240" w:lineRule="auto"/>
        <w:jc w:val="both"/>
        <w:rPr>
          <w:rFonts w:ascii="Times New Roman" w:hAnsi="Times New Roman"/>
          <w:color w:val="000000" w:themeColor="text1"/>
          <w:sz w:val="16"/>
          <w:szCs w:val="16"/>
        </w:rPr>
      </w:pPr>
    </w:p>
    <w:p w14:paraId="799201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декабря 1941 вышло постановление ГКО N 1039сс которым было поставлено на заводе 23 производство самолетов 103 (1327,19).</w:t>
      </w:r>
    </w:p>
    <w:p w14:paraId="714B34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Это было постановление ГКО N 1039сс и оно говорило о производстве на 23 заводе и Ил-2 (1526,39).</w:t>
      </w:r>
    </w:p>
    <w:p w14:paraId="6D37C14C" w14:textId="77777777" w:rsidR="006B7E44" w:rsidRPr="00640820" w:rsidRDefault="006B7E44" w:rsidP="00640820">
      <w:pPr>
        <w:autoSpaceDE w:val="0"/>
        <w:autoSpaceDN w:val="0"/>
        <w:adjustRightInd w:val="0"/>
        <w:spacing w:after="0" w:line="240" w:lineRule="auto"/>
        <w:jc w:val="both"/>
        <w:rPr>
          <w:rFonts w:ascii="Times New Roman" w:hAnsi="Times New Roman"/>
          <w:color w:val="000000" w:themeColor="text1"/>
          <w:sz w:val="16"/>
          <w:szCs w:val="16"/>
        </w:rPr>
      </w:pPr>
    </w:p>
    <w:p w14:paraId="2FD410B9" w14:textId="6E4691D8" w:rsidR="003E3671" w:rsidRPr="00640820" w:rsidRDefault="003E3671" w:rsidP="00640820">
      <w:pPr>
        <w:spacing w:after="0" w:line="240" w:lineRule="auto"/>
        <w:jc w:val="both"/>
        <w:rPr>
          <w:rFonts w:ascii="Times New Roman" w:hAnsi="Times New Roman"/>
          <w:color w:val="0070C0"/>
          <w:sz w:val="16"/>
          <w:szCs w:val="16"/>
          <w:lang w:eastAsia="ru-RU" w:bidi="ru-RU"/>
        </w:rPr>
      </w:pPr>
      <w:r w:rsidRPr="00640820">
        <w:rPr>
          <w:rFonts w:ascii="Times New Roman" w:hAnsi="Times New Roman"/>
          <w:color w:val="0070C0"/>
          <w:sz w:val="16"/>
          <w:szCs w:val="16"/>
          <w:lang w:eastAsia="ru-RU" w:bidi="ru-RU"/>
        </w:rPr>
        <w:t>17 де</w:t>
      </w:r>
      <w:r w:rsidRPr="00640820">
        <w:rPr>
          <w:rFonts w:ascii="Times New Roman" w:hAnsi="Times New Roman"/>
          <w:color w:val="0070C0"/>
          <w:sz w:val="16"/>
          <w:szCs w:val="16"/>
          <w:lang w:eastAsia="ru-RU" w:bidi="ru-RU"/>
        </w:rPr>
        <w:softHyphen/>
        <w:t>кабря 1941 г. вышло постановление ГКО по организации в цехах вы</w:t>
      </w:r>
      <w:r w:rsidRPr="00640820">
        <w:rPr>
          <w:rFonts w:ascii="Times New Roman" w:hAnsi="Times New Roman"/>
          <w:color w:val="0070C0"/>
          <w:sz w:val="16"/>
          <w:szCs w:val="16"/>
          <w:lang w:eastAsia="ru-RU" w:bidi="ru-RU"/>
        </w:rPr>
        <w:softHyphen/>
        <w:t>везенного завода №22 нового завода №23. Там хотели наладить сборку «103У» с мо</w:t>
      </w:r>
      <w:r w:rsidRPr="00640820">
        <w:rPr>
          <w:rFonts w:ascii="Times New Roman" w:hAnsi="Times New Roman"/>
          <w:color w:val="0070C0"/>
          <w:sz w:val="16"/>
          <w:szCs w:val="16"/>
          <w:lang w:eastAsia="ru-RU" w:bidi="ru-RU"/>
        </w:rPr>
        <w:softHyphen/>
        <w:t>торами АМ-37. Оборудование рассчиты</w:t>
      </w:r>
      <w:r w:rsidRPr="00640820">
        <w:rPr>
          <w:rFonts w:ascii="Times New Roman" w:hAnsi="Times New Roman"/>
          <w:color w:val="0070C0"/>
          <w:sz w:val="16"/>
          <w:szCs w:val="16"/>
          <w:lang w:eastAsia="ru-RU" w:bidi="ru-RU"/>
        </w:rPr>
        <w:softHyphen/>
        <w:t>вали собрать с различных московских предприятий. Постановление предусматривало пере</w:t>
      </w:r>
      <w:r w:rsidRPr="00640820">
        <w:rPr>
          <w:rFonts w:ascii="Times New Roman" w:hAnsi="Times New Roman"/>
          <w:color w:val="0070C0"/>
          <w:sz w:val="16"/>
          <w:szCs w:val="16"/>
          <w:lang w:eastAsia="ru-RU" w:bidi="ru-RU"/>
        </w:rPr>
        <w:softHyphen/>
        <w:t>дачу заводу 500 станков отовсюду. Транс</w:t>
      </w:r>
      <w:r w:rsidRPr="00640820">
        <w:rPr>
          <w:rFonts w:ascii="Times New Roman" w:hAnsi="Times New Roman"/>
          <w:color w:val="0070C0"/>
          <w:sz w:val="16"/>
          <w:szCs w:val="16"/>
          <w:lang w:eastAsia="ru-RU" w:bidi="ru-RU"/>
        </w:rPr>
        <w:softHyphen/>
        <w:t>форматоры, например, забирали с ВСХВ. Пошли даже на беспрецендентный шаг - распорядились вернуть из Казани 800 ра</w:t>
      </w:r>
      <w:r w:rsidRPr="00640820">
        <w:rPr>
          <w:rFonts w:ascii="Times New Roman" w:hAnsi="Times New Roman"/>
          <w:color w:val="0070C0"/>
          <w:sz w:val="16"/>
          <w:szCs w:val="16"/>
          <w:lang w:eastAsia="ru-RU" w:bidi="ru-RU"/>
        </w:rPr>
        <w:softHyphen/>
        <w:t>бочих и часть оборудования. На развер</w:t>
      </w:r>
      <w:r w:rsidRPr="00640820">
        <w:rPr>
          <w:rFonts w:ascii="Times New Roman" w:hAnsi="Times New Roman"/>
          <w:color w:val="0070C0"/>
          <w:sz w:val="16"/>
          <w:szCs w:val="16"/>
          <w:lang w:eastAsia="ru-RU" w:bidi="ru-RU"/>
        </w:rPr>
        <w:softHyphen/>
        <w:t>тывание предприятия выделили 21 мил</w:t>
      </w:r>
      <w:r w:rsidRPr="00640820">
        <w:rPr>
          <w:rFonts w:ascii="Times New Roman" w:hAnsi="Times New Roman"/>
          <w:color w:val="0070C0"/>
          <w:sz w:val="16"/>
          <w:szCs w:val="16"/>
          <w:lang w:eastAsia="ru-RU" w:bidi="ru-RU"/>
        </w:rPr>
        <w:softHyphen/>
        <w:t>лион рублей. Первые два самолета тре</w:t>
      </w:r>
      <w:r w:rsidRPr="00640820">
        <w:rPr>
          <w:rFonts w:ascii="Times New Roman" w:hAnsi="Times New Roman"/>
          <w:color w:val="0070C0"/>
          <w:sz w:val="16"/>
          <w:szCs w:val="16"/>
          <w:lang w:eastAsia="ru-RU" w:bidi="ru-RU"/>
        </w:rPr>
        <w:softHyphen/>
        <w:t>бовалось сдать в мае 1942 г., а к 1 января 1943 г. изготовить 667 машин. А.А. Микулин уверял, что сможет раз</w:t>
      </w:r>
      <w:r w:rsidRPr="00640820">
        <w:rPr>
          <w:rFonts w:ascii="Times New Roman" w:hAnsi="Times New Roman"/>
          <w:color w:val="0070C0"/>
          <w:sz w:val="16"/>
          <w:szCs w:val="16"/>
          <w:lang w:eastAsia="ru-RU" w:bidi="ru-RU"/>
        </w:rPr>
        <w:softHyphen/>
        <w:t>вернуть крупносерийное производство АМ-37 на заводе №24, эвакуированном в Куйбышев. Но ставка на «103У» яв</w:t>
      </w:r>
      <w:r w:rsidRPr="00640820">
        <w:rPr>
          <w:rFonts w:ascii="Times New Roman" w:hAnsi="Times New Roman"/>
          <w:color w:val="0070C0"/>
          <w:sz w:val="16"/>
          <w:szCs w:val="16"/>
          <w:lang w:eastAsia="ru-RU" w:bidi="ru-RU"/>
        </w:rPr>
        <w:softHyphen/>
        <w:t>лялась дорогой в тупик. Дело в том, что исключительная важность, придаваемая штурмовикам Ил-2, привела к тому, что моторов АМ-38 требовалось все больше. Увеличить их выпуск проще всего было за счет свертывания сборки сходных АМ-35А. Так и сделали. А необходимые для «103У» АМ-37 просто не стали запускать в круп</w:t>
      </w:r>
      <w:r w:rsidRPr="00640820">
        <w:rPr>
          <w:rFonts w:ascii="Times New Roman" w:hAnsi="Times New Roman"/>
          <w:color w:val="0070C0"/>
          <w:sz w:val="16"/>
          <w:szCs w:val="16"/>
          <w:lang w:eastAsia="ru-RU" w:bidi="ru-RU"/>
        </w:rPr>
        <w:softHyphen/>
        <w:t>носерийное производство. Зато в Моло</w:t>
      </w:r>
      <w:r w:rsidRPr="00640820">
        <w:rPr>
          <w:rFonts w:ascii="Times New Roman" w:hAnsi="Times New Roman"/>
          <w:color w:val="0070C0"/>
          <w:sz w:val="16"/>
          <w:szCs w:val="16"/>
          <w:lang w:eastAsia="ru-RU" w:bidi="ru-RU"/>
        </w:rPr>
        <w:softHyphen/>
        <w:t>тове на заводе №19 скопились сотни не</w:t>
      </w:r>
      <w:r w:rsidRPr="00640820">
        <w:rPr>
          <w:rFonts w:ascii="Times New Roman" w:hAnsi="Times New Roman"/>
          <w:color w:val="0070C0"/>
          <w:sz w:val="16"/>
          <w:szCs w:val="16"/>
          <w:lang w:eastAsia="ru-RU" w:bidi="ru-RU"/>
        </w:rPr>
        <w:softHyphen/>
        <w:t>востребованных двигателей М-82А (21061).</w:t>
      </w:r>
    </w:p>
    <w:p w14:paraId="75925D33" w14:textId="77777777" w:rsidR="003E3671" w:rsidRPr="00640820" w:rsidRDefault="003E3671" w:rsidP="00640820">
      <w:pPr>
        <w:spacing w:after="0" w:line="240" w:lineRule="auto"/>
        <w:jc w:val="both"/>
        <w:rPr>
          <w:rFonts w:ascii="Times New Roman" w:hAnsi="Times New Roman"/>
          <w:color w:val="0070C0"/>
          <w:sz w:val="16"/>
          <w:szCs w:val="16"/>
        </w:rPr>
      </w:pPr>
    </w:p>
    <w:p w14:paraId="0EFF77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17 декабря 1941 г. в соответствии с решением ГКО № 1039сс и приказом НКАП № 1170сс от 18.12.1941 г. на территории эвакуированного в г. Казань в 1941 г. завода № 22 НКАП в г. Москве (Фили) был образован новый авиационный завод № 23 НКАП в системе 1ГУ. Для комплектования нового завода планировалось передать </w:t>
      </w:r>
      <w:r w:rsidRPr="00640820">
        <w:rPr>
          <w:rFonts w:ascii="Times New Roman" w:hAnsi="Times New Roman"/>
          <w:color w:val="000000" w:themeColor="text1"/>
          <w:sz w:val="16"/>
          <w:szCs w:val="16"/>
        </w:rPr>
        <w:lastRenderedPageBreak/>
        <w:t xml:space="preserve">ему мощности бывшего завода № 30 НКАП. Было передано большое количество оборудования с заводов № 22, 124, 16; направлены кадры с заводов № 1, 16, 22, 24 и 124. По приказу № 79сс от 26.01.1942 г. на завод передана часть оборудования и кадров расформированного завода № 135 НКАП. </w:t>
      </w:r>
    </w:p>
    <w:p w14:paraId="799ECD1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соответствии с постановлением № ГОКО-1398сс от 6.03.1942 г. и приказом № 227сс от 21.03.1942 г. в Москву на завод № 23 (планировалось сначала на завод № 81) переведен к 05.1942 г. завод № 458 НКАП из Баку со всем оборудованием и личным составом и влит в его состав. </w:t>
      </w:r>
    </w:p>
    <w:p w14:paraId="5C2EA9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384с от 15.05.1942 г. завод № 497 (бывшая мебельная фабрика № 2 им. Мазевского; г. Москва ул. Дубнинская, 68) подчинен на правах филиала заводу № 23 для улучшения организации производства Ил-4. Начальник филиала- Д.И. Степин.</w:t>
      </w:r>
    </w:p>
    <w:p w14:paraId="052570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Существовал филиал завода № 23 (бывшая Нотнопечатная фабрика), действовавший в 10ГУ. По приказу № 633с от 18.08.1942 г. он был передан заводу № 482 НКАП.</w:t>
      </w:r>
    </w:p>
    <w:p w14:paraId="0865D5B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соответствии с приказом НКАП № 706с от 24.11.1943 г. в состав завода № 23 с 1.11.1943 г. влит опытный завод № 117 НКАП (из Читы) и образован объединенный завод № 23 НКАП. </w:t>
      </w:r>
    </w:p>
    <w:p w14:paraId="45C3EA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1950-х гг. строились опытные бомбардировщики М-50 и М-52.</w:t>
      </w:r>
    </w:p>
    <w:p w14:paraId="08024CA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середины 1960 г. на заводе осуществлялась сборка самолета «РСР» П.В. Цыбина.</w:t>
      </w:r>
    </w:p>
    <w:p w14:paraId="5B4246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1960 г.- производственная база ОКБ Челомея. </w:t>
      </w:r>
    </w:p>
    <w:p w14:paraId="188470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3.07.1961 г. завод № 23 переименован в Машиностроительный завод им. М.В. Хруничева.77 </w:t>
      </w:r>
    </w:p>
    <w:p w14:paraId="2BE92E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1962 г. предприятие было перепрофилировано на ракетно-космическую тематику. Проведена реконструкция, введено в строй 10 новых цехов, информационно-вычислительный центр.</w:t>
      </w:r>
    </w:p>
    <w:p w14:paraId="2B97F1E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от 6.03.1966 г. Машиностроительный завод им. М.В. Хруничева из системы СНХ передан в подчинение 1ГУ МОМ. 7.06.1993 г. МЗ им. Хруничева и ОКБ «Салют» объединились в ГК НПЦ им. Хруничева. В 1995 г. МЗ им. М.В. Хруничева объединился с НПО "Молния". По Указу Президента РФ № 1009 от 4.08.2004 г. вошло в перечень стратегических оборонных предприятий.</w:t>
      </w:r>
    </w:p>
    <w:p w14:paraId="7F26F9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Распоряжением президента РФ № 569/рп от 25.11.2005 г. гендиректором вместо А. Медведева назначен В. Нстеров.</w:t>
      </w:r>
    </w:p>
    <w:p w14:paraId="1546A5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 ГКНПЦ входят (2002 г.): КБ «Салют», Ракетно-космический завод, Завод по испытаниям и эксплуатации РКТ, Завод медтехники и ТНП, НИИ Космических систем, КБ «Арматура».</w:t>
      </w:r>
    </w:p>
    <w:p w14:paraId="523751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(12.1941 г.-)- В.А. Окулов, (10.1942 г.)- Тарасевич, (-07-10.1943 г.-)- И.Б. Иосилович, (1944-46 г.)- А.Т. Третьяков, (1951 г.-)- С.М. Лещенко, (1961-75 г.)- М.И. Рыжих. Ген. директор (-1980-е -02.2001 г.)- А.И. Киселев (затем- советник гендиректора), (02.2001-25.11.2005 г.)- А.А. Медведев, (25.11.2005 г.-)- В. Нестеров.</w:t>
      </w:r>
    </w:p>
    <w:p w14:paraId="2F2C10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 Конструктор (2002 г.)- А.К. Недайвода.</w:t>
      </w:r>
    </w:p>
    <w:p w14:paraId="4880BB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(1960-е)- А.И. Киселев. Зам. Гендиректора: (2002 г.)- А.К. Недайвода; по ВЭД (2002 г.)- А.С. Кондратьев; (2003 г.)- И. Додин, (-2003-04 г.-)- Д. Пивнюк.</w:t>
      </w:r>
    </w:p>
    <w:p w14:paraId="0DAFFE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(12.1941 г.-)- П.М. Морозов.</w:t>
      </w:r>
    </w:p>
    <w:p w14:paraId="33C1A7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Работали: (начало 1950-х)- Кобзырев, Лиценко.</w:t>
      </w:r>
    </w:p>
    <w:p w14:paraId="27418B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ДБ-3Ф (1942-43)- 367, Ту-2 (1943-49)- 1136, Ту-4 (1950-53), Ил-28 (1953)- 2, М-4 (1953-56), 3М (1956-63)- 93 (или 116), М-50, М-52, Ми-6 (1960-62), Ми-8; (2002): самолет КВП Т-411 «Аист», легкие транспортные Т-417 «Пегас», Т-420 «Стриж».</w:t>
      </w:r>
    </w:p>
    <w:p w14:paraId="1885BB4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ЗУР: В-300; МБР: УР-100, УР-100УТТХ, УР-100К, УР-100К УТТХ, УР-100Н (1974-), УР-100Н УТТХ (-1991)- 360; РН «Протон», орбитальные станции «Салют», «Мир»; разгонный блок «Бриз»; модули «Квант», «Кристалл», «Спектр»; (2002): РН «Ангара», «Рокот», разгонные блоки «Бриз-М», 12КРБ, служебный модуль МКС, ракетный ускоритель «Байкал», космическая платформа «Яхта».69 </w:t>
      </w:r>
    </w:p>
    <w:p w14:paraId="5D6E82E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Завод № 23 НКАП, МАП, ГКАТ, Машиностроительный завод им. М.В. Хруничева (ЗИХ) СНХ, МОМ, МПО им. Хруничева, ФГУП «ГК НПЦ (Государственный космический научно-производственный центр) им. Хруничева» ФКА </w:t>
      </w:r>
    </w:p>
    <w:p w14:paraId="73A00E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121309 г. Москва, ул. Новозаводская, 18 тел. 145-92-10 www.khrunichev.com (10776).</w:t>
      </w:r>
    </w:p>
    <w:p w14:paraId="5E4A4B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ОКБ-23 МАП, Филиал № 1 ОКБ-52 МОМ, КБ «Салют» МОМ</w:t>
      </w:r>
    </w:p>
    <w:p w14:paraId="6342F7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Москва, Фили/</w:t>
      </w:r>
    </w:p>
    <w:p w14:paraId="1B0FC9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24.03.1951 г. гл. конструктором вновь образованного ОКБ-23 на заводе № 23 МАП назначен В.М. Мясищев (по [77] ОКБ-23 воссоздано 26.05.1950г). </w:t>
      </w:r>
    </w:p>
    <w:p w14:paraId="47A9F1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Разработка стратегических бомбардировщиков М-4, 3М, М-50, М-52, М-56, М-60, М-70. </w:t>
      </w:r>
    </w:p>
    <w:p w14:paraId="5DB4D2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20.05.1954 г. вышло постановление СМ СССР № 957-409 о начале разработки носителя ядерного заряда- тяжелой КР М-40 («40», ракетно-самолетная система РСС-40 «Буран») (гл. конструктор- В.М. Мясищев, научный руководитель- М.В. Келдыш). В соответствии с постановлением СМ № 1096-570 от 11.08.1956 г. и приказом МАП № 453 на ОКБ возложено задание разработать, построить и предъявить на совместные испытания КР «Буран-А» с новой БЧ.3 В 11.1957 г. работы по М-40 прекращены (в пользу МКР «Буря»).59 </w:t>
      </w:r>
    </w:p>
    <w:p w14:paraId="7CF661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1956-59 г. разработка УРВП Х-44 (системы К-44) с термоядерной БЧ изд. «205К» для М-52К и М-56К. Во второй половине 1950-х г. разработан проект стратегической КР М-61 с ядерной БЧ для М-50 и М-52.58 </w:t>
      </w:r>
    </w:p>
    <w:p w14:paraId="130AE6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1959 г. разработан проект воздушно-космического самолета ВКА-23 (изд. «48»).</w:t>
      </w:r>
    </w:p>
    <w:p w14:paraId="242949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начале 1960 г. в ОКБ-23 влилось ОКБ-256 П.В. Цыбина. </w:t>
      </w:r>
    </w:p>
    <w:p w14:paraId="5EF2FB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конца 1959 г. началась переориентация ОКБ на ракетную тематику. По приказу № 377сс/ов от 6.10.1960 г. ОКБ-23 В.М. Мясищева было закрыто, коллектив переведен в ОКБ-52. В начале 1961 г. на базе ОКБ образован Филёвский филиал № 1 ОКБ-52. И.О. начальника филиала назначен зам. ген. конструктора по производству Н.М. Гловацкий.</w:t>
      </w:r>
    </w:p>
    <w:p w14:paraId="2AAEA3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составе филиала в 1961 г. создан комплекс наземного оборудования РКТ под руководством Г.И. Архангельского. Затем этот коллектив переведен (вероятно, в 1963 г.) в филиал № 2 ОКБ-52.77 </w:t>
      </w:r>
    </w:p>
    <w:p w14:paraId="08BE46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филиале № 1 работало ракетостроительное КБ-90. По приказу МАП № 482 от 21.11.1966 г. КБ-90 филиала № 1 ОКБ-52 МОМ и Филиал Машиностроительного завода им. М.В. Хруничева в г. Жуковском переданы в МАП с образованием на их базе ЭМЗ.</w:t>
      </w:r>
    </w:p>
    <w:p w14:paraId="06B032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1977 г. филиал № 1 с опытным производством вошел в состав НПО «Энергия».</w:t>
      </w:r>
    </w:p>
    <w:p w14:paraId="3092BE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1980 г. филиал № 1, ставший самостоятельным, получил название КБ "Салют" (по [58]- с 1985 г.; по [77]- в 06.1981 г. филиал № 1 преобразован в самостоятельное КБ «Салют» и включен в состав НПО «Энергия»), действовал в ведении 11ГУ МОМ. 7.06.1993 г. МЗ им. Хруничева и ОКБ «Салют» объединились в ГК НПЦ им. Хруничева.</w:t>
      </w:r>
    </w:p>
    <w:p w14:paraId="0891CCB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филиале № 1 велась разработка ракеты УР-200 (с 1960 г.), УР-100 (с 1962 г.), РН «Протон» (с 1962 г.).</w:t>
      </w:r>
    </w:p>
    <w:p w14:paraId="5C677A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постановлением СМ СССР от 1.06.1970 г. велась разработка транспортного корабля снабжения (ТКС) для орбитальной станции «Алмаз». Первый запуск ТКС («Космос-929»)- 17.07.1977 г.</w:t>
      </w:r>
    </w:p>
    <w:p w14:paraId="08C2EC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1980-х г. разработана орбитальная лазерная боевая станция «Скиф».</w:t>
      </w:r>
    </w:p>
    <w:p w14:paraId="38F668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космической техники: разгонный блок «Бриз-М» для РН «Протон-М».</w:t>
      </w:r>
    </w:p>
    <w:p w14:paraId="601787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Гл. конструктор ОКБ (03.1951-60 г.)- В.М. Мясищев (затем работал в ЦАГИ). </w:t>
      </w:r>
    </w:p>
    <w:p w14:paraId="01B5419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гл. конструктор Филиала № 1 (1960-е г.)- В.Ф. Бугайский. Ген. конструктор (1980-е)- Д.А. Полухин, (1999 г.)- А. Недайвода.</w:t>
      </w:r>
    </w:p>
    <w:p w14:paraId="21A30C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ген. конструктора (1961 г.)- Г.И. Архангельский, В.К. Карраск.</w:t>
      </w:r>
    </w:p>
    <w:p w14:paraId="071A333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(1954 г.)- Г.Н. Назаров («Буран»).</w:t>
      </w:r>
    </w:p>
    <w:p w14:paraId="132BC3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ЛИиДБ (1959 г.)- Д.Н. Белоногов.</w:t>
      </w:r>
    </w:p>
    <w:p w14:paraId="1101D0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Работали (1951 г.-)- В.А. Лихачев, (1956-60 г.)- А.Т. Тарасов (ведущий конструктор- начальник отдела).</w:t>
      </w:r>
    </w:p>
    <w:p w14:paraId="0D9D35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завода № 23 ГКАТ гл. конструктора Н.П. Никитина</w:t>
      </w:r>
    </w:p>
    <w:p w14:paraId="6327D9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Москва</w:t>
      </w:r>
    </w:p>
    <w:p w14:paraId="0AD637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ГКАТ № 111 от 12.04.1961 г. ОКБ-3 завода № 118 гл. конструктора Н.П. Никитина переведено на освободившиеся площади на заводе № 23 ГКАТ. Продолжены работы по автопилотам для УРВВ: начата разработка СУР-40 для К-40, АПР-80.</w:t>
      </w:r>
    </w:p>
    <w:p w14:paraId="570B0E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1963 г. ОКБ Н.П. Никитина расформировано. Тематика и личный состав были распределены по профильным организациям. Часть ОКБ передана заводу № 118 ГКАТ и НИИ-923 ГКАТ.</w:t>
      </w:r>
    </w:p>
    <w:p w14:paraId="5E3036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(04.1961-63 г.)- Н.П. Никитин.</w:t>
      </w:r>
    </w:p>
    <w:p w14:paraId="7AB705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Филиал Машиностроительного завода им. М.В. Хруничева, Экспериментальный машиностроительный завод (ЭМЗ) МАП, ФГУП «ЭМЗ им. В.М. Мясищева» </w:t>
      </w:r>
    </w:p>
    <w:p w14:paraId="5A6360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140185 г. Жуковский-5 Московской обл. Наркомвод, 1 тел. 728-41-35 www.emz-m.ru</w:t>
      </w:r>
    </w:p>
    <w:p w14:paraId="318657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МАП № 482 от 21.11.1966 г. КБ-90 филиала № 1 ОКБ-52 МОМ и Филиал Машиностроительного завода им. М.В. Хруничева в г. Жуковском переданы в МАП с образованием на их базе ЭМЗ.</w:t>
      </w:r>
    </w:p>
    <w:p w14:paraId="09DB2D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Головной исполнитель работ по строительству орбитального самолета «Буран» (изделие «11Ф35»), работа над которым началась в 1976 г. Здесь была построена модель «Бор-5».</w:t>
      </w:r>
    </w:p>
    <w:p w14:paraId="385A171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середине 1970-х г. создан универсальный контейнер грузового десантирования (УКГД), предназначенную для парашютного десантирования группы из 5 чел.</w:t>
      </w:r>
    </w:p>
    <w:p w14:paraId="7335A3A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С 1986 г. В.А. Корчагиным на заводе велись работы по амфибии «Ямал». В 1989 г. для создания этого самолета был организован консорциум «Авиаспецтранс», в который вместе с ЭМЗ вошли «Тюменьгазпром», ААНИИ, ГосНИИГА, ВНИИ Океангеологии. ЭМЗ стал ответственным исполнителем по эскизному проекту и ОКР «Ямала». В 1990-х г. построен натурный макет самолета.</w:t>
      </w:r>
    </w:p>
    <w:p w14:paraId="6BD327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Создан легкий многоцелевой самолет М-101Т «Гжель». В 01.2003 г. он получил сертификат типа.Ъ-15.01.03 </w:t>
      </w:r>
    </w:p>
    <w:p w14:paraId="1E9146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04.2001 г. вместе с НГАЗ «Сокол» и компанией «Каскол» объединился в авиастроительную компанию «НоРС» (Новые региональные самолеты). По Указу Президента РФ № 1009 от 4.08.2004 г. вошел в число стратегических оборонных предприятий.</w:t>
      </w:r>
    </w:p>
    <w:p w14:paraId="4657EA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2002 г.: работы по М-60, сельскохозяйственному М-500, многоцелевому М-102, М-201 «Сокол», многоразовой аэрокосмической системе С-XXI для М-55, космической платформе «Демонстратор».</w:t>
      </w:r>
    </w:p>
    <w:p w14:paraId="35D180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 предприятия входит ОКБ, опытное производство, летно-испытательная база.</w:t>
      </w:r>
    </w:p>
    <w:p w14:paraId="4138B0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(2002 г.)- 2000 чел.</w:t>
      </w:r>
    </w:p>
    <w:p w14:paraId="36CBEC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Работали: (1967 г.-)- С.Г. Смирнов, (1968 г.-)- А.А. Брук, (1980 г.-)- В.И. Погодин. </w:t>
      </w:r>
    </w:p>
    <w:p w14:paraId="482C1E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Ген. конструктор (1967-78 г.)- В.М. Мясищев, (1979-90 г.)- В.А. Федотов, (1993-2005 г.-)- В.К. Новиков.</w:t>
      </w:r>
    </w:p>
    <w:p w14:paraId="5FA34A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(1977 г.)- С.Г. Арутюнов.</w:t>
      </w:r>
    </w:p>
    <w:p w14:paraId="167A02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1-й зам. Ген. Конструктора (2002 г.)- В.А. Ширинянц. Зам. ген. Конструктора: по проектированию (2004 г.)- В.И. Погодин; по финансово-экономической деятельности (2002 г.)- А.А. Горбунов; (2002 г.)- Л.А. Соколов, (2002 г.)- Е.С. Чарский. Зам. ген. конструктора/начальник проектного комлекса (2004 г.)- А.А. Брук.КР-2/04 </w:t>
      </w:r>
    </w:p>
    <w:p w14:paraId="61CB3CC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начальника проектного комлекса по проектированию – В.И. Погодин. Главный специалист по конверсии (-2004-05 г.-)- С.Г. Смирнов.</w:t>
      </w:r>
    </w:p>
    <w:p w14:paraId="4CE6ABB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(1986 г.)- Е.В. Ежов («Ямал»), (2002 г.)- Л.А. Соколов (М-55), (2002 г.)- Е.С. Чарский (М-101).</w:t>
      </w:r>
    </w:p>
    <w:p w14:paraId="4856E2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отдела общих видов – В.И. Погодин. Начальник бригады аэродинамики ОКБ ЭМЗ (1973-83 г.)- С.Г. Смирнов. Начальник производства/ зам. гл. конструктора (1990-е-2004 г.-)- В.В. Тормышев.</w:t>
      </w:r>
    </w:p>
    <w:p w14:paraId="484893D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"РОКС-Аэро", ОКБ "Аэропрогресс", "Рос-Аэропрогресс", ОКБ ГК НПЦ им. Хруничева, АНПК завода им. Хруничева</w:t>
      </w:r>
    </w:p>
    <w:p w14:paraId="235C7B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08.1996 г. фирма «Рос-Аэропрогресс» влилась в состав ГК НПЦ им. Хруничева, на ее базе создано самолетостроительное ОКБ.</w:t>
      </w:r>
    </w:p>
    <w:p w14:paraId="2DEC09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(1990-е-2004 г.-)- Е.П. Грунин.</w:t>
      </w:r>
    </w:p>
    <w:p w14:paraId="53422B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конструктора (2004 г.)- В. Заблотский, Л. Тарасевич, М. Васюк, В. Медников.</w:t>
      </w:r>
    </w:p>
    <w:p w14:paraId="2C93BE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Создано: самолеты Т-101 "Грач", Т-411, Т-435 "Пеликан", Т-440 (1990-е г.); проект самолета Т-511 (2003 г.). </w:t>
      </w:r>
    </w:p>
    <w:p w14:paraId="3AF4CFF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НИИ космических систем</w:t>
      </w:r>
    </w:p>
    <w:p w14:paraId="5CDB39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141091 г. Юбилейный Московской обл. ул. Тихонравова, 36 тел. 515-60-40</w:t>
      </w:r>
    </w:p>
    <w:p w14:paraId="61333C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Входит в КГНПЦ им. Хруничева в качестве филиала (2002-05 г.).</w:t>
      </w:r>
    </w:p>
    <w:p w14:paraId="059F5E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Исследования в области отработки, испытаний и эксплуатации космической техники, создание систем и техники специального назначения; проведение ТЭО разработки, создания и эксплуатации КС; специализированные системы управления, сбора и обработки информации, системы мониторинга Земли; технологии навигационно-баллистического обеспечения КА.</w:t>
      </w:r>
    </w:p>
    <w:p w14:paraId="4DE70CC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(2002-04 г.) - В.А. Меньшиков.</w:t>
      </w:r>
    </w:p>
    <w:p w14:paraId="33E13C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по научной работе (2002-04 г.)- И.Н. Голованев;69 (2005 г.)- В.В. Меньшиков.</w:t>
      </w:r>
    </w:p>
    <w:p w14:paraId="62DFB1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ЗАО «Авиаоборудование» </w:t>
      </w:r>
    </w:p>
    <w:p w14:paraId="3AA09A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140160 г. Жуковский-5 Московской обл. ЭМЗ</w:t>
      </w:r>
    </w:p>
    <w:p w14:paraId="3E550D8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в 2000 г. при ЭМЗ.</w:t>
      </w:r>
    </w:p>
    <w:p w14:paraId="5FF5B2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Разработка и производство бортовых комплексов авионики (2003 г.).</w:t>
      </w:r>
    </w:p>
    <w:p w14:paraId="6FC49E9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Гендиректор (2003 г.)- А.П. Ленивцев (10776).</w:t>
      </w:r>
    </w:p>
    <w:p w14:paraId="6504D0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4AEBB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декабря 1941 года согласно постановлению ГКО за № 1039сс и 18 декабря 1941 года согласно приказу НКАП № 1170сс на площадях эвакуированного в Казань завода № 22 был организован завод № 23.</w:t>
      </w:r>
    </w:p>
    <w:p w14:paraId="3E4D6E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этим же решением ГКО и приказа НКАП заводу № 23 был передан завод № 30, эвакуированный из г. Кимры в горьковскую область со всем его оборудованием, рабочей силой и материальными ценностями.</w:t>
      </w:r>
    </w:p>
    <w:p w14:paraId="3B9F8B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Решением ГКО от 14 января 1942 года за № 1149 и приказом НКАП от 15 января 1942 года за № 39сс все оборудование, рабочая сила, транспорт и материальные ценности были переданы с завода № 23 заводу № 30, который организовался в Москве, на площадях эвакуированного в Куйбышев завода № 1 НКАП.</w:t>
      </w:r>
    </w:p>
    <w:p w14:paraId="72C8EA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Решением ГКО от 24 января 1942 года за № 1208сс и приказом НКАП от 26 января 1942 года за № 79сс завод 3 135 НКАП, эвакуированный из Харькова в Молотов был расформирован и часть оборудования с рабочей силой были переданы заводу № 23.</w:t>
      </w:r>
    </w:p>
    <w:p w14:paraId="20D183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Решением ГКО от 6 марта 1942 года за № 1398сс и приказом НКАП от 9 марта 1942 года был расформирован завод № 458, эвакуированный из Ростова-на-Дону в Баку, часть оборудования и рабочей силы были переданы заводу № 23.</w:t>
      </w:r>
    </w:p>
    <w:p w14:paraId="20BF3A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Решением ГКО от 14 марта 1942 года за № 1442сс и приказом НКАП от 16 марта 1942 года за № 210сс заводу было дано производственное задание по выпуску самолета ИЛ-4, который заводом выпускался до июля 1943 года.</w:t>
      </w:r>
    </w:p>
    <w:p w14:paraId="632D35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Решением ГКО от 17 июля 1943 года за № 3754сс и приказом НКАП от 20 июля 1943 года за № 430сс заводу было установлено производственное задание по выпуску самолета ТУ-2, которое завод выполнял по вторую половину 1948 года.</w:t>
      </w:r>
    </w:p>
    <w:p w14:paraId="585B14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Постановлением СМ № 1627-682сс от 17 мая 1948 года и приказа МАП № 331сс от 27 мая 1948 года заводу дано новое производственное задание по выпуску самолетов ТУ-14 со снятием с производства самолета ТУ-2.</w:t>
      </w:r>
    </w:p>
    <w:p w14:paraId="391DA0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Постановлением СМ № 1890-700сс от 14 мая 1949 года и приказом МАП № 374сс/ов от 19 мая 1949 года выпуск самолетов ТУ-14 прекращен в производстве на заводе № 23 и передан заводу № 39 в Иркутск со всем заделом и оснасткой.</w:t>
      </w:r>
    </w:p>
    <w:p w14:paraId="4091DE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Этим же постановлением и приказом МАП заводу установлено задание по выпуску самолетов ТУ-4, которое завод выполнял до 1 января 1953 года.</w:t>
      </w:r>
    </w:p>
    <w:p w14:paraId="370AFA8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Постановлением СМ от 31 декабря 1952 года за № 5331-2090 и приказом МАП № 6сс от 3 января 1953 года производство самолетов ТУ-4 на заводе прекращено и установлено новое производственное задание по постановке на производство самолетов ИЛ-28, однако во второй половине 1953 года это производственное задание с завода было снято.</w:t>
      </w:r>
    </w:p>
    <w:p w14:paraId="3B3B02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Постановлением СМ от 19 декабря 1953 года за № 3010-1310сс/ов и от 28 декабря 1953 года за № 393сс/ов заводу установлено производственное задание по выпуску малой серии самолета М-4 конструкции Мясищева, которое завод выполнял по первую половину 1956 года.</w:t>
      </w:r>
    </w:p>
    <w:p w14:paraId="61E3D3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Согласно Постановления СМ за № 949-469/ов от 24 марта 1951 года и приказу МАП за № 249сс/ов от 26 марта 1951 года на заводе организовано ОКБ-23, для которого завод в 1952 году изготовил опытный образец самолета “М” конструкции Мясищева, а в 1953 году работал по изготовлению самолетов “М” и “ДМ”.</w:t>
      </w:r>
    </w:p>
    <w:p w14:paraId="7C4488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выпущенных самолетов заводом № 23 за период с 1952 по 1958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17"/>
        <w:gridCol w:w="1348"/>
        <w:gridCol w:w="920"/>
        <w:gridCol w:w="851"/>
        <w:gridCol w:w="850"/>
        <w:gridCol w:w="851"/>
        <w:gridCol w:w="850"/>
        <w:gridCol w:w="851"/>
        <w:gridCol w:w="850"/>
      </w:tblGrid>
      <w:tr w:rsidR="00643896" w:rsidRPr="00640820" w14:paraId="6445F07C" w14:textId="77777777" w:rsidTr="000D3BCB">
        <w:tc>
          <w:tcPr>
            <w:tcW w:w="817" w:type="dxa"/>
          </w:tcPr>
          <w:p w14:paraId="6C280E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Тип изделий</w:t>
            </w:r>
          </w:p>
        </w:tc>
        <w:tc>
          <w:tcPr>
            <w:tcW w:w="1348" w:type="dxa"/>
          </w:tcPr>
          <w:p w14:paraId="57B184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Тип и количество двигателей установлен. на самолете</w:t>
            </w:r>
          </w:p>
        </w:tc>
        <w:tc>
          <w:tcPr>
            <w:tcW w:w="920" w:type="dxa"/>
          </w:tcPr>
          <w:p w14:paraId="5046AD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1952 год</w:t>
            </w:r>
          </w:p>
        </w:tc>
        <w:tc>
          <w:tcPr>
            <w:tcW w:w="851" w:type="dxa"/>
          </w:tcPr>
          <w:p w14:paraId="428A5D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1953 год</w:t>
            </w:r>
          </w:p>
        </w:tc>
        <w:tc>
          <w:tcPr>
            <w:tcW w:w="850" w:type="dxa"/>
          </w:tcPr>
          <w:p w14:paraId="5128FE8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1954 год</w:t>
            </w:r>
          </w:p>
        </w:tc>
        <w:tc>
          <w:tcPr>
            <w:tcW w:w="851" w:type="dxa"/>
          </w:tcPr>
          <w:p w14:paraId="2CBA42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1955 год</w:t>
            </w:r>
          </w:p>
        </w:tc>
        <w:tc>
          <w:tcPr>
            <w:tcW w:w="850" w:type="dxa"/>
          </w:tcPr>
          <w:p w14:paraId="00A6B1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1956 год</w:t>
            </w:r>
          </w:p>
        </w:tc>
        <w:tc>
          <w:tcPr>
            <w:tcW w:w="851" w:type="dxa"/>
          </w:tcPr>
          <w:p w14:paraId="15EAC9B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1957 год</w:t>
            </w:r>
          </w:p>
        </w:tc>
        <w:tc>
          <w:tcPr>
            <w:tcW w:w="850" w:type="dxa"/>
          </w:tcPr>
          <w:p w14:paraId="6B48D5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1958 год</w:t>
            </w:r>
          </w:p>
        </w:tc>
      </w:tr>
      <w:tr w:rsidR="00643896" w:rsidRPr="00640820" w14:paraId="27D1820B" w14:textId="77777777" w:rsidTr="000D3BCB">
        <w:tc>
          <w:tcPr>
            <w:tcW w:w="817" w:type="dxa"/>
          </w:tcPr>
          <w:p w14:paraId="6A27B5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Ту-4</w:t>
            </w:r>
          </w:p>
        </w:tc>
        <w:tc>
          <w:tcPr>
            <w:tcW w:w="1348" w:type="dxa"/>
          </w:tcPr>
          <w:p w14:paraId="107114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4АШ73МК</w:t>
            </w:r>
          </w:p>
        </w:tc>
        <w:tc>
          <w:tcPr>
            <w:tcW w:w="920" w:type="dxa"/>
          </w:tcPr>
          <w:p w14:paraId="5D38A2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52</w:t>
            </w:r>
          </w:p>
        </w:tc>
        <w:tc>
          <w:tcPr>
            <w:tcW w:w="851" w:type="dxa"/>
          </w:tcPr>
          <w:p w14:paraId="60CCEB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850" w:type="dxa"/>
          </w:tcPr>
          <w:p w14:paraId="307A1B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77234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35D2B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8559B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7411BB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A462EF6" w14:textId="77777777" w:rsidTr="000D3BCB">
        <w:tc>
          <w:tcPr>
            <w:tcW w:w="817" w:type="dxa"/>
          </w:tcPr>
          <w:p w14:paraId="2B76A0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ИЛ-28</w:t>
            </w:r>
          </w:p>
        </w:tc>
        <w:tc>
          <w:tcPr>
            <w:tcW w:w="1348" w:type="dxa"/>
          </w:tcPr>
          <w:p w14:paraId="010403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2АШ73МК</w:t>
            </w:r>
          </w:p>
        </w:tc>
        <w:tc>
          <w:tcPr>
            <w:tcW w:w="920" w:type="dxa"/>
          </w:tcPr>
          <w:p w14:paraId="120B4C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7F69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850" w:type="dxa"/>
          </w:tcPr>
          <w:p w14:paraId="70EE2E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C8119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FBE48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F825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7CE8EB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2694648" w14:textId="77777777" w:rsidTr="000D3BCB">
        <w:tc>
          <w:tcPr>
            <w:tcW w:w="817" w:type="dxa"/>
          </w:tcPr>
          <w:p w14:paraId="718498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w:t>
            </w:r>
          </w:p>
        </w:tc>
        <w:tc>
          <w:tcPr>
            <w:tcW w:w="1348" w:type="dxa"/>
          </w:tcPr>
          <w:p w14:paraId="06E750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4АМ3</w:t>
            </w:r>
          </w:p>
        </w:tc>
        <w:tc>
          <w:tcPr>
            <w:tcW w:w="920" w:type="dxa"/>
          </w:tcPr>
          <w:p w14:paraId="731108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851" w:type="dxa"/>
          </w:tcPr>
          <w:p w14:paraId="6F8B65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850" w:type="dxa"/>
          </w:tcPr>
          <w:p w14:paraId="51BE24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973E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33C96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650BF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D8856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C0231D8" w14:textId="77777777" w:rsidTr="000D3BCB">
        <w:tc>
          <w:tcPr>
            <w:tcW w:w="817" w:type="dxa"/>
          </w:tcPr>
          <w:p w14:paraId="6BB9FD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М-4</w:t>
            </w:r>
          </w:p>
        </w:tc>
        <w:tc>
          <w:tcPr>
            <w:tcW w:w="1348" w:type="dxa"/>
          </w:tcPr>
          <w:p w14:paraId="592F39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4А25</w:t>
            </w:r>
          </w:p>
        </w:tc>
        <w:tc>
          <w:tcPr>
            <w:tcW w:w="920" w:type="dxa"/>
          </w:tcPr>
          <w:p w14:paraId="03B989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E344E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CD64A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851" w:type="dxa"/>
          </w:tcPr>
          <w:p w14:paraId="540147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w:t>
            </w:r>
          </w:p>
        </w:tc>
        <w:tc>
          <w:tcPr>
            <w:tcW w:w="850" w:type="dxa"/>
          </w:tcPr>
          <w:p w14:paraId="501F46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851" w:type="dxa"/>
          </w:tcPr>
          <w:p w14:paraId="5AD88F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108DC8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0CBE7BC" w14:textId="77777777" w:rsidTr="000D3BCB">
        <w:tc>
          <w:tcPr>
            <w:tcW w:w="817" w:type="dxa"/>
          </w:tcPr>
          <w:p w14:paraId="4B3EE1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3М</w:t>
            </w:r>
          </w:p>
        </w:tc>
        <w:tc>
          <w:tcPr>
            <w:tcW w:w="1348" w:type="dxa"/>
          </w:tcPr>
          <w:p w14:paraId="465A97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4А25</w:t>
            </w:r>
          </w:p>
          <w:p w14:paraId="1C6BE9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4АВД-7</w:t>
            </w:r>
          </w:p>
        </w:tc>
        <w:tc>
          <w:tcPr>
            <w:tcW w:w="920" w:type="dxa"/>
          </w:tcPr>
          <w:p w14:paraId="72E0FD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5773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1F4B2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8232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4EA6FB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851" w:type="dxa"/>
          </w:tcPr>
          <w:p w14:paraId="40CCE0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w:t>
            </w:r>
          </w:p>
        </w:tc>
        <w:tc>
          <w:tcPr>
            <w:tcW w:w="850" w:type="dxa"/>
          </w:tcPr>
          <w:p w14:paraId="0EDEB4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w:t>
            </w:r>
          </w:p>
        </w:tc>
      </w:tr>
    </w:tbl>
    <w:p w14:paraId="7985CC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Москва Г-87, п/я 222</w:t>
      </w:r>
    </w:p>
    <w:p w14:paraId="1CF1BD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 Осипов (1959)</w:t>
      </w:r>
    </w:p>
    <w:p w14:paraId="00FBF8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Производственный профиль – металлическое самолетостроение</w:t>
      </w:r>
    </w:p>
    <w:p w14:paraId="5D7B14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(9754)</w:t>
      </w:r>
    </w:p>
    <w:p w14:paraId="55D93B8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CCE3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декабря 1941 Дир. завода 600 писал А.И.Ш. в НКАП в письме N 123с о том, что завод закончил программу по сборке И-16 на 3 месяца раньше срока, перестроил производство на изготовление агрегатов (РН и РВ, стабилизатор, киль, капот) и принял заказ 153 завода на агрегаты (РН, РВ, бачки и т.п.) (1648,129).</w:t>
      </w:r>
    </w:p>
    <w:p w14:paraId="143C1BC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u w:val="single"/>
        </w:rPr>
        <w:t>Сов. секретно</w:t>
      </w:r>
    </w:p>
    <w:p w14:paraId="6102F18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НАРОДНОМУ КОМИССАРУ АВИАЦИОННОЙ ПРОМЩДЕННОСТИ СССР</w:t>
      </w:r>
    </w:p>
    <w:p w14:paraId="48F84CB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тов. ШАХУРИНУ А.И.</w:t>
      </w:r>
    </w:p>
    <w:p w14:paraId="78A2DFD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u w:val="single"/>
        </w:rPr>
        <w:t xml:space="preserve">ДОКЛАДНАЯ ЗАПИСКА </w:t>
      </w:r>
      <w:r w:rsidRPr="00640820">
        <w:rPr>
          <w:rFonts w:ascii="Times New Roman" w:hAnsi="Times New Roman"/>
          <w:color w:val="000000" w:themeColor="text1"/>
          <w:sz w:val="16"/>
          <w:szCs w:val="16"/>
        </w:rPr>
        <w:t>о работе самолетно-сборочного завода № 600</w:t>
      </w:r>
    </w:p>
    <w:p w14:paraId="1B7133A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Годовая программа по сборке самолетов И-16 закон</w:t>
      </w:r>
      <w:r w:rsidRPr="00640820">
        <w:rPr>
          <w:rFonts w:ascii="Times New Roman" w:hAnsi="Times New Roman"/>
          <w:color w:val="000000" w:themeColor="text1"/>
          <w:sz w:val="16"/>
          <w:szCs w:val="16"/>
        </w:rPr>
        <w:softHyphen/>
        <w:t>чена заводом на два месяца раньше срока, установленного постановлением Правительства от 14/У1-41 г. и Вашим при</w:t>
      </w:r>
      <w:r w:rsidRPr="00640820">
        <w:rPr>
          <w:rFonts w:ascii="Times New Roman" w:hAnsi="Times New Roman"/>
          <w:color w:val="000000" w:themeColor="text1"/>
          <w:sz w:val="16"/>
          <w:szCs w:val="16"/>
        </w:rPr>
        <w:softHyphen/>
        <w:t>казом от 21/У1-41 г.</w:t>
      </w:r>
    </w:p>
    <w:p w14:paraId="60D6BE7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окончании годовой программы завод в короткий срок перестроил свое производство с самолетно-сборочного на изготовление агрегатов самолета И-16 /рули поворота и высоты, стабилизатора, киля, капота и др./ и приступив к изготовлению их, освоил и в настоящее время уже закончил первую партию, упаковал ее и отправил в Союз.</w:t>
      </w:r>
    </w:p>
    <w:p w14:paraId="2955DBA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Одновременно с изготовлением агрегатов для самолета И-16, завод № 600 принял заказ от завода № 153 на изготов</w:t>
      </w:r>
      <w:r w:rsidRPr="00640820">
        <w:rPr>
          <w:rFonts w:ascii="Times New Roman" w:hAnsi="Times New Roman"/>
          <w:color w:val="000000" w:themeColor="text1"/>
          <w:sz w:val="16"/>
          <w:szCs w:val="16"/>
        </w:rPr>
        <w:softHyphen/>
        <w:t>ление агрегатов для самолета ЛаГГ-3 и изготовляя оснастку, одновременно запустил их в производство.</w:t>
      </w:r>
    </w:p>
    <w:p w14:paraId="5DD8A29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Среди агрегатов самолета ЛаГТ-3, принятых заводом изготовления по заказу завода № 153, - рули поворота, рули высоты, заливные бачки, пожарный кран, масло-фильтр и агрегаты крепления лыж, в количестве от 100 до 200 еди</w:t>
      </w:r>
      <w:r w:rsidRPr="00640820">
        <w:rPr>
          <w:rFonts w:ascii="Times New Roman" w:hAnsi="Times New Roman"/>
          <w:color w:val="000000" w:themeColor="text1"/>
          <w:sz w:val="16"/>
          <w:szCs w:val="16"/>
        </w:rPr>
        <w:softHyphen/>
        <w:t>ниц по разным позициям.</w:t>
      </w:r>
    </w:p>
    <w:p w14:paraId="5AE307B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Состояние производства позволяет сказать, что изго</w:t>
      </w:r>
      <w:r w:rsidRPr="00640820">
        <w:rPr>
          <w:rFonts w:ascii="Times New Roman" w:hAnsi="Times New Roman"/>
          <w:color w:val="000000" w:themeColor="text1"/>
          <w:sz w:val="16"/>
          <w:szCs w:val="16"/>
        </w:rPr>
        <w:softHyphen/>
        <w:t>товление этих агрегатов заводом также освоено и заказ за</w:t>
      </w:r>
      <w:r w:rsidRPr="00640820">
        <w:rPr>
          <w:rFonts w:ascii="Times New Roman" w:hAnsi="Times New Roman"/>
          <w:color w:val="000000" w:themeColor="text1"/>
          <w:sz w:val="16"/>
          <w:szCs w:val="16"/>
        </w:rPr>
        <w:softHyphen/>
        <w:t>вода № 153 будет закончен в срок, т.е. в феврале месяце.</w:t>
      </w:r>
    </w:p>
    <w:p w14:paraId="52AB2D6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Отсутствие некоторых видов материалов, главным обра</w:t>
      </w:r>
      <w:r w:rsidRPr="00640820">
        <w:rPr>
          <w:rFonts w:ascii="Times New Roman" w:hAnsi="Times New Roman"/>
          <w:color w:val="000000" w:themeColor="text1"/>
          <w:sz w:val="16"/>
          <w:szCs w:val="16"/>
        </w:rPr>
        <w:softHyphen/>
        <w:t>зом дюралевых труб, тормозит ход производства и может, в случае неполучения их, несколько отодвинуть срок оконча</w:t>
      </w:r>
      <w:r w:rsidRPr="00640820">
        <w:rPr>
          <w:rFonts w:ascii="Times New Roman" w:hAnsi="Times New Roman"/>
          <w:color w:val="000000" w:themeColor="text1"/>
          <w:sz w:val="16"/>
          <w:szCs w:val="16"/>
        </w:rPr>
        <w:softHyphen/>
        <w:t>ния заказа.</w:t>
      </w:r>
    </w:p>
    <w:p w14:paraId="0BF8A36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Недостающее количество квалифицированной рабочей си</w:t>
      </w:r>
      <w:r w:rsidRPr="00640820">
        <w:rPr>
          <w:rFonts w:ascii="Times New Roman" w:hAnsi="Times New Roman"/>
          <w:color w:val="000000" w:themeColor="text1"/>
          <w:sz w:val="16"/>
          <w:szCs w:val="16"/>
        </w:rPr>
        <w:softHyphen/>
        <w:t>лы /медники, клепальщики и др./ завод покрывает частично подготовкой кадров из местного населения /советских граж-г дан/ и в настоящее время первая группа учеников, пройдя...(1648,119)</w:t>
      </w:r>
    </w:p>
    <w:p w14:paraId="5CA2677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68E68C" w14:textId="77777777" w:rsidR="006C122B" w:rsidRPr="00640820" w:rsidRDefault="006C122B"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декабря 1941 вышло Постановление ГКО № 1037 О мерах по обеспечению выпуска моторов М - 105П. РГАНИР, Фонд ГКО, д. 16, лл. 113 (11012).</w:t>
      </w:r>
    </w:p>
    <w:p w14:paraId="1C617548" w14:textId="77777777" w:rsidR="006C122B" w:rsidRPr="00640820" w:rsidRDefault="006C122B" w:rsidP="00640820">
      <w:pPr>
        <w:autoSpaceDE w:val="0"/>
        <w:autoSpaceDN w:val="0"/>
        <w:adjustRightInd w:val="0"/>
        <w:spacing w:after="0" w:line="240" w:lineRule="auto"/>
        <w:jc w:val="both"/>
        <w:rPr>
          <w:rFonts w:ascii="Times New Roman" w:hAnsi="Times New Roman"/>
          <w:color w:val="000000" w:themeColor="text1"/>
          <w:sz w:val="16"/>
          <w:szCs w:val="16"/>
        </w:rPr>
      </w:pPr>
    </w:p>
    <w:p w14:paraId="61DD1EA0" w14:textId="77777777" w:rsidR="006C122B" w:rsidRPr="00640820" w:rsidRDefault="006C122B" w:rsidP="00640820">
      <w:pPr>
        <w:pStyle w:val="47"/>
        <w:shd w:val="clear" w:color="auto" w:fill="auto"/>
        <w:spacing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17 декабря 1941 вышло Постановление ГКО № 1037 О мерах по обеспечению выпуска моторов М - 105П</w:t>
      </w:r>
    </w:p>
    <w:p w14:paraId="7AECC74C" w14:textId="77777777" w:rsidR="006C122B" w:rsidRPr="00640820" w:rsidRDefault="006C122B"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Sun" w:hAnsi="Times New Roman"/>
          <w:color w:val="000000" w:themeColor="text1"/>
          <w:sz w:val="16"/>
          <w:szCs w:val="16"/>
        </w:rPr>
        <w:t>Государственный Комитет Обороны отмечает, что НКАП и за</w:t>
      </w:r>
      <w:r w:rsidRPr="00640820">
        <w:rPr>
          <w:rFonts w:ascii="Times New Roman" w:eastAsia="SimSun" w:hAnsi="Times New Roman"/>
          <w:color w:val="000000" w:themeColor="text1"/>
          <w:sz w:val="16"/>
          <w:szCs w:val="16"/>
        </w:rPr>
        <w:softHyphen/>
        <w:t>воды 26 и 384 провалили выпуск моторов М-105П, При плане на декабрь месяц 1000 моторов вылужено за 15 дней декабря толь</w:t>
      </w:r>
      <w:r w:rsidRPr="00640820">
        <w:rPr>
          <w:rFonts w:ascii="Times New Roman" w:eastAsia="SimSun" w:hAnsi="Times New Roman"/>
          <w:color w:val="000000" w:themeColor="text1"/>
          <w:sz w:val="16"/>
          <w:szCs w:val="16"/>
        </w:rPr>
        <w:softHyphen/>
        <w:t>ко 125 моторов.</w:t>
      </w:r>
    </w:p>
    <w:p w14:paraId="68A6B361" w14:textId="77777777" w:rsidR="006C122B" w:rsidRPr="00640820" w:rsidRDefault="006C122B"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Sun" w:hAnsi="Times New Roman"/>
          <w:color w:val="000000" w:themeColor="text1"/>
          <w:sz w:val="16"/>
          <w:szCs w:val="16"/>
        </w:rPr>
        <w:t>Государственный Комитет Обороны считает, что одной из причин провала выпуска моторов М-105П является то обстоятель</w:t>
      </w:r>
      <w:r w:rsidRPr="00640820">
        <w:rPr>
          <w:rFonts w:ascii="Times New Roman" w:eastAsia="SimSun" w:hAnsi="Times New Roman"/>
          <w:color w:val="000000" w:themeColor="text1"/>
          <w:sz w:val="16"/>
          <w:szCs w:val="16"/>
        </w:rPr>
        <w:softHyphen/>
        <w:t>ство, что эвакуированному заводу 26 НКАП предоставлены него</w:t>
      </w:r>
      <w:r w:rsidRPr="00640820">
        <w:rPr>
          <w:rFonts w:ascii="Times New Roman" w:eastAsia="SimSun" w:hAnsi="Times New Roman"/>
          <w:color w:val="000000" w:themeColor="text1"/>
          <w:sz w:val="16"/>
          <w:szCs w:val="16"/>
        </w:rPr>
        <w:softHyphen/>
        <w:t>товые производственные площади, в результате чего оборудова</w:t>
      </w:r>
      <w:r w:rsidRPr="00640820">
        <w:rPr>
          <w:rFonts w:ascii="Times New Roman" w:eastAsia="SimSun" w:hAnsi="Times New Roman"/>
          <w:color w:val="000000" w:themeColor="text1"/>
          <w:sz w:val="16"/>
          <w:szCs w:val="16"/>
        </w:rPr>
        <w:softHyphen/>
        <w:t>ние и коллектив завода 26 простаивают.</w:t>
      </w:r>
    </w:p>
    <w:p w14:paraId="5E3C8B58" w14:textId="77777777" w:rsidR="006C122B" w:rsidRPr="00640820" w:rsidRDefault="006C122B"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Sun" w:hAnsi="Times New Roman"/>
          <w:color w:val="000000" w:themeColor="text1"/>
          <w:sz w:val="16"/>
          <w:szCs w:val="16"/>
        </w:rPr>
        <w:t>В целях обеспечения выпуска моторов Ы-105П Государствен</w:t>
      </w:r>
      <w:r w:rsidRPr="00640820">
        <w:rPr>
          <w:rFonts w:ascii="Times New Roman" w:eastAsia="SimSun" w:hAnsi="Times New Roman"/>
          <w:color w:val="000000" w:themeColor="text1"/>
          <w:sz w:val="16"/>
          <w:szCs w:val="16"/>
        </w:rPr>
        <w:softHyphen/>
        <w:t>ный Комитет Обороны постановляет:</w:t>
      </w:r>
    </w:p>
    <w:p w14:paraId="53BA9984" w14:textId="77777777" w:rsidR="006C122B" w:rsidRPr="00640820" w:rsidRDefault="006C122B"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Sun" w:hAnsi="Times New Roman"/>
          <w:color w:val="000000" w:themeColor="text1"/>
          <w:sz w:val="16"/>
          <w:szCs w:val="16"/>
        </w:rPr>
        <w:t>1. Об"единить заводы 26 и 384, об</w:t>
      </w:r>
      <w:r w:rsidRPr="00640820">
        <w:rPr>
          <w:rFonts w:ascii="Times New Roman" w:eastAsia="SimSun" w:hAnsi="Times New Roman"/>
          <w:color w:val="000000" w:themeColor="text1"/>
          <w:sz w:val="16"/>
          <w:szCs w:val="16"/>
          <w:vertAlign w:val="superscript"/>
        </w:rPr>
        <w:t>п</w:t>
      </w:r>
      <w:r w:rsidRPr="00640820">
        <w:rPr>
          <w:rFonts w:ascii="Times New Roman" w:eastAsia="SimSun" w:hAnsi="Times New Roman"/>
          <w:color w:val="000000" w:themeColor="text1"/>
          <w:sz w:val="16"/>
          <w:szCs w:val="16"/>
        </w:rPr>
        <w:t>единенному заводу присвоить номер 26.</w:t>
      </w:r>
    </w:p>
    <w:p w14:paraId="38A04208" w14:textId="77777777" w:rsidR="006C122B" w:rsidRPr="00640820" w:rsidRDefault="006C122B" w:rsidP="00640820">
      <w:pPr>
        <w:tabs>
          <w:tab w:val="left" w:pos="1250"/>
        </w:tabs>
        <w:spacing w:after="0" w:line="240" w:lineRule="auto"/>
        <w:jc w:val="both"/>
        <w:rPr>
          <w:rFonts w:ascii="Times New Roman" w:eastAsia="SimSun" w:hAnsi="Times New Roman"/>
          <w:color w:val="000000" w:themeColor="text1"/>
          <w:sz w:val="16"/>
          <w:szCs w:val="16"/>
        </w:rPr>
      </w:pPr>
      <w:r w:rsidRPr="00640820">
        <w:rPr>
          <w:rFonts w:ascii="Times New Roman" w:eastAsia="SimSun" w:hAnsi="Times New Roman"/>
          <w:color w:val="000000" w:themeColor="text1"/>
          <w:sz w:val="16"/>
          <w:szCs w:val="16"/>
        </w:rPr>
        <w:t>2. Утвердить директором завода № 26 тов.Баландина и Главным инженером - тов.Лаврентьева.</w:t>
      </w:r>
    </w:p>
    <w:p w14:paraId="77120804" w14:textId="77777777" w:rsidR="006C122B" w:rsidRPr="00640820" w:rsidRDefault="006C122B" w:rsidP="00640820">
      <w:pPr>
        <w:tabs>
          <w:tab w:val="left" w:pos="1250"/>
        </w:tabs>
        <w:spacing w:after="0" w:line="240" w:lineRule="auto"/>
        <w:jc w:val="both"/>
        <w:rPr>
          <w:rFonts w:ascii="Times New Roman" w:eastAsia="SimSun" w:hAnsi="Times New Roman"/>
          <w:color w:val="000000" w:themeColor="text1"/>
          <w:sz w:val="16"/>
          <w:szCs w:val="16"/>
        </w:rPr>
      </w:pPr>
      <w:r w:rsidRPr="00640820">
        <w:rPr>
          <w:rFonts w:ascii="Times New Roman" w:eastAsia="SimSun" w:hAnsi="Times New Roman"/>
          <w:color w:val="000000" w:themeColor="text1"/>
          <w:sz w:val="16"/>
          <w:szCs w:val="16"/>
        </w:rPr>
        <w:t>3. Утвердить график выпуска моторов М-105П эаводу 26 на оставшиеся дни декабря месяца в следующих количествах:</w:t>
      </w:r>
    </w:p>
    <w:p w14:paraId="09CA7CDD" w14:textId="77777777" w:rsidR="006C122B" w:rsidRPr="00640820" w:rsidRDefault="006C122B"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Sun" w:hAnsi="Times New Roman"/>
          <w:color w:val="000000" w:themeColor="text1"/>
          <w:sz w:val="16"/>
          <w:szCs w:val="16"/>
        </w:rPr>
        <w:t>17 18 19 20 21 22 S3 24 25 26 27 28 29 30 31 декабря</w:t>
      </w:r>
    </w:p>
    <w:p w14:paraId="3824E40E" w14:textId="77777777" w:rsidR="006C122B" w:rsidRPr="00640820" w:rsidRDefault="006C122B"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SimSun" w:hAnsi="Times New Roman"/>
          <w:color w:val="000000" w:themeColor="text1"/>
          <w:sz w:val="16"/>
          <w:szCs w:val="16"/>
        </w:rPr>
        <w:t>17 17 19 21 22 23 24 25 26 27 29 30 30 30 30 штук</w:t>
      </w:r>
    </w:p>
    <w:p w14:paraId="7A4DC8A5" w14:textId="77777777" w:rsidR="006C122B" w:rsidRPr="00640820" w:rsidRDefault="006C122B" w:rsidP="00640820">
      <w:pPr>
        <w:tabs>
          <w:tab w:val="left" w:pos="1258"/>
        </w:tabs>
        <w:spacing w:after="0" w:line="240" w:lineRule="auto"/>
        <w:jc w:val="both"/>
        <w:rPr>
          <w:rFonts w:ascii="Times New Roman" w:eastAsia="SimSun" w:hAnsi="Times New Roman"/>
          <w:color w:val="000000" w:themeColor="text1"/>
          <w:sz w:val="16"/>
          <w:szCs w:val="16"/>
        </w:rPr>
      </w:pPr>
      <w:r w:rsidRPr="00640820">
        <w:rPr>
          <w:rFonts w:ascii="Times New Roman" w:eastAsia="SimSun" w:hAnsi="Times New Roman"/>
          <w:color w:val="000000" w:themeColor="text1"/>
          <w:sz w:val="16"/>
          <w:szCs w:val="16"/>
        </w:rPr>
        <w:t>4. Обязать тов.Баландина, Лаврентьева и секретаря Баш</w:t>
      </w:r>
      <w:r w:rsidRPr="00640820">
        <w:rPr>
          <w:rFonts w:ascii="Times New Roman" w:eastAsia="SimSun" w:hAnsi="Times New Roman"/>
          <w:color w:val="000000" w:themeColor="text1"/>
          <w:sz w:val="16"/>
          <w:szCs w:val="16"/>
        </w:rPr>
        <w:softHyphen/>
        <w:t>кирского обкома тов.Аношина обеспечить безусловное выполне</w:t>
      </w:r>
      <w:r w:rsidRPr="00640820">
        <w:rPr>
          <w:rFonts w:ascii="Times New Roman" w:eastAsia="SimSun" w:hAnsi="Times New Roman"/>
          <w:color w:val="000000" w:themeColor="text1"/>
          <w:sz w:val="16"/>
          <w:szCs w:val="16"/>
        </w:rPr>
        <w:softHyphen/>
        <w:t>ние и перевыполнение графика, утвержденного настоящим по</w:t>
      </w:r>
      <w:r w:rsidRPr="00640820">
        <w:rPr>
          <w:rFonts w:ascii="Times New Roman" w:eastAsia="SimSun" w:hAnsi="Times New Roman"/>
          <w:color w:val="000000" w:themeColor="text1"/>
          <w:sz w:val="16"/>
          <w:szCs w:val="16"/>
        </w:rPr>
        <w:softHyphen/>
        <w:t>становлением (19289),</w:t>
      </w:r>
    </w:p>
    <w:p w14:paraId="151760CC" w14:textId="77777777" w:rsidR="006C122B" w:rsidRPr="00640820" w:rsidRDefault="006C122B" w:rsidP="00640820">
      <w:pPr>
        <w:pStyle w:val="47"/>
        <w:shd w:val="clear" w:color="auto" w:fill="auto"/>
        <w:spacing w:line="240" w:lineRule="auto"/>
        <w:ind w:firstLine="0"/>
        <w:jc w:val="both"/>
        <w:rPr>
          <w:rFonts w:ascii="Times New Roman" w:hAnsi="Times New Roman" w:cs="Times New Roman"/>
          <w:color w:val="000000" w:themeColor="text1"/>
          <w:sz w:val="16"/>
          <w:szCs w:val="16"/>
        </w:rPr>
      </w:pPr>
    </w:p>
    <w:p w14:paraId="3CE939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декабря 1941 вышло Постановление ГКО № 1040 Предложение тов. Микулина о турбореакторе. РГАНИР, Фонд ГКО, д. 16, лл. 119 (11012).</w:t>
      </w:r>
    </w:p>
    <w:p w14:paraId="5A505A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7B6D4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декабря 1941 вышло Постановление ГКО N 1040 Предложение Микулина о турбореакторе.</w:t>
      </w:r>
    </w:p>
    <w:p w14:paraId="1C057D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Принять предложение гл. конструктора завода N 24 Микулина о постройке опытных экземпляров турбореакторов к моторам АМ-37 и АМ-38.</w:t>
      </w:r>
    </w:p>
    <w:p w14:paraId="19AB205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Изготовление опытных экземпляров турбореакторов поручить заводу N 24, обязав директора завода N 24 Жезлова закончить эту работу не позднее 1-го февраля 1942 года, в Микулина сдать заводу чертежи не позднее 1-го января 1942 г.</w:t>
      </w:r>
    </w:p>
    <w:p w14:paraId="55036D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ВВС совместно с НКАП результаты государственных испытаний турбореакторов представить ГКО не позднее 15 февраля 1942 года (1623,307).</w:t>
      </w:r>
    </w:p>
    <w:p w14:paraId="7F9F3C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AF33A42"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состоянию на 17 декабря 1941 г. эвакуация завода № 26 прошла «крайне неудовлетворительно». Справка о состоянии завода, поступившая в Госплан, констатировала, что из вывезенных из Рыбинска 24,5 тыс. человек (с членами семей – до 32 тыс. человек) прибыло в Уфу около 12-14 тыс. Часть рабочих возвратилась с дороги, часть разбежалась в пути, часть бежала из г.Уфы, т.к. завод и местные организации не сумели создать для рабочих «приемлемые условия существования». Рабочие не имели жилья, не было организовано питание, «транспортные условия» (доставка рабочих и служащих к месту работ и обратно) были крайне «тяжелыми». Кроме того, оборудование завода значительно задерживалось: на 17 декабря «около 1000 вагонов еще не прибыло в Уфу», часть замерзла в баржах, часть еще находилась «на колесах» (12291).</w:t>
      </w:r>
    </w:p>
    <w:p w14:paraId="000EBE23" w14:textId="77777777" w:rsidR="00045010" w:rsidRPr="00640820" w:rsidRDefault="00045010" w:rsidP="00640820">
      <w:pPr>
        <w:spacing w:after="0" w:line="240" w:lineRule="auto"/>
        <w:jc w:val="both"/>
        <w:rPr>
          <w:rFonts w:ascii="Times New Roman" w:hAnsi="Times New Roman"/>
          <w:color w:val="000000" w:themeColor="text1"/>
          <w:sz w:val="16"/>
          <w:szCs w:val="16"/>
        </w:rPr>
      </w:pPr>
    </w:p>
    <w:p w14:paraId="50A0F51E" w14:textId="77777777" w:rsidR="0024476E" w:rsidRPr="00640820" w:rsidRDefault="002447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декабря 1941 г. заводы № 384 и № 26 были объединены в одно предприятие – Уфимский моторный завод, ему был присвоен № 26. Директором завода назначили В. П. Баландина, главным инженером – П. Д. Лаврентьева, главным конструктором – В. Я. Климова (19705).</w:t>
      </w:r>
    </w:p>
    <w:p w14:paraId="49E866C7" w14:textId="77777777" w:rsidR="0024476E" w:rsidRPr="00640820" w:rsidRDefault="0024476E" w:rsidP="00640820">
      <w:pPr>
        <w:spacing w:after="0" w:line="240" w:lineRule="auto"/>
        <w:jc w:val="both"/>
        <w:rPr>
          <w:rFonts w:ascii="Times New Roman" w:hAnsi="Times New Roman"/>
          <w:color w:val="000000" w:themeColor="text1"/>
          <w:sz w:val="16"/>
          <w:szCs w:val="16"/>
        </w:rPr>
      </w:pPr>
    </w:p>
    <w:p w14:paraId="73BBB077" w14:textId="77777777" w:rsidR="0024476E" w:rsidRPr="00640820" w:rsidRDefault="002447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декабря 1941 г. Справка № 207с Наркомата авиационной промышленности СССР «О ходе восстановления  эвакуированных  заводов Наркомавиапрома по состоянию на 15 декабря  1941  г.» (сведения о заводах №№ 1, 18, 24, 35, 145 и 305 НКАП,  эвакуированных  в г. Куйбышев).</w:t>
      </w:r>
    </w:p>
    <w:p w14:paraId="026DACB6" w14:textId="77777777" w:rsidR="0024476E" w:rsidRPr="00640820" w:rsidRDefault="002447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Подлинник (рассекречено).</w:t>
      </w:r>
    </w:p>
    <w:p w14:paraId="44876FC0" w14:textId="77777777" w:rsidR="0024476E" w:rsidRPr="00640820" w:rsidRDefault="002447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РГАЭ ф. 8044, оп. 1, д. 641, лл. 144 – 145. (18959).</w:t>
      </w:r>
    </w:p>
    <w:p w14:paraId="1AD6E3FC" w14:textId="77777777" w:rsidR="0024476E" w:rsidRPr="00640820" w:rsidRDefault="0024476E" w:rsidP="00640820">
      <w:pPr>
        <w:spacing w:after="0" w:line="240" w:lineRule="auto"/>
        <w:jc w:val="both"/>
        <w:rPr>
          <w:rFonts w:ascii="Times New Roman" w:hAnsi="Times New Roman"/>
          <w:color w:val="000000" w:themeColor="text1"/>
          <w:sz w:val="16"/>
          <w:szCs w:val="16"/>
        </w:rPr>
      </w:pPr>
    </w:p>
    <w:p w14:paraId="40F4EC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декабря 1941 года приказом НКАП возрождающееся на территории эвакуированного инсструментального завода № 3 Оргавиапрома предприятие было оформлено, как филиал завода № 478.</w:t>
      </w:r>
    </w:p>
    <w:p w14:paraId="0F2B50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по НКАП от 1 июня 1942 года за № 18 заводу было присвоено наименование “Завод № 3 Оргавиапрома НКАП”.</w:t>
      </w:r>
    </w:p>
    <w:p w14:paraId="0BAAD5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по НКАП от 1 июня 1944 года за № 377 завод был переименован в завод № 492.</w:t>
      </w:r>
    </w:p>
    <w:p w14:paraId="33CB3E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Поскольку завод № 492 организован лишь на территории ранее занимаемой 3-м инструментальным заводом и никакой организационной связи с этим заводом не имел, то официальной датой организации завода № 492 следует считать 17 декабря 1941 года. В 1951 году завод был реорганизован под выпуск пневматического инструмента.</w:t>
      </w:r>
    </w:p>
    <w:p w14:paraId="1720BE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Постановлением от 2 сентября 1957 года за № 5 завод № 492 был передан из Управления авиапромышленности Мосгорсовнархоза в Управление межотраслевых организаций и производств с сохранением производства пневматического инструмента.</w:t>
      </w:r>
    </w:p>
    <w:p w14:paraId="5E3247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 А. Терехин</w:t>
      </w:r>
    </w:p>
    <w:p w14:paraId="49E064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Москва, Большой Трехгорный пер., д. 3 (9859).</w:t>
      </w:r>
    </w:p>
    <w:p w14:paraId="407112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CD443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декабря 1941 года Приказом НКАП за № 1164сс завод № 384 (с включенными в него заводами №№ 234, 451 и 219) и завод № 26 объединены в один завод с расположением на двух площадках и присвоением номера 26. В 1943 году завод выпускал мотор М-107.</w:t>
      </w:r>
    </w:p>
    <w:p w14:paraId="063389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Указом Президиума ВС от 5 июля 1944 года Сталинский промышленный район, в котором находится завод № 26 выделен из сотава г. Уфы и образован новый город Черниковск. Во второй половине 1945 года завод получил задание по освоению реактивного двигателя РД-10.</w:t>
      </w:r>
    </w:p>
    <w:p w14:paraId="022FB4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МАП № 414 от 1июля 1946 года Опытно-конструкторский цех был реорганизован в ОКБ, гл. конструктором которого был назначен Кузнецов Н.Д. В 1947 году осваивался и внедрялся в серийное производство двигатель РД-10. В 1948 году заводом выпускались следующие основные виды продукции: РД-10, поршневой авиадвигатель ВК-107А и комбайновый мотор У-5МА.</w:t>
      </w:r>
    </w:p>
    <w:p w14:paraId="7B20A5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Постановлением Правительства от 15 марта 1948 года на завод № 26 возложено задание выпустить в серийное производство новый реактивный двигатель РД-45Ф по образцу, прошедшему 100-часовое госиспытание на заводе № 45.</w:t>
      </w:r>
    </w:p>
    <w:p w14:paraId="2E866A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МАП № 400 сс от 17 июня 1948 года ОКБ при заводе № 26 было ликвидировано (9810).</w:t>
      </w:r>
    </w:p>
    <w:p w14:paraId="75A98E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4BD4B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17 декабря 1941 объём проведения эвакуаци</w:t>
      </w:r>
      <w:r w:rsidRPr="00640820">
        <w:rPr>
          <w:rFonts w:ascii="Times New Roman" w:hAnsi="Times New Roman"/>
          <w:color w:val="000000" w:themeColor="text1"/>
          <w:sz w:val="16"/>
          <w:szCs w:val="16"/>
        </w:rPr>
        <w:softHyphen/>
        <w:t>онных мероприятий на заводе № 26, который эвакуировался в Уфу с осени 1941, характеризовался оценкой «крайне неудовлетворительно» (Быстрова И.В. Указ. соч. С. 196.). Следует учитывать, что противник зафиксировал начало эвакуационных мероприятий и немед</w:t>
      </w:r>
      <w:r w:rsidRPr="00640820">
        <w:rPr>
          <w:rFonts w:ascii="Times New Roman" w:hAnsi="Times New Roman"/>
          <w:color w:val="000000" w:themeColor="text1"/>
          <w:sz w:val="16"/>
          <w:szCs w:val="16"/>
        </w:rPr>
        <w:softHyphen/>
        <w:t>ленно интенсифицировал авиаудары по Рыбинску, стремясь сорвать вывоз оборудования (Авиадвигатели «Сатурна». М., 2003. С. 66.). Хотя из Рыбинска было выве</w:t>
      </w:r>
      <w:r w:rsidRPr="00640820">
        <w:rPr>
          <w:rFonts w:ascii="Times New Roman" w:hAnsi="Times New Roman"/>
          <w:color w:val="000000" w:themeColor="text1"/>
          <w:sz w:val="16"/>
          <w:szCs w:val="16"/>
        </w:rPr>
        <w:softHyphen/>
        <w:t xml:space="preserve">зено около 32 тыс. чел. (из них 24 500 сотрудников завода, остальные—члены семей), в Уфу прибыло лишь 12—14 тыс. чел. (Быстрова И.В. Указ. соч. С. 196.). Это объяснялось тем, что часть рабочих разбежалась в пути, часть вернулась в Рыбинск, а некоторые, прибыв в Уфу, предпочли не задерживаться в городе, так как условия </w:t>
      </w:r>
      <w:r w:rsidRPr="00640820">
        <w:rPr>
          <w:rFonts w:ascii="Times New Roman" w:hAnsi="Times New Roman"/>
          <w:color w:val="000000" w:themeColor="text1"/>
          <w:sz w:val="16"/>
          <w:szCs w:val="16"/>
        </w:rPr>
        <w:lastRenderedPageBreak/>
        <w:t>про</w:t>
      </w:r>
      <w:r w:rsidRPr="00640820">
        <w:rPr>
          <w:rFonts w:ascii="Times New Roman" w:hAnsi="Times New Roman"/>
          <w:color w:val="000000" w:themeColor="text1"/>
          <w:sz w:val="16"/>
          <w:szCs w:val="16"/>
        </w:rPr>
        <w:softHyphen/>
        <w:t>живания и труда были явно неприемлемы. Сотрудники ави</w:t>
      </w:r>
      <w:r w:rsidRPr="00640820">
        <w:rPr>
          <w:rFonts w:ascii="Times New Roman" w:hAnsi="Times New Roman"/>
          <w:color w:val="000000" w:themeColor="text1"/>
          <w:sz w:val="16"/>
          <w:szCs w:val="16"/>
        </w:rPr>
        <w:softHyphen/>
        <w:t>азаводов были вынуждены ютиться не только в землянках, по и в палаточных городках (Куманёв Г.А. Говорят сталинские наркомы. Смоленск, 2005. С. 209.). Однако основная масса потерь персонала пришлась всё же именно на этап эвакуации. Дело и том, что если оборудование эвакуировалось преимуще</w:t>
      </w:r>
      <w:r w:rsidRPr="00640820">
        <w:rPr>
          <w:rFonts w:ascii="Times New Roman" w:hAnsi="Times New Roman"/>
          <w:color w:val="000000" w:themeColor="text1"/>
          <w:sz w:val="16"/>
          <w:szCs w:val="16"/>
        </w:rPr>
        <w:softHyphen/>
        <w:t>ственно железнодорожным транспортом, то персонал и чле</w:t>
      </w:r>
      <w:r w:rsidRPr="00640820">
        <w:rPr>
          <w:rFonts w:ascii="Times New Roman" w:hAnsi="Times New Roman"/>
          <w:color w:val="000000" w:themeColor="text1"/>
          <w:sz w:val="16"/>
          <w:szCs w:val="16"/>
        </w:rPr>
        <w:softHyphen/>
        <w:t>ны семей добирались водным путём. Поздней осенью Волга замёрзла, и людям пришлось добираться до Горького (откуда их отправили уже по железной дороге) около 100 км пешком и па подводах (Авиадвигатели «Сатурна». М., 2003. С. 66.). Не лучше было положение дел и с эвакуацией оборудования. На декабрь 1941 г. 1000 вагонов с имуществом завода всё ещё не прибыло в Уфу». С учётом того, что всего из Рыбинска с грузами завода № 26 было отправлено 3000 ваго</w:t>
      </w:r>
      <w:r w:rsidRPr="00640820">
        <w:rPr>
          <w:rFonts w:ascii="Times New Roman" w:hAnsi="Times New Roman"/>
          <w:color w:val="000000" w:themeColor="text1"/>
          <w:sz w:val="16"/>
          <w:szCs w:val="16"/>
        </w:rPr>
        <w:softHyphen/>
        <w:t>нов (Авиадвигатели «Сатурна». М., 2003. С. 66.), речь идёт о том, что в пути «зависло» около трети иму</w:t>
      </w:r>
      <w:r w:rsidRPr="00640820">
        <w:rPr>
          <w:rFonts w:ascii="Times New Roman" w:hAnsi="Times New Roman"/>
          <w:color w:val="000000" w:themeColor="text1"/>
          <w:sz w:val="16"/>
          <w:szCs w:val="16"/>
        </w:rPr>
        <w:softHyphen/>
        <w:t>щества. Причём нельзя упускать из виду, что далеко не всё оборудование, задел и полуфабрикаты транспортировались по железной дороге. Значительная часть имущества так же, как и персонал, следовала по реке на баржах и, не успев до ледостава добраться до Уфы, попросту вмерзла в лёд. С дру</w:t>
      </w:r>
      <w:r w:rsidRPr="00640820">
        <w:rPr>
          <w:rFonts w:ascii="Times New Roman" w:hAnsi="Times New Roman"/>
          <w:color w:val="000000" w:themeColor="text1"/>
          <w:sz w:val="16"/>
          <w:szCs w:val="16"/>
        </w:rPr>
        <w:softHyphen/>
        <w:t>гой стороны, ситуация до некоторой степени облегчалась тем, что в Уфе в состав завода № 26 были включены следующие предприятия (Быстрова И.В. Указ. соч. С. 195—196.):</w:t>
      </w:r>
    </w:p>
    <w:p w14:paraId="6D1093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384 — строился в Уфе, располагал 1423 единицами обо</w:t>
      </w:r>
      <w:r w:rsidRPr="00640820">
        <w:rPr>
          <w:rFonts w:ascii="Times New Roman" w:hAnsi="Times New Roman"/>
          <w:color w:val="000000" w:themeColor="text1"/>
          <w:sz w:val="16"/>
          <w:szCs w:val="16"/>
        </w:rPr>
        <w:softHyphen/>
        <w:t>рудования и 8891 рабочим;</w:t>
      </w:r>
    </w:p>
    <w:p w14:paraId="2FFBE0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451 — эвакуирован в июне 1941 г. из Ленинграда в со</w:t>
      </w:r>
      <w:r w:rsidRPr="00640820">
        <w:rPr>
          <w:rFonts w:ascii="Times New Roman" w:hAnsi="Times New Roman"/>
          <w:color w:val="000000" w:themeColor="text1"/>
          <w:sz w:val="16"/>
          <w:szCs w:val="16"/>
        </w:rPr>
        <w:softHyphen/>
        <w:t>ставе 364 единиц оборудования (смонтированы к 1 августа 1941 г.) и 1116 рабочих;</w:t>
      </w:r>
    </w:p>
    <w:p w14:paraId="6CD024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234 — эвакуирован в августе 1941 г. из Ленинграда в со</w:t>
      </w:r>
      <w:r w:rsidRPr="00640820">
        <w:rPr>
          <w:rFonts w:ascii="Times New Roman" w:hAnsi="Times New Roman"/>
          <w:color w:val="000000" w:themeColor="text1"/>
          <w:sz w:val="16"/>
          <w:szCs w:val="16"/>
        </w:rPr>
        <w:softHyphen/>
        <w:t>ставе 1752 единиц оборудования (смонтированы к 1 октября 1941 г.) и 6487 рабочих;</w:t>
      </w:r>
    </w:p>
    <w:p w14:paraId="081236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219 — эвакуирован в ноябре—декабре 1941 г. из М сквы в составе 182 единиц оборудования (из них 20 — смо тированы к 17 декабря 1941 г.) и 322 рабочих.</w:t>
      </w:r>
    </w:p>
    <w:p w14:paraId="3DB528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Таким образом, свыше половины сотрудников завода № 26 к декабрю 1941 г. приходилось на «новеньких», не относящихся к числу эвакуированных из Рыбинска. Важно отме тить, что заводы № 384,451 и 234 ещё до включения в соста завода № 26 были задействованы (или, как недостроеннь завод № 384, планировались к использованию) как авиамо</w:t>
      </w:r>
      <w:r w:rsidRPr="00640820">
        <w:rPr>
          <w:rFonts w:ascii="Times New Roman" w:hAnsi="Times New Roman"/>
          <w:color w:val="000000" w:themeColor="text1"/>
          <w:sz w:val="16"/>
          <w:szCs w:val="16"/>
        </w:rPr>
        <w:softHyphen/>
        <w:t>торостроительные, что позволяло сравнительно эффективно использовать оборудование и персонал этих предприятий.</w:t>
      </w:r>
    </w:p>
    <w:p w14:paraId="69DBB8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D516CA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декабря 1941 г. Приказом НКАП № 1164сс для обеспечения выпуска моторов М-105Р на основе эвакуированного в Уфу на площадку завода № 384 НКАП завода № 26 (эвакуировано более 3000 вагонов и 25 барж с оборудованием, материалами и личным составом) был образован объединенный завод, получивший название «Уфимский моторостроительный завод № 26 НКАП» в ЗГУ. Новому заводу переданы все помещения, оборудование и кадры завода № 384 НКАП, объединившего к тому времени заводы № 234 (эвакуирован по приказам № 652сс от 9.07.1941 г. и № 729сс от 22.07.1941 г.), № 338, № 451 и № 282 НКАП. Сюда также были эвакуированы часть завода № 219 и проектное бюро ЦИАМ. Завод размещался на нескольких площадках, одной из которых была территория Протезного завода. Здесь в 1941-43 г. базировалось эвакуированное ОКБ-250 гл. конструктора В.А. Добрынина. Пост. ГКО № 1832 от 30.05.1942 г. 100 чел. ИТР были переведены с завода № 26 на завод № 45.</w:t>
      </w:r>
    </w:p>
    <w:p w14:paraId="27C325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Приказом директора завода от 14.11.1941 г. уполномоченным управляющим в Рыбинске остался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Кустов. На площадке эвакуированного завода в Рыбинске по приказу НКАП от 1.03.1942 г. образован завод № 36 НКАП. В 04.1942 г. из Уфы на новый завод переведено 130 чел.</w:t>
      </w:r>
    </w:p>
    <w:p w14:paraId="04780F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28.04.1942 г. вышло постановление ГКО № 1673 о выпуске на заводе моторов М-105ПФ, 25.09.1942 г. - постановление ГКО № 2346 о форсировании работ по постройке и испытанию на заводе моторов М-107А и М- 106. Пост. ГКО № 4849 от 27.12.1943 г. мотор ВК-107А запущен в серию.</w:t>
      </w:r>
    </w:p>
    <w:p w14:paraId="0D0A48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ГКО № 2760 от 18.01.1943 г. на заводе организовано производство танковых дизелей.</w:t>
      </w:r>
    </w:p>
    <w:p w14:paraId="5E9236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годы войны заводом выпущена 91 тыс. моторов.</w:t>
      </w:r>
    </w:p>
    <w:p w14:paraId="2A4225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МАП № 180 заводу поручено производство трофейного ТРД ЮМО-004 с выпуском в 1945 г., начиная с августа, 110 двигателей.</w:t>
      </w:r>
    </w:p>
    <w:p w14:paraId="46A52D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1946 г. на завод передано полностью оборудование завода «Юнкере» в Мульденштейне (Германия)- 235 станков (в т.ч. 6 гидропрессов мощностью 1000-2500 тонн) и 112 единиц прочего оборудования.</w:t>
      </w:r>
    </w:p>
    <w:p w14:paraId="49DB52A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1954 г. начат выпуск узлов для вертолетов; короткоресурсных двигателей для КР, мишеней, БПЛА, с 1958 г.- производство ЖРД. По 1990 г. выпущено более 25 моделей ЖРД.</w:t>
      </w:r>
    </w:p>
    <w:p w14:paraId="7DFE1B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СМ СССР № 713-342 от 26.06.1957 г. завод № 26 передан в ведение СНХ РСФСР. Имел наименование «п/я 100».</w:t>
      </w:r>
    </w:p>
    <w:p w14:paraId="186DC5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1950-е  г. освоен выпуск малолитражных двигателей, к 2007 г. их выпущено более 3 млн. В 09.1965 г. организовано производство двигателей для автомобилей «Москвич-412», преобразованное затем в Уфимский завод автомобильных моторов (УЗАМ). К 2007 г. их выпущено более 8 млн.</w:t>
      </w:r>
    </w:p>
    <w:p w14:paraId="464E5B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МАП от 17.11.1977 г. на заводе началось освоение производства АЛ-31Ф, по пр. от 10.04.1978 г. в производство запущен двигатель в новой компоновке (с верхним расположением агрегатов).</w:t>
      </w:r>
    </w:p>
    <w:p w14:paraId="4723BC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Освоен выпуск узлов двигателей НК-25 и НК-32. Для этого построено 4 новых производственных корпуса, организовано 52 спецучастка в 19 цехах, освоено более 100 новых техпроцессов (в т.ч. детонационное напыление полок лопаток компрессора, штамповка взрывом, виброупрочнение титановых лопаток, алмазное выглаживание). В 1980 г. на заводе построен корпус титанового литья; в 1981 г.- корпус вакуумных установок направленной кристализации и участок сварки в обитаемой камере в среде аргона.</w:t>
      </w:r>
    </w:p>
    <w:p w14:paraId="4110F6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Имел филиал в Узбекистане, директор (1986 г.-)- Н.Б. Пучнин.</w:t>
      </w:r>
    </w:p>
    <w:p w14:paraId="42BC18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1978 г. на базе завода создано УМПО. В 1993 г. предприятие преобразовано в АО. В 06.2003 г. ММПП «Салют» и УМПО образовали корпорацию «Газотурбинные двигатели». По решению правительства № 22-р от 9.01.2004 г. УМПО вошло в перечень стратегических предприятий. В 2005 г. учреждено ОАО «Управляющая компания (УК) «Уфимские моторы». В 08.2007 г. создано ЗАО «Управляющая компания «Сатурн-УМПО». В 12.2008 г. УМПО продано компании «Оборонпром».</w:t>
      </w:r>
    </w:p>
    <w:p w14:paraId="44F3A7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Предприятием освоен выпуск более 60 типов авиационных двигателей. Самое крупное в России (2005 г.) авиадвигателестроительное предприятие.</w:t>
      </w:r>
    </w:p>
    <w:p w14:paraId="527E1C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2006 г. велась подготовка производства двигателя </w:t>
      </w:r>
      <w:r w:rsidRPr="00640820">
        <w:rPr>
          <w:rFonts w:ascii="Times New Roman" w:hAnsi="Times New Roman"/>
          <w:color w:val="000000" w:themeColor="text1"/>
          <w:sz w:val="16"/>
          <w:szCs w:val="16"/>
          <w:lang w:val="en-US"/>
        </w:rPr>
        <w:t>V</w:t>
      </w:r>
      <w:r w:rsidRPr="00640820">
        <w:rPr>
          <w:rFonts w:ascii="Times New Roman" w:hAnsi="Times New Roman"/>
          <w:color w:val="000000" w:themeColor="text1"/>
          <w:sz w:val="16"/>
          <w:szCs w:val="16"/>
        </w:rPr>
        <w:t xml:space="preserve"> поколения, построено 5 экспериментальных образцов (тема 117С, совместно с НПО «Сатурн»).</w:t>
      </w:r>
    </w:p>
    <w:p w14:paraId="4B292E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(1925 г.)- 297 ед., (1926 г.)- 261 ед.</w:t>
      </w:r>
    </w:p>
    <w:p w14:paraId="05E332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территории (1925 г.)- 573 тыс.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производственная (1925 г.)- 24,75 тыс.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78068E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(12.1926 г.)- 141 чел., (1.10.2001 г.)- 17.250 чел.</w:t>
      </w:r>
    </w:p>
    <w:p w14:paraId="2E92CA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Управляющий (1916-18 г.)-  Г. Шевалье, (1919-22 г.)- А.С. Новиков, (05.1922 г.-)- А.А. Сабанеев, (1922-23 г.)- С.Н. Юшкевич, (1924-25 г.)- И.К. Иванов. Директор (1925-ЗО г.)- И.С. Михайлов, (1930-34 г.; 1936-28.10.1937 г.)-  Г.Н. Королев (снят), (1934 г.)- А.И. Карлик, (1934-35 г.)- И.И. Побережский, (13.02.1938-39; 12.1941-46 г.)- В.П. Баландин, (1939-40 г.)- А.А. Завитаев, (1940-1941; 08.1946-47 г.-)- П.Д. Лаврентьев, (1949 г.-)- М.И. Субботин</w:t>
      </w:r>
      <w:r w:rsidRPr="00640820">
        <w:rPr>
          <w:rFonts w:ascii="Times New Roman" w:hAnsi="Times New Roman"/>
          <w:color w:val="000000" w:themeColor="text1"/>
          <w:sz w:val="16"/>
          <w:szCs w:val="16"/>
          <w:vertAlign w:val="superscript"/>
        </w:rPr>
        <w:t>49</w:t>
      </w:r>
      <w:r w:rsidRPr="00640820">
        <w:rPr>
          <w:rFonts w:ascii="Times New Roman" w:hAnsi="Times New Roman"/>
          <w:color w:val="000000" w:themeColor="text1"/>
          <w:sz w:val="16"/>
          <w:szCs w:val="16"/>
        </w:rPr>
        <w:t>, (1947-77 г.)- М.А. Ферин. Гендиректор (-11.1977-86 г.)- В.Д. Дьяконов, (1986-98 г.)- В.М. Паращенко, (1998- 18.12.2004 г.)- В.П. Лесунов; и.о. (20.12.2004-01.2005 г.)- Ю.Л. Пустовгаров; (01.2005-22.03.2006 г.)- Ю.Л. Пустовгаров, (03.2006-09 г.-)- А.В. Артюхов.</w:t>
      </w:r>
    </w:p>
    <w:p w14:paraId="506243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Зам. директора: (5.09.1927 г.-)- Я.Д. Будаков, (25.03.1938 г.-)- А.А. Завитаев, (12.1941 г.-)- П.Д. Лаврентьев; по основному производству (1989 г.-)- Н.Б. Пучнин. Помощник директора: по техчасти (07.1927 г.)- Титов; по найму и увольнению (-06.1937-09.1938 г.-)-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Рысин. Зам. гендиректора (1996 г.)- В.М. Толоконников, (2003-06 г.)- А. Артюхов, (2005 г.)- Р.З. Агзамов.</w:t>
      </w:r>
    </w:p>
    <w:p w14:paraId="64BF10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технический (20.08.1937 г.-)- В.П. Баландин, (12.1938 г.)- А.А. Завитаев, (2002 г.)- В.А. Грабовский, (- 2004-01.2005 г.)- Ю.Л. Пустовгаров, (01.2005-07 г.-)- С.П. Павлинич; коммерческий (2002 г.)- Ю.Л. Пустовгаров; по маркетингу (2005 г.)- Р.З. Агзамов; по стратегическому развитию (2006 г.)- П. Кривной; основного производства (2002 г.)- В.М. Кислицын; УЗАМ (2002 г.)- Н.Н. Федоров; БМЗ (2002 г.)- С.Н. Реутцкий; УИЗ (2002 г.)- Р.С. Шехтман.</w:t>
      </w:r>
      <w:r w:rsidRPr="00640820">
        <w:rPr>
          <w:rFonts w:ascii="Times New Roman" w:hAnsi="Times New Roman"/>
          <w:color w:val="000000" w:themeColor="text1"/>
          <w:sz w:val="16"/>
          <w:szCs w:val="16"/>
          <w:vertAlign w:val="superscript"/>
        </w:rPr>
        <w:t>69</w:t>
      </w:r>
    </w:p>
    <w:p w14:paraId="10EF27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(1920 г.-)-  Г. Филиппов, (-1936-05.1937 г.-)- М.В. Ходушин, (25.03.1938 г.-)- А.А. Завитаев, (-1939- 41 г.-)- П.Д. Лаврентьев, (1970-е)- В.Н. Дрозденко, (1978 г.)- А.Н. Мочалов.</w:t>
      </w:r>
    </w:p>
    <w:p w14:paraId="41C52F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(1930 г.)- А.П. Ро, (1935-46 г.)- В.Я. Климов.</w:t>
      </w:r>
    </w:p>
    <w:p w14:paraId="44C723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конструктора (1949 г.-)- С.А. Гаврилов.</w:t>
      </w:r>
    </w:p>
    <w:p w14:paraId="26AB1F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Гл. технолог (20.08.1937 г.-)- А.А. Завитаев, (1939 г.)-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Мыздриков, А.Т. Кладовщиков. Гл. металлург (1941 г.)- М.А. Ферин.</w:t>
      </w:r>
    </w:p>
    <w:p w14:paraId="0DECFE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Глава корпорации «Газотурбинные двигатели» (06.2003 г.-)- В. Брылев.</w:t>
      </w:r>
    </w:p>
    <w:p w14:paraId="57DB56F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подготовки производства (-1939 г.)- А.А. Завитаев. Начальник отделения (1941-46 г.)- В. Г. Хорошайлов.</w:t>
      </w:r>
    </w:p>
    <w:p w14:paraId="14A459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цехов: цветной штамповки (1939 г.)- Тарханов.</w:t>
      </w:r>
    </w:p>
    <w:p w14:paraId="001A161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Заведующие отделами: техническим (1928 г.)- В.Е. Фохт.</w:t>
      </w:r>
    </w:p>
    <w:p w14:paraId="03CF218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начальника отдела: КО (1943-46 г.)- С.П. Изотов.</w:t>
      </w:r>
    </w:p>
    <w:p w14:paraId="3C467E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лабораторий: центральной (1930-е)- М.А. Ферин.</w:t>
      </w:r>
    </w:p>
    <w:p w14:paraId="776290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бюро: (1940 г.)- В.Н. Масленников.</w:t>
      </w:r>
    </w:p>
    <w:p w14:paraId="1B4582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авиационные двигатели: поршневые: М-17 (1930-38)- 8000, танковый М-17Т (-1934-37-), «Испано-Сюиза 12» (1930-е), М-34 (1931)- 23, М-100 (1934-38)- 498, М-103 (1936-41)- 1280, М-104 (1939-40), М- 105 (1939-41), М-17Ф (1940-41), М-105ПФ (1942-46), ВК-106П (1943-46), ВК-107 (1943-48), ВК-108 (1945-46); ГТД: РД-10А (1946-49), РД-45 (1948-50), РД-45Ф (1951-55), ВК-1 (1949-55), РД-9Б (1954-74), РД-9Ф (1956-74), РД-9БК (1959-85), РЗ-26 (1958-59), М-9ФК (1959), КРД-26 (для П-5, 1959), Р11К (1960-80), КР-7-300 (1961-), Р11Ф-300 (1962-75; -2004-), Р13-300 (1969-86), Р13Ф-300 (1971-78; -2004-), Р25-300 (1972-86; -2004-), Р27Ф2-300, Р29Б-300 (1974-86; -2004-), Р-35, Р-95Ш (1980-2005-), Р-195 (1988-2005-), КР-17 (1980-е), КР21-300 (1980-е), Р- 295, АЛ-31Ф (1981-2005-), АЛ-31ФП, Д-27 (2002), Д-436 (2000-05-);</w:t>
      </w:r>
      <w:r w:rsidRPr="00640820">
        <w:rPr>
          <w:rFonts w:ascii="Times New Roman" w:hAnsi="Times New Roman"/>
          <w:color w:val="000000" w:themeColor="text1"/>
          <w:sz w:val="16"/>
          <w:szCs w:val="16"/>
          <w:vertAlign w:val="superscript"/>
        </w:rPr>
        <w:t>49</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vertAlign w:val="superscript"/>
        </w:rPr>
        <w:t>68</w:t>
      </w:r>
      <w:r w:rsidRPr="00640820">
        <w:rPr>
          <w:rFonts w:ascii="Times New Roman" w:hAnsi="Times New Roman"/>
          <w:color w:val="000000" w:themeColor="text1"/>
          <w:sz w:val="16"/>
          <w:szCs w:val="16"/>
        </w:rPr>
        <w:t xml:space="preserve"> АЛ-55 (2005); бортовой компрессор АКР- 30 (-1938); узлы для НК-25, НК-32, Д-436ТП (2000-); газотурбинный привод АЛ-31СТ (1996-2005-), АЛ-31СТЭ; самопуск типа «Вьет» (-1938); узлы для Ми-6, Ми-10, Ка-26 (1954-), колонки для вертолетов Ка-27, Ка-28, Ка-29, Ка-32 (-2004-05-), автомат перекоса для Ми-26 (2005); </w:t>
      </w:r>
    </w:p>
    <w:p w14:paraId="54AE53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карбюраторные двигатели для автомобилей «Москвич-412» (1967-), бензиновый мотор УМЗ- 341; снегоходы «Рысь» (1990-е)- более 14 тыс.; мотоблоки «Универсал», МБ-1, «Урал», «Урал-3», «Агрос», «Агро» (1980-е-2000- е)- всего около 150 тыс.; водные мотоциклы, токарно-винторезные станки: ТВ-320 (1956-70), «1961» (1994-2004-)- всего около 40 тыс.; капремонт двигателей Р13-300, Р25-300, Р29Б-300 (2005) (11982).</w:t>
      </w:r>
    </w:p>
    <w:p w14:paraId="3EBA04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14B4E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декабря 1941 г. инструментальный завод № 3 ОАП передан в качестве филиала вновь образованному заводу № 478 НКАП для развития основного производства.</w:t>
      </w:r>
    </w:p>
    <w:p w14:paraId="410EB6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годы войны выпускал ручные гранаты, пехотные лопатки, ломы, ножницы для резки колючей проволоки, станки ножовочные.</w:t>
      </w:r>
    </w:p>
    <w:p w14:paraId="6C7943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377с от 1.06.1944 г. завод № 3 ОАП НКАП переименован в завод № 492 ОАП НКАП (Завод № 492 НКАП, Завод № 3 ОАП НКАП, Московский завод пневмоинстументов, ОАО «Московский завод «Пневмоинструмент» (МЗПИ) /123007  г. Москва 4-я Магистральная ул., 13 тел. 256-75-10/).</w:t>
      </w:r>
    </w:p>
    <w:p w14:paraId="030FF0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1951 г. освоен выпуск ручного пневматического инструмента, который поставлялся затем на все предприятия авиационно-космической промышленности. К 1968 г. выпускал пневмогайковерты, прессы, кусачки, машины: фрезерные, отрезные; ножницы: по металлу, дисковые; рубанки, дисковые пилы, сабельные ножовки, пылесосы, отвертки, стамески.</w:t>
      </w:r>
    </w:p>
    <w:p w14:paraId="1590C1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(2002 г.): ручной пневматический инструмент вращательного, ударного действия, пневматические прессы, вспомогательный инструмент для авиапрмышленности (клепальные многоударные молотки, сверлильные машины, резьбонарезные и резьбозавертывающие машины, шлифовальные и зачистные машины, инструмент для одностронней безударной клепки, отрезные и фрезерные машины, кусачки).</w:t>
      </w:r>
    </w:p>
    <w:p w14:paraId="6D502BF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ОАО МЗПИ - головное предприятие (2000-е  г.) авиакосмической отрасли по производству ручного пневмоинструмента.</w:t>
      </w:r>
    </w:p>
    <w:p w14:paraId="37B2EE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666654B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(2002 г.)- около 100 чел.</w:t>
      </w:r>
    </w:p>
    <w:p w14:paraId="7ECC93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Гендиректор (-2000-02 г.-&gt; В.Н. Кузьмин.</w:t>
      </w:r>
    </w:p>
    <w:p w14:paraId="0933FC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по производству и обеспечению (2002 г.)- В.И. Суворов.</w:t>
      </w:r>
    </w:p>
    <w:p w14:paraId="2A7517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отдела кадров (2002 г.)- Т.А. Зикрань.</w:t>
      </w:r>
      <w:r w:rsidRPr="00640820">
        <w:rPr>
          <w:rFonts w:ascii="Times New Roman" w:hAnsi="Times New Roman"/>
          <w:color w:val="000000" w:themeColor="text1"/>
          <w:sz w:val="16"/>
          <w:szCs w:val="16"/>
          <w:vertAlign w:val="superscript"/>
        </w:rPr>
        <w:t>69</w:t>
      </w:r>
    </w:p>
    <w:p w14:paraId="692339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клепальные молотки: КМ1, КМ2, КМЗ (1952); шлифмашины ШР0,6, ШР2 (1952) (11982).</w:t>
      </w:r>
    </w:p>
    <w:p w14:paraId="0766DC96" w14:textId="77777777" w:rsidR="006C1BE5" w:rsidRPr="00640820" w:rsidRDefault="006C1BE5" w:rsidP="00640820">
      <w:pPr>
        <w:autoSpaceDE w:val="0"/>
        <w:autoSpaceDN w:val="0"/>
        <w:adjustRightInd w:val="0"/>
        <w:spacing w:after="0" w:line="240" w:lineRule="auto"/>
        <w:jc w:val="both"/>
        <w:rPr>
          <w:rFonts w:ascii="Times New Roman" w:hAnsi="Times New Roman"/>
          <w:color w:val="000000" w:themeColor="text1"/>
          <w:sz w:val="16"/>
          <w:szCs w:val="16"/>
        </w:rPr>
      </w:pPr>
    </w:p>
    <w:p w14:paraId="10292D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декабря 1941 г. состоялся Президиум ЦК союза авиапромышленности: Слушали: О командировках работников ЦК союза на заводы. Постановили: На основании предложения ВЦСПС для оказания практической помощи профорганизациям в работе и налаживания связи с эвакуированными заводами командировать следующих товарищей... в гг. Казань, Саратов, Ташкент, Тбилиси, Свердловск, Уфу, Киров, Горький, Павлово, Омск, Новосибирск, Красноярск, Иркутск, Куйбышев (11764).</w:t>
      </w:r>
    </w:p>
    <w:p w14:paraId="16B30F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E7182B6"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13B06127"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08BD1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17 декабря 1941 г., после освобождения Алексина от фашистов, в соответствии с пост. ГКО № 1091с от 3.01.1942 г. начато возвращение оборудования на комбинат(Комбинат № 100 НКТП, НКОП, НКБ /г. Алексин Московской обл. п/я 1 «Комбинат» (1943 г.)/), а в 02-05.1942 г. начат монтаж оборудования на старом месте, частично возвращены работники, и комбинат восстановлен. В 1943 г. шло восстановление порохового, эфирного и кислотного производства. В составе завода (1943 г.): основные производства: № 2, 3, 5; вспомогательные: ремонтно-механический завод (цехи: № 1, котельный, кузница, ДОЦ, ремонтный, токарный, литейный, парокотельный); ЦЗЛ. Строились в 1943 г.: производство № 4.</w:t>
      </w:r>
    </w:p>
    <w:p w14:paraId="3EEAA4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12.1942-04.1943 г. - в ведении ЗГУ НКБ, в 08.1943-09.1944 г. - в ведении 9ГУ.</w:t>
      </w:r>
    </w:p>
    <w:p w14:paraId="4AB9E2E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(1943 г.): производственная- 16542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вспомогательная- 14430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прочая- 15114м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5842261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(1940 г.)- 99 чел. (рабочих), (10.1941 г.)- 1536 чел., (12.1942 г.)- 2479 чел.</w:t>
      </w:r>
    </w:p>
    <w:p w14:paraId="7CBBEA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(1930-е)- А.П. Севостьянов, (1941 г.)- Н.Е. Стрельцов, (-04-11.1943 г.-)- Готовкин. Начальник (01.1944 г.)- пп Готовкин.</w:t>
      </w:r>
    </w:p>
    <w:p w14:paraId="5032D3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строительства (-12.1936-5.04.1937 г.)- А.Т. Севастьянов; и.о. (5.04.1937 г.-)- В.И. Киселев; (8.05- 15.12.1937 г.)- И. Г. Гранкин, (15.12.1937 г.-)- П.С. Калягин.</w:t>
      </w:r>
    </w:p>
    <w:p w14:paraId="48E171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(1941 г.)- А. Г. Каллистов.</w:t>
      </w:r>
      <w:r w:rsidRPr="00640820">
        <w:rPr>
          <w:rFonts w:ascii="Times New Roman" w:hAnsi="Times New Roman"/>
          <w:color w:val="000000" w:themeColor="text1"/>
          <w:sz w:val="16"/>
          <w:szCs w:val="16"/>
          <w:vertAlign w:val="superscript"/>
        </w:rPr>
        <w:t>55</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vertAlign w:val="superscript"/>
        </w:rPr>
        <w:t>56</w:t>
      </w:r>
    </w:p>
    <w:p w14:paraId="0BB96E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энергетик (1938 г.)- Кучеров.</w:t>
      </w:r>
    </w:p>
    <w:p w14:paraId="63DDCD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производственно-технического (04.1943-01,1944 г.-)- к Калабухов; 1-го (07.1943 г.)- Мельникова.</w:t>
      </w:r>
    </w:p>
    <w:p w14:paraId="4F1046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коллоксилин (1943).</w:t>
      </w:r>
    </w:p>
    <w:p w14:paraId="3E6355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Петровский механический завод НКОП Приказом НКОП № 107 от 21.03.1937 г. утвержден Устав ГС Петровского механического завода.</w:t>
      </w:r>
    </w:p>
    <w:p w14:paraId="03E033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 11ГУ НКОП № 193 от 7.07.1938 г. завод был передан комбинату № 100, директор завода снят. Приказом НКОП № 293 от 29.07.1938 г. этот приказ был отменен как незаконный.</w:t>
      </w:r>
    </w:p>
    <w:p w14:paraId="4B35E93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(07.1938 г.)- Бреев (11982).</w:t>
      </w:r>
    </w:p>
    <w:p w14:paraId="6E419B94" w14:textId="77777777" w:rsidR="006C1BE5" w:rsidRPr="00640820" w:rsidRDefault="006C1BE5" w:rsidP="00640820">
      <w:pPr>
        <w:autoSpaceDE w:val="0"/>
        <w:autoSpaceDN w:val="0"/>
        <w:adjustRightInd w:val="0"/>
        <w:spacing w:after="0" w:line="240" w:lineRule="auto"/>
        <w:jc w:val="both"/>
        <w:rPr>
          <w:rFonts w:ascii="Times New Roman" w:hAnsi="Times New Roman"/>
          <w:color w:val="000000" w:themeColor="text1"/>
          <w:sz w:val="16"/>
          <w:szCs w:val="16"/>
        </w:rPr>
      </w:pPr>
    </w:p>
    <w:p w14:paraId="65FA75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17 декабря 1941 г., после освобождения Алексина от фашистов, начато возвращение оборудования Завода № 323 ЗГУ НКБ (Завод № 323 НКБ, Алексинский химкомбинат, ПО, ФГУП, ФКП «Алексинский химический комбинат» Росбоеприпаса, ФАП /301361  г. Алексин Тульской обл. пл. Победы, 21 тел. 45-355/), эвакуированного в Кемерово на площадку комбината № 392 НКБ, на старое место, а в 02-05.1942 г. начат монтаж оборудования, восстановление водоснабжения и энергосистемы. Частично возвратились кадры с завода № 98 и комбината № 392. В 05.1942 г. началось производство, 25.05.1942 г. сдана в эксплуатацию 1-я ?очередь производства нитроцеллюлозы. В 1943 г. введена в строй 2-я очередь производства пироксилина и эфира, пущено производство зарядов из импортного пороха ОД (особой доставки), начато восстановление порохового производства. В 1945-46 г. организовано производство ТНП.</w:t>
      </w:r>
    </w:p>
    <w:p w14:paraId="547994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08.1943-09.1944 г. - в ведении 2ГУ.</w:t>
      </w:r>
    </w:p>
    <w:p w14:paraId="574D46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комбинат строился и расширялся. В 1950-е  г. освоен выпуск нитропродукции, обувного картона, пресс-материала, спирта высшей очистки, керамидных смол, клея БФ, металлорукавов. В 1960-е  г. освоены: отбеленный шеллак, мебель, круглотканые рукава, лаковая основа, резинотехнические изделия (рукава, шланги, клиновые ремни, губчатые изделия). В 1970-е начат выпуск антифриза, нитрошпатлевки. Был построен корпус по производству техпластины для судостроения. В 1980-е-90-е  г. введен в строй цех губчатых изделий для мебели, внедрены поточные линии по изготовлению рукавов высокого давления. С 1998 г. по 2000 г. освоен выпуск 30 видов новой продукции, созданы дополнительные мощности по производству пластифицированного коллоксилина, базальтовой нити, лакокрасочной продукции.</w:t>
      </w:r>
    </w:p>
    <w:p w14:paraId="4A9282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распоряжению правительства № 22-р от 9.01.2004 г. вошло в число стратегических предприятий. В 2006 г. ФГУП преобразовано в ФКП. По приказу ФАП № 56 от 5.02.2007 г. химкомбинат вошел в состав НП «Пороховые заводы».</w:t>
      </w:r>
    </w:p>
    <w:p w14:paraId="71944C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(2005 г.): лаки, эмали, краски, спирт этиловый денатурированный; рукава; одеяла, одежда, мягкая мебель. Отработка изготовления коллоксилина из льноволокна.</w:t>
      </w:r>
    </w:p>
    <w:p w14:paraId="61467B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(07.1941 г.)- 1168 чел., (2004 г.)- 1500 чел.</w:t>
      </w:r>
    </w:p>
    <w:p w14:paraId="67F5EF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Директор (04.1942 г.)- Н.Е. Стрельцов, (04.1942 г.-)- Н.Н. Григорьев, (ВОВ)- Н.Н. Готовкин,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Бондарь. Гендиректор (-2004-05 г.-)- А. Г. Соколов, (2007 г.)- А.Ф. Воронов.</w:t>
      </w:r>
    </w:p>
    <w:p w14:paraId="610509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И.О. гл. инженера (04.1942 г.-)- Ю. Хохряков. Гл. инженер (1990-2000 г.)- В.Ф. Харитонов.</w:t>
      </w:r>
    </w:p>
    <w:p w14:paraId="1948EF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Начальники цехов: № 3 (1942 г.-)- П.Я. Любоградов; Ю.М. Байгильдин, </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JI</w:t>
      </w:r>
      <w:r w:rsidRPr="00640820">
        <w:rPr>
          <w:rFonts w:ascii="Times New Roman" w:hAnsi="Times New Roman"/>
          <w:color w:val="000000" w:themeColor="text1"/>
          <w:sz w:val="16"/>
          <w:szCs w:val="16"/>
        </w:rPr>
        <w:t>. Кукуреченко.</w:t>
      </w:r>
    </w:p>
    <w:p w14:paraId="1E15F0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начальника цеха: (1983 г.-)- В.Ф. Харитонов.</w:t>
      </w:r>
    </w:p>
    <w:p w14:paraId="4AADD3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мастерских: № 1 (1942 г.-)- А.В. Семенов; № 2 и.о. (1942 г.-)- С.И. Гурен.</w:t>
      </w:r>
    </w:p>
    <w:p w14:paraId="09A2A3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лаки НЦ-218, НЦ-221, НЦ-222, НЦ-223, НЦ-224, НЦ-228, НЦ-243, эмали НЦ СН, НЦ СВ, краски АК-120, АК-124, АК-522 «Базальт-2», ВД-АК-521, ВД-АК-18, ХВ-15, раствор коллоксилина НЦ-0218; клеи БФ-2, БФ-4, 88СА, НК, «Феникс», 4010, 4508; рукава: для дозаправки самолетов в воздухе, гофрированные, круглотканые, резиновые высокого давления с металлической навивкой (2005) (11982).</w:t>
      </w:r>
    </w:p>
    <w:p w14:paraId="3F62A6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69AED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декабря 1941 года приказом НКВ за № 417 был утвержден завод № 524, а в декабре 1941 года завод № 524 был переименован в № 188, т.е. сохранил свой номер завода утвержденный Постановлением СНК от 19 июня 1939 года за № 164сс</w:t>
      </w:r>
    </w:p>
    <w:p w14:paraId="4094F4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Новосибирск, п/я 161 (9572).</w:t>
      </w:r>
    </w:p>
    <w:p w14:paraId="2D71DF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49DCC48" w14:textId="77777777" w:rsidR="003C65D8" w:rsidRPr="00640820" w:rsidRDefault="003C65D8" w:rsidP="00640820">
      <w:pPr>
        <w:pStyle w:val="a3"/>
        <w:rPr>
          <w:color w:val="000000" w:themeColor="text1"/>
          <w:lang w:val="ru-RU"/>
        </w:rPr>
      </w:pPr>
      <w:r w:rsidRPr="00640820">
        <w:rPr>
          <w:color w:val="000000" w:themeColor="text1"/>
          <w:lang w:val="ru-RU"/>
        </w:rPr>
        <w:t>17 декабря 1941 года была подписана программа испытаний «стро</w:t>
      </w:r>
      <w:r w:rsidRPr="00640820">
        <w:rPr>
          <w:color w:val="000000" w:themeColor="text1"/>
          <w:lang w:val="ru-RU"/>
        </w:rPr>
        <w:softHyphen/>
        <w:t>енной артиллерийской установки, смонтированной на танке КВ». Со гласно программе, испытания должны были проходить 10 дней, но в реальности КВ-7 испытывался лишь 27 декабря, да и то в заводских условиях. По их результатам в ГАУ и ГАБТУ был выслан доклад капи</w:t>
      </w:r>
      <w:r w:rsidRPr="00640820">
        <w:rPr>
          <w:color w:val="000000" w:themeColor="text1"/>
          <w:lang w:val="ru-RU"/>
        </w:rPr>
        <w:softHyphen/>
        <w:t>тана П. Соломонова:</w:t>
      </w:r>
    </w:p>
    <w:p w14:paraId="34B2ABFE" w14:textId="77777777" w:rsidR="003C65D8" w:rsidRPr="00640820" w:rsidRDefault="003C65D8" w:rsidP="00640820">
      <w:pPr>
        <w:pStyle w:val="Bodytext141"/>
        <w:shd w:val="clear" w:color="auto" w:fill="auto"/>
        <w:spacing w:line="240" w:lineRule="auto"/>
        <w:ind w:firstLine="0"/>
        <w:jc w:val="both"/>
        <w:rPr>
          <w:i w:val="0"/>
          <w:color w:val="000000" w:themeColor="text1"/>
          <w:sz w:val="16"/>
          <w:szCs w:val="16"/>
        </w:rPr>
      </w:pPr>
      <w:r w:rsidRPr="00640820">
        <w:rPr>
          <w:i w:val="0"/>
          <w:color w:val="000000" w:themeColor="text1"/>
          <w:sz w:val="16"/>
          <w:szCs w:val="16"/>
        </w:rPr>
        <w:t>«Строенная установка в КВ-7, проходившая заводские испытания 27/</w:t>
      </w:r>
      <w:r w:rsidRPr="00640820">
        <w:rPr>
          <w:i w:val="0"/>
          <w:color w:val="000000" w:themeColor="text1"/>
          <w:sz w:val="16"/>
          <w:szCs w:val="16"/>
          <w:lang w:val="en-US"/>
        </w:rPr>
        <w:t>XII</w:t>
      </w:r>
      <w:r w:rsidRPr="00640820">
        <w:rPr>
          <w:i w:val="0"/>
          <w:color w:val="000000" w:themeColor="text1"/>
          <w:sz w:val="16"/>
          <w:szCs w:val="16"/>
        </w:rPr>
        <w:t>-41 г., требует устранения ряда дефектов и срочного проведения полигонных испытаний.</w:t>
      </w:r>
    </w:p>
    <w:p w14:paraId="457CEDD7" w14:textId="77777777" w:rsidR="003C65D8" w:rsidRPr="00640820" w:rsidRDefault="003C65D8" w:rsidP="00640820">
      <w:pPr>
        <w:pStyle w:val="Bodytext141"/>
        <w:shd w:val="clear" w:color="auto" w:fill="auto"/>
        <w:spacing w:line="240" w:lineRule="auto"/>
        <w:ind w:firstLine="0"/>
        <w:jc w:val="both"/>
        <w:rPr>
          <w:i w:val="0"/>
          <w:color w:val="000000" w:themeColor="text1"/>
          <w:sz w:val="16"/>
          <w:szCs w:val="16"/>
        </w:rPr>
      </w:pPr>
      <w:r w:rsidRPr="00640820">
        <w:rPr>
          <w:i w:val="0"/>
          <w:color w:val="000000" w:themeColor="text1"/>
          <w:sz w:val="16"/>
          <w:szCs w:val="16"/>
        </w:rPr>
        <w:lastRenderedPageBreak/>
        <w:t>Без проведения полигонных испытаний артустановка не может быть снабжена необходимыми прицелами и приборами наблюдения. Поставлен</w:t>
      </w:r>
      <w:r w:rsidRPr="00640820">
        <w:rPr>
          <w:i w:val="0"/>
          <w:color w:val="000000" w:themeColor="text1"/>
          <w:sz w:val="16"/>
          <w:szCs w:val="16"/>
        </w:rPr>
        <w:softHyphen/>
        <w:t>ный прицел ТМФД-8просто обозначает место прицела, но для боевого об</w:t>
      </w:r>
      <w:r w:rsidRPr="00640820">
        <w:rPr>
          <w:i w:val="0"/>
          <w:color w:val="000000" w:themeColor="text1"/>
          <w:sz w:val="16"/>
          <w:szCs w:val="16"/>
        </w:rPr>
        <w:softHyphen/>
        <w:t>служивания танка требует переделки, в частности нарезки новых шкал для прицеливания. Крепление прицела на одну точку нежелательно.</w:t>
      </w:r>
    </w:p>
    <w:p w14:paraId="64BD1E48" w14:textId="77777777" w:rsidR="003C65D8" w:rsidRPr="00640820" w:rsidRDefault="003C65D8" w:rsidP="00640820">
      <w:pPr>
        <w:pStyle w:val="Bodytext141"/>
        <w:shd w:val="clear" w:color="auto" w:fill="auto"/>
        <w:spacing w:line="240" w:lineRule="auto"/>
        <w:ind w:firstLine="0"/>
        <w:jc w:val="both"/>
        <w:rPr>
          <w:i w:val="0"/>
          <w:color w:val="000000" w:themeColor="text1"/>
          <w:sz w:val="16"/>
          <w:szCs w:val="16"/>
        </w:rPr>
      </w:pPr>
      <w:r w:rsidRPr="00640820">
        <w:rPr>
          <w:i w:val="0"/>
          <w:color w:val="000000" w:themeColor="text1"/>
          <w:sz w:val="16"/>
          <w:szCs w:val="16"/>
        </w:rPr>
        <w:t>Отстрел на прочность Кировским заводом произведен штатными бо</w:t>
      </w:r>
      <w:r w:rsidRPr="00640820">
        <w:rPr>
          <w:i w:val="0"/>
          <w:color w:val="000000" w:themeColor="text1"/>
          <w:sz w:val="16"/>
          <w:szCs w:val="16"/>
        </w:rPr>
        <w:softHyphen/>
        <w:t>евыми выстрелами. Усиленными зарядами стрельбы не было. Кернения, разметки и обмеров установленных частей не было. Необходима проверка прочностей установленных деталей стрельбой.</w:t>
      </w:r>
    </w:p>
    <w:p w14:paraId="463F8D71" w14:textId="77777777" w:rsidR="003C65D8" w:rsidRPr="00640820" w:rsidRDefault="003C65D8" w:rsidP="00640820">
      <w:pPr>
        <w:pStyle w:val="Bodytext141"/>
        <w:shd w:val="clear" w:color="auto" w:fill="auto"/>
        <w:spacing w:line="240" w:lineRule="auto"/>
        <w:ind w:firstLine="0"/>
        <w:jc w:val="both"/>
        <w:rPr>
          <w:i w:val="0"/>
          <w:color w:val="000000" w:themeColor="text1"/>
          <w:sz w:val="16"/>
          <w:szCs w:val="16"/>
        </w:rPr>
      </w:pPr>
      <w:r w:rsidRPr="00640820">
        <w:rPr>
          <w:i w:val="0"/>
          <w:color w:val="000000" w:themeColor="text1"/>
          <w:sz w:val="16"/>
          <w:szCs w:val="16"/>
        </w:rPr>
        <w:t>Система имеет неудачную конструкцию поворотного механизма вин</w:t>
      </w:r>
      <w:r w:rsidRPr="00640820">
        <w:rPr>
          <w:i w:val="0"/>
          <w:color w:val="000000" w:themeColor="text1"/>
          <w:sz w:val="16"/>
          <w:szCs w:val="16"/>
        </w:rPr>
        <w:softHyphen/>
        <w:t>тового типа с двумя шарнирами, что приводит к большому разбросу вы</w:t>
      </w:r>
      <w:r w:rsidRPr="00640820">
        <w:rPr>
          <w:i w:val="0"/>
          <w:color w:val="000000" w:themeColor="text1"/>
          <w:sz w:val="16"/>
          <w:szCs w:val="16"/>
        </w:rPr>
        <w:softHyphen/>
        <w:t>стрелов, то есть недостаточной меткости. Кроме того, данный пово</w:t>
      </w:r>
      <w:r w:rsidRPr="00640820">
        <w:rPr>
          <w:i w:val="0"/>
          <w:color w:val="000000" w:themeColor="text1"/>
          <w:sz w:val="16"/>
          <w:szCs w:val="16"/>
        </w:rPr>
        <w:softHyphen/>
        <w:t>ротный механизм будет требовать постоянного специального наблюдения и ухода, малейшая разладка и ослабление или износ шарниров постоянно будут ухудшать кучность и меткость.</w:t>
      </w:r>
    </w:p>
    <w:p w14:paraId="0F22075D" w14:textId="77777777" w:rsidR="003C65D8" w:rsidRPr="00640820" w:rsidRDefault="003C65D8" w:rsidP="00640820">
      <w:pPr>
        <w:pStyle w:val="Bodytext141"/>
        <w:shd w:val="clear" w:color="auto" w:fill="auto"/>
        <w:spacing w:line="240" w:lineRule="auto"/>
        <w:ind w:firstLine="0"/>
        <w:jc w:val="both"/>
        <w:rPr>
          <w:i w:val="0"/>
          <w:color w:val="000000" w:themeColor="text1"/>
          <w:sz w:val="16"/>
          <w:szCs w:val="16"/>
        </w:rPr>
      </w:pPr>
      <w:r w:rsidRPr="00640820">
        <w:rPr>
          <w:i w:val="0"/>
          <w:color w:val="000000" w:themeColor="text1"/>
          <w:sz w:val="16"/>
          <w:szCs w:val="16"/>
        </w:rPr>
        <w:t>Необходима и желательна переделка поворотного механизма. Лучше всего замена его поворотным механизмом секторного типа. На поворот</w:t>
      </w:r>
      <w:r w:rsidRPr="00640820">
        <w:rPr>
          <w:i w:val="0"/>
          <w:color w:val="000000" w:themeColor="text1"/>
          <w:sz w:val="16"/>
          <w:szCs w:val="16"/>
        </w:rPr>
        <w:softHyphen/>
        <w:t>ном и подъемном механизмах следует поставить ограничитель вращения. Требуется переделка гильзоулавливателя. Левую и правую его щеки нужно удлинить вперед по крайней мере на одну вторую длины казенника, иначе нет надежного ограждения расчета при откате стволов. Общая шири</w:t>
      </w:r>
      <w:r w:rsidRPr="00640820">
        <w:rPr>
          <w:i w:val="0"/>
          <w:color w:val="000000" w:themeColor="text1"/>
          <w:sz w:val="16"/>
          <w:szCs w:val="16"/>
        </w:rPr>
        <w:softHyphen/>
        <w:t>на гильзоулавливателя может быть уменьшена, высота стенок (правой и левой) должна быть несколько больше.</w:t>
      </w:r>
    </w:p>
    <w:p w14:paraId="27813010" w14:textId="77777777" w:rsidR="003C65D8" w:rsidRPr="00640820" w:rsidRDefault="003C65D8" w:rsidP="00640820">
      <w:pPr>
        <w:pStyle w:val="Bodytext141"/>
        <w:shd w:val="clear" w:color="auto" w:fill="auto"/>
        <w:spacing w:line="240" w:lineRule="auto"/>
        <w:ind w:firstLine="0"/>
        <w:jc w:val="both"/>
        <w:rPr>
          <w:i w:val="0"/>
          <w:color w:val="000000" w:themeColor="text1"/>
          <w:sz w:val="16"/>
          <w:szCs w:val="16"/>
        </w:rPr>
      </w:pPr>
      <w:r w:rsidRPr="00640820">
        <w:rPr>
          <w:i w:val="0"/>
          <w:color w:val="000000" w:themeColor="text1"/>
          <w:sz w:val="16"/>
          <w:szCs w:val="16"/>
        </w:rPr>
        <w:t>Необходимо изменить положение налобника, он находится не на месте и упором наводчику не служит.</w:t>
      </w:r>
    </w:p>
    <w:p w14:paraId="221D8EE9" w14:textId="77777777" w:rsidR="003C65D8" w:rsidRPr="00640820" w:rsidRDefault="003C65D8" w:rsidP="00640820">
      <w:pPr>
        <w:pStyle w:val="Bodytext141"/>
        <w:shd w:val="clear" w:color="auto" w:fill="auto"/>
        <w:spacing w:line="240" w:lineRule="auto"/>
        <w:ind w:firstLine="0"/>
        <w:jc w:val="both"/>
        <w:rPr>
          <w:i w:val="0"/>
          <w:color w:val="000000" w:themeColor="text1"/>
          <w:sz w:val="16"/>
          <w:szCs w:val="16"/>
        </w:rPr>
      </w:pPr>
      <w:r w:rsidRPr="00640820">
        <w:rPr>
          <w:i w:val="0"/>
          <w:color w:val="000000" w:themeColor="text1"/>
          <w:sz w:val="16"/>
          <w:szCs w:val="16"/>
        </w:rPr>
        <w:t>Координаты ножного спуска требуется изменить, подножка спуска запрещает укладку нескольких кассет с 76 мм снарядами в их гнезда.</w:t>
      </w:r>
    </w:p>
    <w:p w14:paraId="630043DA" w14:textId="77777777" w:rsidR="003C65D8" w:rsidRPr="00640820" w:rsidRDefault="003C65D8" w:rsidP="00640820">
      <w:pPr>
        <w:pStyle w:val="Bodytext141"/>
        <w:shd w:val="clear" w:color="auto" w:fill="auto"/>
        <w:spacing w:line="240" w:lineRule="auto"/>
        <w:ind w:firstLine="0"/>
        <w:jc w:val="both"/>
        <w:rPr>
          <w:i w:val="0"/>
          <w:color w:val="000000" w:themeColor="text1"/>
          <w:sz w:val="16"/>
          <w:szCs w:val="16"/>
        </w:rPr>
      </w:pPr>
      <w:r w:rsidRPr="00640820">
        <w:rPr>
          <w:i w:val="0"/>
          <w:color w:val="000000" w:themeColor="text1"/>
          <w:sz w:val="16"/>
          <w:szCs w:val="16"/>
        </w:rPr>
        <w:t>Сиденье наводчика необходимо улучшить, в частности выгнуть спинку.</w:t>
      </w:r>
    </w:p>
    <w:p w14:paraId="1C37FFC7" w14:textId="77777777" w:rsidR="003C65D8" w:rsidRPr="00640820" w:rsidRDefault="003C65D8" w:rsidP="00640820">
      <w:pPr>
        <w:pStyle w:val="Bodytext141"/>
        <w:shd w:val="clear" w:color="auto" w:fill="auto"/>
        <w:spacing w:line="240" w:lineRule="auto"/>
        <w:ind w:firstLine="0"/>
        <w:jc w:val="both"/>
        <w:rPr>
          <w:i w:val="0"/>
          <w:color w:val="000000" w:themeColor="text1"/>
          <w:sz w:val="16"/>
          <w:szCs w:val="16"/>
        </w:rPr>
      </w:pPr>
      <w:r w:rsidRPr="00640820">
        <w:rPr>
          <w:i w:val="0"/>
          <w:color w:val="000000" w:themeColor="text1"/>
          <w:sz w:val="16"/>
          <w:szCs w:val="16"/>
        </w:rPr>
        <w:t>При углах снижения откатывающиеся стволы будут разбивать пла</w:t>
      </w:r>
      <w:r w:rsidRPr="00640820">
        <w:rPr>
          <w:i w:val="0"/>
          <w:color w:val="000000" w:themeColor="text1"/>
          <w:sz w:val="16"/>
          <w:szCs w:val="16"/>
        </w:rPr>
        <w:softHyphen/>
        <w:t>фон. Требуется продумать размещение световых точек так, чтобы осве</w:t>
      </w:r>
      <w:r w:rsidRPr="00640820">
        <w:rPr>
          <w:i w:val="0"/>
          <w:color w:val="000000" w:themeColor="text1"/>
          <w:sz w:val="16"/>
          <w:szCs w:val="16"/>
        </w:rPr>
        <w:softHyphen/>
        <w:t>щались шкалы указателей отката.</w:t>
      </w:r>
    </w:p>
    <w:p w14:paraId="2B5C3941" w14:textId="77777777" w:rsidR="003C65D8" w:rsidRPr="00640820" w:rsidRDefault="003C65D8" w:rsidP="00640820">
      <w:pPr>
        <w:pStyle w:val="Bodytext141"/>
        <w:shd w:val="clear" w:color="auto" w:fill="auto"/>
        <w:spacing w:line="240" w:lineRule="auto"/>
        <w:ind w:firstLine="0"/>
        <w:jc w:val="both"/>
        <w:rPr>
          <w:i w:val="0"/>
          <w:color w:val="000000" w:themeColor="text1"/>
          <w:sz w:val="16"/>
          <w:szCs w:val="16"/>
        </w:rPr>
      </w:pPr>
      <w:r w:rsidRPr="00640820">
        <w:rPr>
          <w:i w:val="0"/>
          <w:color w:val="000000" w:themeColor="text1"/>
          <w:sz w:val="16"/>
          <w:szCs w:val="16"/>
        </w:rPr>
        <w:t>Наводчика и водителя нужно связать переговорной трубой, ибо грубая наводка выполняется танком» (17484).</w:t>
      </w:r>
    </w:p>
    <w:p w14:paraId="0C0D42CA" w14:textId="77777777" w:rsidR="003C65D8" w:rsidRPr="00640820" w:rsidRDefault="003C65D8" w:rsidP="00640820">
      <w:pPr>
        <w:pStyle w:val="Bodytext141"/>
        <w:shd w:val="clear" w:color="auto" w:fill="auto"/>
        <w:spacing w:line="240" w:lineRule="auto"/>
        <w:ind w:firstLine="0"/>
        <w:jc w:val="both"/>
        <w:rPr>
          <w:i w:val="0"/>
          <w:color w:val="000000" w:themeColor="text1"/>
          <w:sz w:val="16"/>
          <w:szCs w:val="16"/>
        </w:rPr>
      </w:pPr>
    </w:p>
    <w:p w14:paraId="73C8007E"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5AC7DC0E"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051EFB6"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17 декабря </w:t>
      </w:r>
      <w:r w:rsidRPr="00640820">
        <w:rPr>
          <w:rFonts w:ascii="Times New Roman" w:hAnsi="Times New Roman"/>
          <w:color w:val="000000" w:themeColor="text1"/>
          <w:sz w:val="16"/>
          <w:szCs w:val="16"/>
        </w:rPr>
        <w:t>в 1941 году утреннее сообщение Совинформбюро:</w:t>
      </w:r>
    </w:p>
    <w:p w14:paraId="2265DECD"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17 декабря наши войска вели бои с противником на всех фронтах.</w:t>
      </w:r>
    </w:p>
    <w:p w14:paraId="39213577"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Наша часть, действующая на одном из участков Западного фронта, за один день боевых действий захватила 14 немецких орудий, 24 автомашины, 58 ящиков снарядов, 6 миномётов, 6 пулемётов и много других трофеев.</w:t>
      </w:r>
    </w:p>
    <w:p w14:paraId="4A0CEBA6"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Тульском направлении фронта наши бойцы разгромили в бою за населённый пункт К. 3 батальон полка СС «Великая Германия». На поле боя противник оставил свыше 200 трупов, 2 танка, 2 орудия, 48 автомашин, 3 рации и 98 мотоциклов.</w:t>
      </w:r>
    </w:p>
    <w:p w14:paraId="6CB91BD7"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Танковое подразделение старшего лейтенанта Соколова, действующее на Ленинградском фронте, за один день боёв с противником уничтожило 16 немецких противотанковых орудий, миномётную батарею, 5 пулемётов, 3 артиллерийских блиндажа с орудиями и истребило до роты вражеских солдат. Экипаж танка тов. Соколова уничтожил 6 противотанковых орудий и истребил до взвода немецкой пехоты.</w:t>
      </w:r>
    </w:p>
    <w:p w14:paraId="146DED76"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артиллеристы подбили вражеский танк. Фашистские танкисты выбрались из машины и пытались скрыться в лесу. Красноармеец-связист тов. Помосов под ураганным огнём артиллерий противника подбежал к танку, вскочил в люк и, повернув башню, меткими пулемётными очередями расстрелял убегающих фашистов.</w:t>
      </w:r>
    </w:p>
    <w:p w14:paraId="583B8023"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Среди итальянских солдат, посланных Муссолини на Восточный фронт, с каждым днём усиливаются антивоенные настроения. Пленный Антонио Белотти говорит: «Итальянские солдаты не знают, за что они воюют. Они не хотят этой войны и ненавидят немцев. Итальянцы думают только о том, чтобы поскорее вернуться домой». Пленный Майер Марио сообщил: «За последнее время участились случаи самострелов. Солдаты простреливают себе руку или ногу, чтобы уехать домой в Италию». Пленный Антонио Ванетти на допросе показал: «Из 5 роты 3 полка дезертировало несколько солдат. Солдат Гарбели прострелил себе руку. Когда офицеры посылают солдат в разведку, начинаются пререкания. Солдаты говорят, что они ничего не ели, что им холодно». Пленный Северино Фрай рассказывает: «Наши солдаты очень утомлены... С тех пор, как наша дивизия перешла советскую границу, дезертировало более 300 солдат. Часть дезертиров была поймана и расстреляна». Пленные старший капрал Валентин Сальваторе и солдат И. Розарио рассказали о диких издевательствах офицеров над солдатами. За мельчайшую оплошность офицеры избивают солдат.</w:t>
      </w:r>
    </w:p>
    <w:p w14:paraId="7DAFA85C"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Сотни колхозов Армянской республики, получив обильный урожай зерна, хлопка, табака и овощей, досрочно выполнили государственные поставки. Колхоз села «Джафарабад», Вагаршапатского района, выполнил годовой план сдачи хлопка на полтора месяца раньше срока и сдал сверх плана сотни центнеров отборного сырца. План сдачи хлопка государству перевыполнили 15 других колхозов этого района, 20 колхозов Октемберянского района и многие другие. Колхозы Котайкского района дают государству десятки центнеров табачного листа сверх плана. Колхозы республики засеяли озимых культур на 30 тысяч гектаров больше обычного. Ряд районов перевыполнил планы сева озимой пшеницы на 40-50 процентов. Во всех колхозах и МТС республики с большим подъёмом ведутся подготовительные работы к весеннему севу.» (14863).</w:t>
      </w:r>
    </w:p>
    <w:p w14:paraId="56DAD5F8" w14:textId="77777777" w:rsidR="006C1BE5" w:rsidRPr="00640820" w:rsidRDefault="006C1BE5" w:rsidP="00640820">
      <w:pPr>
        <w:spacing w:after="0" w:line="240" w:lineRule="auto"/>
        <w:jc w:val="both"/>
        <w:rPr>
          <w:rFonts w:ascii="Times New Roman" w:hAnsi="Times New Roman"/>
          <w:color w:val="000000" w:themeColor="text1"/>
          <w:sz w:val="16"/>
          <w:szCs w:val="16"/>
        </w:rPr>
      </w:pPr>
    </w:p>
    <w:p w14:paraId="244F715F"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17 декабря </w:t>
      </w:r>
      <w:r w:rsidRPr="00640820">
        <w:rPr>
          <w:rFonts w:ascii="Times New Roman" w:hAnsi="Times New Roman"/>
          <w:color w:val="000000" w:themeColor="text1"/>
          <w:sz w:val="16"/>
          <w:szCs w:val="16"/>
        </w:rPr>
        <w:t>в 1941 году вечернее сообщение Совинформбюро:</w:t>
      </w:r>
    </w:p>
    <w:p w14:paraId="16BD2108"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17 декабря наши войска вели бои с противником на всех фронтах. На ряде участков ЗАПАДНОГО, КАЛИНИНСКОГО и ЮГО-ЗАПАДНОГО фронтов наши войска, ведя ожесточённые бои с противником, продолжали продвигаться вперёд, заняли ряд населённых пунктов и в числе их города Алексин (юго-западнее Серпухова) и Щёкино (южнее Тулы).</w:t>
      </w:r>
    </w:p>
    <w:p w14:paraId="70A8E960"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16 декабря уничтожено 7 немецких самолётов.</w:t>
      </w:r>
    </w:p>
    <w:p w14:paraId="1B0DEDEE"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Войска генерала Болдина, развивая наступление против немецких войск, завершили разгром 296-й пехотной дивизии и утром 17 декабря заняли город Щёкино. Нашими войсками захвачены большие трофеи. Только часть тов. Трубникова захватила 6 немецких самолётов, 35 танков, 4 орудия, 35 автомашин, 40 мотоциклов, десятки тысяч снарядов и много другого военного имущества.</w:t>
      </w:r>
    </w:p>
    <w:p w14:paraId="006D863A"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 части генерала Болдина за один день боёв с противником освободили от немцев 14 населённых пунктов.</w:t>
      </w:r>
    </w:p>
    <w:p w14:paraId="04C30C7B"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результате боёв в районе Ясной Поляны наши бойцы захватили 11 немецких танков, бронемашину, 119 автомашин, 9 легковых машин, 16 мотоциклов, 208 велосипедов, 37 орудий, 43 пулемёта, 21 миномёт, 46 повозок с лошадьми, один самолёт, 48.300 снарядов, 55 ящиков мин и 150.000 патронов.</w:t>
      </w:r>
    </w:p>
    <w:p w14:paraId="49C28102"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Часть тов. Анисимова, действующая на одном из участков Западного фронта, за 5 дней выбила немцев из 11 населённых пунктов и захватила 4 танка, 2 бронемашины, 3 орудия, 242 автомашины, 45 мотоциклов и другое военное имущество.</w:t>
      </w:r>
    </w:p>
    <w:p w14:paraId="45DC0326"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Пулемётчик-гвардеец Стешенко вместе со своим расчётом отразил атаку вражеской роты, пытавшейся захватить переправу через реку К. После многочасового боя немцы отступили, оставив на берегу реки около 100 трупов.</w:t>
      </w:r>
    </w:p>
    <w:p w14:paraId="2471A618"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Успешно действует в тылу врага на дальних подступах к Москве партизанский отряд «Смерть фашистам». За последнее время отряд взорвал несколько повозок с боеприпасами и обмундированием, разгромил немецкий обоз и истребил группу фашистских автоматчиков. Возле деревни Р. отряд захватил четыре повозки с боеприпасами и оружием. Другой партизанский отряд, где командиром тов. К., разгромил конную разведку противника, уничтожил штабную машину с восьмью немецкими офицерами, а также немецкий истребитель, сделавший вынужденную посадку. Партизаны-лыжники уничтожают десятки фашистских солдат, отстающих от своих частей, сжигают автомашины и танки врага. В районе деревни Д. фашисты организовали базу из нескольких сот автомашин и десятков танков, выбывших из строя. Партизаны истребили немецких солдат, занятых ремонтом, и сожгли 45 автомашин и 11 танков.</w:t>
      </w:r>
    </w:p>
    <w:p w14:paraId="36FD9FAA"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Взятые за последние дни в плен немецкие солдаты рассказывают о дальнейшем резком ухудшении продовольственного снабжения германской армии. Ефрейтор 19 пехотного полка 7 немецкой пехотной дивизии Иозеф Шварценштайнер заявил: «В последнее время снабжение нашей части значительно ухудшилось. Мы всегда голодны». Солдат 187 пехотного полка 87 немецкой пехотной дивизия Фриц Гельбиг говорит: «Пища у нас очень скудная, совершенно недостаточная для поддержания сил. Мы говорили об этом нашему командиру взвода, но он ответил, что положение с продовольствием ухудшилось и в Германии. Дальше будет ещё хуже, — «утешил» он нас». Солдат 61 полка 7 пехотной дивизия Георг Штейнмайер рассказывает: «В нашей роте от плохого и недостаточного питания много желудочных больных». Ефрейтор 3 батальона 215 пехотного полка 78 пехотной дивизии Мартин Кобер заявил: «Питание у нас весьма плохое. Последние 5 дней совсем не получали хлеба. В нашем батальоне более 30 процентов желудочных больных».</w:t>
      </w:r>
    </w:p>
    <w:p w14:paraId="3AE31865"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декабря Советское Информбюро сообщило о взятии нашими войсками Ясной Поляны — места жизни и погребения великого писателя, классика русской и мировой литературы Льва Николаевича Толстого.</w:t>
      </w:r>
    </w:p>
    <w:p w14:paraId="352BBA27"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декабря группа научных работников и рабочих музея-усадьбы Л.Н.Толстого, а также местные колхозники и учителя составили акт о чудовищных преступлениях гитлеровских негодяев, надругавшихся над памятью Л.Н.Толстого. В акте отмечается, что с первого же дня своего прихода в Ясную Поляну немцы приступили к планомерному разрушению музея-усадьбы. Фашисты расхитили почти все экспонаты литературного музея, устроили в доме Толстого казарму для офицеров и их денщиков. Все шкафы, в которых прежде хранились архивы, разбиты. Личные вещи Л.Н.Толстого сожжены в печах. Фашистские хулиганы разломали и выбросили соху, которой пахал Толстой. Они покрыли порнографическими рисунками стены музея, превратили знаменитую комнату со сводами, в которой создавалась «Война и мир», в грязный хлев. В комнатах писателя гитлеровцы открыли сапожную мастерскую.</w:t>
      </w:r>
    </w:p>
    <w:p w14:paraId="69912D60"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14 декабря, отступая из Ясной Поляны, фашисты, намереваясь скрыть следы своих чудовищных надругательств над величайшим культурно-историческим памятником, подожгли дом Толстого. Усилиями работников музея пожар удалось потушить. Сгорели комнаты, в которых помещались библиотека и спальня Л.Н.Толстого.</w:t>
      </w:r>
    </w:p>
    <w:p w14:paraId="0186B975"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акте перечисляются имена изнасилованных немцами яснополянских колхозниц, а также повешенных и расстрелянных колхозников, бывших учеников знаменитой школы Толстого. Акт подписали: хранитель музея С.И.Щёголев, сторож, бывший кучер Толстого, И.В.Егоров, колхозницы яснополянской сельхозартели «Путь Ильича» А.Я.Пудова и В.Я.Зяброва, учительницы школы имени Толстого С.А.Грацианская и Е.В.Соловьёва и многие другие свидетели беспримерного фашистского варварства.» (14863).</w:t>
      </w:r>
    </w:p>
    <w:p w14:paraId="28858177" w14:textId="77777777" w:rsidR="006C1BE5" w:rsidRPr="00640820" w:rsidRDefault="006C1BE5" w:rsidP="00640820">
      <w:pPr>
        <w:spacing w:after="0" w:line="240" w:lineRule="auto"/>
        <w:jc w:val="both"/>
        <w:rPr>
          <w:rFonts w:ascii="Times New Roman" w:hAnsi="Times New Roman"/>
          <w:color w:val="000000" w:themeColor="text1"/>
          <w:sz w:val="16"/>
          <w:szCs w:val="16"/>
        </w:rPr>
      </w:pPr>
    </w:p>
    <w:p w14:paraId="24C48268"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17 декабря </w:t>
      </w:r>
      <w:r w:rsidRPr="00640820">
        <w:rPr>
          <w:rFonts w:ascii="Times New Roman" w:hAnsi="Times New Roman"/>
          <w:color w:val="000000" w:themeColor="text1"/>
          <w:sz w:val="16"/>
          <w:szCs w:val="16"/>
        </w:rPr>
        <w:t>в 1941 году Ставка ВГК образовала Волховский фронт (23 апреля преобразован в Волховскую оперативную группу войск) с целью разгрома фашистов, оборонявшихся по западному берегу реки Волхов, и в дальнейшем во взаимодействии с войсками Ленинградского фронта освободить Ленинград от блокады. Создан за счет сил Ленинградского фронта и резервов Ставки ВГК в составе 4-й, 52-й, 59-й и 2-й Ударной армий и авиасоединений. В январе – апреле 1942 г. войска Волховского фронта вели тяжелые бои на любанском направлении (Любанская операция 1942 г.). Началась Калужская наступательная операция войск левого крыла Западного фронта (генерал армии Г.К.Жуков), продоложавшаяся до 5 января 1942 г. Войска 2-го гвардейского кавкорпуса разгромили 78-ю пехотную дивизию немцев в районе Загорья, Сафонихи, вышли в тыл противника в районе озера Тростенское. Началось второе наступление войск противника (7 немецких пехотных дивизий, 2 румынские горнострелковые бригады) на Севастополь (14863).</w:t>
      </w:r>
    </w:p>
    <w:p w14:paraId="21CB9C66" w14:textId="77777777" w:rsidR="006C1BE5" w:rsidRPr="00640820" w:rsidRDefault="006C1BE5" w:rsidP="00640820">
      <w:pPr>
        <w:spacing w:after="0" w:line="240" w:lineRule="auto"/>
        <w:jc w:val="both"/>
        <w:rPr>
          <w:rFonts w:ascii="Times New Roman" w:hAnsi="Times New Roman"/>
          <w:color w:val="000000" w:themeColor="text1"/>
          <w:sz w:val="16"/>
          <w:szCs w:val="16"/>
        </w:rPr>
      </w:pPr>
    </w:p>
    <w:p w14:paraId="1B3BB143"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17 декабря </w:t>
      </w:r>
      <w:r w:rsidRPr="00640820">
        <w:rPr>
          <w:rFonts w:ascii="Times New Roman" w:hAnsi="Times New Roman"/>
          <w:color w:val="000000" w:themeColor="text1"/>
          <w:sz w:val="16"/>
          <w:szCs w:val="16"/>
        </w:rPr>
        <w:t>в 1941 году 49-я армия форсировала Оку в районе Тарусы (14863).</w:t>
      </w:r>
    </w:p>
    <w:p w14:paraId="5C0C1C03" w14:textId="77777777" w:rsidR="006C1BE5" w:rsidRPr="00640820" w:rsidRDefault="006C1BE5" w:rsidP="00640820">
      <w:pPr>
        <w:spacing w:after="0" w:line="240" w:lineRule="auto"/>
        <w:jc w:val="both"/>
        <w:rPr>
          <w:rFonts w:ascii="Times New Roman" w:hAnsi="Times New Roman"/>
          <w:color w:val="000000" w:themeColor="text1"/>
          <w:sz w:val="16"/>
          <w:szCs w:val="16"/>
        </w:rPr>
      </w:pPr>
    </w:p>
    <w:p w14:paraId="579B77EB"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17 декабря </w:t>
      </w:r>
      <w:r w:rsidRPr="00640820">
        <w:rPr>
          <w:rFonts w:ascii="Times New Roman" w:hAnsi="Times New Roman"/>
          <w:color w:val="000000" w:themeColor="text1"/>
          <w:sz w:val="16"/>
          <w:szCs w:val="16"/>
        </w:rPr>
        <w:t>в 1941 году войска Западного фронта освободили Алексин и Щекино (14863).</w:t>
      </w:r>
    </w:p>
    <w:p w14:paraId="025445D8" w14:textId="77777777" w:rsidR="006C1BE5" w:rsidRPr="00640820" w:rsidRDefault="006C1BE5" w:rsidP="00640820">
      <w:pPr>
        <w:spacing w:after="0" w:line="240" w:lineRule="auto"/>
        <w:jc w:val="both"/>
        <w:rPr>
          <w:rFonts w:ascii="Times New Roman" w:hAnsi="Times New Roman"/>
          <w:color w:val="000000" w:themeColor="text1"/>
          <w:sz w:val="16"/>
          <w:szCs w:val="16"/>
        </w:rPr>
      </w:pPr>
    </w:p>
    <w:p w14:paraId="76083047"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17 декабря </w:t>
      </w:r>
      <w:r w:rsidRPr="00640820">
        <w:rPr>
          <w:rFonts w:ascii="Times New Roman" w:hAnsi="Times New Roman"/>
          <w:color w:val="000000" w:themeColor="text1"/>
          <w:sz w:val="16"/>
          <w:szCs w:val="16"/>
        </w:rPr>
        <w:t>в 1941 году началось второе наступление немецких войск на Севастополь; главный удар (силами трех дивизий) — через Мекензиевые горы к Северной бухте, вспомогательный (одной дивизией) — вдоль реки Черной на Инкерман (14863).</w:t>
      </w:r>
    </w:p>
    <w:p w14:paraId="33311892" w14:textId="77777777" w:rsidR="006C1BE5" w:rsidRPr="00640820" w:rsidRDefault="006C1BE5" w:rsidP="00640820">
      <w:pPr>
        <w:spacing w:after="0" w:line="240" w:lineRule="auto"/>
        <w:jc w:val="both"/>
        <w:rPr>
          <w:rFonts w:ascii="Times New Roman" w:hAnsi="Times New Roman"/>
          <w:color w:val="000000" w:themeColor="text1"/>
          <w:sz w:val="16"/>
          <w:szCs w:val="16"/>
        </w:rPr>
      </w:pPr>
    </w:p>
    <w:p w14:paraId="2C717EDB"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17–26 декабря 1941 самолеты фронтовой авиации советских ВВС совершили 1289 боевых вылетов в поддержку пяти советских армий, движущихся ко Ржеву, при этом было сбито 16 немецких самолетов (20794).</w:t>
      </w:r>
    </w:p>
    <w:p w14:paraId="191C5E25" w14:textId="77777777" w:rsidR="004902DB" w:rsidRPr="00640820" w:rsidRDefault="004902DB" w:rsidP="00640820">
      <w:pPr>
        <w:spacing w:after="0" w:line="240" w:lineRule="auto"/>
        <w:jc w:val="both"/>
        <w:rPr>
          <w:rFonts w:ascii="Times New Roman" w:hAnsi="Times New Roman"/>
          <w:color w:val="0070C0"/>
          <w:sz w:val="16"/>
          <w:szCs w:val="16"/>
        </w:rPr>
      </w:pPr>
    </w:p>
    <w:p w14:paraId="7D885E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декабря 1941 года истребители 2-й и 3-й эскадрилий 8-го ИАП перехватили отряд Ю-88, летящий на Севастополь. С советской стороны участвовали машины самых разнообразных типов: Як-1, ЛаГГ-3, МиГ-3, И-16, а также И-15бис. Залп 16 РС-82 разнес один из бомбардировщиков, и немцы "поспешив сбросить бомбы, повернули назад" (2691).</w:t>
      </w:r>
    </w:p>
    <w:p w14:paraId="739E16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2D55A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декабря 1941 командование 57 смешанной авиа дивизии писало командованию и ВС ВВС "...ВВС армий являются излишней организационной надстройкой, порою отягощающей командование и штаб дивизии... У штаба ВВС фронта всегда хватало сил и возможностей справиться с дивизиями и без ВВС армии." (505,196).</w:t>
      </w:r>
    </w:p>
    <w:p w14:paraId="1DFACA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93D7E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декабря 1941 года Н.А.Покрышев с пятеркой истребителей "Томагаук" из 154-го полка, защищая транспортники, принял бой с девятью "мессершмиттами". А комэску Пилютову в одиночку пришлось сопровождать девятку неуклюжих ПС-84. В схватке с шестью немцами он сбил двух и был сбит сам. В декабре на фронт попал вооруженный "Томагауками" 159-й полк, в январе 1942 года - 196-й. Все они вошли в состав Восточной оперативной группы, обеспечивавшей прикрытие транспортных самолетов, доставлявших через Ладогу грузы в осажденный Ленинград. Немцы упорно пытались разрушить "воздушный мост" (3457,61).</w:t>
      </w:r>
    </w:p>
    <w:p w14:paraId="07317F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0E3E5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декабря 1941 ли к П.А.Пилютов, прикрывая девятку транспортных самолетов, вывозивших детей из Ленинграда, вступил в бой с 6 и, сбил двух и получил 21 осколочное ранение. Стал ГСС (438,830).</w:t>
      </w:r>
    </w:p>
    <w:p w14:paraId="11DAAA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CDD76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декабря 1941 в Калинине захватили Не 111Н-5 N 3773, который потом использовался в летной школе в Саратове и потом был случайно сбит нашими зенитчиками (2466,91).</w:t>
      </w:r>
    </w:p>
    <w:p w14:paraId="2709DD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078E2F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декабря 1941 КФ освободит Тверь (3398,440).</w:t>
      </w:r>
    </w:p>
    <w:p w14:paraId="78A829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64617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17 декабря 1941 по 5 января 1942 была Калужская операция и 30 декабря освободили Калугу, продвинувшись на 120-130 км (2438,265).</w:t>
      </w:r>
    </w:p>
    <w:p w14:paraId="2A0D60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E2AE7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17 декабря 1941 по 5 января 1942 была Калужская операция и 30 декабря освободили Калугу, продвинувшись на 120-130 км (2438,265).</w:t>
      </w:r>
    </w:p>
    <w:p w14:paraId="2F0C9B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1BD89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17-31 декабря 1941 велись боевые действия Севастопольского оборонительного района по отражениею второго наступления немцев (3186).</w:t>
      </w:r>
    </w:p>
    <w:p w14:paraId="2F4EEA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19295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декабря 1941 началось новое наступление КФ - с севера шли 22, 39 и 29А, а с востока - 30 и 31А в общем направлении на Старицу. авиация в основном поддерживала 30 и 31А (341,85).</w:t>
      </w:r>
    </w:p>
    <w:p w14:paraId="6F7031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E209C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декабря 1941 г. на строительство рубежей обороны были мобилизованы 1,7 млн, человек рабочих, колхозников, служащих, студентов, учащихся. В основном это были женщины, старики и подростки. Во второй половине декабря 1941 г. в тыловом оборонительном строительстве было занято более 2,1 млн, человек, в том числе местного населения - 1,6 млн.; 10 саперных армий - 1100 тыс.; 230 строительных и рабочих батальонов - 182 тыс,; 29 тыс. кадровых рабочих различных стройорганизаций. (10692).</w:t>
      </w:r>
    </w:p>
    <w:p w14:paraId="04201E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F4F8127" w14:textId="77777777" w:rsidR="0024476E" w:rsidRPr="00640820" w:rsidRDefault="0024476E"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081A9634" w14:textId="77777777" w:rsidR="0024476E" w:rsidRPr="00640820" w:rsidRDefault="0024476E"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F0104FB" w14:textId="77777777" w:rsidR="0024476E" w:rsidRPr="00640820" w:rsidRDefault="002447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декабря 1941. Из дневника журналиста Н. К. Вержбицкого: "У Елисеева открылась коммерческая продажа. Кило мяса - 80 руб., кило сахара - 50 руб. Кило масла - 120 руб." (18697).</w:t>
      </w:r>
    </w:p>
    <w:p w14:paraId="652904F2" w14:textId="77777777" w:rsidR="0024476E" w:rsidRPr="00640820" w:rsidRDefault="0024476E" w:rsidP="00640820">
      <w:pPr>
        <w:spacing w:after="0" w:line="240" w:lineRule="auto"/>
        <w:jc w:val="both"/>
        <w:rPr>
          <w:rFonts w:ascii="Times New Roman" w:hAnsi="Times New Roman"/>
          <w:color w:val="000000" w:themeColor="text1"/>
          <w:sz w:val="16"/>
          <w:szCs w:val="16"/>
        </w:rPr>
      </w:pPr>
    </w:p>
    <w:p w14:paraId="71AFAA2D"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7B20809F"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8F352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декабря 1941 года было отправлено:</w:t>
      </w:r>
    </w:p>
    <w:p w14:paraId="19BAFE8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 В. СТАЛИН Ф. РУЗВЕЛЬТУ *</w:t>
      </w:r>
    </w:p>
    <w:p w14:paraId="35C4166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Ваше послание получил 16 декабря. В связи с тем, что в Вашем послании не были указаны цели конференций в Чун-цине и Москве, и ввиду того, что до открытия конференций оставался всего один день, я полагал возможным выяснить вопрос о целях конференций и возможность отложения конференций на некоторое время при встрече с г-ном Иденом, который только что прибыл в Москву. Однако, как выяснилось, г. Идеи также не информирован по этому вопросу. Ввиду этого я считал бы желательным получить от Вас необходимые разъяснения, дабы обеспечить желательные результаты от участия представителей СССР в этих конференциях.</w:t>
      </w:r>
    </w:p>
    <w:p w14:paraId="3E9D3E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Разрешите поблагодарить Вас за выраженные Вами чувства по поводу успехов Советской Армии.</w:t>
      </w:r>
    </w:p>
    <w:p w14:paraId="316316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Желаю Вам успеха в борьбе против агрессии на Тихом океане.</w:t>
      </w:r>
    </w:p>
    <w:p w14:paraId="4168BD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Шлю Вам и г. Гопкинсу мои личные горячие приветы</w:t>
      </w:r>
      <w:r w:rsidRPr="00640820">
        <w:rPr>
          <w:rFonts w:ascii="Times New Roman" w:hAnsi="Times New Roman"/>
          <w:color w:val="000000" w:themeColor="text1"/>
          <w:sz w:val="16"/>
          <w:szCs w:val="16"/>
          <w:vertAlign w:val="superscript"/>
        </w:rPr>
        <w:t>5</w:t>
      </w:r>
      <w:r w:rsidRPr="00640820">
        <w:rPr>
          <w:rFonts w:ascii="Times New Roman" w:hAnsi="Times New Roman"/>
          <w:color w:val="000000" w:themeColor="text1"/>
          <w:sz w:val="16"/>
          <w:szCs w:val="16"/>
        </w:rPr>
        <w:t>.</w:t>
      </w:r>
    </w:p>
    <w:p w14:paraId="6A3C2B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СТАЛИН (7430).</w:t>
      </w:r>
    </w:p>
    <w:p w14:paraId="21693B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D0B4AEC" w14:textId="77777777" w:rsidR="006C1BE5" w:rsidRPr="00640820" w:rsidRDefault="006C1BE5" w:rsidP="00640820">
      <w:pPr>
        <w:spacing w:after="0" w:line="240" w:lineRule="auto"/>
        <w:jc w:val="both"/>
        <w:rPr>
          <w:rFonts w:ascii="Times New Roman" w:hAnsi="Times New Roman"/>
          <w:color w:val="000000" w:themeColor="text1"/>
          <w:sz w:val="16"/>
          <w:szCs w:val="16"/>
          <w:lang w:val="en-US"/>
        </w:rPr>
      </w:pPr>
      <w:r w:rsidRPr="00640820">
        <w:rPr>
          <w:rStyle w:val="ucoz-forum-post"/>
          <w:rFonts w:ascii="Times New Roman" w:hAnsi="Times New Roman"/>
          <w:bCs/>
          <w:color w:val="000000" w:themeColor="text1"/>
          <w:sz w:val="16"/>
          <w:szCs w:val="16"/>
        </w:rPr>
        <w:t xml:space="preserve">17 декабря </w:t>
      </w:r>
      <w:r w:rsidRPr="00640820">
        <w:rPr>
          <w:rFonts w:ascii="Times New Roman" w:hAnsi="Times New Roman"/>
          <w:color w:val="000000" w:themeColor="text1"/>
          <w:sz w:val="16"/>
          <w:szCs w:val="16"/>
        </w:rPr>
        <w:t xml:space="preserve">в 1941 году (17—18 декабря) во время переговоров с британским министром иностранных дел Э.Иденом И.В.Сталин прямо заявил, что, по его мнению, война с Германией началась собственно из-за западных границ СССР. «Вот из-за чего вся эта война на самом деле ведется, — подчеркнул он, — и я хочу знать: поддерживает ли нас наша союзница Великобритания в возобновлении владения ими?» </w:t>
      </w:r>
      <w:r w:rsidRPr="00640820">
        <w:rPr>
          <w:rFonts w:ascii="Times New Roman" w:hAnsi="Times New Roman"/>
          <w:color w:val="000000" w:themeColor="text1"/>
          <w:sz w:val="16"/>
          <w:szCs w:val="16"/>
          <w:lang w:val="en-US"/>
        </w:rPr>
        <w:t>(14863).</w:t>
      </w:r>
    </w:p>
    <w:p w14:paraId="15461A7A" w14:textId="77777777" w:rsidR="006C1BE5" w:rsidRPr="00640820" w:rsidRDefault="006C1BE5" w:rsidP="00640820">
      <w:pPr>
        <w:spacing w:after="0" w:line="240" w:lineRule="auto"/>
        <w:jc w:val="both"/>
        <w:rPr>
          <w:rFonts w:ascii="Times New Roman" w:hAnsi="Times New Roman"/>
          <w:color w:val="000000" w:themeColor="text1"/>
          <w:sz w:val="16"/>
          <w:szCs w:val="16"/>
          <w:lang w:val="en-US"/>
        </w:rPr>
      </w:pPr>
    </w:p>
    <w:p w14:paraId="3D726C86"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lang w:val="en-US"/>
        </w:rPr>
      </w:pPr>
      <w:r w:rsidRPr="00640820">
        <w:rPr>
          <w:rFonts w:ascii="Times New Roman" w:hAnsi="Times New Roman"/>
          <w:i/>
          <w:iCs/>
          <w:color w:val="000000" w:themeColor="text1"/>
          <w:sz w:val="16"/>
          <w:szCs w:val="16"/>
        </w:rPr>
        <w:t>За</w:t>
      </w:r>
      <w:r w:rsidRPr="00640820">
        <w:rPr>
          <w:rFonts w:ascii="Times New Roman" w:hAnsi="Times New Roman"/>
          <w:i/>
          <w:iCs/>
          <w:color w:val="000000" w:themeColor="text1"/>
          <w:sz w:val="16"/>
          <w:szCs w:val="16"/>
          <w:lang w:val="en-US"/>
        </w:rPr>
        <w:t xml:space="preserve"> </w:t>
      </w:r>
      <w:r w:rsidRPr="00640820">
        <w:rPr>
          <w:rFonts w:ascii="Times New Roman" w:hAnsi="Times New Roman"/>
          <w:i/>
          <w:iCs/>
          <w:color w:val="000000" w:themeColor="text1"/>
          <w:sz w:val="16"/>
          <w:szCs w:val="16"/>
        </w:rPr>
        <w:t>рубежом</w:t>
      </w:r>
      <w:r w:rsidRPr="00640820">
        <w:rPr>
          <w:rFonts w:ascii="Times New Roman" w:hAnsi="Times New Roman"/>
          <w:i/>
          <w:iCs/>
          <w:color w:val="000000" w:themeColor="text1"/>
          <w:sz w:val="16"/>
          <w:szCs w:val="16"/>
          <w:lang w:val="en-US"/>
        </w:rPr>
        <w:t>:</w:t>
      </w:r>
    </w:p>
    <w:p w14:paraId="69BA1EFA"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244355E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lastRenderedPageBreak/>
        <w:t>December 17 1941 The Naval Research Laboratory reported that flight tests in a PBY of radar utilizing a duplexing antenna switch had been conducted with satisfactory results. The duplexing switch made it possible to use a single antenna for both transmission of the radar pulse and reception of its echo; thereby, the necessity for cumbersome "yagi" antenna no longer existed, a factor which contributed substantially to the reliability</w:t>
      </w:r>
    </w:p>
    <w:p w14:paraId="46436D23" w14:textId="77777777" w:rsidR="006C1BE5" w:rsidRPr="00640820" w:rsidRDefault="006C1BE5"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23BEB8F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декабря 1941 The Naval Research Laboratory выпустила отчет об испытаниях PBY с радаром с дуплексной антенной для приема и передачи сигнала.</w:t>
      </w:r>
    </w:p>
    <w:p w14:paraId="66CAF974"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D60B281" w14:textId="77777777" w:rsidR="003E3671" w:rsidRPr="00640820" w:rsidRDefault="003E367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17 декабря 1941 на Филиппинских островах пилот подполковник Boyd Вагнер на P-40 Warhawk ВВС армии Соединенных Штатов сбивает свой пятый японский самолет вблизи Виган , став первым американским асом Второй мировой войны (20794).</w:t>
      </w:r>
    </w:p>
    <w:p w14:paraId="61ACEB95" w14:textId="77777777" w:rsidR="003E3671" w:rsidRPr="00640820" w:rsidRDefault="003E3671" w:rsidP="00640820">
      <w:pPr>
        <w:spacing w:after="0" w:line="240" w:lineRule="auto"/>
        <w:jc w:val="both"/>
        <w:rPr>
          <w:rFonts w:ascii="Times New Roman" w:hAnsi="Times New Roman"/>
          <w:color w:val="0070C0"/>
          <w:sz w:val="16"/>
          <w:szCs w:val="16"/>
        </w:rPr>
      </w:pPr>
    </w:p>
    <w:p w14:paraId="41D6A279" w14:textId="77777777" w:rsidR="003E3671" w:rsidRPr="00640820" w:rsidRDefault="003E367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17 декабря 1941 Истребители ВВС Императорской японской армии Накадзима Ки-43 Хаябуса («Сокол-сапсан»; союзники называют «Оскар») атакуют группу из 12 истребителей эскадрильи № 453 Королевских ВВС Австралии «Брюстер Буффало» над Куала-Лумпуром, Малайя, сбив пять из них и четыре повреждив. Единственная потеря японцев - это Ki-43, который разбивается после того, как его крыло разрушается при выходе из пикирования (20794).</w:t>
      </w:r>
    </w:p>
    <w:p w14:paraId="6223D2A6" w14:textId="77777777" w:rsidR="003E3671" w:rsidRPr="00640820" w:rsidRDefault="003E3671" w:rsidP="00640820">
      <w:pPr>
        <w:spacing w:after="0" w:line="240" w:lineRule="auto"/>
        <w:jc w:val="both"/>
        <w:rPr>
          <w:rFonts w:ascii="Times New Roman" w:hAnsi="Times New Roman"/>
          <w:color w:val="0070C0"/>
          <w:sz w:val="16"/>
          <w:szCs w:val="16"/>
        </w:rPr>
      </w:pPr>
    </w:p>
    <w:p w14:paraId="13550A37" w14:textId="77777777" w:rsidR="003E3671" w:rsidRPr="00640820" w:rsidRDefault="003E367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xml:space="preserve">17 декабря 1941 Самолет HMS Audacity повредил немецкую подводную лодку U-131 так сильно, что ее экипаж позже затопил ее. Впервые самолеты сопровождения с авианосца участвуют в потоплении подводной лодки (20794). </w:t>
      </w:r>
    </w:p>
    <w:p w14:paraId="4075A6A3" w14:textId="77777777" w:rsidR="003E3671" w:rsidRPr="00640820" w:rsidRDefault="003E3671" w:rsidP="00640820">
      <w:pPr>
        <w:spacing w:after="0" w:line="240" w:lineRule="auto"/>
        <w:jc w:val="both"/>
        <w:rPr>
          <w:rFonts w:ascii="Times New Roman" w:hAnsi="Times New Roman"/>
          <w:color w:val="0070C0"/>
          <w:sz w:val="16"/>
          <w:szCs w:val="16"/>
        </w:rPr>
      </w:pPr>
    </w:p>
    <w:p w14:paraId="7C86A011" w14:textId="77777777" w:rsidR="003E3671" w:rsidRPr="00640820" w:rsidRDefault="003E367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17 декабря 1941 Йокосука E14Y гидросамолет (ОВС название «Глен») с японской подводной лодки I-7 после удара выполнил разведывательный полет над Перл - Харбор. Для E14Y - это боевой дебют (20794).</w:t>
      </w:r>
    </w:p>
    <w:p w14:paraId="53B798BF" w14:textId="77777777" w:rsidR="003E3671" w:rsidRPr="00640820" w:rsidRDefault="003E3671" w:rsidP="00640820">
      <w:pPr>
        <w:spacing w:after="0" w:line="240" w:lineRule="auto"/>
        <w:jc w:val="both"/>
        <w:rPr>
          <w:rFonts w:ascii="Times New Roman" w:hAnsi="Times New Roman"/>
          <w:color w:val="0070C0"/>
          <w:sz w:val="16"/>
          <w:szCs w:val="16"/>
        </w:rPr>
      </w:pPr>
    </w:p>
    <w:p w14:paraId="456BB8DE" w14:textId="77777777" w:rsidR="003E3671" w:rsidRPr="00640820" w:rsidRDefault="003E3671"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17-20 декабря 1941 все выжившие B-17 Flying Fortress ВВС армии США армии ВВС на Дальнем Востоке ВВС будут выведены с Филиппинских островов в Австралии. Все остальные самолеты дальневосточных ВВС уничтожены или захвачены японцами (20794).</w:t>
      </w:r>
    </w:p>
    <w:p w14:paraId="50A0028D" w14:textId="77777777" w:rsidR="003E3671" w:rsidRPr="00640820" w:rsidRDefault="003E3671" w:rsidP="00640820">
      <w:pPr>
        <w:spacing w:after="0" w:line="240" w:lineRule="auto"/>
        <w:jc w:val="both"/>
        <w:rPr>
          <w:rFonts w:ascii="Times New Roman" w:hAnsi="Times New Roman"/>
          <w:color w:val="0070C0"/>
          <w:sz w:val="16"/>
          <w:szCs w:val="16"/>
        </w:rPr>
      </w:pPr>
    </w:p>
    <w:p w14:paraId="13D0BE8B"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17 декабря </w:t>
      </w:r>
      <w:r w:rsidRPr="00640820">
        <w:rPr>
          <w:rFonts w:ascii="Times New Roman" w:hAnsi="Times New Roman"/>
          <w:color w:val="000000" w:themeColor="text1"/>
          <w:sz w:val="16"/>
          <w:szCs w:val="16"/>
        </w:rPr>
        <w:t>в 1941 году парламент Великобритании принял карательные законы в отношении дельцов черного рынка (14863).</w:t>
      </w:r>
    </w:p>
    <w:p w14:paraId="4A2AA772" w14:textId="77777777" w:rsidR="006C1BE5" w:rsidRPr="00640820" w:rsidRDefault="006C1BE5" w:rsidP="00640820">
      <w:pPr>
        <w:spacing w:after="0" w:line="240" w:lineRule="auto"/>
        <w:jc w:val="both"/>
        <w:rPr>
          <w:rFonts w:ascii="Times New Roman" w:hAnsi="Times New Roman"/>
          <w:color w:val="000000" w:themeColor="text1"/>
          <w:sz w:val="16"/>
          <w:szCs w:val="16"/>
        </w:rPr>
      </w:pPr>
    </w:p>
    <w:p w14:paraId="6166AF28"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3B5A7D34"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9820E68" w14:textId="77777777" w:rsidR="006C1BE5" w:rsidRPr="00640820" w:rsidRDefault="006C1BE5"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18-го декабря 1941 И.Б. Иосилович, в ранге директора уже объединенного завода № 39 отчитывался на заседании бюро Иркутского ГК ВКП(б) по вопросу размещения и монтажа эвакуированного московского оборудования (Личная переписка директора завода № 125 с НКАП по вопросам производства. 1941 г. Центральный архив ИАЗ. Дело № 13, лист 213).</w:t>
      </w:r>
    </w:p>
    <w:p w14:paraId="2D6F6F71" w14:textId="77777777" w:rsidR="006C1BE5" w:rsidRPr="00640820" w:rsidRDefault="006C1BE5"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заседании отмечалось, что «Постановление бюро ОК ВКП(б), обязывающее директора завода тов. Иосилович устанавливать металлорежущие станки в десятидневный срок со дня получения не выполняется. На 15 декабря из 601 станка пущено в эксплуатацию только 135. Из-за отсутствия контроля и руководства работой на разгрузочных площадках, материальные ценности и оборудование подвергается порче и расхищению».</w:t>
      </w:r>
    </w:p>
    <w:p w14:paraId="27131CB7" w14:textId="77777777" w:rsidR="006C1BE5" w:rsidRPr="00640820" w:rsidRDefault="006C1BE5"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Своим Постановлением бюро ГК ВКП(б) обязывает директора завода № 39:</w:t>
      </w:r>
    </w:p>
    <w:p w14:paraId="23416A14" w14:textId="77777777" w:rsidR="006C1BE5" w:rsidRPr="00640820" w:rsidRDefault="006C1BE5" w:rsidP="00640820">
      <w:pPr>
        <w:pStyle w:val="rteindent11"/>
        <w:shd w:val="clear" w:color="auto" w:fill="FFFFFF"/>
        <w:spacing w:before="0" w:beforeAutospacing="0" w:after="0"/>
        <w:ind w:left="0" w:firstLine="0"/>
        <w:rPr>
          <w:color w:val="000000" w:themeColor="text1"/>
          <w:sz w:val="16"/>
          <w:szCs w:val="16"/>
        </w:rPr>
      </w:pPr>
      <w:r w:rsidRPr="00640820">
        <w:rPr>
          <w:rStyle w:val="af0"/>
          <w:i w:val="0"/>
          <w:color w:val="000000" w:themeColor="text1"/>
          <w:sz w:val="16"/>
          <w:szCs w:val="16"/>
        </w:rPr>
        <w:t>К 20-му декабря пустить в эксплуатацию 248 установленных станков; в декабре установить и пустить в работу дополнительно 350 станков; в течение января освоить прессовое и кузнечное оборудование.</w:t>
      </w:r>
    </w:p>
    <w:p w14:paraId="1F8F53B0" w14:textId="77777777" w:rsidR="006C1BE5" w:rsidRPr="00640820" w:rsidRDefault="006C1BE5"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 далее:</w:t>
      </w:r>
    </w:p>
    <w:p w14:paraId="588A5948" w14:textId="77777777" w:rsidR="006C1BE5" w:rsidRPr="00640820" w:rsidRDefault="006C1BE5" w:rsidP="00640820">
      <w:pPr>
        <w:pStyle w:val="rteindent11"/>
        <w:shd w:val="clear" w:color="auto" w:fill="FFFFFF"/>
        <w:spacing w:before="0" w:beforeAutospacing="0" w:after="0"/>
        <w:ind w:left="0" w:firstLine="0"/>
        <w:rPr>
          <w:rStyle w:val="af0"/>
          <w:i w:val="0"/>
          <w:color w:val="000000" w:themeColor="text1"/>
          <w:sz w:val="16"/>
          <w:szCs w:val="16"/>
        </w:rPr>
      </w:pPr>
      <w:r w:rsidRPr="00640820">
        <w:rPr>
          <w:rStyle w:val="af0"/>
          <w:i w:val="0"/>
          <w:color w:val="000000" w:themeColor="text1"/>
          <w:sz w:val="16"/>
          <w:szCs w:val="16"/>
        </w:rPr>
        <w:t>Обязать тов. Иосилович привлечь к судебной ответственности лиц, виновных в расхищении прибывшего инструмента.</w:t>
      </w:r>
    </w:p>
    <w:p w14:paraId="4E9010E6" w14:textId="77777777" w:rsidR="006C1BE5" w:rsidRPr="00640820" w:rsidRDefault="006C1BE5" w:rsidP="00640820">
      <w:pPr>
        <w:pStyle w:val="rteindent11"/>
        <w:shd w:val="clear" w:color="auto" w:fill="FFFFFF"/>
        <w:spacing w:before="0" w:beforeAutospacing="0" w:after="0"/>
        <w:ind w:left="0" w:firstLine="0"/>
        <w:rPr>
          <w:rStyle w:val="af0"/>
          <w:i w:val="0"/>
          <w:color w:val="000000" w:themeColor="text1"/>
          <w:sz w:val="16"/>
          <w:szCs w:val="16"/>
        </w:rPr>
      </w:pPr>
      <w:r w:rsidRPr="00640820">
        <w:rPr>
          <w:rStyle w:val="af0"/>
          <w:i w:val="0"/>
          <w:color w:val="000000" w:themeColor="text1"/>
          <w:sz w:val="16"/>
          <w:szCs w:val="16"/>
        </w:rPr>
        <w:t>Предупредить заместителя директора по кадрам тов. Ведяева, что если он не обеспечит к 22-му декабря выход на работу всего прибывшего контингента рабочих завода № 39, то он будет привлечен к партийной ответственности (15223).</w:t>
      </w:r>
    </w:p>
    <w:p w14:paraId="07E5170F" w14:textId="77777777" w:rsidR="006C1BE5" w:rsidRPr="00640820" w:rsidRDefault="006C1BE5" w:rsidP="00640820">
      <w:pPr>
        <w:pStyle w:val="rteindent11"/>
        <w:shd w:val="clear" w:color="auto" w:fill="FFFFFF"/>
        <w:spacing w:before="0" w:beforeAutospacing="0" w:after="0"/>
        <w:ind w:left="0" w:firstLine="0"/>
        <w:rPr>
          <w:rStyle w:val="af0"/>
          <w:i w:val="0"/>
          <w:color w:val="000000" w:themeColor="text1"/>
          <w:sz w:val="16"/>
          <w:szCs w:val="16"/>
        </w:rPr>
      </w:pPr>
    </w:p>
    <w:p w14:paraId="7AB243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декабря 1941 вышел приказ НКАП N 1170 (1328,11), согласно которому ГКО в решении от 17 декабря 1941 N 1039 постановил организовать на площади эвакуированного завода 22 в Москве завод по выпуску самолетов 103 присвоив ему номер 23 (1328,11).</w:t>
      </w:r>
    </w:p>
    <w:p w14:paraId="23C941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AD98E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18 декабря 1941 г. приказом НКАП № 1170сс в соответствии с решением ГКО № 1039сс от 17.12.1941 г. на территории эвакуированного в г. Казань в 1941 г. завода № 22 НКАП в г. Москве (Фили) был образован новый авиационный завод № 23 НКАП в системе 1ГУ. Для комплектования нового завода планировалось передать ему мощности бывшего завода № 30 НКАП. Было передано большое количество оборудования с заводов № 22, 124, 16; направлены кадры с заводов № 1, 16, 22, 24 и 124. По приказу № 79сс от 26.01.1942 г. на завод передана часть оборудования и кадров расформированного завода № 135 НКАП. </w:t>
      </w:r>
    </w:p>
    <w:p w14:paraId="0742FC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соответствии с постановлением № ГОКО-1398сс от 6.03.1942 г. и приказом № 227сс от 21.03.1942 г. в Москву на завод № 23 (планировалось сначала на завод № 81) переведен к 05.1942 г. завод № 458 НКАП из Баку со всем оборудованием и личным составом и влит в его состав. </w:t>
      </w:r>
    </w:p>
    <w:p w14:paraId="2FCE64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384с от 15.05.1942 г. завод № 497 (бывшая мебельная фабрика № 2 им. Мазевского; г. Москва ул. Дубнинская, 68) подчинен на правах филиала заводу № 23 для улучшения организации производства Ил-4. Начальник филиала- Д.И. Степин.</w:t>
      </w:r>
    </w:p>
    <w:p w14:paraId="1BF0D5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Существовал филиал завода № 23 (бывшая Нотнопечатная фабрика), действовавший в 10ГУ. По приказу № 633с от 18.08.1942 г. он был передан заводу № 482 НКАП.</w:t>
      </w:r>
    </w:p>
    <w:p w14:paraId="014489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соответствии с приказом НКАП № 706с от 24.11.1943 г. в состав завода № 23 с 1.11.1943 г. влит опытный завод № 117 НКАП (из Читы) и образован объединенный завод № 23 НКАП. </w:t>
      </w:r>
    </w:p>
    <w:p w14:paraId="3D5A00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1950-х гг. строились опытные бомбардировщики М-50 и М-52.</w:t>
      </w:r>
    </w:p>
    <w:p w14:paraId="40C4D04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середины 1960 г. на заводе осуществлялась сборка самолета «РСР» П.В. Цыбина.</w:t>
      </w:r>
    </w:p>
    <w:p w14:paraId="59771F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1960 г.- производственная база ОКБ Челомея. </w:t>
      </w:r>
    </w:p>
    <w:p w14:paraId="4A04B2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3.07.1961 г. завод № 23 переименован в Машиностроительный завод им. М.В. Хруничева.77 </w:t>
      </w:r>
    </w:p>
    <w:p w14:paraId="314020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1962 г. предприятие было перепрофилировано на ракетно-космическую тематику. Проведена реконструкция, введено в строй 10 новых цехов, информационно-вычислительный центр.</w:t>
      </w:r>
    </w:p>
    <w:p w14:paraId="043840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от 6.03.1966 г. Машиностроительный завод им. М.В. Хруничева из системы СНХ передан в подчинение 1ГУ МОМ. 7.06.1993 г. МЗ им. Хруничева и ОКБ «Салют» объединились в ГК НПЦ им. Хруничева. В 1995 г. МЗ им. М.В. Хруничева объединился с НПО "Молния". По Указу Президента РФ № 1009 от 4.08.2004 г. вошло в перечень стратегических оборонных предприятий.</w:t>
      </w:r>
    </w:p>
    <w:p w14:paraId="7D0C86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Распоряжением президента РФ № 569/рп от 25.11.2005 г. гендиректором вместо А. Медведева назначен В. Нстеров.</w:t>
      </w:r>
    </w:p>
    <w:p w14:paraId="649145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 ГКНПЦ входят (2002 г.): КБ «Салют», Ракетно-космический завод, Завод по испытаниям и эксплуатации РКТ, Завод медтехники и ТНП, НИИ Космических систем, КБ «Арматура».</w:t>
      </w:r>
    </w:p>
    <w:p w14:paraId="342522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(12.1941 г.-)- В.А. Окулов, (10.1942 г.)- Тарасевич, (-07-10.1943 г.-)- И.Б. Иосилович, (1944-46 г.)- А.Т. Третьяков, (1951 г.-)- С.М. Лещенко, (1961-75 г.)- М.И. Рыжих. Ген. директор (-1980-е -02.2001 г.)- А.И. Киселев (затем- советник гендиректора), (02.2001-25.11.2005 г.)- А.А. Медведев, (25.11.2005 г.-)- В. Нестеров.</w:t>
      </w:r>
    </w:p>
    <w:p w14:paraId="0FA126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 Конструктор (2002 г.)- А.К. Недайвода.</w:t>
      </w:r>
    </w:p>
    <w:p w14:paraId="34614A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(1960-е)- А.И. Киселев. Зам. Гендиректора: (2002 г.)- А.К. Недайвода; по ВЭД (2002 г.)- А.С. Кондратьев; (2003 г.)- И. Додин, (-2003-04 г.-)- Д. Пивнюк.</w:t>
      </w:r>
    </w:p>
    <w:p w14:paraId="13767F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(12.1941 г.-)- П.М. Морозов.</w:t>
      </w:r>
    </w:p>
    <w:p w14:paraId="43FDC8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Работали: (начало 1950-х)- Кобзырев, Лиценко.</w:t>
      </w:r>
    </w:p>
    <w:p w14:paraId="7A0173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ДБ-3Ф (1942-43)- 367, Ту-2 (1943-49)- 1136, Ту-4 (1950-53), Ил-28 (1953)- 2, М-4 (1953-56), 3М (1956-63)- 93 (или 116), М-50, М-52, Ми-6 (1960-62), Ми-8; (2002): самолет КВП Т-411 «Аист», легкие транспортные Т-417 «Пегас», Т-420 «Стриж».</w:t>
      </w:r>
    </w:p>
    <w:p w14:paraId="24C153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ЗУР: В-300; МБР: УР-100, УР-100УТТХ, УР-100К, УР-100К УТТХ, УР-100Н (1974-), УР-100Н УТТХ (-1991)- 360; РН «Протон», орбитальные станции «Салют», «Мир»; разгонный блок «Бриз»; модули «Квант», «Кристалл», «Спектр»; (2002): РН «Ангара», «Рокот», разгонные блоки «Бриз-М», 12КРБ, служебный модуль МКС, ракетный ускоритель «Байкал», космическая платформа «Яхта».69 </w:t>
      </w:r>
    </w:p>
    <w:p w14:paraId="27BC9A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Завод № 23 НКАП, МАП, ГКАТ, Машиностроительный завод им. М.В. Хруничева (ЗИХ) СНХ, МОМ, МПО им. Хруничева, ФГУП «ГК НПЦ (Государственный космический научно-производственный центр) им. Хруничева» ФКА </w:t>
      </w:r>
    </w:p>
    <w:p w14:paraId="098811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121309 г. Москва, ул. Новозаводская, 18 тел. 145-92-10 www.khrunichev.com (10776).</w:t>
      </w:r>
    </w:p>
    <w:p w14:paraId="440617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ОКБ-23 МАП, Филиал № 1 ОКБ-52 МОМ, КБ «Салют» МОМ</w:t>
      </w:r>
    </w:p>
    <w:p w14:paraId="38B0FA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Москва, Фили/</w:t>
      </w:r>
    </w:p>
    <w:p w14:paraId="78848B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24.03.1951 г. гл. конструктором вновь образованного ОКБ-23 на заводе № 23 МАП назначен В.М. Мясищев (по [77] ОКБ-23 воссоздано 26.05.1950г). </w:t>
      </w:r>
    </w:p>
    <w:p w14:paraId="0FDB49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Разработка стратегических бомбардировщиков М-4, 3М, М-50, М-52, М-56, М-60, М-70. </w:t>
      </w:r>
    </w:p>
    <w:p w14:paraId="6AA5A0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20.05.1954 г. вышло постановление СМ СССР № 957-409 о начале разработки носителя ядерного заряда- тяжелой КР М-40 («40», ракетно-самолетная система РСС-40 «Буран») (гл. конструктор- В.М. Мясищев, научный руководитель- М.В. Келдыш). В соответствии с постановлением СМ № 1096-570 от 11.08.1956 г. и приказом МАП № 453 на ОКБ возложено задание разработать, построить и предъявить на совместные испытания КР «Буран-А» с новой БЧ.3 В 11.1957 г. работы по М-40 прекращены (в пользу МКР «Буря»).59 </w:t>
      </w:r>
    </w:p>
    <w:p w14:paraId="6F1897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1956-59 г. разработка УРВП Х-44 (системы К-44) с термоядерной БЧ изд. «205К» для М-52К и М-56К. Во второй половине 1950-х г. разработан проект стратегической КР М-61 с ядерной БЧ для М-50 и М-52.58 </w:t>
      </w:r>
    </w:p>
    <w:p w14:paraId="1D77D3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1959 г. разработан проект воздушно-космического самолета ВКА-23 (изд. «48»).</w:t>
      </w:r>
    </w:p>
    <w:p w14:paraId="18F3E7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начале 1960 г. в ОКБ-23 влилось ОКБ-256 П.В. Цыбина. </w:t>
      </w:r>
    </w:p>
    <w:p w14:paraId="6010A7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конца 1959 г. началась переориентация ОКБ на ракетную тематику. По приказу № 377сс/ов от 6.10.1960 г. ОКБ-23 В.М. Мясищева было закрыто, коллектив переведен в ОКБ-52. В начале 1961 г. на базе ОКБ образован Филёвский филиал № 1 ОКБ-52. И.О. начальника филиала назначен зам. ген. конструктора по производству Н.М. Гловацкий.</w:t>
      </w:r>
    </w:p>
    <w:p w14:paraId="7A07CE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составе филиала в 1961 г. создан комплекс наземного оборудования РКТ под руководством Г.И. Архангельского. Затем этот коллектив переведен (вероятно, в 1963 г.) в филиал № 2 ОКБ-52.77 </w:t>
      </w:r>
    </w:p>
    <w:p w14:paraId="187C5C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филиале № 1 работало ракетостроительное КБ-90. По приказу МАП № 482 от 21.11.1966 г. КБ-90 филиала № 1 ОКБ-52 МОМ и Филиал Машиностроительного завода им. М.В. Хруничева в г. Жуковском переданы в МАП с образованием на их базе ЭМЗ.</w:t>
      </w:r>
    </w:p>
    <w:p w14:paraId="75F471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1977 г. филиал № 1 с опытным производством вошел в состав НПО «Энергия».</w:t>
      </w:r>
    </w:p>
    <w:p w14:paraId="3DBA3D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1980 г. филиал № 1, ставший самостоятельным, получил название КБ "Салют" (по [58]- с 1985 г.; по [77]- в 06.1981 г. филиал № 1 преобразован в самостоятельное КБ «Салют» и включен в состав НПО «Энергия»), действовал в ведении 11ГУ МОМ. 7.06.1993 г. МЗ им. Хруничева и ОКБ «Салют» объединились в ГК НПЦ им. Хруничева.</w:t>
      </w:r>
    </w:p>
    <w:p w14:paraId="2CDE41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филиале № 1 велась разработка ракеты УР-200 (с 1960 г.), УР-100 (с 1962 г.), РН «Протон» (с 1962 г.).</w:t>
      </w:r>
    </w:p>
    <w:p w14:paraId="658DBD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постановлением СМ СССР от 1.06.1970 г. велась разработка транспортного корабля снабжения (ТКС) для орбитальной станции «Алмаз». Первый запуск ТКС («Космос-929»)- 17.07.1977 г.</w:t>
      </w:r>
    </w:p>
    <w:p w14:paraId="099C00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1980-х г. разработана орбитальная лазерная боевая станция «Скиф».</w:t>
      </w:r>
    </w:p>
    <w:p w14:paraId="40D4FC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космической техники: разгонный блок «Бриз-М» для РН «Протон-М».</w:t>
      </w:r>
    </w:p>
    <w:p w14:paraId="45F7AE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Гл. конструктор ОКБ (03.1951-60 г.)- В.М. Мясищев (затем работал в ЦАГИ). </w:t>
      </w:r>
    </w:p>
    <w:p w14:paraId="49E654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гл. конструктор Филиала № 1 (1960-е г.)- В.Ф. Бугайский. Ген. конструктор (1980-е)- Д.А. Полухин, (1999 г.)- А. Недайвода.</w:t>
      </w:r>
    </w:p>
    <w:p w14:paraId="245029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ген. конструктора (1961 г.)- Г.И. Архангельский, В.К. Карраск.</w:t>
      </w:r>
    </w:p>
    <w:p w14:paraId="324EEB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(1954 г.)- Г.Н. Назаров («Буран»).</w:t>
      </w:r>
    </w:p>
    <w:p w14:paraId="18BC31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ЛИиДБ (1959 г.)- Д.Н. Белоногов.</w:t>
      </w:r>
    </w:p>
    <w:p w14:paraId="06D3BE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Работали (1951 г.-)- В.А. Лихачев, (1956-60 г.)- А.Т. Тарасов (ведущий конструктор- начальник отдела).</w:t>
      </w:r>
    </w:p>
    <w:p w14:paraId="044665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завода № 23 ГКАТ гл. конструктора Н.П. Никитина</w:t>
      </w:r>
    </w:p>
    <w:p w14:paraId="1BB9BF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Москва</w:t>
      </w:r>
    </w:p>
    <w:p w14:paraId="3FECDD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ГКАТ № 111 от 12.04.1961 г. ОКБ-3 завода № 118 гл. конструктора Н.П. Никитина переведено на освободившиеся площади на заводе № 23 ГКАТ. Продолжены работы по автопилотам для УРВВ: начата разработка СУР-40 для К-40, АПР-80.</w:t>
      </w:r>
    </w:p>
    <w:p w14:paraId="7CF244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1963 г. ОКБ Н.П. Никитина расформировано. Тематика и личный состав были распределены по профильным организациям. Часть ОКБ передана заводу № 118 ГКАТ и НИИ-923 ГКАТ.</w:t>
      </w:r>
    </w:p>
    <w:p w14:paraId="75384D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(04.1961-63 г.)- Н.П. Никитин.</w:t>
      </w:r>
    </w:p>
    <w:p w14:paraId="0BFD9A9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Филиал Машиностроительного завода им. М.В. Хруничева, Экспериментальный машиностроительный завод (ЭМЗ) МАП, ФГУП «ЭМЗ им. В.М. Мясищева» </w:t>
      </w:r>
    </w:p>
    <w:p w14:paraId="1B1F91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140185 г. Жуковский-5 Московской обл. Наркомвод, 1 тел. 728-41-35 www.emz-m.ru</w:t>
      </w:r>
    </w:p>
    <w:p w14:paraId="251075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МАП № 482 от 21.11.1966 г. КБ-90 филиала № 1 ОКБ-52 МОМ и Филиал Машиностроительного завода им. М.В. Хруничева в г. Жуковском переданы в МАП с образованием на их базе ЭМЗ.</w:t>
      </w:r>
    </w:p>
    <w:p w14:paraId="036F5A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Головной исполнитель работ по строительству орбитального самолета «Буран» (изделие «11Ф35»), работа над которым началась в 1976 г. Здесь была построена модель «Бор-5».</w:t>
      </w:r>
    </w:p>
    <w:p w14:paraId="620278F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середине 1970-х г. создан универсальный контейнер грузового десантирования (УКГД), предназначенную для парашютного десантирования группы из 5 чел.</w:t>
      </w:r>
    </w:p>
    <w:p w14:paraId="13E7B2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1986 г. В.А. Корчагиным на заводе велись работы по амфибии «Ямал». В 1989 г. для создания этого самолета был организован консорциум «Авиаспецтранс», в который вместе с ЭМЗ вошли «Тюменьгазпром», ААНИИ, ГосНИИГА, ВНИИ Океангеологии. ЭМЗ стал ответственным исполнителем по эскизному проекту и ОКР «Ямала». В 1990-х г. построен натурный макет самолета.</w:t>
      </w:r>
    </w:p>
    <w:p w14:paraId="3AC589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Создан легкий многоцелевой самолет М-101Т «Гжель». В 01.2003 г. он получил сертификат типа.Ъ-15.01.03 </w:t>
      </w:r>
    </w:p>
    <w:p w14:paraId="474901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04.2001 г. вместе с НГАЗ «Сокол» и компанией «Каскол» объединился в авиастроительную компанию «НоРС» (Новые региональные самолеты). По Указу Президента РФ № 1009 от 4.08.2004 г. вошел в число стратегических оборонных предприятий.</w:t>
      </w:r>
    </w:p>
    <w:p w14:paraId="56BADD5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2002 г.: работы по М-60, сельскохозяйственному М-500, многоцелевому М-102, М-201 «Сокол», многоразовой аэрокосмической системе С-XXI для М-55, космической платформе «Демонстратор».</w:t>
      </w:r>
    </w:p>
    <w:p w14:paraId="59C934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 предприятия входит ОКБ, опытное производство, летно-испытательная база.</w:t>
      </w:r>
    </w:p>
    <w:p w14:paraId="16F8CE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(2002 г.)- 2000 чел.</w:t>
      </w:r>
    </w:p>
    <w:p w14:paraId="621C21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Работали: (1967 г.-)- С.Г. Смирнов, (1968 г.-)- А.А. Брук, (1980 г.-)- В.И. Погодин. </w:t>
      </w:r>
    </w:p>
    <w:p w14:paraId="6C4B6B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Ген. конструктор (1967-78 г.)- В.М. Мясищев, (1979-90 г.)- В.А. Федотов, (1993-2005 г.-)- В.К. Новиков.</w:t>
      </w:r>
    </w:p>
    <w:p w14:paraId="24672B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(1977 г.)- С.Г. Арутюнов.</w:t>
      </w:r>
    </w:p>
    <w:p w14:paraId="250AC9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1-й зам. Ген. Конструктора (2002 г.)- В.А. Ширинянц. Зам. ген. Конструктора: по проектированию (2004 г.)- В.И. Погодин; по финансово-экономической деятельности (2002 г.)- А.А. Горбунов; (2002 г.)- Л.А. Соколов, (2002 г.)- Е.С. Чарский. Зам. ген. конструктора/начальник проектного комлекса (2004 г.)- А.А. Брук.КР-2/04 </w:t>
      </w:r>
    </w:p>
    <w:p w14:paraId="29F1609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начальника проектного комлекса по проектированию – В.И. Погодин. Главный специалист по конверсии (-2004-05 г.-)- С.Г. Смирнов.</w:t>
      </w:r>
    </w:p>
    <w:p w14:paraId="2C1446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(1986 г.)- Е.В. Ежов («Ямал»), (2002 г.)- Л.А. Соколов (М-55), (2002 г.)- Е.С. Чарский (М-101).</w:t>
      </w:r>
    </w:p>
    <w:p w14:paraId="20EF98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отдела общих видов – В.И. Погодин. Начальник бригады аэродинамики ОКБ ЭМЗ (1973-83 г.)- С.Г. Смирнов. Начальник производства/ зам. гл. конструктора (1990-е-2004 г.-)- В.В. Тормышев.</w:t>
      </w:r>
    </w:p>
    <w:p w14:paraId="22C1F4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"РОКС-Аэро", ОКБ "Аэропрогресс", "Рос-Аэропрогресс", ОКБ ГК НПЦ им. Хруничева, АНПК завода им. Хруничева</w:t>
      </w:r>
    </w:p>
    <w:p w14:paraId="05BA90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08.1996 г. фирма «Рос-Аэропрогресс» влилась в состав ГК НПЦ им. Хруничева, на ее базе создано самолетостроительное ОКБ.</w:t>
      </w:r>
    </w:p>
    <w:p w14:paraId="613AB3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(1990-е-2004 г.-)- Е.П. Грунин.</w:t>
      </w:r>
    </w:p>
    <w:p w14:paraId="23F56C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конструктора (2004 г.)- В. Заблотский, Л. Тарасевич, М. Васюк, В. Медников.</w:t>
      </w:r>
    </w:p>
    <w:p w14:paraId="195F6A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Создано: самолеты Т-101 "Грач", Т-411, Т-435 "Пеликан", Т-440 (1990-е г.); проект самолета Т-511 (2003 г.). </w:t>
      </w:r>
    </w:p>
    <w:p w14:paraId="7C84A9A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НИИ космических систем</w:t>
      </w:r>
    </w:p>
    <w:p w14:paraId="086C61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141091 г. Юбилейный Московской обл. ул. Тихонравова, 36 тел. 515-60-40</w:t>
      </w:r>
    </w:p>
    <w:p w14:paraId="40D6E8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Входит в КГНПЦ им. Хруничева в качестве филиала (2002-05 г.).</w:t>
      </w:r>
    </w:p>
    <w:p w14:paraId="0F9537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Исследования в области отработки, испытаний и эксплуатации космической техники, создание систем и техники специального назначения; проведение ТЭО разработки, создания и эксплуатации КС; специализированные системы управления, сбора и обработки информации, системы мониторинга Земли; технологии навигационно-баллистического обеспечения КА.</w:t>
      </w:r>
    </w:p>
    <w:p w14:paraId="6A6EA6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(2002-04 г.) - В.А. Меньшиков.</w:t>
      </w:r>
    </w:p>
    <w:p w14:paraId="32096F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по научной работе (2002-04 г.)- И.Н. Голованев;69 (2005 г.)- В.В. Меньшиков.</w:t>
      </w:r>
    </w:p>
    <w:p w14:paraId="2F0102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ЗАО «Авиаоборудование» </w:t>
      </w:r>
    </w:p>
    <w:p w14:paraId="54D8DE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140160 г. Жуковский-5 Московской обл. ЭМЗ</w:t>
      </w:r>
    </w:p>
    <w:p w14:paraId="1ECBE1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в 2000 г. при ЭМЗ.</w:t>
      </w:r>
    </w:p>
    <w:p w14:paraId="0E9AD0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Разработка и производство бортовых комплексов авионики (2003 г.).</w:t>
      </w:r>
    </w:p>
    <w:p w14:paraId="6436D1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Гендиректор (2003 г.)- А.П. Ленивцев (10776).</w:t>
      </w:r>
    </w:p>
    <w:p w14:paraId="261F44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8A38F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декабря 1941 года вышел приказ НКАП № 1170сс во исполнение постановления ГКО за № 1039сс от 17 декабря 1941 года, согласно которому на площадях эвакуированного в Казань завода № 22 был организован завод № 23.</w:t>
      </w:r>
    </w:p>
    <w:p w14:paraId="55B617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соответствии с этим же решением ГКО и приказа НКАП заводу № 23 был передан завод № 30, эвакуированный из г. Кимры в горьковскую область со всем его оборудованием, рабочей силой и материальными ценностями.</w:t>
      </w:r>
    </w:p>
    <w:p w14:paraId="45B69D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Решением ГКО от 14 января 1942 года за № 1149 и приказом НКАП от 15 января 1942 года за № 39сс все оборудование, рабочая сила, транспорт и материальные ценности были переданы с завода № 23 заводу № 30, который организовался в Москве, на площадях эвакуированного в Куйбышев завода № 1 НКАП.</w:t>
      </w:r>
    </w:p>
    <w:p w14:paraId="09BA13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Решением ГКО от 24 января 1942 года за № 1208сс и приказом НКАП от 26 января 1942 года за № 79сс завод 3 135 НКАП, эвакуированный из Харькова в Молотов был расформирован и часть оборудования с рабочей силой были переданы заводу № 23.</w:t>
      </w:r>
    </w:p>
    <w:p w14:paraId="4281A1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Решением ГКО от 6 марта 1942 года за № 1398сс и приказом НКАП от 9 марта 1942 года был расформирован завод № 458, эвакуированный из Ростова-на-Дону в Баку, часть оборудования и рабочей силы были переданы заводу № 23.</w:t>
      </w:r>
    </w:p>
    <w:p w14:paraId="02187D8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Решением ГКО от 14 марта 1942 года за № 1442сс и приказом НКАП от 16 марта 1942 года за № 210сс заводу было дано производственное задание по выпуску самолета ИЛ-4, который заводом выпускался до июля 1943 года.</w:t>
      </w:r>
    </w:p>
    <w:p w14:paraId="00953B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Решением ГКО от 17 июля 1943 года за № 3754сс и приказом НКАП от 20 июля 1943 года за № 430сс заводу было установлено производственное задание по выпуску самолета ТУ-2, которое завод выполнял по вторую половину 1948 года.</w:t>
      </w:r>
    </w:p>
    <w:p w14:paraId="780552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Постановлением СМ № 1627-682сс от 17 мая 1948 года и приказа МАП № 331сс от 27 мая 1948 года заводу дано новое производственное задание по выпуску самолетов ТУ-14 со снятием с производства самолета ТУ-2.</w:t>
      </w:r>
    </w:p>
    <w:p w14:paraId="7F3558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Постановлением СМ № 1890-700сс от 14 мая 1949 года и приказом МАП № 374сс/ов от 19 мая 1949 года выпуск самолетов ТУ-14 прекращен в производстве на заводе № 23 и передан заводу № 39 в Иркутск со всем заделом и оснасткой.</w:t>
      </w:r>
    </w:p>
    <w:p w14:paraId="3C8B3FB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Этим же постановлением и приказом МАП заводу установлено задание по выпуску самолетов ТУ-4, которое завод выполнял до 1 января 1953 года.</w:t>
      </w:r>
    </w:p>
    <w:p w14:paraId="451789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Постановлением СМ от 31 декабря 1952 года за № 5331-2090 и приказом МАП № 6сс от 3 января 1953 года производство самолетов ТУ-4 на заводе прекращено и установлено новое производственное задание по постановке на производство самолетов ИЛ-28, однако во второй половине 1953 года это производственное задание с завода было снято.</w:t>
      </w:r>
    </w:p>
    <w:p w14:paraId="32F454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Постановлением СМ от 19 декабря 1953 года за № 3010-1310сс/ов и от 28 декабря 1953 года за № 393сс/ов заводу установлено производственное задание по выпуску малой серии самолета М-4 конструкции Мясищева, которое завод выполнял по первую половину 1956 года.</w:t>
      </w:r>
    </w:p>
    <w:p w14:paraId="626C2E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Согласно Постановления СМ за № 949-469/ов от 24 марта 1951 года и приказу МАП за № 249сс/ов от 26 марта 1951 года на заводе организовано ОКБ-23, для которого завод в 1952 году изготовил опытный образец самолета “М” конструкции Мясищева, а в 1953 году работал по изготовлению самолетов “М” и “ДМ”.</w:t>
      </w:r>
    </w:p>
    <w:p w14:paraId="6B2E48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выпущенных самолетов заводом № 23 за период с 1952 по 1958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17"/>
        <w:gridCol w:w="1348"/>
        <w:gridCol w:w="920"/>
        <w:gridCol w:w="851"/>
        <w:gridCol w:w="850"/>
        <w:gridCol w:w="851"/>
        <w:gridCol w:w="850"/>
        <w:gridCol w:w="851"/>
        <w:gridCol w:w="850"/>
      </w:tblGrid>
      <w:tr w:rsidR="00643896" w:rsidRPr="00640820" w14:paraId="4F1A41E0" w14:textId="77777777" w:rsidTr="000D3BCB">
        <w:tc>
          <w:tcPr>
            <w:tcW w:w="817" w:type="dxa"/>
          </w:tcPr>
          <w:p w14:paraId="69A75DB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Тип изделий</w:t>
            </w:r>
          </w:p>
        </w:tc>
        <w:tc>
          <w:tcPr>
            <w:tcW w:w="1348" w:type="dxa"/>
          </w:tcPr>
          <w:p w14:paraId="54C3A8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Тип и количество двигателей установлен. на самолете</w:t>
            </w:r>
          </w:p>
        </w:tc>
        <w:tc>
          <w:tcPr>
            <w:tcW w:w="920" w:type="dxa"/>
          </w:tcPr>
          <w:p w14:paraId="7111C6E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1952 год</w:t>
            </w:r>
          </w:p>
        </w:tc>
        <w:tc>
          <w:tcPr>
            <w:tcW w:w="851" w:type="dxa"/>
          </w:tcPr>
          <w:p w14:paraId="52081B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1953 год</w:t>
            </w:r>
          </w:p>
        </w:tc>
        <w:tc>
          <w:tcPr>
            <w:tcW w:w="850" w:type="dxa"/>
          </w:tcPr>
          <w:p w14:paraId="1C1115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1954 год</w:t>
            </w:r>
          </w:p>
        </w:tc>
        <w:tc>
          <w:tcPr>
            <w:tcW w:w="851" w:type="dxa"/>
          </w:tcPr>
          <w:p w14:paraId="567338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1955 год</w:t>
            </w:r>
          </w:p>
        </w:tc>
        <w:tc>
          <w:tcPr>
            <w:tcW w:w="850" w:type="dxa"/>
          </w:tcPr>
          <w:p w14:paraId="1D4C69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1956 год</w:t>
            </w:r>
          </w:p>
        </w:tc>
        <w:tc>
          <w:tcPr>
            <w:tcW w:w="851" w:type="dxa"/>
          </w:tcPr>
          <w:p w14:paraId="176A32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1957 год</w:t>
            </w:r>
          </w:p>
        </w:tc>
        <w:tc>
          <w:tcPr>
            <w:tcW w:w="850" w:type="dxa"/>
          </w:tcPr>
          <w:p w14:paraId="601635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1958 год</w:t>
            </w:r>
          </w:p>
        </w:tc>
      </w:tr>
      <w:tr w:rsidR="00643896" w:rsidRPr="00640820" w14:paraId="346CCD78" w14:textId="77777777" w:rsidTr="000D3BCB">
        <w:tc>
          <w:tcPr>
            <w:tcW w:w="817" w:type="dxa"/>
          </w:tcPr>
          <w:p w14:paraId="3D5E10C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Ту-4</w:t>
            </w:r>
          </w:p>
        </w:tc>
        <w:tc>
          <w:tcPr>
            <w:tcW w:w="1348" w:type="dxa"/>
          </w:tcPr>
          <w:p w14:paraId="5CB5A8E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4АШ73МК</w:t>
            </w:r>
          </w:p>
        </w:tc>
        <w:tc>
          <w:tcPr>
            <w:tcW w:w="920" w:type="dxa"/>
          </w:tcPr>
          <w:p w14:paraId="401DC2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52</w:t>
            </w:r>
          </w:p>
        </w:tc>
        <w:tc>
          <w:tcPr>
            <w:tcW w:w="851" w:type="dxa"/>
          </w:tcPr>
          <w:p w14:paraId="50BF13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850" w:type="dxa"/>
          </w:tcPr>
          <w:p w14:paraId="4D670C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5DBF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87F173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AAD4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A99AC1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A5A4A1E" w14:textId="77777777" w:rsidTr="000D3BCB">
        <w:tc>
          <w:tcPr>
            <w:tcW w:w="817" w:type="dxa"/>
          </w:tcPr>
          <w:p w14:paraId="4D1354E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ИЛ-28</w:t>
            </w:r>
          </w:p>
        </w:tc>
        <w:tc>
          <w:tcPr>
            <w:tcW w:w="1348" w:type="dxa"/>
          </w:tcPr>
          <w:p w14:paraId="79ABFE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2АШ73МК</w:t>
            </w:r>
          </w:p>
        </w:tc>
        <w:tc>
          <w:tcPr>
            <w:tcW w:w="920" w:type="dxa"/>
          </w:tcPr>
          <w:p w14:paraId="565DA7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1F46D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850" w:type="dxa"/>
          </w:tcPr>
          <w:p w14:paraId="791139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E7F9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25FBE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21AC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CD59F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83162B9" w14:textId="77777777" w:rsidTr="000D3BCB">
        <w:tc>
          <w:tcPr>
            <w:tcW w:w="817" w:type="dxa"/>
          </w:tcPr>
          <w:p w14:paraId="34DA3E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w:t>
            </w:r>
          </w:p>
        </w:tc>
        <w:tc>
          <w:tcPr>
            <w:tcW w:w="1348" w:type="dxa"/>
          </w:tcPr>
          <w:p w14:paraId="339070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4АМ3</w:t>
            </w:r>
          </w:p>
        </w:tc>
        <w:tc>
          <w:tcPr>
            <w:tcW w:w="920" w:type="dxa"/>
          </w:tcPr>
          <w:p w14:paraId="47343B3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851" w:type="dxa"/>
          </w:tcPr>
          <w:p w14:paraId="39D172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850" w:type="dxa"/>
          </w:tcPr>
          <w:p w14:paraId="332700F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A5D27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2C7DB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4864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C4257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92F9F5C" w14:textId="77777777" w:rsidTr="000D3BCB">
        <w:tc>
          <w:tcPr>
            <w:tcW w:w="817" w:type="dxa"/>
          </w:tcPr>
          <w:p w14:paraId="39A517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М-4</w:t>
            </w:r>
          </w:p>
        </w:tc>
        <w:tc>
          <w:tcPr>
            <w:tcW w:w="1348" w:type="dxa"/>
          </w:tcPr>
          <w:p w14:paraId="0D935B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4А25</w:t>
            </w:r>
          </w:p>
        </w:tc>
        <w:tc>
          <w:tcPr>
            <w:tcW w:w="920" w:type="dxa"/>
          </w:tcPr>
          <w:p w14:paraId="692A22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6C23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FA0AB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851" w:type="dxa"/>
          </w:tcPr>
          <w:p w14:paraId="71DDC5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w:t>
            </w:r>
          </w:p>
        </w:tc>
        <w:tc>
          <w:tcPr>
            <w:tcW w:w="850" w:type="dxa"/>
          </w:tcPr>
          <w:p w14:paraId="63EE82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851" w:type="dxa"/>
          </w:tcPr>
          <w:p w14:paraId="501F17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3C7F5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F1410AF" w14:textId="77777777" w:rsidTr="000D3BCB">
        <w:tc>
          <w:tcPr>
            <w:tcW w:w="817" w:type="dxa"/>
          </w:tcPr>
          <w:p w14:paraId="73016D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3М</w:t>
            </w:r>
          </w:p>
        </w:tc>
        <w:tc>
          <w:tcPr>
            <w:tcW w:w="1348" w:type="dxa"/>
          </w:tcPr>
          <w:p w14:paraId="18C83D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4А25</w:t>
            </w:r>
          </w:p>
          <w:p w14:paraId="54FEC6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4АВД-7</w:t>
            </w:r>
          </w:p>
        </w:tc>
        <w:tc>
          <w:tcPr>
            <w:tcW w:w="920" w:type="dxa"/>
          </w:tcPr>
          <w:p w14:paraId="4D0D95A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3267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1BD73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061A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13452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851" w:type="dxa"/>
          </w:tcPr>
          <w:p w14:paraId="6F53D7E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w:t>
            </w:r>
          </w:p>
        </w:tc>
        <w:tc>
          <w:tcPr>
            <w:tcW w:w="850" w:type="dxa"/>
          </w:tcPr>
          <w:p w14:paraId="7E8F00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w:t>
            </w:r>
          </w:p>
        </w:tc>
      </w:tr>
    </w:tbl>
    <w:p w14:paraId="4FD0FB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Москва Г-87, п/я 222</w:t>
      </w:r>
    </w:p>
    <w:p w14:paraId="1F3D82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 Осипов (1959)</w:t>
      </w:r>
    </w:p>
    <w:p w14:paraId="15BD12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Производственный профиль – металлическое самолетостроение</w:t>
      </w:r>
    </w:p>
    <w:p w14:paraId="117D7CB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(9754)</w:t>
      </w:r>
    </w:p>
    <w:p w14:paraId="162776D8"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306EC9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18 декабря 1941 г. приказом НКАП № 1170сс во исполнение пост. ГКО № 1039сс от 17.12.1941 г. на территории эвакуированного в  г. Казань завода № 22 НКАП в Москве (Фили) был образован новый авиационный завод № 23 НКАП (Завод № 23 НКАП, МАП, ГКАТ, Машиностроительный завод им. М.В. Хруничева (ЗИХ) СНХ, </w:t>
      </w:r>
      <w:r w:rsidRPr="00640820">
        <w:rPr>
          <w:rFonts w:ascii="Times New Roman" w:hAnsi="Times New Roman"/>
          <w:color w:val="000000" w:themeColor="text1"/>
          <w:sz w:val="16"/>
          <w:szCs w:val="16"/>
          <w:lang w:val="en-US"/>
        </w:rPr>
        <w:t>MOM</w:t>
      </w:r>
      <w:r w:rsidRPr="00640820">
        <w:rPr>
          <w:rFonts w:ascii="Times New Roman" w:hAnsi="Times New Roman"/>
          <w:color w:val="000000" w:themeColor="text1"/>
          <w:sz w:val="16"/>
          <w:szCs w:val="16"/>
        </w:rPr>
        <w:t>, МПО им. Хруничева, ФГУП «Государственный космический научно- производственный центр (ГК НПЦ) им. М.В. Хруничева» ФКА /121087  г. Москва ул. Новозаводская, 18 тел. 145-99-34/) в системе 1ГУ для производства самолета «103». Но уже пост. ГКО № 1050 от 23.12.1941 г. заводу поручен выпуск Ил-2; 7.01.1942 г. вышло постановление ГКО № 1115 о транспортировке Ил-2 по железной дороге и сборке их на заводе № 23. Для комплектования нового завода планировалось передать ему мощности бывшего завода № 30 НКАП. Было передано большое количество оборудования с заводов № 22, 124, 16; направлены кадры с заводов № 1, 16, 22, 24 и 124. По приказу № 79сс от 26.01.1942 г. на завод передана часть оборудования и кадров расформированного завода № 135 НКАП.</w:t>
      </w:r>
    </w:p>
    <w:p w14:paraId="3BAE8E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 ГКО № 1285 от 15.02.1942 г. заводу поручено освоение производства Як-3. В соответствии с пост. ГКО № 1388 от 4.03.1942 г. на заводе начато освоение производства самолета Як-7. В соответствии с пост. ГКО № 1444 от 14.03.1942 г. на заводе начата подготовка производства самолета ДБ-ЗФ. 16.03.1942 г. вышло постановление ГКО № 1465 об укомплектовании завода оборудованием. В соответствии с пост. ГКО № 2936 от 24.02.1943 г. и приказом № 117сс от 25.02.1943 г. заводу было поручено к 20.03.1943 г. построить Ил-4 с М-82.</w:t>
      </w:r>
    </w:p>
    <w:p w14:paraId="3299FE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ГКО № 1398сс от 6.03.1942 г. и приказом № 227сс от 21.03.1942 г. в Москву на завод № 23 (планировалось сначала на завод № 81) переведен к 05.1942 г. завод № 458 НКАП из Баку со всем оборудованием и личным составом и влит в его состав.</w:t>
      </w:r>
    </w:p>
    <w:p w14:paraId="58D0F93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384с от 15.05.1942 г. завод № 497 (бывшая мебельная фабрика № 2 им. Мазевского;  г. Москва ул. Дубнинская, 68) подчинен на правах филиала заводу № 23 для улучшения организации производства Ил-4. Начальник филиала- Д.И. Степин.</w:t>
      </w:r>
    </w:p>
    <w:p w14:paraId="63F52D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Существовал филиал завода № 23 (бывшая Нотнопечатная фабрика), действовавший в ЮГУ. По приказу № 633с от 18.08.1942 г. он был передан заводу № 482 НКАП.</w:t>
      </w:r>
    </w:p>
    <w:p w14:paraId="4FF109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соответствии с пост. ГКО № 3754 от 17.07.1943 г. и пр. № 430 от 20.07.1943 г. на заводе начато освоение выпуска Ту-2; 17.11.1943 г. вышло постановление ГКО № 4594 об увеличении выпуска Ту-2 на заводе. По пр. № 782 от 14.12.11946 г. строились торпедоносцы Ту-2Т под торпеду </w:t>
      </w:r>
      <w:r w:rsidRPr="00640820">
        <w:rPr>
          <w:rFonts w:ascii="Times New Roman" w:hAnsi="Times New Roman"/>
          <w:color w:val="000000" w:themeColor="text1"/>
          <w:sz w:val="16"/>
          <w:szCs w:val="16"/>
          <w:lang w:val="en-US"/>
        </w:rPr>
        <w:t>PAT</w:t>
      </w:r>
      <w:r w:rsidRPr="00640820">
        <w:rPr>
          <w:rFonts w:ascii="Times New Roman" w:hAnsi="Times New Roman"/>
          <w:color w:val="000000" w:themeColor="text1"/>
          <w:sz w:val="16"/>
          <w:szCs w:val="16"/>
        </w:rPr>
        <w:t>.</w:t>
      </w:r>
    </w:p>
    <w:p w14:paraId="6D0D7E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приказом НКАП № 706с от 24.11.1943 г. в состав завода № 23 с 1.11.1943 г. влит опытный завод № 117 НКАП (из Читы) и образован объединенный завод № 23 НКАП.</w:t>
      </w:r>
    </w:p>
    <w:p w14:paraId="39AE6B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1948 г. начата подготовка к производству бомбардировщика Ту-14 («73»), но пост. № 1890-700 от 14.05.1949 г. работы прекращены. В соответствии с ПСМ № 4764-2062 от 28.11.1950 г. и приказом МАП № 240 начата подготовка к серийному выпуску самолета Ту-85, но самолет не строился, оснастка законсервирована.</w:t>
      </w:r>
    </w:p>
    <w:p w14:paraId="734BB3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1950-х  г. строились опытные бомбардировщики М-50 и М-52. В соответствии с ПСМ от 19.09.1953 г. начата подготовка к производству М-4.</w:t>
      </w:r>
    </w:p>
    <w:p w14:paraId="3A246B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середины 1960 г. на заводе осуществлялась сборка самолета «РСР» П.В. Цыбина.</w:t>
      </w:r>
    </w:p>
    <w:p w14:paraId="2240F9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1960 г. завод являлся производственной базой ОКБ Челомея. В 1960 г. при заводе организовано СКБ-38 (далее - КБРП).</w:t>
      </w:r>
    </w:p>
    <w:p w14:paraId="31A2C0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3.07.1961 г. завод № 23 переименован в Машиностроительный завод им. М.В. Хруничева.</w:t>
      </w:r>
      <w:r w:rsidRPr="00640820">
        <w:rPr>
          <w:rFonts w:ascii="Times New Roman" w:hAnsi="Times New Roman"/>
          <w:color w:val="000000" w:themeColor="text1"/>
          <w:sz w:val="16"/>
          <w:szCs w:val="16"/>
          <w:vertAlign w:val="superscript"/>
        </w:rPr>
        <w:t>77</w:t>
      </w:r>
    </w:p>
    <w:p w14:paraId="4BB19A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1962 г. предприятие было перепрофилировано на ракетно-космическую тематику. Проведена реконструкция, введено в строй 10 новых цехов, информационно-вычислительный центр.</w:t>
      </w:r>
    </w:p>
    <w:p w14:paraId="7792BB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СМ СССР № 389-140 от 30.03.1963 г. началась разработка ракетного комплекса РС-10 с ракетой УР-100.</w:t>
      </w:r>
    </w:p>
    <w:p w14:paraId="5332683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соответствии с пост. СМ СССР № 713-342 от 26.06.1957 г. передан в ведение СНХ РСФСР. По приказу от 6.03.1966 г. Машиностроительный завод им. М.В. Хруничева из системы СНХ передан в подчинение 1ГУ </w:t>
      </w:r>
      <w:r w:rsidRPr="00640820">
        <w:rPr>
          <w:rFonts w:ascii="Times New Roman" w:hAnsi="Times New Roman"/>
          <w:color w:val="000000" w:themeColor="text1"/>
          <w:sz w:val="16"/>
          <w:szCs w:val="16"/>
          <w:lang w:val="en-US"/>
        </w:rPr>
        <w:t>MOM</w:t>
      </w:r>
      <w:r w:rsidRPr="00640820">
        <w:rPr>
          <w:rFonts w:ascii="Times New Roman" w:hAnsi="Times New Roman"/>
          <w:color w:val="000000" w:themeColor="text1"/>
          <w:sz w:val="16"/>
          <w:szCs w:val="16"/>
        </w:rPr>
        <w:t>. 7.06.1993 г. МЗ им. Хруничева и ОКБ «Салют» объединены в ГК НПЦ им. Хруничева (официальная дата образования ГКНПЦ- 9.01.1994 г.). В 1995 г. МЗ им. М.В. Хруничева объединился с НПО «Молния». По Указу Президента РФ № 1009 от 4.08.2004 г. вошло в перечень стратегических оборонных предприятий.</w:t>
      </w:r>
    </w:p>
    <w:p w14:paraId="4FD5DF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1993 г. ГКНПЦ и корпорацией </w:t>
      </w:r>
      <w:r w:rsidRPr="00640820">
        <w:rPr>
          <w:rFonts w:ascii="Times New Roman" w:hAnsi="Times New Roman"/>
          <w:color w:val="000000" w:themeColor="text1"/>
          <w:sz w:val="16"/>
          <w:szCs w:val="16"/>
          <w:lang w:val="en-US"/>
        </w:rPr>
        <w:t>Lockheed</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Martin</w:t>
      </w:r>
      <w:r w:rsidRPr="00640820">
        <w:rPr>
          <w:rFonts w:ascii="Times New Roman" w:hAnsi="Times New Roman"/>
          <w:color w:val="000000" w:themeColor="text1"/>
          <w:sz w:val="16"/>
          <w:szCs w:val="16"/>
        </w:rPr>
        <w:t xml:space="preserve"> создано совместное российско-американское предприятие </w:t>
      </w:r>
      <w:r w:rsidRPr="00640820">
        <w:rPr>
          <w:rFonts w:ascii="Times New Roman" w:hAnsi="Times New Roman"/>
          <w:color w:val="000000" w:themeColor="text1"/>
          <w:sz w:val="16"/>
          <w:szCs w:val="16"/>
          <w:lang w:val="en-US"/>
        </w:rPr>
        <w:t>ILS</w:t>
      </w:r>
      <w:r w:rsidRPr="00640820">
        <w:rPr>
          <w:rFonts w:ascii="Times New Roman" w:hAnsi="Times New Roman"/>
          <w:color w:val="000000" w:themeColor="text1"/>
          <w:sz w:val="16"/>
          <w:szCs w:val="16"/>
        </w:rPr>
        <w:t xml:space="preserve"> (</w:t>
      </w:r>
      <w:r w:rsidRPr="00640820">
        <w:rPr>
          <w:rFonts w:ascii="Times New Roman" w:hAnsi="Times New Roman"/>
          <w:color w:val="000000" w:themeColor="text1"/>
          <w:sz w:val="16"/>
          <w:szCs w:val="16"/>
          <w:lang w:val="en-US"/>
        </w:rPr>
        <w:t>InternationalLaunchServices</w:t>
      </w:r>
      <w:r w:rsidRPr="00640820">
        <w:rPr>
          <w:rFonts w:ascii="Times New Roman" w:hAnsi="Times New Roman"/>
          <w:color w:val="000000" w:themeColor="text1"/>
          <w:sz w:val="16"/>
          <w:szCs w:val="16"/>
        </w:rPr>
        <w:t>) для осуществления коммерческих пусков РН «Протон».</w:t>
      </w:r>
    </w:p>
    <w:p w14:paraId="5AF693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2000-е  г. совместно с НПО «Молния» создавался многоразовый универсальный блок «Байкал». Разработана РН «Протон-М» с разгонным блоком «Бриз-М».</w:t>
      </w:r>
    </w:p>
    <w:p w14:paraId="40794D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Распоряжением Президента РФ № 569/рп от 25.11.2005 г. гендиректором вместо А. Медведева назначен В. Нестеров.</w:t>
      </w:r>
    </w:p>
    <w:p w14:paraId="0895DF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состав ГКНПЦ входили (1999 г.): Экологический центр; (2002 г.): КБ «Салют», Ракетно-космический завод, Завод по испытаниям и эксплуатации РКТ, Завод медтехники и ТНП, НИИ Космических систем, КБ «Арматура». Имел филиал в  г. Коврове. В 10.2006 г. в состав предприятия в качестве филиалов вошли: Воронежский механический завод, КБхиммаш им.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Исаева, ПО «Полет» и ФГУП «Московское предприятие по комплектованию оборудованием «Длина». В 2007 г. на базе ГКНПЦ планировалось создание холдинга по производству РН «Ангара», в который также должны войти филиалы.</w:t>
      </w:r>
    </w:p>
    <w:p w14:paraId="78A65B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(12.1941 г.-)- В.А. Окулов, (10.1942 г.)- Тарасевич, (-07-10.1943 г.-)- И.Б. Иосилович, (1944-46 г.)- А.Т. Третьяков, (1951 г.-)- С.М. Лещенко, (1961-75 г.)- М.И. Рыжих. Гендиректор (-1980-е-02.2001 г.)- А.И. Киселев, (02.2001-25.11.2005 г.)- А.А. Медведев, (25.11.2005-07 г.-)- В.Е. Нестеров.</w:t>
      </w:r>
    </w:p>
    <w:p w14:paraId="21162A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1-й зам. гендиректора (2000 г.)- А.А. Медведев. Зам. директора (1960-е)- А.И. Киселев. Зам. Гендиректора (1995-2001 г.)- А.А. Медведев, (2002 г.)- А.К. Недайвода; по ВЭД (2002 г.)- А.С. Кондратьев; (2003 г.)- И. Додин, (- 2003-04 г.-)- Д. Пивнюк, (2006 г.)- В. Иванов.</w:t>
      </w:r>
    </w:p>
    <w:p w14:paraId="6A7593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 Конструктор- А.К. Недайвода, (2001-05 г.)- А.А. Медведев {3.04.1952-}.</w:t>
      </w:r>
    </w:p>
    <w:p w14:paraId="3BA988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конструктора (1960-62 г.)-  Г. Г. Бубнов.</w:t>
      </w:r>
    </w:p>
    <w:p w14:paraId="71EDE8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Завода по испытаниям и эксплуатации РКТ (2002 г.)- И. Додин; коммерческих программ (2006 г.)- В. Бронфман.</w:t>
      </w:r>
    </w:p>
    <w:p w14:paraId="4F0366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(12.1941 г.-)- П.М. Морозов.</w:t>
      </w:r>
    </w:p>
    <w:p w14:paraId="5084C9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самолеты: ДБ-ЗФ (1942-43)- 367, Ту-2 (1943-48)- 1136, Ту-12 («77», 1948)- 5, Ту-4 (1949-52)- 847 (всего на 3 заводах), Ил-28 (1953)- 2, М-4 (1954-56)- 34</w:t>
      </w:r>
      <w:r w:rsidRPr="00640820">
        <w:rPr>
          <w:rFonts w:ascii="Times New Roman" w:hAnsi="Times New Roman"/>
          <w:color w:val="000000" w:themeColor="text1"/>
          <w:sz w:val="16"/>
          <w:szCs w:val="16"/>
          <w:vertAlign w:val="superscript"/>
        </w:rPr>
        <w:t>30</w:t>
      </w:r>
      <w:r w:rsidRPr="00640820">
        <w:rPr>
          <w:rFonts w:ascii="Times New Roman" w:hAnsi="Times New Roman"/>
          <w:color w:val="000000" w:themeColor="text1"/>
          <w:sz w:val="16"/>
          <w:szCs w:val="16"/>
        </w:rPr>
        <w:t>, ЗМ (1956-63)- 56,</w:t>
      </w:r>
      <w:r w:rsidRPr="00640820">
        <w:rPr>
          <w:rFonts w:ascii="Times New Roman" w:hAnsi="Times New Roman"/>
          <w:color w:val="000000" w:themeColor="text1"/>
          <w:sz w:val="16"/>
          <w:szCs w:val="16"/>
          <w:vertAlign w:val="superscript"/>
        </w:rPr>
        <w:t>30</w:t>
      </w:r>
      <w:r w:rsidRPr="00640820">
        <w:rPr>
          <w:rFonts w:ascii="Times New Roman" w:hAnsi="Times New Roman"/>
          <w:color w:val="000000" w:themeColor="text1"/>
          <w:sz w:val="16"/>
          <w:szCs w:val="16"/>
        </w:rPr>
        <w:t xml:space="preserve"> М-50, М-52, Ми-6 (1960-62), Ми- 8; (2002): самолет КВП Т-411 «Аист», легкие транспортные Т-417 «Пегас», Т-420 «Стриж»;</w:t>
      </w:r>
    </w:p>
    <w:p w14:paraId="113A3C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ЗУР: В-300; МБР: УР-200, УР-100, УР-ЮОУТТХ, УР-100К, УР-100К УТТХ, УР-100Н, -100НУ (15А35, 1974- 85), УР-100Н УТТХ (-1991)- 360; РН «Протон» (1967), орбитальные станции «Салют», «Мир»; разгонный блок «Бриз»; модули «Квант», «Кристалл», «Спектр»; (2002): РН: «Ангара», «Рокот», «Протон-М»; разгонные блоки «Бриз-М», 12КРБ, служебный модуль МКС, ракетный ускоритель «Байкал», космическая платформа «Яхта»;</w:t>
      </w:r>
      <w:r w:rsidRPr="00640820">
        <w:rPr>
          <w:rFonts w:ascii="Times New Roman" w:hAnsi="Times New Roman"/>
          <w:color w:val="000000" w:themeColor="text1"/>
          <w:sz w:val="16"/>
          <w:szCs w:val="16"/>
          <w:vertAlign w:val="superscript"/>
        </w:rPr>
        <w:t xml:space="preserve">69 </w:t>
      </w:r>
      <w:r w:rsidRPr="00640820">
        <w:rPr>
          <w:rFonts w:ascii="Times New Roman" w:hAnsi="Times New Roman"/>
          <w:color w:val="000000" w:themeColor="text1"/>
          <w:sz w:val="16"/>
          <w:szCs w:val="16"/>
        </w:rPr>
        <w:t>КА: связи для Казахстана "</w:t>
      </w:r>
      <w:r w:rsidRPr="00640820">
        <w:rPr>
          <w:rFonts w:ascii="Times New Roman" w:hAnsi="Times New Roman"/>
          <w:color w:val="000000" w:themeColor="text1"/>
          <w:sz w:val="16"/>
          <w:szCs w:val="16"/>
          <w:lang w:val="en-US"/>
        </w:rPr>
        <w:t>KazSat</w:t>
      </w:r>
      <w:r w:rsidRPr="00640820">
        <w:rPr>
          <w:rFonts w:ascii="Times New Roman" w:hAnsi="Times New Roman"/>
          <w:color w:val="000000" w:themeColor="text1"/>
          <w:sz w:val="16"/>
          <w:szCs w:val="16"/>
        </w:rPr>
        <w:t xml:space="preserve">" (2000-е), малый КА связи «Диалог» (2000-е); разведчик «Монитор-Э» (2000- е); антенна </w:t>
      </w:r>
      <w:r w:rsidRPr="00640820">
        <w:rPr>
          <w:rFonts w:ascii="Times New Roman" w:hAnsi="Times New Roman"/>
          <w:color w:val="000000" w:themeColor="text1"/>
          <w:sz w:val="16"/>
          <w:szCs w:val="16"/>
          <w:lang w:val="en-US"/>
        </w:rPr>
        <w:t>PJIC</w:t>
      </w:r>
      <w:r w:rsidRPr="00640820">
        <w:rPr>
          <w:rFonts w:ascii="Times New Roman" w:hAnsi="Times New Roman"/>
          <w:color w:val="000000" w:themeColor="text1"/>
          <w:sz w:val="16"/>
          <w:szCs w:val="16"/>
        </w:rPr>
        <w:t xml:space="preserve"> системы ПРО ЦСО-П (1958-59).</w:t>
      </w:r>
    </w:p>
    <w:p w14:paraId="02284E3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Заводские №№: 100716 (Ту-2).</w:t>
      </w:r>
    </w:p>
    <w:p w14:paraId="5F4E1BBA" w14:textId="77777777" w:rsidR="006C1BE5" w:rsidRPr="00640820" w:rsidRDefault="006C1BE5" w:rsidP="00640820">
      <w:pPr>
        <w:autoSpaceDE w:val="0"/>
        <w:autoSpaceDN w:val="0"/>
        <w:adjustRightInd w:val="0"/>
        <w:spacing w:after="0" w:line="240" w:lineRule="auto"/>
        <w:jc w:val="both"/>
        <w:rPr>
          <w:rFonts w:ascii="Times New Roman" w:hAnsi="Times New Roman"/>
          <w:color w:val="000000" w:themeColor="text1"/>
          <w:sz w:val="16"/>
          <w:szCs w:val="16"/>
        </w:rPr>
      </w:pPr>
    </w:p>
    <w:p w14:paraId="528A96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декабря 1941 был подготовлен проект постановления СНК о новой оргструктуре НКАП и хотели ликвидировать 7ГУ, 8 ГУ, 11ГУ, ГУ учебных заведений, Управление уполномоченного по ДВ и Летно-техническую группу, а оставить:</w:t>
      </w:r>
    </w:p>
    <w:p w14:paraId="29C7F3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ПГУ (истребители и ут).</w:t>
      </w:r>
    </w:p>
    <w:p w14:paraId="76E80F9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2ГУ (самолетные агрегаты).</w:t>
      </w:r>
    </w:p>
    <w:p w14:paraId="3FAC11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3ГУ (моторы и винты).</w:t>
      </w:r>
    </w:p>
    <w:p w14:paraId="4715A0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4ГУ (моторные агрегаты).</w:t>
      </w:r>
    </w:p>
    <w:p w14:paraId="23BEAE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5ГУ (приборы).</w:t>
      </w:r>
    </w:p>
    <w:p w14:paraId="65356E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6ГУ (планера, винты, лыжи, запчасти).</w:t>
      </w:r>
    </w:p>
    <w:p w14:paraId="4DD635E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9ГУ (металл).</w:t>
      </w:r>
    </w:p>
    <w:p w14:paraId="2DDDB6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10ГУ (бомбардировщики, штурмовики и транспортные самолеты) (2879).</w:t>
      </w:r>
    </w:p>
    <w:p w14:paraId="2DAB7A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676A03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декабря 1941 был подготовлен проект постановления СНК о новой оргструктуре НКАП № Н-20/7770</w:t>
      </w:r>
    </w:p>
    <w:p w14:paraId="2FEC2C4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 СОВЕТА НАРОДШХ КОМИССАРОВ СОЮЗА С.С.Р.</w:t>
      </w:r>
    </w:p>
    <w:p w14:paraId="126A72C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Установить следующую организационную структуру Народного Комиссариата Авиационной Промышленности:</w:t>
      </w:r>
    </w:p>
    <w:p w14:paraId="18C2533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Главные Управления НКАП.</w:t>
      </w:r>
    </w:p>
    <w:p w14:paraId="71FE9E9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Первое Главное Управление ( производство истребительных и учебно-тренировочных самолетов).</w:t>
      </w:r>
    </w:p>
    <w:p w14:paraId="5018247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Второе Главное Управление (производство самолетных агрегатов)</w:t>
      </w:r>
    </w:p>
    <w:p w14:paraId="493B8F8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Третье Главное Управление (производство моторов и винтов).</w:t>
      </w:r>
    </w:p>
    <w:p w14:paraId="0CFDB43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Четвертое Главное Управление (производство моторных агрегатов).</w:t>
      </w:r>
    </w:p>
    <w:p w14:paraId="7BF66B3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 Пятое Главное Управление (производство приборов)</w:t>
      </w:r>
    </w:p>
    <w:p w14:paraId="377C8F7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 Шестое Главное Управление (Производство планеров, винтов, лыж и запчастей).</w:t>
      </w:r>
    </w:p>
    <w:p w14:paraId="4098008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ж) Девятое Главное Управление (металлургическое)</w:t>
      </w:r>
    </w:p>
    <w:p w14:paraId="2258F50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 Десятое Главное Управление ( производство бомбар</w:t>
      </w:r>
      <w:r w:rsidRPr="00640820">
        <w:rPr>
          <w:rFonts w:ascii="Times New Roman" w:hAnsi="Times New Roman"/>
          <w:color w:val="000000" w:themeColor="text1"/>
          <w:sz w:val="16"/>
          <w:szCs w:val="16"/>
        </w:rPr>
        <w:softHyphen/>
        <w:t>дировщиков, штурмовиков и транспортных самолетов)</w:t>
      </w:r>
    </w:p>
    <w:p w14:paraId="49BD4AB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 Главное Управление Капитального Строительство с подчиненными ему строительными трестами.</w:t>
      </w:r>
    </w:p>
    <w:p w14:paraId="7DE900C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Главное Управление Снабжения с подчиненными ему конторами.</w:t>
      </w:r>
    </w:p>
    <w:p w14:paraId="6ED00DD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 Отделы Н.К.А.П.</w:t>
      </w:r>
    </w:p>
    <w:p w14:paraId="3EAFBD7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Секретариат Народного Комнесара</w:t>
      </w:r>
    </w:p>
    <w:p w14:paraId="77040EF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Инспекция при Народном Комиссаре*</w:t>
      </w:r>
    </w:p>
    <w:p w14:paraId="71BDFA6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Технический Отдел.</w:t>
      </w:r>
    </w:p>
    <w:p w14:paraId="203D47D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Мобилизационный Отдел.</w:t>
      </w:r>
    </w:p>
    <w:p w14:paraId="69FAFDD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Диспетчерский Отдел.</w:t>
      </w:r>
    </w:p>
    <w:p w14:paraId="5CEA0EE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Планово-Экономический Отдел.</w:t>
      </w:r>
    </w:p>
    <w:p w14:paraId="1A4AAB4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Отдел Главного Механика и Энергетика.</w:t>
      </w:r>
    </w:p>
    <w:p w14:paraId="3D99AA3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Финансовый Отдел</w:t>
      </w:r>
    </w:p>
    <w:p w14:paraId="4B230D1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Центральная Бухгалтерия</w:t>
      </w:r>
    </w:p>
    <w:p w14:paraId="1ABB004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Отдел Внешнего Кооперирования</w:t>
      </w:r>
    </w:p>
    <w:p w14:paraId="13068F7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Иностранный Отдел</w:t>
      </w:r>
    </w:p>
    <w:p w14:paraId="7DBAA2B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Отдел Спецоборудоэания (с подчинением ему технической инспекции /Техприемка/ и складами)</w:t>
      </w:r>
    </w:p>
    <w:p w14:paraId="7C023D0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Отдел; Труда и Зарплаты.</w:t>
      </w:r>
    </w:p>
    <w:p w14:paraId="7CECD01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Правовой Отдел</w:t>
      </w:r>
    </w:p>
    <w:p w14:paraId="23F827B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Первый Отдел</w:t>
      </w:r>
    </w:p>
    <w:p w14:paraId="0218B98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Транспортный Отдел</w:t>
      </w:r>
    </w:p>
    <w:p w14:paraId="09932BC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Управление ПВО и Охраны.</w:t>
      </w:r>
    </w:p>
    <w:p w14:paraId="6E03CED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Отдел летно-испытательных станций.</w:t>
      </w:r>
    </w:p>
    <w:p w14:paraId="23239CA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Отдел по руководству научно-исследовательскими институтами.</w:t>
      </w:r>
    </w:p>
    <w:p w14:paraId="283DECB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Управление Кадров (с подчинением ему учебных заведений)</w:t>
      </w:r>
    </w:p>
    <w:p w14:paraId="6AAF02D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Ремонтной Отдел</w:t>
      </w:r>
    </w:p>
    <w:p w14:paraId="570CF48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Управление делами.</w:t>
      </w:r>
    </w:p>
    <w:p w14:paraId="270ECE7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 Тресты и хозорганы Управления Дедами.</w:t>
      </w:r>
    </w:p>
    <w:p w14:paraId="7E14889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Оборонгиз</w:t>
      </w:r>
    </w:p>
    <w:p w14:paraId="74CA153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Оргавиапром</w:t>
      </w:r>
    </w:p>
    <w:p w14:paraId="079D276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Авиаспецтрест (Трест по разделке подбитых и аварийных самолетов)</w:t>
      </w:r>
    </w:p>
    <w:p w14:paraId="32FDE32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Арбитраж</w:t>
      </w:r>
    </w:p>
    <w:p w14:paraId="51001A3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Управление домами</w:t>
      </w:r>
    </w:p>
    <w:p w14:paraId="0BFBBCE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Столовая</w:t>
      </w:r>
    </w:p>
    <w:p w14:paraId="5389BCF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Санкурбюро</w:t>
      </w:r>
    </w:p>
    <w:p w14:paraId="6623E0B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Автобаза.</w:t>
      </w:r>
    </w:p>
    <w:p w14:paraId="096FDBA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w:t>
      </w:r>
    </w:p>
    <w:p w14:paraId="2349E74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Ликвидировать следущие Главные Управления и отделы:</w:t>
      </w:r>
    </w:p>
    <w:p w14:paraId="653ACB0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7 Главное Управление</w:t>
      </w:r>
    </w:p>
    <w:p w14:paraId="1B8B16B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8 Главное Управление</w:t>
      </w:r>
    </w:p>
    <w:p w14:paraId="41F3688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11 Главное Управление</w:t>
      </w:r>
    </w:p>
    <w:p w14:paraId="31FD30F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Главное Упрёвление Учебных Заведений</w:t>
      </w:r>
    </w:p>
    <w:p w14:paraId="594D847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 Управление уполномоченного по Дальнему Востоку</w:t>
      </w:r>
    </w:p>
    <w:p w14:paraId="0DDEF32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 Летно-техническуо группу.</w:t>
      </w:r>
    </w:p>
    <w:p w14:paraId="3D226AD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Опытные заводы, ОКБ и ОТБ по самолетам, моторам, винтш и агрегатам подчинить соответствующим Главным Управлениям, согласно прилагаемого списка.</w:t>
      </w:r>
    </w:p>
    <w:p w14:paraId="6C6AA8B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Непосредственно подчинить Народному Комиссару Оборонгиз, ОргавиапрОЕЛ, Авааспецтрест и Гипроавиапром.</w:t>
      </w:r>
    </w:p>
    <w:p w14:paraId="52D7DED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Планирование работы, финансирование научно-исследователь</w:t>
      </w:r>
      <w:r w:rsidRPr="00640820">
        <w:rPr>
          <w:rFonts w:ascii="Times New Roman" w:hAnsi="Times New Roman"/>
          <w:color w:val="000000" w:themeColor="text1"/>
          <w:sz w:val="16"/>
          <w:szCs w:val="16"/>
        </w:rPr>
        <w:softHyphen/>
        <w:t>ских организаций возложить на Технический Отдела НШШ.</w:t>
      </w:r>
    </w:p>
    <w:p w14:paraId="3E8D57F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Заводы Одиннадцатого Главного Управления передать Шесто</w:t>
      </w:r>
      <w:r w:rsidRPr="00640820">
        <w:rPr>
          <w:rFonts w:ascii="Times New Roman" w:hAnsi="Times New Roman"/>
          <w:color w:val="000000" w:themeColor="text1"/>
          <w:sz w:val="16"/>
          <w:szCs w:val="16"/>
        </w:rPr>
        <w:softHyphen/>
        <w:t>му Глазному Управлению -</w:t>
      </w:r>
    </w:p>
    <w:p w14:paraId="4F757C5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Функции Главного Управления Учебных заведений передать : Управлению Кадров, организовав в нем От;ел учебных заведений.</w:t>
      </w:r>
    </w:p>
    <w:p w14:paraId="69302A5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Сдачу и приемку заводов, опытных баз и научно-исследовательских организаций произвести по состоянию на 1 декабря 1941 г.</w:t>
      </w:r>
    </w:p>
    <w:p w14:paraId="77D5146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1У.</w:t>
      </w:r>
    </w:p>
    <w:p w14:paraId="447DD57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Утвердить на 1942 г. штатный контингент по аппарату Народ ного Комиссариата Ашационяой Промышленности и хозрасчетных организаций в количестве ....</w:t>
      </w:r>
    </w:p>
    <w:p w14:paraId="2A72384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По центральному аппарату ( по Управлениям и отделам состоящим на бюджете .................775</w:t>
      </w:r>
    </w:p>
    <w:p w14:paraId="7AE5C8A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по организациям снабжения ...........</w:t>
      </w:r>
    </w:p>
    <w:p w14:paraId="5C502FE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по остальным организациям , подчиненным Наркомату</w:t>
      </w:r>
    </w:p>
    <w:p w14:paraId="0B4A541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При 1,2,3,4,5,6,9 и 10 Главных Управлениях сохранить отделы снабжения на хозяйственном срасчете ( без права органи-зации контор, отделений и агевсгв.</w:t>
      </w:r>
    </w:p>
    <w:p w14:paraId="3D87A48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При Главном Управлении Капитального Строительства сохранить Всесоюзную Контору по снабжению Капитального Строительства "Стройснаб".</w:t>
      </w:r>
    </w:p>
    <w:p w14:paraId="17C0C50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Сохранить при 1, 3, 5, 6 ГУ и Конторе “Стройснаб” Транспортно экспедиционные складские базы.</w:t>
      </w:r>
    </w:p>
    <w:p w14:paraId="5952CD5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Сохранить техническую приемку при Отделе Спецоборудования при 3-м Главном Управлении и Главснабе.</w:t>
      </w:r>
    </w:p>
    <w:p w14:paraId="589D81B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Структурное построени Центрального аппарата НКАП утвердить в соответствии с приложением № 2 (2979).</w:t>
      </w:r>
    </w:p>
    <w:p w14:paraId="2D8618E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Приложение № 1</w:t>
      </w:r>
    </w:p>
    <w:p w14:paraId="0C76447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II И С О К</w:t>
      </w:r>
    </w:p>
    <w:p w14:paraId="302C537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заводов НКАП и институтов, передаваемых из7 и 8 ГУ вследствие их ликвидация в другие Главные Управления в отделы НКАП (2979).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1842"/>
        <w:gridCol w:w="1701"/>
        <w:gridCol w:w="1560"/>
      </w:tblGrid>
      <w:tr w:rsidR="00643896" w:rsidRPr="00640820" w14:paraId="04575CB2" w14:textId="77777777" w:rsidTr="000D3BCB">
        <w:tc>
          <w:tcPr>
            <w:tcW w:w="534" w:type="dxa"/>
            <w:tcBorders>
              <w:top w:val="single" w:sz="12" w:space="0" w:color="auto"/>
            </w:tcBorders>
          </w:tcPr>
          <w:p w14:paraId="2F8A70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п/п</w:t>
            </w:r>
          </w:p>
        </w:tc>
        <w:tc>
          <w:tcPr>
            <w:tcW w:w="1842" w:type="dxa"/>
            <w:tcBorders>
              <w:top w:val="single" w:sz="12" w:space="0" w:color="auto"/>
            </w:tcBorders>
          </w:tcPr>
          <w:p w14:paraId="6CF832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Наименование</w:t>
            </w:r>
          </w:p>
        </w:tc>
        <w:tc>
          <w:tcPr>
            <w:tcW w:w="1701" w:type="dxa"/>
            <w:tcBorders>
              <w:top w:val="single" w:sz="12" w:space="0" w:color="auto"/>
            </w:tcBorders>
          </w:tcPr>
          <w:p w14:paraId="08B08B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ГК</w:t>
            </w:r>
          </w:p>
        </w:tc>
        <w:tc>
          <w:tcPr>
            <w:tcW w:w="1560" w:type="dxa"/>
            <w:tcBorders>
              <w:top w:val="single" w:sz="12" w:space="0" w:color="auto"/>
            </w:tcBorders>
          </w:tcPr>
          <w:p w14:paraId="77F4C5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Передается</w:t>
            </w:r>
          </w:p>
        </w:tc>
      </w:tr>
      <w:tr w:rsidR="00643896" w:rsidRPr="00640820" w14:paraId="573A1AD9" w14:textId="77777777" w:rsidTr="000D3BCB">
        <w:tc>
          <w:tcPr>
            <w:tcW w:w="534" w:type="dxa"/>
          </w:tcPr>
          <w:p w14:paraId="268BCF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5C964D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7 ГУ</w:t>
            </w:r>
          </w:p>
        </w:tc>
        <w:tc>
          <w:tcPr>
            <w:tcW w:w="1701" w:type="dxa"/>
          </w:tcPr>
          <w:p w14:paraId="0D2AF4C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43FCE0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EC39F07" w14:textId="77777777" w:rsidTr="000D3BCB">
        <w:tc>
          <w:tcPr>
            <w:tcW w:w="534" w:type="dxa"/>
          </w:tcPr>
          <w:p w14:paraId="6B24D6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1842" w:type="dxa"/>
          </w:tcPr>
          <w:p w14:paraId="7F493D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ОКБ-1</w:t>
            </w:r>
          </w:p>
        </w:tc>
        <w:tc>
          <w:tcPr>
            <w:tcW w:w="1701" w:type="dxa"/>
          </w:tcPr>
          <w:p w14:paraId="37DA0D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Микоян</w:t>
            </w:r>
          </w:p>
        </w:tc>
        <w:tc>
          <w:tcPr>
            <w:tcW w:w="1560" w:type="dxa"/>
          </w:tcPr>
          <w:p w14:paraId="433F4E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Главк</w:t>
            </w:r>
          </w:p>
        </w:tc>
      </w:tr>
      <w:tr w:rsidR="00643896" w:rsidRPr="00640820" w14:paraId="79A72F7F" w14:textId="77777777" w:rsidTr="000D3BCB">
        <w:tc>
          <w:tcPr>
            <w:tcW w:w="534" w:type="dxa"/>
          </w:tcPr>
          <w:p w14:paraId="61B8D3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1842" w:type="dxa"/>
          </w:tcPr>
          <w:p w14:paraId="0AA79C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115</w:t>
            </w:r>
          </w:p>
        </w:tc>
        <w:tc>
          <w:tcPr>
            <w:tcW w:w="1701" w:type="dxa"/>
          </w:tcPr>
          <w:p w14:paraId="5B3AB69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Яковлев</w:t>
            </w:r>
          </w:p>
        </w:tc>
        <w:tc>
          <w:tcPr>
            <w:tcW w:w="1560" w:type="dxa"/>
          </w:tcPr>
          <w:p w14:paraId="767B77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7E81D8F" w14:textId="77777777" w:rsidTr="000D3BCB">
        <w:tc>
          <w:tcPr>
            <w:tcW w:w="534" w:type="dxa"/>
          </w:tcPr>
          <w:p w14:paraId="1DD606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c>
          <w:tcPr>
            <w:tcW w:w="1842" w:type="dxa"/>
          </w:tcPr>
          <w:p w14:paraId="36D5CD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ОКБ-21</w:t>
            </w:r>
          </w:p>
        </w:tc>
        <w:tc>
          <w:tcPr>
            <w:tcW w:w="1701" w:type="dxa"/>
          </w:tcPr>
          <w:p w14:paraId="433A9C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Лавочкин</w:t>
            </w:r>
          </w:p>
        </w:tc>
        <w:tc>
          <w:tcPr>
            <w:tcW w:w="1560" w:type="dxa"/>
          </w:tcPr>
          <w:p w14:paraId="3A9DEF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842CE6C" w14:textId="77777777" w:rsidTr="000D3BCB">
        <w:tc>
          <w:tcPr>
            <w:tcW w:w="534" w:type="dxa"/>
          </w:tcPr>
          <w:p w14:paraId="7EC2E9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1842" w:type="dxa"/>
          </w:tcPr>
          <w:p w14:paraId="167F7CA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ОКБ-301</w:t>
            </w:r>
          </w:p>
        </w:tc>
        <w:tc>
          <w:tcPr>
            <w:tcW w:w="1701" w:type="dxa"/>
          </w:tcPr>
          <w:p w14:paraId="33DD49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Гудков</w:t>
            </w:r>
          </w:p>
        </w:tc>
        <w:tc>
          <w:tcPr>
            <w:tcW w:w="1560" w:type="dxa"/>
          </w:tcPr>
          <w:p w14:paraId="4B63A1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1218D17" w14:textId="77777777" w:rsidTr="000D3BCB">
        <w:tc>
          <w:tcPr>
            <w:tcW w:w="534" w:type="dxa"/>
          </w:tcPr>
          <w:p w14:paraId="45F5F1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1842" w:type="dxa"/>
          </w:tcPr>
          <w:p w14:paraId="07476D6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51</w:t>
            </w:r>
          </w:p>
        </w:tc>
        <w:tc>
          <w:tcPr>
            <w:tcW w:w="1701" w:type="dxa"/>
          </w:tcPr>
          <w:p w14:paraId="5A3BB8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Поликарпов</w:t>
            </w:r>
          </w:p>
        </w:tc>
        <w:tc>
          <w:tcPr>
            <w:tcW w:w="1560" w:type="dxa"/>
          </w:tcPr>
          <w:p w14:paraId="402471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37A6B54" w14:textId="77777777" w:rsidTr="000D3BCB">
        <w:tc>
          <w:tcPr>
            <w:tcW w:w="534" w:type="dxa"/>
          </w:tcPr>
          <w:p w14:paraId="0F2E81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c>
          <w:tcPr>
            <w:tcW w:w="1842" w:type="dxa"/>
          </w:tcPr>
          <w:p w14:paraId="062327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293</w:t>
            </w:r>
          </w:p>
        </w:tc>
        <w:tc>
          <w:tcPr>
            <w:tcW w:w="1701" w:type="dxa"/>
          </w:tcPr>
          <w:p w14:paraId="0DB188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Болховитинов</w:t>
            </w:r>
          </w:p>
        </w:tc>
        <w:tc>
          <w:tcPr>
            <w:tcW w:w="1560" w:type="dxa"/>
          </w:tcPr>
          <w:p w14:paraId="6EDA9B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58F3C9C" w14:textId="77777777" w:rsidTr="000D3BCB">
        <w:tc>
          <w:tcPr>
            <w:tcW w:w="534" w:type="dxa"/>
          </w:tcPr>
          <w:p w14:paraId="1A7465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w:t>
            </w:r>
          </w:p>
        </w:tc>
        <w:tc>
          <w:tcPr>
            <w:tcW w:w="1842" w:type="dxa"/>
          </w:tcPr>
          <w:p w14:paraId="7E5C81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289</w:t>
            </w:r>
          </w:p>
        </w:tc>
        <w:tc>
          <w:tcPr>
            <w:tcW w:w="1701" w:type="dxa"/>
          </w:tcPr>
          <w:p w14:paraId="3DF2D2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Сухой</w:t>
            </w:r>
          </w:p>
        </w:tc>
        <w:tc>
          <w:tcPr>
            <w:tcW w:w="1560" w:type="dxa"/>
          </w:tcPr>
          <w:p w14:paraId="277E5B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9FA1716" w14:textId="77777777" w:rsidTr="000D3BCB">
        <w:tc>
          <w:tcPr>
            <w:tcW w:w="534" w:type="dxa"/>
          </w:tcPr>
          <w:p w14:paraId="5314FA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w:t>
            </w:r>
          </w:p>
        </w:tc>
        <w:tc>
          <w:tcPr>
            <w:tcW w:w="1842" w:type="dxa"/>
          </w:tcPr>
          <w:p w14:paraId="66E735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ОКБ-135</w:t>
            </w:r>
          </w:p>
        </w:tc>
        <w:tc>
          <w:tcPr>
            <w:tcW w:w="1701" w:type="dxa"/>
          </w:tcPr>
          <w:p w14:paraId="4EF9D9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Грушин</w:t>
            </w:r>
          </w:p>
        </w:tc>
        <w:tc>
          <w:tcPr>
            <w:tcW w:w="1560" w:type="dxa"/>
          </w:tcPr>
          <w:p w14:paraId="6224D4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630B07A" w14:textId="77777777" w:rsidTr="000D3BCB">
        <w:tc>
          <w:tcPr>
            <w:tcW w:w="534" w:type="dxa"/>
          </w:tcPr>
          <w:p w14:paraId="4A546AE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tc>
        <w:tc>
          <w:tcPr>
            <w:tcW w:w="1842" w:type="dxa"/>
          </w:tcPr>
          <w:p w14:paraId="239502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ОКБ-207</w:t>
            </w:r>
          </w:p>
        </w:tc>
        <w:tc>
          <w:tcPr>
            <w:tcW w:w="1701" w:type="dxa"/>
          </w:tcPr>
          <w:p w14:paraId="269EC3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Кочерыгин</w:t>
            </w:r>
          </w:p>
        </w:tc>
        <w:tc>
          <w:tcPr>
            <w:tcW w:w="1560" w:type="dxa"/>
          </w:tcPr>
          <w:p w14:paraId="33B15C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135AD63" w14:textId="77777777" w:rsidTr="000D3BCB">
        <w:tc>
          <w:tcPr>
            <w:tcW w:w="534" w:type="dxa"/>
          </w:tcPr>
          <w:p w14:paraId="04EF12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1842" w:type="dxa"/>
          </w:tcPr>
          <w:p w14:paraId="62A9BF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ОКБ-МАИ</w:t>
            </w:r>
          </w:p>
        </w:tc>
        <w:tc>
          <w:tcPr>
            <w:tcW w:w="1701" w:type="dxa"/>
          </w:tcPr>
          <w:p w14:paraId="252F8F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Братухин</w:t>
            </w:r>
          </w:p>
        </w:tc>
        <w:tc>
          <w:tcPr>
            <w:tcW w:w="1560" w:type="dxa"/>
          </w:tcPr>
          <w:p w14:paraId="2C9D7F9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692BF96" w14:textId="77777777" w:rsidTr="000D3BCB">
        <w:tc>
          <w:tcPr>
            <w:tcW w:w="534" w:type="dxa"/>
          </w:tcPr>
          <w:p w14:paraId="734972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w:t>
            </w:r>
          </w:p>
        </w:tc>
        <w:tc>
          <w:tcPr>
            <w:tcW w:w="1842" w:type="dxa"/>
          </w:tcPr>
          <w:p w14:paraId="63B69F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290</w:t>
            </w:r>
          </w:p>
        </w:tc>
        <w:tc>
          <w:tcPr>
            <w:tcW w:w="1701" w:type="dxa"/>
          </w:tcPr>
          <w:p w14:paraId="70055F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Камов</w:t>
            </w:r>
          </w:p>
        </w:tc>
        <w:tc>
          <w:tcPr>
            <w:tcW w:w="1560" w:type="dxa"/>
          </w:tcPr>
          <w:p w14:paraId="19290A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5BED1D9" w14:textId="77777777" w:rsidTr="000D3BCB">
        <w:tc>
          <w:tcPr>
            <w:tcW w:w="534" w:type="dxa"/>
          </w:tcPr>
          <w:p w14:paraId="56CCCE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w:t>
            </w:r>
          </w:p>
        </w:tc>
        <w:tc>
          <w:tcPr>
            <w:tcW w:w="1842" w:type="dxa"/>
          </w:tcPr>
          <w:p w14:paraId="0A2001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ОКБ-39</w:t>
            </w:r>
          </w:p>
        </w:tc>
        <w:tc>
          <w:tcPr>
            <w:tcW w:w="1701" w:type="dxa"/>
          </w:tcPr>
          <w:p w14:paraId="08DFE3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Ильюшин</w:t>
            </w:r>
          </w:p>
        </w:tc>
        <w:tc>
          <w:tcPr>
            <w:tcW w:w="1560" w:type="dxa"/>
          </w:tcPr>
          <w:p w14:paraId="102BA7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10-й Главк</w:t>
            </w:r>
          </w:p>
        </w:tc>
      </w:tr>
      <w:tr w:rsidR="00643896" w:rsidRPr="00640820" w14:paraId="7DA7093B" w14:textId="77777777" w:rsidTr="000D3BCB">
        <w:tc>
          <w:tcPr>
            <w:tcW w:w="534" w:type="dxa"/>
          </w:tcPr>
          <w:p w14:paraId="348562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w:t>
            </w:r>
          </w:p>
        </w:tc>
        <w:tc>
          <w:tcPr>
            <w:tcW w:w="1842" w:type="dxa"/>
          </w:tcPr>
          <w:p w14:paraId="7C246F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ОКБ-22</w:t>
            </w:r>
          </w:p>
        </w:tc>
        <w:tc>
          <w:tcPr>
            <w:tcW w:w="1701" w:type="dxa"/>
          </w:tcPr>
          <w:p w14:paraId="1CDC65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Петляков</w:t>
            </w:r>
          </w:p>
        </w:tc>
        <w:tc>
          <w:tcPr>
            <w:tcW w:w="1560" w:type="dxa"/>
          </w:tcPr>
          <w:p w14:paraId="4E285D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DEA0723" w14:textId="77777777" w:rsidTr="000D3BCB">
        <w:tc>
          <w:tcPr>
            <w:tcW w:w="534" w:type="dxa"/>
          </w:tcPr>
          <w:p w14:paraId="0C1A23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w:t>
            </w:r>
          </w:p>
        </w:tc>
        <w:tc>
          <w:tcPr>
            <w:tcW w:w="1842" w:type="dxa"/>
          </w:tcPr>
          <w:p w14:paraId="61E31E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ОКБ-166</w:t>
            </w:r>
          </w:p>
        </w:tc>
        <w:tc>
          <w:tcPr>
            <w:tcW w:w="1701" w:type="dxa"/>
          </w:tcPr>
          <w:p w14:paraId="610DC9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Туполев</w:t>
            </w:r>
          </w:p>
        </w:tc>
        <w:tc>
          <w:tcPr>
            <w:tcW w:w="1560" w:type="dxa"/>
          </w:tcPr>
          <w:p w14:paraId="68E5408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AA144A7" w14:textId="77777777" w:rsidTr="000D3BCB">
        <w:tc>
          <w:tcPr>
            <w:tcW w:w="534" w:type="dxa"/>
          </w:tcPr>
          <w:p w14:paraId="5620A01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1842" w:type="dxa"/>
          </w:tcPr>
          <w:p w14:paraId="3CAB16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ОТБ</w:t>
            </w:r>
          </w:p>
        </w:tc>
        <w:tc>
          <w:tcPr>
            <w:tcW w:w="1701" w:type="dxa"/>
          </w:tcPr>
          <w:p w14:paraId="0A7FC6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Мясищев</w:t>
            </w:r>
          </w:p>
        </w:tc>
        <w:tc>
          <w:tcPr>
            <w:tcW w:w="1560" w:type="dxa"/>
          </w:tcPr>
          <w:p w14:paraId="62EAF4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B45C324" w14:textId="77777777" w:rsidTr="000D3BCB">
        <w:tc>
          <w:tcPr>
            <w:tcW w:w="534" w:type="dxa"/>
          </w:tcPr>
          <w:p w14:paraId="47D3A1C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w:t>
            </w:r>
          </w:p>
        </w:tc>
        <w:tc>
          <w:tcPr>
            <w:tcW w:w="1842" w:type="dxa"/>
          </w:tcPr>
          <w:p w14:paraId="1CF1DA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ОКБ-156</w:t>
            </w:r>
          </w:p>
        </w:tc>
        <w:tc>
          <w:tcPr>
            <w:tcW w:w="1701" w:type="dxa"/>
          </w:tcPr>
          <w:p w14:paraId="054557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Архангельский</w:t>
            </w:r>
          </w:p>
        </w:tc>
        <w:tc>
          <w:tcPr>
            <w:tcW w:w="1560" w:type="dxa"/>
          </w:tcPr>
          <w:p w14:paraId="503E26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3FB783F" w14:textId="77777777" w:rsidTr="000D3BCB">
        <w:tc>
          <w:tcPr>
            <w:tcW w:w="534" w:type="dxa"/>
          </w:tcPr>
          <w:p w14:paraId="3E5C2B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w:t>
            </w:r>
          </w:p>
        </w:tc>
        <w:tc>
          <w:tcPr>
            <w:tcW w:w="1842" w:type="dxa"/>
          </w:tcPr>
          <w:p w14:paraId="710904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288</w:t>
            </w:r>
          </w:p>
        </w:tc>
        <w:tc>
          <w:tcPr>
            <w:tcW w:w="1701" w:type="dxa"/>
          </w:tcPr>
          <w:p w14:paraId="01F8E9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Бериев</w:t>
            </w:r>
          </w:p>
        </w:tc>
        <w:tc>
          <w:tcPr>
            <w:tcW w:w="1560" w:type="dxa"/>
          </w:tcPr>
          <w:p w14:paraId="451C26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A95375F" w14:textId="77777777" w:rsidTr="000D3BCB">
        <w:tc>
          <w:tcPr>
            <w:tcW w:w="534" w:type="dxa"/>
          </w:tcPr>
          <w:p w14:paraId="4140E6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w:t>
            </w:r>
          </w:p>
        </w:tc>
        <w:tc>
          <w:tcPr>
            <w:tcW w:w="1842" w:type="dxa"/>
          </w:tcPr>
          <w:p w14:paraId="71D3A4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з-да № 30</w:t>
            </w:r>
          </w:p>
        </w:tc>
        <w:tc>
          <w:tcPr>
            <w:tcW w:w="1701" w:type="dxa"/>
          </w:tcPr>
          <w:p w14:paraId="5F6A27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Четвериков</w:t>
            </w:r>
          </w:p>
        </w:tc>
        <w:tc>
          <w:tcPr>
            <w:tcW w:w="1560" w:type="dxa"/>
          </w:tcPr>
          <w:p w14:paraId="067C53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8251D1A" w14:textId="77777777" w:rsidTr="000D3BCB">
        <w:tc>
          <w:tcPr>
            <w:tcW w:w="534" w:type="dxa"/>
          </w:tcPr>
          <w:p w14:paraId="797A15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w:t>
            </w:r>
          </w:p>
        </w:tc>
        <w:tc>
          <w:tcPr>
            <w:tcW w:w="1842" w:type="dxa"/>
          </w:tcPr>
          <w:p w14:paraId="5B93B4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240</w:t>
            </w:r>
          </w:p>
        </w:tc>
        <w:tc>
          <w:tcPr>
            <w:tcW w:w="1701" w:type="dxa"/>
          </w:tcPr>
          <w:p w14:paraId="4C7BF4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Ермолаев</w:t>
            </w:r>
          </w:p>
        </w:tc>
        <w:tc>
          <w:tcPr>
            <w:tcW w:w="1560" w:type="dxa"/>
          </w:tcPr>
          <w:p w14:paraId="4A64CD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5C15F4B" w14:textId="77777777" w:rsidTr="000D3BCB">
        <w:tc>
          <w:tcPr>
            <w:tcW w:w="534" w:type="dxa"/>
          </w:tcPr>
          <w:p w14:paraId="62DA3A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1842" w:type="dxa"/>
          </w:tcPr>
          <w:p w14:paraId="68FA626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ОКБ-84</w:t>
            </w:r>
          </w:p>
        </w:tc>
        <w:tc>
          <w:tcPr>
            <w:tcW w:w="1701" w:type="dxa"/>
          </w:tcPr>
          <w:p w14:paraId="689CD9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Мосолов</w:t>
            </w:r>
          </w:p>
        </w:tc>
        <w:tc>
          <w:tcPr>
            <w:tcW w:w="1560" w:type="dxa"/>
          </w:tcPr>
          <w:p w14:paraId="6456171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B834F12" w14:textId="77777777" w:rsidTr="000D3BCB">
        <w:tc>
          <w:tcPr>
            <w:tcW w:w="534" w:type="dxa"/>
          </w:tcPr>
          <w:p w14:paraId="76719D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w:t>
            </w:r>
          </w:p>
        </w:tc>
        <w:tc>
          <w:tcPr>
            <w:tcW w:w="1842" w:type="dxa"/>
          </w:tcPr>
          <w:p w14:paraId="7FA40A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468</w:t>
            </w:r>
          </w:p>
        </w:tc>
        <w:tc>
          <w:tcPr>
            <w:tcW w:w="1701" w:type="dxa"/>
          </w:tcPr>
          <w:p w14:paraId="533351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Привалов</w:t>
            </w:r>
          </w:p>
        </w:tc>
        <w:tc>
          <w:tcPr>
            <w:tcW w:w="1560" w:type="dxa"/>
          </w:tcPr>
          <w:p w14:paraId="72DAB5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5563D0B" w14:textId="77777777" w:rsidTr="000D3BCB">
        <w:tc>
          <w:tcPr>
            <w:tcW w:w="534" w:type="dxa"/>
          </w:tcPr>
          <w:p w14:paraId="077D42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w:t>
            </w:r>
          </w:p>
        </w:tc>
        <w:tc>
          <w:tcPr>
            <w:tcW w:w="1842" w:type="dxa"/>
          </w:tcPr>
          <w:p w14:paraId="6B5CB9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Н.Е.</w:t>
            </w:r>
          </w:p>
        </w:tc>
        <w:tc>
          <w:tcPr>
            <w:tcW w:w="1701" w:type="dxa"/>
          </w:tcPr>
          <w:p w14:paraId="5F3BD1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Надирадзе</w:t>
            </w:r>
          </w:p>
        </w:tc>
        <w:tc>
          <w:tcPr>
            <w:tcW w:w="1560" w:type="dxa"/>
          </w:tcPr>
          <w:p w14:paraId="14D187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4D06050" w14:textId="77777777" w:rsidTr="000D3BCB">
        <w:tc>
          <w:tcPr>
            <w:tcW w:w="534" w:type="dxa"/>
          </w:tcPr>
          <w:p w14:paraId="1870B0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w:t>
            </w:r>
          </w:p>
        </w:tc>
        <w:tc>
          <w:tcPr>
            <w:tcW w:w="1842" w:type="dxa"/>
          </w:tcPr>
          <w:p w14:paraId="36295E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ОКБ-1-32</w:t>
            </w:r>
          </w:p>
        </w:tc>
        <w:tc>
          <w:tcPr>
            <w:tcW w:w="1701" w:type="dxa"/>
          </w:tcPr>
          <w:p w14:paraId="6C1A77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Шульгин</w:t>
            </w:r>
          </w:p>
        </w:tc>
        <w:tc>
          <w:tcPr>
            <w:tcW w:w="1560" w:type="dxa"/>
          </w:tcPr>
          <w:p w14:paraId="4E790C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2-й Главк</w:t>
            </w:r>
          </w:p>
        </w:tc>
      </w:tr>
      <w:tr w:rsidR="00643896" w:rsidRPr="00640820" w14:paraId="0AEDB4B6" w14:textId="77777777" w:rsidTr="000D3BCB">
        <w:tc>
          <w:tcPr>
            <w:tcW w:w="534" w:type="dxa"/>
          </w:tcPr>
          <w:p w14:paraId="190B8DC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w:t>
            </w:r>
          </w:p>
        </w:tc>
        <w:tc>
          <w:tcPr>
            <w:tcW w:w="1842" w:type="dxa"/>
          </w:tcPr>
          <w:p w14:paraId="6B4A749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ОКБ-2-32</w:t>
            </w:r>
          </w:p>
        </w:tc>
        <w:tc>
          <w:tcPr>
            <w:tcW w:w="1701" w:type="dxa"/>
          </w:tcPr>
          <w:p w14:paraId="22679D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Веневидов-Можаровский</w:t>
            </w:r>
          </w:p>
        </w:tc>
        <w:tc>
          <w:tcPr>
            <w:tcW w:w="1560" w:type="dxa"/>
          </w:tcPr>
          <w:p w14:paraId="7C0946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C80F934" w14:textId="77777777" w:rsidTr="000D3BCB">
        <w:tc>
          <w:tcPr>
            <w:tcW w:w="534" w:type="dxa"/>
          </w:tcPr>
          <w:p w14:paraId="5C3A71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w:t>
            </w:r>
          </w:p>
        </w:tc>
        <w:tc>
          <w:tcPr>
            <w:tcW w:w="1842" w:type="dxa"/>
          </w:tcPr>
          <w:p w14:paraId="491C3F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ОКБ-3-32</w:t>
            </w:r>
          </w:p>
        </w:tc>
        <w:tc>
          <w:tcPr>
            <w:tcW w:w="1701" w:type="dxa"/>
          </w:tcPr>
          <w:p w14:paraId="5BC674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Торопов</w:t>
            </w:r>
          </w:p>
        </w:tc>
        <w:tc>
          <w:tcPr>
            <w:tcW w:w="1560" w:type="dxa"/>
          </w:tcPr>
          <w:p w14:paraId="676A85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D422FD9" w14:textId="77777777" w:rsidTr="000D3BCB">
        <w:tc>
          <w:tcPr>
            <w:tcW w:w="534" w:type="dxa"/>
          </w:tcPr>
          <w:p w14:paraId="7AE53A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w:t>
            </w:r>
          </w:p>
        </w:tc>
        <w:tc>
          <w:tcPr>
            <w:tcW w:w="1842" w:type="dxa"/>
          </w:tcPr>
          <w:p w14:paraId="46EFD5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ОКБ-487 (454)</w:t>
            </w:r>
          </w:p>
        </w:tc>
        <w:tc>
          <w:tcPr>
            <w:tcW w:w="1701" w:type="dxa"/>
          </w:tcPr>
          <w:p w14:paraId="79CBD6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Шебанов</w:t>
            </w:r>
          </w:p>
        </w:tc>
        <w:tc>
          <w:tcPr>
            <w:tcW w:w="1560" w:type="dxa"/>
          </w:tcPr>
          <w:p w14:paraId="1BEC8F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D2F2C38" w14:textId="77777777" w:rsidTr="000D3BCB">
        <w:tc>
          <w:tcPr>
            <w:tcW w:w="534" w:type="dxa"/>
          </w:tcPr>
          <w:p w14:paraId="4F327E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w:t>
            </w:r>
          </w:p>
        </w:tc>
        <w:tc>
          <w:tcPr>
            <w:tcW w:w="1842" w:type="dxa"/>
          </w:tcPr>
          <w:p w14:paraId="5F2B2F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ОКБ-145</w:t>
            </w:r>
          </w:p>
        </w:tc>
        <w:tc>
          <w:tcPr>
            <w:tcW w:w="1701" w:type="dxa"/>
          </w:tcPr>
          <w:p w14:paraId="16B884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Картуков</w:t>
            </w:r>
          </w:p>
        </w:tc>
        <w:tc>
          <w:tcPr>
            <w:tcW w:w="1560" w:type="dxa"/>
          </w:tcPr>
          <w:p w14:paraId="3FB566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0738B1B" w14:textId="77777777" w:rsidTr="000D3BCB">
        <w:tc>
          <w:tcPr>
            <w:tcW w:w="534" w:type="dxa"/>
          </w:tcPr>
          <w:p w14:paraId="05C032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w:t>
            </w:r>
          </w:p>
        </w:tc>
        <w:tc>
          <w:tcPr>
            <w:tcW w:w="1842" w:type="dxa"/>
          </w:tcPr>
          <w:p w14:paraId="39543C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ОКБ-34</w:t>
            </w:r>
          </w:p>
        </w:tc>
        <w:tc>
          <w:tcPr>
            <w:tcW w:w="1701" w:type="dxa"/>
          </w:tcPr>
          <w:p w14:paraId="6FA016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Воронин</w:t>
            </w:r>
          </w:p>
        </w:tc>
        <w:tc>
          <w:tcPr>
            <w:tcW w:w="1560" w:type="dxa"/>
          </w:tcPr>
          <w:p w14:paraId="6B86E1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8393848" w14:textId="77777777" w:rsidTr="000D3BCB">
        <w:tc>
          <w:tcPr>
            <w:tcW w:w="534" w:type="dxa"/>
          </w:tcPr>
          <w:p w14:paraId="5BAC62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w:t>
            </w:r>
          </w:p>
        </w:tc>
        <w:tc>
          <w:tcPr>
            <w:tcW w:w="1842" w:type="dxa"/>
          </w:tcPr>
          <w:p w14:paraId="7F420A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ОКБ-120</w:t>
            </w:r>
          </w:p>
        </w:tc>
        <w:tc>
          <w:tcPr>
            <w:tcW w:w="1701" w:type="dxa"/>
          </w:tcPr>
          <w:p w14:paraId="238AE4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Флеров</w:t>
            </w:r>
          </w:p>
        </w:tc>
        <w:tc>
          <w:tcPr>
            <w:tcW w:w="1560" w:type="dxa"/>
          </w:tcPr>
          <w:p w14:paraId="2274DC6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5978AE1" w14:textId="77777777" w:rsidTr="000D3BCB">
        <w:tc>
          <w:tcPr>
            <w:tcW w:w="534" w:type="dxa"/>
          </w:tcPr>
          <w:p w14:paraId="4631179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c>
          <w:tcPr>
            <w:tcW w:w="1842" w:type="dxa"/>
          </w:tcPr>
          <w:p w14:paraId="646207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ОКБ-119 (261)</w:t>
            </w:r>
          </w:p>
        </w:tc>
        <w:tc>
          <w:tcPr>
            <w:tcW w:w="1701" w:type="dxa"/>
          </w:tcPr>
          <w:p w14:paraId="1FD1C2B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Самсонов</w:t>
            </w:r>
          </w:p>
        </w:tc>
        <w:tc>
          <w:tcPr>
            <w:tcW w:w="1560" w:type="dxa"/>
          </w:tcPr>
          <w:p w14:paraId="4D2814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4BD70DF" w14:textId="77777777" w:rsidTr="000D3BCB">
        <w:tc>
          <w:tcPr>
            <w:tcW w:w="534" w:type="dxa"/>
          </w:tcPr>
          <w:p w14:paraId="71B789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w:t>
            </w:r>
          </w:p>
        </w:tc>
        <w:tc>
          <w:tcPr>
            <w:tcW w:w="1842" w:type="dxa"/>
          </w:tcPr>
          <w:p w14:paraId="29104F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ОКБ-266</w:t>
            </w:r>
          </w:p>
        </w:tc>
        <w:tc>
          <w:tcPr>
            <w:tcW w:w="1701" w:type="dxa"/>
          </w:tcPr>
          <w:p w14:paraId="71D5DE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Енгибарян</w:t>
            </w:r>
          </w:p>
        </w:tc>
        <w:tc>
          <w:tcPr>
            <w:tcW w:w="1560" w:type="dxa"/>
          </w:tcPr>
          <w:p w14:paraId="34BF2A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4-й Главк</w:t>
            </w:r>
          </w:p>
        </w:tc>
      </w:tr>
      <w:tr w:rsidR="00643896" w:rsidRPr="00640820" w14:paraId="390B1591" w14:textId="77777777" w:rsidTr="000D3BCB">
        <w:tc>
          <w:tcPr>
            <w:tcW w:w="534" w:type="dxa"/>
          </w:tcPr>
          <w:p w14:paraId="129FD25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w:t>
            </w:r>
          </w:p>
        </w:tc>
        <w:tc>
          <w:tcPr>
            <w:tcW w:w="1842" w:type="dxa"/>
          </w:tcPr>
          <w:p w14:paraId="1853FC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294</w:t>
            </w:r>
          </w:p>
        </w:tc>
        <w:tc>
          <w:tcPr>
            <w:tcW w:w="1701" w:type="dxa"/>
          </w:tcPr>
          <w:p w14:paraId="690A0E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Михайлов-Голубков</w:t>
            </w:r>
          </w:p>
        </w:tc>
        <w:tc>
          <w:tcPr>
            <w:tcW w:w="1560" w:type="dxa"/>
          </w:tcPr>
          <w:p w14:paraId="41D8E6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5-й Главк</w:t>
            </w:r>
          </w:p>
        </w:tc>
      </w:tr>
      <w:tr w:rsidR="00643896" w:rsidRPr="00640820" w14:paraId="5FA91BF5" w14:textId="77777777" w:rsidTr="000D3BCB">
        <w:tc>
          <w:tcPr>
            <w:tcW w:w="534" w:type="dxa"/>
          </w:tcPr>
          <w:p w14:paraId="79473E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33.</w:t>
            </w:r>
          </w:p>
        </w:tc>
        <w:tc>
          <w:tcPr>
            <w:tcW w:w="1842" w:type="dxa"/>
          </w:tcPr>
          <w:p w14:paraId="3D470A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ЦАГИ</w:t>
            </w:r>
          </w:p>
        </w:tc>
        <w:tc>
          <w:tcPr>
            <w:tcW w:w="1701" w:type="dxa"/>
          </w:tcPr>
          <w:p w14:paraId="696423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Шишкин</w:t>
            </w:r>
          </w:p>
        </w:tc>
        <w:tc>
          <w:tcPr>
            <w:tcW w:w="1560" w:type="dxa"/>
          </w:tcPr>
          <w:p w14:paraId="41BBE0B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Отдел по руководству НИИ</w:t>
            </w:r>
          </w:p>
        </w:tc>
      </w:tr>
      <w:tr w:rsidR="00643896" w:rsidRPr="00640820" w14:paraId="15CDC3CB" w14:textId="77777777" w:rsidTr="000D3BCB">
        <w:tc>
          <w:tcPr>
            <w:tcW w:w="534" w:type="dxa"/>
          </w:tcPr>
          <w:p w14:paraId="75A25E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34.</w:t>
            </w:r>
          </w:p>
        </w:tc>
        <w:tc>
          <w:tcPr>
            <w:tcW w:w="1842" w:type="dxa"/>
          </w:tcPr>
          <w:p w14:paraId="710D15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ЛИИ</w:t>
            </w:r>
          </w:p>
        </w:tc>
        <w:tc>
          <w:tcPr>
            <w:tcW w:w="1701" w:type="dxa"/>
          </w:tcPr>
          <w:p w14:paraId="1E0269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Чесалов</w:t>
            </w:r>
          </w:p>
        </w:tc>
        <w:tc>
          <w:tcPr>
            <w:tcW w:w="1560" w:type="dxa"/>
          </w:tcPr>
          <w:p w14:paraId="5D9AC6E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C6BA131" w14:textId="77777777" w:rsidTr="000D3BCB">
        <w:tc>
          <w:tcPr>
            <w:tcW w:w="534" w:type="dxa"/>
          </w:tcPr>
          <w:p w14:paraId="11DD12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w:t>
            </w:r>
          </w:p>
        </w:tc>
        <w:tc>
          <w:tcPr>
            <w:tcW w:w="1842" w:type="dxa"/>
          </w:tcPr>
          <w:p w14:paraId="6928C8F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БНТ</w:t>
            </w:r>
          </w:p>
        </w:tc>
        <w:tc>
          <w:tcPr>
            <w:tcW w:w="1701" w:type="dxa"/>
          </w:tcPr>
          <w:p w14:paraId="5CB2F6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Леонтьев</w:t>
            </w:r>
          </w:p>
        </w:tc>
        <w:tc>
          <w:tcPr>
            <w:tcW w:w="1560" w:type="dxa"/>
          </w:tcPr>
          <w:p w14:paraId="58B540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B6843DC" w14:textId="77777777" w:rsidTr="000D3BCB">
        <w:tc>
          <w:tcPr>
            <w:tcW w:w="534" w:type="dxa"/>
          </w:tcPr>
          <w:p w14:paraId="08139A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36.</w:t>
            </w:r>
          </w:p>
        </w:tc>
        <w:tc>
          <w:tcPr>
            <w:tcW w:w="1842" w:type="dxa"/>
          </w:tcPr>
          <w:p w14:paraId="73091E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ВИАМ</w:t>
            </w:r>
          </w:p>
        </w:tc>
        <w:tc>
          <w:tcPr>
            <w:tcW w:w="1701" w:type="dxa"/>
          </w:tcPr>
          <w:p w14:paraId="3FEFFFB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Туманов</w:t>
            </w:r>
          </w:p>
        </w:tc>
        <w:tc>
          <w:tcPr>
            <w:tcW w:w="1560" w:type="dxa"/>
          </w:tcPr>
          <w:p w14:paraId="75319D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DC68310" w14:textId="77777777" w:rsidTr="000D3BCB">
        <w:tc>
          <w:tcPr>
            <w:tcW w:w="534" w:type="dxa"/>
          </w:tcPr>
          <w:p w14:paraId="3A0007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2E2C4B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8 ГУ</w:t>
            </w:r>
          </w:p>
        </w:tc>
        <w:tc>
          <w:tcPr>
            <w:tcW w:w="1701" w:type="dxa"/>
          </w:tcPr>
          <w:p w14:paraId="7469DD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1C6445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4D060CF" w14:textId="77777777" w:rsidTr="000D3BCB">
        <w:tc>
          <w:tcPr>
            <w:tcW w:w="534" w:type="dxa"/>
          </w:tcPr>
          <w:p w14:paraId="539EDB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37.</w:t>
            </w:r>
          </w:p>
        </w:tc>
        <w:tc>
          <w:tcPr>
            <w:tcW w:w="1842" w:type="dxa"/>
          </w:tcPr>
          <w:p w14:paraId="10472E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ОКБ-16</w:t>
            </w:r>
          </w:p>
        </w:tc>
        <w:tc>
          <w:tcPr>
            <w:tcW w:w="1701" w:type="dxa"/>
          </w:tcPr>
          <w:p w14:paraId="15D7C8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123560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3-й Главк</w:t>
            </w:r>
          </w:p>
        </w:tc>
      </w:tr>
      <w:tr w:rsidR="00643896" w:rsidRPr="00640820" w14:paraId="7B356C44" w14:textId="77777777" w:rsidTr="000D3BCB">
        <w:tc>
          <w:tcPr>
            <w:tcW w:w="534" w:type="dxa"/>
          </w:tcPr>
          <w:p w14:paraId="691EBD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w:t>
            </w:r>
          </w:p>
        </w:tc>
        <w:tc>
          <w:tcPr>
            <w:tcW w:w="1842" w:type="dxa"/>
          </w:tcPr>
          <w:p w14:paraId="5B48F7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ОКБ-19</w:t>
            </w:r>
          </w:p>
        </w:tc>
        <w:tc>
          <w:tcPr>
            <w:tcW w:w="1701" w:type="dxa"/>
          </w:tcPr>
          <w:p w14:paraId="19522C9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0084A1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3-й Главк</w:t>
            </w:r>
          </w:p>
        </w:tc>
      </w:tr>
      <w:tr w:rsidR="00643896" w:rsidRPr="00640820" w14:paraId="52130780" w14:textId="77777777" w:rsidTr="000D3BCB">
        <w:tc>
          <w:tcPr>
            <w:tcW w:w="534" w:type="dxa"/>
          </w:tcPr>
          <w:p w14:paraId="4B875D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w:t>
            </w:r>
          </w:p>
        </w:tc>
        <w:tc>
          <w:tcPr>
            <w:tcW w:w="1842" w:type="dxa"/>
          </w:tcPr>
          <w:p w14:paraId="232257B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ОКБ-24</w:t>
            </w:r>
          </w:p>
        </w:tc>
        <w:tc>
          <w:tcPr>
            <w:tcW w:w="1701" w:type="dxa"/>
          </w:tcPr>
          <w:p w14:paraId="778D0B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78F7B6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3-й Главк</w:t>
            </w:r>
          </w:p>
        </w:tc>
      </w:tr>
      <w:tr w:rsidR="00643896" w:rsidRPr="00640820" w14:paraId="03815477" w14:textId="77777777" w:rsidTr="000D3BCB">
        <w:tc>
          <w:tcPr>
            <w:tcW w:w="534" w:type="dxa"/>
          </w:tcPr>
          <w:p w14:paraId="3F13888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w:t>
            </w:r>
          </w:p>
        </w:tc>
        <w:tc>
          <w:tcPr>
            <w:tcW w:w="1842" w:type="dxa"/>
          </w:tcPr>
          <w:p w14:paraId="6B6A54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ОКБ-26</w:t>
            </w:r>
          </w:p>
        </w:tc>
        <w:tc>
          <w:tcPr>
            <w:tcW w:w="1701" w:type="dxa"/>
          </w:tcPr>
          <w:p w14:paraId="6947E6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0672F7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3-й Главк</w:t>
            </w:r>
          </w:p>
        </w:tc>
      </w:tr>
      <w:tr w:rsidR="00643896" w:rsidRPr="00640820" w14:paraId="1E97A9DB" w14:textId="77777777" w:rsidTr="000D3BCB">
        <w:tc>
          <w:tcPr>
            <w:tcW w:w="534" w:type="dxa"/>
          </w:tcPr>
          <w:p w14:paraId="139207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41.</w:t>
            </w:r>
          </w:p>
        </w:tc>
        <w:tc>
          <w:tcPr>
            <w:tcW w:w="1842" w:type="dxa"/>
          </w:tcPr>
          <w:p w14:paraId="644655B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ОКБ-27</w:t>
            </w:r>
          </w:p>
        </w:tc>
        <w:tc>
          <w:tcPr>
            <w:tcW w:w="1701" w:type="dxa"/>
          </w:tcPr>
          <w:p w14:paraId="7952AE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740FD6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3-й Главк</w:t>
            </w:r>
          </w:p>
        </w:tc>
      </w:tr>
      <w:tr w:rsidR="00643896" w:rsidRPr="00640820" w14:paraId="642EB9FF" w14:textId="77777777" w:rsidTr="000D3BCB">
        <w:tc>
          <w:tcPr>
            <w:tcW w:w="534" w:type="dxa"/>
          </w:tcPr>
          <w:p w14:paraId="3B5BEA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42.</w:t>
            </w:r>
          </w:p>
        </w:tc>
        <w:tc>
          <w:tcPr>
            <w:tcW w:w="1842" w:type="dxa"/>
          </w:tcPr>
          <w:p w14:paraId="50452BE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ОКБ-28</w:t>
            </w:r>
          </w:p>
        </w:tc>
        <w:tc>
          <w:tcPr>
            <w:tcW w:w="1701" w:type="dxa"/>
          </w:tcPr>
          <w:p w14:paraId="08B242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399D57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3-й Главк</w:t>
            </w:r>
          </w:p>
        </w:tc>
      </w:tr>
      <w:tr w:rsidR="00643896" w:rsidRPr="00640820" w14:paraId="603CC0C3" w14:textId="77777777" w:rsidTr="000D3BCB">
        <w:tc>
          <w:tcPr>
            <w:tcW w:w="534" w:type="dxa"/>
          </w:tcPr>
          <w:p w14:paraId="6FA2529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43.</w:t>
            </w:r>
          </w:p>
        </w:tc>
        <w:tc>
          <w:tcPr>
            <w:tcW w:w="1842" w:type="dxa"/>
          </w:tcPr>
          <w:p w14:paraId="414734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ОКБ-29</w:t>
            </w:r>
          </w:p>
        </w:tc>
        <w:tc>
          <w:tcPr>
            <w:tcW w:w="1701" w:type="dxa"/>
          </w:tcPr>
          <w:p w14:paraId="63B08E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075B9A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3-й Главк</w:t>
            </w:r>
          </w:p>
        </w:tc>
      </w:tr>
      <w:tr w:rsidR="00643896" w:rsidRPr="00640820" w14:paraId="19A92572" w14:textId="77777777" w:rsidTr="000D3BCB">
        <w:tc>
          <w:tcPr>
            <w:tcW w:w="534" w:type="dxa"/>
          </w:tcPr>
          <w:p w14:paraId="15BBEB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44.</w:t>
            </w:r>
          </w:p>
        </w:tc>
        <w:tc>
          <w:tcPr>
            <w:tcW w:w="1842" w:type="dxa"/>
          </w:tcPr>
          <w:p w14:paraId="6551238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ОКБ-82</w:t>
            </w:r>
          </w:p>
        </w:tc>
        <w:tc>
          <w:tcPr>
            <w:tcW w:w="1701" w:type="dxa"/>
          </w:tcPr>
          <w:p w14:paraId="74CDFE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1DB73C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3-й Главк</w:t>
            </w:r>
          </w:p>
        </w:tc>
      </w:tr>
      <w:tr w:rsidR="00643896" w:rsidRPr="00640820" w14:paraId="52EC654E" w14:textId="77777777" w:rsidTr="000D3BCB">
        <w:tc>
          <w:tcPr>
            <w:tcW w:w="534" w:type="dxa"/>
          </w:tcPr>
          <w:p w14:paraId="090E35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w:t>
            </w:r>
          </w:p>
        </w:tc>
        <w:tc>
          <w:tcPr>
            <w:tcW w:w="1842" w:type="dxa"/>
          </w:tcPr>
          <w:p w14:paraId="012BD8E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ОКБ-150</w:t>
            </w:r>
          </w:p>
        </w:tc>
        <w:tc>
          <w:tcPr>
            <w:tcW w:w="1701" w:type="dxa"/>
          </w:tcPr>
          <w:p w14:paraId="0A2BC1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4B9CA1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3-й Главк</w:t>
            </w:r>
          </w:p>
        </w:tc>
      </w:tr>
      <w:tr w:rsidR="00643896" w:rsidRPr="00640820" w14:paraId="224C245D" w14:textId="77777777" w:rsidTr="000D3BCB">
        <w:tc>
          <w:tcPr>
            <w:tcW w:w="534" w:type="dxa"/>
          </w:tcPr>
          <w:p w14:paraId="51F753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46.</w:t>
            </w:r>
          </w:p>
        </w:tc>
        <w:tc>
          <w:tcPr>
            <w:tcW w:w="1842" w:type="dxa"/>
          </w:tcPr>
          <w:p w14:paraId="184C34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ОКБ-154</w:t>
            </w:r>
          </w:p>
        </w:tc>
        <w:tc>
          <w:tcPr>
            <w:tcW w:w="1701" w:type="dxa"/>
          </w:tcPr>
          <w:p w14:paraId="3E99AA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28355D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3-й Главк</w:t>
            </w:r>
          </w:p>
        </w:tc>
      </w:tr>
      <w:tr w:rsidR="00643896" w:rsidRPr="00640820" w14:paraId="76B28827" w14:textId="77777777" w:rsidTr="000D3BCB">
        <w:tc>
          <w:tcPr>
            <w:tcW w:w="534" w:type="dxa"/>
          </w:tcPr>
          <w:p w14:paraId="5E1BBA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47.</w:t>
            </w:r>
          </w:p>
        </w:tc>
        <w:tc>
          <w:tcPr>
            <w:tcW w:w="1842" w:type="dxa"/>
          </w:tcPr>
          <w:p w14:paraId="68C551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ОКБ-291</w:t>
            </w:r>
          </w:p>
        </w:tc>
        <w:tc>
          <w:tcPr>
            <w:tcW w:w="1701" w:type="dxa"/>
          </w:tcPr>
          <w:p w14:paraId="74E173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0809B0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3-й Главк</w:t>
            </w:r>
          </w:p>
        </w:tc>
      </w:tr>
      <w:tr w:rsidR="00643896" w:rsidRPr="00640820" w14:paraId="74882BCF" w14:textId="77777777" w:rsidTr="000D3BCB">
        <w:tc>
          <w:tcPr>
            <w:tcW w:w="534" w:type="dxa"/>
          </w:tcPr>
          <w:p w14:paraId="3A1E46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48.</w:t>
            </w:r>
          </w:p>
        </w:tc>
        <w:tc>
          <w:tcPr>
            <w:tcW w:w="1842" w:type="dxa"/>
          </w:tcPr>
          <w:p w14:paraId="367B641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w:t>
            </w:r>
          </w:p>
        </w:tc>
        <w:tc>
          <w:tcPr>
            <w:tcW w:w="1701" w:type="dxa"/>
          </w:tcPr>
          <w:p w14:paraId="36BCA7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7E7549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3-й Главк</w:t>
            </w:r>
          </w:p>
        </w:tc>
      </w:tr>
      <w:tr w:rsidR="00643896" w:rsidRPr="00640820" w14:paraId="7C4B607D" w14:textId="77777777" w:rsidTr="000D3BCB">
        <w:tc>
          <w:tcPr>
            <w:tcW w:w="534" w:type="dxa"/>
          </w:tcPr>
          <w:p w14:paraId="2705A5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49.</w:t>
            </w:r>
          </w:p>
        </w:tc>
        <w:tc>
          <w:tcPr>
            <w:tcW w:w="1842" w:type="dxa"/>
          </w:tcPr>
          <w:p w14:paraId="1EA353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ОКБ-20</w:t>
            </w:r>
          </w:p>
        </w:tc>
        <w:tc>
          <w:tcPr>
            <w:tcW w:w="1701" w:type="dxa"/>
          </w:tcPr>
          <w:p w14:paraId="7ACB83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6C7915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4-й Главк</w:t>
            </w:r>
          </w:p>
        </w:tc>
      </w:tr>
      <w:tr w:rsidR="00643896" w:rsidRPr="00640820" w14:paraId="696E12D7" w14:textId="77777777" w:rsidTr="000D3BCB">
        <w:tc>
          <w:tcPr>
            <w:tcW w:w="534" w:type="dxa"/>
          </w:tcPr>
          <w:p w14:paraId="72C1A68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w:t>
            </w:r>
          </w:p>
        </w:tc>
        <w:tc>
          <w:tcPr>
            <w:tcW w:w="1842" w:type="dxa"/>
          </w:tcPr>
          <w:p w14:paraId="0A1F54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ОКБ-33</w:t>
            </w:r>
          </w:p>
        </w:tc>
        <w:tc>
          <w:tcPr>
            <w:tcW w:w="1701" w:type="dxa"/>
          </w:tcPr>
          <w:p w14:paraId="6F08E8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43BDF5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4-й Главк</w:t>
            </w:r>
          </w:p>
        </w:tc>
      </w:tr>
      <w:tr w:rsidR="00643896" w:rsidRPr="00640820" w14:paraId="5C52B877" w14:textId="77777777" w:rsidTr="000D3BCB">
        <w:tc>
          <w:tcPr>
            <w:tcW w:w="534" w:type="dxa"/>
          </w:tcPr>
          <w:p w14:paraId="3ED5A1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51.</w:t>
            </w:r>
          </w:p>
        </w:tc>
        <w:tc>
          <w:tcPr>
            <w:tcW w:w="1842" w:type="dxa"/>
          </w:tcPr>
          <w:p w14:paraId="24987B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ОКБ-132</w:t>
            </w:r>
          </w:p>
        </w:tc>
        <w:tc>
          <w:tcPr>
            <w:tcW w:w="1701" w:type="dxa"/>
          </w:tcPr>
          <w:p w14:paraId="08C306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3CCE95B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4-й Главк</w:t>
            </w:r>
          </w:p>
        </w:tc>
      </w:tr>
      <w:tr w:rsidR="00643896" w:rsidRPr="00640820" w14:paraId="2DDEDFBF" w14:textId="77777777" w:rsidTr="000D3BCB">
        <w:tc>
          <w:tcPr>
            <w:tcW w:w="534" w:type="dxa"/>
          </w:tcPr>
          <w:p w14:paraId="6C7B9A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52.</w:t>
            </w:r>
          </w:p>
        </w:tc>
        <w:tc>
          <w:tcPr>
            <w:tcW w:w="1842" w:type="dxa"/>
          </w:tcPr>
          <w:p w14:paraId="5CDF2D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ОКБ-161</w:t>
            </w:r>
          </w:p>
        </w:tc>
        <w:tc>
          <w:tcPr>
            <w:tcW w:w="1701" w:type="dxa"/>
          </w:tcPr>
          <w:p w14:paraId="78EE9B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74DBC3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4-й Главк</w:t>
            </w:r>
          </w:p>
        </w:tc>
      </w:tr>
      <w:tr w:rsidR="00643896" w:rsidRPr="00640820" w14:paraId="56D9684D" w14:textId="77777777" w:rsidTr="000D3BCB">
        <w:tc>
          <w:tcPr>
            <w:tcW w:w="534" w:type="dxa"/>
          </w:tcPr>
          <w:p w14:paraId="5A3A66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53.</w:t>
            </w:r>
          </w:p>
        </w:tc>
        <w:tc>
          <w:tcPr>
            <w:tcW w:w="1842" w:type="dxa"/>
          </w:tcPr>
          <w:p w14:paraId="0D7534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ОКБ-296</w:t>
            </w:r>
          </w:p>
        </w:tc>
        <w:tc>
          <w:tcPr>
            <w:tcW w:w="1701" w:type="dxa"/>
          </w:tcPr>
          <w:p w14:paraId="646C20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23217D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4-й Главк</w:t>
            </w:r>
          </w:p>
        </w:tc>
      </w:tr>
      <w:tr w:rsidR="00643896" w:rsidRPr="00640820" w14:paraId="69FE9C11" w14:textId="77777777" w:rsidTr="000D3BCB">
        <w:tc>
          <w:tcPr>
            <w:tcW w:w="534" w:type="dxa"/>
            <w:tcBorders>
              <w:bottom w:val="single" w:sz="12" w:space="0" w:color="auto"/>
            </w:tcBorders>
          </w:tcPr>
          <w:p w14:paraId="6D833E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54.</w:t>
            </w:r>
          </w:p>
        </w:tc>
        <w:tc>
          <w:tcPr>
            <w:tcW w:w="1842" w:type="dxa"/>
            <w:tcBorders>
              <w:bottom w:val="single" w:sz="12" w:space="0" w:color="auto"/>
            </w:tcBorders>
          </w:tcPr>
          <w:p w14:paraId="5EEF1C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ОКБ-306</w:t>
            </w:r>
          </w:p>
        </w:tc>
        <w:tc>
          <w:tcPr>
            <w:tcW w:w="1701" w:type="dxa"/>
            <w:tcBorders>
              <w:bottom w:val="single" w:sz="12" w:space="0" w:color="auto"/>
            </w:tcBorders>
          </w:tcPr>
          <w:p w14:paraId="163106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Borders>
              <w:bottom w:val="single" w:sz="12" w:space="0" w:color="auto"/>
            </w:tcBorders>
          </w:tcPr>
          <w:p w14:paraId="71DA97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4-й Главк</w:t>
            </w:r>
          </w:p>
        </w:tc>
      </w:tr>
    </w:tbl>
    <w:p w14:paraId="67B6171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(2879).</w:t>
      </w:r>
    </w:p>
    <w:p w14:paraId="4FA16C5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C5C6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декабря 1941 г. по приказу № 1170сс мощности и личный состав Иваньковского завода № 30 переданы для формирования нового завода № 23 НКАП и № 30 НКАП, По приказу № 277с от 14.04.1942 г. часть несмонтированного оборудования завода № 30 передана филиалу завода № 145 в Болшево.</w:t>
      </w:r>
    </w:p>
    <w:p w14:paraId="046003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старой площадке в Иваньково по приказу НКАП № 372с от 11.05.1942 г. образован новый опытный завод морского самолетостроения № 458 в системе 7ГУ НКАП.</w:t>
      </w:r>
    </w:p>
    <w:p w14:paraId="7271D5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(1938 г.)- А.П. Свердлов, (1939-08.1940 г.)- И. Г. Загайнов, (08.1940-10.1941 г.)- Я.К. Руденко, (10.1941 г.-)- И.Н. Смирнов.</w:t>
      </w:r>
    </w:p>
    <w:p w14:paraId="140758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строительства (8.10.1937-46 г.)- Е.Т. Ястребилов.</w:t>
      </w:r>
    </w:p>
    <w:p w14:paraId="78D515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Гл. конструктор (1939-40 г.)- А.П. Голубков, (01-10.1941 г.)- И.В. Четвериков.</w:t>
      </w:r>
    </w:p>
    <w:p w14:paraId="219E92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технолог (1939-42 г.)- Б.Д. Иванов. Начальник производства (-12.1940 г.)- С.П. Литвиненко (затем- директор завода № 465).</w:t>
      </w:r>
    </w:p>
    <w:p w14:paraId="5B5D57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гидросамолеты: МТБ-2 (1939)- 1, Че-2, МДР-5, Бе-4, МДР-7 (11982).</w:t>
      </w:r>
    </w:p>
    <w:p w14:paraId="26E4311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B3CA16B"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000939BA"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CF83C5B"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декабря 1941 года вышел приказ № 95сс НКТП Челябинск</w:t>
      </w:r>
    </w:p>
    <w:p w14:paraId="5A305A35"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частичное изменение приказа по НКТП № 42сс от 29 ноября 1941 года:</w:t>
      </w:r>
    </w:p>
    <w:p w14:paraId="0C018124"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Организовать на базе эвакуированного оборудования цеха огнеметов Люберецкого завода и части завода “Комсомолец” – завод огнеметов НКТП, присвоив ему номер 222 с местоположением: ст. Тогузак Кустанайского района Челябинской области (6043, 120).</w:t>
      </w:r>
    </w:p>
    <w:p w14:paraId="30C40C69"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1CD2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18/31 декабря 1941 года вышел приказ № 1/433 НКВ:</w:t>
      </w:r>
    </w:p>
    <w:p w14:paraId="28D058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целях оказания технической помощи заводу № 525 в быстрейшей наладке производства “ШВАК” (9202).</w:t>
      </w:r>
    </w:p>
    <w:p w14:paraId="5BCD85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68240E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декабря 1941 года</w:t>
      </w:r>
    </w:p>
    <w:p w14:paraId="7E011BB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приказом НКВ № 587с от 11 декабря 1941 года завод № 54 перенумерован в № 66 (9202).</w:t>
      </w:r>
    </w:p>
    <w:p w14:paraId="0B90F2B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2BBB849"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06999AA5"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DCE626A"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18 декабря </w:t>
      </w:r>
      <w:r w:rsidRPr="00640820">
        <w:rPr>
          <w:rFonts w:ascii="Times New Roman" w:hAnsi="Times New Roman"/>
          <w:color w:val="000000" w:themeColor="text1"/>
          <w:sz w:val="16"/>
          <w:szCs w:val="16"/>
        </w:rPr>
        <w:t>в 1941 году утреннее сообщение Совинформбюро:</w:t>
      </w:r>
    </w:p>
    <w:p w14:paraId="01A25860"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18 декабря наши войска вели бои с противником на всех фронтах.</w:t>
      </w:r>
    </w:p>
    <w:p w14:paraId="4C250283"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Войска генерала Рокоссовского, действующие на одном из участков Западного фронта, преодолевая упорное сопротивление противника, выбили немцев из ряда населённых пунктов. За день боёв наши части захватили 16 орудий, 67 автомашин, 5 пулемётов, много винтовок, гранат, авиабомб, мин, патронов и другие трофеи. На другом участке фронта наши части, овладев несколькими населёнными пунктами, захватили 10 немецких танков, 10 бронемашин, 7 складов с боеприпасами и много других военных материалов.</w:t>
      </w:r>
    </w:p>
    <w:p w14:paraId="42DE38CD"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несколько дней боёв на одном из участков Южного фронта наши бойцы истребили 3.200 немецких солдат и офицеров и захватили 15 орудий, 53 пулемёта, 11 миномётов и много боеприпасов. В одном из сражений артиллерийская батарея младшего лейтенанта Гцалова метким огнём орудий отбила контратаку противника. На поле боя осталось до 900 вражеских трупов.</w:t>
      </w:r>
    </w:p>
    <w:p w14:paraId="6235F446"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части, действующие на одном из участков Юго-Западного фронта, за один день освободили от немцев 70 населённых пунктов и захватили 28 пушек, 105 автомашин, 17 миномётов и много других трофеев. За этот же день гвардейцы тов. Руссиянова заняли 10 населённых пунктов.</w:t>
      </w:r>
    </w:p>
    <w:p w14:paraId="4AE91F89"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боях за Калинин советские войска разгромили немецкие 86 пехотную дивизию генерала Видгофа, 110 пехотную дивизию генерала Зехерта, 129 пехотную дивизию генерала Риттау, 161 пехотную дивизию генерала Вилка, 162 пехотную дивизию генерала Франке, 251 пехотную дивизию генерала Бурда.</w:t>
      </w:r>
    </w:p>
    <w:p w14:paraId="6C6B9924"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Лейтенант 1-й гвардейской танковой бригады тов. Матяж внезапно ворвался на танке в деревню Каминка и огнём из пулемёта расстрелял более 30 фашистов, раздавил гусеницами 10 полевых орудий, 1 противотанковое орудие и подбил 2 вражеских танка и тяжёлое орудие.</w:t>
      </w:r>
    </w:p>
    <w:p w14:paraId="76DEFA21"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Партизанские отряды Крыма продолжают успешную борьбу против немецких оккупантов. Партизанский отряд тов. X. забаррикадировал идущую над обрывом дорогу недалеко от селения Г. Когда немецкая автоколонна приблизилась к завалу, партизаны уничтожили гранатами головную и замыкающую машины. Фашистские оккупанты оказались в ловушке. Многие из них пытались спастись бегством в горы, но падали, сражённые меткими выстрелами партизан-снайперов. Бойцы партизанского отряда истребили 49 солдат и 2 офицеров, уничтожили 17 грузовых машин с различным военным грузом. Умело действует отряд тов. Ч. За несколько дней декабря партизанами сожжено 11 грузовиков с боеприпасами и продовольствием, перебито из засады до 60 фашистов.</w:t>
      </w:r>
    </w:p>
    <w:p w14:paraId="632EAE29"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Жители сёл и городов Московской области, освобождённых советскими войсками от немецких оккупантов, рассказывают о массовых грабежах и диких зверствах немецко-фашистских извергов. В деревнях Баранцево, Коретовка, Бакеево, Еремеево, Адуево, Сокольники и многих других немцы отняли у населения скот, птицу, одежду, все запасы муки, мяса, печёного хлеба. Фашисты безжалостно расстреляли тех, кто пытался протестовать против грабежа, произвола и насилия. Только в деревне Еремеево изверги расстреляли Забирошкина Прокофия, Забирошкину Марию, Макарову Анну, Страхова Сергея и Силину Екатерину. В сёлах Рождествено и Жевнево гитлеровские людоеды расстреляли 66-летнего колхозника Семерикова и 70-летнего колхозника Майорова. Колхозников Полунина и Мельникова заставили под сильным артиллерийским и миномётным обстрелом возить на санях обед на передовые позиции немцев. С колхозника Давыдова сняли валенки и босого заставили работать на строительстве укреплений. В селе Каменка немцы расстреляли колхозника Никиту Аводовского только за то, что он носил на голове старый красноармейский шлем. Жительница посёлка совхоза «Общественник» Ковалёва рассказывает: «Проклятые немцы заняли мой дом, а меня с 4-мя детьми выгнали на мороз. Я пыталась укрыться с детьми в окопе, но немецкие изверги выгнали и оттуда. Мою девятилетнюю дочь немецкий солдат застрелил только за то, что она вошла в дом, чтобы укрыться от холода, а мой грудной ребёнок замёрз у меня на руках».</w:t>
      </w:r>
    </w:p>
    <w:p w14:paraId="10DC4393"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Советское Информбюро 13 декабря сообщило, что немецкие и итальянские оккупанты вывозят из Греции все запасы продовольствия, хлопок, табак и сушёные фрукты. Германское информационное бюро 16 декабря было вынуждено сознаться, что продукты сельского хозяйства действительно вывозятся «из Греции в больших количествах». Беззастенчивый грабёж населения Греции фашистская пропаганда пытается прикрыть заявлениями о том, что «хлопок, табак и сушёные фрукты всегда вывозились из Греции, поскольку производство их намного превосходило потребление». К этому остаётся только добавить, что гитлеровские мастера по ограблению оккупированных ими стран поработали в Греции так, что население Греции обречено на голод и вымирание.» (14864).</w:t>
      </w:r>
    </w:p>
    <w:p w14:paraId="6D19085C" w14:textId="77777777" w:rsidR="006C1BE5" w:rsidRPr="00640820" w:rsidRDefault="006C1BE5" w:rsidP="00640820">
      <w:pPr>
        <w:spacing w:after="0" w:line="240" w:lineRule="auto"/>
        <w:jc w:val="both"/>
        <w:rPr>
          <w:rFonts w:ascii="Times New Roman" w:hAnsi="Times New Roman"/>
          <w:color w:val="000000" w:themeColor="text1"/>
          <w:sz w:val="16"/>
          <w:szCs w:val="16"/>
        </w:rPr>
      </w:pPr>
    </w:p>
    <w:p w14:paraId="7462A6D5"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18 декабря </w:t>
      </w:r>
      <w:r w:rsidRPr="00640820">
        <w:rPr>
          <w:rFonts w:ascii="Times New Roman" w:hAnsi="Times New Roman"/>
          <w:color w:val="000000" w:themeColor="text1"/>
          <w:sz w:val="16"/>
          <w:szCs w:val="16"/>
        </w:rPr>
        <w:t>в 1941 году вечернее сообщение Совинформбюро:</w:t>
      </w:r>
    </w:p>
    <w:p w14:paraId="07A72B80"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18 декабря наши войска вели бои с противником на всех фронтах. На ряде участков Западного, Калининского и Юго-Западного фронтов наши войска, ведя ожесточённые бои с противником, продолжали продвигаться вперёд и заняли ряд населённых пунктов.</w:t>
      </w:r>
    </w:p>
    <w:p w14:paraId="333C7331"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17 декабря уничтожено 7 немецких самолётов. Наши потери — 1 самолёт.</w:t>
      </w:r>
    </w:p>
    <w:p w14:paraId="311BE04A"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18 декабря под Москвой сбито 3 самолёта противника.</w:t>
      </w:r>
    </w:p>
    <w:p w14:paraId="15784749"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17 декабря наша авиация уничтожила и повредила 16 немецких танков, 2 бронемашины, около 730 автомашин с войсками и грузами, уничтожила 28 полевых орудий с прислугой, 5 зенитных орудий, свыше 470 повозок с боеприпасами, 2 штабных автобуса, подожгла 10 железнодорожных составов, истребила или рассеяла три полка вражеской пехоты.</w:t>
      </w:r>
    </w:p>
    <w:p w14:paraId="42536B2D"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декабря Совинформбюро сообщило о взятии нашими войсками г. Алексин. По предварительным данным, при занятии города захвачены следующие трофеи: орудий — 73, танков — 6, танкеток — 2, тягачей — 7, автомобилей — 265, мотоциклов — 16, миномётов — 58, пулемётов — 56, автоматов — 47, винтовок — 897, винтовочных патронов — более 700.000, мин — 4.000, лошадей — 110. В районе г. Алексин немцы потеряли только убитыми 1.000 солдат и офицеров.</w:t>
      </w:r>
    </w:p>
    <w:p w14:paraId="154364E8"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Части генерала Белова, действующие на одном из участков Западного фронта, за один день боёв захватили 31 немецкий танк, 35 орудий, 47 автомашин, более 2.000 снарядов и много других боеприпасов.</w:t>
      </w:r>
    </w:p>
    <w:p w14:paraId="5582DDAA"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другом участке Западного фронта наши бойцы за день боёв захватили 32 противотанковых орудия, 106 автомашин, 3 танка, 14 станковых пулемётов, склад с боеприпасами и склад с военным имуществом.</w:t>
      </w:r>
    </w:p>
    <w:p w14:paraId="187EA43E"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части, действующие па одном из участков Западного фронта, за один день боёв выбили немцев из 24 населённых пунктов, истребили батальон вражеской пехоты и захватили танк, 33 автомашины, 13 орудий, 15 пулемётов и много винтовок.</w:t>
      </w:r>
    </w:p>
    <w:p w14:paraId="4D6F9E10"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Экипаж танка, которым командует лейтенант Салодубов, вступил в бой с пятью вражескими танками. Отважные советские танкисты подбили 3 немецких машины, остальные обратились в бегство.</w:t>
      </w:r>
    </w:p>
    <w:p w14:paraId="4E0FA6DA"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Партизаны Днепропетровской области 13 декабря взорвали недалеко от станции В. поезд с военным грузом и солдатами противника. Уничтожено до 40 солдат, 12 орудий, 4 танка, 15 грузовых автомашин и 7 мощных прожекторов. Партизанский отряд тов. Д. взорвал грузовую машину с немецкими солдатами в момент переезда через полотно железной дороги. Убито и ранено 17 немцев. Движение немецких воинских эшелонов было задержано на 4 часа. Партизаны, горняки Кривого Рога, минировали дорогу, по которой двигался большой обоз немецких оккупантов. Фашисты потеряли два грузовика с орудиями и три повозки с продовольственным грузом.</w:t>
      </w:r>
    </w:p>
    <w:p w14:paraId="4980C745"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Несмотря на дикие зверства и насилия, которые немецкие и итальянские оккупанты чинят над мирным населением Югославии, борьба югославских патриотов с фашистскими захватчиками всё более разгорается. Даже вдоль и поперёк изолгавшееся Германское информационное бюро в сообщении 16 декабря признаёт, что «внутренние районы Сербии» находятся в руках партизан. Неподалёку от Нови-Пазар партизаны наголову разбили карательную экспедицию немецких фашистов. Во время боя убито 143 и ранено 211 немцев. В районе Ужице партизаны окружили селение, в котором немецкие штурмовики грабили местных жителей. Фашисты в панике бежали, бросая оружие. Партизаны, открыв огонь, истребили около 70 оккупантов.</w:t>
      </w:r>
    </w:p>
    <w:p w14:paraId="6C69863E"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Колхозники и колхозницы советской страны с большим подъёмом борются за высокий урожай 1942 года. Тысячи колхозников Алтая вышли на поля для проведения работ по снегозадержанию. В прошлом году колхозы задержали снег на площади в 919 тысяч гектаров. Теперь снегозадержание проводится на площади в 1.300 тысяч гектаров. Успешно готовятся к севу машинно-тракторные станции Якутской АССР. Намская, Нюрбинская и другие станции уже закончили текущий ремонт тракторов. Колхозники сельхозартели имени Сталина, Мегино-Кангаласского района, обязались собрать в будущем году до 100 пудов зерна с каждого гектара. Они значительно перевыполнили план вывоза навоза и заготовили большое количество золы. Колхозники Казахстана расширяют площадь орошаемых земель и используют их под технические культуры, имеющие оборонное значение. В Южно-Казахстанской области на очистку и расширение каналов на неиспользованных землях вышли тысячи колхозников. Освоение новых участков даст возможность увеличить посевы хлопка и сахарной свёклы в 1942 году на 10 процентов. В Южном Казахстане успешно проводятся зимние влагозарядные поливы земель, предназначенных под посевы хлопка и люцерны. Полито уже свыше 61 тысячи гектаров.»</w:t>
      </w:r>
    </w:p>
    <w:p w14:paraId="274FF31C"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последний час.</w:t>
      </w:r>
    </w:p>
    <w:p w14:paraId="412E32F1"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Трофеи войск Западного фронта за период с 11 по 17 декабря.</w:t>
      </w:r>
    </w:p>
    <w:p w14:paraId="2465231D"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сводке Совинформбюро от 13 декабря сообщалось о трофеях войск Западного фронта за период с 16 ноября по 10 декабря. В настоящей сводке сообщается о трофеях войск Западного фронта за период от 11 по 17 декабря. Всего за это время захвачено у противника: самолётов — 8, танков — 319, бронемашин — 48, орудий — 484, миномётов — 231, пулемётов — 659, автоматов — 1.093, автомашин — 3.729, мотоциклов — 440. За период от 11 по 17 декабря всего на Западном фронте уничтожено до 22.000 немецких солдат и офицеров.» (14864).</w:t>
      </w:r>
    </w:p>
    <w:p w14:paraId="5700E806" w14:textId="77777777" w:rsidR="006C1BE5" w:rsidRPr="00640820" w:rsidRDefault="006C1BE5" w:rsidP="00640820">
      <w:pPr>
        <w:spacing w:after="0" w:line="240" w:lineRule="auto"/>
        <w:jc w:val="both"/>
        <w:rPr>
          <w:rFonts w:ascii="Times New Roman" w:hAnsi="Times New Roman"/>
          <w:color w:val="000000" w:themeColor="text1"/>
          <w:sz w:val="16"/>
          <w:szCs w:val="16"/>
        </w:rPr>
      </w:pPr>
    </w:p>
    <w:p w14:paraId="58D21BE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декабря 1941 года в бой за Севастополь вступили ДБ-3Ф из эскадрильи капитана Ф.М. Чумичова и два звена Пе-2. Однако из-за того, что немецкая артиллерия простреливала аэродром, самолеты отвели на Кубань. Поскольку пилотов было больше чем машин, каждый самолет в сутки проводил в воздухе по 12-15 часов (2691).</w:t>
      </w:r>
    </w:p>
    <w:p w14:paraId="0F8437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E4726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декабря 1941 воссоздали БФ и его ВВС из 3 ад (г Ф.П.Полынин) + для усиления - 4РАГ п Ю.А.Немцевича (341,85).</w:t>
      </w:r>
    </w:p>
    <w:p w14:paraId="6AA9516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CA5CE8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декабря 1941 началось новое наступление ЗФ. Наступали 33 и 43А и каждую поддерживала ад. Правое крыло освободило Волоколамск и 21 декабря вышли на рубеж р Лама и Руза, где встретили сопротивление. Поддерживала АГ г Е.М.Николаенко и действовала по коммуникациям в районе Клин-Теряево и западнее Волоколамска. На левом крыле ЗФ противник отходил в направлении Калуги и Белева. всего авиация выполнила 380 вылетов на 8 дней. 28 ад передали в оперативное подчинение 1ГКК. Всего для содействия ЗФ с 17 по 24 декабря выполнили 2360 вылетов (341,85).</w:t>
      </w:r>
    </w:p>
    <w:p w14:paraId="7FF24F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DEDC9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December 18, 1941: Field Marshal von Brauchitsch resigns as head of OKH, Hitler himself assuming personal command of the Heer, especially of its operations on the Eastern front (3819).</w:t>
      </w:r>
    </w:p>
    <w:p w14:paraId="766141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0C1631C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декабря 1941 фельдмаршал фон Браухич, ГК, подал в отставку и А.Г. стал ГК (3819).</w:t>
      </w:r>
    </w:p>
    <w:p w14:paraId="4A7F9B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C775D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18-25 декабря 1941 БФ разгромил противостоящую группировку и вышел на рубеж Орловка, Липицы, Верховье (341,86).</w:t>
      </w:r>
    </w:p>
    <w:p w14:paraId="2A5766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5F8D1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декабря 1941 вышло Постановление ГКО № 1041 О сформировании Литовской стрелковой дивизии. РГАНИР, Фонд ГКО, д. 16, лл. 120 (11012).</w:t>
      </w:r>
    </w:p>
    <w:p w14:paraId="6579AD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7F776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декабря 1941 вышло Постановление ГКО № 1042 О сформировании Эстонской стрелковой дивизии. РГАНИР, Фонд ГКО, д. 16, лл. 121 (11012).</w:t>
      </w:r>
    </w:p>
    <w:p w14:paraId="3B8993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7E298B4"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3B08E970"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FF0426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декабря 1941 англичане бомбили немецкие Шарнхорст и Гнейзенау (2260).</w:t>
      </w:r>
    </w:p>
    <w:p w14:paraId="1F3160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45040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декабря 1941 японцы захватили Гуам (2100).</w:t>
      </w:r>
    </w:p>
    <w:p w14:paraId="55BFCB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9ECCF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декабря 1941 японцы высадились в Гонконге (2260).</w:t>
      </w:r>
    </w:p>
    <w:p w14:paraId="4CED8B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007A9ED"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Style w:val="ucoz-forum-post"/>
          <w:rFonts w:ascii="Times New Roman" w:hAnsi="Times New Roman"/>
          <w:bCs/>
          <w:color w:val="000000" w:themeColor="text1"/>
          <w:sz w:val="16"/>
          <w:szCs w:val="16"/>
        </w:rPr>
        <w:t xml:space="preserve">18 декабря </w:t>
      </w:r>
      <w:r w:rsidRPr="00640820">
        <w:rPr>
          <w:rFonts w:ascii="Times New Roman" w:hAnsi="Times New Roman"/>
          <w:color w:val="000000" w:themeColor="text1"/>
          <w:sz w:val="16"/>
          <w:szCs w:val="16"/>
        </w:rPr>
        <w:t>в 1941 году японские войска высадились в Гонконге (14864).</w:t>
      </w:r>
    </w:p>
    <w:p w14:paraId="510EC5B5" w14:textId="77777777" w:rsidR="006C1BE5" w:rsidRPr="00640820" w:rsidRDefault="006C1BE5" w:rsidP="00640820">
      <w:pPr>
        <w:spacing w:after="0" w:line="240" w:lineRule="auto"/>
        <w:jc w:val="both"/>
        <w:rPr>
          <w:rFonts w:ascii="Times New Roman" w:hAnsi="Times New Roman"/>
          <w:color w:val="000000" w:themeColor="text1"/>
          <w:sz w:val="16"/>
          <w:szCs w:val="16"/>
        </w:rPr>
      </w:pPr>
    </w:p>
    <w:p w14:paraId="3EC39E13"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71941943"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99A21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декабря 1941 вышел приказ НКАП N 1174сс в исполнение постановления ГКО N 1014сс:</w:t>
      </w:r>
    </w:p>
    <w:p w14:paraId="090F25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"...организовать отправку самолетов по железной дороге в следующих направлениях:</w:t>
      </w:r>
    </w:p>
    <w:p w14:paraId="251938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самолеты ДБ-3Ф завода 126 (Комсомольск), Пе-2 завода 39 (Иркутск) и самолета 103 завода 166 (Омск) направлять для сборки в Казань.</w:t>
      </w:r>
    </w:p>
    <w:p w14:paraId="539D41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самолеты ЛаГГ-3 и Як-1 завода 153 (Новосибирск) направлять для сборки во Владимир</w:t>
      </w:r>
    </w:p>
    <w:p w14:paraId="52DE89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самолеты Як-1 завода 292 (Саратов), самолеты Ил-2 и МиГ-2 заводов 1 и 18 (Куйбышев) и самолеты ЛаГГ-3 завода 21 (Горький) направлять для сборки в Раменское (1328,43).</w:t>
      </w:r>
    </w:p>
    <w:p w14:paraId="3E4BEB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Есть мнение, что этим приказом и постановлением серийное производство 103 переводилось в Казань на завод 22 и туда должны были поехать специалисты и быть направлен задел со 166 завода (1835,19).</w:t>
      </w:r>
    </w:p>
    <w:p w14:paraId="018CD4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2BBAC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декабря 1941 НКАП отдал приказ об отправке самолетов, прошедших полный цикл наземных испытаний (отстрел вооружения, опробование моторов и систем) под Москву. Самолеты перевозили вначале в ящиках, а затем просто на платформах с отстыкованными для перевозки по железной дороге крыльями. На новом месте машины быстро собирали, облетывали и немедленно вручали заказчику - ВВС КА. Всего с 6 по 21 января было отгружено для последующей сборки и облета 110 самолетов (20 машин было отправлено в адрес ЦАГИ (Раменское), 10 на завод № 301 (Химки) и 80 на завод № 30 (Пресня) ГАСО ф.Р-1261 оп.З д.218). В процессе продвижения эшелонов их груз переадресовали. Фактически самолеты поступили только на завод № 30 (74 машины) и № 301 (36 машин). Все самолеты были отправлены в части (40 в январе и 69 в феврале), за исключением одного, задержавшегося на заводе № 30 из-за замены мотора (12048).</w:t>
      </w:r>
    </w:p>
    <w:p w14:paraId="44DB7D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3722B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декабря 1941 г. вышло соответствующее постановление ГКО о производстве новых бомбардировщиков "103С" с моторами АМ-37 на заводе № 124 в Казани. На площадку этого предприятия осенью 1941 г. эвакуировали из Москвы завод № 22, строивший пикировщики Пе-2. Наркомат дал туполевцам только десять дней на копирование всей документации. В начале января 1942 г. Туполев с группой конструкторов побывал в Казани. Но в условиях больших потерь на фронте наркомат не рискнул пожертвовать выпуском Пе-2. Заводы № 124 и № 22 слили в один, который продолжал строить пикировщики до самого конца войны. Кроме того, ставка на "103У" являлась дорогой в тупик. Дело в том, что исключительная важность, придаваемая штурмовикам Ил-2, привела к тому, что моторов АМ-38 требовалось все больше. Увеличить их выпуск проще всего было за счет свертывания сборки сходных АМ-35А. Так и сделали. А необходимые для "103У" АМ-37 просто не стали запускать в крупносерийное производство. Зато в Молотове на заводе № 19 скопились сотни невостребованных двигателей М-82А (11988).</w:t>
      </w:r>
    </w:p>
    <w:p w14:paraId="3DECA2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A2A521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19 декабря 1941 из-за недостачи запасных частей и деталей во фрон</w:t>
      </w:r>
      <w:r w:rsidRPr="00640820">
        <w:rPr>
          <w:rFonts w:ascii="Times New Roman" w:hAnsi="Times New Roman"/>
          <w:color w:val="000000" w:themeColor="text1"/>
          <w:sz w:val="16"/>
          <w:szCs w:val="16"/>
        </w:rPr>
        <w:softHyphen/>
        <w:t>товых рембазах и тыловых мастерских скопилось тогда более 2000 самолетов и 5000 моторов. Несмот</w:t>
      </w:r>
      <w:r w:rsidRPr="00640820">
        <w:rPr>
          <w:rFonts w:ascii="Times New Roman" w:hAnsi="Times New Roman"/>
          <w:color w:val="000000" w:themeColor="text1"/>
          <w:sz w:val="16"/>
          <w:szCs w:val="16"/>
        </w:rPr>
        <w:softHyphen/>
        <w:t>ря на огромные усилия, положение не удалось улуч</w:t>
      </w:r>
      <w:r w:rsidRPr="00640820">
        <w:rPr>
          <w:rFonts w:ascii="Times New Roman" w:hAnsi="Times New Roman"/>
          <w:color w:val="000000" w:themeColor="text1"/>
          <w:sz w:val="16"/>
          <w:szCs w:val="16"/>
        </w:rPr>
        <w:softHyphen/>
        <w:t>шить до конца зимы. Особенно плохо обстояло дело с восстановлением той авиатехники, которую пре</w:t>
      </w:r>
      <w:r w:rsidRPr="00640820">
        <w:rPr>
          <w:rFonts w:ascii="Times New Roman" w:hAnsi="Times New Roman"/>
          <w:color w:val="000000" w:themeColor="text1"/>
          <w:sz w:val="16"/>
          <w:szCs w:val="16"/>
        </w:rPr>
        <w:softHyphen/>
        <w:t>кратили выпускать серийно (9984).</w:t>
      </w:r>
    </w:p>
    <w:p w14:paraId="049D1F5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C92427"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317CBF31"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9BF78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декабря 1941 вышло Постановление ГКО № 1043 О плане производства танков в I квартале 1942 года. РГАНИР, Фонд ГКО, д. 16, лл. 122-126, 127-135 (11012).</w:t>
      </w:r>
    </w:p>
    <w:p w14:paraId="6171DA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7D4272F" w14:textId="77777777" w:rsidR="003C65D8" w:rsidRPr="00640820" w:rsidRDefault="003C65D8" w:rsidP="00640820">
      <w:pPr>
        <w:pStyle w:val="Bodytext141"/>
        <w:shd w:val="clear" w:color="auto" w:fill="auto"/>
        <w:spacing w:line="240" w:lineRule="auto"/>
        <w:ind w:firstLine="0"/>
        <w:jc w:val="both"/>
        <w:rPr>
          <w:i w:val="0"/>
          <w:color w:val="000000" w:themeColor="text1"/>
          <w:sz w:val="16"/>
          <w:szCs w:val="16"/>
        </w:rPr>
      </w:pPr>
      <w:r w:rsidRPr="00640820">
        <w:rPr>
          <w:i w:val="0"/>
          <w:color w:val="000000" w:themeColor="text1"/>
          <w:sz w:val="16"/>
          <w:szCs w:val="16"/>
        </w:rPr>
        <w:t>19 декабря 1941 вышло постановление ГКО № 1043с «О плане производства танков в I квартале 1942 года», согласно которому завод № 37 за первые три месяца следующего года должен был выпустить 700 танков, из них 140 радийных. Согласно под</w:t>
      </w:r>
      <w:r w:rsidRPr="00640820">
        <w:rPr>
          <w:i w:val="0"/>
          <w:color w:val="000000" w:themeColor="text1"/>
          <w:sz w:val="16"/>
          <w:szCs w:val="16"/>
        </w:rPr>
        <w:softHyphen/>
        <w:t>писанному с заводом договору, стоимость линейного Т-60 составляла 72 500 рублей, стоимость радийного танка оценивалась в 75 000 рублей. Между тем в конце декабря завод еще не был готов к такому объему производства (17485).</w:t>
      </w:r>
    </w:p>
    <w:p w14:paraId="50F035C0" w14:textId="77777777" w:rsidR="003C65D8" w:rsidRPr="00640820" w:rsidRDefault="003C65D8" w:rsidP="00640820">
      <w:pPr>
        <w:pStyle w:val="Bodytext141"/>
        <w:shd w:val="clear" w:color="auto" w:fill="auto"/>
        <w:spacing w:line="240" w:lineRule="auto"/>
        <w:ind w:firstLine="0"/>
        <w:jc w:val="both"/>
        <w:rPr>
          <w:i w:val="0"/>
          <w:color w:val="000000" w:themeColor="text1"/>
          <w:sz w:val="16"/>
          <w:szCs w:val="16"/>
        </w:rPr>
      </w:pPr>
    </w:p>
    <w:p w14:paraId="2A4AF45F"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декабря 1941 года вышел Приказ НКБ № 694</w:t>
      </w:r>
    </w:p>
    <w:p w14:paraId="188DB063"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Переданный из Наркомата танковой промышленности Челябинский станкозавод зачислить в число действующих предприятий НКБ и присвоить номер 549 (5681, 244).</w:t>
      </w:r>
    </w:p>
    <w:p w14:paraId="0EB49192"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414C14"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декабря 1941</w:t>
      </w:r>
    </w:p>
    <w:p w14:paraId="24108464"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РГАЭ Фонд 8752 Опись 4 Дело 7 лист 93 – 95</w:t>
      </w:r>
    </w:p>
    <w:p w14:paraId="28B3C41A"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кс. 19.XII. 728.</w:t>
      </w:r>
    </w:p>
    <w:p w14:paraId="1376CFC5"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 секретно. </w:t>
      </w:r>
    </w:p>
    <w:p w14:paraId="500D867E"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Срочно. </w:t>
      </w:r>
    </w:p>
    <w:p w14:paraId="31ED6604"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"Снятие копий категорически воспрещается"</w:t>
      </w:r>
    </w:p>
    <w:p w14:paraId="7B6F83E9"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w:t>
      </w:r>
    </w:p>
    <w:p w14:paraId="00248765"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НАРОДНОГО КОМИССАРА ТАНКОВОЙ ПРОМЫШЛЕННОСТИ СОЮЗА ССР</w:t>
      </w:r>
    </w:p>
    <w:p w14:paraId="146AEA03"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95сс</w:t>
      </w:r>
    </w:p>
    <w:p w14:paraId="64A03108"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Челябинск</w:t>
      </w:r>
    </w:p>
    <w:p w14:paraId="7085F419"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декабря 1941 г.</w:t>
      </w:r>
    </w:p>
    <w:p w14:paraId="5DF26096"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частичное изменение приказа по Наркомтанкопрому № 42-сс от 29 ноября 1941 г., ПРИКАЗЫВАЮ: </w:t>
      </w:r>
    </w:p>
    <w:p w14:paraId="36703DEC"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Организовать на базе эвакуированного оборудования цеха огнеметов Люберецкого завода и части завода "Комсомолец" – завод огнеметов Наркомтанкопрома, присвоив ему № 222 с местоположением: ст. Тогузак Кустанайского района Челябинской области. </w:t>
      </w:r>
    </w:p>
    <w:p w14:paraId="0B046200"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Назначить главным конструктором завода огнеметов № 222 тов. Аристова И.А. </w:t>
      </w:r>
    </w:p>
    <w:p w14:paraId="4230569E"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Завод огнеметов Наркомтанкопрома № 222 подчинить непосредственно мне. </w:t>
      </w:r>
    </w:p>
    <w:p w14:paraId="5377C337"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Утвердить следующую программу производства огнеметов по заводу № 222: </w:t>
      </w:r>
    </w:p>
    <w:p w14:paraId="3488EA53"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с 25 декабря по 1 января 20 огнеметов из задела, привезенного с Люберецкого завода; </w:t>
      </w:r>
    </w:p>
    <w:p w14:paraId="039247B9"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на январь 1942 г. – 200 огнеметов по следующему графику: </w:t>
      </w:r>
    </w:p>
    <w:p w14:paraId="1DD64852"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 по 10 – по 2 огнемета ежедневно </w:t>
      </w:r>
    </w:p>
    <w:p w14:paraId="40A12989"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10 по 20 – по 7 огнеметов ежедневно </w:t>
      </w:r>
    </w:p>
    <w:p w14:paraId="01C34C02"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20 по 31 – по 10 огнеметов ежедневно </w:t>
      </w:r>
    </w:p>
    <w:p w14:paraId="3C479708"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 в дальнейшем на уровне 15 штук ежедневно. </w:t>
      </w:r>
    </w:p>
    <w:p w14:paraId="2179F17E"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Обязать: </w:t>
      </w:r>
    </w:p>
    <w:p w14:paraId="5E32223F"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Начальника Транспортного отдела Наркомата т. Косолапова обеспечить при всех условиях доставку оборудования Люберецкого завода на завод № 222 к 20 декабря с.г. до ст. Тогузак. </w:t>
      </w:r>
    </w:p>
    <w:p w14:paraId="4458C2EC"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Начальнику Главснаба т. Розину немедленно перебросить заводу № 222 из Челябинска из наличия Главснаба грузовых машин ЗИС-5 – 3 штуки, ГАЗ-АА – 1 шт., тракторов ЧТЗ – 2 шт., легковую машину КИМ-10 в распоряжение директора завода и главного инженера – 1 шт. </w:t>
      </w:r>
    </w:p>
    <w:p w14:paraId="1C3AB120"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Начальнику Главснаба – т. Розину направить заводу № 222 необходимое количество материалов и электрооборудования для монтажа оборудования и производства. Кроме того, к 1 января завести на завод № 222 необходимое количество материалов и покупных изделий на всю программу января месяца. </w:t>
      </w:r>
    </w:p>
    <w:p w14:paraId="12A9E6DA"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Начальнику ОКС т. Корневу и нач. Финансового отдела т. Шагалову немедленно выделить на строительство и монтаж оборудования в декабре месяце 500 т.р. для восстановления завода № 222. </w:t>
      </w:r>
    </w:p>
    <w:p w14:paraId="1B0A04F3"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Обязать начальника ОКС т. Корнева и начальника Главснаба т. Розина в течение 10 дней выделить и обеспечить подвоз необходимого количества строительных материалов (лес, кирпич, электрооборудование, толь, стекло), необходимых для восстановления завода № 222. </w:t>
      </w:r>
    </w:p>
    <w:p w14:paraId="6A6CAA41"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Начальнику Отдела труда и зарплаты т. Крупышеву и начальнику ОКС т. Корневу в декадный срок направить на завод № 222 100 чел. строительных рабочих и 200 чел., окончивших ремесленные школы для работы на производстве по специальностям, указанным директором завода. </w:t>
      </w:r>
    </w:p>
    <w:p w14:paraId="65CC607E"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Обязать зам. начальника Производственного отдела тов. Давтян в пятидневный срок разместить на заводах Наркомата заказы на литье, поковки и штамповки, необходимые для производства огнеметов, а директорам заводов обеспечить изготовление поковок, штамповок и стального литья в сроки, обеспечивающие выполнение установленного графика по выпуску огнеметов. </w:t>
      </w:r>
    </w:p>
    <w:p w14:paraId="6C9EBCA7"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Возложить персональную ответственность за организацию завода огнеметов на зам. начальника производственного отдела т. Давтян и ведущего инженера т. Юрасова. </w:t>
      </w:r>
    </w:p>
    <w:p w14:paraId="20B84EAD"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Возложить персональную ответственность за обеспечение необходимого капитального строительства и восстановление завода (восстановление сгоревшего цеха и установка дополнительного дизеля) на начальника ОКС т. Корнева и начальника механо-энергетического отдела т. Бунцельман, которым немедленно выехать на место и на месте разрешить все вопросы по обеспечению работы завода огнеметов. </w:t>
      </w:r>
    </w:p>
    <w:p w14:paraId="59AF0E00"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Разрешить директору завода № 222 применять для рабочих и мастеров обязательные сверхурочные часы по 3 часа ежедневно и обязательную работу в выходные дни. </w:t>
      </w:r>
    </w:p>
    <w:p w14:paraId="2BB8F6F5"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Установить, что за выполнение графика, утвержденного мною по производству огнеметов, директор завода и главный инженер премируются двухмесячным окладом. Выделить в распоряжение директора завода № 222 для премирования наиболее отличившихся инженерно-технических работников и рабочих – 50 т.р. в декабре и 75 т.р. в январе месяце. </w:t>
      </w:r>
    </w:p>
    <w:p w14:paraId="71E6F07D"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Утвердить директору завод № 222 оклад – 1800 р., главному инженеру – 1800 р., главному конструктору – 1800 р.</w:t>
      </w:r>
    </w:p>
    <w:p w14:paraId="43A4E34C"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п/п Народный Комиссар Танковой Промышленности СССР – Малышев.</w:t>
      </w:r>
    </w:p>
    <w:p w14:paraId="27B0A610"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Отп. 15 экз. </w:t>
      </w:r>
    </w:p>
    <w:p w14:paraId="3EDF8A48"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Верно: подпись и печать НКТП СССР</w:t>
      </w:r>
    </w:p>
    <w:p w14:paraId="20C8B729"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(18194).</w:t>
      </w:r>
    </w:p>
    <w:p w14:paraId="4F2772EA" w14:textId="77777777" w:rsidR="008473BD" w:rsidRPr="00640820" w:rsidRDefault="008473BD" w:rsidP="00640820">
      <w:pPr>
        <w:spacing w:after="0" w:line="240" w:lineRule="auto"/>
        <w:jc w:val="both"/>
        <w:rPr>
          <w:rFonts w:ascii="Times New Roman" w:hAnsi="Times New Roman"/>
          <w:color w:val="000000" w:themeColor="text1"/>
          <w:sz w:val="16"/>
          <w:szCs w:val="16"/>
        </w:rPr>
      </w:pPr>
    </w:p>
    <w:p w14:paraId="37705EBD"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декабря 1941</w:t>
      </w:r>
    </w:p>
    <w:p w14:paraId="6CEF496E"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РГАЭ Фонд 8752 Опись 4 Дело 7 лист 98 – 100</w:t>
      </w:r>
    </w:p>
    <w:p w14:paraId="32E0F9D2"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 22.XII. 755.</w:t>
      </w:r>
    </w:p>
    <w:p w14:paraId="7BDCC6AD"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Секретно. </w:t>
      </w:r>
    </w:p>
    <w:p w14:paraId="5FBECF6F"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"Снятие копий категорически воспрещается"</w:t>
      </w:r>
    </w:p>
    <w:p w14:paraId="3628C771"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w:t>
      </w:r>
    </w:p>
    <w:p w14:paraId="55780607"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НАРОДНОГО КОМИССАРА ТАНКОВОЙ ПРОМЫШЛЕННОСТИ СОЮЗА ССР</w:t>
      </w:r>
    </w:p>
    <w:p w14:paraId="788C1B6C"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97с</w:t>
      </w:r>
    </w:p>
    <w:p w14:paraId="3204F91E"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Челябинск.</w:t>
      </w:r>
    </w:p>
    <w:p w14:paraId="03D5C98C"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19-го декабря 1941 г.</w:t>
      </w:r>
    </w:p>
    <w:p w14:paraId="3BA1A493"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Кировский завод – зам. директора тов. КИЗЕЛЬШТЕЙН и главный инженер по моторному производству т. Невяжский; завод № 76 – директор т. Кочетков и главный инженер т. Десфонтейнес; СТЗ – директор т. Горегляд и главный инженер т. Демьянович не выполнили в первой половине декабря 1941 года плана выпуска танковых дизельмоторов. </w:t>
      </w:r>
    </w:p>
    <w:p w14:paraId="43337564"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Вследствие невыполнения перечисленными заводами плана по выпуску дизельмоторов танковые заводы не только не обеспечены в декабре 1941 г. минимальными переходящими заделами дизельмоторов, но находятся под угрозой срыва выпуска танков, если немедленно моторостроительные заводы резко не увеличат выпуск моторов. </w:t>
      </w:r>
    </w:p>
    <w:p w14:paraId="282B5CF0"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Ижорский завод (директор т. Музруков) – сорвал подачу заводу № 76 алюминиевого литья и штамповок, так: за 1-ю декаду декабря 41 г. им подано только 16 комплектов алюминиевого литья из 475 комплектов, предусмотренных планом поставки в декабре 41 г. </w:t>
      </w:r>
    </w:p>
    <w:p w14:paraId="22993456"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Кировский завод – зам. дир. т. Кизельштейн и главный инженер по моторному производству т. Невяжский не выполнили полностью задание по поставке заводу № 76 заготовок и готовых деталей. </w:t>
      </w:r>
    </w:p>
    <w:p w14:paraId="6A799637"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Директора заводов: т.т. Зальцман, Горегляд и Кочетков и главные инженеры т.т. Невяжский, Десфонтейнес и Демьянович крайне медленно, для военного времени, разворачивали производство дизельмоторов. </w:t>
      </w:r>
    </w:p>
    <w:p w14:paraId="5584A70D"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целях увеличения выпуска танковых дизельмоторов и дальнейшего наращения мощностей по выпуску дизельмоторов Кировским заводом и заводом № 76, – ПРИКАЗЫВАЮ: </w:t>
      </w:r>
    </w:p>
    <w:p w14:paraId="5D098D37"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заводу № 76: </w:t>
      </w:r>
    </w:p>
    <w:p w14:paraId="527B5B9C"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Директору Кировского завода т. Зальцман в частичное изменение пункта "1" § 2 приказа НКТП № 36с от 22.XI-41 г. в части поставок заготовок и готовых деталей производить поставку заготовок и литья основных деталей заводу в декабре с.г. и январе 1942 г. по графику, при сем прилагаемому. </w:t>
      </w:r>
    </w:p>
    <w:p w14:paraId="61764756"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2. Директору комбината т. Зальцман и директору Ижорского завода т. Музрукову: </w:t>
      </w:r>
    </w:p>
    <w:p w14:paraId="119B9C04"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выделить цех цветного литья Ижорского завода с самостоятельный цех с подчинением его непосредственно главному металлургу завода; </w:t>
      </w:r>
    </w:p>
    <w:p w14:paraId="19BCFCE7"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в 20-дневный срок изготовить и смонтировать в цехе цветного литья дополнительно 2 автоклава; </w:t>
      </w:r>
    </w:p>
    <w:p w14:paraId="023EED48"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обеспечить немедленное получение 3-х формовочных машин и их монтаж в цехе цветного литья, выделенных распоряжением СНК СССР Ижорскому заводу из оборудования Орджоникидзеградского сталелитейного завода; </w:t>
      </w:r>
    </w:p>
    <w:p w14:paraId="4321A1F2"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отгрузить из литейного цеха Кировского завода заводу № 76 4 комплекта жакетов для головок и рубашек и дублеры кокилей, а также откомандировать для постоянной работы в цветно-литейной Ижорского завода 4-х мастеров литейщиков; </w:t>
      </w:r>
    </w:p>
    <w:p w14:paraId="7C4EA2FF"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 передать заводу № 76 – 60 станков, из прибывающих с Краматорского станкозавода по спецификации завода № 76. </w:t>
      </w:r>
    </w:p>
    <w:p w14:paraId="6FCFF88F"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Начальнику отдела труда т. Крупышеву в 10-дневный срок обеспечить перевод с завода "Станколит" Ижорскому заводу для цеха цветного литья 150 чел. рабочих специальностей: формовщиков, стерженщиков и заливщиков. </w:t>
      </w:r>
    </w:p>
    <w:p w14:paraId="187F83C2"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Возложить персональную ответственность за выполнение программы по цветному литью и штамповкам в декабре с.г. и январе 1942 г. для завода № 76 на заместителя главного инженера Ижорского завода тов. Исаева, начальника цеха цветного литья т. Станишевского и начальника кузницы тов. Левандовского. </w:t>
      </w:r>
    </w:p>
    <w:p w14:paraId="6EEE5C0D"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Установить, что за выполнение программы, установленной приказом НКТП № 36с от 22.XI в декабре мес. с.г. и январе 1942 г. по цветному литью и штамповкам для завода № 76 т.т. Исаев, Станишевский и Левандовский будут премированы в размере 3000 руб. каждый, и в распоряжение директора завода т. Музрукова будут выделены 30.000 рублей для премирования рабочих и ИТР цветно-литейного и кузнечного цехов. </w:t>
      </w:r>
    </w:p>
    <w:p w14:paraId="494E4FDD"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СТЗ: </w:t>
      </w:r>
    </w:p>
    <w:p w14:paraId="5C5AB5EA"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Директору Кировского завода т. Зальцман: </w:t>
      </w:r>
    </w:p>
    <w:p w14:paraId="1F01A9AD"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отгрузить Сталинградскому тракторному заводу: </w:t>
      </w:r>
    </w:p>
    <w:p w14:paraId="1DD71942"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w:t>
      </w:r>
    </w:p>
    <w:p w14:paraId="5FF0B06C"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Штамповок коленвалов (немедленно с проводником) – 100 шт. </w:t>
      </w:r>
    </w:p>
    <w:p w14:paraId="2FAD08F6"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Топливных насосов – 100 шт. </w:t>
      </w:r>
    </w:p>
    <w:p w14:paraId="1C3D8429"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Форсунок – 100 компл. </w:t>
      </w:r>
    </w:p>
    <w:p w14:paraId="7F03D49C"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январе 1942 г.</w:t>
      </w:r>
    </w:p>
    <w:p w14:paraId="51005BF5"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Штамповок коленвалов – 450 шт. </w:t>
      </w:r>
    </w:p>
    <w:p w14:paraId="15D4A671"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Топливных насосов – 250 шт. </w:t>
      </w:r>
    </w:p>
    <w:p w14:paraId="1A01E7C3"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Форсунок – 250 компл. </w:t>
      </w:r>
    </w:p>
    <w:p w14:paraId="5624EBD8"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отгрузить Куйбышевскому карбюраторному заводу НКСМ для изготовления насосов для СТЗ: </w:t>
      </w:r>
    </w:p>
    <w:p w14:paraId="6178ACA9"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w:t>
      </w:r>
    </w:p>
    <w:p w14:paraId="6D84BE83"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Штамповок для топливного насоса 16 наименований – 500 компл. </w:t>
      </w:r>
    </w:p>
    <w:p w14:paraId="188D8FBE"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 цветного литья для топливного насоса 4 наименования – 100 компл. </w:t>
      </w:r>
    </w:p>
    <w:p w14:paraId="09D03216"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январе 1942 г.</w:t>
      </w:r>
    </w:p>
    <w:p w14:paraId="131E231A"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Штамповок для топливного насоса 16 наименований – 500 компл. </w:t>
      </w:r>
    </w:p>
    <w:p w14:paraId="06355D43"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 цветного литья для топливного насоса 4 наименования – 200 компл. </w:t>
      </w:r>
    </w:p>
    <w:p w14:paraId="48478B63"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В целях обеспечения дизельмоторами Кировского завода, заводов: № 183, № 174 и № 173, запасными дизельмоторами и запчастями к ним фронта – директору Кировского завода т. Зальцман и директору завода № 76 представить мне к 1.1.1942 г. предложения о доведении суточного выпуска в апреле – мае 1942 г.: </w:t>
      </w:r>
    </w:p>
    <w:p w14:paraId="7BBB29B5"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Кировским заводом – 45 шт. дизельмоторов </w:t>
      </w:r>
    </w:p>
    <w:p w14:paraId="563BEF4D"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заводом № 76 – 25 шт. дизельмоторов </w:t>
      </w:r>
    </w:p>
    <w:p w14:paraId="54584233"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Директору завода № 76 т. Кочеткову в 2-х месячный срок организовать изготовление пружин мелких деталей холодной штамповки, а также сварку коллекторов. </w:t>
      </w:r>
    </w:p>
    <w:p w14:paraId="58F08793"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Образовать в производственном отделе Наркомтанкопрома сектор моторостроения в составе 6-ти человек. Возложить на сектор моторостроения обязанности по обеспечению танковых заводов дизельмоторами типа В-2 и моторами М-17, а также планирование моторов "202" для танков Т-60. </w:t>
      </w:r>
    </w:p>
    <w:p w14:paraId="1E8E0592"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(не секретно) Начальником сектора моторостроения Производственного отдела НКТП назначить тов. МОСКАЛЕВСКОГО И.А. </w:t>
      </w:r>
    </w:p>
    <w:p w14:paraId="49786C7C"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Моему заместителю – начальнику Производственного отдела тов. ПЕТРОСЬЯНЦУ и начальнику Главснаба тов. РОЗИНУ взять под особое наблюдение работу моторостроительных заводов и оказать им необходимую помощь в выполнении ими плана выпуска дизельмоторов.</w:t>
      </w:r>
    </w:p>
    <w:p w14:paraId="2BE69E99"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П.П. НАРОДНЫЙ КОМИССАР ТАНКОВОЙ ПРОМЫШЛЕННОСТИ СССР</w:t>
      </w:r>
    </w:p>
    <w:p w14:paraId="495F2D59"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МАЛЫШЕВ.</w:t>
      </w:r>
    </w:p>
    <w:p w14:paraId="635B7A09"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Отп. 8 экз. </w:t>
      </w:r>
    </w:p>
    <w:p w14:paraId="476588C8"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Верно: подпись. печать СШО НКСС СССР</w:t>
      </w:r>
    </w:p>
    <w:p w14:paraId="1D3D2E82" w14:textId="77777777" w:rsidR="008473BD" w:rsidRPr="00640820" w:rsidRDefault="008473B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(18195).</w:t>
      </w:r>
    </w:p>
    <w:p w14:paraId="4F2E0080" w14:textId="77777777" w:rsidR="008473BD" w:rsidRPr="00640820" w:rsidRDefault="008473BD" w:rsidP="00640820">
      <w:pPr>
        <w:spacing w:after="0" w:line="240" w:lineRule="auto"/>
        <w:jc w:val="both"/>
        <w:rPr>
          <w:rFonts w:ascii="Times New Roman" w:hAnsi="Times New Roman"/>
          <w:color w:val="000000" w:themeColor="text1"/>
          <w:sz w:val="16"/>
          <w:szCs w:val="16"/>
        </w:rPr>
      </w:pPr>
    </w:p>
    <w:p w14:paraId="32D60F15"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декабря 1941 года вышел Приказ НКБ № 702</w:t>
      </w:r>
    </w:p>
    <w:p w14:paraId="590D77A3"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Включить в состав предприятий НКБ кроватно-мебельную фабрику, подчинив ее 2 Гл. управлению и присвоить № 607 (Свердловск) (5680, 16).</w:t>
      </w:r>
    </w:p>
    <w:p w14:paraId="74B38E57"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688F8D"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декабря 1941 года вышел Приказ НКБ № 695</w:t>
      </w:r>
    </w:p>
    <w:p w14:paraId="7157D615"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Эвакуированный в соответствии с постановлением Совета эвакуации от 15 октября 1941 года завод № 571 на завод № 56:</w:t>
      </w:r>
    </w:p>
    <w:p w14:paraId="51BCD6DE"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Включить завод № 571 в систему завода № 56 и рассматривать его как отдельное производство завода (5681, 247).</w:t>
      </w:r>
    </w:p>
    <w:p w14:paraId="548BEA93"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B2E0C6"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6765B776"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43C1829"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19 декабря</w:t>
      </w:r>
      <w:r w:rsidRPr="00640820">
        <w:rPr>
          <w:rFonts w:ascii="Times New Roman" w:hAnsi="Times New Roman"/>
          <w:color w:val="000000" w:themeColor="text1"/>
          <w:sz w:val="16"/>
          <w:szCs w:val="16"/>
        </w:rPr>
        <w:t xml:space="preserve"> в 1941 году утреннее сообщение Совинформбюро:</w:t>
      </w:r>
    </w:p>
    <w:p w14:paraId="5077C51E"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19 декабря наши войска вели бои с противником на всех фронтах.</w:t>
      </w:r>
    </w:p>
    <w:p w14:paraId="1DD20324"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Кавалеристы-гвардейцы генерала Доватора на одном из участков Западного фронта за день боёв с противником истребили 1.000 немецких солдат и офицеров, уничтожили 2 вражеских танка, 3 пулемёта, орудие, 9 легковых машин и захватили 50 орудий, 62 пулемёта, 136 автоматов и 250 автомашин.</w:t>
      </w:r>
    </w:p>
    <w:p w14:paraId="1CCF3D7E"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 наша часть, действующая на Юго-Западном направлении фронта, отбив у немцев село Г., захватила 25 орудий, 18 миномётов, 6 зенитных пулемётов, 55 автомашин и 50 километров кабеля.</w:t>
      </w:r>
    </w:p>
    <w:p w14:paraId="5576D434"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лётчики, действующие на Ленинградском фронте, за один день боевых действий уничтожили 4 немецких железнодорожных воинских эшелона, до 200 автомашин, истребили и рассеяли около 1.000 солдат и офицеров противника.</w:t>
      </w:r>
    </w:p>
    <w:p w14:paraId="4AB7A907"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Советские кавалеристы во главе с политруком Марьиным совершили ночной налёт на деревню Р., занятую противником. Смелые кавалеристы гранатами и зажигательными бутылками уничтожили 7 немецких танков, 12 мотоциклов и истребили 50 фашистских солдат и офицеров.</w:t>
      </w:r>
    </w:p>
    <w:p w14:paraId="02DC5F18"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Захваченный на одном из участков Западного фронта ефрейтор 7 роты 80 полка 34 немецкой пехотной дивизии Михаэль Гаст на допросе показал следующее: «34 дивизия сейчас стала мало боеспособной. Крупные потери наша часть понесла от русской артиллерии и танков. Недавно советские танки разбили и рассеяли 80-й немецкий пехотный полк. После этого он четыре дня собирал свои остатки и приводил их в порядок. Третий батальон был полностью уничтожен. Сейчас 80-й полк состоит из 2 батальонов, в каждом из которых вместо 3 рот имеются только по 2. В 7 роте было 180 солдат, потом прибыло пополнение — 20 человек. А сейчас в роте осталось 48 солдат. В последнем бою русские танки и пушки уничтожили наш обоз. Солдат мало, а дежурств, нарядов и всевозможной физической работы очень много. Некоторые солдаты отощали и еле держатся на ногах. Уже четыре недели я не умывался. Бельё менял полтора месяца назад. Мне ещё повезло — мои товарищи не меняли белья уже три месяца. Настроение солдат особенно ухудшилось после последних боев. Солдаты на своей шкуре убедились, что приказы Гитлера и генерала Бока — это величайшая ложь». В заключение пленный заявил: «Кто пережил то, что я, не может примириться с фашизмом. Трудовая повинность, концентрационные лагери и бесконечные войны разрушают семью и всё, что человек привык считать нормальной жизнью».</w:t>
      </w:r>
    </w:p>
    <w:p w14:paraId="5B38BE42"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Немецко-фашистские мерзавцы грабят и истребляют мирное население оккупированных советских районов. Во всех городах и сёлах Смоленской области немцы отобрали у крестьян всю зимнюю одежду, в том числе и поношенную. В городе Пропойске, Могилёвской области, фашисты забрали у населения все подушки, перины, валенки, платки и суконные костюмы. В деревне Биново многие крестьяне не могут выйти из дома, так как фашистская банда захватила буквально все носильные вещи. Наряду с открытым грабежом немцы часто прибегают к наглым провокационным приёмам. Недавно фашисты оповестили белорусских крестьян, что в городе Климовичи будет бесплатно раздаваться соль. Когда в город съехалось большое количество крестьян, гитлеровские мерзавцы оцепили город и отобрали у крестьян всех лошадей и сани. Крестьян, которые протестовали против грабежа или умоляли оставить им лошадь, немцы расстреливали на месте. В деревне Новогеоргиевское, Тульской области, немцы ограбили и избили многих крестьян. Крестьянина Бровкина Григория Александровича немцы раздели догола и били прикладами. Когда </w:t>
      </w:r>
      <w:r w:rsidRPr="00640820">
        <w:rPr>
          <w:rFonts w:ascii="Times New Roman" w:hAnsi="Times New Roman"/>
          <w:color w:val="000000" w:themeColor="text1"/>
          <w:sz w:val="16"/>
          <w:szCs w:val="16"/>
        </w:rPr>
        <w:lastRenderedPageBreak/>
        <w:t>старая женщина Анастасия Бровкина попыталась защитить своего сына, её тоже избили до потери сознания. В Меховском районе (Белоруссия) ряд деревень сожжён вместе с жителями — стариками, женщинами и детьми.» (14865).</w:t>
      </w:r>
    </w:p>
    <w:p w14:paraId="2AE7E011" w14:textId="77777777" w:rsidR="006C1BE5" w:rsidRPr="00640820" w:rsidRDefault="006C1BE5" w:rsidP="00640820">
      <w:pPr>
        <w:spacing w:after="0" w:line="240" w:lineRule="auto"/>
        <w:jc w:val="both"/>
        <w:rPr>
          <w:rFonts w:ascii="Times New Roman" w:hAnsi="Times New Roman"/>
          <w:color w:val="000000" w:themeColor="text1"/>
          <w:sz w:val="16"/>
          <w:szCs w:val="16"/>
        </w:rPr>
      </w:pPr>
    </w:p>
    <w:p w14:paraId="1C8BC0D9"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19 декабря</w:t>
      </w:r>
      <w:r w:rsidRPr="00640820">
        <w:rPr>
          <w:rFonts w:ascii="Times New Roman" w:hAnsi="Times New Roman"/>
          <w:color w:val="000000" w:themeColor="text1"/>
          <w:sz w:val="16"/>
          <w:szCs w:val="16"/>
        </w:rPr>
        <w:t xml:space="preserve"> в 1941 году вечернее сообщение Совинформбюро:</w:t>
      </w:r>
    </w:p>
    <w:p w14:paraId="3872020D"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19 декабря наши войска вели бои с противником на всех фронтах. На ряде участков Западного, Калининского и Юго-Западного фронтов ваши войска, ведя ожесточённые бои с противником, продолжали продвигаться вперёд, заняли ряд населённых пунктов и в числе их город Руза, город Таруса (юго-западнее Серпухова) и Ханино (юго-восточнее Калуги).</w:t>
      </w:r>
    </w:p>
    <w:p w14:paraId="08C56F90"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18 декабря уничтожено 5 немецких самолётов. Наши потери — 3 самолёта.</w:t>
      </w:r>
    </w:p>
    <w:p w14:paraId="19559BB1"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18 декабря наша авиация уничтожила и повредила 28 немецких танков, 340 автомашин с войсками и грузами, уничтожила 11 полевых орудий с прислугой, свыше 100 повозок с боеприпасами, подожгла 3 железнодорожных состава, истребила или рассеяла полк вражеской пехоты и 2 взвода конницы.</w:t>
      </w:r>
    </w:p>
    <w:p w14:paraId="04428782"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Части тов. Городнянского, действующие на одном из участков Юго-Западного фронта, разгромили и полностью уничтожили 134 немецкую пехотную дивизию. Умелыми манёврами и сокрушительными ударами вынудив командование 134 немецкой дивизии перейти к обороне, наши части окружили немцев. Все попытки фашистов прорваться на запад ни к чему не привели. 134 немецкая дивизия уничтожена полностью. Ни одному гитлеровцу из 134 немецкой пехотной дивизии уйти не удалось. Генерал, командующий дивизией, убит. Взяты пленные.</w:t>
      </w:r>
    </w:p>
    <w:p w14:paraId="07552E2B"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Часть тов. Фоканова, действующая на одном из участков Западного фронта, за один день боёв освободила от немцев 4 населённых пункта и захватила 6 танков, 3 танкетки и 5 автомашин противника.</w:t>
      </w:r>
    </w:p>
    <w:p w14:paraId="69D8D3FA"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Усиленно громят врага артиллеристы войск генерала Болдина. Батарея лейтенанта Резвецова в одном бою нанесла большой урон двум батальонам вражеской пехоты, пулемётной роте и уничтожила миномётную батарею. Батарея тов. Толоцко уничтожила 6 немецких танков, 3 автомашины и 2 артиллерийские батареи противника. Обратив в бегство немецкий батальон, бойцы батареи лейтенанта Мазурова захватили 8 миномётов, 6 пулемётов и противотанковое орудие.</w:t>
      </w:r>
    </w:p>
    <w:p w14:paraId="3E490C0A"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Партизанские отряды Тульской области активно помогают частям Красной Армии освобождать свои родные города и сёла от немецко-фашистских захватчиков. В ночь на 10 декабря 14 партизан во главе с тов. Е. устроили засаду у деревни Ш. Вскоре на дороге появился большой немецкий обоз. Партизаны подпустили фашистов на 10-15 метров и забросали головные подводы гранатами. Уничтожив свыше 20 вражеских солдат и взорвав несколько подвод с боеприпасами, партизаны скрылись. Неподалёку от деревни X. партизаны обнаружили заброшенную дачу, в которой остановились немецкие разведчики-мотоциклисты. Ночью партизаны взорвали дом, уничтожив 24 фашиста. За последние дни на минах, установленных партизанами-туляками, подорвались 25 вражеских автомашин с пехотой. 3 немецких грузовика с боеприпасами партизаны отбили у немцев и доставили ближайшим частям Красной Армии.</w:t>
      </w:r>
    </w:p>
    <w:p w14:paraId="135FBCE5"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Успехи советских войск вносят всё большую растерянность в ряды немецких солдат. Пленный солдат 303 немецкого пехотного полка Краузе заявил: «Нам обещали отдых после взятия Смоленска — обманули, обещали отдых после взятия Калинина — обманули. К 6 декабря в 1 и 2 ротах нашего полка оставалось по 20 человек. Во всём батальоне из командиров остался только один лейтенант. Нам было приказано занять оборону и отразить наступление русских. После артиллерийского обстрела и атаки русских в роте осталось только 3 человека. Был убит и лейтенант. Смерть от русских пуль и снарядов или плен — ни на что другое не может рассчитывать немецкий солдат». Солдат Ленау пишет своему брату Францу Ленау: «Русские не только не разбиты, а наоборот, становятся всё хитрее и настойчивее... Нас теперь интересует только одно — когда мы, наконец, вернёмся в Германию». Пленный ефрейтор 516 немецкого полка заявил: «В последнее время настроение немецких солдат ещё более ухудшилось. Часто можно услышать такие выражения: «Столько убитых немцев Гитлер ничем не оправдает». В нашей первой роте уже было три случая дезертирства — сбежали солдаты Мюллер, Косе и ещё один».</w:t>
      </w:r>
    </w:p>
    <w:p w14:paraId="5ADE47D3"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последний час.</w:t>
      </w:r>
    </w:p>
    <w:p w14:paraId="1C76510E"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Успех войск Ленинградского фронта.</w:t>
      </w:r>
    </w:p>
    <w:p w14:paraId="0210530B"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ноября группировка войск противника проникла в район Войбокало, намереваясь перерезать линию Северной ж. д. и выйти на берег Ладожского озера. В результате ожесточённых боёв части 54 армии генерал-майора Федюнинского разгромили войбокаловскую группировку противника. Разбиты наголову части 11 пехотной дивизии, 291 пехотной дивизии и 2 полка 254 пехотной дивизии противника. Район Войбокало и станция Войбокало заняты нашими войсками.</w:t>
      </w:r>
    </w:p>
    <w:p w14:paraId="474E6F03"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боях на Войбокаловском направлении противник оставил на поле боя свыше 5.000 трупов. Захвачено нашими войсками: орудий разных калибров — 55, танков — 21, пулемётов — 91, миномётов — 39, винтовок и автоматов — 250, грузовых автомашин — 90, легковых автомашин — 12, мотоциклов и велосипедов — 100, патронов — 85.000, снарядов — 4.000, мин — 70 ящиков, гранат — 500 и много другого военного имущества, которое подсчитывается. Преследование противника продолжается.».</w:t>
      </w:r>
    </w:p>
    <w:p w14:paraId="2705B1C4"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году 201-я латышская стрелковая дивизия сменила 110-ю стрелковую дивизию юго-западнее Наро-Фоминска, а на рассвете следующего дня ее полки уже пошли в наступление (14865).</w:t>
      </w:r>
    </w:p>
    <w:p w14:paraId="2081775C" w14:textId="77777777" w:rsidR="006C1BE5" w:rsidRPr="00640820" w:rsidRDefault="006C1BE5" w:rsidP="00640820">
      <w:pPr>
        <w:spacing w:after="0" w:line="240" w:lineRule="auto"/>
        <w:jc w:val="both"/>
        <w:rPr>
          <w:rFonts w:ascii="Times New Roman" w:hAnsi="Times New Roman"/>
          <w:color w:val="000000" w:themeColor="text1"/>
          <w:sz w:val="16"/>
          <w:szCs w:val="16"/>
        </w:rPr>
      </w:pPr>
    </w:p>
    <w:p w14:paraId="21CCBF05" w14:textId="77777777" w:rsidR="006C1BE5" w:rsidRPr="00640820" w:rsidRDefault="006C1BE5"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19 декабря</w:t>
      </w:r>
      <w:r w:rsidRPr="00640820">
        <w:rPr>
          <w:rFonts w:ascii="Times New Roman" w:hAnsi="Times New Roman"/>
          <w:color w:val="000000" w:themeColor="text1"/>
          <w:sz w:val="16"/>
          <w:szCs w:val="16"/>
        </w:rPr>
        <w:t xml:space="preserve"> в 1941 году войска Западного фронта освободили город Тарусу (Московская область) от фашистских захватчиков (14865).</w:t>
      </w:r>
    </w:p>
    <w:p w14:paraId="46C8D7F1" w14:textId="77777777" w:rsidR="006C1BE5" w:rsidRPr="00640820" w:rsidRDefault="006C1BE5" w:rsidP="00640820">
      <w:pPr>
        <w:spacing w:after="0" w:line="240" w:lineRule="auto"/>
        <w:jc w:val="both"/>
        <w:rPr>
          <w:rFonts w:ascii="Times New Roman" w:hAnsi="Times New Roman"/>
          <w:color w:val="000000" w:themeColor="text1"/>
          <w:sz w:val="16"/>
          <w:szCs w:val="16"/>
        </w:rPr>
      </w:pPr>
    </w:p>
    <w:p w14:paraId="22110A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декабря 1941 А.Гитлер принял полное командование над Германской армией (1797), а Браухич был отправлен в отставку (2238,10).</w:t>
      </w:r>
    </w:p>
    <w:p w14:paraId="02BC46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BE3E7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декабря 1941 А.Гитлер принял должность Главнокомандующего германской армии после отставки маршала Вальтера фон Браухича, которого назвал трусливым чертом (2100).</w:t>
      </w:r>
    </w:p>
    <w:p w14:paraId="4135F1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D6D435F" w14:textId="77777777" w:rsidR="0038053A" w:rsidRPr="00640820" w:rsidRDefault="003805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19 декабря</w:t>
      </w:r>
      <w:r w:rsidRPr="00640820">
        <w:rPr>
          <w:rFonts w:ascii="Times New Roman" w:hAnsi="Times New Roman"/>
          <w:color w:val="000000" w:themeColor="text1"/>
          <w:sz w:val="16"/>
          <w:szCs w:val="16"/>
        </w:rPr>
        <w:t xml:space="preserve"> в 1941 году Адольф Гитлер сместил с должности командующего сухопутными войсками (das Heer) генерал-фельдмаршала фон Браухича. Новым командующим Гитлер назначил самого себя. Причиной стал провал плана захвата Москвы. Получив звание фельдмаршала в 1940 году, фон Браухич был одной из ключевых фигур европейского блицкрига, ему принадлежал план молниеносного захвата Франции. В 1945 сдался в плен англичанам. После войны его арестовали и судили на Нюрнбергском процессе. Умер фон Браухич в госпитале для военнопленных (14865).</w:t>
      </w:r>
    </w:p>
    <w:p w14:paraId="73BE8540" w14:textId="77777777" w:rsidR="0038053A" w:rsidRPr="00640820" w:rsidRDefault="0038053A" w:rsidP="00640820">
      <w:pPr>
        <w:spacing w:after="0" w:line="240" w:lineRule="auto"/>
        <w:jc w:val="both"/>
        <w:rPr>
          <w:rFonts w:ascii="Times New Roman" w:hAnsi="Times New Roman"/>
          <w:color w:val="000000" w:themeColor="text1"/>
          <w:sz w:val="16"/>
          <w:szCs w:val="16"/>
        </w:rPr>
      </w:pPr>
    </w:p>
    <w:p w14:paraId="6F0ADE1C"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декабря 1941 Гитлер стал главнокомандующим Вермахта (4962).</w:t>
      </w:r>
    </w:p>
    <w:p w14:paraId="0EF7CDBD"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9C7EFC"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декабря 1941 погиб в бою под Москвой советский генерал Л. Доватор (4962).</w:t>
      </w:r>
    </w:p>
    <w:p w14:paraId="35C073A5"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216293"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22CF6EE1"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ADD808A"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декабря 1941. Комендант Москвы опубликовал следующий свой приказ: "В целях недопущения использования враждебными элементами голубей, находящихся у частных лиц, приказываю в трехдневный срок сдать голубей в Управление Милиции города Москвы по адресу: Петровка, 38. Лица, не сдавших голубей в указанный срок, будут примечены к ответственности по закону военного времени".</w:t>
      </w:r>
    </w:p>
    <w:p w14:paraId="6E98D697"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Газета "Вечерняя Москва" сообщала: "Трамваи линии "Б" снова начали курсировать по своему проходящему через весь город кольцу. От Октябрьской площади трамваи "Б" идет по Крымскому валу, Крымскому мосту, улице Льва Толстого, Плющихе, мимо зоопарка, по Б. Грузинской, Лесной, улице Дурова, через Комсомольскую площадь, по Комсомольской, Бауманской улице, Сыромятникам, улице Чкалова, через Таганскую и Добрынинскую площади" (18691).</w:t>
      </w:r>
    </w:p>
    <w:p w14:paraId="786D625A" w14:textId="77777777" w:rsidR="00A56BCC" w:rsidRPr="00640820" w:rsidRDefault="00A56BCC" w:rsidP="00640820">
      <w:pPr>
        <w:spacing w:after="0" w:line="240" w:lineRule="auto"/>
        <w:jc w:val="both"/>
        <w:rPr>
          <w:rFonts w:ascii="Times New Roman" w:hAnsi="Times New Roman"/>
          <w:color w:val="000000" w:themeColor="text1"/>
          <w:sz w:val="16"/>
          <w:szCs w:val="16"/>
        </w:rPr>
      </w:pPr>
    </w:p>
    <w:p w14:paraId="17630E82"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декабря 1941 вышло Постановление ГКО № 1044 [О прекращении эвакуации хлеба, продовольственных и промышленных товаров, сырья и полуфабрикатов.] (7017, 136).</w:t>
      </w:r>
    </w:p>
    <w:p w14:paraId="4E3055C9"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57E194"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5975B146"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C2F5D46" w14:textId="77777777" w:rsidR="004902DB" w:rsidRPr="00640820" w:rsidRDefault="004902DB" w:rsidP="00640820">
      <w:pPr>
        <w:pStyle w:val="35"/>
        <w:shd w:val="clear" w:color="auto" w:fill="auto"/>
        <w:spacing w:after="0" w:line="240" w:lineRule="auto"/>
        <w:jc w:val="both"/>
        <w:rPr>
          <w:rFonts w:ascii="Times New Roman" w:cs="Times New Roman"/>
          <w:color w:val="0070C0"/>
          <w:spacing w:val="0"/>
          <w:sz w:val="16"/>
          <w:szCs w:val="16"/>
        </w:rPr>
      </w:pPr>
      <w:r w:rsidRPr="00640820">
        <w:rPr>
          <w:rFonts w:ascii="Times New Roman" w:cs="Times New Roman"/>
          <w:color w:val="0070C0"/>
          <w:spacing w:val="0"/>
          <w:sz w:val="16"/>
          <w:szCs w:val="16"/>
        </w:rPr>
        <w:t>19 декабря 1941 года - уже после вступления Америки в войну — был облетан Головной В-24С с усиленным оборонительным вооружением, но ограниченной до 1814 кг бомбовой нагрузкой. Ситуация с финансами у Консолидейтед улучшилась.</w:t>
      </w:r>
    </w:p>
    <w:p w14:paraId="501A15A1" w14:textId="77777777" w:rsidR="004902DB" w:rsidRPr="00640820" w:rsidRDefault="004902DB" w:rsidP="00640820">
      <w:pPr>
        <w:pStyle w:val="35"/>
        <w:shd w:val="clear" w:color="auto" w:fill="auto"/>
        <w:spacing w:after="0" w:line="240" w:lineRule="auto"/>
        <w:jc w:val="both"/>
        <w:rPr>
          <w:rFonts w:ascii="Times New Roman" w:cs="Times New Roman"/>
          <w:color w:val="0070C0"/>
          <w:spacing w:val="0"/>
          <w:sz w:val="16"/>
          <w:szCs w:val="16"/>
          <w:lang w:val="en-US"/>
        </w:rPr>
      </w:pPr>
      <w:r w:rsidRPr="00640820">
        <w:rPr>
          <w:rFonts w:ascii="Times New Roman" w:cs="Times New Roman"/>
          <w:color w:val="0070C0"/>
          <w:spacing w:val="0"/>
          <w:sz w:val="16"/>
          <w:szCs w:val="16"/>
        </w:rPr>
        <w:t>Недостроенные В-24А фирма использовала для отработки новой модификации B-24D. На ней по-прежнему не было протектированных баков, брони, системы нейтрального газа, но наконец-то появились турбокомпрессорные моторы R-1830-41 (1200 л.с. на высоте 6000 м). Оборону обеспечивали спаренные пулеметы М-2 (12,7 мм) в верхней башне Мартин А-3 за кабиной летчиков и в хвостовой установке А-6А собственной разработки, и один М-2 в носовой кабине штурмана. Экипаж</w:t>
      </w:r>
      <w:r w:rsidRPr="00640820">
        <w:rPr>
          <w:rFonts w:ascii="Times New Roman" w:cs="Times New Roman"/>
          <w:color w:val="0070C0"/>
          <w:spacing w:val="0"/>
          <w:sz w:val="16"/>
          <w:szCs w:val="16"/>
          <w:lang w:val="en-US"/>
        </w:rPr>
        <w:t xml:space="preserve"> </w:t>
      </w:r>
      <w:r w:rsidRPr="00640820">
        <w:rPr>
          <w:rFonts w:ascii="Times New Roman" w:cs="Times New Roman"/>
          <w:color w:val="0070C0"/>
          <w:spacing w:val="0"/>
          <w:sz w:val="16"/>
          <w:szCs w:val="16"/>
        </w:rPr>
        <w:t>был</w:t>
      </w:r>
      <w:r w:rsidRPr="00640820">
        <w:rPr>
          <w:rFonts w:ascii="Times New Roman" w:cs="Times New Roman"/>
          <w:color w:val="0070C0"/>
          <w:spacing w:val="0"/>
          <w:sz w:val="16"/>
          <w:szCs w:val="16"/>
          <w:lang w:val="en-US"/>
        </w:rPr>
        <w:t xml:space="preserve"> </w:t>
      </w:r>
      <w:r w:rsidRPr="00640820">
        <w:rPr>
          <w:rFonts w:ascii="Times New Roman" w:cs="Times New Roman"/>
          <w:color w:val="0070C0"/>
          <w:spacing w:val="0"/>
          <w:sz w:val="16"/>
          <w:szCs w:val="16"/>
        </w:rPr>
        <w:t>увеличен</w:t>
      </w:r>
      <w:r w:rsidRPr="00640820">
        <w:rPr>
          <w:rFonts w:ascii="Times New Roman" w:cs="Times New Roman"/>
          <w:color w:val="0070C0"/>
          <w:spacing w:val="0"/>
          <w:sz w:val="16"/>
          <w:szCs w:val="16"/>
          <w:lang w:val="en-US"/>
        </w:rPr>
        <w:t xml:space="preserve"> </w:t>
      </w:r>
      <w:r w:rsidRPr="00640820">
        <w:rPr>
          <w:rFonts w:ascii="Times New Roman" w:cs="Times New Roman"/>
          <w:color w:val="0070C0"/>
          <w:spacing w:val="0"/>
          <w:sz w:val="16"/>
          <w:szCs w:val="16"/>
        </w:rPr>
        <w:t>до</w:t>
      </w:r>
      <w:r w:rsidRPr="00640820">
        <w:rPr>
          <w:rFonts w:ascii="Times New Roman" w:cs="Times New Roman"/>
          <w:color w:val="0070C0"/>
          <w:spacing w:val="0"/>
          <w:sz w:val="16"/>
          <w:szCs w:val="16"/>
          <w:lang w:val="en-US"/>
        </w:rPr>
        <w:t xml:space="preserve"> 10 </w:t>
      </w:r>
      <w:r w:rsidRPr="00640820">
        <w:rPr>
          <w:rFonts w:ascii="Times New Roman" w:cs="Times New Roman"/>
          <w:color w:val="0070C0"/>
          <w:spacing w:val="0"/>
          <w:sz w:val="16"/>
          <w:szCs w:val="16"/>
        </w:rPr>
        <w:t>человек</w:t>
      </w:r>
      <w:r w:rsidRPr="00640820">
        <w:rPr>
          <w:rFonts w:ascii="Times New Roman" w:cs="Times New Roman"/>
          <w:color w:val="0070C0"/>
          <w:spacing w:val="0"/>
          <w:sz w:val="16"/>
          <w:szCs w:val="16"/>
          <w:lang w:val="en-US"/>
        </w:rPr>
        <w:t xml:space="preserve"> (22838).</w:t>
      </w:r>
    </w:p>
    <w:p w14:paraId="13BC9B1B" w14:textId="77777777" w:rsidR="004902DB" w:rsidRPr="00640820" w:rsidRDefault="004902DB" w:rsidP="00640820">
      <w:pPr>
        <w:pStyle w:val="35"/>
        <w:shd w:val="clear" w:color="auto" w:fill="auto"/>
        <w:spacing w:after="0" w:line="240" w:lineRule="auto"/>
        <w:jc w:val="both"/>
        <w:rPr>
          <w:rFonts w:ascii="Times New Roman" w:cs="Times New Roman"/>
          <w:color w:val="0070C0"/>
          <w:spacing w:val="0"/>
          <w:sz w:val="16"/>
          <w:szCs w:val="16"/>
          <w:lang w:val="en-US"/>
        </w:rPr>
      </w:pPr>
    </w:p>
    <w:p w14:paraId="131EA1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lang w:val="en-US"/>
        </w:rPr>
        <w:t xml:space="preserve">December 19, 1941: Frogmen of the Italian Navy penetrate the port of Alexandria in Egypt and damage the British battleships HMS Valiant and Queen Elizabeth. </w:t>
      </w:r>
      <w:r w:rsidRPr="00640820">
        <w:rPr>
          <w:rFonts w:ascii="Times New Roman" w:hAnsi="Times New Roman"/>
          <w:color w:val="000000" w:themeColor="text1"/>
          <w:sz w:val="16"/>
          <w:szCs w:val="16"/>
        </w:rPr>
        <w:t>Colombia severs diplomatic relations with Germany and Italy (3819).</w:t>
      </w:r>
    </w:p>
    <w:p w14:paraId="1920A1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3EB56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19 декабря 1941 итальянские подводники повредили линкоры Куин Элизабет и Валиант (2260), которые так и не вступили в строй до конца войны, и потопили танкер Сагона - 7554 т в гавани Александрии. Доставила п/л Шире. Действовало три экипажа. Ценой шести пленных сумели изменить стратегическую обстановку на Средиземном море (3961, 47).</w:t>
      </w:r>
    </w:p>
    <w:p w14:paraId="465B21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10F5EA4" w14:textId="77777777" w:rsidR="0038053A" w:rsidRPr="00640820" w:rsidRDefault="003805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19 декабря</w:t>
      </w:r>
      <w:r w:rsidRPr="00640820">
        <w:rPr>
          <w:rFonts w:ascii="Times New Roman" w:hAnsi="Times New Roman"/>
          <w:color w:val="000000" w:themeColor="text1"/>
          <w:sz w:val="16"/>
          <w:szCs w:val="16"/>
        </w:rPr>
        <w:t xml:space="preserve"> в 1941 году три экипажа итальянских боевых пловцов, доставленных подводной лодкой «Шире», серьезно повредили линкоры «Куин Элизабет» и «Валиант» и потопили танкер «Сагона» (7554 тонн) в гавани Александрии (14865).</w:t>
      </w:r>
    </w:p>
    <w:p w14:paraId="35AE8389" w14:textId="77777777" w:rsidR="0038053A" w:rsidRPr="00640820" w:rsidRDefault="0038053A" w:rsidP="00640820">
      <w:pPr>
        <w:spacing w:after="0" w:line="240" w:lineRule="auto"/>
        <w:jc w:val="both"/>
        <w:rPr>
          <w:rFonts w:ascii="Times New Roman" w:hAnsi="Times New Roman"/>
          <w:color w:val="000000" w:themeColor="text1"/>
          <w:sz w:val="16"/>
          <w:szCs w:val="16"/>
        </w:rPr>
      </w:pPr>
    </w:p>
    <w:p w14:paraId="02F8DC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декабря 1941 японцы высадились в Гонконге и начали бои с англичанами (2100).</w:t>
      </w:r>
    </w:p>
    <w:p w14:paraId="20419A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FC049B6" w14:textId="77777777" w:rsidR="0038053A" w:rsidRPr="00640820" w:rsidRDefault="0038053A"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декабря 1941 15-летняя английская принцесса Елизавета (нынешняя королева) выступила в спектакле “Золушка” для английских солдат (4962).</w:t>
      </w:r>
    </w:p>
    <w:p w14:paraId="5ED872D4" w14:textId="77777777" w:rsidR="0038053A" w:rsidRPr="00640820" w:rsidRDefault="0038053A"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BA13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декабря 1941 в Японии вышел Закон О чрезвычайном контроле за словом, печатью собраниями и организациями (3906, 493).</w:t>
      </w:r>
    </w:p>
    <w:p w14:paraId="6D7F39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4C944BC"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785EBBEE"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55C9F4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декабря 1941 Пермский завод получил чертежи двухместного Ил-2 М-82 - первого Ил-4, и на следующий день началась подготовка нового производства. Директору Кузину разрешалось достроить Су-2 только из имевшегося задела. Когда выяснилось, что перестройка производства в Перми протекает недопустимо медленно, и в ближайшие месяцы собрать Ил-4 не удастся, Шахурин ограничил выпуск Су-2 только машинами, находящимися в сборочном цехе. Многими такое решение воспринималось с недоумением, а командир 135-го бап майор Г.Корзинников даже написал рапорт начальнику ГУ ВВС, где обосновал нежелательность прекращения постройки самолета, хорошо зарекомендовавшего себя на фронте в последние месяцы (5360).</w:t>
      </w:r>
    </w:p>
    <w:p w14:paraId="2D5776E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F787A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декабря 1941 Молотовский завод получил чертежи Ил-4 - двухместного лидера Ил-2 М-82 (их часто называли тогда Ил-4) - и на следующий день началась подготовка производства. Директору Кузину разрешалось достроить Су-2 только из задела. Когда выяснилось, что перестройка производства протекает недопустимо медленно, и в ближайшие месяцы собрать Ил-4 не удастся, Шахурин ограничил выпуск Су-2 только машинами, находящимися в сборочном цехе. Многими такое решение воспринималось с недоумением, а командир 135-го бап майор Г. Корзинников даже написал рапорт начальнику ГУ ВВС, где обосновал нежелательность прекращения постройки самолета, хорошо зарекомендовавшего себя на фронте (12028).</w:t>
      </w:r>
    </w:p>
    <w:p w14:paraId="1C0F5EE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4B8E192" w14:textId="77777777" w:rsidR="0038053A" w:rsidRPr="00640820" w:rsidRDefault="003805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20 декабря</w:t>
      </w:r>
      <w:r w:rsidRPr="00640820">
        <w:rPr>
          <w:rFonts w:ascii="Times New Roman" w:hAnsi="Times New Roman"/>
          <w:color w:val="000000" w:themeColor="text1"/>
          <w:sz w:val="16"/>
          <w:szCs w:val="16"/>
        </w:rPr>
        <w:t xml:space="preserve"> в 1941 году первые «B-25», переданные СССР по ленд-лизу доставили в Мурманск (пароход «Декабрист») (14866).</w:t>
      </w:r>
    </w:p>
    <w:p w14:paraId="13B2581D" w14:textId="77777777" w:rsidR="0038053A" w:rsidRPr="00640820" w:rsidRDefault="0038053A" w:rsidP="00640820">
      <w:pPr>
        <w:spacing w:after="0" w:line="240" w:lineRule="auto"/>
        <w:jc w:val="both"/>
        <w:rPr>
          <w:rFonts w:ascii="Times New Roman" w:hAnsi="Times New Roman"/>
          <w:color w:val="000000" w:themeColor="text1"/>
          <w:sz w:val="16"/>
          <w:szCs w:val="16"/>
        </w:rPr>
      </w:pPr>
    </w:p>
    <w:p w14:paraId="3BEAFB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декабря 1941 г. - из справки заведующего промышленным отделом ОК ВКП(б) об эвакуированном из Рязани завода № 168 народного комиссариата авиационной промышленности</w:t>
      </w:r>
    </w:p>
    <w:p w14:paraId="40B567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эвакуирован из г. Рязани согласно постановления правительства № 186 от 12 ноября 1941 года. Прибыл, в основном, в Лопатино 28 ноября 1941 года. Эвакуация происходила наспех, на место назначения предварительно люди не были высланы и не поставлены в известность о предполагаемом приезде этого завода местные организации (СНК МАССР, Обком ВКП (б)).</w:t>
      </w:r>
    </w:p>
    <w:p w14:paraId="0A5F85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Основное оборудование и ряд материалов необходимых на первое время привезены. Переезд производился водой (Ока-Волга), и ряд барж с людьми и материалами оказались замороженными в различных пунктах следования. Так, например, одна баржа с материалами и полуфабрикатами замерзла под Муромом на Оке в 18 км от железной дороги. Сейчас организована перегрузка всех этих материалов на железную дорогу. Разрешение на подачу вагонов получено. Другая баржа замерзла около Васильсурска. В ней было около 60 человек людей. Эти люди в Лопатино еще не приехали и находятся где-то в пути. Там же, Васильсурском, замерзла баржа с картофелем, которого было 200 тонн. Этот картофель сдан под расписку в Горьковскую область, представители которой при приеме заверили дирекцию завода, что такое же количество картофеля они получат в Марийской республике. Однако здесь в МАССР картофель взамен расписки о сдаче никто заводу выделить не может. </w:t>
      </w:r>
    </w:p>
    <w:p w14:paraId="0D7EFF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Часть материалов осталась в Рязани, отправка их в Лопатино будет произведена на днях железной дорогой. </w:t>
      </w:r>
    </w:p>
    <w:p w14:paraId="5C2D5BF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Один цех - цех винтов для аэросаней вследствие отсутствия свободных площадей в Лопатино временно размещен в Шумерлинском древкомбинате (Чувашия).</w:t>
      </w:r>
    </w:p>
    <w:p w14:paraId="532E4BB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Всего прибыло с заводом около 1100 человек. Основные кадры инженерно-технических работников и квалифицированных рабочих прибыла полностью. Не хватает некоторого количества вспомогательных рабочих, которые будут набраны на месте. </w:t>
      </w:r>
    </w:p>
    <w:p w14:paraId="321C0A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Парторганизация в количестве 105 человек коммунистов, существует в том составе, который был в г. Рязани, необходимо только произвести довыборы некоторых выбывших членов партбюро. Завком профсоюза также остается старый, однако все учетные документы до настоящего времени еще неизвестно где находятся, так как забыли куда грузили. </w:t>
      </w:r>
    </w:p>
    <w:p w14:paraId="78CA66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Прибывшие люди по состоянию на 20 декабря 1941 года не были полностью расселены и часть живет в здании управления ЛДК (Лопатинский древкомбинат). На это число было расселено в домах ЛДК около 700 человек. 19 декабря 1941 года договорились еще расселить 100 человек. Остальные должны быть размещены по 4 близлежащим колхозам и в домах Волжского горсовета. Расселение продолжается ежедневно. Среди приезжих есть известный конструктор планеров т. Шереметьев. Существуют планера его конструкции под маркой Ш-10, Ш-2 и др. </w:t>
      </w:r>
    </w:p>
    <w:p w14:paraId="07D0CBF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одном корпусе разместился и сборочный и фюзеляжный цехи. Сейчас производится сборка 2-х десантных планеров вместимостью по 20 человек с вооружением-пулеметом. По плану они должны быть закончены к 1 января 1942 года. Приступлено к приспособлению выделенных помещений под цехи и монтажу механического цеха, который имеет большую программу. Остальное деревообрабатывающее оборудование находится на территории древкомбината под открытым небом и будет устанавливаться по мере устройства помещений под соответствующие цехи. Всего должно быть размещено около 10 основных различных цехов: крыльевой, центропланный, лонжеронный, раскроечно-заготовительный и т.д. Новое строительство будет производиться по титульному списку уже составленному и утвержденному начальником 11 Главного управления НКАП. Для обеспечения и строительства лесоматериалов выделено 1000 куб. м. древесины. Распиловка потребного ассортимента пиломатериалов обеспечивается древкомбинатом. </w:t>
      </w:r>
    </w:p>
    <w:p w14:paraId="702D9E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Рабочая сила (строители) частично выделена древкомбинатом из наличия и остальная часть будет завербована со стороны. Вопрос о строительном подрядчике пока еще остался открытым и впредь строительство должно вестись хозяйственным способом. Надо отметить, что к основному строительству будут приступать еще не скоро, так как большой объем работы предстоит проделать по приспособлению выделенных помещений под цехи, ввиду того, что они изысканы на чердаках (лонжеронный цех) и других не отапливаемых местах. Требуется настилка пола. Утепление стен и крыш, устройство отопления (первого) и различных складских и конторских цеховых отделений.</w:t>
      </w:r>
    </w:p>
    <w:p w14:paraId="212CDB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Руководящий состав завода № 168: </w:t>
      </w:r>
    </w:p>
    <w:p w14:paraId="50DDDA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Директор - Шпаков Иван Михайлович, член ВКП (б) </w:t>
      </w:r>
    </w:p>
    <w:p w14:paraId="6A17DF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Главный инженер - Ханкин Исаак Залманович, член ВКП (б) </w:t>
      </w:r>
    </w:p>
    <w:p w14:paraId="30F442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Парторг ЦК ВКП (б) - Конкин Федор Анисимович, член ВКП (б) </w:t>
      </w:r>
    </w:p>
    <w:p w14:paraId="259511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Заместитель директора по административно-хозяйственным вопросам - Кузнецов Г.И., член ВКП (б) Заместитель директора по найму и увольнению - Шленцов А.Г. , член ВКП (б) </w:t>
      </w:r>
    </w:p>
    <w:p w14:paraId="62DEA5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Заведующий промышленным отделом ОК ВКП (б) Михеев.</w:t>
      </w:r>
    </w:p>
    <w:p w14:paraId="128283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ГА Республики Марий Эл, ф. П-1, оп. 5, д. 40, л. 9-11 (11608).</w:t>
      </w:r>
    </w:p>
    <w:p w14:paraId="33EA0E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54A2F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декабря 1941 ТИС (А) Н.Н.П. по железной дороге прибыл в Новосибирск из Казани. Его собрали и довели до летной годности и 16 февраля 1942 был первый полет (10535,34).</w:t>
      </w:r>
    </w:p>
    <w:p w14:paraId="79FEA0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85FA8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декабря 1941 г. По приказу НКАП № 7 бригады Мясищева и Томашевича ЦКБ-28 были переведены на площади Куломзинского филиала завода № 166 с сохранением тематики по 7ГУ. КБ-29 продолжило работу, ликвидировано в 1943 г. (10776).</w:t>
      </w:r>
    </w:p>
    <w:p w14:paraId="48C7E0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6FA4C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декабря 1941 вышел приказ по 7 ГУ НКАП N 7с:</w:t>
      </w:r>
    </w:p>
    <w:p w14:paraId="3B6066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Завод 288 НКАП и ОКБ Бериева, эвакуированные в Омск, разместить на базе Куломзинского филиала завода 166 (б. авиамастерские ГВФ).</w:t>
      </w:r>
    </w:p>
    <w:p w14:paraId="7C4B1D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Перевести на завод 288 ОКБ В.М.М. и ОКБ Томашевича с сохранением за каждым ОКБ ранее утвержденной тематики.</w:t>
      </w:r>
    </w:p>
    <w:p w14:paraId="68B839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И.о. дир. завода 288 Ляпидевскому достроить опытную серию КОР-2 в количестве 10 шт." А.С.Я. (2530,11).</w:t>
      </w:r>
    </w:p>
    <w:p w14:paraId="7E7666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F4D50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20 декабря 1941 г. по приказу № 7 от конструкторские группы В.М. Мясищева (отдел «102») и Д.Л. Томашевича (отдел «110») переведены с завода № 166 на завод № 288 с сохранением тематики работ. ОТБ НКВД завода № 288 НКАП /г. Омск/. На 06.1942 г. работы по постройке и доводке ДВБ-102, модификация Як-9 с ЖРД РД-1, проектирование и постройка самолета «110» «Пегас». Летные испытания проводились на заводском аэродроме.</w:t>
      </w:r>
    </w:p>
    <w:p w14:paraId="74083A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ГКО № 3601 от 18.06.1943 г. и приказом № 367сс от 22.06.1943 г. основной конструкторский состав группы Мясищева переведен с завода № 288 в ОКБ и опытный цех завода № 22. Тем же приказом при заводе № 482 образован филиал ОКБ завода № 22 по боевым самолетам, и туда из Омска переведена остальная часть коллектива и оборудования.</w:t>
      </w:r>
    </w:p>
    <w:p w14:paraId="7ABA82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Томашевич по 1944 г. занимался доводкой «110», затем работал на заводе №51 (11982).</w:t>
      </w:r>
    </w:p>
    <w:p w14:paraId="602280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69FE6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декабря 1941 г. по приказу № 7 завод и ОКБ-288 были размещены на площадке Куломзинского филиала завода № 166 (бывшие авиаремонтные мастерские ГВФ). Этим же приказом филиал со всем оборудованием и личным составом передан в распоряжение завода № 288. Здесь же разместились конструкторские группы В.М. Мясищева и Томашевича.</w:t>
      </w:r>
    </w:p>
    <w:p w14:paraId="5F6828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площадке эвакуированного завода в Кимрах по приказу № 149с от 21.02.1942 г. образованы Ремонтные мастерские для переоборудования иностранных самолетов (начальник- З.Б. Ценципер). Далее они преобразованы в Савеловские фронтовые мастерские (директор- Поленов). С 06.1943 г. здесь разместился завод № 491.</w:t>
      </w:r>
    </w:p>
    <w:p w14:paraId="39F38C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новом месте в Омске достраивалась онытная серия КОР-2, оказывалась помощь заводу № 166 в производстве Ту-2. Проектировался и строился самолет «110» «Пегас» конструкции Томашевича.</w:t>
      </w:r>
    </w:p>
    <w:p w14:paraId="4F5A82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НКАП от 03.05.1943 г. ОКБ-288 переведено в Красноярск на завод № 477.</w:t>
      </w:r>
    </w:p>
    <w:p w14:paraId="5E3ECD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приказом № 367сс от 22.06.1943 г. конструкторская группа В.М. Мясищева переведена в Казань и влита в состав ОКБ-22, которое возглавил Мясщцев.</w:t>
      </w:r>
    </w:p>
    <w:p w14:paraId="2A6948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 469с от 3.08.1943 г. все сооружения завода № 288 НКАП (кроме ЛИС и территории, временно закрепленной за ОКБ А.Н. Туполева по приказу № 430сс от 20.07.1943 г.) переданы заводу № 29 НКАП.</w:t>
      </w:r>
    </w:p>
    <w:p w14:paraId="240C3E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(05.1940-04.1941 г.-)- Н.И. Чеблуков. И.О. директора (12.1941-03.1942 г.)- А.В. Ляпидевский. Директор (03.1942-08.1943 г.-)- Г .Я. Кутепов.</w:t>
      </w:r>
    </w:p>
    <w:p w14:paraId="04B7A1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завода (-01.1941 г.)- П.Д. Самсонов, (01.1941 г.-)-  Г.М. Бериев.</w:t>
      </w:r>
    </w:p>
    <w:p w14:paraId="13AB14C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 самолетКОР-2</w:t>
      </w:r>
      <w:r w:rsidRPr="00640820">
        <w:rPr>
          <w:rFonts w:ascii="Times New Roman" w:hAnsi="Times New Roman"/>
          <w:color w:val="000000" w:themeColor="text1"/>
          <w:sz w:val="16"/>
          <w:szCs w:val="16"/>
        </w:rPr>
        <w:t xml:space="preserve"> (1941-42)-6.</w:t>
      </w:r>
    </w:p>
    <w:p w14:paraId="25488C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Заводской №:</w:t>
      </w:r>
      <w:r w:rsidRPr="00640820">
        <w:rPr>
          <w:rFonts w:ascii="Times New Roman" w:hAnsi="Times New Roman"/>
          <w:color w:val="000000" w:themeColor="text1"/>
          <w:sz w:val="16"/>
          <w:szCs w:val="16"/>
        </w:rPr>
        <w:t xml:space="preserve"> 28801 (11982).</w:t>
      </w:r>
    </w:p>
    <w:p w14:paraId="6B3966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41AD1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декабря 1941 г. - из справки заведующего промышленным отделом ОК ВКП(б) т. Михеева об эвакуированном из Рязани заводе № 168 Народного комиссариата авиационной промышленности</w:t>
      </w:r>
    </w:p>
    <w:p w14:paraId="63DCDD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эвакуирован из г. Рязани согласно постановлению правительства № 186 от 12 ноября 1941 г. Прибыл, в основном, в Лопатино 28 ноября 1941 г. Эвакуация происходила наспех, на место назначения предварительно люди не были высланы и не поставлены в известность о предполагаемом приезде этого завода местные организации (СНК МАССР, Обком ВКП(б)).</w:t>
      </w:r>
    </w:p>
    <w:p w14:paraId="2B3C999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Основное оборудование и ряд материалов, необходимых на первое время, привезены. Переезд производился водой (Ока-Волга), и ряд барж с людьми и материалами оказались замороженными в различных пунктах следования. Так, например, одна баржа с материалами и полуфабрикатами замерзла под Муромом на Оке в 18 км от железной дороги. Сейчас организована перегрузка всех этих материалов на железную дорогу. Разрешение на подачу вагонов получено. Другая баржа замерзла около Васильсурска. В ней было около 60 человек. Эти люди в Лопатино еще не приехали и находятся где-то в пути. Там же, под Васильсурском, замерзла баржа с картофелем, которого было 200 т. Этот картофель сдан под расписку в Горьковскую область, представители которой при приеме заверили дирекцию завода, что такое же количество картофеля они получат в Марийской республике. Однако здесь в МАССР картофель взамен расписки о сдаче никто заводу выделить не может.</w:t>
      </w:r>
    </w:p>
    <w:p w14:paraId="4EDCDA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Часть материалов осталась в Рязани, отправка их в Лопатино будет произведена на днях железной дорогой.</w:t>
      </w:r>
    </w:p>
    <w:p w14:paraId="09AB8DA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Один цех - цех винтов для аэросаней - вследствие отсутствия свободных площадей в Лопатино временно размещен в Шумерлинском древкомбинате (Чувашия).</w:t>
      </w:r>
    </w:p>
    <w:p w14:paraId="1566F3B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 прибыло с заводом около 1100 человек. Основные кадры инженерно-технических работников и квалифицированных рабочих прибыли полностью. Не хватает некоторого количества вспомогательных рабочих, которые будут набраны на месте.</w:t>
      </w:r>
    </w:p>
    <w:p w14:paraId="299FE9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Парторганизация в количестве 105 человек коммунистов существует в том составе, который был в г. Рязани, необходимо только произвести довыборы некоторых выбывших членов партбюро. Завком профсоюза также остается старый, однако все учетные документы до настоящего времени еще неизвестно где находятся, так как забыли, куда грузили.</w:t>
      </w:r>
    </w:p>
    <w:p w14:paraId="76C60F8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Прибывшие люди по состоянию на 20 декабря 1941 г. еще не были полностью расселены, часть живет в здании управления ЛДК (Лопатинский древкомбинат). На это число было расселено в домах ЛДК около 700 человек. 19 декабря 1941 г. договорились еще расселить 100 человек. Остальные должны быть размещены по 4 близлежащим колхозам и в домах Волжского горсовета. Расселение продолжается ежедневно. Среди приезжих есть известный конструктор планеров т. Шереметьев. Существуют планера его конструкции под маркой Ш-10, Ш-2 и другие.</w:t>
      </w:r>
    </w:p>
    <w:p w14:paraId="274F99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одном корпусе разместился и сборочный, и фюзеляжный цехи. Сейчас производится сборка 2-х десантных планеров вместимостью по 20 человек с вооружением - пулеметом. По плану они должны быть закончены к 1 января 1942 г. Приступлено к приспособлению выделенных помещений под цехи и монтажу механического цеха, который имеет большую программу. Остальное деревообрабатывающее оборудование находится на территории древкомбината под открытым небом, и будет устанавливаться по мере устройства помещений под соответствующие цехи. Всего должно быть размещено около 10 основных различных цехов: крыльевой, центропланный, лонжеронный, раскроечно-заготовительный и т. д.</w:t>
      </w:r>
    </w:p>
    <w:p w14:paraId="33C442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Новое строительство будет производиться по титульному списку, уже составленному и утвержденному начальником 11 Главного управления НКАП. Для обеспечения и строительства лесоматериалов выделено 1000 кб.м. древесины. Распиловка потребного ассортимента пиломатериалов обеспечивается древкомбинатом.</w:t>
      </w:r>
    </w:p>
    <w:p w14:paraId="0B3219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Рабочая сила (строители) частично выделена древкомбинатом из наличия, а остальная часть будет завербована со стороны. Вопрос о строительном подрядчике пока еще остался открытым и впредь строительство должно вестись хозяйственным способом. Надо отметить, что к основному строительству будут приступать еще не скоро, так как большой объем работы предстоит проделать по приспособлению выделенных помещений под цехи, ввиду того, что они изысканы на чердаках (лонжеронный цех) и других, не отапливаемых местах. Требуется настилка пола, утепление стен и крыш, устройство отопления (парового) и различных складских, и конторских цеховых отделений.</w:t>
      </w:r>
    </w:p>
    <w:p w14:paraId="1C18E7B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Руководящий состав завода № 168: директор - Шпаков Иван Михайлович, член ВКП(б), главный инженер - Ханкин Исаак Залманович, член ВКП(б), парторг ЦК ВКП(б) - Конкин Федор Анисимович, член ВКП(б), заместитель директора по административно-хозяйственным вопросам - Кузнецов Г. И., член ВКП(б), заместитель директора по найму и увольнению - Шленцов А. Г., член ВКП(б).</w:t>
      </w:r>
    </w:p>
    <w:tbl>
      <w:tblPr>
        <w:tblW w:w="0" w:type="auto"/>
        <w:tblInd w:w="60" w:type="dxa"/>
        <w:tblLayout w:type="fixed"/>
        <w:tblCellMar>
          <w:left w:w="60" w:type="dxa"/>
          <w:right w:w="60" w:type="dxa"/>
        </w:tblCellMar>
        <w:tblLook w:val="0000" w:firstRow="0" w:lastRow="0" w:firstColumn="0" w:lastColumn="0" w:noHBand="0" w:noVBand="0"/>
      </w:tblPr>
      <w:tblGrid>
        <w:gridCol w:w="6386"/>
        <w:gridCol w:w="2973"/>
      </w:tblGrid>
      <w:tr w:rsidR="00643896" w:rsidRPr="00640820" w14:paraId="5069E18D" w14:textId="77777777" w:rsidTr="000D3BCB">
        <w:tc>
          <w:tcPr>
            <w:tcW w:w="6386" w:type="dxa"/>
            <w:tcBorders>
              <w:top w:val="nil"/>
              <w:left w:val="nil"/>
              <w:bottom w:val="nil"/>
              <w:right w:val="nil"/>
            </w:tcBorders>
          </w:tcPr>
          <w:p w14:paraId="027E63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Заведующий промышленным отделом ОК ВКП(б)</w:t>
            </w:r>
          </w:p>
        </w:tc>
        <w:tc>
          <w:tcPr>
            <w:tcW w:w="2973" w:type="dxa"/>
            <w:tcBorders>
              <w:top w:val="nil"/>
              <w:left w:val="nil"/>
              <w:bottom w:val="nil"/>
              <w:right w:val="nil"/>
            </w:tcBorders>
          </w:tcPr>
          <w:p w14:paraId="45AE72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Михеев</w:t>
            </w:r>
          </w:p>
        </w:tc>
      </w:tr>
      <w:tr w:rsidR="00643896" w:rsidRPr="00640820" w14:paraId="2DB47D53" w14:textId="77777777" w:rsidTr="000D3BCB">
        <w:tc>
          <w:tcPr>
            <w:tcW w:w="6386" w:type="dxa"/>
            <w:gridSpan w:val="2"/>
            <w:tcBorders>
              <w:top w:val="nil"/>
              <w:left w:val="nil"/>
              <w:bottom w:val="nil"/>
              <w:right w:val="nil"/>
            </w:tcBorders>
          </w:tcPr>
          <w:p w14:paraId="08FEB0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ГА РМЭ, ф. П-1, оп. 5, д. 40, л. 9-11.</w:t>
            </w:r>
          </w:p>
        </w:tc>
      </w:tr>
    </w:tbl>
    <w:p w14:paraId="00389F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(12074).</w:t>
      </w:r>
    </w:p>
    <w:p w14:paraId="173DCE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91CFF4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декабря 1941 вышел приказ НКАП № 1173:</w:t>
      </w:r>
    </w:p>
    <w:p w14:paraId="287A33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связи с эвакуацией з-в 31 и 45 в г. Тбилиси и размещением их на площадях з-да 448:</w:t>
      </w:r>
    </w:p>
    <w:p w14:paraId="730AE0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З-ды № 31, 45 и 448 объединить, присвоив объединенному з-ду № 31.</w:t>
      </w:r>
    </w:p>
    <w:p w14:paraId="035378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Утвердить д-м з-да 31 Саладзе Владимира Еремеевича,</w:t>
      </w:r>
    </w:p>
    <w:p w14:paraId="3440A7A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З-д № 131 (Кутаиси) передать з-ду № 31 на правах филиала.</w:t>
      </w:r>
    </w:p>
    <w:p w14:paraId="2F6B62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Шахурин (1328, 39).</w:t>
      </w:r>
    </w:p>
    <w:p w14:paraId="45AB83A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FE777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декабря 1941 года По приказу НКАП за № 1173с заводы №№ 31, 45 и 448 объединились и объединенному заводу был присвоен № 31 им. Димитрова.</w:t>
      </w:r>
    </w:p>
    <w:p w14:paraId="4DEA4D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Строительство завода № 448 начато в октябре 1940 года на основании постановления СНК и ЦК ВКП(б) от 19 сентября 1940 года за № 1723/692сс “О строительстве моторного завода в Тбилиси” и приказа НКАП от 24 сентября 1940 года за № 507сс. Было предусмотрено строительство завода по выпуску моторов типа М-105. В ноябре 1941 года завод выпустил два и в декабре 1941 года 18 ЛАГГ-3 с мотором М-105П, после чего перешел на серийный выпуск этих самолетов. С мая 1942 года по март 1944 года завод выпускал самолеты ЛАГГ-3, но уже с мотором М-105ПФ (с 1941 до конца 1943 гг. директорами завода работали Агаджанов и Саладзе, гл. конструкторами ЛАГГ-3 были Лавочкин, Горбунов и Гудков). В этот период завод также выполнял литье корпусов мин, выпускал стволы автоматов ППШ и др. В начале 1944 года заводу было поручено наладить выпуск новых истребителей ЯК-3 с мотором ВК-105ПФ. С апреля 1944 года завод приступил к серийному выпуску этого самолета. В 1944 году директор Саладзе В.Е. В начале 1945 года завод получил новое задание подготовиться к выпуску новой машины ЯК-3 с мотором ВК-107А с металлическими крыльями (директор Саладзе).</w:t>
      </w:r>
    </w:p>
    <w:p w14:paraId="30AFFE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Ввиду того. Что самолет ЯК-3 с ВК-107А не был доработан оказалось много конструктивных недостатков, приходилось несколько раз переделывать агрегаты, а иногда браковать готовые изделия.</w:t>
      </w:r>
    </w:p>
    <w:p w14:paraId="6AB096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Постановлением СМ от 12 сентября 1946 года за № 2049-846 заводу было дано новое задание: сдать до 20-го октября 1946 года 15 самолетов ЯК-15 с реактивными двигателями (директор Саладзе). С 1 января 1947 года завод полностью переключился на серийный выпуск самолетов ЯК-15 с реактивным двигателем РД-10.</w:t>
      </w:r>
    </w:p>
    <w:p w14:paraId="138E5F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Согласно постановлению СМ за № 3284-1071с от 17 сентября 1947 года дается новое задание по выпуску 2-х местных учебно-тренировочных истребителей ЯК-17 с реактивным двигателем РД-10 (директор Саладзе), серийный выпуск которых заводом был налажен в кратчайший срок, а производство самолетов ЯК-15 прекращено. В марте 1948 года по постановлению СМ за № 878-220с завод приступает к запуску в производство истребителей ЯК-17 боевой с реактивным двигателем РД-10 (директор Саладзе, а с июля 1948 года директором назначен Хведилиани Я.Р.), а выпускаемый заводом учебно-тренировочный истребитель получает наименование УТИ ЯК-17.</w:t>
      </w:r>
    </w:p>
    <w:p w14:paraId="57FDE4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Постепенно самолет УТИ ЯК-17 с производства снимается и завод полностью переключается на выпуск боевых машин ЯК-17 боевой. В декабре 1948 года завод получает новое правительственное задание начать выпуск самолета ЯК-23 с двигателем РД-500 (директор Хведелиани). В июле 1949 года завод получает новое Правительственное задание приступить к выпуску одноместных боевых реактивных истребителей МИГ-15. Однако в дальнейшем завод получил распоряжение запуск машины МИГ-15 прекратить и продолжить выпуск самолетов ЯК-23, которые завод выпускал до конца 1950 года. В начале 1951 года завод получает распоряжение Правительства прекратить производство самолетов ЯК-23 и приступить к запуску самолетов МИГ-15бис (директор Хведелиани).</w:t>
      </w:r>
    </w:p>
    <w:p w14:paraId="422F64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Согласно Постановлению СМ за № 3143-1481сс от 25 августа 1951 года и приказа МАП за № 851сс от 1 сентября 1951 года, завод получает задание подготовиться к выпуску нового самолета МИГ-17 и обеспечить его выпуск с декабря 1952 года.</w:t>
      </w:r>
    </w:p>
    <w:p w14:paraId="2F233E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завода Хведелиани</w:t>
      </w:r>
    </w:p>
    <w:p w14:paraId="761191C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Тбилиси, п/я 51. С июля 1956 года завод приступил к освоению нового самолета МИГ-21 (9821).</w:t>
      </w:r>
    </w:p>
    <w:p w14:paraId="1B1189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21927F6"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20 декабря 1941 - Первые B-25, переданные СССР по ленд-лизу доставили в Мурманск (пароход «Декабрист») (22697).</w:t>
      </w:r>
    </w:p>
    <w:p w14:paraId="0A1EC79C" w14:textId="77777777" w:rsidR="004902DB" w:rsidRPr="00640820" w:rsidRDefault="004902DB" w:rsidP="00640820">
      <w:pPr>
        <w:spacing w:after="0" w:line="240" w:lineRule="auto"/>
        <w:jc w:val="both"/>
        <w:rPr>
          <w:rFonts w:ascii="Times New Roman" w:hAnsi="Times New Roman"/>
          <w:color w:val="0070C0"/>
          <w:sz w:val="16"/>
          <w:szCs w:val="16"/>
        </w:rPr>
      </w:pPr>
    </w:p>
    <w:p w14:paraId="0AC3C65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декабря 1941 “Никогда не видели такого, с чем встречаемся здесь на каждом шагу. Станки устанав</w:t>
      </w:r>
      <w:r w:rsidRPr="00640820">
        <w:rPr>
          <w:rFonts w:ascii="Times New Roman" w:hAnsi="Times New Roman"/>
          <w:color w:val="000000" w:themeColor="text1"/>
          <w:sz w:val="16"/>
          <w:szCs w:val="16"/>
        </w:rPr>
        <w:softHyphen/>
        <w:t>ливают в цехах одновременно с возведением стен. В цехах начинают выпускать самолеты, когда еще нет окон, нет крыш. Снег покрывает человека, станок, но работа продолжается...”</w:t>
      </w:r>
    </w:p>
    <w:p w14:paraId="139BB7F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декабря 1941 г. из Казани прибыл первый экземп</w:t>
      </w:r>
      <w:r w:rsidRPr="00640820">
        <w:rPr>
          <w:rFonts w:ascii="Times New Roman" w:hAnsi="Times New Roman"/>
          <w:color w:val="000000" w:themeColor="text1"/>
          <w:sz w:val="16"/>
          <w:szCs w:val="16"/>
        </w:rPr>
        <w:softHyphen/>
        <w:t>ляр истребителя ТИС (А). Его собрали, отладили и 16 февраля 1942 г. ТИС (А) совершил первый полет. Эвакуированный вместе с другими недостроенными самолетами истребитель ИТП (М) подготовили к испы</w:t>
      </w:r>
      <w:r w:rsidRPr="00640820">
        <w:rPr>
          <w:rFonts w:ascii="Times New Roman" w:hAnsi="Times New Roman"/>
          <w:color w:val="000000" w:themeColor="text1"/>
          <w:sz w:val="16"/>
          <w:szCs w:val="16"/>
        </w:rPr>
        <w:softHyphen/>
        <w:t>таниям в середине февраля 1942 г. и 23 февраля состоял</w:t>
      </w:r>
      <w:r w:rsidRPr="00640820">
        <w:rPr>
          <w:rFonts w:ascii="Times New Roman" w:hAnsi="Times New Roman"/>
          <w:color w:val="000000" w:themeColor="text1"/>
          <w:sz w:val="16"/>
          <w:szCs w:val="16"/>
        </w:rPr>
        <w:softHyphen/>
        <w:t>ся первый полет. Один из первых образцов двигателя М-107П оказался настолько «сырым», что основные уси</w:t>
      </w:r>
      <w:r w:rsidRPr="00640820">
        <w:rPr>
          <w:rFonts w:ascii="Times New Roman" w:hAnsi="Times New Roman"/>
          <w:color w:val="000000" w:themeColor="text1"/>
          <w:sz w:val="16"/>
          <w:szCs w:val="16"/>
        </w:rPr>
        <w:softHyphen/>
        <w:t>лия были сосредоточены на доводке мотора и системы его охлаждения (10667).</w:t>
      </w:r>
    </w:p>
    <w:p w14:paraId="57EC59F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44222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декабря 1941 г. в ходе восковых испытаний ракетно-бронебойных снарядов РБС-82, РБС-132 и ракетно-осколочно-фугасных РОФС-132 на базе 47-й авиади</w:t>
      </w:r>
      <w:r w:rsidRPr="00640820">
        <w:rPr>
          <w:rFonts w:ascii="Times New Roman" w:hAnsi="Times New Roman"/>
          <w:color w:val="000000" w:themeColor="text1"/>
          <w:sz w:val="16"/>
          <w:szCs w:val="16"/>
        </w:rPr>
        <w:softHyphen/>
        <w:t>визии Западного фронта летчики 312-го штурмового авиаполка подпол</w:t>
      </w:r>
      <w:r w:rsidRPr="00640820">
        <w:rPr>
          <w:rFonts w:ascii="Times New Roman" w:hAnsi="Times New Roman"/>
          <w:color w:val="000000" w:themeColor="text1"/>
          <w:sz w:val="16"/>
          <w:szCs w:val="16"/>
        </w:rPr>
        <w:softHyphen/>
        <w:t>ковника Поморцева, которые проходили в период с 22 ноября 1941 г. по 22 января 1942 г., боевой вылет капитана Заноздры прошел успешно. Он также стрелял РБС-132 по скоплению техники (автомаши</w:t>
      </w:r>
      <w:r w:rsidRPr="00640820">
        <w:rPr>
          <w:rFonts w:ascii="Times New Roman" w:hAnsi="Times New Roman"/>
          <w:color w:val="000000" w:themeColor="text1"/>
          <w:sz w:val="16"/>
          <w:szCs w:val="16"/>
        </w:rPr>
        <w:softHyphen/>
        <w:t>ны и 3-4 танка) на стоянке у расположенного особняком дома, но с дис</w:t>
      </w:r>
      <w:r w:rsidRPr="00640820">
        <w:rPr>
          <w:rFonts w:ascii="Times New Roman" w:hAnsi="Times New Roman"/>
          <w:color w:val="000000" w:themeColor="text1"/>
          <w:sz w:val="16"/>
          <w:szCs w:val="16"/>
        </w:rPr>
        <w:softHyphen/>
        <w:t>танции 600-800 м с пологого пикирования под углом 10° со скоростью 350 км/ч. Рассмотреть результаты своей работы ему также не удалось. Вместе с ним в паре на задание вылетал и младший лейтенант Балашов. Цедь и режим пилотирования самолета у него не отличались от ведуще-го. Пилот отмечал, что результат применения РБС-132 довольно эффек</w:t>
      </w:r>
      <w:r w:rsidRPr="00640820">
        <w:rPr>
          <w:rFonts w:ascii="Times New Roman" w:hAnsi="Times New Roman"/>
          <w:color w:val="000000" w:themeColor="text1"/>
          <w:sz w:val="16"/>
          <w:szCs w:val="16"/>
        </w:rPr>
        <w:softHyphen/>
        <w:t>тен — снаряды имеют хорошие фугасное и проникающее действие, что оказывает сильное моральное воздействие на противника. Между тем применять их по автомашинам и обозам невыгодно. Наиболее опти</w:t>
      </w:r>
      <w:r w:rsidRPr="00640820">
        <w:rPr>
          <w:rFonts w:ascii="Times New Roman" w:hAnsi="Times New Roman"/>
          <w:color w:val="000000" w:themeColor="text1"/>
          <w:sz w:val="16"/>
          <w:szCs w:val="16"/>
        </w:rPr>
        <w:softHyphen/>
        <w:t>мальные цели для РБС-132 — танки (11402).</w:t>
      </w:r>
    </w:p>
    <w:p w14:paraId="4DDF59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C677574" w14:textId="77777777" w:rsidR="005B05F8" w:rsidRPr="00640820" w:rsidRDefault="005B05F8"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20 декабря 1941 г. в ходе войсковых испытаний (вторых по счету) реактивных снарядов РБС-82, РБС-132 и РОФС-132 в 47-й сад однополчанин Баранова командир эскадрильи капитан Заноздра осуще</w:t>
      </w:r>
      <w:r w:rsidRPr="00640820">
        <w:rPr>
          <w:color w:val="000000" w:themeColor="text1"/>
          <w:sz w:val="16"/>
          <w:szCs w:val="16"/>
        </w:rPr>
        <w:softHyphen/>
        <w:t>ствил пуск РБС-132 по автомашинам и 3—4 тан кам, находящимся на стоянке у отдельного дома. Стрельба велась с планирования под углом 10° с дистанции 600—800 м. Летчиком были отмечены большие огненные взрывы, кучность стрельбы — хорошая.</w:t>
      </w:r>
    </w:p>
    <w:p w14:paraId="7811AC0B" w14:textId="77777777" w:rsidR="005B05F8" w:rsidRPr="00640820" w:rsidRDefault="005B05F8"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24 декабря 1941 г. 3 летчика дивизии успешно атаковали реактивными снарядами наземные цели.</w:t>
      </w:r>
    </w:p>
    <w:p w14:paraId="59021815" w14:textId="77777777" w:rsidR="005B05F8" w:rsidRPr="00640820" w:rsidRDefault="005B05F8"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Лейтенант Уваров с планирования под углом 5—7° с дистанции 400—550 м вел стрельбу по тан</w:t>
      </w:r>
      <w:r w:rsidRPr="00640820">
        <w:rPr>
          <w:color w:val="000000" w:themeColor="text1"/>
          <w:sz w:val="16"/>
          <w:szCs w:val="16"/>
        </w:rPr>
        <w:softHyphen/>
        <w:t>кам и автомашинам. Снаряды легли в районе цели на расстоянии 1—2 м один от другого. После попа</w:t>
      </w:r>
      <w:r w:rsidRPr="00640820">
        <w:rPr>
          <w:color w:val="000000" w:themeColor="text1"/>
          <w:sz w:val="16"/>
          <w:szCs w:val="16"/>
        </w:rPr>
        <w:softHyphen/>
        <w:t>дания в дом, около которого были танки и автома</w:t>
      </w:r>
      <w:r w:rsidRPr="00640820">
        <w:rPr>
          <w:color w:val="000000" w:themeColor="text1"/>
          <w:sz w:val="16"/>
          <w:szCs w:val="16"/>
        </w:rPr>
        <w:softHyphen/>
        <w:t>шины, последовал сильный взрыв, сопровождаю</w:t>
      </w:r>
      <w:r w:rsidRPr="00640820">
        <w:rPr>
          <w:color w:val="000000" w:themeColor="text1"/>
          <w:sz w:val="16"/>
          <w:szCs w:val="16"/>
        </w:rPr>
        <w:softHyphen/>
        <w:t>щийся черным дымом. Дом взлетел на воздух.</w:t>
      </w:r>
    </w:p>
    <w:p w14:paraId="4062C1A9" w14:textId="77777777" w:rsidR="005B05F8" w:rsidRPr="00640820" w:rsidRDefault="005B05F8"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Капитан Фомин вел стрельбу РБС-82 с дистан</w:t>
      </w:r>
      <w:r w:rsidRPr="00640820">
        <w:rPr>
          <w:color w:val="000000" w:themeColor="text1"/>
          <w:sz w:val="16"/>
          <w:szCs w:val="16"/>
        </w:rPr>
        <w:softHyphen/>
        <w:t>ции 400—500 м с бреющего полета. Снаряды легли в 2—3 м друг от друга. При взрывах было много черного дыма, который не позволил рассмотреть количество пораженных целей.</w:t>
      </w:r>
    </w:p>
    <w:p w14:paraId="27AC36AE" w14:textId="77777777" w:rsidR="005B05F8" w:rsidRPr="00640820" w:rsidRDefault="005B05F8"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Старшина Сидоренко атаковал группу танков и автомашин с дистанции 400—500 м. Угол плани</w:t>
      </w:r>
      <w:r w:rsidRPr="00640820">
        <w:rPr>
          <w:color w:val="000000" w:themeColor="text1"/>
          <w:sz w:val="16"/>
          <w:szCs w:val="16"/>
        </w:rPr>
        <w:softHyphen/>
        <w:t>рования 5—10°. Снаряды легли в радиусе 1—2 м друг от друга. Прямых попаданий в танки заметить не удалось, но движение колонны прекратилось.</w:t>
      </w:r>
    </w:p>
    <w:p w14:paraId="14BA733A" w14:textId="77777777" w:rsidR="005B05F8" w:rsidRPr="00640820" w:rsidRDefault="005B05F8"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9 января 1942 г. капитан Заноздра 4 снарядами РОФС-132 с дистанции 600 м под углом планирова</w:t>
      </w:r>
      <w:r w:rsidRPr="00640820">
        <w:rPr>
          <w:color w:val="000000" w:themeColor="text1"/>
          <w:sz w:val="16"/>
          <w:szCs w:val="16"/>
        </w:rPr>
        <w:softHyphen/>
        <w:t>ния 5—6° атаковал 4 немецких танка. Разрывы сна</w:t>
      </w:r>
      <w:r w:rsidRPr="00640820">
        <w:rPr>
          <w:color w:val="000000" w:themeColor="text1"/>
          <w:sz w:val="16"/>
          <w:szCs w:val="16"/>
        </w:rPr>
        <w:softHyphen/>
        <w:t>рядов были в радиусе 50 м. Характер поражения заметить не удалось.</w:t>
      </w:r>
    </w:p>
    <w:p w14:paraId="4FE32C85" w14:textId="77777777" w:rsidR="005B05F8" w:rsidRPr="00640820" w:rsidRDefault="005B05F8"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В этот же день младший лейтенант Балашов вел стрельбу снарядами РОФС-132 по колонне ав</w:t>
      </w:r>
      <w:r w:rsidRPr="00640820">
        <w:rPr>
          <w:color w:val="000000" w:themeColor="text1"/>
          <w:sz w:val="16"/>
          <w:szCs w:val="16"/>
        </w:rPr>
        <w:softHyphen/>
        <w:t>томашин и повозок с дистанции 700 м. Снаряды упали посреди дороги, по которой двигалась ав</w:t>
      </w:r>
      <w:r w:rsidRPr="00640820">
        <w:rPr>
          <w:color w:val="000000" w:themeColor="text1"/>
          <w:sz w:val="16"/>
          <w:szCs w:val="16"/>
        </w:rPr>
        <w:softHyphen/>
        <w:t>токолонна, и вызвали большой взрыв. Силой взры</w:t>
      </w:r>
      <w:r w:rsidRPr="00640820">
        <w:rPr>
          <w:color w:val="000000" w:themeColor="text1"/>
          <w:sz w:val="16"/>
          <w:szCs w:val="16"/>
        </w:rPr>
        <w:softHyphen/>
        <w:t>ва обломки от автомашин подбросило на высоту до 70 м. Движение по дороге разорвалось метров на пятьдесят.</w:t>
      </w:r>
    </w:p>
    <w:p w14:paraId="592FC9D9" w14:textId="77777777" w:rsidR="005B05F8" w:rsidRPr="00640820" w:rsidRDefault="005B05F8"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9 января 1942 г. старший лейтенант Баранов вы</w:t>
      </w:r>
      <w:r w:rsidRPr="00640820">
        <w:rPr>
          <w:color w:val="000000" w:themeColor="text1"/>
          <w:sz w:val="16"/>
          <w:szCs w:val="16"/>
        </w:rPr>
        <w:softHyphen/>
        <w:t>пустил по железнодорожному составу 7 РОФС-132. Атаку летчик произвел с юго-востока от железной дороги, а погрузка вагонов шла с северной сто</w:t>
      </w:r>
      <w:r w:rsidRPr="00640820">
        <w:rPr>
          <w:color w:val="000000" w:themeColor="text1"/>
          <w:sz w:val="16"/>
          <w:szCs w:val="16"/>
        </w:rPr>
        <w:softHyphen/>
        <w:t>роны. Первый залп из 2 снарядов был выполнен с дистанции 1000 м, снаряды прошли над вагонами и разорвались на площадке, где в ожидании по</w:t>
      </w:r>
      <w:r w:rsidRPr="00640820">
        <w:rPr>
          <w:color w:val="000000" w:themeColor="text1"/>
          <w:sz w:val="16"/>
          <w:szCs w:val="16"/>
        </w:rPr>
        <w:softHyphen/>
        <w:t>грузки скопилось большое количество автомашин и танков. Остальные 5 снарядов летчик выпустил непосредственно по вагонам и добился прямых попаданий. Всего было разбито 8 вагонов. В 2 ваго</w:t>
      </w:r>
      <w:r w:rsidRPr="00640820">
        <w:rPr>
          <w:color w:val="000000" w:themeColor="text1"/>
          <w:sz w:val="16"/>
          <w:szCs w:val="16"/>
        </w:rPr>
        <w:softHyphen/>
        <w:t>нах произошел сильный взрыв, сопровождавший</w:t>
      </w:r>
      <w:r w:rsidRPr="00640820">
        <w:rPr>
          <w:color w:val="000000" w:themeColor="text1"/>
          <w:sz w:val="16"/>
          <w:szCs w:val="16"/>
        </w:rPr>
        <w:softHyphen/>
        <w:t>ся облаком дыма, другие же вагоны разлетелись в щепки.</w:t>
      </w:r>
    </w:p>
    <w:p w14:paraId="195F7A61" w14:textId="77777777" w:rsidR="005B05F8" w:rsidRPr="00640820" w:rsidRDefault="005B05F8" w:rsidP="00640820">
      <w:pPr>
        <w:pStyle w:val="129"/>
        <w:shd w:val="clear" w:color="auto" w:fill="auto"/>
        <w:tabs>
          <w:tab w:val="left" w:pos="596"/>
        </w:tabs>
        <w:spacing w:after="0" w:line="240" w:lineRule="auto"/>
        <w:jc w:val="both"/>
        <w:rPr>
          <w:color w:val="000000" w:themeColor="text1"/>
          <w:sz w:val="16"/>
          <w:szCs w:val="16"/>
        </w:rPr>
      </w:pPr>
      <w:r w:rsidRPr="00640820">
        <w:rPr>
          <w:color w:val="000000" w:themeColor="text1"/>
          <w:sz w:val="16"/>
          <w:szCs w:val="16"/>
        </w:rPr>
        <w:t>11 января 1942 Балашов нанес удар по скоплению автомашин и живой силы в населенном пункте. Условия стрельбы те же, как и в предыдущем вы</w:t>
      </w:r>
      <w:r w:rsidRPr="00640820">
        <w:rPr>
          <w:color w:val="000000" w:themeColor="text1"/>
          <w:sz w:val="16"/>
          <w:szCs w:val="16"/>
        </w:rPr>
        <w:softHyphen/>
        <w:t>лете. Силой взрыва в центре скопления автомашин крупные части машин подбросило выше самолета, а стоящий вблизи дом частично разрушился и за</w:t>
      </w:r>
      <w:r w:rsidRPr="00640820">
        <w:rPr>
          <w:color w:val="000000" w:themeColor="text1"/>
          <w:sz w:val="16"/>
          <w:szCs w:val="16"/>
        </w:rPr>
        <w:softHyphen/>
        <w:t>горелся.</w:t>
      </w:r>
    </w:p>
    <w:p w14:paraId="7EE687F8" w14:textId="77777777" w:rsidR="005B05F8" w:rsidRPr="00640820" w:rsidRDefault="005B05F8" w:rsidP="00640820">
      <w:pPr>
        <w:pStyle w:val="129"/>
        <w:shd w:val="clear" w:color="auto" w:fill="auto"/>
        <w:tabs>
          <w:tab w:val="left" w:pos="591"/>
        </w:tabs>
        <w:spacing w:after="0" w:line="240" w:lineRule="auto"/>
        <w:jc w:val="both"/>
        <w:rPr>
          <w:color w:val="000000" w:themeColor="text1"/>
          <w:sz w:val="16"/>
          <w:szCs w:val="16"/>
        </w:rPr>
      </w:pPr>
      <w:r w:rsidRPr="00640820">
        <w:rPr>
          <w:color w:val="000000" w:themeColor="text1"/>
          <w:sz w:val="16"/>
          <w:szCs w:val="16"/>
        </w:rPr>
        <w:t>12 января 1942 стрельба РСами велась Балашовым также по скоплению живой силы и техники. Авто</w:t>
      </w:r>
      <w:r w:rsidRPr="00640820">
        <w:rPr>
          <w:color w:val="000000" w:themeColor="text1"/>
          <w:sz w:val="16"/>
          <w:szCs w:val="16"/>
        </w:rPr>
        <w:softHyphen/>
        <w:t>машины стояли замаскированными около домов, а людской состав, по-видимому, находился в домах. В результате прямых попаданий в дома последние разлетались в щепки и возникали пожары. Столб дыма и пыли поднялся над местами взрыва метров на тридцать.</w:t>
      </w:r>
    </w:p>
    <w:p w14:paraId="6CFB1FCA" w14:textId="77777777" w:rsidR="005B05F8" w:rsidRPr="00640820" w:rsidRDefault="005B05F8"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В этот же день старший лейтенант Баранов ата</w:t>
      </w:r>
      <w:r w:rsidRPr="00640820">
        <w:rPr>
          <w:color w:val="000000" w:themeColor="text1"/>
          <w:sz w:val="16"/>
          <w:szCs w:val="16"/>
        </w:rPr>
        <w:softHyphen/>
        <w:t>ковал колонну автомашин и гужевого транспорта немцев вблизи одного из населенных пунктов. По докладу летчика, было уничтожено около 15 под</w:t>
      </w:r>
      <w:r w:rsidRPr="00640820">
        <w:rPr>
          <w:color w:val="000000" w:themeColor="text1"/>
          <w:sz w:val="16"/>
          <w:szCs w:val="16"/>
        </w:rPr>
        <w:softHyphen/>
        <w:t>вод и автомашин с прислугой.</w:t>
      </w:r>
    </w:p>
    <w:p w14:paraId="78FF7B65" w14:textId="77777777" w:rsidR="005B05F8" w:rsidRPr="00640820" w:rsidRDefault="005B05F8"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Два реактивных снаряда летчик выпустил по ко</w:t>
      </w:r>
      <w:r w:rsidRPr="00640820">
        <w:rPr>
          <w:color w:val="000000" w:themeColor="text1"/>
          <w:sz w:val="16"/>
          <w:szCs w:val="16"/>
        </w:rPr>
        <w:softHyphen/>
        <w:t>лонне гужевого транспорта в составе до 35 подвод. Снаряды попали в середину колонны. По-видимому, в повозках были боеприпасы, так как произошел сильный взрыв и в воздух взлетели обломки по</w:t>
      </w:r>
      <w:r w:rsidRPr="00640820">
        <w:rPr>
          <w:color w:val="000000" w:themeColor="text1"/>
          <w:sz w:val="16"/>
          <w:szCs w:val="16"/>
        </w:rPr>
        <w:softHyphen/>
        <w:t>возок, куски лошадей и людей. Боясь повреждения самолета, Баранову пришлось резко «взять гор</w:t>
      </w:r>
      <w:r w:rsidRPr="00640820">
        <w:rPr>
          <w:color w:val="000000" w:themeColor="text1"/>
          <w:sz w:val="16"/>
          <w:szCs w:val="16"/>
        </w:rPr>
        <w:softHyphen/>
        <w:t>ку». Один РС был выпущен по дому, где скопилось много солдат противника. От прямого попадания дом совершенно развалился и загорелся, обломки взлетели на высоту до 50 м. Остальными снарядами были атакованы автомашины, которые разлетались в щепки и горели.</w:t>
      </w:r>
    </w:p>
    <w:p w14:paraId="7C2DCAFF" w14:textId="77777777" w:rsidR="005B05F8" w:rsidRPr="00640820" w:rsidRDefault="005B05F8"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В этот же день капитан Фомин снарядами РОФС-132 с высоты 15—20 м с дистанции 500— 450 м произвел эффектную стрельбу по скоплению автомашин в деревне. Летчик наблюдал сильные взрывы, черный дым и летящие обломки автома</w:t>
      </w:r>
      <w:r w:rsidRPr="00640820">
        <w:rPr>
          <w:color w:val="000000" w:themeColor="text1"/>
          <w:sz w:val="16"/>
          <w:szCs w:val="16"/>
        </w:rPr>
        <w:softHyphen/>
        <w:t>шин. Например, колесо от автомашины взлетело в воздух на высоту до 80 м примерно в 200 м впе</w:t>
      </w:r>
      <w:r w:rsidRPr="00640820">
        <w:rPr>
          <w:color w:val="000000" w:themeColor="text1"/>
          <w:sz w:val="16"/>
          <w:szCs w:val="16"/>
        </w:rPr>
        <w:softHyphen/>
        <w:t>реди самолета, чтобы избежать столкновения, капи</w:t>
      </w:r>
      <w:r w:rsidRPr="00640820">
        <w:rPr>
          <w:color w:val="000000" w:themeColor="text1"/>
          <w:sz w:val="16"/>
          <w:szCs w:val="16"/>
        </w:rPr>
        <w:softHyphen/>
        <w:t>тану пришлось отвернуть в сторону. По-видимому, снаряд попал в машину с боеприпасами.</w:t>
      </w:r>
    </w:p>
    <w:p w14:paraId="03D19BD7" w14:textId="77777777" w:rsidR="005B05F8" w:rsidRPr="00640820" w:rsidRDefault="005B05F8"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13 января 1942 г. лейтенант Коротков вел стрельбу реактивными снарядами по населенно</w:t>
      </w:r>
      <w:r w:rsidRPr="00640820">
        <w:rPr>
          <w:color w:val="000000" w:themeColor="text1"/>
          <w:sz w:val="16"/>
          <w:szCs w:val="16"/>
        </w:rPr>
        <w:softHyphen/>
        <w:t>му пункту и автомашинам в нем. Им было отмече</w:t>
      </w:r>
      <w:r w:rsidRPr="00640820">
        <w:rPr>
          <w:color w:val="000000" w:themeColor="text1"/>
          <w:sz w:val="16"/>
          <w:szCs w:val="16"/>
        </w:rPr>
        <w:softHyphen/>
        <w:t>но, что при попадании снаряда в деревянный дом последний разрушается и немедленно загорается, автомашины превращаются в обломки, которые взлетают выше самолета, и при стрельбе с малой дистанции возможно повреждение самолета.</w:t>
      </w:r>
    </w:p>
    <w:p w14:paraId="1B543CAF" w14:textId="77777777" w:rsidR="005B05F8" w:rsidRPr="00640820" w:rsidRDefault="005B05F8"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В отчете о войсковых испытаниях реактивных снарядов РБС-82, РБС-132 и РОФС-132 в боевых ус</w:t>
      </w:r>
      <w:r w:rsidRPr="00640820">
        <w:rPr>
          <w:color w:val="000000" w:themeColor="text1"/>
          <w:sz w:val="16"/>
          <w:szCs w:val="16"/>
        </w:rPr>
        <w:softHyphen/>
        <w:t>ловиях летный состав 47-й сад сделал следующие выводы:</w:t>
      </w:r>
    </w:p>
    <w:p w14:paraId="09A8B42F" w14:textId="77777777" w:rsidR="005B05F8" w:rsidRPr="00640820" w:rsidRDefault="005B05F8"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«1) РБС-82 является мощным оружием истреби</w:t>
      </w:r>
      <w:r w:rsidRPr="00640820">
        <w:rPr>
          <w:color w:val="000000" w:themeColor="text1"/>
          <w:sz w:val="16"/>
          <w:szCs w:val="16"/>
        </w:rPr>
        <w:softHyphen/>
        <w:t>тельной авиации для поражения танков, бронема</w:t>
      </w:r>
      <w:r w:rsidRPr="00640820">
        <w:rPr>
          <w:color w:val="000000" w:themeColor="text1"/>
          <w:sz w:val="16"/>
          <w:szCs w:val="16"/>
        </w:rPr>
        <w:softHyphen/>
        <w:t>шин, бронепоездов и других объектов, имеющих броневое покрытие до 50 мм. Применение целесо</w:t>
      </w:r>
      <w:r w:rsidRPr="00640820">
        <w:rPr>
          <w:color w:val="000000" w:themeColor="text1"/>
          <w:sz w:val="16"/>
          <w:szCs w:val="16"/>
        </w:rPr>
        <w:softHyphen/>
        <w:t>образно на пикировании с углом не менее 60° или на планировании с углами до 15°. Наличие РБС-82 делает самолет-истребитель мощным орудием для борьбы с танками противника;</w:t>
      </w:r>
    </w:p>
    <w:p w14:paraId="281521CD" w14:textId="77777777" w:rsidR="005B05F8" w:rsidRPr="00640820" w:rsidRDefault="005B05F8" w:rsidP="00640820">
      <w:pPr>
        <w:pStyle w:val="129"/>
        <w:shd w:val="clear" w:color="auto" w:fill="auto"/>
        <w:tabs>
          <w:tab w:val="left" w:pos="582"/>
        </w:tabs>
        <w:spacing w:after="0" w:line="240" w:lineRule="auto"/>
        <w:jc w:val="both"/>
        <w:rPr>
          <w:color w:val="000000" w:themeColor="text1"/>
          <w:sz w:val="16"/>
          <w:szCs w:val="16"/>
        </w:rPr>
      </w:pPr>
      <w:r w:rsidRPr="00640820">
        <w:rPr>
          <w:color w:val="000000" w:themeColor="text1"/>
          <w:sz w:val="16"/>
          <w:szCs w:val="16"/>
        </w:rPr>
        <w:t>2) РБС-132 является мощным огневым сред</w:t>
      </w:r>
      <w:r w:rsidRPr="00640820">
        <w:rPr>
          <w:color w:val="000000" w:themeColor="text1"/>
          <w:sz w:val="16"/>
          <w:szCs w:val="16"/>
        </w:rPr>
        <w:softHyphen/>
        <w:t>ством для поражения бронированных целей про</w:t>
      </w:r>
      <w:r w:rsidRPr="00640820">
        <w:rPr>
          <w:color w:val="000000" w:themeColor="text1"/>
          <w:sz w:val="16"/>
          <w:szCs w:val="16"/>
        </w:rPr>
        <w:softHyphen/>
        <w:t>тивника стрельбой с самолетов штурмовиков и бомбардировщиков с горизонтального, планиру</w:t>
      </w:r>
      <w:r w:rsidRPr="00640820">
        <w:rPr>
          <w:color w:val="000000" w:themeColor="text1"/>
          <w:sz w:val="16"/>
          <w:szCs w:val="16"/>
        </w:rPr>
        <w:softHyphen/>
        <w:t>ющего или пикирующего полета. В число этих це</w:t>
      </w:r>
      <w:r w:rsidRPr="00640820">
        <w:rPr>
          <w:color w:val="000000" w:themeColor="text1"/>
          <w:sz w:val="16"/>
          <w:szCs w:val="16"/>
        </w:rPr>
        <w:softHyphen/>
        <w:t>лей могут входить: тяжелые танки, бронепоезда, ба</w:t>
      </w:r>
      <w:r w:rsidRPr="00640820">
        <w:rPr>
          <w:color w:val="000000" w:themeColor="text1"/>
          <w:sz w:val="16"/>
          <w:szCs w:val="16"/>
        </w:rPr>
        <w:softHyphen/>
        <w:t>тареи береговой обороны, морские и речные суда, имеющие бронирование до 75 мм, а также полевые бетонированные сооружения и каменные строения гражданского типа. Самолет Ил-2, вооруженный РБС-132, будет являться мощным штурмовиком для действия по бронированным и сильно укреплен</w:t>
      </w:r>
      <w:r w:rsidRPr="00640820">
        <w:rPr>
          <w:color w:val="000000" w:themeColor="text1"/>
          <w:sz w:val="16"/>
          <w:szCs w:val="16"/>
        </w:rPr>
        <w:softHyphen/>
        <w:t>ным целям;</w:t>
      </w:r>
    </w:p>
    <w:p w14:paraId="4DBE8E30" w14:textId="77777777" w:rsidR="005B05F8" w:rsidRPr="00640820" w:rsidRDefault="005B05F8" w:rsidP="00640820">
      <w:pPr>
        <w:pStyle w:val="129"/>
        <w:shd w:val="clear" w:color="auto" w:fill="auto"/>
        <w:tabs>
          <w:tab w:val="left" w:pos="543"/>
        </w:tabs>
        <w:spacing w:after="0" w:line="240" w:lineRule="auto"/>
        <w:jc w:val="both"/>
        <w:rPr>
          <w:color w:val="000000" w:themeColor="text1"/>
          <w:sz w:val="16"/>
          <w:szCs w:val="16"/>
        </w:rPr>
      </w:pPr>
      <w:r w:rsidRPr="00640820">
        <w:rPr>
          <w:color w:val="000000" w:themeColor="text1"/>
          <w:sz w:val="16"/>
          <w:szCs w:val="16"/>
        </w:rPr>
        <w:t>3) РОФС-132 является мощным снарядом оско</w:t>
      </w:r>
      <w:r w:rsidRPr="00640820">
        <w:rPr>
          <w:color w:val="000000" w:themeColor="text1"/>
          <w:sz w:val="16"/>
          <w:szCs w:val="16"/>
        </w:rPr>
        <w:softHyphen/>
        <w:t>лочно-фугасного действия. Применение его на са</w:t>
      </w:r>
      <w:r w:rsidRPr="00640820">
        <w:rPr>
          <w:color w:val="000000" w:themeColor="text1"/>
          <w:sz w:val="16"/>
          <w:szCs w:val="16"/>
        </w:rPr>
        <w:softHyphen/>
        <w:t>молете Ил-2 в 8—10 раз увеличивает его огневую мощь в сравнении с применением штатного РС-82 и в 3—4 раза со штатным РС-132;</w:t>
      </w:r>
    </w:p>
    <w:p w14:paraId="2261A3AD" w14:textId="77777777" w:rsidR="005B05F8" w:rsidRPr="00640820" w:rsidRDefault="005B05F8" w:rsidP="00640820">
      <w:pPr>
        <w:pStyle w:val="129"/>
        <w:shd w:val="clear" w:color="auto" w:fill="auto"/>
        <w:tabs>
          <w:tab w:val="left" w:pos="548"/>
        </w:tabs>
        <w:spacing w:after="0" w:line="240" w:lineRule="auto"/>
        <w:jc w:val="both"/>
        <w:rPr>
          <w:color w:val="000000" w:themeColor="text1"/>
          <w:sz w:val="16"/>
          <w:szCs w:val="16"/>
        </w:rPr>
      </w:pPr>
      <w:r w:rsidRPr="00640820">
        <w:rPr>
          <w:color w:val="000000" w:themeColor="text1"/>
          <w:sz w:val="16"/>
          <w:szCs w:val="16"/>
        </w:rPr>
        <w:t>4) установить точное количество пораженных целей не было возможности. Летчики, летавшие с РБС-82, отмечали прямые попадания в танки, дома и автомашины. Со слов летчиков, летавших с РБС-132, можно считать, что выведено из строя не менее 20 танков, 35—40 автомашин и разрушено несколько строений, используемых противником. По единодушному заключению летчиков, летавших с РОФС-132, действие этого снаряда у цели исклю</w:t>
      </w:r>
      <w:r w:rsidRPr="00640820">
        <w:rPr>
          <w:color w:val="000000" w:themeColor="text1"/>
          <w:sz w:val="16"/>
          <w:szCs w:val="16"/>
        </w:rPr>
        <w:softHyphen/>
        <w:t>чительно сильное и превосходящее «все ожида</w:t>
      </w:r>
      <w:r w:rsidRPr="00640820">
        <w:rPr>
          <w:color w:val="000000" w:themeColor="text1"/>
          <w:sz w:val="16"/>
          <w:szCs w:val="16"/>
        </w:rPr>
        <w:softHyphen/>
        <w:t>ния». Действием РОФС-132 противнику нанесен большой ущерб;</w:t>
      </w:r>
    </w:p>
    <w:p w14:paraId="16D0EE54" w14:textId="77777777" w:rsidR="005B05F8" w:rsidRPr="00640820" w:rsidRDefault="005B05F8" w:rsidP="00640820">
      <w:pPr>
        <w:pStyle w:val="129"/>
        <w:shd w:val="clear" w:color="auto" w:fill="auto"/>
        <w:tabs>
          <w:tab w:val="left" w:pos="529"/>
        </w:tabs>
        <w:spacing w:after="0" w:line="240" w:lineRule="auto"/>
        <w:jc w:val="both"/>
        <w:rPr>
          <w:color w:val="000000" w:themeColor="text1"/>
          <w:sz w:val="16"/>
          <w:szCs w:val="16"/>
        </w:rPr>
      </w:pPr>
      <w:r w:rsidRPr="00640820">
        <w:rPr>
          <w:color w:val="000000" w:themeColor="text1"/>
          <w:sz w:val="16"/>
          <w:szCs w:val="16"/>
        </w:rPr>
        <w:lastRenderedPageBreak/>
        <w:t>5) метеорологические условия и обстановка на фронте не позволили полностью использовать ра</w:t>
      </w:r>
      <w:r w:rsidRPr="00640820">
        <w:rPr>
          <w:color w:val="000000" w:themeColor="text1"/>
          <w:sz w:val="16"/>
          <w:szCs w:val="16"/>
        </w:rPr>
        <w:softHyphen/>
        <w:t>кетные бронебойные снаряды. Ввиду отсутствия скоплений бронетанковых сил противника на отве</w:t>
      </w:r>
      <w:r w:rsidRPr="00640820">
        <w:rPr>
          <w:color w:val="000000" w:themeColor="text1"/>
          <w:sz w:val="16"/>
          <w:szCs w:val="16"/>
        </w:rPr>
        <w:softHyphen/>
        <w:t>денном участке фронта не было возможности ши</w:t>
      </w:r>
      <w:r w:rsidRPr="00640820">
        <w:rPr>
          <w:color w:val="000000" w:themeColor="text1"/>
          <w:sz w:val="16"/>
          <w:szCs w:val="16"/>
        </w:rPr>
        <w:softHyphen/>
        <w:t>роко применять РБС и по инициативе оперативной группы в 47 АД были применены РОФС-132.</w:t>
      </w:r>
    </w:p>
    <w:p w14:paraId="6853D51E" w14:textId="77777777" w:rsidR="005B05F8" w:rsidRPr="00640820" w:rsidRDefault="005B05F8"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За время работы израсходовано: РБС-82 — 60 шт., РБС-132 — 80 шт., РОФС-132 — 200 шт.» (17500).</w:t>
      </w:r>
    </w:p>
    <w:p w14:paraId="7323E079" w14:textId="77777777" w:rsidR="005B05F8" w:rsidRPr="00640820" w:rsidRDefault="005B05F8" w:rsidP="00640820">
      <w:pPr>
        <w:spacing w:after="0" w:line="240" w:lineRule="auto"/>
        <w:jc w:val="both"/>
        <w:rPr>
          <w:rFonts w:ascii="Times New Roman" w:hAnsi="Times New Roman"/>
          <w:color w:val="000000" w:themeColor="text1"/>
          <w:sz w:val="16"/>
          <w:szCs w:val="16"/>
        </w:rPr>
      </w:pPr>
    </w:p>
    <w:p w14:paraId="42677679"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1638C4D2"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AE35CF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20 декабря 1941 г. КБ завода № 183 уже закончило работу по снижению трудоемкости и конструктивным изме</w:t>
      </w:r>
      <w:r w:rsidRPr="00640820">
        <w:rPr>
          <w:rFonts w:ascii="Times New Roman" w:hAnsi="Times New Roman"/>
          <w:color w:val="000000" w:themeColor="text1"/>
          <w:sz w:val="16"/>
          <w:szCs w:val="16"/>
        </w:rPr>
        <w:softHyphen/>
        <w:t>нениям танка Т-34, в связи с переводом большинства деталей на литье (10703).</w:t>
      </w:r>
    </w:p>
    <w:p w14:paraId="1F7358A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1D23D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декабря 1941, в ходе контрнаступления под Москвой, завод № 183 в Нижнем Тагиле сдал заказчику пер</w:t>
      </w:r>
      <w:r w:rsidRPr="00640820">
        <w:rPr>
          <w:rFonts w:ascii="Times New Roman" w:hAnsi="Times New Roman"/>
          <w:color w:val="000000" w:themeColor="text1"/>
          <w:sz w:val="16"/>
          <w:szCs w:val="16"/>
        </w:rPr>
        <w:softHyphen/>
        <w:t>вые 25 танков. Главной проблемой для этих танков стали ди</w:t>
      </w:r>
      <w:r w:rsidRPr="00640820">
        <w:rPr>
          <w:rFonts w:ascii="Times New Roman" w:hAnsi="Times New Roman"/>
          <w:color w:val="000000" w:themeColor="text1"/>
          <w:sz w:val="16"/>
          <w:szCs w:val="16"/>
        </w:rPr>
        <w:softHyphen/>
        <w:t>зель-моторы, и потому на них установили 5 дизелей В-2 (480 л.с.), полученных из Челябинска, 12 дизелей В-2-34 (500 л.с.), привезенных из Харькова, а также 8 дизелей В-2В (300 л.с. от тягача «Ворошиловец») (10782).</w:t>
      </w:r>
    </w:p>
    <w:p w14:paraId="23F3A2E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BE390F"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состоянию на 20 декабря 1941 имелось только 11 машин, принятых пробегом и собранных из привезенного с собой харьковского задела (по новому плану уже в декабре 1941 года, находясь на новом месте, предприятие должно бышо изготовить 170 тридцатъчетверок). Невыполнение плана произошло по следующим причинам:</w:t>
      </w:r>
    </w:p>
    <w:p w14:paraId="209FE1EC"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«Невыполнение программы - из-за механических цехов, вместо 963 станков установлено 717, в эксплуатации —лишь 435.</w:t>
      </w:r>
    </w:p>
    <w:p w14:paraId="30AADCAC"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Еще не прибыло оборудование с Харькова: 160 вагонов с оборудованием, оснасткой и материалами.</w:t>
      </w:r>
    </w:p>
    <w:p w14:paraId="25E08655"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участку нормалей: из 250 чело- зек есть только 54. Комитет Обороны обязал ряд наркоматов выделить 6000 квалифицированный рабочих.</w:t>
      </w:r>
    </w:p>
    <w:p w14:paraId="318E282C"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привезенной брони имеется 80 комплектов корпусов, 120 комплектов башен (уже сварено 69 корпусов и 66 башен).</w:t>
      </w:r>
    </w:p>
    <w:p w14:paraId="35A7E9CA"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Работающих стендов для сварки корпусов - 8, в монтаже еще - 3. Уралвагонзавод имеет задание по литым башням на декабрь 250 шт., на 20 декабря отлито 80 шт., но термически не обработаны.</w:t>
      </w:r>
    </w:p>
    <w:p w14:paraId="05C0C101"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20 декабря имеется дизелей В-2 50 шт. с завода № 76, стартеров 180 шт., моторов МБ-20 - 60 шт.. АКБ - 800 шт., реле РРТ - 220 шт.. радиостанций - 15 шт. (б/у), смотровык стекол на 30 машин, систем Ф-34 - 50 шт., ЗИС-4 - 12 шт.. пулеметов ДТ - 446 шт., дисков ДТ - 5930 шт.. оптики для Ф-34 на 17 машин, для ЗИС-4 на 71 машину.</w:t>
      </w:r>
    </w:p>
    <w:p w14:paraId="4EB8F5F0"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Опытные работы заводом до сих пор не проводятся, в результате чего может получиться, что имеющийся задел весь выйдет и будем вынуждены ряд деталей и механизмов не испытывая ставить на машины.</w:t>
      </w:r>
    </w:p>
    <w:p w14:paraId="28BFE955"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январе 1942 года завод может вытускать 100— 150 танков при условии нормальной работы термических цехов (бывший Мариупольский завод). Из-за отсутствия радиостанций будут выпускаться только линейные танки.</w:t>
      </w:r>
    </w:p>
    <w:p w14:paraId="65671FFE"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Производственные площади завода и громадная литейная база и имеющееся оборудование позволяют развить производство до 15-20 танков в день. Для этой цели на базе Уралвагонзавода создается второй завод (завод № 184), который будет выполнять механическую обработку деталей и сборку механизмов и афегатов Т-34. Завод с оборудованием прибыл из Москвы в Нижний Тагил (часть станкозавода им. Орджоникидзе), но пока не имеет производственных площадей. Выпуск 15-20 шт. танков в день возможен с апреля 1942 года.</w:t>
      </w:r>
    </w:p>
    <w:p w14:paraId="4043435E"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КБ закончило работу по снижению трудоемкости и конструктивным изменениям Т-34, в связи с переводом большинства деталей на литье».</w:t>
      </w:r>
    </w:p>
    <w:p w14:paraId="6F7C3CCB"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Особого внимания в этом отчете, подписанном военпредом Козыревым, заслуживает количество имеющихся бронедеталей - 80 комплектов бронекорпусови 120 комплектов башен. Дело в том, что литые башни Т-34, до этого отливавшиеся в Мариуполе а также на Кулебакском заводе (по технологии завода имени Ильича), имели очень сложную форму с точки зрения литья. Сварная башня требовала дефицитного оборудования для гибки, правки листов, строжки кромок и т.п. Технология изготовления и сборки таких башен также была очень сложной, и до осени 1941 года никто, кроме Мариупольского завода полностью ее не освоил. А так как большая часть оборудования завода имени Ильича оказалась не вывезенной, то налаживание выпуска башен в Нижнем Тагиле, а тем более увеличение производства, представляло большие трудности (12217).</w:t>
      </w:r>
    </w:p>
    <w:p w14:paraId="0C353B2C" w14:textId="77777777" w:rsidR="00045010" w:rsidRPr="00640820" w:rsidRDefault="00045010" w:rsidP="00640820">
      <w:pPr>
        <w:spacing w:after="0" w:line="240" w:lineRule="auto"/>
        <w:jc w:val="both"/>
        <w:rPr>
          <w:rFonts w:ascii="Times New Roman" w:hAnsi="Times New Roman"/>
          <w:color w:val="000000" w:themeColor="text1"/>
          <w:sz w:val="16"/>
          <w:szCs w:val="16"/>
        </w:rPr>
      </w:pPr>
    </w:p>
    <w:p w14:paraId="712BD1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декабря 1941 года вышло постановление Объединенного бюро МК и МГК ВКП(б), в соответствии с которым уже к концу декабря в Москве на площадях эвакуированного завода КИМ был развернут новый Завод №39 (Почтовый ящик №1428) Танковой промышленности. В цехах автозавода был развернут ремонт поступающих с фронта танковых двигателей В-2, В-2в и В-2к, который производился заводом №39 вплоть до момента своей ликвидации 12 декабря 1943 года., после чего заводские цеха опять опустели до весны 1944 года (10766).</w:t>
      </w:r>
    </w:p>
    <w:p w14:paraId="39126AB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2947800"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декабря 1941 года вышел приказ № 98с НКТП Челябинск</w:t>
      </w:r>
    </w:p>
    <w:p w14:paraId="64CC4E19"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 организации производства танков Т-50 на заводе № 173 в Омске (6043, 139).</w:t>
      </w:r>
    </w:p>
    <w:p w14:paraId="0CDCF478"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39B5BD7" w14:textId="77777777" w:rsidR="003C65D8" w:rsidRPr="00640820" w:rsidRDefault="003C65D8" w:rsidP="00640820">
      <w:pPr>
        <w:pStyle w:val="162"/>
        <w:shd w:val="clear" w:color="auto" w:fill="auto"/>
        <w:spacing w:line="240" w:lineRule="auto"/>
        <w:jc w:val="both"/>
        <w:rPr>
          <w:color w:val="000000" w:themeColor="text1"/>
          <w:sz w:val="16"/>
          <w:szCs w:val="16"/>
        </w:rPr>
      </w:pPr>
      <w:r w:rsidRPr="00640820">
        <w:rPr>
          <w:color w:val="000000" w:themeColor="text1"/>
          <w:sz w:val="16"/>
          <w:szCs w:val="16"/>
        </w:rPr>
        <w:t>К</w:t>
      </w:r>
      <w:r w:rsidRPr="00640820">
        <w:rPr>
          <w:rFonts w:eastAsia="Calibri"/>
          <w:color w:val="000000" w:themeColor="text1"/>
          <w:sz w:val="16"/>
          <w:szCs w:val="16"/>
        </w:rPr>
        <w:t xml:space="preserve"> 20 декабря 1941 года</w:t>
      </w:r>
      <w:r w:rsidRPr="00640820">
        <w:rPr>
          <w:color w:val="000000" w:themeColor="text1"/>
          <w:sz w:val="16"/>
          <w:szCs w:val="16"/>
        </w:rPr>
        <w:t xml:space="preserve"> о</w:t>
      </w:r>
      <w:r w:rsidRPr="00640820">
        <w:rPr>
          <w:rFonts w:eastAsia="Calibri"/>
          <w:color w:val="000000" w:themeColor="text1"/>
          <w:sz w:val="16"/>
          <w:szCs w:val="16"/>
        </w:rPr>
        <w:t>ба проекта</w:t>
      </w:r>
      <w:r w:rsidRPr="00640820">
        <w:rPr>
          <w:color w:val="000000" w:themeColor="text1"/>
          <w:sz w:val="16"/>
          <w:szCs w:val="16"/>
        </w:rPr>
        <w:t xml:space="preserve"> перевооружения Т-60</w:t>
      </w:r>
      <w:r w:rsidRPr="00640820">
        <w:rPr>
          <w:rFonts w:eastAsia="Calibri"/>
          <w:color w:val="000000" w:themeColor="text1"/>
          <w:sz w:val="16"/>
          <w:szCs w:val="16"/>
        </w:rPr>
        <w:t xml:space="preserve"> имели как до</w:t>
      </w:r>
      <w:r w:rsidRPr="00640820">
        <w:rPr>
          <w:rFonts w:eastAsia="Calibri"/>
          <w:color w:val="000000" w:themeColor="text1"/>
          <w:sz w:val="16"/>
          <w:szCs w:val="16"/>
        </w:rPr>
        <w:softHyphen/>
        <w:t>стоинства, так и недостатки. Дело в том, что 45-мм пушка обр. 1938 года имела гораздо больший вес по сравнению с ТНШ, и после ее установки башня становилась неуравновешенной. В результате поворот башни на высоких углах возвышения пушки становился затруднительным. Для устранения данного недостатка предлагалось разместить на гильзо- улавливателе груз массой 30 кг, который уравновешивал башню. После установки пушки и без того не слишком просторная башня Т-60 ста</w:t>
      </w:r>
      <w:r w:rsidRPr="00640820">
        <w:rPr>
          <w:rFonts w:eastAsia="Calibri"/>
          <w:color w:val="000000" w:themeColor="text1"/>
          <w:sz w:val="16"/>
          <w:szCs w:val="16"/>
        </w:rPr>
        <w:softHyphen/>
        <w:t>новилась еще более тесной; кроме того, работа поворотными механиз</w:t>
      </w:r>
      <w:r w:rsidRPr="00640820">
        <w:rPr>
          <w:rFonts w:eastAsia="Calibri"/>
          <w:color w:val="000000" w:themeColor="text1"/>
          <w:sz w:val="16"/>
          <w:szCs w:val="16"/>
        </w:rPr>
        <w:softHyphen/>
        <w:t>мами стала менее удобной. Дополнительные неудобства заключались в том, что командир башни продолжал оставаться еще и заряжающим. В Т-60 данный недостаток компенсировался тем, что ТНШ являлась автоматической пушкой с ленточным питанием и не требовалось ее перезаряжать после каждого выстрела. После установки 45-мм по</w:t>
      </w:r>
      <w:r w:rsidRPr="00640820">
        <w:rPr>
          <w:rFonts w:eastAsia="Calibri"/>
          <w:color w:val="000000" w:themeColor="text1"/>
          <w:sz w:val="16"/>
          <w:szCs w:val="16"/>
        </w:rPr>
        <w:softHyphen/>
        <w:t>луавтоматической пушки нагрузка на командира башни выросла, что в боевых условиях значительно снижало эффективность веде</w:t>
      </w:r>
      <w:r w:rsidRPr="00640820">
        <w:rPr>
          <w:rFonts w:eastAsia="Calibri"/>
          <w:color w:val="000000" w:themeColor="text1"/>
          <w:sz w:val="16"/>
          <w:szCs w:val="16"/>
        </w:rPr>
        <w:softHyphen/>
        <w:t>ния огня. Согласно докладной записке от 20 декабря, ГАЗ и заводу№ 92 предлагалось закончить проекты перевооружения башни Т-60 на 45-мм пушку к 15 и 25 января соответственно, одновременно проведя испытания стрельбой и дав по ним заключения. Впрочем, уже на этом этапе предпочтение отдавалось проекту ГАЗ.</w:t>
      </w:r>
    </w:p>
    <w:p w14:paraId="4A1EFC14" w14:textId="77777777" w:rsidR="003C65D8" w:rsidRPr="00640820" w:rsidRDefault="003C65D8" w:rsidP="00640820">
      <w:pPr>
        <w:pStyle w:val="Bodytext141"/>
        <w:shd w:val="clear" w:color="auto" w:fill="auto"/>
        <w:spacing w:line="240" w:lineRule="auto"/>
        <w:ind w:firstLine="0"/>
        <w:jc w:val="both"/>
        <w:rPr>
          <w:i w:val="0"/>
          <w:color w:val="000000" w:themeColor="text1"/>
          <w:sz w:val="16"/>
          <w:szCs w:val="16"/>
        </w:rPr>
      </w:pPr>
      <w:r w:rsidRPr="00640820">
        <w:rPr>
          <w:i w:val="0"/>
          <w:color w:val="000000" w:themeColor="text1"/>
          <w:sz w:val="16"/>
          <w:szCs w:val="16"/>
        </w:rPr>
        <w:t>Одновременно с работами по установке пушки в штатной башне ГАЗ разрешалось изготовить новую, литую башню с увеличенным на 25—30 мм погоном, срок ее испытания на стрельбу задавался тот же — 15 января. Проект такой башни, разработанный В. А. Дедковым, к тому моменту уже находился в работе. Между тем заводское КБ во главе с Астровым еще с декабря готовилось к куда более радикальным изме</w:t>
      </w:r>
      <w:r w:rsidRPr="00640820">
        <w:rPr>
          <w:i w:val="0"/>
          <w:color w:val="000000" w:themeColor="text1"/>
          <w:sz w:val="16"/>
          <w:szCs w:val="16"/>
        </w:rPr>
        <w:softHyphen/>
        <w:t>нениям конструкции Т-60. Дело в том, что экранировка танка совмест</w:t>
      </w:r>
      <w:r w:rsidRPr="00640820">
        <w:rPr>
          <w:i w:val="0"/>
          <w:color w:val="000000" w:themeColor="text1"/>
          <w:sz w:val="16"/>
          <w:szCs w:val="16"/>
        </w:rPr>
        <w:softHyphen/>
        <w:t>но с установкой более мощного вооружения грозила значительным увеличением боевой массы, а дальнейший перегруз грозил серьезными проблемами с ходовой частью. Уже к январю 1942 года был изготов</w:t>
      </w:r>
      <w:r w:rsidRPr="00640820">
        <w:rPr>
          <w:i w:val="0"/>
          <w:color w:val="000000" w:themeColor="text1"/>
          <w:sz w:val="16"/>
          <w:szCs w:val="16"/>
        </w:rPr>
        <w:softHyphen/>
        <w:t>лен макетный образец танка, получившего заводской индекс ГАЗ-70 (17485).</w:t>
      </w:r>
    </w:p>
    <w:p w14:paraId="21B97537" w14:textId="77777777" w:rsidR="003C65D8" w:rsidRPr="00640820" w:rsidRDefault="003C65D8" w:rsidP="00640820">
      <w:pPr>
        <w:pStyle w:val="Bodytext141"/>
        <w:shd w:val="clear" w:color="auto" w:fill="auto"/>
        <w:spacing w:line="240" w:lineRule="auto"/>
        <w:ind w:firstLine="0"/>
        <w:jc w:val="both"/>
        <w:rPr>
          <w:i w:val="0"/>
          <w:color w:val="000000" w:themeColor="text1"/>
          <w:sz w:val="16"/>
          <w:szCs w:val="16"/>
        </w:rPr>
      </w:pPr>
    </w:p>
    <w:p w14:paraId="62D292AC" w14:textId="77777777" w:rsidR="003C65D8" w:rsidRPr="00640820" w:rsidRDefault="003C65D8" w:rsidP="00640820">
      <w:pPr>
        <w:pStyle w:val="162"/>
        <w:shd w:val="clear" w:color="auto" w:fill="auto"/>
        <w:spacing w:line="240" w:lineRule="auto"/>
        <w:jc w:val="both"/>
        <w:rPr>
          <w:color w:val="000000" w:themeColor="text1"/>
          <w:sz w:val="16"/>
          <w:szCs w:val="16"/>
        </w:rPr>
      </w:pPr>
      <w:r w:rsidRPr="00640820">
        <w:rPr>
          <w:rFonts w:eastAsia="Calibri"/>
          <w:color w:val="000000" w:themeColor="text1"/>
          <w:sz w:val="16"/>
          <w:szCs w:val="16"/>
        </w:rPr>
        <w:t>В период с 20 декабря 1941 года по 13 января 1942 года были разрабо</w:t>
      </w:r>
      <w:r w:rsidRPr="00640820">
        <w:rPr>
          <w:rFonts w:eastAsia="Calibri"/>
          <w:color w:val="000000" w:themeColor="text1"/>
          <w:sz w:val="16"/>
          <w:szCs w:val="16"/>
        </w:rPr>
        <w:softHyphen/>
        <w:t>таны рабочие чертежи системы для Т-60, которой был присвоен заводской ин</w:t>
      </w:r>
      <w:r w:rsidRPr="00640820">
        <w:rPr>
          <w:rFonts w:eastAsia="Calibri"/>
          <w:color w:val="000000" w:themeColor="text1"/>
          <w:sz w:val="16"/>
          <w:szCs w:val="16"/>
        </w:rPr>
        <w:softHyphen/>
        <w:t>декс. С 12 по 19 января завод № 92 изготовил опытный образец пушки. 14 января на ГАЗ отправили чертежи ЗИС-19, ведомость ЗИП и основ</w:t>
      </w:r>
      <w:r w:rsidRPr="00640820">
        <w:rPr>
          <w:rFonts w:eastAsia="Calibri"/>
          <w:color w:val="000000" w:themeColor="text1"/>
          <w:sz w:val="16"/>
          <w:szCs w:val="16"/>
        </w:rPr>
        <w:softHyphen/>
        <w:t>ные характеристики. 27 числа на завод № 92 прибыла башня с установ</w:t>
      </w:r>
      <w:r w:rsidRPr="00640820">
        <w:rPr>
          <w:rFonts w:eastAsia="Calibri"/>
          <w:color w:val="000000" w:themeColor="text1"/>
          <w:sz w:val="16"/>
          <w:szCs w:val="16"/>
        </w:rPr>
        <w:softHyphen/>
        <w:t>ленной в нее системой (пушку установили в башню к 19 января).</w:t>
      </w:r>
    </w:p>
    <w:p w14:paraId="4351CC91" w14:textId="77777777" w:rsidR="003C65D8" w:rsidRPr="00640820" w:rsidRDefault="003C65D8" w:rsidP="00640820">
      <w:pPr>
        <w:pStyle w:val="162"/>
        <w:shd w:val="clear" w:color="auto" w:fill="auto"/>
        <w:spacing w:line="240" w:lineRule="auto"/>
        <w:jc w:val="both"/>
        <w:rPr>
          <w:color w:val="000000" w:themeColor="text1"/>
          <w:sz w:val="16"/>
          <w:szCs w:val="16"/>
        </w:rPr>
      </w:pPr>
      <w:r w:rsidRPr="00640820">
        <w:rPr>
          <w:rFonts w:eastAsia="Calibri"/>
          <w:color w:val="000000" w:themeColor="text1"/>
          <w:sz w:val="16"/>
          <w:szCs w:val="16"/>
        </w:rPr>
        <w:t>Установка ЗИС-19 в серийной башне Т-60, как и требовало зада</w:t>
      </w:r>
      <w:r w:rsidRPr="00640820">
        <w:rPr>
          <w:rFonts w:eastAsia="Calibri"/>
          <w:color w:val="000000" w:themeColor="text1"/>
          <w:sz w:val="16"/>
          <w:szCs w:val="16"/>
        </w:rPr>
        <w:softHyphen/>
        <w:t>ние, была выполнена с минимальными изменениями башенной кон</w:t>
      </w:r>
      <w:r w:rsidRPr="00640820">
        <w:rPr>
          <w:rFonts w:eastAsia="Calibri"/>
          <w:color w:val="000000" w:themeColor="text1"/>
          <w:sz w:val="16"/>
          <w:szCs w:val="16"/>
        </w:rPr>
        <w:softHyphen/>
        <w:t>струкции. По сравнению с проектом завода № 92 по перевооружению Т-60 на 45-мм танковую пушку, изменения оказались минимальными, лишь сиденье командира башни сместили влево аналогично проекту ГАЗ. Система вместе с люлькой устанавливалась на модифицирован</w:t>
      </w:r>
      <w:r w:rsidRPr="00640820">
        <w:rPr>
          <w:rFonts w:eastAsia="Calibri"/>
          <w:color w:val="000000" w:themeColor="text1"/>
          <w:sz w:val="16"/>
          <w:szCs w:val="16"/>
        </w:rPr>
        <w:softHyphen/>
        <w:t>ной маске валового производства. Благодаря компактному механизму отката, размещенному сверху, ЗИС-19 по сравнению с ТНШ занимала не очень много места. Прицел оставили штатный (ТМФП), как и уста</w:t>
      </w:r>
      <w:r w:rsidRPr="00640820">
        <w:rPr>
          <w:rFonts w:eastAsia="Calibri"/>
          <w:color w:val="000000" w:themeColor="text1"/>
          <w:sz w:val="16"/>
          <w:szCs w:val="16"/>
        </w:rPr>
        <w:softHyphen/>
        <w:t>новку пулемета. Для спаренной установки ЗИС-19 и ДТ была разрабо</w:t>
      </w:r>
      <w:r w:rsidRPr="00640820">
        <w:rPr>
          <w:rFonts w:eastAsia="Calibri"/>
          <w:color w:val="000000" w:themeColor="text1"/>
          <w:sz w:val="16"/>
          <w:szCs w:val="16"/>
        </w:rPr>
        <w:softHyphen/>
        <w:t>тана новая бронировка сварной конструкции, которая крепилась к ма</w:t>
      </w:r>
      <w:r w:rsidRPr="00640820">
        <w:rPr>
          <w:rFonts w:eastAsia="Calibri"/>
          <w:color w:val="000000" w:themeColor="text1"/>
          <w:sz w:val="16"/>
          <w:szCs w:val="16"/>
        </w:rPr>
        <w:softHyphen/>
        <w:t>ске на болтах. Для стрельбы использовался кнопочный спуск.</w:t>
      </w:r>
    </w:p>
    <w:p w14:paraId="3421A8B9" w14:textId="77777777" w:rsidR="003C65D8" w:rsidRPr="00640820" w:rsidRDefault="003C65D8" w:rsidP="00640820">
      <w:pPr>
        <w:pStyle w:val="162"/>
        <w:shd w:val="clear" w:color="auto" w:fill="auto"/>
        <w:spacing w:line="240" w:lineRule="auto"/>
        <w:jc w:val="both"/>
        <w:rPr>
          <w:color w:val="000000" w:themeColor="text1"/>
          <w:sz w:val="16"/>
          <w:szCs w:val="16"/>
        </w:rPr>
      </w:pPr>
      <w:r w:rsidRPr="00640820">
        <w:rPr>
          <w:rFonts w:eastAsia="Calibri"/>
          <w:color w:val="000000" w:themeColor="text1"/>
          <w:sz w:val="16"/>
          <w:szCs w:val="16"/>
        </w:rPr>
        <w:t>Огневые испытания ЗИС-19 проходили с 21 по 24 февраля 1942 года, к тому моменту башню с пушкой установили на Т-60 (примечательно, что танк, поданный с ГАЗ еще 10 декабря 1941 года, имел литые опор</w:t>
      </w:r>
      <w:r w:rsidRPr="00640820">
        <w:rPr>
          <w:rFonts w:eastAsia="Calibri"/>
          <w:color w:val="000000" w:themeColor="text1"/>
          <w:sz w:val="16"/>
          <w:szCs w:val="16"/>
        </w:rPr>
        <w:softHyphen/>
        <w:t>ные катки и ленивцы). Всего был произведен 181 выстрел на различ</w:t>
      </w:r>
      <w:r w:rsidRPr="00640820">
        <w:rPr>
          <w:rFonts w:eastAsia="Calibri"/>
          <w:color w:val="000000" w:themeColor="text1"/>
          <w:sz w:val="16"/>
          <w:szCs w:val="16"/>
        </w:rPr>
        <w:softHyphen/>
        <w:t>ных углах возвышения, при этом длина отката составила 140—170 мм. По результатам испытаний комиссия сделала вывод, что прочность системы, противооткатных устройств, затвора и полуавтоматики удов</w:t>
      </w:r>
      <w:r w:rsidRPr="00640820">
        <w:rPr>
          <w:rFonts w:eastAsia="Calibri"/>
          <w:color w:val="000000" w:themeColor="text1"/>
          <w:sz w:val="16"/>
          <w:szCs w:val="16"/>
        </w:rPr>
        <w:softHyphen/>
        <w:t>летворительная. Усилия на маховиках подъемного и поворотного меха</w:t>
      </w:r>
      <w:r w:rsidRPr="00640820">
        <w:rPr>
          <w:rFonts w:eastAsia="Calibri"/>
          <w:color w:val="000000" w:themeColor="text1"/>
          <w:sz w:val="16"/>
          <w:szCs w:val="16"/>
        </w:rPr>
        <w:softHyphen/>
        <w:t>низмов не превышали установленные нормы. Вместе с тем к установкеЗИС-19 в башне Т-60 имелись претензии в плане удобства ее исполь</w:t>
      </w:r>
      <w:r w:rsidRPr="00640820">
        <w:rPr>
          <w:rFonts w:eastAsia="Calibri"/>
          <w:color w:val="000000" w:themeColor="text1"/>
          <w:sz w:val="16"/>
          <w:szCs w:val="16"/>
        </w:rPr>
        <w:softHyphen/>
        <w:t>зования. Ввиду ограниченных размеров башни наводчик внутри не мог ни выпрямиться, ни встать. Установку сидения признали неудобной, вместо него предлагалось седлообразное сидение, откидывающееся назад. Было высказано предложение закрыть погон башни гладкой па</w:t>
      </w:r>
      <w:r w:rsidRPr="00640820">
        <w:rPr>
          <w:rFonts w:eastAsia="Calibri"/>
          <w:color w:val="000000" w:themeColor="text1"/>
          <w:sz w:val="16"/>
          <w:szCs w:val="16"/>
        </w:rPr>
        <w:softHyphen/>
        <w:t>нелью, чтобы наводчик не цеплялся за выступающие части.</w:t>
      </w:r>
    </w:p>
    <w:p w14:paraId="0A529714" w14:textId="77777777" w:rsidR="003C65D8" w:rsidRPr="00640820" w:rsidRDefault="003C65D8" w:rsidP="00640820">
      <w:pPr>
        <w:pStyle w:val="162"/>
        <w:shd w:val="clear" w:color="auto" w:fill="auto"/>
        <w:spacing w:line="240" w:lineRule="auto"/>
        <w:jc w:val="both"/>
        <w:rPr>
          <w:color w:val="000000" w:themeColor="text1"/>
          <w:sz w:val="16"/>
          <w:szCs w:val="16"/>
        </w:rPr>
      </w:pPr>
      <w:r w:rsidRPr="00640820">
        <w:rPr>
          <w:rFonts w:eastAsia="Calibri"/>
          <w:color w:val="000000" w:themeColor="text1"/>
          <w:sz w:val="16"/>
          <w:szCs w:val="16"/>
        </w:rPr>
        <w:t>В заключение был сделан следующий вывод:</w:t>
      </w:r>
    </w:p>
    <w:p w14:paraId="1D7A93E3" w14:textId="77777777" w:rsidR="003C65D8" w:rsidRPr="00640820" w:rsidRDefault="003C65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Производство системы ЗИС-19 по сравнению с 45-мм танковой пушкой значительно дешевле, требует меньше затрат станков и ручного труда, так как 37-мм танковая пушка имеет в несколько раз меньше де</w:t>
      </w:r>
      <w:r w:rsidRPr="00640820">
        <w:rPr>
          <w:rFonts w:ascii="Times New Roman" w:hAnsi="Times New Roman"/>
          <w:color w:val="000000" w:themeColor="text1"/>
          <w:sz w:val="16"/>
          <w:szCs w:val="16"/>
        </w:rPr>
        <w:softHyphen/>
        <w:t>талей, к тому же более простых в изготовлении.</w:t>
      </w:r>
    </w:p>
    <w:p w14:paraId="02883918" w14:textId="77777777" w:rsidR="003C65D8" w:rsidRPr="00640820" w:rsidRDefault="003C65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 это вместе взятое позволяет значительно увеличить выпуск тан</w:t>
      </w:r>
      <w:r w:rsidRPr="00640820">
        <w:rPr>
          <w:rFonts w:ascii="Times New Roman" w:hAnsi="Times New Roman"/>
          <w:color w:val="000000" w:themeColor="text1"/>
          <w:sz w:val="16"/>
          <w:szCs w:val="16"/>
        </w:rPr>
        <w:softHyphen/>
        <w:t>ковых пушек в массовом производстве.</w:t>
      </w:r>
    </w:p>
    <w:p w14:paraId="3F030817" w14:textId="77777777" w:rsidR="003C65D8" w:rsidRPr="00640820" w:rsidRDefault="003C65D8" w:rsidP="00640820">
      <w:pPr>
        <w:tabs>
          <w:tab w:val="left" w:pos="2953"/>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2. Имея согласно расчета почти одинаковую бронепробиваемость, что и 45-мм танковая пушка, ЗИС-19 позволяет возить в танке большее ко</w:t>
      </w:r>
      <w:r w:rsidRPr="00640820">
        <w:rPr>
          <w:rFonts w:ascii="Times New Roman" w:hAnsi="Times New Roman"/>
          <w:color w:val="000000" w:themeColor="text1"/>
          <w:sz w:val="16"/>
          <w:szCs w:val="16"/>
        </w:rPr>
        <w:softHyphen/>
        <w:t>личество боеприпасов вследствие меньшего веса и габаритов 37-мм па</w:t>
      </w:r>
      <w:r w:rsidRPr="00640820">
        <w:rPr>
          <w:rFonts w:ascii="Times New Roman" w:hAnsi="Times New Roman"/>
          <w:color w:val="000000" w:themeColor="text1"/>
          <w:sz w:val="16"/>
          <w:szCs w:val="16"/>
        </w:rPr>
        <w:softHyphen/>
        <w:t>тронов.</w:t>
      </w:r>
    </w:p>
    <w:p w14:paraId="725A20F0" w14:textId="77777777" w:rsidR="003C65D8" w:rsidRPr="00640820" w:rsidRDefault="003C65D8" w:rsidP="00640820">
      <w:pPr>
        <w:tabs>
          <w:tab w:val="left" w:pos="2929"/>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37-мм танковая пушка ЗИС-19 может быть представлена на госу</w:t>
      </w:r>
      <w:r w:rsidRPr="00640820">
        <w:rPr>
          <w:rFonts w:ascii="Times New Roman" w:hAnsi="Times New Roman"/>
          <w:color w:val="000000" w:themeColor="text1"/>
          <w:sz w:val="16"/>
          <w:szCs w:val="16"/>
        </w:rPr>
        <w:softHyphen/>
        <w:t>дарственные испытания» (17485).</w:t>
      </w:r>
    </w:p>
    <w:p w14:paraId="06AE8C14" w14:textId="77777777" w:rsidR="003C65D8" w:rsidRPr="00640820" w:rsidRDefault="003C65D8" w:rsidP="00640820">
      <w:pPr>
        <w:pStyle w:val="Bodytext141"/>
        <w:shd w:val="clear" w:color="auto" w:fill="auto"/>
        <w:spacing w:line="240" w:lineRule="auto"/>
        <w:ind w:firstLine="0"/>
        <w:jc w:val="both"/>
        <w:rPr>
          <w:i w:val="0"/>
          <w:color w:val="000000" w:themeColor="text1"/>
          <w:sz w:val="16"/>
          <w:szCs w:val="16"/>
        </w:rPr>
      </w:pPr>
    </w:p>
    <w:p w14:paraId="71409C87" w14:textId="77777777" w:rsidR="009A31E1" w:rsidRPr="00640820" w:rsidRDefault="009A31E1"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период с 20 декабря 1941 года по 13 января 1942 года на заводе № 92 были разработаны рабочие чертежи системы ЗИС-19. С 12 по 19 января завод №92 изготовил опытный образец пушки. 14 января на ГАЗ были отправлены чертежи ЗИС-19, ведомость ЗИП и основные характеристики. 27 числа на завод №92 прибыла башня с установленной в неё системой (пушку установили в башню к 19 января) (17636).</w:t>
      </w:r>
    </w:p>
    <w:p w14:paraId="56C1C8E6" w14:textId="77777777" w:rsidR="009A31E1" w:rsidRPr="00640820" w:rsidRDefault="009A31E1" w:rsidP="00640820">
      <w:pPr>
        <w:spacing w:after="0" w:line="240" w:lineRule="auto"/>
        <w:jc w:val="both"/>
        <w:rPr>
          <w:rFonts w:ascii="Times New Roman" w:hAnsi="Times New Roman"/>
          <w:color w:val="000000" w:themeColor="text1"/>
          <w:sz w:val="16"/>
          <w:szCs w:val="16"/>
        </w:rPr>
      </w:pPr>
    </w:p>
    <w:p w14:paraId="5F743E8E" w14:textId="77777777" w:rsidR="008657BD" w:rsidRPr="00640820" w:rsidRDefault="008657B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shd w:val="clear" w:color="auto" w:fill="FFFFFF"/>
        </w:rPr>
        <w:t>В период с 20 декабря 1941 года по 13 января 1942 года, согласно отчету завода №92, были разработаны рабочие чертежи орудия ЗИС-19. Далее, в период с 12 по 19 января завод №92 изготовил опытный образец пушки. 14 января на ГАЗ отправили чертежи ЗИС-19, ведомость ЗИП и основные характеристики. Опытный образец орудия установили в башню к 19 января 1942 года, а 27 числа танк, вместе с орудием, направили на ГАЗ им. Молотова для ознакомления конструкторов заводского КБ (22879).</w:t>
      </w:r>
    </w:p>
    <w:p w14:paraId="0990AAE0" w14:textId="77777777" w:rsidR="008657BD" w:rsidRPr="00640820" w:rsidRDefault="008657BD" w:rsidP="00640820">
      <w:pPr>
        <w:spacing w:after="0" w:line="240" w:lineRule="auto"/>
        <w:jc w:val="both"/>
        <w:rPr>
          <w:rFonts w:ascii="Times New Roman" w:hAnsi="Times New Roman"/>
          <w:color w:val="0070C0"/>
          <w:sz w:val="16"/>
          <w:szCs w:val="16"/>
        </w:rPr>
      </w:pPr>
    </w:p>
    <w:p w14:paraId="63450215" w14:textId="77777777" w:rsidR="009A31E1" w:rsidRPr="00640820" w:rsidRDefault="009A31E1"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20 декабря, согласно докладной записке, ГАЗ и заводу №92 предлагалось закончить проекты перевооружения башни Т-60 на 45-мм пушку к 15 и 25 января соответственно, одновременно проведя испытания стрельбой и дав по ним заключения. Уже на этом этапе предпочтение отдавалось проекту ГАЗ.</w:t>
      </w:r>
    </w:p>
    <w:p w14:paraId="696DDA5C" w14:textId="77777777" w:rsidR="009A31E1" w:rsidRPr="00640820" w:rsidRDefault="009A31E1"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Между тем группа инженеров КБ ГАЗ им. Молотова во главе с В. А. Дедковым предложила серьёзную переделку башни. В соответствии с этим проектом диаметр погона увеличивался на 25–30 мм, воздуховод в лобовой части ликвидировался и переносился на башенный люк. Вместо сварной конструкции предполагалось сделать башню литой. Согласно докладной записке, датированной 30 декабря 1941 года, было принято решение включить новую башню в план опытных работ со сроком готовности 25 января 1942 года.</w:t>
      </w:r>
    </w:p>
    <w:p w14:paraId="365EE97E" w14:textId="77777777" w:rsidR="009A31E1" w:rsidRPr="00640820" w:rsidRDefault="009A31E1"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На практике ситуация с новой башней имела совсем иное развитие. Дальнейшие работы по ней выявили необходимость увеличения диаметра погона до 966 мм. Орудийную установку пришлось ещё больше выносить вперёд, а для увеличения внутреннего пространства было решено сделать в башне кормовую нишу. В конечном счёте в финальной конструкции от башни Т-60 не осталось ничего. Схема размещения вооружения при этом осталась той, которая планировалась в первоначальном проекте перевооружения башни Т-60.</w:t>
      </w:r>
    </w:p>
    <w:p w14:paraId="72305A17" w14:textId="77777777" w:rsidR="009A31E1" w:rsidRPr="00640820" w:rsidRDefault="009A31E1"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Растущая в размерах и массе башня стала причиной для запуска работ по кардинальной переделке всего танка Т-60. Возглавил конструкторские работы, которые начались ещё в конце 1941 года, Н. А. Астров. Иногда проектируемую им машину в современных публикациях называют «070», но это не более, чем попытка отдельных исследователей домыслить. Такой индекс в отношении этого танка никогда не использовался, в том числе и потому, что он был совершенно не характерен для КБ ГАЗ им. Молотова. На самом деле машина получила внутренний индекс «ГАЗ-70», а в конструкторской документации использовался шифр «70».</w:t>
      </w:r>
    </w:p>
    <w:p w14:paraId="43FD23F5" w14:textId="77777777" w:rsidR="009A31E1" w:rsidRPr="00640820" w:rsidRDefault="009A31E1"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Общая компоновка корпуса Т-60 у нового танка сохранилась, но при этом сам он значительно изменился. Возросшая боевая масса потребовала установки новой силовой установки. Её изготовили из двух двигателей ГАЗ-11 модель 202, спаренных в продольной плоскости. Получившийся мотор получил название ГАЗ-203. Вместо коробки передач от </w:t>
      </w:r>
      <w:hyperlink r:id="rId67" w:history="1">
        <w:r w:rsidRPr="00640820">
          <w:rPr>
            <w:rFonts w:ascii="Times New Roman" w:eastAsia="Times New Roman" w:hAnsi="Times New Roman"/>
            <w:color w:val="000000" w:themeColor="text1"/>
            <w:sz w:val="16"/>
            <w:szCs w:val="16"/>
            <w:lang w:eastAsia="ru-RU"/>
          </w:rPr>
          <w:t>грузовика</w:t>
        </w:r>
      </w:hyperlink>
      <w:r w:rsidRPr="00640820">
        <w:rPr>
          <w:rFonts w:ascii="Times New Roman" w:eastAsia="Times New Roman" w:hAnsi="Times New Roman"/>
          <w:color w:val="000000" w:themeColor="text1"/>
          <w:sz w:val="16"/>
          <w:szCs w:val="16"/>
          <w:lang w:eastAsia="ru-RU"/>
        </w:rPr>
        <w:t xml:space="preserve"> ГАЗ АА была взята КПП от ЗИС-5.</w:t>
      </w:r>
    </w:p>
    <w:p w14:paraId="615954BB" w14:textId="77777777" w:rsidR="009A31E1" w:rsidRPr="00640820" w:rsidRDefault="009A31E1"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Более длинная силовая установка стала причиной удлинения и корпуса танка. При его переделке инженеры ГАЗ им. Молотова отказались от рубки механика-водителя, заменив её наклонным листом с массивным люком, в котором был установлен смотровой прибор. Такая конструкция оказалась более стойкой к вражеским снарядам. Пришлось вносить изменения и в ходовую часть. Количество опорных катков увеличилось до пяти на борт. Кроме того, были усилены торсионы. Одним словом, по факту у конструкторов ГАЗ вместо модернизированного Т-60 получался новый танк (17664).</w:t>
      </w:r>
    </w:p>
    <w:p w14:paraId="3B1464E6" w14:textId="77777777" w:rsidR="009A31E1" w:rsidRPr="00640820" w:rsidRDefault="009A31E1" w:rsidP="00640820">
      <w:pPr>
        <w:spacing w:after="0" w:line="240" w:lineRule="auto"/>
        <w:jc w:val="both"/>
        <w:rPr>
          <w:rFonts w:ascii="Times New Roman" w:hAnsi="Times New Roman"/>
          <w:color w:val="000000" w:themeColor="text1"/>
          <w:sz w:val="16"/>
          <w:szCs w:val="16"/>
        </w:rPr>
      </w:pPr>
    </w:p>
    <w:p w14:paraId="186F92AA"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декабря 1941 года генерал-лейтенант МакФарлейн, генерал-лейтенант Най и подполковник Гюго встретились с главой Главного автобронетанкового управления Красной армии генерал-лейтенантом Я.Н. Федоренко и наконец смогли осмотреть загадочные новинки. Кроме КВ, который британцы почему-то назвали средним, обозначенного «крейсерским» Т-34 и лёгкого </w:t>
      </w:r>
      <w:hyperlink r:id="rId68" w:history="1">
        <w:r w:rsidRPr="00640820">
          <w:rPr>
            <w:rStyle w:val="a5"/>
            <w:rFonts w:ascii="Times New Roman" w:hAnsi="Times New Roman"/>
            <w:color w:val="000000" w:themeColor="text1"/>
            <w:sz w:val="16"/>
            <w:szCs w:val="16"/>
            <w:u w:val="none"/>
          </w:rPr>
          <w:t>Т-60</w:t>
        </w:r>
      </w:hyperlink>
      <w:r w:rsidRPr="00640820">
        <w:rPr>
          <w:rFonts w:ascii="Times New Roman" w:hAnsi="Times New Roman"/>
          <w:color w:val="000000" w:themeColor="text1"/>
          <w:sz w:val="16"/>
          <w:szCs w:val="16"/>
        </w:rPr>
        <w:t> британцам показали побывавшие в боях </w:t>
      </w:r>
      <w:hyperlink r:id="rId69" w:history="1">
        <w:r w:rsidRPr="00640820">
          <w:rPr>
            <w:rStyle w:val="a5"/>
            <w:rFonts w:ascii="Times New Roman" w:hAnsi="Times New Roman"/>
            <w:color w:val="000000" w:themeColor="text1"/>
            <w:sz w:val="16"/>
            <w:szCs w:val="16"/>
            <w:u w:val="none"/>
          </w:rPr>
          <w:t>«Валентайн»</w:t>
        </w:r>
      </w:hyperlink>
      <w:r w:rsidRPr="00640820">
        <w:rPr>
          <w:rFonts w:ascii="Times New Roman" w:hAnsi="Times New Roman"/>
          <w:color w:val="000000" w:themeColor="text1"/>
          <w:sz w:val="16"/>
          <w:szCs w:val="16"/>
        </w:rPr>
        <w:t>, </w:t>
      </w:r>
      <w:hyperlink r:id="rId70" w:history="1">
        <w:r w:rsidRPr="00640820">
          <w:rPr>
            <w:rStyle w:val="a5"/>
            <w:rFonts w:ascii="Times New Roman" w:hAnsi="Times New Roman"/>
            <w:color w:val="000000" w:themeColor="text1"/>
            <w:sz w:val="16"/>
            <w:szCs w:val="16"/>
            <w:u w:val="none"/>
          </w:rPr>
          <w:t>«Матильду»</w:t>
        </w:r>
      </w:hyperlink>
      <w:r w:rsidRPr="00640820">
        <w:rPr>
          <w:rFonts w:ascii="Times New Roman" w:hAnsi="Times New Roman"/>
          <w:color w:val="000000" w:themeColor="text1"/>
          <w:sz w:val="16"/>
          <w:szCs w:val="16"/>
        </w:rPr>
        <w:t> и бронетранспортёр неустановленного типа.</w:t>
      </w:r>
    </w:p>
    <w:p w14:paraId="0B5A45B3"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Новые советские танки впечатлили британскую комиссию. Был отмечен крупный калибр пушек, высокая удельная мощность и широкие гусеницы. По британской оценке, советские конструкторы удачно упростили форму и конструкцию танков. Качество обработки деталей было ниже, чем у британских танков, но броня, двигатель, трансмиссия и ходовая часть были отличными. Британцам понравилась и унификация агрегатов между разными танками.</w:t>
      </w:r>
    </w:p>
    <w:p w14:paraId="21309183"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Британцы пристально изучили гусеничные траки Т-34. По мнению комиссии, конструкция трака была основана на старых траках «Виккерса 6-тонного». Британцам понравилась конструкция пальцев трака, а именно то, что танк мог продолжать движение даже со сломанным пальцем, а также ходовая часть танка. По их мнению, такая конструкция была шумной, но очень живучей. Положительную оценку получили стартёры на танках, особенно тот факт, что советский стартёр работал под любым углом наклона, на что британский стартёр способен не был. Также советские танковые двигатели — бензиновые и дизельные — могли заводиться при 40-градусном морозе, на что британские машины не были способны. Процедуру запуска двигателей в зимних условиях тщательно описали в отчёте.</w:t>
      </w:r>
    </w:p>
    <w:p w14:paraId="5F4B0BE1"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(18249).</w:t>
      </w:r>
    </w:p>
    <w:p w14:paraId="5D13A6E8" w14:textId="77777777" w:rsidR="00A56BCC" w:rsidRPr="00640820" w:rsidRDefault="00A56BCC" w:rsidP="00640820">
      <w:pPr>
        <w:spacing w:after="0" w:line="240" w:lineRule="auto"/>
        <w:jc w:val="both"/>
        <w:rPr>
          <w:rFonts w:ascii="Times New Roman" w:hAnsi="Times New Roman"/>
          <w:color w:val="000000" w:themeColor="text1"/>
          <w:sz w:val="16"/>
          <w:szCs w:val="16"/>
        </w:rPr>
      </w:pPr>
    </w:p>
    <w:p w14:paraId="55F6E8E6"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декабря 1941</w:t>
      </w:r>
    </w:p>
    <w:p w14:paraId="7C51987E"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РГАЭ Фонд 8752 Опись 4 Дело 7 лист 98 – 100</w:t>
      </w:r>
    </w:p>
    <w:p w14:paraId="61540AEA"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кс. 23.XII. 832.</w:t>
      </w:r>
    </w:p>
    <w:p w14:paraId="703397A2"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 секретно. </w:t>
      </w:r>
    </w:p>
    <w:p w14:paraId="064D1FE3"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"Снятие копий категорически воспрещается"</w:t>
      </w:r>
    </w:p>
    <w:p w14:paraId="57CCE8A8"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w:t>
      </w:r>
    </w:p>
    <w:p w14:paraId="6B0660C7"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НАРОДНОГО КОМИССАРА ТАНКОВОЙ ПРОМЫШЛЕННОСТИ СОЮЗА ССР</w:t>
      </w:r>
    </w:p>
    <w:p w14:paraId="6EBB93C6"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101сс</w:t>
      </w:r>
    </w:p>
    <w:p w14:paraId="2D20F8E9"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Челябинск.</w:t>
      </w:r>
    </w:p>
    <w:p w14:paraId="64F9BE5C"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декабря 1941 г.</w:t>
      </w:r>
    </w:p>
    <w:p w14:paraId="5C08C6B5"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исполнение постановления Государственного Комитета Обороны от 4-го декабря 1941 года "О материально-техническом обеспечении программы по танкам на декабрь месяц 1941 г.", – ПРИКАЗЫВАЮ: </w:t>
      </w:r>
    </w:p>
    <w:p w14:paraId="57BBEE2F"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 Начальнику Главснаба тов. РОЗИНУ и директорам соответствующих заводов – обеспечить реализацию всех материалов, кабельных изделий, электрооборудования и изделий, согласно приложениям №№ 1, 2, 3, 4, 5 и 6 – до 20-го декабря 1941 года. </w:t>
      </w:r>
    </w:p>
    <w:p w14:paraId="5FAD7882"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II. Начальнику Главснаба тов. РОЗИНУ – в 3-х дневный срок передать спецификации на изготовление в декабре месяце 1941 года: </w:t>
      </w:r>
    </w:p>
    <w:p w14:paraId="1CF50199"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Наркомрезинпрому, Наркомлеспрому и Наркомтекстильпрому – на резиновые, войлочные и текстильные изделия в количестве 1760 комплектов; </w:t>
      </w:r>
    </w:p>
    <w:p w14:paraId="7E4B1369"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Наркомату минометного вооружения: </w:t>
      </w:r>
    </w:p>
    <w:p w14:paraId="21349244"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Манометры в комплекте с кранами – 1750 шт. </w:t>
      </w:r>
    </w:p>
    <w:p w14:paraId="78DBFC90"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Огнетушители – 1750 шт. </w:t>
      </w:r>
    </w:p>
    <w:p w14:paraId="2A75138E"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Наркомэлектропрому: </w:t>
      </w:r>
    </w:p>
    <w:p w14:paraId="687BF025"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Блок защиты – 10300 шт. </w:t>
      </w:r>
    </w:p>
    <w:p w14:paraId="75B8B92B"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Створный фонарь – 620 шт. </w:t>
      </w:r>
    </w:p>
    <w:p w14:paraId="4AA49EE1"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Переносной фонарь – 2200 шт. </w:t>
      </w:r>
    </w:p>
    <w:p w14:paraId="28700C1C"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Наркомсредмашу: подшипники для танков. </w:t>
      </w:r>
    </w:p>
    <w:p w14:paraId="6D8D5700"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 обеспечить реализацию указанных материалов, электрооборудования и подшипников в декабре месяце 1941 года. </w:t>
      </w:r>
    </w:p>
    <w:p w14:paraId="624F8A1E"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III. Указанное постановление ГКО обязало: </w:t>
      </w:r>
    </w:p>
    <w:p w14:paraId="20728920"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Секретаря Новосибирского Обкома ВКП(б) – т. КУЛАГИНА взять под личный контроль ход восстановления производства завода № 69 НКВ и оказать всемерную помощь заводу в обеспечении выполнения декабрьской программы по танковым прицелам; </w:t>
      </w:r>
    </w:p>
    <w:p w14:paraId="65035D80"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Наркомрезинпром – т. МИТРОХИНА, Наркомтекстильпром – т. АКИМОВА и Наркомлегпром – т. ЛУКИНА – изготовить и поставить в декабре 1941 г. резиновые, войлочные и текстильные изделия в количестве 1760 комплектов; </w:t>
      </w:r>
    </w:p>
    <w:p w14:paraId="4D26DF46"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Наркомат минометного вооружения – т. ПАРШИНА – изготовить в декабре 1941 г. на заводах своего Наркомата и поставить заводам Наркомтанкопрома манометры в комплекте с кранами и огнетушителями в следующих количествах: </w:t>
      </w:r>
    </w:p>
    <w:p w14:paraId="67507038"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манометры в комплекте с кранами – 1750 </w:t>
      </w:r>
    </w:p>
    <w:p w14:paraId="13EE14D9"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огнетушители – 1750 </w:t>
      </w:r>
    </w:p>
    <w:p w14:paraId="2FA29004"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Наркомэлектропром т. КАБАНОВА: </w:t>
      </w:r>
    </w:p>
    <w:p w14:paraId="0A7BB25D"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Изготовить на заводах своего Наркомата и поставить в декабре 1941 года заводам Наркомтанкопрома следующие изделия: </w:t>
      </w:r>
    </w:p>
    <w:p w14:paraId="46764325"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Блок защиты – 10300 </w:t>
      </w:r>
    </w:p>
    <w:p w14:paraId="41FAC679"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б) Створный фонарь – 620 </w:t>
      </w:r>
    </w:p>
    <w:p w14:paraId="4C9CD63D"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Переносной фонарь – 2200 </w:t>
      </w:r>
    </w:p>
    <w:p w14:paraId="37D3CA89"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Организовать с декабря 1941 года производство на Прокопьевском, Челябинском и Томском заводах Наркомэлектропрома моторов поворота башен и вентиляторов, стартеров и источников питания радиостанций (радиоумформеров), на Чебоксарском и Ульяновском заводах танковой электроустановочной аппаратуры и на заводе в г. Аша – изготовление сигнальной и осветительной арматуры. </w:t>
      </w:r>
    </w:p>
    <w:p w14:paraId="530DC495"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К 1 марта 1942 года довести годовую мощность по указанным заводам по следующей номенклатуре: </w:t>
      </w:r>
    </w:p>
    <w:p w14:paraId="523B67A9"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Моторы МБ-20 – до 20 тыс. шт. </w:t>
      </w:r>
    </w:p>
    <w:p w14:paraId="4C04AEF0"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Моторы МВ-12-13 – до 12 тыс. шт. </w:t>
      </w:r>
    </w:p>
    <w:p w14:paraId="6AB80048"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Стартеры СТ-700 – до 12 тыс. шт. </w:t>
      </w:r>
    </w:p>
    <w:p w14:paraId="2FEFB4DB"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Эл. установочной спец. аппаратуры – до 60 млн. руб. </w:t>
      </w:r>
    </w:p>
    <w:p w14:paraId="19FA0236"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 Специальной сигнальной и осветительной арматуры – до 60 млн. руб. </w:t>
      </w:r>
    </w:p>
    <w:p w14:paraId="2733A47D"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Немедленно перебросить из г. Сталинграда в гор. Челябинск оборудование, эвакуированное из г. Харькова для производства танкового электрооборудования. </w:t>
      </w:r>
    </w:p>
    <w:p w14:paraId="033A2535"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Приступить в декабре 1941 г. к переброске с Рязанского Электролампового завода на филиал завода № 191 (г. Уфа) материалов, квалифицированных кадров и оборудования цеха электроарматурнго стекла и обеспечить производство этого стекла, начиная с 15-го февраля 1942 года. </w:t>
      </w:r>
    </w:p>
    <w:p w14:paraId="68B214E7"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В 10-ти дневный срок представит в Совнарком Союза ССР свои предложения об изготовлении радиостанций на заводах своего Наркомата с выпуском в 1942 году – 32 тыс. радиостанций в комплекте. </w:t>
      </w:r>
    </w:p>
    <w:p w14:paraId="12D8DA09"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Эвакуировать (в г. Новосибирск) Московский стекольный завод на площадь завода № 617 Наркомэлектропрома. </w:t>
      </w:r>
    </w:p>
    <w:p w14:paraId="243135E8"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Для ускорения пуска завода № 631 по производству танковых радиостанций перебросить из г. Мурома в г. Сарапул строительную контору с кадрами, механизмами и материалами. </w:t>
      </w:r>
    </w:p>
    <w:p w14:paraId="0EEDC653"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 Наркомавиапром – т. ШАХУРИНА – поставить Наркомэлектропрому в декабре 1941 г. и январе 1942 г. радиоумформеры для радиостанций в количествах, обеспечивающих декабрьский и январский выпуск радиостанций для авиационной и танковой промышленности. </w:t>
      </w:r>
    </w:p>
    <w:p w14:paraId="52DE04BD"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 Наркомбумпром – тов. ЧЕБОТАРЕВА – поставить Наркомэлектропрому в декабре 1941 года конденсаторной бумаги от 7 – 12 микрон в количестве 3-х тонн. </w:t>
      </w:r>
    </w:p>
    <w:p w14:paraId="2A68B568"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ж) Наркомвнешторг – тов. МИКОЯНА – принять меры к закупке за границей для заводов Наркомэлектропрома, занятых изготовлением танковой электроаппаратуры с поставкой в январе 1942 года следующих материалов: </w:t>
      </w:r>
    </w:p>
    <w:p w14:paraId="0E041C18"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конденсаторной бумаги – 50 тонн </w:t>
      </w:r>
    </w:p>
    <w:p w14:paraId="4EB678DE"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алюминиевой фольги – 50 тонн </w:t>
      </w:r>
    </w:p>
    <w:p w14:paraId="4947C6AC"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оловянистой фольги – 5 тонн </w:t>
      </w:r>
    </w:p>
    <w:p w14:paraId="619D8F25"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никелевой ленты – 60 тонн </w:t>
      </w:r>
    </w:p>
    <w:p w14:paraId="74897666"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 никелевой проволоки – 40 тонн </w:t>
      </w:r>
    </w:p>
    <w:p w14:paraId="58901FD7"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 феррохромовой ленты – 25 тонн </w:t>
      </w:r>
    </w:p>
    <w:p w14:paraId="2C224D74"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ж) ленты холодного проката – 75 тонн </w:t>
      </w:r>
    </w:p>
    <w:p w14:paraId="3B022685"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 карболитового порошка – 200 тонн </w:t>
      </w:r>
    </w:p>
    <w:p w14:paraId="5C8C8BD0"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 металлических радиоламп – на 1 млн. руб. </w:t>
      </w:r>
    </w:p>
    <w:p w14:paraId="16DCA00E"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 НКПС – тов. КАГАНОВИЧА Л.М. </w:t>
      </w:r>
    </w:p>
    <w:p w14:paraId="28F4E55F"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выделить в декабре 1941 г. Наркомэлектропрому для перевозки оборудования, рабочих и ИТР: Московского стекольного завода в г. Томск – 60 вагонов, Напрудненского стекольного завода (Московская область) в г. Новосибирск – 100 вагонов и строительной конторы из г. Мурома в г. Сарапул – 35 вагонов; </w:t>
      </w:r>
    </w:p>
    <w:p w14:paraId="56102E66"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Установить диспетчерский контроль за продвижением эшелонов заводов "Электросвет", № 203, ЯЭМЗ, Электрокабель, а также заводов АТЭ и ЗЭМ Наркомсредмаша. </w:t>
      </w:r>
    </w:p>
    <w:p w14:paraId="45D0E46F"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 Наркомсредмаш – тов. АКОПОВА – организовать в декабре месяце на Свердловском ремонтно-подшипниковом заводе производство танковых подшипников на мощность 1,5 млн. шт. в год для танков "КВ", "Т-34" и "Т-60". </w:t>
      </w:r>
    </w:p>
    <w:p w14:paraId="79D846F2"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Народных Комиссаров и директоров – отгрузку всех материалов, электрооборудования и инструмента, выделенных танковым заводам по настоящему постановлению, производить до 20-го декабря 1941 г. равными партиями. </w:t>
      </w:r>
    </w:p>
    <w:p w14:paraId="79269CD5"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IV. Возложить на тов. РОЗИНА персональную ответственность за выполнение настоящего приказа.</w:t>
      </w:r>
    </w:p>
    <w:p w14:paraId="595B9F5F"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п.п. НАРОДНЫЙ КОМИССАР ТАНКОВОЙ ПРОМЫШЛЕННОСТИ СССР</w:t>
      </w:r>
    </w:p>
    <w:p w14:paraId="2AFDF36D"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МАЛЫШЕВ.</w:t>
      </w:r>
    </w:p>
    <w:p w14:paraId="6B70765C"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Отп. 15 экз. </w:t>
      </w:r>
    </w:p>
    <w:p w14:paraId="5479987D"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Верно: подпись. печать НКТП СССР</w:t>
      </w:r>
    </w:p>
    <w:p w14:paraId="57DBD0FF" w14:textId="77777777" w:rsidR="00A56BCC" w:rsidRPr="00640820" w:rsidRDefault="00A56B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(18196).</w:t>
      </w:r>
    </w:p>
    <w:p w14:paraId="26ED9B75" w14:textId="77777777" w:rsidR="00A56BCC" w:rsidRPr="00640820" w:rsidRDefault="00A56BCC" w:rsidP="00640820">
      <w:pPr>
        <w:spacing w:after="0" w:line="240" w:lineRule="auto"/>
        <w:jc w:val="both"/>
        <w:rPr>
          <w:rFonts w:ascii="Times New Roman" w:hAnsi="Times New Roman"/>
          <w:color w:val="000000" w:themeColor="text1"/>
          <w:sz w:val="16"/>
          <w:szCs w:val="16"/>
        </w:rPr>
      </w:pPr>
    </w:p>
    <w:p w14:paraId="0471A2A9"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декабря 1941 в Магнитогорске начал работу эвакуированный мариупольский комбинат имени Ильича (4962).</w:t>
      </w:r>
    </w:p>
    <w:p w14:paraId="1679E7FE"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910654"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20 декабря 1941 г.</w:t>
      </w:r>
    </w:p>
    <w:p w14:paraId="4BACBDAD"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ПОСТАНОВЛЕНИЕ СГКО О ХОДЕ ПРОИЗВОДСТВА АЭРОСАНЕЙ НКЛ-16 ПО ЛЕСОЗАВОДУ им. КУЙБЫШЕВА, ЛЕСОЗАВОДУ им. ЕРМАНА И БЕКЕТОВСКОМУ ЛЕСОКОМБИНАТУ</w:t>
      </w:r>
    </w:p>
    <w:p w14:paraId="3CF564BF"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(Доклад тов. Ильин)</w:t>
      </w:r>
    </w:p>
    <w:p w14:paraId="2D26D77E"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№141</w:t>
      </w:r>
      <w:r w:rsidRPr="00640820">
        <w:rPr>
          <w:rFonts w:ascii="Times New Roman" w:hAnsi="Times New Roman"/>
          <w:color w:val="0070C0"/>
          <w:sz w:val="16"/>
          <w:szCs w:val="16"/>
        </w:rPr>
        <w:tab/>
        <w:t>20 декабря 1941 г.</w:t>
      </w:r>
    </w:p>
    <w:p w14:paraId="4625CA06"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гор. Сталинград</w:t>
      </w:r>
    </w:p>
    <w:p w14:paraId="32C42C6F"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Городской Комитет Обороны устанавливает, что лесозаводы им. Куйбышева, им. Ермана и Бекетовский лесокомбинат утвержденный Государственным Комитетом Обороны план производства аэросаней НКЛ-16 в течение октября, ноября и декабря месяцев сорвали. За это персональную ответственность несут директора заводов им. Куйбышева— тов. Когтев, им. Ермана—тов. Онищенко и лесокомбината — тов. Шипеленко. Вместе с этим городской Комитет Обороны отмечает, что невыполнение установленного Государственным Комитетом Обороны плана явилось следствием того, что чертежи для производства аэросаней были присланы почти с месячным опозданием и заводы, будучи ориентированы Наркомлесом на получение металлических узлов из других областей, после изменившейся обстановки в стране не получили от Наркомлеса никаких предупреждений о невозможности получения металлических узлов, а сами не приняли соответствующих мер по освоению этих металлоузлов на базе своих механических мастерских.</w:t>
      </w:r>
    </w:p>
    <w:p w14:paraId="2AE97983"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Городской Комитет Обороны также отмечает совершено неудовлетворительное выполнение договоров с заводами со стороны Местпрома и Облпромсовета на поставку некоторых деталей и узлов для аэросаней.</w:t>
      </w:r>
    </w:p>
    <w:p w14:paraId="59E7729A"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Исходя из установленной программы производства в IV квартале — 320 аэросаней: с выпуском по заводу им. Куйбышева — 120, заводу им. Ермана — 150 и Бекетовскому лесокомбинату — 50 аэросаней, городской Комитет Обороны постановляет:</w:t>
      </w:r>
    </w:p>
    <w:p w14:paraId="1F2459E2"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 Обязать директоров и секретарей парткомов этих заводов обеспечить безусловное выполнение установленного Государственным Комитетом Обороны плана производства аэросаней с тем, чтобы не позже 10 января эта программа была выполнена.</w:t>
      </w:r>
    </w:p>
    <w:p w14:paraId="50990812"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 В соответствии с этим обязать директоров заводов принять следующий график производства и выпуска аэросаней:</w:t>
      </w:r>
    </w:p>
    <w:p w14:paraId="19D773A2"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По заводу им. Куйбышева выпустить и сдать:</w:t>
      </w:r>
    </w:p>
    <w:p w14:paraId="797BC033"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 20 — по 25.12 — 17 машин</w:t>
      </w:r>
    </w:p>
    <w:p w14:paraId="1B896721"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 25 — по 31.12 — 35</w:t>
      </w:r>
      <w:r w:rsidRPr="00640820">
        <w:rPr>
          <w:rFonts w:ascii="Times New Roman" w:hAnsi="Times New Roman"/>
          <w:color w:val="0070C0"/>
          <w:sz w:val="16"/>
          <w:szCs w:val="16"/>
        </w:rPr>
        <w:tab/>
        <w:t>«</w:t>
      </w:r>
    </w:p>
    <w:p w14:paraId="0146278C"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 01 — по 05.01 — 30</w:t>
      </w:r>
      <w:r w:rsidRPr="00640820">
        <w:rPr>
          <w:rFonts w:ascii="Times New Roman" w:hAnsi="Times New Roman"/>
          <w:color w:val="0070C0"/>
          <w:sz w:val="16"/>
          <w:szCs w:val="16"/>
        </w:rPr>
        <w:tab/>
        <w:t>«</w:t>
      </w:r>
    </w:p>
    <w:p w14:paraId="7B67CF11"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 05 —по 10.01 —45</w:t>
      </w:r>
      <w:r w:rsidRPr="00640820">
        <w:rPr>
          <w:rFonts w:ascii="Times New Roman" w:hAnsi="Times New Roman"/>
          <w:color w:val="0070C0"/>
          <w:sz w:val="16"/>
          <w:szCs w:val="16"/>
        </w:rPr>
        <w:tab/>
        <w:t>«</w:t>
      </w:r>
    </w:p>
    <w:p w14:paraId="587FBBA2"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По заводу им. Ермана:</w:t>
      </w:r>
    </w:p>
    <w:p w14:paraId="374E0FFE"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 20 — по 25.12 — 23 машины</w:t>
      </w:r>
    </w:p>
    <w:p w14:paraId="48C84A75"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 25 — по 01.01 —40</w:t>
      </w:r>
      <w:r w:rsidRPr="00640820">
        <w:rPr>
          <w:rFonts w:ascii="Times New Roman" w:hAnsi="Times New Roman"/>
          <w:color w:val="0070C0"/>
          <w:sz w:val="16"/>
          <w:szCs w:val="16"/>
        </w:rPr>
        <w:tab/>
        <w:t>«</w:t>
      </w:r>
    </w:p>
    <w:p w14:paraId="46DD3369"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 01 — по 05.01 — 35</w:t>
      </w:r>
      <w:r w:rsidRPr="00640820">
        <w:rPr>
          <w:rFonts w:ascii="Times New Roman" w:hAnsi="Times New Roman"/>
          <w:color w:val="0070C0"/>
          <w:sz w:val="16"/>
          <w:szCs w:val="16"/>
        </w:rPr>
        <w:tab/>
        <w:t>«</w:t>
      </w:r>
    </w:p>
    <w:p w14:paraId="2F0A12DF"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 05 — по 10.01—45</w:t>
      </w:r>
      <w:r w:rsidRPr="00640820">
        <w:rPr>
          <w:rFonts w:ascii="Times New Roman" w:hAnsi="Times New Roman"/>
          <w:color w:val="0070C0"/>
          <w:sz w:val="16"/>
          <w:szCs w:val="16"/>
        </w:rPr>
        <w:tab/>
        <w:t>«</w:t>
      </w:r>
    </w:p>
    <w:p w14:paraId="3082B2AE"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По Бекетовскому лесокомбинату:</w:t>
      </w:r>
    </w:p>
    <w:p w14:paraId="210D837F"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 20 — по 25.12 — 5 машин</w:t>
      </w:r>
    </w:p>
    <w:p w14:paraId="1E7A6127"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 25 — по 01.01 — 12 машин</w:t>
      </w:r>
    </w:p>
    <w:p w14:paraId="57EDC99E"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 01 — по 05.01 — 15</w:t>
      </w:r>
      <w:r w:rsidRPr="00640820">
        <w:rPr>
          <w:rFonts w:ascii="Times New Roman" w:hAnsi="Times New Roman"/>
          <w:color w:val="0070C0"/>
          <w:sz w:val="16"/>
          <w:szCs w:val="16"/>
        </w:rPr>
        <w:tab/>
        <w:t>«</w:t>
      </w:r>
    </w:p>
    <w:p w14:paraId="585C91EE"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lastRenderedPageBreak/>
        <w:t>с 05 — по 10.01 — 18</w:t>
      </w:r>
      <w:r w:rsidRPr="00640820">
        <w:rPr>
          <w:rFonts w:ascii="Times New Roman" w:hAnsi="Times New Roman"/>
          <w:color w:val="0070C0"/>
          <w:sz w:val="16"/>
          <w:szCs w:val="16"/>
        </w:rPr>
        <w:tab/>
        <w:t>«</w:t>
      </w:r>
    </w:p>
    <w:p w14:paraId="72574800"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3. Обязать Местпромтов. Кофанова изготавливать в своих мастерских и заводах следующие узлы и детали для аэросаней начиная с 20 декабря 1941 г.:</w:t>
      </w:r>
    </w:p>
    <w:p w14:paraId="19722176"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педаль управления — 15 шт. ежедневно</w:t>
      </w:r>
    </w:p>
    <w:p w14:paraId="4A7A7047"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тяги управления — 15 шт.</w:t>
      </w:r>
    </w:p>
    <w:p w14:paraId="56322769"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накладки рычага тормоза — 3.000 шт. до 01.01.1942 г.</w:t>
      </w:r>
    </w:p>
    <w:p w14:paraId="5D1EDC42"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4. Обязать директора областной конторы Вторчермет тов. Григорьева изготовить 40 моторов до 01.01.1942 г., обеспечив ежедневный выпуске количестве 6 моторов.</w:t>
      </w:r>
    </w:p>
    <w:p w14:paraId="03F4A626"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5. Обязать директора СЭК тов. Терешкина изготовить с 20 декабря до 01.01.1942 г. полуоси в количестве 400 шт. и штанги рулевого управления в количестве 100 шт.</w:t>
      </w:r>
    </w:p>
    <w:p w14:paraId="5B96AEEF"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6. Обязать директора ЗВЧМ тов. Саенко и директора 91 завода тов. Уфлянда изготовить с 20 декабря до 01.01.1942 г. кабаны в количестве 200 шт. каждый.</w:t>
      </w:r>
    </w:p>
    <w:p w14:paraId="3EC1EA54"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7. Обязать директора завода «Красный Октябрь» тов. Матвеева изготовить штамп и отштамповать до 01.01.1942 г. в количестве 9.000 шт. фланцев амортизатора и принять заказ от завода им. Куйбышева на другие штампованные изделия при условии предоставления штампов.</w:t>
      </w:r>
    </w:p>
    <w:p w14:paraId="30477ABF"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8. Обязать директора завода «Красный металлист» тов. Коняшева изготовить два штампа к 25 декабря на деталь коробки крепления и деталь рычаг тормоза.</w:t>
      </w:r>
    </w:p>
    <w:p w14:paraId="413CD03F"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9. Обязать директора ремесленного училища СТЗ тов. Юдаева изготовить в своих мастерских к 25 декабря штамп детали коробки крепления.</w:t>
      </w:r>
    </w:p>
    <w:p w14:paraId="550DD914"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10. Обязать директора ремесленного училища завода «Красный Октябрь» тов. Мордвинцева изготовить в своих мастерских к 25 декабря штамп для угольника крепления лыж.</w:t>
      </w:r>
    </w:p>
    <w:p w14:paraId="0F4DA617"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11. Обязать директора метизного завода тов. Монина обеспечить заводы им. Куйбышева болтами для крепления мотора и узлов крепления по спецификации заводов.</w:t>
      </w:r>
    </w:p>
    <w:p w14:paraId="30E98152"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12. Обязать начальника депо ст. Сарепта тов. Зарембо изготовить для завода им. Ермана следующие детали:</w:t>
      </w:r>
    </w:p>
    <w:p w14:paraId="0912ECC7"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сливных кранов</w:t>
      </w:r>
      <w:r w:rsidRPr="00640820">
        <w:rPr>
          <w:rFonts w:ascii="Times New Roman" w:hAnsi="Times New Roman"/>
          <w:color w:val="0070C0"/>
          <w:sz w:val="16"/>
          <w:szCs w:val="16"/>
        </w:rPr>
        <w:tab/>
        <w:t>— 320 шт.</w:t>
      </w:r>
    </w:p>
    <w:p w14:paraId="3612346F"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3-ходовых</w:t>
      </w:r>
      <w:r w:rsidRPr="00640820">
        <w:rPr>
          <w:rFonts w:ascii="Times New Roman" w:hAnsi="Times New Roman"/>
          <w:color w:val="0070C0"/>
          <w:sz w:val="16"/>
          <w:szCs w:val="16"/>
        </w:rPr>
        <w:tab/>
        <w:t>— 640 шт.</w:t>
      </w:r>
    </w:p>
    <w:p w14:paraId="73724B41"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роликов управления — 5.000 шт.</w:t>
      </w:r>
    </w:p>
    <w:p w14:paraId="02BE0104"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13. Обязать директора завода ВАТ тов. Орлова обеспечивать лесозаводы им. Куйбышева кислородом в количестве 15 баллонов в сутки.</w:t>
      </w:r>
    </w:p>
    <w:p w14:paraId="4E39A86E"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14. Просить Наркомлестов. Салтыкова и уполномоченного Государственного Комитета Обороны по аэросаням тов. Шацкого принять немедленные меры по доставке на Сталинградские лесозаводы следующих материалов и приборов: толкающие винты, измерительную аппаратуру, переключатели, тросе управления, трубки для масло- и бензопроводки, фанеру и др.</w:t>
      </w:r>
    </w:p>
    <w:p w14:paraId="14FF63B9"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15. Поручить тов. Молчанову обеспечить заводы необходимыми кадрами из трудовых госрезервов по заявкам заводов.</w:t>
      </w:r>
    </w:p>
    <w:p w14:paraId="24A17FEF"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16. Просить военный совет Сталинградского военного округа оказать помощь необходимыми кадрами лесозаводам им. Куйбышева, Ермана и Бекетовскому лесокомбинату.</w:t>
      </w:r>
    </w:p>
    <w:p w14:paraId="62B5B17D"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17. Запретить партийным и советским организациям районов и города производить, без разрешения городского Комитета Обороны, мобилизацию людей и транспорта, занятых на производстве аэросаней на этих заводах.</w:t>
      </w:r>
    </w:p>
    <w:p w14:paraId="6F66F50E"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18. Впредь до получения штампованных деталей от кооперированных заводов обязать директоров лесозаводов ни в коем случае не свертывать, а, наоборот, расширять производство узлов и деталей на базе своих механических мастерских, не допуская срыва графика выпуска аэросаней.</w:t>
      </w:r>
    </w:p>
    <w:p w14:paraId="5BD40276"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Предупредить директоров заводов о том, что за невыполнение постановления городского Комитета Обороны о производстве по программе аэросаней они будут привлечены к ответственности, как за срыв государственного задания.</w:t>
      </w:r>
    </w:p>
    <w:p w14:paraId="6F6F43C1"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xml:space="preserve">Обязать секретарей Ворошиловского и Кировского райкомов гор. Сталинграда взять под особый контроль и проверку исполнение настоящего решения на заводах, производящих аэросани, ежедневно докладывать городскому Комитету Обороны </w:t>
      </w:r>
    </w:p>
    <w:p w14:paraId="1A87299E"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о ходе выполнения программы производства аэросаней.</w:t>
      </w:r>
    </w:p>
    <w:p w14:paraId="4E545875" w14:textId="77777777" w:rsidR="004902DB" w:rsidRPr="00640820" w:rsidRDefault="004902DB"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ЦДНИВО. Ф. 171. Оп. 1.Д. 1. Л. 67— 69. Подлинник  (20888).</w:t>
      </w:r>
    </w:p>
    <w:p w14:paraId="14D253FA" w14:textId="77777777" w:rsidR="004902DB" w:rsidRPr="00640820" w:rsidRDefault="004902DB" w:rsidP="00640820">
      <w:pPr>
        <w:spacing w:after="0" w:line="240" w:lineRule="auto"/>
        <w:jc w:val="both"/>
        <w:rPr>
          <w:rFonts w:ascii="Times New Roman" w:hAnsi="Times New Roman"/>
          <w:color w:val="0070C0"/>
          <w:sz w:val="16"/>
          <w:szCs w:val="16"/>
        </w:rPr>
      </w:pPr>
    </w:p>
    <w:p w14:paraId="5DC5B065"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040D0A95"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35B9B39" w14:textId="77777777" w:rsidR="0038053A" w:rsidRPr="00640820" w:rsidRDefault="003805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20 декабря</w:t>
      </w:r>
      <w:r w:rsidRPr="00640820">
        <w:rPr>
          <w:rFonts w:ascii="Times New Roman" w:hAnsi="Times New Roman"/>
          <w:color w:val="000000" w:themeColor="text1"/>
          <w:sz w:val="16"/>
          <w:szCs w:val="16"/>
        </w:rPr>
        <w:t xml:space="preserve"> в 1941 году утреннее сообщение Совинформбюро:</w:t>
      </w:r>
    </w:p>
    <w:p w14:paraId="6C5E89CF" w14:textId="77777777" w:rsidR="0038053A" w:rsidRPr="00640820" w:rsidRDefault="003805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20 декабря наши части вели бои с противником на всех фронтах.</w:t>
      </w:r>
    </w:p>
    <w:p w14:paraId="01D9BB92" w14:textId="77777777" w:rsidR="0038053A" w:rsidRPr="00640820" w:rsidRDefault="003805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Части генерала Рокоссовского за один день боёв выбили немцев из ряда населённых пунктов и захватили 8 вражеских танков, 7 орудий, 162 автомашины и много боеприпасов. На другом участке фронта наши бойцы за это же время захватили 15 немецких танков, 5 орудий, 100 автомашин, бронемашину, 28 миномётов и другие трофеи.</w:t>
      </w:r>
    </w:p>
    <w:p w14:paraId="18FD7CC6" w14:textId="77777777" w:rsidR="0038053A" w:rsidRPr="00640820" w:rsidRDefault="003805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Наша часть, действующая на одном из участков Ленинградского фронта, в результате трёхдневных боёв с противником продвинулась вперёд и заняла железнодорожную станцию П. За эти дни немцы потеряли убитыми до 2.000 солдат и офицеров. Только одно из наших подразделений за день боёв захватило 3 орудия, много пулемётов, автоматов, 14 автомашин, склад с боеприпасами, две цистерны с горючим, железнодорожный состав, большие запасы продовольствия и фуража.</w:t>
      </w:r>
    </w:p>
    <w:p w14:paraId="4FA87C44" w14:textId="77777777" w:rsidR="0038053A" w:rsidRPr="00640820" w:rsidRDefault="003805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Восемь красноармейцев-разведчиков во главе с командиром взвода Карамендиновым проникли в тыл противника и организовали засаду у дороги. Вскоре показались 4 автомашины с 80 немецкими солдатами.</w:t>
      </w:r>
    </w:p>
    <w:p w14:paraId="0DB4205C" w14:textId="77777777" w:rsidR="0038053A" w:rsidRPr="00640820" w:rsidRDefault="003805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Отважные советские воины, забросав противника гранатами, истребили свыше 20 фашистов. Уничтожив в завязавшейся перестрелке ещё несколько немцев, разведчики умело вышли из боя и без потерь вернулись в свою часть.</w:t>
      </w:r>
    </w:p>
    <w:p w14:paraId="524A333A" w14:textId="77777777" w:rsidR="0038053A" w:rsidRPr="00640820" w:rsidRDefault="003805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Немецко-фашистские негодяи продолжают свои кровавые злодеяния в захваченных ими советских сёлах. В деревне Вир, Ленинградской области, фашисты собрали всех мужчин и без предъявления каких-либо обвинений 15 из них расстреляли и 5 повесили. В этом же районе пьяные немецкие солдаты зажгли деревни Глебову Горку и Пелешок, предварительно загнав жителей в их дома. Всех пытавшихся спастись фашисты расстреливали из винтовок и автоматов. В деревне Поддубье немецкий карательный отряд под командованием майора Шульца повесил 5 колхозников. В деревне Ирвина Лука, Тосненского района, фашисты повесили граждан Нестерова, Ильинского, Маклакова, Пичугина и 14-летнего мальчика Маркова. В деревне Житовичи немцы повесили 8 человек (из них три девушки). Деревню Житовичи гитлеровцы сожгли дотла. В деревне Тарасино, Оредежского района, была повешена колхозница Натделова Мария Филипповна и расстреляна колхозница Кривцова Н. И. вместе с её семилетней дочерью Ниной. Обнаружив в кармане у колхозника Абрамова, пастуха деревни Горки, Тосненского района, гильзу от немецкого патрона, приспособленную под мундштук, немцы повесили колхозника Абрамова.</w:t>
      </w:r>
    </w:p>
    <w:p w14:paraId="039C0EB1" w14:textId="77777777" w:rsidR="0038053A" w:rsidRPr="00640820" w:rsidRDefault="003805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Самоотверженно работают на оборону страны трудящиеся Новосибирской области. Горняки Кузбасса, досрочно выполнив годовой план угледобычи, дают тысячи тонн угля сверх плана. Пятьсот шахтёров треста «Сталинуголь» выполняют 2-3 нормы в смену, рабочие треста «Молотов-уголь» после работы в шахтах организуют воскресники по погрузке угля. Погрузочный цех шахты «Пионер», где работает много женщин, заменивших своих мужей, ушедших на фронт, выполняет план погрузки на 120-170 процентов. Колхозники области самоотверженно выполняют поставленную товарищем Сталиным задачу — давать фронту и стране всё больше и больше хлеба, мяса и сырья для промышленности. Колхозы Барзасского, Тегульдетского и Кемеровского районов досрочно выполнили свои обязательства по сдаче хлеба государству. Колхозы Барзасского района, кроме того, продали государству 42 тысячи пудов зерна. Колхоз имени Сталина, Ордынского района, сдал в фонд обороны ССОР 1.200 пудов хлеба. Колхозники Пихтовского района поставили на откорм в слоем личном хозяйстве для Красной Армии 404 овцы, 51 свинью, 16 телят. Трудящиеся Новосибирской области внесли в фонд обороны 31 миллион рублей деньгами и на 55 миллионов рублей облигаций государственных займов.» (14866).</w:t>
      </w:r>
    </w:p>
    <w:p w14:paraId="14EC4EE1" w14:textId="77777777" w:rsidR="0038053A" w:rsidRPr="00640820" w:rsidRDefault="0038053A" w:rsidP="00640820">
      <w:pPr>
        <w:spacing w:after="0" w:line="240" w:lineRule="auto"/>
        <w:jc w:val="both"/>
        <w:rPr>
          <w:rFonts w:ascii="Times New Roman" w:hAnsi="Times New Roman"/>
          <w:color w:val="000000" w:themeColor="text1"/>
          <w:sz w:val="16"/>
          <w:szCs w:val="16"/>
        </w:rPr>
      </w:pPr>
    </w:p>
    <w:p w14:paraId="489AD884" w14:textId="77777777" w:rsidR="0038053A" w:rsidRPr="00640820" w:rsidRDefault="003805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20 декабря</w:t>
      </w:r>
      <w:r w:rsidRPr="00640820">
        <w:rPr>
          <w:rFonts w:ascii="Times New Roman" w:hAnsi="Times New Roman"/>
          <w:color w:val="000000" w:themeColor="text1"/>
          <w:sz w:val="16"/>
          <w:szCs w:val="16"/>
        </w:rPr>
        <w:t xml:space="preserve"> в 1941 году вечернее сообщение Совинформбюро:</w:t>
      </w:r>
    </w:p>
    <w:p w14:paraId="7771246E" w14:textId="77777777" w:rsidR="0038053A" w:rsidRPr="00640820" w:rsidRDefault="003805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20 декабря наши войска вели бои с противником на всех фронтах. На ряде участков Западного, Калининского, Юго-Западного и Ленинградского фронтов наши войска, ведя ожесточённые бои с противником, продолжали продвигаться вперёд, заняли ряд населённых пунктов и в числе их города Волоколамск, Плавск и станцию Войбокало (южнее Ладожского озера).</w:t>
      </w:r>
    </w:p>
    <w:p w14:paraId="4A8F800E" w14:textId="77777777" w:rsidR="0038053A" w:rsidRPr="00640820" w:rsidRDefault="003805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19 декабря уничтожено 6 немецких самолётов.</w:t>
      </w:r>
    </w:p>
    <w:p w14:paraId="7E3068BB" w14:textId="77777777" w:rsidR="0038053A" w:rsidRPr="00640820" w:rsidRDefault="003805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19 декабря наши лётчики, действующие на Западном фронте, уничтожили и повредили 4 немецких танка, 170 автомашин с войсками и грузами, уничтожили 7 полевых орудий с прислугой, 2 зенитные батареи, свыше 100 повозок с боеприпасами, подожгли 5 железнодорожных составов и взорвали склад с боеприпасами.</w:t>
      </w:r>
    </w:p>
    <w:p w14:paraId="222ED15C" w14:textId="77777777" w:rsidR="0038053A" w:rsidRPr="00640820" w:rsidRDefault="003805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Часть тов. Терешкова, действующая на одном из участков Западного фронта, 19 декабря выбила немцев из 12 населённых пунктов и захватила 15 вражеских танков, 10 автомашин, 28 миномётов, 4 орудия и много другого вооружения.</w:t>
      </w:r>
    </w:p>
    <w:p w14:paraId="792280F9" w14:textId="77777777" w:rsidR="0038053A" w:rsidRPr="00640820" w:rsidRDefault="003805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Наше подразделение в четырёхдневных боях на одном из участков Южного франта истребило 1.500 немецких солдат и офицеров и захватило 11 орудий, 53 пулемёта, 18 минометов, 27 автоматов, 7 автомашин и 65 лошадей.</w:t>
      </w:r>
    </w:p>
    <w:p w14:paraId="3BBAC665" w14:textId="77777777" w:rsidR="0038053A" w:rsidRPr="00640820" w:rsidRDefault="003805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Подведены первые, предварительные итоги боевых действий партизанских отрядов, оперировавших на территории тех районов Тульской области, которые освобождены ныне от немецко-фашистских захватчиков. По далеко не полным данным, партизаны только за последний месяц пустили под откос 3 немецких железнодорожных воинских эшелона, сожгли 15 фашистских танков, взорвали 102 автомашины с пехотой, боеприпасами и горючим, вывели из строя 5 артиллерийских орудий и 19 пулемётов, уничтожили 35 мотоциклов и 70 повозок. Бойцы тульских партизанских отрядов истребили до 1.200 вражеских солдат и </w:t>
      </w:r>
      <w:r w:rsidRPr="00640820">
        <w:rPr>
          <w:rFonts w:ascii="Times New Roman" w:hAnsi="Times New Roman"/>
          <w:color w:val="000000" w:themeColor="text1"/>
          <w:sz w:val="16"/>
          <w:szCs w:val="16"/>
        </w:rPr>
        <w:lastRenderedPageBreak/>
        <w:t>офицеров и помогли частям Красной Армии разгромить ряд штабов вражеских войск. Особенно успешно действовали партизанские отряды Ивана Михайловича Кирюшина, Василия Тимофеевича Гречихина и Михаила Ивановича Мокринского.</w:t>
      </w:r>
    </w:p>
    <w:p w14:paraId="0759E6F0" w14:textId="77777777" w:rsidR="0038053A" w:rsidRPr="00640820" w:rsidRDefault="003805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Обовшивевшие солдаты гитлеровской грабьармии под ударами Красной Армии быстро растрачивают свой воинственный пыл. В письмах, найденных за последнее время у убитых немецких солдат, уже не встречается хвастливых заявлений о скорой победе. Теперь в них преобладают нытьё, жалобы на тяжёлую участь. Убитый немецкий солдат Вольф Вернер в неотправленном письме некоей Лизабет Луту писал незадолго до смерти: «Наши условия описать невозможно... ужасные вши сведут когда-нибудь с ума». Солдат Шульц Штельмахер пишет на родину: «Рождество мы должны провести здесь, мучаясь от вшей». Немецкий солдат Вальтер Рейнгольд получил письмо от родных из Вейде. В нём говорится: «То, что вас скоро заедят насекомые, совсем нехорошо. Ты хотел иметь гребень, но сейчас гребней нет, так как у нас снова многих призвали и те всё закупили». Пленный ефрейтор 295 немецкой дивизии Эрнст Лем рассказал: «Солдаты по 6 недель не меняют белья. У всех много вшей. У меня их масса, и я ночью не могу спать... Солдаты клянут свою судьбу и войну. Им надоела эта бесконечная история солдатских страдании».</w:t>
      </w:r>
    </w:p>
    <w:p w14:paraId="1EFD3B4A" w14:textId="77777777" w:rsidR="0038053A" w:rsidRPr="00640820" w:rsidRDefault="003805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Немецкое командование издало приказ, запрещающий въезд обмороженных и раненых солдат с Восточного фронта в Германию. Несколько тысяч обмороженных солдат уже направлены в различные города Греции. Фашистские главари опасаются, что известия об ухудшающемся положении немцев на Восточном фронте, а также сведения о разгроме советскими войсками многих дивизий немецкой армии могут вызвать в стране волнения.</w:t>
      </w:r>
    </w:p>
    <w:p w14:paraId="73D83EE7" w14:textId="77777777" w:rsidR="0038053A" w:rsidRPr="00640820" w:rsidRDefault="003805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Победы славных защитников Москвы вызвали огромный подъём и воодушевление у трудящихся советской страны. Массовым перевыполнением норм ознаменовали разгром гитлеровцев под Москвой рабочие и инженеры завода имени Октябрьской революции (Азербайджан). После митинга, посвящённого новой победе советских войск, кузнец Хусметдин Хусметдинов за день выполнил четыре с половиной нормы. Кузнец Якубов сделал пятнадцать деталей вместо восьми по норме. Стахановец Карапетян стал работать на двух станках одновременно, на каждом из них выполняя норму на 250 процентов. Весь завод в целом 15 декабря выполнил суточное задание на 150 процентов. Воодушевлённые победами Красной Армии, работники Лениногорских обогатительных фабрик (Казахская ССР) увеличили выпуск металла. Страна получает сверх плана десятки тонн свинца, меди, цинка. Горняки Ачисая, досрочно выполнившие годовой план добычи руды, сейчас с новой силой развернули социалистическое соревнование. Ежедневная добыча на 5 Восточном участке достигает 180 процентов нормы. Забойщики Карсакпаев и Мамбетов обслуживают по 2-3 забоя каждый.»</w:t>
      </w:r>
    </w:p>
    <w:p w14:paraId="49F20686" w14:textId="77777777" w:rsidR="0038053A" w:rsidRPr="00640820" w:rsidRDefault="003805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последний час.</w:t>
      </w:r>
    </w:p>
    <w:p w14:paraId="64F11E04" w14:textId="77777777" w:rsidR="0038053A" w:rsidRPr="00640820" w:rsidRDefault="003805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Трофеи войск Западного фронта за период с 17 по 20 декабря.</w:t>
      </w:r>
    </w:p>
    <w:p w14:paraId="11196968" w14:textId="77777777" w:rsidR="0038053A" w:rsidRPr="00640820" w:rsidRDefault="003805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период с 17 по 20 декабря войсками Западного фронта захвачено у противника: самолётов — 7, танков — 360, орудий — 519, миномётов — 161, пулемётов — 267, автомашин — 3.059, бронемашин — 28, тракторов — 35. Из этого количества в боях на подступах к Волоколамску и в самом городе захвачено: танков — 73, орудий — 91, пулемётов — 31, автомашин — 577, бронемашин — 4, тракторов — 35. За период с 17 по 20 декабря на Западном фронте уничтожено 10.090 немецких солдат и офицеров.» (14866).</w:t>
      </w:r>
    </w:p>
    <w:p w14:paraId="16ED681E" w14:textId="77777777" w:rsidR="0038053A" w:rsidRPr="00640820" w:rsidRDefault="0038053A" w:rsidP="00640820">
      <w:pPr>
        <w:spacing w:after="0" w:line="240" w:lineRule="auto"/>
        <w:jc w:val="both"/>
        <w:rPr>
          <w:rFonts w:ascii="Times New Roman" w:hAnsi="Times New Roman"/>
          <w:color w:val="000000" w:themeColor="text1"/>
          <w:sz w:val="16"/>
          <w:szCs w:val="16"/>
        </w:rPr>
      </w:pPr>
    </w:p>
    <w:p w14:paraId="2CBFF641" w14:textId="77777777" w:rsidR="0038053A" w:rsidRPr="00640820" w:rsidRDefault="003805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20 декабря</w:t>
      </w:r>
      <w:r w:rsidRPr="00640820">
        <w:rPr>
          <w:rFonts w:ascii="Times New Roman" w:hAnsi="Times New Roman"/>
          <w:color w:val="000000" w:themeColor="text1"/>
          <w:sz w:val="16"/>
          <w:szCs w:val="16"/>
        </w:rPr>
        <w:t xml:space="preserve"> в 1941 году в ходе наступательной Клинско-Солнечногорской операции войска Западного фронта освободили город Волоколамск от фашистских захватчиков (14866).</w:t>
      </w:r>
    </w:p>
    <w:p w14:paraId="5B56EDA9" w14:textId="77777777" w:rsidR="0038053A" w:rsidRPr="00640820" w:rsidRDefault="0038053A" w:rsidP="00640820">
      <w:pPr>
        <w:spacing w:after="0" w:line="240" w:lineRule="auto"/>
        <w:jc w:val="both"/>
        <w:rPr>
          <w:rFonts w:ascii="Times New Roman" w:hAnsi="Times New Roman"/>
          <w:color w:val="000000" w:themeColor="text1"/>
          <w:sz w:val="16"/>
          <w:szCs w:val="16"/>
        </w:rPr>
      </w:pPr>
    </w:p>
    <w:p w14:paraId="30E84243"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декабря 1941 советские войска отбили у немцев Волоколамск (4962).</w:t>
      </w:r>
    </w:p>
    <w:p w14:paraId="5942E452"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3E11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декабря 1941 войска ЗФ освободили Волоколамск (3186).</w:t>
      </w:r>
    </w:p>
    <w:p w14:paraId="463CE0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86B333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December 20, 1941: German forces of Heeresgruppe Mitte retreating from the front before Moscow reach new defensive lines more than 100 m to the west where, following strict orders by Hitler, they are to stand and fight off any further Soviet advances (3819).</w:t>
      </w:r>
    </w:p>
    <w:p w14:paraId="339810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6BB945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декабря 1941 войска Группа Центр отступили на новую линию обороны и по приказу А.Г. стойко оборонялись (3819).</w:t>
      </w:r>
    </w:p>
    <w:p w14:paraId="3DB7F7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5A2D43E"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декабря 1941 Геббельс призвал немецкий народ посылать зимнюю одежду для германской армии под Москвой (4962).</w:t>
      </w:r>
    </w:p>
    <w:p w14:paraId="62B52DAE"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A66046"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18C84522"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610EB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декабря 1941 в Мурманске пришвартовался пароход "Декабрист", на палубе которого стояли первые американские бомбардировщики "Митчел" - два В-25В (3457,57).</w:t>
      </w:r>
    </w:p>
    <w:p w14:paraId="623368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9492D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декабря 1941 "Декабрист" пришвартовался в мурманском порту, имея на борту два первых В-25В для СССР (3457,91).</w:t>
      </w:r>
    </w:p>
    <w:p w14:paraId="3761D4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F1A2593"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69205A8E"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93EF7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Уже 20 декабря 1941 года прибывший в Москву британский министр иностранных дел Энтони Иден во время переговоров со Сталиным поднял вопрос об участии СССР в войне с Японией. </w:t>
      </w:r>
    </w:p>
    <w:p w14:paraId="1FB6CF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"Далее,— говорилось в записи беседы,— Иден поставил вопрос о Дальнем Востоке. Ввиду серьезности создавшегося там положения он просил тов. Сталина сказать, может ли и когда Англия рассчитывать на известную помощь ей против Японии. Иден понимает, что такая помощь в настоящий момент для нас едва ли мыслима. Но как будет обстоять дело, например, весной? Тов. Сталин ответил, что если СССР объявил бы войну Японии, то ему пришлось бы вести настоящую, серьезную войну на суше, на море и в воздухе. Это ведь не то, что декларация войны, которую Японии могли бы объявить Бельгия или Греция. Стало быть, советское правительство должно тщательно учитывать свои возможности и силы. В настоящий момент СССР еще не готов для войны с Японией. Значительное количество наших дальневосточных войск в последнее время было переброшено на Западный фронт". </w:t>
      </w:r>
    </w:p>
    <w:p w14:paraId="43400D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Однако, как следовало из дальнейших слов Сталина, его предыдущие высказывания не означали полного и безоговорочного отказа союзникам: </w:t>
      </w:r>
    </w:p>
    <w:p w14:paraId="0B4BC7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"Сейчас на Дальнем Востоке формируются новые силы, но потребуется еще не меньше четырех месяцев, прежде чем СССР будет надлежащим образом подготовлен в этих районах. Тов. Сталин полагает, что было бы гораздо лучше, если бы Япония напала на СССР. Это создало бы более благоприятную политическую и психологическую атмосферу в нашей стране. Война оборонного характера была бы более популярна и создала бы монолитное единство в рядах советского народа. Лучшей иллюстрацией тому является война СССР против гитлеровской агрессии. Тов. Сталин полагает, что нападение Японии на СССР возможно и даже вероятно, если немцы начнут терпеть поражения на фронте. Тогда Гитлер пустит в ход все средства нажима для того, чтобы вовлечь Японию в войну с СССР". </w:t>
      </w:r>
    </w:p>
    <w:p w14:paraId="7528A3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Некоторое время Иден продолжал настаивать на своем: </w:t>
      </w:r>
    </w:p>
    <w:p w14:paraId="3302C1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"Иден высказал опасения, что японцы в Восточной Азии смогут применить чисто гитлеровскую тактику — бить врагов поодиночке: сначала покончить с Англией, а потом напасть на Советский Союз. Тов. Сталин возразил, что Англия не одна воюет против Японии. Вместе с ней воюют Китай, Голландская Индия и США". </w:t>
      </w:r>
    </w:p>
    <w:p w14:paraId="0BC408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Так что в итоге британскому союзнику пришлось довольствоваться тем, что уже было сказано: </w:t>
      </w:r>
    </w:p>
    <w:p w14:paraId="7A9870F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"Иден поблагодарил тов. Сталина за его готовность вернуться к дальневосточному вопросу через несколько месяцев". </w:t>
      </w:r>
    </w:p>
    <w:p w14:paraId="4532F5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Американцев куда больше тревожил другой аспект участия СССР в войне с Японией — экономический. Ведь на Северном Сахалине (оставшимся русским, в отличие от Южного, переданного Японии после Русско-японской войны) действовали японские концессии по добыче угля и нефти, без которых не мог обходиться японский императорский флот. А в территориальных водах СССР японские рыбаки ловили рыбу и морепродукты, которыми снабжалось не только население Японии, но и ее вооруженные силы. Причем то, что такое партнерство навязано советской стороне, служило довольно слабым утешением для союзников по антигитлеровской коалиции. </w:t>
      </w:r>
    </w:p>
    <w:p w14:paraId="4F0978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Своим появлением топливные концессии были обязаны "николаевскому инциденту", случившемуся во время Гражданской войны. В январе 1920 года к порту Николаевск в устье Амура, где находились малочисленные части белогвардейцев и высадившиеся "для охраны японских интересов и граждан" японские части, подошли красные партизаны под командованием анархиста Якова Тряпицына. Партизаны имели подавляющее превосходство сил — 4 тыс. бойцов против нескольких сотен белогвардейцев и японских пехотинцев, однако в бой вступать не стали и осадили город. </w:t>
      </w:r>
    </w:p>
    <w:p w14:paraId="394E52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"28 февраля того же года,— писал известный историк-японист Кирилл Черевко,— вслед за соглашением о капитуляции белогвардейцев было заключено соглашение "О мире и дружбе японцев и русских". После этого партизаны вошли в город, уничтожили всех сдавшихся в плен белогвардейцев и потребовали от японцев разоружиться. Последние отказались, напали на штаб партизан и ранили Тряпицына. И в ответ на это 12 марта 1920 г. партизаны подвергли сильному обстрелу нападавших японцев, японское консульство и бараки, занятые японскими войсками. Более 850 японских военнослужащих и японских гражданских лиц были взяты в плен и уничтожены. Погибли также японский консул Исида и 184 женщины, находившиеся в японском консульстве, сгоревшем в результате артиллерийского обстрела партизан. При приближении японской военной эскадры Тряпицын приказал не только расстрелять упомянутых выше японских военнопленных и </w:t>
      </w:r>
      <w:r w:rsidRPr="00640820">
        <w:rPr>
          <w:rFonts w:ascii="Times New Roman" w:hAnsi="Times New Roman"/>
          <w:color w:val="000000" w:themeColor="text1"/>
          <w:sz w:val="16"/>
          <w:szCs w:val="16"/>
        </w:rPr>
        <w:lastRenderedPageBreak/>
        <w:t xml:space="preserve">белогвардейцев, но и всех тех жителей города, которые отказались уйти с ним из Николаевска, а затем сжег город. За эти действия местный народный суд 9 июля 1920 г. приговорил в деревне Керби Тряпицына и других руководителей отряда партизан-анархистов к расстрелу". </w:t>
      </w:r>
    </w:p>
    <w:p w14:paraId="0CBBF3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Японцы незамедлительно воспользовались "николаевским инцидентом" для обеспечения своей бедной ресурсами страны надежными источниками топлива и рыбы: </w:t>
      </w:r>
    </w:p>
    <w:p w14:paraId="216D54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"Воспользовавшись этим инцидентом, 31 марта 1920 г. правительство Японии отказалось от эвакуации своих войск с российского Дальнего Востока. В качестве акта возмездия под предлогом защиты служащих японской нефтяной компании "Хокусинкай" ее войска оккупировали в июне 1920 г. Северный Сахалин. Опубликовав 3 июля 1920 г. декларацию об этих событиях, Япония заявила, что ее войска не будут выведены с Северного Сахалина до тех пор, пока Россия не признает своей полной ответственности за гибель японцев в Николаевске... Сразу же после заявления японские войска захватили также Приморье и Приамурье. Оккупированные ими районы были превращены в базу для нападения на Камчатку, где японцы захватили к 1922 году 93% всех рыболовных участков. На Сахалине же они стремились овладеть запасами нефти и угля". </w:t>
      </w:r>
    </w:p>
    <w:p w14:paraId="7A3C5C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Советское правительство, не имевшее сил и средств для ведения войны с Японией, пыталось маневрировать, то создав буферную и якобы независимую от Москвы Дальневосточную республику, то проводя переговоры о передаче нефтяных залежей Северного Сахалина в долгосрочную концессию американским предпринимателям. Расчет строился на том, что американцы, получив месторождения на самых льготных условиях, заставят японцев уйти. Но Соединенные Штаты в тот момент не захотели вмешиваться в сахалинский конфликт. </w:t>
      </w:r>
    </w:p>
    <w:p w14:paraId="78B515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Затем в Японии возникла идея о покупке Северного Сахалина, и несколько лет стороны торговались, но так и не сошлись в цене. В 1925 году в итоге все закончилось передачей нефтяных и угольных месторождений в концессию Японии до 1970 года и письменными извинениями советской стороны за "николаевский инцидент". </w:t>
      </w:r>
    </w:p>
    <w:p w14:paraId="55F783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Конфликт вокруг рыбных промыслов в советских территориальных водах после изнурительных переговоров завершился в 1928 году подписанием рыболовной конвенции, по которой японцы получили право ловить практически что угодно и где угодно, за исключением некоторых бухт и заливов. Правда, участки требовалось получать в ходе публичных торгов, в которых могли участвовать и советские организации. Однако поскольку таких организаций насчитывалось немного, японская сторона согласилась на это ограничение. </w:t>
      </w:r>
    </w:p>
    <w:p w14:paraId="138265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Советские власти пытались сделать все возможное для того, чтобы освободиться от непрошеных гостей. По мере укрепления советских военно-морских сил на Дальнем Востоке усиливался контроль за японскими рыболовецкими компаниями. А местное руководство на Северном Сахалине прикладывало немало усилий к тому, чтобы затруднить работу японских концессий и сделать жизнь их сотрудников, мягко говоря, очень непростой. К примеру, искусственно создавались препятствия для доставки концессионерам лекарств и прочих крайне необходимых товаров. Но, как оказалось, ресурсы для японцев были превыше всего, и они стойко переносили все трудности. </w:t>
      </w:r>
    </w:p>
    <w:p w14:paraId="0C7227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Шанс на решение вопроса появился весной 1941 года, когда проезжавший через Москву в Берлин министр иностранных дел Японии Есукэ Мацуока предложил советскому руководству подписать пакт о нейтралитете. Когда Мацуока вернулся в Москву, удалось достичь соглашения по всем вопросам. За рамки главного договора, в отдельную декларацию, вынесли вопрос о нерушимости границ подконтрольной СССР Монголии и созданного японцами в захваченной ими Маньчжурии государства Маньчжоу-Го. А также договорились путем обмена письмами при заключении пакта разрешить договор о концессиях. Правда, Сталин и Мацуока поспорили о сроке ликвидации концессий. Первый настаивал на двух-трех месяцах, а второй — на формулировке "в течение нескольких месяцев". В конце концов, само согласие японской стороны на уход с Северного Сахалина стоило того, чтобы подождать, и Сталин согласился на срок в шесть месяцев. </w:t>
      </w:r>
    </w:p>
    <w:p w14:paraId="12606EA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13 апреля 1941 года пакт был подписан и состоялся обмен письмами. В качестве компенсации за ликвидацию концессий Сталин обещал подумать о поставке в Японию 100 тыс. тонн нефти. Вот только письма, как оказалось, стоили меньше бумаги, на которой были написаны. В июле 1941-го Мацуока остался не у дел, советской стороне объявили, что письма были его личной инициативой, а содержащиеся в них обязательства японское правительство выполнять не будет. </w:t>
      </w:r>
    </w:p>
    <w:p w14:paraId="1880AF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Однако после нападения Японии на Перл-Харбор ситуация существенно изменилась. Американцев волновали не только японские нефтяные ресурсы, но и советско-японская рыболовная конвенция 1928 года. Они не раз спрашивали, не собирается ли СССР перекрыть японцам доступ к важнейшему продовольственному ресурсу. К примеру, в записи беседы первого заместителя наркома иностранных дел СССР Андрея Вышинского с временным поверенным в делах Соединенных Штатов в СССР Уолтером Торстоном, проходившей 25 февраля 1942 года в Куйбышеве, куда эвакуировали дипкорпус из Москвы, говорилось: </w:t>
      </w:r>
    </w:p>
    <w:p w14:paraId="1BDFE7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"Сегодня в 18 часов я принял Торстона, который, сославшись на то, что в дипломатическом корпусе в Куйбышеве упорно циркулируют слухи о том, что между СССР и Японией уже достигнуто соглашение по вопросу о рыболовной конвенции, просил меня проинформировать его о том, каково положение в действительности. Я ответил Торстону, что слухи эти неверны". </w:t>
      </w:r>
    </w:p>
    <w:p w14:paraId="77CC4B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Кроме того, американцы много раз просили передать им карты или хотя бы карандашные схемы японских рыболовных участков в советских водах, очевидно, чтобы предпринять какие-то действия для воспрепятствования добыче. </w:t>
      </w:r>
    </w:p>
    <w:p w14:paraId="736D2E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такой ситуации можно было рассчитывать на то, что союзники поддержат любые усилия СССР, включая военные, если с их помощью Япония лишится важнейших источников сырья и продовольствия (12066).</w:t>
      </w:r>
    </w:p>
    <w:p w14:paraId="3E9447E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9977675" w14:textId="77777777" w:rsidR="009A31E1" w:rsidRPr="00640820" w:rsidRDefault="009A31E1"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20 декабря 1941 года в Мурманске под разгрузку встал пароход "Декабрист", имея на борту примерно 7000 тонн импортного груза. 11 января 1942 года в Мурманск прибыл первый союзный караван в количестве 9 судов, в их числе пароходы "Рейхкоунд", "Анероид", "Эмпайэр Активитти", "Эмпайэр Рикчанд", "Эмпайэр Ховард", "Эмпайэр Халлей", советский пароход "Чернышевский". В январе Мурманский порт принял еще два каравана, в их составе были суда Мурманского пароходства "Старый большевик" и "Ижора".Порт начал обработку караванов в сложных условиях -большая часть ценного оборудования, портальные и плавучие краны были эвакуированы, не хватало кадровых рабочих, мобилизованных на фронт. В зимнюю навигацию 1941-1942 гг., длившуюся 5 с половиной месяцев, с окончанием интенсивных перевозок в июне, порт принял 113 судов, обработал 407385 тонн импортных и 41137 тонн экспортных грузов. Наибольшее количество судов приходило под английским, а также под американским флагами. Были суда под панамским, гондурасским, датским, польским флагами. С прибывших судов выгружали танки, станки, автомашины, военно-стратегическое сырье, продовольствие. За границу отправляли лес, апатит, магнетит, хром, воск, асбест, растительное масло, пушнину (11910).</w:t>
      </w:r>
    </w:p>
    <w:p w14:paraId="22A844EA" w14:textId="77777777" w:rsidR="009A31E1" w:rsidRPr="00640820" w:rsidRDefault="009A31E1" w:rsidP="00640820">
      <w:pPr>
        <w:autoSpaceDE w:val="0"/>
        <w:autoSpaceDN w:val="0"/>
        <w:adjustRightInd w:val="0"/>
        <w:spacing w:after="0" w:line="240" w:lineRule="auto"/>
        <w:jc w:val="both"/>
        <w:rPr>
          <w:rFonts w:ascii="Times New Roman" w:hAnsi="Times New Roman"/>
          <w:color w:val="000000" w:themeColor="text1"/>
          <w:sz w:val="16"/>
          <w:szCs w:val="16"/>
        </w:rPr>
      </w:pPr>
    </w:p>
    <w:p w14:paraId="2C6899C1" w14:textId="77777777" w:rsidR="0038053A"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43DF454C" w14:textId="77777777" w:rsidR="0038053A" w:rsidRPr="00640820" w:rsidRDefault="0038053A"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BD187A4" w14:textId="77777777" w:rsidR="00A74C5C" w:rsidRPr="00640820" w:rsidRDefault="00A74C5C"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20 декабря 1941 American Volunteer Group „Летающие тигры“ Националистических ВВС Китая проводит свой первый бой около Куньмин, Китай (20794).</w:t>
      </w:r>
    </w:p>
    <w:p w14:paraId="704D60AA" w14:textId="77777777" w:rsidR="00A74C5C" w:rsidRPr="00640820" w:rsidRDefault="00A74C5C" w:rsidP="00640820">
      <w:pPr>
        <w:spacing w:after="0" w:line="240" w:lineRule="auto"/>
        <w:jc w:val="both"/>
        <w:rPr>
          <w:rFonts w:ascii="Times New Roman" w:hAnsi="Times New Roman"/>
          <w:color w:val="0070C0"/>
          <w:sz w:val="16"/>
          <w:szCs w:val="16"/>
        </w:rPr>
      </w:pPr>
    </w:p>
    <w:p w14:paraId="677259B0" w14:textId="77777777" w:rsidR="0038053A" w:rsidRPr="00640820" w:rsidRDefault="0038053A"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20 декабря</w:t>
      </w:r>
      <w:r w:rsidRPr="00640820">
        <w:rPr>
          <w:rFonts w:ascii="Times New Roman" w:hAnsi="Times New Roman"/>
          <w:color w:val="000000" w:themeColor="text1"/>
          <w:sz w:val="16"/>
          <w:szCs w:val="16"/>
        </w:rPr>
        <w:t xml:space="preserve"> в 1941 году И.Геббельс призвал немецкий народ посылать зимнюю одежду для германской армии под Москвой (14866).</w:t>
      </w:r>
    </w:p>
    <w:p w14:paraId="28E7900D" w14:textId="77777777" w:rsidR="0038053A" w:rsidRPr="00640820" w:rsidRDefault="0038053A" w:rsidP="00640820">
      <w:pPr>
        <w:spacing w:after="0" w:line="240" w:lineRule="auto"/>
        <w:jc w:val="both"/>
        <w:rPr>
          <w:rFonts w:ascii="Times New Roman" w:hAnsi="Times New Roman"/>
          <w:color w:val="000000" w:themeColor="text1"/>
          <w:sz w:val="16"/>
          <w:szCs w:val="16"/>
        </w:rPr>
      </w:pPr>
    </w:p>
    <w:p w14:paraId="568E17C4"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24329A43"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454D0E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 второй декады декабря 1941 на заводе № 264 удалось организовать выпуск Т-60. Всего до начала 1942 г. завод № 264 сдал заказчику 53 танка и лишь в январе вышел на запланированную произво</w:t>
      </w:r>
      <w:r w:rsidRPr="00640820">
        <w:rPr>
          <w:rFonts w:ascii="Times New Roman" w:hAnsi="Times New Roman"/>
          <w:color w:val="000000" w:themeColor="text1"/>
          <w:sz w:val="16"/>
          <w:szCs w:val="16"/>
        </w:rPr>
        <w:softHyphen/>
        <w:t>дительность (100 танков в месяц), сдав 102 машины. Всего же по июнь 1942 г. здесь было отгружено 830 Т-60 (10782).</w:t>
      </w:r>
    </w:p>
    <w:p w14:paraId="04E03D7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A1B8A5"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3C356C4E"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888C86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декабря 1941 “В цехах у Третьякова вырыли ямы, в них наложили дров, полили мазутом и зажгли, рабо</w:t>
      </w:r>
      <w:r w:rsidRPr="00640820">
        <w:rPr>
          <w:rFonts w:ascii="Times New Roman" w:hAnsi="Times New Roman"/>
          <w:color w:val="000000" w:themeColor="text1"/>
          <w:sz w:val="16"/>
          <w:szCs w:val="16"/>
        </w:rPr>
        <w:softHyphen/>
        <w:t>чие по очереди подходят к кострам, греются. Из це</w:t>
      </w:r>
      <w:r w:rsidRPr="00640820">
        <w:rPr>
          <w:rFonts w:ascii="Times New Roman" w:hAnsi="Times New Roman"/>
          <w:color w:val="000000" w:themeColor="text1"/>
          <w:sz w:val="16"/>
          <w:szCs w:val="16"/>
        </w:rPr>
        <w:softHyphen/>
        <w:t>хов никуда не уходят. Здесь же и живут. Столовых еще нет. Где-то есть раздаточная, выдают что-то похожее на суп...» (9984).</w:t>
      </w:r>
    </w:p>
    <w:p w14:paraId="627DBA2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5AC7EE" w14:textId="77777777" w:rsidR="004861A6" w:rsidRPr="00640820" w:rsidRDefault="004861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xml:space="preserve"> 21 декабря 1941 в связи с изменением военной обстановки — начавшимся в декабре 1941 г. контрнаступлением Советской Армии под Москвой — дальнейшая эвакуация ЦАГИ была признана нецелесообразной, и демонтаж оборудования прекратили. В Стаханово еще оставалось наиболее тяжелое и трудоемкое в демонтировании оборудование общей стоимостью в 7 млн руб., которое подлежало эвакуации во вторую очередь.</w:t>
      </w:r>
    </w:p>
    <w:p w14:paraId="11B4A891" w14:textId="77777777" w:rsidR="004861A6" w:rsidRPr="00640820" w:rsidRDefault="004861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Общее руководство обеспечивал начальник временного управления ЦАГИ И. А. Новиков, он же был назначен начальником Объекта (ЦАГИ-Ста - ханово), на него возложили и ответственность за проведение военных мероприятий по Объекту в соответствии с указаниями районной тройки во главе с первым секретарем Раменского горкома партии П. Г. Бу - рыкчевым/</w:t>
      </w:r>
    </w:p>
    <w:p w14:paraId="5AB37181" w14:textId="77777777" w:rsidR="004861A6" w:rsidRPr="00640820" w:rsidRDefault="004861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Задачи, которые возлагались на коллектив ЦАГИ, оставшийся в поселке Стаханово, действительно были полностью выполнены. Раменский горком партии в октябре—ноябре 1941 г. не ставил какие-то новые задачи года перед временным управлением института. Однако в конце декабря состоялся партийный актив Раменского района, который в своем решении записал: «ЦАГИ (Новиков) в течение двух месяцев мало давал фронту, хотя возможности все имел». В различных мастерских ЦАГИ-Стаханово оставалось некоторое количество металлорежущих станков, предназначенных для текущего ремонта систем отопления, водопровода и канализации. Это оборудование видимо, в какой-то степени могло быть использовано для изготовления несложных деталей в помощь какому-либо оборонному заводу Раменского района. Но со стороны никто таких задач не поставил, а своей инициативы ЦАГИ не проявил (19727).</w:t>
      </w:r>
    </w:p>
    <w:p w14:paraId="31164FDC" w14:textId="77777777" w:rsidR="004861A6" w:rsidRPr="00640820" w:rsidRDefault="004861A6" w:rsidP="00640820">
      <w:pPr>
        <w:spacing w:after="0" w:line="240" w:lineRule="auto"/>
        <w:jc w:val="both"/>
        <w:rPr>
          <w:rFonts w:ascii="Times New Roman" w:hAnsi="Times New Roman"/>
          <w:color w:val="000000" w:themeColor="text1"/>
          <w:sz w:val="16"/>
          <w:szCs w:val="16"/>
        </w:rPr>
      </w:pPr>
    </w:p>
    <w:p w14:paraId="40027746"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39A695CB"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6CD4C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декабря 1941 была подготовлена:</w:t>
      </w:r>
    </w:p>
    <w:p w14:paraId="4D02C6E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Оперативная сводка по заводу № 183 по состоянию на 20 декабря 1941 г.</w:t>
      </w:r>
    </w:p>
    <w:p w14:paraId="7E95B8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Начальнику БТУ ГАБТУ КА Коробкову, г. Москва</w:t>
      </w:r>
    </w:p>
    <w:p w14:paraId="50D306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начальника БТУ ГАБТУ КА Алымову, г. Куйбышев.</w:t>
      </w:r>
    </w:p>
    <w:p w14:paraId="4AA853A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Согласно графику заводоуправления в декабре должно быть выпущено 170 танков. На 20.12.1941 г. - 65 танков. В действительно имеется принятых пробегом 11 танков. Окончательно принятых для отправки - нет. Невыполнение программы из-за механических цехов, вместо 963 станков установлено 717, в эксплуатации - лишь 435.</w:t>
      </w:r>
    </w:p>
    <w:p w14:paraId="369D67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Ещё не прибыло оборудование из Харькова: 160 вагонов с оборудованием, остнасткой и материалами.</w:t>
      </w:r>
    </w:p>
    <w:p w14:paraId="4FAB0B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участку нормалей: из 250 человек есть только 54. Комитет Обороны обязал ряд наркоматов выделить 6000 квалифицированных рабочих.</w:t>
      </w:r>
    </w:p>
    <w:p w14:paraId="6FDACA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привезённой брони имеется 80 комплектов корпусов, 120 комплектов башен (уже сварено 69 корпусов и 66 башен).</w:t>
      </w:r>
    </w:p>
    <w:p w14:paraId="379FF1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Работающих стендов для сварки корпусов - 8, в монтаже ещё 3.</w:t>
      </w:r>
    </w:p>
    <w:p w14:paraId="0DFEA5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Уралвагонзавод имеет задание по литым башням на декабрь - 250 шт., на 20.12 отлито 80 шт., но термически они не обработаны.</w:t>
      </w:r>
    </w:p>
    <w:p w14:paraId="7D18D4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20.12 имеется дизелей В-2 50 шт. с завода № 76, стартёров 180 шт., моторов МБ-20 - 60 шт., АКБ - 800 шт., реле РРТ - 220 шт., радиостанций - 15 шт. (б/у), смотровых стёкол на 30 машин, систем [пушек] Ф-34 - 50 шт., ЗИС-4 - 12 шт., пулемётов ДТ - 446 шт., дисков ДТ - 6930 шт., оптики для Ф-34 на 17 машин, для ЗИС-4 на 71 машину.</w:t>
      </w:r>
    </w:p>
    <w:p w14:paraId="3C99C4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Опытные работы заводом до сих пор не проводятся, в результате чего может получиться, что имеющийся задел весь выйдет и будем вынуждены ряд деталей и механизмов не испытывая ставить на машины.</w:t>
      </w:r>
    </w:p>
    <w:p w14:paraId="722720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январе 1942 г. завод может выпускать 100 - 150 танков при условии нормальной работы термических цехов (бывший Мариупольский завод). Из-за отсутствия радиостанций будут выпускаться только линейные танки.</w:t>
      </w:r>
    </w:p>
    <w:p w14:paraId="6205CC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Производственные площади завода, громадная литейная база и имеющиеся оборудование позволяют развить производство до 15-20 танков в день, для этой цели на базе Уралвагонзавода создаётся второй завод (завод № 184), который будет выполнять механическую обработку деталей и сборку механизмов и агрегатов танка Т-34. Завод с оборудованием прибыл из Москвы в Нижний Тагил (часть станкозавода им.Орджоникидзе), но пока ещё не имеет производственных площадей. Выпуск танков 15-20 шт. в день возможен с апреля 1942 г.</w:t>
      </w:r>
    </w:p>
    <w:p w14:paraId="13905B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Конструкторское бюро закончило работу по снижению трудоёмкости и конструктивному изменению танка Т-34, в связи с переводом большинства деталей на литьё.</w:t>
      </w:r>
    </w:p>
    <w:p w14:paraId="241E9F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настоящее время КБ завода закончило разработку по заданию наркома Малышева следующие проекты:</w:t>
      </w:r>
    </w:p>
    <w:p w14:paraId="45D76EF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мощный огнемётный танк с ёмкости огнесмеси 900 л, с установкой 45-мм пушки с боекомплектом из 150 выстрелов и 40 пулемётных дисков, огнемёт предполагается ставить серийный; </w:t>
      </w:r>
    </w:p>
    <w:p w14:paraId="74C8ED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установка пушек Ф-34 с двумя 45-мм пушками.</w:t>
      </w:r>
    </w:p>
    <w:p w14:paraId="5B490D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Цель первой разработки мне ясна. Назначение второй мне не ясно. Эту работу я считаю нужно всемерно форсировать, особенно «мощный огнемётный танк на базе Т-34», но на сегодня нужных темпов нет.</w:t>
      </w:r>
    </w:p>
    <w:p w14:paraId="1C8828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Прекратить издание наставлений по танку Т-34 в виду значительных изменений.</w:t>
      </w:r>
    </w:p>
    <w:p w14:paraId="2E9463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21.12.1941 г. Старший ВП Козырев</w:t>
      </w:r>
    </w:p>
    <w:p w14:paraId="0DB16F1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FF8617"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декабря 1941 года старший военпред ГБТУ КА на заводе №183 Д.Ф.Козырев в оперативной сводке докладывал:</w:t>
      </w:r>
    </w:p>
    <w:p w14:paraId="67C81E28"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настоящее время КБ завода закончило разработку по заданию наркома Малышева следующие проекты: мощный огнеметный танк с емкостью огнесмеси 900 л, с установкой 45-мм пушки с боекомплектом из 150 выстрелов и 40 пулеметных дисков, огнемет предполагается ставить серийный; установка пушек Ф-34 с двумя 45-мм пушками. Цель первой разработки мне ясна. Назначение второй (Т-34-3) неясно. Эту работу я считаю нужно всемерно форсировать, особенно «мощный огнеметный танк на базе Т-34», но на сегодня нужных темпов нет».</w:t>
      </w:r>
    </w:p>
    <w:p w14:paraId="0339E3D7"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Как видно из доклада военпреда, его более заботит затягивание работ по огнеметному танку, разрабатываемому по тому же ТЗ что и КВ-8 в Челябинске (12267).</w:t>
      </w:r>
    </w:p>
    <w:p w14:paraId="5EE65385" w14:textId="77777777" w:rsidR="00045010" w:rsidRPr="00640820" w:rsidRDefault="00045010" w:rsidP="00640820">
      <w:pPr>
        <w:spacing w:after="0" w:line="240" w:lineRule="auto"/>
        <w:jc w:val="both"/>
        <w:rPr>
          <w:rFonts w:ascii="Times New Roman" w:hAnsi="Times New Roman"/>
          <w:color w:val="000000" w:themeColor="text1"/>
          <w:sz w:val="16"/>
          <w:szCs w:val="16"/>
        </w:rPr>
      </w:pPr>
    </w:p>
    <w:p w14:paraId="451EF9C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декабря 1941 г. распоряжением техсовета НКВ всем предприятиям наркомата предписывалось в срок до 1 февраля 1942 г. разработать свои предложения по перевоо</w:t>
      </w:r>
      <w:r w:rsidRPr="00640820">
        <w:rPr>
          <w:rFonts w:ascii="Times New Roman" w:hAnsi="Times New Roman"/>
          <w:color w:val="000000" w:themeColor="text1"/>
          <w:sz w:val="16"/>
          <w:szCs w:val="16"/>
        </w:rPr>
        <w:softHyphen/>
        <w:t>ружению трофейных боевых машин с целью их дальнейшего использования на службе в Красной Армии. Многие пред</w:t>
      </w:r>
      <w:r w:rsidRPr="00640820">
        <w:rPr>
          <w:rFonts w:ascii="Times New Roman" w:hAnsi="Times New Roman"/>
          <w:color w:val="000000" w:themeColor="text1"/>
          <w:sz w:val="16"/>
          <w:szCs w:val="16"/>
        </w:rPr>
        <w:softHyphen/>
        <w:t>приятия к указанному сроку не только разработали предло</w:t>
      </w:r>
      <w:r w:rsidRPr="00640820">
        <w:rPr>
          <w:rFonts w:ascii="Times New Roman" w:hAnsi="Times New Roman"/>
          <w:color w:val="000000" w:themeColor="text1"/>
          <w:sz w:val="16"/>
          <w:szCs w:val="16"/>
        </w:rPr>
        <w:softHyphen/>
        <w:t>жения, но даже изготовили опытные образцы таких боевых машин, которые были показаны руководству наркомата в феврале-мае 1942 г. Был среди них и завод № 592. Пока не удалось найти точной даты начала проектных работ по 122-мм самоходной гаубице, но на сохранившихся копиях чертежей значится апрель—май 1942 г. Проект, вы</w:t>
      </w:r>
      <w:r w:rsidRPr="00640820">
        <w:rPr>
          <w:rFonts w:ascii="Times New Roman" w:hAnsi="Times New Roman"/>
          <w:color w:val="000000" w:themeColor="text1"/>
          <w:sz w:val="16"/>
          <w:szCs w:val="16"/>
        </w:rPr>
        <w:softHyphen/>
        <w:t>полненный конструкторской группой под руководством АКаштанова, бьш довольно прост. В качестве базы для САУ использовалось немецкое штурмовое орудие 5ШОIII с нара</w:t>
      </w:r>
      <w:r w:rsidRPr="00640820">
        <w:rPr>
          <w:rFonts w:ascii="Times New Roman" w:hAnsi="Times New Roman"/>
          <w:color w:val="000000" w:themeColor="text1"/>
          <w:sz w:val="16"/>
          <w:szCs w:val="16"/>
        </w:rPr>
        <w:softHyphen/>
        <w:t>щенной вверх боевой рубкой. Такое увеличение рубки позво</w:t>
      </w:r>
      <w:r w:rsidRPr="00640820">
        <w:rPr>
          <w:rFonts w:ascii="Times New Roman" w:hAnsi="Times New Roman"/>
          <w:color w:val="000000" w:themeColor="text1"/>
          <w:sz w:val="16"/>
          <w:szCs w:val="16"/>
        </w:rPr>
        <w:softHyphen/>
        <w:t>лило установить в боевом отделении 122-мм гаубицу М-30 (11417).</w:t>
      </w:r>
    </w:p>
    <w:p w14:paraId="5061E7D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0810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декабря 1941 г. на заводе по производству электродвигателей в Томске, куда 10 августа 1941 г. прибыли из Ленинграда первые два эшелона эвакуированного завода «Электросила» и 29 ноября 1941 г. - первый эшелон эвакуированного Ярославского электромашиностроительного завода (будущий № 665), были собраны первые электродвигатели (этот день считается днем рождения завода). В 1942-44 г. построен чугунолитейный цех. В 1948 г. проведена реконструкция завода, установлена автоматическая линия по обработке валов. В 1953 г. проведена механизация чугунолитейного цеха, установлены механизмы землеприготовления, формовочно- заливной конвейер; пущен ленточный конвейер сборки электроутюгов, монорельсовый конвейер сборки электродвигателей.</w:t>
      </w:r>
    </w:p>
    <w:p w14:paraId="6B5CA0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1942 г. завод получил наименование «ГС завод № 653» (ГС завод № 653 НКЭП, МЭП, п/я 81, Завод «Электромотор», Завод, ОАО «Сибэлектромотор» /634012  г. Томск пр. Кирова, 58/), в 1947 г. - в ведении МЭП.</w:t>
      </w:r>
    </w:p>
    <w:p w14:paraId="5B8A4B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1956 г. начато строительство завода кранового электрооборудования (ЗКЭО) для производства крановых электродвигателей и пускорегулирующей аппаратуры. Затем по решению Томского СНХ ЗКЭО объединен с головным заводом.</w:t>
      </w:r>
    </w:p>
    <w:p w14:paraId="636C20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1960-е  г. - в ведении Управления электротехнической промышленности Западно-Сибирского совнархоза.</w:t>
      </w:r>
      <w:r w:rsidRPr="00640820">
        <w:rPr>
          <w:rFonts w:ascii="Times New Roman" w:hAnsi="Times New Roman"/>
          <w:color w:val="000000" w:themeColor="text1"/>
          <w:sz w:val="16"/>
          <w:szCs w:val="16"/>
          <w:vertAlign w:val="superscript"/>
        </w:rPr>
        <w:t>80</w:t>
      </w:r>
    </w:p>
    <w:p w14:paraId="4615B5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1964 г. пущены две венгерские автоматические линии по обработке станин. В 1970-е  г. проведено техническое перевооружение производства. В 1975-85 г. построен и пущен чугунолитейный завод.</w:t>
      </w:r>
    </w:p>
    <w:p w14:paraId="49DB7E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1980-е  г. завод выпускал до 650 тыс. электродвигателей в год.</w:t>
      </w:r>
    </w:p>
    <w:p w14:paraId="0484C3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2002 г. на базе ОАО «Сибэлектромотор» создано многопрофильное машиностроительное объединение. В 2003 г. открыт филиал в Екатеринбурге, в 2004 г.- филиал в Москве, в 2006 г.- в Новосибирске и Павлодаре (Казахстан).</w:t>
      </w:r>
    </w:p>
    <w:p w14:paraId="7443DA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2003 г. начато техническое перевооружение производства. Смонтирована высокоскоростная волоконно- оптическая линия связи, на ее основе построена корпоративная компьютерная сеть. В инструментальном цехе установлен японский электроэрозионный вырезной станок "</w:t>
      </w:r>
      <w:r w:rsidRPr="00640820">
        <w:rPr>
          <w:rFonts w:ascii="Times New Roman" w:hAnsi="Times New Roman"/>
          <w:color w:val="000000" w:themeColor="text1"/>
          <w:sz w:val="16"/>
          <w:szCs w:val="16"/>
          <w:lang w:val="en-US"/>
        </w:rPr>
        <w:t>Sodick</w:t>
      </w:r>
      <w:r w:rsidRPr="00640820">
        <w:rPr>
          <w:rFonts w:ascii="Times New Roman" w:hAnsi="Times New Roman"/>
          <w:color w:val="000000" w:themeColor="text1"/>
          <w:sz w:val="16"/>
          <w:szCs w:val="16"/>
        </w:rPr>
        <w:t>". В 2004 г. установлены новые станки: токарно-фрезерные с ЧПУ "</w:t>
      </w:r>
      <w:r w:rsidRPr="00640820">
        <w:rPr>
          <w:rFonts w:ascii="Times New Roman" w:hAnsi="Times New Roman"/>
          <w:color w:val="000000" w:themeColor="text1"/>
          <w:sz w:val="16"/>
          <w:szCs w:val="16"/>
          <w:lang w:val="en-US"/>
        </w:rPr>
        <w:t>PumaDaewoo</w:t>
      </w:r>
      <w:r w:rsidRPr="00640820">
        <w:rPr>
          <w:rFonts w:ascii="Times New Roman" w:hAnsi="Times New Roman"/>
          <w:color w:val="000000" w:themeColor="text1"/>
          <w:sz w:val="16"/>
          <w:szCs w:val="16"/>
        </w:rPr>
        <w:t>", американский обрабатывающий центр "</w:t>
      </w:r>
      <w:r w:rsidRPr="00640820">
        <w:rPr>
          <w:rFonts w:ascii="Times New Roman" w:hAnsi="Times New Roman"/>
          <w:color w:val="000000" w:themeColor="text1"/>
          <w:sz w:val="16"/>
          <w:szCs w:val="16"/>
          <w:lang w:val="en-US"/>
        </w:rPr>
        <w:t>Haas</w:t>
      </w:r>
      <w:r w:rsidRPr="00640820">
        <w:rPr>
          <w:rFonts w:ascii="Times New Roman" w:hAnsi="Times New Roman"/>
          <w:color w:val="000000" w:themeColor="text1"/>
          <w:sz w:val="16"/>
          <w:szCs w:val="16"/>
        </w:rPr>
        <w:t xml:space="preserve">". Построены новые складской и гаражный комплексы. Начато строительство административных, лабораторных и бытовых корпусов. В 2006 г. начат второй этап модернизации чугунолитейного производства, установлена немецкая пескострельная машина АНВ. На линии обработки валов установлен чешский шлифовальный центр </w:t>
      </w:r>
      <w:r w:rsidRPr="00640820">
        <w:rPr>
          <w:rFonts w:ascii="Times New Roman" w:hAnsi="Times New Roman"/>
          <w:color w:val="000000" w:themeColor="text1"/>
          <w:sz w:val="16"/>
          <w:szCs w:val="16"/>
          <w:lang w:val="en-US"/>
        </w:rPr>
        <w:t>BUB</w:t>
      </w:r>
      <w:r w:rsidRPr="00640820">
        <w:rPr>
          <w:rFonts w:ascii="Times New Roman" w:hAnsi="Times New Roman"/>
          <w:color w:val="000000" w:themeColor="text1"/>
          <w:sz w:val="16"/>
          <w:szCs w:val="16"/>
        </w:rPr>
        <w:t>32</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 На заводе единых серий введен в строй корейский многомодульный комплекс вертикально-токарного оборудования "</w:t>
      </w:r>
      <w:r w:rsidRPr="00640820">
        <w:rPr>
          <w:rFonts w:ascii="Times New Roman" w:hAnsi="Times New Roman"/>
          <w:color w:val="000000" w:themeColor="text1"/>
          <w:sz w:val="16"/>
          <w:szCs w:val="16"/>
          <w:lang w:val="en-US"/>
        </w:rPr>
        <w:t>Doosan</w:t>
      </w:r>
      <w:r w:rsidRPr="00640820">
        <w:rPr>
          <w:rFonts w:ascii="Times New Roman" w:hAnsi="Times New Roman"/>
          <w:color w:val="000000" w:themeColor="text1"/>
          <w:sz w:val="16"/>
          <w:szCs w:val="16"/>
        </w:rPr>
        <w:t xml:space="preserve">". Для обработки подшипниковых щитов установлены станки </w:t>
      </w:r>
      <w:r w:rsidRPr="00640820">
        <w:rPr>
          <w:rFonts w:ascii="Times New Roman" w:hAnsi="Times New Roman"/>
          <w:color w:val="000000" w:themeColor="text1"/>
          <w:sz w:val="16"/>
          <w:szCs w:val="16"/>
          <w:lang w:val="en-US"/>
        </w:rPr>
        <w:t>V</w:t>
      </w:r>
      <w:r w:rsidRPr="00640820">
        <w:rPr>
          <w:rFonts w:ascii="Times New Roman" w:hAnsi="Times New Roman"/>
          <w:color w:val="000000" w:themeColor="text1"/>
          <w:sz w:val="16"/>
          <w:szCs w:val="16"/>
        </w:rPr>
        <w:t>740</w:t>
      </w:r>
      <w:r w:rsidRPr="00640820">
        <w:rPr>
          <w:rFonts w:ascii="Times New Roman" w:hAnsi="Times New Roman"/>
          <w:color w:val="000000" w:themeColor="text1"/>
          <w:sz w:val="16"/>
          <w:szCs w:val="16"/>
          <w:lang w:val="en-US"/>
        </w:rPr>
        <w:t>TM</w:t>
      </w:r>
      <w:r w:rsidRPr="00640820">
        <w:rPr>
          <w:rFonts w:ascii="Times New Roman" w:hAnsi="Times New Roman"/>
          <w:color w:val="000000" w:themeColor="text1"/>
          <w:sz w:val="16"/>
          <w:szCs w:val="16"/>
        </w:rPr>
        <w:t xml:space="preserve">, </w:t>
      </w:r>
      <w:r w:rsidRPr="00640820">
        <w:rPr>
          <w:rFonts w:ascii="Times New Roman" w:hAnsi="Times New Roman"/>
          <w:color w:val="000000" w:themeColor="text1"/>
          <w:sz w:val="16"/>
          <w:szCs w:val="16"/>
          <w:lang w:val="en-US"/>
        </w:rPr>
        <w:t>PumaInverturn</w:t>
      </w:r>
      <w:r w:rsidRPr="00640820">
        <w:rPr>
          <w:rFonts w:ascii="Times New Roman" w:hAnsi="Times New Roman"/>
          <w:color w:val="000000" w:themeColor="text1"/>
          <w:sz w:val="16"/>
          <w:szCs w:val="16"/>
        </w:rPr>
        <w:t xml:space="preserve"> 3000М, </w:t>
      </w:r>
      <w:r w:rsidRPr="00640820">
        <w:rPr>
          <w:rFonts w:ascii="Times New Roman" w:hAnsi="Times New Roman"/>
          <w:color w:val="000000" w:themeColor="text1"/>
          <w:sz w:val="16"/>
          <w:szCs w:val="16"/>
          <w:lang w:val="en-US"/>
        </w:rPr>
        <w:t>PumaV</w:t>
      </w:r>
      <w:r w:rsidRPr="00640820">
        <w:rPr>
          <w:rFonts w:ascii="Times New Roman" w:hAnsi="Times New Roman"/>
          <w:color w:val="000000" w:themeColor="text1"/>
          <w:sz w:val="16"/>
          <w:szCs w:val="16"/>
        </w:rPr>
        <w:t>400</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xml:space="preserve">, на инструментальном производстве установлен второй японский электроэрозионный проволочно-вырезной программный центр </w:t>
      </w:r>
      <w:r w:rsidRPr="00640820">
        <w:rPr>
          <w:rFonts w:ascii="Times New Roman" w:hAnsi="Times New Roman"/>
          <w:color w:val="000000" w:themeColor="text1"/>
          <w:sz w:val="16"/>
          <w:szCs w:val="16"/>
          <w:lang w:val="en-US"/>
        </w:rPr>
        <w:t>Mitsubishi</w:t>
      </w:r>
      <w:r w:rsidRPr="00640820">
        <w:rPr>
          <w:rFonts w:ascii="Times New Roman" w:hAnsi="Times New Roman"/>
          <w:color w:val="000000" w:themeColor="text1"/>
          <w:sz w:val="16"/>
          <w:szCs w:val="16"/>
        </w:rPr>
        <w:t>. В заготовительном отделении установлен тайваньский ленточнопильный станок Н260НВ.</w:t>
      </w:r>
    </w:p>
    <w:p w14:paraId="6A27EF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(2006 г.): подготовка производства электрогидротолкателей ЭГТ-50, ЭГТ-80; освоение технологии изготовления дисковых и колодочных тормозов.</w:t>
      </w:r>
    </w:p>
    <w:p w14:paraId="190B343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(12.1942 г.)- 1640 чел.</w:t>
      </w:r>
    </w:p>
    <w:p w14:paraId="5DDF28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стартер танковый СТ-700 (1942-); электродвигатели: серии Ад (1944), серий А, АО (1948-), СВМ (1959-), А02 (</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960-), серии 4А (1972-), серий 6А80, 6АЕ80, АД80, 6А90, АД90, АИС112, АИС132, АД132, АД200 (1980-е), серий АД160, АД180, АД225, МТН411, МТН412, АД71, АДЕ71, АДП80 (2003-); крановые: МТБ (1956-); для портальных кранов: немецких «Кондор», «Альбатрос», венгерских «Ганц» (2002-), «Альбрехт» (2004- ); МНТ312 (2003), МТКН 011, 012 (2004-), 4МТКН132, МТН211 (2006-); рольганговые АР (1956-); для горно</w:t>
      </w:r>
      <w:r w:rsidRPr="00640820">
        <w:rPr>
          <w:rFonts w:ascii="Times New Roman" w:hAnsi="Times New Roman"/>
          <w:color w:val="000000" w:themeColor="text1"/>
          <w:sz w:val="16"/>
          <w:szCs w:val="16"/>
        </w:rPr>
        <w:softHyphen/>
        <w:t>шахтного оборудования ЭБК-2М, ЭД-1К, ЭД-ЗК (1959-); для стиральных машин (1980-е); для нефтяных и глубинных водяных насосов; электроутюги (1953-); сварочные генераторы (11982).</w:t>
      </w:r>
    </w:p>
    <w:p w14:paraId="551DCC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3286BB3"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декабря 1941 г. Копия черновика письма Г.Н. Флерова И.В. Курчатову</w:t>
      </w:r>
    </w:p>
    <w:p w14:paraId="70B89F58"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Казань Ноябрь 1941 г</w:t>
      </w:r>
    </w:p>
    <w:p w14:paraId="75C5F3C4"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 секретно</w:t>
      </w:r>
    </w:p>
    <w:p w14:paraId="4625AFB2"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Дорогой Игорь Васильевич!</w:t>
      </w:r>
    </w:p>
    <w:p w14:paraId="2ED2257E"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Пишу Вам это письмо, находясь здесь, в Казани, в расчете на Ваш приезд сюда.</w:t>
      </w:r>
    </w:p>
    <w:p w14:paraId="4EF526D8"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Академию я уже закончил, получив звание воентехника II ранга; в ближайшие дни придет назначение из Куйбышева, по-видимому, меня направят в школу авиационных механиков преподавать физику и электротехнику.</w:t>
      </w:r>
    </w:p>
    <w:p w14:paraId="2DDFFEAB"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Перспектива малоприятная, и я был здесь, пытаясь убедить Абрама Федоровича в том, чтобы меня попытались вытянуть обратно в Институт, причем проявили бы при этом действительное желание это сделать, а не ограничивались бы формальными бумажками, которые, тем более, обладают неприятным свойством попадать не туда, куда надо.</w:t>
      </w:r>
    </w:p>
    <w:p w14:paraId="0539A391"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Пишу откровенно о цели своего приезда сюда, потому что считаю, что все-таки могу и должен заниматься физикой, причем физикой не вообще в ее оборонных применениях, а мне и нам всем необходимо продолжать работу над ураном, так как, по моему мнению, в этом вопросе проявлена непонятная недальновидность (15720).</w:t>
      </w:r>
    </w:p>
    <w:p w14:paraId="0F44A30F"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Вчера делал доклад на ядерном семинаре, рассказывал о своих новых измышлениях по этому вопросу, в основном же пытался привлечь внимание слушающих к тому, что имеется интересная перспективная область работы, которой нужно заниматься. Доклад не удался; делался он после сообщения И. И. Гуревича, который опять занимал публику изложением результатов своих и Зельдовича и Харитона подсчетов.</w:t>
      </w:r>
    </w:p>
    <w:p w14:paraId="57301E76"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Оказывается, что для проведения цепной реакции на смеси уран — гелий необходимо ни много ни мало, а 150 ООО тонн гелия, далее необходимо в 10 раз обогатить 200 кг урана и прочие существенные выводы.</w:t>
      </w:r>
    </w:p>
    <w:p w14:paraId="6C0D6E8E"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Подобные результаты и доклады с самого начала предопределяют отношение аудитории ко всякому урановому вопросу, и я только могу удивляться и гадать, сознательно или по недомыслию занимаются наши расчетчики только подобными расчетами, которые с необходимостью вызывают весьма предубежденное отношение ко всей проблеме урана.</w:t>
      </w:r>
    </w:p>
    <w:p w14:paraId="5A5727AF"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самом деле, что перевело вопрос об использовании внутриатомной энергии в разряд нереальных, полуфантастических тем одного порядка значимости, как, скажем, использование солнечной энергии, энергии приливов и других подобных дутых проектов? К сожалению, расчеты, которые у нас в Союзе проводились, делались людьми, которых в основном привлекала математическая сторона вопроса и которые, разработав математический аппарат и убедившись в самом начале, что на смеси уран — вода реакция не пойдет, не смогли остановиться на этом, а продолжали дальнейшую работу, выдвигая тяжелый водород, гелий и т.д. Результаты, ими получаемые, — необходимость тонны дейтерия, 150 ООО тонн гелия и т.д. — и определили крайне скептическое отношение к этой проблеме даже таких увлекающихся людей, как, скажем, А.Ф. Иоффе.</w:t>
      </w:r>
    </w:p>
    <w:p w14:paraId="5C9A4634"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 дальнейшее представляет «краткое» изложение моего мнения по этому вопросу; кроме этого, у меня есть глубокая убежденность, что рано или поздно, а ураном нам придется заниматься. Для этого, вероятно, потребуется появление целого комплекса новых факторов: облегчение военного и экономического положения страны, ряд разочарований физиков, убедившихся, что, занимаясь изобретательством, они занимаются не своим делом. Может быть, помогут те агентурные сведения, которые мы получим из-за границы, может быть, наконец, мы получим эту ядерную бомбу в том или ином готовом виде из-за границы, что было бы крайне нежелательно. Во всяком случае, почва сейчас еще недостаточно подготовлена и все, что я дальше буду писать, рассчитано в основном на будущее.</w:t>
      </w:r>
    </w:p>
    <w:p w14:paraId="25842CBB"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Если подсчитать, какое количество энергии выделится при полном распаде 2 кг урана, то получится, на первый взгляд, очень большая величина, эквивалентная ~104 тонн угля. Эта величина казалась очень большой только до тех пор, пока мы могли надеяться на непосредственное использование энергии урана без обогащения U-235, использования гелия и тому подобных ухищрений. Однако как только было показано, что осуществить цепную реакцию так просто не удастся, необходимо было вспомнить о том, что 104 тонн угля — крайне малая величина по сравнению с теми затратами, которые нужно произвести, например, для обогащения 235 изотопом урана. Стоимость 104 тонн угля — всего 50-150 тысяч рублей, что неизмеримо меньше затрат на обогащение урана легким изотопом (2 кг взяты потому, что при проведении реакции на медленных нейтронах выгорать будет только U-235).</w:t>
      </w:r>
    </w:p>
    <w:p w14:paraId="5AB4D4BA"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Таким образом, дальнейшие расчеты комбинаций уран — дейтон, уран — гелий не имели смысла, а нужно было поискать других возможных путей использования ядерной энергии.</w:t>
      </w:r>
    </w:p>
    <w:p w14:paraId="6651D8C2"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Ядерное топливо обладает крайне выгодной особенностью, отличающей его от других видов топлива. В зависимости от условий проведения цепной реакции (медленные или быстрые нейтроны) энергия будет выделяться или медленно — угольный эквивалент, или быстро, за времена порядка 1СГ7 секунд, — динамитный эквивалент. Динамит дороже угля примерно в 1000-10 ООО раз, причем это не является случайностью.</w:t>
      </w:r>
    </w:p>
    <w:p w14:paraId="6CF5679C"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сгорания угля необходим подвод кислорода; в динамите же и других взрывчатых веществах окисление происходит за счет собственного кислорода, что и обуславливает полное выделение энергии за 10_5-10_6 секунды. Дешевизна угля и энергии обусловлена тем, что в этих веществах аккумулировалась и сохранялась солнечная энергия в течение сотен тысяч лет, что, конечно, не могло бы происходить, если бы каким-нибудь образом солнечная энергия и могла бы аккумулироваться в взрывчатых веществах, — эти вещества не могут долго сохраняться, так как из-за наличия в них кислорода они постепенно портятся.</w:t>
      </w:r>
    </w:p>
    <w:p w14:paraId="1D94C369"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Однако эта неизбежная относительная дороговизна взрывчатых веществ требует дополнительного объяснения, почему же мы ими пользуемся. Дело все в том, что ценность выделенной энергии обуславливается не только ее количеством, а также и временем, за которое она выделяется.</w:t>
      </w:r>
    </w:p>
    <w:p w14:paraId="6F1950CF"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Есть ряд случаев, когда нам необходимо для совершения какой-нибудь работы не только затратить определенную энергию, но кроме того требуется, чтобы действующая сила была больше определенной величины. В пословице «Вода камень точит» упускается одна существенная деталь, а именно, что коэффициент полезного действия такого метода разрушения камня во много тысяч раз меньше, чем если бы мы разрушили этот камень при помощи динамита. Во многих, в большинстве случаев, военных задачах сила имеет большее значение, чем энергия. Отсюда — выгодность применения веществ, у которых процесс выделения энергии происходит за малые времена, — взрывчатые вещества.</w:t>
      </w:r>
    </w:p>
    <w:p w14:paraId="393E01D9"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двух равноценных, в смысле осуществления, способов сжигания урана (угольного и динамитного) первый оказался экономически невыгодным, что заставляет нас перенести все внимание на второй — использование ядерной энергии взрывным способом.</w:t>
      </w:r>
    </w:p>
    <w:p w14:paraId="1AD9A3FF"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Теплотворная способность динамита в 15 раз меньше теплотворной способности угля и, таким образом, те же 2,4 кг урана эквивалентны уже 105 тонн динамита, что и в смысле стоимости, и в смысле военного значения представляет на много большую величину, чем 104тонн угля.</w:t>
      </w:r>
    </w:p>
    <w:p w14:paraId="2A753006"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примера укажем, что, по данным самих англичан, за 6 последних месяцев во время налетов английской авиации на Германию было сброшено всего 20 • 103 тонн бомб. Таким образом, если удастся осуществить взрыв всего количества урана, заключенного в бомбе, на территории Германии, это позволит всей английской авиации отдыхать в течение 3 лет. Кроме того, ценность такой бомбы составит 109 рублей вместо 105 для угля, если принять , что стоимость 1-тонной бомбы — 104 рублей.</w:t>
      </w:r>
    </w:p>
    <w:p w14:paraId="6CC02D78"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Осуществление ядерной бомбы даст очень много; не останавливаясь пока что на том, каким путем ядерную бомбу можно осуществить, так как это дело скорее техники и химии, чем физики, перейдем к тому, сможем ли мы в действительности осуществить взрыв такой ядерной бомбы с полным выделением всей заключенной в уране энергии (200 Мт)7 и последующим переходом всей выделенной энергии в энергию взрывной волны.</w:t>
      </w:r>
    </w:p>
    <w:p w14:paraId="239D45E3"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4. Основной вопрос, сможем ли мы вообще осуществить цепную ядерную реакцию на быстрых нейтронах, использовав для этого или U-235, или Ра-2318, упирается в точные значения величины vBT и адел в области энергий нейтронов 1 MeV &lt; Еп &lt; 3 MeV. Хотя из работы К.А. Петржака, так что во всяком случае адел будет больше, чем </w:t>
      </w:r>
      <w:r w:rsidR="006C122B" w:rsidRPr="00640820">
        <w:rPr>
          <w:rFonts w:ascii="Times New Roman" w:hAnsi="Times New Roman"/>
          <w:color w:val="000000" w:themeColor="text1"/>
          <w:sz w:val="16"/>
          <w:szCs w:val="16"/>
        </w:rPr>
        <w:t>2</w:t>
      </w:r>
      <w:r w:rsidRPr="00640820">
        <w:rPr>
          <w:rFonts w:ascii="Times New Roman" w:hAnsi="Times New Roman"/>
          <w:color w:val="000000" w:themeColor="text1"/>
          <w:sz w:val="16"/>
          <w:szCs w:val="16"/>
        </w:rPr>
        <w:t xml:space="preserve"> • 10-24 см2, не превышая вместе с тем 3 • 10-24 см2 (опыты с Ра231). Относительно v примем, что это число заключено между 2 и 3 (данные для U-235 — деление под действием медленных нейтронов). Это допущение нуждается в проверке, так как на самом деле нейтроны могут испускаться только при одном типе деления в количестве 6-8 штук на распад и именно этот-то тип деления может либо преобладать, либо вообще отсутствовать при делении Ра-2318. Необходимо экспериментально определить эту величину, пока же примем, что и для Ра231 2 &lt; v &lt; 3.</w:t>
      </w:r>
    </w:p>
    <w:p w14:paraId="638EE184"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Какие же нужно будет создать условия для того, чтобы вызвать взрыв бомбы, — такой взрыв, при котором все ядра урана успели бы распасться.</w:t>
      </w:r>
    </w:p>
    <w:p w14:paraId="7B6E6CCD"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процессе изготовления ядерной бомбы q может принимать любые значения между нулем и единицей.</w:t>
      </w:r>
    </w:p>
    <w:p w14:paraId="5650EB3C"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Взрыв бомбы наступит тогда, когда q хотя бы немного превысит единицу. Одна из наиболее простых схем для взрыва бомбы:…</w:t>
      </w:r>
    </w:p>
    <w:p w14:paraId="795D32E3"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того чтобы реакция началась, необходимо, чтобы урановая бомба была бы быстро вдвинута в ствол; коэф. р увеличится, и при первом же шальном нейтроне (космическом или земном), попавшем в уран, начнет развиваться лавина, в результате чего бомба взорвется. По ряду соображений необходимо, чтобы в момент попадания первого «шального» космического нейтрона q достаточно отличалось бы от единицы: q ~ 1,05. Большие значения этим методом трудно получить, меньшие же нежелательны по ряду соображений:</w:t>
      </w:r>
    </w:p>
    <w:p w14:paraId="0776235B"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при малых значениях q реакция будет развиваться слишком медленно, за это время оболочка разорвется на части и разлетится вместе с остатками неиспользованного урана;</w:t>
      </w:r>
    </w:p>
    <w:p w14:paraId="5A371B52"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в процессе развития цепи часть урана выгорит, что приведет к меньшему значению п (число ядер урана на среднем пути нейтрона), реакция начнет угасать при меньшем числе нейтронов, из-за чего будет использована только часть атомов урана ~0,01, если только q мало;</w:t>
      </w:r>
    </w:p>
    <w:p w14:paraId="0F1FFAA6"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при малом q 1,01 достаточно увеличения радиуса сферы, вследствие выделения тепла и повышения давления всего на ОД миллиметра, для того, чтобы q стало меньше 1 и цепь оборвалась. (Небольшие перераспределения плотности урана в объеме бомбы также приведут к угасанию цепи.)</w:t>
      </w:r>
    </w:p>
    <w:p w14:paraId="58DF6E52"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Следовательно, для того чтобы взорвать ядерную бомбу, необходимо увеличение q от 1 до 1,05, причем увеличение должно происходить достаточно быстро — чтобы за это время в уран не мог попасть ни один нейтрон. Нейтроны, которые могут вызвать начало развития цепи, — это космические нейтроны и нейтроны, возможно сопровождающие спонтанное деление U-235.</w:t>
      </w:r>
    </w:p>
    <w:p w14:paraId="0E982C97"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Расчет для космических нейтронов</w:t>
      </w:r>
    </w:p>
    <w:p w14:paraId="7EF34670"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Примем максимальное значение для числа космических нейтронов на уровне Земли 1 нейтрон/см2 • сек10. Тогда скорость перемещения бомбы по отношению к отражателю (стволу) должна составлять 50 м/сек. Длина ствола — порядка 5-10 метров, для того чтобы за время нахождения ядра в стволе в уран успел бы попасть хотя бы один космический нейтрон (тормозить — сложно, бомба пролетает сквозь ствол). Получение скоростей 50 м/сек. не очень затруднительно. Однако длина </w:t>
      </w:r>
      <w:r w:rsidRPr="00640820">
        <w:rPr>
          <w:rFonts w:ascii="Times New Roman" w:hAnsi="Times New Roman"/>
          <w:color w:val="000000" w:themeColor="text1"/>
          <w:sz w:val="16"/>
          <w:szCs w:val="16"/>
        </w:rPr>
        <w:lastRenderedPageBreak/>
        <w:t>ствола 5-10 метров показывает, что само осуществление взрыва потребует сложной аппаратуры (если немцы и сделают ядерную бомбу, то взорвать ее на территории противника им будет не так-то легко. Труба 10 метров, установки для разгона ядерной бомбы до 50 м/сек.).</w:t>
      </w:r>
    </w:p>
    <w:p w14:paraId="55E22F9F"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Расчет для спонтанных нейтронов</w:t>
      </w:r>
    </w:p>
    <w:p w14:paraId="6149C731"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этом случае предъявляются гораздо более высокие требования к скорости бомбы V~ 3 ООО м/сек. Длина ствола та же — 5-10 метров. Двойная сложность — получение самой скорости 3 ООО м/сек., кроме того, при влете в ствол бомбы с такой скоростью ствол может лопнуть (давление на ствол волнами Маха).11</w:t>
      </w:r>
    </w:p>
    <w:p w14:paraId="666B9A3C"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этой оценки видно, насколько существенно было бы определить, вылетают ли из U-235 спонтанные нейтроны или нет. В случае вылета спонтанных нейтронов вообще ставится под сомнение, сможем ли мы когда-нибудь использовать U-235 для ядерных бомб??!!</w:t>
      </w:r>
    </w:p>
    <w:p w14:paraId="4908DE2B"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Самый сложный и даже качественно не обдуманный вопрос, какая же доля выделенной энергии перейдет во взрывную волну? Не появятся ли новые механизмы отвода энергии — рентгеновские лучи, которые унесут большую долю энергии и поглотятся на сравнительно близком расстоянии от ядерной бомбы?</w:t>
      </w:r>
    </w:p>
    <w:p w14:paraId="743FE073"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полном ядерном сгорании 2 кг урана выделят 4 • Ю20 б.К. Температура, которая вследствие этого разовьется, — (2 • 1010 °К) — нелепая величина. По-видимому, в процессе торможения осколков, ядра урана почти целиком ионизированы. Испускаться будут жесткие рентгеновские лучи, время переходов — 10-13 секунды, что очень невыгодно, так как эти лучи будут сильно поглощаться хотя бы в материале отражателя.</w:t>
      </w:r>
    </w:p>
    <w:p w14:paraId="51928AE5"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Сопровождающие распад ядер урана у-лучи также не будут слишком эффективны, так как хотя количество их и чрезвычайно велико, но для них существенно будет поглощение в воздухе. Мне пока что самому не удалось разобраться, как же будет происходить процесс выделения энергии. Как будто существенно то, что будут испускаться рентгеновские лучи. Очень хорошо было бы, если бы Вы, Игорь Васильевич, попросили кого-нибудь из думающих теоретиков, лучше всего Померанчука или Мигдала, а может быть обоих вместе рассмотреть этот вопрос.</w:t>
      </w:r>
    </w:p>
    <w:p w14:paraId="7DE75B6A"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Ну, вот, кажется, и все; ночь кончается, устал я чертовски, основное во всяком случае, в чем я хочу убедить, — это то, что к решению проблемы урана нужно подойти несколько казуистически, а именно, сначала определить, сможем ли мы освободить и использовать эти громадные количества энергии, и только ПРИ положительном ответе на этот ВОПРОС МОЖНО заниматься вопросом деления изотопов и химического выделения.</w:t>
      </w:r>
    </w:p>
    <w:p w14:paraId="2FAAE4C0"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Какие же предварительные работы для этого нужно произвести?</w:t>
      </w:r>
    </w:p>
    <w:p w14:paraId="4A165B50"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теоретическое рассмотрение вопроса о доле энергии, переходящей во взрывную волну; 2) определение, вылетают ли спонтанные нейтроны из U-235.</w:t>
      </w:r>
    </w:p>
    <w:p w14:paraId="56B9E36E"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Если все-таки думать о какой-то подготовке к проведению работы, то очень хорошо было бы запросить англичан и американцев о полученных ими за последнее время результатах. В частности, очень существен вопрос о числе нейтронов, вылетающих в реакциях (с/, /), (р, f) и т.д. Очень существенны были бы агентурные сведения, где именно ведется работа над этой проблемой в Англии и Германии: если вблизи месторождений урана— думают использовать Ра231, если вблизи источников электроэнергии — думают использовать U-235.</w:t>
      </w:r>
    </w:p>
    <w:p w14:paraId="3456C4DC"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всего здесь изложенного, у меня к Вам, Игорь Васильевич, личная просьба — попытаться вытащить К.А. Петржака из действующей армии. Поступили с ним по-свински, и лучше всего было бы каким-то образом заставить самого Хлопина хлопотать о Косте.</w:t>
      </w:r>
    </w:p>
    <w:p w14:paraId="7FCAF3D9"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Прошу извинить за бессвязность всего написанного и за помарки; переписать не успею, через 2-3 часа нужно ехать обратно в Йошкар-Олу.</w:t>
      </w:r>
    </w:p>
    <w:p w14:paraId="27F9DA6C"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Настроение у меня паршивое; маме в Ленинграде приходится нехорошо, кроме того, проболтался я в Академии уже 5 месяцев, ничего не узнал существенно нового; в дальнейшем предстоит еще более скучная, малополезная работа.</w:t>
      </w:r>
    </w:p>
    <w:p w14:paraId="373D2E30"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Ну, всего, Игорь Васильевич, напишите мне по адресу, который я вышлю в Институт,— все-таки не хочется порывать связь с Институтом.</w:t>
      </w:r>
    </w:p>
    <w:p w14:paraId="4121AFD2"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приветом Г. Флеров</w:t>
      </w:r>
    </w:p>
    <w:p w14:paraId="4462D099"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 здесь написанное и дальнейшее — пусть не очень интенсивное продолжение работы — должно иметь своей целью не только своевременное включение нас в решение задачи в случае положительных результатов, но, вместе с тем, позволит определить, насколько опасна для нас самих возможность того, что у противников будет сделана такая бомба.</w:t>
      </w:r>
    </w:p>
    <w:p w14:paraId="1DE95819"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Имеющееся предложение А.И. Алиханова и Алиханьяна об использовании радиоактивности продуктов распада урана также не может дать чего-нибудь особенно эффективного после того, как было показано, что для проведения цепной реакции нужно обогащать уран или выделять...</w:t>
      </w:r>
    </w:p>
    <w:p w14:paraId="1BE57ABF"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Особенно наглядна оценка в случае Ра231. Сам по себе Ра обладает естественной радиоактивностью, распадаясь за 30 ООО лет.</w:t>
      </w:r>
    </w:p>
    <w:p w14:paraId="4DA2A5B0"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Если создать условия, при которых вследствие всяких релаксационных вещей цепной распад протактиния происходил бы за 100 лет, меньше тяжело — отвод энергии, то в течение этих 100 лет можно было бы снимать количества искусственных радиоактивных веществ в 300 раз больше, чем количества самого протактиния.</w:t>
      </w:r>
    </w:p>
    <w:p w14:paraId="73BB2288"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Однако в процессе выделения (химического) мы можем использовать только один определенный элемент, получающийся в результате определенного типа деления. Кроме того, при выборе этого элемента мы связаны как химией выделения, так и требованием достаточно большого периода полураспада этого элемента Т — несколько часов, а лучше дней. Таким образом, вместо 300-кратного увеличения нам нужно взять всего лишь 30-кратное увеличение активности, что уже не является столь выгодным, так как еще придется решать вопрос химического выделения активности и очистки от шлаков.</w:t>
      </w:r>
    </w:p>
    <w:p w14:paraId="6D28B430"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Прикидку произвел для примера для Ра231ш, на самом деле предложено использовать U-235, но деление изотопов — намного более сложная задача, чем выделение Ра231, так что в случае U-235 этот косвенный путь использования ядерной энергии мне представляется невыгодным.</w:t>
      </w:r>
    </w:p>
    <w:p w14:paraId="4D958E25"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При осуществлении ядерной бомбы полость, где находится уран или Ра231, необходимо будет откачать до достаточно хорошего вакуума по двум причинам: 1) для уменьшения числа нейтронов, получающихся по реакции ос, п, — особенно существенно для протактиния — энергичные ос-частицы; 2) присутствие газа внутри бомбы приведет к более быстрому разрыву оболочки из-за повышения давления газа (благородные газы в результате деления??).</w:t>
      </w:r>
    </w:p>
    <w:p w14:paraId="7D7B1341"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необходимо оценить, не будет ли получаться разрыв оболочки из-за «давления нейтронного газа». «Давление» — неупругие и упругие столкновения нейтронов с ядрами вещества отражателя??</w:t>
      </w:r>
    </w:p>
    <w:p w14:paraId="759EA171"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Флеров (15720).</w:t>
      </w:r>
    </w:p>
    <w:p w14:paraId="61A45D91" w14:textId="77777777" w:rsidR="002D7D4D" w:rsidRPr="00640820" w:rsidRDefault="002D7D4D" w:rsidP="00640820">
      <w:pPr>
        <w:spacing w:after="0" w:line="240" w:lineRule="auto"/>
        <w:jc w:val="both"/>
        <w:rPr>
          <w:rFonts w:ascii="Times New Roman" w:hAnsi="Times New Roman"/>
          <w:color w:val="000000" w:themeColor="text1"/>
          <w:sz w:val="16"/>
          <w:szCs w:val="16"/>
        </w:rPr>
      </w:pPr>
    </w:p>
    <w:p w14:paraId="79A664B4"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7F725635"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062232B"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21 декабря </w:t>
      </w:r>
      <w:r w:rsidRPr="00640820">
        <w:rPr>
          <w:rFonts w:ascii="Times New Roman" w:hAnsi="Times New Roman"/>
          <w:color w:val="000000" w:themeColor="text1"/>
          <w:sz w:val="16"/>
          <w:szCs w:val="16"/>
        </w:rPr>
        <w:t>в 1941 году утреннее сообщение Совинформбюро:</w:t>
      </w:r>
    </w:p>
    <w:p w14:paraId="2FEC0276"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21 декабря наши части вели бои с противником на всех фронтах.</w:t>
      </w:r>
    </w:p>
    <w:p w14:paraId="0C273A8B"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части, действующие на одном из участков Западного фронта, за один день боёв с противником захватили 40 танков, 8 орудий, 28 миномётов, 135 автомашин и много другого военного имущества. На другом участке фронта наши бойцы за это же время захватили 24 орудия, 4 пуле мета, 35.000 патронов и другие трофеи.</w:t>
      </w:r>
    </w:p>
    <w:p w14:paraId="57FD9985"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результате ожесточённых боёв на одном из участков Ленинградского фронта наши бойцы заняли совхоз К., истребили 300 немцев и захватили танк, 4 орудия, 14 пулемётов, 2 миномёта и много других трофеев.</w:t>
      </w:r>
    </w:p>
    <w:p w14:paraId="36F777E8"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секторов Севастопольской обороны наши бойцы за один день уничтожили 5 немецких танков, 3 танкетки, 4 бронемашины и 7 автомашин,</w:t>
      </w:r>
    </w:p>
    <w:p w14:paraId="4EBFCB08"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Отступая под ударами Красной Армии из районов Тульской области, немецко-фашистские мерзавцы зверски расправляются с мирным населением городов и сёл. Гитлеровские бандиты повесили 42 жителя посёлка Дубна, сожгли заживо 20 колхозников в деревне Прудная. В селе Алексеевка фашисты зверски замучили колхозника К.Н.Жетевского. Фашистские палачи поочерёдно отрубили у своей жертвы пальцы на руках и ногах и выкололи оба глаза. Оставляя деревню Гертовая, немцы заставили колхозников выпить какой-то напиток. 10 колхозников скончались через несколько часов, 15 доставлены в местную больницу в безнадёжном состоянии. В деревне Колодезная фашисты без малейшего повода расстреляли 50 колхозников и колхозниц.</w:t>
      </w:r>
    </w:p>
    <w:p w14:paraId="2EDCE440"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Военнопленные немецкие солдаты и офицеры в один голос говорят об огромных потерях германских войск на Восточном фронте. Пленный унтер-офицер 112 немецкой пехотной дивизии Иозеф Тоннер утверждает, что его дивизия потеряла в боях свыше 5 тысяч солдат. Добровольно сдавшийся в плен солдат 111 немецкой дивизии Отто Бертран сообщает: «Потери 111 дивизии убитыми, ранеными и пленными составляют около 70 процентов всего личного состава. Особенно велики потери от авиации». Пленный лейтенант 10 мотострелкового полка 9 танковой дивизии Андреас Рихтер говорит: «В дивизии уже осталось менее половины боевого состава, 10 полк потерял 60 процентов солдат, две трети своей артиллерии и 30 процентов оружия и снаряжения». Далее Рихтер рассказал, что в частях ощущается острая нехватка горючего. «Много цистерн с горючим уничтожено партизанами. Всё чаще дни, когда машины не выходят со двора из-за отсутствия горючего». Пленный солдат Иозеф Кнацгофер говорит: «В последнее время сильно ухудшилось питание. Солдаты одеты в летние шинели, тёплых шапок нет. Солдаты не скрывают своего недовольства и возмущения сокращением рациона и отсутствием тёплого обмундирования». Пленный обер-ефрейтор Иозеф Дитце заявил: «Небывалые трудности, голод, холод — всё это создаёт упадочное настроение... и острое озлобление против кровавой политики Гитлера».</w:t>
      </w:r>
    </w:p>
    <w:p w14:paraId="6B2D25C4"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Машинно-тракторные станции страны готовят тракторы к весне. В Алма-Атинской области значительно перевыполняет график ремонта Саркандская МТС. К началу декабря здесь было отремонтировано 38 машин вместо 30 по плану. Коллектив Топчихинской МТС, Алтайского края, обязался полностью закончить ремонт тракторов к первому января. Это обязательство успешно выполняется. Уже отремонтировано 30 машин. Слесарь тов. Киселёв даёт в день две нормы, на 130-140 процентов выполняют задание монтажники тт. Резинкин, Мененко и Бакланов. Машинно-тракторная мастерская своими силами изготовляет детали свыше пятидесяти наименований. Рабочие Алма-Атинской МТС уже восстановили деталей на 24 тысячи рублей.» (14867).</w:t>
      </w:r>
    </w:p>
    <w:p w14:paraId="3E0ECB16" w14:textId="77777777" w:rsidR="002D7D4D" w:rsidRPr="00640820" w:rsidRDefault="002D7D4D" w:rsidP="00640820">
      <w:pPr>
        <w:spacing w:after="0" w:line="240" w:lineRule="auto"/>
        <w:jc w:val="both"/>
        <w:rPr>
          <w:rFonts w:ascii="Times New Roman" w:hAnsi="Times New Roman"/>
          <w:color w:val="000000" w:themeColor="text1"/>
          <w:sz w:val="16"/>
          <w:szCs w:val="16"/>
        </w:rPr>
      </w:pPr>
    </w:p>
    <w:p w14:paraId="5891E0A2"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21 декабря </w:t>
      </w:r>
      <w:r w:rsidRPr="00640820">
        <w:rPr>
          <w:rFonts w:ascii="Times New Roman" w:hAnsi="Times New Roman"/>
          <w:color w:val="000000" w:themeColor="text1"/>
          <w:sz w:val="16"/>
          <w:szCs w:val="16"/>
        </w:rPr>
        <w:t>в 1941 году вечернее сообщение Совинформбюро:</w:t>
      </w:r>
    </w:p>
    <w:p w14:paraId="6F63984A"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течение 21 декабря наши войска вели бои с противником на всех фронтах. На ряде участков Западного, Калининского, Юго-Западного и Ленинградского фронтов наши войска, ведя ожесточённые бои с противником, продолжали продвигаться вперёд, заняли ряд населённых пунктов и в числе их Будогощь (юго-западнее Тихвина), Грузино (восточнее Чудова), Крапивна (юго-западнее Тулы).</w:t>
      </w:r>
    </w:p>
    <w:p w14:paraId="5AD64F3C"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Бойцы генерала Рокоссовского за день боёв на одном из участков Западного фронта захватили 15 немецких танков, 712 автомашин, 14 орудий, 3 бронемашины, 6 тягачей, 8 мотоциклов, 1.000 снарядов и 10 ящиков мин.</w:t>
      </w:r>
    </w:p>
    <w:p w14:paraId="6AAA907A"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Части генерала Белова, действующие на одном из участков Западного фронта, заняв населённый пункт Крапивна, захватили около 1.000 автомашин противника, много вооружения и боеприпасов.</w:t>
      </w:r>
    </w:p>
    <w:p w14:paraId="2C7596CD"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Группа советских автоматчиков под руководством лейтенанта Губаренко совершила внезапный налёт на деревню Г. Отважные бойцы гранатами и огнём из автоматов истребили около 100 солдат и офицеров противника.</w:t>
      </w:r>
    </w:p>
    <w:p w14:paraId="36270154"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Колхозники и колхозницы районов Тульской области, освобождаемых советскими войсками от немецко-фашистских захватчиков, помогают частям Красной Армии и советским партизанам громить противника. На днях группа колхозников деревни Брыково завалила снегом дорогу, по которой отступало подразделение немецких мотоциклистов. Немецкие мотоциклы на всём ходу врезались в снежный завал. Фашисты побросали машины и разбежались, по окрестным лесам. 13 декабря неподалёку от посёлка Дубна колхозники, вооружившись вилами и кольями, напали на группу немецких солдат и обратили их в паническое бегство. Рабочие Коптевского совхоза, вооружившись винтовками и автоматами, отбитыми у немцев, вместе с красноармейцами Энской части участвовали в бою, в котором было истреблено много немцев.</w:t>
      </w:r>
    </w:p>
    <w:p w14:paraId="116AB89A"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Письма из тыла, которые получают немецкие солдаты, свидетельствуют о росте антивоенных настроений среди населения Германии. Солдату Рудольфу Штексельмаеру родные сообщают: «Из Штоккерау многие погибли. Погиб и Торник Ганши. У нас всюду апатия, у всех плохое настроение. Сегодня Понерали Росль сообщили о гибели её мужа». Фельдфебелю Густаву Альмееру пишет жена: «Меня потрясло известие о гибели Гаммера. Нет таких людей, которые не желали бы и не ждали бы конца войны». Родители Альфреда Рихтера извещают сына: «Раушбаде, Гайни, Метнер, Фрайнтнгаур, Диммет, Бодингац, Фриц Шлоссер и Карл Шернер погибли. Всюду то же самое. Кругом несчастье...». Вилли Эллингер пишет своему брату обер-ефрейтору Эрнсту Эллингеру: «Я должен тебе сообщить, что наш Карл убит. Так гибнут один за другим. Погиб также Карл Кромптен. Что в конце концов нам принесёт война? Я думаю, что ничего хорошего. Жертвы, кровавые жертвы и ещё раз кровавые жертвы. Часто возникает жуткий вопрос — за что? Нужна ли была вообще эта война? Я не понимаю, за что немецкий народ должен проливать свою кровь, что, в конце концов, получит рядовой немец, если Гитлеру удастся победить всю Европу? Страдания, невыразимые страдания...».</w:t>
      </w:r>
    </w:p>
    <w:p w14:paraId="4638B18E"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декабря советские войска освободили город Клин от немецко-фашистских захватчиков. За время своего пребывания в городе фашистские варвары убивали и грабили мирное население, сожгли две школы, взорвали лечебницу, бессмысленно и дико уничтожили культурные ценности города. Возмутительному глумлению подвергся дом-музей Петра Ильича Чайковского, величайшего композитора, классика русского и мирового музыкального искусства. В этом доме П.И.Чайковский провёл свои последние годы. Здесь он написал Шестую симфонию, «Пиковую даму» и другие крупнейшие произведения. 21 декабря группа сотрудников дома-музея и местных жителей составила акт о чудовищных преступлениях гитлеровских бандитов, надругавшихся над памятью П.И.Чайковского. Актом установлено, что немецкие вандалы выбросили на улицу и уничтожили часть мебели, книги, ноты, скульптурные изображения. Кабинет-гостиная и музыкальная комната великого композитора превращены в грязный и зловонный притон. Одну из рабочих комнат, где находились иконографические материалы, немцы превратили в уборную. Взломав ящики с музейным имуществом, варвары выбросили их содержимое в помойную яму. Сожжены ценная мебель, гравюры, книги, а также деревянная обшивка стен кабинета. Варварски изуродованный бюст композитора выброшен в снег. Немецко-фашистские мерзавцы и грабители увезли с собой пианино, принадлежавшее ученику и другу композитора — С.И.Танееву, портрет Чайковского, писанный маслом, и другое имущество музея. Акт подписали; музыковед М.Э.Риттих, рабочие музея — А.М.Шапшал, Н.А.Спиров, Е.Ф.Негуляева, М.Д.Воробьёва, библиотекарь дома-музея А.К.Флёров, жители города Клина В.С.Петров, Н.О.Калугин и 3.Н.Бекренева.» (14867).</w:t>
      </w:r>
    </w:p>
    <w:p w14:paraId="0800649D" w14:textId="77777777" w:rsidR="002D7D4D" w:rsidRPr="00640820" w:rsidRDefault="002D7D4D" w:rsidP="00640820">
      <w:pPr>
        <w:spacing w:after="0" w:line="240" w:lineRule="auto"/>
        <w:jc w:val="both"/>
        <w:rPr>
          <w:rFonts w:ascii="Times New Roman" w:hAnsi="Times New Roman"/>
          <w:color w:val="000000" w:themeColor="text1"/>
          <w:sz w:val="16"/>
          <w:szCs w:val="16"/>
        </w:rPr>
      </w:pPr>
    </w:p>
    <w:p w14:paraId="12208E37"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21 декабря </w:t>
      </w:r>
      <w:r w:rsidRPr="00640820">
        <w:rPr>
          <w:rFonts w:ascii="Times New Roman" w:hAnsi="Times New Roman"/>
          <w:color w:val="000000" w:themeColor="text1"/>
          <w:sz w:val="16"/>
          <w:szCs w:val="16"/>
        </w:rPr>
        <w:t>в 1940 году (21-31 декабря) совещание руководящего состава Наркомата обороны СССР по изучению опыта боевых действий и повышению боеготовности войск (14867).</w:t>
      </w:r>
    </w:p>
    <w:p w14:paraId="05FC89C8" w14:textId="77777777" w:rsidR="002D7D4D" w:rsidRPr="00640820" w:rsidRDefault="002D7D4D" w:rsidP="00640820">
      <w:pPr>
        <w:spacing w:after="0" w:line="240" w:lineRule="auto"/>
        <w:jc w:val="both"/>
        <w:rPr>
          <w:rFonts w:ascii="Times New Roman" w:hAnsi="Times New Roman"/>
          <w:color w:val="000000" w:themeColor="text1"/>
          <w:sz w:val="16"/>
          <w:szCs w:val="16"/>
        </w:rPr>
      </w:pPr>
    </w:p>
    <w:p w14:paraId="443E812B"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21 декабря </w:t>
      </w:r>
      <w:r w:rsidRPr="00640820">
        <w:rPr>
          <w:rFonts w:ascii="Times New Roman" w:hAnsi="Times New Roman"/>
          <w:color w:val="000000" w:themeColor="text1"/>
          <w:sz w:val="16"/>
          <w:szCs w:val="16"/>
        </w:rPr>
        <w:t>в 1941 году войска правого крыла Западного фронта достигли рубежа рек Лама и Руза, где до 25 декабря вели бои с противником (14867).</w:t>
      </w:r>
    </w:p>
    <w:p w14:paraId="2CEE1B59" w14:textId="77777777" w:rsidR="002D7D4D" w:rsidRPr="00640820" w:rsidRDefault="002D7D4D" w:rsidP="00640820">
      <w:pPr>
        <w:spacing w:after="0" w:line="240" w:lineRule="auto"/>
        <w:jc w:val="both"/>
        <w:rPr>
          <w:rFonts w:ascii="Times New Roman" w:hAnsi="Times New Roman"/>
          <w:color w:val="000000" w:themeColor="text1"/>
          <w:sz w:val="16"/>
          <w:szCs w:val="16"/>
        </w:rPr>
      </w:pPr>
    </w:p>
    <w:p w14:paraId="459BFF2C"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21 декабря </w:t>
      </w:r>
      <w:r w:rsidRPr="00640820">
        <w:rPr>
          <w:rFonts w:ascii="Times New Roman" w:hAnsi="Times New Roman"/>
          <w:color w:val="000000" w:themeColor="text1"/>
          <w:sz w:val="16"/>
          <w:szCs w:val="16"/>
        </w:rPr>
        <w:t>в 1941 году подвижная группа 50-й армии завязала уличные бои за Калугу (14867).</w:t>
      </w:r>
    </w:p>
    <w:p w14:paraId="0C990CA9" w14:textId="77777777" w:rsidR="002D7D4D" w:rsidRPr="00640820" w:rsidRDefault="002D7D4D" w:rsidP="00640820">
      <w:pPr>
        <w:spacing w:after="0" w:line="240" w:lineRule="auto"/>
        <w:jc w:val="both"/>
        <w:rPr>
          <w:rFonts w:ascii="Times New Roman" w:hAnsi="Times New Roman"/>
          <w:color w:val="000000" w:themeColor="text1"/>
          <w:sz w:val="16"/>
          <w:szCs w:val="16"/>
        </w:rPr>
      </w:pPr>
    </w:p>
    <w:p w14:paraId="6687626B" w14:textId="77777777" w:rsidR="002D7D4D" w:rsidRPr="00640820" w:rsidRDefault="002D7D4D"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21 декабря </w:t>
      </w:r>
      <w:r w:rsidRPr="00640820">
        <w:rPr>
          <w:rFonts w:ascii="Times New Roman" w:hAnsi="Times New Roman"/>
          <w:color w:val="000000" w:themeColor="text1"/>
          <w:sz w:val="16"/>
          <w:szCs w:val="16"/>
        </w:rPr>
        <w:t>в 1941 году в Минске фашисты замораживают тысячи советских военнослужащих (14867).</w:t>
      </w:r>
    </w:p>
    <w:p w14:paraId="72D79775" w14:textId="77777777" w:rsidR="002D7D4D" w:rsidRPr="00640820" w:rsidRDefault="002D7D4D" w:rsidP="00640820">
      <w:pPr>
        <w:spacing w:after="0" w:line="240" w:lineRule="auto"/>
        <w:jc w:val="both"/>
        <w:rPr>
          <w:rFonts w:ascii="Times New Roman" w:hAnsi="Times New Roman"/>
          <w:color w:val="000000" w:themeColor="text1"/>
          <w:sz w:val="16"/>
          <w:szCs w:val="16"/>
        </w:rPr>
      </w:pPr>
    </w:p>
    <w:p w14:paraId="53DA559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декабря 1941 года К.Д. Денисов из 8-го ИАП сбил Ю-87 над Севастополем. Немецкий пилот был взят в плен и попросил передать свой пистолет сбившему ему летчику. После хождения по инстанциям, пистолет все же попал к Денисову, и тот стал, наверное, единственным пилотом советских ВВС, носившим пистолеты "по-ковбойски" - с обоих боков (2691).</w:t>
      </w:r>
    </w:p>
    <w:p w14:paraId="7A1380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9419369"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декабря 1941 в Минске фашисты заморозили тысячи советских военнослужащих (4962).</w:t>
      </w:r>
    </w:p>
    <w:p w14:paraId="43C11A0E"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116F0A"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51DDB84F"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1F49B32" w14:textId="77777777" w:rsidR="0087788A" w:rsidRPr="00640820" w:rsidRDefault="0087788A"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декабря 1941 первый серийный экземпляр Hsl29B-1 покинул сборочный цех. Последний отличался от В-0 главным образом некоторым улучшением в системе бронирования самолета, несколько улучшенным обзором у летчика вперед-вниз и отчасти в стороны за счет изменения формы носовой части самолета и остекления фонаря кабины пилота, другими капотами моторов, открытыми оружейными каналами фюзеляжа и иным размещением радиооборудования (8907).</w:t>
      </w:r>
    </w:p>
    <w:p w14:paraId="5FF2A79A" w14:textId="77777777" w:rsidR="0087788A" w:rsidRPr="00640820" w:rsidRDefault="0087788A" w:rsidP="00640820">
      <w:pPr>
        <w:autoSpaceDE w:val="0"/>
        <w:autoSpaceDN w:val="0"/>
        <w:adjustRightInd w:val="0"/>
        <w:spacing w:after="0" w:line="240" w:lineRule="auto"/>
        <w:jc w:val="both"/>
        <w:rPr>
          <w:rFonts w:ascii="Times New Roman" w:hAnsi="Times New Roman"/>
          <w:color w:val="000000" w:themeColor="text1"/>
          <w:sz w:val="16"/>
          <w:szCs w:val="16"/>
        </w:rPr>
      </w:pPr>
    </w:p>
    <w:p w14:paraId="7B14A1FF" w14:textId="77777777" w:rsidR="0087788A" w:rsidRPr="00640820" w:rsidRDefault="008778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декабря 1941 первый серийный экземпляр Нз 129В-1 покинул сборочный цех. Последний отличался от В-0 главным образом некото</w:t>
      </w:r>
      <w:r w:rsidRPr="00640820">
        <w:rPr>
          <w:rFonts w:ascii="Times New Roman" w:hAnsi="Times New Roman"/>
          <w:color w:val="000000" w:themeColor="text1"/>
          <w:sz w:val="16"/>
          <w:szCs w:val="16"/>
        </w:rPr>
        <w:softHyphen/>
        <w:t>рым улучшением в системе бронирования самолета, несколько улучшенным обзором у летчика вперед-вниз и отчасти в стороны за счет изменения формы носовой части самолета и остекления фонаря кабины, другими капотами моторов, открытыми оружейными каналами фюзеляжа и иным размещением радиооборудования. С 3 ян</w:t>
      </w:r>
      <w:r w:rsidRPr="00640820">
        <w:rPr>
          <w:rFonts w:ascii="Times New Roman" w:hAnsi="Times New Roman"/>
          <w:color w:val="000000" w:themeColor="text1"/>
          <w:sz w:val="16"/>
          <w:szCs w:val="16"/>
        </w:rPr>
        <w:softHyphen/>
        <w:t>варя 1942 г. началась регулярная приемка Нз 129В-1 люфтваффе. Всего по апрель месяц включительно люфтваффе приняло 44 Нз 129В-1 (12728).</w:t>
      </w:r>
    </w:p>
    <w:p w14:paraId="6197B8C8" w14:textId="77777777" w:rsidR="0087788A" w:rsidRPr="00640820" w:rsidRDefault="0087788A" w:rsidP="00640820">
      <w:pPr>
        <w:spacing w:after="0" w:line="240" w:lineRule="auto"/>
        <w:jc w:val="both"/>
        <w:rPr>
          <w:rFonts w:ascii="Times New Roman" w:hAnsi="Times New Roman"/>
          <w:color w:val="000000" w:themeColor="text1"/>
          <w:sz w:val="16"/>
          <w:szCs w:val="16"/>
        </w:rPr>
      </w:pPr>
    </w:p>
    <w:p w14:paraId="3DC6C38C" w14:textId="77777777" w:rsidR="00A74C5C" w:rsidRPr="00640820" w:rsidRDefault="00A74C5C"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21 декабря 1941 Fliegerkorps II Люфтваффе начинает неуклонную эскалацию бомбардировок и атак на Мальте с целью выбивания британских воздушных и военно - морских сил (20794).</w:t>
      </w:r>
    </w:p>
    <w:p w14:paraId="0D489D51" w14:textId="77777777" w:rsidR="00A74C5C" w:rsidRPr="00640820" w:rsidRDefault="00A74C5C" w:rsidP="00640820">
      <w:pPr>
        <w:spacing w:after="0" w:line="240" w:lineRule="auto"/>
        <w:jc w:val="both"/>
        <w:rPr>
          <w:rFonts w:ascii="Times New Roman" w:hAnsi="Times New Roman"/>
          <w:color w:val="0070C0"/>
          <w:sz w:val="16"/>
          <w:szCs w:val="16"/>
        </w:rPr>
      </w:pPr>
    </w:p>
    <w:p w14:paraId="6DA417CC" w14:textId="77777777" w:rsidR="00A74C5C" w:rsidRPr="00640820" w:rsidRDefault="00A74C5C"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21 декабря </w:t>
      </w:r>
      <w:r w:rsidRPr="00640820">
        <w:rPr>
          <w:rFonts w:ascii="Times New Roman" w:hAnsi="Times New Roman"/>
          <w:color w:val="000000" w:themeColor="text1"/>
          <w:sz w:val="16"/>
          <w:szCs w:val="16"/>
        </w:rPr>
        <w:t>в 1941 году ПЛ U-751 торпедирует авианосец Одесити (14867).</w:t>
      </w:r>
    </w:p>
    <w:p w14:paraId="4B31DF13" w14:textId="77777777" w:rsidR="00A74C5C" w:rsidRPr="00640820" w:rsidRDefault="00A74C5C" w:rsidP="00640820">
      <w:pPr>
        <w:spacing w:after="0" w:line="240" w:lineRule="auto"/>
        <w:jc w:val="both"/>
        <w:rPr>
          <w:rFonts w:ascii="Times New Roman" w:hAnsi="Times New Roman"/>
          <w:color w:val="000000" w:themeColor="text1"/>
          <w:sz w:val="16"/>
          <w:szCs w:val="16"/>
        </w:rPr>
      </w:pPr>
    </w:p>
    <w:p w14:paraId="35C7DC88" w14:textId="77777777" w:rsidR="00A74C5C" w:rsidRPr="00640820" w:rsidRDefault="00A74C5C"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21 декабря 1941 Немецкая подводная лодка U-751 торпедирует и топит британский эскортный авианосец HMS Audacity, сопровождая конвой примерно в 430 морских милях (800 км) к западу от мыса Финистерре. В течение трех месяцев работы, самолеты Audacity пять Фокке-Вульф Fw 200 Кондор, повредили еще три, препятствуя работе немецких подводных лодок против конвои, доказыв ценность эскортного авианосца для сопровождения конвоев. В результате союзники начнут использовать авианосцы для сопровождения конвоев в Атлантическом океане с 1943 году (20794).</w:t>
      </w:r>
    </w:p>
    <w:p w14:paraId="4F641869" w14:textId="77777777" w:rsidR="00A74C5C" w:rsidRPr="00640820" w:rsidRDefault="00A74C5C" w:rsidP="00640820">
      <w:pPr>
        <w:spacing w:after="0" w:line="240" w:lineRule="auto"/>
        <w:jc w:val="both"/>
        <w:rPr>
          <w:rFonts w:ascii="Times New Roman" w:hAnsi="Times New Roman"/>
          <w:color w:val="0070C0"/>
          <w:sz w:val="16"/>
          <w:szCs w:val="16"/>
        </w:rPr>
      </w:pPr>
    </w:p>
    <w:p w14:paraId="4E09472A" w14:textId="77777777" w:rsidR="00A74C5C" w:rsidRPr="00640820" w:rsidRDefault="00A74C5C"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21–22 декабря 1941 - Самолеты японских авианосцев Hiryū и Sryū наносят удар по острову Уэйк, который 23 декабря перейдет к японцам (20794).</w:t>
      </w:r>
    </w:p>
    <w:p w14:paraId="54FBF9FD" w14:textId="77777777" w:rsidR="00A74C5C" w:rsidRPr="00640820" w:rsidRDefault="00A74C5C" w:rsidP="00640820">
      <w:pPr>
        <w:spacing w:after="0" w:line="240" w:lineRule="auto"/>
        <w:jc w:val="both"/>
        <w:rPr>
          <w:rFonts w:ascii="Times New Roman" w:hAnsi="Times New Roman"/>
          <w:color w:val="0070C0"/>
          <w:sz w:val="16"/>
          <w:szCs w:val="16"/>
        </w:rPr>
      </w:pPr>
    </w:p>
    <w:p w14:paraId="1498C8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декабря 1941 в Югославии была сформирована 1 пролетарская ударная бригада (3186).</w:t>
      </w:r>
    </w:p>
    <w:p w14:paraId="4449A8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2FF6E3E" w14:textId="77777777" w:rsidR="0087788A" w:rsidRPr="00640820" w:rsidRDefault="008778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21 декабря </w:t>
      </w:r>
      <w:r w:rsidRPr="00640820">
        <w:rPr>
          <w:rFonts w:ascii="Times New Roman" w:hAnsi="Times New Roman"/>
          <w:color w:val="000000" w:themeColor="text1"/>
          <w:sz w:val="16"/>
          <w:szCs w:val="16"/>
        </w:rPr>
        <w:t>в 1941 году Япония и Сиам заключили военный альянс. Сиам согласился оказать помощь Японии в войне против Англии и США, а Япония обещала Сиаму вернуть утраченные ранее территории (14867).</w:t>
      </w:r>
    </w:p>
    <w:p w14:paraId="3C351558" w14:textId="77777777" w:rsidR="0087788A" w:rsidRPr="00640820" w:rsidRDefault="0087788A" w:rsidP="00640820">
      <w:pPr>
        <w:spacing w:after="0" w:line="240" w:lineRule="auto"/>
        <w:jc w:val="both"/>
        <w:rPr>
          <w:rFonts w:ascii="Times New Roman" w:hAnsi="Times New Roman"/>
          <w:color w:val="000000" w:themeColor="text1"/>
          <w:sz w:val="16"/>
          <w:szCs w:val="16"/>
        </w:rPr>
      </w:pPr>
    </w:p>
    <w:p w14:paraId="5B809C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декабря 1941 правительство Бельгии объявило войну Японии (3186).</w:t>
      </w:r>
    </w:p>
    <w:p w14:paraId="6FF232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97D69D5" w14:textId="77777777" w:rsidR="00163780" w:rsidRPr="00640820" w:rsidRDefault="00163780"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1B51E1FA" w14:textId="77777777" w:rsidR="00163780" w:rsidRPr="00640820" w:rsidRDefault="0016378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F57063E" w14:textId="77777777" w:rsidR="00163780" w:rsidRPr="00640820" w:rsidRDefault="00163780"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22 декабря 1941 вышел приказ № 95 по заводу № 18</w:t>
      </w:r>
    </w:p>
    <w:p w14:paraId="38974ADF" w14:textId="77777777" w:rsidR="00163780" w:rsidRPr="00640820" w:rsidRDefault="00163780"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 начале производства Ил-2 на новом месте, присвоении шифра "К" и новой нумерации: 18700101 - 1-я машина 1-й серии, 18700201 - 2-я машина 1-й серии и т.д.</w:t>
      </w:r>
    </w:p>
    <w:p w14:paraId="1F201864" w14:textId="77777777" w:rsidR="00163780" w:rsidRPr="00640820" w:rsidRDefault="00163780"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lastRenderedPageBreak/>
        <w:t>В связи с окончанием перебазированияч завода и началом произвожства на новом месте ПРИКАЗЫВАЮ:</w:t>
      </w:r>
    </w:p>
    <w:p w14:paraId="2D5483D4" w14:textId="77777777" w:rsidR="00163780" w:rsidRPr="00640820" w:rsidRDefault="00163780"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Пар. 1</w:t>
      </w:r>
    </w:p>
    <w:p w14:paraId="1E522B24" w14:textId="77777777" w:rsidR="00163780" w:rsidRPr="00640820" w:rsidRDefault="00163780"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Продолжиь шифровать изготовляемую мащину Ил-2 во всей внутризаводской документации и переписке шифром К</w:t>
      </w:r>
    </w:p>
    <w:p w14:paraId="514DD6B9" w14:textId="77777777" w:rsidR="00163780" w:rsidRPr="00640820" w:rsidRDefault="00163780"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Пар. 2</w:t>
      </w:r>
    </w:p>
    <w:p w14:paraId="32335E76" w14:textId="77777777" w:rsidR="00163780" w:rsidRPr="00640820" w:rsidRDefault="00163780"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Все расходы по изготовлению машины Ил-2 учитывать по счету - 117001 - 1 серия</w:t>
      </w:r>
    </w:p>
    <w:p w14:paraId="77BB93E1" w14:textId="77777777" w:rsidR="00163780" w:rsidRPr="00640820" w:rsidRDefault="00163780"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117002 - 2 серия</w:t>
      </w:r>
    </w:p>
    <w:p w14:paraId="722515B9" w14:textId="77777777" w:rsidR="00163780" w:rsidRPr="00640820" w:rsidRDefault="00163780"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117003 - 3 серия и т.п.</w:t>
      </w:r>
    </w:p>
    <w:p w14:paraId="13BF4522" w14:textId="77777777" w:rsidR="00163780" w:rsidRPr="00640820" w:rsidRDefault="00163780"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Пар. 3</w:t>
      </w:r>
    </w:p>
    <w:p w14:paraId="2BCBE49F" w14:textId="77777777" w:rsidR="00163780" w:rsidRPr="00640820" w:rsidRDefault="00163780"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Установить количество машин в серии, начиная с первой по 100 машин</w:t>
      </w:r>
    </w:p>
    <w:p w14:paraId="480E753D" w14:textId="77777777" w:rsidR="00163780" w:rsidRPr="00640820" w:rsidRDefault="00163780"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Пар. 4</w:t>
      </w:r>
    </w:p>
    <w:p w14:paraId="6DB477F4" w14:textId="77777777" w:rsidR="00163780" w:rsidRPr="00640820" w:rsidRDefault="00163780"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Все расходы по изготовлению групповых комплекстов учитывать по счету - 117001 - 1 серия</w:t>
      </w:r>
    </w:p>
    <w:p w14:paraId="3F6AC0D4" w14:textId="77777777" w:rsidR="00163780" w:rsidRPr="00640820" w:rsidRDefault="00163780"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117002 - 2 серия</w:t>
      </w:r>
    </w:p>
    <w:p w14:paraId="7D746226" w14:textId="77777777" w:rsidR="00163780" w:rsidRPr="00640820" w:rsidRDefault="00163780"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117003 - 3 серия и т.п.</w:t>
      </w:r>
    </w:p>
    <w:p w14:paraId="74E6438A" w14:textId="77777777" w:rsidR="00163780" w:rsidRPr="00640820" w:rsidRDefault="00163780"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Пар. 5</w:t>
      </w:r>
    </w:p>
    <w:p w14:paraId="40B9E92A" w14:textId="77777777" w:rsidR="00163780" w:rsidRPr="00640820" w:rsidRDefault="00163780"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Установить количество групповых комплектов в серии из расчета обеспечения каждой из серийй 100, т.е </w:t>
      </w:r>
    </w:p>
    <w:p w14:paraId="3732B69E" w14:textId="77777777" w:rsidR="00163780" w:rsidRPr="00640820" w:rsidRDefault="00163780"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 : 5 по 20 по комплектов в серии</w:t>
      </w:r>
    </w:p>
    <w:p w14:paraId="2F949461" w14:textId="77777777" w:rsidR="00163780" w:rsidRPr="00640820" w:rsidRDefault="00163780"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 : 20А по 5 комплектов в серии</w:t>
      </w:r>
    </w:p>
    <w:p w14:paraId="720D23ED" w14:textId="77777777" w:rsidR="00163780" w:rsidRPr="00640820" w:rsidRDefault="00163780"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 : 20Б по 5 комплектов в серии</w:t>
      </w:r>
    </w:p>
    <w:p w14:paraId="7D28415E" w14:textId="77777777" w:rsidR="00163780" w:rsidRPr="00640820" w:rsidRDefault="00163780"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 : 50 по 2 комплектов в серии</w:t>
      </w:r>
    </w:p>
    <w:p w14:paraId="0C60A02C" w14:textId="77777777" w:rsidR="00163780" w:rsidRPr="00640820" w:rsidRDefault="00163780"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Шифр выпускаемых машин установить</w:t>
      </w:r>
    </w:p>
    <w:p w14:paraId="71ED768C" w14:textId="77777777" w:rsidR="00163780" w:rsidRPr="00640820" w:rsidRDefault="00163780"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18700101 - 1-я машина 1 серии</w:t>
      </w:r>
    </w:p>
    <w:p w14:paraId="3DE9CC66" w14:textId="77777777" w:rsidR="00163780" w:rsidRPr="00640820" w:rsidRDefault="00163780"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18700201 - 2-я машина 1 серии и т.д.</w:t>
      </w:r>
    </w:p>
    <w:p w14:paraId="4D53427D" w14:textId="77777777" w:rsidR="00163780" w:rsidRPr="00640820" w:rsidRDefault="00163780"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Где 18 означает № завода, 7 тип машины, следующие 3 цифры порядковый номер машины в серии и последние 2 цифры - номер серии</w:t>
      </w:r>
    </w:p>
    <w:p w14:paraId="0E2AA2A9" w14:textId="77777777" w:rsidR="00163780" w:rsidRPr="00640820" w:rsidRDefault="00163780"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Пар. 7</w:t>
      </w:r>
    </w:p>
    <w:p w14:paraId="14AEDA6E" w14:textId="77777777" w:rsidR="00163780" w:rsidRPr="00640820" w:rsidRDefault="00163780"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целях уменьшения количества записываемой в первичной документации и в первую очередь рабочих карточек стремиться по одному документу запускать более крупную партию, но без ущерба для нормального хода производства.</w:t>
      </w:r>
    </w:p>
    <w:p w14:paraId="12FE67CF" w14:textId="77777777" w:rsidR="00163780" w:rsidRPr="00640820" w:rsidRDefault="00163780"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Пар. 8</w:t>
      </w:r>
    </w:p>
    <w:p w14:paraId="44E12C5E" w14:textId="77777777" w:rsidR="00163780" w:rsidRPr="00640820" w:rsidRDefault="00163780"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Ознакомить с настоящим приказом всех нач. цехов..., принимающих участие в изготовлении машины</w:t>
      </w:r>
    </w:p>
    <w:p w14:paraId="0D6FE685" w14:textId="77777777" w:rsidR="00163780" w:rsidRPr="00640820" w:rsidRDefault="00163780"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Директор Шенкман (19706).</w:t>
      </w:r>
    </w:p>
    <w:p w14:paraId="18EB4407" w14:textId="77777777" w:rsidR="00163780" w:rsidRPr="00640820" w:rsidRDefault="00163780"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49D6D81"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767EA0BD"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2E959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декабря 1941 было подготовлено Письмо директора Ижевского мотоциклетного завода М.Ш.Дубового и заместителя главного инженера завода Н.И. Ктитарева наркому вооружения СССР Д.Ф. Устинову с просьбой о содействии в организации производства пулемета "Максим"1</w:t>
      </w:r>
    </w:p>
    <w:p w14:paraId="7D14263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Секретно</w:t>
      </w:r>
    </w:p>
    <w:p w14:paraId="090A98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Государственный Союзный Ижевский мотоциклетный завод выпускал мотоциклы Иж-9, предназначенные для снабжения частей Красной Армии, деталь № 7 для НКБ СССР и осваивал по заданию НКСМ СССР минный взрыватель М-50.</w:t>
      </w:r>
    </w:p>
    <w:p w14:paraId="768900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Постановлением Государственного Комитета Обороны Союза СССР от 23 ноября с[его] года завод должен полностью переключиться на выпуск объекта №504 с выпуском в декабре - 50, январе - 500 и начиная с февраля по 2000 шт. ежемесячно.</w:t>
      </w:r>
    </w:p>
    <w:p w14:paraId="00E509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Учитывая чрезвычайно сжатые сроки и сложность освоения нового производства, выпуск мотоциклов в декабре был полностью прекращен, оснащение и заделы незавершенного производства законсервированы.</w:t>
      </w:r>
    </w:p>
    <w:p w14:paraId="6DA8E1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Перед коллективом инженерно-технических работников и рабочих завода была поставлена задача немедленного переключения на освоение объекта №504.</w:t>
      </w:r>
    </w:p>
    <w:p w14:paraId="02DF48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выполнение правительственного задания в указанные сроки необходимо было немедленно провести следующие мероприятия:</w:t>
      </w:r>
    </w:p>
    <w:p w14:paraId="4AE4EF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Обеспечить завод полным комплектом технической документации, необходимой для организации массового производства объекта № 504.</w:t>
      </w:r>
    </w:p>
    <w:p w14:paraId="4BCB09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Учитывая срочность задания и необходимость немедленного выпуска машин, передать из наличия дублеров завода № 542 оснащение в металле (основные приспособления, специальный мерительный и режущий инструмент), что обеспечит запуск объекта в производство и его освоение параллельно с изготовлением оснащения, обеспечивающего освоение полной производственной мощности завода.</w:t>
      </w:r>
    </w:p>
    <w:p w14:paraId="4741F6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С целью передачи многолетнего опыта работы по выпуску объекта № 504 - передать для помощи в налаживающее производство группу инженерно-технических работников и рабочих высокой квалификации, работавших по выпуску объекта № 504.</w:t>
      </w:r>
    </w:p>
    <w:p w14:paraId="488908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Укомплектовать завод недостающим оборудованием в соответствии с технологическим процессом.</w:t>
      </w:r>
    </w:p>
    <w:p w14:paraId="4C13E2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Произвести планировку и перестроить завод на выпуск объекта № 504.</w:t>
      </w:r>
    </w:p>
    <w:p w14:paraId="31F6A9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настоящего времени, несмотря на неоднократные обращения, завод не получил технической документации. Создавшееся положение не дает возможности вести никакой работы по подготовке производства (заявки на необходимые основные и вспомогательные материалы, оборудование, инструмент; проектирование и изготовление приспособлений, специального мерительного и режущего инструмента; расцеховка деталей, планировка и переоборудование цехов и т.д.).</w:t>
      </w:r>
    </w:p>
    <w:p w14:paraId="5EDCB3F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Рабочие основного производства имеют массовые простои вследствие отсутствия загрузки по новому объекту и полного прекращения работ по выпуску старой продукции.</w:t>
      </w:r>
    </w:p>
    <w:p w14:paraId="53F05D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Дальнейшая задержка в разрешении поставленных вопросов - ставит под угрозу срыва выполнение правительственного задания декабря месяца с[его] г[ода].</w:t>
      </w:r>
    </w:p>
    <w:p w14:paraId="4752EE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Прошу Вашего личного распоряжения о немедленном обеспечении завода:</w:t>
      </w:r>
    </w:p>
    <w:p w14:paraId="53A6E9E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Полным комплектом технической документации.</w:t>
      </w:r>
    </w:p>
    <w:p w14:paraId="456716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Комплектом основных приспособлений специального мерительного и режущего инструмента по наиболее сложным и трудоемким деталям и узлам.</w:t>
      </w:r>
    </w:p>
    <w:p w14:paraId="1ECEB5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3.Передать заводу на период освоения и пуска бригады квалифицированных инженеров и мастеров отладчиков, а также квалифицированных рабочих на особо специфичные работы.</w:t>
      </w:r>
    </w:p>
    <w:p w14:paraId="7B0964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200 комплектов готовых деталей для подготовки кадров сборщиков и создания минимального задела на период освоения.</w:t>
      </w:r>
    </w:p>
    <w:p w14:paraId="3255E5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Учитывая особую серьезность положения, о Вашем решении просим поставить в известность.</w:t>
      </w:r>
    </w:p>
    <w:p w14:paraId="2442D1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завода № 524 М. Дубовый</w:t>
      </w:r>
    </w:p>
    <w:p w14:paraId="326E67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главного инженера Н. Ктитарев</w:t>
      </w:r>
    </w:p>
    <w:p w14:paraId="507A84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ЦДНИ УР, ф.16, оп.1, д.3288, л.100-102. Подлинник. Машинопись (9681).</w:t>
      </w:r>
    </w:p>
    <w:p w14:paraId="072781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1AEEC03" w14:textId="77777777" w:rsidR="0087788A" w:rsidRPr="00640820" w:rsidRDefault="0087788A"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декабря 1941 года был утвержден план на 1942 год, в котором КВ-3 фигурирует под первым номером. Именуется он «переходящей с 1941 года работой», которая как минимум должна была быть завершена сборкой опытного образца. Сроком окончания работ значилось 1 мая 1942 года. К июлю 1942 года ожидалось окончание работ по электротрансмиссии для КВ-3, а к декабрю 1942 года должно было закончиться изготовление двухтактного дизельного двигателя на базе В-2. Двигатель должен был иметь мощность 1200 лошадиных сил (15614).</w:t>
      </w:r>
    </w:p>
    <w:p w14:paraId="7EA0DCF1" w14:textId="77777777" w:rsidR="0087788A" w:rsidRPr="00640820" w:rsidRDefault="0087788A" w:rsidP="00640820">
      <w:pPr>
        <w:shd w:val="clear" w:color="auto" w:fill="FFFFFF"/>
        <w:spacing w:after="0" w:line="240" w:lineRule="auto"/>
        <w:jc w:val="both"/>
        <w:rPr>
          <w:rFonts w:ascii="Times New Roman" w:hAnsi="Times New Roman"/>
          <w:bCs/>
          <w:color w:val="000000" w:themeColor="text1"/>
          <w:sz w:val="16"/>
          <w:szCs w:val="16"/>
        </w:rPr>
      </w:pPr>
    </w:p>
    <w:p w14:paraId="7C49100B" w14:textId="77777777" w:rsidR="009A31E1" w:rsidRPr="00640820" w:rsidRDefault="009A31E1"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22 декабря 1941 года был утвержден план работ ЧТЗ (с конца 1941 года ЧКЗ, то есть Челябинский Кировский Завод) на 1942 год, в котором КВ-3 фигурирует под первым номером. Именуется он «переходящей с 1941 года работой», которая как минимум должна была быть завершена сборкой опытного образца. Сроком окончания работ значилось 1 мая 1942 года. К июлю 1942 года ожидалось окончание работ по электротрансмиссии для КВ-3, а к декабрю 1942 года должно было закончиться изготовление двухтактного дизельного двигателя на базе В-2. Двигатель должен был иметь мощность 1200 лошадиных сил (17642).</w:t>
      </w:r>
    </w:p>
    <w:p w14:paraId="19F97800" w14:textId="77777777" w:rsidR="009A31E1" w:rsidRPr="00640820" w:rsidRDefault="009A31E1" w:rsidP="00640820">
      <w:pPr>
        <w:spacing w:after="0" w:line="240" w:lineRule="auto"/>
        <w:jc w:val="both"/>
        <w:rPr>
          <w:rFonts w:ascii="Times New Roman" w:hAnsi="Times New Roman"/>
          <w:color w:val="000000" w:themeColor="text1"/>
          <w:sz w:val="16"/>
          <w:szCs w:val="16"/>
        </w:rPr>
      </w:pPr>
    </w:p>
    <w:p w14:paraId="127D512C" w14:textId="77777777" w:rsidR="0087788A" w:rsidRPr="00640820" w:rsidRDefault="0087788A" w:rsidP="00640820">
      <w:pPr>
        <w:widowControl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22 декабря </w:t>
      </w:r>
      <w:smartTag w:uri="urn:schemas-microsoft-com:office:smarttags" w:element="metricconverter">
        <w:smartTagPr>
          <w:attr w:name="ProductID" w:val="1945 г"/>
        </w:smartTagPr>
        <w:r w:rsidRPr="00640820">
          <w:rPr>
            <w:rFonts w:ascii="Times New Roman" w:hAnsi="Times New Roman"/>
            <w:color w:val="000000" w:themeColor="text1"/>
            <w:sz w:val="16"/>
            <w:szCs w:val="16"/>
          </w:rPr>
          <w:t>1941 г</w:t>
        </w:r>
      </w:smartTag>
      <w:r w:rsidRPr="00640820">
        <w:rPr>
          <w:rFonts w:ascii="Times New Roman" w:hAnsi="Times New Roman"/>
          <w:color w:val="000000" w:themeColor="text1"/>
          <w:sz w:val="16"/>
          <w:szCs w:val="16"/>
        </w:rPr>
        <w:t>. ГГКО принял очередное постановление «Об усилении базы по производству корпусов Т-60 на автозаводе им. Молотова», в соответствии с которым заводы №119, 112 , «Двигатель революции» и управление трамвайного треста должны были передать в трехдневный срок автозаводу им. Молотова 8 станков, а директор завода «Двигатель революции» был обязан закончить монтаж электропечи ДСТ-5 к 1 января 1942 года и предоставить ее в распоряжение ГАЗа для производства фасонного стального лится деталей корпусов и Т-60. В свою очередь директор автозавода Лоскутов обязывался оказать помощь заводу «Двигатель революции» в окончании монтажа электропечи, обеспечить недостающими электроматериалами, провести футеровку электропечи и пустить в эксплуатацию силами автозавода (15218).</w:t>
      </w:r>
    </w:p>
    <w:p w14:paraId="6C9FCF29" w14:textId="77777777" w:rsidR="0087788A" w:rsidRPr="00640820" w:rsidRDefault="0087788A" w:rsidP="00640820">
      <w:pPr>
        <w:widowControl w:val="0"/>
        <w:spacing w:after="0" w:line="240" w:lineRule="auto"/>
        <w:jc w:val="both"/>
        <w:rPr>
          <w:rFonts w:ascii="Times New Roman" w:hAnsi="Times New Roman"/>
          <w:color w:val="000000" w:themeColor="text1"/>
          <w:sz w:val="16"/>
          <w:szCs w:val="16"/>
        </w:rPr>
      </w:pPr>
    </w:p>
    <w:p w14:paraId="49DB51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22 декабря 1941 г. была подготовлена Информация директора завода «Манометр» в Томский горисполком о прибытии в г.Томск рабочих и служащих завода «Манометр» по состоянию на 22 декабря 1941 г. </w:t>
      </w:r>
    </w:p>
    <w:p w14:paraId="7DCCD4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 Секретно.</w:t>
      </w:r>
    </w:p>
    <w:p w14:paraId="35FFD3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СССР Исполком Томского городского совета </w:t>
      </w:r>
    </w:p>
    <w:p w14:paraId="3256B3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Наркомат минометного вооружения депутатов трудящихся </w:t>
      </w:r>
    </w:p>
    <w:p w14:paraId="4339E3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Завод «Манометр» г. Томск </w:t>
      </w:r>
    </w:p>
    <w:p w14:paraId="1ECA31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Томск</w:t>
      </w:r>
    </w:p>
    <w:p w14:paraId="4DEAA7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 Тимирязева 68</w:t>
      </w:r>
    </w:p>
    <w:p w14:paraId="3E3013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«Манометр» при сем направляет сведения о прибытии рабочих и служащих завода «Манометр» в г. Томск по установленной форме, по состоянию на 22/XII – 41 г.</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540"/>
        <w:gridCol w:w="2130"/>
        <w:gridCol w:w="990"/>
        <w:gridCol w:w="1170"/>
        <w:gridCol w:w="855"/>
        <w:gridCol w:w="555"/>
        <w:gridCol w:w="855"/>
        <w:gridCol w:w="855"/>
        <w:gridCol w:w="1410"/>
      </w:tblGrid>
      <w:tr w:rsidR="00643896" w:rsidRPr="00640820" w14:paraId="227F3AFC" w14:textId="77777777" w:rsidTr="000D3BCB">
        <w:tc>
          <w:tcPr>
            <w:tcW w:w="540" w:type="dxa"/>
            <w:tcBorders>
              <w:top w:val="single" w:sz="12" w:space="0" w:color="auto"/>
            </w:tcBorders>
          </w:tcPr>
          <w:p w14:paraId="556A27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п/п</w:t>
            </w:r>
          </w:p>
        </w:tc>
        <w:tc>
          <w:tcPr>
            <w:tcW w:w="2130" w:type="dxa"/>
            <w:tcBorders>
              <w:top w:val="single" w:sz="12" w:space="0" w:color="auto"/>
            </w:tcBorders>
          </w:tcPr>
          <w:p w14:paraId="647133E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Наименование организации</w:t>
            </w:r>
          </w:p>
        </w:tc>
        <w:tc>
          <w:tcPr>
            <w:tcW w:w="990" w:type="dxa"/>
            <w:tcBorders>
              <w:top w:val="single" w:sz="12" w:space="0" w:color="auto"/>
            </w:tcBorders>
          </w:tcPr>
          <w:p w14:paraId="65E0AA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Откуда эвакуир.</w:t>
            </w:r>
          </w:p>
        </w:tc>
        <w:tc>
          <w:tcPr>
            <w:tcW w:w="1170" w:type="dxa"/>
            <w:tcBorders>
              <w:top w:val="single" w:sz="12" w:space="0" w:color="auto"/>
            </w:tcBorders>
          </w:tcPr>
          <w:p w14:paraId="76E71C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Дата </w:t>
            </w:r>
          </w:p>
          <w:p w14:paraId="1B39FA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прибытия</w:t>
            </w:r>
          </w:p>
        </w:tc>
        <w:tc>
          <w:tcPr>
            <w:tcW w:w="855" w:type="dxa"/>
            <w:tcBorders>
              <w:top w:val="single" w:sz="12" w:space="0" w:color="auto"/>
            </w:tcBorders>
          </w:tcPr>
          <w:p w14:paraId="1A59703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 приб.</w:t>
            </w:r>
          </w:p>
        </w:tc>
        <w:tc>
          <w:tcPr>
            <w:tcW w:w="555" w:type="dxa"/>
            <w:gridSpan w:val="3"/>
            <w:tcBorders>
              <w:top w:val="single" w:sz="12" w:space="0" w:color="auto"/>
            </w:tcBorders>
          </w:tcPr>
          <w:p w14:paraId="74329A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том числе</w:t>
            </w:r>
          </w:p>
        </w:tc>
        <w:tc>
          <w:tcPr>
            <w:tcW w:w="1410" w:type="dxa"/>
            <w:tcBorders>
              <w:top w:val="single" w:sz="12" w:space="0" w:color="auto"/>
            </w:tcBorders>
          </w:tcPr>
          <w:p w14:paraId="545D833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числе иждивенц. дети до 12 л.</w:t>
            </w:r>
          </w:p>
        </w:tc>
      </w:tr>
      <w:tr w:rsidR="00643896" w:rsidRPr="00640820" w14:paraId="67D821C0" w14:textId="77777777" w:rsidTr="000D3BCB">
        <w:tc>
          <w:tcPr>
            <w:tcW w:w="540" w:type="dxa"/>
          </w:tcPr>
          <w:p w14:paraId="060687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30" w:type="dxa"/>
          </w:tcPr>
          <w:p w14:paraId="43985E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990" w:type="dxa"/>
          </w:tcPr>
          <w:p w14:paraId="47795C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15D3E5A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5" w:type="dxa"/>
          </w:tcPr>
          <w:p w14:paraId="7D1EF8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555" w:type="dxa"/>
          </w:tcPr>
          <w:p w14:paraId="281F4B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w:t>
            </w:r>
          </w:p>
        </w:tc>
        <w:tc>
          <w:tcPr>
            <w:tcW w:w="855" w:type="dxa"/>
          </w:tcPr>
          <w:p w14:paraId="53B207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Сл.</w:t>
            </w:r>
          </w:p>
        </w:tc>
        <w:tc>
          <w:tcPr>
            <w:tcW w:w="855" w:type="dxa"/>
          </w:tcPr>
          <w:p w14:paraId="6FDA02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Ижд.</w:t>
            </w:r>
          </w:p>
        </w:tc>
        <w:tc>
          <w:tcPr>
            <w:tcW w:w="1410" w:type="dxa"/>
          </w:tcPr>
          <w:p w14:paraId="19AEF4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96F27DB" w14:textId="77777777" w:rsidTr="000D3BCB">
        <w:tc>
          <w:tcPr>
            <w:tcW w:w="540" w:type="dxa"/>
          </w:tcPr>
          <w:p w14:paraId="6993B0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2130" w:type="dxa"/>
          </w:tcPr>
          <w:p w14:paraId="61E4DC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«Манометр»</w:t>
            </w:r>
          </w:p>
        </w:tc>
        <w:tc>
          <w:tcPr>
            <w:tcW w:w="990" w:type="dxa"/>
          </w:tcPr>
          <w:p w14:paraId="23E297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Москвы</w:t>
            </w:r>
          </w:p>
        </w:tc>
        <w:tc>
          <w:tcPr>
            <w:tcW w:w="1170" w:type="dxa"/>
          </w:tcPr>
          <w:p w14:paraId="46D9484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13/XI</w:t>
            </w:r>
          </w:p>
        </w:tc>
        <w:tc>
          <w:tcPr>
            <w:tcW w:w="855" w:type="dxa"/>
          </w:tcPr>
          <w:p w14:paraId="18B6D7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w:t>
            </w:r>
          </w:p>
        </w:tc>
        <w:tc>
          <w:tcPr>
            <w:tcW w:w="555" w:type="dxa"/>
          </w:tcPr>
          <w:p w14:paraId="398013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55" w:type="dxa"/>
          </w:tcPr>
          <w:p w14:paraId="0165EB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855" w:type="dxa"/>
          </w:tcPr>
          <w:p w14:paraId="3E189F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w:t>
            </w:r>
          </w:p>
        </w:tc>
        <w:tc>
          <w:tcPr>
            <w:tcW w:w="1410" w:type="dxa"/>
          </w:tcPr>
          <w:p w14:paraId="51A887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r>
      <w:tr w:rsidR="00643896" w:rsidRPr="00640820" w14:paraId="33B29D02" w14:textId="77777777" w:rsidTr="000D3BCB">
        <w:tc>
          <w:tcPr>
            <w:tcW w:w="540" w:type="dxa"/>
          </w:tcPr>
          <w:p w14:paraId="4858C8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30" w:type="dxa"/>
          </w:tcPr>
          <w:p w14:paraId="1114F0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990" w:type="dxa"/>
          </w:tcPr>
          <w:p w14:paraId="6B5C15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46A176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14/XI</w:t>
            </w:r>
          </w:p>
        </w:tc>
        <w:tc>
          <w:tcPr>
            <w:tcW w:w="855" w:type="dxa"/>
          </w:tcPr>
          <w:p w14:paraId="3B4396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555" w:type="dxa"/>
          </w:tcPr>
          <w:p w14:paraId="2AE142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855" w:type="dxa"/>
          </w:tcPr>
          <w:p w14:paraId="1EC6BB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55" w:type="dxa"/>
          </w:tcPr>
          <w:p w14:paraId="491EF3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1410" w:type="dxa"/>
          </w:tcPr>
          <w:p w14:paraId="43807F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1FACACD4" w14:textId="77777777" w:rsidTr="000D3BCB">
        <w:tc>
          <w:tcPr>
            <w:tcW w:w="540" w:type="dxa"/>
          </w:tcPr>
          <w:p w14:paraId="663E13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30" w:type="dxa"/>
          </w:tcPr>
          <w:p w14:paraId="76808F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990" w:type="dxa"/>
          </w:tcPr>
          <w:p w14:paraId="3D163F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199345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17/XI</w:t>
            </w:r>
          </w:p>
        </w:tc>
        <w:tc>
          <w:tcPr>
            <w:tcW w:w="855" w:type="dxa"/>
          </w:tcPr>
          <w:p w14:paraId="41E4B6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c>
          <w:tcPr>
            <w:tcW w:w="555" w:type="dxa"/>
          </w:tcPr>
          <w:p w14:paraId="7E4B25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55" w:type="dxa"/>
          </w:tcPr>
          <w:p w14:paraId="23DC13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855" w:type="dxa"/>
          </w:tcPr>
          <w:p w14:paraId="4CF2096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1410" w:type="dxa"/>
          </w:tcPr>
          <w:p w14:paraId="7C6091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r>
      <w:tr w:rsidR="00643896" w:rsidRPr="00640820" w14:paraId="44014388" w14:textId="77777777" w:rsidTr="000D3BCB">
        <w:tc>
          <w:tcPr>
            <w:tcW w:w="540" w:type="dxa"/>
          </w:tcPr>
          <w:p w14:paraId="3E6F15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30" w:type="dxa"/>
          </w:tcPr>
          <w:p w14:paraId="4685DF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990" w:type="dxa"/>
          </w:tcPr>
          <w:p w14:paraId="18D50E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40946A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22/XI</w:t>
            </w:r>
          </w:p>
        </w:tc>
        <w:tc>
          <w:tcPr>
            <w:tcW w:w="855" w:type="dxa"/>
          </w:tcPr>
          <w:p w14:paraId="18B5B9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c>
          <w:tcPr>
            <w:tcW w:w="555" w:type="dxa"/>
          </w:tcPr>
          <w:p w14:paraId="0EA243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55" w:type="dxa"/>
          </w:tcPr>
          <w:p w14:paraId="01F30B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855" w:type="dxa"/>
          </w:tcPr>
          <w:p w14:paraId="641046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1410" w:type="dxa"/>
          </w:tcPr>
          <w:p w14:paraId="5F686B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r>
      <w:tr w:rsidR="00643896" w:rsidRPr="00640820" w14:paraId="65B78CFC" w14:textId="77777777" w:rsidTr="000D3BCB">
        <w:tc>
          <w:tcPr>
            <w:tcW w:w="540" w:type="dxa"/>
          </w:tcPr>
          <w:p w14:paraId="7F8889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30" w:type="dxa"/>
          </w:tcPr>
          <w:p w14:paraId="340EFB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990" w:type="dxa"/>
          </w:tcPr>
          <w:p w14:paraId="3DDA7E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022886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24/XI</w:t>
            </w:r>
          </w:p>
        </w:tc>
        <w:tc>
          <w:tcPr>
            <w:tcW w:w="855" w:type="dxa"/>
          </w:tcPr>
          <w:p w14:paraId="67CF08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68</w:t>
            </w:r>
          </w:p>
        </w:tc>
        <w:tc>
          <w:tcPr>
            <w:tcW w:w="555" w:type="dxa"/>
          </w:tcPr>
          <w:p w14:paraId="0C9359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w:t>
            </w:r>
          </w:p>
        </w:tc>
        <w:tc>
          <w:tcPr>
            <w:tcW w:w="855" w:type="dxa"/>
          </w:tcPr>
          <w:p w14:paraId="0BDC9C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w:t>
            </w:r>
          </w:p>
        </w:tc>
        <w:tc>
          <w:tcPr>
            <w:tcW w:w="855" w:type="dxa"/>
          </w:tcPr>
          <w:p w14:paraId="297450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w:t>
            </w:r>
          </w:p>
        </w:tc>
        <w:tc>
          <w:tcPr>
            <w:tcW w:w="1410" w:type="dxa"/>
          </w:tcPr>
          <w:p w14:paraId="6E4B9C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r>
      <w:tr w:rsidR="00643896" w:rsidRPr="00640820" w14:paraId="6BED13F4" w14:textId="77777777" w:rsidTr="000D3BCB">
        <w:tc>
          <w:tcPr>
            <w:tcW w:w="540" w:type="dxa"/>
          </w:tcPr>
          <w:p w14:paraId="4DA892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30" w:type="dxa"/>
          </w:tcPr>
          <w:p w14:paraId="56FA31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990" w:type="dxa"/>
          </w:tcPr>
          <w:p w14:paraId="575B72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6A4555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27/XI</w:t>
            </w:r>
          </w:p>
        </w:tc>
        <w:tc>
          <w:tcPr>
            <w:tcW w:w="855" w:type="dxa"/>
          </w:tcPr>
          <w:p w14:paraId="00EBDD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w:t>
            </w:r>
          </w:p>
        </w:tc>
        <w:tc>
          <w:tcPr>
            <w:tcW w:w="555" w:type="dxa"/>
          </w:tcPr>
          <w:p w14:paraId="739548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855" w:type="dxa"/>
          </w:tcPr>
          <w:p w14:paraId="411605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855" w:type="dxa"/>
          </w:tcPr>
          <w:p w14:paraId="04ECA3C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w:t>
            </w:r>
          </w:p>
        </w:tc>
        <w:tc>
          <w:tcPr>
            <w:tcW w:w="1410" w:type="dxa"/>
          </w:tcPr>
          <w:p w14:paraId="055368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r>
      <w:tr w:rsidR="00643896" w:rsidRPr="00640820" w14:paraId="237BBDEE" w14:textId="77777777" w:rsidTr="000D3BCB">
        <w:tc>
          <w:tcPr>
            <w:tcW w:w="540" w:type="dxa"/>
          </w:tcPr>
          <w:p w14:paraId="012358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30" w:type="dxa"/>
          </w:tcPr>
          <w:p w14:paraId="441640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990" w:type="dxa"/>
          </w:tcPr>
          <w:p w14:paraId="24BD08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02F6CE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1/XII</w:t>
            </w:r>
          </w:p>
        </w:tc>
        <w:tc>
          <w:tcPr>
            <w:tcW w:w="855" w:type="dxa"/>
          </w:tcPr>
          <w:p w14:paraId="515607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w:t>
            </w:r>
          </w:p>
        </w:tc>
        <w:tc>
          <w:tcPr>
            <w:tcW w:w="555" w:type="dxa"/>
          </w:tcPr>
          <w:p w14:paraId="6C618F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w:t>
            </w:r>
          </w:p>
        </w:tc>
        <w:tc>
          <w:tcPr>
            <w:tcW w:w="855" w:type="dxa"/>
          </w:tcPr>
          <w:p w14:paraId="75CFC8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855" w:type="dxa"/>
          </w:tcPr>
          <w:p w14:paraId="3F4761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w:t>
            </w:r>
          </w:p>
        </w:tc>
        <w:tc>
          <w:tcPr>
            <w:tcW w:w="1410" w:type="dxa"/>
          </w:tcPr>
          <w:p w14:paraId="3064BB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r>
      <w:tr w:rsidR="00643896" w:rsidRPr="00640820" w14:paraId="35F9E3C0" w14:textId="77777777" w:rsidTr="000D3BCB">
        <w:tc>
          <w:tcPr>
            <w:tcW w:w="540" w:type="dxa"/>
          </w:tcPr>
          <w:p w14:paraId="5D3225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30" w:type="dxa"/>
          </w:tcPr>
          <w:p w14:paraId="67DB81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990" w:type="dxa"/>
          </w:tcPr>
          <w:p w14:paraId="6B10C6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7D9B51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4/XII</w:t>
            </w:r>
          </w:p>
        </w:tc>
        <w:tc>
          <w:tcPr>
            <w:tcW w:w="855" w:type="dxa"/>
          </w:tcPr>
          <w:p w14:paraId="4A8F76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w:t>
            </w:r>
          </w:p>
        </w:tc>
        <w:tc>
          <w:tcPr>
            <w:tcW w:w="555" w:type="dxa"/>
          </w:tcPr>
          <w:p w14:paraId="7CB188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w:t>
            </w:r>
          </w:p>
        </w:tc>
        <w:tc>
          <w:tcPr>
            <w:tcW w:w="855" w:type="dxa"/>
          </w:tcPr>
          <w:p w14:paraId="41D428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w:t>
            </w:r>
          </w:p>
        </w:tc>
        <w:tc>
          <w:tcPr>
            <w:tcW w:w="855" w:type="dxa"/>
          </w:tcPr>
          <w:p w14:paraId="0328CC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w:t>
            </w:r>
          </w:p>
        </w:tc>
        <w:tc>
          <w:tcPr>
            <w:tcW w:w="1410" w:type="dxa"/>
          </w:tcPr>
          <w:p w14:paraId="4F2769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r>
      <w:tr w:rsidR="00643896" w:rsidRPr="00640820" w14:paraId="4DAB520F" w14:textId="77777777" w:rsidTr="000D3BCB">
        <w:tc>
          <w:tcPr>
            <w:tcW w:w="540" w:type="dxa"/>
          </w:tcPr>
          <w:p w14:paraId="4EA2FA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30" w:type="dxa"/>
          </w:tcPr>
          <w:p w14:paraId="5D6DA1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990" w:type="dxa"/>
          </w:tcPr>
          <w:p w14:paraId="51CC3D8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2361D85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11/XII</w:t>
            </w:r>
          </w:p>
        </w:tc>
        <w:tc>
          <w:tcPr>
            <w:tcW w:w="855" w:type="dxa"/>
          </w:tcPr>
          <w:p w14:paraId="7BB42E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555" w:type="dxa"/>
          </w:tcPr>
          <w:p w14:paraId="4A5E7D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855" w:type="dxa"/>
          </w:tcPr>
          <w:p w14:paraId="2613B3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855" w:type="dxa"/>
          </w:tcPr>
          <w:p w14:paraId="5CC965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1410" w:type="dxa"/>
          </w:tcPr>
          <w:p w14:paraId="3545B1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55AA81BE" w14:textId="77777777" w:rsidTr="000D3BCB">
        <w:tc>
          <w:tcPr>
            <w:tcW w:w="540" w:type="dxa"/>
          </w:tcPr>
          <w:p w14:paraId="4077D8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30" w:type="dxa"/>
          </w:tcPr>
          <w:p w14:paraId="50ADF2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990" w:type="dxa"/>
          </w:tcPr>
          <w:p w14:paraId="3C446C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27F61E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XII</w:t>
            </w:r>
          </w:p>
        </w:tc>
        <w:tc>
          <w:tcPr>
            <w:tcW w:w="855" w:type="dxa"/>
          </w:tcPr>
          <w:p w14:paraId="27EB21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c>
          <w:tcPr>
            <w:tcW w:w="555" w:type="dxa"/>
          </w:tcPr>
          <w:p w14:paraId="02710A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855" w:type="dxa"/>
          </w:tcPr>
          <w:p w14:paraId="45A743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855" w:type="dxa"/>
          </w:tcPr>
          <w:p w14:paraId="3CD9AF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410" w:type="dxa"/>
          </w:tcPr>
          <w:p w14:paraId="063C62E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24998F40" w14:textId="77777777" w:rsidTr="000D3BCB">
        <w:tc>
          <w:tcPr>
            <w:tcW w:w="540" w:type="dxa"/>
          </w:tcPr>
          <w:p w14:paraId="094049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30" w:type="dxa"/>
          </w:tcPr>
          <w:p w14:paraId="0258B6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990" w:type="dxa"/>
          </w:tcPr>
          <w:p w14:paraId="2057FE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6AD1E8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XII</w:t>
            </w:r>
          </w:p>
        </w:tc>
        <w:tc>
          <w:tcPr>
            <w:tcW w:w="855" w:type="dxa"/>
          </w:tcPr>
          <w:p w14:paraId="11DFA2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c>
          <w:tcPr>
            <w:tcW w:w="555" w:type="dxa"/>
          </w:tcPr>
          <w:p w14:paraId="4B6733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855" w:type="dxa"/>
          </w:tcPr>
          <w:p w14:paraId="513716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855" w:type="dxa"/>
          </w:tcPr>
          <w:p w14:paraId="4963F0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c>
          <w:tcPr>
            <w:tcW w:w="1410" w:type="dxa"/>
          </w:tcPr>
          <w:p w14:paraId="1A009D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5640D912" w14:textId="77777777" w:rsidTr="000D3BCB">
        <w:tc>
          <w:tcPr>
            <w:tcW w:w="540" w:type="dxa"/>
          </w:tcPr>
          <w:p w14:paraId="321958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30" w:type="dxa"/>
          </w:tcPr>
          <w:p w14:paraId="11754B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990" w:type="dxa"/>
          </w:tcPr>
          <w:p w14:paraId="5BD67C3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4E6879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XII</w:t>
            </w:r>
          </w:p>
        </w:tc>
        <w:tc>
          <w:tcPr>
            <w:tcW w:w="855" w:type="dxa"/>
          </w:tcPr>
          <w:p w14:paraId="1916EC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w:t>
            </w:r>
          </w:p>
        </w:tc>
        <w:tc>
          <w:tcPr>
            <w:tcW w:w="555" w:type="dxa"/>
          </w:tcPr>
          <w:p w14:paraId="1F7B91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855" w:type="dxa"/>
          </w:tcPr>
          <w:p w14:paraId="627FA7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w:t>
            </w:r>
          </w:p>
        </w:tc>
        <w:tc>
          <w:tcPr>
            <w:tcW w:w="855" w:type="dxa"/>
          </w:tcPr>
          <w:p w14:paraId="5648D6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1410" w:type="dxa"/>
          </w:tcPr>
          <w:p w14:paraId="43635F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r>
      <w:tr w:rsidR="00643896" w:rsidRPr="00640820" w14:paraId="085FE835" w14:textId="77777777" w:rsidTr="000D3BCB">
        <w:tc>
          <w:tcPr>
            <w:tcW w:w="540" w:type="dxa"/>
          </w:tcPr>
          <w:p w14:paraId="10D45F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30" w:type="dxa"/>
          </w:tcPr>
          <w:p w14:paraId="3E5AFB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990" w:type="dxa"/>
          </w:tcPr>
          <w:p w14:paraId="436B73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70" w:type="dxa"/>
          </w:tcPr>
          <w:p w14:paraId="0C4D75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XII</w:t>
            </w:r>
          </w:p>
        </w:tc>
        <w:tc>
          <w:tcPr>
            <w:tcW w:w="855" w:type="dxa"/>
          </w:tcPr>
          <w:p w14:paraId="128F1E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82</w:t>
            </w:r>
          </w:p>
        </w:tc>
        <w:tc>
          <w:tcPr>
            <w:tcW w:w="555" w:type="dxa"/>
          </w:tcPr>
          <w:p w14:paraId="17A249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34</w:t>
            </w:r>
          </w:p>
        </w:tc>
        <w:tc>
          <w:tcPr>
            <w:tcW w:w="855" w:type="dxa"/>
          </w:tcPr>
          <w:p w14:paraId="47E416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855" w:type="dxa"/>
          </w:tcPr>
          <w:p w14:paraId="1441DC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w:t>
            </w:r>
          </w:p>
        </w:tc>
        <w:tc>
          <w:tcPr>
            <w:tcW w:w="1410" w:type="dxa"/>
          </w:tcPr>
          <w:p w14:paraId="3DB29D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r>
      <w:tr w:rsidR="00643896" w:rsidRPr="00640820" w14:paraId="48447C51" w14:textId="77777777" w:rsidTr="000D3BCB">
        <w:tc>
          <w:tcPr>
            <w:tcW w:w="540" w:type="dxa"/>
            <w:tcBorders>
              <w:bottom w:val="single" w:sz="12" w:space="0" w:color="auto"/>
            </w:tcBorders>
          </w:tcPr>
          <w:p w14:paraId="625BEB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30" w:type="dxa"/>
            <w:tcBorders>
              <w:bottom w:val="single" w:sz="12" w:space="0" w:color="auto"/>
            </w:tcBorders>
          </w:tcPr>
          <w:p w14:paraId="7B64B5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990" w:type="dxa"/>
            <w:tcBorders>
              <w:bottom w:val="single" w:sz="12" w:space="0" w:color="auto"/>
            </w:tcBorders>
          </w:tcPr>
          <w:p w14:paraId="619F72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ИТОГО</w:t>
            </w:r>
          </w:p>
        </w:tc>
        <w:tc>
          <w:tcPr>
            <w:tcW w:w="1170" w:type="dxa"/>
            <w:tcBorders>
              <w:bottom w:val="single" w:sz="12" w:space="0" w:color="auto"/>
            </w:tcBorders>
          </w:tcPr>
          <w:p w14:paraId="3CFA9F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55" w:type="dxa"/>
            <w:tcBorders>
              <w:bottom w:val="single" w:sz="12" w:space="0" w:color="auto"/>
            </w:tcBorders>
          </w:tcPr>
          <w:p w14:paraId="75D183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314</w:t>
            </w:r>
          </w:p>
        </w:tc>
        <w:tc>
          <w:tcPr>
            <w:tcW w:w="555" w:type="dxa"/>
            <w:tcBorders>
              <w:bottom w:val="single" w:sz="12" w:space="0" w:color="auto"/>
            </w:tcBorders>
          </w:tcPr>
          <w:p w14:paraId="019F00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102</w:t>
            </w:r>
          </w:p>
        </w:tc>
        <w:tc>
          <w:tcPr>
            <w:tcW w:w="855" w:type="dxa"/>
            <w:tcBorders>
              <w:bottom w:val="single" w:sz="12" w:space="0" w:color="auto"/>
            </w:tcBorders>
          </w:tcPr>
          <w:p w14:paraId="4BEB53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76</w:t>
            </w:r>
          </w:p>
        </w:tc>
        <w:tc>
          <w:tcPr>
            <w:tcW w:w="855" w:type="dxa"/>
            <w:tcBorders>
              <w:bottom w:val="single" w:sz="12" w:space="0" w:color="auto"/>
            </w:tcBorders>
          </w:tcPr>
          <w:p w14:paraId="1E00B1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136</w:t>
            </w:r>
          </w:p>
        </w:tc>
        <w:tc>
          <w:tcPr>
            <w:tcW w:w="1410" w:type="dxa"/>
            <w:tcBorders>
              <w:bottom w:val="single" w:sz="12" w:space="0" w:color="auto"/>
            </w:tcBorders>
          </w:tcPr>
          <w:p w14:paraId="1BB6A0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41</w:t>
            </w:r>
          </w:p>
        </w:tc>
      </w:tr>
    </w:tbl>
    <w:p w14:paraId="06621C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И.о. Директор завода «Манометр» Морковкин</w:t>
      </w:r>
    </w:p>
    <w:p w14:paraId="7CDBC6E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ЦДНИ ТО. Ф. 80. Оп.3. Д. 75. Л. 136 (11014).</w:t>
      </w:r>
    </w:p>
    <w:p w14:paraId="166AD9D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332CD3"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декабря 1941 вышло Постановление ГКО № 1046 [О разрешении НКсвязи сосредоточить основной состав руководящих инженерно-технических работников в Москве.] (7017, 138).</w:t>
      </w:r>
    </w:p>
    <w:p w14:paraId="724B64D4"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681279"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209996BB"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F38578E" w14:textId="77777777" w:rsidR="0087788A" w:rsidRPr="00640820" w:rsidRDefault="008778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22 декабря</w:t>
      </w:r>
      <w:r w:rsidRPr="00640820">
        <w:rPr>
          <w:rFonts w:ascii="Times New Roman" w:hAnsi="Times New Roman"/>
          <w:color w:val="000000" w:themeColor="text1"/>
          <w:sz w:val="16"/>
          <w:szCs w:val="16"/>
        </w:rPr>
        <w:t xml:space="preserve"> в 1941 году утреннее сообщение Совинформбюро</w:t>
      </w:r>
    </w:p>
    <w:p w14:paraId="6F83B155" w14:textId="77777777" w:rsidR="0087788A" w:rsidRPr="00640820" w:rsidRDefault="008778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22 декабря наши войска вели бои с противником на всех фронтах.</w:t>
      </w:r>
    </w:p>
    <w:p w14:paraId="2A370669" w14:textId="77777777" w:rsidR="0087788A" w:rsidRPr="00640820" w:rsidRDefault="008778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Войска генерала Болдина, действующие на одном из участков Западного фронта, за две недели боёв освободили 720 населённых пунктов, захватили или уничтожили 12 немецких самолётов, 143 танка, 660 автомашин, 383 мотоцикла, 101 орудие, 222 пулемёта, 84 миномёта и много другого военного имущества.</w:t>
      </w:r>
    </w:p>
    <w:p w14:paraId="1BFDBFCA" w14:textId="77777777" w:rsidR="0087788A" w:rsidRPr="00640820" w:rsidRDefault="008778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 наша часть, действующая на Ленинградском фронте, в ожесточённом бою с противником уничтожила 2 немецкие дерево-земляные огневые точки, 7 блиндажей, 3 миномёта, артиллерийскую батарею и истребила свыше 500 солдат и офицеров противника.</w:t>
      </w:r>
    </w:p>
    <w:p w14:paraId="70B37375" w14:textId="77777777" w:rsidR="0087788A" w:rsidRPr="00640820" w:rsidRDefault="008778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бою за деревню Харино советский танкист тов. Фомичёв гусеницами своего танка уничтожил противотанковое орудие противника и около 160 немецких солдат. Танк тов. Пугачёва подавил в этом же бою 2 противотанковых орудия и истребил 90 немецких солдат и офицеров. Командир танка старший сержант Баранбай метким огнём уничтожил 4 немецких автомашины, 4 пулемёта и взвод вражеской пехоты.</w:t>
      </w:r>
    </w:p>
    <w:p w14:paraId="2F614FDB" w14:textId="77777777" w:rsidR="0087788A" w:rsidRPr="00640820" w:rsidRDefault="008778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Партизанские отряды, действующие в оккупированных немцами районах Украины, успешно истребляют фашистских захватчиков. В селе Н. расположилось на отдых подразделение итальянцев. Партизанский отряд под командованием тов. Д. внезапно напал на врагов и уничтожил 10 фашистов. Смелый налёт на штаб немецкой части произвела недавно группа партизан тов. М. Скрытно подойдя к дому, где находился фашистский штаб, тов. М. бросил в окоп гранату. Поднялась паника. Немцы пытались выбежать на улицу, но им навстречу полетело ещё несколько гранат. Убито 3 офицера и 20 солдат. Разгромив штаб, советские патриоты захватили и доставили командованию Красной Армии ценные штабные документы. Около станции X. партизанский отряд тов. О. пустил под откос воинский поезд с немецкими солдатами и боеприпасами. Этот же отряд уничтожил вражескую автомашину с солдатами. Партизанский отряд тов. П. разрушил водопровод и завалил два колодца, которыми пользовались итальянские кавалерийские части, поджёг фуражную базу и уничтожил 15 фашистских солдат. Партизанский отряд тов. Т. за короткий срок уничтожил 84 автомашины с боеприпаса ми и истребил 250 фашистских солдат и офицеров. Партизанский отряд тов. К. уничтожил 11 фашистских солдат из карательного отряда.</w:t>
      </w:r>
    </w:p>
    <w:p w14:paraId="4341643E" w14:textId="77777777" w:rsidR="0087788A" w:rsidRPr="00640820" w:rsidRDefault="008778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Отступая под напором наших частей на ряде участков Юго-Западного фронта, немецко-фашистские мерзавцы зверски расправляются с мирным населением советских городов и сёл. В деревне Высокое гитлеровские бандиты сожгли 70 крестьян и 20 пленных раненых красноармейцев. Отступая из села Роговое, немцы забросали гранатами подвал, куда они согнали женщин и детей. Колхозница села Гетьмановка, освобождённого от немцев, Варвара Илларионовна Маргарицкая рассказывает: «Ко мне в дом пришли ночевать два немецких солдата. Ночью заплакал мой семимесячный ребёнок. Тогда один бандит выбросил ребёнка на улицу». В деревне Варваровка фашисты посадили 12 женщин и детей в подвал и бросили туда горящую солому. Потом трупы задохнувшихся женщин и детей немцы выбросили на улицу, запретив местным жителям хоронить их.</w:t>
      </w:r>
    </w:p>
    <w:p w14:paraId="3EAF76A4" w14:textId="77777777" w:rsidR="0087788A" w:rsidRPr="00640820" w:rsidRDefault="008778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Героические советские женщины, помогая Красной Армии уничтожать немецко-фашистских захватчиков, вступают в ряды дружинниц Красного Креста. Только московскими областными организациями Красного Креста за время войны подготовлено на курсах 3.000 дружинниц и медицинских сестёр. Большинство из них успешно работает в штабах МПВО, на фронте, в санитарных поездах и госпиталях.</w:t>
      </w:r>
    </w:p>
    <w:p w14:paraId="6C673C6E" w14:textId="77777777" w:rsidR="0087788A" w:rsidRPr="00640820" w:rsidRDefault="008778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Недавно фашистские самолеты сбросили бомбы на санитарный поезд № 100. Дружинницы, невзирая на грозящую опасность, вынесли из вагонов тяжело раненных бойцов и укрыли их в лесу. Дружинница Вера Исаева прикрыла раненого бойца своим телом от осколков вражеских бомб. Будучи сама ранена, тов. Исаева продолжала спасать бойцов. Дружинницы Клинского района Маруся Кариванова, Клавдия Рогожина и другие спасли жизнь 50 человекам, вынеся их из горящего дома. Так же самоотверженно работают дружинницы Дмитровского района, Московской области, Уткина, Чекунова, Широкова, Емельянова и многие другие патриотки советской страны.» (14868).</w:t>
      </w:r>
    </w:p>
    <w:p w14:paraId="4F863368" w14:textId="77777777" w:rsidR="0087788A" w:rsidRPr="00640820" w:rsidRDefault="0087788A" w:rsidP="00640820">
      <w:pPr>
        <w:spacing w:after="0" w:line="240" w:lineRule="auto"/>
        <w:jc w:val="both"/>
        <w:rPr>
          <w:rFonts w:ascii="Times New Roman" w:hAnsi="Times New Roman"/>
          <w:color w:val="000000" w:themeColor="text1"/>
          <w:sz w:val="16"/>
          <w:szCs w:val="16"/>
        </w:rPr>
      </w:pPr>
    </w:p>
    <w:p w14:paraId="6A6F08E7" w14:textId="77777777" w:rsidR="0087788A" w:rsidRPr="00640820" w:rsidRDefault="008778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22 декабря</w:t>
      </w:r>
      <w:r w:rsidRPr="00640820">
        <w:rPr>
          <w:rFonts w:ascii="Times New Roman" w:hAnsi="Times New Roman"/>
          <w:color w:val="000000" w:themeColor="text1"/>
          <w:sz w:val="16"/>
          <w:szCs w:val="16"/>
        </w:rPr>
        <w:t xml:space="preserve"> в 1941 году вечернее сообщение Совинформбюро:</w:t>
      </w:r>
    </w:p>
    <w:p w14:paraId="40B563E1" w14:textId="77777777" w:rsidR="0087788A" w:rsidRPr="00640820" w:rsidRDefault="008778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22 декабря наши войска вели бои с противником на всех фронтах. На ряде участков Западного, Калининского, Юго-Западного и Ленинградского фронтов наши войска, ведя ожесточённые бои с противником, продолжали, продвигаться вперёд и заняли ряд населённых пунктов.</w:t>
      </w:r>
    </w:p>
    <w:p w14:paraId="09C5800A" w14:textId="77777777" w:rsidR="0087788A" w:rsidRPr="00640820" w:rsidRDefault="008778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21 декабря уничтожено 4 немецких самолёта.</w:t>
      </w:r>
    </w:p>
    <w:p w14:paraId="78CDB62D" w14:textId="77777777" w:rsidR="0087788A" w:rsidRPr="00640820" w:rsidRDefault="008778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Наша авиачасть, действующая на Западном фронте, за два дня боевых действий уничтожила 10 танков, 182 автомашины с войсками и грузами, 13 полевых орудий с прислугой, 6 зенитно-пулемётных точек, свыше 50 повозок с боеприпасами и рассеяла до полка пехоты противника.</w:t>
      </w:r>
    </w:p>
    <w:p w14:paraId="06D2E58C" w14:textId="77777777" w:rsidR="0087788A" w:rsidRPr="00640820" w:rsidRDefault="008778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Часть командира тов. Галкина в последних боях на одном из участков Западного фронта захватила 13 немецких танков, 44 автомашины, 40 мотоциклов и 25 пулемётов.</w:t>
      </w:r>
    </w:p>
    <w:p w14:paraId="63BCCF73" w14:textId="77777777" w:rsidR="0087788A" w:rsidRPr="00640820" w:rsidRDefault="008778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 наша часть, действующая на Ленинградском участке фронта, за один день ожесточённых боёв с противником истребила 1.064 немца и захватила 2 танка, 10 миномётов, много винтовок, автоматов и другого военного имущества.</w:t>
      </w:r>
    </w:p>
    <w:p w14:paraId="5D6F5354" w14:textId="77777777" w:rsidR="0087788A" w:rsidRPr="00640820" w:rsidRDefault="008778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части, действующие на одном из участков Юго-Западного фронта, за один день боёв освободили 100 населённых пунктов, захватили 200 вражеских автомашин и много других трофеев.</w:t>
      </w:r>
    </w:p>
    <w:p w14:paraId="12DCB494" w14:textId="77777777" w:rsidR="0087788A" w:rsidRPr="00640820" w:rsidRDefault="008778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Несколько объединённых партизанских отрядов, действующих в оккупированных немцами районах Калининской области, совершили успешное нападение на фашистов. Партизаны установили пулемёты и миномёты у дороги, по которой откатывались под ударами советских войск немецкие части. Когда на дороге появился немецкий батальон, партизаны открыли внезапный огонь. Фашисты в панике заметались и не смогли оказать организованного сопротивления. Партизаны перебили 223 немецких солдата и офицера. Непрерывные налёты на отступающего противника совершают партизаны из отряда тов. Г. Многие бойцы этого отряда действуют </w:t>
      </w:r>
      <w:r w:rsidRPr="00640820">
        <w:rPr>
          <w:rFonts w:ascii="Times New Roman" w:hAnsi="Times New Roman"/>
          <w:color w:val="000000" w:themeColor="text1"/>
          <w:sz w:val="16"/>
          <w:szCs w:val="16"/>
        </w:rPr>
        <w:lastRenderedPageBreak/>
        <w:t>на лыжах. Пробираясь лесом к дорогам, по которым идут немецкие части, партизаны-лыжники обстреливают их из автоматов и пулемётов. В результате каждого такого налёта немцы теряют десятки солдат. 9 декабря партизанский отряд тов. И. атаковал обоз противника, состоявший из 70 саней с немецкими солдатами и снаряжением. Партизаны ударили по врагу одновременно с разных сторон, забрасывая гитлеровцев гранатами и расстреливая их из автоматов и винтовок. Немцы были спасены от полного уничтожения подоспевшей танковой колонной. Истребив свыше 100 фашистов, партизаны благополучно скрылись в лесу.</w:t>
      </w:r>
    </w:p>
    <w:p w14:paraId="38085D4B" w14:textId="77777777" w:rsidR="0087788A" w:rsidRPr="00640820" w:rsidRDefault="008778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Захваченные недавно в плен немцы сообщают об огромных потерях германских войск и дальнейшем ухудшении морального состояния немецких солдат. Пленный ефрейтор 5 роты 66 мотополка 13 танковой дивизии Генрих Хайфт рассказывает: «К моменту наступления на Ростов в нашей дивизии было 80 танков, а теперь осталось только 15. В ротах в среднем осталось по 50 солдат, а в 6 роте только 25 человек». Пленный солдат 1 роты 50 пехотного полка 111 немецкой дивизии Артур Вальд заявил: «Гитлер хочет уничтожить весь германский народ. У меня уже 2 брата погибли на фронте. В деревне Виделя из 40 жителей, призванных на военную службу, осталось в живых всего 20». Солдат сапёрного взвода 55 мотоциклетного батальона 5 танковой дивизии Иоганн Эльтьен сообщил: «Месяц назад наша дивизия имела 280 танков. Из них 100-120 танков подбиты русской артиллерией или подорвались на минах». Далее Эльтьен заявил: «Скорее вернуться домой — вот единственное желание большинства немецких солдат».</w:t>
      </w:r>
    </w:p>
    <w:p w14:paraId="33EFE3AF" w14:textId="77777777" w:rsidR="0087788A" w:rsidRPr="00640820" w:rsidRDefault="008778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каждым днём нарастает производственный подъём на фабриках и заводах Армении. Коллектив завода имени Дзержинского, успешно выполнив годовое производственное задание, сейчас выпускает продукцию сверх плана. Свыше половины рабочих завода — двухсотники. Цех, где начальником П. Мкртчьян, выполнил ноябрьский план на 240 процентов. Бригада Мисака Конжояна ежедневно выполняет задание на 250 процентов. С честью выполнил свои обязательства коллектив Аллавердского медеплавильного завода. Ко Дню Сталинской Конституции завод завершил годовой план выплавки меди и сейчас даёт родине медь сверх плана. Широкое внедрение рационализаторских предложений дало комбинату имени С. М. Кирова десятки тысяч рублей экономии. Кузнец Газоян с помощью сделанных им приспособлений изготовляет за смену 1.200 деталей вместо 300 по норме. Стахановец-вальцовщик Л. Акопьян, обслуживая 3 сложных аппарата, вырабатывает за смену три нормы.» (14868).</w:t>
      </w:r>
    </w:p>
    <w:p w14:paraId="14FE7776" w14:textId="77777777" w:rsidR="0087788A" w:rsidRPr="00640820" w:rsidRDefault="0087788A" w:rsidP="00640820">
      <w:pPr>
        <w:spacing w:after="0" w:line="240" w:lineRule="auto"/>
        <w:jc w:val="both"/>
        <w:rPr>
          <w:rFonts w:ascii="Times New Roman" w:hAnsi="Times New Roman"/>
          <w:color w:val="000000" w:themeColor="text1"/>
          <w:sz w:val="16"/>
          <w:szCs w:val="16"/>
        </w:rPr>
      </w:pPr>
    </w:p>
    <w:p w14:paraId="013996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22 декабря 1941 число Ил-4 в строю упало до 182. Нехватку самолетов возмещали увеличением нагрузки на оставшиеся. Отчасти этому способствовало обилие "безлошадных" экипажей, подменявших основные (12021).</w:t>
      </w:r>
    </w:p>
    <w:p w14:paraId="195ED5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63B7C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22 декабря 1941 за 6 месяцев войны из 8595 самолетов, пытавшихся прорваться к Москве, 1076 было сбито в боях, а 303 - ЗА (438,830).</w:t>
      </w:r>
    </w:p>
    <w:p w14:paraId="131F28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D5D0DEC"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декабря 1941 вышло Постановление ГКО № 1045 О передаче маршевого пополнения Южному, Юго-Западному и Брянскому фронтам в период с 1 января по 15 февраля 1942 г. (7017, 137).</w:t>
      </w:r>
    </w:p>
    <w:p w14:paraId="65EBD3CD"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293A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декабря 1941 вышло Постановление ГКО № 1047 О сформировании 45 отдельных автотранспортных батальонов. РГАНИР, ФондГКО, д. 16, лл. 139-140 (11012).</w:t>
      </w:r>
    </w:p>
    <w:p w14:paraId="7FBF21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26C789B" w14:textId="77777777" w:rsidR="00163780" w:rsidRPr="00640820" w:rsidRDefault="00163780"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765BCE03" w14:textId="77777777" w:rsidR="00163780" w:rsidRPr="00640820" w:rsidRDefault="0016378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AFB4506" w14:textId="77777777" w:rsidR="00163780" w:rsidRPr="00640820" w:rsidRDefault="0016378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декабря 1941. Из дневника журналиста Н. К. Вержбицкого: "У колхозников подешевела картошка - 6-7 руб. Так они отзываются на наши победы. Немец отступает, и они отступают... Кило лука у колхозника - 28 руб." (18697).</w:t>
      </w:r>
    </w:p>
    <w:p w14:paraId="5493BB70" w14:textId="77777777" w:rsidR="00163780" w:rsidRPr="00640820" w:rsidRDefault="00163780" w:rsidP="00640820">
      <w:pPr>
        <w:spacing w:after="0" w:line="240" w:lineRule="auto"/>
        <w:jc w:val="both"/>
        <w:rPr>
          <w:rFonts w:ascii="Times New Roman" w:hAnsi="Times New Roman"/>
          <w:color w:val="000000" w:themeColor="text1"/>
          <w:sz w:val="16"/>
          <w:szCs w:val="16"/>
        </w:rPr>
      </w:pPr>
    </w:p>
    <w:p w14:paraId="428AA3BC"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5BB83A4A"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6101629" w14:textId="77777777" w:rsidR="003A4833" w:rsidRPr="00640820" w:rsidRDefault="003A483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22 декабря 1941 - Пекрвый полет американского палубного торпедоносца и бомбардировщика Consolidated TBY Sea Wolf. Производился малой серией, использовался, в основном, для обучения летного состава ВМС США. Вначале планировалось выпустить порядка 1000 самолетов на заводе Consolidated в городе Алентауне, штат Пенсильвания, но ввиду массового производства Grumman TBF к моменту готовности данного завода заказ был урезан до 180 самолетов (22695).</w:t>
      </w:r>
    </w:p>
    <w:p w14:paraId="022EDAA5" w14:textId="77777777" w:rsidR="003A4833" w:rsidRPr="00640820" w:rsidRDefault="003A4833" w:rsidP="00640820">
      <w:pPr>
        <w:spacing w:after="0" w:line="240" w:lineRule="auto"/>
        <w:jc w:val="both"/>
        <w:rPr>
          <w:rFonts w:ascii="Times New Roman" w:hAnsi="Times New Roman"/>
          <w:color w:val="0070C0"/>
          <w:sz w:val="16"/>
          <w:szCs w:val="16"/>
        </w:rPr>
      </w:pPr>
    </w:p>
    <w:p w14:paraId="5E15BD95" w14:textId="77777777" w:rsidR="006E3ADE" w:rsidRPr="00640820" w:rsidRDefault="006E3AD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xml:space="preserve">22 декабря 1941 состоялся первый полет </w:t>
      </w:r>
      <w:r w:rsidRPr="00640820">
        <w:rPr>
          <w:rFonts w:ascii="Times New Roman" w:hAnsi="Times New Roman"/>
          <w:color w:val="0070C0"/>
          <w:sz w:val="16"/>
          <w:szCs w:val="16"/>
          <w:lang w:val="en-US"/>
        </w:rPr>
        <w:t>Vought</w:t>
      </w:r>
      <w:r w:rsidRPr="00640820">
        <w:rPr>
          <w:rFonts w:ascii="Times New Roman" w:hAnsi="Times New Roman"/>
          <w:color w:val="0070C0"/>
          <w:sz w:val="16"/>
          <w:szCs w:val="16"/>
        </w:rPr>
        <w:t xml:space="preserve"> </w:t>
      </w:r>
      <w:r w:rsidRPr="00640820">
        <w:rPr>
          <w:rFonts w:ascii="Times New Roman" w:hAnsi="Times New Roman"/>
          <w:color w:val="0070C0"/>
          <w:sz w:val="16"/>
          <w:szCs w:val="16"/>
          <w:lang w:val="en-US"/>
        </w:rPr>
        <w:t>XTBU</w:t>
      </w:r>
      <w:r w:rsidRPr="00640820">
        <w:rPr>
          <w:rFonts w:ascii="Times New Roman" w:hAnsi="Times New Roman"/>
          <w:color w:val="0070C0"/>
          <w:sz w:val="16"/>
          <w:szCs w:val="16"/>
        </w:rPr>
        <w:t xml:space="preserve">-1, прототип </w:t>
      </w:r>
      <w:r w:rsidRPr="00640820">
        <w:rPr>
          <w:rFonts w:ascii="Times New Roman" w:hAnsi="Times New Roman"/>
          <w:color w:val="0070C0"/>
          <w:sz w:val="16"/>
          <w:szCs w:val="16"/>
          <w:lang w:val="en-US"/>
        </w:rPr>
        <w:t>Consolidated</w:t>
      </w:r>
      <w:r w:rsidRPr="00640820">
        <w:rPr>
          <w:rFonts w:ascii="Times New Roman" w:hAnsi="Times New Roman"/>
          <w:color w:val="0070C0"/>
          <w:sz w:val="16"/>
          <w:szCs w:val="16"/>
        </w:rPr>
        <w:t xml:space="preserve"> </w:t>
      </w:r>
      <w:r w:rsidRPr="00640820">
        <w:rPr>
          <w:rFonts w:ascii="Times New Roman" w:hAnsi="Times New Roman"/>
          <w:color w:val="0070C0"/>
          <w:sz w:val="16"/>
          <w:szCs w:val="16"/>
          <w:lang w:val="en-US"/>
        </w:rPr>
        <w:t>TBY</w:t>
      </w:r>
      <w:r w:rsidRPr="00640820">
        <w:rPr>
          <w:rFonts w:ascii="Times New Roman" w:hAnsi="Times New Roman"/>
          <w:color w:val="0070C0"/>
          <w:sz w:val="16"/>
          <w:szCs w:val="16"/>
        </w:rPr>
        <w:t xml:space="preserve"> </w:t>
      </w:r>
      <w:r w:rsidRPr="00640820">
        <w:rPr>
          <w:rFonts w:ascii="Times New Roman" w:hAnsi="Times New Roman"/>
          <w:color w:val="0070C0"/>
          <w:sz w:val="16"/>
          <w:szCs w:val="16"/>
          <w:lang w:val="en-US"/>
        </w:rPr>
        <w:t>Sea</w:t>
      </w:r>
      <w:r w:rsidRPr="00640820">
        <w:rPr>
          <w:rFonts w:ascii="Times New Roman" w:hAnsi="Times New Roman"/>
          <w:color w:val="0070C0"/>
          <w:sz w:val="16"/>
          <w:szCs w:val="16"/>
        </w:rPr>
        <w:t xml:space="preserve"> </w:t>
      </w:r>
      <w:r w:rsidRPr="00640820">
        <w:rPr>
          <w:rFonts w:ascii="Times New Roman" w:hAnsi="Times New Roman"/>
          <w:color w:val="0070C0"/>
          <w:sz w:val="16"/>
          <w:szCs w:val="16"/>
          <w:lang w:val="en-US"/>
        </w:rPr>
        <w:t>Wolf</w:t>
      </w:r>
      <w:r w:rsidRPr="00640820">
        <w:rPr>
          <w:rFonts w:ascii="Times New Roman" w:hAnsi="Times New Roman"/>
          <w:color w:val="0070C0"/>
          <w:sz w:val="16"/>
          <w:szCs w:val="16"/>
        </w:rPr>
        <w:t xml:space="preserve"> (20794).</w:t>
      </w:r>
    </w:p>
    <w:p w14:paraId="0316EC07" w14:textId="77777777" w:rsidR="006E3ADE" w:rsidRPr="00640820" w:rsidRDefault="006E3ADE" w:rsidP="00640820">
      <w:pPr>
        <w:spacing w:after="0" w:line="240" w:lineRule="auto"/>
        <w:jc w:val="both"/>
        <w:rPr>
          <w:rFonts w:ascii="Times New Roman" w:hAnsi="Times New Roman"/>
          <w:color w:val="0070C0"/>
          <w:sz w:val="16"/>
          <w:szCs w:val="16"/>
        </w:rPr>
      </w:pPr>
    </w:p>
    <w:p w14:paraId="5A86A4D0" w14:textId="77777777" w:rsidR="003A4833" w:rsidRPr="00640820" w:rsidRDefault="003A4833"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22 декабря 1941 - Первый полет палубного тяжелого истребителя-разведчика Fairey Firefly. Его поднял в воздух шеф-пилот фирмы Фэйри К.Стэниленд (22695).</w:t>
      </w:r>
    </w:p>
    <w:p w14:paraId="7A6D943B" w14:textId="77777777" w:rsidR="003A4833" w:rsidRPr="00640820" w:rsidRDefault="003A4833" w:rsidP="00640820">
      <w:pPr>
        <w:spacing w:after="0" w:line="240" w:lineRule="auto"/>
        <w:jc w:val="both"/>
        <w:rPr>
          <w:rFonts w:ascii="Times New Roman" w:hAnsi="Times New Roman"/>
          <w:color w:val="0070C0"/>
          <w:sz w:val="16"/>
          <w:szCs w:val="16"/>
        </w:rPr>
      </w:pPr>
    </w:p>
    <w:p w14:paraId="61F64340" w14:textId="77777777" w:rsidR="006E3ADE" w:rsidRPr="00640820" w:rsidRDefault="006E3AD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22 декабря 1941 года — первый полёт палубного истребителя и противолодочного самолёта Fairey Firefly. /Великобритания/</w:t>
      </w:r>
    </w:p>
    <w:p w14:paraId="3F7EDC78" w14:textId="77777777" w:rsidR="006E3ADE" w:rsidRPr="00640820" w:rsidRDefault="006E3AD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К началу Второй мировой войны все страны, обладавшие авианосцами, отказались от двухместных истребителей. Но Королевский ВМФ Великобритании остался верен этой концепции. В 1940 году Fairey Aviation Company начала работы над проектом Firefly, призванным заменить выпускавшийся ею же Fulmar.</w:t>
      </w:r>
    </w:p>
    <w:p w14:paraId="00DCC8DB" w14:textId="77777777" w:rsidR="006E3ADE" w:rsidRPr="00640820" w:rsidRDefault="006E3AD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Firefly был цельнометаллическим низкопланом со складывающимся крылом. Экипаж состоял из 2 человек. На самолёт устанавливался двигатель Rolls-Royce Griffon 74, позволявший развить скорость до 621 км/ч. Дальность полёта — 1220 км. У Firefly было мощное вооружение в крыле — 4 × 20-мм пушки Hispano Mk.V. На подвесках размещалось до 16 ракет RP-3 + 2 × 454-кг бомбы.</w:t>
      </w:r>
    </w:p>
    <w:p w14:paraId="31122432" w14:textId="77777777" w:rsidR="006E3ADE" w:rsidRPr="00640820" w:rsidRDefault="006E3AD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Всего было выпущено 1702 единицы Fairey Firefly. Самолёт обладал хорошими лётными характеристиками и стоял также на вооружении Австралии, Канады, Голландии, Индии и т.д. На сегодня в музеях сохранилось 24 экземпляра Firefly (22300).</w:t>
      </w:r>
    </w:p>
    <w:p w14:paraId="20035335" w14:textId="77777777" w:rsidR="006E3ADE" w:rsidRPr="00640820" w:rsidRDefault="006E3ADE" w:rsidP="00640820">
      <w:pPr>
        <w:spacing w:after="0" w:line="240" w:lineRule="auto"/>
        <w:jc w:val="both"/>
        <w:rPr>
          <w:rFonts w:ascii="Times New Roman" w:hAnsi="Times New Roman"/>
          <w:color w:val="0070C0"/>
          <w:sz w:val="16"/>
          <w:szCs w:val="16"/>
        </w:rPr>
      </w:pPr>
    </w:p>
    <w:p w14:paraId="3A9BCA58" w14:textId="77777777" w:rsidR="006E3ADE" w:rsidRPr="00640820" w:rsidRDefault="006E3AD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xml:space="preserve">22 декабря 1941 состоялся первый полет Fairey Firefly прототип Z1826 (20794). </w:t>
      </w:r>
    </w:p>
    <w:p w14:paraId="05AE6900" w14:textId="77777777" w:rsidR="006E3ADE" w:rsidRPr="00640820" w:rsidRDefault="006E3ADE" w:rsidP="00640820">
      <w:pPr>
        <w:spacing w:after="0" w:line="240" w:lineRule="auto"/>
        <w:jc w:val="both"/>
        <w:rPr>
          <w:rFonts w:ascii="Times New Roman" w:hAnsi="Times New Roman"/>
          <w:color w:val="0070C0"/>
          <w:sz w:val="16"/>
          <w:szCs w:val="16"/>
        </w:rPr>
      </w:pPr>
    </w:p>
    <w:p w14:paraId="36ADC028" w14:textId="77777777" w:rsidR="006E3ADE" w:rsidRPr="00640820" w:rsidRDefault="006E3AD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22 декабря (ночь) 1941 Fairey Firefly, оборудованный радаром, топит немецкую подводную лодку (U-451 ) - это первая такого рода (20794).</w:t>
      </w:r>
    </w:p>
    <w:p w14:paraId="42B180C5" w14:textId="77777777" w:rsidR="006E3ADE" w:rsidRPr="00640820" w:rsidRDefault="006E3ADE" w:rsidP="00640820">
      <w:pPr>
        <w:spacing w:after="0" w:line="240" w:lineRule="auto"/>
        <w:jc w:val="both"/>
        <w:rPr>
          <w:rFonts w:ascii="Times New Roman" w:hAnsi="Times New Roman"/>
          <w:color w:val="0070C0"/>
          <w:sz w:val="16"/>
          <w:szCs w:val="16"/>
        </w:rPr>
      </w:pPr>
    </w:p>
    <w:p w14:paraId="45A0FE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 December 1941 (22-26-December) Churchill goes to Washington to speak to the US congress (270).</w:t>
      </w:r>
    </w:p>
    <w:p w14:paraId="4C48AC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1B0EDD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22 по 26 декабря 1941 У.Черчиль посетил Вашингтон для переговоров с Конгрессом США (270;2100).</w:t>
      </w:r>
    </w:p>
    <w:p w14:paraId="245755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другим данным переговоры между Ф.Д.Р. и У.Ч. вели переговоры до 14 января 1942 (2238,10).</w:t>
      </w:r>
    </w:p>
    <w:p w14:paraId="456E53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497EA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22 декабря 1941 по 14 января 1942 состоялась конференция руководителей США и Великобритании и решили создать высший орган военного руководства - Объединенный комитет начальников штабов (2438,131).</w:t>
      </w:r>
    </w:p>
    <w:p w14:paraId="431753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0DFA31E" w14:textId="77777777" w:rsidR="0087788A" w:rsidRPr="00640820" w:rsidRDefault="008778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22 декабря</w:t>
      </w:r>
      <w:r w:rsidRPr="00640820">
        <w:rPr>
          <w:rFonts w:ascii="Times New Roman" w:hAnsi="Times New Roman"/>
          <w:color w:val="000000" w:themeColor="text1"/>
          <w:sz w:val="16"/>
          <w:szCs w:val="16"/>
        </w:rPr>
        <w:t xml:space="preserve"> в 1941 году премьер-министр Великобритании Уинстон Черчилль прибывает в Вашингтон, США, для проведения конференции с американцами по вопросам стратегического планирования и координации действий против стран Оси (14868).</w:t>
      </w:r>
    </w:p>
    <w:p w14:paraId="4E819CB3" w14:textId="77777777" w:rsidR="0087788A" w:rsidRPr="00640820" w:rsidRDefault="0087788A" w:rsidP="00640820">
      <w:pPr>
        <w:spacing w:after="0" w:line="240" w:lineRule="auto"/>
        <w:jc w:val="both"/>
        <w:rPr>
          <w:rFonts w:ascii="Times New Roman" w:hAnsi="Times New Roman"/>
          <w:color w:val="000000" w:themeColor="text1"/>
          <w:sz w:val="16"/>
          <w:szCs w:val="16"/>
        </w:rPr>
      </w:pPr>
    </w:p>
    <w:p w14:paraId="5D6560F5" w14:textId="77777777" w:rsidR="0087788A" w:rsidRPr="00640820" w:rsidRDefault="008778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22 декабря</w:t>
      </w:r>
      <w:r w:rsidRPr="00640820">
        <w:rPr>
          <w:rFonts w:ascii="Times New Roman" w:hAnsi="Times New Roman"/>
          <w:color w:val="000000" w:themeColor="text1"/>
          <w:sz w:val="16"/>
          <w:szCs w:val="16"/>
        </w:rPr>
        <w:t xml:space="preserve"> в 1941 году англо-американская конференция по вопросам совместного ведения войны в Вашингтоне. Рузвельт и Черчилль пришли к соглашению, что победа над Германией остается приоритетной, несмотря на вступление в войну Японии (14868).</w:t>
      </w:r>
    </w:p>
    <w:p w14:paraId="1545805B" w14:textId="77777777" w:rsidR="0087788A" w:rsidRPr="00640820" w:rsidRDefault="0087788A" w:rsidP="00640820">
      <w:pPr>
        <w:spacing w:after="0" w:line="240" w:lineRule="auto"/>
        <w:jc w:val="both"/>
        <w:rPr>
          <w:rFonts w:ascii="Times New Roman" w:hAnsi="Times New Roman"/>
          <w:color w:val="000000" w:themeColor="text1"/>
          <w:sz w:val="16"/>
          <w:szCs w:val="16"/>
        </w:rPr>
      </w:pPr>
    </w:p>
    <w:p w14:paraId="2659E5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December 22 1941 Japanese forces invade Phillipines at Lingayen Gulf (1769).</w:t>
      </w:r>
    </w:p>
    <w:p w14:paraId="61C13D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4D6E09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декабря 1941 японцы вторглись на Филиппины (1796).</w:t>
      </w:r>
    </w:p>
    <w:p w14:paraId="117A7C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30426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 декабря 1941 японцы вторглись на Филиппины в заливе Lingayen (1769).</w:t>
      </w:r>
    </w:p>
    <w:p w14:paraId="7149ED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C21EA35"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7C22CC7D"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E0BE46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декабря 1941 поздним вечером директор завода № 1 по</w:t>
      </w:r>
      <w:r w:rsidRPr="00640820">
        <w:rPr>
          <w:rFonts w:ascii="Times New Roman" w:hAnsi="Times New Roman"/>
          <w:color w:val="000000" w:themeColor="text1"/>
          <w:sz w:val="16"/>
          <w:szCs w:val="16"/>
        </w:rPr>
        <w:softHyphen/>
        <w:t>лучил новую правительственную телеграмму, кото</w:t>
      </w:r>
      <w:r w:rsidRPr="00640820">
        <w:rPr>
          <w:rFonts w:ascii="Times New Roman" w:hAnsi="Times New Roman"/>
          <w:color w:val="000000" w:themeColor="text1"/>
          <w:sz w:val="16"/>
          <w:szCs w:val="16"/>
        </w:rPr>
        <w:softHyphen/>
        <w:t>рая повергла его в шок: «Вы подвели нашу страну, нашу Красную Армию. Вы не изволите до сих пор выпускать Ил—2. Самоле</w:t>
      </w:r>
      <w:r w:rsidRPr="00640820">
        <w:rPr>
          <w:rFonts w:ascii="Times New Roman" w:hAnsi="Times New Roman"/>
          <w:color w:val="000000" w:themeColor="text1"/>
          <w:sz w:val="16"/>
          <w:szCs w:val="16"/>
        </w:rPr>
        <w:softHyphen/>
        <w:t>ты Ил—2 нужны нашей Красной Армии теперь как воздух, как хлеб... Третьяков дает МиГ—3 по одной, по две штуки. Это насмешка над страной, Красной Армией. Прошу Вас не выводить правительство из терпения и требую, чтобы выпускали побольше Илов. Предупреждаю последний раз. СТАЛИН». К трем «ноябрьским» МиГ—3 добавилось еще 27 истре</w:t>
      </w:r>
      <w:r w:rsidRPr="00640820">
        <w:rPr>
          <w:rFonts w:ascii="Times New Roman" w:hAnsi="Times New Roman"/>
          <w:color w:val="000000" w:themeColor="text1"/>
          <w:sz w:val="16"/>
          <w:szCs w:val="16"/>
        </w:rPr>
        <w:softHyphen/>
        <w:t>бителей, принятых в следующем месяце. Сохранялся еще задел по деталям, узлам, комплектующим при</w:t>
      </w:r>
      <w:r w:rsidRPr="00640820">
        <w:rPr>
          <w:rFonts w:ascii="Times New Roman" w:hAnsi="Times New Roman"/>
          <w:color w:val="000000" w:themeColor="text1"/>
          <w:sz w:val="16"/>
          <w:szCs w:val="16"/>
        </w:rPr>
        <w:softHyphen/>
        <w:t>мерно на 50—60 МиГов, но ослушаться указания «сверху» Третьяков не мог. Неимоверными усилиями удалось до наступления Нового года сдать три штур</w:t>
      </w:r>
      <w:r w:rsidRPr="00640820">
        <w:rPr>
          <w:rFonts w:ascii="Times New Roman" w:hAnsi="Times New Roman"/>
          <w:color w:val="000000" w:themeColor="text1"/>
          <w:sz w:val="16"/>
          <w:szCs w:val="16"/>
        </w:rPr>
        <w:softHyphen/>
        <w:t>мовика, поскольку совершенно отсутствовал задел по Илам (9984).</w:t>
      </w:r>
    </w:p>
    <w:p w14:paraId="0946FDB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813B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декабря 1941 вышло Постановление ГКО № 1050 О производстве самолетов Ил-2 на заводе № 23 в Москве. РГАНИР, Фонд ГКО, д. 16, лл. 143 (11012).</w:t>
      </w:r>
    </w:p>
    <w:p w14:paraId="0FC880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9E7FD61" w14:textId="77777777" w:rsidR="0074416C" w:rsidRPr="00640820" w:rsidRDefault="0074416C" w:rsidP="00640820">
      <w:pPr>
        <w:pStyle w:val="47"/>
        <w:shd w:val="clear" w:color="auto" w:fill="auto"/>
        <w:spacing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23 декабря 1941 вышло Постановление ГКО № 1050 О производстве самолетов Ил-2 на заводе № 23 в Москве</w:t>
      </w:r>
    </w:p>
    <w:p w14:paraId="73F03D17" w14:textId="77777777" w:rsidR="0074416C" w:rsidRPr="00640820" w:rsidRDefault="0074416C" w:rsidP="00640820">
      <w:pPr>
        <w:tabs>
          <w:tab w:val="left" w:pos="1208"/>
        </w:tabs>
        <w:spacing w:after="0" w:line="240" w:lineRule="auto"/>
        <w:jc w:val="both"/>
        <w:rPr>
          <w:rFonts w:ascii="Times New Roman" w:eastAsia="Gungsuh" w:hAnsi="Times New Roman"/>
          <w:color w:val="000000" w:themeColor="text1"/>
          <w:sz w:val="16"/>
          <w:szCs w:val="16"/>
        </w:rPr>
      </w:pPr>
      <w:r w:rsidRPr="00640820">
        <w:rPr>
          <w:rFonts w:ascii="Times New Roman" w:eastAsia="Gungsuh" w:hAnsi="Times New Roman"/>
          <w:color w:val="000000" w:themeColor="text1"/>
          <w:sz w:val="16"/>
          <w:szCs w:val="16"/>
        </w:rPr>
        <w:t>1. Во изменение ранее вынесенного решения ГКО № 1039сс от 17.ХП.1941 года поставить на заводе № 23 производство са</w:t>
      </w:r>
      <w:r w:rsidRPr="00640820">
        <w:rPr>
          <w:rFonts w:ascii="Times New Roman" w:eastAsia="Gungsuh" w:hAnsi="Times New Roman"/>
          <w:color w:val="000000" w:themeColor="text1"/>
          <w:sz w:val="16"/>
          <w:szCs w:val="16"/>
        </w:rPr>
        <w:softHyphen/>
        <w:t xml:space="preserve">молетов Ил-2 с </w:t>
      </w:r>
      <w:r w:rsidRPr="00640820">
        <w:rPr>
          <w:rFonts w:ascii="Times New Roman" w:eastAsia="Gungsuh" w:hAnsi="Times New Roman"/>
          <w:color w:val="000000" w:themeColor="text1"/>
          <w:sz w:val="16"/>
          <w:szCs w:val="16"/>
          <w:lang w:val="en-US"/>
        </w:rPr>
        <w:t>Ali</w:t>
      </w:r>
      <w:r w:rsidRPr="00640820">
        <w:rPr>
          <w:rFonts w:ascii="Times New Roman" w:eastAsia="Gungsuh" w:hAnsi="Times New Roman"/>
          <w:color w:val="000000" w:themeColor="text1"/>
          <w:sz w:val="16"/>
          <w:szCs w:val="16"/>
        </w:rPr>
        <w:t>-38 вместо самолета 103 конструкции т.Тупо</w:t>
      </w:r>
      <w:r w:rsidRPr="00640820">
        <w:rPr>
          <w:rFonts w:ascii="Times New Roman" w:eastAsia="Gungsuh" w:hAnsi="Times New Roman"/>
          <w:color w:val="000000" w:themeColor="text1"/>
          <w:sz w:val="16"/>
          <w:szCs w:val="16"/>
        </w:rPr>
        <w:softHyphen/>
        <w:t>лева. В остальном все решение, обеспечивающее развитие заво</w:t>
      </w:r>
      <w:r w:rsidRPr="00640820">
        <w:rPr>
          <w:rFonts w:ascii="Times New Roman" w:eastAsia="Gungsuh" w:hAnsi="Times New Roman"/>
          <w:color w:val="000000" w:themeColor="text1"/>
          <w:sz w:val="16"/>
          <w:szCs w:val="16"/>
        </w:rPr>
        <w:softHyphen/>
        <w:t>да № 23, оставить в силе.</w:t>
      </w:r>
    </w:p>
    <w:p w14:paraId="626486CD" w14:textId="77777777" w:rsidR="0074416C" w:rsidRPr="00640820" w:rsidRDefault="0074416C" w:rsidP="00640820">
      <w:pPr>
        <w:tabs>
          <w:tab w:val="left" w:pos="990"/>
        </w:tabs>
        <w:spacing w:after="0" w:line="240" w:lineRule="auto"/>
        <w:jc w:val="both"/>
        <w:rPr>
          <w:rFonts w:ascii="Times New Roman" w:eastAsia="Gungsuh" w:hAnsi="Times New Roman"/>
          <w:color w:val="000000" w:themeColor="text1"/>
          <w:sz w:val="16"/>
          <w:szCs w:val="16"/>
        </w:rPr>
      </w:pPr>
      <w:r w:rsidRPr="00640820">
        <w:rPr>
          <w:rFonts w:ascii="Times New Roman" w:eastAsia="Gungsuh" w:hAnsi="Times New Roman"/>
          <w:color w:val="000000" w:themeColor="text1"/>
          <w:sz w:val="16"/>
          <w:szCs w:val="16"/>
        </w:rPr>
        <w:t>2. В целях усиления технического руководства на заводе 22 назначить тов.Лещенко главным инженером завода Ю 22,</w:t>
      </w:r>
    </w:p>
    <w:p w14:paraId="45945298" w14:textId="77777777" w:rsidR="0074416C" w:rsidRPr="00640820" w:rsidRDefault="0074416C"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Gungsuh" w:hAnsi="Times New Roman"/>
          <w:color w:val="000000" w:themeColor="text1"/>
          <w:sz w:val="16"/>
          <w:szCs w:val="16"/>
        </w:rPr>
        <w:t>освободив его от работы директора эавода № 23.</w:t>
      </w:r>
    </w:p>
    <w:p w14:paraId="66316F2D" w14:textId="77777777" w:rsidR="0074416C" w:rsidRPr="00640820" w:rsidRDefault="0074416C" w:rsidP="00640820">
      <w:pPr>
        <w:tabs>
          <w:tab w:val="left" w:pos="1238"/>
        </w:tabs>
        <w:spacing w:after="0" w:line="240" w:lineRule="auto"/>
        <w:jc w:val="both"/>
        <w:rPr>
          <w:rFonts w:ascii="Times New Roman" w:eastAsia="Gungsuh" w:hAnsi="Times New Roman"/>
          <w:color w:val="000000" w:themeColor="text1"/>
          <w:sz w:val="16"/>
          <w:szCs w:val="16"/>
        </w:rPr>
      </w:pPr>
      <w:r w:rsidRPr="00640820">
        <w:rPr>
          <w:rFonts w:ascii="Times New Roman" w:eastAsia="Gungsuh" w:hAnsi="Times New Roman"/>
          <w:color w:val="000000" w:themeColor="text1"/>
          <w:sz w:val="16"/>
          <w:szCs w:val="16"/>
        </w:rPr>
        <w:t>3. Директором завода № 23 назначить тов.Окулова В.А.</w:t>
      </w:r>
    </w:p>
    <w:p w14:paraId="11830903" w14:textId="77777777" w:rsidR="0074416C" w:rsidRPr="00640820" w:rsidRDefault="0074416C" w:rsidP="00640820">
      <w:pPr>
        <w:tabs>
          <w:tab w:val="left" w:pos="1230"/>
        </w:tabs>
        <w:spacing w:after="0" w:line="240" w:lineRule="auto"/>
        <w:jc w:val="both"/>
        <w:rPr>
          <w:rFonts w:ascii="Times New Roman" w:eastAsia="Gungsuh" w:hAnsi="Times New Roman"/>
          <w:color w:val="000000" w:themeColor="text1"/>
          <w:sz w:val="16"/>
          <w:szCs w:val="16"/>
        </w:rPr>
      </w:pPr>
      <w:r w:rsidRPr="00640820">
        <w:rPr>
          <w:rFonts w:ascii="Times New Roman" w:eastAsia="Gungsuh" w:hAnsi="Times New Roman"/>
          <w:color w:val="000000" w:themeColor="text1"/>
          <w:sz w:val="16"/>
          <w:szCs w:val="16"/>
        </w:rPr>
        <w:t>4. Обязать директора вавода № 1 тов.Третьякова обеспе</w:t>
      </w:r>
      <w:r w:rsidRPr="00640820">
        <w:rPr>
          <w:rFonts w:ascii="Times New Roman" w:eastAsia="Gungsuh" w:hAnsi="Times New Roman"/>
          <w:color w:val="000000" w:themeColor="text1"/>
          <w:sz w:val="16"/>
          <w:szCs w:val="16"/>
        </w:rPr>
        <w:softHyphen/>
        <w:t>чить завод № 23 к 10 января 1942 года комплектом технической документации (чертежи самолета, технологию и чертежи оснаст</w:t>
      </w:r>
      <w:r w:rsidRPr="00640820">
        <w:rPr>
          <w:rFonts w:ascii="Times New Roman" w:eastAsia="Gungsuh" w:hAnsi="Times New Roman"/>
          <w:color w:val="000000" w:themeColor="text1"/>
          <w:sz w:val="16"/>
          <w:szCs w:val="16"/>
        </w:rPr>
        <w:softHyphen/>
        <w:t>ки) .</w:t>
      </w:r>
    </w:p>
    <w:p w14:paraId="6AFD6EA3" w14:textId="77777777" w:rsidR="0074416C" w:rsidRPr="00640820" w:rsidRDefault="0074416C" w:rsidP="00640820">
      <w:pPr>
        <w:tabs>
          <w:tab w:val="left" w:pos="1230"/>
        </w:tabs>
        <w:spacing w:after="0" w:line="240" w:lineRule="auto"/>
        <w:jc w:val="both"/>
        <w:rPr>
          <w:rFonts w:ascii="Times New Roman" w:eastAsia="Gungsuh" w:hAnsi="Times New Roman"/>
          <w:color w:val="000000" w:themeColor="text1"/>
          <w:sz w:val="16"/>
          <w:szCs w:val="16"/>
        </w:rPr>
      </w:pPr>
      <w:r w:rsidRPr="00640820">
        <w:rPr>
          <w:rFonts w:ascii="Times New Roman" w:eastAsia="Gungsuh" w:hAnsi="Times New Roman"/>
          <w:color w:val="000000" w:themeColor="text1"/>
          <w:sz w:val="16"/>
          <w:szCs w:val="16"/>
        </w:rPr>
        <w:t xml:space="preserve">5. Установить выпуск самолета Ил-2 на заводе </w:t>
      </w:r>
      <w:r w:rsidRPr="00640820">
        <w:rPr>
          <w:rFonts w:ascii="Times New Roman" w:eastAsia="Gungsuh" w:hAnsi="Times New Roman"/>
          <w:color w:val="000000" w:themeColor="text1"/>
          <w:sz w:val="16"/>
          <w:szCs w:val="16"/>
          <w:lang w:val="en-US"/>
        </w:rPr>
        <w:t>IP</w:t>
      </w:r>
      <w:r w:rsidRPr="00640820">
        <w:rPr>
          <w:rFonts w:ascii="Times New Roman" w:eastAsia="Gungsuh" w:hAnsi="Times New Roman"/>
          <w:color w:val="000000" w:themeColor="text1"/>
          <w:sz w:val="16"/>
          <w:szCs w:val="16"/>
        </w:rPr>
        <w:t xml:space="preserve"> 23 с мар</w:t>
      </w:r>
      <w:r w:rsidRPr="00640820">
        <w:rPr>
          <w:rFonts w:ascii="Times New Roman" w:eastAsia="Gungsuh" w:hAnsi="Times New Roman"/>
          <w:color w:val="000000" w:themeColor="text1"/>
          <w:sz w:val="16"/>
          <w:szCs w:val="16"/>
        </w:rPr>
        <w:softHyphen/>
        <w:t>та месяца 1942 года в следующих количествах:</w:t>
      </w:r>
    </w:p>
    <w:p w14:paraId="178A460C" w14:textId="77777777" w:rsidR="0074416C" w:rsidRPr="00640820" w:rsidRDefault="0074416C" w:rsidP="00640820">
      <w:pPr>
        <w:tabs>
          <w:tab w:val="left" w:pos="3150"/>
        </w:tabs>
        <w:spacing w:after="0" w:line="240" w:lineRule="auto"/>
        <w:jc w:val="both"/>
        <w:rPr>
          <w:rFonts w:ascii="Times New Roman" w:eastAsia="Gungsuh" w:hAnsi="Times New Roman"/>
          <w:color w:val="000000" w:themeColor="text1"/>
          <w:sz w:val="16"/>
          <w:szCs w:val="16"/>
        </w:rPr>
      </w:pPr>
      <w:r w:rsidRPr="00640820">
        <w:rPr>
          <w:rFonts w:ascii="Times New Roman" w:eastAsia="Gungsuh" w:hAnsi="Times New Roman"/>
          <w:color w:val="000000" w:themeColor="text1"/>
          <w:sz w:val="16"/>
          <w:szCs w:val="16"/>
        </w:rPr>
        <w:t>март - 5 самолетов, август - 100 самолетов</w:t>
      </w:r>
    </w:p>
    <w:p w14:paraId="2EAE0451" w14:textId="77777777" w:rsidR="0074416C" w:rsidRPr="00640820" w:rsidRDefault="0074416C" w:rsidP="00640820">
      <w:pPr>
        <w:tabs>
          <w:tab w:val="left" w:pos="3150"/>
        </w:tabs>
        <w:spacing w:after="0" w:line="240" w:lineRule="auto"/>
        <w:jc w:val="both"/>
        <w:rPr>
          <w:rFonts w:ascii="Times New Roman" w:eastAsia="Times New Roman" w:hAnsi="Times New Roman"/>
          <w:color w:val="000000" w:themeColor="text1"/>
          <w:sz w:val="16"/>
          <w:szCs w:val="16"/>
        </w:rPr>
      </w:pPr>
      <w:r w:rsidRPr="00640820">
        <w:rPr>
          <w:rFonts w:ascii="Times New Roman" w:eastAsia="Gungsuh" w:hAnsi="Times New Roman"/>
          <w:color w:val="000000" w:themeColor="text1"/>
          <w:sz w:val="16"/>
          <w:szCs w:val="16"/>
        </w:rPr>
        <w:t>апрель - 10</w:t>
      </w:r>
      <w:r w:rsidRPr="00640820">
        <w:rPr>
          <w:rFonts w:ascii="Times New Roman" w:eastAsia="Gungsuh" w:hAnsi="Times New Roman"/>
          <w:color w:val="000000" w:themeColor="text1"/>
          <w:sz w:val="16"/>
          <w:szCs w:val="16"/>
        </w:rPr>
        <w:tab/>
        <w:t>сентябрь - 125 -" -</w:t>
      </w:r>
    </w:p>
    <w:p w14:paraId="64E8559D" w14:textId="77777777" w:rsidR="0074416C" w:rsidRPr="00640820" w:rsidRDefault="0074416C"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Gungsuh" w:hAnsi="Times New Roman"/>
          <w:color w:val="000000" w:themeColor="text1"/>
          <w:sz w:val="16"/>
          <w:szCs w:val="16"/>
        </w:rPr>
        <w:t>май - 30 -</w:t>
      </w:r>
      <w:r w:rsidRPr="00640820">
        <w:rPr>
          <w:rFonts w:ascii="Times New Roman" w:eastAsia="Gungsuh" w:hAnsi="Times New Roman"/>
          <w:color w:val="000000" w:themeColor="text1"/>
          <w:sz w:val="16"/>
          <w:szCs w:val="16"/>
          <w:vertAlign w:val="superscript"/>
        </w:rPr>
        <w:t>и</w:t>
      </w:r>
      <w:r w:rsidRPr="00640820">
        <w:rPr>
          <w:rFonts w:ascii="Times New Roman" w:eastAsia="Gungsuh" w:hAnsi="Times New Roman"/>
          <w:color w:val="000000" w:themeColor="text1"/>
          <w:sz w:val="16"/>
          <w:szCs w:val="16"/>
        </w:rPr>
        <w:t>- октябрь - 150</w:t>
      </w:r>
    </w:p>
    <w:p w14:paraId="40295F19" w14:textId="77777777" w:rsidR="0074416C" w:rsidRPr="00640820" w:rsidRDefault="0074416C"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Gungsuh" w:hAnsi="Times New Roman"/>
          <w:color w:val="000000" w:themeColor="text1"/>
          <w:sz w:val="16"/>
          <w:szCs w:val="16"/>
        </w:rPr>
        <w:t>июнь - 45 -</w:t>
      </w:r>
      <w:r w:rsidRPr="00640820">
        <w:rPr>
          <w:rFonts w:ascii="Times New Roman" w:eastAsia="Gungsuh" w:hAnsi="Times New Roman"/>
          <w:color w:val="000000" w:themeColor="text1"/>
          <w:sz w:val="16"/>
          <w:szCs w:val="16"/>
          <w:vertAlign w:val="superscript"/>
        </w:rPr>
        <w:t>и</w:t>
      </w:r>
      <w:r w:rsidRPr="00640820">
        <w:rPr>
          <w:rFonts w:ascii="Times New Roman" w:eastAsia="Gungsuh" w:hAnsi="Times New Roman"/>
          <w:color w:val="000000" w:themeColor="text1"/>
          <w:sz w:val="16"/>
          <w:szCs w:val="16"/>
        </w:rPr>
        <w:t>- ноябрь - 150</w:t>
      </w:r>
    </w:p>
    <w:p w14:paraId="0E320D9D" w14:textId="77777777" w:rsidR="0074416C" w:rsidRPr="00640820" w:rsidRDefault="0074416C" w:rsidP="00640820">
      <w:pPr>
        <w:spacing w:after="0" w:line="240" w:lineRule="auto"/>
        <w:jc w:val="both"/>
        <w:rPr>
          <w:rFonts w:ascii="Times New Roman" w:eastAsia="Times New Roman" w:hAnsi="Times New Roman"/>
          <w:color w:val="000000" w:themeColor="text1"/>
          <w:sz w:val="16"/>
          <w:szCs w:val="16"/>
        </w:rPr>
      </w:pPr>
      <w:r w:rsidRPr="00640820">
        <w:rPr>
          <w:rFonts w:ascii="Times New Roman" w:eastAsia="Gungsuh" w:hAnsi="Times New Roman"/>
          <w:color w:val="000000" w:themeColor="text1"/>
          <w:sz w:val="16"/>
          <w:szCs w:val="16"/>
        </w:rPr>
        <w:t>июль - 75 -</w:t>
      </w:r>
      <w:r w:rsidRPr="00640820">
        <w:rPr>
          <w:rFonts w:ascii="Times New Roman" w:eastAsia="Gungsuh" w:hAnsi="Times New Roman"/>
          <w:color w:val="000000" w:themeColor="text1"/>
          <w:sz w:val="16"/>
          <w:szCs w:val="16"/>
          <w:vertAlign w:val="superscript"/>
        </w:rPr>
        <w:t>и</w:t>
      </w:r>
      <w:r w:rsidRPr="00640820">
        <w:rPr>
          <w:rFonts w:ascii="Times New Roman" w:eastAsia="Gungsuh" w:hAnsi="Times New Roman"/>
          <w:color w:val="000000" w:themeColor="text1"/>
          <w:sz w:val="16"/>
          <w:szCs w:val="16"/>
        </w:rPr>
        <w:t>- ноябрь - 175 (19293).</w:t>
      </w:r>
    </w:p>
    <w:p w14:paraId="3140F71C" w14:textId="77777777" w:rsidR="00F00B65" w:rsidRPr="00640820" w:rsidRDefault="00F00B65" w:rsidP="00640820">
      <w:pPr>
        <w:autoSpaceDE w:val="0"/>
        <w:autoSpaceDN w:val="0"/>
        <w:adjustRightInd w:val="0"/>
        <w:spacing w:after="0" w:line="240" w:lineRule="auto"/>
        <w:jc w:val="both"/>
        <w:rPr>
          <w:rFonts w:ascii="Times New Roman" w:hAnsi="Times New Roman"/>
          <w:color w:val="000000" w:themeColor="text1"/>
          <w:sz w:val="16"/>
          <w:szCs w:val="16"/>
        </w:rPr>
      </w:pPr>
    </w:p>
    <w:p w14:paraId="2454B4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23 декабря 1941 г. пост. ГКО № 1050 заводу (Завод № 23 НКАП, МАП, ГКАТ, Машиностроительный завод им. М.В. Хруничева (ЗИХ) СНХ, </w:t>
      </w:r>
      <w:r w:rsidRPr="00640820">
        <w:rPr>
          <w:rFonts w:ascii="Times New Roman" w:hAnsi="Times New Roman"/>
          <w:color w:val="000000" w:themeColor="text1"/>
          <w:sz w:val="16"/>
          <w:szCs w:val="16"/>
          <w:lang w:val="en-US"/>
        </w:rPr>
        <w:t>MOM</w:t>
      </w:r>
      <w:r w:rsidRPr="00640820">
        <w:rPr>
          <w:rFonts w:ascii="Times New Roman" w:hAnsi="Times New Roman"/>
          <w:color w:val="000000" w:themeColor="text1"/>
          <w:sz w:val="16"/>
          <w:szCs w:val="16"/>
        </w:rPr>
        <w:t>, МПО им. Хруничева, ФГУП «Государственный космический научно- производственный центр (ГК НПЦ) им. М.В. Хруничева» ФКА /121087  г. Москва ул. Новозаводская, 18 тел. 145-99-34/) в системе 1ГУ был поручен выпуск Ил-2; 7.01.1942 г. вышло постановление ГКО № 1115 о транспортировке Ил-2 по железной дороге и сборке их на заводе № 23. Для комплектования нового завода планировалось передать ему мощности бывшего завода № 30 НКАП. Было передано большое количество оборудования с заводов № 22, 124, 16; направлены кадры с заводов № 1, 16, 22, 24 и 124. По приказу № 79сс от 26.01.1942 г. на завод передана часть оборудования и кадров расформированного завода № 135 НКАП (11982).</w:t>
      </w:r>
    </w:p>
    <w:p w14:paraId="608C50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1F85E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декабря 1941 решением ГКО был прекращен выпуск МиГ-3 и все моторы АМ-35А были переориентированы на АМ-38 (563,10). Остановились именно 23, но заделы использовали и всего сделали 3100 (1084,24).</w:t>
      </w:r>
    </w:p>
    <w:p w14:paraId="305D33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Полный текст телеграммы И.В.С.: "Правительственная телеграмма</w:t>
      </w:r>
    </w:p>
    <w:p w14:paraId="028824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декабря 1941, Куйбышев</w:t>
      </w:r>
    </w:p>
    <w:p w14:paraId="3BF85E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директору завода N 18 А.Б.Шенкману</w:t>
      </w:r>
    </w:p>
    <w:p w14:paraId="424C78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копия: директору завода N 1 А.Т.Третьякову</w:t>
      </w:r>
    </w:p>
    <w:p w14:paraId="0AC19B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 подвели нашу страну и нашу Красную Армию тчк Вы не изволите до сих пор выпускать ИЛ-2 тчк Самолеты ИЛ-2 нужны нашей Красной Армии теперь как воздух зпт ка хлеб тчк</w:t>
      </w:r>
    </w:p>
    <w:p w14:paraId="407901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Шенкман дает по одному ИЛ-2 в день зпт а Третьяков дает МИГ-3 по одному зпт по две штуки тчк Это насмешка над страной зпт над Красной Армией тчк Нам нужны не МИГи зпт а ИЛ-2 тчк</w:t>
      </w:r>
    </w:p>
    <w:p w14:paraId="7D2877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Если 18 завод думает отбрехнуться от страны зпт давая по одному ИЛ-2 в день зпт то жестоко ошибается и понесет за это кару тчк Прошу Вас не выводить правительство из терпения и требую зпт чтобы выпускали побольше ИЛов тчк Предупреждаю последний раз тчк</w:t>
      </w:r>
    </w:p>
    <w:p w14:paraId="148038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N И 153 Сталин (1084,24).</w:t>
      </w:r>
    </w:p>
    <w:p w14:paraId="15F2B8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B97B4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декабря 1941 вышло постановление ГКО N 1050сс которым в изменение ранее вынесенного решения ГКО N 1039 от 17 декабря 1941 было поставлено на заводе 23 производство самолетов Ил-2 с АМ-38 вместо самолета 103 (1327,19).</w:t>
      </w:r>
    </w:p>
    <w:p w14:paraId="25FD47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 ГОКО N 1050</w:t>
      </w:r>
    </w:p>
    <w:p w14:paraId="00B90D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23.XII.1941 г. Сталин.</w:t>
      </w:r>
    </w:p>
    <w:p w14:paraId="564C476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 производстве самолетов Ил-2</w:t>
      </w:r>
    </w:p>
    <w:p w14:paraId="475D29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заводе N 23 в Москве.</w:t>
      </w:r>
    </w:p>
    <w:p w14:paraId="5C0AC6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Во изменение ранее вынесенного решения ГКО N 1039 от 17.XII.1941 года поставить на заводе N 23 производство самолетов Ил-2 с АМ-38 вместо самолета 103 конструкции Туполева. В остальном все решение, обеспечивающее развитие завода N 23, оставить в силе.</w:t>
      </w:r>
    </w:p>
    <w:p w14:paraId="247704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В целях усиления технического руководства на заводе N 22 назначить Лещенко гл. инженером завода N 22, освободив его от работы директора завода N 23.</w:t>
      </w:r>
    </w:p>
    <w:p w14:paraId="04F358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Директором завода N 23 назначить Окулова В.А.</w:t>
      </w:r>
    </w:p>
    <w:p w14:paraId="068B3F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Обязать директора завода N 1 Третьякова обеспечить завод N 23 к 10 января 1942 года комплектом технической документации (чертежи самолета, технологию и чертежи оснастки).</w:t>
      </w:r>
    </w:p>
    <w:p w14:paraId="2710A4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Установить выпуск самолета Ил-2 на заводе N 23 с марта 1942 года в следующих количествах: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tblGrid>
      <w:tr w:rsidR="00643896" w:rsidRPr="00640820" w14:paraId="17216650" w14:textId="77777777" w:rsidTr="000D3BCB">
        <w:tc>
          <w:tcPr>
            <w:tcW w:w="1878" w:type="dxa"/>
            <w:tcBorders>
              <w:top w:val="single" w:sz="12" w:space="0" w:color="auto"/>
            </w:tcBorders>
          </w:tcPr>
          <w:p w14:paraId="44831A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март</w:t>
            </w:r>
          </w:p>
        </w:tc>
        <w:tc>
          <w:tcPr>
            <w:tcW w:w="1878" w:type="dxa"/>
            <w:tcBorders>
              <w:top w:val="single" w:sz="12" w:space="0" w:color="auto"/>
            </w:tcBorders>
          </w:tcPr>
          <w:p w14:paraId="74A4A7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самолетов</w:t>
            </w:r>
          </w:p>
        </w:tc>
        <w:tc>
          <w:tcPr>
            <w:tcW w:w="1878" w:type="dxa"/>
            <w:tcBorders>
              <w:top w:val="single" w:sz="12" w:space="0" w:color="auto"/>
            </w:tcBorders>
          </w:tcPr>
          <w:p w14:paraId="6BA7F1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август</w:t>
            </w:r>
          </w:p>
        </w:tc>
        <w:tc>
          <w:tcPr>
            <w:tcW w:w="1878" w:type="dxa"/>
            <w:tcBorders>
              <w:top w:val="single" w:sz="12" w:space="0" w:color="auto"/>
            </w:tcBorders>
          </w:tcPr>
          <w:p w14:paraId="24E242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 самолетов</w:t>
            </w:r>
          </w:p>
        </w:tc>
      </w:tr>
      <w:tr w:rsidR="00643896" w:rsidRPr="00640820" w14:paraId="7D97F1A5" w14:textId="77777777" w:rsidTr="000D3BCB">
        <w:tc>
          <w:tcPr>
            <w:tcW w:w="1878" w:type="dxa"/>
          </w:tcPr>
          <w:p w14:paraId="775EBB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апрель</w:t>
            </w:r>
          </w:p>
        </w:tc>
        <w:tc>
          <w:tcPr>
            <w:tcW w:w="1878" w:type="dxa"/>
          </w:tcPr>
          <w:p w14:paraId="083F2B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w:t>
            </w:r>
          </w:p>
        </w:tc>
        <w:tc>
          <w:tcPr>
            <w:tcW w:w="1878" w:type="dxa"/>
          </w:tcPr>
          <w:p w14:paraId="7A796C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сентябрь</w:t>
            </w:r>
          </w:p>
        </w:tc>
        <w:tc>
          <w:tcPr>
            <w:tcW w:w="1878" w:type="dxa"/>
          </w:tcPr>
          <w:p w14:paraId="1F398B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125 -"-</w:t>
            </w:r>
          </w:p>
        </w:tc>
      </w:tr>
      <w:tr w:rsidR="00643896" w:rsidRPr="00640820" w14:paraId="0DF6A9FF" w14:textId="77777777" w:rsidTr="000D3BCB">
        <w:tc>
          <w:tcPr>
            <w:tcW w:w="1878" w:type="dxa"/>
          </w:tcPr>
          <w:p w14:paraId="491E40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май</w:t>
            </w:r>
          </w:p>
        </w:tc>
        <w:tc>
          <w:tcPr>
            <w:tcW w:w="1878" w:type="dxa"/>
          </w:tcPr>
          <w:p w14:paraId="2890D4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w:t>
            </w:r>
          </w:p>
        </w:tc>
        <w:tc>
          <w:tcPr>
            <w:tcW w:w="1878" w:type="dxa"/>
          </w:tcPr>
          <w:p w14:paraId="572D01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октябрь</w:t>
            </w:r>
          </w:p>
        </w:tc>
        <w:tc>
          <w:tcPr>
            <w:tcW w:w="1878" w:type="dxa"/>
          </w:tcPr>
          <w:p w14:paraId="74AC38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150 -"-</w:t>
            </w:r>
          </w:p>
        </w:tc>
      </w:tr>
      <w:tr w:rsidR="00643896" w:rsidRPr="00640820" w14:paraId="2D5C8D20" w14:textId="77777777" w:rsidTr="000D3BCB">
        <w:tc>
          <w:tcPr>
            <w:tcW w:w="1878" w:type="dxa"/>
          </w:tcPr>
          <w:p w14:paraId="4AE45E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июнь</w:t>
            </w:r>
          </w:p>
        </w:tc>
        <w:tc>
          <w:tcPr>
            <w:tcW w:w="1878" w:type="dxa"/>
          </w:tcPr>
          <w:p w14:paraId="3611C2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45 -"-</w:t>
            </w:r>
          </w:p>
        </w:tc>
        <w:tc>
          <w:tcPr>
            <w:tcW w:w="1878" w:type="dxa"/>
          </w:tcPr>
          <w:p w14:paraId="62581C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ноябрь</w:t>
            </w:r>
          </w:p>
        </w:tc>
        <w:tc>
          <w:tcPr>
            <w:tcW w:w="1878" w:type="dxa"/>
          </w:tcPr>
          <w:p w14:paraId="695999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150 -"-</w:t>
            </w:r>
          </w:p>
        </w:tc>
      </w:tr>
      <w:tr w:rsidR="00643896" w:rsidRPr="00640820" w14:paraId="222750B9" w14:textId="77777777" w:rsidTr="000D3BCB">
        <w:tc>
          <w:tcPr>
            <w:tcW w:w="1878" w:type="dxa"/>
            <w:tcBorders>
              <w:bottom w:val="single" w:sz="12" w:space="0" w:color="auto"/>
            </w:tcBorders>
          </w:tcPr>
          <w:p w14:paraId="529EDB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июль</w:t>
            </w:r>
          </w:p>
        </w:tc>
        <w:tc>
          <w:tcPr>
            <w:tcW w:w="1878" w:type="dxa"/>
            <w:tcBorders>
              <w:bottom w:val="single" w:sz="12" w:space="0" w:color="auto"/>
            </w:tcBorders>
          </w:tcPr>
          <w:p w14:paraId="335372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75 -"-</w:t>
            </w:r>
          </w:p>
        </w:tc>
        <w:tc>
          <w:tcPr>
            <w:tcW w:w="1878" w:type="dxa"/>
            <w:tcBorders>
              <w:bottom w:val="single" w:sz="12" w:space="0" w:color="auto"/>
            </w:tcBorders>
          </w:tcPr>
          <w:p w14:paraId="23511D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декабрь</w:t>
            </w:r>
          </w:p>
        </w:tc>
        <w:tc>
          <w:tcPr>
            <w:tcW w:w="1878" w:type="dxa"/>
            <w:tcBorders>
              <w:bottom w:val="single" w:sz="12" w:space="0" w:color="auto"/>
            </w:tcBorders>
          </w:tcPr>
          <w:p w14:paraId="79F0B3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175 -"- (2760,5)</w:t>
            </w:r>
          </w:p>
        </w:tc>
      </w:tr>
    </w:tbl>
    <w:p w14:paraId="595096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39D6B4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23 декабря 1941 года по данным ГУ ВВС КА с 22 июня потери самолетов Су-2 составили 205 еди</w:t>
      </w:r>
      <w:r w:rsidRPr="00640820">
        <w:rPr>
          <w:rFonts w:ascii="Times New Roman" w:hAnsi="Times New Roman"/>
          <w:color w:val="000000" w:themeColor="text1"/>
          <w:sz w:val="16"/>
          <w:szCs w:val="16"/>
        </w:rPr>
        <w:softHyphen/>
        <w:t>ниц. Из них: сбиты в воздушных боях - 50; сбиты зенитной артиллерией -14; уничтожены на аэродромах - 9; не вернулись с боевого задания -103; небоевые потери - 29 (11849).</w:t>
      </w:r>
    </w:p>
    <w:p w14:paraId="4929481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BFE7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декабря 1941 вышло Постановление ГКО № 1048 О производстве самолетов Пе-2 на заводе № 22 в Казани. РГАНИР, Фонд ГКО, д. 16, лл. 141 (11012).</w:t>
      </w:r>
    </w:p>
    <w:p w14:paraId="10328C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E32C334" w14:textId="77777777" w:rsidR="009353C5" w:rsidRPr="00640820" w:rsidRDefault="009353C5" w:rsidP="00640820">
      <w:pPr>
        <w:pStyle w:val="47"/>
        <w:shd w:val="clear" w:color="auto" w:fill="auto"/>
        <w:spacing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23 декабря 1941 вышло Постановление ГКО № 1048 О производстве самолетов Пе-2 на заводе № 22 в Казани.</w:t>
      </w:r>
    </w:p>
    <w:p w14:paraId="7C7799D9" w14:textId="77777777" w:rsidR="009353C5" w:rsidRPr="00640820" w:rsidRDefault="009353C5" w:rsidP="00640820">
      <w:pPr>
        <w:tabs>
          <w:tab w:val="left" w:pos="1198"/>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Об"единить эаводы №№ 22 и 124 в единый завод № 22. Производство самолетов ТБ-7 законсервировать, сохранив всю оснастку, техническую документацию и заделы.</w:t>
      </w:r>
    </w:p>
    <w:p w14:paraId="135612B2" w14:textId="77777777" w:rsidR="009353C5" w:rsidRPr="00640820" w:rsidRDefault="009353C5" w:rsidP="00640820">
      <w:pPr>
        <w:tabs>
          <w:tab w:val="left" w:pos="1190"/>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Обязать НКАП - т.т.Шахурина, Дементьева, директора за</w:t>
      </w:r>
      <w:r w:rsidRPr="00640820">
        <w:rPr>
          <w:rFonts w:ascii="Times New Roman" w:hAnsi="Times New Roman"/>
          <w:color w:val="000000" w:themeColor="text1"/>
          <w:sz w:val="16"/>
          <w:szCs w:val="16"/>
        </w:rPr>
        <w:softHyphen/>
        <w:t xml:space="preserve">вода № 22 т.Карпова, главного инженера тов.Лешенко, парторга тов.Жукова и секретаря Татарского обкома ВКП(о) тов.Алемасо- ва в январе 1942 года коренным образом выправить положение на заводе </w:t>
      </w:r>
      <w:r w:rsidRPr="00640820">
        <w:rPr>
          <w:rFonts w:ascii="Times New Roman" w:hAnsi="Times New Roman"/>
          <w:color w:val="000000" w:themeColor="text1"/>
          <w:sz w:val="16"/>
          <w:szCs w:val="16"/>
          <w:lang w:val="en-US"/>
        </w:rPr>
        <w:t>S</w:t>
      </w:r>
      <w:r w:rsidRPr="00640820">
        <w:rPr>
          <w:rFonts w:ascii="Times New Roman" w:hAnsi="Times New Roman"/>
          <w:color w:val="000000" w:themeColor="text1"/>
          <w:sz w:val="16"/>
          <w:szCs w:val="16"/>
        </w:rPr>
        <w:t xml:space="preserve"> 22 и обеспечить выпуск следующего количества самоле</w:t>
      </w:r>
      <w:r w:rsidRPr="00640820">
        <w:rPr>
          <w:rFonts w:ascii="Times New Roman" w:hAnsi="Times New Roman"/>
          <w:color w:val="000000" w:themeColor="text1"/>
          <w:sz w:val="16"/>
          <w:szCs w:val="16"/>
        </w:rPr>
        <w:softHyphen/>
        <w:t>тов Пе-2: с 1 по 14 января - по три самолета в день, с 15 по 25 января - по четыре самолета в день, и с 26 января - по пя</w:t>
      </w:r>
      <w:r w:rsidRPr="00640820">
        <w:rPr>
          <w:rFonts w:ascii="Times New Roman" w:hAnsi="Times New Roman"/>
          <w:color w:val="000000" w:themeColor="text1"/>
          <w:sz w:val="16"/>
          <w:szCs w:val="16"/>
        </w:rPr>
        <w:softHyphen/>
        <w:t>ти самолетов в день. Всего за январь выпустить 109 самолетов.</w:t>
      </w:r>
    </w:p>
    <w:p w14:paraId="6817E9B0" w14:textId="77777777" w:rsidR="009353C5" w:rsidRPr="00640820" w:rsidRDefault="009353C5" w:rsidP="00640820">
      <w:pPr>
        <w:tabs>
          <w:tab w:val="left" w:pos="1183"/>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Запретить областным организациям загружать завод № 22 какими-либо заказами, помимо основной его программы по самоле</w:t>
      </w:r>
      <w:r w:rsidRPr="00640820">
        <w:rPr>
          <w:rFonts w:ascii="Times New Roman" w:hAnsi="Times New Roman"/>
          <w:color w:val="000000" w:themeColor="text1"/>
          <w:sz w:val="16"/>
          <w:szCs w:val="16"/>
        </w:rPr>
        <w:softHyphen/>
        <w:t>ту Пе-2, а также запретить мобилизацию кадров и автотранспор</w:t>
      </w:r>
      <w:r w:rsidRPr="00640820">
        <w:rPr>
          <w:rFonts w:ascii="Times New Roman" w:hAnsi="Times New Roman"/>
          <w:color w:val="000000" w:themeColor="text1"/>
          <w:sz w:val="16"/>
          <w:szCs w:val="16"/>
        </w:rPr>
        <w:softHyphen/>
        <w:t>та завода.</w:t>
      </w:r>
    </w:p>
    <w:p w14:paraId="786CF986" w14:textId="77777777" w:rsidR="009353C5" w:rsidRPr="00640820" w:rsidRDefault="009353C5" w:rsidP="00640820">
      <w:pPr>
        <w:tabs>
          <w:tab w:val="left" w:pos="1190"/>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Обязать секретаря Татарского обкома ВКП(б) тов.Алема- сова вернуть мобилизованных на оборонительное строительство работников авиационных заводов и 14 треста НКАП.</w:t>
      </w:r>
    </w:p>
    <w:p w14:paraId="07AD7BCD" w14:textId="77777777" w:rsidR="009353C5" w:rsidRPr="00640820" w:rsidRDefault="009353C5" w:rsidP="00640820">
      <w:pPr>
        <w:tabs>
          <w:tab w:val="left" w:pos="1183"/>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Во изменение постановления ГКО ва В 1039сс от 17 де</w:t>
      </w:r>
      <w:r w:rsidRPr="00640820">
        <w:rPr>
          <w:rFonts w:ascii="Times New Roman" w:hAnsi="Times New Roman"/>
          <w:color w:val="000000" w:themeColor="text1"/>
          <w:sz w:val="16"/>
          <w:szCs w:val="16"/>
        </w:rPr>
        <w:softHyphen/>
        <w:t>кабря 1941 года разрешить НКАП перевод ИТР и мастеров для ор</w:t>
      </w:r>
      <w:r w:rsidRPr="00640820">
        <w:rPr>
          <w:rFonts w:ascii="Times New Roman" w:hAnsi="Times New Roman"/>
          <w:color w:val="000000" w:themeColor="text1"/>
          <w:sz w:val="16"/>
          <w:szCs w:val="16"/>
        </w:rPr>
        <w:softHyphen/>
        <w:t>ганизации завода № 23 производить не за счет взвода № 22, а эа счет других эаводов НКАП.</w:t>
      </w:r>
    </w:p>
    <w:p w14:paraId="25730D2A" w14:textId="77777777" w:rsidR="009353C5" w:rsidRPr="00640820" w:rsidRDefault="009353C5" w:rsidP="00640820">
      <w:pPr>
        <w:tabs>
          <w:tab w:val="left" w:pos="1200"/>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Обязать Начальника 14 Стройтреста НКАП тов.Ястребилова:</w:t>
      </w:r>
    </w:p>
    <w:p w14:paraId="49CCC5BF" w14:textId="77777777" w:rsidR="009353C5" w:rsidRPr="00640820" w:rsidRDefault="009353C5" w:rsidP="00640820">
      <w:pPr>
        <w:tabs>
          <w:tab w:val="left" w:pos="1213"/>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за счет других стооительно-монтажных работ немедленно развернуть работы'по монтажу оборудования, изготовлению фунда</w:t>
      </w:r>
      <w:r w:rsidRPr="00640820">
        <w:rPr>
          <w:rFonts w:ascii="Times New Roman" w:hAnsi="Times New Roman"/>
          <w:color w:val="000000" w:themeColor="text1"/>
          <w:sz w:val="16"/>
          <w:szCs w:val="16"/>
        </w:rPr>
        <w:softHyphen/>
        <w:t>ментов под молоты и компрессоры на эаводе № 22, закончив эти работы не поэднее 10 января 1942 года;</w:t>
      </w:r>
    </w:p>
    <w:p w14:paraId="4FCB00C9" w14:textId="77777777" w:rsidR="009353C5" w:rsidRPr="00640820" w:rsidRDefault="009353C5" w:rsidP="00640820">
      <w:pPr>
        <w:tabs>
          <w:tab w:val="left" w:pos="1198"/>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закончить строительством и сдать в эксплоатацию два стандартных производственных корпуса, из них первый - к 1 ян</w:t>
      </w:r>
      <w:r w:rsidRPr="00640820">
        <w:rPr>
          <w:rFonts w:ascii="Times New Roman" w:hAnsi="Times New Roman"/>
          <w:color w:val="000000" w:themeColor="text1"/>
          <w:sz w:val="16"/>
          <w:szCs w:val="16"/>
        </w:rPr>
        <w:softHyphen/>
        <w:t>варя 1942 года, и второй - к 15 января.</w:t>
      </w:r>
    </w:p>
    <w:p w14:paraId="39E9F50A" w14:textId="77777777" w:rsidR="009353C5" w:rsidRPr="00640820" w:rsidRDefault="009353C5" w:rsidP="00640820">
      <w:pPr>
        <w:tabs>
          <w:tab w:val="left" w:pos="1190"/>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Обязать Народного Комиссара Резиновой Промышленности тов.Митрохина и директора завода № СК-4 в г.Кавани не позд</w:t>
      </w:r>
      <w:r w:rsidRPr="00640820">
        <w:rPr>
          <w:rFonts w:ascii="Times New Roman" w:hAnsi="Times New Roman"/>
          <w:color w:val="000000" w:themeColor="text1"/>
          <w:sz w:val="16"/>
          <w:szCs w:val="16"/>
        </w:rPr>
        <w:softHyphen/>
        <w:t>нее 5 января 1942 года закончить монтаж и пустить в эксплоа</w:t>
      </w:r>
      <w:r w:rsidRPr="00640820">
        <w:rPr>
          <w:rFonts w:ascii="Times New Roman" w:hAnsi="Times New Roman"/>
          <w:color w:val="000000" w:themeColor="text1"/>
          <w:sz w:val="16"/>
          <w:szCs w:val="16"/>
        </w:rPr>
        <w:softHyphen/>
        <w:t>тацию вторую 30-кубовую кислородную установку.</w:t>
      </w:r>
    </w:p>
    <w:p w14:paraId="5F6A4830" w14:textId="77777777" w:rsidR="009353C5" w:rsidRPr="00640820" w:rsidRDefault="009353C5" w:rsidP="00640820">
      <w:pPr>
        <w:tabs>
          <w:tab w:val="left" w:pos="1895"/>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Утвердить заводу СК-4 следующее ежесуточное распределение кислорода: заводу Я? &lt;22 - 60 баллонов дополнительно к количе</w:t>
      </w:r>
      <w:r w:rsidRPr="00640820">
        <w:rPr>
          <w:rFonts w:ascii="Times New Roman" w:hAnsi="Times New Roman"/>
          <w:color w:val="000000" w:themeColor="text1"/>
          <w:sz w:val="16"/>
          <w:szCs w:val="16"/>
        </w:rPr>
        <w:softHyphen/>
        <w:t>ству кислорода, вырабатываемому на установках завода № 22,эа- воду № 16 -^-баллонов, заводу №</w:t>
      </w:r>
      <w:r w:rsidRPr="00640820">
        <w:rPr>
          <w:rFonts w:ascii="Times New Roman" w:hAnsi="Times New Roman"/>
          <w:color w:val="000000" w:themeColor="text1"/>
          <w:sz w:val="16"/>
          <w:szCs w:val="16"/>
          <w:lang w:val="en-US"/>
        </w:rPr>
        <w:t>P</w:t>
      </w:r>
      <w:r w:rsidRPr="00640820">
        <w:rPr>
          <w:rFonts w:ascii="Times New Roman" w:hAnsi="Times New Roman"/>
          <w:color w:val="000000" w:themeColor="text1"/>
          <w:sz w:val="16"/>
          <w:szCs w:val="16"/>
        </w:rPr>
        <w:t xml:space="preserve"> 387 - 60 баллонов, заводу № 230 - 16, баллонов, тресту № 14 НКАП - 20 баллонов.</w:t>
      </w:r>
    </w:p>
    <w:p w14:paraId="0B604530" w14:textId="77777777" w:rsidR="009353C5" w:rsidRPr="00640820" w:rsidRDefault="009353C5" w:rsidP="00640820">
      <w:pPr>
        <w:pStyle w:val="47"/>
        <w:shd w:val="clear" w:color="auto" w:fill="auto"/>
        <w:spacing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lastRenderedPageBreak/>
        <w:t>8. Обязать Совнарком Татреспублики мобилизовать и пере</w:t>
      </w:r>
      <w:r w:rsidRPr="00640820">
        <w:rPr>
          <w:rFonts w:ascii="Times New Roman" w:hAnsi="Times New Roman" w:cs="Times New Roman"/>
          <w:color w:val="000000" w:themeColor="text1"/>
          <w:sz w:val="16"/>
          <w:szCs w:val="16"/>
        </w:rPr>
        <w:softHyphen/>
        <w:t>дать до -15-,.даваря 1$42 года заводу № 22 - 100 рабочих лоша</w:t>
      </w:r>
      <w:r w:rsidRPr="00640820">
        <w:rPr>
          <w:rFonts w:ascii="Times New Roman" w:hAnsi="Times New Roman" w:cs="Times New Roman"/>
          <w:color w:val="000000" w:themeColor="text1"/>
          <w:sz w:val="16"/>
          <w:szCs w:val="16"/>
        </w:rPr>
        <w:softHyphen/>
        <w:t>дей с упряжью (19292).</w:t>
      </w:r>
    </w:p>
    <w:p w14:paraId="074AFD8F" w14:textId="77777777" w:rsidR="009353C5" w:rsidRPr="00640820" w:rsidRDefault="009353C5" w:rsidP="00640820">
      <w:pPr>
        <w:autoSpaceDE w:val="0"/>
        <w:autoSpaceDN w:val="0"/>
        <w:adjustRightInd w:val="0"/>
        <w:spacing w:after="0" w:line="240" w:lineRule="auto"/>
        <w:jc w:val="both"/>
        <w:rPr>
          <w:rFonts w:ascii="Times New Roman" w:hAnsi="Times New Roman"/>
          <w:color w:val="000000" w:themeColor="text1"/>
          <w:sz w:val="16"/>
          <w:szCs w:val="16"/>
        </w:rPr>
      </w:pPr>
    </w:p>
    <w:p w14:paraId="62EE16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декабря 1941 вышло постановление ГКО N 1048сс которым решили объединить заводы 22 и 124 в единый завод 22, а производство ТБ-7 было приказано законсервировать, сохранив всю оснастку, тех. документацию и заделы.</w:t>
      </w:r>
    </w:p>
    <w:p w14:paraId="62E194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 ГКО N 1048</w:t>
      </w:r>
    </w:p>
    <w:p w14:paraId="0308CD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23.XII.1941 г. Сталин.</w:t>
      </w:r>
    </w:p>
    <w:p w14:paraId="03CE08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 производстве самолетов Пе-2</w:t>
      </w:r>
    </w:p>
    <w:p w14:paraId="12241F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заводе N 22 в Казани.</w:t>
      </w:r>
    </w:p>
    <w:p w14:paraId="0EC9D2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Объединить заводы NN 22 и 124 в единый завод N 22. Производство самолетов ТБ-7 законсервировать, сохранив всю оснастку, техническую документацию и заделы.</w:t>
      </w:r>
    </w:p>
    <w:p w14:paraId="6FAA92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Обязать НКАП - Шахурина, Дементьева, директора завода N 22 Карпова, главного инженера Лещенко, парторга Жукова и секретаря Татарского обкома ВКП(б) Алемасова в январе 1942 года коренным образом выправить положение на заводе N 22 и обеспечить выпуск следующего количества самолетов Пе-2: с 1 января по 14 января - по три самолета в день, с 15 по 25 января - по четыре самолета в день, и с 26 января - по пяти самолетов в день. Всего за январь выпустить 109 самолетов... (2760,2).</w:t>
      </w:r>
    </w:p>
    <w:p w14:paraId="7DB2F7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5C041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декабря 1941 г. Решением ГКО № 1048сс и приказом НКАП от 26.12.1941 г. заводы № 22 и 124 были объединены под названием Казанский авиационный завод № 22 НКАП им. Горбунова. По приказу № 488с от 4.07.1942 г. в состав завода № 22 влит также опытный завод № 294 НКАП 7ГУ. По приказу № 755с от 16.12.1943 г. завод № 294 вновь выделен из состава завода № 22 в самостоятельный с 1.01.1944 г.</w:t>
      </w:r>
    </w:p>
    <w:p w14:paraId="4BB0C1B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11.12.1941 г. вышло постановление ГКО № 1014 о переводе серийного производства самолета «103В» с завода № 166 на завод № 22. 3.01.1942 г. вышло новое постановление ГКО № 1094 о подготовке серийного производства самолета «103» на заводе № 22 (о сокращении элементов гидрооборудования и дистанционного управления на самолете), пост. ГКО № 1396 от 6.03.1942 г. оно отменено.</w:t>
      </w:r>
    </w:p>
    <w:p w14:paraId="570410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освободившейся площадке в Москве с 10.1941 г. образовались Самолетные ремонтные мастерские при Ремонтном отделе НКАП. В соответствии с пост. ГКО № 1039 от 17.12.1941 г. на этой площадке образован новый завод № 23 НКАП для выпуска самолета «103».</w:t>
      </w:r>
    </w:p>
    <w:p w14:paraId="51E982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11.01.1942 г. вышло постановление ГКО № 1135 об оборудовании на заводе самолета ТБ-7 двигателями АМ- 35А. 3.05.1942 г. вышло постановление ГКО № 1694 о восстановлении производства на заводе ТБ-7 с АМ-35А. 20.02.1944 г. вышло постановление ГКО № 5221 о выпуске Пе-8 с моторами М-82ФН.</w:t>
      </w:r>
    </w:p>
    <w:p w14:paraId="063285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 ГКО № 1376сс от 3.03.1942 г. заводу утвержден суточный план на 03.1942 г. по выпуску Пе-2: с 1 по 5 марта - 15 машин, с 6 по 10 - 20 и с 11 по 31 марта - 25 машин. Пост. ГКО № 2346 от 25.09.1942 г. заводу поручено построить три Пе-2 с моторами М-107 со сроком сдачи 15.12.1942 г. 25.12.1942 г. вышло постановление ГКО № 2654 об увеличении выпуска самолета Пе-2 на заводе. В соответствии с пост. ГКО № 3449 от 28.05.1943 г. на заводе запущен в производство Пе-2 в варианте истребителя. 21.06.1943 г. вышло постановление ГКО № 3622 о выпуске на заводе Пе-2 с моторами М-82Ф; 12.11.1943 г. - постановление ГКО № 4552 о производстве на заводе истребителя Пе-3. 5.03.1944 г. вышло постановление ГКО № 5320 об увеличении выпуска Пе-2 на заводе.</w:t>
      </w:r>
    </w:p>
    <w:p w14:paraId="5B412A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ГКО № 3601 от 18.06.1943 г. и приказом № 367сс от 22.06.1943 г. Мясищев назначен гл. конструктором завода. Тем же приказом при заводе № 482 образован филиал ОКБ завода № 22 по боевьм самолетам.</w:t>
      </w:r>
    </w:p>
    <w:p w14:paraId="6E18B7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время ВОВ на заводе № 22 базировалось ОКБ Незваля. В 1945 г. оно вошло в ОКБ-156 Туполева.</w:t>
      </w:r>
    </w:p>
    <w:p w14:paraId="454BC2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1944 г. часть оборудования завода передана для формирования нового завода № 473 НКАП.</w:t>
      </w:r>
    </w:p>
    <w:p w14:paraId="067F6F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1945-57 г. на заводе действовал филиал ОКБ-156.</w:t>
      </w:r>
    </w:p>
    <w:p w14:paraId="61EE0B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01.1950 г. в состав завода влилось ОКБ-387 ( г. Казань).</w:t>
      </w:r>
    </w:p>
    <w:p w14:paraId="04398B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 4764-2062 от 28.11.1950 г. и приказом МАП № 240 начата подготовка к серийному выпуску самолета Ту-85, но самолет не строился, оснастка законсервирована.</w:t>
      </w:r>
    </w:p>
    <w:p w14:paraId="2EA96F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 3193-1214 от 10.07.1952 г. на заводе прекращен выпуск Ту-4 и начата подготовка к производству с 1953 г. Ту-16. Первый Ту-16 выпущен 29.10.1953 г. До 1958 г. выпущена 41 серия (серии 1-10 по 5 машин, 11-20 по 10 машин, 21-30 по 20 машин, 31-41 по 30 машин), в 1961-63 г. выпущено еще 30 серий по 5 машин.</w:t>
      </w:r>
    </w:p>
    <w:p w14:paraId="35306F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СМ СССР № 713-342 от 26.06.1957 г. завод передан в ведение СНХ РСФСР.</w:t>
      </w:r>
    </w:p>
    <w:p w14:paraId="1E1FBFA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заводе работала группа А.К. Быкова по легким самолетам. В 04.1959 г. она слилась со студенческим планерным ОКБ КАИ (руководитель- М.П. Симонов), образовав ГСКБ СА.</w:t>
      </w:r>
    </w:p>
    <w:p w14:paraId="4307286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1960-е  г. на заводе образовано представительство ОКБ Ильюшина (представитель (1960-е)-  Г.К. Нохратян-Торосян, (-1977 г.)- В.М. Сухобоков, В.К. Пикалов, (2003 г.)- М.И. Бещиков).</w:t>
      </w:r>
    </w:p>
    <w:p w14:paraId="04A6CC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 114-38 от 1.02.1964 г. начата подготовка производства Ил-62.</w:t>
      </w:r>
    </w:p>
    <w:p w14:paraId="0DFFD1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1978 г. изготовлены комплекты агрегатов первых трех опытных Ту-160 (собраны на ММЗ «Опыт»), с 1986 г. начато серийное производство, остановленное по указанию Президента РФ в 1992 г. В 1997 г. производство возобновлено.</w:t>
      </w:r>
    </w:p>
    <w:p w14:paraId="2A027F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1980-е  г. построен корпус № 206 для производства Ту-22М и Ту-160 с уникальным оборудованием (ЭТА- электротермический агрегат для обработки панелей длиной до 25м; ПЭС- агрегат старения материала панелей длиной до 25м). В 1980-е  г. для сварки титанового центроплана Ту-160 созданы сварочные камеры с глубоким вакуумом.</w:t>
      </w:r>
    </w:p>
    <w:p w14:paraId="3CD259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1949-66 г. имел наименование «п/я 747». До 1977 г. - Казанский машиностроительный завод им. С.П. Горбунова, затем- КАПО. В 1996-97 г. на базе предприятия создано 12 хозрасчетных подразделений, в 02.2000 г. вступил в строй новый кузнечный корпус (1-я очередь). По Указу Президента РФ № 1009 от 4.08.2004 г. вошел в число стратегических оборонных предприятий. В соответствии с пост. Правительства от 25.04.2006 г. ФГУП «КАПО» преобразовано в ОАО и вошло в состав </w:t>
      </w:r>
      <w:r w:rsidRPr="00640820">
        <w:rPr>
          <w:rFonts w:ascii="Times New Roman" w:hAnsi="Times New Roman"/>
          <w:color w:val="000000" w:themeColor="text1"/>
          <w:sz w:val="16"/>
          <w:szCs w:val="16"/>
          <w:lang w:val="en-US"/>
        </w:rPr>
        <w:t>OAK</w:t>
      </w:r>
      <w:r w:rsidRPr="00640820">
        <w:rPr>
          <w:rFonts w:ascii="Times New Roman" w:hAnsi="Times New Roman"/>
          <w:color w:val="000000" w:themeColor="text1"/>
          <w:sz w:val="16"/>
          <w:szCs w:val="16"/>
        </w:rPr>
        <w:t>.</w:t>
      </w:r>
    </w:p>
    <w:p w14:paraId="6CCA87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Правительства № 217(5) от 15.04.2005 г. началось серийное производство Ту-334.</w:t>
      </w:r>
    </w:p>
    <w:p w14:paraId="30C978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2005 г. размещен заказ управделами Президента РФ на 6 самолетов: 2- Ту-214СР (срок сдачи- П-й квартал 2007 г.), 2- Ту-214ПУ (2008 г.), 2- Ту-214СУС (2009 г.). Первые два сданы в 06.2009 г.Таманская.о 15.09.2009 г.</w:t>
      </w:r>
    </w:p>
    <w:p w14:paraId="3C1CDD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(11.1940 г.)- 1495 металлорежущих станков.</w:t>
      </w:r>
    </w:p>
    <w:p w14:paraId="3A7078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(1922 г.)- 700 рабочих, (1925 г.)- около 1000 чел., (03.1939 г.)- более 11 тыс. чел., (2002 г.)- 12.000 чел.,</w:t>
      </w:r>
      <w:r w:rsidRPr="00640820">
        <w:rPr>
          <w:rFonts w:ascii="Times New Roman" w:hAnsi="Times New Roman"/>
          <w:color w:val="000000" w:themeColor="text1"/>
          <w:sz w:val="16"/>
          <w:szCs w:val="16"/>
          <w:vertAlign w:val="superscript"/>
        </w:rPr>
        <w:t>69</w:t>
      </w:r>
      <w:r w:rsidRPr="00640820">
        <w:rPr>
          <w:rFonts w:ascii="Times New Roman" w:hAnsi="Times New Roman"/>
          <w:color w:val="000000" w:themeColor="text1"/>
          <w:sz w:val="16"/>
          <w:szCs w:val="16"/>
        </w:rPr>
        <w:t xml:space="preserve"> (2004 г.)- 7298 чел.</w:t>
      </w:r>
    </w:p>
    <w:p w14:paraId="07D948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(1917-19 г.)-  Г.В. Кульчицкий, (1920-24 г.)- И.С. Олейничук, Шоль, (-11.1927-30 г.)- П.С. Малахов, (1930-33 г.)- С.П. Горбунов (погиб в авиакатастрофе), К.Д. Кузнецов, (1936 г.)- Б.Н. Тарасевич, (-01-15.02.1937 г.)- Марголин (репрессирован); и.о. (15.02-08.1937 г.-)- Б.Н. Тарасевич; (7.09.1937-22.02.1938 г.)- А.С. Сухарев; и.о. (13.02.1938 г.-)- Б.Н. Тарасевич; (5.03.1938-41; -01.1943-49 г.)- В.А. Окулов, (1941-42 г.-&gt; Карпов, (1949-53 г.)- А.В. Соколов, (1953-60 г.)- П.П. Смирнов, (1960-67 г.)- Н.И. Максимов, (1967-73 г.)- М.Н. Глебов, (1973-94 г.)- В.Е. Копылов. Гендиректор (1994-96 г.)- Ю.Д. Литвинов, (1996-2005 г.)- Н. Г. Хайруллин, (2005 г.-)- А.П. Лаврентьев, (2009 г.)- В. Каюмов.</w:t>
      </w:r>
    </w:p>
    <w:p w14:paraId="35D028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(1937 г.)- Морасанов, (12.1938 г.)- Збарский. Помощник директора: по техчасти (1927 г.)- Ермолаев, (04.1928 г.)- Окромешко; и.о. (09.1928 г.)- Дайбог; по найму и увольнению (06.1937 г.)- Н.М. Кутиков, (22.10.1937-09.1938 г.-)- Д.Н. Рябчук; (1930 г.)- Иевлев. Зам. Гендиректора (2002 г.)- Р.А. Шпилькин; по маркетингу и ВЭД (2005 г.)- И.Р. Мингалеев.</w:t>
      </w:r>
    </w:p>
    <w:p w14:paraId="0DA161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Технический директор (1.08.1927 г.-&gt; Н.В. Окромешко, (12.1938 г.)- Тарасевич.</w:t>
      </w:r>
    </w:p>
    <w:p w14:paraId="03346B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технического директора (1937 г.)- И.Л. Дегтярев. Помощник технического директора (08.1937 г.)- Холмский.</w:t>
      </w:r>
    </w:p>
    <w:p w14:paraId="0D10A04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(1942 г.)- С.М. Лещенко, (2002 г.)- А.Б. Кравцов.</w:t>
      </w:r>
    </w:p>
    <w:p w14:paraId="51E199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(05.1937; 08.1940-02.1941 г.)- А.А. Архангельский {17.12.1892-18.12.1978}, (07.1937-38; 02.1941-01.1942 г.)- В.М. Петляков (был репрессирован), (06.1943 г.-)- В.М. Мясищев.</w:t>
      </w:r>
    </w:p>
    <w:p w14:paraId="56CB1F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конструктора (12.1940 г.-)-  Г.Е. Болотов, (06.1945 г.-&gt; И.Ф. Незваль.</w:t>
      </w:r>
    </w:p>
    <w:p w14:paraId="498947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цехов: № 3 (1930-е)- Коломенский.</w:t>
      </w:r>
    </w:p>
    <w:p w14:paraId="3283BF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Заведующие отделами: плановым (09.1928 г.)- Черзих. Начальники отделов: планового (1937 г.)- В.В. Кондаков; ОКС (12.1938 г.)- Горелов.</w:t>
      </w:r>
    </w:p>
    <w:p w14:paraId="036425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начальника отдела: ППО (-04.1938 г.)- Пылакин.</w:t>
      </w:r>
    </w:p>
    <w:p w14:paraId="33F309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Заведующий: снабжением (1930 г.)- Иванов; статистикой (1927 г.)- Шепелев.</w:t>
      </w:r>
    </w:p>
    <w:p w14:paraId="0DBCE7B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Представитель в Москве (2000 г.)- В.А. Обухов.</w:t>
      </w:r>
    </w:p>
    <w:p w14:paraId="231271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Летчики-испытатели: (09.1935 г.-)-  Г.Ф. Байдуков.</w:t>
      </w:r>
    </w:p>
    <w:p w14:paraId="158EDA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Производство: самолеты: Р-3 (1927-29)- 101, И-4 (1929-31)- 177, ТБ-1 (1929-32)- 216, АНТ-9 (1930-32)- 61, Р- 6 (1931-32)- 45, ТБ-3 (1932-38)- 763, КР-6 (1934-35)- 170, КР-6А (1934-35)- 100, ДБ-А (1934-36)- 2, СБ (1936-41)- 5695, АНТ-35 (ПС-35, 1937-38), Ар-2 (1940-41), Пе-2 (1940-45)-10058, Пе-3 (1944)- 19, УПе-2 (-12.1945), Пе- 8 (1942-44)- 56, ДВБ-102 (1942, 1944)- 2, Ту-4 (1947-52)- 847 (всего на 3 заводах); Ту-16 (1953-58), Ту-16А (1950-е)- 453, Ту-16КС (1955-), Ту-16К-10 (1958-59; 61-63)- 157, всего 799; Ту-22Б (1950-е)- 20, Ту-22 (1960-69)- 311, Ту- 22М0 (1969-72)- 10, Ту-22М1 (1971-72)- 9, Ту-22М2 (1972-83)- 211, Ту-22МЗ (1978-2000)- 268, Ту-104- </w:t>
      </w:r>
      <w:r w:rsidRPr="00640820">
        <w:rPr>
          <w:rFonts w:ascii="Times New Roman" w:hAnsi="Times New Roman"/>
          <w:color w:val="000000" w:themeColor="text1"/>
          <w:sz w:val="16"/>
          <w:szCs w:val="16"/>
        </w:rPr>
        <w:lastRenderedPageBreak/>
        <w:t>140 (вместе с заводом № 135), Ил-62 (1969-71)- 97, Ил-62М (1972-95)-193, Ту-160 (1986-92; 1997-2008-)- около 30, Ту- 204 (1996-), Ту-214 (2001-05-)- 8 (на 08.2005), Ту-334 (2005-); капремонт Ил-62М (-2001-03-); модернизация Ту- 160 «Валентин Близнюк» (-07.2006);</w:t>
      </w:r>
    </w:p>
    <w:p w14:paraId="2453A4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комплектующие для ОК «Буран»; агрегаты двигателей НК-93, АИ-22 (2005); моторная лодка «Казанка»; сушильновакуумная машина для производства кож (2004).</w:t>
      </w:r>
    </w:p>
    <w:p w14:paraId="37ED7F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Заводские №№: И-4 № 1591 (1930 г.); Ту-16 № 4200401 (11982).</w:t>
      </w:r>
    </w:p>
    <w:p w14:paraId="2D342E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5E4C5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23 декабря 1941 г. последовало постановление ГКО №1048сс и приказ наркомата авиапромышленности № 1185сс: два завода (№22 и № 124) объединить в один завод - №22, дальнейшее производство Пе-8 прекратить, с последующей консервацией имеющегося задела, который по состоянию на </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 xml:space="preserve"> января 1942 г. оценивался в 15 самолетов. В конце декабря в Казань прибыл заместитель наркома авиапромышленности П.В.Дементьев, который объявил заводскому руководству о принятом решении. В своих воспоминаниях Иосиф Фомич Незваль записал, что при личной встрече с ним Дементьев добавил: "Но ты, несмотря ни на что, продолжай строить эти самолеты, я вам буду всячески помогать" (12025).</w:t>
      </w:r>
    </w:p>
    <w:p w14:paraId="746ABD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DE1B68A" w14:textId="77777777" w:rsidR="00977D0D" w:rsidRPr="00640820" w:rsidRDefault="00977D0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декабря 1941 года приказом наркомата авиапромышленности № 1185 сс и Постановлением ГКО № 1048 сс от 26 декабря того же года сообщалось об объединении авиазаводов № 22 (на нем выпускался двухмоторный пикирующий бомбардировщик Пе-2) и № 124 (на нем выпускался четырехмоторный бомбардировщик ТБ-7) в Казани в один завод № 22 и о прекращении серийного выпуска ТБ-7. Но прибывший в Казань для оглашения этих распоряжений замнаркома авиапромышленности П.В. Дементьев заявил в приватной беседе И.Ф. Незвалю, возглавлявшему производство ТБ-7: «Фомич! Ты не бзди… клепай втихую свои бомбовозы, если что, обращайся лично ко мне» [33] (18619).</w:t>
      </w:r>
    </w:p>
    <w:p w14:paraId="1724AA9F" w14:textId="77777777" w:rsidR="00977D0D" w:rsidRPr="00640820" w:rsidRDefault="00977D0D" w:rsidP="00640820">
      <w:pPr>
        <w:spacing w:after="0" w:line="240" w:lineRule="auto"/>
        <w:jc w:val="both"/>
        <w:rPr>
          <w:rFonts w:ascii="Times New Roman" w:hAnsi="Times New Roman"/>
          <w:color w:val="000000" w:themeColor="text1"/>
          <w:sz w:val="16"/>
          <w:szCs w:val="16"/>
        </w:rPr>
      </w:pPr>
    </w:p>
    <w:p w14:paraId="74B24B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декабря 1941 вышло Постановление ГКО № 1049 Об увеличении производства самолетов Як-1 и Як-3. РГАНИР, Фонд ГКО, д. 16, лл. 142 (11012).</w:t>
      </w:r>
    </w:p>
    <w:p w14:paraId="76F857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0456E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декабря 1941 вышло Постановление ГКО N 1049</w:t>
      </w:r>
    </w:p>
    <w:p w14:paraId="729E06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23.XII.1941 г. Сталин.</w:t>
      </w:r>
    </w:p>
    <w:p w14:paraId="3377F6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 увеличении производства самолетов Як-1 и Як-3.</w:t>
      </w:r>
    </w:p>
    <w:p w14:paraId="1C37D1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Обязать наркома Шахурина и директора завода N 292 Левина обеспечить ежедневный выпуск самолетов Як-1 по 10 самолетов, начиная с 25 декабря 1941 года.</w:t>
      </w:r>
    </w:p>
    <w:p w14:paraId="24686A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Установить преимущественное обеспечение Саратовского завода N 292 моторами, радиаторами, винтами, вооружением и другими видами материально-технического снабжения в сравнении с Горьковским заводом N 21.</w:t>
      </w:r>
    </w:p>
    <w:p w14:paraId="54C5D38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Обязать НКАП - Шахурина и Яковлева и директора завода N 153 Романова обеспечить выпуск самолетов Як-3 на заводе N 153 в следующем количестве: с 1 января по 20 января 1942 года - по два самолета в день, с 21 января по 10 февраля - по три самолета в день, с 11 февраля по 20 февраля - по четыре самолета в день, с 21 февраля по 15 марта - по пяти самолетов в день, с 16 марта - по шести самолетов в день. прекратить в марте 1942 года выпуск самолетов Лагг-3 на заводе N 153.</w:t>
      </w:r>
    </w:p>
    <w:p w14:paraId="445160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Обязать НКАП - Шахурина и директора Бакинского завода N 458 - Бугрова организовать производство самолетов Як-3, прекратив выпуск самолетов УТИ-4 в феврале 1942 года. Установить начало выпуска самолетов Як-3 на заводе N 458 в апреле 1942 года (2760,4).</w:t>
      </w:r>
    </w:p>
    <w:p w14:paraId="00E463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4BD058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декабря 1941 года зам. наркома Яковлев и директор завода N 51 и гл. конструктор Поликарпов писали письмо N 3961с Шахурину.</w:t>
      </w:r>
    </w:p>
    <w:p w14:paraId="728A83A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Согласно отчета испытаний в ЛИИ НКАП самолета И-185 с М-71, конструкции Поликарпова Н.Н. получены следующие летно-технические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928"/>
        <w:gridCol w:w="5670"/>
      </w:tblGrid>
      <w:tr w:rsidR="00643896" w:rsidRPr="00640820" w14:paraId="69A13D2E" w14:textId="77777777" w:rsidTr="000D3BCB">
        <w:tc>
          <w:tcPr>
            <w:tcW w:w="4928" w:type="dxa"/>
            <w:tcBorders>
              <w:top w:val="single" w:sz="12" w:space="0" w:color="auto"/>
            </w:tcBorders>
          </w:tcPr>
          <w:p w14:paraId="46EA9B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скорость у земли - без форсажа</w:t>
            </w:r>
          </w:p>
        </w:tc>
        <w:tc>
          <w:tcPr>
            <w:tcW w:w="5670" w:type="dxa"/>
            <w:tcBorders>
              <w:top w:val="single" w:sz="12" w:space="0" w:color="auto"/>
            </w:tcBorders>
          </w:tcPr>
          <w:p w14:paraId="316ACF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503 км/час</w:t>
            </w:r>
          </w:p>
        </w:tc>
      </w:tr>
      <w:tr w:rsidR="00643896" w:rsidRPr="00640820" w14:paraId="40EFB4A8" w14:textId="77777777" w:rsidTr="000D3BCB">
        <w:tc>
          <w:tcPr>
            <w:tcW w:w="4928" w:type="dxa"/>
          </w:tcPr>
          <w:p w14:paraId="69B5023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частичным форсажем</w:t>
            </w:r>
          </w:p>
        </w:tc>
        <w:tc>
          <w:tcPr>
            <w:tcW w:w="5670" w:type="dxa"/>
          </w:tcPr>
          <w:p w14:paraId="60232F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520 км/час</w:t>
            </w:r>
          </w:p>
        </w:tc>
      </w:tr>
      <w:tr w:rsidR="00643896" w:rsidRPr="00640820" w14:paraId="70ECE93B" w14:textId="77777777" w:rsidTr="000D3BCB">
        <w:tc>
          <w:tcPr>
            <w:tcW w:w="4928" w:type="dxa"/>
          </w:tcPr>
          <w:p w14:paraId="46F271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полным форсажем</w:t>
            </w:r>
          </w:p>
        </w:tc>
        <w:tc>
          <w:tcPr>
            <w:tcW w:w="5670" w:type="dxa"/>
          </w:tcPr>
          <w:p w14:paraId="5DFA93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530 км/час</w:t>
            </w:r>
          </w:p>
        </w:tc>
      </w:tr>
      <w:tr w:rsidR="00643896" w:rsidRPr="00640820" w14:paraId="0066CC01" w14:textId="77777777" w:rsidTr="000D3BCB">
        <w:tc>
          <w:tcPr>
            <w:tcW w:w="4928" w:type="dxa"/>
          </w:tcPr>
          <w:p w14:paraId="4BBC6C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скорость на высоте 6150 м</w:t>
            </w:r>
          </w:p>
        </w:tc>
        <w:tc>
          <w:tcPr>
            <w:tcW w:w="5670" w:type="dxa"/>
          </w:tcPr>
          <w:p w14:paraId="168827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620 км/час</w:t>
            </w:r>
          </w:p>
        </w:tc>
      </w:tr>
      <w:tr w:rsidR="00643896" w:rsidRPr="00640820" w14:paraId="3E1FEC6C" w14:textId="77777777" w:rsidTr="000D3BCB">
        <w:tc>
          <w:tcPr>
            <w:tcW w:w="4928" w:type="dxa"/>
          </w:tcPr>
          <w:p w14:paraId="02ACDF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время набора 5000 м</w:t>
            </w:r>
          </w:p>
        </w:tc>
        <w:tc>
          <w:tcPr>
            <w:tcW w:w="5670" w:type="dxa"/>
          </w:tcPr>
          <w:p w14:paraId="3D0D31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5,5 мин.</w:t>
            </w:r>
          </w:p>
        </w:tc>
      </w:tr>
      <w:tr w:rsidR="00643896" w:rsidRPr="00640820" w14:paraId="15F14D82" w14:textId="77777777" w:rsidTr="000D3BCB">
        <w:tc>
          <w:tcPr>
            <w:tcW w:w="4928" w:type="dxa"/>
          </w:tcPr>
          <w:p w14:paraId="69BDB8EF" w14:textId="77777777" w:rsidR="00045010" w:rsidRPr="00640820" w:rsidRDefault="00F00B65"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w:t>
            </w:r>
            <w:r w:rsidR="00045010" w:rsidRPr="00640820">
              <w:rPr>
                <w:rFonts w:ascii="Times New Roman" w:hAnsi="Times New Roman"/>
                <w:color w:val="000000" w:themeColor="text1"/>
                <w:sz w:val="16"/>
                <w:szCs w:val="16"/>
              </w:rPr>
              <w:t>азбег</w:t>
            </w:r>
          </w:p>
        </w:tc>
        <w:tc>
          <w:tcPr>
            <w:tcW w:w="5670" w:type="dxa"/>
          </w:tcPr>
          <w:p w14:paraId="2E6C90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270 м</w:t>
            </w:r>
          </w:p>
        </w:tc>
      </w:tr>
      <w:tr w:rsidR="00643896" w:rsidRPr="00640820" w14:paraId="13F904C1" w14:textId="77777777" w:rsidTr="000D3BCB">
        <w:tc>
          <w:tcPr>
            <w:tcW w:w="4928" w:type="dxa"/>
            <w:tcBorders>
              <w:bottom w:val="single" w:sz="12" w:space="0" w:color="auto"/>
            </w:tcBorders>
          </w:tcPr>
          <w:p w14:paraId="65372C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пробег после посадки</w:t>
            </w:r>
          </w:p>
        </w:tc>
        <w:tc>
          <w:tcPr>
            <w:tcW w:w="5670" w:type="dxa"/>
            <w:tcBorders>
              <w:bottom w:val="single" w:sz="12" w:space="0" w:color="auto"/>
            </w:tcBorders>
          </w:tcPr>
          <w:p w14:paraId="10A48E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370 м</w:t>
            </w:r>
          </w:p>
        </w:tc>
      </w:tr>
    </w:tbl>
    <w:p w14:paraId="53381E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Штопорные свойства хорошие.</w:t>
      </w:r>
    </w:p>
    <w:p w14:paraId="2AE6C7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Полная достаточность охлаждения винтомоторной группы.</w:t>
      </w:r>
    </w:p>
    <w:p w14:paraId="727D52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Самолет имеет также сильное вооружение:</w:t>
      </w:r>
    </w:p>
    <w:p w14:paraId="4CC471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стрелковое:</w:t>
      </w:r>
    </w:p>
    <w:p w14:paraId="2753D5A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"БС" с 440 патронами</w:t>
      </w:r>
    </w:p>
    <w:p w14:paraId="563792B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"Шкасс" с 1400 патронами или</w:t>
      </w:r>
    </w:p>
    <w:p w14:paraId="2D03B79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"Швак" 20 с 540 патронами</w:t>
      </w:r>
    </w:p>
    <w:p w14:paraId="02A7F3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бомбардировочное</w:t>
      </w:r>
    </w:p>
    <w:p w14:paraId="00232A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балки для бомб калибром до 250 кг или</w:t>
      </w:r>
    </w:p>
    <w:p w14:paraId="60125F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штук РО 87 мм</w:t>
      </w:r>
    </w:p>
    <w:p w14:paraId="3BF86C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проверенной возможностью взлета и посадки с бомбовой нагрузкой 2х250=500 кг (разбег при этом 550 м).</w:t>
      </w:r>
    </w:p>
    <w:p w14:paraId="446C27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этот самолет с заменой винтомоторной группы может строиться под моторы М-82 и М-90.</w:t>
      </w:r>
    </w:p>
    <w:p w14:paraId="042B40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Заводом изготовлены все серийные чертежи, шаблоны плазы, приспособления и оснастка необходимые для постройки первых серий этих самолетов.</w:t>
      </w:r>
    </w:p>
    <w:p w14:paraId="0A4A14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Эвакуированный из Москвы в Новосибирск завод N 51 НКАП в настоящее время размещен в помещении автобазы, на производственной площади 8500 кв. м, может параллельно с выполнением своей опытной программы строить своими силами серию самолетов И-185 с М-71 с началом выпуска - апрель 1942 г. с доведением выпуска в августе-сентябре 1942 г. до 1 самолета в два дня, без крупных капиталовложений в строительство и без пополнения оборудования.</w:t>
      </w:r>
    </w:p>
    <w:p w14:paraId="570CF2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N 51 НКАП на отведенной ему площади в 7 га имеет возможности дальнейшего расширения.</w:t>
      </w:r>
    </w:p>
    <w:p w14:paraId="26BF5C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основании изложенного считаем целесообразным поставить перед Вами вопрос о запуске в серийное производство на заводе N 51 самолетов И-185 с М-71 (1679,6).</w:t>
      </w:r>
    </w:p>
    <w:p w14:paraId="163D689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CE1B76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декабря 1941 года Н.Н. Поликарпов после эва</w:t>
      </w:r>
      <w:r w:rsidRPr="00640820">
        <w:rPr>
          <w:rFonts w:ascii="Times New Roman" w:hAnsi="Times New Roman"/>
          <w:color w:val="000000" w:themeColor="text1"/>
          <w:sz w:val="16"/>
          <w:szCs w:val="16"/>
        </w:rPr>
        <w:softHyphen/>
        <w:t>куации совме</w:t>
      </w:r>
      <w:r w:rsidRPr="00640820">
        <w:rPr>
          <w:rFonts w:ascii="Times New Roman" w:hAnsi="Times New Roman"/>
          <w:color w:val="000000" w:themeColor="text1"/>
          <w:sz w:val="16"/>
          <w:szCs w:val="16"/>
        </w:rPr>
        <w:softHyphen/>
        <w:t>стно с А.С. Яковлевым доложил А.И. Шахурину о готовности организовать малосерийный выпуск И-185 с М-71 на заводе № 51 в Новосибирске. М-71 к этому времени так и не прошел еще 100-часовых стендовых госиспытаний, про</w:t>
      </w:r>
      <w:r w:rsidRPr="00640820">
        <w:rPr>
          <w:rFonts w:ascii="Times New Roman" w:hAnsi="Times New Roman"/>
          <w:color w:val="000000" w:themeColor="text1"/>
          <w:sz w:val="16"/>
          <w:szCs w:val="16"/>
        </w:rPr>
        <w:softHyphen/>
        <w:t>изводство для него также не было под</w:t>
      </w:r>
      <w:r w:rsidRPr="00640820">
        <w:rPr>
          <w:rFonts w:ascii="Times New Roman" w:hAnsi="Times New Roman"/>
          <w:color w:val="000000" w:themeColor="text1"/>
          <w:sz w:val="16"/>
          <w:szCs w:val="16"/>
        </w:rPr>
        <w:softHyphen/>
        <w:t>готовлено. Да и зима 1941-1942 гг. была не лучшим временем для по</w:t>
      </w:r>
      <w:r w:rsidRPr="00640820">
        <w:rPr>
          <w:rFonts w:ascii="Times New Roman" w:hAnsi="Times New Roman"/>
          <w:color w:val="000000" w:themeColor="text1"/>
          <w:sz w:val="16"/>
          <w:szCs w:val="16"/>
        </w:rPr>
        <w:softHyphen/>
        <w:t>добных решений: выпуск даже серий</w:t>
      </w:r>
      <w:r w:rsidRPr="00640820">
        <w:rPr>
          <w:rFonts w:ascii="Times New Roman" w:hAnsi="Times New Roman"/>
          <w:color w:val="000000" w:themeColor="text1"/>
          <w:sz w:val="16"/>
          <w:szCs w:val="16"/>
        </w:rPr>
        <w:softHyphen/>
        <w:t>ной продукции НКАПа упал до недо</w:t>
      </w:r>
      <w:r w:rsidRPr="00640820">
        <w:rPr>
          <w:rFonts w:ascii="Times New Roman" w:hAnsi="Times New Roman"/>
          <w:color w:val="000000" w:themeColor="text1"/>
          <w:sz w:val="16"/>
          <w:szCs w:val="16"/>
        </w:rPr>
        <w:softHyphen/>
        <w:t>пустимо малого уровня. В такой си</w:t>
      </w:r>
      <w:r w:rsidRPr="00640820">
        <w:rPr>
          <w:rFonts w:ascii="Times New Roman" w:hAnsi="Times New Roman"/>
          <w:color w:val="000000" w:themeColor="text1"/>
          <w:sz w:val="16"/>
          <w:szCs w:val="16"/>
        </w:rPr>
        <w:softHyphen/>
        <w:t>туации Шахурин мог лишь пореко</w:t>
      </w:r>
      <w:r w:rsidRPr="00640820">
        <w:rPr>
          <w:rFonts w:ascii="Times New Roman" w:hAnsi="Times New Roman"/>
          <w:color w:val="000000" w:themeColor="text1"/>
          <w:sz w:val="16"/>
          <w:szCs w:val="16"/>
        </w:rPr>
        <w:softHyphen/>
        <w:t>мендовать сначала пройти положен</w:t>
      </w:r>
      <w:r w:rsidRPr="00640820">
        <w:rPr>
          <w:rFonts w:ascii="Times New Roman" w:hAnsi="Times New Roman"/>
          <w:color w:val="000000" w:themeColor="text1"/>
          <w:sz w:val="16"/>
          <w:szCs w:val="16"/>
        </w:rPr>
        <w:softHyphen/>
        <w:t>ные госиспытания, чтобы иметь на ру</w:t>
      </w:r>
      <w:r w:rsidRPr="00640820">
        <w:rPr>
          <w:rFonts w:ascii="Times New Roman" w:hAnsi="Times New Roman"/>
          <w:color w:val="000000" w:themeColor="text1"/>
          <w:sz w:val="16"/>
          <w:szCs w:val="16"/>
        </w:rPr>
        <w:softHyphen/>
        <w:t>ках более весомые аргументы. В Новосибирск была командиро</w:t>
      </w:r>
      <w:r w:rsidRPr="00640820">
        <w:rPr>
          <w:rFonts w:ascii="Times New Roman" w:hAnsi="Times New Roman"/>
          <w:color w:val="000000" w:themeColor="text1"/>
          <w:sz w:val="16"/>
          <w:szCs w:val="16"/>
        </w:rPr>
        <w:softHyphen/>
        <w:t>вана испытательная бригада НИИ ВВС (10686).</w:t>
      </w:r>
    </w:p>
    <w:p w14:paraId="0A45C8C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3361E4" w14:textId="77777777" w:rsidR="009A31E1" w:rsidRPr="00640820" w:rsidRDefault="009A31E1"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23 декабря 1941 г., переехав на место эвакуации, Поликарпов направил наркому авиапромышленности Шахурину письмо №3961с, докладывая, что готов продолжать порученные опытные работы. В плане ОКБ-51 на 1942 г. значились одномоторный истребитель тяжелый пушечный ИТП, двухмоторный тяжелый истребитель сопровождения ТИС, и ряд планеров, из которых уже строился большой десантный планер БДП. Но дополнительно он предлагал начать серийный выпуск И-185: </w:t>
      </w:r>
      <w:r w:rsidRPr="00640820">
        <w:rPr>
          <w:rFonts w:ascii="Times New Roman" w:eastAsia="Times New Roman" w:hAnsi="Times New Roman"/>
          <w:iCs/>
          <w:color w:val="000000" w:themeColor="text1"/>
          <w:sz w:val="16"/>
          <w:szCs w:val="16"/>
          <w:shd w:val="clear" w:color="auto" w:fill="FFFFFF"/>
          <w:lang w:eastAsia="ru-RU"/>
        </w:rPr>
        <w:t>«Эвакуированный из Москвы в Новосибирск завод №51 НКАП в настоящее время размещен в помещении автобазы, на производственной площади 8500 кв. м, может параллельно с выполнением своей опытной программы строить своими силами серию самолетов И-185 с М-71 с началом выпуска - апрель 1942 г. с доведением выпуска в августе-сентябре 1942 г. до 1 самолета в два дня, без крупных капиталовложений в строительство и без пополнения оборудования. Завод №51 НКАП на отведенной ему площади в 7 га имеет возможности дальнейшего расширения. На основании изложенного считаем целесообразным поставить перед Вами вопрос о запуске в серийное производство на заводе №51 самолетов И-185 с М-71».</w:t>
      </w:r>
      <w:r w:rsidRPr="00640820">
        <w:rPr>
          <w:rFonts w:ascii="Times New Roman" w:eastAsia="Times New Roman" w:hAnsi="Times New Roman"/>
          <w:color w:val="000000" w:themeColor="text1"/>
          <w:sz w:val="16"/>
          <w:szCs w:val="16"/>
          <w:lang w:eastAsia="ru-RU"/>
        </w:rPr>
        <w:t xml:space="preserve"> Письмо подписал и зам Шахурина по опытному самолетостроению А.С. Яковлев (17736).</w:t>
      </w:r>
    </w:p>
    <w:p w14:paraId="783F3021" w14:textId="77777777" w:rsidR="009A31E1" w:rsidRPr="00640820" w:rsidRDefault="009A31E1" w:rsidP="00640820">
      <w:pPr>
        <w:spacing w:after="0" w:line="240" w:lineRule="auto"/>
        <w:jc w:val="both"/>
        <w:rPr>
          <w:rFonts w:ascii="Times New Roman" w:hAnsi="Times New Roman"/>
          <w:color w:val="000000" w:themeColor="text1"/>
          <w:sz w:val="16"/>
          <w:szCs w:val="16"/>
        </w:rPr>
      </w:pPr>
    </w:p>
    <w:p w14:paraId="2B266D0F" w14:textId="77777777" w:rsidR="0087788A" w:rsidRPr="00640820" w:rsidRDefault="0087788A" w:rsidP="00640820">
      <w:pPr>
        <w:pStyle w:val="a3"/>
        <w:rPr>
          <w:color w:val="000000" w:themeColor="text1"/>
          <w:lang w:val="ru-RU"/>
        </w:rPr>
      </w:pPr>
      <w:r w:rsidRPr="00640820">
        <w:rPr>
          <w:color w:val="000000" w:themeColor="text1"/>
          <w:lang w:val="ru-RU"/>
        </w:rPr>
        <w:t>23 декабря 1941 г. Н.Н.П. совместно с Яковлевым доложил Шахурину о готовности организовать малосе</w:t>
      </w:r>
      <w:r w:rsidRPr="00640820">
        <w:rPr>
          <w:color w:val="000000" w:themeColor="text1"/>
          <w:lang w:val="ru-RU"/>
        </w:rPr>
        <w:softHyphen/>
        <w:t>рийный выпуск И-185 с М-71 на заводе № 51 в Новосибирске. Напомним, что мотор М-71 к этому времени так и не прошёл еще 100-часовых стендовых госиспытаний, про</w:t>
      </w:r>
      <w:r w:rsidRPr="00640820">
        <w:rPr>
          <w:color w:val="000000" w:themeColor="text1"/>
          <w:lang w:val="ru-RU"/>
        </w:rPr>
        <w:softHyphen/>
        <w:t>изводство для него также не подготовили. Да и зима 1941-1942 гг. стала не лучшим временем для подобных решений: выпуск даже серийной продукции НКАПа упал до не</w:t>
      </w:r>
      <w:r w:rsidRPr="00640820">
        <w:rPr>
          <w:color w:val="000000" w:themeColor="text1"/>
          <w:lang w:val="ru-RU"/>
        </w:rPr>
        <w:softHyphen/>
        <w:t>допустимо малого уровня. В такой ситуации Шахурин мог лишь порекомендовать сна</w:t>
      </w:r>
      <w:r w:rsidRPr="00640820">
        <w:rPr>
          <w:color w:val="000000" w:themeColor="text1"/>
          <w:lang w:val="ru-RU"/>
        </w:rPr>
        <w:softHyphen/>
        <w:t>чала пройти положенные госиспытания, чтобы иметь на руках более весомые аргументы.</w:t>
      </w:r>
    </w:p>
    <w:p w14:paraId="7C3290B8" w14:textId="77777777" w:rsidR="0087788A" w:rsidRPr="00640820" w:rsidRDefault="0087788A" w:rsidP="00640820">
      <w:pPr>
        <w:pStyle w:val="a3"/>
        <w:rPr>
          <w:color w:val="000000" w:themeColor="text1"/>
          <w:lang w:val="ru-RU"/>
        </w:rPr>
      </w:pPr>
      <w:r w:rsidRPr="00640820">
        <w:rPr>
          <w:color w:val="000000" w:themeColor="text1"/>
          <w:lang w:val="ru-RU"/>
        </w:rPr>
        <w:t>В Новосибирск командировали испытательную бригаду НИИ ВВС, и там с 10 февраля по 28 марта 1942 г. провели совместные заводские и государственные испытания (15788).</w:t>
      </w:r>
    </w:p>
    <w:p w14:paraId="3AE6CC7E" w14:textId="77777777" w:rsidR="0087788A" w:rsidRPr="00640820" w:rsidRDefault="0087788A" w:rsidP="00640820">
      <w:pPr>
        <w:pStyle w:val="a3"/>
        <w:rPr>
          <w:color w:val="000000" w:themeColor="text1"/>
          <w:lang w:val="ru-RU"/>
        </w:rPr>
      </w:pPr>
    </w:p>
    <w:p w14:paraId="433FDC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декабря 1941 вышло Постановление ГКО № 1052 Об организации на площади эвакуированного завода № 28 в гор. Москве винтового завода. РГАНИР, Фонд ГКО, д. 16, лл. 145 (11012).</w:t>
      </w:r>
    </w:p>
    <w:p w14:paraId="03EBEB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CC7919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23 декабря 1941 вышло постановление ГКО N 1052сс о создании в Москве на базе эвакуированного завода 28 завода 27 для производства винтов типа ВИШ-61П (1327,14).</w:t>
      </w:r>
    </w:p>
    <w:p w14:paraId="5F28E5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 ГКО N 1052</w:t>
      </w:r>
    </w:p>
    <w:p w14:paraId="3F05FB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23.XII-1941 года. Сталин.</w:t>
      </w:r>
    </w:p>
    <w:p w14:paraId="637B8B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 организации на площади эвакуированного завода N 28</w:t>
      </w:r>
    </w:p>
    <w:p w14:paraId="15ACAF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 Москве винтового завода.</w:t>
      </w:r>
    </w:p>
    <w:p w14:paraId="1CE2D7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ГКО постановляет:</w:t>
      </w:r>
    </w:p>
    <w:p w14:paraId="4578B2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Обязать НКАП (Шахурина) организовать в г. Москве на площади эвакуированного завода N 28 НКАП винтовой завод, присвоив ему N 27.</w:t>
      </w:r>
    </w:p>
    <w:p w14:paraId="4252C0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Установить заводу N 27 на 1942 год программу выпуска винтов типа ВИШ-61 в количестве 3300 штук, в том числе: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643896" w:rsidRPr="00640820" w14:paraId="113B50B5" w14:textId="77777777" w:rsidTr="000D3BCB">
        <w:tc>
          <w:tcPr>
            <w:tcW w:w="3757" w:type="dxa"/>
            <w:tcBorders>
              <w:top w:val="single" w:sz="12" w:space="0" w:color="auto"/>
            </w:tcBorders>
          </w:tcPr>
          <w:p w14:paraId="7BBD9D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марте 1942 года</w:t>
            </w:r>
          </w:p>
        </w:tc>
        <w:tc>
          <w:tcPr>
            <w:tcW w:w="3757" w:type="dxa"/>
            <w:tcBorders>
              <w:top w:val="single" w:sz="12" w:space="0" w:color="auto"/>
            </w:tcBorders>
          </w:tcPr>
          <w:p w14:paraId="3453E3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 штук</w:t>
            </w:r>
          </w:p>
        </w:tc>
      </w:tr>
      <w:tr w:rsidR="00643896" w:rsidRPr="00640820" w14:paraId="678E65BF" w14:textId="77777777" w:rsidTr="000D3BCB">
        <w:tc>
          <w:tcPr>
            <w:tcW w:w="3757" w:type="dxa"/>
          </w:tcPr>
          <w:p w14:paraId="2B93EC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апреле</w:t>
            </w:r>
          </w:p>
        </w:tc>
        <w:tc>
          <w:tcPr>
            <w:tcW w:w="3757" w:type="dxa"/>
          </w:tcPr>
          <w:p w14:paraId="64E2B0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150 -"-</w:t>
            </w:r>
          </w:p>
        </w:tc>
      </w:tr>
      <w:tr w:rsidR="00643896" w:rsidRPr="00640820" w14:paraId="0660CC1F" w14:textId="77777777" w:rsidTr="000D3BCB">
        <w:tc>
          <w:tcPr>
            <w:tcW w:w="3757" w:type="dxa"/>
            <w:tcBorders>
              <w:bottom w:val="single" w:sz="12" w:space="0" w:color="auto"/>
            </w:tcBorders>
          </w:tcPr>
          <w:p w14:paraId="5CE24C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мае</w:t>
            </w:r>
          </w:p>
        </w:tc>
        <w:tc>
          <w:tcPr>
            <w:tcW w:w="3757" w:type="dxa"/>
            <w:tcBorders>
              <w:bottom w:val="single" w:sz="12" w:space="0" w:color="auto"/>
            </w:tcBorders>
          </w:tcPr>
          <w:p w14:paraId="70A509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300 -"-</w:t>
            </w:r>
          </w:p>
        </w:tc>
      </w:tr>
    </w:tbl>
    <w:p w14:paraId="4A837C1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июня 1942 года по 400 штук в месяц.</w:t>
      </w:r>
    </w:p>
    <w:p w14:paraId="313BFB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Обязать НКАП (Шахурина):</w:t>
      </w:r>
    </w:p>
    <w:p w14:paraId="6532478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обеспечить завод N 27 готовыми лопастями с завода N 28 (2760,7).</w:t>
      </w:r>
    </w:p>
    <w:p w14:paraId="54EFDF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1511A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декабря 1941 года на основании постановления ГКО за № 1052 от и 25 декабря 1941 на основании приказа НКАП за № 1186 года на территории эвакуированного завода № 28 перебазирован завод № 489 под № 27 (9521).</w:t>
      </w:r>
    </w:p>
    <w:p w14:paraId="6F6570CE" w14:textId="77777777" w:rsidR="0074416C" w:rsidRPr="00640820" w:rsidRDefault="0074416C" w:rsidP="00640820">
      <w:pPr>
        <w:autoSpaceDE w:val="0"/>
        <w:autoSpaceDN w:val="0"/>
        <w:adjustRightInd w:val="0"/>
        <w:spacing w:after="0" w:line="240" w:lineRule="auto"/>
        <w:jc w:val="both"/>
        <w:rPr>
          <w:rFonts w:ascii="Times New Roman" w:hAnsi="Times New Roman"/>
          <w:color w:val="000000" w:themeColor="text1"/>
          <w:sz w:val="16"/>
          <w:szCs w:val="16"/>
        </w:rPr>
      </w:pPr>
    </w:p>
    <w:p w14:paraId="21A58DD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декабря 1941 вышел приказ НКАП № 1184с:</w:t>
      </w:r>
    </w:p>
    <w:p w14:paraId="673F46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территории эвакуированного з-да 24 в Москве создать з-д авиаремонтного и минометного пр-ва, присвоив ему № 337 и подчинив его 3 ГУ.</w:t>
      </w:r>
    </w:p>
    <w:p w14:paraId="017E7F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Директором назначить М.С.Комарова</w:t>
      </w:r>
    </w:p>
    <w:p w14:paraId="6CE83D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Шахурин (1327, 6).</w:t>
      </w:r>
    </w:p>
    <w:p w14:paraId="2489F6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BB56D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декабря 1941 г. по приказу № 1184с на базе Моторных ремонтных мастерских, созданных на площадке эвакуированного завода № 24 НКАП был создан новый завод № 337 НКАП в системе ЗГУ. Налаживалось авиаремонтное и минометное производство (50-мм ротные минометы).</w:t>
      </w:r>
    </w:p>
    <w:p w14:paraId="5A3D0C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02.1942 г. было принято решение о ликвидации завода № 337 и образовании на этой площадке завода № 45 НКАП, все его оборудование и личный состав переданы заводу № 45.</w:t>
      </w:r>
    </w:p>
    <w:p w14:paraId="731EA3C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(1941-42 г.)- М.С. Комаров (затем- директор завода № 45).</w:t>
      </w:r>
    </w:p>
    <w:p w14:paraId="797DB9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Зам. директора (1941 г.-)-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Федоров (11982).</w:t>
      </w:r>
    </w:p>
    <w:p w14:paraId="6732C9B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271AFB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де</w:t>
      </w:r>
      <w:r w:rsidRPr="00640820">
        <w:rPr>
          <w:rFonts w:ascii="Times New Roman" w:hAnsi="Times New Roman"/>
          <w:color w:val="000000" w:themeColor="text1"/>
          <w:sz w:val="16"/>
          <w:szCs w:val="16"/>
        </w:rPr>
        <w:softHyphen/>
        <w:t>кабря 1941 г., ФАРМ-24 и минометный цех приказом № 1184с наркома авиа</w:t>
      </w:r>
      <w:r w:rsidRPr="00640820">
        <w:rPr>
          <w:rFonts w:ascii="Times New Roman" w:hAnsi="Times New Roman"/>
          <w:color w:val="000000" w:themeColor="text1"/>
          <w:sz w:val="16"/>
          <w:szCs w:val="16"/>
        </w:rPr>
        <w:softHyphen/>
        <w:t>промышленности А.И. Шахурина были объединены в один завод № 337, под</w:t>
      </w:r>
      <w:r w:rsidRPr="00640820">
        <w:rPr>
          <w:rFonts w:ascii="Times New Roman" w:hAnsi="Times New Roman"/>
          <w:color w:val="000000" w:themeColor="text1"/>
          <w:sz w:val="16"/>
          <w:szCs w:val="16"/>
        </w:rPr>
        <w:softHyphen/>
        <w:t>чиненный 3-му главному управлению наркомата. Директором был назначен бывший заместитель директора заво</w:t>
      </w:r>
      <w:r w:rsidRPr="00640820">
        <w:rPr>
          <w:rFonts w:ascii="Times New Roman" w:hAnsi="Times New Roman"/>
          <w:color w:val="000000" w:themeColor="text1"/>
          <w:sz w:val="16"/>
          <w:szCs w:val="16"/>
        </w:rPr>
        <w:softHyphen/>
        <w:t>да № 24 Михаил Семенович Комаров. К концу зимы за плечами у нового пред</w:t>
      </w:r>
      <w:r w:rsidRPr="00640820">
        <w:rPr>
          <w:rFonts w:ascii="Times New Roman" w:hAnsi="Times New Roman"/>
          <w:color w:val="000000" w:themeColor="text1"/>
          <w:sz w:val="16"/>
          <w:szCs w:val="16"/>
        </w:rPr>
        <w:softHyphen/>
        <w:t>приятия были уже солидные успехи. Всего за период с октября 1941 г. по март 1942 г. ФАРМ-24 и завод № 337 отремонтировали около двух тысяч авиационных и танковых двигателей и выпустили 3634 миномета. По итогам работы в январе и феврале 1942 г., учитывая вклад заводчан в разгром немецких войск, наступавших на сто</w:t>
      </w:r>
      <w:r w:rsidRPr="00640820">
        <w:rPr>
          <w:rFonts w:ascii="Times New Roman" w:hAnsi="Times New Roman"/>
          <w:color w:val="000000" w:themeColor="text1"/>
          <w:sz w:val="16"/>
          <w:szCs w:val="16"/>
        </w:rPr>
        <w:softHyphen/>
        <w:t>лицу, наркомат авиапромышленности высоко оценил работу завода. Боль</w:t>
      </w:r>
      <w:r w:rsidRPr="00640820">
        <w:rPr>
          <w:rFonts w:ascii="Times New Roman" w:hAnsi="Times New Roman"/>
          <w:color w:val="000000" w:themeColor="text1"/>
          <w:sz w:val="16"/>
          <w:szCs w:val="16"/>
        </w:rPr>
        <w:softHyphen/>
        <w:t>шая группа сотрудников получила го</w:t>
      </w:r>
      <w:r w:rsidRPr="00640820">
        <w:rPr>
          <w:rFonts w:ascii="Times New Roman" w:hAnsi="Times New Roman"/>
          <w:color w:val="000000" w:themeColor="text1"/>
          <w:sz w:val="16"/>
          <w:szCs w:val="16"/>
        </w:rPr>
        <w:softHyphen/>
        <w:t>сударственные награды (11159).</w:t>
      </w:r>
    </w:p>
    <w:p w14:paraId="7E6F2D2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247F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декабря 1941 года приказом МАП за № 1184с после эвакуации завода № 24 на его территории был создан завод авиаремонтного и минометного производства с присвоением ему № 337.</w:t>
      </w:r>
    </w:p>
    <w:p w14:paraId="354593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НКАП от 24 февраля 1942 года за № 151с во исполнение Постановления ГКО № ГКО-1288сс от 15 февраля 1942 года на Московской площадке эвакуированного завода № 24 им. Фрунзе и вновь созданного завода № 337 организован завод № 45 с выпуском авиамоторов водяного охлаждения серии АМ-38.</w:t>
      </w:r>
    </w:p>
    <w:p w14:paraId="494AFCF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Вследствие моторов АМ-38 в серийное производство, производство минометов было снято и оставлен дополнительно к выпуску моторов АМ-38, ремонт моторов серии АМ-35 и АМ-38.</w:t>
      </w:r>
    </w:p>
    <w:p w14:paraId="5CD788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НКАП от 10 апреля 1943 года за № 202сс во исполнение постановления ГКО за № 8063сс от 22 февраля 1943 года завод № 45 перешел на изготовление форсированного мотора АМ-38Ф, а 1 июня 1943 года выпуск моторов АМ-38 заводом полностью прекращен. С марта 1944 года завод параллельно с выпуском моторов АМ-38Ф включил в производство изготовление деталей и агрегатов дизеля АЧ-30Б. С сентября 1945 года выпуск моторов АМ-38Ф с производства снят и оставлен в производстве только дизель-мотор АЧ-30Б</w:t>
      </w:r>
    </w:p>
    <w:p w14:paraId="539A226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Москва, Мейеровский пр., 14 (территория Б, В), территория А – Ткацкая ул.</w:t>
      </w:r>
    </w:p>
    <w:p w14:paraId="5B27A5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Производственный профиль – моторный (9829).</w:t>
      </w:r>
    </w:p>
    <w:p w14:paraId="1B036E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DC5D8E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декабря 1941 годавышел ПРИКАЗ НАРОДНОГО КОМИССАРА АВИАЦИОННОЙ ПРОМЫШЛЕННОСТИ СССР № 1184с</w:t>
      </w:r>
    </w:p>
    <w:p w14:paraId="5A1F969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гор.Москва 23 декабря 1941 года</w:t>
      </w:r>
    </w:p>
    <w:p w14:paraId="08E2374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p w14:paraId="696FF07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территории эвакуированного завода № 24 в г. Москве создать завод авиаремонтного и минометного производства, присвоив ему номер 337 и подчинив его 3-му Главному Управлению.</w:t>
      </w:r>
    </w:p>
    <w:p w14:paraId="066801B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Директором завода назначить тов. Комарова М.С.</w:t>
      </w:r>
    </w:p>
    <w:p w14:paraId="5F17453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p w14:paraId="1AC81AF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Заместителем директора по материально-финансовым вопросам; назначить тов. Федорова В. С. I</w:t>
      </w:r>
    </w:p>
    <w:p w14:paraId="09C02FF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 Утвердить прилагаемую схему управления и производства завода.</w:t>
      </w:r>
    </w:p>
    <w:p w14:paraId="2CFD826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Народный Комиссар 1 Авиационной Промышленности (А. Шахурий) (10225,168).</w:t>
      </w:r>
    </w:p>
    <w:p w14:paraId="147FA70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3828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декабря 1941 вышло Постановление ГКО № 1051 О разрешении НКАП производить доукомплектование самолетов в местах их сборки. РГАНИР, Фонд ГКО, д. 16, лл. 144 (11012).</w:t>
      </w:r>
    </w:p>
    <w:p w14:paraId="057FA9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D8497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декабря 1941 вышло Постановление ГКО N 1054</w:t>
      </w:r>
    </w:p>
    <w:p w14:paraId="32C68A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23.XII.1941 г. Сталин.</w:t>
      </w:r>
    </w:p>
    <w:p w14:paraId="05BB30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 разрешении НКАП производить доукомплектование</w:t>
      </w:r>
    </w:p>
    <w:p w14:paraId="79377C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самолетов в местах их сборки.</w:t>
      </w:r>
    </w:p>
    <w:p w14:paraId="60BF84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Разрешить Наркомавиапрому производить доукомплектование перевозимых по железной дороге самолетов - агрегатами (винтами, бронеспинками, радиаторами, колесами, кислородными приборами и аккумуляторами), в местах сборки самолетов (2760,6).</w:t>
      </w:r>
    </w:p>
    <w:p w14:paraId="2E3B6A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87586A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декабря 1941 вышло Постановление ГКО № 1053 О создании завода по производству установок авиавооружения на площади эвакуированного завода № 32 в Москве. РГАНИР, Фонд ГКО, д. 16, лл. 146 (11012).</w:t>
      </w:r>
    </w:p>
    <w:p w14:paraId="0FBAFC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36BDF58" w14:textId="77777777" w:rsidR="0074416C" w:rsidRPr="00640820" w:rsidRDefault="0074416C" w:rsidP="00640820">
      <w:pPr>
        <w:pStyle w:val="47"/>
        <w:shd w:val="clear" w:color="auto" w:fill="auto"/>
        <w:spacing w:line="240" w:lineRule="auto"/>
        <w:ind w:firstLine="0"/>
        <w:jc w:val="both"/>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23 декабря 1941 вышло Постановление ГКО № 1053 О создании завода по производству установок авиавооружения на площади эвакуированного завода № 32 в Москве</w:t>
      </w:r>
    </w:p>
    <w:p w14:paraId="2C64005F" w14:textId="77777777" w:rsidR="0074416C" w:rsidRPr="00640820" w:rsidRDefault="0074416C" w:rsidP="00640820">
      <w:pPr>
        <w:tabs>
          <w:tab w:val="left" w:pos="1298"/>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Обязать НКАП к 15 января 1942 года организовать в Москве на площади, ранее занимавшейся эаводоы № 32, завод по производству установок авиационного вооружения, присвоив ему да 43.</w:t>
      </w:r>
    </w:p>
    <w:p w14:paraId="136F0858" w14:textId="77777777" w:rsidR="0074416C" w:rsidRPr="00640820" w:rsidRDefault="0074416C" w:rsidP="00640820">
      <w:pPr>
        <w:tabs>
          <w:tab w:val="left" w:pos="1290"/>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Оборудование, необходимое для организации завода $ 43, перебросить с Кировского завода № 32 в количестве 250 единиц.</w:t>
      </w:r>
    </w:p>
    <w:p w14:paraId="259FC48E" w14:textId="77777777" w:rsidR="0074416C" w:rsidRPr="00640820" w:rsidRDefault="0074416C" w:rsidP="00640820">
      <w:pPr>
        <w:tabs>
          <w:tab w:val="left" w:pos="1345"/>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Утвердить директором завода № 43 тов.Дворкина И.В.</w:t>
      </w:r>
    </w:p>
    <w:p w14:paraId="7D4431FB" w14:textId="77777777" w:rsidR="0074416C" w:rsidRPr="00640820" w:rsidRDefault="0074416C" w:rsidP="00640820">
      <w:pPr>
        <w:tabs>
          <w:tab w:val="left" w:pos="1290"/>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Организованное в настоящее время на заводе № 43 производство ППШ сохранить, выделив внутри эавода самостоя</w:t>
      </w:r>
      <w:r w:rsidRPr="00640820">
        <w:rPr>
          <w:rFonts w:ascii="Times New Roman" w:hAnsi="Times New Roman"/>
          <w:color w:val="000000" w:themeColor="text1"/>
          <w:sz w:val="16"/>
          <w:szCs w:val="16"/>
        </w:rPr>
        <w:softHyphen/>
        <w:t>тельный производству ППШ (19294).</w:t>
      </w:r>
    </w:p>
    <w:p w14:paraId="3C3E6571" w14:textId="77777777" w:rsidR="0074416C" w:rsidRPr="00640820" w:rsidRDefault="0074416C" w:rsidP="00640820">
      <w:pPr>
        <w:pStyle w:val="47"/>
        <w:shd w:val="clear" w:color="auto" w:fill="auto"/>
        <w:spacing w:line="240" w:lineRule="auto"/>
        <w:ind w:firstLine="0"/>
        <w:jc w:val="both"/>
        <w:rPr>
          <w:rFonts w:ascii="Times New Roman" w:hAnsi="Times New Roman" w:cs="Times New Roman"/>
          <w:color w:val="000000" w:themeColor="text1"/>
          <w:sz w:val="16"/>
          <w:szCs w:val="16"/>
        </w:rPr>
      </w:pPr>
    </w:p>
    <w:p w14:paraId="40C672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декабря 1941 вышло Постановление ГКО № 1054 О плане производства самолетов и авиационных моторов в январе, феврале и марте 1942 года. РГАНИР, Фонд ГКО, д. 16, лл. 147-152, 153-182 (11012).</w:t>
      </w:r>
    </w:p>
    <w:p w14:paraId="1819BE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EB5640B"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7FCBC85E"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7D2BE3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декабря 1941 был завершен обстрел на полигоне доработанного в ноябре КВ-7, который велся с 11 декабря, после чего отправлен в Москву для показа высшему командованию Красной Армии. В отчете, зачитанном в ходе показа, отмечалась низкая кучность орудий, и главное — сбивание прицела, которое происходило из-за большого плеча — расстояния между осью вращения блока орудий и осью бокового орудия. Кроме того, из-за несовершенства конструкции спуска ведение огня зал</w:t>
      </w:r>
      <w:r w:rsidRPr="00640820">
        <w:rPr>
          <w:rFonts w:ascii="Times New Roman" w:hAnsi="Times New Roman"/>
          <w:color w:val="000000" w:themeColor="text1"/>
          <w:sz w:val="16"/>
          <w:szCs w:val="16"/>
        </w:rPr>
        <w:softHyphen/>
        <w:t>пами приводило к очередям, ведущим к резким рывкам ору</w:t>
      </w:r>
      <w:r w:rsidRPr="00640820">
        <w:rPr>
          <w:rFonts w:ascii="Times New Roman" w:hAnsi="Times New Roman"/>
          <w:color w:val="000000" w:themeColor="text1"/>
          <w:sz w:val="16"/>
          <w:szCs w:val="16"/>
        </w:rPr>
        <w:softHyphen/>
        <w:t>дийной установки в разные стороны, и потому было призна</w:t>
      </w:r>
      <w:r w:rsidRPr="00640820">
        <w:rPr>
          <w:rFonts w:ascii="Times New Roman" w:hAnsi="Times New Roman"/>
          <w:color w:val="000000" w:themeColor="text1"/>
          <w:sz w:val="16"/>
          <w:szCs w:val="16"/>
        </w:rPr>
        <w:softHyphen/>
        <w:t>но нецелесообразным. Многие ветераны вкладывали в уста К.Е. Ворошилова, осматривавшего щит с пробоинами от снарядов КВ-7, фразу о том, что он считал, что артиллерия --точная наука. В документах по итогам испытаний такая фра</w:t>
      </w:r>
      <w:r w:rsidRPr="00640820">
        <w:rPr>
          <w:rFonts w:ascii="Times New Roman" w:hAnsi="Times New Roman"/>
          <w:color w:val="000000" w:themeColor="text1"/>
          <w:sz w:val="16"/>
          <w:szCs w:val="16"/>
        </w:rPr>
        <w:softHyphen/>
        <w:t>за не значится, но бывший нарком обороны высказал поже</w:t>
      </w:r>
      <w:r w:rsidRPr="00640820">
        <w:rPr>
          <w:rFonts w:ascii="Times New Roman" w:hAnsi="Times New Roman"/>
          <w:color w:val="000000" w:themeColor="text1"/>
          <w:sz w:val="16"/>
          <w:szCs w:val="16"/>
        </w:rPr>
        <w:softHyphen/>
        <w:t>лание установить в КВ-7 поменьше орудий, но помощнее (11417).</w:t>
      </w:r>
    </w:p>
    <w:p w14:paraId="7AD794B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707FA1"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декабря 1941 года вышел Приказ НКБ № 705</w:t>
      </w:r>
    </w:p>
    <w:p w14:paraId="65DD0CD7"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дополнение к приказу № 681 от 10 декабря 1941 года по НКБ филиал завода № 58 в Кирове включить в состав завода № 609 (5680, 28).</w:t>
      </w:r>
    </w:p>
    <w:p w14:paraId="6C428DA3"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E0267F" w14:textId="77777777" w:rsidR="00074718" w:rsidRPr="00640820" w:rsidRDefault="0007471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23-24 декабря 1941 г.</w:t>
      </w:r>
    </w:p>
    <w:p w14:paraId="50319560" w14:textId="77777777" w:rsidR="00074718" w:rsidRPr="00640820" w:rsidRDefault="0007471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Из протокола заседания бюро Молотовского обкома ВКП(б) - о производстве аэросаней НКЛ-16 заводом «Коммунар» и лесокомбинатом «Красный Октябрь»</w:t>
      </w:r>
    </w:p>
    <w:p w14:paraId="193C6968" w14:textId="77777777" w:rsidR="00074718" w:rsidRPr="00640820" w:rsidRDefault="0007471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23-24 декабря 1941 г.</w:t>
      </w:r>
    </w:p>
    <w:p w14:paraId="3DA472FA" w14:textId="77777777" w:rsidR="00074718" w:rsidRPr="00640820" w:rsidRDefault="0007471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г. Молотов</w:t>
      </w:r>
    </w:p>
    <w:p w14:paraId="68DBC380" w14:textId="77777777" w:rsidR="00074718" w:rsidRPr="00640820" w:rsidRDefault="0007471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w:t>
      </w:r>
    </w:p>
    <w:p w14:paraId="51E7E7CE" w14:textId="77777777" w:rsidR="00074718" w:rsidRPr="00640820" w:rsidRDefault="0007471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Высказались: т.т. Попов, Бурдин, Микишкин, Меньшиков, Гусаров</w:t>
      </w:r>
    </w:p>
    <w:p w14:paraId="48B4AFAA" w14:textId="77777777" w:rsidR="00074718" w:rsidRPr="00640820" w:rsidRDefault="0007471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Бюро Молотовского обкома ВКП(б) устанавливает, что директор завода «Коммунар» т. Завьялов и директор Лесокомбината «Красный Октябрь» т. Крылов не обеспечили выполнение декабрьского плана производства аэросаней НКЛ-16.</w:t>
      </w:r>
    </w:p>
    <w:p w14:paraId="56C3E0D4" w14:textId="77777777" w:rsidR="00074718" w:rsidRPr="00640820" w:rsidRDefault="0007471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Срыв выполнения задания Государственного комитета обороны по выпуску аэросаней является результатом того, что Наркомлес Союза не оказал технической помощи заводам в организации технологии производства, несвоевременно обеспечил их технической документацией, материалами - трубами, фанерой, аппаратурой, а метизы, тросса1, электрооборудование и текстиль отсутствуют до сих пор.</w:t>
      </w:r>
    </w:p>
    <w:p w14:paraId="3394F737" w14:textId="77777777" w:rsidR="00074718" w:rsidRPr="00640820" w:rsidRDefault="0007471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Директора заводов т.т. Завьялов и Крылов не приняли всех зависящих от них мер к изысканию материалов на месте и размещению заказов на производство деталей, потребных для выпуска аэросаней.</w:t>
      </w:r>
    </w:p>
    <w:p w14:paraId="74DCB66B" w14:textId="77777777" w:rsidR="00074718" w:rsidRPr="00640820" w:rsidRDefault="0007471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Облпромсовет не выполнил постановление СНК СССР от 5/IX-41 г. по производству возложенных на них деталей и металлических узлов.</w:t>
      </w:r>
    </w:p>
    <w:p w14:paraId="524F24FA" w14:textId="77777777" w:rsidR="00074718" w:rsidRPr="00640820" w:rsidRDefault="0007471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Кагановичский райком ВКП(б) и партийные организации заводов не мобилизовали коллективы предприятий на борьбу за выполнение оборонного заказа в срок.</w:t>
      </w:r>
    </w:p>
    <w:p w14:paraId="414A5945" w14:textId="77777777" w:rsidR="00074718" w:rsidRPr="00640820" w:rsidRDefault="0007471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целях обеспечения выполнения задания ГКО по выпуску аэросаней НКЛ-16, бюро Молотовского обкома ВКП(б) постановляет:</w:t>
      </w:r>
    </w:p>
    <w:p w14:paraId="5C4F8CB9" w14:textId="77777777" w:rsidR="00074718" w:rsidRPr="00640820" w:rsidRDefault="0007471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 Обязать директора завода «Коммунар» т. Завьялова и директора Лесокомбината «Красный Октябрь» т. Крылова к 1 февраля 1942 года обеспечить выпуск 300 комплектов аэросаней НКЛ-16.</w:t>
      </w:r>
    </w:p>
    <w:p w14:paraId="72D67B2F" w14:textId="77777777" w:rsidR="00074718" w:rsidRPr="00640820" w:rsidRDefault="0007471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 Предложить председателю облпромсовета т. Лебедеву, зав. Облместпрома т. Бурдину обеспечить производство узлов и деталей и полную их сдачу на все 300 комплектов аэросаней: облпромсовету не позднее 20 января 1942 г. и облместпрому по 5-ти узлам к 25 января 1942 года.</w:t>
      </w:r>
    </w:p>
    <w:p w14:paraId="29409C15" w14:textId="77777777" w:rsidR="00074718" w:rsidRPr="00640820" w:rsidRDefault="0007471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3. Обязать директоров предприятий, принявших в порядке взаимного кооперирования заказы заводов «Коммунар» и «Красный Октябрь» выполнить работу и сдать детали в следующие сроки:</w:t>
      </w:r>
    </w:p>
    <w:p w14:paraId="2EB09B96" w14:textId="77777777" w:rsidR="00074718" w:rsidRPr="00640820" w:rsidRDefault="0007471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а) директору Юго-Камского завода т. Пассюта - 500 кгр метизов сдать к 1 января 1942 года и 500 кгр к 15 января 1942 года;</w:t>
      </w:r>
    </w:p>
    <w:p w14:paraId="484D87AF" w14:textId="77777777" w:rsidR="00074718" w:rsidRPr="00640820" w:rsidRDefault="0007471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б) директору завода № 10 т. Лукьянову закончить изготовление болтов 250 кгр к 25 декабря 1941 г., 500 кгр к 5 января 1942 года;</w:t>
      </w:r>
    </w:p>
    <w:p w14:paraId="615B1545" w14:textId="77777777" w:rsidR="00074718" w:rsidRPr="00640820" w:rsidRDefault="0007471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директору завода № 172 т. Быховскому закончить прокатку 19 тонн пружинной проволоки, изготовить и сдать 520 амортизаторов к 1 января 1942 года, 400 амортизаторов к 10 января и 280 - к 25 января 1942 года;</w:t>
      </w:r>
    </w:p>
    <w:p w14:paraId="7E4BE9F4" w14:textId="77777777" w:rsidR="00074718" w:rsidRPr="00640820" w:rsidRDefault="0007471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г) директору завода № 19 т. Кожевникову изготовить и сдать режущий инструмент - 100 лерок и 100 метчиков к 5 января 1942 года;</w:t>
      </w:r>
    </w:p>
    <w:p w14:paraId="415B3971" w14:textId="77777777" w:rsidR="00074718" w:rsidRPr="00640820" w:rsidRDefault="0007471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д) директору ремесленного училища № 1 т. Лазареву закончить и сдать фрезерованных 2500 деталей к 5 января 1942 г. и директору ремесленного училища № 4 т. Богомягкову изготовить шпилек амортизаторов 10 000 шт. и сдать к 1 января 1942 г. - 2500 шт„ к 10 января 2500 шт. и к 25 января 5000 штук.</w:t>
      </w:r>
    </w:p>
    <w:p w14:paraId="63B76B02" w14:textId="77777777" w:rsidR="00074718" w:rsidRPr="00640820" w:rsidRDefault="0007471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w:t>
      </w:r>
    </w:p>
    <w:p w14:paraId="0E910618" w14:textId="77777777" w:rsidR="00074718" w:rsidRPr="00640820" w:rsidRDefault="0007471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Секретарь Молотовского обкома ВКП(б) Гусаров</w:t>
      </w:r>
    </w:p>
    <w:p w14:paraId="6CA37C71" w14:textId="77777777" w:rsidR="00074718" w:rsidRPr="00640820" w:rsidRDefault="00074718"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ПермГАСПИ. Ф. 105. Оп. 7. Д. 41. Л. 72, 74-75,95. Подлинник. Машинопись (20890).</w:t>
      </w:r>
    </w:p>
    <w:p w14:paraId="56E9DDF4" w14:textId="77777777" w:rsidR="00074718" w:rsidRPr="00640820" w:rsidRDefault="00074718" w:rsidP="00640820">
      <w:pPr>
        <w:spacing w:after="0" w:line="240" w:lineRule="auto"/>
        <w:jc w:val="both"/>
        <w:rPr>
          <w:rFonts w:ascii="Times New Roman" w:hAnsi="Times New Roman"/>
          <w:color w:val="0070C0"/>
          <w:sz w:val="16"/>
          <w:szCs w:val="16"/>
        </w:rPr>
      </w:pPr>
    </w:p>
    <w:p w14:paraId="504097E1" w14:textId="77777777" w:rsidR="00BB00A7" w:rsidRPr="00640820" w:rsidRDefault="00BB00A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декабря 1941 г. Письмо Наркомата химической промышленности СССР руководству республики с просьбой о снабжении строительства Стерлитамакского содового завода лесом и другими строительными материалами.</w:t>
      </w:r>
    </w:p>
    <w:p w14:paraId="590F81B5" w14:textId="77777777" w:rsidR="00BB00A7" w:rsidRPr="00640820" w:rsidRDefault="00BB00A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Секретарю Уфимского* обкома ВКП(б) тов. Аношину</w:t>
      </w:r>
    </w:p>
    <w:p w14:paraId="42EFD6F8" w14:textId="77777777" w:rsidR="00BB00A7" w:rsidRPr="00640820" w:rsidRDefault="00BB00A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Председателю Совнаркома Башкирской АССР тов. Вагапову</w:t>
      </w:r>
    </w:p>
    <w:p w14:paraId="0616B63F" w14:textId="77777777" w:rsidR="00BB00A7" w:rsidRPr="00640820" w:rsidRDefault="00BB00A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Специальным решением Совнарком Союза ССР обязал Наркомхим построить и ввести в эксплуатацию [в] 1942 г. Стерлитамакский содовый завод4 мощностью 120 тыс. тонн соды в год и цех каустика мощностью 30 000 тонн в год. Строительство и монтаж содового завода и цеха каустика будет вестись с использованием оборудования эвакуированного Славянского Ново-содового завода и цеха каустика Дон- соды, которое в настоящее время уже прибыло в Стерлитамак.</w:t>
      </w:r>
    </w:p>
    <w:p w14:paraId="305A53AC" w14:textId="77777777" w:rsidR="00BB00A7" w:rsidRPr="00640820" w:rsidRDefault="00BB00A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ознакомлении на месте с возможностями быстрого разворота строительства выяснилось, что строительство может быть полностью удовлетворено местными строительными материалами, как-то: известью, камнем, песком, кирпичом и алебастром. Директору строящегося завода тов. Химченко и нач. строительства тов. Вахоневу дано распоряжение принять необходимое долевое участие в расширении местной промышленности стройматериалов, а также оказать помощь фондируемыми материалами. Необходимые строительству цемент, металл, метизы, кабельная продукция будут Нарком- химпромом выделены.</w:t>
      </w:r>
    </w:p>
    <w:p w14:paraId="1448BD96" w14:textId="77777777" w:rsidR="00BB00A7" w:rsidRPr="00640820" w:rsidRDefault="00BB00A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Самым ‘ сложным является обеспечение строительства лесом. В силу большой загрузки жел. дор. транспорта завоз леса в Стерлитамак по жел. дор. исключён. Снабжение строительства лесом собственных лесозаготовок, которые безусловно должны быть организованы, могут дать лес только начиная с 1 июня [1942 года].</w:t>
      </w:r>
    </w:p>
    <w:p w14:paraId="459DDDA3" w14:textId="77777777" w:rsidR="00BB00A7" w:rsidRPr="00640820" w:rsidRDefault="00BB00A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Единственной возможностью обеспечения лесом является перераспределение Совнаркомом [БАССР] имеющихся на</w:t>
      </w:r>
    </w:p>
    <w:p w14:paraId="544C8E41" w14:textId="77777777" w:rsidR="00BB00A7" w:rsidRPr="00640820" w:rsidRDefault="00BB00A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 Белой в районе Стерлитамака—Ишимбая 50—60 тыс. куб. м уже ранее распределённых и сейчас частично вывозимых другими потребителями. Это мероприятие позволит до начала сплава полностью обеспечить всё строительство лесом. При существующем же положении ряд строительств обеспечены лесом почти на год при полном отсутствии его на содовом заводе.</w:t>
      </w:r>
    </w:p>
    <w:p w14:paraId="17FA3DDD" w14:textId="77777777" w:rsidR="00BB00A7" w:rsidRPr="00640820" w:rsidRDefault="00BB00A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Выделенные 12—15 тыс. куб. м леса будут Наркомхим- промом немедленно покрыты фондом за счёт выделенных Наркомхимпрому решением ЦК [ВКП(б)] и Совнаркома [СССР] 75 тыс. куб. м.</w:t>
      </w:r>
    </w:p>
    <w:p w14:paraId="7624107D" w14:textId="77777777" w:rsidR="00BB00A7" w:rsidRPr="00640820" w:rsidRDefault="00BB00A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Прошу вашего срочного разрешения по этому вопросу.</w:t>
      </w:r>
    </w:p>
    <w:p w14:paraId="60997701" w14:textId="77777777" w:rsidR="00BB00A7" w:rsidRPr="00640820" w:rsidRDefault="00BB00A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Заместитель народного комиссара химической промышленности Союза [ССР]</w:t>
      </w:r>
      <w:r w:rsidRPr="00640820">
        <w:rPr>
          <w:rFonts w:ascii="Times New Roman" w:hAnsi="Times New Roman"/>
          <w:color w:val="000000" w:themeColor="text1"/>
          <w:sz w:val="16"/>
          <w:szCs w:val="16"/>
        </w:rPr>
        <w:tab/>
        <w:t>Березовский</w:t>
      </w:r>
    </w:p>
    <w:p w14:paraId="7A775B45" w14:textId="77777777" w:rsidR="00BB00A7" w:rsidRPr="00640820" w:rsidRDefault="00BB00A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ЦГАОО РБ. Ф. ¡22. Он. 22. Д. 387 Лл. 1—2. Подлинник (17279).</w:t>
      </w:r>
    </w:p>
    <w:p w14:paraId="4FF55436" w14:textId="77777777" w:rsidR="00BB00A7" w:rsidRPr="00640820" w:rsidRDefault="00BB00A7" w:rsidP="00640820">
      <w:pPr>
        <w:spacing w:after="0" w:line="240" w:lineRule="auto"/>
        <w:jc w:val="both"/>
        <w:rPr>
          <w:rFonts w:ascii="Times New Roman" w:hAnsi="Times New Roman"/>
          <w:color w:val="000000" w:themeColor="text1"/>
          <w:sz w:val="16"/>
          <w:szCs w:val="16"/>
        </w:rPr>
      </w:pPr>
    </w:p>
    <w:p w14:paraId="11AC760F" w14:textId="77777777" w:rsidR="00175F7D"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2039DA25" w14:textId="77777777" w:rsidR="00175F7D" w:rsidRPr="00640820" w:rsidRDefault="00175F7D"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67275DC" w14:textId="77777777" w:rsidR="00175F7D" w:rsidRPr="00640820" w:rsidRDefault="00175F7D"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23 декабря</w:t>
      </w:r>
      <w:r w:rsidRPr="00640820">
        <w:rPr>
          <w:rFonts w:ascii="Times New Roman" w:hAnsi="Times New Roman"/>
          <w:color w:val="000000" w:themeColor="text1"/>
          <w:sz w:val="16"/>
          <w:szCs w:val="16"/>
        </w:rPr>
        <w:t xml:space="preserve"> в 1941 году утреннее сообщение Совинформбюро:</w:t>
      </w:r>
    </w:p>
    <w:p w14:paraId="50207082" w14:textId="77777777" w:rsidR="00175F7D" w:rsidRPr="00640820" w:rsidRDefault="00175F7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23 декабря наши войска вели бои с противником на всех фронтах.</w:t>
      </w:r>
    </w:p>
    <w:p w14:paraId="0789012C" w14:textId="77777777" w:rsidR="00175F7D" w:rsidRPr="00640820" w:rsidRDefault="00175F7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Подразделение командира Петухова, действующее на одном из участков Западного фронта, совершив успешный ночной налёт на село К., истребило свыше 200 немецких солдат и офицеров. Противник оставил на поле боя 2 танка, 69 автомашин с боеприпасами и обмундированием, 98 мотоциклов, 2 орудия, 55 пулемётов и 3 радиостанции. Бежавшие в панике немцы бросили около 300 винтовок.</w:t>
      </w:r>
    </w:p>
    <w:p w14:paraId="2DFEB593" w14:textId="77777777" w:rsidR="00175F7D" w:rsidRPr="00640820" w:rsidRDefault="00175F7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 отряд в составе 90 бойцов разгромил 3 батальон 512 немецкого пехотного полка. Противник в панике бежал, оставив 2 орудия, 4 миномёта, 11 ручных пулемётов, 7 кухонь. Убито 92 немецких солдата и офицера. Взято в плен 29 немцев.</w:t>
      </w:r>
    </w:p>
    <w:p w14:paraId="1F8891E9" w14:textId="77777777" w:rsidR="00175F7D" w:rsidRPr="00640820" w:rsidRDefault="00175F7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бою за деревню П. красноармеец тов. Крехтин уничтожил гранатами 4 вражеских станковых пулемёта с их расчётами и заколол штыком 6 немецких солдат.</w:t>
      </w:r>
    </w:p>
    <w:p w14:paraId="55525263" w14:textId="77777777" w:rsidR="00175F7D" w:rsidRPr="00640820" w:rsidRDefault="00175F7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Беспощадно истребляют немецко-фашистских захватчиков партизаны Орловской области. Бойцы отряда тов. К. совершили на днях нападение на железнодорожную станцию, где немцы приготовили для отправки в тыл самолёты и танки, требующие ремонта. Партизаны разобрали, разрушили полотно железной дороги и отрезали путь составам, готовым к отходу. Застав охрану станции врасплох, славные советские патриоты перебили фашистов и подожгли два железнодорожных состава. Было сожжено много танков и 7 самолётов.</w:t>
      </w:r>
    </w:p>
    <w:p w14:paraId="522F8963" w14:textId="77777777" w:rsidR="00175F7D" w:rsidRPr="00640820" w:rsidRDefault="00175F7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Партизанский отряд под командованием тов. В. взорвал железнодорожный мост в то время, когда по нему проходил немецкий эшелон с боеприпасами. В результате катастрофы уничтожено 10 вагонов со снарядами.</w:t>
      </w:r>
    </w:p>
    <w:p w14:paraId="04B68A9D" w14:textId="77777777" w:rsidR="00175F7D" w:rsidRPr="00640820" w:rsidRDefault="00175F7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Рабочий Мариупольского металлургического завода С. Литвиненко, бежавший с территории, захваченной немцами, рассказал о новых чудовищных злодеяниях гитлеровских людоедов. «В конце ноября, — говорит тов. Литвиненко, — немцы собрали представителей кварталов г. Мариуполя и предъявили им ультиматум: к вечеру доставить в штаб всё имеющееся у населения золото, тёплые вещи и продовольствие. Под страхом смерти жители отдавали немецким грабителям свою последнюю одежду, свой последний кусок хлеба, надеясь, что на этом бандиты успокоятся. Когда вещи были собраны, немецкие солдаты оцепили кварталы и стали арестовывать всех, кто им попадался на глаза. Город огласился воплями и криками. Три тысячи людей, в том числе старики, женщины и дети, под конвоем автоматчиков и в сопровождении пулемётов были выведены за город. Гестаповцы приказали арестованным рыть ямы, а затем снять с себя верхнюю одежду, после чего озверелые бандиты расстреляли всех из пулемётов и автоматов».</w:t>
      </w:r>
    </w:p>
    <w:p w14:paraId="69F04EDF" w14:textId="77777777" w:rsidR="00175F7D" w:rsidRPr="00640820" w:rsidRDefault="00175F7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ряде предприятий Льежа (Бельгия) произошли забастовки протеста против невыносимых условий труда, созданных фашистами. Количество выпускаемой продукции на многих военных предприятиях уменьшилось на 20-30 процентов. Недалеко от Льежа в середине декабря месяца бельгийские патриоты сожгли крупный склад с готовой продукцией для германской армии. Убытки от пожара исчисляются в 5 миллионов германских марок.» (14869).</w:t>
      </w:r>
    </w:p>
    <w:p w14:paraId="430EB6CD" w14:textId="77777777" w:rsidR="00175F7D" w:rsidRPr="00640820" w:rsidRDefault="00175F7D" w:rsidP="00640820">
      <w:pPr>
        <w:spacing w:after="0" w:line="240" w:lineRule="auto"/>
        <w:jc w:val="both"/>
        <w:rPr>
          <w:rFonts w:ascii="Times New Roman" w:hAnsi="Times New Roman"/>
          <w:color w:val="000000" w:themeColor="text1"/>
          <w:sz w:val="16"/>
          <w:szCs w:val="16"/>
        </w:rPr>
      </w:pPr>
    </w:p>
    <w:p w14:paraId="26879EA1" w14:textId="77777777" w:rsidR="00175F7D" w:rsidRPr="00640820" w:rsidRDefault="00175F7D"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23 декабря</w:t>
      </w:r>
      <w:r w:rsidRPr="00640820">
        <w:rPr>
          <w:rFonts w:ascii="Times New Roman" w:hAnsi="Times New Roman"/>
          <w:color w:val="000000" w:themeColor="text1"/>
          <w:sz w:val="16"/>
          <w:szCs w:val="16"/>
        </w:rPr>
        <w:t xml:space="preserve"> в 1941 году вечернее сообщение Совинформбюро:</w:t>
      </w:r>
    </w:p>
    <w:p w14:paraId="3BDD5D41" w14:textId="77777777" w:rsidR="00175F7D" w:rsidRPr="00640820" w:rsidRDefault="00175F7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23 декабря наши войска вели бои с противником на всех фронтах. На ряде участков Западного, Калининского и Юго-Западного фронтов наши войска, ведя бои с противником, продолжали продвигаться вперёд, заняли ряд населённых пунктов и в числе их крупный железнодорожный узел Горбачево и гг. Черепеть, Одоево.</w:t>
      </w:r>
    </w:p>
    <w:p w14:paraId="364F6D7E" w14:textId="77777777" w:rsidR="00175F7D" w:rsidRPr="00640820" w:rsidRDefault="00175F7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22 декабря наши лётчики, действующие на Западном фронте, уничтожили 11 немецких танков, более 220 автомашин с войсками и грузами, 5 пулемётных точек, 330 повозок с боеприпасами и рассеяли два батальона пехоты.</w:t>
      </w:r>
    </w:p>
    <w:p w14:paraId="20283D50" w14:textId="77777777" w:rsidR="00175F7D" w:rsidRPr="00640820" w:rsidRDefault="00175F7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Наша часть, действующая на одном из участков Западного фронта, за один день боёв заняла 14 населённых пунктов, уничтожила 5 автомашин, 3 орудия, 150 повозок с боеприпасами и истребила до роты пехоты противника.</w:t>
      </w:r>
    </w:p>
    <w:p w14:paraId="42C4E4ED" w14:textId="77777777" w:rsidR="00175F7D" w:rsidRPr="00640820" w:rsidRDefault="00175F7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Миномётный расчёт тов. Петренко был окружён вражескими солдатами. Отважные миномётчики метким огнём уничтожили 30 немцев, затем, перейдя в контратаку, закололи штыками ещё 5 фашистов. Немцы бежали с поля боя, оставив 2 миномёта, 10 автоматов и другое вооружение.</w:t>
      </w:r>
    </w:p>
    <w:p w14:paraId="168F4126" w14:textId="77777777" w:rsidR="00175F7D" w:rsidRPr="00640820" w:rsidRDefault="00175F7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Партизанские отряды, действующие в оккупированных немцами районах Ленинградской области, продолжают громить тылы фашистских захватчиков. Отряд товарища П. разрушил в двух местах железнодорожное полотно, взорвал 4 моста на шоссейных дорогах и в 13 различных пунктах нарушил телефонную связь. Партизаны отряда истребили 3 офицеров, свыше 50 немецких солдат и уничтожили 3 вражеских танка, 5 грузовых и 8 легковых автомашин. Недавно партизанский отряд тов. П. подвергся нападению фашистского карательного отряда. В результате боя, длившегося в течение полутора часов, партизаны истребили 37 фашистов. Партизанский отряд под командованием товарища В. за два месяца боевых действий уничтожил до 50 грузовых автомашин с вражеской пехотой и различными грузами и 1 бронемашину, произвёл свыше 30 взрывов железнодорожного полотна и мостов, в результате чего потерпело крушение несколько немецких воинских эшелонов.</w:t>
      </w:r>
    </w:p>
    <w:p w14:paraId="10C31B9C" w14:textId="77777777" w:rsidR="00175F7D" w:rsidRPr="00640820" w:rsidRDefault="00175F7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участков Юго-Западного фронта у ефрейтора 510 пехотного полка 293 немецкой пехотной дивизии Вальтера Германа найден дневник. Приводим отдельные выдержки из дневника:</w:t>
      </w:r>
    </w:p>
    <w:p w14:paraId="2806EA1E" w14:textId="77777777" w:rsidR="00175F7D" w:rsidRPr="00640820" w:rsidRDefault="00175F7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ноября. Мы достигли села. Бой идёт за каждый дом. Русские упорно не хотят отступать. Имеем убитых и раненых. Никак не можем итти дальше вперёд. Внезапно открыла огонь русская артиллерия. Ужасная вещь!</w:t>
      </w:r>
    </w:p>
    <w:p w14:paraId="2C504E73" w14:textId="77777777" w:rsidR="00175F7D" w:rsidRPr="00640820" w:rsidRDefault="00175F7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ноября. Опять бой. Русские нас сильно обстреливают. Их танки делаются всё нахальнее. Опять много убитых и раненых.</w:t>
      </w:r>
    </w:p>
    <w:p w14:paraId="1FDE6B8B" w14:textId="77777777" w:rsidR="00175F7D" w:rsidRPr="00640820" w:rsidRDefault="00175F7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декабря. Всё время мёрзнем. Идём в наступление. Русские осыпают нас огнём. Бедные унтер-офицер и фельдфебель Шнейдер убиты рядом со мной. Наконец достиг укрытия. Стрелять не могу. Замёрзли руки... Три раза шли в наступление, и всё без результата. Наконец-то могу зайти в дом. Снимаю сапоги. Пальцы на обеих ногах обморожены.</w:t>
      </w:r>
    </w:p>
    <w:p w14:paraId="32D07E33" w14:textId="77777777" w:rsidR="00175F7D" w:rsidRPr="00640820" w:rsidRDefault="00175F7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декабря. Нас погрузили в подводы. Я не могу ни стоять, ни ходить. Мучительные боли. В 6 роте 26 обмороженных. В строю осталось 30 человек.</w:t>
      </w:r>
    </w:p>
    <w:p w14:paraId="0386480B" w14:textId="77777777" w:rsidR="00175F7D" w:rsidRPr="00640820" w:rsidRDefault="00175F7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декабря. На 345 подводах примерно 500 обмороженных отправили в тыл, километров за 25. Наша дивизия вынуждена отступить... Мы отдали всё, до последнего... Теперь кончено. Как прежде Наполеона, нас гонят обратно. Этого на родине не знают...»</w:t>
      </w:r>
    </w:p>
    <w:p w14:paraId="5186757C" w14:textId="77777777" w:rsidR="00175F7D" w:rsidRPr="00640820" w:rsidRDefault="00175F7D"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20 декабря 1941 года трудящиеся Москвы внесли в фонд обороны СССР 110.402.000 рублей деньгами. Кроме того, москвичи передали в фонд обороны много золота, платины и серебра.» (14869).</w:t>
      </w:r>
    </w:p>
    <w:p w14:paraId="2E55E553" w14:textId="77777777" w:rsidR="00175F7D" w:rsidRPr="00640820" w:rsidRDefault="00175F7D" w:rsidP="00640820">
      <w:pPr>
        <w:spacing w:after="0" w:line="240" w:lineRule="auto"/>
        <w:jc w:val="both"/>
        <w:rPr>
          <w:rFonts w:ascii="Times New Roman" w:hAnsi="Times New Roman"/>
          <w:color w:val="000000" w:themeColor="text1"/>
          <w:sz w:val="16"/>
          <w:szCs w:val="16"/>
        </w:rPr>
      </w:pPr>
    </w:p>
    <w:p w14:paraId="304B5B5F" w14:textId="77777777" w:rsidR="00607185" w:rsidRPr="00640820" w:rsidRDefault="00607185"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По 23 декабря 1941 г. с 22 июня по данным ГУ ВВС КА потери Су-2 составили 205 единиц Из них: сбиты в воздушных боях - 50, зенитной артиллерией - 14, уничтожены на аэродромах - девять, не вернулись с боевого задания - 103, небоевые потери - 29 (19102).</w:t>
      </w:r>
    </w:p>
    <w:p w14:paraId="55FD2A85" w14:textId="77777777" w:rsidR="00607185" w:rsidRPr="00640820" w:rsidRDefault="00607185" w:rsidP="00640820">
      <w:pPr>
        <w:pStyle w:val="27"/>
        <w:shd w:val="clear" w:color="auto" w:fill="auto"/>
        <w:spacing w:after="0" w:line="240" w:lineRule="auto"/>
        <w:ind w:firstLine="0"/>
        <w:rPr>
          <w:rFonts w:ascii="Times New Roman" w:cs="Times New Roman"/>
          <w:color w:val="000000" w:themeColor="text1"/>
          <w:spacing w:val="0"/>
        </w:rPr>
      </w:pPr>
    </w:p>
    <w:p w14:paraId="6C551671" w14:textId="77777777" w:rsidR="00607185" w:rsidRPr="00640820" w:rsidRDefault="00607185" w:rsidP="00640820">
      <w:pPr>
        <w:pStyle w:val="ae"/>
        <w:spacing w:before="0" w:after="0"/>
        <w:jc w:val="both"/>
        <w:textAlignment w:val="baseline"/>
        <w:rPr>
          <w:color w:val="000000" w:themeColor="text1"/>
          <w:sz w:val="16"/>
          <w:szCs w:val="16"/>
        </w:rPr>
      </w:pPr>
      <w:r w:rsidRPr="00640820">
        <w:rPr>
          <w:color w:val="000000" w:themeColor="text1"/>
          <w:sz w:val="16"/>
          <w:szCs w:val="16"/>
        </w:rPr>
        <w:t>За 23 декабря 1941 в отчете о боевых действиях ВВС ЮЗФ говорилось, что летчики:</w:t>
      </w:r>
    </w:p>
    <w:p w14:paraId="174ADCFF" w14:textId="77777777" w:rsidR="00607185" w:rsidRPr="00640820" w:rsidRDefault="00607185" w:rsidP="00640820">
      <w:pPr>
        <w:pStyle w:val="ae"/>
        <w:spacing w:before="0" w:after="0"/>
        <w:jc w:val="both"/>
        <w:textAlignment w:val="baseline"/>
        <w:rPr>
          <w:iCs/>
          <w:color w:val="000000" w:themeColor="text1"/>
          <w:sz w:val="16"/>
          <w:szCs w:val="16"/>
          <w:bdr w:val="none" w:sz="0" w:space="0" w:color="auto" w:frame="1"/>
        </w:rPr>
      </w:pPr>
      <w:r w:rsidRPr="00640820">
        <w:rPr>
          <w:iCs/>
          <w:color w:val="000000" w:themeColor="text1"/>
          <w:sz w:val="16"/>
          <w:szCs w:val="16"/>
          <w:bdr w:val="none" w:sz="0" w:space="0" w:color="auto" w:frame="1"/>
        </w:rPr>
        <w:t>«прикрывали действия наших войск на поле боя, ж.д. участок Верховье — Елец и ж д. узел г. Воронеж. Всего произведено 136 самолето-вылетов, из них на атаку 110, на разведку 10, на прикрытие 16. Израсходовано: 18 ФАБ-100, 142 ФАБ-50, 2 ЗАБ-50, 104 АО-25, 190 АО-10, 164 PC, 2330 ЯР, 21 640 патрон. Уничтожено: 100 автомашин, 75 повозок, до 2-х батальонов пехоты. В воздушных боях сбито 2 Ме-110 противника. Один Ил-2 не вернулся с задания»[23].</w:t>
      </w:r>
    </w:p>
    <w:p w14:paraId="2E0CE480" w14:textId="77777777" w:rsidR="00607185" w:rsidRPr="00640820" w:rsidRDefault="00607185" w:rsidP="00640820">
      <w:pPr>
        <w:pStyle w:val="ae"/>
        <w:spacing w:before="0" w:after="0"/>
        <w:jc w:val="both"/>
        <w:textAlignment w:val="baseline"/>
        <w:rPr>
          <w:color w:val="000000" w:themeColor="text1"/>
          <w:sz w:val="16"/>
          <w:szCs w:val="16"/>
        </w:rPr>
      </w:pPr>
      <w:r w:rsidRPr="00640820">
        <w:rPr>
          <w:color w:val="000000" w:themeColor="text1"/>
          <w:sz w:val="16"/>
          <w:szCs w:val="16"/>
        </w:rPr>
        <w:t>На следующий день авиация фронта наносила удары по скоплениям немецких войск, скоплениям пресловутых «мотомехвойск», а также по уже привычным колоннам автомобилей и повозок на дорогах. На сей раз «на атаку» было выполнено 129 самолето-вылетов из 242 (19522).</w:t>
      </w:r>
    </w:p>
    <w:p w14:paraId="3FA6CF60" w14:textId="77777777" w:rsidR="00607185" w:rsidRPr="00640820" w:rsidRDefault="00607185" w:rsidP="00640820">
      <w:pPr>
        <w:pStyle w:val="ae"/>
        <w:spacing w:before="0" w:after="0"/>
        <w:jc w:val="both"/>
        <w:textAlignment w:val="baseline"/>
        <w:rPr>
          <w:color w:val="000000" w:themeColor="text1"/>
          <w:sz w:val="16"/>
          <w:szCs w:val="16"/>
        </w:rPr>
      </w:pPr>
    </w:p>
    <w:p w14:paraId="19BB5BBA" w14:textId="77777777" w:rsidR="007C4777" w:rsidRPr="00640820" w:rsidRDefault="007C4777"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23 декабря 1941, согласно отчету о боевой работе ВВС ЮЗФ, летчики «прикрывали действия наших войск на поле боя, ж.д. участок Верховье – Елец и ж д. узел г. Воронеж. Всего произведено 136 самолето</w:t>
      </w:r>
      <w:r w:rsidRPr="00640820">
        <w:rPr>
          <w:rFonts w:ascii="Times New Roman" w:hAnsi="Times New Roman"/>
          <w:color w:val="0070C0"/>
          <w:sz w:val="16"/>
          <w:szCs w:val="16"/>
        </w:rPr>
        <w:noBreakHyphen/>
        <w:t>вылетов, из них на атаку 110, на разведку 10, на прикрытие 16. Израсходовано: 18 ФАБ</w:t>
      </w:r>
      <w:r w:rsidRPr="00640820">
        <w:rPr>
          <w:rFonts w:ascii="Times New Roman" w:hAnsi="Times New Roman"/>
          <w:color w:val="0070C0"/>
          <w:sz w:val="16"/>
          <w:szCs w:val="16"/>
        </w:rPr>
        <w:noBreakHyphen/>
        <w:t>100, 142 ФАБ</w:t>
      </w:r>
      <w:r w:rsidRPr="00640820">
        <w:rPr>
          <w:rFonts w:ascii="Times New Roman" w:hAnsi="Times New Roman"/>
          <w:color w:val="0070C0"/>
          <w:sz w:val="16"/>
          <w:szCs w:val="16"/>
        </w:rPr>
        <w:noBreakHyphen/>
        <w:t>50, 2 ЗАБ</w:t>
      </w:r>
      <w:r w:rsidRPr="00640820">
        <w:rPr>
          <w:rFonts w:ascii="Times New Roman" w:hAnsi="Times New Roman"/>
          <w:color w:val="0070C0"/>
          <w:sz w:val="16"/>
          <w:szCs w:val="16"/>
        </w:rPr>
        <w:noBreakHyphen/>
        <w:t>50, 104 АО</w:t>
      </w:r>
      <w:r w:rsidRPr="00640820">
        <w:rPr>
          <w:rFonts w:ascii="Times New Roman" w:hAnsi="Times New Roman"/>
          <w:color w:val="0070C0"/>
          <w:sz w:val="16"/>
          <w:szCs w:val="16"/>
        </w:rPr>
        <w:noBreakHyphen/>
        <w:t>25, 190 АО</w:t>
      </w:r>
      <w:r w:rsidRPr="00640820">
        <w:rPr>
          <w:rFonts w:ascii="Times New Roman" w:hAnsi="Times New Roman"/>
          <w:color w:val="0070C0"/>
          <w:sz w:val="16"/>
          <w:szCs w:val="16"/>
        </w:rPr>
        <w:noBreakHyphen/>
        <w:t>10, 164 PC, 2330 ЯР, 21 640 патрон. Уничтожено: 100 автомашин, 75 повозок, до 2</w:t>
      </w:r>
      <w:r w:rsidRPr="00640820">
        <w:rPr>
          <w:rFonts w:ascii="Times New Roman" w:hAnsi="Times New Roman"/>
          <w:color w:val="0070C0"/>
          <w:sz w:val="16"/>
          <w:szCs w:val="16"/>
        </w:rPr>
        <w:noBreakHyphen/>
        <w:t>х батальонов пехоты. В воздушных боях сбито 2 Ме</w:t>
      </w:r>
      <w:r w:rsidRPr="00640820">
        <w:rPr>
          <w:rFonts w:ascii="Times New Roman" w:hAnsi="Times New Roman"/>
          <w:color w:val="0070C0"/>
          <w:sz w:val="16"/>
          <w:szCs w:val="16"/>
        </w:rPr>
        <w:noBreakHyphen/>
        <w:t>110 противника. Один Ил</w:t>
      </w:r>
      <w:r w:rsidRPr="00640820">
        <w:rPr>
          <w:rFonts w:ascii="Times New Roman" w:hAnsi="Times New Roman"/>
          <w:color w:val="0070C0"/>
          <w:sz w:val="16"/>
          <w:szCs w:val="16"/>
        </w:rPr>
        <w:noBreakHyphen/>
        <w:t>2 не вернулся с задания» (23199).</w:t>
      </w:r>
    </w:p>
    <w:p w14:paraId="43BAB620" w14:textId="77777777" w:rsidR="007C4777" w:rsidRPr="00640820" w:rsidRDefault="007C4777" w:rsidP="00640820">
      <w:pPr>
        <w:spacing w:after="0" w:line="240" w:lineRule="auto"/>
        <w:jc w:val="both"/>
        <w:rPr>
          <w:rFonts w:ascii="Times New Roman" w:hAnsi="Times New Roman"/>
          <w:color w:val="0070C0"/>
          <w:sz w:val="16"/>
          <w:szCs w:val="16"/>
        </w:rPr>
      </w:pPr>
    </w:p>
    <w:p w14:paraId="7D6E7DA6"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12D7391A"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5B64E38" w14:textId="77777777" w:rsidR="00175F7D" w:rsidRPr="00640820" w:rsidRDefault="00175F7D"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23 декабря</w:t>
      </w:r>
      <w:r w:rsidRPr="00640820">
        <w:rPr>
          <w:rFonts w:ascii="Times New Roman" w:hAnsi="Times New Roman"/>
          <w:color w:val="000000" w:themeColor="text1"/>
          <w:sz w:val="16"/>
          <w:szCs w:val="16"/>
        </w:rPr>
        <w:t xml:space="preserve"> в 1941 году первый полёт опытного экземпляра истребителя «CW 24В» в дальнейшем получившим обозначение «ХР-55» и имя «Ascender» (набирающий высоту). Он представлял свободнонесущий цельнометаллический низкоплан с передним горизонтальным оперением довольно небольшой площади и крылом стреловидностью 35 град, по передней кромке. Примерно на 3/4 размаха каждого крыла располагались треугольные вертикальные кили с рулями направления. На внешней части крыла (за килями) были установлены элероны, а на внутренней - закрылки. В хвостовой части фюзеляжа, за кабиной пилота, находился двигатель «Аллисон» «V-1710-95» взлетной мощностью 1275 л. с, который выбрали после отказа от разработки мотора «Х-1800». Первоначально предполагалось установить два соосных винта, но потом выбрали один, трехлопастный, который мог сбрасываться при аварийном покидании кабины. Воздухозаборник над двигателем и радиатор под ним образовывали вертикальное оперение (14869).</w:t>
      </w:r>
    </w:p>
    <w:p w14:paraId="1DE3A7E4" w14:textId="77777777" w:rsidR="00175F7D" w:rsidRPr="00640820" w:rsidRDefault="00175F7D" w:rsidP="00640820">
      <w:pPr>
        <w:spacing w:after="0" w:line="240" w:lineRule="auto"/>
        <w:jc w:val="both"/>
        <w:rPr>
          <w:rFonts w:ascii="Times New Roman" w:hAnsi="Times New Roman"/>
          <w:color w:val="000000" w:themeColor="text1"/>
          <w:sz w:val="16"/>
          <w:szCs w:val="16"/>
        </w:rPr>
      </w:pPr>
    </w:p>
    <w:p w14:paraId="41AC9EBC" w14:textId="77777777" w:rsidR="00175F7D" w:rsidRPr="00640820" w:rsidRDefault="00175F7D"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23 декабря</w:t>
      </w:r>
      <w:r w:rsidRPr="00640820">
        <w:rPr>
          <w:rFonts w:ascii="Times New Roman" w:hAnsi="Times New Roman"/>
          <w:color w:val="000000" w:themeColor="text1"/>
          <w:sz w:val="16"/>
          <w:szCs w:val="16"/>
        </w:rPr>
        <w:t xml:space="preserve"> в 1941 году первый полёт истребителя «Valtion Lentokonetehdas Myrsky» («MY-1») (14869).</w:t>
      </w:r>
    </w:p>
    <w:p w14:paraId="16526206" w14:textId="77777777" w:rsidR="00175F7D" w:rsidRPr="00640820" w:rsidRDefault="00175F7D" w:rsidP="00640820">
      <w:pPr>
        <w:spacing w:after="0" w:line="240" w:lineRule="auto"/>
        <w:jc w:val="both"/>
        <w:rPr>
          <w:rFonts w:ascii="Times New Roman" w:hAnsi="Times New Roman"/>
          <w:color w:val="000000" w:themeColor="text1"/>
          <w:sz w:val="16"/>
          <w:szCs w:val="16"/>
        </w:rPr>
      </w:pPr>
    </w:p>
    <w:p w14:paraId="5527DB55" w14:textId="45914DAD" w:rsidR="00F64CBE" w:rsidRPr="00640820" w:rsidRDefault="00F64CB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23 декабря 1941</w:t>
      </w:r>
      <w:r w:rsidRPr="00640820">
        <w:rPr>
          <w:rFonts w:ascii="Times New Roman" w:hAnsi="Times New Roman"/>
          <w:color w:val="0070C0"/>
          <w:sz w:val="16"/>
          <w:szCs w:val="16"/>
          <w:lang w:val="en-US"/>
        </w:rPr>
        <w:t> </w:t>
      </w:r>
      <w:r w:rsidRPr="00640820">
        <w:rPr>
          <w:rFonts w:ascii="Times New Roman" w:hAnsi="Times New Roman"/>
          <w:color w:val="0070C0"/>
          <w:sz w:val="16"/>
          <w:szCs w:val="16"/>
        </w:rPr>
        <w:t xml:space="preserve">- Первый полет </w:t>
      </w:r>
      <w:r w:rsidRPr="00640820">
        <w:rPr>
          <w:rFonts w:ascii="Times New Roman" w:hAnsi="Times New Roman"/>
          <w:color w:val="0070C0"/>
          <w:sz w:val="16"/>
          <w:szCs w:val="16"/>
          <w:lang w:val="en-US"/>
        </w:rPr>
        <w:t>Douglas</w:t>
      </w:r>
      <w:r w:rsidRPr="00640820">
        <w:rPr>
          <w:rFonts w:ascii="Times New Roman" w:hAnsi="Times New Roman"/>
          <w:color w:val="0070C0"/>
          <w:sz w:val="16"/>
          <w:szCs w:val="16"/>
        </w:rPr>
        <w:t xml:space="preserve"> </w:t>
      </w:r>
      <w:r w:rsidRPr="00640820">
        <w:rPr>
          <w:rFonts w:ascii="Times New Roman" w:hAnsi="Times New Roman"/>
          <w:color w:val="0070C0"/>
          <w:sz w:val="16"/>
          <w:szCs w:val="16"/>
          <w:lang w:val="en-US"/>
        </w:rPr>
        <w:t>C</w:t>
      </w:r>
      <w:r w:rsidRPr="00640820">
        <w:rPr>
          <w:rFonts w:ascii="Times New Roman" w:hAnsi="Times New Roman"/>
          <w:color w:val="0070C0"/>
          <w:sz w:val="16"/>
          <w:szCs w:val="16"/>
        </w:rPr>
        <w:t xml:space="preserve">-47 </w:t>
      </w:r>
      <w:r w:rsidRPr="00640820">
        <w:rPr>
          <w:rFonts w:ascii="Times New Roman" w:hAnsi="Times New Roman"/>
          <w:color w:val="0070C0"/>
          <w:sz w:val="16"/>
          <w:szCs w:val="16"/>
          <w:lang w:val="en-US"/>
        </w:rPr>
        <w:t>Skytrain</w:t>
      </w:r>
      <w:r w:rsidRPr="00640820">
        <w:rPr>
          <w:rFonts w:ascii="Times New Roman" w:hAnsi="Times New Roman"/>
          <w:color w:val="0070C0"/>
          <w:sz w:val="16"/>
          <w:szCs w:val="16"/>
        </w:rPr>
        <w:t xml:space="preserve"> или </w:t>
      </w:r>
      <w:r w:rsidRPr="00640820">
        <w:rPr>
          <w:rFonts w:ascii="Times New Roman" w:hAnsi="Times New Roman"/>
          <w:color w:val="0070C0"/>
          <w:sz w:val="16"/>
          <w:szCs w:val="16"/>
          <w:lang w:val="en-US"/>
        </w:rPr>
        <w:t>Dakota</w:t>
      </w:r>
      <w:r w:rsidRPr="00640820">
        <w:rPr>
          <w:rFonts w:ascii="Times New Roman" w:hAnsi="Times New Roman"/>
          <w:color w:val="0070C0"/>
          <w:sz w:val="16"/>
          <w:szCs w:val="16"/>
        </w:rPr>
        <w:t xml:space="preserve"> (обозначение </w:t>
      </w:r>
      <w:r w:rsidRPr="00640820">
        <w:rPr>
          <w:rFonts w:ascii="Times New Roman" w:hAnsi="Times New Roman"/>
          <w:color w:val="0070C0"/>
          <w:sz w:val="16"/>
          <w:szCs w:val="16"/>
          <w:lang w:val="en-US"/>
        </w:rPr>
        <w:t>RAF</w:t>
      </w:r>
      <w:r w:rsidRPr="00640820">
        <w:rPr>
          <w:rFonts w:ascii="Times New Roman" w:hAnsi="Times New Roman"/>
          <w:color w:val="0070C0"/>
          <w:sz w:val="16"/>
          <w:szCs w:val="16"/>
        </w:rPr>
        <w:t xml:space="preserve">, </w:t>
      </w:r>
      <w:r w:rsidRPr="00640820">
        <w:rPr>
          <w:rFonts w:ascii="Times New Roman" w:hAnsi="Times New Roman"/>
          <w:color w:val="0070C0"/>
          <w:sz w:val="16"/>
          <w:szCs w:val="16"/>
          <w:lang w:val="en-US"/>
        </w:rPr>
        <w:t>RAAF</w:t>
      </w:r>
      <w:r w:rsidRPr="00640820">
        <w:rPr>
          <w:rFonts w:ascii="Times New Roman" w:hAnsi="Times New Roman"/>
          <w:color w:val="0070C0"/>
          <w:sz w:val="16"/>
          <w:szCs w:val="16"/>
        </w:rPr>
        <w:t xml:space="preserve">, </w:t>
      </w:r>
      <w:r w:rsidRPr="00640820">
        <w:rPr>
          <w:rFonts w:ascii="Times New Roman" w:hAnsi="Times New Roman"/>
          <w:color w:val="0070C0"/>
          <w:sz w:val="16"/>
          <w:szCs w:val="16"/>
          <w:lang w:val="en-US"/>
        </w:rPr>
        <w:t>RCAF</w:t>
      </w:r>
      <w:r w:rsidRPr="00640820">
        <w:rPr>
          <w:rFonts w:ascii="Times New Roman" w:hAnsi="Times New Roman"/>
          <w:color w:val="0070C0"/>
          <w:sz w:val="16"/>
          <w:szCs w:val="16"/>
        </w:rPr>
        <w:t xml:space="preserve">, РКЗАФ, и </w:t>
      </w:r>
      <w:r w:rsidRPr="00640820">
        <w:rPr>
          <w:rFonts w:ascii="Times New Roman" w:hAnsi="Times New Roman"/>
          <w:color w:val="0070C0"/>
          <w:sz w:val="16"/>
          <w:szCs w:val="16"/>
          <w:lang w:val="en-US"/>
        </w:rPr>
        <w:t>SAAF</w:t>
      </w:r>
      <w:r w:rsidRPr="00640820">
        <w:rPr>
          <w:rFonts w:ascii="Times New Roman" w:hAnsi="Times New Roman"/>
          <w:color w:val="0070C0"/>
          <w:sz w:val="16"/>
          <w:szCs w:val="16"/>
        </w:rPr>
        <w:t xml:space="preserve"> ).</w:t>
      </w:r>
    </w:p>
    <w:p w14:paraId="75161C93" w14:textId="77777777" w:rsidR="00F64CBE" w:rsidRPr="00640820" w:rsidRDefault="00F64CB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C-47 отличался от гражданского DC-3 много отличий, в том числе оснащался грузовой дверью, укрепленным полом, укороченным хвостовым конусом для устройства буксировки планеров и астролюком. </w:t>
      </w:r>
    </w:p>
    <w:p w14:paraId="6C53254A" w14:textId="77777777" w:rsidR="00F64CBE" w:rsidRPr="00640820" w:rsidRDefault="00F64CB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Во время Второй мировой войны вооруженные силы многих стран использовали С-47 и модифицированные DC-3 для перевозки войск, грузов и раненых. Военно-морское обозначение США было R4D. Более 10000 самолетов были произведены в Лонг-Бич и Санта-Монике, Калифорния и Оклахома-Сити, штат Оклахома. В период с марта 1943 года по август 1945 года завод в Оклахома-Сити произвел 5354 C-47 (22694).</w:t>
      </w:r>
    </w:p>
    <w:p w14:paraId="4CCA8BAE" w14:textId="77777777" w:rsidR="00F64CBE" w:rsidRPr="00640820" w:rsidRDefault="00F64CBE" w:rsidP="00640820">
      <w:pPr>
        <w:spacing w:after="0" w:line="240" w:lineRule="auto"/>
        <w:jc w:val="both"/>
        <w:rPr>
          <w:rFonts w:ascii="Times New Roman" w:hAnsi="Times New Roman"/>
          <w:color w:val="0070C0"/>
          <w:sz w:val="16"/>
          <w:szCs w:val="16"/>
        </w:rPr>
      </w:pPr>
    </w:p>
    <w:p w14:paraId="115D7F89" w14:textId="77777777" w:rsidR="00F64CBE" w:rsidRPr="00640820" w:rsidRDefault="00F64CB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23 декабря 1941 - Первый полёт самолёта Me.261. Первоначально предназначался для беспосадочного перелета Берлин-Токио. После начала войны RLM и компания Messerschmitt рассчитывали всё же найти применение дорогостоящей разработке; как следствие, возникли планы переделки самолёта в дальний разведчик, задачами которого должны были стать поиск кораблей противника и взаимодействие с подводными лодками Kriegsmarine (22694).</w:t>
      </w:r>
    </w:p>
    <w:p w14:paraId="4AF25EC5" w14:textId="77777777" w:rsidR="00F64CBE" w:rsidRPr="00640820" w:rsidRDefault="00F64CBE" w:rsidP="00640820">
      <w:pPr>
        <w:spacing w:after="0" w:line="240" w:lineRule="auto"/>
        <w:jc w:val="both"/>
        <w:rPr>
          <w:rFonts w:ascii="Times New Roman" w:hAnsi="Times New Roman"/>
          <w:color w:val="0070C0"/>
          <w:sz w:val="16"/>
          <w:szCs w:val="16"/>
        </w:rPr>
      </w:pPr>
    </w:p>
    <w:p w14:paraId="6C6638A2" w14:textId="77777777" w:rsidR="00F64CBE" w:rsidRPr="00640820" w:rsidRDefault="00F64CBE"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December 23, 1941: Under the continous pressure of the British 8th Army (Wavell), Rommel and his Afrikakorps evacuate Benghasi in Libya (3819).</w:t>
      </w:r>
    </w:p>
    <w:p w14:paraId="2897989D" w14:textId="77777777" w:rsidR="00F64CBE" w:rsidRPr="00640820" w:rsidRDefault="00F64CBE" w:rsidP="00640820">
      <w:pPr>
        <w:spacing w:after="0" w:line="240" w:lineRule="auto"/>
        <w:jc w:val="both"/>
        <w:rPr>
          <w:rFonts w:ascii="Times New Roman" w:hAnsi="Times New Roman"/>
          <w:color w:val="0070C0"/>
          <w:sz w:val="16"/>
          <w:szCs w:val="16"/>
          <w:lang w:val="en-US"/>
        </w:rPr>
      </w:pPr>
    </w:p>
    <w:p w14:paraId="31DF65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декабря 1941 под атаками британской 8А (Вавель) Роммель эвакуировался из Бенгази в Ливии (3819).</w:t>
      </w:r>
    </w:p>
    <w:p w14:paraId="6234D9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08030B1"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декабря 1941 в Тихом океане японские войска захватили остров Уэйк, переименовав его в остров Птиц (4962).</w:t>
      </w:r>
    </w:p>
    <w:p w14:paraId="70D8BD1B"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DBA799"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декабря 1941 японские войска высадились на острове Борнео (4962).</w:t>
      </w:r>
    </w:p>
    <w:p w14:paraId="16B97CEA"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F9D8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декабря 1941 остров Вейк капитулировал перед японцами. В боях за Вейк впервые отлично проявили себя машины F4F Wildcat (2100).</w:t>
      </w:r>
    </w:p>
    <w:p w14:paraId="5FFF08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5F0B419" w14:textId="77777777" w:rsidR="00175F7D" w:rsidRPr="00640820" w:rsidRDefault="00175F7D"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23 декабря</w:t>
      </w:r>
      <w:r w:rsidRPr="00640820">
        <w:rPr>
          <w:rFonts w:ascii="Times New Roman" w:hAnsi="Times New Roman"/>
          <w:color w:val="000000" w:themeColor="text1"/>
          <w:sz w:val="16"/>
          <w:szCs w:val="16"/>
        </w:rPr>
        <w:t xml:space="preserve"> в 1941 году первая бомбардировка японской авиацией Рангуна (14869).</w:t>
      </w:r>
    </w:p>
    <w:p w14:paraId="0E39F488" w14:textId="77777777" w:rsidR="00175F7D" w:rsidRPr="00640820" w:rsidRDefault="00175F7D" w:rsidP="00640820">
      <w:pPr>
        <w:spacing w:after="0" w:line="240" w:lineRule="auto"/>
        <w:jc w:val="both"/>
        <w:rPr>
          <w:rFonts w:ascii="Times New Roman" w:hAnsi="Times New Roman"/>
          <w:color w:val="000000" w:themeColor="text1"/>
          <w:sz w:val="16"/>
          <w:szCs w:val="16"/>
        </w:rPr>
      </w:pPr>
    </w:p>
    <w:p w14:paraId="6066C9E4"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625C0A6A"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008758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декабря 1941 с 18-го завода в Москву ушла теле</w:t>
      </w:r>
      <w:r w:rsidRPr="00640820">
        <w:rPr>
          <w:rFonts w:ascii="Times New Roman" w:hAnsi="Times New Roman"/>
          <w:color w:val="000000" w:themeColor="text1"/>
          <w:sz w:val="16"/>
          <w:szCs w:val="16"/>
        </w:rPr>
        <w:softHyphen/>
        <w:t>грамма: «Вашу справедливую суровую оценку нашей пло</w:t>
      </w:r>
      <w:r w:rsidRPr="00640820">
        <w:rPr>
          <w:rFonts w:ascii="Times New Roman" w:hAnsi="Times New Roman"/>
          <w:color w:val="000000" w:themeColor="text1"/>
          <w:sz w:val="16"/>
          <w:szCs w:val="16"/>
        </w:rPr>
        <w:softHyphen/>
        <w:t>хой работы довели до всего коллектива. Во исполнение Вашего телеграфного указа</w:t>
      </w:r>
      <w:r w:rsidRPr="00640820">
        <w:rPr>
          <w:rFonts w:ascii="Times New Roman" w:hAnsi="Times New Roman"/>
          <w:color w:val="000000" w:themeColor="text1"/>
          <w:sz w:val="16"/>
          <w:szCs w:val="16"/>
        </w:rPr>
        <w:softHyphen/>
        <w:t>ния, сообщаем, что завод дос</w:t>
      </w:r>
      <w:r w:rsidRPr="00640820">
        <w:rPr>
          <w:rFonts w:ascii="Times New Roman" w:hAnsi="Times New Roman"/>
          <w:color w:val="000000" w:themeColor="text1"/>
          <w:sz w:val="16"/>
          <w:szCs w:val="16"/>
        </w:rPr>
        <w:softHyphen/>
        <w:t>тигнет в конце декабря еже</w:t>
      </w:r>
      <w:r w:rsidRPr="00640820">
        <w:rPr>
          <w:rFonts w:ascii="Times New Roman" w:hAnsi="Times New Roman"/>
          <w:color w:val="000000" w:themeColor="text1"/>
          <w:sz w:val="16"/>
          <w:szCs w:val="16"/>
        </w:rPr>
        <w:softHyphen/>
        <w:t>дневного выпуска трех ма</w:t>
      </w:r>
      <w:r w:rsidRPr="00640820">
        <w:rPr>
          <w:rFonts w:ascii="Times New Roman" w:hAnsi="Times New Roman"/>
          <w:color w:val="000000" w:themeColor="text1"/>
          <w:sz w:val="16"/>
          <w:szCs w:val="16"/>
        </w:rPr>
        <w:softHyphen/>
        <w:t>шин. С 5 января — по четыре машины. С 19 января — по шесть машин. С 26 января — по семь машин. Основной причиной отставания завода по развороту выпуска самоле</w:t>
      </w:r>
      <w:r w:rsidRPr="00640820">
        <w:rPr>
          <w:rFonts w:ascii="Times New Roman" w:hAnsi="Times New Roman"/>
          <w:color w:val="000000" w:themeColor="text1"/>
          <w:sz w:val="16"/>
          <w:szCs w:val="16"/>
        </w:rPr>
        <w:softHyphen/>
        <w:t>тов является размещение нас на недостроенной части заво</w:t>
      </w:r>
      <w:r w:rsidRPr="00640820">
        <w:rPr>
          <w:rFonts w:ascii="Times New Roman" w:hAnsi="Times New Roman"/>
          <w:color w:val="000000" w:themeColor="text1"/>
          <w:sz w:val="16"/>
          <w:szCs w:val="16"/>
        </w:rPr>
        <w:softHyphen/>
        <w:t>да. В настоящее время недо</w:t>
      </w:r>
      <w:r w:rsidRPr="00640820">
        <w:rPr>
          <w:rFonts w:ascii="Times New Roman" w:hAnsi="Times New Roman"/>
          <w:color w:val="000000" w:themeColor="text1"/>
          <w:sz w:val="16"/>
          <w:szCs w:val="16"/>
        </w:rPr>
        <w:softHyphen/>
        <w:t>строены корпус агрегатных цехов, кузница, корпус заго- монтаж мотора АМ-38 на товительно-штамповочных цехов, компрессорная. Отсут</w:t>
      </w:r>
      <w:r w:rsidRPr="00640820">
        <w:rPr>
          <w:rFonts w:ascii="Times New Roman" w:hAnsi="Times New Roman"/>
          <w:color w:val="000000" w:themeColor="text1"/>
          <w:sz w:val="16"/>
          <w:szCs w:val="16"/>
        </w:rPr>
        <w:softHyphen/>
        <w:t>ствует тепло, воздух, кисло</w:t>
      </w:r>
      <w:r w:rsidRPr="00640820">
        <w:rPr>
          <w:rFonts w:ascii="Times New Roman" w:hAnsi="Times New Roman"/>
          <w:color w:val="000000" w:themeColor="text1"/>
          <w:sz w:val="16"/>
          <w:szCs w:val="16"/>
        </w:rPr>
        <w:softHyphen/>
        <w:t>род и достаточное количество жилья для рабочих. Просим Вашей помощи по ускорению окончания строительства и ускорению налаживания снаб</w:t>
      </w:r>
      <w:r w:rsidRPr="00640820">
        <w:rPr>
          <w:rFonts w:ascii="Times New Roman" w:hAnsi="Times New Roman"/>
          <w:color w:val="000000" w:themeColor="text1"/>
          <w:sz w:val="16"/>
          <w:szCs w:val="16"/>
        </w:rPr>
        <w:softHyphen/>
        <w:t>жения завода готовыми изде</w:t>
      </w:r>
      <w:r w:rsidRPr="00640820">
        <w:rPr>
          <w:rFonts w:ascii="Times New Roman" w:hAnsi="Times New Roman"/>
          <w:color w:val="000000" w:themeColor="text1"/>
          <w:sz w:val="16"/>
          <w:szCs w:val="16"/>
        </w:rPr>
        <w:softHyphen/>
        <w:t>лиями, материалами. Просим также обязать соответствую</w:t>
      </w:r>
      <w:r w:rsidRPr="00640820">
        <w:rPr>
          <w:rFonts w:ascii="Times New Roman" w:hAnsi="Times New Roman"/>
          <w:color w:val="000000" w:themeColor="text1"/>
          <w:sz w:val="16"/>
          <w:szCs w:val="16"/>
        </w:rPr>
        <w:softHyphen/>
        <w:t>щие организации мобилизо</w:t>
      </w:r>
      <w:r w:rsidRPr="00640820">
        <w:rPr>
          <w:rFonts w:ascii="Times New Roman" w:hAnsi="Times New Roman"/>
          <w:color w:val="000000" w:themeColor="text1"/>
          <w:sz w:val="16"/>
          <w:szCs w:val="16"/>
        </w:rPr>
        <w:softHyphen/>
        <w:t>вать для нас недостающих ра</w:t>
      </w:r>
      <w:r w:rsidRPr="00640820">
        <w:rPr>
          <w:rFonts w:ascii="Times New Roman" w:hAnsi="Times New Roman"/>
          <w:color w:val="000000" w:themeColor="text1"/>
          <w:sz w:val="16"/>
          <w:szCs w:val="16"/>
        </w:rPr>
        <w:softHyphen/>
        <w:t>бочих и улучшить питание ра</w:t>
      </w:r>
      <w:r w:rsidRPr="00640820">
        <w:rPr>
          <w:rFonts w:ascii="Times New Roman" w:hAnsi="Times New Roman"/>
          <w:color w:val="000000" w:themeColor="text1"/>
          <w:sz w:val="16"/>
          <w:szCs w:val="16"/>
        </w:rPr>
        <w:softHyphen/>
        <w:t>бочих. Коллектив завода обя</w:t>
      </w:r>
      <w:r w:rsidRPr="00640820">
        <w:rPr>
          <w:rFonts w:ascii="Times New Roman" w:hAnsi="Times New Roman"/>
          <w:color w:val="000000" w:themeColor="text1"/>
          <w:sz w:val="16"/>
          <w:szCs w:val="16"/>
        </w:rPr>
        <w:softHyphen/>
        <w:t>зуется позорное отставание немедленно ликвидировать» (11474,248).</w:t>
      </w:r>
    </w:p>
    <w:p w14:paraId="5F90860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7325F8" w14:textId="77777777" w:rsidR="00BE13FF" w:rsidRPr="00640820" w:rsidRDefault="00BE13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дня 24 декабря 1941 с завода № 18 ушла телеграмма следующего содержания:</w:t>
      </w:r>
    </w:p>
    <w:p w14:paraId="4A8477A1" w14:textId="77777777" w:rsidR="00BE13FF" w:rsidRPr="00640820" w:rsidRDefault="00BE13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 Кремль. Сталину.</w:t>
      </w:r>
    </w:p>
    <w:p w14:paraId="56EE41D7" w14:textId="77777777" w:rsidR="00BE13FF" w:rsidRPr="00640820" w:rsidRDefault="00BE13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Вашу справедливую оценку нашей плохой работы довели до всего коллектива. Во исполнение Вашего телеграфного указания сообщаем, что завод достигнет в конце декабря ежедневного выпуска трех машин. С 5 января — по четыре машины. С 19 января — по шесть машин. С 26 января — по семь машин. Основной причиной отставания завода по развертыванию выпуска самолетов является размещение нас на недостроенной части завода. В настоящее время недостроены корпус агрегатных цехов, кузница, корпус заготовительно-штамповочных цехов, компрессорная. Отсутствуют тепло, воздух, кислород и достаточное количество жилья для рабочих.</w:t>
      </w:r>
    </w:p>
    <w:p w14:paraId="0D60B398" w14:textId="77777777" w:rsidR="00BE13FF" w:rsidRPr="00640820" w:rsidRDefault="00BE13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Просим Вашей помощи по ускорению окончания строительства и ускорению налаживания снабжения завода готовыми изделиями, материалами. Просим также обязать соответствующие организации о мобилизации для нас недостающих рабочих и об улучшении питания рабочих.</w:t>
      </w:r>
    </w:p>
    <w:p w14:paraId="51D68391" w14:textId="77777777" w:rsidR="00BE13FF" w:rsidRPr="00640820" w:rsidRDefault="00BE13F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Коллектив завода обязуется позорное отставание немедленно ликвидировать» (19823).</w:t>
      </w:r>
    </w:p>
    <w:p w14:paraId="2D82381B" w14:textId="77777777" w:rsidR="00BE13FF" w:rsidRPr="00640820" w:rsidRDefault="00BE13FF" w:rsidP="00640820">
      <w:pPr>
        <w:spacing w:after="0" w:line="240" w:lineRule="auto"/>
        <w:jc w:val="both"/>
        <w:rPr>
          <w:rFonts w:ascii="Times New Roman" w:hAnsi="Times New Roman"/>
          <w:color w:val="000000" w:themeColor="text1"/>
          <w:sz w:val="16"/>
          <w:szCs w:val="16"/>
        </w:rPr>
      </w:pPr>
    </w:p>
    <w:p w14:paraId="77AF22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декабря 1941 г. в ходе восковых испытаний ракетно-бронебойных снарядов РБС-82, РБС-132 и ракетно-осколочно-фугасных РОФС-132 на базе 47-й авиади</w:t>
      </w:r>
      <w:r w:rsidRPr="00640820">
        <w:rPr>
          <w:rFonts w:ascii="Times New Roman" w:hAnsi="Times New Roman"/>
          <w:color w:val="000000" w:themeColor="text1"/>
          <w:sz w:val="16"/>
          <w:szCs w:val="16"/>
        </w:rPr>
        <w:softHyphen/>
        <w:t>визии Западного фронта летчики 312-го штурмового авиаполка подпол</w:t>
      </w:r>
      <w:r w:rsidRPr="00640820">
        <w:rPr>
          <w:rFonts w:ascii="Times New Roman" w:hAnsi="Times New Roman"/>
          <w:color w:val="000000" w:themeColor="text1"/>
          <w:sz w:val="16"/>
          <w:szCs w:val="16"/>
        </w:rPr>
        <w:softHyphen/>
        <w:t>ковника Поморцева, которые проходили в период с 22 ноября 1941 г. по 22 января 1942 г., в составе звена под командованием капитана Фомина штурмовики выполнили боевой вылет Стрельбу командир звена вел по танкам с дистанции 400-500 м в горизонтальном полете на высоте 15-20 м со скоростью 350 км/ч. Для более точного прицеливания пилоты звена давали очередь из пулеметов, и когда трасса ложилась на цель, да</w:t>
      </w:r>
      <w:r w:rsidRPr="00640820">
        <w:rPr>
          <w:rFonts w:ascii="Times New Roman" w:hAnsi="Times New Roman"/>
          <w:color w:val="000000" w:themeColor="text1"/>
          <w:sz w:val="16"/>
          <w:szCs w:val="16"/>
        </w:rPr>
        <w:softHyphen/>
        <w:t>вали залп парами РБС-132. По докладу капитана, расстояние между их взрывами составляло всего 2-3 м. После этого в районе цели повалил гу</w:t>
      </w:r>
      <w:r w:rsidRPr="00640820">
        <w:rPr>
          <w:rFonts w:ascii="Times New Roman" w:hAnsi="Times New Roman"/>
          <w:color w:val="000000" w:themeColor="text1"/>
          <w:sz w:val="16"/>
          <w:szCs w:val="16"/>
        </w:rPr>
        <w:softHyphen/>
        <w:t>стой черный дым, не позволивший рассмотреть, что осталось от танков. По мнению капитана, применять РБС с большим эффектом можно не только по бронетехнике, но и по прочным, а также заглубленным целям.</w:t>
      </w:r>
    </w:p>
    <w:p w14:paraId="14DAA92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том же вылете вторую машину пилотировал лейтенант Уваров. По его отзывам, после попадания РБС-132 в дом, возле которого сто</w:t>
      </w:r>
      <w:r w:rsidRPr="00640820">
        <w:rPr>
          <w:rFonts w:ascii="Times New Roman" w:hAnsi="Times New Roman"/>
          <w:color w:val="000000" w:themeColor="text1"/>
          <w:sz w:val="16"/>
          <w:szCs w:val="16"/>
        </w:rPr>
        <w:softHyphen/>
        <w:t>яли танки, последовал сильный взрыв. Строение полностью разлетелось, а место попадания окутал густой черный дым. Лейтенант отме</w:t>
      </w:r>
      <w:r w:rsidRPr="00640820">
        <w:rPr>
          <w:rFonts w:ascii="Times New Roman" w:hAnsi="Times New Roman"/>
          <w:color w:val="000000" w:themeColor="text1"/>
          <w:sz w:val="16"/>
          <w:szCs w:val="16"/>
        </w:rPr>
        <w:softHyphen/>
        <w:t>чал, что действие снарядов РБС-132 намного сильнее, чем у РОС-132, не говоря уже о РОС-82... Второй вылет лейтенанта на боевое приме</w:t>
      </w:r>
      <w:r w:rsidRPr="00640820">
        <w:rPr>
          <w:rFonts w:ascii="Times New Roman" w:hAnsi="Times New Roman"/>
          <w:color w:val="000000" w:themeColor="text1"/>
          <w:sz w:val="16"/>
          <w:szCs w:val="16"/>
        </w:rPr>
        <w:softHyphen/>
        <w:t>нение РБС-132 состоялся 12 января 1941 г. В ходе «свободной охоты» он атаковал скопление автотехники в населенном пункте, расстрели</w:t>
      </w:r>
      <w:r w:rsidRPr="00640820">
        <w:rPr>
          <w:rFonts w:ascii="Times New Roman" w:hAnsi="Times New Roman"/>
          <w:color w:val="000000" w:themeColor="text1"/>
          <w:sz w:val="16"/>
          <w:szCs w:val="16"/>
        </w:rPr>
        <w:softHyphen/>
        <w:t>вая машины одиночными выстрелами с дистанции 500-600 м на поло</w:t>
      </w:r>
      <w:r w:rsidRPr="00640820">
        <w:rPr>
          <w:rFonts w:ascii="Times New Roman" w:hAnsi="Times New Roman"/>
          <w:color w:val="000000" w:themeColor="text1"/>
          <w:sz w:val="16"/>
          <w:szCs w:val="16"/>
        </w:rPr>
        <w:softHyphen/>
        <w:t>гом пикировании под углом 2-3° со скоростью 300-350 км/ч. При по</w:t>
      </w:r>
      <w:r w:rsidRPr="00640820">
        <w:rPr>
          <w:rFonts w:ascii="Times New Roman" w:hAnsi="Times New Roman"/>
          <w:color w:val="000000" w:themeColor="text1"/>
          <w:sz w:val="16"/>
          <w:szCs w:val="16"/>
        </w:rPr>
        <w:softHyphen/>
        <w:t>падании снарядов в цель сильные взрывы сопровождались густыми клубами черного дыма. «С такими снарядами приятно летать и наблю</w:t>
      </w:r>
      <w:r w:rsidRPr="00640820">
        <w:rPr>
          <w:rFonts w:ascii="Times New Roman" w:hAnsi="Times New Roman"/>
          <w:color w:val="000000" w:themeColor="text1"/>
          <w:sz w:val="16"/>
          <w:szCs w:val="16"/>
        </w:rPr>
        <w:softHyphen/>
        <w:t>дать свою работу»...</w:t>
      </w:r>
    </w:p>
    <w:p w14:paraId="2397D75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Третьим пилотом в звене капитана Фомина 24 декабря 1941 г. был старшина Сидоренко. Результат своих двух залпов по колонне автобро-нетехники он удачными не признал: «Снаряды ложились в 1-2 метрах Друг от друга. Прямых попаданий заметить не удалось, но движение ко</w:t>
      </w:r>
      <w:r w:rsidRPr="00640820">
        <w:rPr>
          <w:rFonts w:ascii="Times New Roman" w:hAnsi="Times New Roman"/>
          <w:color w:val="000000" w:themeColor="text1"/>
          <w:sz w:val="16"/>
          <w:szCs w:val="16"/>
        </w:rPr>
        <w:softHyphen/>
        <w:t>лонны приостановилось». Он также заявил, что снаряды РБС-132 гораз</w:t>
      </w:r>
      <w:r w:rsidRPr="00640820">
        <w:rPr>
          <w:rFonts w:ascii="Times New Roman" w:hAnsi="Times New Roman"/>
          <w:color w:val="000000" w:themeColor="text1"/>
          <w:sz w:val="16"/>
          <w:szCs w:val="16"/>
        </w:rPr>
        <w:softHyphen/>
        <w:t>до более эффективны, нежели РОС-132, поскольку «дают более мощный огонь и разрушения» (11402).</w:t>
      </w:r>
    </w:p>
    <w:p w14:paraId="132C27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FED80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декабря 1941 вышел приказ НКАП N 1177 об организации производства самолетов Як-3 (1327,28).</w:t>
      </w:r>
    </w:p>
    <w:p w14:paraId="7562F2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самом деле "Об увеличении производства самолетов Як-1 и Як-3" (1328,57).</w:t>
      </w:r>
    </w:p>
    <w:p w14:paraId="6FF5CD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исполнение постановления ГКО N 1940сс от 23 декабря 1941:</w:t>
      </w:r>
    </w:p>
    <w:p w14:paraId="43E093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Директору завода 292 Левину обеспечить ежедневный выпуск самолетов Як-1 по 10 самолетов начиная с 25 декабря 1941</w:t>
      </w:r>
    </w:p>
    <w:p w14:paraId="1985C4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Зам. наркома А.С.Я., директору завода 153 Романову обеспечить выпуск самолетов Як-3 на заводе 153 с 2 с 1 по 20 января до 5 в день с 16 марта 1942.</w:t>
      </w:r>
    </w:p>
    <w:p w14:paraId="3BC0CF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Прекратить в марте 1942 выпуск ЛаГГ-3 на заводе 153</w:t>
      </w:r>
    </w:p>
    <w:p w14:paraId="6EECA69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Директору Бакинского завода 458 Бугрову организовать производство Як-3, прекратив выпуск УТИ-4 в феврале 1942. Установить объем выпуска в апреле 1942 (1328,57).</w:t>
      </w:r>
    </w:p>
    <w:p w14:paraId="07C0FC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19533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декабря 1941 вышел приказ НКАП N 1180 в дополнение и изменение приказа НКАП N 1169cc от 17 декабря 1941:</w:t>
      </w:r>
    </w:p>
    <w:p w14:paraId="23F36F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Организовать на заводе 30 производство самолетов Як-3 по образцу и чертежам серийного самолета завода 153 (1328,90).</w:t>
      </w:r>
    </w:p>
    <w:p w14:paraId="4D137A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F5B31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декабря 1941 г. (всего через неделю после предыдущего постановления ГКО) Завод № 30, еше не успев начать подготовку к производству Як-1, переводится на выпуск Як-3, а еще через две недели, 15 января 1942 г., заводу ставится задача строить уже Ил-2 (12048).</w:t>
      </w:r>
    </w:p>
    <w:p w14:paraId="68837D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77881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декабря 1941 после испытаний трофейного Bf-109F в НИИ ВВС руководство писало А.С.Я., что лучшего или хотя бы равного у нас нет (130,35).</w:t>
      </w:r>
    </w:p>
    <w:p w14:paraId="050371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02CFC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декабря 1941 г. в письме начальника НИИ ВВС генерала Федорова заместителю наркома авиапромышленности А.С. Яковлеву с тревогой отмечалось: "Сегодня мы не имеем истребителя, равного Ме-109Ф!" Усовершенствования в области аэродинамики истребителя в совокупности с форсированным двигателем и переходом к 96-октановому горючему позволили увеличить скорость Bf 109F-2 у земли до 510 км/ч, а на высоте 2750 м - до 560 км/ч. Заметно улучшились также и маневренность и скороподъемность машины. По этим показателям "Фридрих" столь существенно оторвался от советских самолетов, в том числе и новейших серийных, что впору было предпринимать экстренные меры. От специалистов НИИ ВВС потребовали срочно разработать рекомендации по ведению воздушного боя с Bf 109F-2 для строевых частей. Увы, рекомендации, выработанные в НИИ, оказались катастрофически неправильными! В результате вынужденной посадки на захваченном "мессере" оказалось повреждено управление турбомуфтой ПЦН, плавно регулировавшей давление наддува. Грамотно отремонтировать незнакомый агрегат ни в мастерских 47-й авиадивизии, ни в НИИ ВВС не сумели, поэтому мотор на высотах, превышавших границу включения турбомуфты, фактически работал в нештатном режиме. Ведущий инженер НИИ по испытаниям Bf 109F инженер-капитан Розанов отметил этот факт в кратком отчете, но не поместил его в разделе "выводы", поэтому его предупреждение все "потребители", включая руководство НИИ, проигнорировали. Реально максимальная скорость "Фридриха" возрастала до 595-605 км/ч на высоте 5000 м, а кривая, снятая Розановым и летчиком майором Николаевым, имела уже упоминавшийся максимум на высоте включения турбомуфты (2750 м). Сравнивая высотные зависимости скоростей отечественных истребителей с этой кривой, "спецы" из НИИ легко выявили тот факт, что выше 3...3,5 км наши машины должны получить преимущество, поэтому рекомендации свелись к "затягиванию" немецкой новинки на большие высоты. Но на самом деле на этих высотах "немец" еще в большей степени превосходил в скорости советские истребители! Таким образом, ошибка испытателей "вышла боком" для строевых частей ВВС КА (9020).</w:t>
      </w:r>
    </w:p>
    <w:p w14:paraId="08E352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3CD8A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декабря 1941 года после изучения этого отчета по испытаниям Bf 109F, в котором А.Розанов писал “...Максимальная горизонтальная скорость Me- 109Ф повысилась на 70 км/ч. До высоты 4000 м он превосходит все отечественные серийные истребители. Причем лучший из них, Як-1, отстает у земли, по крайней мере, на 30 км/ч... ” начальник НИИ ВВС РККА генерал Федоров отправил письмо заместителю наркома авиационной промышленности А.С.Яковлеву, в котором говорилось: "...В настоящее время у нас нет истребителя с летно-технически ми данными лучшими или хотя бы равными Me-109Ф... ” (8944).</w:t>
      </w:r>
    </w:p>
    <w:p w14:paraId="4F41ECB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F2448DC" w14:textId="77777777" w:rsidR="00045010" w:rsidRPr="00640820" w:rsidRDefault="00045010" w:rsidP="00640820">
      <w:pPr>
        <w:spacing w:after="0" w:line="240" w:lineRule="auto"/>
        <w:jc w:val="both"/>
        <w:rPr>
          <w:rFonts w:ascii="Times New Roman" w:hAnsi="Times New Roman"/>
          <w:bCs/>
          <w:color w:val="000000" w:themeColor="text1"/>
          <w:sz w:val="16"/>
          <w:szCs w:val="16"/>
        </w:rPr>
      </w:pPr>
      <w:r w:rsidRPr="00640820">
        <w:rPr>
          <w:rFonts w:ascii="Times New Roman" w:hAnsi="Times New Roman"/>
          <w:bCs/>
          <w:color w:val="000000" w:themeColor="text1"/>
          <w:sz w:val="16"/>
          <w:szCs w:val="16"/>
        </w:rPr>
        <w:t xml:space="preserve">24 декабря 1941 года, после испытаний захваченного «Фридриха», начальник НИИ ВВС Федоров писал заместителю наркома авиапромышленности A.C. Яковлеву: «Сегодня мы не имеем истребителя, равного Ме-109Ф» (12623). </w:t>
      </w:r>
    </w:p>
    <w:p w14:paraId="1E0BE1DC" w14:textId="77777777" w:rsidR="00045010" w:rsidRPr="00640820" w:rsidRDefault="00045010" w:rsidP="00640820">
      <w:pPr>
        <w:spacing w:after="0" w:line="240" w:lineRule="auto"/>
        <w:jc w:val="both"/>
        <w:rPr>
          <w:rFonts w:ascii="Times New Roman" w:hAnsi="Times New Roman"/>
          <w:bCs/>
          <w:color w:val="000000" w:themeColor="text1"/>
          <w:sz w:val="16"/>
          <w:szCs w:val="16"/>
        </w:rPr>
      </w:pPr>
    </w:p>
    <w:p w14:paraId="48E488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24 декабря 1941 вышло Постановление ГКО № 1057 О производстве аэросаней РФ-8 инженера Веселовского М.В. РГАНИР, Фонд ГКО, д. 16, лл. 185 (11012).</w:t>
      </w:r>
    </w:p>
    <w:p w14:paraId="025FAA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B2A83B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декабря 1941 вышдо постановление ГКО № 1057, которым аэросани Веселовского РФ-8 были приняты к серийной постройке. В развитие постановления вышел приказ № Л-197псс НКСМ, который обязал директора ГАЗа Лоскутова организовать серию и сдать в январе 1942 300. И.В.С. лично звонил Лоскутову и сообщилв о решении ГКО дал 5 дней на выпуск серийных чертежей. В тот же день Лоскутов поручил ГК Липгарту немедленно переработать чертежи применительно к условиям завода (8285,18).</w:t>
      </w:r>
    </w:p>
    <w:p w14:paraId="190C4D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7FA1A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декабря 1941 г. вышло ПОСТАНОВЛЕНИЕ № ГКО-1057сс</w:t>
      </w:r>
    </w:p>
    <w:p w14:paraId="20D2E3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Москва, Кремль </w:t>
      </w:r>
    </w:p>
    <w:p w14:paraId="556759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 производстве аэросаней РФ-8 инженера Веселовского.</w:t>
      </w:r>
    </w:p>
    <w:p w14:paraId="78DC34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Государственный Комитет Обороны постановляет: </w:t>
      </w:r>
    </w:p>
    <w:p w14:paraId="32E28B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 Утвердить предложение Авто-Бронетанкового Управления о постановке на производство аэросаней РФ-8 конструкции инженера Веселовского. </w:t>
      </w:r>
    </w:p>
    <w:p w14:paraId="380F28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 Обязать Наркомсредмаш тов. Акопова и директора Горьковского Автозавода имени Молотова тов. Лоскутова организовать производство аэросаней РФ-8 на Автозаводе имени Молотова. </w:t>
      </w:r>
    </w:p>
    <w:p w14:paraId="388950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 Утвердить на январь 1942 г. программу выпуска аэросаней РФ-8 - 300 штук. </w:t>
      </w:r>
    </w:p>
    <w:p w14:paraId="06E188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4. Обязать директора Горьковского Автозавода имени Молотова тов. Лоскутова к 1 января 1942 года изготовить по техническому проекту инженера Веселовского чертежи аэросаней РФ-8 для серийного производства. </w:t>
      </w:r>
    </w:p>
    <w:p w14:paraId="1537CB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Для этой работы привлечь тов. Веселовского. </w:t>
      </w:r>
    </w:p>
    <w:p w14:paraId="1893E2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НКО (тов. Федоренко) в двухдневный срок утвердить чертежи серийного производства. </w:t>
      </w:r>
    </w:p>
    <w:p w14:paraId="7C5E879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5. Установить следующие основные данные аэросаней РФ-8: </w:t>
      </w:r>
    </w:p>
    <w:p w14:paraId="51843B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Боевой вес аэросаней не более 890 кг. </w:t>
      </w:r>
    </w:p>
    <w:p w14:paraId="58EC0F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Экипаж - два человека (водитель и командир машины). </w:t>
      </w:r>
    </w:p>
    <w:p w14:paraId="73194F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Средняя скорость при движении по всхолмленной местности и плотному снегу не менее 40 км/час. </w:t>
      </w:r>
    </w:p>
    <w:p w14:paraId="2D1529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Запас хода при движении по плотному снегу - 250 км. </w:t>
      </w:r>
    </w:p>
    <w:p w14:paraId="1FDB83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или - 6.2 часа. </w:t>
      </w:r>
    </w:p>
    <w:p w14:paraId="43636C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Преодолеваемый подъем - до 25°. </w:t>
      </w:r>
    </w:p>
    <w:p w14:paraId="584C4A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Радиус поворота - правый 9.75 мт. </w:t>
      </w:r>
    </w:p>
    <w:p w14:paraId="01D369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левый 9 метров. </w:t>
      </w:r>
    </w:p>
    <w:p w14:paraId="2682E1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Тип мотора - автомобильный М-1, мощностью 50 л.с. с металлическим толкающим винтом. </w:t>
      </w:r>
    </w:p>
    <w:p w14:paraId="061DB6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Вооружение - один пулемет ДТ, установленный на упрощенной турели. </w:t>
      </w:r>
    </w:p>
    <w:p w14:paraId="3CF486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Боекомплект - 630 патрон в 10 дисках и 6 гранат РГД. </w:t>
      </w:r>
    </w:p>
    <w:p w14:paraId="0BD4C23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6. Обязать тов. Акопова (НКСМ) обеспечить выпуск саней необходимыми материалами, приборами и оборудованием. </w:t>
      </w:r>
    </w:p>
    <w:p w14:paraId="7C2B4C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ПРЕДСЕДАТЕЛЬ ГОСУДАРСТВЕННОГО КОМИТЕТА ОБОРОНЫ И. СТАЛИН </w:t>
      </w:r>
    </w:p>
    <w:p w14:paraId="24178F1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Выписки посланы: т.т. Федоренко, Акопову, Лоскутову, Маленкову, Шапошникову (11434). </w:t>
      </w:r>
    </w:p>
    <w:p w14:paraId="36D9D0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D1CF833" w14:textId="77777777" w:rsidR="00471CF3" w:rsidRPr="00640820" w:rsidRDefault="00471CF3" w:rsidP="00640820">
      <w:pPr>
        <w:widowControl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24 декабря </w:t>
      </w:r>
      <w:smartTag w:uri="urn:schemas-microsoft-com:office:smarttags" w:element="metricconverter">
        <w:smartTagPr>
          <w:attr w:name="ProductID" w:val="1945 г"/>
        </w:smartTagPr>
        <w:r w:rsidRPr="00640820">
          <w:rPr>
            <w:rFonts w:ascii="Times New Roman" w:hAnsi="Times New Roman"/>
            <w:color w:val="000000" w:themeColor="text1"/>
            <w:sz w:val="16"/>
            <w:szCs w:val="16"/>
          </w:rPr>
          <w:t>1941 г</w:t>
        </w:r>
      </w:smartTag>
      <w:r w:rsidRPr="00640820">
        <w:rPr>
          <w:rFonts w:ascii="Times New Roman" w:hAnsi="Times New Roman"/>
          <w:color w:val="000000" w:themeColor="text1"/>
          <w:sz w:val="16"/>
          <w:szCs w:val="16"/>
        </w:rPr>
        <w:t>. выходит приказ о производстве на автозаводе аэросаней (в соответствии с решением ГКО и личным указанием И.В. Сталина) (15218).</w:t>
      </w:r>
    </w:p>
    <w:p w14:paraId="3B6AB53D" w14:textId="77777777" w:rsidR="00471CF3" w:rsidRPr="00640820" w:rsidRDefault="00471CF3" w:rsidP="00640820">
      <w:pPr>
        <w:widowControl w:val="0"/>
        <w:spacing w:after="0" w:line="240" w:lineRule="auto"/>
        <w:jc w:val="both"/>
        <w:rPr>
          <w:rFonts w:ascii="Times New Roman" w:hAnsi="Times New Roman"/>
          <w:color w:val="000000" w:themeColor="text1"/>
          <w:sz w:val="16"/>
          <w:szCs w:val="16"/>
        </w:rPr>
      </w:pPr>
    </w:p>
    <w:p w14:paraId="07B7B08B" w14:textId="77777777" w:rsidR="00471CF3" w:rsidRPr="00640820" w:rsidRDefault="00471CF3" w:rsidP="00640820">
      <w:pPr>
        <w:widowControl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24 декабря 1941 года вышел приказ о производстве на Горьковском автозаводе </w:t>
      </w:r>
      <w:r w:rsidRPr="00640820">
        <w:rPr>
          <w:rFonts w:ascii="Times New Roman" w:hAnsi="Times New Roman"/>
          <w:bCs/>
          <w:color w:val="000000" w:themeColor="text1"/>
          <w:sz w:val="16"/>
          <w:szCs w:val="16"/>
        </w:rPr>
        <w:t>аэросаней</w:t>
      </w:r>
      <w:r w:rsidRPr="00640820">
        <w:rPr>
          <w:rFonts w:ascii="Times New Roman" w:hAnsi="Times New Roman"/>
          <w:color w:val="000000" w:themeColor="text1"/>
          <w:sz w:val="16"/>
          <w:szCs w:val="16"/>
        </w:rPr>
        <w:t xml:space="preserve"> (в соответствии с решением ГКО и личным указанием И.В. Сталина). По итогам советско-финской войны руководством РККА был сделан вывод о необходимости создания новых видов аэросаней. Аналогичное мнение существовало и в войсках. Так, командир 8-го отряда отмечал, что: аэросани должны иметь легкую броневую защиту; их экипаж должен стоять из водителя, стрелка, механика и радиста; наилучшим вооружением является пулемет Дегтярева; необходима комплектация саней радиостанцией с диапазоном действия 100-</w:t>
      </w:r>
      <w:smartTag w:uri="urn:schemas-microsoft-com:office:smarttags" w:element="metricconverter">
        <w:smartTagPr>
          <w:attr w:name="ProductID" w:val="1945 г"/>
        </w:smartTagPr>
        <w:r w:rsidRPr="00640820">
          <w:rPr>
            <w:rFonts w:ascii="Times New Roman" w:hAnsi="Times New Roman"/>
            <w:color w:val="000000" w:themeColor="text1"/>
            <w:sz w:val="16"/>
            <w:szCs w:val="16"/>
          </w:rPr>
          <w:t>150 км</w:t>
        </w:r>
      </w:smartTag>
      <w:r w:rsidRPr="00640820">
        <w:rPr>
          <w:rFonts w:ascii="Times New Roman" w:hAnsi="Times New Roman"/>
          <w:color w:val="000000" w:themeColor="text1"/>
          <w:sz w:val="16"/>
          <w:szCs w:val="16"/>
        </w:rPr>
        <w:t>. Однако, в связи с перегруженностью отечественных проектно-конструкторских организаций и промышленных мощностей заказами, а также организационно-штатными мероприятиями и иными факторами, до начала Великой Отечественной войны создать приемлемый вариант аэросаней для вооруженных сил, и тем более запустить его в серию, не удалось. Более того, летом 1941 года даже имевшееся мелкосерийное производство различных аэросаней было ликвидировано. Это опрометчивое решение вскоре пришлось пересматривать (15218).</w:t>
      </w:r>
    </w:p>
    <w:p w14:paraId="2CFC6DA2" w14:textId="77777777" w:rsidR="00471CF3" w:rsidRPr="00640820" w:rsidRDefault="00471CF3"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B06AEF9" w14:textId="77777777" w:rsidR="009A31E1" w:rsidRPr="00640820" w:rsidRDefault="009A31E1"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24 декабря 1941 г. в ходе войсковых испытаний (вторых по счету) реактивных снарядов РБС-82, РБС-132 и РОФС-132 в 47-й сад 3 летчика дивизии успешно атаковали реактивными снарядами наземные цели.</w:t>
      </w:r>
    </w:p>
    <w:p w14:paraId="7A737F77" w14:textId="77777777" w:rsidR="009A31E1" w:rsidRPr="00640820" w:rsidRDefault="009A31E1"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Лейтенант Уваров с планирования под углом 5—7° с дистанции 400—550 м вел стрельбу по тан</w:t>
      </w:r>
      <w:r w:rsidRPr="00640820">
        <w:rPr>
          <w:color w:val="000000" w:themeColor="text1"/>
          <w:sz w:val="16"/>
          <w:szCs w:val="16"/>
        </w:rPr>
        <w:softHyphen/>
        <w:t>кам и автомашинам. Снаряды легли в районе цели на расстоянии 1—2 м один от другого. После попа</w:t>
      </w:r>
      <w:r w:rsidRPr="00640820">
        <w:rPr>
          <w:color w:val="000000" w:themeColor="text1"/>
          <w:sz w:val="16"/>
          <w:szCs w:val="16"/>
        </w:rPr>
        <w:softHyphen/>
        <w:t>дания в дом, около которого были танки и автома</w:t>
      </w:r>
      <w:r w:rsidRPr="00640820">
        <w:rPr>
          <w:color w:val="000000" w:themeColor="text1"/>
          <w:sz w:val="16"/>
          <w:szCs w:val="16"/>
        </w:rPr>
        <w:softHyphen/>
        <w:t>шины, последовал сильный взрыв, сопровождаю</w:t>
      </w:r>
      <w:r w:rsidRPr="00640820">
        <w:rPr>
          <w:color w:val="000000" w:themeColor="text1"/>
          <w:sz w:val="16"/>
          <w:szCs w:val="16"/>
        </w:rPr>
        <w:softHyphen/>
        <w:t>щийся черным дымом. Дом взлетел на воздух.</w:t>
      </w:r>
    </w:p>
    <w:p w14:paraId="3BEDDF8F" w14:textId="77777777" w:rsidR="009A31E1" w:rsidRPr="00640820" w:rsidRDefault="009A31E1"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Капитан Фомин вел стрельбу РБС-82 с дистан</w:t>
      </w:r>
      <w:r w:rsidRPr="00640820">
        <w:rPr>
          <w:color w:val="000000" w:themeColor="text1"/>
          <w:sz w:val="16"/>
          <w:szCs w:val="16"/>
        </w:rPr>
        <w:softHyphen/>
        <w:t>ции 400—500 м с бреющего полета. Снаряды легли в 2—3 м друг от друга. При взрывах было много черного дыма, который не позволил рассмотреть количество пораженных целей.</w:t>
      </w:r>
    </w:p>
    <w:p w14:paraId="2FA63702" w14:textId="77777777" w:rsidR="009A31E1" w:rsidRPr="00640820" w:rsidRDefault="009A31E1"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Старшина Сидоренко атаковал группу танков и автомашин с дистанции 400—500 м. Угол плани</w:t>
      </w:r>
      <w:r w:rsidRPr="00640820">
        <w:rPr>
          <w:color w:val="000000" w:themeColor="text1"/>
          <w:sz w:val="16"/>
          <w:szCs w:val="16"/>
        </w:rPr>
        <w:softHyphen/>
        <w:t>рования 5—10°. Снаряды легли в радиусе 1—2 м друг от друга. Прямых попаданий в танки заметить не удалось, но движение колонны прекратилось.</w:t>
      </w:r>
    </w:p>
    <w:p w14:paraId="16991B33" w14:textId="77777777" w:rsidR="009A31E1" w:rsidRPr="00640820" w:rsidRDefault="009A31E1"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9 января 1942 г. капитан Заноздра 4 снарядами РОФС-132 с дистанции 600 м под углом планирова</w:t>
      </w:r>
      <w:r w:rsidRPr="00640820">
        <w:rPr>
          <w:color w:val="000000" w:themeColor="text1"/>
          <w:sz w:val="16"/>
          <w:szCs w:val="16"/>
        </w:rPr>
        <w:softHyphen/>
        <w:t>ния 5—6° атаковал 4 немецких танка. Разрывы сна</w:t>
      </w:r>
      <w:r w:rsidRPr="00640820">
        <w:rPr>
          <w:color w:val="000000" w:themeColor="text1"/>
          <w:sz w:val="16"/>
          <w:szCs w:val="16"/>
        </w:rPr>
        <w:softHyphen/>
        <w:t>рядов были в радиусе 50 м. Характер поражения заметить не удалось.</w:t>
      </w:r>
    </w:p>
    <w:p w14:paraId="0AB53458" w14:textId="77777777" w:rsidR="009A31E1" w:rsidRPr="00640820" w:rsidRDefault="009A31E1"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В этот же день младший лейтенант Балашов вел стрельбу снарядами РОФС-132 по колонне ав</w:t>
      </w:r>
      <w:r w:rsidRPr="00640820">
        <w:rPr>
          <w:color w:val="000000" w:themeColor="text1"/>
          <w:sz w:val="16"/>
          <w:szCs w:val="16"/>
        </w:rPr>
        <w:softHyphen/>
        <w:t>томашин и повозок с дистанции 700 м. Снаряды упали посреди дороги, по которой двигалась ав</w:t>
      </w:r>
      <w:r w:rsidRPr="00640820">
        <w:rPr>
          <w:color w:val="000000" w:themeColor="text1"/>
          <w:sz w:val="16"/>
          <w:szCs w:val="16"/>
        </w:rPr>
        <w:softHyphen/>
        <w:t>токолонна, и вызвали большой взрыв. Силой взры</w:t>
      </w:r>
      <w:r w:rsidRPr="00640820">
        <w:rPr>
          <w:color w:val="000000" w:themeColor="text1"/>
          <w:sz w:val="16"/>
          <w:szCs w:val="16"/>
        </w:rPr>
        <w:softHyphen/>
        <w:t>ва обломки от автомашин подбросило на высоту до 70 м. Движение по дороге разорвалось метров на пятьдесят.</w:t>
      </w:r>
    </w:p>
    <w:p w14:paraId="64A5CC03" w14:textId="77777777" w:rsidR="009A31E1" w:rsidRPr="00640820" w:rsidRDefault="009A31E1"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9 января 1942 г. старший лейтенант Баранов вы</w:t>
      </w:r>
      <w:r w:rsidRPr="00640820">
        <w:rPr>
          <w:color w:val="000000" w:themeColor="text1"/>
          <w:sz w:val="16"/>
          <w:szCs w:val="16"/>
        </w:rPr>
        <w:softHyphen/>
        <w:t>пустил по железнодорожному составу 7 РОФС-132. Атаку летчик произвел с юго-востока от железной дороги, а погрузка вагонов шла с северной сто</w:t>
      </w:r>
      <w:r w:rsidRPr="00640820">
        <w:rPr>
          <w:color w:val="000000" w:themeColor="text1"/>
          <w:sz w:val="16"/>
          <w:szCs w:val="16"/>
        </w:rPr>
        <w:softHyphen/>
        <w:t>роны. Первый залп из 2 снарядов был выполнен с дистанции 1000 м, снаряды прошли над вагонами и разорвались на площадке, где в ожидании по</w:t>
      </w:r>
      <w:r w:rsidRPr="00640820">
        <w:rPr>
          <w:color w:val="000000" w:themeColor="text1"/>
          <w:sz w:val="16"/>
          <w:szCs w:val="16"/>
        </w:rPr>
        <w:softHyphen/>
        <w:t>грузки скопилось большое количество автомашин и танков. Остальные 5 снарядов летчик выпустил непосредственно по вагонам и добился прямых попаданий. Всего было разбито 8 вагонов. В 2 ваго</w:t>
      </w:r>
      <w:r w:rsidRPr="00640820">
        <w:rPr>
          <w:color w:val="000000" w:themeColor="text1"/>
          <w:sz w:val="16"/>
          <w:szCs w:val="16"/>
        </w:rPr>
        <w:softHyphen/>
        <w:t>нах произошел сильный взрыв, сопровождавший</w:t>
      </w:r>
      <w:r w:rsidRPr="00640820">
        <w:rPr>
          <w:color w:val="000000" w:themeColor="text1"/>
          <w:sz w:val="16"/>
          <w:szCs w:val="16"/>
        </w:rPr>
        <w:softHyphen/>
        <w:t>ся облаком дыма, другие же вагоны разлетелись в щепки.</w:t>
      </w:r>
    </w:p>
    <w:p w14:paraId="47908A32" w14:textId="77777777" w:rsidR="009A31E1" w:rsidRPr="00640820" w:rsidRDefault="009A31E1" w:rsidP="00640820">
      <w:pPr>
        <w:pStyle w:val="129"/>
        <w:shd w:val="clear" w:color="auto" w:fill="auto"/>
        <w:tabs>
          <w:tab w:val="left" w:pos="596"/>
        </w:tabs>
        <w:spacing w:after="0" w:line="240" w:lineRule="auto"/>
        <w:jc w:val="both"/>
        <w:rPr>
          <w:color w:val="000000" w:themeColor="text1"/>
          <w:sz w:val="16"/>
          <w:szCs w:val="16"/>
        </w:rPr>
      </w:pPr>
      <w:r w:rsidRPr="00640820">
        <w:rPr>
          <w:color w:val="000000" w:themeColor="text1"/>
          <w:sz w:val="16"/>
          <w:szCs w:val="16"/>
        </w:rPr>
        <w:t>11 января 1942 Балашов нанес удар по скоплению автомашин и живой силы в населенном пункте. Условия стрельбы те же, как и в предыдущем вы</w:t>
      </w:r>
      <w:r w:rsidRPr="00640820">
        <w:rPr>
          <w:color w:val="000000" w:themeColor="text1"/>
          <w:sz w:val="16"/>
          <w:szCs w:val="16"/>
        </w:rPr>
        <w:softHyphen/>
        <w:t>лете. Силой взрыва в центре скопления автомашин крупные части машин подбросило выше самолета, а стоящий вблизи дом частично разрушился и за</w:t>
      </w:r>
      <w:r w:rsidRPr="00640820">
        <w:rPr>
          <w:color w:val="000000" w:themeColor="text1"/>
          <w:sz w:val="16"/>
          <w:szCs w:val="16"/>
        </w:rPr>
        <w:softHyphen/>
        <w:t>горелся.</w:t>
      </w:r>
    </w:p>
    <w:p w14:paraId="0F128AB7" w14:textId="77777777" w:rsidR="009A31E1" w:rsidRPr="00640820" w:rsidRDefault="009A31E1" w:rsidP="00640820">
      <w:pPr>
        <w:pStyle w:val="129"/>
        <w:shd w:val="clear" w:color="auto" w:fill="auto"/>
        <w:tabs>
          <w:tab w:val="left" w:pos="591"/>
        </w:tabs>
        <w:spacing w:after="0" w:line="240" w:lineRule="auto"/>
        <w:jc w:val="both"/>
        <w:rPr>
          <w:color w:val="000000" w:themeColor="text1"/>
          <w:sz w:val="16"/>
          <w:szCs w:val="16"/>
        </w:rPr>
      </w:pPr>
      <w:r w:rsidRPr="00640820">
        <w:rPr>
          <w:color w:val="000000" w:themeColor="text1"/>
          <w:sz w:val="16"/>
          <w:szCs w:val="16"/>
        </w:rPr>
        <w:t>12 января 1942 стрельба РСами велась Балашовым также по скоплению живой силы и техники. Авто</w:t>
      </w:r>
      <w:r w:rsidRPr="00640820">
        <w:rPr>
          <w:color w:val="000000" w:themeColor="text1"/>
          <w:sz w:val="16"/>
          <w:szCs w:val="16"/>
        </w:rPr>
        <w:softHyphen/>
        <w:t>машины стояли замаскированными около домов, а людской состав, по-видимому, находился в домах. В результате прямых попаданий в дома последние разлетались в щепки и возникали пожары. Столб дыма и пыли поднялся над местами взрыва метров на тридцать.</w:t>
      </w:r>
    </w:p>
    <w:p w14:paraId="55604D32" w14:textId="77777777" w:rsidR="009A31E1" w:rsidRPr="00640820" w:rsidRDefault="009A31E1"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В этот же день старший лейтенант Баранов ата</w:t>
      </w:r>
      <w:r w:rsidRPr="00640820">
        <w:rPr>
          <w:color w:val="000000" w:themeColor="text1"/>
          <w:sz w:val="16"/>
          <w:szCs w:val="16"/>
        </w:rPr>
        <w:softHyphen/>
        <w:t>ковал колонну автомашин и гужевого транспорта немцев вблизи одного из населенных пунктов. По докладу летчика, было уничтожено около 15 под</w:t>
      </w:r>
      <w:r w:rsidRPr="00640820">
        <w:rPr>
          <w:color w:val="000000" w:themeColor="text1"/>
          <w:sz w:val="16"/>
          <w:szCs w:val="16"/>
        </w:rPr>
        <w:softHyphen/>
        <w:t>вод и автомашин с прислугой.</w:t>
      </w:r>
    </w:p>
    <w:p w14:paraId="6A7E5246" w14:textId="77777777" w:rsidR="009A31E1" w:rsidRPr="00640820" w:rsidRDefault="009A31E1"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Два реактивных снаряда летчик выпустил по ко</w:t>
      </w:r>
      <w:r w:rsidRPr="00640820">
        <w:rPr>
          <w:color w:val="000000" w:themeColor="text1"/>
          <w:sz w:val="16"/>
          <w:szCs w:val="16"/>
        </w:rPr>
        <w:softHyphen/>
        <w:t>лонне гужевого транспорта в составе до 35 подвод. Снаряды попали в середину колонны. По-видимому, в повозках были боеприпасы, так как произошел сильный взрыв и в воздух взлетели обломки по</w:t>
      </w:r>
      <w:r w:rsidRPr="00640820">
        <w:rPr>
          <w:color w:val="000000" w:themeColor="text1"/>
          <w:sz w:val="16"/>
          <w:szCs w:val="16"/>
        </w:rPr>
        <w:softHyphen/>
        <w:t>возок, куски лошадей и людей. Боясь повреждения самолета, Баранову пришлось резко «взять гор</w:t>
      </w:r>
      <w:r w:rsidRPr="00640820">
        <w:rPr>
          <w:color w:val="000000" w:themeColor="text1"/>
          <w:sz w:val="16"/>
          <w:szCs w:val="16"/>
        </w:rPr>
        <w:softHyphen/>
        <w:t>ку». Один РС был выпущен по дому, где скопилось много солдат противника. От прямого попадания дом совершенно развалился и загорелся, обломки взлетели на высоту до 50 м. Остальными снарядами были атакованы автомашины, которые разлетались в щепки и горели.</w:t>
      </w:r>
    </w:p>
    <w:p w14:paraId="0B2742D7" w14:textId="77777777" w:rsidR="009A31E1" w:rsidRPr="00640820" w:rsidRDefault="009A31E1"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В этот же день капитан Фомин снарядами РОФС-132 с высоты 15—20 м с дистанции 500— 450 м произвел эффектную стрельбу по скоплению автомашин в деревне. Летчик наблюдал сильные взрывы, черный дым и летящие обломки автома</w:t>
      </w:r>
      <w:r w:rsidRPr="00640820">
        <w:rPr>
          <w:color w:val="000000" w:themeColor="text1"/>
          <w:sz w:val="16"/>
          <w:szCs w:val="16"/>
        </w:rPr>
        <w:softHyphen/>
        <w:t>шин. Например, колесо от автомашины взлетело в воздух на высоту до 80 м примерно в 200 м впе</w:t>
      </w:r>
      <w:r w:rsidRPr="00640820">
        <w:rPr>
          <w:color w:val="000000" w:themeColor="text1"/>
          <w:sz w:val="16"/>
          <w:szCs w:val="16"/>
        </w:rPr>
        <w:softHyphen/>
        <w:t>реди самолета, чтобы избежать столкновения, капи</w:t>
      </w:r>
      <w:r w:rsidRPr="00640820">
        <w:rPr>
          <w:color w:val="000000" w:themeColor="text1"/>
          <w:sz w:val="16"/>
          <w:szCs w:val="16"/>
        </w:rPr>
        <w:softHyphen/>
        <w:t>тану пришлось отвернуть в сторону. По-видимому, снаряд попал в машину с боеприпасами.</w:t>
      </w:r>
    </w:p>
    <w:p w14:paraId="7C3BEBCC" w14:textId="77777777" w:rsidR="009A31E1" w:rsidRPr="00640820" w:rsidRDefault="009A31E1"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13 января 1942 г. лейтенант Коротков вел стрельбу реактивными снарядами по населенно</w:t>
      </w:r>
      <w:r w:rsidRPr="00640820">
        <w:rPr>
          <w:color w:val="000000" w:themeColor="text1"/>
          <w:sz w:val="16"/>
          <w:szCs w:val="16"/>
        </w:rPr>
        <w:softHyphen/>
        <w:t>му пункту и автомашинам в нем. Им было отмече</w:t>
      </w:r>
      <w:r w:rsidRPr="00640820">
        <w:rPr>
          <w:color w:val="000000" w:themeColor="text1"/>
          <w:sz w:val="16"/>
          <w:szCs w:val="16"/>
        </w:rPr>
        <w:softHyphen/>
        <w:t>но, что при попадании снаряда в деревянный дом последний разрушается и немедленно загорается, автомашины превращаются в обломки, которые взлетают выше самолета, и при стрельбе с малой дистанции возможно повреждение самолета.</w:t>
      </w:r>
    </w:p>
    <w:p w14:paraId="21D1EC12" w14:textId="77777777" w:rsidR="009A31E1" w:rsidRPr="00640820" w:rsidRDefault="009A31E1"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В отчете о войсковых испытаниях реактивных снарядов РБС-82, РБС-132 и РОФС-132 в боевых ус</w:t>
      </w:r>
      <w:r w:rsidRPr="00640820">
        <w:rPr>
          <w:color w:val="000000" w:themeColor="text1"/>
          <w:sz w:val="16"/>
          <w:szCs w:val="16"/>
        </w:rPr>
        <w:softHyphen/>
        <w:t>ловиях летный состав 47-й сад сделал следующие выводы:</w:t>
      </w:r>
    </w:p>
    <w:p w14:paraId="0D5A24DE" w14:textId="77777777" w:rsidR="009A31E1" w:rsidRPr="00640820" w:rsidRDefault="009A31E1"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«1) РБС-82 является мощным оружием истреби</w:t>
      </w:r>
      <w:r w:rsidRPr="00640820">
        <w:rPr>
          <w:color w:val="000000" w:themeColor="text1"/>
          <w:sz w:val="16"/>
          <w:szCs w:val="16"/>
        </w:rPr>
        <w:softHyphen/>
        <w:t>тельной авиации для поражения танков, бронема</w:t>
      </w:r>
      <w:r w:rsidRPr="00640820">
        <w:rPr>
          <w:color w:val="000000" w:themeColor="text1"/>
          <w:sz w:val="16"/>
          <w:szCs w:val="16"/>
        </w:rPr>
        <w:softHyphen/>
        <w:t>шин, бронепоездов и других объектов, имеющих броневое покрытие до 50 мм. Применение целесо</w:t>
      </w:r>
      <w:r w:rsidRPr="00640820">
        <w:rPr>
          <w:color w:val="000000" w:themeColor="text1"/>
          <w:sz w:val="16"/>
          <w:szCs w:val="16"/>
        </w:rPr>
        <w:softHyphen/>
        <w:t>образно на пикировании с углом не менее 60° или на планировании с углами до 15°. Наличие РБС-82 делает самолет-истребитель мощным орудием для борьбы с танками противника;</w:t>
      </w:r>
    </w:p>
    <w:p w14:paraId="56450036" w14:textId="77777777" w:rsidR="009A31E1" w:rsidRPr="00640820" w:rsidRDefault="009A31E1" w:rsidP="00640820">
      <w:pPr>
        <w:pStyle w:val="129"/>
        <w:shd w:val="clear" w:color="auto" w:fill="auto"/>
        <w:tabs>
          <w:tab w:val="left" w:pos="582"/>
        </w:tabs>
        <w:spacing w:after="0" w:line="240" w:lineRule="auto"/>
        <w:jc w:val="both"/>
        <w:rPr>
          <w:color w:val="000000" w:themeColor="text1"/>
          <w:sz w:val="16"/>
          <w:szCs w:val="16"/>
        </w:rPr>
      </w:pPr>
      <w:r w:rsidRPr="00640820">
        <w:rPr>
          <w:color w:val="000000" w:themeColor="text1"/>
          <w:sz w:val="16"/>
          <w:szCs w:val="16"/>
        </w:rPr>
        <w:lastRenderedPageBreak/>
        <w:t>2) РБС-132 является мощным огневым сред</w:t>
      </w:r>
      <w:r w:rsidRPr="00640820">
        <w:rPr>
          <w:color w:val="000000" w:themeColor="text1"/>
          <w:sz w:val="16"/>
          <w:szCs w:val="16"/>
        </w:rPr>
        <w:softHyphen/>
        <w:t>ством для поражения бронированных целей про</w:t>
      </w:r>
      <w:r w:rsidRPr="00640820">
        <w:rPr>
          <w:color w:val="000000" w:themeColor="text1"/>
          <w:sz w:val="16"/>
          <w:szCs w:val="16"/>
        </w:rPr>
        <w:softHyphen/>
        <w:t>тивника стрельбой с самолетов штурмовиков и бомбардировщиков с горизонтального, планиру</w:t>
      </w:r>
      <w:r w:rsidRPr="00640820">
        <w:rPr>
          <w:color w:val="000000" w:themeColor="text1"/>
          <w:sz w:val="16"/>
          <w:szCs w:val="16"/>
        </w:rPr>
        <w:softHyphen/>
        <w:t>ющего или пикирующего полета. В число этих це</w:t>
      </w:r>
      <w:r w:rsidRPr="00640820">
        <w:rPr>
          <w:color w:val="000000" w:themeColor="text1"/>
          <w:sz w:val="16"/>
          <w:szCs w:val="16"/>
        </w:rPr>
        <w:softHyphen/>
        <w:t>лей могут входить: тяжелые танки, бронепоезда, ба</w:t>
      </w:r>
      <w:r w:rsidRPr="00640820">
        <w:rPr>
          <w:color w:val="000000" w:themeColor="text1"/>
          <w:sz w:val="16"/>
          <w:szCs w:val="16"/>
        </w:rPr>
        <w:softHyphen/>
        <w:t>тареи береговой обороны, морские и речные суда, имеющие бронирование до 75 мм, а также полевые бетонированные сооружения и каменные строения гражданского типа. Самолет Ил-2, вооруженный РБС-132, будет являться мощным штурмовиком для действия по бронированным и сильно укреплен</w:t>
      </w:r>
      <w:r w:rsidRPr="00640820">
        <w:rPr>
          <w:color w:val="000000" w:themeColor="text1"/>
          <w:sz w:val="16"/>
          <w:szCs w:val="16"/>
        </w:rPr>
        <w:softHyphen/>
        <w:t>ным целям;</w:t>
      </w:r>
    </w:p>
    <w:p w14:paraId="3025EDDC" w14:textId="77777777" w:rsidR="009A31E1" w:rsidRPr="00640820" w:rsidRDefault="009A31E1" w:rsidP="00640820">
      <w:pPr>
        <w:pStyle w:val="129"/>
        <w:shd w:val="clear" w:color="auto" w:fill="auto"/>
        <w:tabs>
          <w:tab w:val="left" w:pos="543"/>
        </w:tabs>
        <w:spacing w:after="0" w:line="240" w:lineRule="auto"/>
        <w:jc w:val="both"/>
        <w:rPr>
          <w:color w:val="000000" w:themeColor="text1"/>
          <w:sz w:val="16"/>
          <w:szCs w:val="16"/>
        </w:rPr>
      </w:pPr>
      <w:r w:rsidRPr="00640820">
        <w:rPr>
          <w:color w:val="000000" w:themeColor="text1"/>
          <w:sz w:val="16"/>
          <w:szCs w:val="16"/>
        </w:rPr>
        <w:t>3) РОФС-132 является мощным снарядом оско</w:t>
      </w:r>
      <w:r w:rsidRPr="00640820">
        <w:rPr>
          <w:color w:val="000000" w:themeColor="text1"/>
          <w:sz w:val="16"/>
          <w:szCs w:val="16"/>
        </w:rPr>
        <w:softHyphen/>
        <w:t>лочно-фугасного действия. Применение его на са</w:t>
      </w:r>
      <w:r w:rsidRPr="00640820">
        <w:rPr>
          <w:color w:val="000000" w:themeColor="text1"/>
          <w:sz w:val="16"/>
          <w:szCs w:val="16"/>
        </w:rPr>
        <w:softHyphen/>
        <w:t>молете Ил-2 в 8—10 раз увеличивает его огневую мощь в сравнении с применением штатного РС-82 и в 3—4 раза со штатным РС-132;</w:t>
      </w:r>
    </w:p>
    <w:p w14:paraId="3A22ED62" w14:textId="77777777" w:rsidR="009A31E1" w:rsidRPr="00640820" w:rsidRDefault="009A31E1" w:rsidP="00640820">
      <w:pPr>
        <w:pStyle w:val="129"/>
        <w:shd w:val="clear" w:color="auto" w:fill="auto"/>
        <w:tabs>
          <w:tab w:val="left" w:pos="548"/>
        </w:tabs>
        <w:spacing w:after="0" w:line="240" w:lineRule="auto"/>
        <w:jc w:val="both"/>
        <w:rPr>
          <w:color w:val="000000" w:themeColor="text1"/>
          <w:sz w:val="16"/>
          <w:szCs w:val="16"/>
        </w:rPr>
      </w:pPr>
      <w:r w:rsidRPr="00640820">
        <w:rPr>
          <w:color w:val="000000" w:themeColor="text1"/>
          <w:sz w:val="16"/>
          <w:szCs w:val="16"/>
        </w:rPr>
        <w:t>4) установить точное количество пораженных целей не было возможности. Летчики, летавшие с РБС-82, отмечали прямые попадания в танки, дома и автомашины. Со слов летчиков, летавших с РБС-132, можно считать, что выведено из строя не менее 20 танков, 35—40 автомашин и разрушено несколько строений, используемых противником. По единодушному заключению летчиков, летавших с РОФС-132, действие этого снаряда у цели исклю</w:t>
      </w:r>
      <w:r w:rsidRPr="00640820">
        <w:rPr>
          <w:color w:val="000000" w:themeColor="text1"/>
          <w:sz w:val="16"/>
          <w:szCs w:val="16"/>
        </w:rPr>
        <w:softHyphen/>
        <w:t>чительно сильное и превосходящее «все ожида</w:t>
      </w:r>
      <w:r w:rsidRPr="00640820">
        <w:rPr>
          <w:color w:val="000000" w:themeColor="text1"/>
          <w:sz w:val="16"/>
          <w:szCs w:val="16"/>
        </w:rPr>
        <w:softHyphen/>
        <w:t>ния». Действием РОФС-132 противнику нанесен большой ущерб;</w:t>
      </w:r>
    </w:p>
    <w:p w14:paraId="68F9A7FC" w14:textId="77777777" w:rsidR="009A31E1" w:rsidRPr="00640820" w:rsidRDefault="009A31E1" w:rsidP="00640820">
      <w:pPr>
        <w:pStyle w:val="129"/>
        <w:shd w:val="clear" w:color="auto" w:fill="auto"/>
        <w:tabs>
          <w:tab w:val="left" w:pos="529"/>
        </w:tabs>
        <w:spacing w:after="0" w:line="240" w:lineRule="auto"/>
        <w:jc w:val="both"/>
        <w:rPr>
          <w:color w:val="000000" w:themeColor="text1"/>
          <w:sz w:val="16"/>
          <w:szCs w:val="16"/>
        </w:rPr>
      </w:pPr>
      <w:r w:rsidRPr="00640820">
        <w:rPr>
          <w:color w:val="000000" w:themeColor="text1"/>
          <w:sz w:val="16"/>
          <w:szCs w:val="16"/>
        </w:rPr>
        <w:t>5) метеорологические условия и обстановка на фронте не позволили полностью использовать ра</w:t>
      </w:r>
      <w:r w:rsidRPr="00640820">
        <w:rPr>
          <w:color w:val="000000" w:themeColor="text1"/>
          <w:sz w:val="16"/>
          <w:szCs w:val="16"/>
        </w:rPr>
        <w:softHyphen/>
        <w:t>кетные бронебойные снаряды. Ввиду отсутствия скоплений бронетанковых сил противника на отве</w:t>
      </w:r>
      <w:r w:rsidRPr="00640820">
        <w:rPr>
          <w:color w:val="000000" w:themeColor="text1"/>
          <w:sz w:val="16"/>
          <w:szCs w:val="16"/>
        </w:rPr>
        <w:softHyphen/>
        <w:t>денном участке фронта не было возможности ши</w:t>
      </w:r>
      <w:r w:rsidRPr="00640820">
        <w:rPr>
          <w:color w:val="000000" w:themeColor="text1"/>
          <w:sz w:val="16"/>
          <w:szCs w:val="16"/>
        </w:rPr>
        <w:softHyphen/>
        <w:t>роко применять РБС и по инициативе оперативной группы в 47 АД были применены РОФС-132.</w:t>
      </w:r>
    </w:p>
    <w:p w14:paraId="4CAE5127" w14:textId="77777777" w:rsidR="009A31E1" w:rsidRPr="00640820" w:rsidRDefault="009A31E1" w:rsidP="00640820">
      <w:pPr>
        <w:pStyle w:val="129"/>
        <w:shd w:val="clear" w:color="auto" w:fill="auto"/>
        <w:spacing w:after="0" w:line="240" w:lineRule="auto"/>
        <w:jc w:val="both"/>
        <w:rPr>
          <w:color w:val="000000" w:themeColor="text1"/>
          <w:sz w:val="16"/>
          <w:szCs w:val="16"/>
        </w:rPr>
      </w:pPr>
      <w:r w:rsidRPr="00640820">
        <w:rPr>
          <w:color w:val="000000" w:themeColor="text1"/>
          <w:sz w:val="16"/>
          <w:szCs w:val="16"/>
        </w:rPr>
        <w:t>За время работы израсходовано: РБС-82 — 60 шт., РБС-132 — 80 шт., РОФС-132 — 200 шт.» (17500).</w:t>
      </w:r>
    </w:p>
    <w:p w14:paraId="566C2081" w14:textId="77777777" w:rsidR="009A31E1" w:rsidRPr="00640820" w:rsidRDefault="009A31E1" w:rsidP="00640820">
      <w:pPr>
        <w:spacing w:after="0" w:line="240" w:lineRule="auto"/>
        <w:jc w:val="both"/>
        <w:rPr>
          <w:rFonts w:ascii="Times New Roman" w:hAnsi="Times New Roman"/>
          <w:color w:val="000000" w:themeColor="text1"/>
          <w:sz w:val="16"/>
          <w:szCs w:val="16"/>
        </w:rPr>
      </w:pPr>
    </w:p>
    <w:p w14:paraId="0D27DED1"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4D9BA542"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71FAA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декабря 1941 г. Заводом № 590 НКЭП, МПСС, Завод, ЗАО «Электросигнал», п/я 14, п/я 83, В-8145, ООО, ОАО «Корпорация «Новосибирский завод «Электросигнал» /630009  г. Новосибирск ул. Добролюбова, 31 тел. 266-06-42/. была выпущена первая партия радиостанций (этот день считается днем рождения завода). 15.04.1944 г. вышло распоряжение ГКО № 5634 о мерах помощи строительству завода.</w:t>
      </w:r>
    </w:p>
    <w:p w14:paraId="44E440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годы войны выпускал армейские, самолетные и танковые радиостанции. После войны освоен выпуск бытовой радиоаппаратуры.</w:t>
      </w:r>
    </w:p>
    <w:p w14:paraId="03935B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имел наименования «п/я 14», «п/я 83» (1952 г.), «п/я В-8145». В 1952 г.- в ведении МПСС, в 1960-е  г.- в ведении Управления радиотехнической и электронной промышленности Западно-Сибирского совнархоза.</w:t>
      </w:r>
    </w:p>
    <w:p w14:paraId="473CB2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1952 г. по решению МПСС производство аэродромных радиостанций передано на новый завод № 920.</w:t>
      </w:r>
    </w:p>
    <w:p w14:paraId="7E99D9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12.1999 г. предприятие преобразовано в ОАО «Корпорацию «Новосибирский завод «Электросигнал». По решению правительства № 22-р от 9.01.2004 г. вошло в перечень стратегических предприятий.</w:t>
      </w:r>
    </w:p>
    <w:p w14:paraId="6F27E8A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Имелось дочернее предприятие ЗАО «Электросигнал-сбыт» (директор (2002 г.)- В.В. Семенов).</w:t>
      </w:r>
    </w:p>
    <w:p w14:paraId="6914A2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(2005 г.): разработка и производство: РЭ аппаратуры для авиации, железных дорог, промышленности и силовых структур; производство: авиационных радиостанций, комплекс средств аэродромной радиосвязи.</w:t>
      </w:r>
    </w:p>
    <w:p w14:paraId="57A0BCB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(2002 г.)- более 2000 чел.</w:t>
      </w:r>
    </w:p>
    <w:p w14:paraId="4C74F8B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Гендиректор (2005 г.)- Н.Н. Рычков.</w:t>
      </w:r>
    </w:p>
    <w:p w14:paraId="3E7794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гендиректора по коммерции и НТР (2005 г.)- А.И. Волкодав. Директор по сбыту (2005 г.)- В.А. Сечкин.</w:t>
      </w:r>
    </w:p>
    <w:p w14:paraId="0C8F69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(2002 г.)- А.И. Волкодав.</w:t>
      </w:r>
    </w:p>
    <w:p w14:paraId="74DA6C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лабораторий: (1952 г.)- П.П. Полищук.</w:t>
      </w:r>
    </w:p>
    <w:p w14:paraId="7A7CCB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конструкторы: (1952 г.)- П.П. Полищук («Лилия», «Ястребок»).</w:t>
      </w:r>
    </w:p>
    <w:p w14:paraId="2086E8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аппараты связи (ВОВ)- 161 тыс.; радиостанции: самолетные РСИ-6МУ (</w:t>
      </w:r>
      <w:r w:rsidRPr="00640820">
        <w:rPr>
          <w:rFonts w:ascii="Times New Roman" w:hAnsi="Times New Roman"/>
          <w:color w:val="000000" w:themeColor="text1"/>
          <w:sz w:val="16"/>
          <w:szCs w:val="16"/>
          <w:lang w:val="en-US"/>
        </w:rPr>
        <w:t>BOB</w:t>
      </w:r>
      <w:r w:rsidRPr="00640820">
        <w:rPr>
          <w:rFonts w:ascii="Times New Roman" w:hAnsi="Times New Roman"/>
          <w:color w:val="000000" w:themeColor="text1"/>
          <w:sz w:val="16"/>
          <w:szCs w:val="16"/>
        </w:rPr>
        <w:t xml:space="preserve">), </w:t>
      </w:r>
      <w:r w:rsidRPr="00640820">
        <w:rPr>
          <w:rFonts w:ascii="Times New Roman" w:hAnsi="Times New Roman"/>
          <w:color w:val="000000" w:themeColor="text1"/>
          <w:sz w:val="16"/>
          <w:szCs w:val="16"/>
          <w:lang w:val="en-US"/>
        </w:rPr>
        <w:t>P</w:t>
      </w:r>
      <w:r w:rsidRPr="00640820">
        <w:rPr>
          <w:rFonts w:ascii="Times New Roman" w:hAnsi="Times New Roman"/>
          <w:color w:val="000000" w:themeColor="text1"/>
          <w:sz w:val="16"/>
          <w:szCs w:val="16"/>
        </w:rPr>
        <w:t>-800</w:t>
      </w:r>
      <w:r w:rsidRPr="00640820">
        <w:rPr>
          <w:rFonts w:ascii="Times New Roman" w:hAnsi="Times New Roman"/>
          <w:color w:val="000000" w:themeColor="text1"/>
          <w:sz w:val="16"/>
          <w:szCs w:val="16"/>
          <w:lang w:val="en-US"/>
        </w:rPr>
        <w:t>JI</w:t>
      </w:r>
      <w:r w:rsidRPr="00640820">
        <w:rPr>
          <w:rFonts w:ascii="Times New Roman" w:hAnsi="Times New Roman"/>
          <w:color w:val="000000" w:themeColor="text1"/>
          <w:sz w:val="16"/>
          <w:szCs w:val="16"/>
        </w:rPr>
        <w:t xml:space="preserve"> (1982-), Р-833Б (2004-), Р-853В, Р-999 (2004-); УКВ- «Баклан-5», «Баклан-20», «Орлан-85, -85СТ» (1999-); для самолетов малой авиации: «Близ»; УКВ- «Юрок», «Сигнал-802», «Сигнал-803»; аэродромные: стационарная «Лилия», мобильная «Ястребок» (-1952); наземные: «Полет» для внутриаэродромной связи (1960-е); для связи между объектами ВВС, ВМФ, судами: «Графит», «Дебаркадер»; цифро-аналоговые с маскированием связи «Альфа»;</w:t>
      </w:r>
      <w:r w:rsidRPr="00640820">
        <w:rPr>
          <w:rFonts w:ascii="Times New Roman" w:hAnsi="Times New Roman"/>
          <w:color w:val="000000" w:themeColor="text1"/>
          <w:sz w:val="16"/>
          <w:szCs w:val="16"/>
          <w:vertAlign w:val="superscript"/>
        </w:rPr>
        <w:t xml:space="preserve">69 </w:t>
      </w:r>
      <w:r w:rsidRPr="00640820">
        <w:rPr>
          <w:rFonts w:ascii="Times New Roman" w:hAnsi="Times New Roman"/>
          <w:color w:val="000000" w:themeColor="text1"/>
          <w:sz w:val="16"/>
          <w:szCs w:val="16"/>
        </w:rPr>
        <w:t>УС-ЗС (ВОВ), РБ-М (ВОВ), Р-625, Р-809М2, Р-859, Р-860, Р-862, Р-870, Р-870М, Р-871, «Ландыш»; передатчик «Полет-1А», приемник «Полет»; радиоприемники: 6Н-25 (1945-), 7Н-27 «Восток» (1945-), «Москвич», «Рекорд- 59»; радиолы: «Чайка» (1953-), «Арфа», «Восток Р-48 (1948-), -49, -57 (1957-)», «Факел», «Факел-М»; телевизоры: УНТ-47 «Изумруд» (1962-), «Изумруд-202, -204, -205, -206, -207, -208, -209, -210, Ц-276 (1987-), 61ТЦ-ЗП, 61ТЦ-411» (11982).</w:t>
      </w:r>
    </w:p>
    <w:p w14:paraId="7285C53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0EB91AB"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24 декабря</w:t>
      </w:r>
      <w:r w:rsidRPr="00640820">
        <w:rPr>
          <w:rFonts w:ascii="Times New Roman" w:hAnsi="Times New Roman"/>
          <w:color w:val="000000" w:themeColor="text1"/>
          <w:sz w:val="16"/>
          <w:szCs w:val="16"/>
        </w:rPr>
        <w:t xml:space="preserve"> в 1941 году образовано ОАО "Корпорация-Новосибирский завод "Электросигнал". Завод "Электросигнал" был эвакуирован из города Воронежа в октябре 1941 г. 24 декабря 1941 г. отправлена на фронт первая партия радиостанций. За годы войны завод обеспечил радиосвязью 111 тысяч самолетов и 41 тысяч танков. 39 тысяч радиостанций изготовлено для пехоты и артиллерии. Наши радиостанции РСИ-6МУ; УС-3С; РБ-М в годы Великой Отечественной войны стояли на каждом самолете и каждом 3-ем танке. Лучшей радиостанцией времен ВОВ являлась РБ-М, не имевшая аналогов в армиях воюющих стран. 21 января 1944 г. Указом Президиума Верховного Совета завод награжден орденом Ленина ": за образцовое выполнение заказов для фронта в авиационной и танковой промышленности". В 1945 г. завод перешел на выпуск мирной продукции - радиоприемников 6Н-25, 7Н-27, "Москвич", радиолы "Чайка", "Восток", "Арфа". За послевоенные 20 лет выпущено 180 тысяч радиоприемников и 1 млн. 700 тысяч радиол. В 1964 г. произведена первая опытная партия ламповой модели телевизора УНТ-47. В 1971 г. с заводского конвейера сошел миллионный телевизор "Изумруд-202". В 1985 г. - четырехмиллионный телевизор "Изумруд-210". Всего с 1965 г. по 1987 г. заводом выпущено 4 млн. 700 тысяч ламповых телевизоров черно-белого изображения, 430,8 тысяч полупроводниковых телевизоров черно-белого изображения. С 1987 г. начало выпуска телевизоров цветного изображения "Изумруд Ц-276". В период с 1991г. по 1998 г. выпущено: цветных телевизоров более 124 тысяч штук; черно-белых более 214 тысяч штук (14870).</w:t>
      </w:r>
    </w:p>
    <w:p w14:paraId="38401A13" w14:textId="77777777" w:rsidR="00471CF3" w:rsidRPr="00640820" w:rsidRDefault="00471CF3" w:rsidP="00640820">
      <w:pPr>
        <w:spacing w:after="0" w:line="240" w:lineRule="auto"/>
        <w:jc w:val="both"/>
        <w:rPr>
          <w:rFonts w:ascii="Times New Roman" w:hAnsi="Times New Roman"/>
          <w:color w:val="000000" w:themeColor="text1"/>
          <w:sz w:val="16"/>
          <w:szCs w:val="16"/>
        </w:rPr>
      </w:pPr>
    </w:p>
    <w:p w14:paraId="0E351349"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24 декабря</w:t>
      </w:r>
      <w:r w:rsidRPr="00640820">
        <w:rPr>
          <w:rFonts w:ascii="Times New Roman" w:hAnsi="Times New Roman"/>
          <w:color w:val="000000" w:themeColor="text1"/>
          <w:sz w:val="16"/>
          <w:szCs w:val="16"/>
        </w:rPr>
        <w:t xml:space="preserve"> в 1941 году образование «Корпорации-Новосибирский завод «Электросигнал». Для авиации выпускает бортовые и наземные и средства связи (14870).</w:t>
      </w:r>
    </w:p>
    <w:p w14:paraId="25319CD5" w14:textId="77777777" w:rsidR="00471CF3" w:rsidRPr="00640820" w:rsidRDefault="00471CF3" w:rsidP="00640820">
      <w:pPr>
        <w:spacing w:after="0" w:line="240" w:lineRule="auto"/>
        <w:jc w:val="both"/>
        <w:rPr>
          <w:rFonts w:ascii="Times New Roman" w:hAnsi="Times New Roman"/>
          <w:color w:val="000000" w:themeColor="text1"/>
          <w:sz w:val="16"/>
          <w:szCs w:val="16"/>
        </w:rPr>
      </w:pPr>
    </w:p>
    <w:p w14:paraId="7B5A4B8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декабря 1941 г. была подготовлена ТАКТИКО-ТЕХНИЧЕСКАЯ ХАРАКТЕРИСТИКА ТАНКОВ, СОСТОЯЩИХ НА ВООРУЖЕНИИ КРАСНОЙ АРМИИ</w:t>
      </w:r>
    </w:p>
    <w:tbl>
      <w:tblPr>
        <w:tblW w:w="0" w:type="auto"/>
        <w:tblInd w:w="40" w:type="dxa"/>
        <w:tblLayout w:type="fixed"/>
        <w:tblCellMar>
          <w:left w:w="40" w:type="dxa"/>
          <w:right w:w="40" w:type="dxa"/>
        </w:tblCellMar>
        <w:tblLook w:val="0000" w:firstRow="0" w:lastRow="0" w:firstColumn="0" w:lastColumn="0" w:noHBand="0" w:noVBand="0"/>
      </w:tblPr>
      <w:tblGrid>
        <w:gridCol w:w="1651"/>
        <w:gridCol w:w="1181"/>
        <w:gridCol w:w="749"/>
        <w:gridCol w:w="758"/>
        <w:gridCol w:w="749"/>
        <w:gridCol w:w="758"/>
        <w:gridCol w:w="749"/>
        <w:gridCol w:w="758"/>
        <w:gridCol w:w="758"/>
        <w:gridCol w:w="758"/>
        <w:gridCol w:w="768"/>
      </w:tblGrid>
      <w:tr w:rsidR="00643896" w:rsidRPr="00640820" w14:paraId="331B754D" w14:textId="77777777" w:rsidTr="000D3BCB">
        <w:trPr>
          <w:trHeight w:val="336"/>
        </w:trPr>
        <w:tc>
          <w:tcPr>
            <w:tcW w:w="1651" w:type="dxa"/>
            <w:tcBorders>
              <w:top w:val="single" w:sz="6" w:space="0" w:color="auto"/>
              <w:left w:val="single" w:sz="6" w:space="0" w:color="auto"/>
              <w:bottom w:val="single" w:sz="6" w:space="0" w:color="auto"/>
              <w:right w:val="single" w:sz="6" w:space="0" w:color="auto"/>
            </w:tcBorders>
          </w:tcPr>
          <w:p w14:paraId="5210641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DBBAE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5D9E7B9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F784B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69AAC01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Легкий танк Т-40</w:t>
            </w:r>
          </w:p>
          <w:p w14:paraId="5698E06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41E53D9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Легкий танк Т-38</w:t>
            </w:r>
          </w:p>
          <w:p w14:paraId="1278747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3219C6D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Легкий танк Т-26</w:t>
            </w:r>
          </w:p>
          <w:p w14:paraId="21ECE68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18541E5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Легкий танк БТ-7</w:t>
            </w:r>
          </w:p>
          <w:p w14:paraId="6E1C8E8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589591B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Легкий танк Т-60</w:t>
            </w:r>
          </w:p>
          <w:p w14:paraId="7D04C35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3AC5FB7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Легкий танк Т-50</w:t>
            </w:r>
          </w:p>
          <w:p w14:paraId="584C62E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057A7ED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Средний танк Т-34</w:t>
            </w:r>
          </w:p>
          <w:p w14:paraId="47602EC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4FEE949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Тяжелый КВ-1</w:t>
            </w:r>
          </w:p>
          <w:p w14:paraId="0EC7C6C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2121197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Тяжелый КВ-2</w:t>
            </w:r>
          </w:p>
          <w:p w14:paraId="0DDB5A1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43B7802" w14:textId="77777777" w:rsidTr="000D3BCB">
        <w:trPr>
          <w:trHeight w:val="163"/>
        </w:trPr>
        <w:tc>
          <w:tcPr>
            <w:tcW w:w="1651" w:type="dxa"/>
            <w:tcBorders>
              <w:top w:val="single" w:sz="6" w:space="0" w:color="auto"/>
              <w:left w:val="single" w:sz="6" w:space="0" w:color="auto"/>
              <w:bottom w:val="single" w:sz="6" w:space="0" w:color="auto"/>
              <w:right w:val="single" w:sz="6" w:space="0" w:color="auto"/>
            </w:tcBorders>
          </w:tcPr>
          <w:p w14:paraId="3F6FE21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Полный вес</w:t>
            </w:r>
          </w:p>
          <w:p w14:paraId="424255E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5E5E02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тоннах</w:t>
            </w:r>
          </w:p>
          <w:p w14:paraId="5ED3EC5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031F833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5,5</w:t>
            </w:r>
          </w:p>
          <w:p w14:paraId="6AFA20E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18CE5B0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w:t>
            </w:r>
          </w:p>
          <w:p w14:paraId="3F85E83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0F2B52D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10,5</w:t>
            </w:r>
          </w:p>
          <w:p w14:paraId="0C14C99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14853E2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13,9</w:t>
            </w:r>
          </w:p>
          <w:p w14:paraId="56AF2C4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194250C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5,8</w:t>
            </w:r>
          </w:p>
          <w:p w14:paraId="2022740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64C938A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13,5</w:t>
            </w:r>
          </w:p>
          <w:p w14:paraId="168F6D4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175F49D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27,5</w:t>
            </w:r>
          </w:p>
          <w:p w14:paraId="3DA117F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682174E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46</w:t>
            </w:r>
          </w:p>
          <w:p w14:paraId="668E029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7106BB7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52,5</w:t>
            </w:r>
          </w:p>
          <w:p w14:paraId="2A5399A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81DD0E6" w14:textId="77777777" w:rsidTr="000D3BCB">
        <w:trPr>
          <w:trHeight w:val="173"/>
        </w:trPr>
        <w:tc>
          <w:tcPr>
            <w:tcW w:w="1651" w:type="dxa"/>
            <w:tcBorders>
              <w:top w:val="single" w:sz="6" w:space="0" w:color="auto"/>
              <w:left w:val="single" w:sz="6" w:space="0" w:color="auto"/>
              <w:bottom w:val="nil"/>
              <w:right w:val="single" w:sz="6" w:space="0" w:color="auto"/>
            </w:tcBorders>
          </w:tcPr>
          <w:p w14:paraId="5877CFB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Габариты танка в мм</w:t>
            </w:r>
          </w:p>
          <w:p w14:paraId="0768D4B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5BB5F2A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Длина</w:t>
            </w:r>
          </w:p>
          <w:p w14:paraId="6E2BFAD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2843E19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4035</w:t>
            </w:r>
          </w:p>
          <w:p w14:paraId="4F31B6D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413F57C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3830</w:t>
            </w:r>
          </w:p>
          <w:p w14:paraId="36173DB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34A6855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4650</w:t>
            </w:r>
          </w:p>
          <w:p w14:paraId="7355625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2DAAB5B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5495</w:t>
            </w:r>
          </w:p>
          <w:p w14:paraId="090A0F1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61F2990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4100</w:t>
            </w:r>
          </w:p>
          <w:p w14:paraId="32E4DAE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10AE054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5130</w:t>
            </w:r>
          </w:p>
          <w:p w14:paraId="7F0DC50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4E4C223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5964</w:t>
            </w:r>
          </w:p>
          <w:p w14:paraId="59C86F7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796914E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6750</w:t>
            </w:r>
          </w:p>
          <w:p w14:paraId="4F52BDC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344649A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6750</w:t>
            </w:r>
          </w:p>
          <w:p w14:paraId="0783D8B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F1315A9" w14:textId="77777777" w:rsidTr="000D3BCB">
        <w:trPr>
          <w:trHeight w:val="163"/>
        </w:trPr>
        <w:tc>
          <w:tcPr>
            <w:tcW w:w="1651" w:type="dxa"/>
            <w:tcBorders>
              <w:top w:val="nil"/>
              <w:left w:val="single" w:sz="6" w:space="0" w:color="auto"/>
              <w:bottom w:val="nil"/>
              <w:right w:val="single" w:sz="6" w:space="0" w:color="auto"/>
            </w:tcBorders>
          </w:tcPr>
          <w:p w14:paraId="5AE401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8161A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2F5B57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Ширина</w:t>
            </w:r>
          </w:p>
          <w:p w14:paraId="2740512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69762FB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2290</w:t>
            </w:r>
          </w:p>
          <w:p w14:paraId="76117B8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17BE155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2300</w:t>
            </w:r>
          </w:p>
          <w:p w14:paraId="7246405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0C2016B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2440</w:t>
            </w:r>
          </w:p>
          <w:p w14:paraId="46151A5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329F5E1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2290</w:t>
            </w:r>
          </w:p>
          <w:p w14:paraId="26EA12F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7CE7644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2294</w:t>
            </w:r>
          </w:p>
          <w:p w14:paraId="53FFC97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16E1D9C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2450</w:t>
            </w:r>
          </w:p>
          <w:p w14:paraId="716CED4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7AD6AC6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3000</w:t>
            </w:r>
          </w:p>
          <w:p w14:paraId="18A0EAE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705F45C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3330</w:t>
            </w:r>
          </w:p>
          <w:p w14:paraId="1205ACA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7EBE559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3330</w:t>
            </w:r>
          </w:p>
          <w:p w14:paraId="66E58B0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5324D9B" w14:textId="77777777" w:rsidTr="000D3BCB">
        <w:trPr>
          <w:trHeight w:val="163"/>
        </w:trPr>
        <w:tc>
          <w:tcPr>
            <w:tcW w:w="1651" w:type="dxa"/>
            <w:tcBorders>
              <w:top w:val="nil"/>
              <w:left w:val="single" w:sz="6" w:space="0" w:color="auto"/>
              <w:bottom w:val="nil"/>
              <w:right w:val="single" w:sz="6" w:space="0" w:color="auto"/>
            </w:tcBorders>
          </w:tcPr>
          <w:p w14:paraId="6A32BBE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75E65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3B5B6EC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Высота</w:t>
            </w:r>
          </w:p>
          <w:p w14:paraId="3DB5611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725AB44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1905</w:t>
            </w:r>
          </w:p>
          <w:p w14:paraId="1CC2EA7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7CAA065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1730</w:t>
            </w:r>
          </w:p>
          <w:p w14:paraId="21C1FE0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2A3B959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2330</w:t>
            </w:r>
          </w:p>
          <w:p w14:paraId="4AE647B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7F597E4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2417</w:t>
            </w:r>
          </w:p>
          <w:p w14:paraId="274F863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30DC22C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1750</w:t>
            </w:r>
          </w:p>
          <w:p w14:paraId="082EF46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0C61D6A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2165</w:t>
            </w:r>
          </w:p>
          <w:p w14:paraId="20756F7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5442AA3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2405</w:t>
            </w:r>
          </w:p>
          <w:p w14:paraId="1C889C0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3FD5A9A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2850</w:t>
            </w:r>
          </w:p>
          <w:p w14:paraId="02DA5CF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0E2D156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3240</w:t>
            </w:r>
          </w:p>
          <w:p w14:paraId="729B91B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23A4D25" w14:textId="77777777" w:rsidTr="000D3BCB">
        <w:trPr>
          <w:trHeight w:val="173"/>
        </w:trPr>
        <w:tc>
          <w:tcPr>
            <w:tcW w:w="1651" w:type="dxa"/>
            <w:tcBorders>
              <w:top w:val="nil"/>
              <w:left w:val="single" w:sz="6" w:space="0" w:color="auto"/>
              <w:bottom w:val="nil"/>
              <w:right w:val="single" w:sz="6" w:space="0" w:color="auto"/>
            </w:tcBorders>
          </w:tcPr>
          <w:p w14:paraId="05D826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04E90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710A908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Ширина хода</w:t>
            </w:r>
          </w:p>
          <w:p w14:paraId="3D57B24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685F5E2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2030</w:t>
            </w:r>
          </w:p>
          <w:p w14:paraId="2DACE56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5CE8657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2240</w:t>
            </w:r>
          </w:p>
          <w:p w14:paraId="5A89A56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6D9A4C9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2030</w:t>
            </w:r>
          </w:p>
          <w:p w14:paraId="5378E1D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5F7DF7A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2230</w:t>
            </w:r>
          </w:p>
          <w:p w14:paraId="7E92EB7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655FB1E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2035</w:t>
            </w:r>
          </w:p>
          <w:p w14:paraId="2338F95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5BC2FD5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2054</w:t>
            </w:r>
          </w:p>
          <w:p w14:paraId="627EA27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2F2A91B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2450</w:t>
            </w:r>
          </w:p>
          <w:p w14:paraId="0F25941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2FB00CE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2640</w:t>
            </w:r>
          </w:p>
          <w:p w14:paraId="0FECCB9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0A4C5F5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2650</w:t>
            </w:r>
          </w:p>
          <w:p w14:paraId="2EF2588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A931AB5" w14:textId="77777777" w:rsidTr="000D3BCB">
        <w:trPr>
          <w:trHeight w:val="163"/>
        </w:trPr>
        <w:tc>
          <w:tcPr>
            <w:tcW w:w="1651" w:type="dxa"/>
            <w:tcBorders>
              <w:top w:val="nil"/>
              <w:left w:val="single" w:sz="6" w:space="0" w:color="auto"/>
              <w:bottom w:val="single" w:sz="6" w:space="0" w:color="auto"/>
              <w:right w:val="single" w:sz="6" w:space="0" w:color="auto"/>
            </w:tcBorders>
          </w:tcPr>
          <w:p w14:paraId="31AE36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376061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1D5552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Клиренс</w:t>
            </w:r>
          </w:p>
          <w:p w14:paraId="502FE7F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58E20CA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w:t>
            </w:r>
          </w:p>
          <w:p w14:paraId="730C1F0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33106BB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w:t>
            </w:r>
          </w:p>
          <w:p w14:paraId="180179F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0BB1BA5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380</w:t>
            </w:r>
          </w:p>
          <w:p w14:paraId="3C45CCB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5CCB0B5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395</w:t>
            </w:r>
          </w:p>
          <w:p w14:paraId="747E6B9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30F30E3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w:t>
            </w:r>
          </w:p>
          <w:p w14:paraId="77747BC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4ABDD63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352</w:t>
            </w:r>
          </w:p>
          <w:p w14:paraId="6FD0C4B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37168EA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400</w:t>
            </w:r>
          </w:p>
          <w:p w14:paraId="776C245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0ABAFED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430</w:t>
            </w:r>
          </w:p>
          <w:p w14:paraId="42D0356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489EB24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400</w:t>
            </w:r>
          </w:p>
          <w:p w14:paraId="0B2AF8A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1F6A1A3" w14:textId="77777777" w:rsidTr="000D3BCB">
        <w:trPr>
          <w:trHeight w:val="326"/>
        </w:trPr>
        <w:tc>
          <w:tcPr>
            <w:tcW w:w="1651" w:type="dxa"/>
            <w:tcBorders>
              <w:top w:val="single" w:sz="6" w:space="0" w:color="auto"/>
              <w:left w:val="single" w:sz="6" w:space="0" w:color="auto"/>
              <w:bottom w:val="nil"/>
              <w:right w:val="single" w:sz="6" w:space="0" w:color="auto"/>
            </w:tcBorders>
          </w:tcPr>
          <w:p w14:paraId="4874500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Вооружение</w:t>
            </w:r>
          </w:p>
          <w:p w14:paraId="312EA77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5DC077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Пушек</w:t>
            </w:r>
          </w:p>
          <w:p w14:paraId="4516CAF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1674B60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p w14:paraId="1677032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6EC0D13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p w14:paraId="7628552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0458596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45-1</w:t>
            </w:r>
          </w:p>
          <w:p w14:paraId="4C6B2F0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46F7A1C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45-1</w:t>
            </w:r>
          </w:p>
          <w:p w14:paraId="2506AD7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0C392AA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20-1 швак.</w:t>
            </w:r>
          </w:p>
          <w:p w14:paraId="08256D7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1EE5DF5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45-1</w:t>
            </w:r>
          </w:p>
          <w:p w14:paraId="73B6471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32D28E4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76-1</w:t>
            </w:r>
          </w:p>
          <w:p w14:paraId="52A83D5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1B45F16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76-1</w:t>
            </w:r>
          </w:p>
          <w:p w14:paraId="654A91C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78C729D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152-1</w:t>
            </w:r>
          </w:p>
          <w:p w14:paraId="0B9D70A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4769B41" w14:textId="77777777" w:rsidTr="000D3BCB">
        <w:trPr>
          <w:trHeight w:val="317"/>
        </w:trPr>
        <w:tc>
          <w:tcPr>
            <w:tcW w:w="1651" w:type="dxa"/>
            <w:tcBorders>
              <w:top w:val="nil"/>
              <w:left w:val="single" w:sz="6" w:space="0" w:color="auto"/>
              <w:bottom w:val="single" w:sz="6" w:space="0" w:color="auto"/>
              <w:right w:val="single" w:sz="6" w:space="0" w:color="auto"/>
            </w:tcBorders>
          </w:tcPr>
          <w:p w14:paraId="5DA3B9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D0451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59B7D7B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Пулеметов</w:t>
            </w:r>
          </w:p>
          <w:p w14:paraId="7CDB927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0E8F03A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ДТ-1 ДШК-1</w:t>
            </w:r>
          </w:p>
          <w:p w14:paraId="1F8AD8A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2CA776F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ДТ-1</w:t>
            </w:r>
          </w:p>
          <w:p w14:paraId="2F8B767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144D58F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ДТ-1</w:t>
            </w:r>
          </w:p>
          <w:p w14:paraId="765A3D5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7EEF1A7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ДТ-1</w:t>
            </w:r>
          </w:p>
          <w:p w14:paraId="35D884D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4E6C9B3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ДТ-1</w:t>
            </w:r>
          </w:p>
          <w:p w14:paraId="378C9EB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28B2DD9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ДТ-2</w:t>
            </w:r>
          </w:p>
          <w:p w14:paraId="70EB489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0D4C89D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ДТ-2</w:t>
            </w:r>
          </w:p>
          <w:p w14:paraId="4C50035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349D40C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дт-з</w:t>
            </w:r>
          </w:p>
          <w:p w14:paraId="0FCBDFA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1B4FC1B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ДТ-З</w:t>
            </w:r>
          </w:p>
          <w:p w14:paraId="5DC75E3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3CB8759" w14:textId="77777777" w:rsidTr="000D3BCB">
        <w:trPr>
          <w:trHeight w:val="173"/>
        </w:trPr>
        <w:tc>
          <w:tcPr>
            <w:tcW w:w="1651" w:type="dxa"/>
            <w:tcBorders>
              <w:top w:val="single" w:sz="6" w:space="0" w:color="auto"/>
              <w:left w:val="single" w:sz="6" w:space="0" w:color="auto"/>
              <w:bottom w:val="nil"/>
              <w:right w:val="single" w:sz="6" w:space="0" w:color="auto"/>
            </w:tcBorders>
          </w:tcPr>
          <w:p w14:paraId="152EF1B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Боекомплект</w:t>
            </w:r>
          </w:p>
          <w:p w14:paraId="44FAEE6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9992D8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Снарядов в шт.</w:t>
            </w:r>
          </w:p>
          <w:p w14:paraId="34755A4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151550C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p w14:paraId="6DC7B25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211260B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p w14:paraId="5916337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43C118E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205</w:t>
            </w:r>
          </w:p>
          <w:p w14:paraId="61E5F48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4DE2638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188</w:t>
            </w:r>
          </w:p>
          <w:p w14:paraId="01117B1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16AB6ED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780</w:t>
            </w:r>
          </w:p>
          <w:p w14:paraId="49C8911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2E71FF6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150</w:t>
            </w:r>
          </w:p>
          <w:p w14:paraId="6660A3E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247CD4A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77</w:t>
            </w:r>
          </w:p>
          <w:p w14:paraId="63F798B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2CAA49D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111</w:t>
            </w:r>
          </w:p>
          <w:p w14:paraId="1BE0BBF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1798B9C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36</w:t>
            </w:r>
          </w:p>
          <w:p w14:paraId="591C754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F7CFAF2" w14:textId="77777777" w:rsidTr="000D3BCB">
        <w:trPr>
          <w:trHeight w:val="317"/>
        </w:trPr>
        <w:tc>
          <w:tcPr>
            <w:tcW w:w="1651" w:type="dxa"/>
            <w:tcBorders>
              <w:top w:val="nil"/>
              <w:left w:val="single" w:sz="6" w:space="0" w:color="auto"/>
              <w:bottom w:val="nil"/>
              <w:right w:val="single" w:sz="6" w:space="0" w:color="auto"/>
            </w:tcBorders>
          </w:tcPr>
          <w:p w14:paraId="22142C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AF892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2D0B01F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Патронов в шт.</w:t>
            </w:r>
          </w:p>
          <w:p w14:paraId="1A570B8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186195E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2016 500</w:t>
            </w:r>
          </w:p>
          <w:p w14:paraId="72C1902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06C4B11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1512</w:t>
            </w:r>
          </w:p>
          <w:p w14:paraId="42CB8A2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158044E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3654</w:t>
            </w:r>
          </w:p>
          <w:p w14:paraId="74E0FF8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76B6D5A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2457</w:t>
            </w:r>
          </w:p>
          <w:p w14:paraId="5F30113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5211037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945</w:t>
            </w:r>
          </w:p>
          <w:p w14:paraId="71BF6EB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5807EF1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4000</w:t>
            </w:r>
          </w:p>
          <w:p w14:paraId="436C72F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3283424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3087</w:t>
            </w:r>
          </w:p>
          <w:p w14:paraId="709166E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15252A4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2898</w:t>
            </w:r>
          </w:p>
          <w:p w14:paraId="4DD3733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43F77F7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2476</w:t>
            </w:r>
          </w:p>
          <w:p w14:paraId="08E0B49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D3511A2" w14:textId="77777777" w:rsidTr="000D3BCB">
        <w:trPr>
          <w:trHeight w:val="173"/>
        </w:trPr>
        <w:tc>
          <w:tcPr>
            <w:tcW w:w="1651" w:type="dxa"/>
            <w:tcBorders>
              <w:top w:val="nil"/>
              <w:left w:val="single" w:sz="6" w:space="0" w:color="auto"/>
              <w:bottom w:val="single" w:sz="6" w:space="0" w:color="auto"/>
              <w:right w:val="single" w:sz="6" w:space="0" w:color="auto"/>
            </w:tcBorders>
          </w:tcPr>
          <w:p w14:paraId="68B3D39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5C8C1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1B0C18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Гранат</w:t>
            </w:r>
          </w:p>
          <w:p w14:paraId="44FCE62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35155F8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w:t>
            </w:r>
          </w:p>
          <w:p w14:paraId="0FFE61D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2CFD080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w:t>
            </w:r>
          </w:p>
          <w:p w14:paraId="02296C2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0A26E0D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w:t>
            </w:r>
          </w:p>
          <w:p w14:paraId="108BAB2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593230A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w:t>
            </w:r>
          </w:p>
          <w:p w14:paraId="75826A4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2733E68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1FC6D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171C4BB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90D5D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56685B5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85085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169D2B5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93DA9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113642C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AC974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F41CC9B" w14:textId="77777777" w:rsidTr="000D3BCB">
        <w:trPr>
          <w:trHeight w:val="163"/>
        </w:trPr>
        <w:tc>
          <w:tcPr>
            <w:tcW w:w="1651" w:type="dxa"/>
            <w:tcBorders>
              <w:top w:val="single" w:sz="6" w:space="0" w:color="auto"/>
              <w:left w:val="single" w:sz="6" w:space="0" w:color="auto"/>
              <w:bottom w:val="nil"/>
              <w:right w:val="single" w:sz="6" w:space="0" w:color="auto"/>
            </w:tcBorders>
          </w:tcPr>
          <w:p w14:paraId="17F2313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Толщина брони в мм</w:t>
            </w:r>
          </w:p>
          <w:p w14:paraId="4157021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41F90B6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Лобовая</w:t>
            </w:r>
          </w:p>
          <w:p w14:paraId="0A36FB0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7A4842F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w:t>
            </w:r>
          </w:p>
          <w:p w14:paraId="413E8D6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17C433F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p w14:paraId="5D0B3CE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132BB15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p w14:paraId="0E3F77D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33E5BBD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p w14:paraId="0F63F23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084ECF1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p w14:paraId="526A786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599A986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37</w:t>
            </w:r>
          </w:p>
          <w:p w14:paraId="1AD4B69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6D6D107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44</w:t>
            </w:r>
          </w:p>
          <w:p w14:paraId="0C1DE17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715EDD6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75</w:t>
            </w:r>
          </w:p>
          <w:p w14:paraId="5F60B67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1C44215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75</w:t>
            </w:r>
          </w:p>
          <w:p w14:paraId="7CBFA59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C6FF57F" w14:textId="77777777" w:rsidTr="000D3BCB">
        <w:trPr>
          <w:trHeight w:val="163"/>
        </w:trPr>
        <w:tc>
          <w:tcPr>
            <w:tcW w:w="1651" w:type="dxa"/>
            <w:tcBorders>
              <w:top w:val="nil"/>
              <w:left w:val="single" w:sz="6" w:space="0" w:color="auto"/>
              <w:bottom w:val="nil"/>
              <w:right w:val="single" w:sz="6" w:space="0" w:color="auto"/>
            </w:tcBorders>
          </w:tcPr>
          <w:p w14:paraId="7A533C4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63C9E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3E9A6AF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Бортовая</w:t>
            </w:r>
          </w:p>
          <w:p w14:paraId="45079D3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5026317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w:t>
            </w:r>
          </w:p>
          <w:p w14:paraId="6445C70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63F134F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p w14:paraId="378A481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4EFB879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p w14:paraId="228CCC4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0E846F6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w:t>
            </w:r>
          </w:p>
          <w:p w14:paraId="09B3303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3A4E823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p w14:paraId="70E6E4C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64E2995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37</w:t>
            </w:r>
          </w:p>
          <w:p w14:paraId="6421F86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0644223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w:t>
            </w:r>
          </w:p>
          <w:p w14:paraId="7EE0C5A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100AC02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75</w:t>
            </w:r>
          </w:p>
          <w:p w14:paraId="077A6C0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7E8E92B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75</w:t>
            </w:r>
          </w:p>
          <w:p w14:paraId="3EA0733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C16F0E4" w14:textId="77777777" w:rsidTr="000D3BCB">
        <w:trPr>
          <w:trHeight w:val="163"/>
        </w:trPr>
        <w:tc>
          <w:tcPr>
            <w:tcW w:w="1651" w:type="dxa"/>
            <w:tcBorders>
              <w:top w:val="nil"/>
              <w:left w:val="single" w:sz="6" w:space="0" w:color="auto"/>
              <w:bottom w:val="nil"/>
              <w:right w:val="single" w:sz="6" w:space="0" w:color="auto"/>
            </w:tcBorders>
          </w:tcPr>
          <w:p w14:paraId="5E29C2A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31E7A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43440E4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Башенная</w:t>
            </w:r>
          </w:p>
          <w:p w14:paraId="24E4F31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7E4EB1C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p w14:paraId="2C06821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10B8CCA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p w14:paraId="1C90BE0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77D7AAD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15-10</w:t>
            </w:r>
          </w:p>
          <w:p w14:paraId="27C2348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6065F5E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p w14:paraId="4296CCF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2E4144B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p w14:paraId="18F51FE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0ED5C67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37</w:t>
            </w:r>
          </w:p>
          <w:p w14:paraId="3A2AE1F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1A2BF02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w:t>
            </w:r>
          </w:p>
          <w:p w14:paraId="22A8510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2E3912A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75</w:t>
            </w:r>
          </w:p>
          <w:p w14:paraId="5E8D180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65DEFD4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75</w:t>
            </w:r>
          </w:p>
          <w:p w14:paraId="36A7BD5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57630FB" w14:textId="77777777" w:rsidTr="000D3BCB">
        <w:trPr>
          <w:trHeight w:val="163"/>
        </w:trPr>
        <w:tc>
          <w:tcPr>
            <w:tcW w:w="1651" w:type="dxa"/>
            <w:tcBorders>
              <w:top w:val="nil"/>
              <w:left w:val="single" w:sz="6" w:space="0" w:color="auto"/>
              <w:bottom w:val="single" w:sz="6" w:space="0" w:color="auto"/>
              <w:right w:val="single" w:sz="6" w:space="0" w:color="auto"/>
            </w:tcBorders>
          </w:tcPr>
          <w:p w14:paraId="77244F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70D47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377A4F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Крыша и дно</w:t>
            </w:r>
          </w:p>
          <w:p w14:paraId="0000339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22C88AA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6и4</w:t>
            </w:r>
          </w:p>
          <w:p w14:paraId="027C6EE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7AB8798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6и4</w:t>
            </w:r>
          </w:p>
          <w:p w14:paraId="121BEEF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54AA608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Юиб</w:t>
            </w:r>
          </w:p>
          <w:p w14:paraId="2744FD3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1CB41F3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Юиб</w:t>
            </w:r>
          </w:p>
          <w:p w14:paraId="451D9BA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1BEA25E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6и4</w:t>
            </w:r>
          </w:p>
          <w:p w14:paraId="00BBB6A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3C5BDC7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p w14:paraId="2B24D3D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3EDF968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15и 13</w:t>
            </w:r>
          </w:p>
          <w:p w14:paraId="229F88F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5D55911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 ИЗО</w:t>
            </w:r>
          </w:p>
          <w:p w14:paraId="36AB1B4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5D4183E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 и 30</w:t>
            </w:r>
          </w:p>
          <w:p w14:paraId="356DEEF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1FCD17D" w14:textId="77777777" w:rsidTr="000D3BCB">
        <w:trPr>
          <w:trHeight w:val="173"/>
        </w:trPr>
        <w:tc>
          <w:tcPr>
            <w:tcW w:w="1651" w:type="dxa"/>
            <w:tcBorders>
              <w:top w:val="single" w:sz="6" w:space="0" w:color="auto"/>
              <w:left w:val="single" w:sz="6" w:space="0" w:color="auto"/>
              <w:bottom w:val="nil"/>
              <w:right w:val="single" w:sz="6" w:space="0" w:color="auto"/>
            </w:tcBorders>
          </w:tcPr>
          <w:p w14:paraId="3241FB8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Преодолеваемые препятствия</w:t>
            </w:r>
          </w:p>
          <w:p w14:paraId="285C3F6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75F9B4A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Подъем в °</w:t>
            </w:r>
          </w:p>
          <w:p w14:paraId="0793464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37FBD7D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34</w:t>
            </w:r>
          </w:p>
          <w:p w14:paraId="539499A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06D7F5F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w:t>
            </w:r>
          </w:p>
          <w:p w14:paraId="2602B03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502FC28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w:t>
            </w:r>
          </w:p>
          <w:p w14:paraId="534712A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68A4824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w:t>
            </w:r>
          </w:p>
          <w:p w14:paraId="0A272C0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1BCFAAA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p w14:paraId="08D3B54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3CDDECA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CCEC0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5886CFA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w:t>
            </w:r>
          </w:p>
          <w:p w14:paraId="46DA46F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3EE0414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36</w:t>
            </w:r>
          </w:p>
          <w:p w14:paraId="3C34FD5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57E79D1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36</w:t>
            </w:r>
          </w:p>
          <w:p w14:paraId="6B8254D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D8277A1" w14:textId="77777777" w:rsidTr="000D3BCB">
        <w:trPr>
          <w:trHeight w:val="317"/>
        </w:trPr>
        <w:tc>
          <w:tcPr>
            <w:tcW w:w="1651" w:type="dxa"/>
            <w:tcBorders>
              <w:top w:val="nil"/>
              <w:left w:val="single" w:sz="6" w:space="0" w:color="auto"/>
              <w:bottom w:val="nil"/>
              <w:right w:val="single" w:sz="6" w:space="0" w:color="auto"/>
            </w:tcBorders>
          </w:tcPr>
          <w:p w14:paraId="5AFD49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20344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265469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Бортовой крен в°</w:t>
            </w:r>
          </w:p>
          <w:p w14:paraId="5251064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096A0D2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w:t>
            </w:r>
          </w:p>
          <w:p w14:paraId="4487A90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236D125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w:t>
            </w:r>
          </w:p>
          <w:p w14:paraId="2A6488E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6DE54A8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w:t>
            </w:r>
          </w:p>
          <w:p w14:paraId="10690ED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296BE47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p w14:paraId="2B287B3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4B0B48C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w:t>
            </w:r>
          </w:p>
          <w:p w14:paraId="0AF4517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59E6F5A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6B38A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0869137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w:t>
            </w:r>
          </w:p>
          <w:p w14:paraId="421DA4C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06478EF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p w14:paraId="024421F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0AD8268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p w14:paraId="214BA19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B9CE8B1" w14:textId="77777777" w:rsidTr="000D3BCB">
        <w:trPr>
          <w:trHeight w:val="326"/>
        </w:trPr>
        <w:tc>
          <w:tcPr>
            <w:tcW w:w="1651" w:type="dxa"/>
            <w:tcBorders>
              <w:top w:val="nil"/>
              <w:left w:val="single" w:sz="6" w:space="0" w:color="auto"/>
              <w:bottom w:val="nil"/>
              <w:right w:val="single" w:sz="6" w:space="0" w:color="auto"/>
            </w:tcBorders>
          </w:tcPr>
          <w:p w14:paraId="41345A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07C19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3E26AB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Глубина брода в мм.</w:t>
            </w:r>
          </w:p>
          <w:p w14:paraId="2024077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213ED05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Плав.</w:t>
            </w:r>
          </w:p>
          <w:p w14:paraId="01CBACB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7DACCB4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Плав.</w:t>
            </w:r>
          </w:p>
          <w:p w14:paraId="68FF5FD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280CFEB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800</w:t>
            </w:r>
          </w:p>
          <w:p w14:paraId="1595A2F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289A368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1200</w:t>
            </w:r>
          </w:p>
          <w:p w14:paraId="3F2992A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38EB2B4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900</w:t>
            </w:r>
          </w:p>
          <w:p w14:paraId="30E898F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66400DF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64DAA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32261B2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1300</w:t>
            </w:r>
          </w:p>
          <w:p w14:paraId="7AEC8E1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601504C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1600</w:t>
            </w:r>
          </w:p>
          <w:p w14:paraId="2164B46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2F6903F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1600</w:t>
            </w:r>
          </w:p>
          <w:p w14:paraId="6ACB12C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4D06FDB" w14:textId="77777777" w:rsidTr="000D3BCB">
        <w:trPr>
          <w:trHeight w:val="326"/>
        </w:trPr>
        <w:tc>
          <w:tcPr>
            <w:tcW w:w="1651" w:type="dxa"/>
            <w:tcBorders>
              <w:top w:val="nil"/>
              <w:left w:val="single" w:sz="6" w:space="0" w:color="auto"/>
              <w:bottom w:val="nil"/>
              <w:right w:val="single" w:sz="6" w:space="0" w:color="auto"/>
            </w:tcBorders>
          </w:tcPr>
          <w:p w14:paraId="1D9773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64998C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076413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Ширина рва в мм</w:t>
            </w:r>
          </w:p>
          <w:p w14:paraId="33B1972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3F01874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1700</w:t>
            </w:r>
          </w:p>
          <w:p w14:paraId="38AF277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3289484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1500</w:t>
            </w:r>
          </w:p>
          <w:p w14:paraId="57A5F1E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143D1FC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2000</w:t>
            </w:r>
          </w:p>
          <w:p w14:paraId="07F8E35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7237715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2000</w:t>
            </w:r>
          </w:p>
          <w:p w14:paraId="540377B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2415476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1600</w:t>
            </w:r>
          </w:p>
          <w:p w14:paraId="5F62228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52D3472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2200</w:t>
            </w:r>
          </w:p>
          <w:p w14:paraId="0E5E2A5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4D8A3C4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2500</w:t>
            </w:r>
          </w:p>
          <w:p w14:paraId="4B36EA8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14D0E1A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2700</w:t>
            </w:r>
          </w:p>
          <w:p w14:paraId="2C6D0FD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6F04AA7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2700</w:t>
            </w:r>
          </w:p>
          <w:p w14:paraId="210C02B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B66405B" w14:textId="77777777" w:rsidTr="000D3BCB">
        <w:trPr>
          <w:trHeight w:val="326"/>
        </w:trPr>
        <w:tc>
          <w:tcPr>
            <w:tcW w:w="1651" w:type="dxa"/>
            <w:tcBorders>
              <w:top w:val="nil"/>
              <w:left w:val="single" w:sz="6" w:space="0" w:color="auto"/>
              <w:bottom w:val="single" w:sz="6" w:space="0" w:color="auto"/>
              <w:right w:val="single" w:sz="6" w:space="0" w:color="auto"/>
            </w:tcBorders>
          </w:tcPr>
          <w:p w14:paraId="2B6014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00ADA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5B5C464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Высота стенки в мм</w:t>
            </w:r>
          </w:p>
          <w:p w14:paraId="7E00903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76A9954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600</w:t>
            </w:r>
          </w:p>
          <w:p w14:paraId="62D1869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1B25EE3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500</w:t>
            </w:r>
          </w:p>
          <w:p w14:paraId="1930317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68E5426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750</w:t>
            </w:r>
          </w:p>
          <w:p w14:paraId="3E31ED9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1C73C6B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700</w:t>
            </w:r>
          </w:p>
          <w:p w14:paraId="209A472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59A938C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600</w:t>
            </w:r>
          </w:p>
          <w:p w14:paraId="4BF4034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6B2FBF7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700</w:t>
            </w:r>
          </w:p>
          <w:p w14:paraId="21D058C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50EA6E2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730</w:t>
            </w:r>
          </w:p>
          <w:p w14:paraId="4C91DB2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1290B44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1200</w:t>
            </w:r>
          </w:p>
          <w:p w14:paraId="54616E4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38D042C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1200</w:t>
            </w:r>
          </w:p>
          <w:p w14:paraId="289EB3D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99D5A3E" w14:textId="77777777" w:rsidTr="000D3BCB">
        <w:trPr>
          <w:trHeight w:val="163"/>
        </w:trPr>
        <w:tc>
          <w:tcPr>
            <w:tcW w:w="1651" w:type="dxa"/>
            <w:tcBorders>
              <w:top w:val="single" w:sz="6" w:space="0" w:color="auto"/>
              <w:left w:val="single" w:sz="6" w:space="0" w:color="auto"/>
              <w:bottom w:val="nil"/>
              <w:right w:val="single" w:sz="6" w:space="0" w:color="auto"/>
            </w:tcBorders>
          </w:tcPr>
          <w:p w14:paraId="4CBFC98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Максим, скорость в км/час</w:t>
            </w:r>
          </w:p>
          <w:p w14:paraId="74A45F5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0EB92F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шоссе</w:t>
            </w:r>
          </w:p>
          <w:p w14:paraId="48728E8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6DD1FD9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w:t>
            </w:r>
          </w:p>
          <w:p w14:paraId="2BF9BCE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26D0D54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46</w:t>
            </w:r>
          </w:p>
          <w:p w14:paraId="34935CE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145F449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p w14:paraId="25D7EDD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67CC0A6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51 /72</w:t>
            </w:r>
          </w:p>
          <w:p w14:paraId="19B8CFB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62056A5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w:t>
            </w:r>
          </w:p>
          <w:p w14:paraId="04CD2A5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4DDD9E2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52</w:t>
            </w:r>
          </w:p>
          <w:p w14:paraId="4A0801A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303416D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53,8</w:t>
            </w:r>
          </w:p>
          <w:p w14:paraId="595D38A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6852625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37,8</w:t>
            </w:r>
          </w:p>
          <w:p w14:paraId="3B94568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44C7B96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w:t>
            </w:r>
          </w:p>
          <w:p w14:paraId="3D2182A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B3AA002" w14:textId="77777777" w:rsidTr="000D3BCB">
        <w:trPr>
          <w:trHeight w:val="326"/>
        </w:trPr>
        <w:tc>
          <w:tcPr>
            <w:tcW w:w="1651" w:type="dxa"/>
            <w:tcBorders>
              <w:top w:val="nil"/>
              <w:left w:val="single" w:sz="6" w:space="0" w:color="auto"/>
              <w:bottom w:val="single" w:sz="6" w:space="0" w:color="auto"/>
              <w:right w:val="single" w:sz="6" w:space="0" w:color="auto"/>
            </w:tcBorders>
          </w:tcPr>
          <w:p w14:paraId="349BCA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7BDF3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2D3367D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проселку</w:t>
            </w:r>
          </w:p>
          <w:p w14:paraId="282383F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758B556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плаву 6</w:t>
            </w:r>
          </w:p>
          <w:p w14:paraId="7D59329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61F72F7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плаву 6,2</w:t>
            </w:r>
          </w:p>
          <w:p w14:paraId="62E4A2E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784A340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p w14:paraId="51BA247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6D16C1A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w:t>
            </w:r>
          </w:p>
          <w:p w14:paraId="1D10E3C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2BFE887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w:t>
            </w:r>
          </w:p>
          <w:p w14:paraId="5EC6ABF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06BF7E3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w:t>
            </w:r>
          </w:p>
          <w:p w14:paraId="7B5AD8C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673A41D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w:t>
            </w:r>
          </w:p>
          <w:p w14:paraId="40FD04A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45A8B7A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p w14:paraId="7499C5C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4A461E4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p w14:paraId="7F04EE6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04B765C" w14:textId="77777777" w:rsidTr="000D3BCB">
        <w:trPr>
          <w:trHeight w:val="317"/>
        </w:trPr>
        <w:tc>
          <w:tcPr>
            <w:tcW w:w="1651" w:type="dxa"/>
            <w:tcBorders>
              <w:top w:val="single" w:sz="6" w:space="0" w:color="auto"/>
              <w:left w:val="single" w:sz="6" w:space="0" w:color="auto"/>
              <w:bottom w:val="single" w:sz="6" w:space="0" w:color="auto"/>
              <w:right w:val="single" w:sz="6" w:space="0" w:color="auto"/>
            </w:tcBorders>
          </w:tcPr>
          <w:p w14:paraId="13196EB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Среднее удельное давление в кг/см</w:t>
            </w:r>
            <w:r w:rsidRPr="00640820">
              <w:rPr>
                <w:rFonts w:ascii="Times New Roman" w:hAnsi="Times New Roman"/>
                <w:color w:val="000000" w:themeColor="text1"/>
                <w:sz w:val="16"/>
                <w:szCs w:val="16"/>
                <w:vertAlign w:val="superscript"/>
              </w:rPr>
              <w:t>2</w:t>
            </w:r>
          </w:p>
          <w:p w14:paraId="51B9B51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5C6596F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5E3B0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7A0A800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0,46</w:t>
            </w:r>
          </w:p>
          <w:p w14:paraId="7FDFB27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43CE522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0,43</w:t>
            </w:r>
          </w:p>
          <w:p w14:paraId="5D33652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17BD97F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0,7</w:t>
            </w:r>
          </w:p>
          <w:p w14:paraId="5F7AA03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7E602EA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0,85</w:t>
            </w:r>
          </w:p>
          <w:p w14:paraId="4AEA6EA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1EA38FC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0,48</w:t>
            </w:r>
          </w:p>
          <w:p w14:paraId="03CF84F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4B2D7A2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0,58</w:t>
            </w:r>
          </w:p>
          <w:p w14:paraId="2AB43CB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5F8A907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0,6</w:t>
            </w:r>
          </w:p>
          <w:p w14:paraId="61D64BA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7522092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0,74</w:t>
            </w:r>
          </w:p>
          <w:p w14:paraId="35C53CA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6AB4FB0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0,83</w:t>
            </w:r>
          </w:p>
          <w:p w14:paraId="3C0F415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CEBF437" w14:textId="77777777" w:rsidTr="000D3BCB">
        <w:trPr>
          <w:trHeight w:val="173"/>
        </w:trPr>
        <w:tc>
          <w:tcPr>
            <w:tcW w:w="1651" w:type="dxa"/>
            <w:tcBorders>
              <w:top w:val="single" w:sz="6" w:space="0" w:color="auto"/>
              <w:left w:val="single" w:sz="6" w:space="0" w:color="auto"/>
              <w:bottom w:val="single" w:sz="6" w:space="0" w:color="auto"/>
              <w:right w:val="single" w:sz="6" w:space="0" w:color="auto"/>
            </w:tcBorders>
          </w:tcPr>
          <w:p w14:paraId="5A087EA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Запас хода в км</w:t>
            </w:r>
          </w:p>
          <w:p w14:paraId="12EF1D8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7A4D074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1E22C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372A598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280</w:t>
            </w:r>
          </w:p>
          <w:p w14:paraId="6EBA8E4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05F01C2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190</w:t>
            </w:r>
          </w:p>
          <w:p w14:paraId="67748AA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7CF9543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w:t>
            </w:r>
          </w:p>
          <w:p w14:paraId="0420600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6910C03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400</w:t>
            </w:r>
          </w:p>
          <w:p w14:paraId="42ABB9E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5106BEC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420</w:t>
            </w:r>
          </w:p>
          <w:p w14:paraId="0AD1FAE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3492B67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350</w:t>
            </w:r>
          </w:p>
          <w:p w14:paraId="7B6E276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4BEA7B2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250</w:t>
            </w:r>
          </w:p>
          <w:p w14:paraId="7D834DD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314D7C8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275</w:t>
            </w:r>
          </w:p>
          <w:p w14:paraId="04AE4D9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2DE33C7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250</w:t>
            </w:r>
          </w:p>
          <w:p w14:paraId="0193C4A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F1565F3" w14:textId="77777777" w:rsidTr="000D3BCB">
        <w:trPr>
          <w:trHeight w:val="317"/>
        </w:trPr>
        <w:tc>
          <w:tcPr>
            <w:tcW w:w="1651" w:type="dxa"/>
            <w:tcBorders>
              <w:top w:val="single" w:sz="6" w:space="0" w:color="auto"/>
              <w:left w:val="single" w:sz="6" w:space="0" w:color="auto"/>
              <w:bottom w:val="single" w:sz="6" w:space="0" w:color="auto"/>
              <w:right w:val="single" w:sz="6" w:space="0" w:color="auto"/>
            </w:tcBorders>
          </w:tcPr>
          <w:p w14:paraId="2304A8A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Максим, мощность двигателя</w:t>
            </w:r>
          </w:p>
          <w:p w14:paraId="04C6659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4A3366E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FF410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4B6DDBC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85</w:t>
            </w:r>
          </w:p>
          <w:p w14:paraId="5094D99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796BC16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w:t>
            </w:r>
          </w:p>
          <w:p w14:paraId="35E786E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0E300B5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90</w:t>
            </w:r>
          </w:p>
          <w:p w14:paraId="642FC8E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183ACD3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500</w:t>
            </w:r>
          </w:p>
          <w:p w14:paraId="22DE75A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4B54E2A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85</w:t>
            </w:r>
          </w:p>
          <w:p w14:paraId="12892AF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3341317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w:t>
            </w:r>
          </w:p>
          <w:p w14:paraId="6712D0B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57DD97F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500</w:t>
            </w:r>
          </w:p>
          <w:p w14:paraId="6B1C450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3692383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600</w:t>
            </w:r>
          </w:p>
          <w:p w14:paraId="2283D29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3632328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600</w:t>
            </w:r>
          </w:p>
          <w:p w14:paraId="3EC88EA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35C95A5" w14:textId="77777777" w:rsidTr="000D3BCB">
        <w:trPr>
          <w:trHeight w:val="192"/>
        </w:trPr>
        <w:tc>
          <w:tcPr>
            <w:tcW w:w="1651" w:type="dxa"/>
            <w:tcBorders>
              <w:top w:val="single" w:sz="6" w:space="0" w:color="auto"/>
              <w:left w:val="single" w:sz="6" w:space="0" w:color="auto"/>
              <w:bottom w:val="single" w:sz="6" w:space="0" w:color="auto"/>
              <w:right w:val="single" w:sz="6" w:space="0" w:color="auto"/>
            </w:tcBorders>
          </w:tcPr>
          <w:p w14:paraId="62F4E77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Экипаж</w:t>
            </w:r>
          </w:p>
          <w:p w14:paraId="6861291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7272DF5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EE704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4556612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чел.</w:t>
            </w:r>
          </w:p>
          <w:p w14:paraId="1DDB188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79498FD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чел</w:t>
            </w:r>
          </w:p>
          <w:p w14:paraId="16203B4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6D8E8BD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Зчел.</w:t>
            </w:r>
          </w:p>
          <w:p w14:paraId="1096FB9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0B3F877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Зчел.</w:t>
            </w:r>
          </w:p>
          <w:p w14:paraId="1F3D648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11468FF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чел</w:t>
            </w:r>
          </w:p>
          <w:p w14:paraId="5B0EF44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67BDAB3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чел.</w:t>
            </w:r>
          </w:p>
          <w:p w14:paraId="725F61D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503A03D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чел.</w:t>
            </w:r>
          </w:p>
          <w:p w14:paraId="5CB1737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1EA796D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чел.</w:t>
            </w:r>
          </w:p>
          <w:p w14:paraId="1E5189B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391C4D3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чел.</w:t>
            </w:r>
          </w:p>
          <w:p w14:paraId="0DCB829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1E5B1C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3 отдела БТУ ГАБТУ КА военинженер 1 ранга Рогачев</w:t>
      </w:r>
    </w:p>
    <w:p w14:paraId="03E2338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 инженер 1 отделения 3 отдела БТУ ГАБТУ КА военинженер 2 ранга Коромыслов</w:t>
      </w:r>
    </w:p>
    <w:p w14:paraId="17DE9A4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kern w:val="65535"/>
          <w:sz w:val="16"/>
          <w:szCs w:val="16"/>
        </w:rPr>
      </w:pPr>
      <w:r w:rsidRPr="00640820">
        <w:rPr>
          <w:rFonts w:ascii="Times New Roman" w:hAnsi="Times New Roman"/>
          <w:color w:val="000000" w:themeColor="text1"/>
          <w:kern w:val="65535"/>
          <w:sz w:val="16"/>
          <w:szCs w:val="16"/>
        </w:rPr>
        <w:t>ЦАМО. Ф. 38. Оп. 11355. Д. 283. Л. 191. Копия (11211).</w:t>
      </w:r>
    </w:p>
    <w:p w14:paraId="51D17B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kern w:val="65535"/>
          <w:sz w:val="16"/>
          <w:szCs w:val="16"/>
        </w:rPr>
      </w:pPr>
    </w:p>
    <w:p w14:paraId="6C77B7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декабря 1941 вышло Постановление ГКО № 1056 Об отпуске Наркомчермету никеля и феррохрома. РГАНИР, Фонд ГКО, д. 16, лл. 184 (11012).</w:t>
      </w:r>
    </w:p>
    <w:p w14:paraId="47BCBD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ECE29C0"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362474A1"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F9B2213"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24 декабря</w:t>
      </w:r>
      <w:r w:rsidRPr="00640820">
        <w:rPr>
          <w:rFonts w:ascii="Times New Roman" w:hAnsi="Times New Roman"/>
          <w:color w:val="000000" w:themeColor="text1"/>
          <w:sz w:val="16"/>
          <w:szCs w:val="16"/>
        </w:rPr>
        <w:t xml:space="preserve"> в 1941 году утреннее сообщение Совинформбюро:</w:t>
      </w:r>
    </w:p>
    <w:p w14:paraId="6D7707B8"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24 декабря наши войска вели бои с противником на всех фронтах.</w:t>
      </w:r>
    </w:p>
    <w:p w14:paraId="0A700F5D"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Наша часть, действующая на одном из участков Юго-Западного фронта, за один день боёв захватила 12 танков, 10 орудий, 300 автомашин, крупное бензинохранилище, много снарядов и мин. На другом участке фронта наши бойцы выбили немцев из нескольких населённых пунктов, захватили 14 пулемётов и истребили 800 вражеских солдат и офицеров.</w:t>
      </w:r>
    </w:p>
    <w:p w14:paraId="080A1D75"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Часть товарища Говорова, действующая на одном из участков Западного фронта, за 2 дня боёв уничтожила 30 немецких автомашин, 70 повозок с военным грузом, орудие, два миномёта и истребила 1.650 солдат и офицеров противника.</w:t>
      </w:r>
    </w:p>
    <w:p w14:paraId="0718CD9A"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Подразделение лейтенанта Иванова под прикрытием темноты незаметно зашло во фланг противнику и открыло по врагу пулемётный и миномётный огонь. Немцы обратились в бегство, бросив 7 орудий, 2 пулемёта и другое вооружение.</w:t>
      </w:r>
    </w:p>
    <w:p w14:paraId="5D9433FB"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Бежавший из фашистского лагеря военнопленных советский гражданин Панов Алексей Никитович рассказывает: «В лагере, который находится на Керосинной улице в гор. Киеве, я пробыл с 29 сентября по 10 декабря 1941 года. За всё это время я, как и другие заключённые, получил 20 граммов солёной комсы и 6 котелков воды с примесью тухлой муки. Пили мы из пожарных бочек, где находилась испорченная вода. Немцы заставляли нас работать по 14-16 часов, избивали палками. Тех, кто изнемогал и не был в состоянии работать, фашистские изверги беспощадно расстреливали».</w:t>
      </w:r>
    </w:p>
    <w:p w14:paraId="199B1661"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селе Вороньки немцы поместили 40 раненых пленных красноармейцев и советских медицинских сестёр в помещение бывшей больницы. Медсестёр гитлеровцы изнасиловали и расстреляли, а к больнице поставили часовых и никого туда не пускали. Через 4 дня часть больных умерла. Оставшихся в живых изверги утопили в реке.</w:t>
      </w:r>
    </w:p>
    <w:p w14:paraId="6DB633D1"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Дарницком лагере для военнопленных (близ Киева) охрана избивает красноармейцев палками. Пленных не кормят, если не считать просяной похлёбки, которую дают раз в два-три дня.</w:t>
      </w:r>
    </w:p>
    <w:p w14:paraId="01EEDC0E"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ряде районов Югославии вновь развернулись упорные бои между партизанами и фашистскими оккупантами. 18 декабря крупный партизанский отряд разбил наголову около города Ужице итальянскую пехотную часть. На поле сражения осталось свыше сотни фашистских трупов.</w:t>
      </w:r>
    </w:p>
    <w:p w14:paraId="437CB3C4"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Трудящиеся городов и сёл советской страны посылают на фронт бойцам доблестной Красной Армии сотни тысяч новогодних подарков. За два дня Ереванский почтамт принял 3.500 посылок. Свыше тысячи, посылок послали колхозники Камарлинского района. Из Саратова только за один день отправлено на фронт около тысячи новогодних посылок. Коллективы предприятий и учреждений Красноярска собрали новогодних подарков более чем на 100 тысяч рублей. Колхозники сельхозартели имени Халтурина, Чарджоуского района, Туркменской ССР, посылают новогодние подарки бойцам Энской части Красной Армии, в которой служит их соотечественник Герой Советского Союза Курбан-Дурды. Колхозники посылают бойцам 20 баранов, корову, кур, тысячу яиц, тысячу килограммов мёда, 50 килограммов масла. Общее собрание колхозников сельхозартели имени Халтурина обратилось к трудящимся Чарджоуской области с призывом организовать эшелон новогодних подарков доблестным защитникам родины.» (14870).</w:t>
      </w:r>
    </w:p>
    <w:p w14:paraId="22094644" w14:textId="77777777" w:rsidR="00471CF3" w:rsidRPr="00640820" w:rsidRDefault="00471CF3" w:rsidP="00640820">
      <w:pPr>
        <w:spacing w:after="0" w:line="240" w:lineRule="auto"/>
        <w:jc w:val="both"/>
        <w:rPr>
          <w:rFonts w:ascii="Times New Roman" w:hAnsi="Times New Roman"/>
          <w:color w:val="000000" w:themeColor="text1"/>
          <w:sz w:val="16"/>
          <w:szCs w:val="16"/>
        </w:rPr>
      </w:pPr>
    </w:p>
    <w:p w14:paraId="58D963F0"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24 декабря</w:t>
      </w:r>
      <w:r w:rsidRPr="00640820">
        <w:rPr>
          <w:rFonts w:ascii="Times New Roman" w:hAnsi="Times New Roman"/>
          <w:color w:val="000000" w:themeColor="text1"/>
          <w:sz w:val="16"/>
          <w:szCs w:val="16"/>
        </w:rPr>
        <w:t xml:space="preserve"> в 1941 году вечернее сообщение Совинформбюро:</w:t>
      </w:r>
    </w:p>
    <w:p w14:paraId="26DBC1BC"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24 декабря наши войска вели бои с противником на всех фронтах. На ряде участков Западного, Калининского и Юго-Западного фронтов наши войска, ведя бои с противником, продолжали продвигаться вперёд и заняли ряд населённых пунктов.</w:t>
      </w:r>
    </w:p>
    <w:p w14:paraId="57A41114"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23 декабря уничтожено 20 немецких самолётов. Наши потери — 3 самолёта.</w:t>
      </w:r>
    </w:p>
    <w:p w14:paraId="4C30068E"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24 декабря под Москвой сбито 9 немецких самолётов.</w:t>
      </w:r>
    </w:p>
    <w:p w14:paraId="69784AB4"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23 декабря наша авиация уничтожила и повредила 11 немецких танков, 125 автомашин с войсками и грузами, уничтожила 5 полевых орудий с прислугой, свыше 100 повозок с боеприпасами и рассеяла два батальона пехоты противника.</w:t>
      </w:r>
    </w:p>
    <w:p w14:paraId="46D6C26B"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Часть тов. Петухова, действующая на одном из участков Западного фронта, выбила противника из двух населённых пунктов, истребила свыше 500 вражеских солдат и офицеров и захватила 2 немецких танка, 160 автомашин, 70 пулемётов и много других трофеев. На другом участке фронта часть тов. Анисимова в одном из боёв захватила 6 вражеских самолётов, 19 автомашин и 46 мотоциклов.</w:t>
      </w:r>
    </w:p>
    <w:p w14:paraId="37ED5358"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Наша часть, действующая на одном из участков Юго-Западного фронта, за один день боёв освободила 24 населённых пункта, захватила 8 немецких орудий, несколько миномётов и пулемётов и истребила 800 солдат и офицеров противника. Танкисты части уничтожили 3 вражеских танка, 15 орудий и 12 пулемётов.</w:t>
      </w:r>
    </w:p>
    <w:p w14:paraId="26A333F5"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Группа советских разведчиков под командованием лейтенанта Палютина совершила смелый ночной налёт на деревню Г. Отважные бойцы истребили 35 вражеских солдат и ранили свыше 40. Красноармеец тов. Рева уничтожил 6 немецких солдат.</w:t>
      </w:r>
    </w:p>
    <w:p w14:paraId="5E0D0170"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Партизанский отряд, действовавший в Волоколамском районе, Московской области, успешно истреблял гитлеровцев и своими боевыми действиями активно помогал Красвой Армии. Приводим выдержки из дневника отряда:</w:t>
      </w:r>
    </w:p>
    <w:p w14:paraId="33FD11CF"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декабря. Группа партизан под руководством тов. Ш. взорвала мост протяжением 15 метров через реку Сестра. Взрыв моста на сутки приостановил движение противника по шоссе. У реки скопилось около 500 немецких автомашин, которые подверглись ожесточённым бомбардировкам советской авиации. В этот же день взорвана на мине немецкая 8-тонная машина с грузом</w:t>
      </w:r>
    </w:p>
    <w:p w14:paraId="0EA1102A"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декабря. Партизаны под руководством тов. К. минировали дорогу между двумя населёнными пунктами. На минах взорвалась шедшая на фронт немецкая бронемашина, вооружённая пушкой и двумя пулемётами. Экипаж бронемашины погиб.</w:t>
      </w:r>
    </w:p>
    <w:p w14:paraId="53F5C631"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декабря. Ударная группа партизан под руководством тов. К. взорвала и сожгла три 8-тонные автоцистерны с бензином, шедшие на фронт. Выехавшая на место происшествия автомашина с фашистскими автоматчиками взорвалась на мине, поставленной партизанами.</w:t>
      </w:r>
    </w:p>
    <w:p w14:paraId="16C122B7"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декабря.Группа партизан в составе 9 человек под руководством тов. Ш. минировала дорогу и расположилась в засаде. На мины наскочили два автобуса с немецкой пехотой. Партизаны открыли по немцам огонь и истребили их всех до одного. В этот же день уничтожены две немецкие автомашины со снарядами и военным имуществом.</w:t>
      </w:r>
    </w:p>
    <w:p w14:paraId="0A5D82F4"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10 дней боевых действий партизанский отряд истребил 105 немецких солдат и офицеров».</w:t>
      </w:r>
    </w:p>
    <w:p w14:paraId="40756E28"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Немецкие солдаты, взятые в плен на Западном фронте, рассказывают об огромных потерях, которые несут отступающие немецкие войска. Военнопленный ефрейтор 87 мотополка 36 мотодивизии Лоренс Лезун показал: «Наша дивизия только в двух последних боях потеряла свыше 3.000 человек убитыми и ранеными. Несмотря на двукратное пополнение, в ротах насчитывается не больше 50 процентов состава. Начавшееся отступление немецких войск вызвано огромными потерями в материальной части и живой силе, сокрушительными ударами, нанесёнными советской армией по нашим войскам. Настроение солдат с каждым днём падает. Они устали от войны. Становятся всё меньше и меньше немцев, которые верят в победу Германии». Военнопленный солдат 1 дивизиона 23 артполка 23 пехотной дивизии Оскар Ромоль заявил: «Отступление нашей дивизии началось 5 декабря. Это было не отступление, а бегство. Нападение русских было так внезапно, что нами были брошены орудия, снаряды и другое вооружение. Солдаты не хотят больше воевать. Многие из них думают о сдаче в плен, но боятся шпионов гестапо и офицеров».</w:t>
      </w:r>
    </w:p>
    <w:p w14:paraId="740FD21D"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последний час.</w:t>
      </w:r>
    </w:p>
    <w:p w14:paraId="1DFC9DB8"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Трофеи войск Западного фронта за период с 21 по 25 декабря.</w:t>
      </w:r>
    </w:p>
    <w:p w14:paraId="7F3B66FE"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период с 21 по 25 декабря войсками Западного фронта захвачено у противника: танков — 33, самолётов — 2, орудий — 126, миномётов — 36, пулемётов — 174, автоматов — 293, автомашин — 1.128, мотоциклов — 169, велосипедов — 1.552, лошадей — 625, радиостанций — 5. Уничтожено 170 повозок с боеприпасами. Разгромлены штабы 13 армейского корпуса и 268 пехдивизии противника. Захвачены крупные интендантские склады и склады боеприпасов. В штабах захвачено большое количество немецких орденов, денег и документов. С 21 по 25 декабря уничтожено 10.220 немецких солдат и офицеров. Сведения о трофеях и убитых далеко не полные, так как значительная часть трупов и оружия находится под снегом.» (14870).</w:t>
      </w:r>
    </w:p>
    <w:p w14:paraId="24EB2599" w14:textId="77777777" w:rsidR="00471CF3" w:rsidRPr="00640820" w:rsidRDefault="00471CF3" w:rsidP="00640820">
      <w:pPr>
        <w:spacing w:after="0" w:line="240" w:lineRule="auto"/>
        <w:jc w:val="both"/>
        <w:rPr>
          <w:rFonts w:ascii="Times New Roman" w:hAnsi="Times New Roman"/>
          <w:color w:val="000000" w:themeColor="text1"/>
          <w:sz w:val="16"/>
          <w:szCs w:val="16"/>
        </w:rPr>
      </w:pPr>
    </w:p>
    <w:p w14:paraId="09A13EEF" w14:textId="77777777" w:rsidR="007C4777" w:rsidRPr="00640820" w:rsidRDefault="007C4777"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24 декабря 1941, согласно отчету о боевой работе ВВС ЮЗФ, авиация фронта наносила удары по скоплениям немецких войск, скоплениям пресловутых «мотомехвойск», а также по уже привычным колоннам автомобилей и повозок на дорогах. На сей раз «на атаку» было выполнено 129 самолето</w:t>
      </w:r>
      <w:r w:rsidRPr="00640820">
        <w:rPr>
          <w:rFonts w:ascii="Times New Roman" w:hAnsi="Times New Roman"/>
          <w:color w:val="0070C0"/>
          <w:sz w:val="16"/>
          <w:szCs w:val="16"/>
        </w:rPr>
        <w:noBreakHyphen/>
        <w:t>вылетов из 242 (23199).</w:t>
      </w:r>
    </w:p>
    <w:p w14:paraId="09F81505" w14:textId="77777777" w:rsidR="007C4777" w:rsidRPr="00640820" w:rsidRDefault="007C4777" w:rsidP="00640820">
      <w:pPr>
        <w:spacing w:after="0" w:line="240" w:lineRule="auto"/>
        <w:jc w:val="both"/>
        <w:rPr>
          <w:rFonts w:ascii="Times New Roman" w:hAnsi="Times New Roman"/>
          <w:color w:val="0070C0"/>
          <w:sz w:val="16"/>
          <w:szCs w:val="16"/>
        </w:rPr>
      </w:pPr>
    </w:p>
    <w:p w14:paraId="6C0E13DB"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24 декабря</w:t>
      </w:r>
      <w:r w:rsidRPr="00640820">
        <w:rPr>
          <w:rFonts w:ascii="Times New Roman" w:hAnsi="Times New Roman"/>
          <w:color w:val="000000" w:themeColor="text1"/>
          <w:sz w:val="16"/>
          <w:szCs w:val="16"/>
        </w:rPr>
        <w:t xml:space="preserve"> в 1941 году Ставка ВГК вновь образовала Брянский фронт (14870).</w:t>
      </w:r>
    </w:p>
    <w:p w14:paraId="731C9804" w14:textId="77777777" w:rsidR="00471CF3" w:rsidRPr="00640820" w:rsidRDefault="00471CF3" w:rsidP="00640820">
      <w:pPr>
        <w:spacing w:after="0" w:line="240" w:lineRule="auto"/>
        <w:jc w:val="both"/>
        <w:rPr>
          <w:rFonts w:ascii="Times New Roman" w:hAnsi="Times New Roman"/>
          <w:color w:val="000000" w:themeColor="text1"/>
          <w:sz w:val="16"/>
          <w:szCs w:val="16"/>
        </w:rPr>
      </w:pPr>
    </w:p>
    <w:p w14:paraId="2B00BB2E"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24 декабря</w:t>
      </w:r>
      <w:r w:rsidRPr="00640820">
        <w:rPr>
          <w:rFonts w:ascii="Times New Roman" w:hAnsi="Times New Roman"/>
          <w:color w:val="000000" w:themeColor="text1"/>
          <w:sz w:val="16"/>
          <w:szCs w:val="16"/>
        </w:rPr>
        <w:t xml:space="preserve"> в 1941 году войска 39-й, 22-й и 29-й армий Калининского фронта начали наступление на Ржев; 1-й гвардейский кавалерийский корпус вышел к реке Оке (14870).</w:t>
      </w:r>
    </w:p>
    <w:p w14:paraId="56199293" w14:textId="77777777" w:rsidR="00471CF3" w:rsidRPr="00640820" w:rsidRDefault="00471CF3" w:rsidP="00640820">
      <w:pPr>
        <w:spacing w:after="0" w:line="240" w:lineRule="auto"/>
        <w:jc w:val="both"/>
        <w:rPr>
          <w:rFonts w:ascii="Times New Roman" w:hAnsi="Times New Roman"/>
          <w:color w:val="000000" w:themeColor="text1"/>
          <w:sz w:val="16"/>
          <w:szCs w:val="16"/>
        </w:rPr>
      </w:pPr>
    </w:p>
    <w:p w14:paraId="2E18FA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декабря 1941 в районе Старицы, куда наступал КФ, повредили и уничтожили до 60 автомашин и повозок (341,85).</w:t>
      </w:r>
    </w:p>
    <w:p w14:paraId="0F4D00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829FE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 с 17 по 24 декабря 1941 авиация выполнила 3200 вылетов по сравнению с 300 у немцев (341,86).</w:t>
      </w:r>
    </w:p>
    <w:p w14:paraId="1E0FDC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19D16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декабря 1941 по решению ставки ВГК от 18 декабря 1941 был восстановлен Брянский фронт (3186).</w:t>
      </w:r>
    </w:p>
    <w:p w14:paraId="626A53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40EC0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декабря 1941 вышло Постановление ГКО № 1055 О разрешении НКО зачислить на бесплатное питание 600 малооплачиваемых оперативных работников, выдавать бесплатные закуски 120 чел. высшего начсостава ГШ и центр. управлений. РГАНИР, Фонд ГКО, д. 16, лл. 183 (11012).</w:t>
      </w:r>
    </w:p>
    <w:p w14:paraId="6501BA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E6B3F61"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декабря 1941 вышло Постановление ГКО № 1058 [Утверждено предложение о сокращении численности КА и освобождении ее от ненужных частей и соединений.] (7017, 186).</w:t>
      </w:r>
    </w:p>
    <w:p w14:paraId="436B2675"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AF3584"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5CA4C8B7"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8B504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декабря 1941 началась первая Вашингтонская конференция (2260).</w:t>
      </w:r>
    </w:p>
    <w:p w14:paraId="137796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DE007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декабря 1941 СССР присоединился к Атлантической хартии (3186).</w:t>
      </w:r>
    </w:p>
    <w:p w14:paraId="4681A8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721FA84"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6D949FC6"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9C258A6"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24 декабря</w:t>
      </w:r>
      <w:r w:rsidRPr="00640820">
        <w:rPr>
          <w:rFonts w:ascii="Times New Roman" w:hAnsi="Times New Roman"/>
          <w:color w:val="000000" w:themeColor="text1"/>
          <w:sz w:val="16"/>
          <w:szCs w:val="16"/>
        </w:rPr>
        <w:t xml:space="preserve"> в 1941 году первый полёт лёгкого транспортного самолета «МВ.800 Р3», разработанного французской компаний «Bloch». Ведущим конструктором по новой машине был Пьер Ле Бяьн (Pierre Le Bihan), который разработал этот цельнометаллический моноплан с убираемым шасси, двигателями «Bearn 6D» (410 л.с.) и усиленной конструкцией фюзеляжа, позволявшей перевозить до 500 кг грузов. Всего удалось сделать 24 полета (14870).</w:t>
      </w:r>
    </w:p>
    <w:p w14:paraId="2FCFE3E6" w14:textId="77777777" w:rsidR="00471CF3" w:rsidRPr="00640820" w:rsidRDefault="00471CF3" w:rsidP="00640820">
      <w:pPr>
        <w:spacing w:after="0" w:line="240" w:lineRule="auto"/>
        <w:jc w:val="both"/>
        <w:rPr>
          <w:rFonts w:ascii="Times New Roman" w:hAnsi="Times New Roman"/>
          <w:color w:val="000000" w:themeColor="text1"/>
          <w:sz w:val="16"/>
          <w:szCs w:val="16"/>
        </w:rPr>
      </w:pPr>
    </w:p>
    <w:p w14:paraId="5566B151"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24 декабря</w:t>
      </w:r>
      <w:r w:rsidRPr="00640820">
        <w:rPr>
          <w:rFonts w:ascii="Times New Roman" w:hAnsi="Times New Roman"/>
          <w:color w:val="000000" w:themeColor="text1"/>
          <w:sz w:val="16"/>
          <w:szCs w:val="16"/>
        </w:rPr>
        <w:t xml:space="preserve"> в 1941 году американская авиация потопила первую японскую подводную лодку. Успех выпал на долю B-25 17-го бомбардировочного полка (14870).</w:t>
      </w:r>
    </w:p>
    <w:p w14:paraId="5FAD4432" w14:textId="77777777" w:rsidR="00471CF3" w:rsidRPr="00640820" w:rsidRDefault="00471CF3" w:rsidP="00640820">
      <w:pPr>
        <w:spacing w:after="0" w:line="240" w:lineRule="auto"/>
        <w:jc w:val="both"/>
        <w:rPr>
          <w:rFonts w:ascii="Times New Roman" w:hAnsi="Times New Roman"/>
          <w:color w:val="000000" w:themeColor="text1"/>
          <w:sz w:val="16"/>
          <w:szCs w:val="16"/>
        </w:rPr>
      </w:pPr>
    </w:p>
    <w:p w14:paraId="151E0EDA"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24 декабря</w:t>
      </w:r>
      <w:r w:rsidRPr="00640820">
        <w:rPr>
          <w:rFonts w:ascii="Times New Roman" w:hAnsi="Times New Roman"/>
          <w:color w:val="000000" w:themeColor="text1"/>
          <w:sz w:val="16"/>
          <w:szCs w:val="16"/>
        </w:rPr>
        <w:t xml:space="preserve"> в 1941 году в Северной Африке британский войска освобождают Бенгази и устанавливают контроль над ливийской провинцией Киренаика (14870).</w:t>
      </w:r>
    </w:p>
    <w:p w14:paraId="3D2C8F1F" w14:textId="77777777" w:rsidR="00471CF3" w:rsidRPr="00640820" w:rsidRDefault="00471CF3" w:rsidP="00640820">
      <w:pPr>
        <w:spacing w:after="0" w:line="240" w:lineRule="auto"/>
        <w:jc w:val="both"/>
        <w:rPr>
          <w:rFonts w:ascii="Times New Roman" w:hAnsi="Times New Roman"/>
          <w:color w:val="000000" w:themeColor="text1"/>
          <w:sz w:val="16"/>
          <w:szCs w:val="16"/>
        </w:rPr>
      </w:pPr>
    </w:p>
    <w:p w14:paraId="717B6E80"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декабря 1941 английские войска захватили Бенгази (4962).</w:t>
      </w:r>
    </w:p>
    <w:p w14:paraId="274B2754"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307A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декабря 1941 японские войска захватили британскую колонию Гонконг и удерживали до 30 августа 1945 (3186).</w:t>
      </w:r>
    </w:p>
    <w:p w14:paraId="23DF7C1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FA95DFE"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2F87C3F9"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675F4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декабря 1941 запустили двигатель первого Ил-2 собранного заводом 18 в Куйбышеве (432,19).</w:t>
      </w:r>
    </w:p>
    <w:p w14:paraId="7622A9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ABBE0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декабря 1941 вышло Постановление ГКО № 1065 О производстве бронекорпусов для самолетов ИЛ-2. РГАНИР, Фонд ГКО, д. 17, лл. 175 (11012).</w:t>
      </w:r>
    </w:p>
    <w:p w14:paraId="04AB7E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21FC0AC" w14:textId="77777777" w:rsidR="00702F8A" w:rsidRPr="00640820" w:rsidRDefault="00702F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декабря 1941 вышло Постановление ГКО № 1065 О производстве бронекорпусов для самолетов ИЛ-2</w:t>
      </w:r>
    </w:p>
    <w:p w14:paraId="572F62B8" w14:textId="77777777" w:rsidR="00702F8A" w:rsidRPr="00640820" w:rsidRDefault="00702F8A"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Batang" w:hAnsi="Times New Roman"/>
          <w:color w:val="000000" w:themeColor="text1"/>
          <w:sz w:val="16"/>
          <w:szCs w:val="16"/>
          <w:lang w:eastAsia="ru-RU"/>
        </w:rPr>
        <w:t>1.Обязать Народного Комиссара Танковой Промышленно</w:t>
      </w:r>
      <w:r w:rsidRPr="00640820">
        <w:rPr>
          <w:rFonts w:ascii="Times New Roman" w:eastAsia="Batang" w:hAnsi="Times New Roman"/>
          <w:color w:val="000000" w:themeColor="text1"/>
          <w:sz w:val="16"/>
          <w:szCs w:val="16"/>
          <w:lang w:eastAsia="ru-RU"/>
        </w:rPr>
        <w:softHyphen/>
        <w:t>сти т.Малышева:</w:t>
      </w:r>
    </w:p>
    <w:p w14:paraId="4FEB1DAF" w14:textId="77777777" w:rsidR="00702F8A" w:rsidRPr="00640820" w:rsidRDefault="00702F8A" w:rsidP="00640820">
      <w:pPr>
        <w:tabs>
          <w:tab w:val="left" w:pos="1910"/>
        </w:tabs>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Batang" w:hAnsi="Times New Roman"/>
          <w:color w:val="000000" w:themeColor="text1"/>
          <w:sz w:val="16"/>
          <w:szCs w:val="16"/>
          <w:lang w:eastAsia="ru-RU"/>
        </w:rPr>
        <w:t>а) передать НКАП'у Куйбышевский Механический завод Особстроя по производству бронекорпусов для самолетов Ил-2 с полным комплектом оборудования/необходимого для производства бронекорпусов Ил-2 по утвержденной ГКО про</w:t>
      </w:r>
      <w:r w:rsidRPr="00640820">
        <w:rPr>
          <w:rFonts w:ascii="Times New Roman" w:eastAsia="Batang" w:hAnsi="Times New Roman"/>
          <w:color w:val="000000" w:themeColor="text1"/>
          <w:sz w:val="16"/>
          <w:szCs w:val="16"/>
          <w:lang w:eastAsia="ru-RU"/>
        </w:rPr>
        <w:softHyphen/>
        <w:t>грамме;</w:t>
      </w:r>
    </w:p>
    <w:p w14:paraId="09DEB18C" w14:textId="77777777" w:rsidR="00702F8A" w:rsidRPr="00640820" w:rsidRDefault="00702F8A" w:rsidP="00640820">
      <w:pPr>
        <w:tabs>
          <w:tab w:val="left" w:pos="2150"/>
        </w:tabs>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Batang" w:hAnsi="Times New Roman"/>
          <w:color w:val="000000" w:themeColor="text1"/>
          <w:sz w:val="16"/>
          <w:szCs w:val="16"/>
          <w:lang w:eastAsia="ru-RU"/>
        </w:rPr>
        <w:lastRenderedPageBreak/>
        <w:t>б) немедленно переадресовать в Куйбышев на Механи</w:t>
      </w:r>
      <w:r w:rsidRPr="00640820">
        <w:rPr>
          <w:rFonts w:ascii="Times New Roman" w:eastAsia="Batang" w:hAnsi="Times New Roman"/>
          <w:color w:val="000000" w:themeColor="text1"/>
          <w:sz w:val="16"/>
          <w:szCs w:val="16"/>
          <w:lang w:eastAsia="ru-RU"/>
        </w:rPr>
        <w:softHyphen/>
        <w:t>ческий завод гидравлические пресса и другое оборудова</w:t>
      </w:r>
      <w:r w:rsidRPr="00640820">
        <w:rPr>
          <w:rFonts w:ascii="Times New Roman" w:eastAsia="Batang" w:hAnsi="Times New Roman"/>
          <w:color w:val="000000" w:themeColor="text1"/>
          <w:sz w:val="16"/>
          <w:szCs w:val="16"/>
          <w:lang w:eastAsia="ru-RU"/>
        </w:rPr>
        <w:softHyphen/>
        <w:t>ние для производства бронекорпусов Ил-2, эвакуированные из Подольска в Свердловск, а также направить все кадры, ранее занятые на производстве бронекорпусов Ил-2.</w:t>
      </w:r>
    </w:p>
    <w:p w14:paraId="3F4DFBB6" w14:textId="77777777" w:rsidR="00702F8A" w:rsidRPr="00640820" w:rsidRDefault="00702F8A"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Batang" w:hAnsi="Times New Roman"/>
          <w:color w:val="000000" w:themeColor="text1"/>
          <w:sz w:val="16"/>
          <w:szCs w:val="16"/>
          <w:lang w:eastAsia="ru-RU"/>
        </w:rPr>
        <w:t>2. Обязать НКАП т.Шахурина начать выпуск бронекорпу</w:t>
      </w:r>
      <w:r w:rsidRPr="00640820">
        <w:rPr>
          <w:rFonts w:ascii="Times New Roman" w:eastAsia="Batang" w:hAnsi="Times New Roman"/>
          <w:color w:val="000000" w:themeColor="text1"/>
          <w:sz w:val="16"/>
          <w:szCs w:val="16"/>
          <w:lang w:eastAsia="ru-RU"/>
        </w:rPr>
        <w:softHyphen/>
        <w:t>сов Ил-2 с 15 февраля 1942 г.</w:t>
      </w:r>
    </w:p>
    <w:p w14:paraId="2DBE4345" w14:textId="77777777" w:rsidR="00702F8A" w:rsidRPr="00640820" w:rsidRDefault="00702F8A"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Batang" w:hAnsi="Times New Roman"/>
          <w:color w:val="000000" w:themeColor="text1"/>
          <w:sz w:val="16"/>
          <w:szCs w:val="16"/>
          <w:lang w:eastAsia="ru-RU"/>
        </w:rPr>
        <w:t>3. Директором Куйбышевского завода бронекорпусов Ил-2 назначить т.Засульского, освободив его от работы в Танкопроме.</w:t>
      </w:r>
    </w:p>
    <w:p w14:paraId="772772D9" w14:textId="77777777" w:rsidR="00702F8A" w:rsidRPr="00640820" w:rsidRDefault="00702F8A"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Batang" w:hAnsi="Times New Roman"/>
          <w:color w:val="000000" w:themeColor="text1"/>
          <w:sz w:val="16"/>
          <w:szCs w:val="16"/>
          <w:lang w:eastAsia="ru-RU"/>
        </w:rPr>
        <w:t>4.Обязать НКАП (т.Шахурина) частично восстановить на площади эвакуированного Подольского завода НКТП про</w:t>
      </w:r>
      <w:r w:rsidRPr="00640820">
        <w:rPr>
          <w:rFonts w:ascii="Times New Roman" w:eastAsia="Batang" w:hAnsi="Times New Roman"/>
          <w:color w:val="000000" w:themeColor="text1"/>
          <w:sz w:val="16"/>
          <w:szCs w:val="16"/>
          <w:lang w:eastAsia="ru-RU"/>
        </w:rPr>
        <w:softHyphen/>
        <w:t>изводство бронекорпусов Ил-2 и сообщить к 5.1.42г. в ГКО о сроках выпуска этих корпусов.</w:t>
      </w:r>
    </w:p>
    <w:p w14:paraId="3F6DE54B" w14:textId="77777777" w:rsidR="00702F8A" w:rsidRPr="00640820" w:rsidRDefault="00702F8A" w:rsidP="00640820">
      <w:pPr>
        <w:spacing w:after="0" w:line="240" w:lineRule="auto"/>
        <w:jc w:val="both"/>
        <w:rPr>
          <w:rFonts w:ascii="Times New Roman" w:hAnsi="Times New Roman"/>
          <w:color w:val="000000" w:themeColor="text1"/>
          <w:sz w:val="16"/>
          <w:szCs w:val="16"/>
        </w:rPr>
      </w:pPr>
      <w:r w:rsidRPr="00640820">
        <w:rPr>
          <w:rFonts w:ascii="Times New Roman" w:eastAsia="Batang" w:hAnsi="Times New Roman"/>
          <w:color w:val="000000" w:themeColor="text1"/>
          <w:sz w:val="16"/>
          <w:szCs w:val="16"/>
          <w:lang w:eastAsia="ru-RU"/>
        </w:rPr>
        <w:t>5.Обязать НКТП - т.Малышева передать НКАП Подоль</w:t>
      </w:r>
      <w:r w:rsidRPr="00640820">
        <w:rPr>
          <w:rFonts w:ascii="Times New Roman" w:eastAsia="Batang" w:hAnsi="Times New Roman"/>
          <w:color w:val="000000" w:themeColor="text1"/>
          <w:sz w:val="16"/>
          <w:szCs w:val="16"/>
          <w:lang w:eastAsia="ru-RU"/>
        </w:rPr>
        <w:softHyphen/>
        <w:t>ский завод (вместе с программой на военные заказы) по состоянию на 15 декабря 1941г. со всеми производствен</w:t>
      </w:r>
      <w:r w:rsidRPr="00640820">
        <w:rPr>
          <w:rFonts w:ascii="Times New Roman" w:eastAsia="Batang" w:hAnsi="Times New Roman"/>
          <w:color w:val="000000" w:themeColor="text1"/>
          <w:sz w:val="16"/>
          <w:szCs w:val="16"/>
          <w:lang w:eastAsia="ru-RU"/>
        </w:rPr>
        <w:softHyphen/>
        <w:t>ными .вспомогательными,</w:t>
      </w:r>
      <w:r w:rsidR="008E0D32" w:rsidRPr="00640820">
        <w:rPr>
          <w:rFonts w:ascii="Times New Roman" w:eastAsia="Batang" w:hAnsi="Times New Roman"/>
          <w:color w:val="000000" w:themeColor="text1"/>
          <w:sz w:val="16"/>
          <w:szCs w:val="16"/>
          <w:lang w:eastAsia="ru-RU"/>
        </w:rPr>
        <w:t xml:space="preserve"> </w:t>
      </w:r>
      <w:r w:rsidRPr="00640820">
        <w:rPr>
          <w:rFonts w:ascii="Times New Roman" w:eastAsia="Batang" w:hAnsi="Times New Roman"/>
          <w:color w:val="000000" w:themeColor="text1"/>
          <w:sz w:val="16"/>
          <w:szCs w:val="16"/>
          <w:lang w:eastAsia="ru-RU"/>
        </w:rPr>
        <w:t>жилыми помещениями и находящимся на заводе оборудованием (19296).</w:t>
      </w:r>
    </w:p>
    <w:p w14:paraId="76024ED3" w14:textId="77777777" w:rsidR="00702F8A" w:rsidRPr="00640820" w:rsidRDefault="00702F8A" w:rsidP="00640820">
      <w:pPr>
        <w:autoSpaceDE w:val="0"/>
        <w:autoSpaceDN w:val="0"/>
        <w:adjustRightInd w:val="0"/>
        <w:spacing w:after="0" w:line="240" w:lineRule="auto"/>
        <w:jc w:val="both"/>
        <w:rPr>
          <w:rFonts w:ascii="Times New Roman" w:hAnsi="Times New Roman"/>
          <w:color w:val="000000" w:themeColor="text1"/>
          <w:sz w:val="16"/>
          <w:szCs w:val="16"/>
        </w:rPr>
      </w:pPr>
    </w:p>
    <w:p w14:paraId="5196FA06" w14:textId="77777777" w:rsidR="008E0D32" w:rsidRPr="00640820" w:rsidRDefault="008E0D32"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shd w:val="clear" w:color="auto" w:fill="FFFFFF"/>
        </w:rPr>
        <w:t>25 декабря 1941 года в соответствии с Постановлением ГКО за № ГОКО-1065сс об организации специализированных заводов по производству бронекорпусов для самолетов ИЛ-2 и бронезащиты в 21.12.41 г. завод № 125 (Подольский машиностроительный завод, котолрый в 1931 году был преобразован в Крекинг-электростроительный) был передан из НКТП в НКАП) (19584).</w:t>
      </w:r>
    </w:p>
    <w:p w14:paraId="28029E4F" w14:textId="77777777" w:rsidR="008E0D32" w:rsidRPr="00640820" w:rsidRDefault="008E0D32" w:rsidP="00640820">
      <w:pPr>
        <w:spacing w:after="0" w:line="240" w:lineRule="auto"/>
        <w:jc w:val="both"/>
        <w:rPr>
          <w:rFonts w:ascii="Times New Roman" w:hAnsi="Times New Roman"/>
          <w:color w:val="000000" w:themeColor="text1"/>
          <w:sz w:val="16"/>
          <w:szCs w:val="16"/>
        </w:rPr>
      </w:pPr>
    </w:p>
    <w:p w14:paraId="0780064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декабря 1941 года вышло Постановление ГКО за № ГОКО-1065сс об организации специализированных заводов по производству бронекорпусов для самолетов ИЛ-2 и бронезащиты, которое обязало НКТП передать НКАП принять заводы № 125 в Подольске и Куйбышевский механический завод в Куйбышеве.</w:t>
      </w:r>
    </w:p>
    <w:p w14:paraId="557DB9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Указанным постановлением ГОКО № 1065сс от 25 декабря 1941 года Засульский назначен директором Куйбышевского завода с освобождением его от работы НКтанкопроме.</w:t>
      </w:r>
    </w:p>
    <w:p w14:paraId="53505EF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свете постановления ГОКО от 25 декабря 1941 года за № 1065сс НКтанкопрома от 27 декабря 1941 года в своем приказе № 79Мсс обязал зам. начальника 3-го гл. управления НКТП Рывина и директора Куйбышевского механического завода Коневского передать Куйбышевский механический завод по производству бронекорпусов ИЛ-2 и бронезащиты самолетов.</w:t>
      </w:r>
    </w:p>
    <w:p w14:paraId="4D5780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НКАП в своем приказе от 31 декабря 1941 года за № 1195сс обязал вновь назначенного решением ГКО директора Куйбышевского механического завода Засульского принять завод от НКтанкопрома и организовать производство бронекорпусов для самолетов ИЛ-2 и другой бронезащиты.</w:t>
      </w:r>
    </w:p>
    <w:p w14:paraId="30E1AC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Указанным приказом Куйбышевскому механическому заводу присвоен № 207 с подчинением 10-му гл. управлению. В 1942 году в основном была направлена на строительство новых цехов и монтажэвакуированного обррудования из Подольского завода № 125 им. Орджоникидзе.</w:t>
      </w:r>
    </w:p>
    <w:p w14:paraId="5C9B74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Первоначальная специализация завода № 207 – производство бронекорпусов для самолетов штурмовиков и бронезащиты для истребительной и бомбардировочной авиации.</w:t>
      </w:r>
    </w:p>
    <w:p w14:paraId="52C07A3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в 1942 году вел работу по сборке бронекорпусов Л-2 из деталей поступивших при эвакуации бывщ. Подольского завода № 125, а со второго квартала 1942 года постепенно переключался на выпуск бронекорпусов из деталей своего производства.</w:t>
      </w:r>
    </w:p>
    <w:p w14:paraId="3D1D08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Заводом освоено производство по изготовлению бронекорпусов ИЛ-2, бронезащиты (ПЕ-2, ИЛ-4/ДБ-3Ф, А-35 (ПС-84), А-34, ЛАГГ-3, ЯК-1Б, ТБ-7 и АБ-5). В 1942 году завод провел большую опытно-исследовательскую работу по повышению пулестойкости брони.</w:t>
      </w:r>
    </w:p>
    <w:p w14:paraId="1DD897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Изучено действие бронебойно-зажигательно-трассирующих пуль немецкого авиапулемета-пушки МГ-151 (калибра 15-20 мм) и разработаны параметры экранированной брони защищающей экипаж самолета от огня этого пулемета-пушки, являющегося основным оружием немецкой истребительной авиации. В 1943 году освоил выпуск изделий авиатехники по обеспечению ВВС бронекорпусами ИЛ-2 новой конструкции и бронезащиты (ПЕ-2, ИЛ-4, ПЕ-8, ЛИ-2, А-34-ЯК-1, ЛАГГ-3, ЛА-5, бронеколпаки АВ-5, кольца ВУБ-3 и бронекорзины.</w:t>
      </w:r>
    </w:p>
    <w:p w14:paraId="1928F2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Основные изделия 1944 года: бронекорпуса ИЛ-2 и ИЛ-10, бронезащита (ПЕ-2, ПЕ-2-И, ИЛ-4, ЕР-2, ЛИ-2(А-35), ЯК-1, ЛА-5, ЛАГГ_5, А-34, ЯК-3 плита ИЛ-2. В 1944 году завод освоил серийный выпуск нового объекта-бронекорпуса ИЛ-10. Выпуск бронекорпуса ИЛ-2 с 1 января 1945 года был прекращен.</w:t>
      </w:r>
    </w:p>
    <w:p w14:paraId="52FB151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Согласно Постановлению СНК от 22 октября 1945 года за № 15248рс и приказу НКАП от 29 октября 1945 года за № 416с произведено слияние Куйбышевский авиационных заводов №№ 207 и 305, присвоив объединенному заводу № 207.</w:t>
      </w:r>
    </w:p>
    <w:p w14:paraId="056585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Продукция 1945 года: бронекорпуса ИЛ-2 и ИЛ-10, бронезащита ПЕ-2, ЕР-2, ИЛ-4, ЯК-3, ЛА-5, А-34, ПЕ-2-И-М и нижний люк ИЛ-2.</w:t>
      </w:r>
    </w:p>
    <w:p w14:paraId="22BD62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обеспечения серийного выпуска заводом № 1 им. Сталина двухмоторного бомбардировщика ТУ-2 с мотором АМ-39фи Постановлением ГКО от 6 июня 1945 года за № 8934сс и приказу НКАП от 28 июня 1945 года за № 268сс завод освоил производство бронезащиты ТУ-2.</w:t>
      </w:r>
    </w:p>
    <w:p w14:paraId="566734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этого завод приступил к осовению производства новой конструкции бронекорпуса ИЛ-16.</w:t>
      </w:r>
    </w:p>
    <w:p w14:paraId="506789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Филиалом завода изготовлялось более 50 наименований арматуры и нормалей для самолетов ТУ-2, ЛИ-2 и др. В 1945 году завод освоил по оборонной продукции новый бронекорпус ИЛ-16 для завода № 30 НКАП, бронезащиту для самолетов ТУ-2, бронезащиту ПЕ-2 и ПЕ-2м, освоено производство дюралевых деталей для бронекорпусов ИЛ-2, ИЛ-10 и Ил-16 ранее поставлявшихся с заводов №№ 1 и 18. В 1945 году создан и освоен принципиально новый тип брони, так называемая экранированная броня. Путем анализа взаимодействия снаряда и брони удалось найти такое сочетание параметров брони, при котором дробящий эффект брони возрастает в 8-15 раз, а следовательно и толщина брони необходимая для разрушения снаряда может быть взята в 3-4 раза меньше. В 1947 году во исполнение Постановления СМ от 2 августа 1947 года за № 2733-859сс и приказу МАП от 7 августа 1947 года за № 532сс заводу было предложено освоить изготовление реактивных камер для реактивного двигателя РД-20.</w:t>
      </w:r>
    </w:p>
    <w:p w14:paraId="2F1690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Согласно распоряжению СМ от 3 февраля 1948 года за № 1090рс и приказу МАП от 1 марта 1948 года за № 98с об организации завода авиационной арматуры и опытного КБ на этом же заводе, бывш. филиал из состава завода № 207 выделить в самостоятельный завод и присвоить ему № 305, создав на базе завода № 305 ОКБ присвоив ему № 305.</w:t>
      </w:r>
    </w:p>
    <w:p w14:paraId="0FAB56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 дня организации завода № 207 согласно Постановлению ГКО от 25 декабря 1941 года за № 1065сс диреткором завода назначен Засульский В.И.. Приказом от 17 сентября 1946 года Засульский И.В. был освобожден от занимаемой должности директора завода. 17 сентября 1946 года директором завода был назначен Дубовиков Б.А. 5 июля 1952 года Дубовиков был освобожден от занимаемой должности. 5 июля 1952 года директором завода назначен Прилуков А.С., освобожденный от обязанностей директора на заводе № 305 МАП. 7 октября 1954 года Прилуков освобожден от должности директора. 7 октября 1954 года директором завода назначен Плоскинный А.Г., освобожденный от обязанностей директора на заводе № 511 МАП. 11 апреля 1957 года Плоскинный освобожден от обязанностей директора завода. 11 апреля 1957 года директором завода назначен Белослудцев И.П., освобожденный от обязанностей начальника производства на заводе № 18 МАП.</w:t>
      </w:r>
    </w:p>
    <w:p w14:paraId="3B160B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Куйбышев</w:t>
      </w:r>
    </w:p>
    <w:p w14:paraId="57D6A4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Производственный профиль – изготовление ракетной техники, реактивного вооружения и броневой защиты для самолетов (9851).</w:t>
      </w:r>
    </w:p>
    <w:p w14:paraId="606826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688DC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декабря 1941 вышло постановление ГКО N 1065сс о восстановлении на площади эвакуированного в Подольске производства бронекорпусов для Ил-2 и для организации производства бронекорпусов Ил-2 на площади механического завода Особого строительства в г. Куйбышеве (1327,125).</w:t>
      </w:r>
    </w:p>
    <w:p w14:paraId="1B7186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D4E264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декабря 1941 Постановлением ГКО в Подольске на площади выехавшего в тыл машиностроитель</w:t>
      </w:r>
      <w:r w:rsidRPr="00640820">
        <w:rPr>
          <w:rFonts w:ascii="Times New Roman" w:hAnsi="Times New Roman"/>
          <w:color w:val="000000" w:themeColor="text1"/>
          <w:sz w:val="16"/>
          <w:szCs w:val="16"/>
        </w:rPr>
        <w:softHyphen/>
        <w:t>ного завода им. Орджоникидзе создавался завод № 125 по про</w:t>
      </w:r>
      <w:r w:rsidRPr="00640820">
        <w:rPr>
          <w:rFonts w:ascii="Times New Roman" w:hAnsi="Times New Roman"/>
          <w:color w:val="000000" w:themeColor="text1"/>
          <w:sz w:val="16"/>
          <w:szCs w:val="16"/>
        </w:rPr>
        <w:softHyphen/>
        <w:t>изводству бронекорпусов для Ил-2. Такой же завод под № 207 организовывался и в Куйбышеве на базе механического завода Особого Строительства. Его основу составил эвакуированный в тыл коллектив подольского завода.</w:t>
      </w:r>
    </w:p>
    <w:p w14:paraId="6A1EE1D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Поначалу сборка бронекорпусов производилась из задела, вывезенного из Ленинграда и Подольска. Затем выпуск тонких броневых листов был налажен на Новокузнецком металлурги</w:t>
      </w:r>
      <w:r w:rsidRPr="00640820">
        <w:rPr>
          <w:rFonts w:ascii="Times New Roman" w:hAnsi="Times New Roman"/>
          <w:color w:val="000000" w:themeColor="text1"/>
          <w:sz w:val="16"/>
          <w:szCs w:val="16"/>
        </w:rPr>
        <w:softHyphen/>
        <w:t>ческом заводе НКЧермета (11474,251).</w:t>
      </w:r>
    </w:p>
    <w:p w14:paraId="3DCA8E3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BE5B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декабря 1941 Постановлением ГКО в Подольске на площади выехавшего в тыл машиностроительного завода им. Орджоникидзе создавался завод № 125 по производству бронекорпусов для Ил-2. Такой же завод под №207 организовывался и в Куйбышеве на базе механического завода Особого Строительства. Его основу составил эвакуированный в тыл коллектив подольского завода.</w:t>
      </w:r>
    </w:p>
    <w:p w14:paraId="07C251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Поначалу сборка бронекорпусов производилась из задела, вывезенного из Ленинграда и Подольска. Затем выпуск тонких броневых листов был налажен на Новокузнецком металлургическом заводе НКЧермета (12020).</w:t>
      </w:r>
    </w:p>
    <w:p w14:paraId="44B7A7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03B13B6" w14:textId="77777777" w:rsidR="00313A9E" w:rsidRPr="00640820" w:rsidRDefault="00313A9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25 декабря 1941 г.</w:t>
      </w:r>
    </w:p>
    <w:p w14:paraId="456FF68C" w14:textId="77777777" w:rsidR="00313A9E" w:rsidRPr="00640820" w:rsidRDefault="00313A9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xml:space="preserve">ПОСТАНОВЛЕНИЕ СГКО № 149 О ХОДЕ ВЫПОЛНЕНИЯ ПРОГРАММЫ ПО БРОНЕКОРПУСАМ ИЛ-2 И БРОНЕСПИНКАМ НА ЗАВОДЕ № 264 (Доклад, тт. Зернов, Уркин) </w:t>
      </w:r>
    </w:p>
    <w:p w14:paraId="735232FF" w14:textId="77777777" w:rsidR="00313A9E" w:rsidRPr="00640820" w:rsidRDefault="00313A9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149</w:t>
      </w:r>
      <w:r w:rsidRPr="00640820">
        <w:rPr>
          <w:rFonts w:ascii="Times New Roman" w:hAnsi="Times New Roman"/>
          <w:color w:val="0070C0"/>
          <w:sz w:val="16"/>
          <w:szCs w:val="16"/>
        </w:rPr>
        <w:tab/>
        <w:t>25 декабря 1941 г.</w:t>
      </w:r>
    </w:p>
    <w:p w14:paraId="337B4E2F" w14:textId="77777777" w:rsidR="00313A9E" w:rsidRPr="00640820" w:rsidRDefault="00313A9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гор. Сталинград</w:t>
      </w:r>
    </w:p>
    <w:p w14:paraId="1C732A22" w14:textId="77777777" w:rsidR="00313A9E" w:rsidRPr="00640820" w:rsidRDefault="00313A9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Городской Комитет Обороны отмечает невыполнение заводом № 264 программы по производству бронекорпусов ИЛ-2 и бронеспинкам, установленной Государственным Комитетом Обороны на октябрь, ноябрь и декабрь месяцы.</w:t>
      </w:r>
    </w:p>
    <w:p w14:paraId="092411A7" w14:textId="77777777" w:rsidR="00313A9E" w:rsidRPr="00640820" w:rsidRDefault="00313A9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На 24 декабря 1941 г. декабрьская программа выполнена по ИЛ-2 — на 28%, по бронеспинкам «ПЕ-2» — на 16,3%, «ДБ-ЗФ» — на 52,6%, «А-61» — на 43%, «А-34» — на 29,2% «А-33» — на 34,3% и «ЛАГГ-3» — на 60%.</w:t>
      </w:r>
    </w:p>
    <w:p w14:paraId="47C5E917" w14:textId="77777777" w:rsidR="00313A9E" w:rsidRPr="00640820" w:rsidRDefault="00313A9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lastRenderedPageBreak/>
        <w:t>Такое выполнение программы объясняется прежде всего тем, что партийное и хозяйственное руководство завода неудовлетворительно занималось работой цеха № 300, вследствие чего в цехе организация производства находится на низком уровне. В цехе до последнего времени нет отработанного технологического процесса, особенно по термической обработке деталей, слабо поставлено планирование и учет деталей, имеется большой процент брака по деталям корпуса, доходящий до 8—12%, а бронекорпусам — до 15—20%.</w:t>
      </w:r>
    </w:p>
    <w:p w14:paraId="0E8C04C1" w14:textId="77777777" w:rsidR="00313A9E" w:rsidRPr="00640820" w:rsidRDefault="00313A9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Невыполнение программы объясняется также и тем, что 264 завод, получив увеличенную программу за счет снятия ее с Ижорского и Кировского заводов, до настоящего времени не получил предназначавшегося ему оборудования с указанных заводов.</w:t>
      </w:r>
    </w:p>
    <w:p w14:paraId="2C9F1B15" w14:textId="77777777" w:rsidR="00313A9E" w:rsidRPr="00640820" w:rsidRDefault="00313A9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На невыполнении программы сказался также большой простой оборудования и производственных рабочих по цеху-300.</w:t>
      </w:r>
    </w:p>
    <w:p w14:paraId="6EDECC98" w14:textId="77777777" w:rsidR="00313A9E" w:rsidRPr="00640820" w:rsidRDefault="00313A9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Придавая особое значение производству бронекорпусов ИЛ-2 и бронеспинок на заводе № 264, городской Комитет Обороны постановляет:</w:t>
      </w:r>
    </w:p>
    <w:p w14:paraId="745BC67F" w14:textId="77777777" w:rsidR="00313A9E" w:rsidRPr="00640820" w:rsidRDefault="00313A9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 Обязать директора завода № 264 тов. Зернова, главного инженера тов. Кордунера и парторга ЦК ВКП(б) на заводе, секретаря парткома завода тов. Тишкина принять немедленно меры к выполнению декабрьской программы по бронеспинкам, по корпусам ИЛ-2, довести выпуск до 10 шт. ежедневно и создать условия к наращиванию мощностей для обеспечения январской программы.</w:t>
      </w:r>
    </w:p>
    <w:p w14:paraId="7FDAE9E6" w14:textId="77777777" w:rsidR="00313A9E" w:rsidRPr="00640820" w:rsidRDefault="00313A9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 Предложить директору завода тов. Зернову и главному инженеру тов. Кордунеру закончить корректировку технологического процесса по термической обработке, упорядочить систему планирования и учета деталей.</w:t>
      </w:r>
    </w:p>
    <w:p w14:paraId="0C4C0ED3" w14:textId="77777777" w:rsidR="00313A9E" w:rsidRPr="00640820" w:rsidRDefault="00313A9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Не позже 1 января 1942 г. сдать в эксплуатацию мостовой кран в цехе № 300 и до 15 января 1942 г. изыскать возможности усиления кранового хозяйства цеха передвижным краном, а также расширить производственную площадь за счет пристройки пролета до 15 марта 1942 г.</w:t>
      </w:r>
    </w:p>
    <w:p w14:paraId="5CE16847" w14:textId="77777777" w:rsidR="00313A9E" w:rsidRPr="00640820" w:rsidRDefault="00313A9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3. Просить Государственный Комитет Обороны рассмотреть вопрос о возможности подачи корпусов ИЛ-2 с завода № 264 на авиазаводы в разобранном виде, с окончательной пригонкой и сборкой всех деталей корпуса, т. к. это дает возможность увеличить производственные возможности цеха № 300 завода № 264 на 20—25% за счет разгрузки производственных площадей и, кроме того, значительно сокращает использование железнодорожного подвижного состава для переброски корпусов в сборке.</w:t>
      </w:r>
    </w:p>
    <w:p w14:paraId="4E6A4B67" w14:textId="77777777" w:rsidR="00313A9E" w:rsidRPr="00640820" w:rsidRDefault="00313A9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4. Просить наркома авиапрома тов. Шахурина рассмотреть номенклатуру бронеспинок и максимально ее сократить путем унифицирования деталей и самих спинок.</w:t>
      </w:r>
    </w:p>
    <w:p w14:paraId="5EDB7F90" w14:textId="77777777" w:rsidR="00313A9E" w:rsidRPr="00640820" w:rsidRDefault="00313A9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Просить наркома авиапрома также принять необходимые меры к своевременной и полной поставке заводу дюралевых деталей.</w:t>
      </w:r>
    </w:p>
    <w:p w14:paraId="25B9ACA7" w14:textId="77777777" w:rsidR="00313A9E" w:rsidRPr="00640820" w:rsidRDefault="00313A9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5. Поставить вопрос перед Наркомавиапромом о необходимости перехода в производстве бронеспинок с цементитовой стали на гомогенную.</w:t>
      </w:r>
    </w:p>
    <w:p w14:paraId="5F214760" w14:textId="77777777" w:rsidR="00313A9E" w:rsidRPr="00640820" w:rsidRDefault="00313A9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По вопросу сокращения номенклатуры бронеспинок и перехода на гомогенную сталь в изготовлении бронеспинок поручить тт. Зернову и Чуянову подготовить докладную записку на имя Государственного Комитета Обороны и Наркомавиапрома.</w:t>
      </w:r>
    </w:p>
    <w:p w14:paraId="1ABC1D5F" w14:textId="77777777" w:rsidR="00313A9E" w:rsidRPr="00640820" w:rsidRDefault="00313A9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6. Обязать секретаря горкома ВКП(б) по машиностроению тов. Татарникова и парторга ЦК ВКП(б) на заводе № 264 тов. Тишкина принять меры к улучшению постановки партийно-политической работы в цехе № 300 и установить систематический контроль за выполнением установленной заводу Государственным Комитетом Обороны программы производства бронекорпусов ИЛ-2 и бронеспинок.</w:t>
      </w:r>
    </w:p>
    <w:p w14:paraId="3DBF83C7" w14:textId="77777777" w:rsidR="00313A9E" w:rsidRPr="00640820" w:rsidRDefault="00313A9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7. Обязать Кировский райком ВКП(б) оказывать повседневную помощь парторганизации 264 завода и особенно в деле постановки общественного питания (20524).</w:t>
      </w:r>
    </w:p>
    <w:p w14:paraId="772F40F5" w14:textId="77777777" w:rsidR="00313A9E" w:rsidRPr="00640820" w:rsidRDefault="00313A9E" w:rsidP="00640820">
      <w:pPr>
        <w:spacing w:after="0" w:line="240" w:lineRule="auto"/>
        <w:jc w:val="both"/>
        <w:rPr>
          <w:rFonts w:ascii="Times New Roman" w:hAnsi="Times New Roman"/>
          <w:color w:val="0070C0"/>
          <w:sz w:val="16"/>
          <w:szCs w:val="16"/>
        </w:rPr>
      </w:pPr>
    </w:p>
    <w:p w14:paraId="5493C1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декабря 1941 года началось испытание первого мотора АМ-38, выпущенного заводом № 24 в Куйбышеве.</w:t>
      </w:r>
    </w:p>
    <w:p w14:paraId="437173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период с 1942 по 1944 гг. заводом выпускались следующие 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2268"/>
        <w:gridCol w:w="2198"/>
        <w:gridCol w:w="2196"/>
      </w:tblGrid>
      <w:tr w:rsidR="00643896" w:rsidRPr="00640820" w14:paraId="47A57CF0" w14:textId="77777777" w:rsidTr="000D3BCB">
        <w:tc>
          <w:tcPr>
            <w:tcW w:w="2235" w:type="dxa"/>
          </w:tcPr>
          <w:p w14:paraId="727758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Объекты</w:t>
            </w:r>
          </w:p>
        </w:tc>
        <w:tc>
          <w:tcPr>
            <w:tcW w:w="2268" w:type="dxa"/>
          </w:tcPr>
          <w:p w14:paraId="678837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1942 год</w:t>
            </w:r>
          </w:p>
        </w:tc>
        <w:tc>
          <w:tcPr>
            <w:tcW w:w="2198" w:type="dxa"/>
          </w:tcPr>
          <w:p w14:paraId="6FCD89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1943 год</w:t>
            </w:r>
          </w:p>
        </w:tc>
        <w:tc>
          <w:tcPr>
            <w:tcW w:w="2196" w:type="dxa"/>
          </w:tcPr>
          <w:p w14:paraId="3B18F6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1944 год</w:t>
            </w:r>
          </w:p>
        </w:tc>
      </w:tr>
      <w:tr w:rsidR="00643896" w:rsidRPr="00640820" w14:paraId="696D61CD" w14:textId="77777777" w:rsidTr="000D3BCB">
        <w:tc>
          <w:tcPr>
            <w:tcW w:w="2235" w:type="dxa"/>
          </w:tcPr>
          <w:p w14:paraId="32B6DFF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АМ-35А</w:t>
            </w:r>
          </w:p>
        </w:tc>
        <w:tc>
          <w:tcPr>
            <w:tcW w:w="2268" w:type="dxa"/>
          </w:tcPr>
          <w:p w14:paraId="2CBA42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173</w:t>
            </w:r>
          </w:p>
        </w:tc>
        <w:tc>
          <w:tcPr>
            <w:tcW w:w="2198" w:type="dxa"/>
          </w:tcPr>
          <w:p w14:paraId="008964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202</w:t>
            </w:r>
          </w:p>
        </w:tc>
        <w:tc>
          <w:tcPr>
            <w:tcW w:w="2196" w:type="dxa"/>
          </w:tcPr>
          <w:p w14:paraId="31D23C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09C4DAE1" w14:textId="77777777" w:rsidTr="000D3BCB">
        <w:tc>
          <w:tcPr>
            <w:tcW w:w="2235" w:type="dxa"/>
          </w:tcPr>
          <w:p w14:paraId="244DF5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АМ-38</w:t>
            </w:r>
          </w:p>
        </w:tc>
        <w:tc>
          <w:tcPr>
            <w:tcW w:w="2268" w:type="dxa"/>
          </w:tcPr>
          <w:p w14:paraId="5DC9D0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7832</w:t>
            </w:r>
          </w:p>
        </w:tc>
        <w:tc>
          <w:tcPr>
            <w:tcW w:w="2198" w:type="dxa"/>
          </w:tcPr>
          <w:p w14:paraId="2242BE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2196" w:type="dxa"/>
          </w:tcPr>
          <w:p w14:paraId="7584FC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8AF3447" w14:textId="77777777" w:rsidTr="000D3BCB">
        <w:tc>
          <w:tcPr>
            <w:tcW w:w="2235" w:type="dxa"/>
          </w:tcPr>
          <w:p w14:paraId="600DB0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АМ38Ф</w:t>
            </w:r>
          </w:p>
        </w:tc>
        <w:tc>
          <w:tcPr>
            <w:tcW w:w="2268" w:type="dxa"/>
          </w:tcPr>
          <w:p w14:paraId="084636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377</w:t>
            </w:r>
          </w:p>
        </w:tc>
        <w:tc>
          <w:tcPr>
            <w:tcW w:w="2198" w:type="dxa"/>
          </w:tcPr>
          <w:p w14:paraId="08AFF7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10584</w:t>
            </w:r>
          </w:p>
        </w:tc>
        <w:tc>
          <w:tcPr>
            <w:tcW w:w="2196" w:type="dxa"/>
          </w:tcPr>
          <w:p w14:paraId="61B35A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10330</w:t>
            </w:r>
          </w:p>
        </w:tc>
      </w:tr>
      <w:tr w:rsidR="00643896" w:rsidRPr="00640820" w14:paraId="46AD0517" w14:textId="77777777" w:rsidTr="000D3BCB">
        <w:tc>
          <w:tcPr>
            <w:tcW w:w="2235" w:type="dxa"/>
          </w:tcPr>
          <w:p w14:paraId="34755E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ГАМ-34ВС</w:t>
            </w:r>
          </w:p>
        </w:tc>
        <w:tc>
          <w:tcPr>
            <w:tcW w:w="2268" w:type="dxa"/>
          </w:tcPr>
          <w:p w14:paraId="15B3BB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w:t>
            </w:r>
          </w:p>
        </w:tc>
        <w:tc>
          <w:tcPr>
            <w:tcW w:w="2198" w:type="dxa"/>
          </w:tcPr>
          <w:p w14:paraId="2B1D05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196" w:type="dxa"/>
          </w:tcPr>
          <w:p w14:paraId="13733B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17EAC1E" w14:textId="77777777" w:rsidTr="000D3BCB">
        <w:tc>
          <w:tcPr>
            <w:tcW w:w="2235" w:type="dxa"/>
          </w:tcPr>
          <w:p w14:paraId="76A913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АМ-42</w:t>
            </w:r>
          </w:p>
        </w:tc>
        <w:tc>
          <w:tcPr>
            <w:tcW w:w="2268" w:type="dxa"/>
          </w:tcPr>
          <w:p w14:paraId="4F4AEA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2198" w:type="dxa"/>
          </w:tcPr>
          <w:p w14:paraId="081022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w:t>
            </w:r>
          </w:p>
        </w:tc>
        <w:tc>
          <w:tcPr>
            <w:tcW w:w="2196" w:type="dxa"/>
          </w:tcPr>
          <w:p w14:paraId="6DFB01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501</w:t>
            </w:r>
          </w:p>
        </w:tc>
      </w:tr>
    </w:tbl>
    <w:p w14:paraId="039DC9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1945 года по 1949 год заводом производился выпуск мотора АМ-42 с дальнейшим его совершенствованием, повышения ресурса и надежности в эксплуатации.</w:t>
      </w:r>
    </w:p>
    <w:p w14:paraId="5747FB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Куйбышев, Кировский район, п/я 32</w:t>
      </w:r>
    </w:p>
    <w:p w14:paraId="7F9112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Производственный профиль – авиадвигателестроение. В мае 1949 года Правительство приняло решение об организации на заводе производства реактивных двигателей ВК-1 конструкции Климова. Госиспытание двигателя ВК-1 было сдано в январе 1950 года. В 1951 и 1952 гг. завод выпускал двигатели ВК-1 и АМ-42 (9755).</w:t>
      </w:r>
    </w:p>
    <w:p w14:paraId="7B860CE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0A8D6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декабря 1941 Федоров в качестве начальника НИИ ВВС писал зам. НКАП А.С.Я письмо о том, что у серийных истребителей Як-1, ЛаГГ-3 и МиГ-3, принятых на вооружение в 1940 к началу 1942 летные данные не выросли, а снизились и они уступают немецким.</w:t>
      </w:r>
    </w:p>
    <w:p w14:paraId="48453F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Серийные с-ты-истребители Як-1 М-105П, ЛаГГ-3 М-105П и МиГ-3 АМ-35 были приняты на вооружение ВВС КА в 1940 г. К началу 1942 1940 к началу 1942 летные данные не выросли, а даже снизились.</w:t>
      </w:r>
    </w:p>
    <w:p w14:paraId="23AE7B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Опытный с-т МиГ-3 имел мкс. Скорость у земли 486 км/час и на гр. высотности 7200 м - 628 км/час. Серийный с-т по выходе с предприятия имеет макс. скорость 469 км/час и на высоте 7800 615 км/час.</w:t>
      </w:r>
    </w:p>
    <w:p w14:paraId="77B8AB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ЛаГГ-3 М-105П (седьмая серия) по сравнению с опытным с-том снизил макс. скорость у земли на 41 км/час, а на высоте 5000 м - на 56 км/час. Проведенные ГК С.А.Л. меры по улучшению аэродинамики и облегчению веса по данным заводских испытапний (завод № 21) с полностью закрытыми заслонками масло и водорадиаторов показали макс. скорость у земли 490 км/час и на 4960 м - 580 км/час, т.е. меньше, чем у опытного с-та на всоте 5000 м - на 25 км/час. </w:t>
      </w:r>
    </w:p>
    <w:p w14:paraId="02A1608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Наряду с этим, в НИИ ВВС были определены скрость макс. у земли Ме-109 с мотором ДБ-601Е выпуска первой половины 1941 г., которая равнялась 510 км/час при полетном весе 2786 кг (на с-те по сравнению с ранее выпускаемыми образцами водорадиатор прочти убран, стабилоизатор - без подкосов, крыло из трапецеыилного стало элипсовидным. Крыльевые пушки сняты и поставлена одна пушка, стреляющпая через винт, костыль - убирается и т.д.).</w:t>
      </w:r>
    </w:p>
    <w:p w14:paraId="0401FA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то же время, на с-те ЛаГГ-3 и Як-1 хвостовое колесо, убирающееся на опытном самолете, на ст-тах последних серий сделано неубирающимся, что моттивируется ненадежностью уборки. Больший вес наших с-тов-истребителей по сравнению с немецкими обуславливает их худшую скороподъемность.</w:t>
      </w:r>
    </w:p>
    <w:p w14:paraId="5B008F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 ЛаГГ-3 М-105П 7 серии с отрытыми полностью заслонками маслорадиатора имеет скорость 535 км/час на 5000 м, а Пе-2 с 2хМ-105 - 530 на той же высоте. Макс. гор. Скорость 103? С 2хАМ-37 у земли - 469, а на 7800 м - 610, т.е. 1940 к началу 1942 летные данные не выросли, а снизились и они уступают немецкимктически равна скорости МиГ-3.</w:t>
      </w:r>
    </w:p>
    <w:p w14:paraId="3F93D5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Следовательно, если отечественные бомбардировщики, по своим лтд превосходят с-ты противника, то тд наших серийных истребителей начинают отставать от немецких истребительных с-тов последних образцов.</w:t>
      </w:r>
    </w:p>
    <w:p w14:paraId="2561F5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Начатые работы по модиыикации серийных истребителей путем установки на них более мощных моторов проводятся медленно и еще не закончены. На сегодня еще нет окончательно отработанных истребителей с лд, превосходящими или хотя бы равными немецкому с-ту Ме-109.</w:t>
      </w:r>
    </w:p>
    <w:p w14:paraId="3A0766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Исходя из этого, со своей стороны считаем необходимым провести следующие мероприятия:</w:t>
      </w:r>
    </w:p>
    <w:p w14:paraId="48F28F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Срочно отработать модификации с-тов Як-1 с новым мотором</w:t>
      </w:r>
    </w:p>
    <w:p w14:paraId="1C7E3B9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Ускорить окончание испытаний ЛаГГ-3 с М-107П и М-82</w:t>
      </w:r>
    </w:p>
    <w:p w14:paraId="31C0A0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Обеспечить скорейшее проведение испытаний мотора М-107 на станке и немедленно к использованию этого мотора в воздухе на ЛаГГ-3</w:t>
      </w:r>
    </w:p>
    <w:p w14:paraId="45D122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4. Закончить полные испытания с-тов Н.Н.П. И-185 с М-82 и М-71 </w:t>
      </w:r>
    </w:p>
    <w:p w14:paraId="031516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Приложения - сравнительные данные (770,181).</w:t>
      </w:r>
    </w:p>
    <w:p w14:paraId="5B17D5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C6141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25 декабря 1941 г. из отправ</w:t>
      </w:r>
      <w:r w:rsidRPr="00640820">
        <w:rPr>
          <w:rFonts w:ascii="Times New Roman" w:hAnsi="Times New Roman"/>
          <w:color w:val="000000" w:themeColor="text1"/>
          <w:sz w:val="16"/>
          <w:szCs w:val="16"/>
        </w:rPr>
        <w:softHyphen/>
        <w:t>ленных в эвакуацию 39 814 единиц оборудования 28 114 уже были смонтированы на новом месте, а 15 773 — введены в строй и давали продукцию. Из 180 существовавших к нача</w:t>
      </w:r>
      <w:r w:rsidRPr="00640820">
        <w:rPr>
          <w:rFonts w:ascii="Times New Roman" w:hAnsi="Times New Roman"/>
          <w:color w:val="000000" w:themeColor="text1"/>
          <w:sz w:val="16"/>
          <w:szCs w:val="16"/>
        </w:rPr>
        <w:softHyphen/>
        <w:t>лу войны предприятий авиастроения функционировали 125. Остальные были законсервированы, ликвидированы или сли</w:t>
      </w:r>
      <w:r w:rsidRPr="00640820">
        <w:rPr>
          <w:rFonts w:ascii="Times New Roman" w:hAnsi="Times New Roman"/>
          <w:color w:val="000000" w:themeColor="text1"/>
          <w:sz w:val="16"/>
          <w:szCs w:val="16"/>
        </w:rPr>
        <w:softHyphen/>
        <w:t>ты с другими заводами. Всего было эвакуировано 85 % авиапредприятий, а также большое количество смежных производств. С июля по де</w:t>
      </w:r>
      <w:r w:rsidRPr="00640820">
        <w:rPr>
          <w:rFonts w:ascii="Times New Roman" w:hAnsi="Times New Roman"/>
          <w:color w:val="000000" w:themeColor="text1"/>
          <w:sz w:val="16"/>
          <w:szCs w:val="16"/>
        </w:rPr>
        <w:softHyphen/>
        <w:t>кабрь 1941 г. в эвакуацию было направлено свыше 100 авиа</w:t>
      </w:r>
      <w:r w:rsidRPr="00640820">
        <w:rPr>
          <w:rFonts w:ascii="Times New Roman" w:hAnsi="Times New Roman"/>
          <w:color w:val="000000" w:themeColor="text1"/>
          <w:sz w:val="16"/>
          <w:szCs w:val="16"/>
        </w:rPr>
        <w:softHyphen/>
        <w:t>предприятий (Самолётостроение в СССР. 1917—1945. Кн. 2. М., 1994. С. 214). Некоторые из авиазаводов проводили в пути к новым местам дислокации до 4 месяцев. Размещение на но</w:t>
      </w:r>
      <w:r w:rsidRPr="00640820">
        <w:rPr>
          <w:rFonts w:ascii="Times New Roman" w:hAnsi="Times New Roman"/>
          <w:color w:val="000000" w:themeColor="text1"/>
          <w:sz w:val="16"/>
          <w:szCs w:val="16"/>
        </w:rPr>
        <w:softHyphen/>
        <w:t>вых площадях такого большого числа промышленных объ</w:t>
      </w:r>
      <w:r w:rsidRPr="00640820">
        <w:rPr>
          <w:rFonts w:ascii="Times New Roman" w:hAnsi="Times New Roman"/>
          <w:color w:val="000000" w:themeColor="text1"/>
          <w:sz w:val="16"/>
          <w:szCs w:val="16"/>
        </w:rPr>
        <w:softHyphen/>
        <w:t>ектов столкнулось с многочисленными трудностями. При размещении на новых производственных площадках пред</w:t>
      </w:r>
      <w:r w:rsidRPr="00640820">
        <w:rPr>
          <w:rFonts w:ascii="Times New Roman" w:hAnsi="Times New Roman"/>
          <w:color w:val="000000" w:themeColor="text1"/>
          <w:sz w:val="16"/>
          <w:szCs w:val="16"/>
        </w:rPr>
        <w:softHyphen/>
        <w:t>почтение отдавалось базовым предприятиям отрасли — са</w:t>
      </w:r>
      <w:r w:rsidRPr="00640820">
        <w:rPr>
          <w:rFonts w:ascii="Times New Roman" w:hAnsi="Times New Roman"/>
          <w:color w:val="000000" w:themeColor="text1"/>
          <w:sz w:val="16"/>
          <w:szCs w:val="16"/>
        </w:rPr>
        <w:softHyphen/>
        <w:t>молетостроительным и моторостроительным заводам. Со</w:t>
      </w:r>
      <w:r w:rsidRPr="00640820">
        <w:rPr>
          <w:rFonts w:ascii="Times New Roman" w:hAnsi="Times New Roman"/>
          <w:color w:val="000000" w:themeColor="text1"/>
          <w:sz w:val="16"/>
          <w:szCs w:val="16"/>
        </w:rPr>
        <w:softHyphen/>
        <w:t>ответственно, агрегатные, приборные и вспомогательные предприятия были вынуждены размещаться по остаточному принципу — в зданиях бывших клубов, театров, учебных заведений, предприятии пищевои и лёгкой промышленности. В отдельных случаях таким заводам приходилось обживать подземные туннели, а то и вовсе развёртываться под откры</w:t>
      </w:r>
      <w:r w:rsidRPr="00640820">
        <w:rPr>
          <w:rFonts w:ascii="Times New Roman" w:hAnsi="Times New Roman"/>
          <w:color w:val="000000" w:themeColor="text1"/>
          <w:sz w:val="16"/>
          <w:szCs w:val="16"/>
        </w:rPr>
        <w:softHyphen/>
        <w:t>тым небом (Самолётостроение в СССР. 1917—1945. Кн. 2. М., 1994. С. 216). Ввиду этого для организации размещения и нала</w:t>
      </w:r>
      <w:r w:rsidRPr="00640820">
        <w:rPr>
          <w:rFonts w:ascii="Times New Roman" w:hAnsi="Times New Roman"/>
          <w:color w:val="000000" w:themeColor="text1"/>
          <w:sz w:val="16"/>
          <w:szCs w:val="16"/>
        </w:rPr>
        <w:softHyphen/>
        <w:t>живания межзаводской кооперации между авиастроительны</w:t>
      </w:r>
      <w:r w:rsidRPr="00640820">
        <w:rPr>
          <w:rFonts w:ascii="Times New Roman" w:hAnsi="Times New Roman"/>
          <w:color w:val="000000" w:themeColor="text1"/>
          <w:sz w:val="16"/>
          <w:szCs w:val="16"/>
        </w:rPr>
        <w:softHyphen/>
        <w:t>ми, авиамоторными и авиаагрегатными заводами в восточной части страны был создан специальный межотраслевой главк, в обязанности которого было вменено в контакте и взаимо</w:t>
      </w:r>
      <w:r w:rsidRPr="00640820">
        <w:rPr>
          <w:rFonts w:ascii="Times New Roman" w:hAnsi="Times New Roman"/>
          <w:color w:val="000000" w:themeColor="text1"/>
          <w:sz w:val="16"/>
          <w:szCs w:val="16"/>
        </w:rPr>
        <w:softHyphen/>
        <w:t>действии с местными органами власти обеспечить снабжение комплекса авиапредприятий всем необходимым (РГАЭ. Ф. 4372. Оп. 93. Д. 313. Л. 155) (12011).</w:t>
      </w:r>
    </w:p>
    <w:p w14:paraId="7A16FD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F075B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25 декабря 1941 вышел приказ НКАП за № 1186 года во исполнение постановления ГКО за № 1052 от 23 декабря 1941, на основании которого на территории эвакуированного завода № 28 перебазирован завод № 489 под № 27 (9521).</w:t>
      </w:r>
    </w:p>
    <w:p w14:paraId="38504A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B5269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декабря 1941 г. приказом № 1186сс в соответствии с пост. ГКО № 1052 от 23.12.1941 г. в системе ЗГУ НКАП (затем в системе 14ГУ) на площадке эвакуированного завода № 28 НКАП на базе Ремонтных мастерских образован завод № 27 (Завод № 27 НКАП, МАП, Московский машиностроительный завод (ММЗ) «Рассвет», ОАО «ММЗ «Рассвет» ФАП / г. Москва Столярный пер., 7/ /123022  г. Москва Столярный пер., 3 тел. 253-11-71/) для серийного выпуска авиавинтов ВИШ-61П. Техническая документация передана с завода № 28, оборудование- с завода № 16 НКАП. Планировалось также передать все оборудование, материалы и инструменты завода № 489 НКАП, влитого в состав завода № 16.</w:t>
      </w:r>
    </w:p>
    <w:p w14:paraId="23AFA4F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5.04.1942 г. вышло постановление ГКО № 1542 о производстве на заводе ВИШ-105П.</w:t>
      </w:r>
    </w:p>
    <w:p w14:paraId="24589D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1946 г. сюда с завода № 28 передано производство винтов АВ5-167.</w:t>
      </w:r>
    </w:p>
    <w:p w14:paraId="7692B4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15.03.1953 г. передан из 14ГУ в 2ГУ. Началось освоение новой продукции- бустеров и рулевых приводов</w:t>
      </w:r>
    </w:p>
    <w:p w14:paraId="75213E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СМ СССР № 713-342 от 26.06.1957 г. передан в ведение СНХ РСФСР.</w:t>
      </w:r>
    </w:p>
    <w:p w14:paraId="1775D9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1F2745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(2005 г.): гидравлические устройства для ЛА (приводы вращательного и поступательного действия, планетарные гидромоторы, электрогидравлические усилители и клапаны, системы дистанционного управления полетом и механизацией крыла, автономные рулевые системы).</w:t>
      </w:r>
      <w:r w:rsidRPr="00640820">
        <w:rPr>
          <w:rFonts w:ascii="Times New Roman" w:hAnsi="Times New Roman"/>
          <w:color w:val="000000" w:themeColor="text1"/>
          <w:sz w:val="16"/>
          <w:szCs w:val="16"/>
          <w:vertAlign w:val="superscript"/>
        </w:rPr>
        <w:t>101</w:t>
      </w:r>
    </w:p>
    <w:p w14:paraId="40A5B6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(01.1943 г.)- Казаков, (-02.1945-03.1946 г.-)- А.О. Казанский, (1960-е)- Савичев, (1992 г.)- Ю.М. Кириллов. Гендиректор (-2002-07 г.-)- В.Ц. Горбаткин.</w:t>
      </w:r>
    </w:p>
    <w:p w14:paraId="305653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Технический директор (2002 г.)- В.Н. Князев. Коммерческий директор (2002 г.)- Ю.Н. Ивченко.</w:t>
      </w:r>
    </w:p>
    <w:p w14:paraId="7ACDD5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СКВ (1942 г.-)- Н. Г. Никифоров.</w:t>
      </w:r>
    </w:p>
    <w:p w14:paraId="4578E9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авиационные воздушные винты: ВИШ-105П (1942); ВАБ для К-5М (1959); бустеры и рулевые приводы для МиГ-17, МиГ-19, Ту-95, ЗМ, М4, Ту-22, Ту-128, Ми-6; рулевые приводы РП67, РП83, РП84, РП92 (2005); втулки НВ для Ми-1, Ми-4; гидроусилители для Ту-114, Ту-126, агрегаты управления для МиГ-21, МиГ- 25, система изменения стреловидности крыла для МиГ-23, МиГ-27; гидроагрегаты и системы дистанционного управления для Ту-154М, Ту-204, Ил-76, Ил-86, Ил-96, Ан-124, Ан-225, Ту-22М, Ан-70, Бе-200, М-101Т, Як-42, Ту-95МС, Ту-142, Ту-160, Су-27 (2002); управляющие гидравлические устройства для дорожно-строительной техники и металлургического производства (11982).</w:t>
      </w:r>
    </w:p>
    <w:p w14:paraId="4AB058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A4B1C3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декабря 1941 вышло Постановление ГКО № 1060 О плане производства снарядов М-8 и М-13 на I квартал 1942 года. РГАНИР, Фонд ГКО, д. 17, лл. 2-6, 7-61 (11012).</w:t>
      </w:r>
    </w:p>
    <w:p w14:paraId="5E874E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7E394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декабря 1941 года принимается постановление Государственного комитета по обороне (ГКО) “О плане производства снарядов М–8 и М–13”, в январе 1942 г. — постановление “О мерах по увеличению выпуска снарядов М–13”, которыми намечались мероприятия по организации производства зарядов, в том числе и на заводе № 512. С целью совершенствования технологических процессов производства зарядов группа специалистов в составе А. Спориуса, Б. Пашкова, Ф. Хритинина, А. Гальперина и др. под руководством А. Бакаева проводила работы по созданию непрерывной высокопроизводительной технологии. Впервые в мировой практике вместо периодических гидравлических прессов были использованы в производстве порохов специальные шнековые прессы. Практически на протяжении всего военного периода заряды для М–8 и М–13 производились из пороха, разработанного в лаборатории А. Бакаева в конце 30–х годов. Дефицитные компоненты были заменены на более доступные.</w:t>
      </w:r>
    </w:p>
    <w:p w14:paraId="40BD35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Установлено, что для снарядов М-8 были использованы следующие пороховые заряды: нитроглицериновый Н (ТС-11), пироксилиновый (ТС-12), нитроглицериновый НМ (ТС34) [41] (11772).</w:t>
      </w:r>
    </w:p>
    <w:p w14:paraId="35B290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E6FD382"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декабря 1941 года принимается постановление Государственного комитета обороны “О плане производства снарядов М–8 и М–13 на I квартал 1942 года”, в январе 1942 г. — постановление “О мерах по увеличению выпуска снарядов М–13”, которыми намечались мероприятия по организации производства зарядов, в том числе и на заводе № 512. С целью совершенствования технологических процессов производства зарядов группа специалистов в составе А. Спориуса, Б. Пашкова, Ф. Хритинина, А. Гальперина и др. под руководством А. Бакаева проводила работы по созданию непрерывной высокопроизводительной технологии. Впервые в мировой практике вместо периодических гидравлических прессов были использованы в производстве порохов специальные шнековые прессы. Практически на протяжении всего военного периода заряды для М–8 и М–13 производились из пороха, разработанного в лаборатории А. Бакаева в конце 30–х годов. Дефицитные компоненты были заменены на более доступные (15981).</w:t>
      </w:r>
    </w:p>
    <w:p w14:paraId="4311E729" w14:textId="77777777" w:rsidR="00471CF3" w:rsidRPr="00640820" w:rsidRDefault="00471CF3" w:rsidP="00640820">
      <w:pPr>
        <w:spacing w:after="0" w:line="240" w:lineRule="auto"/>
        <w:jc w:val="both"/>
        <w:rPr>
          <w:rFonts w:ascii="Times New Roman" w:hAnsi="Times New Roman"/>
          <w:color w:val="000000" w:themeColor="text1"/>
          <w:sz w:val="16"/>
          <w:szCs w:val="16"/>
        </w:rPr>
      </w:pPr>
    </w:p>
    <w:p w14:paraId="20DDEDEF"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7CFD9BB9"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84C075D" w14:textId="77777777" w:rsidR="008E0D32" w:rsidRPr="00640820" w:rsidRDefault="008E0D3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25 декабря 1941 г. из перевезенных на восток 39814 единиц оборудования были смонтированы 28114, а 15773 из них уже давали промышленную продукцию. Своевременно не установленные станки изымались и передавались другим предприятиям, а виновные в этом работники подлежали уголовному преследованию (18305).</w:t>
      </w:r>
    </w:p>
    <w:p w14:paraId="07C337B5" w14:textId="77777777" w:rsidR="008E0D32" w:rsidRPr="00640820" w:rsidRDefault="008E0D32" w:rsidP="00640820">
      <w:pPr>
        <w:spacing w:after="0" w:line="240" w:lineRule="auto"/>
        <w:jc w:val="both"/>
        <w:rPr>
          <w:rFonts w:ascii="Times New Roman" w:hAnsi="Times New Roman"/>
          <w:color w:val="000000" w:themeColor="text1"/>
          <w:sz w:val="16"/>
          <w:szCs w:val="16"/>
        </w:rPr>
      </w:pPr>
    </w:p>
    <w:p w14:paraId="673CC1B7" w14:textId="77777777" w:rsidR="00CE5E8A" w:rsidRPr="00640820" w:rsidRDefault="00CE5E8A"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декабря 1941 вышло Постановление ГКО № 1066 [О расформирования Совета по эвакуации и создании Комитета разгрузки железных дорог от застрявших грузов в составе Микояна А.И. (пред.), Косыгина А.H., Кагановича л. М., Вознесенского А.Н., Хрулева А.В.] (7018, 176).</w:t>
      </w:r>
    </w:p>
    <w:p w14:paraId="20E074B4" w14:textId="77777777" w:rsidR="00CE5E8A" w:rsidRPr="00640820" w:rsidRDefault="00CE5E8A"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E9F475"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25 декабря</w:t>
      </w:r>
      <w:r w:rsidRPr="00640820">
        <w:rPr>
          <w:rFonts w:ascii="Times New Roman" w:hAnsi="Times New Roman"/>
          <w:color w:val="000000" w:themeColor="text1"/>
          <w:sz w:val="16"/>
          <w:szCs w:val="16"/>
        </w:rPr>
        <w:t xml:space="preserve"> в 1941 году вышло постановление ГКО «О расформирования Совета по эвакуации и создании Комитета разгрузки железных дорог от застрявших грузов в составе Микояна А.И. (предcедатель), Косыгина А.H., Кагановича Л.М., Вознесенского А.Н., Хрулева А.В.» - налицо проявление уверенности в том, что вермахт остановлен и одновременно признание факта хаоса на железных дорогах (14871).</w:t>
      </w:r>
    </w:p>
    <w:p w14:paraId="735408E3" w14:textId="77777777" w:rsidR="00CE5E8A" w:rsidRPr="00640820" w:rsidRDefault="00CE5E8A" w:rsidP="00640820">
      <w:pPr>
        <w:spacing w:after="0" w:line="240" w:lineRule="auto"/>
        <w:jc w:val="both"/>
        <w:rPr>
          <w:rFonts w:ascii="Times New Roman" w:hAnsi="Times New Roman"/>
          <w:color w:val="000000" w:themeColor="text1"/>
          <w:sz w:val="16"/>
          <w:szCs w:val="16"/>
        </w:rPr>
      </w:pPr>
    </w:p>
    <w:p w14:paraId="79E5EB3E" w14:textId="77777777" w:rsidR="00CE5E8A" w:rsidRPr="00640820" w:rsidRDefault="00CE5E8A"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декабря 1941 на базе аппарата ликвидированного совета по эвакуации был создан Комитету по разгрузке железных дорого от транзитных и других грузов во главе с А.И.Микояном (512,102).</w:t>
      </w:r>
    </w:p>
    <w:p w14:paraId="047E9041" w14:textId="77777777" w:rsidR="00CE5E8A" w:rsidRPr="00640820" w:rsidRDefault="00CE5E8A" w:rsidP="00640820">
      <w:pPr>
        <w:autoSpaceDE w:val="0"/>
        <w:autoSpaceDN w:val="0"/>
        <w:adjustRightInd w:val="0"/>
        <w:spacing w:after="0" w:line="240" w:lineRule="auto"/>
        <w:jc w:val="both"/>
        <w:rPr>
          <w:rFonts w:ascii="Times New Roman" w:hAnsi="Times New Roman"/>
          <w:color w:val="000000" w:themeColor="text1"/>
          <w:sz w:val="16"/>
          <w:szCs w:val="16"/>
        </w:rPr>
      </w:pPr>
    </w:p>
    <w:p w14:paraId="0670C24B"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25 декабря</w:t>
      </w:r>
      <w:r w:rsidRPr="00640820">
        <w:rPr>
          <w:rFonts w:ascii="Times New Roman" w:hAnsi="Times New Roman"/>
          <w:color w:val="000000" w:themeColor="text1"/>
          <w:sz w:val="16"/>
          <w:szCs w:val="16"/>
        </w:rPr>
        <w:t xml:space="preserve"> в 1941 году создан Комитет по разгрузке транзитных грузов (прекратил деятельность в апреле 1942 г.) в составе: А.И.Микоян (председатель), А.Н.Косыгин, Н.А.Вознесенский, А.В.Хрулев и др. </w:t>
      </w:r>
    </w:p>
    <w:p w14:paraId="2EDA5EF6" w14:textId="77777777" w:rsidR="00471CF3" w:rsidRPr="00640820" w:rsidRDefault="00471CF3" w:rsidP="00640820">
      <w:pPr>
        <w:spacing w:after="0" w:line="240" w:lineRule="auto"/>
        <w:jc w:val="both"/>
        <w:rPr>
          <w:rFonts w:ascii="Times New Roman" w:hAnsi="Times New Roman"/>
          <w:color w:val="000000" w:themeColor="text1"/>
          <w:sz w:val="16"/>
          <w:szCs w:val="16"/>
        </w:rPr>
      </w:pPr>
    </w:p>
    <w:p w14:paraId="0A79C1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декабря 1941 вышло Постановление ГКО № 1059 О т. Двинском Б.А. РГАНИР, Фонд ГКО, д. 17, лл. 1 (11012).</w:t>
      </w:r>
    </w:p>
    <w:p w14:paraId="7BF4FC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07FA9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декабря 1941 вышло Постановление ГКО № 1061 О плане производства (сдачи) боеприпасов на I квартал и январь 1942 года. РГАНИР, Фонд ГКО, д. 17, лл. 62-72, 73-169 (11012).</w:t>
      </w:r>
    </w:p>
    <w:p w14:paraId="3C91C9E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FFA75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декабря 1941 вышло Постановление ГКО № 1062 О производстве танков Т-34 и Т-60. РГАНИР, Фонд ГКО, д. 17, лл. 170 (11012).</w:t>
      </w:r>
    </w:p>
    <w:p w14:paraId="068761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2B11513" w14:textId="77777777" w:rsidR="002F5050" w:rsidRPr="00640820" w:rsidRDefault="002F505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декабря 1941 года Эвакуация завода № 260 из Владимира в Моловов, начатая в октябре 1941, была полностью закончена.</w:t>
      </w:r>
    </w:p>
    <w:p w14:paraId="2E822D28" w14:textId="77777777" w:rsidR="002F5050" w:rsidRPr="00640820" w:rsidRDefault="002F505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время ВОВ завод выпускал исключительно элементы боеприпасов, освоив их массовое производство.</w:t>
      </w:r>
    </w:p>
    <w:p w14:paraId="530B144C" w14:textId="77777777" w:rsidR="002F5050" w:rsidRPr="00640820" w:rsidRDefault="002F505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окончания ВОВ завод сократил производство элементов боеприпасов и начал освоение производства граммофона и граммофонной иглы.</w:t>
      </w:r>
    </w:p>
    <w:p w14:paraId="6B168D5C" w14:textId="77777777" w:rsidR="002F5050" w:rsidRPr="00640820" w:rsidRDefault="002F505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Согласно Постановлению СМ № 920 от 7 июля 1956 года заводу № 260 было передано велопроизводство с Горьковского автозавода (9580).</w:t>
      </w:r>
    </w:p>
    <w:p w14:paraId="5B39F5E3" w14:textId="77777777" w:rsidR="002F5050" w:rsidRPr="00640820" w:rsidRDefault="002F5050" w:rsidP="00640820">
      <w:pPr>
        <w:autoSpaceDE w:val="0"/>
        <w:autoSpaceDN w:val="0"/>
        <w:adjustRightInd w:val="0"/>
        <w:spacing w:after="0" w:line="240" w:lineRule="auto"/>
        <w:jc w:val="both"/>
        <w:rPr>
          <w:rFonts w:ascii="Times New Roman" w:hAnsi="Times New Roman"/>
          <w:color w:val="000000" w:themeColor="text1"/>
          <w:sz w:val="16"/>
          <w:szCs w:val="16"/>
        </w:rPr>
      </w:pPr>
    </w:p>
    <w:p w14:paraId="599ADBDB"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декабря 1941 года по согласованию с ГАБТУ КА и Наркомтанкопромом появилось постановление ГКО № 1062 сс, «О производстве танка Т-34 с лобовой броней толщиной 60 мм», которым предписывалось всем заводам начиная с 15 февраля 1942 года перейти на выпуск таких машин. При этом на первых порах, до освоения броневыми заводами проката толщиной 60 мм, предусматривалось проводить экранировку 15-мм броней верхнего лобового листа и башни тридцатьчетверок - первые такие машины предписывалось изготовить к 15 января 1942 года. Кроме того, завод № 183, по своей инициативе решил не позднее 20 января 1942 года начать отливки башен с толщиной стенок 60 мм, а с 1 февраля полностью перейти и на производство экранированных бронекорпусов.</w:t>
      </w:r>
    </w:p>
    <w:p w14:paraId="24F14AF5"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Однако спустя два месяца - 23 февраля 1942 года - постановлением ГКО № 1333 сс усиление брони и экранировка тридцатьчетверок отменялись. Основным аргументом были проблемы с прокатом 60 мм бронелистов и дефицитом легирующих элементов, а также то, что 50-мм противотанковых и танковых орудий, способных поразить Т-34, у немцев в то время было еще относительно немного. Тем не менее, заводы Наркомтанкопрома изготовили некоторое количество экранированных машин (12217).</w:t>
      </w:r>
    </w:p>
    <w:p w14:paraId="57D57025" w14:textId="77777777" w:rsidR="00045010" w:rsidRPr="00640820" w:rsidRDefault="00045010" w:rsidP="00640820">
      <w:pPr>
        <w:spacing w:after="0" w:line="240" w:lineRule="auto"/>
        <w:jc w:val="both"/>
        <w:rPr>
          <w:rFonts w:ascii="Times New Roman" w:hAnsi="Times New Roman"/>
          <w:color w:val="000000" w:themeColor="text1"/>
          <w:sz w:val="16"/>
          <w:szCs w:val="16"/>
        </w:rPr>
      </w:pPr>
    </w:p>
    <w:p w14:paraId="323C1EC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декабря 1941 г. на заседании ГКО было принято постановление о производстве танка Т-34 с лобовыми броневыми листами толщиной 60 мм, начиная с 15 февраля 1942 г. На первом этапе до освоения металлургическими заводами производ</w:t>
      </w:r>
      <w:r w:rsidRPr="00640820">
        <w:rPr>
          <w:rFonts w:ascii="Times New Roman" w:hAnsi="Times New Roman"/>
          <w:color w:val="000000" w:themeColor="text1"/>
          <w:sz w:val="16"/>
          <w:szCs w:val="16"/>
        </w:rPr>
        <w:softHyphen/>
        <w:t>ства броневых листов толщиной 60 мм танковые заводы должны были начать усиление лобовых частей корпуса и башни танка за счет примене</w:t>
      </w:r>
      <w:r w:rsidRPr="00640820">
        <w:rPr>
          <w:rFonts w:ascii="Times New Roman" w:hAnsi="Times New Roman"/>
          <w:color w:val="000000" w:themeColor="text1"/>
          <w:sz w:val="16"/>
          <w:szCs w:val="16"/>
        </w:rPr>
        <w:softHyphen/>
        <w:t>ния составной брони (на основной 45-мм броневой лист накладывался и приваривался дополнительный 15-мм броневой лист). Но в связи с боль</w:t>
      </w:r>
      <w:r w:rsidRPr="00640820">
        <w:rPr>
          <w:rFonts w:ascii="Times New Roman" w:hAnsi="Times New Roman"/>
          <w:color w:val="000000" w:themeColor="text1"/>
          <w:sz w:val="16"/>
          <w:szCs w:val="16"/>
        </w:rPr>
        <w:softHyphen/>
        <w:t>шими трудностями, возникшими при изготовлении броневых листов толщиной 60 мм и крайне редким применением немцами 50-мм бронебойно-подкалиберных снарядов, ГКО своим постановлением № 1333 от 23 февраля 1942 г. отменил усиление броневой защиты лобовой части танка Т-34. Тем не менее, заводы № 183,112 и СТЗ в течение зимы и вес</w:t>
      </w:r>
      <w:r w:rsidRPr="00640820">
        <w:rPr>
          <w:rFonts w:ascii="Times New Roman" w:hAnsi="Times New Roman"/>
          <w:color w:val="000000" w:themeColor="text1"/>
          <w:sz w:val="16"/>
          <w:szCs w:val="16"/>
        </w:rPr>
        <w:softHyphen/>
        <w:t>ны 1942 г. успели выпустить небольшие партии танков Т-34-76 с усилен</w:t>
      </w:r>
      <w:r w:rsidRPr="00640820">
        <w:rPr>
          <w:rFonts w:ascii="Times New Roman" w:hAnsi="Times New Roman"/>
          <w:color w:val="000000" w:themeColor="text1"/>
          <w:sz w:val="16"/>
          <w:szCs w:val="16"/>
        </w:rPr>
        <w:softHyphen/>
        <w:t>ным бронированием (10703).</w:t>
      </w:r>
    </w:p>
    <w:p w14:paraId="47764C6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5DF28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декабря 1941 г. на заседании ГКО было вновь принято решение о производстве танка Т-34-76 с лобовой броней толщиной 60 мм. Для корпуса с лобовыми листами толщиной 45 мм вводилась экранировка толщиной 15 мм. Подбашенный лист толщиной 20 мм с целью унификации был сохранен. Литая башня должна была изготавливаться с толщиной стенок бортов 60 мм. Завод № 183 с получением правительственного задания решил не позднее 20 января 1942 г. начать производство усиленной литой башни, а, начиная с 1 февраля 1942 г. полностью перейти на производство кор</w:t>
      </w:r>
      <w:r w:rsidRPr="00640820">
        <w:rPr>
          <w:rFonts w:ascii="Times New Roman" w:hAnsi="Times New Roman"/>
          <w:color w:val="000000" w:themeColor="text1"/>
          <w:sz w:val="16"/>
          <w:szCs w:val="16"/>
        </w:rPr>
        <w:softHyphen/>
        <w:t>пусов с составной броней (10703).</w:t>
      </w:r>
    </w:p>
    <w:p w14:paraId="4F2DAFC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BC7E5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декабря 1941 вышло постановление ГКО № 1062 о переходе на выпуск танка Т-34 с лобовой бро</w:t>
      </w:r>
      <w:r w:rsidRPr="00640820">
        <w:rPr>
          <w:rFonts w:ascii="Times New Roman" w:hAnsi="Times New Roman"/>
          <w:color w:val="000000" w:themeColor="text1"/>
          <w:sz w:val="16"/>
          <w:szCs w:val="16"/>
        </w:rPr>
        <w:softHyphen/>
        <w:t>ней толщиной 60 мм. А уже 28 декабря группа НИИ-48 на за</w:t>
      </w:r>
      <w:r w:rsidRPr="00640820">
        <w:rPr>
          <w:rFonts w:ascii="Times New Roman" w:hAnsi="Times New Roman"/>
          <w:color w:val="000000" w:themeColor="text1"/>
          <w:sz w:val="16"/>
          <w:szCs w:val="16"/>
        </w:rPr>
        <w:softHyphen/>
        <w:t>воде № 264 под руководством Кофмана провела исследова</w:t>
      </w:r>
      <w:r w:rsidRPr="00640820">
        <w:rPr>
          <w:rFonts w:ascii="Times New Roman" w:hAnsi="Times New Roman"/>
          <w:color w:val="000000" w:themeColor="text1"/>
          <w:sz w:val="16"/>
          <w:szCs w:val="16"/>
        </w:rPr>
        <w:softHyphen/>
        <w:t>ния броневых листов толщиной 45 мм, применявшихся заво</w:t>
      </w:r>
      <w:r w:rsidRPr="00640820">
        <w:rPr>
          <w:rFonts w:ascii="Times New Roman" w:hAnsi="Times New Roman"/>
          <w:color w:val="000000" w:themeColor="text1"/>
          <w:sz w:val="16"/>
          <w:szCs w:val="16"/>
        </w:rPr>
        <w:softHyphen/>
        <w:t>дами № 264 и № 112 при производстве бронекорпусов Т-34. Исследования показали, что хоть броневые листы име</w:t>
      </w:r>
      <w:r w:rsidRPr="00640820">
        <w:rPr>
          <w:rFonts w:ascii="Times New Roman" w:hAnsi="Times New Roman"/>
          <w:color w:val="000000" w:themeColor="text1"/>
          <w:sz w:val="16"/>
          <w:szCs w:val="16"/>
        </w:rPr>
        <w:softHyphen/>
        <w:t>ли весьма высокую стойкость к воздействию малокалибер</w:t>
      </w:r>
      <w:r w:rsidRPr="00640820">
        <w:rPr>
          <w:rFonts w:ascii="Times New Roman" w:hAnsi="Times New Roman"/>
          <w:color w:val="000000" w:themeColor="text1"/>
          <w:sz w:val="16"/>
          <w:szCs w:val="16"/>
        </w:rPr>
        <w:softHyphen/>
        <w:t>ных бронебойных снарядов (37-мм, 45-мм), они недоста</w:t>
      </w:r>
      <w:r w:rsidRPr="00640820">
        <w:rPr>
          <w:rFonts w:ascii="Times New Roman" w:hAnsi="Times New Roman"/>
          <w:color w:val="000000" w:themeColor="text1"/>
          <w:sz w:val="16"/>
          <w:szCs w:val="16"/>
        </w:rPr>
        <w:softHyphen/>
        <w:t>точно вязки и не спасали от «тяжелых высокоскоростных» (50-мм, 75-мм, 76-мм и 88-мм), доля которых зимой-вес</w:t>
      </w:r>
      <w:r w:rsidRPr="00640820">
        <w:rPr>
          <w:rFonts w:ascii="Times New Roman" w:hAnsi="Times New Roman"/>
          <w:color w:val="000000" w:themeColor="text1"/>
          <w:sz w:val="16"/>
          <w:szCs w:val="16"/>
        </w:rPr>
        <w:softHyphen/>
        <w:t>ной 1942 г. в немецких войсках начала возрастать. Причем изученная броня Т-34 отличалась еще и повышен</w:t>
      </w:r>
      <w:r w:rsidRPr="00640820">
        <w:rPr>
          <w:rFonts w:ascii="Times New Roman" w:hAnsi="Times New Roman"/>
          <w:color w:val="000000" w:themeColor="text1"/>
          <w:sz w:val="16"/>
          <w:szCs w:val="16"/>
        </w:rPr>
        <w:softHyphen/>
        <w:t>ной хрупкостью. Для улучшения стойкости брони группа Кофмана предложила провести экранирование танка 10-15-мм бронелистами, использовавшимися на заводе № 264 в производстве бронекорпусов танка Т-60 (10782).</w:t>
      </w:r>
    </w:p>
    <w:p w14:paraId="2847B9C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AEEFE4" w14:textId="77777777" w:rsidR="002F5050" w:rsidRPr="00640820" w:rsidRDefault="002F505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декабря 1941</w:t>
      </w:r>
    </w:p>
    <w:p w14:paraId="6C35ED8B" w14:textId="77777777" w:rsidR="002F5050" w:rsidRPr="00640820" w:rsidRDefault="002F505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РГАЭ Фонд 8752 Опись 4 Дело 7 лист 124 – 125</w:t>
      </w:r>
    </w:p>
    <w:p w14:paraId="6BE6E707" w14:textId="77777777" w:rsidR="002F5050" w:rsidRPr="00640820" w:rsidRDefault="002F505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16.2.42 г. № 1248</w:t>
      </w:r>
    </w:p>
    <w:p w14:paraId="1439E95D" w14:textId="77777777" w:rsidR="002F5050" w:rsidRPr="00640820" w:rsidRDefault="002F505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Секретно. </w:t>
      </w:r>
    </w:p>
    <w:p w14:paraId="0CBA44F8" w14:textId="77777777" w:rsidR="002F5050" w:rsidRPr="00640820" w:rsidRDefault="002F505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"Снятие копий категорически воспрещается"</w:t>
      </w:r>
    </w:p>
    <w:p w14:paraId="60F489B3" w14:textId="77777777" w:rsidR="002F5050" w:rsidRPr="00640820" w:rsidRDefault="002F505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w:t>
      </w:r>
    </w:p>
    <w:p w14:paraId="20538D4B" w14:textId="77777777" w:rsidR="002F5050" w:rsidRPr="00640820" w:rsidRDefault="002F505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народному комиссариату танковой промышленности СССР</w:t>
      </w:r>
    </w:p>
    <w:p w14:paraId="406033FD" w14:textId="77777777" w:rsidR="002F5050" w:rsidRPr="00640820" w:rsidRDefault="002F505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108с</w:t>
      </w:r>
    </w:p>
    <w:p w14:paraId="45B73E29" w14:textId="77777777" w:rsidR="002F5050" w:rsidRPr="00640820" w:rsidRDefault="002F505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Челябинск</w:t>
      </w:r>
    </w:p>
    <w:p w14:paraId="21D88F27" w14:textId="77777777" w:rsidR="002F5050" w:rsidRPr="00640820" w:rsidRDefault="002F505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декабря 1941 года"</w:t>
      </w:r>
    </w:p>
    <w:p w14:paraId="0BF87FFF" w14:textId="77777777" w:rsidR="002F5050" w:rsidRPr="00640820" w:rsidRDefault="002F505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исполнение постановления Совета Народных Комиссаров Союза ССР от 18 декабря 1941 года за № 2268-1039сс, – ПРИКАЗЫВАЮ: </w:t>
      </w:r>
    </w:p>
    <w:p w14:paraId="57530F49" w14:textId="77777777" w:rsidR="002F5050" w:rsidRPr="00640820" w:rsidRDefault="002F505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Директору завода № 183 тов. МАКСАРЕВУ организовать и ввести к 15 февраля 1942 года в действие мощности по обрезинке 300 тыс. катков в год. Тов. Максареву при этом учесть, что вышеуказанным постановлением СНК обязал Наркомрезинпром (тов. МИТРОХИНА) полностью укомплектовать цех по обрезинке катков завода № 183 необходимым технологическим оборудованием и техническими кадрами, в соответствии со сроками пуска цеха по обрезинке катков. </w:t>
      </w:r>
    </w:p>
    <w:p w14:paraId="287E3F75" w14:textId="77777777" w:rsidR="002F5050" w:rsidRPr="00640820" w:rsidRDefault="002F505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Директору завода № 37 тов. ФРЕЗЕРОВУ учесть, что указанным постановлением Наркомрезинпрома (тов. Митрохин) обязан организовать и ввести в действие на площадях завода № 37 цех по обрезинке 300 тыс. катков в год к 10 февраля 42 года. </w:t>
      </w:r>
    </w:p>
    <w:p w14:paraId="0E55407A" w14:textId="77777777" w:rsidR="002F5050" w:rsidRPr="00640820" w:rsidRDefault="002F505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Директорам заводов: Кировского т. Зальцману, № 183 – тов. Максареву, СТЗ – тов. Задорожному, № 112 – т. Михалеву, № 37 – т. Фрезерову, № 38 – т. Рубинчику, № 174 – т. Кацнельсон и № 173 – т. Шор – изготовить и поставить Наркомрезинпрому прессформы для обрезинки катков и производства резиновых деталей в количествах и сроки, согласно приложению № 1 к настоящему приказу. </w:t>
      </w:r>
    </w:p>
    <w:p w14:paraId="77973B0B" w14:textId="77777777" w:rsidR="002F5050" w:rsidRPr="00640820" w:rsidRDefault="002F505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Начальнику Главснаба т. РОЗИНУ в 2-х дневный срок уточнить спецификацию, а заместителю начальника 1-го отдела НКТП – т. Фомину не позднее 1.1.42 г. разметить по заводам НКТП изготовление 300 прессформ для производства резиновых деталей, из них 150 шт. к 15 января и 150 шт. к 15 февраля 1942 года. </w:t>
      </w:r>
    </w:p>
    <w:p w14:paraId="7FC11412" w14:textId="77777777" w:rsidR="002F5050" w:rsidRPr="00640820" w:rsidRDefault="002F505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Всем директорам вышеуказанных заводов учесть, что означенным постановлением СНК обязал НКПС (тов. Кагановича Л.М.) обеспечить перевозку материалов и оборудования, предназначенного для организации производства обрезинки катков и резиновых деталей к танкам, наравне с оборонными грузами, установив диспетчерский контроль за продвижением их в пути. </w:t>
      </w:r>
    </w:p>
    <w:p w14:paraId="2D2BF924" w14:textId="77777777" w:rsidR="002F5050" w:rsidRPr="00640820" w:rsidRDefault="002F505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Начальнику Главснаба тов. РОЗИНУ, директору Кировского к-та тов. Зальцману, з-да № 173 – т. Шор, з-да № 37 т. Фрезерову, з-да № 183 – т. Максареву, з-да № 174 – т. Кацнельсон, з-да № 112 – тов. Михалеву, з-да № 38 т. Рубинчик, з-да № 264 – т. Щербина и СТЗ – т. Задорожному – обеспечить в отгрузку в декабре 1941 г. Ярославскому шинному заводу необходимое количество бандажей, в соответствии с заданием по обрезинке катков на декабрь и январь 1942 года. График отгрузки, также как и сведения о его выполнении, немедленно сообщить Главснабу НКТП. </w:t>
      </w:r>
    </w:p>
    <w:p w14:paraId="0B01A4A3" w14:textId="77777777" w:rsidR="002F5050" w:rsidRPr="00640820" w:rsidRDefault="002F505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Зам. Начальника 1-го отдела НКТП тов. Фомину взять под особый контроль выполнение настоящего приказа.</w:t>
      </w:r>
    </w:p>
    <w:p w14:paraId="5915AA6D" w14:textId="77777777" w:rsidR="002F5050" w:rsidRPr="00640820" w:rsidRDefault="002F505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п.п. Зам. народного комиссара танковой промышленности СССР</w:t>
      </w:r>
    </w:p>
    <w:p w14:paraId="2F37EDB1" w14:textId="77777777" w:rsidR="002F5050" w:rsidRPr="00640820" w:rsidRDefault="002F505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ЕФРЕМОВ</w:t>
      </w:r>
    </w:p>
    <w:p w14:paraId="0FA66DD4" w14:textId="77777777" w:rsidR="002F5050" w:rsidRPr="00640820" w:rsidRDefault="002F505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Отп. 3 экз. </w:t>
      </w:r>
    </w:p>
    <w:p w14:paraId="7ED01F46" w14:textId="77777777" w:rsidR="002F5050" w:rsidRPr="00640820" w:rsidRDefault="002F505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Верно: подпись. печать НКТП СССР </w:t>
      </w:r>
    </w:p>
    <w:p w14:paraId="114CC8A7" w14:textId="77777777" w:rsidR="002F5050" w:rsidRPr="00640820" w:rsidRDefault="002F505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РГАЭ Фонд 8752 Опись 4 Дело 7 лист 126 </w:t>
      </w:r>
    </w:p>
    <w:p w14:paraId="49BA6AD6" w14:textId="77777777" w:rsidR="002F5050" w:rsidRPr="00640820" w:rsidRDefault="002F505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Секретно. </w:t>
      </w:r>
    </w:p>
    <w:p w14:paraId="0FA1681D" w14:textId="77777777" w:rsidR="002F5050" w:rsidRPr="00640820" w:rsidRDefault="002F505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Приложение № 1 </w:t>
      </w:r>
    </w:p>
    <w:p w14:paraId="3E23E83E" w14:textId="77777777" w:rsidR="002F5050" w:rsidRPr="00640820" w:rsidRDefault="002F505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приказу НКТП от 25 декабря 1941 г. № 108с</w:t>
      </w:r>
    </w:p>
    <w:p w14:paraId="029165D9" w14:textId="77777777" w:rsidR="002F5050" w:rsidRPr="00640820" w:rsidRDefault="002F505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ВЕДОМОСТЬ</w:t>
      </w:r>
    </w:p>
    <w:p w14:paraId="1EFCE8B6" w14:textId="77777777" w:rsidR="002F5050" w:rsidRPr="00640820" w:rsidRDefault="002F505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прессформ д/обрезинки катков, поставляемых заводами НКТП</w:t>
      </w:r>
    </w:p>
    <w:p w14:paraId="67784E68" w14:textId="77777777" w:rsidR="002F5050" w:rsidRPr="00640820" w:rsidRDefault="002F505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Наркомрезинпрому в январе и феврале месяцах 1942 года </w:t>
      </w:r>
    </w:p>
    <w:p w14:paraId="0D64D6C8" w14:textId="77777777" w:rsidR="002F5050" w:rsidRPr="00640820" w:rsidRDefault="002F505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п.п. Зам. НАЧ-КА 1-го ОТДЕЛА НАРКОМТАНКПРОМА: Москалевский</w:t>
      </w:r>
    </w:p>
    <w:p w14:paraId="709078D1" w14:textId="77777777" w:rsidR="002F5050" w:rsidRPr="00640820" w:rsidRDefault="002F505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Отп. 1 экз. </w:t>
      </w:r>
    </w:p>
    <w:p w14:paraId="7177D2AC" w14:textId="77777777" w:rsidR="002F5050" w:rsidRPr="00640820" w:rsidRDefault="002F505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Верно: подпись. печать НКТП СССР</w:t>
      </w:r>
    </w:p>
    <w:p w14:paraId="1CDA0E4B" w14:textId="77777777" w:rsidR="002F5050" w:rsidRPr="00640820" w:rsidRDefault="002F505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(18197).</w:t>
      </w:r>
    </w:p>
    <w:p w14:paraId="746305D2" w14:textId="77777777" w:rsidR="002F5050" w:rsidRPr="00640820" w:rsidRDefault="002F5050" w:rsidP="00640820">
      <w:pPr>
        <w:spacing w:after="0" w:line="240" w:lineRule="auto"/>
        <w:jc w:val="both"/>
        <w:rPr>
          <w:rFonts w:ascii="Times New Roman" w:hAnsi="Times New Roman"/>
          <w:color w:val="000000" w:themeColor="text1"/>
          <w:sz w:val="16"/>
          <w:szCs w:val="16"/>
        </w:rPr>
      </w:pPr>
    </w:p>
    <w:p w14:paraId="15E33A6F"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декабря 1941 года вышел Приказ НКБ № 60</w:t>
      </w:r>
    </w:p>
    <w:p w14:paraId="49457297"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постановлением ГКО № ГКО-1033 от 14 декабря 1941 года о создании Специального экспериментально-производственного бюро при НКБ по разработке технологии производства и внедрению на вооружение вещества А-IX-2.</w:t>
      </w:r>
    </w:p>
    <w:p w14:paraId="0849E286"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нахождения СЭПБ – Москва, НКБ (5679, 137-138).</w:t>
      </w:r>
    </w:p>
    <w:p w14:paraId="1583F617"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8487CE" w14:textId="77777777" w:rsidR="003C65D8" w:rsidRPr="00640820" w:rsidRDefault="003C65D8" w:rsidP="00640820">
      <w:pPr>
        <w:pStyle w:val="162"/>
        <w:shd w:val="clear" w:color="auto" w:fill="auto"/>
        <w:spacing w:line="240" w:lineRule="auto"/>
        <w:jc w:val="both"/>
        <w:rPr>
          <w:color w:val="000000" w:themeColor="text1"/>
          <w:sz w:val="16"/>
          <w:szCs w:val="16"/>
        </w:rPr>
      </w:pPr>
      <w:r w:rsidRPr="00640820">
        <w:rPr>
          <w:color w:val="000000" w:themeColor="text1"/>
          <w:sz w:val="16"/>
          <w:szCs w:val="16"/>
        </w:rPr>
        <w:t>25 декабря 1941 года вышло постановление ГКО № 1062сс «О танках Т-34 и Т-60» за подписью Сталина:</w:t>
      </w:r>
    </w:p>
    <w:p w14:paraId="315AAD33" w14:textId="77777777" w:rsidR="003C65D8" w:rsidRPr="00640820" w:rsidRDefault="003C65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«Обязать НКТП т. Малышева:</w:t>
      </w:r>
    </w:p>
    <w:p w14:paraId="7EB33C51" w14:textId="77777777" w:rsidR="003C65D8" w:rsidRPr="00640820" w:rsidRDefault="003C65D8" w:rsidP="00640820">
      <w:pPr>
        <w:tabs>
          <w:tab w:val="left" w:pos="1427"/>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Выпускать с 15.1.1942 г. танки Т-34 с экранировкой лобовой части в 60 мм, а с 15.11 с броней лобовой части 60мм;</w:t>
      </w:r>
    </w:p>
    <w:p w14:paraId="3D1DE883" w14:textId="77777777" w:rsidR="003C65D8" w:rsidRPr="00640820" w:rsidRDefault="003C65D8" w:rsidP="00640820">
      <w:pPr>
        <w:tabs>
          <w:tab w:val="left" w:pos="1418"/>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Выпускать с 15.1.1942 г. танки Т-60 с экранировкой лобовой части в 35 мм, а с 15.11 с броней лобовой части 35 мм».</w:t>
      </w:r>
    </w:p>
    <w:p w14:paraId="3F6DB172" w14:textId="77777777" w:rsidR="003C65D8" w:rsidRPr="00640820" w:rsidRDefault="003C65D8" w:rsidP="00640820">
      <w:pPr>
        <w:tabs>
          <w:tab w:val="left" w:pos="1418"/>
        </w:tabs>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января по заводам было разослано письмо Малышева, в кото</w:t>
      </w:r>
      <w:r w:rsidRPr="00640820">
        <w:rPr>
          <w:rFonts w:ascii="Times New Roman" w:hAnsi="Times New Roman"/>
          <w:color w:val="000000" w:themeColor="text1"/>
          <w:sz w:val="16"/>
          <w:szCs w:val="16"/>
        </w:rPr>
        <w:softHyphen/>
        <w:t>ром подтверждались указанные в постановлении сроки (17485).</w:t>
      </w:r>
    </w:p>
    <w:p w14:paraId="6E3D43AB" w14:textId="77777777" w:rsidR="003C65D8" w:rsidRPr="00640820" w:rsidRDefault="003C65D8" w:rsidP="00640820">
      <w:pPr>
        <w:pStyle w:val="Bodytext141"/>
        <w:shd w:val="clear" w:color="auto" w:fill="auto"/>
        <w:spacing w:line="240" w:lineRule="auto"/>
        <w:ind w:firstLine="0"/>
        <w:jc w:val="both"/>
        <w:rPr>
          <w:i w:val="0"/>
          <w:color w:val="000000" w:themeColor="text1"/>
          <w:sz w:val="16"/>
          <w:szCs w:val="16"/>
        </w:rPr>
      </w:pPr>
    </w:p>
    <w:p w14:paraId="3F59EE7B" w14:textId="77777777" w:rsidR="008E0D32" w:rsidRPr="00640820" w:rsidRDefault="008E0D32" w:rsidP="00640820">
      <w:pPr>
        <w:pStyle w:val="ae"/>
        <w:spacing w:before="0" w:after="0"/>
        <w:jc w:val="both"/>
        <w:textAlignment w:val="baseline"/>
        <w:rPr>
          <w:color w:val="000000" w:themeColor="text1"/>
          <w:sz w:val="16"/>
          <w:szCs w:val="16"/>
        </w:rPr>
      </w:pPr>
      <w:r w:rsidRPr="00640820">
        <w:rPr>
          <w:color w:val="000000" w:themeColor="text1"/>
          <w:sz w:val="16"/>
          <w:szCs w:val="16"/>
        </w:rPr>
        <w:t>25 декабря 1941 года Сталин подписал постановление ГКО №1062сс «О танках Т-34 и Т-60». Согласно этому документу, с 15 января все Т-34 должны были выпускаться с экранированной до 60 мм лобовой частью, а с 15 февраля – с утолщённой до 60 мм бронёй. Утолщение броневых листов так и не состоялось, зато экранированных танков выпустили несколько сотен. Впрочем, 23 февраля 1942 года Сталин подписал постановление ГКО №1333, согласно которому экранировка упразднялась (18998).</w:t>
      </w:r>
    </w:p>
    <w:p w14:paraId="781ECC28" w14:textId="77777777" w:rsidR="008E0D32" w:rsidRPr="00640820" w:rsidRDefault="008E0D32" w:rsidP="00640820">
      <w:pPr>
        <w:pStyle w:val="ae"/>
        <w:spacing w:before="0" w:after="0"/>
        <w:jc w:val="both"/>
        <w:textAlignment w:val="baseline"/>
        <w:rPr>
          <w:color w:val="000000" w:themeColor="text1"/>
          <w:sz w:val="16"/>
          <w:szCs w:val="16"/>
        </w:rPr>
      </w:pPr>
    </w:p>
    <w:p w14:paraId="508B14D0" w14:textId="77777777" w:rsidR="003C65D8" w:rsidRPr="00640820" w:rsidRDefault="003C65D8" w:rsidP="00640820">
      <w:pPr>
        <w:pStyle w:val="162"/>
        <w:shd w:val="clear" w:color="auto" w:fill="auto"/>
        <w:spacing w:line="240" w:lineRule="auto"/>
        <w:jc w:val="both"/>
        <w:rPr>
          <w:color w:val="000000" w:themeColor="text1"/>
          <w:sz w:val="16"/>
          <w:szCs w:val="16"/>
        </w:rPr>
      </w:pPr>
      <w:r w:rsidRPr="00640820">
        <w:rPr>
          <w:rFonts w:eastAsia="Calibri"/>
          <w:color w:val="000000" w:themeColor="text1"/>
          <w:sz w:val="16"/>
          <w:szCs w:val="16"/>
        </w:rPr>
        <w:t>К 25 декабря 1941 года состояние дел на заводе № 37 хорошо видно из докладной записки помощника военпреда БТУ КА военинженера 2-го ранга Минина:</w:t>
      </w:r>
    </w:p>
    <w:p w14:paraId="02AA5A31" w14:textId="77777777" w:rsidR="003C65D8" w:rsidRPr="00640820" w:rsidRDefault="003C65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По постановлению Правительства необходимо было смонти</w:t>
      </w:r>
      <w:r w:rsidRPr="00640820">
        <w:rPr>
          <w:rFonts w:ascii="Times New Roman" w:hAnsi="Times New Roman"/>
          <w:color w:val="000000" w:themeColor="text1"/>
          <w:sz w:val="16"/>
          <w:szCs w:val="16"/>
        </w:rPr>
        <w:softHyphen/>
        <w:t>ровать и пустить завод с 1.12 сего года с выпуском в декабре месяце 160 машин.</w:t>
      </w:r>
    </w:p>
    <w:p w14:paraId="5C52A91F" w14:textId="77777777" w:rsidR="003C65D8" w:rsidRPr="00640820" w:rsidRDefault="003C65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Это постановление Правительства по существу сорвано, так как на 25.12 [завод] сдал пробегом 11 машин, из них оформлено 5, и вновь изгото</w:t>
      </w:r>
      <w:r w:rsidRPr="00640820">
        <w:rPr>
          <w:rFonts w:ascii="Times New Roman" w:hAnsi="Times New Roman"/>
          <w:color w:val="000000" w:themeColor="text1"/>
          <w:sz w:val="16"/>
          <w:szCs w:val="16"/>
        </w:rPr>
        <w:softHyphen/>
        <w:t>вил 0 корпусов. Конвейер сборки машин на сегодня питается имеющим</w:t>
      </w:r>
      <w:r w:rsidRPr="00640820">
        <w:rPr>
          <w:rFonts w:ascii="Times New Roman" w:hAnsi="Times New Roman"/>
          <w:color w:val="000000" w:themeColor="text1"/>
          <w:sz w:val="16"/>
          <w:szCs w:val="16"/>
        </w:rPr>
        <w:softHyphen/>
        <w:t>ся у нас заделом корпусов, которых на 25.12 сего года в различной ста</w:t>
      </w:r>
      <w:r w:rsidRPr="00640820">
        <w:rPr>
          <w:rFonts w:ascii="Times New Roman" w:hAnsi="Times New Roman"/>
          <w:color w:val="000000" w:themeColor="text1"/>
          <w:sz w:val="16"/>
          <w:szCs w:val="16"/>
        </w:rPr>
        <w:softHyphen/>
        <w:t xml:space="preserve">дии производства имеется: Т-40 - 137 штук, Т-60 </w:t>
      </w:r>
      <w:r w:rsidRPr="00640820">
        <w:rPr>
          <w:rFonts w:ascii="Times New Roman" w:hAnsi="Times New Roman"/>
          <w:color w:val="000000" w:themeColor="text1"/>
          <w:sz w:val="16"/>
          <w:szCs w:val="16"/>
        </w:rPr>
        <w:lastRenderedPageBreak/>
        <w:t>- 45 штук, причем на 25.12 сего года отремонтировано и сдано под монтаж 21 корпусов Т-40, башен в заделе имеется 110 штук, из них не требует механической обра</w:t>
      </w:r>
      <w:r w:rsidRPr="00640820">
        <w:rPr>
          <w:rFonts w:ascii="Times New Roman" w:hAnsi="Times New Roman"/>
          <w:color w:val="000000" w:themeColor="text1"/>
          <w:sz w:val="16"/>
          <w:szCs w:val="16"/>
        </w:rPr>
        <w:softHyphen/>
        <w:t>ботки 25 штук.</w:t>
      </w:r>
    </w:p>
    <w:p w14:paraId="6A2EE141" w14:textId="77777777" w:rsidR="003C65D8" w:rsidRPr="00640820" w:rsidRDefault="003C65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При распланировке цеха рассчитывали на выпуск до 35 корпусов в сутки. Состояние монтажа оборудования и агрегатов на 25.12 сего года характеризуется следующим:</w:t>
      </w:r>
    </w:p>
    <w:p w14:paraId="23846709" w14:textId="77777777" w:rsidR="003C65D8" w:rsidRPr="00640820" w:rsidRDefault="003C65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Заготовительный цех. Имеется 8 станков Гризгейм, пущено в экс</w:t>
      </w:r>
      <w:r w:rsidRPr="00640820">
        <w:rPr>
          <w:rFonts w:ascii="Times New Roman" w:hAnsi="Times New Roman"/>
          <w:color w:val="000000" w:themeColor="text1"/>
          <w:sz w:val="16"/>
          <w:szCs w:val="16"/>
        </w:rPr>
        <w:softHyphen/>
        <w:t>плуатацию 3 штуки, на остальных производится монтаж моторов. Ве</w:t>
      </w:r>
      <w:r w:rsidRPr="00640820">
        <w:rPr>
          <w:rFonts w:ascii="Times New Roman" w:hAnsi="Times New Roman"/>
          <w:color w:val="000000" w:themeColor="text1"/>
          <w:sz w:val="16"/>
          <w:szCs w:val="16"/>
        </w:rPr>
        <w:softHyphen/>
        <w:t>дется подготовительная работа по установке ножниц Томаса и большой гильотины, малая гильотина установлена. Копиры и шаблоны по корпусу Т-60 находятся в пути.</w:t>
      </w:r>
    </w:p>
    <w:p w14:paraId="297197BE" w14:textId="77777777" w:rsidR="003C65D8" w:rsidRPr="00640820" w:rsidRDefault="003C65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Термопрессовый цех. По плану намечено к постройке печей: 6 закалоч</w:t>
      </w:r>
      <w:r w:rsidRPr="00640820">
        <w:rPr>
          <w:rFonts w:ascii="Times New Roman" w:hAnsi="Times New Roman"/>
          <w:color w:val="000000" w:themeColor="text1"/>
          <w:sz w:val="16"/>
          <w:szCs w:val="16"/>
        </w:rPr>
        <w:softHyphen/>
        <w:t>ных, 4 отжигательных печи, на остальных 9 кладка окончена, происходит просушка и установка арматуры. По плану намечено поставить 3 прес</w:t>
      </w:r>
      <w:r w:rsidRPr="00640820">
        <w:rPr>
          <w:rFonts w:ascii="Times New Roman" w:hAnsi="Times New Roman"/>
          <w:color w:val="000000" w:themeColor="text1"/>
          <w:sz w:val="16"/>
          <w:szCs w:val="16"/>
        </w:rPr>
        <w:softHyphen/>
        <w:t>са — 750, 400 и 200 тонн. На завод прибыл 400-тонный [пресс], части остальных находятся в пути.</w:t>
      </w:r>
    </w:p>
    <w:p w14:paraId="05D714D7" w14:textId="77777777" w:rsidR="003C65D8" w:rsidRPr="00640820" w:rsidRDefault="003C65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Механический цех. В отделении мелких деталей установлено 35 стан</w:t>
      </w:r>
      <w:r w:rsidRPr="00640820">
        <w:rPr>
          <w:rFonts w:ascii="Times New Roman" w:hAnsi="Times New Roman"/>
          <w:color w:val="000000" w:themeColor="text1"/>
          <w:sz w:val="16"/>
          <w:szCs w:val="16"/>
        </w:rPr>
        <w:softHyphen/>
        <w:t>ков, по плану 37. В отделении крупных станков 35 станков, по плану 58. Особенно сильно отстало в монтаже оборудования башенное отделение, где на 25.12 сего года не установлено ни одного карусельного станка. Это получилось в результате задержки в демонтаже старого оборудования и отсутствия на разгрузочной площадке необходимого количества трак</w:t>
      </w:r>
      <w:r w:rsidRPr="00640820">
        <w:rPr>
          <w:rFonts w:ascii="Times New Roman" w:hAnsi="Times New Roman"/>
          <w:color w:val="000000" w:themeColor="text1"/>
          <w:sz w:val="16"/>
          <w:szCs w:val="16"/>
        </w:rPr>
        <w:softHyphen/>
        <w:t>торов для растаскивания оборудования.</w:t>
      </w:r>
    </w:p>
    <w:p w14:paraId="27473427" w14:textId="77777777" w:rsidR="003C65D8" w:rsidRPr="00640820" w:rsidRDefault="003C65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Цех сборки корпусов. Цех в основном оборудован. Имеются недодел</w:t>
      </w:r>
      <w:r w:rsidRPr="00640820">
        <w:rPr>
          <w:rFonts w:ascii="Times New Roman" w:hAnsi="Times New Roman"/>
          <w:color w:val="000000" w:themeColor="text1"/>
          <w:sz w:val="16"/>
          <w:szCs w:val="16"/>
        </w:rPr>
        <w:softHyphen/>
        <w:t>ки, то есть задерживаются компрессора, что не дает возможности производить клепку, производятся подготовительные работы по уста</w:t>
      </w:r>
      <w:r w:rsidRPr="00640820">
        <w:rPr>
          <w:rFonts w:ascii="Times New Roman" w:hAnsi="Times New Roman"/>
          <w:color w:val="000000" w:themeColor="text1"/>
          <w:sz w:val="16"/>
          <w:szCs w:val="16"/>
        </w:rPr>
        <w:softHyphen/>
        <w:t>новке крана на участке окончательной сдачи корпусов.</w:t>
      </w:r>
    </w:p>
    <w:p w14:paraId="71A890E9" w14:textId="77777777" w:rsidR="003C65D8" w:rsidRPr="00640820" w:rsidRDefault="003C65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Литейный цех. Обеспечивает потребность завода в чугунном литье. Стальное литье и ковкий чугун кооперируются на Челябинском и Урал- машзаводе. В начале 1942 года запроектировано строительство томиль</w:t>
      </w:r>
      <w:r w:rsidRPr="00640820">
        <w:rPr>
          <w:rFonts w:ascii="Times New Roman" w:hAnsi="Times New Roman"/>
          <w:color w:val="000000" w:themeColor="text1"/>
          <w:sz w:val="16"/>
          <w:szCs w:val="16"/>
        </w:rPr>
        <w:softHyphen/>
        <w:t>ных печей для производства ковкого чугуна. Заканчивается кладка здания кислородной станции. Кислород и ацетилен временно завозятся.</w:t>
      </w:r>
    </w:p>
    <w:p w14:paraId="6ACC2531" w14:textId="77777777" w:rsidR="003C65D8" w:rsidRPr="00640820" w:rsidRDefault="003C65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Наличие на заводе брони — на 19.12 сего года находится: 4-мм брони 51938кг 6-мм брони 42722 кг 9-мм брони 73414 кг 10-мм брони 200730 кг 13-мм брони 130275 кг 15-мм брони 633099 кг 20-мм брони 57998 кг 25-мм брони 13704 кг</w:t>
      </w:r>
    </w:p>
    <w:p w14:paraId="34BBAE08" w14:textId="77777777" w:rsidR="003C65D8" w:rsidRPr="00640820" w:rsidRDefault="003C65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Разнарядки на поставку металла спущены на Чусовской и Выксунский заводы.</w:t>
      </w:r>
    </w:p>
    <w:p w14:paraId="1F102BAB" w14:textId="77777777" w:rsidR="003C65D8" w:rsidRPr="00640820" w:rsidRDefault="003C65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сегодня наиболее узким местом являются: заготовительный цех — установка гильотин для резки листов и правильных вальцев; прессовый — установка прессов; башенный участок механического цеха — установка карусельных станков, а также отсутствие необходимого количества ацетилена.</w:t>
      </w:r>
    </w:p>
    <w:p w14:paraId="4A6812E4" w14:textId="77777777" w:rsidR="003C65D8" w:rsidRPr="00640820" w:rsidRDefault="003C65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Ведутся работы по упрощению технологии механической обработки, сборки и сварки корпусов.</w:t>
      </w:r>
    </w:p>
    <w:p w14:paraId="15A99184" w14:textId="77777777" w:rsidR="003C65D8" w:rsidRPr="00640820" w:rsidRDefault="003C65D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Подготовлены чертежи экранированного корпуса и башни, где нос, ли</w:t>
      </w:r>
      <w:r w:rsidRPr="00640820">
        <w:rPr>
          <w:rFonts w:ascii="Times New Roman" w:hAnsi="Times New Roman"/>
          <w:color w:val="000000" w:themeColor="text1"/>
          <w:sz w:val="16"/>
          <w:szCs w:val="16"/>
        </w:rPr>
        <w:softHyphen/>
        <w:t>сты кабины и обечайки башни доведены до толщины 35мм. Зам. председа</w:t>
      </w:r>
      <w:r w:rsidRPr="00640820">
        <w:rPr>
          <w:rFonts w:ascii="Times New Roman" w:hAnsi="Times New Roman"/>
          <w:color w:val="000000" w:themeColor="text1"/>
          <w:sz w:val="16"/>
          <w:szCs w:val="16"/>
        </w:rPr>
        <w:softHyphen/>
        <w:t>теля Совнаркома СССР т. Малышев разрешил выпуск 100 штук корпусов без экранировки.</w:t>
      </w:r>
    </w:p>
    <w:p w14:paraId="254042E1" w14:textId="77777777" w:rsidR="003C65D8" w:rsidRPr="00640820" w:rsidRDefault="003C65D8" w:rsidP="00640820">
      <w:pPr>
        <w:pStyle w:val="Bodytext141"/>
        <w:shd w:val="clear" w:color="auto" w:fill="auto"/>
        <w:spacing w:line="240" w:lineRule="auto"/>
        <w:ind w:firstLine="0"/>
        <w:jc w:val="both"/>
        <w:rPr>
          <w:i w:val="0"/>
          <w:color w:val="000000" w:themeColor="text1"/>
          <w:sz w:val="16"/>
          <w:szCs w:val="16"/>
        </w:rPr>
      </w:pPr>
      <w:r w:rsidRPr="00640820">
        <w:rPr>
          <w:i w:val="0"/>
          <w:color w:val="000000" w:themeColor="text1"/>
          <w:sz w:val="16"/>
          <w:szCs w:val="16"/>
        </w:rPr>
        <w:t>Меры для скорейшего пуска завода на полную мощность военной прием</w:t>
      </w:r>
      <w:r w:rsidRPr="00640820">
        <w:rPr>
          <w:i w:val="0"/>
          <w:color w:val="000000" w:themeColor="text1"/>
          <w:sz w:val="16"/>
          <w:szCs w:val="16"/>
        </w:rPr>
        <w:softHyphen/>
        <w:t>кой принимаются, как по линии дирекции, так и партийной организацией завода»'(17485).</w:t>
      </w:r>
    </w:p>
    <w:p w14:paraId="2D5287FB" w14:textId="77777777" w:rsidR="003C65D8" w:rsidRPr="00640820" w:rsidRDefault="003C65D8" w:rsidP="00640820">
      <w:pPr>
        <w:pStyle w:val="Bodytext141"/>
        <w:shd w:val="clear" w:color="auto" w:fill="auto"/>
        <w:spacing w:line="240" w:lineRule="auto"/>
        <w:ind w:firstLine="0"/>
        <w:jc w:val="both"/>
        <w:rPr>
          <w:i w:val="0"/>
          <w:color w:val="000000" w:themeColor="text1"/>
          <w:sz w:val="16"/>
          <w:szCs w:val="16"/>
        </w:rPr>
      </w:pPr>
    </w:p>
    <w:p w14:paraId="523784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25 декабря 1941г. 4-м часовым заводом в Златоусте была выпущена первая продукция- детали боеприпасов. Этот день стал днем рождения завода. В 06.1942г. 1-й часовой завод в Златоусте - в ведении Главприбора НКМВ. от </w:t>
      </w:r>
    </w:p>
    <w:p w14:paraId="36E88D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июня 1942г. по приказу НКМВ № 203сс с Златоустовского часового завода в Москву на 1-й и 2-й часовые заводы возвращено 30 станков. В соответствии с пост. СНК № 837-430сс от 3.06.1942г. и приказом НКМВ № 250с от 7.07.1942г. 4-й часовой завод НКМВ переименован в завод № 834 в ведении 5ГУ (Завод № 834 НКМВ, Златоустовский часовой завод НКМВ, ММиП, 4-й часовой завод НКМВ, ОАО «Златоустовский часовой завод» /456200 г. Златоуст Челябинской обл. ул. Ленина, 2 п/я 62 «Баланс» (1948г.)/).</w:t>
      </w:r>
      <w:r w:rsidRPr="00640820">
        <w:rPr>
          <w:rFonts w:ascii="Times New Roman" w:hAnsi="Times New Roman"/>
          <w:color w:val="000000" w:themeColor="text1"/>
          <w:sz w:val="16"/>
          <w:szCs w:val="16"/>
          <w:vertAlign w:val="superscript"/>
        </w:rPr>
        <w:t>129</w:t>
      </w:r>
    </w:p>
    <w:p w14:paraId="12828B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годы войны выпущено более 300 тыс. приборов времени (92% танковых и 98% авиационных часов) и более 14 млн. деталей боеприпасов.</w:t>
      </w:r>
    </w:p>
    <w:p w14:paraId="35386C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1947-48г. Златоустовский часовой завод - в ведении Главчаспрома ММиП.</w:t>
      </w:r>
    </w:p>
    <w:p w14:paraId="50B351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предприятия цехи (1947г.): основные: механический № 1,2, гшатино-мостовой № 4, сборочный № 8, 9-й, корпусной № 5, термическое отделение; вспомогательные: ремонтно-механический № 7, инструментальный № 6, котельная, компрессорная.</w:t>
      </w:r>
    </w:p>
    <w:p w14:paraId="0A4AE2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завод переведен на выпуск гражданской продукции. В 1950-е г. освоен выпуск часов для слепых, курвиметров, карманных часов, автомобильных, реле времени для стиральных машин. В 1960-е г. налажен выпуск секундомеров суммирующего действия. В 1970-е г. начат выпуск таймера, был разработан и внедрен в производство один из первых в СССР электронный секундомер с цифровой индексацией; на его базе создан счетчик частоты дыхания и пульса. В 1980-е г. был разработан новый противоударный секундомер, 30-минутное реле времени. Затем освоен выпуск переключателя к электроплитам.</w:t>
      </w:r>
    </w:p>
    <w:p w14:paraId="75D7E0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(2000-е): секундомеры механические (единственный завод в России), часы, курвиметры, реле времени, переключатели мощности.</w:t>
      </w:r>
    </w:p>
    <w:p w14:paraId="75C2563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(1946г.)- 717 ед., (1947г.)- 517 ед.</w:t>
      </w:r>
    </w:p>
    <w:p w14:paraId="3B7205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территории (1947г.)-1,44 га; застройки (1947г.)- 4262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производственная (1946-47г.)-</w:t>
      </w:r>
    </w:p>
    <w:p w14:paraId="203E36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3238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0DB1C6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(1946г.)- 1147 чел., (1947г.)- 1123 чел.</w:t>
      </w:r>
    </w:p>
    <w:p w14:paraId="781048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(06-07.1942г.)- Бочаров, (1948г.)- Печенов.</w:t>
      </w:r>
    </w:p>
    <w:p w14:paraId="23B6F4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(1948г.)- Пушкин.</w:t>
      </w:r>
    </w:p>
    <w:p w14:paraId="3CC740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 часы:</w:t>
      </w:r>
      <w:r w:rsidRPr="00640820">
        <w:rPr>
          <w:rFonts w:ascii="Times New Roman" w:hAnsi="Times New Roman"/>
          <w:color w:val="000000" w:themeColor="text1"/>
          <w:sz w:val="16"/>
          <w:szCs w:val="16"/>
        </w:rPr>
        <w:t xml:space="preserve"> авиационные АЧХО (ВОВ), АЧХ (1947); карманные К-43, молн. К-36, каминные, ТЧ (1947), настольные ЧБН-160 (] 980-е); секундомер </w:t>
      </w:r>
      <w:r w:rsidRPr="00640820">
        <w:rPr>
          <w:rFonts w:ascii="Times New Roman" w:hAnsi="Times New Roman"/>
          <w:color w:val="000000" w:themeColor="text1"/>
          <w:sz w:val="16"/>
          <w:szCs w:val="16"/>
          <w:lang w:val="en-US"/>
        </w:rPr>
        <w:t>CM</w:t>
      </w:r>
      <w:r w:rsidRPr="00640820">
        <w:rPr>
          <w:rFonts w:ascii="Times New Roman" w:hAnsi="Times New Roman"/>
          <w:color w:val="000000" w:themeColor="text1"/>
          <w:sz w:val="16"/>
          <w:szCs w:val="16"/>
        </w:rPr>
        <w:t xml:space="preserve"> (1947);</w:t>
      </w:r>
      <w:r w:rsidRPr="00640820">
        <w:rPr>
          <w:rFonts w:ascii="Times New Roman" w:hAnsi="Times New Roman"/>
          <w:color w:val="000000" w:themeColor="text1"/>
          <w:sz w:val="16"/>
          <w:szCs w:val="16"/>
          <w:vertAlign w:val="superscript"/>
        </w:rPr>
        <w:t>129</w:t>
      </w:r>
      <w:r w:rsidRPr="00640820">
        <w:rPr>
          <w:rFonts w:ascii="Times New Roman" w:hAnsi="Times New Roman"/>
          <w:color w:val="000000" w:themeColor="text1"/>
          <w:sz w:val="16"/>
          <w:szCs w:val="16"/>
        </w:rPr>
        <w:t xml:space="preserve"> счетчик частоты дыхания и пульса СДП-70 (1970- е); реле времени циклическое РВЦ (1980-е) (11982).</w:t>
      </w:r>
    </w:p>
    <w:p w14:paraId="4300A6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AFEF488"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25 декабря</w:t>
      </w:r>
      <w:r w:rsidRPr="00640820">
        <w:rPr>
          <w:rFonts w:ascii="Times New Roman" w:hAnsi="Times New Roman"/>
          <w:color w:val="000000" w:themeColor="text1"/>
          <w:sz w:val="16"/>
          <w:szCs w:val="16"/>
        </w:rPr>
        <w:t xml:space="preserve"> в 1941 году выдал первую продукцию Златоустовский часовой завод (Челябинская область), созданный на базе эвакуированного из Москвы 1-го Государственного часового завода имени С.М.Кирова. Ныне — акционерное общество (14871).</w:t>
      </w:r>
    </w:p>
    <w:p w14:paraId="71F7BBF4" w14:textId="77777777" w:rsidR="00CE5E8A" w:rsidRPr="00640820" w:rsidRDefault="00CE5E8A" w:rsidP="00640820">
      <w:pPr>
        <w:spacing w:after="0" w:line="240" w:lineRule="auto"/>
        <w:jc w:val="both"/>
        <w:rPr>
          <w:rFonts w:ascii="Times New Roman" w:hAnsi="Times New Roman"/>
          <w:color w:val="000000" w:themeColor="text1"/>
          <w:sz w:val="16"/>
          <w:szCs w:val="16"/>
        </w:rPr>
      </w:pPr>
    </w:p>
    <w:p w14:paraId="47F262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декабря 1941 г. по пр. НКЭП № В-261 а/сс «в связи с выполнением заводом заказов только для нужд обороны, требующие секретности в производстве», Московский машиностроительный завод НКЭП переименован в завод № 615 (Завод № 615 НКЭП, СНХ, Московский машиностроительный завод НКЭП /г. Москва/) и причислен к предприятиям 1-й категории. Был в 11.1943 г.</w:t>
      </w:r>
    </w:p>
    <w:p w14:paraId="38B885E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В.Я. Масленников.</w:t>
      </w:r>
    </w:p>
    <w:p w14:paraId="19F620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120-мм мины, детали 120-мм миномета (1941); электромашинные усилители и электродвигатели для ЗРК «Круг»; бытовые электропроигрыватели (11982).</w:t>
      </w:r>
    </w:p>
    <w:p w14:paraId="123E15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2C11D98"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75995404"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6390AC7"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25 декабря</w:t>
      </w:r>
      <w:r w:rsidRPr="00640820">
        <w:rPr>
          <w:rFonts w:ascii="Times New Roman" w:hAnsi="Times New Roman"/>
          <w:color w:val="000000" w:themeColor="text1"/>
          <w:sz w:val="16"/>
          <w:szCs w:val="16"/>
        </w:rPr>
        <w:t xml:space="preserve"> в 1941 году утреннее сообщение Совинформбюро:</w:t>
      </w:r>
    </w:p>
    <w:p w14:paraId="255F285F"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25 декабря наши войска вели бои с противником на всех фронтах.</w:t>
      </w:r>
    </w:p>
    <w:p w14:paraId="4E9C8134"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Наша часть, действующая на одном из участков Западного фронта, за два дня боёв захватила 4 танка, 23 орудия, бронемашину, 19 пулемётов, 206 велосипедов, 16 повозок и 20.000 патронов. На другом участке фронта наши бойцы истребили батальон вражеской пехоты и захватили 3 немецких танка, 14 пулемётов, 2 миномётных батареи, 6 автомашин с грузом и один самолёт.</w:t>
      </w:r>
    </w:p>
    <w:p w14:paraId="651586AC"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части, действующие на Калининском фронте, за один день боёв освободили от немцев 50 населённых пунктов и захватили 10 вражеских танков, 18 орудий, 68 автомашин, 25 пулеметов и крупный патронный склад.</w:t>
      </w:r>
    </w:p>
    <w:p w14:paraId="05DC6C13"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Часть тов. Хасина, действующая на одном из участков Юго-Западного фронта, за один день боёв с противником уничтожила миномётную батарею, 10 противотанковых орудий, сбила 2 самолёта и истребила 500 солдат и офицеров противника.</w:t>
      </w:r>
    </w:p>
    <w:p w14:paraId="742AC47B"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бойцы в ожесточённом бою с противником на одном из участков Южного фронта выбили немцев из нескольких населённых пунктов, захватили 8 орудий, 10 миномётов, 5 пулемётов и истребили 300 немецких солдат и офицеров.</w:t>
      </w:r>
    </w:p>
    <w:p w14:paraId="27C089A3"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Взятые за последнее время в плен немецкие солдаты сообщают о больших потерях германских войск и о дальнейшем падении боевого духа немецких солдат. Военнопленный ефрейтор 5-й роты 2 батальона 44 полка 11 пехотной дивизии Пауль Христианзен заявил: «Второй батальон за полтора месяца потерял до 300 человек. В 5 роте с каждым днём увеличивается число солдат, выбывающих из строя в связи с простудными заболеваниями и обмораживанием конечностей». Ефрейтор 3 кавалерийского взвода 2 эскадрона разведотряда 21 пехотной дивизии Ничман Гейнц сообщил: «2 эскадрон потерял за последнее время 110 человек убитыми и ранеными. Кроме того, имеется 25 человек простуженных и обмороженных. Мы не дождёмся конца войны. Многие из нас уже давно перестали верить в победу над Россией». Военнопленный ефрейтор 7 роты 110 полка 112 пехотной дивизии Курт Манцман сказал: «Солдаты плохо переносят холода. В нашей роте зарегистрировано 12 случаев обмораживания». Солдат 11 роты 463 полка 263 пехотной дивизии Освальд Биннар заявил: «В 11 роте осталось всего 20 солдат, а в 10 роте — 40. Все солдаты одеты очень легко и жалуются на холод. Много простуженных и больных».</w:t>
      </w:r>
    </w:p>
    <w:p w14:paraId="206CFBDF"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Трудящиеся Ивановской области своей самоотверженной работой помогают Красной Армии громить немецко-фашистские полчища. Завод текстильного машиностроения, «Торфмаш», завод имени Королёва, «Авто-прибор» и другие предприятия перевыполнили годовой план. На заводе «Торфмаш» насчитывается более 240 трехсотников, 30 работниц Ново-Ивановской мануфактуры по почину ткачих Скосыревой, Бородулиной, Михеевой, Борбашёвой, Трухиной и Прусовой перешли на обслуживание 16 станков, заправленных молескином, вместо 6 по норме, что является рекордным для этого сорта ткани.</w:t>
      </w:r>
    </w:p>
    <w:p w14:paraId="100762B2"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Н-ском депо за время войны сверх плана перевезено свыше 100 тысяч тонн грузов, сэкономлено более тысячи тонн угля. Машинист Титов провёл 35 тяжеловесных поездов, машинист Снегирев — 32 поезда. Целиком стахановским стал котельный цех депо. Все котельщики выполняют две нормы и больше.» (14871).</w:t>
      </w:r>
    </w:p>
    <w:p w14:paraId="0662017D" w14:textId="77777777" w:rsidR="00471CF3" w:rsidRPr="00640820" w:rsidRDefault="00471CF3" w:rsidP="00640820">
      <w:pPr>
        <w:spacing w:after="0" w:line="240" w:lineRule="auto"/>
        <w:jc w:val="both"/>
        <w:rPr>
          <w:rFonts w:ascii="Times New Roman" w:hAnsi="Times New Roman"/>
          <w:color w:val="000000" w:themeColor="text1"/>
          <w:sz w:val="16"/>
          <w:szCs w:val="16"/>
        </w:rPr>
      </w:pPr>
    </w:p>
    <w:p w14:paraId="78DFBC13"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25 декабря</w:t>
      </w:r>
      <w:r w:rsidRPr="00640820">
        <w:rPr>
          <w:rFonts w:ascii="Times New Roman" w:hAnsi="Times New Roman"/>
          <w:color w:val="000000" w:themeColor="text1"/>
          <w:sz w:val="16"/>
          <w:szCs w:val="16"/>
        </w:rPr>
        <w:t xml:space="preserve"> в 1941 году вечернее сообщение Совинформбюро:</w:t>
      </w:r>
    </w:p>
    <w:p w14:paraId="3A3F106D"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25 декабря наши войска вели бои с противником на всех фронтах. На ряде участков Западного, Калининского и Юго-Западного фронтов наши войска, ведя бои с противником, продолжали продвигаться вперёд и заняли ряд населённых пунктов.</w:t>
      </w:r>
    </w:p>
    <w:p w14:paraId="2065F240"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24 декабря уничтожено 34 немецких самолёта. Наши потери — 11 самолётов.</w:t>
      </w:r>
    </w:p>
    <w:p w14:paraId="020B5420"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24 декабря части нашей авиации уничтожили не менее 12 немецких танков, 4 бронемашины, 446 автомашин с войсками и грузами, 11 полевых орудий с прислугой, 4 зенитных орудия, 9 зенитно-пулемётных точек, свыше 135 повозок с боеприпасами, 3 автоцистерны с горючим, взорвали склад боеприпасов, в трёх местах разрушили железнодорожное полотно и рассеяли 3 полка пехоты и эскадрон кавалерии противника.</w:t>
      </w:r>
    </w:p>
    <w:p w14:paraId="07A6FF0F"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Часть тов. Короткова, действующая на одном из участков Западного фронта, разгромила штаб 206 немецкого пехотного полка и захватила большие склады боеприпасов, 270 автомашин, 15 орудий, 22 мотоцикла, 50 велосипедов. На другом участке фронта наши бойцы в результате ожесточённого боя с противником захватили 12 вражеских автомашин, 2 орудия, 8 миномётов и 2 знамени 487 немецкого пехотного полка.</w:t>
      </w:r>
    </w:p>
    <w:p w14:paraId="2C93951B"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Вражеские автоматчики и пулемётчики, засевшие в помещении церкви в селении Ю., ураганным огнём мешали нашему подразделению продвигаться вперёд. Политрук тов. Рагулин с группой бойцов подобрался к церкви, гранатами и пулемётным огнём уничтожил всех 52 находившихся в ней немцев.</w:t>
      </w:r>
    </w:p>
    <w:p w14:paraId="34CBEF30"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Чувство тревоги и уныния всё чаще и чаще сквозит в письмах, которые получают из тыла немецкие солдаты. Мать солдата Георга Ансельда пишет: «Здесь все говорят, что дела наши на Востоке неладные. Такая война — это нечто ужасное. Ты спрашиваешь, что здесь говорят о войне. Могу тебе сказать, что это самая несчастная война...» Иоганнес Шнейдер спрашивает своего приятеля ефрейтора Гюнтера: «Правда ли то, что говорят здесь и что подтверждают раненые солдаты, якобы у нас катастрофические потери, что целые полки и дивизии полностью истреблены и уничтожены?». Жена солдата Ганса Книппера пишет мужу: «Я часто слушаю фронтовые сообщения рот пропаганды. Так получается всё гладко и прилизано — слушать тошно...»</w:t>
      </w:r>
    </w:p>
    <w:p w14:paraId="0EA3CC7C"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ряде областей колхозники решили откармливать в своих личных хозяйствах скот и птицу для сдачи мяса сверх плана на нужды Красной Армии. Колхозник А.Костин из сельхозартели имени Кирова, Красночикойского района, Читинской области, поставил на откорм бычка. Примеру Костина последовали колхозники С. Болдырев, И. Михайлов, Б. Лоскутников и другие. В колхозе «Красный пахарь» поставлено на откорм 3 быка и 10 баранов, в артели имени Молотова — 3 быка, в артели «Герой труда», Хабаровского края, колхозники откормили и сдали Красной Армии 10 телят и 150 кур. В селе Паруновка откормлено и сдано для советских бойцов 16 баранов, 2 телёнка и сотни кур. 50-летняя колхозница артели имени Ленина, Закаменского аймака, Бурят-Монгольской АССР, Гарма Цинсеева сдала для Красной Армии одну свинью и одну корову. Члены одной из сельскохозяйственных артелей Баргузинского аймака поставили в своих личных хозяйствах на откорм для сдачи в фонд обороны около 300 овец. Кроме того, из общественного стада поставлено на откорм 50 голов крупного рогатого скота, 120 овец и 20 свиней. Колхозники 17 артелей этого аймака в своих хозяйствах поставили на откорм 172 свиньи, 740 овец, 35 голов крупного рогатого скота.»</w:t>
      </w:r>
    </w:p>
    <w:p w14:paraId="3CE86A2E"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последний час.</w:t>
      </w:r>
    </w:p>
    <w:p w14:paraId="3B3E4097"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Разгром волховской группы противника.</w:t>
      </w:r>
    </w:p>
    <w:p w14:paraId="5E40A2CA"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«Части 54 армии генерал-майора тов. Федюнинского (Ленинградский фронт) за период с 18 по 25 декабря разгромили волховскую группу противника. В результате разгрома этой группы нами захвачены следующие трофеи: орудий — 87, станковых пулемётов — 47, ручных пулемётов — 166, автоматов — 57, винтовок — 600, танков — 26, миномётов — 142, грузовых автомашин — 200, патронов — свыше 300.000, снарядов - 18.000, мин— 13.000, гранат — 10.000, велосипедов — 400 и много другого военного имущества. Уничтожено до 6.000 немецких солдат и офицеров. Освобождено от противника 32 населённых пункта.» (14871).</w:t>
      </w:r>
    </w:p>
    <w:p w14:paraId="70B21997" w14:textId="77777777" w:rsidR="00471CF3" w:rsidRPr="00640820" w:rsidRDefault="00471CF3" w:rsidP="00640820">
      <w:pPr>
        <w:spacing w:after="0" w:line="240" w:lineRule="auto"/>
        <w:jc w:val="both"/>
        <w:rPr>
          <w:rFonts w:ascii="Times New Roman" w:hAnsi="Times New Roman"/>
          <w:color w:val="000000" w:themeColor="text1"/>
          <w:sz w:val="16"/>
          <w:szCs w:val="16"/>
        </w:rPr>
      </w:pPr>
    </w:p>
    <w:p w14:paraId="7B8C9982"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25 декабря</w:t>
      </w:r>
      <w:r w:rsidRPr="00640820">
        <w:rPr>
          <w:rFonts w:ascii="Times New Roman" w:hAnsi="Times New Roman"/>
          <w:color w:val="000000" w:themeColor="text1"/>
          <w:sz w:val="16"/>
          <w:szCs w:val="16"/>
        </w:rPr>
        <w:t xml:space="preserve"> в 1941 году началась Керченско-Феодосийская десантная операция советских войск в ходе Великой Отечественной войны. Корабли и суда Черноморского флота и Азовской военной флотилии перебросили в Крым свыше 40 тысяч человек из состава частей и соединений Закавказского фронта. 2 января 1942 г. операция завершилась освобождением Керченского полуострова (14871).</w:t>
      </w:r>
    </w:p>
    <w:p w14:paraId="5BEA008B" w14:textId="77777777" w:rsidR="00471CF3" w:rsidRPr="00640820" w:rsidRDefault="00471CF3" w:rsidP="00640820">
      <w:pPr>
        <w:spacing w:after="0" w:line="240" w:lineRule="auto"/>
        <w:jc w:val="both"/>
        <w:rPr>
          <w:rFonts w:ascii="Times New Roman" w:hAnsi="Times New Roman"/>
          <w:color w:val="000000" w:themeColor="text1"/>
          <w:sz w:val="16"/>
          <w:szCs w:val="16"/>
        </w:rPr>
      </w:pPr>
    </w:p>
    <w:p w14:paraId="3B23B920"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25 декабря</w:t>
      </w:r>
      <w:r w:rsidRPr="00640820">
        <w:rPr>
          <w:rFonts w:ascii="Times New Roman" w:hAnsi="Times New Roman"/>
          <w:color w:val="000000" w:themeColor="text1"/>
          <w:sz w:val="16"/>
          <w:szCs w:val="16"/>
        </w:rPr>
        <w:t xml:space="preserve"> 1941 Завершилась Клинско-Солнечногорская оперция: советские войска разгромили 3-ю и 4-ю танковые группы противника, продвинулись на запад на 90-110 км, ликвидировали угрозу обхода Москвы с севера. Войска 5-й армии Западного фронта вышли к реке Руза. Войска Брянского фронта освободили г. Ливны (14871).</w:t>
      </w:r>
    </w:p>
    <w:p w14:paraId="6481D84A" w14:textId="77777777" w:rsidR="00471CF3" w:rsidRPr="00640820" w:rsidRDefault="00471CF3" w:rsidP="00640820">
      <w:pPr>
        <w:spacing w:after="0" w:line="240" w:lineRule="auto"/>
        <w:jc w:val="both"/>
        <w:rPr>
          <w:rFonts w:ascii="Times New Roman" w:hAnsi="Times New Roman"/>
          <w:color w:val="000000" w:themeColor="text1"/>
          <w:sz w:val="16"/>
          <w:szCs w:val="16"/>
        </w:rPr>
      </w:pPr>
    </w:p>
    <w:p w14:paraId="64537CA7"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декабря 1941 вышло Постановление ГКО № 1063 [О поручении Ворошилову К.Е. контролировать формирование новых дивизий и бригад в округах: Московском, Приволжском, Уральском, Южно-Уральском и Средне-Азиатском.] (7018, 171).</w:t>
      </w:r>
    </w:p>
    <w:p w14:paraId="71E1F07A"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D3620C" w14:textId="77777777" w:rsidR="00045010" w:rsidRPr="00640820" w:rsidRDefault="00045010" w:rsidP="00640820">
      <w:pPr>
        <w:widowControl w:val="0"/>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25 декабря 1941 г. во внутренних ок</w:t>
      </w:r>
      <w:r w:rsidRPr="00640820">
        <w:rPr>
          <w:rFonts w:ascii="Times New Roman" w:hAnsi="Times New Roman"/>
          <w:color w:val="000000" w:themeColor="text1"/>
          <w:sz w:val="16"/>
          <w:szCs w:val="16"/>
        </w:rPr>
        <w:softHyphen/>
        <w:t>ругах Советского Союза находилось 18 «Ком</w:t>
      </w:r>
      <w:r w:rsidRPr="00640820">
        <w:rPr>
          <w:rFonts w:ascii="Times New Roman" w:hAnsi="Times New Roman"/>
          <w:color w:val="000000" w:themeColor="text1"/>
          <w:sz w:val="16"/>
          <w:szCs w:val="16"/>
        </w:rPr>
        <w:softHyphen/>
        <w:t>сомольцев»: восемь - в 38-м запасном пол</w:t>
      </w:r>
      <w:r w:rsidRPr="00640820">
        <w:rPr>
          <w:rFonts w:ascii="Times New Roman" w:hAnsi="Times New Roman"/>
          <w:color w:val="000000" w:themeColor="text1"/>
          <w:sz w:val="16"/>
          <w:szCs w:val="16"/>
        </w:rPr>
        <w:softHyphen/>
        <w:t>ку, по одному - в 30-м и 31 -м запасных пол</w:t>
      </w:r>
      <w:r w:rsidRPr="00640820">
        <w:rPr>
          <w:rFonts w:ascii="Times New Roman" w:hAnsi="Times New Roman"/>
          <w:color w:val="000000" w:themeColor="text1"/>
          <w:sz w:val="16"/>
          <w:szCs w:val="16"/>
        </w:rPr>
        <w:softHyphen/>
        <w:t>ках и восемь - в 23-м запасном полку, кото</w:t>
      </w:r>
      <w:r w:rsidRPr="00640820">
        <w:rPr>
          <w:rFonts w:ascii="Times New Roman" w:hAnsi="Times New Roman"/>
          <w:color w:val="000000" w:themeColor="text1"/>
          <w:sz w:val="16"/>
          <w:szCs w:val="16"/>
        </w:rPr>
        <w:softHyphen/>
        <w:t>рый дислоцировался в Казани (11895).</w:t>
      </w:r>
    </w:p>
    <w:p w14:paraId="5F652539" w14:textId="77777777" w:rsidR="00045010" w:rsidRPr="00640820" w:rsidRDefault="00045010" w:rsidP="0064082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51E4C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C 25 декабря 1941 по 2 января 1942 состоялась Керченско-Феодосийская десантная операция ЧФ и Азовской флотилии. Высадили 6 дивизий, 2 бригады и захватили плацдармы. Участвовало 250 кораблей и 660 самолетов. Очистили полуостров и развернули Крымский фронт (2438,308).</w:t>
      </w:r>
    </w:p>
    <w:p w14:paraId="4EC1B3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8078B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25 декабря 1941 по 2 января 1942 была Керченско-Феодосийская десантная операция. </w:t>
      </w:r>
    </w:p>
    <w:p w14:paraId="548360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конце ноября 1941 Ставка ВГК приняла решение провести десантную операцию в целях освобождения Керченского п-ова и создания условий для освобождения Крыма. Замысел операции состоял в том, чтобы силами Закавказского фронта (командующий генерал-лейтенант Д. Т. Козлов), ЧФ (вице-адмирал Ф. С. Октябрьский) и АВФ (контр-адмирал С. Г. Горшков) высадить десанты в район Керчи (51-я армия) и в Феодосийский порт (44-я армия), окружить и уничтожить керченскую группировку противника (около 25 тыс. человек, 180 орудий, 118 танков, 2 авиагруппы). Главный удар должен был наноситься из района Феодосии. </w:t>
      </w:r>
    </w:p>
    <w:p w14:paraId="4F19C1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состав десантов были включены 6 стрелковых дивизий, 2 стрелковые бригады и 2 горнострелковых полка (всего 41 930 человек, 43 танка, 198 орудий и 256 минометов). К участию в операции привлекалось более 250 кораблей и судов (в том числе 2 КР. 6 ЭМ, 52 СКА и ТКА), а также 660 самолетов ВВС Закавказского фронта и ЧФ. </w:t>
      </w:r>
    </w:p>
    <w:p w14:paraId="2A3365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Высадка десанта на побережье Керченского п-ова началась утром 26 декабря. Она проходила в сложнейших условиях. Бушевал шторм, у берега образовалась кромка льда, которая мешала подходу судов. Высадка десанта в Феодосийский порт производилась с боевых кораблей (КР «Красный Кавказ» и «Красный Крым», 3 ЭМ, 2 ТЩ, 12 СКА), а также с 13 транспортных судов и кораблей охранения (3 ЭМ, 3 ТЩ, 6 СКА). </w:t>
      </w:r>
    </w:p>
    <w:p w14:paraId="10C96C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Благодаря героизму и самоотверженности личного состава кораблей и бойцов десанта были захвачены плацдармы на северо-восточном побережье Керченского п-ова и в районе Феодосии. 2 января 1942, развивая успех, войска 44-й и 51-й армий полностью освободили Керченский п-ов, нанеся группировке противника большие потери. В ходе операции силами ЧФ, АВФ и Керченской ВМБ в Крым были доставлены 40 319 человек, 1760 лошадей, 434 орудия и миномета, 43 танка, 330 автомашин, 978 т боеприпасов и другие грузы. </w:t>
      </w:r>
    </w:p>
    <w:p w14:paraId="1A4755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 отличные боевые действия в операции гвардейского звания были удостоены крейсера «Красный Кавказ» и «Красный Крым». </w:t>
      </w:r>
    </w:p>
    <w:p w14:paraId="3DA741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Керченско-Феодосийская десантная операция была самой крупной морской десантной операцией Великой Отечественной войны. В результате ее в Крыму был создан новый фронт, противник потерял возможность через Керченский п-ов вторгнуться на Кавказ и был вынужден прекратить наступление под Севастополем, оборона которого продолжалась еще полгода (11712).</w:t>
      </w:r>
    </w:p>
    <w:p w14:paraId="549421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1D419A9"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50E93CEA"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ED2B2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декабря 1941 Жданов рискнул объявить о росте пайка, но многие к этому времени уже умерли (2070,63).</w:t>
      </w:r>
    </w:p>
    <w:p w14:paraId="141C7B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3C42861" w14:textId="77777777" w:rsidR="00471CF3" w:rsidRPr="00640820" w:rsidRDefault="00471C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25 декабря</w:t>
      </w:r>
      <w:r w:rsidRPr="00640820">
        <w:rPr>
          <w:rFonts w:ascii="Times New Roman" w:hAnsi="Times New Roman"/>
          <w:color w:val="000000" w:themeColor="text1"/>
          <w:sz w:val="16"/>
          <w:szCs w:val="16"/>
        </w:rPr>
        <w:t xml:space="preserve"> 1941 Произошло первое повышение норм выдачи хлеба в Ленинграде: рабочие и инженерно-технические работники стали получать 350 г в день, иждивенцы и дети - 200 г (14871).</w:t>
      </w:r>
    </w:p>
    <w:p w14:paraId="374DCA7C" w14:textId="77777777" w:rsidR="00471CF3" w:rsidRPr="00640820" w:rsidRDefault="00471CF3" w:rsidP="00640820">
      <w:pPr>
        <w:spacing w:after="0" w:line="240" w:lineRule="auto"/>
        <w:jc w:val="both"/>
        <w:rPr>
          <w:rFonts w:ascii="Times New Roman" w:hAnsi="Times New Roman"/>
          <w:color w:val="000000" w:themeColor="text1"/>
          <w:sz w:val="16"/>
          <w:szCs w:val="16"/>
        </w:rPr>
      </w:pPr>
    </w:p>
    <w:p w14:paraId="3E5DC832"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2ED5F524"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12A2AC9"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декабря 1941 вышло Постановление ГКО № 1064 О Польской армии на территории СССР. (7018, 172-174).</w:t>
      </w:r>
    </w:p>
    <w:p w14:paraId="29B85084"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F5963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декабря 1941 г. по постановлению ГОКО № 1064 по соглашению между СССР и польским эмигрантским правительством в СССР была сформирована Потлская армия. Командующим армией был назначен генерал В. Андерс. Штаб армии и штатные учреждения дислоцировались в городе Янги-Юле Узбекской ССР. В марте-</w:t>
      </w:r>
      <w:r w:rsidRPr="00640820">
        <w:rPr>
          <w:rFonts w:ascii="Times New Roman" w:hAnsi="Times New Roman"/>
          <w:color w:val="000000" w:themeColor="text1"/>
          <w:sz w:val="16"/>
          <w:szCs w:val="16"/>
        </w:rPr>
        <w:lastRenderedPageBreak/>
        <w:t>августе 1942 г. армия Андерса была выведена польским правительством на Ближний Восток, а оставленное ею имущество принято комиссией Среднеазиатского военного округа (9844).</w:t>
      </w:r>
    </w:p>
    <w:p w14:paraId="4E90BA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13CCC80"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347E01F3"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11D8AA3"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декабря 1941 войска “Свободной Франции” захватил французский остров Сент-Пьер (в тот же день был устроен референдум, на котором 98% населения проголосовало за генерала де Голля) (4962).</w:t>
      </w:r>
    </w:p>
    <w:p w14:paraId="455C745E"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E91C3C"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декабря 1941 японские войска захватили Гонконг, оборонявшийся англо-канадским гарнизоном (4962).</w:t>
      </w:r>
    </w:p>
    <w:p w14:paraId="37ECD45B"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39B87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декабря 1941 силы свободной Франции оккупировали Французские острова на побережье Канады (2100).</w:t>
      </w:r>
    </w:p>
    <w:p w14:paraId="50A9BD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AE4F5D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декабря 1941 англичане сдали Гонконг японцам (2238,10).</w:t>
      </w:r>
    </w:p>
    <w:p w14:paraId="5CB801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A2F1CF2"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25 декабря</w:t>
      </w:r>
      <w:r w:rsidRPr="00640820">
        <w:rPr>
          <w:rFonts w:ascii="Times New Roman" w:hAnsi="Times New Roman"/>
          <w:color w:val="000000" w:themeColor="text1"/>
          <w:sz w:val="16"/>
          <w:szCs w:val="16"/>
        </w:rPr>
        <w:t xml:space="preserve"> в 1941 году японские войска захватили Гонконг, оборонявшийся англо-канадским гарнизоном (14871).</w:t>
      </w:r>
    </w:p>
    <w:p w14:paraId="1C7631B4" w14:textId="77777777" w:rsidR="00CE5E8A" w:rsidRPr="00640820" w:rsidRDefault="00CE5E8A" w:rsidP="00640820">
      <w:pPr>
        <w:spacing w:after="0" w:line="240" w:lineRule="auto"/>
        <w:jc w:val="both"/>
        <w:rPr>
          <w:rFonts w:ascii="Times New Roman" w:hAnsi="Times New Roman"/>
          <w:color w:val="000000" w:themeColor="text1"/>
          <w:sz w:val="16"/>
          <w:szCs w:val="16"/>
        </w:rPr>
      </w:pPr>
    </w:p>
    <w:p w14:paraId="7D5D8C4C"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08DC2B83"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17DE3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декабря 1941 вышел приказ НКАП N 1187сс "О производстве самолетов Ил-2 на заводе 23 в Москве" (1327,19).</w:t>
      </w:r>
    </w:p>
    <w:p w14:paraId="55851E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ГКО в решении от 23 декабря 1941 N 1050сс постановил во изменение ранее вынесенного решения ГКО N 1039 от 17 декабря 1941 поставить на заводе 23 производство самолетов Ил-2 с АМ-38 вместо самолета 103, установив программу выпуска с марта 1942 с 5 до 10 в апреле, 30 в мае, 45 в июне, 75 в июле, 100 в августе, 125 в сентябре, 150 в октябре и ноябре и 175 в декабре 1942 (1327,19).</w:t>
      </w:r>
    </w:p>
    <w:p w14:paraId="6EFC13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постановлением ГКО было приказано:</w:t>
      </w:r>
    </w:p>
    <w:p w14:paraId="578D25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Обязать директора завода 1 Третьякова обеспечить завод 23 к 10 января 1942 комплектом техдокументации по самолету Ил-2 (чертежи, технология и чертежи оснастки).</w:t>
      </w:r>
    </w:p>
    <w:p w14:paraId="5CF6C1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Директору завода 18 Шенкману:</w:t>
      </w:r>
    </w:p>
    <w:p w14:paraId="015F02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отгрузить не позднее 15 февраля 1942 заводу 23 пять самолетов Ил-2 в агрегатах и все детали, узлы и вооружение, необходимые для сборки самолетов, не позже 5 марта - 10 самолетов Ил-2 россыпью (1327,19).</w:t>
      </w:r>
    </w:p>
    <w:p w14:paraId="34FCE43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4CC2AAF" w14:textId="77777777" w:rsidR="008416A6" w:rsidRPr="00640820" w:rsidRDefault="008416A6" w:rsidP="00640820">
      <w:pPr>
        <w:pStyle w:val="ae"/>
        <w:shd w:val="clear" w:color="auto" w:fill="FFFFFF"/>
        <w:spacing w:before="0" w:after="0"/>
        <w:jc w:val="both"/>
        <w:rPr>
          <w:color w:val="000000" w:themeColor="text1"/>
          <w:sz w:val="16"/>
          <w:szCs w:val="16"/>
        </w:rPr>
      </w:pPr>
      <w:r w:rsidRPr="00640820">
        <w:rPr>
          <w:color w:val="000000" w:themeColor="text1"/>
          <w:sz w:val="16"/>
          <w:szCs w:val="16"/>
        </w:rPr>
        <w:t>26 декабря 1941 вышел приказ НКАП № 1187сс</w:t>
      </w:r>
    </w:p>
    <w:p w14:paraId="078E67F6" w14:textId="77777777" w:rsidR="008416A6" w:rsidRPr="00640820" w:rsidRDefault="008416A6" w:rsidP="00640820">
      <w:pPr>
        <w:pStyle w:val="ae"/>
        <w:shd w:val="clear" w:color="auto" w:fill="FFFFFF"/>
        <w:spacing w:before="0" w:after="0"/>
        <w:jc w:val="both"/>
        <w:rPr>
          <w:color w:val="000000" w:themeColor="text1"/>
          <w:sz w:val="16"/>
          <w:szCs w:val="16"/>
        </w:rPr>
      </w:pPr>
      <w:r w:rsidRPr="00640820">
        <w:rPr>
          <w:color w:val="000000" w:themeColor="text1"/>
          <w:sz w:val="16"/>
          <w:szCs w:val="16"/>
        </w:rPr>
        <w:t>О производстве самолетов Ил-2 на заводе № 23 в г. Москве (19706).</w:t>
      </w:r>
    </w:p>
    <w:p w14:paraId="7D370535" w14:textId="77777777" w:rsidR="008416A6" w:rsidRPr="00640820" w:rsidRDefault="008416A6" w:rsidP="00640820">
      <w:pPr>
        <w:pStyle w:val="ae"/>
        <w:shd w:val="clear" w:color="auto" w:fill="FFFFFF"/>
        <w:spacing w:before="0" w:after="0"/>
        <w:jc w:val="both"/>
        <w:rPr>
          <w:color w:val="000000" w:themeColor="text1"/>
          <w:sz w:val="16"/>
          <w:szCs w:val="16"/>
        </w:rPr>
      </w:pPr>
    </w:p>
    <w:p w14:paraId="42CFAEFA" w14:textId="77777777" w:rsidR="00CE5E8A" w:rsidRPr="00640820" w:rsidRDefault="00CE5E8A"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26-го декабря 1941 года Нарком А.И. Шахурин, ссылаясь на разрешение Государственного Комитета Обороны приказывает (Приказы и распоряжения по НКАП и ПГУ. 1942 г. Центральный архив ИАЗ. Дело № 1, ч. 2, лист 3):</w:t>
      </w:r>
    </w:p>
    <w:p w14:paraId="347875E0" w14:textId="77777777" w:rsidR="00CE5E8A" w:rsidRPr="00640820" w:rsidRDefault="00CE5E8A" w:rsidP="00640820">
      <w:pPr>
        <w:pStyle w:val="rteindent11"/>
        <w:shd w:val="clear" w:color="auto" w:fill="FFFFFF"/>
        <w:spacing w:before="0" w:beforeAutospacing="0" w:after="0"/>
        <w:ind w:left="0" w:firstLine="0"/>
        <w:rPr>
          <w:rStyle w:val="af0"/>
          <w:i w:val="0"/>
          <w:color w:val="000000" w:themeColor="text1"/>
          <w:sz w:val="16"/>
          <w:szCs w:val="16"/>
        </w:rPr>
      </w:pPr>
      <w:r w:rsidRPr="00640820">
        <w:rPr>
          <w:rStyle w:val="af0"/>
          <w:i w:val="0"/>
          <w:color w:val="000000" w:themeColor="text1"/>
          <w:sz w:val="16"/>
          <w:szCs w:val="16"/>
        </w:rPr>
        <w:t>Директорам самолетных заводов в случае отсутствия на заводе необходимых агрегатов – производить доукомплектование перевозимых по железной дороге самолетов – агрегатами (винтами, бронеспинками, радиаторами, колесами, кислородными приборами, аккумуляторами) в местах сборки самолетов (15223).</w:t>
      </w:r>
    </w:p>
    <w:p w14:paraId="0C4EF00A" w14:textId="77777777" w:rsidR="00CE5E8A" w:rsidRPr="00640820" w:rsidRDefault="00CE5E8A" w:rsidP="00640820">
      <w:pPr>
        <w:pStyle w:val="rteindent11"/>
        <w:shd w:val="clear" w:color="auto" w:fill="FFFFFF"/>
        <w:spacing w:before="0" w:beforeAutospacing="0" w:after="0"/>
        <w:ind w:left="0" w:firstLine="0"/>
        <w:rPr>
          <w:rStyle w:val="af0"/>
          <w:i w:val="0"/>
          <w:color w:val="000000" w:themeColor="text1"/>
          <w:sz w:val="16"/>
          <w:szCs w:val="16"/>
        </w:rPr>
      </w:pPr>
    </w:p>
    <w:p w14:paraId="4B5B65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декабря 1941 вышел приказ НКАП N 1185сс "О производстве самолетов Пе-2 на заводе 22 в Казани" в исполнение постановления ГКО N 1048сс от 23 декабря 1941, которым решили объединить заводы 22 и 124 в единый завод 22, а производство ТБ-7 было приказано законсервировать, сохранив всю оснастку, тех. документацию и заделы.</w:t>
      </w:r>
    </w:p>
    <w:p w14:paraId="0C40B7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 обязал директора завода 22 Карпова и ГИ Лещенко в январе 1942 обеспечить выпуск 3 Пе-2 в день с 1 по 14 января, 4 - с 15 по 28 и 5 с 26 января, сделав 109 за январь (1327,9).</w:t>
      </w:r>
    </w:p>
    <w:p w14:paraId="29CBCB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A38306C"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26 декабря</w:t>
      </w:r>
      <w:r w:rsidRPr="00640820">
        <w:rPr>
          <w:rFonts w:ascii="Times New Roman" w:hAnsi="Times New Roman"/>
          <w:color w:val="000000" w:themeColor="text1"/>
          <w:sz w:val="16"/>
          <w:szCs w:val="16"/>
        </w:rPr>
        <w:t xml:space="preserve"> в 1941 году приказом наркома авиационной промышленности были объединены Казанский авиазавод и эвакуированный на его территорию Московский завод имени С.П.Горбунова (основан в 1927 г.). Ныне ФГУП "Казанское авиационное производственное объединение имени С.П.Горбунова" — один из крупнейших авиастроительных комплексов России. В годы Великой Отечественной войны здесь производились самолеты Пе-2 и Пе-8, после войны — Ту-4, Ту-16, Ту-104; с 1966 г. — Ил-62. В 2001 г. КАПО приступил к серийному выпуску нового отечественного пассажирского авиалайнера Ту-214 (разработка АО "Туполев"), отвечающего лучшим мировым стандартам (14872).</w:t>
      </w:r>
    </w:p>
    <w:p w14:paraId="28A65C27" w14:textId="77777777" w:rsidR="00CE5E8A" w:rsidRPr="00640820" w:rsidRDefault="00CE5E8A" w:rsidP="00640820">
      <w:pPr>
        <w:spacing w:after="0" w:line="240" w:lineRule="auto"/>
        <w:jc w:val="both"/>
        <w:rPr>
          <w:rFonts w:ascii="Times New Roman" w:hAnsi="Times New Roman"/>
          <w:color w:val="000000" w:themeColor="text1"/>
          <w:sz w:val="16"/>
          <w:szCs w:val="16"/>
        </w:rPr>
      </w:pPr>
    </w:p>
    <w:p w14:paraId="112A11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декабря 1941 заводы № 124 и № 22 приказано было объединить в завод № 22 для выпуска Пе-2, а производство ТБ-7 законсервировать. Специальными заданиями от 25.11.1941 правительство предписывало заняться выпуском ТБ-7 с двигателями М-82 и от 29.11.1941 - переоборудованием всех ТБ-7 под АМ-35А: машины № 14 с М-34, № 15 и № 18 с М-35, №№ 25, 35, 76, 86 с М-40 и №№ 37, 57, 66, 67, 77, 87, 97, 108 с М-30 (12049).</w:t>
      </w:r>
    </w:p>
    <w:p w14:paraId="15EDFA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59C82B4" w14:textId="77777777" w:rsidR="00CE5E8A" w:rsidRPr="00640820" w:rsidRDefault="00CE5E8A"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26 декабря 1941 г. по приказу НКАП от за</w:t>
      </w:r>
      <w:r w:rsidRPr="00640820">
        <w:rPr>
          <w:rFonts w:ascii="Times New Roman" w:cs="Times New Roman"/>
          <w:color w:val="000000" w:themeColor="text1"/>
          <w:spacing w:val="0"/>
        </w:rPr>
        <w:softHyphen/>
        <w:t>вод №24 обязывался сдать в 1 -м кварта</w:t>
      </w:r>
      <w:r w:rsidRPr="00640820">
        <w:rPr>
          <w:rFonts w:ascii="Times New Roman" w:cs="Times New Roman"/>
          <w:color w:val="000000" w:themeColor="text1"/>
          <w:spacing w:val="0"/>
        </w:rPr>
        <w:softHyphen/>
        <w:t>ле 1942 г. военной приемке 150 моторов АМ-37. Предполагалось наращивание его производства (15755).</w:t>
      </w:r>
    </w:p>
    <w:p w14:paraId="404F0FC7" w14:textId="77777777" w:rsidR="00CE5E8A" w:rsidRPr="00640820" w:rsidRDefault="00CE5E8A" w:rsidP="00640820">
      <w:pPr>
        <w:pStyle w:val="27"/>
        <w:shd w:val="clear" w:color="auto" w:fill="auto"/>
        <w:spacing w:after="0" w:line="240" w:lineRule="auto"/>
        <w:ind w:firstLine="0"/>
        <w:rPr>
          <w:rFonts w:ascii="Times New Roman" w:cs="Times New Roman"/>
          <w:color w:val="000000" w:themeColor="text1"/>
          <w:spacing w:val="0"/>
        </w:rPr>
      </w:pPr>
    </w:p>
    <w:p w14:paraId="341D1DB6"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5C098F7B"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5D23CA5"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декабря 1941 года вышел Указ президиума Верховного совета СССР "Об ответственности рабочих и служащих предприятий военной промышленности за самовольный уход с предприятий", которым все рабочие и служащие закреплялись на предприятиях без права увольнения. В указе говорилось: "Самовольный уход рабочих и служащих с предприятий указанных отраслей промышленности, в том числе эвакуированных, рассматривать как дезертирство, и лиц, виновных в самовольном уходе (дезертирстве), карать тюремным заключением на срок от 5 до 8 лет".</w:t>
      </w:r>
    </w:p>
    <w:p w14:paraId="1D6D736A"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нарушения Указа от 26 июня 1940 г. осуждено в первом полугодии 1941 г. 1 030 946 человек, во втором полугодии 1941 г. 722 636 человек, в первом полугодии 1942 г. 661 691 человек.</w:t>
      </w:r>
    </w:p>
    <w:p w14:paraId="0AF16B86"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время действия Указов от 26 июня 1940 г. и 26 декабря 1941 г. осуждено за нарушение трудовой дисциплины и предано суду за дезертирство с предприятий по состоянию на 1 января 1943 г.— 5 121 840 человек рабочих и служащих, в подавляющем большинстве своем занятых на работе в промышленных предприятиях, в том числе за прогул без уважительных причин свыше 4 миллионов человек (18406).</w:t>
      </w:r>
    </w:p>
    <w:p w14:paraId="6AB6A821" w14:textId="77777777" w:rsidR="008416A6" w:rsidRPr="00640820" w:rsidRDefault="008416A6" w:rsidP="00640820">
      <w:pPr>
        <w:spacing w:after="0" w:line="240" w:lineRule="auto"/>
        <w:jc w:val="both"/>
        <w:rPr>
          <w:rFonts w:ascii="Times New Roman" w:hAnsi="Times New Roman"/>
          <w:color w:val="000000" w:themeColor="text1"/>
          <w:sz w:val="16"/>
          <w:szCs w:val="16"/>
        </w:rPr>
      </w:pPr>
    </w:p>
    <w:p w14:paraId="7C5CD985"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декабря 1941</w:t>
      </w:r>
    </w:p>
    <w:p w14:paraId="1111B3DD"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РГАЭ Фонд 8752 Опись 4 Дело 8 лист 8 – 12 27.XII. № 11</w:t>
      </w:r>
    </w:p>
    <w:p w14:paraId="6F2DD22A"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 секретно. </w:t>
      </w:r>
    </w:p>
    <w:p w14:paraId="4BE48DE4"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w:t>
      </w:r>
    </w:p>
    <w:p w14:paraId="1A244EC1"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Народного Комиссара Танковой Промышленности</w:t>
      </w:r>
    </w:p>
    <w:p w14:paraId="7DEDFD4E"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75-Мсс</w:t>
      </w:r>
    </w:p>
    <w:p w14:paraId="2E1B8635"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Москва</w:t>
      </w:r>
    </w:p>
    <w:p w14:paraId="70F8763E"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декабря 1941 г.</w:t>
      </w:r>
    </w:p>
    <w:p w14:paraId="06DD244F"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исполнение постановления Г.К.О. от 19/XII-1941 г. за № 1043сс "О плане производства танков в 1 квартале 1942 г." ПРИКАЗЫВАЮ: </w:t>
      </w:r>
    </w:p>
    <w:p w14:paraId="6CC6A0DF"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Директорам танковых, моторных и корпусных заводов обеспечить выпуск танков, моторов и корпусов в 1 квартале и по месяцам в следующих количествах: </w:t>
      </w:r>
    </w:p>
    <w:p w14:paraId="1B16715E"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Моему заместителю т. Зернову в пределах установленного Г.К.О. задания заводу "Красный Октябрь" (НКЧМ) по изготовлению для завода № 264 – 750 корпусов танка Т-60, в том числе в январе 200 шт., в феврале – 250 шт., в марте – 300 шт., распределить механическую обработку деталей корпуса и башни танка Т-60 на заводах № 264 и СТЗ, сообщив в НКТП (г. Москва) это распределение. </w:t>
      </w:r>
    </w:p>
    <w:p w14:paraId="4707DB6B"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Директорам заводов № 37 (Фрезерову), № 38 (Рубинчик), № 264 (Зернову) изготовлять танки Т-60 с толщиной лобового бронелиста в 35 мм. </w:t>
      </w:r>
    </w:p>
    <w:p w14:paraId="13798186"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Директорам заводов № 112 и 178 изготовить в 1 квартале бронелист в следующих количествах: </w:t>
      </w:r>
    </w:p>
    <w:p w14:paraId="376AA981"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Поставку брони производить комплектно с окончанием поставки до 20 числа каждого месяца. </w:t>
      </w:r>
    </w:p>
    <w:p w14:paraId="11F579B5"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5. Зам. Начальника 1 отдела т. Давтян установить и сообщить Кировскому заводу, СТЗ, заводу № 76 количество моторов, подлежащих отгрузке в запас НКО, исходя из установленного общего задания в количестве 170 шт. </w:t>
      </w:r>
    </w:p>
    <w:p w14:paraId="114ABEF1"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Директору завода № 76 т. Кочеткову произвести переборку моторов М-17 в 1 квартале в количестве 500 шт., в том числе в январе 200 шт., в феврале 170 шт., в марте 130 шт. </w:t>
      </w:r>
    </w:p>
    <w:p w14:paraId="7B8BE123"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Начальнику Главснаба т. Розину реализовать выделенные НКТП в 1 кв. 1942 г. для комплектации танков следующие количества вооружения и оптики – поставляемые, согласно решения ГКО Наркоматом Обороны (ГАУ КА т. Яковлев): </w:t>
      </w:r>
    </w:p>
    <w:p w14:paraId="404907C2"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Директорам заводов изготовить и поставить в 1 квартале 1942 г. ГАБТУ КА по его номенклатуре танковых запчастей на сумму: </w:t>
      </w:r>
    </w:p>
    <w:p w14:paraId="4CBB63AF"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Начальнику Главснаба т. Розину: </w:t>
      </w:r>
    </w:p>
    <w:p w14:paraId="4BEC11FB"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реализовать выделенные НКТП на 1 кв. 1942 г. для производства танков, бронекорпусов и моторов кабельные изделия, электрооборудование и изделия, согласно приложениям № 1, 2, 3, 4, 5 и 6; </w:t>
      </w:r>
    </w:p>
    <w:p w14:paraId="3A7AA91E"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реализовать выделенные НКТП резиновые детали к танкам, войлочные изделия и шарикороликовые подшипники в следующих количествах: </w:t>
      </w:r>
    </w:p>
    <w:p w14:paraId="0EB6C310"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Директору Кировского завода т. Зальцман изготовить на оборудовании, переданном с завода "Динамо" вращающиеся контактные устройства к танкам в количествах, обеспечивающих программу 1 квартала 1942 г. по заводам НКТП и потребность НКСМ в объеме 3200 шт. в 1 квартале и 1000 шт. в январе месяце. Тов. Давтян (1 отдел НКТП) установить и сообщить заводу количество контактных устройств, подлежащих изготовлению. </w:t>
      </w:r>
    </w:p>
    <w:p w14:paraId="1465E427"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Обязать всех директоров танковых, корпусных, моторных и привлеченных к танкостроению – станкостроительных заводов организовать подготовку производства и снабжение таким образом, чтобы обеспечить равномерное выполнение установленного Государственного плана производства на 1 квартал 1942 г.</w:t>
      </w:r>
    </w:p>
    <w:p w14:paraId="23EE6D82"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Народный Комиссар Танковой Промышленности СССР</w:t>
      </w:r>
    </w:p>
    <w:p w14:paraId="0CEBD6B1"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подпись (В. Малышев)</w:t>
      </w:r>
    </w:p>
    <w:p w14:paraId="4E97FC32"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Отп. 1 экз.</w:t>
      </w:r>
    </w:p>
    <w:p w14:paraId="37B2F756"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(18198).</w:t>
      </w:r>
    </w:p>
    <w:p w14:paraId="67C76AAB" w14:textId="77777777" w:rsidR="008416A6" w:rsidRPr="00640820" w:rsidRDefault="008416A6" w:rsidP="00640820">
      <w:pPr>
        <w:spacing w:after="0" w:line="240" w:lineRule="auto"/>
        <w:jc w:val="both"/>
        <w:rPr>
          <w:rFonts w:ascii="Times New Roman" w:hAnsi="Times New Roman"/>
          <w:color w:val="000000" w:themeColor="text1"/>
          <w:sz w:val="16"/>
          <w:szCs w:val="16"/>
        </w:rPr>
      </w:pPr>
    </w:p>
    <w:p w14:paraId="68540673"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декабря 1941 года вышел Приказ НКБ № 63</w:t>
      </w:r>
    </w:p>
    <w:p w14:paraId="7A884BEE"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по Мосгорисполкому и НКБ № 55/109 от 19 декабря 1941 года во исполнение распоряжения Совнаркома № 652-КС от 15 декабря 1941 года НКБ передана Целлулоидная фабрика Ростокинского Райпроммтреста для производства запалов ручных гранат.</w:t>
      </w:r>
    </w:p>
    <w:p w14:paraId="59D5E7B7"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Целлулоидную фабрику передать заводу № 58 в качестве цеха по производству запалов ручных гранат (5679, 145).</w:t>
      </w:r>
    </w:p>
    <w:p w14:paraId="7E2733DD"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FDA410" w14:textId="77777777" w:rsidR="008416A6" w:rsidRPr="00640820" w:rsidRDefault="008416A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декабря 1941 г.</w:t>
      </w:r>
    </w:p>
    <w:p w14:paraId="5D8BE08A" w14:textId="77777777" w:rsidR="008416A6" w:rsidRPr="00640820" w:rsidRDefault="008416A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ВОПРОСЫ, РЕШЕННЫЕ ОПРОСОМ ЧЛЕНОВ БЮРО ГК ВКП(б)</w:t>
      </w:r>
    </w:p>
    <w:p w14:paraId="5A31E918" w14:textId="77777777" w:rsidR="008416A6" w:rsidRPr="00640820" w:rsidRDefault="008416A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26 декабря 1941</w:t>
      </w:r>
    </w:p>
    <w:p w14:paraId="47C82B30" w14:textId="77777777" w:rsidR="008416A6" w:rsidRPr="00640820" w:rsidRDefault="008416A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61гс. — Об изготовлении пистолетов-пулеметов «Кронштадт» (особая папка).</w:t>
      </w:r>
    </w:p>
    <w:p w14:paraId="652DB8BC" w14:textId="77777777" w:rsidR="008416A6" w:rsidRPr="00640820" w:rsidRDefault="008416A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Обязать директора опытного завода ЦКТИ т. Леонченкова организовать производство «ППК» и изготовить в январе месяце 1942 г. первую партию в количестве 500 шт.</w:t>
      </w:r>
    </w:p>
    <w:p w14:paraId="2614FE82" w14:textId="77777777" w:rsidR="008416A6" w:rsidRPr="00640820" w:rsidRDefault="008416A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Обязать управляющего Ленэнерго т. Карась обеспечить опытный завод ЦКТИ электроэнергией в количестве 350 квт. час ежесуточно.</w:t>
      </w:r>
    </w:p>
    <w:p w14:paraId="0E747E85" w14:textId="77777777" w:rsidR="008416A6" w:rsidRPr="00640820" w:rsidRDefault="008416A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Подписи — Кузнецов, Капустин, Никитин.</w:t>
      </w:r>
    </w:p>
    <w:p w14:paraId="26267E1F" w14:textId="77777777" w:rsidR="008416A6" w:rsidRPr="00640820" w:rsidRDefault="008416A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ЦГАИПД СПб. Ф. 25. Оп.2а. Д. 166. Л. 102. Карточка опросного голосования. Оригинал, машинопись. Подписи — автографы (19720).</w:t>
      </w:r>
    </w:p>
    <w:p w14:paraId="2DC141E1" w14:textId="77777777" w:rsidR="008416A6" w:rsidRPr="00640820" w:rsidRDefault="008416A6" w:rsidP="00640820">
      <w:pPr>
        <w:autoSpaceDE w:val="0"/>
        <w:autoSpaceDN w:val="0"/>
        <w:adjustRightInd w:val="0"/>
        <w:spacing w:after="0" w:line="240" w:lineRule="auto"/>
        <w:jc w:val="both"/>
        <w:rPr>
          <w:rFonts w:ascii="Times New Roman" w:hAnsi="Times New Roman"/>
          <w:color w:val="000000" w:themeColor="text1"/>
          <w:sz w:val="16"/>
          <w:szCs w:val="16"/>
        </w:rPr>
      </w:pPr>
    </w:p>
    <w:p w14:paraId="6A092DAD"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7D2A36FC"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78C6C63"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26 декабря</w:t>
      </w:r>
      <w:r w:rsidRPr="00640820">
        <w:rPr>
          <w:rFonts w:ascii="Times New Roman" w:hAnsi="Times New Roman"/>
          <w:color w:val="000000" w:themeColor="text1"/>
          <w:sz w:val="16"/>
          <w:szCs w:val="16"/>
        </w:rPr>
        <w:t xml:space="preserve"> в 1941 году утреннее сообщение Совинформбюро:</w:t>
      </w:r>
    </w:p>
    <w:p w14:paraId="41270222"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26 декабря наши войска вели бои с противником на всех фронтах.</w:t>
      </w:r>
    </w:p>
    <w:p w14:paraId="1089A8F9"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Часть тов. Вронского, действующая на одном из участков Западного фронта, за пять дней боёв выбила немцев из 30 населённых пунктов и захватила 47 орудий, 56 автомашин, 54 мотоцикла, 76 велосипедов. 15 станковых пулемётов, 8 миномётов и много других трофеев.</w:t>
      </w:r>
    </w:p>
    <w:p w14:paraId="0C240B0A"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ожесточённом бою с противником наши бойцы (Южный фронт) захватили 22 пулемёта, 13 миномётов, 17 орудий, 8 автомашин, 11.000 патронов, 1.000 снарядов и истребили 700 солдат и офицеров противника.</w:t>
      </w:r>
    </w:p>
    <w:p w14:paraId="5DC8230C"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Наша часть, действующая на одном из участков Ленинградского фронта, за два дня боёв захватила 4 немецких тяжёлых орудия, 18 пулемётов, 15 миномётов, 30 автоматов, 26 автомашин и много боеприпасов.</w:t>
      </w:r>
    </w:p>
    <w:p w14:paraId="61F567D6"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Группа бойцов под командованием лейтенанта Попова в одном из последних боёв истребила 6 немецких офицеров и свыше 40 солдат. Тов. Попов лично уничтожил офицера и 3 вражеских солдат.</w:t>
      </w:r>
    </w:p>
    <w:p w14:paraId="1E9D6CD6"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Отступая под ударами Красной Армии, немецко-фашистские мерзавцы зверски расправляются с мирным населением советских сёл и городов.</w:t>
      </w:r>
    </w:p>
    <w:p w14:paraId="18651D65"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посёлке Вельцы в подвал одного из домов гитлеровцы загнали 50 пленных красноармейцев и взорвали дом. В этом же посёлке немцы согнали в двухэтажное здание до 800 местных жителей, в том числе и детей. Затем гитлеровские бандиты подожгли дом. Стремительным натиском наши части заняли посёлок. Бойцы потушили пожар и спасли находившихся в горящем здании граждан. Установлены случаи, когда немецкое командование сгоняет из деревень мирных жителей в блиндажи и окопы и забрасывает их гранатами.</w:t>
      </w:r>
    </w:p>
    <w:p w14:paraId="7A256263"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Многие районы страны значительно расширяют посевы сахарной свёклы. В один из крупнейших сахаропроизводящих районов превращается Джамбулская область, Казахской ССР. В этом году здесь сеяли свёклу 112 колхозов и два совхоза, выраставшие богатый урожай. Около девятисот центнеров свёклы с гектара получили в колхозе «Карасу» звенья Туменбаева и Амановой, 600 центнеров с гектара собрал Меркенский свеклосовхоз. В будущем году площадь свекловичных плантаций в области расширяется более чем вдвое. Впервые приступают к посевам свёклы Таласский и Курдайский районы. В десять раз увеличивается площадь, занятая под посевами свёклы в Чуйском районе. Во всех районах области созываются 15-дневные курсы для подготовки кадров. Курсы обучат 5 тысяч бригадиров, звеньевых, механизаторов, химизаторов, яровизаторов, поливальщиков. Организуются стахановские школы. Впервые колхозы области заложили 34 миллиона корней свёклы, предназначаемых для выращивания семян. В течение ряда лет на полях колхозов Кировской области производились опытные посевы сахарной свёклы. Опыты показали полную возможность возделывания здесь этой культуры. В 1942 году посевы сахарной свёклы вводятся в 512 колхозах на площади в 7.000 гектаров. Участки, отведённые под свёклу, удобрены и вспаханы под зябь.» (14872).</w:t>
      </w:r>
    </w:p>
    <w:p w14:paraId="073C60BC" w14:textId="77777777" w:rsidR="00CE5E8A" w:rsidRPr="00640820" w:rsidRDefault="00CE5E8A" w:rsidP="00640820">
      <w:pPr>
        <w:spacing w:after="0" w:line="240" w:lineRule="auto"/>
        <w:jc w:val="both"/>
        <w:rPr>
          <w:rFonts w:ascii="Times New Roman" w:hAnsi="Times New Roman"/>
          <w:color w:val="000000" w:themeColor="text1"/>
          <w:sz w:val="16"/>
          <w:szCs w:val="16"/>
        </w:rPr>
      </w:pPr>
    </w:p>
    <w:p w14:paraId="3257CE03"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26 декабря</w:t>
      </w:r>
      <w:r w:rsidRPr="00640820">
        <w:rPr>
          <w:rFonts w:ascii="Times New Roman" w:hAnsi="Times New Roman"/>
          <w:color w:val="000000" w:themeColor="text1"/>
          <w:sz w:val="16"/>
          <w:szCs w:val="16"/>
        </w:rPr>
        <w:t xml:space="preserve"> в 1941 году вечернее сообщение Совинформбюро:</w:t>
      </w:r>
    </w:p>
    <w:p w14:paraId="6D870807"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26 декабря наши войска вели бои с противником на всех фронтах. На ряде участков Западного, Калининского и Юго-Западного фронтов наши войска, ведя бои с противником, продолжали продвигаться вперёд и заняли ряд населённых пунктов, в том числе города Наро-Фоминск, Белев. За 25 декабря уничтожено 2 немецких самолёта.</w:t>
      </w:r>
    </w:p>
    <w:p w14:paraId="704BE48F"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25 декабря наша авиачасть, действующая на Западном фронте, уничтожила не менее 10 немецких танков, около 60 автомашин с войсками и грузами, 18 полевых орудий с прислугой, 7 зенитных орудий, 16 зенитно-пулемётных точек, 60 повозок с боеприпасами, сожгла 3 железнодорожных состава и рассеяла до 2 батальонов пехоты противника.</w:t>
      </w:r>
    </w:p>
    <w:p w14:paraId="2A8C3112"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Часть тов. Фирсова, действующая на одном из участков Западного фронта, за три дня боёв с противником уничтожила 8 миномётных батарей, 3 противотанковых орудия, 13 станковых пулемётов, захватила 2 немецких танка, 10 пулемётов, 5 миномётов и истребила 2.500 вражеских солдат и офицеров. Часть тов. Короткова, действующая на другом участке фронта, за два дня боёв захватила 18 немецких орудий, 39 пулемётов, 30 миномётов и истребила 500 немцев.</w:t>
      </w:r>
    </w:p>
    <w:p w14:paraId="5F434166"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участков Ленинградского фронта наши позиции были атакованы немецким батальоном. Пьяные гитлеровцы двигались во весь рост, беспорядочно стреляя из автоматов. Подпустив противника на близкое расстояние, наши бойцы открыли по немцам меткий ружейно-пулемётный огонь. На поле боя осталось 300 вражеских трупов. Остатки разгромлённого батальона немцев в панике бежали.</w:t>
      </w:r>
    </w:p>
    <w:p w14:paraId="3230D94C"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бою за деревню Ю. ефрейтор Филиппов вёл своё отделение в штыковую атаку. Продвижение бойцов задержал пулемётный огонь противника. Тов. Филиппов подполз к вражеским пулемётчикам и забросал их гранатами. В бою за деревню В. отважный ефрейтор истребил пулемётный расчёт противника, 5 автоматчиков и 3 автоматчиков взял в плен. В этом же сражении тов. Филиппов спас жизнь раненому политруку роты, вынеся его с поля боя.</w:t>
      </w:r>
    </w:p>
    <w:p w14:paraId="170CFA06"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Получены сообщения о боевой работе партизанских отрядов, действующих в оккупированных немцами районах Московской области. Партизаны отряда тов. К. за последние дни уничтожили 12 автомашин с пехотой противника и взорвали дом, в котором расположился штаб крупного соединения немецкой армии. Партизанский отряд тов. Ш. истребил 60 немецких солдат и офицеров, взорвал 2 танка, 9 бронемашин, 8 грузовых автомашин, сжёг базу горючего и в ряде мест повредил телефонную связь противника. Советские патриоты взорвали мост по дороге, идущей к фронту. В результате на сутки было остановлено движение всех видов транспорта. Четыре партизана из отряда тов. Ф. совершили смелое нападение на вражескую автоколонну. Забросав немцев гранатами, партизаны истребили 25 вражеских солдат и офицеров.</w:t>
      </w:r>
    </w:p>
    <w:p w14:paraId="67E0819B"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Отступая под ударами частей Красной Армии, немцы согнали в деревне Я., Тульской области, 120 стариков, женщин и детей и прикрылись ими от огня советских пулемётов. Наши бойцы зашли противнику во фланг, разгромили гитлеровских бандитов и спасли от гибели мирных жителей.</w:t>
      </w:r>
    </w:p>
    <w:p w14:paraId="2AD917D0"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ныне освобождённой советскими частями деревне Колодезная фашисты после избиения и пыток расстреляли 30 местных жителей за то, что они не сдали немцам все имевшиеся у них тёплые вещи.</w:t>
      </w:r>
    </w:p>
    <w:p w14:paraId="65734DBE"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Фашистские военные власти умертвили в варшавских госпиталях около 300 тяжело больных сыпным тифом немецких солдат, недавно прибывших с Восточного фронта.»</w:t>
      </w:r>
    </w:p>
    <w:p w14:paraId="137A614C"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последний час.</w:t>
      </w:r>
    </w:p>
    <w:p w14:paraId="58F349F8"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Трофеи войск Калининского фронта за период с 17 по 27 декабря.</w:t>
      </w:r>
    </w:p>
    <w:p w14:paraId="08699320"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боях с немецкими оккупантами войсками Калининского фронта с 17 по 27 декабря захвачены следующие трофеи: танков и танкеток — 103, бронемашин — 6, орудий разного калибра — 180, пулеметов — 267, автоматов — 135, минометов — 86, огнемётов — 6, винтовок — 659, автомашин — 1.323, мотоциклов — 348, велосипедов — 213, самолетов — 8, радиостанций — 6, повозок — 115, лошадей — 130, снарядов — 12.200, мин разного калибра — свыше 8.300, винтовочных патронов — 778.480, гранат — 1.270 и другое военное имущество.</w:t>
      </w:r>
    </w:p>
    <w:p w14:paraId="553DF8E8"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этот же период уничтожено 38 танков, до 20 орудий, 75 пулемётов, 400 автомашин, 23 мотоцикла, 295 повозок с грузом и другое военное снаряжение.</w:t>
      </w:r>
    </w:p>
    <w:p w14:paraId="4582C4A8"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Освобождено от немецких оккупантов 332 населённых пункта.» (14872).</w:t>
      </w:r>
    </w:p>
    <w:p w14:paraId="44BF3BD8" w14:textId="77777777" w:rsidR="00CE5E8A" w:rsidRPr="00640820" w:rsidRDefault="00CE5E8A" w:rsidP="00640820">
      <w:pPr>
        <w:spacing w:after="0" w:line="240" w:lineRule="auto"/>
        <w:jc w:val="both"/>
        <w:rPr>
          <w:rFonts w:ascii="Times New Roman" w:hAnsi="Times New Roman"/>
          <w:color w:val="000000" w:themeColor="text1"/>
          <w:sz w:val="16"/>
          <w:szCs w:val="16"/>
        </w:rPr>
      </w:pPr>
    </w:p>
    <w:p w14:paraId="7767AD00"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декабря 1941 советские войска начали Керченско-Феодосийскую десантную операцию (4962).</w:t>
      </w:r>
    </w:p>
    <w:p w14:paraId="5F64C98A"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94ACBE"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26 декабря</w:t>
      </w:r>
      <w:r w:rsidRPr="00640820">
        <w:rPr>
          <w:rFonts w:ascii="Times New Roman" w:hAnsi="Times New Roman"/>
          <w:color w:val="000000" w:themeColor="text1"/>
          <w:sz w:val="16"/>
          <w:szCs w:val="16"/>
        </w:rPr>
        <w:t xml:space="preserve"> в 1941 году Керченско-Феодосийская десантная операция Закавказского фронта и Черноморского флота. Завершилась 2 января 1942 г (14872).</w:t>
      </w:r>
    </w:p>
    <w:p w14:paraId="3AB3C74C" w14:textId="77777777" w:rsidR="00CE5E8A" w:rsidRPr="00640820" w:rsidRDefault="00CE5E8A" w:rsidP="00640820">
      <w:pPr>
        <w:spacing w:after="0" w:line="240" w:lineRule="auto"/>
        <w:jc w:val="both"/>
        <w:rPr>
          <w:rFonts w:ascii="Times New Roman" w:hAnsi="Times New Roman"/>
          <w:color w:val="000000" w:themeColor="text1"/>
          <w:sz w:val="16"/>
          <w:szCs w:val="16"/>
        </w:rPr>
      </w:pPr>
    </w:p>
    <w:p w14:paraId="1DF173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декабря 1941 начался десант в Крым и к 30 декабря очистили Керченский полуостров и взяли Керчь (512,172).</w:t>
      </w:r>
    </w:p>
    <w:p w14:paraId="52D65A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4584971"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4A0623DB"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89A5E0D" w14:textId="77777777" w:rsidR="000E1AD9" w:rsidRPr="00640820" w:rsidRDefault="000E1AD9" w:rsidP="00640820">
      <w:pPr>
        <w:pStyle w:val="ae"/>
        <w:shd w:val="clear" w:color="auto" w:fill="FFFFFF"/>
        <w:spacing w:before="0" w:after="0"/>
        <w:jc w:val="both"/>
        <w:rPr>
          <w:color w:val="000000" w:themeColor="text1"/>
          <w:sz w:val="16"/>
          <w:szCs w:val="16"/>
        </w:rPr>
      </w:pPr>
      <w:r w:rsidRPr="00640820">
        <w:rPr>
          <w:color w:val="000000" w:themeColor="text1"/>
          <w:sz w:val="16"/>
          <w:szCs w:val="16"/>
        </w:rPr>
        <w:t>26 декабря 1941 года вышел Указ Президиума Верховного Совета СССР. В нем говорилось, что рабочие и служащие военных предприятий объявлялись на период войны мобилизованными и отвечали за дисциплину труда по законам военного времени. Самовольный уход с работы квалифицировался как дезертирство и карался тюремным заключением на срок от 5 до 8 лет (19828).</w:t>
      </w:r>
    </w:p>
    <w:p w14:paraId="0516FC3B" w14:textId="77777777" w:rsidR="000E1AD9" w:rsidRPr="00640820" w:rsidRDefault="000E1AD9" w:rsidP="00640820">
      <w:pPr>
        <w:shd w:val="clear" w:color="auto" w:fill="FFFFFF"/>
        <w:spacing w:after="0" w:line="240" w:lineRule="auto"/>
        <w:jc w:val="both"/>
        <w:rPr>
          <w:rFonts w:ascii="Times New Roman" w:hAnsi="Times New Roman"/>
          <w:color w:val="000000" w:themeColor="text1"/>
          <w:sz w:val="16"/>
          <w:szCs w:val="16"/>
        </w:rPr>
      </w:pPr>
    </w:p>
    <w:p w14:paraId="5DD71F4D"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декабря 1941 вышло Постановление ГКО № 1067 Об оплате труда отдельных групп рабочих-сдельщиков, работающих на прифронтовых участках дорог и в спецформированиях ж.-д. транспорта. (7018, 177).</w:t>
      </w:r>
    </w:p>
    <w:p w14:paraId="20D8ABD6"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44E29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декабря 1941 вышел указ Президиума ВС "Об ответственности рабочих и служащих предприятий военной промышленности за самовольный уход с предприятий" - прировнял к дезертирству (173,216).</w:t>
      </w:r>
    </w:p>
    <w:p w14:paraId="74B4CC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723FB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указу от 26 декабря 1941 «Об ответственности рабочих и служащих военной промышленности за самовольный уход с предприятия» (к военке были причислены почти все промышленные отрасли) по 1945-й включительно были осуждены более 900 тысяч человек. По закону от 26.6.1940 в 1942-м почти на 1,3 миллиона работников были наложены штрафы, 297 тысяч наказаны тюремным заключением от 2 до 4 месяцев; в 1943 соответствующие цифры составили 962 тысяч и 160 тысяч, в 1944 — 893 тысяч и 168 тысяч (11562).</w:t>
      </w:r>
    </w:p>
    <w:p w14:paraId="1A6A8C5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49586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декабря 1941 года был принят указ Президиума Верховного совета СССР «Об ответственности рабочих и служащих предприятий военной промышленности за самовольный уход с предприятий», предусматривающий тюремное заключение на срок от 5 до 8 лет с правом выноса заочного приговора. Несмотря на такие жесткие меры, удержать работников не всегда удавалось и многие военные предприятия страдали от нехватки рабочих рук. Поэтому 30 декабря 1944 года по указу Президиума Верховного совета СССР дезертирам была объявлена амнистия с условием их возвращения на работу до 15 февраля 1945 года (11595).</w:t>
      </w:r>
    </w:p>
    <w:p w14:paraId="774906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7969E85"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26 декабря</w:t>
      </w:r>
      <w:r w:rsidRPr="00640820">
        <w:rPr>
          <w:rFonts w:ascii="Times New Roman" w:hAnsi="Times New Roman"/>
          <w:color w:val="000000" w:themeColor="text1"/>
          <w:sz w:val="16"/>
          <w:szCs w:val="16"/>
        </w:rPr>
        <w:t xml:space="preserve"> в 1941 году Президиум Верховного Совета СССР принял Указ «Об ответственности рабочих и служащих предприятий военной промышленности за самовольный уход с предприятий». Все рабочие и служащие предприятий военной промышленности, а также предприятий других отраслей, обслуживающих военную промышленность по принципу кооперации, считались на период войны мобилизованными и закреплялись за теми предприятиями, на которых они работали; самовольный уход рассматривался как дезертирство; виновные в самовольном уходе карались по приговору военных трибуналов тюремным заключением на срок от 5 до 8 лет. Всего по этому закону было осуждено: в 1942 – 121 тысяча человек, в 1943 – 367 тысяч человек, в 1944 – 276 тысяч человек (14872).</w:t>
      </w:r>
    </w:p>
    <w:p w14:paraId="784C290F" w14:textId="77777777" w:rsidR="00CE5E8A" w:rsidRPr="00640820" w:rsidRDefault="00CE5E8A" w:rsidP="00640820">
      <w:pPr>
        <w:spacing w:after="0" w:line="240" w:lineRule="auto"/>
        <w:jc w:val="both"/>
        <w:rPr>
          <w:rFonts w:ascii="Times New Roman" w:hAnsi="Times New Roman"/>
          <w:color w:val="000000" w:themeColor="text1"/>
          <w:sz w:val="16"/>
          <w:szCs w:val="16"/>
        </w:rPr>
      </w:pPr>
    </w:p>
    <w:p w14:paraId="1CD00F0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декабря 1941 г. была повышена уголовная ответственность за самовольный уход с работы на военных предприятиях. В течение 1942–1945 гг. по нему, а также по Указам от 26 июня 1940 г. и от 28 декабря 1940 г. (за нарушение дисциплины и самовольный уход из ремесленных и железнодорожных училищ и школ ФЗО) осудили 7 758 000 человек, что составило 65,1 % от всех осужденных. Кроме того, действовали Указы от 13 февраля 1942 г. (о мобилизации населения для работы на производственном строительстве, за уклонение от которой была предусмотрена уголовная ответственность) и от 15 апреля 1942 г. (за уклонение от мобилизации на сельскохозяйственные работы и за «невыработку обязательного минимума трудодней»). Всего в 1940–1956 гг. по всем этим указам в Советском Союзе были осуждены 18 046 000 человек, или 53 % от всех осужденных в эти годы (кроме осужденных военными трибуналами). [399 — Лунев В. Преступность в годы Великой Отечественной войны.// Демоскоп Weekly, № 239–240 за 20.03–02.04.2006 г.]. Большая часть дел (около 70 %) по дезертирству с военных предприятий рассматривались заочно. В результате значительная часть приговоров выносилась необоснованно. В частности, из-за отсутствия должного учета на предприятиях и отсутствия связи органов розыска с военкоматами призванных в армию часто считали дезертирами с производства и соответственно передавали дела на них в военный трибунал. Органы же розыска механически давали справки о том, что самовольно оставивший производство не разыскан. [401 — ГОПАНО, Ф. 3, Оп. 1, Д. 3393, Л. 92.] Кроме того, многие дезертиры производства спокойно устраивались на работу на другие заводы, руководителям которых ввиду нехватки рабочей силы было безразлично, откуда к ним пришел человек (11741).</w:t>
      </w:r>
    </w:p>
    <w:p w14:paraId="74DC31D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71D4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декабря 1941 года вышел Указ Президиума Верховного Совета СССР. В нем говорилось, что рабочие и служащие военных предприятий объявлялись на период войны мобилизованными и отвечали за дисциплину труда по законам военного времени. Самовольный уход с работы квалифицировался как дезертирство и карался тюремным заключением на срок от 5 до 8 лет. Раньше других пострадали мальчишки-фэзэушники, которых направляли в районы области на заготовку леса и на строительные работы. Из-за неустроенности быта, отсутствия нормального питания и низкой зарплаты, они сотнями покидали свои рабочие места и уходили домой. При последующей проверке выяснилось, что им постоянно не хватало денег на еду. Не имея средств к существованию, мальчишки продавали свою форменную одежду и обувь. А когда и эти деньги кончались, убегали домой. Прокуратура области осенью 1941 года возбудила около тысячи дел на беглецов. В большинстве случаев ребят наказывали условно, но многие из тех, кого признали подстрекателями и злостными нарушителями трудовой дисциплины, были приговорены к различным срокам тюремного заключения. Судили и за уклонение от трудовой повинности. Житель села Чириково Кузоватовского района Куйбышевской области Я.И.Вилков решением народного суда в ноябре 1941 года был приговорен к двум годам лишения свободы. Выездная сессия народного суда обвинила его в злостном отказе от уборки урожая в своем колхозе. Несмотря на неоднократные вызовы на работу, а также различные меры общественного воздействия, Вилков под разными предлогами отсиживался дома и за весь год заработал в колхозе всего три трудодня. «Дезорганизатор тыла получил по заслугам. Приговор встречен трудящимися с удовлетворением», – писала об этом процессе областная газета «Волжская коммуна». Это был первый случай суда над прогульщиками и саботажниками производства в Куйбышевской области в годы Великой Отечественной войны. Для борьбы с уклонистами применялись повальные проверки в общежитиях и жилых домах, облавы на рынках города. Особенно часто проводились такие облавы на рынке Безымянки близ 9-го подшипникового завода. Этим порой пользовалась трудовая молодежь, желающая попасть на фронт. Парни специально гуляли по рынку без документов, чтобы попасть под облаву. Их забирали в комендатуру. Но на другой день приезжали представители заводов и увозили своих, а иногда и не своих назад, в цеха. Были уклонисты и на авиазаводе № 1. В апреле 1942 года Военный трибунал войск НКВД, рассмотрев дело об оставлении производства медником А.Ф.Чесноковым и слесарем М.П.Матушкиным, приговорил их к тюремному заключению на семь и пять лет соответственно. В июле 1942 года за самовольное оставление рабочих мест (дезертирство) Военный трибунал к большим срокам заключения приговорил целую группу работников завода. А на трех рабочих, систематически совершавших прогулы по подложным больничным листам, были заведены уголовные дела (11878).</w:t>
      </w:r>
    </w:p>
    <w:p w14:paraId="2FEBB4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06CAA8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декабря 1941 г. Президиум Верховного Совета СССР издал указ «Об от</w:t>
      </w:r>
      <w:r w:rsidRPr="00640820">
        <w:rPr>
          <w:rFonts w:ascii="Times New Roman" w:hAnsi="Times New Roman"/>
          <w:color w:val="000000" w:themeColor="text1"/>
          <w:sz w:val="16"/>
          <w:szCs w:val="16"/>
        </w:rPr>
        <w:softHyphen/>
        <w:t>ветственности рабочих и служащих предприятий военной про</w:t>
      </w:r>
      <w:r w:rsidRPr="00640820">
        <w:rPr>
          <w:rFonts w:ascii="Times New Roman" w:hAnsi="Times New Roman"/>
          <w:color w:val="000000" w:themeColor="text1"/>
          <w:sz w:val="16"/>
          <w:szCs w:val="16"/>
        </w:rPr>
        <w:softHyphen/>
        <w:t>мышленности за самовольный уход с предприятий», который объявлял работников оборонных производств мобилизованны</w:t>
      </w:r>
      <w:r w:rsidRPr="00640820">
        <w:rPr>
          <w:rFonts w:ascii="Times New Roman" w:hAnsi="Times New Roman"/>
          <w:color w:val="000000" w:themeColor="text1"/>
          <w:sz w:val="16"/>
          <w:szCs w:val="16"/>
        </w:rPr>
        <w:softHyphen/>
        <w:t>ми и приравнивал самовольное оставление предприятия к де</w:t>
      </w:r>
      <w:r w:rsidRPr="00640820">
        <w:rPr>
          <w:rFonts w:ascii="Times New Roman" w:hAnsi="Times New Roman"/>
          <w:color w:val="000000" w:themeColor="text1"/>
          <w:sz w:val="16"/>
          <w:szCs w:val="16"/>
        </w:rPr>
        <w:softHyphen/>
        <w:t>зертирству (</w:t>
      </w:r>
      <w:r w:rsidRPr="00640820">
        <w:rPr>
          <w:rFonts w:ascii="Times New Roman" w:hAnsi="Times New Roman"/>
          <w:iCs/>
          <w:color w:val="000000" w:themeColor="text1"/>
          <w:sz w:val="16"/>
          <w:szCs w:val="16"/>
        </w:rPr>
        <w:t>Кравченко Г.С.</w:t>
      </w:r>
      <w:r w:rsidRPr="00640820">
        <w:rPr>
          <w:rFonts w:ascii="Times New Roman" w:hAnsi="Times New Roman"/>
          <w:color w:val="000000" w:themeColor="text1"/>
          <w:sz w:val="16"/>
          <w:szCs w:val="16"/>
        </w:rPr>
        <w:t xml:space="preserve"> Указ. соч. С. 110) (12011).</w:t>
      </w:r>
    </w:p>
    <w:p w14:paraId="63D782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DA98622"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4B8BBBD7"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AB1F9C0"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26 декабря</w:t>
      </w:r>
      <w:r w:rsidRPr="00640820">
        <w:rPr>
          <w:rFonts w:ascii="Times New Roman" w:hAnsi="Times New Roman"/>
          <w:color w:val="000000" w:themeColor="text1"/>
          <w:sz w:val="16"/>
          <w:szCs w:val="16"/>
        </w:rPr>
        <w:t xml:space="preserve"> в 1941 году У.Черчилль впервые поднял два пальца в виде буквы V (14872).</w:t>
      </w:r>
    </w:p>
    <w:p w14:paraId="28C72201" w14:textId="77777777" w:rsidR="00CE5E8A" w:rsidRPr="00640820" w:rsidRDefault="00CE5E8A" w:rsidP="00640820">
      <w:pPr>
        <w:spacing w:after="0" w:line="240" w:lineRule="auto"/>
        <w:jc w:val="both"/>
        <w:rPr>
          <w:rFonts w:ascii="Times New Roman" w:hAnsi="Times New Roman"/>
          <w:color w:val="000000" w:themeColor="text1"/>
          <w:sz w:val="16"/>
          <w:szCs w:val="16"/>
        </w:rPr>
      </w:pPr>
    </w:p>
    <w:p w14:paraId="7A703F6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декабря 1941 британские коммандос напали на остров Лофотен в Норвегии (2100).</w:t>
      </w:r>
    </w:p>
    <w:p w14:paraId="3F3C3C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4F7AE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декабря США и Великобритания договорились о союзе с Китаем (3907,232).</w:t>
      </w:r>
    </w:p>
    <w:p w14:paraId="2CFB76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5EBB10D"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7DF416A3"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81560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декабря 1941 завод № 135 получил документацию на освоение Ил-2 (10674).</w:t>
      </w:r>
    </w:p>
    <w:p w14:paraId="0711CD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0FCE36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декабря 1941 года вышел приказ НКтанкопрома № 79Мсс во исполнение постановления ГОКО от 25 декабря 1941 года за № 1065сс, который обязал зам. начальника 3-го гл. управления НКТП Рывина и директора Куйбышевского механического завода Коневского передать Куйбышевский механический завод по производству бронекорпусов ИЛ-2 и бронезащиты самолетов.</w:t>
      </w:r>
    </w:p>
    <w:p w14:paraId="10ABB7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НКАП в своем приказе от 31 декабря 1941 года за № 1195сс обязал вновь назначенного решением ГКО директора Куйбышевского механического завода Засульского принять завод от НКтанкопрома и организовать производство бронекорпусов для самолетов ИЛ-2 и другой бронезащиты.</w:t>
      </w:r>
    </w:p>
    <w:p w14:paraId="26B57E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Указанным приказом Куйбышевскому механическому заводу присвоен № 207 с подчинением 10-му гл. управлению. В 1942 году в основном была направлена на строительство новых цехов и монтажэвакуированного обррудования из Подольского завода № 125 им. Орджоникидзе.</w:t>
      </w:r>
    </w:p>
    <w:p w14:paraId="1BB618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Первоначальная специализация завода № 207 – производство бронекорпусов для самолетов штурмовиков и бронезащиты для истребительной и бомбардировочной авиации.</w:t>
      </w:r>
    </w:p>
    <w:p w14:paraId="33DCA1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в 1942 году вел работу по сборке бронекорпусов Л-2 из деталей поступивших при эвакуации бывщ. Подольского завода № 125, а со второго квартала 1942 года постепенно переключался на выпуск бронекорпусов из деталей своего производства.</w:t>
      </w:r>
    </w:p>
    <w:p w14:paraId="321E16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Заводом освоено производство по изготовлению бронекорпусов ИЛ-2, бронезащиты (ПЕ-2, ИЛ-4/ДБ-3Ф, А-35 (ПС-84), А-34, ЛАГГ-3, ЯК-1Б, ТБ-7 и АБ-5). В 1942 году завод провел большую опытно-исследовательскую работу по повышению пулестойкости брони.</w:t>
      </w:r>
    </w:p>
    <w:p w14:paraId="473FD6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Изучено действие бронебойно-зажигательно-трассирующих пуль немецкого авиапулемета-пушки МГ-151 (калибра 15-20 мм) и разработаны параметры экранированной брони защищающей экипаж самолета от огня этого пулемета-пушки, являющегося основным оружием немецкой истребительной авиации. В 1943 году освоил выпуск изделий авиатехники по обеспечению ВВС бронекорпусами ИЛ-2 новой конструкции и бронезащиты (ПЕ-2, ИЛ-4, ПЕ-8, ЛИ-2, А-34-ЯК-1, ЛАГГ-3, ЛА-5, бронеколпаки АВ-5, кольца ВУБ-3 и бронекорзины.</w:t>
      </w:r>
    </w:p>
    <w:p w14:paraId="770FCD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Основные изделия 1944 года: бронекорпуса ИЛ-2 и ИЛ-10, бронезащита (ПЕ-2, ПЕ-2-И, ИЛ-4, ЕР-2, ЛИ-2(А-35), ЯК-1, ЛА-5, ЛАГГ_5, А-34, ЯК-3 плита ИЛ-2. В 1944 году завод освоил серийный выпуск нового объекта-бронекорпуса ИЛ-10. Выпуск бронекорпуса ИЛ-2 с 1 января 1945 года был прекращен.</w:t>
      </w:r>
    </w:p>
    <w:p w14:paraId="3449DE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Согласно Постановлению СНК от 22 октября 1945 года за № 15248рс и приказу НКАП от 29 октября 1945 года за № 416с произведено слияние Куйбышевский авиационных заводов №№ 207 и 305, присвоив объединенному заводу № 207.</w:t>
      </w:r>
    </w:p>
    <w:p w14:paraId="10E0AB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Продукция 1945 года: бронекорпуса ИЛ-2 и ИЛ-10, бронезащита ПЕ-2, ЕР-2, ИЛ-4, ЯК-3, ЛА-5, А-34, ПЕ-2-И-М и нижний люк ИЛ-2.</w:t>
      </w:r>
    </w:p>
    <w:p w14:paraId="16299E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обеспечения серийного выпуска заводом № 1 им. Сталина двухмоторного бомбардировщика ТУ-2 с мотором АМ-39фи Постановлением ГКО от 6 июня 1945 года за № 8934сс и приказу НКАП от 28 июня 1945 года за № 268сс завод освоил производство бронезащиты ТУ-2.</w:t>
      </w:r>
    </w:p>
    <w:p w14:paraId="55B050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этого завод приступил к осовению производства новой конструкции бронекорпуса ИЛ-16.</w:t>
      </w:r>
    </w:p>
    <w:p w14:paraId="67FA39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Филиалом завода изготовлялось более 50 наименований арматуры и нормалей для самолетов ТУ-2, ЛИ-2 и др. В 1945 году завод освоил по оборонной продукции новый бронекорпус ИЛ-16 для завода № 30 НКАП, бронезащиту для самолетов ТУ-2, бронезащиту ПЕ-2 и ПЕ-2м, освоено производство дюралевых деталей для бронекорпусов ИЛ-2, ИЛ-10 и Ил-16 ранее поставлявшихся с заводов №№ 1 и 18. В 1945 году создан и освоен принципиально новый тип брони, так называемая экранированная броня. Путем анализа взаимодействия снаряда и брони удалось найти такое сочетание параметров брони, при котором дробящий эффект брони возрастает в 8-15 раз, а следовательно и толщина брони необходимая для разрушения снаряда может быть взята в 3-4 раза меньше. В 1947 году во исполнение Постановления СМ от 2 августа 1947 года за № 2733-859сс и приказу МАП от 7 августа 1947 года за № 532сс заводу было предложено освоить изготовление реактивных камер для реактивного двигателя РД-20.</w:t>
      </w:r>
    </w:p>
    <w:p w14:paraId="057685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Согласно распоряжению СМ от 3 февраля 1948 года за № 1090рс и приказу МАП от 1 марта 1948 года за № 98с об организации завода авиационной арматуры и опытного КБ на этом же заводе, бывш. филиал из состава завода № 207 выделить в самостоятельный завод и присвоить ему № 305, создав на базе завода № 305 ОКБ присвоив ему № 305.</w:t>
      </w:r>
    </w:p>
    <w:p w14:paraId="2EEEBF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 дня организации завода № 207 согласно Постановлению ГКО от 25 декабря 1941 года за № 1065сс диреткором завода назначен Засульский В.И.. Приказом от 17 сентября 1946 года Засульский И.В. был освобожден от занимаемой должности директора завода. 17 сентября 1946 года директором завода был назначен Дубовиков Б.А. 5 июля 1952 года Дубовиков был освобожден от занимаемой должности. 5 июля 1952 года директором завода назначен Прилуков А.С., освобожденный от обязанностей директора на заводе № 305 МАП. 7 октября 1954 года Прилуков освобожден от должности директора. 7 октября 1954 года директором завода назначен Плоскинный А.Г., освобожденный от обязанностей директора на заводе № 511 МАП. 11 апреля 1957 года Плоскинный освобожден от обязанностей директора завода. 11 апреля 1957 года директором завода назначен Белослудцев И.П., освобожденный от обязанностей начальника производства на заводе № 18 МАП.</w:t>
      </w:r>
    </w:p>
    <w:p w14:paraId="183C2B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Куйбышев</w:t>
      </w:r>
    </w:p>
    <w:p w14:paraId="576E52B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Производственный профиль – изготовление ракетной техники, реактивного вооружения и броневой защиты для самолетов (9851).</w:t>
      </w:r>
    </w:p>
    <w:p w14:paraId="3E68A0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EECF21F" w14:textId="77777777" w:rsidR="00CE5E8A" w:rsidRPr="00640820" w:rsidRDefault="00CE5E8A"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декабря 1941 года вышел приказ № 79 мсс НКТП</w:t>
      </w:r>
    </w:p>
    <w:p w14:paraId="73116474" w14:textId="77777777" w:rsidR="00CE5E8A" w:rsidRPr="00640820" w:rsidRDefault="00CE5E8A"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исполнение постановления ГКО от 25 декабря 1941 года за № 1065сс:</w:t>
      </w:r>
    </w:p>
    <w:p w14:paraId="7D47A422" w14:textId="77777777" w:rsidR="00CE5E8A" w:rsidRPr="00640820" w:rsidRDefault="00CE5E8A"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начальника 3 Гл. управления и директору Куйбышевского механического завода передать НКАПу Куйбышевский механический завод Особстроя по производству бронекорпусов для самолетов Ил-2 с полным комплектом оборудования, необходимого для производства бронекорпусов Ил-2 по утвержденной ГКО программе (6045, 23).</w:t>
      </w:r>
    </w:p>
    <w:p w14:paraId="40709F11" w14:textId="77777777" w:rsidR="00CE5E8A" w:rsidRPr="00640820" w:rsidRDefault="00CE5E8A"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932C9D"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декабря 1941 г. Служебная записка № 4548сс Наркома путей сообщения СССР Л. Кагановича заместителю Наркома путей сообщения СССР Н. Дубровину о немедленной организации производства броне-корпусов самолетов Ил-2 на Куйбышевском механическом заводе.</w:t>
      </w:r>
    </w:p>
    <w:p w14:paraId="182349EC"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Подлинник (рассекречено).</w:t>
      </w:r>
    </w:p>
    <w:p w14:paraId="1CD78FC5"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РГАЭ ф. 1884, оп. 49, д. 1099, л. 176 (18959).</w:t>
      </w:r>
    </w:p>
    <w:p w14:paraId="14B3326A" w14:textId="77777777" w:rsidR="008416A6" w:rsidRPr="00640820" w:rsidRDefault="008416A6" w:rsidP="00640820">
      <w:pPr>
        <w:spacing w:after="0" w:line="240" w:lineRule="auto"/>
        <w:jc w:val="both"/>
        <w:rPr>
          <w:rFonts w:ascii="Times New Roman" w:hAnsi="Times New Roman"/>
          <w:color w:val="000000" w:themeColor="text1"/>
          <w:sz w:val="16"/>
          <w:szCs w:val="16"/>
        </w:rPr>
      </w:pPr>
    </w:p>
    <w:p w14:paraId="39A1C8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декабря 1941 вышел приказ НКАП N 1189сс в дополнение к приказу НКАП N 1177 от 24 декабря (1327,28).</w:t>
      </w:r>
    </w:p>
    <w:p w14:paraId="0E9C69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Организовать на заводе 458 производство самолетов Як-3 по образцу и чертежам серийного самолета постройки 153 завода (1327,28).</w:t>
      </w:r>
    </w:p>
    <w:p w14:paraId="217D51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декабря 1941 закончился второй этап гос. испытаний Як-7М М-105ПА на Урале, которые проходили с 31 октября, а в Чкаловской, они проходили с 5 октября по 16 октября 1941. Всего было 39 полетов продолжительностью 20:35. В бригаде были вл В.И.Хомяков, ви А.Т.Степанец, т В.Ф.Сбитнев. Результаты признаны удовлетворительными, но в серию машина так и не пошла (65,77). Машина N 0512 (796,4).</w:t>
      </w:r>
    </w:p>
    <w:p w14:paraId="5F9B33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00206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декабря 1941 вышло Постановление ГКО № 1077 О государственном испытании мотора М-107П. РГАНИР, Фонд ГКО, д. 17, лл. 201 (11012).</w:t>
      </w:r>
    </w:p>
    <w:p w14:paraId="48B612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BEE99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декабря 1941 вышел приказ № 1190сс:</w:t>
      </w:r>
    </w:p>
    <w:p w14:paraId="5B8E0C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исполнение постановления ГКО:</w:t>
      </w:r>
    </w:p>
    <w:p w14:paraId="737542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Ор-ть в Москве на площадях бывшего з-да 32 з-д по пр-ву агрегатов вооружения, присвоив ему № 43 и включив его в состав 2 ГУ.</w:t>
      </w:r>
    </w:p>
    <w:p w14:paraId="748359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Шахурин (1327, 31).</w:t>
      </w:r>
    </w:p>
    <w:p w14:paraId="6E1B92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2BF1F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декабря 1941 года вышел приказ НКАП за № 1190сс, в соответствии с которымт на площадях бывш. завода № 32 был организован завод № 43 по производству агрегатного вооружения. Этим же постановлением ГКО и приказом НКАП была возложена на завод № 43 организация массового выпуска изделий ППШ.</w:t>
      </w:r>
    </w:p>
    <w:p w14:paraId="692426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приближения конструкторов к обслуживанию требований фронта и перевооружения иностранных самолетов в соответствии с приказом НКАП за № 146с от 21 февраля 1942 года на заводе № 43 было организовано ОКБ по бомбардировочным, миннотерпедным и стрелковым установкам.</w:t>
      </w:r>
    </w:p>
    <w:p w14:paraId="2AE041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Гл. конструктором завода № 43 по серийному и опытному производству был назначен гл. конструктор ОКБ-1 завода № 32 Шульгин А.И.</w:t>
      </w:r>
    </w:p>
    <w:p w14:paraId="783EDB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период ВОВ завод создал и выпустил в массовом количестве 34 наименования боевого авиационного вооружения.</w:t>
      </w:r>
    </w:p>
    <w:p w14:paraId="1E7375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целях сосредоточения основных конструкторских сил в одном месте и создания мощной опытной базы по бомбардировочным и стрелковым установкам авиационного вооружения постановлением ГКО за № 5971 от 30 мая 1944 года и приказом МАП за № 484с от 3 августа 1944 года на базе ОКБ-43 и ОКБ-32 было решено организовать на заводе № 43 объединенное КБ по бомбардировочным и стрелковым установкам авиационного вооружения.</w:t>
      </w:r>
    </w:p>
    <w:p w14:paraId="4E6138B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конструктором ОКБ-43 и завода № 43 по сериному производству был назначен Торопов И.И.</w:t>
      </w:r>
    </w:p>
    <w:p w14:paraId="02CAD5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Динамика выпуска оборонной продукции по важнейшим видам изделий в период ВОВ 1941-1945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7"/>
        <w:gridCol w:w="1145"/>
        <w:gridCol w:w="1134"/>
        <w:gridCol w:w="1134"/>
        <w:gridCol w:w="1134"/>
        <w:gridCol w:w="1134"/>
        <w:gridCol w:w="1275"/>
      </w:tblGrid>
      <w:tr w:rsidR="00643896" w:rsidRPr="00640820" w14:paraId="21E2E510" w14:textId="77777777" w:rsidTr="000D3BCB">
        <w:tc>
          <w:tcPr>
            <w:tcW w:w="1657" w:type="dxa"/>
          </w:tcPr>
          <w:p w14:paraId="3A6788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Наименование изделий</w:t>
            </w:r>
          </w:p>
        </w:tc>
        <w:tc>
          <w:tcPr>
            <w:tcW w:w="1145" w:type="dxa"/>
          </w:tcPr>
          <w:p w14:paraId="30F165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Единица измерений</w:t>
            </w:r>
          </w:p>
        </w:tc>
        <w:tc>
          <w:tcPr>
            <w:tcW w:w="1134" w:type="dxa"/>
          </w:tcPr>
          <w:p w14:paraId="37CBF3E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1942 год</w:t>
            </w:r>
          </w:p>
        </w:tc>
        <w:tc>
          <w:tcPr>
            <w:tcW w:w="1134" w:type="dxa"/>
          </w:tcPr>
          <w:p w14:paraId="265832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1943 год</w:t>
            </w:r>
          </w:p>
        </w:tc>
        <w:tc>
          <w:tcPr>
            <w:tcW w:w="1134" w:type="dxa"/>
          </w:tcPr>
          <w:p w14:paraId="209B9B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1944 год</w:t>
            </w:r>
          </w:p>
        </w:tc>
        <w:tc>
          <w:tcPr>
            <w:tcW w:w="1134" w:type="dxa"/>
          </w:tcPr>
          <w:p w14:paraId="0CBC0D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За1945 год</w:t>
            </w:r>
          </w:p>
        </w:tc>
        <w:tc>
          <w:tcPr>
            <w:tcW w:w="1275" w:type="dxa"/>
          </w:tcPr>
          <w:p w14:paraId="2564AA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w:t>
            </w:r>
          </w:p>
        </w:tc>
      </w:tr>
      <w:tr w:rsidR="00643896" w:rsidRPr="00640820" w14:paraId="13EF9752" w14:textId="77777777" w:rsidTr="000D3BCB">
        <w:tc>
          <w:tcPr>
            <w:tcW w:w="1657" w:type="dxa"/>
          </w:tcPr>
          <w:p w14:paraId="187A4B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Пистолет-пулемет Шпагина</w:t>
            </w:r>
          </w:p>
        </w:tc>
        <w:tc>
          <w:tcPr>
            <w:tcW w:w="1145" w:type="dxa"/>
          </w:tcPr>
          <w:p w14:paraId="26B1A8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Штук</w:t>
            </w:r>
          </w:p>
        </w:tc>
        <w:tc>
          <w:tcPr>
            <w:tcW w:w="1134" w:type="dxa"/>
          </w:tcPr>
          <w:p w14:paraId="08948B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63741</w:t>
            </w:r>
          </w:p>
        </w:tc>
        <w:tc>
          <w:tcPr>
            <w:tcW w:w="1134" w:type="dxa"/>
          </w:tcPr>
          <w:p w14:paraId="45A9D2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99232</w:t>
            </w:r>
          </w:p>
        </w:tc>
        <w:tc>
          <w:tcPr>
            <w:tcW w:w="1134" w:type="dxa"/>
          </w:tcPr>
          <w:p w14:paraId="1EFD08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128643</w:t>
            </w:r>
          </w:p>
        </w:tc>
        <w:tc>
          <w:tcPr>
            <w:tcW w:w="1134" w:type="dxa"/>
          </w:tcPr>
          <w:p w14:paraId="6C3784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44035</w:t>
            </w:r>
          </w:p>
        </w:tc>
        <w:tc>
          <w:tcPr>
            <w:tcW w:w="1275" w:type="dxa"/>
          </w:tcPr>
          <w:p w14:paraId="28F32C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335651</w:t>
            </w:r>
          </w:p>
        </w:tc>
      </w:tr>
      <w:tr w:rsidR="00643896" w:rsidRPr="00640820" w14:paraId="030A2640" w14:textId="77777777" w:rsidTr="000D3BCB">
        <w:tc>
          <w:tcPr>
            <w:tcW w:w="1657" w:type="dxa"/>
          </w:tcPr>
          <w:p w14:paraId="698CEF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Крыльевой лафет ИЛ-2</w:t>
            </w:r>
          </w:p>
        </w:tc>
        <w:tc>
          <w:tcPr>
            <w:tcW w:w="1145" w:type="dxa"/>
          </w:tcPr>
          <w:p w14:paraId="5EC3F2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Комплект</w:t>
            </w:r>
          </w:p>
        </w:tc>
        <w:tc>
          <w:tcPr>
            <w:tcW w:w="1134" w:type="dxa"/>
          </w:tcPr>
          <w:p w14:paraId="1E418AB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3856</w:t>
            </w:r>
          </w:p>
        </w:tc>
        <w:tc>
          <w:tcPr>
            <w:tcW w:w="1134" w:type="dxa"/>
          </w:tcPr>
          <w:p w14:paraId="5372C3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3888</w:t>
            </w:r>
          </w:p>
        </w:tc>
        <w:tc>
          <w:tcPr>
            <w:tcW w:w="1134" w:type="dxa"/>
          </w:tcPr>
          <w:p w14:paraId="74B680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34" w:type="dxa"/>
          </w:tcPr>
          <w:p w14:paraId="186C583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75" w:type="dxa"/>
          </w:tcPr>
          <w:p w14:paraId="0F81D6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7744</w:t>
            </w:r>
          </w:p>
        </w:tc>
      </w:tr>
      <w:tr w:rsidR="00643896" w:rsidRPr="00640820" w14:paraId="32F57E47" w14:textId="77777777" w:rsidTr="000D3BCB">
        <w:tc>
          <w:tcPr>
            <w:tcW w:w="1657" w:type="dxa"/>
          </w:tcPr>
          <w:p w14:paraId="376A25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Крыльевой лафет БС-ЯК-7</w:t>
            </w:r>
          </w:p>
        </w:tc>
        <w:tc>
          <w:tcPr>
            <w:tcW w:w="1145" w:type="dxa"/>
          </w:tcPr>
          <w:p w14:paraId="7E1AD4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Комплект</w:t>
            </w:r>
          </w:p>
        </w:tc>
        <w:tc>
          <w:tcPr>
            <w:tcW w:w="1134" w:type="dxa"/>
          </w:tcPr>
          <w:p w14:paraId="664535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230</w:t>
            </w:r>
          </w:p>
        </w:tc>
        <w:tc>
          <w:tcPr>
            <w:tcW w:w="1134" w:type="dxa"/>
          </w:tcPr>
          <w:p w14:paraId="0834E0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1029</w:t>
            </w:r>
          </w:p>
        </w:tc>
        <w:tc>
          <w:tcPr>
            <w:tcW w:w="1134" w:type="dxa"/>
          </w:tcPr>
          <w:p w14:paraId="6FA049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190</w:t>
            </w:r>
          </w:p>
        </w:tc>
        <w:tc>
          <w:tcPr>
            <w:tcW w:w="1134" w:type="dxa"/>
          </w:tcPr>
          <w:p w14:paraId="73307C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75" w:type="dxa"/>
          </w:tcPr>
          <w:p w14:paraId="2615F2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1449</w:t>
            </w:r>
          </w:p>
        </w:tc>
      </w:tr>
      <w:tr w:rsidR="00643896" w:rsidRPr="00640820" w14:paraId="52759361" w14:textId="77777777" w:rsidTr="000D3BCB">
        <w:tc>
          <w:tcPr>
            <w:tcW w:w="1657" w:type="dxa"/>
          </w:tcPr>
          <w:p w14:paraId="0EFA316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Носовая установка ИЛ-4</w:t>
            </w:r>
          </w:p>
        </w:tc>
        <w:tc>
          <w:tcPr>
            <w:tcW w:w="1145" w:type="dxa"/>
          </w:tcPr>
          <w:p w14:paraId="2F46EEF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Штук</w:t>
            </w:r>
          </w:p>
        </w:tc>
        <w:tc>
          <w:tcPr>
            <w:tcW w:w="1134" w:type="dxa"/>
          </w:tcPr>
          <w:p w14:paraId="4F49BDA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222</w:t>
            </w:r>
          </w:p>
        </w:tc>
        <w:tc>
          <w:tcPr>
            <w:tcW w:w="1134" w:type="dxa"/>
          </w:tcPr>
          <w:p w14:paraId="5AFCFC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686</w:t>
            </w:r>
          </w:p>
        </w:tc>
        <w:tc>
          <w:tcPr>
            <w:tcW w:w="1134" w:type="dxa"/>
          </w:tcPr>
          <w:p w14:paraId="366F45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1134" w:type="dxa"/>
          </w:tcPr>
          <w:p w14:paraId="65C207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75" w:type="dxa"/>
          </w:tcPr>
          <w:p w14:paraId="5FAEDD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928</w:t>
            </w:r>
          </w:p>
        </w:tc>
      </w:tr>
      <w:tr w:rsidR="00643896" w:rsidRPr="00640820" w14:paraId="45BC6B35" w14:textId="77777777" w:rsidTr="000D3BCB">
        <w:tc>
          <w:tcPr>
            <w:tcW w:w="1657" w:type="dxa"/>
          </w:tcPr>
          <w:p w14:paraId="03A3DC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Балка РО-82</w:t>
            </w:r>
          </w:p>
        </w:tc>
        <w:tc>
          <w:tcPr>
            <w:tcW w:w="1145" w:type="dxa"/>
          </w:tcPr>
          <w:p w14:paraId="404C73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Штук</w:t>
            </w:r>
          </w:p>
        </w:tc>
        <w:tc>
          <w:tcPr>
            <w:tcW w:w="1134" w:type="dxa"/>
          </w:tcPr>
          <w:p w14:paraId="4FEE51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26990</w:t>
            </w:r>
          </w:p>
        </w:tc>
        <w:tc>
          <w:tcPr>
            <w:tcW w:w="1134" w:type="dxa"/>
          </w:tcPr>
          <w:p w14:paraId="04C48F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104</w:t>
            </w:r>
          </w:p>
        </w:tc>
        <w:tc>
          <w:tcPr>
            <w:tcW w:w="1134" w:type="dxa"/>
          </w:tcPr>
          <w:p w14:paraId="03C872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34" w:type="dxa"/>
          </w:tcPr>
          <w:p w14:paraId="3BDAC1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75" w:type="dxa"/>
          </w:tcPr>
          <w:p w14:paraId="5241EA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27094</w:t>
            </w:r>
          </w:p>
        </w:tc>
      </w:tr>
      <w:tr w:rsidR="00643896" w:rsidRPr="00640820" w14:paraId="26F3E538" w14:textId="77777777" w:rsidTr="000D3BCB">
        <w:tc>
          <w:tcPr>
            <w:tcW w:w="1657" w:type="dxa"/>
          </w:tcPr>
          <w:p w14:paraId="6869A7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Сбрасыватель ЭСБР-3п</w:t>
            </w:r>
          </w:p>
        </w:tc>
        <w:tc>
          <w:tcPr>
            <w:tcW w:w="1145" w:type="dxa"/>
          </w:tcPr>
          <w:p w14:paraId="384A90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Штук</w:t>
            </w:r>
          </w:p>
        </w:tc>
        <w:tc>
          <w:tcPr>
            <w:tcW w:w="1134" w:type="dxa"/>
          </w:tcPr>
          <w:p w14:paraId="1FA657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9093</w:t>
            </w:r>
          </w:p>
        </w:tc>
        <w:tc>
          <w:tcPr>
            <w:tcW w:w="1134" w:type="dxa"/>
          </w:tcPr>
          <w:p w14:paraId="4B7956F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8596</w:t>
            </w:r>
          </w:p>
        </w:tc>
        <w:tc>
          <w:tcPr>
            <w:tcW w:w="1134" w:type="dxa"/>
          </w:tcPr>
          <w:p w14:paraId="090A62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34" w:type="dxa"/>
          </w:tcPr>
          <w:p w14:paraId="6E6CE7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75" w:type="dxa"/>
          </w:tcPr>
          <w:p w14:paraId="62F9DF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17689</w:t>
            </w:r>
          </w:p>
        </w:tc>
      </w:tr>
      <w:tr w:rsidR="00643896" w:rsidRPr="00640820" w14:paraId="0ACD00C7" w14:textId="77777777" w:rsidTr="000D3BCB">
        <w:tc>
          <w:tcPr>
            <w:tcW w:w="1657" w:type="dxa"/>
          </w:tcPr>
          <w:p w14:paraId="75AD52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Граната ГС-1</w:t>
            </w:r>
          </w:p>
        </w:tc>
        <w:tc>
          <w:tcPr>
            <w:tcW w:w="1145" w:type="dxa"/>
          </w:tcPr>
          <w:p w14:paraId="153C81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Штук</w:t>
            </w:r>
          </w:p>
        </w:tc>
        <w:tc>
          <w:tcPr>
            <w:tcW w:w="1134" w:type="dxa"/>
          </w:tcPr>
          <w:p w14:paraId="4D424B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52140</w:t>
            </w:r>
          </w:p>
        </w:tc>
        <w:tc>
          <w:tcPr>
            <w:tcW w:w="1134" w:type="dxa"/>
          </w:tcPr>
          <w:p w14:paraId="036861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34" w:type="dxa"/>
          </w:tcPr>
          <w:p w14:paraId="566A81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34" w:type="dxa"/>
          </w:tcPr>
          <w:p w14:paraId="4F0618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75" w:type="dxa"/>
          </w:tcPr>
          <w:p w14:paraId="37EFEF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52140</w:t>
            </w:r>
          </w:p>
        </w:tc>
      </w:tr>
      <w:tr w:rsidR="00643896" w:rsidRPr="00640820" w14:paraId="63AA578B" w14:textId="77777777" w:rsidTr="000D3BCB">
        <w:tc>
          <w:tcPr>
            <w:tcW w:w="1657" w:type="dxa"/>
          </w:tcPr>
          <w:p w14:paraId="75A380F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ВАП-6м</w:t>
            </w:r>
          </w:p>
        </w:tc>
        <w:tc>
          <w:tcPr>
            <w:tcW w:w="1145" w:type="dxa"/>
          </w:tcPr>
          <w:p w14:paraId="1C97B08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Штук</w:t>
            </w:r>
          </w:p>
        </w:tc>
        <w:tc>
          <w:tcPr>
            <w:tcW w:w="1134" w:type="dxa"/>
          </w:tcPr>
          <w:p w14:paraId="025B8CB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3800</w:t>
            </w:r>
          </w:p>
        </w:tc>
        <w:tc>
          <w:tcPr>
            <w:tcW w:w="1134" w:type="dxa"/>
          </w:tcPr>
          <w:p w14:paraId="0D3173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w:t>
            </w:r>
          </w:p>
        </w:tc>
        <w:tc>
          <w:tcPr>
            <w:tcW w:w="1134" w:type="dxa"/>
          </w:tcPr>
          <w:p w14:paraId="3D1DC3B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34" w:type="dxa"/>
          </w:tcPr>
          <w:p w14:paraId="39E975C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75" w:type="dxa"/>
          </w:tcPr>
          <w:p w14:paraId="4C57E9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4000</w:t>
            </w:r>
          </w:p>
        </w:tc>
      </w:tr>
      <w:tr w:rsidR="00643896" w:rsidRPr="00640820" w14:paraId="7AA43622" w14:textId="77777777" w:rsidTr="000D3BCB">
        <w:tc>
          <w:tcPr>
            <w:tcW w:w="1657" w:type="dxa"/>
          </w:tcPr>
          <w:p w14:paraId="18ED67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ДАГ-10</w:t>
            </w:r>
          </w:p>
        </w:tc>
        <w:tc>
          <w:tcPr>
            <w:tcW w:w="1145" w:type="dxa"/>
          </w:tcPr>
          <w:p w14:paraId="6698669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Штук</w:t>
            </w:r>
          </w:p>
        </w:tc>
        <w:tc>
          <w:tcPr>
            <w:tcW w:w="1134" w:type="dxa"/>
          </w:tcPr>
          <w:p w14:paraId="7FA3D5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1582</w:t>
            </w:r>
          </w:p>
        </w:tc>
        <w:tc>
          <w:tcPr>
            <w:tcW w:w="1134" w:type="dxa"/>
          </w:tcPr>
          <w:p w14:paraId="4B553A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4522</w:t>
            </w:r>
          </w:p>
        </w:tc>
        <w:tc>
          <w:tcPr>
            <w:tcW w:w="1134" w:type="dxa"/>
          </w:tcPr>
          <w:p w14:paraId="1FBCC5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6677</w:t>
            </w:r>
          </w:p>
        </w:tc>
        <w:tc>
          <w:tcPr>
            <w:tcW w:w="1134" w:type="dxa"/>
          </w:tcPr>
          <w:p w14:paraId="27F0A3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1700</w:t>
            </w:r>
          </w:p>
        </w:tc>
        <w:tc>
          <w:tcPr>
            <w:tcW w:w="1275" w:type="dxa"/>
          </w:tcPr>
          <w:p w14:paraId="55B778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14481</w:t>
            </w:r>
          </w:p>
        </w:tc>
      </w:tr>
      <w:tr w:rsidR="00643896" w:rsidRPr="00640820" w14:paraId="13871584" w14:textId="77777777" w:rsidTr="000D3BCB">
        <w:tc>
          <w:tcPr>
            <w:tcW w:w="1657" w:type="dxa"/>
          </w:tcPr>
          <w:p w14:paraId="08BDA8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Замки Дер-21 с п/п</w:t>
            </w:r>
          </w:p>
        </w:tc>
        <w:tc>
          <w:tcPr>
            <w:tcW w:w="1145" w:type="dxa"/>
          </w:tcPr>
          <w:p w14:paraId="6EFA8F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Комплект</w:t>
            </w:r>
          </w:p>
        </w:tc>
        <w:tc>
          <w:tcPr>
            <w:tcW w:w="1134" w:type="dxa"/>
          </w:tcPr>
          <w:p w14:paraId="1D5BA8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2854</w:t>
            </w:r>
          </w:p>
        </w:tc>
        <w:tc>
          <w:tcPr>
            <w:tcW w:w="1134" w:type="dxa"/>
          </w:tcPr>
          <w:p w14:paraId="605EE0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3125</w:t>
            </w:r>
          </w:p>
        </w:tc>
        <w:tc>
          <w:tcPr>
            <w:tcW w:w="1134" w:type="dxa"/>
          </w:tcPr>
          <w:p w14:paraId="32D950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34" w:type="dxa"/>
          </w:tcPr>
          <w:p w14:paraId="55E679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75" w:type="dxa"/>
          </w:tcPr>
          <w:p w14:paraId="05C5E2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5979</w:t>
            </w:r>
          </w:p>
        </w:tc>
      </w:tr>
      <w:tr w:rsidR="00643896" w:rsidRPr="00640820" w14:paraId="711B0BE8" w14:textId="77777777" w:rsidTr="000D3BCB">
        <w:tc>
          <w:tcPr>
            <w:tcW w:w="1657" w:type="dxa"/>
          </w:tcPr>
          <w:p w14:paraId="40511A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Замки Д-3-42</w:t>
            </w:r>
          </w:p>
        </w:tc>
        <w:tc>
          <w:tcPr>
            <w:tcW w:w="1145" w:type="dxa"/>
          </w:tcPr>
          <w:p w14:paraId="02691D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Комплект</w:t>
            </w:r>
          </w:p>
        </w:tc>
        <w:tc>
          <w:tcPr>
            <w:tcW w:w="1134" w:type="dxa"/>
          </w:tcPr>
          <w:p w14:paraId="159916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1352</w:t>
            </w:r>
          </w:p>
        </w:tc>
        <w:tc>
          <w:tcPr>
            <w:tcW w:w="1134" w:type="dxa"/>
          </w:tcPr>
          <w:p w14:paraId="2CFDA3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3945</w:t>
            </w:r>
          </w:p>
        </w:tc>
        <w:tc>
          <w:tcPr>
            <w:tcW w:w="1134" w:type="dxa"/>
          </w:tcPr>
          <w:p w14:paraId="198477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34" w:type="dxa"/>
          </w:tcPr>
          <w:p w14:paraId="09F4F2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275" w:type="dxa"/>
          </w:tcPr>
          <w:p w14:paraId="151566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5297</w:t>
            </w:r>
          </w:p>
        </w:tc>
      </w:tr>
      <w:tr w:rsidR="00643896" w:rsidRPr="00640820" w14:paraId="1B0060E2" w14:textId="77777777" w:rsidTr="000D3BCB">
        <w:tc>
          <w:tcPr>
            <w:tcW w:w="1657" w:type="dxa"/>
          </w:tcPr>
          <w:p w14:paraId="35A4B3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Замки Дер-20</w:t>
            </w:r>
          </w:p>
        </w:tc>
        <w:tc>
          <w:tcPr>
            <w:tcW w:w="1145" w:type="dxa"/>
          </w:tcPr>
          <w:p w14:paraId="0A9098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Штук</w:t>
            </w:r>
          </w:p>
        </w:tc>
        <w:tc>
          <w:tcPr>
            <w:tcW w:w="1134" w:type="dxa"/>
          </w:tcPr>
          <w:p w14:paraId="684898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34" w:type="dxa"/>
          </w:tcPr>
          <w:p w14:paraId="43FE8C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296</w:t>
            </w:r>
          </w:p>
        </w:tc>
        <w:tc>
          <w:tcPr>
            <w:tcW w:w="1134" w:type="dxa"/>
          </w:tcPr>
          <w:p w14:paraId="175A6F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w:t>
            </w:r>
          </w:p>
        </w:tc>
        <w:tc>
          <w:tcPr>
            <w:tcW w:w="1134" w:type="dxa"/>
          </w:tcPr>
          <w:p w14:paraId="0379F3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1275" w:type="dxa"/>
          </w:tcPr>
          <w:p w14:paraId="788B81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366</w:t>
            </w:r>
          </w:p>
        </w:tc>
      </w:tr>
      <w:tr w:rsidR="00643896" w:rsidRPr="00640820" w14:paraId="545E3F7A" w14:textId="77777777" w:rsidTr="000D3BCB">
        <w:tc>
          <w:tcPr>
            <w:tcW w:w="1657" w:type="dxa"/>
          </w:tcPr>
          <w:p w14:paraId="789180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Замки Дер-19</w:t>
            </w:r>
          </w:p>
        </w:tc>
        <w:tc>
          <w:tcPr>
            <w:tcW w:w="1145" w:type="dxa"/>
          </w:tcPr>
          <w:p w14:paraId="010972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Штук</w:t>
            </w:r>
          </w:p>
        </w:tc>
        <w:tc>
          <w:tcPr>
            <w:tcW w:w="1134" w:type="dxa"/>
          </w:tcPr>
          <w:p w14:paraId="62695F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34" w:type="dxa"/>
          </w:tcPr>
          <w:p w14:paraId="7F91BC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410</w:t>
            </w:r>
          </w:p>
        </w:tc>
        <w:tc>
          <w:tcPr>
            <w:tcW w:w="1134" w:type="dxa"/>
          </w:tcPr>
          <w:p w14:paraId="14FD13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107</w:t>
            </w:r>
          </w:p>
        </w:tc>
        <w:tc>
          <w:tcPr>
            <w:tcW w:w="1134" w:type="dxa"/>
          </w:tcPr>
          <w:p w14:paraId="4BD088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c>
          <w:tcPr>
            <w:tcW w:w="1275" w:type="dxa"/>
          </w:tcPr>
          <w:p w14:paraId="1A1936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547</w:t>
            </w:r>
          </w:p>
        </w:tc>
      </w:tr>
      <w:tr w:rsidR="00643896" w:rsidRPr="00640820" w14:paraId="0673C164" w14:textId="77777777" w:rsidTr="000D3BCB">
        <w:tc>
          <w:tcPr>
            <w:tcW w:w="1657" w:type="dxa"/>
          </w:tcPr>
          <w:p w14:paraId="3EB6096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ВУБ-3</w:t>
            </w:r>
          </w:p>
        </w:tc>
        <w:tc>
          <w:tcPr>
            <w:tcW w:w="1145" w:type="dxa"/>
          </w:tcPr>
          <w:p w14:paraId="6894A0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Штук</w:t>
            </w:r>
          </w:p>
        </w:tc>
        <w:tc>
          <w:tcPr>
            <w:tcW w:w="1134" w:type="dxa"/>
          </w:tcPr>
          <w:p w14:paraId="28D272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34" w:type="dxa"/>
          </w:tcPr>
          <w:p w14:paraId="2C8C38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4383</w:t>
            </w:r>
          </w:p>
        </w:tc>
        <w:tc>
          <w:tcPr>
            <w:tcW w:w="1134" w:type="dxa"/>
          </w:tcPr>
          <w:p w14:paraId="1A71F8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8339</w:t>
            </w:r>
          </w:p>
        </w:tc>
        <w:tc>
          <w:tcPr>
            <w:tcW w:w="1134" w:type="dxa"/>
          </w:tcPr>
          <w:p w14:paraId="214BBD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3490</w:t>
            </w:r>
          </w:p>
        </w:tc>
        <w:tc>
          <w:tcPr>
            <w:tcW w:w="1275" w:type="dxa"/>
          </w:tcPr>
          <w:p w14:paraId="71B6A2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16212</w:t>
            </w:r>
          </w:p>
        </w:tc>
      </w:tr>
      <w:tr w:rsidR="00643896" w:rsidRPr="00640820" w14:paraId="46590D9C" w14:textId="77777777" w:rsidTr="000D3BCB">
        <w:tc>
          <w:tcPr>
            <w:tcW w:w="1657" w:type="dxa"/>
          </w:tcPr>
          <w:p w14:paraId="21CEC5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ВУБ-2</w:t>
            </w:r>
          </w:p>
        </w:tc>
        <w:tc>
          <w:tcPr>
            <w:tcW w:w="1145" w:type="dxa"/>
          </w:tcPr>
          <w:p w14:paraId="148598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Штук</w:t>
            </w:r>
          </w:p>
        </w:tc>
        <w:tc>
          <w:tcPr>
            <w:tcW w:w="1134" w:type="dxa"/>
          </w:tcPr>
          <w:p w14:paraId="643E8EE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34" w:type="dxa"/>
          </w:tcPr>
          <w:p w14:paraId="4EFCB8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34" w:type="dxa"/>
          </w:tcPr>
          <w:p w14:paraId="504150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367</w:t>
            </w:r>
          </w:p>
        </w:tc>
        <w:tc>
          <w:tcPr>
            <w:tcW w:w="1134" w:type="dxa"/>
          </w:tcPr>
          <w:p w14:paraId="74AE46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762</w:t>
            </w:r>
          </w:p>
        </w:tc>
        <w:tc>
          <w:tcPr>
            <w:tcW w:w="1275" w:type="dxa"/>
          </w:tcPr>
          <w:p w14:paraId="5CD3D9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1129</w:t>
            </w:r>
          </w:p>
        </w:tc>
      </w:tr>
      <w:tr w:rsidR="00643896" w:rsidRPr="00640820" w14:paraId="71BE4E68" w14:textId="77777777" w:rsidTr="000D3BCB">
        <w:tc>
          <w:tcPr>
            <w:tcW w:w="1657" w:type="dxa"/>
          </w:tcPr>
          <w:p w14:paraId="616BE0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Наружная подвеска ИЛ-4</w:t>
            </w:r>
          </w:p>
        </w:tc>
        <w:tc>
          <w:tcPr>
            <w:tcW w:w="1145" w:type="dxa"/>
          </w:tcPr>
          <w:p w14:paraId="029DFA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Комплект</w:t>
            </w:r>
          </w:p>
        </w:tc>
        <w:tc>
          <w:tcPr>
            <w:tcW w:w="1134" w:type="dxa"/>
          </w:tcPr>
          <w:p w14:paraId="019E76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34" w:type="dxa"/>
          </w:tcPr>
          <w:p w14:paraId="374652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580</w:t>
            </w:r>
          </w:p>
        </w:tc>
        <w:tc>
          <w:tcPr>
            <w:tcW w:w="1134" w:type="dxa"/>
          </w:tcPr>
          <w:p w14:paraId="1FDE6D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230</w:t>
            </w:r>
          </w:p>
        </w:tc>
        <w:tc>
          <w:tcPr>
            <w:tcW w:w="1134" w:type="dxa"/>
          </w:tcPr>
          <w:p w14:paraId="3325C4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150</w:t>
            </w:r>
          </w:p>
        </w:tc>
        <w:tc>
          <w:tcPr>
            <w:tcW w:w="1275" w:type="dxa"/>
          </w:tcPr>
          <w:p w14:paraId="4AEC993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960</w:t>
            </w:r>
          </w:p>
        </w:tc>
      </w:tr>
      <w:tr w:rsidR="00643896" w:rsidRPr="00640820" w14:paraId="68B71B8A" w14:textId="77777777" w:rsidTr="000D3BCB">
        <w:tc>
          <w:tcPr>
            <w:tcW w:w="1657" w:type="dxa"/>
          </w:tcPr>
          <w:p w14:paraId="2CD2E8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Наружная подвеска ЛИ-2</w:t>
            </w:r>
          </w:p>
        </w:tc>
        <w:tc>
          <w:tcPr>
            <w:tcW w:w="1145" w:type="dxa"/>
          </w:tcPr>
          <w:p w14:paraId="323E19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Комплект</w:t>
            </w:r>
          </w:p>
        </w:tc>
        <w:tc>
          <w:tcPr>
            <w:tcW w:w="1134" w:type="dxa"/>
          </w:tcPr>
          <w:p w14:paraId="136BAB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34" w:type="dxa"/>
          </w:tcPr>
          <w:p w14:paraId="24B0B2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400</w:t>
            </w:r>
          </w:p>
        </w:tc>
        <w:tc>
          <w:tcPr>
            <w:tcW w:w="1134" w:type="dxa"/>
          </w:tcPr>
          <w:p w14:paraId="29CF7D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525</w:t>
            </w:r>
          </w:p>
        </w:tc>
        <w:tc>
          <w:tcPr>
            <w:tcW w:w="1134" w:type="dxa"/>
          </w:tcPr>
          <w:p w14:paraId="181674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225</w:t>
            </w:r>
          </w:p>
        </w:tc>
        <w:tc>
          <w:tcPr>
            <w:tcW w:w="1275" w:type="dxa"/>
          </w:tcPr>
          <w:p w14:paraId="308E93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1150</w:t>
            </w:r>
          </w:p>
        </w:tc>
      </w:tr>
      <w:tr w:rsidR="00643896" w:rsidRPr="00640820" w14:paraId="19DD674A" w14:textId="77777777" w:rsidTr="000D3BCB">
        <w:tc>
          <w:tcPr>
            <w:tcW w:w="1657" w:type="dxa"/>
          </w:tcPr>
          <w:p w14:paraId="53A85A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Торпедодержатель 2Т-18</w:t>
            </w:r>
          </w:p>
        </w:tc>
        <w:tc>
          <w:tcPr>
            <w:tcW w:w="1145" w:type="dxa"/>
          </w:tcPr>
          <w:p w14:paraId="7C933A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Комплект</w:t>
            </w:r>
          </w:p>
        </w:tc>
        <w:tc>
          <w:tcPr>
            <w:tcW w:w="1134" w:type="dxa"/>
          </w:tcPr>
          <w:p w14:paraId="3744A0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34" w:type="dxa"/>
          </w:tcPr>
          <w:p w14:paraId="5EDD4E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212</w:t>
            </w:r>
          </w:p>
        </w:tc>
        <w:tc>
          <w:tcPr>
            <w:tcW w:w="1134" w:type="dxa"/>
          </w:tcPr>
          <w:p w14:paraId="6B29BC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270</w:t>
            </w:r>
          </w:p>
        </w:tc>
        <w:tc>
          <w:tcPr>
            <w:tcW w:w="1134" w:type="dxa"/>
          </w:tcPr>
          <w:p w14:paraId="3B3EE0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340</w:t>
            </w:r>
          </w:p>
        </w:tc>
        <w:tc>
          <w:tcPr>
            <w:tcW w:w="1275" w:type="dxa"/>
          </w:tcPr>
          <w:p w14:paraId="76363D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822</w:t>
            </w:r>
          </w:p>
        </w:tc>
      </w:tr>
      <w:tr w:rsidR="00643896" w:rsidRPr="00640820" w14:paraId="055DBE04" w14:textId="77777777" w:rsidTr="000D3BCB">
        <w:tc>
          <w:tcPr>
            <w:tcW w:w="1657" w:type="dxa"/>
          </w:tcPr>
          <w:p w14:paraId="5DD04C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Лафет ШВАК на ТУ-2</w:t>
            </w:r>
          </w:p>
        </w:tc>
        <w:tc>
          <w:tcPr>
            <w:tcW w:w="1145" w:type="dxa"/>
          </w:tcPr>
          <w:p w14:paraId="1B1134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Комплект</w:t>
            </w:r>
          </w:p>
        </w:tc>
        <w:tc>
          <w:tcPr>
            <w:tcW w:w="1134" w:type="dxa"/>
          </w:tcPr>
          <w:p w14:paraId="7E0EC46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34" w:type="dxa"/>
          </w:tcPr>
          <w:p w14:paraId="1792A4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61</w:t>
            </w:r>
          </w:p>
        </w:tc>
        <w:tc>
          <w:tcPr>
            <w:tcW w:w="1134" w:type="dxa"/>
          </w:tcPr>
          <w:p w14:paraId="6FCB00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429</w:t>
            </w:r>
          </w:p>
        </w:tc>
        <w:tc>
          <w:tcPr>
            <w:tcW w:w="1134" w:type="dxa"/>
          </w:tcPr>
          <w:p w14:paraId="59DD6A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916</w:t>
            </w:r>
          </w:p>
        </w:tc>
        <w:tc>
          <w:tcPr>
            <w:tcW w:w="1275" w:type="dxa"/>
          </w:tcPr>
          <w:p w14:paraId="1E462D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1406</w:t>
            </w:r>
          </w:p>
        </w:tc>
      </w:tr>
      <w:tr w:rsidR="00643896" w:rsidRPr="00640820" w14:paraId="5337F58A" w14:textId="77777777" w:rsidTr="000D3BCB">
        <w:tc>
          <w:tcPr>
            <w:tcW w:w="1657" w:type="dxa"/>
          </w:tcPr>
          <w:p w14:paraId="784F40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Блистерная установка на ТУ-2</w:t>
            </w:r>
          </w:p>
        </w:tc>
        <w:tc>
          <w:tcPr>
            <w:tcW w:w="1145" w:type="dxa"/>
          </w:tcPr>
          <w:p w14:paraId="1375A5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Штук</w:t>
            </w:r>
          </w:p>
        </w:tc>
        <w:tc>
          <w:tcPr>
            <w:tcW w:w="1134" w:type="dxa"/>
          </w:tcPr>
          <w:p w14:paraId="2358463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34" w:type="dxa"/>
          </w:tcPr>
          <w:p w14:paraId="0C89F9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w:t>
            </w:r>
          </w:p>
        </w:tc>
        <w:tc>
          <w:tcPr>
            <w:tcW w:w="1134" w:type="dxa"/>
          </w:tcPr>
          <w:p w14:paraId="24292DB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453</w:t>
            </w:r>
          </w:p>
        </w:tc>
        <w:tc>
          <w:tcPr>
            <w:tcW w:w="1134" w:type="dxa"/>
          </w:tcPr>
          <w:p w14:paraId="5ACB43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898</w:t>
            </w:r>
          </w:p>
        </w:tc>
        <w:tc>
          <w:tcPr>
            <w:tcW w:w="1275" w:type="dxa"/>
          </w:tcPr>
          <w:p w14:paraId="42FBDC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1411</w:t>
            </w:r>
          </w:p>
        </w:tc>
      </w:tr>
      <w:tr w:rsidR="00643896" w:rsidRPr="00640820" w14:paraId="6F91BDFC" w14:textId="77777777" w:rsidTr="000D3BCB">
        <w:tc>
          <w:tcPr>
            <w:tcW w:w="1657" w:type="dxa"/>
          </w:tcPr>
          <w:p w14:paraId="24D381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Аварийный сбрасыватель на ТУ-2</w:t>
            </w:r>
          </w:p>
        </w:tc>
        <w:tc>
          <w:tcPr>
            <w:tcW w:w="1145" w:type="dxa"/>
          </w:tcPr>
          <w:p w14:paraId="6109D7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Штук</w:t>
            </w:r>
          </w:p>
        </w:tc>
        <w:tc>
          <w:tcPr>
            <w:tcW w:w="1134" w:type="dxa"/>
          </w:tcPr>
          <w:p w14:paraId="51AA14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34" w:type="dxa"/>
          </w:tcPr>
          <w:p w14:paraId="04F33AF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w:t>
            </w:r>
          </w:p>
        </w:tc>
        <w:tc>
          <w:tcPr>
            <w:tcW w:w="1134" w:type="dxa"/>
          </w:tcPr>
          <w:p w14:paraId="022A23E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491</w:t>
            </w:r>
          </w:p>
        </w:tc>
        <w:tc>
          <w:tcPr>
            <w:tcW w:w="1134" w:type="dxa"/>
          </w:tcPr>
          <w:p w14:paraId="25AEEB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286</w:t>
            </w:r>
          </w:p>
        </w:tc>
        <w:tc>
          <w:tcPr>
            <w:tcW w:w="1275" w:type="dxa"/>
          </w:tcPr>
          <w:p w14:paraId="428B28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837</w:t>
            </w:r>
          </w:p>
        </w:tc>
      </w:tr>
      <w:tr w:rsidR="00643896" w:rsidRPr="00640820" w14:paraId="7862F4FC" w14:textId="77777777" w:rsidTr="000D3BCB">
        <w:tc>
          <w:tcPr>
            <w:tcW w:w="1657" w:type="dxa"/>
          </w:tcPr>
          <w:p w14:paraId="453252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Кассета ПКД-2</w:t>
            </w:r>
          </w:p>
        </w:tc>
        <w:tc>
          <w:tcPr>
            <w:tcW w:w="1145" w:type="dxa"/>
          </w:tcPr>
          <w:p w14:paraId="369D604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Штук</w:t>
            </w:r>
          </w:p>
        </w:tc>
        <w:tc>
          <w:tcPr>
            <w:tcW w:w="1134" w:type="dxa"/>
          </w:tcPr>
          <w:p w14:paraId="4E8427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34" w:type="dxa"/>
          </w:tcPr>
          <w:p w14:paraId="3EEEA4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1134" w:type="dxa"/>
          </w:tcPr>
          <w:p w14:paraId="643C6A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461</w:t>
            </w:r>
          </w:p>
        </w:tc>
        <w:tc>
          <w:tcPr>
            <w:tcW w:w="1134" w:type="dxa"/>
          </w:tcPr>
          <w:p w14:paraId="7CCAF2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880</w:t>
            </w:r>
          </w:p>
        </w:tc>
        <w:tc>
          <w:tcPr>
            <w:tcW w:w="1275" w:type="dxa"/>
          </w:tcPr>
          <w:p w14:paraId="10BB31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1342</w:t>
            </w:r>
          </w:p>
        </w:tc>
      </w:tr>
      <w:tr w:rsidR="00643896" w:rsidRPr="00640820" w14:paraId="2F2345E1" w14:textId="77777777" w:rsidTr="000D3BCB">
        <w:tc>
          <w:tcPr>
            <w:tcW w:w="1657" w:type="dxa"/>
          </w:tcPr>
          <w:p w14:paraId="075D6D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Пиропистолет</w:t>
            </w:r>
          </w:p>
        </w:tc>
        <w:tc>
          <w:tcPr>
            <w:tcW w:w="1145" w:type="dxa"/>
          </w:tcPr>
          <w:p w14:paraId="262E19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Штук</w:t>
            </w:r>
          </w:p>
        </w:tc>
        <w:tc>
          <w:tcPr>
            <w:tcW w:w="1134" w:type="dxa"/>
          </w:tcPr>
          <w:p w14:paraId="5190E0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34" w:type="dxa"/>
          </w:tcPr>
          <w:p w14:paraId="3E0554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134" w:type="dxa"/>
          </w:tcPr>
          <w:p w14:paraId="6D889E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2939</w:t>
            </w:r>
          </w:p>
        </w:tc>
        <w:tc>
          <w:tcPr>
            <w:tcW w:w="1134" w:type="dxa"/>
          </w:tcPr>
          <w:p w14:paraId="2D243E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1692</w:t>
            </w:r>
          </w:p>
        </w:tc>
        <w:tc>
          <w:tcPr>
            <w:tcW w:w="1275" w:type="dxa"/>
          </w:tcPr>
          <w:p w14:paraId="628BFA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4631</w:t>
            </w:r>
          </w:p>
        </w:tc>
      </w:tr>
    </w:tbl>
    <w:p w14:paraId="773C838E" w14:textId="77777777" w:rsidR="00045010" w:rsidRPr="00640820" w:rsidRDefault="00045010" w:rsidP="0064082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Работа завода в переходный период (май 1945 года – май 1946 года), когда завод в значительных размераз снизил выпуск военной продукции и перешел на производство и выпуск гражданской продукции и изделий широкого потребления.</w:t>
      </w:r>
    </w:p>
    <w:p w14:paraId="678FCEFA" w14:textId="77777777" w:rsidR="00045010" w:rsidRPr="00640820" w:rsidRDefault="00045010" w:rsidP="0064082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Работа завода в период осовения и выпуска нового электрофицированного стрелково-пушечного вооружения и специзделий реактивной техники. Начиная с мая 1946 года завод получил задание приступить к организации производства по освоению и выпуску электрофицированного дистанционного стрелково-пушечного вооружения СВ-20 на самолет ТУ-4.</w:t>
      </w:r>
    </w:p>
    <w:p w14:paraId="130438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Постановлением СМ от 14 ноября 1949 года за № 5185-1930сс и приказом МАП от 17 ноября 1949 года за № 914с ОКБ-43 гл. конструктора Торопова И.И. было переведено на новые площади реорганизованного завода № 134.</w:t>
      </w:r>
    </w:p>
    <w:p w14:paraId="23F254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связи с этим ОКБ-43 было реорганизовано в опытный завод по вооружению самолетов с присвоением ему № 134.</w:t>
      </w:r>
    </w:p>
    <w:p w14:paraId="22A24A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Москва, Д-40, ул. Правды, д. 8</w:t>
      </w:r>
    </w:p>
    <w:p w14:paraId="471AF4C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Производственный профиль – специзделия ракетной техники и стрелково-пушечное вооружение с электроагрегатами (9828).</w:t>
      </w:r>
    </w:p>
    <w:p w14:paraId="702C68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2BB89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декабря 1941 г. по приказу № 1190сс был образован Машиностроительный завод № 43 НКАП (с ОКБ-43) при 2ГУ по производству агрегатов вооружения. Для скорейшего ввода в строй на завод переведено большое количество оборудования, оснастки, тех. документации с завода № 32 и других.</w:t>
      </w:r>
    </w:p>
    <w:p w14:paraId="1F9243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1963 г. предприятие получило наименование завод (далее ММЗ, ММПП) "Коммунар", с 1992(4)г. - ОАО "Дукс". По решению правительства № 22-р от 9.01.2004 г. вошло в перечень стратегических предприятий.</w:t>
      </w:r>
    </w:p>
    <w:p w14:paraId="492EA9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на 2002 г.: производство УРВВ, ПУ; агрегаты различных авиационных систем, приборы; асинхронные электродвигатели; пескоструйные машины.</w:t>
      </w:r>
    </w:p>
    <w:p w14:paraId="1E3A38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Работали (начало 1950-х г.): Максименко, Сысоев.</w:t>
      </w:r>
    </w:p>
    <w:p w14:paraId="3A9C17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(1941-44 г.-)- М.В. Дворкин, (1946 г.)- М.П. Аржаков (затем- руководитель строительства завода</w:t>
      </w:r>
    </w:p>
    <w:p w14:paraId="11459D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455), (1946-51 г.)- Ф.Г. Нестеров, (1951 г.-)- Н.И. Сысоев, (-1954 г.)- В.С. Бриль, (1954- 63 г.)- Г.Д. Брусникин (до этого- директор завода № 315), (1963-83 г.)- В.А. Сперанский, (1983 г.-)- Л.И. Козловский. Гендиректор (2002 г.)- В.А. Рац.</w:t>
      </w:r>
    </w:p>
    <w:p w14:paraId="36B9B8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Президент АО «Дукс» (1992 г.-)- Л.И. Козловский.</w:t>
      </w:r>
    </w:p>
    <w:p w14:paraId="0DF4AD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(1942 г.-)- А.И. Шульгин.</w:t>
      </w:r>
    </w:p>
    <w:p w14:paraId="7EAA43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Директор по маркетингу (2002 г.)- В.Н. Сова.69 </w:t>
      </w:r>
    </w:p>
    <w:p w14:paraId="64E144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Созданы: бомбодержатель для Ту-14, спаренная пушка «Ангара» для ЗСУ-37-2 «Енисей».</w:t>
      </w:r>
    </w:p>
    <w:p w14:paraId="310769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(ВОВ): ракетное оружие РО-82 и балки РУ-82 под снаряды РС-82; держатели Дер-21, турель УБТ-12,7, электросбрасыватель ЭСБР-3п, замки МД-3-40; выливные химические авиаприборы ВАП-6м; автоматы ППШ, ПП-43, винтовочные противотанковые гранаты ВПГС-41, кассеты для гранат ЛАГ-20; СППУ: СПСВ-24, ДК-12, ДК-20, ДК-20С, ДК-7-18; УРВВ: "ИС" (К-51, РС-2-УС) (1959- 64), Р-3С ("310", "Стрела", 1960-), Р-3Р ("320"), Р-13М ("380"),"62", "72", К-23, Р-60 («62»), Р-73 («72»), К-77.</w:t>
      </w:r>
    </w:p>
    <w:p w14:paraId="045F11C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43 НКАП, МАП, ММЗ "Коммунар", ММПП "Коммунар", ОАО "Дукс"</w:t>
      </w:r>
    </w:p>
    <w:p w14:paraId="4E38D2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Москва 3-я ул. Ямского Поля, 26 (1942 г.)</w:t>
      </w:r>
    </w:p>
    <w:p w14:paraId="74F943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125124 г. Москва ул. Правды, 8 тел. 257-77-42</w:t>
      </w:r>
    </w:p>
    <w:p w14:paraId="19AF95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ОКБ завода № 43 НКАП, ОКБ-43 НКАП, МАП </w:t>
      </w:r>
    </w:p>
    <w:p w14:paraId="0005E3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Москва</w:t>
      </w:r>
    </w:p>
    <w:p w14:paraId="7CEBF3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146с от 21.02.1942 г. часть ОКБ-1 (33 чел.) и конструкторская бригада ОКБ-2 (6 чел.) и часть коллектива опытного цеха (11 чел.) завода № 32 НКАП были переведены в Москву в состав вновь созданного ОКБ завода № 43 НКАП для разработки бомбардировочных, минно-торпедных и стрелковых авиационных установок. При заводе организован также опытный цех.</w:t>
      </w:r>
    </w:p>
    <w:p w14:paraId="02DA19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Сюда же по приказу № 272с от 6.05.1943 г. передана часть опытного цеха завода № 32 после перевода ОКБ-2 Можаровского и Веневидова в Москву в состав ОКБ-140 НКАП.</w:t>
      </w:r>
    </w:p>
    <w:p w14:paraId="03FE9DB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С конца 1944 г. на завод № 43 из Кирова было полностью переведено ОКБ-32 гл. конструктора И.И. Торопова ( возможно, часть ОКБ отдана заводу № 140 НКАП) с опытным цехом и влито в состав единого ОКБ-43 (по приказу № 484с от 3.8.1944 г.). Гл. конструктором ОКБ стал И.И. Торопов (видимо, в связи со смертью А.И. Шульгина).</w:t>
      </w:r>
    </w:p>
    <w:p w14:paraId="59F591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447сс от 14.11.1945 г. в целях укрупнения конструкторских организаций сформировано объединенное ОКБ-43 путем перевода в состав ОКБ-43 основной части личного состава (142 чел.), оборудования и материальных ценностей ОКБ-487 гл. конструктора И.П. Шебанова, который назначен зам. гл. конструктора.</w:t>
      </w:r>
    </w:p>
    <w:p w14:paraId="3CEC52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148с от 22.03.1946 г. группа конструкторов и производственников (25 чел.) во главе с И.П. Шебановым выделяется из состава ОКБ-43 МАП и переводится на завод № 81 МАП.</w:t>
      </w:r>
    </w:p>
    <w:p w14:paraId="512533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11.1949 г. ОКБ-43 И.И. Торопова была предоставлена новая опытная база- завод № 134 МАП (Тушино), оно получило новое название ОКБ-134 МАП. ОКБ-43 ликвидировано, площади переданы заводу № 43 МАП с 1.01.1950 г.</w:t>
      </w:r>
    </w:p>
    <w:p w14:paraId="1B2F77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(1942-43(44)г.)- А.И. Шульгин, (1944-49 г.)- И.И. Торопов.</w:t>
      </w:r>
    </w:p>
    <w:p w14:paraId="071032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конструктора (1945-46 г.)- И.П. Шебанов, (1946 г.)- В.И. Ермилов.</w:t>
      </w:r>
    </w:p>
    <w:p w14:paraId="136281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конструкторы: (1945-46 г.)- И.П. Шебанов.</w:t>
      </w:r>
    </w:p>
    <w:p w14:paraId="44FCD3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держатели ПКД-2М, Дер-3-44, Дер-4-44 для Ту-2 (10776).</w:t>
      </w:r>
    </w:p>
    <w:p w14:paraId="3252FC1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49D7A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декабря 1941 г. по приказу НКАП №1190 на площадях эвакуированного завода № 32 был образован новый завод по пр-ву агрегатов вооружения, получивший название завод №43 при 2ГУ НКАП. Для скорейшего восстановления производства с завода №32 и с др. заводов было переведено большое ко-во оборудования, оснастки, тех. документация.</w:t>
      </w:r>
    </w:p>
    <w:p w14:paraId="1883E8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период войны налажено и осуществлялось производство агрегатов авиационного вооружения: ракетного оружия РО-82 и балок РУ-82 под снаряды РС-82, держателей Дер-21, турелей УБТ-12.7, эл/сбрасывателей ЭСБР-3п, бомбовых замков МД-З-40 для ЛаГГ-3, балок для ФАБ-25. Дополнительно к основному пр-ву было налажено изготовление выливных химич. авиационных приборов ВАП-6м. Продолжалось изготовление пистолетов-пулеметов "ППШ" (производство шло до к. 1945 г.) и ПП-43, винтовочных шомпольных противотанковых гранат ВПГС-41, кассет для гранат ЛАГ-20. </w:t>
      </w:r>
    </w:p>
    <w:p w14:paraId="1783A6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Директора завода: М.В.Дворкин (1941-44 г.), М.П.Аржаков (в 1946 г.), далее Ф.Г.Нестеров (с 1946 по 1951 г.), Н.И.Сысоев и В.С.Бриль (в период 1951-54гг.), Г.Д.Брустникин (в 1954-63 г.), В.А.Сперанский (с 1963 по 1986 г.), Л.И.Козловский (с 1983 г., далее с 1992 г. - президент АО).</w:t>
      </w:r>
    </w:p>
    <w:p w14:paraId="3089C8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заводе работало ОКБ-43 НКАП. Было образовано в соответствии с приказом №146 от 21.2.42 г. для разработки бомбардировочных, минно-торпедных и стрелковых авиаустановок, для чего с завода №32 НКАП (г. Киров) были переведены часть ОКБ-1 гл.к. А.И.Шульгина (33 чел.), бригада из состава ОКБ-2 и часть коллектива опытного цеха. Гл.к. завода №43 назначен А.И.Шульгин. При заводе орг. опытный цех. </w:t>
      </w:r>
    </w:p>
    <w:p w14:paraId="30D75E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Во исполнение приказа НКАП №272 от 6.5.43 г. в состав ОКБ завода №43 была переведана из г.Кирова часть оборудования и личного состава опытного цеха завода №32 НКАП ввиду реэвакуации ОКБ-2 гл.к. Г.М.Можаровского и И.В.Веневидова. </w:t>
      </w:r>
    </w:p>
    <w:p w14:paraId="5150B3A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к. 1944 г. на завод №43 из г.Кирова было полностью переведено ОКБ-32 НКАП гл.к. И.И.Торопова с опытным цехом и слито с ОКБ-43 в единое заводское ОКБ-43 по стрелковым и бомбардировочным установкам вооружения, гл.к. которого по серии был назначен И.И.Торопов (все по приказу №484 от 3.8.44 г.). Проводились работы по установкам вооружения для Ту-2 (держатели ПКД-2М, Дер-3-44, -4-44, -4-44ук). </w:t>
      </w:r>
    </w:p>
    <w:p w14:paraId="200A04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соответствии с приказом №447 от 14.11.45 г. в целях укрупнения конструкторских организаций сформировано объединенное ОКБ-43, путем перевода в состав ОКБ-43 И.И.Торопова основной части личного состава (142 чел.) и оборудования ОКБ-487 НКАП гл.к. И.П.Шебанова. Начальником и гл.к. объединенного ОКБ остался И.И.Торопов, а его зам. назначен И.П.Шебанов. По приказу №148 от 22.3.46 г. группа конструкторов и производственников (25 чел.) во главе с гл.к. И.П.Шебановым и зам. гл.к. В.И.Ермиловым выделяется из состава ОКБ-43 МАП и переводится на оп. завод №81 МАП. </w:t>
      </w:r>
    </w:p>
    <w:p w14:paraId="3B6E0B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ноября 1949 г. ОКБ-43 И.И.Торопова была предоставлена новая опытная база. ОКБ переведено с серийного завода №43 МАП на завод №134 МАП (п. Тушино) и получило название ОКБ-134. ОКБ-43 ликвидировано и площади переданы заводу. </w:t>
      </w:r>
    </w:p>
    <w:p w14:paraId="07AF3F6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После ВОВ на заводе шло производство СППУ - СПСВ-24, ДК-12, ДК-20, ДК-20С, ДК-7-18 и др. С 1952 г. вместо выливных химических приборов ВАП-6м планировалось начать изготовление разовых приборов РВП-100. Производство УРвв началось с освоения с 1957 г. изд."ИС" (К-51, РС-2-УС). Производство этих ракет шло в период с 1959г по 1964 г. Далее шло с 1960 г. производство ракет Р-3С ("310", "Стрела"), в т.ч. в варианте мишени и в учебном варианте, ракет Р-3Р ("320"), Р-13М ("380"), К-23, Р-60 (изд."62"), Р-73 (изд."72"), Р-77. </w:t>
      </w:r>
    </w:p>
    <w:p w14:paraId="691EF5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1963 г. предприятие получило наименование завод (далее ММЗ, ММПП) "Коммунар", а с 1992 г. - АО "Дукс". </w:t>
      </w:r>
    </w:p>
    <w:p w14:paraId="63C3E9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Дукс, ОАО</w:t>
      </w:r>
    </w:p>
    <w:p w14:paraId="6DE981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ранее - Завод №42 НКАП, МАП (а) (ранее на этой пл. Завод №32 НКОП,НКАП, ММЗ "Коммунар", ММПП "Коммунар", АО "Дукс")</w:t>
      </w:r>
    </w:p>
    <w:p w14:paraId="322910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- 125124, г. Москва, ул. Правды, 8 910776).</w:t>
      </w:r>
    </w:p>
    <w:p w14:paraId="6C67DE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7C2F6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декабря 1941 г. приказом НКАП № 1190сс в соответствии с пост. ГКО № 1053 от 23.12.1941 г. образован новый Машиностроительный завод № 43 НКАП (с ОКБ-43) при 2ГУ по производству агрегатов вооружения. Для скорейшего ввода в строй на завод переведено большое количество оборудования, оснастки, тех. документации с завода № 32 и других.</w:t>
      </w:r>
    </w:p>
    <w:p w14:paraId="3D8224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начала 1950-х  г. налажен выпуск дистанционно управляемых систем артиллерийского вооружения для Ил- 28, Ту-16, Ту-22, Ту-95. С 1963 г. - производство УРВВ и ПУ.</w:t>
      </w:r>
    </w:p>
    <w:p w14:paraId="44BF5E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СМ СССР № 713-342 от 26.06.1957 г. передан в ведение СНХ РСФСР.</w:t>
      </w:r>
    </w:p>
    <w:p w14:paraId="7C9935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«Коммунар» имел наименование «п/я 2407». С 1963 г. предприятие получило наименование завод (далее ММЗ, ММПП) «Коммунар», с 1993 г. - ОАО «Дукс». По решению правительства № 22-р от 9.01.2004 г. вошло в перечень стратегических предприятий.</w:t>
      </w:r>
    </w:p>
    <w:p w14:paraId="1C9645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(2002 г.): производство УРВВ, ПУ; агрегаты различных авиационных систем, приборы; асинхронные электродвигатели; пескоструйные машины.</w:t>
      </w:r>
    </w:p>
    <w:p w14:paraId="4BFA64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Директор (1941-44 г.-)- М.В. Дворкин, (1946 г.)- М.П. Аржаков, (1946-51 г.)- Ф. Г. Нестеров, (1951 г.-)- Н.И. Сысоев, (-1954 г.)-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Бриль, (1954- 63 г.)-  Г.Д. Брусникин (до этого- директор завода № 315), (1963-83 г.)- В.А. Сперанс^й, (1983 г.-)- Л.И. Козловский. Гендиректор (-2002-05 г.-)- В.А. Рац.</w:t>
      </w:r>
    </w:p>
    <w:p w14:paraId="5FE84D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(1942 г.-)- А.И. Шульгин.</w:t>
      </w:r>
    </w:p>
    <w:p w14:paraId="6DF3DB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по маркетингу (2002 г.)- В.Н. Сова.</w:t>
      </w:r>
      <w:r w:rsidRPr="00640820">
        <w:rPr>
          <w:rFonts w:ascii="Times New Roman" w:hAnsi="Times New Roman"/>
          <w:color w:val="000000" w:themeColor="text1"/>
          <w:sz w:val="16"/>
          <w:szCs w:val="16"/>
          <w:vertAlign w:val="superscript"/>
        </w:rPr>
        <w:t>69</w:t>
      </w:r>
    </w:p>
    <w:p w14:paraId="3F4945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бомбодержатель для Ту-14, спаренная пушка «Ангара» дня ЭСУ-37-2 «Енисей».</w:t>
      </w:r>
    </w:p>
    <w:p w14:paraId="78EDCC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Производство: ракетное оружие РО-82 и балки РУ-82 под снаряды РС-82 (ВОВ); держатели Дер-21. туре» УБТ-12,7, электросбрасыватель ЭСБР-Зп, замки МД-3-40 (ВОВ); выливные химические авиаприборы ВАП-бм (ВОВ); автоматы ППШ, ПП-43, винтовочные противотанковые гранаты ВПГС-41, кассеты для гранат ЛАГ-20 (ВОВ); системы пушечного вооружения: ПВ-23 для Ту-16 (1950-е), кормовая установка ДМ-20 для Ту-22 (1950- е); СППУ: СПСВ-24, ДК-12, ДК-20, ДК-20С, ДК-7-18; УРВБ: «ИС» (К-51, РС-2-УС) (1959- 64), Р-ЗС («310». «Стрела», </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960-), Р-ЗР («320»), Р-13М («380»), «62», «72», К-23, Р-60 («62»), Р-73 («72»), К-77 (11982).</w:t>
      </w:r>
    </w:p>
    <w:p w14:paraId="55D09E9F" w14:textId="77777777" w:rsidR="00CE5E8A" w:rsidRPr="00640820" w:rsidRDefault="00CE5E8A" w:rsidP="00640820">
      <w:pPr>
        <w:autoSpaceDE w:val="0"/>
        <w:autoSpaceDN w:val="0"/>
        <w:adjustRightInd w:val="0"/>
        <w:spacing w:after="0" w:line="240" w:lineRule="auto"/>
        <w:jc w:val="both"/>
        <w:rPr>
          <w:rFonts w:ascii="Times New Roman" w:hAnsi="Times New Roman"/>
          <w:color w:val="000000" w:themeColor="text1"/>
          <w:sz w:val="16"/>
          <w:szCs w:val="16"/>
        </w:rPr>
      </w:pPr>
    </w:p>
    <w:p w14:paraId="3F621B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декабря 1941 года на основе июльского заключения НИАП, содержащего предложение о доработке конструкции огнеметной бомбы и предложения представить на повторные полигонные испытания новую партию огнеметных авиабомб, ГУ ВВС направило письмо, в котором указывает на необходимость изготовления новой партии огнеметных авиабомб и проведение повторных испытаний. Для выяснения полученных результатов испытания и целесообразности дальнейшей работы по доведению этой конструкции огнеметной авиабомбы, был вызван 27 декабря автор этого предложения Турохин. При тщательном ознакомлении с этим вопросом пришли к выводу, что предложенная конструкция огнеметной авиабомбы является не эффективной и дальнейшая работа над ней не целесообразной (4166, 140-141).</w:t>
      </w:r>
    </w:p>
    <w:p w14:paraId="31B63F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7B5FF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декабря 1941 г. вышло постановление ГКО № 1071 о восстановлении производства пироксилиновых порохов на заводе № 204 завода (ГС завод № 204 НКОП, НКБ, Тамбовский пороховой завод ВСНХ, завод «Красный боевик» ВСНХ, НКТП, Завод № 25 НКТП, п/я 33, ГУП, ФГУП «Котовский завод пластмасс» (КЗП) Росбоеприпаса, ФАП, ФКП «Тамбовский пороховой завод» ФАП /г. Тамбов (1927 г.); пос. Красный боевик Тамбовской обл.;  г. Котовск п/я 33 «Боевик» (1943 г.)/ /393190  г. Котовск Тамбовской обл. пр. Труда, 23 тел. 22-759/):. В 07.1942 г. закончена реэвакуация и восстановление производства. Проектная мощность завода: на 1.01.1942 г. - 80</w:t>
      </w:r>
      <w:r w:rsidRPr="00640820">
        <w:rPr>
          <w:rFonts w:ascii="Times New Roman" w:hAnsi="Times New Roman"/>
          <w:color w:val="000000" w:themeColor="text1"/>
          <w:sz w:val="16"/>
          <w:szCs w:val="16"/>
          <w:lang w:val="en-US"/>
        </w:rPr>
        <w:t>Q</w:t>
      </w:r>
      <w:r w:rsidRPr="00640820">
        <w:rPr>
          <w:rFonts w:ascii="Times New Roman" w:hAnsi="Times New Roman"/>
          <w:color w:val="000000" w:themeColor="text1"/>
          <w:sz w:val="16"/>
          <w:szCs w:val="16"/>
        </w:rPr>
        <w:t xml:space="preserve"> т в месяц; выпускал в конце 1941-начале 1942 г.- 200...300 т в месяц. В 07.1942 г. вышло постановление ГКО (возможно, № 2009 от 10.07.1942 г.) об увеличении производственной мощности завода № 204 в 1,7 раза по сравнению с довоенной. Проектная мощность на 1.01.1943 г.- 1800, на 1.01.1945 г.- 2500 т в месяц.</w:t>
      </w:r>
    </w:p>
    <w:p w14:paraId="5C2541E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на заводе разработаны и производились противотанковые гранаты, в конце 1942 г. освоен выпуск зарядов из смеси пироксилинового пороха собственного производства и импортного. В годы ВОВ произведено 110 тыс. т. пироксилинового пороха и 50 млн. зарядов для бронебойных снарядов (85-мм зенитные орудия, 76-мм пушки, 152-мм пушки-гаубицы, зарядов к 57-мм пушкам ЗИС-2, пороха 4/7 для авиационного пулемета, винтовочного пороха под пулю Б-32, пороха 22/1 для 122-мм пушки А-19).</w:t>
      </w:r>
    </w:p>
    <w:p w14:paraId="1C5D66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завода (1943 г.): основные производства: сернокислотное, азотнокислотное, пироксилиновое, спирто-эфирное, пороховое, зарядное, целлулоидное; вспомогательные: стрельбище, металло-тарный цех, ремонтно-механическая мастерская, энергосектор, транспортный отдел.</w:t>
      </w:r>
    </w:p>
    <w:p w14:paraId="462B55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После войны освоен выпуск целлулоида, пенопласта, обувного гранитоля, этрола, лакокрасочных материалов. В 1970-х  г. начато производство нетканых материалов, синтетической кожи, с начала 1990-х  г.- пластикатов, охотничьих порохов. В 2000-е  г. проведена реконструкция, построены новые корпуса, пущен участок по производству пигментных паст, пентафталевых эмалей, линия ПВА дисперсии.</w:t>
      </w:r>
    </w:p>
    <w:p w14:paraId="077121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КЗП являлся градообразующим предприятием.</w:t>
      </w:r>
    </w:p>
    <w:p w14:paraId="1A27DB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(2005 г.): бронебойные подкалиберные выстрелы для танковых пушек; пироксилиновые пороха.</w:t>
      </w:r>
    </w:p>
    <w:p w14:paraId="0616CC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1996 г. вошел в состав ТПФГ «Точность». По Указу Президента РФ № 1009 от 4.08.2004 г. вошел в число стратегических оборонных предприятий. В 2006 г. ФГУП КЗП преобразовано в ФКП «Тамбовский пороховой завод». По приказу ФАП № 56 от 5.02.2007 г. завод вошел в состав НП «Пороховые заводы».</w:t>
      </w:r>
    </w:p>
    <w:p w14:paraId="339F36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(1943 г.): производственная- 85645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вспомогательная- 42497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прочая- 30737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7DF747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(до революции)- 6000 чел., (12.1942 г.)- 7901 чел.</w:t>
      </w:r>
    </w:p>
    <w:p w14:paraId="12833A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(1914 г.-)- г-м Т.С. Мионичинский; и.о. (09.1915 г.)- п И.А. Скосырский; (1927 г.)- М. Моисеев, Ш. Зайденберг, П. Козловский, (-06-22.И.1937 г.)- И. Г. Семенов (снят). Директор (13.01.1938-40 г.)- М.П. Дынкин, (1940-42 г.)- Ф.К. Губанов, (04.1942-44 г.-)- Н.Е. Стрельцов, (1945 г.)- В.Л. Ивченков; и.о. начальника (1946-47 г.)- С.И. Айзенберг, (1947-68 г.)- Т.А. Долматов, (1968-75 г.)- Н.Б. Письменный, (1975-83 г.)- В.И. Паничкин, (1983- 89 г.)- В.М. Бедный, (1989 г.-)- Н.П. Горохов. Гендиректор (05.2005-07 г.-)- В.Ф. Харитонов.</w:t>
      </w:r>
    </w:p>
    <w:p w14:paraId="4F61C9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Помощник начальника (директора): по строительной части (1914 г.-)- Д.К. Квятковский; по технической части (1914 г.-)- м Н.С. Деханов; по хозяйственной части (1914 г.-)- пп М.Н. Рубан; по найму и увольнению (31.05.1938 г.-)- Н.Т. Панин; (-29.11.1937 г.)- М.Е. Гусев.</w:t>
      </w:r>
    </w:p>
    <w:p w14:paraId="756C34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Технический директор (-7.06.1937 г.)- Д.И. Гальперин.</w:t>
      </w:r>
    </w:p>
    <w:p w14:paraId="532C8E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(06.1937 г.)- Н.А. Волков, (1941 г.)- М.М. Тропп, (04.1943 г.)- С.И. Айзенбер г.</w:t>
      </w:r>
      <w:r w:rsidRPr="00640820">
        <w:rPr>
          <w:rFonts w:ascii="Times New Roman" w:hAnsi="Times New Roman"/>
          <w:color w:val="000000" w:themeColor="text1"/>
          <w:sz w:val="16"/>
          <w:szCs w:val="16"/>
          <w:vertAlign w:val="superscript"/>
        </w:rPr>
        <w:t>55</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vertAlign w:val="superscript"/>
        </w:rPr>
        <w:t>56</w:t>
      </w:r>
    </w:p>
    <w:p w14:paraId="6F549E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инженера по по производству (1987 г.-)- Н.П. Горохов.</w:t>
      </w:r>
      <w:r w:rsidRPr="00640820">
        <w:rPr>
          <w:rFonts w:ascii="Times New Roman" w:hAnsi="Times New Roman"/>
          <w:color w:val="000000" w:themeColor="text1"/>
          <w:sz w:val="16"/>
          <w:szCs w:val="16"/>
          <w:vertAlign w:val="superscript"/>
        </w:rPr>
        <w:t>101</w:t>
      </w:r>
    </w:p>
    <w:p w14:paraId="1C5F64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энергетик (1941 г.)- М.А. Кучеров. Гл. механик (1941 г.)- Я.Д. Плотников.</w:t>
      </w:r>
    </w:p>
    <w:p w14:paraId="129398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цехов: (ВОВ)- Т.А. Далматов, (ВОВ)- И.Я. Забеленков, (ВОВ)- М.М. Курышев, (ВОВ)- Ф.А. Ремизов, (ВОВ)- А.К. Сакин. Комендант (1935-37 г.-)-  Г.Ф. Федоров.</w:t>
      </w:r>
    </w:p>
    <w:p w14:paraId="435A95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ОТК (ВОВ)- Л.П. Хряпин.</w:t>
      </w:r>
    </w:p>
    <w:p w14:paraId="051872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порох пироксилиновый, заряды; олеум, азотная кислота, купоросное масло, пироксилин, эфир, спирт-ректификат, целлулоид, нитромастика (1943) (11982).</w:t>
      </w:r>
    </w:p>
    <w:p w14:paraId="15F32BB7" w14:textId="77777777" w:rsidR="00CE5E8A" w:rsidRPr="00640820" w:rsidRDefault="00CE5E8A"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CE0C40E"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45CE05E2"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BC47CCE"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декабря 1941 года (с опозданием на 10 дней от графика) опытный образец КВ-7 прошёл заводские испытания. Ввиду спешки для него не был готов новый прицел. Впрочем, были нарекания и куда более серьёзные. Согласно отчёту, установка У-13 имела неудачную конструкцию поворотного механизма винтового типа с двумя шарнирами, что приводило к большому разбросу при стрельбе. Капитан П. Ф. Соломонов, контролировавший со стороны ГАУ КА испытания, составил список из более чем десятка недочётов, требовавших исправлений. Правда, большинство из них за отведённое время уже просто не успевали исправить – к 5 января КВ-7 ожидали в Москве (15838).</w:t>
      </w:r>
    </w:p>
    <w:p w14:paraId="0BF4AC2D" w14:textId="77777777" w:rsidR="00CE5E8A" w:rsidRPr="00640820" w:rsidRDefault="00CE5E8A" w:rsidP="00640820">
      <w:pPr>
        <w:spacing w:after="0" w:line="240" w:lineRule="auto"/>
        <w:jc w:val="both"/>
        <w:rPr>
          <w:rFonts w:ascii="Times New Roman" w:hAnsi="Times New Roman"/>
          <w:color w:val="000000" w:themeColor="text1"/>
          <w:sz w:val="16"/>
          <w:szCs w:val="16"/>
        </w:rPr>
      </w:pPr>
    </w:p>
    <w:p w14:paraId="447DFCCF" w14:textId="77777777" w:rsidR="003C65D8" w:rsidRPr="00640820" w:rsidRDefault="003C65D8" w:rsidP="00640820">
      <w:pPr>
        <w:pStyle w:val="a3"/>
        <w:rPr>
          <w:color w:val="000000" w:themeColor="text1"/>
          <w:lang w:val="ru-RU"/>
        </w:rPr>
      </w:pPr>
      <w:r w:rsidRPr="00640820">
        <w:rPr>
          <w:color w:val="000000" w:themeColor="text1"/>
          <w:lang w:val="ru-RU"/>
        </w:rPr>
        <w:t>27 декабря 1941 в течение одного дня испытывался КВ-7, да и то в заводских условиях. По их результатам в ГАУ и ГАБТУ был выслан доклад капи</w:t>
      </w:r>
      <w:r w:rsidRPr="00640820">
        <w:rPr>
          <w:color w:val="000000" w:themeColor="text1"/>
          <w:lang w:val="ru-RU"/>
        </w:rPr>
        <w:softHyphen/>
        <w:t>тана П. Соломонова:</w:t>
      </w:r>
    </w:p>
    <w:p w14:paraId="30586F76" w14:textId="77777777" w:rsidR="003C65D8" w:rsidRPr="00640820" w:rsidRDefault="003C65D8" w:rsidP="00640820">
      <w:pPr>
        <w:pStyle w:val="Bodytext141"/>
        <w:shd w:val="clear" w:color="auto" w:fill="auto"/>
        <w:spacing w:line="240" w:lineRule="auto"/>
        <w:ind w:firstLine="0"/>
        <w:jc w:val="both"/>
        <w:rPr>
          <w:i w:val="0"/>
          <w:color w:val="000000" w:themeColor="text1"/>
          <w:sz w:val="16"/>
          <w:szCs w:val="16"/>
        </w:rPr>
      </w:pPr>
      <w:r w:rsidRPr="00640820">
        <w:rPr>
          <w:i w:val="0"/>
          <w:color w:val="000000" w:themeColor="text1"/>
          <w:sz w:val="16"/>
          <w:szCs w:val="16"/>
        </w:rPr>
        <w:t>«Строенная установка в КВ-7, проходившая заводские испытания 27/</w:t>
      </w:r>
      <w:r w:rsidRPr="00640820">
        <w:rPr>
          <w:i w:val="0"/>
          <w:color w:val="000000" w:themeColor="text1"/>
          <w:sz w:val="16"/>
          <w:szCs w:val="16"/>
          <w:lang w:val="en-US"/>
        </w:rPr>
        <w:t>XII</w:t>
      </w:r>
      <w:r w:rsidRPr="00640820">
        <w:rPr>
          <w:i w:val="0"/>
          <w:color w:val="000000" w:themeColor="text1"/>
          <w:sz w:val="16"/>
          <w:szCs w:val="16"/>
        </w:rPr>
        <w:t>-41 г., требует устранения ряда дефектов и срочного проведения полигонных испытаний.</w:t>
      </w:r>
    </w:p>
    <w:p w14:paraId="4BB8C8AD" w14:textId="77777777" w:rsidR="003C65D8" w:rsidRPr="00640820" w:rsidRDefault="003C65D8" w:rsidP="00640820">
      <w:pPr>
        <w:pStyle w:val="Bodytext141"/>
        <w:shd w:val="clear" w:color="auto" w:fill="auto"/>
        <w:spacing w:line="240" w:lineRule="auto"/>
        <w:ind w:firstLine="0"/>
        <w:jc w:val="both"/>
        <w:rPr>
          <w:i w:val="0"/>
          <w:color w:val="000000" w:themeColor="text1"/>
          <w:sz w:val="16"/>
          <w:szCs w:val="16"/>
        </w:rPr>
      </w:pPr>
      <w:r w:rsidRPr="00640820">
        <w:rPr>
          <w:i w:val="0"/>
          <w:color w:val="000000" w:themeColor="text1"/>
          <w:sz w:val="16"/>
          <w:szCs w:val="16"/>
        </w:rPr>
        <w:t>Без проведения полигонных испытаний артустановка не может быть снабжена необходимыми прицелами и приборами наблюдения. Поставлен</w:t>
      </w:r>
      <w:r w:rsidRPr="00640820">
        <w:rPr>
          <w:i w:val="0"/>
          <w:color w:val="000000" w:themeColor="text1"/>
          <w:sz w:val="16"/>
          <w:szCs w:val="16"/>
        </w:rPr>
        <w:softHyphen/>
        <w:t>ный прицел ТМФД-8просто обозначает место прицела, но для боевого об</w:t>
      </w:r>
      <w:r w:rsidRPr="00640820">
        <w:rPr>
          <w:i w:val="0"/>
          <w:color w:val="000000" w:themeColor="text1"/>
          <w:sz w:val="16"/>
          <w:szCs w:val="16"/>
        </w:rPr>
        <w:softHyphen/>
        <w:t>служивания танка требует переделки, в частности нарезки новых шкал для прицеливания. Крепление прицела на одну точку нежелательно.</w:t>
      </w:r>
    </w:p>
    <w:p w14:paraId="0AF76147" w14:textId="77777777" w:rsidR="003C65D8" w:rsidRPr="00640820" w:rsidRDefault="003C65D8" w:rsidP="00640820">
      <w:pPr>
        <w:pStyle w:val="Bodytext141"/>
        <w:shd w:val="clear" w:color="auto" w:fill="auto"/>
        <w:spacing w:line="240" w:lineRule="auto"/>
        <w:ind w:firstLine="0"/>
        <w:jc w:val="both"/>
        <w:rPr>
          <w:i w:val="0"/>
          <w:color w:val="000000" w:themeColor="text1"/>
          <w:sz w:val="16"/>
          <w:szCs w:val="16"/>
        </w:rPr>
      </w:pPr>
      <w:r w:rsidRPr="00640820">
        <w:rPr>
          <w:i w:val="0"/>
          <w:color w:val="000000" w:themeColor="text1"/>
          <w:sz w:val="16"/>
          <w:szCs w:val="16"/>
        </w:rPr>
        <w:t>Отстрел на прочность Кировским заводом произведен штатными бо</w:t>
      </w:r>
      <w:r w:rsidRPr="00640820">
        <w:rPr>
          <w:i w:val="0"/>
          <w:color w:val="000000" w:themeColor="text1"/>
          <w:sz w:val="16"/>
          <w:szCs w:val="16"/>
        </w:rPr>
        <w:softHyphen/>
        <w:t>евыми выстрелами. Усиленными зарядами стрельбы не было. Кернения, разметки и обмеров установленных частей не было. Необходима проверка прочностей установленных деталей стрельбой.</w:t>
      </w:r>
    </w:p>
    <w:p w14:paraId="4F5B9EC2" w14:textId="77777777" w:rsidR="003C65D8" w:rsidRPr="00640820" w:rsidRDefault="003C65D8" w:rsidP="00640820">
      <w:pPr>
        <w:pStyle w:val="Bodytext141"/>
        <w:shd w:val="clear" w:color="auto" w:fill="auto"/>
        <w:spacing w:line="240" w:lineRule="auto"/>
        <w:ind w:firstLine="0"/>
        <w:jc w:val="both"/>
        <w:rPr>
          <w:i w:val="0"/>
          <w:color w:val="000000" w:themeColor="text1"/>
          <w:sz w:val="16"/>
          <w:szCs w:val="16"/>
        </w:rPr>
      </w:pPr>
      <w:r w:rsidRPr="00640820">
        <w:rPr>
          <w:i w:val="0"/>
          <w:color w:val="000000" w:themeColor="text1"/>
          <w:sz w:val="16"/>
          <w:szCs w:val="16"/>
        </w:rPr>
        <w:t>Система имеет неудачную конструкцию поворотного механизма вин</w:t>
      </w:r>
      <w:r w:rsidRPr="00640820">
        <w:rPr>
          <w:i w:val="0"/>
          <w:color w:val="000000" w:themeColor="text1"/>
          <w:sz w:val="16"/>
          <w:szCs w:val="16"/>
        </w:rPr>
        <w:softHyphen/>
        <w:t>тового типа с двумя шарнирами, что приводит к большому разбросу вы</w:t>
      </w:r>
      <w:r w:rsidRPr="00640820">
        <w:rPr>
          <w:i w:val="0"/>
          <w:color w:val="000000" w:themeColor="text1"/>
          <w:sz w:val="16"/>
          <w:szCs w:val="16"/>
        </w:rPr>
        <w:softHyphen/>
        <w:t>стрелов, то есть недостаточной меткости. Кроме того, данный пово</w:t>
      </w:r>
      <w:r w:rsidRPr="00640820">
        <w:rPr>
          <w:i w:val="0"/>
          <w:color w:val="000000" w:themeColor="text1"/>
          <w:sz w:val="16"/>
          <w:szCs w:val="16"/>
        </w:rPr>
        <w:softHyphen/>
        <w:t>ротный механизм будет требовать постоянного специального наблюдения и ухода, малейшая разладка и ослабление или износ шарниров постоянно будут ухудшать кучность и меткость.</w:t>
      </w:r>
    </w:p>
    <w:p w14:paraId="08E65AA3" w14:textId="77777777" w:rsidR="003C65D8" w:rsidRPr="00640820" w:rsidRDefault="003C65D8" w:rsidP="00640820">
      <w:pPr>
        <w:pStyle w:val="Bodytext141"/>
        <w:shd w:val="clear" w:color="auto" w:fill="auto"/>
        <w:spacing w:line="240" w:lineRule="auto"/>
        <w:ind w:firstLine="0"/>
        <w:jc w:val="both"/>
        <w:rPr>
          <w:i w:val="0"/>
          <w:color w:val="000000" w:themeColor="text1"/>
          <w:sz w:val="16"/>
          <w:szCs w:val="16"/>
        </w:rPr>
      </w:pPr>
      <w:r w:rsidRPr="00640820">
        <w:rPr>
          <w:i w:val="0"/>
          <w:color w:val="000000" w:themeColor="text1"/>
          <w:sz w:val="16"/>
          <w:szCs w:val="16"/>
        </w:rPr>
        <w:t>Необходима и желательна переделка поворотного механизма. Лучше всего замена его поворотным механизмом секторного типа. На поворот</w:t>
      </w:r>
      <w:r w:rsidRPr="00640820">
        <w:rPr>
          <w:i w:val="0"/>
          <w:color w:val="000000" w:themeColor="text1"/>
          <w:sz w:val="16"/>
          <w:szCs w:val="16"/>
        </w:rPr>
        <w:softHyphen/>
        <w:t>ном и подъемном механизмах следует поставить ограничитель вращения. Требуется переделка гильзоулавливателя. Левую и правую его щеки нужно удлинить вперед по крайней мере на одну вторую длины казенника, иначе нет надежного ограждения расчета при откате стволов. Общая шири</w:t>
      </w:r>
      <w:r w:rsidRPr="00640820">
        <w:rPr>
          <w:i w:val="0"/>
          <w:color w:val="000000" w:themeColor="text1"/>
          <w:sz w:val="16"/>
          <w:szCs w:val="16"/>
        </w:rPr>
        <w:softHyphen/>
        <w:t>на гильзоулавливателя может быть уменьшена, высота стенок (правой и левой) должна быть несколько больше.</w:t>
      </w:r>
    </w:p>
    <w:p w14:paraId="082FD0BF" w14:textId="77777777" w:rsidR="003C65D8" w:rsidRPr="00640820" w:rsidRDefault="003C65D8" w:rsidP="00640820">
      <w:pPr>
        <w:pStyle w:val="Bodytext141"/>
        <w:shd w:val="clear" w:color="auto" w:fill="auto"/>
        <w:spacing w:line="240" w:lineRule="auto"/>
        <w:ind w:firstLine="0"/>
        <w:jc w:val="both"/>
        <w:rPr>
          <w:i w:val="0"/>
          <w:color w:val="000000" w:themeColor="text1"/>
          <w:sz w:val="16"/>
          <w:szCs w:val="16"/>
        </w:rPr>
      </w:pPr>
      <w:r w:rsidRPr="00640820">
        <w:rPr>
          <w:i w:val="0"/>
          <w:color w:val="000000" w:themeColor="text1"/>
          <w:sz w:val="16"/>
          <w:szCs w:val="16"/>
        </w:rPr>
        <w:t>Необходимо изменить положение налобника, он находится не на месте и упором наводчику не служит.</w:t>
      </w:r>
    </w:p>
    <w:p w14:paraId="2D67E556" w14:textId="77777777" w:rsidR="003C65D8" w:rsidRPr="00640820" w:rsidRDefault="003C65D8" w:rsidP="00640820">
      <w:pPr>
        <w:pStyle w:val="Bodytext141"/>
        <w:shd w:val="clear" w:color="auto" w:fill="auto"/>
        <w:spacing w:line="240" w:lineRule="auto"/>
        <w:ind w:firstLine="0"/>
        <w:jc w:val="both"/>
        <w:rPr>
          <w:i w:val="0"/>
          <w:color w:val="000000" w:themeColor="text1"/>
          <w:sz w:val="16"/>
          <w:szCs w:val="16"/>
        </w:rPr>
      </w:pPr>
      <w:r w:rsidRPr="00640820">
        <w:rPr>
          <w:i w:val="0"/>
          <w:color w:val="000000" w:themeColor="text1"/>
          <w:sz w:val="16"/>
          <w:szCs w:val="16"/>
        </w:rPr>
        <w:t>Координаты ножного спуска требуется изменить, подножка спуска запрещает укладку нескольких кассет с 76 мм снарядами в их гнезда.</w:t>
      </w:r>
    </w:p>
    <w:p w14:paraId="05D5E5B1" w14:textId="77777777" w:rsidR="003C65D8" w:rsidRPr="00640820" w:rsidRDefault="003C65D8" w:rsidP="00640820">
      <w:pPr>
        <w:pStyle w:val="Bodytext141"/>
        <w:shd w:val="clear" w:color="auto" w:fill="auto"/>
        <w:spacing w:line="240" w:lineRule="auto"/>
        <w:ind w:firstLine="0"/>
        <w:jc w:val="both"/>
        <w:rPr>
          <w:i w:val="0"/>
          <w:color w:val="000000" w:themeColor="text1"/>
          <w:sz w:val="16"/>
          <w:szCs w:val="16"/>
        </w:rPr>
      </w:pPr>
      <w:r w:rsidRPr="00640820">
        <w:rPr>
          <w:i w:val="0"/>
          <w:color w:val="000000" w:themeColor="text1"/>
          <w:sz w:val="16"/>
          <w:szCs w:val="16"/>
        </w:rPr>
        <w:t>Сиденье наводчика необходимо улучшить, в частности выгнуть спинку.</w:t>
      </w:r>
    </w:p>
    <w:p w14:paraId="79D97BC8" w14:textId="77777777" w:rsidR="003C65D8" w:rsidRPr="00640820" w:rsidRDefault="003C65D8" w:rsidP="00640820">
      <w:pPr>
        <w:pStyle w:val="Bodytext141"/>
        <w:shd w:val="clear" w:color="auto" w:fill="auto"/>
        <w:spacing w:line="240" w:lineRule="auto"/>
        <w:ind w:firstLine="0"/>
        <w:jc w:val="both"/>
        <w:rPr>
          <w:i w:val="0"/>
          <w:color w:val="000000" w:themeColor="text1"/>
          <w:sz w:val="16"/>
          <w:szCs w:val="16"/>
        </w:rPr>
      </w:pPr>
      <w:r w:rsidRPr="00640820">
        <w:rPr>
          <w:i w:val="0"/>
          <w:color w:val="000000" w:themeColor="text1"/>
          <w:sz w:val="16"/>
          <w:szCs w:val="16"/>
        </w:rPr>
        <w:t>При углах снижения откатывающиеся стволы будут разбивать пла</w:t>
      </w:r>
      <w:r w:rsidRPr="00640820">
        <w:rPr>
          <w:i w:val="0"/>
          <w:color w:val="000000" w:themeColor="text1"/>
          <w:sz w:val="16"/>
          <w:szCs w:val="16"/>
        </w:rPr>
        <w:softHyphen/>
        <w:t>фон. Требуется продумать размещение световых точек так, чтобы осве</w:t>
      </w:r>
      <w:r w:rsidRPr="00640820">
        <w:rPr>
          <w:i w:val="0"/>
          <w:color w:val="000000" w:themeColor="text1"/>
          <w:sz w:val="16"/>
          <w:szCs w:val="16"/>
        </w:rPr>
        <w:softHyphen/>
        <w:t>щались шкалы указателей отката.</w:t>
      </w:r>
    </w:p>
    <w:p w14:paraId="276EA89C" w14:textId="77777777" w:rsidR="003C65D8" w:rsidRPr="00640820" w:rsidRDefault="003C65D8" w:rsidP="00640820">
      <w:pPr>
        <w:pStyle w:val="Bodytext141"/>
        <w:shd w:val="clear" w:color="auto" w:fill="auto"/>
        <w:spacing w:line="240" w:lineRule="auto"/>
        <w:ind w:firstLine="0"/>
        <w:jc w:val="both"/>
        <w:rPr>
          <w:i w:val="0"/>
          <w:color w:val="000000" w:themeColor="text1"/>
          <w:sz w:val="16"/>
          <w:szCs w:val="16"/>
        </w:rPr>
      </w:pPr>
      <w:r w:rsidRPr="00640820">
        <w:rPr>
          <w:i w:val="0"/>
          <w:color w:val="000000" w:themeColor="text1"/>
          <w:sz w:val="16"/>
          <w:szCs w:val="16"/>
        </w:rPr>
        <w:t>Наводчика и водителя нужно связать переговорной трубой, ибо грубая наводка выполняется танком» (17484).</w:t>
      </w:r>
    </w:p>
    <w:p w14:paraId="5B473360" w14:textId="77777777" w:rsidR="003C65D8" w:rsidRPr="00640820" w:rsidRDefault="003C65D8" w:rsidP="00640820">
      <w:pPr>
        <w:pStyle w:val="Bodytext141"/>
        <w:shd w:val="clear" w:color="auto" w:fill="auto"/>
        <w:spacing w:line="240" w:lineRule="auto"/>
        <w:ind w:firstLine="0"/>
        <w:jc w:val="both"/>
        <w:rPr>
          <w:i w:val="0"/>
          <w:color w:val="000000" w:themeColor="text1"/>
          <w:sz w:val="16"/>
          <w:szCs w:val="16"/>
        </w:rPr>
      </w:pPr>
    </w:p>
    <w:p w14:paraId="558AC762" w14:textId="77777777" w:rsidR="006513C7" w:rsidRPr="00640820" w:rsidRDefault="006513C7"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27 декабря 1941 года (с опозданием на 10 дней от графика) опытный образец КВ-7 прошёл заводские испытания. Ввиду спешки для него не был готов новый прицел. Впрочем, были нарекания и куда более серьёзные. Согласно отчёту, установка У-13 имела неудачную конструкцию поворотного механизма винтового типа с двумя шарнирами, что приводило к большому разбросу при стрельбе. Капитан П. Ф. Соломонов, контролировавший со стороны ГАУ КА испытания, составил список из более чем десятка недочётов, требовавших исправлений. Правда, большинство из них за отведённое время уже просто не успевали исправить – к 5 января КВ-7 ожидали в Москве.</w:t>
      </w:r>
    </w:p>
    <w:p w14:paraId="480FEED1" w14:textId="77777777" w:rsidR="006513C7" w:rsidRPr="00640820" w:rsidRDefault="006513C7"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назначенный день состоялись испытания, проходившие на полигоне завода №8 в Мытищах. Тогда же состоялся и осмотр машины комиссией, в которую входили начальники ГАБТУ, ГАУ, НКВ, а также Ворошилов и Котин. В ходе стрельбы с места только с третьего залпа удалось добиться одновременного выстрела сразу из трёх стволов, при этом кучность на дистанции 400 метров оказалась достаточно низкой. Испытания на скорострельность с места дали результат на уровне от 20 до 24 выстрелов в минуту. По отдельности скорострельность из каждого орудия оказалась примерно на уровне обычных танков, причём сама по себе идея залпового огня оказалась под вопросом. Если 76-мм пушка Ф-34 успевала сделать за 34 секунды 3 выстрела, то 45-мм танковые пушки – по 5 выстрелов. Впрочем, скорострельность комиссия признала удовлетворительной. Помимо низкой кучности стрельбы, особенно при залпе, неожиданно была признана недостаточной толщина лобовой брони. Её предложили увеличить до 110–120 мм. Кроме того, было предложено вместо строенной установки разработать спаренную – с двумя 76-мм орудиями.</w:t>
      </w:r>
    </w:p>
    <w:p w14:paraId="26499734" w14:textId="77777777" w:rsidR="006513C7" w:rsidRPr="00640820" w:rsidRDefault="006513C7"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Получив данные о результатах испытаний, Сталин собственноручно составил постановление ГКО №1110сс «О производстве танков «КВ-7» и «КВ-8». В нём первым же пунктом шло: </w:t>
      </w:r>
      <w:r w:rsidRPr="00640820">
        <w:rPr>
          <w:rFonts w:ascii="Times New Roman" w:eastAsia="Times New Roman" w:hAnsi="Times New Roman"/>
          <w:iCs/>
          <w:color w:val="000000" w:themeColor="text1"/>
          <w:sz w:val="16"/>
          <w:szCs w:val="16"/>
          <w:lang w:eastAsia="ru-RU"/>
        </w:rPr>
        <w:t>«Представленный 3-орудийный образец «КВ-7» отставить»</w:t>
      </w:r>
      <w:r w:rsidRPr="00640820">
        <w:rPr>
          <w:rFonts w:ascii="Times New Roman" w:eastAsia="Times New Roman" w:hAnsi="Times New Roman"/>
          <w:color w:val="000000" w:themeColor="text1"/>
          <w:sz w:val="16"/>
          <w:szCs w:val="16"/>
          <w:lang w:eastAsia="ru-RU"/>
        </w:rPr>
        <w:t>. О полной отмене работ по КВ-7 речи не было, но производство установочной партии машин так и не состоялось. 27 января были составлены тактико-технические требования на машину со спаренной установкой 76-мм пушек ЗИС-5 (17647).</w:t>
      </w:r>
    </w:p>
    <w:p w14:paraId="703A601B" w14:textId="77777777" w:rsidR="006513C7" w:rsidRPr="00640820" w:rsidRDefault="006513C7" w:rsidP="00640820">
      <w:pPr>
        <w:spacing w:after="0" w:line="240" w:lineRule="auto"/>
        <w:jc w:val="both"/>
        <w:rPr>
          <w:rFonts w:ascii="Times New Roman" w:hAnsi="Times New Roman"/>
          <w:color w:val="000000" w:themeColor="text1"/>
          <w:sz w:val="16"/>
          <w:szCs w:val="16"/>
        </w:rPr>
      </w:pPr>
    </w:p>
    <w:p w14:paraId="0A85F12F"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декабря 1941</w:t>
      </w:r>
    </w:p>
    <w:p w14:paraId="4F8257D6"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РГАЭ Фонд 8752 Опись 4 Дело 8 лист 18 – 19</w:t>
      </w:r>
    </w:p>
    <w:p w14:paraId="56709CAF"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27.XII. № 16</w:t>
      </w:r>
    </w:p>
    <w:p w14:paraId="3937CDA6"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 секретно. </w:t>
      </w:r>
    </w:p>
    <w:p w14:paraId="2CD93E9C"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w:t>
      </w:r>
    </w:p>
    <w:p w14:paraId="2543B054"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НАРКОМАТУ ТАНКОВОЙ ПРОМЫШЛЕННОСТИ</w:t>
      </w:r>
    </w:p>
    <w:p w14:paraId="30D04F33"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77-Мсс</w:t>
      </w:r>
    </w:p>
    <w:p w14:paraId="427B1259"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декабря 1941 года.</w:t>
      </w:r>
    </w:p>
    <w:p w14:paraId="067BAA5D"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дополнение к приказу № 75-Мсс от 26 декабря с.г. ПРИКАЗЫВАЮ: </w:t>
      </w:r>
    </w:p>
    <w:p w14:paraId="514376F1"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Начальнику Главснаба т. РОЗИНУ и Зам. Начальника 3-го Главка т. ХАБАХПАШЕВУ: </w:t>
      </w:r>
    </w:p>
    <w:p w14:paraId="2436EE7E"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учесть, что означенным постановлением ГКО Наркомчермет т. Тевосян обязан поставить заводам Наркомтанкопрома, по их спецификации, в 1 квартале 1942 г. 172 тыс. тонн полуобрезного, правленого бронелиста, в том числе: в январе – 52 тыс. тонн, в феврале – 56 тыс. тонн и в марте – 64 тыс. тонн. Поставка брони производится комплектно с окончанием поставки до 20 числа каждого месяца; </w:t>
      </w:r>
    </w:p>
    <w:p w14:paraId="6A6823AC"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представить мне к 28/XII на утверждение распределение брони по заводам и сообщить после этого разнарядку заводам и Наркомчермету. </w:t>
      </w:r>
    </w:p>
    <w:p w14:paraId="382D7DC3"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2. Учесть, что означенным постановлением ГКО Наркомсредмаш т. Акопов обязан изготовить в 1 квартале 1942 г. на Горьковском автозаводе им. Молотова 860 шт. моторов М-17 и 3160 моторов ГАЗ-202 и поставить: </w:t>
      </w:r>
    </w:p>
    <w:p w14:paraId="443E7A7B"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заводу № 112 моторов М-17: в январе – 270 шт., в феврале – 280 шт. и в марте 310 шт.; </w:t>
      </w:r>
    </w:p>
    <w:p w14:paraId="2BED95F4"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моторов ГАЗ-202 заводам № 37, 38 и 264 в январе 945 шт., в феврале 1050 шт. и в марте – 1165 шт. </w:t>
      </w:r>
    </w:p>
    <w:p w14:paraId="549E803D"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Начальника 1-го Отдела т. ДАВТЯН к 28/XII-с.г. представить мне на утверждение распределение моторов ГАЗ-202 между заводами № 37, 38 и 264 и сообщить разнарядку заводам и Наркомсредмашу (заводу ГАЗ). </w:t>
      </w:r>
    </w:p>
    <w:p w14:paraId="5FAA92C1"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Учесть, что контроль за выполнением данного постановления ГКО возложен на Зам. Наркома Госконтроля т. Попова.</w:t>
      </w:r>
    </w:p>
    <w:p w14:paraId="2DCCD3DA"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Народный Комиссар Танковой Промышленности СССР</w:t>
      </w:r>
    </w:p>
    <w:p w14:paraId="25E80E97"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подпись (В. Малышев)</w:t>
      </w:r>
    </w:p>
    <w:p w14:paraId="528479C4"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Отп. 1 экз.</w:t>
      </w:r>
    </w:p>
    <w:p w14:paraId="3F4035E9"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(18199).</w:t>
      </w:r>
    </w:p>
    <w:p w14:paraId="1D610017" w14:textId="77777777" w:rsidR="008416A6" w:rsidRPr="00640820" w:rsidRDefault="008416A6" w:rsidP="00640820">
      <w:pPr>
        <w:spacing w:after="0" w:line="240" w:lineRule="auto"/>
        <w:jc w:val="both"/>
        <w:rPr>
          <w:rFonts w:ascii="Times New Roman" w:hAnsi="Times New Roman"/>
          <w:color w:val="000000" w:themeColor="text1"/>
          <w:sz w:val="16"/>
          <w:szCs w:val="16"/>
        </w:rPr>
      </w:pPr>
    </w:p>
    <w:p w14:paraId="2D4D4108"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декабря 1941</w:t>
      </w:r>
    </w:p>
    <w:p w14:paraId="07C49F1C"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РГАЭ Фонд 8752 Опись 4 Дело 8 лист 21</w:t>
      </w:r>
    </w:p>
    <w:p w14:paraId="1D18A86D"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28.XII. № 26</w:t>
      </w:r>
    </w:p>
    <w:p w14:paraId="56021A5D"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 СЕКРЕТНО </w:t>
      </w:r>
    </w:p>
    <w:p w14:paraId="29BA478A"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w:t>
      </w:r>
    </w:p>
    <w:p w14:paraId="6A57463B"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НАРОДНОГО КОМИССАРА ТАНКОВОЙ ПРОМЫШЛЕННОСТИ СОЮЗА ССР</w:t>
      </w:r>
    </w:p>
    <w:p w14:paraId="312E421E"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78-Мсс</w:t>
      </w:r>
    </w:p>
    <w:p w14:paraId="56AB35F7"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Москва</w:t>
      </w:r>
    </w:p>
    <w:p w14:paraId="01421FFF"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декабря 1941 г.</w:t>
      </w:r>
    </w:p>
    <w:p w14:paraId="60D23641"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исполнение постановления ГКО от 25 декабря 1941 г. за № 1062сс ПРИКАЗЫВАЮ: </w:t>
      </w:r>
    </w:p>
    <w:p w14:paraId="7B78336D"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Директорам заводов № 183 – т. МАКСАРЕВУ, Сталинградского тракторного – т. ГОРЕГЛЯД, № 112 – т. МИХАЛЕВУ: </w:t>
      </w:r>
    </w:p>
    <w:p w14:paraId="4D59E3C5"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обеспечить с 15 января 1942 г. выпуск танков Т-34 с экранировкой лобовой части в 60 мм, а с 15 февраля 1942 г. с броней в лобовой части в 60 мм; </w:t>
      </w:r>
    </w:p>
    <w:p w14:paraId="0C83CA1F"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немедленно представить Главснабу и 3-му Главному Управлению НКТП спецификацию потребного бронелиста. </w:t>
      </w:r>
    </w:p>
    <w:p w14:paraId="36EDBAAA"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Директорам заводов № 37 – т. ФРЕЗЕРОВУ, № 264 – т. ЗЕРНОВУ, Коломенского – т. РУБИНЧИК: </w:t>
      </w:r>
    </w:p>
    <w:p w14:paraId="591ED676"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обеспечить с 15 января 1942 г выпуск танков Т-60 с экранировкой лобовой части в 35 мм, а с 15 февраля 1942 г. с броней лобовой части в 35 мм; </w:t>
      </w:r>
    </w:p>
    <w:p w14:paraId="0F164A62"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немедленно представить Главснабу и 3-му Главному Управлению НКТП спецификацию потребного бронелиста. </w:t>
      </w:r>
    </w:p>
    <w:p w14:paraId="65303916"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Зам. начальника Главснаба т. КАМЕНЬЩИКУ и Зам. начальника 3-го Главного Управления т. РИВИНУ обеспечить указанные заводы необходимым бронелистом по их спецификации.</w:t>
      </w:r>
    </w:p>
    <w:p w14:paraId="060AF6A2"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НАРОДНЫЙ КОМИССАР ТАНКОВОЙ ПРОМЫШЛЕННОСТИ СОЮЗА ССР</w:t>
      </w:r>
    </w:p>
    <w:p w14:paraId="6DA45F12"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подпись В. МАЛЫШЕВ</w:t>
      </w:r>
    </w:p>
    <w:p w14:paraId="55E0148C"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Отп. 1 экз.</w:t>
      </w:r>
    </w:p>
    <w:p w14:paraId="108124FD"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(18200).</w:t>
      </w:r>
    </w:p>
    <w:p w14:paraId="4574C77D" w14:textId="77777777" w:rsidR="008416A6" w:rsidRPr="00640820" w:rsidRDefault="008416A6" w:rsidP="00640820">
      <w:pPr>
        <w:spacing w:after="0" w:line="240" w:lineRule="auto"/>
        <w:jc w:val="both"/>
        <w:rPr>
          <w:rFonts w:ascii="Times New Roman" w:hAnsi="Times New Roman"/>
          <w:color w:val="000000" w:themeColor="text1"/>
          <w:sz w:val="16"/>
          <w:szCs w:val="16"/>
        </w:rPr>
      </w:pPr>
    </w:p>
    <w:p w14:paraId="2C15EE7D"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декабря 1941</w:t>
      </w:r>
    </w:p>
    <w:p w14:paraId="606AF059"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РГАЭ Фонд 8752 Опись 4 Дело 8 лист 25 – 26 27.XII. № 22</w:t>
      </w:r>
    </w:p>
    <w:p w14:paraId="0193765B"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 секретно. </w:t>
      </w:r>
    </w:p>
    <w:p w14:paraId="11302361"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w:t>
      </w:r>
    </w:p>
    <w:p w14:paraId="7EC9FB0E"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НАРОДНОГО КОМИССАРА ТАНКОВОЙ ПРОМЫШЛЕННОСТИ</w:t>
      </w:r>
    </w:p>
    <w:p w14:paraId="25B143FB"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80-Мсс</w:t>
      </w:r>
    </w:p>
    <w:p w14:paraId="1C89C808"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Москва</w:t>
      </w:r>
    </w:p>
    <w:p w14:paraId="6CCB9832"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декабря 1941 г.</w:t>
      </w:r>
    </w:p>
    <w:p w14:paraId="599AA655"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основании постановления Государственного Комитета Обороны от 19/XII-1941 г. № ГКО-1043сс ПРИКАЗЫВАЮ: </w:t>
      </w:r>
    </w:p>
    <w:p w14:paraId="1CEBE193"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Утвердить следующий график ежесуточного выпуска в январе месяце 1942 г. танков, корпусов и моторов по заводам Наркомтанкопрома: </w:t>
      </w:r>
    </w:p>
    <w:p w14:paraId="20397DF3"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Учесть, что суточный график на январь 1942 г. составлен с учетом одного выходного дня. </w:t>
      </w:r>
    </w:p>
    <w:p w14:paraId="58A199EF"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Всем директорам танковых, корпусных и моторных заводов ежедневно доносить мне шифровками и по связи "ВЧ" о ходе выполнения установленного графика ежесуточного выпуска в январе месяце танков, корпусов и моторов.</w:t>
      </w:r>
    </w:p>
    <w:p w14:paraId="4A9B4AAD"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Народный Комиссар Танковой Промышленности СССР</w:t>
      </w:r>
    </w:p>
    <w:p w14:paraId="428CBB6B"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подпись (В. Малышев)</w:t>
      </w:r>
    </w:p>
    <w:p w14:paraId="2BFED948"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Отп. 1 экз.</w:t>
      </w:r>
    </w:p>
    <w:p w14:paraId="6AE257BA" w14:textId="77777777" w:rsidR="008416A6" w:rsidRPr="00640820" w:rsidRDefault="008416A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(18201).</w:t>
      </w:r>
    </w:p>
    <w:p w14:paraId="084C59BC" w14:textId="77777777" w:rsidR="008416A6" w:rsidRPr="00640820" w:rsidRDefault="008416A6" w:rsidP="00640820">
      <w:pPr>
        <w:spacing w:after="0" w:line="240" w:lineRule="auto"/>
        <w:jc w:val="both"/>
        <w:rPr>
          <w:rFonts w:ascii="Times New Roman" w:hAnsi="Times New Roman"/>
          <w:color w:val="000000" w:themeColor="text1"/>
          <w:sz w:val="16"/>
          <w:szCs w:val="16"/>
        </w:rPr>
      </w:pPr>
    </w:p>
    <w:p w14:paraId="741B28C8" w14:textId="77777777" w:rsidR="006513C7" w:rsidRPr="00640820" w:rsidRDefault="006513C7"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27 декабря 1941 года партия из 20 танков «Тетрархов» прибыла в Зенджан (Иран). Она же оказалась и последней, поскольку при таких, мягко говоря, не слишком обнадёживающих данных о выпуске «Тетрархов» дальнейший их заказ был лишён смысла.</w:t>
      </w:r>
    </w:p>
    <w:p w14:paraId="50F8764B" w14:textId="77777777" w:rsidR="006513C7" w:rsidRPr="00640820" w:rsidRDefault="006513C7"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Лёгкие английские танки стали первыми боевыми машинами, которые доставили по южному пути. </w:t>
      </w:r>
    </w:p>
    <w:p w14:paraId="66DEFBFA" w14:textId="77777777" w:rsidR="006513C7" w:rsidRPr="00640820" w:rsidRDefault="006513C7"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Фотографии и переписка по этим машинам однозначно говорят о том, что часть прибывших танков оказалась подержанной. Среди полученных «Тетрархов» оказались самые первые серийные танки с номерами T.9266, T.9267 и T.9268, выпущенные ещё в октябре-ноябре 1940 года. На фотографиях этих машин прекрасно видны маркировки 10-го полка королевских гусар (10-th Royal Hussars regiment), входившего в состав 1-й танковой дивизии. Именно это подразделение первым получило «Тетрархи» на вооружение и использовало их как учебные танки. Справедливости ради, следует отметить, что подержанными были не все присланные танки. Попадающиеся в переписке серийные номера T.9315, T.9319, а также находящийся в экспозиции парка «Патриот» танк с номером T.9328 относятся к машинам выпуска 3 квартала 1941 года. На них никаких маркировок не замечено, и как тренировочные танки они не использовались.</w:t>
      </w:r>
    </w:p>
    <w:p w14:paraId="137592C5" w14:textId="77777777" w:rsidR="006513C7" w:rsidRPr="00640820" w:rsidRDefault="006513C7"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При приёмке танков произошла небольшая заминка, поскольку получающей стороной была высказана необходимость присутствия двух инструкторов английской армии. Первый должен был отвечать за обучение вождению, а второй – за обучение обращению с оружием. Кроме того, утрясался вопрос о запчастях и объёмах боеприпасов, которые требовались к каждому танку. Вопрос по инструкторам пришлось решать лично генералу Фрэнку Ноэль Мейсон-Макфарлейну, главе британской военной миссии в СССР. С этой целью генерал отправил из Тбилиси в Зенджан офицера из состава британской военной миссии (17648).</w:t>
      </w:r>
    </w:p>
    <w:p w14:paraId="208C4717" w14:textId="77777777" w:rsidR="006513C7" w:rsidRPr="00640820" w:rsidRDefault="006513C7" w:rsidP="00640820">
      <w:pPr>
        <w:spacing w:after="0" w:line="240" w:lineRule="auto"/>
        <w:jc w:val="both"/>
        <w:rPr>
          <w:rFonts w:ascii="Times New Roman" w:hAnsi="Times New Roman"/>
          <w:color w:val="000000" w:themeColor="text1"/>
          <w:sz w:val="16"/>
          <w:szCs w:val="16"/>
        </w:rPr>
      </w:pPr>
    </w:p>
    <w:p w14:paraId="409007AF"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декабря 1941 года вышел Приказ НКБ № 712</w:t>
      </w:r>
    </w:p>
    <w:p w14:paraId="7083A59B"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связи с организацией филиала первой группы 1 отдела НКБ в Куйбышеве ………(5680, 54).</w:t>
      </w:r>
    </w:p>
    <w:p w14:paraId="05750DC5"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9DE5C0"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декабря 1941 года вышел Приказ НКБ № 714</w:t>
      </w:r>
    </w:p>
    <w:p w14:paraId="2283F6E1"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исполнение распоряжения СНК № 13066 от 28 ноября 1941 года:</w:t>
      </w:r>
    </w:p>
    <w:p w14:paraId="3BA2E098"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Включить в состав завода № 510, размещенного на площадях Омского спиртоводочного завода, эвакуированный завод “Харпластмасс” (5680, 60).</w:t>
      </w:r>
    </w:p>
    <w:p w14:paraId="728EEC4D"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0C31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декабря 1941 г. на базе эвакуированных в Пензу на площадку спиртоводочного завода предприятий: Симферопольского завода им. В.В. Куйбышева, Воронежского машиностроительного завода им. Ленина (затем восстановлен в Воронеже как завод № 727) и Орловского завода текстильного машиностроения был создан Завод «Пензтекстильмаш». В соответствии с пост, правительства № 837-430сс от 3.06.1942 г. и приказом НКМВ № 250с от 7.07.1942 г. завод «Пензтекстильмаш» НКМВ переименован в завод № 744 в ведении 1ГУ.</w:t>
      </w:r>
      <w:r w:rsidRPr="00640820">
        <w:rPr>
          <w:rFonts w:ascii="Times New Roman" w:hAnsi="Times New Roman"/>
          <w:color w:val="000000" w:themeColor="text1"/>
          <w:sz w:val="16"/>
          <w:szCs w:val="16"/>
          <w:vertAlign w:val="superscript"/>
        </w:rPr>
        <w:t>129</w:t>
      </w:r>
      <w:r w:rsidRPr="00640820">
        <w:rPr>
          <w:rFonts w:ascii="Times New Roman" w:hAnsi="Times New Roman"/>
          <w:color w:val="000000" w:themeColor="text1"/>
          <w:sz w:val="16"/>
          <w:szCs w:val="16"/>
        </w:rPr>
        <w:t xml:space="preserve"> По 1945 г. имел наименование завод № 744 (Завод № 744 НКМВ, Пензенский завод текстильного машиностроения («Пензтекстильмаш», «Пензтекмаш») НКМВ, ММиП, АООТ, ОАО «Пензтекстильмаш» /г. Пенза ул. Каракозовская, 33 «Пензтекстильмаш» (1948 г.)/ /440061  г. Пенза ул. Каракозова, 33/).</w:t>
      </w:r>
    </w:p>
    <w:p w14:paraId="1EE4E1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1947 г. завод «Пензтекстильмаш» - в ведении Главтекстильлегмаша ММиП.</w:t>
      </w:r>
    </w:p>
    <w:p w14:paraId="4D9910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завода (1947 г.) цехи: основные: заготовительный, литейный, рифленых цилиндров, механосборочный, механический, малярно-упаковочный; вспомогательные: инструментальный, ремонтно- механический, электроцех, ремонтно-строительный, теплосиловой, транспортный.</w:t>
      </w:r>
    </w:p>
    <w:p w14:paraId="042175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начале 1945 г. завод перешел на выпуск токарно-универсальных станков, в этом же году начато освоение текстильного машиностроения. В 1959 г. завод первым в стране наладил выпуск ленточных машин для хлопка, штапельного и искусственного волокна. В 1980-е  г. разрабатывались машины собственной конструкции. Кроме того, в 1980-е  г. освоено производство оборудования для цветной металлургии и кабельной промышленности. В 1982 г. начата разработка гладильных прессов.</w:t>
      </w:r>
    </w:p>
    <w:p w14:paraId="12A548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1992 г. завод преобразован в АООТ «Пензтекстильмаш».</w:t>
      </w:r>
    </w:p>
    <w:p w14:paraId="69EA8F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(1946 г.)- 219 ед., (1947 г.)- 248 ед.</w:t>
      </w:r>
    </w:p>
    <w:p w14:paraId="668FE33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территории (1947 г.)- 4,8 га; застройки (1947 г.)- 8090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производственная (1946 г.)- 4027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(1947 г.)- 4290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390C73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(1946 г.)- 821 чел., (1947 г.)- 795 чел.</w:t>
      </w:r>
    </w:p>
    <w:p w14:paraId="2DC7EE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(1941 г.-)- Н.А. Смелов, (06.1942 г.)- Н.Д. Павлов, (ВОВ)- П.Т. Стрельцов, Д.Д. Гридин, (1948 г.)- В.Н. Лавров, Ф.П. Борисов, Н.А. Ивашин, А.С. Сафронов, И.Ф. Болотин. Гендиректор (1995 г.)- И.П. Купцов.</w:t>
      </w:r>
    </w:p>
    <w:p w14:paraId="6A113B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(1948 г.)- Альтшулер.</w:t>
      </w:r>
    </w:p>
    <w:p w14:paraId="32119CE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корпуса 37-мм снарядов, 50-мм мин (1942); станки: токарно-универсальный ТУ-4 (1945-47-); </w:t>
      </w:r>
      <w:r w:rsidRPr="00640820">
        <w:rPr>
          <w:rFonts w:ascii="Times New Roman" w:hAnsi="Times New Roman"/>
          <w:iCs/>
          <w:color w:val="000000" w:themeColor="text1"/>
          <w:sz w:val="16"/>
          <w:szCs w:val="16"/>
        </w:rPr>
        <w:t>машины:</w:t>
      </w:r>
      <w:r w:rsidRPr="00640820">
        <w:rPr>
          <w:rFonts w:ascii="Times New Roman" w:hAnsi="Times New Roman"/>
          <w:color w:val="000000" w:themeColor="text1"/>
          <w:sz w:val="16"/>
          <w:szCs w:val="16"/>
        </w:rPr>
        <w:t xml:space="preserve"> ленточные: ЛН-4-4 (1946-47-), ЛВС (1947), по переработке химволокон РС-220-ИС, ЛР-230-ИС (1964-), скоростные Л2-50 (1978), ЛАТ-50, ЛАВ-50, ЛВА-1 (1980-е); гребнечесальная ГД-12 (1950-), для чесания короткого льняного волокна ГК-185-Л, лентосоединительные СЛС (1947), РС-2-260П, холстовытяжные ХВ (1947), ХОМ-80 (1972); гладильные прессы ПСП, НПП (1980-е); изолировочные машины ОГ-8, ОГ-12 (1980-е); тестоокруглительная машина </w:t>
      </w:r>
      <w:r w:rsidRPr="00640820">
        <w:rPr>
          <w:rFonts w:ascii="Times New Roman" w:hAnsi="Times New Roman"/>
          <w:color w:val="000000" w:themeColor="text1"/>
          <w:sz w:val="16"/>
          <w:szCs w:val="16"/>
          <w:lang w:val="en-US"/>
        </w:rPr>
        <w:t>Tl</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XTH</w:t>
      </w:r>
      <w:r w:rsidRPr="00640820">
        <w:rPr>
          <w:rFonts w:ascii="Times New Roman" w:hAnsi="Times New Roman"/>
          <w:color w:val="000000" w:themeColor="text1"/>
          <w:sz w:val="16"/>
          <w:szCs w:val="16"/>
        </w:rPr>
        <w:t xml:space="preserve"> (1984-); вальцовые мельницы «Фермер-1», «Фермер-2» (1994-).</w:t>
      </w:r>
    </w:p>
    <w:p w14:paraId="68BD60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Орловский завод текстильного машиностроения, Орловский машиностроительный завод «Текмаш» ММиП, ОАО «Орелтекмаш» /г. Орел ул. Московская, 155 «Текмаш» (1948 г.)/</w:t>
      </w:r>
    </w:p>
    <w:p w14:paraId="443292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ЭКОСО при СНК № 684-142сс от 23.09.1938 г. по пр. НКОП № 395сс от 8.10.1938 г. на завод с завода № 7 ЗГУ с 01.1939 г. передано производство текстильных машин (пеньковые: ленточные, гильспининги; льняные: ленточные, банкаброши; рифленые цилиндры; хлопчатобумажные банкаброши).</w:t>
      </w:r>
    </w:p>
    <w:p w14:paraId="631823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после начала войны Орловский завод текстильного машиностроения эвакуирован: основная часть - в Пензу, где 27.12.1941 г. создан завод № 744 НКМВ; другая часть - на площадку Кузнецкого завода текстильного машиностроения, где был создан завод № 748 НКМВ.</w:t>
      </w:r>
    </w:p>
    <w:p w14:paraId="300F333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5.08.1944 г. вышло распоряжение ГКО № 6316 об установке на заводе «Текмаш» в Орле дизельагрегатов и их пуске в 1944 г. В 1947 г. завод «Текмаш» - в ведении Главтекстильлегмаша ММиП. В 1960-е  г. - производство автоматических линий и машин для легкой и пищевой промышленности.</w:t>
      </w:r>
    </w:p>
    <w:p w14:paraId="522D85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завода (1947 г.) цехи: основные: литейный, заготовительный, механический, сборочный, массовых деталей; вспомогательные: инструментальный, термический, модельный, котельно-компрессорная, ремонтно- механический, кислородная станция, электроцех, экспериментальный, ремонтно-строительный.</w:t>
      </w:r>
    </w:p>
    <w:p w14:paraId="3757028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200963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(1939 г.)- 825 ед., (1946 г.)- 407 ед., (1947 г.)- 524 ед.</w:t>
      </w:r>
    </w:p>
    <w:p w14:paraId="234524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территории (1947 г.)- 18 га; застройки (1947 г.)- 35413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производственная (1939 г.)- 39963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(1946 г.)- 8127 м , (1947 г.)- 11782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2EA1BB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(1939 г.)- 4039 чел., (1946 г.)-1187 чел., (1947 г.)- 1341 чел.</w:t>
      </w:r>
    </w:p>
    <w:p w14:paraId="0D9258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(1948 г.)- Иванов.</w:t>
      </w:r>
    </w:p>
    <w:p w14:paraId="4269C5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(1948 г.)- Усиков.</w:t>
      </w:r>
    </w:p>
    <w:p w14:paraId="6EC6C3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машины: банкаброш оческов ОБ, ленточная оческов ЛОС, ленточная пеньковая ЛПС, куделеприг КММ, трясилка ТГ, трепальная ОТ; пресс для волокна РП, веретена УБВ, рогульки УБР, полотна гребенок ПГ, финишер пеньковый ФП-1 (1947).</w:t>
      </w:r>
      <w:r w:rsidRPr="00640820">
        <w:rPr>
          <w:rFonts w:ascii="Times New Roman" w:hAnsi="Times New Roman"/>
          <w:color w:val="000000" w:themeColor="text1"/>
          <w:sz w:val="16"/>
          <w:szCs w:val="16"/>
          <w:vertAlign w:val="superscript"/>
        </w:rPr>
        <w:t>129</w:t>
      </w:r>
    </w:p>
    <w:p w14:paraId="5A404F3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Орловский машиностроительный завод им. М. Г. Медведева ММиП /г. Орел ул. Московская, 69 «Завод Медведева» (1948 г.)/</w:t>
      </w:r>
    </w:p>
    <w:p w14:paraId="702C12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Основан в 1867 г. Вначале велось производство аппаратов для розлива минеральной воды. Затем - плугов и гирь.</w:t>
      </w:r>
    </w:p>
    <w:p w14:paraId="65C130D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1919 г. присвоено имя М. Г. Медведева.</w:t>
      </w:r>
    </w:p>
    <w:p w14:paraId="3F7B9D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ЭКОСО при СНК № 684-142сс от 23.09.1938 г. по пр. НКОП № 395сс от 8.10.1938 г. на завод с завода № 7 ЗГУ с 01.1939 г. передано производство банкаброшных рогулек (для текстильной промышленности).</w:t>
      </w:r>
    </w:p>
    <w:p w14:paraId="046242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1947 г. завод - в ведении Главтекстильлегмаша ММиП.</w:t>
      </w:r>
    </w:p>
    <w:p w14:paraId="489D1D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завода цехи (1947 г.) цехи: основные: механический, ламельный; вспомогательные: дизельный, котельная.</w:t>
      </w:r>
    </w:p>
    <w:p w14:paraId="4E7660C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(1939 г.)- 827 ед., (1946 г.)- 28 ед., (1947 г.)- 93 ед.</w:t>
      </w:r>
    </w:p>
    <w:p w14:paraId="2E6AB8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территории (1947 г.)- 18,2 га; производственная (1939 г.)- 18626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(1946 г.)- 1009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(1947 г.)- 1073 м2.</w:t>
      </w:r>
    </w:p>
    <w:p w14:paraId="4F36333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(1939 г.)- 2296 чел., (1946 г.)- 72 чел., (1947 г.)- 225 чел.</w:t>
      </w:r>
    </w:p>
    <w:p w14:paraId="6D5892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(1948 г.)- Тимохин.</w:t>
      </w:r>
    </w:p>
    <w:p w14:paraId="79F2CB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(1948 г.)- Бич.</w:t>
      </w:r>
    </w:p>
    <w:p w14:paraId="727B9A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прибор ламельный ПМД-46; станки: ткацкие </w:t>
      </w:r>
      <w:r w:rsidRPr="00640820">
        <w:rPr>
          <w:rFonts w:ascii="Times New Roman" w:hAnsi="Times New Roman"/>
          <w:color w:val="000000" w:themeColor="text1"/>
          <w:sz w:val="16"/>
          <w:szCs w:val="16"/>
          <w:lang w:val="en-US"/>
        </w:rPr>
        <w:t>ATK</w:t>
      </w:r>
      <w:r w:rsidRPr="00640820">
        <w:rPr>
          <w:rFonts w:ascii="Times New Roman" w:hAnsi="Times New Roman"/>
          <w:color w:val="000000" w:themeColor="text1"/>
          <w:sz w:val="16"/>
          <w:szCs w:val="16"/>
        </w:rPr>
        <w:t xml:space="preserve">, </w:t>
      </w:r>
      <w:r w:rsidRPr="00640820">
        <w:rPr>
          <w:rFonts w:ascii="Times New Roman" w:hAnsi="Times New Roman"/>
          <w:color w:val="000000" w:themeColor="text1"/>
          <w:sz w:val="16"/>
          <w:szCs w:val="16"/>
          <w:lang w:val="en-US"/>
        </w:rPr>
        <w:t>JTA</w:t>
      </w:r>
      <w:r w:rsidRPr="00640820">
        <w:rPr>
          <w:rFonts w:ascii="Times New Roman" w:hAnsi="Times New Roman"/>
          <w:color w:val="000000" w:themeColor="text1"/>
          <w:sz w:val="16"/>
          <w:szCs w:val="16"/>
        </w:rPr>
        <w:t>, АМХ-5, 1ТСА, 2ТСА, ЗТСА, ЛШ; уточно-перемоточный (1947) (11982).</w:t>
      </w:r>
    </w:p>
    <w:p w14:paraId="0ADF98C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EF4835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декабря 1941 г. была подготовлена ДОКЛАДНАЯ ЗАПИСКА ИНФОРМАЦИОННОГО ОТДЕЛА РУ ГЕНШТАБА НАЧАЛЬНИКУ ГАБТУ О НОВОМ ТАНКЕ ГЕРМАНСКОЙ АРМИИ</w:t>
      </w:r>
    </w:p>
    <w:p w14:paraId="455EE51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данным военнопленного (принадлежащего к 36 мд ефрейтора Штрембель Хельмут), от 6.12.1941 г., на вооружении германской армии есть новые танки, обладающие броней, непро</w:t>
      </w:r>
      <w:r w:rsidRPr="00640820">
        <w:rPr>
          <w:rFonts w:ascii="Times New Roman" w:hAnsi="Times New Roman"/>
          <w:color w:val="000000" w:themeColor="text1"/>
          <w:sz w:val="16"/>
          <w:szCs w:val="16"/>
        </w:rPr>
        <w:softHyphen/>
        <w:t>биваемой средствами противотанковой обороны. Между двумя стальными стенками накачан, под сильным давлением, воздух, что дает усиление брони при том же весе без уменьшения скорости.</w:t>
      </w:r>
    </w:p>
    <w:p w14:paraId="64885AD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начальника информационного отдела РУ Генштаба РККА</w:t>
      </w:r>
    </w:p>
    <w:p w14:paraId="5E117A4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полковник Онянов</w:t>
      </w:r>
    </w:p>
    <w:p w14:paraId="5F8D4BB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ЦАМО. Ф. 38. Оп. 11355. Д. 939. Л. 2. Подлинник (11211).</w:t>
      </w:r>
    </w:p>
    <w:p w14:paraId="4A9E755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09280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декабря 1941 г. была подготовлена ЗАЯВКА ГАБТУ КА О РАСПРЕДЕЛЕНИИ МАШИН ПО ЗАВОДАМ ГАУ ПОД СПЕЦУСТАНОВКИ</w:t>
      </w:r>
    </w:p>
    <w:p w14:paraId="4650A98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числа предназначенных к отпуску под спецустановки для ГАУ КА 100 штук автомашин Мар-мон-Харингтон (Форд) прошу отправить в адрес военпредов ГАУ КА следующих заводов: 50 штук — военпреду завода № 205, г. Саратов, в декабре месяце 1941 г.;</w:t>
      </w:r>
    </w:p>
    <w:p w14:paraId="1F852B0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штук — военпреду завода «Главполиграфмаш», г. Пенза, в первой половине января 1942 г.; 25 штук — военпреду завода № 192, г. Сталинск, в первой половине января 1942 г. Копии нарядов на отправку указанным заводам автомашин прошу направить МПО ГАУ КА.</w:t>
      </w:r>
    </w:p>
    <w:p w14:paraId="52CFF30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начальника МПО ГАУ КА подполковник Малахов</w:t>
      </w:r>
    </w:p>
    <w:p w14:paraId="0EABEE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kern w:val="65535"/>
          <w:sz w:val="16"/>
          <w:szCs w:val="16"/>
        </w:rPr>
      </w:pPr>
      <w:r w:rsidRPr="00640820">
        <w:rPr>
          <w:rFonts w:ascii="Times New Roman" w:hAnsi="Times New Roman"/>
          <w:color w:val="000000" w:themeColor="text1"/>
          <w:kern w:val="65535"/>
          <w:sz w:val="16"/>
          <w:szCs w:val="16"/>
        </w:rPr>
        <w:t>Начальник 4 отделения капитан Максимов</w:t>
      </w:r>
    </w:p>
    <w:p w14:paraId="74F6CC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kern w:val="65535"/>
          <w:sz w:val="16"/>
          <w:szCs w:val="16"/>
        </w:rPr>
      </w:pPr>
      <w:r w:rsidRPr="00640820">
        <w:rPr>
          <w:rFonts w:ascii="Times New Roman" w:hAnsi="Times New Roman"/>
          <w:color w:val="000000" w:themeColor="text1"/>
          <w:kern w:val="65535"/>
          <w:sz w:val="16"/>
          <w:szCs w:val="16"/>
        </w:rPr>
        <w:t>ЦАМО. Ф. 38. Оп. 11386. Д. 138. Л. 1. Подлинник (11211).</w:t>
      </w:r>
    </w:p>
    <w:p w14:paraId="3B0A8A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kern w:val="65535"/>
          <w:sz w:val="16"/>
          <w:szCs w:val="16"/>
        </w:rPr>
      </w:pPr>
    </w:p>
    <w:p w14:paraId="1E709A22"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декабря 1941 вышло Постановление ГКО № 1068 О сокращении строительства оборонительных рубежей. (7018, 178).</w:t>
      </w:r>
    </w:p>
    <w:p w14:paraId="60D5DC52"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722B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декабря 1941 вышло Постановление ГКО № 1070 О строительстве завода N8 НКВ. РГАНИР, Фонд ГКО, д. 17, лл. 180-183, 184-194 (11012).</w:t>
      </w:r>
    </w:p>
    <w:p w14:paraId="41EA75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AB713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декабря 1941 вышло Постановление ГКО № 1071 О восстановлении производства пироксилиновых порохов на заводах № 14 и 204 Hаркомата боеприпасов. РГАНИР, Фонд ГКО, д. 17, лл. 195 (11012).</w:t>
      </w:r>
    </w:p>
    <w:p w14:paraId="3C6AFB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F50C1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декабря 1941 г. вышло постановление ГКО № 1071 о восстановлении производства пироксилиновых порохов на заводе № 14 (ГС завод № 14 им. А.А. Косякова НКОП, НКБ, п/я 3, Рошальский пороховой завод ВСНХ, Завод им. Рошаля ВСНХ, Завод им. тов. А.А. Косякова ВСНХ, Рошальский химический завод «Нордикс», ГУП «ПО «Рошальский химический комбинат имени А.А. Косякова» Росбоеприпаса /г. Рошаль Московской обл. п/я 3 «Московский Сталинец» (1943г.)/). Для руководства монтажом и восстановлением оборудования было организовано восстановительно-техническое бюро; к 30.01.1942г. вернулось 99 вагонов оборудования. В 1943г. завод реконструирован. В составе завода (1943г.): основные производства: 1-е сернокислотное, 2-е азотнокислотное, 3-е пироксилиновое, 4-е эфирное, 5-е пороховое, 6-е укупорочное, 7-е мастичное, 8-е зарядное; вспомогательные: ремонтно-механический завод; ДОК; ЦЗЛ; отделы: водоснабжения, электро, транспортный.</w:t>
      </w:r>
    </w:p>
    <w:p w14:paraId="081050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12.1942-04.1943г. - в ведении ЗГУ НКБ, в 08.1943-09.1944г. - в ведении 9ГУ. Имел обозначение «п/я 3» (1943г.).</w:t>
      </w:r>
    </w:p>
    <w:p w14:paraId="74F917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05.1945г. после реэвакуации завод вступил в строй действующих, практически возобновил работу во второй половине 1942г. Проведена реконструкция теплосилового хозяйства. К концу 1942г. освоен выпуск фигурных зерненых порохов Уолша 7/14 для зарядов к 37-мм зенитной пушке и трубчатого пороха 180/57. На 1.01.1943г. проектная мощность завода- 15 тыс. т в год.</w:t>
      </w:r>
      <w:r w:rsidRPr="00640820">
        <w:rPr>
          <w:rFonts w:ascii="Times New Roman" w:hAnsi="Times New Roman"/>
          <w:color w:val="000000" w:themeColor="text1"/>
          <w:sz w:val="16"/>
          <w:szCs w:val="16"/>
          <w:vertAlign w:val="superscript"/>
        </w:rPr>
        <w:t>55</w:t>
      </w:r>
    </w:p>
    <w:p w14:paraId="13075E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2004г.- ГУП «ПО «Рошальский химический комбинат имени А.А. Косякова»; вероятно, в его составе- завод «Нордикс». Далее завод обанкрочен, территория сдана коммерческим фирмам.</w:t>
      </w:r>
    </w:p>
    <w:p w14:paraId="1CBFFA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(1943г.): производственная- 49629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вспомогательная- 15392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прочая- 22486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0C06A4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Численность персонала (12.1942г.)- 4450 чел.</w:t>
      </w:r>
    </w:p>
    <w:p w14:paraId="75CF9A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(-14.07.1937г.)- П.М. Дубнер, (14.07.1937-13.02.1938г.)- П(В).Т. Варюхов, (13.02.1938г.-)- Д.И. Корнеев, (-1941-04.1943г.-)- Н.И. Гречищев, (11.1943г.)- Стариченко.</w:t>
      </w:r>
    </w:p>
    <w:p w14:paraId="38765B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Помощник директора по найму и увольнению рабочей силы (-21.01.1937г.)- Д.Л. Анапольский, (21.01.1937г.-&gt; А.Г. Куршковский.</w:t>
      </w:r>
    </w:p>
    <w:p w14:paraId="2F9382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(-1941-04.1943г.-)- А.П. Певчев.</w:t>
      </w:r>
    </w:p>
    <w:p w14:paraId="48FD27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производства (03.1938г.)- Н.С. Навольнев.</w:t>
      </w:r>
    </w:p>
    <w:p w14:paraId="32E1C4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планового (04.1943г.)- Базюкин; ТБ (03.1938г.)- М.М. Михайлов. Начальник мастерской (03.1938г.)- Н.Г. Кулик.</w:t>
      </w:r>
    </w:p>
    <w:p w14:paraId="1A49A7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Помощник начальника мастерской (03.1938г.)- Н.С. Рябуха.</w:t>
      </w:r>
    </w:p>
    <w:p w14:paraId="169D5E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порох пироксилиновый; олеум, азотная кислота, отбельный хлопок, пироксилин, коллоксилин, эфир технический и медицинский, мастика; медицинский коллодий (1943) (11982).</w:t>
      </w:r>
    </w:p>
    <w:p w14:paraId="2E4C9E13" w14:textId="77777777" w:rsidR="00CE5E8A" w:rsidRPr="00640820" w:rsidRDefault="00CE5E8A"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590050"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декабря 1941 вышло Постановление ГКО № 1072 О частичном изменении плана эвакуации средств связи Московского узла. (7018, 196).</w:t>
      </w:r>
    </w:p>
    <w:p w14:paraId="0D6DECDC"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2467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декабря 1941 вышло Постановление ГКО № 1073 Об отмене постановления ВС 50А от 5 декабря. 1941 г. об увеличении суточных норм № 1 красноармейского пайка. РГАНИР, Фонд ГКО, д. 17, лл. 197 (11012).</w:t>
      </w:r>
    </w:p>
    <w:p w14:paraId="08AB05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3F3B1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декабря 1941 вышло Распоряжение ГКО № 1075 О демонтаже четырех прессов на заводе "Красный Октябрь" и установке их на Кузнецком металлургическом комбинате. РГАНИР, Фонд ГКО, д. 17, лл. 199 (11012).</w:t>
      </w:r>
    </w:p>
    <w:p w14:paraId="56EE31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AEA2073" w14:textId="77777777" w:rsidR="00CE5E8A"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декабря 1941 вышло Распоряжение ГКО № 1076 Об оставлении Челябинской макаронной фабрики в системе HКПП СССР и передаче HКРП, для размещения эвакуируемых предприятий, Зюкайского маслозавода (Молотовская обл.). РГАНИР, Фонд ГКО, д. 17, лл. 200 (11012).</w:t>
      </w:r>
    </w:p>
    <w:p w14:paraId="52EBA20F" w14:textId="77777777" w:rsidR="00CE5E8A" w:rsidRPr="00640820" w:rsidRDefault="00CE5E8A" w:rsidP="00640820">
      <w:pPr>
        <w:autoSpaceDE w:val="0"/>
        <w:autoSpaceDN w:val="0"/>
        <w:adjustRightInd w:val="0"/>
        <w:spacing w:after="0" w:line="240" w:lineRule="auto"/>
        <w:jc w:val="both"/>
        <w:rPr>
          <w:rFonts w:ascii="Times New Roman" w:hAnsi="Times New Roman"/>
          <w:color w:val="000000" w:themeColor="text1"/>
          <w:sz w:val="16"/>
          <w:szCs w:val="16"/>
        </w:rPr>
      </w:pPr>
    </w:p>
    <w:p w14:paraId="34B501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27 декабря 1941 г. О строительстве и работе прядильно-ткацкой комбината в г.Канске </w:t>
      </w:r>
    </w:p>
    <w:p w14:paraId="1F13D6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докладной записки Канского горкома ВКП (б) и уполномоченного Наркомтекстиля СССР в Красноярский крайком ВКП (б) и исполком крайсовета</w:t>
      </w:r>
    </w:p>
    <w:p w14:paraId="571772C3" w14:textId="77777777" w:rsidR="00045010" w:rsidRPr="00640820" w:rsidRDefault="00045010" w:rsidP="00640820">
      <w:pPr>
        <w:tabs>
          <w:tab w:val="center" w:pos="5425"/>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г.Канск 27 декабря 1941 г.</w:t>
      </w:r>
    </w:p>
    <w:p w14:paraId="399A9362" w14:textId="77777777" w:rsidR="00045010" w:rsidRPr="00640820" w:rsidRDefault="00045010" w:rsidP="00640820">
      <w:pPr>
        <w:tabs>
          <w:tab w:val="center" w:pos="5425"/>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Секретарю Красноярского краевого комитета ВКП (б) тов. Голубеву И. Г.</w:t>
      </w:r>
    </w:p>
    <w:p w14:paraId="7A14E9B2" w14:textId="77777777" w:rsidR="00045010" w:rsidRPr="00640820" w:rsidRDefault="00045010" w:rsidP="00640820">
      <w:pPr>
        <w:tabs>
          <w:tab w:val="center" w:pos="5425"/>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Председателю краевого исполнительного комитета тов. Буеверову.</w:t>
      </w:r>
    </w:p>
    <w:p w14:paraId="0F563C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Постановлением ГКО от 13 октября 1941 г. № 780 оборудование Высоковской прядильно-ткацкой фабрики (Московской области) должно было быть эвакуированным в глубинные районы страны, в том числе в первую очередь, оборудование в количестве 25000 прядильных веретен с гребенным приготовительным отделом и 1000 ткацких станков, согласно этого постановления должно быть эвакуировано в г. Канск с количеством рабочих, занятых на производстве при полном пуске 1650 человек.</w:t>
      </w:r>
    </w:p>
    <w:p w14:paraId="7A56886F" w14:textId="77777777" w:rsidR="00045010" w:rsidRPr="00640820" w:rsidRDefault="00045010" w:rsidP="00640820">
      <w:pPr>
        <w:tabs>
          <w:tab w:val="left" w:pos="684"/>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Из намеченного к эвакуации оборудования в г. Канск, в связи с занятием Высоковского района вражескими войсками, отправлено комплектного оборудования только 75%, т. е. 19148 прядильных веретен и 702 ткацких станка с полным набором приготовительных машин, а всего отправлено 179 вагонов. Потребное количество электромоторов и трансмиссий отправлено 40%. Но поскольку Высоковский район в настоящее время очищен от вражеских войск, есть все основания полагать, что оставшееся неотправленное оборудование можно будет отгрузить полностью.</w:t>
      </w:r>
    </w:p>
    <w:p w14:paraId="64BD03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25 декабря в г. Канск прибыло уже 80 вагонов из отправленного оборудования и 150 рабочих и ИТР для монтажа и пуска его.</w:t>
      </w:r>
    </w:p>
    <w:p w14:paraId="423E5AE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Выбором места отправления оборудования в г. Канск Наркомат текстильной промышленности имел в виду наличие в г. Канске свободного помещения, которое можно бы использовать для быстрого пуска фабрики, поскольку на эвакуированном оборудовании (как наиболее тонком гребенном), Высоковская фабрика вырабатывала тонкие ответственные сорта ткани, необходимые для военно-воздушного флота.</w:t>
      </w:r>
    </w:p>
    <w:p w14:paraId="6D31C3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4. Потребная площадь для размещения указанного оборудования составляет по предварительным подсчетам (в зависимости от удобств помещения) 13000-15000 кв. м., причем 50 % [зданий, отведенных] под размещение прядильного оборудования, должно быть обязательно кирпичными зданиями, [так] как [оборудование] наиболее огнеопасное, остальное помещение для ткацкого оборудования можно допустить при соответствующих противопожарных мероприятиях деревянное одноэтажное. Потребная мощность и электроэнергия для указанного оборудования 1100-1200 квт. […] </w:t>
      </w:r>
    </w:p>
    <w:p w14:paraId="293099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Поскольку решением краевых организаций от 23 декабря с. г. в передаче зданий мельничного комбината под текстильное производство для размещения оборудования, эвакуированного с Высоковской фабрики отказано и предложено Наркомтекстилю строить новые здания, считаем необходимым об изложенном довести до Вашего сведения и поставить перед Вами вопрос об оказании помощи в следующем:</w:t>
      </w:r>
    </w:p>
    <w:p w14:paraId="48709B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Принять срочные меры к постройке нового здания под эвакуированное текстильное оборудование в г. Канске, не вывозя оборудование обратно, поскольку оно имеет большое оборонное значение, придав этому строительству предпочтительное значение. Для чего необходимо:</w:t>
      </w:r>
    </w:p>
    <w:p w14:paraId="22FA184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Просить Наркомтекстиль срочно выслать необходимых специалистов-проектантов для проектирования фабрики; выделить фонды денежные и стройматериалы: железо, цемент, стекло, гвозди, электроматериалы и проч[ее].</w:t>
      </w:r>
    </w:p>
    <w:p w14:paraId="6F82E0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Просить НКВД принять на себя строительство здания фабрики, использовав на месте строительную организацию заключенных (Краслаг), как наиболее мощную организацию, могущую справиться с этой задачей.</w:t>
      </w:r>
    </w:p>
    <w:p w14:paraId="0AF5B2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Просить Наркомхоз ускорить и выполнить в 1942 году намеченное расширение Канской городской ЦЭС, так как без этого расширения электроэнергией городская ЦЭС снабдить текстильную фабрику, в размере ее потребности 1200 кв. м., при наличии в работе мелькомбината, не может.</w:t>
      </w:r>
    </w:p>
    <w:p w14:paraId="0EC0017F" w14:textId="77777777" w:rsidR="00045010" w:rsidRPr="00640820" w:rsidRDefault="00045010" w:rsidP="00640820">
      <w:pPr>
        <w:tabs>
          <w:tab w:val="left" w:pos="798"/>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Канские городские организации обязуются уделять этому строительству исключительное внимание и оказать необходимую помощь.</w:t>
      </w:r>
    </w:p>
    <w:p w14:paraId="770626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Отведением площадки под строительство, где найдут проектанты наиболее подходящим, как для эвакуированного оборудования, так и с учетом перспективы расширения. В данный момент считаем наиболее подходящим строить фабрику на площадке мелькомбината и прилегающей территории. [Необходимо] использовать для ускорения строительства имеющуюся базу ввиду готовых подъездных путей, электроэнергии, воды и складских помещений, передав текстильной фабрике 5500 кв. м. готовых складских помещений под хранение и размещение прибывающего оборудования: разрушенное здание крупозавода площадью около 1400 кв. м. и 3 жилых 8-ми квартирных дома под размещение прибывающих рабочих и ИТР.</w:t>
      </w:r>
    </w:p>
    <w:p w14:paraId="420498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Обеспечить строительство текстильной фабрики в 1942 году местными стройматериалами: отпустив 2 млн. штук кирпича, потребное количество извести и алебастра и лесоматериалов (по выделенным фондам), наличие которых в городе Канске имеется.</w:t>
      </w:r>
    </w:p>
    <w:p w14:paraId="455C22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Секретарь Канского ГК ВКП (б)</w:t>
      </w:r>
      <w:r w:rsidRPr="00640820">
        <w:rPr>
          <w:rFonts w:ascii="Times New Roman" w:hAnsi="Times New Roman"/>
          <w:color w:val="000000" w:themeColor="text1"/>
          <w:sz w:val="16"/>
          <w:szCs w:val="16"/>
        </w:rPr>
        <w:tab/>
      </w:r>
      <w:r w:rsidRPr="00640820">
        <w:rPr>
          <w:rFonts w:ascii="Times New Roman" w:hAnsi="Times New Roman"/>
          <w:color w:val="000000" w:themeColor="text1"/>
          <w:sz w:val="16"/>
          <w:szCs w:val="16"/>
        </w:rPr>
        <w:tab/>
        <w:t xml:space="preserve"> подпись</w:t>
      </w:r>
      <w:r w:rsidRPr="00640820">
        <w:rPr>
          <w:rFonts w:ascii="Times New Roman" w:hAnsi="Times New Roman"/>
          <w:color w:val="000000" w:themeColor="text1"/>
          <w:sz w:val="16"/>
          <w:szCs w:val="16"/>
        </w:rPr>
        <w:tab/>
        <w:t>Подзин</w:t>
      </w:r>
    </w:p>
    <w:p w14:paraId="7AAED474" w14:textId="77777777" w:rsidR="00045010" w:rsidRPr="00640820" w:rsidRDefault="00045010" w:rsidP="00640820">
      <w:pPr>
        <w:tabs>
          <w:tab w:val="center" w:pos="5425"/>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Уполномоченный Наркомтекстиля СССР</w:t>
      </w:r>
      <w:r w:rsidRPr="00640820">
        <w:rPr>
          <w:rFonts w:ascii="Times New Roman" w:hAnsi="Times New Roman"/>
          <w:color w:val="000000" w:themeColor="text1"/>
          <w:sz w:val="16"/>
          <w:szCs w:val="16"/>
        </w:rPr>
        <w:tab/>
        <w:t>подпись</w:t>
      </w:r>
      <w:r w:rsidRPr="00640820">
        <w:rPr>
          <w:rFonts w:ascii="Times New Roman" w:hAnsi="Times New Roman"/>
          <w:color w:val="000000" w:themeColor="text1"/>
          <w:sz w:val="16"/>
          <w:szCs w:val="16"/>
        </w:rPr>
        <w:tab/>
        <w:t>Сапунов</w:t>
      </w:r>
    </w:p>
    <w:p w14:paraId="20194DC5"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ГАКК. Ф.П-148. Оп.1. Д.59. Л.11-12. Подлинник. Машинопись (11796).</w:t>
      </w:r>
    </w:p>
    <w:p w14:paraId="05C93A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3C813B4"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7DA8A2B3"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976A3B7"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27 декабря</w:t>
      </w:r>
      <w:r w:rsidRPr="00640820">
        <w:rPr>
          <w:rFonts w:ascii="Times New Roman" w:hAnsi="Times New Roman"/>
          <w:color w:val="000000" w:themeColor="text1"/>
          <w:sz w:val="16"/>
          <w:szCs w:val="16"/>
        </w:rPr>
        <w:t xml:space="preserve"> в 1941 году утреннее сообщение Совинформбюро:</w:t>
      </w:r>
    </w:p>
    <w:p w14:paraId="67737287"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27 декабря наши войска вели бои с противником на всех фронтах.</w:t>
      </w:r>
    </w:p>
    <w:p w14:paraId="52FD9715"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части, действующие на одном из участков Западного фронта, сломив упорное сопротивление противника, за один день заняли 17 населённых пунктов и захватили много оружия и боеприпасов. Трофеи подсчитываются. На другом участке фронта наши бойцы выбили немцев из 11 населённых пунктов и истребили около 2.000 солдат и офицеров противника.</w:t>
      </w:r>
    </w:p>
    <w:p w14:paraId="6599EC00"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Части тов. Федюнинского, действующие на одном из участков Ленинградского фронта, за два дня боёв заняли железнодорожную станцию, несколько населённых пунктов, уничтожили 4 немецких танка, 4 орудия, 2 бронемашины, захватили 11 пулемётов, много мин, снарядов и истребили 600 вражеских солдат и офицеров.</w:t>
      </w:r>
    </w:p>
    <w:p w14:paraId="5CFFA100"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лётчики, действующие на Южном фронте, несмотря на неблагоприятные метеорологические условия, сбили два немецких самолёта, разбомбили на вражеском аэродроме 10 самолётов, уничтожили 70 автомашин, 5 орудий и 14 железнодорожных цистерн противника.</w:t>
      </w:r>
    </w:p>
    <w:p w14:paraId="55D07782"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Пулемётчики подразделения младшего лейтенанта Шандура в одном из боёв истребили 100 вражеских солдат и захватили 5 автомашин, несколько мотоциклов и 30.000 патронов. На другой день бойцы подразделения Шандура захватили ещё 26 автомашин, средний танк, 2 тягача, тяжёлое орудие, 3 пулемёта и большое количество боеприпасов.</w:t>
      </w:r>
    </w:p>
    <w:p w14:paraId="39858F64"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Военнопленный командир 1 батальона 4 мотострелкового полка 6 танковой дивизии лейтенант Планге Рудольф заявил: «В период подготовки наступления на Москву немецкие солдаты и офицеры считали, что советская столица будет быстро взята и наступит мир. Но мы столкнулись с необычным сопротивлением русских. Наши части несли огромные потери как в людях, так и в технике, особенно в танках. Вследствие этих огромных потерь, а также наступившей зимы боеспособность немецких солдат резко снизилась, ухудшилось их моральное состояние. Я, офицер и член национал-социалистской партии, раньше верил Гитлеру и был убеждён в нашей победе.</w:t>
      </w:r>
    </w:p>
    <w:p w14:paraId="53DACF03"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Но теперь я считаю поражение Германии неизбежным. Нападая на Россию, Гитлер не учёл многих обстоятельств и прежде всего он не рассчитывал на такое сопротивление русских, не предвидел затяжной войны и борьбы партизан в тылу немецкой армии».</w:t>
      </w:r>
    </w:p>
    <w:p w14:paraId="0C447E36"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одном из «Сообщений для армии" верховное командование вооружённых сил Германии распекает тех немецких «солдат, которые в письмах на родину приводят ужасные подробности боёв». В «Сообщении» указывается солдатам, что письма с фронта «должны заключать в себе только положительное. Каждое письмо должно содержать сведения, которые бы приободрили тех, кто с тревогой следит за событиями на Восточном фронте».</w:t>
      </w:r>
    </w:p>
    <w:p w14:paraId="3AAA821C"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городах Финляндии с каждым днём растёт число жителей, умерших от голода. Толпы голодных людей осаждают магазины и продовольственные базы. 20 декабря группа работниц бумажной фабрики в Куопио избила 4 немецких солдат, нёсших буханки хлеба. В городе Оулу разгромлен немецкий продовольственный склад, в котором находилось несколько десятков тонн масла, захваченного немцами в Финляндии и упакованного для отправки в Германию.» (14873).</w:t>
      </w:r>
    </w:p>
    <w:p w14:paraId="3A4E3142" w14:textId="77777777" w:rsidR="00CE5E8A" w:rsidRPr="00640820" w:rsidRDefault="00CE5E8A" w:rsidP="00640820">
      <w:pPr>
        <w:spacing w:after="0" w:line="240" w:lineRule="auto"/>
        <w:jc w:val="both"/>
        <w:rPr>
          <w:rFonts w:ascii="Times New Roman" w:hAnsi="Times New Roman"/>
          <w:color w:val="000000" w:themeColor="text1"/>
          <w:sz w:val="16"/>
          <w:szCs w:val="16"/>
        </w:rPr>
      </w:pPr>
    </w:p>
    <w:p w14:paraId="64C47695"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27 декабря</w:t>
      </w:r>
      <w:r w:rsidRPr="00640820">
        <w:rPr>
          <w:rFonts w:ascii="Times New Roman" w:hAnsi="Times New Roman"/>
          <w:color w:val="000000" w:themeColor="text1"/>
          <w:sz w:val="16"/>
          <w:szCs w:val="16"/>
        </w:rPr>
        <w:t xml:space="preserve"> в 1941 году вечернее сообщение Совинформбюро:</w:t>
      </w:r>
    </w:p>
    <w:p w14:paraId="60062884"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27 декабря наши войска вели бои с противником на всех фронтах. На ряде участков фронта наши войска, ведя бои с противником, продолжали продвигаться вперёд и заняли ряд населённых пунктов, в том числе города Лихвин, Высокиничи, Новосиль, Тим.</w:t>
      </w:r>
    </w:p>
    <w:p w14:paraId="674D297E"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Нашими кораблями в Баренцовом море потоплены три транспорта противника.</w:t>
      </w:r>
    </w:p>
    <w:p w14:paraId="163DA2F0"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26 декабря одна наша авиачасть уничтожила не менее 11 немецких танков, около 160 автомашин с войсками и грузами, 10 полевых орудий с прислугой, 7 зенитных орудий, 120 повозок с боеприпасами, сожгла 22 железнодорожных вагона и рассеяла до 4 батальонов пехоты противника.</w:t>
      </w:r>
    </w:p>
    <w:p w14:paraId="55A094B2"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Часть тов. Мартиросяна, действующая на одном из участков Западного фронта, в упорном бою с противником захватила 3 немецких танка, 12 орудий, 15 миномётов, 10 пулемётов, 120 автомашин и 6 мотоциклов. На другом участке фронта наши бойцы за один день истребили 700 немецких солдат и офицеров. Захвачены трофеи: орудий — 14, автомашин — 48, пулемётов — 7.</w:t>
      </w:r>
    </w:p>
    <w:p w14:paraId="0C7563C2"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Наша часть, действующая на одном из участков Южного фронта, за один день боёв выбила противника из 10 населённых пунктов. Враг понёс большие потери в людях и вооружении. Только подразделения тт. Рыжова и Василенко захватили 20 орудий, 8 пулемётов, 7 автомашин, 1.350 снарядов, 50.000 патронов и взяли в плен 248 итальянских солдат и офицеров. На поле боя остались сотни вражеских трупов.</w:t>
      </w:r>
    </w:p>
    <w:p w14:paraId="0E80BCF5"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бойцы, действующие на одном из участков Ленинградского фронта, освободили от немцев населённый пункт Т. и захватили 2 вражеских танка, 8 орудий, 3.000 мин, 5.500 снарядов, 3.400 гранат, 200 000 патронов и другое военное имущество.</w:t>
      </w:r>
    </w:p>
    <w:p w14:paraId="7BDDAE4F"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Гранатомётчики лейтенанта Малыгина в одном бою уничтожили 2 немецких пулемётных расчёта и 6 автоматчиков. Красноармейцы Петров и Михайлов истребили свыше 40 вражеских солдат.</w:t>
      </w:r>
    </w:p>
    <w:p w14:paraId="02750C75"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Успешно действует в районах Ленинградской области, оккупированных немцами, партизанский отряд «Будённовец» под командованием тов. Р. Узнав, что в одну из деревень прибыла группа фашистов во главе с полковником, партизаны совершили внезапный налёт на гитлеровцев и истребили 20 солдат противника, полковника и лейтенанта. Партизаны-разведчики установили, что у селения С. немцы организовали склад боеприпасов. Группа советских патриотов, уничтожив охрану склада, взорвала 1.300 снарядов и 16 ящиков взрывчатых веществ. Через несколько дней партизаны, разрушив железнодорожное полотно, пустили под откос немецкий воинский эшелон. В результате крушения движение на дороге было прервано в течение трёх суток. Только за последнее время партизаны отряда «Будённовец» взорвали 17 мостов, истребили 3 немецких офицеров, 56 солдат и 13 фашистских шпионов.</w:t>
      </w:r>
    </w:p>
    <w:p w14:paraId="5F6B8C70"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декабря группа фашистских солдат, отправлявшихся на Восточный фронт, разгромила в городе Гайнау (Германия) два продуктовых магазина. Между прибывшим на место происшествия отрядом штурмовиков и солдатами произошло кровавое столкновение. Убито и ранено 9 солдат и штурмовиков.</w:t>
      </w:r>
    </w:p>
    <w:p w14:paraId="3BF79DC6"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Трудящиеся Азербайджана внесли в фонд обороны СССР 30.930 тысяч рублей наличными деньгами, на 32 миллиона рублей облигаций государственных займов, 15 килограммов золота, 980 килограммов серебра. От колхозников республики в фонд обороны поступили сотни тысяч центнеров зерна, 15 тысяч центнеров мяса, 12 тысяч килограммов масла, 9.500 килограммов шерсти, 3.580 штук кож, 26.170 килограммов огородных культур и много других сельскохозяйственных продуктов.» (14873).</w:t>
      </w:r>
    </w:p>
    <w:p w14:paraId="256C93CA" w14:textId="77777777" w:rsidR="00CE5E8A" w:rsidRPr="00640820" w:rsidRDefault="00CE5E8A" w:rsidP="00640820">
      <w:pPr>
        <w:spacing w:after="0" w:line="240" w:lineRule="auto"/>
        <w:jc w:val="both"/>
        <w:rPr>
          <w:rFonts w:ascii="Times New Roman" w:hAnsi="Times New Roman"/>
          <w:color w:val="000000" w:themeColor="text1"/>
          <w:sz w:val="16"/>
          <w:szCs w:val="16"/>
        </w:rPr>
      </w:pPr>
    </w:p>
    <w:p w14:paraId="516E8493"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27 декабря</w:t>
      </w:r>
      <w:r w:rsidRPr="00640820">
        <w:rPr>
          <w:rFonts w:ascii="Times New Roman" w:hAnsi="Times New Roman"/>
          <w:color w:val="000000" w:themeColor="text1"/>
          <w:sz w:val="16"/>
          <w:szCs w:val="16"/>
        </w:rPr>
        <w:t xml:space="preserve"> в 1941 году войска Западного фронта освободили Новосиль. Войска 10-й армии Западного фронта вышли к городу Белев (14873).</w:t>
      </w:r>
    </w:p>
    <w:p w14:paraId="17E0CD3A" w14:textId="77777777" w:rsidR="00CE5E8A" w:rsidRPr="00640820" w:rsidRDefault="00CE5E8A" w:rsidP="00640820">
      <w:pPr>
        <w:spacing w:after="0" w:line="240" w:lineRule="auto"/>
        <w:jc w:val="both"/>
        <w:rPr>
          <w:rFonts w:ascii="Times New Roman" w:hAnsi="Times New Roman"/>
          <w:color w:val="000000" w:themeColor="text1"/>
          <w:sz w:val="16"/>
          <w:szCs w:val="16"/>
        </w:rPr>
      </w:pPr>
    </w:p>
    <w:p w14:paraId="262DEB09" w14:textId="77777777" w:rsidR="00CE5E8A" w:rsidRPr="00640820" w:rsidRDefault="00CE5E8A"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27 декабря</w:t>
      </w:r>
      <w:r w:rsidRPr="00640820">
        <w:rPr>
          <w:rFonts w:ascii="Times New Roman" w:hAnsi="Times New Roman"/>
          <w:color w:val="000000" w:themeColor="text1"/>
          <w:sz w:val="16"/>
          <w:szCs w:val="16"/>
        </w:rPr>
        <w:t xml:space="preserve"> в 1941 году войска 4-й и 52-й армий Волховского фронта вышли к реке Волхов на фронте Кириши-Новгород и захватили на левом берегу плацдармы в районе Лезно, Хмелище, севернее Грузино (14873).</w:t>
      </w:r>
    </w:p>
    <w:p w14:paraId="4A9E7E41" w14:textId="77777777" w:rsidR="00CE5E8A" w:rsidRPr="00640820" w:rsidRDefault="00CE5E8A" w:rsidP="00640820">
      <w:pPr>
        <w:spacing w:after="0" w:line="240" w:lineRule="auto"/>
        <w:jc w:val="both"/>
        <w:rPr>
          <w:rFonts w:ascii="Times New Roman" w:hAnsi="Times New Roman"/>
          <w:color w:val="000000" w:themeColor="text1"/>
          <w:sz w:val="16"/>
          <w:szCs w:val="16"/>
        </w:rPr>
      </w:pPr>
    </w:p>
    <w:p w14:paraId="3D5E501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декабря 1941 решением ГКО N 1069 для проверки бывших военнослужащих КА, находившихся в плену или в окружении, в системе НКВД создали фильтрационные спецлагеря. До 1 октября 1944 через них прошли 354529 чел. (в т.ч. 50441 офицер). Проверили и отправили в КА - 249416 (27042 офицера), в промышленность - 30749 (29 офицеров), на формирование конвойных войск 5924 (3398,456).</w:t>
      </w:r>
    </w:p>
    <w:p w14:paraId="663453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080F06B"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декабря 1941 вышло Постановление ГКО № 1069 [О мерах по выявлению среди бывших военнослужащих КА, находившихся в плену и в окружении, изменников родины, шпионов и дезертиров.] (7018, 179-179об.).</w:t>
      </w:r>
    </w:p>
    <w:p w14:paraId="6D93EAC5"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A286B8" w14:textId="77777777" w:rsidR="003A1DF7" w:rsidRPr="00640820" w:rsidRDefault="003A1D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27 декабря</w:t>
      </w:r>
      <w:r w:rsidRPr="00640820">
        <w:rPr>
          <w:rFonts w:ascii="Times New Roman" w:hAnsi="Times New Roman"/>
          <w:color w:val="000000" w:themeColor="text1"/>
          <w:sz w:val="16"/>
          <w:szCs w:val="16"/>
        </w:rPr>
        <w:t xml:space="preserve"> в 1941 году решением ГКО № 1069 для проверки военнослужащих Красной Армии, находившихся в плену или окружении, в системе НКВД созданы фильтрационные спецлагеря. До 1 октября 1944 г. через них прошло 354 529 человек (в том числе 50 441 офицер). Проверено и возвращено в Красную Армию 249 416 человек (27 042 офицера), в промышленность — 30 749 человек (29 офицеров), на формирование конвойных войск — 5 924 человека (14873).</w:t>
      </w:r>
    </w:p>
    <w:p w14:paraId="1C172FAA" w14:textId="77777777" w:rsidR="003A1DF7" w:rsidRPr="00640820" w:rsidRDefault="003A1DF7" w:rsidP="00640820">
      <w:pPr>
        <w:spacing w:after="0" w:line="240" w:lineRule="auto"/>
        <w:jc w:val="both"/>
        <w:rPr>
          <w:rFonts w:ascii="Times New Roman" w:hAnsi="Times New Roman"/>
          <w:color w:val="000000" w:themeColor="text1"/>
          <w:sz w:val="16"/>
          <w:szCs w:val="16"/>
        </w:rPr>
      </w:pPr>
    </w:p>
    <w:p w14:paraId="408C5909"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634084A9"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D2E31CB" w14:textId="77777777" w:rsidR="003A1DF7" w:rsidRPr="00640820" w:rsidRDefault="003A1D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27 декабря</w:t>
      </w:r>
      <w:r w:rsidRPr="00640820">
        <w:rPr>
          <w:rFonts w:ascii="Times New Roman" w:hAnsi="Times New Roman"/>
          <w:color w:val="000000" w:themeColor="text1"/>
          <w:sz w:val="16"/>
          <w:szCs w:val="16"/>
        </w:rPr>
        <w:t xml:space="preserve"> в 1941 году композитор Дмитрий Шостакович завершил в Куйбышеве работу над Седьмой симфонией. Поздно ночью он написал на титульном листе партитуры: "Посвящается городу Ленинграду!" </w:t>
      </w:r>
    </w:p>
    <w:p w14:paraId="30390FE4" w14:textId="77777777" w:rsidR="003A1DF7" w:rsidRPr="00640820" w:rsidRDefault="003A1DF7" w:rsidP="00640820">
      <w:pPr>
        <w:spacing w:after="0" w:line="240" w:lineRule="auto"/>
        <w:jc w:val="both"/>
        <w:rPr>
          <w:rFonts w:ascii="Times New Roman" w:hAnsi="Times New Roman"/>
          <w:color w:val="000000" w:themeColor="text1"/>
          <w:sz w:val="16"/>
          <w:szCs w:val="16"/>
        </w:rPr>
      </w:pPr>
    </w:p>
    <w:p w14:paraId="18235AD3"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декабря 1941 вышло Постановление ГКО № 1074 [О высылке в отдаленные области семей лиц, служивших в административно-карательных органах германских властей, а также добровольно отступивших вместе с фашистскими войсками.] (7018, 198).</w:t>
      </w:r>
    </w:p>
    <w:p w14:paraId="1F5FFE96"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B681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декабря 1941 года Заместитель председателя облисполкома Мурманска и заведующий облторготделом докладывали в наркомат торговли, что из выделенных на второе полугодие 1941 года 720 тонн сахара отоварено 550 тонн, и с ноября сахар по карточкам не продается, а имеющееся незначительное количество сахара обеспечивает только снабжение закрытых учреждений и общественное питание. Кондитерских изделий выделено по фондам 900 тонн, отоварено 250. В области недостаточно мыла, однако при введении карточек встанет вопрос об их отоваривании (Там же, ф. Р-808, оп. 2, д. 5, л. 188, 189.) (11911).</w:t>
      </w:r>
    </w:p>
    <w:p w14:paraId="34888BE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56AE93D"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2182B356"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A833949" w14:textId="77777777" w:rsidR="00313A9E" w:rsidRPr="00640820" w:rsidRDefault="00313A9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27–28 декабря 1941 132 британских бомбардировщика атакуют Дюссельдорф, Германия (20794).</w:t>
      </w:r>
    </w:p>
    <w:p w14:paraId="473999A9" w14:textId="77777777" w:rsidR="00313A9E" w:rsidRPr="00640820" w:rsidRDefault="00313A9E" w:rsidP="00640820">
      <w:pPr>
        <w:spacing w:after="0" w:line="240" w:lineRule="auto"/>
        <w:jc w:val="both"/>
        <w:rPr>
          <w:rFonts w:ascii="Times New Roman" w:hAnsi="Times New Roman"/>
          <w:color w:val="0070C0"/>
          <w:sz w:val="16"/>
          <w:szCs w:val="16"/>
        </w:rPr>
      </w:pPr>
    </w:p>
    <w:p w14:paraId="2E26AC8E"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декабря 1941 введены первые в США торговые ограничения в связи с войной - ограничена продажа резины гражданскому населению (4962).</w:t>
      </w:r>
    </w:p>
    <w:p w14:paraId="1CB693E9"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5520B2" w14:textId="77777777" w:rsidR="003A1DF7" w:rsidRPr="00640820" w:rsidRDefault="003A1D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27 декабря</w:t>
      </w:r>
      <w:r w:rsidRPr="00640820">
        <w:rPr>
          <w:rFonts w:ascii="Times New Roman" w:hAnsi="Times New Roman"/>
          <w:color w:val="000000" w:themeColor="text1"/>
          <w:sz w:val="16"/>
          <w:szCs w:val="16"/>
        </w:rPr>
        <w:t xml:space="preserve"> в 1941 году вводятся первые в США торговые ограничения в связи с войной - ограничивается продажа резины гражданскому населению (14873).</w:t>
      </w:r>
    </w:p>
    <w:p w14:paraId="13D41858" w14:textId="77777777" w:rsidR="003A1DF7" w:rsidRPr="00640820" w:rsidRDefault="003A1DF7" w:rsidP="00640820">
      <w:pPr>
        <w:spacing w:after="0" w:line="240" w:lineRule="auto"/>
        <w:jc w:val="both"/>
        <w:rPr>
          <w:rFonts w:ascii="Times New Roman" w:hAnsi="Times New Roman"/>
          <w:color w:val="000000" w:themeColor="text1"/>
          <w:sz w:val="16"/>
          <w:szCs w:val="16"/>
        </w:rPr>
      </w:pPr>
    </w:p>
    <w:p w14:paraId="4AB6ACFA"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5D16D7D2"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0628D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декабря 1941 вышло Постановление ГКО № 1083 О снабжении заводов Наркомавиапрома в первом квартале 1942 г. РГАНИР, Фонд ГКО, д. 18, лл. 16-32, 33-39 (11012).</w:t>
      </w:r>
    </w:p>
    <w:p w14:paraId="6FE6A4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E38F1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28 декабря 1941 г. по приказу № 1090с на площадке эвакуированного завода (Завод № 16 ВСНХ, НКТП, НКОП, Завод № 16 им. Сталина НКАП, МАП, п/я 735, Казанское Моторостроительное ПО (КМПО), ОАО «КМПО» / г. Воронеж ул. Кольцовская;  г. Казань с. Караваево/ /Татарстан 420036  г. Казань ул. Дементьева, 1 тел. 54-14-32, 71-94-01/ /Московское представительство: тел. 755-42-39/) были организованы мастерские по ремонту двигателей М-11, М-88, М-89, М-105, М-35, М-38. Действовал цех по производству 82-мм батальонных минометов. Начальник мастерских- А.И. Седов. В соответствии с пост. СНК № 913-472сс от 11.06.1942 г. и приказом № 287с от 16.04.1942 г. мастерские должны были получить наименование ГС завод № 444 НКАП. Возможно, так и было некоторое время. Но затем по </w:t>
      </w:r>
      <w:r w:rsidRPr="00640820">
        <w:rPr>
          <w:rFonts w:ascii="Times New Roman" w:hAnsi="Times New Roman"/>
          <w:color w:val="000000" w:themeColor="text1"/>
          <w:sz w:val="16"/>
          <w:szCs w:val="16"/>
        </w:rPr>
        <w:lastRenderedPageBreak/>
        <w:t>приказу № 185с от 2.04.1943 г. на площадке бывшего завода № 16 организован завод по ремонту авиамоторов и производству запчастей, который получил наименование завод № 265 при ЗГУ НКАП.</w:t>
      </w:r>
    </w:p>
    <w:p w14:paraId="6986BDB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30.05.1942 г. вышло постановление ГКО № 1831 об увеличении выпуска на заводе мотора М-105Р. В соответствии с пост. ГКО № 2412 от 14.10.1942 г. завод перешел с производства М-105Р на М-105ПФ, 25.12.1942 г. вышло постановление ГКО № 2654 об ускорении перевода завода только на выпуск М-105ПФ.</w:t>
      </w:r>
    </w:p>
    <w:p w14:paraId="71295A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МАП № 241 заводу поручено производство трофейного ТРД БМВ-004 с выпуском в 1945 г. 30 двигателей. В соответствии с пост. ГКО в 1946 г. на завод передано 1232 единицы (150 вагонов) трофейного оборудования с завода БМВ в  г. Басдорф (Германия).</w:t>
      </w:r>
    </w:p>
    <w:p w14:paraId="5A8075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1946 г. на старую площадку завода в Воронеже реэвакуирован завод № 154 из Андижана.</w:t>
      </w:r>
    </w:p>
    <w:p w14:paraId="0D297DE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закрытия в 1948 г. ОКБ-16 С.Д. Колосов продолжил работать на заводе № 16 МАП по газотурбинной установке М-1 для ВМФ. С 05.1954 г. он назначен гл. конструктором СКБ газотурбинных установок на ЮТЗ.</w:t>
      </w:r>
    </w:p>
    <w:p w14:paraId="0BCFFA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1950 г. создан турбовинтовой двигатель для кораблей ТРДВ-1 (5200 л. е.).</w:t>
      </w:r>
    </w:p>
    <w:p w14:paraId="44BCB8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 3193-1214 от 10.07.1952 г. на заводе начата подготовка к производству двигателя АМ-3 для Ту-16.</w:t>
      </w:r>
    </w:p>
    <w:p w14:paraId="16F778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1948-67 г. завод имел наименование «п/я 735». В соответствии с пост. СМ СССР № 713-342 от 26.06.1957 г. передан в ведение СНХ РСФСР.</w:t>
      </w:r>
    </w:p>
    <w:p w14:paraId="2EC864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1976 г. - Казанское МПО, с 1993 г. - ОАО «КМПО». В 03.1997 г. вошло в ФПГ «Двигатели НК».</w:t>
      </w:r>
      <w:r w:rsidRPr="00640820">
        <w:rPr>
          <w:rFonts w:ascii="Times New Roman" w:hAnsi="Times New Roman"/>
          <w:color w:val="000000" w:themeColor="text1"/>
          <w:sz w:val="16"/>
          <w:szCs w:val="16"/>
          <w:vertAlign w:val="superscript"/>
        </w:rPr>
        <w:t>50</w:t>
      </w:r>
      <w:r w:rsidRPr="00640820">
        <w:rPr>
          <w:rFonts w:ascii="Times New Roman" w:hAnsi="Times New Roman"/>
          <w:color w:val="000000" w:themeColor="text1"/>
          <w:sz w:val="16"/>
          <w:szCs w:val="16"/>
        </w:rPr>
        <w:t xml:space="preserve"> По решению правительства № 22-р от 9.01.2004 г. вошло в перечень стратегических предприятий.</w:t>
      </w:r>
    </w:p>
    <w:p w14:paraId="58B60D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2002 г. велись работы по организации участка сборки и испытаний ТВлД </w:t>
      </w:r>
      <w:r w:rsidRPr="00640820">
        <w:rPr>
          <w:rFonts w:ascii="Times New Roman" w:hAnsi="Times New Roman"/>
          <w:color w:val="000000" w:themeColor="text1"/>
          <w:sz w:val="16"/>
          <w:szCs w:val="16"/>
          <w:lang w:val="en-US"/>
        </w:rPr>
        <w:t>PW</w:t>
      </w:r>
      <w:r w:rsidRPr="00640820">
        <w:rPr>
          <w:rFonts w:ascii="Times New Roman" w:hAnsi="Times New Roman"/>
          <w:color w:val="000000" w:themeColor="text1"/>
          <w:sz w:val="16"/>
          <w:szCs w:val="16"/>
        </w:rPr>
        <w:t>207 для вертолета «Ансат».</w:t>
      </w:r>
    </w:p>
    <w:p w14:paraId="5B2419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(2003 г.)- около 12. 000 чел.</w:t>
      </w:r>
    </w:p>
    <w:p w14:paraId="13020F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(-06-29.08.1937 г.)-  Г.С. Девдариани (снят), (29.08.1937 г.-)- М.М. Лукин, (-09.1941 г.-)- В.И. Сухорукое, (-08.1942-04.1945 г.-)- М.М. Лукин, (03.1946 г.)- Тарасов, (1960-е  г.)- Р.Е. Загребельный. Гендиректор (1968-82 г.)- П.А. Витер, (1982-2003 г.-)- А.Ф. Павлов,</w:t>
      </w:r>
      <w:r w:rsidRPr="00640820">
        <w:rPr>
          <w:rFonts w:ascii="Times New Roman" w:hAnsi="Times New Roman"/>
          <w:color w:val="000000" w:themeColor="text1"/>
          <w:sz w:val="16"/>
          <w:szCs w:val="16"/>
          <w:vertAlign w:val="superscript"/>
        </w:rPr>
        <w:t>49</w:t>
      </w:r>
      <w:r w:rsidRPr="00640820">
        <w:rPr>
          <w:rFonts w:ascii="Times New Roman" w:hAnsi="Times New Roman"/>
          <w:color w:val="000000" w:themeColor="text1"/>
          <w:sz w:val="16"/>
          <w:szCs w:val="16"/>
        </w:rPr>
        <w:t xml:space="preserve"> (-10.2004-05 г.-&gt; Д.З. Каримуллин.</w:t>
      </w:r>
    </w:p>
    <w:p w14:paraId="511B78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(06.1937 г.)- М.П. Макарук; начальник филиала (1940-41 г.)- ДА. Морозов; по производству (1975 г.-)- А.Ф. Павлов; по ПВО и охране (25.12.1938 г.-)- А.С. Хорошилов. Помощник директора по найму и увольнению (27.11.1938 г.-)- И.И. Карпов.</w:t>
      </w:r>
    </w:p>
    <w:p w14:paraId="25E11B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Коммерческий директор (10.2004 г.)- А.В. Березкин.</w:t>
      </w:r>
    </w:p>
    <w:p w14:paraId="47F808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(1937 г.)- А.С. Назаров (переведен из ОКБ-29, в том же году арестован из-за катастрофы «7211»), (-1941 г.)- С.Д. Колосов, (1954-63 г.)- П.Ф. Зубец, (2002 г.)- И.Х. Фахрутдинов.</w:t>
      </w:r>
    </w:p>
    <w:p w14:paraId="116D7D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(06.1937 г.)- М.П. Макарук, (2002 г.)- М. Г. Хабибуллин.</w:t>
      </w:r>
      <w:r w:rsidRPr="00640820">
        <w:rPr>
          <w:rFonts w:ascii="Times New Roman" w:hAnsi="Times New Roman"/>
          <w:color w:val="000000" w:themeColor="text1"/>
          <w:sz w:val="16"/>
          <w:szCs w:val="16"/>
          <w:vertAlign w:val="superscript"/>
        </w:rPr>
        <w:t>69</w:t>
      </w:r>
    </w:p>
    <w:p w14:paraId="307403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Серийного КБ (01.1942-04.1944 г.)- С.Д. Колосов.</w:t>
      </w:r>
    </w:p>
    <w:p w14:paraId="6DC825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ПД: М-11 (1935-37-), МВ-4, МВ-6, МВ-12, М-105Р (1941-42), М-105ПФ (1942-); ТРД РД-20, РД-500, АЛ-3, ВК-1, РД-ЗМ-500, НК-4, НК-8-2, НК-8-3 (1967-76)- 100, НК-8-4 (1964-79), НК-8-4К- 15, НК-8-2У (1972-2004-)- более 2500, НК-16, НК-86 (1980-2004-), НК-87 (1986-), НК-93 (2004), АИ-22 (2004), поршневой П- 800 (2004), М29П (2004); корпуса для РДТТ 5С47 (1960-е); приводы для газоперекачивающих агрегатов НК- 16СТ, НК-38СТ (2002), ГТ-009, ГПА-8,16; ремонт НК-8-2У, НК-86 (2002); автоматическая газораспределительная станция АГРС «Исток»; гидромеханическая передача для городских автобусов; газовая турбина для ТЭЦ (2004) (11982).</w:t>
      </w:r>
    </w:p>
    <w:p w14:paraId="3243DCD1" w14:textId="77777777" w:rsidR="003A1DF7" w:rsidRPr="00640820" w:rsidRDefault="003A1DF7" w:rsidP="00640820">
      <w:pPr>
        <w:autoSpaceDE w:val="0"/>
        <w:autoSpaceDN w:val="0"/>
        <w:adjustRightInd w:val="0"/>
        <w:spacing w:after="0" w:line="240" w:lineRule="auto"/>
        <w:jc w:val="both"/>
        <w:rPr>
          <w:rFonts w:ascii="Times New Roman" w:hAnsi="Times New Roman"/>
          <w:color w:val="000000" w:themeColor="text1"/>
          <w:sz w:val="16"/>
          <w:szCs w:val="16"/>
        </w:rPr>
      </w:pPr>
    </w:p>
    <w:p w14:paraId="707B02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декабря 1941 г. по приказу № 1090с на месте эвакуированного завода № 16 были организованы мастерские по ремонту двигателей. Начальник мастерских- А.И. Седов. Ремонт двигателей М-11, М-88, М-89, М-105, М-35, М- 38. Действовал цех по выпуску 82-мм батальонных минометов.</w:t>
      </w:r>
    </w:p>
    <w:p w14:paraId="3A1570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СНК № 913-472сс от 11.06.1942 г. и приказом № 287с от 16.04.1942 г., в связи с переименованием Главремуправления в 6ГУ НКАП, завод должен был получить наименование ГС завод № 444 НКАП. Затем по приказу № 185с от 2.04.1943 г. на площадке бывшего завода № 16 организован завод по ремонту авиамоторов и производству запчастей, который получил наименование завод № 265 при ЗГУ НКАП.</w:t>
      </w:r>
    </w:p>
    <w:p w14:paraId="63979D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начала 1944 г. началось восстановление мощностей для производства авиамоторов.</w:t>
      </w:r>
    </w:p>
    <w:p w14:paraId="4A7038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1944 г. с завода № 265 переведено на завод № 500 на постоянную работу около 600 специалистов. По 1фиказу № 707с от 29.12.1944 г. завод передан из ЗГУ в 4ГУ и получил задание освоить производство насосов непосредственного впрыска топлива для АШ-82ФН и АШ-83.</w:t>
      </w:r>
    </w:p>
    <w:p w14:paraId="4E31F6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1946 г. заводу выделено 2760 трофейных станков (в т.ч. 561 металлорежущий).</w:t>
      </w:r>
    </w:p>
    <w:p w14:paraId="6DBE26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приказам № 154с от 23.03.1946 г. и № 184с от 1.04.1946 г. в Воронеж на площадку завода № 265 МАП перебазирован завод № 154 МАП, в результате слияния образован единый завод № 154 МАП.</w:t>
      </w:r>
    </w:p>
    <w:p w14:paraId="32CCEE3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(02.1944 г.)- В.И. Сухоруков (11982).</w:t>
      </w:r>
    </w:p>
    <w:p w14:paraId="7ADB6C8C" w14:textId="77777777" w:rsidR="003A1DF7" w:rsidRPr="00640820" w:rsidRDefault="003A1DF7" w:rsidP="00640820">
      <w:pPr>
        <w:autoSpaceDE w:val="0"/>
        <w:autoSpaceDN w:val="0"/>
        <w:adjustRightInd w:val="0"/>
        <w:spacing w:after="0" w:line="240" w:lineRule="auto"/>
        <w:jc w:val="both"/>
        <w:rPr>
          <w:rFonts w:ascii="Times New Roman" w:hAnsi="Times New Roman"/>
          <w:color w:val="000000" w:themeColor="text1"/>
          <w:sz w:val="16"/>
          <w:szCs w:val="16"/>
        </w:rPr>
      </w:pPr>
    </w:p>
    <w:p w14:paraId="4EE03C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декабря 1941 г. на площадке эвакуированного завода № 16 НКАП по приказу № 1090с были организованы Ремонтные моторные мастерские (начальник- А.И. Седов). Ремонт двигателей М-11, М-88, М-89, М-105, М-35, М-38. Действовал цех по выпуску 82-мм батальонных минометов.</w:t>
      </w:r>
    </w:p>
    <w:p w14:paraId="0B7949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СНК № 913-472сс от 11.06.1942 г. и приказом № 287с от 16.04.1942 г., в связи с переименованием Главремуправления в 6ГУ НКАП, завод должен был получить наименование ГС завод № 444 НКАП. Возможно, так и было некоторое время. Но затем по приказу № 185с от 2.04.1943 г. на площадке бывшего завода № 16 организован завод по ремонту авиамоторов и производству запчастей, который получил наименование завод № 265 при ЗГУ НКАП.</w:t>
      </w:r>
    </w:p>
    <w:p w14:paraId="4703B6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(05.1942 г.)- Давыдов (11982).</w:t>
      </w:r>
    </w:p>
    <w:p w14:paraId="7479E1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2BD0E5E"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29DCEBEA"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B533998"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28 декабря 1941:</w:t>
      </w:r>
    </w:p>
    <w:p w14:paraId="62D52E92"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Таблица 4. Прибытие и установка эвакуированного оборудования на предприятиях НКТП на 28 декабря 1941 года</w:t>
      </w:r>
    </w:p>
    <w:tbl>
      <w:tblPr>
        <w:tblW w:w="0" w:type="auto"/>
        <w:tblInd w:w="-8" w:type="dxa"/>
        <w:tblLayout w:type="fixed"/>
        <w:tblCellMar>
          <w:left w:w="0" w:type="dxa"/>
          <w:right w:w="0" w:type="dxa"/>
        </w:tblCellMar>
        <w:tblLook w:val="0000" w:firstRow="0" w:lastRow="0" w:firstColumn="0" w:lastColumn="0" w:noHBand="0" w:noVBand="0"/>
      </w:tblPr>
      <w:tblGrid>
        <w:gridCol w:w="1718"/>
        <w:gridCol w:w="739"/>
        <w:gridCol w:w="960"/>
      </w:tblGrid>
      <w:tr w:rsidR="00643896" w:rsidRPr="00640820" w14:paraId="32643E8F" w14:textId="77777777" w:rsidTr="000D3BCB">
        <w:trPr>
          <w:trHeight w:val="475"/>
        </w:trPr>
        <w:tc>
          <w:tcPr>
            <w:tcW w:w="1718" w:type="dxa"/>
            <w:tcBorders>
              <w:top w:val="single" w:sz="6" w:space="0" w:color="auto"/>
              <w:left w:val="single" w:sz="6" w:space="0" w:color="auto"/>
              <w:bottom w:val="single" w:sz="6" w:space="0" w:color="auto"/>
              <w:right w:val="single" w:sz="6" w:space="0" w:color="auto"/>
            </w:tcBorders>
            <w:shd w:val="clear" w:color="auto" w:fill="FFFFFF"/>
          </w:tcPr>
          <w:p w14:paraId="27687347"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Предприятие</w:t>
            </w:r>
          </w:p>
        </w:tc>
        <w:tc>
          <w:tcPr>
            <w:tcW w:w="739" w:type="dxa"/>
            <w:tcBorders>
              <w:top w:val="single" w:sz="6" w:space="0" w:color="auto"/>
              <w:left w:val="single" w:sz="6" w:space="0" w:color="auto"/>
              <w:bottom w:val="single" w:sz="6" w:space="0" w:color="auto"/>
              <w:right w:val="single" w:sz="6" w:space="0" w:color="auto"/>
            </w:tcBorders>
            <w:shd w:val="clear" w:color="auto" w:fill="FFFFFF"/>
          </w:tcPr>
          <w:p w14:paraId="6D1B3545"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w:t>
            </w:r>
            <w:r w:rsidRPr="00640820">
              <w:rPr>
                <w:rFonts w:ascii="Times New Roman" w:hAnsi="Times New Roman"/>
                <w:color w:val="000000" w:themeColor="text1"/>
                <w:sz w:val="16"/>
                <w:szCs w:val="16"/>
              </w:rPr>
              <w:softHyphen/>
              <w:t>было</w:t>
            </w:r>
          </w:p>
        </w:tc>
        <w:tc>
          <w:tcPr>
            <w:tcW w:w="960" w:type="dxa"/>
            <w:tcBorders>
              <w:top w:val="single" w:sz="6" w:space="0" w:color="auto"/>
              <w:left w:val="single" w:sz="6" w:space="0" w:color="auto"/>
              <w:bottom w:val="single" w:sz="6" w:space="0" w:color="auto"/>
              <w:right w:val="single" w:sz="6" w:space="0" w:color="auto"/>
            </w:tcBorders>
            <w:shd w:val="clear" w:color="auto" w:fill="FFFFFF"/>
          </w:tcPr>
          <w:p w14:paraId="47D78709"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Уста</w:t>
            </w:r>
            <w:r w:rsidRPr="00640820">
              <w:rPr>
                <w:rFonts w:ascii="Times New Roman" w:hAnsi="Times New Roman"/>
                <w:color w:val="000000" w:themeColor="text1"/>
                <w:sz w:val="16"/>
                <w:szCs w:val="16"/>
              </w:rPr>
              <w:softHyphen/>
              <w:t>новлено</w:t>
            </w:r>
          </w:p>
        </w:tc>
      </w:tr>
      <w:tr w:rsidR="00643896" w:rsidRPr="00640820" w14:paraId="326D53C6" w14:textId="77777777" w:rsidTr="000D3BCB">
        <w:trPr>
          <w:trHeight w:val="240"/>
        </w:trPr>
        <w:tc>
          <w:tcPr>
            <w:tcW w:w="1718" w:type="dxa"/>
            <w:tcBorders>
              <w:top w:val="single" w:sz="6" w:space="0" w:color="auto"/>
              <w:left w:val="single" w:sz="6" w:space="0" w:color="auto"/>
              <w:bottom w:val="single" w:sz="6" w:space="0" w:color="auto"/>
              <w:right w:val="single" w:sz="6" w:space="0" w:color="auto"/>
            </w:tcBorders>
            <w:shd w:val="clear" w:color="auto" w:fill="FFFFFF"/>
          </w:tcPr>
          <w:p w14:paraId="4AC0C911"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183</w:t>
            </w:r>
          </w:p>
        </w:tc>
        <w:tc>
          <w:tcPr>
            <w:tcW w:w="739" w:type="dxa"/>
            <w:tcBorders>
              <w:top w:val="single" w:sz="6" w:space="0" w:color="auto"/>
              <w:left w:val="single" w:sz="6" w:space="0" w:color="auto"/>
              <w:bottom w:val="single" w:sz="6" w:space="0" w:color="auto"/>
              <w:right w:val="single" w:sz="6" w:space="0" w:color="auto"/>
            </w:tcBorders>
            <w:shd w:val="clear" w:color="auto" w:fill="FFFFFF"/>
          </w:tcPr>
          <w:p w14:paraId="60EE7833"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1914</w:t>
            </w:r>
          </w:p>
        </w:tc>
        <w:tc>
          <w:tcPr>
            <w:tcW w:w="960" w:type="dxa"/>
            <w:tcBorders>
              <w:top w:val="single" w:sz="6" w:space="0" w:color="auto"/>
              <w:left w:val="single" w:sz="6" w:space="0" w:color="auto"/>
              <w:bottom w:val="single" w:sz="6" w:space="0" w:color="auto"/>
              <w:right w:val="single" w:sz="6" w:space="0" w:color="auto"/>
            </w:tcBorders>
            <w:shd w:val="clear" w:color="auto" w:fill="FFFFFF"/>
          </w:tcPr>
          <w:p w14:paraId="3786335D"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1675</w:t>
            </w:r>
          </w:p>
        </w:tc>
      </w:tr>
      <w:tr w:rsidR="00643896" w:rsidRPr="00640820" w14:paraId="4166D6D2" w14:textId="77777777" w:rsidTr="000D3BCB">
        <w:trPr>
          <w:trHeight w:val="254"/>
        </w:trPr>
        <w:tc>
          <w:tcPr>
            <w:tcW w:w="1718" w:type="dxa"/>
            <w:tcBorders>
              <w:top w:val="single" w:sz="6" w:space="0" w:color="auto"/>
              <w:left w:val="single" w:sz="6" w:space="0" w:color="auto"/>
              <w:right w:val="single" w:sz="6" w:space="0" w:color="auto"/>
            </w:tcBorders>
            <w:shd w:val="clear" w:color="auto" w:fill="FFFFFF"/>
          </w:tcPr>
          <w:p w14:paraId="2733965E"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Кировский завод</w:t>
            </w:r>
          </w:p>
        </w:tc>
        <w:tc>
          <w:tcPr>
            <w:tcW w:w="739" w:type="dxa"/>
            <w:tcBorders>
              <w:top w:val="single" w:sz="6" w:space="0" w:color="auto"/>
              <w:left w:val="single" w:sz="6" w:space="0" w:color="auto"/>
              <w:right w:val="single" w:sz="6" w:space="0" w:color="auto"/>
            </w:tcBorders>
            <w:shd w:val="clear" w:color="auto" w:fill="FFFFFF"/>
          </w:tcPr>
          <w:p w14:paraId="011C59E9"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2700</w:t>
            </w:r>
          </w:p>
        </w:tc>
        <w:tc>
          <w:tcPr>
            <w:tcW w:w="960" w:type="dxa"/>
            <w:tcBorders>
              <w:top w:val="single" w:sz="6" w:space="0" w:color="auto"/>
              <w:left w:val="single" w:sz="6" w:space="0" w:color="auto"/>
              <w:right w:val="single" w:sz="6" w:space="0" w:color="auto"/>
            </w:tcBorders>
            <w:shd w:val="clear" w:color="auto" w:fill="FFFFFF"/>
          </w:tcPr>
          <w:p w14:paraId="37B1F73E"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1992</w:t>
            </w:r>
          </w:p>
        </w:tc>
      </w:tr>
      <w:tr w:rsidR="00643896" w:rsidRPr="00640820" w14:paraId="404B1B95" w14:textId="77777777" w:rsidTr="000D3BCB">
        <w:trPr>
          <w:trHeight w:val="216"/>
        </w:trPr>
        <w:tc>
          <w:tcPr>
            <w:tcW w:w="1718" w:type="dxa"/>
            <w:tcBorders>
              <w:left w:val="single" w:sz="6" w:space="0" w:color="auto"/>
              <w:bottom w:val="single" w:sz="6" w:space="0" w:color="auto"/>
              <w:right w:val="single" w:sz="6" w:space="0" w:color="auto"/>
            </w:tcBorders>
            <w:shd w:val="clear" w:color="auto" w:fill="FFFFFF"/>
          </w:tcPr>
          <w:p w14:paraId="214C1EAB"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завода № 75)</w:t>
            </w:r>
          </w:p>
        </w:tc>
        <w:tc>
          <w:tcPr>
            <w:tcW w:w="739" w:type="dxa"/>
            <w:tcBorders>
              <w:left w:val="single" w:sz="6" w:space="0" w:color="auto"/>
              <w:bottom w:val="single" w:sz="6" w:space="0" w:color="auto"/>
              <w:right w:val="single" w:sz="6" w:space="0" w:color="auto"/>
            </w:tcBorders>
            <w:shd w:val="clear" w:color="auto" w:fill="FFFFFF"/>
          </w:tcPr>
          <w:p w14:paraId="00413A93" w14:textId="77777777" w:rsidR="00045010" w:rsidRPr="00640820" w:rsidRDefault="00045010" w:rsidP="00640820">
            <w:pPr>
              <w:spacing w:after="0" w:line="240" w:lineRule="auto"/>
              <w:jc w:val="both"/>
              <w:rPr>
                <w:rFonts w:ascii="Times New Roman" w:hAnsi="Times New Roman"/>
                <w:color w:val="000000" w:themeColor="text1"/>
                <w:sz w:val="16"/>
                <w:szCs w:val="16"/>
              </w:rPr>
            </w:pPr>
          </w:p>
        </w:tc>
        <w:tc>
          <w:tcPr>
            <w:tcW w:w="960" w:type="dxa"/>
            <w:tcBorders>
              <w:left w:val="single" w:sz="6" w:space="0" w:color="auto"/>
              <w:bottom w:val="single" w:sz="6" w:space="0" w:color="auto"/>
              <w:right w:val="single" w:sz="6" w:space="0" w:color="auto"/>
            </w:tcBorders>
            <w:shd w:val="clear" w:color="auto" w:fill="FFFFFF"/>
          </w:tcPr>
          <w:p w14:paraId="6170D292" w14:textId="77777777" w:rsidR="00045010" w:rsidRPr="00640820" w:rsidRDefault="00045010" w:rsidP="00640820">
            <w:pPr>
              <w:spacing w:after="0" w:line="240" w:lineRule="auto"/>
              <w:jc w:val="both"/>
              <w:rPr>
                <w:rFonts w:ascii="Times New Roman" w:hAnsi="Times New Roman"/>
                <w:color w:val="000000" w:themeColor="text1"/>
                <w:sz w:val="16"/>
                <w:szCs w:val="16"/>
              </w:rPr>
            </w:pPr>
          </w:p>
        </w:tc>
      </w:tr>
      <w:tr w:rsidR="00643896" w:rsidRPr="00640820" w14:paraId="42C4E120" w14:textId="77777777" w:rsidTr="000D3BCB">
        <w:trPr>
          <w:trHeight w:val="235"/>
        </w:trPr>
        <w:tc>
          <w:tcPr>
            <w:tcW w:w="1718" w:type="dxa"/>
            <w:tcBorders>
              <w:top w:val="single" w:sz="6" w:space="0" w:color="auto"/>
              <w:left w:val="single" w:sz="6" w:space="0" w:color="auto"/>
              <w:right w:val="single" w:sz="6" w:space="0" w:color="auto"/>
            </w:tcBorders>
            <w:shd w:val="clear" w:color="auto" w:fill="FFFFFF"/>
          </w:tcPr>
          <w:p w14:paraId="1C6E049D"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37 в</w:t>
            </w:r>
          </w:p>
        </w:tc>
        <w:tc>
          <w:tcPr>
            <w:tcW w:w="739" w:type="dxa"/>
            <w:tcBorders>
              <w:top w:val="single" w:sz="6" w:space="0" w:color="auto"/>
              <w:left w:val="single" w:sz="6" w:space="0" w:color="auto"/>
              <w:right w:val="single" w:sz="6" w:space="0" w:color="auto"/>
            </w:tcBorders>
            <w:shd w:val="clear" w:color="auto" w:fill="FFFFFF"/>
          </w:tcPr>
          <w:p w14:paraId="43B3BA93"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2356</w:t>
            </w:r>
          </w:p>
        </w:tc>
        <w:tc>
          <w:tcPr>
            <w:tcW w:w="960" w:type="dxa"/>
            <w:tcBorders>
              <w:top w:val="single" w:sz="6" w:space="0" w:color="auto"/>
              <w:left w:val="single" w:sz="6" w:space="0" w:color="auto"/>
              <w:right w:val="single" w:sz="6" w:space="0" w:color="auto"/>
            </w:tcBorders>
            <w:shd w:val="clear" w:color="auto" w:fill="FFFFFF"/>
          </w:tcPr>
          <w:p w14:paraId="61097470"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1088</w:t>
            </w:r>
          </w:p>
        </w:tc>
      </w:tr>
      <w:tr w:rsidR="00643896" w:rsidRPr="00640820" w14:paraId="3C455BE8" w14:textId="77777777" w:rsidTr="000D3BCB">
        <w:trPr>
          <w:trHeight w:val="235"/>
        </w:trPr>
        <w:tc>
          <w:tcPr>
            <w:tcW w:w="1718" w:type="dxa"/>
            <w:tcBorders>
              <w:left w:val="single" w:sz="6" w:space="0" w:color="auto"/>
              <w:bottom w:val="single" w:sz="6" w:space="0" w:color="auto"/>
              <w:right w:val="single" w:sz="6" w:space="0" w:color="auto"/>
            </w:tcBorders>
            <w:shd w:val="clear" w:color="auto" w:fill="FFFFFF"/>
          </w:tcPr>
          <w:p w14:paraId="15FD6CCF"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Свердловске</w:t>
            </w:r>
          </w:p>
        </w:tc>
        <w:tc>
          <w:tcPr>
            <w:tcW w:w="739" w:type="dxa"/>
            <w:tcBorders>
              <w:left w:val="single" w:sz="6" w:space="0" w:color="auto"/>
              <w:bottom w:val="single" w:sz="6" w:space="0" w:color="auto"/>
              <w:right w:val="single" w:sz="6" w:space="0" w:color="auto"/>
            </w:tcBorders>
            <w:shd w:val="clear" w:color="auto" w:fill="FFFFFF"/>
          </w:tcPr>
          <w:p w14:paraId="3643EF0E" w14:textId="77777777" w:rsidR="00045010" w:rsidRPr="00640820" w:rsidRDefault="00045010" w:rsidP="00640820">
            <w:pPr>
              <w:spacing w:after="0" w:line="240" w:lineRule="auto"/>
              <w:jc w:val="both"/>
              <w:rPr>
                <w:rFonts w:ascii="Times New Roman" w:hAnsi="Times New Roman"/>
                <w:color w:val="000000" w:themeColor="text1"/>
                <w:sz w:val="16"/>
                <w:szCs w:val="16"/>
              </w:rPr>
            </w:pPr>
          </w:p>
        </w:tc>
        <w:tc>
          <w:tcPr>
            <w:tcW w:w="960" w:type="dxa"/>
            <w:tcBorders>
              <w:left w:val="single" w:sz="6" w:space="0" w:color="auto"/>
              <w:bottom w:val="single" w:sz="6" w:space="0" w:color="auto"/>
              <w:right w:val="single" w:sz="6" w:space="0" w:color="auto"/>
            </w:tcBorders>
            <w:shd w:val="clear" w:color="auto" w:fill="FFFFFF"/>
          </w:tcPr>
          <w:p w14:paraId="6736CC38" w14:textId="77777777" w:rsidR="00045010" w:rsidRPr="00640820" w:rsidRDefault="00045010" w:rsidP="00640820">
            <w:pPr>
              <w:spacing w:after="0" w:line="240" w:lineRule="auto"/>
              <w:jc w:val="both"/>
              <w:rPr>
                <w:rFonts w:ascii="Times New Roman" w:hAnsi="Times New Roman"/>
                <w:color w:val="000000" w:themeColor="text1"/>
                <w:sz w:val="16"/>
                <w:szCs w:val="16"/>
              </w:rPr>
            </w:pPr>
          </w:p>
        </w:tc>
      </w:tr>
      <w:tr w:rsidR="00643896" w:rsidRPr="00640820" w14:paraId="1A0F31A2" w14:textId="77777777" w:rsidTr="000D3BCB">
        <w:trPr>
          <w:trHeight w:val="254"/>
        </w:trPr>
        <w:tc>
          <w:tcPr>
            <w:tcW w:w="1718" w:type="dxa"/>
            <w:tcBorders>
              <w:top w:val="single" w:sz="6" w:space="0" w:color="auto"/>
              <w:left w:val="single" w:sz="6" w:space="0" w:color="auto"/>
              <w:right w:val="single" w:sz="6" w:space="0" w:color="auto"/>
            </w:tcBorders>
            <w:shd w:val="clear" w:color="auto" w:fill="FFFFFF"/>
          </w:tcPr>
          <w:p w14:paraId="4BE3ABC5"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264 (на 15</w:t>
            </w:r>
          </w:p>
        </w:tc>
        <w:tc>
          <w:tcPr>
            <w:tcW w:w="739" w:type="dxa"/>
            <w:tcBorders>
              <w:top w:val="single" w:sz="6" w:space="0" w:color="auto"/>
              <w:left w:val="single" w:sz="6" w:space="0" w:color="auto"/>
              <w:right w:val="single" w:sz="6" w:space="0" w:color="auto"/>
            </w:tcBorders>
            <w:shd w:val="clear" w:color="auto" w:fill="FFFFFF"/>
          </w:tcPr>
          <w:p w14:paraId="78419242"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2132</w:t>
            </w:r>
          </w:p>
        </w:tc>
        <w:tc>
          <w:tcPr>
            <w:tcW w:w="960" w:type="dxa"/>
            <w:tcBorders>
              <w:top w:val="single" w:sz="6" w:space="0" w:color="auto"/>
              <w:left w:val="single" w:sz="6" w:space="0" w:color="auto"/>
              <w:right w:val="single" w:sz="6" w:space="0" w:color="auto"/>
            </w:tcBorders>
            <w:shd w:val="clear" w:color="auto" w:fill="FFFFFF"/>
          </w:tcPr>
          <w:p w14:paraId="0694EB30"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1245</w:t>
            </w:r>
          </w:p>
        </w:tc>
      </w:tr>
      <w:tr w:rsidR="00643896" w:rsidRPr="00640820" w14:paraId="1C10A0B4" w14:textId="77777777" w:rsidTr="000D3BCB">
        <w:trPr>
          <w:trHeight w:val="216"/>
        </w:trPr>
        <w:tc>
          <w:tcPr>
            <w:tcW w:w="1718" w:type="dxa"/>
            <w:tcBorders>
              <w:left w:val="single" w:sz="6" w:space="0" w:color="auto"/>
              <w:bottom w:val="single" w:sz="6" w:space="0" w:color="auto"/>
              <w:right w:val="single" w:sz="6" w:space="0" w:color="auto"/>
            </w:tcBorders>
            <w:shd w:val="clear" w:color="auto" w:fill="FFFFFF"/>
          </w:tcPr>
          <w:p w14:paraId="53EFD93C"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дек.)</w:t>
            </w:r>
          </w:p>
        </w:tc>
        <w:tc>
          <w:tcPr>
            <w:tcW w:w="739" w:type="dxa"/>
            <w:tcBorders>
              <w:left w:val="single" w:sz="6" w:space="0" w:color="auto"/>
              <w:bottom w:val="single" w:sz="6" w:space="0" w:color="auto"/>
              <w:right w:val="single" w:sz="6" w:space="0" w:color="auto"/>
            </w:tcBorders>
            <w:shd w:val="clear" w:color="auto" w:fill="FFFFFF"/>
          </w:tcPr>
          <w:p w14:paraId="336DB448" w14:textId="77777777" w:rsidR="00045010" w:rsidRPr="00640820" w:rsidRDefault="00045010" w:rsidP="00640820">
            <w:pPr>
              <w:spacing w:after="0" w:line="240" w:lineRule="auto"/>
              <w:jc w:val="both"/>
              <w:rPr>
                <w:rFonts w:ascii="Times New Roman" w:hAnsi="Times New Roman"/>
                <w:color w:val="000000" w:themeColor="text1"/>
                <w:sz w:val="16"/>
                <w:szCs w:val="16"/>
              </w:rPr>
            </w:pPr>
          </w:p>
        </w:tc>
        <w:tc>
          <w:tcPr>
            <w:tcW w:w="960" w:type="dxa"/>
            <w:tcBorders>
              <w:left w:val="single" w:sz="6" w:space="0" w:color="auto"/>
              <w:bottom w:val="single" w:sz="6" w:space="0" w:color="auto"/>
              <w:right w:val="single" w:sz="6" w:space="0" w:color="auto"/>
            </w:tcBorders>
            <w:shd w:val="clear" w:color="auto" w:fill="FFFFFF"/>
          </w:tcPr>
          <w:p w14:paraId="12A9EDB3" w14:textId="77777777" w:rsidR="00045010" w:rsidRPr="00640820" w:rsidRDefault="00045010" w:rsidP="00640820">
            <w:pPr>
              <w:spacing w:after="0" w:line="240" w:lineRule="auto"/>
              <w:jc w:val="both"/>
              <w:rPr>
                <w:rFonts w:ascii="Times New Roman" w:hAnsi="Times New Roman"/>
                <w:color w:val="000000" w:themeColor="text1"/>
                <w:sz w:val="16"/>
                <w:szCs w:val="16"/>
              </w:rPr>
            </w:pPr>
          </w:p>
        </w:tc>
      </w:tr>
      <w:tr w:rsidR="00643896" w:rsidRPr="00640820" w14:paraId="6CC0E3EA" w14:textId="77777777" w:rsidTr="000D3BCB">
        <w:trPr>
          <w:trHeight w:val="240"/>
        </w:trPr>
        <w:tc>
          <w:tcPr>
            <w:tcW w:w="1718" w:type="dxa"/>
            <w:tcBorders>
              <w:top w:val="single" w:sz="6" w:space="0" w:color="auto"/>
              <w:left w:val="single" w:sz="6" w:space="0" w:color="auto"/>
              <w:bottom w:val="single" w:sz="6" w:space="0" w:color="auto"/>
              <w:right w:val="single" w:sz="6" w:space="0" w:color="auto"/>
            </w:tcBorders>
            <w:shd w:val="clear" w:color="auto" w:fill="FFFFFF"/>
          </w:tcPr>
          <w:p w14:paraId="44F1E777"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177</w:t>
            </w:r>
          </w:p>
        </w:tc>
        <w:tc>
          <w:tcPr>
            <w:tcW w:w="739" w:type="dxa"/>
            <w:tcBorders>
              <w:top w:val="single" w:sz="6" w:space="0" w:color="auto"/>
              <w:left w:val="single" w:sz="6" w:space="0" w:color="auto"/>
              <w:bottom w:val="single" w:sz="6" w:space="0" w:color="auto"/>
              <w:right w:val="single" w:sz="6" w:space="0" w:color="auto"/>
            </w:tcBorders>
            <w:shd w:val="clear" w:color="auto" w:fill="FFFFFF"/>
          </w:tcPr>
          <w:p w14:paraId="0F49A46A"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1145</w:t>
            </w:r>
          </w:p>
        </w:tc>
        <w:tc>
          <w:tcPr>
            <w:tcW w:w="960" w:type="dxa"/>
            <w:tcBorders>
              <w:top w:val="single" w:sz="6" w:space="0" w:color="auto"/>
              <w:left w:val="single" w:sz="6" w:space="0" w:color="auto"/>
              <w:bottom w:val="single" w:sz="6" w:space="0" w:color="auto"/>
              <w:right w:val="single" w:sz="6" w:space="0" w:color="auto"/>
            </w:tcBorders>
            <w:shd w:val="clear" w:color="auto" w:fill="FFFFFF"/>
          </w:tcPr>
          <w:p w14:paraId="1735245E"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1145</w:t>
            </w:r>
          </w:p>
        </w:tc>
      </w:tr>
      <w:tr w:rsidR="00643896" w:rsidRPr="00640820" w14:paraId="10481D1A" w14:textId="77777777" w:rsidTr="000D3BCB">
        <w:trPr>
          <w:trHeight w:val="240"/>
        </w:trPr>
        <w:tc>
          <w:tcPr>
            <w:tcW w:w="1718" w:type="dxa"/>
            <w:tcBorders>
              <w:top w:val="single" w:sz="6" w:space="0" w:color="auto"/>
              <w:left w:val="single" w:sz="6" w:space="0" w:color="auto"/>
              <w:bottom w:val="single" w:sz="6" w:space="0" w:color="auto"/>
              <w:right w:val="single" w:sz="6" w:space="0" w:color="auto"/>
            </w:tcBorders>
            <w:shd w:val="clear" w:color="auto" w:fill="FFFFFF"/>
          </w:tcPr>
          <w:p w14:paraId="3EF489EF"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38</w:t>
            </w:r>
          </w:p>
        </w:tc>
        <w:tc>
          <w:tcPr>
            <w:tcW w:w="739" w:type="dxa"/>
            <w:tcBorders>
              <w:top w:val="single" w:sz="6" w:space="0" w:color="auto"/>
              <w:left w:val="single" w:sz="6" w:space="0" w:color="auto"/>
              <w:bottom w:val="single" w:sz="6" w:space="0" w:color="auto"/>
              <w:right w:val="single" w:sz="6" w:space="0" w:color="auto"/>
            </w:tcBorders>
            <w:shd w:val="clear" w:color="auto" w:fill="FFFFFF"/>
          </w:tcPr>
          <w:p w14:paraId="465C6E77"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1500</w:t>
            </w:r>
          </w:p>
        </w:tc>
        <w:tc>
          <w:tcPr>
            <w:tcW w:w="960" w:type="dxa"/>
            <w:tcBorders>
              <w:top w:val="single" w:sz="6" w:space="0" w:color="auto"/>
              <w:left w:val="single" w:sz="6" w:space="0" w:color="auto"/>
              <w:bottom w:val="single" w:sz="6" w:space="0" w:color="auto"/>
              <w:right w:val="single" w:sz="6" w:space="0" w:color="auto"/>
            </w:tcBorders>
            <w:shd w:val="clear" w:color="auto" w:fill="FFFFFF"/>
          </w:tcPr>
          <w:p w14:paraId="6306A07F"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490</w:t>
            </w:r>
          </w:p>
        </w:tc>
      </w:tr>
      <w:tr w:rsidR="00643896" w:rsidRPr="00640820" w14:paraId="6F9A0D60" w14:textId="77777777" w:rsidTr="000D3BCB">
        <w:trPr>
          <w:trHeight w:val="250"/>
        </w:trPr>
        <w:tc>
          <w:tcPr>
            <w:tcW w:w="1718" w:type="dxa"/>
            <w:tcBorders>
              <w:top w:val="single" w:sz="6" w:space="0" w:color="auto"/>
              <w:left w:val="single" w:sz="6" w:space="0" w:color="auto"/>
              <w:bottom w:val="single" w:sz="6" w:space="0" w:color="auto"/>
              <w:right w:val="single" w:sz="6" w:space="0" w:color="auto"/>
            </w:tcBorders>
            <w:shd w:val="clear" w:color="auto" w:fill="FFFFFF"/>
          </w:tcPr>
          <w:p w14:paraId="399136AD"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173</w:t>
            </w:r>
          </w:p>
        </w:tc>
        <w:tc>
          <w:tcPr>
            <w:tcW w:w="739" w:type="dxa"/>
            <w:tcBorders>
              <w:top w:val="single" w:sz="6" w:space="0" w:color="auto"/>
              <w:left w:val="single" w:sz="6" w:space="0" w:color="auto"/>
              <w:bottom w:val="single" w:sz="6" w:space="0" w:color="auto"/>
              <w:right w:val="single" w:sz="6" w:space="0" w:color="auto"/>
            </w:tcBorders>
            <w:shd w:val="clear" w:color="auto" w:fill="FFFFFF"/>
          </w:tcPr>
          <w:p w14:paraId="12EB6896"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1228</w:t>
            </w:r>
          </w:p>
        </w:tc>
        <w:tc>
          <w:tcPr>
            <w:tcW w:w="960" w:type="dxa"/>
            <w:tcBorders>
              <w:top w:val="single" w:sz="6" w:space="0" w:color="auto"/>
              <w:left w:val="single" w:sz="6" w:space="0" w:color="auto"/>
              <w:bottom w:val="single" w:sz="6" w:space="0" w:color="auto"/>
              <w:right w:val="single" w:sz="6" w:space="0" w:color="auto"/>
            </w:tcBorders>
            <w:shd w:val="clear" w:color="auto" w:fill="FFFFFF"/>
          </w:tcPr>
          <w:p w14:paraId="6C17FEE2"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160</w:t>
            </w:r>
          </w:p>
        </w:tc>
      </w:tr>
    </w:tbl>
    <w:p w14:paraId="03FFFDA9"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(12290).</w:t>
      </w:r>
    </w:p>
    <w:p w14:paraId="0EB2F186" w14:textId="77777777" w:rsidR="00045010" w:rsidRPr="00640820" w:rsidRDefault="00045010" w:rsidP="00640820">
      <w:pPr>
        <w:spacing w:after="0" w:line="240" w:lineRule="auto"/>
        <w:jc w:val="both"/>
        <w:rPr>
          <w:rFonts w:ascii="Times New Roman" w:hAnsi="Times New Roman"/>
          <w:color w:val="000000" w:themeColor="text1"/>
          <w:sz w:val="16"/>
          <w:szCs w:val="16"/>
        </w:rPr>
      </w:pPr>
    </w:p>
    <w:p w14:paraId="01E84CD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декабря 1941 группа НИИ-48 на за</w:t>
      </w:r>
      <w:r w:rsidRPr="00640820">
        <w:rPr>
          <w:rFonts w:ascii="Times New Roman" w:hAnsi="Times New Roman"/>
          <w:color w:val="000000" w:themeColor="text1"/>
          <w:sz w:val="16"/>
          <w:szCs w:val="16"/>
        </w:rPr>
        <w:softHyphen/>
        <w:t>воде № 264 под руководством Кофмана провела исследова</w:t>
      </w:r>
      <w:r w:rsidRPr="00640820">
        <w:rPr>
          <w:rFonts w:ascii="Times New Roman" w:hAnsi="Times New Roman"/>
          <w:color w:val="000000" w:themeColor="text1"/>
          <w:sz w:val="16"/>
          <w:szCs w:val="16"/>
        </w:rPr>
        <w:softHyphen/>
        <w:t>ния броневых листов толщиной 45 мм, применявшихся заво</w:t>
      </w:r>
      <w:r w:rsidRPr="00640820">
        <w:rPr>
          <w:rFonts w:ascii="Times New Roman" w:hAnsi="Times New Roman"/>
          <w:color w:val="000000" w:themeColor="text1"/>
          <w:sz w:val="16"/>
          <w:szCs w:val="16"/>
        </w:rPr>
        <w:softHyphen/>
        <w:t>дами № 264 и № 112 при производстве бронекорпусов Т-34. Исследования показали, что хоть броневые листы име</w:t>
      </w:r>
      <w:r w:rsidRPr="00640820">
        <w:rPr>
          <w:rFonts w:ascii="Times New Roman" w:hAnsi="Times New Roman"/>
          <w:color w:val="000000" w:themeColor="text1"/>
          <w:sz w:val="16"/>
          <w:szCs w:val="16"/>
        </w:rPr>
        <w:softHyphen/>
        <w:t>ли весьма высокую стойкость к воздействию малокалибер</w:t>
      </w:r>
      <w:r w:rsidRPr="00640820">
        <w:rPr>
          <w:rFonts w:ascii="Times New Roman" w:hAnsi="Times New Roman"/>
          <w:color w:val="000000" w:themeColor="text1"/>
          <w:sz w:val="16"/>
          <w:szCs w:val="16"/>
        </w:rPr>
        <w:softHyphen/>
        <w:t>ных бронебойных снарядов (37-мм, 45-мм), они недоста</w:t>
      </w:r>
      <w:r w:rsidRPr="00640820">
        <w:rPr>
          <w:rFonts w:ascii="Times New Roman" w:hAnsi="Times New Roman"/>
          <w:color w:val="000000" w:themeColor="text1"/>
          <w:sz w:val="16"/>
          <w:szCs w:val="16"/>
        </w:rPr>
        <w:softHyphen/>
        <w:t>точно вязки и не спасали от «тяжелых высокоскоростных» (50-мм, 75-мм, 76-мм и 88-мм), доля которых зимой-вес</w:t>
      </w:r>
      <w:r w:rsidRPr="00640820">
        <w:rPr>
          <w:rFonts w:ascii="Times New Roman" w:hAnsi="Times New Roman"/>
          <w:color w:val="000000" w:themeColor="text1"/>
          <w:sz w:val="16"/>
          <w:szCs w:val="16"/>
        </w:rPr>
        <w:softHyphen/>
        <w:t>ной 1942 г. в немецких войсках начала возрастать. Причем изученная броня Т-34 отличалась еще и повышен</w:t>
      </w:r>
      <w:r w:rsidRPr="00640820">
        <w:rPr>
          <w:rFonts w:ascii="Times New Roman" w:hAnsi="Times New Roman"/>
          <w:color w:val="000000" w:themeColor="text1"/>
          <w:sz w:val="16"/>
          <w:szCs w:val="16"/>
        </w:rPr>
        <w:softHyphen/>
        <w:t>ной хрупкостью. Для улучшения стойкости брони группа Кофмана предложила провести экранирование танка 10-15-мм бронелистами, использовавшимися на заводе № 264 в производстве бронекорпусов танка Т-60 (10782).</w:t>
      </w:r>
    </w:p>
    <w:p w14:paraId="47D89F8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6E076B"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декабря 1941 года вышел Приказ НКБ № 723</w:t>
      </w:r>
    </w:p>
    <w:p w14:paraId="041F75E2"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связи с эвакуацией КБ-35 НКБ с его основной базы в Москве и согласно распоряжению Совнаркома № 6957 от 26 декабря 1941 года:</w:t>
      </w:r>
    </w:p>
    <w:p w14:paraId="45FA02B1"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Считать местом нахождения КБ-35 НКБ Ташкент (5680, 203).</w:t>
      </w:r>
    </w:p>
    <w:p w14:paraId="234624DB"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00B6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декабря 1941 вышло Постановление ГКО № 1078 О т.Бочкове. РГАНИР, Фонд ГКО, д. 18, лл. 1 (11012).</w:t>
      </w:r>
    </w:p>
    <w:p w14:paraId="175CCD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E44AB4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декабря 1941 вышло Постановление ГКО № 1079 О т.т. Колобякове А.Ф., Дубровском. РГАНИР, Фонд ГКО, д. Г., Мельникове А.H., Комарове Г.А., Пронине А.М., Колонине С.Е., Попель H.К., Кудинове H.Г., Смокачеве П.Е., Клокове В.Я., Курочкине К.Т., Ханжине В.М., Пожидаеве Е. Т. и Кривулине А.М. РГАНИР, Фонд ГКО, д. 18, лл. 2, 3 (11012).</w:t>
      </w:r>
    </w:p>
    <w:p w14:paraId="0B6C6F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A0BF7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декабря 1941 вышло Постановление ГКО № 1080 Об отмене эвакуации из Сталинграда в Челябинск Харьковского завода танкового электрооборудования. РГАНИР, Фонд ГКО, д. 18, лл. 4 (11012).</w:t>
      </w:r>
    </w:p>
    <w:p w14:paraId="18342B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48306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декабря 1941 вышло Постановление ГКО № 1081 О передаче СНК Чечено-Ингушской АССР оборудования для производства подков. РГАНИР, Фонд ГКО, д. 18, лл. 5 (11012).</w:t>
      </w:r>
    </w:p>
    <w:p w14:paraId="5197F2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D31B03D"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декабря 1941 вышло Постановление ГКО № 1082 О производстве подшипников. (7019, 6-12, 13-15).</w:t>
      </w:r>
    </w:p>
    <w:p w14:paraId="0642E77C"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B732EC"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декабря 1941 года Нарком нефтяной промышленности т. Седин приказом по наркомату определил срок восстановления завода №85 — 1 декабря 1942 г. и сообщил в КПК о том, что с этого времени наркомат может начать поставку отвержденного топлива. Нашей проверкой через Уполномоченного КПК по Чечено-Ингушской АССР была установлена возможность закончить восстановление завода не к 1. Декабря, а к 15.11-1942 года, и в результате принятых мер завод №85 к этому сроку был восстановлен на полную его проектную мощность 10 тыс. тонн отвержденного топлива в год и с 18.II-1942 года приступил к выпуску своей продукции».</w:t>
      </w:r>
    </w:p>
    <w:p w14:paraId="42296E63"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Как писал А. К. Байбаков, производство без особых проблем можно было расширить:</w:t>
      </w:r>
    </w:p>
    <w:p w14:paraId="4A7C9FF6"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«Установлено также, что благодаря наличию резерва электроэнергии, пара, воды, сырьевого парка, насосных и компрессорных — имеется полная возможность вдвое увеличить производительность завода №85, на что потребуется около одного миллиона рублей при стоимости построенного уже завода в 10 млн. рублей» (12152).</w:t>
      </w:r>
    </w:p>
    <w:p w14:paraId="2A116B99" w14:textId="77777777" w:rsidR="00045010" w:rsidRPr="00640820" w:rsidRDefault="00045010" w:rsidP="00640820">
      <w:pPr>
        <w:spacing w:after="0" w:line="240" w:lineRule="auto"/>
        <w:jc w:val="both"/>
        <w:rPr>
          <w:rFonts w:ascii="Times New Roman" w:hAnsi="Times New Roman"/>
          <w:color w:val="000000" w:themeColor="text1"/>
          <w:sz w:val="16"/>
          <w:szCs w:val="16"/>
        </w:rPr>
      </w:pPr>
    </w:p>
    <w:p w14:paraId="79598E24"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7BAEF8CE"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28BEF40" w14:textId="77777777" w:rsidR="003A1DF7" w:rsidRPr="00640820" w:rsidRDefault="003A1D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28 декабря</w:t>
      </w:r>
      <w:r w:rsidRPr="00640820">
        <w:rPr>
          <w:rFonts w:ascii="Times New Roman" w:hAnsi="Times New Roman"/>
          <w:color w:val="000000" w:themeColor="text1"/>
          <w:sz w:val="16"/>
          <w:szCs w:val="16"/>
        </w:rPr>
        <w:t xml:space="preserve"> в 1941 году утреннее сообщение Совинформбюро:</w:t>
      </w:r>
    </w:p>
    <w:p w14:paraId="4D6619D4" w14:textId="77777777" w:rsidR="003A1DF7" w:rsidRPr="00640820" w:rsidRDefault="003A1D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28 декабря наши войска вели бои с противником на всех Фронтах.</w:t>
      </w:r>
    </w:p>
    <w:p w14:paraId="60F9C0F8" w14:textId="77777777" w:rsidR="003A1DF7" w:rsidRPr="00640820" w:rsidRDefault="003A1D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участков Западного фронта наши бойцы захватили 15 орудий, 250 грузовых автомашин, 20 легковых автомашин, 22 мотоцикла, склады с боеприпасами, продовольствием и имуществом связи. На другом участке фронта гвардейцы части тов. Миронова в двухдневном бою с противником захватили 15 орудий, свыше 50 пулемётов, 60 автомашин, 18 мотоциклов, 280 велосипедов, 48 миномётов и истребили свыше 300 немецких солдат и офицеров.</w:t>
      </w:r>
    </w:p>
    <w:p w14:paraId="686CCA99" w14:textId="77777777" w:rsidR="003A1DF7" w:rsidRPr="00640820" w:rsidRDefault="003A1D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Наша часть, действующая на одном из участков Юго-Западного фронта, ведя ожесточённые бои с противником, успешно продвигается вперёд и заняла несколько населённых пунктов. Только за один день наши бойцы захватили 3 немецких орудия, 10 автомашин, 50 ящиков мин, 50.000 патронов и склад боеприпасов. В бою отличился старшина тов. Горбач. На него напали 8 вражеских автоматчиков. Меткими выстрелами, штыком и прикладом храбрый воин уничтожил их всех до одного. Крестьяне села П., вооружившись захваченными у немцев винтовками, приняли активное участие в бою против фашистов.</w:t>
      </w:r>
    </w:p>
    <w:p w14:paraId="30A54DFD" w14:textId="77777777" w:rsidR="003A1DF7" w:rsidRPr="00640820" w:rsidRDefault="003A1D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результате двухдневных боёв с противником наша часть, действующая на одном из участков Ленинградского фронта, захватила 18 немецких пулемётов, 5 миномётов, свыше 100 карабинов и винтовок, 700 мин, 3.000 ручных гранат, 25.000 патронов и истребила более 500 вражеских солдат и офицеров.</w:t>
      </w:r>
    </w:p>
    <w:p w14:paraId="50ADA6CB" w14:textId="77777777" w:rsidR="003A1DF7" w:rsidRPr="00640820" w:rsidRDefault="003A1D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Взятый в плен командир 1 взвода 5 роты 63 пехотного полка 52 немецкой пехотной дивизии лейтенант Вальтер Кюрер показал: «За время войны в России в нашей роте сменилось три командира, два из них тяжело ранены, один убит. В моей роте убито три командира взвода. Потери в роте составляют 130 человек из 180. В результате огромных потерь и большой усталости солдат наш полк к наступлению не способен. Генерал Гудериан заявил, что отступление немецких войск идёт якобы по заранее разработанному плану. Однако огромные потери в людях и вооружении с полной очевидностью свидетельствуют о том, что генерал лжёт».</w:t>
      </w:r>
    </w:p>
    <w:p w14:paraId="30E4A951" w14:textId="77777777" w:rsidR="003A1DF7" w:rsidRPr="00640820" w:rsidRDefault="003A1D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Немецкие оккупанты ввели каторжные условия труда на предприятиях Прибалтики. Для всех рабочих установлены нищенские ставки зарплаты, выше которых никто не может получать. 80 процентов зарплаты удерживается за так называемый обед, состоящий из крошечного куска хлеба и супа. Ещё тяжелее положение работниц. Даже самая квалифицированная работница получает меньше, чем рабочий, не имеющий никакой специальности. Количество несчастных случаев на предприятиях Прибалтики возросло по сравнению с довоенным временем почти в 20 раз.</w:t>
      </w:r>
    </w:p>
    <w:p w14:paraId="4F404DA9" w14:textId="77777777" w:rsidR="003A1DF7" w:rsidRPr="00640820" w:rsidRDefault="003A1D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Западнее города Соннес норвежские патриоты взорвали немецкий склад боеприпасов и два тяжёлых орудия. Во время взрыва уничтожено 17 фашистских солдат и 2 офицера.</w:t>
      </w:r>
    </w:p>
    <w:p w14:paraId="70F01FF0" w14:textId="77777777" w:rsidR="003A1DF7" w:rsidRPr="00640820" w:rsidRDefault="003A1D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Колхозники Якутской АССР досрочно вы полнили план хлебопоставок. Завершается выполнение плана поставок мяса и молока. Семь районов республики выполнили годовой план заготовки пушнины. Колхозники значительно расширяют посевные площади. Колхозы Кобяйского района засеяли ржи в три с половиной раза больше, чем намечалось по плану. Колхозники Якутского, Олекминского и Мегино-Кангаласского районов раскорчевали и подготовили для посева свыше 300 гектаров тайги.» (14874).</w:t>
      </w:r>
    </w:p>
    <w:p w14:paraId="47062855" w14:textId="77777777" w:rsidR="003A1DF7" w:rsidRPr="00640820" w:rsidRDefault="003A1DF7" w:rsidP="00640820">
      <w:pPr>
        <w:spacing w:after="0" w:line="240" w:lineRule="auto"/>
        <w:jc w:val="both"/>
        <w:rPr>
          <w:rFonts w:ascii="Times New Roman" w:hAnsi="Times New Roman"/>
          <w:color w:val="000000" w:themeColor="text1"/>
          <w:sz w:val="16"/>
          <w:szCs w:val="16"/>
        </w:rPr>
      </w:pPr>
    </w:p>
    <w:p w14:paraId="52461F51" w14:textId="77777777" w:rsidR="003A1DF7" w:rsidRPr="00640820" w:rsidRDefault="003A1D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28 декабря</w:t>
      </w:r>
      <w:r w:rsidRPr="00640820">
        <w:rPr>
          <w:rFonts w:ascii="Times New Roman" w:hAnsi="Times New Roman"/>
          <w:color w:val="000000" w:themeColor="text1"/>
          <w:sz w:val="16"/>
          <w:szCs w:val="16"/>
        </w:rPr>
        <w:t xml:space="preserve"> в 1941 году вечернее сообщение Совинформбюро:</w:t>
      </w:r>
    </w:p>
    <w:p w14:paraId="672C497B" w14:textId="77777777" w:rsidR="003A1DF7" w:rsidRPr="00640820" w:rsidRDefault="003A1D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28 декабря наши войска вели бои с противником на всех фронтах. На ряде участков наши войска, ведя бои с противником, продолжали продвигаться вперёд и заняли ряд населённых пунктов.</w:t>
      </w:r>
    </w:p>
    <w:p w14:paraId="290BD278" w14:textId="77777777" w:rsidR="003A1DF7" w:rsidRPr="00640820" w:rsidRDefault="003A1D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27 декабря уничтожено 8 немецких самолётов. Наши потери — 3 самолёта.</w:t>
      </w:r>
    </w:p>
    <w:p w14:paraId="459616D1" w14:textId="77777777" w:rsidR="003A1DF7" w:rsidRPr="00640820" w:rsidRDefault="003A1D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28 декабря под Москвой сбито 4 немецких самолёта.</w:t>
      </w:r>
    </w:p>
    <w:p w14:paraId="29F625DF" w14:textId="77777777" w:rsidR="003A1DF7" w:rsidRPr="00640820" w:rsidRDefault="003A1D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27 декабря наша авиация уничтожила 45 немецких танков, 8 бронемашин, более 620 автомашин с войсками и грузами, 17 полевых орудий с прислугой, 9 зенитных точек, свыше 430 повозок с боеприпасами, 3 автоцистерны с горючим, 3 радиостанции, сожгла 4 железнодорожных эшелона и рассеяла до 5 батальонов пехоты противника.</w:t>
      </w:r>
    </w:p>
    <w:p w14:paraId="63179C99" w14:textId="77777777" w:rsidR="003A1DF7" w:rsidRPr="00640820" w:rsidRDefault="003A1D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части, действующие на одном из участков Юго-Западного фронта? за один день боёв с противником выбили немцев из 24 населённых пунктов, уничтожили 8 вражеских танков, 4 бронемашины, 4 орудия и истребили до 2.000 солдат и офицеров противника. Захвачены 2 танка, 10 автомашин и много боеприпасов. На другом участке фронта наши бойцы освободили 9 населённых пунктов.</w:t>
      </w:r>
    </w:p>
    <w:p w14:paraId="1BDF8974" w14:textId="77777777" w:rsidR="003A1DF7" w:rsidRPr="00640820" w:rsidRDefault="003A1D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взятии города Тим наши бойцы захватили 40 немецких орудий, 36 пулемётов, 130 автомашин, много повозок с военным имуществом и истребили свыше 1.000 вражеских солдат и офицеров.</w:t>
      </w:r>
    </w:p>
    <w:p w14:paraId="69A8E1E2" w14:textId="77777777" w:rsidR="003A1DF7" w:rsidRPr="00640820" w:rsidRDefault="003A1D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Группа разведчиков под командой младшего лейтенанта Бельчика, пробравшись в тыл противника, обнаружила в одном из домов селения Б. 10 немцев и полностью их уничтожила. Возвращаясь обратно, смелые разведчики встретили 40 вражеских солдат. Внезапно напав на противника, наши бойцы истребили их всех до одного.</w:t>
      </w:r>
    </w:p>
    <w:p w14:paraId="0EEE8487" w14:textId="77777777" w:rsidR="003A1DF7" w:rsidRPr="00640820" w:rsidRDefault="003A1D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последнее время на Южном фронте участились случаи сдачи в плен итальянских солдат и офицеров. 27 декабря одному нашему командиру добровольно сдались в плен 44 итальянца. В этот же день добровольно перешёл на нашу сторону командир 79 батальона легиона чернорубашечников капитан Монголи Ренальдо вместе с 2 офицерами и 20 солдатами. Итальянцы сдали в исправном состоянии 8 тяжёлых и 8 лёгких пулемётов, 5 миномётов и 2 противотанковых орудия.</w:t>
      </w:r>
    </w:p>
    <w:p w14:paraId="6F5EF852" w14:textId="77777777" w:rsidR="003A1DF7" w:rsidRPr="00640820" w:rsidRDefault="003A1D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Партизанский отряд под командованием тов. Р., действующий в одном из районов Московской области, оккупированных немцами, беспощадно истребляет гитлеровских захватчиков. Только за несколько дней партизаны уничтожили 3 немецких автобуса, 2 автомашины и истребили 85 фашистских солдат и офицеров. Недавно группа партизан встретила на дороге немецкую грузовую автомашину. Перебив находившихся в ней немцев, советские патриоты захватили 3 ящика патронов и уничтожили машину. Смелое нападение на колонну противника совершили пять партизан из отряда тов. Ф. Они уничтожили автомашину с зенитной установкой, противотанковую пушку, несколько автомашин и истребили более десятка немцев.</w:t>
      </w:r>
    </w:p>
    <w:p w14:paraId="2969545B" w14:textId="77777777" w:rsidR="003A1DF7" w:rsidRPr="00640820" w:rsidRDefault="003A1D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Пленный унтер-офицер, санитар лазарета 45 немецкой дивизии, Иозеф Файхтиндер на допросе заявил: «Наша дивизия понесла большие потери. Число убитых солдат и офицеров достигает 5.000. Только в нашем лазарете насчитывалось 2.100 раненых. Кроме того, в частях очень много больных и обмороженных. Недели две назад в лазарет доставши группу солдат, раненных в бою с партизанами».</w:t>
      </w:r>
    </w:p>
    <w:p w14:paraId="48D5F68F" w14:textId="77777777" w:rsidR="003A1DF7" w:rsidRPr="00640820" w:rsidRDefault="003A1D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гор. Махач-Кала за время Отечественной войны число изобретателей увеличилось вдвое. Только на 15 предприятиях внедрено около 400 рационализаторских предложений, дающих сотни тысяч рублей экономии. На механическом заводе мастер тов. Дрепин сконструировал станок для формовки деталей, который в несколько раз повысил производительность труда.» (14874).</w:t>
      </w:r>
    </w:p>
    <w:p w14:paraId="53609B13" w14:textId="77777777" w:rsidR="003A1DF7" w:rsidRPr="00640820" w:rsidRDefault="003A1DF7" w:rsidP="00640820">
      <w:pPr>
        <w:spacing w:after="0" w:line="240" w:lineRule="auto"/>
        <w:jc w:val="both"/>
        <w:rPr>
          <w:rFonts w:ascii="Times New Roman" w:hAnsi="Times New Roman"/>
          <w:color w:val="000000" w:themeColor="text1"/>
          <w:sz w:val="16"/>
          <w:szCs w:val="16"/>
        </w:rPr>
      </w:pPr>
    </w:p>
    <w:p w14:paraId="3C29FA8C" w14:textId="77777777" w:rsidR="003A1DF7" w:rsidRPr="00640820" w:rsidRDefault="003A1D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28 декабря</w:t>
      </w:r>
      <w:r w:rsidRPr="00640820">
        <w:rPr>
          <w:rFonts w:ascii="Times New Roman" w:hAnsi="Times New Roman"/>
          <w:color w:val="000000" w:themeColor="text1"/>
          <w:sz w:val="16"/>
          <w:szCs w:val="16"/>
        </w:rPr>
        <w:t xml:space="preserve"> в 1941 году войска 1-го гвардейского кавалерийского корпуса освободили Козельск (14874).</w:t>
      </w:r>
    </w:p>
    <w:p w14:paraId="317DB41D" w14:textId="77777777" w:rsidR="003A1DF7" w:rsidRPr="00640820" w:rsidRDefault="003A1DF7" w:rsidP="00640820">
      <w:pPr>
        <w:spacing w:after="0" w:line="240" w:lineRule="auto"/>
        <w:jc w:val="both"/>
        <w:rPr>
          <w:rFonts w:ascii="Times New Roman" w:hAnsi="Times New Roman"/>
          <w:color w:val="000000" w:themeColor="text1"/>
          <w:sz w:val="16"/>
          <w:szCs w:val="16"/>
        </w:rPr>
      </w:pPr>
    </w:p>
    <w:p w14:paraId="3E737B8D" w14:textId="77777777" w:rsidR="003A1DF7" w:rsidRPr="00640820" w:rsidRDefault="003A1DF7"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28 декабря</w:t>
      </w:r>
      <w:r w:rsidRPr="00640820">
        <w:rPr>
          <w:rFonts w:ascii="Times New Roman" w:hAnsi="Times New Roman"/>
          <w:color w:val="000000" w:themeColor="text1"/>
          <w:sz w:val="16"/>
          <w:szCs w:val="16"/>
        </w:rPr>
        <w:t xml:space="preserve"> в 1941 году войска 33-й и 43-й армий Западного фронта прорвали оборону вермахта в районе Наро-Фоминска (14874).</w:t>
      </w:r>
    </w:p>
    <w:p w14:paraId="6F57A0D8" w14:textId="77777777" w:rsidR="003A1DF7" w:rsidRPr="00640820" w:rsidRDefault="003A1DF7" w:rsidP="00640820">
      <w:pPr>
        <w:spacing w:after="0" w:line="240" w:lineRule="auto"/>
        <w:jc w:val="both"/>
        <w:rPr>
          <w:rFonts w:ascii="Times New Roman" w:hAnsi="Times New Roman"/>
          <w:color w:val="000000" w:themeColor="text1"/>
          <w:sz w:val="16"/>
          <w:szCs w:val="16"/>
        </w:rPr>
      </w:pPr>
    </w:p>
    <w:p w14:paraId="0FC269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декабря 1941 согласно сообщению Совинформбюро за один день на ЗФ а уничтожила 34 танка, 26 с, до 1000 а/м, 35 полевых и 13 ЗО, 280 повозок, 3 цистерны, 2 моста и три полка (438,830).</w:t>
      </w:r>
    </w:p>
    <w:p w14:paraId="305202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54864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28-29 декабря 1941 года была переброшена северная польская группа (М.Новотко, П.Финдер, Б.Молоец и еще 3 чел.) (8983).</w:t>
      </w:r>
    </w:p>
    <w:p w14:paraId="555185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3725087"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4388282E"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97A3E1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декабря 1941 на основании постановления ГКО № 1069сс от 27 декабря приказом НКВД № 001735 началась организация спецлагерей НКВД для проверки и фильтрации бывших военнослужащих Красной Армии, находившихся в плену и в окружении противника. До 19 июля 1944-го спецлагеря находились в ведении УПВИ НКВД, затем были переданы в подчинение ГУЛАГа, а 28 августа 1944-го был организован самостоятельный Отдел спецлагерей НКВД во главе с полковником ГБ Н. И. Шитиковым (20 февраля 1945-го Отдел спецлагерей переименуют в Отдел проверочно-фильтрационных лагерей (ОПФЛ) НКВД) (7560).</w:t>
      </w:r>
    </w:p>
    <w:p w14:paraId="41AC8F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40A4CF0"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декабря 1941 г. укладка пути от Кожвы до Воркуты была завершена и на следующий день в Воркуту прибыл первый поезд. Окончательно дорога была принята в эксплуатацию 1 августа 1942 г.</w:t>
      </w:r>
    </w:p>
    <w:p w14:paraId="6A365D70"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годы войны активно продолжалось развитие силами НКВД Печорского угольного бассейна. План добычи угля на 1941 г. был установлен в 300,9 тыс. тонн, а 12 февраля 1942 г. было принято Постановление СНК СССР "О развитии добычи воркуто-интинских углей и мероприятиях по обеспечению их вывоза". Документом предусматривалось увеличение добычи угля в 2,5 раза по сравнению с 1941 годом и скорейшее завершение строительства Северо-Печорской железнодорожной магистрали. </w:t>
      </w:r>
    </w:p>
    <w:p w14:paraId="42AB921D"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Для ускорения сооружения мостов на дороге строительство получило 4700 тонн металлоконструкций из каркаса Дворца Советов в Москве, были демонтированы несколько мостов через канал Москва - Волга и др. </w:t>
      </w:r>
    </w:p>
    <w:p w14:paraId="4B11491D"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Конструкция мостов и сооружений, строение пути и нормы были предельно упрощены: при норме укладки шпал в 1600 на км пути укладывалось не более 900 шпал на км, полотно укладывалось на вечную мерзлоту (балластировка производилась позднее). Упрощение технологии, улучшение снабжения и переброска на трассу новых контингентов осужденных позволили ускорить строительство: в октябре средняя скорость укладки пути составила 4 км/сутки против 2 км/сутки в сентябре. </w:t>
      </w:r>
    </w:p>
    <w:p w14:paraId="712EAA8F"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трассе предстоял огромный объем доделок, но все же к 1 января 1943 г. пропускная способность дороги увеличилась до 12 пар поездов в сутки, а к концу года - до 14 пар поездов. Введение в строй железной дороги позволило с 1943 г. прекратить отправку угля водой. Создание постоянно действующей транспортной артерии позволило развернуть добычу воркутинских и интинских углей в полном объеме. В ходе войны в бассейне было заложено 29 шахт (из них вступили в строй 12), добыча угля в 1943 г. достигла 1704,6 тыс. тонн, в 1944 г. - 2552 тыс. тонн, в 1945 г. - 3347 тыс. тонн. Печорский уголь потребляли к концу войны 9 областей, 2 автономных республики, 35 городов и 52 предприятия (12129).</w:t>
      </w:r>
    </w:p>
    <w:p w14:paraId="265225AA" w14:textId="77777777" w:rsidR="00045010" w:rsidRPr="00640820" w:rsidRDefault="00045010" w:rsidP="00640820">
      <w:pPr>
        <w:spacing w:after="0" w:line="240" w:lineRule="auto"/>
        <w:jc w:val="both"/>
        <w:rPr>
          <w:rFonts w:ascii="Times New Roman" w:hAnsi="Times New Roman"/>
          <w:color w:val="000000" w:themeColor="text1"/>
          <w:sz w:val="16"/>
          <w:szCs w:val="16"/>
        </w:rPr>
      </w:pPr>
    </w:p>
    <w:p w14:paraId="387BAC05"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7B831DAB"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01631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28-30 декабря 1941 состоялось совещание с экспертами союзников. По авиации от Англии был Бальфур, от американцев - генерал Чаней - по снабжению и полковник Файмонвил - военный атташе. Переговоры велись на Спиридоновке в особняке Наркоминдела. Переводил - М.М.Литвинов (74,225).</w:t>
      </w:r>
    </w:p>
    <w:p w14:paraId="1E83D8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3084D86"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3092E319"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E1F12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декабря 1941 Манила была объявлена американцами свободным городом из-за наступления японцев на всех фронтах (2100).</w:t>
      </w:r>
    </w:p>
    <w:p w14:paraId="591A1D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9F42D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December 28 1941 The ABDA (joint command for American, British, Dutch and Austrailian forces in the Far East) established, commanded by General Sir Archibald Wavell (1242).</w:t>
      </w:r>
    </w:p>
    <w:p w14:paraId="077832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29368B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декабря 1941 было образовано объединенное командование на ДВ (1242).</w:t>
      </w:r>
    </w:p>
    <w:p w14:paraId="2C986B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E525BDA"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декабря 1941 японская армия вторглась на Суматру (4962).</w:t>
      </w:r>
    </w:p>
    <w:p w14:paraId="689AA0FF"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1F3892" w14:textId="77777777" w:rsidR="00E915DA" w:rsidRPr="00640820" w:rsidRDefault="00E915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28 декабря</w:t>
      </w:r>
      <w:r w:rsidRPr="00640820">
        <w:rPr>
          <w:rFonts w:ascii="Times New Roman" w:hAnsi="Times New Roman"/>
          <w:color w:val="000000" w:themeColor="text1"/>
          <w:sz w:val="16"/>
          <w:szCs w:val="16"/>
        </w:rPr>
        <w:t xml:space="preserve"> в 1941 году японские войска высадились на острове Суматра (14874).</w:t>
      </w:r>
    </w:p>
    <w:p w14:paraId="3BC9FC07" w14:textId="77777777" w:rsidR="00E915DA" w:rsidRPr="00640820" w:rsidRDefault="00E915DA" w:rsidP="00640820">
      <w:pPr>
        <w:spacing w:after="0" w:line="240" w:lineRule="auto"/>
        <w:jc w:val="both"/>
        <w:rPr>
          <w:rFonts w:ascii="Times New Roman" w:hAnsi="Times New Roman"/>
          <w:color w:val="000000" w:themeColor="text1"/>
          <w:sz w:val="16"/>
          <w:szCs w:val="16"/>
        </w:rPr>
      </w:pPr>
    </w:p>
    <w:p w14:paraId="4ED65ADB"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106853E3"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D66D4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декабря 1941 с завода ушел эшелон с 29 Ил-2 - первыми, сделанными в Куйбышеве. Собирали, затем разбирали, так как не было аэродрома. Он приехал в Фили 31 в 11 ночи. Утром - был П.В.Дементьев. 2 - первый полетел (180,86).</w:t>
      </w:r>
    </w:p>
    <w:p w14:paraId="3CE5A7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164F4D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декабря 1941 в 13.00 на Москву ушел литерный эше</w:t>
      </w:r>
      <w:r w:rsidRPr="00640820">
        <w:rPr>
          <w:rFonts w:ascii="Times New Roman" w:hAnsi="Times New Roman"/>
          <w:color w:val="000000" w:themeColor="text1"/>
          <w:sz w:val="16"/>
          <w:szCs w:val="16"/>
        </w:rPr>
        <w:softHyphen/>
        <w:t>лон с 29 Ил-2. В столицу он прибыл через двое суток. Еще восемь суток заняла операция сборки, облета и сдачи само</w:t>
      </w:r>
      <w:r w:rsidRPr="00640820">
        <w:rPr>
          <w:rFonts w:ascii="Times New Roman" w:hAnsi="Times New Roman"/>
          <w:color w:val="000000" w:themeColor="text1"/>
          <w:sz w:val="16"/>
          <w:szCs w:val="16"/>
        </w:rPr>
        <w:softHyphen/>
        <w:t>летов летчикам 299-го шап. К 15 января в Москву на завод № 22 прибыл еще один эше</w:t>
      </w:r>
      <w:r w:rsidRPr="00640820">
        <w:rPr>
          <w:rFonts w:ascii="Times New Roman" w:hAnsi="Times New Roman"/>
          <w:color w:val="000000" w:themeColor="text1"/>
          <w:sz w:val="16"/>
          <w:szCs w:val="16"/>
        </w:rPr>
        <w:softHyphen/>
        <w:t>лон с Ил-2. Ими пополнили 61-й шап. От Управления ВВС КА организацией переда</w:t>
      </w:r>
      <w:r w:rsidRPr="00640820">
        <w:rPr>
          <w:rFonts w:ascii="Times New Roman" w:hAnsi="Times New Roman"/>
          <w:color w:val="000000" w:themeColor="text1"/>
          <w:sz w:val="16"/>
          <w:szCs w:val="16"/>
        </w:rPr>
        <w:softHyphen/>
        <w:t>чи штурмовиков в строевые полки занимался М.М. Мясо</w:t>
      </w:r>
      <w:r w:rsidRPr="00640820">
        <w:rPr>
          <w:rFonts w:ascii="Times New Roman" w:hAnsi="Times New Roman"/>
          <w:color w:val="000000" w:themeColor="text1"/>
          <w:sz w:val="16"/>
          <w:szCs w:val="16"/>
        </w:rPr>
        <w:softHyphen/>
        <w:t>едов. В дальнейшем, как только была налажена работа лет-но-испытательных станций 1-го и 18-го заводов, погрузка самолетов Ил-2 в эшелоны и отправка их в Москву прекра</w:t>
      </w:r>
      <w:r w:rsidRPr="00640820">
        <w:rPr>
          <w:rFonts w:ascii="Times New Roman" w:hAnsi="Times New Roman"/>
          <w:color w:val="000000" w:themeColor="text1"/>
          <w:sz w:val="16"/>
          <w:szCs w:val="16"/>
        </w:rPr>
        <w:softHyphen/>
        <w:t>тилась (11474,248).</w:t>
      </w:r>
    </w:p>
    <w:p w14:paraId="2911C11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2A2351" w14:textId="77777777" w:rsidR="000E1AD9" w:rsidRPr="00640820" w:rsidRDefault="000E1AD9" w:rsidP="00640820">
      <w:pPr>
        <w:pStyle w:val="afffff5"/>
        <w:shd w:val="clear" w:color="auto" w:fill="FFFFFF"/>
        <w:spacing w:before="0" w:beforeAutospacing="0" w:after="0" w:afterAutospacing="0"/>
        <w:jc w:val="both"/>
        <w:rPr>
          <w:color w:val="000000" w:themeColor="text1"/>
          <w:sz w:val="16"/>
          <w:szCs w:val="16"/>
        </w:rPr>
      </w:pPr>
      <w:r w:rsidRPr="00640820">
        <w:rPr>
          <w:color w:val="000000" w:themeColor="text1"/>
          <w:sz w:val="16"/>
          <w:szCs w:val="16"/>
        </w:rPr>
        <w:t>29 декабря 1941 года в Москву из Куйбышева был отправлен литерный эшелон с первыми 29-ю штурмовиками, которые воронежские самолетостроители собрали на новом месте (19822).</w:t>
      </w:r>
    </w:p>
    <w:p w14:paraId="5099B397" w14:textId="77777777" w:rsidR="000E1AD9" w:rsidRPr="00640820" w:rsidRDefault="000E1AD9" w:rsidP="00640820">
      <w:pPr>
        <w:pStyle w:val="afffff5"/>
        <w:shd w:val="clear" w:color="auto" w:fill="FFFFFF"/>
        <w:spacing w:before="0" w:beforeAutospacing="0" w:after="0" w:afterAutospacing="0"/>
        <w:jc w:val="both"/>
        <w:rPr>
          <w:color w:val="000000" w:themeColor="text1"/>
          <w:sz w:val="16"/>
          <w:szCs w:val="16"/>
        </w:rPr>
      </w:pPr>
    </w:p>
    <w:p w14:paraId="338B878A" w14:textId="77777777" w:rsidR="000E1AD9" w:rsidRPr="00640820" w:rsidRDefault="000E1AD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декабря 1941 года в тринадцать часов с заводской площадки отошел первый железнодорожный эшелон со штурмовиками Ил-2, изготовленными заводом № 18 на новом месте. Двадцать девять самолетов вез этот эшелон — всю продукцию завода, выпущенную в декабре 41-го. Курс — Москва.</w:t>
      </w:r>
    </w:p>
    <w:p w14:paraId="0ADB9141" w14:textId="77777777" w:rsidR="000E1AD9" w:rsidRPr="00640820" w:rsidRDefault="000E1AD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Восемь суток заняла операция сборки, облета и сдачи воинской части двадцати девяти штурмовиков, прибывших с первым эшелоном. И это было выполнено с соблюдением всех правил сдачи-приемки военной продукции, с предъявлением жестких требований к качеству и безотказности работы каждого механизма. Так же, как на заводе, после приемки ОТК самолеты предъявлялись военным представителям. Здесь отлично потрудились два военных представителя — Рябошапко и Рябков, принимавшие машины, собранные на подмосковном заводе. Успеху сопутствовало и то обстоятельство, что винтомоторные установки этих машин были хорошо отработаны еще на родном заводе механиками ЛИС.</w:t>
      </w:r>
    </w:p>
    <w:p w14:paraId="24600F1B" w14:textId="77777777" w:rsidR="000E1AD9" w:rsidRPr="00640820" w:rsidRDefault="000E1AD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Три эшелона, около сотни самолетов, построенных на новом месте, собрали бригады завода № 18 в Москве. Испытанные в воздухе «илы» тут же улетали на фронт. В заводском архиве хранится приказ Народного комиссара авиационной промышленности от 29 января 1942 года за № 20, согласно которому за отличные успехи в проведении сборки штурмовиков были отмечены работники завода № 18 С. Е. Малышев, А. З. Хорошин и другие, а также руководитель бригады московских авиаремонтных мастерских А. Т. Карев.</w:t>
      </w:r>
    </w:p>
    <w:p w14:paraId="143043E5" w14:textId="77777777" w:rsidR="000E1AD9" w:rsidRPr="00640820" w:rsidRDefault="000E1AD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 это было очень накладно — разбирать готовые самолеты, везти их на большое расстояние и снова собирать. Такая «процедура» годилась только в качестве временной, вынужденной меры. И как только аэродром завода на новом месте получил минимальное оборудование и возможности для летных испытаний самолетов, погрузка «илов» в эшелоны прекратилась (19823).</w:t>
      </w:r>
    </w:p>
    <w:p w14:paraId="1AA96DCD" w14:textId="77777777" w:rsidR="000E1AD9" w:rsidRPr="00640820" w:rsidRDefault="000E1AD9" w:rsidP="00640820">
      <w:pPr>
        <w:spacing w:after="0" w:line="240" w:lineRule="auto"/>
        <w:jc w:val="both"/>
        <w:rPr>
          <w:rFonts w:ascii="Times New Roman" w:hAnsi="Times New Roman"/>
          <w:color w:val="000000" w:themeColor="text1"/>
          <w:sz w:val="16"/>
          <w:szCs w:val="16"/>
        </w:rPr>
      </w:pPr>
    </w:p>
    <w:p w14:paraId="70E6217E"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479FDEAD"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B2E6F15"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декабря 1941 два варианта самоходок КВ-6 и КВ-7 и огнеметный танк КВ-8 на ЧКЗ погрузили на платформы и отправили в Москву (5008, 85).</w:t>
      </w:r>
    </w:p>
    <w:p w14:paraId="1F686979"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A30F91"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декабря 1941 года вышел приказ № 81 мсс НКТП</w:t>
      </w:r>
    </w:p>
    <w:p w14:paraId="2198E187"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“Красный пролетарий” № 5</w:t>
      </w:r>
    </w:p>
    <w:p w14:paraId="0110C633"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 Орджоникидзе № 184</w:t>
      </w:r>
    </w:p>
    <w:p w14:paraId="7B9030F2"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“Станконормаль” № 221</w:t>
      </w:r>
    </w:p>
    <w:p w14:paraId="65B2AA60"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фрезерных станков № 113</w:t>
      </w:r>
    </w:p>
    <w:p w14:paraId="123F1100"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электронасосов № 254</w:t>
      </w:r>
    </w:p>
    <w:p w14:paraId="187BE499"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“Станколит” № 242</w:t>
      </w:r>
    </w:p>
    <w:p w14:paraId="63FD92E1"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Коломенский завод им. Куйбышева № 38 (6045, 29).</w:t>
      </w:r>
    </w:p>
    <w:p w14:paraId="11F89EA7"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EB29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декабря 1941 вышло Постановление ГКО № 1084 Об уменьшении количества станков, передаваемых с ХТЗ на завод № 221 НКВ. РГАНИР, Фонд ГКО, д. 18, лл. 40 (11012).</w:t>
      </w:r>
    </w:p>
    <w:p w14:paraId="1D95ED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BC8BDCF" w14:textId="77777777" w:rsidR="00261D58" w:rsidRPr="00640820" w:rsidRDefault="00261D5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декабря 1941</w:t>
      </w:r>
    </w:p>
    <w:p w14:paraId="7F265CA7" w14:textId="77777777" w:rsidR="00261D58" w:rsidRPr="00640820" w:rsidRDefault="00261D5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РГАЭ Фонд 8752 Опись 4 Дело 7 лист 131 – 133</w:t>
      </w:r>
    </w:p>
    <w:p w14:paraId="7DBD642E" w14:textId="77777777" w:rsidR="00261D58" w:rsidRPr="00640820" w:rsidRDefault="00261D5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ас. 31.XII. № 1136</w:t>
      </w:r>
    </w:p>
    <w:p w14:paraId="65B9401B" w14:textId="77777777" w:rsidR="00261D58" w:rsidRPr="00640820" w:rsidRDefault="00261D5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Секретно. </w:t>
      </w:r>
    </w:p>
    <w:p w14:paraId="0EDD2E58" w14:textId="77777777" w:rsidR="00261D58" w:rsidRPr="00640820" w:rsidRDefault="00261D5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"Снятие копий категорически воспрещается"</w:t>
      </w:r>
    </w:p>
    <w:p w14:paraId="564793F9" w14:textId="77777777" w:rsidR="00261D58" w:rsidRPr="00640820" w:rsidRDefault="00261D5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w:t>
      </w:r>
    </w:p>
    <w:p w14:paraId="1304A588" w14:textId="77777777" w:rsidR="00261D58" w:rsidRPr="00640820" w:rsidRDefault="00261D5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НАРОДНОМУ КОМИССАРИАТУ ТАНКОВОЙ ПРОМЫШЛЕННОСТИ СССР</w:t>
      </w:r>
    </w:p>
    <w:p w14:paraId="344EFF5D" w14:textId="77777777" w:rsidR="00261D58" w:rsidRPr="00640820" w:rsidRDefault="00261D5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112с</w:t>
      </w:r>
    </w:p>
    <w:p w14:paraId="55A76C06" w14:textId="77777777" w:rsidR="00261D58" w:rsidRPr="00640820" w:rsidRDefault="00261D5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 Тогузак</w:t>
      </w:r>
    </w:p>
    <w:p w14:paraId="12E808D6" w14:textId="77777777" w:rsidR="00261D58" w:rsidRPr="00640820" w:rsidRDefault="00261D5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декабря 1941 г.</w:t>
      </w:r>
    </w:p>
    <w:p w14:paraId="6AA7A75F" w14:textId="77777777" w:rsidR="00261D58" w:rsidRPr="00640820" w:rsidRDefault="00261D5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Личной проверкой установлено, что завод № 222 совершенно неудовлетворительно готовится к выпуску огнеметов. И.о. директора завода т. ФОКИН и главный инженер т. СЕРПКОВ не обеспечили своевременную переброску оборудования и его монтаж, вследствие чего до настоящего времени не пущено в эксплоатацию ни одного станка. </w:t>
      </w:r>
    </w:p>
    <w:p w14:paraId="3CCCD91B" w14:textId="77777777" w:rsidR="00261D58" w:rsidRPr="00640820" w:rsidRDefault="00261D5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Предоставленный в распоряжение завода местными советскими организациями транспорт в количестве 8-ми тракторов и 10-ти автомашин используется только на 50%. </w:t>
      </w:r>
    </w:p>
    <w:p w14:paraId="19B1A260" w14:textId="77777777" w:rsidR="00261D58" w:rsidRPr="00640820" w:rsidRDefault="00261D5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ОКСа т. СТЕФАНОВ и начальники цехов т.т. ПЫШКИН, НАХШИН, БРИТЧЕНКО, МОРОЗОВ не обеспечили подготовку помещения, фундаментов и электропроводки для немедленного пуска станков в работу. </w:t>
      </w:r>
    </w:p>
    <w:p w14:paraId="4EAEEDE1" w14:textId="77777777" w:rsidR="00261D58" w:rsidRPr="00640820" w:rsidRDefault="00261D5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заводе отсутствует техническая документация. Не подготовлены к производству рабочие чертежи, отсутствует рабочая технология, совершенно не разработаны чертежи на высокопроизводительные инструменты и приспособления. Гл. инженер т. СЕРПКОВ не привлек к этой работе конструкторов и технологов всего завода. </w:t>
      </w:r>
    </w:p>
    <w:p w14:paraId="27E8A2A3" w14:textId="77777777" w:rsidR="00261D58" w:rsidRPr="00640820" w:rsidRDefault="00261D5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Такое положение имеет место вследствие бездеятельности и.о. директора завода т. ФОКИНА и гл. инженера т. СЕРПКОВА, которые не приняли экстренных мер к перестройке и подготовке завода на выпуск огнеметов как основной продукции. </w:t>
      </w:r>
    </w:p>
    <w:p w14:paraId="22B40F26" w14:textId="77777777" w:rsidR="00261D58" w:rsidRPr="00640820" w:rsidRDefault="00261D5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целях немедленной ликвидации недопустимого отставания в пуске завода и обеспечения выпуска огнеметов в количестве 300 шт. ежемесячно, – ПРИКАЗЫВАЮ: </w:t>
      </w:r>
    </w:p>
    <w:p w14:paraId="70B5E6AA" w14:textId="77777777" w:rsidR="00261D58" w:rsidRPr="00640820" w:rsidRDefault="00261D5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И.о. директора завода т. ФОКИНУ и начальникам цехов т.т. ПЫШКИНУ, НАХШИНУ и БРИТЧЕНКО обеспечить в 5-дневный срок переброску оборудования со станции Тогузак на площадку завода и смонтировать его в следующие сроки: </w:t>
      </w:r>
    </w:p>
    <w:p w14:paraId="0D5EFB00" w14:textId="77777777" w:rsidR="00261D58" w:rsidRPr="00640820" w:rsidRDefault="00261D5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цеху № 2 (нач. т. Пышкин) ежедневно монтировать и сдавать в эксплоатацию, начиная с 29 декабря с.г. не менее 15 станков, закончив всю работу по вводу в эксплоатацию цеха к 3 января 1942 г. </w:t>
      </w:r>
    </w:p>
    <w:p w14:paraId="0FCFF091" w14:textId="77777777" w:rsidR="00261D58" w:rsidRPr="00640820" w:rsidRDefault="00261D5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цеху № 4 (и.о. нач. т. Нахшин) ежедневно монтировать и сдавать в эксплоатацию не менее 10 станков, начиная с30 декабря с.г., работу закончить к 5 января 1942 г. </w:t>
      </w:r>
    </w:p>
    <w:p w14:paraId="374C9BAE" w14:textId="77777777" w:rsidR="00261D58" w:rsidRPr="00640820" w:rsidRDefault="00261D5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 цеху № 1 (и.о. нач. т. Бритченко) ежедневно монтировать и сдавать в эксплоатацию не менее 10 станков, начиная с 29 декабря с.г., окончив всю работу по цеху к 3 января 1942 г. </w:t>
      </w:r>
    </w:p>
    <w:p w14:paraId="10FD341C" w14:textId="77777777" w:rsidR="00261D58" w:rsidRPr="00640820" w:rsidRDefault="00261D5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инструментальному цеху (нач. инструментального хозяйства т. Пузаков) смонтировать оборудование и сдать его в эксплоатацию не позднее 5 января 1942 г., организовав выпуск необходимого инструмента и приспособлений. </w:t>
      </w:r>
    </w:p>
    <w:p w14:paraId="5CC4DE1A" w14:textId="77777777" w:rsidR="00261D58" w:rsidRPr="00640820" w:rsidRDefault="00261D5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Главному энергетику завода т. КАЗАКОВУ обеспечить всю электропроводку и пуск станков в соответствии с графиком, указанным в п. 1 данного приказа. </w:t>
      </w:r>
    </w:p>
    <w:p w14:paraId="078973AD" w14:textId="77777777" w:rsidR="00261D58" w:rsidRPr="00640820" w:rsidRDefault="00261D5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Обязать и.о. директора завода т. ФОКИНА и главного инженера т. СЕРПКОВА обеспечить план января м-ца и ежесуточный график по выпуску огнеметов в строгом соответствии с приказом Народного Комиссара от 18.XII-41 г. за № 95сс. </w:t>
      </w:r>
    </w:p>
    <w:p w14:paraId="3F275A5C" w14:textId="77777777" w:rsidR="00261D58" w:rsidRPr="00640820" w:rsidRDefault="00261D5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Гл. инженеру т. СЕРПКОВУ обеспечить оформление всей технической документации не позднее 10 января 1942 г., до оформления и получения синек деталей огнемета обеспечить цеха технической документацией в виде беляков. </w:t>
      </w:r>
    </w:p>
    <w:p w14:paraId="63C26332" w14:textId="77777777" w:rsidR="00261D58" w:rsidRPr="00640820" w:rsidRDefault="00261D5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Начальнику Главснаба т. РОЗИНУ не позднее 3.I-42 г. обеспечить завод светочувствительной бумагой в количестве 150 рул., 100 листов картона и немедленно отгрузить из наличия 300 кгр. быстрореза и 80 кгр. победита. </w:t>
      </w:r>
    </w:p>
    <w:p w14:paraId="336464F5" w14:textId="77777777" w:rsidR="00261D58" w:rsidRPr="00640820" w:rsidRDefault="00261D5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Заместителю директора Кировского завода т. МАХОНИНУ поставить заводу № 222 для производства огнеметов поковки и литье в январе и феврале 1942 г., согласно ведомости (приложение № 1). Поставку обеспечить ежедекадно, комплектно, равными партиями. И.о. директора завода № 222 т. ФОКИНУ в 3-х дневный срок обеспечить Кировский завод чертежами на вышеуказанные полуфабрикаты. </w:t>
      </w:r>
    </w:p>
    <w:p w14:paraId="2D81E525" w14:textId="77777777" w:rsidR="00261D58" w:rsidRPr="00640820" w:rsidRDefault="00261D5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Обязать начальника Главснаба т. РОЗИНА обеспечить размещение заказов и их реализацию на материалы и покупные детали по чертежам завода. </w:t>
      </w:r>
    </w:p>
    <w:p w14:paraId="6B40839F" w14:textId="77777777" w:rsidR="00261D58" w:rsidRPr="00640820" w:rsidRDefault="00261D5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Обязать и.о. директора т. ФОКИНА оборудовать и пустить в эксплоатацию литейный цех на 1000 тонн в год и организовать отливку деталей огнемета из ковкого чугуна. Срок 15 февраля 1942 г. </w:t>
      </w:r>
    </w:p>
    <w:p w14:paraId="25065A08" w14:textId="77777777" w:rsidR="00261D58" w:rsidRPr="00640820" w:rsidRDefault="00261D5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Для усовершенствования и технологического упрощения конструкции огнемета АТО-41, а также разработки конструкции огнеметов новых моделей обязать гл. инженера т. СЕРПКОВА организовать на заводе № 222 экспериментальную мастерскую, укомплектовав ее соответствующим оборудованием и людьми. Экспериментальную мастерскую подчинить непосредственно главному конструктору. Срок сдачи экспериментальной мастерской в эксплоатацию 15 января 1942 г. </w:t>
      </w:r>
    </w:p>
    <w:p w14:paraId="7FB8B4B4" w14:textId="77777777" w:rsidR="00261D58" w:rsidRPr="00640820" w:rsidRDefault="00261D5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И.о. директора завода т. ФОКИНУ и начальникам цехов №№ 1, 2, 4 ежедневно мне доносить телеграфно о ходе реализации данного приказа. </w:t>
      </w:r>
    </w:p>
    <w:p w14:paraId="6BF94863" w14:textId="77777777" w:rsidR="00261D58" w:rsidRPr="00640820" w:rsidRDefault="00261D5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Зам. директора завода т. ДЕЛЬМАЧИНСКОМУ организовать бригаду рабочих по ремонту и восстановлению жилфонда и принять меры к расселению рабочих в течение 3-х дней. </w:t>
      </w:r>
    </w:p>
    <w:p w14:paraId="555AE67D" w14:textId="77777777" w:rsidR="00261D58" w:rsidRPr="00640820" w:rsidRDefault="00261D5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Организовать при заводе детский сад на 50 мест, для чего начальнику отдела труда и зарплаты тов. КРУПЫШЕВУ выделить необходимые средства и соответствующие фонды. </w:t>
      </w:r>
    </w:p>
    <w:p w14:paraId="1B49323D" w14:textId="77777777" w:rsidR="00261D58" w:rsidRPr="00640820" w:rsidRDefault="00261D5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В целях создания жилищного фонда на заводе и приведения всех жилищ в порядок, организовать до 5 января 1942 г. Жилищно-коммунальный отдел завода, действующий на хозрасчете. </w:t>
      </w:r>
    </w:p>
    <w:p w14:paraId="6219060E" w14:textId="77777777" w:rsidR="00261D58" w:rsidRPr="00640820" w:rsidRDefault="00261D5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Предупредить и.о. директора завода т. ФОКИНА и главного инженера т. СЕРПКОВА, что если ими не будут приняты меры к обеспечению своевременного пуска завода и выполнению задания по выпуску огнеметов, они будут сняты с работы и отданы под суд по законам военного времени. </w:t>
      </w:r>
    </w:p>
    <w:p w14:paraId="750A3441" w14:textId="77777777" w:rsidR="00261D58" w:rsidRPr="00640820" w:rsidRDefault="00261D5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И.о. директора завода т. ФОКИНУ созвать хозяйственный актив завода, на котором проработать данный приказ и наметить конкретные мероприятия по обеспечению выпуска огнеметов. </w:t>
      </w:r>
    </w:p>
    <w:p w14:paraId="23839468" w14:textId="77777777" w:rsidR="00261D58" w:rsidRPr="00640820" w:rsidRDefault="00261D5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Контроль за выполнением данного приказа возложить на зам. начальника Производственного отдела НКТП т. ФОМИНА.</w:t>
      </w:r>
    </w:p>
    <w:p w14:paraId="09E117C0" w14:textId="77777777" w:rsidR="00261D58" w:rsidRPr="00640820" w:rsidRDefault="00261D5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п.п. ЗАМ. НАРОДНОГО КОМИССАРА ТАНКОВОЙ ПРОМЫШЛЕННОСТИ СССР</w:t>
      </w:r>
    </w:p>
    <w:p w14:paraId="1B58DC8C" w14:textId="77777777" w:rsidR="00261D58" w:rsidRPr="00640820" w:rsidRDefault="00261D5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ЕФРЕМОВ</w:t>
      </w:r>
    </w:p>
    <w:p w14:paraId="3B119863" w14:textId="77777777" w:rsidR="00261D58" w:rsidRPr="00640820" w:rsidRDefault="00261D5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Отп. 12 экз. </w:t>
      </w:r>
    </w:p>
    <w:p w14:paraId="2D0FEA47" w14:textId="77777777" w:rsidR="00261D58" w:rsidRPr="00640820" w:rsidRDefault="00261D5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Верно: подпись. печать НКТП СССР</w:t>
      </w:r>
    </w:p>
    <w:p w14:paraId="569B773D" w14:textId="77777777" w:rsidR="00261D58" w:rsidRPr="00640820" w:rsidRDefault="00261D5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(18202).</w:t>
      </w:r>
    </w:p>
    <w:p w14:paraId="253A4A03" w14:textId="77777777" w:rsidR="00261D58" w:rsidRPr="00640820" w:rsidRDefault="00261D58" w:rsidP="00640820">
      <w:pPr>
        <w:spacing w:after="0" w:line="240" w:lineRule="auto"/>
        <w:jc w:val="both"/>
        <w:rPr>
          <w:rFonts w:ascii="Times New Roman" w:hAnsi="Times New Roman"/>
          <w:color w:val="000000" w:themeColor="text1"/>
          <w:sz w:val="16"/>
          <w:szCs w:val="16"/>
        </w:rPr>
      </w:pPr>
    </w:p>
    <w:p w14:paraId="483609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декабря 1941 вышло Постановление ГКО № 1085 Об увеличении производства 76 мм осколочных и осколочно-фугасных снарядов. РГАНИР, Фонд ГКО, д. 18, лл. 41-44, 45-52 (11012).</w:t>
      </w:r>
    </w:p>
    <w:p w14:paraId="5C1033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48376A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декабря 1941 вышло Распоряжение ГКО № 1086 О снаряжении опытной партии 82 мм мин зимней зажигательной смесью КС. РГАНИР, Фонд ГКО, д. 18, лл. 53 (11012).</w:t>
      </w:r>
    </w:p>
    <w:p w14:paraId="726AD0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6CC0DEC"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5D3EBC1F"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AC3E39A" w14:textId="77777777" w:rsidR="00E915DA" w:rsidRPr="00640820" w:rsidRDefault="00E915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декабря в 1941 году утреннее сообщение Совинформбюро:</w:t>
      </w:r>
    </w:p>
    <w:p w14:paraId="57FF6BD4" w14:textId="77777777" w:rsidR="00E915DA" w:rsidRPr="00640820" w:rsidRDefault="00E915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29 декабря наши войска вели бои с противником на всех фронтах.</w:t>
      </w:r>
    </w:p>
    <w:p w14:paraId="7CD87888" w14:textId="77777777" w:rsidR="00E915DA" w:rsidRPr="00640820" w:rsidRDefault="00E915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Наша танковая часть, действующая на одном из участков Западного фронта, за 2 дня выбила противника из 18 населённых пунктов. Захвачены трофеи: танков — 30, автомашин — 250, орудий — 15, пулемётов — 7. На другом участке фронта подразделение командира Сильченко в боях за деревню Р. отбило 5 атак противника. Перейдя затем в контратаку, наши бойцы уничтожили 2 пехотных роты немцев.</w:t>
      </w:r>
    </w:p>
    <w:p w14:paraId="1794F56A" w14:textId="77777777" w:rsidR="00E915DA" w:rsidRPr="00640820" w:rsidRDefault="00E915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бойцы в бою на одном из участков Ленинградского фронта захватили 5.450 немецких снарядов, 700 гранат, 2 миномёта, подготовленный к вылету самолёт противника и истребили 400 немецких солдат и офицеров.</w:t>
      </w:r>
    </w:p>
    <w:p w14:paraId="4897AEA9" w14:textId="77777777" w:rsidR="00E915DA" w:rsidRPr="00640820" w:rsidRDefault="00E915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Наши лётчики, действующие на Южном фронте, за один день боевых действий уничтожили 42 грузовых и 2 легковых автомашины, 8 танков, 10 полевых орудий, 7 зенитных орудий, 1 зенитный пулемёт, до 70 подвод с грузами и истребили до 1000 человек пехоты противника.</w:t>
      </w:r>
    </w:p>
    <w:p w14:paraId="7E146A59" w14:textId="77777777" w:rsidR="00E915DA" w:rsidRPr="00640820" w:rsidRDefault="00E915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Красноармеец Аванесов в сражении у города К. уничтожил гранатами расчёт немецкого противотанкового орудия, истребил огнём автомата 18 вражеских солдат и, ворвавшись в штаб немецкого батальона, застрелил фашистского офицера. Истребив в одном бою 23 немецких захватчиков, тов. Аванесов доставил командованию ценные сведения о противнике, две офицерские сумки с оперативными документами и пять немецких автоматов.</w:t>
      </w:r>
    </w:p>
    <w:p w14:paraId="7040DA2E" w14:textId="77777777" w:rsidR="00E915DA" w:rsidRPr="00640820" w:rsidRDefault="00E915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Взятый на днях в плен ефрейтор 3 батареи зенитного дивизиона дивизии СС «Рейх» Курт Фаль рассказывает: «В начале войны наша дивизия насчитывала 14.000 человек. Она трижды пополнялась и получила ещё 7.500 человек. К моменту отступления от Москвы в ротах оказалось по 20-25 человек, а в дивизии не более 3.000 человек. Таким образом, дивизия «Рейх» за время войны потеряла убитыми, ранеными и пропавшими без вести около 18.000 солдат и офицеров. Мы не смогли сдержать контрнаступления русских потому, что были обескровлены, и ещё потому, что дух армии упал. Война надоела, все хотят вернуться домой. Дисциплина в армии заметно расшаталась ещё до отступления, а во время отступления не было вообще никакого порядка. Никто никого не слушался. Многие офицеры бежали на своих машинах. Среди солдат началась паника. Мы бросили почти все машины. Часть солдат бросала даже оружие. Обмороженные и раненые просили взять их с собой, но никто не обращал на них внимания. Наше командование уверяет, что это есть стратегическое отступление. Однако большинство солдат понимает, что при стратегическом отступлении не бросают машин, орудий и людей».</w:t>
      </w:r>
    </w:p>
    <w:p w14:paraId="02FF0EAD" w14:textId="77777777" w:rsidR="00E915DA" w:rsidRPr="00640820" w:rsidRDefault="00E915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Ниже публикуется акт о злодеяниях немецко-фашистских извергов в селе Покровском, Ново-Петровского района, Московской области:</w:t>
      </w:r>
    </w:p>
    <w:p w14:paraId="0DE2AEFC" w14:textId="77777777" w:rsidR="00E915DA" w:rsidRPr="00640820" w:rsidRDefault="00E915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«Акт</w:t>
      </w:r>
    </w:p>
    <w:p w14:paraId="4C5FAC80" w14:textId="77777777" w:rsidR="00E915DA" w:rsidRPr="00640820" w:rsidRDefault="00E915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ноября немцы ворвались в село Покровское, опустошили и разграбили всё хозяйство дома инвалидов № 26. Фашисты забрали всё продовольствие, все запасы картофеля, масла и хлеба, разорили ульи и обрекли всех инвалидов на голодную смерть. Две недели хозяйничали немцы в селе Покровском. За это время из 500 жильцов дома инвалидов 250 человек умерло голодной смертью. 17-летнего инвалида Николая Мороза и инвалида Григория Тарасова фашисты убили. Ненасытину Андрею они разрубили топором шею за то, что он отказался колоть для них дрова. Сергею Никитину палачи размозжили прикладом голову. Немецко-фашистские изверги выбросили на улицу всех инвалидов, которые не могли самостоятельно передвигаться. Все они окоченели и погибли от холода.</w:t>
      </w:r>
    </w:p>
    <w:p w14:paraId="0D6988C3" w14:textId="77777777" w:rsidR="00E915DA" w:rsidRPr="00640820" w:rsidRDefault="00E915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Настоящий акт подписали инвалиды: Бойко Михаил, Гурко Алексей, Кулешев Алексей, Рябов Пётр, Зуев Алексей» (14875).</w:t>
      </w:r>
    </w:p>
    <w:p w14:paraId="24B067A6" w14:textId="77777777" w:rsidR="00E915DA" w:rsidRPr="00640820" w:rsidRDefault="00E915DA" w:rsidP="00640820">
      <w:pPr>
        <w:spacing w:after="0" w:line="240" w:lineRule="auto"/>
        <w:jc w:val="both"/>
        <w:rPr>
          <w:rFonts w:ascii="Times New Roman" w:hAnsi="Times New Roman"/>
          <w:color w:val="000000" w:themeColor="text1"/>
          <w:sz w:val="16"/>
          <w:szCs w:val="16"/>
        </w:rPr>
      </w:pPr>
    </w:p>
    <w:p w14:paraId="1E8517BC" w14:textId="77777777" w:rsidR="00E915DA" w:rsidRPr="00640820" w:rsidRDefault="00E915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декабря в 1941 году вечернее сообщение Совинформбюро:</w:t>
      </w:r>
    </w:p>
    <w:p w14:paraId="72EC4543" w14:textId="77777777" w:rsidR="00E915DA" w:rsidRPr="00640820" w:rsidRDefault="00E915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29 декабря наши войска продолжали вести бои с противником на всех фронтах. На ряде участков наши войска, преодолевая попытки немецких войск закрепиться на новых рубежах, продолжали продвигаться вперёд и заняли ряд населённых пунктов. В ходе боёв противнику нанесён большой урон в технике и живой силе.</w:t>
      </w:r>
    </w:p>
    <w:p w14:paraId="6D29FD7E" w14:textId="77777777" w:rsidR="00E915DA" w:rsidRPr="00640820" w:rsidRDefault="00E915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28 декабря уничтожено 26 немецких самолётов. Наши потери — 6 самолётов.</w:t>
      </w:r>
    </w:p>
    <w:p w14:paraId="7EEEC92D" w14:textId="77777777" w:rsidR="00E915DA" w:rsidRPr="00640820" w:rsidRDefault="00E915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28 декабря наша авиация уничтожила 34 немецких танка, более 1000 автомашин с войсками и грузами, 35 полевых орудий с прислугой, 13 зенитных точек, свыше 280 повозок с боеприпасами, 3 автоцистерны с горючим, сожгла 7 железнодорожных эшелонов, разрушила в ряде мест железнодорожное полотно, взорвала 2 моста и рассеяла до 3 полков пехоты противника.</w:t>
      </w:r>
    </w:p>
    <w:p w14:paraId="29A8ADAC" w14:textId="77777777" w:rsidR="00E915DA" w:rsidRPr="00640820" w:rsidRDefault="00E915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части, действующие на одном из участков Западного фронта, за два дня боёв выбили противника из 16 населённых пунктов и захватили 5 немецких орудий, 59 пулемётов, 15 автомашин и много боеприпасов. На другом участке фронта наши бойцы освободили 8 населённых пунктов и захватили: орудий — 7, пулемётов — 37, автомашин — 33, мотоциклов — 28, радиостанций — 2 и автоцистерн с горючим — 2.</w:t>
      </w:r>
    </w:p>
    <w:p w14:paraId="471B6FBC" w14:textId="77777777" w:rsidR="00E915DA" w:rsidRPr="00640820" w:rsidRDefault="00E915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Бойцы тов. Черепанова совершили на одном из участков Ленинградского фронта внезапный налёт на позиции противника и уничтожили вражескую миномётную батарею, взорвали склад с боеприпасами и истребили 240 солдат и офицеров противника. В бою отличился красноармеец Авдеев. Заметив брошенное немцами орудие, он повернул его в сторону противника и прямой наводкой расстрелял 20 немцев.</w:t>
      </w:r>
    </w:p>
    <w:p w14:paraId="029A4762" w14:textId="77777777" w:rsidR="00E915DA" w:rsidRPr="00640820" w:rsidRDefault="00E915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Сержант Сергеев в бою за деревню П. заколол штыком немецкого пулемётчика и захватил его ручной пулемёт. Огнём трофейного пулемёта отважный сержант уничтожил за один день 20 немецких солдат и офицеров. Красноармеец-снайпер тов. Карташов в бою за деревню Б. истребил 15 вражеских солдат.</w:t>
      </w:r>
    </w:p>
    <w:p w14:paraId="73B12409" w14:textId="77777777" w:rsidR="00E915DA" w:rsidRPr="00640820" w:rsidRDefault="00E915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Советские партизаны наносят немецким оккупантам большой урон. Это всё чаще вынуждено признавать и само немецкое командование. Ниже публикуются выдержки из приказа командующего 4 германской армией генерала фон Клюге: «Железная дорога является жизненным нервом для передвижения армии. Зимой она получает особенное значение по сравнению с гужевыми дорогами. Как и следовало ожидать, русские партизаны направили свои действия против железнодорожных путей в районе боёв и в тылу нашей армии. Так, 5/ХI на участке Малоярославец — Башкино были взорваны рельсы во многих местах, и 6/ХI на перегоне Киров — Вязьма взорваны стрелки. На этом перегоне было прервано движение для больших воинских частей... Всеми средствами следует препятствовать гражданским лицам двигаться по железнодорожным путям пешком или в вагонах. Особенно нужно остерегаться повсюду снующих мальчишек советской организации молодёжи «пионеров». Всякий, кто будет обнаружен на полотне железной дороги, подлежит расстрелу на месте. Во всех этих случаях действовать беспощадно».</w:t>
      </w:r>
    </w:p>
    <w:p w14:paraId="6DC05844" w14:textId="77777777" w:rsidR="00E915DA" w:rsidRPr="00640820" w:rsidRDefault="00E915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 убитого немецкого солдата 6-й роты 185 пехотного полка И.Вольфа найдено письмо к жене, в котором говорится: «Милая Анна. Если можно, пришли мне бритву и полотенце. Сегодня мы бежали из населённого пункта, и я, спасая себя, оставил свои вещи. Все мои знакомые ранены или убиты. Многие отморозили себе носы и уши. Я отморозил на ногах большие пальцы. Бельё грязное. Вши заедают».</w:t>
      </w:r>
    </w:p>
    <w:p w14:paraId="0707284F" w14:textId="77777777" w:rsidR="00E915DA" w:rsidRPr="00640820" w:rsidRDefault="00E915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деревне Гуси, Калининской области, фашисты ворвались в дом колхозника Савельева и потребовали от него сообщить местонахождение партизанского отряда. Советский патриот отказался выполнить это требование гитлеровцев. Тогда изверги выкололи тов. Савельеву глаза, изрубили его и всех членов его семьи на куски.»</w:t>
      </w:r>
    </w:p>
    <w:p w14:paraId="38A21F10" w14:textId="77777777" w:rsidR="00E915DA" w:rsidRPr="00640820" w:rsidRDefault="00E915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последний час.</w:t>
      </w:r>
    </w:p>
    <w:p w14:paraId="3E8E83C7" w14:textId="77777777" w:rsidR="00E915DA" w:rsidRPr="00640820" w:rsidRDefault="00E915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войска заняли Керчь и Феодосию.</w:t>
      </w:r>
    </w:p>
    <w:p w14:paraId="7C623066" w14:textId="77777777" w:rsidR="00E915DA" w:rsidRPr="00640820" w:rsidRDefault="00E915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и 30 декабря группа войск Кавказского фронта, во взаимодействии с военно-морскими силами Черноморского флота, высадила десант на Крымском полуострове и после упорных боёв заняла город и крепость Керчь и город Феодосия.</w:t>
      </w:r>
    </w:p>
    <w:p w14:paraId="5DE7A15A" w14:textId="77777777" w:rsidR="00E915DA" w:rsidRPr="00640820" w:rsidRDefault="00E915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занятии Керчи и Феодосии особенно отличились войска генерала Первушина, генерала Львова и группа военно-морских сил во главе с капитаном первого ранга Басистым.</w:t>
      </w:r>
    </w:p>
    <w:p w14:paraId="1A25F3E8" w14:textId="77777777" w:rsidR="00E915DA" w:rsidRPr="00640820" w:rsidRDefault="00E915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Противник на обоих участках отходит, преследуемый нашими частями. Захвачены трофеи, которые подсчитываются.» (14875).</w:t>
      </w:r>
    </w:p>
    <w:p w14:paraId="3D0AC893" w14:textId="77777777" w:rsidR="00E915DA" w:rsidRPr="00640820" w:rsidRDefault="00E915DA" w:rsidP="00640820">
      <w:pPr>
        <w:spacing w:after="0" w:line="240" w:lineRule="auto"/>
        <w:jc w:val="both"/>
        <w:rPr>
          <w:rFonts w:ascii="Times New Roman" w:hAnsi="Times New Roman"/>
          <w:color w:val="000000" w:themeColor="text1"/>
          <w:sz w:val="16"/>
          <w:szCs w:val="16"/>
        </w:rPr>
      </w:pPr>
    </w:p>
    <w:p w14:paraId="61BD7934" w14:textId="77777777" w:rsidR="00E915DA" w:rsidRPr="00640820" w:rsidRDefault="00E915DA"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декабря в 1941 году утром в районе Феодосии началась высадка десантов 44-й армии под командованием генерал-майора А.Н.Первушина, наносившей главный удар по противнику на Керченском полуострове. Овладев Феодосией, войска 44-й армии начали наступление в северном направлении (14875).</w:t>
      </w:r>
    </w:p>
    <w:p w14:paraId="3CDFBCDF" w14:textId="77777777" w:rsidR="00E915DA" w:rsidRPr="00640820" w:rsidRDefault="00E915DA" w:rsidP="00640820">
      <w:pPr>
        <w:spacing w:after="0" w:line="240" w:lineRule="auto"/>
        <w:jc w:val="both"/>
        <w:rPr>
          <w:rFonts w:ascii="Times New Roman" w:hAnsi="Times New Roman"/>
          <w:color w:val="000000" w:themeColor="text1"/>
          <w:sz w:val="16"/>
          <w:szCs w:val="16"/>
        </w:rPr>
      </w:pPr>
    </w:p>
    <w:p w14:paraId="6E5D8FF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December 29, 1941: In the eastern Crimea, German troops of Heeresgruppe B (von Schobert) evacuate Kerch and Theodosia (3819).</w:t>
      </w:r>
    </w:p>
    <w:p w14:paraId="16684E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3A9543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декабря 1941 начали высадку в Феодосии (512,172) и отбили Керчь и Феодосию (2260).</w:t>
      </w:r>
    </w:p>
    <w:p w14:paraId="0B4B5D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54202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декабря 1941 согласно сообщению Совинформбюро за один день а уничтожила 44 танка, свыше 1070 а/м, 43 орудия, 320 повозок, 18 цистерны, 8 эшелонов, четыре полка (438,830).</w:t>
      </w:r>
    </w:p>
    <w:p w14:paraId="3054A4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A31FA6B"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декабря 1941 командование немецкой армии распорядилось создать Туркестанский легион из представителей азиатских народов СССР (4962).</w:t>
      </w:r>
    </w:p>
    <w:p w14:paraId="2A60C007"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B38842" w14:textId="77777777" w:rsidR="00E05DAF"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6E7F4343" w14:textId="77777777" w:rsidR="00E05DAF" w:rsidRPr="00640820" w:rsidRDefault="00E05DAF"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34441C6"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декабря в 1941 году Президиум Верховного Совета СССР принял Указ "О военном налоге" (вводился с января 1942 г. и взимался со всех граждан СССР, достигших 18 лет; освобождались от налога военнослужащие и члены их семей, получающие пособие от государствава, мужчины 60 лет и старше, женщины 55 лет и старше, а также пенсионеры, не имеющие других источников дохода; взимание военного налога позволило мобилизовать в доходы бюджета за годы войны свыше 72,1 млрд руб.) (14875).</w:t>
      </w:r>
    </w:p>
    <w:p w14:paraId="0C9C1A15" w14:textId="77777777" w:rsidR="00E05DAF" w:rsidRPr="00640820" w:rsidRDefault="00E05DAF" w:rsidP="00640820">
      <w:pPr>
        <w:spacing w:after="0" w:line="240" w:lineRule="auto"/>
        <w:jc w:val="both"/>
        <w:rPr>
          <w:rFonts w:ascii="Times New Roman" w:hAnsi="Times New Roman"/>
          <w:color w:val="000000" w:themeColor="text1"/>
          <w:sz w:val="16"/>
          <w:szCs w:val="16"/>
        </w:rPr>
      </w:pPr>
    </w:p>
    <w:p w14:paraId="5BA1403D"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декабря в 1941 году СНК СССР принял постановление "О восстановлении угольных шахт в Подмосковном бассейне". Это было первое постановление о возрождении промышленных предприятий, разрушенных немецкими оккупантами (14875).</w:t>
      </w:r>
    </w:p>
    <w:p w14:paraId="542A4F3B" w14:textId="77777777" w:rsidR="00E05DAF" w:rsidRPr="00640820" w:rsidRDefault="00E05DAF" w:rsidP="00640820">
      <w:pPr>
        <w:spacing w:after="0" w:line="240" w:lineRule="auto"/>
        <w:jc w:val="both"/>
        <w:rPr>
          <w:rFonts w:ascii="Times New Roman" w:hAnsi="Times New Roman"/>
          <w:color w:val="000000" w:themeColor="text1"/>
          <w:sz w:val="16"/>
          <w:szCs w:val="16"/>
        </w:rPr>
      </w:pPr>
    </w:p>
    <w:p w14:paraId="762E79ED" w14:textId="77777777" w:rsidR="009B3159" w:rsidRPr="00640820" w:rsidRDefault="009B315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29 декабря 1941 г. Указом Президиума Верховного Совета СССР был введен начиная с 1942 г. военный налог (распространявшийся как на городское, так и на сельское население) с одновременной отменой временной надбавки к сельскохозяйственному и подоходному налогам. Круг лиц, освобождаемых от военного налога, был значительно уже, чем по подоходному и сельскохозяйственному налогам. В частности, военнослужащие тыловых частей и учреждений, освобожденные от подоходного и сельскохозяйственного налогов, платили военный налог. Это обусловило крупные поступления в бюджет. Так, в 1944 г. из 37,0 млрд. руб., поступивших </w:t>
      </w:r>
      <w:r w:rsidRPr="00640820">
        <w:rPr>
          <w:rFonts w:ascii="Times New Roman" w:hAnsi="Times New Roman"/>
          <w:color w:val="000000" w:themeColor="text1"/>
          <w:sz w:val="16"/>
          <w:szCs w:val="16"/>
        </w:rPr>
        <w:lastRenderedPageBreak/>
        <w:t>по государственным налогам с населения, военный налог дал 20,7 млрд. руб. Всего за 1942 - 1945 гг. по военному налогу в государственный бюджет поступило 72,1 млрд. руб. (18390).</w:t>
      </w:r>
    </w:p>
    <w:p w14:paraId="70085DB9" w14:textId="77777777" w:rsidR="009B3159" w:rsidRPr="00640820" w:rsidRDefault="009B3159" w:rsidP="00640820">
      <w:pPr>
        <w:spacing w:after="0" w:line="240" w:lineRule="auto"/>
        <w:jc w:val="both"/>
        <w:rPr>
          <w:rFonts w:ascii="Times New Roman" w:hAnsi="Times New Roman"/>
          <w:color w:val="000000" w:themeColor="text1"/>
          <w:sz w:val="16"/>
          <w:szCs w:val="16"/>
        </w:rPr>
      </w:pPr>
    </w:p>
    <w:p w14:paraId="0C008051"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0A474B84"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C28C1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30 декабря 1941 по 6 марта 1942 проходили гос. испытания ЛаГГ-3 на лыжах (796,8).</w:t>
      </w:r>
    </w:p>
    <w:p w14:paraId="728A73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48BC7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декабря 1941 г. по приказу № 1196с при технической помощи заводов № 34 и № 21 при СКО завода № 469 (ГС Завод № 469 ИМ. М.М. Громова НКАП, Фабрика «Волокно», Парашютная фабрика № 2 им. М.М. Громова НКЛП, Солнечногорский механический завод, Горьковский агрегатный завод, НПО «Теплообменник», ОАО «Производственно-конструкторское объединение (ПКО) «Теплообменник» ФАП /г. Солнечногорск Московской обл. ст. Подсолнечная;  г. Горький Сталинский р-н, 24-я линия/ /603950  г. Нижний Новгород ГСП-1376, пр. Ленина, 93 тел. (8312) 55-01-62, 58-99-68/) было организовано ОКБ для создания новых образцов радиаторов. И.О. гл. конструктора назначен начальник СКО  Г.А. Мосолов. Из-за затянувшейся реализации приказа и ввиду достаточности опытных работ по данной тематике в ОКБ завода № 124 и на заводе № 459, по приказу № 600с от 7.08.1942 г. организация ОКБ была отменена. СКО оставлен (11982).</w:t>
      </w:r>
    </w:p>
    <w:p w14:paraId="416C32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ECC9CD7"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3AA9D76C"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0BA12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30 декабря 1941 г. на новом месте заводу № 398, эвакуированному из Москвы на завод (Завод № 42 им. Масленникова ВСНХ, Самарский трубочный завод им. тов. Масленникова ВСНХ, ГС завод № 42 НКОП, ГС Ордена Трудового Красного Знамени завод № 42 им. Масленникова НКБ, МСХМ, МОП, п/я 59, Государственное ПО «Завод им. Масленникова» (ЗИМ) Росбоеприпаса, ОАО «НПП «Завод им. Масленникова» / г. Самара,  г. Куйбышев 19 п/я 59 «Арматура» (1943 г.)/ /443068  г. Самара ул. Ново-Садовая, 106 тел. 35-30-13/) восстановлено производство трубок ВМ-7, ВМ-16 - по 60 тыс. шт. в год.</w:t>
      </w:r>
    </w:p>
    <w:p w14:paraId="1D6BDC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завода (1943 г.): цехи: основные: механические, сборочные, снаряжательные, прокатный, штамповочный, черного литья, цветного литья; отделы: 2-й - мобилизационный. Строились в 1943 г. - гальванический цех. Количество оборудования (металлорежущего) - 6343 ед.</w:t>
      </w:r>
    </w:p>
    <w:p w14:paraId="4DF9F0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1952 г. завод № 42 - в ведении МСХМ.</w:t>
      </w:r>
    </w:p>
    <w:p w14:paraId="087F18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середине 1950-х  г. резко увеличен выпуск часов. В 1955-59 г. освоен выпуск конечных выключателей, реле времени, счетчиков импульсов, дистанционных аппаратов, запчастей к сельхозтехнике. В начале 1970-х  г. создано электровакуумное и радиотехническое производства.</w:t>
      </w:r>
    </w:p>
    <w:p w14:paraId="0EEC39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1990-х  г. предприятие признано банкротом, в 03.1998 г. введено внешнее управление, в 05.2004 г.- конкурсное производство. Предприятие разделено на восемь дочерних ОАО, самое крупное из которых (численность- 1600 чел.; гендиректор- А.С. Правдин) выполняет оборонные заказы.</w:t>
      </w:r>
    </w:p>
    <w:p w14:paraId="176AAC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решению правительства № 22-р от 9.01.2004 г. и Указу Президента РФ № 1009 от 4.08.2004 г. вошло в перечень стратегических оборонных предприятий.</w:t>
      </w:r>
    </w:p>
    <w:p w14:paraId="7260DA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(1943 г.): производственная- 81.417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вспомогательная- 30.430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08A249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(конец 1916 г.)- 16.820 чел., (12.1942 г.)- 22844 чел., (конец 1980-х)- более 35 тыс. чел.</w:t>
      </w:r>
    </w:p>
    <w:p w14:paraId="54F63B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(1916 г.)- Э.К. Гермониус. Директор (-06-21.09.1937 г.)- А.И. Плодухин, (21.09.1937-38 г.-)- С.И. Мошкин, (04.1943 г.)- Н.И. Белоглазов, (11.1943 г.)- И.А. Уваров, (ВОВ)- П.В. Родионов. Гендиректор (1980-е)- Е.И. Бутузов, А.В. Курбатов. Конкурсный управляющий (2005 г.)- М.Б. Кудачкин.</w:t>
      </w:r>
    </w:p>
    <w:p w14:paraId="054CEB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Помощник начальника (1916 г.)- Б.Л. Сурвилло. Зам. директора (-10.06.1937 г.)- Н.Е. Шкадрецов, (10.06- 21.09.1937 г.)- И.Д. Скловский, (21.09.1937 г.-)- А.А. Яковлев. Помощник директора по найму и увольнению (- 15.12.1937 г.)- И.А. Вавилов, (15.12.1937-09.1938 г.-)- И.Е. Лейн.</w:t>
      </w:r>
    </w:p>
    <w:p w14:paraId="72F9763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Технический директор (10.06-21.09.1937 г.)- И.Д. Скловский.</w:t>
      </w:r>
    </w:p>
    <w:p w14:paraId="673891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(10.06-21.09.1937 г.)- И. Д. Скловский, (21.09.1937 г.-)- А.А. Яковлев. Гл. инженер по часовому производству (-16.09.1937 г.)- Н.Е. Шкадрецов, (16.09.1937 г.-)- И.Я. Елисеев.</w:t>
      </w:r>
    </w:p>
    <w:p w14:paraId="003258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производства (1941 г.)- П.В. Родионов. Начальник часового производства (3.10-20.12.1937 г.)- А. Г. Коновалов, (02.1938 г.)- Н.В. Каничев.</w:t>
      </w:r>
    </w:p>
    <w:p w14:paraId="266BBD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2-го (04.1943 г.)- Евтеев.</w:t>
      </w:r>
    </w:p>
    <w:p w14:paraId="0E44993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Производство: трубки дистанционные: Т-5, Т-6, ВМ-16 (1943); взрыватели: для авиабомб АВ-1, АГДТ для РС-82, Д-1, ТМ-24 (1943), </w:t>
      </w:r>
      <w:r w:rsidRPr="00640820">
        <w:rPr>
          <w:rFonts w:ascii="Times New Roman" w:hAnsi="Times New Roman"/>
          <w:color w:val="000000" w:themeColor="text1"/>
          <w:sz w:val="16"/>
          <w:szCs w:val="16"/>
          <w:lang w:val="en-US"/>
        </w:rPr>
        <w:t>BMP</w:t>
      </w:r>
      <w:r w:rsidRPr="00640820">
        <w:rPr>
          <w:rFonts w:ascii="Times New Roman" w:hAnsi="Times New Roman"/>
          <w:color w:val="000000" w:themeColor="text1"/>
          <w:sz w:val="16"/>
          <w:szCs w:val="16"/>
        </w:rPr>
        <w:t>, ВМТР для ~ТРС; капсюльные втулки № 13, В-024; ГТК-2, ПП-3,182-А, В-179, К- 3 (1943); запалы: ВКШ (-1939-43-), Ковешникова (1943);</w:t>
      </w:r>
      <w:r w:rsidRPr="00640820">
        <w:rPr>
          <w:rFonts w:ascii="Times New Roman" w:hAnsi="Times New Roman"/>
          <w:color w:val="000000" w:themeColor="text1"/>
          <w:sz w:val="16"/>
          <w:szCs w:val="16"/>
          <w:vertAlign w:val="superscript"/>
        </w:rPr>
        <w:t>132</w:t>
      </w:r>
      <w:r w:rsidRPr="00640820">
        <w:rPr>
          <w:rFonts w:ascii="Times New Roman" w:hAnsi="Times New Roman"/>
          <w:color w:val="000000" w:themeColor="text1"/>
          <w:sz w:val="16"/>
          <w:szCs w:val="16"/>
        </w:rPr>
        <w:t xml:space="preserve"> автоаэровентили (1946); фотозатворы ФЗ-14, ФЗА-18 (1960-е);</w:t>
      </w:r>
      <w:r w:rsidRPr="00640820">
        <w:rPr>
          <w:rFonts w:ascii="Times New Roman" w:hAnsi="Times New Roman"/>
          <w:color w:val="000000" w:themeColor="text1"/>
          <w:sz w:val="16"/>
          <w:szCs w:val="16"/>
          <w:vertAlign w:val="superscript"/>
        </w:rPr>
        <w:t>101</w:t>
      </w:r>
      <w:r w:rsidRPr="00640820">
        <w:rPr>
          <w:rFonts w:ascii="Times New Roman" w:hAnsi="Times New Roman"/>
          <w:color w:val="000000" w:themeColor="text1"/>
          <w:sz w:val="16"/>
          <w:szCs w:val="16"/>
        </w:rPr>
        <w:t xml:space="preserve"> таймер, фонарь «Самара» (11982).</w:t>
      </w:r>
    </w:p>
    <w:p w14:paraId="78B610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BA1B3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30 декабря 1941 г. в Куйбышеве Заводом № 530 НКБ /ст. Железнодорожная;  г. Куйбышев/ производство прежней мощности на новом месте было восстановлено.</w:t>
      </w:r>
    </w:p>
    <w:p w14:paraId="057E06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12.1942-11.1943 г. -в ведении 2ГУ НКБ, в 09.1944 г. -в ведении 8ГУ.</w:t>
      </w:r>
    </w:p>
    <w:p w14:paraId="4EB9B4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старом месте (ст. Железнодорожная) организован завод № 604 НКБ.</w:t>
      </w:r>
    </w:p>
    <w:p w14:paraId="454D6A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(09.1941 г.)-1194 чел., (12.1942 г.)- 2370 чел.</w:t>
      </w:r>
    </w:p>
    <w:p w14:paraId="460773C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(1941 г.)- И.М. Шнырев.</w:t>
      </w:r>
      <w:r w:rsidRPr="00640820">
        <w:rPr>
          <w:rFonts w:ascii="Times New Roman" w:hAnsi="Times New Roman"/>
          <w:color w:val="000000" w:themeColor="text1"/>
          <w:sz w:val="16"/>
          <w:szCs w:val="16"/>
          <w:vertAlign w:val="superscript"/>
        </w:rPr>
        <w:t>101</w:t>
      </w:r>
    </w:p>
    <w:p w14:paraId="26F12D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КВ-2 (-1941-42-) (11982).</w:t>
      </w:r>
    </w:p>
    <w:p w14:paraId="0D7D88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3E6437D" w14:textId="77777777" w:rsidR="009B3159" w:rsidRPr="00640820" w:rsidRDefault="009B315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30 декабря 1941 г. не было доставлено к месту назначения в Нижний Тагил 320 вагонов с завода № 183, 235 вагонов с завода № 75, 700 вагонов с Мариупольского завода имени Ильича. Поскольку с момента завершения отправки эвакуируемого оборудования прошло более двух месяцев, то это имущество можно смело отнести в разряд потерянного </w:t>
      </w:r>
      <w:r w:rsidR="00401AC5" w:rsidRPr="00640820">
        <w:rPr>
          <w:rFonts w:ascii="Times New Roman" w:hAnsi="Times New Roman"/>
          <w:color w:val="000000" w:themeColor="text1"/>
          <w:sz w:val="16"/>
          <w:szCs w:val="16"/>
        </w:rPr>
        <w:t>(19807</w:t>
      </w:r>
      <w:r w:rsidRPr="00640820">
        <w:rPr>
          <w:rFonts w:ascii="Times New Roman" w:hAnsi="Times New Roman"/>
          <w:color w:val="000000" w:themeColor="text1"/>
          <w:sz w:val="16"/>
          <w:szCs w:val="16"/>
        </w:rPr>
        <w:t>).</w:t>
      </w:r>
    </w:p>
    <w:p w14:paraId="53B7E01C" w14:textId="77777777" w:rsidR="009B3159" w:rsidRPr="00640820" w:rsidRDefault="009B3159" w:rsidP="00640820">
      <w:pPr>
        <w:spacing w:after="0" w:line="240" w:lineRule="auto"/>
        <w:jc w:val="both"/>
        <w:rPr>
          <w:rFonts w:ascii="Times New Roman" w:hAnsi="Times New Roman"/>
          <w:color w:val="000000" w:themeColor="text1"/>
          <w:sz w:val="16"/>
          <w:szCs w:val="16"/>
        </w:rPr>
      </w:pPr>
    </w:p>
    <w:p w14:paraId="501D79DF" w14:textId="77777777" w:rsidR="00E05DAF" w:rsidRPr="00640820" w:rsidRDefault="00E05DAF" w:rsidP="00640820">
      <w:pPr>
        <w:widowControl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30 декабря </w:t>
      </w:r>
      <w:smartTag w:uri="urn:schemas-microsoft-com:office:smarttags" w:element="metricconverter">
        <w:smartTagPr>
          <w:attr w:name="ProductID" w:val="1945 г"/>
        </w:smartTagPr>
        <w:r w:rsidRPr="00640820">
          <w:rPr>
            <w:rFonts w:ascii="Times New Roman" w:hAnsi="Times New Roman"/>
            <w:color w:val="000000" w:themeColor="text1"/>
            <w:sz w:val="16"/>
            <w:szCs w:val="16"/>
          </w:rPr>
          <w:t>1941 г</w:t>
        </w:r>
      </w:smartTag>
      <w:r w:rsidRPr="00640820">
        <w:rPr>
          <w:rFonts w:ascii="Times New Roman" w:hAnsi="Times New Roman"/>
          <w:color w:val="000000" w:themeColor="text1"/>
          <w:sz w:val="16"/>
          <w:szCs w:val="16"/>
        </w:rPr>
        <w:t>. в докладной записке директора Горьковского автозавода И.К. Лоскутова председателю Горьковского городского комитета обороны (ГГКО) М.И. Родионову на примере производства автомобильной продукции наглядно демонстрируются все сложности с заводами-смежниками, возникшие с началом войны. Директор ГАЗа докладывал, что за летне-осенний период вследствие ухудшившегося снабжения завода металлом и изделиями смежников, отвлечения рабочей силы во вновь организуемые специальные цехи производство автомобилей резко снизилось. Если в июне сорок первого года выпустили 7 654 машины ГАЗ, то в ноябре только 2 144, выпуск запчастей также резко упал. План же от Наркомата на декабрь был установлен немалый – 6 800 автомашин. Для его реализации провели ряд организационных мероприятий: цех значительно пополнили рабочей силой, организовали двухсменную работу на главном конвейере, усилили диспетчерское наблюдение за выпуском автодеталей. В результате суточная сдача машин за 8 дней поднялась до 98 штук. Однако это не обеспечивало уровень плана – 320 машин в день. Задание находилось под угрозой срыва. Главными причинами были следующие: уже два месяца автозавод не получал автомобильных подшипников, аккумуляторов, сигналов с заводов электрооборудования Москвы и Ленинграда, которые были эвакуированы и на новых местах еще не успели развернуть производство. Перестал поступать качественный прокат для коленчатого вала и деталей коробки скоростей со Сталинградского завода «Красный Октябрь». В связи с конвенционным запрещением с 16 октября металл с этого завода больше не отгружался. Чтобы выйти из сложившейся ситуации и обеспечить производство так необходимых фронту трехосных автомашин, дирекция ГАЗа разработала целую программу и просила первого секретаря Горьковского обкома партии поставить вопрос перед ГКО и соответствующими органами о содействии в разрешении следующих задач:</w:t>
      </w:r>
    </w:p>
    <w:p w14:paraId="15D948D7" w14:textId="77777777" w:rsidR="00E05DAF" w:rsidRPr="00640820" w:rsidRDefault="00E05DAF" w:rsidP="00640820">
      <w:pPr>
        <w:widowControl w:val="0"/>
        <w:spacing w:after="0" w:line="240" w:lineRule="auto"/>
        <w:jc w:val="both"/>
        <w:rPr>
          <w:rFonts w:ascii="Times New Roman" w:hAnsi="Times New Roman"/>
          <w:bCs/>
          <w:color w:val="000000" w:themeColor="text1"/>
          <w:sz w:val="16"/>
          <w:szCs w:val="16"/>
        </w:rPr>
      </w:pPr>
      <w:smartTag w:uri="urn:schemas-microsoft-com:office:smarttags" w:element="metricconverter">
        <w:smartTagPr>
          <w:attr w:name="ProductID" w:val="1945 г"/>
        </w:smartTagPr>
        <w:r w:rsidRPr="00640820">
          <w:rPr>
            <w:rFonts w:ascii="Times New Roman" w:hAnsi="Times New Roman"/>
            <w:bCs/>
            <w:color w:val="000000" w:themeColor="text1"/>
            <w:sz w:val="16"/>
            <w:szCs w:val="16"/>
            <w:lang w:val="en-US"/>
          </w:rPr>
          <w:t>I</w:t>
        </w:r>
        <w:r w:rsidRPr="00640820">
          <w:rPr>
            <w:rFonts w:ascii="Times New Roman" w:hAnsi="Times New Roman"/>
            <w:bCs/>
            <w:color w:val="000000" w:themeColor="text1"/>
            <w:sz w:val="16"/>
            <w:szCs w:val="16"/>
          </w:rPr>
          <w:t>.</w:t>
        </w:r>
      </w:smartTag>
      <w:r w:rsidRPr="00640820">
        <w:rPr>
          <w:rFonts w:ascii="Times New Roman" w:hAnsi="Times New Roman"/>
          <w:bCs/>
          <w:color w:val="000000" w:themeColor="text1"/>
          <w:sz w:val="16"/>
          <w:szCs w:val="16"/>
        </w:rPr>
        <w:t xml:space="preserve"> По изделиям смежных производств:</w:t>
      </w:r>
    </w:p>
    <w:p w14:paraId="4BCC1800" w14:textId="77777777" w:rsidR="00E05DAF" w:rsidRPr="00640820" w:rsidRDefault="00E05DAF" w:rsidP="00640820">
      <w:pPr>
        <w:widowControl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разрешить завоз электрооборудования с импорта по разработанной заводомспецификации;</w:t>
      </w:r>
    </w:p>
    <w:p w14:paraId="6FC1A52B" w14:textId="77777777" w:rsidR="00E05DAF" w:rsidRPr="00640820" w:rsidRDefault="00E05DAF" w:rsidP="00640820">
      <w:pPr>
        <w:widowControl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организовать снабжение Саратовского аккумуляторного завода (с которым была налажена связь) эбонитовыми корпусами аккумуляторов;</w:t>
      </w:r>
    </w:p>
    <w:p w14:paraId="72EA5569" w14:textId="77777777" w:rsidR="00E05DAF" w:rsidRPr="00640820" w:rsidRDefault="00E05DAF" w:rsidP="00640820">
      <w:pPr>
        <w:widowControl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ускорить восстановление Куйбышевского подшипникового завода, для чего предоставить железнодорожные вагоны с целью переброски оборудования, штампов и инструмента, замерзших в барже на Волге;</w:t>
      </w:r>
    </w:p>
    <w:p w14:paraId="22DB817A" w14:textId="77777777" w:rsidR="00E05DAF" w:rsidRPr="00640820" w:rsidRDefault="00E05DAF" w:rsidP="00640820">
      <w:pPr>
        <w:widowControl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разрешить собрать со складов Наркомата и баз Главтоптракторсбыта запасы автомобильных подшипников.</w:t>
      </w:r>
    </w:p>
    <w:p w14:paraId="5A02E130" w14:textId="77777777" w:rsidR="00E05DAF" w:rsidRPr="00640820" w:rsidRDefault="00E05DAF" w:rsidP="00640820">
      <w:pPr>
        <w:widowControl w:val="0"/>
        <w:spacing w:after="0" w:line="240" w:lineRule="auto"/>
        <w:jc w:val="both"/>
        <w:rPr>
          <w:rFonts w:ascii="Times New Roman" w:hAnsi="Times New Roman"/>
          <w:bCs/>
          <w:color w:val="000000" w:themeColor="text1"/>
          <w:sz w:val="16"/>
          <w:szCs w:val="16"/>
        </w:rPr>
      </w:pPr>
      <w:r w:rsidRPr="00640820">
        <w:rPr>
          <w:rFonts w:ascii="Times New Roman" w:hAnsi="Times New Roman"/>
          <w:bCs/>
          <w:color w:val="000000" w:themeColor="text1"/>
          <w:sz w:val="16"/>
          <w:szCs w:val="16"/>
          <w:lang w:val="en-US"/>
        </w:rPr>
        <w:t>II</w:t>
      </w:r>
      <w:r w:rsidRPr="00640820">
        <w:rPr>
          <w:rFonts w:ascii="Times New Roman" w:hAnsi="Times New Roman"/>
          <w:bCs/>
          <w:color w:val="000000" w:themeColor="text1"/>
          <w:sz w:val="16"/>
          <w:szCs w:val="16"/>
        </w:rPr>
        <w:t>. По металлу:</w:t>
      </w:r>
    </w:p>
    <w:p w14:paraId="3B85CD4C" w14:textId="77777777" w:rsidR="00E05DAF" w:rsidRPr="00640820" w:rsidRDefault="00E05DAF" w:rsidP="00640820">
      <w:pPr>
        <w:widowControl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поставить вопрос перед Госпланом СССР о немедленном выделении для ГАЗа на декабрь дополнительного фонда металла;</w:t>
      </w:r>
    </w:p>
    <w:p w14:paraId="1721B4CE" w14:textId="77777777" w:rsidR="00E05DAF" w:rsidRPr="00640820" w:rsidRDefault="00E05DAF" w:rsidP="00640820">
      <w:pPr>
        <w:widowControl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поставить вопрос перед ГКО Союза о выделении целевых вагонов для переброски готового металла на ГАЗ: из Сталинграда – 250, из Выксы – 200 вагонов;</w:t>
      </w:r>
    </w:p>
    <w:p w14:paraId="0321EE4C" w14:textId="77777777" w:rsidR="00E05DAF" w:rsidRPr="00640820" w:rsidRDefault="00E05DAF" w:rsidP="00640820">
      <w:pPr>
        <w:widowControl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обязать директора завода им. Кагановича (имеется в виду Горьковского металлургического завода) Ф.И. Молькова отгрузить 1 290 т металла и вернуть 800 т долга за ноябрь;</w:t>
      </w:r>
    </w:p>
    <w:p w14:paraId="47BF9A92" w14:textId="77777777" w:rsidR="00E05DAF" w:rsidRPr="00640820" w:rsidRDefault="00E05DAF" w:rsidP="00640820">
      <w:pPr>
        <w:widowControl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в целях организации выпуска автолиста средних размеров на универсальном стане завода им. Кагановича обязать директора завода №112 («Красное Сормово») Д.В. Михалева изготовить изложницы для Выксунского завода, а последнему обеспечить завод им. Кагановича слитками спецмарки;</w:t>
      </w:r>
    </w:p>
    <w:p w14:paraId="1C99BF64" w14:textId="77777777" w:rsidR="00E05DAF" w:rsidRPr="00640820" w:rsidRDefault="00E05DAF" w:rsidP="00640820">
      <w:pPr>
        <w:widowControl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обязать завод №112 («Красное Сормово») прокатать и отгрузить ГАЗу 2 тыс. т сортового проката и немедленно передать заводу им. Кагановича 500 т слитков для изготовления автолиста;</w:t>
      </w:r>
    </w:p>
    <w:p w14:paraId="51501C78" w14:textId="77777777" w:rsidR="00E05DAF" w:rsidRPr="00640820" w:rsidRDefault="00E05DAF" w:rsidP="00640820">
      <w:pPr>
        <w:widowControl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обязать директора Выксунского металлургического завода И.Т. Соболева отгрузить ГАЗу 1500 т торгового листа и 250 т сортового проката;</w:t>
      </w:r>
    </w:p>
    <w:p w14:paraId="096109D4" w14:textId="77777777" w:rsidR="00E05DAF" w:rsidRPr="00640820" w:rsidRDefault="00E05DAF" w:rsidP="00640820">
      <w:pPr>
        <w:widowControl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7) обязать директора завода «Красная Этна» А.И. Романова отгрузить ГАЗу необходимое количество углеродистой, легированной, автоматной калибровки, латунной и стальной ленты, проката. По изготовлению латунной ленты установить следующую кооперацию: отливку слитков произвести заводу №112, для чего Управляющему </w:t>
      </w:r>
      <w:r w:rsidRPr="00640820">
        <w:rPr>
          <w:rFonts w:ascii="Times New Roman" w:hAnsi="Times New Roman"/>
          <w:color w:val="000000" w:themeColor="text1"/>
          <w:sz w:val="16"/>
          <w:szCs w:val="16"/>
        </w:rPr>
        <w:lastRenderedPageBreak/>
        <w:t>Горьковской конторой Главцветметсбыта Чугункину обеспечить названный завод цветным сырьем. А заводу им.Кагановича прокатать на универсальном стане заготовки для завода «Красная Этна»;</w:t>
      </w:r>
    </w:p>
    <w:p w14:paraId="6AC2C282" w14:textId="77777777" w:rsidR="00E05DAF" w:rsidRPr="00640820" w:rsidRDefault="00E05DAF" w:rsidP="00640820">
      <w:pPr>
        <w:widowControl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обязать директора Кулебакского металлургического завода И.Ф. Скиба отгрузить автозаводу 1500 т сортового проката и 300 т торгового листа;</w:t>
      </w:r>
    </w:p>
    <w:p w14:paraId="4CACF3C8" w14:textId="77777777" w:rsidR="00E05DAF" w:rsidRPr="00640820" w:rsidRDefault="00E05DAF" w:rsidP="00640820">
      <w:pPr>
        <w:widowControl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разрешить завести с импорта по спецификации ГАЗа цветной прокат, цветные трубы, автолист, стальную штампованную ленту, оцинкованную проволоку;</w:t>
      </w:r>
    </w:p>
    <w:p w14:paraId="2211117B" w14:textId="77777777" w:rsidR="00E05DAF" w:rsidRPr="00640820" w:rsidRDefault="00E05DAF" w:rsidP="00640820">
      <w:pPr>
        <w:widowControl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обязать начальника ГЖД В.А. Ухтомского обеспечить план перевозок для автозавода по Горьковскому узлу и вовремя завести торф со станции Киселиха и пиломатериалы с завода «Красный пролетарий».</w:t>
      </w:r>
    </w:p>
    <w:p w14:paraId="03D85CA7" w14:textId="77777777" w:rsidR="00E05DAF" w:rsidRPr="00640820" w:rsidRDefault="00E05DAF" w:rsidP="00640820">
      <w:pPr>
        <w:widowControl w:val="0"/>
        <w:spacing w:after="0" w:line="240" w:lineRule="auto"/>
        <w:jc w:val="both"/>
        <w:rPr>
          <w:rFonts w:ascii="Times New Roman" w:hAnsi="Times New Roman"/>
          <w:bCs/>
          <w:color w:val="000000" w:themeColor="text1"/>
          <w:sz w:val="16"/>
          <w:szCs w:val="16"/>
        </w:rPr>
      </w:pPr>
      <w:r w:rsidRPr="00640820">
        <w:rPr>
          <w:rFonts w:ascii="Times New Roman" w:hAnsi="Times New Roman"/>
          <w:bCs/>
          <w:color w:val="000000" w:themeColor="text1"/>
          <w:sz w:val="16"/>
          <w:szCs w:val="16"/>
          <w:lang w:val="en-US"/>
        </w:rPr>
        <w:t>III</w:t>
      </w:r>
      <w:r w:rsidRPr="00640820">
        <w:rPr>
          <w:rFonts w:ascii="Times New Roman" w:hAnsi="Times New Roman"/>
          <w:bCs/>
          <w:color w:val="000000" w:themeColor="text1"/>
          <w:sz w:val="16"/>
          <w:szCs w:val="16"/>
        </w:rPr>
        <w:t>. По вспомогательным материалам:</w:t>
      </w:r>
    </w:p>
    <w:p w14:paraId="1E67124A" w14:textId="77777777" w:rsidR="00E05DAF" w:rsidRPr="00640820" w:rsidRDefault="00E05DAF" w:rsidP="00640820">
      <w:pPr>
        <w:widowControl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обязать директора Дзержинского завода им. Калинина А.М. Климахина немедленно смонтировать установку для производства цианистых солей и обеспечить поставку ГАЗу цианмеди 2 т в месяц;</w:t>
      </w:r>
    </w:p>
    <w:p w14:paraId="73356D62" w14:textId="77777777" w:rsidR="00E05DAF" w:rsidRPr="00640820" w:rsidRDefault="00E05DAF" w:rsidP="00640820">
      <w:pPr>
        <w:widowControl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 обязать директора завода №96 Ю.М. Кагановича смонтировать установку для заполнения баллонов водородом и обеспечить </w:t>
      </w:r>
      <w:smartTag w:uri="urn:schemas-microsoft-com:office:smarttags" w:element="metricconverter">
        <w:smartTagPr>
          <w:attr w:name="ProductID" w:val="1945 г"/>
        </w:smartTagPr>
        <w:r w:rsidRPr="00640820">
          <w:rPr>
            <w:rFonts w:ascii="Times New Roman" w:hAnsi="Times New Roman"/>
            <w:color w:val="000000" w:themeColor="text1"/>
            <w:sz w:val="16"/>
            <w:szCs w:val="16"/>
          </w:rPr>
          <w:t>700 куб. м</w:t>
        </w:r>
      </w:smartTag>
      <w:r w:rsidRPr="00640820">
        <w:rPr>
          <w:rFonts w:ascii="Times New Roman" w:hAnsi="Times New Roman"/>
          <w:color w:val="000000" w:themeColor="text1"/>
          <w:sz w:val="16"/>
          <w:szCs w:val="16"/>
        </w:rPr>
        <w:t>. водорода;</w:t>
      </w:r>
    </w:p>
    <w:p w14:paraId="63B233E6" w14:textId="77777777" w:rsidR="00E05DAF" w:rsidRPr="00640820" w:rsidRDefault="00E05DAF" w:rsidP="00640820">
      <w:pPr>
        <w:widowControl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директору Молитовской фабрики «Красный Октябрь» Ф.И. Спирину отпустить автозаводу для пошива спецодежды и рукавиц 20 тыс. кв. м парусины;</w:t>
      </w:r>
    </w:p>
    <w:p w14:paraId="467DDC97" w14:textId="77777777" w:rsidR="00E05DAF" w:rsidRPr="00640820" w:rsidRDefault="00E05DAF" w:rsidP="00640820">
      <w:pPr>
        <w:widowControl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обязать начальника Обллегпрома А.П. Лупачек отпустить необходимое количество рукавиц;</w:t>
      </w:r>
    </w:p>
    <w:p w14:paraId="6584651E" w14:textId="77777777" w:rsidR="00E05DAF" w:rsidRPr="00640820" w:rsidRDefault="00E05DAF" w:rsidP="00640820">
      <w:pPr>
        <w:widowControl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предложить директору стекольного завода им. М. Горького отпустить 40 т кальцинированной соды;</w:t>
      </w:r>
    </w:p>
    <w:p w14:paraId="23282F0E" w14:textId="77777777" w:rsidR="00E05DAF" w:rsidRPr="00640820" w:rsidRDefault="00E05DAF" w:rsidP="00640820">
      <w:pPr>
        <w:widowControl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обязать управляющего конторой Главтекстильснаб З.А. Глозмана отпустить 50 тыс. катушек ниток (15218).</w:t>
      </w:r>
    </w:p>
    <w:p w14:paraId="57A1E8ED" w14:textId="77777777" w:rsidR="00E05DAF" w:rsidRPr="00640820" w:rsidRDefault="00E05DAF" w:rsidP="00640820">
      <w:pPr>
        <w:widowControl w:val="0"/>
        <w:spacing w:after="0" w:line="240" w:lineRule="auto"/>
        <w:jc w:val="both"/>
        <w:rPr>
          <w:rFonts w:ascii="Times New Roman" w:hAnsi="Times New Roman"/>
          <w:color w:val="000000" w:themeColor="text1"/>
          <w:sz w:val="16"/>
          <w:szCs w:val="16"/>
        </w:rPr>
      </w:pPr>
    </w:p>
    <w:p w14:paraId="7971B8D1" w14:textId="77777777" w:rsidR="00E05DAF" w:rsidRPr="00640820" w:rsidRDefault="00E05DAF" w:rsidP="00640820">
      <w:pPr>
        <w:pStyle w:val="ae"/>
        <w:shd w:val="clear" w:color="auto" w:fill="FFFFFF"/>
        <w:spacing w:before="0" w:after="0"/>
        <w:jc w:val="both"/>
        <w:rPr>
          <w:color w:val="000000" w:themeColor="text1"/>
          <w:sz w:val="16"/>
          <w:szCs w:val="16"/>
        </w:rPr>
      </w:pPr>
      <w:r w:rsidRPr="00640820">
        <w:rPr>
          <w:color w:val="000000" w:themeColor="text1"/>
          <w:sz w:val="16"/>
          <w:szCs w:val="16"/>
        </w:rPr>
        <w:t>30 декабря 1941 года главным инженером завода №200 Л. И. Эйрановым были подписаны технические условия на изготовление установочной партии из 20 корпусов. Сколько именно в итоге корпусов КВ-7 удалось сделать, неизвестно, но, судя по дальнейшему развитию событий, установочная партия всё же была собрана (15838).</w:t>
      </w:r>
    </w:p>
    <w:p w14:paraId="1ACC1946" w14:textId="77777777" w:rsidR="00E05DAF" w:rsidRPr="00640820" w:rsidRDefault="00E05DAF" w:rsidP="00640820">
      <w:pPr>
        <w:pStyle w:val="ae"/>
        <w:shd w:val="clear" w:color="auto" w:fill="FFFFFF"/>
        <w:spacing w:before="0" w:after="0"/>
        <w:jc w:val="both"/>
        <w:rPr>
          <w:color w:val="000000" w:themeColor="text1"/>
          <w:sz w:val="16"/>
          <w:szCs w:val="16"/>
        </w:rPr>
      </w:pPr>
    </w:p>
    <w:p w14:paraId="22F242E9" w14:textId="77777777" w:rsidR="003C65D8" w:rsidRPr="00640820" w:rsidRDefault="003C65D8" w:rsidP="00640820">
      <w:pPr>
        <w:pStyle w:val="a3"/>
        <w:rPr>
          <w:color w:val="000000" w:themeColor="text1"/>
          <w:lang w:val="ru-RU"/>
        </w:rPr>
      </w:pPr>
      <w:r w:rsidRPr="00640820">
        <w:rPr>
          <w:color w:val="000000" w:themeColor="text1"/>
          <w:lang w:val="ru-RU"/>
        </w:rPr>
        <w:t>30 декабря 1941 года главным инженером за</w:t>
      </w:r>
      <w:r w:rsidRPr="00640820">
        <w:rPr>
          <w:color w:val="000000" w:themeColor="text1"/>
          <w:lang w:val="ru-RU"/>
        </w:rPr>
        <w:softHyphen/>
        <w:t>вода №200 Л.И. Эйрановым были подписаны технические условия на изготовление установочной партии из 20 корпусов КВ-7. Сколько корпусов для КВ-7 в итоге изготовил завод, доподлинно неизвестно, но, судя по дальнейшим событиям, техусловиями в Челябинске не ограничились. ГАБТУ оказалось перед неприятным фактом: штурмовой танк переве</w:t>
      </w:r>
      <w:r w:rsidRPr="00640820">
        <w:rPr>
          <w:color w:val="000000" w:themeColor="text1"/>
          <w:lang w:val="ru-RU"/>
        </w:rPr>
        <w:softHyphen/>
        <w:t>ли из приоритетных задач в опытную разработку, а с изготовленными корпусами предстояло что-то делать. Справедливости ради, подобные случаи в советской танковой промышленности были единичны, в от</w:t>
      </w:r>
      <w:r w:rsidRPr="00640820">
        <w:rPr>
          <w:color w:val="000000" w:themeColor="text1"/>
          <w:lang w:val="ru-RU"/>
        </w:rPr>
        <w:softHyphen/>
        <w:t xml:space="preserve">личие, например, от немцев, у которых </w:t>
      </w:r>
      <w:r w:rsidRPr="00640820">
        <w:rPr>
          <w:color w:val="000000" w:themeColor="text1"/>
        </w:rPr>
        <w:t>Krupp</w:t>
      </w:r>
      <w:r w:rsidRPr="00640820">
        <w:rPr>
          <w:color w:val="000000" w:themeColor="text1"/>
          <w:lang w:val="ru-RU"/>
        </w:rPr>
        <w:t xml:space="preserve"> с завидной регулярно</w:t>
      </w:r>
      <w:r w:rsidRPr="00640820">
        <w:rPr>
          <w:color w:val="000000" w:themeColor="text1"/>
          <w:lang w:val="ru-RU"/>
        </w:rPr>
        <w:softHyphen/>
        <w:t>стью умудрялась штамповать башни к отмененным танкам.</w:t>
      </w:r>
    </w:p>
    <w:p w14:paraId="42FDAC20" w14:textId="77777777" w:rsidR="003C65D8" w:rsidRPr="00640820" w:rsidRDefault="003C65D8" w:rsidP="00640820">
      <w:pPr>
        <w:pStyle w:val="a3"/>
        <w:rPr>
          <w:color w:val="000000" w:themeColor="text1"/>
          <w:lang w:val="ru-RU"/>
        </w:rPr>
      </w:pPr>
      <w:r w:rsidRPr="00640820">
        <w:rPr>
          <w:color w:val="000000" w:themeColor="text1"/>
          <w:lang w:val="ru-RU"/>
        </w:rPr>
        <w:t>Сложившаяся с КВ-7 ситуация, впрочем, не была столь уж безна</w:t>
      </w:r>
      <w:r w:rsidRPr="00640820">
        <w:rPr>
          <w:color w:val="000000" w:themeColor="text1"/>
          <w:lang w:val="ru-RU"/>
        </w:rPr>
        <w:softHyphen/>
        <w:t>дежной. Да, идея с трехствольной установкой оказалась неудачной, но это не означает, что работы прошли впустую. Дело в том, что рубкаКВ-7, созданная в расчете на три сравнительно небольшие танковые пушки, вполне подходила для установки гаубиц. Идея с установкой 122-мм гаубицы отпадала, поскольку аналогичным орудием планиро</w:t>
      </w:r>
      <w:r w:rsidRPr="00640820">
        <w:rPr>
          <w:color w:val="000000" w:themeColor="text1"/>
          <w:lang w:val="ru-RU"/>
        </w:rPr>
        <w:softHyphen/>
        <w:t>валось оснастить танк КВ-9 с нормальной башней. Что же касается более крупных орудий, то таковых оставалось два: 152-мм гаубица об</w:t>
      </w:r>
      <w:r w:rsidRPr="00640820">
        <w:rPr>
          <w:color w:val="000000" w:themeColor="text1"/>
          <w:lang w:val="ru-RU"/>
        </w:rPr>
        <w:softHyphen/>
        <w:t>разца 1938 года (М-10) и 152-мм пушка-гаубица образца 1937 г. (МЛ- 20). Кроме того, никуда не делась и 152-мм пушка БР-2, как и идея ее установки на самоход (17484).</w:t>
      </w:r>
    </w:p>
    <w:p w14:paraId="18C12C68" w14:textId="77777777" w:rsidR="003C65D8" w:rsidRPr="00640820" w:rsidRDefault="003C65D8" w:rsidP="00640820">
      <w:pPr>
        <w:pStyle w:val="a3"/>
        <w:rPr>
          <w:color w:val="000000" w:themeColor="text1"/>
          <w:lang w:val="ru-RU"/>
        </w:rPr>
      </w:pPr>
    </w:p>
    <w:p w14:paraId="45D15105" w14:textId="77777777" w:rsidR="00F370FA" w:rsidRPr="00640820" w:rsidRDefault="00F370FA"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30 декабря 1941 года главным инженером завода №200 Л. И. Эйрановым были подписаны технические условия на изготовление установочной партии из 20 корпусов. Сколько именно в итоге корпусов КВ-7 удалось сделать, неизвестно, но, судя по дальнейшему развитию событий, установочная партия всё же была собрана (17647).</w:t>
      </w:r>
    </w:p>
    <w:p w14:paraId="0A1E1259" w14:textId="77777777" w:rsidR="00F370FA" w:rsidRPr="00640820" w:rsidRDefault="00F370FA" w:rsidP="00640820">
      <w:pPr>
        <w:spacing w:after="0" w:line="240" w:lineRule="auto"/>
        <w:jc w:val="both"/>
        <w:rPr>
          <w:rFonts w:ascii="Times New Roman" w:hAnsi="Times New Roman"/>
          <w:color w:val="000000" w:themeColor="text1"/>
          <w:sz w:val="16"/>
          <w:szCs w:val="16"/>
        </w:rPr>
      </w:pPr>
    </w:p>
    <w:p w14:paraId="3EB29887"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декабря 1941 года вышел приказ № 82 мсс НКТП</w:t>
      </w:r>
    </w:p>
    <w:p w14:paraId="649255B9"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исполнение постановления ГКО от 28 декабря 1941 года за № 1080-с:</w:t>
      </w:r>
    </w:p>
    <w:p w14:paraId="5CEF7C83"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Отменить эвакуацию из Сталинграда в Челябинск Харьковского завода танкового электрооборудования (6045, 31).</w:t>
      </w:r>
    </w:p>
    <w:p w14:paraId="6A88936A"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8C43F2"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декабря 1941 вышло Постановление ГКО № 1087 О производстве радиаторных трубок в январе месяце 1942 г. на Ревдинском заводе № 518 Наркомцветмета (7019, 54-58).</w:t>
      </w:r>
    </w:p>
    <w:p w14:paraId="641746BF"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01F1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декабря 1941 года был утвержден Устав завода № 385 НКВ (9202).</w:t>
      </w:r>
    </w:p>
    <w:p w14:paraId="218EBC8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BE3EE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декабря 1941 в результате взрыва бомбы у правого борта поврежден переоборудованный ледокол "Молотов". Балтийцы начали ремонтные работы (10671).</w:t>
      </w:r>
    </w:p>
    <w:p w14:paraId="72529A9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600B92A"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44CC7047"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1FC1C78"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30 декабря</w:t>
      </w:r>
      <w:r w:rsidRPr="00640820">
        <w:rPr>
          <w:rFonts w:ascii="Times New Roman" w:hAnsi="Times New Roman"/>
          <w:color w:val="000000" w:themeColor="text1"/>
          <w:sz w:val="16"/>
          <w:szCs w:val="16"/>
        </w:rPr>
        <w:t xml:space="preserve"> в 1941 году утреннее сообщение Совинформбюро</w:t>
      </w:r>
    </w:p>
    <w:p w14:paraId="6FDD2F23"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30 декабря наши войска вели бои с противником на всех фронтах.</w:t>
      </w:r>
    </w:p>
    <w:p w14:paraId="1366422F"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Подразделение тов. Наумова (Западный фронт) за один день боёв с противником захватило 2 немецких танка, 5 пушек, 50 пулемётов, штабную автомашину, 10 километров кабеля, много боеприпасов.</w:t>
      </w:r>
    </w:p>
    <w:p w14:paraId="5505D146"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Наша часть, действующая на одном из участков Юго-Западного фронта, за день боёв с противником истребила 700 немецких солдат и офицеров, уничтожила 6 противотанковых и 3 тяжёлых орудия и захватила 24 орудия, 10 миномётов, 7 пулемётов и 15 автомашин.</w:t>
      </w:r>
    </w:p>
    <w:p w14:paraId="5B3A6037"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Красноармейцы-повара Чадин и Иванов были окружены десятью немецкими автоматчиками. Смелые красноармейцы вступили в бой с врагами. Тов. Чадин заколол штыком 3 немецких солдат, а тов. Иванов застрелил офицера, остальные враги обратились в бегство.</w:t>
      </w:r>
    </w:p>
    <w:p w14:paraId="698A0C7F"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Получены сообщения о боевых действиях партизанского отряда «Дружный», ведущего борьбу против фашистов в одном из районов Ленинградской области, оккупированных немцами. Недавно партизаны подорвали штабную автодрезину и уничтожили 8 вражеских офицеров. Затем партизаны разрушили железнодорожное полотно, в результате чего поезд, состоявший из 60 платформ, гружённых броневиками и танками, потерпел крушение. На минах, расставленных партизанами, подорвались 3 вражеских автомашины с боеприпасами и 1 — с группой немецких лётчиков. Только за последние дни отряд «Дружный» истребил 11 фашистских офицеров, 20 солдат и 14 шпионов.</w:t>
      </w:r>
    </w:p>
    <w:p w14:paraId="700E6144"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Наши части захватили приказ командира 82 итальянского пехотного полка дивизии «Торино», полковника Фьораванти. В нём говорится: «Дисциплина на сегодняшний день оставляет желать много лучшего. Многие солдаты имеют страдальческий вид. Слишком много солдат под разными предлогами отлучается из строя. Предупреждаю, что сегодня я предал суду одного солдата 11 роты, одного 12 роты, одного 9 роты и двух из полковой роты 47-мм орудий. В полку должна быть восстановлена дисциплина. Я ожидаю, что командиры подразделений к 9 часам утра пришлют мне справки о взысканиях, наложенных за нарушение дисциплины».</w:t>
      </w:r>
    </w:p>
    <w:p w14:paraId="72B65494"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Взятый 17 декабря в плен сержант 1 роты 3 лёгкого батальона финской армии Маява Леонард на допросе рассказал: «Ненависть населения Финляндии к немцам растёт с каждым днём. Немцы ведут себя, как разбойники. Их наглости нет предела. Они нападают на финские патрули и снимают с финских солдат тёплую одежду. В тылу немцы развратничают, насилуют жён финских солдат. Один раненый финский солдат, вернувшийся с фронта, застрелил немца, преследовавшего его жену».</w:t>
      </w:r>
    </w:p>
    <w:p w14:paraId="57D79ABD"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Горячо откликнулись колхозники на призыв товарища Сталина дать фронту больше хлеба, мяса, сырья для промышленности. На заготовительные пункты усилился подвоз сельскохозяйственных продуктов. В Казахстане уже выполнен годовой план мясопоставок. Досрочно выполнила годовой план хлебосдачи Ойротская автономная область. Наряду с этим колхозы области продали государству ещё 228 тыс. пудов зерна. Отличный урожай собрал в этом году колхоз «Красный Октябрь», Абатского района, Омской области. Он один из первых выполнил все обязательства перед страной и продал государству 18 тыс. пудов зерна.</w:t>
      </w:r>
    </w:p>
    <w:p w14:paraId="055830EF"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Колхозы страны с большим подъёмом ведут подготовку к предстоящему сельскохозяйственному году, планируя большое увеличение производства хлеба и выращивания скота. Сельхозартель имени Джамбула, Новороссийского района, Актюбинской области, увеличивает посевную площадь с 750 до 1.200 гектаров. Орденоносный колхоз «2-я пятилетка» расширяет посевную площадь на 54 проц. Намечено также намного увеличить поголовье коров, овец и свиней.» (14876).</w:t>
      </w:r>
    </w:p>
    <w:p w14:paraId="235A065C" w14:textId="77777777" w:rsidR="00E05DAF" w:rsidRPr="00640820" w:rsidRDefault="00E05DAF" w:rsidP="00640820">
      <w:pPr>
        <w:spacing w:after="0" w:line="240" w:lineRule="auto"/>
        <w:jc w:val="both"/>
        <w:rPr>
          <w:rFonts w:ascii="Times New Roman" w:hAnsi="Times New Roman"/>
          <w:color w:val="000000" w:themeColor="text1"/>
          <w:sz w:val="16"/>
          <w:szCs w:val="16"/>
        </w:rPr>
      </w:pPr>
    </w:p>
    <w:p w14:paraId="4FB2C07A"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30 декабря</w:t>
      </w:r>
      <w:r w:rsidRPr="00640820">
        <w:rPr>
          <w:rFonts w:ascii="Times New Roman" w:hAnsi="Times New Roman"/>
          <w:color w:val="000000" w:themeColor="text1"/>
          <w:sz w:val="16"/>
          <w:szCs w:val="16"/>
        </w:rPr>
        <w:t xml:space="preserve"> в 1941 году вечернее сообщение Совинформбюро:</w:t>
      </w:r>
    </w:p>
    <w:p w14:paraId="178EE5FC"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30 декабря наши войска продолжали бои с противником на всех фронтах. На ряде участков наши войска, преодолевая сопротивление противника, продвинулись вперёд и заняли ряд населённых пунктов, в числе их города Козельск и Угодский Завод.</w:t>
      </w:r>
    </w:p>
    <w:p w14:paraId="6019A9F8"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29 декабря уничтожено 8 немецких самолётов. Наши потери — 3 самолёта.</w:t>
      </w:r>
    </w:p>
    <w:p w14:paraId="539A7C7D"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29 декабря наша авиация уничтожила 44 немецких танка, свыше 1.070 автомашин с войсками и грузами, 43 орудия, свыше 320 повозок с боеприпасами, 18 автоцистерн с горючим, сожгла 8 железнодорожных эшелонов, взорвала 2 склада боеприпасов и рассеяла до 4 полков пехоты противника.</w:t>
      </w:r>
    </w:p>
    <w:p w14:paraId="68A6A8BD"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Наша часть, действующая на одном из участков Западного фронта, в результате упорных боёв с противником за один день выбила немцев из 10 населённых пунктов. Враг понёс большие потери. Только у селения Б. наши бойцы истребили 550 немецких солдат и офицеров. Захвачены большие трофеи: 16 танков, 43 орудия, 30 пулемётов, 5 миномётов, 50 автомашин, 3.650 снарядов, 1.000 мин, 25.000 патронов и другое военное имущество.</w:t>
      </w:r>
    </w:p>
    <w:p w14:paraId="5CA458FD"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несколько дней боёв на одном из участков Южного фронта наша часть истребила 1.800 немецких солдат и офицеров и захватила 6 вражеских орудий, 43 пулемёта, 6 миномётов и много других трофеев.</w:t>
      </w:r>
    </w:p>
    <w:p w14:paraId="27F6C531"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Бойцы тов. Федюнинского в боях на одном из участков Ленинградского фронта за один день заняли 8 населённых пунктов и захватили железнодорожный вагон с противотанковыми минами, 600 снарядов, 15 бочек с бензином и много вооружения. Окружённая у пункта П. немецкая часть при попытке прорвать кольцо наших войск была полностью истреблена.</w:t>
      </w:r>
    </w:p>
    <w:p w14:paraId="40F7B621"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пулемётное отделение младшего командира Савина наступала группа немцев. Подпустив фашистов на 100-150 метров, отважные бойцы открыли по ним огонь. Противник в беспорядке отступил, оставив свыше 60 убитых солдат и офицеров.</w:t>
      </w:r>
    </w:p>
    <w:p w14:paraId="7A12D4D8"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Получено сообщение о крупном успехе партизанского отряда тов. Б., действующего в районах Украины, оккупированных немцами. Установив связь с одной советской частью, партизаны нанесли удар с тыла 1 батальону «СС». Партизаны истребили свыше ста фашистских солдат и офицеров, захватили 250 велосипедов, 2 мотоцикла, автомашину и два крупнокалиберных пулемёта. Несколько дней спустя разведчики-партизаны установили, что в селение С. направляется отрад гитлеровцев. Советские патриоты устроили у дороги засаду. Подпустив вражеские машины на близкое расстояние, партизаны забросали их гранатами и истребили 34 немецких солдата и 4 офицеров.</w:t>
      </w:r>
    </w:p>
    <w:p w14:paraId="3F7C5FE6"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Пленный немецкий солдат 252 пехотного полка Вольф Лем на допросе показал: «В результате последних боёв в моей роте из 120 человек осталось только 35, из них 16 человек сильно обморожены, а 10 больны. Дисциплина в армии резко снизилась. В первых числах декабря в нашем полку расстреляны 2 немецких солдата за открытый протест против войны. В деревне Крупенево 3 солдата соседней части разбили свои винтовки, говоря: «Война напрасна. Россию всё равно не победишь».</w:t>
      </w:r>
    </w:p>
    <w:p w14:paraId="2177D718"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Кузнецком металлургическом заводе в 1941 г. внесено 2.400 рационализаторских предложений. 1.200 предложений уже внедрены в производство и дадут 9 миллионов рублей экономии в год.»</w:t>
      </w:r>
    </w:p>
    <w:p w14:paraId="0D8373B6"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последний час.</w:t>
      </w:r>
    </w:p>
    <w:p w14:paraId="06FAC53E"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 Войска Западного фронта заняли город Калугу. Поражение генерала Гудериана.</w:t>
      </w:r>
    </w:p>
    <w:p w14:paraId="5D6D90DF"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разгрома под Тулой 2-й бронетанковой армии генерал-полковника Гудериана войска Западного фронта продолжали решительное наступление, преследуя и громя её остатки. Германское командование, пытаясь задержать и остановить наше наступление, спешно перегруппировывало свои войска, подтягивая из глубины резервы. В результате последовавших упорных боёв на рубежах рек Нара, Протва и Ока укреплённые позиции 4-й германской армии (генерал-фельдмаршал фон Клюге) были прорваны во многих местах и оборонявшим их войскам нанесено решительное поражение. В ходе боёв войсками Западного фронта были разбиты 20, 12, 13, 43, 53 и 57 германские армейские корпуса в составе 292, 258, 183, 15, 98, 34, 268, 260, 62, 17, 137, 131, 31, 296 и 167 пехотных и 19-й танковой дивизий и 2-я бригада «СС», переброшенная на самолётах из Кракова. Противник под ударами наших войск продолжает отступление в западном направлении, оставляя в боях и по пути отхода своих раненых, артиллерию, оружие и военное имущество. После освобождения от противника городов Наро-Фоминск, Угодский завод, Алексин, Таруса, Щёкино, Одоев, Черепеть, Перемышль, Лихвин, Ко-зельск и сотен посёлков, сёл и деревень — нашими войсками 30 декабря с боем взят город Калуга. В городе Калуга захвачены большие трофеи, которые подсчитываются.»</w:t>
      </w:r>
    </w:p>
    <w:p w14:paraId="4F5BA170"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II. Трофеи войск Юго-Западного фронта за период с 7 по 25 декабря</w:t>
      </w:r>
    </w:p>
    <w:p w14:paraId="094D2B25"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боях с немецкими оккупантами войсками Юго-Западного фронта с 7 по 25 декабря захвачены следующие трофеи: орудий — 456, миномётов — 163, пулемётов — 555, автоматов — 257, танков — 25, бронемашин — 7, автомашин — 1.479, мотоциклов — 239, самолётов — 5, радиостанций — 14, зенитно-пулемётных установок — 29, мин — свыше 8.700, винтовочных патронов — около 700.000, кабеля телефонного— 173 километра и другое военное имущество.</w:t>
      </w:r>
    </w:p>
    <w:p w14:paraId="707CDBAB"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этот же период уничтожено: 56 танков, 8 бронемашин, 35 орудий, 10 самолётов, 2.678 автомашин и свыше 1.700 повозок с грузом и другое военное снаряжение.</w:t>
      </w:r>
    </w:p>
    <w:p w14:paraId="010415ED"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время с 7 по 25 декабря противник потерял убитыми и ранеными свыше 20 тысяч солдат и офицеров.</w:t>
      </w:r>
    </w:p>
    <w:p w14:paraId="14C9E0AB"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Войсками Юго-Западного фронта освобождены от немецких оккупантов сотни населённых пунктов.» (14876).</w:t>
      </w:r>
    </w:p>
    <w:p w14:paraId="1FBCC31C" w14:textId="77777777" w:rsidR="00E05DAF" w:rsidRPr="00640820" w:rsidRDefault="00E05DAF" w:rsidP="00640820">
      <w:pPr>
        <w:spacing w:after="0" w:line="240" w:lineRule="auto"/>
        <w:jc w:val="both"/>
        <w:rPr>
          <w:rFonts w:ascii="Times New Roman" w:hAnsi="Times New Roman"/>
          <w:color w:val="000000" w:themeColor="text1"/>
          <w:sz w:val="16"/>
          <w:szCs w:val="16"/>
        </w:rPr>
      </w:pPr>
    </w:p>
    <w:p w14:paraId="2795D6FD"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30 декабря</w:t>
      </w:r>
      <w:r w:rsidRPr="00640820">
        <w:rPr>
          <w:rFonts w:ascii="Times New Roman" w:hAnsi="Times New Roman"/>
          <w:color w:val="000000" w:themeColor="text1"/>
          <w:sz w:val="16"/>
          <w:szCs w:val="16"/>
        </w:rPr>
        <w:t xml:space="preserve"> в 1941 году в ходе контрнаступления советских войск под Москвой войска 49-й (генерал-лейтенант И.Г.Захаркин) и 50-й (генерал-лейтенант И.В.Болдин) армий Западного фронта освободили город Калугу (14876).</w:t>
      </w:r>
    </w:p>
    <w:p w14:paraId="3A656085" w14:textId="77777777" w:rsidR="00E05DAF" w:rsidRPr="00640820" w:rsidRDefault="00E05DAF" w:rsidP="00640820">
      <w:pPr>
        <w:spacing w:after="0" w:line="240" w:lineRule="auto"/>
        <w:jc w:val="both"/>
        <w:rPr>
          <w:rFonts w:ascii="Times New Roman" w:hAnsi="Times New Roman"/>
          <w:color w:val="000000" w:themeColor="text1"/>
          <w:sz w:val="16"/>
          <w:szCs w:val="16"/>
        </w:rPr>
      </w:pPr>
    </w:p>
    <w:p w14:paraId="5E349DC7"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30 декабря</w:t>
      </w:r>
      <w:r w:rsidRPr="00640820">
        <w:rPr>
          <w:rFonts w:ascii="Times New Roman" w:hAnsi="Times New Roman"/>
          <w:color w:val="000000" w:themeColor="text1"/>
          <w:sz w:val="16"/>
          <w:szCs w:val="16"/>
        </w:rPr>
        <w:t xml:space="preserve"> в 1941 году с завершением Тихвинской операции закончилась Ленинградская оборонительная операция: советские войска нанесли существенный урон 10 дивизиям противника, продвинулись на 100-120 км и обеспечили сквозное движение по железной дороге до станции Войбокало, сорвали планы врага по созданию второго кольца окружения Ленинграда (14876).</w:t>
      </w:r>
    </w:p>
    <w:p w14:paraId="2395BA27" w14:textId="77777777" w:rsidR="00E05DAF" w:rsidRPr="00640820" w:rsidRDefault="00E05DAF" w:rsidP="00640820">
      <w:pPr>
        <w:spacing w:after="0" w:line="240" w:lineRule="auto"/>
        <w:jc w:val="both"/>
        <w:rPr>
          <w:rFonts w:ascii="Times New Roman" w:hAnsi="Times New Roman"/>
          <w:color w:val="000000" w:themeColor="text1"/>
          <w:sz w:val="16"/>
          <w:szCs w:val="16"/>
        </w:rPr>
      </w:pPr>
    </w:p>
    <w:p w14:paraId="4213425C"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30 декабря</w:t>
      </w:r>
      <w:r w:rsidRPr="00640820">
        <w:rPr>
          <w:rFonts w:ascii="Times New Roman" w:hAnsi="Times New Roman"/>
          <w:color w:val="000000" w:themeColor="text1"/>
          <w:sz w:val="16"/>
          <w:szCs w:val="16"/>
        </w:rPr>
        <w:t xml:space="preserve"> в 1941 году войска 51-й армии во взаимодействии с Черноморским флотом освободили Керчь и начали наступление в западном направлении (14876).</w:t>
      </w:r>
    </w:p>
    <w:p w14:paraId="77E5953E" w14:textId="77777777" w:rsidR="00E05DAF" w:rsidRPr="00640820" w:rsidRDefault="00E05DAF" w:rsidP="00640820">
      <w:pPr>
        <w:spacing w:after="0" w:line="240" w:lineRule="auto"/>
        <w:jc w:val="both"/>
        <w:rPr>
          <w:rFonts w:ascii="Times New Roman" w:hAnsi="Times New Roman"/>
          <w:color w:val="000000" w:themeColor="text1"/>
          <w:sz w:val="16"/>
          <w:szCs w:val="16"/>
        </w:rPr>
      </w:pPr>
    </w:p>
    <w:p w14:paraId="3D9B52DA"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30 декабря</w:t>
      </w:r>
      <w:r w:rsidRPr="00640820">
        <w:rPr>
          <w:rFonts w:ascii="Times New Roman" w:hAnsi="Times New Roman"/>
          <w:color w:val="000000" w:themeColor="text1"/>
          <w:sz w:val="16"/>
          <w:szCs w:val="16"/>
        </w:rPr>
        <w:t xml:space="preserve"> в 1941 году 29 и 30 декабря группа войск Кавказского фронта, во взаимодействии с военно-морскими силами Черноморского флота, высаживает десант на Крымском полуострове и после упорных боев занимает город и крепость Керчь и город Феодосия. При этом особенно отличаются войска генерала Первушина, генерала Львова и группа военно-морских сил во главе с капитаном первого ранга Басистым. На ряде других участков наши войска продвигаюися вперед и занимают ряд населенных пунктов, в числе их города Козельск и Угодский Завод (14876).</w:t>
      </w:r>
    </w:p>
    <w:p w14:paraId="0AC63B42" w14:textId="77777777" w:rsidR="00E05DAF" w:rsidRPr="00640820" w:rsidRDefault="00E05DAF" w:rsidP="00640820">
      <w:pPr>
        <w:spacing w:after="0" w:line="240" w:lineRule="auto"/>
        <w:jc w:val="both"/>
        <w:rPr>
          <w:rFonts w:ascii="Times New Roman" w:hAnsi="Times New Roman"/>
          <w:color w:val="000000" w:themeColor="text1"/>
          <w:sz w:val="16"/>
          <w:szCs w:val="16"/>
        </w:rPr>
      </w:pPr>
    </w:p>
    <w:p w14:paraId="71DC0015"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30 декабря</w:t>
      </w:r>
      <w:r w:rsidRPr="00640820">
        <w:rPr>
          <w:rFonts w:ascii="Times New Roman" w:hAnsi="Times New Roman"/>
          <w:color w:val="000000" w:themeColor="text1"/>
          <w:sz w:val="16"/>
          <w:szCs w:val="16"/>
        </w:rPr>
        <w:t xml:space="preserve"> в 1941 году командование вермахта распорядилось создать Грузинский, Армянский и Кавказско-мусульманский легионы из представителей народов Кавказа (14876).</w:t>
      </w:r>
    </w:p>
    <w:p w14:paraId="1FFC0CCF" w14:textId="77777777" w:rsidR="00E05DAF" w:rsidRPr="00640820" w:rsidRDefault="00E05DAF" w:rsidP="00640820">
      <w:pPr>
        <w:spacing w:after="0" w:line="240" w:lineRule="auto"/>
        <w:jc w:val="both"/>
        <w:rPr>
          <w:rFonts w:ascii="Times New Roman" w:hAnsi="Times New Roman"/>
          <w:color w:val="000000" w:themeColor="text1"/>
          <w:sz w:val="16"/>
          <w:szCs w:val="16"/>
        </w:rPr>
      </w:pPr>
    </w:p>
    <w:p w14:paraId="238419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декабря 1941 г Зам.Начальника 6 отдела Упр. ОО НКВД СССР Капитан госбезопасности Юхимович писал письмо №55120 НАЧАЛЬНИКУ ВОЙСК НКВД СОЮЗА СССР генерал-майору тов. Аполлонову</w:t>
      </w:r>
    </w:p>
    <w:p w14:paraId="1DCC3A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6-й отдел Управления ОО НКВД СССР поступили данные о том , что летчик истребительного авиаполка погранвойск НКВД ст.л-нт СТАРЧЕНКО проявляет трусость , уклоняется от боя и создает среди летчиков отрицательные мнения о самолете МИГ-3.</w:t>
      </w:r>
    </w:p>
    <w:p w14:paraId="3EED26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Оценивая качество самолета МИГ-3 Старченко говорит:</w:t>
      </w:r>
    </w:p>
    <w:p w14:paraId="2AFB378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не надо забывать , что мотор может в любую минуту подвести , а потом зачем рисковать собой – бей самолет, а сам оставайся жив. Короче говоря, чем меньше летаешь, тем больше проживешь. Поэтому летать я не очень тороплюсь».</w:t>
      </w:r>
    </w:p>
    <w:p w14:paraId="028EF3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Старченко отмечались отрицательные настроения.</w:t>
      </w:r>
    </w:p>
    <w:p w14:paraId="412C59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разговоре с летчиком по поводу применения тактики тарана героями летчиками ВВС Красной Армии , Старченко заявил:</w:t>
      </w:r>
    </w:p>
    <w:p w14:paraId="5D6D26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 считаю , что эти летчики такие которые имеют много перцу и мало рассудительности. Надо быть осторожным с противником и не рисковать собой, тогда наверняка будешь жив, а жить хочется, так как у меня есть семья. Надо при трудном положении выходить из боя».</w:t>
      </w:r>
    </w:p>
    <w:p w14:paraId="3F733A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16.ХI.41г Старченко имел воздушную встречу с неприятельским самолетом «Ю-88», но в бой не вступил.</w:t>
      </w:r>
    </w:p>
    <w:p w14:paraId="42A4DC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Всвязи с тем , что истребительный Авиаполк должен в ближайшее время выполнить задачу штурмовки живой силы противника ст.л-нт Старченко , несмотря на то , что отлично летает на самолете МИГ-3 , заявил, что самолет МИГ-3 ему не нравится и поэтому летать на нем не будет </w:t>
      </w:r>
    </w:p>
    <w:p w14:paraId="49BEA7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декабря с.г. Старченко подал рапорт на имя командования с просьбой перевести его на пассажирский самолет ПР-5 , так как он боится летать на МИГ-3, и не уверен в благополучном исходе полета, На предупреждение командира авиаполка –майора Емельянова , что Старченко должен лететь на фронт , последний заявил:</w:t>
      </w:r>
    </w:p>
    <w:p w14:paraId="321BB9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«Ваше дело я вам напишу , а Вы тогда смотрите»</w:t>
      </w:r>
    </w:p>
    <w:p w14:paraId="6CA54F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Усматривая в последнем угрозу преступных намерений. Старченко временно от полетов отстранен.</w:t>
      </w:r>
    </w:p>
    <w:p w14:paraId="1CE052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РГВА Фонд №386529 Ар.ед.11 Лист140 (11704).</w:t>
      </w:r>
    </w:p>
    <w:p w14:paraId="64D673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21F58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декабря 1941 войска ЗФ освободили Калугу (3186).</w:t>
      </w:r>
    </w:p>
    <w:p w14:paraId="579720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BB67D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декабря 1941 войска Кавказского фронта освободили Керчь (3186).</w:t>
      </w:r>
    </w:p>
    <w:p w14:paraId="02E92B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63B7E47"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73684BE0"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333B84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декабря 1941 г. был введен так называемый «военный налог», составлявший 12 % от зарплаты (11741).</w:t>
      </w:r>
    </w:p>
    <w:p w14:paraId="7232396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D17061"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7CD0EDC2"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63E38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 декабря 1941 вышел приказ НКАП N 1195сс в исполнение постановления ГКО N 1065сс от 25 декабря 1941 для восстановления на площади эвакуированного завода им. С.Орджоникидзе в Подольске производства бронекорпусов для Ил-2 и для организации производства бронекорпусов Ил-2 на площади механического завода Особого строительства в г. Куйбышеве.</w:t>
      </w:r>
    </w:p>
    <w:p w14:paraId="4C044E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Включить Подольский завод и Куйбышевские заводы бронекорпусов Ил-2 в состав 10 ГУ, присвоив им номера Подольскому - 125, Куйбышевскому - 207 (1327,125).</w:t>
      </w:r>
    </w:p>
    <w:p w14:paraId="5C3236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D51D8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 декабря 1941 года НКАП в своем приказе за № 1195сс обязал вновь назначенного решением ГКО директора Куйбышевского механического завода Засульского принять завод от НКтанкопрома и организовать производство бронекорпусов для самолетов ИЛ-2 и другой бронезащиты.</w:t>
      </w:r>
    </w:p>
    <w:p w14:paraId="17DD91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Указанным приказом Куйбышевскому механическому заводу присвоен № 207 с подчинением 10-му гл. управлению. В 1942 году в основном была направлена на строительство новых цехов и монтажэвакуированного обррудования из Подольского завода № 125 им. Орджоникидзе.</w:t>
      </w:r>
    </w:p>
    <w:p w14:paraId="2A10A8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Первоначальная специализация завода № 207 – производство бронекорпусов для самолетов штурмовиков и бронезащиты для истребительной и бомбардировочной авиации. Завод в 1942 году вел работу по сборке бронекорпусов Л-2 из деталей поступивших при эвакуации бывш. Подольского завода № 125, а со второго квартала 1942 года постепенно переключался на выпуск бронекорпусов из деталей своего производства.</w:t>
      </w:r>
    </w:p>
    <w:p w14:paraId="5C1C5DB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Заводом освоено производство по изготовлению бронекорпусов ИЛ-2, бронезащиты (ПЕ-2, ИЛ-4/ДБ-3Ф, А-35 (ПС-84), А-34, ЛАГГ-3, ЯК-1Б, ТБ-7 и АБ-5). В 1942 году завод провел большую опытно-исследовательскую работу по повышению пулестойкости брони.</w:t>
      </w:r>
    </w:p>
    <w:p w14:paraId="4743DF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Изучено действие бронебойно-зажигательно-трассирующих пуль немецкого авиапулемета-пушки МГ-151 (калибра 15-20 мм) и разработаны параметры экранированной брони защищающей экипаж самолета от огня этого пулемета-пушки, являющегося основным оружием немецкой истребительной авиации. В 1943 году освоил выпуск изделий авиатехники по обеспечению ВВС бронекорпусами ИЛ-2 новой конструкции и бронезащиты (ПЕ-2, ИЛ-4, ПЕ-8, ЛИ-2, А-34-ЯК-1, ЛАГГ-3, ЛА-5, бронеколпаки АВ-5, кольца ВУБ-3 и бронекорзины.</w:t>
      </w:r>
    </w:p>
    <w:p w14:paraId="11E580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Основные изделия 1944 года: бронекорпуса ИЛ-2 и ИЛ-10, бронезащита (ПЕ-2, ПЕ-2-И, ИЛ-4, ЕР-2, ЛИ-2(А-35), ЯК-1, ЛА-5, ЛАГГ_5, А-34, ЯК-3 плита ИЛ-2. В 1944 году завод освоил серийный выпуск нового объекта-бронекорпуса ИЛ-10. Выпуск бронекорпуса ИЛ-2 с 1 января 1945 года был прекращен.</w:t>
      </w:r>
    </w:p>
    <w:p w14:paraId="2C8CA1E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Согласно Постановлению СНК от 22 октября 1945 года за № 15248рс и приказу НКАП от 29 октября 1945 года за № 416с произведено слияние Куйбышевский авиационных заводов №№ 207 и 305, присвоив объединенному заводу № 207.</w:t>
      </w:r>
    </w:p>
    <w:p w14:paraId="2A2C07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Продукция 1945 года: бронекорпуса ИЛ-2 и ИЛ-10, бронезащита ПЕ-2, ЕР-2, ИЛ-4, ЯК-3, ЛА-5, А-34, ПЕ-2-И-М и нижний люк ИЛ-2.</w:t>
      </w:r>
    </w:p>
    <w:p w14:paraId="7616E8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обеспечения серийного выпуска заводом № 1 им. Сталина двухмоторного бомбардировщика ТУ-2 с мотором АМ-39фи Постановлением ГКО от 6 июня 1945 года за № 8934сс и приказу НКАП от 28 июня 1945 года за № 268сс завод освоил производство бронезащиты ТУ-2.</w:t>
      </w:r>
    </w:p>
    <w:p w14:paraId="67E5E0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этого завод приступил к осовению производства новой конструкции бронекорпуса ИЛ-16.</w:t>
      </w:r>
    </w:p>
    <w:p w14:paraId="78E304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Филиалом завода изготовлялось более 50 наименований арматуры и нормалей для самолетов ТУ-2, ЛИ-2 и др. В 1945 году завод освоил по оборонной продукции новый бронекорпус ИЛ-16 для завода № 30 НКАП, бронезащиту для самолетов ТУ-2, бронезащиту ПЕ-2 и ПЕ-2м, освоено производство дюралевых деталей для бронекорпусов ИЛ-2, ИЛ-10 и Ил-16 ранее поставлявшихся с заводов №№ 1 и 18. В 1945 году создан и освоен принципиально новый тип брони, так называемая экранированная броня. Путем анализа взаимодействия снаряда и брони удалось найти такое сочетание параметров брони, при котором дробящий эффект брони возрастает в 8-15 раз, а следовательно и толщина брони необходимая для разрушения снаряда может быть взята в 3-4 раза меньше. В 1947 году во исполнение Постановления СМ от 2 августа 1947 года за № 2733-859сс и приказу МАП от 7 августа 1947 года за № 532сс заводу было предложено освоить изготовление реактивных камер для реактивного двигателя РД-20.</w:t>
      </w:r>
    </w:p>
    <w:p w14:paraId="384154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Согласно распоряжению СМ от 3 февраля 1948 года за № 1090рс и приказу МАП от 1 марта 1948 года за № 98с об организации завода авиационной арматуры и опытного КБ на этом же заводе, бывш. филиал из состава завода № 207 выделить в самостоятельный завод и присвоить ему № 305, создав на базе завода № 305 ОКБ присвоив ему № 305.</w:t>
      </w:r>
    </w:p>
    <w:p w14:paraId="3D6633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 дня организации завода № 207 согласно Постановлению ГКО от 25 декабря 1941 года за № 1065сс диреткором завода назначен Засульский В.И.. Приказом от 17 сентября 1946 года Засульский И.В. был освобожден от занимаемой должности директора завода. 17 сентября 1946 года директором завода был назначен Дубовиков Б.А. 5 июля 1952 года Дубовиков был освобожден от занимаемой должности. 5 июля 1952 года директором завода назначен Прилуков А.С., освобожденный от обязанностей директора на заводе № 305 МАП. 7 октября 1954 года Прилуков освобожден от должности директора. 7 октября 1954 года директором завода назначен Плоскинный А.Г., освобожденный от обязанностей директора на заводе № 511 МАП. 11 апреля 1957 года Плоскинный освобожден от обязанностей директора завода. 11 апреля 1957 года директором завода назначен Белослудцев И.П., освобожденный от обязанностей начальника производства на заводе № 18 МАП.</w:t>
      </w:r>
    </w:p>
    <w:p w14:paraId="14D905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Куйбышев</w:t>
      </w:r>
    </w:p>
    <w:p w14:paraId="64A4C7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Производственный профиль – изготовление ракетной техники, реактивного вооружения и броневой защиты для самолетов (9851).</w:t>
      </w:r>
    </w:p>
    <w:p w14:paraId="2096AC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F51AB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31 декабря 1941 г. по приказу № 1195сс Куйбышевский завод Особстроя НКВД с 25.12.1941 г. передан в НКАП и получил № 207 в ведении 10ГУ. </w:t>
      </w:r>
    </w:p>
    <w:p w14:paraId="0B2F56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стального литья, авиационной брони (КО-1, АБ-3), изготовление бронекорпусов, бронеспинок, бронеплит для самолетов Ил-2, Ил-4, ПС-84, ЛаГГ-3 и др.</w:t>
      </w:r>
    </w:p>
    <w:p w14:paraId="3222E0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03.1943 г. на завод передана часть оборудования завода № 381 НКАП, реэвакуированного из Нижнего Тагила. </w:t>
      </w:r>
    </w:p>
    <w:p w14:paraId="7F0F48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постановлением СНК № 15248-рс от 22.10.1945 г. и приказом № 416с от 29.10.1945 г. в состав завода № 207 НКАП влит завод № 305 НКАП и с 1.10.1945 г. образован объединенный завод № 207 НКАП.</w:t>
      </w:r>
    </w:p>
    <w:p w14:paraId="086752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1955 г. передан из 10ГУ в 6ГУ МАП. В 1957 г. передан в Куйбышевский СНХ. По решению правительства № 22-р от 9.01.2004 г. вошло в перечень стратегических предприятий.</w:t>
      </w:r>
    </w:p>
    <w:p w14:paraId="7ECF4E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Производство (2002 г.): агрегаты для ЛА; механическая обработка и сварка металлов; машины для переработки сельхозпродуктов; мини-тракторы; детали для нефтедобывающего оборудования; центробежные насосы, расходомеры. </w:t>
      </w:r>
    </w:p>
    <w:p w14:paraId="71F3AA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Директор (12.1941-10.1945 г.-)- Засульский, (1949 г.)- Дубовиков. Гендиректор (-1998-2002 г.-)- Н.А. Поролло.69 </w:t>
      </w:r>
    </w:p>
    <w:p w14:paraId="2BECBB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ПВРД РД-900 (1958), ускорители для КР «Буря».</w:t>
      </w:r>
    </w:p>
    <w:p w14:paraId="33D3216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Завод № 207 НКАП, МАП, Куйбышевский механический завод НКВД, АООТ, ОАО «Салют» </w:t>
      </w:r>
    </w:p>
    <w:p w14:paraId="45B431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Куйбышев ст. Безымянка</w:t>
      </w:r>
    </w:p>
    <w:p w14:paraId="2CDDA1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443028 г. Самара Мехзавод тел. 57-01-01 (10776).</w:t>
      </w:r>
    </w:p>
    <w:p w14:paraId="4D7FE2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E202E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31 декабря 1941 по приказу НКАП №1195 бывшему Куйбышевскому механическому заводу в системе Особстроя (УОС) НКВД было присвоено название завод №207. Включен в состав 10ГУ НКАП. Директором завода назначен Засульский. Производство стального литья и авиационной бронестали (КО-1, АБ-3), изготовление бронекорпусов, бронеспинок и бронеплит для самолетов Ил-2, Ил-4, ПС-84, ЛаГГ-3 и др. </w:t>
      </w:r>
    </w:p>
    <w:p w14:paraId="73945AE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.10.1945 г. (приказ №416 от 29.10.45 г.) образован объединенный завод №207 НКАП в г.Куйбышев в результате слияния с заводом №305 НКАП. Директором остался Засульский, далее Дубовиков. </w:t>
      </w:r>
    </w:p>
    <w:p w14:paraId="1D6F4A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1955 г. завод передан из 10ГУ в 6ГУ МАП, в 1957 г. - в СНХ Куйбышевского экономического р-на. </w:t>
      </w:r>
    </w:p>
    <w:p w14:paraId="518E8A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1958 г. на заводе шла серия ПВРД РД-900 для воздушных мишеней Ла-17. Осуществлялось производство ускорителей для крылатой ракеты "Буря". </w:t>
      </w:r>
    </w:p>
    <w:p w14:paraId="645EA1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Генеральный директор (в наст. вр.) - Н.А.Поролло. АО "Салют" специализируется на механической обработке и сварке металлов, имеет все виды производств, характерные для крупного машиностроительного завода. </w:t>
      </w:r>
    </w:p>
    <w:p w14:paraId="1D6D0A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Салют, ОАО </w:t>
      </w:r>
    </w:p>
    <w:p w14:paraId="7B366B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Ранее - Завод №207, Куйбышевский механический завод, АООТ "Салют" </w:t>
      </w:r>
    </w:p>
    <w:p w14:paraId="71C39D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443028, Россия, г. Самара, Мехзавод (10778).</w:t>
      </w:r>
    </w:p>
    <w:p w14:paraId="7881B3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2C483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 декабря 1941 г. по приказу № 1195сс Куйбышевский механический завод с 25.12.1941 г. передан в НКАП и получил № 207 в ведении 10ГУ (Завод № 207 НКАП, МАП, Куйбышевский механический завод НКВД, АООТ, ОАО «Салют» / г. Куйбышев ст. Безымянка/ /443028  г. Самара Мехзавод тел. 57-01-01/).</w:t>
      </w:r>
    </w:p>
    <w:p w14:paraId="67F27C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стального литья, авиационной брони (КО-1, АБ-3), изготовление бронекорпусов, бронеспинок, бронеплит для самолетов Ил-2, Ил-4, ПС-84, ЛаГГ-3 и др.</w:t>
      </w:r>
    </w:p>
    <w:p w14:paraId="5C95C8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03.1943 г. на завод передана часть оборудования завода № 381 НКАП, реэвакуированного из Нижнего Тагила.</w:t>
      </w:r>
    </w:p>
    <w:p w14:paraId="79358B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распоряжением СНК № 15248-рс от 22.10.1945 г. и приказом № 416с от 29.10.1945 г. в состав завода № 207 НКАП влит завод № 305 НКАП и с 1.10.1945 г. образован объединенный завод № 207 НКАП.</w:t>
      </w:r>
    </w:p>
    <w:p w14:paraId="162473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1955 г. передан из ЮГУ в 6ГУ МАП. В соответствии с пост. СМ СССР № 713-342 от 26.06.1957 г. передан в ведение Куйбышевского СНХ РСФСР.</w:t>
      </w:r>
    </w:p>
    <w:p w14:paraId="0F5E80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решению правительства № 22-р от 9.01.2004 г. вошло в перечень стратегических предприятий. Входит в состав Корпорации ТРВ (с ~2004 г.).</w:t>
      </w:r>
    </w:p>
    <w:p w14:paraId="3786ED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(2002 г.): агрегаты для ЛА; механическая обработка и сварка металлов; машины для переработки сельхозпродуктов; мини-тракторы; детали для нефтедобывающего оборудования; центробежные насосы, расходомеры.</w:t>
      </w:r>
    </w:p>
    <w:p w14:paraId="4E4124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(12.1941-10.1945 г.-)- Засульский, (1949 г.)- Дубовиков. Гендиректор (-1998-2002 г.-)- Н.А. Поролло.</w:t>
      </w:r>
      <w:r w:rsidRPr="00640820">
        <w:rPr>
          <w:rFonts w:ascii="Times New Roman" w:hAnsi="Times New Roman"/>
          <w:color w:val="000000" w:themeColor="text1"/>
          <w:sz w:val="16"/>
          <w:szCs w:val="16"/>
          <w:vertAlign w:val="superscript"/>
        </w:rPr>
        <w:t>69</w:t>
      </w:r>
    </w:p>
    <w:p w14:paraId="3410EB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ПВРД РД-900 (1958), ПРД-33 для В-1000 (1959-), ускорители для КР «Буря» (11982).</w:t>
      </w:r>
    </w:p>
    <w:p w14:paraId="081913C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5178085" w14:textId="77777777" w:rsidR="00E05DAF" w:rsidRPr="00640820" w:rsidRDefault="00E05DAF"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На 31-е декабря 1941 года в Иркутск из Москвы прибыло 15 эшелонов и отдельных вагонов с оборудованием и различными грузами. Поступление эшелонов продолжилось в 1942 году и, в основном, завершилось в течение его первого квартала (15223).</w:t>
      </w:r>
    </w:p>
    <w:p w14:paraId="31AA4B01" w14:textId="77777777" w:rsidR="00E05DAF" w:rsidRPr="00640820" w:rsidRDefault="00E05DAF" w:rsidP="00640820">
      <w:pPr>
        <w:shd w:val="clear" w:color="auto" w:fill="FFFFFF"/>
        <w:spacing w:after="0" w:line="240" w:lineRule="auto"/>
        <w:jc w:val="both"/>
        <w:rPr>
          <w:rFonts w:ascii="Times New Roman" w:hAnsi="Times New Roman"/>
          <w:color w:val="000000" w:themeColor="text1"/>
          <w:sz w:val="16"/>
          <w:szCs w:val="16"/>
        </w:rPr>
      </w:pPr>
    </w:p>
    <w:p w14:paraId="6D0C33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 декабря 1941 года парторг ЦК ВКП(б) завода N 51 НКАП Ионов и летчик-испытатель завода N 51 Логинов писали письмо Маленкову, Шахурину и секретарю Новосибирского Обкома ВКП(б) Кулагину М.В.</w:t>
      </w:r>
    </w:p>
    <w:p w14:paraId="081874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Заводом N 51 НКАП сконструирован, построен и проведены заводские и совместные летные испытания с ЛИИ самолетов И-185 с моторами М-71 и М-82.</w:t>
      </w:r>
    </w:p>
    <w:p w14:paraId="2D2BCC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Данные самолета с мотором М-71 следующие:</w:t>
      </w:r>
    </w:p>
    <w:p w14:paraId="044427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Максимальная скорость у земли - 525 км/час (при неполном использовании форсажа).</w:t>
      </w:r>
    </w:p>
    <w:p w14:paraId="45A27A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Максимальная скорость на высоте - Н=6500 м= 630 км/час</w:t>
      </w:r>
    </w:p>
    <w:p w14:paraId="053D6A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Скороподъемность до высоты Н=5000 - 5,5 мин.</w:t>
      </w:r>
    </w:p>
    <w:p w14:paraId="2020F3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Вираж на высоте Н=4000 м - 23-24 сек.</w:t>
      </w:r>
    </w:p>
    <w:p w14:paraId="2B1C44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Самолет свободно делает весь пилотаж.</w:t>
      </w:r>
    </w:p>
    <w:p w14:paraId="76886A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Практический потолок Нпр. - 10000 м</w:t>
      </w:r>
    </w:p>
    <w:p w14:paraId="6A67BE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управлении самолет прост и легок.</w:t>
      </w:r>
    </w:p>
    <w:p w14:paraId="290030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Устойчивость самолета на всех режимах хорошая.</w:t>
      </w:r>
    </w:p>
    <w:p w14:paraId="07641C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штопоре самолет полностью безопасен и не имеет тенденций к непроизвольному срыву, выход без запаздывания.</w:t>
      </w:r>
    </w:p>
    <w:p w14:paraId="26B565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испытании самолета на сверхмаксимальную скорость, истинная скорость практически получена до 800 км/час.</w:t>
      </w:r>
    </w:p>
    <w:p w14:paraId="1811C5F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Скорость планирования - 200-220 км/час</w:t>
      </w:r>
    </w:p>
    <w:p w14:paraId="7CE4B0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Самолет оборудован предкрылками и закрылками.</w:t>
      </w:r>
    </w:p>
    <w:p w14:paraId="6C5436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Взлет и посадка просты.</w:t>
      </w:r>
    </w:p>
    <w:p w14:paraId="75CB27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Таблица взлетно-посадочных свойств самолета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67"/>
        <w:gridCol w:w="867"/>
        <w:gridCol w:w="867"/>
        <w:gridCol w:w="867"/>
        <w:gridCol w:w="867"/>
        <w:gridCol w:w="1869"/>
        <w:gridCol w:w="702"/>
        <w:gridCol w:w="3550"/>
      </w:tblGrid>
      <w:tr w:rsidR="00643896" w:rsidRPr="00640820" w14:paraId="3CE2BD22" w14:textId="77777777" w:rsidTr="000D3BCB">
        <w:tc>
          <w:tcPr>
            <w:tcW w:w="867" w:type="dxa"/>
            <w:tcBorders>
              <w:top w:val="single" w:sz="12" w:space="0" w:color="auto"/>
            </w:tcBorders>
          </w:tcPr>
          <w:p w14:paraId="0DB4E6B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сек.</w:t>
            </w:r>
          </w:p>
        </w:tc>
        <w:tc>
          <w:tcPr>
            <w:tcW w:w="867" w:type="dxa"/>
            <w:tcBorders>
              <w:top w:val="single" w:sz="12" w:space="0" w:color="auto"/>
            </w:tcBorders>
          </w:tcPr>
          <w:p w14:paraId="70035A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Щитки</w:t>
            </w:r>
          </w:p>
        </w:tc>
        <w:tc>
          <w:tcPr>
            <w:tcW w:w="867" w:type="dxa"/>
            <w:tcBorders>
              <w:top w:val="single" w:sz="12" w:space="0" w:color="auto"/>
            </w:tcBorders>
          </w:tcPr>
          <w:p w14:paraId="4BAD72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метр</w:t>
            </w:r>
          </w:p>
        </w:tc>
        <w:tc>
          <w:tcPr>
            <w:tcW w:w="867" w:type="dxa"/>
            <w:tcBorders>
              <w:top w:val="single" w:sz="12" w:space="0" w:color="auto"/>
            </w:tcBorders>
          </w:tcPr>
          <w:p w14:paraId="57FB65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задание</w:t>
            </w:r>
          </w:p>
        </w:tc>
        <w:tc>
          <w:tcPr>
            <w:tcW w:w="867" w:type="dxa"/>
            <w:tcBorders>
              <w:top w:val="single" w:sz="12" w:space="0" w:color="auto"/>
            </w:tcBorders>
          </w:tcPr>
          <w:p w14:paraId="626E26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сек.</w:t>
            </w:r>
          </w:p>
        </w:tc>
        <w:tc>
          <w:tcPr>
            <w:tcW w:w="1869" w:type="dxa"/>
            <w:tcBorders>
              <w:top w:val="single" w:sz="12" w:space="0" w:color="auto"/>
            </w:tcBorders>
          </w:tcPr>
          <w:p w14:paraId="36D4DAB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тормоза</w:t>
            </w:r>
          </w:p>
        </w:tc>
        <w:tc>
          <w:tcPr>
            <w:tcW w:w="702" w:type="dxa"/>
            <w:tcBorders>
              <w:top w:val="single" w:sz="12" w:space="0" w:color="auto"/>
            </w:tcBorders>
          </w:tcPr>
          <w:p w14:paraId="1ED6E1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w:t>
            </w:r>
          </w:p>
        </w:tc>
        <w:tc>
          <w:tcPr>
            <w:tcW w:w="3550" w:type="dxa"/>
            <w:tcBorders>
              <w:top w:val="single" w:sz="12" w:space="0" w:color="auto"/>
            </w:tcBorders>
          </w:tcPr>
          <w:p w14:paraId="349B17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примечание</w:t>
            </w:r>
          </w:p>
        </w:tc>
      </w:tr>
      <w:tr w:rsidR="00643896" w:rsidRPr="00640820" w14:paraId="4F87BB2E" w14:textId="77777777" w:rsidTr="000D3BCB">
        <w:tc>
          <w:tcPr>
            <w:tcW w:w="867" w:type="dxa"/>
          </w:tcPr>
          <w:p w14:paraId="617E9D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13,7</w:t>
            </w:r>
          </w:p>
        </w:tc>
        <w:tc>
          <w:tcPr>
            <w:tcW w:w="867" w:type="dxa"/>
          </w:tcPr>
          <w:p w14:paraId="516AB4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 град.</w:t>
            </w:r>
          </w:p>
        </w:tc>
        <w:tc>
          <w:tcPr>
            <w:tcW w:w="867" w:type="dxa"/>
          </w:tcPr>
          <w:p w14:paraId="059EFC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w:t>
            </w:r>
          </w:p>
        </w:tc>
        <w:tc>
          <w:tcPr>
            <w:tcW w:w="867" w:type="dxa"/>
          </w:tcPr>
          <w:p w14:paraId="3F38F1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посадка</w:t>
            </w:r>
          </w:p>
        </w:tc>
        <w:tc>
          <w:tcPr>
            <w:tcW w:w="867" w:type="dxa"/>
          </w:tcPr>
          <w:p w14:paraId="069AF5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15,5</w:t>
            </w:r>
          </w:p>
        </w:tc>
        <w:tc>
          <w:tcPr>
            <w:tcW w:w="1869" w:type="dxa"/>
          </w:tcPr>
          <w:p w14:paraId="01D374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тормозом</w:t>
            </w:r>
          </w:p>
        </w:tc>
        <w:tc>
          <w:tcPr>
            <w:tcW w:w="702" w:type="dxa"/>
          </w:tcPr>
          <w:p w14:paraId="282B84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370</w:t>
            </w:r>
          </w:p>
        </w:tc>
        <w:tc>
          <w:tcPr>
            <w:tcW w:w="3550" w:type="dxa"/>
          </w:tcPr>
          <w:p w14:paraId="288D4B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взлет без форсажа</w:t>
            </w:r>
          </w:p>
        </w:tc>
      </w:tr>
      <w:tr w:rsidR="00643896" w:rsidRPr="00640820" w14:paraId="0AF7247C" w14:textId="77777777" w:rsidTr="000D3BCB">
        <w:tc>
          <w:tcPr>
            <w:tcW w:w="867" w:type="dxa"/>
            <w:tcBorders>
              <w:bottom w:val="single" w:sz="12" w:space="0" w:color="auto"/>
            </w:tcBorders>
          </w:tcPr>
          <w:p w14:paraId="2524A2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12,5</w:t>
            </w:r>
          </w:p>
        </w:tc>
        <w:tc>
          <w:tcPr>
            <w:tcW w:w="867" w:type="dxa"/>
            <w:tcBorders>
              <w:bottom w:val="single" w:sz="12" w:space="0" w:color="auto"/>
            </w:tcBorders>
          </w:tcPr>
          <w:p w14:paraId="096DDF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град.</w:t>
            </w:r>
          </w:p>
        </w:tc>
        <w:tc>
          <w:tcPr>
            <w:tcW w:w="867" w:type="dxa"/>
            <w:tcBorders>
              <w:bottom w:val="single" w:sz="12" w:space="0" w:color="auto"/>
            </w:tcBorders>
          </w:tcPr>
          <w:p w14:paraId="57260A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275</w:t>
            </w:r>
          </w:p>
        </w:tc>
        <w:tc>
          <w:tcPr>
            <w:tcW w:w="867" w:type="dxa"/>
            <w:tcBorders>
              <w:bottom w:val="single" w:sz="12" w:space="0" w:color="auto"/>
            </w:tcBorders>
          </w:tcPr>
          <w:p w14:paraId="696228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посадка</w:t>
            </w:r>
          </w:p>
        </w:tc>
        <w:tc>
          <w:tcPr>
            <w:tcW w:w="867" w:type="dxa"/>
            <w:tcBorders>
              <w:bottom w:val="single" w:sz="12" w:space="0" w:color="auto"/>
            </w:tcBorders>
          </w:tcPr>
          <w:p w14:paraId="75B9D9B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33</w:t>
            </w:r>
          </w:p>
        </w:tc>
        <w:tc>
          <w:tcPr>
            <w:tcW w:w="1869" w:type="dxa"/>
            <w:tcBorders>
              <w:bottom w:val="single" w:sz="12" w:space="0" w:color="auto"/>
            </w:tcBorders>
          </w:tcPr>
          <w:p w14:paraId="75E272C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без тормоза</w:t>
            </w:r>
          </w:p>
        </w:tc>
        <w:tc>
          <w:tcPr>
            <w:tcW w:w="702" w:type="dxa"/>
            <w:tcBorders>
              <w:bottom w:val="single" w:sz="12" w:space="0" w:color="auto"/>
            </w:tcBorders>
          </w:tcPr>
          <w:p w14:paraId="0B5973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575</w:t>
            </w:r>
          </w:p>
        </w:tc>
        <w:tc>
          <w:tcPr>
            <w:tcW w:w="3550" w:type="dxa"/>
            <w:tcBorders>
              <w:bottom w:val="single" w:sz="12" w:space="0" w:color="auto"/>
            </w:tcBorders>
          </w:tcPr>
          <w:p w14:paraId="01B800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взлет без форсажа</w:t>
            </w:r>
          </w:p>
        </w:tc>
      </w:tr>
    </w:tbl>
    <w:p w14:paraId="463F6C8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Примечание: Взлетно-посадочные свойства снимались летом с полевого аэродрома при боевой полетной нагрузке.</w:t>
      </w:r>
    </w:p>
    <w:p w14:paraId="0A348D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Особо следует отметить малую величину разбега и пробега самолета. Как видно из таблицы самолет И-185 может оперировать с ограниченных размером посадочных площадок.</w:t>
      </w:r>
    </w:p>
    <w:p w14:paraId="1D2BC0F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Вооружение самолета состоит: 3-х пушек Швак, с патронами 550 шт., 8 шт. реактивных снарядов (Р.О.), химприборов и бомбовой нагрузки в 500 кг.</w:t>
      </w:r>
    </w:p>
    <w:p w14:paraId="3296E0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вышеизложенных данных видно, что самолет И-185 (вариант "И") с мотором М-71 является лучшим современным истребителем, как отечественного), так и зарубежного производства.</w:t>
      </w:r>
    </w:p>
    <w:p w14:paraId="613D07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Коллектив нашего завода на имеющейся базе готов приступить к серийному выпуску самолета И-185 по стоимости самолетов ЛАГГ первых серий идущих на заводе N 153.</w:t>
      </w:r>
    </w:p>
    <w:p w14:paraId="7D5880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Просим Вашего разрешения запустить самолет в серию.</w:t>
      </w:r>
    </w:p>
    <w:p w14:paraId="473FB5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Опытное производство от этого не пострадает.</w:t>
      </w:r>
    </w:p>
    <w:p w14:paraId="72242A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Мы глубоко уверены, что самолет И-185 сыграет большую роль в разгроме немецкого фашизма.</w:t>
      </w:r>
    </w:p>
    <w:p w14:paraId="707B7EE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Если самолет И-185 будет пущен в серию с мотором М-82 то потеряет в скорости 15-20 км/час (1679,7).</w:t>
      </w:r>
    </w:p>
    <w:p w14:paraId="4CBFEA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9861D8C" w14:textId="77777777" w:rsidR="00F370FA" w:rsidRPr="00640820" w:rsidRDefault="00F370FA"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31 декабря 1941 парторг завода №51 Ионов и летчик-испытатель Логинов сообщили отвечавшему за авиацию в Государственном комитете обороны секретарю ЦК ВКП(б) Маленкову, наркому Шахурину и секретарю Новосибирского обкома Кулагину предварительно полученные летные данные. Они указывали, что </w:t>
      </w:r>
      <w:r w:rsidRPr="00640820">
        <w:rPr>
          <w:rFonts w:ascii="Times New Roman" w:eastAsia="Times New Roman" w:hAnsi="Times New Roman"/>
          <w:iCs/>
          <w:color w:val="000000" w:themeColor="text1"/>
          <w:sz w:val="16"/>
          <w:szCs w:val="16"/>
          <w:shd w:val="clear" w:color="auto" w:fill="FFFFFF"/>
          <w:lang w:eastAsia="ru-RU"/>
        </w:rPr>
        <w:t>«...из вышеизложенных данных видно, что самолет И-185 (вариант «И») с мотором М-71 является лучшим современным истребителем, как отечественного), так и зарубежного производства. Коллектив нашего завода на имеющейся базе готов приступить к серийному выпуску самолета И-185 по стоимости самолетов ЛАГГ первых серий идущих на заводе №153. Просим Вашего разрешения запустить самолет в серию. Опытное производство от этого не пострадает. Мы глубоко уверены, что самолет И-185 сыграет большую роль в разгроме немецкого фашизма».</w:t>
      </w:r>
    </w:p>
    <w:p w14:paraId="29288616" w14:textId="77777777" w:rsidR="00F370FA" w:rsidRPr="00640820" w:rsidRDefault="00F370FA"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Здесь не стоит придираться к тому, что авторы этого письма спутали вариант «И» с мотором М-82 и пушечным вооружением с машиной с М-71, которая имела более высокие летные данные (ниже они сами писали, что </w:t>
      </w:r>
      <w:r w:rsidRPr="00640820">
        <w:rPr>
          <w:rFonts w:ascii="Times New Roman" w:eastAsia="Times New Roman" w:hAnsi="Times New Roman"/>
          <w:iCs/>
          <w:color w:val="000000" w:themeColor="text1"/>
          <w:sz w:val="16"/>
          <w:szCs w:val="16"/>
          <w:shd w:val="clear" w:color="auto" w:fill="FFFFFF"/>
          <w:lang w:eastAsia="ru-RU"/>
        </w:rPr>
        <w:t>«...если самолет И-185 будет пущен в серию с мотором М-82 то потеряет в скорости 15-20 км/час»).</w:t>
      </w:r>
      <w:r w:rsidRPr="00640820">
        <w:rPr>
          <w:rFonts w:ascii="Times New Roman" w:eastAsia="Times New Roman" w:hAnsi="Times New Roman"/>
          <w:color w:val="000000" w:themeColor="text1"/>
          <w:sz w:val="16"/>
          <w:szCs w:val="16"/>
          <w:lang w:eastAsia="ru-RU"/>
        </w:rPr>
        <w:t xml:space="preserve"> Проблема была куда сложнее.</w:t>
      </w:r>
    </w:p>
    <w:p w14:paraId="12ACC825" w14:textId="77777777" w:rsidR="00F370FA" w:rsidRPr="00640820" w:rsidRDefault="00F370FA"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Во-первых, завод №51 еще не мог работать даже как полноценное опытное предприятие, не говоря уже о полном цикле серийного производства. Для этого не хватало не только оснастки (был только один комплект шаблонов, формблоков и болванок для выколотки и штамповки металлических частей и выклейки фюзеляжа с килем, не было и части стапелей), но и кадров. Самолет имел цельнометаллическое крыло и очень дорогой 18-цилиндровый мотор М-71. Он не мог не мог стоить столько же, сколько и цельнодеревянный ЛаГГ-3 с 12-цилиндровым М-105П. Серийных М-71 все еще не было, а «провал» с производством дюраля превысил 30%, и его скудные довоенные запасы были практически исчерпаны. В то время этот материал отпускался в первую очередь заводу №22 для Пе-2, Ильюшин был обязан подготовить мероприятия по его максимальной замене на своих самолетах Ил-2 и ДБ-Зф, а остальные получали лишь минимум, которого хватало на капоты, коки винтов и другие малоразмерные детали.</w:t>
      </w:r>
    </w:p>
    <w:p w14:paraId="0986F83B" w14:textId="77777777" w:rsidR="00F370FA" w:rsidRPr="00640820" w:rsidRDefault="00F370FA"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Из этого следует, что Поликарпов пока никак не мог начать серийный выпуск самолета И-185 собственными силами, да и самолет к этому готов не был - его доводка осталась в плане на 1942 г. Причем если Яковлеву, Микояну и Лавочкину поручалось продолжить работы по своим истребителям с не таким дорогостоящим, но менее мощным серийным мотором М-82, то ему поручалось создать новую модификацию И-185, которая соединила бы преимущества М-71 с полезными новшествами в проекте с М-82.</w:t>
      </w:r>
    </w:p>
    <w:p w14:paraId="19ED992C" w14:textId="77777777" w:rsidR="00F370FA" w:rsidRPr="00640820" w:rsidRDefault="00F370FA"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А работая над первыми двумя самолетами И-185 М-71, следовало сосредоточить основное внимание как раз на моторе - он должен был пройти на них, а также на штурмовике Сухого «А» (одноместном Су-6 в доработанном варианте) окончательную отработку и Государственные испытания. Это позволило бы сдвинуть с мертвой точки и процесс запуска в производство целого ряда новых боевых самолетов, в том числе и истребителя И-185.</w:t>
      </w:r>
    </w:p>
    <w:p w14:paraId="4B19E721" w14:textId="77777777" w:rsidR="00F370FA" w:rsidRPr="00640820" w:rsidRDefault="00F370FA"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Очередное предложение об этом было направлено в НКАП 14 мая 1942 г. А.С. Яковлевым:</w:t>
      </w:r>
    </w:p>
    <w:p w14:paraId="3BC4B508" w14:textId="77777777" w:rsidR="00F370FA" w:rsidRPr="00640820" w:rsidRDefault="00F370FA"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iCs/>
          <w:color w:val="000000" w:themeColor="text1"/>
          <w:sz w:val="16"/>
          <w:szCs w:val="16"/>
          <w:shd w:val="clear" w:color="auto" w:fill="FFFFFF"/>
          <w:lang w:eastAsia="ru-RU"/>
        </w:rPr>
        <w:t>«Наши одноместные истребители, находящиеся в серийном производстве, не уступают по своим данным серийным неприятельским истребителям: Me 109, Me 109Ф, а в некоторых отношениях превосходят их.</w:t>
      </w:r>
    </w:p>
    <w:p w14:paraId="0461B7CC" w14:textId="77777777" w:rsidR="00F370FA" w:rsidRPr="00640820" w:rsidRDefault="00F370FA"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iCs/>
          <w:color w:val="000000" w:themeColor="text1"/>
          <w:sz w:val="16"/>
          <w:szCs w:val="16"/>
          <w:shd w:val="clear" w:color="auto" w:fill="FFFFFF"/>
          <w:lang w:eastAsia="ru-RU"/>
        </w:rPr>
        <w:t>Модифицируя наши истребители без ущерба серийному выпуску, а также при установке форсированных моторов, летные и боевые качества их все время поддерживаются на уровне, обеспечивающем успешную борьбу против неприятельской авиации.</w:t>
      </w:r>
    </w:p>
    <w:p w14:paraId="33D4AFF4" w14:textId="77777777" w:rsidR="00F370FA" w:rsidRPr="00640820" w:rsidRDefault="00F370FA"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iCs/>
          <w:color w:val="000000" w:themeColor="text1"/>
          <w:sz w:val="16"/>
          <w:szCs w:val="16"/>
          <w:shd w:val="clear" w:color="auto" w:fill="FFFFFF"/>
          <w:lang w:eastAsia="ru-RU"/>
        </w:rPr>
        <w:t>Однако, для полного господства в воздухе выдвигается необходимость применения, хотя бы в небольших количествах, одноместных истребителей, с летными и боевыми качествами значительно превышающими данные неприятельских современных истребителей.</w:t>
      </w:r>
    </w:p>
    <w:p w14:paraId="016EE8E1" w14:textId="77777777" w:rsidR="00F370FA" w:rsidRPr="00640820" w:rsidRDefault="00F370FA"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iCs/>
          <w:color w:val="000000" w:themeColor="text1"/>
          <w:sz w:val="16"/>
          <w:szCs w:val="16"/>
          <w:shd w:val="clear" w:color="auto" w:fill="FFFFFF"/>
          <w:lang w:eastAsia="ru-RU"/>
        </w:rPr>
        <w:t>Умело маневрируя и перебрасывая по фронту небольшие группы таких мощных, скоростных истребителей, можно добиться психологического в первую очередь, а затем и военного преобладания в воздухе на данном участке фронта.</w:t>
      </w:r>
    </w:p>
    <w:p w14:paraId="16E8ACEC" w14:textId="77777777" w:rsidR="00F370FA" w:rsidRPr="00640820" w:rsidRDefault="00F370FA"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iCs/>
          <w:color w:val="000000" w:themeColor="text1"/>
          <w:sz w:val="16"/>
          <w:szCs w:val="16"/>
          <w:shd w:val="clear" w:color="auto" w:fill="FFFFFF"/>
          <w:lang w:eastAsia="ru-RU"/>
        </w:rPr>
        <w:t>Считаю целесообразным запуск в серию до 100 самолетов, одноместного истребителя И-185 под мотор М71, вооруженного двумя синхронными пушками Швак.</w:t>
      </w:r>
    </w:p>
    <w:p w14:paraId="773EA184" w14:textId="77777777" w:rsidR="00F370FA" w:rsidRPr="00640820" w:rsidRDefault="00F370FA"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iCs/>
          <w:color w:val="000000" w:themeColor="text1"/>
          <w:sz w:val="16"/>
          <w:szCs w:val="16"/>
          <w:shd w:val="clear" w:color="auto" w:fill="FFFFFF"/>
          <w:lang w:eastAsia="ru-RU"/>
        </w:rPr>
        <w:t>Как по своим летным данным: Максимальная скорость у земли при форсаже - 556 км/час</w:t>
      </w:r>
    </w:p>
    <w:p w14:paraId="38C72ABE" w14:textId="77777777" w:rsidR="00F370FA" w:rsidRPr="00640820" w:rsidRDefault="00F370FA"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iCs/>
          <w:color w:val="000000" w:themeColor="text1"/>
          <w:sz w:val="16"/>
          <w:szCs w:val="16"/>
          <w:shd w:val="clear" w:color="auto" w:fill="FFFFFF"/>
          <w:lang w:eastAsia="ru-RU"/>
        </w:rPr>
        <w:t>Максимальная скорость на высоте 6170 м</w:t>
      </w:r>
      <w:r w:rsidRPr="00640820">
        <w:rPr>
          <w:rFonts w:ascii="Times New Roman" w:eastAsia="Times New Roman" w:hAnsi="Times New Roman"/>
          <w:color w:val="000000" w:themeColor="text1"/>
          <w:sz w:val="16"/>
          <w:szCs w:val="16"/>
          <w:lang w:eastAsia="ru-RU"/>
        </w:rPr>
        <w:t xml:space="preserve"> - </w:t>
      </w:r>
      <w:r w:rsidRPr="00640820">
        <w:rPr>
          <w:rFonts w:ascii="Times New Roman" w:eastAsia="Times New Roman" w:hAnsi="Times New Roman"/>
          <w:iCs/>
          <w:color w:val="000000" w:themeColor="text1"/>
          <w:sz w:val="16"/>
          <w:szCs w:val="16"/>
          <w:shd w:val="clear" w:color="auto" w:fill="FFFFFF"/>
          <w:lang w:eastAsia="ru-RU"/>
        </w:rPr>
        <w:t>630 км/час</w:t>
      </w:r>
    </w:p>
    <w:p w14:paraId="4BBF9EE7" w14:textId="77777777" w:rsidR="00F370FA" w:rsidRPr="00640820" w:rsidRDefault="00F370FA"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iCs/>
          <w:color w:val="000000" w:themeColor="text1"/>
          <w:sz w:val="16"/>
          <w:szCs w:val="16"/>
          <w:shd w:val="clear" w:color="auto" w:fill="FFFFFF"/>
          <w:lang w:eastAsia="ru-RU"/>
        </w:rPr>
        <w:t>Скороподъемность на 5000 м - 5,2 м так и по мощности огня И-185 превосходит все неприятельские истребители, включая и такие, как Хе-113 иФВ-190.</w:t>
      </w:r>
    </w:p>
    <w:p w14:paraId="113FE2A1" w14:textId="77777777" w:rsidR="00F370FA" w:rsidRPr="00640820" w:rsidRDefault="00F370FA"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iCs/>
          <w:color w:val="000000" w:themeColor="text1"/>
          <w:sz w:val="16"/>
          <w:szCs w:val="16"/>
          <w:shd w:val="clear" w:color="auto" w:fill="FFFFFF"/>
          <w:lang w:eastAsia="ru-RU"/>
        </w:rPr>
        <w:t>Ввиду этого считаю необходимым немедленно запустить войсковую серию истребителей И-185 на заводе №31 в Тбилиси» (17736).</w:t>
      </w:r>
    </w:p>
    <w:p w14:paraId="5AE604BE" w14:textId="77777777" w:rsidR="00F370FA" w:rsidRPr="00640820" w:rsidRDefault="00F370FA" w:rsidP="00640820">
      <w:pPr>
        <w:spacing w:after="0" w:line="240" w:lineRule="auto"/>
        <w:jc w:val="both"/>
        <w:rPr>
          <w:rFonts w:ascii="Times New Roman" w:hAnsi="Times New Roman"/>
          <w:color w:val="000000" w:themeColor="text1"/>
          <w:sz w:val="16"/>
          <w:szCs w:val="16"/>
        </w:rPr>
      </w:pPr>
    </w:p>
    <w:p w14:paraId="755B79D1" w14:textId="77777777" w:rsidR="00313A9E" w:rsidRPr="00640820" w:rsidRDefault="00313A9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xml:space="preserve">К 31 декабря 1941 г. в ходе контрнаступления советских войск под Москвой захватили «несколько экземпляров» </w:t>
      </w:r>
      <w:r w:rsidRPr="00640820">
        <w:rPr>
          <w:rFonts w:ascii="Times New Roman" w:hAnsi="Times New Roman"/>
          <w:color w:val="0070C0"/>
          <w:sz w:val="16"/>
          <w:szCs w:val="16"/>
          <w:lang w:val="en-US"/>
        </w:rPr>
        <w:t>Bf</w:t>
      </w:r>
      <w:r w:rsidRPr="00640820">
        <w:rPr>
          <w:rFonts w:ascii="Times New Roman" w:hAnsi="Times New Roman"/>
          <w:color w:val="0070C0"/>
          <w:sz w:val="16"/>
          <w:szCs w:val="16"/>
        </w:rPr>
        <w:t xml:space="preserve"> 109</w:t>
      </w:r>
      <w:r w:rsidRPr="00640820">
        <w:rPr>
          <w:rFonts w:ascii="Times New Roman" w:hAnsi="Times New Roman"/>
          <w:color w:val="0070C0"/>
          <w:sz w:val="16"/>
          <w:szCs w:val="16"/>
          <w:lang w:val="en-US"/>
        </w:rPr>
        <w:t>E</w:t>
      </w:r>
      <w:r w:rsidRPr="00640820">
        <w:rPr>
          <w:rFonts w:ascii="Times New Roman" w:hAnsi="Times New Roman"/>
          <w:color w:val="0070C0"/>
          <w:sz w:val="16"/>
          <w:szCs w:val="16"/>
        </w:rPr>
        <w:t>, но все с серьезными повреждениями. Ни один из них восстанавливать не стали. Зато посмотрели на их вооружение и оборудование. Большим плюсом немецкой машины являлась хорошая радиостанция. Советским летчикам о подобном оставалось только мечтать: наbмногих истребителях радио вообще отсутствовало, либо монтировались только приемники (23186).</w:t>
      </w:r>
    </w:p>
    <w:p w14:paraId="515D4135" w14:textId="77777777" w:rsidR="00313A9E" w:rsidRPr="00640820" w:rsidRDefault="00313A9E" w:rsidP="00640820">
      <w:pPr>
        <w:spacing w:after="0" w:line="240" w:lineRule="auto"/>
        <w:jc w:val="both"/>
        <w:rPr>
          <w:rFonts w:ascii="Times New Roman" w:hAnsi="Times New Roman"/>
          <w:color w:val="0070C0"/>
          <w:sz w:val="16"/>
          <w:szCs w:val="16"/>
        </w:rPr>
      </w:pPr>
    </w:p>
    <w:p w14:paraId="4550C7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 декабря 1941 директор филиала завода 379 Быстров и ГК завода 379 Марков писали докладную записку N 229с А.И.Ш.:</w:t>
      </w:r>
    </w:p>
    <w:p w14:paraId="46F27D9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вопросу: Боевого применения ТМС</w:t>
      </w:r>
    </w:p>
    <w:p w14:paraId="5FC817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докладу руководителя работ по ТМС завода 379 Е.Г.Чачикяна Г.М.М. дано указание командующему ВВС Жигареву об обеспечении боевого применению ТМС действующей армии.</w:t>
      </w:r>
    </w:p>
    <w:p w14:paraId="1A29B6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ТМС находятся в следующей готовности:</w:t>
      </w:r>
    </w:p>
    <w:p w14:paraId="4D4C1A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1. ТМ ТБ (ТБ-3 - Торпеда) вооруженный бомбовой нагрузкой в 4 т (повышенного взрывчатого действия) и командный самолет ДБ-3, полностью готовые к боевому применению, находятся на аэродроме подскока в Иванове. ТМС предназначается для поражения крупных целей противника (промышленные объекты, мосты и т.п.).</w:t>
      </w:r>
    </w:p>
    <w:p w14:paraId="7B9724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Наведение ТМС летящего без экипажа, на цель осуществляется с командного самолета раиоуправлением.</w:t>
      </w:r>
    </w:p>
    <w:p w14:paraId="705944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2-й комплект самолетов, состоящий из ТМС ТБ-3 (торпеда) и командного самолета СБ находится на базе 81 АД в Казани и может быть в течение 10-15 дней также подготовлен к боевому применению.</w:t>
      </w:r>
    </w:p>
    <w:p w14:paraId="2B9DB7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3-й объект - ТМС СБ находится в распоряжении завода 379 в Казани и может быть подготовлен к боевому применению после серии контрольно-тренировочных полетов (в течение 30-40 дней) (1977,218).</w:t>
      </w:r>
    </w:p>
    <w:p w14:paraId="5C8DFE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E77EBE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 декабря 1941 военпред принял первые 10 серийных планеров Гр-29 В.К.Грибовского (94,62).</w:t>
      </w:r>
    </w:p>
    <w:p w14:paraId="69A117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40B2C72"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31 декабря 1941 через военную приёмку прошла первая серия из десяти Г-11. Облёт первых серийных аппаратов по</w:t>
      </w:r>
      <w:r w:rsidRPr="00640820">
        <w:rPr>
          <w:rFonts w:ascii="Times New Roman" w:hAnsi="Times New Roman"/>
          <w:color w:val="000000" w:themeColor="text1"/>
          <w:sz w:val="16"/>
          <w:szCs w:val="16"/>
        </w:rPr>
        <w:softHyphen/>
        <w:t>казал, что сдвиг крыла назад привёл к появлению тряски хвостового оперения при выпуске щитков. На Гр-29 такого явления не наблюдалось. Тряску быстро устранили введением перфорации на центропланных секциях щитков.</w:t>
      </w:r>
    </w:p>
    <w:p w14:paraId="1BB4F871"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Уже после поступления Г-11 в стро</w:t>
      </w:r>
      <w:r w:rsidRPr="00640820">
        <w:rPr>
          <w:rFonts w:ascii="Times New Roman" w:hAnsi="Times New Roman"/>
          <w:color w:val="000000" w:themeColor="text1"/>
          <w:sz w:val="16"/>
          <w:szCs w:val="16"/>
        </w:rPr>
        <w:softHyphen/>
        <w:t>евые части обнаружился реверс консолей при отклонении элеронов. В частности, при проведении войсковых испытаний по этой причине погиб пилот В. Романов. Он на буксире перегонял планёр с одного аэродрома на другой. При сильной болтанке Г-11 отцепился от буксировщика, потерял управление и упал. Вместе с Романовым погиб на</w:t>
      </w:r>
      <w:r w:rsidRPr="00640820">
        <w:rPr>
          <w:rFonts w:ascii="Times New Roman" w:hAnsi="Times New Roman"/>
          <w:color w:val="000000" w:themeColor="text1"/>
          <w:sz w:val="16"/>
          <w:szCs w:val="16"/>
        </w:rPr>
        <w:softHyphen/>
        <w:t>ходившийся на борту механик.</w:t>
      </w:r>
    </w:p>
    <w:p w14:paraId="08ABD787"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Это было связано как с увеличением площади элеронов (и, соответствен</w:t>
      </w:r>
      <w:r w:rsidRPr="00640820">
        <w:rPr>
          <w:rFonts w:ascii="Times New Roman" w:hAnsi="Times New Roman"/>
          <w:color w:val="000000" w:themeColor="text1"/>
          <w:sz w:val="16"/>
          <w:szCs w:val="16"/>
        </w:rPr>
        <w:softHyphen/>
        <w:t>но, с ростом усилий, передававшихся на конструкцию крыла), так и с низким качеством фанеры. В качестве меры противодействия часть полотна на кон</w:t>
      </w:r>
      <w:r w:rsidRPr="00640820">
        <w:rPr>
          <w:rFonts w:ascii="Times New Roman" w:hAnsi="Times New Roman"/>
          <w:color w:val="000000" w:themeColor="text1"/>
          <w:sz w:val="16"/>
          <w:szCs w:val="16"/>
        </w:rPr>
        <w:softHyphen/>
        <w:t>солях заменили фанерой, которая шла теперь до задней косой балки (вспомо</w:t>
      </w:r>
      <w:r w:rsidRPr="00640820">
        <w:rPr>
          <w:rFonts w:ascii="Times New Roman" w:hAnsi="Times New Roman"/>
          <w:color w:val="000000" w:themeColor="text1"/>
          <w:sz w:val="16"/>
          <w:szCs w:val="16"/>
        </w:rPr>
        <w:softHyphen/>
        <w:t>гательного лонжерона). Это увеличило жёсткость консолей.</w:t>
      </w:r>
    </w:p>
    <w:p w14:paraId="43780CAA"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Многие изменения в конструкции планёров в первый период войны бы</w:t>
      </w:r>
      <w:r w:rsidRPr="00640820">
        <w:rPr>
          <w:rFonts w:ascii="Times New Roman" w:hAnsi="Times New Roman"/>
          <w:color w:val="000000" w:themeColor="text1"/>
          <w:sz w:val="16"/>
          <w:szCs w:val="16"/>
        </w:rPr>
        <w:softHyphen/>
        <w:t>ли связаны с желанием уменьшить долю дефицитных материалов в, по сути, «одноразовом» аппарате. Вмес</w:t>
      </w:r>
      <w:r w:rsidRPr="00640820">
        <w:rPr>
          <w:rFonts w:ascii="Times New Roman" w:hAnsi="Times New Roman"/>
          <w:color w:val="000000" w:themeColor="text1"/>
          <w:sz w:val="16"/>
          <w:szCs w:val="16"/>
        </w:rPr>
        <w:softHyphen/>
        <w:t>то специальных дорогих авиационных болтов на Г-11 стали применять дешё</w:t>
      </w:r>
      <w:r w:rsidRPr="00640820">
        <w:rPr>
          <w:rFonts w:ascii="Times New Roman" w:hAnsi="Times New Roman"/>
          <w:color w:val="000000" w:themeColor="text1"/>
          <w:sz w:val="16"/>
          <w:szCs w:val="16"/>
        </w:rPr>
        <w:softHyphen/>
        <w:t>вые «чёрные», запас которых оставал</w:t>
      </w:r>
      <w:r w:rsidRPr="00640820">
        <w:rPr>
          <w:rFonts w:ascii="Times New Roman" w:hAnsi="Times New Roman"/>
          <w:color w:val="000000" w:themeColor="text1"/>
          <w:sz w:val="16"/>
          <w:szCs w:val="16"/>
        </w:rPr>
        <w:softHyphen/>
        <w:t>ся на заводах с довоенного времени. Предлагалось заменить металличес</w:t>
      </w:r>
      <w:r w:rsidRPr="00640820">
        <w:rPr>
          <w:rFonts w:ascii="Times New Roman" w:hAnsi="Times New Roman"/>
          <w:color w:val="000000" w:themeColor="text1"/>
          <w:sz w:val="16"/>
          <w:szCs w:val="16"/>
        </w:rPr>
        <w:softHyphen/>
        <w:t>кие втулки колёс с роликовыми под</w:t>
      </w:r>
      <w:r w:rsidRPr="00640820">
        <w:rPr>
          <w:rFonts w:ascii="Times New Roman" w:hAnsi="Times New Roman"/>
          <w:color w:val="000000" w:themeColor="text1"/>
          <w:sz w:val="16"/>
          <w:szCs w:val="16"/>
        </w:rPr>
        <w:softHyphen/>
        <w:t>шипниками на деревянные с вклады</w:t>
      </w:r>
      <w:r w:rsidRPr="00640820">
        <w:rPr>
          <w:rFonts w:ascii="Times New Roman" w:hAnsi="Times New Roman"/>
          <w:color w:val="000000" w:themeColor="text1"/>
          <w:sz w:val="16"/>
          <w:szCs w:val="16"/>
        </w:rPr>
        <w:softHyphen/>
        <w:t>шами из дельта-древесины (дерева, пропитанного синтетической смолой).Но, видимо, на серийных аппаратах их не ставили. Многократно вносились упрощения в конструкцию и техноло</w:t>
      </w:r>
      <w:r w:rsidRPr="00640820">
        <w:rPr>
          <w:rFonts w:ascii="Times New Roman" w:hAnsi="Times New Roman"/>
          <w:color w:val="000000" w:themeColor="text1"/>
          <w:sz w:val="16"/>
          <w:szCs w:val="16"/>
        </w:rPr>
        <w:softHyphen/>
        <w:t>гию изготовления. Всё это привело к росту веса. Так, планёры последних серий, изготовленных заводом № 471 в Шумерли, имели пустой вес 1214 кг и полётный - 2454 кг. Соответственно увеличились скорость отрыва на взлёте и посадочная скорость (12266).</w:t>
      </w:r>
    </w:p>
    <w:p w14:paraId="6F8ABF8E" w14:textId="77777777" w:rsidR="00045010" w:rsidRPr="00640820" w:rsidRDefault="00045010" w:rsidP="00640820">
      <w:pPr>
        <w:spacing w:after="0" w:line="240" w:lineRule="auto"/>
        <w:jc w:val="both"/>
        <w:rPr>
          <w:rFonts w:ascii="Times New Roman" w:hAnsi="Times New Roman"/>
          <w:color w:val="000000" w:themeColor="text1"/>
          <w:sz w:val="16"/>
          <w:szCs w:val="16"/>
        </w:rPr>
      </w:pPr>
    </w:p>
    <w:p w14:paraId="38E396B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 декабря 1941 вышел приказ НКАП № 1178ас:</w:t>
      </w:r>
    </w:p>
    <w:p w14:paraId="0E197B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приказом НКАП № 1057сс от 10 октября с.г. об эвакуации з-да 482 на з-д 494:</w:t>
      </w:r>
    </w:p>
    <w:p w14:paraId="02AECC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З-ды 482 и 494 объединить в один з-д, присвоив ему № 494,</w:t>
      </w:r>
    </w:p>
    <w:p w14:paraId="06EDD5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Установить, что з-д 494 - производит выпуск десантных планеров Гр-29 констр. Грибовского и учебно-тренировочныъ планеров УС-6 конструкции Антонова.</w:t>
      </w:r>
    </w:p>
    <w:p w14:paraId="6D14DC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Воронин (1329, 29).</w:t>
      </w:r>
    </w:p>
    <w:p w14:paraId="546C4D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9E40B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 декабря 1941 года Пешков писал письмо N 542с Сталину.</w:t>
      </w:r>
    </w:p>
    <w:p w14:paraId="1CAA19B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 года 8-го сентября, я подал предложение оборонного характера, на что письмом от 7-го октября 1941 г., я получил уведомление от отдела изобретательства НКАП о том, что мое предложение ими получено 20 сентября 1941 года, зарегистрировано за N 853с и направлено на заключение. Несмотря на изрядный прошедший срок, однако никакого ответа о "заключении" я до сих пор не получил.</w:t>
      </w:r>
    </w:p>
    <w:p w14:paraId="44A9C8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Сущность предложения.</w:t>
      </w:r>
    </w:p>
    <w:p w14:paraId="408BAD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Самолет "ИТ-1", в расшифровке "Самолет истребитель-таран, снарядо-образного типа, конструкции N 1".</w:t>
      </w:r>
    </w:p>
    <w:p w14:paraId="498786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Назначение: уничтожать любого типа вражеские самолеты, находящиеся главным образом в воздухе.</w:t>
      </w:r>
    </w:p>
    <w:p w14:paraId="6F3C1C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Уничтожение самолетов противника, предлагаемый "ИТ-1" может двумя способами: 1-ый способ - производится действием как обычным истребителем, имея вооружение два крупнокалиберных пулемета и громадное преимущество в скорости, а следовательно и маневренности.</w:t>
      </w:r>
    </w:p>
    <w:p w14:paraId="7023D0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Пользуясь 3-х томным справочником авиаконструктора и делая предварительные подсчеты, которые показывают, что:</w:t>
      </w:r>
    </w:p>
    <w:p w14:paraId="28F3D13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Горизонтальная скорость "ИТ-1" на высоте Н-5000 м - V=1000-1100 км/час;</w:t>
      </w:r>
    </w:p>
    <w:p w14:paraId="2CADD5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Также у земли V=800-850 км/час (набор высоты);</w:t>
      </w:r>
    </w:p>
    <w:p w14:paraId="23D1D0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Посадочная скорость V=175 км/час;</w:t>
      </w:r>
    </w:p>
    <w:p w14:paraId="433779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Подъемная сила "ИТ-1" G=2400 кг.</w:t>
      </w:r>
    </w:p>
    <w:p w14:paraId="423D82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2-й способ -уничтожение самолетов противника.</w:t>
      </w:r>
    </w:p>
    <w:p w14:paraId="4CBDFEB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Путем таранения, для этого:</w:t>
      </w:r>
    </w:p>
    <w:p w14:paraId="2FE1E5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Форма "ИТ-1" создана снарядо-образного типа, с совершенно новым видом и формами рулей управления хвостового оперения и элеронов;</w:t>
      </w:r>
    </w:p>
    <w:p w14:paraId="081F3E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"ИТ-1" цельнометаллический, т.е. целиком облечен в 3,5 мм броню, при этом имея полетный вес не более = 1500 кг.</w:t>
      </w:r>
    </w:p>
    <w:p w14:paraId="31A26B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Летчик расположен так, что амортизированная система его кабины и ведущего мотора, при таранении не будет подвержен реактивным силам толчка, т.к. последний будет восприниматься "тараном" и корпусом "ИТ-1", который обладает достаточной прочностью, т.к. цельно-бронированный.</w:t>
      </w:r>
    </w:p>
    <w:p w14:paraId="3F0A49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Действие таранения может производиться с горизонтального полета в хвостовое оперение самолета противника и о "пике" в любое крыло или хвостовое оперение. Кроме того, влияние центробежных сил и сил ускорения при виражах либо других фигурных полетах на летчика влияет в меньшей степени, как если бы это было при существующих самолетах. Таким образом, "ИТ-1" путем таранения может уничтожать бесчисленное количество вражеских самолетов, при этом, как конструкция "ИТ-1"6 так и летчик остаются невредимыми. Аэродинамические качества предлагаемого самолета "ИТ-1" выгодно отличаются от существующих самолетов, т.к. последние в полной зависимости от аэродинамических свойств несущих плоскостей (лонжеронов) и хвостового оперения, сопряженных с сложнейшими формулярами расчетов для отыскания наивыгоднейших летных качеств. Предлагаемый "ИТ-1" освобожден от этого, т.к. имея добавочные (выпускные) уменьшения посадочной скорости, либо взлета.</w:t>
      </w:r>
    </w:p>
    <w:p w14:paraId="08B1C7E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Следует сказать, что предлагаемый "ИТ-1" представляет собою совершенно новый тип летательного аппарата, с совершенными и выгодными отличиями от существующих самолетов.</w:t>
      </w:r>
    </w:p>
    <w:p w14:paraId="274EC9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Работая над данным предложением нового типа самолета - я поставил перед собой задачу - создать такую машину, чтобы при их наличии не более 100 штук можно было бы большее количество уничтожить и совершенно парализовать действия фашистских, всех самолетов любого типа.</w:t>
      </w:r>
    </w:p>
    <w:p w14:paraId="1483D3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Кратко изложив сказанное - я хочу просить Вас Иосиф Виссарионович о том, чтобы Вы доверили мне и оказали бы помощь для построения натур-модели предлагаемого типа самолета. С своей стороны, с момента объявления войны, прорабатывая указанное предложение я каждую минуту свободного времени отдавал этому делу и считаю, что те технические познания, которые я имею вполне могут оказать возможность создания предлагаемого мною нового типа летательного аппарата для эффективной борьбы против гитлеровской банды.</w:t>
      </w:r>
    </w:p>
    <w:p w14:paraId="204D70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Прошу Вашей помощи (работаю на заводе N 32) (2160,270).</w:t>
      </w:r>
    </w:p>
    <w:p w14:paraId="55CEEA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E0408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 декабря 1941 вышел приказ НКАП № 1179ас:</w:t>
      </w:r>
    </w:p>
    <w:p w14:paraId="7BB6AE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связи с решением Правительства оэ эвакуации з-в 445 и 493 в г. Алапаевск:</w:t>
      </w:r>
    </w:p>
    <w:p w14:paraId="2A5ABA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З-ды 445 и 493 объединить в один з-д, присвоив новому з-ду № 445,</w:t>
      </w:r>
    </w:p>
    <w:p w14:paraId="75AA82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Установить, что з-д 445 производит выпуск десантных планеров РФ-8 конструкции Антонова.</w:t>
      </w:r>
    </w:p>
    <w:p w14:paraId="29640B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Воронин (1329, 37).</w:t>
      </w:r>
    </w:p>
    <w:p w14:paraId="7E0ABF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D6C45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 декабря 1941 г. по приказу № 1179с  завод 445 (Завод № 445 НКСП, НКАП /г. Тушино Московской обл.;  г. Алапаевск Свердловской обл./) эвакуирован в Алапаевск на площадку деревообрабатывающего комбината НКЧМ. Здесь в его состав влит завод № 493 НКАП. С начала 1942 г. освоен выпуск десантного планера А-7. Завод № 445 действовал в системе 11 ГУ. Налажено также производство крыльев самолета Ил-2 для завода № 381 НКАП.</w:t>
      </w:r>
    </w:p>
    <w:p w14:paraId="3DB71F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площадке эвакуированного завода в Тушино образовался филиал завода № 445. Сюда реэвакуирован из Тюмени завод № 464 НКАП и в результате слияния образован единый завод № 464.</w:t>
      </w:r>
    </w:p>
    <w:p w14:paraId="3532FE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ГКО № 3028сс от 12.03.1943 г. и приказом № 174с от 27.03.1943 г. завод № 445 был реэвакуирован в Москву и выбыл из состава действующих. Заводу № 81 НКАП были переданы кадры и оборудование по деревообработке, остальной личный состав, оборудование и материалы переданы заводу № 464 НКАП.</w:t>
      </w:r>
    </w:p>
    <w:p w14:paraId="00698E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(1941-05.1942 г.-)- П.П. Перовский.</w:t>
      </w:r>
    </w:p>
    <w:p w14:paraId="6C85FF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Гл. конструктор (09.1941 г.-)- </w:t>
      </w:r>
      <w:r w:rsidRPr="00640820">
        <w:rPr>
          <w:rFonts w:ascii="Times New Roman" w:hAnsi="Times New Roman"/>
          <w:color w:val="000000" w:themeColor="text1"/>
          <w:sz w:val="16"/>
          <w:szCs w:val="16"/>
          <w:lang w:val="en-US"/>
        </w:rPr>
        <w:t>O</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K</w:t>
      </w:r>
      <w:r w:rsidRPr="00640820">
        <w:rPr>
          <w:rFonts w:ascii="Times New Roman" w:hAnsi="Times New Roman"/>
          <w:color w:val="000000" w:themeColor="text1"/>
          <w:sz w:val="16"/>
          <w:szCs w:val="16"/>
        </w:rPr>
        <w:t>. Антонов.</w:t>
      </w:r>
    </w:p>
    <w:p w14:paraId="6B94EF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(1942 г.)- В.И. Левков.</w:t>
      </w:r>
    </w:p>
    <w:p w14:paraId="4BB13E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ЦКБ-1 гл. конструктора В.И. Левкова НКСП, НКАП</w:t>
      </w:r>
    </w:p>
    <w:p w14:paraId="69B4A6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Профессор В.И. Левков начал работы по судам на воздушной подушке (СВП) в 1927 г. в Новочеркасском политехническом институте, затем руководил ОТБ при МАИ. ОТБ имело производственную базу на заводе № 84. В 1938 г. ОКБ базировалось на заводе № 84. Созданы катера: Л-1 (1934 г.); Л-5 (1937 г.), пнв как ТКЛ-1 (торпедный катер Левкова) в 1939 г. и стал первым в мире боевым СВП.</w:t>
      </w:r>
    </w:p>
    <w:p w14:paraId="526DF4B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НКСП от 11.03.1939 г. Левков назначен начальником/ гл. конструктором самостоятельного ЦКБ-1 с производственной базой - заводом № 445 НКСП. Продолжены работы по созданию аппаратов на воздушной подушке и воздушных торпед. Созданы катера: Л-9 (1939 г.), Л-11, Л-13 (1941 г.).</w:t>
      </w:r>
    </w:p>
    <w:p w14:paraId="5F519F3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1179с от 31.12.1941 г. ЦКБ-1 вместе с заводом эвакуировано в Алапаевск на площадку деревообрабатывающего комбината. Левков назначен гл. инженером завода. В 1942-43 г. Левков разработал проект торпедного катера на воздушной подушке, пр. 171. В 01.1944 г. проект был утвержден в НКСП, но дальше работы не пошли.</w:t>
      </w:r>
    </w:p>
    <w:p w14:paraId="5956DF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(11.03.1939-44 г.-)- В.И. Левков {-2.01.1954} (11982).</w:t>
      </w:r>
    </w:p>
    <w:p w14:paraId="74B79A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2BAF408"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 декабря 1941 вышел приказ НКТанковойП и НКАП № 134-м и № 86-мс:</w:t>
      </w:r>
    </w:p>
    <w:p w14:paraId="1930A210"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Передать из системы НКАП в систему НКТП оставшуюся в Москве часть з-да № 145.</w:t>
      </w:r>
    </w:p>
    <w:p w14:paraId="79C5FA67"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Шахурин, Жидков (1329, 116).</w:t>
      </w:r>
    </w:p>
    <w:p w14:paraId="3B244345"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357F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 декабря 1941 г. по приказу № 1178с  завод № 482 (ГС Завод № 482 НКСП /г. Москва Ново-Владыкино; Ленинградское ш., 55 (1944 г.-)/) влит в состав завода № 494. Выбыл из списка действующих.</w:t>
      </w:r>
    </w:p>
    <w:p w14:paraId="146F6F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площадке эвакуированного завода с 10.1941 г. был образован ремонтный завод № 482 в системе Ремотдела (далее- 6ГУ) НКАП. Директор- А.Я. Щербаков (затем одновременно- начальник 6ГУ). По приказу № 1092с от 4.11.1941 г. один корпус завода был передан в НКБ для производства запалов.</w:t>
      </w:r>
    </w:p>
    <w:p w14:paraId="12090A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СНК № 913-472сс от 11.06.1942 г. завод № 482 был возвращен в Москву, действовал в системе Главремуправления. В 1942 г.- работы по гермокабинам для Як-7 и ЛаГГ-3, подвесным кабинам к У-2 и Р-5.</w:t>
      </w:r>
    </w:p>
    <w:p w14:paraId="7FD3AC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633с от 18.08.1942 г. в состав завода был передан из ЮГУ филиал завода № 23 НКАП (бывшая Нотнопечатная фабрика) для организации производства запчастей ремонтируемых самолетов. В 1942 г. заводу № 482 планировалось передать механические цеха завода № 169 НКАП (бывший завод № 45). По приказу № 798с от 23.10.1942 г. филиал завода № 482 (механические мастерские) передан заводу № 301 НКАП для ремонта и изготовления плоскостей самолета Як-7.</w:t>
      </w:r>
    </w:p>
    <w:p w14:paraId="769A10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655с от 11.11.1943 г. завод № 482 передан из 6ГУ в 7ГУ (в опытные). Работы по ремонту и выпуску запчастей переданы на другие заводы 6ГУ.</w:t>
      </w:r>
    </w:p>
    <w:p w14:paraId="0F7867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завода с 06.1943 г.- В.М. Мясищев (одновременно он- гл. конструктор и руководитель ОКБ-22 завода № 22 НКАП в Казани).</w:t>
      </w:r>
    </w:p>
    <w:p w14:paraId="191A1C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1943 г. на заводе № 482 образован филиал ОКБ-22.</w:t>
      </w:r>
    </w:p>
    <w:p w14:paraId="19D1E7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имел свой аэродром на Ходынке (1943  г.).</w:t>
      </w:r>
    </w:p>
    <w:p w14:paraId="24B0F9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Существовал филиал завода № 482 в Москве. Приказом № 277с от 7.05.1943 г. помещения филиала переданы под размещение НИСО.</w:t>
      </w:r>
    </w:p>
    <w:p w14:paraId="3466BC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424с от 5.07.1944 г. завод № 482 перебазирован на площадку ликвидируемого завода № 89 НКАП (Ленинградское ш., 55) и слит с его частью под прежним названием- завод № 482. Мясищеву передана часть оборудования и личного состава завода № 89.</w:t>
      </w:r>
    </w:p>
    <w:p w14:paraId="64501C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старой территории (Ново-Владыкино) оставлена небольшая часть личного состава (в основном, охрана и обслуживающий персонал). По приказу № 655с от 11.11.1944 г. эта территория передана НИИ-1 НКАП для организации работ по реактивной авиации (образован филиал № 2 НИИ-1).</w:t>
      </w:r>
    </w:p>
    <w:p w14:paraId="7065C2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Далее, с 09.1944 г. (завершено в начале 1945 г.) сюда переведена из Казани основная часть ОКБ-22 В.М. Мясищева и влита в состав завода № 482.</w:t>
      </w:r>
    </w:p>
    <w:p w14:paraId="0AD1FD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1946 г. ОКБ завода № 482 гл. конструктора В.М. Мясищева ликвидировано. В соответствии с пост. СМ от 1.02.1946 г. и приказом № 61с от 20.02.1946 г. после ликвидации ОКБ-482 завод № 482 был передан со всем оборудованием и личным составом заводу № 240 НКАП гл. конструктора С.В. Ильюшина.</w:t>
      </w:r>
    </w:p>
    <w:p w14:paraId="34E8D2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(04.1941-42 г.)- А .Я. Щербаков; и.о. директора (01-05.1943 г.)- Б.А. Новосельский; (06.1943-11.1944 г.- )- Я.М. Каневский.</w:t>
      </w:r>
    </w:p>
    <w:p w14:paraId="62EBC6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(04.1941 г.-)- А.И. Меркулов.</w:t>
      </w:r>
    </w:p>
    <w:p w14:paraId="0A3C7F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(1941-06.1943 г.)- А.Я. Щербаков, (06.1943-46 г.)- В.М. Мясищев.</w:t>
      </w:r>
    </w:p>
    <w:p w14:paraId="4DF7B4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(1946 г.-)- Е.П. Шекунов.</w:t>
      </w:r>
    </w:p>
    <w:p w14:paraId="32E1BF6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конструктора (04.1941 г.-)- А.И. Меркулов.</w:t>
      </w:r>
    </w:p>
    <w:p w14:paraId="197797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гл. конструктора А.Я. Щербакова при заводе № 482 НКАП</w:t>
      </w:r>
    </w:p>
    <w:p w14:paraId="1C092E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296с от 4.04.1941 г. с завода № 289 НКАП на вновь образованный завод № 482 к 15.04.1941 г. переведено со всем оборудованием и личным составом ОКБ гл. конструктора А.Я. Щербакова и специальная конструкторская группа А.И. Меркулова.</w:t>
      </w:r>
    </w:p>
    <w:p w14:paraId="2752A0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по гермокабинам и реактивным двигателям для опытных высотных самолетов. Испытывались И-15бис и И-153 с дополнительными ПВРД. Был проект самолета с дополнительным ЖРД. Оборудование Як-7 ВРД ДМ- 4. Кроме того, работы по оборудованию самолета У-2 поплавками и подвесными кассетами (1942 г.).</w:t>
      </w:r>
    </w:p>
    <w:p w14:paraId="27D26C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1037с от 2.10.1941 г. практически все работы по высотно-скоростным самолетам были свернуты (оставлена только доводка опытного планера СП-1 и работы по высотным кабинам). Одновременно по приказу № 1044с от 6.10.1941 г. для развития работ по авиационным ВРД группа А.И. Меркулова с тех. документацией, оборудованием и опытными изделиями (ВРД ДМ-1, ДМ-2, ДМ-4, ДМ-4бис, ДМ-11) переведена с завода № 482 в лабораторию № 1 ЦАГИ.</w:t>
      </w:r>
    </w:p>
    <w:p w14:paraId="4EA7FE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концу 1942 г. создан Ще-2 (ведущий конструктор- И.В. Ляпин, ведупЦш по производству- В.В. Вентцель).</w:t>
      </w:r>
    </w:p>
    <w:p w14:paraId="1DD5C4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 приказу № 367сс от 22.06.1943 г. Щербаков освобожден от должности гл. конструктора завода № 482. В конце 1943 г. еще велись совместные работы Щербакова с ОКБ Мясищева по доводке гермокабин Як-7Б, </w:t>
      </w:r>
      <w:r w:rsidRPr="00640820">
        <w:rPr>
          <w:rFonts w:ascii="Times New Roman" w:hAnsi="Times New Roman"/>
          <w:color w:val="000000" w:themeColor="text1"/>
          <w:sz w:val="16"/>
          <w:szCs w:val="16"/>
          <w:lang w:val="en-US"/>
        </w:rPr>
        <w:t>JIa</w:t>
      </w:r>
      <w:r w:rsidRPr="00640820">
        <w:rPr>
          <w:rFonts w:ascii="Times New Roman" w:hAnsi="Times New Roman"/>
          <w:color w:val="000000" w:themeColor="text1"/>
          <w:sz w:val="16"/>
          <w:szCs w:val="16"/>
        </w:rPr>
        <w:t>-5 и Пе-2ВИ.</w:t>
      </w:r>
    </w:p>
    <w:p w14:paraId="2CD680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Затем в соответствии с пост. ГКО № 4194с от 24.09.1943 г. и приказом № 573с от 25.09.1943 г. Щербаков назначен гл. конструктором завода № 47. Тем же приказом личный состав (48 чел.), оборудование, документация и опытный образец Ще-2 № 01 к 10.1943 г. переведены на завод № 47.</w:t>
      </w:r>
    </w:p>
    <w:p w14:paraId="3C1BD3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Филиал ОКБ завода № 22 гл. конструктора В.М. Мясищева, ОКБ-482 НКАП, МАП /г. Москва/</w:t>
      </w:r>
    </w:p>
    <w:p w14:paraId="128D5DB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ГКО № 3601 от 18.06.1943 г. и приказом № 367сс от 22.06.1943 г. при заводе № 482 образован филиал ОКБ завода № 22 по боевым высотным самолетам, и сюда из Омска с завода № 288 переведена часть коллектива и оборудования отдела «102» гл. конструктора В.М. Мясищева. Завод передан в распоряжение Мясищева. Тем же приказом основной конструкторский состав Мясищева переведен с завода № 288 в ОКБ и опытный цех завода № 22.</w:t>
      </w:r>
    </w:p>
    <w:p w14:paraId="54521B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гибели В.М. Петлякова в 06.1943 г. В.М.Мясищев возглавил его ОКБ-22 НКАП, занимавшееся созданием модификаций Пе-2. Одновременно оставался гл. конструктором ОКБ-482 НКАП.</w:t>
      </w:r>
    </w:p>
    <w:p w14:paraId="6CE700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Далее, с 09.1944 г. (завершено в начале 1945 г.) на завод № 482 переведена из Казани основная часть ОКБ-22 В.М. Мясищева (часть ОКБ, видимо, осталась на заводе № 22 для участия в работах по Б-4) и влита в состав завода № 482.</w:t>
      </w:r>
    </w:p>
    <w:p w14:paraId="750173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 № 358 от 27.05.1944 г. на базе Пе-2 начата разработка скоростного бомбардировщика ДБ-108. Построено несколько опытных машин: ВМ-16 (ДБ-1-108, 5.03.1945 г.); ВМ-17 (ДБ-П-108, 06.1945 г.), на его базе по пр. № 270 от 29.06.1945 г. разработан двухместный истребитель сопровождения ДИС; ВМ-18 (ДБ-</w:t>
      </w:r>
      <w:r w:rsidRPr="00640820">
        <w:rPr>
          <w:rFonts w:ascii="Times New Roman" w:hAnsi="Times New Roman"/>
          <w:color w:val="000000" w:themeColor="text1"/>
          <w:sz w:val="16"/>
          <w:szCs w:val="16"/>
          <w:lang w:val="en-US"/>
        </w:rPr>
        <w:t>IV</w:t>
      </w:r>
      <w:r w:rsidRPr="00640820">
        <w:rPr>
          <w:rFonts w:ascii="Times New Roman" w:hAnsi="Times New Roman"/>
          <w:color w:val="000000" w:themeColor="text1"/>
          <w:sz w:val="16"/>
          <w:szCs w:val="16"/>
        </w:rPr>
        <w:t>-108, 1945 г.); высотный ВБ-109 (ВМ-19), построен в 08.1945 г.</w:t>
      </w:r>
    </w:p>
    <w:p w14:paraId="53B84C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1945 г. под руководством Мясищева проводилось изучение трофейных Ме-262; разрабатывались проекты тяжелых бомбардировщиков ДВБ-202 (ВМ-22, 1945 г.) и ДВБ-302 (ВМ-23, 1945 г.) (закрыты распоряжением Сталина, в связи с разработкой Ту-4). Разработан проект первого реактивного бомбардировщика РБ-17 (ВМ-24), в 1946 г. пост. № 2548-1065 работы прекращены.</w:t>
      </w:r>
    </w:p>
    <w:p w14:paraId="606D6F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01.1946 г. ОКБ-482 НКАП закрыто, его сотрудники (в т.ч. конструкторы Д.А. Аверьянова, В.И. Горюнов, Б .Я. Каплиенко, М.И. Карасева, Н.И. Кубышкин, Н.М. Либерхейн, В.А. Лихачев, Д.С. Лозинский, Т.М. Никишова, В.А. Орлов, В.Н. Петрова, П.И. Прокофьев, В.В. Рогов, В.Д. Смирнов, В.М. Шокин) переведены в ОКБ-240. Мясищев назначен деканом самолетостроительного факультета МАИ.</w:t>
      </w:r>
    </w:p>
    <w:p w14:paraId="6156B94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(1944-46 г.)- В.М. Мясищев.</w:t>
      </w:r>
    </w:p>
    <w:p w14:paraId="570F896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Ведущие конструкторы: (1944-01.1946 г.)- Л.Л. Селяков (ДВБ-202, -302, РБ-17), (1945 г.)- М.К. Янгель (ВБ- 109) (11982).</w:t>
      </w:r>
    </w:p>
    <w:p w14:paraId="0A160F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B6BE2B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 декабря 1941 Секретарем Ростовского Обкома ВКП(б) Б.Двинским была подготовлена справка в ЦК ВКП(б) тов.СТАЛИНУ.</w:t>
      </w:r>
    </w:p>
    <w:p w14:paraId="44E52DE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авиазаводу № 458 в г. Ростове.</w:t>
      </w:r>
    </w:p>
    <w:p w14:paraId="271E728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Улучшалась работа по строительству домов-общежитий, го</w:t>
      </w:r>
      <w:r w:rsidRPr="00640820">
        <w:rPr>
          <w:rFonts w:ascii="Times New Roman" w:hAnsi="Times New Roman"/>
          <w:color w:val="000000" w:themeColor="text1"/>
          <w:sz w:val="16"/>
          <w:szCs w:val="16"/>
        </w:rPr>
        <w:softHyphen/>
        <w:t>товность составляет 55%, против 38% предыдущей декады. Удов</w:t>
      </w:r>
      <w:r w:rsidRPr="00640820">
        <w:rPr>
          <w:rFonts w:ascii="Times New Roman" w:hAnsi="Times New Roman"/>
          <w:color w:val="000000" w:themeColor="text1"/>
          <w:sz w:val="16"/>
          <w:szCs w:val="16"/>
        </w:rPr>
        <w:softHyphen/>
        <w:t>летворительно строятся здание экспедиции.</w:t>
      </w:r>
    </w:p>
    <w:p w14:paraId="561B56D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отчетнуо декаду послано г. Ростовом на площадку еще 240 человек рабочих, необходимых для строительства специаль</w:t>
      </w:r>
      <w:r w:rsidRPr="00640820">
        <w:rPr>
          <w:rFonts w:ascii="Times New Roman" w:hAnsi="Times New Roman"/>
          <w:color w:val="000000" w:themeColor="text1"/>
          <w:sz w:val="16"/>
          <w:szCs w:val="16"/>
        </w:rPr>
        <w:softHyphen/>
        <w:t>ностей. Всего работает на стройке 1240 человек.</w:t>
      </w:r>
    </w:p>
    <w:p w14:paraId="71DF54B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Начинают медленно поступать лес и металл.</w:t>
      </w:r>
    </w:p>
    <w:p w14:paraId="1FC2C05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авиазаводу № 123 в г. Каменске</w:t>
      </w:r>
    </w:p>
    <w:p w14:paraId="0D58750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декаду освоено по строительству всего-навсего 68 тыс. рублей, т.е. на 22 тысячи меньше, чем было в предыдущей де</w:t>
      </w:r>
      <w:r w:rsidRPr="00640820">
        <w:rPr>
          <w:rFonts w:ascii="Times New Roman" w:hAnsi="Times New Roman"/>
          <w:color w:val="000000" w:themeColor="text1"/>
          <w:sz w:val="16"/>
          <w:szCs w:val="16"/>
        </w:rPr>
        <w:softHyphen/>
        <w:t>каде, при 640 чел. рабочях. Начальник стройтреста № 23 , как необеспечивший данную работу, смещается.</w:t>
      </w:r>
    </w:p>
    <w:p w14:paraId="158EA80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авиазаводу № 31 в г. Таганроге,</w:t>
      </w:r>
    </w:p>
    <w:p w14:paraId="1CD19CA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Решение ЦК ВКП(б) и СНК СССР о заводе обсудили вместе с руководителями завода и строительной конторой.</w:t>
      </w:r>
    </w:p>
    <w:p w14:paraId="30740A7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Свыше 50 человек (конструктора, техники, рабочие) по</w:t>
      </w:r>
      <w:r w:rsidRPr="00640820">
        <w:rPr>
          <w:rFonts w:ascii="Times New Roman" w:hAnsi="Times New Roman"/>
          <w:color w:val="000000" w:themeColor="text1"/>
          <w:sz w:val="16"/>
          <w:szCs w:val="16"/>
        </w:rPr>
        <w:softHyphen/>
        <w:t>сланы на другие заводы за технической документацией с полу</w:t>
      </w:r>
      <w:r w:rsidRPr="00640820">
        <w:rPr>
          <w:rFonts w:ascii="Times New Roman" w:hAnsi="Times New Roman"/>
          <w:color w:val="000000" w:themeColor="text1"/>
          <w:sz w:val="16"/>
          <w:szCs w:val="16"/>
        </w:rPr>
        <w:softHyphen/>
        <w:t>чением технической помощи. По этим же вопросам с других за</w:t>
      </w:r>
      <w:r w:rsidRPr="00640820">
        <w:rPr>
          <w:rFonts w:ascii="Times New Roman" w:hAnsi="Times New Roman"/>
          <w:color w:val="000000" w:themeColor="text1"/>
          <w:sz w:val="16"/>
          <w:szCs w:val="16"/>
        </w:rPr>
        <w:softHyphen/>
        <w:t>водов прибыло на Таганрогский завод свыше 40 человек.</w:t>
      </w:r>
    </w:p>
    <w:p w14:paraId="6EC22F8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производстве шасси, литье и поковки, т.е. то, что обес</w:t>
      </w:r>
      <w:r w:rsidRPr="00640820">
        <w:rPr>
          <w:rFonts w:ascii="Times New Roman" w:hAnsi="Times New Roman"/>
          <w:color w:val="000000" w:themeColor="text1"/>
          <w:sz w:val="16"/>
          <w:szCs w:val="16"/>
        </w:rPr>
        <w:softHyphen/>
        <w:t>печено чертежами.</w:t>
      </w:r>
    </w:p>
    <w:p w14:paraId="2AA52B2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Принято по телефону (8049,92).</w:t>
      </w:r>
    </w:p>
    <w:p w14:paraId="1D752F2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9E45DB"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59EAAADD"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AA9C4F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31 декабря 1941 военным представителям на УВЗ были переданы 25 боевых ма</w:t>
      </w:r>
      <w:r w:rsidRPr="00640820">
        <w:rPr>
          <w:rFonts w:ascii="Times New Roman" w:hAnsi="Times New Roman"/>
          <w:color w:val="000000" w:themeColor="text1"/>
          <w:sz w:val="16"/>
          <w:szCs w:val="16"/>
        </w:rPr>
        <w:softHyphen/>
        <w:t>шин, собранных из деталей и узлов, привезенных из Харькова. К янва</w:t>
      </w:r>
      <w:r w:rsidRPr="00640820">
        <w:rPr>
          <w:rFonts w:ascii="Times New Roman" w:hAnsi="Times New Roman"/>
          <w:color w:val="000000" w:themeColor="text1"/>
          <w:sz w:val="16"/>
          <w:szCs w:val="16"/>
        </w:rPr>
        <w:softHyphen/>
        <w:t>рю 1942 г. в чертежи деталей танка заводом № 183 было внесено разных конструктивных изменений, упрощающих их изготовление, по 770 наи</w:t>
      </w:r>
      <w:r w:rsidRPr="00640820">
        <w:rPr>
          <w:rFonts w:ascii="Times New Roman" w:hAnsi="Times New Roman"/>
          <w:color w:val="000000" w:themeColor="text1"/>
          <w:sz w:val="16"/>
          <w:szCs w:val="16"/>
        </w:rPr>
        <w:softHyphen/>
        <w:t>менованиям. Кроме того, на танке было отменено (без замены другими деталями) 1265 наименований или 5641 деталь, сокращена на 20% но</w:t>
      </w:r>
      <w:r w:rsidRPr="00640820">
        <w:rPr>
          <w:rFonts w:ascii="Times New Roman" w:hAnsi="Times New Roman"/>
          <w:color w:val="000000" w:themeColor="text1"/>
          <w:sz w:val="16"/>
          <w:szCs w:val="16"/>
        </w:rPr>
        <w:softHyphen/>
        <w:t>менклатура применявшихся на танке нормалей, отменено 206 наимено</w:t>
      </w:r>
      <w:r w:rsidRPr="00640820">
        <w:rPr>
          <w:rFonts w:ascii="Times New Roman" w:hAnsi="Times New Roman"/>
          <w:color w:val="000000" w:themeColor="text1"/>
          <w:sz w:val="16"/>
          <w:szCs w:val="16"/>
        </w:rPr>
        <w:softHyphen/>
        <w:t>ваний покупных изделий. Трудоемкость по механической обработке бронедеталей корпуса танка была снижена с 260 до 80 нормо-часов (10703).</w:t>
      </w:r>
    </w:p>
    <w:p w14:paraId="7DF6FC8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6CCECE" w14:textId="77777777" w:rsidR="00313A9E" w:rsidRPr="00640820" w:rsidRDefault="00313A9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shd w:val="clear" w:color="auto" w:fill="FFFFFF"/>
        </w:rPr>
        <w:t>К 31 декабря 1941 "Валентайнов" на фронте не превышала сотни (года их там числилось 69 штук) (22723).</w:t>
      </w:r>
    </w:p>
    <w:p w14:paraId="6A46B33D" w14:textId="77777777" w:rsidR="00313A9E" w:rsidRPr="00640820" w:rsidRDefault="00313A9E" w:rsidP="00640820">
      <w:pPr>
        <w:spacing w:after="0" w:line="240" w:lineRule="auto"/>
        <w:jc w:val="both"/>
        <w:rPr>
          <w:rFonts w:ascii="Times New Roman" w:hAnsi="Times New Roman"/>
          <w:color w:val="0070C0"/>
          <w:sz w:val="16"/>
          <w:szCs w:val="16"/>
        </w:rPr>
      </w:pPr>
    </w:p>
    <w:p w14:paraId="07434A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30 декабря 1941 года в Нижний Тагил не было доставлено к месту назначения 320 вагонов с завода № 183, 235 вагонов с завода № 75, 700 вагонов с Мариупольского завода имени Ильича. Поскольку с момента завершения отправки эвакуируемого оборудования прошло уже более двух месяцев, то это имущество можно уже смело отнести в разряд потерянного (11510).</w:t>
      </w:r>
    </w:p>
    <w:p w14:paraId="3B804B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3E7DF12"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 декабря 1941 года вышел приказ № 134-м и 86 мс НКАП и НКТП</w:t>
      </w:r>
    </w:p>
    <w:p w14:paraId="31657DD9"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целях использования свободных производственных площадей для организации производства вооружения:</w:t>
      </w:r>
    </w:p>
    <w:p w14:paraId="1D99AC2D"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Передать из системы НКАП в систему НКТП оставшуюся в Москве часть завода № 145.</w:t>
      </w:r>
    </w:p>
    <w:p w14:paraId="2B6EF29F"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Выполнение программы, возложенное на московскую часть завода № 145 передать заводу № 221 (6045, 46).</w:t>
      </w:r>
    </w:p>
    <w:p w14:paraId="5A5E810C"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89878B"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1521C5B4"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BAA3493"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31 декабря</w:t>
      </w:r>
      <w:r w:rsidRPr="00640820">
        <w:rPr>
          <w:rFonts w:ascii="Times New Roman" w:hAnsi="Times New Roman"/>
          <w:color w:val="000000" w:themeColor="text1"/>
          <w:sz w:val="16"/>
          <w:szCs w:val="16"/>
        </w:rPr>
        <w:t xml:space="preserve"> в 1941 году утреннее сообщение Совинформбюро:</w:t>
      </w:r>
    </w:p>
    <w:p w14:paraId="5BAFCF5B"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ночи на 31 декабря наши войска вели бои с противником на всех фронтах.</w:t>
      </w:r>
    </w:p>
    <w:p w14:paraId="02B2BBBE"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Наша часть, действующая на одном из участков Западного фронта, сломив упорное сопротивление противника, выбила немцев из ряда населённых пунктов. Захвачены трофеи: 3 тяжёлых и 4 противотанковых орудия, 2 миномёта, 8 пулемётов, 5 автомашин, 150 велосипедов и много другого военного имущества.</w:t>
      </w:r>
    </w:p>
    <w:p w14:paraId="1DD907CC"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участков Ленинградского фронта противник предпринял ожесточённые атаки против наших позиций. Отбив атаки, наши бойцы отбросили противника, нанося ему тяжёлые потери. На поле боя осталось около 200 трупов немецких солдат и офицеров. Уничтожено 4 вражеских орудия и 12 станковых пулемётов.</w:t>
      </w:r>
    </w:p>
    <w:p w14:paraId="2A0CD130"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Отделение старшего сержанта Зафорожана атаковало две вражеские дерево-земляные огневые точки и уничтожило несколько десятков находившихся в них немецких солдат. В бою за деревню Новосёлки отделение захватило 4 противотанковых орудия противника и немедленно открыло из них огонь по отступающему неприятелю. Метким огнём уничтожено около роты немецких солдат и офицеров.</w:t>
      </w:r>
    </w:p>
    <w:p w14:paraId="48C1F222"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 убитого немецкого унтер-офицера Зоргенфрея найдено неотправленное письмо на родину. Вот что он писал 10 декабря: «...Настоящая война, к сожалению, уже стоила нам очень больших жертв, но самое страшное, кажется, ещё впереди. Наступательные операции русских, сильные морозы подорвали боевой дух солдат. Никогда у нас ещё не было такого большого количества дезертиров, как сейчас. Во время одной облавы я в трёх населённых пунктах арестовал 35 дезертиров, сбежавших из своих подразделений во время боя».</w:t>
      </w:r>
    </w:p>
    <w:p w14:paraId="5372D812"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60-летний крестьянин Аркатов, проживающий в ныне освобождённой от немцев деревне Слобода, Ново-Петровского района, Московской области, сообщил: «Как только фашисты вошли в нашу деревню, начался повальный грабёж. У нас забрали коров, овец, кур, все запасы муки, крупы, овощей. Немецкие грабители отняли у нас всю тёплую одежду, валенки, бельё. Встретив меня на околице деревни, немецкий солдат приказал мне снять валенки и шубу, и я босой шёл до своего дома. За грабежами начались расстрелы. Немцы расстреляли крестьян Белянкина Е.И., Белянкина Н.А., Капустина Н.В., Кадильщика Н.А., Баранова Е.И., Рыжова М. И., Осипову и других. Беременную Евдокию Т.гитлеровцы изнасиловали за две недели до родов».</w:t>
      </w:r>
    </w:p>
    <w:p w14:paraId="77D7FC95"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Югославские партизаны окружили в районе города Рогачица две роты итальянских стрелков из недавно разгромленной у города Ужице итальянской пехотной части. Весь личный состав рот полностью уничтожен. Среди захваченных трофеев — 3 горных орудия и 4 пулемёта.» (14877).</w:t>
      </w:r>
    </w:p>
    <w:p w14:paraId="3401DC5C" w14:textId="77777777" w:rsidR="00E05DAF" w:rsidRPr="00640820" w:rsidRDefault="00E05DAF" w:rsidP="00640820">
      <w:pPr>
        <w:spacing w:after="0" w:line="240" w:lineRule="auto"/>
        <w:jc w:val="both"/>
        <w:rPr>
          <w:rFonts w:ascii="Times New Roman" w:hAnsi="Times New Roman"/>
          <w:color w:val="000000" w:themeColor="text1"/>
          <w:sz w:val="16"/>
          <w:szCs w:val="16"/>
        </w:rPr>
      </w:pPr>
    </w:p>
    <w:p w14:paraId="466F958E"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31 декабря</w:t>
      </w:r>
      <w:r w:rsidRPr="00640820">
        <w:rPr>
          <w:rFonts w:ascii="Times New Roman" w:hAnsi="Times New Roman"/>
          <w:color w:val="000000" w:themeColor="text1"/>
          <w:sz w:val="16"/>
          <w:szCs w:val="16"/>
        </w:rPr>
        <w:t xml:space="preserve"> в 1941 году вечернее сообщение Совинформбюро:</w:t>
      </w:r>
    </w:p>
    <w:p w14:paraId="41C94426"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31 декабря наши войска продолжали вести бои с противником на всех фронтах. На ряде участков наши войска, преодолевая попытки немецких войск закрепиться на новых рубежах, продолжали продвигаться вперёд, заняли ряд населённых пунктов и в числе их город Калугу и крупный железнодорожный узел Новые Кириши. В ходе боёв противнику нанесён большой урон в технике и живой силе.</w:t>
      </w:r>
    </w:p>
    <w:p w14:paraId="61483E4B"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30 декабря уничтожено 4 немецких самолёта.</w:t>
      </w:r>
    </w:p>
    <w:p w14:paraId="2B8AB0F1"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30 декабря наша авиачасть уничтожила 5 немецких танков, 2 бронемашины, 190 автомашин с войсками и грузами, несколько полевых и зенитных орудий, около 90 повозок с боеприпасами, 2 автоцистерны с горючим, подожгла 8 железнодорожных эшелонов, разрушила в ряде мест железнодорожное полотно и рассеяла 2 батальона вражеской пехоты.</w:t>
      </w:r>
    </w:p>
    <w:p w14:paraId="02B2E466"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одном из участков Западного фронта немцы предприняли несколько ожесточённых контратак. Наши бойцы, отбросив противника с большими для него потерями, продолжали развивать наступление и заняли 12 населённых пунктов. Захвачены трофеи: 13 орудий, 42 пулемёта, 31 автомашина, 34 мотоцикла, 184 велосипеда и большое количество снарядов. На другом участке Западного фронта наша часть за день боёв выбила немцев из 15 населённых пунктов и захватила 4 вражеских орудия, 7 пулемётов, 34 автомашины, 6 тракторов и 1.000 снарядов.</w:t>
      </w:r>
    </w:p>
    <w:p w14:paraId="23F0BE2D"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две недели боёв танковая часть тов. Белова, действующая на одном из участков Западного фронта, уничтожила 70 немецких танков, 5 самолётов и 24 орудия. За это время доблестные танкисты истребили 2.500 вражеских солдат и офицеров и захватили 8 автомашин, 5 орудий, 100 велосипедов и несколько тысяч снарядов и мин.</w:t>
      </w:r>
    </w:p>
    <w:p w14:paraId="65BC82C3"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Укрывшиеся в одном из домов деревни Гурово немцы вели огонь по нашим наступающим бойцам. Командир взвода конной разведки младший лейтенант Журавлёв ворвался в дом и предложил немцам сдаться.</w:t>
      </w:r>
    </w:p>
    <w:p w14:paraId="0BF16F73"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солдат немедленно бросили оружие и подняли руки. Унтер-офицер и ефрейтор попытались оказать сопротивление. Отважный командир ранил их очередью из автомата и вместе с добровольно сдавшимися солдатами захватил в плен.</w:t>
      </w:r>
    </w:p>
    <w:p w14:paraId="484D44E0"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Долгое время не было никаких сообщений о партизанском отряде известного норвежского патриота X.. Ларсена. Сейчас получена информация о боевых действиях этого покрывшего себя славой отряда. Партизаны под командованием X. Ларсена вели непрерывную борьбу с фашистскими оккупантами. Только в течение декабря они совершили ряд налётов на тыловые организации немцев, действующих на Мурманском направлении. В боях с немецкими и финскими частями партизаны истребили свыше 300 солдат и офицеров противника, захватили 4 радиостанции, 11 пулемётов, 29 автоматов, взорвали склад с боеприпасами и сожгли несколько продовольственных баз. Сильный удар партизаны нанесли немцам у реки Л. Здесь расположился на ночлег немецкий батальон. Скрытно подойдя на лыжах к противнику, партизаны бесшумно сняли часовых, установили пулемёты и по сигналу открыли огонь. Среди немцев поднялась паника. Одна группа фашистов пыталась вырваться из окружения и пробиться к реке, но была уничтожена гранатами. Всего партизаны X. Ларсена истребили в этом бою 121 немецкого солдата.</w:t>
      </w:r>
    </w:p>
    <w:p w14:paraId="575824C2"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сумке убитого немецкого солдата Ганса Кюммеля найдены письма от жены и копии всех писем, посланных им с Восточного фронта на родину. 7 октября Ганс жаловался жене: «Я завшивел, и паразиты терзают меня. Это мучительнее и страшнее, чем голод, и не менее опасно, чем пуля или снаряд. Недаром солдаты говорят, что вши съедят нас до победного конца. Мы все одичали, валяемся в грязи. Раньше всё сносили и терпели молча, а теперь заныли и даже завыли». В конце ноября Ганс получил ответное письмо от жены: «...Тебя заедают вши, это ужасно. Я советую тебе не надевать чистого белья. Ходи лучше в грязном. По словам старых солдат, участников войны 1914 года, вши любят чистое бельё... У нас очень много стали писать о нытиках... Недавно объявили, что набираются добровольцы на Восточный фронт, но желающих не оказалось. Никто не записался».</w:t>
      </w:r>
    </w:p>
    <w:p w14:paraId="6B870914"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в разных районах Греции произошло 7 открытых выступлений населения против грабежа и насилия немецко-итальянских оккупантов. Стало известно о кровавых столкновениях близ Пирея между рабочими и итальянскими жандармами, во время которых было убито 18 итальянских фашистов.» (14877).</w:t>
      </w:r>
    </w:p>
    <w:p w14:paraId="367445F8" w14:textId="77777777" w:rsidR="00E05DAF" w:rsidRPr="00640820" w:rsidRDefault="00E05DAF" w:rsidP="00640820">
      <w:pPr>
        <w:spacing w:after="0" w:line="240" w:lineRule="auto"/>
        <w:jc w:val="both"/>
        <w:rPr>
          <w:rFonts w:ascii="Times New Roman" w:hAnsi="Times New Roman"/>
          <w:color w:val="000000" w:themeColor="text1"/>
          <w:sz w:val="16"/>
          <w:szCs w:val="16"/>
        </w:rPr>
      </w:pPr>
    </w:p>
    <w:p w14:paraId="25ACFEC2" w14:textId="77777777" w:rsidR="00E05DAF" w:rsidRPr="00640820" w:rsidRDefault="00E05DAF"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31 декабря</w:t>
      </w:r>
      <w:r w:rsidRPr="00640820">
        <w:rPr>
          <w:rFonts w:ascii="Times New Roman" w:hAnsi="Times New Roman"/>
          <w:color w:val="000000" w:themeColor="text1"/>
          <w:sz w:val="16"/>
          <w:szCs w:val="16"/>
        </w:rPr>
        <w:t xml:space="preserve"> в 1941 году войска Западного фронта освободили город Белев (14877).</w:t>
      </w:r>
    </w:p>
    <w:p w14:paraId="78B60CC6" w14:textId="77777777" w:rsidR="00E05DAF" w:rsidRPr="00640820" w:rsidRDefault="00E05DAF" w:rsidP="00640820">
      <w:pPr>
        <w:spacing w:after="0" w:line="240" w:lineRule="auto"/>
        <w:jc w:val="both"/>
        <w:rPr>
          <w:rFonts w:ascii="Times New Roman" w:hAnsi="Times New Roman"/>
          <w:color w:val="000000" w:themeColor="text1"/>
          <w:sz w:val="16"/>
          <w:szCs w:val="16"/>
        </w:rPr>
      </w:pPr>
    </w:p>
    <w:p w14:paraId="7B14FF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C утра 22 июня по 31 декабря 1941 г. боевые потери немецкой авиации составили 4543 самолета, из них 3827, или 82 процента - на Восточном фронте. По летному составу потери Люфтваффе таковы: общие потери убитыми, раненными и пропавшими без вести - 7666 человек, из них 6052, или 79 процентов - на Восточном фронте (3573).</w:t>
      </w:r>
    </w:p>
    <w:p w14:paraId="6FA9A0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A632E34" w14:textId="77777777" w:rsidR="00313A9E" w:rsidRPr="00640820" w:rsidRDefault="00313A9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К 31 декабря  1941 (с 1 октября) в Советском Союзе был сформирован 71 новый авиаполк  (20794).</w:t>
      </w:r>
    </w:p>
    <w:p w14:paraId="59F06A8A" w14:textId="77777777" w:rsidR="00313A9E" w:rsidRPr="00640820" w:rsidRDefault="00313A9E" w:rsidP="00640820">
      <w:pPr>
        <w:spacing w:after="0" w:line="240" w:lineRule="auto"/>
        <w:jc w:val="both"/>
        <w:rPr>
          <w:rFonts w:ascii="Times New Roman" w:hAnsi="Times New Roman"/>
          <w:color w:val="0070C0"/>
          <w:sz w:val="16"/>
          <w:szCs w:val="16"/>
        </w:rPr>
      </w:pPr>
    </w:p>
    <w:p w14:paraId="597869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 декабря 1941 группа В остановила наступление на Севастополь (3819).</w:t>
      </w:r>
    </w:p>
    <w:p w14:paraId="7B75C7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07EAF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 декабря 1941 года Т-27 использовалась при высадке морского десанта в районе г. Керчь (3861).</w:t>
      </w:r>
    </w:p>
    <w:p w14:paraId="472C46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88F4D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December 31, 1941: Heeresgruppe B halts all further attacks against the Crimean fortress of Sevastopol (3819).</w:t>
      </w:r>
    </w:p>
    <w:p w14:paraId="7C8EC2F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0BD9EDED" w14:textId="77777777" w:rsidR="009B3159" w:rsidRPr="00640820" w:rsidRDefault="009B3159"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42894423" w14:textId="77777777" w:rsidR="009B3159" w:rsidRPr="00640820" w:rsidRDefault="009B3159"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707BE8B" w14:textId="77777777" w:rsidR="009B3159" w:rsidRPr="00640820" w:rsidRDefault="009B315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 декабря 1941. Археолог М. Г. Рабинович вспоминал: "В такой день час пик, особенно в метро, не в шесть, а в десять вечера. Едут по большей части компаниями, назначают встречи на такой-то станции, у такого-то вагона. И у всех почти - кульки, большие и малые: иногда явственно вырисовывается бутылка, хоть и не пьяный это праздник. Притом все торопятся: боятся не доехать к полночи. Словом, милый обычай, которому скоро уж триста лет, - встречать Новый год в веселой компании, проводить эту зимнюю ночь без сна, желать счастья близким и просто любому встречному - милый старый обычай еще прочно держится".</w:t>
      </w:r>
    </w:p>
    <w:p w14:paraId="6F25AD70" w14:textId="77777777" w:rsidR="009B3159" w:rsidRPr="00640820" w:rsidRDefault="009B315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дневника журналиста Н. К. Вержбицкого: "На каждого москвича выдано по 2 бутылки вина. Но мясо и масло многие в декабре недополучили" (18697).</w:t>
      </w:r>
    </w:p>
    <w:p w14:paraId="137BA4D1" w14:textId="77777777" w:rsidR="009B3159" w:rsidRPr="00640820" w:rsidRDefault="009B3159" w:rsidP="00640820">
      <w:pPr>
        <w:spacing w:after="0" w:line="240" w:lineRule="auto"/>
        <w:jc w:val="both"/>
        <w:rPr>
          <w:rFonts w:ascii="Times New Roman" w:hAnsi="Times New Roman"/>
          <w:color w:val="000000" w:themeColor="text1"/>
          <w:sz w:val="16"/>
          <w:szCs w:val="16"/>
        </w:rPr>
      </w:pPr>
    </w:p>
    <w:p w14:paraId="096E949C" w14:textId="77777777" w:rsidR="00EE2749"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7247DE5D" w14:textId="77777777" w:rsidR="00EE2749" w:rsidRPr="00640820" w:rsidRDefault="00EE2749"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A2A90BE" w14:textId="77777777" w:rsidR="00EE2749" w:rsidRPr="00640820" w:rsidRDefault="00EE2749"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31 декабря</w:t>
      </w:r>
      <w:r w:rsidRPr="00640820">
        <w:rPr>
          <w:rFonts w:ascii="Times New Roman" w:hAnsi="Times New Roman"/>
          <w:color w:val="000000" w:themeColor="text1"/>
          <w:sz w:val="16"/>
          <w:szCs w:val="16"/>
        </w:rPr>
        <w:t xml:space="preserve"> в 1941 году в Куйбышеве подписано советско-польское Соглашение о предоставлении Правительством Советского Союза польскому эмигрантскому правительству займа в 100 млн. руб. для оказания помощи польским гражданам на территории СССР (14877).</w:t>
      </w:r>
    </w:p>
    <w:p w14:paraId="5DFFA5B5" w14:textId="77777777" w:rsidR="00EE2749" w:rsidRPr="00640820" w:rsidRDefault="00EE2749" w:rsidP="00640820">
      <w:pPr>
        <w:spacing w:after="0" w:line="240" w:lineRule="auto"/>
        <w:jc w:val="both"/>
        <w:rPr>
          <w:rFonts w:ascii="Times New Roman" w:hAnsi="Times New Roman"/>
          <w:color w:val="000000" w:themeColor="text1"/>
          <w:sz w:val="16"/>
          <w:szCs w:val="16"/>
        </w:rPr>
      </w:pPr>
    </w:p>
    <w:p w14:paraId="3385050B" w14:textId="77777777" w:rsidR="00EE2749"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111F4D3E" w14:textId="77777777" w:rsidR="00EE2749" w:rsidRPr="00640820" w:rsidRDefault="00EE2749"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8E2F99E" w14:textId="77777777" w:rsidR="00EE2749" w:rsidRPr="00640820" w:rsidRDefault="00EE2749" w:rsidP="00640820">
      <w:pPr>
        <w:spacing w:after="0"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31 декабря</w:t>
      </w:r>
      <w:r w:rsidRPr="00640820">
        <w:rPr>
          <w:rFonts w:ascii="Times New Roman" w:hAnsi="Times New Roman"/>
          <w:color w:val="000000" w:themeColor="text1"/>
          <w:sz w:val="16"/>
          <w:szCs w:val="16"/>
        </w:rPr>
        <w:t xml:space="preserve"> в 1941 году Рузвельт в беседе с государственным секретарем К.Хэллом допустил возможность создания всеобъемлющего верховного военного совета в рамках Антигитлеровской коалиции (14877).</w:t>
      </w:r>
    </w:p>
    <w:p w14:paraId="368F2825" w14:textId="77777777" w:rsidR="00EE2749" w:rsidRPr="00640820" w:rsidRDefault="00EE2749" w:rsidP="00640820">
      <w:pPr>
        <w:spacing w:after="0" w:line="240" w:lineRule="auto"/>
        <w:jc w:val="both"/>
        <w:rPr>
          <w:rFonts w:ascii="Times New Roman" w:hAnsi="Times New Roman"/>
          <w:color w:val="000000" w:themeColor="text1"/>
          <w:sz w:val="16"/>
          <w:szCs w:val="16"/>
        </w:rPr>
      </w:pPr>
    </w:p>
    <w:p w14:paraId="48EF059E" w14:textId="77777777" w:rsidR="001D4996" w:rsidRPr="00640820" w:rsidRDefault="001D4996"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На 31 декабря 1941 г. в Берлине в 1-й зенитно-артиллерийской дивизии имелось 51 тяжелая, 49 средних и легких батарей зенитных орудий, а также 29 прожекторных батарей. Тем не менее, наши потери в налетах на столицу Германии не превышали аналогичных при ударах по другим объектам (22728).</w:t>
      </w:r>
    </w:p>
    <w:p w14:paraId="14B7679A" w14:textId="77777777" w:rsidR="001D4996" w:rsidRPr="00640820" w:rsidRDefault="001D4996" w:rsidP="00640820">
      <w:pPr>
        <w:spacing w:after="0" w:line="240" w:lineRule="auto"/>
        <w:jc w:val="both"/>
        <w:rPr>
          <w:rFonts w:ascii="Times New Roman" w:hAnsi="Times New Roman"/>
          <w:color w:val="0070C0"/>
          <w:sz w:val="16"/>
          <w:szCs w:val="16"/>
        </w:rPr>
      </w:pPr>
    </w:p>
    <w:p w14:paraId="2D03F620" w14:textId="77777777" w:rsidR="005F34CF"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0C05E592" w14:textId="77777777" w:rsidR="005F34CF" w:rsidRPr="00640820" w:rsidRDefault="005F34CF"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944D181" w14:textId="77777777" w:rsidR="005F34CF" w:rsidRPr="00640820" w:rsidRDefault="005F34CF" w:rsidP="00640820">
      <w:pPr>
        <w:shd w:val="clear" w:color="auto" w:fill="FFFFFF"/>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 второй половины декабря 1941 Пе-2 стали отправлять и по воздуху. Для этого облётанные самолеты перегонялись на военный аэродром «Белая», расположенный под Иркутском, где их передавали перегоночным экипажам строевых частей ВВС. В декабре завод № 125 выпустил 56 Пе-2, при этом общее количество построенных машин в 1941 году составило 144 единицы, т.е. 75% плана (15223).</w:t>
      </w:r>
    </w:p>
    <w:p w14:paraId="402615EF" w14:textId="77777777" w:rsidR="005F34CF" w:rsidRPr="00640820" w:rsidRDefault="005F34CF" w:rsidP="00640820">
      <w:pPr>
        <w:shd w:val="clear" w:color="auto" w:fill="FFFFFF"/>
        <w:spacing w:after="0" w:line="240" w:lineRule="auto"/>
        <w:jc w:val="both"/>
        <w:rPr>
          <w:rFonts w:ascii="Times New Roman" w:hAnsi="Times New Roman"/>
          <w:color w:val="000000" w:themeColor="text1"/>
          <w:sz w:val="16"/>
          <w:szCs w:val="16"/>
        </w:rPr>
      </w:pPr>
    </w:p>
    <w:p w14:paraId="10244406"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5A52579F"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3F846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второй половине декабря 1941 года из американских портов началась отгрузка А-20 "Бостон". К новому году отправили 44 машины этого тина. Лишь три самолета тогда попали в нашу страну с северными конвоями. Остальные пошли кружным путем через Ирак и Иран (3457,100).</w:t>
      </w:r>
    </w:p>
    <w:p w14:paraId="06B591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E91AAD9"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355430EE"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9E5FC17" w14:textId="77777777" w:rsidR="000E1AD9" w:rsidRPr="00640820" w:rsidRDefault="000E1AD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Заканчивался декабрь 1941 года. Пришел последний эшелон с оборудованием и рабочими завода № 18. Перебазирование предприятия заняло два с половиной месяца. В тот памятный день на оперативном совещании директор завода Шенкман сообщил, что последний самолет Ил-2, собранный на старой площадке в Воронеже, облетан и сдан воинской части в начале ноября 1941 года. Таким образом, «илы» с маркой завода № 18 не поднимались в воздух из-за эвакуации лишь в течение тридцати пяти дней.</w:t>
      </w:r>
    </w:p>
    <w:p w14:paraId="0704F233" w14:textId="77777777" w:rsidR="000E1AD9" w:rsidRPr="00640820" w:rsidRDefault="000E1AD9" w:rsidP="00640820">
      <w:pPr>
        <w:spacing w:after="0" w:line="240" w:lineRule="auto"/>
        <w:jc w:val="both"/>
        <w:rPr>
          <w:rFonts w:ascii="Times New Roman" w:hAnsi="Times New Roman"/>
          <w:color w:val="000000" w:themeColor="text1"/>
          <w:sz w:val="16"/>
          <w:szCs w:val="16"/>
        </w:rPr>
      </w:pPr>
    </w:p>
    <w:p w14:paraId="63CC3B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конце декабря </w:t>
      </w:r>
      <w:r w:rsidR="00AC678F" w:rsidRPr="00640820">
        <w:rPr>
          <w:rFonts w:ascii="Times New Roman" w:hAnsi="Times New Roman"/>
          <w:color w:val="000000" w:themeColor="text1"/>
          <w:sz w:val="16"/>
          <w:szCs w:val="16"/>
        </w:rPr>
        <w:t xml:space="preserve">1941 </w:t>
      </w:r>
      <w:r w:rsidRPr="00640820">
        <w:rPr>
          <w:rFonts w:ascii="Times New Roman" w:hAnsi="Times New Roman"/>
          <w:color w:val="000000" w:themeColor="text1"/>
          <w:sz w:val="16"/>
          <w:szCs w:val="16"/>
        </w:rPr>
        <w:t>начальник 15 ГУ НКАП Д.Кофман получил от А.И.Шахурина указание срочно подыскать в новом пром. районе Куйбышева площадку для посадки завода бронекорпусов, получившего номер 207. Посадили на завод металлоконструкций, который строил конструкции для других заводов - в первых числах января. завод был примерно в 20 км от основного завода 18 (180,88).</w:t>
      </w:r>
    </w:p>
    <w:p w14:paraId="2D047D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0600E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декабря 1941 г. двухмоторные истребители Пе-3 из 9-го ббап были доработаны: в носовой части фюзеляжа установили пушку ШВАК, а на турели штурмана - крупнокалиберный пулемет БТ. Почти всю работу выполнил самостоятельно личный состав инженерно-авиационной службы полка, и в новый 1942 г. полк вступил, располагая существенно большими возможностями (4476).</w:t>
      </w:r>
    </w:p>
    <w:p w14:paraId="20217AF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81FAD8E" w14:textId="77777777" w:rsidR="00C9372D" w:rsidRPr="00640820" w:rsidRDefault="00C9372D" w:rsidP="00640820">
      <w:pPr>
        <w:spacing w:after="0" w:line="240" w:lineRule="auto"/>
        <w:jc w:val="both"/>
        <w:rPr>
          <w:rFonts w:ascii="Times New Roman" w:hAnsi="Times New Roman"/>
          <w:color w:val="0070C0"/>
          <w:sz w:val="16"/>
          <w:szCs w:val="16"/>
          <w:shd w:val="clear" w:color="auto" w:fill="FFFFFF"/>
        </w:rPr>
      </w:pPr>
      <w:r w:rsidRPr="00640820">
        <w:rPr>
          <w:rFonts w:ascii="Times New Roman" w:hAnsi="Times New Roman"/>
          <w:color w:val="0070C0"/>
          <w:sz w:val="16"/>
          <w:szCs w:val="16"/>
        </w:rPr>
        <w:t>В конце декабря 1941 г. замнаркома авиапромышленности и начальник 1-го (серийного) главка НКАП Дементьев привез на завод № 22 решение о прекращении выпуска ТБ-7, но устно приказал его продолжать. Директор Карпов оказался в сложном положении — с одной стороны, от него требовали больше Пе-2, с чем он не справлялся, с другой — строить ТБ-7. Взвесив все «за и против», послушав совета бывшего руководителя 124-го завода Окулова и учтя печальный опыт его предшественника М. М. Кагановича, который застрелился как раз после разговора с начальством по вопросу срыва поставок ТБ-7, Карпов решил попробовать совместить основное производство Пе-2 со строительством хотя бы единичных тяжелых бомбардировщиков. Неожиданно в декабре 1941 г. поступил еще один приказ — производство Пе-2 на заводе № 22 прекратить и запускать в серию самолет Туполева «103С» 2АМ37 — в Казань прибывали 120 сотрудников 166-го завода с его документацией. И хотя вскоре туполевцы со своими бумагами укатили обратно в Омск, обстановка чехарды на 22-м заводе не прекращалась, сбивая ритм работы — за второе полугодие он сдал 612 серийных Пе-2, показав среднесуточный выпуск вчетверо меньше планового. Всего за 1941 г. завод № 22 построил 1 120 «Пешек», а 124-й до слияния с ним — еще 104, из которых 99 пришлись на вторую половину года (22827).</w:t>
      </w:r>
    </w:p>
    <w:p w14:paraId="6251E54B" w14:textId="77777777" w:rsidR="00C9372D" w:rsidRPr="00640820" w:rsidRDefault="00C9372D" w:rsidP="00640820">
      <w:pPr>
        <w:spacing w:after="0" w:line="240" w:lineRule="auto"/>
        <w:jc w:val="both"/>
        <w:rPr>
          <w:rFonts w:ascii="Times New Roman" w:hAnsi="Times New Roman"/>
          <w:color w:val="0070C0"/>
          <w:sz w:val="16"/>
          <w:szCs w:val="16"/>
          <w:shd w:val="clear" w:color="auto" w:fill="FFFFFF"/>
        </w:rPr>
      </w:pPr>
    </w:p>
    <w:p w14:paraId="3F7732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последних числах декабря 1941 года в Казань прибыл Зам. Наркома П.В.Дементьев. Он вызва И.Ф.Незваля к себе и объявил о решении ГКО о снятии с производства ТБ-7. Одновременно, видимо помятуя ючальном опыте Кагановича, НКАП шил не сжигать все мосты по ТБ-7. утри ведомства решили любыми особами сохранить производство ТБ-7, чтобы потом не объяснять Хозяину, кто же это прекратил производство столь важного для Родины ТБ-7. Объявив Незвалю решение ГКО, Дементьев как бы от себя добавил: "Но несмотря ни на что, продолжай строить эти самолеты, я вам буду помогать". При объединении заводов новое образование получило №22, а его директором стал Карпов. Окулова отозвали в Москву на новый завод №23, образованный на площадях эвакуированного московского завода №22. Уезжая из Казани, Окулов, передавая дела по производству ТБ-7 Карпову предупредил его, чтобы он не делал глупостей и по возможности не покушался на серийное производство ТБ-7, так как его производство в любой момент может быть официально восстановлено. Карпов учел советы Окулова. Вся стапельная оснастка для ТБ-7 была сохранена, было сохранено и производство всех агрегатов ТБ-7 и связи с агрегатными заводами. Результаты были налицо. За 1942 год было выпущено 20 ТБ-7 - больше, чем за любой другой год серийного производства. Из них: 16 машин с двигателями АМ-35А, 3-е М-30 и один с М-82 (7685).</w:t>
      </w:r>
    </w:p>
    <w:p w14:paraId="5ADBC0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B763C22" w14:textId="77777777" w:rsidR="00AC678F" w:rsidRPr="00640820" w:rsidRDefault="00AC678F"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последних числах декабря 1941 в Казань прибыл заместитель наркома П.В. Дементьев и объявил Незвалю о решении ГКО снять ТБ-7 с производства. Дела на заводе № 22 шли не блестяще, выпуск Пе-2 никак не достигал требуемого уровня. Причиной этого директор Ю.Н. Карпов считал наличие на одной территории двух предприятий, которые мешали друг другу. Но НКАП решил не "сжигать все мосты". Дементьев, как бы от себя, добавил: "Но ты, несмотря ни на что, продолжай строить эти самолёты, я вам буду всячески помогать". Теперь завод № 22 поглотил все имевшиеся в Казани мощности. Окулова отозвали в Москву. Уезжая, он предупредил Карпова, чтобы тот не делал глупости и не покушался на ТБ-7, поскольку его производство в любой момент может быть восстановлено. Карпов прислушался к совету, и вся оснастка была сохранена (11996).</w:t>
      </w:r>
    </w:p>
    <w:p w14:paraId="41EDC190" w14:textId="77777777" w:rsidR="00AC678F" w:rsidRPr="00640820" w:rsidRDefault="00AC678F" w:rsidP="00640820">
      <w:pPr>
        <w:autoSpaceDE w:val="0"/>
        <w:autoSpaceDN w:val="0"/>
        <w:adjustRightInd w:val="0"/>
        <w:spacing w:after="0" w:line="240" w:lineRule="auto"/>
        <w:jc w:val="both"/>
        <w:rPr>
          <w:rFonts w:ascii="Times New Roman" w:hAnsi="Times New Roman"/>
          <w:color w:val="000000" w:themeColor="text1"/>
          <w:sz w:val="16"/>
          <w:szCs w:val="16"/>
        </w:rPr>
      </w:pPr>
    </w:p>
    <w:p w14:paraId="592789A7"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последних числах декабря 1941 года в Казань прибыл зам. Наркома П.В.Дементьев. Он вызвал И.Ф.Незваля к себе и объявил о решении ГКО о снятии с производства ТБ-7. Одновременно, видимо помятуя о печальном опыте Кагановича, НКАП решил не сжигать все мосты по ТБ-7. Внутри ведомства решили любыми способами сохранить производство ТБ-7, чтобы потом не объяснять Хозяину, кто же это прекратил производство столь важного для Родины ТБ-7.</w:t>
      </w:r>
    </w:p>
    <w:p w14:paraId="5CD8AB6D"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Объявив Незвалю решение ГКО, Дементьев как бы от себя добавил: "Но ты, несмотря ни на что, продолжай строить эти самолеты, я вам буду всячески помогать" (12726).</w:t>
      </w:r>
    </w:p>
    <w:p w14:paraId="7F3553AE" w14:textId="77777777" w:rsidR="00045010" w:rsidRPr="00640820" w:rsidRDefault="00045010" w:rsidP="00640820">
      <w:pPr>
        <w:spacing w:after="0" w:line="240" w:lineRule="auto"/>
        <w:jc w:val="both"/>
        <w:rPr>
          <w:rFonts w:ascii="Times New Roman" w:hAnsi="Times New Roman"/>
          <w:color w:val="000000" w:themeColor="text1"/>
          <w:sz w:val="16"/>
          <w:szCs w:val="16"/>
        </w:rPr>
      </w:pPr>
    </w:p>
    <w:p w14:paraId="3BD827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декабря 1941 при посадке на Ер-2 в Казани л Гринчик, садясь поперек полосы, въехал в общежитие НКВД и убил 28 чел. (2391,10).</w:t>
      </w:r>
    </w:p>
    <w:p w14:paraId="6E68C7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4AD31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декабря 1941 - начале января 1942 на 153 заводе закончили переделку Як-7 под мотор М-82А (65,94).</w:t>
      </w:r>
    </w:p>
    <w:p w14:paraId="43634C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36BDDE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декабря 1941 была закончена отработка военного варианта ДС-3 и начиная с экз. N 1842001 машина в транспортно-десантном варианте приобрела окончательный вид (3772,7).</w:t>
      </w:r>
    </w:p>
    <w:p w14:paraId="6C2C0F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166159D" w14:textId="77777777" w:rsidR="005F34CF" w:rsidRPr="00640820" w:rsidRDefault="005F34CF" w:rsidP="00640820">
      <w:pPr>
        <w:widowControl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конце декабря 1941 года первые партии машин типа РФ-8, получившие заводской индекс ГАЗ-98, уже поступили на многие участки фронта. Ими были укомплектованы боевые аэросанные батальоны. Отличительная особенность аэросаней РФ-8-ГАЗ-98 заключалась в том, что они были снабжены не авиационным, а значительно более дешевым серийным автомобильным двигателем ГАЗ М-1 производства Горьковского автомобильного завода. Кроме того, на них был установлен двухлопастный металлический воздушный винт. Наличие винта из металла значительно расширяло возможности их использования. Эта машина проходила по перелескам, не страшны ей оказались и лесные дороги, где остальные типы аэросаней с менее прочным деревянным воздушным винтом применяться не могли. Аэросани РФ-8-ГАЗ-98, как более надежные, широко использовались на фронтах для ведения боевых и разведывательных операций. Они уходили в тыл противника и в одиночку, и боевыми подразделениями. На их счету сотни успешно проведенных операций, выполнение ответственных заданий по связи штабов с передовыми воинскими частями, доставка срочных донесений, патрулирование отдельных участков фронта, охрана стратегически важных объектов. Боевые аэросани РФ-8-ГАЗ-98 конструктивно выполнены по четырехлыжной схеме, с двумя управляемыми лыжами. Корпус полуоткрытый, с последовательным расположением мест для экипажа. Для удобства ведения огня из установленного на аэросанях пулемета и для увеличения горизонтального угла обстрела стрелок располагался на переднем сиденье, а водитель машины в задней кабине. Тут же расположены рулевая колонка, ножные педали газа, тормоза, раскачки машины и др. За кабиной водителя на специальном пилоне размещена винтомоторная установка, внизу, внутри корпуса, – топливный бак и аккумуляторная батарея. Аэросани РФ-8-ГАЗ-98 имели модификации, выполненные в 1942-1943 годах военными инженерами братьями Иваном и Алексеем Бескурниковыми. В одном из вариантов подмоторный пилон был заменен трубчатой подмоторной рамой. В аэросанях с индексом ГАЗ-98К автомобильный двигатель заменили авиационным М-11 мощностью </w:t>
      </w:r>
      <w:smartTag w:uri="urn:schemas-microsoft-com:office:smarttags" w:element="metricconverter">
        <w:smartTagPr>
          <w:attr w:name="ProductID" w:val="1945 г"/>
        </w:smartTagPr>
        <w:r w:rsidRPr="00640820">
          <w:rPr>
            <w:rFonts w:ascii="Times New Roman" w:hAnsi="Times New Roman"/>
            <w:color w:val="000000" w:themeColor="text1"/>
            <w:sz w:val="16"/>
            <w:szCs w:val="16"/>
          </w:rPr>
          <w:t>110 л</w:t>
        </w:r>
      </w:smartTag>
      <w:r w:rsidRPr="00640820">
        <w:rPr>
          <w:rFonts w:ascii="Times New Roman" w:hAnsi="Times New Roman"/>
          <w:color w:val="000000" w:themeColor="text1"/>
          <w:sz w:val="16"/>
          <w:szCs w:val="16"/>
        </w:rPr>
        <w:t>.с., что сделало машину более динамичной. На базе ГАЗ-98К был создан штабной вариант с закрытой кабиной (лимузин); эта машина не имела вооружения. По данным НКО было сделано 309 штук аэросаней РФ-8, по данным конструктора Веселовского М.В. – 325 штук, по данным завода – 2000 штук (15218).</w:t>
      </w:r>
    </w:p>
    <w:p w14:paraId="74581D72" w14:textId="77777777" w:rsidR="005F34CF" w:rsidRPr="00640820" w:rsidRDefault="005F34CF" w:rsidP="00640820">
      <w:pPr>
        <w:widowControl w:val="0"/>
        <w:spacing w:after="0" w:line="240" w:lineRule="auto"/>
        <w:jc w:val="both"/>
        <w:rPr>
          <w:rFonts w:ascii="Times New Roman" w:hAnsi="Times New Roman"/>
          <w:color w:val="000000" w:themeColor="text1"/>
          <w:sz w:val="16"/>
          <w:szCs w:val="16"/>
        </w:rPr>
      </w:pPr>
    </w:p>
    <w:p w14:paraId="736E9087" w14:textId="77777777" w:rsidR="00313F12" w:rsidRPr="00640820" w:rsidRDefault="00313F12"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декабря 1941 состоялся партийный актив Раменского района, который в своем решении записал: «ЦАГИ (Новиков) в течение двух месяцев мало давал фронту, хотя возможности все имел». В различных мастерских ЦАГИ-Стаханово оставалось некоторое количество металлорежущих станков, предназначенных для текущего ремонта систем отопления, водопровода и канализации. Это оборудование видимо, в какой-то степени могло быть использовано для изготовления несложных деталей в помощь какому-либо оборонному заводу Раменского района. Но со стороны никто таких задач не поставил, а своей инициативы ЦАГИ не проявил (19727).</w:t>
      </w:r>
    </w:p>
    <w:p w14:paraId="73AB7D75" w14:textId="77777777" w:rsidR="00313F12" w:rsidRPr="00640820" w:rsidRDefault="00313F12" w:rsidP="00640820">
      <w:pPr>
        <w:spacing w:after="0" w:line="240" w:lineRule="auto"/>
        <w:jc w:val="both"/>
        <w:rPr>
          <w:rFonts w:ascii="Times New Roman" w:hAnsi="Times New Roman"/>
          <w:color w:val="000000" w:themeColor="text1"/>
          <w:sz w:val="16"/>
          <w:szCs w:val="16"/>
        </w:rPr>
      </w:pPr>
    </w:p>
    <w:p w14:paraId="14F8D96F"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29BA2867"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65ACD048" w14:textId="77777777" w:rsidR="00EE130E" w:rsidRPr="00640820" w:rsidRDefault="00EE130E"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 концу декабря 1941 года опытный образец У-11 был изготовлен в металле и прошел заводские испытания на стендовой установке. Чуть позже были готовы детали бронировки, после чего система отправилась в Челябинск на ЧКЗ. Для установки опытного образца орудия вместо нового танка было решено использовать прошедший капитальный ремонт танк КВ-1 №4996, выпущенный в Ленинграде. Судя по бумагам, этот танк, прежде чем оказался в Челябинске, успел повоевать в составе 121-й танковой бригады. У-11 установили в литую башню с сохранением кормового пулемета. В целом орудие вполне вписалось в башню, но угол склонения оказался еще меньше проектного, составив −2 градуса. Первоначально предполагалось, что боекомплект составит около 50 выстрелов, но по итогам он оказался чуть меньшим – 48 выстрелов. Для сравнения, штатный боекомплект пушки ЗИС-5 составлял 114 выстрелов. Меньше оказался и боезапас патронов к пулемету – 1943 штуки вместо 3000. Переделанная машина получила обозначение КВ-9.</w:t>
      </w:r>
    </w:p>
    <w:p w14:paraId="31BF4455" w14:textId="77777777" w:rsidR="00EE130E" w:rsidRPr="00640820" w:rsidRDefault="00EE130E"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В целом на ЧКЗ отношение к КВ-9 оказалось если и не прохладным, то, как минимум, нейтральным. Заводское КБ имело к этому проекту весьма опосредованное отношение. Кроме того, в плане опытных работ у СКБ-2 Кировского завода в гораздо большем приоритете находилось два других танка – </w:t>
      </w:r>
      <w:hyperlink r:id="rId71" w:history="1">
        <w:r w:rsidRPr="00640820">
          <w:rPr>
            <w:rFonts w:ascii="Times New Roman" w:eastAsia="Times New Roman" w:hAnsi="Times New Roman"/>
            <w:color w:val="000000" w:themeColor="text1"/>
            <w:sz w:val="16"/>
            <w:szCs w:val="16"/>
            <w:lang w:eastAsia="ru-RU"/>
          </w:rPr>
          <w:t>КВ-7</w:t>
        </w:r>
      </w:hyperlink>
      <w:r w:rsidRPr="00640820">
        <w:rPr>
          <w:rFonts w:ascii="Times New Roman" w:eastAsia="Times New Roman" w:hAnsi="Times New Roman"/>
          <w:color w:val="000000" w:themeColor="text1"/>
          <w:sz w:val="16"/>
          <w:szCs w:val="16"/>
          <w:lang w:eastAsia="ru-RU"/>
        </w:rPr>
        <w:t xml:space="preserve"> и КВ-8. При этом КВ-7 проектировался по личному заданию Сталина, завод №200 изготовил 20 корпусов для этих машин еще до начала полигонных испытаний. В конце концов сложилась ситуация, когда машину забраковали и отправили на переделку, а у завода образовался задел из неиспользованных корпусов. В совокупности эти причины несколько тормозили работы по проекту КВ-9 (17680).</w:t>
      </w:r>
    </w:p>
    <w:p w14:paraId="11AD331E" w14:textId="77777777" w:rsidR="00EE130E" w:rsidRPr="00640820" w:rsidRDefault="00EE130E" w:rsidP="00640820">
      <w:pPr>
        <w:spacing w:after="0" w:line="240" w:lineRule="auto"/>
        <w:jc w:val="both"/>
        <w:rPr>
          <w:rFonts w:ascii="Times New Roman" w:hAnsi="Times New Roman"/>
          <w:color w:val="000000" w:themeColor="text1"/>
          <w:sz w:val="16"/>
          <w:szCs w:val="16"/>
        </w:rPr>
      </w:pPr>
    </w:p>
    <w:p w14:paraId="39CDB667" w14:textId="77777777" w:rsidR="00C9372D" w:rsidRPr="00640820" w:rsidRDefault="00C9372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shd w:val="clear" w:color="auto" w:fill="FFFFFF"/>
        </w:rPr>
        <w:t>В конце декабря 1941 опытная машина КВ-8 была готова, а 5 января 1942 года состоялся ее показ на полигоне завода №8 в Мытищах. (22806).</w:t>
      </w:r>
    </w:p>
    <w:p w14:paraId="23DB5AE5" w14:textId="77777777" w:rsidR="00C9372D" w:rsidRPr="00640820" w:rsidRDefault="00C9372D" w:rsidP="00640820">
      <w:pPr>
        <w:spacing w:after="0" w:line="240" w:lineRule="auto"/>
        <w:jc w:val="both"/>
        <w:rPr>
          <w:rFonts w:ascii="Times New Roman" w:hAnsi="Times New Roman"/>
          <w:color w:val="0070C0"/>
          <w:sz w:val="16"/>
          <w:szCs w:val="16"/>
        </w:rPr>
      </w:pPr>
    </w:p>
    <w:p w14:paraId="3C8ECF41"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концу декабря 1941 года проект танка Т-34-3 был готов, однако к производству опытных образцов на заводе №183 приступать не собирались, т.к. в металле уже существовал «котинский» КВ-7 (У-13) и право на «сольный дебют» А.А.Морозов с Ю.Е.Максаревым негласно отдали автору идеи. Такое искусственное затягивание работ, впрочем, не очень беспокоило представителей заказчика в силу неясности и туманности изначальной идеи (12267).</w:t>
      </w:r>
    </w:p>
    <w:p w14:paraId="4DB1C3C8" w14:textId="77777777" w:rsidR="00045010" w:rsidRPr="00640820" w:rsidRDefault="00045010" w:rsidP="00640820">
      <w:pPr>
        <w:spacing w:after="0" w:line="240" w:lineRule="auto"/>
        <w:jc w:val="both"/>
        <w:rPr>
          <w:rFonts w:ascii="Times New Roman" w:hAnsi="Times New Roman"/>
          <w:color w:val="000000" w:themeColor="text1"/>
          <w:sz w:val="16"/>
          <w:szCs w:val="16"/>
        </w:rPr>
      </w:pPr>
    </w:p>
    <w:p w14:paraId="37B0C1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декабря 1941, т.е. всего через два месяца после прекращения выпуска танков в Харькове, Уральский танковый завод №183 им. Коминтерна сумел собрать (частично из привезенного с собой задела) и отправить на фронт 25 боевых машин. Всего же завод выпустил с начала войны более 750 танков (3905).</w:t>
      </w:r>
    </w:p>
    <w:p w14:paraId="12F555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8E4ED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декабря 1941, т.е. всего через два месяца после прекращения выпуска танков в Харькове, Уральский танковый завод №183 им. Коминтерна в Нижнем Тагиле смог собрать (частично из привезенного с собой задела) и отправить на фронт 25 боевых машин. Всего же завод выпустил с начала войны более 750 танков. Директором его стал Ю. Е. Максарев. Уральский завод был объединен с Московским станкостроительным заводом им. С. Орджоникидзе, получил часть оборудования и сотрудников заводов "Красный Пролетарий" и Станколит. Прибыли туда и специалисты Мариупольского броневого завода..</w:t>
      </w:r>
    </w:p>
    <w:p w14:paraId="318463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Поначалу не хватало бронекорпусов и башен. Их получали из Свердловска с Уральского завода тяжелого машиностроения (УЗТМ)..</w:t>
      </w:r>
    </w:p>
    <w:p w14:paraId="3EEC4FB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 вскоре завод стал сам обеспечивать себя полностью всеми необходимыми для сборки танков узлами. И вот результат: в январе 1942 года выпущено 75 машин, в феврале -140, в марте - 225, в апреле - 380. Максимальный месячный выпуск -758 машин - был достигнут в декабре. (3862).</w:t>
      </w:r>
    </w:p>
    <w:p w14:paraId="0ABB3F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C8C76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декабря 1941 из узлов и деталей Нижнем Тагиле собрали первые 25 танков Т-34, из деталей, привезенных из Харькова (3862).</w:t>
      </w:r>
    </w:p>
    <w:p w14:paraId="43B513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4B4F902" w14:textId="77777777" w:rsidR="00EE2749" w:rsidRPr="00640820" w:rsidRDefault="00EE274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 концу декабря 1941 года был готов проект </w:t>
      </w:r>
      <w:hyperlink r:id="rId72" w:tgtFrame="_blank" w:history="1">
        <w:r w:rsidRPr="00640820">
          <w:rPr>
            <w:rFonts w:ascii="Times New Roman" w:hAnsi="Times New Roman"/>
            <w:color w:val="000000" w:themeColor="text1"/>
            <w:sz w:val="16"/>
            <w:szCs w:val="16"/>
          </w:rPr>
          <w:t>танк</w:t>
        </w:r>
      </w:hyperlink>
      <w:r w:rsidRPr="00640820">
        <w:rPr>
          <w:rFonts w:ascii="Times New Roman" w:hAnsi="Times New Roman"/>
          <w:color w:val="000000" w:themeColor="text1"/>
          <w:sz w:val="16"/>
          <w:szCs w:val="16"/>
        </w:rPr>
        <w:t>а Т-34-3, однако к производству опытных образцов на заводе №183 приступать не собирались, т.к. в металле уже существовал «котинский» КВ-7 (У-13) и право на «сольный дебют» А.А.Морозов с Ю.Е.Максаревым негласно отдали автору идеи.</w:t>
      </w:r>
    </w:p>
    <w:p w14:paraId="7DC17EDD" w14:textId="77777777" w:rsidR="00EE2749" w:rsidRPr="00640820" w:rsidRDefault="00EE274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Такое искусственное затягивание работ, впрочем, не очень беспокоило представителей заказчика в силу неясности и туманности изначальной идеи (15622).</w:t>
      </w:r>
    </w:p>
    <w:p w14:paraId="032CECE2" w14:textId="77777777" w:rsidR="00EE2749" w:rsidRPr="00640820" w:rsidRDefault="00EE2749" w:rsidP="00640820">
      <w:pPr>
        <w:spacing w:after="0" w:line="240" w:lineRule="auto"/>
        <w:jc w:val="both"/>
        <w:rPr>
          <w:rFonts w:ascii="Times New Roman" w:hAnsi="Times New Roman"/>
          <w:color w:val="000000" w:themeColor="text1"/>
          <w:sz w:val="16"/>
          <w:szCs w:val="16"/>
        </w:rPr>
      </w:pPr>
    </w:p>
    <w:p w14:paraId="6D8852A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декабря 1941 г. был изготовлен Танк Т-34-76 с установкой огнеметов ФОГ. Огнеметами были оснащены два танка Т-34 из состава 20 тбр 5А Западного фронта. В январе 1942 г. обе машины прошли ис</w:t>
      </w:r>
      <w:r w:rsidRPr="00640820">
        <w:rPr>
          <w:rFonts w:ascii="Times New Roman" w:hAnsi="Times New Roman"/>
          <w:color w:val="000000" w:themeColor="text1"/>
          <w:sz w:val="16"/>
          <w:szCs w:val="16"/>
        </w:rPr>
        <w:softHyphen/>
        <w:t>пытания на Западном фронте, которые показали отрицательные резуль</w:t>
      </w:r>
      <w:r w:rsidRPr="00640820">
        <w:rPr>
          <w:rFonts w:ascii="Times New Roman" w:hAnsi="Times New Roman"/>
          <w:color w:val="000000" w:themeColor="text1"/>
          <w:sz w:val="16"/>
          <w:szCs w:val="16"/>
        </w:rPr>
        <w:softHyphen/>
        <w:t>таты из-за пожарной опасности для танков и их экипажей. Поэтому на оснащение танков Т-34 огнемет ФОГ принят не был (10703).</w:t>
      </w:r>
    </w:p>
    <w:p w14:paraId="21D86FA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3FF1B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де</w:t>
      </w:r>
      <w:r w:rsidRPr="00640820">
        <w:rPr>
          <w:rFonts w:ascii="Times New Roman" w:hAnsi="Times New Roman"/>
          <w:color w:val="000000" w:themeColor="text1"/>
          <w:sz w:val="16"/>
          <w:szCs w:val="16"/>
        </w:rPr>
        <w:softHyphen/>
        <w:t>кабря 1941 для упрощения производства в конструкции Т-50 бы</w:t>
      </w:r>
      <w:r w:rsidRPr="00640820">
        <w:rPr>
          <w:rFonts w:ascii="Times New Roman" w:hAnsi="Times New Roman"/>
          <w:color w:val="000000" w:themeColor="text1"/>
          <w:sz w:val="16"/>
          <w:szCs w:val="16"/>
        </w:rPr>
        <w:softHyphen/>
        <w:t>ла исключена командирская башенка и триплекс механика-водителя, вместо которых применены поворотные башен</w:t>
      </w:r>
      <w:r w:rsidRPr="00640820">
        <w:rPr>
          <w:rFonts w:ascii="Times New Roman" w:hAnsi="Times New Roman"/>
          <w:color w:val="000000" w:themeColor="text1"/>
          <w:sz w:val="16"/>
          <w:szCs w:val="16"/>
        </w:rPr>
        <w:softHyphen/>
        <w:t>ный и водительский перископические наблюдательные приборы, унифицированные с таковыми у танка Т-70 (10782).</w:t>
      </w:r>
    </w:p>
    <w:p w14:paraId="3B29057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C2CBF1" w14:textId="77777777" w:rsidR="00EE130E" w:rsidRPr="00640820" w:rsidRDefault="00EE130E" w:rsidP="00640820">
      <w:pPr>
        <w:spacing w:after="0" w:line="240" w:lineRule="auto"/>
        <w:jc w:val="both"/>
        <w:textAlignment w:val="baseline"/>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t xml:space="preserve">В самом конце декабря 1941 года из Генерального штаба Красной армии пришла директива о проведении совместных испытаний Т-34, Pz.Kpfw.III, </w:t>
      </w:r>
      <w:hyperlink r:id="rId73" w:history="1">
        <w:r w:rsidRPr="00640820">
          <w:rPr>
            <w:rFonts w:ascii="Times New Roman" w:eastAsia="Times New Roman" w:hAnsi="Times New Roman"/>
            <w:bCs/>
            <w:iCs/>
            <w:color w:val="000000" w:themeColor="text1"/>
            <w:sz w:val="16"/>
            <w:szCs w:val="16"/>
            <w:bdr w:val="none" w:sz="0" w:space="0" w:color="auto" w:frame="1"/>
          </w:rPr>
          <w:t>Matilda III</w:t>
        </w:r>
      </w:hyperlink>
      <w:r w:rsidRPr="00640820">
        <w:rPr>
          <w:rFonts w:ascii="Times New Roman" w:eastAsia="Times New Roman" w:hAnsi="Times New Roman"/>
          <w:color w:val="000000" w:themeColor="text1"/>
          <w:sz w:val="16"/>
          <w:szCs w:val="16"/>
        </w:rPr>
        <w:t xml:space="preserve"> и </w:t>
      </w:r>
      <w:hyperlink r:id="rId74" w:history="1">
        <w:r w:rsidRPr="00640820">
          <w:rPr>
            <w:rFonts w:ascii="Times New Roman" w:eastAsia="Times New Roman" w:hAnsi="Times New Roman"/>
            <w:bCs/>
            <w:iCs/>
            <w:color w:val="000000" w:themeColor="text1"/>
            <w:sz w:val="16"/>
            <w:szCs w:val="16"/>
            <w:bdr w:val="none" w:sz="0" w:space="0" w:color="auto" w:frame="1"/>
          </w:rPr>
          <w:t>Valentine II</w:t>
        </w:r>
      </w:hyperlink>
      <w:r w:rsidRPr="00640820">
        <w:rPr>
          <w:rFonts w:ascii="Times New Roman" w:eastAsia="Times New Roman" w:hAnsi="Times New Roman"/>
          <w:color w:val="000000" w:themeColor="text1"/>
          <w:sz w:val="16"/>
          <w:szCs w:val="16"/>
        </w:rPr>
        <w:t>. Требовалось сравнить проходимость состоящих на вооружении Красной армии танков и основного танка немецкой армии. Директива появилась отнюдь не случайно: эксплуатация танков в первую зиму войны преподнесла немало сюрпризов, в том числе и неприятных. В частности, выяснилось, что английские танки имели далеко не лучшее сцепление со снегом и льдом.</w:t>
      </w:r>
    </w:p>
    <w:p w14:paraId="5F16BB1C" w14:textId="77777777" w:rsidR="00EE130E" w:rsidRPr="00640820" w:rsidRDefault="00EE130E" w:rsidP="00640820">
      <w:pPr>
        <w:spacing w:after="0" w:line="240" w:lineRule="auto"/>
        <w:jc w:val="both"/>
        <w:textAlignment w:val="baseline"/>
        <w:rPr>
          <w:rFonts w:ascii="Times New Roman" w:eastAsia="Times New Roman" w:hAnsi="Times New Roman"/>
          <w:color w:val="000000" w:themeColor="text1"/>
          <w:sz w:val="16"/>
          <w:szCs w:val="16"/>
        </w:rPr>
      </w:pPr>
      <w:r w:rsidRPr="00640820">
        <w:rPr>
          <w:rFonts w:ascii="Times New Roman" w:eastAsia="Times New Roman" w:hAnsi="Times New Roman"/>
          <w:color w:val="000000" w:themeColor="text1"/>
          <w:sz w:val="16"/>
          <w:szCs w:val="16"/>
        </w:rPr>
        <w:lastRenderedPageBreak/>
        <w:t xml:space="preserve">Испытания проходили с 27 января по 5 февраля 1942 года. Любопытно, что НИБТ Полигон разместился в том самом месте, где за 10 лет до того находились «Технические курсы Осоавиахима», сокращённо — ТЕКО. С 1929 по 1933 годы здесь испытывались немецкие танки </w:t>
      </w:r>
      <w:hyperlink r:id="rId75" w:history="1">
        <w:r w:rsidRPr="00640820">
          <w:rPr>
            <w:rFonts w:ascii="Times New Roman" w:eastAsia="Times New Roman" w:hAnsi="Times New Roman"/>
            <w:bCs/>
            <w:iCs/>
            <w:color w:val="000000" w:themeColor="text1"/>
            <w:sz w:val="16"/>
            <w:szCs w:val="16"/>
            <w:bdr w:val="none" w:sz="0" w:space="0" w:color="auto" w:frame="1"/>
          </w:rPr>
          <w:t>Großtraktor</w:t>
        </w:r>
      </w:hyperlink>
      <w:r w:rsidRPr="00640820">
        <w:rPr>
          <w:rFonts w:ascii="Times New Roman" w:eastAsia="Times New Roman" w:hAnsi="Times New Roman"/>
          <w:color w:val="000000" w:themeColor="text1"/>
          <w:sz w:val="16"/>
          <w:szCs w:val="16"/>
        </w:rPr>
        <w:t xml:space="preserve"> и </w:t>
      </w:r>
      <w:hyperlink r:id="rId76" w:history="1">
        <w:r w:rsidRPr="00640820">
          <w:rPr>
            <w:rFonts w:ascii="Times New Roman" w:eastAsia="Times New Roman" w:hAnsi="Times New Roman"/>
            <w:bCs/>
            <w:iCs/>
            <w:color w:val="000000" w:themeColor="text1"/>
            <w:sz w:val="16"/>
            <w:szCs w:val="16"/>
            <w:bdr w:val="none" w:sz="0" w:space="0" w:color="auto" w:frame="1"/>
          </w:rPr>
          <w:t>Leichttraktor</w:t>
        </w:r>
      </w:hyperlink>
      <w:r w:rsidRPr="00640820">
        <w:rPr>
          <w:rFonts w:ascii="Times New Roman" w:eastAsia="Times New Roman" w:hAnsi="Times New Roman"/>
          <w:color w:val="000000" w:themeColor="text1"/>
          <w:sz w:val="16"/>
          <w:szCs w:val="16"/>
        </w:rPr>
        <w:t xml:space="preserve">, а также колёсно-гусеничный танк, позднее известный как </w:t>
      </w:r>
      <w:hyperlink r:id="rId77" w:history="1">
        <w:r w:rsidRPr="00640820">
          <w:rPr>
            <w:rFonts w:ascii="Times New Roman" w:eastAsia="Times New Roman" w:hAnsi="Times New Roman"/>
            <w:bCs/>
            <w:iCs/>
            <w:color w:val="000000" w:themeColor="text1"/>
            <w:sz w:val="16"/>
            <w:szCs w:val="16"/>
            <w:bdr w:val="none" w:sz="0" w:space="0" w:color="auto" w:frame="1"/>
          </w:rPr>
          <w:t>Landsverk L-5</w:t>
        </w:r>
      </w:hyperlink>
      <w:r w:rsidRPr="00640820">
        <w:rPr>
          <w:rFonts w:ascii="Times New Roman" w:eastAsia="Times New Roman" w:hAnsi="Times New Roman"/>
          <w:color w:val="000000" w:themeColor="text1"/>
          <w:sz w:val="16"/>
          <w:szCs w:val="16"/>
        </w:rPr>
        <w:t>. По иронии судьбы, в начале 1942 года в районе Казани снова обучались экипажи для зарубежных танков (на сей раз английских), а также испытывалась немецкая бронетехника. Правда, уже без участия немцев (17720).</w:t>
      </w:r>
    </w:p>
    <w:p w14:paraId="061503DB" w14:textId="77777777" w:rsidR="00EE130E" w:rsidRPr="00640820" w:rsidRDefault="00EE130E" w:rsidP="00640820">
      <w:pPr>
        <w:spacing w:after="0" w:line="240" w:lineRule="auto"/>
        <w:jc w:val="both"/>
        <w:rPr>
          <w:rFonts w:ascii="Times New Roman" w:hAnsi="Times New Roman"/>
          <w:color w:val="000000" w:themeColor="text1"/>
          <w:sz w:val="16"/>
          <w:szCs w:val="16"/>
        </w:rPr>
      </w:pPr>
    </w:p>
    <w:p w14:paraId="6F41A480" w14:textId="77777777" w:rsidR="00EE130E" w:rsidRPr="00640820" w:rsidRDefault="00EE130E" w:rsidP="00640820">
      <w:pPr>
        <w:pStyle w:val="ae"/>
        <w:shd w:val="clear" w:color="auto" w:fill="FFFFFF"/>
        <w:spacing w:before="0" w:after="0"/>
        <w:jc w:val="both"/>
        <w:rPr>
          <w:color w:val="000000" w:themeColor="text1"/>
          <w:sz w:val="16"/>
          <w:szCs w:val="16"/>
        </w:rPr>
      </w:pPr>
      <w:r w:rsidRPr="00640820">
        <w:rPr>
          <w:color w:val="000000" w:themeColor="text1"/>
          <w:sz w:val="16"/>
          <w:szCs w:val="16"/>
        </w:rPr>
        <w:t>К концу декабря 1941 года в СССР прибыло 4 Medium Tank M3, из них 2 были выгружены в Мурманске, ещё 2 — в Архангельске. В ведомостях они учитывались январём 1942 года. Всего в этом месяце того же года поступило 24 М3Ср, далее поставки на месяц приостановились.</w:t>
      </w:r>
    </w:p>
    <w:p w14:paraId="4450A854" w14:textId="77777777" w:rsidR="00EE130E" w:rsidRPr="00640820" w:rsidRDefault="00EE130E" w:rsidP="00640820">
      <w:pPr>
        <w:pStyle w:val="ae"/>
        <w:shd w:val="clear" w:color="auto" w:fill="FFFFFF"/>
        <w:spacing w:before="0" w:after="0"/>
        <w:jc w:val="both"/>
        <w:rPr>
          <w:color w:val="000000" w:themeColor="text1"/>
          <w:sz w:val="16"/>
          <w:szCs w:val="16"/>
        </w:rPr>
      </w:pPr>
      <w:r w:rsidRPr="00640820">
        <w:rPr>
          <w:color w:val="000000" w:themeColor="text1"/>
          <w:sz w:val="16"/>
          <w:szCs w:val="16"/>
        </w:rPr>
        <w:t xml:space="preserve">С этими танками связан один миф, порождённый неточностями в документах. Согласно им, первыми в СССР прибыли не M3, а более ранние Medium Tank M2A1. Эти машины якобы попали в 114-ю танковую бригаду. На самом деле это не так. Известны все регистрационные номера танков, поступивших в СССР с января по апрель 1942 года. Их нумерация не имеет ничего общего с нумерацией M2A1. А сам этот миф появился из-за того, что в военной приёмке перепутали </w:t>
      </w:r>
      <w:hyperlink r:id="rId78" w:history="1">
        <w:r w:rsidRPr="00640820">
          <w:rPr>
            <w:rStyle w:val="a5"/>
            <w:rFonts w:eastAsiaTheme="majorEastAsia"/>
            <w:color w:val="000000" w:themeColor="text1"/>
            <w:sz w:val="16"/>
            <w:szCs w:val="16"/>
          </w:rPr>
          <w:t>Light Tank M3</w:t>
        </w:r>
      </w:hyperlink>
      <w:r w:rsidRPr="00640820">
        <w:rPr>
          <w:color w:val="000000" w:themeColor="text1"/>
          <w:sz w:val="16"/>
          <w:szCs w:val="16"/>
        </w:rPr>
        <w:t xml:space="preserve"> с более ранними лёгкими танками </w:t>
      </w:r>
      <w:hyperlink r:id="rId79" w:history="1">
        <w:r w:rsidRPr="00640820">
          <w:rPr>
            <w:rStyle w:val="a5"/>
            <w:rFonts w:eastAsiaTheme="majorEastAsia"/>
            <w:color w:val="000000" w:themeColor="text1"/>
            <w:sz w:val="16"/>
            <w:szCs w:val="16"/>
          </w:rPr>
          <w:t>M2A4</w:t>
        </w:r>
      </w:hyperlink>
      <w:r w:rsidRPr="00640820">
        <w:rPr>
          <w:color w:val="000000" w:themeColor="text1"/>
          <w:sz w:val="16"/>
          <w:szCs w:val="16"/>
        </w:rPr>
        <w:t>. Их в Красной армии также не было (17705).</w:t>
      </w:r>
    </w:p>
    <w:p w14:paraId="655672A8" w14:textId="77777777" w:rsidR="00EE130E" w:rsidRPr="00640820" w:rsidRDefault="00EE130E" w:rsidP="00640820">
      <w:pPr>
        <w:spacing w:after="0" w:line="240" w:lineRule="auto"/>
        <w:jc w:val="both"/>
        <w:rPr>
          <w:rFonts w:ascii="Times New Roman" w:hAnsi="Times New Roman"/>
          <w:color w:val="000000" w:themeColor="text1"/>
          <w:sz w:val="16"/>
          <w:szCs w:val="16"/>
        </w:rPr>
      </w:pPr>
    </w:p>
    <w:p w14:paraId="51B28F82" w14:textId="77777777" w:rsidR="00C9372D" w:rsidRPr="00640820" w:rsidRDefault="00C9372D" w:rsidP="00640820">
      <w:pPr>
        <w:spacing w:after="0" w:line="240" w:lineRule="auto"/>
        <w:jc w:val="both"/>
        <w:rPr>
          <w:rFonts w:ascii="Times New Roman" w:hAnsi="Times New Roman"/>
          <w:color w:val="0070C0"/>
          <w:sz w:val="16"/>
          <w:szCs w:val="16"/>
          <w:shd w:val="clear" w:color="auto" w:fill="FFFFFF"/>
        </w:rPr>
      </w:pPr>
      <w:r w:rsidRPr="00640820">
        <w:rPr>
          <w:rFonts w:ascii="Times New Roman" w:hAnsi="Times New Roman"/>
          <w:color w:val="0070C0"/>
          <w:sz w:val="16"/>
          <w:szCs w:val="16"/>
          <w:shd w:val="clear" w:color="auto" w:fill="FFFFFF"/>
        </w:rPr>
        <w:t>К концу декабря 1941 года ГАЗ, выполняя задание Артиллерийского Комитета ГАУ, подготовил установку для перевооружения Т-60. Согласно докладу воениженера 1-го ранга Н.С. Огурцова, установка КЭО ГАЗ имела преимущество с точки зрения компоновки, но всё равно отличалась массой недостатков. Боевое отделение получалось слишком тесным и неудобным. Поэтому Огурцов, начальник кафедры артиллерии ВАММ (Военная Академия Механизации и Моторизации им. И.В. Сталина), взял на себя ответственность и предложил дать ГАЗ задание разработать новую башню. Она имела литую конструкцию, а также увеличенный на 25-30 мм диаметр погона. По сути, он легализовал работы, которые уже велись под руководством В.А. Дедкова, заведовавший на заводе бронетанковым направлением. Сроком изготовления башни указывалось 25 января 1942 года.</w:t>
      </w:r>
    </w:p>
    <w:p w14:paraId="4A38484A" w14:textId="77777777" w:rsidR="00C9372D" w:rsidRPr="00640820" w:rsidRDefault="00C9372D" w:rsidP="00640820">
      <w:pPr>
        <w:spacing w:after="0" w:line="240" w:lineRule="auto"/>
        <w:jc w:val="both"/>
        <w:rPr>
          <w:rFonts w:ascii="Times New Roman" w:hAnsi="Times New Roman"/>
          <w:color w:val="0070C0"/>
          <w:sz w:val="16"/>
          <w:szCs w:val="16"/>
          <w:shd w:val="clear" w:color="auto" w:fill="FFFFFF"/>
        </w:rPr>
      </w:pPr>
      <w:r w:rsidRPr="00640820">
        <w:rPr>
          <w:rFonts w:ascii="Times New Roman" w:hAnsi="Times New Roman"/>
          <w:color w:val="0070C0"/>
          <w:sz w:val="16"/>
          <w:szCs w:val="16"/>
          <w:shd w:val="clear" w:color="auto" w:fill="FFFFFF"/>
        </w:rPr>
        <w:t>По состоянию на конец декабря под общим руководством Н.А. Астрова работы велись отнюдь не по башне. Во-первых, 25-30 мм проблему было не решить. По факту диаметр погона увеличивался с 900 до 996 мм. А вот это уже сильно меняло картину. Башня становилась явно больше шасси. Во-вторых, Астров, как никто другой, прекрасно понимал, что резервы Т-60 совсем не безграничны. Он прекрасно помнил, с какими проблемами создавался Т-40, на базе которого разработали Т-60. За счет повышения толщины брони боевая масса Т-60 уже превысила 6 тонн, а пушечное вооружение усугубило бы ситуацию. Не говоря о том, что усиление броневой защиты помогло лишь отчасти. Одним словом, нет ничего удивительного в том, что еще в декабре 1941 года начались работы над новым танком - ГАЗ-70. Работы явно были легализованы сверху, скорее всего на уровне НКТП (наркомата танковой промышленности).</w:t>
      </w:r>
    </w:p>
    <w:p w14:paraId="6C3A2575" w14:textId="77777777" w:rsidR="00C9372D" w:rsidRPr="00640820" w:rsidRDefault="00C9372D"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shd w:val="clear" w:color="auto" w:fill="FFFFFF"/>
        </w:rPr>
        <w:t>Концепция башни нового танка стала прямой эволюцией модернизированной башни Т-60 и литой конструкции конца 1941 года. Точно так же орудие сместили максимально вправо, а прицел перенесли влево, сиденье "уехало" в левый задний угол. Таким образом, места для командира, он же наводчик и заряжающий, стало больше. Для удобства работы поворотный механизм перенесли в левую часть башни, а подъемный – в ее правую носовую часть. Также у башни появилась кормовая ниша, что позволило дополнительно увеличить объем боевого отделения. Поначалу ниша пустовала, но в перспективе ее занимала радиостанция. На момент создания танка с радиостанциями имелись большие проблемы, поэтому для нее только могли наметить место. В крышке башенного люка появился перископический смотровой прибор, заметно улучшавший ситуацию с обзорностью. Наконец, у башни появилось то, чего советские легкие танки были лишены - подбашенная корзина. Обычно ее появление несколько "съедало" объем боевого отделения, но в случае с ГАЗ-70 корзина не мешала. Не говоря уже о том, что на ней разместили снарядную укладку первой очереди (23179).</w:t>
      </w:r>
    </w:p>
    <w:p w14:paraId="0DBBECE6" w14:textId="77777777" w:rsidR="00C9372D" w:rsidRPr="00640820" w:rsidRDefault="00C9372D" w:rsidP="00640820">
      <w:pPr>
        <w:spacing w:after="0" w:line="240" w:lineRule="auto"/>
        <w:jc w:val="both"/>
        <w:rPr>
          <w:rFonts w:ascii="Times New Roman" w:hAnsi="Times New Roman"/>
          <w:color w:val="0070C0"/>
          <w:sz w:val="16"/>
          <w:szCs w:val="16"/>
        </w:rPr>
      </w:pPr>
    </w:p>
    <w:p w14:paraId="4079968F" w14:textId="77777777" w:rsidR="0052262F" w:rsidRPr="00640820" w:rsidRDefault="0052262F" w:rsidP="00640820">
      <w:pPr>
        <w:pStyle w:val="4f3"/>
        <w:spacing w:before="0" w:beforeAutospacing="0" w:after="0" w:afterAutospacing="0"/>
        <w:jc w:val="both"/>
        <w:textAlignment w:val="baseline"/>
        <w:rPr>
          <w:iCs/>
          <w:color w:val="000000" w:themeColor="text1"/>
          <w:sz w:val="16"/>
          <w:szCs w:val="16"/>
          <w:bdr w:val="none" w:sz="0" w:space="0" w:color="auto" w:frame="1"/>
        </w:rPr>
      </w:pPr>
      <w:r w:rsidRPr="00640820">
        <w:rPr>
          <w:iCs/>
          <w:color w:val="000000" w:themeColor="text1"/>
          <w:sz w:val="16"/>
          <w:szCs w:val="16"/>
          <w:bdr w:val="none" w:sz="0" w:space="0" w:color="auto" w:frame="1"/>
        </w:rPr>
        <w:t>Под самый конец декабря 1941 года первые американские танки по программе ленд-лиза прибыли в Советский Союз. Поначалу поток американской помощи был небольшим, но уже весной 1942 года ситуация изменилась. Американские лёгкие и средние танки стали поступать в гораздо больших объёмах, в результате летом 1942 года их боевое применение носило массовый характер. Основным средним танком американского выпуска, который поставлялся в 1942 году, стал </w:t>
      </w:r>
      <w:hyperlink r:id="rId80" w:history="1">
        <w:r w:rsidRPr="00640820">
          <w:rPr>
            <w:rStyle w:val="a5"/>
            <w:bCs/>
            <w:iCs/>
            <w:color w:val="000000" w:themeColor="text1"/>
            <w:sz w:val="16"/>
            <w:szCs w:val="16"/>
            <w:u w:val="none"/>
            <w:bdr w:val="none" w:sz="0" w:space="0" w:color="auto" w:frame="1"/>
          </w:rPr>
          <w:t>Medium Tank M3</w:t>
        </w:r>
      </w:hyperlink>
      <w:r w:rsidRPr="00640820">
        <w:rPr>
          <w:iCs/>
          <w:color w:val="000000" w:themeColor="text1"/>
          <w:sz w:val="16"/>
          <w:szCs w:val="16"/>
          <w:bdr w:val="none" w:sz="0" w:space="0" w:color="auto" w:frame="1"/>
        </w:rPr>
        <w:t>, он же М3С, он же М3Ср. Вместе с тем к лету 1942 года американская промышленность стала переходить на более удачный </w:t>
      </w:r>
      <w:hyperlink r:id="rId81" w:history="1">
        <w:r w:rsidRPr="00640820">
          <w:rPr>
            <w:rStyle w:val="a5"/>
            <w:bCs/>
            <w:iCs/>
            <w:color w:val="000000" w:themeColor="text1"/>
            <w:sz w:val="16"/>
            <w:szCs w:val="16"/>
            <w:u w:val="none"/>
            <w:bdr w:val="none" w:sz="0" w:space="0" w:color="auto" w:frame="1"/>
          </w:rPr>
          <w:t>Medium Tank M4</w:t>
        </w:r>
      </w:hyperlink>
      <w:r w:rsidRPr="00640820">
        <w:rPr>
          <w:iCs/>
          <w:color w:val="000000" w:themeColor="text1"/>
          <w:sz w:val="16"/>
          <w:szCs w:val="16"/>
          <w:bdr w:val="none" w:sz="0" w:space="0" w:color="auto" w:frame="1"/>
        </w:rPr>
        <w:t>. Его дизельная версия, </w:t>
      </w:r>
      <w:r w:rsidRPr="00640820">
        <w:rPr>
          <w:bCs/>
          <w:iCs/>
          <w:color w:val="000000" w:themeColor="text1"/>
          <w:sz w:val="16"/>
          <w:szCs w:val="16"/>
          <w:bdr w:val="none" w:sz="0" w:space="0" w:color="auto" w:frame="1"/>
        </w:rPr>
        <w:t>Medium Tank M4A2</w:t>
      </w:r>
      <w:r w:rsidRPr="00640820">
        <w:rPr>
          <w:iCs/>
          <w:color w:val="000000" w:themeColor="text1"/>
          <w:sz w:val="16"/>
          <w:szCs w:val="16"/>
          <w:bdr w:val="none" w:sz="0" w:space="0" w:color="auto" w:frame="1"/>
        </w:rPr>
        <w:t>, стала самым массовым средним танком зарубежного выпуска, который применялся Красной армией (19038).</w:t>
      </w:r>
    </w:p>
    <w:p w14:paraId="1391CBA3" w14:textId="77777777" w:rsidR="0052262F" w:rsidRPr="00640820" w:rsidRDefault="0052262F" w:rsidP="00640820">
      <w:pPr>
        <w:pStyle w:val="4f3"/>
        <w:spacing w:before="0" w:beforeAutospacing="0" w:after="0" w:afterAutospacing="0"/>
        <w:jc w:val="both"/>
        <w:textAlignment w:val="baseline"/>
        <w:rPr>
          <w:color w:val="000000" w:themeColor="text1"/>
          <w:sz w:val="16"/>
          <w:szCs w:val="16"/>
        </w:rPr>
      </w:pPr>
    </w:p>
    <w:p w14:paraId="5B3DDDF7"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6F793DF2"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94A58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декабря 1941-го на 1-й Воен</w:t>
      </w:r>
      <w:r w:rsidRPr="00640820">
        <w:rPr>
          <w:rFonts w:ascii="Times New Roman" w:hAnsi="Times New Roman"/>
          <w:color w:val="000000" w:themeColor="text1"/>
          <w:sz w:val="16"/>
          <w:szCs w:val="16"/>
        </w:rPr>
        <w:softHyphen/>
        <w:t>но-технической конференции в Куйбы</w:t>
      </w:r>
      <w:r w:rsidRPr="00640820">
        <w:rPr>
          <w:rFonts w:ascii="Times New Roman" w:hAnsi="Times New Roman"/>
          <w:color w:val="000000" w:themeColor="text1"/>
          <w:sz w:val="16"/>
          <w:szCs w:val="16"/>
        </w:rPr>
        <w:softHyphen/>
        <w:t>шеве было высказано предложение о необходимости перехода к действиям штурмовиков Ил-2 со средних высот с пикирования (25-30°) из боевого поряд</w:t>
      </w:r>
      <w:r w:rsidRPr="00640820">
        <w:rPr>
          <w:rFonts w:ascii="Times New Roman" w:hAnsi="Times New Roman"/>
          <w:color w:val="000000" w:themeColor="text1"/>
          <w:sz w:val="16"/>
          <w:szCs w:val="16"/>
        </w:rPr>
        <w:softHyphen/>
        <w:t>ка "круг самолетов". В этом случае су</w:t>
      </w:r>
      <w:r w:rsidRPr="00640820">
        <w:rPr>
          <w:rFonts w:ascii="Times New Roman" w:hAnsi="Times New Roman"/>
          <w:color w:val="000000" w:themeColor="text1"/>
          <w:sz w:val="16"/>
          <w:szCs w:val="16"/>
        </w:rPr>
        <w:softHyphen/>
        <w:t>щественно облегчался поиск малораз</w:t>
      </w:r>
      <w:r w:rsidRPr="00640820">
        <w:rPr>
          <w:rFonts w:ascii="Times New Roman" w:hAnsi="Times New Roman"/>
          <w:color w:val="000000" w:themeColor="text1"/>
          <w:sz w:val="16"/>
          <w:szCs w:val="16"/>
        </w:rPr>
        <w:softHyphen/>
        <w:t>мерных и подвижных целей на поле боя, улучшались условия прицеливания, по</w:t>
      </w:r>
      <w:r w:rsidRPr="00640820">
        <w:rPr>
          <w:rFonts w:ascii="Times New Roman" w:hAnsi="Times New Roman"/>
          <w:color w:val="000000" w:themeColor="text1"/>
          <w:sz w:val="16"/>
          <w:szCs w:val="16"/>
        </w:rPr>
        <w:softHyphen/>
        <w:t>вышалась точность стрельбы и бомбометания. Однако это предложение для боль</w:t>
      </w:r>
      <w:r w:rsidRPr="00640820">
        <w:rPr>
          <w:rFonts w:ascii="Times New Roman" w:hAnsi="Times New Roman"/>
          <w:color w:val="000000" w:themeColor="text1"/>
          <w:sz w:val="16"/>
          <w:szCs w:val="16"/>
        </w:rPr>
        <w:softHyphen/>
        <w:t>шей части летного состава боевых час</w:t>
      </w:r>
      <w:r w:rsidRPr="00640820">
        <w:rPr>
          <w:rFonts w:ascii="Times New Roman" w:hAnsi="Times New Roman"/>
          <w:color w:val="000000" w:themeColor="text1"/>
          <w:sz w:val="16"/>
          <w:szCs w:val="16"/>
        </w:rPr>
        <w:softHyphen/>
        <w:t>тей осталось практически незамечен</w:t>
      </w:r>
      <w:r w:rsidRPr="00640820">
        <w:rPr>
          <w:rFonts w:ascii="Times New Roman" w:hAnsi="Times New Roman"/>
          <w:color w:val="000000" w:themeColor="text1"/>
          <w:sz w:val="16"/>
          <w:szCs w:val="16"/>
        </w:rPr>
        <w:softHyphen/>
        <w:t>ным. Слишком сильно верили летчики-штурмовики в бреющий полет, как един</w:t>
      </w:r>
      <w:r w:rsidRPr="00640820">
        <w:rPr>
          <w:rFonts w:ascii="Times New Roman" w:hAnsi="Times New Roman"/>
          <w:color w:val="000000" w:themeColor="text1"/>
          <w:sz w:val="16"/>
          <w:szCs w:val="16"/>
        </w:rPr>
        <w:softHyphen/>
        <w:t>ственное средство спасения от истре</w:t>
      </w:r>
      <w:r w:rsidRPr="00640820">
        <w:rPr>
          <w:rFonts w:ascii="Times New Roman" w:hAnsi="Times New Roman"/>
          <w:color w:val="000000" w:themeColor="text1"/>
          <w:sz w:val="16"/>
          <w:szCs w:val="16"/>
        </w:rPr>
        <w:softHyphen/>
        <w:t>бителей Люфтваффе - основного про</w:t>
      </w:r>
      <w:r w:rsidRPr="00640820">
        <w:rPr>
          <w:rFonts w:ascii="Times New Roman" w:hAnsi="Times New Roman"/>
          <w:color w:val="000000" w:themeColor="text1"/>
          <w:sz w:val="16"/>
          <w:szCs w:val="16"/>
        </w:rPr>
        <w:softHyphen/>
        <w:t>тивника Ил-2 в этот период.</w:t>
      </w:r>
    </w:p>
    <w:p w14:paraId="542CAD8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Ввиду больших потерь штурмовиков от истребителей Люфтваффе летный состав предлагал </w:t>
      </w:r>
      <w:r w:rsidRPr="00640820">
        <w:rPr>
          <w:rFonts w:ascii="Times New Roman" w:hAnsi="Times New Roman"/>
          <w:iCs/>
          <w:color w:val="000000" w:themeColor="text1"/>
          <w:sz w:val="16"/>
          <w:szCs w:val="16"/>
        </w:rPr>
        <w:t>"сделать самолеты Ил-2 двухместными, посадить стрелка, воо</w:t>
      </w:r>
      <w:r w:rsidRPr="00640820">
        <w:rPr>
          <w:rFonts w:ascii="Times New Roman" w:hAnsi="Times New Roman"/>
          <w:iCs/>
          <w:color w:val="000000" w:themeColor="text1"/>
          <w:sz w:val="16"/>
          <w:szCs w:val="16"/>
        </w:rPr>
        <w:softHyphen/>
        <w:t>ружив его пулеметом калибра 12,7 мм, для защиты задней полусферы самоле</w:t>
      </w:r>
      <w:r w:rsidRPr="00640820">
        <w:rPr>
          <w:rFonts w:ascii="Times New Roman" w:hAnsi="Times New Roman"/>
          <w:iCs/>
          <w:color w:val="000000" w:themeColor="text1"/>
          <w:sz w:val="16"/>
          <w:szCs w:val="16"/>
        </w:rPr>
        <w:softHyphen/>
        <w:t>та. При этом самолет Ил-2 станет не</w:t>
      </w:r>
      <w:r w:rsidRPr="00640820">
        <w:rPr>
          <w:rFonts w:ascii="Times New Roman" w:hAnsi="Times New Roman"/>
          <w:iCs/>
          <w:color w:val="000000" w:themeColor="text1"/>
          <w:sz w:val="16"/>
          <w:szCs w:val="16"/>
        </w:rPr>
        <w:softHyphen/>
        <w:t>уязвимым и не потребует сопровожде</w:t>
      </w:r>
      <w:r w:rsidRPr="00640820">
        <w:rPr>
          <w:rFonts w:ascii="Times New Roman" w:hAnsi="Times New Roman"/>
          <w:iCs/>
          <w:color w:val="000000" w:themeColor="text1"/>
          <w:sz w:val="16"/>
          <w:szCs w:val="16"/>
        </w:rPr>
        <w:softHyphen/>
        <w:t>ния истребителями, которое очень до</w:t>
      </w:r>
      <w:r w:rsidRPr="00640820">
        <w:rPr>
          <w:rFonts w:ascii="Times New Roman" w:hAnsi="Times New Roman"/>
          <w:iCs/>
          <w:color w:val="000000" w:themeColor="text1"/>
          <w:sz w:val="16"/>
          <w:szCs w:val="16"/>
        </w:rPr>
        <w:softHyphen/>
        <w:t>рого обходится нам на войне... "</w:t>
      </w:r>
      <w:r w:rsidRPr="00640820">
        <w:rPr>
          <w:rFonts w:ascii="Times New Roman" w:hAnsi="Times New Roman"/>
          <w:color w:val="000000" w:themeColor="text1"/>
          <w:sz w:val="16"/>
          <w:szCs w:val="16"/>
        </w:rPr>
        <w:t xml:space="preserve"> (6467).</w:t>
      </w:r>
    </w:p>
    <w:p w14:paraId="510A8B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C94D8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концу декабря 1941 за первые шесть месяцев войны, начиная с 22.06.41 г., 1-й запас</w:t>
      </w:r>
      <w:r w:rsidRPr="00640820">
        <w:rPr>
          <w:rFonts w:ascii="Times New Roman" w:hAnsi="Times New Roman"/>
          <w:color w:val="000000" w:themeColor="text1"/>
          <w:sz w:val="16"/>
          <w:szCs w:val="16"/>
        </w:rPr>
        <w:softHyphen/>
        <w:t>ной авиабригадой было сформировано и отправлено на фронт 52 штурмовых авиаполка (из которых 3 полка трижды успели пройти переформирование, 15 - дважды и 34 полка - один раз), то в пер</w:t>
      </w:r>
      <w:r w:rsidRPr="00640820">
        <w:rPr>
          <w:rFonts w:ascii="Times New Roman" w:hAnsi="Times New Roman"/>
          <w:color w:val="000000" w:themeColor="text1"/>
          <w:sz w:val="16"/>
          <w:szCs w:val="16"/>
        </w:rPr>
        <w:softHyphen/>
        <w:t>вом полугодии 1942 г. в действующую армию убыло 67 штурмовых авиаполков, из них в январе - 1 полк, в феврале - 8, в марте - 9, в апреле - 2, в мае - 23 и в июне - 24 (6467).</w:t>
      </w:r>
    </w:p>
    <w:p w14:paraId="154E0D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E644B6E" w14:textId="77777777" w:rsidR="007D00FD" w:rsidRPr="00640820" w:rsidRDefault="007D00FD"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концу декабря 1941 за первые шесть месяцев войны, начиная с 22 июня 1941 г., 1-й запасной авиабригадой было сформировано и отправлено на фронт 52 штурмовых авиаполка, из них три полка успели пройти переформирование трижды, а 15 полков - дважды.</w:t>
      </w:r>
    </w:p>
    <w:p w14:paraId="18AEAB35" w14:textId="77777777" w:rsidR="007D00FD" w:rsidRPr="00640820" w:rsidRDefault="007D00FD"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Средний налет на одну боевую потерю Ил-2 в начальный период войны не превышал 8-9 самолето-вылетов, что обуславливалось не только господством в воздухе немецкой авиации, но имевшими место серьезными недостатками в системе учебно-боевой подготовки и просчетами в порядке формирования и комплектования штурмовых авиаполков.</w:t>
      </w:r>
    </w:p>
    <w:p w14:paraId="7FEAC79F" w14:textId="77777777" w:rsidR="007D00FD" w:rsidRPr="00640820" w:rsidRDefault="007D00FD"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Действительно, большая потребность действующей армии в Ил-2 вынуждали советское командование направлять штурмовые авиаполки на фронт не полностью обученными, укомплектованными личным составом и недостаточно сколоченными.</w:t>
      </w:r>
    </w:p>
    <w:p w14:paraId="6CF927E1" w14:textId="77777777" w:rsidR="007D00FD" w:rsidRPr="00640820" w:rsidRDefault="007D00FD"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Летать в строю толком не учили, бомбометание и стрельбу давали ограниченно и т.д. Средний налет при подготовке одного летчика-штурмовика на самолете Ил-2 в июле не превысил 4 ч 17 мин, а в августе - 4 ч 31 мин (4-7 полетов - по кругу, 2-3 - в зону, 2-3 - на полигон, 2-3 - на групповую слетанность).</w:t>
      </w:r>
    </w:p>
    <w:p w14:paraId="2D7BCC2A" w14:textId="77777777" w:rsidR="007D00FD" w:rsidRPr="00640820" w:rsidRDefault="007D00FD"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Очевидно, что в этих условиях говорить об использовании на фронте всего боевого потенциала Ил-2 уже не приходится. Штурмовые авиаполки просто не могли обладать высокими боевыми возможностями и несли серьезные потери, причем, что обидно, не только боевые.</w:t>
      </w:r>
    </w:p>
    <w:p w14:paraId="0154309E" w14:textId="77777777" w:rsidR="007D00FD" w:rsidRPr="00640820" w:rsidRDefault="007D00FD"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 74-й шап, вылетевший на Юго-Западный фронт 6 июля в составе 33 Ил-2, при перелете разбил 13 машин. Из этого числа три штурмовика восстановлению не подлежали и были списаны.</w:t>
      </w:r>
    </w:p>
    <w:p w14:paraId="15D9CA35" w14:textId="77777777" w:rsidR="007D00FD" w:rsidRPr="00640820" w:rsidRDefault="007D00FD"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32 экипажей 61-го шап, прошедших обучение на самолете Ил-2 к 13 июля, приняли бой в районе Смоленска и Ельни (Западный фронт) только 29 летчиков. Три самолета были разбиты при перелете.</w:t>
      </w:r>
    </w:p>
    <w:p w14:paraId="5F2F1E8E" w14:textId="77777777" w:rsidR="007D00FD" w:rsidRPr="00640820" w:rsidRDefault="007D00FD"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 был продуман и подготовлен в штурманском отношении перелет на Западный фронт по маршруту Воронеж-Орел-Стародуб 174-го шап, который к 1 августа полностью завершил программу переучивания на самолете Ил-2. Потеряв ориентировку над незнакомой местностью, одна эскадрилья полка вместо Орла ушла в район Ельни, где попала под удар немецких истребителей и огневых средств ПВО. В результате все 9 Ил-2 получили повреждения и были разбиты на вынужденных посадках в районе Брянска, а Западный фронт получил всего 23 штурмовика пополнения (12020).</w:t>
      </w:r>
    </w:p>
    <w:p w14:paraId="2DB427FC" w14:textId="77777777" w:rsidR="007D00FD" w:rsidRPr="00640820" w:rsidRDefault="007D00FD" w:rsidP="00640820">
      <w:pPr>
        <w:autoSpaceDE w:val="0"/>
        <w:autoSpaceDN w:val="0"/>
        <w:adjustRightInd w:val="0"/>
        <w:spacing w:after="0" w:line="240" w:lineRule="auto"/>
        <w:jc w:val="both"/>
        <w:rPr>
          <w:rFonts w:ascii="Times New Roman" w:hAnsi="Times New Roman"/>
          <w:color w:val="000000" w:themeColor="text1"/>
          <w:sz w:val="16"/>
          <w:szCs w:val="16"/>
        </w:rPr>
      </w:pPr>
    </w:p>
    <w:p w14:paraId="7240EC30" w14:textId="77777777" w:rsidR="001D4996" w:rsidRPr="00640820" w:rsidRDefault="001D4996" w:rsidP="00640820">
      <w:pPr>
        <w:shd w:val="clear" w:color="auto" w:fill="FFFFFF"/>
        <w:spacing w:after="0" w:line="240" w:lineRule="auto"/>
        <w:jc w:val="both"/>
        <w:rPr>
          <w:rFonts w:ascii="Times New Roman" w:eastAsia="Times New Roman" w:hAnsi="Times New Roman"/>
          <w:color w:val="0070C0"/>
          <w:sz w:val="16"/>
          <w:szCs w:val="16"/>
        </w:rPr>
      </w:pPr>
      <w:r w:rsidRPr="00640820">
        <w:rPr>
          <w:rFonts w:ascii="Times New Roman" w:eastAsia="Times New Roman" w:hAnsi="Times New Roman"/>
          <w:color w:val="0070C0"/>
          <w:sz w:val="16"/>
          <w:szCs w:val="16"/>
        </w:rPr>
        <w:t>В конце декабря 1941 г. на 1-й Военно-технической конференции в Куйбышеве „было высказано предложение о необходимости перехода к действиям штурмовиков со средних высот с пикирования из боевого порядка «круг самолетов». В этом случае существенно облегчался поиск малораз</w:t>
      </w:r>
      <w:r w:rsidRPr="00640820">
        <w:rPr>
          <w:rFonts w:ascii="Times New Roman" w:eastAsia="Times New Roman" w:hAnsi="Times New Roman"/>
          <w:color w:val="0070C0"/>
          <w:sz w:val="16"/>
          <w:szCs w:val="16"/>
        </w:rPr>
        <w:softHyphen/>
        <w:t>мерных и подвижных целей на поле боя, улучшались условия прицеливания, повышалась точность стрельбы и бомбометания.</w:t>
      </w:r>
    </w:p>
    <w:p w14:paraId="3FB1D0CB" w14:textId="77777777" w:rsidR="001D4996" w:rsidRPr="00640820" w:rsidRDefault="001D4996" w:rsidP="00640820">
      <w:pPr>
        <w:shd w:val="clear" w:color="auto" w:fill="FFFFFF"/>
        <w:spacing w:after="0" w:line="240" w:lineRule="auto"/>
        <w:jc w:val="both"/>
        <w:rPr>
          <w:rFonts w:ascii="Times New Roman" w:hAnsi="Times New Roman"/>
          <w:color w:val="0070C0"/>
          <w:sz w:val="16"/>
          <w:szCs w:val="16"/>
        </w:rPr>
      </w:pPr>
      <w:r w:rsidRPr="00640820">
        <w:rPr>
          <w:rFonts w:ascii="Times New Roman" w:eastAsia="Times New Roman" w:hAnsi="Times New Roman"/>
          <w:color w:val="0070C0"/>
          <w:sz w:val="16"/>
          <w:szCs w:val="16"/>
        </w:rPr>
        <w:t>Однако это предложение для большей части летного состава боевых частей осталось практически незамеченным. Слишком большое доверие было у летчиков-штурмовиков бреющему полету, как единственному, на их взгляд, средству спасения от истребителей люфтваффе (20186).</w:t>
      </w:r>
    </w:p>
    <w:p w14:paraId="23A3D031" w14:textId="77777777" w:rsidR="001D4996" w:rsidRPr="00640820" w:rsidRDefault="001D4996" w:rsidP="00640820">
      <w:pPr>
        <w:shd w:val="clear" w:color="auto" w:fill="FFFFFF"/>
        <w:spacing w:after="0" w:line="240" w:lineRule="auto"/>
        <w:jc w:val="both"/>
        <w:rPr>
          <w:rFonts w:ascii="Times New Roman" w:hAnsi="Times New Roman"/>
          <w:color w:val="0070C0"/>
          <w:sz w:val="16"/>
          <w:szCs w:val="16"/>
        </w:rPr>
      </w:pPr>
    </w:p>
    <w:p w14:paraId="5E76B679" w14:textId="77777777" w:rsidR="001D4996" w:rsidRPr="00640820" w:rsidRDefault="001D4996" w:rsidP="00640820">
      <w:pPr>
        <w:shd w:val="clear" w:color="auto" w:fill="FFFFFF"/>
        <w:spacing w:after="0" w:line="240" w:lineRule="auto"/>
        <w:jc w:val="both"/>
        <w:rPr>
          <w:rFonts w:ascii="Times New Roman" w:eastAsia="Times New Roman" w:hAnsi="Times New Roman"/>
          <w:color w:val="0070C0"/>
          <w:sz w:val="16"/>
          <w:szCs w:val="16"/>
        </w:rPr>
      </w:pPr>
      <w:r w:rsidRPr="00640820">
        <w:rPr>
          <w:rFonts w:ascii="Times New Roman" w:eastAsia="Times New Roman" w:hAnsi="Times New Roman"/>
          <w:color w:val="0070C0"/>
          <w:sz w:val="16"/>
          <w:szCs w:val="16"/>
        </w:rPr>
        <w:t>К концу декабря 1941 за первые шесть месяцев войны, начиная с 22.06.41 г., 1-й запасной авиабригадой было сформировано и отправлено на фронт 52 штурмовых авиаполка (из которых 3 полка трижды успели пройти переформирование, 15- дважды и 34 полка - один раз), то в первом полугодии 1942 г. в действующую армию убыло 67 штурмовых авиаполков, из них в январе - 1 полк, в феврале - 8, в марте - 9, в апреле - 2, в мае - 23 и в июне -24 (ЦАМО РФ, ф. 302, оп. 4196, д. 32, л. 16-18) (20186).</w:t>
      </w:r>
    </w:p>
    <w:p w14:paraId="0B433586" w14:textId="77777777" w:rsidR="001D4996" w:rsidRPr="00640820" w:rsidRDefault="001D4996" w:rsidP="00640820">
      <w:pPr>
        <w:shd w:val="clear" w:color="auto" w:fill="FFFFFF"/>
        <w:spacing w:after="0" w:line="240" w:lineRule="auto"/>
        <w:jc w:val="both"/>
        <w:rPr>
          <w:rFonts w:ascii="Times New Roman" w:hAnsi="Times New Roman"/>
          <w:color w:val="0070C0"/>
          <w:sz w:val="16"/>
          <w:szCs w:val="16"/>
        </w:rPr>
      </w:pPr>
      <w:r w:rsidRPr="00640820">
        <w:rPr>
          <w:rFonts w:ascii="Times New Roman" w:eastAsia="Times New Roman" w:hAnsi="Times New Roman"/>
          <w:color w:val="0070C0"/>
          <w:sz w:val="16"/>
          <w:szCs w:val="16"/>
        </w:rPr>
        <w:lastRenderedPageBreak/>
        <w:t>Боевые потери штурмовой авиации на всех фронтах в 1941 г., по официальным данным Штаба ВВС РККА, составили 533 машины, из них 101 был сбит огнем зенитной артиллерии, 47 - сбито в воздушных боях, 13-уничтожено на аэродромах и 372 машины не вернулись с боевого задания (ЦАМО РФ, ф. 208, оп. 2589, д. 66, л. 60).</w:t>
      </w:r>
    </w:p>
    <w:p w14:paraId="2C6908EF" w14:textId="77777777" w:rsidR="001D4996" w:rsidRPr="00640820" w:rsidRDefault="001D4996" w:rsidP="00640820">
      <w:pPr>
        <w:shd w:val="clear" w:color="auto" w:fill="FFFFFF"/>
        <w:spacing w:after="0" w:line="240" w:lineRule="auto"/>
        <w:jc w:val="both"/>
        <w:rPr>
          <w:rFonts w:ascii="Times New Roman" w:hAnsi="Times New Roman"/>
          <w:color w:val="0070C0"/>
          <w:sz w:val="16"/>
          <w:szCs w:val="16"/>
        </w:rPr>
      </w:pPr>
      <w:r w:rsidRPr="00640820">
        <w:rPr>
          <w:rFonts w:ascii="Times New Roman" w:eastAsia="Times New Roman" w:hAnsi="Times New Roman"/>
          <w:color w:val="0070C0"/>
          <w:sz w:val="16"/>
          <w:szCs w:val="16"/>
        </w:rPr>
        <w:t>Анализ распределения безвозвратных потерь штурмовых авиаполков по видам потерь (донесения полков, оперативные сводки авиасоединений, журналы боевых действий) показал, что из числа самолетов, не вернувшихся с боевого задания, около 60% необходимо отнести к действиям немецкой истребительной авиации.</w:t>
      </w:r>
    </w:p>
    <w:p w14:paraId="54887597" w14:textId="77777777" w:rsidR="001D4996" w:rsidRPr="00640820" w:rsidRDefault="001D4996" w:rsidP="00640820">
      <w:pPr>
        <w:shd w:val="clear" w:color="auto" w:fill="FFFFFF"/>
        <w:spacing w:after="0" w:line="240" w:lineRule="auto"/>
        <w:jc w:val="both"/>
        <w:rPr>
          <w:rFonts w:ascii="Times New Roman" w:hAnsi="Times New Roman"/>
          <w:color w:val="0070C0"/>
          <w:sz w:val="16"/>
          <w:szCs w:val="16"/>
        </w:rPr>
      </w:pPr>
      <w:r w:rsidRPr="00640820">
        <w:rPr>
          <w:rFonts w:ascii="Times New Roman" w:eastAsia="Times New Roman" w:hAnsi="Times New Roman"/>
          <w:color w:val="0070C0"/>
          <w:sz w:val="16"/>
          <w:szCs w:val="16"/>
        </w:rPr>
        <w:t>Небоевые потери самолетов были почти такими же, как боевые, и со</w:t>
      </w:r>
      <w:r w:rsidRPr="00640820">
        <w:rPr>
          <w:rFonts w:ascii="Times New Roman" w:eastAsia="Times New Roman" w:hAnsi="Times New Roman"/>
          <w:color w:val="0070C0"/>
          <w:sz w:val="16"/>
          <w:szCs w:val="16"/>
        </w:rPr>
        <w:softHyphen/>
        <w:t>ставили около 444 машин, разбитых и списанных по акту. Из этого числа 82 официально. были потеряны на фронте и приписаны к небоевым потерям, остальные - в тылу (20186).</w:t>
      </w:r>
    </w:p>
    <w:p w14:paraId="1214079C" w14:textId="77777777" w:rsidR="001D4996" w:rsidRPr="00640820" w:rsidRDefault="001D4996" w:rsidP="00640820">
      <w:pPr>
        <w:shd w:val="clear" w:color="auto" w:fill="FFFFFF"/>
        <w:spacing w:after="0" w:line="240" w:lineRule="auto"/>
        <w:jc w:val="both"/>
        <w:rPr>
          <w:rFonts w:ascii="Times New Roman" w:hAnsi="Times New Roman"/>
          <w:color w:val="0070C0"/>
          <w:sz w:val="16"/>
          <w:szCs w:val="16"/>
        </w:rPr>
      </w:pPr>
    </w:p>
    <w:p w14:paraId="736EAA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декабря 1941 г. двухмоторные истребители Пе-3 из 9-го бап доработали путем установки в носовой части фюзеляжа пушки Ш</w:t>
      </w:r>
      <w:r w:rsidRPr="00640820">
        <w:rPr>
          <w:rFonts w:ascii="Times New Roman" w:hAnsi="Times New Roman"/>
          <w:color w:val="000000" w:themeColor="text1"/>
          <w:sz w:val="16"/>
          <w:szCs w:val="16"/>
          <w:lang w:val="en-US"/>
        </w:rPr>
        <w:t>BAK</w:t>
      </w:r>
      <w:r w:rsidRPr="00640820">
        <w:rPr>
          <w:rFonts w:ascii="Times New Roman" w:hAnsi="Times New Roman"/>
          <w:color w:val="000000" w:themeColor="text1"/>
          <w:sz w:val="16"/>
          <w:szCs w:val="16"/>
        </w:rPr>
        <w:t xml:space="preserve"> и крупнокалиберного пулемета БТ на турели у штурмана. Почти всю работу выполнил самостоятельно личный состав инженерно-авиационной службы полка. К вечеру 31 декабря все работы удалось завершить и в новый 1942 г. полк вступил, располагая существенно большими возможностями (12042).</w:t>
      </w:r>
    </w:p>
    <w:p w14:paraId="777E24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D3873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концу декабря 1941 из США отправились в путь уже 76 истребителей Р-40. Всего до конца 1941 года через советскую военную приемку иронии 230 "Томагауков". 23 машины относились к модификации IIА, остальные - IIВ (3457,61).</w:t>
      </w:r>
    </w:p>
    <w:p w14:paraId="39C57B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81A4DD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декабря 1941 первые партии аэросаней типа РФ-8 (ГАЗ-98) поступили на фронт и ими комплектовались аэросанные батальоны. Не требующие авиабензина машины быстро потеснили НКЛ-26 несмотря на отсутствие брони и более низкую скорость (3961, 409).</w:t>
      </w:r>
    </w:p>
    <w:p w14:paraId="54290D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5FD32EE"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1D97B2F3"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FB8C9A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декабря 1941 был выпущен первый Hs-128В-1 и к апрелю 1942 выпустили 31 (513,8).</w:t>
      </w:r>
    </w:p>
    <w:p w14:paraId="4F1BE58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C4237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октября 1941 по конец декабря США и Великобритания поставили 750 машин (237,197).</w:t>
      </w:r>
    </w:p>
    <w:p w14:paraId="135EBF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626C3DB" w14:textId="77777777" w:rsidR="00C9372D" w:rsidRPr="00640820" w:rsidRDefault="00C9372D"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6834701D" w14:textId="77777777" w:rsidR="00C9372D" w:rsidRPr="00640820" w:rsidRDefault="00C9372D"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E07305A" w14:textId="77777777" w:rsidR="00C9372D" w:rsidRPr="00640820" w:rsidRDefault="00C9372D" w:rsidP="00640820">
      <w:pPr>
        <w:shd w:val="clear" w:color="auto" w:fill="FFFFFF"/>
        <w:spacing w:after="0" w:line="240" w:lineRule="auto"/>
        <w:jc w:val="both"/>
        <w:rPr>
          <w:rFonts w:ascii="Times New Roman" w:eastAsia="Times New Roman" w:hAnsi="Times New Roman"/>
          <w:color w:val="0070C0"/>
          <w:sz w:val="16"/>
          <w:szCs w:val="16"/>
          <w:lang w:eastAsia="ru-RU"/>
        </w:rPr>
      </w:pPr>
      <w:r w:rsidRPr="00640820">
        <w:rPr>
          <w:rFonts w:ascii="Times New Roman" w:eastAsia="Times New Roman" w:hAnsi="Times New Roman"/>
          <w:color w:val="0070C0"/>
          <w:sz w:val="16"/>
          <w:szCs w:val="16"/>
          <w:lang w:eastAsia="ru-RU"/>
        </w:rPr>
        <w:t>Во второй половине декабря 1941 года был изготовлен опытный образец орудия У-11, после чего прошел стендовые испытания. Далее на Ижорском Заводе изготовили бронировку системы, после чего опытный образец У-11 направили в Челябинск. Там орудие, вместе с новой литой башней, поставили на ремонтный танк КВ-1 №4996, ранее изготовленный на Кировском Заводе. В связи с тем, что боекомплект отличался, потребовалось переделывать укладки. Боекомплект танка, получившего обозначение КВ-9, составил 48 выстрелов (исходно планировалось 50), а также 1943 патрона к ДТ (20860).</w:t>
      </w:r>
    </w:p>
    <w:p w14:paraId="04D6C0EB" w14:textId="77777777" w:rsidR="00C9372D" w:rsidRPr="00640820" w:rsidRDefault="00C9372D" w:rsidP="00640820">
      <w:pPr>
        <w:spacing w:after="0" w:line="240" w:lineRule="auto"/>
        <w:jc w:val="both"/>
        <w:rPr>
          <w:rFonts w:ascii="Times New Roman" w:eastAsia="Times New Roman" w:hAnsi="Times New Roman"/>
          <w:color w:val="0070C0"/>
          <w:sz w:val="16"/>
          <w:szCs w:val="16"/>
          <w:lang w:eastAsia="ru-RU"/>
        </w:rPr>
      </w:pPr>
    </w:p>
    <w:p w14:paraId="34E31291"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064C0737"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93C9087" w14:textId="77777777" w:rsidR="00B1076E" w:rsidRPr="00640820" w:rsidRDefault="00B1076E" w:rsidP="00640820">
      <w:pPr>
        <w:shd w:val="clear" w:color="auto" w:fill="FFFFFF"/>
        <w:spacing w:after="0" w:line="240" w:lineRule="auto"/>
        <w:jc w:val="both"/>
        <w:rPr>
          <w:rFonts w:ascii="Times New Roman" w:hAnsi="Times New Roman"/>
          <w:color w:val="0070C0"/>
          <w:sz w:val="16"/>
          <w:szCs w:val="16"/>
        </w:rPr>
      </w:pPr>
      <w:r w:rsidRPr="00640820">
        <w:rPr>
          <w:rFonts w:ascii="Times New Roman" w:eastAsia="Times New Roman" w:hAnsi="Times New Roman"/>
          <w:color w:val="0070C0"/>
          <w:sz w:val="16"/>
          <w:szCs w:val="16"/>
        </w:rPr>
        <w:t>По плану перевооружения ВВС РККА к концу 1941 г. в пяти пригра</w:t>
      </w:r>
      <w:r w:rsidRPr="00640820">
        <w:rPr>
          <w:rFonts w:ascii="Times New Roman" w:eastAsia="Times New Roman" w:hAnsi="Times New Roman"/>
          <w:color w:val="0070C0"/>
          <w:sz w:val="16"/>
          <w:szCs w:val="16"/>
        </w:rPr>
        <w:softHyphen/>
        <w:t>ничных Военных округах самолетами Ил-2 планировалось вооружить все имеющиеся на 1 января 1941 г. (65-й в ЛВО, 61-й в ПрибОВО, 74-й в ЗапО-ВО, 62-й и 66-й в КОВО) и все вновь формирующиеся (205-й и 235-й в ЛВО, 241-й в ПрибОВО, 190-й и 215-й в ЗапОВО, 253-й в КОВО) штурмовые авиаполки. Полки штурмовой авиации, расположенные во внутренних воен</w:t>
      </w:r>
      <w:r w:rsidRPr="00640820">
        <w:rPr>
          <w:rFonts w:ascii="Times New Roman" w:eastAsia="Times New Roman" w:hAnsi="Times New Roman"/>
          <w:color w:val="0070C0"/>
          <w:sz w:val="16"/>
          <w:szCs w:val="16"/>
        </w:rPr>
        <w:softHyphen/>
        <w:t>ных округах и на Дальнем Востоке, предполагалось перевооружить на новый штурмовик к середине 1942 г. Всего в составе ВВС РККА планировалось иметь 15 штурмовых авиаполков, вооруженных самолетами Ил-2 (Кузнецов С. Бронированный штурмовик Ил-2. М., 2004. С. 9.) (20186).</w:t>
      </w:r>
    </w:p>
    <w:p w14:paraId="33816243" w14:textId="77777777" w:rsidR="00B1076E" w:rsidRPr="00640820" w:rsidRDefault="00B1076E" w:rsidP="00640820">
      <w:pPr>
        <w:shd w:val="clear" w:color="auto" w:fill="FFFFFF"/>
        <w:spacing w:after="0" w:line="240" w:lineRule="auto"/>
        <w:jc w:val="both"/>
        <w:rPr>
          <w:rFonts w:ascii="Times New Roman" w:hAnsi="Times New Roman"/>
          <w:color w:val="0070C0"/>
          <w:sz w:val="16"/>
          <w:szCs w:val="16"/>
        </w:rPr>
      </w:pPr>
    </w:p>
    <w:p w14:paraId="2DBD87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С.В.И. был удостоен звания ГСТ, а группа сотрудников ОКБ - орденами и медалями (180,43).</w:t>
      </w:r>
    </w:p>
    <w:p w14:paraId="5B1152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297851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в 18-м шап ВВС Черноморского флота (ко</w:t>
      </w:r>
      <w:r w:rsidRPr="00640820">
        <w:rPr>
          <w:rFonts w:ascii="Times New Roman" w:hAnsi="Times New Roman"/>
          <w:color w:val="000000" w:themeColor="text1"/>
          <w:sz w:val="16"/>
          <w:szCs w:val="16"/>
        </w:rPr>
        <w:softHyphen/>
        <w:t>мандир полка Герой Советского Союза майор А.А. Губрий) на нескольких самолетах Ил-2 силами технического состава под ру</w:t>
      </w:r>
      <w:r w:rsidRPr="00640820">
        <w:rPr>
          <w:rFonts w:ascii="Times New Roman" w:hAnsi="Times New Roman"/>
          <w:color w:val="000000" w:themeColor="text1"/>
          <w:sz w:val="16"/>
          <w:szCs w:val="16"/>
        </w:rPr>
        <w:softHyphen/>
        <w:t>ководством инженера полка П.С. Журавлева было установлено дублированное управление рулем высоты. Это позволило сохра</w:t>
      </w:r>
      <w:r w:rsidRPr="00640820">
        <w:rPr>
          <w:rFonts w:ascii="Times New Roman" w:hAnsi="Times New Roman"/>
          <w:color w:val="000000" w:themeColor="text1"/>
          <w:sz w:val="16"/>
          <w:szCs w:val="16"/>
        </w:rPr>
        <w:softHyphen/>
        <w:t>нить то небольшое количество штурмовиков в полку и жизнь летного состава. Несмотря на требования летчиков строевых частей, дубли</w:t>
      </w:r>
      <w:r w:rsidRPr="00640820">
        <w:rPr>
          <w:rFonts w:ascii="Times New Roman" w:hAnsi="Times New Roman"/>
          <w:color w:val="000000" w:themeColor="text1"/>
          <w:sz w:val="16"/>
          <w:szCs w:val="16"/>
        </w:rPr>
        <w:softHyphen/>
        <w:t>рованное управление рулями высоты и поворота долгое время на Ил-2 не устанавливалось. Директора заводов не могли до</w:t>
      </w:r>
      <w:r w:rsidRPr="00640820">
        <w:rPr>
          <w:rFonts w:ascii="Times New Roman" w:hAnsi="Times New Roman"/>
          <w:color w:val="000000" w:themeColor="text1"/>
          <w:sz w:val="16"/>
          <w:szCs w:val="16"/>
        </w:rPr>
        <w:softHyphen/>
        <w:t>биться от руководства соответствующего разрешения (11474,253).</w:t>
      </w:r>
    </w:p>
    <w:p w14:paraId="49DAB0B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B9DD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декабря 1941 г. личный состав штурмовых авиачастей своими силами устанавливал на Ил-2 дублированное управление рулем высоты и требовал выполнить такую доработку на серийных штурмовиках. Однако бюрократическая машина даже во время войны «работала» на полную мощь. Директора авиазаводов не могли добиться от руководства соответствующего разрешения. Заводской вариант дублированного управления рулем высоты на Ил-2 стал устанавливаться только с июля 1943 г. Ил-2 не терял управления и при повреждении тросов руля поворота и одной из тяг элеронов. Более тяжелыми были случаи вывода из строя управления рулями высоты, поскольку самолет, как правило, «терял управляемость». Например, 25 октября 1942 г. на Ил-2 летчика капитана Ныркова из 312-го шап предположительно были перебиты тяги управления рулем высоты. Самолет стал неуправляемым, сразу же перешел в крутое пикирование и упал в районе цели (11921).</w:t>
      </w:r>
    </w:p>
    <w:p w14:paraId="266BD3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18E57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на площадке эвакуированного завода № 18 НКАП организованы самолетные Ремонтные мастерские. Начальник мастерских-  Г.Л. Волощенко. Осуществлялся ремонт самолетов Юго-Западного фронта. Планировалось освоить производство Пе-2. По приказу № 239с от 30.03.1942 г. на базе мастерских образован Ремонтный завод при Главремуправлении НКАП. Далее он преобразован в филиал завода № 18 НКАП, начальник филиала- Сердюк. В соответствии с пост. СНК № 913-472сс от 11.06.1942 г. и приказом № 287с от 16.04.1942 г. филиал реорганизован в ГС Завод № 450 НКАП.</w:t>
      </w:r>
    </w:p>
    <w:p w14:paraId="1CB22A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529с от 16.07.1942 г. завод № 450 со всем личным составом и оборудованием переведен в Пензу и влит в состав завода № 163 НКАП.</w:t>
      </w:r>
    </w:p>
    <w:p w14:paraId="7A0E33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1943 г. на этом месте сформирован новый завод № 64 НКАП (11982).</w:t>
      </w:r>
    </w:p>
    <w:p w14:paraId="0DD1FA12" w14:textId="77777777" w:rsidR="005F34CF" w:rsidRPr="00640820" w:rsidRDefault="005F34CF" w:rsidP="00640820">
      <w:pPr>
        <w:autoSpaceDE w:val="0"/>
        <w:autoSpaceDN w:val="0"/>
        <w:adjustRightInd w:val="0"/>
        <w:spacing w:after="0" w:line="240" w:lineRule="auto"/>
        <w:jc w:val="both"/>
        <w:rPr>
          <w:rFonts w:ascii="Times New Roman" w:hAnsi="Times New Roman"/>
          <w:color w:val="000000" w:themeColor="text1"/>
          <w:sz w:val="16"/>
          <w:szCs w:val="16"/>
        </w:rPr>
      </w:pPr>
    </w:p>
    <w:p w14:paraId="4B733EE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А.А.М. начал модернизацию АМ-38 (422,124).</w:t>
      </w:r>
    </w:p>
    <w:p w14:paraId="1F4137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3F089F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НИИ ВВС вышел с предложением установить на Ил-2 М-82 мотор М-82-112И (М-82ИР) с односкоростным нагнетателем и большей мощностью на малых высо</w:t>
      </w:r>
      <w:r w:rsidRPr="00640820">
        <w:rPr>
          <w:rFonts w:ascii="Times New Roman" w:hAnsi="Times New Roman"/>
          <w:color w:val="000000" w:themeColor="text1"/>
          <w:sz w:val="16"/>
          <w:szCs w:val="16"/>
        </w:rPr>
        <w:softHyphen/>
        <w:t>тах, который в ноябре успешно прошел 100-часовые испытания на стенде. Для мо</w:t>
      </w:r>
      <w:r w:rsidRPr="00640820">
        <w:rPr>
          <w:rFonts w:ascii="Times New Roman" w:hAnsi="Times New Roman"/>
          <w:color w:val="000000" w:themeColor="text1"/>
          <w:sz w:val="16"/>
          <w:szCs w:val="16"/>
        </w:rPr>
        <w:softHyphen/>
        <w:t>торов М-82 заводом №19 была вве</w:t>
      </w:r>
      <w:r w:rsidRPr="00640820">
        <w:rPr>
          <w:rFonts w:ascii="Times New Roman" w:hAnsi="Times New Roman"/>
          <w:color w:val="000000" w:themeColor="text1"/>
          <w:sz w:val="16"/>
          <w:szCs w:val="16"/>
        </w:rPr>
        <w:softHyphen/>
        <w:t>дена трехзначная маркировка. Пер</w:t>
      </w:r>
      <w:r w:rsidRPr="00640820">
        <w:rPr>
          <w:rFonts w:ascii="Times New Roman" w:hAnsi="Times New Roman"/>
          <w:color w:val="000000" w:themeColor="text1"/>
          <w:sz w:val="16"/>
          <w:szCs w:val="16"/>
        </w:rPr>
        <w:softHyphen/>
        <w:t>вая цифра означала редукцию мото</w:t>
      </w:r>
      <w:r w:rsidRPr="00640820">
        <w:rPr>
          <w:rFonts w:ascii="Times New Roman" w:hAnsi="Times New Roman"/>
          <w:color w:val="000000" w:themeColor="text1"/>
          <w:sz w:val="16"/>
          <w:szCs w:val="16"/>
        </w:rPr>
        <w:softHyphen/>
        <w:t>ра, вторая - степень сжатия и третья - наличие или отсутствие воздушно</w:t>
      </w:r>
      <w:r w:rsidRPr="00640820">
        <w:rPr>
          <w:rFonts w:ascii="Times New Roman" w:hAnsi="Times New Roman"/>
          <w:color w:val="000000" w:themeColor="text1"/>
          <w:sz w:val="16"/>
          <w:szCs w:val="16"/>
        </w:rPr>
        <w:softHyphen/>
        <w:t>го самопуска. К тому же для моторов, имеющих односкоростной нагнетатель, добавлялась буква «И». Варианты обозначения моторов М-82 представ</w:t>
      </w:r>
      <w:r w:rsidRPr="00640820">
        <w:rPr>
          <w:rFonts w:ascii="Times New Roman" w:hAnsi="Times New Roman"/>
          <w:color w:val="000000" w:themeColor="text1"/>
          <w:sz w:val="16"/>
          <w:szCs w:val="16"/>
        </w:rPr>
        <w:softHyphen/>
        <w:t>лены в нижеследующей таблице.</w:t>
      </w:r>
    </w:p>
    <w:p w14:paraId="5DE9465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Условное обозначение модификаций моторов типа М-82</w:t>
      </w:r>
    </w:p>
    <w:tbl>
      <w:tblPr>
        <w:tblW w:w="0" w:type="auto"/>
        <w:tblInd w:w="40" w:type="dxa"/>
        <w:tblLayout w:type="fixed"/>
        <w:tblCellMar>
          <w:left w:w="40" w:type="dxa"/>
          <w:right w:w="40" w:type="dxa"/>
        </w:tblCellMar>
        <w:tblLook w:val="0000" w:firstRow="0" w:lastRow="0" w:firstColumn="0" w:lastColumn="0" w:noHBand="0" w:noVBand="0"/>
      </w:tblPr>
      <w:tblGrid>
        <w:gridCol w:w="845"/>
        <w:gridCol w:w="749"/>
        <w:gridCol w:w="845"/>
        <w:gridCol w:w="749"/>
        <w:gridCol w:w="902"/>
        <w:gridCol w:w="787"/>
        <w:gridCol w:w="941"/>
        <w:gridCol w:w="902"/>
      </w:tblGrid>
      <w:tr w:rsidR="00643896" w:rsidRPr="00640820" w14:paraId="4F8DD436" w14:textId="77777777" w:rsidTr="000D3BCB">
        <w:trPr>
          <w:trHeight w:val="240"/>
        </w:trPr>
        <w:tc>
          <w:tcPr>
            <w:tcW w:w="1594" w:type="dxa"/>
            <w:gridSpan w:val="2"/>
            <w:tcBorders>
              <w:top w:val="single" w:sz="6" w:space="0" w:color="auto"/>
              <w:left w:val="single" w:sz="6" w:space="0" w:color="auto"/>
              <w:bottom w:val="single" w:sz="6" w:space="0" w:color="auto"/>
              <w:right w:val="single" w:sz="6" w:space="0" w:color="auto"/>
            </w:tcBorders>
          </w:tcPr>
          <w:p w14:paraId="593C0BE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Редукция</w:t>
            </w:r>
          </w:p>
        </w:tc>
        <w:tc>
          <w:tcPr>
            <w:tcW w:w="1594" w:type="dxa"/>
            <w:gridSpan w:val="2"/>
            <w:tcBorders>
              <w:top w:val="single" w:sz="6" w:space="0" w:color="auto"/>
              <w:left w:val="single" w:sz="6" w:space="0" w:color="auto"/>
              <w:bottom w:val="single" w:sz="6" w:space="0" w:color="auto"/>
              <w:right w:val="single" w:sz="6" w:space="0" w:color="auto"/>
            </w:tcBorders>
          </w:tcPr>
          <w:p w14:paraId="6FA1CC1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II. Степень сжатия</w:t>
            </w:r>
          </w:p>
        </w:tc>
        <w:tc>
          <w:tcPr>
            <w:tcW w:w="1689" w:type="dxa"/>
            <w:gridSpan w:val="2"/>
            <w:tcBorders>
              <w:top w:val="single" w:sz="6" w:space="0" w:color="auto"/>
              <w:left w:val="single" w:sz="6" w:space="0" w:color="auto"/>
              <w:bottom w:val="single" w:sz="6" w:space="0" w:color="auto"/>
              <w:right w:val="single" w:sz="6" w:space="0" w:color="auto"/>
            </w:tcBorders>
          </w:tcPr>
          <w:p w14:paraId="2D1FCED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III. Самопуск</w:t>
            </w:r>
          </w:p>
        </w:tc>
        <w:tc>
          <w:tcPr>
            <w:tcW w:w="1843" w:type="dxa"/>
            <w:gridSpan w:val="2"/>
            <w:tcBorders>
              <w:top w:val="single" w:sz="6" w:space="0" w:color="auto"/>
              <w:left w:val="single" w:sz="6" w:space="0" w:color="auto"/>
              <w:bottom w:val="single" w:sz="6" w:space="0" w:color="auto"/>
              <w:right w:val="single" w:sz="6" w:space="0" w:color="auto"/>
            </w:tcBorders>
          </w:tcPr>
          <w:p w14:paraId="384F26B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IV. Нагнетатель</w:t>
            </w:r>
          </w:p>
        </w:tc>
      </w:tr>
      <w:tr w:rsidR="00643896" w:rsidRPr="00640820" w14:paraId="62F07E3D" w14:textId="77777777" w:rsidTr="000D3BCB">
        <w:trPr>
          <w:trHeight w:val="211"/>
        </w:trPr>
        <w:tc>
          <w:tcPr>
            <w:tcW w:w="845" w:type="dxa"/>
            <w:tcBorders>
              <w:top w:val="single" w:sz="6" w:space="0" w:color="auto"/>
              <w:left w:val="single" w:sz="6" w:space="0" w:color="auto"/>
              <w:bottom w:val="nil"/>
              <w:right w:val="single" w:sz="6" w:space="0" w:color="auto"/>
            </w:tcBorders>
          </w:tcPr>
          <w:p w14:paraId="0F12F44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Степень редукции</w:t>
            </w:r>
          </w:p>
        </w:tc>
        <w:tc>
          <w:tcPr>
            <w:tcW w:w="749" w:type="dxa"/>
            <w:tcBorders>
              <w:top w:val="single" w:sz="6" w:space="0" w:color="auto"/>
              <w:left w:val="single" w:sz="6" w:space="0" w:color="auto"/>
              <w:bottom w:val="nil"/>
              <w:right w:val="single" w:sz="6" w:space="0" w:color="auto"/>
            </w:tcBorders>
          </w:tcPr>
          <w:p w14:paraId="65315D3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обозна чение</w:t>
            </w:r>
          </w:p>
        </w:tc>
        <w:tc>
          <w:tcPr>
            <w:tcW w:w="845" w:type="dxa"/>
            <w:tcBorders>
              <w:top w:val="single" w:sz="6" w:space="0" w:color="auto"/>
              <w:left w:val="single" w:sz="6" w:space="0" w:color="auto"/>
              <w:bottom w:val="nil"/>
              <w:right w:val="single" w:sz="6" w:space="0" w:color="auto"/>
            </w:tcBorders>
          </w:tcPr>
          <w:p w14:paraId="31D3087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величина</w:t>
            </w:r>
          </w:p>
        </w:tc>
        <w:tc>
          <w:tcPr>
            <w:tcW w:w="749" w:type="dxa"/>
            <w:tcBorders>
              <w:top w:val="single" w:sz="6" w:space="0" w:color="auto"/>
              <w:left w:val="single" w:sz="6" w:space="0" w:color="auto"/>
              <w:bottom w:val="nil"/>
              <w:right w:val="single" w:sz="6" w:space="0" w:color="auto"/>
            </w:tcBorders>
          </w:tcPr>
          <w:p w14:paraId="07F96BA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обозна чение</w:t>
            </w:r>
          </w:p>
        </w:tc>
        <w:tc>
          <w:tcPr>
            <w:tcW w:w="902" w:type="dxa"/>
            <w:tcBorders>
              <w:top w:val="single" w:sz="6" w:space="0" w:color="auto"/>
              <w:left w:val="single" w:sz="6" w:space="0" w:color="auto"/>
              <w:bottom w:val="nil"/>
              <w:right w:val="single" w:sz="6" w:space="0" w:color="auto"/>
            </w:tcBorders>
          </w:tcPr>
          <w:p w14:paraId="06A3505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тип</w:t>
            </w:r>
          </w:p>
        </w:tc>
        <w:tc>
          <w:tcPr>
            <w:tcW w:w="787" w:type="dxa"/>
            <w:tcBorders>
              <w:top w:val="single" w:sz="6" w:space="0" w:color="auto"/>
              <w:left w:val="single" w:sz="6" w:space="0" w:color="auto"/>
              <w:bottom w:val="nil"/>
              <w:right w:val="single" w:sz="6" w:space="0" w:color="auto"/>
            </w:tcBorders>
          </w:tcPr>
          <w:p w14:paraId="424CEFD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обозна чение</w:t>
            </w:r>
          </w:p>
        </w:tc>
        <w:tc>
          <w:tcPr>
            <w:tcW w:w="941" w:type="dxa"/>
            <w:tcBorders>
              <w:top w:val="single" w:sz="6" w:space="0" w:color="auto"/>
              <w:left w:val="single" w:sz="6" w:space="0" w:color="auto"/>
              <w:bottom w:val="nil"/>
              <w:right w:val="single" w:sz="6" w:space="0" w:color="auto"/>
            </w:tcBorders>
          </w:tcPr>
          <w:p w14:paraId="1C990E3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тип</w:t>
            </w:r>
          </w:p>
        </w:tc>
        <w:tc>
          <w:tcPr>
            <w:tcW w:w="902" w:type="dxa"/>
            <w:tcBorders>
              <w:top w:val="single" w:sz="6" w:space="0" w:color="auto"/>
              <w:left w:val="single" w:sz="6" w:space="0" w:color="auto"/>
              <w:bottom w:val="nil"/>
              <w:right w:val="single" w:sz="6" w:space="0" w:color="auto"/>
            </w:tcBorders>
          </w:tcPr>
          <w:p w14:paraId="36C29C3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обозна чение</w:t>
            </w:r>
          </w:p>
        </w:tc>
      </w:tr>
      <w:tr w:rsidR="00643896" w:rsidRPr="00640820" w14:paraId="6326E109" w14:textId="77777777" w:rsidTr="000D3BCB">
        <w:trPr>
          <w:trHeight w:val="346"/>
        </w:trPr>
        <w:tc>
          <w:tcPr>
            <w:tcW w:w="845" w:type="dxa"/>
            <w:tcBorders>
              <w:top w:val="single" w:sz="12" w:space="0" w:color="auto"/>
              <w:left w:val="single" w:sz="12" w:space="0" w:color="auto"/>
              <w:bottom w:val="single" w:sz="6" w:space="0" w:color="auto"/>
              <w:right w:val="single" w:sz="6" w:space="0" w:color="auto"/>
            </w:tcBorders>
          </w:tcPr>
          <w:p w14:paraId="3F27DF3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11:16</w:t>
            </w:r>
          </w:p>
        </w:tc>
        <w:tc>
          <w:tcPr>
            <w:tcW w:w="749" w:type="dxa"/>
            <w:tcBorders>
              <w:top w:val="single" w:sz="12" w:space="0" w:color="auto"/>
              <w:left w:val="single" w:sz="6" w:space="0" w:color="auto"/>
              <w:bottom w:val="single" w:sz="6" w:space="0" w:color="auto"/>
              <w:right w:val="single" w:sz="6" w:space="0" w:color="auto"/>
            </w:tcBorders>
          </w:tcPr>
          <w:p w14:paraId="77AA76B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845" w:type="dxa"/>
            <w:tcBorders>
              <w:top w:val="single" w:sz="12" w:space="0" w:color="auto"/>
              <w:left w:val="single" w:sz="6" w:space="0" w:color="auto"/>
              <w:bottom w:val="single" w:sz="6" w:space="0" w:color="auto"/>
              <w:right w:val="single" w:sz="6" w:space="0" w:color="auto"/>
            </w:tcBorders>
          </w:tcPr>
          <w:p w14:paraId="6199972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w:t>
            </w:r>
          </w:p>
        </w:tc>
        <w:tc>
          <w:tcPr>
            <w:tcW w:w="749" w:type="dxa"/>
            <w:tcBorders>
              <w:top w:val="single" w:sz="12" w:space="0" w:color="auto"/>
              <w:left w:val="single" w:sz="6" w:space="0" w:color="auto"/>
              <w:bottom w:val="single" w:sz="6" w:space="0" w:color="auto"/>
              <w:right w:val="single" w:sz="6" w:space="0" w:color="auto"/>
            </w:tcBorders>
          </w:tcPr>
          <w:p w14:paraId="5C49C93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902" w:type="dxa"/>
            <w:tcBorders>
              <w:top w:val="single" w:sz="12" w:space="0" w:color="auto"/>
              <w:left w:val="single" w:sz="6" w:space="0" w:color="auto"/>
              <w:bottom w:val="single" w:sz="6" w:space="0" w:color="auto"/>
              <w:right w:val="single" w:sz="6" w:space="0" w:color="auto"/>
            </w:tcBorders>
          </w:tcPr>
          <w:p w14:paraId="15B8B5A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РИМ</w:t>
            </w:r>
          </w:p>
        </w:tc>
        <w:tc>
          <w:tcPr>
            <w:tcW w:w="787" w:type="dxa"/>
            <w:tcBorders>
              <w:top w:val="single" w:sz="12" w:space="0" w:color="auto"/>
              <w:left w:val="single" w:sz="6" w:space="0" w:color="auto"/>
              <w:bottom w:val="single" w:sz="6" w:space="0" w:color="auto"/>
              <w:right w:val="single" w:sz="6" w:space="0" w:color="auto"/>
            </w:tcBorders>
          </w:tcPr>
          <w:p w14:paraId="6A1D480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941" w:type="dxa"/>
            <w:tcBorders>
              <w:top w:val="single" w:sz="12" w:space="0" w:color="auto"/>
              <w:left w:val="single" w:sz="6" w:space="0" w:color="auto"/>
              <w:bottom w:val="single" w:sz="6" w:space="0" w:color="auto"/>
              <w:right w:val="single" w:sz="6" w:space="0" w:color="auto"/>
            </w:tcBorders>
          </w:tcPr>
          <w:p w14:paraId="0061A45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Двухско ростной</w:t>
            </w:r>
          </w:p>
        </w:tc>
        <w:tc>
          <w:tcPr>
            <w:tcW w:w="902" w:type="dxa"/>
            <w:tcBorders>
              <w:top w:val="single" w:sz="12" w:space="0" w:color="auto"/>
              <w:left w:val="single" w:sz="6" w:space="0" w:color="auto"/>
              <w:bottom w:val="single" w:sz="6" w:space="0" w:color="auto"/>
              <w:right w:val="single" w:sz="12" w:space="0" w:color="auto"/>
            </w:tcBorders>
          </w:tcPr>
          <w:p w14:paraId="3CE9747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2AC08576" w14:textId="77777777" w:rsidTr="000D3BCB">
        <w:trPr>
          <w:trHeight w:val="394"/>
        </w:trPr>
        <w:tc>
          <w:tcPr>
            <w:tcW w:w="845" w:type="dxa"/>
            <w:tcBorders>
              <w:top w:val="single" w:sz="6" w:space="0" w:color="auto"/>
              <w:left w:val="single" w:sz="12" w:space="0" w:color="auto"/>
              <w:bottom w:val="single" w:sz="6" w:space="0" w:color="auto"/>
              <w:right w:val="single" w:sz="6" w:space="0" w:color="auto"/>
            </w:tcBorders>
          </w:tcPr>
          <w:p w14:paraId="659407A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9:16</w:t>
            </w:r>
          </w:p>
        </w:tc>
        <w:tc>
          <w:tcPr>
            <w:tcW w:w="749" w:type="dxa"/>
            <w:tcBorders>
              <w:top w:val="single" w:sz="6" w:space="0" w:color="auto"/>
              <w:left w:val="single" w:sz="6" w:space="0" w:color="auto"/>
              <w:bottom w:val="single" w:sz="6" w:space="0" w:color="auto"/>
              <w:right w:val="single" w:sz="6" w:space="0" w:color="auto"/>
            </w:tcBorders>
          </w:tcPr>
          <w:p w14:paraId="7AF5CB3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845" w:type="dxa"/>
            <w:tcBorders>
              <w:top w:val="single" w:sz="6" w:space="0" w:color="auto"/>
              <w:left w:val="single" w:sz="6" w:space="0" w:color="auto"/>
              <w:bottom w:val="single" w:sz="6" w:space="0" w:color="auto"/>
              <w:right w:val="single" w:sz="6" w:space="0" w:color="auto"/>
            </w:tcBorders>
          </w:tcPr>
          <w:p w14:paraId="4282A08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6,4</w:t>
            </w:r>
          </w:p>
        </w:tc>
        <w:tc>
          <w:tcPr>
            <w:tcW w:w="749" w:type="dxa"/>
            <w:tcBorders>
              <w:top w:val="single" w:sz="6" w:space="0" w:color="auto"/>
              <w:left w:val="single" w:sz="6" w:space="0" w:color="auto"/>
              <w:bottom w:val="single" w:sz="6" w:space="0" w:color="auto"/>
              <w:right w:val="single" w:sz="6" w:space="0" w:color="auto"/>
            </w:tcBorders>
          </w:tcPr>
          <w:p w14:paraId="28552BE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902" w:type="dxa"/>
            <w:tcBorders>
              <w:top w:val="single" w:sz="6" w:space="0" w:color="auto"/>
              <w:left w:val="single" w:sz="6" w:space="0" w:color="auto"/>
              <w:bottom w:val="single" w:sz="6" w:space="0" w:color="auto"/>
              <w:right w:val="single" w:sz="6" w:space="0" w:color="auto"/>
            </w:tcBorders>
          </w:tcPr>
          <w:p w14:paraId="6681A34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Воздушный самопуск</w:t>
            </w:r>
          </w:p>
        </w:tc>
        <w:tc>
          <w:tcPr>
            <w:tcW w:w="787" w:type="dxa"/>
            <w:tcBorders>
              <w:top w:val="single" w:sz="6" w:space="0" w:color="auto"/>
              <w:left w:val="single" w:sz="6" w:space="0" w:color="auto"/>
              <w:bottom w:val="single" w:sz="6" w:space="0" w:color="auto"/>
              <w:right w:val="single" w:sz="6" w:space="0" w:color="auto"/>
            </w:tcBorders>
          </w:tcPr>
          <w:p w14:paraId="1662497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941" w:type="dxa"/>
            <w:tcBorders>
              <w:top w:val="single" w:sz="6" w:space="0" w:color="auto"/>
              <w:left w:val="single" w:sz="6" w:space="0" w:color="auto"/>
              <w:bottom w:val="single" w:sz="6" w:space="0" w:color="auto"/>
              <w:right w:val="single" w:sz="6" w:space="0" w:color="auto"/>
            </w:tcBorders>
          </w:tcPr>
          <w:p w14:paraId="53A83BA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односко ростной</w:t>
            </w:r>
          </w:p>
        </w:tc>
        <w:tc>
          <w:tcPr>
            <w:tcW w:w="902" w:type="dxa"/>
            <w:tcBorders>
              <w:top w:val="single" w:sz="6" w:space="0" w:color="auto"/>
              <w:left w:val="single" w:sz="6" w:space="0" w:color="auto"/>
              <w:bottom w:val="single" w:sz="6" w:space="0" w:color="auto"/>
              <w:right w:val="single" w:sz="12" w:space="0" w:color="auto"/>
            </w:tcBorders>
          </w:tcPr>
          <w:p w14:paraId="780674E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w:t>
            </w:r>
          </w:p>
        </w:tc>
      </w:tr>
    </w:tbl>
    <w:p w14:paraId="36CCBFE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Примечание: в дальнейшем на заводе №29 выпускалась также мо</w:t>
      </w:r>
      <w:r w:rsidRPr="00640820">
        <w:rPr>
          <w:rFonts w:ascii="Times New Roman" w:hAnsi="Times New Roman"/>
          <w:color w:val="000000" w:themeColor="text1"/>
          <w:sz w:val="16"/>
          <w:szCs w:val="16"/>
        </w:rPr>
        <w:softHyphen/>
        <w:t>дификация с редукцией 0,56, обозна</w:t>
      </w:r>
      <w:r w:rsidRPr="00640820">
        <w:rPr>
          <w:rFonts w:ascii="Times New Roman" w:hAnsi="Times New Roman"/>
          <w:color w:val="000000" w:themeColor="text1"/>
          <w:sz w:val="16"/>
          <w:szCs w:val="16"/>
        </w:rPr>
        <w:softHyphen/>
        <w:t>чавшаяся цифрой 3.</w:t>
      </w:r>
    </w:p>
    <w:p w14:paraId="67EBF2E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Примеры:</w:t>
      </w:r>
    </w:p>
    <w:p w14:paraId="61D2D29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М-82-111 означает мотор с редукцией 11:16, степенью сжатия 7, с двухскоростной переда</w:t>
      </w:r>
      <w:r w:rsidRPr="00640820">
        <w:rPr>
          <w:rFonts w:ascii="Times New Roman" w:hAnsi="Times New Roman"/>
          <w:color w:val="000000" w:themeColor="text1"/>
          <w:sz w:val="16"/>
          <w:szCs w:val="16"/>
        </w:rPr>
        <w:softHyphen/>
        <w:t>чей и без воздушного самопуска, т.е. с электроинерционным стартером (РИМ).</w:t>
      </w:r>
    </w:p>
    <w:p w14:paraId="6FE61E6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М-82-112 означает мотор с ре</w:t>
      </w:r>
      <w:r w:rsidRPr="00640820">
        <w:rPr>
          <w:rFonts w:ascii="Times New Roman" w:hAnsi="Times New Roman"/>
          <w:color w:val="000000" w:themeColor="text1"/>
          <w:sz w:val="16"/>
          <w:szCs w:val="16"/>
        </w:rPr>
        <w:softHyphen/>
        <w:t>дукцией 11:16, степенью сжатия 7, с воздушным самопуском и двухскоро</w:t>
      </w:r>
      <w:r w:rsidRPr="00640820">
        <w:rPr>
          <w:rFonts w:ascii="Times New Roman" w:hAnsi="Times New Roman"/>
          <w:color w:val="000000" w:themeColor="text1"/>
          <w:sz w:val="16"/>
          <w:szCs w:val="16"/>
        </w:rPr>
        <w:softHyphen/>
        <w:t>стной передачей к нагнетателю.</w:t>
      </w:r>
    </w:p>
    <w:p w14:paraId="6A28778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М-82-212 означает то же, что и в предыдущем случае, но с редукцией 9:16.</w:t>
      </w:r>
    </w:p>
    <w:p w14:paraId="2D7E85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М-82-122И означает мотор с редукцией 1 1:16, степенью сжатия 6,4, с воздушным самопуском и односко</w:t>
      </w:r>
      <w:r w:rsidRPr="00640820">
        <w:rPr>
          <w:rFonts w:ascii="Times New Roman" w:hAnsi="Times New Roman"/>
          <w:color w:val="000000" w:themeColor="text1"/>
          <w:sz w:val="16"/>
          <w:szCs w:val="16"/>
        </w:rPr>
        <w:softHyphen/>
        <w:t>ростным нагнетателем (10686).</w:t>
      </w:r>
    </w:p>
    <w:p w14:paraId="69E105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8A2F098" w14:textId="77777777" w:rsidR="005F34CF" w:rsidRPr="00640820" w:rsidRDefault="005F34CF" w:rsidP="00640820">
      <w:pPr>
        <w:pStyle w:val="a3"/>
        <w:rPr>
          <w:color w:val="000000" w:themeColor="text1"/>
          <w:lang w:val="ru-RU"/>
        </w:rPr>
      </w:pPr>
      <w:r w:rsidRPr="00640820">
        <w:rPr>
          <w:color w:val="000000" w:themeColor="text1"/>
          <w:lang w:val="ru-RU"/>
        </w:rPr>
        <w:t>В декабре 1941 НИИ ВВС вышел с предложением установить на этот самолёт мотор М-82-112И (М-82ИР) с односкоростным нагнетателем и большей мощностью на ма</w:t>
      </w:r>
      <w:r w:rsidRPr="00640820">
        <w:rPr>
          <w:color w:val="000000" w:themeColor="text1"/>
          <w:lang w:val="ru-RU"/>
        </w:rPr>
        <w:softHyphen/>
        <w:t>лых высотах, который в ноябре успешно прошел 100-часовые испытания на стенде.</w:t>
      </w:r>
    </w:p>
    <w:p w14:paraId="1DF4ED02" w14:textId="77777777" w:rsidR="005F34CF" w:rsidRPr="00640820" w:rsidRDefault="005F34CF" w:rsidP="00640820">
      <w:pPr>
        <w:pStyle w:val="a3"/>
        <w:rPr>
          <w:color w:val="000000" w:themeColor="text1"/>
          <w:lang w:val="ru-RU"/>
        </w:rPr>
      </w:pPr>
      <w:r w:rsidRPr="00640820">
        <w:rPr>
          <w:color w:val="000000" w:themeColor="text1"/>
          <w:lang w:val="ru-RU"/>
        </w:rPr>
        <w:t xml:space="preserve">Здесь нужно отметить, что для моторов М-82 завод </w:t>
      </w:r>
      <w:r w:rsidRPr="00640820">
        <w:rPr>
          <w:color w:val="000000" w:themeColor="text1"/>
        </w:rPr>
        <w:t>N</w:t>
      </w:r>
      <w:r w:rsidRPr="00640820">
        <w:rPr>
          <w:color w:val="000000" w:themeColor="text1"/>
          <w:lang w:val="ru-RU"/>
        </w:rPr>
        <w:t>° 19 ввел трехзначную маркиров</w:t>
      </w:r>
      <w:r w:rsidRPr="00640820">
        <w:rPr>
          <w:color w:val="000000" w:themeColor="text1"/>
          <w:lang w:val="ru-RU"/>
        </w:rPr>
        <w:softHyphen/>
      </w:r>
      <w:r w:rsidRPr="00640820">
        <w:rPr>
          <w:rStyle w:val="913"/>
          <w:rFonts w:ascii="Times New Roman" w:hAnsi="Times New Roman" w:cs="Times New Roman"/>
          <w:b w:val="0"/>
          <w:color w:val="000000" w:themeColor="text1"/>
          <w:spacing w:val="0"/>
          <w:sz w:val="16"/>
          <w:szCs w:val="16"/>
          <w:lang w:val="ru-RU"/>
        </w:rPr>
        <w:t>ку.</w:t>
      </w:r>
      <w:r w:rsidRPr="00640820">
        <w:rPr>
          <w:color w:val="000000" w:themeColor="text1"/>
          <w:lang w:val="ru-RU"/>
        </w:rPr>
        <w:t xml:space="preserve"> Первая цифра означала редукцию мотора, вторая — степень сжатия и третья </w:t>
      </w:r>
      <w:r w:rsidRPr="00640820">
        <w:rPr>
          <w:color w:val="000000" w:themeColor="text1"/>
          <w:lang w:val="ru-RU"/>
        </w:rPr>
        <w:lastRenderedPageBreak/>
        <w:t>— нали</w:t>
      </w:r>
      <w:r w:rsidRPr="00640820">
        <w:rPr>
          <w:color w:val="000000" w:themeColor="text1"/>
          <w:lang w:val="ru-RU"/>
        </w:rPr>
        <w:softHyphen/>
        <w:t>чие или отсутствие воздушного самопуска. К тому же для мото</w:t>
      </w:r>
      <w:r w:rsidRPr="00640820">
        <w:rPr>
          <w:color w:val="000000" w:themeColor="text1"/>
          <w:lang w:val="ru-RU"/>
        </w:rPr>
        <w:softHyphen/>
        <w:t>ров, имеющих односкоростной нагнетатель, добавлялась буква «И». Варианты обозначения мо</w:t>
      </w:r>
      <w:r w:rsidRPr="00640820">
        <w:rPr>
          <w:color w:val="000000" w:themeColor="text1"/>
          <w:lang w:val="ru-RU"/>
        </w:rPr>
        <w:softHyphen/>
        <w:t>торов М-82 представлены ниже.</w:t>
      </w:r>
    </w:p>
    <w:p w14:paraId="58352DE2" w14:textId="77777777" w:rsidR="005F34CF" w:rsidRPr="00640820" w:rsidRDefault="005F34CF" w:rsidP="00640820">
      <w:pPr>
        <w:pStyle w:val="a3"/>
        <w:rPr>
          <w:color w:val="000000" w:themeColor="text1"/>
          <w:lang w:val="ru-RU"/>
        </w:rPr>
      </w:pPr>
      <w:r w:rsidRPr="00640820">
        <w:rPr>
          <w:color w:val="000000" w:themeColor="text1"/>
          <w:lang w:val="ru-RU"/>
        </w:rPr>
        <w:t>Примечание: в дальнейшем на заводе № 29 также выпускалась модификация с редукцией 0,56, обозначавшаяся цифрой 3.</w:t>
      </w:r>
    </w:p>
    <w:p w14:paraId="0B2E0DDF" w14:textId="77777777" w:rsidR="005F34CF" w:rsidRPr="00640820" w:rsidRDefault="005F34CF" w:rsidP="00640820">
      <w:pPr>
        <w:pStyle w:val="a3"/>
        <w:rPr>
          <w:color w:val="000000" w:themeColor="text1"/>
          <w:lang w:val="ru-RU"/>
        </w:rPr>
      </w:pPr>
      <w:r w:rsidRPr="00640820">
        <w:rPr>
          <w:color w:val="000000" w:themeColor="text1"/>
          <w:lang w:val="ru-RU"/>
        </w:rPr>
        <w:t>Примеры:</w:t>
      </w:r>
    </w:p>
    <w:p w14:paraId="00D6E487" w14:textId="77777777" w:rsidR="005F34CF" w:rsidRPr="00640820" w:rsidRDefault="005F34CF" w:rsidP="00640820">
      <w:pPr>
        <w:pStyle w:val="a3"/>
        <w:rPr>
          <w:color w:val="000000" w:themeColor="text1"/>
          <w:lang w:val="ru-RU"/>
        </w:rPr>
      </w:pPr>
      <w:r w:rsidRPr="00640820">
        <w:rPr>
          <w:color w:val="000000" w:themeColor="text1"/>
          <w:lang w:val="ru-RU"/>
        </w:rPr>
        <w:t>1. М-82-111 озна</w:t>
      </w:r>
      <w:r w:rsidRPr="00640820">
        <w:rPr>
          <w:color w:val="000000" w:themeColor="text1"/>
          <w:lang w:val="ru-RU"/>
        </w:rPr>
        <w:softHyphen/>
        <w:t>чает мотор с редукцией 11:16, степенью сжатия 7, с двухскоростной передачей и без воздушного самопуска, т.е. с электроинерционным стартером (РИМ).</w:t>
      </w:r>
    </w:p>
    <w:p w14:paraId="4F09D194" w14:textId="77777777" w:rsidR="005F34CF" w:rsidRPr="00640820" w:rsidRDefault="005F34CF" w:rsidP="00640820">
      <w:pPr>
        <w:pStyle w:val="a3"/>
        <w:tabs>
          <w:tab w:val="left" w:pos="418"/>
        </w:tabs>
        <w:rPr>
          <w:color w:val="000000" w:themeColor="text1"/>
          <w:lang w:val="ru-RU"/>
        </w:rPr>
      </w:pPr>
      <w:r w:rsidRPr="00640820">
        <w:rPr>
          <w:color w:val="000000" w:themeColor="text1"/>
          <w:lang w:val="ru-RU"/>
        </w:rPr>
        <w:t>2. М-82-112 означает мотор с редукцией 11:16, степенью сжатия 7, с воздушным са</w:t>
      </w:r>
      <w:r w:rsidRPr="00640820">
        <w:rPr>
          <w:color w:val="000000" w:themeColor="text1"/>
          <w:lang w:val="ru-RU"/>
        </w:rPr>
        <w:softHyphen/>
        <w:t>мопуском и двухскоростной передачей к нагнетателю.</w:t>
      </w:r>
    </w:p>
    <w:p w14:paraId="46B9FFFF" w14:textId="77777777" w:rsidR="005F34CF" w:rsidRPr="00640820" w:rsidRDefault="005F34CF" w:rsidP="00640820">
      <w:pPr>
        <w:pStyle w:val="a3"/>
        <w:tabs>
          <w:tab w:val="left" w:pos="440"/>
        </w:tabs>
        <w:rPr>
          <w:color w:val="000000" w:themeColor="text1"/>
          <w:lang w:val="ru-RU"/>
        </w:rPr>
      </w:pPr>
      <w:r w:rsidRPr="00640820">
        <w:rPr>
          <w:color w:val="000000" w:themeColor="text1"/>
          <w:lang w:val="ru-RU"/>
        </w:rPr>
        <w:t>3. М-82-212 означает то же, что и в предыдущем случае, но с редукцией 9:16.</w:t>
      </w:r>
    </w:p>
    <w:p w14:paraId="689EA7C9" w14:textId="77777777" w:rsidR="005F34CF" w:rsidRPr="00640820" w:rsidRDefault="005F34CF" w:rsidP="00640820">
      <w:pPr>
        <w:pStyle w:val="a3"/>
        <w:tabs>
          <w:tab w:val="left" w:pos="423"/>
        </w:tabs>
        <w:rPr>
          <w:color w:val="000000" w:themeColor="text1"/>
          <w:lang w:val="ru-RU"/>
        </w:rPr>
      </w:pPr>
      <w:r w:rsidRPr="00640820">
        <w:rPr>
          <w:color w:val="000000" w:themeColor="text1"/>
          <w:lang w:val="ru-RU"/>
        </w:rPr>
        <w:t>4. М-82-122И означает мотор с редукцией 11:16, степенью сжатия 6,4, с воздушным самопуском и односкоростным нагнетателем.</w:t>
      </w:r>
    </w:p>
    <w:p w14:paraId="2997B52B" w14:textId="77777777" w:rsidR="005F34CF" w:rsidRPr="00640820" w:rsidRDefault="005F34CF" w:rsidP="00640820">
      <w:pPr>
        <w:pStyle w:val="a3"/>
        <w:rPr>
          <w:color w:val="000000" w:themeColor="text1"/>
          <w:lang w:val="ru-RU"/>
        </w:rPr>
      </w:pPr>
      <w:r w:rsidRPr="00640820">
        <w:rPr>
          <w:color w:val="000000" w:themeColor="text1"/>
          <w:lang w:val="ru-RU"/>
        </w:rPr>
        <w:t>На истребителях применялись обычно моторы с редукцией 11:16. Так</w:t>
      </w:r>
      <w:r w:rsidRPr="00640820">
        <w:rPr>
          <w:rStyle w:val="95"/>
          <w:rFonts w:ascii="Times New Roman" w:hAnsi="Times New Roman" w:cs="Times New Roman"/>
          <w:i w:val="0"/>
          <w:color w:val="000000" w:themeColor="text1"/>
          <w:sz w:val="16"/>
          <w:szCs w:val="16"/>
          <w:lang w:val="ru-RU"/>
        </w:rPr>
        <w:t xml:space="preserve"> как</w:t>
      </w:r>
      <w:r w:rsidRPr="00640820">
        <w:rPr>
          <w:color w:val="000000" w:themeColor="text1"/>
          <w:lang w:val="ru-RU"/>
        </w:rPr>
        <w:t xml:space="preserve"> высота шас</w:t>
      </w:r>
      <w:r w:rsidRPr="00640820">
        <w:rPr>
          <w:color w:val="000000" w:themeColor="text1"/>
          <w:lang w:val="ru-RU"/>
        </w:rPr>
        <w:softHyphen/>
        <w:t>си у них ограничена, необходимо использовать винт небольшого диаметра, что требо</w:t>
      </w:r>
      <w:r w:rsidRPr="00640820">
        <w:rPr>
          <w:color w:val="000000" w:themeColor="text1"/>
          <w:lang w:val="ru-RU"/>
        </w:rPr>
        <w:softHyphen/>
        <w:t>вало большей частоты его вращения для снятия полной мощности. У тяжёлых самолётов бомбардировщиков и штурмовиков — можно поставить винт большего диаметра, что улучшало КПД и экономичность силовой установки, при этом частота вращения винта требовалась меньше. На них обычно использовали моторы с редукцией 9:16 или 0,56 (15788).</w:t>
      </w:r>
    </w:p>
    <w:p w14:paraId="3C0E02B8" w14:textId="77777777" w:rsidR="005F34CF" w:rsidRPr="00640820" w:rsidRDefault="005F34CF" w:rsidP="00640820">
      <w:pPr>
        <w:pStyle w:val="a3"/>
        <w:rPr>
          <w:color w:val="000000" w:themeColor="text1"/>
          <w:lang w:val="ru-RU"/>
        </w:rPr>
      </w:pPr>
    </w:p>
    <w:p w14:paraId="008B2D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А.Э.Нудельман докладывал Б.Л.Ванникову о пушке 11-П в Перми и получил указание формировать испытания (263,53).</w:t>
      </w:r>
    </w:p>
    <w:p w14:paraId="7657AD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CB0EF8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года после эвакуации завода № 18 им. Ворошилова в Куйбышев на бывш. площадке завода № 18 в Воронеже был организован филиал завода № 18 по ремонту фронтовых самолетов ИЛ-2 и У-2. В январе 1942 года по приказу КО Юго-западного фронта на площадке базы филиала завода № 18 в Воронеже была организована ремонтная база по ремонту фронтовых самолетов ИЛ-2 и У-2 подчиняющаяся Юго-западному фронту, а также Юго-западным фронтом на площадке бывш. завода № 18 был организован авторемонтный завод № 45. В феврале 1942 года в филиал завода № 18 влился эшелон рабочих и ИТР завода № 135 из Харькова.</w:t>
      </w:r>
    </w:p>
    <w:p w14:paraId="4AE2A2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МАП на базе площадки завода № 18 в Воронеже был организован ремонтный завод № 450 по ремонту фронтовых самолетов всех типов и марок, который существовал до 5 июля 1942 года, до дня занятия правобережного Воронежа немцами.</w:t>
      </w:r>
    </w:p>
    <w:p w14:paraId="7384D8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ГКО завод № 450 (коллектив и оборудование) был эвакуирован в Пензу и влился в коллектив завода № 163. 12 апреля 1943 года согласно приказа МАП за № 209 на базе бывш. завода № 18 и на его территории был организован завод № 64, расположенный в Воронеже по ул. Циолковского, как самолеторемонтный завод. В 1943 году завод № 64 имел задачу восстановления и ремонта всех типов самолетов, как на заводе, так и в воинских частях, действующих на ближних фронтах.</w:t>
      </w:r>
    </w:p>
    <w:p w14:paraId="4A723E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Согласно приказа МАП за № 121 от 21 февраля 1944 года завод № 64 переведен в ведение 10 гл. управления и получил задание изготовлять (крылья) агрегаты самолета ИЛ-2, этим же приказом завод № 64 переведен в разряд агрегатных заводов второй категории. Оснастка была получена с завода № 18 на крыло старой конструкции самолета ИЛ-2.</w:t>
      </w:r>
    </w:p>
    <w:p w14:paraId="1BE20C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МАП за № 30 от 9 января 1945 года заводу № 64 была утверждена программа по выпуску крыльев самолета ИЛ-2, изготовление которых производилось в 1944 и 1945 гг. Кроме того, в соответствии с договором № 1219 от 13 марта 1945 года с ВВС завод во втором квартале 1945 года приступил к сборке самолета Ил-4 из готовых агрегатов, получаемых с завода № 126. В 1946 году по приказу МАП за № 15с от 24 января 1946 года заводу было дано задание получить оснастку и техническую документацию самолета ИЛ-10 с завода № 1 им. Сталина и запустить в производство агрегаты самолета Ил-10 с тем, чтобы к концу 1946 года обеспчеить освоение сборки этого самолета. В течение 1946 и 1947 гг. заводом освоены следующие агрегаты:</w:t>
      </w:r>
    </w:p>
    <w:p w14:paraId="4A01E7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хвостовая часть фюзеляжа;</w:t>
      </w:r>
    </w:p>
    <w:p w14:paraId="461F4DF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оперение;</w:t>
      </w:r>
    </w:p>
    <w:p w14:paraId="39FF1E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шасси. В течение 1948 года была произведена крупная модернизация самолета Ил-10 с переходом на 4-х пушечный вариант, а также освоено изготовление учебного варианта самолета УИЛ-10 с изготовлением всей необходимой оснастки своими силами.</w:t>
      </w:r>
    </w:p>
    <w:p w14:paraId="0B3F14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Постановлением СМ за № 1890-700сс от 14 мая 1949 года и приказом министра авиапромышленности за № 374сс/ов от 19 мая 1949 года завод был освобожден от производства самолетов Ил-10 и переключен на переоборудование и капитальный ремонт пассажирского самолета Ил-12 и по подготовке производства к выпуску самолетов Ил-28.</w:t>
      </w:r>
    </w:p>
    <w:p w14:paraId="0E097C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Постановлением СМ за № 5223-1994сс от 14 ноября 1949 года и приказа МАП за № 913сс от 17 ноября 1949 года завод был переведен на производство самолетов Ил-28. Этим же приказом МАП завод № 64 переведен в разряд самолетостроительных заводов первой категории.</w:t>
      </w:r>
    </w:p>
    <w:p w14:paraId="1CFFEEE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МАП за № 33сс от 24 мая 1954 года со второго полугодия 1954 года завод переведен на подготовку производства по выпуску самолетов ТУ-16. Чертежи и технология на самолет ТУ-16 были получены с завода № 22.</w:t>
      </w:r>
    </w:p>
    <w:p w14:paraId="217D04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период с 1943 года по 1958 год коллектив завода № 64 развивал свое производство и набирал мощность по следующим видам работ:</w:t>
      </w:r>
    </w:p>
    <w:p w14:paraId="542C75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1943 год – ремонт фронтовых самолетов Ил-2 – 218 штук. 1943 год – ремонт фронтовых самолетов У-2 – 25 штук. 1943 год – ремонт фронтовых самолетов ЯК-1 – 30 штук. 1943 год – ремонт фронтовых самолетов ЛА-5 – 14 штук. 1943 год – ремонт фронтовых самолетов ПЕ-2 – 4 штуки. 1943 год – ремонт фронтовых самолетов Ли-2 – 1 штука. 1943 год – ремонт фронтовых самолетов ЯК-6 – 2 штуки. 1943 год – ремонт фронтовых самолетов ЯК-9 – 4 штуки. 1943 год – ремонт фронтовых самолетов УТ-2 – 1 штука. 1944 год – ремонт фронтовых самолетов Ил-2 183 штуки. 1944 год – ремонт фронтовых самолетов У-2 – 17 штук. 1944 год – ремонт фронтовых самолетов ЯК-1 – 5 штук. 1944 год – ремонт фронтовых самолетов ЛА-5 – 14 штук. 1944 год – ремонт фронтовых самолетов ЯК-6 – 3 штуки. 1944 год – ремонт фронтовых самолетов ЯК-9 – 17 штук. 1944 год – ремонт фронтовых самолетов ЛА-7 – 1 штука. 1944 год – ремонт фронтовых самолетов Б-25 – 66 штук. 1945 год – ремонт штурмовиков разных марок – 110 штук. 1945 год – ремонт истребителей разных марок – 34 штуки. 1945 год – сборка самолета завода № 126 ИЛ-4 – 151 штука. 1945 года – сборка крыла самолета ИЛ-2 – 81 пара. 1946 год – ремонт фронтовых самолетов ЯК-9 – 102 штуки. 1946 год – ремонт фронтовых самолетов ЛА-7- 11 штук. 1946 год – ремонт фронтовых самолетов ЯК-3 – 24 штуки. 1946 год – сборка самолета завода № 126 ИЛ-4 – 28 штук. 1946 год – сборка крыла самолета ИЛ-2 – 19 штук. 1947 год – производство самолета ИЛ-10 – 12 штук. 1948 год – производство самолета ИЛ-10 – 155 штук. 1949 год – производство самолета ИЛ-10 – 78 штук. 1949 год – производство самолета УИЛ-10 – 100 штук. 1950 год – производство самолета ИЛ-28 – 4 штуки. 1950 год – переоборудование самолета ИЛ-12 – 114 штук. 1951 год – производство самолета ИЛ-28 – 75 штук. 1952 год – производство самолета ИЛ-28 – 170 штук. 1953 год – производство самолета ИЛ-28 – 370 штук. 1954 год – производство самолета ИЛ-28 – 303 штук. 1954 год – подготовка производства к выпуску самолета ТУ-16. 1955 год – производство самолета ТУ-16 – 25 штук. 1956 год – производство самолета ТУ-16 – 78 штук. 1957 год – производство самолета ТУ-16 – 62 штуки. 1957 год – подготовка и выпуск самолета АН-10 – 3 штуки. 1958 год - производство самолета АН-10 – 16 штук. 1958 год – начата подготовка производства к выпуску самолета ТУ-28</w:t>
      </w:r>
    </w:p>
    <w:p w14:paraId="48A270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 Белявский</w:t>
      </w:r>
    </w:p>
    <w:p w14:paraId="1AC79E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Производственный профиль – самолет Ан-10 конструкции Антонова</w:t>
      </w:r>
    </w:p>
    <w:p w14:paraId="771DBE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Характеристика аэродрома завода</w:t>
      </w:r>
    </w:p>
    <w:p w14:paraId="4B1CC5E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Аэродром расположен в 4-х км от центра восточнее Воронежа на левом берегу реки Воронеж. Аэродром с юга граничит с промплощадкой завода (9836).</w:t>
      </w:r>
    </w:p>
    <w:p w14:paraId="29E04F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D5DCB9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на площадке эвакуированного завода (Завод № 18 ВСНХ, НКТП, ГС ордена Ленина завод № 18 НКОП, Завоц № 18 им. К.Е. Ворошилова НКАП, Куйбышевский авиационный завод (КуАЗ), Куйбышевское авиационное ПО, Самарское авиационное ПО «Авиакор», АООТ, ОАО «Авиакор-Авиационный завод» / г. Воронеж;  г. Куйбышев ст. Безымянка/ /443052  г. Самара ул. Псковская, 32 к. 106 тел. 267-35-35/) организованы самолетные Ремонтные мастерские. Начальник мастерских-  Г.Л. Волощенко. Осуществлялся ремонт самолетов Юго-Западного фронта. По приказу № 239с от 30.03.1942 г. на базе мастерских образован Ремонтный завод при Главремуправлении НКАП. Далее он преобразован в филиал завода № 18 НКАП, начальник филиала- Сердюк. В 04.1942 г. филиал реорганизован в ГСЗ№ 450 НКАП.</w:t>
      </w:r>
    </w:p>
    <w:p w14:paraId="3257F9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Также на старой площадке по приказу № 174с от 27.03.1943 г. создан ремонтный завод № 18 при 6ГУ НКАП. Для формирования нового завода часть кадров завода № 18 возвращена из Куйбышева. Затем по приказам № 185с от 2.04.1943 г. и № 209с от 12.04.1943 г. сформирован ремонтно-сборочный завод № 64 НКАП.</w:t>
      </w:r>
    </w:p>
    <w:p w14:paraId="740222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03.1943 г. на завод № 18 передана часть оборудования завода № 381 НКАП, реэвакуированного из Нижнего Тагила.</w:t>
      </w:r>
    </w:p>
    <w:p w14:paraId="10F489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23.07.1944 г. вышло постановление ГКО № 6246 о производстве Ил-10 на заводе.</w:t>
      </w:r>
    </w:p>
    <w:p w14:paraId="1051FD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 4764-2062 от 28.11.1950 г. и приказом МАП № 240 начата подготовка к серийному выпуску самолета Ту-85, но самолет не строился, оснастка законсервирована.</w:t>
      </w:r>
    </w:p>
    <w:p w14:paraId="348165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1956 г. на заводе образован филиал ОКБ-156, начальник- А.И. Путилов. Впоследствии филиал преобразован в ОКБ.</w:t>
      </w:r>
    </w:p>
    <w:p w14:paraId="6321BD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СМ СССР № 713-342 от 26.06.1957 г. передан в ведение СНХ РСФСР.</w:t>
      </w:r>
    </w:p>
    <w:p w14:paraId="206216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1970-е  г. построен малярный ангар с пролетом 100 м.</w:t>
      </w:r>
    </w:p>
    <w:p w14:paraId="6DF2C4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1983 г. с Таганрогского авиазавода передано производство Ту-95МС. Мощности по его производству свернуты в 1995 г. В 1980-е  г. велась подготовка к выпуску Ту-204, но производство передали в УАПК. В 1997 г. началось освоение производства Ан-140 (1-я машина построена 25.12.2003 г.).</w:t>
      </w:r>
    </w:p>
    <w:p w14:paraId="156986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1989 г. на базе Куйбышевского авиационного завода создано Куйбышевское авиационное ПО. В 2000 г.- ЗАО, в 2002 г.- ОАО «Авиакор-Авиационный завод». С 04.1999 г. завод контролировался компанией «Сибирский алюминий» (затем- «Базовый элемент», и в 2009 г.). В 09.2005 г. вошел в ОАО «Русские машины». В состав ЗАО «Авиакор-Авиационный завод» входили (2000 г.) дочерние предприятия: «Авиакор-мебель», «Микрон», «Авиакор-сервис», «Авиакор-ремонт».</w:t>
      </w:r>
    </w:p>
    <w:p w14:paraId="0C4C07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По решению правительства № 22-р от 9.01.2004 г. вошло в перечень стратегических предприятий. В 2009 г. планировалось вхождение предприятия в </w:t>
      </w:r>
      <w:r w:rsidRPr="00640820">
        <w:rPr>
          <w:rFonts w:ascii="Times New Roman" w:hAnsi="Times New Roman"/>
          <w:color w:val="000000" w:themeColor="text1"/>
          <w:sz w:val="16"/>
          <w:szCs w:val="16"/>
          <w:lang w:val="en-US"/>
        </w:rPr>
        <w:t>OAK</w:t>
      </w:r>
      <w:r w:rsidRPr="00640820">
        <w:rPr>
          <w:rFonts w:ascii="Times New Roman" w:hAnsi="Times New Roman"/>
          <w:color w:val="000000" w:themeColor="text1"/>
          <w:sz w:val="16"/>
          <w:szCs w:val="16"/>
        </w:rPr>
        <w:t>, в связи с этим для оптимизации издержек планировалось сокращение 1500 чел. из 2600 работающих.</w:t>
      </w:r>
    </w:p>
    <w:p w14:paraId="5BD796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Планировалось освоение капремонта и модернизации Ту-95МС (2002 г.). На 2004 г. в производстве находились два Ан-140. Велась подготовка к производству Ту-334, Ан-70. Освоение производства штампов и пресс-форм всех видов сложности для автомобилестроения. С 1997 по 2004 г. завод не выпустил ни одного самолета;</w:t>
      </w:r>
      <w:r w:rsidRPr="00640820">
        <w:rPr>
          <w:rFonts w:ascii="Times New Roman" w:hAnsi="Times New Roman"/>
          <w:color w:val="000000" w:themeColor="text1"/>
          <w:sz w:val="16"/>
          <w:szCs w:val="16"/>
          <w:vertAlign w:val="superscript"/>
        </w:rPr>
        <w:t>1</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vertAlign w:val="superscript"/>
        </w:rPr>
        <w:t>22 09 04</w:t>
      </w:r>
      <w:r w:rsidRPr="00640820">
        <w:rPr>
          <w:rFonts w:ascii="Times New Roman" w:hAnsi="Times New Roman"/>
          <w:color w:val="000000" w:themeColor="text1"/>
          <w:sz w:val="16"/>
          <w:szCs w:val="16"/>
        </w:rPr>
        <w:t xml:space="preserve"> в 2006 г. - 3 (2 Ту-154М, 1 Ан-140) и 6 отремонтировано, в 2007 г. - 1 Ан-140. На 2008 г. в заделе оставалось 4 планера Ту-154М, в 2008 г. планировалась достройка последнего, третьего Ан-140.</w:t>
      </w:r>
    </w:p>
    <w:p w14:paraId="78B4F9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(11.1940 г.)- 1247 металлорежущих станков.</w:t>
      </w:r>
    </w:p>
    <w:p w14:paraId="51C23D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(12.1936 г.)- 1400 рабочих, (1940 г.)- 24.510 чел., (1980-е)~ 30.000 чел., (1.01.2003 г.)- 5072 чел., (2009 г.)- 2600 чел.</w:t>
      </w:r>
    </w:p>
    <w:p w14:paraId="23B224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Директор (-06-28.10.1937 г.)- С.М. Шабашвшш (снят), (22.10.1937-22.02.1938 г.)- Н.И. Горьковенко, (22.02.1938-42 г.)- М.Б. Шенкман (погиб); и.о. (03.1941 г.)- А.А. Белянский; (06.1942-05.1946 г.-)- А.А. Белянский, Белеловский. Гендиректор (1980-е)- В. Земец, (2000 г.)- А. Карклин, (-2002-04 г.)- В.П. Белогуб, (04.2004 г.)-  Г.Н. Плотников, (-09.2005-0 / г.-)- С.К. Лихарев, (2010 г.)- А. Гусев. Арбитражный управляющий (1994 г.-)- </w:t>
      </w:r>
      <w:r w:rsidRPr="00640820">
        <w:rPr>
          <w:rFonts w:ascii="Times New Roman" w:hAnsi="Times New Roman"/>
          <w:color w:val="000000" w:themeColor="text1"/>
          <w:sz w:val="16"/>
          <w:szCs w:val="16"/>
          <w:lang w:val="en-US"/>
        </w:rPr>
        <w:t>JI</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 Хасис.</w:t>
      </w:r>
    </w:p>
    <w:p w14:paraId="042AF4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гендиректора (-2006-07 г.-)- Е.В. Цыбанов. Зам. директора (22.10.1937 г.-)- М.Н. Корнеев, (15.12.1937 г.- )- И.Н. Мартынов; по ПВО и охране (29.11.1938 г.-)- Н.Д. Гусев. Помощник директора по найму и увольнению (14.05.1938 г.-)- И.Т. Измалков. Зам. гендиректора: начальник авиационного производства (2000 г.)- А. Кириллов; (2000 г.)- В. Петрищев.</w:t>
      </w:r>
    </w:p>
    <w:p w14:paraId="7F0152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Исполнительный директор (2005 г.)- С.К. Лихарев.</w:t>
      </w:r>
    </w:p>
    <w:p w14:paraId="70D24D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(22.10.1937-01.1938 г.-)- М.Н. Корнеев, (03.1941 г.)- Н.Д. Востров.</w:t>
      </w:r>
    </w:p>
    <w:p w14:paraId="4F0733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(07.1934-07.1936 г.)- К.А. Калинин, (08.1936-08.1938 г.)- А.А. Сеньков.</w:t>
      </w:r>
    </w:p>
    <w:p w14:paraId="624D16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технолог (2000 г.)- В. Антонюк.</w:t>
      </w:r>
    </w:p>
    <w:p w14:paraId="426A92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Серийного КБ (05.1941 г.)- В.К. Золотухин, (04.1942 г.-)- В.Н. Бугайский. Гл. конструктор СКВ (1938 г.)- М.Н. Корнеев. Начальник ЛИС (1938 г.)- А.А. Сеньков,</w:t>
      </w:r>
      <w:r w:rsidRPr="00640820">
        <w:rPr>
          <w:rFonts w:ascii="Times New Roman" w:hAnsi="Times New Roman"/>
          <w:color w:val="000000" w:themeColor="text1"/>
          <w:sz w:val="16"/>
          <w:szCs w:val="16"/>
          <w:vertAlign w:val="superscript"/>
        </w:rPr>
        <w:t>84</w:t>
      </w:r>
      <w:r w:rsidRPr="00640820">
        <w:rPr>
          <w:rFonts w:ascii="Times New Roman" w:hAnsi="Times New Roman"/>
          <w:color w:val="000000" w:themeColor="text1"/>
          <w:sz w:val="16"/>
          <w:szCs w:val="16"/>
        </w:rPr>
        <w:t xml:space="preserve"> (1941 г.)- м К.К. Рыков. Руководитель проекта Ан-140 (2004 г.)- С. Кузнецов.</w:t>
      </w:r>
    </w:p>
    <w:p w14:paraId="0D7B96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Летчики-испытатели: (1942 г.)- Е.Н. Ломакин, (1941 г.)- К.К. Рыков.</w:t>
      </w:r>
    </w:p>
    <w:p w14:paraId="594690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самолеты: САМ-5, АНТ-25, К-12, К-13, ТБ-3 (1934; 1937)- 6, ДБ-1 (1936-37)- 13, ДБ-3 (1937- 39), ДБ-ЗФ (1939-41)- всего 1907, Ер-2 (1940-41)- 71, Ил-2 (03.1941-45)- 15.099, Ил-10 (1944-45)- 1435, Ил-10УТ (1945-47), Ту-4 (1947-52)- 847 (всего на 3 заводах), Ил-28 (1953)- 50, Ту-16, Ту-95 (1955-58)- 31, Ту-95К (1958-65), Ту-95МС (1983-92)- 88 (вместе с заводом № 86),</w:t>
      </w:r>
      <w:r w:rsidRPr="00640820">
        <w:rPr>
          <w:rFonts w:ascii="Times New Roman" w:hAnsi="Times New Roman"/>
          <w:color w:val="000000" w:themeColor="text1"/>
          <w:sz w:val="16"/>
          <w:szCs w:val="16"/>
          <w:vertAlign w:val="superscript"/>
        </w:rPr>
        <w:t>30</w:t>
      </w:r>
      <w:r w:rsidRPr="00640820">
        <w:rPr>
          <w:rFonts w:ascii="Times New Roman" w:hAnsi="Times New Roman"/>
          <w:color w:val="000000" w:themeColor="text1"/>
          <w:sz w:val="16"/>
          <w:szCs w:val="16"/>
        </w:rPr>
        <w:t xml:space="preserve"> Ту-114 (1958-), Ту-116 (1957)- 2, Ту-126 (1962-), Ту-142 (1972), Ту-154, Ту-154М (-2004-07-), Ту-160, Ан-140 (2003-08-)- 2, «Аист-2» (2004), «Аист-4» (2004), «Молния-012» (2004); капремонт Ту-154, -М (-2003-10-); МКР «Буря» (1957 г.)- 19 (вместе с заводом № 301), ЗУР «Даль (1961)- 5; агрегаты РКТ, наземных станций космической связи, ВКС «Буран»;</w:t>
      </w:r>
      <w:r w:rsidRPr="00640820">
        <w:rPr>
          <w:rFonts w:ascii="Times New Roman" w:hAnsi="Times New Roman"/>
          <w:color w:val="000000" w:themeColor="text1"/>
          <w:sz w:val="16"/>
          <w:szCs w:val="16"/>
          <w:vertAlign w:val="superscript"/>
        </w:rPr>
        <w:t>69</w:t>
      </w:r>
      <w:r w:rsidRPr="00640820">
        <w:rPr>
          <w:rFonts w:ascii="Times New Roman" w:hAnsi="Times New Roman"/>
          <w:color w:val="000000" w:themeColor="text1"/>
          <w:sz w:val="16"/>
          <w:szCs w:val="16"/>
        </w:rPr>
        <w:t xml:space="preserve"> кузовые детали автомобилей и с/х оборудование.</w:t>
      </w:r>
    </w:p>
    <w:p w14:paraId="031485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Заводские номера: Ер-2 № 1851906 - (18 -№ завода, 5 - тип машины, 19 -№ самолета в серии, Об - № серии). ДБ-3 № 3018002; Ил-2 1872932 (11982).</w:t>
      </w:r>
    </w:p>
    <w:p w14:paraId="4562AE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5CF9F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декабря 1941 года в течение 5 месяцев на территории “А” размещались фронтовые авиамастерские № 84, которые занимались ремонтом самолетов Харрикейн и ИЛ-2.</w:t>
      </w:r>
    </w:p>
    <w:p w14:paraId="39271C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 239 от 30 марта 1942 года на площади эвакуированного филиала завода № 1 и на базе мастерских № 82 в мае 1942 года был создан вновь завод № 89 НКАП. Новый завод № 89 занимался ремонтом самолетов ПС-84, Харрикейн и ИЛ-2 и впоследствии перевооружением и переоборудованием самолетов иностранных фирм Бостон и Харрикейн.</w:t>
      </w:r>
    </w:p>
    <w:p w14:paraId="2C8B0D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территорию завода № 89 в мае 1944 года был перебазирован опытный завод № 482 гл. конструктора Мясищева, получив при этом часть имеющегося на заводе № 89 оборудования и личного состава, согласно приказа НКАП № 424 от 5 июля 1944 года.</w:t>
      </w:r>
    </w:p>
    <w:p w14:paraId="6D9758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482 находился в ведении 7 гл. управления НКАП и занимался опытным самолетостроением до слияния с заводом № 240 в феврале 1946 года.</w:t>
      </w:r>
    </w:p>
    <w:p w14:paraId="621B72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гл. конструктора С.В.И., созданное в 1933 году, до получения самостоятельной производственной базы размещалось (до эвакуации в куйбышев) на территории завода № 39 НКАП, где постройку опытных самолетов осуществлял опытных цех завода № 39.</w:t>
      </w:r>
    </w:p>
    <w:p w14:paraId="520FF3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Москва, Д-167, Ленинградский проспект, д. 45 г, п/я 2418</w:t>
      </w:r>
    </w:p>
    <w:p w14:paraId="48FC29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Постройка самолетов конструкции С.В.И. на вновь полученной базе (завод № 240) началась в 1944 году; период с апреля 1942 года по 1943 год был периодом восстановления, поскольку коллектив гл. конструктора Ермолаева, базировавшегося на заводе № 240 эвакуировался в казань и по возвращении в Москву оборудования в достаточной мере не оказалось (9594).</w:t>
      </w:r>
    </w:p>
    <w:p w14:paraId="0CE3E8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E5EB13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декабре 1941 Куйбышевский механический завод в системе Особстроя (УОС) НКВД был передан в систему НКАП в .12.1941 г. По приказу №1195 от 31.12.41 г. было присвоено название завод №207. Включен в состав 10ГУ НКАП. Директором завода назначен Засульский. Производство стального литья и авиационной бронестали (КО-1, АБ-3), изготовление бронекорпусов, бронеспинок и бронеплит для самолетов Ил-2, Ил-4, ПС-84, ЛаГГ-3 и др. </w:t>
      </w:r>
    </w:p>
    <w:p w14:paraId="31C236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.10.1945 г. (приказ №416 от 29.10.45 г.) образован объединенный завод №207 НКАП в г.Куйбышев в результате слияния с заводом №305 НКАП. Директором остался Засульский, далее Дубовиков. </w:t>
      </w:r>
    </w:p>
    <w:p w14:paraId="02B074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1955 г. завод передан из 10ГУ в 6ГУ МАП, в 1957 г. - в СНХ Куйбышевского экономического р-на. </w:t>
      </w:r>
    </w:p>
    <w:p w14:paraId="466319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1958 г. на заводе шла серия ПВРД РД-900 для воздушных мишеней Ла-17. Осуществлялось производство ускорителей для крылатой ракеты "Буря". </w:t>
      </w:r>
    </w:p>
    <w:p w14:paraId="62E2DB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Генеральный директор (в наст. вр.) - Н.А.Поролло. АО "Салют" специализируется на механической обработке и сварке металлов, имеет все виды производств, характерные для крупного машиностроительного завода. </w:t>
      </w:r>
    </w:p>
    <w:p w14:paraId="33FA1D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Салют, ОАО </w:t>
      </w:r>
    </w:p>
    <w:p w14:paraId="1D4E3F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Ранее - Завод №207, Куйбышевский механический завод, АООТ "Салют" </w:t>
      </w:r>
    </w:p>
    <w:p w14:paraId="5DF7AD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443028, Россия, г. Самара, Мехзавод (10778).</w:t>
      </w:r>
    </w:p>
    <w:p w14:paraId="01C26D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AF8411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Де</w:t>
      </w:r>
      <w:r w:rsidRPr="00640820">
        <w:rPr>
          <w:rFonts w:ascii="Times New Roman" w:hAnsi="Times New Roman"/>
          <w:color w:val="000000" w:themeColor="text1"/>
          <w:sz w:val="16"/>
          <w:szCs w:val="16"/>
        </w:rPr>
        <w:softHyphen/>
        <w:t>ментьев сообщил Бибикову:</w:t>
      </w:r>
    </w:p>
    <w:p w14:paraId="40E655B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«Задел самолетов Су-2 завода №135 будет выпущен в нормальном варианте.</w:t>
      </w:r>
    </w:p>
    <w:p w14:paraId="5F72509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Выпуск Су-2 в варианте разведчика и корректировщи</w:t>
      </w:r>
      <w:r w:rsidRPr="00640820">
        <w:rPr>
          <w:rFonts w:ascii="Times New Roman" w:hAnsi="Times New Roman"/>
          <w:color w:val="000000" w:themeColor="text1"/>
          <w:sz w:val="16"/>
          <w:szCs w:val="16"/>
        </w:rPr>
        <w:softHyphen/>
        <w:t>ка потребует ряд переделок, что отразится на завершении задела Су-2 и на подготовку к выпуску Ил-2» (10745,111).</w:t>
      </w:r>
    </w:p>
    <w:p w14:paraId="3F89F91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267B9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на самолете Су-2 было приступлено к заводским летным испытаниям мотора М89Б. Сделано 5 полетов до высоты 5000м (1684,31).</w:t>
      </w:r>
    </w:p>
    <w:p w14:paraId="7E612B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0BE4719" w14:textId="77777777" w:rsidR="00813840" w:rsidRPr="00640820" w:rsidRDefault="00813840" w:rsidP="00640820">
      <w:pPr>
        <w:pStyle w:val="a3"/>
        <w:rPr>
          <w:color w:val="000000" w:themeColor="text1"/>
          <w:lang w:val="ru-RU"/>
        </w:rPr>
      </w:pPr>
      <w:r w:rsidRPr="00640820">
        <w:rPr>
          <w:color w:val="000000" w:themeColor="text1"/>
          <w:lang w:val="ru-RU"/>
        </w:rPr>
        <w:t xml:space="preserve">В декабре 1941 года завод 135 выпустил 15 самолётов Су-2, а в январе-феврале 1942 года - 40. Из них - 36 с мотором М-82, </w:t>
      </w:r>
      <w:r w:rsidRPr="00640820">
        <w:rPr>
          <w:rStyle w:val="2pt3"/>
          <w:rFonts w:ascii="Times New Roman" w:hAnsi="Times New Roman" w:cs="Times New Roman"/>
          <w:color w:val="000000" w:themeColor="text1"/>
          <w:spacing w:val="0"/>
          <w:lang w:val="ru-RU"/>
        </w:rPr>
        <w:t>2-с</w:t>
      </w:r>
      <w:r w:rsidRPr="00640820">
        <w:rPr>
          <w:color w:val="000000" w:themeColor="text1"/>
          <w:lang w:val="ru-RU"/>
        </w:rPr>
        <w:t xml:space="preserve"> М-88, 2-М-89.</w:t>
      </w:r>
    </w:p>
    <w:p w14:paraId="4EBA8A22" w14:textId="77777777" w:rsidR="00813840" w:rsidRPr="00640820" w:rsidRDefault="00813840" w:rsidP="00640820">
      <w:pPr>
        <w:pStyle w:val="a3"/>
        <w:rPr>
          <w:color w:val="000000" w:themeColor="text1"/>
          <w:lang w:val="ru-RU"/>
        </w:rPr>
      </w:pPr>
      <w:r w:rsidRPr="00640820">
        <w:rPr>
          <w:color w:val="000000" w:themeColor="text1"/>
          <w:lang w:val="ru-RU"/>
        </w:rPr>
        <w:t>Всего же за 1941 год завод № 1 35 выпустил 635 самолётов Су-2, при плане 1068; завод №207 - 89, при плане 1 15; завод №31 - 4 самолёта (15975).</w:t>
      </w:r>
    </w:p>
    <w:p w14:paraId="65522486" w14:textId="77777777" w:rsidR="00813840" w:rsidRPr="00640820" w:rsidRDefault="00813840" w:rsidP="00640820">
      <w:pPr>
        <w:pStyle w:val="a3"/>
        <w:rPr>
          <w:color w:val="000000" w:themeColor="text1"/>
          <w:lang w:val="ru-RU"/>
        </w:rPr>
      </w:pPr>
    </w:p>
    <w:p w14:paraId="1B50114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Нач. 10 ГУ ВВС Бибиков писал письмо в НКАП:</w:t>
      </w:r>
    </w:p>
    <w:p w14:paraId="69B3C0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"Самолет ДБ-3Ф, вооруженный пулеметами ШКАС, не может отражать атаки истребителей, вооруженных крупнокалиберными пулеметами 12.7 мм или пушками. Прошу дать задание вашим заводам срочно произвести установку УБ на МВ-3." (2467,6).</w:t>
      </w:r>
    </w:p>
    <w:p w14:paraId="2FED34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A0DE825" w14:textId="77777777" w:rsidR="0052262F" w:rsidRPr="00640820" w:rsidRDefault="0052262F"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В декабре 1941 Дементьев сообщил Бибикову: «Задел самолетов Су-2 завода № 135 будет выпущен в нормальном варианте. Выпуск Су-2 в варианте разведчика и корректировщика потребует ряд пере</w:t>
      </w:r>
      <w:r w:rsidRPr="00640820">
        <w:rPr>
          <w:rFonts w:ascii="Times New Roman" w:cs="Times New Roman"/>
          <w:color w:val="000000" w:themeColor="text1"/>
          <w:spacing w:val="0"/>
        </w:rPr>
        <w:softHyphen/>
        <w:t>делок, что отразится на завершении задела Су-2 и на подготовку к выпуску Ил-2» (19102).</w:t>
      </w:r>
    </w:p>
    <w:p w14:paraId="428F9BF9" w14:textId="77777777" w:rsidR="0052262F" w:rsidRPr="00640820" w:rsidRDefault="0052262F" w:rsidP="00640820">
      <w:pPr>
        <w:pStyle w:val="27"/>
        <w:shd w:val="clear" w:color="auto" w:fill="auto"/>
        <w:spacing w:after="0" w:line="240" w:lineRule="auto"/>
        <w:ind w:firstLine="0"/>
        <w:rPr>
          <w:rFonts w:ascii="Times New Roman" w:cs="Times New Roman"/>
          <w:color w:val="000000" w:themeColor="text1"/>
          <w:spacing w:val="0"/>
        </w:rPr>
      </w:pPr>
    </w:p>
    <w:p w14:paraId="1A5F72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вышел Приказ о внедрении подвесных баков на Ил-4. Подготовили вариант с двумя сбрасываемыми баками по 325 л и двумя встроенными дополнительными маслобаками по 70 л. Бензобаки изготовлялись из прессованного картона с пропиткой. Дополнительный запас горючего увеличивал продолжительность полета примерно на полтора часа. Опытный самолет стал образцом для переоборудования машин в частях (7666).</w:t>
      </w:r>
    </w:p>
    <w:p w14:paraId="5AC035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A49E1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в Комсомольске построили два опытных образца с Ил-4 М-82. Должны были поставить винты АВ-5 диаметром 3,4 м, но их в наличии не было, и смонтировали самодельные из втулок ВИШ-22 и лопастей от ВИШ-21. Планер по сравнению с серийными машинами не менялся. У одного из моторов еще при пробном запуске вышел из строя нагнетатель. Первый полет состоялся 10 января 1942 г. Машину пилотировал летчик Га- лицкий. В ходе испытаний двигатели постоянно перегревались и плевались маслом. 8 февраля вышли из строя сразу два двигателя. Полеты приостановили. С перегревом моторов справились к началу апреля. В мае-июне испытания возобновили. Но выигрыш вскорости оказался куда меньше ожидавшегося. Скорость не превышала 437 км/ч, при этом дальность упала до 2540 км. Вдобавок М-82 не отличался тогда высокой надежностью. Из-за недостаточной производительности маслорадиаторов двигатели грелись. Кроме того, шасси уже не соответствовало возросшей массе бомбардировщика. Отчет об испытаниях завершался выводом: "При необходимости срочного перехода на ДБ-ЗФ с М-82 предъявленный самолет может быть временным эталоном с последующим устранением дефектов" (12021).</w:t>
      </w:r>
    </w:p>
    <w:p w14:paraId="3F5410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410868C" w14:textId="77777777" w:rsidR="00B1076E" w:rsidRPr="00640820" w:rsidRDefault="00B1076E"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по заказу военных изготовили партию из 50 винтов АВ-5 с деревянными лопастями для Пе-2. Хотя при этом летные данные несколько снизились (скорость упала на 20-25 км/ч), командование оценило ее как "чрезвычайно важную работу", позволившую не останавливать конвейер. В дальнейшем у Пе-2 появились и другие деревянные детали (3542).</w:t>
      </w:r>
    </w:p>
    <w:p w14:paraId="39069F79" w14:textId="77777777" w:rsidR="00B1076E" w:rsidRPr="00640820" w:rsidRDefault="00B1076E" w:rsidP="00640820">
      <w:pPr>
        <w:autoSpaceDE w:val="0"/>
        <w:autoSpaceDN w:val="0"/>
        <w:adjustRightInd w:val="0"/>
        <w:spacing w:after="0" w:line="240" w:lineRule="auto"/>
        <w:jc w:val="both"/>
        <w:rPr>
          <w:rFonts w:ascii="Times New Roman" w:hAnsi="Times New Roman"/>
          <w:color w:val="000000" w:themeColor="text1"/>
          <w:sz w:val="16"/>
          <w:szCs w:val="16"/>
        </w:rPr>
      </w:pPr>
    </w:p>
    <w:p w14:paraId="4E20AD1D" w14:textId="77777777" w:rsidR="00B1076E" w:rsidRPr="00640820" w:rsidRDefault="00B1076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xml:space="preserve">В декабре 1941 г. на серийных Пе-2 стали ставить новые винты АВ-5-ЛВ-139 с прямой схемой автоматики, но их геометрия не подходила самолету и вызывала потерю 20 … 25 км/ч скорости. Пришлось вернуться к ВИШ-61Б, требуя от пилотов повышенного внимания на «опасных» режимах». </w:t>
      </w:r>
    </w:p>
    <w:p w14:paraId="569E084D" w14:textId="77777777" w:rsidR="00B1076E" w:rsidRPr="00640820" w:rsidRDefault="00B1076E" w:rsidP="00640820">
      <w:pPr>
        <w:spacing w:after="0" w:line="240" w:lineRule="auto"/>
        <w:jc w:val="both"/>
        <w:rPr>
          <w:rFonts w:ascii="Times New Roman" w:eastAsia="Times New Roman" w:hAnsi="Times New Roman"/>
          <w:color w:val="0070C0"/>
          <w:sz w:val="16"/>
          <w:szCs w:val="16"/>
          <w:lang w:eastAsia="ru-RU"/>
        </w:rPr>
      </w:pPr>
      <w:r w:rsidRPr="00640820">
        <w:rPr>
          <w:rFonts w:ascii="Times New Roman" w:hAnsi="Times New Roman"/>
          <w:color w:val="0070C0"/>
          <w:sz w:val="16"/>
          <w:szCs w:val="16"/>
        </w:rPr>
        <w:t>Автоматические воздушные винты, такие как ВИШ-61Б с плавной регулировкой мощности мотора за счет изменения шага лопастей при постоянных оборотах, имели наряду с неоспоримыми преимуществами серьезный недостаток. На пикировании, на взлете или при маневрах, связанных со снижением скорости, обороты самопроизвольно росли, и тогда уже не мотор вращал винт, а наоборот, от чего силовая установка заклинивала. Причиной оказалось простое конструктивно «обратное» подключение автоматики — для увеличения угла установки лопастей требовалось добавить подачу масла в цилиндры приводов. Но на вводе в пике отрицательная перегрузка задерживала его поступление, лопасти становились на меньший шаг, их аэродинамическое сопротивление падало, и они вращались все быстрее, пока мотор не «клинил» (22827).</w:t>
      </w:r>
    </w:p>
    <w:p w14:paraId="07B158DA" w14:textId="77777777" w:rsidR="00B1076E" w:rsidRPr="00640820" w:rsidRDefault="00B1076E" w:rsidP="00640820">
      <w:pPr>
        <w:spacing w:after="0" w:line="240" w:lineRule="auto"/>
        <w:jc w:val="both"/>
        <w:rPr>
          <w:rFonts w:ascii="Times New Roman" w:eastAsia="Times New Roman" w:hAnsi="Times New Roman"/>
          <w:color w:val="0070C0"/>
          <w:sz w:val="16"/>
          <w:szCs w:val="16"/>
          <w:lang w:eastAsia="ru-RU"/>
        </w:rPr>
      </w:pPr>
    </w:p>
    <w:p w14:paraId="170D93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Декабрь 1941 года. В коллективе главного конструктора ходили слухи, что самолет ПЕ-2, выпускаемый заводом им.Горбунова, эвакуированным в Казань, будет снят с производства и заменен машиной Туполева. Владимир Михайлович очень болезненно воспринимал эти разговоры и сильно нервничал. Он предполагал внести изменения в конструкцию своего самолета, связанные в том числе с заменой двигателя. Дальше расчетов дело не пошло, опытный образец не был создан. Петляков посылает шифрованную телеграмму наркому авиационной промышленности Шахурину, в которой ставит вопрос о своем выезде в Москву для личного доклада (11313).</w:t>
      </w:r>
    </w:p>
    <w:p w14:paraId="7ED023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1EB2F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года. На испытательном стенде при проверке бензо-системы самолета Пе-2 N 14-11 (на котором разбился В.М.П.) на заводе № 22 на герметичность из-за превышения давления разорвало пять бензобаков, которые были заменены (11313).</w:t>
      </w:r>
    </w:p>
    <w:p w14:paraId="067765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D6B76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года в 3 часа 15 минут контрольный мастер сборочного цеха Нуруллин представил к приемке самолет N 14-11 (на котором разбился В.М.П.) военному представителю при цехе N 8, который выявил тринадцать дефектов по группе электрооборудования и аэронавигации. В 8 часов 35 минут двенадцать дефектов были устранены. Окончательно сдавал машину уже контрольный мастер Тутубалин. Впоследствии 21 января 1942 г. начальник бригады серийно-конструкторского отдела Суконников и старший технолог сборочного цеха Румянцев сделали заключение, что дефекты электрооборудования, выявленные 31 декабря, не могли явиться причиной загорания проводки (11313).</w:t>
      </w:r>
    </w:p>
    <w:p w14:paraId="0EA7B5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2E359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 январе 1942 проходили гос. испытания Ер-2 с 2хАМ-37. В серию не пошел (796,40).</w:t>
      </w:r>
    </w:p>
    <w:p w14:paraId="76DB97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14051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года хотели развернуть выпуск самолета "103" на заводе № 23 (организованного в Москве на территории эвакуированного в Казань завода № 22). Но этим планам, как вы узнаете, не суждено было сбыться.</w:t>
      </w:r>
    </w:p>
    <w:p w14:paraId="7B95D1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третий раз подготовку к серийному производству будущего Ту-2 в варианте "103-В" начали на заводе № 22 в Казани по приказу НКАП от 6 января 1942 г. Но предприятие так и не выпустило ни одной машины. Более того, спустя три месяца, 6 марта, это постановление отменили. Первым же предприятием, приступившим к серийному строительству Ту-2, стал завод № 166 в Омске, но не надолго. Это потребовало срочной переделки конструкторско-технологичес- кой документации под новую винтомоторную установку (12035).</w:t>
      </w:r>
    </w:p>
    <w:p w14:paraId="3D852C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906C7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декабре 1941 г. в Иркутске построили 35 штук Пе-3, в 1942 г. - 121 истребитель. В строевые части истребители Пе-3 поступили уже в конце августа 1941 года, а в сентябре уже приступили к несению службы в системе ПВО Москвы. 3 октября лейтенант Фортов добился первой победы на самолете Пе-3, сбив бомбардировщик </w:t>
      </w:r>
      <w:r w:rsidRPr="00640820">
        <w:rPr>
          <w:rFonts w:ascii="Times New Roman" w:hAnsi="Times New Roman"/>
          <w:color w:val="000000" w:themeColor="text1"/>
          <w:sz w:val="16"/>
          <w:szCs w:val="16"/>
          <w:lang w:val="en-US"/>
        </w:rPr>
        <w:t>Ju</w:t>
      </w:r>
      <w:r w:rsidRPr="00640820">
        <w:rPr>
          <w:rFonts w:ascii="Times New Roman" w:hAnsi="Times New Roman"/>
          <w:color w:val="000000" w:themeColor="text1"/>
          <w:sz w:val="16"/>
          <w:szCs w:val="16"/>
        </w:rPr>
        <w:t xml:space="preserve"> 88. Самолеты активно применялись и в составе авиации Северного флота, где на заключительном этапе боевых действий они использовались, в основном, в качестве разведчиков. Самолеты Пе-3 и Пе-Збис оставались на вооружение частей ВВС до окончания войны, а в морской авиации использовались вплоть до начала 1950-х гг., когда их сменили реактивные бомбардировщики Ил-28 (12037).</w:t>
      </w:r>
    </w:p>
    <w:p w14:paraId="54182C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E6AB4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декабря 1941 года рассматривалась возможность прекращения выпуска самолета в Горьком. В апреле 1942 года в Москву вернулся эвакуированный было завод № 301, который приступил к ремонту ЛаГГов-3, а также к выпуску новых машин (11749).</w:t>
      </w:r>
    </w:p>
    <w:p w14:paraId="1E973A8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AADB4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в декабре 1941 года - рассказывал Семен Михайлович Алексеев, бывший долгие годы заместителем С.А. Лавочкина, - Сталин вызвал к себе наркома А.И. Шахурина, его заместителя П.В. Дементьева и попросил их завизировать постановление правительства о запуске в серию Як-7 не только в Новосибирске, но и на заводе №21, где находилось ОКБ Лавочкина. Шахурин категорически отказался визировать это постановление: пусть, мол, Яковлев вначале наладит серию на заводе № 153, а потом уже можно отдавать ему и завод в Горьком. Сталин с его доводоми согласился.</w:t>
      </w:r>
    </w:p>
    <w:p w14:paraId="64F809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Сразу же после этого дементьев вызвал к себе в Москву Лавочкина и сказал ему:</w:t>
      </w:r>
    </w:p>
    <w:p w14:paraId="1A8187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Вот что, Семен, гроза на тебя надвинулась. Твои дни сочтены. Ты должен сейчас предпринять совершенно необычайные шаги, чтобы изменить отношение военных и правительства к самолету ЛаГГ-3. Я думаю, Яковлеву потребуется не меньше двух месяцев, чтобы наладить регулярный выпуск своих самолетов в Новосибирске.</w:t>
      </w:r>
    </w:p>
    <w:p w14:paraId="76364D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приемной тем временем, со своими "болячками", ожидал вызова главный конструктор А.Д. Швецов. Лавочкин рассказал ему о разговоре с Дементьевым, а тот пожаловался на свои проблемы:</w:t>
      </w:r>
    </w:p>
    <w:p w14:paraId="1C4DB1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Мотор М-82 никому не нужен. Сейчас на заводе скопилось больше сотни готовых, с приемкой военпреда, моторов, а их никто не берет. У меня есть с собой комплект чертежей. На, посмотри, может быть, получится поставить его на твой истребитель. (В 1941 -м завод № 19 выпустил 412 двигателей М-82 - прим. авт.)</w:t>
      </w:r>
    </w:p>
    <w:p w14:paraId="6B9967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Лавочкин чертежи забрал, но сказал, что вся надежда у него на новый кли- мовский двигатель М-107...</w:t>
      </w:r>
    </w:p>
    <w:p w14:paraId="771C78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Вернулся Лавочкин в Горький, собрал своих ближайших помощников, объяснил ситуацию и высказал свое мнение: мотор М-82 по ряду очевидных причин не удастся поставить на ЛаГГ-3 без больших доработок самолета. Надо устанавливать мотор М-107. Так и решили. Вся надежда была на то, что Климов сумеет довести мотор, и мы сможем устранить недостатки, проявившиеся на первом ЛаГГ-3 М-107.</w:t>
      </w:r>
    </w:p>
    <w:p w14:paraId="1A4488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этом совещании мне почему-то показалось, что установка на наш истребитель М-82 дело не безнадежное. Я попросил Лавочкина разрешения взять в помощь двух-трех человек и поработать с мотором. Лавочкин тогда сказал:</w:t>
      </w:r>
    </w:p>
    <w:p w14:paraId="523552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Не больше двух-трех.</w:t>
      </w:r>
    </w:p>
    <w:p w14:paraId="629A3F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помощники я выбрал начальника бригады вооружения Ивана Артемовича Шабанова и начальника моторной бригады Константина Ивановича Слеп- нева.</w:t>
      </w:r>
    </w:p>
    <w:p w14:paraId="5283E0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совещания наше КБ было полностью реорганизовано. Лавочкин решил выделить специальный конструкторский отдел для реализации установки М-107 на ЛаГГ-3. Ему удалось связаться с Климовым, и тот пообещал, что примерно через неделю у него будут готовы два новых доведенных двигателя М-107: один - для Яковлева, а другой - для Лавочкина.</w:t>
      </w:r>
    </w:p>
    <w:p w14:paraId="2842D3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Неделя прошла в нервной обстановке, в различных поисках. В Москву за обещанным мотором отправили главного механика Романова. Через некоторое время Романов телеграфировал в Горький: приезжали люди от Яковлева и забрали, несмотря на возражение Климова, оба мотора. После этого Лавочкин отправился в Москву искать правды:</w:t>
      </w:r>
    </w:p>
    <w:p w14:paraId="26B425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Пойду жаловаться в ЦК, мобилизую наркома! Это безобразие!</w:t>
      </w:r>
    </w:p>
    <w:p w14:paraId="681543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в день отъезда Семена Алексеевича в Москву я попросил его все-таки подписать телеграмму Швецову с просьбой выслать нам макетный двигатель М-82. Не успел Лавочкин уехать, как через пару дней прилетел Ли-2 и привез два мотора - макетный и летный. Сопровождали их механик и заместитель Швецова - Валентин Иванович Валединский. Распечатали мы ящик с макетным М-82, и я попросил главного инженера завода Бориса Васильевича Куприянова передать в цех № 40 самолет ЛаГГ-3, на который еще не установили двигатель. К этому самолету, "начинавшемуся" с противопожарной перегородки, мы подвели подвешенный на кране макетный М-82.</w:t>
      </w:r>
    </w:p>
    <w:p w14:paraId="12C572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совещании у Лавочкина звездообразный мотор отвергли по трем основным причинам. Во-первых, он весил на 250 кг больше, чем М-105, и непонятно было, что же произойдет с центровкой самолета. Во-вторых, диаметр М-82 составлял 1260 мм, а ширина М-105 - 798 мм. Получался какой-то "головастик". Надо было как-то переделать эллиптическое сечение носовой части фюзеляжа "ЛаГГа" на круглое и не испортить при этом аэродинамику машины. Сама собой возникла мысль - надо делать новый фюзеляж, а времени на это не было. В-третьих, как быть с вооружением? После уроков в Испании на совещании у Сталина было решено, что истребитель должен обязательно иметь пушечное вооружение. Но крыло у ЛаГГ-3 занято баками, а синхронных пушек на заводе нет. Правда, в последние месяцы выпуска истребителей И-16 на заводе № 21 Б.Г. Шпитальный успел сделать около двух десятков синхронных пушек ШВАК.</w:t>
      </w:r>
    </w:p>
    <w:p w14:paraId="3BC058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И вот как эти проблемы стали решаться. Когда мы подвели макетный М-82 к противопожарной перегородке ЛаГГ-3, то центр тяжести мотора оказался ближе к центру тяжести самолета, чем у М-105 и "лишние" 250 кг почти не сказались на центровке, пришлось только перенести в хвост кое-какую мелочь из оборудования. Вокруг самолета расселись все начальники цехов, несколько конструкторов, главный инженер завода. Все вопросы с доставкой необходимых материалов решались очень быстро. Принесли деревянные рейки, приложили их к внешнему контуру мотора и к фюзеляжу. Оказалось, что, если наложить на фюзеляж ложные борта, то к пятому шпангоуту можно плавно свести обводы круглого фюзеляжа на эллиптические. И деревянный фюзеляж ЛаГГ-3 как нельзя лучше подходил для такой переделки.</w:t>
      </w:r>
    </w:p>
    <w:p w14:paraId="5D142C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Громадную роль в создании нового истребителя сыграл Валединский. Применить классическую схему установки мотора воздушного охлаждения с юбкой для выхода охлаждающего воздуха без серьезной переделки фюзеляжа мы не могли. Тогда по бортам самолета слева и справа сделали большие, около 700 мм совки, через который выходил охлаждающий воздух. Напротив совков температура головок цилиндров была в норме, а сверху и снизу они перегревались. Валединский стал тогда переделывать дефлекторы у каждого цилиндра, и ему удалось добиться равномерности температуры по всем цилиндрам. Это был один из решающих факторов создания нового истребителя.</w:t>
      </w:r>
    </w:p>
    <w:p w14:paraId="6A0827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приезду Лавочкина успели зашить одну сторону самолета ложным бортом поверх старой обшивки, более ничего не меняя. Поставили сектора из реек, а на них - фанеру. Получился круглый фюзеляж. Лавочкин понял, что самолет получается, и мобилизовал уже все КБ на работу по М-82. Коллектив трудился в самом прямом смысле день и ночь, сознавая, что от успехов дела во многом зависит дальнейшая судьба ОКБ. Но, когда самолет был уже почти готов, пришло постановление ГКО о передаче завода № 21 Яковлеву и переходе на выпуск истребителей Як-7. Лавочкину и его ОКБ предписывалось перебазироваться в Тбилиси, на завод № 31 имени Димитрова. Яковлев сделал все удивительно быстро. Не успели мы опомниться, а на железнодорожную ветку завода уже подали эшелон для погрузки нашего оборудования. Семен Алексеевич сказал мне:</w:t>
      </w:r>
    </w:p>
    <w:p w14:paraId="55D07D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Семен Михайлович, дорогой мой, я тебе за все очень благодарен, но мне некого кроме тебя послать в Тбилиси организовывать прием нашего коллектива. Я тебя очень прошу ехать в Тбилиси и ждать меня и прихода эшелона...</w:t>
      </w:r>
    </w:p>
    <w:p w14:paraId="3A59C0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марте 1942 года, еще до моего отъезда в Тбилиси, ЛаГГ-3 М-82 выкатили на аэродром (опытный ЛаГГ-3 № 372100 построили 21 марта 1942-го и он был разбит в аварии, произошедшей 12 июля следующего года. - прим. авт.), и заводской летчик-испытатель Г.А. Мищенко выполнил на нем первый полет. Сразу обнаружился серьезный недостаток - очень сильно грелось масло. Маслорадиатор поставили от М-105, а его не хватало. Летать было нельзя. Пытались устранить перегрев, расширяя туннель маслорадиатора, несколько увеличили отклонение совка. Пробовали летать на рассвете, чтоб прохладней было. Мищенко делал над аэродромом круг и, вылезая из кабины, говорил:</w:t>
      </w:r>
    </w:p>
    <w:p w14:paraId="204450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Уже зашкалило...</w:t>
      </w:r>
    </w:p>
    <w:p w14:paraId="77D50F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Тем временем сведения о новом истребителе дошли до ГКО. Валединский докладывал о работах Швецову, а тот - в свой обком партии, секретарь которого Н.И. Гусаров, как и секретарь горь- ковского обкома М.И. Родионов, доложили в ЦК. Давал информацию по своей линии и военпред завода...".</w:t>
      </w:r>
    </w:p>
    <w:p w14:paraId="43BC5B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Четверть века назад была опубликована небольшая книга, даже, пожалуй, брошюра П.Т. Осташенкова "Дерзкие старты" о творчестве С.А. Лавочкина, где также говорилось о создании Ла-5. </w:t>
      </w:r>
    </w:p>
    <w:p w14:paraId="2C0769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Что любопытно, там приведены фрагменты записей из дневника Семена Алексеевича, относящиеся, видимо, к началу 1942 г. Подобный документ автор не встречал и потому, с вашего позволения, уважаемый читатель, приведу эти записи, иллюстрирующие некоторые пути создания будущего </w:t>
      </w:r>
      <w:r w:rsidRPr="00640820">
        <w:rPr>
          <w:rFonts w:ascii="Times New Roman" w:hAnsi="Times New Roman"/>
          <w:color w:val="000000" w:themeColor="text1"/>
          <w:sz w:val="16"/>
          <w:szCs w:val="16"/>
          <w:lang w:val="en-US"/>
        </w:rPr>
        <w:t>Jla</w:t>
      </w:r>
      <w:r w:rsidRPr="00640820">
        <w:rPr>
          <w:rFonts w:ascii="Times New Roman" w:hAnsi="Times New Roman"/>
          <w:color w:val="000000" w:themeColor="text1"/>
          <w:sz w:val="16"/>
          <w:szCs w:val="16"/>
        </w:rPr>
        <w:t>-5.</w:t>
      </w:r>
    </w:p>
    <w:p w14:paraId="3356B8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Можно предположить, что после первых гонок мотора на истребителе ЛаГГ-3 Лавочкин записал в блокнот:</w:t>
      </w:r>
    </w:p>
    <w:p w14:paraId="20DF7C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"Мотор зажат капотом. Необходимого обдува головок цилиндров нет... Снять две пушки, на оставшиеся две - перевести весь боекомплект".</w:t>
      </w:r>
    </w:p>
    <w:p w14:paraId="38B43F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Здесь есть расхождения с рассказом Алексеева, ведь память человека не совсем надежный "инструмент", тем более спустя полвека.</w:t>
      </w:r>
    </w:p>
    <w:p w14:paraId="75ED5C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Как видим, будущий Ла-5 был задуман с очень мощным вооружением - четырьмя пушками, а в воздух поднялся-с двумя орудиями. Уже в ходе заводских испытаний в блокноте у Лавочкина появилась запись:</w:t>
      </w:r>
    </w:p>
    <w:p w14:paraId="2E0405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"Потеряна высотность двигателя... Воздухозаборник из капота убрать, расположить его сверху. Пусть несколько ухудшится обзор, но откроется доступ воздуха для охлаждения верхних цилиндров".</w:t>
      </w:r>
    </w:p>
    <w:p w14:paraId="6B5CAA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когда после первых полетов на этапе государственных испытаний выявилась необходимость доводки машины, появилась еще одна запись:</w:t>
      </w:r>
    </w:p>
    <w:p w14:paraId="5D04F8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"Изменить систему суфлирования мотора, маслобак из кабины перенести за противопожарную перегородку, улучшить систему управления газом, закрылками".</w:t>
      </w:r>
    </w:p>
    <w:p w14:paraId="22BCC7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 постепенно формировался облик будущего Ла-5 (12032).</w:t>
      </w:r>
    </w:p>
    <w:p w14:paraId="3F44CE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DA673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КБ Гудкова из Новосибирска, куда оно было эвакуирована первоначально на завод №153, направили в Горький для внедрения в серию самолетов Гу-82 и Гу-37. Но этого не произошло. Рассказывают, что Лавочкин, воспользовавшись своим служебным положением, не подписал пропуск Гудкову, оставив своего бывшего единомышленника за воротами предприятия. Одного этого действия достаточно, чтобы перечеркнуть написанный журналистами и писателями "портрет тихого интеллигента" Лавочкина (7686,2).</w:t>
      </w:r>
    </w:p>
    <w:p w14:paraId="059BB09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0D1CD58" w14:textId="77777777" w:rsidR="0052262F" w:rsidRPr="00640820" w:rsidRDefault="0052262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А. С. Лавочкина вызвали в Москву, где поставили вопрос ребром: или конструктор сумеет повысить летно-технические характеристики своего самолета, или вместо ЛаГГ-3 на Горьковском авиазаводе начнут выпуск истребителей А. С. Яковлева. В это же самое время рассматривался вопрос и о прекращении выпуска мотора М-82, который, как тогда казалось, был никому не нужен (19727).</w:t>
      </w:r>
    </w:p>
    <w:p w14:paraId="4BBF8FEB" w14:textId="77777777" w:rsidR="0052262F" w:rsidRPr="00640820" w:rsidRDefault="0052262F" w:rsidP="00640820">
      <w:pPr>
        <w:spacing w:after="0" w:line="240" w:lineRule="auto"/>
        <w:jc w:val="both"/>
        <w:rPr>
          <w:rFonts w:ascii="Times New Roman" w:hAnsi="Times New Roman"/>
          <w:color w:val="000000" w:themeColor="text1"/>
          <w:sz w:val="16"/>
          <w:szCs w:val="16"/>
        </w:rPr>
      </w:pPr>
    </w:p>
    <w:p w14:paraId="0F011A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декабре 1941 г. Гудков с группой сотрудников откомандирован в Горький на завод № 21 для внедрения в серию самолетов Гу-37 и Гу-82. Но на заводе № 21 он так и не работал, т.к. ему препятствовал Лавочкин. В итоге через несколько месяцев Гудков вернулся в Химки на старое место. Оставшаяся в Новосибирске часть коллектива, работавшая при СКБ-1 завода № 153, по приказу № 145с от 21.02.1942 г. была реэвакуирована на площадку бывшего завода № 301 в Химки. Были построены самолеты Гу-37, Гу-82, проект ЛаГГ-3 с дополнительным РТД- 1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Люльки. После аварии Гу-37 по приказу № 405с от 1.07.1943 г. ОКБ-301 было ликвидировано, личный состав передан в ОКБ Лавочкина. Этим же приказом М.И. Гудков назначен зам. начальника ОТК завода № 84 НКАП. Затем (на 01.1946 г.) Гудков снова занимался конструкторской деятельностью, в 1956-59г,- гл. конструктор ОКБ-424 МАГ1 по автоматическим аэростатам.</w:t>
      </w:r>
    </w:p>
    <w:p w14:paraId="385877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(1937-30.12.1938 г.)- А.А. Дубровин, (05.1939 г.-&gt; М.И. Гудков.</w:t>
      </w:r>
    </w:p>
    <w:p w14:paraId="34E455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конструктора (1937-38 г.)- А. Г. Брунов.</w:t>
      </w:r>
    </w:p>
    <w:p w14:paraId="36A29C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Ответственный руководитель (05.1939 г.-)- М.И. Гудков (11982).</w:t>
      </w:r>
    </w:p>
    <w:p w14:paraId="1751CF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88959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Гудков с письмом А.С.Я. вернулся в Москву и попытался про</w:t>
      </w:r>
      <w:r w:rsidRPr="00640820">
        <w:rPr>
          <w:rFonts w:ascii="Times New Roman" w:hAnsi="Times New Roman"/>
          <w:color w:val="000000" w:themeColor="text1"/>
          <w:sz w:val="16"/>
          <w:szCs w:val="16"/>
        </w:rPr>
        <w:softHyphen/>
        <w:t>бить приказ НКАП и постановление ГКО о запуске в серию Гу-82 снача</w:t>
      </w:r>
      <w:r w:rsidRPr="00640820">
        <w:rPr>
          <w:rFonts w:ascii="Times New Roman" w:hAnsi="Times New Roman"/>
          <w:color w:val="000000" w:themeColor="text1"/>
          <w:sz w:val="16"/>
          <w:szCs w:val="16"/>
        </w:rPr>
        <w:softHyphen/>
        <w:t>ла на заводе №21 в Горьком, затем - в январе 1942 года - на одном из опытных заводов г. Москвы. В этой переписке полученная на Гу-82 ско</w:t>
      </w:r>
      <w:r w:rsidRPr="00640820">
        <w:rPr>
          <w:rFonts w:ascii="Times New Roman" w:hAnsi="Times New Roman"/>
          <w:color w:val="000000" w:themeColor="text1"/>
          <w:sz w:val="16"/>
          <w:szCs w:val="16"/>
        </w:rPr>
        <w:softHyphen/>
        <w:t>рость указывалась 478 км/ч у земли и 573 км/ч на высоте 6500 м, а вре</w:t>
      </w:r>
      <w:r w:rsidRPr="00640820">
        <w:rPr>
          <w:rFonts w:ascii="Times New Roman" w:hAnsi="Times New Roman"/>
          <w:color w:val="000000" w:themeColor="text1"/>
          <w:sz w:val="16"/>
          <w:szCs w:val="16"/>
        </w:rPr>
        <w:softHyphen/>
        <w:t>мя подъема на 5000 м - 7,3 минуты. Эти скорости были почти такими же, что и у серийных Як-1 и ЛаГГ-3 с М-105П, а скороподъемность даже хуже ~ и это при значительно более мощ</w:t>
      </w:r>
      <w:r w:rsidRPr="00640820">
        <w:rPr>
          <w:rFonts w:ascii="Times New Roman" w:hAnsi="Times New Roman"/>
          <w:color w:val="000000" w:themeColor="text1"/>
          <w:sz w:val="16"/>
          <w:szCs w:val="16"/>
        </w:rPr>
        <w:softHyphen/>
        <w:t>ном моторе. И хотя за Гудкова хло</w:t>
      </w:r>
      <w:r w:rsidRPr="00640820">
        <w:rPr>
          <w:rFonts w:ascii="Times New Roman" w:hAnsi="Times New Roman"/>
          <w:color w:val="000000" w:themeColor="text1"/>
          <w:sz w:val="16"/>
          <w:szCs w:val="16"/>
        </w:rPr>
        <w:softHyphen/>
        <w:t>потал также назначенный к этому времени зам. начальника ГУ ВВС КА бригинженер Г.П. Лешуков, всё было напрасно - в руководстве НКАП та</w:t>
      </w:r>
      <w:r w:rsidRPr="00640820">
        <w:rPr>
          <w:rFonts w:ascii="Times New Roman" w:hAnsi="Times New Roman"/>
          <w:color w:val="000000" w:themeColor="text1"/>
          <w:sz w:val="16"/>
          <w:szCs w:val="16"/>
        </w:rPr>
        <w:softHyphen/>
        <w:t>кой вариант понимания не встречал (10686).</w:t>
      </w:r>
    </w:p>
    <w:p w14:paraId="083AFE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A52C73A" w14:textId="77777777" w:rsidR="00813840" w:rsidRPr="00640820" w:rsidRDefault="00813840" w:rsidP="00640820">
      <w:pPr>
        <w:pStyle w:val="a3"/>
        <w:rPr>
          <w:color w:val="000000" w:themeColor="text1"/>
          <w:lang w:val="ru-RU"/>
        </w:rPr>
      </w:pPr>
      <w:r w:rsidRPr="00640820">
        <w:rPr>
          <w:color w:val="000000" w:themeColor="text1"/>
          <w:lang w:val="ru-RU"/>
        </w:rPr>
        <w:t>В декабре 1941 письмом А.С.Я. Гудков вернулся в столицу и попытался пробить приказ НКАП и постановление ГКО о запуске в серию Гу-82 сначала на заводе № 21 в Горьком, затем — в январе 1942 г. — на одном из опытных заводов г. Москвы. В переписке полу</w:t>
      </w:r>
      <w:r w:rsidRPr="00640820">
        <w:rPr>
          <w:color w:val="000000" w:themeColor="text1"/>
          <w:lang w:val="ru-RU"/>
        </w:rPr>
        <w:softHyphen/>
        <w:t>ченная на Гу-82 скорость указывалась 478 км/ч у земли и 573 км/ч на высоте 6500 м, а время подъема на 5000 м — 7,3 минуты. Эти скорости оказались почти такими же, что и у серийных Як-1 и ЛаГГ-3 с М-105П, а скороподъёмность даже хуже — и это при значи</w:t>
      </w:r>
      <w:r w:rsidRPr="00640820">
        <w:rPr>
          <w:color w:val="000000" w:themeColor="text1"/>
          <w:lang w:val="ru-RU"/>
        </w:rPr>
        <w:softHyphen/>
        <w:t>тельно более мощном моторе. И хотя за Гудкова хлопотал также назначенный к этому времени зам. начальника ГУ ВВС КА бригинженер Г.П. Лешуков, всё было напрасно — в руководстве НКАП такой вариант понимания не встретил. При этом нельзя сказать, что нарком Шахурин и его замы относились безразлично к внедрению М-82 на серийные самолёты. Вопрос об участии завода № 19 в оснащении ВВС КА новой боевой техникой опять обострился с началом эвакуации других моторных заводов — расположенный в тылу пермский завод не мог долго работать «на склад» (15788).</w:t>
      </w:r>
    </w:p>
    <w:p w14:paraId="34B1E2F3" w14:textId="77777777" w:rsidR="00813840" w:rsidRPr="00640820" w:rsidRDefault="00813840" w:rsidP="00640820">
      <w:pPr>
        <w:pStyle w:val="a3"/>
        <w:rPr>
          <w:color w:val="000000" w:themeColor="text1"/>
          <w:lang w:val="ru-RU"/>
        </w:rPr>
      </w:pPr>
    </w:p>
    <w:p w14:paraId="275C46D1" w14:textId="77777777" w:rsidR="00813840" w:rsidRPr="00640820" w:rsidRDefault="00813840" w:rsidP="00640820">
      <w:pPr>
        <w:pStyle w:val="a3"/>
        <w:rPr>
          <w:color w:val="000000" w:themeColor="text1"/>
          <w:lang w:val="ru-RU"/>
        </w:rPr>
      </w:pPr>
      <w:r w:rsidRPr="00640820">
        <w:rPr>
          <w:color w:val="000000" w:themeColor="text1"/>
          <w:lang w:val="ru-RU"/>
        </w:rPr>
        <w:t>В декабре 1941 с рекомендательным письмом Яковлева Гудков вернулся в столицу и попытался пробить приказ НКАП и постановление ГКО о запуске в серию Гу-82 сначала на заводе № 21 в Горьком, затем — в январе 1942 г. — на одном из опытных заводов г. Москвы. В переписке полу</w:t>
      </w:r>
      <w:r w:rsidRPr="00640820">
        <w:rPr>
          <w:color w:val="000000" w:themeColor="text1"/>
          <w:lang w:val="ru-RU"/>
        </w:rPr>
        <w:softHyphen/>
        <w:t>ченная на Гу-82 скорость указывалась 478 км/ч у земли и 573 км/ч на высоте 6500 м, а время подъема на 5000 м — 7,3 минуты. Эти скорости оказались почти такими же, что и у серийных Як-1 и ЛаГГ-3 с М-105П, а скороподъёмность даже хуже — и это при значи</w:t>
      </w:r>
      <w:r w:rsidRPr="00640820">
        <w:rPr>
          <w:color w:val="000000" w:themeColor="text1"/>
          <w:lang w:val="ru-RU"/>
        </w:rPr>
        <w:softHyphen/>
        <w:t>тельно более мощном моторе. И хотя за Гудкова хлопотал также назначенный к этому времени зам. начальника ГУ ВВС КА бригинженер Г.П. Лешуков, всё было напрасно — в руководстве НКАП такой вариант понимания не встретил (15788).</w:t>
      </w:r>
    </w:p>
    <w:p w14:paraId="1A157ECB" w14:textId="77777777" w:rsidR="00813840" w:rsidRPr="00640820" w:rsidRDefault="00813840" w:rsidP="00640820">
      <w:pPr>
        <w:spacing w:after="0" w:line="240" w:lineRule="auto"/>
        <w:jc w:val="both"/>
        <w:rPr>
          <w:rFonts w:ascii="Times New Roman" w:hAnsi="Times New Roman"/>
          <w:color w:val="000000" w:themeColor="text1"/>
          <w:sz w:val="16"/>
          <w:szCs w:val="16"/>
        </w:rPr>
      </w:pPr>
    </w:p>
    <w:p w14:paraId="45ADF4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был готов Як-7А (1046,37).</w:t>
      </w:r>
    </w:p>
    <w:p w14:paraId="3D8713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1F59370" w14:textId="77777777" w:rsidR="00045010" w:rsidRPr="00640820" w:rsidRDefault="00045010" w:rsidP="00640820">
      <w:pPr>
        <w:widowControl w:val="0"/>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опытный МиГ-3 М-82А (он также именовался МиГ-9) вышел на летные испытания. Микоян и Гуревич прекрасно видели недостатки своего МиГ-3 и еще перед войной спроектировали мо</w:t>
      </w:r>
      <w:r w:rsidRPr="00640820">
        <w:rPr>
          <w:rFonts w:ascii="Times New Roman" w:hAnsi="Times New Roman"/>
          <w:color w:val="000000" w:themeColor="text1"/>
          <w:sz w:val="16"/>
          <w:szCs w:val="16"/>
        </w:rPr>
        <w:softHyphen/>
        <w:t xml:space="preserve">дификацию под мотор воздушного охлаждения. Чтобы одновременно улучшить маневренность истребителя, снизить его металлоемкость и себестоимость, а также усилить огневую мощь, был сделан МиГ-ЗУ (И-230) с двумя синхронными 20-мм пушками ШВАК. Его летные испытания </w:t>
      </w:r>
      <w:r w:rsidRPr="00640820">
        <w:rPr>
          <w:rFonts w:ascii="Times New Roman" w:hAnsi="Times New Roman"/>
          <w:color w:val="000000" w:themeColor="text1"/>
          <w:sz w:val="16"/>
          <w:szCs w:val="16"/>
        </w:rPr>
        <w:lastRenderedPageBreak/>
        <w:t>прошли в августе 1942 г. Была построена войсковая серия в 5 экземпляров, а в 1943 г. сделали один опытный И-231, аналогичный И-230, но с высот</w:t>
      </w:r>
      <w:r w:rsidRPr="00640820">
        <w:rPr>
          <w:rFonts w:ascii="Times New Roman" w:hAnsi="Times New Roman"/>
          <w:color w:val="000000" w:themeColor="text1"/>
          <w:sz w:val="16"/>
          <w:szCs w:val="16"/>
        </w:rPr>
        <w:softHyphen/>
        <w:t>ным мотором АМ-39. Но все эти варианты в серию так и не пошли. До конца войны вообще больше ни один самолет Микояна и Гуревича не поступил на вооружение (11938).</w:t>
      </w:r>
    </w:p>
    <w:p w14:paraId="4525D6E0" w14:textId="77777777" w:rsidR="00045010" w:rsidRPr="00640820" w:rsidRDefault="00045010" w:rsidP="0064082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B129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А.И.М, представил в НКАП проект МиГ-11 с АМ-37 (1679,61).</w:t>
      </w:r>
    </w:p>
    <w:p w14:paraId="42842B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A2CB9F1" w14:textId="77777777" w:rsidR="00B1076E" w:rsidRPr="00640820" w:rsidRDefault="00B1076E" w:rsidP="00640820">
      <w:pPr>
        <w:spacing w:after="0" w:line="240" w:lineRule="auto"/>
        <w:jc w:val="both"/>
        <w:rPr>
          <w:rFonts w:ascii="Times New Roman" w:eastAsia="Times New Roman" w:hAnsi="Times New Roman"/>
          <w:color w:val="0070C0"/>
          <w:sz w:val="16"/>
          <w:szCs w:val="16"/>
          <w:lang w:eastAsia="ru-RU"/>
        </w:rPr>
      </w:pPr>
      <w:r w:rsidRPr="00640820">
        <w:rPr>
          <w:rFonts w:ascii="Times New Roman" w:hAnsi="Times New Roman"/>
          <w:color w:val="0070C0"/>
          <w:sz w:val="16"/>
          <w:szCs w:val="16"/>
        </w:rPr>
        <w:t>В декабре 1941 г. И-210 (МиГ-3 с М-82) принял летчик-испытатель НИИ ВВС Владимир Ефремович Голофастов, имевший большой опыт полетов на серийном МиГ-3 в т.ч. в боевых условиях и сбивший на нем лично три и в составе группы еще один самолет противника. Он выявил сильную вибрацию оперения, чего раньше зафиксировано не было. Первый самолет решили передать на продувки в ЦАГИ для выявления причин бафтинга, но в это время аэродинамические лаборатории эвакуировались в Казань и Новосибирск и не известно, было ли это сделано (23187).</w:t>
      </w:r>
    </w:p>
    <w:p w14:paraId="20E645B8" w14:textId="77777777" w:rsidR="00B1076E" w:rsidRPr="00640820" w:rsidRDefault="00B1076E" w:rsidP="00640820">
      <w:pPr>
        <w:spacing w:after="0" w:line="240" w:lineRule="auto"/>
        <w:jc w:val="both"/>
        <w:rPr>
          <w:rFonts w:ascii="Times New Roman" w:eastAsia="Times New Roman" w:hAnsi="Times New Roman"/>
          <w:color w:val="0070C0"/>
          <w:sz w:val="16"/>
          <w:szCs w:val="16"/>
          <w:lang w:eastAsia="ru-RU"/>
        </w:rPr>
      </w:pPr>
    </w:p>
    <w:p w14:paraId="6390927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в филиале ЛИИ НКАП, размещенном на аэродроме Толмачево (Новосибирск), возобновились полеты истребителя И-185 с М-82А (на Северном аэродроме рядом с заводом № 153 и базой Поликарпова места для его самолетов не хватило). Их проводил летчик-испытатель капитан П.М.Попельнюшенко. Выявились следующие дефекты самолета:</w:t>
      </w:r>
    </w:p>
    <w:p w14:paraId="3C4FADE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Неудовлетворительно и неравномерно работает охлаждение мотора из-за всасывающих патрубков, ме</w:t>
      </w:r>
      <w:r w:rsidRPr="00640820">
        <w:rPr>
          <w:rFonts w:ascii="Times New Roman" w:hAnsi="Times New Roman"/>
          <w:color w:val="000000" w:themeColor="text1"/>
          <w:sz w:val="16"/>
          <w:szCs w:val="16"/>
        </w:rPr>
        <w:softHyphen/>
        <w:t>шающих охлаждению.</w:t>
      </w:r>
    </w:p>
    <w:p w14:paraId="57CF6C7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Неудовлетворительно работает система охлажде-йия масла при наборе и на площадках, когда мотор ра</w:t>
      </w:r>
      <w:r w:rsidRPr="00640820">
        <w:rPr>
          <w:rFonts w:ascii="Times New Roman" w:hAnsi="Times New Roman"/>
          <w:color w:val="000000" w:themeColor="text1"/>
          <w:sz w:val="16"/>
          <w:szCs w:val="16"/>
        </w:rPr>
        <w:softHyphen/>
        <w:t>ботает на номинале.</w:t>
      </w:r>
    </w:p>
    <w:p w14:paraId="4B81844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Неудовлетворительно работает система уборки шасси; было 6 случаев, когда нога не доходила до замка, и 1 случай, когда нога стала на замок через 16 минут.</w:t>
      </w:r>
    </w:p>
    <w:p w14:paraId="42BD3AB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В полете отходят щитки при закрытом кране.</w:t>
      </w:r>
    </w:p>
    <w:p w14:paraId="70834A6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Воздушная система травит воздух при закрытом кране.</w:t>
      </w:r>
    </w:p>
    <w:p w14:paraId="77CA919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Пилотский фонарь (в полете) за ручку закрыть не</w:t>
      </w:r>
      <w:r w:rsidRPr="00640820">
        <w:rPr>
          <w:rFonts w:ascii="Times New Roman" w:hAnsi="Times New Roman"/>
          <w:color w:val="000000" w:themeColor="text1"/>
          <w:sz w:val="16"/>
          <w:szCs w:val="16"/>
        </w:rPr>
        <w:softHyphen/>
        <w:t>возможно.</w:t>
      </w:r>
    </w:p>
    <w:p w14:paraId="3140E41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Пилотский фонарь в полете забрызгивается мас</w:t>
      </w:r>
      <w:r w:rsidRPr="00640820">
        <w:rPr>
          <w:rFonts w:ascii="Times New Roman" w:hAnsi="Times New Roman"/>
          <w:color w:val="000000" w:themeColor="text1"/>
          <w:sz w:val="16"/>
          <w:szCs w:val="16"/>
        </w:rPr>
        <w:softHyphen/>
        <w:t>лом.</w:t>
      </w:r>
    </w:p>
    <w:p w14:paraId="217A244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Неустойчиво работает регулятор постоянных обо</w:t>
      </w:r>
      <w:r w:rsidRPr="00640820">
        <w:rPr>
          <w:rFonts w:ascii="Times New Roman" w:hAnsi="Times New Roman"/>
          <w:color w:val="000000" w:themeColor="text1"/>
          <w:sz w:val="16"/>
          <w:szCs w:val="16"/>
        </w:rPr>
        <w:softHyphen/>
        <w:t>ротов винта Р-7.</w:t>
      </w:r>
    </w:p>
    <w:p w14:paraId="65CEE2A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За время испытаний было два случая поломки мо</w:t>
      </w:r>
      <w:r w:rsidRPr="00640820">
        <w:rPr>
          <w:rFonts w:ascii="Times New Roman" w:hAnsi="Times New Roman"/>
          <w:color w:val="000000" w:themeColor="text1"/>
          <w:sz w:val="16"/>
          <w:szCs w:val="16"/>
        </w:rPr>
        <w:softHyphen/>
        <w:t>тора в воздухе».</w:t>
      </w:r>
    </w:p>
    <w:p w14:paraId="4CD919B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Проведенные предварительные испытания И-185 № 6204 с М-71 фактически констатировали, что самолет перспективен, хотя список выявленных дефектов был ничуть не меньше, чем у упомянутой выше машины:</w:t>
      </w:r>
    </w:p>
    <w:p w14:paraId="3FBCA2E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Недостаточная продольная устойчивость самолета.</w:t>
      </w:r>
    </w:p>
    <w:p w14:paraId="42C14EF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Недоработана кинематика управления карбюрато</w:t>
      </w:r>
      <w:r w:rsidRPr="00640820">
        <w:rPr>
          <w:rFonts w:ascii="Times New Roman" w:hAnsi="Times New Roman"/>
          <w:color w:val="000000" w:themeColor="text1"/>
          <w:sz w:val="16"/>
          <w:szCs w:val="16"/>
        </w:rPr>
        <w:softHyphen/>
        <w:t>ром (нормальный газ) и регулятором наддува.</w:t>
      </w:r>
    </w:p>
    <w:p w14:paraId="0CFECFD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Расположение рычагов управления самолетом и мотором неудобно. Ручка управления самолетом высо</w:t>
      </w:r>
      <w:r w:rsidRPr="00640820">
        <w:rPr>
          <w:rFonts w:ascii="Times New Roman" w:hAnsi="Times New Roman"/>
          <w:color w:val="000000" w:themeColor="text1"/>
          <w:sz w:val="16"/>
          <w:szCs w:val="16"/>
        </w:rPr>
        <w:softHyphen/>
        <w:t>ка. Сектор газа нужно переставить вперед и ближе к си</w:t>
      </w:r>
      <w:r w:rsidRPr="00640820">
        <w:rPr>
          <w:rFonts w:ascii="Times New Roman" w:hAnsi="Times New Roman"/>
          <w:color w:val="000000" w:themeColor="text1"/>
          <w:sz w:val="16"/>
          <w:szCs w:val="16"/>
        </w:rPr>
        <w:softHyphen/>
        <w:t>денью.</w:t>
      </w:r>
    </w:p>
    <w:p w14:paraId="267845D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Не отработана уборка шасси и сигнализация шасси.</w:t>
      </w:r>
    </w:p>
    <w:p w14:paraId="6F1C480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Не включена система заполнения бензобаков инертным газом.</w:t>
      </w:r>
    </w:p>
    <w:p w14:paraId="2B044F9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Бензосистема требует значительного времени на заправку. Нет возможности проверить количество го</w:t>
      </w:r>
      <w:r w:rsidRPr="00640820">
        <w:rPr>
          <w:rFonts w:ascii="Times New Roman" w:hAnsi="Times New Roman"/>
          <w:color w:val="000000" w:themeColor="text1"/>
          <w:sz w:val="16"/>
          <w:szCs w:val="16"/>
        </w:rPr>
        <w:softHyphen/>
        <w:t>рючего в баках.</w:t>
      </w:r>
    </w:p>
    <w:p w14:paraId="5F6D66D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Недостаточно жестка всасывающая труба карбю</w:t>
      </w:r>
      <w:r w:rsidRPr="00640820">
        <w:rPr>
          <w:rFonts w:ascii="Times New Roman" w:hAnsi="Times New Roman"/>
          <w:color w:val="000000" w:themeColor="text1"/>
          <w:sz w:val="16"/>
          <w:szCs w:val="16"/>
        </w:rPr>
        <w:softHyphen/>
        <w:t>ратора.</w:t>
      </w:r>
    </w:p>
    <w:p w14:paraId="030EEE9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Замки капотов мотора нестандартные - ненадеж</w:t>
      </w:r>
      <w:r w:rsidRPr="00640820">
        <w:rPr>
          <w:rFonts w:ascii="Times New Roman" w:hAnsi="Times New Roman"/>
          <w:color w:val="000000" w:themeColor="text1"/>
          <w:sz w:val="16"/>
          <w:szCs w:val="16"/>
        </w:rPr>
        <w:softHyphen/>
        <w:t>ные.</w:t>
      </w:r>
    </w:p>
    <w:p w14:paraId="6EE30DC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Плохо подогнаны капоты мотора.</w:t>
      </w:r>
    </w:p>
    <w:p w14:paraId="1795B5F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Неустойчиво работает регулятор винта Р-7. И. Автомат высотного корректора не обеспечивает нужного качества смеси по высотам.</w:t>
      </w:r>
    </w:p>
    <w:p w14:paraId="65718CC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Замки щитков в убранном положении не обеспе</w:t>
      </w:r>
      <w:r w:rsidRPr="00640820">
        <w:rPr>
          <w:rFonts w:ascii="Times New Roman" w:hAnsi="Times New Roman"/>
          <w:color w:val="000000" w:themeColor="text1"/>
          <w:sz w:val="16"/>
          <w:szCs w:val="16"/>
        </w:rPr>
        <w:softHyphen/>
        <w:t>чивают от произвольного открывания щитков в полете.</w:t>
      </w:r>
    </w:p>
    <w:p w14:paraId="5032B14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Не отработано стрелковое вооружение самолета.</w:t>
      </w:r>
    </w:p>
    <w:p w14:paraId="43C76B0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Тормоза колес работают неудовлетворительно (держат слабо).</w:t>
      </w:r>
    </w:p>
    <w:p w14:paraId="54619F8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Рычаги управления шасси и щитков расположе</w:t>
      </w:r>
      <w:r w:rsidRPr="00640820">
        <w:rPr>
          <w:rFonts w:ascii="Times New Roman" w:hAnsi="Times New Roman"/>
          <w:color w:val="000000" w:themeColor="text1"/>
          <w:sz w:val="16"/>
          <w:szCs w:val="16"/>
        </w:rPr>
        <w:softHyphen/>
        <w:t>ны рядом, что может привести к аварии (т.к. их легко перепутать)».</w:t>
      </w:r>
    </w:p>
    <w:p w14:paraId="403273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Обнаруженные дефекты являлись вполне устрани</w:t>
      </w:r>
      <w:r w:rsidRPr="00640820">
        <w:rPr>
          <w:rFonts w:ascii="Times New Roman" w:hAnsi="Times New Roman"/>
          <w:color w:val="000000" w:themeColor="text1"/>
          <w:sz w:val="16"/>
          <w:szCs w:val="16"/>
        </w:rPr>
        <w:softHyphen/>
        <w:t>мыми, поэтому филиал ЛИИ НКАП просил Н.Н.Поли</w:t>
      </w:r>
      <w:r w:rsidRPr="00640820">
        <w:rPr>
          <w:rFonts w:ascii="Times New Roman" w:hAnsi="Times New Roman"/>
          <w:color w:val="000000" w:themeColor="text1"/>
          <w:sz w:val="16"/>
          <w:szCs w:val="16"/>
        </w:rPr>
        <w:softHyphen/>
        <w:t>карпова срочно направить на аэродром в Толмачево соответствующих работников, что и было сделано до</w:t>
      </w:r>
      <w:r w:rsidRPr="00640820">
        <w:rPr>
          <w:rFonts w:ascii="Times New Roman" w:hAnsi="Times New Roman"/>
          <w:color w:val="000000" w:themeColor="text1"/>
          <w:sz w:val="16"/>
          <w:szCs w:val="16"/>
        </w:rPr>
        <w:softHyphen/>
        <w:t>вольно оперативно (10667).</w:t>
      </w:r>
    </w:p>
    <w:p w14:paraId="6A88FE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486701F" w14:textId="77777777" w:rsidR="00813840" w:rsidRPr="00640820" w:rsidRDefault="00813840"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В декабре</w:t>
      </w:r>
      <w:r w:rsidRPr="00640820">
        <w:rPr>
          <w:rStyle w:val="aff7"/>
          <w:rFonts w:ascii="Times New Roman" w:cs="Times New Roman"/>
          <w:b w:val="0"/>
          <w:color w:val="000000" w:themeColor="text1"/>
          <w:spacing w:val="0"/>
          <w:sz w:val="16"/>
          <w:szCs w:val="16"/>
        </w:rPr>
        <w:t xml:space="preserve"> 1941 на заводе № 51, эвакуированном в Новосибирск, началось</w:t>
      </w:r>
      <w:r w:rsidRPr="00640820">
        <w:rPr>
          <w:rStyle w:val="0pt1"/>
          <w:rFonts w:eastAsia="Arial Narrow"/>
          <w:b w:val="0"/>
          <w:color w:val="000000" w:themeColor="text1"/>
          <w:spacing w:val="0"/>
          <w:sz w:val="16"/>
          <w:szCs w:val="16"/>
        </w:rPr>
        <w:t xml:space="preserve"> производственное</w:t>
      </w:r>
      <w:r w:rsidRPr="00640820">
        <w:rPr>
          <w:rStyle w:val="aff7"/>
          <w:rFonts w:ascii="Times New Roman" w:cs="Times New Roman"/>
          <w:b w:val="0"/>
          <w:color w:val="000000" w:themeColor="text1"/>
          <w:spacing w:val="0"/>
          <w:sz w:val="16"/>
          <w:szCs w:val="16"/>
        </w:rPr>
        <w:t xml:space="preserve"> планирование. В </w:t>
      </w:r>
      <w:r w:rsidRPr="00640820">
        <w:rPr>
          <w:rStyle w:val="95pt-1pt"/>
          <w:rFonts w:ascii="Times New Roman" w:hAnsi="Times New Roman" w:cs="Times New Roman"/>
          <w:b w:val="0"/>
          <w:color w:val="000000" w:themeColor="text1"/>
          <w:spacing w:val="0"/>
          <w:sz w:val="16"/>
          <w:szCs w:val="16"/>
        </w:rPr>
        <w:t xml:space="preserve">I квартале 1942 г. </w:t>
      </w:r>
      <w:r w:rsidRPr="00640820">
        <w:rPr>
          <w:rFonts w:ascii="Times New Roman" w:cs="Times New Roman"/>
          <w:color w:val="000000" w:themeColor="text1"/>
          <w:spacing w:val="0"/>
        </w:rPr>
        <w:t>намечалось</w:t>
      </w:r>
      <w:r w:rsidRPr="00640820">
        <w:rPr>
          <w:rStyle w:val="aff7"/>
          <w:rFonts w:ascii="Times New Roman" w:cs="Times New Roman"/>
          <w:b w:val="0"/>
          <w:color w:val="000000" w:themeColor="text1"/>
          <w:spacing w:val="0"/>
          <w:sz w:val="16"/>
          <w:szCs w:val="16"/>
        </w:rPr>
        <w:t xml:space="preserve"> «произвести</w:t>
      </w:r>
      <w:r w:rsidRPr="00640820">
        <w:rPr>
          <w:rStyle w:val="95pt-1pt"/>
          <w:rFonts w:ascii="Times New Roman" w:hAnsi="Times New Roman" w:cs="Times New Roman"/>
          <w:b w:val="0"/>
          <w:color w:val="000000" w:themeColor="text1"/>
          <w:spacing w:val="0"/>
          <w:sz w:val="16"/>
          <w:szCs w:val="16"/>
        </w:rPr>
        <w:t xml:space="preserve"> отработку и </w:t>
      </w:r>
      <w:r w:rsidRPr="00640820">
        <w:rPr>
          <w:rFonts w:ascii="Times New Roman" w:cs="Times New Roman"/>
          <w:color w:val="000000" w:themeColor="text1"/>
          <w:spacing w:val="0"/>
        </w:rPr>
        <w:t>доводку готовых</w:t>
      </w:r>
      <w:r w:rsidRPr="00640820">
        <w:rPr>
          <w:rStyle w:val="aff7"/>
          <w:rFonts w:ascii="Times New Roman" w:cs="Times New Roman"/>
          <w:b w:val="0"/>
          <w:color w:val="000000" w:themeColor="text1"/>
          <w:spacing w:val="0"/>
          <w:sz w:val="16"/>
          <w:szCs w:val="16"/>
        </w:rPr>
        <w:t xml:space="preserve"> проходящих</w:t>
      </w:r>
      <w:r w:rsidRPr="00640820">
        <w:rPr>
          <w:rStyle w:val="95pt-1pt"/>
          <w:rFonts w:ascii="Times New Roman" w:hAnsi="Times New Roman" w:cs="Times New Roman"/>
          <w:b w:val="0"/>
          <w:color w:val="000000" w:themeColor="text1"/>
          <w:spacing w:val="0"/>
          <w:sz w:val="16"/>
          <w:szCs w:val="16"/>
        </w:rPr>
        <w:t xml:space="preserve"> испытания </w:t>
      </w:r>
      <w:r w:rsidRPr="00640820">
        <w:rPr>
          <w:rFonts w:ascii="Times New Roman" w:cs="Times New Roman"/>
          <w:color w:val="000000" w:themeColor="text1"/>
          <w:spacing w:val="0"/>
        </w:rPr>
        <w:t>опытных самолетов»:</w:t>
      </w:r>
      <w:r w:rsidRPr="00640820">
        <w:rPr>
          <w:rStyle w:val="aff7"/>
          <w:rFonts w:ascii="Times New Roman" w:cs="Times New Roman"/>
          <w:b w:val="0"/>
          <w:color w:val="000000" w:themeColor="text1"/>
          <w:spacing w:val="0"/>
          <w:sz w:val="16"/>
          <w:szCs w:val="16"/>
        </w:rPr>
        <w:t xml:space="preserve"> ТИС</w:t>
      </w:r>
      <w:r w:rsidRPr="00640820">
        <w:rPr>
          <w:rStyle w:val="0pt1"/>
          <w:rFonts w:eastAsia="Arial Narrow"/>
          <w:b w:val="0"/>
          <w:color w:val="000000" w:themeColor="text1"/>
          <w:spacing w:val="0"/>
          <w:sz w:val="16"/>
          <w:szCs w:val="16"/>
        </w:rPr>
        <w:t xml:space="preserve"> 2АМ-37, ИГЛ </w:t>
      </w:r>
      <w:r w:rsidRPr="00640820">
        <w:rPr>
          <w:rFonts w:ascii="Times New Roman" w:cs="Times New Roman"/>
          <w:color w:val="000000" w:themeColor="text1"/>
          <w:spacing w:val="0"/>
        </w:rPr>
        <w:t>М-107П, И-185 М-71,</w:t>
      </w:r>
      <w:r w:rsidRPr="00640820">
        <w:rPr>
          <w:rStyle w:val="aff7"/>
          <w:rFonts w:ascii="Times New Roman" w:cs="Times New Roman"/>
          <w:b w:val="0"/>
          <w:color w:val="000000" w:themeColor="text1"/>
          <w:spacing w:val="0"/>
          <w:sz w:val="16"/>
          <w:szCs w:val="16"/>
        </w:rPr>
        <w:t xml:space="preserve"> И-185</w:t>
      </w:r>
      <w:r w:rsidRPr="00640820">
        <w:rPr>
          <w:rStyle w:val="0pt1"/>
          <w:rFonts w:eastAsia="Arial Narrow"/>
          <w:b w:val="0"/>
          <w:color w:val="000000" w:themeColor="text1"/>
          <w:spacing w:val="0"/>
          <w:sz w:val="16"/>
          <w:szCs w:val="16"/>
        </w:rPr>
        <w:t xml:space="preserve"> М-82, пла</w:t>
      </w:r>
      <w:r w:rsidRPr="00640820">
        <w:rPr>
          <w:rStyle w:val="0pt1"/>
          <w:rFonts w:eastAsia="Arial Narrow"/>
          <w:b w:val="0"/>
          <w:color w:val="000000" w:themeColor="text1"/>
          <w:spacing w:val="0"/>
          <w:sz w:val="16"/>
          <w:szCs w:val="16"/>
        </w:rPr>
        <w:softHyphen/>
      </w:r>
      <w:r w:rsidRPr="00640820">
        <w:rPr>
          <w:rFonts w:ascii="Times New Roman" w:cs="Times New Roman"/>
          <w:color w:val="000000" w:themeColor="text1"/>
          <w:spacing w:val="0"/>
        </w:rPr>
        <w:t>нер БДП, а также «изготовить 2</w:t>
      </w:r>
      <w:r w:rsidRPr="00640820">
        <w:rPr>
          <w:rStyle w:val="aff7"/>
          <w:rFonts w:ascii="Times New Roman" w:cs="Times New Roman"/>
          <w:b w:val="0"/>
          <w:color w:val="000000" w:themeColor="text1"/>
          <w:spacing w:val="0"/>
          <w:sz w:val="16"/>
          <w:szCs w:val="16"/>
        </w:rPr>
        <w:t>-й</w:t>
      </w:r>
      <w:r w:rsidRPr="00640820">
        <w:rPr>
          <w:rStyle w:val="0pt1"/>
          <w:rFonts w:eastAsia="Arial Narrow"/>
          <w:b w:val="0"/>
          <w:color w:val="000000" w:themeColor="text1"/>
          <w:spacing w:val="0"/>
          <w:sz w:val="16"/>
          <w:szCs w:val="16"/>
        </w:rPr>
        <w:t xml:space="preserve"> экзем</w:t>
      </w:r>
      <w:r w:rsidRPr="00640820">
        <w:rPr>
          <w:rStyle w:val="0pt1"/>
          <w:rFonts w:eastAsia="Arial Narrow"/>
          <w:b w:val="0"/>
          <w:color w:val="000000" w:themeColor="text1"/>
          <w:spacing w:val="0"/>
          <w:sz w:val="16"/>
          <w:szCs w:val="16"/>
        </w:rPr>
        <w:softHyphen/>
      </w:r>
      <w:r w:rsidRPr="00640820">
        <w:rPr>
          <w:rFonts w:ascii="Times New Roman" w:cs="Times New Roman"/>
          <w:color w:val="000000" w:themeColor="text1"/>
          <w:spacing w:val="0"/>
        </w:rPr>
        <w:t>пляр ИТП, но с АМ-37»,</w:t>
      </w:r>
      <w:r w:rsidRPr="00640820">
        <w:rPr>
          <w:rStyle w:val="aff7"/>
          <w:rFonts w:ascii="Times New Roman" w:cs="Times New Roman"/>
          <w:b w:val="0"/>
          <w:color w:val="000000" w:themeColor="text1"/>
          <w:spacing w:val="0"/>
          <w:sz w:val="16"/>
          <w:szCs w:val="16"/>
        </w:rPr>
        <w:t xml:space="preserve"> запроектиро</w:t>
      </w:r>
      <w:r w:rsidRPr="00640820">
        <w:rPr>
          <w:rStyle w:val="aff7"/>
          <w:rFonts w:ascii="Times New Roman" w:cs="Times New Roman"/>
          <w:b w:val="0"/>
          <w:color w:val="000000" w:themeColor="text1"/>
          <w:spacing w:val="0"/>
          <w:sz w:val="16"/>
          <w:szCs w:val="16"/>
        </w:rPr>
        <w:softHyphen/>
      </w:r>
      <w:r w:rsidRPr="00640820">
        <w:rPr>
          <w:rFonts w:ascii="Times New Roman" w:cs="Times New Roman"/>
          <w:color w:val="000000" w:themeColor="text1"/>
          <w:spacing w:val="0"/>
        </w:rPr>
        <w:t>вать и построить новый дальний</w:t>
      </w:r>
      <w:r w:rsidRPr="00640820">
        <w:rPr>
          <w:rStyle w:val="aff7"/>
          <w:rFonts w:ascii="Times New Roman" w:cs="Times New Roman"/>
          <w:b w:val="0"/>
          <w:color w:val="000000" w:themeColor="text1"/>
          <w:spacing w:val="0"/>
          <w:sz w:val="16"/>
          <w:szCs w:val="16"/>
        </w:rPr>
        <w:t xml:space="preserve"> ночной </w:t>
      </w:r>
      <w:r w:rsidRPr="00640820">
        <w:rPr>
          <w:rFonts w:ascii="Times New Roman" w:cs="Times New Roman"/>
          <w:color w:val="000000" w:themeColor="text1"/>
          <w:spacing w:val="0"/>
        </w:rPr>
        <w:t>бомбардировщик НБ 2М-82, «заданного распоряжением замнаркома т. Яковле</w:t>
      </w:r>
      <w:r w:rsidRPr="00640820">
        <w:rPr>
          <w:rFonts w:ascii="Times New Roman" w:cs="Times New Roman"/>
          <w:color w:val="000000" w:themeColor="text1"/>
          <w:spacing w:val="0"/>
        </w:rPr>
        <w:softHyphen/>
        <w:t>вым». Учитывая большой объем работ, в декабре 1941 г. по просьбе Поликарпо</w:t>
      </w:r>
      <w:r w:rsidRPr="00640820">
        <w:rPr>
          <w:rFonts w:ascii="Times New Roman" w:cs="Times New Roman"/>
          <w:color w:val="000000" w:themeColor="text1"/>
          <w:spacing w:val="0"/>
        </w:rPr>
        <w:softHyphen/>
        <w:t>ва в помощь ОКБ временно направили несколько рабочих и конструкторов с за</w:t>
      </w:r>
      <w:r w:rsidRPr="00640820">
        <w:rPr>
          <w:rFonts w:ascii="Times New Roman" w:cs="Times New Roman"/>
          <w:color w:val="000000" w:themeColor="text1"/>
          <w:spacing w:val="0"/>
        </w:rPr>
        <w:softHyphen/>
        <w:t>вода №153 (15755).</w:t>
      </w:r>
    </w:p>
    <w:p w14:paraId="5488085D" w14:textId="77777777" w:rsidR="00813840" w:rsidRPr="00640820" w:rsidRDefault="00813840" w:rsidP="00640820">
      <w:pPr>
        <w:pStyle w:val="27"/>
        <w:shd w:val="clear" w:color="auto" w:fill="auto"/>
        <w:spacing w:after="0" w:line="240" w:lineRule="auto"/>
        <w:ind w:firstLine="0"/>
        <w:rPr>
          <w:rFonts w:ascii="Times New Roman" w:cs="Times New Roman"/>
          <w:color w:val="000000" w:themeColor="text1"/>
          <w:spacing w:val="0"/>
        </w:rPr>
      </w:pPr>
    </w:p>
    <w:p w14:paraId="01B5ACFC" w14:textId="77777777" w:rsidR="00227695" w:rsidRPr="00640820" w:rsidRDefault="0022769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началось производствен</w:t>
      </w:r>
      <w:r w:rsidRPr="00640820">
        <w:rPr>
          <w:rFonts w:ascii="Times New Roman" w:hAnsi="Times New Roman"/>
          <w:color w:val="000000" w:themeColor="text1"/>
          <w:sz w:val="16"/>
          <w:szCs w:val="16"/>
        </w:rPr>
        <w:softHyphen/>
        <w:t>ное планирование ОКБ-51 в Новосибирске. В I квартале 1942 г. намеча</w:t>
      </w:r>
      <w:r w:rsidRPr="00640820">
        <w:rPr>
          <w:rFonts w:ascii="Times New Roman" w:hAnsi="Times New Roman"/>
          <w:color w:val="000000" w:themeColor="text1"/>
          <w:sz w:val="16"/>
          <w:szCs w:val="16"/>
        </w:rPr>
        <w:softHyphen/>
        <w:t>лось «произвести отработку и доводку готовых, проходящих испытания опытных самолетов»: ТИС 2АМ-37, ИТП М-107П, И-185 М-71, И-185 М-82, пла</w:t>
      </w:r>
      <w:r w:rsidRPr="00640820">
        <w:rPr>
          <w:rFonts w:ascii="Times New Roman" w:hAnsi="Times New Roman"/>
          <w:color w:val="000000" w:themeColor="text1"/>
          <w:sz w:val="16"/>
          <w:szCs w:val="16"/>
        </w:rPr>
        <w:softHyphen/>
        <w:t>нер БДП, а также «изготовить 2-й экземпляр ИТП, но с АМ-37», запроектировать и построить новый дальний ночной бомбардировщик НБ, «заданного распоряжением замнаркома т. Яковлевым» (17500).</w:t>
      </w:r>
    </w:p>
    <w:p w14:paraId="31B9E0D1" w14:textId="77777777" w:rsidR="00227695" w:rsidRPr="00640820" w:rsidRDefault="00227695" w:rsidP="00640820">
      <w:pPr>
        <w:spacing w:after="0" w:line="240" w:lineRule="auto"/>
        <w:jc w:val="both"/>
        <w:rPr>
          <w:rFonts w:ascii="Times New Roman" w:eastAsia="Times New Roman" w:hAnsi="Times New Roman"/>
          <w:color w:val="000000" w:themeColor="text1"/>
          <w:sz w:val="16"/>
          <w:szCs w:val="16"/>
          <w:lang w:eastAsia="ru-RU"/>
        </w:rPr>
      </w:pPr>
    </w:p>
    <w:p w14:paraId="42F27E48" w14:textId="77777777" w:rsidR="00895A6E" w:rsidRPr="00640820" w:rsidRDefault="00895A6E" w:rsidP="00640820">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декабре 1941 года в Новосибирском филиале ЛИИ, размещенном на аэродроме Толмачево (Новосибирск) продолжились испытания И-185 с двигателем М-82А. Их проводил все тот же летчик-испытатель П.М. Попельнушенко. Испытания были завершены к концу февраля 1942 года (ведущий инженер Соколов). Было выполнено 28 полетов общей продолжительностью 8 часов. Истребитель показал очень хорошие характеристики, однако в серию так и не пошел (19569).</w:t>
      </w:r>
    </w:p>
    <w:p w14:paraId="6BE35E27" w14:textId="77777777" w:rsidR="00895A6E" w:rsidRPr="00640820" w:rsidRDefault="00895A6E" w:rsidP="00640820">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p>
    <w:p w14:paraId="0CA001BF" w14:textId="77777777" w:rsidR="001E0E29" w:rsidRPr="00640820" w:rsidRDefault="001E0E2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декабря 1941 г. "Харрикейны" стали поступать в части ПВО, но с конца 1942 г. этот процесс резко ускорился. Этому способствовало прибытие из Англии самолетов модификации IIС. Первым из них, предположительно, был истребитель с номером В428. В то время ни один советский истребитель не имел столь мощного вооружения, как четыре 20мм пушки. В то же время испытания "Харрикейна"IIС в  НИИ   ВВС  резонно показали, что он еще тихоходнее, чем IIВ, из-за большого веса. Он совершенно не годился для борьбы с истребителями, а вот для вражеских бомбардировщиков еще мог представлять собой немалую опасность. Поэтому неудивительно, что большинство поставленных в СССР машин этого типа попало в полки ПВО. Ими располагал, например, 964-й иап, прикрывавший в 1943-44 годах Тихвин и Ладожскую трассу. Если на 1 июля 1943 г. в ПВО было 495 "Харрикейнов", то на 1 июня 1944 г. - уже 711. Они прослужили там всю войну, на их боевом счету 252 самолета врага (15129).</w:t>
      </w:r>
    </w:p>
    <w:p w14:paraId="716FAE5C" w14:textId="77777777" w:rsidR="001E0E29" w:rsidRPr="00640820" w:rsidRDefault="001E0E29" w:rsidP="00640820">
      <w:pPr>
        <w:spacing w:after="0" w:line="240" w:lineRule="auto"/>
        <w:jc w:val="both"/>
        <w:rPr>
          <w:rFonts w:ascii="Times New Roman" w:hAnsi="Times New Roman"/>
          <w:color w:val="000000" w:themeColor="text1"/>
          <w:sz w:val="16"/>
          <w:szCs w:val="16"/>
        </w:rPr>
      </w:pPr>
    </w:p>
    <w:p w14:paraId="6481058B" w14:textId="77777777" w:rsidR="00E5656F" w:rsidRPr="00640820" w:rsidRDefault="00E5656F"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С декабря 1941 г. на М-82 велись испытания и доводка аппаратуры НВ. В силу загрузки завода № 296 оптическими изделиями, отсутствия квалифицирован</w:t>
      </w:r>
      <w:r w:rsidRPr="00640820">
        <w:rPr>
          <w:rFonts w:ascii="Times New Roman" w:cs="Times New Roman"/>
          <w:color w:val="000000" w:themeColor="text1"/>
          <w:spacing w:val="0"/>
        </w:rPr>
        <w:softHyphen/>
        <w:t>ных кадров и нужного типажа оборудования, а также отсутствия опытной базы у ОКБ, лишь к маю месяцу собрали и отрегулировали 5 насосов для испытаний на М-82 (15813).</w:t>
      </w:r>
    </w:p>
    <w:p w14:paraId="44BE84BB" w14:textId="77777777" w:rsidR="00E5656F" w:rsidRPr="00640820" w:rsidRDefault="00E5656F" w:rsidP="00640820">
      <w:pPr>
        <w:pStyle w:val="27"/>
        <w:shd w:val="clear" w:color="auto" w:fill="auto"/>
        <w:spacing w:after="0" w:line="240" w:lineRule="auto"/>
        <w:ind w:firstLine="0"/>
        <w:rPr>
          <w:rFonts w:ascii="Times New Roman" w:cs="Times New Roman"/>
          <w:color w:val="000000" w:themeColor="text1"/>
          <w:spacing w:val="0"/>
        </w:rPr>
      </w:pPr>
    </w:p>
    <w:p w14:paraId="5BF6CE9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заводу № 16 дали задание готовиться к серийному производству МБ-100. Было построено несколько опытных образцов МБ-100, проходивших стендовые испытания в Казани. Позднее они испытывались и в воздухе на бомбардировщике Ер-2. Работы по двигателю велись до 1945 г. Раз</w:t>
      </w:r>
      <w:r w:rsidRPr="00640820">
        <w:rPr>
          <w:rFonts w:ascii="Times New Roman" w:hAnsi="Times New Roman"/>
          <w:color w:val="000000" w:themeColor="text1"/>
          <w:sz w:val="16"/>
          <w:szCs w:val="16"/>
        </w:rPr>
        <w:softHyphen/>
        <w:t>витием МБ-100 являлись двигатели МБ-102 и МБ-103, изготовленные в опытных образцах и проходившие стендовые испытания.</w:t>
      </w:r>
    </w:p>
    <w:p w14:paraId="2660CD8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Эскизный проект МБ-100 подготовили в 1939-1940 гг. в ОТБ НКВД в Москве под руководством А.М. Добротворского. Далее он дорабатывался в конструкторском бюро завода № 27 и в бюро завода № 16 после их слияния.</w:t>
      </w:r>
    </w:p>
    <w:p w14:paraId="6AB976E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Опытные образцы МБ-100 были изготовлены и проходили стендовые, а затем летные испытания. Последние проводились на самолете Ер-2 в марте — июне 1944 г. Очень большие размеры двигателя затрудняли его капотирование.</w:t>
      </w:r>
    </w:p>
    <w:p w14:paraId="6812707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Характеристики:</w:t>
      </w:r>
    </w:p>
    <w:p w14:paraId="2671D0E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24-цшшдровый, Х-образный рядный, четырехтактный, водяного охлаждения, редукторный, с одноступенчатым односкоростным ПЦН;</w:t>
      </w:r>
    </w:p>
    <w:p w14:paraId="776762C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диаметр цилиндра/ход поршня 148/170 мм;</w:t>
      </w:r>
    </w:p>
    <w:p w14:paraId="5444CBE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степень сжатия 6,6;</w:t>
      </w:r>
    </w:p>
    <w:p w14:paraId="6E500AF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объем 70,0 л. Известны варианты:</w:t>
      </w:r>
    </w:p>
    <w:p w14:paraId="0FC113E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МБ-100 с мощностью 2100/2200 л.с., вес 1325 кг (по проекту 1300 кг, по заданию 1250 кг).</w:t>
      </w:r>
    </w:p>
    <w:p w14:paraId="7D252FB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МБ-100Ф с мощностью 2100/2450 л.с., проходил заводские испытания в октябре 1942 г.</w:t>
      </w:r>
    </w:p>
    <w:p w14:paraId="16A3DB5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МБ-100 устанавливался на доработанный серийный бомбардировщик Ер-2. Его применение также предусматривалось на одном из истребителей, разрабатывавшихся в конструкторском бюро А.С. Яковлева (11952).</w:t>
      </w:r>
    </w:p>
    <w:p w14:paraId="27236A0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A6A5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декабре 1941 г. происходит объединение заводов № 16 и № 27 в Казани. Директором назначается Сухоруков В.И., у завода сохраняется воронежский номер. Но и после слияния вместо 435 моторов по декабрьскому плану объединенный завод произвел лишь 66 моторов. По мнению директора завода, «основными причинами </w:t>
      </w:r>
      <w:r w:rsidRPr="00640820">
        <w:rPr>
          <w:rFonts w:ascii="Times New Roman" w:hAnsi="Times New Roman"/>
          <w:color w:val="000000" w:themeColor="text1"/>
          <w:sz w:val="16"/>
          <w:szCs w:val="16"/>
        </w:rPr>
        <w:lastRenderedPageBreak/>
        <w:t>невыполнения плана явились: недостаток рабочей силы, низкая квалификация имеющихся рабочих и низкая трудовая дисциплина. Вместо призванных на фронт квалифицированных рабочих, на завод пришли подростки, домохозяйки, старики. Их надо было обучить, а это требовало времени, которого не хватало» Совершенно неудовлетворительно использовалось импортное оборудование. Простаивали уникальные копировально-фрезерные станки «Штарфрезмашинен», не использовался станок «Колониаль-Брош» для протяжки замка-шатуна. Этот станок, помимо огромной производительности, полностью исключал слесарные работы, которые на заводе были менее всего обеспечены кадрами. Были захламлены все без исключения заводские цеха, металлическая стружка и мусор не вывозились. Низкая квалификация кадров сказывалась и на общей культуре производства. Обращение с готовыми моторами было варварское. Коленчатый вал, уже отполированный, тащился с помощью веревки по полу. Полированные готовые изделия сваливались без тары в кучу. Все это вело к забоинам и отбраковке.</w:t>
      </w:r>
    </w:p>
    <w:p w14:paraId="583339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 декабрь 1941 г. с заводских испытаний было возвращено 12 моторов (17,4%) и с контрольных испытаний – 56 моторов (51,3%). В </w:t>
      </w:r>
      <w:r w:rsidRPr="00640820">
        <w:rPr>
          <w:rFonts w:ascii="Times New Roman" w:hAnsi="Times New Roman"/>
          <w:color w:val="000000" w:themeColor="text1"/>
          <w:sz w:val="16"/>
          <w:szCs w:val="16"/>
          <w:lang w:val="en-US"/>
        </w:rPr>
        <w:t>IV</w:t>
      </w:r>
      <w:r w:rsidRPr="00640820">
        <w:rPr>
          <w:rFonts w:ascii="Times New Roman" w:hAnsi="Times New Roman"/>
          <w:color w:val="000000" w:themeColor="text1"/>
          <w:sz w:val="16"/>
          <w:szCs w:val="16"/>
        </w:rPr>
        <w:t xml:space="preserve"> квартале 1941 г. завод должен был изготовить: в октябре – 240 моторов, в ноябре – 340 моторов и в декабре – 435 моторов. Фактически было изготовлено: в октябре – 66 моторов, в ноябре – 59 моторов и в декабре – 52 мотора. В первой половине 1942 г. завод по-прежнему не мог выполнить запланированное задание по выпуску моторов. На соседнем авиационном заводе № 22 под угрозу срыва встал план выпуска фронтовых пикирующих бомбардировщиков Пе-2 (12049).</w:t>
      </w:r>
    </w:p>
    <w:p w14:paraId="4023A5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29B36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на 115 завод из НКАП поступили два Харрикейна, полученные по ленд-лизу для перевооружения и перед новым годом в Люберцах провели летные испытания с 2хШВАК и 2хБС. Производство стали организовывать на 81 и 89, а также в частях и переделали 1200, а вскоре на 81 стали перевооружать Бостон-3. Спроектировали носовую, люковую и среднюю (ОКБ НКАП во главе с Шульманом) и испытывали в Ногинске (570,31).</w:t>
      </w:r>
    </w:p>
    <w:p w14:paraId="079723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C36D3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А.Я.Щербаков сделал для У-2 подвесные санитарные кассеты по два сидячих места каждая. Раненные сидели спина к спине и их готовы были на уровне нижних крыльев а ноги в кассете (1076,719).</w:t>
      </w:r>
    </w:p>
    <w:p w14:paraId="6E6488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1DCC22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в справке, подготовленной специалис</w:t>
      </w:r>
      <w:r w:rsidRPr="00640820">
        <w:rPr>
          <w:rFonts w:ascii="Times New Roman" w:hAnsi="Times New Roman"/>
          <w:color w:val="000000" w:themeColor="text1"/>
          <w:sz w:val="16"/>
          <w:szCs w:val="16"/>
        </w:rPr>
        <w:softHyphen/>
        <w:t>тами Управления самолетов и моторов ГУ ВВС КА, АМ—37 упоминается в качестве се</w:t>
      </w:r>
      <w:r w:rsidRPr="00640820">
        <w:rPr>
          <w:rFonts w:ascii="Times New Roman" w:hAnsi="Times New Roman"/>
          <w:color w:val="000000" w:themeColor="text1"/>
          <w:sz w:val="16"/>
          <w:szCs w:val="16"/>
        </w:rPr>
        <w:softHyphen/>
        <w:t>рийного двигателя, освоенного в производстве на за</w:t>
      </w:r>
      <w:r w:rsidRPr="00640820">
        <w:rPr>
          <w:rFonts w:ascii="Times New Roman" w:hAnsi="Times New Roman"/>
          <w:color w:val="000000" w:themeColor="text1"/>
          <w:sz w:val="16"/>
          <w:szCs w:val="16"/>
        </w:rPr>
        <w:softHyphen/>
        <w:t>воде № 24 наряду с АМ—35А и АМ—38. Но АМ—37 не устанавливался ни на одном из серийных самолетов (9984).</w:t>
      </w:r>
    </w:p>
    <w:p w14:paraId="2D10E92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CE0DC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А.А.М. высказал идею об использовании поршневого двигателя в качест</w:t>
      </w:r>
      <w:r w:rsidRPr="00640820">
        <w:rPr>
          <w:rFonts w:ascii="Times New Roman" w:hAnsi="Times New Roman"/>
          <w:color w:val="000000" w:themeColor="text1"/>
          <w:sz w:val="16"/>
          <w:szCs w:val="16"/>
        </w:rPr>
        <w:softHyphen/>
        <w:t>ве газогенератора для преобразования тепловой энергии выхлопных газов мотора в специальных турбореакторах. Газовая турбина, сочлененная с валом винта через шестеренчатый редуктор, позволяла преобразовать энергию газов в дополнительную мощность. По рас</w:t>
      </w:r>
      <w:r w:rsidRPr="00640820">
        <w:rPr>
          <w:rFonts w:ascii="Times New Roman" w:hAnsi="Times New Roman"/>
          <w:color w:val="000000" w:themeColor="text1"/>
          <w:sz w:val="16"/>
          <w:szCs w:val="16"/>
        </w:rPr>
        <w:softHyphen/>
        <w:t>четам Микулина, можно было ожидать при этом прироста мощнос</w:t>
      </w:r>
      <w:r w:rsidRPr="00640820">
        <w:rPr>
          <w:rFonts w:ascii="Times New Roman" w:hAnsi="Times New Roman"/>
          <w:color w:val="000000" w:themeColor="text1"/>
          <w:sz w:val="16"/>
          <w:szCs w:val="16"/>
        </w:rPr>
        <w:softHyphen/>
        <w:t>ти на 30-50% и при этом добиться снижения удельного расхода топлива. О своей новой идее Микулин сообщил Сталину шифров</w:t>
      </w:r>
      <w:r w:rsidRPr="00640820">
        <w:rPr>
          <w:rFonts w:ascii="Times New Roman" w:hAnsi="Times New Roman"/>
          <w:color w:val="000000" w:themeColor="text1"/>
          <w:sz w:val="16"/>
          <w:szCs w:val="16"/>
        </w:rPr>
        <w:softHyphen/>
        <w:t>кой, предложив реализовать ее на моторах АМ-37 и АМ-38. Шахурин поддержал идею и дал соответствующие распоряжения Микулину и директору завода Жезлову. По существу, это было оче</w:t>
      </w:r>
      <w:r w:rsidRPr="00640820">
        <w:rPr>
          <w:rFonts w:ascii="Times New Roman" w:hAnsi="Times New Roman"/>
          <w:color w:val="000000" w:themeColor="text1"/>
          <w:sz w:val="16"/>
          <w:szCs w:val="16"/>
        </w:rPr>
        <w:softHyphen/>
        <w:t>редным важнейшим достижением в направлении существенного по</w:t>
      </w:r>
      <w:r w:rsidRPr="00640820">
        <w:rPr>
          <w:rFonts w:ascii="Times New Roman" w:hAnsi="Times New Roman"/>
          <w:color w:val="000000" w:themeColor="text1"/>
          <w:sz w:val="16"/>
          <w:szCs w:val="16"/>
        </w:rPr>
        <w:softHyphen/>
        <w:t>вышения удельных мощностей поршневых моторов. Правда, из-за технологических трудностей в ходе войны реализовать идею Мику-лнна не удалось. Она нашла воплощение в сверхмощных поршневых моторах, разработанных уже после войны А.Д.Швецовым и В.А. Добрыниным (10781).</w:t>
      </w:r>
    </w:p>
    <w:p w14:paraId="07F29D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1A332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в Омске стал действовать новый единый за</w:t>
      </w:r>
      <w:r w:rsidRPr="00640820">
        <w:rPr>
          <w:rFonts w:ascii="Times New Roman" w:hAnsi="Times New Roman"/>
          <w:color w:val="000000" w:themeColor="text1"/>
          <w:sz w:val="16"/>
          <w:szCs w:val="16"/>
        </w:rPr>
        <w:softHyphen/>
        <w:t>вод Наркомата авиационной промышленно</w:t>
      </w:r>
      <w:r w:rsidRPr="00640820">
        <w:rPr>
          <w:rFonts w:ascii="Times New Roman" w:hAnsi="Times New Roman"/>
          <w:color w:val="000000" w:themeColor="text1"/>
          <w:sz w:val="16"/>
          <w:szCs w:val="16"/>
        </w:rPr>
        <w:softHyphen/>
        <w:t>сти № 20, вместо завода № 495. Сначала на базе завода сельскохозяйственного маши</w:t>
      </w:r>
      <w:r w:rsidRPr="00640820">
        <w:rPr>
          <w:rFonts w:ascii="Times New Roman" w:hAnsi="Times New Roman"/>
          <w:color w:val="000000" w:themeColor="text1"/>
          <w:sz w:val="16"/>
          <w:szCs w:val="16"/>
        </w:rPr>
        <w:softHyphen/>
        <w:t>ностроения имени Куйбышева и частично прибывшего оборудования завода № 20 был организован новый завод № 495. Завод № 20 (директор завода И. Т. Борисов) работает в этот период лучше других заводов авиационной промышленности Омской обла</w:t>
      </w:r>
      <w:r w:rsidRPr="00640820">
        <w:rPr>
          <w:rFonts w:ascii="Times New Roman" w:hAnsi="Times New Roman"/>
          <w:color w:val="000000" w:themeColor="text1"/>
          <w:sz w:val="16"/>
          <w:szCs w:val="16"/>
        </w:rPr>
        <w:softHyphen/>
        <w:t>сти. Этот завод прибыл в ноябре 1941 г., то есть значительно позже других заводов это</w:t>
      </w:r>
      <w:r w:rsidRPr="00640820">
        <w:rPr>
          <w:rFonts w:ascii="Times New Roman" w:hAnsi="Times New Roman"/>
          <w:color w:val="000000" w:themeColor="text1"/>
          <w:sz w:val="16"/>
          <w:szCs w:val="16"/>
        </w:rPr>
        <w:softHyphen/>
        <w:t>го наркомата. Начался на этом заводе выпуск следующей продукции: бензонасосов для всех моторов, маслонасо</w:t>
      </w:r>
      <w:r w:rsidRPr="00640820">
        <w:rPr>
          <w:rFonts w:ascii="Times New Roman" w:hAnsi="Times New Roman"/>
          <w:color w:val="000000" w:themeColor="text1"/>
          <w:sz w:val="16"/>
          <w:szCs w:val="16"/>
        </w:rPr>
        <w:softHyphen/>
        <w:t>сов для гидросистем, регуляторов для винта с переменным шагом, аварийных ручных на</w:t>
      </w:r>
      <w:r w:rsidRPr="00640820">
        <w:rPr>
          <w:rFonts w:ascii="Times New Roman" w:hAnsi="Times New Roman"/>
          <w:color w:val="000000" w:themeColor="text1"/>
          <w:sz w:val="16"/>
          <w:szCs w:val="16"/>
        </w:rPr>
        <w:softHyphen/>
        <w:t>сосов, маслофильтров и других агрегатов для авиамоторов и самолетов (ЦДНИОО, Ф. 17. Оп. 1. Д. 2984. Л. 16.). В декабре уже дает продукции 60,0 % и в январе 1942 г. – 100 %. Монтаж оборудования завода был проведен организо</w:t>
      </w:r>
      <w:r w:rsidRPr="00640820">
        <w:rPr>
          <w:rFonts w:ascii="Times New Roman" w:hAnsi="Times New Roman"/>
          <w:color w:val="000000" w:themeColor="text1"/>
          <w:sz w:val="16"/>
          <w:szCs w:val="16"/>
        </w:rPr>
        <w:softHyphen/>
        <w:t>ванно и быстро (ЦДНИОО, Ф. 17. Оп. 1. Д. 2977. Л. 13.) (11896).</w:t>
      </w:r>
    </w:p>
    <w:p w14:paraId="6CE27D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7E47434" w14:textId="77777777" w:rsidR="0052262F" w:rsidRPr="00640820" w:rsidRDefault="0052262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доводка самолёта БИ была продолжена в Билимбае. 25 апреля 1942 г. опытный самолёт был перебазирован на аэродром НИИ ВВС в Кольцово. 30 апреля были осуществлены пробные включения двигателя, 2 мая – пробежка по аэродрому, 13 мая – подлёт длиной около 50 м на высоте около 1 метра. 15 мая 1942 г. самолёт БИ-1 под управлением летчика Г.Я. Бахчиванджи впервые взлетел с использованием ракетного двигателя. Полет продолжался 3 мин 9 сек, за 60 сек работы ЖРД была достигнута высота 840 метров, при максимальной скорости 400 км/ч и максимальной скороподъемности 23 м/с. В 1943 г. было осуществлено ещё шесть полётов на втором (БИ-2) и третьем (БИ-3) экземплярах самолёта. Успешные полеты дали основания для спешного начала строительства войсковой серии машин под наименованием БИ-ВС (ВС-войсковая серия). Это серийное производство было развернуто на авиазаводе №381 в Нижнем Тагиле. Между тем испытания истребителя продолжались. Один из полётов выполнял К.А. Груздев, остальные 256 – Г.Я. Бахчиванджи (18250).</w:t>
      </w:r>
    </w:p>
    <w:p w14:paraId="224AC67C" w14:textId="77777777" w:rsidR="0052262F" w:rsidRPr="00640820" w:rsidRDefault="0052262F" w:rsidP="00640820">
      <w:pPr>
        <w:spacing w:after="0" w:line="240" w:lineRule="auto"/>
        <w:jc w:val="both"/>
        <w:rPr>
          <w:rFonts w:ascii="Times New Roman" w:hAnsi="Times New Roman"/>
          <w:color w:val="000000" w:themeColor="text1"/>
          <w:sz w:val="16"/>
          <w:szCs w:val="16"/>
        </w:rPr>
      </w:pPr>
    </w:p>
    <w:p w14:paraId="29AD43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О.К.А. в Тюмени начал проектирование А-40 (ЛТ, КТ) под Т-60 (94,89).</w:t>
      </w:r>
    </w:p>
    <w:p w14:paraId="7702CD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1A4D9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О.К.А. в Тюмени начал работы по проектированию планера ЛТ (первоначально А-40, позже и КТ), а 26 апреля 1942 планер был построен (7483, 79).</w:t>
      </w:r>
    </w:p>
    <w:p w14:paraId="6C2C2F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62506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О.К.А. начал разработку планера КТ А-40 для Т-60 (2676).</w:t>
      </w:r>
    </w:p>
    <w:p w14:paraId="057DE1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94C7646"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в Тюмени, где в эвакуа</w:t>
      </w:r>
      <w:r w:rsidRPr="00640820">
        <w:rPr>
          <w:rFonts w:ascii="Times New Roman" w:hAnsi="Times New Roman"/>
          <w:color w:val="000000" w:themeColor="text1"/>
          <w:sz w:val="16"/>
          <w:szCs w:val="16"/>
        </w:rPr>
        <w:softHyphen/>
        <w:t>ции находилось КБ Антонова, началась разработка планера «Летающий танк». Для транспортирования был выбран легкий танк Т-60. Сначала проект обозна</w:t>
      </w:r>
      <w:r w:rsidRPr="00640820">
        <w:rPr>
          <w:rFonts w:ascii="Times New Roman" w:hAnsi="Times New Roman"/>
          <w:color w:val="000000" w:themeColor="text1"/>
          <w:sz w:val="16"/>
          <w:szCs w:val="16"/>
        </w:rPr>
        <w:softHyphen/>
        <w:t>чался А-40, потом ЛТ — «Летающий танк», но затем в советской литературе появилось название «Крылья танка» или КТ. Планер А-40 представлял собой бипланную ко</w:t>
      </w:r>
      <w:r w:rsidRPr="00640820">
        <w:rPr>
          <w:rFonts w:ascii="Times New Roman" w:hAnsi="Times New Roman"/>
          <w:color w:val="000000" w:themeColor="text1"/>
          <w:sz w:val="16"/>
          <w:szCs w:val="16"/>
        </w:rPr>
        <w:softHyphen/>
        <w:t>робку с размахом 18 м. От нижнего крыла шли две хвостовые балки, к которым крепились стабилизатор и два киля, бывшие продолжением балок. Планер че</w:t>
      </w:r>
      <w:r w:rsidRPr="00640820">
        <w:rPr>
          <w:rFonts w:ascii="Times New Roman" w:hAnsi="Times New Roman"/>
          <w:color w:val="000000" w:themeColor="text1"/>
          <w:sz w:val="16"/>
          <w:szCs w:val="16"/>
        </w:rPr>
        <w:softHyphen/>
        <w:t>тырьмя замками крепились к танку. Конструкцион</w:t>
      </w:r>
      <w:r w:rsidRPr="00640820">
        <w:rPr>
          <w:rFonts w:ascii="Times New Roman" w:hAnsi="Times New Roman"/>
          <w:color w:val="000000" w:themeColor="text1"/>
          <w:sz w:val="16"/>
          <w:szCs w:val="16"/>
        </w:rPr>
        <w:softHyphen/>
        <w:t>ные материалы — дерево и полотно. После посадки планер сбрасывался, а танк вступал в бой. Экипаж танка состоял из двух человек — механика-водителя (он же пилот) и стрелка-командира. Танк дорабаты</w:t>
      </w:r>
      <w:r w:rsidRPr="00640820">
        <w:rPr>
          <w:rFonts w:ascii="Times New Roman" w:hAnsi="Times New Roman"/>
          <w:color w:val="000000" w:themeColor="text1"/>
          <w:sz w:val="16"/>
          <w:szCs w:val="16"/>
        </w:rPr>
        <w:softHyphen/>
        <w:t>вался — на нем установили специальное оптическое устройство (перископ) для улучшения обзора для пи</w:t>
      </w:r>
      <w:r w:rsidRPr="00640820">
        <w:rPr>
          <w:rFonts w:ascii="Times New Roman" w:hAnsi="Times New Roman"/>
          <w:color w:val="000000" w:themeColor="text1"/>
          <w:sz w:val="16"/>
          <w:szCs w:val="16"/>
        </w:rPr>
        <w:softHyphen/>
        <w:t>лота, сделали проводку системы управления, уста</w:t>
      </w:r>
      <w:r w:rsidRPr="00640820">
        <w:rPr>
          <w:rFonts w:ascii="Times New Roman" w:hAnsi="Times New Roman"/>
          <w:color w:val="000000" w:themeColor="text1"/>
          <w:sz w:val="16"/>
          <w:szCs w:val="16"/>
        </w:rPr>
        <w:softHyphen/>
        <w:t>новили буксировочный замок и замки для крепления планера. Перископ был, конечно, необходим, но что</w:t>
      </w:r>
      <w:r w:rsidRPr="00640820">
        <w:rPr>
          <w:rFonts w:ascii="Times New Roman" w:hAnsi="Times New Roman"/>
          <w:color w:val="000000" w:themeColor="text1"/>
          <w:sz w:val="16"/>
          <w:szCs w:val="16"/>
        </w:rPr>
        <w:softHyphen/>
        <w:t>бы пользоваться им, необходимо было приобрести определенные навыки. Во время испытаний планера КТ башню с танка Т-60 сняли для уменьшения полетного веса (12300).</w:t>
      </w:r>
    </w:p>
    <w:p w14:paraId="15623E7D" w14:textId="77777777" w:rsidR="00045010" w:rsidRPr="00640820" w:rsidRDefault="00045010" w:rsidP="00640820">
      <w:pPr>
        <w:spacing w:after="0" w:line="240" w:lineRule="auto"/>
        <w:jc w:val="both"/>
        <w:rPr>
          <w:rFonts w:ascii="Times New Roman" w:hAnsi="Times New Roman"/>
          <w:color w:val="000000" w:themeColor="text1"/>
          <w:sz w:val="16"/>
          <w:szCs w:val="16"/>
        </w:rPr>
      </w:pPr>
    </w:p>
    <w:p w14:paraId="7503F9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начались работы над планером, получивший индекс «А-40». Он стал именоваться «КТ-60» («Крылья танка»). Для испытаний использовался серийный легкий танк «Т-60». По расчетам конструкторов, его ходовая часть должна была выдерживать на</w:t>
      </w:r>
      <w:r w:rsidRPr="00640820">
        <w:rPr>
          <w:rFonts w:ascii="Times New Roman" w:hAnsi="Times New Roman"/>
          <w:color w:val="000000" w:themeColor="text1"/>
          <w:sz w:val="16"/>
          <w:szCs w:val="16"/>
        </w:rPr>
        <w:softHyphen/>
        <w:t>грузки при взлете. Предполагалось, что танк будет отцепляться от буксировщика за 20–30 км от места посадки, проделывая оставшийся путь как планер. Планер построили в апреле 1942 г., после чего перевезли для испытаний в подмосковный Жуковский. Проводил их летчик-испытатель С. Анохин. В качестве буксировщика использовали бомбардиров</w:t>
      </w:r>
      <w:r w:rsidRPr="00640820">
        <w:rPr>
          <w:rFonts w:ascii="Times New Roman" w:hAnsi="Times New Roman"/>
          <w:color w:val="000000" w:themeColor="text1"/>
          <w:sz w:val="16"/>
          <w:szCs w:val="16"/>
        </w:rPr>
        <w:softHyphen/>
        <w:t xml:space="preserve">щик «ТБ-3». Ввиду отсутствия более мощного буксировщика и прекращения выпуска танков типа «Т-60» испытания были прерваны. </w:t>
      </w:r>
    </w:p>
    <w:p w14:paraId="349431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43FB6E4" w14:textId="77777777" w:rsidR="00F63D39" w:rsidRPr="00640820" w:rsidRDefault="00F63D3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года темой десантируемого Т-60 занялся известный впоследствии авиационный конструктор О.К. Антонов, в то время занимавший должность главного инженера Планерного управления Наркомата авиационной промышленности. Для работ по теме планера с ГАЗ в конце декабря 1941 года был подан один Т-60.</w:t>
      </w:r>
    </w:p>
    <w:p w14:paraId="0B58096B" w14:textId="77777777" w:rsidR="00F63D39" w:rsidRPr="00640820" w:rsidRDefault="00F63D3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Как и целый ряд аналогичных проектов, десантный планер, получивший индекс КТ (Крылья Танка, также использовался индекс А-40), представлял собой съёмную конструкцию. Планер, выполненный по бипланной схеме, крепился в четырёх точках непосредственно на танк. После посадки механик-водитель, выполнявший роль пилота, поворачивал специальную рукоятку, в результате чего происходил сброс планера. По замыслу Антонова, КТ планировалось изготовлять из недефицитных материалов. Планер собирались делать максимально дешёвым, что для фактически одноразовой конструкции было немаловажным показателем. Общая масса планера вместе с танком составила 7,3 т, КТ имел размах крыла 18 м (18244).</w:t>
      </w:r>
    </w:p>
    <w:p w14:paraId="4B6E1760" w14:textId="77777777" w:rsidR="00F63D39" w:rsidRPr="00640820" w:rsidRDefault="00F63D39" w:rsidP="00640820">
      <w:pPr>
        <w:spacing w:after="0" w:line="240" w:lineRule="auto"/>
        <w:jc w:val="both"/>
        <w:rPr>
          <w:rFonts w:ascii="Times New Roman" w:hAnsi="Times New Roman"/>
          <w:color w:val="000000" w:themeColor="text1"/>
          <w:sz w:val="16"/>
          <w:szCs w:val="16"/>
        </w:rPr>
      </w:pPr>
    </w:p>
    <w:p w14:paraId="59839E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декабря 1941 Сергей Николаевич Анохин в армии, ему присвоено воинское звание "старший лейтенант". Он назначен командиром отряда испытательной авиаэскадрильи Воздушно-десантных войск и проводит испытания десантной техники на Опытно-испытательном полигоне ВДВ в Медвежьих Озёрах. В одном из полётов на планере в 1942-м в воздухе сорвалась обшивка с центроплана и разрушилась проводка управления элеронами. Создалась критическая ситуация. Однако Анохин не бросил опытную машину и сумел мастерски выполнить посадку. Зимой 1942 года у самолёта-буксировщика СБ. пилотируемого Сергеем Николаевичем, оторвалась от ограничительного троса лыжа (5996).</w:t>
      </w:r>
    </w:p>
    <w:p w14:paraId="2976EC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25FE5F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был пик падения авиапроизводства - до 600 машин (6,131). Назначили спецкомиссию проверить работу НКАП.</w:t>
      </w:r>
    </w:p>
    <w:p w14:paraId="44058D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41F66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декабре 1941 авиапромышленность произвела лишь 600 машин — это стало самым низким показателем за все года: войны (Самолётостроение в СССР. 1917—1945. Кн. 2. М., 1994. С. 214). Декабрьский план по сдаче самолётов был выполнен на 38,8 %, а по сдаче авиамоторов — на 23,1 % (История Великой Отечественной войны </w:t>
      </w:r>
      <w:r w:rsidRPr="00640820">
        <w:rPr>
          <w:rFonts w:ascii="Times New Roman" w:hAnsi="Times New Roman"/>
          <w:color w:val="000000" w:themeColor="text1"/>
          <w:sz w:val="16"/>
          <w:szCs w:val="16"/>
        </w:rPr>
        <w:lastRenderedPageBreak/>
        <w:t>Советского Союза 1941—1945</w:t>
      </w:r>
      <w:r w:rsidRPr="00640820">
        <w:rPr>
          <w:rFonts w:ascii="Times New Roman" w:hAnsi="Times New Roman"/>
          <w:smallCaps/>
          <w:color w:val="000000" w:themeColor="text1"/>
          <w:sz w:val="16"/>
          <w:szCs w:val="16"/>
          <w:lang w:val="en-US"/>
        </w:rPr>
        <w:t>it</w:t>
      </w:r>
      <w:r w:rsidRPr="00640820">
        <w:rPr>
          <w:rFonts w:ascii="Times New Roman" w:hAnsi="Times New Roman"/>
          <w:smallCaps/>
          <w:color w:val="000000" w:themeColor="text1"/>
          <w:sz w:val="16"/>
          <w:szCs w:val="16"/>
        </w:rPr>
        <w:t xml:space="preserve">. </w:t>
      </w:r>
      <w:r w:rsidRPr="00640820">
        <w:rPr>
          <w:rFonts w:ascii="Times New Roman" w:hAnsi="Times New Roman"/>
          <w:color w:val="000000" w:themeColor="text1"/>
          <w:sz w:val="16"/>
          <w:szCs w:val="16"/>
        </w:rPr>
        <w:t>Т. 2. М„ 1961, С. 160). Надо учитывать, что к концу 1941 г. большая часть совет</w:t>
      </w:r>
      <w:r w:rsidRPr="00640820">
        <w:rPr>
          <w:rFonts w:ascii="Times New Roman" w:hAnsi="Times New Roman"/>
          <w:color w:val="000000" w:themeColor="text1"/>
          <w:sz w:val="16"/>
          <w:szCs w:val="16"/>
        </w:rPr>
        <w:softHyphen/>
        <w:t>ской авиаиндустрии находилась «на колёсах». Фактически выпуск истребителей продолжался только на заводах № 21 и 292, а авиамоторостроение было представлено лишь заво</w:t>
      </w:r>
      <w:r w:rsidRPr="00640820">
        <w:rPr>
          <w:rFonts w:ascii="Times New Roman" w:hAnsi="Times New Roman"/>
          <w:color w:val="000000" w:themeColor="text1"/>
          <w:sz w:val="16"/>
          <w:szCs w:val="16"/>
        </w:rPr>
        <w:softHyphen/>
        <w:t>дом № 19. Положение с авиавыпуском складывалось столь остро, что в конце ноября — начале декабря 1941 г. Сталин лично направил несколько телеграмм директорам куйбышев</w:t>
      </w:r>
      <w:r w:rsidRPr="00640820">
        <w:rPr>
          <w:rFonts w:ascii="Times New Roman" w:hAnsi="Times New Roman"/>
          <w:color w:val="000000" w:themeColor="text1"/>
          <w:sz w:val="16"/>
          <w:szCs w:val="16"/>
        </w:rPr>
        <w:softHyphen/>
        <w:t>ских самолетостроительных предприятий А.Т. Третьякову и М.Б. Шенкману, а также секретарю Саратовского обкома пар</w:t>
      </w:r>
      <w:r w:rsidRPr="00640820">
        <w:rPr>
          <w:rFonts w:ascii="Times New Roman" w:hAnsi="Times New Roman"/>
          <w:color w:val="000000" w:themeColor="text1"/>
          <w:sz w:val="16"/>
          <w:szCs w:val="16"/>
        </w:rPr>
        <w:softHyphen/>
        <w:t>тии И. А. Власову и директору самолетостроительного завода И.С. Левину, в которых содержалось требование немедленно форсировать сдачу авиапродукции, с предупреждением, что в противном случае директора будут преданы суду военно</w:t>
      </w:r>
      <w:r w:rsidRPr="00640820">
        <w:rPr>
          <w:rFonts w:ascii="Times New Roman" w:hAnsi="Times New Roman"/>
          <w:color w:val="000000" w:themeColor="text1"/>
          <w:sz w:val="16"/>
          <w:szCs w:val="16"/>
        </w:rPr>
        <w:softHyphen/>
        <w:t>го трибунала за подрыв обороны страны (12011).</w:t>
      </w:r>
    </w:p>
    <w:p w14:paraId="63BB27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DE158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ГКО было вынуж</w:t>
      </w:r>
      <w:r w:rsidRPr="00640820">
        <w:rPr>
          <w:rFonts w:ascii="Times New Roman" w:hAnsi="Times New Roman"/>
          <w:color w:val="000000" w:themeColor="text1"/>
          <w:sz w:val="16"/>
          <w:szCs w:val="16"/>
        </w:rPr>
        <w:softHyphen/>
        <w:t>дено констатировать, что наркоматы черной, цветной метал</w:t>
      </w:r>
      <w:r w:rsidRPr="00640820">
        <w:rPr>
          <w:rFonts w:ascii="Times New Roman" w:hAnsi="Times New Roman"/>
          <w:color w:val="000000" w:themeColor="text1"/>
          <w:sz w:val="16"/>
          <w:szCs w:val="16"/>
        </w:rPr>
        <w:softHyphen/>
        <w:t>лургии, электропромышленности и химической промышлен</w:t>
      </w:r>
      <w:r w:rsidRPr="00640820">
        <w:rPr>
          <w:rFonts w:ascii="Times New Roman" w:hAnsi="Times New Roman"/>
          <w:color w:val="000000" w:themeColor="text1"/>
          <w:sz w:val="16"/>
          <w:szCs w:val="16"/>
        </w:rPr>
        <w:softHyphen/>
        <w:t>ности не выполнили постановления от 21 ноября, поставки сырья и деталей заводам НКАП были сорваны (</w:t>
      </w:r>
      <w:r w:rsidRPr="00640820">
        <w:rPr>
          <w:rFonts w:ascii="Times New Roman" w:hAnsi="Times New Roman"/>
          <w:iCs/>
          <w:color w:val="000000" w:themeColor="text1"/>
          <w:sz w:val="16"/>
          <w:szCs w:val="16"/>
        </w:rPr>
        <w:t>Захарченко А.В.</w:t>
      </w:r>
      <w:r w:rsidRPr="00640820">
        <w:rPr>
          <w:rFonts w:ascii="Times New Roman" w:hAnsi="Times New Roman"/>
          <w:color w:val="000000" w:themeColor="text1"/>
          <w:sz w:val="16"/>
          <w:szCs w:val="16"/>
        </w:rPr>
        <w:t xml:space="preserve"> Формирование авиапромышленного комплекса в По</w:t>
      </w:r>
      <w:r w:rsidRPr="00640820">
        <w:rPr>
          <w:rFonts w:ascii="Times New Roman" w:hAnsi="Times New Roman"/>
          <w:color w:val="000000" w:themeColor="text1"/>
          <w:sz w:val="16"/>
          <w:szCs w:val="16"/>
        </w:rPr>
        <w:softHyphen/>
        <w:t>волжье накануне и в годы Великой Отечественной войны (1940—1942 гг.). Самара, 2004. С. 17). В январе 1942 г. руководство эвакуированного из Воронежа в Куйбы</w:t>
      </w:r>
      <w:r w:rsidRPr="00640820">
        <w:rPr>
          <w:rFonts w:ascii="Times New Roman" w:hAnsi="Times New Roman"/>
          <w:color w:val="000000" w:themeColor="text1"/>
          <w:sz w:val="16"/>
          <w:szCs w:val="16"/>
        </w:rPr>
        <w:softHyphen/>
        <w:t>шев авиазавода № 18 констатировало, что «пока» ему неиз</w:t>
      </w:r>
      <w:r w:rsidRPr="00640820">
        <w:rPr>
          <w:rFonts w:ascii="Times New Roman" w:hAnsi="Times New Roman"/>
          <w:color w:val="000000" w:themeColor="text1"/>
          <w:sz w:val="16"/>
          <w:szCs w:val="16"/>
        </w:rPr>
        <w:softHyphen/>
        <w:t>вестны поставщики полуфабрикатов и комплектующих...(</w:t>
      </w:r>
      <w:r w:rsidRPr="00640820">
        <w:rPr>
          <w:rFonts w:ascii="Times New Roman" w:hAnsi="Times New Roman"/>
          <w:iCs/>
          <w:color w:val="000000" w:themeColor="text1"/>
          <w:sz w:val="16"/>
          <w:szCs w:val="16"/>
        </w:rPr>
        <w:t>Захарченко А.В.</w:t>
      </w:r>
      <w:r w:rsidRPr="00640820">
        <w:rPr>
          <w:rFonts w:ascii="Times New Roman" w:hAnsi="Times New Roman"/>
          <w:color w:val="000000" w:themeColor="text1"/>
          <w:sz w:val="16"/>
          <w:szCs w:val="16"/>
        </w:rPr>
        <w:t xml:space="preserve"> Формирование авиапромышленного комплекса в По</w:t>
      </w:r>
      <w:r w:rsidRPr="00640820">
        <w:rPr>
          <w:rFonts w:ascii="Times New Roman" w:hAnsi="Times New Roman"/>
          <w:color w:val="000000" w:themeColor="text1"/>
          <w:sz w:val="16"/>
          <w:szCs w:val="16"/>
        </w:rPr>
        <w:softHyphen/>
        <w:t>волжье накануне и в годы Великой Отечественной войны (1940—1942</w:t>
      </w:r>
      <w:r w:rsidRPr="00640820">
        <w:rPr>
          <w:rFonts w:ascii="Times New Roman" w:hAnsi="Times New Roman"/>
          <w:smallCaps/>
          <w:color w:val="000000" w:themeColor="text1"/>
          <w:sz w:val="16"/>
          <w:szCs w:val="16"/>
          <w:lang w:val="en-US"/>
        </w:rPr>
        <w:t>it</w:t>
      </w:r>
      <w:r w:rsidRPr="00640820">
        <w:rPr>
          <w:rFonts w:ascii="Times New Roman" w:hAnsi="Times New Roman"/>
          <w:smallCaps/>
          <w:color w:val="000000" w:themeColor="text1"/>
          <w:sz w:val="16"/>
          <w:szCs w:val="16"/>
        </w:rPr>
        <w:t xml:space="preserve">.). </w:t>
      </w:r>
      <w:r w:rsidRPr="00640820">
        <w:rPr>
          <w:rFonts w:ascii="Times New Roman" w:hAnsi="Times New Roman"/>
          <w:color w:val="000000" w:themeColor="text1"/>
          <w:sz w:val="16"/>
          <w:szCs w:val="16"/>
        </w:rPr>
        <w:t>Самара, 2004. С. 16).К сожалению, этот пример был типичным для того периода.</w:t>
      </w:r>
    </w:p>
    <w:p w14:paraId="68FD9D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Разумеется, в период эвакуации спад авиавыпуска был неизбежен. Требования советского руководства продолжать выпуск авиатехники прежними темпами синхронно с широ</w:t>
      </w:r>
      <w:r w:rsidRPr="00640820">
        <w:rPr>
          <w:rFonts w:ascii="Times New Roman" w:hAnsi="Times New Roman"/>
          <w:color w:val="000000" w:themeColor="text1"/>
          <w:sz w:val="16"/>
          <w:szCs w:val="16"/>
        </w:rPr>
        <w:softHyphen/>
        <w:t>комасштабным перебазированием промышленности на вос</w:t>
      </w:r>
      <w:r w:rsidRPr="00640820">
        <w:rPr>
          <w:rFonts w:ascii="Times New Roman" w:hAnsi="Times New Roman"/>
          <w:color w:val="000000" w:themeColor="text1"/>
          <w:sz w:val="16"/>
          <w:szCs w:val="16"/>
        </w:rPr>
        <w:softHyphen/>
        <w:t>ток остались благими пожеланиями в силу своей очевидной невыполнимости. Уже в ноябре фактический авиавыпуск упал до отметки 627 самолётов (то есть в 3,6 раза меньше, чем в сентябре) (12011).</w:t>
      </w:r>
    </w:p>
    <w:p w14:paraId="64A1A8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8D98B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ГКО при</w:t>
      </w:r>
      <w:r w:rsidRPr="00640820">
        <w:rPr>
          <w:rFonts w:ascii="Times New Roman" w:hAnsi="Times New Roman"/>
          <w:color w:val="000000" w:themeColor="text1"/>
          <w:sz w:val="16"/>
          <w:szCs w:val="16"/>
        </w:rPr>
        <w:softHyphen/>
        <w:t>нял специальное постановление «Вопросы НКАП», в кото</w:t>
      </w:r>
      <w:r w:rsidRPr="00640820">
        <w:rPr>
          <w:rFonts w:ascii="Times New Roman" w:hAnsi="Times New Roman"/>
          <w:color w:val="000000" w:themeColor="text1"/>
          <w:sz w:val="16"/>
          <w:szCs w:val="16"/>
        </w:rPr>
        <w:softHyphen/>
        <w:t>ром, помимо прочего, говорилось: «Ввиду того, что НКАП стал работать в последнее время из рук вон плохо, провалил все планы производства и выдачи самолётов и моторов и под</w:t>
      </w:r>
      <w:r w:rsidRPr="00640820">
        <w:rPr>
          <w:rFonts w:ascii="Times New Roman" w:hAnsi="Times New Roman"/>
          <w:color w:val="000000" w:themeColor="text1"/>
          <w:sz w:val="16"/>
          <w:szCs w:val="16"/>
        </w:rPr>
        <w:softHyphen/>
        <w:t>вёл тем самым страну и Красную Армию, Государственный Комитет Обороны постановляет:</w:t>
      </w:r>
    </w:p>
    <w:p w14:paraId="3CBBF3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Поставить НКАП под контроль членов ГКО тт. Берия и Маленкова, обязав этих товарищей принять все необходимые срочные меры для развёртывания производства самолётов...</w:t>
      </w:r>
    </w:p>
    <w:p w14:paraId="1178F59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Обязать наркома авиапромышленности и его замов бес</w:t>
      </w:r>
      <w:r w:rsidRPr="00640820">
        <w:rPr>
          <w:rFonts w:ascii="Times New Roman" w:hAnsi="Times New Roman"/>
          <w:color w:val="000000" w:themeColor="text1"/>
          <w:sz w:val="16"/>
          <w:szCs w:val="16"/>
        </w:rPr>
        <w:softHyphen/>
        <w:t>прекословно выполнять все указания тт. Берия и Маленкова по производству моторов, самолётов и всякого рода агрега</w:t>
      </w:r>
      <w:r w:rsidRPr="00640820">
        <w:rPr>
          <w:rFonts w:ascii="Times New Roman" w:hAnsi="Times New Roman"/>
          <w:color w:val="000000" w:themeColor="text1"/>
          <w:sz w:val="16"/>
          <w:szCs w:val="16"/>
        </w:rPr>
        <w:softHyphen/>
        <w:t>тов. ...» (Куманёв Г.А. Говорят сталинские наркомы. Смоленск, 2005. С. 215.) (12011).</w:t>
      </w:r>
    </w:p>
    <w:p w14:paraId="6871E9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Специально подчёркивалась важность и срочность сооружения в районе Москвы новых авиастрои</w:t>
      </w:r>
      <w:r w:rsidRPr="00640820">
        <w:rPr>
          <w:rFonts w:ascii="Times New Roman" w:hAnsi="Times New Roman"/>
          <w:color w:val="000000" w:themeColor="text1"/>
          <w:sz w:val="16"/>
          <w:szCs w:val="16"/>
        </w:rPr>
        <w:softHyphen/>
        <w:t>тельных заводов (Куманёв Г.А. Говорят сталинские наркомы. Смоленск, 2002. С. 212) (12011).</w:t>
      </w:r>
    </w:p>
    <w:p w14:paraId="750C8A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D1D6D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было принято постановление ГКО, которое давало деятель</w:t>
      </w:r>
      <w:r w:rsidRPr="00640820">
        <w:rPr>
          <w:rFonts w:ascii="Times New Roman" w:hAnsi="Times New Roman"/>
          <w:color w:val="000000" w:themeColor="text1"/>
          <w:sz w:val="16"/>
          <w:szCs w:val="16"/>
        </w:rPr>
        <w:softHyphen/>
        <w:t xml:space="preserve">ности НКАП крайне жёсткую оценку — «из рук вон плохо». Последняя волна ужесточения контроля руководства страны над ситуацией в авиапромышленности, начавшись в декабре 1941 г., хронологически загронуля и 1942 г. С 21 января 1942 г. (В </w:t>
      </w:r>
      <w:r w:rsidRPr="00640820">
        <w:rPr>
          <w:rFonts w:ascii="Times New Roman" w:hAnsi="Times New Roman"/>
          <w:color w:val="000000" w:themeColor="text1"/>
          <w:sz w:val="16"/>
          <w:szCs w:val="16"/>
          <w:lang w:val="en-US"/>
        </w:rPr>
        <w:t>X</w:t>
      </w:r>
      <w:r w:rsidRPr="00640820">
        <w:rPr>
          <w:rFonts w:ascii="Times New Roman" w:hAnsi="Times New Roman"/>
          <w:color w:val="000000" w:themeColor="text1"/>
          <w:sz w:val="16"/>
          <w:szCs w:val="16"/>
        </w:rPr>
        <w:t xml:space="preserve"> ГУ на этот порядок перешли ещё раньше — с 1 января 1942 г. (см. РГАЭ. Ф. 8044. </w:t>
      </w:r>
      <w:r w:rsidRPr="00640820">
        <w:rPr>
          <w:rFonts w:ascii="Times New Roman" w:hAnsi="Times New Roman"/>
          <w:color w:val="000000" w:themeColor="text1"/>
          <w:sz w:val="16"/>
          <w:szCs w:val="16"/>
          <w:lang w:val="en-US"/>
        </w:rPr>
        <w:t>On</w:t>
      </w:r>
      <w:r w:rsidRPr="00640820">
        <w:rPr>
          <w:rFonts w:ascii="Times New Roman" w:hAnsi="Times New Roman"/>
          <w:color w:val="000000" w:themeColor="text1"/>
          <w:sz w:val="16"/>
          <w:szCs w:val="16"/>
        </w:rPr>
        <w:t>. 1. Д. 2824. Л. 38.)) товарной продукцией было решено считать лишь са</w:t>
      </w:r>
      <w:r w:rsidRPr="00640820">
        <w:rPr>
          <w:rFonts w:ascii="Times New Roman" w:hAnsi="Times New Roman"/>
          <w:color w:val="000000" w:themeColor="text1"/>
          <w:sz w:val="16"/>
          <w:szCs w:val="16"/>
        </w:rPr>
        <w:softHyphen/>
        <w:t>молёты, прошедшие облёт на аэродроме. То есть самолёты, в целом готовые, но не прошедшие облёт в силу тех или иных дефектов, отныне относились в графу незавершённое произ</w:t>
      </w:r>
      <w:r w:rsidRPr="00640820">
        <w:rPr>
          <w:rFonts w:ascii="Times New Roman" w:hAnsi="Times New Roman"/>
          <w:color w:val="000000" w:themeColor="text1"/>
          <w:sz w:val="16"/>
          <w:szCs w:val="16"/>
        </w:rPr>
        <w:softHyphen/>
        <w:t>водство, и в плановый зачёт не шли (</w:t>
      </w:r>
      <w:r w:rsidRPr="00640820">
        <w:rPr>
          <w:rFonts w:ascii="Times New Roman" w:hAnsi="Times New Roman"/>
          <w:iCs/>
          <w:color w:val="000000" w:themeColor="text1"/>
          <w:sz w:val="16"/>
          <w:szCs w:val="16"/>
        </w:rPr>
        <w:t>Захарченко А.В.</w:t>
      </w:r>
      <w:r w:rsidRPr="00640820">
        <w:rPr>
          <w:rFonts w:ascii="Times New Roman" w:hAnsi="Times New Roman"/>
          <w:color w:val="000000" w:themeColor="text1"/>
          <w:sz w:val="16"/>
          <w:szCs w:val="16"/>
        </w:rPr>
        <w:t xml:space="preserve"> Формирование авиапромышленного комплекса в По</w:t>
      </w:r>
      <w:r w:rsidRPr="00640820">
        <w:rPr>
          <w:rFonts w:ascii="Times New Roman" w:hAnsi="Times New Roman"/>
          <w:color w:val="000000" w:themeColor="text1"/>
          <w:sz w:val="16"/>
          <w:szCs w:val="16"/>
        </w:rPr>
        <w:softHyphen/>
        <w:t>волжье накануне и в годы Великой Отечественной войны (1940—1942 гг.). Самара, 2004. С. 28). В этой ситуации нар</w:t>
      </w:r>
      <w:r w:rsidRPr="00640820">
        <w:rPr>
          <w:rFonts w:ascii="Times New Roman" w:hAnsi="Times New Roman"/>
          <w:color w:val="000000" w:themeColor="text1"/>
          <w:sz w:val="16"/>
          <w:szCs w:val="16"/>
        </w:rPr>
        <w:softHyphen/>
        <w:t>комат был вынужден разрешить заводу № 292 осуществлять облёт самолётов в ночное время, а заводу № 1 — перевозить разобранные штурмовики по железной дороге в Москву, где уже осуществлялась их окончательная сборка, облёт и сдача военприёмке.</w:t>
      </w:r>
    </w:p>
    <w:p w14:paraId="6CFA39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дальнейшем волна мероприятий, ужесточающих кон</w:t>
      </w:r>
      <w:r w:rsidRPr="00640820">
        <w:rPr>
          <w:rFonts w:ascii="Times New Roman" w:hAnsi="Times New Roman"/>
          <w:color w:val="000000" w:themeColor="text1"/>
          <w:sz w:val="16"/>
          <w:szCs w:val="16"/>
        </w:rPr>
        <w:softHyphen/>
        <w:t>троль над авиапроизводством, пошла на спад (12011).</w:t>
      </w:r>
    </w:p>
    <w:p w14:paraId="5688F2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EC9F2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был подготовлен Список заводов, организованных в период октября-декабря 1941 и входящих в 6 ГУ: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9"/>
        <w:gridCol w:w="5156"/>
        <w:gridCol w:w="5156"/>
      </w:tblGrid>
      <w:tr w:rsidR="00643896" w:rsidRPr="00640820" w14:paraId="4D427FBF" w14:textId="77777777" w:rsidTr="000D3BCB">
        <w:tc>
          <w:tcPr>
            <w:tcW w:w="959" w:type="dxa"/>
            <w:tcBorders>
              <w:top w:val="single" w:sz="12" w:space="0" w:color="auto"/>
            </w:tcBorders>
          </w:tcPr>
          <w:p w14:paraId="046638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Номер</w:t>
            </w:r>
          </w:p>
        </w:tc>
        <w:tc>
          <w:tcPr>
            <w:tcW w:w="5156" w:type="dxa"/>
            <w:tcBorders>
              <w:top w:val="single" w:sz="12" w:space="0" w:color="auto"/>
            </w:tcBorders>
          </w:tcPr>
          <w:p w14:paraId="609F19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w:t>
            </w:r>
          </w:p>
        </w:tc>
        <w:tc>
          <w:tcPr>
            <w:tcW w:w="5156" w:type="dxa"/>
            <w:tcBorders>
              <w:top w:val="single" w:sz="12" w:space="0" w:color="auto"/>
            </w:tcBorders>
          </w:tcPr>
          <w:p w14:paraId="529586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w:t>
            </w:r>
          </w:p>
        </w:tc>
      </w:tr>
      <w:tr w:rsidR="00643896" w:rsidRPr="00640820" w14:paraId="3AD1DA60" w14:textId="77777777" w:rsidTr="000D3BCB">
        <w:tc>
          <w:tcPr>
            <w:tcW w:w="959" w:type="dxa"/>
          </w:tcPr>
          <w:p w14:paraId="0B2BA2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165-2</w:t>
            </w:r>
          </w:p>
        </w:tc>
        <w:tc>
          <w:tcPr>
            <w:tcW w:w="5156" w:type="dxa"/>
          </w:tcPr>
          <w:p w14:paraId="240F43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Дубининская, 68</w:t>
            </w:r>
          </w:p>
        </w:tc>
        <w:tc>
          <w:tcPr>
            <w:tcW w:w="5156" w:type="dxa"/>
          </w:tcPr>
          <w:p w14:paraId="789D04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Дмитрий Иванович Степин</w:t>
            </w:r>
          </w:p>
        </w:tc>
      </w:tr>
      <w:tr w:rsidR="00643896" w:rsidRPr="00640820" w14:paraId="2659F8AE" w14:textId="77777777" w:rsidTr="000D3BCB">
        <w:tc>
          <w:tcPr>
            <w:tcW w:w="959" w:type="dxa"/>
          </w:tcPr>
          <w:p w14:paraId="1FB361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169-3</w:t>
            </w:r>
          </w:p>
        </w:tc>
        <w:tc>
          <w:tcPr>
            <w:tcW w:w="5156" w:type="dxa"/>
          </w:tcPr>
          <w:p w14:paraId="3FA5CB6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Ольховская, 4</w:t>
            </w:r>
          </w:p>
        </w:tc>
        <w:tc>
          <w:tcPr>
            <w:tcW w:w="5156" w:type="dxa"/>
          </w:tcPr>
          <w:p w14:paraId="567A213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Александра Алексеевна Ткаченко</w:t>
            </w:r>
          </w:p>
        </w:tc>
      </w:tr>
      <w:tr w:rsidR="00643896" w:rsidRPr="00640820" w14:paraId="364D2543" w14:textId="77777777" w:rsidTr="000D3BCB">
        <w:tc>
          <w:tcPr>
            <w:tcW w:w="959" w:type="dxa"/>
          </w:tcPr>
          <w:p w14:paraId="64A5E4A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388-4</w:t>
            </w:r>
          </w:p>
        </w:tc>
        <w:tc>
          <w:tcPr>
            <w:tcW w:w="5156" w:type="dxa"/>
          </w:tcPr>
          <w:p w14:paraId="4B42CD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2-я Рыбинская, 13</w:t>
            </w:r>
          </w:p>
        </w:tc>
        <w:tc>
          <w:tcPr>
            <w:tcW w:w="5156" w:type="dxa"/>
          </w:tcPr>
          <w:p w14:paraId="5CC96C5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Василий Емельянович Мурков</w:t>
            </w:r>
          </w:p>
        </w:tc>
      </w:tr>
      <w:tr w:rsidR="00643896" w:rsidRPr="00640820" w14:paraId="4829CBB1" w14:textId="77777777" w:rsidTr="000D3BCB">
        <w:tc>
          <w:tcPr>
            <w:tcW w:w="959" w:type="dxa"/>
          </w:tcPr>
          <w:p w14:paraId="489B39E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457-6</w:t>
            </w:r>
          </w:p>
        </w:tc>
        <w:tc>
          <w:tcPr>
            <w:tcW w:w="5156" w:type="dxa"/>
          </w:tcPr>
          <w:p w14:paraId="060946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Наставнический пер., 3</w:t>
            </w:r>
          </w:p>
        </w:tc>
        <w:tc>
          <w:tcPr>
            <w:tcW w:w="5156" w:type="dxa"/>
          </w:tcPr>
          <w:p w14:paraId="2CE0D3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Иван Кириллович Лукичев</w:t>
            </w:r>
          </w:p>
        </w:tc>
      </w:tr>
      <w:tr w:rsidR="00643896" w:rsidRPr="00640820" w14:paraId="78AD7C2B" w14:textId="77777777" w:rsidTr="000D3BCB">
        <w:tc>
          <w:tcPr>
            <w:tcW w:w="959" w:type="dxa"/>
          </w:tcPr>
          <w:p w14:paraId="067820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478</w:t>
            </w:r>
          </w:p>
        </w:tc>
        <w:tc>
          <w:tcPr>
            <w:tcW w:w="5156" w:type="dxa"/>
          </w:tcPr>
          <w:p w14:paraId="499476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Лужнецкая наб, 21</w:t>
            </w:r>
          </w:p>
        </w:tc>
        <w:tc>
          <w:tcPr>
            <w:tcW w:w="5156" w:type="dxa"/>
          </w:tcPr>
          <w:p w14:paraId="5F9881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Сергей Наумович Старович</w:t>
            </w:r>
          </w:p>
        </w:tc>
      </w:tr>
      <w:tr w:rsidR="00643896" w:rsidRPr="00640820" w14:paraId="41257768" w14:textId="77777777" w:rsidTr="000D3BCB">
        <w:tc>
          <w:tcPr>
            <w:tcW w:w="959" w:type="dxa"/>
          </w:tcPr>
          <w:p w14:paraId="328167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480</w:t>
            </w:r>
          </w:p>
        </w:tc>
        <w:tc>
          <w:tcPr>
            <w:tcW w:w="5156" w:type="dxa"/>
          </w:tcPr>
          <w:p w14:paraId="297D7F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Красносельская ул., 33</w:t>
            </w:r>
          </w:p>
        </w:tc>
        <w:tc>
          <w:tcPr>
            <w:tcW w:w="5156" w:type="dxa"/>
          </w:tcPr>
          <w:p w14:paraId="4E8436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Александр иванович Филипповых</w:t>
            </w:r>
          </w:p>
        </w:tc>
      </w:tr>
      <w:tr w:rsidR="00643896" w:rsidRPr="00640820" w14:paraId="06171F54" w14:textId="77777777" w:rsidTr="000D3BCB">
        <w:tc>
          <w:tcPr>
            <w:tcW w:w="959" w:type="dxa"/>
          </w:tcPr>
          <w:p w14:paraId="556295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w:t>
            </w:r>
          </w:p>
        </w:tc>
        <w:tc>
          <w:tcPr>
            <w:tcW w:w="5156" w:type="dxa"/>
          </w:tcPr>
          <w:p w14:paraId="420AEC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Ольховская, 14</w:t>
            </w:r>
          </w:p>
        </w:tc>
        <w:tc>
          <w:tcPr>
            <w:tcW w:w="5156" w:type="dxa"/>
          </w:tcPr>
          <w:p w14:paraId="380DD7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Евгений Александрович Сакин</w:t>
            </w:r>
          </w:p>
        </w:tc>
      </w:tr>
      <w:tr w:rsidR="00643896" w:rsidRPr="00640820" w14:paraId="19DB1437" w14:textId="77777777" w:rsidTr="000D3BCB">
        <w:tc>
          <w:tcPr>
            <w:tcW w:w="959" w:type="dxa"/>
            <w:tcBorders>
              <w:bottom w:val="single" w:sz="12" w:space="0" w:color="auto"/>
            </w:tcBorders>
          </w:tcPr>
          <w:p w14:paraId="40197E1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5156" w:type="dxa"/>
            <w:tcBorders>
              <w:bottom w:val="single" w:sz="12" w:space="0" w:color="auto"/>
            </w:tcBorders>
          </w:tcPr>
          <w:p w14:paraId="2D06B7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5156" w:type="dxa"/>
            <w:tcBorders>
              <w:bottom w:val="single" w:sz="12" w:space="0" w:color="auto"/>
            </w:tcBorders>
          </w:tcPr>
          <w:p w14:paraId="75C176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(1666, 4)</w:t>
            </w:r>
          </w:p>
        </w:tc>
      </w:tr>
    </w:tbl>
    <w:p w14:paraId="04A331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3B6E1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на площадке эвакуированного завода № 18 НКАП организованы самолетные Ремонтные мастерские. Начальник мастерских-  Г.Л. Волощенко. Осуществлялся ремонт самолетов Юго-Западного фронта. Планировалось освоить производство Пе-2. По приказу № 239с от 30.03.1942 г. на базе мастерских образован Ремонтный завод при Главремуправлении НКАП. Далее он преобразован в филиал завода № 18 НКАП, начальник филиала- Сердюк. В соответствии с пост. СНК № 913-472сс от 11.06.1942 г. и приказом № 287с от 16.04.1942 г. филиал реорганизован в ГС Завод № 450 НКАП.</w:t>
      </w:r>
    </w:p>
    <w:p w14:paraId="19FB38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529с от 16.07.1942 г. завод № 450 со всем личным составом и оборудованием переведен в Пензу и влит в состав завода № 163 НКАП.</w:t>
      </w:r>
    </w:p>
    <w:p w14:paraId="55A804B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1943 г. на этом месте сформирован новый завод № 64 НКАП (11982).</w:t>
      </w:r>
    </w:p>
    <w:p w14:paraId="29CAF5C5" w14:textId="77777777" w:rsidR="00813840" w:rsidRPr="00640820" w:rsidRDefault="00813840" w:rsidP="00640820">
      <w:pPr>
        <w:autoSpaceDE w:val="0"/>
        <w:autoSpaceDN w:val="0"/>
        <w:adjustRightInd w:val="0"/>
        <w:spacing w:after="0" w:line="240" w:lineRule="auto"/>
        <w:jc w:val="both"/>
        <w:rPr>
          <w:rFonts w:ascii="Times New Roman" w:hAnsi="Times New Roman"/>
          <w:color w:val="000000" w:themeColor="text1"/>
          <w:sz w:val="16"/>
          <w:szCs w:val="16"/>
        </w:rPr>
      </w:pPr>
    </w:p>
    <w:p w14:paraId="6A434C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была подготовлена Справка Об эвакуации предприятий и организаций НКАП в ноябре-декабре 1941 от Нач. 2 ГУ для Зам. НКАП Кузнецова:</w:t>
      </w:r>
    </w:p>
    <w:p w14:paraId="32EDC8F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З-д 32 эвакуирован в г. Киров на площади з-да 315. Начал эвакуацию 12 октября 1941,</w:t>
      </w:r>
    </w:p>
    <w:p w14:paraId="6742E4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З-д 34 эвакуирован в г. Троицк на площади пивоваренного и маслобойного з-ов, клиники и лаборатории Ветниститута. Помещения не приспособленные и требуют больших переделок. Эвакуацию начал 15 октября 1941,</w:t>
      </w:r>
    </w:p>
    <w:p w14:paraId="0C52391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З-д 487 эвакуирован в г. Куйбышев и Сызрань на площади з-в № 454 и 481. Начал эвакуацию 16 октября,</w:t>
      </w:r>
    </w:p>
    <w:p w14:paraId="4965F7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З-д 119 эвакуирован в г. Горький на площади з-в им. Воробьева и Гудок Октября,</w:t>
      </w:r>
    </w:p>
    <w:p w14:paraId="67C2E4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З-д 120 эвакуирован в Каменск и Н. Тагил,</w:t>
      </w:r>
    </w:p>
    <w:p w14:paraId="3AC58A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З-д 145 эвакуирован в г. Куйбышев на площади з-да 455. Начал эвакуацию 10 октября 1941,</w:t>
      </w:r>
    </w:p>
    <w:p w14:paraId="475B3A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З-д 261 эвакуирован в Свердловск, кислородная станция направлена в Куйбышев на з-д 145,</w:t>
      </w:r>
    </w:p>
    <w:p w14:paraId="11EDA8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З-д 169 эвакуирован полностью в Горький на площади з-да 285. Начал эвакуацию 15 октября 1941 и закончил 6 ноября 1941,</w:t>
      </w:r>
    </w:p>
    <w:p w14:paraId="655A48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З-д 472 эвакуирован в Кузнецк на площади ф-ла з-да 34. Начал эвакуацию 15 октября 1941 (1377, 1-2).</w:t>
      </w:r>
    </w:p>
    <w:p w14:paraId="539580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Нач. 4 ГУ бабицкий подготовил Справку о состоянии работы эвакуированных предприятий 4 ГУ:</w:t>
      </w:r>
    </w:p>
    <w:p w14:paraId="297EF53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з-д 306 в соответствии с приказом НКАП № 632сс от 6 августа и № 715сс от 19 августа эвакуированы: полностью з-д 133 (Ленинград), частично, ОКБ и цех магнето з-д 161 и з-д 307. С конца августа 1941 з-д 306 начал выпуск авиасвечей типа ВГ-2</w:t>
      </w:r>
    </w:p>
    <w:p w14:paraId="0691E38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Согласно приказа НКАП № 810с от 7 августа 1941 оставшаяся часть оборудования и рабсилы з-да 307 эвакуировалась на з-д 306 (1377, 4-5).</w:t>
      </w:r>
    </w:p>
    <w:p w14:paraId="25D33D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3FAFB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w:t>
      </w:r>
    </w:p>
    <w:p w14:paraId="3E8F07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rPr>
        <w:t xml:space="preserve">План дополнительной потребности в кадрах и жилой площади эвакуированных заводов на </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 xml:space="preserve"> квартал 1942 г. (РГАЭ. Ф. 8044. </w:t>
      </w:r>
      <w:r w:rsidRPr="00640820">
        <w:rPr>
          <w:rFonts w:ascii="Times New Roman" w:hAnsi="Times New Roman"/>
          <w:color w:val="000000" w:themeColor="text1"/>
          <w:sz w:val="16"/>
          <w:szCs w:val="16"/>
          <w:lang w:val="en-US"/>
        </w:rPr>
        <w:t>On. 1. Д. 4468. Л. 1—11)</w:t>
      </w:r>
    </w:p>
    <w:tbl>
      <w:tblPr>
        <w:tblW w:w="0" w:type="auto"/>
        <w:tblInd w:w="8" w:type="dxa"/>
        <w:tblLayout w:type="fixed"/>
        <w:tblCellMar>
          <w:left w:w="0" w:type="dxa"/>
          <w:right w:w="0" w:type="dxa"/>
        </w:tblCellMar>
        <w:tblLook w:val="0000" w:firstRow="0" w:lastRow="0" w:firstColumn="0" w:lastColumn="0" w:noHBand="0" w:noVBand="0"/>
      </w:tblPr>
      <w:tblGrid>
        <w:gridCol w:w="494"/>
        <w:gridCol w:w="907"/>
        <w:gridCol w:w="907"/>
        <w:gridCol w:w="912"/>
        <w:gridCol w:w="893"/>
        <w:gridCol w:w="912"/>
        <w:gridCol w:w="926"/>
      </w:tblGrid>
      <w:tr w:rsidR="00643896" w:rsidRPr="00640820" w14:paraId="2B884747" w14:textId="77777777" w:rsidTr="000D3BCB">
        <w:trPr>
          <w:trHeight w:val="1133"/>
        </w:trPr>
        <w:tc>
          <w:tcPr>
            <w:tcW w:w="494" w:type="dxa"/>
            <w:tcBorders>
              <w:top w:val="single" w:sz="6" w:space="0" w:color="auto"/>
              <w:left w:val="single" w:sz="6" w:space="0" w:color="auto"/>
              <w:bottom w:val="single" w:sz="6" w:space="0" w:color="auto"/>
              <w:right w:val="single" w:sz="6" w:space="0" w:color="auto"/>
            </w:tcBorders>
            <w:shd w:val="clear" w:color="auto" w:fill="FFFFFF"/>
          </w:tcPr>
          <w:p w14:paraId="1020E8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ПГУ</w:t>
            </w:r>
          </w:p>
        </w:tc>
        <w:tc>
          <w:tcPr>
            <w:tcW w:w="907" w:type="dxa"/>
            <w:tcBorders>
              <w:top w:val="single" w:sz="6" w:space="0" w:color="auto"/>
              <w:left w:val="single" w:sz="6" w:space="0" w:color="auto"/>
              <w:bottom w:val="single" w:sz="6" w:space="0" w:color="auto"/>
              <w:right w:val="single" w:sz="6" w:space="0" w:color="auto"/>
            </w:tcBorders>
            <w:shd w:val="clear" w:color="auto" w:fill="FFFFFF"/>
          </w:tcPr>
          <w:p w14:paraId="598F54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Персонал на 1 декабря 1941 г. (чел.)</w:t>
            </w:r>
          </w:p>
        </w:tc>
        <w:tc>
          <w:tcPr>
            <w:tcW w:w="907" w:type="dxa"/>
            <w:tcBorders>
              <w:top w:val="single" w:sz="6" w:space="0" w:color="auto"/>
              <w:left w:val="single" w:sz="6" w:space="0" w:color="auto"/>
              <w:bottom w:val="single" w:sz="6" w:space="0" w:color="auto"/>
              <w:right w:val="single" w:sz="6" w:space="0" w:color="auto"/>
            </w:tcBorders>
            <w:shd w:val="clear" w:color="auto" w:fill="FFFFFF"/>
          </w:tcPr>
          <w:p w14:paraId="6ABA66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Требуется человек к моменту пуска эвакуирован</w:t>
            </w:r>
            <w:r w:rsidRPr="00640820">
              <w:rPr>
                <w:rFonts w:ascii="Times New Roman" w:hAnsi="Times New Roman"/>
                <w:color w:val="000000" w:themeColor="text1"/>
                <w:sz w:val="16"/>
                <w:szCs w:val="16"/>
              </w:rPr>
              <w:softHyphen/>
              <w:t>ных заводов</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0C0BC0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1-й квар</w:t>
            </w:r>
            <w:r w:rsidRPr="00640820">
              <w:rPr>
                <w:rFonts w:ascii="Times New Roman" w:hAnsi="Times New Roman"/>
                <w:color w:val="000000" w:themeColor="text1"/>
                <w:sz w:val="16"/>
                <w:szCs w:val="16"/>
              </w:rPr>
              <w:softHyphen/>
              <w:t>тал 1942 г. требуется иметь рабочих всего</w:t>
            </w:r>
          </w:p>
        </w:tc>
        <w:tc>
          <w:tcPr>
            <w:tcW w:w="893" w:type="dxa"/>
            <w:tcBorders>
              <w:top w:val="single" w:sz="6" w:space="0" w:color="auto"/>
              <w:left w:val="single" w:sz="6" w:space="0" w:color="auto"/>
              <w:bottom w:val="single" w:sz="6" w:space="0" w:color="auto"/>
              <w:right w:val="single" w:sz="6" w:space="0" w:color="auto"/>
            </w:tcBorders>
            <w:shd w:val="clear" w:color="auto" w:fill="FFFFFF"/>
          </w:tcPr>
          <w:p w14:paraId="39DD563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т.ч.—ква</w:t>
            </w:r>
            <w:r w:rsidRPr="00640820">
              <w:rPr>
                <w:rFonts w:ascii="Times New Roman" w:hAnsi="Times New Roman"/>
                <w:color w:val="000000" w:themeColor="text1"/>
                <w:sz w:val="16"/>
                <w:szCs w:val="16"/>
              </w:rPr>
              <w:softHyphen/>
              <w:t>лифицирован</w:t>
            </w:r>
            <w:r w:rsidRPr="00640820">
              <w:rPr>
                <w:rFonts w:ascii="Times New Roman" w:hAnsi="Times New Roman"/>
                <w:color w:val="000000" w:themeColor="text1"/>
                <w:sz w:val="16"/>
                <w:szCs w:val="16"/>
              </w:rPr>
              <w:softHyphen/>
              <w:t>ных рабочих</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7B423D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lang w:val="en-US"/>
              </w:rPr>
              <w:t>Ha</w:t>
            </w:r>
            <w:r w:rsidRPr="00640820">
              <w:rPr>
                <w:rFonts w:ascii="Times New Roman" w:hAnsi="Times New Roman"/>
                <w:color w:val="000000" w:themeColor="text1"/>
                <w:sz w:val="16"/>
                <w:szCs w:val="16"/>
              </w:rPr>
              <w:t xml:space="preserve"> 1 декабри 1941 г. в на</w:t>
            </w:r>
            <w:r w:rsidRPr="00640820">
              <w:rPr>
                <w:rFonts w:ascii="Times New Roman" w:hAnsi="Times New Roman"/>
                <w:color w:val="000000" w:themeColor="text1"/>
                <w:sz w:val="16"/>
                <w:szCs w:val="16"/>
              </w:rPr>
              <w:softHyphen/>
              <w:t>личии есть жилплощади на... человек</w:t>
            </w:r>
          </w:p>
        </w:tc>
        <w:tc>
          <w:tcPr>
            <w:tcW w:w="926" w:type="dxa"/>
            <w:tcBorders>
              <w:top w:val="single" w:sz="6" w:space="0" w:color="auto"/>
              <w:left w:val="single" w:sz="6" w:space="0" w:color="auto"/>
              <w:bottom w:val="single" w:sz="6" w:space="0" w:color="auto"/>
              <w:right w:val="single" w:sz="6" w:space="0" w:color="auto"/>
            </w:tcBorders>
            <w:shd w:val="clear" w:color="auto" w:fill="FFFFFF"/>
          </w:tcPr>
          <w:p w14:paraId="37329B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1-й квар</w:t>
            </w:r>
            <w:r w:rsidRPr="00640820">
              <w:rPr>
                <w:rFonts w:ascii="Times New Roman" w:hAnsi="Times New Roman"/>
                <w:color w:val="000000" w:themeColor="text1"/>
                <w:sz w:val="16"/>
                <w:szCs w:val="16"/>
              </w:rPr>
              <w:softHyphen/>
              <w:t>тал 1942 г. тре- буется иметь жилплощади (и. кв.)</w:t>
            </w:r>
          </w:p>
        </w:tc>
      </w:tr>
      <w:tr w:rsidR="00643896" w:rsidRPr="00640820" w14:paraId="7F43FC9F" w14:textId="77777777" w:rsidTr="000D3BCB">
        <w:trPr>
          <w:trHeight w:val="221"/>
        </w:trPr>
        <w:tc>
          <w:tcPr>
            <w:tcW w:w="494" w:type="dxa"/>
            <w:tcBorders>
              <w:top w:val="single" w:sz="6" w:space="0" w:color="auto"/>
              <w:left w:val="single" w:sz="6" w:space="0" w:color="auto"/>
              <w:bottom w:val="single" w:sz="6" w:space="0" w:color="auto"/>
              <w:right w:val="single" w:sz="6" w:space="0" w:color="auto"/>
            </w:tcBorders>
            <w:shd w:val="clear" w:color="auto" w:fill="FFFFFF"/>
          </w:tcPr>
          <w:p w14:paraId="26232A9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I</w:t>
            </w:r>
          </w:p>
        </w:tc>
        <w:tc>
          <w:tcPr>
            <w:tcW w:w="907" w:type="dxa"/>
            <w:tcBorders>
              <w:top w:val="single" w:sz="6" w:space="0" w:color="auto"/>
              <w:left w:val="single" w:sz="6" w:space="0" w:color="auto"/>
              <w:bottom w:val="single" w:sz="6" w:space="0" w:color="auto"/>
              <w:right w:val="single" w:sz="6" w:space="0" w:color="auto"/>
            </w:tcBorders>
            <w:shd w:val="clear" w:color="auto" w:fill="FFFFFF"/>
          </w:tcPr>
          <w:p w14:paraId="2E2594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23650</w:t>
            </w:r>
          </w:p>
        </w:tc>
        <w:tc>
          <w:tcPr>
            <w:tcW w:w="907" w:type="dxa"/>
            <w:tcBorders>
              <w:top w:val="single" w:sz="6" w:space="0" w:color="auto"/>
              <w:left w:val="single" w:sz="6" w:space="0" w:color="auto"/>
              <w:bottom w:val="single" w:sz="6" w:space="0" w:color="auto"/>
              <w:right w:val="single" w:sz="6" w:space="0" w:color="auto"/>
            </w:tcBorders>
            <w:shd w:val="clear" w:color="auto" w:fill="FFFFFF"/>
          </w:tcPr>
          <w:p w14:paraId="72BA4FE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43450</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709895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19800</w:t>
            </w:r>
          </w:p>
        </w:tc>
        <w:tc>
          <w:tcPr>
            <w:tcW w:w="893" w:type="dxa"/>
            <w:tcBorders>
              <w:top w:val="single" w:sz="6" w:space="0" w:color="auto"/>
              <w:left w:val="single" w:sz="6" w:space="0" w:color="auto"/>
              <w:bottom w:val="single" w:sz="6" w:space="0" w:color="auto"/>
              <w:right w:val="single" w:sz="6" w:space="0" w:color="auto"/>
            </w:tcBorders>
            <w:shd w:val="clear" w:color="auto" w:fill="FFFFFF"/>
          </w:tcPr>
          <w:p w14:paraId="28AA6E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13700</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2D4D3D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Н.д</w:t>
            </w:r>
          </w:p>
        </w:tc>
        <w:tc>
          <w:tcPr>
            <w:tcW w:w="926" w:type="dxa"/>
            <w:tcBorders>
              <w:top w:val="single" w:sz="6" w:space="0" w:color="auto"/>
              <w:left w:val="single" w:sz="6" w:space="0" w:color="auto"/>
              <w:bottom w:val="single" w:sz="6" w:space="0" w:color="auto"/>
              <w:right w:val="single" w:sz="6" w:space="0" w:color="auto"/>
            </w:tcBorders>
            <w:shd w:val="clear" w:color="auto" w:fill="FFFFFF"/>
          </w:tcPr>
          <w:p w14:paraId="073B0B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Нд</w:t>
            </w:r>
          </w:p>
        </w:tc>
      </w:tr>
      <w:tr w:rsidR="00643896" w:rsidRPr="00640820" w14:paraId="2CA63CE1" w14:textId="77777777" w:rsidTr="000D3BCB">
        <w:trPr>
          <w:trHeight w:val="221"/>
        </w:trPr>
        <w:tc>
          <w:tcPr>
            <w:tcW w:w="494" w:type="dxa"/>
            <w:tcBorders>
              <w:top w:val="single" w:sz="6" w:space="0" w:color="auto"/>
              <w:left w:val="single" w:sz="6" w:space="0" w:color="auto"/>
              <w:bottom w:val="single" w:sz="6" w:space="0" w:color="auto"/>
              <w:right w:val="single" w:sz="6" w:space="0" w:color="auto"/>
            </w:tcBorders>
            <w:shd w:val="clear" w:color="auto" w:fill="FFFFFF"/>
          </w:tcPr>
          <w:p w14:paraId="6E3F54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w:t>
            </w:r>
          </w:p>
        </w:tc>
        <w:tc>
          <w:tcPr>
            <w:tcW w:w="907" w:type="dxa"/>
            <w:tcBorders>
              <w:top w:val="single" w:sz="6" w:space="0" w:color="auto"/>
              <w:left w:val="single" w:sz="6" w:space="0" w:color="auto"/>
              <w:bottom w:val="single" w:sz="6" w:space="0" w:color="auto"/>
              <w:right w:val="single" w:sz="6" w:space="0" w:color="auto"/>
            </w:tcBorders>
            <w:shd w:val="clear" w:color="auto" w:fill="FFFFFF"/>
          </w:tcPr>
          <w:p w14:paraId="0EAACB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19201</w:t>
            </w:r>
          </w:p>
        </w:tc>
        <w:tc>
          <w:tcPr>
            <w:tcW w:w="907" w:type="dxa"/>
            <w:tcBorders>
              <w:top w:val="single" w:sz="6" w:space="0" w:color="auto"/>
              <w:left w:val="single" w:sz="6" w:space="0" w:color="auto"/>
              <w:bottom w:val="single" w:sz="6" w:space="0" w:color="auto"/>
              <w:right w:val="single" w:sz="6" w:space="0" w:color="auto"/>
            </w:tcBorders>
            <w:shd w:val="clear" w:color="auto" w:fill="FFFFFF"/>
          </w:tcPr>
          <w:p w14:paraId="494A72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31427</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4828E5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12226</w:t>
            </w:r>
          </w:p>
        </w:tc>
        <w:tc>
          <w:tcPr>
            <w:tcW w:w="893" w:type="dxa"/>
            <w:tcBorders>
              <w:top w:val="single" w:sz="6" w:space="0" w:color="auto"/>
              <w:left w:val="single" w:sz="6" w:space="0" w:color="auto"/>
              <w:bottom w:val="single" w:sz="6" w:space="0" w:color="auto"/>
              <w:right w:val="single" w:sz="6" w:space="0" w:color="auto"/>
            </w:tcBorders>
            <w:shd w:val="clear" w:color="auto" w:fill="FFFFFF"/>
          </w:tcPr>
          <w:p w14:paraId="63F8C6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Нд</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59F715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143918 м.ш.</w:t>
            </w:r>
          </w:p>
        </w:tc>
        <w:tc>
          <w:tcPr>
            <w:tcW w:w="926" w:type="dxa"/>
            <w:tcBorders>
              <w:top w:val="single" w:sz="6" w:space="0" w:color="auto"/>
              <w:left w:val="single" w:sz="6" w:space="0" w:color="auto"/>
              <w:bottom w:val="single" w:sz="6" w:space="0" w:color="auto"/>
              <w:right w:val="single" w:sz="6" w:space="0" w:color="auto"/>
            </w:tcBorders>
            <w:shd w:val="clear" w:color="auto" w:fill="FFFFFF"/>
          </w:tcPr>
          <w:p w14:paraId="770598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91693</w:t>
            </w:r>
          </w:p>
        </w:tc>
      </w:tr>
      <w:tr w:rsidR="00643896" w:rsidRPr="00640820" w14:paraId="6F6BA7D0" w14:textId="77777777" w:rsidTr="000D3BCB">
        <w:trPr>
          <w:trHeight w:val="221"/>
        </w:trPr>
        <w:tc>
          <w:tcPr>
            <w:tcW w:w="494" w:type="dxa"/>
            <w:tcBorders>
              <w:top w:val="single" w:sz="6" w:space="0" w:color="auto"/>
              <w:left w:val="single" w:sz="6" w:space="0" w:color="auto"/>
              <w:bottom w:val="single" w:sz="6" w:space="0" w:color="auto"/>
              <w:right w:val="single" w:sz="6" w:space="0" w:color="auto"/>
            </w:tcBorders>
            <w:shd w:val="clear" w:color="auto" w:fill="FFFFFF"/>
          </w:tcPr>
          <w:p w14:paraId="007A52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ш</w:t>
            </w:r>
          </w:p>
        </w:tc>
        <w:tc>
          <w:tcPr>
            <w:tcW w:w="907" w:type="dxa"/>
            <w:tcBorders>
              <w:top w:val="single" w:sz="6" w:space="0" w:color="auto"/>
              <w:left w:val="single" w:sz="6" w:space="0" w:color="auto"/>
              <w:bottom w:val="single" w:sz="6" w:space="0" w:color="auto"/>
              <w:right w:val="single" w:sz="6" w:space="0" w:color="auto"/>
            </w:tcBorders>
            <w:shd w:val="clear" w:color="auto" w:fill="FFFFFF"/>
          </w:tcPr>
          <w:p w14:paraId="6FC6DB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48645</w:t>
            </w:r>
          </w:p>
        </w:tc>
        <w:tc>
          <w:tcPr>
            <w:tcW w:w="907" w:type="dxa"/>
            <w:tcBorders>
              <w:top w:val="single" w:sz="6" w:space="0" w:color="auto"/>
              <w:left w:val="single" w:sz="6" w:space="0" w:color="auto"/>
              <w:bottom w:val="single" w:sz="6" w:space="0" w:color="auto"/>
              <w:right w:val="single" w:sz="6" w:space="0" w:color="auto"/>
            </w:tcBorders>
            <w:shd w:val="clear" w:color="auto" w:fill="FFFFFF"/>
          </w:tcPr>
          <w:p w14:paraId="3ACEB9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68738</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27BB9DE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20093</w:t>
            </w:r>
          </w:p>
        </w:tc>
        <w:tc>
          <w:tcPr>
            <w:tcW w:w="893" w:type="dxa"/>
            <w:tcBorders>
              <w:top w:val="single" w:sz="6" w:space="0" w:color="auto"/>
              <w:left w:val="single" w:sz="6" w:space="0" w:color="auto"/>
              <w:bottom w:val="single" w:sz="6" w:space="0" w:color="auto"/>
              <w:right w:val="single" w:sz="6" w:space="0" w:color="auto"/>
            </w:tcBorders>
            <w:shd w:val="clear" w:color="auto" w:fill="FFFFFF"/>
          </w:tcPr>
          <w:p w14:paraId="63A5A7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12669</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6511C18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48645</w:t>
            </w:r>
          </w:p>
        </w:tc>
        <w:tc>
          <w:tcPr>
            <w:tcW w:w="926" w:type="dxa"/>
            <w:tcBorders>
              <w:top w:val="single" w:sz="6" w:space="0" w:color="auto"/>
              <w:left w:val="single" w:sz="6" w:space="0" w:color="auto"/>
              <w:bottom w:val="single" w:sz="6" w:space="0" w:color="auto"/>
              <w:right w:val="single" w:sz="6" w:space="0" w:color="auto"/>
            </w:tcBorders>
            <w:shd w:val="clear" w:color="auto" w:fill="FFFFFF"/>
          </w:tcPr>
          <w:p w14:paraId="753AE4E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150700</w:t>
            </w:r>
          </w:p>
        </w:tc>
      </w:tr>
      <w:tr w:rsidR="00643896" w:rsidRPr="00640820" w14:paraId="41AC78DC" w14:textId="77777777" w:rsidTr="000D3BCB">
        <w:trPr>
          <w:trHeight w:val="226"/>
        </w:trPr>
        <w:tc>
          <w:tcPr>
            <w:tcW w:w="494" w:type="dxa"/>
            <w:tcBorders>
              <w:top w:val="single" w:sz="6" w:space="0" w:color="auto"/>
              <w:left w:val="single" w:sz="6" w:space="0" w:color="auto"/>
              <w:bottom w:val="single" w:sz="6" w:space="0" w:color="auto"/>
              <w:right w:val="single" w:sz="6" w:space="0" w:color="auto"/>
            </w:tcBorders>
            <w:shd w:val="clear" w:color="auto" w:fill="FFFFFF"/>
          </w:tcPr>
          <w:p w14:paraId="1011BE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IV</w:t>
            </w:r>
          </w:p>
        </w:tc>
        <w:tc>
          <w:tcPr>
            <w:tcW w:w="907" w:type="dxa"/>
            <w:tcBorders>
              <w:top w:val="single" w:sz="6" w:space="0" w:color="auto"/>
              <w:left w:val="single" w:sz="6" w:space="0" w:color="auto"/>
              <w:bottom w:val="single" w:sz="6" w:space="0" w:color="auto"/>
              <w:right w:val="single" w:sz="6" w:space="0" w:color="auto"/>
            </w:tcBorders>
            <w:shd w:val="clear" w:color="auto" w:fill="FFFFFF"/>
          </w:tcPr>
          <w:p w14:paraId="13BA19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16268</w:t>
            </w:r>
          </w:p>
        </w:tc>
        <w:tc>
          <w:tcPr>
            <w:tcW w:w="907" w:type="dxa"/>
            <w:tcBorders>
              <w:top w:val="single" w:sz="6" w:space="0" w:color="auto"/>
              <w:left w:val="single" w:sz="6" w:space="0" w:color="auto"/>
              <w:bottom w:val="single" w:sz="6" w:space="0" w:color="auto"/>
              <w:right w:val="single" w:sz="6" w:space="0" w:color="auto"/>
            </w:tcBorders>
            <w:shd w:val="clear" w:color="auto" w:fill="FFFFFF"/>
          </w:tcPr>
          <w:p w14:paraId="656C14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34450</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7E5B34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18182</w:t>
            </w:r>
          </w:p>
        </w:tc>
        <w:tc>
          <w:tcPr>
            <w:tcW w:w="893" w:type="dxa"/>
            <w:tcBorders>
              <w:top w:val="single" w:sz="6" w:space="0" w:color="auto"/>
              <w:left w:val="single" w:sz="6" w:space="0" w:color="auto"/>
              <w:bottom w:val="single" w:sz="6" w:space="0" w:color="auto"/>
              <w:right w:val="single" w:sz="6" w:space="0" w:color="auto"/>
            </w:tcBorders>
            <w:shd w:val="clear" w:color="auto" w:fill="FFFFFF"/>
          </w:tcPr>
          <w:p w14:paraId="0C05DFE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14075</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586AD6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16268</w:t>
            </w:r>
          </w:p>
        </w:tc>
        <w:tc>
          <w:tcPr>
            <w:tcW w:w="926" w:type="dxa"/>
            <w:tcBorders>
              <w:top w:val="single" w:sz="6" w:space="0" w:color="auto"/>
              <w:left w:val="single" w:sz="6" w:space="0" w:color="auto"/>
              <w:bottom w:val="single" w:sz="6" w:space="0" w:color="auto"/>
              <w:right w:val="single" w:sz="6" w:space="0" w:color="auto"/>
            </w:tcBorders>
            <w:shd w:val="clear" w:color="auto" w:fill="FFFFFF"/>
          </w:tcPr>
          <w:p w14:paraId="15B451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78700</w:t>
            </w:r>
          </w:p>
        </w:tc>
      </w:tr>
      <w:tr w:rsidR="00643896" w:rsidRPr="00640820" w14:paraId="13111427" w14:textId="77777777" w:rsidTr="000D3BCB">
        <w:trPr>
          <w:trHeight w:val="226"/>
        </w:trPr>
        <w:tc>
          <w:tcPr>
            <w:tcW w:w="494" w:type="dxa"/>
            <w:tcBorders>
              <w:top w:val="single" w:sz="6" w:space="0" w:color="auto"/>
              <w:left w:val="single" w:sz="6" w:space="0" w:color="auto"/>
              <w:bottom w:val="single" w:sz="6" w:space="0" w:color="auto"/>
              <w:right w:val="single" w:sz="6" w:space="0" w:color="auto"/>
            </w:tcBorders>
            <w:shd w:val="clear" w:color="auto" w:fill="FFFFFF"/>
          </w:tcPr>
          <w:p w14:paraId="10A574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lastRenderedPageBreak/>
              <w:t>V</w:t>
            </w:r>
          </w:p>
        </w:tc>
        <w:tc>
          <w:tcPr>
            <w:tcW w:w="907" w:type="dxa"/>
            <w:tcBorders>
              <w:top w:val="single" w:sz="6" w:space="0" w:color="auto"/>
              <w:left w:val="single" w:sz="6" w:space="0" w:color="auto"/>
              <w:bottom w:val="single" w:sz="6" w:space="0" w:color="auto"/>
              <w:right w:val="single" w:sz="6" w:space="0" w:color="auto"/>
            </w:tcBorders>
            <w:shd w:val="clear" w:color="auto" w:fill="FFFFFF"/>
          </w:tcPr>
          <w:p w14:paraId="36837C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5820</w:t>
            </w:r>
          </w:p>
        </w:tc>
        <w:tc>
          <w:tcPr>
            <w:tcW w:w="907" w:type="dxa"/>
            <w:tcBorders>
              <w:top w:val="single" w:sz="6" w:space="0" w:color="auto"/>
              <w:left w:val="single" w:sz="6" w:space="0" w:color="auto"/>
              <w:bottom w:val="single" w:sz="6" w:space="0" w:color="auto"/>
              <w:right w:val="single" w:sz="6" w:space="0" w:color="auto"/>
            </w:tcBorders>
            <w:shd w:val="clear" w:color="auto" w:fill="FFFFFF"/>
          </w:tcPr>
          <w:p w14:paraId="6D422F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12090</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1F2C52A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6270</w:t>
            </w:r>
          </w:p>
        </w:tc>
        <w:tc>
          <w:tcPr>
            <w:tcW w:w="893" w:type="dxa"/>
            <w:tcBorders>
              <w:top w:val="single" w:sz="6" w:space="0" w:color="auto"/>
              <w:left w:val="single" w:sz="6" w:space="0" w:color="auto"/>
              <w:bottom w:val="single" w:sz="6" w:space="0" w:color="auto"/>
              <w:right w:val="single" w:sz="6" w:space="0" w:color="auto"/>
            </w:tcBorders>
            <w:shd w:val="clear" w:color="auto" w:fill="FFFFFF"/>
          </w:tcPr>
          <w:p w14:paraId="026A75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Нд</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493BE3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5495</w:t>
            </w:r>
          </w:p>
        </w:tc>
        <w:tc>
          <w:tcPr>
            <w:tcW w:w="926" w:type="dxa"/>
            <w:tcBorders>
              <w:top w:val="single" w:sz="6" w:space="0" w:color="auto"/>
              <w:left w:val="single" w:sz="6" w:space="0" w:color="auto"/>
              <w:bottom w:val="single" w:sz="6" w:space="0" w:color="auto"/>
              <w:right w:val="single" w:sz="6" w:space="0" w:color="auto"/>
            </w:tcBorders>
            <w:shd w:val="clear" w:color="auto" w:fill="FFFFFF"/>
          </w:tcPr>
          <w:p w14:paraId="19920D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38000</w:t>
            </w:r>
          </w:p>
        </w:tc>
      </w:tr>
      <w:tr w:rsidR="00643896" w:rsidRPr="00640820" w14:paraId="59B60190" w14:textId="77777777" w:rsidTr="000D3BCB">
        <w:trPr>
          <w:trHeight w:val="221"/>
        </w:trPr>
        <w:tc>
          <w:tcPr>
            <w:tcW w:w="494" w:type="dxa"/>
            <w:tcBorders>
              <w:top w:val="single" w:sz="6" w:space="0" w:color="auto"/>
              <w:left w:val="single" w:sz="6" w:space="0" w:color="auto"/>
              <w:bottom w:val="single" w:sz="6" w:space="0" w:color="auto"/>
              <w:right w:val="single" w:sz="6" w:space="0" w:color="auto"/>
            </w:tcBorders>
            <w:shd w:val="clear" w:color="auto" w:fill="FFFFFF"/>
          </w:tcPr>
          <w:p w14:paraId="113EDF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VII</w:t>
            </w:r>
          </w:p>
        </w:tc>
        <w:tc>
          <w:tcPr>
            <w:tcW w:w="907" w:type="dxa"/>
            <w:tcBorders>
              <w:top w:val="single" w:sz="6" w:space="0" w:color="auto"/>
              <w:left w:val="single" w:sz="6" w:space="0" w:color="auto"/>
              <w:bottom w:val="single" w:sz="6" w:space="0" w:color="auto"/>
              <w:right w:val="single" w:sz="6" w:space="0" w:color="auto"/>
            </w:tcBorders>
            <w:shd w:val="clear" w:color="auto" w:fill="FFFFFF"/>
          </w:tcPr>
          <w:p w14:paraId="341503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4105</w:t>
            </w:r>
          </w:p>
        </w:tc>
        <w:tc>
          <w:tcPr>
            <w:tcW w:w="907" w:type="dxa"/>
            <w:tcBorders>
              <w:top w:val="single" w:sz="6" w:space="0" w:color="auto"/>
              <w:left w:val="single" w:sz="6" w:space="0" w:color="auto"/>
              <w:bottom w:val="single" w:sz="6" w:space="0" w:color="auto"/>
              <w:right w:val="single" w:sz="6" w:space="0" w:color="auto"/>
            </w:tcBorders>
            <w:shd w:val="clear" w:color="auto" w:fill="FFFFFF"/>
          </w:tcPr>
          <w:p w14:paraId="252381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5605</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5E1DED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1500</w:t>
            </w:r>
          </w:p>
        </w:tc>
        <w:tc>
          <w:tcPr>
            <w:tcW w:w="893" w:type="dxa"/>
            <w:tcBorders>
              <w:top w:val="single" w:sz="6" w:space="0" w:color="auto"/>
              <w:left w:val="single" w:sz="6" w:space="0" w:color="auto"/>
              <w:bottom w:val="single" w:sz="6" w:space="0" w:color="auto"/>
              <w:right w:val="single" w:sz="6" w:space="0" w:color="auto"/>
            </w:tcBorders>
            <w:shd w:val="clear" w:color="auto" w:fill="FFFFFF"/>
          </w:tcPr>
          <w:p w14:paraId="3D1A69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1500</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393B07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27030 к. п.</w:t>
            </w:r>
          </w:p>
        </w:tc>
        <w:tc>
          <w:tcPr>
            <w:tcW w:w="926" w:type="dxa"/>
            <w:tcBorders>
              <w:top w:val="single" w:sz="6" w:space="0" w:color="auto"/>
              <w:left w:val="single" w:sz="6" w:space="0" w:color="auto"/>
              <w:bottom w:val="single" w:sz="6" w:space="0" w:color="auto"/>
              <w:right w:val="single" w:sz="6" w:space="0" w:color="auto"/>
            </w:tcBorders>
            <w:shd w:val="clear" w:color="auto" w:fill="FFFFFF"/>
          </w:tcPr>
          <w:p w14:paraId="28A840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15000</w:t>
            </w:r>
          </w:p>
        </w:tc>
      </w:tr>
      <w:tr w:rsidR="00643896" w:rsidRPr="00640820" w14:paraId="36759EC2" w14:textId="77777777" w:rsidTr="000D3BCB">
        <w:trPr>
          <w:trHeight w:val="221"/>
        </w:trPr>
        <w:tc>
          <w:tcPr>
            <w:tcW w:w="494" w:type="dxa"/>
            <w:tcBorders>
              <w:top w:val="single" w:sz="6" w:space="0" w:color="auto"/>
              <w:left w:val="single" w:sz="6" w:space="0" w:color="auto"/>
              <w:bottom w:val="single" w:sz="6" w:space="0" w:color="auto"/>
              <w:right w:val="single" w:sz="6" w:space="0" w:color="auto"/>
            </w:tcBorders>
            <w:shd w:val="clear" w:color="auto" w:fill="FFFFFF"/>
          </w:tcPr>
          <w:p w14:paraId="3666C6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IX</w:t>
            </w:r>
          </w:p>
        </w:tc>
        <w:tc>
          <w:tcPr>
            <w:tcW w:w="907" w:type="dxa"/>
            <w:tcBorders>
              <w:top w:val="single" w:sz="6" w:space="0" w:color="auto"/>
              <w:left w:val="single" w:sz="6" w:space="0" w:color="auto"/>
              <w:bottom w:val="single" w:sz="6" w:space="0" w:color="auto"/>
              <w:right w:val="single" w:sz="6" w:space="0" w:color="auto"/>
            </w:tcBorders>
            <w:shd w:val="clear" w:color="auto" w:fill="FFFFFF"/>
          </w:tcPr>
          <w:p w14:paraId="1FCBD1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4074</w:t>
            </w:r>
          </w:p>
        </w:tc>
        <w:tc>
          <w:tcPr>
            <w:tcW w:w="907" w:type="dxa"/>
            <w:tcBorders>
              <w:top w:val="single" w:sz="6" w:space="0" w:color="auto"/>
              <w:left w:val="single" w:sz="6" w:space="0" w:color="auto"/>
              <w:bottom w:val="single" w:sz="6" w:space="0" w:color="auto"/>
              <w:right w:val="single" w:sz="6" w:space="0" w:color="auto"/>
            </w:tcBorders>
            <w:shd w:val="clear" w:color="auto" w:fill="FFFFFF"/>
          </w:tcPr>
          <w:p w14:paraId="693122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15892</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1D11AD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11742</w:t>
            </w:r>
          </w:p>
        </w:tc>
        <w:tc>
          <w:tcPr>
            <w:tcW w:w="893" w:type="dxa"/>
            <w:tcBorders>
              <w:top w:val="single" w:sz="6" w:space="0" w:color="auto"/>
              <w:left w:val="single" w:sz="6" w:space="0" w:color="auto"/>
              <w:bottom w:val="single" w:sz="6" w:space="0" w:color="auto"/>
              <w:right w:val="single" w:sz="6" w:space="0" w:color="auto"/>
            </w:tcBorders>
            <w:shd w:val="clear" w:color="auto" w:fill="FFFFFF"/>
          </w:tcPr>
          <w:p w14:paraId="4A447C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9450</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407529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12200"</w:t>
            </w:r>
          </w:p>
        </w:tc>
        <w:tc>
          <w:tcPr>
            <w:tcW w:w="926" w:type="dxa"/>
            <w:tcBorders>
              <w:top w:val="single" w:sz="6" w:space="0" w:color="auto"/>
              <w:left w:val="single" w:sz="6" w:space="0" w:color="auto"/>
              <w:bottom w:val="single" w:sz="6" w:space="0" w:color="auto"/>
              <w:right w:val="single" w:sz="6" w:space="0" w:color="auto"/>
            </w:tcBorders>
            <w:shd w:val="clear" w:color="auto" w:fill="FFFFFF"/>
          </w:tcPr>
          <w:p w14:paraId="69C144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Нд.</w:t>
            </w:r>
          </w:p>
        </w:tc>
      </w:tr>
      <w:tr w:rsidR="00643896" w:rsidRPr="00640820" w14:paraId="65CFC540" w14:textId="77777777" w:rsidTr="000D3BCB">
        <w:trPr>
          <w:trHeight w:val="221"/>
        </w:trPr>
        <w:tc>
          <w:tcPr>
            <w:tcW w:w="494" w:type="dxa"/>
            <w:tcBorders>
              <w:top w:val="single" w:sz="6" w:space="0" w:color="auto"/>
              <w:left w:val="single" w:sz="6" w:space="0" w:color="auto"/>
              <w:bottom w:val="single" w:sz="6" w:space="0" w:color="auto"/>
              <w:right w:val="single" w:sz="6" w:space="0" w:color="auto"/>
            </w:tcBorders>
            <w:shd w:val="clear" w:color="auto" w:fill="FFFFFF"/>
          </w:tcPr>
          <w:p w14:paraId="59584B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X</w:t>
            </w:r>
          </w:p>
        </w:tc>
        <w:tc>
          <w:tcPr>
            <w:tcW w:w="907" w:type="dxa"/>
            <w:tcBorders>
              <w:top w:val="single" w:sz="6" w:space="0" w:color="auto"/>
              <w:left w:val="single" w:sz="6" w:space="0" w:color="auto"/>
              <w:bottom w:val="single" w:sz="6" w:space="0" w:color="auto"/>
              <w:right w:val="single" w:sz="6" w:space="0" w:color="auto"/>
            </w:tcBorders>
            <w:shd w:val="clear" w:color="auto" w:fill="FFFFFF"/>
          </w:tcPr>
          <w:p w14:paraId="2B552A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60000</w:t>
            </w:r>
          </w:p>
        </w:tc>
        <w:tc>
          <w:tcPr>
            <w:tcW w:w="907" w:type="dxa"/>
            <w:tcBorders>
              <w:top w:val="single" w:sz="6" w:space="0" w:color="auto"/>
              <w:left w:val="single" w:sz="6" w:space="0" w:color="auto"/>
              <w:bottom w:val="single" w:sz="6" w:space="0" w:color="auto"/>
              <w:right w:val="single" w:sz="6" w:space="0" w:color="auto"/>
            </w:tcBorders>
            <w:shd w:val="clear" w:color="auto" w:fill="FFFFFF"/>
          </w:tcPr>
          <w:p w14:paraId="7D5A57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76550</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0DD89C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16550</w:t>
            </w:r>
          </w:p>
        </w:tc>
        <w:tc>
          <w:tcPr>
            <w:tcW w:w="893" w:type="dxa"/>
            <w:tcBorders>
              <w:top w:val="single" w:sz="6" w:space="0" w:color="auto"/>
              <w:left w:val="single" w:sz="6" w:space="0" w:color="auto"/>
              <w:bottom w:val="single" w:sz="6" w:space="0" w:color="auto"/>
              <w:right w:val="single" w:sz="6" w:space="0" w:color="auto"/>
            </w:tcBorders>
            <w:shd w:val="clear" w:color="auto" w:fill="FFFFFF"/>
          </w:tcPr>
          <w:p w14:paraId="4A018B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8400</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384ABD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НА</w:t>
            </w:r>
          </w:p>
        </w:tc>
        <w:tc>
          <w:tcPr>
            <w:tcW w:w="926" w:type="dxa"/>
            <w:tcBorders>
              <w:top w:val="single" w:sz="6" w:space="0" w:color="auto"/>
              <w:left w:val="single" w:sz="6" w:space="0" w:color="auto"/>
              <w:bottom w:val="single" w:sz="6" w:space="0" w:color="auto"/>
              <w:right w:val="single" w:sz="6" w:space="0" w:color="auto"/>
            </w:tcBorders>
            <w:shd w:val="clear" w:color="auto" w:fill="FFFFFF"/>
          </w:tcPr>
          <w:p w14:paraId="264FFD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74850</w:t>
            </w:r>
          </w:p>
        </w:tc>
      </w:tr>
      <w:tr w:rsidR="00643896" w:rsidRPr="00640820" w14:paraId="1CD1F111" w14:textId="77777777" w:rsidTr="000D3BCB">
        <w:trPr>
          <w:trHeight w:val="240"/>
        </w:trPr>
        <w:tc>
          <w:tcPr>
            <w:tcW w:w="494" w:type="dxa"/>
            <w:tcBorders>
              <w:top w:val="single" w:sz="6" w:space="0" w:color="auto"/>
              <w:left w:val="single" w:sz="6" w:space="0" w:color="auto"/>
              <w:bottom w:val="single" w:sz="6" w:space="0" w:color="auto"/>
              <w:right w:val="single" w:sz="6" w:space="0" w:color="auto"/>
            </w:tcBorders>
            <w:shd w:val="clear" w:color="auto" w:fill="FFFFFF"/>
          </w:tcPr>
          <w:p w14:paraId="6ECF09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XI</w:t>
            </w:r>
          </w:p>
        </w:tc>
        <w:tc>
          <w:tcPr>
            <w:tcW w:w="907" w:type="dxa"/>
            <w:tcBorders>
              <w:top w:val="single" w:sz="6" w:space="0" w:color="auto"/>
              <w:left w:val="single" w:sz="6" w:space="0" w:color="auto"/>
              <w:bottom w:val="single" w:sz="6" w:space="0" w:color="auto"/>
              <w:right w:val="single" w:sz="6" w:space="0" w:color="auto"/>
            </w:tcBorders>
            <w:shd w:val="clear" w:color="auto" w:fill="FFFFFF"/>
          </w:tcPr>
          <w:p w14:paraId="179E31E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4920</w:t>
            </w:r>
          </w:p>
        </w:tc>
        <w:tc>
          <w:tcPr>
            <w:tcW w:w="907" w:type="dxa"/>
            <w:tcBorders>
              <w:top w:val="single" w:sz="6" w:space="0" w:color="auto"/>
              <w:left w:val="single" w:sz="6" w:space="0" w:color="auto"/>
              <w:bottom w:val="single" w:sz="6" w:space="0" w:color="auto"/>
              <w:right w:val="single" w:sz="6" w:space="0" w:color="auto"/>
            </w:tcBorders>
            <w:shd w:val="clear" w:color="auto" w:fill="FFFFFF"/>
          </w:tcPr>
          <w:p w14:paraId="2AEC0D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9950</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3CD4B1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5030</w:t>
            </w:r>
          </w:p>
        </w:tc>
        <w:tc>
          <w:tcPr>
            <w:tcW w:w="893" w:type="dxa"/>
            <w:tcBorders>
              <w:top w:val="single" w:sz="6" w:space="0" w:color="auto"/>
              <w:left w:val="single" w:sz="6" w:space="0" w:color="auto"/>
              <w:bottom w:val="single" w:sz="6" w:space="0" w:color="auto"/>
              <w:right w:val="single" w:sz="6" w:space="0" w:color="auto"/>
            </w:tcBorders>
            <w:shd w:val="clear" w:color="auto" w:fill="FFFFFF"/>
          </w:tcPr>
          <w:p w14:paraId="469B59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1770</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50B859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Нд.</w:t>
            </w:r>
          </w:p>
        </w:tc>
        <w:tc>
          <w:tcPr>
            <w:tcW w:w="926" w:type="dxa"/>
            <w:tcBorders>
              <w:top w:val="single" w:sz="6" w:space="0" w:color="auto"/>
              <w:left w:val="single" w:sz="6" w:space="0" w:color="auto"/>
              <w:bottom w:val="single" w:sz="6" w:space="0" w:color="auto"/>
              <w:right w:val="single" w:sz="6" w:space="0" w:color="auto"/>
            </w:tcBorders>
            <w:shd w:val="clear" w:color="auto" w:fill="FFFFFF"/>
          </w:tcPr>
          <w:p w14:paraId="4B4E7B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6900</w:t>
            </w:r>
          </w:p>
        </w:tc>
      </w:tr>
    </w:tbl>
    <w:p w14:paraId="3D19DD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Исходя из санитарной нормы в 3 кв. м на человека. ** С членами семей.</w:t>
      </w:r>
    </w:p>
    <w:p w14:paraId="246216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Как видно из таблицы, львиная доля наличного на декабрь 1941 г. персонала НКАП приходилась на </w:t>
      </w:r>
      <w:r w:rsidRPr="00640820">
        <w:rPr>
          <w:rFonts w:ascii="Times New Roman" w:hAnsi="Times New Roman"/>
          <w:color w:val="000000" w:themeColor="text1"/>
          <w:sz w:val="16"/>
          <w:szCs w:val="16"/>
          <w:lang w:val="en-US"/>
        </w:rPr>
        <w:t>III</w:t>
      </w:r>
      <w:r w:rsidRPr="00640820">
        <w:rPr>
          <w:rFonts w:ascii="Times New Roman" w:hAnsi="Times New Roman"/>
          <w:color w:val="000000" w:themeColor="text1"/>
          <w:sz w:val="16"/>
          <w:szCs w:val="16"/>
        </w:rPr>
        <w:t xml:space="preserve"> (моторостроение) и </w:t>
      </w:r>
      <w:r w:rsidRPr="00640820">
        <w:rPr>
          <w:rFonts w:ascii="Times New Roman" w:hAnsi="Times New Roman"/>
          <w:color w:val="000000" w:themeColor="text1"/>
          <w:sz w:val="16"/>
          <w:szCs w:val="16"/>
          <w:lang w:val="en-US"/>
        </w:rPr>
        <w:t>X</w:t>
      </w:r>
      <w:r w:rsidRPr="00640820">
        <w:rPr>
          <w:rFonts w:ascii="Times New Roman" w:hAnsi="Times New Roman"/>
          <w:color w:val="000000" w:themeColor="text1"/>
          <w:sz w:val="16"/>
          <w:szCs w:val="16"/>
        </w:rPr>
        <w:t xml:space="preserve"> (производство штурмовиков и бомбардировщиков) глав</w:t>
      </w:r>
      <w:r w:rsidRPr="00640820">
        <w:rPr>
          <w:rFonts w:ascii="Times New Roman" w:hAnsi="Times New Roman"/>
          <w:color w:val="000000" w:themeColor="text1"/>
          <w:sz w:val="16"/>
          <w:szCs w:val="16"/>
        </w:rPr>
        <w:softHyphen/>
        <w:t>ки. И эти же главные управления предъявляли самые большие заявки на рабочую силу, потребную к моменту пуска всех эва</w:t>
      </w:r>
      <w:r w:rsidRPr="00640820">
        <w:rPr>
          <w:rFonts w:ascii="Times New Roman" w:hAnsi="Times New Roman"/>
          <w:color w:val="000000" w:themeColor="text1"/>
          <w:sz w:val="16"/>
          <w:szCs w:val="16"/>
        </w:rPr>
        <w:softHyphen/>
        <w:t>куированных заводов. Однако если вести речь не о персонале вообще, а сосредоточиться на заявках на рабочих (и особен</w:t>
      </w:r>
      <w:r w:rsidRPr="00640820">
        <w:rPr>
          <w:rFonts w:ascii="Times New Roman" w:hAnsi="Times New Roman"/>
          <w:color w:val="000000" w:themeColor="text1"/>
          <w:sz w:val="16"/>
          <w:szCs w:val="16"/>
        </w:rPr>
        <w:softHyphen/>
        <w:t xml:space="preserve">но — на квалифицированных рабочих), картина изменится. Основная масса квалифицированных рабочих должна была быть направлена на заводы </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 xml:space="preserve">, Ш и </w:t>
      </w:r>
      <w:r w:rsidRPr="00640820">
        <w:rPr>
          <w:rFonts w:ascii="Times New Roman" w:hAnsi="Times New Roman"/>
          <w:color w:val="000000" w:themeColor="text1"/>
          <w:sz w:val="16"/>
          <w:szCs w:val="16"/>
          <w:lang w:val="en-US"/>
        </w:rPr>
        <w:t>IV</w:t>
      </w:r>
      <w:r w:rsidRPr="00640820">
        <w:rPr>
          <w:rFonts w:ascii="Times New Roman" w:hAnsi="Times New Roman"/>
          <w:color w:val="000000" w:themeColor="text1"/>
          <w:sz w:val="16"/>
          <w:szCs w:val="16"/>
        </w:rPr>
        <w:t xml:space="preserve"> главков; а наибольшая часть жилплощади, которую требовалось иметь в </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 xml:space="preserve"> квартале 1942 г., приходилась на П и Ш шавки. Таким образом, именно </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 xml:space="preserve"> и Ш шавки можно считать фаворитами НКАП на тот мо</w:t>
      </w:r>
      <w:r w:rsidRPr="00640820">
        <w:rPr>
          <w:rFonts w:ascii="Times New Roman" w:hAnsi="Times New Roman"/>
          <w:color w:val="000000" w:themeColor="text1"/>
          <w:sz w:val="16"/>
          <w:szCs w:val="16"/>
        </w:rPr>
        <w:softHyphen/>
        <w:t>мент — именно этим главным управлениям планировалось выделить наибольшее количество квалифицированных рабо</w:t>
      </w:r>
      <w:r w:rsidRPr="00640820">
        <w:rPr>
          <w:rFonts w:ascii="Times New Roman" w:hAnsi="Times New Roman"/>
          <w:color w:val="000000" w:themeColor="text1"/>
          <w:sz w:val="16"/>
          <w:szCs w:val="16"/>
        </w:rPr>
        <w:softHyphen/>
        <w:t>чих и жилплощади (12011).</w:t>
      </w:r>
    </w:p>
    <w:p w14:paraId="6209A9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7C5C1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Уже в декабре 1941 г. рабочие авиазаводов № 168,471 и 494 начали массово выражать желание вернуться как можно скорее в Мо</w:t>
      </w:r>
      <w:r w:rsidRPr="00640820">
        <w:rPr>
          <w:rFonts w:ascii="Times New Roman" w:hAnsi="Times New Roman"/>
          <w:color w:val="000000" w:themeColor="text1"/>
          <w:sz w:val="16"/>
          <w:szCs w:val="16"/>
        </w:rPr>
        <w:softHyphen/>
        <w:t>скву. Руководство НКАП было вынуждено дать специальное указание отделам кадров указанных заводов о недопустимо</w:t>
      </w:r>
      <w:r w:rsidRPr="00640820">
        <w:rPr>
          <w:rFonts w:ascii="Times New Roman" w:hAnsi="Times New Roman"/>
          <w:color w:val="000000" w:themeColor="text1"/>
          <w:sz w:val="16"/>
          <w:szCs w:val="16"/>
        </w:rPr>
        <w:softHyphen/>
        <w:t xml:space="preserve">сти индивидуальной реэвакуации (РГАЭ, Ф. 8044. </w:t>
      </w:r>
      <w:r w:rsidRPr="00640820">
        <w:rPr>
          <w:rFonts w:ascii="Times New Roman" w:hAnsi="Times New Roman"/>
          <w:color w:val="000000" w:themeColor="text1"/>
          <w:sz w:val="16"/>
          <w:szCs w:val="16"/>
          <w:lang w:val="en-US"/>
        </w:rPr>
        <w:t>On</w:t>
      </w:r>
      <w:r w:rsidRPr="00640820">
        <w:rPr>
          <w:rFonts w:ascii="Times New Roman" w:hAnsi="Times New Roman"/>
          <w:color w:val="000000" w:themeColor="text1"/>
          <w:sz w:val="16"/>
          <w:szCs w:val="16"/>
        </w:rPr>
        <w:t>. 1. Д. 6431. Л. 16). Характерна жалоба 35 со</w:t>
      </w:r>
      <w:r w:rsidRPr="00640820">
        <w:rPr>
          <w:rFonts w:ascii="Times New Roman" w:hAnsi="Times New Roman"/>
          <w:color w:val="000000" w:themeColor="text1"/>
          <w:sz w:val="16"/>
          <w:szCs w:val="16"/>
        </w:rPr>
        <w:softHyphen/>
        <w:t>трудников завода № 30, направленная Л.П. Берии 19 марта 1942 г. В ней рабочие пишут, что были реэвакуированы с за</w:t>
      </w:r>
      <w:r w:rsidRPr="00640820">
        <w:rPr>
          <w:rFonts w:ascii="Times New Roman" w:hAnsi="Times New Roman"/>
          <w:color w:val="000000" w:themeColor="text1"/>
          <w:sz w:val="16"/>
          <w:szCs w:val="16"/>
        </w:rPr>
        <w:softHyphen/>
        <w:t xml:space="preserve">вода № 135 из Молотова в Москву в феврале 1942 г., причём руководство </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 xml:space="preserve"> ГУ НКАП твёрдо обещало, что семьи рабочих прибудут через 1,5—2 месяца. Однако время шло, семьи про</w:t>
      </w:r>
      <w:r w:rsidRPr="00640820">
        <w:rPr>
          <w:rFonts w:ascii="Times New Roman" w:hAnsi="Times New Roman"/>
          <w:color w:val="000000" w:themeColor="text1"/>
          <w:sz w:val="16"/>
          <w:szCs w:val="16"/>
        </w:rPr>
        <w:softHyphen/>
        <w:t>должали страдать от тяжёлого материального положения на Урале, в то время как семьи руководящих работников (кото</w:t>
      </w:r>
      <w:r w:rsidRPr="00640820">
        <w:rPr>
          <w:rFonts w:ascii="Times New Roman" w:hAnsi="Times New Roman"/>
          <w:color w:val="000000" w:themeColor="text1"/>
          <w:sz w:val="16"/>
          <w:szCs w:val="16"/>
        </w:rPr>
        <w:softHyphen/>
        <w:t xml:space="preserve">рые проживали в Молотове в тех же домах) уже давно были в Москве (РГАЭ. Ф. 8044. </w:t>
      </w:r>
      <w:r w:rsidRPr="00640820">
        <w:rPr>
          <w:rFonts w:ascii="Times New Roman" w:hAnsi="Times New Roman"/>
          <w:color w:val="000000" w:themeColor="text1"/>
          <w:sz w:val="16"/>
          <w:szCs w:val="16"/>
          <w:lang w:val="en-US"/>
        </w:rPr>
        <w:t>On</w:t>
      </w:r>
      <w:r w:rsidRPr="00640820">
        <w:rPr>
          <w:rFonts w:ascii="Times New Roman" w:hAnsi="Times New Roman"/>
          <w:color w:val="000000" w:themeColor="text1"/>
          <w:sz w:val="16"/>
          <w:szCs w:val="16"/>
        </w:rPr>
        <w:t>. 1. Д. 6432. Л. 129—130). Летом 1942 г. дирекция завода № 22 просила НКАП прекратить практику персональных откомандировок ИГР в Москву. Оно мотивировало это тем, что завод и без того ис</w:t>
      </w:r>
      <w:r w:rsidRPr="00640820">
        <w:rPr>
          <w:rFonts w:ascii="Times New Roman" w:hAnsi="Times New Roman"/>
          <w:color w:val="000000" w:themeColor="text1"/>
          <w:sz w:val="16"/>
          <w:szCs w:val="16"/>
        </w:rPr>
        <w:softHyphen/>
        <w:t>пытывает постоянный некомплект инженерно-технических сотрудников, и в этой ситуации потворствовать желанию от</w:t>
      </w:r>
      <w:r w:rsidRPr="00640820">
        <w:rPr>
          <w:rFonts w:ascii="Times New Roman" w:hAnsi="Times New Roman"/>
          <w:color w:val="000000" w:themeColor="text1"/>
          <w:sz w:val="16"/>
          <w:szCs w:val="16"/>
        </w:rPr>
        <w:softHyphen/>
        <w:t xml:space="preserve">дельных индивидов перебраться в столицу — недопустимо (РГАЭ. Ф. 8044. </w:t>
      </w:r>
      <w:r w:rsidRPr="00640820">
        <w:rPr>
          <w:rFonts w:ascii="Times New Roman" w:hAnsi="Times New Roman"/>
          <w:color w:val="000000" w:themeColor="text1"/>
          <w:sz w:val="16"/>
          <w:szCs w:val="16"/>
          <w:lang w:val="en-US"/>
        </w:rPr>
        <w:t>On</w:t>
      </w:r>
      <w:r w:rsidRPr="00640820">
        <w:rPr>
          <w:rFonts w:ascii="Times New Roman" w:hAnsi="Times New Roman"/>
          <w:color w:val="000000" w:themeColor="text1"/>
          <w:sz w:val="16"/>
          <w:szCs w:val="16"/>
        </w:rPr>
        <w:t>. 1. Д. 6432. Л. 167-168) (12011).</w:t>
      </w:r>
    </w:p>
    <w:p w14:paraId="689D12E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CEB2C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на площадке эвакуированного завода № 18 организованы самолетные Ремонтные мастерские. Начальник мастерских -  Г.Л. Волощенко. Осуществлялся ремонт самолетов Юго-Западного фронта. По приказу № 239с от 30.03.1942 г. на базе мастерских образован Ремонтный завод при Главремуправлении НКАП. Далее он преобразован в филиал завода № 18 НКАП, начальник филиала- Сердюк. В 04.1942 г. филиал реорганизован в ГС Завод №450 НКАП.</w:t>
      </w:r>
    </w:p>
    <w:p w14:paraId="1507581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Также на старой площадке по приказу № 174с от 27.03.1943 г. создан ремонтный завод № 18 при 6ГУ НКАП. Для формирования нового завода часть кадров завода № 18 возвращена из Куйбышева. Затем по приказам № 185с от 2.04.1943 г. и № 209с от 12.04.1943 г. сформирован ремонтно-сборочный завод № 64 НКАП. С 02.1944 г. завод передан из 6ГУ в ЮГУ для организации производства крыльев Ил-2. Имел наименование «п/я 71».</w:t>
      </w:r>
    </w:p>
    <w:p w14:paraId="55CADC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начала 1945 г. началась сборка Ил-4 из готовых комплектующих.</w:t>
      </w:r>
    </w:p>
    <w:p w14:paraId="6279B6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1945-48 г. проводилось восстановление и реконструкция завода с вводом в строй в 1949 г. Однако у» в 1946 г. началось производство агрегатов для Ил-10, а с 1947 г. строились и сами Ил-10. В 1946 г. заводу </w:t>
      </w:r>
      <w:r w:rsidRPr="00640820">
        <w:rPr>
          <w:rFonts w:ascii="Times New Roman" w:hAnsi="Times New Roman"/>
          <w:color w:val="000000" w:themeColor="text1"/>
          <w:sz w:val="16"/>
          <w:szCs w:val="16"/>
          <w:vertAlign w:val="superscript"/>
        </w:rPr>
        <w:t>р</w:t>
      </w:r>
      <w:r w:rsidRPr="00640820">
        <w:rPr>
          <w:rFonts w:ascii="Times New Roman" w:hAnsi="Times New Roman"/>
          <w:smallCaps/>
          <w:color w:val="000000" w:themeColor="text1"/>
          <w:sz w:val="16"/>
          <w:szCs w:val="16"/>
        </w:rPr>
        <w:t>нуч</w:t>
      </w:r>
      <w:r w:rsidRPr="00640820">
        <w:rPr>
          <w:rFonts w:ascii="Times New Roman" w:hAnsi="Times New Roman"/>
          <w:color w:val="000000" w:themeColor="text1"/>
          <w:sz w:val="16"/>
          <w:szCs w:val="16"/>
        </w:rPr>
        <w:t>1*</w:t>
      </w:r>
      <w:r w:rsidRPr="00640820">
        <w:rPr>
          <w:rFonts w:ascii="Times New Roman" w:hAnsi="Times New Roman"/>
          <w:smallCaps/>
          <w:color w:val="000000" w:themeColor="text1"/>
          <w:sz w:val="16"/>
          <w:szCs w:val="16"/>
        </w:rPr>
        <w:t xml:space="preserve">г </w:t>
      </w:r>
      <w:r w:rsidRPr="00640820">
        <w:rPr>
          <w:rFonts w:ascii="Times New Roman" w:hAnsi="Times New Roman"/>
          <w:color w:val="000000" w:themeColor="text1"/>
          <w:sz w:val="16"/>
          <w:szCs w:val="16"/>
        </w:rPr>
        <w:t>2507 трофейных станков (в т.ч. 907 металлорежущих). Начато освоение выпуска сельскохозяйственных машин.</w:t>
      </w:r>
    </w:p>
    <w:p w14:paraId="726789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Представителем ОКБ-240 на заводе был  Г.Е. Долгушев (1948 г.), затем (в 1950 г.) было организовано представительство во главе с зам. гл. конструктора Е.С. Фельснером. В том же году Фельснера сменил Д.А. Поликарпов.</w:t>
      </w:r>
    </w:p>
    <w:p w14:paraId="091107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соответствии с пост. </w:t>
      </w:r>
      <w:r w:rsidRPr="00640820">
        <w:rPr>
          <w:rFonts w:ascii="Times New Roman" w:hAnsi="Times New Roman"/>
          <w:color w:val="000000" w:themeColor="text1"/>
          <w:sz w:val="16"/>
          <w:szCs w:val="16"/>
          <w:lang w:val="en-US"/>
        </w:rPr>
        <w:t>CMCCGP</w:t>
      </w:r>
      <w:r w:rsidRPr="00640820">
        <w:rPr>
          <w:rFonts w:ascii="Times New Roman" w:hAnsi="Times New Roman"/>
          <w:color w:val="000000" w:themeColor="text1"/>
          <w:sz w:val="16"/>
          <w:szCs w:val="16"/>
        </w:rPr>
        <w:t xml:space="preserve"> № 713-342 от 26.06.1957 г. передан в Воронежский СНХ РСФСР,</w:t>
      </w:r>
    </w:p>
    <w:p w14:paraId="6D6AC2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 163-97сс от 2.02.1955 г. начато производство бомбардировщика Ту-16, первая машина выпущена в 05.1955 г. Построено 22 серии (1-11 по 5 машин, 12-22 по 10 машин).</w:t>
      </w:r>
    </w:p>
    <w:p w14:paraId="33C118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1961 г. на заводе образован филиал ОКБ Туполева (начальник- А.И. Путилов). Работы по сопровождению серии Ту-128, разработка Ту-128УТ, внедрение Ту-144.</w:t>
      </w:r>
    </w:p>
    <w:p w14:paraId="11E07B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Был построен корпус № 2 с пролетом 100 м для окончательной сборки Ту-144.</w:t>
      </w:r>
    </w:p>
    <w:p w14:paraId="6BEF15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время выпуска на заводе Ан-10 и Ан-12 организовано представительство ОКБ-473.</w:t>
      </w:r>
    </w:p>
    <w:p w14:paraId="4E1F53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1975 г. на заводе создано представительство ОКБ Ильюшина (представитель (1975 г.-)- М.А. Салазкин, Б.М. Тупиков, (1986 г.)- С.Ф. Буяков).</w:t>
      </w:r>
    </w:p>
    <w:p w14:paraId="22D17F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Изготавливал комплектующие для ОК «Буран».</w:t>
      </w:r>
    </w:p>
    <w:p w14:paraId="5A1917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Указом президента РФ № 1532 от 21.07.1994 г. создана холдинговая компания «Ильюшин» в составе АООТ «АК им. С.В. Ильюшина» и ВАСО. 14.04.2000 г. создано ОАО «МАК «Ильюшин», в состав которого вошли ОАО «АК им. С.В. Ильюшина» и ОАО «ВАСО». По решению правительства № 22-р от 9.01.2004 г. вошло в перечень стратегических предприятий.</w:t>
      </w:r>
    </w:p>
    <w:p w14:paraId="0FA595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2004 г. велась подготовка к выпуску сельскохозяйственного Ту-54, Ан-148, Ил-76МФ, Ил-112В. В 11.2005 г. подписано лицензионное соглашение с АНТК им. Антонова о производстве Ан-148. В 2007 г. велась подготовка к производству Ил-112.</w:t>
      </w:r>
    </w:p>
    <w:p w14:paraId="5E58EF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(1.04.2003 г.)- 10.570 чел.</w:t>
      </w:r>
    </w:p>
    <w:p w14:paraId="14FA79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(02.1944 г.)- Сердюк, (1950 г.)- г-м В.Н. Смирнов. Гендиректор (1998-30.09.2005 г.)- В.А. Саликов; И.О. гендиректора (10.2005-02.2006 г.)- М.Н. Шушпанов; (16.02.2006-08 г.-)- М.Н. Шушпанов.</w:t>
      </w:r>
    </w:p>
    <w:p w14:paraId="6816C1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(1996 г.)- В. Терентьев. Зам. гендиректора: по материально-финансовым вопросам (1992 г.)- Ю.Т. Киреев; по экономике (10.2004 г.)- Б.С. Гаврилов.</w:t>
      </w:r>
    </w:p>
    <w:p w14:paraId="4C0F5DC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(ВОВ)- Н.Д. Востров, (1950 г.)- В.И. Демин, (1986-98 г.)- В. А. Саликов, (-2003-02.2006 г.)- М.Н. Шушпанов.</w:t>
      </w:r>
    </w:p>
    <w:p w14:paraId="048CC9A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технолог (2004 г.)- В.В. Кефели. Гл. диспетчер (1972 г.-)- Ю.Т. Киреев.</w:t>
      </w:r>
    </w:p>
    <w:p w14:paraId="281FB3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Центра маркетинга и продаж (2005 г.)- В.А. Тулупов.</w:t>
      </w:r>
    </w:p>
    <w:p w14:paraId="6324CED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цехов: сборочного- Ю.Т. Киреев; сотовых конструкций- Ю.Т. Киреев.</w:t>
      </w:r>
    </w:p>
    <w:p w14:paraId="161FF5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СКО (1950-е)- Вульман.</w:t>
      </w:r>
    </w:p>
    <w:p w14:paraId="630BE9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начальника СКО (1950-е)- Мачурин.</w:t>
      </w:r>
    </w:p>
    <w:p w14:paraId="5B1620A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самолеты: Ил-4 (1945-), Ил-10 (1947-49), Ил-12 (1949-), Ил-28 (1949-54), Ту-16 (1955-57)- 165</w:t>
      </w:r>
      <w:r w:rsidRPr="00640820">
        <w:rPr>
          <w:rFonts w:ascii="Times New Roman" w:hAnsi="Times New Roman"/>
          <w:color w:val="000000" w:themeColor="text1"/>
          <w:sz w:val="16"/>
          <w:szCs w:val="16"/>
          <w:vertAlign w:val="superscript"/>
        </w:rPr>
        <w:t>31</w:t>
      </w:r>
      <w:r w:rsidRPr="00640820">
        <w:rPr>
          <w:rFonts w:ascii="Times New Roman" w:hAnsi="Times New Roman"/>
          <w:color w:val="000000" w:themeColor="text1"/>
          <w:sz w:val="16"/>
          <w:szCs w:val="16"/>
        </w:rPr>
        <w:t>; Ан-10 (1957-12.1959), Ан-ЮА (12.1959-61)- всего 104; Ан-12 (1960-65)- 258, Ту-128 (1962-), Ту-144 (1968), Ил-76, Ил-86 (1977-)-103, Су-24М (1980-е), Ил-96-300 (1986-2005-)- 14 (на 08.2005), Ил-96М, Ил-96Т (1995-2005- ), СМ-92 «Финист» (2004); крыло и мотогондолы для Ту-160; ремонт Ил-12 (-1950);</w:t>
      </w:r>
    </w:p>
    <w:p w14:paraId="7AEEF7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БПЛА: ДБР-1 «Ястреб» (1962-72)- 52, «Стриж», «Рейс»;</w:t>
      </w:r>
    </w:p>
    <w:p w14:paraId="3C871A3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сельскохозяйственная техника: комбайн КСС-2,6, сеялка С-12А; катера («Воронеж», «Дельфин», «Кейс», «Максим», «Аргонавт») и моторные лодки; элементы интерьера пассажирских вагонов; весы крановые и платформенные; вибронасосы «Удалец», «Полив»; стиральные машины «Ивушка» (2004).</w:t>
      </w:r>
    </w:p>
    <w:p w14:paraId="260567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Заводской №: 2400901 (Ан-12): 2- год выпуска; 4- № завода; 0- не несет информации; 09- № серии; 01- </w:t>
      </w:r>
      <w:r w:rsidRPr="00640820">
        <w:rPr>
          <w:rFonts w:ascii="Times New Roman" w:hAnsi="Times New Roman"/>
          <w:color w:val="000000" w:themeColor="text1"/>
          <w:sz w:val="16"/>
          <w:szCs w:val="16"/>
          <w:lang w:val="en-US"/>
        </w:rPr>
        <w:t>Ms</w:t>
      </w:r>
      <w:r w:rsidRPr="00640820">
        <w:rPr>
          <w:rFonts w:ascii="Times New Roman" w:hAnsi="Times New Roman"/>
          <w:color w:val="000000" w:themeColor="text1"/>
          <w:sz w:val="16"/>
          <w:szCs w:val="16"/>
        </w:rPr>
        <w:t xml:space="preserve"> самолета в серии (11982).</w:t>
      </w:r>
    </w:p>
    <w:p w14:paraId="386649EF" w14:textId="77777777" w:rsidR="00813840" w:rsidRPr="00640820" w:rsidRDefault="00813840" w:rsidP="00640820">
      <w:pPr>
        <w:autoSpaceDE w:val="0"/>
        <w:autoSpaceDN w:val="0"/>
        <w:adjustRightInd w:val="0"/>
        <w:spacing w:after="0" w:line="240" w:lineRule="auto"/>
        <w:jc w:val="both"/>
        <w:rPr>
          <w:rFonts w:ascii="Times New Roman" w:hAnsi="Times New Roman"/>
          <w:color w:val="000000" w:themeColor="text1"/>
          <w:sz w:val="16"/>
          <w:szCs w:val="16"/>
        </w:rPr>
      </w:pPr>
    </w:p>
    <w:p w14:paraId="472F2E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года совместным приказом НКАП и НК танкопрома филиал завода № 145 НКАП, оставшийся в Москве был передан заводу № 221 НК танковой промышленности (8933).</w:t>
      </w:r>
    </w:p>
    <w:p w14:paraId="781C203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A0DB0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года в соответствии с постановлением ГКО от 8 октября 1941 года за № 741сс и приказа НКАП № 1053сс от 19 октября 1941 года на стройплощадку завода № 286 прибыл с техникой и личным составом эвакуированный из Балашихи завод № 120, на базе которого и был организован завод № 286.</w:t>
      </w:r>
    </w:p>
    <w:p w14:paraId="2A4797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Каменск-Уральский Свердловской области, п/я 30</w:t>
      </w:r>
    </w:p>
    <w:p w14:paraId="177EB7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Назначение завода – производство колес для самолетов и тормозных устройств с агрегатами управления (9489).</w:t>
      </w:r>
    </w:p>
    <w:p w14:paraId="7346AE9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9A49DE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года на заводе № 235 директором был Золотарев (9202)</w:t>
      </w:r>
    </w:p>
    <w:p w14:paraId="3B49EE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завод №126 должен был сдать 58 бомбардировщиков, а моторов имел на шесть, бронеспинок не было вовсе. В среднем промышленность поставляла фронту два ДБ-3Ф в сутки, а теряли по восемь. За первые шесть месяцев войны в действующие полки дальнебомбардировочной авиации поступило всего 170 ДБ-3Ф, потеряли же за это время - 1150! Подобная ситуация сохранялась и в начале 1942 г (7666).</w:t>
      </w:r>
    </w:p>
    <w:p w14:paraId="1E5AE0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F55FC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года в Черниковск из Рыбинска прибыл завод № 26 и завод № 234 слился с ним и утратил свой номер.</w:t>
      </w:r>
    </w:p>
    <w:p w14:paraId="40B36E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время ВОВ на территории бывш. завода № 234 (Ленинград, Флюгов пер., 13) находилась ремонтная база по ремонту танков и другого военного снаряжения.</w:t>
      </w:r>
    </w:p>
    <w:p w14:paraId="3E9AF8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Ремонтная база ликвидировалась в 1944 году. В 1945 году согласно Постановления СМ на площадку бывш. завода № 234 (Ленинград) был перебазирован завод № 466 из Горького и располагался в тот момент на трех площадках: Флюгов пер., д. 13; Алексеевский пер., д. 9 и Языков пер., д. 9.</w:t>
      </w:r>
    </w:p>
    <w:p w14:paraId="5A3B5A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Через некоторое время после переезда завода № 466 в Ленинград из Черниковска с завода № 26 на завод № 466 была передана большая часть работников опытного КБ гл. конструктора Климова В.Я. и на этой базе было оранизовано ОКБ завода № 466.</w:t>
      </w:r>
    </w:p>
    <w:p w14:paraId="320151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Согласно Постановления СМ № 2227-607сс от 30 сентября 1946 года и приказа МАП № 424 от 3 июля 1947 года ОКБ гл. конструктора Климова В.Я. было преобразовано в опытный завод газотурбинных реактивных двигателей и ему был присвоен № 117.</w:t>
      </w:r>
    </w:p>
    <w:p w14:paraId="779585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117 остался на основной площадке (Флюгов пер., д. 13), а завод № 466 на площадке по адресу Алексеевский пер., д. 9. В 1959 завод № 117 занимал три площадки: Кантемировская ул., д. 13 (бывш. Флюгов пер., д. 13): Белоостровская ул., д. 9 (бывш. Языков пер., д. 9) и для строительства Экспериментально-опытной базы заводу № 117 Адрес: Ленинград, Выборгский район, Кантемировская ул., д. 13 (бывш. Флюгов пер.)</w:t>
      </w:r>
    </w:p>
    <w:p w14:paraId="3E267D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Производственный профиль – опытное авиамоторостроение</w:t>
      </w:r>
    </w:p>
    <w:p w14:paraId="659D5B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Постановлением СМ за № 17677рс от 30 октября 1953 года отведен участок 64-67 в районе Парголовской дачи.</w:t>
      </w:r>
    </w:p>
    <w:p w14:paraId="60BCC4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Директором завода и гл. конструктором с 1947 года является Климов В.Я. (9676)</w:t>
      </w:r>
    </w:p>
    <w:p w14:paraId="44DB48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на производственных площадях бывшего московского завода № 22 в Филях, эвакуированного в Казань, создали завод № 23, а на месте бывшего завода № 39 - завод № 81. Эти предприятия также приступили к производству самолетов ДБ-3Ф, однако начать их выпуск они смогли только в 1942 г. и строили их недолго - уже во второй половине 1943 г. их переориентировали на производство боевых самолетов других типов (9528).</w:t>
      </w:r>
    </w:p>
    <w:p w14:paraId="2B73B4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0EE21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заводу № 295 было передано оборудование, ИТР, рабочие и служащие эвакуированных Боровической мебельной фабрики «Красный деревообделочник» и Боровического деревообделочного комбината. Кроме того, на территории этого же завода был размещен завод № 35, эвакуированный из Смоленска и получивший заволд, эвакуированный из гор. Ступина, который начал выпускать продукцию в конце декабря 1941 г. (11714)</w:t>
      </w:r>
    </w:p>
    <w:p w14:paraId="1A8EEE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853DF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года ведущий инженер завода N 379 конструктор объектов Чачикян писал письмо Маленкову.</w:t>
      </w:r>
    </w:p>
    <w:p w14:paraId="44A9AA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Резолюция Маленкова от 16 декабря 1941 года Шахурину и Жигареву: Ваши предложения?</w:t>
      </w:r>
    </w:p>
    <w:p w14:paraId="3BEE31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Еще до войны после ряда лет экспериментальной и производственной работы по постановлению КО N 42сс от 26.I-40 г., заводом 379 были изготовлены тяжелые телемеханические бомбардировщики. Объекты успешно прошли государственные испытания в НИИ ВВС.</w:t>
      </w:r>
    </w:p>
    <w:p w14:paraId="3BDAE3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начала военных действий, в предположении использования объектов на боевых операциях, представители 81 АД и НИИ ВВС произвели вторично контрольно-тренировочные испытания (приказ ВВС N 0023). Несмотря на успешный ход испытаний решения о боевом применении не последовало. НИИ ВВС совершенно устранился от упомянутой работы, а 81 АД не произведя полной приемки объектов, перебросила их сначала в Ковров, а затем в Казань, где они, даже без проведения необходимых мероприятий по консервации аппаратуры, были поставлены на "прикол".</w:t>
      </w:r>
    </w:p>
    <w:p w14:paraId="575A8E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продолжительной - двухмесячной стоя стоянки самолетов, по распоряжению командующего ВВС генерал-полковника авиации Жигарева, первый тяжелый телемеханический самолет бомбардировщик ТБ-3 с командным самолетом ДБ-3Ф должны были быть направлены на боевое применение. Работниками завода N 379 и летно-технической группы 81 АД объекты были подготовлены, проверены в воздухе, снабжены боевой нагрузкой и переброшены на аэродром подскока в Иваново.</w:t>
      </w:r>
    </w:p>
    <w:p w14:paraId="4828BC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Через 15 дней было получено распоряжение об отказе от применения первого объекта и об откомандировании работников завода N 379 в Казань.</w:t>
      </w:r>
    </w:p>
    <w:p w14:paraId="5DC18A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Таким образом в настоящее время на аэродроме в Иваново находится тяжелый телемеханический бомбардировщик ТБ-3 N 22707, полностью подготовленный для выполнения боевой задачи, вооруженный бомбовой нагрузкой в 3,5 тн. - повышенного взрывного действия и командный самолет ДБ-3ф, обеспечивающий полет и радиоуправление телесамолетом на расстоянии до 600 км.</w:t>
      </w:r>
    </w:p>
    <w:p w14:paraId="64E14D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аэродроме завода N 124 (Казань) находится второй тяжелый телемеханический бомбардировщик ТБ-3 N 22685, командный самолет СБ и телемеханический бомбардировщик СБ.</w:t>
      </w:r>
    </w:p>
    <w:p w14:paraId="326643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Группа самолетов, базирующихся в Казани, находится без всякого технического наблюдения со стороны завода N 379 и неподготовлена для подвески бомбовой нагрузки.</w:t>
      </w:r>
    </w:p>
    <w:p w14:paraId="182BC0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Отсрочка применения первого объекта и отсутствие каких-либо указаний по подготовке к боевому применению остальных телесамолетов приведет к тому, что кадры специалистов завода N 379 будут переброшены на другие работы, а материальная часть, оставшаяся без специального наблюдения - погибнет.</w:t>
      </w:r>
    </w:p>
    <w:p w14:paraId="618506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изготовление указанных объектов было затрачено несколько миллионов рублей. Коллектив работников завода N 379 - вел семилетнюю войну по созданию образцов телемеханических самолетов. Экспериментальный тяжелый бомбардировщик типа ТБ-1, разработанный группой работников завода N 379, еще в 1939 г. осуществил полет без экипажа на борту (Сталинград).</w:t>
      </w:r>
    </w:p>
    <w:p w14:paraId="475E17A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Выполнение работ по телемеханическим самолетам проводилось и сопровождалось распоряжением различных органов, начиная от Военного совета ВВС, 5 ГУ НКАП, Наркомата авиапромышленности и кончая постановлением КО.</w:t>
      </w:r>
    </w:p>
    <w:p w14:paraId="7FBF393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результате же, когда боевые объекты готовы и могут быть эффективно применены, работа оставлена без внимания с чьей-либо стороны и может быть полностью развалена.</w:t>
      </w:r>
    </w:p>
    <w:p w14:paraId="6602C6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Как для решения вопроса о применении новой техники на войне, так и для непосредственного получения боевого эффекта от уже изготовленного оружия, необходимо принять ряд основных решений.</w:t>
      </w:r>
    </w:p>
    <w:p w14:paraId="1372D1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Прошу Вашего указания Наркомату авиационной промышленности и ВВС по следующим вопросам:</w:t>
      </w:r>
    </w:p>
    <w:p w14:paraId="36E4C3B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На заводе N 379 (филиал в г. Казани) для обеспечения работ по телемеханическим самолетам, восстановить конструкторскую летную группу инженера Чачикян Р.Г.</w:t>
      </w:r>
    </w:p>
    <w:p w14:paraId="0134C9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По ВВС создать из летно-технического состава, прошедшего специальную летную тренировку, группу боевого применения телесамолетов.</w:t>
      </w:r>
    </w:p>
    <w:p w14:paraId="611975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Подготовить остальные объекты - телемеханических самолетов для боевого применения.</w:t>
      </w:r>
    </w:p>
    <w:p w14:paraId="28C002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Поставить боевую задачу по применению первого объекта, находящегося на аэродроме подскока - Иваново.</w:t>
      </w:r>
    </w:p>
    <w:p w14:paraId="693D66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работников НИИ ВВС, находящихся в Москве, по всем изложенным мною вопросам, Вам может доложить начальник отдела телемеханики НИИ ВВС В/инженер 2 ранга Кравец, находящийся в настоящее время в Управлении 81 АД (Кремлевский телефон N 34-93) (2160,48).</w:t>
      </w:r>
    </w:p>
    <w:p w14:paraId="73851CD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4B05E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вед. и завода 379, конструктор объектов Чачикян писал Г.М.М.:</w:t>
      </w:r>
    </w:p>
    <w:p w14:paraId="0D1947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"Еще до войны, после ряда лет экспериментальной и производственной работы по постановлению КО N 42 от 26 января 1940, заводом 379 были изготовлены тяжелые телемеханические бомбардировщики. Объекты успешно прошли испытания в НИИ ВВС.</w:t>
      </w:r>
    </w:p>
    <w:p w14:paraId="1DC796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начала военных действий, в предположении использования объектов на боевых операциях, представители 81 ад и НИИ ВВС произвели вторичные контрольно-тренировочные испытания (приказ ВВС N 0023). Несмотря на успешный ход испытаний решения о боевом применении не последовало. НИИ ВВС совершенно устранился от упомянутой работы, а 81 ад не произведя полной приемки объектов, перебросила их сначала в Ковров, а затем в Казань, где они даже без проведения необходимых мероприятий по консервации аппаратуры, были поставлены на прикол.</w:t>
      </w:r>
    </w:p>
    <w:p w14:paraId="0CEEA2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продолжительной 2-х месячной стоянки самолетов, по распоряжению командующего ВВС г-п авиации Жигарева первый тяжелый ТМС ТБ-3 с командным самолетом ДБ-3Ф должны были быть направлены на боевое применение. Работниками завода 379 и летно-технической группы 81 ад объекты были подготовлены, проверены в воздухе, снабжены боевой нагрузкой и переброшены на аэродром подскока в Иваново.</w:t>
      </w:r>
    </w:p>
    <w:p w14:paraId="39D950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Через 15 дней было поручено распоряжение об отказе от применения 1-го объекта и об откомандировании работников 379 в Казань.</w:t>
      </w:r>
    </w:p>
    <w:p w14:paraId="60E43F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 в настоящее время на аэродроме в Иваново находится ТМС ТБ-3 N 22707, полностью подготовленный для выполнения боевой задачи, вооруженный бомбовой нагрузкой в 3.5 т повышенного взрывного действия и командный самолет ДБ-3ф, обеспечивающий полет и радиоуправление ТМС на расстоянии 600 км.</w:t>
      </w:r>
    </w:p>
    <w:p w14:paraId="2F58BA3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аэродроме завода 24 (Казань) находится второй ТМС ТБ-3 N 22685, командный самолет СБ и ТМС СБ.</w:t>
      </w:r>
    </w:p>
    <w:p w14:paraId="79EC25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Группа самолетов, базирующихся в Казани, находится без всякого технического наблюдения со стороны завода 379 и неподготовлены для подвески бомбовой нагрузки.</w:t>
      </w:r>
    </w:p>
    <w:p w14:paraId="736193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Отсрочка применения первого объекта и отсутствие каких-либо указаний по подготовке к боевому применению остальных ТМС, приведет к тому, что кадры специалистов завода 379 будут переброшены на другие работы, а матчасть, оставшаяся без спец. наблюдения, погибнет.</w:t>
      </w:r>
    </w:p>
    <w:p w14:paraId="01689E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изготовление указанных самолетов было затрачено несколько миллионов рублей, коллектив работников завода 379 - всю семилетнюю работу по созданию образцов ТМС. Экспериментальный тяжелый ТМС ТБ-1, разработанный группой работников завода 379, еще в 1939 осуществил полет без экипажа на борту (Сталинград).</w:t>
      </w:r>
    </w:p>
    <w:p w14:paraId="258A76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Выполнение работ по ТМС проводилось и сопровождалось распоряжением различных органов, начиная от ВС ВВС, 5 ГУ НКАП, НКАП и кончая постановлениями КО.</w:t>
      </w:r>
    </w:p>
    <w:p w14:paraId="4BDEC0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Прошу Вашего указания НКАП и ВВС по следующим вопросам:</w:t>
      </w:r>
    </w:p>
    <w:p w14:paraId="3B8867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На заводе 379 (филиал в Казани) для обеспечения работы по ТМС, восстановить конструкторскую летную группу и Чачикяна.</w:t>
      </w:r>
    </w:p>
    <w:p w14:paraId="7AFC67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По ВВС создать из летно-технического состава, прошедшего спец. летную тренировку, группу боевого применения ТМС</w:t>
      </w:r>
    </w:p>
    <w:p w14:paraId="4026F4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Подготовить остальные объекты ТМС для боевого применения.</w:t>
      </w:r>
    </w:p>
    <w:p w14:paraId="318EC64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Поставить боевую задачу по применению первого объекта, находящегося на аэродроме подскока в Иваново." (1977,222).</w:t>
      </w:r>
    </w:p>
    <w:p w14:paraId="4D5A0C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2AA01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декабре 1941 года по заданию Главного автобронетанкового управления Красной армии специалисты СКБ для обороны города Москвы разработали три установки на бронированных железнодорожных платформах: 16-зарядную М13, 48-зарядную М8, 72-зарядную М8.</w:t>
      </w:r>
    </w:p>
    <w:p w14:paraId="1F0263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Установка М13 представляла собой метательную установку серийной установки М-13 на модифицированном шасси грузового автомобиля ЗИС-6 с измененным основанием.</w:t>
      </w:r>
    </w:p>
    <w:p w14:paraId="39BEC9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72-зарядная установка М8 на бронированной железнодорожной платформе представляла собой метательные установки установок М-8 с направляющими типа “флейта” на модифицированном шасси грузового автомобиля ЗИС-6 с измененным основанием. В бронированной железнодорожной платформе предусматривалось закрытое помещение для номеров расчета и боеприпасов.</w:t>
      </w:r>
    </w:p>
    <w:p w14:paraId="6754F6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48-зарядная установка М8 была проектировалась для монтажа на бронированной железнолорожной платформе с направляющими типа “балка”. В конструкции использовались две метательные установки от установки М-8-24 на модифицированном шасси танка Т-40(Т-60) с измененным основанием в виде шарового погона. Из-за дефицита направляющих типа “балка”, серийное производство которых налаживалось, а позже из-за изменения боевой обстановки она не изготавливалась [40] (11772).</w:t>
      </w:r>
    </w:p>
    <w:p w14:paraId="4187BD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F86B7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ФАБ-100М чертежа 3-01079, доработанная, прошла полигонные испытания и в начале 1942 была принята на вооружение (7453, 247).</w:t>
      </w:r>
    </w:p>
    <w:p w14:paraId="3E32F5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3F8FC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М.Усачев предложил авиационный гранатомет АГ-1, выстреливающий назад Ф-1. Ставили на Пе-2 в хвостовой части. Сброс пиропатроном. Взрыв через 4-5 с с большим разлетом осколков. Испытывали при стрельбе при различных углах и решили сделать трехствольный с небольшой угловой разводкой труб (1056,46).</w:t>
      </w:r>
    </w:p>
    <w:p w14:paraId="41F925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E1C12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в некоторых полках на пикировщики ставили гранатометы (в том числе и на Пе-3). В 39-м орап довольно успешно пробовали применять АГ-2 и по автомашинам на дорогах, сбрасывая гранаты с бреющего полета (3542).</w:t>
      </w:r>
    </w:p>
    <w:p w14:paraId="65FE49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74B637F" w14:textId="77777777" w:rsidR="0052262F" w:rsidRPr="00640820" w:rsidRDefault="0052262F" w:rsidP="00640820">
      <w:pPr>
        <w:spacing w:after="0" w:line="240" w:lineRule="auto"/>
        <w:jc w:val="both"/>
        <w:rPr>
          <w:rFonts w:ascii="Times New Roman" w:hAnsi="Times New Roman"/>
          <w:color w:val="000000" w:themeColor="text1"/>
          <w:sz w:val="16"/>
          <w:szCs w:val="16"/>
          <w:shd w:val="clear" w:color="auto" w:fill="FFFFFF"/>
        </w:rPr>
      </w:pPr>
      <w:r w:rsidRPr="00640820">
        <w:rPr>
          <w:rFonts w:ascii="Times New Roman" w:hAnsi="Times New Roman"/>
          <w:color w:val="000000" w:themeColor="text1"/>
          <w:sz w:val="16"/>
          <w:szCs w:val="16"/>
          <w:shd w:val="clear" w:color="auto" w:fill="FFFFFF"/>
        </w:rPr>
        <w:t>В декабре 1941 года в Казанском химико-технологическом институте (ныне государственный технический университет) было запущено производство по выпуску специальных авиационных боеприпасов, вошедших в историю Великой Отечественной войны под условным названием «огневой мешок».</w:t>
      </w:r>
    </w:p>
    <w:p w14:paraId="5234F8E5" w14:textId="77777777" w:rsidR="0052262F" w:rsidRPr="00640820" w:rsidRDefault="0052262F" w:rsidP="00640820">
      <w:pPr>
        <w:spacing w:after="0" w:line="240" w:lineRule="auto"/>
        <w:jc w:val="both"/>
        <w:rPr>
          <w:rFonts w:ascii="Times New Roman" w:hAnsi="Times New Roman"/>
          <w:color w:val="000000" w:themeColor="text1"/>
          <w:sz w:val="16"/>
          <w:szCs w:val="16"/>
          <w:shd w:val="clear" w:color="auto" w:fill="FFFFFF"/>
        </w:rPr>
      </w:pPr>
      <w:r w:rsidRPr="00640820">
        <w:rPr>
          <w:rFonts w:ascii="Times New Roman" w:hAnsi="Times New Roman"/>
          <w:color w:val="000000" w:themeColor="text1"/>
          <w:sz w:val="16"/>
          <w:szCs w:val="16"/>
          <w:shd w:val="clear" w:color="auto" w:fill="FFFFFF"/>
        </w:rPr>
        <w:t>Новый вид вооружения предназначался для особых авиагрупп, вылетающих на ночные бомбардировки в тыл врага на самолетах «У-2» и «По-2». Это было простое и довольно эффективное зажигательное средство для борьбы с боевой техникой и живой силой противника, рожденное в первые дни Великой Отечественной войны, аналог легендарных «зажигательных бутылок», только больше объемом.</w:t>
      </w:r>
    </w:p>
    <w:p w14:paraId="553D4966" w14:textId="77777777" w:rsidR="0052262F" w:rsidRPr="00640820" w:rsidRDefault="0052262F" w:rsidP="00640820">
      <w:pPr>
        <w:spacing w:after="0" w:line="240" w:lineRule="auto"/>
        <w:jc w:val="both"/>
        <w:rPr>
          <w:rFonts w:ascii="Times New Roman" w:hAnsi="Times New Roman"/>
          <w:color w:val="000000" w:themeColor="text1"/>
          <w:sz w:val="16"/>
          <w:szCs w:val="16"/>
          <w:shd w:val="clear" w:color="auto" w:fill="FFFFFF"/>
        </w:rPr>
      </w:pPr>
      <w:r w:rsidRPr="00640820">
        <w:rPr>
          <w:rFonts w:ascii="Times New Roman" w:hAnsi="Times New Roman"/>
          <w:color w:val="000000" w:themeColor="text1"/>
          <w:sz w:val="16"/>
          <w:szCs w:val="16"/>
          <w:shd w:val="clear" w:color="auto" w:fill="FFFFFF"/>
        </w:rPr>
        <w:t>Боеприпас представлял собой мешок из бензиностойкой клеенчатой ткани, заполненный зажигательной жидкостью и снабженный запальным устройством для распыления и воспламенения содержимого мешка на нужной высоте. В качестве зажигательной жидкости служил технический бензин, загущенный добавлением специального порошка. Запальное устройство находилось на деревянном блоке (пробке), вставляемом в горловину мешка, и состояло из терочного воспламенителя, пиротехнического замедлителя и разрывного заряда в картонной трубке.</w:t>
      </w:r>
    </w:p>
    <w:p w14:paraId="2B35B096" w14:textId="77777777" w:rsidR="0052262F" w:rsidRPr="00640820" w:rsidRDefault="0052262F" w:rsidP="00640820">
      <w:pPr>
        <w:spacing w:after="0" w:line="240" w:lineRule="auto"/>
        <w:jc w:val="both"/>
        <w:rPr>
          <w:rFonts w:ascii="Times New Roman" w:hAnsi="Times New Roman"/>
          <w:color w:val="000000" w:themeColor="text1"/>
          <w:sz w:val="16"/>
          <w:szCs w:val="16"/>
          <w:shd w:val="clear" w:color="auto" w:fill="FFFFFF"/>
        </w:rPr>
      </w:pPr>
      <w:r w:rsidRPr="00640820">
        <w:rPr>
          <w:rFonts w:ascii="Times New Roman" w:hAnsi="Times New Roman"/>
          <w:color w:val="000000" w:themeColor="text1"/>
          <w:sz w:val="16"/>
          <w:szCs w:val="16"/>
          <w:shd w:val="clear" w:color="auto" w:fill="FFFFFF"/>
        </w:rPr>
        <w:t>Мешки заправляли бензином на аэродромах непосредственно перед вылетом самолетов. В горловину заполненного мешка вставляли запальный блок и завязывали бечевкой. В таком виде боеприпас был готов к применению. Основными его преимуществами были доступность исходных материалов и простота изготовления, что имело решающее значение на том этапе войны.</w:t>
      </w:r>
    </w:p>
    <w:p w14:paraId="45C43EDD" w14:textId="77777777" w:rsidR="0052262F" w:rsidRPr="00640820" w:rsidRDefault="0052262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shd w:val="clear" w:color="auto" w:fill="FFFFFF"/>
        </w:rPr>
        <w:t>Для подготовки производства по поручению Наркомата боеприпасов СССР в ноябре 1941 года в КХТИ из Москвы прибывает инженер-химик С.Беленький. Уже 28 ноября появился согласованный с главком приказ №168 об организации в КХТИ спецпроизводства по выпуску новых боеприпасов, заключительным пунктом которого было записано: «Все подготовительные работы закончить к утру 1/XII, производственную работу начать 1/XII c.г.» (19699).</w:t>
      </w:r>
    </w:p>
    <w:p w14:paraId="14AC6BFF" w14:textId="77777777" w:rsidR="0052262F" w:rsidRPr="00640820" w:rsidRDefault="0052262F" w:rsidP="00640820">
      <w:pPr>
        <w:spacing w:after="0" w:line="240" w:lineRule="auto"/>
        <w:jc w:val="both"/>
        <w:rPr>
          <w:rFonts w:ascii="Times New Roman" w:hAnsi="Times New Roman"/>
          <w:color w:val="000000" w:themeColor="text1"/>
          <w:sz w:val="16"/>
          <w:szCs w:val="16"/>
        </w:rPr>
      </w:pPr>
    </w:p>
    <w:p w14:paraId="35B7C2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специалисты АН СССР в докладной записке руководству Госплана, предназначенной для служебного пользования, открыто признавали: «Существующая в СССР нефтепереработка сильно отстает от таковой в США по своей глубине и интенсивности. Выходы высокооктанового топлива низки (составляют единицы процента), так как основная масса его производится путем прямой гонки нефти...».В АН СССР полагали, что наилучшим решением проблемы был бы сделанный в США заказ на НПЗ по производству авиационного бензина. Незадолго до начала Второй мировой войны в США были разработаны технологические процессы, позволявшие существенно увеличить октановое число авиационного бензина, что резко повышало тактико-техни­ческие характеристики боевых самоле­тов. В основном в СССР производился для военной авиации бензин с октановым числом 74 и совсем немного — 78, в США — с октановым числом 100. По сравнению с 73-м октановым бензином, который применялся в авиации США в середине 1930-х годов, 100-й октановый бензин позволял на 20% уменьшить пробег самолетов до отрыва от земли, почти на 30% повысить бомбовую нагрузку, на 40% ускорить подъем самолетов на милю высоты (11475).</w:t>
      </w:r>
    </w:p>
    <w:p w14:paraId="65B11A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650E128" w14:textId="77777777" w:rsidR="00BA2517" w:rsidRPr="00640820" w:rsidRDefault="00BA251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специалисты АН СССР в докладной записке руко</w:t>
      </w:r>
      <w:r w:rsidRPr="00640820">
        <w:rPr>
          <w:rFonts w:ascii="Times New Roman" w:hAnsi="Times New Roman"/>
          <w:color w:val="000000" w:themeColor="text1"/>
          <w:sz w:val="16"/>
          <w:szCs w:val="16"/>
        </w:rPr>
        <w:softHyphen/>
        <w:t>водству Госплана, предназначенной для служебного пользования, открыто при</w:t>
      </w:r>
      <w:r w:rsidRPr="00640820">
        <w:rPr>
          <w:rFonts w:ascii="Times New Roman" w:hAnsi="Times New Roman"/>
          <w:color w:val="000000" w:themeColor="text1"/>
          <w:sz w:val="16"/>
          <w:szCs w:val="16"/>
        </w:rPr>
        <w:softHyphen/>
        <w:t>знавали: «Существующая в СССР неф</w:t>
      </w:r>
      <w:r w:rsidRPr="00640820">
        <w:rPr>
          <w:rFonts w:ascii="Times New Roman" w:hAnsi="Times New Roman"/>
          <w:color w:val="000000" w:themeColor="text1"/>
          <w:sz w:val="16"/>
          <w:szCs w:val="16"/>
        </w:rPr>
        <w:softHyphen/>
        <w:t>тепереработка сильно отстает от тако</w:t>
      </w:r>
      <w:r w:rsidRPr="00640820">
        <w:rPr>
          <w:rFonts w:ascii="Times New Roman" w:hAnsi="Times New Roman"/>
          <w:color w:val="000000" w:themeColor="text1"/>
          <w:sz w:val="16"/>
          <w:szCs w:val="16"/>
        </w:rPr>
        <w:softHyphen/>
        <w:t>вой в США по своей глубине и интенсивности. Выходы высокооктано</w:t>
      </w:r>
      <w:r w:rsidRPr="00640820">
        <w:rPr>
          <w:rFonts w:ascii="Times New Roman" w:hAnsi="Times New Roman"/>
          <w:color w:val="000000" w:themeColor="text1"/>
          <w:sz w:val="16"/>
          <w:szCs w:val="16"/>
        </w:rPr>
        <w:softHyphen/>
        <w:t>вого топлива низки (составляют едини</w:t>
      </w:r>
      <w:r w:rsidRPr="00640820">
        <w:rPr>
          <w:rFonts w:ascii="Times New Roman" w:hAnsi="Times New Roman"/>
          <w:color w:val="000000" w:themeColor="text1"/>
          <w:sz w:val="16"/>
          <w:szCs w:val="16"/>
        </w:rPr>
        <w:softHyphen/>
        <w:t>цы процента), так как основная масса его производится путем прямой гонки нефти...». В АН СССР полагали, что наилучшим решением проблемы был бы сделанный в США заказ на НПЗ по производству авиационного бензина. Тогда же, вскоре после начала войны, американская фирма «Баджер» предлагала Советскому Союзу продать завод по производству авиабензина. Начались долгие переговоры. В 1941 г. Туапсинский НПЗ эвакуиро</w:t>
      </w:r>
      <w:r w:rsidRPr="00640820">
        <w:rPr>
          <w:rFonts w:ascii="Times New Roman" w:hAnsi="Times New Roman"/>
          <w:color w:val="000000" w:themeColor="text1"/>
          <w:sz w:val="16"/>
          <w:szCs w:val="16"/>
        </w:rPr>
        <w:softHyphen/>
        <w:t>вали в Красноводск, а часть установок с Батумского НПЗ — в Орск (15488).</w:t>
      </w:r>
    </w:p>
    <w:p w14:paraId="77DA8F86" w14:textId="77777777" w:rsidR="00BA2517" w:rsidRPr="00640820" w:rsidRDefault="00BA2517" w:rsidP="00640820">
      <w:pPr>
        <w:spacing w:after="0" w:line="240" w:lineRule="auto"/>
        <w:jc w:val="both"/>
        <w:rPr>
          <w:rFonts w:ascii="Times New Roman" w:hAnsi="Times New Roman"/>
          <w:color w:val="000000" w:themeColor="text1"/>
          <w:sz w:val="16"/>
          <w:szCs w:val="16"/>
        </w:rPr>
      </w:pPr>
    </w:p>
    <w:p w14:paraId="16C0F946" w14:textId="77777777" w:rsidR="00813840" w:rsidRPr="00640820" w:rsidRDefault="0081384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года по заданию Главного автобронетанкового управления Красной армии специалисты СКБ для обороны города Москвы разработали три установки на бронированных железнодорожных платформах: 16-зарядную М13, 48-зарядную М8, 72-зарядную М8.</w:t>
      </w:r>
    </w:p>
    <w:p w14:paraId="0427B3FF" w14:textId="77777777" w:rsidR="00813840" w:rsidRPr="00640820" w:rsidRDefault="0081384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Установка М13 представляла собой метательную установку серийной установки М-13 на доработанном шасси грузового автомобиля ЗИС-6 с измененным основанием.</w:t>
      </w:r>
    </w:p>
    <w:p w14:paraId="0230EEA5" w14:textId="77777777" w:rsidR="00813840" w:rsidRPr="00640820" w:rsidRDefault="0081384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72-зарядная установка М8 на бронированной железнодорожной платформе представляла собой метательные установки установок М-8 с направляющими типа “флейта” на доработанном шасси грузового автомобиля ЗИС-6 с измененным основанием. В бронированной железнодорожной платформе предусматривалось закрытое помещение для номеров расчета и боеприпасов.</w:t>
      </w:r>
    </w:p>
    <w:p w14:paraId="2A3FDB7A" w14:textId="77777777" w:rsidR="00813840" w:rsidRPr="00640820" w:rsidRDefault="0081384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48-зарядная установка М8 была проектировалась для монтажа на бронированной железнолорожной платформе с направляющими типа “балка”. В конструкции использовались две метательные установки от установки М-8-24 на доработанном шасси танка Т-40(Т-60) с измененным основанием в виде шарового погона. Из-за дефицита направляющих типа “балка”, серийное производство которых налаживалось, а позже из-за изменения боевой обстановки она не изготавливалась (15981).</w:t>
      </w:r>
    </w:p>
    <w:p w14:paraId="6ED39F40" w14:textId="77777777" w:rsidR="00813840" w:rsidRPr="00640820" w:rsidRDefault="00813840" w:rsidP="00640820">
      <w:pPr>
        <w:spacing w:after="0" w:line="240" w:lineRule="auto"/>
        <w:jc w:val="both"/>
        <w:rPr>
          <w:rFonts w:ascii="Times New Roman" w:hAnsi="Times New Roman"/>
          <w:color w:val="000000" w:themeColor="text1"/>
          <w:sz w:val="16"/>
          <w:szCs w:val="16"/>
        </w:rPr>
      </w:pPr>
    </w:p>
    <w:p w14:paraId="4791597A" w14:textId="77777777" w:rsidR="000A37CC" w:rsidRPr="00640820" w:rsidRDefault="000A37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1941-го лаборатория органического синтеза Ленинградского химико-технологического института имени Д.И. Менделеева была эвакуирована в Челябинск, на её базе создан опытный завод «К-4».</w:t>
      </w:r>
    </w:p>
    <w:p w14:paraId="2E2287A5" w14:textId="77777777" w:rsidR="000A37CC" w:rsidRPr="00640820" w:rsidRDefault="000A37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Зискин работал главным инженером предприятия, а с 1965 по 1987 год — директором. Под его руководством было создано прозрачное бронестекло «сталинит».</w:t>
      </w:r>
    </w:p>
    <w:p w14:paraId="7DBA951C" w14:textId="77777777" w:rsidR="000A37CC" w:rsidRPr="00640820" w:rsidRDefault="000A37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Наладил технологию безотходного производства органического стекла, бытовых товаров. Автор 30 изобретений.</w:t>
      </w:r>
    </w:p>
    <w:p w14:paraId="79F76102" w14:textId="77777777" w:rsidR="000A37CC" w:rsidRPr="00640820" w:rsidRDefault="000A37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началу Великой Отечественной войны в Советском Союзе работало всего два секретных завода, производивших плексиглас. Один из них разместился в Ленинграде, другой — в Дзержинске.</w:t>
      </w:r>
    </w:p>
    <w:p w14:paraId="22518416" w14:textId="77777777" w:rsidR="000A37CC" w:rsidRPr="00640820" w:rsidRDefault="000A37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Однако в 1941 году Государственный комитет обороны (ГКО) приказал эвакуировать ленинградский завод «К-4» в Челябинск. Группа из десяти специалистов этого предприятия — слесари, аппаратчики и главный инженер Зуся Шульман — срочно отправились на Южный Урал.</w:t>
      </w:r>
    </w:p>
    <w:p w14:paraId="2C450B4C" w14:textId="77777777" w:rsidR="000A37CC" w:rsidRPr="00640820" w:rsidRDefault="000A37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размещения предприятия были выделены здания дрожжевого завода и завода безалкогольных напитков, которые находились на улице Свободы. Демонтаж оборудования безалкогольного завода начали только 25 августа 1941 года, а дрожжевой завод по настоянию местных властей работал до 7 сентября.</w:t>
      </w:r>
    </w:p>
    <w:p w14:paraId="6FCF2B23" w14:textId="77777777" w:rsidR="000A37CC" w:rsidRPr="00640820" w:rsidRDefault="000A37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Часть оборудования должен был изготовить Тамбовский машиностроительный завод «Комсомолец», но в Челябинск оно так и не поступило. В связи с создавшимся положением в октябре приступили к изготовлению необходимого для производства оборудования на площадке челябинского завода.</w:t>
      </w:r>
    </w:p>
    <w:p w14:paraId="79B6D752" w14:textId="77777777" w:rsidR="000A37CC" w:rsidRPr="00640820" w:rsidRDefault="000A37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Часть техники в Челябинске невозможно было изготовить из-за недостаточной механической базы и отсутствия меди, алюминия и других металлов. Котельная на заводе была маломощная, обещанные котлы в ноябре 1941 года ещё не поступили. Трансформаторная подстанция также не подходила по мощности, поэтому была построена новая, но оборудовать её было нечем.</w:t>
      </w:r>
    </w:p>
    <w:p w14:paraId="766F5D7F" w14:textId="77777777" w:rsidR="000A37CC" w:rsidRPr="00640820" w:rsidRDefault="000A37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завод испытывал огромные трудности из-за отсутствия квалифицированных рабочих и инженеров. С ленинградского завода в Челябинск прибыло только шесть инженеров и пять рабочих.</w:t>
      </w:r>
    </w:p>
    <w:p w14:paraId="2962C2F4" w14:textId="77777777" w:rsidR="000A37CC" w:rsidRPr="00640820" w:rsidRDefault="000A37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Фактически директору завода Шульману пришлось в максимально короткие сроки построить новое предприятие.</w:t>
      </w:r>
    </w:p>
    <w:p w14:paraId="4CDDE12F" w14:textId="77777777" w:rsidR="000A37CC" w:rsidRPr="00640820" w:rsidRDefault="000A37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Главхимпласта от 2 сентября 1941 года новому директору завода Шульману было приказано к 5 октября 1941 года закончить монтаж оборудования и пустить его на полную мощность. Однако в установленные сроки завод не был готов приступить к производству.</w:t>
      </w:r>
    </w:p>
    <w:p w14:paraId="77149A0B" w14:textId="77777777" w:rsidR="000A37CC" w:rsidRPr="00640820" w:rsidRDefault="000A37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этого просто не хватало времени. 1 февраля 1942 года «К-4» был готов к сдаче в эксплуатацию первой очереди, но пуск задержался из-за отсутствия сырья.</w:t>
      </w:r>
    </w:p>
    <w:p w14:paraId="6C668D42" w14:textId="77777777" w:rsidR="000A37CC" w:rsidRPr="00640820" w:rsidRDefault="000A37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Официально 10 июня 1942 года в Челябинске началась пробная эксплуатация предприятия. А с июля на нём приступили к выпуску продукции.</w:t>
      </w:r>
    </w:p>
    <w:p w14:paraId="35460128" w14:textId="77777777" w:rsidR="000A37CC" w:rsidRPr="00640820" w:rsidRDefault="000A37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Из-за отсутствия квалифицированных кадров работать на завод «К-4» определили бывших мастериц-дрожжеваров и специалистов по лимонаду — их срочно начали обучать новой сложной профессии.</w:t>
      </w:r>
    </w:p>
    <w:p w14:paraId="59A72FD3" w14:textId="77777777" w:rsidR="000A37CC" w:rsidRPr="00640820" w:rsidRDefault="000A37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окончания войны завод продолжал выпускать оргстекло для авиационной промышленности. Только теперь он получил «мирное» название — челябинский завод «Оргстекло».</w:t>
      </w:r>
    </w:p>
    <w:p w14:paraId="7DE298C0" w14:textId="77777777" w:rsidR="000A37CC" w:rsidRPr="00640820" w:rsidRDefault="000A37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1948 году начались разработки производства прозрачной брони с электрообогревом. Кроме этого, на заводе приступили к освоению и выпуску товаров народного потребления.</w:t>
      </w:r>
    </w:p>
    <w:p w14:paraId="790AFB8D" w14:textId="77777777" w:rsidR="000A37CC" w:rsidRPr="00640820" w:rsidRDefault="000A37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1964 году в нашем городе был открыт цех по производству крупногабаритного органического стекла, в 1967-м в Металлургическом районе заработал цех метилметакрилата, а в 1988-м — цех минеральных удобрений, который перерабатывал отходы производства метилматакрилата. С 1967 года начался выпуск изделий из оргстекла, а с 1973-го — из пластмасс.</w:t>
      </w:r>
    </w:p>
    <w:p w14:paraId="35614F87" w14:textId="77777777" w:rsidR="000A37CC" w:rsidRPr="00640820" w:rsidRDefault="000A37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Заводчане выпускали пуговицы, бусы, пудреницы, портсигары, шкатулки, чернильные приборы, сахарницы, чайники, вазы, хлебницы и другую подобную продукцию.</w:t>
      </w:r>
    </w:p>
    <w:p w14:paraId="7134B8E5" w14:textId="77777777" w:rsidR="000A37CC" w:rsidRPr="00640820" w:rsidRDefault="000A37C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Однако в 90-х годах в стране начался экономический кризис. Сырьё подорожало, а продукция из оргстекла перестала пользоваться спросом (19787).</w:t>
      </w:r>
    </w:p>
    <w:p w14:paraId="0EA614A4" w14:textId="77777777" w:rsidR="000A37CC" w:rsidRPr="00640820" w:rsidRDefault="000A37CC" w:rsidP="00640820">
      <w:pPr>
        <w:spacing w:after="0" w:line="240" w:lineRule="auto"/>
        <w:jc w:val="both"/>
        <w:rPr>
          <w:rFonts w:ascii="Times New Roman" w:hAnsi="Times New Roman"/>
          <w:color w:val="000000" w:themeColor="text1"/>
          <w:sz w:val="16"/>
          <w:szCs w:val="16"/>
        </w:rPr>
      </w:pPr>
    </w:p>
    <w:p w14:paraId="08A9AB55" w14:textId="77777777" w:rsidR="00B1076E" w:rsidRPr="00640820" w:rsidRDefault="00B1076E" w:rsidP="00640820">
      <w:pPr>
        <w:pStyle w:val="ae"/>
        <w:shd w:val="clear" w:color="auto" w:fill="FFFFFF"/>
        <w:spacing w:before="0" w:after="0"/>
        <w:jc w:val="both"/>
        <w:rPr>
          <w:color w:val="0070C0"/>
          <w:sz w:val="16"/>
          <w:szCs w:val="16"/>
        </w:rPr>
      </w:pPr>
      <w:r w:rsidRPr="00640820">
        <w:rPr>
          <w:color w:val="0070C0"/>
          <w:sz w:val="16"/>
          <w:szCs w:val="16"/>
        </w:rPr>
        <w:t>В декабрьские дни 1941 года СКБ по заданию Главного автобронетанкового управления Красной Армии разработало, в частности, для обороны города Москвы 16-зарядную установку на бронированной железнодорожной платформе. Установка представляла собой метательную установку серийной установки М-13 на доработанном шасси грузового автомобиля ЗИС-6 с измененным основанием (21475).</w:t>
      </w:r>
    </w:p>
    <w:p w14:paraId="701E9532" w14:textId="77777777" w:rsidR="00B1076E" w:rsidRPr="00640820" w:rsidRDefault="00B1076E" w:rsidP="00640820">
      <w:pPr>
        <w:shd w:val="clear" w:color="auto" w:fill="FFFFFF"/>
        <w:spacing w:after="0" w:line="240" w:lineRule="auto"/>
        <w:jc w:val="both"/>
        <w:rPr>
          <w:rFonts w:ascii="Times New Roman" w:eastAsia="Times New Roman" w:hAnsi="Times New Roman"/>
          <w:color w:val="0070C0"/>
          <w:sz w:val="16"/>
          <w:szCs w:val="16"/>
          <w:lang w:eastAsia="ru-RU"/>
        </w:rPr>
      </w:pPr>
    </w:p>
    <w:p w14:paraId="14729D57"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0C0ACA35"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4FBFE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декабря 1941 г. на заводе (Завод № 605 НКБ, п/я 15, Киселевский машиностроительный завод (КМЗ) им. И.С. Черных, ОАО «КМЗ им. И.С. Черных» /г. Киселевск Новосибирской обл. п/я 15 «Термос» (1942 г.)/ /652702  г. Киселевск Кемеровской обл. ул. Проектная, 1/) был начат выпуск боеприпасов, к 30.01.1942 г. восстановлено производство М-8 и РБС-82 мощностью 280 тыс. шт. в год.</w:t>
      </w:r>
    </w:p>
    <w:p w14:paraId="225354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июле 1941 передан в ведение НКБ и получил № 605. Сюда с конца июля по 11.1941 г. эвакуированы завод «Красный Круль» из Эстонии и часть завода № 70 НКБ из Москвы (производство М-8 и РБС-82, 335 ед. оборудования, 1200 чел.), к 30.12.1941 г. все оборудование прибыло, бблыпая его часть смонтирована и введена в строй. </w:t>
      </w:r>
    </w:p>
    <w:p w14:paraId="71D7BD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12.1942-04.1943 г. - в ведении 4ГУ НКБ, в 08.1943-09.1944 г. - в ведении 7ГУ. Имел обозначение «п/я 15» (1943 г.).</w:t>
      </w:r>
    </w:p>
    <w:p w14:paraId="7C80BE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завода основные цехи (1943 г.): механические № 8, 10, кузнечно-прессовый, термический, литейный.</w:t>
      </w:r>
    </w:p>
    <w:p w14:paraId="720B22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 СМ РСФСР от 9.06.1965 г. заводу присвоено имя И.С. Черных (слесаря завода, погибшего в годы войны).</w:t>
      </w:r>
    </w:p>
    <w:p w14:paraId="303578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08.2000 г. КМЗ вошел в состав компании «Южкузбассуголь».</w:t>
      </w:r>
    </w:p>
    <w:p w14:paraId="0E60C2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(1943 г.): производственная- 13021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вспомогательная- 5864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311758A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(12.1942 г.)- 3831 чел.</w:t>
      </w:r>
      <w:r w:rsidRPr="00640820">
        <w:rPr>
          <w:rFonts w:ascii="Times New Roman" w:hAnsi="Times New Roman"/>
          <w:color w:val="000000" w:themeColor="text1"/>
          <w:sz w:val="16"/>
          <w:szCs w:val="16"/>
          <w:vertAlign w:val="superscript"/>
        </w:rPr>
        <w:t>132</w:t>
      </w:r>
    </w:p>
    <w:p w14:paraId="67B1DBE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Директор- С.Т. Коберник, В.В. Аладьин, Н.П. Щербина, (04.1943 г.)- Н.А. Манаков, В.Н. Истомин, М.Я. Андриенко, В. Г. Берсенев, М.А. Всяких, А.Н. Горбань, А. Г. Соловьев, В.З. Старченко, </w:t>
      </w:r>
      <w:r w:rsidRPr="00640820">
        <w:rPr>
          <w:rFonts w:ascii="Times New Roman" w:hAnsi="Times New Roman"/>
          <w:color w:val="000000" w:themeColor="text1"/>
          <w:sz w:val="16"/>
          <w:szCs w:val="16"/>
          <w:lang w:val="en-US"/>
        </w:rPr>
        <w:t>JI</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 Галкин.</w:t>
      </w:r>
    </w:p>
    <w:p w14:paraId="2D4E45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М-8 (РС-82); М-120 (1943); механизированный комплекс 2М81; шахтные и горнорудные вагонетки, шахтные лебедки; центрифуги для углеобогатительных предприятий (11982).</w:t>
      </w:r>
    </w:p>
    <w:p w14:paraId="2EC086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AF1A41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года ввиду трудностей производственного характера (загруженность завода "Бар</w:t>
      </w:r>
      <w:r w:rsidRPr="00640820">
        <w:rPr>
          <w:rFonts w:ascii="Times New Roman" w:hAnsi="Times New Roman"/>
          <w:color w:val="000000" w:themeColor="text1"/>
          <w:sz w:val="16"/>
          <w:szCs w:val="16"/>
        </w:rPr>
        <w:softHyphen/>
        <w:t>рикады", поставлявшего трубы для стволов) и недостатка боеприпасов, а также отсутствия у противника тяжелых танков с мощной броневой защитой, производство 57-мм пушек ЗИС-4 было законсервировано. Вернулись к производству 57-мм танковых пушек ЗИС-4 в 1943 г., ког</w:t>
      </w:r>
      <w:r w:rsidRPr="00640820">
        <w:rPr>
          <w:rFonts w:ascii="Times New Roman" w:hAnsi="Times New Roman"/>
          <w:color w:val="000000" w:themeColor="text1"/>
          <w:sz w:val="16"/>
          <w:szCs w:val="16"/>
        </w:rPr>
        <w:softHyphen/>
        <w:t>да они стали единственными, освоенными в производстве артиллерий</w:t>
      </w:r>
      <w:r w:rsidRPr="00640820">
        <w:rPr>
          <w:rFonts w:ascii="Times New Roman" w:hAnsi="Times New Roman"/>
          <w:color w:val="000000" w:themeColor="text1"/>
          <w:sz w:val="16"/>
          <w:szCs w:val="16"/>
        </w:rPr>
        <w:softHyphen/>
        <w:t>скими системами, способными поражать новые немецкие танки Т-VI "Тигр I". В апреле 1943 г. на вооружение был принят бронебойно-подка-либерный снаряд для 57-мм пушки. Бронепробиваемость этого снаряда по нормали на дальности 500 м составляла 146 мм. Такая высокая бро-непробивемость была достигнута за счет увеличения начальной скоро</w:t>
      </w:r>
      <w:r w:rsidRPr="00640820">
        <w:rPr>
          <w:rFonts w:ascii="Times New Roman" w:hAnsi="Times New Roman"/>
          <w:color w:val="000000" w:themeColor="text1"/>
          <w:sz w:val="16"/>
          <w:szCs w:val="16"/>
        </w:rPr>
        <w:softHyphen/>
        <w:t>сти снаряда до 1270 м/с (10703).</w:t>
      </w:r>
    </w:p>
    <w:p w14:paraId="1331E64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5CAB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года на УМТЗ была закончена доработка 203-мм гаубицы после полигонных испытаний. После заводских испытаний У-3 отправили на Уральский полигон НКБ для дальнейших испытаний (3861).</w:t>
      </w:r>
    </w:p>
    <w:p w14:paraId="0A2A63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73E91EE"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ОТБ пермского порохового завода или приволжского завода пироксилиновых порохов уже разработало рецептуру пороха, которая могла быть использована для изготовления зарядов к PC M-13 и М-8. Порох получил название ПС, что означало пироксилино-селитренный. Массовый состав этого пороха приводится ниже в % :</w:t>
      </w:r>
    </w:p>
    <w:p w14:paraId="56712622"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пироксилин — 68±2 ;</w:t>
      </w:r>
    </w:p>
    <w:p w14:paraId="4DD0DBEA"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калиевая селитра — 20,6±2 ;</w:t>
      </w:r>
    </w:p>
    <w:p w14:paraId="6091799F"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канифоль — — 2,2±0,3;</w:t>
      </w:r>
    </w:p>
    <w:p w14:paraId="47F3ABE4"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дифениламин — 1,0±0,3;</w:t>
      </w:r>
    </w:p>
    <w:p w14:paraId="6A162F94"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летучие (спирт, эфир, вода) — 7,5-9,0.</w:t>
      </w:r>
    </w:p>
    <w:p w14:paraId="702C343A"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Плотность пороха — 1,58 г/см3, а калорийность (теплота сгорания) составляла (745±15) ккал/кг.</w:t>
      </w:r>
    </w:p>
    <w:p w14:paraId="6ADC91C0"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Канифоль была введена в порох как флегматизатор с целью снижения скорости горения пороха до уровня, обеспечивающего возможность его применения в камерах PC М-8 и M-13 без изменения диаметров критических сечений сопел, дифениламин вводился для обеспечения необходимой химической стойкости порохов.</w:t>
      </w:r>
    </w:p>
    <w:p w14:paraId="2AD0562E"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Порох отвечал главному для того периода требованию: мог изготовляться на существующем оборудовании заводов пироксилиновых порохов. Длительность технологического цикла составляла 13-14 суток.</w:t>
      </w:r>
    </w:p>
    <w:p w14:paraId="1586FE0D"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пироксилино-селитренного пороха были спроектированы заряды для M-13 и М-8. Конструкция ракетного заряда, разработанного для M-13, представлена на рис.10. Для сокращения длительности процесса удаления растворителя из пороховой шашки для снаряда M-13 необходимо было максимально уменьшить толщину горящего свода пороховой шашки. Эта задача была решена созданием трехлепестковой шашки с тремя каналами диаметром около 5 мм и толщиной горящего свода около 8 мм.</w:t>
      </w:r>
    </w:p>
    <w:p w14:paraId="76CCFC4E"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Ракетный заряд комплектовался из восьми шашек длиной 500 мм и обеспечивал нормальную работоспособность ракетного двигателя без изменения критического сечения сопла и других элементов двигателя. Масса заряда была установлена 6000±50 г вместо 7050±35 г для заряда из пороха Н, т.е. на 15% меньше массы штатного заряда.</w:t>
      </w:r>
    </w:p>
    <w:p w14:paraId="30F83665"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Уменьшение массы заряда из пироксилино-селитренного пороха по сравнению с массой, установленной для зарядов из штатных баллиститных порохов, произошло вследствие того, что при определении описанного диаметра шашки из пороха ПС пришлось считаться с тем, что при удалении летучего растворителя из пироксилинового пороха прямолинейность отпрессованных шашек нарушалась. Возникала довольно значительная кривизна. Чтобы на сборочных базах обеспечить безусловную входимость порохового заряда в ракетную камеру, пришлось искусственно занижать описанный диаметр пороховых шашек по сравнению с теоретически возможным. Это уменьшило поперечное заполнение ракетной камеры, а следовательно и массу заряда.</w:t>
      </w:r>
    </w:p>
    <w:p w14:paraId="3D4B967C"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 как удельный импульс реактивной силы пороха ПС был также меньше, чем у баллиститного пороха Н, то дальность полета снаряда M-13 с зарядом из пороха ПС оказалась на 25-30% меньше дальности полета снаряда M-13 с зарядом из пороха Н.</w:t>
      </w:r>
    </w:p>
    <w:p w14:paraId="17D8EC11"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проектировании ракетного заряда для М-8 исходили из того, что уменьшение дальности снаряда М-8 еще на 25-30% при переходе на пироксилино-селитренный порох ПС было крайне нежелательным. С целью сохранения дальности полета снаряда М-8 решили удлинить ракетную камеру, увеличив за счет этого массу заряда, и компенсировать таким образом потерю полного импульса реактивной силы при переходе на порох ПС.</w:t>
      </w:r>
    </w:p>
    <w:p w14:paraId="77E4F38E"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Был спроектирован ракетный заряд, состоявший из семи одноканальных цилиндрических шашек с наружным диаметром 23,5 мм и диаметром канала 5 мм при длине шашки 287 мм. Масса заряда составляла 1175±10 г вместо 1040±10 г для заряда из пороха Н до его модернизации. В итоге проведенной работы дальность полета снаряда М-8 после перехода на порох ПС не изменилась. Это было серьезным достижением ОТБ приволжского завода.</w:t>
      </w:r>
    </w:p>
    <w:p w14:paraId="2560954F"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Работа по созданию пироксилино-селитренных порохов и зарядов из них проводились в ОТБ под руководством Н.П.Путимцева. В работе принимали участие И.М.Силаев, О.П.Михайлусов, В.В.Шнегас, Ф.Н.Пойда и др. Производство ракетных зарядов из пироксилино-селитренных порохов кроме приволжского завода было организовано также на одном из сибирских заводов.</w:t>
      </w:r>
    </w:p>
    <w:p w14:paraId="054CC1F5"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Пироксилино-селитренный порох ПС, позволивший использовать мощности заводов пироксилиновых порохов и ликвидировать разрыв между производством корпусов реактивных снарядов и пороховых зарядов к ним, несомненно сыграл в 1942 г. положительную роль, т.к. позволил Красной Армии применять реактивные </w:t>
      </w:r>
      <w:r w:rsidRPr="00640820">
        <w:rPr>
          <w:rFonts w:ascii="Times New Roman" w:hAnsi="Times New Roman"/>
          <w:color w:val="000000" w:themeColor="text1"/>
          <w:sz w:val="16"/>
          <w:szCs w:val="16"/>
        </w:rPr>
        <w:lastRenderedPageBreak/>
        <w:t>снаряды М-8 и M-13 в достаточно широких масштабах. Однако пироксилино-селитренный порох ПС имел серьезные недостатки, главным из которых был наблюдавшийся в ряде случаев разрыв ракетных камер при стрельбе (один случай на 300).</w:t>
      </w:r>
    </w:p>
    <w:p w14:paraId="6CB987B4"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Последнее обстоятельство приводило к тому, что только в 1942 г. сибирскому заводу, производившему эти пороха, была возращена из Армии каждая четвертая партия зарядов (18 из 68). С целью усиления контроля за качеством изготовления зарядов были введены приемные стендовые испытания в расширенном объеме (50 опытов вместо 7).</w:t>
      </w:r>
    </w:p>
    <w:p w14:paraId="2497EAF8"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Одновременно были разработаны новые ТУ на заряд, в которых требования на разбраковку пороховых шашек по наружному виду были значительно жестче. Однако опыт работы заводов по новым ТУ показал, что никакого улучшения не произошло. Так, например, при стендовых испытаниях зарядов из пороха ПС на каждые 60 выстрелов в одном случае давление газов в ракетной камере превышало установленную норму. При этом пороха по наружному виду не имели никаких внешних признаков, по которым можно было бы отделить годные от некондиционных. Таким образом, принятый способ производства пороха ПС и весьма жесткие методы разбраковки по внешнему виду не гарантировали получения ракетных шашек удовлетворительного качества. Причины этого явления были тщательно исследованы сотрудниками Московского порохового института Г.К.Клименко, А.Н.Гукасовым и др. /29/. Они доказали, что основным и определяющим фактором, приводящим к нарушению стабильности горения пороха ПС, является его структурная неоднородность за счет присутствия в нем неорганических твердых включений (селитры) и наличия в шашках трещин, пузырей, непрожелатинированного пироксилина и т.д. При неблагоприятных сочетаниях этих факторов площадь поверхности горения могла увеличиться в 4-5 раз, что неизбежно приводило к резкому росту давления в двигателе, к возможному его разрушению.</w:t>
      </w:r>
    </w:p>
    <w:p w14:paraId="731DF931"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Начиная с 1943 г. пороховая промышленность страны была уже в состоянии обеспечить нужды фронта поставками ракетных зарядов только из нитроглицериновых баллиститных порохов, и необходимость в изготовлении зарядов из пироксилиновых порохов отпала. Их производство было прекращено (18646).</w:t>
      </w:r>
    </w:p>
    <w:p w14:paraId="5FEDC97B" w14:textId="77777777" w:rsidR="00895A6E" w:rsidRPr="00640820" w:rsidRDefault="00895A6E" w:rsidP="00640820">
      <w:pPr>
        <w:spacing w:after="0" w:line="240" w:lineRule="auto"/>
        <w:jc w:val="both"/>
        <w:rPr>
          <w:rFonts w:ascii="Times New Roman" w:hAnsi="Times New Roman"/>
          <w:color w:val="000000" w:themeColor="text1"/>
          <w:sz w:val="16"/>
          <w:szCs w:val="16"/>
        </w:rPr>
      </w:pPr>
    </w:p>
    <w:p w14:paraId="405757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декабре 1941 г. ОТБ разработало рецептуру пороха, которая могла быть использована для изготовления зарядов к PC M-13 и М-8. Порох получил название ПС, что означало пироксилино-селитренный. Массовый состав этого пороха приводится ниже в % : </w:t>
      </w:r>
    </w:p>
    <w:p w14:paraId="71B5CE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пироксилин — 68±2 ; </w:t>
      </w:r>
    </w:p>
    <w:p w14:paraId="66CB4B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калиевая селитра — 20,6±2 ; </w:t>
      </w:r>
    </w:p>
    <w:p w14:paraId="200C89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канифоль — — 2,2±0,3; </w:t>
      </w:r>
    </w:p>
    <w:p w14:paraId="1BFA12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дифениламин — 1,0±0,3; </w:t>
      </w:r>
    </w:p>
    <w:p w14:paraId="6398FFF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летучие (спирт, эфир, вода) — 7,5-9,0. </w:t>
      </w:r>
    </w:p>
    <w:p w14:paraId="7FA0DE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Плотность пороха — 1,58 г/см</w:t>
      </w:r>
      <w:r w:rsidRPr="00640820">
        <w:rPr>
          <w:rFonts w:ascii="Times New Roman" w:hAnsi="Times New Roman"/>
          <w:color w:val="000000" w:themeColor="text1"/>
          <w:sz w:val="16"/>
          <w:szCs w:val="16"/>
          <w:vertAlign w:val="superscript"/>
        </w:rPr>
        <w:t>3</w:t>
      </w:r>
      <w:r w:rsidRPr="00640820">
        <w:rPr>
          <w:rFonts w:ascii="Times New Roman" w:hAnsi="Times New Roman"/>
          <w:color w:val="000000" w:themeColor="text1"/>
          <w:sz w:val="16"/>
          <w:szCs w:val="16"/>
        </w:rPr>
        <w:t xml:space="preserve">, а калорийность (теплота сгорания) составляла (745±15) ккал/кг. </w:t>
      </w:r>
    </w:p>
    <w:p w14:paraId="597D30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Канифоль была введена в порох как флегматизатор с целью снижения скорости горения пороха до уровня, обеспечивающего возможность его применения в камерах PC М-8 и M-13 без изменения диаметров критических сечений сопел, дифениламин вводился для обеспечения необходимой химической стойкости порохов. </w:t>
      </w:r>
    </w:p>
    <w:p w14:paraId="32CABE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Порох отвечал главному для того периода требованию: мог изготовляться на существующем оборудовании заводов пироксилиновых порохов. Длительность технологического цикла составляла 13-14 суток. </w:t>
      </w:r>
    </w:p>
    <w:p w14:paraId="27069B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Из пироксилино-селитренного пороха были спроектированы заряды для M-13 и М-8. Для сокращения длительности процесса удаления растворителя из пороховой шашки для снаряда M-13 необходимо было максимально уменьшить толщину горящего свода пороховой шашки. Эта задача была решена созданием трехлепестковой шашки с тремя каналами диаметром около 5 мм и толщиной горящего свода около 8 мм. </w:t>
      </w:r>
    </w:p>
    <w:p w14:paraId="439AE0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Ракетный заряд комплектовался из восьми шашек длиной 500 мм и обеспечивал нормальную работоспособность ракетного двигателя без изменения критического сечения сопла и других элементов двигателя. Масса заряда была установлена 6000±50 г вместо 7050±35 г для заряда из пороха Н, т.е. на 15% меньше массы штатного заряда. </w:t>
      </w:r>
    </w:p>
    <w:p w14:paraId="279F78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Уменьшение массы заряда из пироксилино-селитренного пороха по сравнению с массой, установленной для зарядов из штатных баллиститных порохов, произошло вследствие того, что при определении описанного диаметра шашки из пороха ПС пришлось считаться с тем, что при удалении летучего растворителя из пироксилинового пороха прямолинейность отпрессованных шашек нарушалась. Возникала довольно значительная кривизна. Чтобы на сборочных базах обеспечить безусловную входимость порохового заряда в ракетную камеру, пришлось искусственно занижать описанный диаметр пороховых шашек по сравнению с теоретически возможным. Это уменьшило поперечное заполнение ракетной камеры, а следовательно и массу заряда. </w:t>
      </w:r>
    </w:p>
    <w:p w14:paraId="2BD80F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Так как удельный импульс реактивной силы пороха ПС был также меньше, чем у баллиститного пороха Н, то дальность полета снаряда M-13 с зарядом из пороха ПС оказалась на 25-30% меньше дальности полета снаряда M-13 с зарядом из пороха Н. </w:t>
      </w:r>
    </w:p>
    <w:p w14:paraId="1AC811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При проектировании ракетного заряда для М-8 исходили из того, что уменьшение дальности снаряда М-8 еще на 25-30% при переходе на пироксилино-селитренный порох ПС было крайне нежелательным. С целью сохранения дальности полета снаряда М-8 решили удлинить ракетную камеру, увеличив за счет этого массу заряда, и компенсировать таким образом потерю полного импульса реактивной силы при переходе на порох ПС. </w:t>
      </w:r>
    </w:p>
    <w:p w14:paraId="084485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Был спроектирован ракетный заряд, состоявший из семи одноканальных цилиндрических шашек с наружным диаметром 23,5 мм и диаметром канала 5 мм при длине шашки 287 мм (рис.11). Масса заряда составляла 1175±10 г вместо 1040±10 г для заряда из пороха Н до его модернизации. В итоге проведенной работы дальность полета снаряда М-8 после перехода на порох ПС не изменилась. Это было серьезным достижением ОТБ приволжского завода. </w:t>
      </w:r>
    </w:p>
    <w:p w14:paraId="47C1AFA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Работа по созданию пироксилино-селитренных порохов и зарядов из них проводились в ОТБ под руководством Н.П.Путимцева. В работе принимали участие И.М.Силаев, О.П.Михайлусов, В.В.Шнегас, Ф.Н.Пойда и др. Производство ракетных зарядов из пироксилино-селитренных порохов кроме приволжского завода было организовано также на одном из сибирских заводов (11209).</w:t>
      </w:r>
    </w:p>
    <w:p w14:paraId="6C7B75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74C0AD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декабрю 1941 г. Жуков в НИИ-6 со специалистами ОТБ-40 под руководством Н.П.Путимцева разработали рецептуру сурро</w:t>
      </w:r>
      <w:r w:rsidRPr="00640820">
        <w:rPr>
          <w:rFonts w:ascii="Times New Roman" w:hAnsi="Times New Roman"/>
          <w:color w:val="000000" w:themeColor="text1"/>
          <w:sz w:val="16"/>
          <w:szCs w:val="16"/>
        </w:rPr>
        <w:softHyphen/>
        <w:t>гатного пироксилинового пороха, который предполагали использовать в РЗ снарядов М-13 и М-8. Пороху присвоили индекс ПС (пироксилино-селитренный).</w:t>
      </w:r>
    </w:p>
    <w:p w14:paraId="1B48570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Массовое производство РЗ из пороха ПС было организовано на заво</w:t>
      </w:r>
      <w:r w:rsidRPr="00640820">
        <w:rPr>
          <w:rFonts w:ascii="Times New Roman" w:hAnsi="Times New Roman"/>
          <w:color w:val="000000" w:themeColor="text1"/>
          <w:sz w:val="16"/>
          <w:szCs w:val="16"/>
        </w:rPr>
        <w:softHyphen/>
        <w:t>де № 40 тогда же в декабре 1941 г., а затем в начале 1942 г. и на других за</w:t>
      </w:r>
      <w:r w:rsidRPr="00640820">
        <w:rPr>
          <w:rFonts w:ascii="Times New Roman" w:hAnsi="Times New Roman"/>
          <w:color w:val="000000" w:themeColor="text1"/>
          <w:sz w:val="16"/>
          <w:szCs w:val="16"/>
        </w:rPr>
        <w:softHyphen/>
        <w:t>водах. В 1942 г. завод №40 выпустил 3000 т пороха ПС и в 1943 г. - 1200 т. В июне 1942 г. РЗ из пороха ПС для РС составляли около 30% от объема всей продукции этого предприятия.</w:t>
      </w:r>
    </w:p>
    <w:p w14:paraId="413FBCF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Шашка из пороха ПСз к РС М-13 имела толщину горящего свода около 8 мм и три канала диаметром около 5 мм. Длительность техноло</w:t>
      </w:r>
      <w:r w:rsidRPr="00640820">
        <w:rPr>
          <w:rFonts w:ascii="Times New Roman" w:hAnsi="Times New Roman"/>
          <w:color w:val="000000" w:themeColor="text1"/>
          <w:sz w:val="16"/>
          <w:szCs w:val="16"/>
        </w:rPr>
        <w:softHyphen/>
        <w:t>гического цикла производства пороха ПСз составляла 13-14 суток. Нес</w:t>
      </w:r>
      <w:r w:rsidRPr="00640820">
        <w:rPr>
          <w:rFonts w:ascii="Times New Roman" w:hAnsi="Times New Roman"/>
          <w:color w:val="000000" w:themeColor="text1"/>
          <w:sz w:val="16"/>
          <w:szCs w:val="16"/>
        </w:rPr>
        <w:softHyphen/>
        <w:t>мотря на уменьшение толщины горящего свода и длительную сушку, го</w:t>
      </w:r>
      <w:r w:rsidRPr="00640820">
        <w:rPr>
          <w:rFonts w:ascii="Times New Roman" w:hAnsi="Times New Roman"/>
          <w:color w:val="000000" w:themeColor="text1"/>
          <w:sz w:val="16"/>
          <w:szCs w:val="16"/>
        </w:rPr>
        <w:softHyphen/>
        <w:t>товые шашки содержали около 8% остаточного растворителя.</w:t>
      </w:r>
    </w:p>
    <w:p w14:paraId="454097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РЗ для М-13 комплектовали из восьми шашек длиной 550 мм. Он обеспечивал нормальную работоспособность двигателя без изменения Диаметра критического сечения сопла и других элементов двигателя. Масса заряда составляла 6 кг, то есть на 15% меньше, чем у штатного РЗ из пороха Н. Это произошло вследствие того, что при определении Диаметра шашки из пороха ПСЗ пришлось учесть ее искривление, не</w:t>
      </w:r>
      <w:r w:rsidRPr="00640820">
        <w:rPr>
          <w:rFonts w:ascii="Times New Roman" w:hAnsi="Times New Roman"/>
          <w:color w:val="000000" w:themeColor="text1"/>
          <w:sz w:val="16"/>
          <w:szCs w:val="16"/>
        </w:rPr>
        <w:softHyphen/>
        <w:t>избежное при удалении летучего растворителя из пироксилинового пороха.</w:t>
      </w:r>
    </w:p>
    <w:p w14:paraId="59FF53E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Кривизна была довольно значительной. Чтобы обеспечить на сбо</w:t>
      </w:r>
      <w:r w:rsidRPr="00640820">
        <w:rPr>
          <w:rFonts w:ascii="Times New Roman" w:hAnsi="Times New Roman"/>
          <w:color w:val="000000" w:themeColor="text1"/>
          <w:sz w:val="16"/>
          <w:szCs w:val="16"/>
        </w:rPr>
        <w:softHyphen/>
        <w:t>рочных базах гарантированную вместимость РЗ в ракетную камеру, при</w:t>
      </w:r>
      <w:r w:rsidRPr="00640820">
        <w:rPr>
          <w:rFonts w:ascii="Times New Roman" w:hAnsi="Times New Roman"/>
          <w:color w:val="000000" w:themeColor="text1"/>
          <w:sz w:val="16"/>
          <w:szCs w:val="16"/>
        </w:rPr>
        <w:softHyphen/>
        <w:t>шлось искусственно уменьшить поперечное сечение шашек, по сравне</w:t>
      </w:r>
      <w:r w:rsidRPr="00640820">
        <w:rPr>
          <w:rFonts w:ascii="Times New Roman" w:hAnsi="Times New Roman"/>
          <w:color w:val="000000" w:themeColor="text1"/>
          <w:sz w:val="16"/>
          <w:szCs w:val="16"/>
        </w:rPr>
        <w:softHyphen/>
        <w:t>нию с теоретически возможным. И хотя, наиболее оптимальным был бы заряд из семи прямолинейных трехканальных шашек большего сечения, технологические трудности заставили довольствоваться меньшим коэф</w:t>
      </w:r>
      <w:r w:rsidRPr="00640820">
        <w:rPr>
          <w:rFonts w:ascii="Times New Roman" w:hAnsi="Times New Roman"/>
          <w:color w:val="000000" w:themeColor="text1"/>
          <w:sz w:val="16"/>
          <w:szCs w:val="16"/>
        </w:rPr>
        <w:softHyphen/>
        <w:t>фициентом наполнения камеры двигателя и меньшей массой заряда.</w:t>
      </w:r>
    </w:p>
    <w:p w14:paraId="334263B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 как удельный импульс реактивной силы пороха ПС был также меньше, чем у баллиститного пороха Н, дальность полета снаряда М-13 с зарядом из пороха ПСз оказалась на 25-30% меньше дальности его по</w:t>
      </w:r>
      <w:r w:rsidRPr="00640820">
        <w:rPr>
          <w:rFonts w:ascii="Times New Roman" w:hAnsi="Times New Roman"/>
          <w:color w:val="000000" w:themeColor="text1"/>
          <w:sz w:val="16"/>
          <w:szCs w:val="16"/>
        </w:rPr>
        <w:softHyphen/>
        <w:t>лета с РЗ из пороха марки Н. Такие снаряды получили свой баллистиче</w:t>
      </w:r>
      <w:r w:rsidRPr="00640820">
        <w:rPr>
          <w:rFonts w:ascii="Times New Roman" w:hAnsi="Times New Roman"/>
          <w:color w:val="000000" w:themeColor="text1"/>
          <w:sz w:val="16"/>
          <w:szCs w:val="16"/>
        </w:rPr>
        <w:softHyphen/>
        <w:t>ский индекс - ТС-14, более известные как «М-13 уменьшенной дально</w:t>
      </w:r>
      <w:r w:rsidRPr="00640820">
        <w:rPr>
          <w:rFonts w:ascii="Times New Roman" w:hAnsi="Times New Roman"/>
          <w:color w:val="000000" w:themeColor="text1"/>
          <w:sz w:val="16"/>
          <w:szCs w:val="16"/>
        </w:rPr>
        <w:softHyphen/>
        <w:t>сти».</w:t>
      </w:r>
    </w:p>
    <w:p w14:paraId="14F8300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Уменьшение до 3,7-4,1 км, и без того небольшой дальности стрельбы снарядов М-8 на штатных РЗ из пороха Н, равной 5,5 км, при переходе к зарядам из пороха ПС было крайне нежелательным. С целью сохране</w:t>
      </w:r>
      <w:r w:rsidRPr="00640820">
        <w:rPr>
          <w:rFonts w:ascii="Times New Roman" w:hAnsi="Times New Roman"/>
          <w:color w:val="000000" w:themeColor="text1"/>
          <w:sz w:val="16"/>
          <w:szCs w:val="16"/>
        </w:rPr>
        <w:softHyphen/>
        <w:t>ния дальности полета снаряда М-8, удлинили ракетную камеру и увели</w:t>
      </w:r>
      <w:r w:rsidRPr="00640820">
        <w:rPr>
          <w:rFonts w:ascii="Times New Roman" w:hAnsi="Times New Roman"/>
          <w:color w:val="000000" w:themeColor="text1"/>
          <w:sz w:val="16"/>
          <w:szCs w:val="16"/>
        </w:rPr>
        <w:softHyphen/>
        <w:t>чили массу заряда на 11%, по сравнению с штатным из пороха Н. РЗ по</w:t>
      </w:r>
      <w:r w:rsidRPr="00640820">
        <w:rPr>
          <w:rFonts w:ascii="Times New Roman" w:hAnsi="Times New Roman"/>
          <w:color w:val="000000" w:themeColor="text1"/>
          <w:sz w:val="16"/>
          <w:szCs w:val="16"/>
        </w:rPr>
        <w:softHyphen/>
        <w:t>лучился из семи одноканальных цилиндрических шашек. В результате дальность полета снаряда М-8 после перехода на ПС не изменилась. Это было серьезным достижением завода №40. Вместе с Путимцевым в этих работах активно участвовали И.М.Силаев, О.П.Михайлусов, В.В.Шне-гас, Ф.Н.Пойда и др.</w:t>
      </w:r>
    </w:p>
    <w:p w14:paraId="10587B5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Пороха ПС и ПСз, несомненно, не только позволили использовать мощности заводов пироксилиновых порохов и ликвидировать разрыв между производством корпусов РС и РЗ к ним, но и массово применять РС. Однако, этот порох имел ряд существенных недостатков, главным из которых был разрыв при стрельбе одной из 300 ракетных камер.</w:t>
      </w:r>
    </w:p>
    <w:p w14:paraId="2D81059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примеру, производство РЗ из пироксилино-селитренных порохов также было организовано и в Сибири. Однако, только в 1942 г. из войск на завод возвратили 18 из 68 партий зарядов. Для усиления контроля за качеством продукции пришлось расширить объем стендовых испытаний (50 испытаний вместо 7) и ужесточить требования на разбраковку поро</w:t>
      </w:r>
      <w:r w:rsidRPr="00640820">
        <w:rPr>
          <w:rFonts w:ascii="Times New Roman" w:hAnsi="Times New Roman"/>
          <w:color w:val="000000" w:themeColor="text1"/>
          <w:sz w:val="16"/>
          <w:szCs w:val="16"/>
        </w:rPr>
        <w:softHyphen/>
        <w:t>ховых шашек по внешнему виду.</w:t>
      </w:r>
    </w:p>
    <w:p w14:paraId="49C10A5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 случаями ненормального функционирования двигателей снаря</w:t>
      </w:r>
      <w:r w:rsidRPr="00640820">
        <w:rPr>
          <w:rFonts w:ascii="Times New Roman" w:hAnsi="Times New Roman"/>
          <w:color w:val="000000" w:themeColor="text1"/>
          <w:sz w:val="16"/>
          <w:szCs w:val="16"/>
        </w:rPr>
        <w:softHyphen/>
        <w:t>дов М-8 и М-13 мне пришлось столкнуться в 1942 г. в связи со срочным заданием Москвы: установить причины преждевременных разрывов снарядов М-8 и М-13 при стрельбе с боевых машин во фронтовых усло</w:t>
      </w:r>
      <w:r w:rsidRPr="00640820">
        <w:rPr>
          <w:rFonts w:ascii="Times New Roman" w:hAnsi="Times New Roman"/>
          <w:color w:val="000000" w:themeColor="text1"/>
          <w:sz w:val="16"/>
          <w:szCs w:val="16"/>
        </w:rPr>
        <w:softHyphen/>
        <w:t>виях, сопровождавшихся разрушением направляющих боевых машин БМ-8 и БМ-13 и выводом из строя боевых расчетов. Задание было очень срочным. Испытания поступивших с фронта снарядов проводились мною в сжатые сроки под контролем военных представителей НКО и спецслужб на полигоне. Доставленные с фронта снаряды М-8 и М-13 отстреляли поодиночке и залпами, что позволило достаточно быстро ус</w:t>
      </w:r>
      <w:r w:rsidRPr="00640820">
        <w:rPr>
          <w:rFonts w:ascii="Times New Roman" w:hAnsi="Times New Roman"/>
          <w:color w:val="000000" w:themeColor="text1"/>
          <w:sz w:val="16"/>
          <w:szCs w:val="16"/>
        </w:rPr>
        <w:softHyphen/>
        <w:t xml:space="preserve">тановить характер ненормальной работы их двигателей и причины их преждевременных разрывов на </w:t>
      </w:r>
      <w:r w:rsidRPr="00640820">
        <w:rPr>
          <w:rFonts w:ascii="Times New Roman" w:hAnsi="Times New Roman"/>
          <w:color w:val="000000" w:themeColor="text1"/>
          <w:sz w:val="16"/>
          <w:szCs w:val="16"/>
        </w:rPr>
        <w:lastRenderedPageBreak/>
        <w:t>направляющих, поскольку характер раз</w:t>
      </w:r>
      <w:r w:rsidRPr="00640820">
        <w:rPr>
          <w:rFonts w:ascii="Times New Roman" w:hAnsi="Times New Roman"/>
          <w:color w:val="000000" w:themeColor="text1"/>
          <w:sz w:val="16"/>
          <w:szCs w:val="16"/>
        </w:rPr>
        <w:softHyphen/>
        <w:t>рыва металла камер двигателей и разрушения пороховых шашек заряда был во всех случаях одинаковым (происходил в момент воспламенения порохового заряда) и типичным для зарядов, собранных из шашек пони</w:t>
      </w:r>
      <w:r w:rsidRPr="00640820">
        <w:rPr>
          <w:rFonts w:ascii="Times New Roman" w:hAnsi="Times New Roman"/>
          <w:color w:val="000000" w:themeColor="text1"/>
          <w:sz w:val="16"/>
          <w:szCs w:val="16"/>
        </w:rPr>
        <w:softHyphen/>
        <w:t>женной прочности или имеющих неоднородную структуру. Малая проч</w:t>
      </w:r>
      <w:r w:rsidRPr="00640820">
        <w:rPr>
          <w:rFonts w:ascii="Times New Roman" w:hAnsi="Times New Roman"/>
          <w:color w:val="000000" w:themeColor="text1"/>
          <w:sz w:val="16"/>
          <w:szCs w:val="16"/>
        </w:rPr>
        <w:softHyphen/>
        <w:t>ность и неоднородность структуры пороховых шашек в доставленных снарядах подтверждалась большим количеством проведенных опытов и обусловливалась составом пороха, использованного для изготовления этих-зарядов.</w:t>
      </w:r>
    </w:p>
    <w:p w14:paraId="0DB574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 боеприпасы были снаряжены зарядами из пироксилино-селит-ренного состава марки ПСз, шашки которого были более хрупкими, по сравнению с нитроглицериновым порохом марки Н, применявшимся в снарядах мирного времени. В выводах по результатам испытаний отме</w:t>
      </w:r>
      <w:r w:rsidRPr="00640820">
        <w:rPr>
          <w:rFonts w:ascii="Times New Roman" w:hAnsi="Times New Roman"/>
          <w:color w:val="000000" w:themeColor="text1"/>
          <w:sz w:val="16"/>
          <w:szCs w:val="16"/>
        </w:rPr>
        <w:softHyphen/>
        <w:t>чалась нецелесообразность использования пороховых зарядов из поро</w:t>
      </w:r>
      <w:r w:rsidRPr="00640820">
        <w:rPr>
          <w:rFonts w:ascii="Times New Roman" w:hAnsi="Times New Roman"/>
          <w:color w:val="000000" w:themeColor="text1"/>
          <w:sz w:val="16"/>
          <w:szCs w:val="16"/>
        </w:rPr>
        <w:softHyphen/>
        <w:t>ховой массы ПСз взвмен хотя и остродефицитного нитроглицеринового состава рецептуры Н. Следует отметить, что все РС, собранные в 1942 г с зарядами из пороха Н и поступившие на испытания на Уральский по</w:t>
      </w:r>
      <w:r w:rsidRPr="00640820">
        <w:rPr>
          <w:rFonts w:ascii="Times New Roman" w:hAnsi="Times New Roman"/>
          <w:color w:val="000000" w:themeColor="text1"/>
          <w:sz w:val="16"/>
          <w:szCs w:val="16"/>
        </w:rPr>
        <w:softHyphen/>
        <w:t>лигон, рекламаций с фронта не имели (11402).</w:t>
      </w:r>
    </w:p>
    <w:p w14:paraId="053CAF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424C9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года сразу же после разгрома фашистов под Москвой Наркомат боеприпасов принимает решение о немедленном восстановлении Софринского полигона. Были приняты срочные меры для возвращения технического оборудования и кадров, необходимых для быстрейшего восстановления полигона, повышения его производственной мощности. В это время на полигоне продолжались контрольные испытания стрельбой реактивных снарядов М-8 и М-13. В тоже время проводились большие работы по замене в реактивных снарядах дефицитных нитроглицериновых порохов на менее дефицитные – пироксилиновые, работы по уменьшению рассеивания, по созданию новых видов реактивных снарядов. Были отработаны и приняты на вооружение фугасные снаряды М-30 и М-31. Совместно с ГСКБ Спецмаш при заводе «Компрессор» под руководством В.П.Бармина на полигоне отрабатывались боевые машины БМ-8-24, БМ-8-48, БМ-8-60.</w:t>
      </w:r>
    </w:p>
    <w:p w14:paraId="1262F3B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годы Великой Отечественной войны на полигоне проходили испытания 45, 57, 76, 85, 122 мм танковые и противотанковые пушки, 76 мм зенитные пушки, созданные под руководством В.Г.Грабина, упрощённый 120 мм миномёт, сконструированный под руководством Б.И.Шавырина, 160 мм миномёт И.Г.Теверовского, авиационные пушки ШВАК, ВЯ-23, НС-37, НС-45, авиационные и артиллерийские боеприпасы, в том числе кумулятивные, к перечисленным и другим видам оружия, партизанское вооружение. Большое количество трофейной военной техника прошло через полигон, здесь определялись уязвимые места фашистских танков, изучались возможности немецких артиллерийских систем и конструкции боеприпасов, изучался немецкий шестиствольный реактивный миномёт.</w:t>
      </w:r>
    </w:p>
    <w:p w14:paraId="792DA2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Полигон принимал непосредственное участие и в проведении испытаний боеприпасов, вооружения и военной техники поступавших в СССР из США и Великобритании в качестве военной помощи по программе «ленд-лиз».</w:t>
      </w:r>
    </w:p>
    <w:p w14:paraId="66CA95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Когда на фронте возникла потребность в орудиях огневой поддержки пехоты и танков во всех видах боя, были созданы самоходные артиллерийские установки всех пушечных и гаубичных калибров: СУ-76, СУ-85, СУ-100, СУ-122, САУ-152 и др. Тогда же на предприятии проходили испытания и были приняты на вооружение самоходные пушки СГ-122 и СУ-76И созданные на шасси трофейных немецких танков «Артштурм» и Т-3 (12071).</w:t>
      </w:r>
    </w:p>
    <w:p w14:paraId="04D8BD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9E90CEC" w14:textId="77777777" w:rsidR="0048040F" w:rsidRPr="00640820" w:rsidRDefault="0048040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на совещании Артуправления Ленинградского фронта было принято решение провести полигонные испытания 37-мм миномета "Лопата" и мин к нему с целью возможности использования в войсках РККА ранее изготовленных промышленностью минометов и мин (18984).</w:t>
      </w:r>
    </w:p>
    <w:p w14:paraId="4CA15DED" w14:textId="77777777" w:rsidR="0048040F" w:rsidRPr="00640820" w:rsidRDefault="0048040F" w:rsidP="00640820">
      <w:pPr>
        <w:spacing w:after="0" w:line="240" w:lineRule="auto"/>
        <w:jc w:val="both"/>
        <w:rPr>
          <w:rFonts w:ascii="Times New Roman" w:hAnsi="Times New Roman"/>
          <w:color w:val="000000" w:themeColor="text1"/>
          <w:sz w:val="16"/>
          <w:szCs w:val="16"/>
        </w:rPr>
      </w:pPr>
    </w:p>
    <w:p w14:paraId="62F6F5EC" w14:textId="77777777" w:rsidR="00C2716E" w:rsidRPr="00640820" w:rsidRDefault="00C2716E" w:rsidP="00640820">
      <w:pPr>
        <w:shd w:val="clear" w:color="auto" w:fill="FFFFFF"/>
        <w:spacing w:after="0" w:line="240" w:lineRule="auto"/>
        <w:jc w:val="both"/>
        <w:rPr>
          <w:rFonts w:ascii="Times New Roman" w:eastAsia="Times New Roman" w:hAnsi="Times New Roman"/>
          <w:color w:val="0070C0"/>
          <w:sz w:val="16"/>
          <w:szCs w:val="16"/>
          <w:lang w:eastAsia="ru-RU"/>
        </w:rPr>
      </w:pPr>
      <w:r w:rsidRPr="00640820">
        <w:rPr>
          <w:rFonts w:ascii="Times New Roman" w:eastAsia="Times New Roman" w:hAnsi="Times New Roman"/>
          <w:color w:val="0070C0"/>
          <w:sz w:val="16"/>
          <w:szCs w:val="16"/>
          <w:lang w:eastAsia="ru-RU"/>
        </w:rPr>
        <w:t>В декабре 1941 года выпуск ЗИС-2 был прекращен, по этому поводу есть разные гипотезы. Самой нелепой является якобы избыточная бронепробиваемость. Ничего общего с реальностью она не имеет. На самом деле причин была масса. Это и проблемы при производстве стволов, и ряд претензий к конструкции орудия, и не слишком высокий ресурс ствола. В 1942 году шел разговор о постановке на производство немного измененной серии орудия, имевшей индекс ИС-1. Это орудие испытывалось в июне 1942 года, оно отличалось укороченным на 10 калибров стволом, а также использованием лафета 76-мм дивизионной пушки ЗИС-3. Испытания ИС-1 в объеме 779 выстрелов прошли успешно, правда, имелся один нюанс. Указывалось, что ИС-1 могла пробивать броню толщиной 80 мм на дистанции не более 100 метров. Тем не менее, Артиллерийский Комитет ГАУ КА рекомендовал запустить серийный выпуск ИС-1. Он так и не состоялся, а вместо ИС-1 в противотанковые подразделения шли дивизионные пушки ЗИС-3.</w:t>
      </w:r>
    </w:p>
    <w:p w14:paraId="37454A68" w14:textId="77777777" w:rsidR="00C2716E" w:rsidRPr="00640820" w:rsidRDefault="00C2716E" w:rsidP="00640820">
      <w:pPr>
        <w:shd w:val="clear" w:color="auto" w:fill="FFFFFF"/>
        <w:spacing w:after="0" w:line="240" w:lineRule="auto"/>
        <w:jc w:val="both"/>
        <w:rPr>
          <w:rFonts w:ascii="Times New Roman" w:eastAsia="Times New Roman" w:hAnsi="Times New Roman"/>
          <w:color w:val="0070C0"/>
          <w:sz w:val="16"/>
          <w:szCs w:val="16"/>
          <w:lang w:eastAsia="ru-RU"/>
        </w:rPr>
      </w:pPr>
      <w:r w:rsidRPr="00640820">
        <w:rPr>
          <w:rFonts w:ascii="Times New Roman" w:eastAsia="Times New Roman" w:hAnsi="Times New Roman"/>
          <w:color w:val="0070C0"/>
          <w:sz w:val="16"/>
          <w:szCs w:val="16"/>
          <w:lang w:eastAsia="ru-RU"/>
        </w:rPr>
        <w:t>Ситуация вокруг 57-мм противотанковой ЗИС-2 и ее укороченной версии ИС-1 на некоторое время затихла, хотя в январе 1943 году орудие прошло повторные испытания. Происходящее здорово напоминало то, что творилось с 85-мм танковыми орудиями. Работы вроде бы велись, но такое впечатление, что особо никому не нужные. Требовалось что-то существенное, дабы данные работы форсировать (21143).</w:t>
      </w:r>
    </w:p>
    <w:p w14:paraId="7844524B" w14:textId="77777777" w:rsidR="00C2716E" w:rsidRPr="00640820" w:rsidRDefault="00C2716E" w:rsidP="00640820">
      <w:pPr>
        <w:spacing w:after="0" w:line="240" w:lineRule="auto"/>
        <w:jc w:val="both"/>
        <w:rPr>
          <w:rFonts w:ascii="Times New Roman" w:hAnsi="Times New Roman"/>
          <w:color w:val="0070C0"/>
          <w:sz w:val="16"/>
          <w:szCs w:val="16"/>
        </w:rPr>
      </w:pPr>
    </w:p>
    <w:p w14:paraId="659D1CAB"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декабрь 1941 г. Красная Армия потеряла 20,5 тыс. танков, а получила от танковой промышленности 5,6 тыс. единиц бронетанковой техники; потери боевых самолетов за тот же период составили 17,9 тыс. шт., а пополнение 9,9 тыс. шт. (18677).</w:t>
      </w:r>
    </w:p>
    <w:p w14:paraId="5761C893" w14:textId="77777777" w:rsidR="00895A6E" w:rsidRPr="00640820" w:rsidRDefault="00895A6E" w:rsidP="00640820">
      <w:pPr>
        <w:spacing w:after="0" w:line="240" w:lineRule="auto"/>
        <w:jc w:val="both"/>
        <w:rPr>
          <w:rFonts w:ascii="Times New Roman" w:hAnsi="Times New Roman"/>
          <w:color w:val="000000" w:themeColor="text1"/>
          <w:sz w:val="16"/>
          <w:szCs w:val="16"/>
        </w:rPr>
      </w:pPr>
    </w:p>
    <w:p w14:paraId="5D58A44A"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декабрь с июня 1941 г. Красная Армия потеряла 20,5 тыс. танков, а получила от танковой промышленности 5,6 тыс. единиц бронетанковой техники; потери боевых самолетов за тот же период составили 17,9 тыс. шт., а пополнение - 9,9 тыс. шт. (18406).</w:t>
      </w:r>
    </w:p>
    <w:p w14:paraId="2CA39283" w14:textId="77777777" w:rsidR="00895A6E" w:rsidRPr="00640820" w:rsidRDefault="00895A6E" w:rsidP="00640820">
      <w:pPr>
        <w:spacing w:after="0" w:line="240" w:lineRule="auto"/>
        <w:jc w:val="both"/>
        <w:rPr>
          <w:rFonts w:ascii="Times New Roman" w:hAnsi="Times New Roman"/>
          <w:color w:val="000000" w:themeColor="text1"/>
          <w:sz w:val="16"/>
          <w:szCs w:val="16"/>
        </w:rPr>
      </w:pPr>
    </w:p>
    <w:p w14:paraId="661319BC" w14:textId="77777777" w:rsidR="00C2716E" w:rsidRPr="00640820" w:rsidRDefault="00C2716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декабре 1941 года впервые упоминается орудие, позже получившее обозначение ЗИС-19. Ранее проскакивала информация о том, якобы работы начали еще в августе, но это не подтверждается. Проект орудия подготовили в декабре. Причины его появления Огурцов обозначил прямее некуда - значительно меньшие габариты, чем у 45-ки. Иногда про ЗИС-19 пишут, что она сразу создавалась в двух вариантах, калибром 37 и 45 мм, но вообще это слегка так глупость. Никакой 45-мм версии изначально не планировалось, прежде всего потому, что банально требовалась менее габаритная орудийная система. Согласно предварительным расчетам, масса орудия составляла всего 170 кг. Орудие базировалось на баллистике 37-мм зенитной автоматической пушки 61-К, а также использовала ее боеприпасы. С точки зрения характеристик пробиваемости брони 61-К и 45-мм танковая пушка были очень близки, кроме того, зенитка являлась массовым орудием, посему проблем с боеприпасами не наблюдалось.</w:t>
      </w:r>
    </w:p>
    <w:p w14:paraId="05CF1F09" w14:textId="77777777" w:rsidR="00C2716E" w:rsidRPr="00640820" w:rsidRDefault="00C2716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shd w:val="clear" w:color="auto" w:fill="FFFFFF"/>
        </w:rPr>
        <w:t>Официально работы по установке 45-мм пушки с завода №92 не снималось. Вместе с тем, ЗИС-19 выглядела очень интересно, поскольку получалась меньше и легче 45-мм орудия. Поэтому его включили в работу, дав указание изготовить опытный образец к 15 января 1942 года </w:t>
      </w:r>
      <w:r w:rsidRPr="00640820">
        <w:rPr>
          <w:rFonts w:ascii="Times New Roman" w:hAnsi="Times New Roman"/>
          <w:color w:val="0070C0"/>
          <w:sz w:val="16"/>
          <w:szCs w:val="16"/>
        </w:rPr>
        <w:t xml:space="preserve"> (22879).</w:t>
      </w:r>
    </w:p>
    <w:p w14:paraId="75E658A9" w14:textId="77777777" w:rsidR="00C2716E" w:rsidRPr="00640820" w:rsidRDefault="00C2716E" w:rsidP="00640820">
      <w:pPr>
        <w:spacing w:after="0" w:line="240" w:lineRule="auto"/>
        <w:jc w:val="both"/>
        <w:rPr>
          <w:rFonts w:ascii="Times New Roman" w:hAnsi="Times New Roman"/>
          <w:color w:val="0070C0"/>
          <w:sz w:val="16"/>
          <w:szCs w:val="16"/>
        </w:rPr>
      </w:pPr>
    </w:p>
    <w:p w14:paraId="1A386716"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года завершился процесс перераспределения производственных мощностей в пользу танкостроения в рамках мобилизации советской промышленности. Пересмотр решения о судьбе Наркомата станкостроения стал свидетельством того, что мобилизация промышленности уже достигла своих разумных пределов. Дальнейшее перераспределение производственных мощностей, с точки зрения руководства страны, наносило неприемлемый ущерб остальным отраслям промышленности и потому должно было быть остановлено (12290).</w:t>
      </w:r>
    </w:p>
    <w:p w14:paraId="00D77304" w14:textId="77777777" w:rsidR="00045010" w:rsidRPr="00640820" w:rsidRDefault="00045010" w:rsidP="00640820">
      <w:pPr>
        <w:spacing w:after="0" w:line="240" w:lineRule="auto"/>
        <w:jc w:val="both"/>
        <w:rPr>
          <w:rFonts w:ascii="Times New Roman" w:hAnsi="Times New Roman"/>
          <w:color w:val="000000" w:themeColor="text1"/>
          <w:sz w:val="16"/>
          <w:szCs w:val="16"/>
        </w:rPr>
      </w:pPr>
    </w:p>
    <w:p w14:paraId="64640085"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года завод № 183 собрал из привезенного харьковского задела первые 25 танков Т-34, а к началу 1942 года почти все эвакуированное оборудование было установлено и подготовлено к пуску. Следует сказать, что площадка Уралвагонзавода позволила без особых проблем разместить три эвакуированных предприятия. Кроме того, здесь имелось мощное сталелитейное и горячештамповочное производство. Эта особенность, наряду с потерей заводов-поставщиков, потребовала внесения большого числа конструктивных и технологических изменений в конструкцию узлов и деталей Т-34.</w:t>
      </w:r>
    </w:p>
    <w:p w14:paraId="6B74E4A1"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Танковое производство в Нижнем Тагиле организовывалось по принципу законченного цикла в иеху - тот цех, который изготавливал детали. сам собирал из них узлы и механизмы. Всего было создано 16 основных цехов: механосборочные «ПО» (ходовая часть) и «119» (трансмиссия). крепежный «125» (болты, гайки, шпильки и т.п.), корпусных деталей «710» (механическая обработка деталей корпуса), кузнечный «630» (горячая штамповка), прессовый «640» (холодная штамповка), штампованного крепежа «690», литейные - «550» (мелкого стального литья). «563» (крупного стального литья). «595» (цветного литья), термический «680» (термообработка деталей), медницкий «160» (радиаторы, баки, трубки и т.п.), сборочный «130» (сборка танков), корпусной отдел «700» (сборка и сварка корпусов и башен), инструментальный «430» (изготовление инструмента) и ремонтно-механический «800» (ремонт оборудования). Кроме того, имелось несколько вспомогательных цехов.</w:t>
      </w:r>
    </w:p>
    <w:p w14:paraId="7E73D285"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период развертывания производства Т-34 в Нижнем Тагиле было восстановлено, модернизировано и смонтировано 1691 единица оборудования, изготовлено 4876 приспособлений, 1025 холодных штампов, 215 пресс-форм и 200 комплектов металлических моделей.</w:t>
      </w:r>
    </w:p>
    <w:p w14:paraId="3C603705"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Однако сразу выйти на плановый выпуск - 20 Т-34 в сутки - заводу № 183 не удалось. Например, в январе — марте 1942 года среднесуточный выпуск составлял не более 10-15 машин. Это было связано и с острым недостатком рабочей силы, прежде всего квалифицированной - на 1 января 1942 года имелось всего 61,5 % рабочих (кроме того, в период развертывания производства на заводе № 183 работало 9000 человек так называемых «трудоармейцев», в основном неквалифицированных), и с перебоями в снабжении предприятия металлом, заготовками, электроэнергией, газом, углем, нефтью, торфом. Для выправления ситуации в течение 1942 года завод № 183 получил дополнительное количество высокопроизводительного оборудования, а также организованы конвейер для внестендовой сварки бронекорпусов и вторая линия конвейера сборки танков.</w:t>
      </w:r>
    </w:p>
    <w:p w14:paraId="522B9AA6"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была пересмотрена технология изготовления Т-34, а также в кратчайшие сроки построены новые цеха для разгрузки существующих и сокращения номенклатуры изготовляемых в них деталей (корпус «184» - изготовление главных и бортовых фрикционов, подвески, ленивцев, тормозной ленты и ведущих колес, цех «140» - мелкие узлы арматуры и цех «170» - волочильный).</w:t>
      </w:r>
    </w:p>
    <w:p w14:paraId="6DD8B85B"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лучшей организации испытаний готовых танков сдаточный цех «150» выделили из состава сборочного цеха «130», а в бронекорпус- ном отделе «700» организовали заготовительные и сборочно-сварочные цеха (12217).</w:t>
      </w:r>
    </w:p>
    <w:p w14:paraId="2E256409" w14:textId="77777777" w:rsidR="00045010" w:rsidRPr="00640820" w:rsidRDefault="00045010" w:rsidP="00640820">
      <w:pPr>
        <w:spacing w:after="0" w:line="240" w:lineRule="auto"/>
        <w:jc w:val="both"/>
        <w:rPr>
          <w:rFonts w:ascii="Times New Roman" w:hAnsi="Times New Roman"/>
          <w:color w:val="000000" w:themeColor="text1"/>
          <w:sz w:val="16"/>
          <w:szCs w:val="16"/>
        </w:rPr>
      </w:pPr>
    </w:p>
    <w:p w14:paraId="6B7B732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КБ Морозова получило задание спроектиро</w:t>
      </w:r>
      <w:r w:rsidRPr="00640820">
        <w:rPr>
          <w:rFonts w:ascii="Times New Roman" w:hAnsi="Times New Roman"/>
          <w:color w:val="000000" w:themeColor="text1"/>
          <w:sz w:val="16"/>
          <w:szCs w:val="16"/>
        </w:rPr>
        <w:softHyphen/>
        <w:t>вать улучшенную версию танка Т-34 с точки зрения стои</w:t>
      </w:r>
      <w:r w:rsidRPr="00640820">
        <w:rPr>
          <w:rFonts w:ascii="Times New Roman" w:hAnsi="Times New Roman"/>
          <w:color w:val="000000" w:themeColor="text1"/>
          <w:sz w:val="16"/>
          <w:szCs w:val="16"/>
        </w:rPr>
        <w:softHyphen/>
        <w:t>мости и защищенности. Проект был выполнен довольно быстро. Новый танк получил индекс Т-34М (не путать с разработанным в 1941 г. А-43), имел более плотную компо</w:t>
      </w:r>
      <w:r w:rsidRPr="00640820">
        <w:rPr>
          <w:rFonts w:ascii="Times New Roman" w:hAnsi="Times New Roman"/>
          <w:color w:val="000000" w:themeColor="text1"/>
          <w:sz w:val="16"/>
          <w:szCs w:val="16"/>
        </w:rPr>
        <w:softHyphen/>
        <w:t>новку агрегатов и интерьера, что вкупе с сокращением эки</w:t>
      </w:r>
      <w:r w:rsidRPr="00640820">
        <w:rPr>
          <w:rFonts w:ascii="Times New Roman" w:hAnsi="Times New Roman"/>
          <w:color w:val="000000" w:themeColor="text1"/>
          <w:sz w:val="16"/>
          <w:szCs w:val="16"/>
        </w:rPr>
        <w:softHyphen/>
        <w:t>пажа танка до 3 человек (благо раций для танков все равно катастрофически не хватало) позволило получить резерв массы, достаточный для поднятия бронирования танка до 60—70 мм в лобовой части, бортах и корме. Предполагалось применить в танке новую КПП (так как переключать ско</w:t>
      </w:r>
      <w:r w:rsidRPr="00640820">
        <w:rPr>
          <w:rFonts w:ascii="Times New Roman" w:hAnsi="Times New Roman"/>
          <w:color w:val="000000" w:themeColor="text1"/>
          <w:sz w:val="16"/>
          <w:szCs w:val="16"/>
        </w:rPr>
        <w:softHyphen/>
        <w:t>рости в танке со старой коробкой можно было только во время остановок) и торсионную подвеску. Проект был представлен на заседании 2-го отдела НКТП в феврале 1942 г., но утвержден не был (10782).</w:t>
      </w:r>
    </w:p>
    <w:p w14:paraId="79FE713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4B46F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в КБ завода № 183 на базе среднего танка Т-34 был разработан проект мощного огнеметного танка, вооруженного серий</w:t>
      </w:r>
      <w:r w:rsidRPr="00640820">
        <w:rPr>
          <w:rFonts w:ascii="Times New Roman" w:hAnsi="Times New Roman"/>
          <w:color w:val="000000" w:themeColor="text1"/>
          <w:sz w:val="16"/>
          <w:szCs w:val="16"/>
        </w:rPr>
        <w:softHyphen/>
        <w:t>ным огнеметом АТО-41 и 45-мм танковой пушкой. В боекомплект тан</w:t>
      </w:r>
      <w:r w:rsidRPr="00640820">
        <w:rPr>
          <w:rFonts w:ascii="Times New Roman" w:hAnsi="Times New Roman"/>
          <w:color w:val="000000" w:themeColor="text1"/>
          <w:sz w:val="16"/>
          <w:szCs w:val="16"/>
        </w:rPr>
        <w:softHyphen/>
        <w:t>ка входили 150 выстрелов, 2520 патронов к пулеметам ДТ, емкость бака для огнесмеси составляла 900 л. Дальнейшие работы над проектом бы</w:t>
      </w:r>
      <w:r w:rsidRPr="00640820">
        <w:rPr>
          <w:rFonts w:ascii="Times New Roman" w:hAnsi="Times New Roman"/>
          <w:color w:val="000000" w:themeColor="text1"/>
          <w:sz w:val="16"/>
          <w:szCs w:val="16"/>
        </w:rPr>
        <w:softHyphen/>
        <w:t>ли прекращены (10703).</w:t>
      </w:r>
    </w:p>
    <w:p w14:paraId="2FED694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ECF84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месяце 1941 по сравнению с маем 1941 г. благодаря внедрению новой технологии выпуск бронекорпусов и башен на заводе № 264 увеличился более чем в 35 раз (10703).</w:t>
      </w:r>
    </w:p>
    <w:p w14:paraId="3AFD7EB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A04DD5" w14:textId="77777777" w:rsidR="00C2716E" w:rsidRPr="00640820" w:rsidRDefault="00C2716E" w:rsidP="00640820">
      <w:pPr>
        <w:shd w:val="clear" w:color="auto" w:fill="FFFFFF"/>
        <w:spacing w:after="0" w:line="240" w:lineRule="auto"/>
        <w:jc w:val="both"/>
        <w:rPr>
          <w:rFonts w:ascii="Times New Roman" w:eastAsia="Times New Roman" w:hAnsi="Times New Roman"/>
          <w:color w:val="0070C0"/>
          <w:sz w:val="16"/>
          <w:szCs w:val="16"/>
          <w:lang w:eastAsia="ru-RU"/>
        </w:rPr>
      </w:pPr>
      <w:r w:rsidRPr="00640820">
        <w:rPr>
          <w:rFonts w:ascii="Times New Roman" w:hAnsi="Times New Roman"/>
          <w:color w:val="0070C0"/>
          <w:sz w:val="16"/>
          <w:szCs w:val="16"/>
          <w:shd w:val="clear" w:color="auto" w:fill="FFFFFF"/>
        </w:rPr>
        <w:t>В декабре 1941 года была готова чертежная документация по усилению вооружения Т-60. Работы обоих КБ курировал воениженер 1-го ранга Н.С. Огурцов, тот самый, что стал инициатором перевооружения Valenine и Matilda. Он сразу указал на недостатки обоих проектов, а именно неуравновешенность башни и крайне скудный объем боевого отделения. Огурцов оказался тем, кто санкционировал дальнейшее развитие идей двух КБ, которые кардинально отличались друг от друга. В случае с ГАЗ им. Молотова он настоял на предложении завода об изготовлении увеличенной литой башни с большим диаметром погона. Он же впервые поднял перед ГАБТУ КА вопрос об установке 37-мм танковой пушки, которую КБ завода №92 стало разрабатывать в инициативном порядке (22879).</w:t>
      </w:r>
    </w:p>
    <w:p w14:paraId="0FD6A5A5" w14:textId="77777777" w:rsidR="00C2716E" w:rsidRPr="00640820" w:rsidRDefault="00C2716E" w:rsidP="00640820">
      <w:pPr>
        <w:shd w:val="clear" w:color="auto" w:fill="FFFFFF"/>
        <w:spacing w:after="0" w:line="240" w:lineRule="auto"/>
        <w:jc w:val="both"/>
        <w:rPr>
          <w:rFonts w:ascii="Times New Roman" w:eastAsia="Times New Roman" w:hAnsi="Times New Roman"/>
          <w:color w:val="0070C0"/>
          <w:sz w:val="16"/>
          <w:szCs w:val="16"/>
          <w:lang w:eastAsia="ru-RU"/>
        </w:rPr>
      </w:pPr>
    </w:p>
    <w:p w14:paraId="389D666F" w14:textId="77777777" w:rsidR="00C2716E" w:rsidRPr="00640820" w:rsidRDefault="00C2716E" w:rsidP="00640820">
      <w:pPr>
        <w:spacing w:after="0" w:line="240" w:lineRule="auto"/>
        <w:jc w:val="both"/>
        <w:rPr>
          <w:rFonts w:ascii="Times New Roman" w:eastAsia="Times New Roman" w:hAnsi="Times New Roman"/>
          <w:color w:val="0070C0"/>
          <w:sz w:val="16"/>
          <w:szCs w:val="16"/>
          <w:lang w:eastAsia="ru-RU"/>
        </w:rPr>
      </w:pPr>
      <w:r w:rsidRPr="00640820">
        <w:rPr>
          <w:rFonts w:ascii="Times New Roman" w:hAnsi="Times New Roman"/>
          <w:color w:val="0070C0"/>
          <w:sz w:val="16"/>
          <w:szCs w:val="16"/>
        </w:rPr>
        <w:t>С декабря 1941 г. по февраль 1942 г. на московском вагоноремонтном заводе было построено пять БД-41. В качестве базы для БД-41 использовали автодрезину Уа , на которую монтировался бронекорпус с подбитых и не подлежащих ремонту легких танков Т-40. Об их боевом использовании известно мало, во всяком случае, одна из БД-41 еще эксплуатировалась летом 1944 г. на Карельском фронте (22752).</w:t>
      </w:r>
    </w:p>
    <w:p w14:paraId="096F92B5" w14:textId="77777777" w:rsidR="00C2716E" w:rsidRPr="00640820" w:rsidRDefault="00C2716E" w:rsidP="00640820">
      <w:pPr>
        <w:spacing w:after="0" w:line="240" w:lineRule="auto"/>
        <w:jc w:val="both"/>
        <w:rPr>
          <w:rFonts w:ascii="Times New Roman" w:eastAsia="Times New Roman" w:hAnsi="Times New Roman"/>
          <w:color w:val="0070C0"/>
          <w:sz w:val="16"/>
          <w:szCs w:val="16"/>
          <w:lang w:eastAsia="ru-RU"/>
        </w:rPr>
      </w:pPr>
    </w:p>
    <w:p w14:paraId="29F2A11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на СТЗ 12 Т-34 были оснащены М-17Ф. С января по март 1942 г. на СТЗ было вы</w:t>
      </w:r>
      <w:r w:rsidRPr="00640820">
        <w:rPr>
          <w:rFonts w:ascii="Times New Roman" w:hAnsi="Times New Roman"/>
          <w:color w:val="000000" w:themeColor="text1"/>
          <w:sz w:val="16"/>
          <w:szCs w:val="16"/>
        </w:rPr>
        <w:softHyphen/>
        <w:t>пущено 269 танков с авиационными двигателями. Постепенное увели</w:t>
      </w:r>
      <w:r w:rsidRPr="00640820">
        <w:rPr>
          <w:rFonts w:ascii="Times New Roman" w:hAnsi="Times New Roman"/>
          <w:color w:val="000000" w:themeColor="text1"/>
          <w:sz w:val="16"/>
          <w:szCs w:val="16"/>
        </w:rPr>
        <w:softHyphen/>
        <w:t>чение серийного выпуска дизелей В-2 собственного изготовления поз</w:t>
      </w:r>
      <w:r w:rsidRPr="00640820">
        <w:rPr>
          <w:rFonts w:ascii="Times New Roman" w:hAnsi="Times New Roman"/>
          <w:color w:val="000000" w:themeColor="text1"/>
          <w:sz w:val="16"/>
          <w:szCs w:val="16"/>
        </w:rPr>
        <w:softHyphen/>
        <w:t>волило коллективу СТЗ весной 1942 г. отказаться от установки авиаци</w:t>
      </w:r>
      <w:r w:rsidRPr="00640820">
        <w:rPr>
          <w:rFonts w:ascii="Times New Roman" w:hAnsi="Times New Roman"/>
          <w:color w:val="000000" w:themeColor="text1"/>
          <w:sz w:val="16"/>
          <w:szCs w:val="16"/>
        </w:rPr>
        <w:softHyphen/>
        <w:t>онных двигателей в танки Т-34. С конца марта коллективу СТЗ удалось на 81% выполнить план по производству дизелей (было изготовлено 319 двигателей из 390 запланированных). Без сомнения, начало серий</w:t>
      </w:r>
      <w:r w:rsidRPr="00640820">
        <w:rPr>
          <w:rFonts w:ascii="Times New Roman" w:hAnsi="Times New Roman"/>
          <w:color w:val="000000" w:themeColor="text1"/>
          <w:sz w:val="16"/>
          <w:szCs w:val="16"/>
        </w:rPr>
        <w:softHyphen/>
        <w:t>ного выпуска дизеля В-2 стало большим событием в истории сталин</w:t>
      </w:r>
      <w:r w:rsidRPr="00640820">
        <w:rPr>
          <w:rFonts w:ascii="Times New Roman" w:hAnsi="Times New Roman"/>
          <w:color w:val="000000" w:themeColor="text1"/>
          <w:sz w:val="16"/>
          <w:szCs w:val="16"/>
        </w:rPr>
        <w:softHyphen/>
        <w:t>градского завода (10703).</w:t>
      </w:r>
    </w:p>
    <w:p w14:paraId="5C1B108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55D9B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на СТЗ началось производство ОТ-34-76 и завод выпустил первую партию ог</w:t>
      </w:r>
      <w:r w:rsidRPr="00640820">
        <w:rPr>
          <w:rFonts w:ascii="Times New Roman" w:hAnsi="Times New Roman"/>
          <w:color w:val="000000" w:themeColor="text1"/>
          <w:sz w:val="16"/>
          <w:szCs w:val="16"/>
        </w:rPr>
        <w:softHyphen/>
        <w:t>неметных танков из 10 машин в декабре 1941 г. - январе 1942 г. Голо</w:t>
      </w:r>
      <w:r w:rsidRPr="00640820">
        <w:rPr>
          <w:rFonts w:ascii="Times New Roman" w:hAnsi="Times New Roman"/>
          <w:color w:val="000000" w:themeColor="text1"/>
          <w:sz w:val="16"/>
          <w:szCs w:val="16"/>
        </w:rPr>
        <w:softHyphen/>
        <w:t>вным заводом по выпуску машины стал завод № 183 в Нижнем Тагиле. Подготовка технической документации к серийному производству была осуществлена в КБ завода под руководством А.А.Морозова. Ведущим инженером машины был И.А. Аристов. Танк был принят на вооружение и состоял в серийном производстве на СТЗ (1942 г.), на заводах № 183 (Нижний Тагил), № 112 ("Красное Сормово") - в 1942 - 1944 гг. и № 174 (Омск) - с 1943 г. Всего бы</w:t>
      </w:r>
      <w:r w:rsidRPr="00640820">
        <w:rPr>
          <w:rFonts w:ascii="Times New Roman" w:hAnsi="Times New Roman"/>
          <w:color w:val="000000" w:themeColor="text1"/>
          <w:sz w:val="16"/>
          <w:szCs w:val="16"/>
        </w:rPr>
        <w:softHyphen/>
        <w:t>ло выпущено 1170 огнеметных тан</w:t>
      </w:r>
      <w:r w:rsidRPr="00640820">
        <w:rPr>
          <w:rFonts w:ascii="Times New Roman" w:hAnsi="Times New Roman"/>
          <w:color w:val="000000" w:themeColor="text1"/>
          <w:sz w:val="16"/>
          <w:szCs w:val="16"/>
        </w:rPr>
        <w:softHyphen/>
        <w:t>ков ОТ-34-76, которые широко применялись в боях в годы Вели</w:t>
      </w:r>
      <w:r w:rsidRPr="00640820">
        <w:rPr>
          <w:rFonts w:ascii="Times New Roman" w:hAnsi="Times New Roman"/>
          <w:color w:val="000000" w:themeColor="text1"/>
          <w:sz w:val="16"/>
          <w:szCs w:val="16"/>
        </w:rPr>
        <w:softHyphen/>
        <w:t>кой Отечественной войны. Огнеметный танк ОТ-34-76 от</w:t>
      </w:r>
      <w:r w:rsidRPr="00640820">
        <w:rPr>
          <w:rFonts w:ascii="Times New Roman" w:hAnsi="Times New Roman"/>
          <w:color w:val="000000" w:themeColor="text1"/>
          <w:sz w:val="16"/>
          <w:szCs w:val="16"/>
        </w:rPr>
        <w:softHyphen/>
        <w:t>личался от линейного танка Т-34-76 установкой огнеметного оборудова</w:t>
      </w:r>
      <w:r w:rsidRPr="00640820">
        <w:rPr>
          <w:rFonts w:ascii="Times New Roman" w:hAnsi="Times New Roman"/>
          <w:color w:val="000000" w:themeColor="text1"/>
          <w:sz w:val="16"/>
          <w:szCs w:val="16"/>
        </w:rPr>
        <w:softHyphen/>
        <w:t>ния. В зависимости от года выпуска огнеметные танки ОТ-34-76 отличались между собой установкой как сварных, так и литых башен (машины обр. 1941 г.), литых и штампован</w:t>
      </w:r>
      <w:r w:rsidRPr="00640820">
        <w:rPr>
          <w:rFonts w:ascii="Times New Roman" w:hAnsi="Times New Roman"/>
          <w:color w:val="000000" w:themeColor="text1"/>
          <w:sz w:val="16"/>
          <w:szCs w:val="16"/>
        </w:rPr>
        <w:softHyphen/>
        <w:t>ных башен новой конструкции как без командирской башенки, так и с ее установкой (машины обр. 1942 г.). В связи с установкой огнеметного обо</w:t>
      </w:r>
      <w:r w:rsidRPr="00640820">
        <w:rPr>
          <w:rFonts w:ascii="Times New Roman" w:hAnsi="Times New Roman"/>
          <w:color w:val="000000" w:themeColor="text1"/>
          <w:sz w:val="16"/>
          <w:szCs w:val="16"/>
        </w:rPr>
        <w:softHyphen/>
        <w:t>рудования производства завода № 222, справа в носовой части корпуса отказались от размещения стрелка-радиста. Экипаж машины был сокра</w:t>
      </w:r>
      <w:r w:rsidRPr="00640820">
        <w:rPr>
          <w:rFonts w:ascii="Times New Roman" w:hAnsi="Times New Roman"/>
          <w:color w:val="000000" w:themeColor="text1"/>
          <w:sz w:val="16"/>
          <w:szCs w:val="16"/>
        </w:rPr>
        <w:softHyphen/>
        <w:t>щен до трех человек. Монитор огнемета АТО-41 монтировался вместо ло</w:t>
      </w:r>
      <w:r w:rsidRPr="00640820">
        <w:rPr>
          <w:rFonts w:ascii="Times New Roman" w:hAnsi="Times New Roman"/>
          <w:color w:val="000000" w:themeColor="text1"/>
          <w:sz w:val="16"/>
          <w:szCs w:val="16"/>
        </w:rPr>
        <w:softHyphen/>
        <w:t>бового пулемета ДТ и поэтому обнаружение огнеметного танка против</w:t>
      </w:r>
      <w:r w:rsidRPr="00640820">
        <w:rPr>
          <w:rFonts w:ascii="Times New Roman" w:hAnsi="Times New Roman"/>
          <w:color w:val="000000" w:themeColor="text1"/>
          <w:sz w:val="16"/>
          <w:szCs w:val="16"/>
        </w:rPr>
        <w:softHyphen/>
        <w:t>ником на поле боя было затруднено. В отделении управления размещал</w:t>
      </w:r>
      <w:r w:rsidRPr="00640820">
        <w:rPr>
          <w:rFonts w:ascii="Times New Roman" w:hAnsi="Times New Roman"/>
          <w:color w:val="000000" w:themeColor="text1"/>
          <w:sz w:val="16"/>
          <w:szCs w:val="16"/>
        </w:rPr>
        <w:softHyphen/>
        <w:t>ся механик-водитель, он же при необходимости производил огнеметание, используя для наводки огнемета на цель свои штатные смотровые прибо</w:t>
      </w:r>
      <w:r w:rsidRPr="00640820">
        <w:rPr>
          <w:rFonts w:ascii="Times New Roman" w:hAnsi="Times New Roman"/>
          <w:color w:val="000000" w:themeColor="text1"/>
          <w:sz w:val="16"/>
          <w:szCs w:val="16"/>
        </w:rPr>
        <w:softHyphen/>
        <w:t>ры. В боевом отделении танка размещались командир танка (он же навод</w:t>
      </w:r>
      <w:r w:rsidRPr="00640820">
        <w:rPr>
          <w:rFonts w:ascii="Times New Roman" w:hAnsi="Times New Roman"/>
          <w:color w:val="000000" w:themeColor="text1"/>
          <w:sz w:val="16"/>
          <w:szCs w:val="16"/>
        </w:rPr>
        <w:softHyphen/>
        <w:t>чик) и заряжающий (10703).</w:t>
      </w:r>
    </w:p>
    <w:p w14:paraId="198E370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E27A9B" w14:textId="77777777" w:rsidR="00227695" w:rsidRPr="00640820" w:rsidRDefault="002276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декабре 1941 года заводское КБ УЗТМ приступило к разработке двух систем, предназначенных для установки в чуть измененные башни КВ-1. Первая из них получила обозначение У-11. Представляла она собой орудие калибра 122 мм с баллистикой гаубицы М-30. В контексте этой же статьи гораздо интереснее выглядит вторая система – У-12. Это была установка 85-мм орудия с баллистикой зенитной пушки 52-К. Для нее была разработана новая система отката, которая уменьшила длину по сравнению с 52-К с 850 до 450 мм. Как и для У-11, для У-12 потребовалось немного переделать носовую часть башни, а также разработать новую орудийную маску.</w:t>
      </w:r>
    </w:p>
    <w:p w14:paraId="2E8695CE" w14:textId="77777777" w:rsidR="00227695" w:rsidRPr="00640820" w:rsidRDefault="002276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Согласно отчету УЗТМ за годы войны, систему не только разработали, но и построили машину с ней. Но такой танк не проходит в других документах, в отличие, например, от КВ-9 с орудием У-11. Есть нестыковка и по составу конструкторов. В документах УЗТМ указывается, что У-12 разрабатывали В.Н. Сидоренко, С.Ю. Рыковский, А.Д. Заец и другие. На деле же руководил работами Ф.Ф. Петров, а его заместителем был Л.И. Горлицкий. Впрочем, подобные нестыковки в истории УЗТМ встречаются часто, особенно это касается периода 1941–42 годов (17675).</w:t>
      </w:r>
    </w:p>
    <w:p w14:paraId="7C2DBF4C" w14:textId="77777777" w:rsidR="00227695" w:rsidRPr="00640820" w:rsidRDefault="00227695" w:rsidP="00640820">
      <w:pPr>
        <w:spacing w:after="0" w:line="240" w:lineRule="auto"/>
        <w:jc w:val="both"/>
        <w:rPr>
          <w:rFonts w:ascii="Times New Roman" w:eastAsia="Times New Roman" w:hAnsi="Times New Roman"/>
          <w:color w:val="000000" w:themeColor="text1"/>
          <w:sz w:val="16"/>
          <w:szCs w:val="16"/>
          <w:lang w:eastAsia="ru-RU"/>
        </w:rPr>
      </w:pPr>
    </w:p>
    <w:p w14:paraId="0210C10C" w14:textId="77777777" w:rsidR="00227695" w:rsidRPr="00640820" w:rsidRDefault="002276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декабре 1941 года в Свердловске был организован моторный завод №76, а позже на заводе №8, который эвакуировали в Свердловск, организовали производство танковых орудий. Эти компоненты активно использовались в тяжелых танках, которые производил ЧКЗ. Вместе с тем, производственные возможности УЗТМ на тот момент не позволяли заниматься выпуском самих танков. К танкостроению предприятия Свердловска имели прямое отношение еще до осени 1941 года. Уральский завод тяжелого машиностроения (УЗТМ) к тому моменту играл роль смежника Челябинского тракторного завода (ЧТЗ) по корпусному производству для тяжелых танков КВ-1. Стоит отметить, что УЗТМ оставался в тесной кооперации с ЧТЗ/ЧКЗ вплоть до конца 1945 года, причем она постепенно расширялась (18686).</w:t>
      </w:r>
    </w:p>
    <w:p w14:paraId="57CA9557" w14:textId="77777777" w:rsidR="00227695" w:rsidRPr="00640820" w:rsidRDefault="00227695" w:rsidP="00640820">
      <w:pPr>
        <w:spacing w:after="0" w:line="240" w:lineRule="auto"/>
        <w:jc w:val="both"/>
        <w:rPr>
          <w:rFonts w:ascii="Times New Roman" w:eastAsia="Times New Roman" w:hAnsi="Times New Roman"/>
          <w:color w:val="000000" w:themeColor="text1"/>
          <w:sz w:val="16"/>
          <w:szCs w:val="16"/>
          <w:lang w:eastAsia="ru-RU"/>
        </w:rPr>
      </w:pPr>
    </w:p>
    <w:p w14:paraId="11D01C5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декабря 1941 г. радиофицированные танки параллельно с установ</w:t>
      </w:r>
      <w:r w:rsidRPr="00640820">
        <w:rPr>
          <w:rFonts w:ascii="Times New Roman" w:hAnsi="Times New Roman"/>
          <w:color w:val="000000" w:themeColor="text1"/>
          <w:sz w:val="16"/>
          <w:szCs w:val="16"/>
        </w:rPr>
        <w:softHyphen/>
        <w:t>кой радиостанции 7-ТК-З стали оснащаться коротковолновой радио</w:t>
      </w:r>
      <w:r w:rsidRPr="00640820">
        <w:rPr>
          <w:rFonts w:ascii="Times New Roman" w:hAnsi="Times New Roman"/>
          <w:color w:val="000000" w:themeColor="text1"/>
          <w:sz w:val="16"/>
          <w:szCs w:val="16"/>
        </w:rPr>
        <w:softHyphen/>
        <w:t>станцией 9Р с танковым переговорным устройством ТПУ-3 или ТПУ-4-БИС (на танках последних выпусков). В комплект радиостанции входили: передатчик 9Р, приемник РСИ-4Т, умформеры РУН-30 и РУН-10 с фильтром и двумя кабелями, антенное устройство, шлемофоны, со</w:t>
      </w:r>
      <w:r w:rsidRPr="00640820">
        <w:rPr>
          <w:rFonts w:ascii="Times New Roman" w:hAnsi="Times New Roman"/>
          <w:color w:val="000000" w:themeColor="text1"/>
          <w:sz w:val="16"/>
          <w:szCs w:val="16"/>
        </w:rPr>
        <w:softHyphen/>
        <w:t>единительные кабели и ящик ЗИП (10703).</w:t>
      </w:r>
    </w:p>
    <w:p w14:paraId="77DC68D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AE9FC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после того, как немцы применили под Москвой последнюю, только что разработанную модификацию среднего танка Т-Ш, с фронта начали поступать тре</w:t>
      </w:r>
      <w:r w:rsidRPr="00640820">
        <w:rPr>
          <w:rFonts w:ascii="Times New Roman" w:hAnsi="Times New Roman"/>
          <w:color w:val="000000" w:themeColor="text1"/>
          <w:sz w:val="16"/>
          <w:szCs w:val="16"/>
        </w:rPr>
        <w:softHyphen/>
        <w:t>вожные известия о том, что лобовая броня среднего танка Т-34-76 стала пробиваться снарядами пушек данной модификации танков противни</w:t>
      </w:r>
      <w:r w:rsidRPr="00640820">
        <w:rPr>
          <w:rFonts w:ascii="Times New Roman" w:hAnsi="Times New Roman"/>
          <w:color w:val="000000" w:themeColor="text1"/>
          <w:sz w:val="16"/>
          <w:szCs w:val="16"/>
        </w:rPr>
        <w:softHyphen/>
        <w:t>ка. 25 декабря 1941 г. на заседании ГКО было принято постановление о производстве танка Т-34 с лобовыми броневыми листами толщиной 60 мм, начиная с 15 февраля 1942 г. (10703).</w:t>
      </w:r>
    </w:p>
    <w:p w14:paraId="0F354F0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253A9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декабря 1941 г. на танке стала устанавливаться телефонно-телеграфная радиостанция типа 10Р, которая состояла из передатчика с крышкой, приемника с крышкой, блока питания, двух кассет для транс</w:t>
      </w:r>
      <w:r w:rsidRPr="00640820">
        <w:rPr>
          <w:rFonts w:ascii="Times New Roman" w:hAnsi="Times New Roman"/>
          <w:color w:val="000000" w:themeColor="text1"/>
          <w:sz w:val="16"/>
          <w:szCs w:val="16"/>
        </w:rPr>
        <w:softHyphen/>
        <w:t>портирования кварцевых блоков, амортизационной рамы, ящика для ЗИП, шлемофона с гарнитурой, телеграфного ключа и антенного уст</w:t>
      </w:r>
      <w:r w:rsidRPr="00640820">
        <w:rPr>
          <w:rFonts w:ascii="Times New Roman" w:hAnsi="Times New Roman"/>
          <w:color w:val="000000" w:themeColor="text1"/>
          <w:sz w:val="16"/>
          <w:szCs w:val="16"/>
        </w:rPr>
        <w:softHyphen/>
        <w:t>ройства (10703).</w:t>
      </w:r>
    </w:p>
    <w:p w14:paraId="2E45D9D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C4152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декабря 1941 г. радиофицированные танки параллельно с установ</w:t>
      </w:r>
      <w:r w:rsidRPr="00640820">
        <w:rPr>
          <w:rFonts w:ascii="Times New Roman" w:hAnsi="Times New Roman"/>
          <w:color w:val="000000" w:themeColor="text1"/>
          <w:sz w:val="16"/>
          <w:szCs w:val="16"/>
        </w:rPr>
        <w:softHyphen/>
        <w:t>кой радиостанции 7-ТК-З стали оснащаться коротковолновой радио</w:t>
      </w:r>
      <w:r w:rsidRPr="00640820">
        <w:rPr>
          <w:rFonts w:ascii="Times New Roman" w:hAnsi="Times New Roman"/>
          <w:color w:val="000000" w:themeColor="text1"/>
          <w:sz w:val="16"/>
          <w:szCs w:val="16"/>
        </w:rPr>
        <w:softHyphen/>
        <w:t>станцией 9Р с танковым переговорным устройством ТПУ-3 или ТПУ-4-БИС (на танках последних выпусков). В комплект радиостанции входили: передатчик 9Р, приемник РСИ-4Т, умформеры РУН-30 и РУН-10 с фильтром и двумя кабелями, антенное устройство, шлемофоны, со</w:t>
      </w:r>
      <w:r w:rsidRPr="00640820">
        <w:rPr>
          <w:rFonts w:ascii="Times New Roman" w:hAnsi="Times New Roman"/>
          <w:color w:val="000000" w:themeColor="text1"/>
          <w:sz w:val="16"/>
          <w:szCs w:val="16"/>
        </w:rPr>
        <w:softHyphen/>
        <w:t>единительные кабели и ящик ЗИП (10703).</w:t>
      </w:r>
    </w:p>
    <w:p w14:paraId="256B7A0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34BBE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декабря 1941 года под руководством полковник Эссера группа инженеров, техников и мастеров, возглавляемая техническим советником доктором Кноппечеком по специально разработанной про</w:t>
      </w:r>
      <w:r w:rsidRPr="00640820">
        <w:rPr>
          <w:rFonts w:ascii="Times New Roman" w:hAnsi="Times New Roman"/>
          <w:color w:val="000000" w:themeColor="text1"/>
          <w:sz w:val="16"/>
          <w:szCs w:val="16"/>
        </w:rPr>
        <w:softHyphen/>
        <w:t>грамме испытывала танки противников воюющей Германии, в том числе и трофейный советский танк Т-34.</w:t>
      </w:r>
    </w:p>
    <w:p w14:paraId="2D1A501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диаграммах, с помощью которых сравниваются различные показатели боевых машин, Т-34 выглядит прямо каким-то «заколдованным принцем». Там, где вы</w:t>
      </w:r>
      <w:r w:rsidRPr="00640820">
        <w:rPr>
          <w:rFonts w:ascii="Times New Roman" w:hAnsi="Times New Roman"/>
          <w:color w:val="000000" w:themeColor="text1"/>
          <w:sz w:val="16"/>
          <w:szCs w:val="16"/>
        </w:rPr>
        <w:softHyphen/>
        <w:t>годны максимальные показатели — калибр и начальная скорость снаря</w:t>
      </w:r>
      <w:r w:rsidRPr="00640820">
        <w:rPr>
          <w:rFonts w:ascii="Times New Roman" w:hAnsi="Times New Roman"/>
          <w:color w:val="000000" w:themeColor="text1"/>
          <w:sz w:val="16"/>
          <w:szCs w:val="16"/>
        </w:rPr>
        <w:softHyphen/>
        <w:t>да, скорость движения, удельная мощность, у Т-34 они оптимальны. И там, где выгодны минимальные показатели — расход топлива, вес, давле</w:t>
      </w:r>
      <w:r w:rsidRPr="00640820">
        <w:rPr>
          <w:rFonts w:ascii="Times New Roman" w:hAnsi="Times New Roman"/>
          <w:color w:val="000000" w:themeColor="text1"/>
          <w:sz w:val="16"/>
          <w:szCs w:val="16"/>
        </w:rPr>
        <w:softHyphen/>
        <w:t>ние на грунт, у Т-34 они тоже наиболее благоприятны. Как ни трудно, как ни больно это было Эссеру, но он был вынужден признать: «...В конструк</w:t>
      </w:r>
      <w:r w:rsidRPr="00640820">
        <w:rPr>
          <w:rFonts w:ascii="Times New Roman" w:hAnsi="Times New Roman"/>
          <w:color w:val="000000" w:themeColor="text1"/>
          <w:sz w:val="16"/>
          <w:szCs w:val="16"/>
        </w:rPr>
        <w:softHyphen/>
        <w:t>ции Т-34 умело соединены высокая огневая мощь 76-мм пушки с силь</w:t>
      </w:r>
      <w:r w:rsidRPr="00640820">
        <w:rPr>
          <w:rFonts w:ascii="Times New Roman" w:hAnsi="Times New Roman"/>
          <w:color w:val="000000" w:themeColor="text1"/>
          <w:sz w:val="16"/>
          <w:szCs w:val="16"/>
        </w:rPr>
        <w:softHyphen/>
        <w:t>ным бронированием; ... наибольшего внимания заслуживают конструк</w:t>
      </w:r>
      <w:r w:rsidRPr="00640820">
        <w:rPr>
          <w:rFonts w:ascii="Times New Roman" w:hAnsi="Times New Roman"/>
          <w:color w:val="000000" w:themeColor="text1"/>
          <w:sz w:val="16"/>
          <w:szCs w:val="16"/>
        </w:rPr>
        <w:softHyphen/>
        <w:t>ция ходовой части и малое удельное давление на грунт, дизельный двига</w:t>
      </w:r>
      <w:r w:rsidRPr="00640820">
        <w:rPr>
          <w:rFonts w:ascii="Times New Roman" w:hAnsi="Times New Roman"/>
          <w:color w:val="000000" w:themeColor="text1"/>
          <w:sz w:val="16"/>
          <w:szCs w:val="16"/>
        </w:rPr>
        <w:softHyphen/>
        <w:t>тель, обеспечивающий противопожарную защиту, имеет большое коли</w:t>
      </w:r>
      <w:r w:rsidRPr="00640820">
        <w:rPr>
          <w:rFonts w:ascii="Times New Roman" w:hAnsi="Times New Roman"/>
          <w:color w:val="000000" w:themeColor="text1"/>
          <w:sz w:val="16"/>
          <w:szCs w:val="16"/>
        </w:rPr>
        <w:softHyphen/>
        <w:t>чество новейших конструктивных решений...</w:t>
      </w:r>
    </w:p>
    <w:p w14:paraId="657F1F6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целом, русские создали танк, который значительно превосходит наши танки и танки других наших противников. Т-34 в настоящее время явля</w:t>
      </w:r>
      <w:r w:rsidRPr="00640820">
        <w:rPr>
          <w:rFonts w:ascii="Times New Roman" w:hAnsi="Times New Roman"/>
          <w:color w:val="000000" w:themeColor="text1"/>
          <w:sz w:val="16"/>
          <w:szCs w:val="16"/>
        </w:rPr>
        <w:softHyphen/>
        <w:t>ется наилучшим из известных до этого времени танков мира..».</w:t>
      </w:r>
    </w:p>
    <w:p w14:paraId="58E584B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Но самым неожиданным и обидным для фашистов сюрпризом была, конечно, моторная часть Т-34. Германия издавна гордилась тем, что она — родина дизеля. Тем горше было немцам убедиться: Советский Союз оказался единственной в мире страной, создавшей надежный, экономич</w:t>
      </w:r>
      <w:r w:rsidRPr="00640820">
        <w:rPr>
          <w:rFonts w:ascii="Times New Roman" w:hAnsi="Times New Roman"/>
          <w:color w:val="000000" w:themeColor="text1"/>
          <w:sz w:val="16"/>
          <w:szCs w:val="16"/>
        </w:rPr>
        <w:softHyphen/>
        <w:t>ный и мощный специальный танковый дизель.</w:t>
      </w:r>
    </w:p>
    <w:p w14:paraId="782164C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«Этот мотор, — признавался Эссер, — представляет собой как в смыс</w:t>
      </w:r>
      <w:r w:rsidRPr="00640820">
        <w:rPr>
          <w:rFonts w:ascii="Times New Roman" w:hAnsi="Times New Roman"/>
          <w:color w:val="000000" w:themeColor="text1"/>
          <w:sz w:val="16"/>
          <w:szCs w:val="16"/>
        </w:rPr>
        <w:softHyphen/>
        <w:t>ле конструкции, так и по качеству обработки... безусловно, высокую сту</w:t>
      </w:r>
      <w:r w:rsidRPr="00640820">
        <w:rPr>
          <w:rFonts w:ascii="Times New Roman" w:hAnsi="Times New Roman"/>
          <w:color w:val="000000" w:themeColor="text1"/>
          <w:sz w:val="16"/>
          <w:szCs w:val="16"/>
        </w:rPr>
        <w:softHyphen/>
        <w:t>пень развития. Его удельный вес порядка 1,7 кг/л.с. Потребление горю</w:t>
      </w:r>
      <w:r w:rsidRPr="00640820">
        <w:rPr>
          <w:rFonts w:ascii="Times New Roman" w:hAnsi="Times New Roman"/>
          <w:color w:val="000000" w:themeColor="text1"/>
          <w:sz w:val="16"/>
          <w:szCs w:val="16"/>
        </w:rPr>
        <w:softHyphen/>
        <w:t>чего весьма невелико и обеспечивает машине большой радиус действия». И, действительно, В-2 был мощным танковым мотором. Именно благо</w:t>
      </w:r>
      <w:r w:rsidRPr="00640820">
        <w:rPr>
          <w:rFonts w:ascii="Times New Roman" w:hAnsi="Times New Roman"/>
          <w:color w:val="000000" w:themeColor="text1"/>
          <w:sz w:val="16"/>
          <w:szCs w:val="16"/>
        </w:rPr>
        <w:softHyphen/>
        <w:t>даря ему у Т-34 была достигнута рекордная удельная мощность 18 л.с на тонну веса танка, позволившая воплотить в нем формулу живучести бое</w:t>
      </w:r>
      <w:r w:rsidRPr="00640820">
        <w:rPr>
          <w:rFonts w:ascii="Times New Roman" w:hAnsi="Times New Roman"/>
          <w:color w:val="000000" w:themeColor="text1"/>
          <w:sz w:val="16"/>
          <w:szCs w:val="16"/>
        </w:rPr>
        <w:softHyphen/>
        <w:t>вой машины, выраженную в гармоничном триединстве: мощное воору</w:t>
      </w:r>
      <w:r w:rsidRPr="00640820">
        <w:rPr>
          <w:rFonts w:ascii="Times New Roman" w:hAnsi="Times New Roman"/>
          <w:color w:val="000000" w:themeColor="text1"/>
          <w:sz w:val="16"/>
          <w:szCs w:val="16"/>
        </w:rPr>
        <w:softHyphen/>
        <w:t>жение, надежное бронирование и высокая скорость хода.</w:t>
      </w:r>
    </w:p>
    <w:p w14:paraId="342504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декабря 1942 года полковник Эссер сделал доклад на Военно-техни</w:t>
      </w:r>
      <w:r w:rsidRPr="00640820">
        <w:rPr>
          <w:rFonts w:ascii="Times New Roman" w:hAnsi="Times New Roman"/>
          <w:color w:val="000000" w:themeColor="text1"/>
          <w:sz w:val="16"/>
          <w:szCs w:val="16"/>
        </w:rPr>
        <w:softHyphen/>
        <w:t>ческой секции Союза германских инженеров о танках про</w:t>
      </w:r>
      <w:r w:rsidRPr="00640820">
        <w:rPr>
          <w:rFonts w:ascii="Times New Roman" w:hAnsi="Times New Roman"/>
          <w:color w:val="000000" w:themeColor="text1"/>
          <w:sz w:val="16"/>
          <w:szCs w:val="16"/>
        </w:rPr>
        <w:softHyphen/>
        <w:t>тивников гитлеровской Германии.</w:t>
      </w:r>
    </w:p>
    <w:p w14:paraId="0B1C69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1943 году в одном из трофейных немецких танков была обнаружена брошюра с докладом полковника Эссера о танках про</w:t>
      </w:r>
      <w:r w:rsidRPr="00640820">
        <w:rPr>
          <w:rFonts w:ascii="Times New Roman" w:hAnsi="Times New Roman"/>
          <w:color w:val="000000" w:themeColor="text1"/>
          <w:sz w:val="16"/>
          <w:szCs w:val="16"/>
        </w:rPr>
        <w:softHyphen/>
        <w:t>тивников гитлеровской Германии (11504).</w:t>
      </w:r>
    </w:p>
    <w:p w14:paraId="5C01F20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AF55C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был закончен проект установки пушки в танке КВ-1. Основными особенностями проекта были: использование штат</w:t>
      </w:r>
      <w:r w:rsidRPr="00640820">
        <w:rPr>
          <w:rFonts w:ascii="Times New Roman" w:hAnsi="Times New Roman"/>
          <w:color w:val="000000" w:themeColor="text1"/>
          <w:sz w:val="16"/>
          <w:szCs w:val="16"/>
        </w:rPr>
        <w:softHyphen/>
        <w:t>ного выстрела и большой части деталей ствольно-затворной группы 85-мм зенитной пушки; применение новых противооткатных устройств, обеспечивавших длину отката 450 мм (вместо 850 мм у зенитной пуш</w:t>
      </w:r>
      <w:r w:rsidRPr="00640820">
        <w:rPr>
          <w:rFonts w:ascii="Times New Roman" w:hAnsi="Times New Roman"/>
          <w:color w:val="000000" w:themeColor="text1"/>
          <w:sz w:val="16"/>
          <w:szCs w:val="16"/>
        </w:rPr>
        <w:softHyphen/>
        <w:t>ки); незначительные изменения в конструкции башни танка КВ-1 для монтажа 85-мм артиллерийского орудия (10703).</w:t>
      </w:r>
    </w:p>
    <w:p w14:paraId="4E79AB1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A4C93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первый опытный образец установки вооружения на КВ-7 был изготовлен УЗТМ и про</w:t>
      </w:r>
      <w:r w:rsidRPr="00640820">
        <w:rPr>
          <w:rFonts w:ascii="Times New Roman" w:hAnsi="Times New Roman"/>
          <w:color w:val="000000" w:themeColor="text1"/>
          <w:sz w:val="16"/>
          <w:szCs w:val="16"/>
        </w:rPr>
        <w:softHyphen/>
        <w:t>шел испытания отстрелом на стенде. Окончательная сборка машины бы</w:t>
      </w:r>
      <w:r w:rsidRPr="00640820">
        <w:rPr>
          <w:rFonts w:ascii="Times New Roman" w:hAnsi="Times New Roman"/>
          <w:color w:val="000000" w:themeColor="text1"/>
          <w:sz w:val="16"/>
          <w:szCs w:val="16"/>
        </w:rPr>
        <w:softHyphen/>
        <w:t>ла выполнена на ЧКЗ в начале 1942 г. Это была первая тяжелая самоход</w:t>
      </w:r>
      <w:r w:rsidRPr="00640820">
        <w:rPr>
          <w:rFonts w:ascii="Times New Roman" w:hAnsi="Times New Roman"/>
          <w:color w:val="000000" w:themeColor="text1"/>
          <w:sz w:val="16"/>
          <w:szCs w:val="16"/>
        </w:rPr>
        <w:softHyphen/>
        <w:t>ная установка в нашей стране во время Великой Отечественной войны. На вооружение и в серийное производство машина не принималась (10703).</w:t>
      </w:r>
    </w:p>
    <w:p w14:paraId="48C7867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7D5985" w14:textId="77777777" w:rsidR="00B0289D" w:rsidRPr="00640820" w:rsidRDefault="00B0289D"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В декабре 1941 в Челябинске на ЧКЗ был готов опыт</w:t>
      </w:r>
      <w:r w:rsidRPr="00640820">
        <w:rPr>
          <w:rFonts w:ascii="Times New Roman" w:cs="Times New Roman"/>
          <w:color w:val="000000" w:themeColor="text1"/>
          <w:spacing w:val="0"/>
        </w:rPr>
        <w:softHyphen/>
        <w:t>ный образец, получивший обозначений КВ-8 (объект 228). В конструкцию корпуса и хо</w:t>
      </w:r>
      <w:r w:rsidRPr="00640820">
        <w:rPr>
          <w:rFonts w:ascii="Times New Roman" w:cs="Times New Roman"/>
          <w:color w:val="000000" w:themeColor="text1"/>
          <w:spacing w:val="0"/>
        </w:rPr>
        <w:softHyphen/>
        <w:t>довой части машины никаких изменений не вносили, а в башне установили 45-мм пушку в едином блоке с пулеметом ДТ и по</w:t>
      </w:r>
      <w:r w:rsidRPr="00640820">
        <w:rPr>
          <w:rFonts w:ascii="Times New Roman" w:cs="Times New Roman"/>
          <w:color w:val="000000" w:themeColor="text1"/>
          <w:spacing w:val="0"/>
        </w:rPr>
        <w:softHyphen/>
        <w:t>роховым огнеметом АТО-41. Наводка на цель осуществлялась при помощи штатных при</w:t>
      </w:r>
      <w:r w:rsidRPr="00640820">
        <w:rPr>
          <w:rFonts w:ascii="Times New Roman" w:cs="Times New Roman"/>
          <w:color w:val="000000" w:themeColor="text1"/>
          <w:spacing w:val="0"/>
        </w:rPr>
        <w:softHyphen/>
        <w:t>водов и прицельных приспособлений (теле</w:t>
      </w:r>
      <w:r w:rsidRPr="00640820">
        <w:rPr>
          <w:rFonts w:ascii="Times New Roman" w:cs="Times New Roman"/>
          <w:color w:val="000000" w:themeColor="text1"/>
          <w:spacing w:val="0"/>
        </w:rPr>
        <w:softHyphen/>
        <w:t>скопического прицела ТМФ и перископи</w:t>
      </w:r>
      <w:r w:rsidRPr="00640820">
        <w:rPr>
          <w:rFonts w:ascii="Times New Roman" w:cs="Times New Roman"/>
          <w:color w:val="000000" w:themeColor="text1"/>
          <w:spacing w:val="0"/>
        </w:rPr>
        <w:softHyphen/>
        <w:t>ческого ПТ-4). Для того, чтобы в бою огне</w:t>
      </w:r>
      <w:r w:rsidRPr="00640820">
        <w:rPr>
          <w:rFonts w:ascii="Times New Roman" w:cs="Times New Roman"/>
          <w:color w:val="000000" w:themeColor="text1"/>
          <w:spacing w:val="0"/>
        </w:rPr>
        <w:softHyphen/>
        <w:t>метные танки не отличались от линейных, на 45-мм пушку был надет маскировочный кожух, имитирующий 76-мм орудие. Экипаж КВ-8 сократился до четырех человек. Огнемет АТО-41 мог вести огонь оди</w:t>
      </w:r>
      <w:r w:rsidRPr="00640820">
        <w:rPr>
          <w:rFonts w:ascii="Times New Roman" w:cs="Times New Roman"/>
          <w:color w:val="000000" w:themeColor="text1"/>
          <w:spacing w:val="0"/>
        </w:rPr>
        <w:softHyphen/>
        <w:t>ночными выстрелами и очередями по три- четыре выстрела. Дальность огнеметания стандартной огнесмесью (60% мазута и 40% керосина) составляла 60—65 м, а «вязкой» огнесмесью - до 100 м. Выброс огнесмеси производился поршнем под действием по</w:t>
      </w:r>
      <w:r w:rsidRPr="00640820">
        <w:rPr>
          <w:rFonts w:ascii="Times New Roman" w:cs="Times New Roman"/>
          <w:color w:val="000000" w:themeColor="text1"/>
          <w:spacing w:val="0"/>
        </w:rPr>
        <w:softHyphen/>
        <w:t>роховых газов специального патрона. Пере</w:t>
      </w:r>
      <w:r w:rsidRPr="00640820">
        <w:rPr>
          <w:rFonts w:ascii="Times New Roman" w:cs="Times New Roman"/>
          <w:color w:val="000000" w:themeColor="text1"/>
          <w:spacing w:val="0"/>
        </w:rPr>
        <w:softHyphen/>
        <w:t>зарядка огнемета и подача очередного патро</w:t>
      </w:r>
      <w:r w:rsidRPr="00640820">
        <w:rPr>
          <w:rFonts w:ascii="Times New Roman" w:cs="Times New Roman"/>
          <w:color w:val="000000" w:themeColor="text1"/>
          <w:spacing w:val="0"/>
        </w:rPr>
        <w:softHyphen/>
        <w:t>на осуществлялась под действием гидравли</w:t>
      </w:r>
      <w:r w:rsidRPr="00640820">
        <w:rPr>
          <w:rFonts w:ascii="Times New Roman" w:cs="Times New Roman"/>
          <w:color w:val="000000" w:themeColor="text1"/>
          <w:spacing w:val="0"/>
        </w:rPr>
        <w:softHyphen/>
        <w:t>ческого набора огнесмеси, создававшегося в специальном резервуаре. Запас огнесме</w:t>
      </w:r>
      <w:r w:rsidRPr="00640820">
        <w:rPr>
          <w:rFonts w:ascii="Times New Roman" w:cs="Times New Roman"/>
          <w:color w:val="000000" w:themeColor="text1"/>
          <w:spacing w:val="0"/>
        </w:rPr>
        <w:softHyphen/>
        <w:t>си составлял 570 л (на 57 выстрелов), и раз</w:t>
      </w:r>
      <w:r w:rsidRPr="00640820">
        <w:rPr>
          <w:rFonts w:ascii="Times New Roman" w:cs="Times New Roman"/>
          <w:color w:val="000000" w:themeColor="text1"/>
          <w:spacing w:val="0"/>
        </w:rPr>
        <w:softHyphen/>
        <w:t>мещался в двух баках по 120 л в нише баш</w:t>
      </w:r>
      <w:r w:rsidRPr="00640820">
        <w:rPr>
          <w:rFonts w:ascii="Times New Roman" w:cs="Times New Roman"/>
          <w:color w:val="000000" w:themeColor="text1"/>
          <w:spacing w:val="0"/>
        </w:rPr>
        <w:softHyphen/>
        <w:t>ни и одном 450 л на днище боевого отделе</w:t>
      </w:r>
      <w:r w:rsidRPr="00640820">
        <w:rPr>
          <w:rFonts w:ascii="Times New Roman" w:cs="Times New Roman"/>
          <w:color w:val="000000" w:themeColor="text1"/>
          <w:spacing w:val="0"/>
        </w:rPr>
        <w:softHyphen/>
        <w:t>ния. Запас пороховых патронов к огнемету составлял 63 штуки, боекомплект к пушке - 116 выстрелов, к пулемету — 2772 патрона (44 диска). Кроме того, в боевом отделении имелась укладка на 25 гранат Ф-1 (15226).</w:t>
      </w:r>
    </w:p>
    <w:p w14:paraId="48E00D32" w14:textId="77777777" w:rsidR="00B0289D" w:rsidRPr="00640820" w:rsidRDefault="00B0289D" w:rsidP="00640820">
      <w:pPr>
        <w:pStyle w:val="27"/>
        <w:shd w:val="clear" w:color="auto" w:fill="auto"/>
        <w:spacing w:after="0" w:line="240" w:lineRule="auto"/>
        <w:ind w:firstLine="0"/>
        <w:rPr>
          <w:rFonts w:ascii="Times New Roman" w:cs="Times New Roman"/>
          <w:color w:val="000000" w:themeColor="text1"/>
          <w:spacing w:val="0"/>
        </w:rPr>
      </w:pPr>
    </w:p>
    <w:p w14:paraId="566714C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был изготовлен опытный образец 122-мм танковой гаубицы У-11. В январе 1942 г. гаубица была установлена в кон</w:t>
      </w:r>
      <w:r w:rsidRPr="00640820">
        <w:rPr>
          <w:rFonts w:ascii="Times New Roman" w:hAnsi="Times New Roman"/>
          <w:color w:val="000000" w:themeColor="text1"/>
          <w:sz w:val="16"/>
          <w:szCs w:val="16"/>
        </w:rPr>
        <w:softHyphen/>
        <w:t>структивно измененной башне танка КВ и в марте того же года прошла испытания на опытных образцах танка КВ-9, а позже - на опытном тан</w:t>
      </w:r>
      <w:r w:rsidRPr="00640820">
        <w:rPr>
          <w:rFonts w:ascii="Times New Roman" w:hAnsi="Times New Roman"/>
          <w:color w:val="000000" w:themeColor="text1"/>
          <w:sz w:val="16"/>
          <w:szCs w:val="16"/>
        </w:rPr>
        <w:softHyphen/>
        <w:t>ке "Объект 234". В августе 1943 г. был изготовлен опытный образец тан</w:t>
      </w:r>
      <w:r w:rsidRPr="00640820">
        <w:rPr>
          <w:rFonts w:ascii="Times New Roman" w:hAnsi="Times New Roman"/>
          <w:color w:val="000000" w:themeColor="text1"/>
          <w:sz w:val="16"/>
          <w:szCs w:val="16"/>
        </w:rPr>
        <w:softHyphen/>
        <w:t>ка КВ с установленной в нем 122-мм гаубицей С-41, разработанной в ЦАКБ НКВ под руководством В.Г. Грабина. Дальнейшие работы по ус</w:t>
      </w:r>
      <w:r w:rsidRPr="00640820">
        <w:rPr>
          <w:rFonts w:ascii="Times New Roman" w:hAnsi="Times New Roman"/>
          <w:color w:val="000000" w:themeColor="text1"/>
          <w:sz w:val="16"/>
          <w:szCs w:val="16"/>
        </w:rPr>
        <w:softHyphen/>
        <w:t>тановке в танк 122-мм гаубицы были прекращены. Гаубица такого кали</w:t>
      </w:r>
      <w:r w:rsidRPr="00640820">
        <w:rPr>
          <w:rFonts w:ascii="Times New Roman" w:hAnsi="Times New Roman"/>
          <w:color w:val="000000" w:themeColor="text1"/>
          <w:sz w:val="16"/>
          <w:szCs w:val="16"/>
        </w:rPr>
        <w:softHyphen/>
        <w:t>бра оставалась на вооружении только самоходных установок СУ-122, созданных на базе танка Т-34-76 (10703).</w:t>
      </w:r>
    </w:p>
    <w:p w14:paraId="4B93DE9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CE523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в целях экономии доро</w:t>
      </w:r>
      <w:r w:rsidRPr="00640820">
        <w:rPr>
          <w:rFonts w:ascii="Times New Roman" w:hAnsi="Times New Roman"/>
          <w:color w:val="000000" w:themeColor="text1"/>
          <w:sz w:val="16"/>
          <w:szCs w:val="16"/>
        </w:rPr>
        <w:softHyphen/>
        <w:t>гостоящего проката на заводе № 200 были освоены в производстве литые башни. В январе 1942 г. от</w:t>
      </w:r>
      <w:r w:rsidRPr="00640820">
        <w:rPr>
          <w:rFonts w:ascii="Times New Roman" w:hAnsi="Times New Roman"/>
          <w:color w:val="000000" w:themeColor="text1"/>
          <w:sz w:val="16"/>
          <w:szCs w:val="16"/>
        </w:rPr>
        <w:softHyphen/>
        <w:t>ливать башни начал УЗТМ. Конечно, литые башни имели худшую снарядную стой</w:t>
      </w:r>
      <w:r w:rsidRPr="00640820">
        <w:rPr>
          <w:rFonts w:ascii="Times New Roman" w:hAnsi="Times New Roman"/>
          <w:color w:val="000000" w:themeColor="text1"/>
          <w:sz w:val="16"/>
          <w:szCs w:val="16"/>
        </w:rPr>
        <w:softHyphen/>
        <w:t>кость по сравнению со сварными. Для компенсации этого их приходилось изготавливать с более толстыми стенками (до 110 мм против 75-мм толщине стенок сварной башни), но их изготовление требовало на порядок меньшую трудо</w:t>
      </w:r>
      <w:r w:rsidRPr="00640820">
        <w:rPr>
          <w:rFonts w:ascii="Times New Roman" w:hAnsi="Times New Roman"/>
          <w:color w:val="000000" w:themeColor="text1"/>
          <w:sz w:val="16"/>
          <w:szCs w:val="16"/>
        </w:rPr>
        <w:softHyphen/>
        <w:t>емкость в производстве, и потому литье процветало. Во-первых, на всех было выделено помещение около 28 кв. м, причем главный конструктор с заместителем де</w:t>
      </w:r>
      <w:r w:rsidRPr="00640820">
        <w:rPr>
          <w:rFonts w:ascii="Times New Roman" w:hAnsi="Times New Roman"/>
          <w:color w:val="000000" w:themeColor="text1"/>
          <w:sz w:val="16"/>
          <w:szCs w:val="16"/>
        </w:rPr>
        <w:softHyphen/>
        <w:t>лили на двоих крохотную комнатку менее 10 кв. м, в кото</w:t>
      </w:r>
      <w:r w:rsidRPr="00640820">
        <w:rPr>
          <w:rFonts w:ascii="Times New Roman" w:hAnsi="Times New Roman"/>
          <w:color w:val="000000" w:themeColor="text1"/>
          <w:sz w:val="16"/>
          <w:szCs w:val="16"/>
        </w:rPr>
        <w:softHyphen/>
        <w:t>рой к тому же в ящиках хранился архив КБ, вывезенный из Харькова. Не хватало элементарного оборудования — на все КБ к началу 1942 г. приходилось всего 8 кульманов. В дефиците числились линейки, циркули, тушь, чертеж</w:t>
      </w:r>
      <w:r w:rsidRPr="00640820">
        <w:rPr>
          <w:rFonts w:ascii="Times New Roman" w:hAnsi="Times New Roman"/>
          <w:color w:val="000000" w:themeColor="text1"/>
          <w:sz w:val="16"/>
          <w:szCs w:val="16"/>
        </w:rPr>
        <w:softHyphen/>
        <w:t>ная бумага. Лишь с калькой положение было более или менее сносным - в ход были пущены старые запасы Урал-вагонзавода (10782).</w:t>
      </w:r>
    </w:p>
    <w:p w14:paraId="403402C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5AA7F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для повышения огневой мощи тяжелого танка КВ-1 конструкторами завода № 9 был разработан технический проект 85-мм орудия У-12. Дальнейшего развития проект не получил, так как 76,2-мм пушка ЗИС-5 в то время успешно решала поставленные перед ней зада</w:t>
      </w:r>
      <w:r w:rsidRPr="00640820">
        <w:rPr>
          <w:rFonts w:ascii="Times New Roman" w:hAnsi="Times New Roman"/>
          <w:color w:val="000000" w:themeColor="text1"/>
          <w:sz w:val="16"/>
          <w:szCs w:val="16"/>
        </w:rPr>
        <w:softHyphen/>
        <w:t>чи, а стоимость 85-мм пушки и боеприпасов к ней были значительно вы</w:t>
      </w:r>
      <w:r w:rsidRPr="00640820">
        <w:rPr>
          <w:rFonts w:ascii="Times New Roman" w:hAnsi="Times New Roman"/>
          <w:color w:val="000000" w:themeColor="text1"/>
          <w:sz w:val="16"/>
          <w:szCs w:val="16"/>
        </w:rPr>
        <w:softHyphen/>
        <w:t>ше. Весной 1942 г. ЦАКБ НКВ, ОКБ завода № 8 им. Калинина и КБ за</w:t>
      </w:r>
      <w:r w:rsidRPr="00640820">
        <w:rPr>
          <w:rFonts w:ascii="Times New Roman" w:hAnsi="Times New Roman"/>
          <w:color w:val="000000" w:themeColor="text1"/>
          <w:sz w:val="16"/>
          <w:szCs w:val="16"/>
        </w:rPr>
        <w:softHyphen/>
        <w:t>вода № 92 разработали для тяжелых танков проекты 85-мм пушек, кото</w:t>
      </w:r>
      <w:r w:rsidRPr="00640820">
        <w:rPr>
          <w:rFonts w:ascii="Times New Roman" w:hAnsi="Times New Roman"/>
          <w:color w:val="000000" w:themeColor="text1"/>
          <w:sz w:val="16"/>
          <w:szCs w:val="16"/>
        </w:rPr>
        <w:softHyphen/>
        <w:t>рые по тем же причинам не были реализованы в металле. Весной 1943 г. после испытаний обстрелом захваченного в боях под г. Ленинградом тяжелого немецкого танка Т-VI "Тигр I" вновь были раз</w:t>
      </w:r>
      <w:r w:rsidRPr="00640820">
        <w:rPr>
          <w:rFonts w:ascii="Times New Roman" w:hAnsi="Times New Roman"/>
          <w:color w:val="000000" w:themeColor="text1"/>
          <w:sz w:val="16"/>
          <w:szCs w:val="16"/>
        </w:rPr>
        <w:softHyphen/>
        <w:t>вернуты работы по созданию 85-мм пушек для тяжелого танка. ЦАКБ НКВ разработало 85-мм пушку С-31, а завод № 9 в период с 15 мая по 10 июня 1943 г. доработал конструкцию пушки У-12 и представил ее на ис</w:t>
      </w:r>
      <w:r w:rsidRPr="00640820">
        <w:rPr>
          <w:rFonts w:ascii="Times New Roman" w:hAnsi="Times New Roman"/>
          <w:color w:val="000000" w:themeColor="text1"/>
          <w:sz w:val="16"/>
          <w:szCs w:val="16"/>
        </w:rPr>
        <w:softHyphen/>
        <w:t>пытания под индексом Д-5Т-85. Совместные испытания опытных тан</w:t>
      </w:r>
      <w:r w:rsidRPr="00640820">
        <w:rPr>
          <w:rFonts w:ascii="Times New Roman" w:hAnsi="Times New Roman"/>
          <w:color w:val="000000" w:themeColor="text1"/>
          <w:sz w:val="16"/>
          <w:szCs w:val="16"/>
        </w:rPr>
        <w:softHyphen/>
        <w:t>ков КВ-1 С и ИС-1 с пушками С-31 и Д-5Т-85 показали преимущество орудия завода № 9, которое и было принято на вооружение. С августа 1943 г. 85-мм танковая пушка Д-5Т-85 стала устанавливаться на тяже</w:t>
      </w:r>
      <w:r w:rsidRPr="00640820">
        <w:rPr>
          <w:rFonts w:ascii="Times New Roman" w:hAnsi="Times New Roman"/>
          <w:color w:val="000000" w:themeColor="text1"/>
          <w:sz w:val="16"/>
          <w:szCs w:val="16"/>
        </w:rPr>
        <w:softHyphen/>
        <w:t>лых танках КВ-85, а сентября того же года - на тяжелых танках ИС-1. В сентябре - ноябре 1943 г. на заводе № 183 эта пушка была установ</w:t>
      </w:r>
      <w:r w:rsidRPr="00640820">
        <w:rPr>
          <w:rFonts w:ascii="Times New Roman" w:hAnsi="Times New Roman"/>
          <w:color w:val="000000" w:themeColor="text1"/>
          <w:sz w:val="16"/>
          <w:szCs w:val="16"/>
        </w:rPr>
        <w:softHyphen/>
        <w:t>лена в танк Т-34 с увеличенным до 1600 мм диаметром опоры башни и успешно прошла полигонные испытания. 15 декабря 1943 г. она была принята на вооружение танка Т-34-85 обр. 1943 г. (10703).</w:t>
      </w:r>
    </w:p>
    <w:p w14:paraId="7EEA974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B9815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был закончен проект установки пушки в танке КВ-1. Основными особенностями проекта были: использование штат</w:t>
      </w:r>
      <w:r w:rsidRPr="00640820">
        <w:rPr>
          <w:rFonts w:ascii="Times New Roman" w:hAnsi="Times New Roman"/>
          <w:color w:val="000000" w:themeColor="text1"/>
          <w:sz w:val="16"/>
          <w:szCs w:val="16"/>
        </w:rPr>
        <w:softHyphen/>
        <w:t>ного выстрела и большой части деталей ствольно-затворной группы 85-мм зенитной пушки; применение новых противооткатных устройств, обеспечивавших длину отката 450 мм (вместо 850 мм у зенитной пуш</w:t>
      </w:r>
      <w:r w:rsidRPr="00640820">
        <w:rPr>
          <w:rFonts w:ascii="Times New Roman" w:hAnsi="Times New Roman"/>
          <w:color w:val="000000" w:themeColor="text1"/>
          <w:sz w:val="16"/>
          <w:szCs w:val="16"/>
        </w:rPr>
        <w:softHyphen/>
        <w:t>ки); незначительные изменения в конструкции башни танка КВ-1 для монтажа 85-мм артиллерийского орудия (10703).</w:t>
      </w:r>
    </w:p>
    <w:p w14:paraId="4FA4A43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3D1DE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для повышения огневой мощи тяжелого танка КВ-1 конструкторами завода № 9 был разработан технический проект 85-мм орудия У-12. Дальнейшего развития проект не получил, так как 76,2-мм пушка ЗИС-5 в то время успешно решала поставленные перед ней зада</w:t>
      </w:r>
      <w:r w:rsidRPr="00640820">
        <w:rPr>
          <w:rFonts w:ascii="Times New Roman" w:hAnsi="Times New Roman"/>
          <w:color w:val="000000" w:themeColor="text1"/>
          <w:sz w:val="16"/>
          <w:szCs w:val="16"/>
        </w:rPr>
        <w:softHyphen/>
        <w:t>чи, а стоимость 85-мм пушки и боеприпасов к ней были значительно вы</w:t>
      </w:r>
      <w:r w:rsidRPr="00640820">
        <w:rPr>
          <w:rFonts w:ascii="Times New Roman" w:hAnsi="Times New Roman"/>
          <w:color w:val="000000" w:themeColor="text1"/>
          <w:sz w:val="16"/>
          <w:szCs w:val="16"/>
        </w:rPr>
        <w:softHyphen/>
        <w:t>ше. Весной 1942 г. ЦАКБ НКВ, ОКБ завода № 8 им. Калинина и КБ за</w:t>
      </w:r>
      <w:r w:rsidRPr="00640820">
        <w:rPr>
          <w:rFonts w:ascii="Times New Roman" w:hAnsi="Times New Roman"/>
          <w:color w:val="000000" w:themeColor="text1"/>
          <w:sz w:val="16"/>
          <w:szCs w:val="16"/>
        </w:rPr>
        <w:softHyphen/>
        <w:t>вода № 92 разработали для тяжелых танков проекты 85-мм пушек, кото</w:t>
      </w:r>
      <w:r w:rsidRPr="00640820">
        <w:rPr>
          <w:rFonts w:ascii="Times New Roman" w:hAnsi="Times New Roman"/>
          <w:color w:val="000000" w:themeColor="text1"/>
          <w:sz w:val="16"/>
          <w:szCs w:val="16"/>
        </w:rPr>
        <w:softHyphen/>
        <w:t>рые по тем же причинам не были реализованы в металле. Весной 1943 г. после испытаний обстрелом захваченного в боях под г. Ленинградом тяжелого немецкого танка Т-VI "Тигр I" вновь были раз</w:t>
      </w:r>
      <w:r w:rsidRPr="00640820">
        <w:rPr>
          <w:rFonts w:ascii="Times New Roman" w:hAnsi="Times New Roman"/>
          <w:color w:val="000000" w:themeColor="text1"/>
          <w:sz w:val="16"/>
          <w:szCs w:val="16"/>
        </w:rPr>
        <w:softHyphen/>
        <w:t>вернуты работы по созданию 85-мм пушек для тяжелого танка. ЦАКБ НКВ разработало 85-мм пушку С-31, а завод № 9 в период с 15 мая по 10 июня 1943 г. доработал конструкцию пушки У-12 и представил ее на ис</w:t>
      </w:r>
      <w:r w:rsidRPr="00640820">
        <w:rPr>
          <w:rFonts w:ascii="Times New Roman" w:hAnsi="Times New Roman"/>
          <w:color w:val="000000" w:themeColor="text1"/>
          <w:sz w:val="16"/>
          <w:szCs w:val="16"/>
        </w:rPr>
        <w:softHyphen/>
        <w:t>пытания под индексом Д-5Т-85. Совместные испытания опытных тан</w:t>
      </w:r>
      <w:r w:rsidRPr="00640820">
        <w:rPr>
          <w:rFonts w:ascii="Times New Roman" w:hAnsi="Times New Roman"/>
          <w:color w:val="000000" w:themeColor="text1"/>
          <w:sz w:val="16"/>
          <w:szCs w:val="16"/>
        </w:rPr>
        <w:softHyphen/>
        <w:t>ков КВ-1 С и ИС-1 с пушками С-31 и Д-5Т-85 показали преимущество орудия завода № 9, которое и было принято на вооружение. С августа 1943 г. 85-мм танковая пушка Д-5Т-85 стала устанавливаться на тяже</w:t>
      </w:r>
      <w:r w:rsidRPr="00640820">
        <w:rPr>
          <w:rFonts w:ascii="Times New Roman" w:hAnsi="Times New Roman"/>
          <w:color w:val="000000" w:themeColor="text1"/>
          <w:sz w:val="16"/>
          <w:szCs w:val="16"/>
        </w:rPr>
        <w:softHyphen/>
        <w:t>лых танках КВ-85, а сентября того же года - на тяжелых танках ИС-1. В сентябре - ноябре 1943 г. на заводе № 183 эта пушка была установ</w:t>
      </w:r>
      <w:r w:rsidRPr="00640820">
        <w:rPr>
          <w:rFonts w:ascii="Times New Roman" w:hAnsi="Times New Roman"/>
          <w:color w:val="000000" w:themeColor="text1"/>
          <w:sz w:val="16"/>
          <w:szCs w:val="16"/>
        </w:rPr>
        <w:softHyphen/>
        <w:t>лена в танк Т-34 с увеличенным до 1600 мм диаметром опоры башни и успешно прошла полигонные испытания. 15 декабря 1943 г. она была принята на вооружение танка Т-34-85 обр. 1943 г. (10703).</w:t>
      </w:r>
    </w:p>
    <w:p w14:paraId="15B2440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E7764F" w14:textId="77777777" w:rsidR="003C65D8" w:rsidRPr="00640820" w:rsidRDefault="003C65D8" w:rsidP="00640820">
      <w:pPr>
        <w:pStyle w:val="162"/>
        <w:shd w:val="clear" w:color="auto" w:fill="auto"/>
        <w:spacing w:line="240" w:lineRule="auto"/>
        <w:jc w:val="both"/>
        <w:rPr>
          <w:color w:val="000000" w:themeColor="text1"/>
          <w:sz w:val="16"/>
          <w:szCs w:val="16"/>
        </w:rPr>
      </w:pPr>
      <w:r w:rsidRPr="00640820">
        <w:rPr>
          <w:rFonts w:eastAsia="Calibri"/>
          <w:color w:val="000000" w:themeColor="text1"/>
          <w:sz w:val="16"/>
          <w:szCs w:val="16"/>
        </w:rPr>
        <w:t>В декабре 1941 года темой десантируемого Т-60 занялся известный впоследствии авиа</w:t>
      </w:r>
      <w:r w:rsidRPr="00640820">
        <w:rPr>
          <w:rFonts w:eastAsia="Calibri"/>
          <w:color w:val="000000" w:themeColor="text1"/>
          <w:sz w:val="16"/>
          <w:szCs w:val="16"/>
        </w:rPr>
        <w:softHyphen/>
        <w:t>ционный конструктор О. К. Антонов, в то время занимавший должность главного ин</w:t>
      </w:r>
      <w:r w:rsidRPr="00640820">
        <w:rPr>
          <w:rFonts w:eastAsia="Calibri"/>
          <w:color w:val="000000" w:themeColor="text1"/>
          <w:sz w:val="16"/>
          <w:szCs w:val="16"/>
        </w:rPr>
        <w:softHyphen/>
        <w:t>женера Планерного управления Наркомата авиационной промышленности. Для работ по теме планера с ГАЗ в конце декабря был по</w:t>
      </w:r>
      <w:r w:rsidRPr="00640820">
        <w:rPr>
          <w:rFonts w:eastAsia="Calibri"/>
          <w:color w:val="000000" w:themeColor="text1"/>
          <w:sz w:val="16"/>
          <w:szCs w:val="16"/>
        </w:rPr>
        <w:softHyphen/>
        <w:t>дан один Т-60. Как и целый ряд аналогичных проектов, десантный планер, получивший индекс КТ («Крылья танка», также использо</w:t>
      </w:r>
      <w:r w:rsidRPr="00640820">
        <w:rPr>
          <w:rFonts w:eastAsia="Calibri"/>
          <w:color w:val="000000" w:themeColor="text1"/>
          <w:sz w:val="16"/>
          <w:szCs w:val="16"/>
        </w:rPr>
        <w:softHyphen/>
        <w:t>вался индекс А-40), представлял собой съем</w:t>
      </w:r>
      <w:r w:rsidRPr="00640820">
        <w:rPr>
          <w:rFonts w:eastAsia="Calibri"/>
          <w:color w:val="000000" w:themeColor="text1"/>
          <w:sz w:val="16"/>
          <w:szCs w:val="16"/>
        </w:rPr>
        <w:softHyphen/>
        <w:t>ную конструкцию. Планер, выполненный по бипланной схеме, крепился в четырех точках непосредственно на танк. После посадки механик-водитель, выполнявший роль пилота, пово</w:t>
      </w:r>
      <w:r w:rsidRPr="00640820">
        <w:rPr>
          <w:rFonts w:eastAsia="Calibri"/>
          <w:color w:val="000000" w:themeColor="text1"/>
          <w:sz w:val="16"/>
          <w:szCs w:val="16"/>
        </w:rPr>
        <w:softHyphen/>
        <w:t>рачивал специальную рукоятку, после чего происходил сброс планера. По замыслу Антонова, КТ планировалось изготовлять из недефицит</w:t>
      </w:r>
      <w:r w:rsidRPr="00640820">
        <w:rPr>
          <w:rFonts w:eastAsia="Calibri"/>
          <w:color w:val="000000" w:themeColor="text1"/>
          <w:sz w:val="16"/>
          <w:szCs w:val="16"/>
        </w:rPr>
        <w:softHyphen/>
        <w:t>ных материалов и сделать максимально дешевым, что для по сути од</w:t>
      </w:r>
      <w:r w:rsidRPr="00640820">
        <w:rPr>
          <w:rFonts w:eastAsia="Calibri"/>
          <w:color w:val="000000" w:themeColor="text1"/>
          <w:sz w:val="16"/>
          <w:szCs w:val="16"/>
        </w:rPr>
        <w:softHyphen/>
        <w:t>норазовой конструкции являлось немаловажным показателем. Общая масса планера вместе с танком составила 7,3 тонны, КТ имел размах крыла 18 метров.</w:t>
      </w:r>
    </w:p>
    <w:p w14:paraId="34B2AB63" w14:textId="77777777" w:rsidR="003C65D8" w:rsidRPr="00640820" w:rsidRDefault="003C65D8" w:rsidP="00640820">
      <w:pPr>
        <w:pStyle w:val="162"/>
        <w:shd w:val="clear" w:color="auto" w:fill="auto"/>
        <w:spacing w:line="240" w:lineRule="auto"/>
        <w:jc w:val="both"/>
        <w:rPr>
          <w:color w:val="000000" w:themeColor="text1"/>
          <w:sz w:val="16"/>
          <w:szCs w:val="16"/>
        </w:rPr>
      </w:pPr>
      <w:r w:rsidRPr="00640820">
        <w:rPr>
          <w:rFonts w:eastAsia="Calibri"/>
          <w:color w:val="000000" w:themeColor="text1"/>
          <w:sz w:val="16"/>
          <w:szCs w:val="16"/>
        </w:rPr>
        <w:t>Прототип десантного планера изготовили в апреле 1942 года на за</w:t>
      </w:r>
      <w:r w:rsidRPr="00640820">
        <w:rPr>
          <w:rFonts w:eastAsia="Calibri"/>
          <w:color w:val="000000" w:themeColor="text1"/>
          <w:sz w:val="16"/>
          <w:szCs w:val="16"/>
        </w:rPr>
        <w:softHyphen/>
        <w:t>воде в Тюмени, где находилось эвакуированное из Москвы КБ. Летом того же года планер вместе с танком доставили в ЛИИ ВВС (г. Жуков</w:t>
      </w:r>
      <w:r w:rsidRPr="00640820">
        <w:rPr>
          <w:rFonts w:eastAsia="Calibri"/>
          <w:color w:val="000000" w:themeColor="text1"/>
          <w:sz w:val="16"/>
          <w:szCs w:val="16"/>
        </w:rPr>
        <w:softHyphen/>
        <w:t>ский Московской области), где начались летные испытания. Судя по фотографиям, для снижения взлетной массы с танка была демонтиро</w:t>
      </w:r>
      <w:r w:rsidRPr="00640820">
        <w:rPr>
          <w:rFonts w:eastAsia="Calibri"/>
          <w:color w:val="000000" w:themeColor="text1"/>
          <w:sz w:val="16"/>
          <w:szCs w:val="16"/>
        </w:rPr>
        <w:softHyphen/>
        <w:t>вана башня. Для начала КТ испытали пробегом, в ходе которого вы</w:t>
      </w:r>
      <w:r w:rsidRPr="00640820">
        <w:rPr>
          <w:rFonts w:eastAsia="Calibri"/>
          <w:color w:val="000000" w:themeColor="text1"/>
          <w:sz w:val="16"/>
          <w:szCs w:val="16"/>
        </w:rPr>
        <w:softHyphen/>
        <w:t>яснилось, что расчеты оказались верны и ходовая часть Т-60 выдер</w:t>
      </w:r>
      <w:r w:rsidRPr="00640820">
        <w:rPr>
          <w:rFonts w:eastAsia="Calibri"/>
          <w:color w:val="000000" w:themeColor="text1"/>
          <w:sz w:val="16"/>
          <w:szCs w:val="16"/>
        </w:rPr>
        <w:softHyphen/>
        <w:t>живает разгон до 110—115 км/ч. Затем были проведены три подлета,которые предшествовали первому полноценному полету. Поскольку ТБ-7 для проведения данных испытаний не было, пришлось исполь</w:t>
      </w:r>
      <w:r w:rsidRPr="00640820">
        <w:rPr>
          <w:rFonts w:eastAsia="Calibri"/>
          <w:color w:val="000000" w:themeColor="text1"/>
          <w:sz w:val="16"/>
          <w:szCs w:val="16"/>
        </w:rPr>
        <w:softHyphen/>
        <w:t>зовать бомбардировщик ТБ-3 с форсированными до 970 л.с. моторами. Этот же самолет, пилотируемый летчиком-испытателем П. А. Ереме</w:t>
      </w:r>
      <w:r w:rsidRPr="00640820">
        <w:rPr>
          <w:rFonts w:eastAsia="Calibri"/>
          <w:color w:val="000000" w:themeColor="text1"/>
          <w:sz w:val="16"/>
          <w:szCs w:val="16"/>
        </w:rPr>
        <w:softHyphen/>
        <w:t>евым, использовался и в летных испытаниях планера КТ (им управлял известный летчик-испытатель С. Н. Анохин) (17485).</w:t>
      </w:r>
    </w:p>
    <w:p w14:paraId="4565C404" w14:textId="77777777" w:rsidR="003C65D8" w:rsidRPr="00640820" w:rsidRDefault="003C65D8" w:rsidP="00640820">
      <w:pPr>
        <w:pStyle w:val="Bodytext141"/>
        <w:shd w:val="clear" w:color="auto" w:fill="auto"/>
        <w:spacing w:line="240" w:lineRule="auto"/>
        <w:ind w:firstLine="0"/>
        <w:jc w:val="both"/>
        <w:rPr>
          <w:i w:val="0"/>
          <w:color w:val="000000" w:themeColor="text1"/>
          <w:sz w:val="16"/>
          <w:szCs w:val="16"/>
        </w:rPr>
      </w:pPr>
    </w:p>
    <w:p w14:paraId="6C1D9921" w14:textId="77777777" w:rsidR="003C65D8" w:rsidRPr="00640820" w:rsidRDefault="003C65D8" w:rsidP="00640820">
      <w:pPr>
        <w:pStyle w:val="a3"/>
        <w:rPr>
          <w:color w:val="000000" w:themeColor="text1"/>
          <w:lang w:val="ru-RU"/>
        </w:rPr>
      </w:pPr>
      <w:r w:rsidRPr="00640820">
        <w:rPr>
          <w:color w:val="000000" w:themeColor="text1"/>
          <w:lang w:val="ru-RU"/>
        </w:rPr>
        <w:t>С декабря 1941 на Коломенском заводе в Кирове начались работы по организации выпуска корпусов и ба</w:t>
      </w:r>
      <w:r w:rsidRPr="00640820">
        <w:rPr>
          <w:color w:val="000000" w:themeColor="text1"/>
          <w:lang w:val="ru-RU"/>
        </w:rPr>
        <w:softHyphen/>
        <w:t>шен для Т-60, но промышленный потенциал завода позволял организовать на новом месте и полноценное производство танков. Стоит отметить, что у завода № 38 имелось в заделе несколько десятков корпусов и ба</w:t>
      </w:r>
      <w:r w:rsidRPr="00640820">
        <w:rPr>
          <w:color w:val="000000" w:themeColor="text1"/>
          <w:lang w:val="ru-RU"/>
        </w:rPr>
        <w:softHyphen/>
        <w:t xml:space="preserve">шен Т-30, выпущенных еще в Коломне. Было принято решение об организации на заводе № 38 производства танков Т-60, на январь месяц была задана программа на выпуск </w:t>
      </w:r>
      <w:r w:rsidRPr="00640820">
        <w:rPr>
          <w:color w:val="000000" w:themeColor="text1"/>
          <w:lang w:val="ru-RU"/>
        </w:rPr>
        <w:lastRenderedPageBreak/>
        <w:t>200 машин. В качестве поставщиков полуобрезного бронелиста вы</w:t>
      </w:r>
      <w:r w:rsidRPr="00640820">
        <w:rPr>
          <w:color w:val="000000" w:themeColor="text1"/>
          <w:lang w:val="ru-RU"/>
        </w:rPr>
        <w:softHyphen/>
        <w:t>делили Нижнетагильский и Чусовской ме</w:t>
      </w:r>
      <w:r w:rsidRPr="00640820">
        <w:rPr>
          <w:color w:val="000000" w:themeColor="text1"/>
          <w:lang w:val="ru-RU"/>
        </w:rPr>
        <w:softHyphen/>
        <w:t>таллургические заводы. Имелась коопера</w:t>
      </w:r>
      <w:r w:rsidRPr="00640820">
        <w:rPr>
          <w:color w:val="000000" w:themeColor="text1"/>
          <w:lang w:val="ru-RU"/>
        </w:rPr>
        <w:softHyphen/>
        <w:t>ция с СТЗ по каткам, тракам и ряду других деталей, двигатели шли с ГАЗ им. Молотова, бандажи поставлял Ярославский шинный завод (17485).</w:t>
      </w:r>
    </w:p>
    <w:p w14:paraId="4688725C" w14:textId="77777777" w:rsidR="003C65D8" w:rsidRPr="00640820" w:rsidRDefault="003C65D8" w:rsidP="00640820">
      <w:pPr>
        <w:pStyle w:val="a3"/>
        <w:rPr>
          <w:color w:val="000000" w:themeColor="text1"/>
          <w:lang w:val="ru-RU"/>
        </w:rPr>
      </w:pPr>
    </w:p>
    <w:p w14:paraId="7B98187F" w14:textId="77777777" w:rsidR="003C65D8" w:rsidRPr="00640820" w:rsidRDefault="003C65D8" w:rsidP="00640820">
      <w:pPr>
        <w:pStyle w:val="a3"/>
        <w:rPr>
          <w:color w:val="000000" w:themeColor="text1"/>
          <w:lang w:val="ru-RU"/>
        </w:rPr>
      </w:pPr>
      <w:r w:rsidRPr="00640820">
        <w:rPr>
          <w:color w:val="000000" w:themeColor="text1"/>
          <w:lang w:val="ru-RU"/>
        </w:rPr>
        <w:t>За декабрь 1941 на заводе № 37 в Свердловске удалось собрать 22 танка Т-60, из них принято 20. Проблемы с поставкой ТНШ привели к тому, что первые пять тан</w:t>
      </w:r>
      <w:r w:rsidRPr="00640820">
        <w:rPr>
          <w:color w:val="000000" w:themeColor="text1"/>
          <w:lang w:val="ru-RU"/>
        </w:rPr>
        <w:softHyphen/>
        <w:t>ков вооружили пулеметами ДШК. Стоит отметить, что указанные в отчете Минина 45 корпусов Т-60 на самом деле являлись корпу</w:t>
      </w:r>
      <w:r w:rsidRPr="00640820">
        <w:rPr>
          <w:color w:val="000000" w:themeColor="text1"/>
          <w:lang w:val="ru-RU"/>
        </w:rPr>
        <w:softHyphen/>
        <w:t>сами Т-30. Т-60 не изготовлялись заводом № 37 ни в декабре, ни в январе, задел по корпусному производству Т-30 позволил собрать в Свердловске 200 танков данного типа. Из этого числа 101 танк по</w:t>
      </w:r>
      <w:r w:rsidRPr="00640820">
        <w:rPr>
          <w:color w:val="000000" w:themeColor="text1"/>
          <w:lang w:val="ru-RU"/>
        </w:rPr>
        <w:softHyphen/>
        <w:t>лучил экранировку (17485).</w:t>
      </w:r>
    </w:p>
    <w:p w14:paraId="14F0C19E" w14:textId="77777777" w:rsidR="003C65D8" w:rsidRPr="00640820" w:rsidRDefault="003C65D8" w:rsidP="00640820">
      <w:pPr>
        <w:pStyle w:val="a3"/>
        <w:rPr>
          <w:color w:val="000000" w:themeColor="text1"/>
          <w:lang w:val="ru-RU"/>
        </w:rPr>
      </w:pPr>
    </w:p>
    <w:p w14:paraId="73407913" w14:textId="77777777" w:rsidR="00227695" w:rsidRPr="00640820" w:rsidRDefault="002276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 декабря 1941 года завод №178 прорабатывал вопрос изготовления литой башни для Т-60. Эта башня имела округлую форму, как на танках Т-40 и Т-30, толщина стенок достигала 28–30 мм. Проект литой башни согласовывался с заводом ГАЗ, в серию она так и не пошла.</w:t>
      </w:r>
    </w:p>
    <w:p w14:paraId="0B71D454" w14:textId="77777777" w:rsidR="00227695" w:rsidRPr="00640820" w:rsidRDefault="002276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апреле 1942 года завод №178 прорабатывал вопрос изготовления литого смотрового люка механика-водителя с максимальной толщиной 36–39 мм. Этот узел доставил немало хлопот, поскольку на испытаниях обстрелом литой люк раскалывался. Согласно отчёту от 11 апреля, завод №178 изготовил пробную партию литых люков, которых хватало на оснащение 15–20 танков (17572).</w:t>
      </w:r>
    </w:p>
    <w:p w14:paraId="28EB48E6" w14:textId="77777777" w:rsidR="00227695" w:rsidRPr="00640820" w:rsidRDefault="002276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55863BD" w14:textId="77777777" w:rsidR="00227695" w:rsidRPr="00640820" w:rsidRDefault="002276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декабре 1941 года на территории завода «Подъемник» был организован бронетанковый ремонтный завод (БТРЗ) №82, основной задачей которого стал ремонт иностранной и трофейной техники. Эта специализация предприятия сохранилась до конца войны. Кроме того, ремонтом трофейной техники занимались и на территории, которую ранее занимал эвакуированный в Свердловск завод №37. Постепенно на старых площадях был организован филиал завода №37.</w:t>
      </w:r>
    </w:p>
    <w:p w14:paraId="0AF72EBE" w14:textId="77777777" w:rsidR="00227695" w:rsidRPr="00640820" w:rsidRDefault="002276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целом трофейные чешские танки, которые в советских документах чаще всего назвались «Прага», оказались вполне надежными машинами. Другое дело, что далеко не все из них доставались заводу в состоянии, которое позволяло их отремонтировать. Чаще всего речь шла о достаточно серьезно поврежденных танках. Не стоит после этого удивляться, что из 53 завезенных на ремзавод №82 «Праг» удалось отремонтировать всего 13 штук. Филиал завода №37 отремонтировал еще 3 танка (17687).</w:t>
      </w:r>
    </w:p>
    <w:p w14:paraId="47C8E3C6" w14:textId="77777777" w:rsidR="00227695" w:rsidRPr="00640820" w:rsidRDefault="002276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0D6F7F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после изготовления опытного образца танка Т-70, были проведены его ходовые испытания и пробные стрельбы из основ</w:t>
      </w:r>
      <w:r w:rsidRPr="00640820">
        <w:rPr>
          <w:rFonts w:ascii="Times New Roman" w:hAnsi="Times New Roman"/>
          <w:color w:val="000000" w:themeColor="text1"/>
          <w:sz w:val="16"/>
          <w:szCs w:val="16"/>
        </w:rPr>
        <w:softHyphen/>
        <w:t>ного оружия. Машина имела по сравнению с танком Т-60 более высо</w:t>
      </w:r>
      <w:r w:rsidRPr="00640820">
        <w:rPr>
          <w:rFonts w:ascii="Times New Roman" w:hAnsi="Times New Roman"/>
          <w:color w:val="000000" w:themeColor="text1"/>
          <w:sz w:val="16"/>
          <w:szCs w:val="16"/>
        </w:rPr>
        <w:softHyphen/>
        <w:t>кую удельную мощность (15,2 л.с./т против 11 л.с./т), более мощное оружие (45-мм пушка вместо 20-мм) и усиленную броневую защиту (45-мм броня вместо 20 — 35 мм) (10703).</w:t>
      </w:r>
    </w:p>
    <w:p w14:paraId="51F3EB8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9EFB8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появился опытный образец Т-70, у которого при боевой массе 9,2 т лобовое бронирование корпуса достигало 45 мм. Стояла пушка 45-мм. Энергетическая установка состояла из двух двигателей по 70 л.с., соединенных в единый агрегат. В апреле 1942 г. началось серийное производство и до сентября 1943 г. их было выпущено 8200 ед. А в конце 1943 г. стал выпускаться танк Т-80. Как видим, процесс совершенствования легкого танка шел достаточно логично, целесообразно. За малым исключением - в Германии уже в начале 1942 г. выпуск легких танков резко сократился. А, кроме того, не проще ли было подобную процедуру проделывать над Т-26? Вспоминая про идею САУ на базе Т-26, можно напомнить, что в 1943 г. появилась самоходка СУ-76 на шасси Т-70 с пушкой ЗИС-3 (11224).</w:t>
      </w:r>
    </w:p>
    <w:p w14:paraId="0F2511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C2DE32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был изготовлен опытный образец танка ГАЗ-70, который в начале 1942 г. про</w:t>
      </w:r>
      <w:r w:rsidRPr="00640820">
        <w:rPr>
          <w:rFonts w:ascii="Times New Roman" w:hAnsi="Times New Roman"/>
          <w:color w:val="000000" w:themeColor="text1"/>
          <w:sz w:val="16"/>
          <w:szCs w:val="16"/>
        </w:rPr>
        <w:softHyphen/>
        <w:t>шел заводские испытания. После устранения выявленных недостатков и установки на танк граненой сварной башни, он был принят на воору</w:t>
      </w:r>
      <w:r w:rsidRPr="00640820">
        <w:rPr>
          <w:rFonts w:ascii="Times New Roman" w:hAnsi="Times New Roman"/>
          <w:color w:val="000000" w:themeColor="text1"/>
          <w:sz w:val="16"/>
          <w:szCs w:val="16"/>
        </w:rPr>
        <w:softHyphen/>
        <w:t>жение под маркой Т-70. Машина была разработана на базе узлов и агрегатов танка Т-60 и от</w:t>
      </w:r>
      <w:r w:rsidRPr="00640820">
        <w:rPr>
          <w:rFonts w:ascii="Times New Roman" w:hAnsi="Times New Roman"/>
          <w:color w:val="000000" w:themeColor="text1"/>
          <w:sz w:val="16"/>
          <w:szCs w:val="16"/>
        </w:rPr>
        <w:softHyphen/>
        <w:t>личалась от него установкой более мощного вооружения, усиленной броневой защитой упрощенного корпуса и литой башни, а также более высокой удельной мощностью, за счет установки двух двигателей. Танк имел пять отделений: управления - в передней части корпуса, боевое -в средней части, трансмиссионное - в передней части корпуса справа по ходу, моторное - в средней части вдоль правого борта корпуса и кормо-•эе. В состав экипажа входили два человека. Механик-водитель нахо</w:t>
      </w:r>
      <w:r w:rsidRPr="00640820">
        <w:rPr>
          <w:rFonts w:ascii="Times New Roman" w:hAnsi="Times New Roman"/>
          <w:color w:val="000000" w:themeColor="text1"/>
          <w:sz w:val="16"/>
          <w:szCs w:val="16"/>
        </w:rPr>
        <w:softHyphen/>
        <w:t>дился в носовой части корпусу у левого борта, командир танка распола</w:t>
      </w:r>
      <w:r w:rsidRPr="00640820">
        <w:rPr>
          <w:rFonts w:ascii="Times New Roman" w:hAnsi="Times New Roman"/>
          <w:color w:val="000000" w:themeColor="text1"/>
          <w:sz w:val="16"/>
          <w:szCs w:val="16"/>
        </w:rPr>
        <w:softHyphen/>
        <w:t>гался во вращающейся башне, смещенной к левому борту от продольной оси корпуса. В средней части корпуса вдоль правого борта были ус</w:t>
      </w:r>
      <w:r w:rsidRPr="00640820">
        <w:rPr>
          <w:rFonts w:ascii="Times New Roman" w:hAnsi="Times New Roman"/>
          <w:color w:val="000000" w:themeColor="text1"/>
          <w:sz w:val="16"/>
          <w:szCs w:val="16"/>
        </w:rPr>
        <w:softHyphen/>
        <w:t>тановлены два спаренных в линию двигателя, составлявших силовой агрегат. Трансмиссия и ведущие колеса имели переднее расположение (10703).</w:t>
      </w:r>
    </w:p>
    <w:p w14:paraId="276F32A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F6AC9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для танка, получившего индекс «ГАЗ-70», уже были готовы также сварной корпус и литая башня конструк</w:t>
      </w:r>
      <w:r w:rsidRPr="00640820">
        <w:rPr>
          <w:rFonts w:ascii="Times New Roman" w:hAnsi="Times New Roman"/>
          <w:color w:val="000000" w:themeColor="text1"/>
          <w:sz w:val="16"/>
          <w:szCs w:val="16"/>
        </w:rPr>
        <w:softHyphen/>
        <w:t>ции В. Дедкова с толщиной стенок 40-мм, кокиль для кото</w:t>
      </w:r>
      <w:r w:rsidRPr="00640820">
        <w:rPr>
          <w:rFonts w:ascii="Times New Roman" w:hAnsi="Times New Roman"/>
          <w:color w:val="000000" w:themeColor="text1"/>
          <w:sz w:val="16"/>
          <w:szCs w:val="16"/>
        </w:rPr>
        <w:softHyphen/>
        <w:t>рой был изготовлен на артиллерийском заводе № 92. Первый образец танка имел почти то же бронирование, что и Т-60. Он сильно напоминал своего предшественника, но был при этом немного удлинен и пропорционально вырос вверх (10782).</w:t>
      </w:r>
    </w:p>
    <w:p w14:paraId="654930F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E77E0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для танка, получившего ин</w:t>
      </w:r>
      <w:r w:rsidRPr="00640820">
        <w:rPr>
          <w:rFonts w:ascii="Times New Roman" w:hAnsi="Times New Roman"/>
          <w:color w:val="000000" w:themeColor="text1"/>
          <w:sz w:val="16"/>
          <w:szCs w:val="16"/>
        </w:rPr>
        <w:softHyphen/>
        <w:t>декс «ГАЗ-70», уже были готовы сварной корпус и литая башня конструкции В. Дедкова, кокиль для которой был изготовлен на артиллерийском заводе № 92. Первый образец танка имел то же бронирование, что и Т-60; внешне он напоминал своего предшественника, но был более пропорци</w:t>
      </w:r>
      <w:r w:rsidRPr="00640820">
        <w:rPr>
          <w:rFonts w:ascii="Times New Roman" w:hAnsi="Times New Roman"/>
          <w:color w:val="000000" w:themeColor="text1"/>
          <w:sz w:val="16"/>
          <w:szCs w:val="16"/>
        </w:rPr>
        <w:softHyphen/>
        <w:t>онален (11084).</w:t>
      </w:r>
    </w:p>
    <w:p w14:paraId="22DA51F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86795F" w14:textId="77777777" w:rsidR="00227695" w:rsidRPr="00640820" w:rsidRDefault="002276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декабре 1941 года в СССР первые американские Light Tank M3, которые в советской переписке называли «М-3 лёгкий» или М3л, прибыли, испытывать их не торопились. Связано это было, в том числе, с тем, что Научно-исследовательский институт бронетанковой техники (НИИБТ Полигон) частично эвакуировали в Казань, а организация работ на новом месте потребовала времени. Испытания начались только в мае 1942 года, когда в НИИ был получен один из танков с башней D38976 (17653).</w:t>
      </w:r>
    </w:p>
    <w:p w14:paraId="3DEAFDCA" w14:textId="77777777" w:rsidR="00227695" w:rsidRPr="00640820" w:rsidRDefault="00227695" w:rsidP="00640820">
      <w:pPr>
        <w:spacing w:after="0" w:line="240" w:lineRule="auto"/>
        <w:jc w:val="both"/>
        <w:rPr>
          <w:rFonts w:ascii="Times New Roman" w:eastAsia="Times New Roman" w:hAnsi="Times New Roman"/>
          <w:color w:val="000000" w:themeColor="text1"/>
          <w:sz w:val="16"/>
          <w:szCs w:val="16"/>
          <w:lang w:eastAsia="ru-RU"/>
        </w:rPr>
      </w:pPr>
    </w:p>
    <w:p w14:paraId="7B1704C6" w14:textId="77777777" w:rsidR="00227695" w:rsidRPr="00640820" w:rsidRDefault="002276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 декабря 1941 по март 1942 года с перерывами продолжались ходовые испытания танка Валентайн на полигоне НИИБТ в Казани. В общей сложности танк прошёл 1210 километров, из них 971 км по шоссе и 239 км по заснеженной целине. К слову, шоссе в районе Казани было в различном состоянии, зачастую превращаясь в направление, занесённое снегом глубиной до 30 см. Поскольку английское масло на КУКС забраковали, использовалось отечественное машинное масло разных марок.</w:t>
      </w:r>
    </w:p>
    <w:p w14:paraId="3D1F0A54" w14:textId="77777777" w:rsidR="00227695" w:rsidRPr="00640820" w:rsidRDefault="002276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качестве подопытного образца был выбран танк с регистрационным номером T17482. Он относился к машинам, прибывшим с первыми двумя конвоями. Задача у испытателей оказалась комплексной. Помимо непосредственно испытания, требовалось составить подробное техническое описание, а также краткие инструкции по ремонту и обслуживанию. Прибыл танк на полигон в декабре.</w:t>
      </w:r>
    </w:p>
    <w:p w14:paraId="6ADC0FA8" w14:textId="77777777" w:rsidR="00227695" w:rsidRPr="00640820" w:rsidRDefault="002276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На ровном участке испытателям удалось разогнать танк до 32 км/ч, то есть на 8 км/ч быстрее паспортной скорости. Средняя скорость чистого движения составила 14,1 км/ч, а средняя техническая — 12,9 км/ч. В основном танк шёл на 4-й передаче, на отдельных участках поднимаясь до 5-й, а на заснеженной дороге спускаясь до 3-й. При езде по шоссе на 100 км пути расходовалось 140 литров горючего и 2,2 литра масла.</w:t>
      </w:r>
    </w:p>
    <w:p w14:paraId="17518364" w14:textId="77777777" w:rsidR="00227695" w:rsidRPr="00640820" w:rsidRDefault="002276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 просёлочной дороге гонять танк не стали, поскольку выяснилось, что колея у машины шире, чем у просёлка. При большой глубине снежного покрова это приводило к тому, что танк садился брюхом на дорогу. При этом при движении по заснеженной целине особых проблем не возникало. Средняя скорость по сухому снегу, глубина которого варьировалась от 30 до 70 см, достигала 10,4 км/ч, при этом на 100 км пути танк расходовал 182 литра топлива и 3,7 литра масла. Двигался танк на 3-й передаче, в отдельных случаях механик-водитель переходил на 2-ю либо на 4-ю.</w:t>
      </w:r>
    </w:p>
    <w:p w14:paraId="2D2A4169" w14:textId="77777777" w:rsidR="00227695" w:rsidRPr="00640820" w:rsidRDefault="002276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ходе езды по заезженным дорогам гусеницы теряли сцепление, ездить в таких условиях следовало очень осторожно. Плохое сцепление траков проявлялось и в другом. Подъём выше 12 градусов танк взять не мог, а максимальный угол крена составлял 17 градусов. При этом максимальный угол подъёма в условиях, когда гусеницам сцепления хватало, составлял 25 градусов.</w:t>
      </w:r>
    </w:p>
    <w:p w14:paraId="491C27D2" w14:textId="77777777" w:rsidR="00227695" w:rsidRPr="00640820" w:rsidRDefault="002276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Было составлено техническое описание танка. Кратким его назвать очень сложно: из 122 страниц отчёта непосредственно описание машины занимало 79. Помимо этого, изучались условия работы экипажа, а также отдельных агрегатов машины. Изучение отделения управления выявило, что оно комфортно для людей среднего роста, а более высоким танкистам там тесновато. Претензией со стороны испытателей стала невозможность регулировки сиденья по длине. При этом работать педалями оказалось удобнее людям выше среднего роста, поскольку педаль сцепления располагалась довольно далеко.</w:t>
      </w:r>
    </w:p>
    <w:p w14:paraId="5830727D" w14:textId="77777777" w:rsidR="00227695" w:rsidRPr="00640820" w:rsidRDefault="002276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Усилия на педалях и рычагах были признаны вполне нормальными. На рычагах бортовых фрикционов они составляли 35 кг, на педали сцепления — 65 кг, на педали тормоза — 70 кг и на педали акселератора — 1,5 кг. Понравилось советским специалистам расположение приборов, которые размещались на двух щитках и хорошо читались.</w:t>
      </w:r>
    </w:p>
    <w:p w14:paraId="55A4FF06" w14:textId="77777777" w:rsidR="00227695" w:rsidRPr="00640820" w:rsidRDefault="002276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Размеры башни, по мнению испытателей, позволяли свободно размещаться в ней командиру и наводчику. Впрочем, по личным ощущениям автора, там всё же тесновато. Стоит отметить, что командиром испытатели НИИБТ Полигона (как и специалисты ГАБТУ) посчитали наводчика, но это не так. Как и в американских танках, в «Валентайне» командир, помимо прямых обязанностей, исполнял и роль заряжающего. Механизм поворота башни был признан очень удобным, как и вертикальная наводка плечевым упором.</w:t>
      </w:r>
    </w:p>
    <w:p w14:paraId="35D86C50" w14:textId="77777777" w:rsidR="00227695" w:rsidRPr="00640820" w:rsidRDefault="002276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Места наводчика и заряжающего в целом были признаны грамотно проработанными. Правда, советским специалистам не очень понравились сиденья. Они имели регулировку по высоте, но при этом их размеры оказались недостаточными, а у сиденья наводчика не было спинки. Большой двустворчатый люк оказался достаточно </w:t>
      </w:r>
      <w:r w:rsidRPr="00640820">
        <w:rPr>
          <w:rFonts w:ascii="Times New Roman" w:eastAsia="Times New Roman" w:hAnsi="Times New Roman"/>
          <w:color w:val="000000" w:themeColor="text1"/>
          <w:sz w:val="16"/>
          <w:szCs w:val="16"/>
          <w:lang w:eastAsia="ru-RU"/>
        </w:rPr>
        <w:lastRenderedPageBreak/>
        <w:t>большим, чтобы обеспечивать попадание в танк людям даже в зимней одежде. Систему вентиляции признали эффективной: приток воздуха осуществлялся через многочисленные отверстия, а засасывался он вентиляторами моторного отделения. Правда, при такой мощной вентиляции в боевом отделении было холодно (17670).</w:t>
      </w:r>
    </w:p>
    <w:p w14:paraId="4ABFF874" w14:textId="77777777" w:rsidR="00227695" w:rsidRPr="00640820" w:rsidRDefault="00227695" w:rsidP="00640820">
      <w:pPr>
        <w:spacing w:after="0" w:line="240" w:lineRule="auto"/>
        <w:jc w:val="both"/>
        <w:rPr>
          <w:rFonts w:ascii="Times New Roman" w:eastAsia="Times New Roman" w:hAnsi="Times New Roman"/>
          <w:color w:val="000000" w:themeColor="text1"/>
          <w:sz w:val="16"/>
          <w:szCs w:val="16"/>
          <w:lang w:eastAsia="ru-RU"/>
        </w:rPr>
      </w:pPr>
    </w:p>
    <w:p w14:paraId="41AB473E"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года мотоброневагон МБВ №01 под командованием младшего лейтенанта Розовского вошел в состав формируемого 30-го дивизиона бронепоездов, куда помимо него включили бело «Молотовский рабочий». Формирование дивизиона велось в Москве (депо Люблино) (18626).</w:t>
      </w:r>
    </w:p>
    <w:p w14:paraId="62D8EBD7" w14:textId="77777777" w:rsidR="00895A6E" w:rsidRPr="00640820" w:rsidRDefault="00895A6E" w:rsidP="00640820">
      <w:pPr>
        <w:spacing w:after="0" w:line="240" w:lineRule="auto"/>
        <w:jc w:val="both"/>
        <w:rPr>
          <w:rFonts w:ascii="Times New Roman" w:hAnsi="Times New Roman"/>
          <w:color w:val="000000" w:themeColor="text1"/>
          <w:sz w:val="16"/>
          <w:szCs w:val="16"/>
        </w:rPr>
      </w:pPr>
    </w:p>
    <w:p w14:paraId="36DC7A89"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года Коломенский машиностроительный завод им. В. Куйбышева (вернее то, что осталось в Коломне после эвакуации завода в Киров в октябре 1941 года) начал ремонт танков KB и дизельных двигателей В-2К Это послужило материальной базой для начала проектирования «нового тепловоза-автомоторисы с мощным броневым покрытием и вооружением». Работы велись инженерами Ароновым и Уткиным под руководством под руководством Лебедянского, известного конструктора паровозов (еще перед войной по заданию АБТУ РККА он работал над проектом бронетепловоза). Работы по новому проекту шли очень быстро, и в феврале 1942 года бронеавтомотриса, получившая имя «Красная звезда», была готова.</w:t>
      </w:r>
    </w:p>
    <w:p w14:paraId="4355B508"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Ее корпус состоял из двух продольных двутавровых балок и каркаса из уголков, к которым крепились 45 мм броневые плиты. Корпус устанавливался на двух двухосных тележках одинаковой конструкции. На каждой из них устанавливался двигатель В-2К, коробка перемены передач, радиаторы и бортовые передачи от танка КБ, топливный и масляный баки, пусковые баллоны со сжатым воздухом, аккумуляторные батареи и тормозное устройство. Двигатель через главный фрикцион соединялся с коробкой перемены передач и бортовыми редукторами, от которых «вращающий момент передавался цепями Галля при помощи звездочек, на колеса первой сцепной оси». Первая и вторая оси, используемые от паровоза серии Су, связывались между собой спарниками. Кроме того, от тендера паровоза Су были заимствованы рессоры, колодки и элементы подвески. </w:t>
      </w:r>
    </w:p>
    <w:p w14:paraId="4A0ED6E3"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 управления движением бронедрезины находился в центральной части кузова. Водитель мог наблюдать за движением через специальные окошки и смотровые щели. Передний и задний двигатели выключались ножными педалями, действующими на главные фрикционы. Приборы управления движением целиком использовались от танка КВ. Вооружение «Красной звезды» состояло из 76-мм пушки ЗИС-5, четырех пулеметов ДТ -два в башне и два в бортах корпуса - и одного ДШК на специальной зенитной установке. </w:t>
      </w:r>
    </w:p>
    <w:p w14:paraId="36569A48"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Использование двух ведущих тележек и двух двигателей для переднего и заднего хода объяснялось очень просто - после эвакуации на заводе в Коломне не сталось зуборезных станков, пригодных для изготовления деталей реверсной коробки передач. Тем не менее, конструкторы завода предусмотрели возможность дальнейшей модернизации «Красной звезды». Так, в своем письме в ГАБТУ в феврале 1942 года Лебедянский писал: «В дальнейшем машина может быть легко модернизирована на базе первого опытного образца: поднята скорость переднего и заднего ходов конструкцией нового реверсивного редуктора, оставлена одна движущая тележка, взамен же второго мотора поднята огневая мощь и запасы вооружения. Форма брони также может быть улучшена заменой плоских стенок наклонными». </w:t>
      </w:r>
    </w:p>
    <w:p w14:paraId="33699180"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Испытания бронеавтомотрисы выявили ряд существенных недостатков в конструкции ведущих тележек и силовой установки в целом. В результате, машина большую часть времени чинилась на заводе, и только к июню 1942 года удалось довести «Красную звезду» до рабочего состояния (18626).</w:t>
      </w:r>
    </w:p>
    <w:p w14:paraId="73FFB111" w14:textId="77777777" w:rsidR="00895A6E" w:rsidRPr="00640820" w:rsidRDefault="00895A6E" w:rsidP="00640820">
      <w:pPr>
        <w:spacing w:after="0" w:line="240" w:lineRule="auto"/>
        <w:jc w:val="both"/>
        <w:rPr>
          <w:rFonts w:ascii="Times New Roman" w:hAnsi="Times New Roman"/>
          <w:color w:val="000000" w:themeColor="text1"/>
          <w:sz w:val="16"/>
          <w:szCs w:val="16"/>
        </w:rPr>
      </w:pPr>
    </w:p>
    <w:p w14:paraId="3338C3A6" w14:textId="77777777" w:rsidR="00227695" w:rsidRPr="00640820" w:rsidRDefault="00227695" w:rsidP="00640820">
      <w:pPr>
        <w:pStyle w:val="Bodytext1"/>
        <w:shd w:val="clear" w:color="auto" w:fill="auto"/>
        <w:spacing w:line="240" w:lineRule="auto"/>
        <w:ind w:firstLine="0"/>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В де</w:t>
      </w:r>
      <w:r w:rsidRPr="00640820">
        <w:rPr>
          <w:rFonts w:ascii="Times New Roman" w:hAnsi="Times New Roman" w:cs="Times New Roman"/>
          <w:color w:val="000000" w:themeColor="text1"/>
          <w:sz w:val="16"/>
          <w:szCs w:val="16"/>
        </w:rPr>
        <w:softHyphen/>
        <w:t>кабре 1941 г. по предложению конструкторов завода №189 изготовили опытный образец индивидуального пехотного бронещитка из обрезков 4-мм листов корабельной брони. Ис</w:t>
      </w:r>
      <w:r w:rsidRPr="00640820">
        <w:rPr>
          <w:rFonts w:ascii="Times New Roman" w:hAnsi="Times New Roman" w:cs="Times New Roman"/>
          <w:color w:val="000000" w:themeColor="text1"/>
          <w:sz w:val="16"/>
          <w:szCs w:val="16"/>
        </w:rPr>
        <w:softHyphen/>
        <w:t>пытание щитка в боевых условиях провели на АНИОПе с 3-6 января 1942 г.</w:t>
      </w:r>
    </w:p>
    <w:p w14:paraId="23B6957E" w14:textId="77777777" w:rsidR="00227695" w:rsidRPr="00640820" w:rsidRDefault="00227695" w:rsidP="00640820">
      <w:pPr>
        <w:pStyle w:val="Bodytext1"/>
        <w:shd w:val="clear" w:color="auto" w:fill="auto"/>
        <w:spacing w:line="240" w:lineRule="auto"/>
        <w:ind w:firstLine="0"/>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По результатам обстрела, щиток массой около 8 кг, с габаритами по высоте и ширине 560 мм и 450 мм соответственно, обеспечивал защиту от поражения обыкновенной пулей с дистанции 250 м. Конструктивно он пред</w:t>
      </w:r>
      <w:r w:rsidRPr="00640820">
        <w:rPr>
          <w:rFonts w:ascii="Times New Roman" w:hAnsi="Times New Roman" w:cs="Times New Roman"/>
          <w:color w:val="000000" w:themeColor="text1"/>
          <w:sz w:val="16"/>
          <w:szCs w:val="16"/>
        </w:rPr>
        <w:softHyphen/>
        <w:t>ставлял собой плоский лист. Для установки в боевом положении служили два откоса, закре</w:t>
      </w:r>
      <w:r w:rsidRPr="00640820">
        <w:rPr>
          <w:rFonts w:ascii="Times New Roman" w:hAnsi="Times New Roman" w:cs="Times New Roman"/>
          <w:color w:val="000000" w:themeColor="text1"/>
          <w:sz w:val="16"/>
          <w:szCs w:val="16"/>
        </w:rPr>
        <w:softHyphen/>
        <w:t>пленные в уголках, приклепанных по краям щитка. Переноска щитка в походном поло</w:t>
      </w:r>
      <w:r w:rsidRPr="00640820">
        <w:rPr>
          <w:rFonts w:ascii="Times New Roman" w:hAnsi="Times New Roman" w:cs="Times New Roman"/>
          <w:color w:val="000000" w:themeColor="text1"/>
          <w:sz w:val="16"/>
          <w:szCs w:val="16"/>
        </w:rPr>
        <w:softHyphen/>
        <w:t>жении осуществлялась на лямках за спиной бойца, а в боевой обстановке - на винтовке, через прорезь в щитке.</w:t>
      </w:r>
    </w:p>
    <w:p w14:paraId="2E91C29D" w14:textId="77777777" w:rsidR="00227695" w:rsidRPr="00640820" w:rsidRDefault="00227695" w:rsidP="00640820">
      <w:pPr>
        <w:pStyle w:val="Bodytext1"/>
        <w:shd w:val="clear" w:color="auto" w:fill="auto"/>
        <w:spacing w:line="240" w:lineRule="auto"/>
        <w:ind w:firstLine="0"/>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Нарекания вызвали ненадежность упоров щитка и неудобство перемещения бойца пол</w:t>
      </w:r>
      <w:r w:rsidRPr="00640820">
        <w:rPr>
          <w:rFonts w:ascii="Times New Roman" w:hAnsi="Times New Roman" w:cs="Times New Roman"/>
          <w:color w:val="000000" w:themeColor="text1"/>
          <w:sz w:val="16"/>
          <w:szCs w:val="16"/>
        </w:rPr>
        <w:softHyphen/>
        <w:t>зком, особенно на пересеченной местности, когда требовалось толкать щиток перед собой двумя руками. Кроме того, следовало повысить бронестойкость щитка на дистанции 100 м без увеличения его массы. Однако, несмотря на выявленные недостатки, АНИОП посчитал возможным, «за</w:t>
      </w:r>
      <w:r w:rsidRPr="00640820">
        <w:rPr>
          <w:rStyle w:val="BodytextItalic4"/>
          <w:rFonts w:ascii="Times New Roman" w:eastAsiaTheme="minorHAnsi" w:hAnsi="Times New Roman" w:cs="Times New Roman"/>
          <w:i w:val="0"/>
          <w:color w:val="000000" w:themeColor="text1"/>
          <w:sz w:val="16"/>
          <w:szCs w:val="16"/>
        </w:rPr>
        <w:t xml:space="preserve"> неимением другого»,</w:t>
      </w:r>
      <w:r w:rsidRPr="00640820">
        <w:rPr>
          <w:rFonts w:ascii="Times New Roman" w:hAnsi="Times New Roman" w:cs="Times New Roman"/>
          <w:color w:val="000000" w:themeColor="text1"/>
          <w:sz w:val="16"/>
          <w:szCs w:val="16"/>
        </w:rPr>
        <w:t xml:space="preserve"> допустить щиток на вооружение Красной Армии.</w:t>
      </w:r>
    </w:p>
    <w:p w14:paraId="28E3D196" w14:textId="77777777" w:rsidR="00227695" w:rsidRPr="00640820" w:rsidRDefault="00227695" w:rsidP="00640820">
      <w:pPr>
        <w:pStyle w:val="Bodytext1"/>
        <w:shd w:val="clear" w:color="auto" w:fill="auto"/>
        <w:spacing w:line="240" w:lineRule="auto"/>
        <w:ind w:firstLine="0"/>
        <w:rPr>
          <w:rFonts w:ascii="Times New Roman" w:hAnsi="Times New Roman" w:cs="Times New Roman"/>
          <w:color w:val="000000" w:themeColor="text1"/>
          <w:sz w:val="16"/>
          <w:szCs w:val="16"/>
        </w:rPr>
      </w:pPr>
      <w:r w:rsidRPr="00640820">
        <w:rPr>
          <w:rFonts w:ascii="Times New Roman" w:hAnsi="Times New Roman" w:cs="Times New Roman"/>
          <w:color w:val="000000" w:themeColor="text1"/>
          <w:sz w:val="16"/>
          <w:szCs w:val="16"/>
        </w:rPr>
        <w:t>Общее количество щитков, изготовленных заводом №189, пока не установлено (17746).</w:t>
      </w:r>
    </w:p>
    <w:p w14:paraId="46EC2515" w14:textId="77777777" w:rsidR="00227695" w:rsidRPr="00640820" w:rsidRDefault="002276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C577C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в течение 2-х недель на 92 заводе в соответствии с распоряжением ГКО КБ Грабина вооружила один из Валентайнов 45-мм пушкой и пулеметом ДТ. Машина получила индекс ЗИС-95. В конце декабря танк был отправлен в Москву, однако, дальше опытного образца дело не пошло (3949,33).</w:t>
      </w:r>
    </w:p>
    <w:p w14:paraId="7348A8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581CDD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ОКБ № 92 по заказу бронетанкового управления выполнило проекты перевооружения танка «Ва</w:t>
      </w:r>
      <w:r w:rsidRPr="00640820">
        <w:rPr>
          <w:rFonts w:ascii="Times New Roman" w:hAnsi="Times New Roman"/>
          <w:color w:val="000000" w:themeColor="text1"/>
          <w:sz w:val="16"/>
          <w:szCs w:val="16"/>
        </w:rPr>
        <w:softHyphen/>
        <w:t>лентайн» спаренной установки 45-мм танковой пушки обр 1938 г. и пулемета ДТ, а для танка «Матильда» - спаренной установкой 76-мм орудия обр. 1941 г. и пулемета ДТ. Установ</w:t>
      </w:r>
      <w:r w:rsidRPr="00640820">
        <w:rPr>
          <w:rFonts w:ascii="Times New Roman" w:hAnsi="Times New Roman"/>
          <w:color w:val="000000" w:themeColor="text1"/>
          <w:sz w:val="16"/>
          <w:szCs w:val="16"/>
        </w:rPr>
        <w:softHyphen/>
        <w:t>ки были разработаны и изготовлены в опытных образцах. Они получили индекс соответственно ЗИС-95 и ЗИС-96. ЗИС-95 в производство принят не был в связи с нехваткой 45-мм танковых орудий (которые требовались для танка Т-70), а также ввиду того, что завод № 179 в марте 1942 г. испытал 42-мм выстрел с осколочной гранатой сталистого чугуна, и с мая 1942 г. должен был начаться се</w:t>
      </w:r>
      <w:r w:rsidRPr="00640820">
        <w:rPr>
          <w:rFonts w:ascii="Times New Roman" w:hAnsi="Times New Roman"/>
          <w:color w:val="000000" w:themeColor="text1"/>
          <w:sz w:val="16"/>
          <w:szCs w:val="16"/>
        </w:rPr>
        <w:softHyphen/>
        <w:t>рийный выпуск патронов с указанным типом снаряда. Серийным же производством ЗИС-96 должен был зани</w:t>
      </w:r>
      <w:r w:rsidRPr="00640820">
        <w:rPr>
          <w:rFonts w:ascii="Times New Roman" w:hAnsi="Times New Roman"/>
          <w:color w:val="000000" w:themeColor="text1"/>
          <w:sz w:val="16"/>
          <w:szCs w:val="16"/>
        </w:rPr>
        <w:softHyphen/>
        <w:t>маться завод № 9, но он сорвал план выпуска орудий в 1941 г., а с 1942 г. проблема разрешилась заказом в Велико</w:t>
      </w:r>
      <w:r w:rsidRPr="00640820">
        <w:rPr>
          <w:rFonts w:ascii="Times New Roman" w:hAnsi="Times New Roman"/>
          <w:color w:val="000000" w:themeColor="text1"/>
          <w:sz w:val="16"/>
          <w:szCs w:val="16"/>
        </w:rPr>
        <w:softHyphen/>
        <w:t>британии танков «Матильда» С8 (танк огневой поддержки), вооруженных 76-мм орудием с баллистикой, близкой к бал</w:t>
      </w:r>
      <w:r w:rsidRPr="00640820">
        <w:rPr>
          <w:rFonts w:ascii="Times New Roman" w:hAnsi="Times New Roman"/>
          <w:color w:val="000000" w:themeColor="text1"/>
          <w:sz w:val="16"/>
          <w:szCs w:val="16"/>
        </w:rPr>
        <w:softHyphen/>
        <w:t>листике 76-мм орудия обр. 1936 г. (Л-10) (10782).</w:t>
      </w:r>
    </w:p>
    <w:p w14:paraId="1FC1AE0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3F34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вышло распоряжение ГКО в соответствии с которым КБ Грабина на заводе 92 поручили проект перевооружения Матильды 76-мм пушкой ЗИС-5 и пулеметом ДТ (заводской индекс ЗИС-96 или Ф-96). В декабре же сделали и испытали, а потом отправили в Москву (4367).</w:t>
      </w:r>
    </w:p>
    <w:p w14:paraId="67DAE93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4316C92"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декабре 1941 года была создана ремонтная база № 82 в Москве. Это предприятие РЭУ ГАБТУ КА изначально предназначалось для ремонта прибывших по ленд-лизу английских танков и бронетранспортёров. Но уже 6 января 1942 года начальник АБТУ Западного фронта получил от ГАБТУ КА следующее указание: «Примите немедленные меры к завозу машин в ремонт: </w:t>
      </w:r>
    </w:p>
    <w:p w14:paraId="071F0079"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 На рембазу № 82 (Москва 2-я Дзержинская, северный пост, ветка завода „Подъёмник“) все трофейные танки и танки иностранных марок. </w:t>
      </w:r>
    </w:p>
    <w:p w14:paraId="4B61D6DB"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 На филиал № 2 рембазы № 82 (Москва. Павелецкая-Товарная) трофейные и иностранные колёсные легковые и грузовые колёсные машины и тягачи всех марок. </w:t>
      </w:r>
    </w:p>
    <w:p w14:paraId="037C728B"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Центральные мастерские треста № 30 НКАП СССР (Москва Дзержинская северный пост, ветка треста № 30) трофейные грузовые колёсные машины и тягачи всех марок».</w:t>
      </w:r>
    </w:p>
    <w:p w14:paraId="5842EFF3"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Однако уже в конце марта решением ГАБТУ КА, утверждённым в ГКО, специализация рембазы № 82 изменилась, о чём 5 апреля 1942 года было уведомлено командование Западного фронта: «Ввиду изменения профиля рембазы № 82 данный АБТУ КА план завоза на 2-й квартал по трофейным танкам и бронемашинам полностью переносится на рембазу № 8 (12688).</w:t>
      </w:r>
    </w:p>
    <w:p w14:paraId="1AFC12A0"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 плану завода на рембазу № 82 сохраняется завоз для ремонта только танков иностранных марок, т. е. английских и американских. Дайте немедленно соответствующие указания войсковым частям фронта». </w:t>
      </w:r>
    </w:p>
    <w:p w14:paraId="53633354"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Однако до примерно до лета на рембазу № 82 продолжали завозить трофейные танки. Это и понятно Москва находилась в тылу Западного фронта, а Казань глубоко в тылу. В ноябре 1942 года при рембазе № 82 в спешном порядке сформировали филиал № I, задачей которого стал срочный ремонт танков Pz. III и штурмовых орудий StuG III, предназначенных в качестве базы для установки 122-ммгаубиц (об этом смотри подробнее в главе «Самоходки на трофейных шасси»). Филиал проработал три месяца, и после завершения работ по СГ-122 ремонтом трофейной техники больше не занимался. Всего по отчёту рембазы № 82 за 1942 год на ней (вместе с филиалом № 1) отремонтировали 90 танков всех типов (12689).</w:t>
      </w:r>
    </w:p>
    <w:p w14:paraId="1FB507FE" w14:textId="77777777" w:rsidR="00045010" w:rsidRPr="00640820" w:rsidRDefault="00045010" w:rsidP="00640820">
      <w:pPr>
        <w:spacing w:after="0" w:line="240" w:lineRule="auto"/>
        <w:jc w:val="both"/>
        <w:rPr>
          <w:rFonts w:ascii="Times New Roman" w:hAnsi="Times New Roman"/>
          <w:color w:val="000000" w:themeColor="text1"/>
          <w:sz w:val="16"/>
          <w:szCs w:val="16"/>
        </w:rPr>
      </w:pPr>
    </w:p>
    <w:p w14:paraId="7F005304" w14:textId="77777777" w:rsidR="00BA2517" w:rsidRPr="00640820" w:rsidRDefault="00BA251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года директор ЯГАЗ А.А.Никаноров обратился с просьбой к И.В.Сталину для ускорения освоения производства новых грузовых автомобилей (ЯГ-9, Я-14 и Я-17) в США заказать 1500 силовых агрегатов GМС-4-71. Сталин решил вопрос положительно. В связи с освоением новых видов военной продукции и трудностями их производства, ярославцы о заказе забыли. Вспомнили только в начале июля 1943-го, когда на ЯГАЗ начали поступать вагоны с силовыми агрегатами GМС-4-71 и запчастями к ним. До этого как невоенный груз они задерживались во Владивостоке, И тут выяснилось, что силовой агрегат GМС (дизель 4-71, главный фрикцион "Лонг-32", 5-ступенчатая КП "Спайсер-5553") по своим энергетическим и массо-габаритным показателям как нельзя лучше подходил под установку на тягач Я-11. Быстро, в течение двух недель, сделали компоновку тягача с новым двигателем и выпустили основные рабочие чертежи по его установке, оборудованию вспомогательными системами и по неизбежным переделкам трансмиссии.</w:t>
      </w:r>
    </w:p>
    <w:p w14:paraId="4A7DC60D" w14:textId="77777777" w:rsidR="00BA2517" w:rsidRPr="00640820" w:rsidRDefault="00BA251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Силовой агрегат GМС удачно разместили со сдвигом от центра вправо на 100 мм и с наклоном назад на 4°. Впереди смонтировали новый большой радиатор пластинчатого типа с диффузором (подобный ставился на грузовики ЯГ-6), а водомаслорадиатор уже входил в состав двигателя, что было тогда большой редкостью. На щитке приборов появился отсутствовавший ранее аэротермометр. Питание двигателя теперь происходило из двух баков: основного (124 л) и резервного (176 л). Топливо подвергалось двойной фильтрации (и еще сверхтонкой - в насос-форсунках) - иначе двигатель GМС не мог работать. Вместе с ним поставлялись и два более эффективных пылеемких воздушных фильтра, обеспечивающих почти 100% очистку.</w:t>
      </w:r>
    </w:p>
    <w:p w14:paraId="5623B577" w14:textId="77777777" w:rsidR="00BA2517" w:rsidRPr="00640820" w:rsidRDefault="00BA251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задней части шасси установили одну главную передачу с двумя механизмами поворота и тормозами, теперь полностью унифицированную с Т-70М и СУ-76М, кроме передаточного числа. Его пришлось уменьшить до 1,000 - по сравнению с Я-11, частота вращения коленчатого вала двигателя СМС также уменьшилась на 40%, зато момент на выходе из КП возрос на 36%.</w:t>
      </w:r>
    </w:p>
    <w:p w14:paraId="32F580C8" w14:textId="77777777" w:rsidR="00BA2517" w:rsidRPr="00640820" w:rsidRDefault="00BA251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Однако из-за возросшей полной массы нового тягача (более, чем на тонну) клиренс его уменьшился на 53 мм. Заднее буксирное приспособление было поднято на 25 мм для приведения его в соответствие с новыми прицепными системами. Размеры деревянной с металлической окантовкой грузовой платформы пришлось уменьшить - площадь пола теперь составляла 3,37 м2, а объем кузова - 2,02 м3. Ящики для ЗИПа вынесли наружу за пределы платформы, что и заставило значительно уменьшить ее внутреннюю ширину. На количестве перевозимого груза и численности орудийного расчета это не отразилось - те же ящики с боекомплектом и 8 - 10 бойцов.</w:t>
      </w:r>
    </w:p>
    <w:p w14:paraId="0F5A3760" w14:textId="77777777" w:rsidR="00BA2517" w:rsidRPr="00640820" w:rsidRDefault="00BA251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Ввиду значительно возросшей мощности двигателя (и удельной мощности - на 13%) максимальная скорость движения (на пятой передаче) без прицепа на дорогах с твердым покрытием увеличилась до 37 м/ч, но максимальное расчетное тяговое усилие уменьшилось на 12%. Так как на Я-11 тяговое усилие было излишним и не реализовывалось полностью по сцеплению с грунтом, то и на новой машине его оказалось достаточно для буксирования 8-тонных арт- систем (15646).</w:t>
      </w:r>
    </w:p>
    <w:p w14:paraId="130B12A1" w14:textId="77777777" w:rsidR="00BA2517" w:rsidRPr="00640820" w:rsidRDefault="00BA2517" w:rsidP="00640820">
      <w:pPr>
        <w:spacing w:after="0" w:line="240" w:lineRule="auto"/>
        <w:jc w:val="both"/>
        <w:rPr>
          <w:rFonts w:ascii="Times New Roman" w:hAnsi="Times New Roman"/>
          <w:color w:val="000000" w:themeColor="text1"/>
          <w:sz w:val="16"/>
          <w:szCs w:val="16"/>
        </w:rPr>
      </w:pPr>
    </w:p>
    <w:p w14:paraId="2AD659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выпуск мотоциклов на Ижевском заводе был приостановлен в связи с освоением нового изделия – станкового пулемета "Максим" (11937).</w:t>
      </w:r>
    </w:p>
    <w:p w14:paraId="7C27A6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83235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был подготовлен Список прибывших эвакуированных предприятий в Удмуртскую АССР:</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1759"/>
        <w:gridCol w:w="1559"/>
      </w:tblGrid>
      <w:tr w:rsidR="00643896" w:rsidRPr="00640820" w14:paraId="6A8A2BAF" w14:textId="77777777" w:rsidTr="000D3BCB">
        <w:tc>
          <w:tcPr>
            <w:tcW w:w="3736" w:type="dxa"/>
            <w:tcBorders>
              <w:top w:val="single" w:sz="12" w:space="0" w:color="auto"/>
            </w:tcBorders>
          </w:tcPr>
          <w:p w14:paraId="5946FC8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Наименование заводов и предприятий</w:t>
            </w:r>
          </w:p>
        </w:tc>
        <w:tc>
          <w:tcPr>
            <w:tcW w:w="1759" w:type="dxa"/>
            <w:tcBorders>
              <w:top w:val="single" w:sz="12" w:space="0" w:color="auto"/>
            </w:tcBorders>
          </w:tcPr>
          <w:p w14:paraId="13526E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Их принадлежность</w:t>
            </w:r>
          </w:p>
        </w:tc>
        <w:tc>
          <w:tcPr>
            <w:tcW w:w="1559" w:type="dxa"/>
            <w:tcBorders>
              <w:top w:val="single" w:sz="12" w:space="0" w:color="auto"/>
            </w:tcBorders>
          </w:tcPr>
          <w:p w14:paraId="5C6A068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Установленное местонахождение</w:t>
            </w:r>
          </w:p>
        </w:tc>
      </w:tr>
      <w:tr w:rsidR="00643896" w:rsidRPr="00640820" w14:paraId="43A2B6AD" w14:textId="77777777" w:rsidTr="000D3BCB">
        <w:tc>
          <w:tcPr>
            <w:tcW w:w="3736" w:type="dxa"/>
          </w:tcPr>
          <w:p w14:paraId="51BAB7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Вяземский кожевенный завод Наркомлегпром УССР</w:t>
            </w:r>
          </w:p>
        </w:tc>
        <w:tc>
          <w:tcPr>
            <w:tcW w:w="1759" w:type="dxa"/>
          </w:tcPr>
          <w:p w14:paraId="033014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Сарапул</w:t>
            </w:r>
          </w:p>
        </w:tc>
        <w:tc>
          <w:tcPr>
            <w:tcW w:w="1559" w:type="dxa"/>
          </w:tcPr>
          <w:p w14:paraId="669380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кожкомбинат </w:t>
            </w:r>
          </w:p>
        </w:tc>
      </w:tr>
      <w:tr w:rsidR="00643896" w:rsidRPr="00640820" w14:paraId="015BB0AA" w14:textId="77777777" w:rsidTr="000D3BCB">
        <w:tc>
          <w:tcPr>
            <w:tcW w:w="3736" w:type="dxa"/>
          </w:tcPr>
          <w:p w14:paraId="5446F58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Спиртозавод им.Артема Наркомпищепром СССР</w:t>
            </w:r>
          </w:p>
        </w:tc>
        <w:tc>
          <w:tcPr>
            <w:tcW w:w="1759" w:type="dxa"/>
          </w:tcPr>
          <w:p w14:paraId="4146C8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w:t>
            </w:r>
          </w:p>
        </w:tc>
        <w:tc>
          <w:tcPr>
            <w:tcW w:w="1559" w:type="dxa"/>
          </w:tcPr>
          <w:p w14:paraId="53871C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спиртозавод </w:t>
            </w:r>
          </w:p>
        </w:tc>
      </w:tr>
      <w:tr w:rsidR="00643896" w:rsidRPr="00640820" w14:paraId="26D207C2" w14:textId="77777777" w:rsidTr="000D3BCB">
        <w:tc>
          <w:tcPr>
            <w:tcW w:w="3736" w:type="dxa"/>
          </w:tcPr>
          <w:p w14:paraId="35951C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Прилукская мебельная фабр[ика] Наркомлес СССР</w:t>
            </w:r>
          </w:p>
        </w:tc>
        <w:tc>
          <w:tcPr>
            <w:tcW w:w="1759" w:type="dxa"/>
          </w:tcPr>
          <w:p w14:paraId="346FB9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w:t>
            </w:r>
          </w:p>
        </w:tc>
        <w:tc>
          <w:tcPr>
            <w:tcW w:w="1559" w:type="dxa"/>
          </w:tcPr>
          <w:p w14:paraId="3D3B4B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8A2A5F0" w14:textId="77777777" w:rsidTr="000D3BCB">
        <w:tc>
          <w:tcPr>
            <w:tcW w:w="3736" w:type="dxa"/>
          </w:tcPr>
          <w:p w14:paraId="628058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Ленинский сахзавод Наркомпищепром СССР</w:t>
            </w:r>
          </w:p>
        </w:tc>
        <w:tc>
          <w:tcPr>
            <w:tcW w:w="1759" w:type="dxa"/>
          </w:tcPr>
          <w:p w14:paraId="70DF24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w:t>
            </w:r>
          </w:p>
        </w:tc>
        <w:tc>
          <w:tcPr>
            <w:tcW w:w="1559" w:type="dxa"/>
          </w:tcPr>
          <w:p w14:paraId="3B8C18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0908EA4" w14:textId="77777777" w:rsidTr="000D3BCB">
        <w:tc>
          <w:tcPr>
            <w:tcW w:w="3736" w:type="dxa"/>
          </w:tcPr>
          <w:p w14:paraId="62C49EE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Харьковская обувная ф[абри]ка Наркомлегпром СССР</w:t>
            </w:r>
          </w:p>
        </w:tc>
        <w:tc>
          <w:tcPr>
            <w:tcW w:w="1759" w:type="dxa"/>
          </w:tcPr>
          <w:p w14:paraId="2C1034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w:t>
            </w:r>
          </w:p>
        </w:tc>
        <w:tc>
          <w:tcPr>
            <w:tcW w:w="1559" w:type="dxa"/>
          </w:tcPr>
          <w:p w14:paraId="04C910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кожкомбинат </w:t>
            </w:r>
          </w:p>
        </w:tc>
      </w:tr>
      <w:tr w:rsidR="00643896" w:rsidRPr="00640820" w14:paraId="4ABC740B" w14:textId="77777777" w:rsidTr="000D3BCB">
        <w:tc>
          <w:tcPr>
            <w:tcW w:w="3736" w:type="dxa"/>
          </w:tcPr>
          <w:p w14:paraId="34BCF7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Завод № 631 (г.Москва) Наркомэлектропром</w:t>
            </w:r>
          </w:p>
        </w:tc>
        <w:tc>
          <w:tcPr>
            <w:tcW w:w="1759" w:type="dxa"/>
          </w:tcPr>
          <w:p w14:paraId="506A26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w:t>
            </w:r>
          </w:p>
        </w:tc>
        <w:tc>
          <w:tcPr>
            <w:tcW w:w="1559" w:type="dxa"/>
          </w:tcPr>
          <w:p w14:paraId="134EA2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523B991" w14:textId="77777777" w:rsidTr="000D3BCB">
        <w:tc>
          <w:tcPr>
            <w:tcW w:w="3736" w:type="dxa"/>
          </w:tcPr>
          <w:p w14:paraId="3ABCB3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Механич.жел[езно]/дорож. мастер-ск[ие] НК Лес</w:t>
            </w:r>
          </w:p>
        </w:tc>
        <w:tc>
          <w:tcPr>
            <w:tcW w:w="1759" w:type="dxa"/>
          </w:tcPr>
          <w:p w14:paraId="74449F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w:t>
            </w:r>
          </w:p>
        </w:tc>
        <w:tc>
          <w:tcPr>
            <w:tcW w:w="1559" w:type="dxa"/>
          </w:tcPr>
          <w:p w14:paraId="079974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0E42EBC" w14:textId="77777777" w:rsidTr="000D3BCB">
        <w:tc>
          <w:tcPr>
            <w:tcW w:w="3736" w:type="dxa"/>
          </w:tcPr>
          <w:p w14:paraId="6692AD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Бобруйский лесокомбинат Наркомнефть</w:t>
            </w:r>
          </w:p>
        </w:tc>
        <w:tc>
          <w:tcPr>
            <w:tcW w:w="1759" w:type="dxa"/>
          </w:tcPr>
          <w:p w14:paraId="240DEF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w:t>
            </w:r>
          </w:p>
        </w:tc>
        <w:tc>
          <w:tcPr>
            <w:tcW w:w="1559" w:type="dxa"/>
          </w:tcPr>
          <w:p w14:paraId="45A548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8A47CF3" w14:textId="77777777" w:rsidTr="000D3BCB">
        <w:tc>
          <w:tcPr>
            <w:tcW w:w="3736" w:type="dxa"/>
          </w:tcPr>
          <w:p w14:paraId="7CE1C5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Завод им.Дзержинского</w:t>
            </w:r>
          </w:p>
        </w:tc>
        <w:tc>
          <w:tcPr>
            <w:tcW w:w="1759" w:type="dxa"/>
          </w:tcPr>
          <w:p w14:paraId="7C5CECA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w:t>
            </w:r>
          </w:p>
        </w:tc>
        <w:tc>
          <w:tcPr>
            <w:tcW w:w="1559" w:type="dxa"/>
          </w:tcPr>
          <w:p w14:paraId="13EEBBB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3BC1967" w14:textId="77777777" w:rsidTr="000D3BCB">
        <w:tc>
          <w:tcPr>
            <w:tcW w:w="3736" w:type="dxa"/>
          </w:tcPr>
          <w:p w14:paraId="695A60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Николо-Погорельский л/завод Наркомтекстиль СССР </w:t>
            </w:r>
          </w:p>
        </w:tc>
        <w:tc>
          <w:tcPr>
            <w:tcW w:w="1759" w:type="dxa"/>
          </w:tcPr>
          <w:p w14:paraId="4B4163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Глазов</w:t>
            </w:r>
          </w:p>
        </w:tc>
        <w:tc>
          <w:tcPr>
            <w:tcW w:w="1559" w:type="dxa"/>
          </w:tcPr>
          <w:p w14:paraId="269BD8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Глазовльнотрест</w:t>
            </w:r>
          </w:p>
        </w:tc>
      </w:tr>
      <w:tr w:rsidR="00643896" w:rsidRPr="00640820" w14:paraId="1CB9A3B9" w14:textId="77777777" w:rsidTr="000D3BCB">
        <w:tc>
          <w:tcPr>
            <w:tcW w:w="3736" w:type="dxa"/>
          </w:tcPr>
          <w:p w14:paraId="222764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Лычковский льнозавод </w:t>
            </w:r>
          </w:p>
        </w:tc>
        <w:tc>
          <w:tcPr>
            <w:tcW w:w="1759" w:type="dxa"/>
          </w:tcPr>
          <w:p w14:paraId="5C4670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559" w:type="dxa"/>
          </w:tcPr>
          <w:p w14:paraId="15669D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56565770" w14:textId="77777777" w:rsidTr="000D3BCB">
        <w:tc>
          <w:tcPr>
            <w:tcW w:w="3736" w:type="dxa"/>
          </w:tcPr>
          <w:p w14:paraId="18CAA43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Крестецкий льнозавод</w:t>
            </w:r>
          </w:p>
        </w:tc>
        <w:tc>
          <w:tcPr>
            <w:tcW w:w="1759" w:type="dxa"/>
          </w:tcPr>
          <w:p w14:paraId="310A61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559" w:type="dxa"/>
          </w:tcPr>
          <w:p w14:paraId="764529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5A4CA66D" w14:textId="77777777" w:rsidTr="000D3BCB">
        <w:tc>
          <w:tcPr>
            <w:tcW w:w="3736" w:type="dxa"/>
          </w:tcPr>
          <w:p w14:paraId="49653D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Дубровская шпагатная ф[абри]ка</w:t>
            </w:r>
          </w:p>
        </w:tc>
        <w:tc>
          <w:tcPr>
            <w:tcW w:w="1759" w:type="dxa"/>
          </w:tcPr>
          <w:p w14:paraId="4BEAB6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559" w:type="dxa"/>
          </w:tcPr>
          <w:p w14:paraId="065DDF5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537C2EC9" w14:textId="77777777" w:rsidTr="000D3BCB">
        <w:tc>
          <w:tcPr>
            <w:tcW w:w="3736" w:type="dxa"/>
          </w:tcPr>
          <w:p w14:paraId="49997D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Табачная ф[абри]ка им.К.Цеткин Наркомпищепром СССР</w:t>
            </w:r>
          </w:p>
        </w:tc>
        <w:tc>
          <w:tcPr>
            <w:tcW w:w="1759" w:type="dxa"/>
          </w:tcPr>
          <w:p w14:paraId="206E03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w:t>
            </w:r>
          </w:p>
        </w:tc>
        <w:tc>
          <w:tcPr>
            <w:tcW w:w="1559" w:type="dxa"/>
          </w:tcPr>
          <w:p w14:paraId="3783B9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Ликерный завод </w:t>
            </w:r>
          </w:p>
        </w:tc>
      </w:tr>
      <w:tr w:rsidR="00643896" w:rsidRPr="00640820" w14:paraId="693D0797" w14:textId="77777777" w:rsidTr="000D3BCB">
        <w:tc>
          <w:tcPr>
            <w:tcW w:w="3736" w:type="dxa"/>
          </w:tcPr>
          <w:p w14:paraId="5E1BC7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Оборудование метростроя НКИС</w:t>
            </w:r>
          </w:p>
        </w:tc>
        <w:tc>
          <w:tcPr>
            <w:tcW w:w="1759" w:type="dxa"/>
          </w:tcPr>
          <w:p w14:paraId="6AB355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г.Глазов </w:t>
            </w:r>
          </w:p>
        </w:tc>
        <w:tc>
          <w:tcPr>
            <w:tcW w:w="1559" w:type="dxa"/>
          </w:tcPr>
          <w:p w14:paraId="7CEB48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702448A" w14:textId="77777777" w:rsidTr="000D3BCB">
        <w:tc>
          <w:tcPr>
            <w:tcW w:w="3736" w:type="dxa"/>
          </w:tcPr>
          <w:p w14:paraId="655927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Экспериментальный завод режущих инструментов НК Cтан[к]остро-ения</w:t>
            </w:r>
          </w:p>
        </w:tc>
        <w:tc>
          <w:tcPr>
            <w:tcW w:w="1759" w:type="dxa"/>
          </w:tcPr>
          <w:p w14:paraId="285B14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w:t>
            </w:r>
          </w:p>
        </w:tc>
        <w:tc>
          <w:tcPr>
            <w:tcW w:w="1559" w:type="dxa"/>
          </w:tcPr>
          <w:p w14:paraId="49290D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1EB97F2" w14:textId="77777777" w:rsidTr="000D3BCB">
        <w:tc>
          <w:tcPr>
            <w:tcW w:w="3736" w:type="dxa"/>
          </w:tcPr>
          <w:p w14:paraId="3D0C334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Рембаза № 81 НКО</w:t>
            </w:r>
          </w:p>
        </w:tc>
        <w:tc>
          <w:tcPr>
            <w:tcW w:w="1759" w:type="dxa"/>
          </w:tcPr>
          <w:p w14:paraId="181820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w:t>
            </w:r>
          </w:p>
        </w:tc>
        <w:tc>
          <w:tcPr>
            <w:tcW w:w="1559" w:type="dxa"/>
          </w:tcPr>
          <w:p w14:paraId="70957D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CD894C0" w14:textId="77777777" w:rsidTr="000D3BCB">
        <w:tc>
          <w:tcPr>
            <w:tcW w:w="3736" w:type="dxa"/>
          </w:tcPr>
          <w:p w14:paraId="3630DD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Днепропетровский завод Главстроймеханизации Наркомстрой СССР</w:t>
            </w:r>
          </w:p>
        </w:tc>
        <w:tc>
          <w:tcPr>
            <w:tcW w:w="1759" w:type="dxa"/>
          </w:tcPr>
          <w:p w14:paraId="0BA205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г.Ижевск </w:t>
            </w:r>
          </w:p>
        </w:tc>
        <w:tc>
          <w:tcPr>
            <w:tcW w:w="1559" w:type="dxa"/>
          </w:tcPr>
          <w:p w14:paraId="61B521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9F5FA6E" w14:textId="77777777" w:rsidTr="000D3BCB">
        <w:tc>
          <w:tcPr>
            <w:tcW w:w="3736" w:type="dxa"/>
          </w:tcPr>
          <w:p w14:paraId="1BCF73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Киевский завод мотоц.мотор. Наркомсредмаш СССР</w:t>
            </w:r>
          </w:p>
        </w:tc>
        <w:tc>
          <w:tcPr>
            <w:tcW w:w="1759" w:type="dxa"/>
          </w:tcPr>
          <w:p w14:paraId="008DCE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w:t>
            </w:r>
          </w:p>
        </w:tc>
        <w:tc>
          <w:tcPr>
            <w:tcW w:w="1559" w:type="dxa"/>
          </w:tcPr>
          <w:p w14:paraId="5B2BCA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Мотозавод </w:t>
            </w:r>
          </w:p>
        </w:tc>
      </w:tr>
      <w:tr w:rsidR="00643896" w:rsidRPr="00640820" w14:paraId="38DAD4BE" w14:textId="77777777" w:rsidTr="000D3BCB">
        <w:tc>
          <w:tcPr>
            <w:tcW w:w="3736" w:type="dxa"/>
          </w:tcPr>
          <w:p w14:paraId="2C9513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Серпуховский мотоц[иклетный] завод</w:t>
            </w:r>
          </w:p>
        </w:tc>
        <w:tc>
          <w:tcPr>
            <w:tcW w:w="1759" w:type="dxa"/>
          </w:tcPr>
          <w:p w14:paraId="6E28178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w:t>
            </w:r>
          </w:p>
        </w:tc>
        <w:tc>
          <w:tcPr>
            <w:tcW w:w="1559" w:type="dxa"/>
          </w:tcPr>
          <w:p w14:paraId="131C1E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w:t>
            </w:r>
          </w:p>
        </w:tc>
      </w:tr>
      <w:tr w:rsidR="00643896" w:rsidRPr="00640820" w14:paraId="4D4BDE0C" w14:textId="77777777" w:rsidTr="000D3BCB">
        <w:tc>
          <w:tcPr>
            <w:tcW w:w="3736" w:type="dxa"/>
          </w:tcPr>
          <w:p w14:paraId="3E205F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Московский завод мотоц.мотор. -*-</w:t>
            </w:r>
          </w:p>
        </w:tc>
        <w:tc>
          <w:tcPr>
            <w:tcW w:w="1759" w:type="dxa"/>
          </w:tcPr>
          <w:p w14:paraId="7B073E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w:t>
            </w:r>
          </w:p>
        </w:tc>
        <w:tc>
          <w:tcPr>
            <w:tcW w:w="1559" w:type="dxa"/>
          </w:tcPr>
          <w:p w14:paraId="5FF822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w:t>
            </w:r>
          </w:p>
        </w:tc>
      </w:tr>
      <w:tr w:rsidR="00643896" w:rsidRPr="00640820" w14:paraId="2531C255" w14:textId="77777777" w:rsidTr="000D3BCB">
        <w:tc>
          <w:tcPr>
            <w:tcW w:w="3736" w:type="dxa"/>
          </w:tcPr>
          <w:p w14:paraId="729241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Завод № 460 (Москва) Наркомвооружения</w:t>
            </w:r>
          </w:p>
        </w:tc>
        <w:tc>
          <w:tcPr>
            <w:tcW w:w="1759" w:type="dxa"/>
          </w:tcPr>
          <w:p w14:paraId="6FD5C5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г.Ижевск,</w:t>
            </w:r>
          </w:p>
        </w:tc>
        <w:tc>
          <w:tcPr>
            <w:tcW w:w="1559" w:type="dxa"/>
          </w:tcPr>
          <w:p w14:paraId="7705664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завод 74 </w:t>
            </w:r>
          </w:p>
        </w:tc>
      </w:tr>
      <w:tr w:rsidR="00643896" w:rsidRPr="00640820" w14:paraId="4C27FAFD" w14:textId="77777777" w:rsidTr="000D3BCB">
        <w:tc>
          <w:tcPr>
            <w:tcW w:w="3736" w:type="dxa"/>
          </w:tcPr>
          <w:p w14:paraId="00F8F9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Завод № 314 (Тула) -*-</w:t>
            </w:r>
          </w:p>
        </w:tc>
        <w:tc>
          <w:tcPr>
            <w:tcW w:w="1759" w:type="dxa"/>
          </w:tcPr>
          <w:p w14:paraId="6A7C9D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w:t>
            </w:r>
          </w:p>
        </w:tc>
        <w:tc>
          <w:tcPr>
            <w:tcW w:w="1559" w:type="dxa"/>
          </w:tcPr>
          <w:p w14:paraId="49A4A3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w:t>
            </w:r>
          </w:p>
        </w:tc>
      </w:tr>
      <w:tr w:rsidR="00643896" w:rsidRPr="00640820" w14:paraId="036DF21B" w14:textId="77777777" w:rsidTr="000D3BCB">
        <w:tc>
          <w:tcPr>
            <w:tcW w:w="3736" w:type="dxa"/>
          </w:tcPr>
          <w:p w14:paraId="34D49F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Завод № 279 (Москва) Наркомавиапром</w:t>
            </w:r>
          </w:p>
        </w:tc>
        <w:tc>
          <w:tcPr>
            <w:tcW w:w="1759" w:type="dxa"/>
          </w:tcPr>
          <w:p w14:paraId="5BEEC7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г.Ижевск </w:t>
            </w:r>
          </w:p>
        </w:tc>
        <w:tc>
          <w:tcPr>
            <w:tcW w:w="1559" w:type="dxa"/>
          </w:tcPr>
          <w:p w14:paraId="727B68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9A9CF98" w14:textId="77777777" w:rsidTr="000D3BCB">
        <w:tc>
          <w:tcPr>
            <w:tcW w:w="3736" w:type="dxa"/>
          </w:tcPr>
          <w:p w14:paraId="2BEDA8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Мелитопольская швейная ф[абри]ка им.Р.Люксембург Наркомлегпром СССР</w:t>
            </w:r>
          </w:p>
        </w:tc>
        <w:tc>
          <w:tcPr>
            <w:tcW w:w="1759" w:type="dxa"/>
          </w:tcPr>
          <w:p w14:paraId="5761A8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г.Ижевск</w:t>
            </w:r>
          </w:p>
        </w:tc>
        <w:tc>
          <w:tcPr>
            <w:tcW w:w="1559" w:type="dxa"/>
          </w:tcPr>
          <w:p w14:paraId="589365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Клуб </w:t>
            </w:r>
          </w:p>
        </w:tc>
      </w:tr>
      <w:tr w:rsidR="00643896" w:rsidRPr="00640820" w14:paraId="1C763C10" w14:textId="77777777" w:rsidTr="000D3BCB">
        <w:tc>
          <w:tcPr>
            <w:tcW w:w="3736" w:type="dxa"/>
          </w:tcPr>
          <w:p w14:paraId="728DC9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Авиамастерская № 140 НКО</w:t>
            </w:r>
          </w:p>
        </w:tc>
        <w:tc>
          <w:tcPr>
            <w:tcW w:w="1759" w:type="dxa"/>
          </w:tcPr>
          <w:p w14:paraId="448626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w:t>
            </w:r>
          </w:p>
        </w:tc>
        <w:tc>
          <w:tcPr>
            <w:tcW w:w="1559" w:type="dxa"/>
          </w:tcPr>
          <w:p w14:paraId="6987DE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2FBDBE9" w14:textId="77777777" w:rsidTr="000D3BCB">
        <w:tc>
          <w:tcPr>
            <w:tcW w:w="3736" w:type="dxa"/>
          </w:tcPr>
          <w:p w14:paraId="7EEAE1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Завод № 8 (Москва) Наркомвооружения</w:t>
            </w:r>
          </w:p>
        </w:tc>
        <w:tc>
          <w:tcPr>
            <w:tcW w:w="1759" w:type="dxa"/>
          </w:tcPr>
          <w:p w14:paraId="13DB60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Воткинск</w:t>
            </w:r>
          </w:p>
        </w:tc>
        <w:tc>
          <w:tcPr>
            <w:tcW w:w="1559" w:type="dxa"/>
          </w:tcPr>
          <w:p w14:paraId="61FF87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з-д 235 </w:t>
            </w:r>
          </w:p>
        </w:tc>
      </w:tr>
      <w:tr w:rsidR="00643896" w:rsidRPr="00640820" w14:paraId="15E70C53" w14:textId="77777777" w:rsidTr="000D3BCB">
        <w:tc>
          <w:tcPr>
            <w:tcW w:w="3736" w:type="dxa"/>
          </w:tcPr>
          <w:p w14:paraId="333035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Завод № 392 НКВ</w:t>
            </w:r>
          </w:p>
        </w:tc>
        <w:tc>
          <w:tcPr>
            <w:tcW w:w="1759" w:type="dxa"/>
          </w:tcPr>
          <w:p w14:paraId="5B8781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w:t>
            </w:r>
          </w:p>
        </w:tc>
        <w:tc>
          <w:tcPr>
            <w:tcW w:w="1559" w:type="dxa"/>
          </w:tcPr>
          <w:p w14:paraId="787404B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w:t>
            </w:r>
          </w:p>
        </w:tc>
      </w:tr>
      <w:tr w:rsidR="00643896" w:rsidRPr="00640820" w14:paraId="64E41396" w14:textId="77777777" w:rsidTr="000D3BCB">
        <w:tc>
          <w:tcPr>
            <w:tcW w:w="3736" w:type="dxa"/>
          </w:tcPr>
          <w:p w14:paraId="5BD086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Дороховский стеклозавод Наркомпищепром СССР</w:t>
            </w:r>
          </w:p>
        </w:tc>
        <w:tc>
          <w:tcPr>
            <w:tcW w:w="1759" w:type="dxa"/>
          </w:tcPr>
          <w:p w14:paraId="69BA09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гор.Можга </w:t>
            </w:r>
          </w:p>
        </w:tc>
        <w:tc>
          <w:tcPr>
            <w:tcW w:w="1559" w:type="dxa"/>
          </w:tcPr>
          <w:p w14:paraId="211605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050C5EC" w14:textId="77777777" w:rsidTr="000D3BCB">
        <w:tc>
          <w:tcPr>
            <w:tcW w:w="3736" w:type="dxa"/>
          </w:tcPr>
          <w:p w14:paraId="1CD050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Ромодановский химзавод Наркомлегпром СССР</w:t>
            </w:r>
          </w:p>
        </w:tc>
        <w:tc>
          <w:tcPr>
            <w:tcW w:w="1759" w:type="dxa"/>
          </w:tcPr>
          <w:p w14:paraId="7EB158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w:t>
            </w:r>
          </w:p>
        </w:tc>
        <w:tc>
          <w:tcPr>
            <w:tcW w:w="1559" w:type="dxa"/>
          </w:tcPr>
          <w:p w14:paraId="74A95C8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025441D" w14:textId="77777777" w:rsidTr="000D3BCB">
        <w:tc>
          <w:tcPr>
            <w:tcW w:w="3736" w:type="dxa"/>
          </w:tcPr>
          <w:p w14:paraId="55C5BE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Стеклозавод «Пролетарий Наркомлегпром СССР</w:t>
            </w:r>
          </w:p>
        </w:tc>
        <w:tc>
          <w:tcPr>
            <w:tcW w:w="1759" w:type="dxa"/>
          </w:tcPr>
          <w:p w14:paraId="1E36D1E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w:t>
            </w:r>
          </w:p>
        </w:tc>
        <w:tc>
          <w:tcPr>
            <w:tcW w:w="1559" w:type="dxa"/>
          </w:tcPr>
          <w:p w14:paraId="381EC9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завод «Свет» </w:t>
            </w:r>
          </w:p>
        </w:tc>
      </w:tr>
      <w:tr w:rsidR="00643896" w:rsidRPr="00640820" w14:paraId="229939ED" w14:textId="77777777" w:rsidTr="000D3BCB">
        <w:tc>
          <w:tcPr>
            <w:tcW w:w="3736" w:type="dxa"/>
          </w:tcPr>
          <w:p w14:paraId="00B2D5B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Гдовский спиртозавод Наркомпищепром СССР</w:t>
            </w:r>
          </w:p>
        </w:tc>
        <w:tc>
          <w:tcPr>
            <w:tcW w:w="1759" w:type="dxa"/>
          </w:tcPr>
          <w:p w14:paraId="67BE9F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ст.Балезино </w:t>
            </w:r>
          </w:p>
        </w:tc>
        <w:tc>
          <w:tcPr>
            <w:tcW w:w="1559" w:type="dxa"/>
          </w:tcPr>
          <w:p w14:paraId="16F07A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C4055C2" w14:textId="77777777" w:rsidTr="000D3BCB">
        <w:tc>
          <w:tcPr>
            <w:tcW w:w="3736" w:type="dxa"/>
          </w:tcPr>
          <w:p w14:paraId="6B500B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Московский мех.маш.институт им.Баумана НКВ</w:t>
            </w:r>
          </w:p>
        </w:tc>
        <w:tc>
          <w:tcPr>
            <w:tcW w:w="1759" w:type="dxa"/>
          </w:tcPr>
          <w:p w14:paraId="78D0FF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г.Ижевск </w:t>
            </w:r>
          </w:p>
        </w:tc>
        <w:tc>
          <w:tcPr>
            <w:tcW w:w="1559" w:type="dxa"/>
          </w:tcPr>
          <w:p w14:paraId="04F6D4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731AC22" w14:textId="77777777" w:rsidTr="000D3BCB">
        <w:tc>
          <w:tcPr>
            <w:tcW w:w="3736" w:type="dxa"/>
          </w:tcPr>
          <w:p w14:paraId="1B26A6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3-й Моск[овский]мединститут НКВ РСФСР</w:t>
            </w:r>
          </w:p>
        </w:tc>
        <w:tc>
          <w:tcPr>
            <w:tcW w:w="1759" w:type="dxa"/>
          </w:tcPr>
          <w:p w14:paraId="34C011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w:t>
            </w:r>
          </w:p>
        </w:tc>
        <w:tc>
          <w:tcPr>
            <w:tcW w:w="1559" w:type="dxa"/>
          </w:tcPr>
          <w:p w14:paraId="477539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5F4BD44" w14:textId="77777777" w:rsidTr="000D3BCB">
        <w:tc>
          <w:tcPr>
            <w:tcW w:w="3736" w:type="dxa"/>
          </w:tcPr>
          <w:p w14:paraId="47A586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Дезинфекционный институт и лаборатория санитарно-химическ. </w:t>
            </w:r>
          </w:p>
        </w:tc>
        <w:tc>
          <w:tcPr>
            <w:tcW w:w="1759" w:type="dxa"/>
          </w:tcPr>
          <w:p w14:paraId="3432D4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w:t>
            </w:r>
          </w:p>
        </w:tc>
        <w:tc>
          <w:tcPr>
            <w:tcW w:w="1559" w:type="dxa"/>
          </w:tcPr>
          <w:p w14:paraId="1D1F54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НКЗ Сев.р.</w:t>
            </w:r>
          </w:p>
        </w:tc>
      </w:tr>
      <w:tr w:rsidR="00643896" w:rsidRPr="00640820" w14:paraId="30289221" w14:textId="77777777" w:rsidTr="000D3BCB">
        <w:tc>
          <w:tcPr>
            <w:tcW w:w="3736" w:type="dxa"/>
          </w:tcPr>
          <w:p w14:paraId="290DC4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Институт санитарного просвещения</w:t>
            </w:r>
          </w:p>
        </w:tc>
        <w:tc>
          <w:tcPr>
            <w:tcW w:w="1759" w:type="dxa"/>
          </w:tcPr>
          <w:p w14:paraId="1028F0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w:t>
            </w:r>
          </w:p>
        </w:tc>
        <w:tc>
          <w:tcPr>
            <w:tcW w:w="1559" w:type="dxa"/>
          </w:tcPr>
          <w:p w14:paraId="0DA28D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w:t>
            </w:r>
          </w:p>
        </w:tc>
      </w:tr>
      <w:tr w:rsidR="00643896" w:rsidRPr="00640820" w14:paraId="478014D0" w14:textId="77777777" w:rsidTr="000D3BCB">
        <w:tc>
          <w:tcPr>
            <w:tcW w:w="3736" w:type="dxa"/>
          </w:tcPr>
          <w:p w14:paraId="1F7ABC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Институт гигиены и санитарии</w:t>
            </w:r>
          </w:p>
        </w:tc>
        <w:tc>
          <w:tcPr>
            <w:tcW w:w="1759" w:type="dxa"/>
          </w:tcPr>
          <w:p w14:paraId="42A703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w:t>
            </w:r>
          </w:p>
        </w:tc>
        <w:tc>
          <w:tcPr>
            <w:tcW w:w="1559" w:type="dxa"/>
          </w:tcPr>
          <w:p w14:paraId="1C2B62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w:t>
            </w:r>
          </w:p>
        </w:tc>
      </w:tr>
      <w:tr w:rsidR="00643896" w:rsidRPr="00640820" w14:paraId="7B7CDA8E" w14:textId="77777777" w:rsidTr="000D3BCB">
        <w:tc>
          <w:tcPr>
            <w:tcW w:w="3736" w:type="dxa"/>
          </w:tcPr>
          <w:p w14:paraId="17AB58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Институт имени Эрисмана</w:t>
            </w:r>
          </w:p>
        </w:tc>
        <w:tc>
          <w:tcPr>
            <w:tcW w:w="1759" w:type="dxa"/>
          </w:tcPr>
          <w:p w14:paraId="23620C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w:t>
            </w:r>
          </w:p>
        </w:tc>
        <w:tc>
          <w:tcPr>
            <w:tcW w:w="1559" w:type="dxa"/>
          </w:tcPr>
          <w:p w14:paraId="038AB63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w:t>
            </w:r>
          </w:p>
        </w:tc>
      </w:tr>
      <w:tr w:rsidR="00643896" w:rsidRPr="00640820" w14:paraId="1C36ED94" w14:textId="77777777" w:rsidTr="000D3BCB">
        <w:tc>
          <w:tcPr>
            <w:tcW w:w="3736" w:type="dxa"/>
          </w:tcPr>
          <w:p w14:paraId="7FD968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Институт судебной медицины</w:t>
            </w:r>
          </w:p>
        </w:tc>
        <w:tc>
          <w:tcPr>
            <w:tcW w:w="1759" w:type="dxa"/>
          </w:tcPr>
          <w:p w14:paraId="528A09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w:t>
            </w:r>
          </w:p>
        </w:tc>
        <w:tc>
          <w:tcPr>
            <w:tcW w:w="1559" w:type="dxa"/>
          </w:tcPr>
          <w:p w14:paraId="14ABC1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w:t>
            </w:r>
          </w:p>
        </w:tc>
      </w:tr>
      <w:tr w:rsidR="00643896" w:rsidRPr="00640820" w14:paraId="3F9DD1A6" w14:textId="77777777" w:rsidTr="000D3BCB">
        <w:tc>
          <w:tcPr>
            <w:tcW w:w="3736" w:type="dxa"/>
          </w:tcPr>
          <w:p w14:paraId="024516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Институт травматологии и ортопедии</w:t>
            </w:r>
          </w:p>
        </w:tc>
        <w:tc>
          <w:tcPr>
            <w:tcW w:w="1759" w:type="dxa"/>
          </w:tcPr>
          <w:p w14:paraId="2F73FD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w:t>
            </w:r>
          </w:p>
        </w:tc>
        <w:tc>
          <w:tcPr>
            <w:tcW w:w="1559" w:type="dxa"/>
          </w:tcPr>
          <w:p w14:paraId="0FDD80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w:t>
            </w:r>
          </w:p>
        </w:tc>
      </w:tr>
      <w:tr w:rsidR="00643896" w:rsidRPr="00640820" w14:paraId="7B9ABE29" w14:textId="77777777" w:rsidTr="000D3BCB">
        <w:tc>
          <w:tcPr>
            <w:tcW w:w="3736" w:type="dxa"/>
          </w:tcPr>
          <w:p w14:paraId="2480A99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Тульский механический институт (частично) НКВ</w:t>
            </w:r>
          </w:p>
        </w:tc>
        <w:tc>
          <w:tcPr>
            <w:tcW w:w="1759" w:type="dxa"/>
          </w:tcPr>
          <w:p w14:paraId="76F7E3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w:t>
            </w:r>
          </w:p>
        </w:tc>
        <w:tc>
          <w:tcPr>
            <w:tcW w:w="1559" w:type="dxa"/>
          </w:tcPr>
          <w:p w14:paraId="1EECC0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w:t>
            </w:r>
          </w:p>
        </w:tc>
      </w:tr>
      <w:tr w:rsidR="00643896" w:rsidRPr="00640820" w14:paraId="2268FB4C" w14:textId="77777777" w:rsidTr="000D3BCB">
        <w:tc>
          <w:tcPr>
            <w:tcW w:w="3736" w:type="dxa"/>
          </w:tcPr>
          <w:p w14:paraId="7A7E29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Особое конструкт[орское] бюро № 15 г.Москвы -*-</w:t>
            </w:r>
          </w:p>
        </w:tc>
        <w:tc>
          <w:tcPr>
            <w:tcW w:w="1759" w:type="dxa"/>
          </w:tcPr>
          <w:p w14:paraId="551752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w:t>
            </w:r>
          </w:p>
        </w:tc>
        <w:tc>
          <w:tcPr>
            <w:tcW w:w="1559" w:type="dxa"/>
          </w:tcPr>
          <w:p w14:paraId="7AB590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w:t>
            </w:r>
          </w:p>
        </w:tc>
      </w:tr>
      <w:tr w:rsidR="00643896" w:rsidRPr="00640820" w14:paraId="2C345563" w14:textId="77777777" w:rsidTr="000D3BCB">
        <w:tc>
          <w:tcPr>
            <w:tcW w:w="3736" w:type="dxa"/>
          </w:tcPr>
          <w:p w14:paraId="307D4A4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Курский педагогический институт НКПром РСФСР</w:t>
            </w:r>
          </w:p>
        </w:tc>
        <w:tc>
          <w:tcPr>
            <w:tcW w:w="1759" w:type="dxa"/>
          </w:tcPr>
          <w:p w14:paraId="519784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г.Сарапул </w:t>
            </w:r>
          </w:p>
        </w:tc>
        <w:tc>
          <w:tcPr>
            <w:tcW w:w="1559" w:type="dxa"/>
          </w:tcPr>
          <w:p w14:paraId="3CBFFC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94B4AA4" w14:textId="77777777" w:rsidTr="000D3BCB">
        <w:tc>
          <w:tcPr>
            <w:tcW w:w="3736" w:type="dxa"/>
          </w:tcPr>
          <w:p w14:paraId="6EBC7D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Школа ВВС -*-</w:t>
            </w:r>
          </w:p>
        </w:tc>
        <w:tc>
          <w:tcPr>
            <w:tcW w:w="1759" w:type="dxa"/>
          </w:tcPr>
          <w:p w14:paraId="5020A2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w:t>
            </w:r>
          </w:p>
        </w:tc>
        <w:tc>
          <w:tcPr>
            <w:tcW w:w="1559" w:type="dxa"/>
          </w:tcPr>
          <w:p w14:paraId="0EF8C9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83EF000" w14:textId="77777777" w:rsidTr="000D3BCB">
        <w:tc>
          <w:tcPr>
            <w:tcW w:w="3736" w:type="dxa"/>
          </w:tcPr>
          <w:p w14:paraId="587B80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Вичугский Аэроклуб (г.Вичуг)</w:t>
            </w:r>
          </w:p>
        </w:tc>
        <w:tc>
          <w:tcPr>
            <w:tcW w:w="1759" w:type="dxa"/>
          </w:tcPr>
          <w:p w14:paraId="1505F8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[ИС] Осоавиахима г.Воткинск </w:t>
            </w:r>
          </w:p>
        </w:tc>
        <w:tc>
          <w:tcPr>
            <w:tcW w:w="1559" w:type="dxa"/>
          </w:tcPr>
          <w:p w14:paraId="211BF2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B6EEDBD" w14:textId="77777777" w:rsidTr="000D3BCB">
        <w:tc>
          <w:tcPr>
            <w:tcW w:w="3736" w:type="dxa"/>
          </w:tcPr>
          <w:p w14:paraId="318A13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Наркомхоз РСФСР НКоза РСФСР</w:t>
            </w:r>
          </w:p>
        </w:tc>
        <w:tc>
          <w:tcPr>
            <w:tcW w:w="1759" w:type="dxa"/>
          </w:tcPr>
          <w:p w14:paraId="1909DE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г.Сарапул </w:t>
            </w:r>
          </w:p>
        </w:tc>
        <w:tc>
          <w:tcPr>
            <w:tcW w:w="1559" w:type="dxa"/>
          </w:tcPr>
          <w:p w14:paraId="2AB7E2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AE13E5E" w14:textId="77777777" w:rsidTr="000D3BCB">
        <w:tc>
          <w:tcPr>
            <w:tcW w:w="3736" w:type="dxa"/>
          </w:tcPr>
          <w:p w14:paraId="19A352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Академия </w:t>
            </w:r>
          </w:p>
        </w:tc>
        <w:tc>
          <w:tcPr>
            <w:tcW w:w="1759" w:type="dxa"/>
          </w:tcPr>
          <w:p w14:paraId="29A51A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w:t>
            </w:r>
          </w:p>
        </w:tc>
        <w:tc>
          <w:tcPr>
            <w:tcW w:w="1559" w:type="dxa"/>
          </w:tcPr>
          <w:p w14:paraId="3DFDC0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CA816C2" w14:textId="77777777" w:rsidTr="000D3BCB">
        <w:tc>
          <w:tcPr>
            <w:tcW w:w="3736" w:type="dxa"/>
          </w:tcPr>
          <w:p w14:paraId="3E2266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Главдоруправление при СНК РСФСР </w:t>
            </w:r>
          </w:p>
        </w:tc>
        <w:tc>
          <w:tcPr>
            <w:tcW w:w="1759" w:type="dxa"/>
          </w:tcPr>
          <w:p w14:paraId="48B6B7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гор.Сарапул </w:t>
            </w:r>
          </w:p>
        </w:tc>
        <w:tc>
          <w:tcPr>
            <w:tcW w:w="1559" w:type="dxa"/>
          </w:tcPr>
          <w:p w14:paraId="24B8B2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AC16789" w14:textId="77777777" w:rsidTr="000D3BCB">
        <w:tc>
          <w:tcPr>
            <w:tcW w:w="3736" w:type="dxa"/>
          </w:tcPr>
          <w:p w14:paraId="377DEA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Орловская обувная ф[абри]ка </w:t>
            </w:r>
          </w:p>
        </w:tc>
        <w:tc>
          <w:tcPr>
            <w:tcW w:w="1759" w:type="dxa"/>
          </w:tcPr>
          <w:p w14:paraId="7495D6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w:t>
            </w:r>
          </w:p>
        </w:tc>
        <w:tc>
          <w:tcPr>
            <w:tcW w:w="1559" w:type="dxa"/>
          </w:tcPr>
          <w:p w14:paraId="3364BD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C64C0B6" w14:textId="77777777" w:rsidTr="000D3BCB">
        <w:tc>
          <w:tcPr>
            <w:tcW w:w="3736" w:type="dxa"/>
          </w:tcPr>
          <w:p w14:paraId="28ADC8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Торжокская обувная ф[абри]ка </w:t>
            </w:r>
          </w:p>
        </w:tc>
        <w:tc>
          <w:tcPr>
            <w:tcW w:w="1759" w:type="dxa"/>
          </w:tcPr>
          <w:p w14:paraId="2E0274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гор.Сарапул </w:t>
            </w:r>
          </w:p>
        </w:tc>
        <w:tc>
          <w:tcPr>
            <w:tcW w:w="1559" w:type="dxa"/>
          </w:tcPr>
          <w:p w14:paraId="2F431A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E560F5B" w14:textId="77777777" w:rsidTr="000D3BCB">
        <w:tc>
          <w:tcPr>
            <w:tcW w:w="3736" w:type="dxa"/>
          </w:tcPr>
          <w:p w14:paraId="0041E4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Васильковский кожзавод </w:t>
            </w:r>
          </w:p>
        </w:tc>
        <w:tc>
          <w:tcPr>
            <w:tcW w:w="1759" w:type="dxa"/>
          </w:tcPr>
          <w:p w14:paraId="7AFA23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w:t>
            </w:r>
          </w:p>
        </w:tc>
        <w:tc>
          <w:tcPr>
            <w:tcW w:w="1559" w:type="dxa"/>
          </w:tcPr>
          <w:p w14:paraId="691DFBE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8AFF034" w14:textId="77777777" w:rsidTr="000D3BCB">
        <w:tc>
          <w:tcPr>
            <w:tcW w:w="3736" w:type="dxa"/>
          </w:tcPr>
          <w:p w14:paraId="0697FD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Группа ленинградских музеев </w:t>
            </w:r>
          </w:p>
        </w:tc>
        <w:tc>
          <w:tcPr>
            <w:tcW w:w="1759" w:type="dxa"/>
          </w:tcPr>
          <w:p w14:paraId="0FE924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w:t>
            </w:r>
          </w:p>
        </w:tc>
        <w:tc>
          <w:tcPr>
            <w:tcW w:w="1559" w:type="dxa"/>
          </w:tcPr>
          <w:p w14:paraId="7E2C68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BEFC267" w14:textId="77777777" w:rsidTr="000D3BCB">
        <w:tc>
          <w:tcPr>
            <w:tcW w:w="3736" w:type="dxa"/>
          </w:tcPr>
          <w:p w14:paraId="609EA8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Орловский с/х техникум </w:t>
            </w:r>
          </w:p>
        </w:tc>
        <w:tc>
          <w:tcPr>
            <w:tcW w:w="1759" w:type="dxa"/>
          </w:tcPr>
          <w:p w14:paraId="41A2A8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w:t>
            </w:r>
          </w:p>
        </w:tc>
        <w:tc>
          <w:tcPr>
            <w:tcW w:w="1559" w:type="dxa"/>
          </w:tcPr>
          <w:p w14:paraId="182E1B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AA47F64" w14:textId="77777777" w:rsidTr="000D3BCB">
        <w:tc>
          <w:tcPr>
            <w:tcW w:w="3736" w:type="dxa"/>
          </w:tcPr>
          <w:p w14:paraId="7801D0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 Проектное бюро строительства № 316</w:t>
            </w:r>
          </w:p>
        </w:tc>
        <w:tc>
          <w:tcPr>
            <w:tcW w:w="1759" w:type="dxa"/>
          </w:tcPr>
          <w:p w14:paraId="78A675E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w:t>
            </w:r>
          </w:p>
        </w:tc>
        <w:tc>
          <w:tcPr>
            <w:tcW w:w="1559" w:type="dxa"/>
          </w:tcPr>
          <w:p w14:paraId="250562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28DAF6A" w14:textId="77777777" w:rsidTr="000D3BCB">
        <w:tc>
          <w:tcPr>
            <w:tcW w:w="3736" w:type="dxa"/>
          </w:tcPr>
          <w:p w14:paraId="73B80A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Особая строит[ельно]-монтаж[ная]часть № 3</w:t>
            </w:r>
          </w:p>
        </w:tc>
        <w:tc>
          <w:tcPr>
            <w:tcW w:w="1759" w:type="dxa"/>
          </w:tcPr>
          <w:p w14:paraId="766B3A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w:t>
            </w:r>
          </w:p>
        </w:tc>
        <w:tc>
          <w:tcPr>
            <w:tcW w:w="1559" w:type="dxa"/>
          </w:tcPr>
          <w:p w14:paraId="0AC0D3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45952C0" w14:textId="77777777" w:rsidTr="000D3BCB">
        <w:tc>
          <w:tcPr>
            <w:tcW w:w="3736" w:type="dxa"/>
          </w:tcPr>
          <w:p w14:paraId="308F4A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Строит[ельная]контора № 6 НКАП </w:t>
            </w:r>
          </w:p>
        </w:tc>
        <w:tc>
          <w:tcPr>
            <w:tcW w:w="1759" w:type="dxa"/>
          </w:tcPr>
          <w:p w14:paraId="042343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w:t>
            </w:r>
          </w:p>
        </w:tc>
        <w:tc>
          <w:tcPr>
            <w:tcW w:w="1559" w:type="dxa"/>
          </w:tcPr>
          <w:p w14:paraId="57E7D8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793E4DC" w14:textId="77777777" w:rsidTr="000D3BCB">
        <w:tc>
          <w:tcPr>
            <w:tcW w:w="3736" w:type="dxa"/>
          </w:tcPr>
          <w:p w14:paraId="21C887A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2-я строит[ельная]контора 48 Треста Наркомстроя</w:t>
            </w:r>
          </w:p>
        </w:tc>
        <w:tc>
          <w:tcPr>
            <w:tcW w:w="1759" w:type="dxa"/>
          </w:tcPr>
          <w:p w14:paraId="250843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w:t>
            </w:r>
          </w:p>
        </w:tc>
        <w:tc>
          <w:tcPr>
            <w:tcW w:w="1559" w:type="dxa"/>
          </w:tcPr>
          <w:p w14:paraId="4918CD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6044DF6" w14:textId="77777777" w:rsidTr="000D3BCB">
        <w:tc>
          <w:tcPr>
            <w:tcW w:w="3736" w:type="dxa"/>
          </w:tcPr>
          <w:p w14:paraId="5FBF9E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НИИ Спиртовой промышленности </w:t>
            </w:r>
          </w:p>
        </w:tc>
        <w:tc>
          <w:tcPr>
            <w:tcW w:w="1759" w:type="dxa"/>
          </w:tcPr>
          <w:p w14:paraId="5541674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w:t>
            </w:r>
          </w:p>
        </w:tc>
        <w:tc>
          <w:tcPr>
            <w:tcW w:w="1559" w:type="dxa"/>
          </w:tcPr>
          <w:p w14:paraId="492405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6C05B45" w14:textId="77777777" w:rsidTr="000D3BCB">
        <w:tc>
          <w:tcPr>
            <w:tcW w:w="3736" w:type="dxa"/>
          </w:tcPr>
          <w:p w14:paraId="6E2F89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Унжинская лесоустроительная экспедиция </w:t>
            </w:r>
          </w:p>
        </w:tc>
        <w:tc>
          <w:tcPr>
            <w:tcW w:w="1759" w:type="dxa"/>
          </w:tcPr>
          <w:p w14:paraId="30B3D6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w:t>
            </w:r>
          </w:p>
        </w:tc>
        <w:tc>
          <w:tcPr>
            <w:tcW w:w="1559" w:type="dxa"/>
          </w:tcPr>
          <w:p w14:paraId="7E275A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4F14CF9" w14:textId="77777777" w:rsidTr="000D3BCB">
        <w:tc>
          <w:tcPr>
            <w:tcW w:w="3736" w:type="dxa"/>
          </w:tcPr>
          <w:p w14:paraId="5C7A46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Эвакогоспиталь № 2695 </w:t>
            </w:r>
          </w:p>
        </w:tc>
        <w:tc>
          <w:tcPr>
            <w:tcW w:w="1759" w:type="dxa"/>
          </w:tcPr>
          <w:p w14:paraId="59EF6D9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w:t>
            </w:r>
          </w:p>
        </w:tc>
        <w:tc>
          <w:tcPr>
            <w:tcW w:w="1559" w:type="dxa"/>
          </w:tcPr>
          <w:p w14:paraId="514B68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31374C0" w14:textId="77777777" w:rsidTr="000D3BCB">
        <w:tc>
          <w:tcPr>
            <w:tcW w:w="3736" w:type="dxa"/>
          </w:tcPr>
          <w:p w14:paraId="4822DB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Эвакогоспиталь № 2890 </w:t>
            </w:r>
          </w:p>
        </w:tc>
        <w:tc>
          <w:tcPr>
            <w:tcW w:w="1759" w:type="dxa"/>
          </w:tcPr>
          <w:p w14:paraId="7C4E7E8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w:t>
            </w:r>
          </w:p>
        </w:tc>
        <w:tc>
          <w:tcPr>
            <w:tcW w:w="1559" w:type="dxa"/>
          </w:tcPr>
          <w:p w14:paraId="6A59D3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E03730C" w14:textId="77777777" w:rsidTr="000D3BCB">
        <w:tc>
          <w:tcPr>
            <w:tcW w:w="3736" w:type="dxa"/>
          </w:tcPr>
          <w:p w14:paraId="6C7293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Завод Армалит </w:t>
            </w:r>
          </w:p>
        </w:tc>
        <w:tc>
          <w:tcPr>
            <w:tcW w:w="1759" w:type="dxa"/>
          </w:tcPr>
          <w:p w14:paraId="028DFC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w:t>
            </w:r>
          </w:p>
        </w:tc>
        <w:tc>
          <w:tcPr>
            <w:tcW w:w="1559" w:type="dxa"/>
          </w:tcPr>
          <w:p w14:paraId="1C23A1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8C0ED65" w14:textId="77777777" w:rsidTr="000D3BCB">
        <w:tc>
          <w:tcPr>
            <w:tcW w:w="3736" w:type="dxa"/>
          </w:tcPr>
          <w:p w14:paraId="05614C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Архитектурно-планиров. мастерск. НКХ РСФСР </w:t>
            </w:r>
          </w:p>
        </w:tc>
        <w:tc>
          <w:tcPr>
            <w:tcW w:w="1759" w:type="dxa"/>
          </w:tcPr>
          <w:p w14:paraId="00C4A7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w:t>
            </w:r>
          </w:p>
        </w:tc>
        <w:tc>
          <w:tcPr>
            <w:tcW w:w="1559" w:type="dxa"/>
          </w:tcPr>
          <w:p w14:paraId="135902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7A2ABF7" w14:textId="77777777" w:rsidTr="000D3BCB">
        <w:tc>
          <w:tcPr>
            <w:tcW w:w="3736" w:type="dxa"/>
            <w:tcBorders>
              <w:bottom w:val="single" w:sz="12" w:space="0" w:color="auto"/>
            </w:tcBorders>
          </w:tcPr>
          <w:p w14:paraId="7C6010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Управл[ение] Промкооперации при СНК РСФСР </w:t>
            </w:r>
          </w:p>
        </w:tc>
        <w:tc>
          <w:tcPr>
            <w:tcW w:w="1759" w:type="dxa"/>
            <w:tcBorders>
              <w:bottom w:val="single" w:sz="12" w:space="0" w:color="auto"/>
            </w:tcBorders>
          </w:tcPr>
          <w:p w14:paraId="0C5F0D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w:t>
            </w:r>
          </w:p>
        </w:tc>
        <w:tc>
          <w:tcPr>
            <w:tcW w:w="1559" w:type="dxa"/>
            <w:tcBorders>
              <w:bottom w:val="single" w:sz="12" w:space="0" w:color="auto"/>
            </w:tcBorders>
          </w:tcPr>
          <w:p w14:paraId="3583AD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bl>
    <w:p w14:paraId="56ABCE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отдела по хозустройству эваконаселения при СНК УАССР /Широбоков/</w:t>
      </w:r>
    </w:p>
    <w:p w14:paraId="1814CEA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ЦГА УР, ф. Р-755, оп.3, д.2, л.43-44 (11289).</w:t>
      </w:r>
    </w:p>
    <w:p w14:paraId="714805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 концу декабря 1941 г. в республику прибыло 65 различных предприятий и организаций, в том числе 49 промышленных предприятий (Удмуртия в Великой Отечественной войне 1941-1945 гг.: Сборник документов. - Ижевск, 1995. С.319-325) из Харькова, Тулы, Москвы, Одессы, Мелитополя, Киева и других городов Советского Союза. Большинство из них слилось с уже действовавшими фабриками и заводами в Ижевске, Воткинске, Сарапуле и Глазове, часть разместилась на специально отведенных площадях. Среди них: Мелитопольская швейная фабрика (она расположилась на территории Ижевской швейной фабрики; заработала в ноябре 1941 г.), обувные фабрики Харькова, Орла, Торжка (расположились на территории Сарапульского кожкомбината). 8 июля 1941 г. в г. Воткинск прибыл первый эшелон с оборудованием и рабочими Киевского завода № 393 (последний эшелон прибыл 5 сентября 1941 г.). Всего прибыло 10114 человек, из них 3817 - рабочих. Прибывшее население было размещено на частных квартирах, в специально построенных жилых домах и бараках. Общежития отличались скученностью, сплошной антисанитарией и фактически не соответствовали элементарным условиям проживания. В этом же месяце произошло слияние эвакуированного завода с Воткинским машиностроительным заводом (№ 235). Часть оборудования была размещена в действующих цехах. В августе Киевский завод начал работу. Из оборонной продукции с августа по декабрь 1941 г. Воткинский завод производил: 152-мм. гаубицу М-10 образца 1938 г., 107-мм. горно-вьючный полковой миномет, 45-мм. противотанковую пушку, 45-мм. танковую пушку. В 1942 г. дополнительно производились: 45-мм. морская пушка, авиационно-осколочная бомба АО-25, мина для 120-мм. миномета. Осенью 1941 г., когда шли бои под Москвой, в Сарапул прибыли первые эшелоны с оборудованием Московского радиозавода им. Орджоникидзе. Город не располагал подходящим зданием для такого крупного предприятия, и под механические цехи завода были приспособлены летние павильоны городского рынка, а остальные цехи разместили в столярной мастерской горпромторга, артели им. 14 лет Октября, в производственных мастерских Наркомата соцобеспечения. Но все эти помещения по своим размерам не превышали и половины требуемой площади до полного восстановления завода. Под 40-градусные морозы развернулось строительство производственных корпусов. Круглые сутки шел монтаж оборудования. В годы войны завод снабжал армию современной аппаратурой. Радиостанциями, сделанными на Сарапульском заводе, были оснащены все советские танки Т-34. Ижевский металлургический завод выполнял заказы наркоматов авиационной, тяжелой промышленности, вооружения, военно-воздушных сил по литью разных сортов стали, производству деталей к военной технике. Его продукцию получали 150 предприятий страны. В связи с эвакуацией в г. Ижевск Тульского оружейного завода ведущую роль по производству стрелково-пушечного вооружения стал играть Ижевский машиностроительный завод. В июле 1942 г. Ижевский машиностроительный завод (№ 74) был разделен на 2 завода: Ижевский машиностроительный завод (№ 74) и Ижевский механический завод (№ 622). Вновь организованный завод на базе Тульского завода производил противотанковое ружье Дегтярева (ПТРД), противотанковое ружье Симонова ( ПТРС - его производство было переведено с Ижевского машиностроительного завода (№ 74) в июле 1942 г.), пистолет «Тульский Токарев» (ТТ), револьвер «Наган» (его производство было начато в мае 1942 г. на устаревшем оборудовании, эвакуированном из Тулы; в ноябре завод приступил к выпуску и сборке «Нагана» из деталей собственного производства - до этого момента проводилась сборка из готовых деталей эвакуированных с незавершенным производством из г. Тулы), осветительный пистолет, запальную трубку Норденфельда. В июне-июле 1941 г. в Камбарку начало поступать оборудование заводов, эвакуированных из Очаково и Петрозаводска. Основным видом продукции завода была автоцистерна для перевозки бензина, солярки. Так же производились коробки к противогазам, дымовые шашки (Камбарка: Документы, материалы. 1741-2002.- Ижевск, 2004. С.245-246). </w:t>
      </w:r>
    </w:p>
    <w:p w14:paraId="72F79D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Помимо конвеерного выпуска продукции на заводах проводились и ее усовершенствования, способствовавшие удобству в эксплуатации, безотказности действий. Так, в 1944 г. на Ижевском механическом заводе (№ 622) по инициативе самого завода была проведена работа по модернизации пистолета ТТ с целью увеличения емкости магазина с 8 до 16 патронов. В феврале 1945 г. начался выпуск спортивно-пневматического пистолета (ежемесячно выпускалось до 28 тыс. шт.) и охотничьего капкана (до 4,5 тыс. шт.). Также производились малокалиберные пистолеты, тракторные детали. На предприятиях местной промышленности республики выпускались: сани, лыжи, лыжные палки, черенки к пехотным и саперным лопатам, патронташи, валенки, гимнастерки, шаровары, халаты, простыни, нательное белье, полупальто, шубы, шапки-ушанки, меховые рукавицы, ремни, пуговицы. Предприятия лесной промышленности УАССР заготавливали лес (авиа-сосну, авиа-березу, ружберезу, лыжберезу) (11839).</w:t>
      </w:r>
    </w:p>
    <w:p w14:paraId="205456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E743B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года среднемесячные объемы производства стали в СССР по сравнению с июнем упали в три раза (до 22,6 тыс. тонн), чугуна – в 4,3 раза (до 12,1 тыс. тонн), проката – в 3,2 раза (до 15 тыс. тонн). Поражения советских войск летом 1941 года и эвакуация производств из западных районов привели к тому, что к осени 1941 года советская металлургия попала в тяжелую ситуацию. Всего до конца этого года у металлургической индустрии СССР из производственной цепочки "выпало" 124 коксовых батареи, 61 доменная печь, 204 мартена и 16 конвертеров, 164 прокатных стана. Это было то оборудование, которое либо осталось на оккупированной территории, либо находилось в эвакуации, и не было введено заново в строй. По факту страна потеряла почти две трети своего производства чугуна, более половины выплавки стали и выпуска проката.</w:t>
      </w:r>
    </w:p>
    <w:p w14:paraId="2C2726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И несмотря на то, что советские металлурги на НТМК, КМК и Магнитке нашли выход в области производства броневой стали, сам «дуплекс-процесс» был очень затратным и долгим, приводящим по факту к снижению совокупных сталеплавильных мощностей оборудования. Если обычная плавка в мартене шла около 4-6 часов, что позволяло с каждого мартена ежедневно получать в идеальном варианте по 4-6 плавок (400-600 тонн металла со стотонной печи в сутки), то при дуплекс-процессе конечную продукцию из двух мартенов давал лишь один (первый готовил шихту), а сама плавка растягивалась до 20 часов. Даже после ввода на НТМК в строй еще одного мартена в августе 1941 года ситуация ненамного улучшилась. Хуже всего было то, что такие плавки разрушающе воздействовали на футеровку мартенов. Фактически после каждой из них требовалась продолжительная заправка и наварка откосов и подины мартена. </w:t>
      </w:r>
    </w:p>
    <w:p w14:paraId="75048B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Между тем для Уралвагонзавода требовалось больше броневого проката, а наркомат приказывал увеличить объем выплавки стали. Внедрение плавки броневой стали в трех мартенах методом диффузного раскисления сам процесс ускорило, но ненамного, поскольку теперь каждая печь варила сталь в течение 12-14 часов. Поэтому в конце 1941 года в силу этого, а также нехватки легирующих металлов (в первую очередь малоуглеродистого феррохрома и никеля) на НТМК перешли на производство в обычных мартенах стали марки «ИЗ». Сталь этой марки подвергалась предварительному раскислению в печи слабым ферросилицием, а легирование производилось ферромарганцем, ферромолибденом и 75% ферросилицием. </w:t>
      </w:r>
    </w:p>
    <w:p w14:paraId="4A5D0C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Прокатанные из этой стали листы оперативно испытали на полигоне у Алапаевской железной дороги и военная комиссия сочла их годными. Впрочем, другого выбора у нее не было - в стране был дефицит броневой стали. По признаниям самих металлургов, бронестойкость этой стали была значительно ниже стандартных хромомолибденовых сортов, которые варили дуплексным способом. Поскольку подробных исследований о качестве советской броневой стали в годы ВОВы пока нет, вопрос о том, каковы же были ее реальные характеристики остается открытым. На Уралвагонзаводе, куда поставлял лист НТМК, из него делали корпус танков Т-34 (11514).</w:t>
      </w:r>
    </w:p>
    <w:p w14:paraId="6EA717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B375E24"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декабрь 1941 г. с июня среднесуточное производство продукции черной металлургии предприятиями наркоматов военной промышленности и НКЧермета сократилось, в среднем, в три раза.</w:t>
      </w:r>
    </w:p>
    <w:p w14:paraId="36235688"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Среднесуточное производство металла во второй половине 1941 г. (тыс. тонн)</w:t>
      </w:r>
    </w:p>
    <w:tbl>
      <w:tblPr>
        <w:tblW w:w="0" w:type="auto"/>
        <w:tblInd w:w="250" w:type="dxa"/>
        <w:shd w:val="clear" w:color="auto" w:fill="FFFFFF"/>
        <w:tblCellMar>
          <w:top w:w="15" w:type="dxa"/>
          <w:left w:w="15" w:type="dxa"/>
          <w:bottom w:w="15" w:type="dxa"/>
          <w:right w:w="15" w:type="dxa"/>
        </w:tblCellMar>
        <w:tblLook w:val="04A0" w:firstRow="1" w:lastRow="0" w:firstColumn="1" w:lastColumn="0" w:noHBand="0" w:noVBand="1"/>
      </w:tblPr>
      <w:tblGrid>
        <w:gridCol w:w="711"/>
        <w:gridCol w:w="580"/>
        <w:gridCol w:w="650"/>
        <w:gridCol w:w="822"/>
        <w:gridCol w:w="752"/>
        <w:gridCol w:w="690"/>
        <w:gridCol w:w="752"/>
      </w:tblGrid>
      <w:tr w:rsidR="00643896" w:rsidRPr="00640820" w14:paraId="1C7D0AE8" w14:textId="77777777" w:rsidTr="00FA2FD1">
        <w:tc>
          <w:tcPr>
            <w:tcW w:w="711"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04BB75E1" w14:textId="77777777" w:rsidR="00895A6E" w:rsidRPr="00640820" w:rsidRDefault="00895A6E" w:rsidP="00640820">
            <w:pPr>
              <w:spacing w:after="0" w:line="240" w:lineRule="auto"/>
              <w:jc w:val="both"/>
              <w:rPr>
                <w:rFonts w:ascii="Times New Roman" w:hAnsi="Times New Roman"/>
                <w:color w:val="000000" w:themeColor="text1"/>
                <w:sz w:val="16"/>
                <w:szCs w:val="16"/>
              </w:rPr>
            </w:pPr>
          </w:p>
        </w:tc>
        <w:tc>
          <w:tcPr>
            <w:tcW w:w="0" w:type="auto"/>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6A5DD61"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июнь</w:t>
            </w:r>
          </w:p>
        </w:tc>
        <w:tc>
          <w:tcPr>
            <w:tcW w:w="0" w:type="auto"/>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42AA542"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август</w:t>
            </w:r>
          </w:p>
        </w:tc>
        <w:tc>
          <w:tcPr>
            <w:tcW w:w="0" w:type="auto"/>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3312B8B5"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сентябрь</w:t>
            </w:r>
          </w:p>
        </w:tc>
        <w:tc>
          <w:tcPr>
            <w:tcW w:w="0" w:type="auto"/>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044C886"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октябрь</w:t>
            </w:r>
          </w:p>
        </w:tc>
        <w:tc>
          <w:tcPr>
            <w:tcW w:w="0" w:type="auto"/>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19CDB58B"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ноябрь</w:t>
            </w:r>
          </w:p>
        </w:tc>
        <w:tc>
          <w:tcPr>
            <w:tcW w:w="0" w:type="auto"/>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03BA4887"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декабрь</w:t>
            </w:r>
          </w:p>
        </w:tc>
      </w:tr>
      <w:tr w:rsidR="00643896" w:rsidRPr="00640820" w14:paraId="12B40369" w14:textId="77777777" w:rsidTr="00FA2FD1">
        <w:tc>
          <w:tcPr>
            <w:tcW w:w="711"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0418320A"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Чугун</w:t>
            </w:r>
          </w:p>
        </w:tc>
        <w:tc>
          <w:tcPr>
            <w:tcW w:w="0" w:type="auto"/>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F444F40"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52,4</w:t>
            </w:r>
          </w:p>
        </w:tc>
        <w:tc>
          <w:tcPr>
            <w:tcW w:w="0" w:type="auto"/>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6AA104C4"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47,2</w:t>
            </w:r>
          </w:p>
        </w:tc>
        <w:tc>
          <w:tcPr>
            <w:tcW w:w="0" w:type="auto"/>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3E40CE16"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30,2</w:t>
            </w:r>
          </w:p>
        </w:tc>
        <w:tc>
          <w:tcPr>
            <w:tcW w:w="0" w:type="auto"/>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572EF7A2"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16,7</w:t>
            </w:r>
          </w:p>
        </w:tc>
        <w:tc>
          <w:tcPr>
            <w:tcW w:w="0" w:type="auto"/>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3FDEF34B"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12,6</w:t>
            </w:r>
          </w:p>
        </w:tc>
        <w:tc>
          <w:tcPr>
            <w:tcW w:w="0" w:type="auto"/>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67285E3C"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12,1</w:t>
            </w:r>
          </w:p>
        </w:tc>
      </w:tr>
      <w:tr w:rsidR="00643896" w:rsidRPr="00640820" w14:paraId="73B893C2" w14:textId="77777777" w:rsidTr="00FA2FD1">
        <w:tc>
          <w:tcPr>
            <w:tcW w:w="711"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1EF37DEE"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Сталь</w:t>
            </w:r>
          </w:p>
        </w:tc>
        <w:tc>
          <w:tcPr>
            <w:tcW w:w="0" w:type="auto"/>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E32E26F"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65,2</w:t>
            </w:r>
          </w:p>
        </w:tc>
        <w:tc>
          <w:tcPr>
            <w:tcW w:w="0" w:type="auto"/>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0125A767"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54,6</w:t>
            </w:r>
          </w:p>
        </w:tc>
        <w:tc>
          <w:tcPr>
            <w:tcW w:w="0" w:type="auto"/>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1C93BD43"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42,6</w:t>
            </w:r>
          </w:p>
        </w:tc>
        <w:tc>
          <w:tcPr>
            <w:tcW w:w="0" w:type="auto"/>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6AD07893"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28,2</w:t>
            </w:r>
          </w:p>
        </w:tc>
        <w:tc>
          <w:tcPr>
            <w:tcW w:w="0" w:type="auto"/>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5AAE7E73"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23,7</w:t>
            </w:r>
          </w:p>
        </w:tc>
        <w:tc>
          <w:tcPr>
            <w:tcW w:w="0" w:type="auto"/>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335D851"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22,6</w:t>
            </w:r>
          </w:p>
        </w:tc>
      </w:tr>
      <w:tr w:rsidR="00643896" w:rsidRPr="00640820" w14:paraId="258755E9" w14:textId="77777777" w:rsidTr="00FA2FD1">
        <w:tc>
          <w:tcPr>
            <w:tcW w:w="711"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0B096EE5"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Прокат</w:t>
            </w:r>
          </w:p>
        </w:tc>
        <w:tc>
          <w:tcPr>
            <w:tcW w:w="0" w:type="auto"/>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03EFEC96"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48,5</w:t>
            </w:r>
          </w:p>
        </w:tc>
        <w:tc>
          <w:tcPr>
            <w:tcW w:w="0" w:type="auto"/>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653DC1C"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w:t>
            </w:r>
          </w:p>
        </w:tc>
        <w:tc>
          <w:tcPr>
            <w:tcW w:w="0" w:type="auto"/>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A2FD8B0"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26,1</w:t>
            </w:r>
          </w:p>
        </w:tc>
        <w:tc>
          <w:tcPr>
            <w:tcW w:w="0" w:type="auto"/>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1898D2D3"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18,1</w:t>
            </w:r>
          </w:p>
        </w:tc>
        <w:tc>
          <w:tcPr>
            <w:tcW w:w="0" w:type="auto"/>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39DC97EF"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15,3</w:t>
            </w:r>
          </w:p>
        </w:tc>
        <w:tc>
          <w:tcPr>
            <w:tcW w:w="0" w:type="auto"/>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5EBD76E7"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15,0</w:t>
            </w:r>
          </w:p>
        </w:tc>
      </w:tr>
    </w:tbl>
    <w:p w14:paraId="53F784E4"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второй половине 1941 г. советская металлургическая промышленность лишилась 124 коксовых батарей, 61 доменных печей, 204 мартеновских печей, 16 конвертеров, 14 трубопрокатных станов, 150 прокатных станов. В декабре 1941 г. были намечены к восстановлению 15 мартеновских печей, 5 доменных печей, 7 коксовых батарей. Из данного перечня в декабре месяце 1941 г. удалось ввести только 2 прокатных стана на Ново-Тагильском и Магнитогорском металлургических заводах (18677).</w:t>
      </w:r>
    </w:p>
    <w:p w14:paraId="59B1EFF9" w14:textId="77777777" w:rsidR="00895A6E" w:rsidRPr="00640820" w:rsidRDefault="00895A6E" w:rsidP="00640820">
      <w:pPr>
        <w:spacing w:after="0" w:line="240" w:lineRule="auto"/>
        <w:jc w:val="both"/>
        <w:rPr>
          <w:rFonts w:ascii="Times New Roman" w:hAnsi="Times New Roman"/>
          <w:color w:val="000000" w:themeColor="text1"/>
          <w:sz w:val="16"/>
          <w:szCs w:val="16"/>
        </w:rPr>
      </w:pPr>
    </w:p>
    <w:p w14:paraId="1A5018CC" w14:textId="77777777" w:rsidR="00895A6E" w:rsidRPr="00640820" w:rsidRDefault="00895A6E"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декабре 1941 г. специалисты АН СССР в докладной записке руководству Госплана, предназначенной для служебного пользования, открыто признавали: «Существующая в СССР нефтепереработка сильно отстает от таковой в США по своей глубине и интенсивности. Выходы высокооктанового топлива низки (составляют единицы процента), так как основная масса его производится путем прямой гонки нефти...».В АН СССР полагали, что наилучшим решением проблемы был бы сделанный в США заказ на НПЗ по производству авиационного бензина. Незадолго до начала Второй мировой войны в США были разработаны технологические процессы, позволявшие существенно увеличить октановое число авиационного бензина, что резко повышало тактико-технические характеристики боевых самолетов. В основном в СССР производился для военной авиации бензин с октановым числом 74 и совсем немного — 78, в США — с октановым числом 100. По сравнению с 73-м октановым бензином, который применялся в авиации США в середине 1930-х годов, 100-й октановый бензин позволял на 20% уменьшить пробег самолетов до отрыва от земли, почти на 30% повысить бомбовую нагрузку, на 40% ускорить подъем самолетов на милю высоты (18394).</w:t>
      </w:r>
    </w:p>
    <w:p w14:paraId="0DD40ED2" w14:textId="77777777" w:rsidR="00895A6E" w:rsidRPr="00640820" w:rsidRDefault="00895A6E" w:rsidP="00640820">
      <w:pPr>
        <w:spacing w:after="0" w:line="240" w:lineRule="auto"/>
        <w:jc w:val="both"/>
        <w:rPr>
          <w:rFonts w:ascii="Times New Roman" w:hAnsi="Times New Roman"/>
          <w:color w:val="000000" w:themeColor="text1"/>
          <w:sz w:val="16"/>
          <w:szCs w:val="16"/>
        </w:rPr>
      </w:pPr>
    </w:p>
    <w:p w14:paraId="1B4957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строительство Бакальского завода (как Нижнетагильского металлургического и Богословского алюминиевого) было передано Управлению особого строительства НКВД (выступившее подрядчиком Наркомата черной металлургии), которое позже (в 1942 году) переименовали в Главпромстрой НКВД. С 7 августа 1942 года во всех официальных документах появляется Челябинский металлургический завод и, соответственно, Челябметаллургстрой. Строительство с начала 1942 годом также велось Востокметаллургстроем и Востокметаллургмонтажем. Основной рабочей силой ударной стройки, которую планировали завершить в рекордно короткие сроки, были - помимо мобилизованных рабочих и эвакуированных специалистов - "трудармейцы" и заключенные Бакаллага (действовал с января 1942 года, в августе 1942 года был переименован в Челяблаг при Бакалстрое Челябметаллургстроя НКВД СССР). Всего на конец 1942 года в этом лагере числилось 4600 зэков. К 1 января 1944 года их число выросло до 11,5 тыс. человек. Лагерь входил в систему Главпромстроя НКВД СССР, в 40-е годы у него было 8 основных объектов на Урале. На конец 1942 года в Главпромстрое НКВД на Урале числилось до 80 тыс. зэков (более 52% от их общей численности по стране в этом управлении). На 1 мая на Урале зэков Главпромстроя числилось около 55 тыс. человек. "Трудармейцами" в большинстве своем были репрессированные большевиками советские немцы и их статус, а также существование ничем не отличались от того, что было у "подопечных" системы ГУЛАГа (тем более, что трудармейцы располагались в лагпунктах ГУЛАГа и также охранялись) (11572).</w:t>
      </w:r>
    </w:p>
    <w:p w14:paraId="67AB88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AA06E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в Петропавловск были эвакуированы три завода из Москвы и Московской обл.- МЭИЗ, «Электроизолит» и «Изолит» и объединены в завод № 647 НКЭП (см. также завод № 675) (Завод № 647 НКЭП, Завод, ТОО «Изолит» /г. Петропавловск Северо-Казахстанской обл./ /Казахстан 150000  г. Петропавловск ул. Крепостная, 2/).</w:t>
      </w:r>
    </w:p>
    <w:p w14:paraId="37AF2F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электроизоляционных материалов на основе щипаной слюды и слюдопласта, а затем- и слюдинитовых бума г.</w:t>
      </w:r>
    </w:p>
    <w:p w14:paraId="56ABFD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Московский электроизоляционный завод (МЭИЗ) /г. Москва/</w:t>
      </w:r>
    </w:p>
    <w:p w14:paraId="1F234F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12.1941 г. завод эвакуирован в  г. Петропавловск и послужил основой для завода № 647 НКЭП и/или завода № 675 НКЭП.</w:t>
      </w:r>
    </w:p>
    <w:p w14:paraId="28AAA1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«Изолит» НКЭП /г. Москва/</w:t>
      </w:r>
    </w:p>
    <w:p w14:paraId="34F045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12.1941 г. завод эвакуирован в  г. Петропавловск и послужил основой для завода № 647 НКЭП и/или завода № 675 НКЭП.</w:t>
      </w:r>
    </w:p>
    <w:p w14:paraId="009DEC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«Изолит» НКЭП действовал в 11.1943 г.</w:t>
      </w:r>
    </w:p>
    <w:p w14:paraId="457DA6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картонные факелы для САБ (1938).</w:t>
      </w:r>
    </w:p>
    <w:p w14:paraId="0073CB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Хотьковский завод электроизоляционных материалов, Завод «Электроизолит», Р-6579 /г. Хотьково Московской обл./</w:t>
      </w:r>
    </w:p>
    <w:p w14:paraId="753FB8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12.1941 г. завод «Электроизолит» эвакуирован в Петропавловск и послужил основой для объединенного завода № 647 НКЭП и/или завода № 675 НКЭП.</w:t>
      </w:r>
    </w:p>
    <w:p w14:paraId="28A2AA8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Затем восстановлен на прежнем месте. Имел наименование «п/я Р-6579».</w:t>
      </w:r>
    </w:p>
    <w:p w14:paraId="0375F3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1960-х  г. совместно с заводом «Изолятор» по лицензии фирмы "</w:t>
      </w:r>
      <w:r w:rsidRPr="00640820">
        <w:rPr>
          <w:rFonts w:ascii="Times New Roman" w:hAnsi="Times New Roman"/>
          <w:color w:val="000000" w:themeColor="text1"/>
          <w:sz w:val="16"/>
          <w:szCs w:val="16"/>
          <w:lang w:val="en-US"/>
        </w:rPr>
        <w:t>Micaffl</w:t>
      </w:r>
      <w:r w:rsidRPr="00640820">
        <w:rPr>
          <w:rFonts w:ascii="Times New Roman" w:hAnsi="Times New Roman"/>
          <w:color w:val="000000" w:themeColor="text1"/>
          <w:sz w:val="16"/>
          <w:szCs w:val="16"/>
        </w:rPr>
        <w:t>" начат выпуск вводов на напряжение 110 кВ с твердой изоляцией (11982).</w:t>
      </w:r>
    </w:p>
    <w:p w14:paraId="5F0F8255" w14:textId="77777777" w:rsidR="00BA2517" w:rsidRPr="00640820" w:rsidRDefault="00BA2517" w:rsidP="00640820">
      <w:pPr>
        <w:autoSpaceDE w:val="0"/>
        <w:autoSpaceDN w:val="0"/>
        <w:adjustRightInd w:val="0"/>
        <w:spacing w:after="0" w:line="240" w:lineRule="auto"/>
        <w:jc w:val="both"/>
        <w:rPr>
          <w:rFonts w:ascii="Times New Roman" w:hAnsi="Times New Roman"/>
          <w:color w:val="000000" w:themeColor="text1"/>
          <w:sz w:val="16"/>
          <w:szCs w:val="16"/>
        </w:rPr>
      </w:pPr>
    </w:p>
    <w:p w14:paraId="7107EE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году на базе эвакуированных Московского электроизоляционного завода, Хотьковского завода электроизоляционных материалов и частично Московского завода «Изолит» (см. также завод № 647 НКЭП) был основан Завод № 675 НКЭП, Петропавловский завод электроизоляционных материалов им. Калинина, Группа компаний «Ликострой-ППЭИМ», ТОО «Петропавловское предприятие электроизоляционных материалов» (ППЭИМ) /Казахстан 150009  г. Петропавловск ул. Гашека, 40/ (11982).</w:t>
      </w:r>
    </w:p>
    <w:p w14:paraId="586280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5E98D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декакбре 1941 г. завод (Завод № 701 НКМВ /г. Электроугли Московской обл./ Кудиновский завод «Электроугли», ОАО «Кудиновский завод «Электроугли» /142455  г. Электроугли Ногинского р-на Московской обл. ул. Центральная, 110/) был восстановлен на прежнем месте. С его помощью были в дальнейшем созданы практически все отечественные предприятия электроугольной промышленности. Часть завода выделена в самостоятельный завод № 701 НКМВ.</w:t>
      </w:r>
    </w:p>
    <w:p w14:paraId="7BE200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 работы по порошковой металлургии.</w:t>
      </w:r>
    </w:p>
    <w:p w14:paraId="2841EF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 2.06.1983 г. по 11.09.1991 г. завод входил в состав ВНПО «Потенциал».</w:t>
      </w:r>
    </w:p>
    <w:p w14:paraId="04845F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(1918 г.)- В.И. Башков, (-1937 г.)- А. Г. Степанов, (1937-41 г.)- М.С. Постников, (1941-44 г.)- М.С. Калинцев, (1945-47 г.)- Ф.М. Прокопеня, (2000 г.)- А.Е. Кургашин, (2003 г.)- А.А. Примак.</w:t>
      </w:r>
    </w:p>
    <w:p w14:paraId="655C88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Всесоюзное НПО (ВНПО) «Потенциал», ОАО «Потенциал» /Украина 255100 с. Макаров Киевской обл. ул. Ватутина, 65 тел. 52-675/</w:t>
      </w:r>
    </w:p>
    <w:p w14:paraId="29E109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Было в 1971 г.</w:t>
      </w:r>
    </w:p>
    <w:p w14:paraId="393573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контрольно-проверочная аппаратура: системы курсовертикали; для регламентных работ по приборам; для техобслуживания систем траекторного и автоматического управления; полевой пульт для проверки выключателя коррекции курса (2002) (11982).</w:t>
      </w:r>
    </w:p>
    <w:p w14:paraId="528C6D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03E95A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года в Свердловске объединили Ленинградский НИИ-49, эвакуированный в Свердловск и НИИ-10, который сначала перевели в Сталинград, а затем тоже в Свердловск, присвоив общее наименование НИИ-10 (9921).</w:t>
      </w:r>
    </w:p>
    <w:p w14:paraId="2C0117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0F4C9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в Свердловске в состав НИИ-10 влился НИИ-49. В 08.1942 г. НИИ-10 реэвакуирован в Москву.</w:t>
      </w:r>
    </w:p>
    <w:p w14:paraId="09F2FF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1944 г.- разработка РЛС для ВМФ. С 1950-х г. – разработка корабельных ЗРК.</w:t>
      </w:r>
    </w:p>
    <w:p w14:paraId="4A522DB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создан отдел гироскопических приборов УР. Работы по гироприборам, как для морской техники, так и для ракетной (гл. конструктор- В.И. Кузнецов, до этого работавший в МНИИ-1).</w:t>
      </w:r>
    </w:p>
    <w:p w14:paraId="4DB001B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1950-60-е г. с помощью ведущих специалистов НИИ-10 созданы: Московский НИИ прикладной механики, Таганрогский НИИ связи. В 1955 г. на базе СКБ создан НИИГС.</w:t>
      </w:r>
    </w:p>
    <w:p w14:paraId="743FCE6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Входит в концерн «Алмаз-Антей» (2003 г.). По Указу Президента РФ № 1009 от 4.08.2004 г. вошло в число стратегических оборонных предприятий.</w:t>
      </w:r>
    </w:p>
    <w:p w14:paraId="4EDF4E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Работы (2005 г.): ЗРК ближней зоны обороны, а также обороны малых кораблей «Гибка» с ракетами «Игла».ВП-2/05 </w:t>
      </w:r>
    </w:p>
    <w:p w14:paraId="67C78D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(1933 г.) - Ф. Сучков, (1944 г.) - В.Д. Калмыков (затем- министр радопромышленности), (1960-е)- Н.П. Петелин. Ген. директор (-1999-2005 г.-) - С.А. Климов.</w:t>
      </w:r>
    </w:p>
    <w:p w14:paraId="6D9CE5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И.А. Игнатьев, (1969 г.) - В.А. Букатов, (1970-е)- Г.Н. Волгин, (1980-е)- С.А. Фадеев. Ген. конструктор (-1999-2005 г.-)- С.А. Климов.</w:t>
      </w:r>
    </w:p>
    <w:p w14:paraId="3718DF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Ген. конструктора (2004 г.)- С. Соколов.</w:t>
      </w:r>
    </w:p>
    <w:p w14:paraId="504152E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конструкторы: (1946 г.)- В.И. Кузнецов (гироприборы), Н.Н. Государов (ИГС-59), Смирнов (ИК ГСН для К-8), А.Ф. Шорин, В.Д. Калмыков, (1960-е)- М.П. Петелин («Астра», «Подснежник»), В.Ф. Измайлов, И.А. Игнатьев.</w:t>
      </w:r>
    </w:p>
    <w:p w14:paraId="751692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Создано: ИК ГСН: ИГС-59 для К-55, для К-8, 5Г42 (середина 1960-х); </w:t>
      </w:r>
    </w:p>
    <w:p w14:paraId="7DFD55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Корабельные ЗРК: М-1 «Волна» (пнв в 1962 г.), «Волна-М» (пнв в 1968 г.), «Волна-П» (пнв в 1976 г.); «Волна-Н» (пнв в 1984 г.); М-11 «Шторм» (пнв в 1969 г., «Шквал»-экспортный), «Шторм-М» (пнв в 1972 г.), «Шторм-Н» (пнв в 1986 г.); С-300Ф «Форт» (пнв в 1983 г.), «Форт-М» (пнв в 1990 г., "Риф"-экспортный); М-22 "Ураган" (пнв в 1983 г., "Штиль-1"- экспортный); "Клинок" (пнв в 1989 г., «Кинжал»-экспортный); «Каштан» (пнв в 1990 г., «Кортик»- экпортный); «Квант» (опытный, середина 1960-х);58 корабельная РЛС «Бином»; система управления: береговым комплексом «Редут», ККР П-35, УРПК-3 «Метель»;69 командно-измерительная система «Подснежник» для управления ИСЗ (1960-е), командно-траекторная радиолиния «Астра» (1960-е).77 </w:t>
      </w:r>
    </w:p>
    <w:p w14:paraId="7AD3E4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НИИ-10 МСП, Всесоюзный государственный Институт телемеханики и связи (ВГИТиС), Всесоюзный НИИ радиоэлектронники (ВНИИРЭ) МСП, ВНИИ, НПО "Альтаир", ГосНПО «Альтаир», ФГУП «НТК «Альтаир», ОАО «Морской НИИ радиоэлектроники (МНИИРЭ) «Альтаир»</w:t>
      </w:r>
    </w:p>
    <w:p w14:paraId="2DF25E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111024 г. Москва, ул. Авиамоторная, 57 тел. 273-14-32 (10776).</w:t>
      </w:r>
    </w:p>
    <w:p w14:paraId="462866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6EA61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в Свердловске эвакуированная часть НИИ-49 (НИИ-49 морской телемеханики и автоматики НКСП, МСП, ГКРЭ, ЦНИИПА (приборов автоматики), ЦНИИ «Гранит», Ленинградское НПО «Гранит» МСП, А-7284, ФГУП, ГНПЦ, ФНИЦ «ЦНИИ «Гранит» Россудостроения, ФГУП «ЦНИИ «Гранит» ФАП /191014  г. Санкт-Петербург ул. Госпитальная, 3 тел. 271-67-56,274-63-39/) влита в состав НИИ-10, и образован Свердловский филиал НИИ-10. В 10.1942 г. часть сотрудников НИИ-49 из Ленинграда переведена в Москву в распоряжение НИИ-10. В Ленинграде остался действовать филиал. В 10-11.1943 г. деятельность НИИ-49 восстановлена в Ленинграде. В 09.1944 г. из Свердловска возвратилась последняя группа работников.</w:t>
      </w:r>
    </w:p>
    <w:p w14:paraId="38B70C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Начата разработка аппаратуры специальных средств связи, наблюдения и автоматики для ВМФ. В годы ВОВ совместно с Уральским филиалом АН создан магнитометр для поиска затонувших судов (И.С. Монгейт).</w:t>
      </w:r>
      <w:r w:rsidRPr="00640820">
        <w:rPr>
          <w:rFonts w:ascii="Times New Roman" w:hAnsi="Times New Roman"/>
          <w:color w:val="000000" w:themeColor="text1"/>
          <w:sz w:val="16"/>
          <w:szCs w:val="16"/>
          <w:vertAlign w:val="superscript"/>
        </w:rPr>
        <w:t>61</w:t>
      </w:r>
    </w:p>
    <w:p w14:paraId="615458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годы войны действовала лаборатория специальной связи, занималась проблемами приема и передачи фототелеграфных изображений. В 1946 г. она реорганизована в отдел № 30. В его составе 4 лаборатории: передающих устройств, антенно-волноводных устройств, приемных устройств, индикаторных устройств; макетная мастерская, испытательные базы.</w:t>
      </w:r>
    </w:p>
    <w:p w14:paraId="7BE66E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институт стал одним из основных разработчиков РЛ средств для ВМФ, определен головным по созданию РЛС для ПЛ (и оставался единственным их разработчиком на 2005 г.).</w:t>
      </w:r>
    </w:p>
    <w:p w14:paraId="521B8C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Велись также работы по изучению и воспроизводству приборов автоматики для немецких УРС.</w:t>
      </w:r>
      <w:r w:rsidRPr="00640820">
        <w:rPr>
          <w:rFonts w:ascii="Times New Roman" w:hAnsi="Times New Roman"/>
          <w:color w:val="000000" w:themeColor="text1"/>
          <w:sz w:val="16"/>
          <w:szCs w:val="16"/>
          <w:vertAlign w:val="superscript"/>
        </w:rPr>
        <w:t>92</w:t>
      </w:r>
    </w:p>
    <w:p w14:paraId="05E630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1945 г. начата разработка корабельной аппаратуры «Факел» единой системы опознавания кораблей и самолетов «Кремний-1». В 04.1952 г. институту поручена разработка новой корабельной аппаратуры «Никель- Хром» единой системы опознавания «Кремний-2». В 1955-56 г. Проведена НИР «Утро» по модернизации системы опознавания.</w:t>
      </w:r>
    </w:p>
    <w:p w14:paraId="6ACE14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1947 г. в институте организован ученый совет, позже создан научно-технический совет.</w:t>
      </w:r>
    </w:p>
    <w:p w14:paraId="7EE317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1947 г. начата разработка систем управления ПКР, РЛ средств. С 1952 г. начата разработка СУ стрельбой противолодочным оружием и оружием самообороны. В соответствии с пост, правительства от 7(17).06.1947 г. начата разработка первой отечественной РЛС для ПЛ «Флаг». Совместно с ЦКБ-18 создано устройство для подъема, опускания и вращения антенны РЛС. Пост. СМ СССР от 14.06.1950 г. РЛС пив. Пост, правительства в 03.1955 г. задано создание РЛС «Касатка» для ПЛ пр. 613 для сверхдальнего обнаружения самолетов (на дальности до 190 км). Впервые антенна РЛС изготовлена из титана. Пост, правительства № 1176-567 от 24.10.1958 г. РЛС «Касатка» пнв.</w:t>
      </w:r>
    </w:p>
    <w:p w14:paraId="691AA3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1948-50 г. были проведены две НИР: «Флексия»- по исследованию противо-РЛ средств (руководитель-А.В. Григоров; зам. руководителя- И.Л. Коган); «Фиалка»- по созданию комбинированного антенного устройства (руководитель- Н.А. Илларионова; зам. руководителя- Т. Г. Колотова). В результате разработана станция обнаружения РЛ сигналов (СОРС) «Анкер», которая пост. СМ СССР в 09.1953 г. пнв. В 1959 г. для разработки приборов обнаружения излучений РЛС противника и средств противодействия был организован отдел № 130.</w:t>
      </w:r>
    </w:p>
    <w:p w14:paraId="3DF24C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правительства от 16.02.1949 г. начата разработка: навигационной РЛС «Веха», пост, от 16.10.1950 г. она пнв; малогабаритной РЛС «Заря» управления торпедной стрельбой для надводных кораблей, пост. СМ СССР от 14.09.1951 г. она пнв. В соответствии с пост, правительства от 3.10.1951 г. начата разработка универсальной РЛС «Рея» обнаружения и управления торпедной стрельбой, пост. СМ СССР в 09.1953 г. она пнв.</w:t>
      </w:r>
    </w:p>
    <w:p w14:paraId="1373D7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1951-56 г. проведены исследования в области миллиметровых волн, выполнены НИР: «Линза» по возможности создания </w:t>
      </w:r>
      <w:r w:rsidRPr="00640820">
        <w:rPr>
          <w:rFonts w:ascii="Times New Roman" w:hAnsi="Times New Roman"/>
          <w:color w:val="000000" w:themeColor="text1"/>
          <w:sz w:val="16"/>
          <w:szCs w:val="16"/>
          <w:lang w:val="en-US"/>
        </w:rPr>
        <w:t>PJIC</w:t>
      </w:r>
      <w:r w:rsidRPr="00640820">
        <w:rPr>
          <w:rFonts w:ascii="Times New Roman" w:hAnsi="Times New Roman"/>
          <w:color w:val="000000" w:themeColor="text1"/>
          <w:sz w:val="16"/>
          <w:szCs w:val="16"/>
        </w:rPr>
        <w:t xml:space="preserve"> 8-мм диапазона для ПЛ (руководитель- Н.Д. Файнштейн), создана РЛС «Буря»; «Окуляр» по возможности создания РЛС 6-мм диапазона с единой антенной (руководитель- А.Е. Исаев); «Буря».</w:t>
      </w:r>
    </w:p>
    <w:p w14:paraId="5E1B1C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правительства от 04.1953 г. о создании АЛЛ пр. 627 проведена НИР «Бухта» (руководитель- В.В. Павлов), результатом которой стало создание в 1956 г. РЛС «Призма».</w:t>
      </w:r>
    </w:p>
    <w:p w14:paraId="510F06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1950-х  г. в институт переведена группа специалистов по РЛС из ОКБ завода «Северный пресс».</w:t>
      </w:r>
    </w:p>
    <w:p w14:paraId="487240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 правительства в 08.1955 г. начата разработка специальной РЛС «Рангоут» для катеров.</w:t>
      </w:r>
    </w:p>
    <w:p w14:paraId="6211BD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СМ СССР от 08.1959 г. начата разработка поисковой РЛС для ПЛ «Залив». В соответствии с пост, правительства в 05.1961 г. начата разработка автоматизированного РЛК для ПЛ пр. 705 в составе станций «Чибис», «Бухта» и станции опознавания «Хром-КМА». В 1960-е  г. проведены НИР «Филин» (А.С. Чефранов) и «Причал» (В.Н. Пушкин). По их результатам в 1968 г. начата разработка малогабаритной РЛС обнаружения надводных целей «Корма». В 1966-71 г. проведены НИР: «Причал-1» по активным РЛС обнаружения надводных целей с повышенной скрытностью (В.Н. Пушкин), «Стог» и «Фал» по принципам построения СОРС 3-го поколения (А.П. Цветков). На их основе в соответствии с пост. СМ СССР от 02.1975 г. начата разработка РЛС «Радиан» в составе активной РЛС «Радиан-Купол» и СОРС «Радиан-Буран». В соответствии с пост. СМ СССР от 7.06.1978 г. начата разработка РЛС «Радиан-М» для ПЛ пр. 865.</w:t>
      </w:r>
    </w:p>
    <w:p w14:paraId="5D9CB6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СМ СССР от 05.1962 г. была создана опытная станция загоризонтной РЛ «Молния».</w:t>
      </w:r>
    </w:p>
    <w:p w14:paraId="60204C4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1962 г. из института в ЦНИИ-45 переведена группа специалистов по корабельной автоматике.</w:t>
      </w:r>
    </w:p>
    <w:p w14:paraId="521BDD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по морскому приборостроению, гироскопической технике. Принимал участие (совместно со СНИИП) в разработке аппаратуры по выявлению радионуклидов в морской воде. Работы по выявлению аномалий гидрофизических полей морской среды (Б.И. Виленкин).</w:t>
      </w:r>
    </w:p>
    <w:p w14:paraId="12189A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Проведены НИР: «Магнолия», «Яшма», «Модуль», «Микрон», «Кристалл», «Решетка», «Линия», «Энергия», «Модулятор», «Документ», «Гроза», «Ванга», «Лена», «Шихта», «Меганом», «Эталон», «Фал», «Линза».</w:t>
      </w:r>
    </w:p>
    <w:p w14:paraId="54FD2C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1965 г. создано 2-е отделение института (работы по радиолокации).</w:t>
      </w:r>
    </w:p>
    <w:p w14:paraId="0FAD7E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1958 г. институт передан в ведение ГКРЭ. В 1966 г. НИИ-49 переименован в ЦНИИПА, в 1971 г. - в ЦНИИ «Гранит». В 1973(4)-90 г. ЦНИИ «Гранит»- головное предприятие Ленинградского НПО «Гранит», в которое вошли также заводы им. А.А. Кулакова, «Северный пресс», «Омега» и ЦКБ «Полюс». НПО имело наименование «п/я А-7284». 14.02.1997 г. ЦНИИ «Гранит» получил статус ФНПЦ, в этом же году он преобразован в ФГУП. В 2003 г. вошел в образованный Концерн «Гранит-Электрон». В начале 2000-х  г. имел статус ГНПЦ. В 2004 г. назывался Федеральный научно-исследовательский центр (ФНИЦ) «ЦНИИ «Гранит», в 2005 г.- ФГУП «ЦНИИ «Гранит». 18.05.2006 г. ФГУП «ЦНИИ «Гранит» преобразовано в ОАО «Концерн «Гранит-Электрон», в состав Концерна вошли ОАО «Северный пресс», ОАО «Завод им. А.А. Кулакова» и ОАО «Равенство».</w:t>
      </w:r>
    </w:p>
    <w:p w14:paraId="0DDEE5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Действовал филиал института - НПП «Гранит-Спецтехника».</w:t>
      </w:r>
    </w:p>
    <w:p w14:paraId="3B29E1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1981 г. (и в 2000-е) велись работы по разработке СУ корабельных ОТРК.</w:t>
      </w:r>
    </w:p>
    <w:p w14:paraId="50AB3D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(2005 г.): разработка и производство интегрированных информационно-управляющих систем морского, наземного и воздушного базирования для ВМФ (ПКР, ПЛ оружием, системы автоматики и телемеханики, управления подвижными объектами, средства освещения обстановки и целеуказания); наземные и корабельные РЛС; центры обучения и тренажеры, контрольно-проверочная аппаратура; РЭ- аппаратура; вычислительные средства; системы экологического контроля водной среды. Участвует в создании совместной с Индией ПКР «Брамос» (головной разработчик СУ).</w:t>
      </w:r>
    </w:p>
    <w:p w14:paraId="5460AE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Имелся (2005 г.) динамический испытательный комплекс (ДИК) для отработки СУ ракетами с многоканальными ГСН.</w:t>
      </w:r>
    </w:p>
    <w:p w14:paraId="1C0E9E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(1939 г.-)- К.В. Грудницкий, М.Л. Медведев, (1946-63 г.)- Н.А. Чарин,  Г.Н. Самохвалов, В.В. Павлов, И.Ю. Кривцов, В.А. Никольцев. Гендиректор (-2000-03 г.-)- В.А. Никольцев,</w:t>
      </w:r>
      <w:r w:rsidRPr="00640820">
        <w:rPr>
          <w:rFonts w:ascii="Times New Roman" w:hAnsi="Times New Roman"/>
          <w:color w:val="000000" w:themeColor="text1"/>
          <w:sz w:val="16"/>
          <w:szCs w:val="16"/>
          <w:vertAlign w:val="superscript"/>
        </w:rPr>
        <w:t>69</w:t>
      </w:r>
      <w:r w:rsidRPr="00640820">
        <w:rPr>
          <w:rFonts w:ascii="Times New Roman" w:hAnsi="Times New Roman"/>
          <w:color w:val="000000" w:themeColor="text1"/>
          <w:sz w:val="16"/>
          <w:szCs w:val="16"/>
        </w:rPr>
        <w:t xml:space="preserve"> И.Ю. Кривцов, В.В. Павлов; И.О. (2005 г.)-  Г.А. Коржавин; (2005 г.-)-  Г.А. Коржавин.</w:t>
      </w:r>
      <w:r w:rsidRPr="00640820">
        <w:rPr>
          <w:rFonts w:ascii="Times New Roman" w:hAnsi="Times New Roman"/>
          <w:color w:val="000000" w:themeColor="text1"/>
          <w:sz w:val="16"/>
          <w:szCs w:val="16"/>
          <w:vertAlign w:val="superscript"/>
        </w:rPr>
        <w:t>42</w:t>
      </w:r>
    </w:p>
    <w:p w14:paraId="77D11D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директора- В.А. Никольцев. 1-й зам. гендиректора (-2002-03 г.-)-  Г.А. Коржавин, И.Ю. Кривцов, (2005 г.)- Ю.Ф. Подоплекин. Зам. директора: по научной работе- И.Ю. Кривцов, И.У. Любченко, В.А. Никольцев, Ю.Ф. Подоплекин; А.А. Терещенко, П.А. Дроздов. Зам. гендиректора: по науке (-2003-05 г.)- Ю.Ф. Подоплекин; (-2003-05 г.-)- И. Симановский,  Г.А. Коржавин.</w:t>
      </w:r>
    </w:p>
    <w:p w14:paraId="2C61CE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 конструктор (-2000-02 г.-)- В.А. Никольцев; бортовой РЛ аппаратуры управления ПКР П-6- И.Ю. Кривцов.</w:t>
      </w:r>
    </w:p>
    <w:p w14:paraId="3F3686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по науке (2005 г.)- Ю. Подоплекин; НПК (2005 г.)- И. Симановский.</w:t>
      </w:r>
    </w:p>
    <w:p w14:paraId="29D0BA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(1939-41 г.)- Ю.А. Шаровский, (-1942; 1944-46 г.)- Н.А. Чарин, С.Т. Зайцев, Е.М. Дубровский, И.У. Любченко, В.Н. Яковлев, И.Ю. Кривцов, В.А. Никольцев, Ю.Ф. Подоплекин.</w:t>
      </w:r>
    </w:p>
    <w:p w14:paraId="478606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инженера (-1940 г.)- В.М. Ястребилов, (1940 г.)- Н.А. Чарин, (1967 г.)- В.В. Павлов, В.П. Лапин, И.Ю. Кривцов, В.А. Никольцев, М.В. Яцковский.</w:t>
      </w:r>
    </w:p>
    <w:p w14:paraId="7BAA15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конструкторы: (ВОВ)- Е.И. Аладышкин (ГАС), (-1949-56 г.-)- А.С. Полянский («Флаг», «Призма»), (1949 г.)- И.У. Любченко («Заря»), (1953 г.)- М.В. Яцковский («Никель-Хром», СУ ПКР П-6), (1951-56 г.-)- Б.И. Виленкин («Рея», «Кайра»), (-1953-54 г.-&gt; А.В. Григоров («Факел», «Анкер», «Накат»), (1955 г.)- В.Д. Николаев («Буря»), (1957 г.)- С.А. Онущенко («Касатка»), (1957 г.)- В.А. Кучеров («Рангоут», «Гравий», «Гарпун», «Гарпун- Бал»), (1950-е)- И.А. Замешаев («Чайка»), (1950-е)-  Г.А. Мирзоев («Баклан»), (1959-70-е)- А.С. Чефранов («Залив», «Радиан»), (1963 г.)- Б.А. Митрофанов («Тор»), (1960-е)- А.А. Шишагин («Чибис»), (1960-е)- И.М. Жовтис («Бухта»), (1967 г.)- А.П. Цветков («Молния»), (1970 г.)- А. Г. Елисеев («Скала»), (1968-92 г.-)- Б.М. Антонов («Корма», «Радиан-Купол-У», ЗЦ-ЗО), (1970-е)- А.Д. Протченко («Радиан»), (1970-е)- В.Н. Пушкин («Радиан»), (1978 г.)- М.М. Семов («Радиан-М»), (1980-е)- А.С. Загустин («Радиан-М»), В. Арефьев, Н.А. Чарин (СУ П-6), Р.Х. Галеев («Касатка», «Радиан-У»), (1980 г.)- Б.Л. Годлинник (СУ КР П-500), (-1963-81 г.-&gt; Б.М. Гольдин («Альбатрос», ЗМ-70, КПА для СУ КР П-500, для ЗМ-45), С.Т. Зайцев (М-2, «Тор»),  Г.А. Коржавин (СУ ПКР «Гранит»), (1992 г.)- И.Ю. Кривцов (системы мониторинга водной среды), В.А. Никольцев (БЦВМ для П- 500, для ЗМ-45), В.В. Павлов («Клотик»), Ю.Ф. Подоплекин (СУ ПКР), А.В. Чижов (аппаратура СУ КР П-500, СУ КР ЗМ-70); направления корабельных РЭ систем-  Г.А. Коржавин.</w:t>
      </w:r>
    </w:p>
    <w:p w14:paraId="470B54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Зам. гл. конструкторов: (1947-58 г.-)- С.И. Портной («Флаг», «Касатка»), (1949 г.)- И.А. Замешаев («Заря»), (1949 г.)- Н.Д. Файнштейн («Заря»), (1949 г.)- В.М. Масленников («Заря»), (-1953-54 г.-)- И.П. Евреинов («Анкер», «Накат»), (-1953-54 г.-&gt; Н.Л. Коган («Анкер», «Накат»), (-1953-54 г.-)-  Г. Г. Попов («Анкер», «Накат»), (1953 г.)- Ю.П. Баркаев («Никель-Хром»), (1953 г.)- Н.А. Политов («Никель-Хром»), (1953 г.)- Я.А. Зорин («Рея»), (1953 г.)- В.К. Лисенко («Рея»), (1953 г.)- М.А. Яковлев («Рея»), (1953 г.)- Б.А. Митрофанов («Рея»), (1955 г.)- Б.П. Пинегин («Буря»), (1955 г.)- Ю.П. Сапожников («Буря»), (1956 г.)- В.А. Кучеров («Призма»), (1956 г.)- П.Т. Ренне («Призма»), (1956 г.)- Е.Ю. Сенятин («Призма»), (1957 г.)- М.М. Светлов («Касатка»), (1957 г.)- Е.В. Кюн («Касатка»), (1957 г.)-  Г.А. Мирзоев («Рангоут»), (1957 г.)- А.В. Моисеев («Рангоут»), (1957 г.)- А.Е. Сорокин («Рангоут»), (1960-е)- М.И. Брейдо («Залив»), (1960-е)- К.В. Востродовский («Залив»), (1960-е)- П.К. Панов («Чибис»), (1960-е)- Б.М. Васильев («Чибис»), (1960-е)- Л.В. Казачков («Бухта»), (1960-е)- П.А. Бобриков («Бухта»), (1967 г.)- В.Н. Самсонов («Молния»), (-1967-70-е)- К.И. Селиверстов («Молния», «Радиан»), (1972 г.)-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.А.Писаренко («Корма»), (1972 г.)- А. Г. Ярцев («Корма»), (1972 г.)- А.Ф. Анисимов («Корма»), (1980-е)- Ю.К. Пумбо («Радиан-М»), Б.И. Виленкин («Рьм»), Р.Х. Галеев, Б.Л. Годлинник, В.А. Никольцев, А.А. Шишагин («Нептун», «Антей»).</w:t>
      </w:r>
    </w:p>
    <w:p w14:paraId="18AF6B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Начальники отделений: 2-го (1965 г.-)- В.В. Павлов, Р.Х. Галеев; надежности и испытаний- В.А. Никольцев; Ю.Ф. Подоплекин, М.В. Яцковский.</w:t>
      </w:r>
    </w:p>
    <w:p w14:paraId="1CC14A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ОП- А.А. Терещенко; Центра внешних связей и развития экспорта (2005 г.)- А. Кривцов; НТК-  Г.А. Коржавин, Ю.Ф. Подоплекин. Директор НПЦ по комплексному проектированию радиотехнических систем (РТС) (2000 г.-)- Б.М. Антонов.</w:t>
      </w:r>
    </w:p>
    <w:p w14:paraId="3E6119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научно-производственного комплекса РТС (-2000 г.)- Б.М. Антонов.</w:t>
      </w:r>
    </w:p>
    <w:p w14:paraId="2E12DC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 20 (1954 г.)- С.Т. Зайцев; № 30 (1946 г.)- С.П. Обухов, (1947-53 г.)- Е.Л. Златкин; № 130 (1959 г.-)- В.В. Павлов; НИО- Б.М. Гольдин; радиопередающих устройств- В.А. Кучеров; ОГК- Д.М. Толстопятов; технологического- И. Г. Турбин, Я.А. Зорин, Н.В. Кашин;  Г.А. Коржавин, И.У. Любченко, Ю.Ф. Подоплекин, А.С. Чефранов, М.В. Яцковский.</w:t>
      </w:r>
    </w:p>
    <w:p w14:paraId="2495BD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начальника отдела: М.В. Яцковский.</w:t>
      </w:r>
    </w:p>
    <w:p w14:paraId="1F9114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Начальники лабораторий: спецсвязи (-1946 г.)- С.П. Обухов; передающих устройств (1946 г.-)- Ю.Ю. Черноголовко-Бельский; антенно-волноводных устройств (1946 г.-)- Н.А. Илларионова; приемных устройств (1946 г.-)- А.В. Григоров; индикаторных устройств (1946 г.-)- Б.И. Виленкин; по конструированию РЛС- Б.М. Антонов; изоляционных материалов- К.И. Черняк; электровакуумных приборов- А.Е. Исаев; новой технологии -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.П.Иванов; микроэлектроники- Б.И. Виленкин; комплексной по новой тематике- Б.И. Виленкин; Р.Х. Галеев, В.А. Кучеров, В.А. Никольцев, А.П. Цветков, А.С. Чефранов, А.В. Чижов, (-1987 г.)- А.А. Шишагин.</w:t>
      </w:r>
    </w:p>
    <w:p w14:paraId="1BC4CB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начальника лаборатории: по конструированию РЛС- Б.М. Антонов.</w:t>
      </w:r>
    </w:p>
    <w:p w14:paraId="67ADAB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секторов: опознавания (-1953-55 г.-)- М.В. Яцковский; Б.М. Антонов,  Г.А. Коржавин, В.А. Никольцев, Ю.Ф. Подоплекин, А.С. Чефранов, А.В. Чижов.</w:t>
      </w:r>
    </w:p>
    <w:p w14:paraId="0C9747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Научные руководители НИР: Б.И. .Виленкин («Модуль», «Микрон»), Р.Х. Галеев («Филин»), Б.Л. Годлинник («Гроза»), А.В. Григоров («Флексия», «Модуль», «Микрон»), В.В. Павлов («Бухта»),</w:t>
      </w:r>
    </w:p>
    <w:p w14:paraId="22AA41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аппаратура опознавания «Факел» (1946), «Факел-М, -МЗ, -МО» (1948, пнв в 06.1952 г.), «Никель- Хром» (1953, пнв в 1955 г.); РЛС для ПЛ: «Флаг» (пнв 14.06.1950 г.), МР-200 «Касатка» (пнв 24.10.1958 г.), «Призма» для АПЛ пр. 627 (пнв в 1958 г.), «Буря» (1955); ЗГРЛС «Молния» для ПЛ пр. 651, 675 (пнв в 12.1968); корабельные РЛС: управления стрельбой: торпедной «Заря» (пнв 14,09.1951 г.), «Онега» (1953); для торпедных катеров «Баклан» (пнв в 1959 г.); для ПЛ: пр. 705 «Чибис-Бухта» (пнв в 10.1972 г.), «Залив» (пнв в 05.1969 г.), «Скала» (пнв в 1971 г.), «Корма» (пнв в 1974 г.), «Радиан» (1981), «Радиан-У» МРКП-59 (пнв в 1990 г.), «Радиан- М» МРКП-60 (пнв 20.12.1991 г.); «Рым-С», «Ряд», «Альбатрос», «Касатка», «Молния», «Гарпун» (1996); РЛС освещения обстановки и целеуказания: «Рея» (пнв в 09.1953 г.), для катеров «Рангоут» (пнв в 1959 г.), «Заря- Чайка», «Гравий», «Гарпун-Бал» (2000), «Монумент-Э» (2006), 4Ц-53, ЗЦ-51, ПЦ-23, ПЦ-24 (1970-е), экспортные ЗЦ-24Э, ЗЦ-25Э; для береговых РК: «Мыс» и «Бурун» для С-2 «Сопка» (1950-е), «Бал-Э»; навигационные «Нептун» («Веха», пнв 16.10.1950 г.), «Створ» (1955); СОРС «Анкер» (пнв в 09.1953 г.), «Накат» (пнв 20.10.1955 г.), «Накат-М» (пнв в 1958 г.); комплекс приема и обработки информации для ПЛ ЗЦ-ЗО (1992-); счетно- решающий прибор для ЗУР Р-101 (1948);</w:t>
      </w:r>
      <w:r w:rsidRPr="00640820">
        <w:rPr>
          <w:rFonts w:ascii="Times New Roman" w:hAnsi="Times New Roman"/>
          <w:color w:val="000000" w:themeColor="text1"/>
          <w:sz w:val="16"/>
          <w:szCs w:val="16"/>
          <w:vertAlign w:val="superscript"/>
        </w:rPr>
        <w:t>57</w:t>
      </w:r>
      <w:r w:rsidRPr="00640820">
        <w:rPr>
          <w:rFonts w:ascii="Times New Roman" w:hAnsi="Times New Roman"/>
          <w:color w:val="000000" w:themeColor="text1"/>
          <w:sz w:val="16"/>
          <w:szCs w:val="16"/>
        </w:rPr>
        <w:t xml:space="preserve"> приборы стабилизации по глубине и курсу для первой АПЛ пр. 627 (1958); ПУС «Клен» для РК П-15 (1950-е); СУ ПКР: «Антей» для П-6 (1959), «Тор» для П-70 «Аметист» (1963), «Рубеж» для «Термит-Р», для 15ХМ, комплексов П-500, «Базальт», «Вулкан», «Гранит», ЗМ-70, ЗМ-45, ЗМ-55; СУ стрельбой «Коралл», «Спрут», «Пурга», «Ленинград», «Лахна», «Брест», «Тифон», «Аккорд», «Онега», экспортные ЗР-24Э, ЗР-60УЭ; СУ ракетным оружием корвета КАСУ ЗР-60, 4Р-80 (1986); азимутально- дальномерная система для бомбардировщиков «Рым»; зенитный комплекс наземного базирования М-2; индикатор «Пальма» для РЛС «Веха» (1950); РЛ визир РЛВ для ПКР П-6 (1950-е); гироскопическая аппаратура для БР Р-1, Р-2, Р-3, Р-13, Р-14, Р-21; природоохранный комплекс (1995).</w:t>
      </w:r>
    </w:p>
    <w:p w14:paraId="78B166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ЗАО «Гранит-7» /191014  г. Санкт-Петербург ул. Госпитальная, 3 тел. 271-34-92/</w:t>
      </w:r>
    </w:p>
    <w:p w14:paraId="48C6E6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Предприятие создано в 1991 г. на базе специализированного отделения ЦНИИ «Гранит» для выполнения НИОКР в области создания информационных гидрофизических комплексов для ВМФ и автоматизированных судовых комплексов экологического обеспечения для оперативного контроля экологического состояния аваторий и ликвидации последствий загрязнения.</w:t>
      </w:r>
    </w:p>
    <w:p w14:paraId="118934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1995 г.- разработка средств измерений и контроля окружающей среды для ВМФ; разработка программно- математического обеспечения комплексов. Директор (2004 г.)- А.В. Гусев.</w:t>
      </w:r>
    </w:p>
    <w:p w14:paraId="57A29B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судовые комплексы: контроля загрязненности окружающей среды «Гвоздь-К» на катере пр. 1927 «Эколог» (принят на снабжение в 1999 г.); природоохранный «Златица» (2004).</w:t>
      </w:r>
      <w:r w:rsidRPr="00640820">
        <w:rPr>
          <w:rFonts w:ascii="Times New Roman" w:hAnsi="Times New Roman"/>
          <w:color w:val="000000" w:themeColor="text1"/>
          <w:sz w:val="16"/>
          <w:szCs w:val="16"/>
          <w:vertAlign w:val="superscript"/>
        </w:rPr>
        <w:t>по</w:t>
      </w:r>
    </w:p>
    <w:p w14:paraId="142DB3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ОАО ФНПЦ «Концерн «Гранит-Электрон» Россудостроения /191014  г. Санкт-Петербург ул. Госпитальная, 3 тел. 271-45-85 </w:t>
      </w:r>
      <w:r w:rsidR="003B0340" w:rsidRPr="00640820">
        <w:rPr>
          <w:rFonts w:ascii="Times New Roman" w:hAnsi="Times New Roman"/>
          <w:color w:val="000000" w:themeColor="text1"/>
          <w:sz w:val="16"/>
          <w:szCs w:val="16"/>
        </w:rPr>
        <w:fldChar w:fldCharType="begin"/>
      </w:r>
      <w:r w:rsidR="003B0340" w:rsidRPr="00640820">
        <w:rPr>
          <w:rFonts w:ascii="Times New Roman" w:hAnsi="Times New Roman"/>
          <w:color w:val="000000" w:themeColor="text1"/>
          <w:sz w:val="16"/>
          <w:szCs w:val="16"/>
        </w:rPr>
        <w:instrText>refHYPERLINK "http://www.granit-electron.ru/"  \* MERGEFORMAT</w:instrText>
      </w:r>
      <w:r w:rsidR="003B0340" w:rsidRPr="00640820">
        <w:rPr>
          <w:rFonts w:ascii="Times New Roman" w:hAnsi="Times New Roman"/>
          <w:color w:val="000000" w:themeColor="text1"/>
          <w:sz w:val="16"/>
          <w:szCs w:val="16"/>
        </w:rPr>
        <w:fldChar w:fldCharType="separate"/>
      </w:r>
      <w:r w:rsidRPr="00640820">
        <w:rPr>
          <w:rFonts w:ascii="Times New Roman" w:hAnsi="Times New Roman"/>
          <w:color w:val="000000" w:themeColor="text1"/>
          <w:sz w:val="16"/>
          <w:szCs w:val="16"/>
          <w:lang w:val="en-US"/>
        </w:rPr>
        <w:t>www</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granit</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electron</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ru</w:t>
      </w:r>
      <w:r w:rsidRPr="00640820">
        <w:rPr>
          <w:rFonts w:ascii="Times New Roman" w:hAnsi="Times New Roman"/>
          <w:color w:val="000000" w:themeColor="text1"/>
          <w:sz w:val="16"/>
          <w:szCs w:val="16"/>
        </w:rPr>
        <w:t>/</w:t>
      </w:r>
      <w:r w:rsidR="003B0340" w:rsidRPr="00640820">
        <w:rPr>
          <w:rFonts w:ascii="Times New Roman" w:hAnsi="Times New Roman"/>
          <w:color w:val="000000" w:themeColor="text1"/>
          <w:sz w:val="16"/>
          <w:szCs w:val="16"/>
        </w:rPr>
        <w:fldChar w:fldCharType="end"/>
      </w:r>
    </w:p>
    <w:p w14:paraId="38412C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 в 2003 г. в него вошли: ФНИЦ «ЦНИИ «Гранит», ПО «Равенство», ГП «Северный пресс», ФГУП «Завод им. Кулакова». По Указу Президента РФ № 1009 от 4.08.2004 г. вошел в число стратегических оборонных предприятий.</w:t>
      </w:r>
    </w:p>
    <w:p w14:paraId="375BF8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10.2004 г. концерн вошел в ОАО «ВПК «НПО машиностроения».</w:t>
      </w:r>
    </w:p>
    <w:p w14:paraId="5E474F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Гендиректор (2006 г.)-  Г.А. Коржавин.</w:t>
      </w:r>
    </w:p>
    <w:p w14:paraId="70C2DB3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гендиректора (2004 г.)- А. Хромушкин.</w:t>
      </w:r>
    </w:p>
    <w:p w14:paraId="7E6099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ГП «Северный пресс» Россудостроения, ОАО «Государственный завод «Северный пресс» / г. Ленинград,  г. Санкт-Петербург/</w:t>
      </w:r>
    </w:p>
    <w:p w14:paraId="5AEA0F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1974 г. завод «Северный пресс» вошел в состав НПО «Гранит». В 2003 г. вошел в Концерн «Гранит- Электрон». По Указу Президента РФ № 1009 от 4.08.2004 г. ОАО вошло в число стратегических оборонных предприятий.</w:t>
      </w:r>
    </w:p>
    <w:p w14:paraId="605287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Производство: </w:t>
      </w:r>
      <w:r w:rsidRPr="00640820">
        <w:rPr>
          <w:rFonts w:ascii="Times New Roman" w:hAnsi="Times New Roman"/>
          <w:color w:val="000000" w:themeColor="text1"/>
          <w:sz w:val="16"/>
          <w:szCs w:val="16"/>
          <w:lang w:val="en-US"/>
        </w:rPr>
        <w:t>PJIC</w:t>
      </w:r>
      <w:r w:rsidRPr="00640820">
        <w:rPr>
          <w:rFonts w:ascii="Times New Roman" w:hAnsi="Times New Roman"/>
          <w:color w:val="000000" w:themeColor="text1"/>
          <w:sz w:val="16"/>
          <w:szCs w:val="16"/>
        </w:rPr>
        <w:t xml:space="preserve"> «Альбатрос» (1958-59)- опытная партия; РЖ для ПЛ пр. 705 «Чибис-Бухта» (1970-е).</w:t>
      </w:r>
    </w:p>
    <w:p w14:paraId="592159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завода «Северный пресс»</w:t>
      </w:r>
    </w:p>
    <w:p w14:paraId="6F6AD0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соответствии с пост, правительства от 04.1956 г. в ОКБ была разработана </w:t>
      </w:r>
      <w:r w:rsidRPr="00640820">
        <w:rPr>
          <w:rFonts w:ascii="Times New Roman" w:hAnsi="Times New Roman"/>
          <w:color w:val="000000" w:themeColor="text1"/>
          <w:sz w:val="16"/>
          <w:szCs w:val="16"/>
          <w:lang w:val="en-US"/>
        </w:rPr>
        <w:t>PJIC</w:t>
      </w:r>
      <w:r w:rsidRPr="00640820">
        <w:rPr>
          <w:rFonts w:ascii="Times New Roman" w:hAnsi="Times New Roman"/>
          <w:color w:val="000000" w:themeColor="text1"/>
          <w:sz w:val="16"/>
          <w:szCs w:val="16"/>
        </w:rPr>
        <w:t xml:space="preserve"> «Альбатрос» для обнаружения надводных целей, выдачи целеуказания для торпед и обеспечения навигации ПЛ, пнв в 05.1959 г. Затем коллектив разработчиков был переведен в НИИ-49. Начальник- А.С. Чефранов.</w:t>
      </w:r>
    </w:p>
    <w:p w14:paraId="6FE025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конструкторы: (1958 г.)- Б.М. Гольдин («Альбатрос»),</w:t>
      </w:r>
    </w:p>
    <w:p w14:paraId="05066E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конструкторов: (1958 г.)- Я.И. Берман («Альбатрос»), (1958 г.)-  Г.В. Зябко («Альбатрос»).</w:t>
      </w:r>
      <w:r w:rsidRPr="00640820">
        <w:rPr>
          <w:rFonts w:ascii="Times New Roman" w:hAnsi="Times New Roman"/>
          <w:color w:val="000000" w:themeColor="text1"/>
          <w:sz w:val="16"/>
          <w:szCs w:val="16"/>
          <w:vertAlign w:val="superscript"/>
        </w:rPr>
        <w:t xml:space="preserve">103 </w:t>
      </w:r>
      <w:r w:rsidRPr="00640820">
        <w:rPr>
          <w:rFonts w:ascii="Times New Roman" w:hAnsi="Times New Roman"/>
          <w:color w:val="000000" w:themeColor="text1"/>
          <w:sz w:val="16"/>
          <w:szCs w:val="16"/>
        </w:rPr>
        <w:t>Завод «Омега», ОАО «Приборостроительный завод «Омега»</w:t>
      </w:r>
    </w:p>
    <w:p w14:paraId="62C9046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/Казахстан 417882  г. Уральск ул. Есенжанова, 42/ В 1974 г. завод «Омега» вошел в состав НПО «Гранит» (11982).</w:t>
      </w:r>
    </w:p>
    <w:p w14:paraId="54B9D0B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78896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з-д 67 возобновил деятельность на старом месте. В 1939-45 г. завод находился в ведении НКБ, в 1946-52 г.- в МСХМ.</w:t>
      </w:r>
    </w:p>
    <w:p w14:paraId="4E1306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1945 г. планировалось на базе завода (на основании письма Ванникова в НКАП от 3.08.1945 г.) сформировать ГЦКБ-2 НКБ для работ по РС дальнего действия (в т.ч. с ЖРД) и по ЗУР. Это произошло в 1947 г., когда на базе завода № 67 было образовано КБ-2 МСХМ.</w:t>
      </w:r>
    </w:p>
    <w:p w14:paraId="4AFB6DC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12.1951 г. завод № 67 обьединили с КБ-2 МСХМ и преобразовали в ГС НИИ № 642. Завод № 67 преобразован в Опытный завод при ГС НИИ-642.</w:t>
      </w:r>
    </w:p>
    <w:p w14:paraId="2AAE6F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(03.1917-25 г.)- Н.Ф. Розанов, (1925-26 г.)- И.Г. Королев, (1926-27 г.)- А. Кошелев, (1928-30 г.)- Г.Т. Кузьмичев, (1931-35 г.)- П.Г. Крынкин, (1937-39 г.)- М.Г. Масальский, (1939-41 г.)- В.И. Базаров, (1941-45 г.)- А.Ф. Шибаев, (1946-47 г.)- С.А. Невструев, (1948-52 г.)- А.В. Фролов.</w:t>
      </w:r>
    </w:p>
    <w:p w14:paraId="00FE8B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Завод № 67 им. С.К. Тимошенко НКТП, НКБ, МСХМ, завод "Мастяжарт" ГАУ </w:t>
      </w:r>
    </w:p>
    <w:p w14:paraId="40397C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Москва ул. Вельяминовская, 34</w:t>
      </w:r>
    </w:p>
    <w:p w14:paraId="785993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НИО-67</w:t>
      </w:r>
    </w:p>
    <w:p w14:paraId="1F7FA6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1929 г. на заводе начались работы по созданию конструкций АБ. Для этого РВС откомандировал сюда 12.03.1930 г. группу военных инженеров: В.И. Сассапарель, А.Ф. Турахин, Н.Л. Соловьев, И.Н. Трусов, И.Н. Тверской, С.П. Кунцевич, Б.В. Кудрявцев, Г.А. Талдыкин. Вскоре группа преобразована в отдел № 4, а в 1932 г. - в НИО-67 с опытным производством. </w:t>
      </w:r>
    </w:p>
    <w:p w14:paraId="7F2921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1932 г. создана новая система АБ: ФАБ-50, -100, -250, -500, -1000, -2000, БРАБ-220, -500, 1000.</w:t>
      </w:r>
    </w:p>
    <w:p w14:paraId="67F019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11.1938 г. НИО-67 объединено с КТБ-27, образовав ГСКБ-47.</w:t>
      </w:r>
    </w:p>
    <w:p w14:paraId="01153E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Работали (середина 1930-х): В.И. Сассапарель, М.Н. Трусов, Г.А. Талдыкин, Б.В. Кудрявцев, С.П. Кунцевич, А.И. Зверев, В.М. Виноградов. </w:t>
      </w:r>
    </w:p>
    <w:p w14:paraId="270550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Начальник (1932-г.)- Флейшман, (1935 г.-)- Н.Т. Кулаков. </w:t>
      </w:r>
    </w:p>
    <w:p w14:paraId="11E257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(1932 г.)- Н.Л. Соловьев. Гл. химик (1932 г.)- В.А. Преображенский. Гл. технолог (1932 г.)- Н.П. Васильев. Начальник летной станции (1932 г.)- А.Ф. Турахин.</w:t>
      </w:r>
    </w:p>
    <w:p w14:paraId="334A27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СКТБ</w:t>
      </w:r>
    </w:p>
    <w:p w14:paraId="3EE302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Параллельно с НИО на заводе № 67 действовало СКТБ (Специальное конструкторско-технологическое бюро), образованное в 1933 г. для координации работ и внедрению АБ в серию на заводах. С 1934 г. СКТБ выведено из числа подразделений завода и преобразовано в КТБ-27 НКТП.</w:t>
      </w:r>
    </w:p>
    <w:p w14:paraId="25E93DA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(1934 г.)- Г.Е. Ворошин.</w:t>
      </w:r>
    </w:p>
    <w:p w14:paraId="7FEE4F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Зам. начальника - Н.Т. Кулаков, (1935 г.-)- Н.И. Крупнов. Гл. инженер (1935 г.-)- Н.И. Крупнов. </w:t>
      </w:r>
    </w:p>
    <w:p w14:paraId="745FB3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КБ-2 (СКБ-2) МСХМ, ММ </w:t>
      </w:r>
    </w:p>
    <w:p w14:paraId="167747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Владыкино г. Москва</w:t>
      </w:r>
    </w:p>
    <w:p w14:paraId="790FB2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1945 г. планировалось на базе завода № 67 (на основании письма Ванникова в НКАП от 3.08.1945 г.) сформировать ГЦКБ-2 НКБ для работ по РС дальнего действия и по ЗУР. Затем в соответствии с постановлением СМ СССР № 1017-419сс от 13.05.1946 г. и приказом МАП/ МСХМ № 318сс/126сс от 24.05.1946 г. из МАП в ведение МСХМ передан филиал № 2 НИИ-1 МАП с образованием на его базе КБ-2 МСХМ. Производственная база КБ-2 – завод № 67. С 1950 г.- в ведении ММ.</w:t>
      </w:r>
    </w:p>
    <w:p w14:paraId="6A4B62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1947 г. в СКБ-2 из ОКБ при Московском механическом институте переведен А.Д. Надирадзе.</w:t>
      </w:r>
    </w:p>
    <w:p w14:paraId="691DF8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Разработка РС на базе немецкого R-100BS (1946 г.).</w:t>
      </w:r>
    </w:p>
    <w:p w14:paraId="3DCABD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Разработка крылатой ПКР на базе немецкой Hs-293 (1947 г.). После пусков трофейной ракеты в 1948 г. ее воспроизведение признали нецелесообразным.</w:t>
      </w:r>
    </w:p>
    <w:p w14:paraId="25C615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1947 г.- работы по модернизированным НУР М-13А.</w:t>
      </w:r>
    </w:p>
    <w:p w14:paraId="3B2E9F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соответствии с постановлением СМ № 1175-440 от 14.04.1948 г. и от 27.12.1949 г. велись работы по турбореактивному снаряду ТРС-140. Постановлением СМ № 4964-1235 от 25.11.1952 г. он принят на вооружение под обозначением М-14-ОФ. </w:t>
      </w:r>
    </w:p>
    <w:p w14:paraId="06A7D2A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постановлением СМ № 1175-440 также велась разработка ТРС-24. Постановлением СМ № 875-441 от 22.03.1951 г. он принят на вооружение под индексом М-24Ф, а также химический вариант МС-24. В соответствии с постановлением СМ от 14.04.1948 г.велась разработка М-24ФУД увеличенной дальности. Приказом МО № 00240 от 31.12.1955 г. он принят на вооружение.</w:t>
      </w:r>
    </w:p>
    <w:p w14:paraId="6F4801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Постановлением СМ СССР от 04.1948 г. началась разработка реактивной авиационной морской торпеды РАМТ-1400 «Щука» (гл. конструктор- Д.Л.Томашевич, затем- М.В. Орлов). Следующим постановлением от 12.1949 г. задавалось создание двух вариантов торпеды: упрощенного «Щука-А» и «Щука-Б» с РЛ-визиром. Постановлением СМ СССР от 09.1954 г. «Щуку-А» запустили в серию, но на вооружение она принята не была.</w:t>
      </w:r>
    </w:p>
    <w:p w14:paraId="386B2F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базе трофейной ракеты «Тайфун Р» создана ЗУР «Стриж» (1951 г.). </w:t>
      </w:r>
    </w:p>
    <w:p w14:paraId="0310D68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12.1951 г. КБ-2 обьединили с заводом № 67 и преобразовали в ГС НИИ № 642. При этом в составе института дейстовало ОКБ-2 гл. конструктора Надирадзе. Специалистов по НУРС и тематику передали в НИИ-1 МСХМ.КР- 8/02</w:t>
      </w:r>
    </w:p>
    <w:p w14:paraId="38034C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Руководитель (1946 г.)- Д.Л. Томашевич (до этого- на заводе № 51; затем уволен за «анкету», потом был зам. руководителя в КБ-1 МВ).</w:t>
      </w:r>
    </w:p>
    <w:p w14:paraId="718908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(1947-51 г.)- А.Д. Надирадзе.</w:t>
      </w:r>
    </w:p>
    <w:p w14:paraId="311DEA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Работали:, (конец 1940-х)- Э.Н. Кашерининов, М.В. Орлов, Д.В. Свечаркин, А. Терентьев, В.Н. Челомей; (1951 г.)- Крупнов, Виноградов.</w:t>
      </w:r>
    </w:p>
    <w:p w14:paraId="63BAFA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642 МАП, опытный завод ГС НИИ-642 МОП, ММЗ «Вымпел», АООТ «ММЗ «Вымпел»</w:t>
      </w:r>
    </w:p>
    <w:p w14:paraId="171F9F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105318 г. Москва, ул. Вельяминовская, 34 тел. 369-22-56</w:t>
      </w:r>
    </w:p>
    <w:p w14:paraId="332A5C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67 в 12.1951 г. преобразован в Опытный завод ГС НИИ-642, затем- завод № 642. В 1966 г. завод № 642 переименован в ММЗ «Вымпел». В 1985 г. завод и ОКБ «Вымпел» объединены в НПО «Вымпел» в ведении 4ГУ МОМ. В 01.1992 г. по приказу Минпрома № 172 от 18.12.1991 г. НПО опять разделилось на «Московский машиностроительный завод «Вымпел» и ГНИП «ОКБ Вымпел». 2.06.1993 г. ММЗ акционирован и преобразован в АООТ «ММЗ «Вымпел».</w:t>
      </w:r>
    </w:p>
    <w:p w14:paraId="7B1B90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ММЗ «Вымпел»- головное предприятие по производству ракетных стартовых комплексов. </w:t>
      </w:r>
    </w:p>
    <w:p w14:paraId="6B858C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2002 г.: производство наземного оборудования стартовых комплексов- стендов, комплектов для испытаний, грузоподъемных механизмов, агрегатов транспортировки, систем контроля.</w:t>
      </w:r>
    </w:p>
    <w:p w14:paraId="7D6246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(2002 г.)- В.П. Попов.</w:t>
      </w:r>
    </w:p>
    <w:p w14:paraId="3E2609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(1952-56 г.)- Н.И. Титов, (1956 г.)- Н.И. Крупнов, (1957 г.)- М.Г. Медков, (1957-58 г.)- Д.Г. Дятлов, (1958-80 г.)- А.И. Ша(и)повалов, (1981-82 г.)- М.И. Гоменюк, (1982-93 г.)- В.И. Сенин, (1993-2002 г.-)- С.П. Никулин.</w:t>
      </w:r>
    </w:p>
    <w:p w14:paraId="543E0D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КБ (11.1960 г.)- Н.К. Черников.</w:t>
      </w:r>
    </w:p>
    <w:p w14:paraId="6B8B8B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сборка корпусов БРАБ-1500 («Альбатрос-2»; 1957); самолеты-снаряды: «КСЩ» (1958-59), П-25 (1961-62), П-35 (1961-), «Аметист» (1961-).</w:t>
      </w:r>
    </w:p>
    <w:p w14:paraId="637D24E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ГС НИИ-642 МОП, МОМ, МАП, «Завод № 642-филиал ОКБ-52» ГКАТ, Филиал № 2 ЦКБМ МОМ, КБ "Вымпел" МОМ, ГНИП (Государственное научно-инженерное предприятие) ОКБ "Вымпел", ФГУП «ОКБ «Вымпел» РКА </w:t>
      </w:r>
    </w:p>
    <w:p w14:paraId="52FCCD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105318 г. Москва ул. Ткацкая, 7 тел. 964-15-50</w:t>
      </w:r>
    </w:p>
    <w:p w14:paraId="476DAB1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12.1951 г. КБ-2 МСХМ обьединили с заводом № 67 и преобразовали в ГС НИИ № 642. Завод № 67 преобразован в Опытный завод при ГС НИИ-642. Также в составе института действовало ОКБ-2 гл. конструктора А.Д. Надирадзе.</w:t>
      </w:r>
    </w:p>
    <w:p w14:paraId="554A87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это время в ОКБ-2 сосредоточены все работы по управляемым авиабомбам. </w:t>
      </w:r>
    </w:p>
    <w:p w14:paraId="273C04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1953-55 г. ГС НИИ-642 с опытным заводов- в ведении МОП. С 08.1956 г. ГС НИИ-642- в подчинении 6ГУ МАП. </w:t>
      </w:r>
    </w:p>
    <w:p w14:paraId="4478F6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постановлением СМ № 17 от 3.01.1956 г. началась разработка армейского осколочно-фугасного снаряда на базе ЗР «Стриж».</w:t>
      </w:r>
    </w:p>
    <w:p w14:paraId="6F8E04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"КСЩ" пнв Постановлением СМ СССР № 701-331 от 3.07.1958 г. </w:t>
      </w:r>
    </w:p>
    <w:p w14:paraId="365DC6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1957 г. началось сворачивание работ по УАБ.</w:t>
      </w:r>
    </w:p>
    <w:p w14:paraId="46947D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Приказом МАП от 6.11.1957 г. ГС НИИ-642 и ОКБ-52 объединены и преобразованы в НИИ-642 (руководитель- Челомей), ОКБ-52 стало его филиалом. Затем, в соответствии с Постановлением СМ СССР № 293-140 от 8.03.1958 г. НИИ-642 ликвидировано, став филиалом ОКБ-52 по разработке систем управления КР (в 1957-65 г. именовался «завод № 642-филиал ОКБ-52» в ведении ГКАТ). Сюда переведена группа конструкторов из закрытого ОКБ-23. Работы по комплексам П-6 и П-35 (с 1958 г.). Доводка «КСЩ». Работы по реактивным снарядам переданы в НИИ-147. </w:t>
      </w:r>
    </w:p>
    <w:p w14:paraId="499BCA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1963 г. на филиал возложены задачи по разработке наземного оборудования для всех ракетных систем ОКБ-52. Сюда переведен из Филиала № 1 коллектив Г.И. Архангельского по разработке наземного оборудования РКТ. Предприятие получило наименование Филиал № 2 ОКБ-52, ЦКБМ. С 1965 по 1991 г.- в системе МОМ.</w:t>
      </w:r>
    </w:p>
    <w:p w14:paraId="78A196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соответствии с постановлением СМ № 838-389 от 11.07.1957 г. начались работы по ПКР К-12. В соответствии с постановлением СМ № 564-275 от 26.05.1958 г. работы по самолету-снаряду К-12 переданы в ОКБ-49 МАП. </w:t>
      </w:r>
    </w:p>
    <w:p w14:paraId="6A1D5C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1958 г. Надирадзе предложил проект БР авиационного базирования.</w:t>
      </w:r>
    </w:p>
    <w:p w14:paraId="036097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404с от 31.10.1960 г. зам. ген. Конструктора по КР назначен П.В. Цыбин (в конце 1960 г. перешел в ОКБ-1 С.П. Королева).</w:t>
      </w:r>
    </w:p>
    <w:p w14:paraId="2B99D44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соответствии с постановлением СМ от 18.12.1962 г. производство П-25 было передано на завод № 301.3 </w:t>
      </w:r>
    </w:p>
    <w:p w14:paraId="477221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1985 г. КБ «Вымпел» (ОКБ филиала № 2) и завод объединены в НПО «Вымпел» в ведении 4ГУ МОМ. В 1990 г. предприятие получило самостоятельность от НПО машиностроения. В 01.1992 г. по приказу Минпрома № 172 от 18.12.1991 г. НПО опять разделилось на «Московский машиностроительный завод «Вымпел» и ГНИП «ОКБ Вымпел». ОКБ переведено в новый отдельный корпус. С 1994 г. – в системе РКА.</w:t>
      </w:r>
    </w:p>
    <w:p w14:paraId="0071A2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1990-е г.: проектирование стартовых и технических комплексов РКТ; создание стендового, контрольно-проверочного, подъемно-транспортного оборудования; создание технологических систем пневмогидравлической и пластической амортизации, термостатирования, управления и энергоснабжения.</w:t>
      </w:r>
    </w:p>
    <w:p w14:paraId="2262FA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(2002 г.): 1000 чел.</w:t>
      </w:r>
    </w:p>
    <w:p w14:paraId="4A24A3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(1951 г.-)- А.Д. Надирадзе («Стриж», «Чайка», «Кондор», УБВ-5, «УПС»; с 1958 г.- руководитель НИИ-1 ГКОТ), (1963-1985 г.)- В.М. Барышев, (1985-95 г.)- О.С. Баскаков. Ген. конструктор (1995-2002 г.-)- Д.К. Драгун.</w:t>
      </w:r>
    </w:p>
    <w:p w14:paraId="7AA74D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Начальник (1963-85 г.)- В.М. Барышев, (1985-95 г.)- О.С. Баскаков. Гендиректор (1995-2002 г.-)- Д.К. Драгун.58 </w:t>
      </w:r>
    </w:p>
    <w:p w14:paraId="7F51DAE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Гендиректора (2002 г.)- В.А. Мордвинцев.</w:t>
      </w:r>
    </w:p>
    <w:p w14:paraId="024708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Ген. Конструктора (2002 г.)- В.А. Мордвинцев, (2005 г.)- О.С. Галкин. Зам. Гл., Ген. Конструктора- Б.А. Николаевский, (2002 г.)- О.С. Галкин.</w:t>
      </w:r>
    </w:p>
    <w:p w14:paraId="7A12E0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(2002 г.)- С.В. Журавлев.</w:t>
      </w:r>
    </w:p>
    <w:p w14:paraId="412A23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конструкторы: Д.Л. Томашевич («Щука»), (1953 г.)- М.В. Орлов («Щука», «КСЩ», КМ-7; в 1958 г., после слияния с ОКБ-52, ушел в НИИ-1 ГКОТ), Д.В. Свечаркин («Краб»).</w:t>
      </w:r>
    </w:p>
    <w:p w14:paraId="08AC28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Работали: Терентьев, Э.Н. Кашерининов, (-1953-55 г.)- В.Н. Челомей (затем- в ОКБ-52). </w:t>
      </w:r>
    </w:p>
    <w:p w14:paraId="4F8ECC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Созданы: противокорабельный снаряд (ПКС) «Щука» (РАМТ-1400) (1948-53 г.); самонаводящаяся АБ СНАБ-3000 («Краб») (1948-56 г.); неуправляемая ЗР «Стриж» (начало 1950-х); УБ-2000Ф «Чайка» (УБ-2Ф), УБ-5000Ф «Кондор» (1951-55 г.); УАБ УБВ-5 (1955-57 г.); ПКС «КСЩ», КМ-7, "Аметист"; радиоуправляемый ПТУРС «УПС» (1957 г.-); бомбардировочный прицел ППУ (ОПБ-2У) для УАБ и АБ. </w:t>
      </w:r>
    </w:p>
    <w:p w14:paraId="345759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ШПУ для МБР УР-100Н, «Тополь-М». Выпущена опытная партия комплексов П-25 (1961-62);58 </w:t>
      </w:r>
    </w:p>
    <w:p w14:paraId="15FEB08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Комплекс наземного оборудования для: УР-200, «Протон» (УР-500).77 </w:t>
      </w:r>
    </w:p>
    <w:p w14:paraId="66C77F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НПО «Вымпел» МОМ</w:t>
      </w:r>
    </w:p>
    <w:p w14:paraId="0E830F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105318 г. Москва, ул. Вельяминовская, 34</w:t>
      </w:r>
    </w:p>
    <w:p w14:paraId="54F36C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1985 г. КБ «Вымпел» (ОКБ филиала № 2) и завод объединены в НПО «Вымпел» в ведении 4ГУ МОМ. В 01.1992 г. НПО опять разделилось на АОЗТ «Московский машиностроительный завод «Вымпел» и ГНИП «ОКБ Вымпел». </w:t>
      </w:r>
    </w:p>
    <w:p w14:paraId="19A150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Гендиректор (1980-е)- В.М. Барышев (10776). </w:t>
      </w:r>
    </w:p>
    <w:p w14:paraId="5CAB9D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EB696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года завод № 524 был переименован в № 188, т.е. сохранил свой номер завода утвержденный Постановлением СНК от 19 июня 1939 года за № 164сс</w:t>
      </w:r>
    </w:p>
    <w:p w14:paraId="7DBC9F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Новосибирск, п/я 161 (9572).</w:t>
      </w:r>
    </w:p>
    <w:p w14:paraId="485075A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1BF76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декабре 1941, понимая сложившуюся ситуацию, первый секретарь Новосибирского обкома ВКП(б) М.В. Кулагин обратился к И.В.Сталину с предложением о разукрупнении комбината № 179. В соответствии с решениями правительства из комбината № 179 вначале выделились и стали самостоятельными предприятиями Металлургический завод и ТЭЦ-3, а затем в конце 1941 г. – завод № 188, в апреле 1942 г. – завод № 556, в июле 1942 г. – заводы № 65 и № 325, в октябре 1942 г. – завод № 667, в ноябре 1943 г. – завод № 136. В результате выделения из комбината № 179 в Новосибирске появились как самостоятельные предприятия четыре завода, производившие боеприпасы и один завод № 667 – взрыватели, а также завод № 188, подчиненный Наркомату вооружения, который изготовлял сотни миллионов патронов с пулями. После разукрупнения комбинат № 179 по-прежнему оставался крупнейшим предприятием, производившим снаряды. Строительство и монтаж </w:t>
      </w:r>
      <w:r w:rsidRPr="00640820">
        <w:rPr>
          <w:rFonts w:ascii="Times New Roman" w:hAnsi="Times New Roman"/>
          <w:color w:val="000000" w:themeColor="text1"/>
          <w:sz w:val="16"/>
          <w:szCs w:val="16"/>
        </w:rPr>
        <w:lastRenderedPageBreak/>
        <w:t>оборудования предприятий Наркомата боеприпасов осуществлял крупный строительный трест № 31, а также трест № 26, эвакуированный из Харькова. Итак, в Новосибирске был создан крупнейший на востоке страны центр по производству снарядов, который изготовлял очень большое их количество и отправлял на фронт (9932).</w:t>
      </w:r>
    </w:p>
    <w:p w14:paraId="393B2B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DFC89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года было предложено завод № 582 перевести на территорию эвакуированного завода № 401 НКБ, расположенного в г. Балашиха 1-я, ст. Горенки. Был установлен профиль завода – снаряжательный (10229).</w:t>
      </w:r>
    </w:p>
    <w:p w14:paraId="4C2FE16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3E5F9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декабре 1941 на площадке эвыакуированного завода № 11 создан завод № 862. Существовал в годы ВОВ как «Отдельный цех». Производство осветительных боеприпасов. В 05.1943 г. снаряжен первый фейерверк. 9.05.1945 г. был применен первый серийный «салют-патрон». На 2004 г. НИИПХ- головное предприятие фейерверочной промышленности России.ПМ-5/04 </w:t>
      </w:r>
    </w:p>
    <w:p w14:paraId="0892B4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Чебоксарское ОТБ-320, которое располагалось на заводе № 320, перебазировалось в г. Сергиев Посад (~на завод № 862). Преобразовано в НИИ-862. </w:t>
      </w:r>
    </w:p>
    <w:p w14:paraId="7F17696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4034928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2000 г.: ОКР «Игрушка» по разработке ряда еврокалибров экологически чистых высотных фейерверков.</w:t>
      </w:r>
    </w:p>
    <w:p w14:paraId="3BE713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Директор (начало 1950-х г.)- Ф.В. Козлов, (1990-е)- Н.А. Силин. </w:t>
      </w:r>
    </w:p>
    <w:p w14:paraId="2AD670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Гл. инженер (начало 1950-х г.)- И.И. Вернидуб. </w:t>
      </w:r>
    </w:p>
    <w:p w14:paraId="7F9A19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Работали: (2004 г.)- П. Пороховников (начальник цеха).</w:t>
      </w:r>
    </w:p>
    <w:p w14:paraId="55DFBB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Созданы: запальное устройство для ракеты "036", заряд для пирозапала к форкамерам ПВРД, АБ, дымовые и световые трассеры (для К-7), комбинированный заряд к двигателю РАТ-52, воспламенитель к РДТТ для РАТ-52М, топливо для РДТТ; четырехствольный пистолет ПБ-4М «Оса» с электронным воспламенением капсюляПМ-7/04. </w:t>
      </w:r>
    </w:p>
    <w:p w14:paraId="03170A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ОАО «Пиро-Росс»</w:t>
      </w:r>
    </w:p>
    <w:p w14:paraId="25EC87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413000 г. Сергиев Посад Московской обл. ул. Академика Силина, 3 тел. 956-65-25</w:t>
      </w:r>
    </w:p>
    <w:p w14:paraId="7E0CA3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Совместно с ГНПП «Сплав» создана самоходная ПУ 2А84 на шасси КамАЗ-43114 для производства праздничных салютов.</w:t>
      </w:r>
    </w:p>
    <w:p w14:paraId="45F69C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Гендиректор (2005 г.)- С. Чанкаев. </w:t>
      </w:r>
    </w:p>
    <w:p w14:paraId="20D5AD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862, НИИ-862 ГКОТ, МСХМ, ММ, МОП, МОМ, НИИ прикладной химии (НИИПХ), ГУП «ФНПЦ НИИПХ» Росбоеприпаса</w:t>
      </w:r>
    </w:p>
    <w:p w14:paraId="407B53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Сергиев Посад Московской обл.</w:t>
      </w:r>
    </w:p>
    <w:p w14:paraId="563283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AF30C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по распоряжению А.И. Кузнецова, признавшего предложение по сухопутной торпеде ценным, СТ построена на заводе N 306 и зимой 1941/42 проходила испытания. Осуществить машину в точности по нашему замыслу не удалось, так как для управления СТ на расстоянии до 500-800 м авторы рассчитывали использовать радиоаппаратуру, разработанную и испытанную инж. В.А. Александровым на самолете. Оказалось же, что в тревожные октябрьские дни какая то комиссия в отсутствии Александрова уничтожила и самолет и приборы. Пришлось испытывать СТ на проводе. Для завершения работ по СТ требовалось построить новую аппаратуру, способную управлять на расстоянии 500-1000 м объектом, т.е. передавать 5 сигналов-команд (1666,159).</w:t>
      </w:r>
    </w:p>
    <w:p w14:paraId="093EAC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467B69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на базе оборудования Харьковского электромеханического завода, эвакуированного в 11.1941 г. в Кемерово был основан Завод № 652 НКЭП, Кемеровский электромеханический завод, Завод, ОАО «Кузбассэлектромотор» /650000  г. Кемерово Кузнецкий пр., 33/. Строительство завода шло трудно и продолжалось много лет. Первую продукцию завод выпустил в 01.1942 г.</w:t>
      </w:r>
    </w:p>
    <w:p w14:paraId="59D599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1960-х  г. освоен поточный выпуск мощных крупногабаритных электродвигателей, в т.ч. взрывозащщценных.</w:t>
      </w:r>
    </w:p>
    <w:p w14:paraId="72791A9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1963 г. был введен в строй кузнечно-сварочный цех, в 1965 г.- инженерный корпус, в 1981 г.- производственный.</w:t>
      </w:r>
    </w:p>
    <w:p w14:paraId="2AFF09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1966 г. завод назывался «Кузбассэлектромотор» (упоминаются также названия Кемеровский электромеханический и электротехнический завод).</w:t>
      </w:r>
    </w:p>
    <w:p w14:paraId="151C2EC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1990-е  г. завод вошел в группу «Сибконкорд» (и на 2004 г.).</w:t>
      </w:r>
    </w:p>
    <w:p w14:paraId="753B09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2000-е  г. выпускал 130 наименований электродвигателей, 16 наименований пусковой аппаратуры.</w:t>
      </w:r>
    </w:p>
    <w:p w14:paraId="74D6BD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(2000-е)- более 1000 чел.</w:t>
      </w:r>
    </w:p>
    <w:p w14:paraId="6D3BE3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электродвигатели; электроплитка «Тайга» (1970-е) (11982).</w:t>
      </w:r>
    </w:p>
    <w:p w14:paraId="2D9915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4CC1A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в серию приняли РЛС Редут и запустили в серию на заводах 339 и 703 (1566,253).</w:t>
      </w:r>
    </w:p>
    <w:p w14:paraId="0523A0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2D857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Начальник ГАУ Н. Д. Яковлев обратился к наркому Электропромышленности Ивану Григорьевичу Кабанову, в ведении которого находились разработка и выпуск радиолокационной техники, с предложением совместно выйти в правительство с ходатайством о немедленном развертывании разработки и производства отечественных радиолокационных станций орудийной наводки для зенитной артиллерии по типу английских. Кабанов согласился и поручил дело своему заместителю Ивану Герасимовичу Зубовичу. Однако вследствие эвакуации предприятий, занимавшихся до войны разработкой и выпуском радиолокационной техники, и их сотрудников реально выполнять эти работы было некому, да и задача технически была гораздо сложнее, чем это могло поначалу представляться руководителям (9921).</w:t>
      </w:r>
    </w:p>
    <w:p w14:paraId="009CFD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1A6B8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дал первую продукцию Военно-механический завод (ВМЗ) № 1 (Куйбышевский механический завод (КМЗ) № 1 Минмонтажспецстроя, ОАО «Сокол» /г. Киев; г. Куйбышев ул. Гаражная/ /443079 г. Самара ул. Революционная, 101 тел. 60-08-67), эвакуированный из Киева. Планировалось перебазировать его в Оренбург, но эшелон застрял в Куйбышеве, здесь он и остался и строился с сентября 1941 г. на новой площадке на территории гаража Военно-строительного управления ПриВО. Выпускал: автобензозаправщики, водомаслогрейки, станки для танковых пушек «Гочкис». В годы ВОВ выпускал также цистерны, генераторы на автомобили ЗИС-5, котлы для котельных, детали для «катюш», понтоны и полупонтоны, шанцевый инструмент, гвозди. После войны- производство кранов.</w:t>
      </w:r>
    </w:p>
    <w:p w14:paraId="14056E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03.1949г. ВМЗ № 1 переименован в Куйбышевский механический завод № 1 Минмонтажспецстроя СССР.</w:t>
      </w:r>
    </w:p>
    <w:p w14:paraId="2F59CA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08.1993г. Куйбышевский механический завод №1 преобразован в ОАО «Сокол».</w:t>
      </w:r>
    </w:p>
    <w:p w14:paraId="22C815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Гендиректор (1981-2003г.-)- Н.П. Кузьменко.</w:t>
      </w:r>
    </w:p>
    <w:p w14:paraId="70E8F5F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(1979-81 г.)- Н.П. Кузьменко, (2002г.)- В.И. Павленко. Зам. Директора (2002г.)- А. Кайда. Коммерческий директор (2003г.)- Т.Н. Белова.</w:t>
      </w:r>
    </w:p>
    <w:p w14:paraId="34306D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краны: АК-3 на шасси ЗИС-5 (1945-); кран «Пионер»; стреловой кран «Деррик» (1950-); башенные краны: СБК-1 (1951-), рельсовый кран БК-5 (1959-), МСК-5-20; монтажный кран МК-1 на базе трактора С-80 (1959-); монтажные колесные краны: МКП-20, МКП-25-А, МКШ-25, МКП-50, МКА-6,3 на шасси ЗИЛ-130 (1960-е), МКАТ-40 (1980-е); мостовой кран для железнодорожных депо (1994); кран на железнодорожном ходу «Сокол 60-01» (2001); винтовой домкрат; трейлеры, телескопические вышки, платформы для перевозки опор ЛЭП, поточная линия по производству изоляции трубопроводов, гидравлические подъемники для ректификационных колонн, редуктор ПСК-025 и лебедка ЛО для подъёма мачт радиолокаторов для МО (1970-е); кран специальный на железнодорожном ходу «Сокол-80.01» (2003); кран специальный на гусеничном ходу; автомобильный кран СКАТ-32 на шасси КрАЗ-65101 (2003); металлоконструкции для капитального строительства; автоматические железнодорожные переезды; напольные грузоподъемные комплексы ремонта подвижного состава (11982).</w:t>
      </w:r>
    </w:p>
    <w:p w14:paraId="40DE8C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4B651B5" w14:textId="77777777" w:rsidR="00BA2517" w:rsidRPr="00640820" w:rsidRDefault="00BA251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Начальник ГАУ Н.Д. Яковлев обратился к наркому электропромышленности И.Г. Кабанову с предложением о развертывании разработки и производства отечественных радиолокационных станций орудийной наводки по типу английских. В ситуации, когда и так ограниченные возможности радиопромышленности в связи с отступлением и эвакуацией были по факту утрачены, заместитель наркома электропромышленности И.Г. Кабанова И.Г. Зубович подготовил проект постановления ГКО «О принятии на вооружение войск ПВО Красной Армии и ВМФ станций орудийной наводки (СОН-2) и организации отечественного производства СОН-2». Проект, согласованный с заведующим отделом электропромышленности ЦК ВКП(б) А.А. Турчаниным и заместителем Председателя Совнаркома, председателем Госплана СССР М.З. Сабуровым, был направлен в Государственный Комитет Обороны и принят там 10 февраля 1942 г. Постановление получило № 1266сс, и уже 15 февраля И.Г. Кабанов подписал приказ о создании в Москве первого в СССР специализированного радиолокационного предприятия – завода № 465 с конструкторским бюро и лабораториями, – способного вести в комплексе и их разработку, и выпуск, включая основные электронные компоненты (15736).</w:t>
      </w:r>
    </w:p>
    <w:p w14:paraId="51694EEA" w14:textId="77777777" w:rsidR="00BA2517" w:rsidRPr="00640820" w:rsidRDefault="00BA2517" w:rsidP="00640820">
      <w:pPr>
        <w:spacing w:after="0" w:line="240" w:lineRule="auto"/>
        <w:jc w:val="both"/>
        <w:rPr>
          <w:rFonts w:ascii="Times New Roman" w:hAnsi="Times New Roman"/>
          <w:color w:val="000000" w:themeColor="text1"/>
          <w:sz w:val="16"/>
          <w:szCs w:val="16"/>
        </w:rPr>
      </w:pPr>
    </w:p>
    <w:p w14:paraId="50054FC2" w14:textId="77777777" w:rsidR="00BA2517" w:rsidRPr="00640820" w:rsidRDefault="00BA251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"Редут" (РУС-2) принимается на вооружение и запускается в серийное производство на заводах N339 Наркомата авиапромышленности и N703 Наркомата судостроительной промышленности (15137).</w:t>
      </w:r>
    </w:p>
    <w:p w14:paraId="76D19CC4" w14:textId="77777777" w:rsidR="00BA2517" w:rsidRPr="00640820" w:rsidRDefault="00BA2517" w:rsidP="00640820">
      <w:pPr>
        <w:spacing w:after="0" w:line="240" w:lineRule="auto"/>
        <w:jc w:val="both"/>
        <w:rPr>
          <w:rFonts w:ascii="Times New Roman" w:hAnsi="Times New Roman"/>
          <w:color w:val="000000" w:themeColor="text1"/>
          <w:sz w:val="16"/>
          <w:szCs w:val="16"/>
        </w:rPr>
      </w:pPr>
    </w:p>
    <w:p w14:paraId="6277FC7E" w14:textId="77777777" w:rsidR="00BA2517" w:rsidRPr="00640820" w:rsidRDefault="00BA251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Декабрь 1941 г.Копия черновика письма Г.Н. Флерова С. В. Кафтанову</w:t>
      </w:r>
    </w:p>
    <w:p w14:paraId="301E6031" w14:textId="77777777" w:rsidR="00BA2517" w:rsidRPr="00640820" w:rsidRDefault="00BA251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 секретно</w:t>
      </w:r>
    </w:p>
    <w:p w14:paraId="185CF94A" w14:textId="77777777" w:rsidR="00BA2517" w:rsidRPr="00640820" w:rsidRDefault="00BA251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Уважаемый товарищ Кафтанов!</w:t>
      </w:r>
    </w:p>
    <w:p w14:paraId="41D45C48" w14:textId="77777777" w:rsidR="00BA2517" w:rsidRPr="00640820" w:rsidRDefault="00BA251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Пишу Вам это письмо, не зная, не постигнет ли его судьба моего первого письма, направленного на имя тов. Сталина.</w:t>
      </w:r>
    </w:p>
    <w:p w14:paraId="0AE50C2D" w14:textId="77777777" w:rsidR="00BA2517" w:rsidRPr="00640820" w:rsidRDefault="00BA251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том письме писал о недостатках работы физиков сейчас, в военное время, предлагал ряд мероприятий, которые, как мне казалось, помогли бы сдвинуть работу с мертвой точки, в которой она сейчас находится. Проведение всех этих мероприятий попутно должно было привести и к решению вопроса о работе над так называемой «проблемой урана». Но ответа на письмо все еще нет, и я пишу это письмо независимо от первого, считая, что как бы ни строилась работа по физике в настоящее время, какие бы задачи ни решались, работу над проблемой урана нам нужно продолжать.</w:t>
      </w:r>
    </w:p>
    <w:p w14:paraId="1010E1E8" w14:textId="77777777" w:rsidR="00BA2517" w:rsidRPr="00640820" w:rsidRDefault="00BA251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Занимались этим вопросом у нас в Союзе с 1939 года, сделано было много, и я думаю, что не ошибусь, если скажу, что в этом вопросе мы, пожалуй, даже опередили заграницу. После первого увлечения этой проблемой (шутка ли сказать — использование внутриатомной энергии!), когда выяснилось, что имеется ряд затруднений для действительного осуществления цепных ядерных реакций, был намечен ряд путей, скорее даже лазеек, для решения вопроса. Последовательным изучением пригодности этих принципиально возможных путей мы и занимались с 1939 г. по день начала войны.</w:t>
      </w:r>
    </w:p>
    <w:p w14:paraId="72B746A9" w14:textId="77777777" w:rsidR="00BA2517" w:rsidRPr="00640820" w:rsidRDefault="00BA251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Работа принесла более разочарований, чем удач; один за другим, все принципиально возможные пути проверялись нами непосредственно на опыте или же на основании данных других исследователей и были откинуты.</w:t>
      </w:r>
    </w:p>
    <w:p w14:paraId="7C1EC93C" w14:textId="77777777" w:rsidR="00BA2517" w:rsidRPr="00640820" w:rsidRDefault="00BA251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итоге к началу войны в портфеле идей, нуждающихся в проверке, осталось лишь два весьма искусственных метода.</w:t>
      </w:r>
    </w:p>
    <w:p w14:paraId="441B0F23" w14:textId="77777777" w:rsidR="00BA2517" w:rsidRPr="00640820" w:rsidRDefault="00BA251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Мне, непосредственно работавшему над этой задачей, представлялось, что вероятность решения задачи вообще этими путями выражается 2-5 процентами. Решение же задачи в ближайшее время, с тем чтобы ядерные бомбы могли бы быть использованы против немцев в этой, как нам казалось, молниеносной войне,— эта вероятность была крайне ничтожна.</w:t>
      </w:r>
    </w:p>
    <w:p w14:paraId="5D2093CB" w14:textId="77777777" w:rsidR="00BA2517" w:rsidRPr="00640820" w:rsidRDefault="00BA251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 стоило растрачивать силы и средства на фантастические вещи, когда война выдвинула ряд конкретных задач, ну и А.Ф. Иоффе работа была законсервирована, и мы были переведены на более «реальные» темы.</w:t>
      </w:r>
    </w:p>
    <w:p w14:paraId="45D2CA08" w14:textId="77777777" w:rsidR="00BA2517" w:rsidRPr="00640820" w:rsidRDefault="00BA251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Основное, что отпугивало и отпугивает в этой проблеме, делает ее фантастической, — это те возможности, которые представятся при удачном решении задачи. Один из возможных технических выходов — ядерная бомба (небольшая по весу), взорвавшись, например, в Берлине, сметет с лица земли весь город. Фантастика, быть может, но отпугивать это может или тех, кто вообще боится всегда необычного, из ряда вон выходящего, или же людей, уже имевших печальный опыт по предложению дутых проектов, ну и обжегшихся на молоке и дующих вследствие этого на воду.</w:t>
      </w:r>
    </w:p>
    <w:p w14:paraId="429D7557" w14:textId="77777777" w:rsidR="00BA2517" w:rsidRPr="00640820" w:rsidRDefault="00BA251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 дня начала войны прошло 5 месяцев. Кроме ранее имевшихся сведений о том, что в Германии Wilgelm Keiser Institut целиком занимается этой проблемой, чувствуется, что французский физик Joliot также работает на Германию над этим же вопросом. В Англии также, по-видимому, идет интенсивная работа.</w:t>
      </w:r>
    </w:p>
    <w:p w14:paraId="2DAB5BAE" w14:textId="77777777" w:rsidR="00BA2517" w:rsidRPr="00640820" w:rsidRDefault="00BA251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Ну, и основное — это то, что во всех иностранных журналах — полное отсутствие каких- либо работ по этому вопросу. Это молчание не есть результат отсутствия работы; не печатаются даже статьи, которые являются логическим развитием ранее напечатанных, нет обещанных статей, словом, на этот вопрос наложена печать молчания, и это-то является наилучшим показателем того, какая кипучая работа идет сейчас за границей.</w:t>
      </w:r>
    </w:p>
    <w:p w14:paraId="21E8EA38" w14:textId="77777777" w:rsidR="00BA2517" w:rsidRPr="00640820" w:rsidRDefault="00BA251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Нам в Советском Союзе работу нужно возобновить; пусть вероятность решения задачи в ближайшее время крайне мала, но ничегонеделание наверняка не может привести к успеху, в то время как в процессе самой работы выясняется ряд новых дополнительных данных, могущих приблизить нас к решению вопроса.</w:t>
      </w:r>
    </w:p>
    <w:p w14:paraId="7F6E2F2C" w14:textId="77777777" w:rsidR="00BA2517" w:rsidRPr="00640820" w:rsidRDefault="00BA251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Работу нужно продолжать. Что же необходимо для этого?</w:t>
      </w:r>
    </w:p>
    <w:p w14:paraId="41149A1A" w14:textId="77777777" w:rsidR="00BA2517" w:rsidRPr="00640820" w:rsidRDefault="00BA251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Для определения объема, в котором будет проводиться работа, необходимо прежде всего более точно определить, насколько вероятно на самом деле успешное решение задачи.</w:t>
      </w:r>
    </w:p>
    <w:p w14:paraId="4E68BFAC" w14:textId="77777777" w:rsidR="00BA2517" w:rsidRPr="00640820" w:rsidRDefault="00BA251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Оценка, приведенная выше (2-5%), есть моя собственная, крайне субъективная оценка, которую рискованно брать за основание для многотысячных затрат.</w:t>
      </w:r>
    </w:p>
    <w:p w14:paraId="238DF65D" w14:textId="77777777" w:rsidR="00BA2517" w:rsidRPr="00640820" w:rsidRDefault="00BA251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Необходимо телеграфировать в Англию и Америку, прося союзников выслать хотя бы краткую сводку полученных ими результатов за последнее время.</w:t>
      </w:r>
    </w:p>
    <w:p w14:paraId="18310F33" w14:textId="77777777" w:rsidR="00BA2517" w:rsidRPr="00640820" w:rsidRDefault="00BA251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Мне трудно судить о том, как должна быть составлена телеграмма для получения ответа, но один из возможных вариантов — это телеграмма за моей подписью с чисто научной просьбой о присылке результатов работ. Попутно можно позондировать почву относительно возможности поездки в Англию для ознакомления с работой 1-2 человек.</w:t>
      </w:r>
    </w:p>
    <w:p w14:paraId="2D20E0F5" w14:textId="77777777" w:rsidR="00BA2517" w:rsidRPr="00640820" w:rsidRDefault="00BA251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полученных материалах будет, безусловно, присутствовать элемент засекречивания, поэтому копию всего присланного прошу переслать мне, для того чтобы можно было определить, что же, наконец, там сделано за это время.</w:t>
      </w:r>
    </w:p>
    <w:p w14:paraId="6162F124" w14:textId="77777777" w:rsidR="00BA2517" w:rsidRPr="00640820" w:rsidRDefault="00BA251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Параллельно с этими телеграммами необходимо разработать план мероприятий в двух вариантах — более широкий и более узкий размах работы. В зависимости от ответа на наши телеграммы работа будет вестись по одному из этих планов.</w:t>
      </w:r>
    </w:p>
    <w:p w14:paraId="2BC9DFA0" w14:textId="77777777" w:rsidR="00BA2517" w:rsidRPr="00640820" w:rsidRDefault="00BA251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Подготовку мероприятий можно поручить, как мне кажется, акад. П.Л. Капице, привлекая к этому А.И. Алиханова и А.И. Алиханьяна. В бригаду работающих необходимо будет привлечь проф. Л.А. Арцимовича, проф. И.В. Курчатова и часть работников Радиевого института.</w:t>
      </w:r>
    </w:p>
    <w:p w14:paraId="7A94C607" w14:textId="77777777" w:rsidR="00BA2517" w:rsidRPr="00640820" w:rsidRDefault="00BA251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случае необходимости моего участия в работе мне необходимо будет разрешение на вывоз 4 человек из действующей армии (К.А. Петржака и нескольких бывших сотрудников Физико-технического института) и вывоз из Ленинграда всего необходимого, оставленного там, лабораторного оборудования.</w:t>
      </w:r>
    </w:p>
    <w:p w14:paraId="387DF0A1" w14:textId="77777777" w:rsidR="00BA2517" w:rsidRPr="00640820" w:rsidRDefault="00BA251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Более детально все вопросы придется решать на совещании, созванном президиумом Академии наук.</w:t>
      </w:r>
    </w:p>
    <w:p w14:paraId="52853484" w14:textId="77777777" w:rsidR="00BA2517" w:rsidRPr="00640820" w:rsidRDefault="00BA251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того чтобы это совещание было деловым и действительно бы разрешало все вопросы, созыв совещания прошу поручить д-ру И.М. Франку и А.Б. Мигдалу.</w:t>
      </w:r>
    </w:p>
    <w:p w14:paraId="5B3C9899" w14:textId="77777777" w:rsidR="00BA2517" w:rsidRPr="00640820" w:rsidRDefault="00BA251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Перечитал все написанное — звучит диковато, но основное — это то, что, при всем действительном расцвете науки у нас в Союзе, здесь в этом вопросе проявлена непонятная недальновидность.</w:t>
      </w:r>
    </w:p>
    <w:p w14:paraId="3EB70DF5" w14:textId="77777777" w:rsidR="00BA2517" w:rsidRPr="00640820" w:rsidRDefault="00BA251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История делается сейчас на полях сражений, но не нужно забывать, что наука, толкающая технику, вооружается в научно-исследовательских лабораториях, нужно все время помнить, что государство, первое осуществившее ядерную бомбу, сможет диктовать всему миру свои условия. И сейчас единственное, чем мы сможем искупить свою ошибку (полугодовое безделье), — это возобновление работ и проведение их в еще более широком масштабе, чем это было до войны.</w:t>
      </w:r>
    </w:p>
    <w:p w14:paraId="0F9F4AD2" w14:textId="77777777" w:rsidR="00BA2517" w:rsidRPr="00640820" w:rsidRDefault="00BA251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Извещение о получении письма и материалы из Англии и США прошу направить в г. Йошкар-Олу на адрес Военно-воздушной академии (фак-т спецоборудования) на имя военного инженера 3 ранга Б.И. Брустина для пересылки мне по новому адресу.</w:t>
      </w:r>
    </w:p>
    <w:p w14:paraId="6D061375" w14:textId="77777777" w:rsidR="00BA2517" w:rsidRPr="00640820" w:rsidRDefault="00BA251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приветом Г. Флеров</w:t>
      </w:r>
    </w:p>
    <w:p w14:paraId="1D25600C" w14:textId="77777777" w:rsidR="00BA2517" w:rsidRPr="00640820" w:rsidRDefault="00BA251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Письмо, направленное С.В. Кафтанову в декабре 1941 года (15720).</w:t>
      </w:r>
    </w:p>
    <w:p w14:paraId="3DE27F9B" w14:textId="77777777" w:rsidR="00BA2517" w:rsidRPr="00640820" w:rsidRDefault="00BA2517" w:rsidP="00640820">
      <w:pPr>
        <w:spacing w:after="0" w:line="240" w:lineRule="auto"/>
        <w:jc w:val="both"/>
        <w:rPr>
          <w:rFonts w:ascii="Times New Roman" w:hAnsi="Times New Roman"/>
          <w:color w:val="000000" w:themeColor="text1"/>
          <w:sz w:val="16"/>
          <w:szCs w:val="16"/>
        </w:rPr>
      </w:pPr>
    </w:p>
    <w:p w14:paraId="35462F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был создан филиал завода № 201 (Краснознаменный завод № 201 им. С. Орджоникидзе НКОП, НКСП, Севастопольское адмиралтейство, Лазаревское адмиралтейство, Верфь Русского общества пароходства и торговли (РОПиТ), Севастопольский судостроительный завод, Севастопольский морской завод (Севморзавод) им. С. Орджоникидзе НК по морским делам, ВСНХ, НКТП, Потийский судоремонтный завод Минрыбпрома, Потийский судоремонтно-судостроительный завод /г. Севастополь п/я 69 «Вал» (1938 г.);  г. Туапсе;  г. Батуми;  г. Поти/) в Батуми на базе завода им. Берии и складов Заготзерна (по другой информации в Батуми завод размещен на территории фабрики по переработке чайного листа с причалом</w:t>
      </w:r>
      <w:r w:rsidRPr="00640820">
        <w:rPr>
          <w:rFonts w:ascii="Times New Roman" w:hAnsi="Times New Roman"/>
          <w:color w:val="000000" w:themeColor="text1"/>
          <w:sz w:val="16"/>
          <w:szCs w:val="16"/>
          <w:vertAlign w:val="superscript"/>
        </w:rPr>
        <w:t>115</w:t>
      </w:r>
      <w:r w:rsidRPr="00640820">
        <w:rPr>
          <w:rFonts w:ascii="Times New Roman" w:hAnsi="Times New Roman"/>
          <w:color w:val="000000" w:themeColor="text1"/>
          <w:sz w:val="16"/>
          <w:szCs w:val="16"/>
        </w:rPr>
        <w:t>). С 08.1942 г. завод № 201 действовал в Батуми. 25.12.1942 г. вышло распоряжение ГКО № 2656 о поставке заводу № 201 НКСП оборудования материалов и топлива. Был в 1946 г.</w:t>
      </w:r>
    </w:p>
    <w:p w14:paraId="609C2B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1943 г. на заводе организован филиал ЦКБ-17.</w:t>
      </w:r>
    </w:p>
    <w:p w14:paraId="623F20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освобождения Севастополя в 05.1944 г. на старом месте был восстановлен судостроительный завод № 497, далее- Севастопольский морской завод.</w:t>
      </w:r>
    </w:p>
    <w:p w14:paraId="2AD85A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Поти в 1946-50г, проведена модернизация тральщиков пр. 3, 53, 58, 53У. Завод № 201 действовал в Поти в 1950-е  г. и далее; затем - Потийский СРЗ.</w:t>
      </w:r>
      <w:r w:rsidRPr="00640820">
        <w:rPr>
          <w:rFonts w:ascii="Times New Roman" w:hAnsi="Times New Roman"/>
          <w:color w:val="000000" w:themeColor="text1"/>
          <w:sz w:val="16"/>
          <w:szCs w:val="16"/>
          <w:vertAlign w:val="superscript"/>
        </w:rPr>
        <w:t>116</w:t>
      </w:r>
    </w:p>
    <w:p w14:paraId="4922A6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(1818 г.)- более 800 чел., (1924 г.)- около 3000 чел., (1937 г.)- 6767 чел., (06.1941 г.)- 6937 чел.</w:t>
      </w:r>
    </w:p>
    <w:p w14:paraId="515885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Заведующий (1880-е)- Л. Г. Конкевич. Директор (1925 г.-)- Н.И. Антонов, (-3.08.1937 г.)- А.Л., Токарев; и.о. (3.08.1937 г.-)- С.Н.(П) Задорожный; (16.09.1937-12.1938 г.-)- С.Н. Задорожный, в Севастополе (1942 г.)- Н.К. Костенко, в Туапсе (1941 г.)- С.О. Шрайбер; М.Н. Сургучев.</w:t>
      </w:r>
    </w:p>
    <w:p w14:paraId="4C0B7B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(1920-е)- И.П. Морозов, (-21.01.1937 г.)- В.Ф. Попов, (3.10.1937 г.-)- А.К. Шишунов; по коммерческой части (15.06.1938 г.-)- П.Т. Варюхов. Помощник директора по найму и увольнению (-8.10.1937 г.)- ДЛ. Эвадис, (8.10.1937 г.-)- И.В. Чепак.</w:t>
      </w:r>
    </w:p>
    <w:p w14:paraId="6F8834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(-21.01.1937 г.)- В.Ф. Попов, (3.10.1937-12.1938 г.-)- А.К. Шишунов, Т.Н. Хазарадзе.</w:t>
      </w:r>
    </w:p>
    <w:p w14:paraId="574AD9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филиала в Поти (12.1941 г.-)- С.М. Щеголь.</w:t>
      </w:r>
    </w:p>
    <w:p w14:paraId="6D9026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Корабельный мастер (1819 г.)- И .Я. Осьминин. Строители кораблей: (-1901-04 г.-)- Н.И. Янковский. Гл. строители (1925 г.)- Н.Д. Звягин.</w:t>
      </w:r>
    </w:p>
    <w:p w14:paraId="4E1C9D8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бюро: ПЭБ (02.1938 г.)- Мурин.</w:t>
      </w:r>
    </w:p>
    <w:p w14:paraId="3AD4BC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Производство: корветы: 18-пушечный «Крым» (12.1808-01.1810), 20-пушечные «Менелай» (1839-41), «Ариадна» (1848-51), 24-пушечный «Месемврия» (1832-34), «Язон» (1814-15), «Оливуца»; бриги: «Мингрелия» (1813), «Меркурий» (1819), 12-пушечные «Аргонавт» (1837-37), «Язон» (1848-50), 20-пушечный «Пегас» (1825-); шхуны: (1794-)-2, 12-пушечная «Флора» (1815-18), (1838-40)- 2; тендеры: 8-пушечный (1817-), 12-пушечные (1832-39)- 3; транспорты (1819-23-)- 3, «Днепр» (1836-38), (1840-48-)- 2, «Аккерман» (-1849); 12-пушечные катера (1820)- 1, «Жаворонок» (1825); 18-пушечный шлюп «Диана» (1821-23); яхта «Голубка» (1821-22); люгер «Стрела» (1822); фрегаты: 36-пушечный «Рафаил» (1825-28), 44-пушечный «Браилов» (1835-36), 54-пушечный «Сизополь» (1838-41); бригантина «Нарцисс» (1827-29); землечерпательная машина (1826); боты (1836)- 2; миноноски типа «Щегленок» (1877-78)- 3; канонерские лодки: «Кубанец», «Терец», «Уралец» (1886-87), «Черноморец»; броненосцы «Иоанн Златоуст» (31.10.1904-30.04.1906), «Чесма»; крейсер «Очаков» (08.1901- 09.1902); тральщики: пр. 3 «Трал» (Т-401), «Минреп» (Т-402), «Груз» (Т-403), «Щит» (Т-404) (1933-35), пр. 53 Т- 405 «Взрыватель», Т-406 «Искатель», Т-407 «Мина», Т-411 «Защитник», Т-7 «Веха», Т-8 «Чека» (зак. 180, 08.1936-11.1938), </w:t>
      </w:r>
      <w:r w:rsidRPr="00640820">
        <w:rPr>
          <w:rFonts w:ascii="Times New Roman" w:hAnsi="Times New Roman"/>
          <w:color w:val="000000" w:themeColor="text1"/>
          <w:sz w:val="16"/>
          <w:szCs w:val="16"/>
          <w:lang w:val="en-US"/>
        </w:rPr>
        <w:t>IV</w:t>
      </w:r>
      <w:r w:rsidRPr="00640820">
        <w:rPr>
          <w:rFonts w:ascii="Times New Roman" w:hAnsi="Times New Roman"/>
          <w:color w:val="000000" w:themeColor="text1"/>
          <w:sz w:val="16"/>
          <w:szCs w:val="16"/>
        </w:rPr>
        <w:t xml:space="preserve"> серии пр. 58 Т-5 «Параван» (зак. 187, 1938), Т-6 «Капсюль» (зак. 188, 1938), Т-408 «Якорь» (зак. 189, 1938), Т-409 «Гарпун» (зак. 190, 1938), Т-410 «Взрыв», Т-412 «Арсений Расскин», Т-413 (03.1937- 04.1941), Т-414, Т-415 (01.1941-, не достроены); пр. 59 Т-450 («Павел Головин»), Т-451 («Иван Борисов»), Т-452 («Сергей Шувалов»), Т-453 («Семен Рошаль»), Т-454 («Иван Сладков») (-1941); искатель мин пр. 257М (1959-60, не достроен); эсминцы: пр. 7у (1941)- 1, достройка </w:t>
      </w:r>
      <w:r w:rsidRPr="00640820">
        <w:rPr>
          <w:rFonts w:ascii="Times New Roman" w:hAnsi="Times New Roman"/>
          <w:color w:val="000000" w:themeColor="text1"/>
          <w:sz w:val="16"/>
          <w:szCs w:val="16"/>
        </w:rPr>
        <w:lastRenderedPageBreak/>
        <w:t xml:space="preserve">«Огневой» (-03.1945); сборка ПЛ завода 112 </w:t>
      </w:r>
      <w:r w:rsidRPr="00640820">
        <w:rPr>
          <w:rFonts w:ascii="Times New Roman" w:hAnsi="Times New Roman"/>
          <w:color w:val="000000" w:themeColor="text1"/>
          <w:sz w:val="16"/>
          <w:szCs w:val="16"/>
          <w:lang w:val="en-US"/>
        </w:rPr>
        <w:t>XII</w:t>
      </w:r>
      <w:r w:rsidRPr="00640820">
        <w:rPr>
          <w:rFonts w:ascii="Times New Roman" w:hAnsi="Times New Roman"/>
          <w:color w:val="000000" w:themeColor="text1"/>
          <w:sz w:val="16"/>
          <w:szCs w:val="16"/>
        </w:rPr>
        <w:t xml:space="preserve"> серии (ВОВ); грузопассажирское судно «Св. Николай», пассажирское «Проворный» (1892-93); буксирно-пассажирские пароходы «Волга», «Теща», «Вестник», «Тесть» (1881-83); лесовоз </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 xml:space="preserve"> серии «Михаил Фрунзе» (11.1925-06.1927); сухогрузы: типа «Ногин» «Ногин», «Анри Барбюс» (1929-34); типа «Сихали» «Сихали» («Рыбинск»), «Сызрань» (1932-36), «Вольск», «Молога» (не достроены), «Камышин» (1930-е, достроен после войны); типа «Пионер» «Пионер», «Земляк», «Работник», «Батрак» («Тракторист»), «Местком», «Судком» (1928-33); грузопассажирские «Дельфин», «Чайка» (1928-31); траулеры типа РТ-308 «Красный онежанин» (1930-33)- 4; буксиры: речные 150 л.с. (1928)- 2, 250 л.с. «Колхозник», «Красный Октябрь», «Кимовец» (1928-31); морской спасательный 800 л.с. типа «СП» пр.135 (зак 102, 1938), (-1941)- 12; буксирный ледокол 300 л.с. «Байкал» (1932); водолазные боты морские и речные (1930-е); кольцевой судоподъемный понтон грузоподъемностью 1100 т (1930-е); СПК пр. 342МТ «Комета» (1961-); артиллерийский щит 3-секционный (1938)- 3;</w:t>
      </w:r>
    </w:p>
    <w:p w14:paraId="0E5926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восстановление крейсера «Коминтерн» (1922-23); разборка 7 броненосцев, плавдока (1920-е); модернизация: линкора «Парижская Коммуна» (1934-38; 1939-40); ремонт коммерческих судов (1930-е); переоборудование: опытного судна «Тосно» (1937); грузовых судов типа «Пионер» в транспортные (ВОВ); ремонт крейсеров «Красный Кавказ», «Молотов», эсминца «Способный» (ВОВ) (11982).</w:t>
      </w:r>
    </w:p>
    <w:p w14:paraId="0D2AC5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CE88E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создан филиал завода № 201 в Батуми на базе завода им. Берии (Батумский судостроительный завод им. 50-летия Советской Грузии /384500  г. Батуми ул. Анри Барбюса, 6/) и складов. С 08.1942 г. завод № 201 действовал в Батуми. Был в 1946 г.</w:t>
      </w:r>
    </w:p>
    <w:p w14:paraId="40BE28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1971 г. на завод передано с Феодосийского ССЗ со всей документацией производство катера пр. 1390.</w:t>
      </w:r>
    </w:p>
    <w:p w14:paraId="5A23A8E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катера: пр. 345, пр. 345М (1960-е); командирский пр. 1390 (1974-); быстроходные разъездные на ПК: «Волга», пр. 343 (1960-е); пограничные: речной пр. 1398Б (1970-е-91), сторожевые пр. 1400, пр. 1400М, экспортный пр. 1400МЭ (1970-91)- всего более 200 (вместе с заводами «Море» и № 5), пр. 18629 «Мустанг-99» (1999)- 1; прогулочные пр. 14670 (1980-е) (11982).</w:t>
      </w:r>
    </w:p>
    <w:p w14:paraId="2512DA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F5F63EC"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698942F4"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1DA6B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у немцев на Восточном фронте было всего 1462 самолета - остальные выбили (228,156).</w:t>
      </w:r>
    </w:p>
    <w:p w14:paraId="436A278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A7C339F"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был пик наличия Р-6 и КР-6 в ВВС действующей армии (12264).</w:t>
      </w:r>
    </w:p>
    <w:p w14:paraId="69D54E13" w14:textId="77777777" w:rsidR="00045010" w:rsidRPr="00640820" w:rsidRDefault="00045010" w:rsidP="00640820">
      <w:pPr>
        <w:spacing w:after="0" w:line="240" w:lineRule="auto"/>
        <w:jc w:val="both"/>
        <w:rPr>
          <w:rFonts w:ascii="Times New Roman" w:hAnsi="Times New Roman"/>
          <w:color w:val="000000" w:themeColor="text1"/>
          <w:sz w:val="16"/>
          <w:szCs w:val="16"/>
        </w:rPr>
      </w:pPr>
    </w:p>
    <w:p w14:paraId="37211D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декабре 1941 г. в 18-м </w:t>
      </w:r>
      <w:r w:rsidRPr="00640820">
        <w:rPr>
          <w:rFonts w:ascii="Times New Roman" w:hAnsi="Times New Roman"/>
          <w:iCs/>
          <w:color w:val="000000" w:themeColor="text1"/>
          <w:sz w:val="16"/>
          <w:szCs w:val="16"/>
        </w:rPr>
        <w:t>шап</w:t>
      </w:r>
      <w:r w:rsidRPr="00640820">
        <w:rPr>
          <w:rFonts w:ascii="Times New Roman" w:hAnsi="Times New Roman"/>
          <w:color w:val="000000" w:themeColor="text1"/>
          <w:sz w:val="16"/>
          <w:szCs w:val="16"/>
        </w:rPr>
        <w:t xml:space="preserve"> ВВС Черно</w:t>
      </w:r>
      <w:r w:rsidRPr="00640820">
        <w:rPr>
          <w:rFonts w:ascii="Times New Roman" w:hAnsi="Times New Roman"/>
          <w:color w:val="000000" w:themeColor="text1"/>
          <w:sz w:val="16"/>
          <w:szCs w:val="16"/>
        </w:rPr>
        <w:softHyphen/>
        <w:t>морского флота (командир м-р А.А.Губрий) на нескольких самолетах Ил-2 си</w:t>
      </w:r>
      <w:r w:rsidRPr="00640820">
        <w:rPr>
          <w:rFonts w:ascii="Times New Roman" w:hAnsi="Times New Roman"/>
          <w:color w:val="000000" w:themeColor="text1"/>
          <w:sz w:val="16"/>
          <w:szCs w:val="16"/>
        </w:rPr>
        <w:softHyphen/>
        <w:t>лами личного состава под руководством инженера полка П.С.Журавлева было установлено дублированное управление рулем высоты, что позволило сохранить то небольшое количество штурмовиков и жизнь летного состава (6467).</w:t>
      </w:r>
    </w:p>
    <w:p w14:paraId="0C7B2E9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CB817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начала зарождаться (в условиях стратегической обороны) А.п.в. в наступлении, проявившаяся в ходе контрнаступления Красной Армии под Москвой. Важной особенностью А.п.в. явилось то, что она осуществлялась в условиях завоевания и удержания оперативного господства в воздухе ВВС КА в результате проведения по решению Ставки ВГК 2-х воздушных операций (11...18.10.1941 г. и 5...8.11.1941 г.) силами ВВС 4-х фронтов, соединений ДБА на главном направлении контрнаступления.</w:t>
      </w:r>
    </w:p>
    <w:p w14:paraId="6D6C3F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Итогом воздушных операций явилось уничтожение на аэродромах и в воздухе более 600 немецких самолетов из состава самого сильного 2 ВФ ВВС Германии, действующего в полосе группы армий "Центр".</w:t>
      </w:r>
    </w:p>
    <w:p w14:paraId="6CDB9B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А.п.в. в контрнаступлении под Москвой зимой 1941...1942 г.г. осуществлялось по трем периодам: авиационная подготовка атаки, авиационная поддержка атаки и авиационное сопровождение наступления войск в глубине.</w:t>
      </w:r>
    </w:p>
    <w:p w14:paraId="3FF65FB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Следует отметить, что наиболее эффективным периодом А.п.в. в контрнаступлении была авиационная поддержка атаки, что было особенно важным в суровых условиях зимы 1941...1942 г.г. в Подмосковье (2904,3).</w:t>
      </w:r>
    </w:p>
    <w:p w14:paraId="69C3F7B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E0396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на фронт попал вооруженный "Томагауками" 159-й полк, в январе 1942 года - 196-й. Они вместе со 154 иап вошли в состав Восточной оперативной группы, обеспечивавшей прикрытие транспортных самолетов, доставлявших через Ладогу грузы в осажденный Ленинград. Немцы упорно пытались разрушить "воздушный мост" (3457,61).</w:t>
      </w:r>
    </w:p>
    <w:p w14:paraId="0AB196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9F9AC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 По инициативе и под руководством С.А. Попова и А.И. Рощина началась подготовка воинов-десантников с применением привязных аэростатов (11013).</w:t>
      </w:r>
    </w:p>
    <w:p w14:paraId="5A5E15E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70C17E7" w14:textId="77777777" w:rsidR="00C2716E" w:rsidRPr="00640820" w:rsidRDefault="00C2716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декабре 1941 г. под председа</w:t>
      </w:r>
      <w:r w:rsidRPr="00640820">
        <w:rPr>
          <w:rFonts w:ascii="Times New Roman" w:hAnsi="Times New Roman"/>
          <w:color w:val="0070C0"/>
          <w:sz w:val="16"/>
          <w:szCs w:val="16"/>
        </w:rPr>
        <w:softHyphen/>
        <w:t>тельством главного инспектора ВДВ полковни</w:t>
      </w:r>
      <w:r w:rsidRPr="00640820">
        <w:rPr>
          <w:rFonts w:ascii="Times New Roman" w:hAnsi="Times New Roman"/>
          <w:color w:val="0070C0"/>
          <w:sz w:val="16"/>
          <w:szCs w:val="16"/>
        </w:rPr>
        <w:softHyphen/>
        <w:t>ка М.П. Спирина была образована специальная комиссия Военного Совета ВДВ Красной Армии, в которую вошли инспекторы ВДВ, ВВС, испыта</w:t>
      </w:r>
      <w:r w:rsidRPr="00640820">
        <w:rPr>
          <w:rFonts w:ascii="Times New Roman" w:hAnsi="Times New Roman"/>
          <w:color w:val="0070C0"/>
          <w:sz w:val="16"/>
          <w:szCs w:val="16"/>
        </w:rPr>
        <w:softHyphen/>
        <w:t>тели НИИ ВВС, командир 7-го воздушно-десант</w:t>
      </w:r>
      <w:r w:rsidRPr="00640820">
        <w:rPr>
          <w:rFonts w:ascii="Times New Roman" w:hAnsi="Times New Roman"/>
          <w:color w:val="0070C0"/>
          <w:sz w:val="16"/>
          <w:szCs w:val="16"/>
        </w:rPr>
        <w:softHyphen/>
        <w:t>ного корпуса.</w:t>
      </w:r>
    </w:p>
    <w:p w14:paraId="35FDC3D9" w14:textId="77777777" w:rsidR="00C2716E" w:rsidRPr="00640820" w:rsidRDefault="00C2716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Испытания показали эффективность органи</w:t>
      </w:r>
      <w:r w:rsidRPr="00640820">
        <w:rPr>
          <w:rFonts w:ascii="Times New Roman" w:hAnsi="Times New Roman"/>
          <w:color w:val="0070C0"/>
          <w:sz w:val="16"/>
          <w:szCs w:val="16"/>
        </w:rPr>
        <w:softHyphen/>
        <w:t>зации учебных прыжков с использованием аэро</w:t>
      </w:r>
      <w:r w:rsidRPr="00640820">
        <w:rPr>
          <w:rFonts w:ascii="Times New Roman" w:hAnsi="Times New Roman"/>
          <w:color w:val="0070C0"/>
          <w:sz w:val="16"/>
          <w:szCs w:val="16"/>
        </w:rPr>
        <w:softHyphen/>
        <w:t>стата. За два часа прыжки совершили 54 десант</w:t>
      </w:r>
      <w:r w:rsidRPr="00640820">
        <w:rPr>
          <w:rFonts w:ascii="Times New Roman" w:hAnsi="Times New Roman"/>
          <w:color w:val="0070C0"/>
          <w:sz w:val="16"/>
          <w:szCs w:val="16"/>
        </w:rPr>
        <w:softHyphen/>
        <w:t>ника. При этом материальные затраты были ми</w:t>
      </w:r>
      <w:r w:rsidRPr="00640820">
        <w:rPr>
          <w:rFonts w:ascii="Times New Roman" w:hAnsi="Times New Roman"/>
          <w:color w:val="0070C0"/>
          <w:sz w:val="16"/>
          <w:szCs w:val="16"/>
        </w:rPr>
        <w:softHyphen/>
        <w:t>нимальными (в 30 раз дешевле, чем с самолёта) (20120).</w:t>
      </w:r>
    </w:p>
    <w:p w14:paraId="634F27E2" w14:textId="77777777" w:rsidR="00C2716E" w:rsidRPr="00640820" w:rsidRDefault="00C2716E" w:rsidP="00640820">
      <w:pPr>
        <w:spacing w:after="0" w:line="240" w:lineRule="auto"/>
        <w:jc w:val="both"/>
        <w:rPr>
          <w:rFonts w:ascii="Times New Roman" w:hAnsi="Times New Roman"/>
          <w:color w:val="0070C0"/>
          <w:sz w:val="16"/>
          <w:szCs w:val="16"/>
        </w:rPr>
      </w:pPr>
    </w:p>
    <w:p w14:paraId="667B605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Декабрь 1941 г. В битве за Москву активное участие принимают четыре дивизии НКВД, истребительный полк, милицейские диверсионные группы (10303).</w:t>
      </w:r>
    </w:p>
    <w:p w14:paraId="262AC0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12D3C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года при фронтах создаются отделы, а при армиях - станции ВЧ-связи с непосредственным подчинением их Отделу правительственной связи НКВД СССР (начальник - полковник И.Я.Воробьев) (8983).</w:t>
      </w:r>
    </w:p>
    <w:p w14:paraId="4F8179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50D00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городской комитет обороны принял решение о развертывании строительства больших бомбоубежищ тоннельного типа для населения Горького и начальства. К 15 февраля 1942 г. предполагалось построить пять таких объектов в районах:</w:t>
      </w:r>
    </w:p>
    <w:p w14:paraId="4ED7F0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Нижнего Новгорода. 160 – Кремль – Ивановский съезд под Мининским садом,</w:t>
      </w:r>
    </w:p>
    <w:p w14:paraId="4D28E6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овраг в конце ул. Воробьева,</w:t>
      </w:r>
    </w:p>
    <w:p w14:paraId="352728E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набережная им. Жданова, напротив Индустриального института,</w:t>
      </w:r>
    </w:p>
    <w:p w14:paraId="3A5847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ул. Маяковского – Почтовый спуск,</w:t>
      </w:r>
    </w:p>
    <w:p w14:paraId="67B665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 Ромодановский (Казанский) вокзал.</w:t>
      </w:r>
    </w:p>
    <w:p w14:paraId="5B5DA1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 убежища оборудовались защитно-герметическими дверями, баками для воды, вентиляцией, канализацией и водопроводом. На строительство этих объектов были мобилизованы 2300 человек (11774).</w:t>
      </w:r>
    </w:p>
    <w:p w14:paraId="3200C7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2EDC2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ГАУ обратилось к Народному комиссару электропромышленности И. Г. Кабанову с предложением совместно разработать план мероприятий по производству средств радиолокации для ЗА и внести его в ГКО.</w:t>
      </w:r>
    </w:p>
    <w:p w14:paraId="565E02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ответ на обращение ГАУ И. Г. Кабанов поручил своему заместителю И. Г. Зубовичу подготовить такой план мероприятий. И. Г. Зубович вместе с автором настоящей книги обратились к заведующему отделом электропромышленности ЦК ВКП(б) А. А. Турчанину и заместителю Председателя СНК СССР М. З. Сабурову и доложили о состоянии дел с зенитной радиолокацией и необходимости проведения неотложных мер по ее развитию (11026).</w:t>
      </w:r>
    </w:p>
    <w:p w14:paraId="6FA066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778AA8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Проведение специального сбора помощников начальников связи фронтов и армий по радио. Введение в оперативный расчет частей связи армии армейской мастерской связи (40 человек). Создание первого подвижного узла связи на Ленинградском фронте на семи автомобилях. Использование аппаратуры «Алмаз» для обеспечения радиосвязи в звене «Генеральный штаб — фронт». Поступление в войска радиостанции РАФ-КВ-3 и радиостанции 12РП (в 1941 г. поступило 1000 шт.). Создание фронтовых курсов младших лейтенантов войск связи со сроком обучения от 1 до 3 месяцев. Поступление в войска приемников 5СГ, 5СГ-2, «Урал» и телефонной аппаратуры промежуточного типа УНА-И-41, УНА-Ф-41, УНА-ФИ, ТАТ-Ф, ТАБИП. Производство в Ленинградском фронте радиостанции РЛ-6 (11072).</w:t>
      </w:r>
    </w:p>
    <w:p w14:paraId="6B3431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C4A985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1941-го некий подмосковный крестьянин Иван Петрович Иванов завел в «глухой овраг» 63-й моторизованный полк Вермахта, после чего «озверелые гитлеровцы» расстреляли героя. [1 — Комаров Н. Я., Куманёв Г. А. Битва под Москвой. Пролог к Великой Победе: Исторический дневник. Комментарии. М.: Молодая гвардия, 2005, с. 173.] Причем приводится этот заведомо пропагандистский факт времен войны (одни Ф.И.О. чего стоят) без кавычек и цитирования, то есть так, как будто это доказанный исторический факт (11741).</w:t>
      </w:r>
    </w:p>
    <w:p w14:paraId="64C3FD2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D2B0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года пл П-2 доста</w:t>
      </w:r>
      <w:r w:rsidRPr="00640820">
        <w:rPr>
          <w:rFonts w:ascii="Times New Roman" w:hAnsi="Times New Roman"/>
          <w:color w:val="000000" w:themeColor="text1"/>
          <w:sz w:val="16"/>
          <w:szCs w:val="16"/>
        </w:rPr>
        <w:softHyphen/>
        <w:t>вила из Кронштадта в Ленинград 700 т соляра, принятого в цис</w:t>
      </w:r>
      <w:r w:rsidRPr="00640820">
        <w:rPr>
          <w:rFonts w:ascii="Times New Roman" w:hAnsi="Times New Roman"/>
          <w:color w:val="000000" w:themeColor="text1"/>
          <w:sz w:val="16"/>
          <w:szCs w:val="16"/>
        </w:rPr>
        <w:softHyphen/>
        <w:t>терны главного балласта (3898).</w:t>
      </w:r>
    </w:p>
    <w:p w14:paraId="26CC22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0437790"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ПЛ "П-2" ("Звезда"), которой командовал капитан-лейтенант И.П.Попов, была использована для доставки из Кронштадта топлива для электростанций блокадного Ленинграда. Ее проводку сквозь лед, сковавший Невскую губу, осуществлял ледокол. Несмотря на маскировочную окраску и движение в позиционном положении (т.е. заполненными цистернами главного балласта), когда над водой оставались лишь рубка и примыкающие к ней части надстройки, "П-2" была обнаружена противником и обстреляна его береговой артиллерией из района Петергоф (Петродворец) - Стрельна. ПЛ получила 14 пробоин в легком корпусе, тем не менее экипаж выполнил необычное задание (12719).</w:t>
      </w:r>
    </w:p>
    <w:p w14:paraId="374E882F" w14:textId="77777777" w:rsidR="00045010" w:rsidRPr="00640820" w:rsidRDefault="00045010" w:rsidP="00640820">
      <w:pPr>
        <w:spacing w:after="0" w:line="240" w:lineRule="auto"/>
        <w:jc w:val="both"/>
        <w:rPr>
          <w:rFonts w:ascii="Times New Roman" w:hAnsi="Times New Roman"/>
          <w:color w:val="000000" w:themeColor="text1"/>
          <w:sz w:val="16"/>
          <w:szCs w:val="16"/>
        </w:rPr>
      </w:pPr>
    </w:p>
    <w:p w14:paraId="5ACB47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К-51 даже вышла в боевой поход с расчетом на воз</w:t>
      </w:r>
      <w:r w:rsidRPr="00640820">
        <w:rPr>
          <w:rFonts w:ascii="Times New Roman" w:hAnsi="Times New Roman"/>
          <w:color w:val="000000" w:themeColor="text1"/>
          <w:sz w:val="16"/>
          <w:szCs w:val="16"/>
        </w:rPr>
        <w:softHyphen/>
        <w:t>вращение весной 1942 г., но при движении во льдах получила по</w:t>
      </w:r>
      <w:r w:rsidRPr="00640820">
        <w:rPr>
          <w:rFonts w:ascii="Times New Roman" w:hAnsi="Times New Roman"/>
          <w:color w:val="000000" w:themeColor="text1"/>
          <w:sz w:val="16"/>
          <w:szCs w:val="16"/>
        </w:rPr>
        <w:softHyphen/>
        <w:t>вреждение легкого корпуса, артвооружения и некоторых устройств, и ее пришлось возвратить от о. Лавенсари 24 апреля 1942 г. К-51 на Неве получила попадание снаряда среднего калибра, разрывом которого был пробит прочный корпус. Окончательный ввод ее в строй затянулся до ноября 1943 г. В октябре 1942 г. и июле 1943 г. были сданы К-52 и К-53, работы на которых также задерживались из-за артобстрелов и рассредоточения лодок на Неве (3898).</w:t>
      </w:r>
    </w:p>
    <w:p w14:paraId="438C35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5000F50"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1E585930"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E625A48" w14:textId="77777777" w:rsidR="00B578D4" w:rsidRPr="00640820" w:rsidRDefault="00B578D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Декабрь 1941. Ученик 7-го класса Игорь Опарин записывает: "К Москве тянулись эшелоны с войсками, с боеприпасами для армии. Продовольствие, топливо и все другое, нужное для населения, в город приходило в небольшом количестве. Дома стояли темные, не отапливаемые, с выбитыми окнами от взрывных бомб вражеских фугасок. Люди в комнатах сидели в шубах, валенках, перчатках и изредка выходили на улицу немного пройтись. В комнатах было от 5 до 7 градусов. Электричество было выключено на всю зиму, и люди сидели в темноте, некоторые - с маленькими коптилками. Но эти люди были счастливцами для того времени. Газ в дома не подавался за отсутствием топлива. Жители пили холодную воду и ели хлеб. Остальное, если и было, то не на чем было его разогреть (18697). </w:t>
      </w:r>
    </w:p>
    <w:p w14:paraId="5E2E5FCF" w14:textId="77777777" w:rsidR="00B578D4" w:rsidRPr="00640820" w:rsidRDefault="00B578D4" w:rsidP="00640820">
      <w:pPr>
        <w:spacing w:after="0" w:line="240" w:lineRule="auto"/>
        <w:jc w:val="both"/>
        <w:rPr>
          <w:rFonts w:ascii="Times New Roman" w:hAnsi="Times New Roman"/>
          <w:color w:val="000000" w:themeColor="text1"/>
          <w:sz w:val="16"/>
          <w:szCs w:val="16"/>
        </w:rPr>
      </w:pPr>
    </w:p>
    <w:p w14:paraId="341E78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вышел указ Президиума ВС "Об ответственности рабочих и служащих предприятий военной промышленности за самовольный уход с предприятий" (338,23).</w:t>
      </w:r>
    </w:p>
    <w:p w14:paraId="0FFC84C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57E2C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года уголовная ответственность устанавливается для всех работников военной промышленности, в том числе и тех производств, которые работали на оборону “по принципу кооперации”, — самовольно ушедшие оттуда объявлялись дезертирами и подлежали суду военных трибуналов. Дополнительными указами это положение в 1942 году распространили на рабочих и служащих угольной и нефтяной промышленности, транспорта, а также на рабочих и служащих отдельных предприятий (например, Магнитостроя) (9985).</w:t>
      </w:r>
    </w:p>
    <w:p w14:paraId="3470523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40F12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был введен особый военный налог с освобождением военнослужащих (2070,131).</w:t>
      </w:r>
    </w:p>
    <w:p w14:paraId="6151F2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FCC6941"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7FEE994F"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F7C5C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декабря 1941 Сикорский и Андерс просили советское правительство перевести 100 тыс. польскую армию в Иран под эгиду англичан. Первая партия была отправлена весной 1942, а вторая - в разгар Сталинградской битвы (2070,145).</w:t>
      </w:r>
    </w:p>
    <w:p w14:paraId="60F429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4CC2838" w14:textId="77777777" w:rsidR="00C2716E" w:rsidRPr="00640820" w:rsidRDefault="00C2716E" w:rsidP="00640820">
      <w:pPr>
        <w:shd w:val="clear" w:color="auto" w:fill="FFFFFF"/>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декабре 1941 года Чан Кайши через советского посла обратился к правительству СССР с очередной просьбой о вступлении Советского Союза в войну против Японии. Но Советское правительство в этом же месяце официально отклонило предложение Чан Кайши. В Москве небезосновательно считали, что вступление страны в войну с Японией вынудило бы Советский Союз воевать на два фронта, к чему он был не готов (20122).</w:t>
      </w:r>
    </w:p>
    <w:p w14:paraId="272FA3B8" w14:textId="77777777" w:rsidR="00C2716E" w:rsidRPr="00640820" w:rsidRDefault="00C2716E" w:rsidP="00640820">
      <w:pPr>
        <w:shd w:val="clear" w:color="auto" w:fill="FFFFFF"/>
        <w:spacing w:after="0" w:line="240" w:lineRule="auto"/>
        <w:jc w:val="both"/>
        <w:rPr>
          <w:rFonts w:ascii="Times New Roman" w:hAnsi="Times New Roman"/>
          <w:color w:val="0070C0"/>
          <w:sz w:val="16"/>
          <w:szCs w:val="16"/>
        </w:rPr>
      </w:pPr>
    </w:p>
    <w:p w14:paraId="11E17AB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де</w:t>
      </w:r>
      <w:r w:rsidRPr="00640820">
        <w:rPr>
          <w:rFonts w:ascii="Times New Roman" w:hAnsi="Times New Roman"/>
          <w:color w:val="000000" w:themeColor="text1"/>
          <w:sz w:val="16"/>
          <w:szCs w:val="16"/>
        </w:rPr>
        <w:softHyphen/>
        <w:t>кабрю 1941 в 6-й эскадрилье осталось всего три исправных ДБ-3. Из-за отсутствия запчастей прекратились даже учебные полеты (10734,40).</w:t>
      </w:r>
    </w:p>
    <w:p w14:paraId="122D8F1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D7C35D"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086ECEB5"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552C50E" w14:textId="77777777" w:rsidR="00C2716E" w:rsidRPr="00640820" w:rsidRDefault="00C2716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Декабрь 1941 состоялся первый полет Kawasaki Ki-61 Hien («Ласточка»), союзное название «Тони» (20794).</w:t>
      </w:r>
    </w:p>
    <w:p w14:paraId="135E87F0" w14:textId="77777777" w:rsidR="00C2716E" w:rsidRPr="00640820" w:rsidRDefault="00C2716E" w:rsidP="00640820">
      <w:pPr>
        <w:spacing w:after="0" w:line="240" w:lineRule="auto"/>
        <w:jc w:val="both"/>
        <w:rPr>
          <w:rFonts w:ascii="Times New Roman" w:hAnsi="Times New Roman"/>
          <w:color w:val="0070C0"/>
          <w:sz w:val="16"/>
          <w:szCs w:val="16"/>
        </w:rPr>
      </w:pPr>
    </w:p>
    <w:p w14:paraId="1DFCBC6A" w14:textId="77777777" w:rsidR="0048040F" w:rsidRPr="00640820" w:rsidRDefault="0048040F"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В декабре 1941 года после осмотра Т-34 разгорелась дискуссия о судьбе 20-тонных средних танков. Одни выступали за остановку всей программы в пользу новых машин 30-тонного класса, в котором характеристики советских танков можно значительно превзойти. Другие считали, что в условиях войны нужно, не теряя времени, запускать в производство практически готовый VK 20 — тем более, что 20-тонный танк обещал быть более дешёвым и массовым.</w:t>
      </w:r>
    </w:p>
    <w:p w14:paraId="03D4ED01" w14:textId="77777777" w:rsidR="0048040F" w:rsidRPr="00640820" w:rsidRDefault="0048040F"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Было решено переключиться на создание 30-тонных средних танков. Фирма «Даймлер-Бенц» подготовила проект VK 30.01 (D) — на первый взгляд, очень похожий на Т-34. Ещё бы — трансмиссия переехала назад, корпус и башня получили рациональные углы наклона брони, а сердцем танка стал мощный дизельный двигатель. Обычно VK 30.01 (D) и описывают чуть ли не как немецкую копию Т-34.</w:t>
      </w:r>
    </w:p>
    <w:p w14:paraId="1A94DF36" w14:textId="77777777" w:rsidR="0048040F" w:rsidRPr="00640820" w:rsidRDefault="0048040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shd w:val="clear" w:color="auto" w:fill="FFFFFF"/>
        </w:rPr>
        <w:t>VK 30.01 (D) можно описать как дальнейшее развитие идей VK 20.01 (D) в 30-тонном классе под значительным влиянием Т-34 и с учётом требований Отдела №6. Аналогичная история и у «Пантеры» фирмы MAN: конструкторы развивали идеи VK 20.02 (M) под советским влиянием. Даже корпус с рациональными углами впервые появился на VK 20.02 (M), причём по форме он получился самобытным (19677).</w:t>
      </w:r>
    </w:p>
    <w:p w14:paraId="5C43D5A9" w14:textId="77777777" w:rsidR="0048040F" w:rsidRPr="00640820" w:rsidRDefault="0048040F" w:rsidP="00640820">
      <w:pPr>
        <w:spacing w:after="0" w:line="240" w:lineRule="auto"/>
        <w:jc w:val="both"/>
        <w:rPr>
          <w:rFonts w:ascii="Times New Roman" w:hAnsi="Times New Roman"/>
          <w:color w:val="000000" w:themeColor="text1"/>
          <w:sz w:val="16"/>
          <w:szCs w:val="16"/>
        </w:rPr>
      </w:pPr>
    </w:p>
    <w:p w14:paraId="316893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в Германии был разработан проект бронепоезда образца 1941 г., в состав которого предполагалось, помимо прочего, ввести специальные платформы с установленными на них танками. В качестве локомотива предполагалось использовать тепловозы, вводились автоматическая сцепка и расцепка броневагонов и другие современные устройства. Вскоре Германия развернула строительство таких бронепоездов, ставших известными как Panzer Zug 41. Некоторые из них были рассчитаны на широкую "русскую" колею - 1524 мм. Каждый из них включал две-три платформы с размещенными на них трофейными французскими танками Somua S35 и открытые платформы с невысокими стальными стенками, в которых были проделаны бойницы для стрельбы. По взглядам немецкого командования, бронепоезда были предназначены в основном для борьбы с партизанами.</w:t>
      </w:r>
    </w:p>
    <w:p w14:paraId="13E8DC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Впоследствии было принято решение изготавливать бронепоезда образца 1942 года - Panzer Zug 42. В отличие от Panzer Zug 41 количество артиллерийских систем на них было увеличено до четырех, причем использовались только трофейные польские и советские орудия. Располагались они по одному в каждом броневагоне в целях уменьшения потерь личного состава при взрыве боекомплекта. Кстати, аналогичное решение было принято советскими конструкторами при создании типового броневагона образца 1943 г (11148).</w:t>
      </w:r>
    </w:p>
    <w:p w14:paraId="6766A6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810308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работая при ограниченной поддержке DVL Цьюз построил Z3 - первый программируемый калькулятор. Память на 1500 реле хранила 64 слова, а арифметическое и контрольное устройства - еще 1200 реле. Как шкаф (3463).</w:t>
      </w:r>
    </w:p>
    <w:p w14:paraId="5023C6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78D78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года «Z3» была сдана в эксплуатацию производителям военных самолетов. Именно с помощью «Z3» обсчитывались аэродинамические и баллистические характеристики самолетов-снарядов «V-1».</w:t>
      </w:r>
    </w:p>
    <w:p w14:paraId="5948B6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Построив и успешно внедрив в военную промышленность «Z3», Цузе заключил контракт с Научно-исследовательским управлением ВВС Германии на проектирование «Z4». Эта машина была очень похожа на «Z3» и включала в себя все лучшие разработки Цузе, реализованные им в предыдущих проектах. Этот компьютер обладал уже 1024 регистрами памяти для хранения 22-битных слов, мощным процессором на основе реле, позволявшим с высокой скоростью выполнять преобразования двоичных чисел.</w:t>
      </w:r>
    </w:p>
    <w:p w14:paraId="55924B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над «Z4» продолжались три года, и к декабрю 1944 года этот проект был практически завершен. Однако к этому моменту ход войны изменился далеко не в пользу Германии. Во время одного из налетов советской авиации на Берлин первый экземпляр ЭВМ «Z3» был полностью уничтожен, а когда в мае 1945 года в столицу Германии вошла советская армия, Цузе был вынужден бежать вместе с уже собранным компьютером «Z4» на юг страны, спрятав его в одном из глухих уголков баварских Альп…(11688).</w:t>
      </w:r>
    </w:p>
    <w:p w14:paraId="6857E2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E95B8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в Японии у флотского офицера л Тасуо Цукудо возникла идея бомбардировки Америки с самолета, запускаемого с подводной лодки И-25 типа И-15 (2704,1).</w:t>
      </w:r>
    </w:p>
    <w:p w14:paraId="20CC39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5D4AF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военные согласовали вооружение для В-29 (1051,13).</w:t>
      </w:r>
    </w:p>
    <w:p w14:paraId="5B6152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F94C164"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lastRenderedPageBreak/>
        <w:t>Другие оборонные отрасли:</w:t>
      </w:r>
    </w:p>
    <w:p w14:paraId="48CBF3EB"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359490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период декабрь 1941 г. - январь 1942 г. был изготовлен опытный образец КВ-9 и в феврале того же года успешно прошел поли</w:t>
      </w:r>
      <w:r w:rsidRPr="00640820">
        <w:rPr>
          <w:rFonts w:ascii="Times New Roman" w:hAnsi="Times New Roman"/>
          <w:color w:val="000000" w:themeColor="text1"/>
          <w:sz w:val="16"/>
          <w:szCs w:val="16"/>
        </w:rPr>
        <w:softHyphen/>
        <w:t>гонные испытания под Челябинском. Дополнительные артиллерийские испытания гаубицы, установленной в танке, были проведены в период с 14 по 25 марта 1942 г. В то время снижение качества изготовления аг</w:t>
      </w:r>
      <w:r w:rsidRPr="00640820">
        <w:rPr>
          <w:rFonts w:ascii="Times New Roman" w:hAnsi="Times New Roman"/>
          <w:color w:val="000000" w:themeColor="text1"/>
          <w:sz w:val="16"/>
          <w:szCs w:val="16"/>
        </w:rPr>
        <w:softHyphen/>
        <w:t>регатов трансмиссии танка КВ-1 обр. 1941 г. привело к большому числу аварий. Опасение еще в большем ухудшении надежности работы транс</w:t>
      </w:r>
      <w:r w:rsidRPr="00640820">
        <w:rPr>
          <w:rFonts w:ascii="Times New Roman" w:hAnsi="Times New Roman"/>
          <w:color w:val="000000" w:themeColor="text1"/>
          <w:sz w:val="16"/>
          <w:szCs w:val="16"/>
        </w:rPr>
        <w:softHyphen/>
        <w:t>миссии танка КВ-1 при увеличении его массы на 0,5 т послужило при</w:t>
      </w:r>
      <w:r w:rsidRPr="00640820">
        <w:rPr>
          <w:rFonts w:ascii="Times New Roman" w:hAnsi="Times New Roman"/>
          <w:color w:val="000000" w:themeColor="text1"/>
          <w:sz w:val="16"/>
          <w:szCs w:val="16"/>
        </w:rPr>
        <w:softHyphen/>
        <w:t>чиной отказа от вооружения машины 122-мм гаубицей У-11 (10703).</w:t>
      </w:r>
    </w:p>
    <w:p w14:paraId="23525B8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8EB57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декабре 1941 г. - январе 1942 г. на танках Т-34-76 СТЗ, выпускавшихся, в связи с прекращением поставок на завод элек</w:t>
      </w:r>
      <w:r w:rsidRPr="00640820">
        <w:rPr>
          <w:rFonts w:ascii="Times New Roman" w:hAnsi="Times New Roman"/>
          <w:color w:val="000000" w:themeColor="text1"/>
          <w:sz w:val="16"/>
          <w:szCs w:val="16"/>
        </w:rPr>
        <w:softHyphen/>
        <w:t>тродвигателей, электромоторный привод МПБ отсутствовал. Ручным приводом также пользовались как дублером в случае отказа моторного привода, а также тогда, когда использовать силовые приводы не было не</w:t>
      </w:r>
      <w:r w:rsidRPr="00640820">
        <w:rPr>
          <w:rFonts w:ascii="Times New Roman" w:hAnsi="Times New Roman"/>
          <w:color w:val="000000" w:themeColor="text1"/>
          <w:sz w:val="16"/>
          <w:szCs w:val="16"/>
        </w:rPr>
        <w:softHyphen/>
        <w:t>обходимости, например, при стрельбе с места по неподвижной цели (10703).</w:t>
      </w:r>
    </w:p>
    <w:p w14:paraId="62D48B7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Характеристики маневренности огня танковых пушек</w:t>
      </w:r>
    </w:p>
    <w:tbl>
      <w:tblPr>
        <w:tblW w:w="0" w:type="auto"/>
        <w:tblInd w:w="40" w:type="dxa"/>
        <w:tblLayout w:type="fixed"/>
        <w:tblCellMar>
          <w:left w:w="40" w:type="dxa"/>
          <w:right w:w="40" w:type="dxa"/>
        </w:tblCellMar>
        <w:tblLook w:val="0000" w:firstRow="0" w:lastRow="0" w:firstColumn="0" w:lastColumn="0" w:noHBand="0" w:noVBand="0"/>
      </w:tblPr>
      <w:tblGrid>
        <w:gridCol w:w="1066"/>
        <w:gridCol w:w="1258"/>
        <w:gridCol w:w="1709"/>
        <w:gridCol w:w="1574"/>
        <w:gridCol w:w="1094"/>
        <w:gridCol w:w="960"/>
        <w:gridCol w:w="1094"/>
        <w:gridCol w:w="2064"/>
      </w:tblGrid>
      <w:tr w:rsidR="00643896" w:rsidRPr="00640820" w14:paraId="36EDD335" w14:textId="77777777" w:rsidTr="000D3BCB">
        <w:trPr>
          <w:trHeight w:val="931"/>
        </w:trPr>
        <w:tc>
          <w:tcPr>
            <w:tcW w:w="1066" w:type="dxa"/>
            <w:tcBorders>
              <w:top w:val="single" w:sz="6" w:space="0" w:color="auto"/>
              <w:left w:val="single" w:sz="6" w:space="0" w:color="auto"/>
              <w:bottom w:val="single" w:sz="6" w:space="0" w:color="auto"/>
              <w:right w:val="single" w:sz="6" w:space="0" w:color="auto"/>
            </w:tcBorders>
          </w:tcPr>
          <w:p w14:paraId="0EF844E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Страна</w:t>
            </w:r>
          </w:p>
        </w:tc>
        <w:tc>
          <w:tcPr>
            <w:tcW w:w="1258" w:type="dxa"/>
            <w:tcBorders>
              <w:top w:val="single" w:sz="6" w:space="0" w:color="auto"/>
              <w:left w:val="single" w:sz="6" w:space="0" w:color="auto"/>
              <w:bottom w:val="single" w:sz="6" w:space="0" w:color="auto"/>
              <w:right w:val="single" w:sz="6" w:space="0" w:color="auto"/>
            </w:tcBorders>
          </w:tcPr>
          <w:p w14:paraId="657738F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Тип танка</w:t>
            </w:r>
          </w:p>
        </w:tc>
        <w:tc>
          <w:tcPr>
            <w:tcW w:w="1709" w:type="dxa"/>
            <w:tcBorders>
              <w:top w:val="single" w:sz="6" w:space="0" w:color="auto"/>
              <w:left w:val="single" w:sz="6" w:space="0" w:color="auto"/>
              <w:bottom w:val="single" w:sz="6" w:space="0" w:color="auto"/>
              <w:right w:val="single" w:sz="6" w:space="0" w:color="auto"/>
            </w:tcBorders>
          </w:tcPr>
          <w:p w14:paraId="29D2262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Марка танка</w:t>
            </w:r>
          </w:p>
        </w:tc>
        <w:tc>
          <w:tcPr>
            <w:tcW w:w="1574" w:type="dxa"/>
            <w:tcBorders>
              <w:top w:val="single" w:sz="6" w:space="0" w:color="auto"/>
              <w:left w:val="single" w:sz="6" w:space="0" w:color="auto"/>
              <w:bottom w:val="single" w:sz="6" w:space="0" w:color="auto"/>
              <w:right w:val="single" w:sz="6" w:space="0" w:color="auto"/>
            </w:tcBorders>
          </w:tcPr>
          <w:p w14:paraId="7E0EF47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Максимальная угловая скорость вращения башни, градУс</w:t>
            </w:r>
          </w:p>
        </w:tc>
        <w:tc>
          <w:tcPr>
            <w:tcW w:w="1094" w:type="dxa"/>
            <w:tcBorders>
              <w:top w:val="single" w:sz="6" w:space="0" w:color="auto"/>
              <w:left w:val="single" w:sz="6" w:space="0" w:color="auto"/>
              <w:bottom w:val="single" w:sz="6" w:space="0" w:color="auto"/>
              <w:right w:val="single" w:sz="6" w:space="0" w:color="auto"/>
            </w:tcBorders>
          </w:tcPr>
          <w:p w14:paraId="1EC4956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Время одного оборота башни, с</w:t>
            </w:r>
          </w:p>
        </w:tc>
        <w:tc>
          <w:tcPr>
            <w:tcW w:w="960" w:type="dxa"/>
            <w:tcBorders>
              <w:top w:val="single" w:sz="6" w:space="0" w:color="auto"/>
              <w:left w:val="single" w:sz="6" w:space="0" w:color="auto"/>
              <w:bottom w:val="single" w:sz="6" w:space="0" w:color="auto"/>
              <w:right w:val="single" w:sz="6" w:space="0" w:color="auto"/>
            </w:tcBorders>
          </w:tcPr>
          <w:p w14:paraId="76A5528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Угол возвышения пушки, град</w:t>
            </w:r>
          </w:p>
        </w:tc>
        <w:tc>
          <w:tcPr>
            <w:tcW w:w="1094" w:type="dxa"/>
            <w:tcBorders>
              <w:top w:val="single" w:sz="6" w:space="0" w:color="auto"/>
              <w:left w:val="single" w:sz="6" w:space="0" w:color="auto"/>
              <w:bottom w:val="single" w:sz="6" w:space="0" w:color="auto"/>
              <w:right w:val="single" w:sz="6" w:space="0" w:color="auto"/>
            </w:tcBorders>
          </w:tcPr>
          <w:p w14:paraId="3F5C26B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Угол снижения пушки, град</w:t>
            </w:r>
          </w:p>
        </w:tc>
        <w:tc>
          <w:tcPr>
            <w:tcW w:w="2064" w:type="dxa"/>
            <w:tcBorders>
              <w:top w:val="single" w:sz="6" w:space="0" w:color="auto"/>
              <w:left w:val="single" w:sz="6" w:space="0" w:color="auto"/>
              <w:bottom w:val="single" w:sz="6" w:space="0" w:color="auto"/>
              <w:right w:val="single" w:sz="6" w:space="0" w:color="auto"/>
            </w:tcBorders>
          </w:tcPr>
          <w:p w14:paraId="4D46F9E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Тип механизма поворота башни</w:t>
            </w:r>
          </w:p>
        </w:tc>
      </w:tr>
      <w:tr w:rsidR="00643896" w:rsidRPr="00640820" w14:paraId="70EFA128" w14:textId="77777777" w:rsidTr="000D3BCB">
        <w:trPr>
          <w:trHeight w:val="192"/>
        </w:trPr>
        <w:tc>
          <w:tcPr>
            <w:tcW w:w="1066" w:type="dxa"/>
            <w:tcBorders>
              <w:top w:val="single" w:sz="6" w:space="0" w:color="auto"/>
              <w:left w:val="single" w:sz="6" w:space="0" w:color="auto"/>
              <w:bottom w:val="nil"/>
              <w:right w:val="single" w:sz="6" w:space="0" w:color="auto"/>
            </w:tcBorders>
          </w:tcPr>
          <w:p w14:paraId="5CCC6C3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СССР</w:t>
            </w:r>
          </w:p>
        </w:tc>
        <w:tc>
          <w:tcPr>
            <w:tcW w:w="1258" w:type="dxa"/>
            <w:tcBorders>
              <w:top w:val="single" w:sz="6" w:space="0" w:color="auto"/>
              <w:left w:val="single" w:sz="6" w:space="0" w:color="auto"/>
              <w:bottom w:val="nil"/>
              <w:right w:val="single" w:sz="6" w:space="0" w:color="auto"/>
            </w:tcBorders>
          </w:tcPr>
          <w:p w14:paraId="29619E7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Средний</w:t>
            </w:r>
          </w:p>
        </w:tc>
        <w:tc>
          <w:tcPr>
            <w:tcW w:w="1709" w:type="dxa"/>
            <w:tcBorders>
              <w:top w:val="single" w:sz="6" w:space="0" w:color="auto"/>
              <w:left w:val="single" w:sz="6" w:space="0" w:color="auto"/>
              <w:bottom w:val="single" w:sz="6" w:space="0" w:color="auto"/>
              <w:right w:val="single" w:sz="6" w:space="0" w:color="auto"/>
            </w:tcBorders>
          </w:tcPr>
          <w:p w14:paraId="2109964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Т-34-76</w:t>
            </w:r>
          </w:p>
        </w:tc>
        <w:tc>
          <w:tcPr>
            <w:tcW w:w="1574" w:type="dxa"/>
            <w:tcBorders>
              <w:top w:val="single" w:sz="6" w:space="0" w:color="auto"/>
              <w:left w:val="single" w:sz="6" w:space="0" w:color="auto"/>
              <w:bottom w:val="single" w:sz="6" w:space="0" w:color="auto"/>
              <w:right w:val="single" w:sz="6" w:space="0" w:color="auto"/>
            </w:tcBorders>
          </w:tcPr>
          <w:p w14:paraId="07D5C64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c>
          <w:tcPr>
            <w:tcW w:w="1094" w:type="dxa"/>
            <w:tcBorders>
              <w:top w:val="single" w:sz="6" w:space="0" w:color="auto"/>
              <w:left w:val="single" w:sz="6" w:space="0" w:color="auto"/>
              <w:bottom w:val="single" w:sz="6" w:space="0" w:color="auto"/>
              <w:right w:val="single" w:sz="6" w:space="0" w:color="auto"/>
            </w:tcBorders>
          </w:tcPr>
          <w:p w14:paraId="2F237D8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w:t>
            </w:r>
          </w:p>
        </w:tc>
        <w:tc>
          <w:tcPr>
            <w:tcW w:w="960" w:type="dxa"/>
            <w:tcBorders>
              <w:top w:val="single" w:sz="6" w:space="0" w:color="auto"/>
              <w:left w:val="single" w:sz="6" w:space="0" w:color="auto"/>
              <w:bottom w:val="single" w:sz="6" w:space="0" w:color="auto"/>
              <w:right w:val="single" w:sz="6" w:space="0" w:color="auto"/>
            </w:tcBorders>
          </w:tcPr>
          <w:p w14:paraId="7F92D28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c>
          <w:tcPr>
            <w:tcW w:w="1094" w:type="dxa"/>
            <w:tcBorders>
              <w:top w:val="single" w:sz="6" w:space="0" w:color="auto"/>
              <w:left w:val="single" w:sz="6" w:space="0" w:color="auto"/>
              <w:bottom w:val="single" w:sz="6" w:space="0" w:color="auto"/>
              <w:right w:val="single" w:sz="6" w:space="0" w:color="auto"/>
            </w:tcBorders>
          </w:tcPr>
          <w:p w14:paraId="3EA3208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2064" w:type="dxa"/>
            <w:tcBorders>
              <w:top w:val="single" w:sz="6" w:space="0" w:color="auto"/>
              <w:left w:val="single" w:sz="6" w:space="0" w:color="auto"/>
              <w:bottom w:val="single" w:sz="6" w:space="0" w:color="auto"/>
              <w:right w:val="single" w:sz="6" w:space="0" w:color="auto"/>
            </w:tcBorders>
          </w:tcPr>
          <w:p w14:paraId="1324417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Электромеханический</w:t>
            </w:r>
          </w:p>
        </w:tc>
      </w:tr>
      <w:tr w:rsidR="00643896" w:rsidRPr="00640820" w14:paraId="2523C559" w14:textId="77777777" w:rsidTr="000D3BCB">
        <w:trPr>
          <w:trHeight w:val="202"/>
        </w:trPr>
        <w:tc>
          <w:tcPr>
            <w:tcW w:w="1066" w:type="dxa"/>
            <w:tcBorders>
              <w:top w:val="nil"/>
              <w:left w:val="single" w:sz="6" w:space="0" w:color="auto"/>
              <w:bottom w:val="nil"/>
              <w:right w:val="single" w:sz="6" w:space="0" w:color="auto"/>
            </w:tcBorders>
          </w:tcPr>
          <w:p w14:paraId="3406673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nil"/>
              <w:left w:val="single" w:sz="6" w:space="0" w:color="auto"/>
              <w:bottom w:val="single" w:sz="6" w:space="0" w:color="auto"/>
              <w:right w:val="single" w:sz="6" w:space="0" w:color="auto"/>
            </w:tcBorders>
          </w:tcPr>
          <w:p w14:paraId="74B210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6E2F094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Т-34-85</w:t>
            </w:r>
          </w:p>
        </w:tc>
        <w:tc>
          <w:tcPr>
            <w:tcW w:w="1574" w:type="dxa"/>
            <w:tcBorders>
              <w:top w:val="single" w:sz="6" w:space="0" w:color="auto"/>
              <w:left w:val="single" w:sz="6" w:space="0" w:color="auto"/>
              <w:bottom w:val="single" w:sz="6" w:space="0" w:color="auto"/>
              <w:right w:val="single" w:sz="6" w:space="0" w:color="auto"/>
            </w:tcBorders>
          </w:tcPr>
          <w:p w14:paraId="1D85189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1094" w:type="dxa"/>
            <w:tcBorders>
              <w:top w:val="single" w:sz="6" w:space="0" w:color="auto"/>
              <w:left w:val="single" w:sz="6" w:space="0" w:color="auto"/>
              <w:bottom w:val="single" w:sz="6" w:space="0" w:color="auto"/>
              <w:right w:val="single" w:sz="6" w:space="0" w:color="auto"/>
            </w:tcBorders>
          </w:tcPr>
          <w:p w14:paraId="160DC45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w:t>
            </w:r>
          </w:p>
        </w:tc>
        <w:tc>
          <w:tcPr>
            <w:tcW w:w="960" w:type="dxa"/>
            <w:tcBorders>
              <w:top w:val="single" w:sz="6" w:space="0" w:color="auto"/>
              <w:left w:val="single" w:sz="6" w:space="0" w:color="auto"/>
              <w:bottom w:val="single" w:sz="6" w:space="0" w:color="auto"/>
              <w:right w:val="single" w:sz="6" w:space="0" w:color="auto"/>
            </w:tcBorders>
          </w:tcPr>
          <w:p w14:paraId="2932ACE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w:t>
            </w:r>
          </w:p>
        </w:tc>
        <w:tc>
          <w:tcPr>
            <w:tcW w:w="1094" w:type="dxa"/>
            <w:tcBorders>
              <w:top w:val="single" w:sz="6" w:space="0" w:color="auto"/>
              <w:left w:val="single" w:sz="6" w:space="0" w:color="auto"/>
              <w:bottom w:val="single" w:sz="6" w:space="0" w:color="auto"/>
              <w:right w:val="single" w:sz="6" w:space="0" w:color="auto"/>
            </w:tcBorders>
          </w:tcPr>
          <w:p w14:paraId="1820E01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2064" w:type="dxa"/>
            <w:tcBorders>
              <w:top w:val="single" w:sz="6" w:space="0" w:color="auto"/>
              <w:left w:val="single" w:sz="6" w:space="0" w:color="auto"/>
              <w:bottom w:val="single" w:sz="6" w:space="0" w:color="auto"/>
              <w:right w:val="single" w:sz="6" w:space="0" w:color="auto"/>
            </w:tcBorders>
          </w:tcPr>
          <w:p w14:paraId="4041534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Электромеханический</w:t>
            </w:r>
          </w:p>
        </w:tc>
      </w:tr>
      <w:tr w:rsidR="00643896" w:rsidRPr="00640820" w14:paraId="34E9F8D1" w14:textId="77777777" w:rsidTr="000D3BCB">
        <w:trPr>
          <w:trHeight w:val="202"/>
        </w:trPr>
        <w:tc>
          <w:tcPr>
            <w:tcW w:w="1066" w:type="dxa"/>
            <w:tcBorders>
              <w:top w:val="nil"/>
              <w:left w:val="single" w:sz="6" w:space="0" w:color="auto"/>
              <w:bottom w:val="nil"/>
              <w:right w:val="single" w:sz="6" w:space="0" w:color="auto"/>
            </w:tcBorders>
          </w:tcPr>
          <w:p w14:paraId="6856AD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nil"/>
              <w:right w:val="single" w:sz="6" w:space="0" w:color="auto"/>
            </w:tcBorders>
          </w:tcPr>
          <w:p w14:paraId="605AC7E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Тяжелый</w:t>
            </w:r>
          </w:p>
        </w:tc>
        <w:tc>
          <w:tcPr>
            <w:tcW w:w="1709" w:type="dxa"/>
            <w:tcBorders>
              <w:top w:val="single" w:sz="6" w:space="0" w:color="auto"/>
              <w:left w:val="single" w:sz="6" w:space="0" w:color="auto"/>
              <w:bottom w:val="single" w:sz="6" w:space="0" w:color="auto"/>
              <w:right w:val="single" w:sz="6" w:space="0" w:color="auto"/>
            </w:tcBorders>
          </w:tcPr>
          <w:p w14:paraId="15B3668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КВ-1</w:t>
            </w:r>
          </w:p>
        </w:tc>
        <w:tc>
          <w:tcPr>
            <w:tcW w:w="1574" w:type="dxa"/>
            <w:tcBorders>
              <w:top w:val="single" w:sz="6" w:space="0" w:color="auto"/>
              <w:left w:val="single" w:sz="6" w:space="0" w:color="auto"/>
              <w:bottom w:val="single" w:sz="6" w:space="0" w:color="auto"/>
              <w:right w:val="single" w:sz="6" w:space="0" w:color="auto"/>
            </w:tcBorders>
          </w:tcPr>
          <w:p w14:paraId="1E70DD5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w:t>
            </w:r>
          </w:p>
        </w:tc>
        <w:tc>
          <w:tcPr>
            <w:tcW w:w="1094" w:type="dxa"/>
            <w:tcBorders>
              <w:top w:val="single" w:sz="6" w:space="0" w:color="auto"/>
              <w:left w:val="single" w:sz="6" w:space="0" w:color="auto"/>
              <w:bottom w:val="single" w:sz="6" w:space="0" w:color="auto"/>
              <w:right w:val="single" w:sz="6" w:space="0" w:color="auto"/>
            </w:tcBorders>
          </w:tcPr>
          <w:p w14:paraId="6AE881C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c>
          <w:tcPr>
            <w:tcW w:w="960" w:type="dxa"/>
            <w:tcBorders>
              <w:top w:val="single" w:sz="6" w:space="0" w:color="auto"/>
              <w:left w:val="single" w:sz="6" w:space="0" w:color="auto"/>
              <w:bottom w:val="single" w:sz="6" w:space="0" w:color="auto"/>
              <w:right w:val="single" w:sz="6" w:space="0" w:color="auto"/>
            </w:tcBorders>
          </w:tcPr>
          <w:p w14:paraId="74C7EFC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w:t>
            </w:r>
          </w:p>
        </w:tc>
        <w:tc>
          <w:tcPr>
            <w:tcW w:w="1094" w:type="dxa"/>
            <w:tcBorders>
              <w:top w:val="single" w:sz="6" w:space="0" w:color="auto"/>
              <w:left w:val="single" w:sz="6" w:space="0" w:color="auto"/>
              <w:bottom w:val="single" w:sz="6" w:space="0" w:color="auto"/>
              <w:right w:val="single" w:sz="6" w:space="0" w:color="auto"/>
            </w:tcBorders>
          </w:tcPr>
          <w:p w14:paraId="3546BDE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w:t>
            </w:r>
          </w:p>
        </w:tc>
        <w:tc>
          <w:tcPr>
            <w:tcW w:w="2064" w:type="dxa"/>
            <w:tcBorders>
              <w:top w:val="single" w:sz="6" w:space="0" w:color="auto"/>
              <w:left w:val="single" w:sz="6" w:space="0" w:color="auto"/>
              <w:bottom w:val="single" w:sz="6" w:space="0" w:color="auto"/>
              <w:right w:val="single" w:sz="6" w:space="0" w:color="auto"/>
            </w:tcBorders>
          </w:tcPr>
          <w:p w14:paraId="75F0E0B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Электромеханический</w:t>
            </w:r>
          </w:p>
        </w:tc>
      </w:tr>
      <w:tr w:rsidR="00643896" w:rsidRPr="00640820" w14:paraId="1F95F259" w14:textId="77777777" w:rsidTr="000D3BCB">
        <w:trPr>
          <w:trHeight w:val="192"/>
        </w:trPr>
        <w:tc>
          <w:tcPr>
            <w:tcW w:w="1066" w:type="dxa"/>
            <w:tcBorders>
              <w:top w:val="nil"/>
              <w:left w:val="single" w:sz="6" w:space="0" w:color="auto"/>
              <w:bottom w:val="nil"/>
              <w:right w:val="single" w:sz="6" w:space="0" w:color="auto"/>
            </w:tcBorders>
          </w:tcPr>
          <w:p w14:paraId="0EFB3B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nil"/>
              <w:left w:val="single" w:sz="6" w:space="0" w:color="auto"/>
              <w:bottom w:val="nil"/>
              <w:right w:val="single" w:sz="6" w:space="0" w:color="auto"/>
            </w:tcBorders>
          </w:tcPr>
          <w:p w14:paraId="571616E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05787A7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ИС-1</w:t>
            </w:r>
          </w:p>
        </w:tc>
        <w:tc>
          <w:tcPr>
            <w:tcW w:w="1574" w:type="dxa"/>
            <w:tcBorders>
              <w:top w:val="single" w:sz="6" w:space="0" w:color="auto"/>
              <w:left w:val="single" w:sz="6" w:space="0" w:color="auto"/>
              <w:bottom w:val="single" w:sz="6" w:space="0" w:color="auto"/>
              <w:right w:val="single" w:sz="6" w:space="0" w:color="auto"/>
            </w:tcBorders>
          </w:tcPr>
          <w:p w14:paraId="79FE56E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14,4</w:t>
            </w:r>
          </w:p>
        </w:tc>
        <w:tc>
          <w:tcPr>
            <w:tcW w:w="1094" w:type="dxa"/>
            <w:tcBorders>
              <w:top w:val="single" w:sz="6" w:space="0" w:color="auto"/>
              <w:left w:val="single" w:sz="6" w:space="0" w:color="auto"/>
              <w:bottom w:val="single" w:sz="6" w:space="0" w:color="auto"/>
              <w:right w:val="single" w:sz="6" w:space="0" w:color="auto"/>
            </w:tcBorders>
          </w:tcPr>
          <w:p w14:paraId="2D58E6E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w:t>
            </w:r>
          </w:p>
        </w:tc>
        <w:tc>
          <w:tcPr>
            <w:tcW w:w="960" w:type="dxa"/>
            <w:tcBorders>
              <w:top w:val="single" w:sz="6" w:space="0" w:color="auto"/>
              <w:left w:val="single" w:sz="6" w:space="0" w:color="auto"/>
              <w:bottom w:val="single" w:sz="6" w:space="0" w:color="auto"/>
              <w:right w:val="single" w:sz="6" w:space="0" w:color="auto"/>
            </w:tcBorders>
          </w:tcPr>
          <w:p w14:paraId="469F506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w:t>
            </w:r>
          </w:p>
        </w:tc>
        <w:tc>
          <w:tcPr>
            <w:tcW w:w="1094" w:type="dxa"/>
            <w:tcBorders>
              <w:top w:val="single" w:sz="6" w:space="0" w:color="auto"/>
              <w:left w:val="single" w:sz="6" w:space="0" w:color="auto"/>
              <w:bottom w:val="single" w:sz="6" w:space="0" w:color="auto"/>
              <w:right w:val="single" w:sz="6" w:space="0" w:color="auto"/>
            </w:tcBorders>
          </w:tcPr>
          <w:p w14:paraId="68DBB45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2064" w:type="dxa"/>
            <w:tcBorders>
              <w:top w:val="single" w:sz="6" w:space="0" w:color="auto"/>
              <w:left w:val="single" w:sz="6" w:space="0" w:color="auto"/>
              <w:bottom w:val="single" w:sz="6" w:space="0" w:color="auto"/>
              <w:right w:val="single" w:sz="6" w:space="0" w:color="auto"/>
            </w:tcBorders>
          </w:tcPr>
          <w:p w14:paraId="4FA2474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Электромеханический</w:t>
            </w:r>
          </w:p>
        </w:tc>
      </w:tr>
      <w:tr w:rsidR="00643896" w:rsidRPr="00640820" w14:paraId="2B4D1C95" w14:textId="77777777" w:rsidTr="000D3BCB">
        <w:trPr>
          <w:trHeight w:val="202"/>
        </w:trPr>
        <w:tc>
          <w:tcPr>
            <w:tcW w:w="1066" w:type="dxa"/>
            <w:tcBorders>
              <w:top w:val="nil"/>
              <w:left w:val="single" w:sz="6" w:space="0" w:color="auto"/>
              <w:bottom w:val="nil"/>
              <w:right w:val="single" w:sz="6" w:space="0" w:color="auto"/>
            </w:tcBorders>
          </w:tcPr>
          <w:p w14:paraId="567EFB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nil"/>
              <w:left w:val="single" w:sz="6" w:space="0" w:color="auto"/>
              <w:bottom w:val="nil"/>
              <w:right w:val="single" w:sz="6" w:space="0" w:color="auto"/>
            </w:tcBorders>
          </w:tcPr>
          <w:p w14:paraId="608710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388DD20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ИС-2</w:t>
            </w:r>
          </w:p>
        </w:tc>
        <w:tc>
          <w:tcPr>
            <w:tcW w:w="1574" w:type="dxa"/>
            <w:tcBorders>
              <w:top w:val="single" w:sz="6" w:space="0" w:color="auto"/>
              <w:left w:val="single" w:sz="6" w:space="0" w:color="auto"/>
              <w:bottom w:val="single" w:sz="6" w:space="0" w:color="auto"/>
              <w:right w:val="single" w:sz="6" w:space="0" w:color="auto"/>
            </w:tcBorders>
          </w:tcPr>
          <w:p w14:paraId="33BF4BB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w:t>
            </w:r>
          </w:p>
        </w:tc>
        <w:tc>
          <w:tcPr>
            <w:tcW w:w="1094" w:type="dxa"/>
            <w:tcBorders>
              <w:top w:val="single" w:sz="6" w:space="0" w:color="auto"/>
              <w:left w:val="single" w:sz="6" w:space="0" w:color="auto"/>
              <w:bottom w:val="single" w:sz="6" w:space="0" w:color="auto"/>
              <w:right w:val="single" w:sz="6" w:space="0" w:color="auto"/>
            </w:tcBorders>
          </w:tcPr>
          <w:p w14:paraId="4CC9221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c>
          <w:tcPr>
            <w:tcW w:w="960" w:type="dxa"/>
            <w:tcBorders>
              <w:top w:val="single" w:sz="6" w:space="0" w:color="auto"/>
              <w:left w:val="single" w:sz="6" w:space="0" w:color="auto"/>
              <w:bottom w:val="single" w:sz="6" w:space="0" w:color="auto"/>
              <w:right w:val="single" w:sz="6" w:space="0" w:color="auto"/>
            </w:tcBorders>
          </w:tcPr>
          <w:p w14:paraId="5B2CDDE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w:t>
            </w:r>
          </w:p>
        </w:tc>
        <w:tc>
          <w:tcPr>
            <w:tcW w:w="1094" w:type="dxa"/>
            <w:tcBorders>
              <w:top w:val="single" w:sz="6" w:space="0" w:color="auto"/>
              <w:left w:val="single" w:sz="6" w:space="0" w:color="auto"/>
              <w:bottom w:val="single" w:sz="6" w:space="0" w:color="auto"/>
              <w:right w:val="single" w:sz="6" w:space="0" w:color="auto"/>
            </w:tcBorders>
          </w:tcPr>
          <w:p w14:paraId="634A178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2064" w:type="dxa"/>
            <w:tcBorders>
              <w:top w:val="single" w:sz="6" w:space="0" w:color="auto"/>
              <w:left w:val="single" w:sz="6" w:space="0" w:color="auto"/>
              <w:bottom w:val="single" w:sz="6" w:space="0" w:color="auto"/>
              <w:right w:val="single" w:sz="6" w:space="0" w:color="auto"/>
            </w:tcBorders>
          </w:tcPr>
          <w:p w14:paraId="2C754E6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Электромеханический</w:t>
            </w:r>
          </w:p>
        </w:tc>
      </w:tr>
      <w:tr w:rsidR="00643896" w:rsidRPr="00640820" w14:paraId="11AA023F" w14:textId="77777777" w:rsidTr="000D3BCB">
        <w:trPr>
          <w:trHeight w:val="192"/>
        </w:trPr>
        <w:tc>
          <w:tcPr>
            <w:tcW w:w="1066" w:type="dxa"/>
            <w:tcBorders>
              <w:top w:val="nil"/>
              <w:left w:val="single" w:sz="6" w:space="0" w:color="auto"/>
              <w:bottom w:val="single" w:sz="6" w:space="0" w:color="auto"/>
              <w:right w:val="single" w:sz="6" w:space="0" w:color="auto"/>
            </w:tcBorders>
          </w:tcPr>
          <w:p w14:paraId="484E5A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nil"/>
              <w:left w:val="single" w:sz="6" w:space="0" w:color="auto"/>
              <w:bottom w:val="single" w:sz="6" w:space="0" w:color="auto"/>
              <w:right w:val="single" w:sz="6" w:space="0" w:color="auto"/>
            </w:tcBorders>
          </w:tcPr>
          <w:p w14:paraId="00E6F0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36A0864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ИС-3</w:t>
            </w:r>
          </w:p>
        </w:tc>
        <w:tc>
          <w:tcPr>
            <w:tcW w:w="1574" w:type="dxa"/>
            <w:tcBorders>
              <w:top w:val="single" w:sz="6" w:space="0" w:color="auto"/>
              <w:left w:val="single" w:sz="6" w:space="0" w:color="auto"/>
              <w:bottom w:val="single" w:sz="6" w:space="0" w:color="auto"/>
              <w:right w:val="single" w:sz="6" w:space="0" w:color="auto"/>
            </w:tcBorders>
          </w:tcPr>
          <w:p w14:paraId="474BAE0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w:t>
            </w:r>
          </w:p>
        </w:tc>
        <w:tc>
          <w:tcPr>
            <w:tcW w:w="1094" w:type="dxa"/>
            <w:tcBorders>
              <w:top w:val="single" w:sz="6" w:space="0" w:color="auto"/>
              <w:left w:val="single" w:sz="6" w:space="0" w:color="auto"/>
              <w:bottom w:val="single" w:sz="6" w:space="0" w:color="auto"/>
              <w:right w:val="single" w:sz="6" w:space="0" w:color="auto"/>
            </w:tcBorders>
          </w:tcPr>
          <w:p w14:paraId="3D611BB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c>
          <w:tcPr>
            <w:tcW w:w="960" w:type="dxa"/>
            <w:tcBorders>
              <w:top w:val="single" w:sz="6" w:space="0" w:color="auto"/>
              <w:left w:val="single" w:sz="6" w:space="0" w:color="auto"/>
              <w:bottom w:val="single" w:sz="6" w:space="0" w:color="auto"/>
              <w:right w:val="single" w:sz="6" w:space="0" w:color="auto"/>
            </w:tcBorders>
          </w:tcPr>
          <w:p w14:paraId="5171F48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w:t>
            </w:r>
          </w:p>
        </w:tc>
        <w:tc>
          <w:tcPr>
            <w:tcW w:w="1094" w:type="dxa"/>
            <w:tcBorders>
              <w:top w:val="single" w:sz="6" w:space="0" w:color="auto"/>
              <w:left w:val="single" w:sz="6" w:space="0" w:color="auto"/>
              <w:bottom w:val="single" w:sz="6" w:space="0" w:color="auto"/>
              <w:right w:val="single" w:sz="6" w:space="0" w:color="auto"/>
            </w:tcBorders>
          </w:tcPr>
          <w:p w14:paraId="1BBEDB3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2064" w:type="dxa"/>
            <w:tcBorders>
              <w:top w:val="single" w:sz="6" w:space="0" w:color="auto"/>
              <w:left w:val="single" w:sz="6" w:space="0" w:color="auto"/>
              <w:bottom w:val="single" w:sz="6" w:space="0" w:color="auto"/>
              <w:right w:val="single" w:sz="6" w:space="0" w:color="auto"/>
            </w:tcBorders>
          </w:tcPr>
          <w:p w14:paraId="03EC0C8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Электромеханический</w:t>
            </w:r>
          </w:p>
        </w:tc>
      </w:tr>
      <w:tr w:rsidR="00643896" w:rsidRPr="00640820" w14:paraId="7BC02D52" w14:textId="77777777" w:rsidTr="000D3BCB">
        <w:trPr>
          <w:trHeight w:val="202"/>
        </w:trPr>
        <w:tc>
          <w:tcPr>
            <w:tcW w:w="1066" w:type="dxa"/>
            <w:tcBorders>
              <w:top w:val="single" w:sz="6" w:space="0" w:color="auto"/>
              <w:left w:val="single" w:sz="6" w:space="0" w:color="auto"/>
              <w:bottom w:val="nil"/>
              <w:right w:val="single" w:sz="6" w:space="0" w:color="auto"/>
            </w:tcBorders>
          </w:tcPr>
          <w:p w14:paraId="4224E4E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Германия</w:t>
            </w:r>
          </w:p>
        </w:tc>
        <w:tc>
          <w:tcPr>
            <w:tcW w:w="1258" w:type="dxa"/>
            <w:tcBorders>
              <w:top w:val="single" w:sz="6" w:space="0" w:color="auto"/>
              <w:left w:val="single" w:sz="6" w:space="0" w:color="auto"/>
              <w:bottom w:val="single" w:sz="6" w:space="0" w:color="auto"/>
              <w:right w:val="single" w:sz="6" w:space="0" w:color="auto"/>
            </w:tcBorders>
          </w:tcPr>
          <w:p w14:paraId="1C6D7C3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Средний</w:t>
            </w:r>
          </w:p>
        </w:tc>
        <w:tc>
          <w:tcPr>
            <w:tcW w:w="1709" w:type="dxa"/>
            <w:tcBorders>
              <w:top w:val="single" w:sz="6" w:space="0" w:color="auto"/>
              <w:left w:val="single" w:sz="6" w:space="0" w:color="auto"/>
              <w:bottom w:val="single" w:sz="6" w:space="0" w:color="auto"/>
              <w:right w:val="single" w:sz="6" w:space="0" w:color="auto"/>
            </w:tcBorders>
          </w:tcPr>
          <w:p w14:paraId="2F42C96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Т-ГУ</w:t>
            </w:r>
          </w:p>
        </w:tc>
        <w:tc>
          <w:tcPr>
            <w:tcW w:w="1574" w:type="dxa"/>
            <w:tcBorders>
              <w:top w:val="single" w:sz="6" w:space="0" w:color="auto"/>
              <w:left w:val="single" w:sz="6" w:space="0" w:color="auto"/>
              <w:bottom w:val="single" w:sz="6" w:space="0" w:color="auto"/>
              <w:right w:val="single" w:sz="6" w:space="0" w:color="auto"/>
            </w:tcBorders>
          </w:tcPr>
          <w:p w14:paraId="30347D0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1094" w:type="dxa"/>
            <w:tcBorders>
              <w:top w:val="single" w:sz="6" w:space="0" w:color="auto"/>
              <w:left w:val="single" w:sz="6" w:space="0" w:color="auto"/>
              <w:bottom w:val="single" w:sz="6" w:space="0" w:color="auto"/>
              <w:right w:val="single" w:sz="6" w:space="0" w:color="auto"/>
            </w:tcBorders>
          </w:tcPr>
          <w:p w14:paraId="68AE74B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36</w:t>
            </w:r>
          </w:p>
        </w:tc>
        <w:tc>
          <w:tcPr>
            <w:tcW w:w="960" w:type="dxa"/>
            <w:tcBorders>
              <w:top w:val="single" w:sz="6" w:space="0" w:color="auto"/>
              <w:left w:val="single" w:sz="6" w:space="0" w:color="auto"/>
              <w:bottom w:val="single" w:sz="6" w:space="0" w:color="auto"/>
              <w:right w:val="single" w:sz="6" w:space="0" w:color="auto"/>
            </w:tcBorders>
          </w:tcPr>
          <w:p w14:paraId="07C0D9F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w:t>
            </w:r>
          </w:p>
        </w:tc>
        <w:tc>
          <w:tcPr>
            <w:tcW w:w="1094" w:type="dxa"/>
            <w:tcBorders>
              <w:top w:val="single" w:sz="6" w:space="0" w:color="auto"/>
              <w:left w:val="single" w:sz="6" w:space="0" w:color="auto"/>
              <w:bottom w:val="single" w:sz="6" w:space="0" w:color="auto"/>
              <w:right w:val="single" w:sz="6" w:space="0" w:color="auto"/>
            </w:tcBorders>
          </w:tcPr>
          <w:p w14:paraId="0C769CC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w:t>
            </w:r>
          </w:p>
        </w:tc>
        <w:tc>
          <w:tcPr>
            <w:tcW w:w="2064" w:type="dxa"/>
            <w:tcBorders>
              <w:top w:val="single" w:sz="6" w:space="0" w:color="auto"/>
              <w:left w:val="single" w:sz="6" w:space="0" w:color="auto"/>
              <w:bottom w:val="single" w:sz="6" w:space="0" w:color="auto"/>
              <w:right w:val="single" w:sz="6" w:space="0" w:color="auto"/>
            </w:tcBorders>
          </w:tcPr>
          <w:p w14:paraId="3D68E25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Электромеханический</w:t>
            </w:r>
          </w:p>
        </w:tc>
      </w:tr>
      <w:tr w:rsidR="00643896" w:rsidRPr="00640820" w14:paraId="480A8D75" w14:textId="77777777" w:rsidTr="000D3BCB">
        <w:trPr>
          <w:trHeight w:val="202"/>
        </w:trPr>
        <w:tc>
          <w:tcPr>
            <w:tcW w:w="1066" w:type="dxa"/>
            <w:tcBorders>
              <w:top w:val="nil"/>
              <w:left w:val="single" w:sz="6" w:space="0" w:color="auto"/>
              <w:bottom w:val="nil"/>
              <w:right w:val="single" w:sz="6" w:space="0" w:color="auto"/>
            </w:tcBorders>
          </w:tcPr>
          <w:p w14:paraId="16979D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nil"/>
              <w:right w:val="single" w:sz="6" w:space="0" w:color="auto"/>
            </w:tcBorders>
          </w:tcPr>
          <w:p w14:paraId="5180059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Тяжелый</w:t>
            </w:r>
          </w:p>
        </w:tc>
        <w:tc>
          <w:tcPr>
            <w:tcW w:w="1709" w:type="dxa"/>
            <w:tcBorders>
              <w:top w:val="single" w:sz="6" w:space="0" w:color="auto"/>
              <w:left w:val="single" w:sz="6" w:space="0" w:color="auto"/>
              <w:bottom w:val="single" w:sz="6" w:space="0" w:color="auto"/>
              <w:right w:val="single" w:sz="6" w:space="0" w:color="auto"/>
            </w:tcBorders>
          </w:tcPr>
          <w:p w14:paraId="3763504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Т-У "Пантера"</w:t>
            </w:r>
          </w:p>
        </w:tc>
        <w:tc>
          <w:tcPr>
            <w:tcW w:w="1574" w:type="dxa"/>
            <w:tcBorders>
              <w:top w:val="single" w:sz="6" w:space="0" w:color="auto"/>
              <w:left w:val="single" w:sz="6" w:space="0" w:color="auto"/>
              <w:bottom w:val="single" w:sz="6" w:space="0" w:color="auto"/>
              <w:right w:val="single" w:sz="6" w:space="0" w:color="auto"/>
            </w:tcBorders>
          </w:tcPr>
          <w:p w14:paraId="780B157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19,5</w:t>
            </w:r>
          </w:p>
        </w:tc>
        <w:tc>
          <w:tcPr>
            <w:tcW w:w="1094" w:type="dxa"/>
            <w:tcBorders>
              <w:top w:val="single" w:sz="6" w:space="0" w:color="auto"/>
              <w:left w:val="single" w:sz="6" w:space="0" w:color="auto"/>
              <w:bottom w:val="single" w:sz="6" w:space="0" w:color="auto"/>
              <w:right w:val="single" w:sz="6" w:space="0" w:color="auto"/>
            </w:tcBorders>
          </w:tcPr>
          <w:p w14:paraId="5C42A0F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18,5</w:t>
            </w:r>
          </w:p>
        </w:tc>
        <w:tc>
          <w:tcPr>
            <w:tcW w:w="960" w:type="dxa"/>
            <w:tcBorders>
              <w:top w:val="single" w:sz="6" w:space="0" w:color="auto"/>
              <w:left w:val="single" w:sz="6" w:space="0" w:color="auto"/>
              <w:bottom w:val="single" w:sz="6" w:space="0" w:color="auto"/>
              <w:right w:val="single" w:sz="6" w:space="0" w:color="auto"/>
            </w:tcBorders>
          </w:tcPr>
          <w:p w14:paraId="0325E29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w:t>
            </w:r>
          </w:p>
        </w:tc>
        <w:tc>
          <w:tcPr>
            <w:tcW w:w="1094" w:type="dxa"/>
            <w:tcBorders>
              <w:top w:val="single" w:sz="6" w:space="0" w:color="auto"/>
              <w:left w:val="single" w:sz="6" w:space="0" w:color="auto"/>
              <w:bottom w:val="single" w:sz="6" w:space="0" w:color="auto"/>
              <w:right w:val="single" w:sz="6" w:space="0" w:color="auto"/>
            </w:tcBorders>
          </w:tcPr>
          <w:p w14:paraId="5F72CA4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w:t>
            </w:r>
          </w:p>
        </w:tc>
        <w:tc>
          <w:tcPr>
            <w:tcW w:w="2064" w:type="dxa"/>
            <w:tcBorders>
              <w:top w:val="single" w:sz="6" w:space="0" w:color="auto"/>
              <w:left w:val="single" w:sz="6" w:space="0" w:color="auto"/>
              <w:bottom w:val="single" w:sz="6" w:space="0" w:color="auto"/>
              <w:right w:val="single" w:sz="6" w:space="0" w:color="auto"/>
            </w:tcBorders>
          </w:tcPr>
          <w:p w14:paraId="51C685D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Гидравлический</w:t>
            </w:r>
          </w:p>
        </w:tc>
      </w:tr>
      <w:tr w:rsidR="00643896" w:rsidRPr="00640820" w14:paraId="51F77AE0" w14:textId="77777777" w:rsidTr="000D3BCB">
        <w:trPr>
          <w:trHeight w:val="202"/>
        </w:trPr>
        <w:tc>
          <w:tcPr>
            <w:tcW w:w="1066" w:type="dxa"/>
            <w:tcBorders>
              <w:top w:val="nil"/>
              <w:left w:val="single" w:sz="6" w:space="0" w:color="auto"/>
              <w:bottom w:val="nil"/>
              <w:right w:val="single" w:sz="6" w:space="0" w:color="auto"/>
            </w:tcBorders>
          </w:tcPr>
          <w:p w14:paraId="57E1AC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nil"/>
              <w:left w:val="single" w:sz="6" w:space="0" w:color="auto"/>
              <w:bottom w:val="nil"/>
              <w:right w:val="single" w:sz="6" w:space="0" w:color="auto"/>
            </w:tcBorders>
          </w:tcPr>
          <w:p w14:paraId="079DD3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4CBF622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Т-У1 "Тигр I"</w:t>
            </w:r>
          </w:p>
        </w:tc>
        <w:tc>
          <w:tcPr>
            <w:tcW w:w="1574" w:type="dxa"/>
            <w:tcBorders>
              <w:top w:val="single" w:sz="6" w:space="0" w:color="auto"/>
              <w:left w:val="single" w:sz="6" w:space="0" w:color="auto"/>
              <w:bottom w:val="single" w:sz="6" w:space="0" w:color="auto"/>
              <w:right w:val="single" w:sz="6" w:space="0" w:color="auto"/>
            </w:tcBorders>
          </w:tcPr>
          <w:p w14:paraId="6525225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11,5</w:t>
            </w:r>
          </w:p>
        </w:tc>
        <w:tc>
          <w:tcPr>
            <w:tcW w:w="1094" w:type="dxa"/>
            <w:tcBorders>
              <w:top w:val="single" w:sz="6" w:space="0" w:color="auto"/>
              <w:left w:val="single" w:sz="6" w:space="0" w:color="auto"/>
              <w:bottom w:val="single" w:sz="6" w:space="0" w:color="auto"/>
              <w:right w:val="single" w:sz="6" w:space="0" w:color="auto"/>
            </w:tcBorders>
          </w:tcPr>
          <w:p w14:paraId="5CA3824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w:t>
            </w:r>
          </w:p>
        </w:tc>
        <w:tc>
          <w:tcPr>
            <w:tcW w:w="960" w:type="dxa"/>
            <w:tcBorders>
              <w:top w:val="single" w:sz="6" w:space="0" w:color="auto"/>
              <w:left w:val="single" w:sz="6" w:space="0" w:color="auto"/>
              <w:bottom w:val="single" w:sz="6" w:space="0" w:color="auto"/>
              <w:right w:val="single" w:sz="6" w:space="0" w:color="auto"/>
            </w:tcBorders>
          </w:tcPr>
          <w:p w14:paraId="07CAB93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1094" w:type="dxa"/>
            <w:tcBorders>
              <w:top w:val="single" w:sz="6" w:space="0" w:color="auto"/>
              <w:left w:val="single" w:sz="6" w:space="0" w:color="auto"/>
              <w:bottom w:val="single" w:sz="6" w:space="0" w:color="auto"/>
              <w:right w:val="single" w:sz="6" w:space="0" w:color="auto"/>
            </w:tcBorders>
          </w:tcPr>
          <w:p w14:paraId="073116E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w:t>
            </w:r>
          </w:p>
        </w:tc>
        <w:tc>
          <w:tcPr>
            <w:tcW w:w="2064" w:type="dxa"/>
            <w:tcBorders>
              <w:top w:val="single" w:sz="6" w:space="0" w:color="auto"/>
              <w:left w:val="single" w:sz="6" w:space="0" w:color="auto"/>
              <w:bottom w:val="single" w:sz="6" w:space="0" w:color="auto"/>
              <w:right w:val="single" w:sz="6" w:space="0" w:color="auto"/>
            </w:tcBorders>
          </w:tcPr>
          <w:p w14:paraId="0148692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Гидравлический</w:t>
            </w:r>
          </w:p>
        </w:tc>
      </w:tr>
      <w:tr w:rsidR="00643896" w:rsidRPr="00640820" w14:paraId="6D9D0DC1" w14:textId="77777777" w:rsidTr="000D3BCB">
        <w:trPr>
          <w:trHeight w:val="192"/>
        </w:trPr>
        <w:tc>
          <w:tcPr>
            <w:tcW w:w="1066" w:type="dxa"/>
            <w:tcBorders>
              <w:top w:val="nil"/>
              <w:left w:val="single" w:sz="6" w:space="0" w:color="auto"/>
              <w:bottom w:val="single" w:sz="6" w:space="0" w:color="auto"/>
              <w:right w:val="single" w:sz="6" w:space="0" w:color="auto"/>
            </w:tcBorders>
          </w:tcPr>
          <w:p w14:paraId="1E31BE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nil"/>
              <w:left w:val="single" w:sz="6" w:space="0" w:color="auto"/>
              <w:bottom w:val="single" w:sz="6" w:space="0" w:color="auto"/>
              <w:right w:val="single" w:sz="6" w:space="0" w:color="auto"/>
            </w:tcBorders>
          </w:tcPr>
          <w:p w14:paraId="756881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4547F64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Т-У1В "Тигр II"</w:t>
            </w:r>
          </w:p>
        </w:tc>
        <w:tc>
          <w:tcPr>
            <w:tcW w:w="1574" w:type="dxa"/>
            <w:tcBorders>
              <w:top w:val="single" w:sz="6" w:space="0" w:color="auto"/>
              <w:left w:val="single" w:sz="6" w:space="0" w:color="auto"/>
              <w:bottom w:val="single" w:sz="6" w:space="0" w:color="auto"/>
              <w:right w:val="single" w:sz="6" w:space="0" w:color="auto"/>
            </w:tcBorders>
          </w:tcPr>
          <w:p w14:paraId="74C0D29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w:t>
            </w:r>
          </w:p>
        </w:tc>
        <w:tc>
          <w:tcPr>
            <w:tcW w:w="1094" w:type="dxa"/>
            <w:tcBorders>
              <w:top w:val="single" w:sz="6" w:space="0" w:color="auto"/>
              <w:left w:val="single" w:sz="6" w:space="0" w:color="auto"/>
              <w:bottom w:val="single" w:sz="6" w:space="0" w:color="auto"/>
              <w:right w:val="single" w:sz="6" w:space="0" w:color="auto"/>
            </w:tcBorders>
          </w:tcPr>
          <w:p w14:paraId="245BFD4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960" w:type="dxa"/>
            <w:tcBorders>
              <w:top w:val="single" w:sz="6" w:space="0" w:color="auto"/>
              <w:left w:val="single" w:sz="6" w:space="0" w:color="auto"/>
              <w:bottom w:val="single" w:sz="6" w:space="0" w:color="auto"/>
              <w:right w:val="single" w:sz="6" w:space="0" w:color="auto"/>
            </w:tcBorders>
          </w:tcPr>
          <w:p w14:paraId="780FF0D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1094" w:type="dxa"/>
            <w:tcBorders>
              <w:top w:val="single" w:sz="6" w:space="0" w:color="auto"/>
              <w:left w:val="single" w:sz="6" w:space="0" w:color="auto"/>
              <w:bottom w:val="single" w:sz="6" w:space="0" w:color="auto"/>
              <w:right w:val="single" w:sz="6" w:space="0" w:color="auto"/>
            </w:tcBorders>
          </w:tcPr>
          <w:p w14:paraId="169771D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w:t>
            </w:r>
          </w:p>
        </w:tc>
        <w:tc>
          <w:tcPr>
            <w:tcW w:w="2064" w:type="dxa"/>
            <w:tcBorders>
              <w:top w:val="single" w:sz="6" w:space="0" w:color="auto"/>
              <w:left w:val="single" w:sz="6" w:space="0" w:color="auto"/>
              <w:bottom w:val="single" w:sz="6" w:space="0" w:color="auto"/>
              <w:right w:val="single" w:sz="6" w:space="0" w:color="auto"/>
            </w:tcBorders>
          </w:tcPr>
          <w:p w14:paraId="4AF6801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Гидравлический</w:t>
            </w:r>
          </w:p>
        </w:tc>
      </w:tr>
      <w:tr w:rsidR="00643896" w:rsidRPr="00640820" w14:paraId="242BB3E4" w14:textId="77777777" w:rsidTr="000D3BCB">
        <w:trPr>
          <w:trHeight w:val="202"/>
        </w:trPr>
        <w:tc>
          <w:tcPr>
            <w:tcW w:w="1066" w:type="dxa"/>
            <w:tcBorders>
              <w:top w:val="single" w:sz="6" w:space="0" w:color="auto"/>
              <w:left w:val="single" w:sz="6" w:space="0" w:color="auto"/>
              <w:bottom w:val="nil"/>
              <w:right w:val="single" w:sz="6" w:space="0" w:color="auto"/>
            </w:tcBorders>
          </w:tcPr>
          <w:p w14:paraId="3D259AA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США</w:t>
            </w:r>
          </w:p>
        </w:tc>
        <w:tc>
          <w:tcPr>
            <w:tcW w:w="1258" w:type="dxa"/>
            <w:tcBorders>
              <w:top w:val="single" w:sz="6" w:space="0" w:color="auto"/>
              <w:left w:val="single" w:sz="6" w:space="0" w:color="auto"/>
              <w:bottom w:val="single" w:sz="6" w:space="0" w:color="auto"/>
              <w:right w:val="single" w:sz="6" w:space="0" w:color="auto"/>
            </w:tcBorders>
          </w:tcPr>
          <w:p w14:paraId="66ABB88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Легкий</w:t>
            </w:r>
          </w:p>
        </w:tc>
        <w:tc>
          <w:tcPr>
            <w:tcW w:w="1709" w:type="dxa"/>
            <w:tcBorders>
              <w:top w:val="single" w:sz="6" w:space="0" w:color="auto"/>
              <w:left w:val="single" w:sz="6" w:space="0" w:color="auto"/>
              <w:bottom w:val="single" w:sz="6" w:space="0" w:color="auto"/>
              <w:right w:val="single" w:sz="6" w:space="0" w:color="auto"/>
            </w:tcBorders>
          </w:tcPr>
          <w:p w14:paraId="64D349D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МЗл "Стюарт"</w:t>
            </w:r>
          </w:p>
        </w:tc>
        <w:tc>
          <w:tcPr>
            <w:tcW w:w="1574" w:type="dxa"/>
            <w:tcBorders>
              <w:top w:val="single" w:sz="6" w:space="0" w:color="auto"/>
              <w:left w:val="single" w:sz="6" w:space="0" w:color="auto"/>
              <w:bottom w:val="single" w:sz="6" w:space="0" w:color="auto"/>
              <w:right w:val="single" w:sz="6" w:space="0" w:color="auto"/>
            </w:tcBorders>
          </w:tcPr>
          <w:p w14:paraId="18C5AB4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094" w:type="dxa"/>
            <w:tcBorders>
              <w:top w:val="single" w:sz="6" w:space="0" w:color="auto"/>
              <w:left w:val="single" w:sz="6" w:space="0" w:color="auto"/>
              <w:bottom w:val="single" w:sz="6" w:space="0" w:color="auto"/>
              <w:right w:val="single" w:sz="6" w:space="0" w:color="auto"/>
            </w:tcBorders>
          </w:tcPr>
          <w:p w14:paraId="7248B6A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960" w:type="dxa"/>
            <w:tcBorders>
              <w:top w:val="single" w:sz="6" w:space="0" w:color="auto"/>
              <w:left w:val="single" w:sz="6" w:space="0" w:color="auto"/>
              <w:bottom w:val="single" w:sz="6" w:space="0" w:color="auto"/>
              <w:right w:val="single" w:sz="6" w:space="0" w:color="auto"/>
            </w:tcBorders>
          </w:tcPr>
          <w:p w14:paraId="6A9337A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2CCAAA3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64" w:type="dxa"/>
            <w:tcBorders>
              <w:top w:val="single" w:sz="6" w:space="0" w:color="auto"/>
              <w:left w:val="single" w:sz="6" w:space="0" w:color="auto"/>
              <w:bottom w:val="single" w:sz="6" w:space="0" w:color="auto"/>
              <w:right w:val="single" w:sz="6" w:space="0" w:color="auto"/>
            </w:tcBorders>
          </w:tcPr>
          <w:p w14:paraId="75F070F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Электрогидравлический</w:t>
            </w:r>
          </w:p>
        </w:tc>
      </w:tr>
      <w:tr w:rsidR="00643896" w:rsidRPr="00640820" w14:paraId="2CA3560C" w14:textId="77777777" w:rsidTr="000D3BCB">
        <w:trPr>
          <w:trHeight w:val="192"/>
        </w:trPr>
        <w:tc>
          <w:tcPr>
            <w:tcW w:w="1066" w:type="dxa"/>
            <w:tcBorders>
              <w:top w:val="nil"/>
              <w:left w:val="single" w:sz="6" w:space="0" w:color="auto"/>
              <w:bottom w:val="nil"/>
              <w:right w:val="single" w:sz="6" w:space="0" w:color="auto"/>
            </w:tcBorders>
          </w:tcPr>
          <w:p w14:paraId="3BA0EF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nil"/>
              <w:right w:val="single" w:sz="6" w:space="0" w:color="auto"/>
            </w:tcBorders>
          </w:tcPr>
          <w:p w14:paraId="281C20E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Средний</w:t>
            </w:r>
          </w:p>
        </w:tc>
        <w:tc>
          <w:tcPr>
            <w:tcW w:w="1709" w:type="dxa"/>
            <w:tcBorders>
              <w:top w:val="single" w:sz="6" w:space="0" w:color="auto"/>
              <w:left w:val="single" w:sz="6" w:space="0" w:color="auto"/>
              <w:bottom w:val="single" w:sz="6" w:space="0" w:color="auto"/>
              <w:right w:val="single" w:sz="6" w:space="0" w:color="auto"/>
            </w:tcBorders>
          </w:tcPr>
          <w:p w14:paraId="5A2715C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МЗс "Ли" ("Грант")</w:t>
            </w:r>
          </w:p>
        </w:tc>
        <w:tc>
          <w:tcPr>
            <w:tcW w:w="1574" w:type="dxa"/>
            <w:tcBorders>
              <w:top w:val="single" w:sz="6" w:space="0" w:color="auto"/>
              <w:left w:val="single" w:sz="6" w:space="0" w:color="auto"/>
              <w:bottom w:val="single" w:sz="6" w:space="0" w:color="auto"/>
              <w:right w:val="single" w:sz="6" w:space="0" w:color="auto"/>
            </w:tcBorders>
          </w:tcPr>
          <w:p w14:paraId="287C828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21,5</w:t>
            </w:r>
          </w:p>
        </w:tc>
        <w:tc>
          <w:tcPr>
            <w:tcW w:w="1094" w:type="dxa"/>
            <w:tcBorders>
              <w:top w:val="single" w:sz="6" w:space="0" w:color="auto"/>
              <w:left w:val="single" w:sz="6" w:space="0" w:color="auto"/>
              <w:bottom w:val="single" w:sz="6" w:space="0" w:color="auto"/>
              <w:right w:val="single" w:sz="6" w:space="0" w:color="auto"/>
            </w:tcBorders>
          </w:tcPr>
          <w:p w14:paraId="4BA7AD0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16,7</w:t>
            </w:r>
          </w:p>
        </w:tc>
        <w:tc>
          <w:tcPr>
            <w:tcW w:w="960" w:type="dxa"/>
            <w:tcBorders>
              <w:top w:val="single" w:sz="6" w:space="0" w:color="auto"/>
              <w:left w:val="single" w:sz="6" w:space="0" w:color="auto"/>
              <w:bottom w:val="single" w:sz="6" w:space="0" w:color="auto"/>
              <w:right w:val="single" w:sz="6" w:space="0" w:color="auto"/>
            </w:tcBorders>
          </w:tcPr>
          <w:p w14:paraId="7AA61D1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1094" w:type="dxa"/>
            <w:tcBorders>
              <w:top w:val="single" w:sz="6" w:space="0" w:color="auto"/>
              <w:left w:val="single" w:sz="6" w:space="0" w:color="auto"/>
              <w:bottom w:val="single" w:sz="6" w:space="0" w:color="auto"/>
              <w:right w:val="single" w:sz="6" w:space="0" w:color="auto"/>
            </w:tcBorders>
          </w:tcPr>
          <w:p w14:paraId="51B7E27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w:t>
            </w:r>
          </w:p>
        </w:tc>
        <w:tc>
          <w:tcPr>
            <w:tcW w:w="2064" w:type="dxa"/>
            <w:tcBorders>
              <w:top w:val="single" w:sz="6" w:space="0" w:color="auto"/>
              <w:left w:val="single" w:sz="6" w:space="0" w:color="auto"/>
              <w:bottom w:val="single" w:sz="6" w:space="0" w:color="auto"/>
              <w:right w:val="single" w:sz="6" w:space="0" w:color="auto"/>
            </w:tcBorders>
          </w:tcPr>
          <w:p w14:paraId="1678A01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Электрогидравлический</w:t>
            </w:r>
          </w:p>
        </w:tc>
      </w:tr>
      <w:tr w:rsidR="00643896" w:rsidRPr="00640820" w14:paraId="01F8B0DA" w14:textId="77777777" w:rsidTr="000D3BCB">
        <w:trPr>
          <w:trHeight w:val="202"/>
        </w:trPr>
        <w:tc>
          <w:tcPr>
            <w:tcW w:w="1066" w:type="dxa"/>
            <w:tcBorders>
              <w:top w:val="nil"/>
              <w:left w:val="single" w:sz="6" w:space="0" w:color="auto"/>
              <w:bottom w:val="single" w:sz="6" w:space="0" w:color="auto"/>
              <w:right w:val="single" w:sz="6" w:space="0" w:color="auto"/>
            </w:tcBorders>
          </w:tcPr>
          <w:p w14:paraId="1128D8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nil"/>
              <w:left w:val="single" w:sz="6" w:space="0" w:color="auto"/>
              <w:bottom w:val="single" w:sz="6" w:space="0" w:color="auto"/>
              <w:right w:val="single" w:sz="6" w:space="0" w:color="auto"/>
            </w:tcBorders>
          </w:tcPr>
          <w:p w14:paraId="66FB5EE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5474316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М4А2 "Шерман"</w:t>
            </w:r>
          </w:p>
        </w:tc>
        <w:tc>
          <w:tcPr>
            <w:tcW w:w="1574" w:type="dxa"/>
            <w:tcBorders>
              <w:top w:val="single" w:sz="6" w:space="0" w:color="auto"/>
              <w:left w:val="single" w:sz="6" w:space="0" w:color="auto"/>
              <w:bottom w:val="single" w:sz="6" w:space="0" w:color="auto"/>
              <w:right w:val="single" w:sz="6" w:space="0" w:color="auto"/>
            </w:tcBorders>
          </w:tcPr>
          <w:p w14:paraId="0898682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22,6</w:t>
            </w:r>
          </w:p>
        </w:tc>
        <w:tc>
          <w:tcPr>
            <w:tcW w:w="1094" w:type="dxa"/>
            <w:tcBorders>
              <w:top w:val="single" w:sz="6" w:space="0" w:color="auto"/>
              <w:left w:val="single" w:sz="6" w:space="0" w:color="auto"/>
              <w:bottom w:val="single" w:sz="6" w:space="0" w:color="auto"/>
              <w:right w:val="single" w:sz="6" w:space="0" w:color="auto"/>
            </w:tcBorders>
          </w:tcPr>
          <w:p w14:paraId="59E0864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15,9</w:t>
            </w:r>
          </w:p>
        </w:tc>
        <w:tc>
          <w:tcPr>
            <w:tcW w:w="960" w:type="dxa"/>
            <w:tcBorders>
              <w:top w:val="single" w:sz="6" w:space="0" w:color="auto"/>
              <w:left w:val="single" w:sz="6" w:space="0" w:color="auto"/>
              <w:bottom w:val="single" w:sz="6" w:space="0" w:color="auto"/>
              <w:right w:val="single" w:sz="6" w:space="0" w:color="auto"/>
            </w:tcBorders>
          </w:tcPr>
          <w:p w14:paraId="158CDB3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w:t>
            </w:r>
          </w:p>
        </w:tc>
        <w:tc>
          <w:tcPr>
            <w:tcW w:w="1094" w:type="dxa"/>
            <w:tcBorders>
              <w:top w:val="single" w:sz="6" w:space="0" w:color="auto"/>
              <w:left w:val="single" w:sz="6" w:space="0" w:color="auto"/>
              <w:bottom w:val="single" w:sz="6" w:space="0" w:color="auto"/>
              <w:right w:val="single" w:sz="6" w:space="0" w:color="auto"/>
            </w:tcBorders>
          </w:tcPr>
          <w:p w14:paraId="57C1A88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2064" w:type="dxa"/>
            <w:tcBorders>
              <w:top w:val="single" w:sz="6" w:space="0" w:color="auto"/>
              <w:left w:val="single" w:sz="6" w:space="0" w:color="auto"/>
              <w:bottom w:val="single" w:sz="6" w:space="0" w:color="auto"/>
              <w:right w:val="single" w:sz="6" w:space="0" w:color="auto"/>
            </w:tcBorders>
          </w:tcPr>
          <w:p w14:paraId="3B6A8EE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Электрогидравлический</w:t>
            </w:r>
          </w:p>
        </w:tc>
      </w:tr>
      <w:tr w:rsidR="00643896" w:rsidRPr="00640820" w14:paraId="08F73E51" w14:textId="77777777" w:rsidTr="000D3BCB">
        <w:trPr>
          <w:trHeight w:val="374"/>
        </w:trPr>
        <w:tc>
          <w:tcPr>
            <w:tcW w:w="1066" w:type="dxa"/>
            <w:tcBorders>
              <w:top w:val="single" w:sz="6" w:space="0" w:color="auto"/>
              <w:left w:val="single" w:sz="6" w:space="0" w:color="auto"/>
              <w:bottom w:val="nil"/>
              <w:right w:val="single" w:sz="6" w:space="0" w:color="auto"/>
            </w:tcBorders>
          </w:tcPr>
          <w:p w14:paraId="3CA53D8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Велико</w:t>
            </w:r>
            <w:r w:rsidRPr="00640820">
              <w:rPr>
                <w:rFonts w:ascii="Times New Roman" w:hAnsi="Times New Roman"/>
                <w:color w:val="000000" w:themeColor="text1"/>
                <w:sz w:val="16"/>
                <w:szCs w:val="16"/>
              </w:rPr>
              <w:softHyphen/>
              <w:t>британия</w:t>
            </w:r>
          </w:p>
        </w:tc>
        <w:tc>
          <w:tcPr>
            <w:tcW w:w="1258" w:type="dxa"/>
            <w:tcBorders>
              <w:top w:val="single" w:sz="6" w:space="0" w:color="auto"/>
              <w:left w:val="single" w:sz="6" w:space="0" w:color="auto"/>
              <w:bottom w:val="single" w:sz="6" w:space="0" w:color="auto"/>
              <w:right w:val="single" w:sz="6" w:space="0" w:color="auto"/>
            </w:tcBorders>
          </w:tcPr>
          <w:p w14:paraId="2A35ABC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Легкий</w:t>
            </w:r>
          </w:p>
        </w:tc>
        <w:tc>
          <w:tcPr>
            <w:tcW w:w="1709" w:type="dxa"/>
            <w:tcBorders>
              <w:top w:val="single" w:sz="6" w:space="0" w:color="auto"/>
              <w:left w:val="single" w:sz="6" w:space="0" w:color="auto"/>
              <w:bottom w:val="single" w:sz="6" w:space="0" w:color="auto"/>
              <w:right w:val="single" w:sz="6" w:space="0" w:color="auto"/>
            </w:tcBorders>
          </w:tcPr>
          <w:p w14:paraId="680BABF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Мк III "Валентайн"</w:t>
            </w:r>
          </w:p>
        </w:tc>
        <w:tc>
          <w:tcPr>
            <w:tcW w:w="1574" w:type="dxa"/>
            <w:tcBorders>
              <w:top w:val="single" w:sz="6" w:space="0" w:color="auto"/>
              <w:left w:val="single" w:sz="6" w:space="0" w:color="auto"/>
              <w:bottom w:val="single" w:sz="6" w:space="0" w:color="auto"/>
              <w:right w:val="single" w:sz="6" w:space="0" w:color="auto"/>
            </w:tcBorders>
          </w:tcPr>
          <w:p w14:paraId="22D0DED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1094" w:type="dxa"/>
            <w:tcBorders>
              <w:top w:val="single" w:sz="6" w:space="0" w:color="auto"/>
              <w:left w:val="single" w:sz="6" w:space="0" w:color="auto"/>
              <w:bottom w:val="single" w:sz="6" w:space="0" w:color="auto"/>
              <w:right w:val="single" w:sz="6" w:space="0" w:color="auto"/>
            </w:tcBorders>
          </w:tcPr>
          <w:p w14:paraId="4201120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w:t>
            </w:r>
          </w:p>
        </w:tc>
        <w:tc>
          <w:tcPr>
            <w:tcW w:w="960" w:type="dxa"/>
            <w:tcBorders>
              <w:top w:val="single" w:sz="6" w:space="0" w:color="auto"/>
              <w:left w:val="single" w:sz="6" w:space="0" w:color="auto"/>
              <w:bottom w:val="single" w:sz="6" w:space="0" w:color="auto"/>
              <w:right w:val="single" w:sz="6" w:space="0" w:color="auto"/>
            </w:tcBorders>
          </w:tcPr>
          <w:p w14:paraId="3E1E6EE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w:t>
            </w:r>
          </w:p>
        </w:tc>
        <w:tc>
          <w:tcPr>
            <w:tcW w:w="1094" w:type="dxa"/>
            <w:tcBorders>
              <w:top w:val="single" w:sz="6" w:space="0" w:color="auto"/>
              <w:left w:val="single" w:sz="6" w:space="0" w:color="auto"/>
              <w:bottom w:val="single" w:sz="6" w:space="0" w:color="auto"/>
              <w:right w:val="single" w:sz="6" w:space="0" w:color="auto"/>
            </w:tcBorders>
          </w:tcPr>
          <w:p w14:paraId="3091D9F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7,5</w:t>
            </w:r>
          </w:p>
        </w:tc>
        <w:tc>
          <w:tcPr>
            <w:tcW w:w="2064" w:type="dxa"/>
            <w:tcBorders>
              <w:top w:val="single" w:sz="6" w:space="0" w:color="auto"/>
              <w:left w:val="single" w:sz="6" w:space="0" w:color="auto"/>
              <w:bottom w:val="single" w:sz="6" w:space="0" w:color="auto"/>
              <w:right w:val="single" w:sz="6" w:space="0" w:color="auto"/>
            </w:tcBorders>
          </w:tcPr>
          <w:p w14:paraId="6663426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Электромеханический</w:t>
            </w:r>
          </w:p>
        </w:tc>
      </w:tr>
      <w:tr w:rsidR="00643896" w:rsidRPr="00640820" w14:paraId="3ED9CABE" w14:textId="77777777" w:rsidTr="000D3BCB">
        <w:trPr>
          <w:trHeight w:val="202"/>
        </w:trPr>
        <w:tc>
          <w:tcPr>
            <w:tcW w:w="1066" w:type="dxa"/>
            <w:tcBorders>
              <w:top w:val="nil"/>
              <w:left w:val="single" w:sz="6" w:space="0" w:color="auto"/>
              <w:bottom w:val="nil"/>
              <w:right w:val="single" w:sz="6" w:space="0" w:color="auto"/>
            </w:tcBorders>
          </w:tcPr>
          <w:p w14:paraId="101E55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nil"/>
              <w:right w:val="single" w:sz="6" w:space="0" w:color="auto"/>
            </w:tcBorders>
          </w:tcPr>
          <w:p w14:paraId="76B6C8E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Средний</w:t>
            </w:r>
          </w:p>
        </w:tc>
        <w:tc>
          <w:tcPr>
            <w:tcW w:w="1709" w:type="dxa"/>
            <w:tcBorders>
              <w:top w:val="single" w:sz="6" w:space="0" w:color="auto"/>
              <w:left w:val="single" w:sz="6" w:space="0" w:color="auto"/>
              <w:bottom w:val="single" w:sz="6" w:space="0" w:color="auto"/>
              <w:right w:val="single" w:sz="6" w:space="0" w:color="auto"/>
            </w:tcBorders>
          </w:tcPr>
          <w:p w14:paraId="5D466E8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Мк 11 "Матильда"</w:t>
            </w:r>
          </w:p>
        </w:tc>
        <w:tc>
          <w:tcPr>
            <w:tcW w:w="1574" w:type="dxa"/>
            <w:tcBorders>
              <w:top w:val="single" w:sz="6" w:space="0" w:color="auto"/>
              <w:left w:val="single" w:sz="6" w:space="0" w:color="auto"/>
              <w:bottom w:val="single" w:sz="6" w:space="0" w:color="auto"/>
              <w:right w:val="single" w:sz="6" w:space="0" w:color="auto"/>
            </w:tcBorders>
          </w:tcPr>
          <w:p w14:paraId="720A3F6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10,3</w:t>
            </w:r>
          </w:p>
        </w:tc>
        <w:tc>
          <w:tcPr>
            <w:tcW w:w="1094" w:type="dxa"/>
            <w:tcBorders>
              <w:top w:val="single" w:sz="6" w:space="0" w:color="auto"/>
              <w:left w:val="single" w:sz="6" w:space="0" w:color="auto"/>
              <w:bottom w:val="single" w:sz="6" w:space="0" w:color="auto"/>
              <w:right w:val="single" w:sz="6" w:space="0" w:color="auto"/>
            </w:tcBorders>
          </w:tcPr>
          <w:p w14:paraId="0E2E310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w:t>
            </w:r>
          </w:p>
        </w:tc>
        <w:tc>
          <w:tcPr>
            <w:tcW w:w="960" w:type="dxa"/>
            <w:tcBorders>
              <w:top w:val="single" w:sz="6" w:space="0" w:color="auto"/>
              <w:left w:val="single" w:sz="6" w:space="0" w:color="auto"/>
              <w:bottom w:val="single" w:sz="6" w:space="0" w:color="auto"/>
              <w:right w:val="single" w:sz="6" w:space="0" w:color="auto"/>
            </w:tcBorders>
          </w:tcPr>
          <w:p w14:paraId="1D1B836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438DDB0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2064" w:type="dxa"/>
            <w:tcBorders>
              <w:top w:val="single" w:sz="6" w:space="0" w:color="auto"/>
              <w:left w:val="single" w:sz="6" w:space="0" w:color="auto"/>
              <w:bottom w:val="single" w:sz="6" w:space="0" w:color="auto"/>
              <w:right w:val="single" w:sz="6" w:space="0" w:color="auto"/>
            </w:tcBorders>
          </w:tcPr>
          <w:p w14:paraId="341904C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Гидравлический</w:t>
            </w:r>
          </w:p>
        </w:tc>
      </w:tr>
      <w:tr w:rsidR="00643896" w:rsidRPr="00640820" w14:paraId="7EDB9895" w14:textId="77777777" w:rsidTr="000D3BCB">
        <w:trPr>
          <w:trHeight w:val="192"/>
        </w:trPr>
        <w:tc>
          <w:tcPr>
            <w:tcW w:w="1066" w:type="dxa"/>
            <w:tcBorders>
              <w:top w:val="nil"/>
              <w:left w:val="single" w:sz="6" w:space="0" w:color="auto"/>
              <w:bottom w:val="nil"/>
              <w:right w:val="single" w:sz="6" w:space="0" w:color="auto"/>
            </w:tcBorders>
          </w:tcPr>
          <w:p w14:paraId="4443C3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nil"/>
              <w:left w:val="single" w:sz="6" w:space="0" w:color="auto"/>
              <w:bottom w:val="single" w:sz="6" w:space="0" w:color="auto"/>
              <w:right w:val="single" w:sz="6" w:space="0" w:color="auto"/>
            </w:tcBorders>
          </w:tcPr>
          <w:p w14:paraId="76B1BA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1B50C9F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"Комета"</w:t>
            </w:r>
          </w:p>
        </w:tc>
        <w:tc>
          <w:tcPr>
            <w:tcW w:w="1574" w:type="dxa"/>
            <w:tcBorders>
              <w:top w:val="single" w:sz="6" w:space="0" w:color="auto"/>
              <w:left w:val="single" w:sz="6" w:space="0" w:color="auto"/>
              <w:bottom w:val="single" w:sz="6" w:space="0" w:color="auto"/>
              <w:right w:val="single" w:sz="6" w:space="0" w:color="auto"/>
            </w:tcBorders>
          </w:tcPr>
          <w:p w14:paraId="0560D3B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w:t>
            </w:r>
          </w:p>
        </w:tc>
        <w:tc>
          <w:tcPr>
            <w:tcW w:w="1094" w:type="dxa"/>
            <w:tcBorders>
              <w:top w:val="single" w:sz="6" w:space="0" w:color="auto"/>
              <w:left w:val="single" w:sz="6" w:space="0" w:color="auto"/>
              <w:bottom w:val="single" w:sz="6" w:space="0" w:color="auto"/>
              <w:right w:val="single" w:sz="6" w:space="0" w:color="auto"/>
            </w:tcBorders>
          </w:tcPr>
          <w:p w14:paraId="6EA7A65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960" w:type="dxa"/>
            <w:tcBorders>
              <w:top w:val="single" w:sz="6" w:space="0" w:color="auto"/>
              <w:left w:val="single" w:sz="6" w:space="0" w:color="auto"/>
              <w:bottom w:val="single" w:sz="6" w:space="0" w:color="auto"/>
              <w:right w:val="single" w:sz="6" w:space="0" w:color="auto"/>
            </w:tcBorders>
          </w:tcPr>
          <w:p w14:paraId="30A4552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w:t>
            </w:r>
          </w:p>
        </w:tc>
        <w:tc>
          <w:tcPr>
            <w:tcW w:w="1094" w:type="dxa"/>
            <w:tcBorders>
              <w:top w:val="single" w:sz="6" w:space="0" w:color="auto"/>
              <w:left w:val="single" w:sz="6" w:space="0" w:color="auto"/>
              <w:bottom w:val="single" w:sz="6" w:space="0" w:color="auto"/>
              <w:right w:val="single" w:sz="6" w:space="0" w:color="auto"/>
            </w:tcBorders>
          </w:tcPr>
          <w:p w14:paraId="2B63B06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w:t>
            </w:r>
          </w:p>
        </w:tc>
        <w:tc>
          <w:tcPr>
            <w:tcW w:w="2064" w:type="dxa"/>
            <w:tcBorders>
              <w:top w:val="single" w:sz="6" w:space="0" w:color="auto"/>
              <w:left w:val="single" w:sz="6" w:space="0" w:color="auto"/>
              <w:bottom w:val="single" w:sz="6" w:space="0" w:color="auto"/>
              <w:right w:val="single" w:sz="6" w:space="0" w:color="auto"/>
            </w:tcBorders>
          </w:tcPr>
          <w:p w14:paraId="2A7252B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Электромеханический</w:t>
            </w:r>
          </w:p>
        </w:tc>
      </w:tr>
      <w:tr w:rsidR="00643896" w:rsidRPr="00640820" w14:paraId="2CE37461" w14:textId="77777777" w:rsidTr="000D3BCB">
        <w:trPr>
          <w:trHeight w:val="230"/>
        </w:trPr>
        <w:tc>
          <w:tcPr>
            <w:tcW w:w="1066" w:type="dxa"/>
            <w:tcBorders>
              <w:top w:val="nil"/>
              <w:left w:val="single" w:sz="6" w:space="0" w:color="auto"/>
              <w:bottom w:val="single" w:sz="6" w:space="0" w:color="auto"/>
              <w:right w:val="single" w:sz="6" w:space="0" w:color="auto"/>
            </w:tcBorders>
          </w:tcPr>
          <w:p w14:paraId="49797A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544EE9F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Тяжелый</w:t>
            </w:r>
          </w:p>
        </w:tc>
        <w:tc>
          <w:tcPr>
            <w:tcW w:w="1709" w:type="dxa"/>
            <w:tcBorders>
              <w:top w:val="single" w:sz="6" w:space="0" w:color="auto"/>
              <w:left w:val="single" w:sz="6" w:space="0" w:color="auto"/>
              <w:bottom w:val="single" w:sz="6" w:space="0" w:color="auto"/>
              <w:right w:val="single" w:sz="6" w:space="0" w:color="auto"/>
            </w:tcBorders>
          </w:tcPr>
          <w:p w14:paraId="7272F92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Мк IV "Черчилль"</w:t>
            </w:r>
          </w:p>
        </w:tc>
        <w:tc>
          <w:tcPr>
            <w:tcW w:w="1574" w:type="dxa"/>
            <w:tcBorders>
              <w:top w:val="single" w:sz="6" w:space="0" w:color="auto"/>
              <w:left w:val="single" w:sz="6" w:space="0" w:color="auto"/>
              <w:bottom w:val="single" w:sz="6" w:space="0" w:color="auto"/>
              <w:right w:val="single" w:sz="6" w:space="0" w:color="auto"/>
            </w:tcBorders>
          </w:tcPr>
          <w:p w14:paraId="3FCE3FF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w:t>
            </w:r>
          </w:p>
        </w:tc>
        <w:tc>
          <w:tcPr>
            <w:tcW w:w="1094" w:type="dxa"/>
            <w:tcBorders>
              <w:top w:val="single" w:sz="6" w:space="0" w:color="auto"/>
              <w:left w:val="single" w:sz="6" w:space="0" w:color="auto"/>
              <w:bottom w:val="single" w:sz="6" w:space="0" w:color="auto"/>
              <w:right w:val="single" w:sz="6" w:space="0" w:color="auto"/>
            </w:tcBorders>
          </w:tcPr>
          <w:p w14:paraId="6679A48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c>
          <w:tcPr>
            <w:tcW w:w="960" w:type="dxa"/>
            <w:tcBorders>
              <w:top w:val="single" w:sz="6" w:space="0" w:color="auto"/>
              <w:left w:val="single" w:sz="6" w:space="0" w:color="auto"/>
              <w:bottom w:val="single" w:sz="6" w:space="0" w:color="auto"/>
              <w:right w:val="single" w:sz="6" w:space="0" w:color="auto"/>
            </w:tcBorders>
          </w:tcPr>
          <w:p w14:paraId="63A8A94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094" w:type="dxa"/>
            <w:tcBorders>
              <w:top w:val="single" w:sz="6" w:space="0" w:color="auto"/>
              <w:left w:val="single" w:sz="6" w:space="0" w:color="auto"/>
              <w:bottom w:val="single" w:sz="6" w:space="0" w:color="auto"/>
              <w:right w:val="single" w:sz="6" w:space="0" w:color="auto"/>
            </w:tcBorders>
          </w:tcPr>
          <w:p w14:paraId="5873D0E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2064" w:type="dxa"/>
            <w:tcBorders>
              <w:top w:val="single" w:sz="6" w:space="0" w:color="auto"/>
              <w:left w:val="single" w:sz="6" w:space="0" w:color="auto"/>
              <w:bottom w:val="single" w:sz="6" w:space="0" w:color="auto"/>
              <w:right w:val="single" w:sz="6" w:space="0" w:color="auto"/>
            </w:tcBorders>
          </w:tcPr>
          <w:p w14:paraId="6E22174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Электромеханический</w:t>
            </w:r>
          </w:p>
        </w:tc>
      </w:tr>
    </w:tbl>
    <w:p w14:paraId="2CF47DA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 данные отсутствуют</w:t>
      </w:r>
    </w:p>
    <w:p w14:paraId="3A84AC3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(10703).</w:t>
      </w:r>
    </w:p>
    <w:p w14:paraId="0ED0415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680571"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3FA5A188"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032C4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конца 1941 велась работа по установке на Ил-2 вместо ШВАК и ВЯ двух пушек Ш-37 (или ШФК-37) конструкции Б.Г.Шпитального калибра 37 мм (5,109).</w:t>
      </w:r>
    </w:p>
    <w:p w14:paraId="46A1E5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BF751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С.Т.Кишкин и Н.М.Скляров сделали в начальный период войны воздушно-закаливаемую сталь АБ-2 для Ил-2. В 1942 за броню они были удостоены Госпремии. была теоретически обоснована и подтверждена экспериментами экранная броня - меньший вес по сравнению с гомогенной (85,327).</w:t>
      </w:r>
    </w:p>
    <w:p w14:paraId="6A077D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C6585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в 1 заб в Куйбышеве состоялась первая в штурмовой авиации военно-техническая конференция, проведенная заб совместно с авиазаводами и командованием ША (337,58).</w:t>
      </w:r>
    </w:p>
    <w:p w14:paraId="1DC0DF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B420F45" w14:textId="77777777" w:rsidR="0009647B" w:rsidRPr="00640820" w:rsidRDefault="0009647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года — начальник 15-го Главного управления Д. Кофман получил от наркома А. И. Шахурина указание срочно подыскать в новом промышленном районе площадку для «посадки» еще одного, ранее не планировавшегося предприятия — завода бронекорпусов, получившего номер 207, эшелон которого следует в Куйбышев.</w:t>
      </w:r>
    </w:p>
    <w:p w14:paraId="00507C33" w14:textId="77777777" w:rsidR="0009647B" w:rsidRPr="00640820" w:rsidRDefault="0009647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Поэтому внимание к нуждам завода №207 (директор Засульский) было максимально возможным для тех условий.</w:t>
      </w:r>
    </w:p>
    <w:p w14:paraId="2AB9517F" w14:textId="77777777" w:rsidR="0009647B" w:rsidRPr="00640820" w:rsidRDefault="0009647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Конечно, мехзавод и его жилой поселок, состоявший в основном из деревянных бараков, не выдерживали сравнения с заводом в Подольске. Но главным было то, что подольчане с ходу могли начинать работать в нескольких отапливаемых производственных корпусах.</w:t>
      </w:r>
    </w:p>
    <w:p w14:paraId="22784BFB" w14:textId="77777777" w:rsidR="0009647B" w:rsidRPr="00640820" w:rsidRDefault="0009647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Очень важно было и то, что эшелон с деталями бронекорпусов, оснасткой и материалами, так обстоятельно снаряженный в Подольске и адресованный заводу № 18, пришел еще до приезда самих подольчан.</w:t>
      </w:r>
    </w:p>
    <w:p w14:paraId="7C07B20C" w14:textId="77777777" w:rsidR="0009647B" w:rsidRPr="00640820" w:rsidRDefault="0009647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207 при всеобщем внимании и помощи быстро становился солидным предприятием. Параллельно с расширением производства шло строительство недостающих помещений. Для оснащения цехов нового завода все предприятия промрайона выделили различное оборудование. Б. А. Дубовиков до сих пор вспоминает, как директор завода № 18 Шенкман лично привез им микроскоп для заводской лаборатории.</w:t>
      </w:r>
    </w:p>
    <w:p w14:paraId="4E467CB5" w14:textId="77777777" w:rsidR="0009647B" w:rsidRPr="00640820" w:rsidRDefault="0009647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 трудностей у них все же хватало. Взять хотя бы то, что площадка завода находилась на отшибе, примерно в двадцати километрах от основного авиакомплекса. Связь — единственная железнодорожная ветка, которую зимой заносила любая метель. Тогда выручали кони и крестьянские сани или волокуши.</w:t>
      </w:r>
    </w:p>
    <w:p w14:paraId="012AF975" w14:textId="77777777" w:rsidR="0009647B" w:rsidRPr="00640820" w:rsidRDefault="0009647B"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Уже в феврале 1942 года завод № 207 передал заводу № 18 первую партию бронекорпусов, собранных на новом месте (19823).</w:t>
      </w:r>
    </w:p>
    <w:p w14:paraId="68B0BED7" w14:textId="77777777" w:rsidR="0009647B" w:rsidRPr="00640820" w:rsidRDefault="0009647B" w:rsidP="00640820">
      <w:pPr>
        <w:spacing w:after="0" w:line="240" w:lineRule="auto"/>
        <w:jc w:val="both"/>
        <w:rPr>
          <w:rFonts w:ascii="Times New Roman" w:hAnsi="Times New Roman"/>
          <w:color w:val="000000" w:themeColor="text1"/>
          <w:sz w:val="16"/>
          <w:szCs w:val="16"/>
        </w:rPr>
      </w:pPr>
    </w:p>
    <w:p w14:paraId="5F9626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Считается, что в конце 1941 г. проведенные на НИПАВ ВВС КА поли</w:t>
      </w:r>
      <w:r w:rsidRPr="00640820">
        <w:rPr>
          <w:rFonts w:ascii="Times New Roman" w:hAnsi="Times New Roman"/>
          <w:color w:val="000000" w:themeColor="text1"/>
          <w:sz w:val="16"/>
          <w:szCs w:val="16"/>
        </w:rPr>
        <w:softHyphen/>
        <w:t>гонные стрельбы штатными реактивными снарядами РС-82 и РС-132 и опыт боевого приме</w:t>
      </w:r>
      <w:r w:rsidRPr="00640820">
        <w:rPr>
          <w:rFonts w:ascii="Times New Roman" w:hAnsi="Times New Roman"/>
          <w:color w:val="000000" w:themeColor="text1"/>
          <w:sz w:val="16"/>
          <w:szCs w:val="16"/>
        </w:rPr>
        <w:softHyphen/>
        <w:t>нения Ил-2 на фронте продемонстрировали недостаточную эффектив</w:t>
      </w:r>
      <w:r w:rsidRPr="00640820">
        <w:rPr>
          <w:rFonts w:ascii="Times New Roman" w:hAnsi="Times New Roman"/>
          <w:color w:val="000000" w:themeColor="text1"/>
          <w:sz w:val="16"/>
          <w:szCs w:val="16"/>
        </w:rPr>
        <w:softHyphen/>
        <w:t>ность этого вида оружия при действии по малоразмерным целям ввиду большого рассеивания снарядов и, следовательно, малой вероятности попадания в цель.</w:t>
      </w:r>
    </w:p>
    <w:p w14:paraId="1E60623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примеру, средний процент попаданий РС-82 в танк при стрельбе с дистанции 400-500 м, отмеченный в материалах отчета, составил 1,1 %,а в колонну танков - 3,7%. При этом из 186 выстрелов было получено всего семь прямых попаданий. Высота подхода к цели - 100 и 400 м. углы пикирования - 5-10 и 30° соответственно, дальность прицеливания - 800 м. Пилоты стреляли одиночными и залпом по 2, 4 и 8 снаряда. Выясни</w:t>
      </w:r>
      <w:r w:rsidRPr="00640820">
        <w:rPr>
          <w:rFonts w:ascii="Times New Roman" w:hAnsi="Times New Roman"/>
          <w:color w:val="000000" w:themeColor="text1"/>
          <w:sz w:val="16"/>
          <w:szCs w:val="16"/>
        </w:rPr>
        <w:softHyphen/>
        <w:t>лось, что РС-82 может нанести поражение немецким легким танкам ти</w:t>
      </w:r>
      <w:r w:rsidRPr="00640820">
        <w:rPr>
          <w:rFonts w:ascii="Times New Roman" w:hAnsi="Times New Roman"/>
          <w:color w:val="000000" w:themeColor="text1"/>
          <w:sz w:val="16"/>
          <w:szCs w:val="16"/>
        </w:rPr>
        <w:softHyphen/>
        <w:t>па Рz II Аusf.F, Рz 38(t) Аusf.С, а также бронемашинам Sd Kfz 250 только при прямом попадании. Разрыв РС-82 вблизи танка (0,5-1 м) поражения ему не наносит. Наименьшее вероятное отклонение получалось в залпе из четырех РС при пикировании под углом 30°.</w:t>
      </w:r>
    </w:p>
    <w:p w14:paraId="72A38A3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Результаты стрельб РС-132 оказались еще хуже. Условия атак - те же, что и при стрельбе РС-82, но дальность пуска - 500-600 м. Отклонение по дальности при стрельбе на пикировании Ил-2 с углами 25-30° примерно в 1,5 раза выше, чем для РС-82, а для углов пикирования 5-10° практиче</w:t>
      </w:r>
      <w:r w:rsidRPr="00640820">
        <w:rPr>
          <w:rFonts w:ascii="Times New Roman" w:hAnsi="Times New Roman"/>
          <w:color w:val="000000" w:themeColor="text1"/>
          <w:sz w:val="16"/>
          <w:szCs w:val="16"/>
        </w:rPr>
        <w:softHyphen/>
        <w:t>ски совпадало.</w:t>
      </w:r>
    </w:p>
    <w:p w14:paraId="06FAB52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поражения легкого и среднего немецкого танка снарядом РС-132 требовалось только прямое попадание, поскольку при разрыве снаряда вблизи танка, последний существенных повреждений не получал. Одна</w:t>
      </w:r>
      <w:r w:rsidRPr="00640820">
        <w:rPr>
          <w:rFonts w:ascii="Times New Roman" w:hAnsi="Times New Roman"/>
          <w:color w:val="000000" w:themeColor="text1"/>
          <w:sz w:val="16"/>
          <w:szCs w:val="16"/>
        </w:rPr>
        <w:softHyphen/>
        <w:t>ко, добиться прямого попадания было очень сложно - из 134 выстрелов РС-132 в полигонных условиях летчики с различной степенью подготов</w:t>
      </w:r>
      <w:r w:rsidRPr="00640820">
        <w:rPr>
          <w:rFonts w:ascii="Times New Roman" w:hAnsi="Times New Roman"/>
          <w:color w:val="000000" w:themeColor="text1"/>
          <w:sz w:val="16"/>
          <w:szCs w:val="16"/>
        </w:rPr>
        <w:softHyphen/>
        <w:t>ки ни разу не попали в цель. В выводах отчета по полигонным испыта</w:t>
      </w:r>
      <w:r w:rsidRPr="00640820">
        <w:rPr>
          <w:rFonts w:ascii="Times New Roman" w:hAnsi="Times New Roman"/>
          <w:color w:val="000000" w:themeColor="text1"/>
          <w:sz w:val="16"/>
          <w:szCs w:val="16"/>
        </w:rPr>
        <w:softHyphen/>
        <w:t>ниям указывалось: «Несмотря на имевшие место прямые попадания РС-82 с поражением легких танков, из-за малой вероятности попадания по цели ограниченных размеров, а также недостаточно высокой поражаемости для других калибров при попадании в непосредственной близо</w:t>
      </w:r>
      <w:r w:rsidRPr="00640820">
        <w:rPr>
          <w:rFonts w:ascii="Times New Roman" w:hAnsi="Times New Roman"/>
          <w:color w:val="000000" w:themeColor="text1"/>
          <w:sz w:val="16"/>
          <w:szCs w:val="16"/>
        </w:rPr>
        <w:softHyphen/>
        <w:t>сти от танков, ведение стрельбы по отдельным танкам и целям малых размеров (или длины) с самолета Ил-2 реактивными снарядами всех ка</w:t>
      </w:r>
      <w:r w:rsidRPr="00640820">
        <w:rPr>
          <w:rFonts w:ascii="Times New Roman" w:hAnsi="Times New Roman"/>
          <w:color w:val="000000" w:themeColor="text1"/>
          <w:sz w:val="16"/>
          <w:szCs w:val="16"/>
        </w:rPr>
        <w:softHyphen/>
        <w:t>либров считать неэффективным».</w:t>
      </w:r>
    </w:p>
    <w:p w14:paraId="5B046A2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Вместе с этим, в отчете указывалось, что по площадным и линейно вытянутым целям применение РС дает определенный эффект.</w:t>
      </w:r>
    </w:p>
    <w:p w14:paraId="5369B4A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Усреднение результатов стрельб РС специалистами НИПАВ ВВС без учета степени подготовленности летчи</w:t>
      </w:r>
      <w:r w:rsidRPr="00640820">
        <w:rPr>
          <w:rFonts w:ascii="Times New Roman" w:hAnsi="Times New Roman"/>
          <w:color w:val="000000" w:themeColor="text1"/>
          <w:sz w:val="16"/>
          <w:szCs w:val="16"/>
        </w:rPr>
        <w:softHyphen/>
        <w:t>ков, числа снарядов в залпе и углов планирования штурмовика нельзя признать корректным при оценке реальной эффективности при дейст</w:t>
      </w:r>
      <w:r w:rsidRPr="00640820">
        <w:rPr>
          <w:rFonts w:ascii="Times New Roman" w:hAnsi="Times New Roman"/>
          <w:color w:val="000000" w:themeColor="text1"/>
          <w:sz w:val="16"/>
          <w:szCs w:val="16"/>
        </w:rPr>
        <w:softHyphen/>
        <w:t xml:space="preserve">вии по наземным целям. Отрицательный же опыт боевого применения РС на </w:t>
      </w:r>
      <w:r w:rsidRPr="00640820">
        <w:rPr>
          <w:rFonts w:ascii="Times New Roman" w:hAnsi="Times New Roman"/>
          <w:color w:val="000000" w:themeColor="text1"/>
          <w:sz w:val="16"/>
          <w:szCs w:val="16"/>
        </w:rPr>
        <w:lastRenderedPageBreak/>
        <w:t>фронте, по их мнению, объяснился главным образом повышенными (600-700 м) дальностями пуска снарядов и использованием не всего боекомплекта РС в одном залпе.</w:t>
      </w:r>
    </w:p>
    <w:p w14:paraId="1944845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Нет оснований подвергать сомнению подлинность данных, приведенных в этом отчете НИ ПАВ, однако, оцените сами более чем странные выводы испытателей. Складывается впечатление, что все многочислен</w:t>
      </w:r>
      <w:r w:rsidRPr="00640820">
        <w:rPr>
          <w:rFonts w:ascii="Times New Roman" w:hAnsi="Times New Roman"/>
          <w:color w:val="000000" w:themeColor="text1"/>
          <w:sz w:val="16"/>
          <w:szCs w:val="16"/>
        </w:rPr>
        <w:softHyphen/>
        <w:t>ные предшествующие отчеты НИПАВ по реактивным системам для стрельбы по воздушным и наземным целям полностью забыты или про</w:t>
      </w:r>
      <w:r w:rsidRPr="00640820">
        <w:rPr>
          <w:rFonts w:ascii="Times New Roman" w:hAnsi="Times New Roman"/>
          <w:color w:val="000000" w:themeColor="text1"/>
          <w:sz w:val="16"/>
          <w:szCs w:val="16"/>
        </w:rPr>
        <w:softHyphen/>
        <w:t>игнорированы, а в 1941 г. авиаторы в этой области начали заново «изобретать велосипед». Не исключено, что в битве за Москву в «топку вой</w:t>
      </w:r>
      <w:r w:rsidRPr="00640820">
        <w:rPr>
          <w:rFonts w:ascii="Times New Roman" w:hAnsi="Times New Roman"/>
          <w:color w:val="000000" w:themeColor="text1"/>
          <w:sz w:val="16"/>
          <w:szCs w:val="16"/>
        </w:rPr>
        <w:softHyphen/>
        <w:t>ны» пришлось бросить даже элитных испытателей Ногинского полиго</w:t>
      </w:r>
      <w:r w:rsidRPr="00640820">
        <w:rPr>
          <w:rFonts w:ascii="Times New Roman" w:hAnsi="Times New Roman"/>
          <w:color w:val="000000" w:themeColor="text1"/>
          <w:sz w:val="16"/>
          <w:szCs w:val="16"/>
        </w:rPr>
        <w:softHyphen/>
        <w:t>на, невзирая на их уникальный опыт и багаж знаний. В итоге их место на НИПАВ восполнили «желторотики» со своим дилетантским мнением относительно РС.</w:t>
      </w:r>
    </w:p>
    <w:p w14:paraId="749612B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Жаль, что авторы «Штурмовиков» не приводят фамилий ведущих ин</w:t>
      </w:r>
      <w:r w:rsidRPr="00640820">
        <w:rPr>
          <w:rFonts w:ascii="Times New Roman" w:hAnsi="Times New Roman"/>
          <w:color w:val="000000" w:themeColor="text1"/>
          <w:sz w:val="16"/>
          <w:szCs w:val="16"/>
        </w:rPr>
        <w:softHyphen/>
        <w:t>женеров по испытаниям (это могло бы подтвердить гипотезу о смене со</w:t>
      </w:r>
      <w:r w:rsidRPr="00640820">
        <w:rPr>
          <w:rFonts w:ascii="Times New Roman" w:hAnsi="Times New Roman"/>
          <w:color w:val="000000" w:themeColor="text1"/>
          <w:sz w:val="16"/>
          <w:szCs w:val="16"/>
        </w:rPr>
        <w:softHyphen/>
        <w:t>става испытателей), не указывают наименования прицельной системы На тех Ил-2, благодаря которой пилоты так «мазали» по целям в идеаль</w:t>
      </w:r>
      <w:r w:rsidRPr="00640820">
        <w:rPr>
          <w:rFonts w:ascii="Times New Roman" w:hAnsi="Times New Roman"/>
          <w:color w:val="000000" w:themeColor="text1"/>
          <w:sz w:val="16"/>
          <w:szCs w:val="16"/>
        </w:rPr>
        <w:softHyphen/>
        <w:t>ной полигонной обстановке. Нет данных и о моделях РС и РО — штат</w:t>
      </w:r>
      <w:r w:rsidRPr="00640820">
        <w:rPr>
          <w:rFonts w:ascii="Times New Roman" w:hAnsi="Times New Roman"/>
          <w:color w:val="000000" w:themeColor="text1"/>
          <w:sz w:val="16"/>
          <w:szCs w:val="16"/>
        </w:rPr>
        <w:softHyphen/>
        <w:t>ными они были или опытными. Да и вообще, проводил ли кто-нибудь юстировку или выверку ракетных орудий перед теми стрельбами?</w:t>
      </w:r>
    </w:p>
    <w:p w14:paraId="3C58BB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 пожалуй, более всего удивляют претензии многих современных Писателей к ракетному вооружению ильюшинских машин. Да, не здоро</w:t>
      </w:r>
      <w:r w:rsidRPr="00640820">
        <w:rPr>
          <w:rFonts w:ascii="Times New Roman" w:hAnsi="Times New Roman"/>
          <w:color w:val="000000" w:themeColor="text1"/>
          <w:sz w:val="16"/>
          <w:szCs w:val="16"/>
        </w:rPr>
        <w:softHyphen/>
        <w:t>во били осколочные РОС-82 и РОС-132 немецкие танки. А кто сказал, что должно было быть иначе? Почему никто не требует от артиллери</w:t>
      </w:r>
      <w:r w:rsidRPr="00640820">
        <w:rPr>
          <w:rFonts w:ascii="Times New Roman" w:hAnsi="Times New Roman"/>
          <w:color w:val="000000" w:themeColor="text1"/>
          <w:sz w:val="16"/>
          <w:szCs w:val="16"/>
        </w:rPr>
        <w:softHyphen/>
        <w:t>стов, чтобы их 85-мм и 122-мм осколочные гранаты успешно поражали бронетехнику противника? По-видимому, для этого в артиллерии предназначались бронебойные артснаряды... А в авиации что? Но, если при точном попадании в танк осколочный (а не бронебойный) РС все же вы</w:t>
      </w:r>
      <w:r w:rsidRPr="00640820">
        <w:rPr>
          <w:rFonts w:ascii="Times New Roman" w:hAnsi="Times New Roman"/>
          <w:color w:val="000000" w:themeColor="text1"/>
          <w:sz w:val="16"/>
          <w:szCs w:val="16"/>
        </w:rPr>
        <w:softHyphen/>
        <w:t>водил цель из строя (а то и уничтожал), согласитесь, создатели такого боеприпаса достойны того, чтобы перед ними обнажили голову!</w:t>
      </w:r>
    </w:p>
    <w:p w14:paraId="33290EF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Далее авторы пишут: «В арсенале Ил-2 наряду с реактивными снаря</w:t>
      </w:r>
      <w:r w:rsidRPr="00640820">
        <w:rPr>
          <w:rFonts w:ascii="Times New Roman" w:hAnsi="Times New Roman"/>
          <w:color w:val="000000" w:themeColor="text1"/>
          <w:sz w:val="16"/>
          <w:szCs w:val="16"/>
        </w:rPr>
        <w:softHyphen/>
        <w:t>дами РБС-132 с бронебойными БЧ, как средством борьбы с немецкой бронетехникой, к этому времени прочно укрепился реактивный снаряд РОФС-132 с улучшенной относительно РБС-132 или РС-132 кучностью стрельбы». На самом деле, показатели рассеивания РОФС-132 и РБС-132 мало чем отличались. Впрочем, у РБС-132 они были даже чуть лучше.</w:t>
      </w:r>
    </w:p>
    <w:p w14:paraId="4930311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«БЧ снаряда РОФС-132 обеспечивала сквозное пробитие (при пря</w:t>
      </w:r>
      <w:r w:rsidRPr="00640820">
        <w:rPr>
          <w:rFonts w:ascii="Times New Roman" w:hAnsi="Times New Roman"/>
          <w:color w:val="000000" w:themeColor="text1"/>
          <w:sz w:val="16"/>
          <w:szCs w:val="16"/>
        </w:rPr>
        <w:softHyphen/>
        <w:t>мом попадании) брони средних и тяжелых немецких танков». Здесь уме</w:t>
      </w:r>
      <w:r w:rsidRPr="00640820">
        <w:rPr>
          <w:rFonts w:ascii="Times New Roman" w:hAnsi="Times New Roman"/>
          <w:color w:val="000000" w:themeColor="text1"/>
          <w:sz w:val="16"/>
          <w:szCs w:val="16"/>
        </w:rPr>
        <w:softHyphen/>
        <w:t>стнее говорить не об особенностях БЧ, а о кинетике более тяжелого и скоростного снаряда. «При разрыве РОФС-132 вблизи танка на рассто</w:t>
      </w:r>
      <w:r w:rsidRPr="00640820">
        <w:rPr>
          <w:rFonts w:ascii="Times New Roman" w:hAnsi="Times New Roman"/>
          <w:color w:val="000000" w:themeColor="text1"/>
          <w:sz w:val="16"/>
          <w:szCs w:val="16"/>
        </w:rPr>
        <w:softHyphen/>
        <w:t>янии 1 м при углах подхода 30° кинетической энергии осколков было до</w:t>
      </w:r>
      <w:r w:rsidRPr="00640820">
        <w:rPr>
          <w:rFonts w:ascii="Times New Roman" w:hAnsi="Times New Roman"/>
          <w:color w:val="000000" w:themeColor="text1"/>
          <w:sz w:val="16"/>
          <w:szCs w:val="16"/>
        </w:rPr>
        <w:softHyphen/>
        <w:t>статочно для того, чтобы пробить немецкую танковую броню толщиной до 15 мм. При углах подхода до 60° разрыв РОФС-132 на расстоянии до 3 м пробивал осколками танковую броню толщиной 30 мм. Размеры про</w:t>
      </w:r>
      <w:r w:rsidRPr="00640820">
        <w:rPr>
          <w:rFonts w:ascii="Times New Roman" w:hAnsi="Times New Roman"/>
          <w:color w:val="000000" w:themeColor="text1"/>
          <w:sz w:val="16"/>
          <w:szCs w:val="16"/>
        </w:rPr>
        <w:softHyphen/>
        <w:t>боин при этом в среднем - (20-25) х (35-80) мм.</w:t>
      </w:r>
    </w:p>
    <w:p w14:paraId="58D7EF8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прямом попадании РОФС-132 в борт, например, штурмового орудия StuG IV (или в борт истребителя танков Jgd Pz 1У/70) 30-мм бро</w:t>
      </w:r>
      <w:r w:rsidRPr="00640820">
        <w:rPr>
          <w:rFonts w:ascii="Times New Roman" w:hAnsi="Times New Roman"/>
          <w:color w:val="000000" w:themeColor="text1"/>
          <w:sz w:val="16"/>
          <w:szCs w:val="16"/>
        </w:rPr>
        <w:softHyphen/>
        <w:t>ню пробивало, а орудие, оборудование и экипаж внутри танка, как пра</w:t>
      </w:r>
      <w:r w:rsidRPr="00640820">
        <w:rPr>
          <w:rFonts w:ascii="Times New Roman" w:hAnsi="Times New Roman"/>
          <w:color w:val="000000" w:themeColor="text1"/>
          <w:sz w:val="16"/>
          <w:szCs w:val="16"/>
        </w:rPr>
        <w:softHyphen/>
        <w:t>вило, выводило из строя. Попадание РОФС-132 в моторную часть Рz IV приводило к потере танка». Можно однозначно утверждать, что вывод из строя осколочно-фугасным снарядом орудия в боевом отделении самоходки обычно сопровождается полным уничтожением экипажа. Величи</w:t>
      </w:r>
      <w:r w:rsidRPr="00640820">
        <w:rPr>
          <w:rFonts w:ascii="Times New Roman" w:hAnsi="Times New Roman"/>
          <w:color w:val="000000" w:themeColor="text1"/>
          <w:sz w:val="16"/>
          <w:szCs w:val="16"/>
        </w:rPr>
        <w:softHyphen/>
        <w:t>на пробоин говорит о малопродуктивном дроблении корпуса, хотя имен</w:t>
      </w:r>
      <w:r w:rsidRPr="00640820">
        <w:rPr>
          <w:rFonts w:ascii="Times New Roman" w:hAnsi="Times New Roman"/>
          <w:color w:val="000000" w:themeColor="text1"/>
          <w:sz w:val="16"/>
          <w:szCs w:val="16"/>
        </w:rPr>
        <w:softHyphen/>
        <w:t>но такие осколки и могли пробить 30 мм брони (11402).</w:t>
      </w:r>
    </w:p>
    <w:p w14:paraId="6F0D2CB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7A43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конце 1941 г. в системе 3ГУ НКАП на базе части эвакуированного из г.Ступино (Московская обл.) в г.Куйбышев завода №150 НКАП образован завлд № 35. Директором в 1941-43гг. был Марочкин. Серийный завод по пр-ву авиационных металлических винтов: АВ-5Л-158, АВ-5Л-139, АВ-5Л-167, АВ-5Л-124, ВИШ-21, ВИШ-22Т, ВИШ-23. </w:t>
      </w:r>
    </w:p>
    <w:p w14:paraId="588C98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заводе действовало ОКБ по авиавинтам (бывшее ОКБ комбината №150). Гл.к. К.И.Жданов, зам. гл.к. Д.М.Дубровский. Проводились работы по воздушным винтам изменяемого шага из алюминиевого сплава для самолетов Пе-2, МиГ-3, Ту-2 и др. В 1944 г. коллектив ОКБ завода №35 был переведен в г. Ступино и влит в состав нового завода №25 НКАП (приказ №12 от 5.1.44г). </w:t>
      </w:r>
    </w:p>
    <w:p w14:paraId="24D31D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 тематике авиавинтов завод работал до 1945 г. С марта 1953 г. завод переден из 14ГУ в 2ГУ, а с 1.5.56 г. - из 2ГУ в 1ГУ МАП. В середине 1950-х вел производство свеклоуборочных машин. Далее осуществлял производство с к. 1950-х гг. ракетных блоков УБ-16-57У для вооружения самолетов МиГ-21 и Су-7Б. Для работ по блокам неуправляемых ракет (НАР) при заводе создано ОКБ. </w:t>
      </w:r>
    </w:p>
    <w:p w14:paraId="52151A3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настоящее время на "Авиаагрегете" ведутся работы по проектированию и изготовлению взлетно-посадочным устройствам (авиашасси), рулевых приводов, гидросиловых агрегатов, а также осуществляется серийное производство блоков для НАР: Б-8М1, Б-8В20(А), Б-8В7 для ракет С-8, Б-13Л для рает С-13. </w:t>
      </w:r>
    </w:p>
    <w:p w14:paraId="0E9B18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Генеральный директор О.А.Ермаков (на 1996г). </w:t>
      </w:r>
    </w:p>
    <w:p w14:paraId="6F05F2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ОАО "Авиаагрегет" - самая крупная специализированная фирма России по разработке, изготовлению и испытаниям шасси, рулевых приводов, элементов вооружения летательных аппаратов и гидроцилиндров для наземной техники различных отраслей промышленности. 27 типов летательных аппаратов, в том числе Ил-86, Ту-154, Ту-134А, Ан-24, Ан-32, Ан-72, Миг-23, Ил-96М, Ту-204, Ту-214 и их модификации, оборудованы шасси, спроектированными и изготовленными ОАО "Авиаагрегат". В состав входят агрегатный завод и ОКБ.</w:t>
      </w:r>
    </w:p>
    <w:p w14:paraId="5239F8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Авиаагрегат, ОАО, ранее - Завод №35, Куйбышевский агрегатный завод, Самарское ГП "Авиаагрегат", АООТ "Авиаагрегат", АО "Авиаагрегат" </w:t>
      </w:r>
    </w:p>
    <w:p w14:paraId="14F2F9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- 443009, Россия, г.Самара, Заводское шоссе, 55 (10776).</w:t>
      </w:r>
    </w:p>
    <w:p w14:paraId="486A73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6EB56FA"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года на втором экземпляре Су-6 М-71 установили, в соответствии с реко</w:t>
      </w:r>
      <w:r w:rsidRPr="00640820">
        <w:rPr>
          <w:rFonts w:ascii="Times New Roman" w:hAnsi="Times New Roman"/>
          <w:color w:val="000000" w:themeColor="text1"/>
          <w:sz w:val="16"/>
          <w:szCs w:val="16"/>
        </w:rPr>
        <w:softHyphen/>
        <w:t>мендациями, две пушки ВЯ калибра 23 мм На этом экземпляре штурмовика были ус</w:t>
      </w:r>
      <w:r w:rsidRPr="00640820">
        <w:rPr>
          <w:rFonts w:ascii="Times New Roman" w:hAnsi="Times New Roman"/>
          <w:color w:val="000000" w:themeColor="text1"/>
          <w:sz w:val="16"/>
          <w:szCs w:val="16"/>
        </w:rPr>
        <w:softHyphen/>
        <w:t>тановлены предкрылки, щитки типа “Шренк” и десять реактивных снарядов PC-132 (или PC-82). Бомбовая нагрузка со</w:t>
      </w:r>
      <w:r w:rsidRPr="00640820">
        <w:rPr>
          <w:rFonts w:ascii="Times New Roman" w:hAnsi="Times New Roman"/>
          <w:color w:val="000000" w:themeColor="text1"/>
          <w:sz w:val="16"/>
          <w:szCs w:val="16"/>
        </w:rPr>
        <w:softHyphen/>
        <w:t>ставляла 200 кг, в перегрузку — 400 кг. Броня не включалась в силовую схему и размещалась внутри самолета. В качестве достоинства отмечалось, что броня защи</w:t>
      </w:r>
      <w:r w:rsidRPr="00640820">
        <w:rPr>
          <w:rFonts w:ascii="Times New Roman" w:hAnsi="Times New Roman"/>
          <w:color w:val="000000" w:themeColor="text1"/>
          <w:sz w:val="16"/>
          <w:szCs w:val="16"/>
        </w:rPr>
        <w:softHyphen/>
        <w:t>щает от пуль калибра 12,7 мм, однако пред</w:t>
      </w:r>
      <w:r w:rsidRPr="00640820">
        <w:rPr>
          <w:rFonts w:ascii="Times New Roman" w:hAnsi="Times New Roman"/>
          <w:color w:val="000000" w:themeColor="text1"/>
          <w:sz w:val="16"/>
          <w:szCs w:val="16"/>
        </w:rPr>
        <w:softHyphen/>
        <w:t>лагалось схему бронирования изменить в соответствии с рекомендациями НИИ ВВС (5011).</w:t>
      </w:r>
    </w:p>
    <w:p w14:paraId="7D74740E"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9548F9" w14:textId="77777777" w:rsidR="00D823F8" w:rsidRPr="00640820" w:rsidRDefault="00D823F8"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В конце 1941 г. в соответствии с рекомендациями НИИ ВВС КА на втором экземпляре самолета Су-6 М-71 в дополнение к четырем крыльевым пулеметам ШКАС (3000 патронов) были установлены две пушки ВЯ-23 калибра 23 мм с боезапасом 230 снарядов.</w:t>
      </w:r>
    </w:p>
    <w:p w14:paraId="351D7D75" w14:textId="77777777" w:rsidR="00D823F8" w:rsidRPr="00640820" w:rsidRDefault="00D823F8"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Кроме того, на штурмовике предусматривалась подвеска 10 реактивных снарядов РС-82 (или РС-132). Нормальная бомбовая нагрузка была доведена до 200 кг (в перегрузку — 400 кг).</w:t>
      </w:r>
    </w:p>
    <w:p w14:paraId="4762B4DD" w14:textId="77777777" w:rsidR="00D823F8" w:rsidRPr="00640820" w:rsidRDefault="00D823F8"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На самолете были установлены предкрылки, щитки типа «Шренк».</w:t>
      </w:r>
    </w:p>
    <w:p w14:paraId="30C16771" w14:textId="77777777" w:rsidR="00D823F8" w:rsidRPr="00640820" w:rsidRDefault="00D823F8"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Броня не включалась в силовую схему и размещалась внутри самолета.</w:t>
      </w:r>
    </w:p>
    <w:p w14:paraId="06AA15C6" w14:textId="77777777" w:rsidR="00D823F8" w:rsidRPr="00640820" w:rsidRDefault="00D823F8"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Вес пустого самолета равнялся 3727 кг, вес полезной нагрузки — 1523 кг (19188).</w:t>
      </w:r>
    </w:p>
    <w:p w14:paraId="4611F77D" w14:textId="77777777" w:rsidR="00D823F8" w:rsidRPr="00640820" w:rsidRDefault="00D823F8" w:rsidP="00640820">
      <w:pPr>
        <w:pStyle w:val="ae"/>
        <w:shd w:val="clear" w:color="auto" w:fill="FFFFFF"/>
        <w:spacing w:before="0" w:after="0"/>
        <w:jc w:val="both"/>
        <w:textAlignment w:val="baseline"/>
        <w:rPr>
          <w:color w:val="000000" w:themeColor="text1"/>
          <w:sz w:val="16"/>
          <w:szCs w:val="16"/>
        </w:rPr>
      </w:pPr>
    </w:p>
    <w:p w14:paraId="3A5056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в соответствии с рекомендациями НИИ ВВС КА на втором экземпляре самолета Су-6 М-71 в дополнение к четырем крыльевым пулеметам ШКАС (3000 патронов) были установлены две пушки ВЯ-23 калибра 23 мм с боезапасом 230 снарядов.</w:t>
      </w:r>
    </w:p>
    <w:p w14:paraId="37206D8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на штурмовике предусматривалась подвеска 10 реактивных снарядов PC-82 (или PC-132). Нормальная бомбовая нагрузка была доведена до 200 кг (в перегрузку - 400 кг).</w:t>
      </w:r>
    </w:p>
    <w:p w14:paraId="721735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самолете были установлены предкрылки, щитки типа “Шренк”.</w:t>
      </w:r>
    </w:p>
    <w:p w14:paraId="7F6C5E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Броня не включалась в силовую схему и размещалась внутри самолета.</w:t>
      </w:r>
    </w:p>
    <w:p w14:paraId="7B799B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Вес пустого самолета равнялся 3727 кг, вес полезной нагрузки - 1523 кг (9649).</w:t>
      </w:r>
    </w:p>
    <w:p w14:paraId="034C40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F43CC0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Павел Осипович обращается в НКАП со следующим пред</w:t>
      </w:r>
      <w:r w:rsidRPr="00640820">
        <w:rPr>
          <w:rFonts w:ascii="Times New Roman" w:hAnsi="Times New Roman"/>
          <w:color w:val="000000" w:themeColor="text1"/>
          <w:sz w:val="16"/>
          <w:szCs w:val="16"/>
        </w:rPr>
        <w:softHyphen/>
        <w:t>ложением: «...Самолет Су-6, имея хоро</w:t>
      </w:r>
      <w:r w:rsidRPr="00640820">
        <w:rPr>
          <w:rFonts w:ascii="Times New Roman" w:hAnsi="Times New Roman"/>
          <w:color w:val="000000" w:themeColor="text1"/>
          <w:sz w:val="16"/>
          <w:szCs w:val="16"/>
        </w:rPr>
        <w:softHyphen/>
        <w:t>шее вооружение и бронирование, пока</w:t>
      </w:r>
      <w:r w:rsidRPr="00640820">
        <w:rPr>
          <w:rFonts w:ascii="Times New Roman" w:hAnsi="Times New Roman"/>
          <w:color w:val="000000" w:themeColor="text1"/>
          <w:sz w:val="16"/>
          <w:szCs w:val="16"/>
        </w:rPr>
        <w:softHyphen/>
        <w:t>зал хорошую маневренность и управляе</w:t>
      </w:r>
      <w:r w:rsidRPr="00640820">
        <w:rPr>
          <w:rFonts w:ascii="Times New Roman" w:hAnsi="Times New Roman"/>
          <w:color w:val="000000" w:themeColor="text1"/>
          <w:sz w:val="16"/>
          <w:szCs w:val="16"/>
        </w:rPr>
        <w:softHyphen/>
        <w:t>мость при максимальной скорости у земли порядка 500 км/ч.</w:t>
      </w:r>
    </w:p>
    <w:p w14:paraId="06F73DA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такими данными самолет не только может с успехом выполнять противотан</w:t>
      </w:r>
      <w:r w:rsidRPr="00640820">
        <w:rPr>
          <w:rFonts w:ascii="Times New Roman" w:hAnsi="Times New Roman"/>
          <w:color w:val="000000" w:themeColor="text1"/>
          <w:sz w:val="16"/>
          <w:szCs w:val="16"/>
        </w:rPr>
        <w:softHyphen/>
        <w:t>ковые действия, но и полностью проти</w:t>
      </w:r>
      <w:r w:rsidRPr="00640820">
        <w:rPr>
          <w:rFonts w:ascii="Times New Roman" w:hAnsi="Times New Roman"/>
          <w:color w:val="000000" w:themeColor="text1"/>
          <w:sz w:val="16"/>
          <w:szCs w:val="16"/>
        </w:rPr>
        <w:softHyphen/>
        <w:t>востоять атакам немецких истребителей, скорость которых у земли порядка 500 км/ч.</w:t>
      </w:r>
    </w:p>
    <w:p w14:paraId="56050BF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Особое значение приобретает просто</w:t>
      </w:r>
      <w:r w:rsidRPr="00640820">
        <w:rPr>
          <w:rFonts w:ascii="Times New Roman" w:hAnsi="Times New Roman"/>
          <w:color w:val="000000" w:themeColor="text1"/>
          <w:sz w:val="16"/>
          <w:szCs w:val="16"/>
        </w:rPr>
        <w:softHyphen/>
        <w:t>та управления самолетом, что должно сказаться на увеличении количества бое</w:t>
      </w:r>
      <w:r w:rsidRPr="00640820">
        <w:rPr>
          <w:rFonts w:ascii="Times New Roman" w:hAnsi="Times New Roman"/>
          <w:color w:val="000000" w:themeColor="text1"/>
          <w:sz w:val="16"/>
          <w:szCs w:val="16"/>
        </w:rPr>
        <w:softHyphen/>
        <w:t>вых вылетов летчика в день, тем самым как бы увеличивая количество самоле</w:t>
      </w:r>
      <w:r w:rsidRPr="00640820">
        <w:rPr>
          <w:rFonts w:ascii="Times New Roman" w:hAnsi="Times New Roman"/>
          <w:color w:val="000000" w:themeColor="text1"/>
          <w:sz w:val="16"/>
          <w:szCs w:val="16"/>
        </w:rPr>
        <w:softHyphen/>
        <w:t>тов, участвующих в бою.</w:t>
      </w:r>
    </w:p>
    <w:p w14:paraId="1AA96DA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технологической отработки и так</w:t>
      </w:r>
      <w:r w:rsidRPr="00640820">
        <w:rPr>
          <w:rFonts w:ascii="Times New Roman" w:hAnsi="Times New Roman"/>
          <w:color w:val="000000" w:themeColor="text1"/>
          <w:sz w:val="16"/>
          <w:szCs w:val="16"/>
        </w:rPr>
        <w:softHyphen/>
        <w:t>тической проверки самолета я считал бы целесообразным построить несколько экземпляров Су-6. Завод № 19 имеет шесть свободных моторов М-71 в первой половине 1942 года» (10718).</w:t>
      </w:r>
    </w:p>
    <w:p w14:paraId="70DFA45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B051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после проработки нескольких вариантов компоновки самолета ОДБШ и его боевого применения облик суховско-го штурмовика был кардинально изменен.</w:t>
      </w:r>
    </w:p>
    <w:p w14:paraId="5D40231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Были добавлены две подвижные оборонительные огневые точки для обороны со стороны верхней и нижней частей задней полусферы. Для их обслуживания в состав экипажа был введен воздушный стрелок.</w:t>
      </w:r>
    </w:p>
    <w:p w14:paraId="008EBA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целью сохранения хорошей аэродинамики самолета верхняя оборонительная установка была выполнена в виде башенки небольших размеров, незначительно выступавшей за обводы фюзеляжа.</w:t>
      </w:r>
    </w:p>
    <w:p w14:paraId="7E87C4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обороны нижней задней полусферы использовалась люковая установка.</w:t>
      </w:r>
    </w:p>
    <w:p w14:paraId="399AAD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Прицеливание при стрельбе из пулеметов верхней и нижней огневых точек осуществлялось с помощью пе-рескопических прицелов.</w:t>
      </w:r>
    </w:p>
    <w:p w14:paraId="7E07F1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Летчик и стрелок были довольно хорошо забронированы. Летчик находился в бронекорпусе, защищавшем снизу и с боков.</w:t>
      </w:r>
    </w:p>
    <w:p w14:paraId="11C573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Спереди летчик защищался прозрачной броней. Спереди-сверху и сзади устанавливались бронеплиты, а сверху - броненадголовник.</w:t>
      </w:r>
    </w:p>
    <w:p w14:paraId="5EF983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Отметим, что помимо защиты от огня противника прозрачная броня спереди обеспечивала еще и достаточно хороший обзор вперед-вниз.</w:t>
      </w:r>
    </w:p>
    <w:p w14:paraId="254320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Стрелок имел бронеспинку и бронечашку сидения. Со стороны задней полусферы устанавливался гнутый бронелист. Снизу стрелок прикрывался плоским бронелистом, обеспечивающим защиту при стрельбе из люковой установки.</w:t>
      </w:r>
    </w:p>
    <w:p w14:paraId="1B42A9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кабиной летчика размещался бензобак, а за лонжероном центроплана - батарея из 37-мм пушек и крупнокалиберных пулеметов на поворотном лафете с отклонением вниз при обслуживании.</w:t>
      </w:r>
    </w:p>
    <w:p w14:paraId="675DA1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Хвостовая часть выполнялась деревянной.</w:t>
      </w:r>
    </w:p>
    <w:p w14:paraId="0E1C17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Крыло однолонжеронное смешанной конструкции состояло из металлического центроплана и двух отъемных деревянных консолей.</w:t>
      </w:r>
    </w:p>
    <w:p w14:paraId="66AE9F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Деревянные консоли скреплялись с центропланом посредством металлического лонжерона и задней стенки. На эту же стенку навешивались элероны и щитки.</w:t>
      </w:r>
    </w:p>
    <w:p w14:paraId="542328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Проектом предусматривалась установка на штурмовик перспективного мотора воздушного охлаждения М-71 как более живучего в бою.</w:t>
      </w:r>
    </w:p>
    <w:p w14:paraId="63D24E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Проект штурмовика был утвержден и Сухой получил разрешение на постройку макета самолета под наименованием ДДБШ - двухместный двухмоторный бронированный штурмовик.</w:t>
      </w:r>
    </w:p>
    <w:p w14:paraId="161EAA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заключении НИИ ВВС на эскизный проект рекомендовалось усилить бронирование экипажа, вместо верхней башенки установить турель УТК-1 с пулеметом УБТ (9649).</w:t>
      </w:r>
    </w:p>
    <w:p w14:paraId="317796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3E0051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С.В.И. понял бесперспективность модернизации ДБ и начал работу над новой машиной с большей скоростью.</w:t>
      </w:r>
    </w:p>
    <w:p w14:paraId="54312BE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D6E659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концу 1941 года все было готово для установки М-82 на Пе-8. М-82 было решено поставить на ТБ-7 №42047, который еще был не укоплектован АМ-35А. Первые полеты, проведенные заводским шеф-пилотом Пе-8 Б.Г.Говоровым, показали приемлемые результаты. Поведение первого Пе-8 4М-82 ничем не отличалось от остальных машин. Незваль надеялся, что установка нового двигателя несколько повысит скорость самолета при применении второй скорости нагнетателя. Но как показали первые полеты на этом режиме, М-82 работал очень нестабильно, и ожидаемого прироста скорости получить не удалось. Для решения вопросов с новой силовой установкой со стороны ЛИИ, который также в годы войны находился в Казани, к ОКБ был прикреплен Главный конструктор С.К.Туманский, который оказывал большую помощь в решении многих проблем с М-82. Вместе с ним Незваль проработал результаты первых полетов Пе-8 4М-82, и с небольшим отчетом они отправились к Дементьеву Тот связался с Головановым, который успокоил их, сказав, что для Пе-8 эти скорости достаточны и что главное получить на испытаниях как можно большую дальность полета (7685).</w:t>
      </w:r>
    </w:p>
    <w:p w14:paraId="0F3BDA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62ACA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Поступившие к концу 1941 года в части ТБ-7 4АМ-35А были мало изучены, только-только закончились испытания ТБ-7 с АМ-35А в НИИ ВВС, кроме того, они имели меньшие радиусы действия из-за большого расхода топлива. Плюс потеря аэродромов под Москвой и Ленинградом. Поэтому ТБ-7 4АМ-35А в основном вылетали на бомбежки целей в Восточной Пруссии, на Кенигсберг, Данциг, Мариенбург, Инсбург, Алленштайн.</w:t>
      </w:r>
    </w:p>
    <w:p w14:paraId="32A092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Помимо налетов по дальним целям с ТБ-7 наносились удары по объектам на оккупированной немцами советской территории. Налеты совершались одиночными экипажами, с использованием высотных характеристик ТБ-7. Это позволяло наносить внезапные мощные удары по целям, находившимся на сравнительно небольшом расстоянии от аэродромов базирования. Это позволяло брать на борт до 30 бомб ФАБ-100.</w:t>
      </w:r>
    </w:p>
    <w:p w14:paraId="551ECD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Полеты в основном проводились в ночное время, но иногда в острые моменты германского осеннего наступления на Москву ТБ-7 отправлялись в боевые вылеты по тактическим целям и в дневное время. Когда немецкие танки прорвались к Калуге и создалась прямая угроза прорыва германских механизированных соединений к Москве, два ТБ-7, ведомые Водопьяновым, нанесли удар по ним. При этом бомбардировщики были серьезно повреждены огнем армейской ПВО немцев, которая отличалась прекрасной эффективностью в течение всей войны. В дальнейшем подобные эксперименты решили больше не проводить, и ТБ-7 в ходе войны использовались для дальних полетов, а если их привлекали для ударов по тактическим целям, то это выполнялось в ночное время.</w:t>
      </w:r>
    </w:p>
    <w:p w14:paraId="19AD10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Были проведены работы по оптимизации профиля полета ТБ-7 с АМ-35А. Были выработаны рекомендации, позволявшие снизить часовые расходы топлива на двадцать и более процентов. Правда, полностью выполнять эти рекомендации экипажам не удавалось. При возвращении с боевых заданий, по требованиям командования ПВО Москвы, машины должны были снижаться до высоты 1000 м, где АМ-35А работали с большими часовыми расходами топлива. Боевые вылеты на ТБ-7 первой военной осени и зимы с аэродрома Коврова были достаточно успешны, хотя имелись потери от зенитного огня и атак истребителей, но они были незначительны. Было несколько повреждений самолетов при вынужденных посадках. Машины восстанавливались и снова включались в боевое расписание (7685).</w:t>
      </w:r>
    </w:p>
    <w:p w14:paraId="1F6232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5350A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концу 1941 г. подготовили всё необходимое для установки М-82 на одном ТБ-7. Первые полёты, проведённые заводским пилотом Б.Г. Говоровым, показали приемлемые результаты. Поведение самолёта с М-82 было таким же, как и у остальных машин. Незваль надеялся, что установка нового двигателя несколько повысит скорость, поскольку на М-82, в отличие от АМ-35А, стоял двухскоростной ПЦН, увеличивавший обороты и наддув на высоте. Но первые серийные М-82 имели много дефектов. На второй скорости ПЦН мотор работал нестабильно, и ожидаемого прироста скорости самолёта получить не удалось. Однако командующий АДД Голованов счёл, что для тяжёлого бомбардировщика эти скорости достаточны, гораздо важнее большая дальность полёта (11996).</w:t>
      </w:r>
    </w:p>
    <w:p w14:paraId="2ED698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9943F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конца 1941 г., то есть до второго случая прекращения производства, суммарный выпуск самолетов типа ТБ-7 вместе с двумя опытными АНТ-42 составил 37 экземпляров. Согласно отчетным документам авиазавода №124 выпуск бомбардировщиков ТБ-7 в 1941 г. выглядел следующим образом (см. таблицу).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643896" w:rsidRPr="00640820" w14:paraId="7956A174" w14:textId="77777777" w:rsidTr="000D3BCB">
        <w:tc>
          <w:tcPr>
            <w:tcW w:w="5605" w:type="dxa"/>
            <w:tcBorders>
              <w:top w:val="single" w:sz="12" w:space="0" w:color="auto"/>
            </w:tcBorders>
          </w:tcPr>
          <w:p w14:paraId="475054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5605" w:type="dxa"/>
            <w:tcBorders>
              <w:top w:val="single" w:sz="12" w:space="0" w:color="auto"/>
            </w:tcBorders>
          </w:tcPr>
          <w:p w14:paraId="6FC526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1941 г.</w:t>
            </w:r>
          </w:p>
        </w:tc>
      </w:tr>
      <w:tr w:rsidR="00643896" w:rsidRPr="00640820" w14:paraId="3B9E3E94" w14:textId="77777777" w:rsidTr="000D3BCB">
        <w:tc>
          <w:tcPr>
            <w:tcW w:w="5605" w:type="dxa"/>
          </w:tcPr>
          <w:p w14:paraId="0B7CCA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ТБ-7 АМ-35А</w:t>
            </w:r>
          </w:p>
        </w:tc>
        <w:tc>
          <w:tcPr>
            <w:tcW w:w="5605" w:type="dxa"/>
          </w:tcPr>
          <w:p w14:paraId="4D8327E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w:t>
            </w:r>
          </w:p>
        </w:tc>
      </w:tr>
      <w:tr w:rsidR="00643896" w:rsidRPr="00640820" w14:paraId="73C51A4A" w14:textId="77777777" w:rsidTr="000D3BCB">
        <w:tc>
          <w:tcPr>
            <w:tcW w:w="5605" w:type="dxa"/>
          </w:tcPr>
          <w:p w14:paraId="40D38B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ТБ-7 М-30</w:t>
            </w:r>
          </w:p>
        </w:tc>
        <w:tc>
          <w:tcPr>
            <w:tcW w:w="5605" w:type="dxa"/>
          </w:tcPr>
          <w:p w14:paraId="0E8A89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w:t>
            </w:r>
          </w:p>
        </w:tc>
      </w:tr>
      <w:tr w:rsidR="00643896" w:rsidRPr="00640820" w14:paraId="39FEBE80" w14:textId="77777777" w:rsidTr="000D3BCB">
        <w:tc>
          <w:tcPr>
            <w:tcW w:w="5605" w:type="dxa"/>
            <w:tcBorders>
              <w:bottom w:val="single" w:sz="12" w:space="0" w:color="auto"/>
            </w:tcBorders>
          </w:tcPr>
          <w:p w14:paraId="6B8E70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ТБ-7 М-40Ф</w:t>
            </w:r>
          </w:p>
        </w:tc>
        <w:tc>
          <w:tcPr>
            <w:tcW w:w="5605" w:type="dxa"/>
            <w:tcBorders>
              <w:bottom w:val="single" w:sz="12" w:space="0" w:color="auto"/>
            </w:tcBorders>
          </w:tcPr>
          <w:p w14:paraId="5287AC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w:t>
            </w:r>
          </w:p>
        </w:tc>
      </w:tr>
    </w:tbl>
    <w:p w14:paraId="7CDEFA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Еше один построенный в тот год самолет не вошел в обшее количество сданных машин. Этот ТБ-7 №42056, оборудованный дизельными двигателями М-40, потерпел катастрофу 13 ноября 1941 г. В ней погиб заводской летчик-испытатель Л.О.Немет и еще трое членов экипажа. Причиной катастрофы стал обрыв шатунов у левого внутреннего дизеля М-40 и последующий пожар самолета (12025).</w:t>
      </w:r>
    </w:p>
    <w:p w14:paraId="1147B3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6AC14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года Завод №22 провалил план по выпуску Пе-2 и руководство не нашло ничего лучшего, чем в своих неудачах обвинить завод №124. В Москву шли бесконечные телеграммы о том, что ТБ-7 мешают выпуску Пе-2. Наркомат Авиапромышленности, устав от бесконечного потока жалоб и зная о массовых беспорядках, произошедших на заводе, принимает решение объединить два завода в один, а ТБ-7 с производства снять. Для оглашения постановления ГКО №1048сс от 23 декабря 1941 г и приказа Народного Комиссара Авиационной Промышленности №1185сс от 26 декабря того же года, в Казань прибывает зам. Наркома Авиапрома П.В. Дементьев. Это был сильнейший удар для руководства и рабочих завода №124. Ситуацию несколько разрядил Дементьев, сказав в приватной беседе Незвалю, чтобы тот несмотря ни на какие приказы не прекращал выпускать ТБ-7, а при возникновении критических ситуаций обращался лично к нему (5764,39).</w:t>
      </w:r>
    </w:p>
    <w:p w14:paraId="12A696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BDEDB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часть личного состава завода отправили в Иркутск на завод № 39. Находясь в эвакуации, сотрудники ОКБ-240 продолжали поиски двигателей для Ер-2. В частности, планировалась установка форсированных М-40Ф конструкции В.М. Яковлева, а также бензиновых АМ-39. С последними ожидалось получить максимальную скорость 510 км/ч на высоте 7000 м и дальность до 4000 км. При этом оборонительное вооружение предлагалось довести до шести пулеметов БС, обеспечив практически круговой обстрел. Весть о контрнаступлении советских войск и разгроме немецкой армии под Москвой стала поводом для возвращения части коллектива Ермолаева в столицу. В апреле 1942 г. решили разместить на заводе № 240 ОКБ С.В. Ильюшина, оставив для доводок Ер-2 часть его площадей около Центрального аэродрома, которую в июле того же года преобразовали в опытный завод № 134.</w:t>
      </w:r>
    </w:p>
    <w:p w14:paraId="4F9039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возвращения в Москву Ермолаев окончательно остановил выбор на дизелях М-ЗОБ (с 1944 г. - АЧ-ЗОБ) конструкции А.Д. Чаромского, работавших на тракторном керосине. Он имел двухступенчатую систему наддува: сначала - турбокомпрессоры, затем - приводной центробежный нагнетатель. В результате двигатель значительно потяжелел, а удельный расход топлива возрос на 5 - 8%. Дизель почти вдвое уступал бензиновому мотору по литровой мощности. В сентябре 1942 г. мотор прошел 100-часовые испытания на стенде и предварительные испытания на летающей лаборатории Ер-2. Самолет, построенный на заводе № 39 в Иркутске и испытывав- шийся с января 1943 г., получил обозначение Ер-2 № 4 (иногда его ошибочно называют Ер-4). Из-за установки на двигатели воздушных винтов ВИШ-24 диаметром 4,1 м пришлось увеличить расстояние между двигателями, что увеличило размах крыла (11994).</w:t>
      </w:r>
    </w:p>
    <w:p w14:paraId="6AEE0D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994298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находясь в Новосибирске, Н.Н.Поли</w:t>
      </w:r>
      <w:r w:rsidRPr="00640820">
        <w:rPr>
          <w:rFonts w:ascii="Times New Roman" w:hAnsi="Times New Roman"/>
          <w:color w:val="000000" w:themeColor="text1"/>
          <w:sz w:val="16"/>
          <w:szCs w:val="16"/>
        </w:rPr>
        <w:softHyphen/>
        <w:t>карпов начал разрабатывать проект бомбардировщика. Дневными бомбардировщиками занимались ОКБ В.М.Петлякова и А.Н.Туполева, поэтому Николай Ни</w:t>
      </w:r>
      <w:r w:rsidRPr="00640820">
        <w:rPr>
          <w:rFonts w:ascii="Times New Roman" w:hAnsi="Times New Roman"/>
          <w:color w:val="000000" w:themeColor="text1"/>
          <w:sz w:val="16"/>
          <w:szCs w:val="16"/>
        </w:rPr>
        <w:softHyphen/>
        <w:t>колаевич пытался найти «экологическую нишу» в созда</w:t>
      </w:r>
      <w:r w:rsidRPr="00640820">
        <w:rPr>
          <w:rFonts w:ascii="Times New Roman" w:hAnsi="Times New Roman"/>
          <w:color w:val="000000" w:themeColor="text1"/>
          <w:sz w:val="16"/>
          <w:szCs w:val="16"/>
        </w:rPr>
        <w:softHyphen/>
        <w:t>нии специализированного «ночного бомбовоза», как он сам назвал самолет, отсюда и его обозначение «НБ». Самолет представлял собой высокоплан с разнесен</w:t>
      </w:r>
      <w:r w:rsidRPr="00640820">
        <w:rPr>
          <w:rFonts w:ascii="Times New Roman" w:hAnsi="Times New Roman"/>
          <w:color w:val="000000" w:themeColor="text1"/>
          <w:sz w:val="16"/>
          <w:szCs w:val="16"/>
        </w:rPr>
        <w:softHyphen/>
        <w:t>ным двухкилевым оперением, оснащенный двумя мо</w:t>
      </w:r>
      <w:r w:rsidRPr="00640820">
        <w:rPr>
          <w:rFonts w:ascii="Times New Roman" w:hAnsi="Times New Roman"/>
          <w:color w:val="000000" w:themeColor="text1"/>
          <w:sz w:val="16"/>
          <w:szCs w:val="16"/>
        </w:rPr>
        <w:softHyphen/>
        <w:t>торами воздушного охлаждения. Предполагалось, что экипаж будет состоять из трех человек; для использования самолета в дневных опера</w:t>
      </w:r>
      <w:r w:rsidRPr="00640820">
        <w:rPr>
          <w:rFonts w:ascii="Times New Roman" w:hAnsi="Times New Roman"/>
          <w:color w:val="000000" w:themeColor="text1"/>
          <w:sz w:val="16"/>
          <w:szCs w:val="16"/>
        </w:rPr>
        <w:softHyphen/>
        <w:t xml:space="preserve">циях добавлялся еще один </w:t>
      </w:r>
      <w:r w:rsidRPr="00640820">
        <w:rPr>
          <w:rFonts w:ascii="Times New Roman" w:hAnsi="Times New Roman"/>
          <w:color w:val="000000" w:themeColor="text1"/>
          <w:sz w:val="16"/>
          <w:szCs w:val="16"/>
        </w:rPr>
        <w:lastRenderedPageBreak/>
        <w:t>дополнительный стрелок в нижней люковой съемной установке, вооруженной пу</w:t>
      </w:r>
      <w:r w:rsidRPr="00640820">
        <w:rPr>
          <w:rFonts w:ascii="Times New Roman" w:hAnsi="Times New Roman"/>
          <w:color w:val="000000" w:themeColor="text1"/>
          <w:sz w:val="16"/>
          <w:szCs w:val="16"/>
        </w:rPr>
        <w:softHyphen/>
        <w:t>леметом УБ. На заводе № 51 НБ обозначался еще и как «изделие Т» или просто «Т» (10667).</w:t>
      </w:r>
    </w:p>
    <w:p w14:paraId="5409A80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813200" w14:textId="77777777" w:rsidR="00100036" w:rsidRPr="00640820" w:rsidRDefault="00100036" w:rsidP="00640820">
      <w:pPr>
        <w:pStyle w:val="a3"/>
        <w:rPr>
          <w:color w:val="000000" w:themeColor="text1"/>
          <w:lang w:val="ru-RU"/>
        </w:rPr>
      </w:pPr>
      <w:r w:rsidRPr="00640820">
        <w:rPr>
          <w:color w:val="000000" w:themeColor="text1"/>
          <w:lang w:val="ru-RU"/>
        </w:rPr>
        <w:t>К концу 1941 потери МиГ-3 стали расти, а побед в воздушных боях стало меньше. Стало больше и нареканий со стороны лётчиков в адрес машины. Этому способствовало несколько причин.</w:t>
      </w:r>
    </w:p>
    <w:p w14:paraId="2467E8B8" w14:textId="77777777" w:rsidR="00100036" w:rsidRPr="00640820" w:rsidRDefault="00100036" w:rsidP="00640820">
      <w:pPr>
        <w:pStyle w:val="a3"/>
        <w:tabs>
          <w:tab w:val="left" w:pos="4354"/>
        </w:tabs>
        <w:rPr>
          <w:color w:val="000000" w:themeColor="text1"/>
          <w:lang w:val="ru-RU"/>
        </w:rPr>
      </w:pPr>
      <w:r w:rsidRPr="00640820">
        <w:rPr>
          <w:color w:val="000000" w:themeColor="text1"/>
          <w:lang w:val="ru-RU"/>
        </w:rPr>
        <w:t>Во-первых, когда немецкие лётчики столкнулись в небе с МиГами, они толком ничего не зна</w:t>
      </w:r>
      <w:r w:rsidRPr="00640820">
        <w:rPr>
          <w:color w:val="000000" w:themeColor="text1"/>
          <w:lang w:val="ru-RU"/>
        </w:rPr>
        <w:softHyphen/>
        <w:t>ли о новом русском истребителе, разве только слышали о прекрасных отзывах германской ави</w:t>
      </w:r>
      <w:r w:rsidRPr="00640820">
        <w:rPr>
          <w:color w:val="000000" w:themeColor="text1"/>
          <w:lang w:val="ru-RU"/>
        </w:rPr>
        <w:softHyphen/>
        <w:t>ационной делегации, которые, как уже отмечалось, оставили удручающее впе</w:t>
      </w:r>
      <w:r w:rsidRPr="00640820">
        <w:rPr>
          <w:color w:val="000000" w:themeColor="text1"/>
          <w:lang w:val="ru-RU"/>
        </w:rPr>
        <w:softHyphen/>
        <w:t>чатление в штабе Люфтваффе. Поэтому в бой с ними они вступали, в основном, только при численном преимуществе. В противном случае либо бой не прини</w:t>
      </w:r>
      <w:r w:rsidRPr="00640820">
        <w:rPr>
          <w:color w:val="000000" w:themeColor="text1"/>
          <w:lang w:val="ru-RU"/>
        </w:rPr>
        <w:softHyphen/>
        <w:t>мали, либо после нескольких атак ре</w:t>
      </w:r>
      <w:r w:rsidRPr="00640820">
        <w:rPr>
          <w:color w:val="000000" w:themeColor="text1"/>
          <w:lang w:val="ru-RU"/>
        </w:rPr>
        <w:softHyphen/>
        <w:t>тировались. И это неудивительно. Это сейчас легко рассуждать, какой истре</w:t>
      </w:r>
      <w:r w:rsidRPr="00640820">
        <w:rPr>
          <w:color w:val="000000" w:themeColor="text1"/>
          <w:lang w:val="ru-RU"/>
        </w:rPr>
        <w:softHyphen/>
        <w:t>битель, на какой высоте лучше, и какой скорее всего выйдет из боя победите</w:t>
      </w:r>
      <w:r w:rsidRPr="00640820">
        <w:rPr>
          <w:color w:val="000000" w:themeColor="text1"/>
          <w:lang w:val="ru-RU"/>
        </w:rPr>
        <w:softHyphen/>
        <w:t xml:space="preserve">лем, имея под рукой исчерпывающие данные о любой машине. А когда перед тобой современный истребитель, а ты о нём практически ничего не знаешь, есть </w:t>
      </w:r>
      <w:r w:rsidRPr="00640820">
        <w:rPr>
          <w:color w:val="000000" w:themeColor="text1"/>
          <w:vertAlign w:val="subscript"/>
          <w:lang w:val="ru-RU"/>
        </w:rPr>
        <w:t>Р</w:t>
      </w:r>
      <w:r w:rsidRPr="00640820">
        <w:rPr>
          <w:rStyle w:val="10MicrosoftSansSerif2"/>
          <w:rFonts w:ascii="Times New Roman" w:eastAsia="Arial Unicode MS" w:hAnsi="Times New Roman" w:cs="Times New Roman"/>
          <w:b w:val="0"/>
          <w:i w:val="0"/>
          <w:color w:val="000000" w:themeColor="text1"/>
          <w:sz w:val="16"/>
          <w:szCs w:val="16"/>
          <w:vertAlign w:val="subscript"/>
          <w:lang w:val="ru-RU"/>
        </w:rPr>
        <w:t>||с 23 Захваченные</w:t>
      </w:r>
      <w:r w:rsidRPr="00640820">
        <w:rPr>
          <w:rStyle w:val="10MicrosoftSansSerif2"/>
          <w:rFonts w:ascii="Times New Roman" w:eastAsia="Arial Unicode MS" w:hAnsi="Times New Roman" w:cs="Times New Roman"/>
          <w:b w:val="0"/>
          <w:i w:val="0"/>
          <w:color w:val="000000" w:themeColor="text1"/>
          <w:sz w:val="16"/>
          <w:szCs w:val="16"/>
          <w:lang w:val="ru-RU"/>
        </w:rPr>
        <w:t xml:space="preserve"> немецкими войсками </w:t>
      </w:r>
      <w:r w:rsidRPr="00640820">
        <w:rPr>
          <w:color w:val="000000" w:themeColor="text1"/>
          <w:lang w:val="ru-RU"/>
        </w:rPr>
        <w:t>над чем задуматься. Это все равно, что</w:t>
      </w:r>
      <w:r w:rsidRPr="00640820">
        <w:rPr>
          <w:rStyle w:val="10MicrosoftSansSerif2"/>
          <w:rFonts w:ascii="Times New Roman" w:eastAsia="Arial Unicode MS" w:hAnsi="Times New Roman" w:cs="Times New Roman"/>
          <w:b w:val="0"/>
          <w:i w:val="0"/>
          <w:color w:val="000000" w:themeColor="text1"/>
          <w:sz w:val="16"/>
          <w:szCs w:val="16"/>
          <w:lang w:val="ru-RU"/>
        </w:rPr>
        <w:t xml:space="preserve"> исправные истребители МиГ-3, доставленные в </w:t>
      </w:r>
      <w:r w:rsidRPr="00640820">
        <w:rPr>
          <w:color w:val="000000" w:themeColor="text1"/>
          <w:lang w:val="ru-RU"/>
        </w:rPr>
        <w:t>идти по минному полю - с картой рас-</w:t>
      </w:r>
      <w:r w:rsidRPr="00640820">
        <w:rPr>
          <w:rStyle w:val="10MicrosoftSansSerif2"/>
          <w:rFonts w:ascii="Times New Roman" w:eastAsia="Arial Unicode MS" w:hAnsi="Times New Roman" w:cs="Times New Roman"/>
          <w:b w:val="0"/>
          <w:i w:val="0"/>
          <w:color w:val="000000" w:themeColor="text1"/>
          <w:sz w:val="16"/>
          <w:szCs w:val="16"/>
          <w:lang w:val="ru-RU"/>
        </w:rPr>
        <w:t xml:space="preserve"> испытательный центр в Рехлине (Германия) для </w:t>
      </w:r>
      <w:r w:rsidRPr="00640820">
        <w:rPr>
          <w:color w:val="000000" w:themeColor="text1"/>
          <w:lang w:val="ru-RU"/>
        </w:rPr>
        <w:t>положения мин или без неё.</w:t>
      </w:r>
    </w:p>
    <w:p w14:paraId="41578F98" w14:textId="77777777" w:rsidR="00100036" w:rsidRPr="00640820" w:rsidRDefault="00100036" w:rsidP="00640820">
      <w:pPr>
        <w:pStyle w:val="a3"/>
        <w:tabs>
          <w:tab w:val="left" w:pos="4354"/>
        </w:tabs>
        <w:rPr>
          <w:color w:val="000000" w:themeColor="text1"/>
          <w:lang w:val="ru-RU"/>
        </w:rPr>
      </w:pPr>
      <w:r w:rsidRPr="00640820">
        <w:rPr>
          <w:color w:val="000000" w:themeColor="text1"/>
          <w:lang w:val="ru-RU"/>
        </w:rPr>
        <w:t>После захвата на советских аэродро</w:t>
      </w:r>
      <w:r w:rsidRPr="00640820">
        <w:rPr>
          <w:color w:val="000000" w:themeColor="text1"/>
          <w:lang w:val="ru-RU"/>
        </w:rPr>
        <w:softHyphen/>
        <w:t>мах уцелевших машин и проведения их лётных испытаний немцы смогли оценить сильные и слабые стороны МиГа. Тем бо</w:t>
      </w:r>
      <w:r w:rsidRPr="00640820">
        <w:rPr>
          <w:color w:val="000000" w:themeColor="text1"/>
          <w:lang w:val="ru-RU"/>
        </w:rPr>
        <w:softHyphen/>
        <w:t>лее к концу года появился и опыт ведения боёв на восточном фронте. Это позволи</w:t>
      </w:r>
      <w:r w:rsidRPr="00640820">
        <w:rPr>
          <w:color w:val="000000" w:themeColor="text1"/>
          <w:lang w:val="ru-RU"/>
        </w:rPr>
        <w:softHyphen/>
        <w:t>ло скорректировать тактику воздушного боя. Если при встрече с МиГами немецкие лётчики старались увести бой на низкие высоты, то в бою с И-16 они, наоборот, старались уйти на большие высоты. Прав</w:t>
      </w:r>
      <w:r w:rsidRPr="00640820">
        <w:rPr>
          <w:color w:val="000000" w:themeColor="text1"/>
          <w:lang w:val="ru-RU"/>
        </w:rPr>
        <w:softHyphen/>
        <w:t>да этому наши пилоты нашли альтернати</w:t>
      </w:r>
      <w:r w:rsidRPr="00640820">
        <w:rPr>
          <w:color w:val="000000" w:themeColor="text1"/>
          <w:lang w:val="ru-RU"/>
        </w:rPr>
        <w:softHyphen/>
        <w:t>ву. Они создавали смешанные группы из МиГ-3 и И-16. Последние в случае завя</w:t>
      </w:r>
      <w:r w:rsidRPr="00640820">
        <w:rPr>
          <w:color w:val="000000" w:themeColor="text1"/>
          <w:lang w:val="ru-RU"/>
        </w:rPr>
        <w:softHyphen/>
        <w:t>зывания воздушного боя вели его на ви</w:t>
      </w:r>
      <w:r w:rsidRPr="00640820">
        <w:rPr>
          <w:color w:val="000000" w:themeColor="text1"/>
          <w:lang w:val="ru-RU"/>
        </w:rPr>
        <w:softHyphen/>
        <w:t>ражах, одновременно прикрывая хвосты МиГов. В свою очередь МиГи при взаимо</w:t>
      </w:r>
      <w:r w:rsidRPr="00640820">
        <w:rPr>
          <w:color w:val="000000" w:themeColor="text1"/>
          <w:lang w:val="ru-RU"/>
        </w:rPr>
        <w:softHyphen/>
        <w:t xml:space="preserve">действии с И-16 вели бой, как правило, на догоне. При входе в вираж истребителей </w:t>
      </w:r>
      <w:r w:rsidRPr="00640820">
        <w:rPr>
          <w:color w:val="000000" w:themeColor="text1"/>
        </w:rPr>
        <w:t>Bf</w:t>
      </w:r>
      <w:r w:rsidRPr="00640820">
        <w:rPr>
          <w:color w:val="000000" w:themeColor="text1"/>
          <w:lang w:val="ru-RU"/>
        </w:rPr>
        <w:t xml:space="preserve"> 109 самолёты И-1 6 благодаря своей манёвренно</w:t>
      </w:r>
      <w:r w:rsidRPr="00640820">
        <w:rPr>
          <w:color w:val="000000" w:themeColor="text1"/>
          <w:lang w:val="ru-RU"/>
        </w:rPr>
        <w:softHyphen/>
        <w:t>сти быстро заходили им в хвост. По мнению командира 88-го иап майора А.Г. Маркелова при таком взаимодействии МиГ-3 и И-16 потерь с нашей стороны не было.</w:t>
      </w:r>
    </w:p>
    <w:p w14:paraId="572C8F43" w14:textId="77777777" w:rsidR="00100036" w:rsidRPr="00640820" w:rsidRDefault="00100036" w:rsidP="00640820">
      <w:pPr>
        <w:pStyle w:val="a3"/>
        <w:rPr>
          <w:color w:val="000000" w:themeColor="text1"/>
          <w:lang w:val="ru-RU"/>
        </w:rPr>
      </w:pPr>
      <w:r w:rsidRPr="00640820">
        <w:rPr>
          <w:color w:val="000000" w:themeColor="text1"/>
          <w:lang w:val="ru-RU"/>
        </w:rPr>
        <w:t>Во-вторых, если летом и в начале осени погода, в основном, позволяла МиГам оперировать высотой, то поздней осенью и зимой 1941 г. сложные метеоусловия прижали авиацию к земле, и МиГи были вынуждены работать исключительно в невыгодных для себя условиях.</w:t>
      </w:r>
    </w:p>
    <w:p w14:paraId="6380DD65" w14:textId="77777777" w:rsidR="00100036" w:rsidRPr="00640820" w:rsidRDefault="00100036" w:rsidP="00640820">
      <w:pPr>
        <w:pStyle w:val="a3"/>
        <w:rPr>
          <w:color w:val="000000" w:themeColor="text1"/>
          <w:lang w:val="ru-RU"/>
        </w:rPr>
      </w:pPr>
      <w:r w:rsidRPr="00640820">
        <w:rPr>
          <w:color w:val="000000" w:themeColor="text1"/>
          <w:lang w:val="ru-RU"/>
        </w:rPr>
        <w:t>В-третьих, истребители, помимо своих основных задач, выполняли задачи по содействию ча</w:t>
      </w:r>
      <w:r w:rsidRPr="00640820">
        <w:rPr>
          <w:color w:val="000000" w:themeColor="text1"/>
          <w:lang w:val="ru-RU"/>
        </w:rPr>
        <w:softHyphen/>
        <w:t>стям Красной Армии авиационной подготовкой наступления, взаимодействуя с другими родами авиации, подавляя огневые точки противника и препятствуя подходу тактических и оперативных резервов. Одновременно с этим они штурмовали отступающие колонны и боевые порядки вра</w:t>
      </w:r>
      <w:r w:rsidRPr="00640820">
        <w:rPr>
          <w:color w:val="000000" w:themeColor="text1"/>
          <w:lang w:val="ru-RU"/>
        </w:rPr>
        <w:softHyphen/>
        <w:t>га в период развития успеха. Наконец, истребители выполняли штурмовые атаки аэродромов, железнодорожных эшелонов, мотомехколонн и переднего края обороны противника. Наряду с этим они вели и разведку, особенно при плохой погоде.</w:t>
      </w:r>
    </w:p>
    <w:p w14:paraId="61BA66A6" w14:textId="77777777" w:rsidR="00100036" w:rsidRPr="00640820" w:rsidRDefault="00100036" w:rsidP="00640820">
      <w:pPr>
        <w:pStyle w:val="a3"/>
        <w:rPr>
          <w:color w:val="000000" w:themeColor="text1"/>
          <w:lang w:val="ru-RU"/>
        </w:rPr>
      </w:pPr>
      <w:r w:rsidRPr="00640820">
        <w:rPr>
          <w:color w:val="000000" w:themeColor="text1"/>
          <w:lang w:val="ru-RU"/>
        </w:rPr>
        <w:t>Истребители стали всё больше и больше выполнять несвойственные им задачи в конце года, когда немецкие войска подошли вплотную к Москве и из-за нехватки штурмовиков на уничтожение наземных частей врага были брошены все силы ВВС КА. Привлекли даже устаревшие И-5. Не были исключением и МиГи. Всё это также заставляло их работать на низких высотах (15976).</w:t>
      </w:r>
    </w:p>
    <w:p w14:paraId="4700CAEA" w14:textId="77777777" w:rsidR="00100036" w:rsidRPr="00640820" w:rsidRDefault="00100036" w:rsidP="00640820">
      <w:pPr>
        <w:pStyle w:val="a3"/>
        <w:rPr>
          <w:color w:val="000000" w:themeColor="text1"/>
          <w:lang w:val="ru-RU"/>
        </w:rPr>
      </w:pPr>
    </w:p>
    <w:p w14:paraId="047560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концу 1941 года эскизный проект И-220 (МиГ-11) был готов и направлен для рассмотрения в НИИ ВВС и НКАП. По расчетным данным самолет с мотором АМ-37 должен был иметь максимальную скорость 680 км/ч на высоте 7600 м, а высоту 5000 м набирать за 5,3 мин. В состав вооружения предполагали включить два 12,7-мм синхронных пулемета УБС с боезапасом по 200 патронов и две 20-мм кры-льевые пушки ШВАК с боезапасом по 150 патронов. Все вооружение планировали разместить в крыле (пулеметы в центроплане, пушки в консолях) с целью облегчения эксплуатации оружия и мотора. Это также исключало возможность ослепления летчика, особенно во время ночного боя (5669).</w:t>
      </w:r>
    </w:p>
    <w:p w14:paraId="25FD50E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214A3D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концу 1941 года эскизный проект И-220 был готов и направлен для рассмотрения в НИИ ВВС и НКАП. По расчетам, самолет с мотором АМ—37 должен был развивать максимальную скорость 680 км/ч на высоте 7600 м, а высоту 5000 м набирать за 5,3 мин. В состав вооруже</w:t>
      </w:r>
      <w:r w:rsidRPr="00640820">
        <w:rPr>
          <w:rFonts w:ascii="Times New Roman" w:hAnsi="Times New Roman"/>
          <w:color w:val="000000" w:themeColor="text1"/>
          <w:sz w:val="16"/>
          <w:szCs w:val="16"/>
        </w:rPr>
        <w:softHyphen/>
        <w:t>ния входили два 12,7-мм синхронных пулемета УБС с боезапасом по 200 патронов и две 20-мм крыльевые пушки ШВАК с боезапасом по 150 патронов. Размещение всего вооружения в крыле было выполнено с целью исключить ослепление летчика во время ноч</w:t>
      </w:r>
      <w:r w:rsidRPr="00640820">
        <w:rPr>
          <w:rFonts w:ascii="Times New Roman" w:hAnsi="Times New Roman"/>
          <w:color w:val="000000" w:themeColor="text1"/>
          <w:sz w:val="16"/>
          <w:szCs w:val="16"/>
        </w:rPr>
        <w:softHyphen/>
        <w:t>ного боя. НИИ ВВС рекомендовал включить самолет в план опытного самолетостроения на 1942 г. Однако в дальнейшем работы по двигателю АМ-37 были пре</w:t>
      </w:r>
      <w:r w:rsidRPr="00640820">
        <w:rPr>
          <w:rFonts w:ascii="Times New Roman" w:hAnsi="Times New Roman"/>
          <w:color w:val="000000" w:themeColor="text1"/>
          <w:sz w:val="16"/>
          <w:szCs w:val="16"/>
        </w:rPr>
        <w:softHyphen/>
        <w:t>кращены, поэтому на новом варианте машины реши</w:t>
      </w:r>
      <w:r w:rsidRPr="00640820">
        <w:rPr>
          <w:rFonts w:ascii="Times New Roman" w:hAnsi="Times New Roman"/>
          <w:color w:val="000000" w:themeColor="text1"/>
          <w:sz w:val="16"/>
          <w:szCs w:val="16"/>
        </w:rPr>
        <w:softHyphen/>
        <w:t>ли установить мотор АМ—39. Макет истребителя И—220 («внешнее» обозначе</w:t>
      </w:r>
      <w:r w:rsidRPr="00640820">
        <w:rPr>
          <w:rFonts w:ascii="Times New Roman" w:hAnsi="Times New Roman"/>
          <w:color w:val="000000" w:themeColor="text1"/>
          <w:sz w:val="16"/>
          <w:szCs w:val="16"/>
        </w:rPr>
        <w:softHyphen/>
        <w:t>ние — МиГ—И) был рассмотрен и одобрен 27 июня 1942 г. В производство запустили два планера: один для статических испытаний, а другой — для первого летного экземпляра. Из-за отсутствия пригодного к полетам двигателя АМ—39 на самолет, получивший еще и шифр «А», временно, для проведения первого этапа испытаний, смонтировали мотор АМ—38Ф (9984).</w:t>
      </w:r>
    </w:p>
    <w:p w14:paraId="6CDDB88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FE16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конца 1941 ОКБ А.И.М. совместно с НИИ-13 и ОКБ завода №235 проверялась возможность установки на истреби-ели МиГ-1 и МиГ-3 двух синхронных пушек. В результате изучения конструкции всех авиационных пушек калибра 20 и 23 мм по рекомендации НИИ-13 была выбрана пушка ШВАК. как наиболее освоенная промышленностью. Однако начавшаяся война и последующая эвакуация не позволила УСИЛИТЬ вооружение Ми Га в 1941 г. (4802).</w:t>
      </w:r>
    </w:p>
    <w:p w14:paraId="7EBD80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6FA79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было выпущено 5 МиГ-9-М-82, который испытывался уже в 1942 (4,247). В это же время был выпущен модифицированный МиГ-3 (4,246).</w:t>
      </w:r>
    </w:p>
    <w:p w14:paraId="12230E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5F5C294" w14:textId="77777777" w:rsidR="001D2274" w:rsidRPr="00640820" w:rsidRDefault="001D227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До конца 1941-го завод №21 построил 20 ЛаГГ-3 с орудиями Ш-37, получивших обозначение К-37 и предназначавшихся для войсковых испытаний. Похоже, что именно звено К-37 впервые использовалось в боях на московском направлении в октябре 1941-го в составе 43-й авиадивизии. Тогда мощное вооружение этих машин не удалось использовать в полной мере из-за многочисленных конструктивных и производственных дефектов артиллерийской установки. Тем не менее, Шпитальный считал, что применение нового оружия прошло успешно, и доложил Сталину об уничтожении пяти средних </w:t>
      </w:r>
      <w:hyperlink r:id="rId82" w:tgtFrame="_blank" w:history="1">
        <w:r w:rsidRPr="00640820">
          <w:rPr>
            <w:rFonts w:ascii="Times New Roman" w:hAnsi="Times New Roman"/>
            <w:color w:val="000000" w:themeColor="text1"/>
            <w:sz w:val="16"/>
            <w:szCs w:val="16"/>
          </w:rPr>
          <w:t>танк</w:t>
        </w:r>
      </w:hyperlink>
      <w:r w:rsidRPr="00640820">
        <w:rPr>
          <w:rFonts w:ascii="Times New Roman" w:hAnsi="Times New Roman"/>
          <w:color w:val="000000" w:themeColor="text1"/>
          <w:sz w:val="16"/>
          <w:szCs w:val="16"/>
        </w:rPr>
        <w:t>ов, но промолчал, что в этом же месяце звено истребителей перестало существовать (15558).</w:t>
      </w:r>
    </w:p>
    <w:p w14:paraId="2036A486" w14:textId="77777777" w:rsidR="001D2274" w:rsidRPr="00640820" w:rsidRDefault="001D2274" w:rsidP="00640820">
      <w:pPr>
        <w:spacing w:after="0" w:line="240" w:lineRule="auto"/>
        <w:jc w:val="both"/>
        <w:rPr>
          <w:rFonts w:ascii="Times New Roman" w:hAnsi="Times New Roman"/>
          <w:color w:val="000000" w:themeColor="text1"/>
          <w:sz w:val="16"/>
          <w:szCs w:val="16"/>
        </w:rPr>
      </w:pPr>
    </w:p>
    <w:p w14:paraId="6B526CB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концу 1941 г. мотоустановку М-82А на И-185 удалось довести, после чего начались испытания по отстрелу во</w:t>
      </w:r>
      <w:r w:rsidRPr="00640820">
        <w:rPr>
          <w:rFonts w:ascii="Times New Roman" w:hAnsi="Times New Roman"/>
          <w:color w:val="000000" w:themeColor="text1"/>
          <w:sz w:val="16"/>
          <w:szCs w:val="16"/>
        </w:rPr>
        <w:softHyphen/>
        <w:t>оружения. Установка на И-185 мощного двигателя воздушного охлаждения с синхронными пушками была осуществ</w:t>
      </w:r>
      <w:r w:rsidRPr="00640820">
        <w:rPr>
          <w:rFonts w:ascii="Times New Roman" w:hAnsi="Times New Roman"/>
          <w:color w:val="000000" w:themeColor="text1"/>
          <w:sz w:val="16"/>
          <w:szCs w:val="16"/>
        </w:rPr>
        <w:softHyphen/>
        <w:t>лена впервые в мире и потому для авиационных специ</w:t>
      </w:r>
      <w:r w:rsidRPr="00640820">
        <w:rPr>
          <w:rFonts w:ascii="Times New Roman" w:hAnsi="Times New Roman"/>
          <w:color w:val="000000" w:themeColor="text1"/>
          <w:sz w:val="16"/>
          <w:szCs w:val="16"/>
        </w:rPr>
        <w:softHyphen/>
        <w:t>алистов представляла большой интерес. Летом 1941 г. из Наркомата авиационной промышленности пришло распоряжение заместителя наркома А.С.Яковлева, предписывающее срочно передать чертежи винтомо</w:t>
      </w:r>
      <w:r w:rsidRPr="00640820">
        <w:rPr>
          <w:rFonts w:ascii="Times New Roman" w:hAnsi="Times New Roman"/>
          <w:color w:val="000000" w:themeColor="text1"/>
          <w:sz w:val="16"/>
          <w:szCs w:val="16"/>
        </w:rPr>
        <w:softHyphen/>
        <w:t>торной установки самолета И-185 с двигателем М-82А в конструкторские бюро С.А.Лавочкина, А.И.Микояна, А.С.Яковлева. Чертежи должны были отражать все уточнения и доработки, выполненные к этому времени на самолете. Николай Николаевич написал распоряже</w:t>
      </w:r>
      <w:r w:rsidRPr="00640820">
        <w:rPr>
          <w:rFonts w:ascii="Times New Roman" w:hAnsi="Times New Roman"/>
          <w:color w:val="000000" w:themeColor="text1"/>
          <w:sz w:val="16"/>
          <w:szCs w:val="16"/>
        </w:rPr>
        <w:softHyphen/>
        <w:t>ние о рассылке и убыл в срочную командировку. Быстрый отъезд Поликарпова породил у исполните</w:t>
      </w:r>
      <w:r w:rsidRPr="00640820">
        <w:rPr>
          <w:rFonts w:ascii="Times New Roman" w:hAnsi="Times New Roman"/>
          <w:color w:val="000000" w:themeColor="text1"/>
          <w:sz w:val="16"/>
          <w:szCs w:val="16"/>
        </w:rPr>
        <w:softHyphen/>
        <w:t>лей мнение, что он в спешке недостаточно хорошо разо</w:t>
      </w:r>
      <w:r w:rsidRPr="00640820">
        <w:rPr>
          <w:rFonts w:ascii="Times New Roman" w:hAnsi="Times New Roman"/>
          <w:color w:val="000000" w:themeColor="text1"/>
          <w:sz w:val="16"/>
          <w:szCs w:val="16"/>
        </w:rPr>
        <w:softHyphen/>
        <w:t>брался в ситуации. Чертежи могли использовать «конкурирующие» организации, что нарушало приори</w:t>
      </w:r>
      <w:r w:rsidRPr="00640820">
        <w:rPr>
          <w:rFonts w:ascii="Times New Roman" w:hAnsi="Times New Roman"/>
          <w:color w:val="000000" w:themeColor="text1"/>
          <w:sz w:val="16"/>
          <w:szCs w:val="16"/>
        </w:rPr>
        <w:softHyphen/>
        <w:t>тет конструкторского бюро. Сотрудники хотели зару</w:t>
      </w:r>
      <w:r w:rsidRPr="00640820">
        <w:rPr>
          <w:rFonts w:ascii="Times New Roman" w:hAnsi="Times New Roman"/>
          <w:color w:val="000000" w:themeColor="text1"/>
          <w:sz w:val="16"/>
          <w:szCs w:val="16"/>
        </w:rPr>
        <w:softHyphen/>
        <w:t>читься устным распоряжением Поликарпова, узнать его мнение по этому вопросу. Поэтому отправку чертежей они задерживали, несмотря на напоминания наркомата. Вернувшись из командировки, Николай Николае</w:t>
      </w:r>
      <w:r w:rsidRPr="00640820">
        <w:rPr>
          <w:rFonts w:ascii="Times New Roman" w:hAnsi="Times New Roman"/>
          <w:color w:val="000000" w:themeColor="text1"/>
          <w:sz w:val="16"/>
          <w:szCs w:val="16"/>
        </w:rPr>
        <w:softHyphen/>
        <w:t>вич, выслушал своих сотрудников и без тени досады и неудовольствия сказал: «Посылайте, срочно посылайте. Пусть учатся, а у нас с вами еще многое впереди». Чер</w:t>
      </w:r>
      <w:r w:rsidRPr="00640820">
        <w:rPr>
          <w:rFonts w:ascii="Times New Roman" w:hAnsi="Times New Roman"/>
          <w:color w:val="000000" w:themeColor="text1"/>
          <w:sz w:val="16"/>
          <w:szCs w:val="16"/>
        </w:rPr>
        <w:softHyphen/>
        <w:t>тежи в тот же день были отправлены. Как гражда</w:t>
      </w:r>
      <w:r w:rsidRPr="00640820">
        <w:rPr>
          <w:rFonts w:ascii="Times New Roman" w:hAnsi="Times New Roman"/>
          <w:color w:val="000000" w:themeColor="text1"/>
          <w:sz w:val="16"/>
          <w:szCs w:val="16"/>
        </w:rPr>
        <w:softHyphen/>
        <w:t>нин, как патриот он не мог поступить иначе. Лозунг: «Все для фронта, все для победы!» находил горячий от</w:t>
      </w:r>
      <w:r w:rsidRPr="00640820">
        <w:rPr>
          <w:rFonts w:ascii="Times New Roman" w:hAnsi="Times New Roman"/>
          <w:color w:val="000000" w:themeColor="text1"/>
          <w:sz w:val="16"/>
          <w:szCs w:val="16"/>
        </w:rPr>
        <w:softHyphen/>
        <w:t>клик в сердцах всех советских людей. Передача чертежей позволила сократить сроки со</w:t>
      </w:r>
      <w:r w:rsidRPr="00640820">
        <w:rPr>
          <w:rFonts w:ascii="Times New Roman" w:hAnsi="Times New Roman"/>
          <w:color w:val="000000" w:themeColor="text1"/>
          <w:sz w:val="16"/>
          <w:szCs w:val="16"/>
        </w:rPr>
        <w:softHyphen/>
        <w:t>здания новых истребителей МиГ с двигателем М-82, Як-7 с тем же мотором, а также Ла-5, сыгравшего боль</w:t>
      </w:r>
      <w:r w:rsidRPr="00640820">
        <w:rPr>
          <w:rFonts w:ascii="Times New Roman" w:hAnsi="Times New Roman"/>
          <w:color w:val="000000" w:themeColor="text1"/>
          <w:sz w:val="16"/>
          <w:szCs w:val="16"/>
        </w:rPr>
        <w:softHyphen/>
        <w:t>шую роль в Великой Отечественной войне (10667).</w:t>
      </w:r>
    </w:p>
    <w:p w14:paraId="54217F9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29DA32" w14:textId="77777777" w:rsidR="00227695" w:rsidRPr="00640820" w:rsidRDefault="002276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 концу 1941 г. в Новосибирске в условиях жуткого холода и нехватки буквально всего самого необходимого ОКБ-51 восстановило работу в полном объеме и совместно с ЛИИ продолжило испытания самолетов И-185 с моторами М-71 и М-82. А затем к полетам подключились и военные испытатели НИИ ВВС. С этого момента испытания И-185 вновь стали совместными.</w:t>
      </w:r>
    </w:p>
    <w:p w14:paraId="74A46510" w14:textId="77777777" w:rsidR="00227695" w:rsidRPr="00640820" w:rsidRDefault="002276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Летали на двух самолетах - №04 с М-71 и №06 с двигателем М-82 и помимо проверки всего комплекса летнотактических данных вели и сравнение их в этих двух вариантов силовой установки. И оба новых истребителя показали себя с наилучшей стороны.</w:t>
      </w:r>
    </w:p>
    <w:p w14:paraId="61C5F9CB" w14:textId="77777777" w:rsidR="00227695" w:rsidRPr="00640820" w:rsidRDefault="002276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Самолет №6204 внешне мало отличался от машины 6202, но имел улучшенную герметизацию капота и видимо просто оказался лучше сделан. Но главное - Швецов наконец-то разрешил эксплуатацию М-71 на форсаже, что позволило получить очень хорошую скорость и скороподъемность, хотя самолет существенно потяжелел. Пустой вес машины №6204 был 2846 кг, на 375 кг больше чем у И-185 №6202, а нормальный взлетный без подвесок 3500 - прибавка составила 381 кг.</w:t>
      </w:r>
    </w:p>
    <w:p w14:paraId="030CB8A4" w14:textId="77777777" w:rsidR="00227695" w:rsidRPr="00640820" w:rsidRDefault="002276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У земли И-185 М-71 достиг скорости 521 км/ч (именно она была зафиксирована в отчете № М51-18с от 11 апреля 1942 г. о совместных испытаниях самолета И-185 № 6204 НИИ ВВС и завода № 51, а в документах ОКБ значится даже 556 км/ч). Скорость на l-й границе высотности 3400 м по данным ОКБ составила 604 км/ч (прирост 22 км/ч), а подтвержденное военными значение скорости на ll-й границе высотности 6170 м было 630 км/ч (прирост 15 км/ч). Скороподъемность хотя и не достигла слишком уж оптимистичного показателя 4,3 мин на 5000 м, но и 5,2 было неплохо. На основных высотах воздушных боев (а тогда они шли в основном в диапазоне 1500-3500 м) И-185 М-71 превосходил все отечественные истребители, незначительно уступая малосерийному МиГ-3 АМ-38 на нижней границе этого промежутка высот. У земли он все же несколько отставал по скорости и в наборе высоты от новых Bf 109G-2 и FW 190А-3, имея небольшое преимущество в горизонтальном маневре.</w:t>
      </w:r>
    </w:p>
    <w:p w14:paraId="1A142187" w14:textId="77777777" w:rsidR="00227695" w:rsidRPr="00640820" w:rsidRDefault="002276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lastRenderedPageBreak/>
        <w:t>Хотя самолет был тяжелым и имел очень большую удельную нагрузку на крыло (219 кг/кв.м с расчетным боевым весом 3403 кг - 75% топлива), его маневренность, в т.ч. горизонтальная оказалась вполне приемлемой. Установившийся вираж на высоте 1000 м за 22 (левый) - 23 (правый) секунды был чуть хуже, чем у Як-1, Як-7 и ЛаГГ-3. Примечательно, что время виража с подъемом на 4000 м ухудшалось лишь на 1 секунду, что тоже было весьма ценно. Из-за большого веса и тяжелого мотора самолет медленнее «Яков» и «ЛаГГов» переходил из одной фигуры пилотажа в другую, но это отчасти компенсировалось маленьким и легким металлическим крылом - у И-185 оказалась выше угловая скорость крена. Ну а на вертикалях ему просто не было равных. Высокая нагрузка на крыло с лихвой компенсировалась рекордным соотношением мощности мотора и площади крыла, дававшим хорошее ускорение при разгоне.</w:t>
      </w:r>
    </w:p>
    <w:p w14:paraId="1157097F" w14:textId="77777777" w:rsidR="00227695" w:rsidRPr="00640820" w:rsidRDefault="002276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Самолет «И» превосходил машину №6204 по скорости у земли (549 км/ч) и на 1 секунду быстрее выполнял вираж, но несколько уступал по остальным показателям. Его скорость на П-й границе высотности была на 15 км/ч ниже, на 5000 м он выходил на 48 с позже, меньше набирал высоты на боевом развороте. Характерно, что И-185 М-82 оказался существенно лучше унифицированного с ним по силовой установке и другим элементам И-210 («ИХ») Микояна и Гуревича.</w:t>
      </w:r>
    </w:p>
    <w:p w14:paraId="53140243" w14:textId="77777777" w:rsidR="00227695" w:rsidRPr="00640820" w:rsidRDefault="002276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Максимальная дальность И-185 М-71 была 1150 км, но это на крейсерской скорости немногим более 300 км/ч. Заказчик же требовал 1000 км на скорости в 90% от максимальной, т.е. 565 км/ч, а имел только 895 км. Самолет «И» с увеличенными баками и менее «расходным» мотором М-82 мог пройти 1150 км на скорости 492 км/ч, что приближалось к показателям Як-9Д, который свои 1360 км покрывал на меньшей крейсерской скорости.</w:t>
      </w:r>
    </w:p>
    <w:p w14:paraId="41A795DD" w14:textId="77777777" w:rsidR="00227695" w:rsidRPr="00640820" w:rsidRDefault="002276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Самолет был устойчив на всех режимах и прост в управлении, по крайней мере, в сравнении с И-16 и МиГ-3. Фигуры высшего пилотажа он выполнял плавно, без нехарактерных изменений нагрузок на ручке и педалях. Штопорные свойства были в норме.</w:t>
      </w:r>
    </w:p>
    <w:p w14:paraId="552D0ABD" w14:textId="77777777" w:rsidR="00227695" w:rsidRPr="00640820" w:rsidRDefault="002276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 взлетно-посадочным качествам И-185 также опережал все отечественные истребители и немецкий FW 190А, несколько уступая Мессершмитту 109F по длине разбега. Его посадочная скорость была сравнительно высока, но плавность пилотирования на снижении делала посадку несложной - она была уж точно проще, чем на Яках и ЛаГГ-3 с их недостаточным противокапотажным углом и на Bf 109 с узкой колеей шасси.</w:t>
      </w:r>
    </w:p>
    <w:p w14:paraId="3C01CB21" w14:textId="77777777" w:rsidR="00227695" w:rsidRPr="00640820" w:rsidRDefault="002276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Естественно, пулеметное вооружение И-185 М-71 уже совершенно не соответствовало требованиям времени, но И-185 М-82 с его тремя синхронными пушками превосходил все советские истребители за исключением опытного Як-7 М-82 да и то за счет того, что две его пушки были размещены в крыле и не имели потерь темпа стрельбы на синхронизацию с вращением винта (у него синхронным был пулемет БС-12,7 по левому борту фюзеляжа). В сравнении с истребителями противника И-185 М-82 был лучше «трехточечных» Bf 109F и G, уступая их «пятиточечным» вариантам (с комплектом полевой доработки R6, включавшим две подкрыльевые гондолы с пушками MG 151/20Е), и FW 190А.</w:t>
      </w:r>
    </w:p>
    <w:p w14:paraId="2BDA7BFE" w14:textId="77777777" w:rsidR="00227695" w:rsidRPr="00640820" w:rsidRDefault="002276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Однако хорошая кучность боя и близость к оси прицеливания вооружения И-185 давала летчику с хорошей стрелковой подготовкой очень большие преимущества.</w:t>
      </w:r>
    </w:p>
    <w:p w14:paraId="77D3924A" w14:textId="77777777" w:rsidR="00227695" w:rsidRPr="00640820" w:rsidRDefault="002276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 бомбардировочному вооружению И-185, который мог нести четыре ФАБ-100 или две ФАБ-250, не имел себе равных по сравнению с другими советскими истребителями, которые могли брать две бомбы калибра до 100 кг. Лишь некоторые модификации Bf 109F несли четыре 50-кг бомбы или одну калибра 250 кг, a FW190A-3/U1 и U3 брали четыре бомбы по 50 кг или одну 250 или 500 кг.</w:t>
      </w:r>
    </w:p>
    <w:p w14:paraId="0AA02AFB" w14:textId="77777777" w:rsidR="00227695" w:rsidRPr="00640820" w:rsidRDefault="002276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Восемь реактивных снарядов РС-82 тоже были весьма полезны: советские илоты довольно успешно применяли «эрэсы» как по наземным, так и по воздушным целям. Большинство наших истребителей могло комплектоваться шестью реактивными орудиями РО-82, но наши конструкторы почему-то недооценивали их значение, тогда как союзники, наоборот, с 1942 г. начали все шире внедрять ракетное вооружение на своих истребителях.</w:t>
      </w:r>
    </w:p>
    <w:p w14:paraId="3D9D89AB" w14:textId="77777777" w:rsidR="00227695" w:rsidRPr="00640820" w:rsidRDefault="002276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В заключении по результатам Совместных государственных испытаний машины №6204 говорилось, что </w:t>
      </w:r>
      <w:r w:rsidRPr="00640820">
        <w:rPr>
          <w:rFonts w:ascii="Times New Roman" w:eastAsia="Times New Roman" w:hAnsi="Times New Roman"/>
          <w:iCs/>
          <w:color w:val="000000" w:themeColor="text1"/>
          <w:sz w:val="16"/>
          <w:szCs w:val="16"/>
          <w:shd w:val="clear" w:color="auto" w:fill="FFFFFF"/>
          <w:lang w:eastAsia="ru-RU"/>
        </w:rPr>
        <w:t>«...самолет И-185 с мотором М-71 по максимальной скорости, скороподъемности и вертикальному маневру превосходит все отечественные истребители и истребители противника и может быть рекомендован для принятия на вооружение ВВС и для запуска в серийное производство».</w:t>
      </w:r>
    </w:p>
    <w:p w14:paraId="5FB73E95" w14:textId="77777777" w:rsidR="00227695" w:rsidRPr="00640820" w:rsidRDefault="002276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отношении И-185 М-82 также было отмечено, что он превосходит все истребители ВВС Красной Армии, как серийные, так и опытные, уступая лишь однотипной машине с М-71. В то же время было указано на превосходство самолета «И» в вооружении (17736).</w:t>
      </w:r>
    </w:p>
    <w:p w14:paraId="13E8D5B0" w14:textId="77777777" w:rsidR="00227695" w:rsidRPr="00640820" w:rsidRDefault="002276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65A8891" w14:textId="77777777" w:rsidR="00227695" w:rsidRPr="00640820" w:rsidRDefault="002276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 концу 1941 г. обстановка вокруг И-185 уже поменялась. И дело было не только в том, что Заказчик настоятельно требовал установить на И-185 пушки и увеличить скоростную дальность до 1000 км. Все это было Поликарпову известно, но главная неприятность заключалась в том, что первые серийные М-71 не прошли испытаний из-за ухудшения качества изготовления на потоке и их выпуск был приостановлен. А Швецов пока не мог им заняться, поскольку теперь имел иную главную задачу - доводку и совершенствование М-82. Надо было решать: устанавливать этот мотор меньших размеров на старый планер, закончить работу быстро и получить заведомое снижение летных данных, или делать практически новую машину.</w:t>
      </w:r>
    </w:p>
    <w:p w14:paraId="3A361564" w14:textId="77777777" w:rsidR="00227695" w:rsidRPr="00640820" w:rsidRDefault="002276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Это требовало гораздо больше времени и сил, но только так можно было «удержать» летные данные на должном уровне и решить все накопившиеся вопросы. Но было еще одно обстоятельство, о котором Поликарпов писал наркому Шахурину 13 мая 1941 г., когда работа над новой винтомоторной группой шла в его ОКБ уже примерно год: </w:t>
      </w:r>
      <w:r w:rsidRPr="00640820">
        <w:rPr>
          <w:rFonts w:ascii="Times New Roman" w:eastAsia="Times New Roman" w:hAnsi="Times New Roman"/>
          <w:iCs/>
          <w:color w:val="000000" w:themeColor="text1"/>
          <w:sz w:val="16"/>
          <w:szCs w:val="16"/>
          <w:shd w:val="clear" w:color="auto" w:fill="FFFFFF"/>
          <w:lang w:eastAsia="ru-RU"/>
        </w:rPr>
        <w:t>«Выбор нами второго варианта (со специальным переконструированным фюзеляжем) вызывается еще и тем, что мы вошли в соглашение с А. И. Микояном по изготовлению единообразной ВМГ, поскольку задачи и моторы у нас одинаковые... Для ускорения постройки мы используем готовые части 4-го самолета И-185 М-71, заканчивающегося постройкой, не трогая трех летных».</w:t>
      </w:r>
    </w:p>
    <w:p w14:paraId="47DF7AB0" w14:textId="77777777" w:rsidR="00227695" w:rsidRPr="00640820" w:rsidRDefault="002276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Поликарпов имел ввиду помощь в проектировании модификации МиГ-3 с М-82 - И-210. В тот же день 13 мая 1941 г. предложение было узаконено приказом по НКАП №438сс. Новому самолету был присвоен шифр «И», потому что он отличался от машины «РМ» всем, кроме крыла, оперения и стоек основного шасси.</w:t>
      </w:r>
    </w:p>
    <w:p w14:paraId="63729836" w14:textId="77777777" w:rsidR="00227695" w:rsidRPr="00640820" w:rsidRDefault="002276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Диаметр М-82 был меньше, чем у М-71 на 115 мм и на 36 мм - чему М-90, и капот сделали меньше. Там поместились три пушки ШВАК с общим нормальным боекомплектом 500 и перегрузочным 540 снарядов. По бокам верхней пушки шли два канала воздухозаборника ПЦН, не выступая за обвод капота, что значительно улучшило обтекание. Микоян пустил эти каналы сверху, заплатив за улучшенное охлаждение мотора потерей скорости. От МиГ-3 взяли систему воздушного запуска мотора, что позволило снять храповики улучшить форму кока винта. Наконец, сделали новый облегченный выхлопной коллектор, два патрубка которого стояли чуть выше, чем на самолете с М-71. Стремясь уменьшить мидель, Поликарпов пошел на применение вместо классического тоннельного сотового маслорадиатора кольцевого перед мотором, подобно тому, как это было сделано на первых ДБ-3 (17736).</w:t>
      </w:r>
    </w:p>
    <w:p w14:paraId="3E464D7F" w14:textId="77777777" w:rsidR="00227695" w:rsidRPr="00640820" w:rsidRDefault="00227695" w:rsidP="00640820">
      <w:pPr>
        <w:spacing w:after="0" w:line="240" w:lineRule="auto"/>
        <w:jc w:val="both"/>
        <w:rPr>
          <w:rFonts w:ascii="Times New Roman" w:eastAsia="Times New Roman" w:hAnsi="Times New Roman"/>
          <w:color w:val="000000" w:themeColor="text1"/>
          <w:sz w:val="16"/>
          <w:szCs w:val="16"/>
          <w:lang w:eastAsia="ru-RU"/>
        </w:rPr>
      </w:pPr>
    </w:p>
    <w:p w14:paraId="2A17E0F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на фронте под Москвой появился Як-7А, вооруженный по предложению К.Синельщикова (196,12).</w:t>
      </w:r>
    </w:p>
    <w:p w14:paraId="711E70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7C1246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был поставлен вопрос о выпуске на заводе № 21 в Горьком Як-7 вместо ЛаГГ-3, если в кратчайшие сроки не удастся резко улучшить ЛТХ машины. Спасти ее Лавочкин надеялся за счет близкого по размерам и массе к М-105П, но более мощного мото</w:t>
      </w:r>
      <w:r w:rsidRPr="00640820">
        <w:rPr>
          <w:rFonts w:ascii="Times New Roman" w:hAnsi="Times New Roman"/>
          <w:color w:val="000000" w:themeColor="text1"/>
          <w:sz w:val="16"/>
          <w:szCs w:val="16"/>
        </w:rPr>
        <w:softHyphen/>
        <w:t>ра М-107, однако получить его работоспособный экземпляр не уда</w:t>
      </w:r>
      <w:r w:rsidRPr="00640820">
        <w:rPr>
          <w:rFonts w:ascii="Times New Roman" w:hAnsi="Times New Roman"/>
          <w:color w:val="000000" w:themeColor="text1"/>
          <w:sz w:val="16"/>
          <w:szCs w:val="16"/>
        </w:rPr>
        <w:softHyphen/>
        <w:t>валось. Лавочкина вызвали в Москву, где сообщили о намерениях прекратить выпуск ЛаГГ-3. В этот драматический момент он встре</w:t>
      </w:r>
      <w:r w:rsidRPr="00640820">
        <w:rPr>
          <w:rFonts w:ascii="Times New Roman" w:hAnsi="Times New Roman"/>
          <w:color w:val="000000" w:themeColor="text1"/>
          <w:sz w:val="16"/>
          <w:szCs w:val="16"/>
        </w:rPr>
        <w:softHyphen/>
        <w:t>тил в коридорах наркомата Швецова, который предложил ему свой мотор. М-82 был в полтора раза шире и в 1,3 раза вы</w:t>
      </w:r>
      <w:r w:rsidRPr="00640820">
        <w:rPr>
          <w:rFonts w:ascii="Times New Roman" w:hAnsi="Times New Roman"/>
          <w:color w:val="000000" w:themeColor="text1"/>
          <w:sz w:val="16"/>
          <w:szCs w:val="16"/>
        </w:rPr>
        <w:softHyphen/>
        <w:t>ше, чем М-105, а весил 850 кг против 600. Дело каза</w:t>
      </w:r>
      <w:r w:rsidRPr="00640820">
        <w:rPr>
          <w:rFonts w:ascii="Times New Roman" w:hAnsi="Times New Roman"/>
          <w:color w:val="000000" w:themeColor="text1"/>
          <w:sz w:val="16"/>
          <w:szCs w:val="16"/>
        </w:rPr>
        <w:softHyphen/>
        <w:t>лось сомнительным, и Лавочкин поручил эту работу всего трем конструкторам, но все они были ведущи</w:t>
      </w:r>
      <w:r w:rsidRPr="00640820">
        <w:rPr>
          <w:rFonts w:ascii="Times New Roman" w:hAnsi="Times New Roman"/>
          <w:color w:val="000000" w:themeColor="text1"/>
          <w:sz w:val="16"/>
          <w:szCs w:val="16"/>
        </w:rPr>
        <w:softHyphen/>
        <w:t>ми специалистами КБ. Общее проектирование вы</w:t>
      </w:r>
      <w:r w:rsidRPr="00640820">
        <w:rPr>
          <w:rFonts w:ascii="Times New Roman" w:hAnsi="Times New Roman"/>
          <w:color w:val="000000" w:themeColor="text1"/>
          <w:sz w:val="16"/>
          <w:szCs w:val="16"/>
        </w:rPr>
        <w:softHyphen/>
        <w:t>полнял зам. главного конструктора С.М. Алексеев, главный объем конструкторских работ выпал на долю начальника бригады силовых установок К.И. Слеп-нева, третьим стал начальник бригады вооружения И.А. Шабанов (11123).</w:t>
      </w:r>
    </w:p>
    <w:p w14:paraId="079EE2C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Швецов вдобавок к обещанному макетному М-82 прислал и летный экземпляр. Начали переделывать фюзеляж, но главный технолог завода буквально «встал на дыбы»: чтобы изготовить новые болванки для выклейки, требовалось привлечь рабочих высших разрядов, которых после массовой мобилизации ос</w:t>
      </w:r>
      <w:r w:rsidRPr="00640820">
        <w:rPr>
          <w:rFonts w:ascii="Times New Roman" w:hAnsi="Times New Roman"/>
          <w:color w:val="000000" w:themeColor="text1"/>
          <w:sz w:val="16"/>
          <w:szCs w:val="16"/>
        </w:rPr>
        <w:softHyphen/>
        <w:t>талось совсем не много. Тогда от 5-го шпангоута сде</w:t>
      </w:r>
      <w:r w:rsidRPr="00640820">
        <w:rPr>
          <w:rFonts w:ascii="Times New Roman" w:hAnsi="Times New Roman"/>
          <w:color w:val="000000" w:themeColor="text1"/>
          <w:sz w:val="16"/>
          <w:szCs w:val="16"/>
        </w:rPr>
        <w:softHyphen/>
        <w:t>лали деревянную опалубку, обшили ее металлом и так вывели овальное сечение у кабины почти к круглому по шпангоуту № 1. Выход охлаждающего воздуха пришлось сделать только по бокам, что неизбежно привело к перегреву верхних и нижних цилиндров. Тогда вызвали специалиста КБ-19 В.И. Валединского, который переделал направляющие дефлекторы ру</w:t>
      </w:r>
      <w:r w:rsidRPr="00640820">
        <w:rPr>
          <w:rFonts w:ascii="Times New Roman" w:hAnsi="Times New Roman"/>
          <w:color w:val="000000" w:themeColor="text1"/>
          <w:sz w:val="16"/>
          <w:szCs w:val="16"/>
        </w:rPr>
        <w:softHyphen/>
        <w:t>башки охлаждения так, чтобы вверху и внизу задней части капота не возникали застойные зоны (11123).</w:t>
      </w:r>
    </w:p>
    <w:p w14:paraId="756ED83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состав вооружения решили включить 2 пушки СП-20 (ШВАК с синхронизатором), а также сохранить имевшиеся на ЛаГГ-3 шесть РС-82 или </w:t>
      </w:r>
      <w:r w:rsidRPr="00640820">
        <w:rPr>
          <w:rFonts w:ascii="Times New Roman" w:hAnsi="Times New Roman"/>
          <w:iCs/>
          <w:color w:val="000000" w:themeColor="text1"/>
          <w:sz w:val="16"/>
          <w:szCs w:val="16"/>
        </w:rPr>
        <w:t xml:space="preserve">2 </w:t>
      </w:r>
      <w:r w:rsidRPr="00640820">
        <w:rPr>
          <w:rFonts w:ascii="Times New Roman" w:hAnsi="Times New Roman"/>
          <w:color w:val="000000" w:themeColor="text1"/>
          <w:sz w:val="16"/>
          <w:szCs w:val="16"/>
        </w:rPr>
        <w:t>бомбы ка</w:t>
      </w:r>
      <w:r w:rsidRPr="00640820">
        <w:rPr>
          <w:rFonts w:ascii="Times New Roman" w:hAnsi="Times New Roman"/>
          <w:color w:val="000000" w:themeColor="text1"/>
          <w:sz w:val="16"/>
          <w:szCs w:val="16"/>
        </w:rPr>
        <w:softHyphen/>
        <w:t>либром до 100 кг. Синхронные пушки в срок получить не удалось, но кто-то вспомнил, что перед войной поступило несколько таких орудий для И-16ПС, а син</w:t>
      </w:r>
      <w:r w:rsidRPr="00640820">
        <w:rPr>
          <w:rFonts w:ascii="Times New Roman" w:hAnsi="Times New Roman"/>
          <w:color w:val="000000" w:themeColor="text1"/>
          <w:sz w:val="16"/>
          <w:szCs w:val="16"/>
        </w:rPr>
        <w:softHyphen/>
        <w:t>хронизаторы к ним, хотя и старые, под двухлопастный винт нашлись в ящике рабочего стола начальника бригады вооружения ОКБ (11123).</w:t>
      </w:r>
    </w:p>
    <w:p w14:paraId="386898D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Когда наконец прибыл мотор М-107 для ЛаГГ-3, то оказалось, что он работает крайне не надежно. Вер</w:t>
      </w:r>
      <w:r w:rsidRPr="00640820">
        <w:rPr>
          <w:rFonts w:ascii="Times New Roman" w:hAnsi="Times New Roman"/>
          <w:color w:val="000000" w:themeColor="text1"/>
          <w:sz w:val="16"/>
          <w:szCs w:val="16"/>
        </w:rPr>
        <w:softHyphen/>
        <w:t>нувшийся из очередной поездки в наркомат Лавочкин увидел почти готовый самолет с М-82 и приказал снять большинство конструкторов с ЛаГГ-3, а также попросил директора завода Гостинцева дать людей из заводского СКО. Начался выпуск серийной техдокументации (11123).</w:t>
      </w:r>
    </w:p>
    <w:p w14:paraId="1FBCE74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020B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Нравы - дикие. В конце 1941 А.С.Я. одел своих рабочих в Новосибирске на заводе 153 в белые халаты, постелил вдоль линейки Яков на сборке ковровую дорожку и заснял, а также заснял сборку ЛаГГ на заводе 21 - грязь, телогрейки, рабочие спят на плоскостях. Показал в декабре 1941 И.В.С., получил 21 завод, но А.И.Шахурин отказался визировать приказ пока А.С.Я. не наладит сборку на 153 заводе. Приказ все же вышел в начале января 1942. П.В.Дементьев вызвал С.А.Л. - тот перепугался, получил три месяца, встретил в приемной А.Д.Швецова, который жаловался, что у него 100 М-82 и никто не берет и так появился Ла-5 (133,32).</w:t>
      </w:r>
    </w:p>
    <w:p w14:paraId="426CE8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 Н.Н.П. любил писать записки всем, а стиль стал другой - "дружеская" беседа. А.И.Шахурин, которому жаловался в 1941 С.А.Л. сказал - "Нет Семен, это дело бесполезное - он ногой дверь у И.В.Сталина открывает, а ты хочешь чтобы мы с ним тяжбу затеяли" (133,33).</w:t>
      </w:r>
    </w:p>
    <w:p w14:paraId="6717A7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173BE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конце 1941 года нелетная погода практически парализовала работы по облету и сдаче готовой продукции представителям ВВС с завода № 292. С ноября на заводе № 292 начали скапливаться самолеты. Однако правительство и наркомат отказывались принимать во внимание погодные условия. Тому были свои очень серьезные </w:t>
      </w:r>
      <w:r w:rsidRPr="00640820">
        <w:rPr>
          <w:rFonts w:ascii="Times New Roman" w:hAnsi="Times New Roman"/>
          <w:color w:val="000000" w:themeColor="text1"/>
          <w:sz w:val="16"/>
          <w:szCs w:val="16"/>
        </w:rPr>
        <w:lastRenderedPageBreak/>
        <w:t>причины. В первые месяцы войны противник захватил территории, где до войны располагались богатейшие сырьевые базы советской индустрии. Вместе с начавшейся эвакуацией заводов на Восток это уменьшило промышленный потенциал Советского Союза вдвое. Заводы, которые оставались на своих местах, должны были закрыть гигантскую брешь в производстве боевых самолетов, которое сократилось с 2046 машин в сентябре до 600 машин в декабре 1941 г. Поэтому постановлениями ГКО от 2 и 9 ноября заводу № 292 определялся повышенный план на ноябрь - 210, и декабрь - 290 самолетов. Во исполнение постановлений приказами наркома от 4 и 11 ноября 1941 г. заводу предписывалось с 10 ноября выпускать по 10 машин в сутки, а к концу месяца довести суточный выпуск до 12 самолетов.</w:t>
      </w:r>
    </w:p>
    <w:p w14:paraId="2052F99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Выпуск самолетов Як-1 заводом № 292 в 1941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00"/>
        <w:gridCol w:w="800"/>
        <w:gridCol w:w="800"/>
        <w:gridCol w:w="800"/>
        <w:gridCol w:w="800"/>
        <w:gridCol w:w="800"/>
        <w:gridCol w:w="800"/>
        <w:gridCol w:w="800"/>
        <w:gridCol w:w="800"/>
        <w:gridCol w:w="988"/>
        <w:gridCol w:w="851"/>
        <w:gridCol w:w="722"/>
        <w:gridCol w:w="722"/>
        <w:gridCol w:w="722"/>
      </w:tblGrid>
      <w:tr w:rsidR="00643896" w:rsidRPr="00640820" w14:paraId="15F34F7F" w14:textId="77777777" w:rsidTr="000D3BCB">
        <w:tc>
          <w:tcPr>
            <w:tcW w:w="800" w:type="dxa"/>
            <w:tcBorders>
              <w:top w:val="single" w:sz="12" w:space="0" w:color="auto"/>
            </w:tcBorders>
          </w:tcPr>
          <w:p w14:paraId="2A3D253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Borders>
              <w:top w:val="single" w:sz="12" w:space="0" w:color="auto"/>
            </w:tcBorders>
          </w:tcPr>
          <w:p w14:paraId="06CA6E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Январь</w:t>
            </w:r>
          </w:p>
        </w:tc>
        <w:tc>
          <w:tcPr>
            <w:tcW w:w="800" w:type="dxa"/>
            <w:tcBorders>
              <w:top w:val="single" w:sz="12" w:space="0" w:color="auto"/>
            </w:tcBorders>
          </w:tcPr>
          <w:p w14:paraId="1F0885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Февраль</w:t>
            </w:r>
          </w:p>
        </w:tc>
        <w:tc>
          <w:tcPr>
            <w:tcW w:w="800" w:type="dxa"/>
            <w:tcBorders>
              <w:top w:val="single" w:sz="12" w:space="0" w:color="auto"/>
            </w:tcBorders>
          </w:tcPr>
          <w:p w14:paraId="24E5763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Март</w:t>
            </w:r>
          </w:p>
        </w:tc>
        <w:tc>
          <w:tcPr>
            <w:tcW w:w="800" w:type="dxa"/>
            <w:tcBorders>
              <w:top w:val="single" w:sz="12" w:space="0" w:color="auto"/>
            </w:tcBorders>
          </w:tcPr>
          <w:p w14:paraId="11F475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Апрель</w:t>
            </w:r>
          </w:p>
        </w:tc>
        <w:tc>
          <w:tcPr>
            <w:tcW w:w="800" w:type="dxa"/>
            <w:tcBorders>
              <w:top w:val="single" w:sz="12" w:space="0" w:color="auto"/>
            </w:tcBorders>
          </w:tcPr>
          <w:p w14:paraId="6A5F67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Май</w:t>
            </w:r>
          </w:p>
        </w:tc>
        <w:tc>
          <w:tcPr>
            <w:tcW w:w="800" w:type="dxa"/>
            <w:tcBorders>
              <w:top w:val="single" w:sz="12" w:space="0" w:color="auto"/>
            </w:tcBorders>
          </w:tcPr>
          <w:p w14:paraId="6915EF4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Июнь</w:t>
            </w:r>
          </w:p>
        </w:tc>
        <w:tc>
          <w:tcPr>
            <w:tcW w:w="800" w:type="dxa"/>
            <w:tcBorders>
              <w:top w:val="single" w:sz="12" w:space="0" w:color="auto"/>
            </w:tcBorders>
          </w:tcPr>
          <w:p w14:paraId="09899E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Июль</w:t>
            </w:r>
          </w:p>
        </w:tc>
        <w:tc>
          <w:tcPr>
            <w:tcW w:w="800" w:type="dxa"/>
            <w:tcBorders>
              <w:top w:val="single" w:sz="12" w:space="0" w:color="auto"/>
            </w:tcBorders>
          </w:tcPr>
          <w:p w14:paraId="7F9D41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Август</w:t>
            </w:r>
          </w:p>
        </w:tc>
        <w:tc>
          <w:tcPr>
            <w:tcW w:w="988" w:type="dxa"/>
            <w:tcBorders>
              <w:top w:val="single" w:sz="12" w:space="0" w:color="auto"/>
            </w:tcBorders>
          </w:tcPr>
          <w:p w14:paraId="4EEBE2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Сентябрь</w:t>
            </w:r>
          </w:p>
        </w:tc>
        <w:tc>
          <w:tcPr>
            <w:tcW w:w="851" w:type="dxa"/>
            <w:tcBorders>
              <w:top w:val="single" w:sz="12" w:space="0" w:color="auto"/>
            </w:tcBorders>
          </w:tcPr>
          <w:p w14:paraId="4A4B22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Октябрь</w:t>
            </w:r>
          </w:p>
        </w:tc>
        <w:tc>
          <w:tcPr>
            <w:tcW w:w="722" w:type="dxa"/>
            <w:tcBorders>
              <w:top w:val="single" w:sz="12" w:space="0" w:color="auto"/>
            </w:tcBorders>
          </w:tcPr>
          <w:p w14:paraId="3F6DC6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Ноябрь</w:t>
            </w:r>
          </w:p>
        </w:tc>
        <w:tc>
          <w:tcPr>
            <w:tcW w:w="722" w:type="dxa"/>
            <w:tcBorders>
              <w:top w:val="single" w:sz="12" w:space="0" w:color="auto"/>
            </w:tcBorders>
          </w:tcPr>
          <w:p w14:paraId="71712A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Декабрь</w:t>
            </w:r>
          </w:p>
        </w:tc>
        <w:tc>
          <w:tcPr>
            <w:tcW w:w="722" w:type="dxa"/>
            <w:tcBorders>
              <w:top w:val="single" w:sz="12" w:space="0" w:color="auto"/>
            </w:tcBorders>
          </w:tcPr>
          <w:p w14:paraId="1D7469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Асего</w:t>
            </w:r>
          </w:p>
        </w:tc>
      </w:tr>
      <w:tr w:rsidR="00643896" w:rsidRPr="00640820" w14:paraId="4C83BE25" w14:textId="77777777" w:rsidTr="000D3BCB">
        <w:tc>
          <w:tcPr>
            <w:tcW w:w="800" w:type="dxa"/>
          </w:tcPr>
          <w:p w14:paraId="323D69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7902F7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01E2C4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 квартал</w:t>
            </w:r>
          </w:p>
        </w:tc>
        <w:tc>
          <w:tcPr>
            <w:tcW w:w="800" w:type="dxa"/>
          </w:tcPr>
          <w:p w14:paraId="73A06E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6CC2BB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059CB6E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 квартал</w:t>
            </w:r>
          </w:p>
        </w:tc>
        <w:tc>
          <w:tcPr>
            <w:tcW w:w="800" w:type="dxa"/>
          </w:tcPr>
          <w:p w14:paraId="6820F3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531D5D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28A3C5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 квартал</w:t>
            </w:r>
          </w:p>
        </w:tc>
        <w:tc>
          <w:tcPr>
            <w:tcW w:w="988" w:type="dxa"/>
          </w:tcPr>
          <w:p w14:paraId="2DDAE0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51" w:type="dxa"/>
          </w:tcPr>
          <w:p w14:paraId="40DF09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4776EE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 квартал</w:t>
            </w:r>
          </w:p>
        </w:tc>
        <w:tc>
          <w:tcPr>
            <w:tcW w:w="722" w:type="dxa"/>
          </w:tcPr>
          <w:p w14:paraId="38AD79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720889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569A2EDF" w14:textId="77777777" w:rsidTr="000D3BCB">
        <w:tc>
          <w:tcPr>
            <w:tcW w:w="800" w:type="dxa"/>
          </w:tcPr>
          <w:p w14:paraId="752264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438345F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1E1F5D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220</w:t>
            </w:r>
          </w:p>
        </w:tc>
        <w:tc>
          <w:tcPr>
            <w:tcW w:w="800" w:type="dxa"/>
          </w:tcPr>
          <w:p w14:paraId="345EA29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2D8F82B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7597AC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270</w:t>
            </w:r>
          </w:p>
        </w:tc>
        <w:tc>
          <w:tcPr>
            <w:tcW w:w="800" w:type="dxa"/>
          </w:tcPr>
          <w:p w14:paraId="56C974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099A1B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780AA9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290</w:t>
            </w:r>
          </w:p>
        </w:tc>
        <w:tc>
          <w:tcPr>
            <w:tcW w:w="988" w:type="dxa"/>
          </w:tcPr>
          <w:p w14:paraId="4C272F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51" w:type="dxa"/>
          </w:tcPr>
          <w:p w14:paraId="16630D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70FB12B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320</w:t>
            </w:r>
          </w:p>
        </w:tc>
        <w:tc>
          <w:tcPr>
            <w:tcW w:w="722" w:type="dxa"/>
          </w:tcPr>
          <w:p w14:paraId="6B09AF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6DA463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1100</w:t>
            </w:r>
          </w:p>
        </w:tc>
      </w:tr>
      <w:tr w:rsidR="00643896" w:rsidRPr="00640820" w14:paraId="7BBE2475" w14:textId="77777777" w:rsidTr="000D3BCB">
        <w:tc>
          <w:tcPr>
            <w:tcW w:w="800" w:type="dxa"/>
          </w:tcPr>
          <w:p w14:paraId="74050E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Новый план'</w:t>
            </w:r>
          </w:p>
        </w:tc>
        <w:tc>
          <w:tcPr>
            <w:tcW w:w="800" w:type="dxa"/>
          </w:tcPr>
          <w:p w14:paraId="010F2C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3E33A7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w:t>
            </w:r>
          </w:p>
        </w:tc>
        <w:tc>
          <w:tcPr>
            <w:tcW w:w="800" w:type="dxa"/>
          </w:tcPr>
          <w:p w14:paraId="5EA6E7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40</w:t>
            </w:r>
          </w:p>
        </w:tc>
        <w:tc>
          <w:tcPr>
            <w:tcW w:w="800" w:type="dxa"/>
          </w:tcPr>
          <w:p w14:paraId="43FDC9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66</w:t>
            </w:r>
          </w:p>
        </w:tc>
        <w:tc>
          <w:tcPr>
            <w:tcW w:w="800" w:type="dxa"/>
          </w:tcPr>
          <w:p w14:paraId="7A21B4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74</w:t>
            </w:r>
          </w:p>
        </w:tc>
        <w:tc>
          <w:tcPr>
            <w:tcW w:w="800" w:type="dxa"/>
          </w:tcPr>
          <w:p w14:paraId="7A1FC8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100</w:t>
            </w:r>
          </w:p>
        </w:tc>
        <w:tc>
          <w:tcPr>
            <w:tcW w:w="800" w:type="dxa"/>
          </w:tcPr>
          <w:p w14:paraId="3054CF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115</w:t>
            </w:r>
          </w:p>
        </w:tc>
        <w:tc>
          <w:tcPr>
            <w:tcW w:w="800" w:type="dxa"/>
          </w:tcPr>
          <w:p w14:paraId="40B5A9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130</w:t>
            </w:r>
          </w:p>
        </w:tc>
        <w:tc>
          <w:tcPr>
            <w:tcW w:w="988" w:type="dxa"/>
          </w:tcPr>
          <w:p w14:paraId="144755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156</w:t>
            </w:r>
          </w:p>
        </w:tc>
        <w:tc>
          <w:tcPr>
            <w:tcW w:w="851" w:type="dxa"/>
          </w:tcPr>
          <w:p w14:paraId="0F95F2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189</w:t>
            </w:r>
          </w:p>
        </w:tc>
        <w:tc>
          <w:tcPr>
            <w:tcW w:w="722" w:type="dxa"/>
          </w:tcPr>
          <w:p w14:paraId="0697C1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184</w:t>
            </w:r>
          </w:p>
        </w:tc>
        <w:tc>
          <w:tcPr>
            <w:tcW w:w="722" w:type="dxa"/>
          </w:tcPr>
          <w:p w14:paraId="06D42F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260</w:t>
            </w:r>
          </w:p>
        </w:tc>
        <w:tc>
          <w:tcPr>
            <w:tcW w:w="722" w:type="dxa"/>
          </w:tcPr>
          <w:p w14:paraId="152306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1350</w:t>
            </w:r>
          </w:p>
        </w:tc>
      </w:tr>
      <w:tr w:rsidR="00643896" w:rsidRPr="00640820" w14:paraId="32213692" w14:textId="77777777" w:rsidTr="000D3BCB">
        <w:tc>
          <w:tcPr>
            <w:tcW w:w="800" w:type="dxa"/>
          </w:tcPr>
          <w:p w14:paraId="48899E4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Изготовлено</w:t>
            </w:r>
          </w:p>
        </w:tc>
        <w:tc>
          <w:tcPr>
            <w:tcW w:w="800" w:type="dxa"/>
          </w:tcPr>
          <w:p w14:paraId="6289FAB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p w14:paraId="6263E7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2DBC47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w:t>
            </w:r>
          </w:p>
        </w:tc>
        <w:tc>
          <w:tcPr>
            <w:tcW w:w="800" w:type="dxa"/>
          </w:tcPr>
          <w:p w14:paraId="2B0BBC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40</w:t>
            </w:r>
          </w:p>
        </w:tc>
        <w:tc>
          <w:tcPr>
            <w:tcW w:w="800" w:type="dxa"/>
          </w:tcPr>
          <w:p w14:paraId="7C4071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68</w:t>
            </w:r>
          </w:p>
        </w:tc>
        <w:tc>
          <w:tcPr>
            <w:tcW w:w="800" w:type="dxa"/>
          </w:tcPr>
          <w:p w14:paraId="4F5329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73</w:t>
            </w:r>
          </w:p>
        </w:tc>
        <w:tc>
          <w:tcPr>
            <w:tcW w:w="800" w:type="dxa"/>
          </w:tcPr>
          <w:p w14:paraId="445F12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101</w:t>
            </w:r>
          </w:p>
        </w:tc>
        <w:tc>
          <w:tcPr>
            <w:tcW w:w="800" w:type="dxa"/>
          </w:tcPr>
          <w:p w14:paraId="0E60A3C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135</w:t>
            </w:r>
          </w:p>
        </w:tc>
        <w:tc>
          <w:tcPr>
            <w:tcW w:w="800" w:type="dxa"/>
          </w:tcPr>
          <w:p w14:paraId="2C76EA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150</w:t>
            </w:r>
          </w:p>
        </w:tc>
        <w:tc>
          <w:tcPr>
            <w:tcW w:w="988" w:type="dxa"/>
          </w:tcPr>
          <w:p w14:paraId="691B4D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168</w:t>
            </w:r>
          </w:p>
        </w:tc>
        <w:tc>
          <w:tcPr>
            <w:tcW w:w="851" w:type="dxa"/>
          </w:tcPr>
          <w:p w14:paraId="577D32E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185</w:t>
            </w:r>
          </w:p>
        </w:tc>
        <w:tc>
          <w:tcPr>
            <w:tcW w:w="722" w:type="dxa"/>
          </w:tcPr>
          <w:p w14:paraId="7916FB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104</w:t>
            </w:r>
          </w:p>
        </w:tc>
        <w:tc>
          <w:tcPr>
            <w:tcW w:w="722" w:type="dxa"/>
          </w:tcPr>
          <w:p w14:paraId="01B366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152</w:t>
            </w:r>
          </w:p>
        </w:tc>
        <w:tc>
          <w:tcPr>
            <w:tcW w:w="722" w:type="dxa"/>
          </w:tcPr>
          <w:p w14:paraId="5A7413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1212 3</w:t>
            </w:r>
          </w:p>
        </w:tc>
      </w:tr>
      <w:tr w:rsidR="00643896" w:rsidRPr="00640820" w14:paraId="0FCFC9F7" w14:textId="77777777" w:rsidTr="000D3BCB">
        <w:tc>
          <w:tcPr>
            <w:tcW w:w="800" w:type="dxa"/>
          </w:tcPr>
          <w:p w14:paraId="3F3742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460F47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17 2)</w:t>
            </w:r>
          </w:p>
        </w:tc>
        <w:tc>
          <w:tcPr>
            <w:tcW w:w="800" w:type="dxa"/>
          </w:tcPr>
          <w:p w14:paraId="532F409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25 2)</w:t>
            </w:r>
          </w:p>
        </w:tc>
        <w:tc>
          <w:tcPr>
            <w:tcW w:w="800" w:type="dxa"/>
          </w:tcPr>
          <w:p w14:paraId="56CCF4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34 2)</w:t>
            </w:r>
          </w:p>
        </w:tc>
        <w:tc>
          <w:tcPr>
            <w:tcW w:w="800" w:type="dxa"/>
          </w:tcPr>
          <w:p w14:paraId="0FCFE6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35C1E5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6A9698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2E76FC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25BD7F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988" w:type="dxa"/>
          </w:tcPr>
          <w:p w14:paraId="71C44B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51" w:type="dxa"/>
          </w:tcPr>
          <w:p w14:paraId="128773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715FFCE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0A7654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78988FC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0975C535" w14:textId="77777777" w:rsidTr="000D3BCB">
        <w:tc>
          <w:tcPr>
            <w:tcW w:w="800" w:type="dxa"/>
          </w:tcPr>
          <w:p w14:paraId="3183BD1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Принято военпредом</w:t>
            </w:r>
          </w:p>
        </w:tc>
        <w:tc>
          <w:tcPr>
            <w:tcW w:w="800" w:type="dxa"/>
          </w:tcPr>
          <w:p w14:paraId="25FA8D6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180E6A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7C0C13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764461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385941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53205B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1B585D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280B59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988" w:type="dxa"/>
          </w:tcPr>
          <w:p w14:paraId="56726F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51" w:type="dxa"/>
          </w:tcPr>
          <w:p w14:paraId="7F3911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4B7178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5B372A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Pr>
          <w:p w14:paraId="6E59E3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4E9676B2" w14:textId="77777777" w:rsidTr="000D3BCB">
        <w:tc>
          <w:tcPr>
            <w:tcW w:w="800" w:type="dxa"/>
          </w:tcPr>
          <w:p w14:paraId="061B2D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для ГУ ВВС КА</w:t>
            </w:r>
          </w:p>
        </w:tc>
        <w:tc>
          <w:tcPr>
            <w:tcW w:w="800" w:type="dxa"/>
          </w:tcPr>
          <w:p w14:paraId="5BA167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w:t>
            </w:r>
          </w:p>
        </w:tc>
        <w:tc>
          <w:tcPr>
            <w:tcW w:w="800" w:type="dxa"/>
          </w:tcPr>
          <w:p w14:paraId="5A06A4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w:t>
            </w:r>
          </w:p>
        </w:tc>
        <w:tc>
          <w:tcPr>
            <w:tcW w:w="800" w:type="dxa"/>
          </w:tcPr>
          <w:p w14:paraId="4BD4A9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40</w:t>
            </w:r>
          </w:p>
        </w:tc>
        <w:tc>
          <w:tcPr>
            <w:tcW w:w="800" w:type="dxa"/>
          </w:tcPr>
          <w:p w14:paraId="386981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68</w:t>
            </w:r>
          </w:p>
        </w:tc>
        <w:tc>
          <w:tcPr>
            <w:tcW w:w="800" w:type="dxa"/>
          </w:tcPr>
          <w:p w14:paraId="42923B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66</w:t>
            </w:r>
          </w:p>
        </w:tc>
        <w:tc>
          <w:tcPr>
            <w:tcW w:w="800" w:type="dxa"/>
          </w:tcPr>
          <w:p w14:paraId="7F0CA5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58</w:t>
            </w:r>
          </w:p>
        </w:tc>
        <w:tc>
          <w:tcPr>
            <w:tcW w:w="800" w:type="dxa"/>
          </w:tcPr>
          <w:p w14:paraId="234549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117</w:t>
            </w:r>
          </w:p>
        </w:tc>
        <w:tc>
          <w:tcPr>
            <w:tcW w:w="800" w:type="dxa"/>
          </w:tcPr>
          <w:p w14:paraId="342202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153</w:t>
            </w:r>
          </w:p>
        </w:tc>
        <w:tc>
          <w:tcPr>
            <w:tcW w:w="988" w:type="dxa"/>
          </w:tcPr>
          <w:p w14:paraId="17BC4A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151</w:t>
            </w:r>
          </w:p>
        </w:tc>
        <w:tc>
          <w:tcPr>
            <w:tcW w:w="851" w:type="dxa"/>
          </w:tcPr>
          <w:p w14:paraId="2D84069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171</w:t>
            </w:r>
          </w:p>
        </w:tc>
        <w:tc>
          <w:tcPr>
            <w:tcW w:w="722" w:type="dxa"/>
          </w:tcPr>
          <w:p w14:paraId="3CFEB29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68</w:t>
            </w:r>
          </w:p>
        </w:tc>
        <w:tc>
          <w:tcPr>
            <w:tcW w:w="722" w:type="dxa"/>
          </w:tcPr>
          <w:p w14:paraId="12171B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143</w:t>
            </w:r>
          </w:p>
        </w:tc>
        <w:tc>
          <w:tcPr>
            <w:tcW w:w="722" w:type="dxa"/>
          </w:tcPr>
          <w:p w14:paraId="1B8168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1070</w:t>
            </w:r>
          </w:p>
        </w:tc>
      </w:tr>
      <w:tr w:rsidR="00643896" w:rsidRPr="00640820" w14:paraId="71B2C24E" w14:textId="77777777" w:rsidTr="000D3BCB">
        <w:tc>
          <w:tcPr>
            <w:tcW w:w="800" w:type="dxa"/>
          </w:tcPr>
          <w:p w14:paraId="7D545E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для УА ВМФ</w:t>
            </w:r>
          </w:p>
        </w:tc>
        <w:tc>
          <w:tcPr>
            <w:tcW w:w="800" w:type="dxa"/>
          </w:tcPr>
          <w:p w14:paraId="28BD64C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04CF05E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152119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31EE36C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1AB767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w:t>
            </w:r>
          </w:p>
        </w:tc>
        <w:tc>
          <w:tcPr>
            <w:tcW w:w="800" w:type="dxa"/>
          </w:tcPr>
          <w:p w14:paraId="08F834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41</w:t>
            </w:r>
          </w:p>
        </w:tc>
        <w:tc>
          <w:tcPr>
            <w:tcW w:w="800" w:type="dxa"/>
          </w:tcPr>
          <w:p w14:paraId="34F020F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7B2DA7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988" w:type="dxa"/>
          </w:tcPr>
          <w:p w14:paraId="218693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w:t>
            </w:r>
          </w:p>
        </w:tc>
        <w:tc>
          <w:tcPr>
            <w:tcW w:w="851" w:type="dxa"/>
          </w:tcPr>
          <w:p w14:paraId="42C365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w:t>
            </w:r>
          </w:p>
        </w:tc>
        <w:tc>
          <w:tcPr>
            <w:tcW w:w="722" w:type="dxa"/>
          </w:tcPr>
          <w:p w14:paraId="5D08D1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w:t>
            </w:r>
          </w:p>
        </w:tc>
        <w:tc>
          <w:tcPr>
            <w:tcW w:w="722" w:type="dxa"/>
          </w:tcPr>
          <w:p w14:paraId="36565E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20</w:t>
            </w:r>
          </w:p>
        </w:tc>
        <w:tc>
          <w:tcPr>
            <w:tcW w:w="722" w:type="dxa"/>
          </w:tcPr>
          <w:p w14:paraId="2A6B4E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121</w:t>
            </w:r>
          </w:p>
        </w:tc>
      </w:tr>
      <w:tr w:rsidR="00643896" w:rsidRPr="00640820" w14:paraId="138D1842" w14:textId="77777777" w:rsidTr="000D3BCB">
        <w:tc>
          <w:tcPr>
            <w:tcW w:w="800" w:type="dxa"/>
          </w:tcPr>
          <w:p w14:paraId="71D527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Отправлено всего</w:t>
            </w:r>
          </w:p>
        </w:tc>
        <w:tc>
          <w:tcPr>
            <w:tcW w:w="800" w:type="dxa"/>
          </w:tcPr>
          <w:p w14:paraId="194C67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2335F7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68767A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30</w:t>
            </w:r>
          </w:p>
        </w:tc>
        <w:tc>
          <w:tcPr>
            <w:tcW w:w="800" w:type="dxa"/>
          </w:tcPr>
          <w:p w14:paraId="2452BE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45</w:t>
            </w:r>
          </w:p>
        </w:tc>
        <w:tc>
          <w:tcPr>
            <w:tcW w:w="800" w:type="dxa"/>
          </w:tcPr>
          <w:p w14:paraId="1551EA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45</w:t>
            </w:r>
          </w:p>
        </w:tc>
        <w:tc>
          <w:tcPr>
            <w:tcW w:w="800" w:type="dxa"/>
          </w:tcPr>
          <w:p w14:paraId="02ADE5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66</w:t>
            </w:r>
          </w:p>
        </w:tc>
        <w:tc>
          <w:tcPr>
            <w:tcW w:w="800" w:type="dxa"/>
          </w:tcPr>
          <w:p w14:paraId="645B9E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192</w:t>
            </w:r>
          </w:p>
        </w:tc>
        <w:tc>
          <w:tcPr>
            <w:tcW w:w="800" w:type="dxa"/>
          </w:tcPr>
          <w:p w14:paraId="29D8AA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150</w:t>
            </w:r>
          </w:p>
        </w:tc>
        <w:tc>
          <w:tcPr>
            <w:tcW w:w="988" w:type="dxa"/>
          </w:tcPr>
          <w:p w14:paraId="780AA8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155</w:t>
            </w:r>
          </w:p>
        </w:tc>
        <w:tc>
          <w:tcPr>
            <w:tcW w:w="851" w:type="dxa"/>
          </w:tcPr>
          <w:p w14:paraId="4BE30D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153</w:t>
            </w:r>
          </w:p>
        </w:tc>
        <w:tc>
          <w:tcPr>
            <w:tcW w:w="722" w:type="dxa"/>
          </w:tcPr>
          <w:p w14:paraId="607E87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123</w:t>
            </w:r>
          </w:p>
        </w:tc>
        <w:tc>
          <w:tcPr>
            <w:tcW w:w="722" w:type="dxa"/>
          </w:tcPr>
          <w:p w14:paraId="711159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136</w:t>
            </w:r>
          </w:p>
        </w:tc>
        <w:tc>
          <w:tcPr>
            <w:tcW w:w="722" w:type="dxa"/>
          </w:tcPr>
          <w:p w14:paraId="419887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1125</w:t>
            </w:r>
          </w:p>
        </w:tc>
      </w:tr>
      <w:tr w:rsidR="00643896" w:rsidRPr="00640820" w14:paraId="0DE1EA86" w14:textId="77777777" w:rsidTr="000D3BCB">
        <w:tc>
          <w:tcPr>
            <w:tcW w:w="800" w:type="dxa"/>
          </w:tcPr>
          <w:p w14:paraId="26E854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 т.ч. ВВС КА</w:t>
            </w:r>
          </w:p>
        </w:tc>
        <w:tc>
          <w:tcPr>
            <w:tcW w:w="800" w:type="dxa"/>
          </w:tcPr>
          <w:p w14:paraId="3A0EBD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6283C4F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742847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30</w:t>
            </w:r>
          </w:p>
        </w:tc>
        <w:tc>
          <w:tcPr>
            <w:tcW w:w="800" w:type="dxa"/>
          </w:tcPr>
          <w:p w14:paraId="485242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45</w:t>
            </w:r>
          </w:p>
        </w:tc>
        <w:tc>
          <w:tcPr>
            <w:tcW w:w="800" w:type="dxa"/>
          </w:tcPr>
          <w:p w14:paraId="16C7C7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42</w:t>
            </w:r>
          </w:p>
        </w:tc>
        <w:tc>
          <w:tcPr>
            <w:tcW w:w="800" w:type="dxa"/>
          </w:tcPr>
          <w:p w14:paraId="093FD5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58</w:t>
            </w:r>
          </w:p>
        </w:tc>
        <w:tc>
          <w:tcPr>
            <w:tcW w:w="800" w:type="dxa"/>
          </w:tcPr>
          <w:p w14:paraId="70FBCD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138</w:t>
            </w:r>
          </w:p>
        </w:tc>
        <w:tc>
          <w:tcPr>
            <w:tcW w:w="800" w:type="dxa"/>
          </w:tcPr>
          <w:p w14:paraId="070023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150</w:t>
            </w:r>
          </w:p>
        </w:tc>
        <w:tc>
          <w:tcPr>
            <w:tcW w:w="988" w:type="dxa"/>
          </w:tcPr>
          <w:p w14:paraId="2B634F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138</w:t>
            </w:r>
          </w:p>
        </w:tc>
        <w:tc>
          <w:tcPr>
            <w:tcW w:w="851" w:type="dxa"/>
          </w:tcPr>
          <w:p w14:paraId="1BDB5E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149</w:t>
            </w:r>
          </w:p>
        </w:tc>
        <w:tc>
          <w:tcPr>
            <w:tcW w:w="722" w:type="dxa"/>
          </w:tcPr>
          <w:p w14:paraId="49D31B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102</w:t>
            </w:r>
          </w:p>
        </w:tc>
        <w:tc>
          <w:tcPr>
            <w:tcW w:w="722" w:type="dxa"/>
          </w:tcPr>
          <w:p w14:paraId="42CA483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128</w:t>
            </w:r>
          </w:p>
        </w:tc>
        <w:tc>
          <w:tcPr>
            <w:tcW w:w="722" w:type="dxa"/>
          </w:tcPr>
          <w:p w14:paraId="65411C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1010</w:t>
            </w:r>
          </w:p>
        </w:tc>
      </w:tr>
      <w:tr w:rsidR="00643896" w:rsidRPr="00640820" w14:paraId="0953FB27" w14:textId="77777777" w:rsidTr="000D3BCB">
        <w:tc>
          <w:tcPr>
            <w:tcW w:w="800" w:type="dxa"/>
          </w:tcPr>
          <w:p w14:paraId="2EEECE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 т.ч. ВВС ВМФ</w:t>
            </w:r>
          </w:p>
        </w:tc>
        <w:tc>
          <w:tcPr>
            <w:tcW w:w="800" w:type="dxa"/>
          </w:tcPr>
          <w:p w14:paraId="1A806A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4B7673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1A39DA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38919A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44D6B0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Pr>
          <w:p w14:paraId="7B33CFB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w:t>
            </w:r>
          </w:p>
        </w:tc>
        <w:tc>
          <w:tcPr>
            <w:tcW w:w="800" w:type="dxa"/>
          </w:tcPr>
          <w:p w14:paraId="0DB4FB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54</w:t>
            </w:r>
          </w:p>
        </w:tc>
        <w:tc>
          <w:tcPr>
            <w:tcW w:w="800" w:type="dxa"/>
          </w:tcPr>
          <w:p w14:paraId="73314F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988" w:type="dxa"/>
          </w:tcPr>
          <w:p w14:paraId="45B80F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w:t>
            </w:r>
          </w:p>
        </w:tc>
        <w:tc>
          <w:tcPr>
            <w:tcW w:w="851" w:type="dxa"/>
          </w:tcPr>
          <w:p w14:paraId="41348F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w:t>
            </w:r>
          </w:p>
        </w:tc>
        <w:tc>
          <w:tcPr>
            <w:tcW w:w="722" w:type="dxa"/>
          </w:tcPr>
          <w:p w14:paraId="187414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w:t>
            </w:r>
          </w:p>
        </w:tc>
        <w:tc>
          <w:tcPr>
            <w:tcW w:w="722" w:type="dxa"/>
          </w:tcPr>
          <w:p w14:paraId="38548A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w:t>
            </w:r>
          </w:p>
        </w:tc>
        <w:tc>
          <w:tcPr>
            <w:tcW w:w="722" w:type="dxa"/>
          </w:tcPr>
          <w:p w14:paraId="1E4CF4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99</w:t>
            </w:r>
          </w:p>
        </w:tc>
      </w:tr>
      <w:tr w:rsidR="00643896" w:rsidRPr="00640820" w14:paraId="456E3EC0" w14:textId="77777777" w:rsidTr="000D3BCB">
        <w:tc>
          <w:tcPr>
            <w:tcW w:w="800" w:type="dxa"/>
          </w:tcPr>
          <w:p w14:paraId="75D6BA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т.ч. другие не принятые</w:t>
            </w:r>
          </w:p>
        </w:tc>
        <w:tc>
          <w:tcPr>
            <w:tcW w:w="800" w:type="dxa"/>
          </w:tcPr>
          <w:p w14:paraId="49B4BE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35F3D8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66B417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25FD47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00AAED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З4</w:t>
            </w:r>
          </w:p>
        </w:tc>
        <w:tc>
          <w:tcPr>
            <w:tcW w:w="800" w:type="dxa"/>
          </w:tcPr>
          <w:p w14:paraId="386368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58BE4A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Pr>
          <w:p w14:paraId="1732AC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988" w:type="dxa"/>
          </w:tcPr>
          <w:p w14:paraId="0E1CEA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w:t>
            </w:r>
          </w:p>
        </w:tc>
        <w:tc>
          <w:tcPr>
            <w:tcW w:w="851" w:type="dxa"/>
          </w:tcPr>
          <w:p w14:paraId="0649E9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22" w:type="dxa"/>
          </w:tcPr>
          <w:p w14:paraId="5C91A1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w:t>
            </w:r>
          </w:p>
        </w:tc>
        <w:tc>
          <w:tcPr>
            <w:tcW w:w="722" w:type="dxa"/>
          </w:tcPr>
          <w:p w14:paraId="59DE95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22" w:type="dxa"/>
          </w:tcPr>
          <w:p w14:paraId="4B20D3E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w:t>
            </w:r>
          </w:p>
        </w:tc>
      </w:tr>
      <w:tr w:rsidR="00643896" w:rsidRPr="00640820" w14:paraId="5E94C2A5" w14:textId="77777777" w:rsidTr="000D3BCB">
        <w:tc>
          <w:tcPr>
            <w:tcW w:w="800" w:type="dxa"/>
          </w:tcPr>
          <w:p w14:paraId="316A32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Осталось на заводе</w:t>
            </w:r>
          </w:p>
        </w:tc>
        <w:tc>
          <w:tcPr>
            <w:tcW w:w="800" w:type="dxa"/>
          </w:tcPr>
          <w:p w14:paraId="52308C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w:t>
            </w:r>
          </w:p>
        </w:tc>
        <w:tc>
          <w:tcPr>
            <w:tcW w:w="800" w:type="dxa"/>
          </w:tcPr>
          <w:p w14:paraId="2B8B2BF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w:t>
            </w:r>
          </w:p>
        </w:tc>
        <w:tc>
          <w:tcPr>
            <w:tcW w:w="800" w:type="dxa"/>
          </w:tcPr>
          <w:p w14:paraId="1522B3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32</w:t>
            </w:r>
          </w:p>
        </w:tc>
        <w:tc>
          <w:tcPr>
            <w:tcW w:w="800" w:type="dxa"/>
          </w:tcPr>
          <w:p w14:paraId="6F527F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55</w:t>
            </w:r>
          </w:p>
        </w:tc>
        <w:tc>
          <w:tcPr>
            <w:tcW w:w="800" w:type="dxa"/>
          </w:tcPr>
          <w:p w14:paraId="4AF82B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83</w:t>
            </w:r>
          </w:p>
        </w:tc>
        <w:tc>
          <w:tcPr>
            <w:tcW w:w="800" w:type="dxa"/>
          </w:tcPr>
          <w:p w14:paraId="2D9BFF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118</w:t>
            </w:r>
          </w:p>
        </w:tc>
        <w:tc>
          <w:tcPr>
            <w:tcW w:w="800" w:type="dxa"/>
          </w:tcPr>
          <w:p w14:paraId="54A5181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61</w:t>
            </w:r>
          </w:p>
        </w:tc>
        <w:tc>
          <w:tcPr>
            <w:tcW w:w="800" w:type="dxa"/>
          </w:tcPr>
          <w:p w14:paraId="5C9A98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61</w:t>
            </w:r>
          </w:p>
        </w:tc>
        <w:tc>
          <w:tcPr>
            <w:tcW w:w="988" w:type="dxa"/>
          </w:tcPr>
          <w:p w14:paraId="31D584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74</w:t>
            </w:r>
          </w:p>
        </w:tc>
        <w:tc>
          <w:tcPr>
            <w:tcW w:w="851" w:type="dxa"/>
          </w:tcPr>
          <w:p w14:paraId="6736ED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106</w:t>
            </w:r>
          </w:p>
        </w:tc>
        <w:tc>
          <w:tcPr>
            <w:tcW w:w="722" w:type="dxa"/>
          </w:tcPr>
          <w:p w14:paraId="415011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87</w:t>
            </w:r>
          </w:p>
        </w:tc>
        <w:tc>
          <w:tcPr>
            <w:tcW w:w="722" w:type="dxa"/>
          </w:tcPr>
          <w:p w14:paraId="37C1E9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ЮЗ8</w:t>
            </w:r>
          </w:p>
        </w:tc>
        <w:tc>
          <w:tcPr>
            <w:tcW w:w="722" w:type="dxa"/>
          </w:tcPr>
          <w:p w14:paraId="252384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r>
      <w:tr w:rsidR="00643896" w:rsidRPr="00640820" w14:paraId="0354D16A" w14:textId="77777777" w:rsidTr="000D3BCB">
        <w:tc>
          <w:tcPr>
            <w:tcW w:w="800" w:type="dxa"/>
          </w:tcPr>
          <w:p w14:paraId="0BFC0D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 т.ч. принятых</w:t>
            </w:r>
          </w:p>
        </w:tc>
        <w:tc>
          <w:tcPr>
            <w:tcW w:w="800" w:type="dxa"/>
          </w:tcPr>
          <w:p w14:paraId="5F9B23F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Pr>
          <w:p w14:paraId="5DBFF5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w:t>
            </w:r>
          </w:p>
        </w:tc>
        <w:tc>
          <w:tcPr>
            <w:tcW w:w="800" w:type="dxa"/>
          </w:tcPr>
          <w:p w14:paraId="28382F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31</w:t>
            </w:r>
          </w:p>
        </w:tc>
        <w:tc>
          <w:tcPr>
            <w:tcW w:w="800" w:type="dxa"/>
          </w:tcPr>
          <w:p w14:paraId="0E82D2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54</w:t>
            </w:r>
          </w:p>
        </w:tc>
        <w:tc>
          <w:tcPr>
            <w:tcW w:w="800" w:type="dxa"/>
          </w:tcPr>
          <w:p w14:paraId="4BC448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83</w:t>
            </w:r>
          </w:p>
        </w:tc>
        <w:tc>
          <w:tcPr>
            <w:tcW w:w="800" w:type="dxa"/>
          </w:tcPr>
          <w:p w14:paraId="442320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117</w:t>
            </w:r>
          </w:p>
        </w:tc>
        <w:tc>
          <w:tcPr>
            <w:tcW w:w="800" w:type="dxa"/>
          </w:tcPr>
          <w:p w14:paraId="128FA6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57</w:t>
            </w:r>
          </w:p>
        </w:tc>
        <w:tc>
          <w:tcPr>
            <w:tcW w:w="800" w:type="dxa"/>
          </w:tcPr>
          <w:p w14:paraId="2BE7B2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60</w:t>
            </w:r>
          </w:p>
        </w:tc>
        <w:tc>
          <w:tcPr>
            <w:tcW w:w="988" w:type="dxa"/>
          </w:tcPr>
          <w:p w14:paraId="72ACD0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73</w:t>
            </w:r>
          </w:p>
        </w:tc>
        <w:tc>
          <w:tcPr>
            <w:tcW w:w="851" w:type="dxa"/>
          </w:tcPr>
          <w:p w14:paraId="6AD90C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98</w:t>
            </w:r>
          </w:p>
        </w:tc>
        <w:tc>
          <w:tcPr>
            <w:tcW w:w="722" w:type="dxa"/>
          </w:tcPr>
          <w:p w14:paraId="23CE52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71</w:t>
            </w:r>
          </w:p>
        </w:tc>
        <w:tc>
          <w:tcPr>
            <w:tcW w:w="722" w:type="dxa"/>
          </w:tcPr>
          <w:p w14:paraId="3D465D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98</w:t>
            </w:r>
          </w:p>
        </w:tc>
        <w:tc>
          <w:tcPr>
            <w:tcW w:w="722" w:type="dxa"/>
          </w:tcPr>
          <w:p w14:paraId="4F86D98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r>
      <w:tr w:rsidR="00643896" w:rsidRPr="00640820" w14:paraId="46377AA0" w14:textId="77777777" w:rsidTr="000D3BCB">
        <w:tc>
          <w:tcPr>
            <w:tcW w:w="800" w:type="dxa"/>
            <w:tcBorders>
              <w:bottom w:val="single" w:sz="12" w:space="0" w:color="auto"/>
            </w:tcBorders>
          </w:tcPr>
          <w:p w14:paraId="67F285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 т.ч. облетанных</w:t>
            </w:r>
          </w:p>
        </w:tc>
        <w:tc>
          <w:tcPr>
            <w:tcW w:w="800" w:type="dxa"/>
            <w:tcBorders>
              <w:bottom w:val="single" w:sz="12" w:space="0" w:color="auto"/>
            </w:tcBorders>
          </w:tcPr>
          <w:p w14:paraId="5DEB2B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800" w:type="dxa"/>
            <w:tcBorders>
              <w:bottom w:val="single" w:sz="12" w:space="0" w:color="auto"/>
            </w:tcBorders>
          </w:tcPr>
          <w:p w14:paraId="21EF86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Borders>
              <w:bottom w:val="single" w:sz="12" w:space="0" w:color="auto"/>
            </w:tcBorders>
          </w:tcPr>
          <w:p w14:paraId="7D0A38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w:t>
            </w:r>
          </w:p>
        </w:tc>
        <w:tc>
          <w:tcPr>
            <w:tcW w:w="800" w:type="dxa"/>
            <w:tcBorders>
              <w:bottom w:val="single" w:sz="12" w:space="0" w:color="auto"/>
            </w:tcBorders>
          </w:tcPr>
          <w:p w14:paraId="0C2E049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800" w:type="dxa"/>
            <w:tcBorders>
              <w:bottom w:val="single" w:sz="12" w:space="0" w:color="auto"/>
            </w:tcBorders>
          </w:tcPr>
          <w:p w14:paraId="5C720AE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Borders>
              <w:bottom w:val="single" w:sz="12" w:space="0" w:color="auto"/>
            </w:tcBorders>
          </w:tcPr>
          <w:p w14:paraId="1E197D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00" w:type="dxa"/>
            <w:tcBorders>
              <w:bottom w:val="single" w:sz="12" w:space="0" w:color="auto"/>
            </w:tcBorders>
          </w:tcPr>
          <w:p w14:paraId="52EFED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w:t>
            </w:r>
          </w:p>
        </w:tc>
        <w:tc>
          <w:tcPr>
            <w:tcW w:w="800" w:type="dxa"/>
            <w:tcBorders>
              <w:bottom w:val="single" w:sz="12" w:space="0" w:color="auto"/>
            </w:tcBorders>
          </w:tcPr>
          <w:p w14:paraId="59648C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59</w:t>
            </w:r>
          </w:p>
        </w:tc>
        <w:tc>
          <w:tcPr>
            <w:tcW w:w="988" w:type="dxa"/>
            <w:tcBorders>
              <w:bottom w:val="single" w:sz="12" w:space="0" w:color="auto"/>
            </w:tcBorders>
          </w:tcPr>
          <w:p w14:paraId="01754A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60</w:t>
            </w:r>
          </w:p>
        </w:tc>
        <w:tc>
          <w:tcPr>
            <w:tcW w:w="851" w:type="dxa"/>
            <w:tcBorders>
              <w:bottom w:val="single" w:sz="12" w:space="0" w:color="auto"/>
            </w:tcBorders>
          </w:tcPr>
          <w:p w14:paraId="0BAF24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22" w:type="dxa"/>
            <w:tcBorders>
              <w:bottom w:val="single" w:sz="12" w:space="0" w:color="auto"/>
            </w:tcBorders>
          </w:tcPr>
          <w:p w14:paraId="590D22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59</w:t>
            </w:r>
          </w:p>
        </w:tc>
        <w:tc>
          <w:tcPr>
            <w:tcW w:w="722" w:type="dxa"/>
            <w:tcBorders>
              <w:bottom w:val="single" w:sz="12" w:space="0" w:color="auto"/>
            </w:tcBorders>
          </w:tcPr>
          <w:p w14:paraId="67E145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48</w:t>
            </w:r>
          </w:p>
        </w:tc>
        <w:tc>
          <w:tcPr>
            <w:tcW w:w="722" w:type="dxa"/>
            <w:tcBorders>
              <w:bottom w:val="single" w:sz="12" w:space="0" w:color="auto"/>
            </w:tcBorders>
          </w:tcPr>
          <w:p w14:paraId="482B751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r>
    </w:tbl>
    <w:p w14:paraId="596817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План, установленный приказом наркома авиапромышленности № 568сс от 24 июня 194</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 xml:space="preserve"> г. в изменение приказа № 702сс от 9 декабря 1940 г.</w:t>
      </w:r>
    </w:p>
    <w:p w14:paraId="0954BFA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Приведены данные по РГАЭ ф.8040 оп.1 д.886 л.9.</w:t>
      </w:r>
    </w:p>
    <w:p w14:paraId="13480E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 Из этого числа в деталях и агрегатах (или как тогда говорили "россыпью") пять Як-1, которые были отправлены 14.01.42 г. на завод № 30 для организации производства. На этом заводе к сборке самолетов так и не приступили. Задел деталей был передан 20 февраля на завод № 23, а затем 6 мая 1942 г. на завод № 301. Машины №№ 1749, 2549, 2749, 2949, 3349 "увидели свет" только в 1943 году. Причем летная жизнь самолетов № 2749 и 3349 оказалась недолгой (меньше одного часа!). При перелете в часть после взлета с заводского аэродрома оба были разбиты при вынужденной посадке из-за отказа мотора. А также </w:t>
      </w:r>
      <w:r w:rsidRPr="00640820">
        <w:rPr>
          <w:rFonts w:ascii="Times New Roman" w:hAnsi="Times New Roman"/>
          <w:color w:val="000000" w:themeColor="text1"/>
          <w:sz w:val="16"/>
          <w:szCs w:val="16"/>
          <w:lang w:val="en-US"/>
        </w:rPr>
        <w:t>II</w:t>
      </w:r>
      <w:r w:rsidRPr="00640820">
        <w:rPr>
          <w:rFonts w:ascii="Times New Roman" w:hAnsi="Times New Roman"/>
          <w:color w:val="000000" w:themeColor="text1"/>
          <w:sz w:val="16"/>
          <w:szCs w:val="16"/>
        </w:rPr>
        <w:t xml:space="preserve"> Як-1, отправленные россыпью для организации производства на заводе № 47. Там в начале 1942 г. собрали всего две машины (№ 4844 и № 4944, которые поступили с моторами). Остальные машины (три в расстыкованном состоянии) и агрегаты еще на шесть самолетов россыпью вернули на завод № 292 в июне 1942 г.</w:t>
      </w:r>
    </w:p>
    <w:p w14:paraId="4E52D9E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В это число входят Як-1 не подлежавшие военной приемке № 1111 (отправлен на завод № 115), № 1811 (отправлен в ЛИИ НКАП) и Як-1 № 1314 (проходивий эксплуатационные испытания на заводе)</w:t>
      </w:r>
    </w:p>
    <w:p w14:paraId="5B7DA1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Як-1 № 0915 не подлежавший военной приемке, отправленный в ЛИИ НКАП.</w:t>
      </w:r>
    </w:p>
    <w:p w14:paraId="7DA587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Як-1 № 0130 отправленый на завод № 26</w:t>
      </w:r>
    </w:p>
    <w:p w14:paraId="525C0F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11 Як-1 россыпью на завод № 47.</w:t>
      </w:r>
    </w:p>
    <w:p w14:paraId="30C1CB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8. В том числе 76 для ГУ </w:t>
      </w:r>
      <w:r w:rsidRPr="00640820">
        <w:rPr>
          <w:rFonts w:ascii="Times New Roman" w:hAnsi="Times New Roman"/>
          <w:color w:val="000000" w:themeColor="text1"/>
          <w:sz w:val="16"/>
          <w:szCs w:val="16"/>
          <w:lang w:val="en-US"/>
        </w:rPr>
        <w:t>BBC</w:t>
      </w:r>
      <w:r w:rsidRPr="00640820">
        <w:rPr>
          <w:rFonts w:ascii="Times New Roman" w:hAnsi="Times New Roman"/>
          <w:color w:val="000000" w:themeColor="text1"/>
          <w:sz w:val="16"/>
          <w:szCs w:val="16"/>
        </w:rPr>
        <w:t xml:space="preserve"> КА, 22 для УА ВМФ, пять Як-1 россыпью для завода № 30 (12048).</w:t>
      </w:r>
    </w:p>
    <w:p w14:paraId="15B4C1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280995B" w14:textId="77777777" w:rsidR="00D823F8" w:rsidRPr="00640820" w:rsidRDefault="00D823F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начальник КБ Новосибирского филиала ЦАГИ старший инженер А. А. Иванов создан эскизный проект самолета Як-1УПС. В отличие от самолета ДБ-3УПС, где нагнетатель, обслуживающий систему, приводился в действие дополнительным автомобильным мотором ЗИС-101А, на самолете Як-1 отбор воздуха предполагалось производить от штатного нагнетателя мотора М-105. При этом карбюраторы мотора переключались на питание воздухом непосредственно из атмосферы через отверстия в капоте двигателя. Основным переделкам по проекту подвергалось крыло. Законцовки получили трапециевидную форму, вместо посадочных щитков планировалось установить удлиненные двухсекционные металлические закрылки со щелью отсоса пограничного слоя сверху по всему размаху и выходной щелью с регулирующим шитком снизу закрылка. Уменьшенные элероны, за счет изменения формы законцовок смещались к концам крыла, в связи с чем их эффективность должна была остаться без изменений. В фюзеляже, крыле и закрылке монтировалась система воздухоподводящих и отводящих каналов. Крыло снабжалось автоматическим предкрылком, выполненным из-за малой его толщины из дерева с дюралевой обшивкой. По расчетам посадочная скорость должна была снизиться со 141 до 124 км/ч. Исследования в полете планировалось провести в 1942 г., но с переводом в Москву ответственного ис - полнителя проекта П. П. Красильщикова и ведущего инженера А. А. Иванова решили ограничиться теоретической проработкой эскизного проекта. С другой стороны, в связи с крупными переделками крыла, внедрить в серийное производство проект Як-1УПС (а вместе с ним и аналогичный проект для МиГ-3) в начальный период войны было практически невозможно. Натурные исследования по данной теме, как перспективное направление, были продолжены в 1942—1943 гг. на самолете ДБ-3УПС. В декабре 1942 г. проходил испытания самолет УТ-1 с новым крылом с ламинарным профилем (19727).</w:t>
      </w:r>
    </w:p>
    <w:p w14:paraId="2A88265B" w14:textId="77777777" w:rsidR="00D823F8" w:rsidRPr="00640820" w:rsidRDefault="00D823F8" w:rsidP="00640820">
      <w:pPr>
        <w:spacing w:after="0" w:line="240" w:lineRule="auto"/>
        <w:jc w:val="both"/>
        <w:rPr>
          <w:rFonts w:ascii="Times New Roman" w:hAnsi="Times New Roman"/>
          <w:color w:val="000000" w:themeColor="text1"/>
          <w:sz w:val="16"/>
          <w:szCs w:val="16"/>
        </w:rPr>
      </w:pPr>
    </w:p>
    <w:p w14:paraId="443432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конце 1941 года военинженер 3 ранга Л. Головин, работавший в то время в самолетных ремонтных мастерских Народного комиссариата авиационной промышленности, предложил небольшой по размерам истребитель-перехватчик войскового сопровождения с ракетным двигателем на твердом топливе. Принципиально новым являлось то, что этот самолет мог взлетать и садиться без использования аэродрома. Старт предусматривался со специальной передвижной пусковой установки, а посадка — на парашюте. Длина самолета составляла 3 м, размах крыла — 1,75 м, высота — 0,8 м. Предполагалось, что такой ракетный самолет-бесхвостка с крылом малого (менее 1) удлинения не будет иметь на борту вооружения. Цель должна была поражаться с помощью тарана. Идея самолета-тарана поддержки не получила, поэтому Головин предложил и в 1942—1944 годах разработал (совместно с инженером Е. Лазаревым) проект другого малогабаритного самолета с более изученной аэродинамической компоновкой, предусматривавшей использование для поражения противника бортового оружия. Рассматривались два </w:t>
      </w:r>
      <w:r w:rsidRPr="00640820">
        <w:rPr>
          <w:rFonts w:ascii="Times New Roman" w:hAnsi="Times New Roman"/>
          <w:color w:val="000000" w:themeColor="text1"/>
          <w:sz w:val="16"/>
          <w:szCs w:val="16"/>
        </w:rPr>
        <w:lastRenderedPageBreak/>
        <w:t>варианта, истребитель войскового сопровождения (ИВС) - для использования при проведении сухопутных операций и истребитель сопровождения флота (ИСФ) — для защиты караванов и отдельных крупных судов. Самолет длиной 3 м, высотой 1,05 и размахом крыла 1,75 имел малую полетную массу — 250—300 кг. В качестве вооружения использовалась пушка ШВАК калибра 20 мм с боезапасом на 20 выстрелов. Тяга стартового ракетного двигателя на твердом топливе — 1000 кг, маршевого жидкостного ракетного двигателя конструкции Душкина — 300 кг. Полный запас топлива, состоявшего из азотной кислоты и керосина, — 50 кг. Предполагалось, что самолет малых размеров при расчетной тяговооруженности, значительно большей, чем у самолетов с поршневыми моторами, будет развивать в горизонтальном полете скорость до 1060 км/ч, обладать скороподъемностью до 250 м/с, динамическим потолком при старте с земли до 7500 м, а при старте с борта тяжелого самолета — до 15000 м., что сделает ненужным его барражирование над полем боя или над охраняемым объектом. Располагая при этом временем, достаточным для двух-трех атак, истребитель должен был иметь большое преимущество перед любым самолетом противника, состоявшим на вооружении в 1943 году. Немаловажным считалось и отсутствие наиболее сложных элементов полета — взлета и посадки, что облегчало процесс обучения летчиков. Самолет представлял собой одноместный моноплан деревянной конструкции со среднерасположенным крылом. Фюзеляж типа монокок овального сечения имел выклеенную из шпона обшивку толщиной от 2 до 5 мм. Передняя часть фюзеляжа — откидывающаяся, прозрачная. Через нее летчик должен был занимать свое место в фюзеляже, с использованием мягкой опоры с привязными ремнями и подбородника. Колонка управления имела вид штурвала, совершающего качания от себя и на себя. На ней же была расположена гашетка управления огнем пушки. Управление рулем направления — педальное. Авиационное оборудование самолета состояло из двух приборов -- указателя скорости и высотомера. В средней части фюзеляжа располагались топливные баки и баллон со сжатым воздухом, а сзади баков — посадочный парашют. Под фюзеляжем на особом лафете, входящем в качестве силового элемента в конструкцию самолета, крепились пушка и бесколесное шасси. В задней части — хвостовая ферма с двигателем, к которой крепилось хвостовое оперение. Деревянное крыло площадью 1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xml:space="preserve"> было выбрано из условия получения наибольшего критического числа М и наименьшего сопротивления при прочих удовлетворительных качествах. Предполагалось, что парашют с площадью купола 76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xml:space="preserve"> обеспечит скорость приземления не более 6,1 м/с. Для снижения перегрузок при приземлении шасси было снабжено масляно-воздушным амортизатором, что обеспечивало посадочную перегрузку не более 3,5 единицы. Для ИСФ при посадке на воду или на специальную сетку надобность в шасси отпадала, а размеры парашюта могли быть уменьшены. В походном положении при сопровождении войск самолет должен был находиться на пусковом станке, установленном на автомобильной или иной платформе, при длине направляющих порядка 5—8 м. Направляющие должны были поворачиваться вокруг вертикальной или горизонтальной оси, позволяя тем самым приблизительно наводить самолет на цель. На пусковой установке должен был находиться запас топлива, пороховых ускорителей и снарядов на четыре-пять полетов, сменные парашюты, компрессор или запас газа высокого давления и приспособление для установки самолета на направляющие. В экипаж автомобильной установки входили шофер, механик и летчик. Предполагалось, что по сигналу боевой тревоги летчик займет место в самолете, механик установит станок в положение для взлета под углом около 40 градусов к горизонту. При появлении цели механик возможно более точно направит перехватчик в их сторону, летчик включит от автомобильных источников питания стартовый и маршевый двигатели и взлетит. Через 5—6 с перехватчик наберет скорость 200—250 м/с, стартовый ускоритель отделится и упадет на землю. Летчик, корректируя свой путь с помощью бортовых органов управления, сблизится с противником и атакует его. Малые размеры и небольшая площадь поражения самолета должны были позволить подойти к противнику на близкое расстояние, что повышало эффективность огня. В случае неудачной атаки летчик мог совершить боевой разворот с набором высоты, нагнать противника и снова атаковать его, затем, израсходовав топливо, планировать в сторону своей базы до высоты примерно 300 м, выпустить парашют и приземлиться вместе с самолетом. После приземления перехватчика к нему должен был подъехать автомобиль-база, и после установки самолета на станок механик должен был подготовить его к новому вылету. Однако и этот проект не был реализован. Экспертная комиссия, подтвердив его осуществимость, все же посчитала, что создание предложенного истребителя войскового сопровождения нецелесообразно из-за малых высот его применения, на которых, по ее мнению, была более эффективна зенитная артиллерия (11024).</w:t>
      </w:r>
    </w:p>
    <w:p w14:paraId="219254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5C4CC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конца 1941 г. на заводе № 458 в Баку выпустили 46 учебных машин УТИ-4. Там же, в Баку в конце года подготовили последнюю модификацию И-16 - боевой вариант УТИ-4. обозначенный как тип 15Б (боевой). Учебно-тренировочный самолет был доработан следующим образом. В центроплане установили два крупнокалиберных несинхронных пулемета Березина (БК). Под крылом оборудовали шесть установок для реактивных снарядов РС-82 (по три с каждой стороны) и бомбодержатели для 50 кг бомб (по одному держателю с каждой стороны). Для стрельбы и бомбометания в передней кабине устанавливался коллиматорный прицел ПБП-</w:t>
      </w:r>
      <w:r w:rsidRPr="00640820">
        <w:rPr>
          <w:rFonts w:ascii="Times New Roman" w:hAnsi="Times New Roman"/>
          <w:color w:val="000000" w:themeColor="text1"/>
          <w:sz w:val="16"/>
          <w:szCs w:val="16"/>
          <w:lang w:val="en-US"/>
        </w:rPr>
        <w:t>IA</w:t>
      </w:r>
      <w:r w:rsidRPr="00640820">
        <w:rPr>
          <w:rFonts w:ascii="Times New Roman" w:hAnsi="Times New Roman"/>
          <w:color w:val="000000" w:themeColor="text1"/>
          <w:sz w:val="16"/>
          <w:szCs w:val="16"/>
        </w:rPr>
        <w:t>. Задняя кабина в случае боевого применения закрывалась дюралевым колпаком. Боевой вариант УТИ-4 проходил испытания на аэродроме 480-го авиаполка в Кишлы и в 266-м авиаполку в Шехикай, расположенных в 60-ти километрах от Баку.</w:t>
      </w:r>
    </w:p>
    <w:p w14:paraId="69E4213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январе 1942 г. отмечалось, что тип 15 Б по мощности вооружения превосходит все другие типы И-16, диапазон использовании самолета расширился, имеется возможность переоборудовать ранее построенные УТИ-4.</w:t>
      </w:r>
    </w:p>
    <w:p w14:paraId="6FDAC8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1942 г. в Баку построили последние 83 экземпляра УТИ-4. Количество боевых вариантов тип 15Б среди них не установлено. Завод №458 дат ее объединили с другими эвакуированными предприятиями. Среди выпускаемой продукции значились бен зобаки для СБ. амортизаторы ТБ-3, детали для автоматов ПГ1Ш. реактивных минометов "Катюша" и многое другое (12015).</w:t>
      </w:r>
    </w:p>
    <w:p w14:paraId="374691E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957076F" w14:textId="77777777" w:rsidR="00D823F8" w:rsidRPr="00640820" w:rsidRDefault="00D823F8" w:rsidP="00640820">
      <w:pPr>
        <w:pStyle w:val="a8"/>
        <w:jc w:val="both"/>
        <w:rPr>
          <w:rFonts w:ascii="Times New Roman" w:hAnsi="Times New Roman" w:cs="Times New Roman"/>
          <w:color w:val="000000" w:themeColor="text1"/>
        </w:rPr>
      </w:pPr>
      <w:r w:rsidRPr="00640820">
        <w:rPr>
          <w:rFonts w:ascii="Times New Roman" w:hAnsi="Times New Roman" w:cs="Times New Roman"/>
          <w:color w:val="000000" w:themeColor="text1"/>
        </w:rPr>
        <w:t>В конце 1941 г. в Баку подготовили последнюю модификацию И-16 — боевой вариант УТИ-4, обозначенный как тип 15Б (боевой). В центроплане самолета установили два крупнокалиберных несинхронных пулемета БК. Под крылом оборудовали шесть установок для РС-82 и два бомбодержателя для 50-кг бомб. Для стрельбы и бомбометания в передней кабине устанавливался коллиматорный прицел ПБП-1А. Задняя кабина в случае боевого применения закрывалась дюралевым колпаком. Боевой вариант УТИ-4 проходил испытания на аэродромах 480-го авиаполка в Кишлы и 266-го авиаполка в Шехикай, расположенных в 60-ти километрах от Баку. В январе 1942 г. отмечалось, что тип 15Б по мощности вооружения превосходит все другие типы И-16, имеется возможность переоборудовать ранее построенные УТИ-4.</w:t>
      </w:r>
    </w:p>
    <w:p w14:paraId="0AC4E4A0" w14:textId="77777777" w:rsidR="00D823F8" w:rsidRPr="00640820" w:rsidRDefault="00D823F8" w:rsidP="00640820">
      <w:pPr>
        <w:pStyle w:val="a8"/>
        <w:jc w:val="both"/>
        <w:rPr>
          <w:rFonts w:ascii="Times New Roman" w:hAnsi="Times New Roman" w:cs="Times New Roman"/>
          <w:color w:val="000000" w:themeColor="text1"/>
        </w:rPr>
      </w:pPr>
      <w:r w:rsidRPr="00640820">
        <w:rPr>
          <w:rFonts w:ascii="Times New Roman" w:hAnsi="Times New Roman" w:cs="Times New Roman"/>
          <w:color w:val="000000" w:themeColor="text1"/>
        </w:rPr>
        <w:t>В 1942 г. в Баку выпустили последние 83 экземпляра УТИ-4. Были ли среди них самолеты типа 15Б, установить не удалось.</w:t>
      </w:r>
    </w:p>
    <w:p w14:paraId="3E83838D" w14:textId="77777777" w:rsidR="00D823F8" w:rsidRPr="00640820" w:rsidRDefault="00D823F8" w:rsidP="00640820">
      <w:pPr>
        <w:pStyle w:val="a8"/>
        <w:jc w:val="both"/>
        <w:rPr>
          <w:rFonts w:ascii="Times New Roman" w:hAnsi="Times New Roman" w:cs="Times New Roman"/>
          <w:color w:val="000000" w:themeColor="text1"/>
        </w:rPr>
      </w:pPr>
      <w:r w:rsidRPr="00640820">
        <w:rPr>
          <w:rFonts w:ascii="Times New Roman" w:hAnsi="Times New Roman" w:cs="Times New Roman"/>
          <w:color w:val="000000" w:themeColor="text1"/>
        </w:rPr>
        <w:t>Общее количество построенных И-16 составило 10292 экземпляра всех вариантов, и этот самолет стал первым в мире истребителем, изготовленным в столь массовых масштабах. Следует отметить, что на практике общее количество И-16 могло отличаться на несколько экземпляров (19109).</w:t>
      </w:r>
    </w:p>
    <w:p w14:paraId="565A7F41" w14:textId="77777777" w:rsidR="00D823F8" w:rsidRPr="00640820" w:rsidRDefault="00D823F8" w:rsidP="00640820">
      <w:pPr>
        <w:pStyle w:val="a8"/>
        <w:jc w:val="both"/>
        <w:rPr>
          <w:rFonts w:ascii="Times New Roman" w:hAnsi="Times New Roman" w:cs="Times New Roman"/>
          <w:color w:val="000000" w:themeColor="text1"/>
        </w:rPr>
      </w:pPr>
    </w:p>
    <w:p w14:paraId="68D0C1F1" w14:textId="77777777" w:rsidR="00D823F8" w:rsidRPr="00640820" w:rsidRDefault="00D823F8"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в Баку на заводе 458 был сделан УТИ-4 с вооружением - тип 15Б. Поставили два несинхронных БС в центроплане и по три РО для РС-82, а также бомбодержатели с И-153 на 50 кг по одному на крыло. В передней кабине поставили прицел ПБП-1Б, а при боевом применении заднюю кабину закрывали дюралевым колпаком. Испытывали в на аэродроме 480 полка в Кишлы и в 266 ап в Шехикае в 60 км от Баку. Признали хорошим и то, что можно переоборудовать ранее выпущенные машины (1808,32).</w:t>
      </w:r>
    </w:p>
    <w:p w14:paraId="2BAD38E2" w14:textId="77777777" w:rsidR="00D823F8" w:rsidRPr="00640820" w:rsidRDefault="00D823F8" w:rsidP="00640820">
      <w:pPr>
        <w:autoSpaceDE w:val="0"/>
        <w:autoSpaceDN w:val="0"/>
        <w:adjustRightInd w:val="0"/>
        <w:spacing w:after="0" w:line="240" w:lineRule="auto"/>
        <w:jc w:val="both"/>
        <w:rPr>
          <w:rFonts w:ascii="Times New Roman" w:hAnsi="Times New Roman"/>
          <w:color w:val="000000" w:themeColor="text1"/>
          <w:sz w:val="16"/>
          <w:szCs w:val="16"/>
        </w:rPr>
      </w:pPr>
    </w:p>
    <w:p w14:paraId="2F6BF305" w14:textId="77777777" w:rsidR="001E0E29" w:rsidRPr="00640820" w:rsidRDefault="001E0E29"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года военинженер 3 ранга Л. Головин, работавший в то время в самолетных ремонтных мастерских Народного комиссариата авиационной промышленности, предложил небольшой по размерам истребитель-перехватчик войскового сопровождения с ракетным двигателем на твердом топливе. Принципиально новым являлось то, что этот самолет мог взлетать и садиться без использования аэродрома. Старт предусматривался со специальной передвижной пусковой установки, а посадка — на парашюте. Длина самолета составляла 3 м, размах крыла — 1,75 м, высота — 0,8 м. Предполагалось, что такой ракетный самолет-бесхвостка с крылом малого (менее 1) удлинения не будет иметь на борту вооружения. Цель должна была поражаться с помощью тарана (15539).</w:t>
      </w:r>
    </w:p>
    <w:p w14:paraId="5B56D424" w14:textId="77777777" w:rsidR="001E0E29" w:rsidRPr="00640820" w:rsidRDefault="001E0E29" w:rsidP="00640820">
      <w:pPr>
        <w:spacing w:after="0" w:line="240" w:lineRule="auto"/>
        <w:jc w:val="both"/>
        <w:rPr>
          <w:rFonts w:ascii="Times New Roman" w:hAnsi="Times New Roman"/>
          <w:color w:val="000000" w:themeColor="text1"/>
          <w:sz w:val="16"/>
          <w:szCs w:val="16"/>
        </w:rPr>
      </w:pPr>
    </w:p>
    <w:p w14:paraId="2D15544D" w14:textId="77777777" w:rsidR="00D823F8" w:rsidRPr="00640820" w:rsidRDefault="00D823F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shd w:val="clear" w:color="auto" w:fill="FFFFFF"/>
        </w:rPr>
        <w:t>В конце 1941 года отправленный в октябре из ЛИИ Гр</w:t>
      </w:r>
      <w:r w:rsidRPr="00640820">
        <w:rPr>
          <w:rFonts w:ascii="Times New Roman" w:hAnsi="Times New Roman"/>
          <w:color w:val="000000" w:themeColor="text1"/>
          <w:sz w:val="16"/>
          <w:szCs w:val="16"/>
          <w:shd w:val="clear" w:color="auto" w:fill="FFFFFF"/>
        </w:rPr>
        <w:noBreakHyphen/>
        <w:t>1 прибыл в Пермь только. Очень долгим и непростым оказался тот земной путь для грушинского истребителя – побывал он и в Архангельске, и в Вологде. За это время, в результате неоднократных «набегов», самолет был основательно поврежден – исчезли остекление кабины (прекрасный материал для изготовления рукояток ножей), резина с колес шасси (и ей в военное время находилось немало применений), некоторые приборы из кабины… После такой дороги необходимо было самолет дефектовать и вновь проводить сборочные работы, но времени для этого уже не оставалось…</w:t>
      </w:r>
      <w:r w:rsidRPr="00640820">
        <w:rPr>
          <w:rFonts w:ascii="Times New Roman" w:hAnsi="Times New Roman"/>
          <w:color w:val="000000" w:themeColor="text1"/>
          <w:sz w:val="16"/>
          <w:szCs w:val="16"/>
        </w:rPr>
        <w:t xml:space="preserve"> (18995).</w:t>
      </w:r>
    </w:p>
    <w:p w14:paraId="264FE50B" w14:textId="77777777" w:rsidR="00D823F8" w:rsidRPr="00640820" w:rsidRDefault="00D823F8" w:rsidP="00640820">
      <w:pPr>
        <w:spacing w:after="0" w:line="240" w:lineRule="auto"/>
        <w:jc w:val="both"/>
        <w:rPr>
          <w:rFonts w:ascii="Times New Roman" w:hAnsi="Times New Roman"/>
          <w:color w:val="000000" w:themeColor="text1"/>
          <w:sz w:val="16"/>
          <w:szCs w:val="16"/>
        </w:rPr>
      </w:pPr>
    </w:p>
    <w:p w14:paraId="62128D05" w14:textId="77777777" w:rsidR="00D823F8" w:rsidRPr="00640820" w:rsidRDefault="00D823F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старший инженер ЦАГИ Я. Г. Виленский на основе продувок модели самолета УТ-1 предложил новый способ улучшения посадочных характеристик. Уменьшение посадочной скорости достигалось сохранением безотрывного обтекания крыла на посадочных углах атаки (много позже такой принцип был применен на истребителе МиГ-21) за счет отсоса пограничного слоя. Ожидалось достичь уменьшения посадочной скорости на 20%. Для летных исследований в мастерских ЦАГИ в летающую лабораторию переоборудовали самолет ДБ-3, получивший название ДБ-3УПС (19727).</w:t>
      </w:r>
    </w:p>
    <w:p w14:paraId="7CB8D13A" w14:textId="77777777" w:rsidR="00D823F8" w:rsidRPr="00640820" w:rsidRDefault="00D823F8" w:rsidP="00640820">
      <w:pPr>
        <w:spacing w:after="0" w:line="240" w:lineRule="auto"/>
        <w:jc w:val="both"/>
        <w:rPr>
          <w:rFonts w:ascii="Times New Roman" w:hAnsi="Times New Roman"/>
          <w:color w:val="000000" w:themeColor="text1"/>
          <w:sz w:val="16"/>
          <w:szCs w:val="16"/>
        </w:rPr>
      </w:pPr>
    </w:p>
    <w:p w14:paraId="593FAB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концу 1941 г. к различным авиа</w:t>
      </w:r>
      <w:r w:rsidRPr="00640820">
        <w:rPr>
          <w:rFonts w:ascii="Times New Roman" w:hAnsi="Times New Roman"/>
          <w:color w:val="000000" w:themeColor="text1"/>
          <w:sz w:val="16"/>
          <w:szCs w:val="16"/>
        </w:rPr>
        <w:softHyphen/>
        <w:t>подразделениям были прикомандированы 143 заводские ре</w:t>
      </w:r>
      <w:r w:rsidRPr="00640820">
        <w:rPr>
          <w:rFonts w:ascii="Times New Roman" w:hAnsi="Times New Roman"/>
          <w:color w:val="000000" w:themeColor="text1"/>
          <w:sz w:val="16"/>
          <w:szCs w:val="16"/>
        </w:rPr>
        <w:softHyphen/>
        <w:t>монтные бригады, насчитывавшие в своём составе 870 чело</w:t>
      </w:r>
      <w:r w:rsidRPr="00640820">
        <w:rPr>
          <w:rFonts w:ascii="Times New Roman" w:hAnsi="Times New Roman"/>
          <w:color w:val="000000" w:themeColor="text1"/>
          <w:sz w:val="16"/>
          <w:szCs w:val="16"/>
        </w:rPr>
        <w:softHyphen/>
        <w:t>век. На производственных площадях эвакуированных заводов возникали фронтовые авиаремонтные мастерские. Только в Москве к 20 октября 1941 г. функционировало уже 15 таких мастерских с 4867 рабочими. В течение месяца (до 19 ноября 1941 г.) они восстановили 70 самолётов, 62 мотора и значи</w:t>
      </w:r>
      <w:r w:rsidRPr="00640820">
        <w:rPr>
          <w:rFonts w:ascii="Times New Roman" w:hAnsi="Times New Roman"/>
          <w:color w:val="000000" w:themeColor="text1"/>
          <w:sz w:val="16"/>
          <w:szCs w:val="16"/>
        </w:rPr>
        <w:softHyphen/>
        <w:t>тельное число других авиаагрегатов (Самолётостроение в СССР. 1917—1945. Кн. 2. М., 1994. С. 215) (12011).</w:t>
      </w:r>
    </w:p>
    <w:p w14:paraId="7A961E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922911E" w14:textId="77777777" w:rsidR="00C2716E" w:rsidRPr="00640820" w:rsidRDefault="00C2716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shd w:val="clear" w:color="auto" w:fill="FFFFFF"/>
        </w:rPr>
        <w:t>В конце 1941 года один полностью подготовленный ТМС, состоявший из снаряженного 3500-кг бомбой повышенного взрывного действия ТБ-3 «Торпеда» (№ 22 707), и командный самолет ДБ-ЗФ находились на аэродроме подскока в Иванове (22290).</w:t>
      </w:r>
    </w:p>
    <w:p w14:paraId="6E2625BB" w14:textId="77777777" w:rsidR="00C2716E" w:rsidRPr="00640820" w:rsidRDefault="00C2716E" w:rsidP="00640820">
      <w:pPr>
        <w:spacing w:after="0" w:line="240" w:lineRule="auto"/>
        <w:jc w:val="both"/>
        <w:rPr>
          <w:rFonts w:ascii="Times New Roman" w:hAnsi="Times New Roman"/>
          <w:color w:val="0070C0"/>
          <w:sz w:val="16"/>
          <w:szCs w:val="16"/>
        </w:rPr>
      </w:pPr>
    </w:p>
    <w:p w14:paraId="48825E1C" w14:textId="77777777" w:rsidR="00C2716E" w:rsidRPr="00640820" w:rsidRDefault="00C2716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lastRenderedPageBreak/>
        <w:t xml:space="preserve">В конце 1941 г. два СБ (командный и радиоуправляемый) и один радиоуправляемый ТБ-3 (№ 22685) находились в Казани, куда эвакуировали завод № 379, а самолёт-бомба ТБ-3 (№ 22707), начинённый 3,5 тоннами взрывчатки, и командный самолёт ДБ-3Ф – на аэродроме в Иваново. </w:t>
      </w:r>
    </w:p>
    <w:p w14:paraId="4C6136A8" w14:textId="77777777" w:rsidR="00C2716E" w:rsidRPr="00640820" w:rsidRDefault="00C2716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олько когда Р.Г. Чачикян обратился с письмом к секретарю ЦК ВКП(б) Г.М. Маленкову с жалобой на то, что работа оставлена без внимания, тот дал указание командующему ВВС обеспечить боевое применение телемеханических самолётов. 25 марта 1942 г. базировавшиеся в Иваново ТБ-3 со взрывчаткой и сопровождавший его ДБ-3Ф послали на уничтожение железнодорожного узла Вязьма. На борту ТБ-3 находился экипаж – левый лётчик майор А.Н. Тягунин, правый лётчик (оператор по вооружению и автоматике) Р.Г. Чачикян и бортинженер В.Г. Моисеев. Решение использовать экипаж на самолёте, оборудованном автоматической системой взлёта, было вызвано желанием избежать опасности взрыва в случае отказа автоматики при взлёте с заполненного техникой и войсками аэродрома. После набора высоты и перевода ТБ-3 в режим радиоуправления экипаж покинул самолёт на парашютах. Полёт ТБ-3 контролировал с борта ДБ-3Ф военинженер 2-го ранга В.Я. Кравец. Выполнить боевую задачу не удалось: при подлёте к Вязьме антенна командного самолёта была повреждена пулемётным огнём и неуправляемый самолёт-бомба упал и взорвался в тылу немецких войск северо-восточнее Витебска. Второй экземпляр «телемеханического» ТБ-3 сгорел на аэродроме при взрыве боеприпасов на соседнем самолёте. Вскоре решением народного комиссара авиационной промышленности А.И. Шахурина ОКБ завода № 379 82 ИСТОРИЯ ТЕХНИКИ И МУЗЕЙНОЕ ДЕЛО. Выпуск 7 было ликвидировано, а его сотрудники пополнили инженерно-технический персонал серийных заводов (22673).</w:t>
      </w:r>
    </w:p>
    <w:p w14:paraId="487AA6BE" w14:textId="77777777" w:rsidR="00C2716E" w:rsidRPr="00640820" w:rsidRDefault="00C2716E" w:rsidP="00640820">
      <w:pPr>
        <w:spacing w:after="0" w:line="240" w:lineRule="auto"/>
        <w:jc w:val="both"/>
        <w:rPr>
          <w:rFonts w:ascii="Times New Roman" w:hAnsi="Times New Roman"/>
          <w:color w:val="0070C0"/>
          <w:sz w:val="16"/>
          <w:szCs w:val="16"/>
        </w:rPr>
      </w:pPr>
    </w:p>
    <w:p w14:paraId="6C2D84E6" w14:textId="77777777" w:rsidR="00227695" w:rsidRPr="00640820" w:rsidRDefault="0022769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конце 1941 г. два СБ (командный и радиоуправляемый) и один радиоуправляемый ТБ-3 (№ 22685) находились в Казани, куда эвакуировали завод № 379, а самолёт-бомба ТБ-3 (№ 22707), начинённый 3,5 т взрывчатки и командный самолёт ДБ-ЗФ — на аэродроме в Иваново.</w:t>
      </w:r>
    </w:p>
    <w:p w14:paraId="29504FE3" w14:textId="77777777" w:rsidR="00227695" w:rsidRPr="00640820" w:rsidRDefault="00227695"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Только когда Р.Г. Чичакян обратился с письмом к секретарю ЦК ВКП(б) Г.М. Маленкову с жалобой, что «когда боевые объекты готовы и могут быть эффективно применены, работа оставлена без внимания с чьей-либо стороны и может быть полностью развалена» </w:t>
      </w:r>
      <w:hyperlink r:id="rId83" w:history="1">
        <w:r w:rsidRPr="00640820">
          <w:rPr>
            <w:rFonts w:ascii="Times New Roman" w:eastAsia="Times New Roman" w:hAnsi="Times New Roman"/>
            <w:color w:val="000000" w:themeColor="text1"/>
            <w:sz w:val="16"/>
            <w:szCs w:val="16"/>
            <w:lang w:eastAsia="ru-RU"/>
          </w:rPr>
          <w:t>[230]</w:t>
        </w:r>
      </w:hyperlink>
      <w:r w:rsidRPr="00640820">
        <w:rPr>
          <w:rFonts w:ascii="Times New Roman" w:eastAsia="Times New Roman" w:hAnsi="Times New Roman"/>
          <w:color w:val="000000" w:themeColor="text1"/>
          <w:sz w:val="16"/>
          <w:szCs w:val="16"/>
          <w:lang w:eastAsia="ru-RU"/>
        </w:rPr>
        <w:t xml:space="preserve"> , тот дал указание командующему ВВС обеспечить боевое применение телемеханических самолётов. 25 марта 1942 г. ТБ-3 со взрывчаткой и сопровождавший его ДБ-ЗФ послали на уничтожение железнодорожного узла Вязьма. На борту ТБ-3 находился экипаж — левый лётчик майор А.Н. Тягунин, правый лётчик (оператор по вооружению и автоматике) Р.Г. Чачикян и бортинженер В.Г. Моисеев. Решение использовать экипаж на самолёте, оборудованном автоматической системой взлёта, было вызвано желанием избежать опасности взрыва в случае отказа автоматики при взлёте с заполненного техникой и войсками аэродрома. После набора высоты и перевода ТБ-3 в режим радиоуправления экипаж покинул самолёт на парашютах. Полёт ТБ-3 контролировал с борта ДБ-ЗФ военинженер 2-го ранга В.Я. Кравец, пилотировал этот самолёт капитан В.В. Пономаренко. Выполнить боевую задачу не удалось: при подлёте к Вязьме антенна командного самолёта была повреждена пулемётным огнём и неуправляемый самолёт-бомба упал и взорвался в тылу немецких войск северо-восточнее Витебска (17489).</w:t>
      </w:r>
    </w:p>
    <w:p w14:paraId="09157356" w14:textId="77777777" w:rsidR="00227695" w:rsidRPr="00640820" w:rsidRDefault="00227695" w:rsidP="00640820">
      <w:pPr>
        <w:spacing w:after="0" w:line="240" w:lineRule="auto"/>
        <w:jc w:val="both"/>
        <w:rPr>
          <w:rFonts w:ascii="Times New Roman" w:eastAsia="Times New Roman" w:hAnsi="Times New Roman"/>
          <w:color w:val="000000" w:themeColor="text1"/>
          <w:sz w:val="16"/>
          <w:szCs w:val="16"/>
          <w:lang w:eastAsia="ru-RU"/>
        </w:rPr>
      </w:pPr>
    </w:p>
    <w:p w14:paraId="16F662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в состав завода № 166 влита основная часть завода № 288 НКАП, эвакуированного из  г. Кимры. Далее на месте бывших авиаремонтных мастерских ГВФ образован Куломзинский филиал завода № 166, на котором по приказу № 7 от 20.12.1941 г. разместились мощности завода № 288 и ОКБ-288. Этим же приказом филиал со всем оборудованием и личным составом передан в распоряжение завода № 288.</w:t>
      </w:r>
    </w:p>
    <w:p w14:paraId="0536C4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2.02.1942 г. вышло постановление ГКО № 1235 о строительстве завода № 166.</w:t>
      </w:r>
    </w:p>
    <w:p w14:paraId="212AB1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заводе с 07-08.1941 г. в эвакуации находилось московское ОТБ НКВД (КБ-29 НКВД), а также бригады В.М. Мясшцева и Д.Л. Томашевича. По приказу № 7 от 20.12.1941 г. бригады Мясищева и Томашевича были переведены на площади Куломзинского филиала завода № 166 с сохранением тематики по 7ГУ. КБ-29 продолжило работу, ликвидировано в 1943 г.</w:t>
      </w:r>
    </w:p>
    <w:p w14:paraId="7DD5CD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7.10.1941 г. Туполев назначен гл. конструктором завода и ОКБ-166 НКАП.</w:t>
      </w:r>
    </w:p>
    <w:p w14:paraId="0E4437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10.1941 г. коллектив ОКБ А.А. Архангельского эвакуирован на завод № 166 и влит в состав ОКБ-166.</w:t>
      </w:r>
    </w:p>
    <w:p w14:paraId="6A175B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27.07.1941 г. вышло постановление ГКО № 296, а 29.07.1941 г. - приказ НКАП № 761 об ускорении выпуска самолетов «ЮЗУ». С 09.1941 г. началась подготовка к производству «ЮЗУ». 19.08.1941 г. вышло постановление ГКО № 512 об ускорении работ на заводе. Пост. ГКО № 703с от 22.09.1941 г. за невыполнение плана по выпуску «ЮЗУ» в Ш-м квартале директор завода А.В. Ляпидевский был снят, на завод для ликвидации прорыва было направлено 20 начальников цехов и более 150 мастеров. Пост. ГКО № 915 от 19.11.1941 г. предписано перейти на выпуск самолета с двигателями М-82. По приказу НКАП № 1147 от 20.11.1941 г. заводу предписано переключиться на выпуск «103В». Но 11.12.1941 г. вышло постановление ГКО № 1014 о переводе серийного производства самолета «ЮЗВ» на завод № 22. 1-й серийный Ту-2 построен в 02.1942 г. 16.03.1942 г. вышло постановление ГКО № 1462 о постановке на заводе производства ДБ-ЗФ. 22.03.1942 г. - постановление ГКО № 1480 о производстве на заводе самолета «103». После выпуска 7 серий в 10.1942 г. производство Ту-2 было завершено, и на заводе начат выпуск Як-7. Пост, от 6.06.1945 г. на заводе возобновлено производство Ту-2.</w:t>
      </w:r>
    </w:p>
    <w:p w14:paraId="1D13B9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1944 г. завод передан из 1ГУ в ЮГУ. Всего за годы войны выпущено более 3800 самолетов.</w:t>
      </w:r>
    </w:p>
    <w:p w14:paraId="18B8BB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Действовал филиал завода № 166 МАП. С 1.08.1949 г. на базе филиала по приказу МАП № 715сс от 10.09.1949 г. вновь образован завод № 373 МАП в  г. Омске.</w:t>
      </w:r>
    </w:p>
    <w:p w14:paraId="01EFBA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ГКОТ № Ю6/к от 17.06.1960 г. при заводе образован филиал № 1 ОКБ-586 (с 01.1968 г.- КБ ПО «Полет»).</w:t>
      </w:r>
    </w:p>
    <w:p w14:paraId="64BF8A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СМ СССР № 713-342 от 26.06.1957 г. передан в ведение управления агрегатостроения Западно-Сибирского СНХ РСФСР.</w:t>
      </w:r>
    </w:p>
    <w:p w14:paraId="232234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514-232 от 13.05.1959 г. начата подготовка производства ракеты Р-16.</w:t>
      </w:r>
    </w:p>
    <w:p w14:paraId="724626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1965 г. Омский авиационный завод передан в подчинение 1ГУ </w:t>
      </w:r>
      <w:r w:rsidRPr="00640820">
        <w:rPr>
          <w:rFonts w:ascii="Times New Roman" w:hAnsi="Times New Roman"/>
          <w:color w:val="000000" w:themeColor="text1"/>
          <w:sz w:val="16"/>
          <w:szCs w:val="16"/>
          <w:lang w:val="en-US"/>
        </w:rPr>
        <w:t>MOM</w:t>
      </w:r>
      <w:r w:rsidRPr="00640820">
        <w:rPr>
          <w:rFonts w:ascii="Times New Roman" w:hAnsi="Times New Roman"/>
          <w:color w:val="000000" w:themeColor="text1"/>
          <w:sz w:val="16"/>
          <w:szCs w:val="16"/>
        </w:rPr>
        <w:t xml:space="preserve"> и по приказу от 6.03.1966 г. преобразован в ПО «Полет» в составе ОКБ и головного сборочного завода (ОМЗ). 31.01.1975 г. создано ПО в ведении ЗГУ </w:t>
      </w:r>
      <w:r w:rsidRPr="00640820">
        <w:rPr>
          <w:rFonts w:ascii="Times New Roman" w:hAnsi="Times New Roman"/>
          <w:color w:val="000000" w:themeColor="text1"/>
          <w:sz w:val="16"/>
          <w:szCs w:val="16"/>
          <w:lang w:val="en-US"/>
        </w:rPr>
        <w:t>MOM</w:t>
      </w:r>
      <w:r w:rsidRPr="00640820">
        <w:rPr>
          <w:rFonts w:ascii="Times New Roman" w:hAnsi="Times New Roman"/>
          <w:color w:val="000000" w:themeColor="text1"/>
          <w:sz w:val="16"/>
          <w:szCs w:val="16"/>
        </w:rPr>
        <w:t>, в которое вошли завод «Полет» и КБ (Отделение № 1 КБ «Южное»).</w:t>
      </w:r>
    </w:p>
    <w:p w14:paraId="084059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ракетных двигателей, РКТ. С 1969 г.- производство навигационно-связных КА.</w:t>
      </w:r>
    </w:p>
    <w:p w14:paraId="27A3B7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решению СМ СССР в 1978 г. на заводе организовано производство ЖРД и хвостовых отсеков РН «Энергия».</w:t>
      </w:r>
    </w:p>
    <w:p w14:paraId="4ECF53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 стендовый комплекс для испытаний ЖРД в пос. Крутая Горка Омской обл. В составе комплекса- азотно-кислородный завод с хранилищем, монтажно-испытательный комплекс. 7.06.1983 г. на заводе организован Омский филиал № 3 КБ «Энергомаш» для сопровождения серии РД-170 и РД-171.</w:t>
      </w:r>
    </w:p>
    <w:p w14:paraId="02BE2E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1992 г. возобновлено самолетостроение, с 1993 г. начат выпуск Ан-74.</w:t>
      </w:r>
    </w:p>
    <w:p w14:paraId="5516D0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1993 г. ОКБ Антонова передало на завод (тогда- ОАПО «Полет») техдокументацию на Ан-3. С 1997 г. освоен выпуск Ан-3 путем переделки из Ан-2. Первая машина завода взлетела 19.02.1998 г.</w:t>
      </w:r>
    </w:p>
    <w:p w14:paraId="6747EB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2004 г.: разработка энергосберегающего оборудования (теплообменники, сильфонные компенсаторы, пневмопробойники). Подготовка к производству ветроэнергетической установки.</w:t>
      </w:r>
    </w:p>
    <w:p w14:paraId="4D2C0E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 ПО входят хозрасчетные предприятия (2002 г.): КБ ПО «Полет», Завод «Космос», Инструментальный завод, Завод стиральных машин, Омский завод нефтедобывающего оборудования.</w:t>
      </w:r>
    </w:p>
    <w:p w14:paraId="2E22DD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Действуют производства (2003 г.): литейное, кузнечно-штамповочное, заготовительно-штамповочное, механосборочное, окончательной сборки, сварочное, гальвано-химическое и лакокрасочного покрытия, деталей из пластмасс и РТИ, изготовления и испытаний трубопроводов, КИС, ЛИС, инструментальное, ЦЗЛ.</w:t>
      </w:r>
    </w:p>
    <w:p w14:paraId="0AA721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 В 10.2006 г. предприятие вошло в состав ГК НПЦ им. Хруничева в качестве филиала (вхождение завершено в 2008 г.). По Указу Президента РФ в 02.2007 г. исключено из перечня стратегических предприятий.</w:t>
      </w:r>
    </w:p>
    <w:p w14:paraId="48CCB6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(1.01.1965 г.)- 13.572 чел.</w:t>
      </w:r>
    </w:p>
    <w:p w14:paraId="707B36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(01.1940 г.-)- Б.А. Якимов, (07-09.1941 г.)- А.В. Ляпидевский, (09.1941-06.1944 г.-)- Л.П. Соколов, (1961 г.-)- Я. Колупаев. Гендиректор (1960-е-70-е&gt; С.С. Бовкун, О.А. Мартынов, (02.1999 г.)- В. Блюм, (-04.2000- 04 г.-)- О.П. Дорофеев, (-2005-06 г.-)- В. Ковалев, (2009 г.)-  Г. Мураховский.</w:t>
      </w:r>
    </w:p>
    <w:p w14:paraId="41F961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Гендиректора (2002 г.)-  Г.М. Мураховский; по производству (2002 г.)- В. Г. Блюм. Зам. директора (07.1941 г.-)- Н.В. Климовицкий, (09.1941 г.-)- А.В. Ляпидевский. Зам. Гендиректора: Б.С. Степуро; по коммерческим вопросам (2002 г.)- В.Е. Попов, по экономике и финансам (-2002-04 г.-)- В.И. Новиков; по маркетингу (-2002-04 г.)- В.П. Удалов, (12.2004 г.)- М. Дрога; по управлению (2002 г.)- Ю.Н. Некрасов. Помощник гендиректора (2009 г.)- В. Щетинин.</w:t>
      </w:r>
    </w:p>
    <w:p w14:paraId="171F34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(10.1941-04.1943 г.)- А.Н. Туполев, (-1970-76 г.-&gt; А.С. Клинышков, (2002 г.)- В.В. Маркелов.</w:t>
      </w:r>
    </w:p>
    <w:p w14:paraId="2339CE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ген. конструктора (2004 г.)-  Г. Касаткин.</w:t>
      </w:r>
    </w:p>
    <w:p w14:paraId="7BC533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(09.1940 г.-)- А.И. Ермоленко, (2002 г.)-  Г.М. Мураховский.</w:t>
      </w:r>
    </w:p>
    <w:p w14:paraId="575ED6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инженера по сертификации (-2001-05 г.-)- В. Приходкин. Ведущий инженер по Ан-3 (1999 г.)- Е. Беляев. Начальник ЛИС (2005 г.)- М. Гирняк. Советник гендиректора по безопасности (2005 г.)- В. Щетинин.</w:t>
      </w:r>
    </w:p>
    <w:p w14:paraId="6C51AB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КА: морской навигационной системы «Цикада», «Стерх» системы поиска и спасения КОСПАС- САРСАТ (07.2009 г., 09.2009 г.), навигационной системы ГЛОНАСС, «Татьяна»; комплекс «Мир-2»; энергетические установки для РН «Энергия».</w:t>
      </w:r>
    </w:p>
    <w:p w14:paraId="141B53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самолеты: Ту-2 (1942; 1946-)- 80, Як-7 (1942-), Як-9 (1943-45)- 3416, Як-3, Ту-2Н (1946-49)- 227, Ил-28 (1949-56)- 758; Ту-104 (1956-57), Ту-104А (1957-60)- всего 61; Ан-74 (1993-2004-), Ан-3 (1998-2005-)- 20 (то 05.2003); крылья для Ан-14; БР: Р-12, Р-12У, Р-16 (1961-), УР-100, УР-ЮОУТТХ, УР-100К, УР-100К УТТХ; РН: «Космос» (1967-)- более 750, 11К65М «Космос-ЗМ» (1968-94)- более 760; КА: 11Ф654 «Ураган» системы ГЛОНАСС (1982-2004-), «Парус»- навигационный, «Надежда» системы КОСПЛС-</w:t>
      </w:r>
      <w:r w:rsidRPr="00640820">
        <w:rPr>
          <w:rFonts w:ascii="Times New Roman" w:hAnsi="Times New Roman"/>
          <w:color w:val="000000" w:themeColor="text1"/>
          <w:sz w:val="16"/>
          <w:szCs w:val="16"/>
          <w:lang w:val="en-US"/>
        </w:rPr>
        <w:t>SARSAT</w:t>
      </w:r>
      <w:r w:rsidRPr="00640820">
        <w:rPr>
          <w:rFonts w:ascii="Times New Roman" w:hAnsi="Times New Roman"/>
          <w:color w:val="000000" w:themeColor="text1"/>
          <w:sz w:val="16"/>
          <w:szCs w:val="16"/>
        </w:rPr>
        <w:t xml:space="preserve"> (1990-2004- ), «Стерх» (2004-09-), «Университетский», «Можаец»; ЖРД: РД-215, РД-170, РД-171 (1980-е); разработка и изготовление нефте-, газодобывающего оборудования, агрегатов для агропромышленного комплекса (опрыскивателей, культиваторов, резервуаров), ветроэнергетические установки; дельталет «Ветер»; пневмопробойники для проходки подземных каналов, пластинчатые разборные теплообменники; печь «Факел» на жидком топливе.</w:t>
      </w:r>
      <w:r w:rsidRPr="00640820">
        <w:rPr>
          <w:rFonts w:ascii="Times New Roman" w:hAnsi="Times New Roman"/>
          <w:color w:val="000000" w:themeColor="text1"/>
          <w:sz w:val="16"/>
          <w:szCs w:val="16"/>
          <w:vertAlign w:val="superscript"/>
          <w:lang w:val="en-US"/>
        </w:rPr>
        <w:t>wwpolyotomskru</w:t>
      </w:r>
    </w:p>
    <w:p w14:paraId="77606B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Заводской № (Ан-3): 2005: 20- год выпуска (2000-й), 05- порядковый номер машины (11982).</w:t>
      </w:r>
    </w:p>
    <w:p w14:paraId="490A4C86" w14:textId="77777777" w:rsidR="001E0E29" w:rsidRPr="00640820" w:rsidRDefault="001E0E29" w:rsidP="00640820">
      <w:pPr>
        <w:autoSpaceDE w:val="0"/>
        <w:autoSpaceDN w:val="0"/>
        <w:adjustRightInd w:val="0"/>
        <w:spacing w:after="0" w:line="240" w:lineRule="auto"/>
        <w:jc w:val="both"/>
        <w:rPr>
          <w:rFonts w:ascii="Times New Roman" w:hAnsi="Times New Roman"/>
          <w:color w:val="000000" w:themeColor="text1"/>
          <w:sz w:val="16"/>
          <w:szCs w:val="16"/>
        </w:rPr>
      </w:pPr>
    </w:p>
    <w:p w14:paraId="2B267D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конце 1941 г. завод № 28 3(6)ГУ НКАП (Завод № 28 им. Орджоникидзе </w:t>
      </w:r>
      <w:r w:rsidRPr="00640820">
        <w:rPr>
          <w:rFonts w:ascii="Times New Roman" w:hAnsi="Times New Roman"/>
          <w:color w:val="000000" w:themeColor="text1"/>
          <w:sz w:val="16"/>
          <w:szCs w:val="16"/>
          <w:lang w:val="en-US"/>
        </w:rPr>
        <w:t>BCHX</w:t>
      </w:r>
      <w:r w:rsidRPr="00640820">
        <w:rPr>
          <w:rFonts w:ascii="Times New Roman" w:hAnsi="Times New Roman"/>
          <w:color w:val="000000" w:themeColor="text1"/>
          <w:sz w:val="16"/>
          <w:szCs w:val="16"/>
        </w:rPr>
        <w:t>, НКТП, НКОП, НКАП, МАП, МСиДМ, Мебельная фабрика Хорькова и Адамчика, Аэротехнический завод «Адамчик, Кузнецов и Лобанов» ВСНХ, Московский Аэротехнический завод ВСНХ, Завод № 8 «Пропеллер» ВСНХ, Государственный авиационный завод № 8 (ГАЗ-8) «Пропеллер» ВСНХ, ОАО «Пневмостроймашина» / г. Москва ул. Долгоруковская, 27 (1920 г.); М. Грузинская, Столярный пер., 5, 7, 10 «ГАЗ восьмой» (1927 г.);  г. Москва, 22 п/я 2263 (1928 г.);  г. Свердловск/ /620100  г. Екатеринбург Сибирский тракт, 1-й км, 8 тел. (343) 264-66-00/) эвакуировался в  г. Свердловск на площадку планерного завода № 493 НКАП 11ГУ (сначала, в соответствии с приказом № 729сс от 22.07.1941 г. планировалось эвакуировать завод в  г. Павлово Горьковской обл.). Завод № 493 в 1941 г. был объединен с заводами № 457 и № 388 НКАП с образованием нового завода № 464 НКАП. Завод № 28 продолжал действовать самостоятельно. По приказу № 218с от 19.03.1942 г. завод передан в ИГУ НКАП (и после войны).</w:t>
      </w:r>
    </w:p>
    <w:p w14:paraId="7EB9F7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годы войны продолжено производство авиационных винтов ВИШ-61.</w:t>
      </w:r>
    </w:p>
    <w:p w14:paraId="3F6102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площадке эвакуированного завода в Москве с 10.1941 г. образованы Ремонтные мастерские при Ремотделе НКАП. В соответствии с пост. ГКО № 1052 от 23.12.1941 г. на этой площадке образован новый винтовой завод № 27 НКАП.</w:t>
      </w:r>
    </w:p>
    <w:p w14:paraId="07B0363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383с от 18.06.1946 г. и № 389с/16с от 20.06.1946 г. завод № 28 МАП передан в систему МСиДМ. Производственная программа винтов АВ5-167 передана на завод № 27 МАП, винтов В-3 для Ту-4 - на завод № 467 МАП. Далее переименован в завод «Пневмостроймашина».</w:t>
      </w:r>
    </w:p>
    <w:p w14:paraId="0E1C72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1946 г. освоено производство пневматических машин, с 1955 г.- гидромашин (насосов НПА-64). Затем начато производство заправщиков и технологического оборудования для РКТ. С 1970 г. освоено производство гидравлики по лицензии фирмы "</w:t>
      </w:r>
      <w:r w:rsidRPr="00640820">
        <w:rPr>
          <w:rFonts w:ascii="Times New Roman" w:hAnsi="Times New Roman"/>
          <w:color w:val="000000" w:themeColor="text1"/>
          <w:sz w:val="16"/>
          <w:szCs w:val="16"/>
          <w:lang w:val="en-US"/>
        </w:rPr>
        <w:t>BoschRexroth</w:t>
      </w:r>
      <w:r w:rsidRPr="00640820">
        <w:rPr>
          <w:rFonts w:ascii="Times New Roman" w:hAnsi="Times New Roman"/>
          <w:color w:val="000000" w:themeColor="text1"/>
          <w:sz w:val="16"/>
          <w:szCs w:val="16"/>
        </w:rPr>
        <w:t>". До 1986 г. завод выпускал гидроагрегаты для авиации и РКТ.</w:t>
      </w:r>
    </w:p>
    <w:p w14:paraId="74545F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2000 г. ОАО «Пневмостроймашина» вошло в состав Уральской финансово-промышленной группы «Финпромко». В 2007 г. туда входил также Косулинский абразивный завод.</w:t>
      </w:r>
    </w:p>
    <w:p w14:paraId="63E9D5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(2007 г.): гидравлическое оборудование (гидронасосы, гидромоторы, насосные станции, клапаны, дроссели, пневмогидроаккумуляторы) для строительной и дорожной техники, судостроения; пневмоинструмент.</w:t>
      </w:r>
    </w:p>
    <w:p w14:paraId="1CAFF1C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(1925 г.)- 48 ед., (1926 г.)- 40 ед.</w:t>
      </w:r>
    </w:p>
    <w:p w14:paraId="24DA4E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территории (1925 г.)- 16 тыс.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производственная (1925 г.)- 3,85 тыс.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вспомогательная (1925 г.)- 3,75 тыс.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660953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(12.1926 г.)- 238 чел., (2007 г.)- 2000 чел.</w:t>
      </w:r>
    </w:p>
    <w:p w14:paraId="0EDC3E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(-03.1927-07.1928 г.-)- Ф. Мурашев; и.о. (08.1928 г.)- В.И. Малынич; (1930 г.)- Васильев, (-02- 2.04.1937 г.)- Ф.И. Мельников, (2.04.1937-02.1940 г.)- П.С. Поленов, (02.1940 г.-)- Н.П. Савельев, (-08.1942- 09.1943 г.-)- Еремеев, (-07.1945-03.1946 г.-)- А. Г. Плоскинный. Гендиректор (2007 г.)- А.И. Павлов.</w:t>
      </w:r>
    </w:p>
    <w:p w14:paraId="325D9E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гендиректора (2007 г.)- Д.В. Якшин. Зам. директора (06.1937 г.)- Н.С. Алешин. Помощник директора: по техчасти (-07.1927-06.1928 г.-)- В.И. Малынич; по найму и увольнению (-19.11.1937 г.)- И.М. Гайлис, (19.11.1937 г.-)-Ф.В.Левин.</w:t>
      </w:r>
    </w:p>
    <w:p w14:paraId="4CA23F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по маркетингу и работе с потребителями (2007 г.)- А.А. Хачатуров; по международной торговле (2007 г.)- И. Сатыбалов.</w:t>
      </w:r>
    </w:p>
    <w:p w14:paraId="07790B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(06.1937 г.)- Н.С. Алешин, (7.09.1938 г.-)- Н.П, Савельев, (1941 г.)- Давыдов.</w:t>
      </w:r>
    </w:p>
    <w:p w14:paraId="49B099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(-04-06.1938 г.-)- Кузьмин, (10.1945-03.1946 г.-)- Н.Н. Петров.</w:t>
      </w:r>
    </w:p>
    <w:p w14:paraId="16F4C6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Заведующий канцелярией (-1928-ЗО г.-)- Нагибин.</w:t>
      </w:r>
    </w:p>
    <w:p w14:paraId="477BA5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воздушные винты: ВИШ-24 (1933-), -61 (1933-41-), ВИШ-2 (1937-), -3 (1937); аксиально- поршневой гидронасос НПА-64 (1955-); гидронасосы и гидромоторы серии 303, 310, 313, 403, 410, 416 (2007); гайковерты ИП-3115, -3128, пневмоударник ПП-115, молоток рубильный ИП-4126, лом ИП-4608, трамбовка ИП- 4503 (2007) (11982).</w:t>
      </w:r>
    </w:p>
    <w:p w14:paraId="6D852E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95E1B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серийные чертежи установки для пушки ВЯ были спущены в цеха для разработки техпроцесса и отправлены авиационному заводу в Новосибирск (2147,4).</w:t>
      </w:r>
    </w:p>
    <w:p w14:paraId="1A5451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FC8AF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почувствовали нехватку боеприпасов для ленд-лизовских машин и НКО обратился в НКАП с просьбой заменить на Томагауках и Харрикейнах крыльевые пулеметы на ШКАСы и по крайней мере один Томагаук переоборудовали (3805,8).</w:t>
      </w:r>
    </w:p>
    <w:p w14:paraId="4107DDC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5D31C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начали выпускать легкий ночной бомбардировщик У-2ВС (228,62).</w:t>
      </w:r>
    </w:p>
    <w:p w14:paraId="6EF9C0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E6A4C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году старший инженер ЦАГИ Я.Г. Виленский на основе продувок модели самолета УТ-1 предложил иной способ улучшения посадочных характеристик. Уменьшение посадочной скорости достигалось сохранением безотрывного обтекания крыла на посадочных углах атаки (много позже такой принцип был применен на знаменитом советском истребителе МиГ-21) за счет отсоса пограничного слоя. Для летных исследований, а от применения управления пограничным слоем (УПС), как тогда говорили, ожидалось сокращение посадочной скорости на 20 %, в мастерских ЦАГИ в летающую лабораторию переоборудовали самолет ДБ-3, получивший название ДБ-3 УПС.</w:t>
      </w:r>
    </w:p>
    <w:p w14:paraId="4F0BDB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Практически одновременно, в конце 1941 года, начальником КБ филиала ЦАГИ в г. Новосибирске старшим инженером А.А. Ивановым был создан эскизный проект самолета Як-1 УПС. В отличие от ДБ-3 УПС, где нагнетатель, обслуживающий систему, приводился в действие дополнительным автомобильным мотором ЗИС-101А, на самолете Як-1 отбор воздуха предполагалось производить от штатного нагнетателя мотора М-105. При этом карбюраторы мотора переключались на питание воздухом непосредственно из атмосферы через отверстия в капоте двигателя.</w:t>
      </w:r>
    </w:p>
    <w:p w14:paraId="14E5B5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Основным переделкам по проекту подвергалось крыло. Его законцовки становились трапециевидной формы. Вместо традиционных посадочных щитков устанавливались удлиненные двухсекционные металлические закрылки со шелыо отсоса пограничного слоя сверху по всему размаху и выходной щелью с регулирующим шитком снизу закрылка. Уменьшенные элероны, за счет изменения формы законцовок смещались к концам крыла, в связи с чем их эффективность должна была остаться без изменений. В фюзеляже, крыле и закрылке монтировалась система воздухоподводящих и отводящих каналов. Крыло снабжалось автоматическим предкрылком, выполненным из-за малой его толщины из дерева с дюралевой обшивкой. Предполагалось также изменить диапазон углов отклонения лопастей винта ВИШ-61П в сторону уменьшения, для достижения нулевой тяги. Для быстрого перевода лопастей винта во вхаетное положение при уходе на второй круг было разработано специальное устройство. По расчетам посадочная скорость самолета Як-1 должна была снизиться со 141 до 124 км/ч.</w:t>
      </w:r>
    </w:p>
    <w:p w14:paraId="4B70FE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Исследования в полете планировалось провести в 1942 г., но с переводом в Москву ответственного исполнителя проекта П.П. Красильшикова и ведущего инженера А.А. Иванова было принято решение ограничиться только теоретической проработкой эскизного проекта. С другой стороны, в связи с крупными переделками крыла, внедрить в серийное производство проект Як-1 УПС (а вместе с ним и аналогичный проект для МиГ-3) в начальный период войны было практически невозможно. Натурные исследования по данной теме, как перспективное направление, были продолжены в 1942-1943 годах на самолете ДБ-3 УПС (12048).</w:t>
      </w:r>
    </w:p>
    <w:p w14:paraId="48E4A4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680F5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экспериментальное конструкторское бюро (ЭКБ-3), которое возглавил Бондарюк бюро было эвакуировано в Казань, где оно разместилось в здании авиационного института. Здесь к коллективу Бондарюка присоединилась группа Г.А. Варшавского, работавшая над созданием ПВРД в Институте химической физики АН СССР (9027).</w:t>
      </w:r>
    </w:p>
    <w:p w14:paraId="1C54E2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F80D7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один полностью боеготовый комплект ТМС самолетов, состоящий из ТБ-3 N 22707 с 3500 кг взрывчатки повышенного взрывного действия и командного ДБ-3Ф находился на аэродроме подскока в Иваново, а второй - из ТБ-3 N 22685 и СБ, требовавший для подготовки к применению 10-15 дней, на базе 81 АД в Казани. Р.Г.Чичикян обращался к Г.М.М., тот дал указание по применению ком. ВВС П.Ф.Жигареву, но дело простояло до января (1800,3).</w:t>
      </w:r>
    </w:p>
    <w:p w14:paraId="0CC811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2420F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по предложению летчика-испытателя НКАП К.М.Бережной (какие самолеты она испытывала, история умалчивает, но, судя по документам, нрав эта дама имела крутой) один из До-215 переоборудовали для тайных операций в тылу противника. Как следует из донесения начальника 1-го управления Главного разведуправ-ления (ГРУ) полковника Большакова наркому Шахурину, на эту машину установили дополнительные бензо- и маслобаки, причем трубопроводы, связывающие их с топливной системой машины, пришлось изготовить заново. Одновременно разработали и установили противопожарную систему, не предусмотренную на «Дорнье».</w:t>
      </w:r>
    </w:p>
    <w:p w14:paraId="6B5EAE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Доработали входной люк в кабине экипажа. Теперь он допускал использование в полете, как в качестве аварийного, так и для десантирования парашютистов и сброса различных грузов. Изменили сидение стрелка-радиста, позволив ему свободно работать в воздухе и в случае необходимости оказывать помощь экипажу.</w:t>
      </w:r>
    </w:p>
    <w:p w14:paraId="2A6270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самолете разместили броню, надежно защищавшую летчика, штурмана и частично бортмеханика, отсутствовавшую на немецких машинах. Специально изготовленная комбинированная установка фотокамер АФИ и АФБ позволяла фотографировать с больших и малых высот на разных скоростях. Бомбардировочный прицел заменили отечественным ОПБ-1, а вот оборонительное вооружение осталось немецким.</w:t>
      </w:r>
    </w:p>
    <w:p w14:paraId="1D7A82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 приборы, контролирующие работу моторов, расположили так, чтобы их видел каждый член экипажа. Были и другие более мелкие доработки. В итоге, машина потяжелела почти в полтора раза, аее центровка изменилась с 22% до 30% средней аэродинамической хорды.</w:t>
      </w:r>
    </w:p>
    <w:p w14:paraId="7FEB5F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Обновленный «Дорнье» подвергся дополнительным в течение 25 летных часов испытаниям, главным образом, на устойчивость и управляемость. Выяснилось, что До-215 устойчив на всех режимах полета при различных вариантах его загрузки. Управляемость-достаточная. Все оборудование и двигатели работали исправно.</w:t>
      </w:r>
    </w:p>
    <w:p w14:paraId="03AD37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Дальность машины возросла с 1200 до 2600 км с полезным грузом в 400 кг или тремя парашютистами-десантниками.</w:t>
      </w:r>
    </w:p>
    <w:p w14:paraId="272F55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таком виде До-215 в 1943-м поступил в дальний разведывательный авиаполк особой авиагруппы ГРУ, базировавшийся в Подмосковье. В состав экипажа самолета неизменно входили летчик капитан Груздин (или Груздев, что предстоит уточнить) и штурман В.Соколов, ранее испытывавший «Дорнье».</w:t>
      </w:r>
    </w:p>
    <w:p w14:paraId="5DEAF3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 боевой работе доработанного До-215 сведений практически нет. В ряде публикаций проходили сообщения, что самолет применялся, в частности, для разведки Берлина. Из другого источника следует, что «Дорнье» 17 раз летали с аэродрома в Гатчине в районы Новгорода и Кречевиц, с целью выброски оперативных грузов в тылу противника. Однако из-за трудностей с опознаванием самолета советской ПВО от его дальнейших услуг отказались (9663).</w:t>
      </w:r>
    </w:p>
    <w:p w14:paraId="198D6F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20D1C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года О К. Антонов, поддержанный начальником НТК ГБТУ генералом С. А. Афониным получил задание на КТ под Т-60. Машину спроектировали всего за две недели (3862).</w:t>
      </w:r>
    </w:p>
    <w:p w14:paraId="2BFC66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CE28D5C" w14:textId="77777777" w:rsidR="00D823F8" w:rsidRPr="00640820" w:rsidRDefault="00D823F8"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года Антонову было выдано задание на планер для танка. Машина, получившая название КТ («Крылья танка», другие названия – А-Т, АТ, АТ-1 или А-40) была очень быстро спроектирована и была завершена постройкой на планерном заводе в Тюмени к лету 1942 года. Для крыла и оперения, размещавшегося на двух балках, Антонов избрал бипланную схему. Это позволило получить достаточно компактные размеры – размах крыла составлял 18 метров, длина аппарата – 12,00 м. Вся конструкция планера выполнялась из дерева, носки крыльев обшивались фанерой, остальное обтягивалось полотном. Экипаж планёра «АТ» состоял из двух человек и размещался на тех же местах, что и в боевой обстановке на танке на земле. Роль пилота выполнял механик-водитель, к рабочему месту которого было подведено тросовое управление планёром, включавшее ручку, педали и рычаг управления закрылками. Обзор по бокам и назад обеспечивался с помощью зеркал (перископа). Расчётная полётная масса танка-планёра составила 7804 кг, в том числе на массу самого танка приходилось 5800 кг, остальное – крыло и оперение. При испытаниях для облегчения с танка сняли вооружение. По отчёту, на танке не было: 1. Бронелиста. 2. Щитка водителя. 3. Люка водителя. 4. Оружия и боеприпасов. 5. Башни стрелка с поворотным механизмом. Фактический полётный вес с одним пилотом получился 6710 кг при запасе бензина в танке 100 кг. Планер и танк перевезли на аэродром ЛИИ в Кратово, где 22 июля 1942 года конструкцию собрали. Осенью 1942 г. планер КТ впервые поднялся в воздух. Увы, этот первый испытательный полёт оказался единственным. Командиром самолёта-буксировщика – четырёхмоторного ТБ-3 с двигателями АМ-34РНВ – был П.А.Еремеев. Пилотом танка-планёра, а одновременно и механиком-водителем, стал лётчик-испытатель С.Н.Анохин. Согласно отчёту, разбег и отрыв производился при взлётном форсаже моторов. Вес самолёта был равен 17500 кг. Планёр оторвался на скорости 110-115 км/час, самолёт на скорости 120 км/час. Как оказалось, мощность четырёх двигателей самолёта ТБ-3 явно не обеспечивала уверенного полёта. Процитируем отчёт об испытаниях: «При форсированных оборотах мотора была набрана высота 30-40 м. После частичной уборки форсажа /…/ поезд сохранил горизонтальный полёт на скорости 130 км/час. При увеличении скорости до 140 км/час поезд снижался с вертикальной скоростью 0,5 м/сек. Не имея возможности набрать высоту, было принято решение сделать отцепку планера с прямой над аэродромом Быково. Посадка был сделана благополучно. /…/ После приземления планер немного развернуло. Длина пробега около 20 метров /…/. С быковского аэродрома на аэродром (название замазано, речь идёт о Монино) (8 км) планер «АТ» без разборки был доставлен самоходом. Ввиду недостатка мощности на самолете ТБ-3 4АМ34РНВ для буксировки планера «АТ», дальнейшие испытания были приостановлены». «Летающий танк» Антонова вернули в Кратово (на аэродром ЛИИ), и более он никогда не поднимался в воздух. Результаты могли бы быть более успешными в случае использовании в качестве буксировщика самолёта ТБ-7 (Пе-8). Однако это было бы непозволительной роскошью – таких самолётов насчитывалось в строю всего около 40, и они были остро необходимы для других целей. По этой причине работа над «летающим танком» КТ (А-40) не получила продолжения (19165).</w:t>
      </w:r>
    </w:p>
    <w:p w14:paraId="6A55B718" w14:textId="77777777" w:rsidR="00D823F8" w:rsidRPr="00640820" w:rsidRDefault="00D823F8" w:rsidP="00640820">
      <w:pPr>
        <w:spacing w:after="0" w:line="240" w:lineRule="auto"/>
        <w:jc w:val="both"/>
        <w:rPr>
          <w:rFonts w:ascii="Times New Roman" w:hAnsi="Times New Roman"/>
          <w:color w:val="000000" w:themeColor="text1"/>
          <w:sz w:val="16"/>
          <w:szCs w:val="16"/>
        </w:rPr>
      </w:pPr>
    </w:p>
    <w:p w14:paraId="755E08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на 168 заводе в Рязани был выпущен второй КЦ-2 В.П.Цыбина на 21 чел. с двухкилевым оперением (94,77).</w:t>
      </w:r>
    </w:p>
    <w:p w14:paraId="336BCA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94C7C69" w14:textId="77777777" w:rsidR="00D823F8" w:rsidRPr="00640820" w:rsidRDefault="00D823F8"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В конце 1941 г, уже в Рязани, где планировался серийный выпуск планеров КЦ, построили второй опытный образец, получивший обозначение КЦ-2. В целом он был аналогичен первому прототипу. Испытания проходили в начале 1942 г. в Казани, куда был эвакуирован завод из-за наступления немцев.</w:t>
      </w:r>
    </w:p>
    <w:p w14:paraId="164DAF40" w14:textId="77777777" w:rsidR="00D823F8" w:rsidRPr="00640820" w:rsidRDefault="00D823F8"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Испытания КЦ-2, которые проводил лётчик В. Л. Расторгуев, выявили ряд серьёзных недостатков: были плохими устойчивость и управляемость. Нужно было увеличить путевую устойчивость, уменьшить нагрузки в органах управления, увеличить эффективность элеронов и убрать люфты и упругие деформации в проводке управления. По требованию ЦАГИ, разрешённую скорость буксировки необходимо было довести до 300 км/ч. Отмечалось, что грузовая кабина для 21 (первоначальная проектная загрузка) десантника тесна.</w:t>
      </w:r>
    </w:p>
    <w:p w14:paraId="3D48DB54" w14:textId="77777777" w:rsidR="00D823F8" w:rsidRPr="00640820" w:rsidRDefault="00D823F8"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Учитывая необходимость в тяжёлых планерах, несмотря на отмеченные недостатки, планер был рекомендован к серийному производству под обозначением КЦ-20 (2 пилота + 18 десантников). Производство организовали в посёлке Лопатино под Казанью.</w:t>
      </w:r>
    </w:p>
    <w:p w14:paraId="2F12FE62" w14:textId="77777777" w:rsidR="00D823F8" w:rsidRPr="00640820" w:rsidRDefault="00D823F8"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Для устранения отмеченных недостатков конструкцию существенно доработали: фюзеляж, в хвостовой части, удлинили на 900 мм, съёмные двери заменили на двухстворчатые поворотные, а число иллюминаторов на каждом борту увеличили до четырёх. Увеличили также площадь элеронов, а также увеличили и поперечное V крыла на 2°.</w:t>
      </w:r>
    </w:p>
    <w:p w14:paraId="06B5B96A" w14:textId="77777777" w:rsidR="00D823F8" w:rsidRPr="00640820" w:rsidRDefault="00D823F8" w:rsidP="00640820">
      <w:pPr>
        <w:pStyle w:val="ae"/>
        <w:shd w:val="clear" w:color="auto" w:fill="FFFFFF"/>
        <w:spacing w:before="0" w:after="0"/>
        <w:jc w:val="both"/>
        <w:textAlignment w:val="baseline"/>
        <w:rPr>
          <w:color w:val="000000" w:themeColor="text1"/>
          <w:sz w:val="16"/>
          <w:szCs w:val="16"/>
        </w:rPr>
      </w:pPr>
      <w:r w:rsidRPr="00640820">
        <w:rPr>
          <w:color w:val="000000" w:themeColor="text1"/>
          <w:sz w:val="16"/>
          <w:szCs w:val="16"/>
        </w:rPr>
        <w:t>Возросла площадь всего горизонтального оперения, одновременно увеличили углы отклонения рулей, площадь триммеров, а на рулях направления установили роговую компенсацию. В целях экономии, тросовую проводку заменили на систему деревянных тяг (!), а два раздельных штурвала заменили на один сдвоенный. Несмотря на большое число изменений, масса пустого планера осталась неизменной – 2050 кг, хотя проблемы с центровкой, пусть и не такие острые, остались (19191).</w:t>
      </w:r>
    </w:p>
    <w:p w14:paraId="0496D9C0" w14:textId="77777777" w:rsidR="00D823F8" w:rsidRPr="00640820" w:rsidRDefault="00D823F8" w:rsidP="00640820">
      <w:pPr>
        <w:pStyle w:val="ae"/>
        <w:shd w:val="clear" w:color="auto" w:fill="FFFFFF"/>
        <w:spacing w:before="0" w:after="0"/>
        <w:jc w:val="both"/>
        <w:textAlignment w:val="baseline"/>
        <w:rPr>
          <w:color w:val="000000" w:themeColor="text1"/>
          <w:sz w:val="16"/>
          <w:szCs w:val="16"/>
        </w:rPr>
      </w:pPr>
    </w:p>
    <w:p w14:paraId="2A2C3D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основная часть ОКБ-28 11ГУ НКАП по приказам № 995сс от 18.09.1941 г. и № 1050сс от 8.10.1941 г. переведена на площадку завода № 471 11ГУ НКАП в  г. Шумерля Чувашской АССР. Первый эшелон прибыл 18.10.1941 г., а уже 7.11.1941 г. был собран первый планер.</w:t>
      </w:r>
    </w:p>
    <w:p w14:paraId="7E4975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Одновременно для продолжения опытных работ в Москве в  г. Красногорске образован филиал ОКБ-28. В 1942 г., после прекращения выпуска Г-11 ОКБ-28 было ликвидировано. Личный состав ОКБ-28 перевели в подчинение завода № 471, а Грибовский убыл в распоряжение НКАП. Начальник/ гл. конструктор (03.1940-42 г.)- В.К. Грибовский. Зам. начальника (1941 г.)- Ландышев. Создано: самолеты Гр-28 (1940), Г-30; планер Гр-29 (1941) (11982).</w:t>
      </w:r>
    </w:p>
    <w:p w14:paraId="6321CA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261263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был построен второй планер Н.Н.П. БДП-2 (94,57).</w:t>
      </w:r>
    </w:p>
    <w:p w14:paraId="04034CB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DA3E3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концу 1941 был построен первый опытный экз. тяжелого грузового планера (25 чел., 76 мм пушка с расчетом или танкетка К-27 с экипажем) Л.П.Курбалы КГ - Курбала-грузовой. Двухбалочный, сделанный на основе проекта двухбалочного ДБ Л.П.Курбалы. Делали в Сталинграде на деревообрабатываюбщем (тарном) заводе (94,82).</w:t>
      </w:r>
    </w:p>
    <w:p w14:paraId="634EFA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7DEBA73"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на другом заводе, в Рязани, где планировали серийно стро</w:t>
      </w:r>
      <w:r w:rsidRPr="00640820">
        <w:rPr>
          <w:rFonts w:ascii="Times New Roman" w:hAnsi="Times New Roman"/>
          <w:color w:val="000000" w:themeColor="text1"/>
          <w:sz w:val="16"/>
          <w:szCs w:val="16"/>
        </w:rPr>
        <w:softHyphen/>
        <w:t>ить КЦ, изготовили второй экземпляр, названный КЦ-2; практически он не отличался от первого. Его испытания проводил в начале 1942 г. В.Л. Растор</w:t>
      </w:r>
      <w:r w:rsidRPr="00640820">
        <w:rPr>
          <w:rFonts w:ascii="Times New Roman" w:hAnsi="Times New Roman"/>
          <w:color w:val="000000" w:themeColor="text1"/>
          <w:sz w:val="16"/>
          <w:szCs w:val="16"/>
        </w:rPr>
        <w:softHyphen/>
        <w:t>гуев. На первых порах полётный вес ограничивался 2600 кг, но позже его довели до 4200 кг. При этом СБ уже тянуть планёр не мог, и перешли на ис</w:t>
      </w:r>
      <w:r w:rsidRPr="00640820">
        <w:rPr>
          <w:rFonts w:ascii="Times New Roman" w:hAnsi="Times New Roman"/>
          <w:color w:val="000000" w:themeColor="text1"/>
          <w:sz w:val="16"/>
          <w:szCs w:val="16"/>
        </w:rPr>
        <w:softHyphen/>
        <w:t>пользование в качестве буксировщика бомбардировщика ДБ-ЗФ (Ил-4).</w:t>
      </w:r>
    </w:p>
    <w:p w14:paraId="66A3AE48"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Облётывали КЦ-2 (пилот В.Л. Растор</w:t>
      </w:r>
      <w:r w:rsidRPr="00640820">
        <w:rPr>
          <w:rFonts w:ascii="Times New Roman" w:hAnsi="Times New Roman"/>
          <w:color w:val="000000" w:themeColor="text1"/>
          <w:sz w:val="16"/>
          <w:szCs w:val="16"/>
        </w:rPr>
        <w:softHyphen/>
        <w:t>гуев) уже в Лопатино под Казанью, куда эвакуировали часть рязанского завода. Испытания выявили ряд дефектов в устойчивости и управляемости. В част</w:t>
      </w:r>
      <w:r w:rsidRPr="00640820">
        <w:rPr>
          <w:rFonts w:ascii="Times New Roman" w:hAnsi="Times New Roman"/>
          <w:color w:val="000000" w:themeColor="text1"/>
          <w:sz w:val="16"/>
          <w:szCs w:val="16"/>
        </w:rPr>
        <w:softHyphen/>
        <w:t>ности, от конструкторов потребовали повысить путевую устойчивость, умень</w:t>
      </w:r>
      <w:r w:rsidRPr="00640820">
        <w:rPr>
          <w:rFonts w:ascii="Times New Roman" w:hAnsi="Times New Roman"/>
          <w:color w:val="000000" w:themeColor="text1"/>
          <w:sz w:val="16"/>
          <w:szCs w:val="16"/>
        </w:rPr>
        <w:softHyphen/>
        <w:t>шить нагрузки на органы управления, уменьшить деформацию тросов и по</w:t>
      </w:r>
      <w:r w:rsidRPr="00640820">
        <w:rPr>
          <w:rFonts w:ascii="Times New Roman" w:hAnsi="Times New Roman"/>
          <w:color w:val="000000" w:themeColor="text1"/>
          <w:sz w:val="16"/>
          <w:szCs w:val="16"/>
        </w:rPr>
        <w:softHyphen/>
        <w:t>высить максимальную скорость букси</w:t>
      </w:r>
      <w:r w:rsidRPr="00640820">
        <w:rPr>
          <w:rFonts w:ascii="Times New Roman" w:hAnsi="Times New Roman"/>
          <w:color w:val="000000" w:themeColor="text1"/>
          <w:sz w:val="16"/>
          <w:szCs w:val="16"/>
        </w:rPr>
        <w:softHyphen/>
        <w:t>ровки до 300 км/ч. Пилотскую кабину оценили как просторную и удобную, а вот грузовая была явно тесна для 21 бойца. Тем не менее, КЦ-2 рекомен</w:t>
      </w:r>
      <w:r w:rsidRPr="00640820">
        <w:rPr>
          <w:rFonts w:ascii="Times New Roman" w:hAnsi="Times New Roman"/>
          <w:color w:val="000000" w:themeColor="text1"/>
          <w:sz w:val="16"/>
          <w:szCs w:val="16"/>
        </w:rPr>
        <w:softHyphen/>
        <w:t>довали к серийному производству (12266).</w:t>
      </w:r>
    </w:p>
    <w:tbl>
      <w:tblPr>
        <w:tblW w:w="0" w:type="auto"/>
        <w:tblInd w:w="-18" w:type="dxa"/>
        <w:tblLayout w:type="fixed"/>
        <w:tblCellMar>
          <w:left w:w="10" w:type="dxa"/>
          <w:right w:w="10" w:type="dxa"/>
        </w:tblCellMar>
        <w:tblLook w:val="0000" w:firstRow="0" w:lastRow="0" w:firstColumn="0" w:lastColumn="0" w:noHBand="0" w:noVBand="0"/>
      </w:tblPr>
      <w:tblGrid>
        <w:gridCol w:w="1984"/>
        <w:gridCol w:w="1714"/>
        <w:gridCol w:w="1710"/>
        <w:gridCol w:w="1735"/>
      </w:tblGrid>
      <w:tr w:rsidR="00643896" w:rsidRPr="00640820" w14:paraId="3A6F9E33" w14:textId="77777777" w:rsidTr="000D3BCB">
        <w:trPr>
          <w:trHeight w:val="385"/>
        </w:trPr>
        <w:tc>
          <w:tcPr>
            <w:tcW w:w="7143" w:type="dxa"/>
            <w:gridSpan w:val="4"/>
            <w:tcBorders>
              <w:top w:val="single" w:sz="6" w:space="0" w:color="auto"/>
              <w:left w:val="single" w:sz="6" w:space="0" w:color="auto"/>
              <w:bottom w:val="single" w:sz="6" w:space="0" w:color="auto"/>
              <w:right w:val="single" w:sz="6" w:space="0" w:color="auto"/>
            </w:tcBorders>
            <w:shd w:val="clear" w:color="auto" w:fill="FFFFFF"/>
          </w:tcPr>
          <w:p w14:paraId="3061FE90"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Сравнение КЦ-20 с иностранными планёрами</w:t>
            </w:r>
          </w:p>
        </w:tc>
      </w:tr>
      <w:tr w:rsidR="00643896" w:rsidRPr="00640820" w14:paraId="7B89CD85" w14:textId="77777777" w:rsidTr="000D3BCB">
        <w:trPr>
          <w:trHeight w:val="335"/>
        </w:trPr>
        <w:tc>
          <w:tcPr>
            <w:tcW w:w="1984" w:type="dxa"/>
            <w:tcBorders>
              <w:top w:val="single" w:sz="6" w:space="0" w:color="auto"/>
              <w:left w:val="single" w:sz="6" w:space="0" w:color="auto"/>
              <w:bottom w:val="single" w:sz="6" w:space="0" w:color="auto"/>
              <w:right w:val="single" w:sz="6" w:space="0" w:color="auto"/>
            </w:tcBorders>
            <w:shd w:val="clear" w:color="auto" w:fill="FFFFFF"/>
          </w:tcPr>
          <w:p w14:paraId="6714D3BB" w14:textId="77777777" w:rsidR="00045010" w:rsidRPr="00640820" w:rsidRDefault="00045010" w:rsidP="00640820">
            <w:pPr>
              <w:spacing w:after="0" w:line="240" w:lineRule="auto"/>
              <w:jc w:val="both"/>
              <w:rPr>
                <w:rFonts w:ascii="Times New Roman" w:hAnsi="Times New Roman"/>
                <w:color w:val="000000" w:themeColor="text1"/>
                <w:sz w:val="16"/>
                <w:szCs w:val="16"/>
              </w:rPr>
            </w:pPr>
          </w:p>
        </w:tc>
        <w:tc>
          <w:tcPr>
            <w:tcW w:w="1714" w:type="dxa"/>
            <w:tcBorders>
              <w:top w:val="single" w:sz="6" w:space="0" w:color="auto"/>
              <w:left w:val="single" w:sz="6" w:space="0" w:color="auto"/>
              <w:bottom w:val="single" w:sz="6" w:space="0" w:color="auto"/>
              <w:right w:val="single" w:sz="6" w:space="0" w:color="auto"/>
            </w:tcBorders>
            <w:shd w:val="clear" w:color="auto" w:fill="FFFFFF"/>
          </w:tcPr>
          <w:p w14:paraId="250B9888"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КЦ-20</w:t>
            </w:r>
          </w:p>
        </w:tc>
        <w:tc>
          <w:tcPr>
            <w:tcW w:w="1710" w:type="dxa"/>
            <w:tcBorders>
              <w:top w:val="single" w:sz="6" w:space="0" w:color="auto"/>
              <w:left w:val="single" w:sz="6" w:space="0" w:color="auto"/>
              <w:bottom w:val="single" w:sz="6" w:space="0" w:color="auto"/>
              <w:right w:val="single" w:sz="6" w:space="0" w:color="auto"/>
            </w:tcBorders>
            <w:shd w:val="clear" w:color="auto" w:fill="FFFFFF"/>
          </w:tcPr>
          <w:p w14:paraId="48E76CF3"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ОР5 331</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714B946B"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Слингсби «Хенгист»</w:t>
            </w:r>
          </w:p>
        </w:tc>
      </w:tr>
      <w:tr w:rsidR="00643896" w:rsidRPr="00640820" w14:paraId="4F0BE67F" w14:textId="77777777" w:rsidTr="000D3BCB">
        <w:trPr>
          <w:trHeight w:val="317"/>
        </w:trPr>
        <w:tc>
          <w:tcPr>
            <w:tcW w:w="1984" w:type="dxa"/>
            <w:tcBorders>
              <w:top w:val="single" w:sz="6" w:space="0" w:color="auto"/>
              <w:left w:val="single" w:sz="6" w:space="0" w:color="auto"/>
              <w:bottom w:val="single" w:sz="6" w:space="0" w:color="auto"/>
              <w:right w:val="single" w:sz="6" w:space="0" w:color="auto"/>
            </w:tcBorders>
            <w:shd w:val="clear" w:color="auto" w:fill="FFFFFF"/>
          </w:tcPr>
          <w:p w14:paraId="709E62DF"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Страна</w:t>
            </w:r>
          </w:p>
        </w:tc>
        <w:tc>
          <w:tcPr>
            <w:tcW w:w="1714" w:type="dxa"/>
            <w:tcBorders>
              <w:top w:val="single" w:sz="6" w:space="0" w:color="auto"/>
              <w:left w:val="single" w:sz="6" w:space="0" w:color="auto"/>
              <w:bottom w:val="single" w:sz="6" w:space="0" w:color="auto"/>
              <w:right w:val="single" w:sz="6" w:space="0" w:color="auto"/>
            </w:tcBorders>
            <w:shd w:val="clear" w:color="auto" w:fill="FFFFFF"/>
          </w:tcPr>
          <w:p w14:paraId="0743F316"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СССР</w:t>
            </w:r>
          </w:p>
        </w:tc>
        <w:tc>
          <w:tcPr>
            <w:tcW w:w="1710" w:type="dxa"/>
            <w:tcBorders>
              <w:top w:val="single" w:sz="6" w:space="0" w:color="auto"/>
              <w:left w:val="single" w:sz="6" w:space="0" w:color="auto"/>
              <w:bottom w:val="single" w:sz="6" w:space="0" w:color="auto"/>
              <w:right w:val="single" w:sz="6" w:space="0" w:color="auto"/>
            </w:tcBorders>
            <w:shd w:val="clear" w:color="auto" w:fill="FFFFFF"/>
          </w:tcPr>
          <w:p w14:paraId="54D14006"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Германия</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7A920662"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Англия</w:t>
            </w:r>
          </w:p>
        </w:tc>
      </w:tr>
      <w:tr w:rsidR="00643896" w:rsidRPr="00640820" w14:paraId="2736BD3C" w14:textId="77777777" w:rsidTr="000D3BCB">
        <w:trPr>
          <w:trHeight w:val="317"/>
        </w:trPr>
        <w:tc>
          <w:tcPr>
            <w:tcW w:w="1984" w:type="dxa"/>
            <w:tcBorders>
              <w:top w:val="single" w:sz="6" w:space="0" w:color="auto"/>
              <w:left w:val="single" w:sz="6" w:space="0" w:color="auto"/>
              <w:bottom w:val="single" w:sz="6" w:space="0" w:color="auto"/>
              <w:right w:val="single" w:sz="6" w:space="0" w:color="auto"/>
            </w:tcBorders>
            <w:shd w:val="clear" w:color="auto" w:fill="FFFFFF"/>
          </w:tcPr>
          <w:p w14:paraId="16966A95"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Длина, м</w:t>
            </w:r>
          </w:p>
        </w:tc>
        <w:tc>
          <w:tcPr>
            <w:tcW w:w="1714" w:type="dxa"/>
            <w:tcBorders>
              <w:top w:val="single" w:sz="6" w:space="0" w:color="auto"/>
              <w:left w:val="single" w:sz="6" w:space="0" w:color="auto"/>
              <w:bottom w:val="single" w:sz="6" w:space="0" w:color="auto"/>
              <w:right w:val="single" w:sz="6" w:space="0" w:color="auto"/>
            </w:tcBorders>
            <w:shd w:val="clear" w:color="auto" w:fill="FFFFFF"/>
          </w:tcPr>
          <w:p w14:paraId="2383A4CE"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14,125</w:t>
            </w:r>
          </w:p>
        </w:tc>
        <w:tc>
          <w:tcPr>
            <w:tcW w:w="1710" w:type="dxa"/>
            <w:tcBorders>
              <w:top w:val="single" w:sz="6" w:space="0" w:color="auto"/>
              <w:left w:val="single" w:sz="6" w:space="0" w:color="auto"/>
              <w:bottom w:val="single" w:sz="6" w:space="0" w:color="auto"/>
              <w:right w:val="single" w:sz="6" w:space="0" w:color="auto"/>
            </w:tcBorders>
            <w:shd w:val="clear" w:color="auto" w:fill="FFFFFF"/>
          </w:tcPr>
          <w:p w14:paraId="0C56420A"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15,8</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64302CE2"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18,25</w:t>
            </w:r>
          </w:p>
        </w:tc>
      </w:tr>
      <w:tr w:rsidR="00643896" w:rsidRPr="00640820" w14:paraId="55C25968" w14:textId="77777777" w:rsidTr="000D3BCB">
        <w:trPr>
          <w:trHeight w:val="292"/>
        </w:trPr>
        <w:tc>
          <w:tcPr>
            <w:tcW w:w="1984" w:type="dxa"/>
            <w:tcBorders>
              <w:top w:val="single" w:sz="6" w:space="0" w:color="auto"/>
              <w:left w:val="single" w:sz="6" w:space="0" w:color="auto"/>
              <w:bottom w:val="single" w:sz="6" w:space="0" w:color="auto"/>
              <w:right w:val="single" w:sz="6" w:space="0" w:color="auto"/>
            </w:tcBorders>
            <w:shd w:val="clear" w:color="auto" w:fill="FFFFFF"/>
          </w:tcPr>
          <w:p w14:paraId="7A06662F"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Размах, м</w:t>
            </w:r>
          </w:p>
        </w:tc>
        <w:tc>
          <w:tcPr>
            <w:tcW w:w="1714" w:type="dxa"/>
            <w:tcBorders>
              <w:top w:val="single" w:sz="6" w:space="0" w:color="auto"/>
              <w:left w:val="single" w:sz="6" w:space="0" w:color="auto"/>
              <w:bottom w:val="single" w:sz="6" w:space="0" w:color="auto"/>
              <w:right w:val="single" w:sz="6" w:space="0" w:color="auto"/>
            </w:tcBorders>
            <w:shd w:val="clear" w:color="auto" w:fill="FFFFFF"/>
          </w:tcPr>
          <w:p w14:paraId="628B0C89"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23,8</w:t>
            </w:r>
          </w:p>
        </w:tc>
        <w:tc>
          <w:tcPr>
            <w:tcW w:w="1710" w:type="dxa"/>
            <w:tcBorders>
              <w:top w:val="single" w:sz="6" w:space="0" w:color="auto"/>
              <w:left w:val="single" w:sz="6" w:space="0" w:color="auto"/>
              <w:bottom w:val="single" w:sz="6" w:space="0" w:color="auto"/>
              <w:right w:val="single" w:sz="6" w:space="0" w:color="auto"/>
            </w:tcBorders>
            <w:shd w:val="clear" w:color="auto" w:fill="FFFFFF"/>
          </w:tcPr>
          <w:p w14:paraId="0B6CE087"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6AEE5F13"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24,38</w:t>
            </w:r>
          </w:p>
        </w:tc>
      </w:tr>
      <w:tr w:rsidR="00643896" w:rsidRPr="00640820" w14:paraId="4B887CBD" w14:textId="77777777" w:rsidTr="000D3BCB">
        <w:trPr>
          <w:trHeight w:val="302"/>
        </w:trPr>
        <w:tc>
          <w:tcPr>
            <w:tcW w:w="1984" w:type="dxa"/>
            <w:tcBorders>
              <w:top w:val="single" w:sz="6" w:space="0" w:color="auto"/>
              <w:left w:val="single" w:sz="6" w:space="0" w:color="auto"/>
              <w:bottom w:val="single" w:sz="6" w:space="0" w:color="auto"/>
              <w:right w:val="single" w:sz="6" w:space="0" w:color="auto"/>
            </w:tcBorders>
            <w:shd w:val="clear" w:color="auto" w:fill="FFFFFF"/>
          </w:tcPr>
          <w:p w14:paraId="1BECCE37"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Высота, м</w:t>
            </w:r>
          </w:p>
        </w:tc>
        <w:tc>
          <w:tcPr>
            <w:tcW w:w="1714" w:type="dxa"/>
            <w:tcBorders>
              <w:top w:val="single" w:sz="6" w:space="0" w:color="auto"/>
              <w:left w:val="single" w:sz="6" w:space="0" w:color="auto"/>
              <w:bottom w:val="single" w:sz="6" w:space="0" w:color="auto"/>
              <w:right w:val="single" w:sz="6" w:space="0" w:color="auto"/>
            </w:tcBorders>
            <w:shd w:val="clear" w:color="auto" w:fill="FFFFFF"/>
          </w:tcPr>
          <w:p w14:paraId="66AFC8E1"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2,84</w:t>
            </w:r>
          </w:p>
        </w:tc>
        <w:tc>
          <w:tcPr>
            <w:tcW w:w="1710" w:type="dxa"/>
            <w:tcBorders>
              <w:top w:val="single" w:sz="6" w:space="0" w:color="auto"/>
              <w:left w:val="single" w:sz="6" w:space="0" w:color="auto"/>
              <w:bottom w:val="single" w:sz="6" w:space="0" w:color="auto"/>
              <w:right w:val="single" w:sz="6" w:space="0" w:color="auto"/>
            </w:tcBorders>
            <w:shd w:val="clear" w:color="auto" w:fill="FFFFFF"/>
          </w:tcPr>
          <w:p w14:paraId="00BA42B9"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3,55</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049E64AA" w14:textId="77777777" w:rsidR="00045010" w:rsidRPr="00640820" w:rsidRDefault="00045010" w:rsidP="00640820">
            <w:pPr>
              <w:spacing w:after="0" w:line="240" w:lineRule="auto"/>
              <w:jc w:val="both"/>
              <w:rPr>
                <w:rFonts w:ascii="Times New Roman" w:hAnsi="Times New Roman"/>
                <w:color w:val="000000" w:themeColor="text1"/>
                <w:sz w:val="16"/>
                <w:szCs w:val="16"/>
              </w:rPr>
            </w:pPr>
          </w:p>
        </w:tc>
      </w:tr>
      <w:tr w:rsidR="00643896" w:rsidRPr="00640820" w14:paraId="7682E9E8" w14:textId="77777777" w:rsidTr="000D3BCB">
        <w:trPr>
          <w:trHeight w:val="306"/>
        </w:trPr>
        <w:tc>
          <w:tcPr>
            <w:tcW w:w="1984" w:type="dxa"/>
            <w:tcBorders>
              <w:top w:val="single" w:sz="6" w:space="0" w:color="auto"/>
              <w:left w:val="single" w:sz="6" w:space="0" w:color="auto"/>
              <w:bottom w:val="single" w:sz="6" w:space="0" w:color="auto"/>
              <w:right w:val="single" w:sz="6" w:space="0" w:color="auto"/>
            </w:tcBorders>
            <w:shd w:val="clear" w:color="auto" w:fill="FFFFFF"/>
          </w:tcPr>
          <w:p w14:paraId="4E263FB9"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крыла, м2</w:t>
            </w:r>
          </w:p>
        </w:tc>
        <w:tc>
          <w:tcPr>
            <w:tcW w:w="1714" w:type="dxa"/>
            <w:tcBorders>
              <w:top w:val="single" w:sz="6" w:space="0" w:color="auto"/>
              <w:left w:val="single" w:sz="6" w:space="0" w:color="auto"/>
              <w:bottom w:val="single" w:sz="6" w:space="0" w:color="auto"/>
              <w:right w:val="single" w:sz="6" w:space="0" w:color="auto"/>
            </w:tcBorders>
            <w:shd w:val="clear" w:color="auto" w:fill="FFFFFF"/>
          </w:tcPr>
          <w:p w14:paraId="2C678DBA"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55,2</w:t>
            </w:r>
          </w:p>
        </w:tc>
        <w:tc>
          <w:tcPr>
            <w:tcW w:w="1710" w:type="dxa"/>
            <w:tcBorders>
              <w:top w:val="single" w:sz="6" w:space="0" w:color="auto"/>
              <w:left w:val="single" w:sz="6" w:space="0" w:color="auto"/>
              <w:bottom w:val="single" w:sz="6" w:space="0" w:color="auto"/>
              <w:right w:val="single" w:sz="6" w:space="0" w:color="auto"/>
            </w:tcBorders>
            <w:shd w:val="clear" w:color="auto" w:fill="FFFFFF"/>
          </w:tcPr>
          <w:p w14:paraId="1BB4D32B"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0315CDC0"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72,5</w:t>
            </w:r>
          </w:p>
        </w:tc>
      </w:tr>
      <w:tr w:rsidR="00643896" w:rsidRPr="00640820" w14:paraId="4870C50C" w14:textId="77777777" w:rsidTr="000D3BCB">
        <w:trPr>
          <w:trHeight w:val="889"/>
        </w:trPr>
        <w:tc>
          <w:tcPr>
            <w:tcW w:w="1984" w:type="dxa"/>
            <w:tcBorders>
              <w:top w:val="single" w:sz="6" w:space="0" w:color="auto"/>
              <w:left w:val="single" w:sz="6" w:space="0" w:color="auto"/>
              <w:bottom w:val="single" w:sz="6" w:space="0" w:color="auto"/>
              <w:right w:val="single" w:sz="6" w:space="0" w:color="auto"/>
            </w:tcBorders>
            <w:shd w:val="clear" w:color="auto" w:fill="FFFFFF"/>
          </w:tcPr>
          <w:p w14:paraId="17545B1A"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Вес, кг: пустого</w:t>
            </w:r>
          </w:p>
          <w:p w14:paraId="1A37BB8E"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взлётный норм, взлётный макс.</w:t>
            </w:r>
          </w:p>
        </w:tc>
        <w:tc>
          <w:tcPr>
            <w:tcW w:w="1714" w:type="dxa"/>
            <w:tcBorders>
              <w:top w:val="single" w:sz="6" w:space="0" w:color="auto"/>
              <w:left w:val="single" w:sz="6" w:space="0" w:color="auto"/>
              <w:bottom w:val="single" w:sz="6" w:space="0" w:color="auto"/>
              <w:right w:val="single" w:sz="6" w:space="0" w:color="auto"/>
            </w:tcBorders>
            <w:shd w:val="clear" w:color="auto" w:fill="FFFFFF"/>
          </w:tcPr>
          <w:p w14:paraId="6722F885"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2050 4200 4460</w:t>
            </w:r>
          </w:p>
        </w:tc>
        <w:tc>
          <w:tcPr>
            <w:tcW w:w="1710" w:type="dxa"/>
            <w:tcBorders>
              <w:top w:val="single" w:sz="6" w:space="0" w:color="auto"/>
              <w:left w:val="single" w:sz="6" w:space="0" w:color="auto"/>
              <w:bottom w:val="single" w:sz="6" w:space="0" w:color="auto"/>
              <w:right w:val="single" w:sz="6" w:space="0" w:color="auto"/>
            </w:tcBorders>
            <w:shd w:val="clear" w:color="auto" w:fill="FFFFFF"/>
          </w:tcPr>
          <w:p w14:paraId="43A50086"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2270 4770 4900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2C11F856"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2116 3780</w:t>
            </w:r>
          </w:p>
        </w:tc>
      </w:tr>
      <w:tr w:rsidR="00643896" w:rsidRPr="00640820" w14:paraId="6E16B777" w14:textId="77777777" w:rsidTr="000D3BCB">
        <w:trPr>
          <w:trHeight w:val="281"/>
        </w:trPr>
        <w:tc>
          <w:tcPr>
            <w:tcW w:w="1984" w:type="dxa"/>
            <w:tcBorders>
              <w:top w:val="single" w:sz="6" w:space="0" w:color="auto"/>
              <w:left w:val="single" w:sz="6" w:space="0" w:color="auto"/>
              <w:bottom w:val="single" w:sz="6" w:space="0" w:color="auto"/>
              <w:right w:val="single" w:sz="6" w:space="0" w:color="auto"/>
            </w:tcBorders>
            <w:shd w:val="clear" w:color="auto" w:fill="FFFFFF"/>
          </w:tcPr>
          <w:p w14:paraId="294433FA"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Нагрузка на крыло, кг/м2</w:t>
            </w:r>
          </w:p>
        </w:tc>
        <w:tc>
          <w:tcPr>
            <w:tcW w:w="1714" w:type="dxa"/>
            <w:tcBorders>
              <w:top w:val="single" w:sz="6" w:space="0" w:color="auto"/>
              <w:left w:val="single" w:sz="6" w:space="0" w:color="auto"/>
              <w:bottom w:val="single" w:sz="6" w:space="0" w:color="auto"/>
              <w:right w:val="single" w:sz="6" w:space="0" w:color="auto"/>
            </w:tcBorders>
            <w:shd w:val="clear" w:color="auto" w:fill="FFFFFF"/>
          </w:tcPr>
          <w:p w14:paraId="388AD6C3"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76,81</w:t>
            </w:r>
          </w:p>
        </w:tc>
        <w:tc>
          <w:tcPr>
            <w:tcW w:w="1710" w:type="dxa"/>
            <w:tcBorders>
              <w:top w:val="single" w:sz="6" w:space="0" w:color="auto"/>
              <w:left w:val="single" w:sz="6" w:space="0" w:color="auto"/>
              <w:bottom w:val="single" w:sz="6" w:space="0" w:color="auto"/>
              <w:right w:val="single" w:sz="6" w:space="0" w:color="auto"/>
            </w:tcBorders>
            <w:shd w:val="clear" w:color="auto" w:fill="FFFFFF"/>
          </w:tcPr>
          <w:p w14:paraId="415DC19E"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74,5</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44D9AEE1"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52,1</w:t>
            </w:r>
          </w:p>
        </w:tc>
      </w:tr>
      <w:tr w:rsidR="00643896" w:rsidRPr="00640820" w14:paraId="614BF261" w14:textId="77777777" w:rsidTr="000D3BCB">
        <w:trPr>
          <w:trHeight w:val="547"/>
        </w:trPr>
        <w:tc>
          <w:tcPr>
            <w:tcW w:w="1984" w:type="dxa"/>
            <w:tcBorders>
              <w:top w:val="single" w:sz="6" w:space="0" w:color="auto"/>
              <w:left w:val="single" w:sz="6" w:space="0" w:color="auto"/>
              <w:bottom w:val="single" w:sz="6" w:space="0" w:color="auto"/>
              <w:right w:val="single" w:sz="6" w:space="0" w:color="auto"/>
            </w:tcBorders>
            <w:shd w:val="clear" w:color="auto" w:fill="FFFFFF"/>
          </w:tcPr>
          <w:p w14:paraId="7889463D"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Вместимость, чел. (экипаж + десантники)</w:t>
            </w:r>
          </w:p>
        </w:tc>
        <w:tc>
          <w:tcPr>
            <w:tcW w:w="1714" w:type="dxa"/>
            <w:tcBorders>
              <w:top w:val="single" w:sz="6" w:space="0" w:color="auto"/>
              <w:left w:val="single" w:sz="6" w:space="0" w:color="auto"/>
              <w:bottom w:val="single" w:sz="6" w:space="0" w:color="auto"/>
              <w:right w:val="single" w:sz="6" w:space="0" w:color="auto"/>
            </w:tcBorders>
            <w:shd w:val="clear" w:color="auto" w:fill="FFFFFF"/>
          </w:tcPr>
          <w:p w14:paraId="455895A9"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2+18</w:t>
            </w:r>
          </w:p>
        </w:tc>
        <w:tc>
          <w:tcPr>
            <w:tcW w:w="1710" w:type="dxa"/>
            <w:tcBorders>
              <w:top w:val="single" w:sz="6" w:space="0" w:color="auto"/>
              <w:left w:val="single" w:sz="6" w:space="0" w:color="auto"/>
              <w:bottom w:val="single" w:sz="6" w:space="0" w:color="auto"/>
              <w:right w:val="single" w:sz="6" w:space="0" w:color="auto"/>
            </w:tcBorders>
            <w:shd w:val="clear" w:color="auto" w:fill="FFFFFF"/>
          </w:tcPr>
          <w:p w14:paraId="727245D7"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2+18</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24EE33F5"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2+15</w:t>
            </w:r>
          </w:p>
        </w:tc>
      </w:tr>
      <w:tr w:rsidR="00643896" w:rsidRPr="00640820" w14:paraId="2FAE103A" w14:textId="77777777" w:rsidTr="000D3BCB">
        <w:trPr>
          <w:trHeight w:val="1253"/>
        </w:trPr>
        <w:tc>
          <w:tcPr>
            <w:tcW w:w="1984" w:type="dxa"/>
            <w:tcBorders>
              <w:top w:val="single" w:sz="6" w:space="0" w:color="auto"/>
              <w:left w:val="single" w:sz="6" w:space="0" w:color="auto"/>
              <w:bottom w:val="single" w:sz="6" w:space="0" w:color="auto"/>
              <w:right w:val="single" w:sz="6" w:space="0" w:color="auto"/>
            </w:tcBorders>
            <w:shd w:val="clear" w:color="auto" w:fill="FFFFFF"/>
          </w:tcPr>
          <w:p w14:paraId="399E4BCE"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Скорость, км/ч: макс.</w:t>
            </w:r>
          </w:p>
          <w:p w14:paraId="08CEEC24"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буксировки</w:t>
            </w:r>
          </w:p>
          <w:p w14:paraId="0545CD71"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взлётная</w:t>
            </w:r>
          </w:p>
          <w:p w14:paraId="61E7098B"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посадочная</w:t>
            </w:r>
          </w:p>
        </w:tc>
        <w:tc>
          <w:tcPr>
            <w:tcW w:w="1714" w:type="dxa"/>
            <w:tcBorders>
              <w:top w:val="single" w:sz="6" w:space="0" w:color="auto"/>
              <w:left w:val="single" w:sz="6" w:space="0" w:color="auto"/>
              <w:bottom w:val="single" w:sz="6" w:space="0" w:color="auto"/>
              <w:right w:val="single" w:sz="6" w:space="0" w:color="auto"/>
            </w:tcBorders>
            <w:shd w:val="clear" w:color="auto" w:fill="FFFFFF"/>
          </w:tcPr>
          <w:p w14:paraId="7765FAC0"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240 105-115 100-105</w:t>
            </w:r>
          </w:p>
        </w:tc>
        <w:tc>
          <w:tcPr>
            <w:tcW w:w="1710" w:type="dxa"/>
            <w:tcBorders>
              <w:top w:val="single" w:sz="6" w:space="0" w:color="auto"/>
              <w:left w:val="single" w:sz="6" w:space="0" w:color="auto"/>
              <w:bottom w:val="single" w:sz="6" w:space="0" w:color="auto"/>
              <w:right w:val="single" w:sz="6" w:space="0" w:color="auto"/>
            </w:tcBorders>
            <w:shd w:val="clear" w:color="auto" w:fill="FFFFFF"/>
          </w:tcPr>
          <w:p w14:paraId="1E518F1D"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330 270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9EC0CA6"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256</w:t>
            </w:r>
          </w:p>
        </w:tc>
      </w:tr>
    </w:tbl>
    <w:p w14:paraId="43B14555"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(12266).</w:t>
      </w:r>
    </w:p>
    <w:p w14:paraId="02BD9391" w14:textId="77777777" w:rsidR="00045010" w:rsidRPr="00640820" w:rsidRDefault="00045010" w:rsidP="00640820">
      <w:pPr>
        <w:spacing w:after="0" w:line="240" w:lineRule="auto"/>
        <w:jc w:val="both"/>
        <w:rPr>
          <w:rFonts w:ascii="Times New Roman" w:hAnsi="Times New Roman"/>
          <w:color w:val="000000" w:themeColor="text1"/>
          <w:sz w:val="16"/>
          <w:szCs w:val="16"/>
        </w:rPr>
      </w:pPr>
    </w:p>
    <w:p w14:paraId="3DD2D24E"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первые серийные экземпляры пданера А-7 пе</w:t>
      </w:r>
      <w:r w:rsidRPr="00640820">
        <w:rPr>
          <w:rFonts w:ascii="Times New Roman" w:hAnsi="Times New Roman"/>
          <w:color w:val="000000" w:themeColor="text1"/>
          <w:sz w:val="16"/>
          <w:szCs w:val="16"/>
        </w:rPr>
        <w:softHyphen/>
        <w:t>редали на испытания в Лётно-испы тательный отряд Воздушно-десант- ных войск, размещавшийся тогда в Са</w:t>
      </w:r>
      <w:r w:rsidRPr="00640820">
        <w:rPr>
          <w:rFonts w:ascii="Times New Roman" w:hAnsi="Times New Roman"/>
          <w:color w:val="000000" w:themeColor="text1"/>
          <w:sz w:val="16"/>
          <w:szCs w:val="16"/>
        </w:rPr>
        <w:softHyphen/>
        <w:t>ратове. Опробование А-7 проходило без существенных сбоев. Стартовал он на лыжах, установленных вместо колёс. Практически сразу оригиналь</w:t>
      </w:r>
      <w:r w:rsidRPr="00640820">
        <w:rPr>
          <w:rFonts w:ascii="Times New Roman" w:hAnsi="Times New Roman"/>
          <w:color w:val="000000" w:themeColor="text1"/>
          <w:sz w:val="16"/>
          <w:szCs w:val="16"/>
        </w:rPr>
        <w:softHyphen/>
        <w:t>ный буксирный замок был заменён на унифицированный конструкции А.О. Добахова, оказавшийся более надёжным. А-7 испытывался на бук</w:t>
      </w:r>
      <w:r w:rsidRPr="00640820">
        <w:rPr>
          <w:rFonts w:ascii="Times New Roman" w:hAnsi="Times New Roman"/>
          <w:color w:val="000000" w:themeColor="text1"/>
          <w:sz w:val="16"/>
          <w:szCs w:val="16"/>
        </w:rPr>
        <w:softHyphen/>
        <w:t>сире и в свободном полёте. Его могли тянуть самолёты Р-5, Р-6, СБ, ДБ-ЗФ (Ил-4), ПС-84 (Ли-2) и ТБ-3. Двухмотор</w:t>
      </w:r>
      <w:r w:rsidRPr="00640820">
        <w:rPr>
          <w:rFonts w:ascii="Times New Roman" w:hAnsi="Times New Roman"/>
          <w:color w:val="000000" w:themeColor="text1"/>
          <w:sz w:val="16"/>
          <w:szCs w:val="16"/>
        </w:rPr>
        <w:softHyphen/>
        <w:t>ный Ил-4 мог буксировать два планёра, четырехмоторный ТБ-3 - три. В ходе испытаний проверяли лётные данные А-7, его управляемость на разных ре</w:t>
      </w:r>
      <w:r w:rsidRPr="00640820">
        <w:rPr>
          <w:rFonts w:ascii="Times New Roman" w:hAnsi="Times New Roman"/>
          <w:color w:val="000000" w:themeColor="text1"/>
          <w:sz w:val="16"/>
          <w:szCs w:val="16"/>
        </w:rPr>
        <w:softHyphen/>
        <w:t>жимах, поведение в вихревом потоке от винтов буксировщика.</w:t>
      </w:r>
    </w:p>
    <w:p w14:paraId="5BDACFC1"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Увеличение веса привело к тому, что по сравнению с РФ-8 и скорость отры</w:t>
      </w:r>
      <w:r w:rsidRPr="00640820">
        <w:rPr>
          <w:rFonts w:ascii="Times New Roman" w:hAnsi="Times New Roman"/>
          <w:color w:val="000000" w:themeColor="text1"/>
          <w:sz w:val="16"/>
          <w:szCs w:val="16"/>
        </w:rPr>
        <w:softHyphen/>
        <w:t>ва, и посадочная скорость возросли, пробег на посадке остался примерно тем же. Планёр А-7 заслужил высокую оценку испытателей.</w:t>
      </w:r>
    </w:p>
    <w:p w14:paraId="746112A6"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 когда серийные аппараты пос</w:t>
      </w:r>
      <w:r w:rsidRPr="00640820">
        <w:rPr>
          <w:rFonts w:ascii="Times New Roman" w:hAnsi="Times New Roman"/>
          <w:color w:val="000000" w:themeColor="text1"/>
          <w:sz w:val="16"/>
          <w:szCs w:val="16"/>
        </w:rPr>
        <w:softHyphen/>
        <w:t>тупили в строевые части, произошли подряд две аварии. В обоих случаях на посадке планёр неожиданно «кле</w:t>
      </w:r>
      <w:r w:rsidRPr="00640820">
        <w:rPr>
          <w:rFonts w:ascii="Times New Roman" w:hAnsi="Times New Roman"/>
          <w:color w:val="000000" w:themeColor="text1"/>
          <w:sz w:val="16"/>
          <w:szCs w:val="16"/>
        </w:rPr>
        <w:softHyphen/>
        <w:t>вал» в сторону, касался крылом земли и разрушался. Пилоты остались живы. Известному планеристу С.Н. Анохину предложили провести специальные ис</w:t>
      </w:r>
      <w:r w:rsidRPr="00640820">
        <w:rPr>
          <w:rFonts w:ascii="Times New Roman" w:hAnsi="Times New Roman"/>
          <w:color w:val="000000" w:themeColor="text1"/>
          <w:sz w:val="16"/>
          <w:szCs w:val="16"/>
        </w:rPr>
        <w:softHyphen/>
        <w:t>пытания А-7 на малых скоростях. Он разными способами «загонял» планёр в штопор. Действительно, А-7 оказал</w:t>
      </w:r>
      <w:r w:rsidRPr="00640820">
        <w:rPr>
          <w:rFonts w:ascii="Times New Roman" w:hAnsi="Times New Roman"/>
          <w:color w:val="000000" w:themeColor="text1"/>
          <w:sz w:val="16"/>
          <w:szCs w:val="16"/>
        </w:rPr>
        <w:softHyphen/>
        <w:t>ся склонен к сваливанию на крыло на малых скоростях. На этих режимах он требовал от пилота повышенного внимания. С результатами испытаний ознакомился Антонов, специально прибывший в Саратов. Это привело к тому, что на последующих сериях А-7 сначала доработали хвостовое опере</w:t>
      </w:r>
      <w:r w:rsidRPr="00640820">
        <w:rPr>
          <w:rFonts w:ascii="Times New Roman" w:hAnsi="Times New Roman"/>
          <w:color w:val="000000" w:themeColor="text1"/>
          <w:sz w:val="16"/>
          <w:szCs w:val="16"/>
        </w:rPr>
        <w:softHyphen/>
        <w:t>ние, а позже ввели интерцепторы на передней кромке крыла.</w:t>
      </w:r>
    </w:p>
    <w:p w14:paraId="4B156DF4"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Планёр А-7 предназначался для пе</w:t>
      </w:r>
      <w:r w:rsidRPr="00640820">
        <w:rPr>
          <w:rFonts w:ascii="Times New Roman" w:hAnsi="Times New Roman"/>
          <w:color w:val="000000" w:themeColor="text1"/>
          <w:sz w:val="16"/>
          <w:szCs w:val="16"/>
        </w:rPr>
        <w:softHyphen/>
        <w:t>ревозки пилота и шести десантников с полным снаряжением или 700 кг гру</w:t>
      </w:r>
      <w:r w:rsidRPr="00640820">
        <w:rPr>
          <w:rFonts w:ascii="Times New Roman" w:hAnsi="Times New Roman"/>
          <w:color w:val="000000" w:themeColor="text1"/>
          <w:sz w:val="16"/>
          <w:szCs w:val="16"/>
        </w:rPr>
        <w:softHyphen/>
        <w:t>за (в перегруз - до 1000 кг). Это был свободнонесущий моноплан с верхним расположением крыла и классическим хвостовым оперением. Конструкция его - деревянная, максимально упро</w:t>
      </w:r>
      <w:r w:rsidRPr="00640820">
        <w:rPr>
          <w:rFonts w:ascii="Times New Roman" w:hAnsi="Times New Roman"/>
          <w:color w:val="000000" w:themeColor="text1"/>
          <w:sz w:val="16"/>
          <w:szCs w:val="16"/>
        </w:rPr>
        <w:softHyphen/>
        <w:t>щённая, рассчитанная на применение неквалифицированного труда. Металл присутствовал только в высоконагру- женных частях, в деталях шасси и в крепеже. Использовались также плек</w:t>
      </w:r>
      <w:r w:rsidRPr="00640820">
        <w:rPr>
          <w:rFonts w:ascii="Times New Roman" w:hAnsi="Times New Roman"/>
          <w:color w:val="000000" w:themeColor="text1"/>
          <w:sz w:val="16"/>
          <w:szCs w:val="16"/>
        </w:rPr>
        <w:softHyphen/>
        <w:t>сиглас и полотно.</w:t>
      </w:r>
    </w:p>
    <w:p w14:paraId="10280907"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Фюзеляж имел коробчатое сечение, со скруглёнными углами и килеватос- тью внизу. В вершине килеватости ус</w:t>
      </w:r>
      <w:r w:rsidRPr="00640820">
        <w:rPr>
          <w:rFonts w:ascii="Times New Roman" w:hAnsi="Times New Roman"/>
          <w:color w:val="000000" w:themeColor="text1"/>
          <w:sz w:val="16"/>
          <w:szCs w:val="16"/>
        </w:rPr>
        <w:softHyphen/>
        <w:t>танавливалась мощная деревянная посадочная лыжа без амортизации. Эта лыжа была главным силовым эле</w:t>
      </w:r>
      <w:r w:rsidRPr="00640820">
        <w:rPr>
          <w:rFonts w:ascii="Times New Roman" w:hAnsi="Times New Roman"/>
          <w:color w:val="000000" w:themeColor="text1"/>
          <w:sz w:val="16"/>
          <w:szCs w:val="16"/>
        </w:rPr>
        <w:softHyphen/>
        <w:t>ментом конструкции фюзеляжа - к ней крепились шпангоуты и грузовой пол ка</w:t>
      </w:r>
      <w:r w:rsidRPr="00640820">
        <w:rPr>
          <w:rFonts w:ascii="Times New Roman" w:hAnsi="Times New Roman"/>
          <w:color w:val="000000" w:themeColor="text1"/>
          <w:sz w:val="16"/>
          <w:szCs w:val="16"/>
        </w:rPr>
        <w:softHyphen/>
        <w:t>бины. Набор состоял из шпангоутов, вы</w:t>
      </w:r>
      <w:r w:rsidRPr="00640820">
        <w:rPr>
          <w:rFonts w:ascii="Times New Roman" w:hAnsi="Times New Roman"/>
          <w:color w:val="000000" w:themeColor="text1"/>
          <w:sz w:val="16"/>
          <w:szCs w:val="16"/>
        </w:rPr>
        <w:softHyphen/>
        <w:t>полненных из реек и фанеры, продоль</w:t>
      </w:r>
      <w:r w:rsidRPr="00640820">
        <w:rPr>
          <w:rFonts w:ascii="Times New Roman" w:hAnsi="Times New Roman"/>
          <w:color w:val="000000" w:themeColor="text1"/>
          <w:sz w:val="16"/>
          <w:szCs w:val="16"/>
        </w:rPr>
        <w:softHyphen/>
        <w:t>ных деревянных стрингеров и фанер</w:t>
      </w:r>
      <w:r w:rsidRPr="00640820">
        <w:rPr>
          <w:rFonts w:ascii="Times New Roman" w:hAnsi="Times New Roman"/>
          <w:color w:val="000000" w:themeColor="text1"/>
          <w:sz w:val="16"/>
          <w:szCs w:val="16"/>
        </w:rPr>
        <w:softHyphen/>
        <w:t>ной обшивки. Толщина обшивки умень</w:t>
      </w:r>
      <w:r w:rsidRPr="00640820">
        <w:rPr>
          <w:rFonts w:ascii="Times New Roman" w:hAnsi="Times New Roman"/>
          <w:color w:val="000000" w:themeColor="text1"/>
          <w:sz w:val="16"/>
          <w:szCs w:val="16"/>
        </w:rPr>
        <w:softHyphen/>
        <w:t>шалась по направлению к хвосту.</w:t>
      </w:r>
    </w:p>
    <w:p w14:paraId="6AEF0DC8"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Между шпангоутами № 1 и № 5 рас</w:t>
      </w:r>
      <w:r w:rsidRPr="00640820">
        <w:rPr>
          <w:rFonts w:ascii="Times New Roman" w:hAnsi="Times New Roman"/>
          <w:color w:val="000000" w:themeColor="text1"/>
          <w:sz w:val="16"/>
          <w:szCs w:val="16"/>
        </w:rPr>
        <w:softHyphen/>
        <w:t>полагалась пилотская кабина. Кресло пилота делалось из фанеры. На при</w:t>
      </w:r>
      <w:r w:rsidRPr="00640820">
        <w:rPr>
          <w:rFonts w:ascii="Times New Roman" w:hAnsi="Times New Roman"/>
          <w:color w:val="000000" w:themeColor="text1"/>
          <w:sz w:val="16"/>
          <w:szCs w:val="16"/>
        </w:rPr>
        <w:softHyphen/>
        <w:t>борной доске присутствовал минимум приборов: указатели скорости и пово</w:t>
      </w:r>
      <w:r w:rsidRPr="00640820">
        <w:rPr>
          <w:rFonts w:ascii="Times New Roman" w:hAnsi="Times New Roman"/>
          <w:color w:val="000000" w:themeColor="text1"/>
          <w:sz w:val="16"/>
          <w:szCs w:val="16"/>
        </w:rPr>
        <w:softHyphen/>
        <w:t>рота, двухстрелочный высотомер, часы и магнитный компас КИ-10. Органы уп</w:t>
      </w:r>
      <w:r w:rsidRPr="00640820">
        <w:rPr>
          <w:rFonts w:ascii="Times New Roman" w:hAnsi="Times New Roman"/>
          <w:color w:val="000000" w:themeColor="text1"/>
          <w:sz w:val="16"/>
          <w:szCs w:val="16"/>
        </w:rPr>
        <w:softHyphen/>
        <w:t>равления были классическими - ручка и педали. На левом борту кабины, на щитке, устанавливались штурвальчик управления триммером руля высоты и штурвал тросовой лебёдки управления посадочными щитками. Рычаг раскры</w:t>
      </w:r>
      <w:r w:rsidRPr="00640820">
        <w:rPr>
          <w:rFonts w:ascii="Times New Roman" w:hAnsi="Times New Roman"/>
          <w:color w:val="000000" w:themeColor="text1"/>
          <w:sz w:val="16"/>
          <w:szCs w:val="16"/>
        </w:rPr>
        <w:softHyphen/>
        <w:t>тия буксировочного замка находился под приборной доской. Над кабиной, на мачте высотой 750 мм крепилась трубка ПВД, а на правом борту-трубка Вентури для привода указателя пово</w:t>
      </w:r>
      <w:r w:rsidRPr="00640820">
        <w:rPr>
          <w:rFonts w:ascii="Times New Roman" w:hAnsi="Times New Roman"/>
          <w:color w:val="000000" w:themeColor="text1"/>
          <w:sz w:val="16"/>
          <w:szCs w:val="16"/>
        </w:rPr>
        <w:softHyphen/>
        <w:t>рота. На некоторых планёрах трубка ПВД монтировалась на правом крыле. На правом борту крепился сигнальный пистолет с комплектом цветных ракет - с его помощью подавались сигналы по</w:t>
      </w:r>
      <w:r w:rsidRPr="00640820">
        <w:rPr>
          <w:rFonts w:ascii="Times New Roman" w:hAnsi="Times New Roman"/>
          <w:color w:val="000000" w:themeColor="text1"/>
          <w:sz w:val="16"/>
          <w:szCs w:val="16"/>
        </w:rPr>
        <w:softHyphen/>
        <w:t>садочной команде на земле.</w:t>
      </w:r>
    </w:p>
    <w:p w14:paraId="6FF0B35B"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Грузовая кабина располагалась меж</w:t>
      </w:r>
      <w:r w:rsidRPr="00640820">
        <w:rPr>
          <w:rFonts w:ascii="Times New Roman" w:hAnsi="Times New Roman"/>
          <w:color w:val="000000" w:themeColor="text1"/>
          <w:sz w:val="16"/>
          <w:szCs w:val="16"/>
        </w:rPr>
        <w:softHyphen/>
        <w:t>ду шпангоутами № 5 и № 15. Она имела деревянный пол, разорванный в районе шасси. Откидные скамейки для шести десантников размещались в шахмат</w:t>
      </w:r>
      <w:r w:rsidRPr="00640820">
        <w:rPr>
          <w:rFonts w:ascii="Times New Roman" w:hAnsi="Times New Roman"/>
          <w:color w:val="000000" w:themeColor="text1"/>
          <w:sz w:val="16"/>
          <w:szCs w:val="16"/>
        </w:rPr>
        <w:softHyphen/>
        <w:t>ном порядке - четыре по бортам и две в центре, по обеим сторонам от ходового винта шасси, делившего кабину на две части, что оказалось крайне неудобно. Поэтому для загрузки в переднюю часть</w:t>
      </w:r>
    </w:p>
    <w:p w14:paraId="001D9416"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кабины сделали дверь в левом борту, а для загрузки в хвостовую часть - в правом. Внутри было очень тесно, ска</w:t>
      </w:r>
      <w:r w:rsidRPr="00640820">
        <w:rPr>
          <w:rFonts w:ascii="Times New Roman" w:hAnsi="Times New Roman"/>
          <w:color w:val="000000" w:themeColor="text1"/>
          <w:sz w:val="16"/>
          <w:szCs w:val="16"/>
        </w:rPr>
        <w:softHyphen/>
        <w:t>мейки перекрывали проёмы дверей. Поэтому их выполнили откидными, и только откинув (или сняв) их, можно было открыть (или снять) двери. По</w:t>
      </w:r>
      <w:r w:rsidRPr="00640820">
        <w:rPr>
          <w:rFonts w:ascii="Times New Roman" w:hAnsi="Times New Roman"/>
          <w:color w:val="000000" w:themeColor="text1"/>
          <w:sz w:val="16"/>
          <w:szCs w:val="16"/>
        </w:rPr>
        <w:softHyphen/>
        <w:t>чему такое конструкторское решение пропустили военные-непонятно; ведь в случае жёсткой посадки фюзеляж мог деформироваться, сиденья могло за</w:t>
      </w:r>
      <w:r w:rsidRPr="00640820">
        <w:rPr>
          <w:rFonts w:ascii="Times New Roman" w:hAnsi="Times New Roman"/>
          <w:color w:val="000000" w:themeColor="text1"/>
          <w:sz w:val="16"/>
          <w:szCs w:val="16"/>
        </w:rPr>
        <w:softHyphen/>
        <w:t>клинить, и тогда открыть двери и поки</w:t>
      </w:r>
      <w:r w:rsidRPr="00640820">
        <w:rPr>
          <w:rFonts w:ascii="Times New Roman" w:hAnsi="Times New Roman"/>
          <w:color w:val="000000" w:themeColor="text1"/>
          <w:sz w:val="16"/>
          <w:szCs w:val="16"/>
        </w:rPr>
        <w:softHyphen/>
        <w:t>нуть планёр становилось невозможно. Аварийные люки отсутствовали. Пол грузовой кабины имел прогиб в сере</w:t>
      </w:r>
      <w:r w:rsidRPr="00640820">
        <w:rPr>
          <w:rFonts w:ascii="Times New Roman" w:hAnsi="Times New Roman"/>
          <w:color w:val="000000" w:themeColor="text1"/>
          <w:sz w:val="16"/>
          <w:szCs w:val="16"/>
        </w:rPr>
        <w:softHyphen/>
        <w:t>дине, что также создавало неудобства при работе с грузом. И, наконец, нишу для уборки основного колеса невоз</w:t>
      </w:r>
      <w:r w:rsidRPr="00640820">
        <w:rPr>
          <w:rFonts w:ascii="Times New Roman" w:hAnsi="Times New Roman"/>
          <w:color w:val="000000" w:themeColor="text1"/>
          <w:sz w:val="16"/>
          <w:szCs w:val="16"/>
        </w:rPr>
        <w:softHyphen/>
        <w:t>можно было изолировать от грузовой кабины, ведь туда заходили ходовой винт и подкосы шасси. В результате в течение всего полёта внутри фюзеляжа гуляли сильные сквозняки. Представь</w:t>
      </w:r>
      <w:r w:rsidRPr="00640820">
        <w:rPr>
          <w:rFonts w:ascii="Times New Roman" w:hAnsi="Times New Roman"/>
          <w:color w:val="000000" w:themeColor="text1"/>
          <w:sz w:val="16"/>
          <w:szCs w:val="16"/>
        </w:rPr>
        <w:softHyphen/>
        <w:t>те, каково приходилось людям зимой! Естественное освещение кабины обес</w:t>
      </w:r>
      <w:r w:rsidRPr="00640820">
        <w:rPr>
          <w:rFonts w:ascii="Times New Roman" w:hAnsi="Times New Roman"/>
          <w:color w:val="000000" w:themeColor="text1"/>
          <w:sz w:val="16"/>
          <w:szCs w:val="16"/>
        </w:rPr>
        <w:softHyphen/>
        <w:t>печивали иллюминаторы. На некоторых планёрах их сделали открывающимися, чтобы десантники могли вести огонь в воздухе из личного оружия. Для этой же цели служили два иллюминатора в полу.</w:t>
      </w:r>
    </w:p>
    <w:p w14:paraId="09C6C45F"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Планёр имел посадочную лыжу, колёсное шасси и хвостовой костыль. Шасси ферменного типа могло уби</w:t>
      </w:r>
      <w:r w:rsidRPr="00640820">
        <w:rPr>
          <w:rFonts w:ascii="Times New Roman" w:hAnsi="Times New Roman"/>
          <w:color w:val="000000" w:themeColor="text1"/>
          <w:sz w:val="16"/>
          <w:szCs w:val="16"/>
        </w:rPr>
        <w:softHyphen/>
        <w:t>раться в полёте. Каждая стойка несла колесо размером 400x150 мм, которое крепилось на треугольную траверсу. Последняя могла поворачиваться на шарнирах, закреплённых на борту фюзеляжа. Ось колеса переходила в шток, проходящий через амортизатор с резиновыми пластинами для поглоще</w:t>
      </w:r>
      <w:r w:rsidRPr="00640820">
        <w:rPr>
          <w:rFonts w:ascii="Times New Roman" w:hAnsi="Times New Roman"/>
          <w:color w:val="000000" w:themeColor="text1"/>
          <w:sz w:val="16"/>
          <w:szCs w:val="16"/>
        </w:rPr>
        <w:softHyphen/>
        <w:t>ния ударов. Амортизатор неподвижно фиксировался на траверсе. В месте пе</w:t>
      </w:r>
      <w:r w:rsidRPr="00640820">
        <w:rPr>
          <w:rFonts w:ascii="Times New Roman" w:hAnsi="Times New Roman"/>
          <w:color w:val="000000" w:themeColor="text1"/>
          <w:sz w:val="16"/>
          <w:szCs w:val="16"/>
        </w:rPr>
        <w:softHyphen/>
        <w:t>ресечения оси и штока имелся шарнир, к которому присоединялся подкос. Два подкоса (от обеих стоек), сходились в плоскости симметрии планёра и крепи</w:t>
      </w:r>
      <w:r w:rsidRPr="00640820">
        <w:rPr>
          <w:rFonts w:ascii="Times New Roman" w:hAnsi="Times New Roman"/>
          <w:color w:val="000000" w:themeColor="text1"/>
          <w:sz w:val="16"/>
          <w:szCs w:val="16"/>
        </w:rPr>
        <w:softHyphen/>
        <w:t>лись с помощью шарниров на ходовой гайке. Ходовой винт был установлен вертикально в грузовой кабине, от пола до потолка. Кто-либо из десантников, вращая маховик, приводил во враще</w:t>
      </w:r>
      <w:r w:rsidRPr="00640820">
        <w:rPr>
          <w:rFonts w:ascii="Times New Roman" w:hAnsi="Times New Roman"/>
          <w:color w:val="000000" w:themeColor="text1"/>
          <w:sz w:val="16"/>
          <w:szCs w:val="16"/>
        </w:rPr>
        <w:softHyphen/>
        <w:t>ние ходовой винт, в результате чего гай</w:t>
      </w:r>
      <w:r w:rsidRPr="00640820">
        <w:rPr>
          <w:rFonts w:ascii="Times New Roman" w:hAnsi="Times New Roman"/>
          <w:color w:val="000000" w:themeColor="text1"/>
          <w:sz w:val="16"/>
          <w:szCs w:val="16"/>
        </w:rPr>
        <w:softHyphen/>
        <w:t>ка приходила в движение. При ходе вверх осуществлялась уборка шасси, вниз - выпуск. Колёса убирались в ни</w:t>
      </w:r>
      <w:r w:rsidRPr="00640820">
        <w:rPr>
          <w:rFonts w:ascii="Times New Roman" w:hAnsi="Times New Roman"/>
          <w:color w:val="000000" w:themeColor="text1"/>
          <w:sz w:val="16"/>
          <w:szCs w:val="16"/>
        </w:rPr>
        <w:softHyphen/>
        <w:t>ши, оборудованные под полом кабины.</w:t>
      </w:r>
    </w:p>
    <w:p w14:paraId="296822B8"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этом пришлось сделать вырезы в обшивке (в нижней части фюзеляжа) и в полу, что ослабило конструкцию. Конечно, уборка шасси уменьшала со</w:t>
      </w:r>
      <w:r w:rsidRPr="00640820">
        <w:rPr>
          <w:rFonts w:ascii="Times New Roman" w:hAnsi="Times New Roman"/>
          <w:color w:val="000000" w:themeColor="text1"/>
          <w:sz w:val="16"/>
          <w:szCs w:val="16"/>
        </w:rPr>
        <w:softHyphen/>
        <w:t>противление и позволяла экономить бензин на буксировщике, но чего боль</w:t>
      </w:r>
      <w:r w:rsidRPr="00640820">
        <w:rPr>
          <w:rFonts w:ascii="Times New Roman" w:hAnsi="Times New Roman"/>
          <w:color w:val="000000" w:themeColor="text1"/>
          <w:sz w:val="16"/>
          <w:szCs w:val="16"/>
        </w:rPr>
        <w:softHyphen/>
        <w:t>ше в этом конструкторском решении - плюсов или минусов, сказать трудно. В хвостовой части фюзеляжа устанав</w:t>
      </w:r>
      <w:r w:rsidRPr="00640820">
        <w:rPr>
          <w:rFonts w:ascii="Times New Roman" w:hAnsi="Times New Roman"/>
          <w:color w:val="000000" w:themeColor="text1"/>
          <w:sz w:val="16"/>
          <w:szCs w:val="16"/>
        </w:rPr>
        <w:softHyphen/>
        <w:t>ливался костыль с рессорной аморти</w:t>
      </w:r>
      <w:r w:rsidRPr="00640820">
        <w:rPr>
          <w:rFonts w:ascii="Times New Roman" w:hAnsi="Times New Roman"/>
          <w:color w:val="000000" w:themeColor="text1"/>
          <w:sz w:val="16"/>
          <w:szCs w:val="16"/>
        </w:rPr>
        <w:softHyphen/>
        <w:t>зацией, закрытый довольно крупным обтекателем.</w:t>
      </w:r>
    </w:p>
    <w:p w14:paraId="1B08A329"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Крыло большого удлинения имело профиль Р-Ш с относительной толщи</w:t>
      </w:r>
      <w:r w:rsidRPr="00640820">
        <w:rPr>
          <w:rFonts w:ascii="Times New Roman" w:hAnsi="Times New Roman"/>
          <w:color w:val="000000" w:themeColor="text1"/>
          <w:sz w:val="16"/>
          <w:szCs w:val="16"/>
        </w:rPr>
        <w:softHyphen/>
        <w:t>ной 18%. Угол установки крыла - +20, угол поперечного V отъёмных частей - +30. Крыло состояло из небольшого центроплана прямоугольной формы и двух трапециевидных отъёмных частей с эллиптическими законцовками. Цент</w:t>
      </w:r>
      <w:r w:rsidRPr="00640820">
        <w:rPr>
          <w:rFonts w:ascii="Times New Roman" w:hAnsi="Times New Roman"/>
          <w:color w:val="000000" w:themeColor="text1"/>
          <w:sz w:val="16"/>
          <w:szCs w:val="16"/>
        </w:rPr>
        <w:softHyphen/>
        <w:t>роплан полностью зашивался фане</w:t>
      </w:r>
      <w:r w:rsidRPr="00640820">
        <w:rPr>
          <w:rFonts w:ascii="Times New Roman" w:hAnsi="Times New Roman"/>
          <w:color w:val="000000" w:themeColor="text1"/>
          <w:sz w:val="16"/>
          <w:szCs w:val="16"/>
        </w:rPr>
        <w:softHyphen/>
        <w:t>рой. На передней кромке слева монти</w:t>
      </w:r>
      <w:r w:rsidRPr="00640820">
        <w:rPr>
          <w:rFonts w:ascii="Times New Roman" w:hAnsi="Times New Roman"/>
          <w:color w:val="000000" w:themeColor="text1"/>
          <w:sz w:val="16"/>
          <w:szCs w:val="16"/>
        </w:rPr>
        <w:softHyphen/>
        <w:t>ровалась посадочная фара. Отъёмные части крыла зашивались фанерой от передней кромки до первого лонжеро</w:t>
      </w:r>
      <w:r w:rsidRPr="00640820">
        <w:rPr>
          <w:rFonts w:ascii="Times New Roman" w:hAnsi="Times New Roman"/>
          <w:color w:val="000000" w:themeColor="text1"/>
          <w:sz w:val="16"/>
          <w:szCs w:val="16"/>
        </w:rPr>
        <w:softHyphen/>
        <w:t>на, далее шла полотняная обтяжка.</w:t>
      </w:r>
    </w:p>
    <w:p w14:paraId="35681A93"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задней кромке крыла крепились посадочные щитки и элероны. Щитки имели жёсткую обшивку из фанеры, а элероны - фанерную обшивку в перед</w:t>
      </w:r>
      <w:r w:rsidRPr="00640820">
        <w:rPr>
          <w:rFonts w:ascii="Times New Roman" w:hAnsi="Times New Roman"/>
          <w:color w:val="000000" w:themeColor="text1"/>
          <w:sz w:val="16"/>
          <w:szCs w:val="16"/>
        </w:rPr>
        <w:softHyphen/>
        <w:t>ней части (до лонжерона), а далее - полотно. Элероны типа Фрайз имели весовую и аэродинамическую компен</w:t>
      </w:r>
      <w:r w:rsidRPr="00640820">
        <w:rPr>
          <w:rFonts w:ascii="Times New Roman" w:hAnsi="Times New Roman"/>
          <w:color w:val="000000" w:themeColor="text1"/>
          <w:sz w:val="16"/>
          <w:szCs w:val="16"/>
        </w:rPr>
        <w:softHyphen/>
        <w:t>сацию. Каждый элерон был разделён на две секции. Интересно, что относи</w:t>
      </w:r>
      <w:r w:rsidRPr="00640820">
        <w:rPr>
          <w:rFonts w:ascii="Times New Roman" w:hAnsi="Times New Roman"/>
          <w:color w:val="000000" w:themeColor="text1"/>
          <w:sz w:val="16"/>
          <w:szCs w:val="16"/>
        </w:rPr>
        <w:softHyphen/>
        <w:t>тельная часть хорды, занимаемая эле</w:t>
      </w:r>
      <w:r w:rsidRPr="00640820">
        <w:rPr>
          <w:rFonts w:ascii="Times New Roman" w:hAnsi="Times New Roman"/>
          <w:color w:val="000000" w:themeColor="text1"/>
          <w:sz w:val="16"/>
          <w:szCs w:val="16"/>
        </w:rPr>
        <w:softHyphen/>
        <w:t>роном, заметно возрастала в направ</w:t>
      </w:r>
      <w:r w:rsidRPr="00640820">
        <w:rPr>
          <w:rFonts w:ascii="Times New Roman" w:hAnsi="Times New Roman"/>
          <w:color w:val="000000" w:themeColor="text1"/>
          <w:sz w:val="16"/>
          <w:szCs w:val="16"/>
        </w:rPr>
        <w:softHyphen/>
        <w:t>лении от фюзеляжа к законцовке. Для чего так сделали, точно неизвестно, но можно предположить, что подобным об</w:t>
      </w:r>
      <w:r w:rsidRPr="00640820">
        <w:rPr>
          <w:rFonts w:ascii="Times New Roman" w:hAnsi="Times New Roman"/>
          <w:color w:val="000000" w:themeColor="text1"/>
          <w:sz w:val="16"/>
          <w:szCs w:val="16"/>
        </w:rPr>
        <w:softHyphen/>
        <w:t>разом боролись с реверсом элеронов на узком и длинном крыле. На правом элероне был установлен триммер.</w:t>
      </w:r>
    </w:p>
    <w:p w14:paraId="75D03DD9"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Хвостовое оперение планёра - клас</w:t>
      </w:r>
      <w:r w:rsidRPr="00640820">
        <w:rPr>
          <w:rFonts w:ascii="Times New Roman" w:hAnsi="Times New Roman"/>
          <w:color w:val="000000" w:themeColor="text1"/>
          <w:sz w:val="16"/>
          <w:szCs w:val="16"/>
        </w:rPr>
        <w:softHyphen/>
        <w:t>сической свободнонесущей конструк</w:t>
      </w:r>
      <w:r w:rsidRPr="00640820">
        <w:rPr>
          <w:rFonts w:ascii="Times New Roman" w:hAnsi="Times New Roman"/>
          <w:color w:val="000000" w:themeColor="text1"/>
          <w:sz w:val="16"/>
          <w:szCs w:val="16"/>
        </w:rPr>
        <w:softHyphen/>
        <w:t>ции. Оно состояло из киля, выполнен</w:t>
      </w:r>
      <w:r w:rsidRPr="00640820">
        <w:rPr>
          <w:rFonts w:ascii="Times New Roman" w:hAnsi="Times New Roman"/>
          <w:color w:val="000000" w:themeColor="text1"/>
          <w:sz w:val="16"/>
          <w:szCs w:val="16"/>
        </w:rPr>
        <w:softHyphen/>
        <w:t>ного заодно с фюзеляжем, и стабилиза</w:t>
      </w:r>
      <w:r w:rsidRPr="00640820">
        <w:rPr>
          <w:rFonts w:ascii="Times New Roman" w:hAnsi="Times New Roman"/>
          <w:color w:val="000000" w:themeColor="text1"/>
          <w:sz w:val="16"/>
          <w:szCs w:val="16"/>
        </w:rPr>
        <w:softHyphen/>
        <w:t>тора. Киль и стабилизатор обшивались фанерой и имели довольно толстый симметричный профиль. Место их сты</w:t>
      </w:r>
      <w:r w:rsidRPr="00640820">
        <w:rPr>
          <w:rFonts w:ascii="Times New Roman" w:hAnsi="Times New Roman"/>
          <w:color w:val="000000" w:themeColor="text1"/>
          <w:sz w:val="16"/>
          <w:szCs w:val="16"/>
        </w:rPr>
        <w:softHyphen/>
        <w:t>ка с фюзеляжем закрывалось выколот</w:t>
      </w:r>
      <w:r w:rsidRPr="00640820">
        <w:rPr>
          <w:rFonts w:ascii="Times New Roman" w:hAnsi="Times New Roman"/>
          <w:color w:val="000000" w:themeColor="text1"/>
          <w:sz w:val="16"/>
          <w:szCs w:val="16"/>
        </w:rPr>
        <w:softHyphen/>
        <w:t>кой из алюминия. Руль направления имел роговую компенсацию. Передняя часть руля (до лонжерона) зашивалась фанерой. На некоторых планёрах про- тивофлаттерный груз крепился на крон</w:t>
      </w:r>
      <w:r w:rsidRPr="00640820">
        <w:rPr>
          <w:rFonts w:ascii="Times New Roman" w:hAnsi="Times New Roman"/>
          <w:color w:val="000000" w:themeColor="text1"/>
          <w:sz w:val="16"/>
          <w:szCs w:val="16"/>
        </w:rPr>
        <w:softHyphen/>
        <w:t>штейне, но затем его разместили внут</w:t>
      </w:r>
      <w:r w:rsidRPr="00640820">
        <w:rPr>
          <w:rFonts w:ascii="Times New Roman" w:hAnsi="Times New Roman"/>
          <w:color w:val="000000" w:themeColor="text1"/>
          <w:sz w:val="16"/>
          <w:szCs w:val="16"/>
        </w:rPr>
        <w:softHyphen/>
        <w:t>ри рогового компенсатора. На задней кромке руля направления монтирова</w:t>
      </w:r>
      <w:r w:rsidRPr="00640820">
        <w:rPr>
          <w:rFonts w:ascii="Times New Roman" w:hAnsi="Times New Roman"/>
          <w:color w:val="000000" w:themeColor="text1"/>
          <w:sz w:val="16"/>
          <w:szCs w:val="16"/>
        </w:rPr>
        <w:softHyphen/>
        <w:t>лась пластина-флеттнер, переставлять которую можно было на земле. Руль высоты, по конструкции аналогичный элеронам, состоял из двух частей. На задней его кромке с обеих сторон ставились триммеры.</w:t>
      </w:r>
    </w:p>
    <w:p w14:paraId="50E19814"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Проводка управления - тросовая. В электрооборудование входили акку</w:t>
      </w:r>
      <w:r w:rsidRPr="00640820">
        <w:rPr>
          <w:rFonts w:ascii="Times New Roman" w:hAnsi="Times New Roman"/>
          <w:color w:val="000000" w:themeColor="text1"/>
          <w:sz w:val="16"/>
          <w:szCs w:val="16"/>
        </w:rPr>
        <w:softHyphen/>
        <w:t>мулятор, бортовые аэронавигационные огни, посадочная фара и лампочки освещения пилотской и грузовой ка</w:t>
      </w:r>
      <w:r w:rsidRPr="00640820">
        <w:rPr>
          <w:rFonts w:ascii="Times New Roman" w:hAnsi="Times New Roman"/>
          <w:color w:val="000000" w:themeColor="text1"/>
          <w:sz w:val="16"/>
          <w:szCs w:val="16"/>
        </w:rPr>
        <w:softHyphen/>
        <w:t>бин. Пилот имел фонарик для пода</w:t>
      </w:r>
      <w:r w:rsidRPr="00640820">
        <w:rPr>
          <w:rFonts w:ascii="Times New Roman" w:hAnsi="Times New Roman"/>
          <w:color w:val="000000" w:themeColor="text1"/>
          <w:sz w:val="16"/>
          <w:szCs w:val="16"/>
        </w:rPr>
        <w:softHyphen/>
        <w:t>чи сигналов буксировщику, поскольку радиостанция или телефон на борту отсутствовали (12266).</w:t>
      </w:r>
    </w:p>
    <w:p w14:paraId="799426FB" w14:textId="77777777" w:rsidR="00045010" w:rsidRPr="00640820" w:rsidRDefault="00045010" w:rsidP="00640820">
      <w:pPr>
        <w:spacing w:after="0" w:line="240" w:lineRule="auto"/>
        <w:jc w:val="both"/>
        <w:rPr>
          <w:rFonts w:ascii="Times New Roman" w:hAnsi="Times New Roman"/>
          <w:color w:val="000000" w:themeColor="text1"/>
          <w:sz w:val="16"/>
          <w:szCs w:val="16"/>
        </w:rPr>
      </w:pPr>
    </w:p>
    <w:p w14:paraId="43A864B8"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уже в Рязани, где планировался серийный выпуск планеров КЦ, построили второй опытный образец, получивший обозначение КЦ-2. В целом он был аналогичен первому прототипу. Ис</w:t>
      </w:r>
      <w:r w:rsidRPr="00640820">
        <w:rPr>
          <w:rFonts w:ascii="Times New Roman" w:hAnsi="Times New Roman"/>
          <w:color w:val="000000" w:themeColor="text1"/>
          <w:sz w:val="16"/>
          <w:szCs w:val="16"/>
        </w:rPr>
        <w:softHyphen/>
        <w:t>пытания проходили в начале 1942 г. в Казани, куда был эвакуирован завод из-за наступления немцев.</w:t>
      </w:r>
    </w:p>
    <w:p w14:paraId="2E2CB24C"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Испытания КЦ-2, которые проводил летчик В.Л. Расторгуев, выявили ряд серьезных недостат</w:t>
      </w:r>
      <w:r w:rsidRPr="00640820">
        <w:rPr>
          <w:rFonts w:ascii="Times New Roman" w:hAnsi="Times New Roman"/>
          <w:color w:val="000000" w:themeColor="text1"/>
          <w:sz w:val="16"/>
          <w:szCs w:val="16"/>
        </w:rPr>
        <w:softHyphen/>
        <w:t>ков: были плохими устойчивость и управляемость. Нужно было увеличить путевую устойчивость, умень</w:t>
      </w:r>
      <w:r w:rsidRPr="00640820">
        <w:rPr>
          <w:rFonts w:ascii="Times New Roman" w:hAnsi="Times New Roman"/>
          <w:color w:val="000000" w:themeColor="text1"/>
          <w:sz w:val="16"/>
          <w:szCs w:val="16"/>
        </w:rPr>
        <w:softHyphen/>
        <w:t>шить нагрузки в органах управления, увеличить эф</w:t>
      </w:r>
      <w:r w:rsidRPr="00640820">
        <w:rPr>
          <w:rFonts w:ascii="Times New Roman" w:hAnsi="Times New Roman"/>
          <w:color w:val="000000" w:themeColor="text1"/>
          <w:sz w:val="16"/>
          <w:szCs w:val="16"/>
        </w:rPr>
        <w:softHyphen/>
        <w:t xml:space="preserve">фективность элеронов и убрать люфты и упругие деформации в проводке </w:t>
      </w:r>
      <w:r w:rsidRPr="00640820">
        <w:rPr>
          <w:rFonts w:ascii="Times New Roman" w:hAnsi="Times New Roman"/>
          <w:color w:val="000000" w:themeColor="text1"/>
          <w:sz w:val="16"/>
          <w:szCs w:val="16"/>
        </w:rPr>
        <w:lastRenderedPageBreak/>
        <w:t>управления. По требованию ЦАГИ разрешенную скорость буксировки необходимо было довести до 300 км/ч. Отмечалось, что грузовая кабина для 21 (первоначальная проектная загрузка) десантника тесна.</w:t>
      </w:r>
    </w:p>
    <w:p w14:paraId="03C0E415"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Учитывая необходимость в тяжелых планерах, не</w:t>
      </w:r>
      <w:r w:rsidRPr="00640820">
        <w:rPr>
          <w:rFonts w:ascii="Times New Roman" w:hAnsi="Times New Roman"/>
          <w:color w:val="000000" w:themeColor="text1"/>
          <w:sz w:val="16"/>
          <w:szCs w:val="16"/>
        </w:rPr>
        <w:softHyphen/>
        <w:t>смотря на отмеченные недостатки, планер был реко</w:t>
      </w:r>
      <w:r w:rsidRPr="00640820">
        <w:rPr>
          <w:rFonts w:ascii="Times New Roman" w:hAnsi="Times New Roman"/>
          <w:color w:val="000000" w:themeColor="text1"/>
          <w:sz w:val="16"/>
          <w:szCs w:val="16"/>
        </w:rPr>
        <w:softHyphen/>
        <w:t>мендован к серийному производству под обозначе</w:t>
      </w:r>
      <w:r w:rsidRPr="00640820">
        <w:rPr>
          <w:rFonts w:ascii="Times New Roman" w:hAnsi="Times New Roman"/>
          <w:color w:val="000000" w:themeColor="text1"/>
          <w:sz w:val="16"/>
          <w:szCs w:val="16"/>
        </w:rPr>
        <w:softHyphen/>
        <w:t>нием КЦ-20 (2 пилота + 18 десантников). Производ</w:t>
      </w:r>
      <w:r w:rsidRPr="00640820">
        <w:rPr>
          <w:rFonts w:ascii="Times New Roman" w:hAnsi="Times New Roman"/>
          <w:color w:val="000000" w:themeColor="text1"/>
          <w:sz w:val="16"/>
          <w:szCs w:val="16"/>
        </w:rPr>
        <w:softHyphen/>
        <w:t>ство организовали в поселке Лопатино под Казанью.</w:t>
      </w:r>
    </w:p>
    <w:p w14:paraId="19FA9E46"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устранения отмеченных недостатков конструк</w:t>
      </w:r>
      <w:r w:rsidRPr="00640820">
        <w:rPr>
          <w:rFonts w:ascii="Times New Roman" w:hAnsi="Times New Roman"/>
          <w:color w:val="000000" w:themeColor="text1"/>
          <w:sz w:val="16"/>
          <w:szCs w:val="16"/>
        </w:rPr>
        <w:softHyphen/>
        <w:t>цию существенно доработали: фюзеляж в хвостовой части удлинили на 900 мм, съемные двери заменили на двухстворчатые поворотные, а число иллюминато</w:t>
      </w:r>
      <w:r w:rsidRPr="00640820">
        <w:rPr>
          <w:rFonts w:ascii="Times New Roman" w:hAnsi="Times New Roman"/>
          <w:color w:val="000000" w:themeColor="text1"/>
          <w:sz w:val="16"/>
          <w:szCs w:val="16"/>
        </w:rPr>
        <w:softHyphen/>
        <w:t>ров на каждом борту увеличили до четырех. Увеличи</w:t>
      </w:r>
      <w:r w:rsidRPr="00640820">
        <w:rPr>
          <w:rFonts w:ascii="Times New Roman" w:hAnsi="Times New Roman"/>
          <w:color w:val="000000" w:themeColor="text1"/>
          <w:sz w:val="16"/>
          <w:szCs w:val="16"/>
        </w:rPr>
        <w:softHyphen/>
        <w:t>ли также площадь элеронов и поперечное V крыла.</w:t>
      </w:r>
    </w:p>
    <w:p w14:paraId="3E969016"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Возросла площадь всего горизонтального опе</w:t>
      </w:r>
      <w:r w:rsidRPr="00640820">
        <w:rPr>
          <w:rFonts w:ascii="Times New Roman" w:hAnsi="Times New Roman"/>
          <w:color w:val="000000" w:themeColor="text1"/>
          <w:sz w:val="16"/>
          <w:szCs w:val="16"/>
        </w:rPr>
        <w:softHyphen/>
        <w:t>рения, одновременно увеличили углы отклонения рулей, площадь триммеров, а на рулях направления установили роговую компенсацию. В целях экономии тросовую проводку заменили на систему деревянных тяг (!), а два раздельных штурвала заменили на один сдвоенный. Несмотря на большое число измене</w:t>
      </w:r>
      <w:r w:rsidRPr="00640820">
        <w:rPr>
          <w:rFonts w:ascii="Times New Roman" w:hAnsi="Times New Roman"/>
          <w:color w:val="000000" w:themeColor="text1"/>
          <w:sz w:val="16"/>
          <w:szCs w:val="16"/>
        </w:rPr>
        <w:softHyphen/>
        <w:t>ний, масса пустого планера осталась неизменной — 2050 кг, но проблемы с центровкой, хотя и не такие острые, — остались.</w:t>
      </w:r>
    </w:p>
    <w:p w14:paraId="31227FB9"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внедрения всех усовершенствований в ав</w:t>
      </w:r>
      <w:r w:rsidRPr="00640820">
        <w:rPr>
          <w:rFonts w:ascii="Times New Roman" w:hAnsi="Times New Roman"/>
          <w:color w:val="000000" w:themeColor="text1"/>
          <w:sz w:val="16"/>
          <w:szCs w:val="16"/>
        </w:rPr>
        <w:softHyphen/>
        <w:t>густе 1942 г. были выполнены контрольные испытания головного серийного образца КЦ-20, которые провел летчик Расторгуев В.Л. В результате проведенных доработок удалось снизить трение в системе управ</w:t>
      </w:r>
      <w:r w:rsidRPr="00640820">
        <w:rPr>
          <w:rFonts w:ascii="Times New Roman" w:hAnsi="Times New Roman"/>
          <w:color w:val="000000" w:themeColor="text1"/>
          <w:sz w:val="16"/>
          <w:szCs w:val="16"/>
        </w:rPr>
        <w:softHyphen/>
        <w:t>ления, повысить эффективность действия рулей и триммеров, а также привести в норму устойчивость планера при буксировке и в планировании. Управляемость планера также улучшилась, хотя повышенные нагрузки на штурвал от элеронов и на педали от руля направления сохранились. На это в дальнейшем жа</w:t>
      </w:r>
      <w:r w:rsidRPr="00640820">
        <w:rPr>
          <w:rFonts w:ascii="Times New Roman" w:hAnsi="Times New Roman"/>
          <w:color w:val="000000" w:themeColor="text1"/>
          <w:sz w:val="16"/>
          <w:szCs w:val="16"/>
        </w:rPr>
        <w:softHyphen/>
        <w:t>ловались и строевые летчики. Для обеспечения приемлемой центровки в нос планера загружали балан</w:t>
      </w:r>
      <w:r w:rsidRPr="00640820">
        <w:rPr>
          <w:rFonts w:ascii="Times New Roman" w:hAnsi="Times New Roman"/>
          <w:color w:val="000000" w:themeColor="text1"/>
          <w:sz w:val="16"/>
          <w:szCs w:val="16"/>
        </w:rPr>
        <w:softHyphen/>
        <w:t>сировочный груз массой 115 кг (12300).</w:t>
      </w:r>
    </w:p>
    <w:p w14:paraId="138AACFC" w14:textId="77777777" w:rsidR="00045010" w:rsidRPr="00640820" w:rsidRDefault="00045010" w:rsidP="00640820">
      <w:pPr>
        <w:spacing w:after="0" w:line="240" w:lineRule="auto"/>
        <w:jc w:val="both"/>
        <w:rPr>
          <w:rFonts w:ascii="Times New Roman" w:hAnsi="Times New Roman"/>
          <w:color w:val="000000" w:themeColor="text1"/>
          <w:sz w:val="16"/>
          <w:szCs w:val="16"/>
        </w:rPr>
      </w:pPr>
    </w:p>
    <w:p w14:paraId="4A1AEBA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конце 1941 г. поступило Распоряжение о прекращении производства АМ-35А, после эвакуации завода </w:t>
      </w:r>
      <w:r w:rsidRPr="00640820">
        <w:rPr>
          <w:rFonts w:ascii="Times New Roman" w:hAnsi="Times New Roman"/>
          <w:color w:val="000000" w:themeColor="text1"/>
          <w:sz w:val="16"/>
          <w:szCs w:val="16"/>
          <w:lang w:val="en-US"/>
        </w:rPr>
        <w:t>No</w:t>
      </w:r>
      <w:r w:rsidRPr="00640820">
        <w:rPr>
          <w:rFonts w:ascii="Times New Roman" w:hAnsi="Times New Roman"/>
          <w:color w:val="000000" w:themeColor="text1"/>
          <w:sz w:val="16"/>
          <w:szCs w:val="16"/>
        </w:rPr>
        <w:t xml:space="preserve"> 24 в Куйбышев (Самару). Его прекратили делать, чтобы высвободить производственные мощности для наращивания выпуска родственного ему мотора АМ-38, описанного далее. Фактически же в небольших количествах АМ-35А собирали до конца 1944 г. Всего было изготовлено 4659 экземпляров. Из них 4034 мотора сделали в 1941 г., к концу 1943 г. к ним добавились еще примерно 450 штук. Последние серии АМ-35А изготовлялись уже с использованием узлов двигателя АМ-38Ф (11934).</w:t>
      </w:r>
    </w:p>
    <w:p w14:paraId="05D04B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2EE414D" w14:textId="77777777" w:rsidR="001E0E29" w:rsidRPr="00640820" w:rsidRDefault="001E0E29"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К концу 1941 г. мотор считался уже освоенным заводом № 24 в серии на</w:t>
      </w:r>
      <w:r w:rsidRPr="00640820">
        <w:rPr>
          <w:rFonts w:ascii="Times New Roman" w:cs="Times New Roman"/>
          <w:color w:val="000000" w:themeColor="text1"/>
          <w:spacing w:val="0"/>
        </w:rPr>
        <w:softHyphen/>
        <w:t>ряду с моторами АМ-35А и АМ-38. Од</w:t>
      </w:r>
      <w:r w:rsidRPr="00640820">
        <w:rPr>
          <w:rFonts w:ascii="Times New Roman" w:cs="Times New Roman"/>
          <w:color w:val="000000" w:themeColor="text1"/>
          <w:spacing w:val="0"/>
        </w:rPr>
        <w:softHyphen/>
        <w:t>нако реально это было не совсем так. Моторостроители все еще не могли справиться с его охлаждением. По этой причине моторы собирали в минималь</w:t>
      </w:r>
      <w:r w:rsidRPr="00640820">
        <w:rPr>
          <w:rFonts w:ascii="Times New Roman" w:cs="Times New Roman"/>
          <w:color w:val="000000" w:themeColor="text1"/>
          <w:spacing w:val="0"/>
        </w:rPr>
        <w:softHyphen/>
        <w:t>ных объемах исключительно в обеспе</w:t>
      </w:r>
      <w:r w:rsidRPr="00640820">
        <w:rPr>
          <w:rFonts w:ascii="Times New Roman" w:cs="Times New Roman"/>
          <w:color w:val="000000" w:themeColor="text1"/>
          <w:spacing w:val="0"/>
        </w:rPr>
        <w:softHyphen/>
        <w:t>чение доводочных работ по мотору и отработки опытных самолетов с ним. При плане выпуска 200 моторов до кон</w:t>
      </w:r>
      <w:r w:rsidRPr="00640820">
        <w:rPr>
          <w:rFonts w:ascii="Times New Roman" w:cs="Times New Roman"/>
          <w:color w:val="000000" w:themeColor="text1"/>
          <w:spacing w:val="0"/>
        </w:rPr>
        <w:softHyphen/>
        <w:t>ца года изготовили всего 30 АМ-37 (15755).</w:t>
      </w:r>
    </w:p>
    <w:p w14:paraId="294BF6D9" w14:textId="77777777" w:rsidR="001E0E29" w:rsidRPr="00640820" w:rsidRDefault="001E0E29" w:rsidP="00640820">
      <w:pPr>
        <w:pStyle w:val="27"/>
        <w:shd w:val="clear" w:color="auto" w:fill="auto"/>
        <w:spacing w:after="0" w:line="240" w:lineRule="auto"/>
        <w:ind w:firstLine="0"/>
        <w:rPr>
          <w:rFonts w:ascii="Times New Roman" w:cs="Times New Roman"/>
          <w:color w:val="000000" w:themeColor="text1"/>
          <w:spacing w:val="0"/>
        </w:rPr>
      </w:pPr>
    </w:p>
    <w:p w14:paraId="6249AE6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конца 1941 года собрали 107 двигателей М-89. Но затем недостаточно доведенным М-89 решили пожертвовать для увеличения выпуска основной продукции завода — моторов М-88Б. М-89 стал не последним 14-цилиндровым потомком двигателя Гном-Рон 14К, созданным в Советском Союзе. В эвакуации Урмин работал над дви</w:t>
      </w:r>
      <w:r w:rsidRPr="00640820">
        <w:rPr>
          <w:rFonts w:ascii="Times New Roman" w:hAnsi="Times New Roman"/>
          <w:color w:val="000000" w:themeColor="text1"/>
          <w:sz w:val="16"/>
          <w:szCs w:val="16"/>
        </w:rPr>
        <w:softHyphen/>
        <w:t>гателем ЗМ на базе М-89. Но дальше опытных образцов дело не пошло. Несколько дольше развивалась побочная линия, не имевшая непосред</w:t>
      </w:r>
      <w:r w:rsidRPr="00640820">
        <w:rPr>
          <w:rFonts w:ascii="Times New Roman" w:hAnsi="Times New Roman"/>
          <w:color w:val="000000" w:themeColor="text1"/>
          <w:sz w:val="16"/>
          <w:szCs w:val="16"/>
        </w:rPr>
        <w:softHyphen/>
        <w:t>ственного французского прародителя. Речь идет о 18-цилиндровых мо</w:t>
      </w:r>
      <w:r w:rsidRPr="00640820">
        <w:rPr>
          <w:rFonts w:ascii="Times New Roman" w:hAnsi="Times New Roman"/>
          <w:color w:val="000000" w:themeColor="text1"/>
          <w:sz w:val="16"/>
          <w:szCs w:val="16"/>
        </w:rPr>
        <w:softHyphen/>
        <w:t>торах на базе цилиндро-поршневой группы М-88. Первые прикидки по 18-цилиндровому двигателю на базе М-85 сделали еще в апреле 1936 г., при Назарове. Позднее предложение о создании такого двигателя включи</w:t>
      </w:r>
      <w:r w:rsidRPr="00640820">
        <w:rPr>
          <w:rFonts w:ascii="Times New Roman" w:hAnsi="Times New Roman"/>
          <w:color w:val="000000" w:themeColor="text1"/>
          <w:sz w:val="16"/>
          <w:szCs w:val="16"/>
        </w:rPr>
        <w:softHyphen/>
        <w:t>ли в проект плана опытных работ на 1938 г. как «18-цилиндровый мотор по образцу Гном-Рон 18Ь». Но фактически ничего сделано не было. Воз</w:t>
      </w:r>
      <w:r w:rsidRPr="00640820">
        <w:rPr>
          <w:rFonts w:ascii="Times New Roman" w:hAnsi="Times New Roman"/>
          <w:color w:val="000000" w:themeColor="text1"/>
          <w:sz w:val="16"/>
          <w:szCs w:val="16"/>
        </w:rPr>
        <w:softHyphen/>
        <w:t>можно, это произошло потому, что с весны 1938 г. во Франции вели переговоры с фирмой «Гном-Рон» о приобретении лицензии на более поздний мотор типа 18Р. Переговоры шли больше года, но не закончились успехом. Фирма медлила. Потом выяснилось, что двигатель так и не прошел офи</w:t>
      </w:r>
      <w:r w:rsidRPr="00640820">
        <w:rPr>
          <w:rFonts w:ascii="Times New Roman" w:hAnsi="Times New Roman"/>
          <w:color w:val="000000" w:themeColor="text1"/>
          <w:sz w:val="16"/>
          <w:szCs w:val="16"/>
        </w:rPr>
        <w:softHyphen/>
        <w:t>циальных сертификационных испытаний (11852).</w:t>
      </w:r>
    </w:p>
    <w:p w14:paraId="3FB5BCB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1614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окончательно сформировалось КБ А.Н.Т. в Омске на заводе 166:</w:t>
      </w:r>
    </w:p>
    <w:p w14:paraId="7C24C46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бригада В.Л.Александрова - винты</w:t>
      </w:r>
    </w:p>
    <w:p w14:paraId="2990B3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А.П.Балуева - моторное оборудование</w:t>
      </w:r>
    </w:p>
    <w:p w14:paraId="2F3048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А.Р.Бонина - гидравлика</w:t>
      </w:r>
    </w:p>
    <w:p w14:paraId="6A4A77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С.А.Видгорчика - технология</w:t>
      </w:r>
    </w:p>
    <w:p w14:paraId="45D9CE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С.М.Егера - общие виды</w:t>
      </w:r>
    </w:p>
    <w:p w14:paraId="4FC14F3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Л.Л.Кербера - электро-радиооборудование</w:t>
      </w:r>
    </w:p>
    <w:p w14:paraId="4608A9B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А.В.Надашкевича - вооружения</w:t>
      </w:r>
    </w:p>
    <w:p w14:paraId="556325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Н.С.Некрасорва - оперение</w:t>
      </w:r>
    </w:p>
    <w:p w14:paraId="5794021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И.Г.Немана - фюзеляж</w:t>
      </w:r>
    </w:p>
    <w:p w14:paraId="6420C8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М.Н.Петрова - фонари</w:t>
      </w:r>
    </w:p>
    <w:p w14:paraId="58A889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Т.П.Сапрыкина - шасси</w:t>
      </w:r>
    </w:p>
    <w:p w14:paraId="549E6CC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Б.А.Сауке - крыло</w:t>
      </w:r>
    </w:p>
    <w:p w14:paraId="5CBFB2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Н.А.Соколова - вибрация</w:t>
      </w:r>
    </w:p>
    <w:p w14:paraId="412F0E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А.Э.Стерлина - аэродинамика</w:t>
      </w:r>
    </w:p>
    <w:p w14:paraId="4550BF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Г.С.Френкеля - аэронавигационное оборудование</w:t>
      </w:r>
    </w:p>
    <w:p w14:paraId="45DD031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А.М.Черемухина - прочность</w:t>
      </w:r>
    </w:p>
    <w:p w14:paraId="4ACC24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В.А.Чижевского - центроплан</w:t>
      </w:r>
    </w:p>
    <w:p w14:paraId="1497B3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Д.С.Марков - руководитель работ по внедрению 103 в серию и эксплуатацию, а Е.К.Стоман - ви по доводочным и летным испытаниям (1835,17).</w:t>
      </w:r>
    </w:p>
    <w:p w14:paraId="1ACCE4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17911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конец 1941 г. в авиапромышленности работало 110 тыс. чел., при этом НКАП ис</w:t>
      </w:r>
      <w:r w:rsidRPr="00640820">
        <w:rPr>
          <w:rFonts w:ascii="Times New Roman" w:hAnsi="Times New Roman"/>
          <w:color w:val="000000" w:themeColor="text1"/>
          <w:sz w:val="16"/>
          <w:szCs w:val="16"/>
        </w:rPr>
        <w:softHyphen/>
        <w:t>пытывал нехватку ещё 219 тыс. чел., в том числе — 137 тыс. квалифицированных рабочих (Самолётостроение в СССР. 1917—1945. Кн. 2. М., 1994. С. 216). Собственно, магистральные пути решения этой проблемы были определены на местах ещё осенью 1941 г. 10 сентября 1941 г. новосибирский обком ВКЩб) принял постановление «О мерах по обеспечению и подготовке рабочей силы на заводе № 153 им. В.П. Чкалова», согласно ко</w:t>
      </w:r>
      <w:r w:rsidRPr="00640820">
        <w:rPr>
          <w:rFonts w:ascii="Times New Roman" w:hAnsi="Times New Roman"/>
          <w:color w:val="000000" w:themeColor="text1"/>
          <w:sz w:val="16"/>
          <w:szCs w:val="16"/>
        </w:rPr>
        <w:softHyphen/>
        <w:t>торому на завод до 1 октября 1941 г. должны были быть направ</w:t>
      </w:r>
      <w:r w:rsidRPr="00640820">
        <w:rPr>
          <w:rFonts w:ascii="Times New Roman" w:hAnsi="Times New Roman"/>
          <w:color w:val="000000" w:themeColor="text1"/>
          <w:sz w:val="16"/>
          <w:szCs w:val="16"/>
        </w:rPr>
        <w:softHyphen/>
        <w:t>лены 1 тыс. учащихся 8—10 классов средних школ (В основном — из г. Новосибирск), а в ноябре 1941 г. — 1 тыс. учащихся ремесленных училищ (РУ) и школ фабрично-заводского обучения (ФЗО). Помимо этого дирекция завода получила предписание подготовить 400 рабочих из со</w:t>
      </w:r>
      <w:r w:rsidRPr="00640820">
        <w:rPr>
          <w:rFonts w:ascii="Times New Roman" w:hAnsi="Times New Roman"/>
          <w:color w:val="000000" w:themeColor="text1"/>
          <w:sz w:val="16"/>
          <w:szCs w:val="16"/>
        </w:rPr>
        <w:softHyphen/>
        <w:t>става служащих и младшего обслуживающего персонала, вы</w:t>
      </w:r>
      <w:r w:rsidRPr="00640820">
        <w:rPr>
          <w:rFonts w:ascii="Times New Roman" w:hAnsi="Times New Roman"/>
          <w:color w:val="000000" w:themeColor="text1"/>
          <w:sz w:val="16"/>
          <w:szCs w:val="16"/>
        </w:rPr>
        <w:softHyphen/>
        <w:t>делить соответствующее число мастеров для подготовки моло</w:t>
      </w:r>
      <w:r w:rsidRPr="00640820">
        <w:rPr>
          <w:rFonts w:ascii="Times New Roman" w:hAnsi="Times New Roman"/>
          <w:color w:val="000000" w:themeColor="text1"/>
          <w:sz w:val="16"/>
          <w:szCs w:val="16"/>
        </w:rPr>
        <w:softHyphen/>
        <w:t>дёжи и подготовить общежития и столовые на 2 тыс. чел. (</w:t>
      </w:r>
      <w:r w:rsidRPr="00640820">
        <w:rPr>
          <w:rFonts w:ascii="Times New Roman" w:hAnsi="Times New Roman"/>
          <w:iCs/>
          <w:color w:val="000000" w:themeColor="text1"/>
          <w:sz w:val="16"/>
          <w:szCs w:val="16"/>
        </w:rPr>
        <w:t>Савицкий И.М.</w:t>
      </w:r>
      <w:r w:rsidRPr="00640820">
        <w:rPr>
          <w:rFonts w:ascii="Times New Roman" w:hAnsi="Times New Roman"/>
          <w:color w:val="000000" w:themeColor="text1"/>
          <w:sz w:val="16"/>
          <w:szCs w:val="16"/>
        </w:rPr>
        <w:t xml:space="preserve"> Указ. соч. С. 244) (12011).</w:t>
      </w:r>
    </w:p>
    <w:p w14:paraId="5C97BA8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3DCF8E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завод № 214 5ГУ НКАП (ГС завод № 214 НКОП, НКАП, МАП, Завод «Метрон» НКТП, Свердловский приборостроительный завод, Уральский приборостроительный завод, ОАО «Уральский приборостроительный завод» /г. Москва Б. Боженинский пер., 17 ст. Воробьевы Горы;  г. Свердловск/ /620151  г. Екатеринбург ул. Горького, 17 тел. 51-90-94/) реконструирован. Располагался на Б. Боженинском пер. (возле ул. Пироговской). эвакуирован в  г. Свердловск. Эвакуация проходила в два этапа. Сначала в соответствии с пост. ГКО № 213сс от 20.07.1941 г. и по приказам № 738сс от 24.07.1941 г. и № 894сс от 22.08.1941 г. для организации дублера завода № 214 на площади клуба им. Профинтерна была переведена часть оборудования завода № 214, а также оборудование и личный состав завода № 382 5ГУ НКАП из Владимира. Далее по приказу № 1050сс от 8.10.1941 г. туда же эвакуирована остальная часть завода № 214. Сюда же эвакуирован завод № 155 5ГУ НКАП. По приказу № 1120сс от 14.11.1941 г. три завода объединены в единый завод № 214 НКАП. Выпуск пилотажных приборов (АПГ-1, АК-1), электроклапанов ЭК-1, а так же минометных прицелов «МП».</w:t>
      </w:r>
    </w:p>
    <w:p w14:paraId="0F44D6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площади эвакуированного завода в Москве по приказу № 63с от 25.01.1942 г. началось формирование Ремонтных мастерских по приборам при 5ГУ НКАП. По приказу № 239с от 30.03.1942 г. мастерские преобразованы в прибороремонтный завод при Главремуправлении. В соответствии с пост. ГКО № 1367с от 2.03.1942 г. и приказом № 177с от 8.03.1942 г. на площадку эвакуированного завода № 214 переведены мастерские по ремонту гироприборов, располагавшиеся на месте Института авиационного приборостроения (НИИ-12). Далее в соответствии с решением ГКО № 1543сс от 5.04.1942 г. и приказом № 269сс от 10.04.1942 г. на площадке эвакуированного завода № 214 образован Завод № 133 НКАП.</w:t>
      </w:r>
    </w:p>
    <w:p w14:paraId="5EE157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7.10.1942 г. вышло постановление ГКО № 2381 о мероприятиях по заводу № 214.</w:t>
      </w:r>
    </w:p>
    <w:p w14:paraId="05D750B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распоряжением СНК № 21822-рс от 24.11.1944 г. и по приказу НКАП № 21с от 24.01.1945 г. в состав завода № 214 5ГУ с 1.01.1945 г. влит завод № 474 НКАП.</w:t>
      </w:r>
    </w:p>
    <w:p w14:paraId="303F84B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СМ СССР № 713-342 от 26.06.1957 г. передан в ведение СНХ РСФСР.</w:t>
      </w:r>
    </w:p>
    <w:p w14:paraId="0FD463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1991 г. вошел в ЗАО «Авиаприбор». По решению правительства № 22-р от 9.01.2004 г. и Указу Президента РФ № 1009 от 4.08.2004 г. вошло в число стратегических оборонных предприятий.</w:t>
      </w:r>
    </w:p>
    <w:p w14:paraId="61EDED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(2002 г.): авиационные гироскопические приборы (авиагризонты, гировертикали, датчики первичной информации); системы дистанционного и комплексного управления полетом; аппараты искусственной вентиляции легких; системы и счетчики учета электроэнергии.</w:t>
      </w:r>
    </w:p>
    <w:p w14:paraId="7FACB4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(-15.07.1937 г.)- В.Д. Машкин, (15.07-23.11.1937 г.)- С.П. Соловьев, (23.11.1937-42 г.)- М.С. Гоцеридзе, (-07.1942-01.1943 г.-)- Лебедев, (08.1944 г.)- И.С. Алешин, (01.1945 г.)- В.И. Воробьев. Гендиректор (2002 г.)- В.У. Годлевский.</w:t>
      </w:r>
    </w:p>
    <w:p w14:paraId="1F84B2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Помощник директора по найму и увольнению (-15.12.1938 г.)- Е.Б. Коган, (15.12.1938 г.-)- Т.Н. Артемов.</w:t>
      </w:r>
    </w:p>
    <w:p w14:paraId="40C315C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Коммерческий директор (2002 г.)- С.С. Арефьев. Технический директор (2002 г.)-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JI</w:t>
      </w:r>
      <w:r w:rsidRPr="00640820">
        <w:rPr>
          <w:rFonts w:ascii="Times New Roman" w:hAnsi="Times New Roman"/>
          <w:color w:val="000000" w:themeColor="text1"/>
          <w:sz w:val="16"/>
          <w:szCs w:val="16"/>
        </w:rPr>
        <w:t>. Степанов.</w:t>
      </w:r>
      <w:r w:rsidRPr="00640820">
        <w:rPr>
          <w:rFonts w:ascii="Times New Roman" w:hAnsi="Times New Roman"/>
          <w:color w:val="000000" w:themeColor="text1"/>
          <w:sz w:val="16"/>
          <w:szCs w:val="16"/>
          <w:vertAlign w:val="superscript"/>
        </w:rPr>
        <w:t>69</w:t>
      </w:r>
    </w:p>
    <w:p w14:paraId="172665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(8.03.1938 г.-)- В.И. Восторин.</w:t>
      </w:r>
      <w:r w:rsidRPr="00640820">
        <w:rPr>
          <w:rFonts w:ascii="Times New Roman" w:hAnsi="Times New Roman"/>
          <w:color w:val="000000" w:themeColor="text1"/>
          <w:sz w:val="16"/>
          <w:szCs w:val="16"/>
          <w:vertAlign w:val="superscript"/>
        </w:rPr>
        <w:t>139</w:t>
      </w:r>
    </w:p>
    <w:p w14:paraId="372311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авиагоризонты АГД-1, АГР-7А, АГР-74, гирокомпас АГК-47Б; автопилоты АВП-3 (1934-), АВП-12 (193 7-), АПГ-1; автомат курса АК-1; индикаторы курса, трубки Вентури, стабилизаторы танковых прицелов (1940-), бензиномеры, редукционные клапаны и др.</w:t>
      </w:r>
    </w:p>
    <w:p w14:paraId="577625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ОКБ-214 НКАП, КБ-214 при заводе № 214, ОКБ-1 НКАП при заводе № 122</w:t>
      </w:r>
    </w:p>
    <w:p w14:paraId="6A97CBB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г. Москва;  г. Свердловск;  г. Москва/</w:t>
      </w:r>
    </w:p>
    <w:p w14:paraId="5C6F98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11.1932 г. при заводе «Метрон» образовано КБ-214 для отработки пневматического автопилота АВП-1 (разработанного в Остехбюро инженером Р. Г. Ниренбергом) для самолета ТБ-1. Руководителем КБ назначен В.М. Соркин. Далее разработан АВП-10 для ТБ-ЗРН.</w:t>
      </w:r>
    </w:p>
    <w:p w14:paraId="402B0F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11.1937 г. на базе небольшого КБ-214 на заводе № 214 образовалось ОКБ-214 по гироскопическим приборам, руководителем которого с 02.1938 г. назначен В.М. Соркин.</w:t>
      </w:r>
    </w:p>
    <w:p w14:paraId="4EEF94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по автопилотам: А-3 (шифр «80»), АПГ-1 для ДБ-3 и ТБ-7 (пнв в 1939-40 г.),</w:t>
      </w:r>
    </w:p>
    <w:p w14:paraId="581023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ОКБ-214 вместе с заводом № 214 эвакуировалось в Свердловск. Продолжены работы по автопилотам, автомату курса АК-1 для Пе-2 и Ту-2 (пнв в 1942 г.). Создан опытный автопилот АПГ-2, счетчик остатка патронов СОП, указатель поворота УП-2, пневматический гирокомпас ДГМПК.</w:t>
      </w:r>
    </w:p>
    <w:p w14:paraId="7E2BB8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НКАП № 643с от 28(25).10(12).1943 г. ОКБ-214 НКАП реэвакуировано в Москву на новое место- на площадку завода № 122 НКАП. По тому же приказу ОКБ-214 объединено с ОКБ-122 НКАП с образованием единого ОКБ-1 НКАП в системе 9ГУ (гл. конструктор- В.М. Соркин).</w:t>
      </w:r>
    </w:p>
    <w:p w14:paraId="6E5217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1943-45 г. создано 10 образцов пневматических автопилотов, в том числе АП-4 для снаряда «10Х» ; начаты работы по созданию автопилота АП-5 для Ту-4 (копия американского С-3).</w:t>
      </w:r>
    </w:p>
    <w:p w14:paraId="5E619BE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11.1945 г. ОКБ-1 в полном составе перебазировано на территорию опытного завода № 118 НКАП, а в 02.1946 г. на базе завода № 118 и ОКБ-1 был образован ГС опытный завод № 118 НКАП.</w:t>
      </w:r>
    </w:p>
    <w:p w14:paraId="61A70F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Руководитель/ гл. конструктор (1932-43 г.-)- В.М. Соркин (11982).</w:t>
      </w:r>
    </w:p>
    <w:p w14:paraId="610814B3" w14:textId="77777777" w:rsidR="001E0E29" w:rsidRPr="00640820" w:rsidRDefault="001E0E29" w:rsidP="00640820">
      <w:pPr>
        <w:spacing w:after="0" w:line="240" w:lineRule="auto"/>
        <w:jc w:val="both"/>
        <w:rPr>
          <w:rFonts w:ascii="Times New Roman" w:hAnsi="Times New Roman"/>
          <w:color w:val="000000" w:themeColor="text1"/>
          <w:sz w:val="16"/>
          <w:szCs w:val="16"/>
        </w:rPr>
      </w:pPr>
    </w:p>
    <w:p w14:paraId="0E0F0F24"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конце 1941г. Заводу № 126 резко сократились поставки металлов, метизов, сложного литья, крупногабаритных штамповок, готовых изделий от нескольких сотен поставщиков, ранее расположенных на территориях, захваченных врагом. </w:t>
      </w:r>
    </w:p>
    <w:p w14:paraId="72C49212"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решения этой задачи была создана фронтовая бригада под руководством гл. технолога К.Н.Классиди. В ее состав вошли инженерно-технические работники Н.И. Припетнев, В.П. Насс, В.С. Шавгаров, Г.Г. Захаров, Н.И. Закорко (см. подробно Закорко Н.И.), мастер П.П. Бедракиевский, рабочие Лариков и Ионов. Задача была решена созданием специализированных участков, на которых вся непоставляемая номенклатура стала изготавливаться на месте. Было изготовлено технологическое оборудование, спецоснастка, освоены и внедрены технологические процессы, связанные с получением из отходов цветных металлов прессованных профилей.</w:t>
      </w:r>
    </w:p>
    <w:p w14:paraId="7A24AD01"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Весомый вклад в этот процесс внес отдел главного металлурга под руководством А.С. Звягина, решавший успешно сложнейшую задачу использования отходов алюминиевых сплавов и замену дорогостоящих и дефицитных инструментальных сталей. По его инициативе было организовано производство прессованных профилей из отходов алюминиевых сплавов, отрабатывалась технология отливки заготовок, их термообработка. А группой технологов из этого отдела под руководством П.С. Панивана был разработан сплав из отходов АМГ и Д16А, названный № 126. Этой же группой проводились работы по штамповке деталей из заготовок, отлитых из отходов алюминиевых сплавов, разрабатывалась и внедрялась закалка матриц из стали У9А, был отработан процесс высадки и термообоработки болтов из стали 15А, изготовления шайб «Гровера» из проволоки Ст10 с цементацией и закалкой. </w:t>
      </w:r>
    </w:p>
    <w:p w14:paraId="6C0DF1ED"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Было освоено изготовление 30 типоразмеров прессованных профилей, более 50 типоразмеров стальных и дюралевых труб. Изготавливалась огромная обширная номенклатура резинотехнических изделий и нормалей. Успешно осваивалось изготовление сложного стального и цветного литья, крупногабаритных штамповок весом более 100 кг, изготавливалась продукция бытового назначения: швейные иглы, гвозди, емкости для горюче-смазочных материалов. Причем, все это производилось с высоким качеством, ибо выпуск бракованной продукции в условиях военного времени мог квалифицироваться как вредительство (12211).</w:t>
      </w:r>
    </w:p>
    <w:p w14:paraId="6E0706F5" w14:textId="77777777" w:rsidR="00045010" w:rsidRPr="00640820" w:rsidRDefault="00045010" w:rsidP="00640820">
      <w:pPr>
        <w:spacing w:after="0" w:line="240" w:lineRule="auto"/>
        <w:jc w:val="both"/>
        <w:rPr>
          <w:rFonts w:ascii="Times New Roman" w:hAnsi="Times New Roman"/>
          <w:color w:val="000000" w:themeColor="text1"/>
          <w:sz w:val="16"/>
          <w:szCs w:val="16"/>
        </w:rPr>
      </w:pPr>
    </w:p>
    <w:p w14:paraId="1EA2DA9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из 180 существовавших до войны авиазаводов действовало 125, а 55 были либо законсервированы, либо ликвидированы (173,216).</w:t>
      </w:r>
    </w:p>
    <w:p w14:paraId="68A7C6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Места новой дислокации АП в ходе эвакуации - Куйбышев, Казань, Чкалов (Оренбург), Уфа, Омск, Новосибирск, Иркутск, Тбилиси, Ташкент и др. (62,19).</w:t>
      </w:r>
    </w:p>
    <w:p w14:paraId="0771C7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штурмовики - 1 и 18 в Куйбышеве и в Москве 30</w:t>
      </w:r>
    </w:p>
    <w:p w14:paraId="330E0A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истребители - Горький, Новосибирск, Саратов, Омск - 166 (+ туда приехал 156 завод в июле 1941 - стало Омское ПО Полет (62,28) - после реэвакуации - опять 156), Тушино - 82, Москве - 381</w:t>
      </w:r>
    </w:p>
    <w:p w14:paraId="3CBE9B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бомбардировщики - Казань - 22, Иркутск, Комсомольск, Москва - 23</w:t>
      </w:r>
    </w:p>
    <w:p w14:paraId="776ACDB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транспортные - Ташкент - Ли-2</w:t>
      </w:r>
    </w:p>
    <w:p w14:paraId="576327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тренировочные - Ут-2 в Арсеньеве, Волжске, Ростове, Чкалове</w:t>
      </w:r>
    </w:p>
    <w:p w14:paraId="11EB2A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По-2 - Казань - 387</w:t>
      </w:r>
    </w:p>
    <w:p w14:paraId="05D6D8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двигатели:</w:t>
      </w:r>
    </w:p>
    <w:p w14:paraId="1E3831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Казань -16: Уфа, Куйбышев - 24, Москва - 45, 500, 41, в Перми, Омске - 29, в Андижане и др. (62,19).</w:t>
      </w:r>
    </w:p>
    <w:p w14:paraId="6CDD0A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6DC50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из 180 существовавших до войны авиазаводов действовало 125, а 55 были либо законсервированы, либо ликвидированы (173,216).</w:t>
      </w:r>
    </w:p>
    <w:p w14:paraId="7D1AED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D244B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был подготовлен Список п/я з-в и НИИ НКАП по состоянию до эвакуации (1308, 27):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18"/>
        <w:gridCol w:w="2688"/>
        <w:gridCol w:w="1706"/>
      </w:tblGrid>
      <w:tr w:rsidR="00643896" w:rsidRPr="00640820" w14:paraId="2C835071" w14:textId="77777777" w:rsidTr="000D3BCB">
        <w:tc>
          <w:tcPr>
            <w:tcW w:w="2518" w:type="dxa"/>
            <w:tcBorders>
              <w:top w:val="single" w:sz="12" w:space="0" w:color="auto"/>
            </w:tcBorders>
          </w:tcPr>
          <w:p w14:paraId="446866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Наименование</w:t>
            </w:r>
          </w:p>
        </w:tc>
        <w:tc>
          <w:tcPr>
            <w:tcW w:w="2688" w:type="dxa"/>
            <w:tcBorders>
              <w:top w:val="single" w:sz="12" w:space="0" w:color="auto"/>
            </w:tcBorders>
          </w:tcPr>
          <w:p w14:paraId="741E7A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w:t>
            </w:r>
          </w:p>
        </w:tc>
        <w:tc>
          <w:tcPr>
            <w:tcW w:w="1706" w:type="dxa"/>
            <w:tcBorders>
              <w:top w:val="single" w:sz="12" w:space="0" w:color="auto"/>
            </w:tcBorders>
          </w:tcPr>
          <w:p w14:paraId="503C18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п/я</w:t>
            </w:r>
          </w:p>
        </w:tc>
      </w:tr>
      <w:tr w:rsidR="00643896" w:rsidRPr="00640820" w14:paraId="1F95A11C" w14:textId="77777777" w:rsidTr="000D3BCB">
        <w:tc>
          <w:tcPr>
            <w:tcW w:w="2518" w:type="dxa"/>
          </w:tcPr>
          <w:p w14:paraId="44B1D6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ЛИИ</w:t>
            </w:r>
          </w:p>
        </w:tc>
        <w:tc>
          <w:tcPr>
            <w:tcW w:w="2688" w:type="dxa"/>
          </w:tcPr>
          <w:p w14:paraId="7575D9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 Обл.</w:t>
            </w:r>
          </w:p>
        </w:tc>
        <w:tc>
          <w:tcPr>
            <w:tcW w:w="1706" w:type="dxa"/>
          </w:tcPr>
          <w:p w14:paraId="4513B1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E925E8A" w14:textId="77777777" w:rsidTr="000D3BCB">
        <w:tc>
          <w:tcPr>
            <w:tcW w:w="2518" w:type="dxa"/>
          </w:tcPr>
          <w:p w14:paraId="4A526A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w:t>
            </w:r>
          </w:p>
        </w:tc>
        <w:tc>
          <w:tcPr>
            <w:tcW w:w="2688" w:type="dxa"/>
          </w:tcPr>
          <w:p w14:paraId="56D2DE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Воронеж, 4</w:t>
            </w:r>
          </w:p>
        </w:tc>
        <w:tc>
          <w:tcPr>
            <w:tcW w:w="1706" w:type="dxa"/>
          </w:tcPr>
          <w:p w14:paraId="72A0D1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w:t>
            </w:r>
          </w:p>
        </w:tc>
      </w:tr>
      <w:tr w:rsidR="00643896" w:rsidRPr="00640820" w14:paraId="2B02D5BE" w14:textId="77777777" w:rsidTr="000D3BCB">
        <w:tc>
          <w:tcPr>
            <w:tcW w:w="2518" w:type="dxa"/>
          </w:tcPr>
          <w:p w14:paraId="7041A6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w:t>
            </w:r>
          </w:p>
        </w:tc>
        <w:tc>
          <w:tcPr>
            <w:tcW w:w="2688" w:type="dxa"/>
          </w:tcPr>
          <w:p w14:paraId="21A807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Смоленск</w:t>
            </w:r>
          </w:p>
        </w:tc>
        <w:tc>
          <w:tcPr>
            <w:tcW w:w="1706" w:type="dxa"/>
          </w:tcPr>
          <w:p w14:paraId="463645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w:t>
            </w:r>
          </w:p>
        </w:tc>
      </w:tr>
      <w:tr w:rsidR="00643896" w:rsidRPr="00640820" w14:paraId="1C6EF707" w14:textId="77777777" w:rsidTr="000D3BCB">
        <w:tc>
          <w:tcPr>
            <w:tcW w:w="2518" w:type="dxa"/>
          </w:tcPr>
          <w:p w14:paraId="26CE96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w:t>
            </w:r>
          </w:p>
        </w:tc>
        <w:tc>
          <w:tcPr>
            <w:tcW w:w="2688" w:type="dxa"/>
          </w:tcPr>
          <w:p w14:paraId="5E6A69E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 40</w:t>
            </w:r>
          </w:p>
        </w:tc>
        <w:tc>
          <w:tcPr>
            <w:tcW w:w="1706" w:type="dxa"/>
          </w:tcPr>
          <w:p w14:paraId="336DF5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2400</w:t>
            </w:r>
          </w:p>
        </w:tc>
      </w:tr>
      <w:tr w:rsidR="00643896" w:rsidRPr="00640820" w14:paraId="1FC5FDD6" w14:textId="77777777" w:rsidTr="000D3BCB">
        <w:tc>
          <w:tcPr>
            <w:tcW w:w="2518" w:type="dxa"/>
          </w:tcPr>
          <w:p w14:paraId="680799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84</w:t>
            </w:r>
          </w:p>
        </w:tc>
        <w:tc>
          <w:tcPr>
            <w:tcW w:w="2688" w:type="dxa"/>
          </w:tcPr>
          <w:p w14:paraId="06A1CB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Химки, центр</w:t>
            </w:r>
          </w:p>
        </w:tc>
        <w:tc>
          <w:tcPr>
            <w:tcW w:w="1706" w:type="dxa"/>
          </w:tcPr>
          <w:p w14:paraId="08076B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r>
      <w:tr w:rsidR="00643896" w:rsidRPr="00640820" w14:paraId="381EC24A" w14:textId="77777777" w:rsidTr="000D3BCB">
        <w:tc>
          <w:tcPr>
            <w:tcW w:w="2518" w:type="dxa"/>
          </w:tcPr>
          <w:p w14:paraId="09A7AE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99</w:t>
            </w:r>
          </w:p>
        </w:tc>
        <w:tc>
          <w:tcPr>
            <w:tcW w:w="2688" w:type="dxa"/>
          </w:tcPr>
          <w:p w14:paraId="00CDAC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Улан-Уде</w:t>
            </w:r>
          </w:p>
        </w:tc>
        <w:tc>
          <w:tcPr>
            <w:tcW w:w="1706" w:type="dxa"/>
          </w:tcPr>
          <w:p w14:paraId="6D56DB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7</w:t>
            </w:r>
          </w:p>
        </w:tc>
      </w:tr>
      <w:tr w:rsidR="00643896" w:rsidRPr="00640820" w14:paraId="5D3DA561" w14:textId="77777777" w:rsidTr="000D3BCB">
        <w:tc>
          <w:tcPr>
            <w:tcW w:w="2518" w:type="dxa"/>
          </w:tcPr>
          <w:p w14:paraId="0F106F3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124</w:t>
            </w:r>
          </w:p>
        </w:tc>
        <w:tc>
          <w:tcPr>
            <w:tcW w:w="2688" w:type="dxa"/>
          </w:tcPr>
          <w:p w14:paraId="048785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Казань, 36</w:t>
            </w:r>
          </w:p>
        </w:tc>
        <w:tc>
          <w:tcPr>
            <w:tcW w:w="1706" w:type="dxa"/>
          </w:tcPr>
          <w:p w14:paraId="5E0ABE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732</w:t>
            </w:r>
          </w:p>
        </w:tc>
      </w:tr>
      <w:tr w:rsidR="00643896" w:rsidRPr="00640820" w14:paraId="3C648CF8" w14:textId="77777777" w:rsidTr="000D3BCB">
        <w:tc>
          <w:tcPr>
            <w:tcW w:w="2518" w:type="dxa"/>
          </w:tcPr>
          <w:p w14:paraId="20FE58E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125</w:t>
            </w:r>
          </w:p>
        </w:tc>
        <w:tc>
          <w:tcPr>
            <w:tcW w:w="2688" w:type="dxa"/>
          </w:tcPr>
          <w:p w14:paraId="58A44C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Иркутск. 2</w:t>
            </w:r>
          </w:p>
        </w:tc>
        <w:tc>
          <w:tcPr>
            <w:tcW w:w="1706" w:type="dxa"/>
          </w:tcPr>
          <w:p w14:paraId="321DCD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w:t>
            </w:r>
          </w:p>
        </w:tc>
      </w:tr>
      <w:tr w:rsidR="00643896" w:rsidRPr="00640820" w14:paraId="0CB039DF" w14:textId="77777777" w:rsidTr="000D3BCB">
        <w:tc>
          <w:tcPr>
            <w:tcW w:w="2518" w:type="dxa"/>
          </w:tcPr>
          <w:p w14:paraId="7880D6A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380</w:t>
            </w:r>
          </w:p>
        </w:tc>
        <w:tc>
          <w:tcPr>
            <w:tcW w:w="2688" w:type="dxa"/>
          </w:tcPr>
          <w:p w14:paraId="01B735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Ленинград, 44</w:t>
            </w:r>
          </w:p>
        </w:tc>
        <w:tc>
          <w:tcPr>
            <w:tcW w:w="1706" w:type="dxa"/>
          </w:tcPr>
          <w:p w14:paraId="6C8D88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221</w:t>
            </w:r>
          </w:p>
        </w:tc>
      </w:tr>
      <w:tr w:rsidR="00643896" w:rsidRPr="00640820" w14:paraId="6D228EE2" w14:textId="77777777" w:rsidTr="000D3BCB">
        <w:tc>
          <w:tcPr>
            <w:tcW w:w="2518" w:type="dxa"/>
          </w:tcPr>
          <w:p w14:paraId="5FA8E2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450</w:t>
            </w:r>
          </w:p>
        </w:tc>
        <w:tc>
          <w:tcPr>
            <w:tcW w:w="2688" w:type="dxa"/>
          </w:tcPr>
          <w:p w14:paraId="6D1659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Харьков. 30</w:t>
            </w:r>
          </w:p>
        </w:tc>
        <w:tc>
          <w:tcPr>
            <w:tcW w:w="1706" w:type="dxa"/>
          </w:tcPr>
          <w:p w14:paraId="0D7218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980</w:t>
            </w:r>
          </w:p>
        </w:tc>
      </w:tr>
      <w:tr w:rsidR="00643896" w:rsidRPr="00640820" w14:paraId="5957EAF8" w14:textId="77777777" w:rsidTr="000D3BCB">
        <w:tc>
          <w:tcPr>
            <w:tcW w:w="2518" w:type="dxa"/>
          </w:tcPr>
          <w:p w14:paraId="61D070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458</w:t>
            </w:r>
          </w:p>
        </w:tc>
        <w:tc>
          <w:tcPr>
            <w:tcW w:w="2688" w:type="dxa"/>
          </w:tcPr>
          <w:p w14:paraId="147DCC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Ростов-Дон, 36</w:t>
            </w:r>
          </w:p>
        </w:tc>
        <w:tc>
          <w:tcPr>
            <w:tcW w:w="1706" w:type="dxa"/>
          </w:tcPr>
          <w:p w14:paraId="391AEF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r>
      <w:tr w:rsidR="00643896" w:rsidRPr="00640820" w14:paraId="711730E1" w14:textId="77777777" w:rsidTr="000D3BCB">
        <w:tc>
          <w:tcPr>
            <w:tcW w:w="2518" w:type="dxa"/>
          </w:tcPr>
          <w:p w14:paraId="1CDE0B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w:t>
            </w:r>
          </w:p>
        </w:tc>
        <w:tc>
          <w:tcPr>
            <w:tcW w:w="2688" w:type="dxa"/>
          </w:tcPr>
          <w:p w14:paraId="0D73C98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Воронеж, 6</w:t>
            </w:r>
          </w:p>
        </w:tc>
        <w:tc>
          <w:tcPr>
            <w:tcW w:w="1706" w:type="dxa"/>
          </w:tcPr>
          <w:p w14:paraId="2E0782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152</w:t>
            </w:r>
          </w:p>
        </w:tc>
      </w:tr>
      <w:tr w:rsidR="00643896" w:rsidRPr="00640820" w14:paraId="0E326E18" w14:textId="77777777" w:rsidTr="000D3BCB">
        <w:tc>
          <w:tcPr>
            <w:tcW w:w="2518" w:type="dxa"/>
          </w:tcPr>
          <w:p w14:paraId="21BB17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w:t>
            </w:r>
          </w:p>
        </w:tc>
        <w:tc>
          <w:tcPr>
            <w:tcW w:w="2688" w:type="dxa"/>
          </w:tcPr>
          <w:p w14:paraId="217717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Молотовская обл.</w:t>
            </w:r>
          </w:p>
        </w:tc>
        <w:tc>
          <w:tcPr>
            <w:tcW w:w="1706" w:type="dxa"/>
          </w:tcPr>
          <w:p w14:paraId="70BC98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211</w:t>
            </w:r>
          </w:p>
        </w:tc>
      </w:tr>
      <w:tr w:rsidR="00643896" w:rsidRPr="00640820" w14:paraId="11C28187" w14:textId="77777777" w:rsidTr="000D3BCB">
        <w:tc>
          <w:tcPr>
            <w:tcW w:w="2518" w:type="dxa"/>
          </w:tcPr>
          <w:p w14:paraId="3FB646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w:t>
            </w:r>
          </w:p>
        </w:tc>
        <w:tc>
          <w:tcPr>
            <w:tcW w:w="2688" w:type="dxa"/>
          </w:tcPr>
          <w:p w14:paraId="4EB182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 118</w:t>
            </w:r>
          </w:p>
        </w:tc>
        <w:tc>
          <w:tcPr>
            <w:tcW w:w="1706" w:type="dxa"/>
          </w:tcPr>
          <w:p w14:paraId="0AF5C6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299</w:t>
            </w:r>
          </w:p>
        </w:tc>
      </w:tr>
      <w:tr w:rsidR="00643896" w:rsidRPr="00640820" w14:paraId="429F835B" w14:textId="77777777" w:rsidTr="000D3BCB">
        <w:tc>
          <w:tcPr>
            <w:tcW w:w="2518" w:type="dxa"/>
          </w:tcPr>
          <w:p w14:paraId="6DEFE5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w:t>
            </w:r>
          </w:p>
        </w:tc>
        <w:tc>
          <w:tcPr>
            <w:tcW w:w="2688" w:type="dxa"/>
          </w:tcPr>
          <w:p w14:paraId="274212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Рыбинск</w:t>
            </w:r>
          </w:p>
        </w:tc>
        <w:tc>
          <w:tcPr>
            <w:tcW w:w="1706" w:type="dxa"/>
          </w:tcPr>
          <w:p w14:paraId="2CC2A7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r>
      <w:tr w:rsidR="00643896" w:rsidRPr="00640820" w14:paraId="6119A1B5" w14:textId="77777777" w:rsidTr="000D3BCB">
        <w:tc>
          <w:tcPr>
            <w:tcW w:w="2518" w:type="dxa"/>
          </w:tcPr>
          <w:p w14:paraId="7C7F0EF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w:t>
            </w:r>
          </w:p>
        </w:tc>
        <w:tc>
          <w:tcPr>
            <w:tcW w:w="2688" w:type="dxa"/>
          </w:tcPr>
          <w:p w14:paraId="316D78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Казань, 36</w:t>
            </w:r>
          </w:p>
        </w:tc>
        <w:tc>
          <w:tcPr>
            <w:tcW w:w="1706" w:type="dxa"/>
          </w:tcPr>
          <w:p w14:paraId="4FBEAD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735</w:t>
            </w:r>
          </w:p>
        </w:tc>
      </w:tr>
      <w:tr w:rsidR="00643896" w:rsidRPr="00640820" w14:paraId="36763459" w14:textId="77777777" w:rsidTr="000D3BCB">
        <w:tc>
          <w:tcPr>
            <w:tcW w:w="2518" w:type="dxa"/>
          </w:tcPr>
          <w:p w14:paraId="2F5D911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w:t>
            </w:r>
          </w:p>
        </w:tc>
        <w:tc>
          <w:tcPr>
            <w:tcW w:w="2688" w:type="dxa"/>
          </w:tcPr>
          <w:p w14:paraId="339509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 22</w:t>
            </w:r>
          </w:p>
        </w:tc>
        <w:tc>
          <w:tcPr>
            <w:tcW w:w="1706" w:type="dxa"/>
          </w:tcPr>
          <w:p w14:paraId="778B4F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2263</w:t>
            </w:r>
          </w:p>
        </w:tc>
      </w:tr>
      <w:tr w:rsidR="00643896" w:rsidRPr="00640820" w14:paraId="0A7F4ECE" w14:textId="77777777" w:rsidTr="000D3BCB">
        <w:tc>
          <w:tcPr>
            <w:tcW w:w="2518" w:type="dxa"/>
          </w:tcPr>
          <w:p w14:paraId="6FC319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w:t>
            </w:r>
          </w:p>
        </w:tc>
        <w:tc>
          <w:tcPr>
            <w:tcW w:w="2688" w:type="dxa"/>
          </w:tcPr>
          <w:p w14:paraId="2AB8A4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Запорожье</w:t>
            </w:r>
          </w:p>
        </w:tc>
        <w:tc>
          <w:tcPr>
            <w:tcW w:w="1706" w:type="dxa"/>
          </w:tcPr>
          <w:p w14:paraId="0885A7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w:t>
            </w:r>
          </w:p>
        </w:tc>
      </w:tr>
      <w:tr w:rsidR="00643896" w:rsidRPr="00640820" w14:paraId="075F914C" w14:textId="77777777" w:rsidTr="000D3BCB">
        <w:tc>
          <w:tcPr>
            <w:tcW w:w="2518" w:type="dxa"/>
          </w:tcPr>
          <w:p w14:paraId="50FEE0F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154</w:t>
            </w:r>
          </w:p>
        </w:tc>
        <w:tc>
          <w:tcPr>
            <w:tcW w:w="2688" w:type="dxa"/>
          </w:tcPr>
          <w:p w14:paraId="5D0963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Воронеж, 8</w:t>
            </w:r>
          </w:p>
        </w:tc>
        <w:tc>
          <w:tcPr>
            <w:tcW w:w="1706" w:type="dxa"/>
          </w:tcPr>
          <w:p w14:paraId="4C377A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125</w:t>
            </w:r>
          </w:p>
        </w:tc>
      </w:tr>
      <w:tr w:rsidR="00643896" w:rsidRPr="00640820" w14:paraId="6489B981" w14:textId="77777777" w:rsidTr="000D3BCB">
        <w:tc>
          <w:tcPr>
            <w:tcW w:w="2518" w:type="dxa"/>
          </w:tcPr>
          <w:p w14:paraId="7855B5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234</w:t>
            </w:r>
          </w:p>
        </w:tc>
        <w:tc>
          <w:tcPr>
            <w:tcW w:w="2688" w:type="dxa"/>
          </w:tcPr>
          <w:p w14:paraId="0B2E2A3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Ленинград, 100</w:t>
            </w:r>
          </w:p>
        </w:tc>
        <w:tc>
          <w:tcPr>
            <w:tcW w:w="1706" w:type="dxa"/>
          </w:tcPr>
          <w:p w14:paraId="051728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736</w:t>
            </w:r>
          </w:p>
        </w:tc>
      </w:tr>
      <w:tr w:rsidR="00643896" w:rsidRPr="00640820" w14:paraId="0BD9B5D3" w14:textId="77777777" w:rsidTr="000D3BCB">
        <w:tc>
          <w:tcPr>
            <w:tcW w:w="2518" w:type="dxa"/>
          </w:tcPr>
          <w:p w14:paraId="129E668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466</w:t>
            </w:r>
          </w:p>
        </w:tc>
        <w:tc>
          <w:tcPr>
            <w:tcW w:w="2688" w:type="dxa"/>
          </w:tcPr>
          <w:p w14:paraId="61D0FD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Горький, 4</w:t>
            </w:r>
          </w:p>
        </w:tc>
        <w:tc>
          <w:tcPr>
            <w:tcW w:w="1706" w:type="dxa"/>
          </w:tcPr>
          <w:p w14:paraId="298C71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404</w:t>
            </w:r>
          </w:p>
        </w:tc>
      </w:tr>
      <w:tr w:rsidR="00643896" w:rsidRPr="00640820" w14:paraId="14069241" w14:textId="77777777" w:rsidTr="000D3BCB">
        <w:tc>
          <w:tcPr>
            <w:tcW w:w="2518" w:type="dxa"/>
          </w:tcPr>
          <w:p w14:paraId="3A2118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467</w:t>
            </w:r>
          </w:p>
        </w:tc>
        <w:tc>
          <w:tcPr>
            <w:tcW w:w="2688" w:type="dxa"/>
          </w:tcPr>
          <w:p w14:paraId="22BC61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Павлово на Оке, 2</w:t>
            </w:r>
          </w:p>
        </w:tc>
        <w:tc>
          <w:tcPr>
            <w:tcW w:w="1706" w:type="dxa"/>
          </w:tcPr>
          <w:p w14:paraId="2FE58A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w:t>
            </w:r>
          </w:p>
        </w:tc>
      </w:tr>
      <w:tr w:rsidR="00643896" w:rsidRPr="00640820" w14:paraId="5F95EA6C" w14:textId="77777777" w:rsidTr="000D3BCB">
        <w:tc>
          <w:tcPr>
            <w:tcW w:w="2518" w:type="dxa"/>
          </w:tcPr>
          <w:p w14:paraId="5B2574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474</w:t>
            </w:r>
          </w:p>
        </w:tc>
        <w:tc>
          <w:tcPr>
            <w:tcW w:w="2688" w:type="dxa"/>
          </w:tcPr>
          <w:p w14:paraId="47043D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Лаптево, Тульской обл.</w:t>
            </w:r>
          </w:p>
        </w:tc>
        <w:tc>
          <w:tcPr>
            <w:tcW w:w="1706" w:type="dxa"/>
          </w:tcPr>
          <w:p w14:paraId="08BD41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r>
      <w:tr w:rsidR="00643896" w:rsidRPr="00640820" w14:paraId="1479FB9A" w14:textId="77777777" w:rsidTr="000D3BCB">
        <w:tc>
          <w:tcPr>
            <w:tcW w:w="2518" w:type="dxa"/>
          </w:tcPr>
          <w:p w14:paraId="154F11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479</w:t>
            </w:r>
          </w:p>
        </w:tc>
        <w:tc>
          <w:tcPr>
            <w:tcW w:w="2688" w:type="dxa"/>
          </w:tcPr>
          <w:p w14:paraId="15545EF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Серпухов</w:t>
            </w:r>
          </w:p>
        </w:tc>
        <w:tc>
          <w:tcPr>
            <w:tcW w:w="1706" w:type="dxa"/>
          </w:tcPr>
          <w:p w14:paraId="60CC30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102</w:t>
            </w:r>
          </w:p>
        </w:tc>
      </w:tr>
      <w:tr w:rsidR="00643896" w:rsidRPr="00640820" w14:paraId="1D5C56A9" w14:textId="77777777" w:rsidTr="000D3BCB">
        <w:tc>
          <w:tcPr>
            <w:tcW w:w="2518" w:type="dxa"/>
          </w:tcPr>
          <w:p w14:paraId="26B5FA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480</w:t>
            </w:r>
          </w:p>
        </w:tc>
        <w:tc>
          <w:tcPr>
            <w:tcW w:w="2688" w:type="dxa"/>
          </w:tcPr>
          <w:p w14:paraId="2E5697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Харьков</w:t>
            </w:r>
          </w:p>
        </w:tc>
        <w:tc>
          <w:tcPr>
            <w:tcW w:w="1706" w:type="dxa"/>
          </w:tcPr>
          <w:p w14:paraId="4B0F19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800</w:t>
            </w:r>
          </w:p>
        </w:tc>
      </w:tr>
      <w:tr w:rsidR="00643896" w:rsidRPr="00640820" w14:paraId="0537321E" w14:textId="77777777" w:rsidTr="000D3BCB">
        <w:tc>
          <w:tcPr>
            <w:tcW w:w="2518" w:type="dxa"/>
          </w:tcPr>
          <w:p w14:paraId="7A755E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213</w:t>
            </w:r>
          </w:p>
        </w:tc>
        <w:tc>
          <w:tcPr>
            <w:tcW w:w="2688" w:type="dxa"/>
          </w:tcPr>
          <w:p w14:paraId="03C283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 2</w:t>
            </w:r>
          </w:p>
        </w:tc>
        <w:tc>
          <w:tcPr>
            <w:tcW w:w="1706" w:type="dxa"/>
          </w:tcPr>
          <w:p w14:paraId="584C61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424</w:t>
            </w:r>
          </w:p>
        </w:tc>
      </w:tr>
      <w:tr w:rsidR="00643896" w:rsidRPr="00640820" w14:paraId="2F7F5C18" w14:textId="77777777" w:rsidTr="000D3BCB">
        <w:tc>
          <w:tcPr>
            <w:tcW w:w="2518" w:type="dxa"/>
          </w:tcPr>
          <w:p w14:paraId="318A576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230</w:t>
            </w:r>
          </w:p>
        </w:tc>
        <w:tc>
          <w:tcPr>
            <w:tcW w:w="2688" w:type="dxa"/>
          </w:tcPr>
          <w:p w14:paraId="2348E9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 22</w:t>
            </w:r>
          </w:p>
        </w:tc>
        <w:tc>
          <w:tcPr>
            <w:tcW w:w="1706" w:type="dxa"/>
          </w:tcPr>
          <w:p w14:paraId="3F22A7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2264</w:t>
            </w:r>
          </w:p>
        </w:tc>
      </w:tr>
      <w:tr w:rsidR="00643896" w:rsidRPr="00640820" w14:paraId="52C0CC5B" w14:textId="77777777" w:rsidTr="000D3BCB">
        <w:tc>
          <w:tcPr>
            <w:tcW w:w="2518" w:type="dxa"/>
          </w:tcPr>
          <w:p w14:paraId="43FCD2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279</w:t>
            </w:r>
          </w:p>
        </w:tc>
        <w:tc>
          <w:tcPr>
            <w:tcW w:w="2688" w:type="dxa"/>
          </w:tcPr>
          <w:p w14:paraId="552CBA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Раменское, МО</w:t>
            </w:r>
          </w:p>
        </w:tc>
        <w:tc>
          <w:tcPr>
            <w:tcW w:w="1706" w:type="dxa"/>
          </w:tcPr>
          <w:p w14:paraId="2FEA83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350</w:t>
            </w:r>
          </w:p>
        </w:tc>
      </w:tr>
      <w:tr w:rsidR="00643896" w:rsidRPr="00640820" w14:paraId="512FD649" w14:textId="77777777" w:rsidTr="000D3BCB">
        <w:tc>
          <w:tcPr>
            <w:tcW w:w="2518" w:type="dxa"/>
          </w:tcPr>
          <w:p w14:paraId="496C9E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474</w:t>
            </w:r>
          </w:p>
        </w:tc>
        <w:tc>
          <w:tcPr>
            <w:tcW w:w="2688" w:type="dxa"/>
          </w:tcPr>
          <w:p w14:paraId="66FBB8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 18</w:t>
            </w:r>
          </w:p>
        </w:tc>
        <w:tc>
          <w:tcPr>
            <w:tcW w:w="1706" w:type="dxa"/>
          </w:tcPr>
          <w:p w14:paraId="61D55B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1408</w:t>
            </w:r>
          </w:p>
        </w:tc>
      </w:tr>
      <w:tr w:rsidR="00643896" w:rsidRPr="00640820" w14:paraId="3250FAE4" w14:textId="77777777" w:rsidTr="000D3BCB">
        <w:tc>
          <w:tcPr>
            <w:tcW w:w="2518" w:type="dxa"/>
          </w:tcPr>
          <w:p w14:paraId="333C90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Сходненский Точизмеритель</w:t>
            </w:r>
          </w:p>
        </w:tc>
        <w:tc>
          <w:tcPr>
            <w:tcW w:w="2688" w:type="dxa"/>
          </w:tcPr>
          <w:p w14:paraId="3578B5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 Сходня, Окт. Ж.д.</w:t>
            </w:r>
          </w:p>
        </w:tc>
        <w:tc>
          <w:tcPr>
            <w:tcW w:w="1706" w:type="dxa"/>
          </w:tcPr>
          <w:p w14:paraId="72D361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111FB35" w14:textId="77777777" w:rsidTr="000D3BCB">
        <w:tc>
          <w:tcPr>
            <w:tcW w:w="2518" w:type="dxa"/>
          </w:tcPr>
          <w:p w14:paraId="67B5D3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218</w:t>
            </w:r>
          </w:p>
        </w:tc>
        <w:tc>
          <w:tcPr>
            <w:tcW w:w="2688" w:type="dxa"/>
          </w:tcPr>
          <w:p w14:paraId="456F36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Ленингра, 101</w:t>
            </w:r>
          </w:p>
        </w:tc>
        <w:tc>
          <w:tcPr>
            <w:tcW w:w="1706" w:type="dxa"/>
          </w:tcPr>
          <w:p w14:paraId="56777D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518</w:t>
            </w:r>
          </w:p>
        </w:tc>
      </w:tr>
      <w:tr w:rsidR="00643896" w:rsidRPr="00640820" w14:paraId="1EA92220" w14:textId="77777777" w:rsidTr="000D3BCB">
        <w:tc>
          <w:tcPr>
            <w:tcW w:w="2518" w:type="dxa"/>
          </w:tcPr>
          <w:p w14:paraId="69DEFB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278</w:t>
            </w:r>
          </w:p>
        </w:tc>
        <w:tc>
          <w:tcPr>
            <w:tcW w:w="2688" w:type="dxa"/>
          </w:tcPr>
          <w:p w14:paraId="2A66B9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Ленинград, 11</w:t>
            </w:r>
          </w:p>
        </w:tc>
        <w:tc>
          <w:tcPr>
            <w:tcW w:w="1706" w:type="dxa"/>
          </w:tcPr>
          <w:p w14:paraId="41F2E7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597</w:t>
            </w:r>
          </w:p>
        </w:tc>
      </w:tr>
      <w:tr w:rsidR="00643896" w:rsidRPr="00640820" w14:paraId="19A19BD7" w14:textId="77777777" w:rsidTr="000D3BCB">
        <w:tc>
          <w:tcPr>
            <w:tcW w:w="2518" w:type="dxa"/>
          </w:tcPr>
          <w:p w14:paraId="598EF7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379</w:t>
            </w:r>
          </w:p>
        </w:tc>
        <w:tc>
          <w:tcPr>
            <w:tcW w:w="2688" w:type="dxa"/>
          </w:tcPr>
          <w:p w14:paraId="5CC057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Ленинград, 95</w:t>
            </w:r>
          </w:p>
        </w:tc>
        <w:tc>
          <w:tcPr>
            <w:tcW w:w="1706" w:type="dxa"/>
          </w:tcPr>
          <w:p w14:paraId="59E3F7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476</w:t>
            </w:r>
          </w:p>
        </w:tc>
      </w:tr>
      <w:tr w:rsidR="00643896" w:rsidRPr="00640820" w14:paraId="1FA29B2B" w14:textId="77777777" w:rsidTr="000D3BCB">
        <w:tc>
          <w:tcPr>
            <w:tcW w:w="2518" w:type="dxa"/>
          </w:tcPr>
          <w:p w14:paraId="67E441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133</w:t>
            </w:r>
          </w:p>
        </w:tc>
        <w:tc>
          <w:tcPr>
            <w:tcW w:w="2688" w:type="dxa"/>
          </w:tcPr>
          <w:p w14:paraId="3AB0AB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Ленинград, 15</w:t>
            </w:r>
          </w:p>
        </w:tc>
        <w:tc>
          <w:tcPr>
            <w:tcW w:w="1706" w:type="dxa"/>
          </w:tcPr>
          <w:p w14:paraId="26BF9A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981</w:t>
            </w:r>
          </w:p>
        </w:tc>
      </w:tr>
      <w:tr w:rsidR="00643896" w:rsidRPr="00640820" w14:paraId="6EDF1B8D" w14:textId="77777777" w:rsidTr="000D3BCB">
        <w:tc>
          <w:tcPr>
            <w:tcW w:w="2518" w:type="dxa"/>
          </w:tcPr>
          <w:p w14:paraId="3C277B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2688" w:type="dxa"/>
          </w:tcPr>
          <w:p w14:paraId="51B1A8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 20</w:t>
            </w:r>
          </w:p>
        </w:tc>
        <w:tc>
          <w:tcPr>
            <w:tcW w:w="1706" w:type="dxa"/>
          </w:tcPr>
          <w:p w14:paraId="2793DF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4217</w:t>
            </w:r>
          </w:p>
        </w:tc>
      </w:tr>
      <w:tr w:rsidR="00643896" w:rsidRPr="00640820" w14:paraId="17A7BB5B" w14:textId="77777777" w:rsidTr="000D3BCB">
        <w:tc>
          <w:tcPr>
            <w:tcW w:w="2518" w:type="dxa"/>
          </w:tcPr>
          <w:p w14:paraId="0030E9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33</w:t>
            </w:r>
          </w:p>
        </w:tc>
        <w:tc>
          <w:tcPr>
            <w:tcW w:w="2688" w:type="dxa"/>
          </w:tcPr>
          <w:p w14:paraId="6F7BE33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 15</w:t>
            </w:r>
          </w:p>
        </w:tc>
        <w:tc>
          <w:tcPr>
            <w:tcW w:w="1706" w:type="dxa"/>
          </w:tcPr>
          <w:p w14:paraId="7EC99D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224</w:t>
            </w:r>
          </w:p>
        </w:tc>
      </w:tr>
      <w:tr w:rsidR="00643896" w:rsidRPr="00640820" w14:paraId="2105FBA1" w14:textId="77777777" w:rsidTr="000D3BCB">
        <w:tc>
          <w:tcPr>
            <w:tcW w:w="2518" w:type="dxa"/>
          </w:tcPr>
          <w:p w14:paraId="18CB44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132</w:t>
            </w:r>
          </w:p>
        </w:tc>
        <w:tc>
          <w:tcPr>
            <w:tcW w:w="2688" w:type="dxa"/>
          </w:tcPr>
          <w:p w14:paraId="4903ACC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 15</w:t>
            </w:r>
          </w:p>
        </w:tc>
        <w:tc>
          <w:tcPr>
            <w:tcW w:w="1706" w:type="dxa"/>
          </w:tcPr>
          <w:p w14:paraId="2D07D8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192</w:t>
            </w:r>
          </w:p>
        </w:tc>
      </w:tr>
      <w:tr w:rsidR="00643896" w:rsidRPr="00640820" w14:paraId="0B780008" w14:textId="77777777" w:rsidTr="000D3BCB">
        <w:tc>
          <w:tcPr>
            <w:tcW w:w="2518" w:type="dxa"/>
          </w:tcPr>
          <w:p w14:paraId="7D930D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161</w:t>
            </w:r>
          </w:p>
        </w:tc>
        <w:tc>
          <w:tcPr>
            <w:tcW w:w="2688" w:type="dxa"/>
          </w:tcPr>
          <w:p w14:paraId="0D893C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 5</w:t>
            </w:r>
          </w:p>
        </w:tc>
        <w:tc>
          <w:tcPr>
            <w:tcW w:w="1706" w:type="dxa"/>
          </w:tcPr>
          <w:p w14:paraId="64E39F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132</w:t>
            </w:r>
          </w:p>
        </w:tc>
      </w:tr>
      <w:tr w:rsidR="00643896" w:rsidRPr="00640820" w14:paraId="5E5A4370" w14:textId="77777777" w:rsidTr="000D3BCB">
        <w:tc>
          <w:tcPr>
            <w:tcW w:w="2518" w:type="dxa"/>
          </w:tcPr>
          <w:p w14:paraId="15A5EF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266</w:t>
            </w:r>
          </w:p>
        </w:tc>
        <w:tc>
          <w:tcPr>
            <w:tcW w:w="2688" w:type="dxa"/>
          </w:tcPr>
          <w:p w14:paraId="19D740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 58</w:t>
            </w:r>
          </w:p>
        </w:tc>
        <w:tc>
          <w:tcPr>
            <w:tcW w:w="1706" w:type="dxa"/>
          </w:tcPr>
          <w:p w14:paraId="71BF98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2352</w:t>
            </w:r>
          </w:p>
        </w:tc>
      </w:tr>
      <w:tr w:rsidR="00643896" w:rsidRPr="00640820" w14:paraId="5576A6C7" w14:textId="77777777" w:rsidTr="000D3BCB">
        <w:tc>
          <w:tcPr>
            <w:tcW w:w="2518" w:type="dxa"/>
          </w:tcPr>
          <w:p w14:paraId="47DA18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444</w:t>
            </w:r>
          </w:p>
        </w:tc>
        <w:tc>
          <w:tcPr>
            <w:tcW w:w="2688" w:type="dxa"/>
          </w:tcPr>
          <w:p w14:paraId="14E6CC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Перово, МО</w:t>
            </w:r>
          </w:p>
        </w:tc>
        <w:tc>
          <w:tcPr>
            <w:tcW w:w="1706" w:type="dxa"/>
          </w:tcPr>
          <w:p w14:paraId="753D8D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802</w:t>
            </w:r>
          </w:p>
        </w:tc>
      </w:tr>
      <w:tr w:rsidR="00643896" w:rsidRPr="00640820" w14:paraId="328C9ACD" w14:textId="77777777" w:rsidTr="000D3BCB">
        <w:tc>
          <w:tcPr>
            <w:tcW w:w="2518" w:type="dxa"/>
          </w:tcPr>
          <w:p w14:paraId="43E8F2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476</w:t>
            </w:r>
          </w:p>
        </w:tc>
        <w:tc>
          <w:tcPr>
            <w:tcW w:w="2688" w:type="dxa"/>
          </w:tcPr>
          <w:p w14:paraId="5ABCC8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 55</w:t>
            </w:r>
          </w:p>
        </w:tc>
        <w:tc>
          <w:tcPr>
            <w:tcW w:w="1706" w:type="dxa"/>
          </w:tcPr>
          <w:p w14:paraId="176256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2413</w:t>
            </w:r>
          </w:p>
        </w:tc>
      </w:tr>
      <w:tr w:rsidR="00643896" w:rsidRPr="00640820" w14:paraId="2E5C5794" w14:textId="77777777" w:rsidTr="000D3BCB">
        <w:tc>
          <w:tcPr>
            <w:tcW w:w="2518" w:type="dxa"/>
          </w:tcPr>
          <w:p w14:paraId="571B6F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296</w:t>
            </w:r>
          </w:p>
        </w:tc>
        <w:tc>
          <w:tcPr>
            <w:tcW w:w="2688" w:type="dxa"/>
          </w:tcPr>
          <w:p w14:paraId="527F67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Харьков</w:t>
            </w:r>
          </w:p>
        </w:tc>
        <w:tc>
          <w:tcPr>
            <w:tcW w:w="1706" w:type="dxa"/>
          </w:tcPr>
          <w:p w14:paraId="7CB106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711</w:t>
            </w:r>
          </w:p>
        </w:tc>
      </w:tr>
      <w:tr w:rsidR="00643896" w:rsidRPr="00640820" w14:paraId="2FA2E1CF" w14:textId="77777777" w:rsidTr="000D3BCB">
        <w:tc>
          <w:tcPr>
            <w:tcW w:w="2518" w:type="dxa"/>
          </w:tcPr>
          <w:p w14:paraId="279897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339</w:t>
            </w:r>
          </w:p>
        </w:tc>
        <w:tc>
          <w:tcPr>
            <w:tcW w:w="2688" w:type="dxa"/>
          </w:tcPr>
          <w:p w14:paraId="23EDF9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Молотов, 10</w:t>
            </w:r>
          </w:p>
        </w:tc>
        <w:tc>
          <w:tcPr>
            <w:tcW w:w="1706" w:type="dxa"/>
          </w:tcPr>
          <w:p w14:paraId="7B8EC8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r>
      <w:tr w:rsidR="00643896" w:rsidRPr="00640820" w14:paraId="42D4ACCF" w14:textId="77777777" w:rsidTr="000D3BCB">
        <w:tc>
          <w:tcPr>
            <w:tcW w:w="2518" w:type="dxa"/>
          </w:tcPr>
          <w:p w14:paraId="16BD8C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456</w:t>
            </w:r>
          </w:p>
        </w:tc>
        <w:tc>
          <w:tcPr>
            <w:tcW w:w="2688" w:type="dxa"/>
          </w:tcPr>
          <w:p w14:paraId="00B698B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Полтава</w:t>
            </w:r>
          </w:p>
        </w:tc>
        <w:tc>
          <w:tcPr>
            <w:tcW w:w="1706" w:type="dxa"/>
          </w:tcPr>
          <w:p w14:paraId="780DC1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103</w:t>
            </w:r>
          </w:p>
        </w:tc>
      </w:tr>
      <w:tr w:rsidR="00643896" w:rsidRPr="00640820" w14:paraId="2C921BC1" w14:textId="77777777" w:rsidTr="000D3BCB">
        <w:tc>
          <w:tcPr>
            <w:tcW w:w="2518" w:type="dxa"/>
          </w:tcPr>
          <w:p w14:paraId="73F66A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462</w:t>
            </w:r>
          </w:p>
        </w:tc>
        <w:tc>
          <w:tcPr>
            <w:tcW w:w="2688" w:type="dxa"/>
          </w:tcPr>
          <w:p w14:paraId="4F5406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Днепропетровск</w:t>
            </w:r>
          </w:p>
        </w:tc>
        <w:tc>
          <w:tcPr>
            <w:tcW w:w="1706" w:type="dxa"/>
          </w:tcPr>
          <w:p w14:paraId="657DF7A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210</w:t>
            </w:r>
          </w:p>
        </w:tc>
      </w:tr>
      <w:tr w:rsidR="00643896" w:rsidRPr="00640820" w14:paraId="3C9C2DB2" w14:textId="77777777" w:rsidTr="000D3BCB">
        <w:tc>
          <w:tcPr>
            <w:tcW w:w="2518" w:type="dxa"/>
          </w:tcPr>
          <w:p w14:paraId="7C3F98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306</w:t>
            </w:r>
          </w:p>
        </w:tc>
        <w:tc>
          <w:tcPr>
            <w:tcW w:w="2688" w:type="dxa"/>
          </w:tcPr>
          <w:p w14:paraId="2EC660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Саратов</w:t>
            </w:r>
          </w:p>
        </w:tc>
        <w:tc>
          <w:tcPr>
            <w:tcW w:w="1706" w:type="dxa"/>
          </w:tcPr>
          <w:p w14:paraId="0B6BAB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105</w:t>
            </w:r>
          </w:p>
        </w:tc>
      </w:tr>
      <w:tr w:rsidR="00643896" w:rsidRPr="00640820" w14:paraId="34EFC3E3" w14:textId="77777777" w:rsidTr="000D3BCB">
        <w:tc>
          <w:tcPr>
            <w:tcW w:w="2518" w:type="dxa"/>
          </w:tcPr>
          <w:p w14:paraId="4E91C8E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461</w:t>
            </w:r>
          </w:p>
        </w:tc>
        <w:tc>
          <w:tcPr>
            <w:tcW w:w="2688" w:type="dxa"/>
          </w:tcPr>
          <w:p w14:paraId="49D410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Киров</w:t>
            </w:r>
          </w:p>
        </w:tc>
        <w:tc>
          <w:tcPr>
            <w:tcW w:w="1706" w:type="dxa"/>
          </w:tcPr>
          <w:p w14:paraId="678D5B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233</w:t>
            </w:r>
          </w:p>
        </w:tc>
      </w:tr>
      <w:tr w:rsidR="00643896" w:rsidRPr="00640820" w14:paraId="2CE25349" w14:textId="77777777" w:rsidTr="000D3BCB">
        <w:tc>
          <w:tcPr>
            <w:tcW w:w="2518" w:type="dxa"/>
          </w:tcPr>
          <w:p w14:paraId="6D3A9C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Комбинат 150</w:t>
            </w:r>
          </w:p>
        </w:tc>
        <w:tc>
          <w:tcPr>
            <w:tcW w:w="2688" w:type="dxa"/>
          </w:tcPr>
          <w:p w14:paraId="7C95AD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Ступино, МО</w:t>
            </w:r>
          </w:p>
        </w:tc>
        <w:tc>
          <w:tcPr>
            <w:tcW w:w="1706" w:type="dxa"/>
          </w:tcPr>
          <w:p w14:paraId="1534FD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7201903" w14:textId="77777777" w:rsidTr="000D3BCB">
        <w:tc>
          <w:tcPr>
            <w:tcW w:w="2518" w:type="dxa"/>
          </w:tcPr>
          <w:p w14:paraId="01A1F5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w:t>
            </w:r>
          </w:p>
        </w:tc>
        <w:tc>
          <w:tcPr>
            <w:tcW w:w="2688" w:type="dxa"/>
          </w:tcPr>
          <w:p w14:paraId="3D5340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Горький. 35</w:t>
            </w:r>
          </w:p>
        </w:tc>
        <w:tc>
          <w:tcPr>
            <w:tcW w:w="1706" w:type="dxa"/>
          </w:tcPr>
          <w:p w14:paraId="3DF0BA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w:t>
            </w:r>
          </w:p>
        </w:tc>
      </w:tr>
      <w:tr w:rsidR="00643896" w:rsidRPr="00640820" w14:paraId="76333C2D" w14:textId="77777777" w:rsidTr="000D3BCB">
        <w:tc>
          <w:tcPr>
            <w:tcW w:w="2518" w:type="dxa"/>
          </w:tcPr>
          <w:p w14:paraId="056C70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w:t>
            </w:r>
          </w:p>
        </w:tc>
        <w:tc>
          <w:tcPr>
            <w:tcW w:w="2688" w:type="dxa"/>
          </w:tcPr>
          <w:p w14:paraId="2C1DA0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Ленинград, 10</w:t>
            </w:r>
          </w:p>
        </w:tc>
        <w:tc>
          <w:tcPr>
            <w:tcW w:w="1706" w:type="dxa"/>
          </w:tcPr>
          <w:p w14:paraId="079B91C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493</w:t>
            </w:r>
          </w:p>
        </w:tc>
      </w:tr>
      <w:tr w:rsidR="00643896" w:rsidRPr="00640820" w14:paraId="0D14C30F" w14:textId="77777777" w:rsidTr="000D3BCB">
        <w:tc>
          <w:tcPr>
            <w:tcW w:w="2518" w:type="dxa"/>
          </w:tcPr>
          <w:p w14:paraId="26988A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47</w:t>
            </w:r>
          </w:p>
        </w:tc>
        <w:tc>
          <w:tcPr>
            <w:tcW w:w="2688" w:type="dxa"/>
          </w:tcPr>
          <w:p w14:paraId="451394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Ленинград, 6</w:t>
            </w:r>
          </w:p>
        </w:tc>
        <w:tc>
          <w:tcPr>
            <w:tcW w:w="1706" w:type="dxa"/>
          </w:tcPr>
          <w:p w14:paraId="1B32F6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936</w:t>
            </w:r>
          </w:p>
        </w:tc>
      </w:tr>
      <w:tr w:rsidR="00643896" w:rsidRPr="00640820" w14:paraId="1A0B61B1" w14:textId="77777777" w:rsidTr="000D3BCB">
        <w:tc>
          <w:tcPr>
            <w:tcW w:w="2518" w:type="dxa"/>
          </w:tcPr>
          <w:p w14:paraId="708BD4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153</w:t>
            </w:r>
          </w:p>
        </w:tc>
        <w:tc>
          <w:tcPr>
            <w:tcW w:w="2688" w:type="dxa"/>
          </w:tcPr>
          <w:p w14:paraId="3F63A8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Новосибирск</w:t>
            </w:r>
          </w:p>
        </w:tc>
        <w:tc>
          <w:tcPr>
            <w:tcW w:w="1706" w:type="dxa"/>
          </w:tcPr>
          <w:p w14:paraId="6D4563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1100</w:t>
            </w:r>
          </w:p>
        </w:tc>
      </w:tr>
      <w:tr w:rsidR="00643896" w:rsidRPr="00640820" w14:paraId="4AD90251" w14:textId="77777777" w:rsidTr="000D3BCB">
        <w:tc>
          <w:tcPr>
            <w:tcW w:w="2518" w:type="dxa"/>
          </w:tcPr>
          <w:p w14:paraId="41AF8D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207</w:t>
            </w:r>
          </w:p>
        </w:tc>
        <w:tc>
          <w:tcPr>
            <w:tcW w:w="2688" w:type="dxa"/>
          </w:tcPr>
          <w:p w14:paraId="06CADB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 центр</w:t>
            </w:r>
          </w:p>
        </w:tc>
        <w:tc>
          <w:tcPr>
            <w:tcW w:w="1706" w:type="dxa"/>
          </w:tcPr>
          <w:p w14:paraId="2F46D1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1078</w:t>
            </w:r>
          </w:p>
        </w:tc>
      </w:tr>
      <w:tr w:rsidR="00643896" w:rsidRPr="00640820" w14:paraId="1BDB10AB" w14:textId="77777777" w:rsidTr="000D3BCB">
        <w:tc>
          <w:tcPr>
            <w:tcW w:w="2518" w:type="dxa"/>
          </w:tcPr>
          <w:p w14:paraId="023ABA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292</w:t>
            </w:r>
          </w:p>
        </w:tc>
        <w:tc>
          <w:tcPr>
            <w:tcW w:w="2688" w:type="dxa"/>
          </w:tcPr>
          <w:p w14:paraId="221F77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Саратов, 15</w:t>
            </w:r>
          </w:p>
        </w:tc>
        <w:tc>
          <w:tcPr>
            <w:tcW w:w="1706" w:type="dxa"/>
          </w:tcPr>
          <w:p w14:paraId="2C2B80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r>
      <w:tr w:rsidR="00643896" w:rsidRPr="00640820" w14:paraId="3321E493" w14:textId="77777777" w:rsidTr="000D3BCB">
        <w:tc>
          <w:tcPr>
            <w:tcW w:w="2518" w:type="dxa"/>
          </w:tcPr>
          <w:p w14:paraId="3E1B233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83</w:t>
            </w:r>
          </w:p>
        </w:tc>
        <w:tc>
          <w:tcPr>
            <w:tcW w:w="2688" w:type="dxa"/>
          </w:tcPr>
          <w:p w14:paraId="322316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Хабаровск. 10</w:t>
            </w:r>
          </w:p>
        </w:tc>
        <w:tc>
          <w:tcPr>
            <w:tcW w:w="1706" w:type="dxa"/>
          </w:tcPr>
          <w:p w14:paraId="073263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338</w:t>
            </w:r>
          </w:p>
        </w:tc>
      </w:tr>
      <w:tr w:rsidR="00643896" w:rsidRPr="00640820" w14:paraId="2857EF58" w14:textId="77777777" w:rsidTr="000D3BCB">
        <w:tc>
          <w:tcPr>
            <w:tcW w:w="2518" w:type="dxa"/>
          </w:tcPr>
          <w:p w14:paraId="364AB8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116</w:t>
            </w:r>
          </w:p>
        </w:tc>
        <w:tc>
          <w:tcPr>
            <w:tcW w:w="2688" w:type="dxa"/>
          </w:tcPr>
          <w:p w14:paraId="6B9EF7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Семеновка, Уссурийск</w:t>
            </w:r>
          </w:p>
        </w:tc>
        <w:tc>
          <w:tcPr>
            <w:tcW w:w="1706" w:type="dxa"/>
          </w:tcPr>
          <w:p w14:paraId="4C7B11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1/16</w:t>
            </w:r>
          </w:p>
        </w:tc>
      </w:tr>
      <w:tr w:rsidR="00643896" w:rsidRPr="00640820" w14:paraId="30DFECE1" w14:textId="77777777" w:rsidTr="000D3BCB">
        <w:tc>
          <w:tcPr>
            <w:tcW w:w="2518" w:type="dxa"/>
          </w:tcPr>
          <w:p w14:paraId="5085C2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81</w:t>
            </w:r>
          </w:p>
        </w:tc>
        <w:tc>
          <w:tcPr>
            <w:tcW w:w="2688" w:type="dxa"/>
          </w:tcPr>
          <w:p w14:paraId="368990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 57</w:t>
            </w:r>
          </w:p>
        </w:tc>
        <w:tc>
          <w:tcPr>
            <w:tcW w:w="1706" w:type="dxa"/>
          </w:tcPr>
          <w:p w14:paraId="5666628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1309</w:t>
            </w:r>
          </w:p>
        </w:tc>
      </w:tr>
      <w:tr w:rsidR="00643896" w:rsidRPr="00640820" w14:paraId="7E306D38" w14:textId="77777777" w:rsidTr="000D3BCB">
        <w:tc>
          <w:tcPr>
            <w:tcW w:w="2518" w:type="dxa"/>
          </w:tcPr>
          <w:p w14:paraId="198F40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w:t>
            </w:r>
          </w:p>
        </w:tc>
        <w:tc>
          <w:tcPr>
            <w:tcW w:w="2688" w:type="dxa"/>
          </w:tcPr>
          <w:p w14:paraId="27BA2E4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 40</w:t>
            </w:r>
          </w:p>
        </w:tc>
        <w:tc>
          <w:tcPr>
            <w:tcW w:w="1706" w:type="dxa"/>
          </w:tcPr>
          <w:p w14:paraId="2C8ED2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2407</w:t>
            </w:r>
          </w:p>
        </w:tc>
      </w:tr>
      <w:tr w:rsidR="00643896" w:rsidRPr="00640820" w14:paraId="78D5E252" w14:textId="77777777" w:rsidTr="000D3BCB">
        <w:tc>
          <w:tcPr>
            <w:tcW w:w="2518" w:type="dxa"/>
          </w:tcPr>
          <w:p w14:paraId="22DB03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34</w:t>
            </w:r>
          </w:p>
        </w:tc>
        <w:tc>
          <w:tcPr>
            <w:tcW w:w="2688" w:type="dxa"/>
          </w:tcPr>
          <w:p w14:paraId="47154B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 40</w:t>
            </w:r>
          </w:p>
        </w:tc>
        <w:tc>
          <w:tcPr>
            <w:tcW w:w="1706" w:type="dxa"/>
          </w:tcPr>
          <w:p w14:paraId="1710C1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2408</w:t>
            </w:r>
          </w:p>
        </w:tc>
      </w:tr>
      <w:tr w:rsidR="00643896" w:rsidRPr="00640820" w14:paraId="6FE6576E" w14:textId="77777777" w:rsidTr="000D3BCB">
        <w:tc>
          <w:tcPr>
            <w:tcW w:w="2518" w:type="dxa"/>
          </w:tcPr>
          <w:p w14:paraId="40585B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119</w:t>
            </w:r>
          </w:p>
        </w:tc>
        <w:tc>
          <w:tcPr>
            <w:tcW w:w="2688" w:type="dxa"/>
          </w:tcPr>
          <w:p w14:paraId="18AAC8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 9</w:t>
            </w:r>
          </w:p>
        </w:tc>
        <w:tc>
          <w:tcPr>
            <w:tcW w:w="1706" w:type="dxa"/>
          </w:tcPr>
          <w:p w14:paraId="6AD45C5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307</w:t>
            </w:r>
          </w:p>
        </w:tc>
      </w:tr>
      <w:tr w:rsidR="00643896" w:rsidRPr="00640820" w14:paraId="2257FB5C" w14:textId="77777777" w:rsidTr="000D3BCB">
        <w:tc>
          <w:tcPr>
            <w:tcW w:w="2518" w:type="dxa"/>
          </w:tcPr>
          <w:p w14:paraId="72B506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120</w:t>
            </w:r>
          </w:p>
        </w:tc>
        <w:tc>
          <w:tcPr>
            <w:tcW w:w="2688" w:type="dxa"/>
          </w:tcPr>
          <w:p w14:paraId="25BCD5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c>
          <w:tcPr>
            <w:tcW w:w="1706" w:type="dxa"/>
          </w:tcPr>
          <w:p w14:paraId="584D23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988</w:t>
            </w:r>
          </w:p>
        </w:tc>
      </w:tr>
      <w:tr w:rsidR="00643896" w:rsidRPr="00640820" w14:paraId="7395644A" w14:textId="77777777" w:rsidTr="000D3BCB">
        <w:tc>
          <w:tcPr>
            <w:tcW w:w="2518" w:type="dxa"/>
          </w:tcPr>
          <w:p w14:paraId="2452B6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145</w:t>
            </w:r>
          </w:p>
        </w:tc>
        <w:tc>
          <w:tcPr>
            <w:tcW w:w="2688" w:type="dxa"/>
          </w:tcPr>
          <w:p w14:paraId="143755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 114</w:t>
            </w:r>
          </w:p>
        </w:tc>
        <w:tc>
          <w:tcPr>
            <w:tcW w:w="1706" w:type="dxa"/>
          </w:tcPr>
          <w:p w14:paraId="29DBE2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119</w:t>
            </w:r>
          </w:p>
        </w:tc>
      </w:tr>
      <w:tr w:rsidR="00643896" w:rsidRPr="00640820" w14:paraId="47DBF017" w14:textId="77777777" w:rsidTr="000D3BCB">
        <w:tc>
          <w:tcPr>
            <w:tcW w:w="2518" w:type="dxa"/>
          </w:tcPr>
          <w:p w14:paraId="453554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261</w:t>
            </w:r>
          </w:p>
        </w:tc>
        <w:tc>
          <w:tcPr>
            <w:tcW w:w="2688" w:type="dxa"/>
          </w:tcPr>
          <w:p w14:paraId="29FBA3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 81</w:t>
            </w:r>
          </w:p>
        </w:tc>
        <w:tc>
          <w:tcPr>
            <w:tcW w:w="1706" w:type="dxa"/>
          </w:tcPr>
          <w:p w14:paraId="35BDA7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2382</w:t>
            </w:r>
          </w:p>
        </w:tc>
      </w:tr>
      <w:tr w:rsidR="00643896" w:rsidRPr="00640820" w14:paraId="1913DB70" w14:textId="77777777" w:rsidTr="000D3BCB">
        <w:tc>
          <w:tcPr>
            <w:tcW w:w="2518" w:type="dxa"/>
          </w:tcPr>
          <w:p w14:paraId="5B9683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388</w:t>
            </w:r>
          </w:p>
        </w:tc>
        <w:tc>
          <w:tcPr>
            <w:tcW w:w="2688" w:type="dxa"/>
          </w:tcPr>
          <w:p w14:paraId="3832AF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Ленинград, 22</w:t>
            </w:r>
          </w:p>
        </w:tc>
        <w:tc>
          <w:tcPr>
            <w:tcW w:w="1706" w:type="dxa"/>
          </w:tcPr>
          <w:p w14:paraId="0B8F71F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228</w:t>
            </w:r>
          </w:p>
        </w:tc>
      </w:tr>
      <w:tr w:rsidR="00643896" w:rsidRPr="00640820" w14:paraId="2D4D9D5C" w14:textId="77777777" w:rsidTr="000D3BCB">
        <w:tc>
          <w:tcPr>
            <w:tcW w:w="2518" w:type="dxa"/>
          </w:tcPr>
          <w:p w14:paraId="29D60E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455</w:t>
            </w:r>
          </w:p>
        </w:tc>
        <w:tc>
          <w:tcPr>
            <w:tcW w:w="2688" w:type="dxa"/>
          </w:tcPr>
          <w:p w14:paraId="1403F5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Киев. 50</w:t>
            </w:r>
          </w:p>
        </w:tc>
        <w:tc>
          <w:tcPr>
            <w:tcW w:w="1706" w:type="dxa"/>
          </w:tcPr>
          <w:p w14:paraId="76F197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406</w:t>
            </w:r>
          </w:p>
        </w:tc>
      </w:tr>
      <w:tr w:rsidR="00643896" w:rsidRPr="00640820" w14:paraId="063D774A" w14:textId="77777777" w:rsidTr="000D3BCB">
        <w:tc>
          <w:tcPr>
            <w:tcW w:w="2518" w:type="dxa"/>
          </w:tcPr>
          <w:p w14:paraId="159A8B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457</w:t>
            </w:r>
          </w:p>
        </w:tc>
        <w:tc>
          <w:tcPr>
            <w:tcW w:w="2688" w:type="dxa"/>
          </w:tcPr>
          <w:p w14:paraId="64D8D1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Запорожье. 16</w:t>
            </w:r>
          </w:p>
        </w:tc>
        <w:tc>
          <w:tcPr>
            <w:tcW w:w="1706" w:type="dxa"/>
          </w:tcPr>
          <w:p w14:paraId="6CDD70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r>
      <w:tr w:rsidR="00643896" w:rsidRPr="00640820" w14:paraId="24D6CC0A" w14:textId="77777777" w:rsidTr="000D3BCB">
        <w:tc>
          <w:tcPr>
            <w:tcW w:w="2518" w:type="dxa"/>
          </w:tcPr>
          <w:p w14:paraId="7F160D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469</w:t>
            </w:r>
          </w:p>
        </w:tc>
        <w:tc>
          <w:tcPr>
            <w:tcW w:w="2688" w:type="dxa"/>
          </w:tcPr>
          <w:p w14:paraId="0C0EDE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Солнечногорск, МО</w:t>
            </w:r>
          </w:p>
        </w:tc>
        <w:tc>
          <w:tcPr>
            <w:tcW w:w="1706" w:type="dxa"/>
          </w:tcPr>
          <w:p w14:paraId="316C5A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r>
      <w:tr w:rsidR="00643896" w:rsidRPr="00640820" w14:paraId="37CF7B76" w14:textId="77777777" w:rsidTr="000D3BCB">
        <w:tc>
          <w:tcPr>
            <w:tcW w:w="2518" w:type="dxa"/>
          </w:tcPr>
          <w:p w14:paraId="5F5E62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472</w:t>
            </w:r>
          </w:p>
        </w:tc>
        <w:tc>
          <w:tcPr>
            <w:tcW w:w="2688" w:type="dxa"/>
          </w:tcPr>
          <w:p w14:paraId="42F355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c>
          <w:tcPr>
            <w:tcW w:w="1706" w:type="dxa"/>
          </w:tcPr>
          <w:p w14:paraId="0C230D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901</w:t>
            </w:r>
          </w:p>
        </w:tc>
      </w:tr>
      <w:tr w:rsidR="00643896" w:rsidRPr="00640820" w14:paraId="76E294DC" w14:textId="77777777" w:rsidTr="000D3BCB">
        <w:tc>
          <w:tcPr>
            <w:tcW w:w="2518" w:type="dxa"/>
          </w:tcPr>
          <w:p w14:paraId="2DC035C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487</w:t>
            </w:r>
          </w:p>
        </w:tc>
        <w:tc>
          <w:tcPr>
            <w:tcW w:w="2688" w:type="dxa"/>
          </w:tcPr>
          <w:p w14:paraId="41DB2F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 15</w:t>
            </w:r>
          </w:p>
        </w:tc>
        <w:tc>
          <w:tcPr>
            <w:tcW w:w="1706" w:type="dxa"/>
          </w:tcPr>
          <w:p w14:paraId="10C529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3915</w:t>
            </w:r>
          </w:p>
        </w:tc>
      </w:tr>
      <w:tr w:rsidR="00643896" w:rsidRPr="00640820" w14:paraId="12175404" w14:textId="77777777" w:rsidTr="000D3BCB">
        <w:tc>
          <w:tcPr>
            <w:tcW w:w="2518" w:type="dxa"/>
          </w:tcPr>
          <w:p w14:paraId="6D75BC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480</w:t>
            </w:r>
          </w:p>
        </w:tc>
        <w:tc>
          <w:tcPr>
            <w:tcW w:w="2688" w:type="dxa"/>
          </w:tcPr>
          <w:p w14:paraId="58DBA8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харьков</w:t>
            </w:r>
          </w:p>
        </w:tc>
        <w:tc>
          <w:tcPr>
            <w:tcW w:w="1706" w:type="dxa"/>
          </w:tcPr>
          <w:p w14:paraId="7DCBE4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800</w:t>
            </w:r>
          </w:p>
        </w:tc>
      </w:tr>
      <w:tr w:rsidR="00643896" w:rsidRPr="00640820" w14:paraId="0BBE4054" w14:textId="77777777" w:rsidTr="000D3BCB">
        <w:tc>
          <w:tcPr>
            <w:tcW w:w="2518" w:type="dxa"/>
          </w:tcPr>
          <w:p w14:paraId="23FEE8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454</w:t>
            </w:r>
          </w:p>
        </w:tc>
        <w:tc>
          <w:tcPr>
            <w:tcW w:w="2688" w:type="dxa"/>
          </w:tcPr>
          <w:p w14:paraId="052E63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Киев. 6</w:t>
            </w:r>
          </w:p>
        </w:tc>
        <w:tc>
          <w:tcPr>
            <w:tcW w:w="1706" w:type="dxa"/>
          </w:tcPr>
          <w:p w14:paraId="5FA303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w:t>
            </w:r>
          </w:p>
        </w:tc>
      </w:tr>
      <w:tr w:rsidR="00643896" w:rsidRPr="00640820" w14:paraId="2CAA36A2" w14:textId="77777777" w:rsidTr="000D3BCB">
        <w:tc>
          <w:tcPr>
            <w:tcW w:w="2518" w:type="dxa"/>
          </w:tcPr>
          <w:p w14:paraId="1CB67B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95</w:t>
            </w:r>
          </w:p>
        </w:tc>
        <w:tc>
          <w:tcPr>
            <w:tcW w:w="2688" w:type="dxa"/>
          </w:tcPr>
          <w:p w14:paraId="1FB0BF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c>
          <w:tcPr>
            <w:tcW w:w="1706" w:type="dxa"/>
          </w:tcPr>
          <w:p w14:paraId="5ABA00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776</w:t>
            </w:r>
          </w:p>
        </w:tc>
      </w:tr>
      <w:tr w:rsidR="00643896" w:rsidRPr="00640820" w14:paraId="6ABD3014" w14:textId="77777777" w:rsidTr="000D3BCB">
        <w:tc>
          <w:tcPr>
            <w:tcW w:w="2518" w:type="dxa"/>
          </w:tcPr>
          <w:p w14:paraId="18FEA2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219</w:t>
            </w:r>
          </w:p>
        </w:tc>
        <w:tc>
          <w:tcPr>
            <w:tcW w:w="2688" w:type="dxa"/>
          </w:tcPr>
          <w:p w14:paraId="7BA20F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c>
          <w:tcPr>
            <w:tcW w:w="1706" w:type="dxa"/>
          </w:tcPr>
          <w:p w14:paraId="132AC4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845</w:t>
            </w:r>
          </w:p>
        </w:tc>
      </w:tr>
      <w:tr w:rsidR="00643896" w:rsidRPr="00640820" w14:paraId="508D7963" w14:textId="77777777" w:rsidTr="000D3BCB">
        <w:tc>
          <w:tcPr>
            <w:tcW w:w="2518" w:type="dxa"/>
          </w:tcPr>
          <w:p w14:paraId="76EA63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163</w:t>
            </w:r>
          </w:p>
        </w:tc>
        <w:tc>
          <w:tcPr>
            <w:tcW w:w="2688" w:type="dxa"/>
          </w:tcPr>
          <w:p w14:paraId="1905945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Пенза</w:t>
            </w:r>
          </w:p>
        </w:tc>
        <w:tc>
          <w:tcPr>
            <w:tcW w:w="1706" w:type="dxa"/>
          </w:tcPr>
          <w:p w14:paraId="06178D1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w:t>
            </w:r>
          </w:p>
        </w:tc>
      </w:tr>
      <w:tr w:rsidR="00643896" w:rsidRPr="00640820" w14:paraId="3D79EA13" w14:textId="77777777" w:rsidTr="000D3BCB">
        <w:tc>
          <w:tcPr>
            <w:tcW w:w="2518" w:type="dxa"/>
          </w:tcPr>
          <w:p w14:paraId="5E769B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290</w:t>
            </w:r>
          </w:p>
        </w:tc>
        <w:tc>
          <w:tcPr>
            <w:tcW w:w="2688" w:type="dxa"/>
          </w:tcPr>
          <w:p w14:paraId="073314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w:t>
            </w:r>
          </w:p>
        </w:tc>
        <w:tc>
          <w:tcPr>
            <w:tcW w:w="1706" w:type="dxa"/>
          </w:tcPr>
          <w:p w14:paraId="4DB1EA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144</w:t>
            </w:r>
          </w:p>
        </w:tc>
      </w:tr>
      <w:tr w:rsidR="00643896" w:rsidRPr="00640820" w14:paraId="29D027FF" w14:textId="77777777" w:rsidTr="000D3BCB">
        <w:tc>
          <w:tcPr>
            <w:tcW w:w="2518" w:type="dxa"/>
          </w:tcPr>
          <w:p w14:paraId="0915BC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269</w:t>
            </w:r>
          </w:p>
        </w:tc>
        <w:tc>
          <w:tcPr>
            <w:tcW w:w="2688" w:type="dxa"/>
          </w:tcPr>
          <w:p w14:paraId="21E8E1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Харьков</w:t>
            </w:r>
          </w:p>
        </w:tc>
        <w:tc>
          <w:tcPr>
            <w:tcW w:w="1706" w:type="dxa"/>
          </w:tcPr>
          <w:p w14:paraId="7E1FEC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711</w:t>
            </w:r>
          </w:p>
        </w:tc>
      </w:tr>
      <w:tr w:rsidR="00643896" w:rsidRPr="00640820" w14:paraId="0756298F" w14:textId="77777777" w:rsidTr="000D3BCB">
        <w:tc>
          <w:tcPr>
            <w:tcW w:w="2518" w:type="dxa"/>
          </w:tcPr>
          <w:p w14:paraId="319B1F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307</w:t>
            </w:r>
          </w:p>
        </w:tc>
        <w:tc>
          <w:tcPr>
            <w:tcW w:w="2688" w:type="dxa"/>
          </w:tcPr>
          <w:p w14:paraId="271839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Ржев, Калининской обл.</w:t>
            </w:r>
          </w:p>
        </w:tc>
        <w:tc>
          <w:tcPr>
            <w:tcW w:w="1706" w:type="dxa"/>
          </w:tcPr>
          <w:p w14:paraId="675372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w:t>
            </w:r>
          </w:p>
        </w:tc>
      </w:tr>
      <w:tr w:rsidR="00643896" w:rsidRPr="00640820" w14:paraId="073F6D19" w14:textId="77777777" w:rsidTr="000D3BCB">
        <w:tc>
          <w:tcPr>
            <w:tcW w:w="2518" w:type="dxa"/>
          </w:tcPr>
          <w:p w14:paraId="0F84FE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384</w:t>
            </w:r>
          </w:p>
        </w:tc>
        <w:tc>
          <w:tcPr>
            <w:tcW w:w="2688" w:type="dxa"/>
          </w:tcPr>
          <w:p w14:paraId="7C1263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Уфа, Сталинский р-н, 4</w:t>
            </w:r>
          </w:p>
        </w:tc>
        <w:tc>
          <w:tcPr>
            <w:tcW w:w="1706" w:type="dxa"/>
          </w:tcPr>
          <w:p w14:paraId="6889BDB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r>
      <w:tr w:rsidR="00643896" w:rsidRPr="00640820" w14:paraId="081A8755" w14:textId="77777777" w:rsidTr="000D3BCB">
        <w:tc>
          <w:tcPr>
            <w:tcW w:w="2518" w:type="dxa"/>
            <w:tcBorders>
              <w:bottom w:val="single" w:sz="12" w:space="0" w:color="auto"/>
            </w:tcBorders>
          </w:tcPr>
          <w:p w14:paraId="27490F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688" w:type="dxa"/>
            <w:tcBorders>
              <w:bottom w:val="single" w:sz="12" w:space="0" w:color="auto"/>
            </w:tcBorders>
          </w:tcPr>
          <w:p w14:paraId="38DA18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06" w:type="dxa"/>
            <w:tcBorders>
              <w:bottom w:val="single" w:sz="12" w:space="0" w:color="auto"/>
            </w:tcBorders>
          </w:tcPr>
          <w:p w14:paraId="21E277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(1308, 27)</w:t>
            </w:r>
          </w:p>
        </w:tc>
      </w:tr>
    </w:tbl>
    <w:p w14:paraId="7CC6808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63D7A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конца 1941 г. в Москве на площадке эвакуированного завода № 34 НКАП были образованы (приказ № 51с от 20.01.1942 г.) и начали действовать Агрегатные ремонтные мастерские при 2ГУ. В начале 1942 г. началось восстановление производства, мастерские преобразованы в филиал завода № 34 (завод № 34м). Директор филиала- Ю.Б. Эскин. Приказом № 464с от 24.06.1942 г. филиал завода № 34 НКАП преобразован в новый завод № 124 при 2ГУ НКАП. Производство водо- и маслорадиаторов.</w:t>
      </w:r>
    </w:p>
    <w:p w14:paraId="5F9D20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07-08.1942 г. шло формирование завода, из Троицка с завода № 34 была переведена часть оборудования и кадров. По приказу № 546с от 20.07.1942 г. заводу был присвоен литерный номер и наименование ГС завод № 124 НКАП. По приказу № 324с от 12.05.1944 г. на завод возвращено 200 чел. рабочих и ИТР, передана часть оборудования с завода № 34 и других заводов. Далее на завод переведены оборудование и личный состав (500 чел.) с завода № 472 НКАП (приказ № 424с/81с от 5.11.1945 г.) и 400 чел. с завода № 34 (приказ № 425с/82с от 5.11.1945 г.), переданных из НКАП в НКЭС.</w:t>
      </w:r>
    </w:p>
    <w:p w14:paraId="2A023A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первые послевоенные годы работы по теплообменникам шли медленно. В связи с этим для развития опытных работ по агрегатам антиобледенения, обогрева, вентиляции, регулирования давления и очистки воздуха по приказу № 422с от 2.07.1946 г. завод № 124 объединен с ОКБ и передан из 2ГУ в 7ГУ как опытный завод № 124 МАП. Серийное производство свернуто, налажена разработка и выпуск малых серий.</w:t>
      </w:r>
    </w:p>
    <w:p w14:paraId="328117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440с от 21.06.1948 г. с 1.07.1948 г. завод вновь преобразован в серийный, передан обратно в 2ГУ, ОКБ выделено в самостоятельное предприятие. В конце 1955 г. завод стал серийно-опытным (выпуск опытных образцов и головных серий). С 12.01.1959 г. завод реорганизован в опытно-серийный. Сохранено крупносерийное производство, развивалось опытное производство. С 01.1960 г. завод и ОКБ вновь слиты в единое предприятие.</w:t>
      </w:r>
    </w:p>
    <w:p w14:paraId="1D6955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работ по внедрению в серию теплообменной техники в 12.1960 г. при заводе № 469 НКАП образован филиал завода № 124. Начальник филиала- М.В. Золотухин. Филиал подчинялся заводу до 1973 г., далее был передан другому предприятию. В 1960-х г. заводу передано предприятие из системы МВД, образована вторая территория завода.</w:t>
      </w:r>
    </w:p>
    <w:p w14:paraId="6CEEA6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Участвовало в создании в 1960-х г.- стартового комплекса РН «Циклон-2».</w:t>
      </w:r>
    </w:p>
    <w:p w14:paraId="1A693F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1990 г. в составе НПО «Наука»- Агрегатный завод «Наука» МАП. В 1993 г. НПО преобразовано в АО.</w:t>
      </w:r>
    </w:p>
    <w:p w14:paraId="52B4D1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1990-е г.: теплотехническое оборудование, регуляторы расхода топлива.</w:t>
      </w:r>
    </w:p>
    <w:p w14:paraId="7DC321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(2002 г.): разработка и производство систем жизнеобеспечения (кондиционирования, автоматического регулирования давления) экипажа и пассажиров ЛА; системы для КА: терморегулирования, обеспечения газового состава, регулирования давления, водообеспечения, регенераторы воздуха, поглотители углекислого газа; медицинское оборудование; кондиционеры для автомобильного и ж/д транспорта.</w:t>
      </w:r>
    </w:p>
    <w:p w14:paraId="41EBFB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1993 г. предприятие акционировано и получило название АООТ «НПО «Наука». По решению правительства № 22-р от 9.01.2004 г. вошло в перечень стратегических предприятий.</w:t>
      </w:r>
    </w:p>
    <w:p w14:paraId="150F50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(2002 г.)- 2000 чел.</w:t>
      </w:r>
    </w:p>
    <w:p w14:paraId="078A5B3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Президент (03.1998-2000 г.)- Э.С. Неймарк (до этого- зам. руководителя Департамента АП, затем- советник президента ), (2002 г.)- А.А. Синица, В.А. Шаповалов.</w:t>
      </w:r>
    </w:p>
    <w:p w14:paraId="61DA5AF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Председатель совета директоров (2003 г.)- Е.В. Меркулов.</w:t>
      </w:r>
    </w:p>
    <w:p w14:paraId="10E0BD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Директор (20.07.1942-1.03.1943 г.)- Ю.Б. Эскин, (2.03.1943-2.11.1944 г.)- Ф.Г. Нестеров, (2.11.1944-19.04.1946 г.)- К.М. Ермолов, (19.04-9.06.1946 г.)- Ф.Г. Нестеров, (07.1946-11.1948 г.)- Г.И. Воронин, (25.11.1948-21.12.1951 г.)- М.М. Бондаренко, (24.12.1951-5.04.1954 г.)- Ф.А. Мелихов, (25.05.1954-1963 г.)- И.И. Румянцев, (1963-73 г.)- В.И. Сычев, (1973-84 г.-)- В.Ф. Кадышев. Гендиректор (1990-е)- И.В. Тишин.</w:t>
      </w:r>
    </w:p>
    <w:p w14:paraId="18E3F5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(07.1946-11.1948 г.)- Г.И. Воронин, (1990-е)- И.В. Тишин.</w:t>
      </w:r>
    </w:p>
    <w:p w14:paraId="7C541A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конструктора (1960 г.)- М.В. Золотухин.</w:t>
      </w:r>
    </w:p>
    <w:p w14:paraId="419606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системы жизнеобеспечения и терморегулирования КА «Восток», «Восход», «Союз», «Луна», «Венера», «Марс», «Салют», «Мир», «Алмаз», «Энергия-Буран»; системы охлаждения и кондиционирования самолета А-50 (1970-е).</w:t>
      </w:r>
    </w:p>
    <w:p w14:paraId="339604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Завод № 124 НКАП, НПО "Наука" МАП, АООТ, ОАО «НПО «Наука» </w:t>
      </w:r>
    </w:p>
    <w:p w14:paraId="1D32BE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Москва 3-я ул. Ямского Поля, 14/16 (1947 г.)</w:t>
      </w:r>
    </w:p>
    <w:p w14:paraId="3EB4B7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125124 г. Москва 3-я ул. Ямского Поля, вл. 2 тел. 257-04-00</w:t>
      </w:r>
    </w:p>
    <w:p w14:paraId="35DD71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ОКБ-124 НКАП, МАП </w:t>
      </w:r>
    </w:p>
    <w:p w14:paraId="0B6ABB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Москва</w:t>
      </w:r>
    </w:p>
    <w:p w14:paraId="18A6CC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08.1942 г. ОКБ-34 НКАП переведено в Москву на площадку завода № 124. По приказу № 225с от 17.04.1943 г. ОКБ завода № 34 с 1.04.1943 г. получило наименование ОКБ-124 НКАП и передано в подчинение заводу № 124. Головное ОКБ по радиаторам.</w:t>
      </w:r>
    </w:p>
    <w:p w14:paraId="51F2BA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1.07.1946 г. ОКБ-124 объединено с заводом № 124 в единый опытный завод № 124 в системе 7ГУ. По приказу № 440с от 21.06.1948 г. завод преобразован в серийный, ОКБ-124 выделилось из его состава. С 1957 г. ОКБ передано из 7ГУ в 6ГУ. С 01.1960 г. для усиления опытно-конструкторской и экспериментальной базы ОКБ вновь объединено с заводом в единое предприятие. Вместо ликвидированного серийного КБ при ОКБ образован техотдел.</w:t>
      </w:r>
    </w:p>
    <w:p w14:paraId="67F055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послевоенный период работы по криогенно-вакуумной технике, системам кондиционирования воздуха в кабинах ЛА. Радиаторы и обогреватели, турбохолодильники, ТМР, арматура, оборудование для высотных полетов.</w:t>
      </w:r>
    </w:p>
    <w:p w14:paraId="0A170E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Гл. конструктор (04.1943-85 г.)- Г.И. Воронин. </w:t>
      </w:r>
    </w:p>
    <w:p w14:paraId="3199FD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ЗАО «Хамильтон Стандарт-Наука» (ХСН)</w:t>
      </w:r>
    </w:p>
    <w:p w14:paraId="7B983F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103287 г. Москва Петровско-Разумовский пр., 19/1 тел. 755-77-00</w:t>
      </w:r>
    </w:p>
    <w:p w14:paraId="1ABAB6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Совместное предприятие зарегистрировано в 12.1994 г.</w:t>
      </w:r>
    </w:p>
    <w:p w14:paraId="080B1E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(2002 г.): разработка и производство систем кондиционирования воздуха для гражданских самолетов.</w:t>
      </w:r>
    </w:p>
    <w:p w14:paraId="2DA16B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(2002 г.)- 80 чел.</w:t>
      </w:r>
    </w:p>
    <w:p w14:paraId="24A26B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Гендиректор (2002 г.)- Л.Б. Мазин.</w:t>
      </w:r>
    </w:p>
    <w:p w14:paraId="061009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производства (2002 г.)- О.Б. Арямнов (10776).</w:t>
      </w:r>
    </w:p>
    <w:p w14:paraId="3035FC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2142B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конце 1941 года заводу № 153 были переданы бывш. мебельная фабрика”Стандарт” и “ДОК”, который в 1948 был возвращен СибВО (9503).</w:t>
      </w:r>
    </w:p>
    <w:p w14:paraId="7AE091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4376F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конца 1941 года на площадях эвакуированного завода №301 были организованы фронтовые мастерские по ремонту самолетов. В апреле 1942 года приказом НКАП фронтовые, ремонтные мастерские были оформлены, как ремонтный завод.</w:t>
      </w:r>
    </w:p>
    <w:p w14:paraId="2DC5A2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Исполняющим обязанности директора ремонтных мастерских, а затем ремонтного завода, был назначен Угольков С.Н. Основная производственная деятельность заключалась в проведении капитально-восстановительного ремонта самолетов ЯК-1, ЯК-7 и ЛАГГ-3, как на территории завода, так и непосредственно в в/ч, в полевых условиях. Одновременно завод занимался сборкой, отладкой и испытанием новых самолетов, изготовленных заводом № 153 и другими.</w:t>
      </w:r>
    </w:p>
    <w:p w14:paraId="11E521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апреля 1942 года завод организовал производство по изготовлению деревянных частей крыла к самолету ЯК-7б для завода № 82 НКАП. С октября 1942 года завод приступил к изготовлению металлических частей для крыла и к сдаче крыла в готовом виде заводу № 82 сначала для самолетов ЯК-7, а с 1944 года – для самолетов ЯК-9.</w:t>
      </w:r>
    </w:p>
    <w:p w14:paraId="1E4173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июле 1942 года директором завода был назначен Смирнов И.Н.</w:t>
      </w:r>
    </w:p>
    <w:p w14:paraId="4FFBA1B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НКАП от 30 декабря 1944 года за № 712сс на завод было возложено переоборудование самолета ЯК-9 в высотном варианте и приказом № 76сс от 20 февраля 1945 года – переоборудование самолетов ЯК-9, ВК-105-ПФ в учебные с двойным управлением (вывозной вариант).</w:t>
      </w:r>
    </w:p>
    <w:p w14:paraId="03780F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Директором завода в мае 1945 года был назначен Сычев В.В.</w:t>
      </w:r>
    </w:p>
    <w:p w14:paraId="2FF56F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НКАП от 2 октября 1945 года за № 393с было произведено слияние завода с заводом № 81 и на территории завода № 301 было организовано опытное производство гл. конструктора Лавочкина.</w:t>
      </w:r>
    </w:p>
    <w:p w14:paraId="75B2B3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Этим же приказом директором завода назначен гл. конструктор С.А. Лавочкин.</w:t>
      </w:r>
    </w:p>
    <w:p w14:paraId="63906A3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81 помещался на территории завода № 381. Производственное слияние резко увеличило мощности завода ………..(9602).</w:t>
      </w:r>
    </w:p>
    <w:p w14:paraId="3647818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04188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концу 1941 г. вся территория завода № 124 была завалена имуществом завода №22, выгружаемым из вагонов. Только незначительная часть этого имущества была в упаковке, большинство лежало на земле, покрываясь снегом. Колоссальный труд затратили работники обоих заводов, перевозя и монтируя его в цехах. Характерно, что в результате эвакуации завод №22 не раскомплектовал ни одного сложного механизма. Всё прибыло на завод и в дальнейшем работало на оборону (5764,38).</w:t>
      </w:r>
    </w:p>
    <w:p w14:paraId="1D2C58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93FCB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концу 1941 года возрождающееся на территории эвакуированного инсструментального завода № 3 Оргавиапрома предприятие было оформлено, как филиал завода № 478 (приказ НКАП от 17 декабря 1941 года).</w:t>
      </w:r>
    </w:p>
    <w:p w14:paraId="2F5EAD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E3150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по НКАП от 1 июня 1942 года за № 18 заводу было присвоено наименование “Завод № 3 Оргавиапрома НКАП”.</w:t>
      </w:r>
    </w:p>
    <w:p w14:paraId="24EECB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по НКАП от 1 июня 1944 года за № 377 завод был переименован в завод № 492.</w:t>
      </w:r>
    </w:p>
    <w:p w14:paraId="781195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Поскольку завод № 492 организован лишь на территории ранее занимаемой 3-м инструментальным заводом и никакой организационной связи с этим заводом не имел, то официальной датой организации завода № 492 следует считать 17 декабря 1941 года. В 1951 году завод был реорганизован под выпуск пневматического инструмента.</w:t>
      </w:r>
    </w:p>
    <w:p w14:paraId="55B11D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Постановлением от 2 сентября 1957 года за № 5 завод № 492 был передан из Управления авиапромышленности Мосгорсовнархоза в Управление межотраслевых организаций и производств с сохранением производства пневматического инструмента.</w:t>
      </w:r>
    </w:p>
    <w:p w14:paraId="06D516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 А. Терехин</w:t>
      </w:r>
    </w:p>
    <w:p w14:paraId="37C6BE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Москва, Большой Трехгорный пер., д. 3 (9859).</w:t>
      </w:r>
    </w:p>
    <w:p w14:paraId="5E967F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EAE09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ОКБ-1 гл. конструктора  Г.И. Кузмина завода № 28 было эвакуировано вместе с заводом в Свердловск на площадку завода № 493 НКАП, (размещение было закончено в 12.1941 г.) и действовало как ОКБ завода № 28.</w:t>
      </w:r>
    </w:p>
    <w:p w14:paraId="05BA45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12с от 5.01.1944 г. ОКБ было влито в состав вновь образованного опытного завода № 25 НКАГ1 в Ступино.</w:t>
      </w:r>
    </w:p>
    <w:p w14:paraId="560365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(04.1941-01.1944 г.)-  Г.И. Кузмин.</w:t>
      </w:r>
    </w:p>
    <w:p w14:paraId="5B5FE7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конструктора (04.1941-01.1944 г.)- Н.Н. Петров.</w:t>
      </w:r>
    </w:p>
    <w:p w14:paraId="0947A52D" w14:textId="77777777" w:rsidR="001E0E29" w:rsidRPr="00640820" w:rsidRDefault="001E0E29" w:rsidP="00640820">
      <w:pPr>
        <w:autoSpaceDE w:val="0"/>
        <w:autoSpaceDN w:val="0"/>
        <w:adjustRightInd w:val="0"/>
        <w:spacing w:after="0" w:line="240" w:lineRule="auto"/>
        <w:jc w:val="both"/>
        <w:rPr>
          <w:rFonts w:ascii="Times New Roman" w:hAnsi="Times New Roman"/>
          <w:color w:val="000000" w:themeColor="text1"/>
          <w:sz w:val="16"/>
          <w:szCs w:val="16"/>
        </w:rPr>
      </w:pPr>
    </w:p>
    <w:p w14:paraId="1C98743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завод № 34 (Завод № 34 им. Постышева НКТП, НКОП, Завод № 34 НКАП, НКЭС, Троицкий электромеханический завод (ТЭМЗ), ОАО «ТЭМЗ» / г. Москва 3-я ул. Ямского Поля, 26;  г. Троицк Челябинской обл. ул. Малышева, 34/) вместе с ОКБ эвакуирован в  г. Троицк Челябинской обл. Первый эшелон прибыл в 11.1941 г. Размещение завода шло на на площадках девяти неприспособленных небольших предприятий и организаций (бывший пивоваренный завод стал территорией «Б», территория «В» разместилась вблизи центра города). Продолжено производство водо- и маслорадиаторов.</w:t>
      </w:r>
    </w:p>
    <w:p w14:paraId="1FAEEC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Москве на площадке эвакуированного завода по приказу № 51с от 20.01.1942 г. организованы Агрегатные ремонтные мастерские при 2ГУ НКАП. Начальник- М.Ф. Поликарпов. С начала 1942 г. началось восстановление производства, и 14.04.1942 г. образован филиал завода № 34. Директор филиала- Ю.Б. Эскин. Фактически в это время действовали два завода № 34: № 34т и № 34м. Шло активное восстановление работ на московской площадке, в 1942 г. обратно из Троицка прибыла первая группа специалистов. Приказом № 464с от 24.06.1942 г. филиал преобразован в новый завод № 124 при 2ГУ НКАП.</w:t>
      </w:r>
    </w:p>
    <w:p w14:paraId="14ACE2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735с от 8.12.1943 г. с завода № 34 переведена группа специалистов для усиления ОКБ завода № 219 НКАП. В 1944 г. с завода № 34 переведено на завод № 500 на постоянную работу около 200 специалистов.</w:t>
      </w:r>
    </w:p>
    <w:p w14:paraId="476DB0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425с/82с от 5.11.1945 г. завод № 34 с частью оборудования и личного состава с 1.11.1945 г. передан в НКЭС. Специальное оборудование по производству радиаторов и 400 чел. личного состава переведены в Москву на завод № 124 НКАП.</w:t>
      </w:r>
    </w:p>
    <w:p w14:paraId="56230F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Далее это - Троицкий электромеханический завод (1960-е  г.), ОАО «ТЭМЗ».</w:t>
      </w:r>
    </w:p>
    <w:p w14:paraId="1A1908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(10-11.1931 г.; 06.1932-02.1934 г.)- С.М. Петров, (8.11.1931-3.06.1932 г.)- В.Я. Симочкин, (02.1934- 23.07.1937 г.)- В. Г. Гарнизов, (23.07.1937-05.1938 г.)- И.И. Авдеев, (15.06.1938-12.1044 г.)- М.П. Аржаков.</w:t>
      </w:r>
    </w:p>
    <w:p w14:paraId="4D6D42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Зам. директора (06.1937 г.)- И.И. Авдеев. Помощник директора по найму и увольнению (-06.1937-38 г.-&gt; Н.В. Солнцев.</w:t>
      </w:r>
    </w:p>
    <w:p w14:paraId="73A41B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(2002 г.): разработка аэродромно-районной АС УВД «Синтез», тренажера для подготовки диспетчеров</w:t>
      </w:r>
    </w:p>
    <w:p w14:paraId="79CE34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«Инструктор», </w:t>
      </w:r>
      <w:r w:rsidRPr="00640820">
        <w:rPr>
          <w:rFonts w:ascii="Times New Roman" w:hAnsi="Times New Roman"/>
          <w:color w:val="000000" w:themeColor="text1"/>
          <w:sz w:val="16"/>
          <w:szCs w:val="16"/>
          <w:lang w:val="en-US"/>
        </w:rPr>
        <w:t>PJI</w:t>
      </w:r>
      <w:r w:rsidRPr="00640820">
        <w:rPr>
          <w:rFonts w:ascii="Times New Roman" w:hAnsi="Times New Roman"/>
          <w:color w:val="000000" w:themeColor="text1"/>
          <w:sz w:val="16"/>
          <w:szCs w:val="16"/>
        </w:rPr>
        <w:t xml:space="preserve"> комплексов «</w:t>
      </w:r>
      <w:r w:rsidRPr="00640820">
        <w:rPr>
          <w:rFonts w:ascii="Times New Roman" w:hAnsi="Times New Roman"/>
          <w:color w:val="000000" w:themeColor="text1"/>
          <w:sz w:val="16"/>
          <w:szCs w:val="16"/>
          <w:lang w:val="en-US"/>
        </w:rPr>
        <w:t>BPJI</w:t>
      </w:r>
      <w:r w:rsidRPr="00640820">
        <w:rPr>
          <w:rFonts w:ascii="Times New Roman" w:hAnsi="Times New Roman"/>
          <w:color w:val="000000" w:themeColor="text1"/>
          <w:sz w:val="16"/>
          <w:szCs w:val="16"/>
        </w:rPr>
        <w:t xml:space="preserve"> «Радуга», КА РЛП «Радуга-2», моноимпульсного </w:t>
      </w:r>
      <w:r w:rsidRPr="00640820">
        <w:rPr>
          <w:rFonts w:ascii="Times New Roman" w:hAnsi="Times New Roman"/>
          <w:color w:val="000000" w:themeColor="text1"/>
          <w:sz w:val="16"/>
          <w:szCs w:val="16"/>
          <w:lang w:val="en-US"/>
        </w:rPr>
        <w:t>BPJIMBPJI</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CBK</w:t>
      </w:r>
      <w:r w:rsidRPr="00640820">
        <w:rPr>
          <w:rFonts w:ascii="Times New Roman" w:hAnsi="Times New Roman"/>
          <w:color w:val="000000" w:themeColor="text1"/>
          <w:sz w:val="16"/>
          <w:szCs w:val="16"/>
        </w:rPr>
        <w:t xml:space="preserve"> и АПОИ (11982).</w:t>
      </w:r>
    </w:p>
    <w:p w14:paraId="76B62C12" w14:textId="77777777" w:rsidR="001E0E29" w:rsidRPr="00640820" w:rsidRDefault="001E0E29" w:rsidP="00640820">
      <w:pPr>
        <w:autoSpaceDE w:val="0"/>
        <w:autoSpaceDN w:val="0"/>
        <w:adjustRightInd w:val="0"/>
        <w:spacing w:after="0" w:line="240" w:lineRule="auto"/>
        <w:jc w:val="both"/>
        <w:rPr>
          <w:rFonts w:ascii="Times New Roman" w:hAnsi="Times New Roman"/>
          <w:color w:val="000000" w:themeColor="text1"/>
          <w:sz w:val="16"/>
          <w:szCs w:val="16"/>
        </w:rPr>
      </w:pPr>
    </w:p>
    <w:p w14:paraId="45C5A5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конца 1941 г. ОКБ-301 М.И. Гудкова было эвакуировано в Новосибирск на завод № 153.</w:t>
      </w:r>
    </w:p>
    <w:p w14:paraId="4A7490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по оборудованию ЛаГГ-3 пушками Шпитального и Таубина, начаты работы по истребителю типа «Аэрокобры».</w:t>
      </w:r>
    </w:p>
    <w:p w14:paraId="74D043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7ГУ НКАП от 12.1941 г. Гудков с группой сотрудников откомандирован на завод № 21 для доводки и внедрения ЛаГТ-3 с М-82 (Гу-82) и Гу-1. Оставшаяся часть коллектива продолжила работу как самостоятельная группа при СКБ-1 завода № 153 по доработкам ЛаГТ-З. Однако на заводе № 21 Гудков так и не работал, т.к. его не пустил Лавочкин. В итоге через несколько месяцев М.И. Гудков вернулся на завод № 301 в Химки, а на заводе № 21 был запущен в серию самолет Лавочкина Ла-5.</w:t>
      </w:r>
    </w:p>
    <w:p w14:paraId="74A8E6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145с от 21.02.1942 г. часть коллектива Гудкова, работавшая в Новосибирске, была реэвакуирована на площадку бывшего завода № 301 в Химки (11982).</w:t>
      </w:r>
    </w:p>
    <w:p w14:paraId="0EADC5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B8A9D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года саратовский Мебельный завод № 2 был присоединен к заводу № 292 в качестве его филиала и перешел на изготовление деревянных лыж и винтов для самолетов. В 1942 году на эту промплощадку был перебазирован завод № 167, изготовлявший деревянные винты, лыжи и прочие деревянные детали для самолетов (9837).</w:t>
      </w:r>
    </w:p>
    <w:p w14:paraId="4FC6F2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E6290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в состав завода № 166 влита основная часть завода № 288 НКАП, эвакуированного из г. Кимры. Далее на месте бывших авиаремонтных мастерских ГВФ образован Куломзинский филиал завода № 166, на котором по приказу № 7 от 20.12.1941 г. разместились мощности завода № 288 и ОКБ-288. Этим же приказом филиал со всем оборудованием и личным составом передан в распоряжение завода № 288 (10776).</w:t>
      </w:r>
    </w:p>
    <w:p w14:paraId="464D16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66B9E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завод (Завод № 241 ГВФ, НКАП /ст. Быково Московской обл.;  г. Тюмень/) был эвакуирован в Тюмень на площадку Ремонтных мастерских и территорию двух рынков. Перед этим, с 10.1941 г. в мастерских началось освоение производства планеров УС-6.</w:t>
      </w:r>
    </w:p>
    <w:p w14:paraId="39AB67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распоряжением СНК № 2330-рс от 11.07.1941 г. и приказом № 1116с/102 от 12.11.1941 г. в связи с эвакуацией часть завода № 241 по производству планеров со всем оборудованием и личным составом передана из ГВФ в НКАП. Оставшаяся часть была задействована в производстве деталей для снарядов М-13, ремонте моторов, легких самолетов и приборов в системе ГВФ. По приказу № 94с от 2.02.1942 г. на базе планерных мощностей завода № 241 организован самостоятельный планерный ГС завод № 241 11ГУ НКАП.</w:t>
      </w:r>
    </w:p>
    <w:p w14:paraId="7FB0F6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При заводе действовало ОКБ </w:t>
      </w:r>
      <w:r w:rsidRPr="00640820">
        <w:rPr>
          <w:rFonts w:ascii="Times New Roman" w:hAnsi="Times New Roman"/>
          <w:color w:val="000000" w:themeColor="text1"/>
          <w:sz w:val="16"/>
          <w:szCs w:val="16"/>
          <w:lang w:val="en-US"/>
        </w:rPr>
        <w:t>O</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K</w:t>
      </w:r>
      <w:r w:rsidRPr="00640820">
        <w:rPr>
          <w:rFonts w:ascii="Times New Roman" w:hAnsi="Times New Roman"/>
          <w:color w:val="000000" w:themeColor="text1"/>
          <w:sz w:val="16"/>
          <w:szCs w:val="16"/>
        </w:rPr>
        <w:t>. Антонова.</w:t>
      </w:r>
    </w:p>
    <w:p w14:paraId="42F9CBA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707с от 16.09.1942 г. завод № 241 НКАП к 10.1942 г. переведен на площадку завода № 463 НКАП и влит в его состав.</w:t>
      </w:r>
    </w:p>
    <w:p w14:paraId="0405A4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1947 г. в Москве действовал завод № 241.</w:t>
      </w:r>
      <w:r w:rsidRPr="00640820">
        <w:rPr>
          <w:rFonts w:ascii="Times New Roman" w:hAnsi="Times New Roman"/>
          <w:color w:val="000000" w:themeColor="text1"/>
          <w:sz w:val="16"/>
          <w:szCs w:val="16"/>
          <w:vertAlign w:val="superscript"/>
        </w:rPr>
        <w:t>129</w:t>
      </w:r>
    </w:p>
    <w:p w14:paraId="677EC1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(1942 г.-)- А.Н. Рафаэлянц.</w:t>
      </w:r>
    </w:p>
    <w:p w14:paraId="04CE42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(-1942 г.)- А.Н. Рафаэлянц.</w:t>
      </w:r>
    </w:p>
    <w:p w14:paraId="77D7C1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планеры: КЦ-2 (1941)- 2, А-7.</w:t>
      </w:r>
    </w:p>
    <w:p w14:paraId="2B25D8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ОКБ гл. конструктора </w:t>
      </w:r>
      <w:r w:rsidRPr="00640820">
        <w:rPr>
          <w:rFonts w:ascii="Times New Roman" w:hAnsi="Times New Roman"/>
          <w:color w:val="000000" w:themeColor="text1"/>
          <w:sz w:val="16"/>
          <w:szCs w:val="16"/>
          <w:lang w:val="en-US"/>
        </w:rPr>
        <w:t>O</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K</w:t>
      </w:r>
      <w:r w:rsidRPr="00640820">
        <w:rPr>
          <w:rFonts w:ascii="Times New Roman" w:hAnsi="Times New Roman"/>
          <w:color w:val="000000" w:themeColor="text1"/>
          <w:sz w:val="16"/>
          <w:szCs w:val="16"/>
        </w:rPr>
        <w:t>. Антонова при заводе № 241 НКАП</w:t>
      </w:r>
    </w:p>
    <w:p w14:paraId="66010A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по модификации планеров А-7, А-2.</w:t>
      </w:r>
    </w:p>
    <w:p w14:paraId="50EB16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618с от 12.08.1942 г. ОКБ Антонова переведено с завода № 241 в Тушино на завод № 464 НКАП для продолжения работ по планерам (11982).</w:t>
      </w:r>
    </w:p>
    <w:p w14:paraId="65BA94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1E82B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на площадку завода № 494 (ГС Завод № 494 НКАП, Козловский завод строительных деталей, Козловский деревообделочный комбинат НК стройматериалов, Козловский комбинат автомобильных фургонов, ООО «Комбинат автофургонов», ООО «Автофургон» /Чувашия  г. Козловка/ /Чувашия 429430  г. Козловка ул. К. Маркса, 1/) была эвакуирована основная часть завода № 168 НКАП. Сюда же по приказу № 1057сс от 10.10.1941г на площадку завода № 494 эвакуирован завод № 482 НКАП и по приказу № 1178с от 31.12.1941 г. влит в его состав.</w:t>
      </w:r>
    </w:p>
    <w:p w14:paraId="02C8E4F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1945 г. завод передан Глававиастрою, а в 1947 г.- в другое министерство.</w:t>
      </w:r>
    </w:p>
    <w:p w14:paraId="7003F3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1961 г. начат выпуск кузовов и прицепов для автомобилей ПРМ (передвижных ремонтных мастерских). С 1968 г. специализировался на производстве кузовов-кунгов для военных автомашин на шасси «Урал».</w:t>
      </w:r>
    </w:p>
    <w:p w14:paraId="62A067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21.05.1968 г. завод переименован в Козловский комбинат автофургонов.</w:t>
      </w:r>
    </w:p>
    <w:p w14:paraId="3EBB74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(2003 г.): универсальных, изотермических и специальных автофугронов, единственный в России изготовитель щеповозов.</w:t>
      </w:r>
    </w:p>
    <w:p w14:paraId="388069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(06.1941 г.)- Ф. Артемьев, (08.1941 г.-)- Н.И. Чеблуков, (-04.1942-09.1943 г.-)- М.И. Шелухин, (-01- 11.1944 г.-)- Ю.Б. Эскин, (начало 1960-х)- А.Н. Ленкин, (1999 г.)- В.Е. Палагин, (2007 г.)- Е.В. Максимов.</w:t>
      </w:r>
    </w:p>
    <w:p w14:paraId="3155AA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КБ- Б.К. Ландышев.</w:t>
      </w:r>
    </w:p>
    <w:p w14:paraId="3E6EB1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планеры: Г-11 (1941-43)- 170, учебно-тренировочный УС-6 (А-2) (-1943); самолет С-2 (1942- 45); щеповоз ТМ-59, лесовозное оборудование ТМ-39 (2003) (11982).</w:t>
      </w:r>
    </w:p>
    <w:p w14:paraId="37A6FD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C6856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Инструментальный завод № 1 ОАП НКАП был эвакуирован в Куйбышев. На старой площадке в 11.1941 г. образован новый завод № 478 НКАП.</w:t>
      </w:r>
    </w:p>
    <w:p w14:paraId="69D4BB9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выпускал узлы ротора и крыльчатки к турбокомпрессорам. Производство лафетов для пушек В Я (1942 г.). Планировалось начать изготовление колес для Ил-2.</w:t>
      </w:r>
    </w:p>
    <w:p w14:paraId="212CB6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НКАП № 709с от 18.09.1942 г. Инструментальный завод № 1 ОАП НКАП переименован в завод № 165 НКАП в ведении Управления снабжения.</w:t>
      </w:r>
    </w:p>
    <w:p w14:paraId="4B5839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 приказу № 459с от 31.07.1943 г. завод № 453 </w:t>
      </w:r>
      <w:r w:rsidRPr="00640820">
        <w:rPr>
          <w:rFonts w:ascii="Times New Roman" w:hAnsi="Times New Roman"/>
          <w:color w:val="000000" w:themeColor="text1"/>
          <w:sz w:val="16"/>
          <w:szCs w:val="16"/>
          <w:lang w:val="en-US"/>
        </w:rPr>
        <w:t>HKAII</w:t>
      </w:r>
      <w:r w:rsidRPr="00640820">
        <w:rPr>
          <w:rFonts w:ascii="Times New Roman" w:hAnsi="Times New Roman"/>
          <w:color w:val="000000" w:themeColor="text1"/>
          <w:sz w:val="16"/>
          <w:szCs w:val="16"/>
        </w:rPr>
        <w:t xml:space="preserve"> (Тушино) реорганизован в филиал завода № 165 ОАП НКАГ1. На нем началась организация производства специнструмента и приспособлений. С завода № 165 из Куйбышева туда для укрепления производства переведена группа рабочих и ИТР (120 чел.). В том же году завод № 165 НКАП переведен на площадку филиала в Тушино.</w:t>
      </w:r>
    </w:p>
    <w:p w14:paraId="12924B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Производство лафетов для пушки «ВЯ». В 07.1943 г. работы переданы на заводы № 481 и № 454 НКАП. В 05.1944 г. заводу поручено изготовление опытной серии из 5 ТРД С-18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Люльки. В 06.1944 г. заводу поручены работы по изготовлению приспособлений для производства моторов для завода № 466 НКАП, в 08.1944 г.- оказать помощь в изготовлении частей опытного ПуВРД конструкции В.Н. Челомея.</w:t>
      </w:r>
    </w:p>
    <w:p w14:paraId="116706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377с от 2.06.1944 г. завод передан из ОАП в Управление оборудования НКАП.</w:t>
      </w:r>
    </w:p>
    <w:p w14:paraId="386F56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 приказу № 705сс от 29.12.1944 г. на заводе началась организация производства пяти опытных образцов ТРД С-18 конструкции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Люльки. Для этого на завод откомандирована группа конструкторов во главе с зам. гл. конструктора Луссом.</w:t>
      </w:r>
    </w:p>
    <w:p w14:paraId="224D95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соответствии с ПСМ № 472-191 от 26.02.1946 г. и приказом МАП № 182сс от 30.03.1946 г. ГС инструментальный завод № 165 с 1.04.1946 г. передан из Управления оборудования в 8ГУ МАП для развития опытного моторостроения Этим же приказом для расширения работ СКБ гл, конструктора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Люльки при НИИ-1 МАП переведено на самостоятельную базу- завод № 165 МАП и получило название ОКБ-165 МАП. В 08.1957 г. - в ведении ЗГУ МАП. Имел наименования: «п/я 2382», «п/я М-5147» (1.01.1967-82 г.).</w:t>
      </w:r>
    </w:p>
    <w:p w14:paraId="157B48B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479сс от 23.07.1946 г. при заводе № 45 образован филиал завода № 165 (руководитель- С.К. Туманский) для организации производства ТР-1.</w:t>
      </w:r>
    </w:p>
    <w:p w14:paraId="35A100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1950 г. двигателям ОКБ присвоено наименование «АЛ».</w:t>
      </w:r>
    </w:p>
    <w:p w14:paraId="7C908F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Решением СМ СССР от 06.1950 г. ОКБ выдано задание на создание ТРД АЛ-5.</w:t>
      </w:r>
    </w:p>
    <w:p w14:paraId="50E0A9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 355-161сс от 2.03.1954 г. начата разработка АЛ-7.</w:t>
      </w:r>
    </w:p>
    <w:p w14:paraId="55E5E9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01.1955 г. вышло постановление правительства о создании филиала ОКБ в Тураево (далее - Лыткаринский машиностроительный завод «Сатурн»), являвшегося испытательной базой ОКБ. В 1958 г. вступила в строй его первая очередь.</w:t>
      </w:r>
    </w:p>
    <w:p w14:paraId="70308D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1959 г. начались работы по ЖРД. В 1960 г. поручена разработка ЖРД 11Д54 для 3-й ступени РН Н-1, затем проект трансформирован в 11Д57.</w:t>
      </w:r>
    </w:p>
    <w:p w14:paraId="11A188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1950-х  г. начаты работы по созданию атомного двигателя (ЯСУ), для этого было организовано КБ-2, в его составе - специальная бригада.</w:t>
      </w:r>
    </w:p>
    <w:p w14:paraId="7CF85B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1965 г. КБ переехало в новое здание.</w:t>
      </w:r>
    </w:p>
    <w:p w14:paraId="5EDA4A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от 08.1965 г. начата разработка двигателя 3-го поколения - АЛ-21Ф (изд. «85»), 1-й экземпляр собран в 09.1966 г. В 1970 г. создан АЛ-21Ф-3, по решению ВПК от 09.1970 г. и пр. от 28.09.1970 г. его необходимо было представить на госиспытания в 4-м квартале 1970 г.</w:t>
      </w:r>
    </w:p>
    <w:p w14:paraId="776577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1960-е  г. разрабатывался воздушно-водородный двигатель </w:t>
      </w:r>
      <w:r w:rsidRPr="00640820">
        <w:rPr>
          <w:rFonts w:ascii="Times New Roman" w:hAnsi="Times New Roman"/>
          <w:color w:val="000000" w:themeColor="text1"/>
          <w:sz w:val="16"/>
          <w:szCs w:val="16"/>
          <w:lang w:val="en-US"/>
        </w:rPr>
        <w:t>AJI</w:t>
      </w:r>
      <w:r w:rsidRPr="00640820">
        <w:rPr>
          <w:rFonts w:ascii="Times New Roman" w:hAnsi="Times New Roman"/>
          <w:color w:val="000000" w:themeColor="text1"/>
          <w:sz w:val="16"/>
          <w:szCs w:val="16"/>
        </w:rPr>
        <w:t xml:space="preserve">-51 для самолета-разгонщика ЭПОС «Спираль», в 1976 г. работы прекращены. С 1981 г. начато создание автономных источников энергии - двигателей для системы «Энергия-Буран», а также посадочных двигателей для ОК «Буран» на базе </w:t>
      </w:r>
      <w:r w:rsidRPr="00640820">
        <w:rPr>
          <w:rFonts w:ascii="Times New Roman" w:hAnsi="Times New Roman"/>
          <w:color w:val="000000" w:themeColor="text1"/>
          <w:sz w:val="16"/>
          <w:szCs w:val="16"/>
          <w:lang w:val="en-US"/>
        </w:rPr>
        <w:t>AJI</w:t>
      </w:r>
      <w:r w:rsidRPr="00640820">
        <w:rPr>
          <w:rFonts w:ascii="Times New Roman" w:hAnsi="Times New Roman"/>
          <w:color w:val="000000" w:themeColor="text1"/>
          <w:sz w:val="16"/>
          <w:szCs w:val="16"/>
        </w:rPr>
        <w:t>-31.</w:t>
      </w:r>
    </w:p>
    <w:p w14:paraId="0AB8D03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1972 г. начаты работы по АЛ-31Ф, они утверждены Пост. СМ СССР в 1976 г. По приказу МАП № 134 от 10.04.1978 г. начата разработка модификации АЛ-31ФВ. С 1984 г. ресурс АЛ-31Ф увеличен со 100 ч до 1000 ч. 31.03.1992 г. подписан контракт на разработку АЛ-31ФН для Китая. В 2000-е  г. создан модернизированный вариант АЛ-31Ф (изд. 99М1).</w:t>
      </w:r>
    </w:p>
    <w:p w14:paraId="6F18CD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1981 г. начаты работы по двигателю 5-го поколения «изд. 20» (АЛ-41Ф) для МФИ, проект завершен в 1984 г. С 1988 г. до 2006 г. в ОКБ собрано 27 двигателей.</w:t>
      </w:r>
      <w:r w:rsidRPr="00640820">
        <w:rPr>
          <w:rFonts w:ascii="Times New Roman" w:hAnsi="Times New Roman"/>
          <w:color w:val="000000" w:themeColor="text1"/>
          <w:sz w:val="16"/>
          <w:szCs w:val="16"/>
          <w:vertAlign w:val="superscript"/>
        </w:rPr>
        <w:t>140</w:t>
      </w:r>
    </w:p>
    <w:p w14:paraId="259F33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По пр. от 19.04.1989 г. начаты работы по созданию агрегатов и машин для консервной промышленности. С 1993 г. - работы (совместно с МНПО «Спектр») по дефектоскопу-снаряду для подземных трубопроводов «КОД- 4М».</w:t>
      </w:r>
    </w:p>
    <w:p w14:paraId="677E7B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1990-е  г. на базе Краснотурьинского ПТП Тюменьтрансгаза создан центр диагностики и восстановительного ремонта стационарных газотурбинных приводов АЛ-31СТ.</w:t>
      </w:r>
    </w:p>
    <w:p w14:paraId="7A4F79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1990-е  г. создано совместное предприятие с швейцарско-шведской фирмой «АВВ». В 2000 г. создана Дирекция лицензионных программ.</w:t>
      </w:r>
    </w:p>
    <w:p w14:paraId="55F3026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2000-е  г. продолжались работы по двигателю следующего поколения АЛ-41Ф и АЛ-31ФП с поворотным соплом; двигателя </w:t>
      </w:r>
      <w:r w:rsidRPr="00640820">
        <w:rPr>
          <w:rFonts w:ascii="Times New Roman" w:hAnsi="Times New Roman"/>
          <w:color w:val="000000" w:themeColor="text1"/>
          <w:sz w:val="16"/>
          <w:szCs w:val="16"/>
          <w:lang w:val="en-US"/>
        </w:rPr>
        <w:t>SaM</w:t>
      </w:r>
      <w:r w:rsidRPr="00640820">
        <w:rPr>
          <w:rFonts w:ascii="Times New Roman" w:hAnsi="Times New Roman"/>
          <w:color w:val="000000" w:themeColor="text1"/>
          <w:sz w:val="16"/>
          <w:szCs w:val="16"/>
        </w:rPr>
        <w:t xml:space="preserve"> 146 для </w:t>
      </w:r>
      <w:r w:rsidRPr="00640820">
        <w:rPr>
          <w:rFonts w:ascii="Times New Roman" w:hAnsi="Times New Roman"/>
          <w:color w:val="000000" w:themeColor="text1"/>
          <w:sz w:val="16"/>
          <w:szCs w:val="16"/>
          <w:lang w:val="en-US"/>
        </w:rPr>
        <w:t>RRJ</w:t>
      </w:r>
      <w:r w:rsidRPr="00640820">
        <w:rPr>
          <w:rFonts w:ascii="Times New Roman" w:hAnsi="Times New Roman"/>
          <w:color w:val="000000" w:themeColor="text1"/>
          <w:sz w:val="16"/>
          <w:szCs w:val="16"/>
        </w:rPr>
        <w:t xml:space="preserve">.20. В 2006 г. построено 5 экспериментальных образцов двигателя </w:t>
      </w:r>
      <w:r w:rsidRPr="00640820">
        <w:rPr>
          <w:rFonts w:ascii="Times New Roman" w:hAnsi="Times New Roman"/>
          <w:color w:val="000000" w:themeColor="text1"/>
          <w:sz w:val="16"/>
          <w:szCs w:val="16"/>
          <w:lang w:val="en-US"/>
        </w:rPr>
        <w:t>V</w:t>
      </w:r>
      <w:r w:rsidRPr="00640820">
        <w:rPr>
          <w:rFonts w:ascii="Times New Roman" w:hAnsi="Times New Roman"/>
          <w:color w:val="000000" w:themeColor="text1"/>
          <w:sz w:val="16"/>
          <w:szCs w:val="16"/>
        </w:rPr>
        <w:t xml:space="preserve"> поколения (тема «117С», совместно с УМПО). В 06.2006 г. построен 1-й </w:t>
      </w:r>
      <w:r w:rsidRPr="00640820">
        <w:rPr>
          <w:rFonts w:ascii="Times New Roman" w:hAnsi="Times New Roman"/>
          <w:color w:val="000000" w:themeColor="text1"/>
          <w:sz w:val="16"/>
          <w:szCs w:val="16"/>
          <w:lang w:val="en-US"/>
        </w:rPr>
        <w:t>SaM</w:t>
      </w:r>
      <w:r w:rsidRPr="00640820">
        <w:rPr>
          <w:rFonts w:ascii="Times New Roman" w:hAnsi="Times New Roman"/>
          <w:color w:val="000000" w:themeColor="text1"/>
          <w:sz w:val="16"/>
          <w:szCs w:val="16"/>
        </w:rPr>
        <w:t xml:space="preserve"> 146. В 12.2006 г. пнв АЛ-31ФМ1 (АЛ-31Ф серии 42). Затем создан АЛ-31ФМ2 с улучшенной геометрией турбины и новым поворотным соплом. В 2007 г. создан также АЛ-31ФМЗ-1 с новой камерой сгорания с «двойной стенкой».</w:t>
      </w:r>
    </w:p>
    <w:p w14:paraId="66AEEF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2006 г. заключен контракт на изготовление 200 малоразмерных ТРДД-50МТ для индийского БПЛА </w:t>
      </w:r>
      <w:r w:rsidRPr="00640820">
        <w:rPr>
          <w:rFonts w:ascii="Times New Roman" w:hAnsi="Times New Roman"/>
          <w:color w:val="000000" w:themeColor="text1"/>
          <w:sz w:val="16"/>
          <w:szCs w:val="16"/>
          <w:lang w:val="en-US"/>
        </w:rPr>
        <w:t>Lakshya</w:t>
      </w:r>
      <w:r w:rsidRPr="00640820">
        <w:rPr>
          <w:rFonts w:ascii="Times New Roman" w:hAnsi="Times New Roman"/>
          <w:color w:val="000000" w:themeColor="text1"/>
          <w:sz w:val="16"/>
          <w:szCs w:val="16"/>
        </w:rPr>
        <w:t>.</w:t>
      </w:r>
    </w:p>
    <w:p w14:paraId="6021E8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1963 г. получил название Государственный объединенный завод № 165 ГКАТ. С 1.01.1967 г. - ММЗ «Сатурн». С 6.05.1982 г. - НПО «Сатурн», в него вошли: ММЗ «Сатурн», Лыткаринский МЗ «Сатурн», МКБ «Гранит» и УКБМ. С 25.07.1984 г. - НПО «Сатурн» им.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xml:space="preserve">. Люльки МАП. С 13.12.1993 г. - АООТ, затем - ОАО «А. Люлька-Сатурн». 5.07.2001 г. образовано ОАО «НПО «Сатурн» путем слияния ОКБ «Люлька-Сатурн» и «Рыбинских моторов». ОКБ преобразовано в НТЦ им.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Люльки. По решению правительства № 22-р от 9.01.2004 г. и Указу Президента РФ № 1009 от 4.08.2004 г. ОАО «НПО «Сатурн» вошло в число стратегических оборонных предприятий.</w:t>
      </w:r>
    </w:p>
    <w:p w14:paraId="0FEDD4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(1941 г.)- более 2000 чел.</w:t>
      </w:r>
    </w:p>
    <w:p w14:paraId="31F551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Директор (1942-12.1944-; 25.04.1946 г.-)- Ю.А. Мизюров, (05.1945 г.)- Бугров, (1954-77 г.)- А.А. Завитаев, (1977- 93 г.)-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Хартов.</w:t>
      </w:r>
      <w:r w:rsidRPr="00640820">
        <w:rPr>
          <w:rFonts w:ascii="Times New Roman" w:hAnsi="Times New Roman"/>
          <w:color w:val="000000" w:themeColor="text1"/>
          <w:sz w:val="16"/>
          <w:szCs w:val="16"/>
          <w:vertAlign w:val="superscript"/>
        </w:rPr>
        <w:t>68</w:t>
      </w:r>
      <w:r w:rsidRPr="00640820">
        <w:rPr>
          <w:rFonts w:ascii="Times New Roman" w:hAnsi="Times New Roman"/>
          <w:color w:val="000000" w:themeColor="text1"/>
          <w:sz w:val="16"/>
          <w:szCs w:val="16"/>
        </w:rPr>
        <w:t xml:space="preserve"> Гендиректор (-1998-2002 г.-)- В.М. Чепкин, В.А. Лебедев.</w:t>
      </w:r>
    </w:p>
    <w:p w14:paraId="2B3CE8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Ответственный руководитель (25.04.1946 г.-)-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Люлька.</w:t>
      </w:r>
    </w:p>
    <w:p w14:paraId="5AC123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гендиректора (-2000-02 г.-)- В.А. Лебедев, (-2002-07 г.-)- Е.Ю. Марчуков; по НИОКР/ председатель НТС (2003-04 г.-)- В.М. Чепкин. Зам. гендиректора (2006 г.)- С. Чуклинов.</w:t>
      </w:r>
    </w:p>
    <w:p w14:paraId="3E7F40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Гл. конструктор (25.04.1946-56 г.)-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xml:space="preserve">. Люлька. Ген. конструктор (12.1956-84 г.)- академик (1968 г.)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Люлька {23.03.1908-1.06.1984 г.}; и.о. (-03-08.1984 г.)- Ю.П. Марчуков; (08.1984-2003 г.)- В.М. Чепкин {20.09.1933- }, (2003 г.-)- М.Л. Кузменко.</w:t>
      </w:r>
    </w:p>
    <w:p w14:paraId="32ECB0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гл., ген. конструктора (1946 г.-)- Э.Э. Лусс, (1960-е)- Ю.Н. Бытев, (1996 г.-)- Е.Ю. Марчуков, (2000 г.)- Ю.П. Марчуков. Зам. гл., ген. конструктора: по атомной тематике (1959 г.)- А.А. Иевлев, по перспективным темам и атомной тематике (1960-е-72 г.-)- А.В. Воронцов (АЛ-31Ф); по стендовым и летным испытаниям (-1976-78 г.-)- Ю.Н. Бытев; И.И. Жуков, (1946-57 г.-)- Э.Э. Лусс, (1946-51 г.-)- И.Ф. Козлов, (-1973-78 г.-)- СЛ. Кувшинников, (-1973-78 г.-&gt;</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Хартов, (1978 г.)- В.К. Кобченко, (1978 г.)- В.А. Горелов, (1997-98 г.)- М.Л. Кузменко, Е.Ю. Марчуков.</w:t>
      </w:r>
    </w:p>
    <w:p w14:paraId="3D4D5D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Управляющий директор (2002 г.)- В.А. Лебедев. Директор Дирекции лицензионных программ (2000 г.-)- О.Е. Хлыстова, (2000-е)- В.А. Борисков. Технический директор Дирекции лицензионных программ (2000 г.-)- В.М. Беркович.</w:t>
      </w:r>
    </w:p>
    <w:p w14:paraId="5C022D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(1980-е)-  Г.И. Зуев.</w:t>
      </w:r>
    </w:p>
    <w:p w14:paraId="5A961E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производства- А.В. Чуркин (около 20 лет).</w:t>
      </w:r>
    </w:p>
    <w:p w14:paraId="4C14FFB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конструкторы: (1957-76 г.)- Э.Э. Лусс, (1960-е  г.)- Ю.Н. Бытев (АЛ-21Ф-3), (1964 г.-)- М.А. Кузьмин (11Д57), (1978-96 г.)- Ю.П. Марчуков (Р1БД-14, ТП-22), (1980-е)- М.М. Гойхенберг, (-1992-94 г.-)- А.В. Андреев (11Д57, АЛ-31Ф, -31ФН, -31ФУ, -31ФП); по перспективным разработкам (1982 г.-)- К.Р. Хачатуров, (2003 г.)- М.М. Гойхенберг; (1983-87 г.)- В.К. Кобченко (АЛ-31Ф), (1990-е-2002г-.)- А.И. Волков (АЛ-31ФП, АЛ-55), (-2002- 07 г.-)- Е.Ю. Марчуков, В.М. Андриенко (АЛ-55И), В.В. Кирюхин, М.М. Костюченко (САР), (1990-е)- В.В. Куприк (наземная тематика), В.И. Федюкин (автоматика).</w:t>
      </w:r>
    </w:p>
    <w:p w14:paraId="5CA2A2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конструкторов: по САР, летным испытаниям и эксплуатации (1978-98 г.-)- М.М. Костюченко; по испытаниям (1980-е)- Е.Ю. Марчуков; по эксплуатации (1980-е)- В.В. Кирюхин, (2000-е)- Е.В. Балуков; (1994 г.)- А.И. Волков (АЛ-31ФП), М.Ф. Вольман, О.Н. Кошиц, (1980-е)- Н.М. Мэнн, (1990-е)- К.Ю. Сорокин.</w:t>
      </w:r>
    </w:p>
    <w:p w14:paraId="6632FB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цехов: Н.Н. Якунин.</w:t>
      </w:r>
    </w:p>
    <w:p w14:paraId="4CE054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отдела внешних связей и протокола (2002 г.)- В. Г. Нестеров.</w:t>
      </w:r>
    </w:p>
    <w:p w14:paraId="550839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бригад: (2006 г.)- Н.В. Кикоть.</w:t>
      </w:r>
    </w:p>
    <w:p w14:paraId="379590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лабораторий: (1970-е)- А.Ф. Кричигина.</w:t>
      </w:r>
    </w:p>
    <w:p w14:paraId="7FC5E4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авиационные ГТД: ТР-1 (1947), ТР-2 (1948), ТР-3 (1948), АЛ-5 (1947-52), экспериментальный «ЭА» (1948), АЛ-7 (1953-56), АЛ-7Ф-1 (1960), АЛ-7Ф-2 (1963), АЛ-21Ф (изд. «85», 1965-70), АЛ-21Ф-2 (изд. « 87»), АЛ-21Ф-3 (изд. «89», 1970), АЛ-31Ф (изд. «99», 1976-85), изд. «12» и «12ф» на базе АЛ-31Ф для аналога ОК «Буран» (1980-е), АЛ-31ФП с поворотным соплом (1989), АЛ-31ФН для Китая (1998), ТВД АЛ-34-1 (1990-е), АЛ- 35, АЛ-37, АЛ-41Ф (изд. «20»), изд. «117А» на базе АЛ-41Ф (2002), изд. «117С» на базе АЛ-31Ф (2006), АЛ-55 (2004), АЛ-55И для Индии (2005); «36», «36МТ» для БПЛА; для надводных кораблей ВМФ М75РУ (2006), М70ФРУ (2007), М90ФР (совместно с «Зоря-Машпроект»); турбостартеры ТС-17 (1949), ТС-19, ТС-20 (1955), ТС- 21, ТС-31М; ЖРД: 11Д54, Д-57 (11Д57) (1959-75) для ракеты Н-1, Д-57М (11Д57М) для РН «Вулкан» (1976); источник питания 5И43 (1958-65) для ЗУР; морской ТВД МТВД-79 (1964-67) для ПЛ авиационной торпеды; АЛ- 51 для ЭПОС (проект, 1976); ракетно-турбовальный двигатель РТВД-14 (изд. «14», 1981-88), его модификация- турбопривод ТП-22 для «Энергия-Буран» («22»); ГДТ для газоперекачивающих станций АЛ-31СТ (1992-94), для электростанций АЛ-31СТЭ (2003);</w:t>
      </w:r>
      <w:r w:rsidRPr="00640820">
        <w:rPr>
          <w:rFonts w:ascii="Times New Roman" w:hAnsi="Times New Roman"/>
          <w:color w:val="000000" w:themeColor="text1"/>
          <w:sz w:val="16"/>
          <w:szCs w:val="16"/>
          <w:vertAlign w:val="superscript"/>
        </w:rPr>
        <w:t>68</w:t>
      </w:r>
      <w:r w:rsidRPr="00640820">
        <w:rPr>
          <w:rFonts w:ascii="Times New Roman" w:hAnsi="Times New Roman"/>
          <w:color w:val="000000" w:themeColor="text1"/>
          <w:sz w:val="16"/>
          <w:szCs w:val="16"/>
        </w:rPr>
        <w:t xml:space="preserve"> проекты: ЯСУ РД-А для М-30 (1950-е), открытого типа ТРДА ПАС для М-60 (1955)</w:t>
      </w:r>
      <w:r w:rsidRPr="00640820">
        <w:rPr>
          <w:rFonts w:ascii="Times New Roman" w:hAnsi="Times New Roman"/>
          <w:color w:val="000000" w:themeColor="text1"/>
          <w:sz w:val="16"/>
          <w:szCs w:val="16"/>
          <w:vertAlign w:val="superscript"/>
        </w:rPr>
        <w:t>93</w:t>
      </w:r>
      <w:r w:rsidRPr="00640820">
        <w:rPr>
          <w:rFonts w:ascii="Times New Roman" w:hAnsi="Times New Roman"/>
          <w:color w:val="000000" w:themeColor="text1"/>
          <w:sz w:val="16"/>
          <w:szCs w:val="16"/>
        </w:rPr>
        <w:t>; дизель СН-6Д 6 л.с. (1986-91); стоматологические электровакуумные печи МТ, МТ-2000, «Русь» (1987- 91); горелка для воздушного шара «Вега-2» (1990-е); дефектоскоп-снаряд «КОД-4М» (1993-98) (11982).</w:t>
      </w:r>
    </w:p>
    <w:p w14:paraId="65E75E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821EA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в Москве на месте эвакуированного завода № 230 НКАП действовал филиал завода № 230 (Завод № 339 НКАП, МАП, МОП, ГКРЭ /г. Москва Электрический пер., 1/). Затем по приказу № 63с от 25.01.1942 г. началось формирование Ремонтных мастерских по приборам при 5ГУ НКАП. Затем в соответствии с пост. ГКО № 1543сс от 5.04.1942 г. и приказом № 269сс от 10.04.1942 г. был образован новый приборостроительный завод № 339 НКАП в системе 5ГУ НКАП для работ по электроизмерительным приборам и приборам управления.</w:t>
      </w:r>
    </w:p>
    <w:p w14:paraId="4824CC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соответствии с пост. ГКО № 4314сс от 12.10.1943 г. и приказом № 667сс от 5.11.1943 г. началось производство </w:t>
      </w:r>
      <w:r w:rsidRPr="00640820">
        <w:rPr>
          <w:rFonts w:ascii="Times New Roman" w:hAnsi="Times New Roman"/>
          <w:color w:val="000000" w:themeColor="text1"/>
          <w:sz w:val="16"/>
          <w:szCs w:val="16"/>
          <w:lang w:val="en-US"/>
        </w:rPr>
        <w:t>PJI</w:t>
      </w:r>
      <w:r w:rsidRPr="00640820">
        <w:rPr>
          <w:rFonts w:ascii="Times New Roman" w:hAnsi="Times New Roman"/>
          <w:color w:val="000000" w:themeColor="text1"/>
          <w:sz w:val="16"/>
          <w:szCs w:val="16"/>
        </w:rPr>
        <w:t xml:space="preserve"> системы опознавания «свой-чужой» СЧ-2. В связи с этим полностью прекращены работы по приборам, и их производство вместе с кадрами и оборудованием по приказу № 169с от 8.03.1944 г. передано на завод № 157 НКАП в Харьков.</w:t>
      </w:r>
    </w:p>
    <w:p w14:paraId="46D6901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605сс от 13.10.1944 г. завод с 1.01.1945 г. передан из 5ГУ в 17ГУ НКАП.</w:t>
      </w:r>
    </w:p>
    <w:p w14:paraId="306397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образования МОП приказом № 415с от 26.06.1953 г. завод № 339 подчинен 4ГУ МОП, а вскоре с восстановлением МАП с 08.1953 г. передан в 4ГУ МАП, с 08.1955 г. - в 11ГУ МАП (как опытный завод). С 08.1957 г. при реорганизации аппарата МАП (после передачи серийных заводов в СНХ) завод № 339 передан в новое 4ГУ ГКАТ. В 12.1958 г. завод № 339 передан в ведение ГКРЭ.</w:t>
      </w:r>
    </w:p>
    <w:p w14:paraId="77BAE9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 899-385сс от 13.05.1954 г. РЛС «Сокол» пнв.</w:t>
      </w:r>
    </w:p>
    <w:p w14:paraId="58ADD9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1962 г. ОКБ слито с заводом в НИИ-339.</w:t>
      </w:r>
    </w:p>
    <w:p w14:paraId="207670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(1942-44 г.)- И.И. Домбровский, (1944-47 г.)- Н.Б. Валаев, (1947-48 г.)- Н.А. Забелин, (1948-49 г.)- И.И. Штейнберг (репрессирован), (1949-51 г.)- Н.В. Федосов, (1951-52 г.)- П.К. Объедков, (1952-54 г.)- А.Н. Голеншцев, (1954-62 г.)- М.И. Комиссаров.</w:t>
      </w:r>
    </w:p>
    <w:p w14:paraId="7AD474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производства (1948-49 г.)- Н.В. Федосов.</w:t>
      </w:r>
    </w:p>
    <w:p w14:paraId="43861E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lang w:val="en-US"/>
        </w:rPr>
        <w:t>PJI</w:t>
      </w:r>
      <w:r w:rsidRPr="00640820">
        <w:rPr>
          <w:rFonts w:ascii="Times New Roman" w:hAnsi="Times New Roman"/>
          <w:color w:val="000000" w:themeColor="text1"/>
          <w:sz w:val="16"/>
          <w:szCs w:val="16"/>
        </w:rPr>
        <w:t xml:space="preserve"> системы опознавания «свой-чужой»: СЧ-1, СЧ-2 (1942-), СЧ-3 (1945-);</w:t>
      </w:r>
      <w:r w:rsidRPr="00640820">
        <w:rPr>
          <w:rFonts w:ascii="Times New Roman" w:hAnsi="Times New Roman"/>
          <w:iCs/>
          <w:color w:val="000000" w:themeColor="text1"/>
          <w:sz w:val="16"/>
          <w:szCs w:val="16"/>
        </w:rPr>
        <w:t xml:space="preserve"> РЛС:</w:t>
      </w:r>
      <w:r w:rsidRPr="00640820">
        <w:rPr>
          <w:rFonts w:ascii="Times New Roman" w:hAnsi="Times New Roman"/>
          <w:color w:val="000000" w:themeColor="text1"/>
          <w:sz w:val="16"/>
          <w:szCs w:val="16"/>
        </w:rPr>
        <w:t xml:space="preserve"> наземные обнаружения и опознавания «Редут» (РУС-2) (12.1941-), «Пегматит» (РУС-2с) (1942-), «Пегматит-3» (1944-); авиационные: «Гнейс-5с» (1945-), «Барий-М», «Магний-М», «Ротор-С» (1950), «Сокол» для Як-25 (пнв 13.05.1954 г.), «Сокол-2».</w:t>
      </w:r>
    </w:p>
    <w:p w14:paraId="0B492F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ОКБ-339 МАП, ГКРЭ, НИИ-339 МРП, НИИ Аппаратостроения, п/я 2264, НИИ радиостроения (НИИР), Государственный НИИР, ФГУП «Ордена Трудового Красного Знамени НИИ радио» (НИИР) /103064  г. Москва ул. Казакова, 16 тел. 261-36-94/</w:t>
      </w:r>
    </w:p>
    <w:p w14:paraId="11AC88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Особое КБ-339 образовалось при заводе № 339 МАП по приказу МАП № 247с от 26.04.1946 г. в системе 17ГУ для работ по самолетным РЛ системам опознавания.</w:t>
      </w:r>
    </w:p>
    <w:p w14:paraId="22F935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образования МОП (в 03.1953 г.) ОКБ-339 подчинено 4ГУ МОП, а с восстановлением МАП с 08.1953 г. передано в систему 4ГУ МАП.</w:t>
      </w:r>
    </w:p>
    <w:p w14:paraId="4D8558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1950-х  г. велась отработка станции разведки и помех ПР-1, созданной в ЦНИИ-108. В 1954 г. велись работы по системе самонаведения Г-301 для УРВБ «211» (В.А. Малаха).</w:t>
      </w:r>
    </w:p>
    <w:p w14:paraId="0F9920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1955 г. на базе завода и небольшого ОКБ-339 образовано ОКБ-339 МАП (одно время с 1955 г. завод был объединен с ОКБ) под руководством гл. конструктора  Г.М. Кунявского (был в 1959 г.) для расширения опытных работ по самолетным </w:t>
      </w:r>
      <w:r w:rsidRPr="00640820">
        <w:rPr>
          <w:rFonts w:ascii="Times New Roman" w:hAnsi="Times New Roman"/>
          <w:color w:val="000000" w:themeColor="text1"/>
          <w:sz w:val="16"/>
          <w:szCs w:val="16"/>
          <w:lang w:val="en-US"/>
        </w:rPr>
        <w:t>PJIC</w:t>
      </w:r>
      <w:r w:rsidRPr="00640820">
        <w:rPr>
          <w:rFonts w:ascii="Times New Roman" w:hAnsi="Times New Roman"/>
          <w:color w:val="000000" w:themeColor="text1"/>
          <w:sz w:val="16"/>
          <w:szCs w:val="16"/>
        </w:rPr>
        <w:t>. В 08.1955 г. ОКБ переведеново вновь образованное 11ГУ.</w:t>
      </w:r>
    </w:p>
    <w:p w14:paraId="0079B2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ОКБ была выделена из НИИ-17 тематика БРЛС «Сокол» с частью коллектива во главе с Кунявским.</w:t>
      </w:r>
    </w:p>
    <w:p w14:paraId="57D1C6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середине 1950-х  г. образовался филиал ОКБ при серийном заводе № 463 МАП ( г. Рязань) для решения вопросов, связанных с серийным производством БРЛС.</w:t>
      </w:r>
    </w:p>
    <w:p w14:paraId="25A5C5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08.1957 г. при реорганизации аппарата МАП ОКБ-339 вместе с филиалом передано во вновь образованное 4ГУ.</w:t>
      </w:r>
    </w:p>
    <w:p w14:paraId="639D03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1955 г. начата разработка самолетных РЛС. В 1958 г. сюда из ОСКБ-15 переданы работы по системе «Ураган- 5Б-80» для Ту-128-80 вместе с частью коллектива во главе с гл. конструктором Ф.Ф. Волковым. Затем на базе «Ураган-5Б-80» созданы РЛС «Смерч» и «Тайфун». Планировалось на базе завода, ОКБ, рязанского филиала </w:t>
      </w:r>
      <w:r w:rsidRPr="00640820">
        <w:rPr>
          <w:rFonts w:ascii="Times New Roman" w:hAnsi="Times New Roman"/>
          <w:color w:val="000000" w:themeColor="text1"/>
          <w:sz w:val="16"/>
          <w:szCs w:val="16"/>
        </w:rPr>
        <w:lastRenderedPageBreak/>
        <w:t>и московской группы ОСКБ-15 образовать ГС опытный завод № 339 как головной по разработке систем РЛ управления для УРВБ. В 12.1958 г. ОКБ передано в ведение ГКРЭ.</w:t>
      </w:r>
    </w:p>
    <w:p w14:paraId="19AEFD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ОКБ-339 в 1960 г. образовался коллектив по разработке РЛГСН для УРВБ. Возглавил его гл. конструктор Е.Н. Геништа. Коллектив получил название НИО-4 и базировался на территории НИИР. Первые работы: ПАРГС-12ВВ (ПАРГ-12) для Р-40Р и РГС-23 для Р-23. В 1986 г. НИО-4 выделился в самостоятельный МНИИ «Агат», объединившись с такой же группой из НИИП.</w:t>
      </w:r>
    </w:p>
    <w:p w14:paraId="692F4E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1962 г. опытный завод № 339 и ОКБ-339 объединены в НИИ-339. Имел также наименование НИИ аппаратостроеня (1969 г.), «п/я 2264». В 1970 г. НИИ-339 (НИИ аппаратостроения) переименован в НИИ радиостроения (НИИР). В 1969 г. образовано НКО аппаратостроения (с 1970 г. - «Фазотрон») путем объединения НИИР и КБ радиостроения (НИИП), НИИР являлся головным предприятием объединения.</w:t>
      </w:r>
    </w:p>
    <w:p w14:paraId="56D77F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Создана БРЛС «Сапфир-23» - первая отечественная РЛС, обеспечившая поражение низколетящих целей на фоне земли.</w:t>
      </w:r>
    </w:p>
    <w:p w14:paraId="2444FE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инициативе  Г.М. Кунявского начато новое направление - разработка контрольно-индикаторных систем для пилотируемых космических кораблей (шифр «Стрелка»).</w:t>
      </w:r>
    </w:p>
    <w:p w14:paraId="05D974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Выполнены НИР: «Гроза», «Вихрь», «Смерч-100».</w:t>
      </w:r>
    </w:p>
    <w:p w14:paraId="02552BE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( 2002 г.): разработка систем спутниковой связи, бортовых ретрансляторов, комплексов наземной обработки; сертификация наземного оборудования спутниковой связи; частотное планирование и обеспечение электромагнитной совместимости.</w:t>
      </w:r>
    </w:p>
    <w:p w14:paraId="18822B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Сотрудничало с АО «Рост», РосНИИКП, ГПКС и ЦНИИС. По Указу Президента РФ № 1009 от 4.08.2004 г. вошло в число стратегических оборонных предприятий.</w:t>
      </w:r>
    </w:p>
    <w:p w14:paraId="54D4BD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(1946 г.-)- Е.А. Левитин. Директор (1962-67 г.)- М.И. Комиссаров, (1967 г.-)- Я.И. Павлов, (1969- 78 г.)- Ю.Н. Фшуровский, (1978-82г&gt; В.К. Гришин, (1982-85 г.)- А. Г. Невструев, (1985 г.-)- А.И. Канащенков. Гендиректор (1990-е)- А.И. Канащенков, (-2000-03 г.-)- Ю.Б. Зубарев.</w:t>
      </w:r>
    </w:p>
    <w:p w14:paraId="00878D9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Гендиректора (2002 г.)- М.М. Симонов, (2002 г.)- А.И. Куштуев. Зам. директора, Гендиректора: по научной работе (-1969 г.)- Я.о технико-производственным вопросам (1962 г.-)- Н.В. Федосов; И. Павлов, (1970- 73 г.)- В.К. Гришин, по науке (2002 г.)- И.С. Цирлин; по науке и экономике (2002 г.)- В.П. Кокошкин; по общим вопросам (2002 г.)- Е.В. Ляхницкий, (2002 г.)- С.Н. Астахов;</w:t>
      </w:r>
      <w:r w:rsidRPr="00640820">
        <w:rPr>
          <w:rFonts w:ascii="Times New Roman" w:hAnsi="Times New Roman"/>
          <w:color w:val="000000" w:themeColor="text1"/>
          <w:sz w:val="16"/>
          <w:szCs w:val="16"/>
          <w:vertAlign w:val="superscript"/>
        </w:rPr>
        <w:t>69</w:t>
      </w:r>
      <w:r w:rsidRPr="00640820">
        <w:rPr>
          <w:rFonts w:ascii="Times New Roman" w:hAnsi="Times New Roman"/>
          <w:color w:val="000000" w:themeColor="text1"/>
          <w:sz w:val="16"/>
          <w:szCs w:val="16"/>
        </w:rPr>
        <w:t xml:space="preserve"> по вычислительным системам и ПО СУВ (2000-е)- О.Ф. Самарин.</w:t>
      </w:r>
    </w:p>
    <w:p w14:paraId="6B4F6E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И.О. Гл. конструктора (1948 г.)- Б.А. Веселов. Гл. конструктор (1955-62 г.-)-  Г.М. Кунявский, (1967 г.-)- Я.И. Павлов.</w:t>
      </w:r>
    </w:p>
    <w:p w14:paraId="614D7C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конструктора (-1986 г.)- Б.С. Архипов, М.А. Виноградов.</w:t>
      </w:r>
    </w:p>
    <w:p w14:paraId="74BAE6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Научный руководитель (1962 г.-)- Ф.Ф. Волков.</w:t>
      </w:r>
    </w:p>
    <w:p w14:paraId="411DFE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(1953-62 г.)- Н.В. Федосов, (1967-82 г.)- А. Г. Невструев, (1982 г.-)- Д.С. Трифонов.</w:t>
      </w:r>
    </w:p>
    <w:p w14:paraId="36C4FB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инженера (-1967 г.)- А. Г. Невструев.</w:t>
      </w:r>
    </w:p>
    <w:p w14:paraId="3DEC8A3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конструкторы: (1954 г.)- В.А. Малаха,  Г.М. Кунявский («Орел», «Сапфир-23») (затем- в ГосННИАС), (1958 г.-)- Ф.Ф. Волков («Смерч», «Смерч-А», «Тайфун-М», «Салфир-21»), В.К. Гришин («Сапфир-23»), (1980 г.-)- Ю. Г. Винник (НО 19), Ю.П. Кирпичев («Сапфир-25», Н019), (1984-2000-е)- Ю.Н. Гуськов (НОЮ), (1986-96 г.-)- В.В. Францев (Н019М, «Жук-МСЭ, -МСФЭ»), Н.В. Шерстюк («Стрелка», «Символ-Ц, -Д»).</w:t>
      </w:r>
    </w:p>
    <w:p w14:paraId="367F088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гл. конструктора: Ю.П. Кирпичев («Смерч-А»), Зам. гл. конструктора: В.А. Бабичев («Жук», «Копье»), (-1974-2003 г.-&gt; Ю. Г. Винник («Сапфир-23», Н019, «Жук-МСФЭ»), Ю.Н. Гуськов («Смерч-А2», «Сапфир-25». «Тайфун-М», СУВ-29), (2000-е)- Л.С. Ривес, О.Ф. Самарин (ПО СУВ МиГ-29), В.В. Францев (НО 19), (-1986 г.)- В.В. Чубров.</w:t>
      </w:r>
    </w:p>
    <w:p w14:paraId="427694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отделений: НИО (1971-82 г.)- Д.С. Трифонов, Б.С. Архипов, (1984 г.-)- Ю.Н. Гуськов, (-2001 г.)- В.В. Овсянников. Начальник НИЦ- В.В. Францев.</w:t>
      </w:r>
    </w:p>
    <w:p w14:paraId="5A1AD0B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Начальники отделов: комплексного по БРЛС- М.А. Виноградов; комплексного по ГСН для УРВВ (1967-71 г.)- Д.С. Трифонов; перспективных научных исследований (1987 г.-)- И.С. Рыжак, И.П. Цивлин; конструкторского (- 1986 г.)- У.Д. Шапиро; (-1986 г.)- Д.И. Аверин, Б.С. Архипов, </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JI</w:t>
      </w:r>
      <w:r w:rsidRPr="00640820">
        <w:rPr>
          <w:rFonts w:ascii="Times New Roman" w:hAnsi="Times New Roman"/>
          <w:color w:val="000000" w:themeColor="text1"/>
          <w:sz w:val="16"/>
          <w:szCs w:val="16"/>
        </w:rPr>
        <w:t>. Когель, А.К. Кантаровский, (1978 г.-)- В.В. Овсянников.</w:t>
      </w:r>
    </w:p>
    <w:p w14:paraId="51C5474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лабораторий: комплексной по БРЛС (1964-97 г.)- В.А. Бабичев; Д.И. Аверин, (-1986 г.)-  Г.М. Борзенко, (1968 г.-)- Ю. Г. Винник, М.Л. Когель, А.К. Кантаровский, (-1986 г.)- Ю.В. Медведев, (1958 г.-)- А. Г. Невструев, (2000-е)- Л.С. Ривес, (1984-87 г.)- И.С. Рыжак, (-1986 г.)- В.А. Сулим, (-1967 г.)- Д.С. Трифонов, (1964 г.- )- В.В. Чубров. Начальник комплекса-  Г.М. Кунявский.</w:t>
      </w:r>
      <w:r w:rsidRPr="00640820">
        <w:rPr>
          <w:rFonts w:ascii="Times New Roman" w:hAnsi="Times New Roman"/>
          <w:color w:val="000000" w:themeColor="text1"/>
          <w:sz w:val="16"/>
          <w:szCs w:val="16"/>
          <w:vertAlign w:val="superscript"/>
        </w:rPr>
        <w:t>130</w:t>
      </w:r>
    </w:p>
    <w:p w14:paraId="184C70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начальника лаборатории: комплексной по БРЛС (1974 г.)- Ю. Г. Винник.</w:t>
      </w:r>
    </w:p>
    <w:p w14:paraId="477EBB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секторов: (1976-86 г.)- В.М. Чкунин.</w:t>
      </w:r>
    </w:p>
    <w:p w14:paraId="63FE681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Научные руководители НИР: (1959-63 г.)- В.А. Бабичев («Гроза»).</w:t>
      </w:r>
    </w:p>
    <w:p w14:paraId="31ED42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бригад: конструкторской (1958 г.-)- У.Д. Шапиро.</w:t>
      </w:r>
    </w:p>
    <w:p w14:paraId="7612AA8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Создано: БРЛС:</w:t>
      </w:r>
      <w:r w:rsidRPr="00640820">
        <w:rPr>
          <w:rFonts w:ascii="Times New Roman" w:hAnsi="Times New Roman"/>
          <w:color w:val="000000" w:themeColor="text1"/>
          <w:sz w:val="16"/>
          <w:szCs w:val="16"/>
        </w:rPr>
        <w:t xml:space="preserve"> «Барий», «Барий-М» (1950), «Магний-М» (1950), «Ротор-С», «Протон», «Сокол» для Як-25, «Сокол-2», «Сокол-2К», «Пантера-2» (проект) для комплекса Як-35МВ, «Орел» для Су-11, «Орел-Д» для Як-28П, «Смерч» для Ту-28-80, «Смерч-А, -А2» для МиГ-25П, «Коршун», «Тайфун» и «Тайфун-М» для Су-15ТМ (пнв в 1977 г.), «Сапфир-21» для МиГ-21, «Сапфир-23» для МиГ-23, «Сапфир-25» для МиГ-25ПД, Н019 для МиГ-29, Н019М для МиГ-29С, НОЮ «Жук» для МиГ-29М, «Жук-АЭ» с АФАР для МиГ-35, «Жук-МЭ» для МиГ-29К, «Жук-МФЭ» для МиГ-29СМТ, «Жук-МСФЭ» («Сокол») для Су-27КУБ, «Жук-МСЭ» для Су-ЗОМКЗ, «Жук-8П» для</w:t>
      </w:r>
      <w:r w:rsidRPr="00640820">
        <w:rPr>
          <w:rFonts w:ascii="Times New Roman" w:hAnsi="Times New Roman"/>
          <w:smallCaps/>
          <w:color w:val="000000" w:themeColor="text1"/>
          <w:sz w:val="16"/>
          <w:szCs w:val="16"/>
          <w:lang w:val="en-US"/>
        </w:rPr>
        <w:t>F</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IIM</w:t>
      </w:r>
      <w:r w:rsidRPr="00640820">
        <w:rPr>
          <w:rFonts w:ascii="Times New Roman" w:hAnsi="Times New Roman"/>
          <w:color w:val="000000" w:themeColor="text1"/>
          <w:sz w:val="16"/>
          <w:szCs w:val="16"/>
        </w:rPr>
        <w:t>», НО 14 для</w:t>
      </w:r>
      <w:r w:rsidRPr="00640820">
        <w:rPr>
          <w:rFonts w:ascii="Times New Roman" w:hAnsi="Times New Roman"/>
          <w:smallCaps/>
          <w:color w:val="000000" w:themeColor="text1"/>
          <w:sz w:val="16"/>
          <w:szCs w:val="16"/>
        </w:rPr>
        <w:t xml:space="preserve"> «1</w:t>
      </w:r>
      <w:r w:rsidRPr="00640820">
        <w:rPr>
          <w:rFonts w:ascii="Times New Roman" w:hAnsi="Times New Roman"/>
          <w:color w:val="000000" w:themeColor="text1"/>
          <w:sz w:val="16"/>
          <w:szCs w:val="16"/>
        </w:rPr>
        <w:t>-42», «Копье», «Копье-А» для Ми-28, «Копье-21И» для МиГ-21 6</w:t>
      </w:r>
      <w:r w:rsidRPr="00640820">
        <w:rPr>
          <w:rFonts w:ascii="Times New Roman" w:hAnsi="Times New Roman"/>
          <w:smallCaps/>
          <w:color w:val="000000" w:themeColor="text1"/>
          <w:sz w:val="16"/>
          <w:szCs w:val="16"/>
          <w:lang w:val="en-US"/>
        </w:rPr>
        <w:t>hcUPG</w:t>
      </w:r>
      <w:r w:rsidRPr="00640820">
        <w:rPr>
          <w:rFonts w:ascii="Times New Roman" w:hAnsi="Times New Roman"/>
          <w:color w:val="000000" w:themeColor="text1"/>
          <w:sz w:val="16"/>
          <w:szCs w:val="16"/>
        </w:rPr>
        <w:t xml:space="preserve">, «Копье-М» для Су-25, «Арбалет» для Ка-52, М002 (для «48М»), «Шлем» для ЗПРК «Панцирь-С1», «Жемчуг» (экспортная); </w:t>
      </w:r>
      <w:r w:rsidRPr="00640820">
        <w:rPr>
          <w:rFonts w:ascii="Times New Roman" w:hAnsi="Times New Roman"/>
          <w:iCs/>
          <w:color w:val="000000" w:themeColor="text1"/>
          <w:sz w:val="16"/>
          <w:szCs w:val="16"/>
        </w:rPr>
        <w:t>РЛГСН:</w:t>
      </w:r>
      <w:r w:rsidRPr="00640820">
        <w:rPr>
          <w:rFonts w:ascii="Times New Roman" w:hAnsi="Times New Roman"/>
          <w:color w:val="000000" w:themeColor="text1"/>
          <w:sz w:val="16"/>
          <w:szCs w:val="16"/>
        </w:rPr>
        <w:t xml:space="preserve"> «Магнит» для ЗУР «Даль» (конец 1950-х), ПАРГС-12ВВ (ПАРГ-12) для Р-40Р, РГС-23 для Р-23, РГС-24 для Р-24, РГС-27 (9Б-1101К) для Р-27Р1; система углового сопровождения «Орел» для ракет (конец 1950-х); РЛ- дальномер для СРД-3; СУВ-29 для МиГ-29; контрольно-индикаторная система «Стрелка» для РН «Союз», комплексы операторского контроля «Символ-Д, -Ц» для станции «Мир».</w:t>
      </w:r>
    </w:p>
    <w:p w14:paraId="4524AF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Научно-конструкторское объединение (НКО) аппаратостроения, «Фазотрон», НПО, МПК «Фазотрон» МРП, Научно-производственная компания (НПК) «Фазотрон», Концерн «Фазотрон»,</w:t>
      </w:r>
    </w:p>
    <w:p w14:paraId="2B6991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ОАО «Корпорация «Фазотрон-НИИР» /123557  г. Москва пер. Электрический, 1 тел. 253-16-42;  г. Жуковский;  г. Москва ул. М. Грузинская, 54; ул. М. Грузинская, 52/34/</w:t>
      </w:r>
    </w:p>
    <w:p w14:paraId="0C1021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НКО аппаратостроения (с 1970 г. - «Фазотрон») образовано 22.12.1969 г. путем объединения НИИР и КБ радиостроения (НИИП). Позже к ним присоединился ГРПЗ. Первым ген. конструктором стал Ю.Н. Фигуровский («Фазотрон» и был создан «для него»). В 1985 г.- НПО «Фазотрон», в 1991 г.- Концерн «Фазотрон», в 1997 г.- ОАО «Корпорация «Фазотрон-НИИР». В конце 1990-х  г. из состава «Фазотрона» вышел НИИП, потом ГРПЗ.</w:t>
      </w:r>
    </w:p>
    <w:p w14:paraId="61F2E3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решению правительства № 22-р от 9.01.2004 г. ОАО «Корпорация «Фазотрон-НИИР» вошло в перечень стратегических предприятий.</w:t>
      </w:r>
    </w:p>
    <w:p w14:paraId="3E014FB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(2005 г.): РЛС для самолетов, вертолетов, ЗРПК, метеорадары, системы управления вооружением, ГСН.</w:t>
      </w:r>
    </w:p>
    <w:p w14:paraId="535D20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Корпорации (2007 г.)- НИЦ «Фазотрон».</w:t>
      </w:r>
    </w:p>
    <w:p w14:paraId="36B612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Гендиректор (1969-78 г.)- Ю.Н. Фигуровский, (1978-82 г.)- В.К. Гришин, (1982-85 г.)- А. Г. Невструев, (1985- 05.2006 г.)- А.И. Канащенков, (2006-07 г.-)- М.В. Коржуев.</w:t>
      </w:r>
    </w:p>
    <w:p w14:paraId="020091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гендиректора (1982 г.-)- Д.С. Трифонов, (1995-2006 г.)- В.Я. Рогов. Зам. гендиректора: по науке (05.2006-07 г.-)- А.И. Канащенков; по электронной технике (1999-2007 г.-&gt; В.В. Копылов; (1971-81 г.)- М.С. Гоцеридзе, (1980-85 г.)- А.Н. Осокин, В.Я. Рогов, (-2000-02 г.-)- Ю.Н. Гуськов, (2006-07 г.-)- А.И. Гридчин, (1998- 2007 г.-)- А.Н. Могуев.</w:t>
      </w:r>
    </w:p>
    <w:p w14:paraId="6AD989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 конструктор (1969-78 г.)- Ю.Н. Фигуровский, (1978-82 г.)- В.К. Гришин, (1982-85 г.)- А. Г. Невоструев, (1985-2007 г.-)-А.И. Канащенков {19.09.1937-}.</w:t>
      </w:r>
    </w:p>
    <w:p w14:paraId="366D82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 конструктор по разработке РЛ СУВ для истребителей и штурмовиков (1994 г.-)- А.И. Канащенков.</w:t>
      </w:r>
    </w:p>
    <w:p w14:paraId="2233D0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ген. конструктора (-2000-07 г.-)- Ю.Н. Гуськов. Зам. ген. конструктора: по системам управления (1979 г.-)- Т.О. Бекирбаев; (1972-73 г.)- В.К. Гришин, Л. Г. Волошин.</w:t>
      </w:r>
    </w:p>
    <w:p w14:paraId="38CADA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Исполнительный директор (1995-2006 г.)- В.Я. Рогов.</w:t>
      </w:r>
      <w:r w:rsidRPr="00640820">
        <w:rPr>
          <w:rFonts w:ascii="Times New Roman" w:hAnsi="Times New Roman"/>
          <w:color w:val="000000" w:themeColor="text1"/>
          <w:sz w:val="16"/>
          <w:szCs w:val="16"/>
          <w:vertAlign w:val="superscript"/>
        </w:rPr>
        <w:t>69</w:t>
      </w:r>
      <w:r w:rsidRPr="00640820">
        <w:rPr>
          <w:rFonts w:ascii="Times New Roman" w:hAnsi="Times New Roman"/>
          <w:color w:val="000000" w:themeColor="text1"/>
          <w:sz w:val="16"/>
          <w:szCs w:val="16"/>
        </w:rPr>
        <w:t xml:space="preserve"> Директор департамента: анализа рынков (2001-06 г.-)- В.Ф. Медовников; информационных стратегий (2000-07 г.-)- А.Н. Осокин.</w:t>
      </w:r>
    </w:p>
    <w:p w14:paraId="591E50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исполнительного директора (2006-07 г.-)- В.Я. Рогов.</w:t>
      </w:r>
    </w:p>
    <w:p w14:paraId="7B06AA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(1967-82 г.)- А. Г. Невструев, (1982 г.-)- Д.С. Трифонов, (1995-2006 г.)- В.Я. Рогов.</w:t>
      </w:r>
    </w:p>
    <w:p w14:paraId="49CF09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инженер (1988 г.-)- В.Я. Рогов, Л. Г. Волошин.</w:t>
      </w:r>
    </w:p>
    <w:p w14:paraId="269D7C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конструкторы: В.В. Францев, В.И. Кустов, В.Д. Ратнер, А.С. Матюшин, (-2005-07 г.-)- Ю.Н. Гуськов.</w:t>
      </w:r>
      <w:r w:rsidRPr="00640820">
        <w:rPr>
          <w:rFonts w:ascii="Times New Roman" w:hAnsi="Times New Roman"/>
          <w:color w:val="000000" w:themeColor="text1"/>
          <w:sz w:val="16"/>
          <w:szCs w:val="16"/>
          <w:vertAlign w:val="superscript"/>
        </w:rPr>
        <w:t>101</w:t>
      </w:r>
    </w:p>
    <w:p w14:paraId="02ABA7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конструкторов: (1979 г.-)- А.Н. Осокин.</w:t>
      </w:r>
    </w:p>
    <w:p w14:paraId="0E46CC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комплекса научно-информационного обеспечения (1994-2000 г.)- А.Н. Осокин.</w:t>
      </w:r>
    </w:p>
    <w:p w14:paraId="4D1EFD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стандартизции (1985-94 г.)- А.Н. Осокин.</w:t>
      </w:r>
    </w:p>
    <w:p w14:paraId="38DEA3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БРЛС: «Копье-21И», «Жук-МЭ».</w:t>
      </w:r>
    </w:p>
    <w:p w14:paraId="5044A56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Московский НИИ (МНИИ) «Агат», ФГУП, ОАО «МНИИ «Агат» ФАП /140182  г. Жуковский-2 Московской обл. ул. Туполева, 2А тел. (095) 556-50-87, 742-35-87/ /Московское представительство: 123557 ул. М. Грузинская, 54 тел. 253-09-96/</w:t>
      </w:r>
    </w:p>
    <w:p w14:paraId="748936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Бывший НИО-4 при НИИР, МНИИ «Агат» образован 27.01.1986 г. в составе НПО «Фазотрон» путем объединения разрозненных подразделений НИИР и НИИП, специализирующихся на РЛГСН. В 2002 г. имел форму ФГУП. По решению правительства № 22-р от 9.01.2004 г. и Указу Президента РФ № 1009 от 4.08.2004 г. ОАО МНИИ «Агат» вошло в число стратегических оборонных предприятий. Входит в концерн «Алмаз-Антей» (2005 г.).</w:t>
      </w:r>
    </w:p>
    <w:p w14:paraId="4F01A7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Выполнены НИР: «Союз» (совместно с ГНПП «Исток») по созданию </w:t>
      </w:r>
      <w:r w:rsidRPr="00640820">
        <w:rPr>
          <w:rFonts w:ascii="Times New Roman" w:hAnsi="Times New Roman"/>
          <w:color w:val="000000" w:themeColor="text1"/>
          <w:sz w:val="16"/>
          <w:szCs w:val="16"/>
          <w:lang w:val="en-US"/>
        </w:rPr>
        <w:t>APJI</w:t>
      </w:r>
      <w:r w:rsidRPr="00640820">
        <w:rPr>
          <w:rFonts w:ascii="Times New Roman" w:hAnsi="Times New Roman"/>
          <w:color w:val="000000" w:themeColor="text1"/>
          <w:sz w:val="16"/>
          <w:szCs w:val="16"/>
        </w:rPr>
        <w:t xml:space="preserve"> ГСН 9Б-1348 для Р-77; «Агат» по созданию АРЛ ГСН 9Б-И03М для Р-27.</w:t>
      </w:r>
    </w:p>
    <w:p w14:paraId="0D8DC5A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Принимал участие в программе создания ОК «Буран».</w:t>
      </w:r>
    </w:p>
    <w:p w14:paraId="12E340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Ведущее предприятие России по разработке РЛ ГСН для УРВВ и ЗУР.</w:t>
      </w:r>
    </w:p>
    <w:p w14:paraId="3321C8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2000 г.: ОКР «Модуль» по исследованию и разработке комплекса технологий объёмной трёхмерной компоновки аналого-цифровых многопрофильных портативных электронных средств; ОКР «Раздел» по разработке переносного индикатора определения границ раздела сред и степени заполнения герметически закрытых баллонов и емкостей.</w:t>
      </w:r>
    </w:p>
    <w:p w14:paraId="322515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 автомат «Араке-1» для сборки электронных модулей методом тонкопроводного монтажа.</w:t>
      </w:r>
    </w:p>
    <w:p w14:paraId="53B658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Разработка и производство (2002 г.): РЛ ГСН для УРВВ и ЗУР, антенные устройства для них и малогабаритные бортовые ЭВМ; диагностическая медицинская аппаратура.</w:t>
      </w:r>
    </w:p>
    <w:p w14:paraId="157C0B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(1986-94 г.)- И. Г. Акопян. Ген. Конструктор (1994-2007 г.-)- И. Г. Акопян {28.08.1931-}, (2005 г.)- Е. Новиков.</w:t>
      </w:r>
    </w:p>
    <w:p w14:paraId="52C57E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ген. конструктора (2004-07 г.-&gt; С.И. Вексин.</w:t>
      </w:r>
    </w:p>
    <w:p w14:paraId="7D9708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(1986 г.-)- И. Г. Акопян. Гендиректор (2002 г.)- А. Касьян, (2002-06 г.)- И. Г. Акопян, (2006 г.)- Е. Новиков.</w:t>
      </w:r>
    </w:p>
    <w:p w14:paraId="262F05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директора, гендиректора по научной работе (1986-2002 г.-)- Б.С. Архипов. Зам. Директора: по научной работе (2002 г.)- В.Д. Чернов; по военно-техническим вопросам- Н.Д. Лановский; по экономическим вопросам- Е.И. Скороходов. Зам. гендиректора: по научной работе (2007 г.)- В.Д. Чернов; по военно-техническим вопросам (2007 г.)- Н.Д. Лановский; по ВЭД (2007 г.)- Е.И. Скороходов; (2006-07 г.-)- И. Г. Акопян.</w:t>
      </w:r>
    </w:p>
    <w:p w14:paraId="74EFED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(-2002-07 г.-)- Б.С. Архипов.</w:t>
      </w:r>
    </w:p>
    <w:p w14:paraId="3367FBB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инженера (2007 г.)- Р.Б. Сухолинский.</w:t>
      </w:r>
    </w:p>
    <w:p w14:paraId="3730DD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Гл. конструкторы: (2007 г.)-  Г.М. Борзенко, С.И. Вексин, (2007 г.)- В.П. Герасимов, (2007 г.)- А.Н. Лагуткин, (2007 г.)- Л.М. Липкин, (2007 г.)- А.В. Мохонько, (2007 г.)- Ю.И. Рудаков, (2007 г.)- В.А. Сулим, (2007 г.)-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Сухов, В.М. Чкунин, (2007 г.)- В.В. Чубров.</w:t>
      </w:r>
    </w:p>
    <w:p w14:paraId="689BE9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Зам. гл. конструкторов:  Г.М. Борзенко, (2007 г.)- Э.П. Рослик,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Сухов, (2007 г.)- В.М. Чкунин, (2007 г.)- В.Д. Шадрин.</w:t>
      </w:r>
    </w:p>
    <w:p w14:paraId="4058AC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отделений: НИО (1986-2007 г.-)- Д.И. Аверин, (2007 г.)-  Г.Н. Валаев, (1986 г.-)- В.Д. Чернов; конструкторского (1986-94 г.)- У.Д. Шапиро.</w:t>
      </w:r>
    </w:p>
    <w:p w14:paraId="24EF2E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комплексного (2007 г.)-  Г.М. Борзенко, (1986-2007 г.-)- Е.Д. Вастягин; (1986 г.-)-  Г.Н. Валаев, А.Н. Лагуткин, (2007 г.)- Ю.В. Медведев.</w:t>
      </w:r>
    </w:p>
    <w:p w14:paraId="06E46B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Начальники лабораторий: (1986 г.-)-  Г.М. Борзенко, (1986 г.-)- В.П. Герасимов, (1986 г.-)- А.Н. Лагуткин, (2007 г.)- А.Я. Лаппо, (1986 г.-)- Ю.В. Медведев, А.В. Мохонько, (2007 г.)- В.А. Нефедов, (1986 г.-)- Ю.И. Рудаков, (1986-2007 г.-)- В .А. Сулим, (1986 г.-)-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Сухов, (1986 г.-)- В.В. Чубров.</w:t>
      </w:r>
    </w:p>
    <w:p w14:paraId="03F680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секторов: С.И. Вексин, (1995 г.-)- А</w:t>
      </w:r>
      <w:r w:rsidRPr="00640820">
        <w:rPr>
          <w:rFonts w:ascii="Times New Roman" w:hAnsi="Times New Roman"/>
          <w:iCs/>
          <w:color w:val="000000" w:themeColor="text1"/>
          <w:sz w:val="16"/>
          <w:szCs w:val="16"/>
        </w:rPr>
        <w:t xml:space="preserve"> .Я.</w:t>
      </w:r>
      <w:r w:rsidRPr="00640820">
        <w:rPr>
          <w:rFonts w:ascii="Times New Roman" w:hAnsi="Times New Roman"/>
          <w:color w:val="000000" w:themeColor="text1"/>
          <w:sz w:val="16"/>
          <w:szCs w:val="16"/>
        </w:rPr>
        <w:t xml:space="preserve"> Лаппо, (1986 г.-)- В.М. Чкунин, (1994 г.-)- В.Д. Шадрин.</w:t>
      </w:r>
    </w:p>
    <w:p w14:paraId="22A9F3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научный сотрудник (2005 г.)-</w:t>
      </w:r>
      <w:r w:rsidRPr="00640820">
        <w:rPr>
          <w:rFonts w:ascii="Times New Roman" w:hAnsi="Times New Roman"/>
          <w:iCs/>
          <w:color w:val="000000" w:themeColor="text1"/>
          <w:sz w:val="16"/>
          <w:szCs w:val="16"/>
        </w:rPr>
        <w:t xml:space="preserve"> Я.</w:t>
      </w:r>
      <w:r w:rsidRPr="00640820">
        <w:rPr>
          <w:rFonts w:ascii="Times New Roman" w:hAnsi="Times New Roman"/>
          <w:color w:val="000000" w:themeColor="text1"/>
          <w:sz w:val="16"/>
          <w:szCs w:val="16"/>
        </w:rPr>
        <w:t xml:space="preserve"> Хетагуров, (2005 г.)- П. Мелик-Огандасанян.</w:t>
      </w:r>
    </w:p>
    <w:p w14:paraId="6CDCF8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групп: Л.М. Липкин.</w:t>
      </w:r>
    </w:p>
    <w:p w14:paraId="743E15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Создано: РЛГСН:</w:t>
      </w:r>
      <w:r w:rsidRPr="00640820">
        <w:rPr>
          <w:rFonts w:ascii="Times New Roman" w:hAnsi="Times New Roman"/>
          <w:color w:val="000000" w:themeColor="text1"/>
          <w:sz w:val="16"/>
          <w:szCs w:val="16"/>
        </w:rPr>
        <w:t xml:space="preserve"> для УРВВ: активная 9Б-1103, 9Б-1103М для Р-27, ПАРГС 9Б-1101К для Р-27Р, 9Б-1388, 9Б- 1348Э для Р-77, ПАРЛ ГСН для Р-40Р, РЛ ГСН дня Р-23Р, Р-24Р, РГС-23, РГС-24, РГС-27; для ЗУР: инерциально- полуактивная РГС 9Э50М1Э для 9М38М1Э (ЗРК «Ганг» и «Штиль»), для ЗМ9, для 9М38, для ЗРК «Куб», «Квадрат», «Урал»;</w:t>
      </w:r>
      <w:r w:rsidRPr="00640820">
        <w:rPr>
          <w:rFonts w:ascii="Times New Roman" w:hAnsi="Times New Roman"/>
          <w:iCs/>
          <w:color w:val="000000" w:themeColor="text1"/>
          <w:sz w:val="16"/>
          <w:szCs w:val="16"/>
        </w:rPr>
        <w:t xml:space="preserve"> тепловые ГСН:</w:t>
      </w:r>
      <w:r w:rsidRPr="00640820">
        <w:rPr>
          <w:rFonts w:ascii="Times New Roman" w:hAnsi="Times New Roman"/>
          <w:color w:val="000000" w:themeColor="text1"/>
          <w:sz w:val="16"/>
          <w:szCs w:val="16"/>
        </w:rPr>
        <w:t xml:space="preserve"> для Р-40Т, Р-23Т, Р-24Т; медицинское оборудование: электрокардиограф ЭК15ЦП-01, анализатор уровня билирубина в крови АБЧК-02, аппарат диагностики урологических заболеваний «Урофлоуметр-Агат» (11982).</w:t>
      </w:r>
    </w:p>
    <w:p w14:paraId="0CBFBFC3" w14:textId="77777777" w:rsidR="00100036" w:rsidRPr="00640820" w:rsidRDefault="00100036" w:rsidP="00640820">
      <w:pPr>
        <w:autoSpaceDE w:val="0"/>
        <w:autoSpaceDN w:val="0"/>
        <w:adjustRightInd w:val="0"/>
        <w:spacing w:after="0" w:line="240" w:lineRule="auto"/>
        <w:jc w:val="both"/>
        <w:rPr>
          <w:rFonts w:ascii="Times New Roman" w:hAnsi="Times New Roman"/>
          <w:color w:val="000000" w:themeColor="text1"/>
          <w:sz w:val="16"/>
          <w:szCs w:val="16"/>
        </w:rPr>
      </w:pPr>
    </w:p>
    <w:p w14:paraId="332C4F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конца 1941 г. в Москве на площадке эвакуированного завода «Точизмеритель» им. Молотова действовал его филиал. На его базе в соответствии с решением ГКО № 1543сс от 5.04.1942 г. и приказом № 269сс от 10.04.1942 г. образован новый завод № 382 НКАП для,возобновления производства авиационных стекол и термометров.</w:t>
      </w:r>
    </w:p>
    <w:p w14:paraId="4602A7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605сс от 23.10.1944 г. передан из 5ГУ в 17ГУ НКАП с 1.10.1944 г. Начался выпуск электровакуумных приборов, в т.ч. для РПБ «Кобальт», магнетронов. Далее опять в 5ГУ, с 1.01.1950 г. передан из 5ГУ в 17ГУ. С 1.10.1950 г. в соответствии с пост. СМ № 4244-1907сс от 11.10.1950 г. и приказом № 836сс от 19.10.1950 г. завод № 382 передан в МПСС.</w:t>
      </w:r>
    </w:p>
    <w:p w14:paraId="6ECFEF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1947 г. начат выпуск СВЧ-приборов. В 1972 г. освоен выпуск бытовых микроволновых печей.</w:t>
      </w:r>
    </w:p>
    <w:p w14:paraId="3A2791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«Измеритель» в 1960 г. - в ведении ГКЭТ. В 1972 г. переименован в завод «Плутон» МЭП, имел наименование «п/я В-2239», ПО «Плутон» имело наименование «п/я Ю-9395».</w:t>
      </w:r>
    </w:p>
    <w:p w14:paraId="1B1161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1992 г. ГП «Плутон» преобразовано в АООТ (зарегистрировано 30.04.1993 г.), а затем - в ОАО «Плутон».</w:t>
      </w:r>
    </w:p>
    <w:p w14:paraId="04E0F6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455398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(2000-е): электровакуумные приборы СВЧ для аппаратуры связи и управления.</w:t>
      </w:r>
    </w:p>
    <w:p w14:paraId="330A15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Директор (-08.1942-10.1943 г.-)- И.А. Живописцев. Гендиректор (1990-е)-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Лобачев. Внешний управляющий (2000 г.)- В.П. Минаев.</w:t>
      </w:r>
    </w:p>
    <w:p w14:paraId="24E52C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(1946 г.)- В.А. Абрамович.</w:t>
      </w:r>
    </w:p>
    <w:p w14:paraId="06F28B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Научный руководитель (1962-95 г.)- </w:t>
      </w:r>
      <w:r w:rsidRPr="00640820">
        <w:rPr>
          <w:rFonts w:ascii="Times New Roman" w:hAnsi="Times New Roman"/>
          <w:color w:val="000000" w:themeColor="text1"/>
          <w:sz w:val="16"/>
          <w:szCs w:val="16"/>
          <w:lang w:val="en-US"/>
        </w:rPr>
        <w:t>JI</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 Семенов.</w:t>
      </w:r>
    </w:p>
    <w:p w14:paraId="21CC7E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Начальники отделов: (1961-62 г.)- </w:t>
      </w:r>
      <w:r w:rsidRPr="00640820">
        <w:rPr>
          <w:rFonts w:ascii="Times New Roman" w:hAnsi="Times New Roman"/>
          <w:color w:val="000000" w:themeColor="text1"/>
          <w:sz w:val="16"/>
          <w:szCs w:val="16"/>
          <w:lang w:val="en-US"/>
        </w:rPr>
        <w:t>JI</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 Семенов.</w:t>
      </w:r>
    </w:p>
    <w:p w14:paraId="3D0EC7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Начальники лабораторий: (1960-61 г.)- </w:t>
      </w:r>
      <w:r w:rsidRPr="00640820">
        <w:rPr>
          <w:rFonts w:ascii="Times New Roman" w:hAnsi="Times New Roman"/>
          <w:color w:val="000000" w:themeColor="text1"/>
          <w:sz w:val="16"/>
          <w:szCs w:val="16"/>
          <w:lang w:val="en-US"/>
        </w:rPr>
        <w:t>JI</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 Семенов.</w:t>
      </w:r>
    </w:p>
    <w:p w14:paraId="7B0C00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термометры (1942-46-), оптические приборы (1942-); запал ГИА-2 для зажигательных бутылок (ВОВ).</w:t>
      </w:r>
    </w:p>
    <w:p w14:paraId="1685296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ОКБ-382 НКАП, МАП, МПСС /г. Москва/</w:t>
      </w:r>
    </w:p>
    <w:p w14:paraId="0D9321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Особое КБ-382 вновь образовалось в системе 17ГУ при заводе № 382 МАП по приказу № 247с от 26.04.1946 г. Работы по созданию электровакуумных приборов (магнетроны, элементная база).</w:t>
      </w:r>
    </w:p>
    <w:p w14:paraId="607DC7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1949 г. передано в 5ГУ МАП, с 1.01.1950 г. передано обратно из 5ГУ в 17ГУ МАП. В соответствии с пост. СМ № 4244-1907сс от 11.10.1950 г. и приказом МАП № 836сс от 19.10.1950 г. ОКБ с 1.10.1950 г. передано в систему МПСС. Было в 1960 г.</w:t>
      </w:r>
    </w:p>
    <w:p w14:paraId="545F15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(04.1946 г.-)- А.И. Симаков.</w:t>
      </w:r>
    </w:p>
    <w:p w14:paraId="5ECB45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А.И. Симаков (11982).</w:t>
      </w:r>
    </w:p>
    <w:p w14:paraId="37351F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BF620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строящийся завод № 481 (ГС завод № 481 НКАП, МАП, МСХМ /Украина  г. Днепропетровск;  г. Сызрань Куйбышевской обл./) эвакуирован в Сызрань на площадку завода № 164 НКАП. Здесь по приказу № 1068с от 14.10.1941 г. в результате слияния двух заводов образован единый завод № 481 в системе 2ГУ. Вскоре в состав завода влита часть (70 %) эвакуированного по приказу № 1109сс от 11.11.1941 г. завода № 487 НКАП.</w:t>
      </w:r>
    </w:p>
    <w:p w14:paraId="7C3F22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Москвы на территорию завода № 481 в Сызрань по приказу № 878сс от 20.08.1941 г. эвакуировано КБ-3 завода № 32 НКАП гл. конструктора И.И.Торопова. По приказу № 484с от 3.08.1944 г. КБ переведено на завод № 43 (возможно, перед этим оно уже было в Кирове на заводе № 32).</w:t>
      </w:r>
    </w:p>
    <w:p w14:paraId="1D164D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Здания и сооружения завода № 481 в Днепропетровске по приказу № 780с от 28/30.12.1943 г. переданы из 2ГУ в 5ГУ НКАП.</w:t>
      </w:r>
    </w:p>
    <w:p w14:paraId="7B971B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277с от 14.04.1942 г. часть оборудования завода передана филиалу завода № 145 НКАП в Болшево.</w:t>
      </w:r>
    </w:p>
    <w:p w14:paraId="6EFE63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07.1943 г. на завод передано производство лафетов для пушки «ВЯ» с завода № 165 НКАП.</w:t>
      </w:r>
    </w:p>
    <w:p w14:paraId="302A2E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1.01.1947 г. завод передан из 2ГУ в ИГУ. В соответствии с пост. СМ № 2118-814с от 25.05.1949 г. и приказом № 414с от 2.06.1949 г. завод № 481 с 1.01.1949 г. передан в МСХМ.</w:t>
      </w:r>
    </w:p>
    <w:p w14:paraId="5D33BF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(-10.1941 г.)- Кравцов, (10.1941-)- Н.В. Климовицкий, (-04.1942-06.1945 г.-)- Гулай.</w:t>
      </w:r>
    </w:p>
    <w:p w14:paraId="253AAB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(10.1941 г.-)- А.И. Хвостюк.</w:t>
      </w:r>
    </w:p>
    <w:p w14:paraId="56C0A2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(ВОВ) агрегаты вооружения: ухваты к Дер-31, АСИ-140, АСТ-141, блоки РО-82, балки для РС-82, петрофлексы, электропуски, синхронные установки для Як-1, лафеты УБС для ЛаГГ-3, лафеты ШВАК для Пе-3, элементы вооружения для Ту-2, бомбовые кассеты АБКП-100; лыжи для Ил-2, запчасти для И-153, Р-5.</w:t>
      </w:r>
    </w:p>
    <w:p w14:paraId="372A02F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Филиал завода № 481 НКАП /г. Москва/</w:t>
      </w:r>
    </w:p>
    <w:p w14:paraId="61BFEF6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Филиал образован по приказу № 116с от 11.02.1942 г. на площадке эвакуированного завода № 487 НКАП для ремонта стрелкового и бомбардировочного вооружения. Начальник- Э.И. Озарский. Сразу после образования филиал получил задание на производство агрегатов вооружения: балок для РС-82,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-132, подкрыльевых кассет АБКП-500 для Ил-4, ампулометов.</w:t>
      </w:r>
    </w:p>
    <w:p w14:paraId="1B512F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375с от 14.05.1942 г. при филиале образован филиал ОКБ завода № 454 НКАП на площадях, ранее занимаемых ОКБ-487. Для этого из Куйбышева переведена группа сотрудников ОКБ завода № 454 (25 чел., начальник филиала- В.И. Ермилов).</w:t>
      </w:r>
    </w:p>
    <w:p w14:paraId="14A825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02.1943 г. филиал был преобразован в самостоятельный завод с прежним наименованием- завод № 487 НКАП.</w:t>
      </w:r>
    </w:p>
    <w:p w14:paraId="11C13A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КБ гл. конструктора И.И. Торопова при заводе № 481 НКАП /г. Сызрань Куйбышевской обл./</w:t>
      </w:r>
    </w:p>
    <w:p w14:paraId="3CEBF2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878сс от 20.08.1941 г. на территорию завода № 481 в'Сызрань было эвакуировано со всем личным составом, тех. документацией и материалами КБ-3 завода № 32 гл. конструктора И.И. Торопова. Здесь КБ работало по турели для 12,7-мм пулемета для Пе-2 и «103у», установке ВУБ-3 для Ил-2. Торопов оставался гл. конструктором завода № 32.</w:t>
      </w:r>
    </w:p>
    <w:p w14:paraId="42D1051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484с от 3.08.1944 г. КБ переведено на завод № 43 (возможно, перед этим оно уже было в Кирове на заводе № 32) (11092).</w:t>
      </w:r>
    </w:p>
    <w:p w14:paraId="67BE1AE6" w14:textId="77777777" w:rsidR="00100036" w:rsidRPr="00640820" w:rsidRDefault="00100036"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1AE2F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К концу 1941 года выявился серьезный кризис в вопросах снабжения ВВС КА запасными частями. Положение дел рассматрива</w:t>
      </w:r>
      <w:r w:rsidRPr="00640820">
        <w:rPr>
          <w:rFonts w:ascii="Times New Roman" w:hAnsi="Times New Roman"/>
          <w:color w:val="000000" w:themeColor="text1"/>
          <w:sz w:val="16"/>
          <w:szCs w:val="16"/>
        </w:rPr>
        <w:softHyphen/>
        <w:t>лось на заседании СНК в конце 1941 г (9984).</w:t>
      </w:r>
    </w:p>
    <w:p w14:paraId="3980F4E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40AC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ОКБ С.А.Кочеригина подчинили ОТБ НКВД (3807,65).</w:t>
      </w:r>
    </w:p>
    <w:p w14:paraId="0318F0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EE01D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В.К.Таиров погиб в авиакатастрофе (1076,632).</w:t>
      </w:r>
    </w:p>
    <w:p w14:paraId="26E4098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Есть данные, что в конце 1942.</w:t>
      </w:r>
    </w:p>
    <w:p w14:paraId="154F73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40D5EC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концу 1941 г. первый “летный” образец РЛС “Гнейс-2” с мощностью излучения 10 кВт, работавший на волне 1,5 м, был собран (4476).</w:t>
      </w:r>
    </w:p>
    <w:p w14:paraId="2FF96A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E74E7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концу 1941 г. первый летный образец РЛС Гнейс-2 с мощностью излучения 10 кВт, работавший на волне 1,5 м, был собран (11393).</w:t>
      </w:r>
    </w:p>
    <w:p w14:paraId="35CF2AE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7AD4D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сопоставляя технические характеристики английской станции GL-МкП с РУС-2, коллектив ЛФТИ под руководством Ю. Б. Кобзарева начал в инициативном порядке исследовать метод пеленгования и теорию гониометра для определения высоты полета целей. В задачу этих исследований входило создание на базе аппаратуры РУС-2 РЛС орудийной наводки с такими же тактико-техническими параметрами, как у английской СОН-2. Исследования проводились в три этапа:</w:t>
      </w:r>
    </w:p>
    <w:p w14:paraId="7E8833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создание аппаратуры, улучшающей и дополняющей тактико-технические характеристики РУС-2;</w:t>
      </w:r>
    </w:p>
    <w:p w14:paraId="4A36BFF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разработка приставки, которая при небольших изменениях в схеме РУС-2 могла бы передавать необходимые данные для управления стрельбой ЗА;</w:t>
      </w:r>
    </w:p>
    <w:p w14:paraId="316F57F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введение в приставку механизмов с следящим приводом (сельсинами) для непрерывной передачи координат на ПУАЗО.</w:t>
      </w:r>
    </w:p>
    <w:p w14:paraId="178DCA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предложению ЛФТИ (письмо в ГАУ от 19 февраля 1942 г.) аппаратура модернизированной РЛС РУС-2 должна была иметь следующие характеристики:</w:t>
      </w:r>
    </w:p>
    <w:p w14:paraId="359917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Высота полета, м 9000 7000 5000</w:t>
      </w:r>
    </w:p>
    <w:p w14:paraId="4D234D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Дальность обнаружения, км 2–50 До 45 До 40</w:t>
      </w:r>
    </w:p>
    <w:p w14:paraId="5E693F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Ошибки определения угла места, град:</w:t>
      </w:r>
    </w:p>
    <w:p w14:paraId="06A37E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дальности обнаружения от 1,5 до 18 км 0,5</w:t>
      </w:r>
    </w:p>
    <w:p w14:paraId="494B26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дальности обнаружения от 16 до 24 км 1,0</w:t>
      </w:r>
    </w:p>
    <w:p w14:paraId="631847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Ошибки определения расстояния, м:</w:t>
      </w:r>
    </w:p>
    <w:p w14:paraId="3577A1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дальности обнаружения от 2 до 20 км 50</w:t>
      </w:r>
    </w:p>
    <w:p w14:paraId="496EC0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дальности обнаружения от 20 км и более 2000 (11026).</w:t>
      </w:r>
    </w:p>
    <w:p w14:paraId="38D3D6A3"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1DDF9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когда полевая реактивная артиллерия испытывала “снарядный голод”, обе партии опытных снарядов разукомплектовали, чтобы использовать в производстве М-13, благо, что ракетные заряды и оперение у них полностью соответствовали. А несколько позже переточили и корпуса двигателей, всего лишь сняв лишние 4 мм с переднего и заднего центрирующих утолщений. Таким образом, остались неутилизированными только снаряженные боевые и инертные БЧ, а также запас корпусов к ним.</w:t>
      </w:r>
    </w:p>
    <w:p w14:paraId="2BB72F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Лишь к 1942 г. на запасы этого “богатства” обратили внимание. Когда большинство авиационных боеприпасов уже снаряжали суррогатированными взрывчатыми веществами, здесь “без дела” хранились штабеля БЧ, снаряженных довоенным литым сульфитным тротилом. Вот именно их-то и решили переделать в осколочные авиабомбы А0-25-35м13. На испытание ях авиабомбы показали удовлетворительный результат по ocколочному действию. Радиус сплошного поражения при подрыве в секторных мишенях оказался равным 26,6 м, что превосходило этот показатель у штатных АО-2 5м 1. При подрывах А0-25-35м13 возле трофейной бронетехники осколки бомб не столько пробивали бортовую броню легких и средних танков, а также самоходок (14 мм) на расстоянии 5 м, сколько срывали с них все технологические лючки, крышки и створки, обнажая проемы внушительных размеров.</w:t>
      </w:r>
    </w:p>
    <w:p w14:paraId="2DB1BD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траектории боеприпасы вели себя устойчиво. Однако диаметр корпуса А0-25-35м13, размах стабилизатора и масса превышали максимально допустимые для боеприпасов данного калибра. Из-за этого в три раза уменьшилась загрузка кассет АБК-1 (скоростной бомбардировщик СБ) и АБК-3 (дальний бомбардировщик Ил-4). Подвеска авиабомб на другие самолеты (Ил-2, Пе-2, Як-1, Як-7) оказалась нормальной. С некоторыми оговорками и ограничениями авиабомбы А0-25-35м13 признали выдержавшими полигонные испытания.</w:t>
      </w:r>
    </w:p>
    <w:p w14:paraId="16CBB5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Управление ВВС в связи с большой потребностью строевых частей в осколочных авиабомбах своим Научно-техническим журналом № 0109 от 1942 г. приняло на вооружение авиабомбы чертежа 3-01148, присвоив им индекс 7-0-236, а также наименование А0-25-35м13, хотя корректнее было бы назвать их А0-25-35м14... Авиабомбы этой модели выпускали до 1945 г., правда для поздних их вариантов уже использовали запас корпусов БЧ, снаряжая их сухой смесью гранулированного аммотола, а в головной и задней части корпуса боеприпаса выподняли тротиловые пробки. Это лишний раз подтверждает что, что снаряженные предвоенным тротилом БЧ снарядов РОФС-140 израсходовали в первую очередь, а аммотолом снаряжали бывшие инертные БЧ.</w:t>
      </w:r>
    </w:p>
    <w:p w14:paraId="1FFCAA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Поскольку у БЧ снарядов РОФС-140 срез ВВ закрывали Внутренним металлическим дном, а с двигателем стыковали Ка резьбе, нарезанной в задней части снаружи, то в зависимо-ги от состояния, в котором они поступили на переделку в |иабомбы, конечный продукт имел разные варианты испол-[вния. Одни авиабомбы оснащали стабилизаторами, приватными к внешнему дну, другие - к внутреннему. В зависимости от того, какому ведомству ранее принадлежали РОФС-140, бывшим авиационным переходная втулка в го-рвном очке не требовалась, а артиллерийским ее приходилось дополнительно устанавливать (7453).</w:t>
      </w:r>
    </w:p>
    <w:p w14:paraId="3B3668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1528EAC" w14:textId="77777777" w:rsidR="00100036" w:rsidRPr="00640820" w:rsidRDefault="00100036" w:rsidP="00640820">
      <w:pPr>
        <w:pStyle w:val="ae"/>
        <w:spacing w:before="0" w:after="0"/>
        <w:jc w:val="both"/>
        <w:rPr>
          <w:color w:val="000000" w:themeColor="text1"/>
          <w:sz w:val="16"/>
          <w:szCs w:val="16"/>
        </w:rPr>
      </w:pPr>
      <w:r w:rsidRPr="00640820">
        <w:rPr>
          <w:color w:val="000000" w:themeColor="text1"/>
          <w:sz w:val="16"/>
          <w:szCs w:val="16"/>
        </w:rPr>
        <w:t>В конце 1941 – начале 1942 года. В дальнейшем, по мере поступления в войска новых, более эффективных, зажигательных средств, спрос на них уменьшился. Последние сообщения об их успешном применении в боевых операциях на Северном Кавказе относятся к декабрю 1942 года. Соответственно, снизились и заказы на их изготовление, а в 1943 году и вовсе прекратились (15467).</w:t>
      </w:r>
    </w:p>
    <w:p w14:paraId="47383679" w14:textId="77777777" w:rsidR="00100036" w:rsidRPr="00640820" w:rsidRDefault="00100036" w:rsidP="00640820">
      <w:pPr>
        <w:pStyle w:val="ae"/>
        <w:spacing w:before="0" w:after="0"/>
        <w:jc w:val="both"/>
        <w:rPr>
          <w:color w:val="000000" w:themeColor="text1"/>
          <w:sz w:val="16"/>
          <w:szCs w:val="16"/>
        </w:rPr>
      </w:pPr>
    </w:p>
    <w:p w14:paraId="528E9F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конце 1941 г. при стендовых испытаниях ряда парий зарядов к M-13 и М-8 были получены в ракетных камерах давления газов, уровень которых превышал требования технической документации, причем по химическому составу и прочим показателям партии зарядов удовлетворяли требованиям ТУ. Приемка ракетных зарядов была приостановлена. В связи с этим сотрудники Особого бюро провели детальное исследование причин, вызывающих некондиционность изготовляемых заводом зарядов и выявили важное влияние калорийности пороховой массы на их баллистические характеристики. </w:t>
      </w:r>
    </w:p>
    <w:p w14:paraId="448C4E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Итогом работы являлось установление и введение в техническую документацию нормы на калорийность пороха, а также разработка и внедрение в производство уточненного дозирования компонентов пороха при варке пороховой массы. </w:t>
      </w:r>
    </w:p>
    <w:p w14:paraId="55B8C3A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Одновременно были улучшены условия вальцевания и прессования пороха. Реализация этих мероприятий обеспечила уже с января 1942 г. стабильный выпуск зарядов, полностью удовлетворяющих требованиям документации (11209).</w:t>
      </w:r>
    </w:p>
    <w:p w14:paraId="2C35BC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481B9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один полностью боеготовый комплект самолетов, состоящий из снаряженного 3500-килограммовой бомбовой нагрузкой повышенного взрывного действия ТБ3 (№ 22707) и командного самолета ДБ3Ф, находился на аэродроме подскока в Иваново. Второй комплект, состоящий из самолета-бомбы ТБ3 (№ 22685) и командного самолета СБ, находился в Казани на базе 81-й авиационной дивизии. На нем проводились заключительные операции перед боевым применением.</w:t>
      </w:r>
    </w:p>
    <w:p w14:paraId="1FBC46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началом Великой Отечественной войны работы по изготовлению шести опытных «телемеханических» самолетов на ленинградском заводе № 379 были законсервированы. Аппаратура управления была эвакуирована в Казань. Два отработанных образца «телемеханических» ТБ3 были переданы в НИИ ВВС РККА для использования в боевых действиях (Фомичев А. «Оружие возмездия» для Красной Армии. Самолеты Мира. 1997, № 1–2. С. 2–9.).</w:t>
      </w:r>
    </w:p>
    <w:p w14:paraId="14EF99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Руководство ВВС особого интереса к «телемеханическим» самолетам не проявило и не торопилось применять самолеты-бомбы в боевых действиях. Тогда Р.Г. Чачикян обратился с письмом к секретарю ЦК ВКП(б) Г.М. Маленкову. Тот дал указание командующему ВВС генерал-полковнику П.Ф. Жигареву обеспечить боевое применение «телемеханических» самолетов.</w:t>
      </w:r>
    </w:p>
    <w:p w14:paraId="46CFC2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январе 1942 г. «телемеханический» самолет ТБ3 был послан на уничтожение железнодорожного узла Вязьма. При подлете к Вязьме антенна командного самолета ДБ3Ф была перебита огнем зенитной артиллерии противника и неуправляемый самолет-бомба ТБ3 ушел в тыл немецких войск.</w:t>
      </w:r>
    </w:p>
    <w:p w14:paraId="2B5ABC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Второй экземпляр «телемеханического» самолета-бомбы сгорел на аэродроме при взрыве боеприпасов на соседнем самолете.</w:t>
      </w:r>
    </w:p>
    <w:p w14:paraId="52F10DE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Телемеханическую аппаратуру спасли. Однако вскоре решением народного комиссара авиационной промышленности А.И. Шахурина ОКБ завода № 379 было ликвидировано, а его сотрудники пополнили инженерно-технический персонал серийных заводов (11686).</w:t>
      </w:r>
    </w:p>
    <w:p w14:paraId="04AEC8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06127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на Западном фронте советская авиация применила ФАБ, снаряженные оксиликвитом по рецептуре, разработанной в 1939 г. в НИИ-6 НКБ А.В.Ясницкой, Ж.К.Граубицем, В.П.Кульковым, М.Н.Шестаковым и А.Я.Апиным. Жидкий кислород для снаряжания авиабомб доставляли из Москвы и заливали прямо на аэродромах. Чрезвычайно летучее ВВ в авиабомбах сохраняло свои свойства зимой в течение 3-4 часов. Этот же недостаток отмечали и в 1939 г. на заводских испытаниях 85 авиабомб на НИН АВ ВВС КА. Тогда специалисты зафиксировали в документах высокий фугасный эффект нового ВВ, но избыточную чувствительность и непродолжительную “жизненность” (7453).</w:t>
      </w:r>
    </w:p>
    <w:p w14:paraId="6A2C2CA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ходе битвы за Москву на противника сбросили около 500 оксиликвитных боеприпасов различных калибров. Для этой цели использовали ФАБ-100-85нг и ФАБ-250-200нг с корпусами из железобетона. Официально считается, что работы в этом направлении прекратили, когда немецкие войска отбросили от Москвы и доставка жидкого кислорода стала проблематичной. Однако, по воспоминаниям ветеранов ВВС, от этих авиабомб отказались вынужденно - снаряженные боеприпасы сильно “парили”, покрывались толстым слоем инея, и во многих случаях замки бомбосбрасывателей настолько замерзали, что их привод не срабатывал от пиропатронов (7453).</w:t>
      </w:r>
    </w:p>
    <w:p w14:paraId="3BB8D68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D0BFD06" w14:textId="77777777" w:rsidR="00100036" w:rsidRPr="00640820" w:rsidRDefault="0010003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конца 1941 г. для зенитного прикрытия аэродромов в ВВС Красной Армии были разработаны и использовали «народные» ракетные установки, изготовленные в полковых мастерских, с количеством направляющих от 2 до 24. Прицелы использовали как механические от авиационного турельного пулемета, с кольцевой сеткой и флюгер-мушкой, так и коллиматорные. Защитных устройств (за исключением шлема, перчаток и очков) не предусматривалось. За все время использования таких установок (практически до конца 1942 г.) случаев травмирования стрелков при старте своих ракетных снарядов зафиксировано не было.</w:t>
      </w:r>
    </w:p>
    <w:p w14:paraId="0FF69730" w14:textId="77777777" w:rsidR="00100036" w:rsidRPr="00640820" w:rsidRDefault="0010003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Особенность эксплуатации зенитных ракетных установок обусловила их использование, в основном, для ведения заградительного огня. Ракетные снаряды там использовали с дистанционными трубками АГДГ-А-РС-82, что позволяло организовать подрыв боевых частей боеприпасов на заданной высоте. Вряд ли в этих условиях использовали контактные взрыватели АМ-А-РС-82, поскольку на прямое попадание в самолет противника рассчитывать не приходилось. Однако 8-метровый радиус сплошного поражения РОС-82 был серьезным аргументом в защиту достоинств такого оружия.</w:t>
      </w:r>
    </w:p>
    <w:p w14:paraId="0212D546" w14:textId="77777777" w:rsidR="00100036" w:rsidRPr="00640820" w:rsidRDefault="0010003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Конкретного автора у «народных» зенитных СРГ не было: их конструктивная схема была вполне очевидна инженерно-техническому составу ВВС. Дело оставалось за малым - объединить готовые элементы в единый комплекс. Исследователи истории утверждают, что в 1941 г. во время боевых действий под Тихвином использовали сначала две, а затем шесть зенитных установок для стрельбы авиационными ракетными снарядами РОС-82, изготовленных по чертежам лейтенанта Баранова (он же и командовал батареей), прикрывая штаб Северной группы 4-й армии. В ноябре 1941 г. под Сарожой батарея Баранова сбила бомбардировщик противника.</w:t>
      </w:r>
    </w:p>
    <w:p w14:paraId="278C80D3" w14:textId="77777777" w:rsidR="00100036" w:rsidRPr="00640820" w:rsidRDefault="0010003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во многих мемуарах участников Великой Отечественной войны с обеих сторон часто упоминается, что немецкие штурмовики и бомбардировщики не отличались особой настойчивостью в своих атаках, если цель была хорошо прикрыта в зенитном отношении. Отдельные донесения военного времени свидетельствуют, что при постановке зенитного заградительного огня иногда удавалось ракетными снарядами сбить самолет противника.</w:t>
      </w:r>
    </w:p>
    <w:p w14:paraId="5436E071" w14:textId="77777777" w:rsidR="00100036" w:rsidRPr="00640820" w:rsidRDefault="0010003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Из-за нехватки истребительной авиации установки, аналогичные «барановским», изготавливали на Ленинградском, Волховском, Юго-Западном фронтах. Ими прикрывали аэродромы не только истребительной, но и бомбардировочной авиации. Пик использования подобных средств в войсках пришелся на весну-лето 1942 г. Кстати, наряду с задачами ПВО, зенитные СРГ в ряде случаев использовали и для ударов по наземным целям (15595).</w:t>
      </w:r>
    </w:p>
    <w:p w14:paraId="584D2BF6" w14:textId="77777777" w:rsidR="00100036" w:rsidRPr="00640820" w:rsidRDefault="00100036" w:rsidP="00640820">
      <w:pPr>
        <w:spacing w:after="0" w:line="240" w:lineRule="auto"/>
        <w:jc w:val="both"/>
        <w:rPr>
          <w:rFonts w:ascii="Times New Roman" w:hAnsi="Times New Roman"/>
          <w:color w:val="000000" w:themeColor="text1"/>
          <w:sz w:val="16"/>
          <w:szCs w:val="16"/>
        </w:rPr>
      </w:pPr>
    </w:p>
    <w:p w14:paraId="488BC3FC" w14:textId="77777777" w:rsidR="00C2716E" w:rsidRPr="00640820" w:rsidRDefault="00C2716E"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конце 1941 г. техник-лейтенант ленинградец Б.И. Шелищ внес предложение не выбрасывать на воздух отработанный водород, а использовать его в качестве топлива для автомобильных двигателей. Он не только внес предложение, но и оборудовал автолебедки необходимыми приспособлениями, продемонстрировал их в работе начальству. Даже зимой двигатель легко запускался, работал мягко и устойчиво. Конечно, и после этих испытаний оставались сомнения, не выйдут ли из строя двигатели, хватит ли их ресурса и т. д. Тогда решили сначала в каждом полку оборудовать таким образом по пять постов и после десяти подъемов принять окончательное решение. Шли на риск, но риск себя оправдал. Шелищ ввел дополнительно в двигатель капельную подачу воды, что смягчило процессы горения. После этого, весь 1942 год и позже, автолебедки постов AЗ работали на отработанном водороде, выпущенном из аэростатов, и прослужили они до конца войны (28863).</w:t>
      </w:r>
    </w:p>
    <w:p w14:paraId="34EA7FC7" w14:textId="77777777" w:rsidR="00C2716E" w:rsidRPr="00640820" w:rsidRDefault="00C2716E" w:rsidP="00640820">
      <w:pPr>
        <w:spacing w:after="0" w:line="240" w:lineRule="auto"/>
        <w:jc w:val="both"/>
        <w:rPr>
          <w:rFonts w:ascii="Times New Roman" w:hAnsi="Times New Roman"/>
          <w:color w:val="0070C0"/>
          <w:sz w:val="16"/>
          <w:szCs w:val="16"/>
        </w:rPr>
      </w:pPr>
    </w:p>
    <w:p w14:paraId="239C5F33"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40FCF168"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2C600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на площадке эвакуированного завода № 176 (ГС завод № 176 НКОП, НКБ, Приокского СНХ, «Тульские меднопрокатные и патронные заводы», Тульский патронный завод (ТПЗ) ВСНХ, НКТП, Тульский патронный завод № 10 НКТП, Завод «Штамп» им. Б.Л. Ванникова, ФГУП «Машиностроительный завод «Штамп» им. Б.Л. Ванникова» Росбоеприпаса /г. Тула мест. Чулково (1926 г.);  г. Тула п/о 14 «Штамп» (1943 г.)/ /300004  г. Тула Веневское ш., 4 тел. 46-52-32/) начаты работы по ремонту военной техники: танков, орудий, автомашин, «Катюш». Изготавливались минометные стволы, противотанковые ежи. В 01.1942 г. началось восстановление завода на старом месте, к концу года восстановлено производство гильз. В 12.1942-09.1944 г. завод № 176 - в ведении 5ГУ НКБ.</w:t>
      </w:r>
    </w:p>
    <w:p w14:paraId="4108EAF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составе завода основные цехи (1943 г.): электролитейный № 1, прокатный № 2, прессовые </w:t>
      </w:r>
      <w:r w:rsidRPr="00640820">
        <w:rPr>
          <w:rFonts w:ascii="Times New Roman" w:hAnsi="Times New Roman"/>
          <w:color w:val="000000" w:themeColor="text1"/>
          <w:sz w:val="16"/>
          <w:szCs w:val="16"/>
          <w:lang w:val="en-US"/>
        </w:rPr>
        <w:t>N</w:t>
      </w:r>
      <w:r w:rsidRPr="00640820">
        <w:rPr>
          <w:rFonts w:ascii="Times New Roman" w:hAnsi="Times New Roman"/>
          <w:color w:val="000000" w:themeColor="text1"/>
          <w:sz w:val="16"/>
          <w:szCs w:val="16"/>
        </w:rPr>
        <w:t>° 3, № 4, примусный № 5, ремонтно-механический № 7, фасонно-литейный № 9, инструментальный № 14, самоварный № 17.</w:t>
      </w:r>
    </w:p>
    <w:p w14:paraId="0E2AF7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освоен выпуск гражданской продукции, С середины 1950-х  г. начато производство стиральных машин.</w:t>
      </w:r>
    </w:p>
    <w:p w14:paraId="215C0C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1963 г. начато освоение производства гильз для РСЗО «Град».</w:t>
      </w:r>
    </w:p>
    <w:p w14:paraId="636595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Крупнейший в стране производитель самоваров. На 2004 г. завод был остановлен, готовилось его банкротство. По Указу Президента РФ № 1009 от 4.08.2004 г. вошел в число стратегических оборонных предприятий.</w:t>
      </w:r>
    </w:p>
    <w:p w14:paraId="4B36A9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(1943 г.)- 518 ед.</w:t>
      </w:r>
    </w:p>
    <w:p w14:paraId="0B126B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(1943 г.): производственная- 14269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вспомогательная- 20468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5CB2BD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(1917 г.)- около 15 тыс. чел., (10.1941 г.)- 9349 чел., (12.1942 г.)- 3195 чел., (2002 г.)- 3100 чел.</w:t>
      </w:r>
    </w:p>
    <w:p w14:paraId="5020AE5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(начало 1930-х  г.)- Н.В. Мартынов, (-15.02.1937 г.)- Б.С. Северный (снят), (15.02.1937-26.07.1938 г.)- И.А. Венецкий (снят); и.о. (17.07-09.1938 г.)-  Г.С. Шарков; (28.09.1938 г.-&gt;  Г.С. Шарков, (1941-04.1943 г.-)- С.Н. Лялин, (2002-04 г.-&gt; А. Хван.</w:t>
      </w:r>
    </w:p>
    <w:p w14:paraId="10CC06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(-11.03.1937 г.)- Д.В. Кац, (11.03.1937-21.11.1938 г.)- Ф.А. Шелихов (снят). Помощник директора по найму и увольнению (-11.07.1937 г.)- В.Ф. Иконников, (8.03.1938 г.-)- М.Н. Олимпиев.</w:t>
      </w:r>
    </w:p>
    <w:p w14:paraId="7E1237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Коммерческий директор (1938 г.)- Коробаев.</w:t>
      </w:r>
    </w:p>
    <w:p w14:paraId="1BE295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(03.1926 г.)- Д.В. Кап, (начало 1930-х  г.)- М.И. Железнов, (-11.03.1937 г.)- Д.В. Кац, (11.03.1937 г.-&gt; (11.03.1937-21.И.1938 г.)- Ф.А. Шелихов (снят), (1.10.1938</w:t>
      </w:r>
      <w:r w:rsidRPr="00640820">
        <w:rPr>
          <w:rFonts w:ascii="Times New Roman" w:hAnsi="Times New Roman"/>
          <w:color w:val="000000" w:themeColor="text1"/>
          <w:sz w:val="16"/>
          <w:szCs w:val="16"/>
          <w:lang w:val="en-US"/>
        </w:rPr>
        <w:t>r</w:t>
      </w:r>
      <w:r w:rsidRPr="00640820">
        <w:rPr>
          <w:rFonts w:ascii="Times New Roman" w:hAnsi="Times New Roman"/>
          <w:color w:val="000000" w:themeColor="text1"/>
          <w:sz w:val="16"/>
          <w:szCs w:val="16"/>
        </w:rPr>
        <w:t>.-)- В.М. Мачинский, (1941 г.)- И.В. Большаков.</w:t>
      </w:r>
    </w:p>
    <w:p w14:paraId="5E8271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Заведующие мастерскими: пушечно-гильзовой (03.1926 г.)- Э.А. Кремарж. Начальник производства деталей «Ж» (10.1938 г.)-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Кудрявцев.</w:t>
      </w:r>
    </w:p>
    <w:p w14:paraId="4D54F9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планового (04.1943 г.)- Глебов.</w:t>
      </w:r>
      <w:r w:rsidRPr="00640820">
        <w:rPr>
          <w:rFonts w:ascii="Times New Roman" w:hAnsi="Times New Roman"/>
          <w:color w:val="000000" w:themeColor="text1"/>
          <w:sz w:val="16"/>
          <w:szCs w:val="16"/>
          <w:vertAlign w:val="superscript"/>
        </w:rPr>
        <w:t>132</w:t>
      </w:r>
    </w:p>
    <w:p w14:paraId="4FF296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НУР 9М22 для РСЗО «Град» (1964-89); латунь Л68 (1930-е) пушечная, гильзовая (1943); стиральная машина «Тула», «Тула-1», «Тула-2» (1950-е), «Тула-3» (1960-е); электропшцеварочные котлы (1960- е); самовары; огнетушители, газовые баллоны, электрорадиаторы, светильники, газовые плиты, изделия из пластмасс (1989-).</w:t>
      </w:r>
      <w:r w:rsidRPr="00640820">
        <w:rPr>
          <w:rFonts w:ascii="Times New Roman" w:hAnsi="Times New Roman"/>
          <w:color w:val="000000" w:themeColor="text1"/>
          <w:sz w:val="16"/>
          <w:szCs w:val="16"/>
          <w:vertAlign w:val="superscript"/>
        </w:rPr>
        <w:t>101</w:t>
      </w:r>
    </w:p>
    <w:p w14:paraId="28774D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Бюро опытных работ по железным гильзам при заводе № 176</w:t>
      </w:r>
    </w:p>
    <w:p w14:paraId="03D7BC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Бюро опытных работ по железным гильзам образовано временно по пр. № 00252 от 28.11.1937 г. с подчинением директору завода. Бюро поручено разработать и внедрить на производстве техпроцесс изготовления железных гильз, разработать техдокументацию. В Бюро переведены специалисты: Кудрявцев, Наумов и Богачева из Гипроспеца; Серегин, Пастухов и Серова с завода № 176; два инженера с завода № 187. Этим же приказом предписано к 1.02.1938 г. создать при заводе № 187 КБ по орудийным гильзам, первичной организацией которого должно являться создаваемое Бюро опытных работ.</w:t>
      </w:r>
    </w:p>
    <w:p w14:paraId="06579F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(11.1937 г.)- Серов (11982).</w:t>
      </w:r>
    </w:p>
    <w:p w14:paraId="6A9E9A83" w14:textId="77777777" w:rsidR="00100036" w:rsidRPr="00640820" w:rsidRDefault="00100036" w:rsidP="00640820">
      <w:pPr>
        <w:autoSpaceDE w:val="0"/>
        <w:autoSpaceDN w:val="0"/>
        <w:adjustRightInd w:val="0"/>
        <w:spacing w:after="0" w:line="240" w:lineRule="auto"/>
        <w:jc w:val="both"/>
        <w:rPr>
          <w:rFonts w:ascii="Times New Roman" w:hAnsi="Times New Roman"/>
          <w:color w:val="000000" w:themeColor="text1"/>
          <w:sz w:val="16"/>
          <w:szCs w:val="16"/>
        </w:rPr>
      </w:pPr>
    </w:p>
    <w:p w14:paraId="619A90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начаты работы по восстановлению производства на месте эвакуированного завода № 38 в Туле, и создан завод № 539 (Завод № 539 НКВ, Завод им. Кирова, ПО, ОАО «Тульский патронный завод» /г. Тула ул. Марата, 139/). К концу 1942 г. восстановлено производство гильз.</w:t>
      </w:r>
    </w:p>
    <w:p w14:paraId="01B489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боеприпасов (2003 г.).</w:t>
      </w:r>
    </w:p>
    <w:p w14:paraId="060A54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решению правительства № 22-р от 9.01.2004 г. вошло в перечень стратегических предприятий. С 5.09.1996 г. (и на 2004 г.) входил в ТФПГ «Точность».</w:t>
      </w:r>
    </w:p>
    <w:p w14:paraId="55597E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Гендиректор (19.07.2000-04 г.-)- А.А. Соловов (11982).</w:t>
      </w:r>
    </w:p>
    <w:p w14:paraId="655CEC07" w14:textId="77777777" w:rsidR="00100036" w:rsidRPr="00640820" w:rsidRDefault="00100036" w:rsidP="00640820">
      <w:pPr>
        <w:autoSpaceDE w:val="0"/>
        <w:autoSpaceDN w:val="0"/>
        <w:adjustRightInd w:val="0"/>
        <w:spacing w:after="0" w:line="240" w:lineRule="auto"/>
        <w:jc w:val="both"/>
        <w:rPr>
          <w:rFonts w:ascii="Times New Roman" w:hAnsi="Times New Roman"/>
          <w:color w:val="000000" w:themeColor="text1"/>
          <w:sz w:val="16"/>
          <w:szCs w:val="16"/>
        </w:rPr>
      </w:pPr>
    </w:p>
    <w:p w14:paraId="38D7C6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в Москве был воссоздан Завод № 113 НКБ по спецмашиностроению на базе предприятия НКМП. В 11.1942 г. - в непосредственном подчинении наркома.</w:t>
      </w:r>
    </w:p>
    <w:p w14:paraId="48F53C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(12.1942 г.)-149 чел.</w:t>
      </w:r>
    </w:p>
    <w:p w14:paraId="0316D6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(12.1942 г.)- Морозов (11982).</w:t>
      </w:r>
    </w:p>
    <w:p w14:paraId="1E328A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3EF03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на площадке эвакуированного завода № 367 НКВ и на базе артели “Звезда”, созданной в 1938 был создан завод № 569. В 12.1942-04.1943 г. - в ведении 6ГУ НКБ, был в 11.1943 г. Имел обозначение «п/я 12» (1943 г.).</w:t>
      </w:r>
    </w:p>
    <w:p w14:paraId="5362A0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завода основные цехи (1943 г.): № 1 (крупные дымовые средства), № 2 (мелкие дымовые средства).</w:t>
      </w:r>
    </w:p>
    <w:p w14:paraId="09A787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1962 г. слит с Лосиноостровским электротехническим заводом. В 1960-е  г. переименован в Загорский электромеханический завод «Звезда». В 1974 г. - ПТО «Звезда».</w:t>
      </w:r>
    </w:p>
    <w:p w14:paraId="7AFFAF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1950-х  г. на заводе начато освоение производства счетно-решающих приборов для ЗРК С-25.</w:t>
      </w:r>
    </w:p>
    <w:p w14:paraId="3DF9E9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 СМ СССР от 1969 г. завод определен головным по производству ЭВМ «Эльбрус».</w:t>
      </w:r>
    </w:p>
    <w:p w14:paraId="378D10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(2002 г.): электрические и электромеханические приборы; ЖКИ для отображения информации в теле- и радиоаппаратуре.</w:t>
      </w:r>
    </w:p>
    <w:p w14:paraId="39BB59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По Указу Президента РФ № 1009 от 4.08.2004 г. ФГУП вошло в число стратегических оборонных предприятий.</w:t>
      </w:r>
    </w:p>
    <w:p w14:paraId="6358BC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(1943 г.): производственная- 3712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вспомогательная- 2100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прочая- 300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5E3DF06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(12.1942 г.)- 1080 чел.</w:t>
      </w:r>
    </w:p>
    <w:p w14:paraId="093D86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(2002 г.)- А.Ф. Гурский.</w:t>
      </w:r>
    </w:p>
    <w:p w14:paraId="186B19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гендиректора по производству (1974-76 г.)- К.В. Агафонов.</w:t>
      </w:r>
    </w:p>
    <w:p w14:paraId="5FB7BE4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(04.1943 г.)- Новоселов.</w:t>
      </w:r>
    </w:p>
    <w:p w14:paraId="270C63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инженера (-1974 г.)- К.В. Агафонов.</w:t>
      </w:r>
    </w:p>
    <w:p w14:paraId="214FCD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производства (-1968 г.)- В.М. Нейман.</w:t>
      </w:r>
    </w:p>
    <w:p w14:paraId="0D8108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цехов: К.В. Агафонов.</w:t>
      </w:r>
    </w:p>
    <w:p w14:paraId="2A2F2B6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планового (04.1943 г.)- Хреновской.</w:t>
      </w:r>
    </w:p>
    <w:p w14:paraId="6EA1DF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бюро: технологического- К.В. Агафонов.</w:t>
      </w:r>
    </w:p>
    <w:p w14:paraId="52FA738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шашки: МДШ, ДМ-70, ДШ-30, ДМ-11, сигнальные; дымбрикеты (1943);</w:t>
      </w:r>
      <w:r w:rsidRPr="00640820">
        <w:rPr>
          <w:rFonts w:ascii="Times New Roman" w:hAnsi="Times New Roman"/>
          <w:color w:val="000000" w:themeColor="text1"/>
          <w:sz w:val="16"/>
          <w:szCs w:val="16"/>
          <w:vertAlign w:val="superscript"/>
        </w:rPr>
        <w:t>ш</w:t>
      </w:r>
      <w:r w:rsidRPr="00640820">
        <w:rPr>
          <w:rFonts w:ascii="Times New Roman" w:hAnsi="Times New Roman"/>
          <w:iCs/>
          <w:color w:val="000000" w:themeColor="text1"/>
          <w:sz w:val="16"/>
          <w:szCs w:val="16"/>
        </w:rPr>
        <w:t xml:space="preserve"> ЭВМ:</w:t>
      </w:r>
      <w:r w:rsidRPr="00640820">
        <w:rPr>
          <w:rFonts w:ascii="Times New Roman" w:hAnsi="Times New Roman"/>
          <w:color w:val="000000" w:themeColor="text1"/>
          <w:sz w:val="16"/>
          <w:szCs w:val="16"/>
        </w:rPr>
        <w:t xml:space="preserve"> М-4 (</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960-), М4-2М (5Э71, 5Э72, 1963-64-)- 30, 5Э92Б и 5Э51 (1967-70-е)- всего около 300, ЦВМ 5Э262, М-10 (1971-74)- 3, М- 13 (1986-88); спецвычислитель 65И6 (1978); многопроцессорный вычислительный комплекс (МВК) «Эльбрус-1» (1980-), «Эльбрус-3» (1991);</w:t>
      </w:r>
      <w:r w:rsidRPr="00640820">
        <w:rPr>
          <w:rFonts w:ascii="Times New Roman" w:hAnsi="Times New Roman"/>
          <w:color w:val="000000" w:themeColor="text1"/>
          <w:sz w:val="16"/>
          <w:szCs w:val="16"/>
          <w:vertAlign w:val="superscript"/>
        </w:rPr>
        <w:t>82</w:t>
      </w:r>
      <w:r w:rsidRPr="00640820">
        <w:rPr>
          <w:rFonts w:ascii="Times New Roman" w:hAnsi="Times New Roman"/>
          <w:color w:val="000000" w:themeColor="text1"/>
          <w:sz w:val="16"/>
          <w:szCs w:val="16"/>
        </w:rPr>
        <w:t xml:space="preserve"> вольтметр-пробник В7-48 (2002);</w:t>
      </w:r>
      <w:r w:rsidRPr="00640820">
        <w:rPr>
          <w:rFonts w:ascii="Times New Roman" w:hAnsi="Times New Roman"/>
          <w:iCs/>
          <w:color w:val="000000" w:themeColor="text1"/>
          <w:sz w:val="16"/>
          <w:szCs w:val="16"/>
        </w:rPr>
        <w:t xml:space="preserve"> радиоприемники:</w:t>
      </w:r>
      <w:r w:rsidRPr="00640820">
        <w:rPr>
          <w:rFonts w:ascii="Times New Roman" w:hAnsi="Times New Roman"/>
          <w:color w:val="000000" w:themeColor="text1"/>
          <w:sz w:val="16"/>
          <w:szCs w:val="16"/>
        </w:rPr>
        <w:t xml:space="preserve"> АМ-301, -302, -303, -378С, «Звезда-204С, РМ-204С»; автомагнитола «Звезда» (2002).</w:t>
      </w:r>
      <w:r w:rsidRPr="00640820">
        <w:rPr>
          <w:rFonts w:ascii="Times New Roman" w:hAnsi="Times New Roman"/>
          <w:color w:val="000000" w:themeColor="text1"/>
          <w:sz w:val="16"/>
          <w:szCs w:val="16"/>
          <w:vertAlign w:val="superscript"/>
        </w:rPr>
        <w:t>69</w:t>
      </w:r>
    </w:p>
    <w:p w14:paraId="6D2E90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завода № 569</w:t>
      </w:r>
    </w:p>
    <w:p w14:paraId="2E6A80E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создано в 1940-х  г.</w:t>
      </w:r>
    </w:p>
    <w:p w14:paraId="46DEED5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Принимало участие вместе с ИТМиВТ в создании ЭВМ 5Э26 (1978 г.), 40У6 (1988 г.).</w:t>
      </w:r>
      <w:r w:rsidRPr="00640820">
        <w:rPr>
          <w:rFonts w:ascii="Times New Roman" w:hAnsi="Times New Roman"/>
          <w:color w:val="000000" w:themeColor="text1"/>
          <w:sz w:val="16"/>
          <w:szCs w:val="16"/>
          <w:vertAlign w:val="superscript"/>
        </w:rPr>
        <w:t xml:space="preserve">82 </w:t>
      </w:r>
      <w:r w:rsidRPr="00640820">
        <w:rPr>
          <w:rFonts w:ascii="Times New Roman" w:hAnsi="Times New Roman"/>
          <w:color w:val="000000" w:themeColor="text1"/>
          <w:sz w:val="16"/>
          <w:szCs w:val="16"/>
        </w:rPr>
        <w:t xml:space="preserve">Начальник (-1963 г.)-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Семенихин.</w:t>
      </w:r>
    </w:p>
    <w:p w14:paraId="7142EB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Лосиноостровский электротехнический завод / г. Москва ул. Летчика Бабушкина, 1А тел. 471-40-11/ В 1962 г. слит с заводом № 569. Вновь был в 2000-04 г. Руководитель (2000 г.)-  Г.К. Егоров (11982).</w:t>
      </w:r>
    </w:p>
    <w:p w14:paraId="2F3F6A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EF8916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конце 1941 г. вновь организован Завод № 512 (Завод № 512 НКБ, Опытный завод № 512 МСХМ /г. Люберцы (1941 г.),  г. Дзержинский Московской обл./) по инициативе НИИ-6 на базе промышленного комбината НКВД по металлообработке и электротехнике (трудовой коммуны им. Ф.Э. Дзержинского, созданной в 1928 г.; по другим данным - на базе завода «Спартак») для производства минометных зарядов и зарядов для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 xml:space="preserve"> М-13 и М-8.</w:t>
      </w:r>
    </w:p>
    <w:p w14:paraId="10EFE5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Перед эвакуацией завод № 512 2ГУ НКБ имел мощности по производству: корпусов снарядов: 20-мм - 5,4 млн. шт. в год, 23-мм - 1,32 млн. шт.; взрывателей: К-6 - 3 млн. шт., В-179 - 2,14 млн. шт. В 1941 г. после начала войны завод эвакуирован в Новосибирск на площадку завода № 564 (производство 20- и 23-мм снарядов, раций и взрывателей К-6 и В-179, всего 665 ед. оборудования).</w:t>
      </w:r>
    </w:p>
    <w:p w14:paraId="5E4FD6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концу 1942 г. построены мастерские для производства баллиститного пороха и переработки в заряды импортного пороха ОД, нитроузел. До 03.1943 г. завод работал на привозных порохах, затем начат выпуск собственных, введена в строй полная технологическая линия производства ракетных порохов и зарядов из них, разместившаяся в 10 зданиях; в 03.1943 г. построен цех № 4; в 04.1943 г. выпущена первая партия зарядов для М- 13. В конце 1943 г. создан опытный участок производства нитроглицерина по непрерывной технологии. В составе завода (1943 г.): основные цехи № 4, 5, 6. Проектная мощность завода: на 1.01.1943 г.- 150, на 1.01.1944 г.- 200 т пороха в месяц. В 02.1944 г. построена испытательная база, первое испытание зарядов на ней проведено 20.10.1944 г. В 05.1944 г. вступила в строй ЦЗЛ. Всего завод изготовил около 550 тыс. зарядов для М-13 и М-31.</w:t>
      </w:r>
    </w:p>
    <w:p w14:paraId="37D905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12.1942-09.1944 г. - в ведении ЗГУ НКБ.</w:t>
      </w:r>
    </w:p>
    <w:p w14:paraId="1BA733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07.1943 г. сюда перебазируется значительная часть ОТБ-98 с завода № 98, получившая название ОТБ-512 (существовало в период 1943-47 г.). В соответствии с пост. ГКО № 6261 от 28.07.1944 г. серийный завод № 512 был преобразован в Опытно-исследовательский завод № 512 по развитию и внедрению на заводах НКБ новой шнековой технологии производства нитроглицериновых порохов. В 1947 г. завод и ОТБ-512 преобразованы в отраслевой институт НИИ-125 (далее это- ФЦДТ «Союз»).</w:t>
      </w:r>
    </w:p>
    <w:p w14:paraId="78617F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велись работы по изучению и воспроизводству систем подрыва БЧ немецких ракет.</w:t>
      </w:r>
      <w:r w:rsidRPr="00640820">
        <w:rPr>
          <w:rFonts w:ascii="Times New Roman" w:hAnsi="Times New Roman"/>
          <w:color w:val="000000" w:themeColor="text1"/>
          <w:sz w:val="16"/>
          <w:szCs w:val="16"/>
          <w:vertAlign w:val="superscript"/>
        </w:rPr>
        <w:t>92</w:t>
      </w:r>
    </w:p>
    <w:p w14:paraId="4F5BF3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(1943 г.): производственная- 7245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вспомогательная- 23245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15AC62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(09.1941 г.)- 2695 чел., (12.1942 г.)- 1829 чел.</w:t>
      </w:r>
    </w:p>
    <w:p w14:paraId="114E21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строительства- Д.А. Резниченко. Директор (04.1943 г.)- Волгин.</w:t>
      </w:r>
    </w:p>
    <w:p w14:paraId="7D7585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(04.1943 г.)- Рабинович, (1944-46 г.)- А.С. Бакаев.</w:t>
      </w:r>
    </w:p>
    <w:p w14:paraId="208E9E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цехов: (</w:t>
      </w:r>
      <w:r w:rsidRPr="00640820">
        <w:rPr>
          <w:rFonts w:ascii="Times New Roman" w:hAnsi="Times New Roman"/>
          <w:color w:val="000000" w:themeColor="text1"/>
          <w:sz w:val="16"/>
          <w:szCs w:val="16"/>
          <w:lang w:val="en-US"/>
        </w:rPr>
        <w:t>BOB</w:t>
      </w:r>
      <w:r w:rsidRPr="00640820">
        <w:rPr>
          <w:rFonts w:ascii="Times New Roman" w:hAnsi="Times New Roman"/>
          <w:color w:val="000000" w:themeColor="text1"/>
          <w:sz w:val="16"/>
          <w:szCs w:val="16"/>
        </w:rPr>
        <w:t>)- С.А. Мекалин.</w:t>
      </w:r>
      <w:r w:rsidRPr="00640820">
        <w:rPr>
          <w:rFonts w:ascii="Times New Roman" w:hAnsi="Times New Roman"/>
          <w:color w:val="000000" w:themeColor="text1"/>
          <w:sz w:val="16"/>
          <w:szCs w:val="16"/>
          <w:vertAlign w:val="superscript"/>
        </w:rPr>
        <w:t>55</w:t>
      </w:r>
    </w:p>
    <w:p w14:paraId="1A7651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М-31, П3-34, Н-12; заряды 82-мм, 120-мм, для П3-34 (1943).</w:t>
      </w:r>
      <w:r w:rsidRPr="00640820">
        <w:rPr>
          <w:rFonts w:ascii="Times New Roman" w:hAnsi="Times New Roman"/>
          <w:color w:val="000000" w:themeColor="text1"/>
          <w:sz w:val="16"/>
          <w:szCs w:val="16"/>
          <w:vertAlign w:val="superscript"/>
        </w:rPr>
        <w:t>132</w:t>
      </w:r>
    </w:p>
    <w:p w14:paraId="483137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ОТБ-512</w:t>
      </w:r>
    </w:p>
    <w:p w14:paraId="231BCA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коще 1946 г. ОТБ выдано задание на разработку порохового двигателя для РСЗО БМД-20.</w:t>
      </w:r>
    </w:p>
    <w:p w14:paraId="7C21F9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(1943-44 г.)- А.С. Бакаев (11982).</w:t>
      </w:r>
    </w:p>
    <w:p w14:paraId="3E5B92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A05B1A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на месте эвакуированного завода № 356 НКВ был вновь создан Завод № 398 (Завод № 398 НКОП, НКБ,</w:t>
      </w:r>
      <w:r w:rsidRPr="00640820">
        <w:rPr>
          <w:rFonts w:ascii="Times New Roman" w:hAnsi="Times New Roman"/>
          <w:smallCaps/>
          <w:color w:val="000000" w:themeColor="text1"/>
          <w:sz w:val="16"/>
          <w:szCs w:val="16"/>
        </w:rPr>
        <w:t xml:space="preserve"> цкб</w:t>
      </w:r>
      <w:r w:rsidRPr="00640820">
        <w:rPr>
          <w:rFonts w:ascii="Times New Roman" w:hAnsi="Times New Roman"/>
          <w:color w:val="000000" w:themeColor="text1"/>
          <w:sz w:val="16"/>
          <w:szCs w:val="16"/>
        </w:rPr>
        <w:t>-23 нкоп, гс</w:t>
      </w:r>
      <w:r w:rsidRPr="00640820">
        <w:rPr>
          <w:rFonts w:ascii="Times New Roman" w:hAnsi="Times New Roman"/>
          <w:smallCaps/>
          <w:color w:val="000000" w:themeColor="text1"/>
          <w:sz w:val="16"/>
          <w:szCs w:val="16"/>
        </w:rPr>
        <w:t xml:space="preserve"> кб</w:t>
      </w:r>
      <w:r w:rsidRPr="00640820">
        <w:rPr>
          <w:rFonts w:ascii="Times New Roman" w:hAnsi="Times New Roman"/>
          <w:color w:val="000000" w:themeColor="text1"/>
          <w:sz w:val="16"/>
          <w:szCs w:val="16"/>
        </w:rPr>
        <w:t>-23 нкоп, Специальное КБ НКТП, п/я 1354 /г. Москва 54 п/я 1354 «Пружина» (1942-43 г.)/), затем преобразован в опытный завод по взрывателям для малокалиберных снарядов. В 12.1942-04.1943 г. - в ведении 2ГУ НКБ, в 08.1943-09.1944 г. - в ведении 8ГУ.</w:t>
      </w:r>
    </w:p>
    <w:p w14:paraId="277E4E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имел помещение на ул. Зацепа, 2 (1943 г.).</w:t>
      </w:r>
    </w:p>
    <w:p w14:paraId="339C52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НКБ от 13.06.1945 г. на базе завода создано КБ-398.</w:t>
      </w:r>
    </w:p>
    <w:p w14:paraId="0F227A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(04.1943 г.)- 733 ед.</w:t>
      </w:r>
    </w:p>
    <w:p w14:paraId="38AFAD9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(1943 г.): производственная- 4893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вспомогательная- 1828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46A448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(09.1941 г.)- 634 чел., (12.1942 г.)- 2191 чел.</w:t>
      </w:r>
    </w:p>
    <w:p w14:paraId="27891E5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(07.1937 г.)- Карпов, (12.1942 г.)- Антонов, (04.1943 г.)- А. Волков.</w:t>
      </w:r>
    </w:p>
    <w:p w14:paraId="525CAD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(06.1937 г.)-</w:t>
      </w:r>
      <w:r w:rsidRPr="00640820">
        <w:rPr>
          <w:rFonts w:ascii="Times New Roman" w:hAnsi="Times New Roman"/>
          <w:iCs/>
          <w:color w:val="000000" w:themeColor="text1"/>
          <w:sz w:val="16"/>
          <w:szCs w:val="16"/>
        </w:rPr>
        <w:t xml:space="preserve"> Я.</w:t>
      </w:r>
      <w:r w:rsidRPr="00640820">
        <w:rPr>
          <w:rFonts w:ascii="Times New Roman" w:hAnsi="Times New Roman"/>
          <w:color w:val="000000" w:themeColor="text1"/>
          <w:sz w:val="16"/>
          <w:szCs w:val="16"/>
        </w:rPr>
        <w:t>Д. Савельев. Помощник директора по найму и увольнению (12.1942 г.)- Сердюков.</w:t>
      </w:r>
    </w:p>
    <w:p w14:paraId="488BB5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(06.1937 г.)- Я.Д. Савельев.</w:t>
      </w:r>
      <w:r w:rsidRPr="00640820">
        <w:rPr>
          <w:rFonts w:ascii="Times New Roman" w:hAnsi="Times New Roman"/>
          <w:color w:val="000000" w:themeColor="text1"/>
          <w:sz w:val="16"/>
          <w:szCs w:val="16"/>
          <w:vertAlign w:val="superscript"/>
        </w:rPr>
        <w:t>139</w:t>
      </w:r>
    </w:p>
    <w:p w14:paraId="32B819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планово-экономического (04.1943 г.)- Кисляк; ОТК (1941-44 г.)- А.С. Егоров-Кузьмин.</w:t>
      </w:r>
      <w:r w:rsidRPr="00640820">
        <w:rPr>
          <w:rFonts w:ascii="Times New Roman" w:hAnsi="Times New Roman"/>
          <w:color w:val="000000" w:themeColor="text1"/>
          <w:sz w:val="16"/>
          <w:szCs w:val="16"/>
          <w:vertAlign w:val="superscript"/>
        </w:rPr>
        <w:t>130</w:t>
      </w:r>
    </w:p>
    <w:p w14:paraId="5BA40B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трубки ВМ-7, ВМ-16 (-1941); К-6, МП-82 (1943).</w:t>
      </w:r>
      <w:r w:rsidRPr="00640820">
        <w:rPr>
          <w:rFonts w:ascii="Times New Roman" w:hAnsi="Times New Roman"/>
          <w:color w:val="000000" w:themeColor="text1"/>
          <w:sz w:val="16"/>
          <w:szCs w:val="16"/>
          <w:vertAlign w:val="superscript"/>
        </w:rPr>
        <w:t>132</w:t>
      </w:r>
    </w:p>
    <w:p w14:paraId="3F640D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КБ-398, ГСКБ-398 МСХМ, МОП, НИИ приборов (НИИП), НПО «Прибор», ГНПП «Прибор», Московский научно-производственный комплекс (МНПК) «Прибор», ГУП «ФНПЦ «Прибор» Росбоеприпаса /117519  г. Москва ул. Кировоградская, 1 тел. 311-07-90/</w:t>
      </w:r>
    </w:p>
    <w:p w14:paraId="7C7478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КБ-398 по взрывателям создано на базе опытного завода № 398 НКБ по приказу от 13.06.1945 г. В 1947 г. получило статус ГС КБ-398. Работы по снарядам (взрывателям для них) для авиапушек НС-23, Н-37 и др.</w:t>
      </w:r>
    </w:p>
    <w:p w14:paraId="1B3ECC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1947 г. ГСКБ-398 передан завод № 548 в качестве опытного производства для сборки опытных партий боеприпасов. В том же году по приказу Министерства автотракторной промышленности № 425 завод № 548 преобразован в НЗТА.</w:t>
      </w:r>
    </w:p>
    <w:p w14:paraId="532789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1962 г. ГСКБ-398 преобразовано в НИИП. В 1977 г. на базе НИИП и его Ногинского филиала создано НПО «Прибор». В 1982 г. преобразовано в ГНПП «Прибор. Пост, правительства от 1.07.1998 г. присвоен статус ФНПЦ «Прибор». По приказу МЭ № 428 от 4.11.1998 г. предприятие получило название ГУП «ФНПЦ «Прибор».</w:t>
      </w:r>
    </w:p>
    <w:p w14:paraId="2EDE97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ФНПЦ «Прибор» имел несколько филиалов. При ФНПЦ в 2000 г. создан Координационный НТС.</w:t>
      </w:r>
    </w:p>
    <w:p w14:paraId="2C6D9A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правительства № 713 от 11.10.2001 г. на базе ФНПЦ «Прибор», как головной организации планировалось создание Государственной научно-производственной корпорации «Малокалиберный выстрел».</w:t>
      </w:r>
    </w:p>
    <w:p w14:paraId="03D27AC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Разработка и производство (2002-05 г.): боеприпасы нового поколения; кислородные газогенераторы; лазерное оборудование; минизаводы для пищевой промышленности, оборудование для вакуумной упаковки; медоборудование; модернизация существующих боеприпасов. В 2000-е  г. велась разработка лазерных скальпелей. Руководитель проекта (2005 г.)- В. Тищенко.</w:t>
      </w:r>
    </w:p>
    <w:p w14:paraId="3CBC8E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Головной разработчик (2005 г.) артиллерийских боеприпасов к автоматическим пушечным комплексам вооружения ВВС, Сухопутных войск и ВМФ, выстрелов для подствольных и автоматических гранатометов.</w:t>
      </w:r>
    </w:p>
    <w:p w14:paraId="28AD70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решению правительства № 22-р от 9.01.2004 г. и Указу Президента РФ № 1009 от 4.08.2004 г. вошел в число стратегических оборонных предприятий.</w:t>
      </w:r>
    </w:p>
    <w:p w14:paraId="20D40A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2005 г. создано и сдано в серию более 100 видов боеприпасов к артсистемам калибра 20, 23, 25, 30 и 37 мм.</w:t>
      </w:r>
    </w:p>
    <w:p w14:paraId="01AB53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А.А. Бобровский, (1960-70 г.)- А.П. Артамонов, (1970-90 г.)- С.С. Голембиовский. Гендиректор (1990-2005 г.-&gt; О.Т. Чижевский.</w:t>
      </w:r>
    </w:p>
    <w:p w14:paraId="24B843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(2005 г.)- О.Т. Чижевский.</w:t>
      </w:r>
    </w:p>
    <w:p w14:paraId="4C1242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(начало 1950-х  г.)- А.А. Бобровский (гл. инженер ГУ по взрывателям в НКБ).</w:t>
      </w:r>
      <w:r w:rsidRPr="00640820">
        <w:rPr>
          <w:rFonts w:ascii="Times New Roman" w:hAnsi="Times New Roman"/>
          <w:color w:val="000000" w:themeColor="text1"/>
          <w:sz w:val="16"/>
          <w:szCs w:val="16"/>
          <w:vertAlign w:val="superscript"/>
        </w:rPr>
        <w:t>101</w:t>
      </w:r>
    </w:p>
    <w:p w14:paraId="737DAA1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патроны: к авиапушкам калибра 23 и 37 мм, 30-мм АО-18, ЗУОФ7 к ЗУ-23 (2004);</w:t>
      </w:r>
      <w:r w:rsidRPr="00640820">
        <w:rPr>
          <w:rFonts w:ascii="Times New Roman" w:hAnsi="Times New Roman"/>
          <w:iCs/>
          <w:color w:val="000000" w:themeColor="text1"/>
          <w:sz w:val="16"/>
          <w:szCs w:val="16"/>
        </w:rPr>
        <w:t xml:space="preserve"> выстрелы для гранатометов:</w:t>
      </w:r>
      <w:r w:rsidRPr="00640820">
        <w:rPr>
          <w:rFonts w:ascii="Times New Roman" w:hAnsi="Times New Roman"/>
          <w:color w:val="000000" w:themeColor="text1"/>
          <w:sz w:val="16"/>
          <w:szCs w:val="16"/>
        </w:rPr>
        <w:t xml:space="preserve"> 7П17 к ГП-25 (2004), ВОГ-17, ВОГ-25, ВОГ-25П, -25М, -25ПМ, ВОГ-ЗО, практический 7П44У; лазерный скальпель «Лазон-10-П» (11982).</w:t>
      </w:r>
    </w:p>
    <w:p w14:paraId="36F42B3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02AF9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самом конце 1941 года вновь возобновились работы по созданию более мощных ПТП, которые с началом войны прервались на несколько месяцев. В КБ завода № 8 был разработан проект новой 45-мм ПТП 101-К и был изготовлен опытный образец. В КБ завода № 172, где работали вольнонаемные инженеры, был разработан проект 45-мм ПТП М-6. Это была совершенно новая система, не имевшая взаимозаменяемости с 53-К, кроме полуавтоматики и колес. Баллистика и боеприпасы были тождественны пушке М-42 (3861).</w:t>
      </w:r>
    </w:p>
    <w:p w14:paraId="1BC3F4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777BF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года было начато серийное производство 57-мм танковой пушки Грабина ЗИС-4, но сдано было лишь 42 пушки для танка Т-34, а далее последовало распоряжение о прекращении производства ЗИС-2, а заодно и ЗИС-4 (3861).</w:t>
      </w:r>
    </w:p>
    <w:p w14:paraId="580593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8F3D8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года в томской группе ОКБ-172 были выполнены эскизные проекты подвижной береговой установки 152-мм наложением качающихся частей МУ-2 и Б-38 на гусеничные лафеты полевой 203-мм гаубицы Б-4, а также проект установки МУ-2 на возимом основании (проект МУ-2П) (3861).</w:t>
      </w:r>
    </w:p>
    <w:p w14:paraId="6DCF999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0440D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года ряд деятелей ГАУ ругал 57-мм ПТ снаряды за малое осколочное действие (3861).</w:t>
      </w:r>
    </w:p>
    <w:p w14:paraId="5DB935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5521939" w14:textId="77777777" w:rsidR="00100036" w:rsidRPr="00640820" w:rsidRDefault="0010003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германские инженеры, изучив орудие Ф-22, выяснили, что оно имеет большой запас прочности. В результате к концу года был разработан проект переделки Ф-22 в противотанковую пушку 7,62-см Pak 36(г). В течение первых месяцев кампании на Восточном фронте немцы захватили несколько сотен советских 76-мм дивизионных пушек Ф-22 (обр. 1936 г.). Первоначально немцы использовали их в оригинальном виде в качестве полевых орудий, присвоив им название 7,62-см F.K.296(r).</w:t>
      </w:r>
    </w:p>
    <w:p w14:paraId="599E5D12" w14:textId="77777777" w:rsidR="00100036" w:rsidRPr="00640820" w:rsidRDefault="0010003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пушке была расточена камора, что позволило заменить гильзу. Советская гильза имела длину 385,3 мм и диаметр фланца 90 мм, новая немецкая гильза была длиной 715 мм, а диаметр ее фланца составлял 100 мм. Благодаря этому метательный заряд был увеличен в 2,4 раза. Для уменьшения силы отдачи немцы установили дульный тормоз.</w:t>
      </w:r>
    </w:p>
    <w:p w14:paraId="2B6572AD" w14:textId="77777777" w:rsidR="00100036" w:rsidRPr="00640820" w:rsidRDefault="0010003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Немцы ограничили угол возвышения 18°, вполне достаточными для противотанковой пушки. Кроме того, были несколько модернизированы противооткатные устройства, в частности, был исключен механизм переменного отката.</w:t>
      </w:r>
    </w:p>
    <w:p w14:paraId="6DED2957" w14:textId="77777777" w:rsidR="00100036" w:rsidRPr="00640820" w:rsidRDefault="0010003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Боекомплект 7,62-см Pak.36(r) составляли германские выстрелы с осколочно-фугасными, бронебойными калиберными, подкалиберными и кумулятивными снарядами.</w:t>
      </w:r>
    </w:p>
    <w:p w14:paraId="3E57EE49" w14:textId="77777777" w:rsidR="00100036" w:rsidRPr="00640820" w:rsidRDefault="0010003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Переделанная Ф-22 с новым боекомплектом к началу 1942 г. стала лучшей германской противотанковой пушкой, а в принципе ее можно считать и лучшей противотанковой пушкой в мире. Вот только один пример: 22 июля 1942 г. в сражении у Эль-Аламейна (Египет) расчет гренадера Г. Хальма из 104-го гренадерского полка из Pak.36(r) в течение нескольких минут уничтожил девять английских танков. В 1942 г. немцы переделали 358 Ф-22 в 7,62-см Pak.36(r), в 1943 г. —169, и в 1944 г. — 33. Было начато и массовое производство боеприпасов. Наши солдаты не без основания называли пушку Pak.36(r) «гадюкой» или «коброй». Несколько десятков пушек Pak.36(r) было захвачено советскими войсками под Сталинградом. Часть трофейных «гадюк» поступила на вооружение наших истребительно-противотанковых дивизионов. Руководство ГАУ даже рассматривало вопрос о запуске в производство 76-мм Pak.36(r). Но Грабин отказался, поскольку он уже проектировал более мощные системы (15117).</w:t>
      </w:r>
    </w:p>
    <w:p w14:paraId="4E5D2DC7" w14:textId="77777777" w:rsidR="00100036" w:rsidRPr="00640820" w:rsidRDefault="00100036" w:rsidP="00640820">
      <w:pPr>
        <w:spacing w:after="0" w:line="240" w:lineRule="auto"/>
        <w:jc w:val="both"/>
        <w:rPr>
          <w:rFonts w:ascii="Times New Roman" w:hAnsi="Times New Roman"/>
          <w:color w:val="000000" w:themeColor="text1"/>
          <w:sz w:val="16"/>
          <w:szCs w:val="16"/>
        </w:rPr>
      </w:pPr>
    </w:p>
    <w:p w14:paraId="67B1FB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по инициативе НИИ-6 на базе промышленного комбината НКВД по металлообработке и электротехнике (трудовой коммуны им. Ф.Э. Дзержинского) был организован завод № 512 для производства минометных зарядов и зарядов для РС М-13 и М-8.</w:t>
      </w:r>
    </w:p>
    <w:p w14:paraId="31FD6C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07.1943 г. сюда перебазируется значительная часть ОТБ-98 с завода № 98, получившая название ОТБ-512 (существовало в период 1943-47 г.). Далее серийный завод № 512 был преобразован в Опытно-исследовательский завод № 512. В 1947 г. завод и ОТБ-512 преобразовали во вновь образованный отраслевой институт- НИИ-125, образованный на заводе (сейчас это НИХТИ).</w:t>
      </w:r>
    </w:p>
    <w:p w14:paraId="622DAB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велись работы по изучению и воспроизводству систем подрыва БЧ немецких ракет.</w:t>
      </w:r>
    </w:p>
    <w:p w14:paraId="0D0A3A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(1944-46 г.)- А.С. Бакаев (затем- зам. директора по научной части НИИ-125).</w:t>
      </w:r>
    </w:p>
    <w:p w14:paraId="5C6B49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512 НКБ, Опытный завод № 512 МСХМ</w:t>
      </w:r>
    </w:p>
    <w:p w14:paraId="1AEAEA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Дзержинский Московской обл.</w:t>
      </w:r>
    </w:p>
    <w:p w14:paraId="414354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ОТБ-512</w:t>
      </w:r>
    </w:p>
    <w:p w14:paraId="4EFB40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(1943-44 г.)- А.С. Бакаев.</w:t>
      </w:r>
    </w:p>
    <w:p w14:paraId="17E34BB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НИИ-125 МСХМ, ГКОТ, НИХТИ (химико-технологический), НПО "Союз" МОП, Государственное Люберецкое НПО "Союз" (ЛНПО "Союз") ММ, Федеральный Центр двойных технологий (ФЦДТ) «Союз» Росбоеприпаса</w:t>
      </w:r>
    </w:p>
    <w:p w14:paraId="05DBCB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Дзержинский Московской обл.</w:t>
      </w:r>
    </w:p>
    <w:p w14:paraId="5C096D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1947 г. завод № 512 и ОТБ-512 преобразовали в отраслевой институт - НИИ-125 МСХМ.</w:t>
      </w:r>
    </w:p>
    <w:p w14:paraId="70CC78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Работы в области пороховой промышленности. </w:t>
      </w:r>
    </w:p>
    <w:p w14:paraId="6F270E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НИИ-125 переименовано в НИХТИ. ЛНПО "Союз" образовано путем объединения Опытного завода и НИХТИ. В 1990 г. ЛНПО «Союз»- в ведении ММ. В 2004 г.- ФЦДТ «Союз». По Указу Президента РФ № 1009 от 4.08.2004 г. вошел в число стратегических оборонных предприятий.</w:t>
      </w:r>
    </w:p>
    <w:p w14:paraId="4855B5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НИИ-125 - Б.П. Жуков, ЛНПО - З.П. Пак (затем- гендиректор «Росбоеприпаса»), ФЦДТ (1990-е)- Ю. Милехин.</w:t>
      </w:r>
    </w:p>
    <w:p w14:paraId="1B1FA0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по научной части (1946-54 г.)- А.С. Бакаев. Научный руководитель- А.С. Бакаев.</w:t>
      </w:r>
    </w:p>
    <w:p w14:paraId="275660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пороха для ПРД: заряд (НМ-4Ш) для торпеды РАТ-52, заряд для АРС-212 (1952-56), БНК для ракет; стартовые РДТТ: для ЗУР Р-112 (1949), для МБР «Тополь-М», БРТ «036» «Вихрь» (10776).</w:t>
      </w:r>
    </w:p>
    <w:p w14:paraId="37D136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0283E88" w14:textId="77777777" w:rsidR="00574DA1" w:rsidRPr="00640820" w:rsidRDefault="00574DA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конце 1941 года по заданию Начальника артиллерии Ленинградского фронта (ЛФ) взводный миномет "Лопата" должен был пройти дополнительные испытания на АНИОПе. Полигонные испытания миномета и мин к нему задерживались из-за непоступления на полигон от НИИ-13 материального обеспечения, об этом зам. начальника АНИОПа Серебряков докладывал Начальнику артиллерии ЛФ и Секретарю Ленинградского горкома ВКП (б) т. Басову. Испытания миномета и мин к нему проводились по заданию №404 на основании распоряжения зам. Начальника артиллерии ЛФ от 11 декабря 1941 г. №5/0121132. Для испытаний было поставлено: два миномета "Лопата" из НИИ-13; 200 корпусов мин НИИ-13- 20М; 189 зарядов и взрыватели М-50. На испытаниях опорная плита прогнулась, там же было показано, что использование миномета как шанцевого инструмента для подготовки позиции и самоокапывания в зимних условиях практически не возможно. Полет мин был не устойчивым, они кувыркались. Осколочное действие 37-мм мин было в пять раз хуже 50-мм мин черт. 2- 04829. Заключение АНИОПа было следующим: испытания миномет и мина не выдержали, на войсковые испытания система не может быть допущена, войсками использование миномета запрещено. В 1941 году на Ленинградском фронте в полевых условиях был создан еще один вариант 37-мм миномета-лопаты. Опытные стрельбы из него показали дальность стрельбы до 100 м. Причиной снятия минометов-лопат с вооружения было слабое осколочное действие литых мин, отсутствие прицельного устройства и как следствия низкой точности стрельбы, возможность ведения огня только при больших углах возвышения. Миномет-лопата был не очень удобен при окапывании из-за большой толщины ручки-ствола, она превышала 40 мм (18984). </w:t>
      </w:r>
    </w:p>
    <w:p w14:paraId="52F3D507" w14:textId="77777777" w:rsidR="00574DA1" w:rsidRPr="00640820" w:rsidRDefault="00574DA1" w:rsidP="00640820">
      <w:pPr>
        <w:spacing w:after="0" w:line="240" w:lineRule="auto"/>
        <w:jc w:val="both"/>
        <w:rPr>
          <w:rFonts w:ascii="Times New Roman" w:hAnsi="Times New Roman"/>
          <w:color w:val="000000" w:themeColor="text1"/>
          <w:sz w:val="16"/>
          <w:szCs w:val="16"/>
        </w:rPr>
      </w:pPr>
    </w:p>
    <w:p w14:paraId="6F403D7D"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состоялся ввод в эксплуатацию 1941 год завода № 766 (п/я 50) 2 ГУ НКМВ, г. Тюмень. В 1942 году начато строительство на площадке бывш. Новостройки завода “Механик”. В начале 1942 года завод осваивал мины 50 мм, минометы, а мае 1942 года приступил к освоению мин 82 мм (6838).</w:t>
      </w:r>
    </w:p>
    <w:p w14:paraId="0E83DD59" w14:textId="77777777" w:rsidR="00045010" w:rsidRPr="00640820" w:rsidRDefault="00045010" w:rsidP="0064082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CF59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был основан Завод «Граммпластинок» в результате объединения эвакуированных в Белово заводов: одесского «КинАп», Апрелевского патефонного, завода № 482 НКМВ из Коломны и Центральной студии граммзаписи. В 06.1942г. Беловский граммофонный завод - в ведении Главприбора НКМВ. В соответствии с пост. СНК № 837-430сс от 3.06.1942г. и приказом НКМВ № 250с от 7.07.1942г. завод «Граммпластинок» НКМВ переименован в завод № 842 в ведении 5ГУ (Завод № 842 НКМВ, НКЭП, Завод «Граммнластинок» НКМВ, Беловскнй граммофонный завод НКМВ, Беловский завод «Кузбассрадио», А-1892, ОАО «Сибирская электрическая комплектация» («Сибэлком»), ОАО «Кузбассрадио» /652600 г. Белово Кемеровской обл. ул. Чкалова, 14/).</w:t>
      </w:r>
      <w:r w:rsidRPr="00640820">
        <w:rPr>
          <w:rFonts w:ascii="Times New Roman" w:hAnsi="Times New Roman"/>
          <w:color w:val="000000" w:themeColor="text1"/>
          <w:sz w:val="16"/>
          <w:szCs w:val="16"/>
          <w:vertAlign w:val="superscript"/>
        </w:rPr>
        <w:t>129</w:t>
      </w:r>
    </w:p>
    <w:p w14:paraId="74A595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НКМВ № 210сс от 10.06.1942г. Беловскому граммофонному заводу предписано организовать производство взрывателей КТМ-1 мощностью 100 тыс. шт. в месяц. Пост. ГКО № 1962сс от 4.07.1942г. и приказом НКМВ № 237сс от 7.07.1942г. заводу установлен план выпуска на 3-й квартал 1942г.: прицелов к 50-мм минометам- 2700 шт.; угломеров-квадрантов к 82-мм минометам- 2800 шт. В соответствии с пост. ГКО № 2679 от 31.12.1942г. на заводе организовано дублирующее производство танковых радиоприемников. В годы войны выпускал взрыватели, прицелы, радиостанции для танков, бойки для гранат.</w:t>
      </w:r>
    </w:p>
    <w:p w14:paraId="0F64CA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завод освоил выпуск радиоприемников, конденсаторов, запчастей для сельхозтехники.</w:t>
      </w:r>
    </w:p>
    <w:p w14:paraId="28C9E3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Имел наименование «п/я А-1892». 16.07.1994г. завод «Кузбассрадио» акционирован и преобразован в ОАО «Сибэлком». В 2009г. ОАО «Сибэлком» являлось банкротом. Затем преобразовано в ОАО «Кузбассрадио». В 2008г. ОАО «Кузбассрадио» являлось банкротом.</w:t>
      </w:r>
    </w:p>
    <w:p w14:paraId="6421EE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Производство (2000-е): коммутационные изделия (тумблеры, микропереключатели, переключатели: кнопочные, движковые; держатели плавких вставок); установочные изделия РЭ аппаратуры для МО, космической техники и нардного хозяйства.</w:t>
      </w:r>
    </w:p>
    <w:p w14:paraId="04D3ACB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(1980-е г.)- более 10 тыс. чел.</w:t>
      </w:r>
    </w:p>
    <w:p w14:paraId="47955A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(06.1942г.)- Жуков, (06.1942г.)- Шифрин. Гендиректор (2000-е)- В.А. Красноперов.</w:t>
      </w:r>
    </w:p>
    <w:p w14:paraId="47D0A7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взрыватели АМБ, КТМ-1; прицелы к 50-мм минометам, угломеры-квадранты к 82-мм минометам (1942-); радиоприемники: танковый «Малютка» (1943-); бытовой «Рекорд-46».</w:t>
      </w:r>
    </w:p>
    <w:p w14:paraId="2AC242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«КинАп» /г. Одесса/</w:t>
      </w:r>
    </w:p>
    <w:p w14:paraId="796C0F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киноаппаратуры «КинАп» после начала войны был эвакуирован в Белово, где на его базе был создан завод № 842 НКЭП.</w:t>
      </w:r>
    </w:p>
    <w:p w14:paraId="419ECF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освобождения Одессы завод «КинАп» восстановлен, был в 1975г.</w:t>
      </w:r>
    </w:p>
    <w:p w14:paraId="0496AA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разъем 16СТК-1 (1973).</w:t>
      </w:r>
    </w:p>
    <w:p w14:paraId="23288D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Фабрика граммпластинок «Метрополь-Рекорд», Фабрика им. 1905 года, Апрелевский завод граммпластинок (АЗГ) Памяти 1905 года НКТП, НКМ, НКМВ, Апрелевский патефонный завод, Фирма «Мелодия» /г. Апрелевка Наро-Фоминского р-на Московской обл./</w:t>
      </w:r>
    </w:p>
    <w:p w14:paraId="65BFEF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1910г. в пос. Апрелевка Б.В. Молль, А. Кибарт и Фогт основали фабрику граммпластинок «Метрополь- Рекорд». Производство было оснащено 35 одноместными прессами. Запись звука осуществлялась в Москве, там же находился и гальванический цех, где изготовлялись матрицы. Сами граммпластинки изготовлялись в Апрелевке. Выпускалось около 500 тыс. пластинок в год.</w:t>
      </w:r>
    </w:p>
    <w:p w14:paraId="0F474E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революции, в 1918-25г. фабрика работала с перебоями из-за отсутствия сырья. В 1925г. производство было восстановлено, в этом году на 8 прессах было выпущено 80 тыс. пластинок. В 1928-32г. были построены котельная и силовая станция, начата механизация производства. В 1930-е г. одноместные прессы были заменены на двухместные полуавтоматические, установлены полуавтоматические молотковые дробилки. К 1937г. производство пластинок достигло 18 млн. в год.</w:t>
      </w:r>
    </w:p>
    <w:p w14:paraId="3DA673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завода (1928г.)- матричное отделение, прессовый, мельнично-вальцевой цехи, химическая лаборатория.</w:t>
      </w:r>
    </w:p>
    <w:p w14:paraId="359B61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1919г. фабрика граммпластинок - в ведении отдела «Советская пластинка» агентства Центропечать. В 1925г. получила название «Фабрика им. 1905 года». В 1933г. фабрика переименована в АЗГ Памяти 1905г. в ведении Грампластреста НКТП, в 1938г. - в ведении Главширпотреба НКМ.</w:t>
      </w:r>
    </w:p>
    <w:p w14:paraId="24E516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10.1941г. Апрелевский патефонный завод эвакуирован в Белово, где на его базе создан завод № 842 НКЭП.</w:t>
      </w:r>
    </w:p>
    <w:p w14:paraId="03A448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оставшемся оборудовании в Апрелевке был налажен выпуск боеприпасов. Весной 1942г. после освобождения Наро-Фоминска на заводе восстановлено производство пластинок. На 15 прессах в 1942г. было изготовлено 250 тыс. пластинок. В 07.1942г. Апрелевский завод граммпластинок- в ведении 5ГУ НКМВ.</w:t>
      </w:r>
    </w:p>
    <w:p w14:paraId="506C62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завод был реконструирован. В 1953г. освоен выпуск долгоиграющих пластинок. В 1958г. начата очередная реконструкция. Было построено два новых прессовых цеха, гальванический, механический. В 1962г. начато промышленное производство стереофонических пластинок, начато строительство нового прессового цеха.</w:t>
      </w:r>
    </w:p>
    <w:p w14:paraId="691B05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1964г. на базе АЗГ создана фирма «Мелодия».</w:t>
      </w:r>
    </w:p>
    <w:p w14:paraId="4CAAC6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кроме пластинок, выпускал матрицы, пресс-формы, пластмассу для других предприятий отрасли.</w:t>
      </w:r>
    </w:p>
    <w:p w14:paraId="4E8D78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2007г. завод не действовал, его оборудование распродано, площади сданы в аренду коммерческим структурам.</w:t>
      </w:r>
    </w:p>
    <w:p w14:paraId="244A72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(1912г.)- 100 чел., (1916г.)- 50 чел., (1930г.)- 215 чел., (1933г.)- 541 чел.</w:t>
      </w:r>
    </w:p>
    <w:p w14:paraId="57280C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(1910г.)- Б.В. Молль.</w:t>
      </w:r>
    </w:p>
    <w:p w14:paraId="3668BE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химической лаборатории (1960-е)- В.М. Хазанджи (11982).</w:t>
      </w:r>
    </w:p>
    <w:p w14:paraId="6B4F8A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5890C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на месте эвакуированного завода № 62 НКБ был создан Государственный завод № 599 НКБ (Государственный завод № 599 НКБ, п/я 99, Ярославский завод топливной аппаратуры (ЯЗТА), АООТ, ОАО «ЯЗТА» /г. Ярославль п/я 99 «Стрела»/ /150014  г. Ярославль ул. Свободы, 62 тел. 21-08-34/).</w:t>
      </w:r>
    </w:p>
    <w:p w14:paraId="559E82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12.1942-04.1943 г. - в ведении 4ГУ НКБ, в 08.1943-09.1944 г. - в ведении 8ГУ. Имел обозначение «п/я 99» (1943 г.).</w:t>
      </w:r>
    </w:p>
    <w:p w14:paraId="3D0F45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НКБ № 1045с от 10.11.1943 г. с завода № 62 на завод № 599 переведено 14 специалистов во главе с зам. гл. технолога А.В. Шихановым; с завода № 311 переведено 10 рабочих, с завода № 549 - 3 чел.</w:t>
      </w:r>
    </w:p>
    <w:p w14:paraId="0DF6C5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завода основные цехи (1943 г.): механический, кузнечно-прессовый, термический, цветного литья.</w:t>
      </w:r>
    </w:p>
    <w:p w14:paraId="4EFB51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1945 г. освоен выпуск картофелекопалок, окучников, запчастей к тракторам. С 1955 г. начат выпуск велосипедных втулок, электродвигателей для стиральных машин.</w:t>
      </w:r>
    </w:p>
    <w:p w14:paraId="1A689B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1960 г. завод, получивший наименование «п/я 99», перепрофилирован на производство топливной аппаратуры для Ярославского моторного завода. Вскоре он переименован в ЯЗТА. Проведена реконструкция завода, и с 1965 г. освоен выпуск топливных насосов высокого давления конвейерным способом.</w:t>
      </w:r>
    </w:p>
    <w:p w14:paraId="3A245C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Конструкторским подразделением разработана топливоподающая аппаратура для дизелей КамАЗа. В 1975 г. впервые в мире освоен выпуск топливной аппаратуры с давлением впрыска 800 атм для новых 8- и 12- цилиндровых дизелей.</w:t>
      </w:r>
    </w:p>
    <w:p w14:paraId="200B99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1980-е  г. появилось новое направление производства- станкостроение. По лицензии фирмы </w:t>
      </w:r>
      <w:r w:rsidRPr="00640820">
        <w:rPr>
          <w:rFonts w:ascii="Times New Roman" w:hAnsi="Times New Roman"/>
          <w:color w:val="000000" w:themeColor="text1"/>
          <w:sz w:val="16"/>
          <w:szCs w:val="16"/>
          <w:lang w:val="en-US"/>
        </w:rPr>
        <w:t>Rexroth</w:t>
      </w:r>
      <w:r w:rsidRPr="00640820">
        <w:rPr>
          <w:rFonts w:ascii="Times New Roman" w:hAnsi="Times New Roman"/>
          <w:color w:val="000000" w:themeColor="text1"/>
          <w:sz w:val="16"/>
          <w:szCs w:val="16"/>
        </w:rPr>
        <w:t xml:space="preserve"> выпускалась гидрораспределительная и контрольно-регулирующая аппаратура.</w:t>
      </w:r>
    </w:p>
    <w:p w14:paraId="77FA55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1990-х  г. завод акционирован и преобразован в АООТ, а затем- в ОАО «ЯЗТА». Входил в холдинг «Руспромавто» (2003 г.). В 09.2005 г. предприятие вошло в ГАЗ.</w:t>
      </w:r>
    </w:p>
    <w:p w14:paraId="59C1D0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(1943 г.): производственная- 13452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вспомогательная- 5240м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7B745F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(12.1942 г.)- 749 чел.</w:t>
      </w:r>
    </w:p>
    <w:p w14:paraId="3A7EBF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45-мм снаряды (1943);</w:t>
      </w:r>
      <w:r w:rsidRPr="00640820">
        <w:rPr>
          <w:rFonts w:ascii="Times New Roman" w:hAnsi="Times New Roman"/>
          <w:color w:val="000000" w:themeColor="text1"/>
          <w:sz w:val="16"/>
          <w:szCs w:val="16"/>
          <w:vertAlign w:val="superscript"/>
        </w:rPr>
        <w:t>132</w:t>
      </w:r>
      <w:r w:rsidRPr="00640820">
        <w:rPr>
          <w:rFonts w:ascii="Times New Roman" w:hAnsi="Times New Roman"/>
          <w:color w:val="000000" w:themeColor="text1"/>
          <w:sz w:val="16"/>
          <w:szCs w:val="16"/>
        </w:rPr>
        <w:t xml:space="preserve"> топливная аппаратура для КамАЗа (1972-76); (2002 г.): топливная аппаратура для ГТД; гидрораспределители, дроссели; запчасти для автомобилей (11982).</w:t>
      </w:r>
    </w:p>
    <w:p w14:paraId="2B7A149E" w14:textId="77777777" w:rsidR="00100036" w:rsidRPr="00640820" w:rsidRDefault="00100036" w:rsidP="00640820">
      <w:pPr>
        <w:autoSpaceDE w:val="0"/>
        <w:autoSpaceDN w:val="0"/>
        <w:adjustRightInd w:val="0"/>
        <w:spacing w:after="0" w:line="240" w:lineRule="auto"/>
        <w:jc w:val="both"/>
        <w:rPr>
          <w:rFonts w:ascii="Times New Roman" w:hAnsi="Times New Roman"/>
          <w:color w:val="000000" w:themeColor="text1"/>
          <w:sz w:val="16"/>
          <w:szCs w:val="16"/>
        </w:rPr>
      </w:pPr>
    </w:p>
    <w:p w14:paraId="0575CC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велось строительство завода № 526 в Сталинске Новосибирской области (9203).</w:t>
      </w:r>
    </w:p>
    <w:p w14:paraId="132DD2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0005D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1941г. на площадке эвакуированного завода в Москве был вновь организован завод «Манометр». В 06.1942г. завод - в ведении Главприбора НКМВ. В соответствии с пост. СНК № 837-430сс от 3.06.1942г. и приказом НКМВ № 250с от 7.07.1942г. Завод «Манометр» НКМВ переименован в завод № 836 в ведении 5ГУ (Завод № 836 НКМВ, Бронзомеднолитейный, чугунолитейный и арматурный завод и фабрика манометров «Ф.Ф. Гакенталь и К</w:t>
      </w:r>
      <w:r w:rsidRPr="00640820">
        <w:rPr>
          <w:rFonts w:ascii="Times New Roman" w:hAnsi="Times New Roman"/>
          <w:color w:val="000000" w:themeColor="text1"/>
          <w:sz w:val="16"/>
          <w:szCs w:val="16"/>
          <w:vertAlign w:val="superscript"/>
        </w:rPr>
        <w:t>0</w:t>
      </w:r>
      <w:r w:rsidRPr="00640820">
        <w:rPr>
          <w:rFonts w:ascii="Times New Roman" w:hAnsi="Times New Roman"/>
          <w:color w:val="000000" w:themeColor="text1"/>
          <w:sz w:val="16"/>
          <w:szCs w:val="16"/>
        </w:rPr>
        <w:t>», 1-й Арматурный завод, Завод «Манометр» НКТП, НКМС, НКОМ, НКМВ, Московский манометровый завод «Манометр» ММиП, МПиСА, Московский приборостроительный завод «Манометр» МПиСА, Московское ПО «Манометр» МПиСА, ЗАО «Манометр» /г. Москва ул. Нижние Сыромятники, 2 «Давление» (1948г.)/ /107120 (105120) г. Москва ул. Н. Сыромятническая, 5/7 тел. 916-15-20/).</w:t>
      </w:r>
      <w:r w:rsidRPr="00640820">
        <w:rPr>
          <w:rFonts w:ascii="Times New Roman" w:hAnsi="Times New Roman"/>
          <w:color w:val="000000" w:themeColor="text1"/>
          <w:sz w:val="16"/>
          <w:szCs w:val="16"/>
          <w:vertAlign w:val="superscript"/>
        </w:rPr>
        <w:t>129</w:t>
      </w:r>
    </w:p>
    <w:p w14:paraId="09018E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1946г. завод был вновь переименован в «Манометр» в ведении Главприбора ММиП (1946-53; 1954-56г.), МПиСА (1956-57г.), Управления радиотехнической промышленности МосгорСНХ (1957-61г.), Управления приборостроения МосгорСНХ (1961-65г.), Главпромприбора МПиСА (1965-66г.), Главаналитприбора МПиСА (1966-68г.). В 1968г. переименован в Московский приборостроительный завод «Манометр» Главаналитприбора МПиСА (1968-70г.), Союзаналитприбора МПиСА (1971-77г.). В 1977г. на базе завода создано МПО «Манометр» в ведении Союзаналитприбора МПиСА.</w:t>
      </w:r>
    </w:p>
    <w:p w14:paraId="1BD165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предприятия (1947г.) цехи: 8 основных: № 1 приборный, № 3 лубрикаторов, № 4 манометров механический, № 5 манометров сборочный, № 6 экспериментальный, № 7 инструментальный, № 8 кузнечно- штамповочный, № 10 литейный; вспомогательные: № 9 ремонтно-механический, № 11 гальванический, № 12 электродах, № 13 ремонтно-строительный, № 14 транспортный, № 15 паросиловой. В 1948г. проведена реконструкция завода. В начале 1980-х г. вновь проведена модернизация производства, введено в строй 9 механизированных поточных и автоматических линий.</w:t>
      </w:r>
    </w:p>
    <w:p w14:paraId="4B1DD4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в КБ завода разработано и освоено в производстве более 30 типов и 100 мо.</w:t>
      </w:r>
    </w:p>
    <w:p w14:paraId="525DB38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(2000-е): разработка и производство приборов для контроля параметров процессов.</w:t>
      </w:r>
    </w:p>
    <w:p w14:paraId="6FBCCE41" w14:textId="77777777" w:rsidR="00045010" w:rsidRPr="00640820" w:rsidRDefault="00045010" w:rsidP="00640820">
      <w:pPr>
        <w:tabs>
          <w:tab w:val="left" w:pos="9679"/>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(1939г.)- 614 ед., (1946г.)- 490 ед., (1947г.)- 543 ед.</w:t>
      </w:r>
      <w:r w:rsidRPr="00640820">
        <w:rPr>
          <w:rFonts w:ascii="Times New Roman" w:hAnsi="Times New Roman"/>
          <w:color w:val="000000" w:themeColor="text1"/>
          <w:sz w:val="16"/>
          <w:szCs w:val="16"/>
        </w:rPr>
        <w:tab/>
        <w:t>,</w:t>
      </w:r>
    </w:p>
    <w:p w14:paraId="394184C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территории (1947г.)- 1,384 га; застройки (1947г.)- 7970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производственная (1939г.)- (1946-47г.)- 11015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218EC4B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(1895г.)- более 500 чел., (1939г.)- 2675 чел., (1946г.)- 1114 чел., (1947г.)- 1126чеж, (1980-е)- около 2500 чел.</w:t>
      </w:r>
    </w:p>
    <w:p w14:paraId="7D1E84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(06-07.1942г.)- Долженко, (1948г.)- Горин. Гендиректор (2000г.)- Ю.Ф. Мягков.</w:t>
      </w:r>
    </w:p>
    <w:p w14:paraId="16D541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(1948г.)- Укладов.</w:t>
      </w:r>
    </w:p>
    <w:p w14:paraId="0E469A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 манометры:</w:t>
      </w:r>
      <w:r w:rsidRPr="00640820">
        <w:rPr>
          <w:rFonts w:ascii="Times New Roman" w:hAnsi="Times New Roman"/>
          <w:color w:val="000000" w:themeColor="text1"/>
          <w:sz w:val="16"/>
          <w:szCs w:val="16"/>
        </w:rPr>
        <w:t xml:space="preserve"> воздушные (1936), 60-02 (1947), типа Вьет (1936), для кислородных приборов (1936), 60-00 (1947), технический 150-00 (1947), МКШ (2000-); перепускные краны (1936); взрыватель КВ-4 (1942); преобразователи давления: «Сапфир-22» (1984-), ИПД, ИПДЦ (1980-е), «Сапфир-22МП» (2000-); лубрикаторы; прессы: Бринеля ПБМ, Роквелла РВ (1947) (11982).</w:t>
      </w:r>
      <w:r w:rsidRPr="00640820">
        <w:rPr>
          <w:rFonts w:ascii="Times New Roman" w:hAnsi="Times New Roman"/>
          <w:color w:val="000000" w:themeColor="text1"/>
          <w:sz w:val="16"/>
          <w:szCs w:val="16"/>
          <w:vertAlign w:val="superscript"/>
        </w:rPr>
        <w:t>129</w:t>
      </w:r>
    </w:p>
    <w:p w14:paraId="45A74FE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EB15850" w14:textId="77777777" w:rsidR="00045010" w:rsidRPr="00640820" w:rsidRDefault="00045010" w:rsidP="00640820">
      <w:pPr>
        <w:pStyle w:val="ae"/>
        <w:spacing w:before="0" w:after="0"/>
        <w:jc w:val="both"/>
        <w:rPr>
          <w:color w:val="000000" w:themeColor="text1"/>
          <w:sz w:val="16"/>
          <w:szCs w:val="16"/>
        </w:rPr>
      </w:pPr>
      <w:r w:rsidRPr="00640820">
        <w:rPr>
          <w:color w:val="000000" w:themeColor="text1"/>
          <w:sz w:val="16"/>
          <w:szCs w:val="16"/>
        </w:rPr>
        <w:t>В конце 1941 года готовый пулемет Горюнова был подвергнут полигонным испытаниям. ГШ. Горюнов был награжден орденом «Знак Почета». Петр Максимович Горюнов представил образец станкового пулемета, который по техническому уровню превзошел прославленный «Максим». Все работы по созданию пулемета велись в опытной мастерской (12221).</w:t>
      </w:r>
    </w:p>
    <w:p w14:paraId="3495D785" w14:textId="77777777" w:rsidR="00045010" w:rsidRPr="00640820" w:rsidRDefault="00045010" w:rsidP="00640820">
      <w:pPr>
        <w:pStyle w:val="ae"/>
        <w:spacing w:before="0" w:after="0"/>
        <w:jc w:val="both"/>
        <w:rPr>
          <w:color w:val="000000" w:themeColor="text1"/>
          <w:sz w:val="16"/>
          <w:szCs w:val="16"/>
        </w:rPr>
      </w:pPr>
    </w:p>
    <w:p w14:paraId="7379D6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вошел в строй связанный производственными связями с Норильским комбинатом, Красноярский аффинажный завод (9053,57).</w:t>
      </w:r>
    </w:p>
    <w:p w14:paraId="242F1C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E6BC56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концу 1941 г. процесс формирования НКТП был завершен. Вовлечение новых мощностей в военное производство продолжалось дольше. Окончательно их эффективное использование наладилось только к середине 1942 г. Но и после этого на новых танкостроительных заводах объемы производства были ниже, а оборудование и рабочая сила использовались менее эффективно, чем на образовавшихся в результате слияния старых эвакуированных танковых заводов с предприятиями гражданской промышленности. Танковая промышленность получала новые производственные мощности в основном за счет трех отраслей - транспортного и сельскохозяйственного машиностроения и судостроения. Свой серьезный вклад внесли также энергетическое и тяжелое машиностроение, работающее на нужды металлургии. Усиление оснащенности уже существующих центров производства и восстановление предприятий на освобожденных территориях после перелома в ходе боевых действий в пользу советских войск позволили расширить производственную базу НКТП. Надо сказать, что в довоенный период производство на танковых заводах имело значительные резервы для усовершенствования. Например, на заводе № 183, несмотря на значительные объемы продукции, работа была организована по принципу мелкосерийного производства со всеми присущими ему атрибутами: стендовой сборкой танков, использованием универсальных станков, ручной формовкой и сваркой и т.д (РГАЭ, ф. 8752, оп. 1, д. 82, л. 167-169; оп. 4, д. 2, л. 21.). Недостаточно широко использовалось литье, редко применялась штамповка. Такая организация производства обеспечивала его гибкость, быстрый переход от одного вида продукции к другому, но ограничивала объемы. В условиях войны такого рода гибкость становилась непозволительной роскошью. Отметим, что еще перед войной на заводе № 183 приступили к перестройке технологии производства, но сначала ее задерживало освоение Т-34. Вскоре же после начала войны встал вопрос об эвакуации завода, и производство по новым технологическим принципам пришлось организовывать уже на новом месте (11786).</w:t>
      </w:r>
    </w:p>
    <w:p w14:paraId="4781E9B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DF0331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на базе танка КВ-1 обр. 1941 г. в целях повышения огневой мощи тяжелого тан</w:t>
      </w:r>
      <w:r w:rsidRPr="00640820">
        <w:rPr>
          <w:rFonts w:ascii="Times New Roman" w:hAnsi="Times New Roman"/>
          <w:color w:val="000000" w:themeColor="text1"/>
          <w:sz w:val="16"/>
          <w:szCs w:val="16"/>
        </w:rPr>
        <w:softHyphen/>
        <w:t>ка группой конструкторов СКБ-2 ЧКЗ под руководством А.С. Ермолаева был разработан Танк КВ-9 ("Объект 229"). Разработка конструкции установки 122-мм гаубицы в башню танка была выполнена конструкторским бюро УЗТМ под руководством В.Н. Сидоренко и А.Г. Усенко. От ЧКЗ ведущим инженером машины был А.С. Шнейдман. Общее руководство осуществлял Ж.Я. Котин. Опытный образец машины, изготовленный на ЧКЗ в период декабрь 1941 г. - январь 1942 г., в феврале того же года успешно прошел поли</w:t>
      </w:r>
      <w:r w:rsidRPr="00640820">
        <w:rPr>
          <w:rFonts w:ascii="Times New Roman" w:hAnsi="Times New Roman"/>
          <w:color w:val="000000" w:themeColor="text1"/>
          <w:sz w:val="16"/>
          <w:szCs w:val="16"/>
        </w:rPr>
        <w:softHyphen/>
        <w:t>гонные испытания под Челябинском. Дополнительные артиллерийские испытания гаубицы, установленной в танке, были проведены в период с 14 по 25 марта 1942 г. В то время снижение качества изготовления аг</w:t>
      </w:r>
      <w:r w:rsidRPr="00640820">
        <w:rPr>
          <w:rFonts w:ascii="Times New Roman" w:hAnsi="Times New Roman"/>
          <w:color w:val="000000" w:themeColor="text1"/>
          <w:sz w:val="16"/>
          <w:szCs w:val="16"/>
        </w:rPr>
        <w:softHyphen/>
        <w:t>регатов трансмиссии танка КВ-1 обр. 1941 г. привело к большому числу аварий. Опасение еще в большем ухудшении надежности работы транс</w:t>
      </w:r>
      <w:r w:rsidRPr="00640820">
        <w:rPr>
          <w:rFonts w:ascii="Times New Roman" w:hAnsi="Times New Roman"/>
          <w:color w:val="000000" w:themeColor="text1"/>
          <w:sz w:val="16"/>
          <w:szCs w:val="16"/>
        </w:rPr>
        <w:softHyphen/>
        <w:t>миссии танка КВ-1 при увеличении его массы на 0,5 т послужило при</w:t>
      </w:r>
      <w:r w:rsidRPr="00640820">
        <w:rPr>
          <w:rFonts w:ascii="Times New Roman" w:hAnsi="Times New Roman"/>
          <w:color w:val="000000" w:themeColor="text1"/>
          <w:sz w:val="16"/>
          <w:szCs w:val="16"/>
        </w:rPr>
        <w:softHyphen/>
        <w:t>чиной отказа от вооружения машины 122-мм гаубицей У-11 (10703).</w:t>
      </w:r>
    </w:p>
    <w:p w14:paraId="62E53E9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9E1D8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в СКБ-2 на базе танка КВ-1 обр. 1941 г. были разра</w:t>
      </w:r>
      <w:r w:rsidRPr="00640820">
        <w:rPr>
          <w:rFonts w:ascii="Times New Roman" w:hAnsi="Times New Roman"/>
          <w:color w:val="000000" w:themeColor="text1"/>
          <w:sz w:val="16"/>
          <w:szCs w:val="16"/>
        </w:rPr>
        <w:softHyphen/>
        <w:t>ботаны огнеметный танк КВ-8, химический танк КВ-12, а также совме</w:t>
      </w:r>
      <w:r w:rsidRPr="00640820">
        <w:rPr>
          <w:rFonts w:ascii="Times New Roman" w:hAnsi="Times New Roman"/>
          <w:color w:val="000000" w:themeColor="text1"/>
          <w:sz w:val="16"/>
          <w:szCs w:val="16"/>
        </w:rPr>
        <w:softHyphen/>
        <w:t>стно с конструкторским бюро УЗТМ - артиллерийская самоходная ус</w:t>
      </w:r>
      <w:r w:rsidRPr="00640820">
        <w:rPr>
          <w:rFonts w:ascii="Times New Roman" w:hAnsi="Times New Roman"/>
          <w:color w:val="000000" w:themeColor="text1"/>
          <w:sz w:val="16"/>
          <w:szCs w:val="16"/>
        </w:rPr>
        <w:softHyphen/>
        <w:t>тановка КВ-7 и танк КВ-9. Танк КВ-8 выпускался серийно, химический танк КВ-12 был изготовлен в опытном образце. Самоходная установка КВ-7 была создана для сопровождения танков и обладала большой скорострельностью и плотностью огня за счет установки трех (двух) пу</w:t>
      </w:r>
      <w:r w:rsidRPr="00640820">
        <w:rPr>
          <w:rFonts w:ascii="Times New Roman" w:hAnsi="Times New Roman"/>
          <w:color w:val="000000" w:themeColor="text1"/>
          <w:sz w:val="16"/>
          <w:szCs w:val="16"/>
        </w:rPr>
        <w:softHyphen/>
        <w:t>шек калибра 45 и 76 мм. Танк КВ-9, вооруженный 122-мм гаубицей У-11 (М-30), был разра</w:t>
      </w:r>
      <w:r w:rsidRPr="00640820">
        <w:rPr>
          <w:rFonts w:ascii="Times New Roman" w:hAnsi="Times New Roman"/>
          <w:color w:val="000000" w:themeColor="text1"/>
          <w:sz w:val="16"/>
          <w:szCs w:val="16"/>
        </w:rPr>
        <w:softHyphen/>
        <w:t>ботан как мощное, универсальное средство борьбы для прорыва укреп</w:t>
      </w:r>
      <w:r w:rsidRPr="00640820">
        <w:rPr>
          <w:rFonts w:ascii="Times New Roman" w:hAnsi="Times New Roman"/>
          <w:color w:val="000000" w:themeColor="text1"/>
          <w:sz w:val="16"/>
          <w:szCs w:val="16"/>
        </w:rPr>
        <w:softHyphen/>
        <w:t>ленных полос противника, разрушения оборонительных сооружений и уничтожения танков. Проектирование установки гаубицы в башне тан</w:t>
      </w:r>
      <w:r w:rsidRPr="00640820">
        <w:rPr>
          <w:rFonts w:ascii="Times New Roman" w:hAnsi="Times New Roman"/>
          <w:color w:val="000000" w:themeColor="text1"/>
          <w:sz w:val="16"/>
          <w:szCs w:val="16"/>
        </w:rPr>
        <w:softHyphen/>
        <w:t>ка КВ-1 в конструкторском бюро УЗТМ показало, что наряду с незна</w:t>
      </w:r>
      <w:r w:rsidRPr="00640820">
        <w:rPr>
          <w:rFonts w:ascii="Times New Roman" w:hAnsi="Times New Roman"/>
          <w:color w:val="000000" w:themeColor="text1"/>
          <w:sz w:val="16"/>
          <w:szCs w:val="16"/>
        </w:rPr>
        <w:softHyphen/>
        <w:t>чительными изменениями в конструкции башни, для рационального размещения в ней самой артиллерийской системы, требовалась корен</w:t>
      </w:r>
      <w:r w:rsidRPr="00640820">
        <w:rPr>
          <w:rFonts w:ascii="Times New Roman" w:hAnsi="Times New Roman"/>
          <w:color w:val="000000" w:themeColor="text1"/>
          <w:sz w:val="16"/>
          <w:szCs w:val="16"/>
        </w:rPr>
        <w:softHyphen/>
        <w:t>ная переделка ее многих узлов. В январе 1942 г. на ЧКЗ был изготовлен опытный образец машины. В апреле 1942 г. заводом № 9 НКВ для тан</w:t>
      </w:r>
      <w:r w:rsidRPr="00640820">
        <w:rPr>
          <w:rFonts w:ascii="Times New Roman" w:hAnsi="Times New Roman"/>
          <w:color w:val="000000" w:themeColor="text1"/>
          <w:sz w:val="16"/>
          <w:szCs w:val="16"/>
        </w:rPr>
        <w:softHyphen/>
        <w:t>ков КВ-9 была изготовлена небольшая серия гаубиц У-11. Одновременно с работой по установке в танк КВ-9 гаубицы У-11 конструкторами объединенного конструкторского бюро УЗТМ В.Н. Сидоренко, С.Е. Рыковским, А.Д. Заецем и др. решалась задача по уси</w:t>
      </w:r>
      <w:r w:rsidRPr="00640820">
        <w:rPr>
          <w:rFonts w:ascii="Times New Roman" w:hAnsi="Times New Roman"/>
          <w:color w:val="000000" w:themeColor="text1"/>
          <w:sz w:val="16"/>
          <w:szCs w:val="16"/>
        </w:rPr>
        <w:softHyphen/>
        <w:t>лению вооружения танка КВ-1 за счет установки в его башню 85-мм зе</w:t>
      </w:r>
      <w:r w:rsidRPr="00640820">
        <w:rPr>
          <w:rFonts w:ascii="Times New Roman" w:hAnsi="Times New Roman"/>
          <w:color w:val="000000" w:themeColor="text1"/>
          <w:sz w:val="16"/>
          <w:szCs w:val="16"/>
        </w:rPr>
        <w:softHyphen/>
        <w:t>нитной пушки обр. 1939 г. Эта работа велась на заводе под индексом "У-12". Проект установки пушки в танке КВ-1 был закончен в декабре 1941 г. Основными особенностями проекта были: использование штат</w:t>
      </w:r>
      <w:r w:rsidRPr="00640820">
        <w:rPr>
          <w:rFonts w:ascii="Times New Roman" w:hAnsi="Times New Roman"/>
          <w:color w:val="000000" w:themeColor="text1"/>
          <w:sz w:val="16"/>
          <w:szCs w:val="16"/>
        </w:rPr>
        <w:softHyphen/>
        <w:t>ного выстрела и большой части деталей ствольно-затворной группы 85-мм зенитной пушки; применение новых противооткатных устройств, обеспечивавших длину отката 450 мм (вместо 850 мм у зенитной пуш</w:t>
      </w:r>
      <w:r w:rsidRPr="00640820">
        <w:rPr>
          <w:rFonts w:ascii="Times New Roman" w:hAnsi="Times New Roman"/>
          <w:color w:val="000000" w:themeColor="text1"/>
          <w:sz w:val="16"/>
          <w:szCs w:val="16"/>
        </w:rPr>
        <w:softHyphen/>
        <w:t>ки); незначительные изменения в конструкции башни танка КВ-1 для монтажа 85-мм артиллерийского орудия (10703).</w:t>
      </w:r>
    </w:p>
    <w:p w14:paraId="3FDF067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075E2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на базе танка КВ-1 обр. 1941 г. в целях повышения огневой мощи тяжелого тан</w:t>
      </w:r>
      <w:r w:rsidRPr="00640820">
        <w:rPr>
          <w:rFonts w:ascii="Times New Roman" w:hAnsi="Times New Roman"/>
          <w:color w:val="000000" w:themeColor="text1"/>
          <w:sz w:val="16"/>
          <w:szCs w:val="16"/>
        </w:rPr>
        <w:softHyphen/>
        <w:t>ка группой конструкторов СКБ-2 ЧКЗ под руководством А.С. Ермолаева был разработан Танк КВ-9 ("Объект 229"). Разработка конструкции установки 122-мм гаубицы в башню танка была выполнена конструкторским бюро УЗТМ под руководством В.Н. Сидоренко и А.Г. Усенко. От ЧКЗ ведущим инженером машины был А.С. Шнейдман. Общее руководство осуществлял Ж.Я. Котин. Опытный образец машины, изготовленный на ЧКЗ в период декабрь 1941 г. - январь 1942 г., в феврале того же года успешно прошел поли</w:t>
      </w:r>
      <w:r w:rsidRPr="00640820">
        <w:rPr>
          <w:rFonts w:ascii="Times New Roman" w:hAnsi="Times New Roman"/>
          <w:color w:val="000000" w:themeColor="text1"/>
          <w:sz w:val="16"/>
          <w:szCs w:val="16"/>
        </w:rPr>
        <w:softHyphen/>
        <w:t>гонные испытания под Челябинском. Дополнительные артиллерийские испытания гаубицы, установленной в танке, были проведены в период с 14 по 25 марта 1942 г. В то время снижение качества изготовления аг</w:t>
      </w:r>
      <w:r w:rsidRPr="00640820">
        <w:rPr>
          <w:rFonts w:ascii="Times New Roman" w:hAnsi="Times New Roman"/>
          <w:color w:val="000000" w:themeColor="text1"/>
          <w:sz w:val="16"/>
          <w:szCs w:val="16"/>
        </w:rPr>
        <w:softHyphen/>
        <w:t>регатов трансмиссии танка КВ-1 обр. 1941 г. привело к большому числу аварий. Опасение еще в большем ухудшении надежности работы транс</w:t>
      </w:r>
      <w:r w:rsidRPr="00640820">
        <w:rPr>
          <w:rFonts w:ascii="Times New Roman" w:hAnsi="Times New Roman"/>
          <w:color w:val="000000" w:themeColor="text1"/>
          <w:sz w:val="16"/>
          <w:szCs w:val="16"/>
        </w:rPr>
        <w:softHyphen/>
        <w:t>миссии танка КВ-1 при увеличении его массы на 0,5 т послужило при</w:t>
      </w:r>
      <w:r w:rsidRPr="00640820">
        <w:rPr>
          <w:rFonts w:ascii="Times New Roman" w:hAnsi="Times New Roman"/>
          <w:color w:val="000000" w:themeColor="text1"/>
          <w:sz w:val="16"/>
          <w:szCs w:val="16"/>
        </w:rPr>
        <w:softHyphen/>
        <w:t>чиной отказа от вооружения машины 122-мм гаубицей У-11 (10703).</w:t>
      </w:r>
    </w:p>
    <w:p w14:paraId="37B3684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3C03E7" w14:textId="77777777" w:rsidR="001A313A" w:rsidRPr="00640820" w:rsidRDefault="001A313A" w:rsidP="00640820">
      <w:pPr>
        <w:pStyle w:val="article-renderblock"/>
        <w:shd w:val="clear" w:color="auto" w:fill="FFFFFF"/>
        <w:spacing w:before="0" w:beforeAutospacing="0" w:after="0" w:afterAutospacing="0"/>
        <w:jc w:val="both"/>
        <w:rPr>
          <w:color w:val="0070C0"/>
          <w:sz w:val="16"/>
          <w:szCs w:val="16"/>
        </w:rPr>
      </w:pPr>
      <w:r w:rsidRPr="00640820">
        <w:rPr>
          <w:color w:val="0070C0"/>
          <w:sz w:val="16"/>
          <w:szCs w:val="16"/>
        </w:rPr>
        <w:t>К концу 1941 года на КВ-1 пришлось перейти на цельнометаллические опорные катки. И всё это наложилось на резко возросшие объемы выпуска, что, разумеется, привело к снижению качества танков. Всё это привело не только в резкому снижению надежности танков, но и снижению подвижности. Особенно это касалось преодоления заснеженной местности. Такой ситуации, как с Т-60, не наблюдалось, КВ-1 являлся одним из наиболее "снегоходных" советских танков. Другой вопрос, что он должен был превосходить Т-34, а на практике нередко в сводках указывалось, что 34-ка ведет себя более уверенно (20404).</w:t>
      </w:r>
    </w:p>
    <w:p w14:paraId="416E9D4B" w14:textId="77777777" w:rsidR="001A313A" w:rsidRPr="00640820" w:rsidRDefault="001A313A" w:rsidP="00640820">
      <w:pPr>
        <w:pStyle w:val="article-renderblock"/>
        <w:shd w:val="clear" w:color="auto" w:fill="FFFFFF"/>
        <w:spacing w:before="0" w:beforeAutospacing="0" w:after="0" w:afterAutospacing="0"/>
        <w:jc w:val="both"/>
        <w:rPr>
          <w:color w:val="0070C0"/>
          <w:sz w:val="16"/>
          <w:szCs w:val="16"/>
        </w:rPr>
      </w:pPr>
      <w:r w:rsidRPr="00640820">
        <w:rPr>
          <w:color w:val="0070C0"/>
          <w:sz w:val="16"/>
          <w:szCs w:val="16"/>
        </w:rPr>
        <w:t>24 января 1942 года вечером, был разговор И.В.С с И.М. Зальцманом, заместителем Малышева, а заодно и директором ЧКЗ. Предложение Сталина сводилось к повышению мощности мотора до 700 лошадиных сил. Также Сталин поднял вопрос о снижении массы КВ-1 (20404).</w:t>
      </w:r>
    </w:p>
    <w:p w14:paraId="4B95210F" w14:textId="77777777" w:rsidR="001A313A" w:rsidRPr="00640820" w:rsidRDefault="001A313A" w:rsidP="00640820">
      <w:pPr>
        <w:pStyle w:val="article-renderblock"/>
        <w:shd w:val="clear" w:color="auto" w:fill="FFFFFF"/>
        <w:spacing w:before="0" w:beforeAutospacing="0" w:after="0" w:afterAutospacing="0"/>
        <w:jc w:val="both"/>
        <w:rPr>
          <w:color w:val="0070C0"/>
          <w:sz w:val="16"/>
          <w:szCs w:val="16"/>
        </w:rPr>
      </w:pPr>
      <w:r w:rsidRPr="00640820">
        <w:rPr>
          <w:color w:val="0070C0"/>
          <w:sz w:val="16"/>
          <w:szCs w:val="16"/>
        </w:rPr>
        <w:t>27 января 1942 года Зальцман и Ж.Я.Котин представили предложения по поводу решения проблемы с подвижностью танка КВ-1. Новыми они не были, фактически коллектив СКБ-2 вытащил из нафталина проект тяжелого танка КВ-3. Только не тот, о котором все подумали: помимо машины с чертежным индексом 223, был еще один танк, который носил обозначение КВ-3. Речь идет о Т-222, развитии тяжелого танка Т-150. Если бы не чехарда с мега-танками, именно эта машина должна была встать на конвейер вместо КВ-1. Для Т-222 была разработана 8-скоростная коробка передач (автором ее являлся Н.Ф. Шашмурин), да и мотор там оказался как раз мощностью 700 лошадиных сил. Как более простой и быстрый вариант предлагалось форсировать В-2К до 650 лошадиных сил, изменить количество зубьев ведущего колеса и изменить передаточное число бортовых передач. ГАБТУ посчитало "малую модернизацию" приоритетной, аккуратно задвинув попытку перенести на КВ-1 решения от Т-222 с формулировкой "только после испытаний опытного образца". Фактически это означало, что быстрым это решение не становилось. Впрочем, 8-скоростную КПП на ЧКЗ не забросили, как выяснилось потом, решение было абсолютно правильным. Что же касается "малой модернизации" КВ-1, то ее Сталин утвердил 30 января 1942 года, подписав постановление ГКО №1220сс. "О повышении динамики танков КВ" и постановление ГКО №1221сс "Об улучшении проходимости танков КВ" (20404).</w:t>
      </w:r>
    </w:p>
    <w:p w14:paraId="33221BFC" w14:textId="77777777" w:rsidR="001A313A" w:rsidRPr="00640820" w:rsidRDefault="001A313A" w:rsidP="00640820">
      <w:pPr>
        <w:pStyle w:val="article-renderblock"/>
        <w:shd w:val="clear" w:color="auto" w:fill="FFFFFF"/>
        <w:spacing w:before="0" w:beforeAutospacing="0" w:after="0" w:afterAutospacing="0"/>
        <w:jc w:val="both"/>
        <w:rPr>
          <w:color w:val="0070C0"/>
          <w:sz w:val="16"/>
          <w:szCs w:val="16"/>
        </w:rPr>
      </w:pPr>
    </w:p>
    <w:p w14:paraId="3E985CBA" w14:textId="77777777" w:rsidR="001A313A" w:rsidRPr="00640820" w:rsidRDefault="001A313A" w:rsidP="00640820">
      <w:pPr>
        <w:pStyle w:val="1162"/>
        <w:shd w:val="clear" w:color="auto" w:fill="auto"/>
        <w:spacing w:after="0" w:line="240" w:lineRule="auto"/>
        <w:ind w:firstLine="0"/>
        <w:jc w:val="both"/>
        <w:rPr>
          <w:rStyle w:val="920"/>
          <w:rFonts w:ascii="Times New Roman" w:hAnsi="Times New Roman" w:cs="Times New Roman"/>
          <w:color w:val="0070C0"/>
          <w:sz w:val="16"/>
          <w:szCs w:val="16"/>
        </w:rPr>
      </w:pPr>
      <w:r w:rsidRPr="00640820">
        <w:rPr>
          <w:rStyle w:val="920"/>
          <w:rFonts w:ascii="Times New Roman" w:hAnsi="Times New Roman" w:cs="Times New Roman"/>
          <w:color w:val="0070C0"/>
          <w:sz w:val="16"/>
          <w:szCs w:val="16"/>
          <w:lang w:val="ru-RU"/>
        </w:rPr>
        <w:t>В</w:t>
      </w:r>
      <w:r w:rsidRPr="00640820">
        <w:rPr>
          <w:rStyle w:val="920"/>
          <w:rFonts w:ascii="Times New Roman" w:hAnsi="Times New Roman" w:cs="Times New Roman"/>
          <w:color w:val="0070C0"/>
          <w:sz w:val="16"/>
          <w:szCs w:val="16"/>
        </w:rPr>
        <w:t xml:space="preserve"> конце 1941 - начале 1942 года </w:t>
      </w:r>
      <w:r w:rsidRPr="00640820">
        <w:rPr>
          <w:rStyle w:val="920"/>
          <w:rFonts w:ascii="Times New Roman" w:hAnsi="Times New Roman" w:cs="Times New Roman"/>
          <w:color w:val="0070C0"/>
          <w:sz w:val="16"/>
          <w:szCs w:val="16"/>
          <w:lang w:val="ru-RU"/>
        </w:rPr>
        <w:t>б</w:t>
      </w:r>
      <w:r w:rsidRPr="00640820">
        <w:rPr>
          <w:rStyle w:val="920"/>
          <w:rFonts w:ascii="Times New Roman" w:hAnsi="Times New Roman" w:cs="Times New Roman"/>
          <w:color w:val="0070C0"/>
          <w:sz w:val="16"/>
          <w:szCs w:val="16"/>
        </w:rPr>
        <w:t>оевое применение КВ-1 показало, что танк обладает мощной броневой защи</w:t>
      </w:r>
      <w:r w:rsidRPr="00640820">
        <w:rPr>
          <w:rStyle w:val="920"/>
          <w:rFonts w:ascii="Times New Roman" w:hAnsi="Times New Roman" w:cs="Times New Roman"/>
          <w:color w:val="0070C0"/>
          <w:sz w:val="16"/>
          <w:szCs w:val="16"/>
        </w:rPr>
        <w:softHyphen/>
        <w:t>той, но имеет низкую подвижность. Собст</w:t>
      </w:r>
      <w:r w:rsidRPr="00640820">
        <w:rPr>
          <w:rStyle w:val="920"/>
          <w:rFonts w:ascii="Times New Roman" w:hAnsi="Times New Roman" w:cs="Times New Roman"/>
          <w:color w:val="0070C0"/>
          <w:sz w:val="16"/>
          <w:szCs w:val="16"/>
        </w:rPr>
        <w:softHyphen/>
        <w:t>венно говоря, об этом в разговоре 24 января 1942 года с наркомом танковой промышлен</w:t>
      </w:r>
      <w:r w:rsidRPr="00640820">
        <w:rPr>
          <w:rStyle w:val="920"/>
          <w:rFonts w:ascii="Times New Roman" w:hAnsi="Times New Roman" w:cs="Times New Roman"/>
          <w:color w:val="0070C0"/>
          <w:sz w:val="16"/>
          <w:szCs w:val="16"/>
        </w:rPr>
        <w:softHyphen/>
        <w:t>ности В.А. Малышевым говорил И.В. Сталин. То же самое он повторил и И.М. Зальцману, директору Челябинского Кировского Завода</w:t>
      </w:r>
      <w:r w:rsidRPr="00640820">
        <w:rPr>
          <w:rStyle w:val="920"/>
          <w:rFonts w:ascii="Times New Roman" w:hAnsi="Times New Roman" w:cs="Times New Roman"/>
          <w:color w:val="0070C0"/>
          <w:sz w:val="16"/>
          <w:szCs w:val="16"/>
          <w:lang w:val="ru-RU"/>
        </w:rPr>
        <w:t xml:space="preserve"> (19872)</w:t>
      </w:r>
      <w:r w:rsidRPr="00640820">
        <w:rPr>
          <w:rStyle w:val="920"/>
          <w:rFonts w:ascii="Times New Roman" w:hAnsi="Times New Roman" w:cs="Times New Roman"/>
          <w:color w:val="0070C0"/>
          <w:sz w:val="16"/>
          <w:szCs w:val="16"/>
        </w:rPr>
        <w:t>.</w:t>
      </w:r>
    </w:p>
    <w:p w14:paraId="762A1EAA" w14:textId="77777777" w:rsidR="001A313A" w:rsidRPr="00640820" w:rsidRDefault="001A313A" w:rsidP="00640820">
      <w:pPr>
        <w:pStyle w:val="1162"/>
        <w:shd w:val="clear" w:color="auto" w:fill="auto"/>
        <w:spacing w:after="0" w:line="240" w:lineRule="auto"/>
        <w:ind w:firstLine="0"/>
        <w:jc w:val="both"/>
        <w:rPr>
          <w:rStyle w:val="920"/>
          <w:rFonts w:ascii="Times New Roman" w:hAnsi="Times New Roman" w:cs="Times New Roman"/>
          <w:color w:val="0070C0"/>
          <w:sz w:val="16"/>
          <w:szCs w:val="16"/>
        </w:rPr>
      </w:pPr>
    </w:p>
    <w:p w14:paraId="78B4B73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конца 1941 г. на машине вместо двух стартеров СМТ-4628 стал устанавливать</w:t>
      </w:r>
      <w:r w:rsidRPr="00640820">
        <w:rPr>
          <w:rFonts w:ascii="Times New Roman" w:hAnsi="Times New Roman"/>
          <w:color w:val="000000" w:themeColor="text1"/>
          <w:sz w:val="16"/>
          <w:szCs w:val="16"/>
        </w:rPr>
        <w:softHyphen/>
        <w:t>ся один стартер СТ-700 мощностью 11 кВт (10703).</w:t>
      </w:r>
    </w:p>
    <w:p w14:paraId="47E5E57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A0E57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 начале 1942 г. по заданию ГАУ РККА в СКБ Ижорского завода в Ленинграде были разработаны проекты самоходной 85-мм пушки. Согласно заданию, завод должен был осуществить уста</w:t>
      </w:r>
      <w:r w:rsidRPr="00640820">
        <w:rPr>
          <w:rFonts w:ascii="Times New Roman" w:hAnsi="Times New Roman"/>
          <w:color w:val="000000" w:themeColor="text1"/>
          <w:sz w:val="16"/>
          <w:szCs w:val="16"/>
        </w:rPr>
        <w:softHyphen/>
        <w:t>новку 85-мм зенитной пушки на базу танка Т-34 с целью создания само</w:t>
      </w:r>
      <w:r w:rsidRPr="00640820">
        <w:rPr>
          <w:rFonts w:ascii="Times New Roman" w:hAnsi="Times New Roman"/>
          <w:color w:val="000000" w:themeColor="text1"/>
          <w:sz w:val="16"/>
          <w:szCs w:val="16"/>
        </w:rPr>
        <w:softHyphen/>
        <w:t>ходного противотанкового орудия, которое должно было обеспечивать ведение кругового огня с углами возвышения от -8 до +30°. Боевой рас</w:t>
      </w:r>
      <w:r w:rsidRPr="00640820">
        <w:rPr>
          <w:rFonts w:ascii="Times New Roman" w:hAnsi="Times New Roman"/>
          <w:color w:val="000000" w:themeColor="text1"/>
          <w:sz w:val="16"/>
          <w:szCs w:val="16"/>
        </w:rPr>
        <w:softHyphen/>
        <w:t>чет и механизмы должны были быть защищены от пуль и осколков щи</w:t>
      </w:r>
      <w:r w:rsidRPr="00640820">
        <w:rPr>
          <w:rFonts w:ascii="Times New Roman" w:hAnsi="Times New Roman"/>
          <w:color w:val="000000" w:themeColor="text1"/>
          <w:sz w:val="16"/>
          <w:szCs w:val="16"/>
        </w:rPr>
        <w:softHyphen/>
        <w:t>товым прикрытием, возимый боекомплект должен был состоять из 30 -40 выстрелов. Руководствуясь заданием на Ижорском заводе под руководством главного инженера М.Г. Умнягина при участии главного конструктора завода № 9 Ф.Ф. Петрова были разработаны два варианта самоходной установки. По первому варианту на машине устанавливалась 85-мм пушка без дульного тормоза с тормозом отката, конструкция которого была аналогична конструкции тормоза отката гаубицы М-30. Откат си</w:t>
      </w:r>
      <w:r w:rsidRPr="00640820">
        <w:rPr>
          <w:rFonts w:ascii="Times New Roman" w:hAnsi="Times New Roman"/>
          <w:color w:val="000000" w:themeColor="text1"/>
          <w:sz w:val="16"/>
          <w:szCs w:val="16"/>
        </w:rPr>
        <w:softHyphen/>
        <w:t>стемы составлял 600 мм. Цапфы и уравновешивающий механизм были заимствованы у 85-мм пушки У-10, верхний станок - у 122-мм гаубицы М-30, поворотный механизм - механизм поворота башни танка Т-34 с добавлением привода к наводчику. Система монтировалась на поворот</w:t>
      </w:r>
      <w:r w:rsidRPr="00640820">
        <w:rPr>
          <w:rFonts w:ascii="Times New Roman" w:hAnsi="Times New Roman"/>
          <w:color w:val="000000" w:themeColor="text1"/>
          <w:sz w:val="16"/>
          <w:szCs w:val="16"/>
        </w:rPr>
        <w:softHyphen/>
        <w:t>ной платформе, установленной на шариковой опоре корпуса танка. Спереди установка была защищена броней толщиной 45 мм, с боков и частично с кормы - броней толщиной 20 мм. Верх - открытый. Углы на</w:t>
      </w:r>
      <w:r w:rsidRPr="00640820">
        <w:rPr>
          <w:rFonts w:ascii="Times New Roman" w:hAnsi="Times New Roman"/>
          <w:color w:val="000000" w:themeColor="text1"/>
          <w:sz w:val="16"/>
          <w:szCs w:val="16"/>
        </w:rPr>
        <w:softHyphen/>
        <w:t>водки системы по вертикали в секторе 120° по ходу машины составляли от -5 до +15°, в остальных секторах до +27°. При стрельбе использовались штатный прицел и панорама Герца. В состав орудийного расчета, находившегося на платформе, входили два человека: наводчик (он же командир самоходной установки) и заряжающий. На платформе укла</w:t>
      </w:r>
      <w:r w:rsidRPr="00640820">
        <w:rPr>
          <w:rFonts w:ascii="Times New Roman" w:hAnsi="Times New Roman"/>
          <w:color w:val="000000" w:themeColor="text1"/>
          <w:sz w:val="16"/>
          <w:szCs w:val="16"/>
        </w:rPr>
        <w:softHyphen/>
        <w:t>дывались 10 выстрелов, внутри корпуса танка - 56 унитарных выстре</w:t>
      </w:r>
      <w:r w:rsidRPr="00640820">
        <w:rPr>
          <w:rFonts w:ascii="Times New Roman" w:hAnsi="Times New Roman"/>
          <w:color w:val="000000" w:themeColor="text1"/>
          <w:sz w:val="16"/>
          <w:szCs w:val="16"/>
        </w:rPr>
        <w:softHyphen/>
        <w:t>лов. Начальная скорость снаряда массой 9,2 кг составляла 800 м/с. В со</w:t>
      </w:r>
      <w:r w:rsidRPr="00640820">
        <w:rPr>
          <w:rFonts w:ascii="Times New Roman" w:hAnsi="Times New Roman"/>
          <w:color w:val="000000" w:themeColor="text1"/>
          <w:sz w:val="16"/>
          <w:szCs w:val="16"/>
        </w:rPr>
        <w:softHyphen/>
        <w:t>став экипажа самоходной установки помимо орудийного расчета входи</w:t>
      </w:r>
      <w:r w:rsidRPr="00640820">
        <w:rPr>
          <w:rFonts w:ascii="Times New Roman" w:hAnsi="Times New Roman"/>
          <w:color w:val="000000" w:themeColor="text1"/>
          <w:sz w:val="16"/>
          <w:szCs w:val="16"/>
        </w:rPr>
        <w:softHyphen/>
        <w:t xml:space="preserve">ли механик-водитель и подносчик выстрелов. Второй вариант установки предусматривал установку 85-мм пушки без дульного тормоза с использованием люльки с противооткатными устройствами от 85-мм зенитной пушки с </w:t>
      </w:r>
      <w:r w:rsidRPr="00640820">
        <w:rPr>
          <w:rFonts w:ascii="Times New Roman" w:hAnsi="Times New Roman"/>
          <w:color w:val="000000" w:themeColor="text1"/>
          <w:sz w:val="16"/>
          <w:szCs w:val="16"/>
        </w:rPr>
        <w:lastRenderedPageBreak/>
        <w:t>дополнительным устройст</w:t>
      </w:r>
      <w:r w:rsidRPr="00640820">
        <w:rPr>
          <w:rFonts w:ascii="Times New Roman" w:hAnsi="Times New Roman"/>
          <w:color w:val="000000" w:themeColor="text1"/>
          <w:sz w:val="16"/>
          <w:szCs w:val="16"/>
        </w:rPr>
        <w:softHyphen/>
        <w:t>вом для уравновешивающего механизма. Броневая защита была усиле</w:t>
      </w:r>
      <w:r w:rsidRPr="00640820">
        <w:rPr>
          <w:rFonts w:ascii="Times New Roman" w:hAnsi="Times New Roman"/>
          <w:color w:val="000000" w:themeColor="text1"/>
          <w:sz w:val="16"/>
          <w:szCs w:val="16"/>
        </w:rPr>
        <w:softHyphen/>
        <w:t>на: лобовой лист имел толщину 70 мм, передние бортовые листы -40 мм, задние бортовые листы - 16 мм. Углы наводки по вертикали при круговом вращении платформы составляли от -5 до +15°. При стрельбе использовался танковый телескопический прицел. В боекомплект вхо</w:t>
      </w:r>
      <w:r w:rsidRPr="00640820">
        <w:rPr>
          <w:rFonts w:ascii="Times New Roman" w:hAnsi="Times New Roman"/>
          <w:color w:val="000000" w:themeColor="text1"/>
          <w:sz w:val="16"/>
          <w:szCs w:val="16"/>
        </w:rPr>
        <w:softHyphen/>
        <w:t>дили 50 выстрелов, которые укладывались внутри корпуса машины. На платформе размещался только один заряжающий, остальные члены экипажа: механик-водитель, наводчик (он же командир самоходной ус</w:t>
      </w:r>
      <w:r w:rsidRPr="00640820">
        <w:rPr>
          <w:rFonts w:ascii="Times New Roman" w:hAnsi="Times New Roman"/>
          <w:color w:val="000000" w:themeColor="text1"/>
          <w:sz w:val="16"/>
          <w:szCs w:val="16"/>
        </w:rPr>
        <w:softHyphen/>
        <w:t>тановки) и подносчик выстрелов размещались внутри корпуса установ</w:t>
      </w:r>
      <w:r w:rsidRPr="00640820">
        <w:rPr>
          <w:rFonts w:ascii="Times New Roman" w:hAnsi="Times New Roman"/>
          <w:color w:val="000000" w:themeColor="text1"/>
          <w:sz w:val="16"/>
          <w:szCs w:val="16"/>
        </w:rPr>
        <w:softHyphen/>
        <w:t>ки. В обоих вариантах для обеспечения внешней радиосвязи использо</w:t>
      </w:r>
      <w:r w:rsidRPr="00640820">
        <w:rPr>
          <w:rFonts w:ascii="Times New Roman" w:hAnsi="Times New Roman"/>
          <w:color w:val="000000" w:themeColor="text1"/>
          <w:sz w:val="16"/>
          <w:szCs w:val="16"/>
        </w:rPr>
        <w:softHyphen/>
        <w:t>валась танковая радиостанция. Оба проекта были рассмотрены на совещании у главного инженера Ижорского завода с участием представителей от пятого отдела НКТП во главе с С.А. Гинзбургом в начале января 1942 г. и были признаны в основном отвечающими требованиям, предъявляемым к данному типу боевых машин. Были сделаны замечания по увеличению численности орудийного расчета на платформе, а также увеличению боекомплекта, размещенного непосредственно рядом с орудием. Однако было отмече</w:t>
      </w:r>
      <w:r w:rsidRPr="00640820">
        <w:rPr>
          <w:rFonts w:ascii="Times New Roman" w:hAnsi="Times New Roman"/>
          <w:color w:val="000000" w:themeColor="text1"/>
          <w:sz w:val="16"/>
          <w:szCs w:val="16"/>
        </w:rPr>
        <w:softHyphen/>
        <w:t>но, что более компактная установка 85-мм зенитной пушки в танке Т-34 может быть достигнута только за счет перекомпоновки самого танка (в первую очередь за счет отнесения вперед моторной группы), на что за</w:t>
      </w:r>
      <w:r w:rsidRPr="00640820">
        <w:rPr>
          <w:rFonts w:ascii="Times New Roman" w:hAnsi="Times New Roman"/>
          <w:color w:val="000000" w:themeColor="text1"/>
          <w:sz w:val="16"/>
          <w:szCs w:val="16"/>
        </w:rPr>
        <w:softHyphen/>
        <w:t>вод самостоятельно пойти не мог (10703).</w:t>
      </w:r>
    </w:p>
    <w:p w14:paraId="0C8FDAE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CD8D23"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концу 1941 года на заводе № 183 действовало уже 3 сварочных автомата. Руководство НКТП оперативно оценило возможности автоматов Патона. В январе 1942 года Наркомат поручил заводу изготовить 27 сварочных автоматов для других предприятий с бронекорпусным производством: УЗТМ, заводов № 37, № 264, № 177, № 178, № 180, Муромского завода им. КПФ.</w:t>
      </w:r>
    </w:p>
    <w:p w14:paraId="39AC3A8D"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Применение автоматической сварки повышало качество танков, позволяло высвободить большое количество рабочей силы, увеличивало объёмы производства. Но специфика разработки аппаратов автоматической сварки требовала разработки аппарата новой конструкции для каждой операции. Поэтому внедрение этого метода происходило постепенно. Прошло значительное время, прежде чем большая часть сварочных операций при изготовлении бронекорпуса стала проводиться с помощью автоматического сварочного аппарата. К концу 1942 года действовало 40 аппаратов автоматической сварки. К декабрю 1944 года на всех заводах страны работало в общей сложности 133 автоматических сварочных аппарата, установленных в основном на предприятиях танковой промышленности (12290).</w:t>
      </w:r>
    </w:p>
    <w:p w14:paraId="1F4F0DF7" w14:textId="77777777" w:rsidR="00045010" w:rsidRPr="00640820" w:rsidRDefault="00045010" w:rsidP="00640820">
      <w:pPr>
        <w:spacing w:after="0" w:line="240" w:lineRule="auto"/>
        <w:jc w:val="both"/>
        <w:rPr>
          <w:rFonts w:ascii="Times New Roman" w:hAnsi="Times New Roman"/>
          <w:color w:val="000000" w:themeColor="text1"/>
          <w:sz w:val="16"/>
          <w:szCs w:val="16"/>
        </w:rPr>
      </w:pPr>
    </w:p>
    <w:p w14:paraId="36D76EE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в СКБ-2 на базе танка КВ-1 обр. 1941 г. были разра</w:t>
      </w:r>
      <w:r w:rsidRPr="00640820">
        <w:rPr>
          <w:rFonts w:ascii="Times New Roman" w:hAnsi="Times New Roman"/>
          <w:color w:val="000000" w:themeColor="text1"/>
          <w:sz w:val="16"/>
          <w:szCs w:val="16"/>
        </w:rPr>
        <w:softHyphen/>
        <w:t>ботаны огнеметный танк КВ-8, химический танк КВ-12, а также совме</w:t>
      </w:r>
      <w:r w:rsidRPr="00640820">
        <w:rPr>
          <w:rFonts w:ascii="Times New Roman" w:hAnsi="Times New Roman"/>
          <w:color w:val="000000" w:themeColor="text1"/>
          <w:sz w:val="16"/>
          <w:szCs w:val="16"/>
        </w:rPr>
        <w:softHyphen/>
        <w:t>стно с конструкторским бюро УЗТМ - артиллерийская самоходная ус</w:t>
      </w:r>
      <w:r w:rsidRPr="00640820">
        <w:rPr>
          <w:rFonts w:ascii="Times New Roman" w:hAnsi="Times New Roman"/>
          <w:color w:val="000000" w:themeColor="text1"/>
          <w:sz w:val="16"/>
          <w:szCs w:val="16"/>
        </w:rPr>
        <w:softHyphen/>
        <w:t>тановка КВ-7 и танк КВ-9. Танк КВ-8 выпускался серийно, химический танк КВ-12 был изготовлен в опытном образце. Самоходная установка КВ-7 была создана для сопровождения танков и обладала большой скорострельностью и плотностью огня за счет установки трех (двух) пу</w:t>
      </w:r>
      <w:r w:rsidRPr="00640820">
        <w:rPr>
          <w:rFonts w:ascii="Times New Roman" w:hAnsi="Times New Roman"/>
          <w:color w:val="000000" w:themeColor="text1"/>
          <w:sz w:val="16"/>
          <w:szCs w:val="16"/>
        </w:rPr>
        <w:softHyphen/>
        <w:t>шек калибра 45 и 76 мм. Танк КВ-9, вооруженный 122-мм гаубицей У-11 (М-30), был разра</w:t>
      </w:r>
      <w:r w:rsidRPr="00640820">
        <w:rPr>
          <w:rFonts w:ascii="Times New Roman" w:hAnsi="Times New Roman"/>
          <w:color w:val="000000" w:themeColor="text1"/>
          <w:sz w:val="16"/>
          <w:szCs w:val="16"/>
        </w:rPr>
        <w:softHyphen/>
        <w:t>ботан как мощное, универсальное средство борьбы для прорыва укреп</w:t>
      </w:r>
      <w:r w:rsidRPr="00640820">
        <w:rPr>
          <w:rFonts w:ascii="Times New Roman" w:hAnsi="Times New Roman"/>
          <w:color w:val="000000" w:themeColor="text1"/>
          <w:sz w:val="16"/>
          <w:szCs w:val="16"/>
        </w:rPr>
        <w:softHyphen/>
        <w:t>ленных полос противника, разрушения оборонительных сооружений и уничтожения танков. Проектирование установки гаубицы в башне тан</w:t>
      </w:r>
      <w:r w:rsidRPr="00640820">
        <w:rPr>
          <w:rFonts w:ascii="Times New Roman" w:hAnsi="Times New Roman"/>
          <w:color w:val="000000" w:themeColor="text1"/>
          <w:sz w:val="16"/>
          <w:szCs w:val="16"/>
        </w:rPr>
        <w:softHyphen/>
        <w:t>ка КВ-1 в конструкторском бюро УЗТМ показало, что наряду с незна</w:t>
      </w:r>
      <w:r w:rsidRPr="00640820">
        <w:rPr>
          <w:rFonts w:ascii="Times New Roman" w:hAnsi="Times New Roman"/>
          <w:color w:val="000000" w:themeColor="text1"/>
          <w:sz w:val="16"/>
          <w:szCs w:val="16"/>
        </w:rPr>
        <w:softHyphen/>
        <w:t>чительными изменениями в конструкции башни, для рационального размещения в ней самой артиллерийской системы, требовалась корен</w:t>
      </w:r>
      <w:r w:rsidRPr="00640820">
        <w:rPr>
          <w:rFonts w:ascii="Times New Roman" w:hAnsi="Times New Roman"/>
          <w:color w:val="000000" w:themeColor="text1"/>
          <w:sz w:val="16"/>
          <w:szCs w:val="16"/>
        </w:rPr>
        <w:softHyphen/>
        <w:t>ная переделка ее многих узлов. В январе 1942 г. на ЧКЗ был изготовлен опытный образец машины. В апреле 1942 г. заводом № 9 НКВ для тан</w:t>
      </w:r>
      <w:r w:rsidRPr="00640820">
        <w:rPr>
          <w:rFonts w:ascii="Times New Roman" w:hAnsi="Times New Roman"/>
          <w:color w:val="000000" w:themeColor="text1"/>
          <w:sz w:val="16"/>
          <w:szCs w:val="16"/>
        </w:rPr>
        <w:softHyphen/>
        <w:t>ков КВ-9 была изготовлена небольшая серия гаубиц У-11. Одновременно с работой по установке в танк КВ-9 гаубицы У-11 конструкторами объединенного конструкторского бюро УЗТМ В.Н. Сидоренко, С.Е. Рыковским, А.Д. Заецем и др. решалась задача по уси</w:t>
      </w:r>
      <w:r w:rsidRPr="00640820">
        <w:rPr>
          <w:rFonts w:ascii="Times New Roman" w:hAnsi="Times New Roman"/>
          <w:color w:val="000000" w:themeColor="text1"/>
          <w:sz w:val="16"/>
          <w:szCs w:val="16"/>
        </w:rPr>
        <w:softHyphen/>
        <w:t>лению вооружения танка КВ-1 за счет установки в его башню 85-мм зе</w:t>
      </w:r>
      <w:r w:rsidRPr="00640820">
        <w:rPr>
          <w:rFonts w:ascii="Times New Roman" w:hAnsi="Times New Roman"/>
          <w:color w:val="000000" w:themeColor="text1"/>
          <w:sz w:val="16"/>
          <w:szCs w:val="16"/>
        </w:rPr>
        <w:softHyphen/>
        <w:t>нитной пушки обр. 1939 г. Эта работа велась на заводе под индексом "У-12". Проект установки пушки в танке КВ-1 был закончен в декабре 1941 г. Основными особенностями проекта были: использование штат</w:t>
      </w:r>
      <w:r w:rsidRPr="00640820">
        <w:rPr>
          <w:rFonts w:ascii="Times New Roman" w:hAnsi="Times New Roman"/>
          <w:color w:val="000000" w:themeColor="text1"/>
          <w:sz w:val="16"/>
          <w:szCs w:val="16"/>
        </w:rPr>
        <w:softHyphen/>
        <w:t>ного выстрела и большой части деталей ствольно-затворной группы 85-мм зенитной пушки; применение новых противооткатных устройств, обеспечивавших длину отката 450 мм (вместо 850 мм у зенитной пуш</w:t>
      </w:r>
      <w:r w:rsidRPr="00640820">
        <w:rPr>
          <w:rFonts w:ascii="Times New Roman" w:hAnsi="Times New Roman"/>
          <w:color w:val="000000" w:themeColor="text1"/>
          <w:sz w:val="16"/>
          <w:szCs w:val="16"/>
        </w:rPr>
        <w:softHyphen/>
        <w:t>ки); незначительные изменения в конструкции башни танка КВ-1 для монтажа 85-мм артиллерийского орудия (10703).</w:t>
      </w:r>
    </w:p>
    <w:p w14:paraId="01C7952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B0BF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конца 1941 г. в конструкцию Т-34 были внесены 770 изменений, упрощавших изготовление деталей, полностью отменена 5641 деталь (1265 наименований). Более чем в три раза была снижена трудоемкость обработки броневых деталей. Свои изменения вносил и каждый завод производитель. Таким образом, внешне (а лучше сказать, именно внешне) можно было в ряде случаев отличить танки выпуска различных годов и разных заводов. В отношении Т-34 у нас не принято было как, например, в Германии в то время относить танки разных серий к различным модификациям. В нашей литературе различают танки образцов 1940, 1941, 1942, 1943 гг. Имеются в виду в данном случае Т-34, вооруженные 76-мм пушкой. Теперь их принято обозначать как Т-34-76. (3862).</w:t>
      </w:r>
    </w:p>
    <w:p w14:paraId="77A981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CCE06B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года один Т-34 был передан американской стороне для ознакомления (3862).</w:t>
      </w:r>
    </w:p>
    <w:p w14:paraId="46E3C9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BA427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для значительного увеличения огневой мощи Т-60, в частности для повышения бронепробиваемости его наиболее массовых снарядов (дефицитные подкалиберные применялись редко и были эффективны только на близких дистанциях) возникла мысль вооружить танк 23-мм авиапушкой ВЯ с дульной энергией в 2,5 раза превышающей ТНШ-20. Использование более мощной и надежной, чем ТНШ-20, пушки ВЯ, вероятно, дало бы положительный результат, однако большая энергия отдачи последней практически всегда приводила к заклиниванию башни (3862).</w:t>
      </w:r>
    </w:p>
    <w:p w14:paraId="537CD9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7A561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Артиллерийское производство Уралмашзавода осуществило разработку и изготовление опытного образца 122-мм танковой гаубицы У-11, применение которой в боевом отделении танка (или САУ) давало определенные преимущества.</w:t>
      </w:r>
    </w:p>
    <w:p w14:paraId="1EA116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 наведением гаубицы У-11 занимался один номер расчета; клиновой затвор давал значительный выигрыш в скорострельности, а уменьшенная длина отката оказывала преимущества в эксплуатационном плане (4017).</w:t>
      </w:r>
    </w:p>
    <w:p w14:paraId="24DA68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9F6030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в связи с использованием немцами против отечественных танков зенитной артиллерии калибра 88 мм и 50-мм противотанковых пушек, на заседании ГКО 25 декабря 1941 г. было вновь принято решение о производстве танка Т-34-76 с лобовой броней толщиной 60 мм. Для корпуса с лобовыми листами толщиной 45 мм вводилась экранировка толщиной 15 мм. Подбашенный лист толщиной 20 мм с целью унификации был сохранен. Литая башня должна была изготавливаться с толщиной стенок бортов 60 мм (10703).</w:t>
      </w:r>
    </w:p>
    <w:p w14:paraId="1DDF49D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1F66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концу 1941 года на заводе № 183 действовало уже 3 сварочных автомата, а к концу 1942 года на всех предприятиях танковой промышленности действовало уже 40 аппаратов автоматической сварки. К декабрю 1944 года на всех заводах страны работало в общей сложности 133 автоматических сварочных аппарата, установленных в основном на предприятиях танковой промышленности. Применение автоматической сварки повышало качество танков, позволяло высвободить большое количество рабочей силы. Е.О.Патон с 1934 года руководил институтом электросварки. Главным направлением его научных исканий была разработка аппаратов автоматической электросварки, использующих метод сварки под флюсом. Но в довоенный период разработки Е.О.Патона ещё не дошли до уровня, позволяющего использовать их в промышленности. В ходе эвакуации институт электросварки оказался в Нижнем Тагиле. Там он в срочном порядке с небольшой оставшейся у него группой сотрудников начал разработку технологии автоматической сварки броневой стали, а затем и производство необходимого для этого оборудования (11787).</w:t>
      </w:r>
    </w:p>
    <w:p w14:paraId="41A6C14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5524D56"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года на Сормовском заведе, где к началу перехода на танковое производство завод «Красное Сормово» располагал шестью мартеновскими И ОДНОЙ электрической печью общей производительностью 11700 тонн жидкой стали в год, форсированными темпами построили еще де мартеновских печи, к которым позже добавилось еще две. Вступление в строй этих четырех печей позволило довести выплавку стали до 125900 тонн в год.</w:t>
      </w:r>
    </w:p>
    <w:p w14:paraId="316DB615"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увеличения производительности широко вводится машинная формовка, которая к концу войны почти вытеснила ручную (составляли 33 и 16% соответственно). При этом внедряется машинная отливка «по сырому» для 16 наименований деталей. Это привело к снижению трудоемкости на формовке и механической обработке, позволило сократить производственный цикл в литейном цехе в 4 раза, а также позволило сэкономить топливо (аннулирована сушилка форм) и улучшило качество литья.</w:t>
      </w:r>
    </w:p>
    <w:p w14:paraId="58EF154D"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было освоено литье в кокиль башни, картера, крышки бортовой передачи и барабанов.</w:t>
      </w:r>
    </w:p>
    <w:p w14:paraId="6711045C"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войны завод № 112 освоил отливку пяти типов башен:</w:t>
      </w:r>
    </w:p>
    <w:p w14:paraId="12E13203"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общим люком (с августа 1941-го по июль 1943 года);</w:t>
      </w:r>
    </w:p>
    <w:p w14:paraId="644868D7"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шестигранную с двумя люками. которая отливалась без бронемаски и была более простой в пронзвшкпе (с июля по декабрь 1943 гола):</w:t>
      </w:r>
    </w:p>
    <w:p w14:paraId="48EAF272"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башня увеличенного размера под установку 85-мм пушки Д5-Т, (декабрь 1943-го - февраль 1944 года);</w:t>
      </w:r>
    </w:p>
    <w:p w14:paraId="7863E04B"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башня под установку 85-мм пушки ЗИС-С-53 (с февраля 1944 года);</w:t>
      </w:r>
    </w:p>
    <w:p w14:paraId="2AA09821"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башня под установку 85-мм пушки ЗИС-С-53, но с увеличенной толщиной лобовой части до 90 мм (с августа 1944 года).</w:t>
      </w:r>
    </w:p>
    <w:p w14:paraId="6DF8FFA1"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этом с 1941-го по май 1042 года башни отливались из стали 8с, а затем, с целью экономии никеля - из стали марки 44л. Однако последняя имела склонность к образованию трещин при литье, и с февраля 1943 года вновь перешли на 8с. С августа стати использовать сталь 71л. которая давала возможность получить сквозное прокаливание на башнях с толщиной лобовой детали 90 мм. Всего с сентября 1941-го по июнь 1945 года включительно завод №112 отлил 11504 башни всех типов.</w:t>
      </w:r>
    </w:p>
    <w:p w14:paraId="0473B4EF"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Сборочные цеха по изготовлению корпусов и башен на «Красном Сормово» начали свою работу летом 1941 года - к 25 августа здесь, установили 5 стендов из 10 намеченных и 5 кантователей для сборки корпусов. Первые 15 корпусов собирались из комплектов, полученных с Мариупольского завода имени Ильича, и первые два из них изготовили к 1 сентября.</w:t>
      </w:r>
    </w:p>
    <w:p w14:paraId="65F0E899"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Такое же положение было и с башнями - они собирались из катанных деталей, доставленных из Мариуполя в количестве 15 комплектов. Все приспособления, оснастка и технология были полностью заимствованы у завода № 183.</w:t>
      </w:r>
    </w:p>
    <w:p w14:paraId="66182320"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Организация серийного производства корпусов сопровождалась большими трудностями, так как завод привык к штучному, а не серийному производству, в результате чего первые корпуса являлись чрезвычайно трудоемкими и дорогими. Окончательная сдача первых 10 комплектов корпусов и башен, намеченная на август, была выполнена только в сентябре. К этому же времени на заводе имелось броневого листа на 75 комплектов. Всего же до конца года на «Красном Сормово» изготовили 267 корпусов и 267 башен. С января 1942 года темпы производства стали расти благодаря непрерывному совершенствованию технологии и обеспечения корпусного производства приспособлениями, кантователями, стендами и аппаратами автоматической сварки. Кроме того, в декабре завод №112 перешел на выпуск корпусов упрощенной конструкции, в которых была отменена механическая доработка кромок деталей, упрощены «четверти» в местах соединения деталей и введено шиповое соединение верхнего лобового листа с бортами и подкрылками.</w:t>
      </w:r>
    </w:p>
    <w:p w14:paraId="470871E5"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самом начале строительства корпусного цеха предусматривалось его оснащение всеми современными приспособлениями для сборки и сварки корпусов. Поэтому в самом начале строительства заложили десять стендов для сборки и десять кантователей для сварки корпусов. На первых порах сварка велась преимущественно вручную, но затем постепенно цех пополнялся новыми аппаратами для автоматической сварки, при этом их количество непрерывно увеличивалось. Если в 1941 году имелся всего один такой аппарат, то в 1943-м уже шесть, а к концу войны - 12.</w:t>
      </w:r>
    </w:p>
    <w:p w14:paraId="2A062DEB"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феврале 1944 года смонтировали четыре поворотных приспособления для прихватки узлов борт- подкрылок - днище подкрылка и узла верхний лобовой лист - балка - нижний лобовой лист. Кроме того, мастера цеха спроектировали и изготовили ряд других приспособлений, облегчавших процесс изготовления корпусов - для установки труб балансиров на днише. для сборки крыши над двигателем, установлено две пары колонок для расточки заднего моста и ряд других.</w:t>
      </w:r>
    </w:p>
    <w:p w14:paraId="4A1C4E09"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войны завод № 112 ввел в конструкцию бронекорпуса и башни ряд изменений, основными из которых были:</w:t>
      </w:r>
    </w:p>
    <w:p w14:paraId="3AEA9BEB"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отмена механической обработки кромок деталей - с 1октября 1941 года;</w:t>
      </w:r>
    </w:p>
    <w:p w14:paraId="556C4862"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введение корпуса упрощенной конструкции - с 25 ноября 1941 года;</w:t>
      </w:r>
    </w:p>
    <w:p w14:paraId="3621B26A"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отмена приклепки буксирных рымов о оставлением только сварки в шириной шва 18 мм - с 10 декабря 1941 года;</w:t>
      </w:r>
    </w:p>
    <w:p w14:paraId="45C66C0B"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введение в производство упрощенного внутреннего фальшборта из одного листа - с 11 февраля 1942 года:</w:t>
      </w:r>
    </w:p>
    <w:p w14:paraId="682BAC2C"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изменена вентиляторная перегородка и упрошен монтаж вентилятора - с 1 марта 1942 года;</w:t>
      </w:r>
    </w:p>
    <w:p w14:paraId="6E790D71"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введены скобы для десанта - с 18 апреля 1942 года;</w:t>
      </w:r>
    </w:p>
    <w:p w14:paraId="350592C0"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введены отражательные планки для устранения заклинивания башни при обстреле - с 20 мая 1942 года;</w:t>
      </w:r>
    </w:p>
    <w:p w14:paraId="31DB9C67"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введены кронштейны для без- струнного крепления - с 25 июля</w:t>
      </w:r>
    </w:p>
    <w:p w14:paraId="510BEE4A"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1942 года;</w:t>
      </w:r>
    </w:p>
    <w:p w14:paraId="51C162AD"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сварной подмоторный фундамент уменьшенной трудоемкости - с 29 марта 1943 года;</w:t>
      </w:r>
    </w:p>
    <w:p w14:paraId="02F35FDE"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изменения в корпусе для установки огнемета АТО-41 - с 12 мая</w:t>
      </w:r>
    </w:p>
    <w:p w14:paraId="4DB17308"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1943 года;</w:t>
      </w:r>
    </w:p>
    <w:p w14:paraId="2B96DA45"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изменения в корпусе для установки огнемета АТО-42 - с 30 июля 1943 года;</w:t>
      </w:r>
    </w:p>
    <w:p w14:paraId="554043CF"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введение башни с командирской башенкой - с 26 июня 1943 года;</w:t>
      </w:r>
    </w:p>
    <w:p w14:paraId="1D7645A0"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введение усиленной балки носа, имевшей меньшую трудоемкость изготовления - с 30 июля 1943 года;</w:t>
      </w:r>
    </w:p>
    <w:p w14:paraId="5D59D467"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уменьшение размера шва приварки бронезащиты пулемета ДТ в лобовом листе с 20 до 16 мм - с 30 июля 1943года;</w:t>
      </w:r>
    </w:p>
    <w:p w14:paraId="5A3665FB"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для увеличения бронестойкос- ти введена балка носа с уменьшенным радиусом в передней части и с увеличенным сечением - с 9 марта 1944 года;</w:t>
      </w:r>
    </w:p>
    <w:p w14:paraId="73F343F8"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установка подмоторного фундамента с усиленными планками по кромкам наружных балок - с 7 октября 1944 года.</w:t>
      </w:r>
    </w:p>
    <w:p w14:paraId="56836F9D"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Как и на других заводах, одним из основных недостатков корпусов завода № 112 были трещины. Причем если в первые месяцы работы трещинообразование практически не было заметно из-за малого количества корпусов, присутствия механической обработки кромок и отсутствия газовой резки каленых деталей, то с переходом на упрошенную технологию возникновение трещин сильно возросло, и в 1942 году такие корпуса составили 35,2% от всех изготовленных, при этом наибольшее их число пришлось на апрель - май. К лету положение с трещинами приняло угрожающий характер - такие корпуса обнаружили в большом количестве в частях Действующей Армии. Кроме того, опасность заключалась в том, что трещины стали появляться на корпусах с течением времени, что затрудняло их своевременную локализацию заваркой или ограничителями. Ситуация была настолько серьезной, что было принято специальное постановление Государственного Комитета Обороны по качеству танков завода № 112.</w:t>
      </w:r>
    </w:p>
    <w:p w14:paraId="0B5DB0E1"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этого документа на «Красном Сормово» приняли ряд мер по улучшению качества корпусов:</w:t>
      </w:r>
    </w:p>
    <w:p w14:paraId="24576F39"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Запрещена резка кислородом термически обработанных деталей на высокую твердость;</w:t>
      </w:r>
    </w:p>
    <w:p w14:paraId="49529C1F"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Запрещен низкий отпуск в пламенных печах, не обеспечивающих устойчивую температуру низкого отпуска 260 - 280 градусов;</w:t>
      </w:r>
    </w:p>
    <w:p w14:paraId="013C36DE"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Ограничен хим. анализ на углерод для деталей более предрасположенных к трещинообразованию,</w:t>
      </w:r>
    </w:p>
    <w:p w14:paraId="7E11A1CF"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таких как передний лобовой лист;</w:t>
      </w:r>
    </w:p>
    <w:p w14:paraId="05798721"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Введен индукционный подогрев деталей № 34.29.904 (верхний лобовой лист. - Прим. автора) с зашитой ДТ и рымами;</w:t>
      </w:r>
    </w:p>
    <w:p w14:paraId="22419E7C"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Ограничена сила тока приварки защиты ДТ и рымов до 250 ампер при диаметре электрода 6 мм;</w:t>
      </w:r>
    </w:p>
    <w:p w14:paraId="4A69B5F1"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Отменено применение при сварке лобового листа электродов МД с заменой более качественным аусте- нитным электродом;</w:t>
      </w:r>
    </w:p>
    <w:p w14:paraId="5475AF8C"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Введен низкий отпуск сваренного узла детали 34-29-904 с защитой ДТ и рымами;</w:t>
      </w:r>
    </w:p>
    <w:p w14:paraId="41DC7543"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Проведены конструктивные изменения узлов в местах стыка с целью устранения необходимости подрезки деталей во время сборки;</w:t>
      </w:r>
    </w:p>
    <w:p w14:paraId="418B584B"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Введен низкий отпуск корпусов после сварки.</w:t>
      </w:r>
    </w:p>
    <w:p w14:paraId="19C6FDA1"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Правда завод впоследствии вынужден был прекратить низкий отпуск корпусов ввиду жесткого лимита в потреблении электроэнергии».</w:t>
      </w:r>
    </w:p>
    <w:p w14:paraId="01FCCECD"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была проведена большая работа по автоматизации сварки узлов корпуса по методу Патона - в 1945 году 24,5% всей сварки составляла автоматическая.</w:t>
      </w:r>
    </w:p>
    <w:p w14:paraId="5A96429F"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Борьба с трещинами шла не только по линии введения новых дополнительных технологических процессов, но и по линии повышения квалификации рабочих. Так, все сварщики были переаттестованы на право сварки бронеконструкций, а также проведены аналогичные мероприятия с газорезчиками, термистами и сборщиками. Все эти мероприятия позволили значительно повысить качество бронекорпусов: в 1943 году трещины имели 14,2% из них, в 1944-м - 6,3%, в первом полугодии 1945-го - 5,4%.</w:t>
      </w:r>
    </w:p>
    <w:p w14:paraId="5186B7C9"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Броню для «Красного Сормово» в течение войны поставляли следующие предприятия: Мариупольский, Кулебакский и Новотагильский металлургический заводы, Кузнецкий и Магнитогорский металлургический комбинаты. Перебоев с поставками бронелиста не было.</w:t>
      </w:r>
    </w:p>
    <w:p w14:paraId="38458BB0"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Сборка башен танка Т-34 на ЧКЗ, 1942 - 1943 год. Для этого используются штампованные башни производства УЗТМ (АСКМ).</w:t>
      </w:r>
    </w:p>
    <w:p w14:paraId="5F0CA777"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 с сентября 1941-го по июнь 1945 года включительно завод № 112 изготовил 11570 корпусов и 11378 башен для танков Т-34 (12217).</w:t>
      </w:r>
    </w:p>
    <w:p w14:paraId="038179D8" w14:textId="77777777" w:rsidR="00045010" w:rsidRPr="00640820" w:rsidRDefault="00045010" w:rsidP="00640820">
      <w:pPr>
        <w:spacing w:after="0" w:line="240" w:lineRule="auto"/>
        <w:jc w:val="both"/>
        <w:rPr>
          <w:rFonts w:ascii="Times New Roman" w:hAnsi="Times New Roman"/>
          <w:color w:val="000000" w:themeColor="text1"/>
          <w:sz w:val="16"/>
          <w:szCs w:val="16"/>
        </w:rPr>
      </w:pPr>
    </w:p>
    <w:p w14:paraId="192BFF61" w14:textId="77777777" w:rsidR="00100036" w:rsidRPr="00640820" w:rsidRDefault="0010003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конца 1941 года московский завод №37 успел выпустить всего 20 танков Т-60. Некоторое количество этих машин было использовано в качестве базы для реактивных минометов. Вместо башни над рабочим местом командира машины устанавливалась небольшая рубка с наблюдательными приборами, а справа от нее крепилась пусковая установка М-8-24 с 12 двойными направляющими. Боевая масса БМ-8-24 на базе Т-60 достигла 6,2 т. Таким образом, с августа по декабрь 41-го московские предприятия выпустили не более 50-60 боевых машин типа БМ-8-24. С самого начала производства серийные реактивные минометы БМ-8-24 поставлялись в артиллерийские части Красной Армии, где применялись совместно с другими аналогичными системами – БМ-13 и БМ-8-36. Примечательно, что боевые машины трех типов заметно отличались друг от друга по своим характеристикам. Так, БМ-13 били дальше и мощнее, а БМ-8-36 могли запускать до 36 снарядов одновременно против 24 ракет в залпе у БМ-8-24. Тем не менее, колесные машины уступали гусеничным в подвижности и проходимости, что нередко имело большое значение. По имеющимся данным, первые серийные БМ-8-24 вступили в бой во время сражений под Москвой. Все имевшиеся в войсках реактивные минометы активно использовались для нанесения ударов по позициям противника. В дальнейшем гусеничные БМ-8-24 применялись на других фронтах, в том числе под Сталинградом и во время других крупных операций. Активная эксплуатация нескольких десятков машин этого типа на базе разных шасси продолжалась до второй половины 1942 года. Количество такой техники постоянно сокращалось в связи с регулярными потерями и выработкой ресурса. Последние гусеничные реактивные минометы БМ-8-24 были списаны к весне 1943 года. Тем не менее, на этом эксплуатация пусковых установок не прекратилась. Некоторое количество пусковых установок М-8-24 с набором дополнительного оборудования было демонтировано с танковых шасси и установлено на имевшиеся в наличии грузовые автомобили. В таком виде это вооружение использовалось в течение еще нескольких месяцев (15121).</w:t>
      </w:r>
    </w:p>
    <w:p w14:paraId="47F0F0A6" w14:textId="77777777" w:rsidR="00100036" w:rsidRPr="00640820" w:rsidRDefault="00100036" w:rsidP="00640820">
      <w:pPr>
        <w:spacing w:after="0" w:line="240" w:lineRule="auto"/>
        <w:jc w:val="both"/>
        <w:rPr>
          <w:rFonts w:ascii="Times New Roman" w:hAnsi="Times New Roman"/>
          <w:color w:val="000000" w:themeColor="text1"/>
          <w:sz w:val="16"/>
          <w:szCs w:val="16"/>
        </w:rPr>
      </w:pPr>
    </w:p>
    <w:p w14:paraId="014CE3EE" w14:textId="77777777" w:rsidR="00574DA1" w:rsidRPr="00640820" w:rsidRDefault="00574DA1"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года начался выпуск Т-60 сначала с экранированной, а затем и усиленной броней. В результате выросла стойкость машины к огню вражеских противотанковых средств. Разумеется, от орудий калибра 50 или 75 мм усиленная броня не защищала, но ассортимент пехотных средств, которыми можно было поразить машину, значительно сократился. Даже к началу 1944 года Т-60 оставался довольно массовым явлением на поле боя. Из 1638 танков, числившихся на 1 января 1944 года, 684 всё ещё служили во фронтовых частях. Последним массовым случаем их боевого применения стали сражения на Ленинградском фронте летом-осенью 1944 года — не так уж и плохо для эрзац-танка, созданного за десять дней (19802).</w:t>
      </w:r>
    </w:p>
    <w:p w14:paraId="7DD0C9D8" w14:textId="77777777" w:rsidR="00574DA1" w:rsidRPr="00640820" w:rsidRDefault="00574DA1" w:rsidP="00640820">
      <w:pPr>
        <w:spacing w:after="0" w:line="240" w:lineRule="auto"/>
        <w:jc w:val="both"/>
        <w:rPr>
          <w:rFonts w:ascii="Times New Roman" w:hAnsi="Times New Roman"/>
          <w:color w:val="000000" w:themeColor="text1"/>
          <w:sz w:val="16"/>
          <w:szCs w:val="16"/>
        </w:rPr>
      </w:pPr>
    </w:p>
    <w:p w14:paraId="4DDC600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конце 1941 г. в КБ Горьковского автозавода под руковод</w:t>
      </w:r>
      <w:r w:rsidRPr="00640820">
        <w:rPr>
          <w:rFonts w:ascii="Times New Roman" w:hAnsi="Times New Roman"/>
          <w:color w:val="000000" w:themeColor="text1"/>
          <w:sz w:val="16"/>
          <w:szCs w:val="16"/>
        </w:rPr>
        <w:softHyphen/>
        <w:t>ством Н.А. Астрова был разработан Танк Т-70. Серийное производство было органи</w:t>
      </w:r>
      <w:r w:rsidRPr="00640820">
        <w:rPr>
          <w:rFonts w:ascii="Times New Roman" w:hAnsi="Times New Roman"/>
          <w:color w:val="000000" w:themeColor="text1"/>
          <w:sz w:val="16"/>
          <w:szCs w:val="16"/>
        </w:rPr>
        <w:softHyphen/>
        <w:t>зовано в 1942-1943 гг. на Горьковском автозаводе, заводах № 37 (г. Свердловск) и № 38 (г. Киров). Всего было выпущено 8226 танков мо</w:t>
      </w:r>
      <w:r w:rsidRPr="00640820">
        <w:rPr>
          <w:rFonts w:ascii="Times New Roman" w:hAnsi="Times New Roman"/>
          <w:color w:val="000000" w:themeColor="text1"/>
          <w:sz w:val="16"/>
          <w:szCs w:val="16"/>
        </w:rPr>
        <w:softHyphen/>
        <w:t>дификаций Т-70 и Т-70М. Машины участвовали в Сталинградской и Кур</w:t>
      </w:r>
      <w:r w:rsidRPr="00640820">
        <w:rPr>
          <w:rFonts w:ascii="Times New Roman" w:hAnsi="Times New Roman"/>
          <w:color w:val="000000" w:themeColor="text1"/>
          <w:sz w:val="16"/>
          <w:szCs w:val="16"/>
        </w:rPr>
        <w:softHyphen/>
        <w:t>ской битвах, а также в других операциях Великой Отечественной войны (10703).</w:t>
      </w:r>
    </w:p>
    <w:p w14:paraId="1A5BC10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09325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в КБ Горьковского авто</w:t>
      </w:r>
      <w:r w:rsidRPr="00640820">
        <w:rPr>
          <w:rFonts w:ascii="Times New Roman" w:hAnsi="Times New Roman"/>
          <w:color w:val="000000" w:themeColor="text1"/>
          <w:sz w:val="16"/>
          <w:szCs w:val="16"/>
        </w:rPr>
        <w:softHyphen/>
        <w:t>завода под руководством Н.А. Астрова был разработан Танк ГАЗ-70. Ведущим инженером машины (заводское обозначение 0-70) являлся В.А. Дедков. В декабре 1941 г. был изготовлен опытный образец танка, который в начале 1942 г. про</w:t>
      </w:r>
      <w:r w:rsidRPr="00640820">
        <w:rPr>
          <w:rFonts w:ascii="Times New Roman" w:hAnsi="Times New Roman"/>
          <w:color w:val="000000" w:themeColor="text1"/>
          <w:sz w:val="16"/>
          <w:szCs w:val="16"/>
        </w:rPr>
        <w:softHyphen/>
        <w:t>шел заводские испытания. После устранения выявленных недостатков и установки на танк граненой сварной башни, он был принят на воору</w:t>
      </w:r>
      <w:r w:rsidRPr="00640820">
        <w:rPr>
          <w:rFonts w:ascii="Times New Roman" w:hAnsi="Times New Roman"/>
          <w:color w:val="000000" w:themeColor="text1"/>
          <w:sz w:val="16"/>
          <w:szCs w:val="16"/>
        </w:rPr>
        <w:softHyphen/>
        <w:t>жение под маркой Т-70. Машина была разработана на базе узлов и агрегатов танка Т-60 и от</w:t>
      </w:r>
      <w:r w:rsidRPr="00640820">
        <w:rPr>
          <w:rFonts w:ascii="Times New Roman" w:hAnsi="Times New Roman"/>
          <w:color w:val="000000" w:themeColor="text1"/>
          <w:sz w:val="16"/>
          <w:szCs w:val="16"/>
        </w:rPr>
        <w:softHyphen/>
        <w:t>личалась от него установкой более мощного вооружения, усиленной броневой защитой упрощенного корпуса и литой башни, а также более высокой удельной мощностью, за счет установки двух двигателей. Танк имел пять отделений: управления - в передней части корпуса, боевое -в средней части, трансмиссионное - в передней части корпуса справа по ходу, моторное - в средней части вдоль правого борта корпуса и кормо-•эе. В состав экипажа входили два человека. Механик-водитель нахо</w:t>
      </w:r>
      <w:r w:rsidRPr="00640820">
        <w:rPr>
          <w:rFonts w:ascii="Times New Roman" w:hAnsi="Times New Roman"/>
          <w:color w:val="000000" w:themeColor="text1"/>
          <w:sz w:val="16"/>
          <w:szCs w:val="16"/>
        </w:rPr>
        <w:softHyphen/>
        <w:t>дился в носовой части корпусу у левого борта, командир танка распола</w:t>
      </w:r>
      <w:r w:rsidRPr="00640820">
        <w:rPr>
          <w:rFonts w:ascii="Times New Roman" w:hAnsi="Times New Roman"/>
          <w:color w:val="000000" w:themeColor="text1"/>
          <w:sz w:val="16"/>
          <w:szCs w:val="16"/>
        </w:rPr>
        <w:softHyphen/>
        <w:t>гался во вращающейся башне, смещенной к левому борту от продольной оси корпуса. В средней части корпуса вдоль правого борта были ус</w:t>
      </w:r>
      <w:r w:rsidRPr="00640820">
        <w:rPr>
          <w:rFonts w:ascii="Times New Roman" w:hAnsi="Times New Roman"/>
          <w:color w:val="000000" w:themeColor="text1"/>
          <w:sz w:val="16"/>
          <w:szCs w:val="16"/>
        </w:rPr>
        <w:softHyphen/>
        <w:t>тановлены два спаренных в линию двигателя, составлявших силовой агрегат. Трансмиссия и ведущие колеса имели переднее расположение (10703).</w:t>
      </w:r>
    </w:p>
    <w:p w14:paraId="74DDE72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0D0196" w14:textId="77777777" w:rsidR="001A313A" w:rsidRPr="00640820" w:rsidRDefault="001A313A" w:rsidP="00640820">
      <w:pPr>
        <w:pStyle w:val="article-renderblock"/>
        <w:shd w:val="clear" w:color="auto" w:fill="FFFFFF"/>
        <w:spacing w:before="0" w:beforeAutospacing="0" w:after="0" w:afterAutospacing="0"/>
        <w:jc w:val="both"/>
        <w:rPr>
          <w:color w:val="0070C0"/>
          <w:sz w:val="16"/>
          <w:szCs w:val="16"/>
        </w:rPr>
      </w:pPr>
      <w:r w:rsidRPr="00640820">
        <w:rPr>
          <w:color w:val="0070C0"/>
          <w:sz w:val="16"/>
          <w:szCs w:val="16"/>
        </w:rPr>
        <w:t>В конце 1941 года на территории Свердловска оказалось сразу несколько заводов, эвакуированных из разных мест. Это Ижорский Завод (посему некоторое время УЗТМ носил его имя), завод №37 (его собрали на одной площадкой с КИМ и Подольским заводом им. Орджоникидзе), а также завод №8 (20881).</w:t>
      </w:r>
    </w:p>
    <w:p w14:paraId="4E02B920" w14:textId="77777777" w:rsidR="001A313A" w:rsidRPr="00640820" w:rsidRDefault="001A313A" w:rsidP="00640820">
      <w:pPr>
        <w:pStyle w:val="article-renderblock"/>
        <w:shd w:val="clear" w:color="auto" w:fill="FFFFFF"/>
        <w:spacing w:before="0" w:beforeAutospacing="0" w:after="0" w:afterAutospacing="0"/>
        <w:jc w:val="both"/>
        <w:rPr>
          <w:color w:val="0070C0"/>
          <w:sz w:val="16"/>
          <w:szCs w:val="16"/>
        </w:rPr>
      </w:pPr>
    </w:p>
    <w:p w14:paraId="5984CE1A" w14:textId="77777777" w:rsidR="001A313A" w:rsidRPr="00640820" w:rsidRDefault="001A313A" w:rsidP="00640820">
      <w:pPr>
        <w:pStyle w:val="article-renderblock"/>
        <w:shd w:val="clear" w:color="auto" w:fill="FFFFFF"/>
        <w:spacing w:before="0" w:beforeAutospacing="0" w:after="0" w:afterAutospacing="0"/>
        <w:jc w:val="both"/>
        <w:rPr>
          <w:color w:val="0070C0"/>
          <w:sz w:val="16"/>
          <w:szCs w:val="16"/>
        </w:rPr>
      </w:pPr>
      <w:r w:rsidRPr="00640820">
        <w:rPr>
          <w:color w:val="0070C0"/>
          <w:sz w:val="16"/>
          <w:szCs w:val="16"/>
        </w:rPr>
        <w:t>В конце 1941 года начались работы по модернизации обеих конструкций. В случае с Т-60 шла работа по установке в него 45-мм танковой пушки. Это привело к созданию легкого танка ГАЗ-70, принятого на вооружение Красной Армии 6 марта 1942 года как Т-70. До Т-50 данный танк всё равно не дотягивал, но на фоне Т-60 имел куда большую боевую ценность. Что же касается 45-мм противотанковой пушки, то в конце 1941 года начались работы по повышению ее бронепробития. Данные работы шли в Особом Бюро завода №172 (шарашки), позже переименованном в ОКБ-172. Руководителем ОКБ-172 был полковник НКВД Н.А.Иванов, а руководил работами по орудию М.Ю. Цирульников, на тот момент заключенный. До ареста в 1939 году он был военпредом на заводе №8 (20344).</w:t>
      </w:r>
    </w:p>
    <w:p w14:paraId="56E38E3D" w14:textId="77777777" w:rsidR="001A313A" w:rsidRPr="00640820" w:rsidRDefault="001A313A" w:rsidP="00640820">
      <w:pPr>
        <w:pStyle w:val="article-renderblock"/>
        <w:shd w:val="clear" w:color="auto" w:fill="FFFFFF"/>
        <w:spacing w:before="0" w:beforeAutospacing="0" w:after="0" w:afterAutospacing="0"/>
        <w:jc w:val="both"/>
        <w:rPr>
          <w:color w:val="0070C0"/>
          <w:sz w:val="16"/>
          <w:szCs w:val="16"/>
        </w:rPr>
      </w:pPr>
    </w:p>
    <w:p w14:paraId="72D4AF58" w14:textId="77777777" w:rsidR="001A313A" w:rsidRPr="00640820" w:rsidRDefault="001A313A" w:rsidP="00640820">
      <w:pPr>
        <w:pStyle w:val="article-renderblock"/>
        <w:shd w:val="clear" w:color="auto" w:fill="FFFFFF"/>
        <w:spacing w:before="0" w:beforeAutospacing="0" w:after="0" w:afterAutospacing="0"/>
        <w:jc w:val="both"/>
        <w:rPr>
          <w:color w:val="0070C0"/>
          <w:sz w:val="16"/>
          <w:szCs w:val="16"/>
        </w:rPr>
      </w:pPr>
      <w:r w:rsidRPr="00640820">
        <w:rPr>
          <w:color w:val="0070C0"/>
          <w:sz w:val="16"/>
          <w:szCs w:val="16"/>
        </w:rPr>
        <w:t>К концу 1941 года ожидалось получить разведывательные танки-амфибии Т-40, которыми предполагалось заменить Т-37А и Т-38 (21068).</w:t>
      </w:r>
    </w:p>
    <w:p w14:paraId="6457C677" w14:textId="77777777" w:rsidR="001A313A" w:rsidRPr="00640820" w:rsidRDefault="001A313A" w:rsidP="00640820">
      <w:pPr>
        <w:shd w:val="clear" w:color="auto" w:fill="FFFFFF"/>
        <w:spacing w:after="0" w:line="240" w:lineRule="auto"/>
        <w:jc w:val="both"/>
        <w:rPr>
          <w:rFonts w:ascii="Times New Roman" w:hAnsi="Times New Roman"/>
          <w:color w:val="0070C0"/>
          <w:sz w:val="16"/>
          <w:szCs w:val="16"/>
        </w:rPr>
      </w:pPr>
    </w:p>
    <w:p w14:paraId="1665BB0B" w14:textId="77777777" w:rsidR="001A313A" w:rsidRPr="00640820" w:rsidRDefault="001A313A" w:rsidP="00640820">
      <w:pPr>
        <w:shd w:val="clear" w:color="auto" w:fill="FFFFFF"/>
        <w:spacing w:after="0" w:line="240" w:lineRule="auto"/>
        <w:jc w:val="both"/>
        <w:rPr>
          <w:rFonts w:ascii="Times New Roman" w:eastAsia="Times New Roman" w:hAnsi="Times New Roman"/>
          <w:color w:val="0070C0"/>
          <w:sz w:val="16"/>
          <w:szCs w:val="16"/>
          <w:lang w:eastAsia="ru-RU"/>
        </w:rPr>
      </w:pPr>
      <w:r w:rsidRPr="00640820">
        <w:rPr>
          <w:rFonts w:ascii="Times New Roman" w:eastAsia="Times New Roman" w:hAnsi="Times New Roman"/>
          <w:color w:val="0070C0"/>
          <w:sz w:val="16"/>
          <w:szCs w:val="16"/>
          <w:lang w:eastAsia="ru-RU"/>
        </w:rPr>
        <w:t xml:space="preserve">В конце 1941 года выпуск легких САУ затих, но отнюдь не сама по себе тема данных машин. Дело в том, что еще летом 1941 года прекратился выпуск артиллерийских тягачей "Комсомолец", да и производство тягачей СТЗ-5 находилось под вопросом. Таким образом, возникал вопрос, чем таскать дивизионную артиллерию, да и относительно противотанковой артиллерии дела складывались сложно. Таким образом, лучшим средством мехтяги становилась легкая САУ. Подобную мысль в ГАУ КА высказали еще в ноябре 1941 года, при этом артиллеристов поддержали и в НКТП (Наркомат Танковой Промышленности). К тому моменту единственным доступным шасси стал малый танк Т-60, который выпускался уже на ГАЗ им. Молотова, а также заводе №264. Готовились его выпускать также в Свердловске (завод №37) и Кирове (завод №38), но до февраля 1942 года включительно там выпускали Т-30 (21063). </w:t>
      </w:r>
    </w:p>
    <w:p w14:paraId="57C5597B" w14:textId="77777777" w:rsidR="001A313A" w:rsidRPr="00640820" w:rsidRDefault="001A313A" w:rsidP="00640820">
      <w:pPr>
        <w:shd w:val="clear" w:color="auto" w:fill="FFFFFF"/>
        <w:spacing w:after="0" w:line="240" w:lineRule="auto"/>
        <w:jc w:val="both"/>
        <w:rPr>
          <w:rFonts w:ascii="Times New Roman" w:eastAsia="Times New Roman" w:hAnsi="Times New Roman"/>
          <w:color w:val="0070C0"/>
          <w:sz w:val="16"/>
          <w:szCs w:val="16"/>
          <w:lang w:eastAsia="ru-RU"/>
        </w:rPr>
      </w:pPr>
    </w:p>
    <w:p w14:paraId="7FFAE843" w14:textId="77777777" w:rsidR="00227695" w:rsidRPr="00640820" w:rsidRDefault="002276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С конца 1941 года части Красной армии стали получать средние самоходные установки, вооружённые 75-мм </w:t>
      </w:r>
      <w:hyperlink r:id="rId84" w:history="1">
        <w:r w:rsidRPr="00640820">
          <w:rPr>
            <w:rFonts w:ascii="Times New Roman" w:eastAsia="Times New Roman" w:hAnsi="Times New Roman"/>
            <w:color w:val="000000" w:themeColor="text1"/>
            <w:sz w:val="16"/>
            <w:szCs w:val="16"/>
            <w:lang w:eastAsia="ru-RU"/>
          </w:rPr>
          <w:t>короткоствольной пушкой</w:t>
        </w:r>
      </w:hyperlink>
      <w:r w:rsidRPr="00640820">
        <w:rPr>
          <w:rFonts w:ascii="Times New Roman" w:eastAsia="Times New Roman" w:hAnsi="Times New Roman"/>
          <w:color w:val="000000" w:themeColor="text1"/>
          <w:sz w:val="16"/>
          <w:szCs w:val="16"/>
          <w:lang w:eastAsia="ru-RU"/>
        </w:rPr>
        <w:t xml:space="preserve">. Речь идёт о </w:t>
      </w:r>
      <w:hyperlink r:id="rId85" w:history="1">
        <w:r w:rsidRPr="00640820">
          <w:rPr>
            <w:rFonts w:ascii="Times New Roman" w:eastAsia="Times New Roman" w:hAnsi="Times New Roman"/>
            <w:color w:val="000000" w:themeColor="text1"/>
            <w:sz w:val="16"/>
            <w:szCs w:val="16"/>
            <w:lang w:eastAsia="ru-RU"/>
          </w:rPr>
          <w:t>трофейных немецких самоходных установках Sturmgeschütz III</w:t>
        </w:r>
      </w:hyperlink>
      <w:r w:rsidRPr="00640820">
        <w:rPr>
          <w:rFonts w:ascii="Times New Roman" w:eastAsia="Times New Roman" w:hAnsi="Times New Roman"/>
          <w:color w:val="000000" w:themeColor="text1"/>
          <w:sz w:val="16"/>
          <w:szCs w:val="16"/>
          <w:lang w:eastAsia="ru-RU"/>
        </w:rPr>
        <w:t>, которые советские войска начали захватывать ещё летом 1941 года. Эти машины, созданные в качестве средства поддержки пехоты и танков, в Красной армии первоначально получили название «средний немецкий танк Т-3 с неподвижной башней». Впрочем, вскоре их стали обозначать как «Артштурм», то есть «артиллерийский штурмовой танк». Именно так немецкие самоходные установки назывались во многих советских документах.</w:t>
      </w:r>
    </w:p>
    <w:p w14:paraId="57AD4BA6" w14:textId="77777777" w:rsidR="00227695" w:rsidRPr="00640820" w:rsidRDefault="002276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Поначалу использование трофейной техники носило скорее стихийный характер. Позже был организован централизованный ремонт таких машин. В конце 1941 года на территории завода «Подъёмник» (ныне ОАО «МоЗАЛ», г. Москва, ул. Подъёмная, д.14) был создан бронетанковый ремонтный завод №82. Благодаря близости железной дороги и большому количеству подъёмного оборудования этот завод стал одним из крупнейших предприятий в Москве, ремонтировавших танки.</w:t>
      </w:r>
    </w:p>
    <w:p w14:paraId="2E3BFC24" w14:textId="77777777" w:rsidR="00227695" w:rsidRPr="00640820" w:rsidRDefault="00227695" w:rsidP="0064082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В большом количестве на предприятие поступала трофейная техника, а также танки, поставлявшиеся от союзников. Почти до конца войны </w:t>
      </w:r>
      <w:hyperlink r:id="rId86" w:history="1">
        <w:r w:rsidRPr="00640820">
          <w:rPr>
            <w:rFonts w:ascii="Times New Roman" w:eastAsia="Times New Roman" w:hAnsi="Times New Roman"/>
            <w:color w:val="000000" w:themeColor="text1"/>
            <w:sz w:val="16"/>
            <w:szCs w:val="16"/>
            <w:lang w:eastAsia="ru-RU"/>
          </w:rPr>
          <w:t>ленд-лизовская</w:t>
        </w:r>
      </w:hyperlink>
      <w:r w:rsidRPr="00640820">
        <w:rPr>
          <w:rFonts w:ascii="Times New Roman" w:eastAsia="Times New Roman" w:hAnsi="Times New Roman"/>
          <w:color w:val="000000" w:themeColor="text1"/>
          <w:sz w:val="16"/>
          <w:szCs w:val="16"/>
          <w:lang w:eastAsia="ru-RU"/>
        </w:rPr>
        <w:t xml:space="preserve"> и в значительной степени трофейная техника стали специализацией БТРЗ №82. Помимо непосредственно ремонта, завод нередко занимался и переделкой бронетехники в спецмашины, например в БРЭМы. Ремонтировали здесь и StuG III (17663).</w:t>
      </w:r>
    </w:p>
    <w:p w14:paraId="4E44CCF1" w14:textId="77777777" w:rsidR="00227695" w:rsidRPr="00640820" w:rsidRDefault="00227695" w:rsidP="00640820">
      <w:pPr>
        <w:spacing w:after="0" w:line="240" w:lineRule="auto"/>
        <w:jc w:val="both"/>
        <w:rPr>
          <w:rFonts w:ascii="Times New Roman" w:eastAsia="Times New Roman" w:hAnsi="Times New Roman"/>
          <w:color w:val="000000" w:themeColor="text1"/>
          <w:sz w:val="16"/>
          <w:szCs w:val="16"/>
          <w:lang w:eastAsia="ru-RU"/>
        </w:rPr>
      </w:pPr>
    </w:p>
    <w:p w14:paraId="4077078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был изготовлен опытный образец танка "Объект 228". Машина в сжа</w:t>
      </w:r>
      <w:r w:rsidRPr="00640820">
        <w:rPr>
          <w:rFonts w:ascii="Times New Roman" w:hAnsi="Times New Roman"/>
          <w:color w:val="000000" w:themeColor="text1"/>
          <w:sz w:val="16"/>
          <w:szCs w:val="16"/>
        </w:rPr>
        <w:softHyphen/>
        <w:t>тые сроки прошла испытания на полигоне Мытищинского машиност</w:t>
      </w:r>
      <w:r w:rsidRPr="00640820">
        <w:rPr>
          <w:rFonts w:ascii="Times New Roman" w:hAnsi="Times New Roman"/>
          <w:color w:val="000000" w:themeColor="text1"/>
          <w:sz w:val="16"/>
          <w:szCs w:val="16"/>
        </w:rPr>
        <w:softHyphen/>
        <w:t>роительного завода и 6 января 1942 г. постановлением ГКО под маркой КВ-8 была принята на вооружение Красной Армии (10703).</w:t>
      </w:r>
    </w:p>
    <w:p w14:paraId="3169896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CA3FAA" w14:textId="77777777" w:rsidR="00574DA1" w:rsidRPr="00640820" w:rsidRDefault="00574DA1"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с учетом сырьевых и технологических возможностей военного времени была пересмотрена конструкция грузовика ЗИС-5. Его компоновка и принципиальные технические решения остались прежними. Изменения преследовали цель упростить автомобиль. Дефицит стального листа с высокими характеристиками штампуемости заставил формовать заготовки крыльев на гибочной машине и сваривать их, а не штамповать с глубокой вытяжкой. Кабина водителя стала цельнодеревянной: каркас из деревянных брусьев, обшитый "вагонкой". Этот шаг позволил сэкономить на каждой машине 124 кг дефицитного металла. У грузовой платформы откидным оставили только задний борт, из дерева начали изготовлять и подножки. В целях уменьшения трудоемкости изготовления отказались от тормозов передних колес, упростили конструкцию глушителя. Кроме того, автомобили комплектовали только одной, левой, фарой. Такими же фарами оснащали танки и самоходки, и поскольку предприятия-смежники работали уже на пределе возможностей, пришлось скрепя сердце ставить по одной фаре на машину. Выпуск упрощенной модели, она получила индекс ЗИС-5В, начался в мае 1942 г. в Ульяновске, позже она сходила с конвейеров в Москве и Миассе (12098).</w:t>
      </w:r>
    </w:p>
    <w:p w14:paraId="41F93C84" w14:textId="77777777" w:rsidR="00574DA1" w:rsidRPr="00640820" w:rsidRDefault="00574DA1" w:rsidP="00640820">
      <w:pPr>
        <w:autoSpaceDE w:val="0"/>
        <w:autoSpaceDN w:val="0"/>
        <w:adjustRightInd w:val="0"/>
        <w:spacing w:after="0" w:line="240" w:lineRule="auto"/>
        <w:jc w:val="both"/>
        <w:rPr>
          <w:rFonts w:ascii="Times New Roman" w:hAnsi="Times New Roman"/>
          <w:color w:val="000000" w:themeColor="text1"/>
          <w:sz w:val="16"/>
          <w:szCs w:val="16"/>
        </w:rPr>
      </w:pPr>
    </w:p>
    <w:p w14:paraId="760F4139" w14:textId="77777777" w:rsidR="001A313A" w:rsidRPr="00640820" w:rsidRDefault="001A313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shd w:val="clear" w:color="auto" w:fill="FFFFFF"/>
        </w:rPr>
        <w:t>В конце 1941 года прекратили выпуск ГАЗ-61 и ЗИС-32, запущенных в серию, и далее ГАЗ-61 выпускали штучно (21327)</w:t>
      </w:r>
    </w:p>
    <w:p w14:paraId="42461C4C" w14:textId="77777777" w:rsidR="001A313A" w:rsidRPr="00640820" w:rsidRDefault="001A313A" w:rsidP="00640820">
      <w:pPr>
        <w:spacing w:after="0" w:line="240" w:lineRule="auto"/>
        <w:jc w:val="both"/>
        <w:rPr>
          <w:rFonts w:ascii="Times New Roman" w:hAnsi="Times New Roman"/>
          <w:color w:val="0070C0"/>
          <w:sz w:val="16"/>
          <w:szCs w:val="16"/>
        </w:rPr>
      </w:pPr>
    </w:p>
    <w:p w14:paraId="16B85B5D" w14:textId="77777777" w:rsidR="001A313A" w:rsidRPr="00640820" w:rsidRDefault="001A313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shd w:val="clear" w:color="auto" w:fill="FFFFFF"/>
        </w:rPr>
        <w:t>В конце 1941 года выпуск ГАЗ-64 почти прекратился, в 1942 году выпуск больше напоминал ручеек, и лишь к концу 1943 года началось производство ГАЗ-67Б. Да и то, всего 2,5 тысячи до конца войны (21327).</w:t>
      </w:r>
    </w:p>
    <w:p w14:paraId="3995CAC3" w14:textId="77777777" w:rsidR="001A313A" w:rsidRPr="00640820" w:rsidRDefault="001A313A" w:rsidP="00640820">
      <w:pPr>
        <w:spacing w:after="0" w:line="240" w:lineRule="auto"/>
        <w:jc w:val="both"/>
        <w:rPr>
          <w:rFonts w:ascii="Times New Roman" w:hAnsi="Times New Roman"/>
          <w:color w:val="0070C0"/>
          <w:sz w:val="16"/>
          <w:szCs w:val="16"/>
        </w:rPr>
      </w:pPr>
    </w:p>
    <w:p w14:paraId="119373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года в Автобронетанковом и Артиллерийском управлении РККА начались разработки документов по камуфляжной и маскирующей окраске танков, автомобилей и гусеничных тягачей. В появившихся инструкциях камуфляжная окраска выполнялась красками трех цветов (с определением характерного ландшафтного фона и предполагаемой площади покрытия):</w:t>
      </w:r>
    </w:p>
    <w:p w14:paraId="60B10D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Зеленая - 4БО подходит (как средняя по цвету) ко всем фонам зеленой растительности и является основной, преобладающей в окраске.</w:t>
      </w:r>
    </w:p>
    <w:p w14:paraId="035A94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окрашенная этой краской, составляет 45-55% всей площади поверхности объекта.</w:t>
      </w:r>
    </w:p>
    <w:p w14:paraId="4503E6C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Желто-землистая - 7К подходит к фонам оголенной земли (вспаханная земля, дороги, осыпи и т.п.).</w:t>
      </w:r>
    </w:p>
    <w:p w14:paraId="41B882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Окрашенная площадь составляет 15-30% всей площади поверхности объекта.</w:t>
      </w:r>
    </w:p>
    <w:p w14:paraId="5E69F9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Темно-коричневая - 6К подходит к затененным пятнам различных фонов и к цвету стволов деревьев.</w:t>
      </w:r>
    </w:p>
    <w:p w14:paraId="22913BE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Окрашенная площадь составляет 15-30% всей площади поверхности объекта.</w:t>
      </w:r>
    </w:p>
    <w:p w14:paraId="38B31C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рисунку и расположению пятен предъявлялись следующие требования:</w:t>
      </w:r>
    </w:p>
    <w:p w14:paraId="4A5FEE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Пятна по своему рисунку должны подражать пятнам естественных фонов, они должны иметь извилистый контур и быть разнообразными по своим очертаниям и размерам.</w:t>
      </w:r>
    </w:p>
    <w:p w14:paraId="5D5E62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Пятна различного цвета располагаются так, чтобы исказить в наибольшей степени привычный вид материальной части.</w:t>
      </w:r>
    </w:p>
    <w:p w14:paraId="08E55A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Характерные части объекта - прямые линии и утлы, щит, ствол орудия, колеса и т.п. - окрашиваются пятнами различных цветов.</w:t>
      </w:r>
    </w:p>
    <w:p w14:paraId="61CECE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Общее направление пятна (удлиненного) не должно быть параллельным контуру объекта, а должно составлять с ним комбинации углов. Пятна одного цвета и похожие по размеру или форме не должны располагаться симметрично.</w:t>
      </w:r>
    </w:p>
    <w:p w14:paraId="55E42F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Пятна могут быть замкнутые, находящиеся внутри контура одной грани объекта, и открытые, обрезанные гранью объекта.</w:t>
      </w:r>
    </w:p>
    <w:p w14:paraId="2E0FD0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Открытые пятна должны обязательно переходить на соседние грани объекта, т.е. захватывать не менее двух граней. Выступающие углы, составленные из нескольких плоскостей, у обычных объектов окрашиваются по преимуществу в темные цвета.</w:t>
      </w:r>
    </w:p>
    <w:p w14:paraId="2FC333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Вершина выступающего угла не должна совпадать с центром пятна.</w:t>
      </w:r>
    </w:p>
    <w:p w14:paraId="6EA39F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постоянно затененных частях объекта наносятся пятна наиболее контрастирующих цветов - желтые и коричневые.</w:t>
      </w:r>
    </w:p>
    <w:p w14:paraId="1632033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Как правило, шаблон в рисунке пятен недопустим.</w:t>
      </w:r>
    </w:p>
    <w:p w14:paraId="17B264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Расположение пятен должно варьироваться согласно вышеприведенным правилам. Кроме того, необходимо варьировать цвета, указанные на прилагаемых рисунках, заменяя все или часть желтых пятен коричневыми, а коричневые - желтыми.</w:t>
      </w:r>
    </w:p>
    <w:p w14:paraId="31D662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Однако, незакрашенные части ствола, затвора и других механизмов, а также прицельные приспособления и таблички не окрашиваются.</w:t>
      </w:r>
    </w:p>
    <w:p w14:paraId="0890FE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Камуфляжная окраска действует на различных дальностях неодинаково, в зависимости от величины пятен.</w:t>
      </w:r>
    </w:p>
    <w:p w14:paraId="3D8C68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больших дальностях, когда пятна сливаются и объект кажется одного цвета, окраска действует, как обычная одноцветная.</w:t>
      </w:r>
    </w:p>
    <w:p w14:paraId="4E826E8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средних дистанциях действия окраски пятна ясно не различаются, частично сливаются с фоном, и получается искажение вида объекта.</w:t>
      </w:r>
    </w:p>
    <w:p w14:paraId="7CD837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малых дальностях, когда все пятна резко заметны, окраска также не действует. При больших размерах пятен действие окраски начинается и кончается на больших дальностях, при малых - на меньших.</w:t>
      </w:r>
    </w:p>
    <w:p w14:paraId="0DE42A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инструкциях определялся также и порядок окраски материальной части:</w:t>
      </w:r>
    </w:p>
    <w:p w14:paraId="053685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Камуфляжная окраска начинается с разбивки пятен, для чего мелом наносят их контуры и обозначают начальными буквами цвет пятен (3, Ж, К). При перекраске объектов, окрашенных в защитный цвет, этот цвет сохраняется для зеленых пятен, и накрашиваются пятна только желтые и коричневые.</w:t>
      </w:r>
    </w:p>
    <w:p w14:paraId="17A060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После разбивки пятен производится окраска. Краски 4БО, 6К и 7К выпускаются заводом в виде густотертои пасты, которая разводится в войсках добавлением олифы пополам с бензином или керосином в количестве 25-45% от веса пасты, чтобы свободно можно было красить кистью.</w:t>
      </w:r>
    </w:p>
    <w:p w14:paraId="7E9EFA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случае отсутствия олифы разводить краску разрешается одним бензином или керосином.</w:t>
      </w:r>
    </w:p>
    <w:p w14:paraId="33F72B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Средний расход готовой красочной смеси малярной консистенции на 1 м2 площади за один раз окраски 100 г. Перекраска в частях производится за один раз. Размывка контура производится растушевкой границ соседних невысохших пятен кистью, смоченной бензином или керосином; ширина растушеванной полосы может колебаться от 1,5 до 3 см.</w:t>
      </w:r>
    </w:p>
    <w:p w14:paraId="2C50BC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зимних условий также были разработаны соответствующие инструкции по маскирующей окраске. К ней предъявлялись следующие требования:</w:t>
      </w:r>
    </w:p>
    <w:p w14:paraId="304E7A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 наступлением зимы и появлением снежного покрова с целью маскировки материальная часть, находящаяся в действующей армии и в районах действия авиации противника, должна быть покрыта зимней камуфляжной окраской.</w:t>
      </w:r>
    </w:p>
    <w:p w14:paraId="4DCFE6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Зимняя камуфляжная окраска производит искажение формы объекта и облегчает применение его к местности; это достигается накраской белых пятен в цвет основного фона (снега) с оставлением темных (темно-коричневых, желто-землистых или зеленых) пятен неправильной формы, покрытых сеткой из белых пересекающихся полос. Такая окраска хорошо маскирует предмет на пятнистых фонах: в лесу, кустарнике, на пересечении местности, в населенных пунктах, на дорогах и других местах, где имеются тени и отдельные участки, не покрытые снегом.</w:t>
      </w:r>
    </w:p>
    <w:p w14:paraId="3BCE03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камуфляжной зимней окраски может применяться одноцветная окраска в белый цвет, при которой, однако, объекты хорошо маскируются только на равнинной местности, покрытой снегом.</w:t>
      </w:r>
    </w:p>
    <w:p w14:paraId="696FCF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Несмотря на хорошие маскировочные свойства зимней камуфляжной окраски и одноцветной белой окраски, необходимо помнить, что одна только окраска не решает полностью задачи маскировки, а лишь облегчает ее; поэтому в целях лучшей маскировки следует пользоваться подручными материалами (деревьями, ветками, кустами, снегом) и специальными маскировочными средствами (масксети), а также использовать особенности местности.</w:t>
      </w:r>
    </w:p>
    <w:p w14:paraId="016513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Зимняя камуфляжная окраска наносится на материальную часть и периодически восстанавливается непосредственно в подразделениях войск; зимняя камуфляжная окраска наносится на материальную часть также на военных базах, в ремонтных органах и на заводах промышленности перед отправкой ее в действующую армию или в районы, подвергающиеся налетам неприятельской авиации.</w:t>
      </w:r>
    </w:p>
    <w:p w14:paraId="1DBB79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Для зимней камуфляжной и одноцветной белой окраски применяются следующие краски:</w:t>
      </w:r>
    </w:p>
    <w:p w14:paraId="3C30A84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сухая белая краска Б;</w:t>
      </w:r>
    </w:p>
    <w:p w14:paraId="31B542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белая клеевая краска;</w:t>
      </w:r>
    </w:p>
    <w:p w14:paraId="11C773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белая канифольно-бензиновая краска.</w:t>
      </w:r>
    </w:p>
    <w:p w14:paraId="2BA57E5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Примечания:</w:t>
      </w:r>
    </w:p>
    <w:p w14:paraId="06EB93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Сухая белая краска Б является основой маскировочной зимней краской. Белая клеевая и белая канифольно-бензиновая краски применяются только при отсутствии белой сухой краски Б и приготовляются в подразделениях из материалов, имеющихся на местах.</w:t>
      </w:r>
    </w:p>
    <w:p w14:paraId="16990A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Сухая белая краска Б представляет собой порошок, состоящий из белого пигмента и связующего. Она заготовливается в централизованном порядке и доставляется в войска в готовом для разведения виде. Для нанесения на маскируемый объект краска предварительно разводится водой. Высыхает краска в течение 1-2 часов; на 1 кв. метр окрашиваемой поверхности требуется 75-100 граммов сухой краски.</w:t>
      </w:r>
    </w:p>
    <w:p w14:paraId="084710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Применять для окраски известковый раствор не рекомендуется.</w:t>
      </w:r>
    </w:p>
    <w:p w14:paraId="29477B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Применять для окраски цинковые, свинцовые, титановые и литопоновые белила запрещается.</w:t>
      </w:r>
    </w:p>
    <w:p w14:paraId="366C3B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При зимней камуфляжной окраске па предварительно камуфлированной поверхности все зеленые пятна необходимо полностью закрасить ровно белой краской, а на желто-землис- тые и темно-коричневые пятна, нанести белой краской ромбовидную сетку. Направление белых </w:t>
      </w:r>
      <w:r w:rsidRPr="00640820">
        <w:rPr>
          <w:rFonts w:ascii="Times New Roman" w:hAnsi="Times New Roman"/>
          <w:color w:val="000000" w:themeColor="text1"/>
          <w:sz w:val="16"/>
          <w:szCs w:val="16"/>
          <w:lang w:val="en-US"/>
        </w:rPr>
        <w:t>o</w:t>
      </w:r>
      <w:r w:rsidRPr="00640820">
        <w:rPr>
          <w:rFonts w:ascii="Times New Roman" w:hAnsi="Times New Roman"/>
          <w:color w:val="000000" w:themeColor="text1"/>
          <w:sz w:val="16"/>
          <w:szCs w:val="16"/>
        </w:rPr>
        <w:t xml:space="preserve"> полос, образующих сетку, должно быть разнообразным: нельзя наносить только вертикальные или горизонтальные полосы.</w:t>
      </w:r>
    </w:p>
    <w:p w14:paraId="712EC0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том случае, когда материальную часть не успели окрасить в три цвета летними камуфляжными красками и она окрашена в ровный защитный цвет, необходимо нанести мелом разметку пятен. Затем пятна, которые размечены для зеленого цвета, сплошь закрасить в белый цвет; пятна, размеченные для желто-зем- листого цвета и для темно-коричневого цвета, покрыть белой ромбовидной сеткой.</w:t>
      </w:r>
    </w:p>
    <w:p w14:paraId="29AEB8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Трофейную технику, окрашенную одноцветной серой краской, окрашивать по такому же типу.</w:t>
      </w:r>
    </w:p>
    <w:p w14:paraId="2EE5F3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Если позиции располагаются на открытых местах, покрытых чистым снегом, то можно закрасить объект в сплошной белый цвет или уменьшить расстояние между белыми полосами нанесением дополнительных полос.</w:t>
      </w:r>
    </w:p>
    <w:p w14:paraId="46C147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переходом техники с открытых мест на закрытые (в лес, кустарник, населенный пункт и т.п.), удалить дополнительно нанесенное сплошное белое покрытие и дополнительно нанесенные полосы.</w:t>
      </w:r>
    </w:p>
    <w:p w14:paraId="7FE0E0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переходе в бесснежные районы и весной, после таяния снега, белую краску полностью удалить.</w:t>
      </w:r>
    </w:p>
    <w:p w14:paraId="71182B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Удаление белых красок производить протиранием окрашенной поверхности трялками, смоченными водой или керосином.</w:t>
      </w:r>
    </w:p>
    <w:p w14:paraId="474057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Данных правил по камуфляжной и зимней маскировочной окраске бронетанковой и артиллерийской техники советские части придерживались с 1941 по 1945 годы. Но если зимняя окраска наносилась на советские танки вплоть до окончания Второй Мировой войны в Европе, то летняя камуфляжная окраска использовалась преимущественно на нескольких театрах военных действий - там, где был лесной ландшафт (Центральная и Северо-Запад- ная часть России) и достаточно длительные позиционные бои (Западный, Ленинградский и Волховский фронты). На остальных театрах боевых действий быстротечные сражения проходили в степных и лесостепных зонах, где было достаточно обычной защитной окраски (11993).</w:t>
      </w:r>
    </w:p>
    <w:p w14:paraId="0A7218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6217947" w14:textId="77777777" w:rsidR="00100036" w:rsidRPr="00640820" w:rsidRDefault="00100036" w:rsidP="00640820">
      <w:pPr>
        <w:widowControl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конце 1941 года на Горьковском мотоциклетном заводе собрали несколько сот мотоциклов М-72, аналогичных тем, что чуть позже освоил Ирбитский мотозавод. Изготовление алюминиевого литья, а также двигателя и коробки передач, было размещено на ГАЗе, который хронически не справлялся с планом поставок. Лишь в 1943 году, после получения оборудования с Тюменского мотозавода (ТМЗ), где производство прекратили, горьковчанам удалось наладить практически полный цикл изготовления мотоциклов и начать ритмичную работу. На ГМЗ освоили цветное литье, механическую обработку деталей мотора и коробки передач, а также сборку этих агрегатов. В 1944 году мотоцикл М-72 был немного модернизирован. В частности, на нем появилось двухдисковое сцепление, усиленные 4-миллиметровые спицы колес, изменилось передаточное отношение главной передачи (4,62 вместо 3,86), к багажнику стали крепить кожаную сумку от американских мотоциклов, получаемых по ленд-лизу. В том же году ГАБТУ КА (Главное автобронетанковое управление Красной Армии) организовало полигонные испытания мотоциклов: продукция ГМЗ прошла установленные </w:t>
      </w:r>
      <w:smartTag w:uri="urn:schemas-microsoft-com:office:smarttags" w:element="metricconverter">
        <w:smartTagPr>
          <w:attr w:name="ProductID" w:val="1945 г"/>
        </w:smartTagPr>
        <w:r w:rsidRPr="00640820">
          <w:rPr>
            <w:rFonts w:ascii="Times New Roman" w:hAnsi="Times New Roman"/>
            <w:color w:val="000000" w:themeColor="text1"/>
            <w:sz w:val="16"/>
            <w:szCs w:val="16"/>
          </w:rPr>
          <w:t>15 000 км</w:t>
        </w:r>
      </w:smartTag>
      <w:r w:rsidRPr="00640820">
        <w:rPr>
          <w:rFonts w:ascii="Times New Roman" w:hAnsi="Times New Roman"/>
          <w:color w:val="000000" w:themeColor="text1"/>
          <w:sz w:val="16"/>
          <w:szCs w:val="16"/>
        </w:rPr>
        <w:t xml:space="preserve"> с незначительными поломками, в то время как продукция ИМЗ прошла от 6 до 8 тысяч км и была снята с трассы из-за серьезных поломок. Во время войны специалистами Военной Академии им. Сталина был разработан привод на колесо коляски мотоцикла, который впоследствии именовался М-73. ГМЗ изготовил 6 образцов этой машины. Привод был выполнен бездифференциальным, включение его производилось только в тяжелых дорожных условиях. Испытания на полигоне показали, что без включения привода М-72 и М-73 равноценны, а с включенным приводом при движении по разбитым дорогам М-73 может держать более высокую среднюю скорость. В послевоенный период на заводе началась разработка спортивной техники. Первой моделью стал в 1946 году мотоцикл М-80, получивший верхнеклапанный оппозитный двигатель рабочим объемом 746 см³ и мощностью </w:t>
      </w:r>
      <w:smartTag w:uri="urn:schemas-microsoft-com:office:smarttags" w:element="metricconverter">
        <w:smartTagPr>
          <w:attr w:name="ProductID" w:val="1945 г"/>
        </w:smartTagPr>
        <w:r w:rsidRPr="00640820">
          <w:rPr>
            <w:rFonts w:ascii="Times New Roman" w:hAnsi="Times New Roman"/>
            <w:color w:val="000000" w:themeColor="text1"/>
            <w:sz w:val="16"/>
            <w:szCs w:val="16"/>
          </w:rPr>
          <w:t>40 л</w:t>
        </w:r>
      </w:smartTag>
      <w:r w:rsidRPr="00640820">
        <w:rPr>
          <w:rFonts w:ascii="Times New Roman" w:hAnsi="Times New Roman"/>
          <w:color w:val="000000" w:themeColor="text1"/>
          <w:sz w:val="16"/>
          <w:szCs w:val="16"/>
        </w:rPr>
        <w:t xml:space="preserve">.с. По ходовой части он был идентичен М-72, но спереди стояло колесо на </w:t>
      </w:r>
      <w:smartTag w:uri="urn:schemas-microsoft-com:office:smarttags" w:element="metricconverter">
        <w:smartTagPr>
          <w:attr w:name="ProductID" w:val="1945 г"/>
        </w:smartTagPr>
        <w:r w:rsidRPr="00640820">
          <w:rPr>
            <w:rFonts w:ascii="Times New Roman" w:hAnsi="Times New Roman"/>
            <w:color w:val="000000" w:themeColor="text1"/>
            <w:sz w:val="16"/>
            <w:szCs w:val="16"/>
          </w:rPr>
          <w:t>21 дюйм</w:t>
        </w:r>
      </w:smartTag>
      <w:r w:rsidRPr="00640820">
        <w:rPr>
          <w:rFonts w:ascii="Times New Roman" w:hAnsi="Times New Roman"/>
          <w:color w:val="000000" w:themeColor="text1"/>
          <w:sz w:val="16"/>
          <w:szCs w:val="16"/>
        </w:rPr>
        <w:t xml:space="preserve">, а сзади – на 20. На следующий год был готов мотоцикл М-35 с новым верхнеклапанным двигателем: по компоновке он повторял М-80, но имел рабочий объем 350 см³ и развивал мощность </w:t>
      </w:r>
      <w:smartTag w:uri="urn:schemas-microsoft-com:office:smarttags" w:element="metricconverter">
        <w:smartTagPr>
          <w:attr w:name="ProductID" w:val="1945 г"/>
        </w:smartTagPr>
        <w:r w:rsidRPr="00640820">
          <w:rPr>
            <w:rFonts w:ascii="Times New Roman" w:hAnsi="Times New Roman"/>
            <w:color w:val="000000" w:themeColor="text1"/>
            <w:sz w:val="16"/>
            <w:szCs w:val="16"/>
          </w:rPr>
          <w:t>20 л</w:t>
        </w:r>
      </w:smartTag>
      <w:r w:rsidRPr="00640820">
        <w:rPr>
          <w:rFonts w:ascii="Times New Roman" w:hAnsi="Times New Roman"/>
          <w:color w:val="000000" w:themeColor="text1"/>
          <w:sz w:val="16"/>
          <w:szCs w:val="16"/>
        </w:rPr>
        <w:t>.с. Главное же отличие заключалось в том, что это мотор имел систему смазки с сухим картером. Кроме того, цилиндры из алюминиевого сплава с чугунными гильзами крепились к картеру при помощи анкерных шпилек. Мотоциклы М-35 были распределены среди ведущих мотоклубов страны, но их количество было невелико – чуть больше двух десятков. Что же касается основной продукции, то мотоцикл М-72 выпускался на ГМЗ до 1949 года, когда все оборудование было передано на Киевский мотоциклетный завод (КМЗ). В 1951 году производство М-72 возобновилось в Киеве. Всего за время Великой Отечественной войны в Горьком было выпущено 6111 мотоциклов; среднегодовое их производство составило 1528 машин (15218).</w:t>
      </w:r>
    </w:p>
    <w:p w14:paraId="5D366FC9" w14:textId="77777777" w:rsidR="00100036" w:rsidRPr="00640820" w:rsidRDefault="00100036" w:rsidP="00640820">
      <w:pPr>
        <w:widowControl w:val="0"/>
        <w:spacing w:after="0" w:line="240" w:lineRule="auto"/>
        <w:jc w:val="both"/>
        <w:rPr>
          <w:rFonts w:ascii="Times New Roman" w:hAnsi="Times New Roman"/>
          <w:color w:val="000000" w:themeColor="text1"/>
          <w:sz w:val="16"/>
          <w:szCs w:val="16"/>
        </w:rPr>
      </w:pPr>
    </w:p>
    <w:p w14:paraId="0C6B47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конце 1941 г. после разгрома немцев под Москвой на месте эвакуированного Запрудненского стекольного завода создан новый завод № 593 (Завод № 593 НКЭП, Запрудненский стекольный завод, п/я 124, А-1825, Запрудненский завод электровакуумных приборов МЭП, ОАО «ЗЭЛТА», АООТ «Запрудненский электровакуумный завод» /дер. Запрудня Дмитровского уезда Московской губ./ /141960 пос. Запрудня Талдомского р-на Московской обл. ул. Ленина, 1 тел. 587-24-70/). В 1942 г. налажен выпуск баллонов для подводных лодок, лыж, валенок. В 07.1943 г. завод № 593 - в ведении НКЭП. В 1945 г. вновь освоен выпуск стеклянных </w:t>
      </w:r>
      <w:r w:rsidRPr="00640820">
        <w:rPr>
          <w:rFonts w:ascii="Times New Roman" w:hAnsi="Times New Roman"/>
          <w:color w:val="000000" w:themeColor="text1"/>
          <w:sz w:val="16"/>
          <w:szCs w:val="16"/>
        </w:rPr>
        <w:lastRenderedPageBreak/>
        <w:t>колб для МЭЛЗ. В 1948 г. впервые в СССР начат выпуск элктроламп большой мощности (300, 500, 700, 1000 и 1500 Вт), а с 1950 г.- бактерицидных и эритемных ламп. Освоен выпуск электроламп в тропическом исполнении. По 1971 г. выпущено более 550 млн. электроламп и более 1 млн. бактерицидных и эритемных ламп.</w:t>
      </w:r>
    </w:p>
    <w:p w14:paraId="0AA070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1952 г. начат выпуск черно-белых кинескопов. По 1997 г. изготовлено 43 млн. черно-белых кинескопов. С 1957 по 1997 г. выпущено 1332 тыс. ЭЛТ 128 типов для МО и оборонной промышленности. В 1978 г. начат выпуск цветных кинескопов, по 1997 г. выпущено 9122 тыс. шт.</w:t>
      </w:r>
    </w:p>
    <w:p w14:paraId="47FE21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1957 г. началось освоение производства вакуумных приборов для пусковых блоков, систем контроля ядерных реакторов и контроля уровня радиации. По 1988 г. освоено производство 88 типов приборов, ионизационных камер и счетчиков ядерного излучения (альфа- и бета-частиц, нейтронов, гамма-излучения и фотонов).</w:t>
      </w:r>
    </w:p>
    <w:p w14:paraId="7B471A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1985 г. впервые в стране разработаны и запущены в производство дисплейные кинескопы, в 1987 г. освоена серия мониторов для дисплеев и ЭВМ.</w:t>
      </w:r>
    </w:p>
    <w:p w14:paraId="71E11E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1963 г.- завод № 593. Имел наименования «п/я 124», «п/я А-1825». С 1966 г.- Запудненский завод электровакуумных приборов с СКБ, в 1990 г. - в ведении МЭП. В 1991 г. завод акционирован и преобразован в АООТ «Запрудненский электровакуумный завод». В 1997 г. ОАО «ЗЭЛТА» распалось на 9 самостоятельных АО. В 2005 г. на площадке бывшего завода действовало 31 ООО, в т.ч. «Консенсус», «Видеоэлектроника».</w:t>
      </w:r>
    </w:p>
    <w:p w14:paraId="645D54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Совладелец (1914 г.)- И.И. Китайгородский.</w:t>
      </w:r>
    </w:p>
    <w:p w14:paraId="6B73E7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(-12.1941 г.)- А.Т. Иванов, (1945 г.)- А. Г. Гайдуков, Б.И. Любецкий, Н.Д. Астахов, С.Н. Барышников, В. Г. Остаток,  Г.П. Березин.</w:t>
      </w:r>
    </w:p>
    <w:p w14:paraId="588C4F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по кап. строительству- Е.М. Макаров.</w:t>
      </w:r>
    </w:p>
    <w:p w14:paraId="19E08DC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Гл. инженер- Ф.И. Бутышкин,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Гусев.</w:t>
      </w:r>
    </w:p>
    <w:p w14:paraId="56AAEE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Начальники цехов: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Гусев, П.В. Рычков, В. Г. Остаток, А. Г. Панчешников, Я.А. Райхман, М.П. Фридман, И.Н. Поляков, М.Х. Школьник, С.И. Калинин, А.В. Соколов, А.С. Гуров.</w:t>
      </w:r>
    </w:p>
    <w:p w14:paraId="769F63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кинескопы для телевизоров: «КВН», «Ленинград Т-2» (1952-), 35ЛК2Б для «Рекорд», «Старт» (1956-), 61Ж1Б (1970-); ионизационные камеры для реакторов комбината № 816 (1950-е).</w:t>
      </w:r>
      <w:r w:rsidRPr="00640820">
        <w:rPr>
          <w:rFonts w:ascii="Times New Roman" w:hAnsi="Times New Roman"/>
          <w:color w:val="000000" w:themeColor="text1"/>
          <w:sz w:val="16"/>
          <w:szCs w:val="16"/>
          <w:vertAlign w:val="superscript"/>
        </w:rPr>
        <w:t>101</w:t>
      </w:r>
    </w:p>
    <w:p w14:paraId="5BC6C3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СКБ завода</w:t>
      </w:r>
    </w:p>
    <w:p w14:paraId="73501B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большая номнклатура ЭЛТ для МО и оборонной промышленности. Разработана серия малогабаритных кинескопов для переносных телевизоров с диагональю 23, 31 и 44 см для поставки на экспорт. Создано 22 типа счетчиков ядерных излучений.</w:t>
      </w:r>
    </w:p>
    <w:p w14:paraId="632F6E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В.Я. Савельев, А.А. Грецов.</w:t>
      </w:r>
    </w:p>
    <w:p w14:paraId="2DA781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Л.И. Лернер.</w:t>
      </w:r>
    </w:p>
    <w:p w14:paraId="0E320C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лабораторий: В.И. Демьянов,  Г.Ф. Волков, А.И. Бескорский, В.Е. Журов, В.П. Козлов (11982).</w:t>
      </w:r>
    </w:p>
    <w:p w14:paraId="312656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6D469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был подготовлен Список предприятий, эвакуированных в г. Красноярск по постановлению Совета по эвакуации при СНК СССР</w:t>
      </w:r>
    </w:p>
    <w:p w14:paraId="3DDA3F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Красноярск [конец 1941 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14"/>
        <w:gridCol w:w="1922"/>
        <w:gridCol w:w="1914"/>
        <w:gridCol w:w="1911"/>
        <w:gridCol w:w="1910"/>
      </w:tblGrid>
      <w:tr w:rsidR="00643896" w:rsidRPr="00640820" w14:paraId="7AF39B09" w14:textId="77777777" w:rsidTr="000D3BCB">
        <w:tc>
          <w:tcPr>
            <w:tcW w:w="1914" w:type="dxa"/>
          </w:tcPr>
          <w:p w14:paraId="78BAF06B" w14:textId="77777777" w:rsidR="00045010" w:rsidRPr="00640820" w:rsidRDefault="00045010" w:rsidP="00640820">
            <w:pPr>
              <w:tabs>
                <w:tab w:val="center" w:pos="4153"/>
                <w:tab w:val="right" w:pos="8306"/>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Предприятия</w:t>
            </w:r>
          </w:p>
        </w:tc>
        <w:tc>
          <w:tcPr>
            <w:tcW w:w="1922" w:type="dxa"/>
          </w:tcPr>
          <w:p w14:paraId="36A620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Наркомат</w:t>
            </w:r>
          </w:p>
        </w:tc>
        <w:tc>
          <w:tcPr>
            <w:tcW w:w="1914" w:type="dxa"/>
          </w:tcPr>
          <w:p w14:paraId="1E33CA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какую базу переводятся</w:t>
            </w:r>
          </w:p>
        </w:tc>
        <w:tc>
          <w:tcPr>
            <w:tcW w:w="1911" w:type="dxa"/>
          </w:tcPr>
          <w:p w14:paraId="43E5C3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какую базу переводятся</w:t>
            </w:r>
          </w:p>
        </w:tc>
        <w:tc>
          <w:tcPr>
            <w:tcW w:w="1910" w:type="dxa"/>
          </w:tcPr>
          <w:p w14:paraId="609337F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Примерное количество людей</w:t>
            </w:r>
          </w:p>
          <w:p w14:paraId="0AD63C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 размещаются</w:t>
            </w:r>
          </w:p>
          <w:p w14:paraId="57E157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Городе районе</w:t>
            </w:r>
          </w:p>
        </w:tc>
      </w:tr>
      <w:tr w:rsidR="00643896" w:rsidRPr="00640820" w14:paraId="753D88D7" w14:textId="77777777" w:rsidTr="000D3BCB">
        <w:tc>
          <w:tcPr>
            <w:tcW w:w="1914" w:type="dxa"/>
          </w:tcPr>
          <w:p w14:paraId="6E8F90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Завод «Красный Профинтерн»</w:t>
            </w:r>
          </w:p>
        </w:tc>
        <w:tc>
          <w:tcPr>
            <w:tcW w:w="1922" w:type="dxa"/>
          </w:tcPr>
          <w:p w14:paraId="14A725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НКТМ</w:t>
            </w:r>
          </w:p>
        </w:tc>
        <w:tc>
          <w:tcPr>
            <w:tcW w:w="1914" w:type="dxa"/>
          </w:tcPr>
          <w:p w14:paraId="6B46AB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Стройплощадка Сибтяжмаша</w:t>
            </w:r>
          </w:p>
        </w:tc>
        <w:tc>
          <w:tcPr>
            <w:tcW w:w="1911" w:type="dxa"/>
          </w:tcPr>
          <w:p w14:paraId="113A16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3000</w:t>
            </w:r>
          </w:p>
        </w:tc>
        <w:tc>
          <w:tcPr>
            <w:tcW w:w="1910" w:type="dxa"/>
          </w:tcPr>
          <w:p w14:paraId="7C8B0C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7500</w:t>
            </w:r>
          </w:p>
          <w:p w14:paraId="7D710E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2500 5000</w:t>
            </w:r>
          </w:p>
        </w:tc>
      </w:tr>
      <w:tr w:rsidR="00643896" w:rsidRPr="00640820" w14:paraId="463605D4" w14:textId="77777777" w:rsidTr="000D3BCB">
        <w:tc>
          <w:tcPr>
            <w:tcW w:w="1914" w:type="dxa"/>
          </w:tcPr>
          <w:p w14:paraId="54B792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Онежский завод</w:t>
            </w:r>
          </w:p>
        </w:tc>
        <w:tc>
          <w:tcPr>
            <w:tcW w:w="1922" w:type="dxa"/>
          </w:tcPr>
          <w:p w14:paraId="217160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НКЛес</w:t>
            </w:r>
          </w:p>
        </w:tc>
        <w:tc>
          <w:tcPr>
            <w:tcW w:w="1914" w:type="dxa"/>
          </w:tcPr>
          <w:p w14:paraId="1599DA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Механический завод</w:t>
            </w:r>
          </w:p>
        </w:tc>
        <w:tc>
          <w:tcPr>
            <w:tcW w:w="1911" w:type="dxa"/>
          </w:tcPr>
          <w:p w14:paraId="4A5998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154</w:t>
            </w:r>
          </w:p>
        </w:tc>
        <w:tc>
          <w:tcPr>
            <w:tcW w:w="1910" w:type="dxa"/>
          </w:tcPr>
          <w:p w14:paraId="6A4C1F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1600</w:t>
            </w:r>
          </w:p>
          <w:p w14:paraId="054F17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800 800</w:t>
            </w:r>
          </w:p>
        </w:tc>
      </w:tr>
      <w:tr w:rsidR="00643896" w:rsidRPr="00640820" w14:paraId="18485443" w14:textId="77777777" w:rsidTr="000D3BCB">
        <w:tc>
          <w:tcPr>
            <w:tcW w:w="1914" w:type="dxa"/>
          </w:tcPr>
          <w:p w14:paraId="218A77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Завод № 327 и НИИ-9</w:t>
            </w:r>
          </w:p>
        </w:tc>
        <w:tc>
          <w:tcPr>
            <w:tcW w:w="1922" w:type="dxa"/>
          </w:tcPr>
          <w:p w14:paraId="581729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НКЭлектропром</w:t>
            </w:r>
          </w:p>
        </w:tc>
        <w:tc>
          <w:tcPr>
            <w:tcW w:w="1914" w:type="dxa"/>
          </w:tcPr>
          <w:p w14:paraId="0B8E3F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Лесной институт</w:t>
            </w:r>
          </w:p>
        </w:tc>
        <w:tc>
          <w:tcPr>
            <w:tcW w:w="1911" w:type="dxa"/>
          </w:tcPr>
          <w:p w14:paraId="6B2D778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w:t>
            </w:r>
          </w:p>
        </w:tc>
        <w:tc>
          <w:tcPr>
            <w:tcW w:w="1910" w:type="dxa"/>
          </w:tcPr>
          <w:p w14:paraId="4A508D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3000</w:t>
            </w:r>
          </w:p>
          <w:p w14:paraId="0F42FF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1000 2000</w:t>
            </w:r>
          </w:p>
        </w:tc>
      </w:tr>
      <w:tr w:rsidR="00643896" w:rsidRPr="00640820" w14:paraId="1DEC2C41" w14:textId="77777777" w:rsidTr="000D3BCB">
        <w:tc>
          <w:tcPr>
            <w:tcW w:w="1914" w:type="dxa"/>
          </w:tcPr>
          <w:p w14:paraId="29D53F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Трест № 26</w:t>
            </w:r>
          </w:p>
        </w:tc>
        <w:tc>
          <w:tcPr>
            <w:tcW w:w="1922" w:type="dxa"/>
          </w:tcPr>
          <w:p w14:paraId="74EEC4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НКСтрой</w:t>
            </w:r>
          </w:p>
        </w:tc>
        <w:tc>
          <w:tcPr>
            <w:tcW w:w="1914" w:type="dxa"/>
          </w:tcPr>
          <w:p w14:paraId="06FE4A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Красноярск</w:t>
            </w:r>
          </w:p>
          <w:p w14:paraId="647BC6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промстрой</w:t>
            </w:r>
          </w:p>
        </w:tc>
        <w:tc>
          <w:tcPr>
            <w:tcW w:w="1911" w:type="dxa"/>
          </w:tcPr>
          <w:p w14:paraId="7B7215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360</w:t>
            </w:r>
          </w:p>
        </w:tc>
        <w:tc>
          <w:tcPr>
            <w:tcW w:w="1910" w:type="dxa"/>
          </w:tcPr>
          <w:p w14:paraId="62AB6C6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10000</w:t>
            </w:r>
          </w:p>
          <w:p w14:paraId="656990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3500 6500</w:t>
            </w:r>
          </w:p>
        </w:tc>
      </w:tr>
      <w:tr w:rsidR="00643896" w:rsidRPr="00640820" w14:paraId="33378F6F" w14:textId="77777777" w:rsidTr="000D3BCB">
        <w:tc>
          <w:tcPr>
            <w:tcW w:w="1914" w:type="dxa"/>
          </w:tcPr>
          <w:p w14:paraId="086A74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Трест № 53 и стройбатальоны</w:t>
            </w:r>
          </w:p>
          <w:p w14:paraId="76F610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22" w:type="dxa"/>
          </w:tcPr>
          <w:p w14:paraId="58F210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НКВ</w:t>
            </w:r>
          </w:p>
        </w:tc>
        <w:tc>
          <w:tcPr>
            <w:tcW w:w="1914" w:type="dxa"/>
          </w:tcPr>
          <w:p w14:paraId="5975C8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Красмашзавод</w:t>
            </w:r>
          </w:p>
        </w:tc>
        <w:tc>
          <w:tcPr>
            <w:tcW w:w="1911" w:type="dxa"/>
          </w:tcPr>
          <w:p w14:paraId="168D94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70</w:t>
            </w:r>
          </w:p>
        </w:tc>
        <w:tc>
          <w:tcPr>
            <w:tcW w:w="1910" w:type="dxa"/>
          </w:tcPr>
          <w:p w14:paraId="5074D2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6000</w:t>
            </w:r>
          </w:p>
          <w:p w14:paraId="2CB83E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6000</w:t>
            </w:r>
          </w:p>
        </w:tc>
      </w:tr>
      <w:tr w:rsidR="00643896" w:rsidRPr="00640820" w14:paraId="7D1313C3" w14:textId="77777777" w:rsidTr="000D3BCB">
        <w:tc>
          <w:tcPr>
            <w:tcW w:w="1914" w:type="dxa"/>
          </w:tcPr>
          <w:p w14:paraId="75866B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Завод № 4</w:t>
            </w:r>
          </w:p>
        </w:tc>
        <w:tc>
          <w:tcPr>
            <w:tcW w:w="1922" w:type="dxa"/>
          </w:tcPr>
          <w:p w14:paraId="40E215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НКВ</w:t>
            </w:r>
          </w:p>
        </w:tc>
        <w:tc>
          <w:tcPr>
            <w:tcW w:w="1914" w:type="dxa"/>
          </w:tcPr>
          <w:p w14:paraId="3C6939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Красмашзавод</w:t>
            </w:r>
          </w:p>
        </w:tc>
        <w:tc>
          <w:tcPr>
            <w:tcW w:w="1911" w:type="dxa"/>
          </w:tcPr>
          <w:p w14:paraId="2BDCFE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нет сведений</w:t>
            </w:r>
          </w:p>
        </w:tc>
        <w:tc>
          <w:tcPr>
            <w:tcW w:w="1910" w:type="dxa"/>
          </w:tcPr>
          <w:p w14:paraId="580F84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9500</w:t>
            </w:r>
          </w:p>
          <w:p w14:paraId="6652444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3500 6500</w:t>
            </w:r>
          </w:p>
        </w:tc>
      </w:tr>
      <w:tr w:rsidR="00643896" w:rsidRPr="00640820" w14:paraId="638BD79E" w14:textId="77777777" w:rsidTr="000D3BCB">
        <w:tc>
          <w:tcPr>
            <w:tcW w:w="1914" w:type="dxa"/>
          </w:tcPr>
          <w:p w14:paraId="5FEA1F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Завод № 7</w:t>
            </w:r>
          </w:p>
        </w:tc>
        <w:tc>
          <w:tcPr>
            <w:tcW w:w="1922" w:type="dxa"/>
          </w:tcPr>
          <w:p w14:paraId="33BC79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НКВ</w:t>
            </w:r>
          </w:p>
        </w:tc>
        <w:tc>
          <w:tcPr>
            <w:tcW w:w="1914" w:type="dxa"/>
          </w:tcPr>
          <w:p w14:paraId="607E47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Красмашзавод</w:t>
            </w:r>
          </w:p>
        </w:tc>
        <w:tc>
          <w:tcPr>
            <w:tcW w:w="1911" w:type="dxa"/>
          </w:tcPr>
          <w:p w14:paraId="679201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нет сведений</w:t>
            </w:r>
          </w:p>
        </w:tc>
        <w:tc>
          <w:tcPr>
            <w:tcW w:w="1910" w:type="dxa"/>
          </w:tcPr>
          <w:p w14:paraId="6753A39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15000</w:t>
            </w:r>
          </w:p>
          <w:p w14:paraId="0EB8D33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6000 9000</w:t>
            </w:r>
          </w:p>
        </w:tc>
      </w:tr>
      <w:tr w:rsidR="00643896" w:rsidRPr="00640820" w14:paraId="370E1594" w14:textId="77777777" w:rsidTr="000D3BCB">
        <w:tc>
          <w:tcPr>
            <w:tcW w:w="1914" w:type="dxa"/>
          </w:tcPr>
          <w:p w14:paraId="06DBC5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Завод № 9 и</w:t>
            </w:r>
          </w:p>
          <w:p w14:paraId="382753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стройбатальоны</w:t>
            </w:r>
          </w:p>
        </w:tc>
        <w:tc>
          <w:tcPr>
            <w:tcW w:w="1922" w:type="dxa"/>
          </w:tcPr>
          <w:p w14:paraId="57BDB8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НКВ</w:t>
            </w:r>
          </w:p>
        </w:tc>
        <w:tc>
          <w:tcPr>
            <w:tcW w:w="1914" w:type="dxa"/>
          </w:tcPr>
          <w:p w14:paraId="24680D4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Бумкомбинат</w:t>
            </w:r>
          </w:p>
        </w:tc>
        <w:tc>
          <w:tcPr>
            <w:tcW w:w="1911" w:type="dxa"/>
          </w:tcPr>
          <w:p w14:paraId="46D257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нет сведений</w:t>
            </w:r>
          </w:p>
        </w:tc>
        <w:tc>
          <w:tcPr>
            <w:tcW w:w="1910" w:type="dxa"/>
          </w:tcPr>
          <w:p w14:paraId="0E71BDE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12000</w:t>
            </w:r>
          </w:p>
          <w:p w14:paraId="3C8E38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6000 6000</w:t>
            </w:r>
          </w:p>
        </w:tc>
      </w:tr>
      <w:tr w:rsidR="00643896" w:rsidRPr="00640820" w14:paraId="34547C11" w14:textId="77777777" w:rsidTr="000D3BCB">
        <w:tc>
          <w:tcPr>
            <w:tcW w:w="1914" w:type="dxa"/>
          </w:tcPr>
          <w:p w14:paraId="325E929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Днепропет-ровский кисло-родный завод</w:t>
            </w:r>
          </w:p>
        </w:tc>
        <w:tc>
          <w:tcPr>
            <w:tcW w:w="1922" w:type="dxa"/>
          </w:tcPr>
          <w:p w14:paraId="7129FA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НКТМ</w:t>
            </w:r>
          </w:p>
        </w:tc>
        <w:tc>
          <w:tcPr>
            <w:tcW w:w="1914" w:type="dxa"/>
          </w:tcPr>
          <w:p w14:paraId="7268C1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Кислородный завод</w:t>
            </w:r>
          </w:p>
        </w:tc>
        <w:tc>
          <w:tcPr>
            <w:tcW w:w="1911" w:type="dxa"/>
          </w:tcPr>
          <w:p w14:paraId="37DC83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50 </w:t>
            </w:r>
          </w:p>
        </w:tc>
        <w:tc>
          <w:tcPr>
            <w:tcW w:w="1910" w:type="dxa"/>
          </w:tcPr>
          <w:p w14:paraId="219DDB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w:t>
            </w:r>
          </w:p>
          <w:p w14:paraId="400253C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300 -</w:t>
            </w:r>
          </w:p>
        </w:tc>
      </w:tr>
      <w:tr w:rsidR="00643896" w:rsidRPr="00640820" w14:paraId="58AF2BBB" w14:textId="77777777" w:rsidTr="000D3BCB">
        <w:tc>
          <w:tcPr>
            <w:tcW w:w="1914" w:type="dxa"/>
          </w:tcPr>
          <w:p w14:paraId="282867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10.Пикаленский</w:t>
            </w:r>
          </w:p>
          <w:p w14:paraId="310FC7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цементный за-вод</w:t>
            </w:r>
          </w:p>
        </w:tc>
        <w:tc>
          <w:tcPr>
            <w:tcW w:w="1922" w:type="dxa"/>
          </w:tcPr>
          <w:p w14:paraId="4569DF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НКПромстрой</w:t>
            </w:r>
          </w:p>
        </w:tc>
        <w:tc>
          <w:tcPr>
            <w:tcW w:w="1914" w:type="dxa"/>
          </w:tcPr>
          <w:p w14:paraId="09B5C8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Цемзавод</w:t>
            </w:r>
          </w:p>
        </w:tc>
        <w:tc>
          <w:tcPr>
            <w:tcW w:w="1911" w:type="dxa"/>
          </w:tcPr>
          <w:p w14:paraId="1DE0B2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w:t>
            </w:r>
          </w:p>
        </w:tc>
        <w:tc>
          <w:tcPr>
            <w:tcW w:w="1910" w:type="dxa"/>
          </w:tcPr>
          <w:p w14:paraId="502113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1000</w:t>
            </w:r>
          </w:p>
          <w:p w14:paraId="1FE6148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500 500</w:t>
            </w:r>
          </w:p>
        </w:tc>
      </w:tr>
      <w:tr w:rsidR="00643896" w:rsidRPr="00640820" w14:paraId="005FACE3" w14:textId="77777777" w:rsidTr="000D3BCB">
        <w:tc>
          <w:tcPr>
            <w:tcW w:w="1914" w:type="dxa"/>
          </w:tcPr>
          <w:p w14:paraId="532D7B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Крангольмская ману-фактура</w:t>
            </w:r>
          </w:p>
        </w:tc>
        <w:tc>
          <w:tcPr>
            <w:tcW w:w="1922" w:type="dxa"/>
          </w:tcPr>
          <w:p w14:paraId="12F528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НКТекстиль</w:t>
            </w:r>
          </w:p>
          <w:p w14:paraId="622522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пром</w:t>
            </w:r>
          </w:p>
        </w:tc>
        <w:tc>
          <w:tcPr>
            <w:tcW w:w="1914" w:type="dxa"/>
          </w:tcPr>
          <w:p w14:paraId="45AD2D8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Стройплощадку</w:t>
            </w:r>
          </w:p>
          <w:p w14:paraId="1FB9A8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Марле-ватного</w:t>
            </w:r>
          </w:p>
          <w:p w14:paraId="309388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комбината</w:t>
            </w:r>
          </w:p>
        </w:tc>
        <w:tc>
          <w:tcPr>
            <w:tcW w:w="1911" w:type="dxa"/>
          </w:tcPr>
          <w:p w14:paraId="26FA038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400</w:t>
            </w:r>
          </w:p>
        </w:tc>
        <w:tc>
          <w:tcPr>
            <w:tcW w:w="1910" w:type="dxa"/>
          </w:tcPr>
          <w:p w14:paraId="606755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4000</w:t>
            </w:r>
          </w:p>
          <w:p w14:paraId="774D8C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520A4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1500 2500</w:t>
            </w:r>
          </w:p>
        </w:tc>
      </w:tr>
      <w:tr w:rsidR="00643896" w:rsidRPr="00640820" w14:paraId="778364AB" w14:textId="77777777" w:rsidTr="000D3BCB">
        <w:tc>
          <w:tcPr>
            <w:tcW w:w="1914" w:type="dxa"/>
          </w:tcPr>
          <w:p w14:paraId="717834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Полтавский</w:t>
            </w:r>
          </w:p>
          <w:p w14:paraId="2B8475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ПРЗ</w:t>
            </w:r>
          </w:p>
        </w:tc>
        <w:tc>
          <w:tcPr>
            <w:tcW w:w="1922" w:type="dxa"/>
          </w:tcPr>
          <w:p w14:paraId="13909F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НКПС</w:t>
            </w:r>
          </w:p>
        </w:tc>
        <w:tc>
          <w:tcPr>
            <w:tcW w:w="1914" w:type="dxa"/>
          </w:tcPr>
          <w:p w14:paraId="2E47F0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ПВРЗ</w:t>
            </w:r>
          </w:p>
        </w:tc>
        <w:tc>
          <w:tcPr>
            <w:tcW w:w="1911" w:type="dxa"/>
          </w:tcPr>
          <w:p w14:paraId="18D2D36A" w14:textId="77777777" w:rsidR="00045010" w:rsidRPr="00640820" w:rsidRDefault="00045010" w:rsidP="00640820">
            <w:pPr>
              <w:tabs>
                <w:tab w:val="center" w:pos="4153"/>
                <w:tab w:val="right" w:pos="8306"/>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н[ет] свед[ений]</w:t>
            </w:r>
          </w:p>
        </w:tc>
        <w:tc>
          <w:tcPr>
            <w:tcW w:w="1910" w:type="dxa"/>
          </w:tcPr>
          <w:p w14:paraId="6B05454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6000</w:t>
            </w:r>
          </w:p>
          <w:p w14:paraId="444072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2000 4000</w:t>
            </w:r>
          </w:p>
        </w:tc>
      </w:tr>
      <w:tr w:rsidR="00643896" w:rsidRPr="00640820" w14:paraId="2BEFDF8C" w14:textId="77777777" w:rsidTr="000D3BCB">
        <w:tc>
          <w:tcPr>
            <w:tcW w:w="1914" w:type="dxa"/>
          </w:tcPr>
          <w:p w14:paraId="06B9F2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Завод «Свобода»</w:t>
            </w:r>
          </w:p>
        </w:tc>
        <w:tc>
          <w:tcPr>
            <w:tcW w:w="1922" w:type="dxa"/>
          </w:tcPr>
          <w:p w14:paraId="26A848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НКСМ</w:t>
            </w:r>
          </w:p>
        </w:tc>
        <w:tc>
          <w:tcPr>
            <w:tcW w:w="1914" w:type="dxa"/>
          </w:tcPr>
          <w:p w14:paraId="20E9CD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Ликероводоч</w:t>
            </w:r>
          </w:p>
          <w:p w14:paraId="446EE5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ный завод</w:t>
            </w:r>
          </w:p>
        </w:tc>
        <w:tc>
          <w:tcPr>
            <w:tcW w:w="1911" w:type="dxa"/>
          </w:tcPr>
          <w:p w14:paraId="6D622F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н[ет] свед[ений]</w:t>
            </w:r>
          </w:p>
        </w:tc>
        <w:tc>
          <w:tcPr>
            <w:tcW w:w="1910" w:type="dxa"/>
          </w:tcPr>
          <w:p w14:paraId="6AC322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650</w:t>
            </w:r>
          </w:p>
          <w:p w14:paraId="5B1411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250 400</w:t>
            </w:r>
          </w:p>
        </w:tc>
      </w:tr>
      <w:tr w:rsidR="00643896" w:rsidRPr="00640820" w14:paraId="78722752" w14:textId="77777777" w:rsidTr="000D3BCB">
        <w:tc>
          <w:tcPr>
            <w:tcW w:w="1914" w:type="dxa"/>
          </w:tcPr>
          <w:p w14:paraId="2C5FD0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14.Северо-Западное</w:t>
            </w:r>
          </w:p>
          <w:p w14:paraId="72C90C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отделение ТЭПа</w:t>
            </w:r>
          </w:p>
          <w:p w14:paraId="25EC86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Ленинграда</w:t>
            </w:r>
          </w:p>
        </w:tc>
        <w:tc>
          <w:tcPr>
            <w:tcW w:w="1922" w:type="dxa"/>
          </w:tcPr>
          <w:p w14:paraId="7DE2964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НКЭлектростан-</w:t>
            </w:r>
          </w:p>
          <w:p w14:paraId="78ACDA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ций </w:t>
            </w:r>
          </w:p>
        </w:tc>
        <w:tc>
          <w:tcPr>
            <w:tcW w:w="1914" w:type="dxa"/>
          </w:tcPr>
          <w:p w14:paraId="1A48E6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Райтэц</w:t>
            </w:r>
          </w:p>
        </w:tc>
        <w:tc>
          <w:tcPr>
            <w:tcW w:w="1911" w:type="dxa"/>
          </w:tcPr>
          <w:p w14:paraId="79D009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н[ет] свед[ений]</w:t>
            </w:r>
          </w:p>
        </w:tc>
        <w:tc>
          <w:tcPr>
            <w:tcW w:w="1910" w:type="dxa"/>
          </w:tcPr>
          <w:p w14:paraId="3D0D74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w:t>
            </w:r>
          </w:p>
          <w:p w14:paraId="4840C9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100 -</w:t>
            </w:r>
          </w:p>
        </w:tc>
      </w:tr>
      <w:tr w:rsidR="00643896" w:rsidRPr="00640820" w14:paraId="20B4DFC9" w14:textId="77777777" w:rsidTr="000D3BCB">
        <w:tc>
          <w:tcPr>
            <w:tcW w:w="1914" w:type="dxa"/>
          </w:tcPr>
          <w:p w14:paraId="4E5B77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Кинопленочная фабри-ка № 6</w:t>
            </w:r>
          </w:p>
        </w:tc>
        <w:tc>
          <w:tcPr>
            <w:tcW w:w="1922" w:type="dxa"/>
          </w:tcPr>
          <w:p w14:paraId="2605C1A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Управление </w:t>
            </w:r>
          </w:p>
          <w:p w14:paraId="45E1DE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Кинофикации</w:t>
            </w:r>
          </w:p>
        </w:tc>
        <w:tc>
          <w:tcPr>
            <w:tcW w:w="1914" w:type="dxa"/>
          </w:tcPr>
          <w:p w14:paraId="052005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11" w:type="dxa"/>
          </w:tcPr>
          <w:p w14:paraId="3879EE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w:t>
            </w:r>
          </w:p>
        </w:tc>
        <w:tc>
          <w:tcPr>
            <w:tcW w:w="1910" w:type="dxa"/>
          </w:tcPr>
          <w:p w14:paraId="38CB86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350</w:t>
            </w:r>
          </w:p>
          <w:p w14:paraId="72ED9D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250 200</w:t>
            </w:r>
          </w:p>
        </w:tc>
      </w:tr>
      <w:tr w:rsidR="00643896" w:rsidRPr="00640820" w14:paraId="76276BBC" w14:textId="77777777" w:rsidTr="000D3BCB">
        <w:tc>
          <w:tcPr>
            <w:tcW w:w="1914" w:type="dxa"/>
          </w:tcPr>
          <w:p w14:paraId="55F9DA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16. 1-я образцовая типография </w:t>
            </w:r>
          </w:p>
        </w:tc>
        <w:tc>
          <w:tcPr>
            <w:tcW w:w="1922" w:type="dxa"/>
          </w:tcPr>
          <w:p w14:paraId="6D3832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ОГИЗА</w:t>
            </w:r>
          </w:p>
        </w:tc>
        <w:tc>
          <w:tcPr>
            <w:tcW w:w="1914" w:type="dxa"/>
          </w:tcPr>
          <w:p w14:paraId="1FF769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Типография</w:t>
            </w:r>
          </w:p>
        </w:tc>
        <w:tc>
          <w:tcPr>
            <w:tcW w:w="1911" w:type="dxa"/>
          </w:tcPr>
          <w:p w14:paraId="719AAC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w:t>
            </w:r>
          </w:p>
        </w:tc>
        <w:tc>
          <w:tcPr>
            <w:tcW w:w="1910" w:type="dxa"/>
          </w:tcPr>
          <w:p w14:paraId="55CA6B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140</w:t>
            </w:r>
          </w:p>
          <w:p w14:paraId="519903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40 100</w:t>
            </w:r>
          </w:p>
        </w:tc>
      </w:tr>
      <w:tr w:rsidR="00643896" w:rsidRPr="00640820" w14:paraId="6337F8E6" w14:textId="77777777" w:rsidTr="000D3BCB">
        <w:tc>
          <w:tcPr>
            <w:tcW w:w="1914" w:type="dxa"/>
          </w:tcPr>
          <w:p w14:paraId="615CF4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 Стройтрест</w:t>
            </w:r>
          </w:p>
          <w:p w14:paraId="4613E7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35</w:t>
            </w:r>
          </w:p>
        </w:tc>
        <w:tc>
          <w:tcPr>
            <w:tcW w:w="1922" w:type="dxa"/>
          </w:tcPr>
          <w:p w14:paraId="049EBA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НКСтрой</w:t>
            </w:r>
          </w:p>
        </w:tc>
        <w:tc>
          <w:tcPr>
            <w:tcW w:w="1914" w:type="dxa"/>
          </w:tcPr>
          <w:p w14:paraId="5857C0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11" w:type="dxa"/>
          </w:tcPr>
          <w:p w14:paraId="3972B6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н[ет] свед[ений]</w:t>
            </w:r>
          </w:p>
        </w:tc>
        <w:tc>
          <w:tcPr>
            <w:tcW w:w="1910" w:type="dxa"/>
          </w:tcPr>
          <w:p w14:paraId="00BD6CE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3.000</w:t>
            </w:r>
          </w:p>
          <w:p w14:paraId="7E06BA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1500 1500</w:t>
            </w:r>
          </w:p>
        </w:tc>
      </w:tr>
      <w:tr w:rsidR="00643896" w:rsidRPr="00640820" w14:paraId="74B5F72F" w14:textId="77777777" w:rsidTr="000D3BCB">
        <w:tc>
          <w:tcPr>
            <w:tcW w:w="1914" w:type="dxa"/>
          </w:tcPr>
          <w:p w14:paraId="755473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Кикский ДОК</w:t>
            </w:r>
          </w:p>
        </w:tc>
        <w:tc>
          <w:tcPr>
            <w:tcW w:w="1922" w:type="dxa"/>
          </w:tcPr>
          <w:p w14:paraId="43D1C88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НКЛеса</w:t>
            </w:r>
          </w:p>
        </w:tc>
        <w:tc>
          <w:tcPr>
            <w:tcW w:w="1914" w:type="dxa"/>
          </w:tcPr>
          <w:p w14:paraId="6207A3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11" w:type="dxa"/>
          </w:tcPr>
          <w:p w14:paraId="5A29EC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н[ет] свед[ений]</w:t>
            </w:r>
          </w:p>
        </w:tc>
        <w:tc>
          <w:tcPr>
            <w:tcW w:w="1910" w:type="dxa"/>
          </w:tcPr>
          <w:p w14:paraId="15735B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w:t>
            </w:r>
          </w:p>
          <w:p w14:paraId="057BAD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w:t>
            </w:r>
          </w:p>
        </w:tc>
      </w:tr>
      <w:tr w:rsidR="00643896" w:rsidRPr="00640820" w14:paraId="6DCDEA48" w14:textId="77777777" w:rsidTr="000D3BCB">
        <w:tc>
          <w:tcPr>
            <w:tcW w:w="1914" w:type="dxa"/>
          </w:tcPr>
          <w:p w14:paraId="03D8CDB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Итого:</w:t>
            </w:r>
          </w:p>
        </w:tc>
        <w:tc>
          <w:tcPr>
            <w:tcW w:w="1922" w:type="dxa"/>
          </w:tcPr>
          <w:p w14:paraId="2F57F6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14" w:type="dxa"/>
          </w:tcPr>
          <w:p w14:paraId="5CA458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11" w:type="dxa"/>
          </w:tcPr>
          <w:p w14:paraId="27E56A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910" w:type="dxa"/>
          </w:tcPr>
          <w:p w14:paraId="2740A9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80400</w:t>
            </w:r>
          </w:p>
          <w:p w14:paraId="76B737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35900 44500</w:t>
            </w:r>
          </w:p>
        </w:tc>
      </w:tr>
    </w:tbl>
    <w:p w14:paraId="0FA1BA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p w14:paraId="4A6C56B9"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 xml:space="preserve">ГАКК. Ф.П-26. Оп.3. Д.2. Л.118-119. Подлинник. Машинопись (11795). </w:t>
      </w:r>
    </w:p>
    <w:p w14:paraId="3947DF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55C11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были подготовлены:</w:t>
      </w:r>
    </w:p>
    <w:p w14:paraId="082433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Сведения о заводах и фабриках, эвакуируемых в Кировскую область</w:t>
      </w:r>
    </w:p>
    <w:p w14:paraId="6FEAC85F"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Совершенно секретно</w:t>
      </w:r>
    </w:p>
    <w:tbl>
      <w:tblPr>
        <w:tblW w:w="0" w:type="auto"/>
        <w:tblInd w:w="15" w:type="dxa"/>
        <w:tblLayout w:type="fixed"/>
        <w:tblCellMar>
          <w:left w:w="0" w:type="dxa"/>
          <w:right w:w="0" w:type="dxa"/>
        </w:tblCellMar>
        <w:tblLook w:val="0000" w:firstRow="0" w:lastRow="0" w:firstColumn="0" w:lastColumn="0" w:noHBand="0" w:noVBand="0"/>
      </w:tblPr>
      <w:tblGrid>
        <w:gridCol w:w="286"/>
        <w:gridCol w:w="2199"/>
        <w:gridCol w:w="3069"/>
        <w:gridCol w:w="1678"/>
        <w:gridCol w:w="603"/>
      </w:tblGrid>
      <w:tr w:rsidR="00643896" w:rsidRPr="00640820" w14:paraId="73965F42" w14:textId="77777777" w:rsidTr="000D3BCB">
        <w:tc>
          <w:tcPr>
            <w:tcW w:w="286" w:type="dxa"/>
            <w:tcBorders>
              <w:top w:val="single" w:sz="12" w:space="0" w:color="auto"/>
              <w:left w:val="single" w:sz="12" w:space="0" w:color="auto"/>
              <w:bottom w:val="single" w:sz="6" w:space="0" w:color="auto"/>
              <w:right w:val="single" w:sz="6" w:space="0" w:color="auto"/>
            </w:tcBorders>
          </w:tcPr>
          <w:p w14:paraId="1D15DA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p w14:paraId="6A6A44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п/п</w:t>
            </w:r>
          </w:p>
        </w:tc>
        <w:tc>
          <w:tcPr>
            <w:tcW w:w="1525" w:type="dxa"/>
            <w:tcBorders>
              <w:top w:val="single" w:sz="12" w:space="0" w:color="auto"/>
              <w:left w:val="single" w:sz="6" w:space="0" w:color="auto"/>
              <w:bottom w:val="single" w:sz="6" w:space="0" w:color="auto"/>
              <w:right w:val="single" w:sz="6" w:space="0" w:color="auto"/>
            </w:tcBorders>
          </w:tcPr>
          <w:p w14:paraId="09C0504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Название эвакуируемых</w:t>
            </w:r>
          </w:p>
          <w:p w14:paraId="31D493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заводов и фабрик</w:t>
            </w:r>
          </w:p>
        </w:tc>
        <w:tc>
          <w:tcPr>
            <w:tcW w:w="3069" w:type="dxa"/>
            <w:tcBorders>
              <w:top w:val="single" w:sz="12" w:space="0" w:color="auto"/>
              <w:left w:val="single" w:sz="6" w:space="0" w:color="auto"/>
              <w:bottom w:val="single" w:sz="6" w:space="0" w:color="auto"/>
              <w:right w:val="single" w:sz="6" w:space="0" w:color="auto"/>
            </w:tcBorders>
          </w:tcPr>
          <w:p w14:paraId="431F07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Где размещаются</w:t>
            </w:r>
          </w:p>
        </w:tc>
        <w:tc>
          <w:tcPr>
            <w:tcW w:w="1678" w:type="dxa"/>
            <w:tcBorders>
              <w:top w:val="single" w:sz="12" w:space="0" w:color="auto"/>
              <w:left w:val="single" w:sz="6" w:space="0" w:color="auto"/>
              <w:bottom w:val="single" w:sz="6" w:space="0" w:color="auto"/>
              <w:right w:val="single" w:sz="6" w:space="0" w:color="auto"/>
            </w:tcBorders>
          </w:tcPr>
          <w:p w14:paraId="1880F6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Основание</w:t>
            </w:r>
          </w:p>
        </w:tc>
        <w:tc>
          <w:tcPr>
            <w:tcW w:w="603" w:type="dxa"/>
            <w:tcBorders>
              <w:top w:val="single" w:sz="12" w:space="0" w:color="auto"/>
              <w:left w:val="single" w:sz="6" w:space="0" w:color="auto"/>
              <w:bottom w:val="single" w:sz="6" w:space="0" w:color="auto"/>
              <w:right w:val="single" w:sz="12" w:space="0" w:color="auto"/>
            </w:tcBorders>
          </w:tcPr>
          <w:p w14:paraId="268FBEC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Приме-чание</w:t>
            </w:r>
          </w:p>
        </w:tc>
      </w:tr>
      <w:tr w:rsidR="00643896" w:rsidRPr="00640820" w14:paraId="3BDF7CB4" w14:textId="77777777" w:rsidTr="000D3BCB">
        <w:tc>
          <w:tcPr>
            <w:tcW w:w="286" w:type="dxa"/>
            <w:tcBorders>
              <w:top w:val="single" w:sz="6" w:space="0" w:color="auto"/>
              <w:left w:val="single" w:sz="12" w:space="0" w:color="auto"/>
              <w:bottom w:val="single" w:sz="6" w:space="0" w:color="auto"/>
              <w:right w:val="single" w:sz="6" w:space="0" w:color="auto"/>
            </w:tcBorders>
          </w:tcPr>
          <w:p w14:paraId="6AD163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1525" w:type="dxa"/>
            <w:tcBorders>
              <w:top w:val="single" w:sz="6" w:space="0" w:color="auto"/>
              <w:left w:val="single" w:sz="6" w:space="0" w:color="auto"/>
              <w:bottom w:val="single" w:sz="6" w:space="0" w:color="auto"/>
              <w:right w:val="single" w:sz="6" w:space="0" w:color="auto"/>
            </w:tcBorders>
          </w:tcPr>
          <w:p w14:paraId="7DD208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3069" w:type="dxa"/>
            <w:tcBorders>
              <w:top w:val="single" w:sz="6" w:space="0" w:color="auto"/>
              <w:left w:val="single" w:sz="6" w:space="0" w:color="auto"/>
              <w:bottom w:val="single" w:sz="6" w:space="0" w:color="auto"/>
              <w:right w:val="single" w:sz="6" w:space="0" w:color="auto"/>
            </w:tcBorders>
          </w:tcPr>
          <w:p w14:paraId="7D9CC6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c>
          <w:tcPr>
            <w:tcW w:w="1678" w:type="dxa"/>
            <w:tcBorders>
              <w:top w:val="single" w:sz="6" w:space="0" w:color="auto"/>
              <w:left w:val="single" w:sz="6" w:space="0" w:color="auto"/>
              <w:bottom w:val="single" w:sz="6" w:space="0" w:color="auto"/>
              <w:right w:val="single" w:sz="6" w:space="0" w:color="auto"/>
            </w:tcBorders>
          </w:tcPr>
          <w:p w14:paraId="0267D44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603" w:type="dxa"/>
            <w:tcBorders>
              <w:top w:val="single" w:sz="6" w:space="0" w:color="auto"/>
              <w:left w:val="single" w:sz="6" w:space="0" w:color="auto"/>
              <w:bottom w:val="single" w:sz="6" w:space="0" w:color="auto"/>
              <w:right w:val="single" w:sz="12" w:space="0" w:color="auto"/>
            </w:tcBorders>
          </w:tcPr>
          <w:p w14:paraId="644811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r>
      <w:tr w:rsidR="00643896" w:rsidRPr="00640820" w14:paraId="7B32D2BA" w14:textId="77777777" w:rsidTr="000D3BCB">
        <w:tc>
          <w:tcPr>
            <w:tcW w:w="286" w:type="dxa"/>
            <w:tcBorders>
              <w:top w:val="single" w:sz="6" w:space="0" w:color="auto"/>
              <w:left w:val="single" w:sz="12" w:space="0" w:color="auto"/>
              <w:bottom w:val="single" w:sz="6" w:space="0" w:color="auto"/>
              <w:right w:val="single" w:sz="6" w:space="0" w:color="auto"/>
            </w:tcBorders>
          </w:tcPr>
          <w:p w14:paraId="07BFDB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1</w:t>
            </w:r>
          </w:p>
        </w:tc>
        <w:tc>
          <w:tcPr>
            <w:tcW w:w="1525" w:type="dxa"/>
            <w:tcBorders>
              <w:top w:val="single" w:sz="6" w:space="0" w:color="auto"/>
              <w:left w:val="single" w:sz="6" w:space="0" w:color="auto"/>
              <w:bottom w:val="single" w:sz="6" w:space="0" w:color="auto"/>
              <w:right w:val="single" w:sz="6" w:space="0" w:color="auto"/>
            </w:tcBorders>
          </w:tcPr>
          <w:p w14:paraId="665C92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имени Январского восстания</w:t>
            </w:r>
          </w:p>
        </w:tc>
        <w:tc>
          <w:tcPr>
            <w:tcW w:w="3069" w:type="dxa"/>
            <w:tcBorders>
              <w:top w:val="single" w:sz="6" w:space="0" w:color="auto"/>
              <w:left w:val="single" w:sz="6" w:space="0" w:color="auto"/>
              <w:bottom w:val="single" w:sz="6" w:space="0" w:color="auto"/>
              <w:right w:val="single" w:sz="6" w:space="0" w:color="auto"/>
            </w:tcBorders>
          </w:tcPr>
          <w:p w14:paraId="0860F0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Кировский</w:t>
            </w:r>
          </w:p>
          <w:p w14:paraId="09F0F6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машстройзавод</w:t>
            </w:r>
          </w:p>
        </w:tc>
        <w:tc>
          <w:tcPr>
            <w:tcW w:w="1678" w:type="dxa"/>
            <w:tcBorders>
              <w:top w:val="single" w:sz="6" w:space="0" w:color="auto"/>
              <w:left w:val="single" w:sz="6" w:space="0" w:color="auto"/>
              <w:bottom w:val="single" w:sz="6" w:space="0" w:color="auto"/>
              <w:right w:val="single" w:sz="6" w:space="0" w:color="auto"/>
            </w:tcBorders>
          </w:tcPr>
          <w:p w14:paraId="7C22C08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 СЭ № сэ22сс</w:t>
            </w:r>
          </w:p>
          <w:p w14:paraId="5C40AA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8/VII - 41 г.</w:t>
            </w:r>
          </w:p>
        </w:tc>
        <w:tc>
          <w:tcPr>
            <w:tcW w:w="603" w:type="dxa"/>
            <w:tcBorders>
              <w:top w:val="single" w:sz="6" w:space="0" w:color="auto"/>
              <w:left w:val="single" w:sz="6" w:space="0" w:color="auto"/>
              <w:bottom w:val="single" w:sz="6" w:space="0" w:color="auto"/>
              <w:right w:val="single" w:sz="12" w:space="0" w:color="auto"/>
            </w:tcBorders>
          </w:tcPr>
          <w:p w14:paraId="37C77D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920667D" w14:textId="77777777" w:rsidTr="000D3BCB">
        <w:tc>
          <w:tcPr>
            <w:tcW w:w="286" w:type="dxa"/>
            <w:tcBorders>
              <w:top w:val="single" w:sz="6" w:space="0" w:color="auto"/>
              <w:left w:val="single" w:sz="12" w:space="0" w:color="auto"/>
              <w:bottom w:val="single" w:sz="6" w:space="0" w:color="auto"/>
              <w:right w:val="single" w:sz="6" w:space="0" w:color="auto"/>
            </w:tcBorders>
          </w:tcPr>
          <w:p w14:paraId="67CB29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1525" w:type="dxa"/>
            <w:tcBorders>
              <w:top w:val="single" w:sz="6" w:space="0" w:color="auto"/>
              <w:left w:val="single" w:sz="6" w:space="0" w:color="auto"/>
              <w:bottom w:val="single" w:sz="6" w:space="0" w:color="auto"/>
              <w:right w:val="single" w:sz="6" w:space="0" w:color="auto"/>
            </w:tcBorders>
          </w:tcPr>
          <w:p w14:paraId="781422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"Красный инструментальщик"</w:t>
            </w:r>
          </w:p>
        </w:tc>
        <w:tc>
          <w:tcPr>
            <w:tcW w:w="3069" w:type="dxa"/>
            <w:tcBorders>
              <w:top w:val="single" w:sz="6" w:space="0" w:color="auto"/>
              <w:left w:val="single" w:sz="6" w:space="0" w:color="auto"/>
              <w:bottom w:val="single" w:sz="6" w:space="0" w:color="auto"/>
              <w:right w:val="single" w:sz="6" w:space="0" w:color="auto"/>
            </w:tcBorders>
          </w:tcPr>
          <w:p w14:paraId="37793A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Ликеро-водочный завод</w:t>
            </w:r>
          </w:p>
        </w:tc>
        <w:tc>
          <w:tcPr>
            <w:tcW w:w="1678" w:type="dxa"/>
            <w:tcBorders>
              <w:top w:val="single" w:sz="6" w:space="0" w:color="auto"/>
              <w:left w:val="single" w:sz="6" w:space="0" w:color="auto"/>
              <w:bottom w:val="single" w:sz="6" w:space="0" w:color="auto"/>
              <w:right w:val="single" w:sz="6" w:space="0" w:color="auto"/>
            </w:tcBorders>
          </w:tcPr>
          <w:p w14:paraId="40D8C6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Borders>
              <w:top w:val="single" w:sz="6" w:space="0" w:color="auto"/>
              <w:left w:val="single" w:sz="6" w:space="0" w:color="auto"/>
              <w:bottom w:val="single" w:sz="6" w:space="0" w:color="auto"/>
              <w:right w:val="single" w:sz="12" w:space="0" w:color="auto"/>
            </w:tcBorders>
          </w:tcPr>
          <w:p w14:paraId="574E12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270F458" w14:textId="77777777" w:rsidTr="000D3BCB">
        <w:tc>
          <w:tcPr>
            <w:tcW w:w="286" w:type="dxa"/>
            <w:tcBorders>
              <w:top w:val="single" w:sz="6" w:space="0" w:color="auto"/>
              <w:left w:val="single" w:sz="12" w:space="0" w:color="auto"/>
              <w:bottom w:val="single" w:sz="6" w:space="0" w:color="auto"/>
              <w:right w:val="single" w:sz="6" w:space="0" w:color="auto"/>
            </w:tcBorders>
          </w:tcPr>
          <w:p w14:paraId="1B08BF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c>
          <w:tcPr>
            <w:tcW w:w="1525" w:type="dxa"/>
            <w:tcBorders>
              <w:top w:val="single" w:sz="6" w:space="0" w:color="auto"/>
              <w:left w:val="single" w:sz="6" w:space="0" w:color="auto"/>
              <w:bottom w:val="single" w:sz="6" w:space="0" w:color="auto"/>
              <w:right w:val="single" w:sz="6" w:space="0" w:color="auto"/>
            </w:tcBorders>
          </w:tcPr>
          <w:p w14:paraId="39B2CE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537 - НКВ</w:t>
            </w:r>
          </w:p>
        </w:tc>
        <w:tc>
          <w:tcPr>
            <w:tcW w:w="3069" w:type="dxa"/>
            <w:tcBorders>
              <w:top w:val="single" w:sz="6" w:space="0" w:color="auto"/>
              <w:left w:val="single" w:sz="6" w:space="0" w:color="auto"/>
              <w:bottom w:val="single" w:sz="6" w:space="0" w:color="auto"/>
              <w:right w:val="single" w:sz="6" w:space="0" w:color="auto"/>
            </w:tcBorders>
          </w:tcPr>
          <w:p w14:paraId="1BAE92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Зооветинститут</w:t>
            </w:r>
          </w:p>
        </w:tc>
        <w:tc>
          <w:tcPr>
            <w:tcW w:w="1678" w:type="dxa"/>
            <w:tcBorders>
              <w:top w:val="single" w:sz="6" w:space="0" w:color="auto"/>
              <w:left w:val="single" w:sz="6" w:space="0" w:color="auto"/>
              <w:bottom w:val="single" w:sz="6" w:space="0" w:color="auto"/>
              <w:right w:val="single" w:sz="6" w:space="0" w:color="auto"/>
            </w:tcBorders>
          </w:tcPr>
          <w:p w14:paraId="1335C91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Тел. расп. ГКО</w:t>
            </w:r>
          </w:p>
          <w:p w14:paraId="1170DD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31/VII - 41 г.</w:t>
            </w:r>
          </w:p>
        </w:tc>
        <w:tc>
          <w:tcPr>
            <w:tcW w:w="603" w:type="dxa"/>
            <w:tcBorders>
              <w:top w:val="single" w:sz="6" w:space="0" w:color="auto"/>
              <w:left w:val="single" w:sz="6" w:space="0" w:color="auto"/>
              <w:bottom w:val="single" w:sz="6" w:space="0" w:color="auto"/>
              <w:right w:val="single" w:sz="12" w:space="0" w:color="auto"/>
            </w:tcBorders>
          </w:tcPr>
          <w:p w14:paraId="31EFAA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9AB100D" w14:textId="77777777" w:rsidTr="000D3BCB">
        <w:tc>
          <w:tcPr>
            <w:tcW w:w="286" w:type="dxa"/>
            <w:tcBorders>
              <w:top w:val="single" w:sz="6" w:space="0" w:color="auto"/>
              <w:left w:val="single" w:sz="12" w:space="0" w:color="auto"/>
              <w:bottom w:val="single" w:sz="6" w:space="0" w:color="auto"/>
              <w:right w:val="single" w:sz="6" w:space="0" w:color="auto"/>
            </w:tcBorders>
          </w:tcPr>
          <w:p w14:paraId="525AAD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1525" w:type="dxa"/>
            <w:tcBorders>
              <w:top w:val="single" w:sz="6" w:space="0" w:color="auto"/>
              <w:left w:val="single" w:sz="6" w:space="0" w:color="auto"/>
              <w:bottom w:val="single" w:sz="6" w:space="0" w:color="auto"/>
              <w:right w:val="single" w:sz="6" w:space="0" w:color="auto"/>
            </w:tcBorders>
          </w:tcPr>
          <w:p w14:paraId="7BB970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Вяземская</w:t>
            </w:r>
          </w:p>
          <w:p w14:paraId="14235C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льночесальная фабрика</w:t>
            </w:r>
          </w:p>
        </w:tc>
        <w:tc>
          <w:tcPr>
            <w:tcW w:w="3069" w:type="dxa"/>
            <w:tcBorders>
              <w:top w:val="single" w:sz="6" w:space="0" w:color="auto"/>
              <w:left w:val="single" w:sz="6" w:space="0" w:color="auto"/>
              <w:bottom w:val="single" w:sz="6" w:space="0" w:color="auto"/>
              <w:right w:val="single" w:sz="6" w:space="0" w:color="auto"/>
            </w:tcBorders>
          </w:tcPr>
          <w:p w14:paraId="2B8F77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Ф-ка "Красный труд", затем Кировская МТМ</w:t>
            </w:r>
          </w:p>
        </w:tc>
        <w:tc>
          <w:tcPr>
            <w:tcW w:w="1678" w:type="dxa"/>
            <w:tcBorders>
              <w:top w:val="single" w:sz="6" w:space="0" w:color="auto"/>
              <w:left w:val="single" w:sz="6" w:space="0" w:color="auto"/>
              <w:bottom w:val="single" w:sz="6" w:space="0" w:color="auto"/>
              <w:right w:val="single" w:sz="6" w:space="0" w:color="auto"/>
            </w:tcBorders>
          </w:tcPr>
          <w:p w14:paraId="39E851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 СЭ</w:t>
            </w:r>
          </w:p>
          <w:p w14:paraId="2085BA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18/VII - 41 г.</w:t>
            </w:r>
          </w:p>
          <w:p w14:paraId="454100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146-сэ</w:t>
            </w:r>
          </w:p>
          <w:p w14:paraId="69C61A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(ш/т. от 29/VIII - )</w:t>
            </w:r>
          </w:p>
        </w:tc>
        <w:tc>
          <w:tcPr>
            <w:tcW w:w="603" w:type="dxa"/>
            <w:tcBorders>
              <w:top w:val="single" w:sz="6" w:space="0" w:color="auto"/>
              <w:left w:val="single" w:sz="6" w:space="0" w:color="auto"/>
              <w:bottom w:val="single" w:sz="6" w:space="0" w:color="auto"/>
              <w:right w:val="single" w:sz="12" w:space="0" w:color="auto"/>
            </w:tcBorders>
          </w:tcPr>
          <w:p w14:paraId="6FE89BB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BE0832B" w14:textId="77777777" w:rsidTr="000D3BCB">
        <w:tc>
          <w:tcPr>
            <w:tcW w:w="286" w:type="dxa"/>
            <w:tcBorders>
              <w:top w:val="single" w:sz="6" w:space="0" w:color="auto"/>
              <w:left w:val="single" w:sz="12" w:space="0" w:color="auto"/>
              <w:bottom w:val="single" w:sz="6" w:space="0" w:color="auto"/>
              <w:right w:val="single" w:sz="6" w:space="0" w:color="auto"/>
            </w:tcBorders>
          </w:tcPr>
          <w:p w14:paraId="4293A8B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1525" w:type="dxa"/>
            <w:tcBorders>
              <w:top w:val="single" w:sz="6" w:space="0" w:color="auto"/>
              <w:left w:val="single" w:sz="6" w:space="0" w:color="auto"/>
              <w:bottom w:val="single" w:sz="6" w:space="0" w:color="auto"/>
              <w:right w:val="single" w:sz="6" w:space="0" w:color="auto"/>
            </w:tcBorders>
          </w:tcPr>
          <w:p w14:paraId="35BBBD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Кондровская бумфабрика</w:t>
            </w:r>
          </w:p>
          <w:p w14:paraId="7E4FCC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(Смоленская область)</w:t>
            </w:r>
          </w:p>
        </w:tc>
        <w:tc>
          <w:tcPr>
            <w:tcW w:w="3069" w:type="dxa"/>
            <w:tcBorders>
              <w:top w:val="single" w:sz="6" w:space="0" w:color="auto"/>
              <w:left w:val="single" w:sz="6" w:space="0" w:color="auto"/>
              <w:bottom w:val="single" w:sz="6" w:space="0" w:color="auto"/>
              <w:right w:val="single" w:sz="6" w:space="0" w:color="auto"/>
            </w:tcBorders>
          </w:tcPr>
          <w:p w14:paraId="565A8B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Косинская бумфабрика Зуевского района</w:t>
            </w:r>
          </w:p>
        </w:tc>
        <w:tc>
          <w:tcPr>
            <w:tcW w:w="1678" w:type="dxa"/>
            <w:tcBorders>
              <w:top w:val="single" w:sz="6" w:space="0" w:color="auto"/>
              <w:left w:val="single" w:sz="6" w:space="0" w:color="auto"/>
              <w:bottom w:val="single" w:sz="6" w:space="0" w:color="auto"/>
              <w:right w:val="single" w:sz="6" w:space="0" w:color="auto"/>
            </w:tcBorders>
          </w:tcPr>
          <w:p w14:paraId="6A9D5A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 СЭ № 5329сэ</w:t>
            </w:r>
          </w:p>
          <w:p w14:paraId="3199BC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7/VIII - 41 г.</w:t>
            </w:r>
          </w:p>
        </w:tc>
        <w:tc>
          <w:tcPr>
            <w:tcW w:w="603" w:type="dxa"/>
            <w:tcBorders>
              <w:top w:val="single" w:sz="6" w:space="0" w:color="auto"/>
              <w:left w:val="single" w:sz="6" w:space="0" w:color="auto"/>
              <w:bottom w:val="single" w:sz="6" w:space="0" w:color="auto"/>
              <w:right w:val="single" w:sz="12" w:space="0" w:color="auto"/>
            </w:tcBorders>
          </w:tcPr>
          <w:p w14:paraId="71F0BF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0417D3B" w14:textId="77777777" w:rsidTr="000D3BCB">
        <w:tc>
          <w:tcPr>
            <w:tcW w:w="286" w:type="dxa"/>
            <w:tcBorders>
              <w:top w:val="single" w:sz="6" w:space="0" w:color="auto"/>
              <w:left w:val="single" w:sz="12" w:space="0" w:color="auto"/>
              <w:bottom w:val="single" w:sz="6" w:space="0" w:color="auto"/>
              <w:right w:val="single" w:sz="6" w:space="0" w:color="auto"/>
            </w:tcBorders>
          </w:tcPr>
          <w:p w14:paraId="2F14D4F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c>
          <w:tcPr>
            <w:tcW w:w="1525" w:type="dxa"/>
            <w:tcBorders>
              <w:top w:val="single" w:sz="6" w:space="0" w:color="auto"/>
              <w:left w:val="single" w:sz="6" w:space="0" w:color="auto"/>
              <w:bottom w:val="single" w:sz="6" w:space="0" w:color="auto"/>
              <w:right w:val="single" w:sz="6" w:space="0" w:color="auto"/>
            </w:tcBorders>
          </w:tcPr>
          <w:p w14:paraId="4D3B31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Никопольский завод им. Ленина</w:t>
            </w:r>
          </w:p>
          <w:p w14:paraId="72F305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 Никополь УССР)</w:t>
            </w:r>
          </w:p>
        </w:tc>
        <w:tc>
          <w:tcPr>
            <w:tcW w:w="3069" w:type="dxa"/>
            <w:tcBorders>
              <w:top w:val="single" w:sz="6" w:space="0" w:color="auto"/>
              <w:left w:val="single" w:sz="6" w:space="0" w:color="auto"/>
              <w:bottom w:val="single" w:sz="6" w:space="0" w:color="auto"/>
              <w:right w:val="single" w:sz="6" w:space="0" w:color="auto"/>
            </w:tcBorders>
          </w:tcPr>
          <w:p w14:paraId="701B73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Белохолуницкий</w:t>
            </w:r>
          </w:p>
          <w:p w14:paraId="68273C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машстройзавод</w:t>
            </w:r>
          </w:p>
        </w:tc>
        <w:tc>
          <w:tcPr>
            <w:tcW w:w="1678" w:type="dxa"/>
            <w:tcBorders>
              <w:top w:val="single" w:sz="6" w:space="0" w:color="auto"/>
              <w:left w:val="single" w:sz="6" w:space="0" w:color="auto"/>
              <w:bottom w:val="single" w:sz="6" w:space="0" w:color="auto"/>
              <w:right w:val="single" w:sz="6" w:space="0" w:color="auto"/>
            </w:tcBorders>
          </w:tcPr>
          <w:p w14:paraId="444D39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 СЭ № сэ66сс</w:t>
            </w:r>
          </w:p>
          <w:p w14:paraId="6196C9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7/VIII - 41 г.</w:t>
            </w:r>
          </w:p>
        </w:tc>
        <w:tc>
          <w:tcPr>
            <w:tcW w:w="603" w:type="dxa"/>
            <w:tcBorders>
              <w:top w:val="single" w:sz="6" w:space="0" w:color="auto"/>
              <w:left w:val="single" w:sz="6" w:space="0" w:color="auto"/>
              <w:bottom w:val="single" w:sz="6" w:space="0" w:color="auto"/>
              <w:right w:val="single" w:sz="12" w:space="0" w:color="auto"/>
            </w:tcBorders>
          </w:tcPr>
          <w:p w14:paraId="70C9FE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3C857B9" w14:textId="77777777" w:rsidTr="000D3BCB">
        <w:tc>
          <w:tcPr>
            <w:tcW w:w="286" w:type="dxa"/>
            <w:tcBorders>
              <w:top w:val="single" w:sz="6" w:space="0" w:color="auto"/>
              <w:left w:val="single" w:sz="12" w:space="0" w:color="auto"/>
              <w:bottom w:val="single" w:sz="6" w:space="0" w:color="auto"/>
              <w:right w:val="single" w:sz="6" w:space="0" w:color="auto"/>
            </w:tcBorders>
          </w:tcPr>
          <w:p w14:paraId="3B6E0A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w:t>
            </w:r>
          </w:p>
        </w:tc>
        <w:tc>
          <w:tcPr>
            <w:tcW w:w="1525" w:type="dxa"/>
            <w:tcBorders>
              <w:top w:val="single" w:sz="6" w:space="0" w:color="auto"/>
              <w:left w:val="single" w:sz="6" w:space="0" w:color="auto"/>
              <w:bottom w:val="single" w:sz="6" w:space="0" w:color="auto"/>
              <w:right w:val="single" w:sz="6" w:space="0" w:color="auto"/>
            </w:tcBorders>
          </w:tcPr>
          <w:p w14:paraId="0785DD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367 НКВ</w:t>
            </w:r>
          </w:p>
        </w:tc>
        <w:tc>
          <w:tcPr>
            <w:tcW w:w="3069" w:type="dxa"/>
            <w:tcBorders>
              <w:top w:val="single" w:sz="6" w:space="0" w:color="auto"/>
              <w:left w:val="single" w:sz="6" w:space="0" w:color="auto"/>
              <w:bottom w:val="single" w:sz="6" w:space="0" w:color="auto"/>
              <w:right w:val="single" w:sz="6" w:space="0" w:color="auto"/>
            </w:tcBorders>
          </w:tcPr>
          <w:p w14:paraId="357D83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Вятскополянская шпульно-катушечная фабрика</w:t>
            </w:r>
          </w:p>
        </w:tc>
        <w:tc>
          <w:tcPr>
            <w:tcW w:w="1678" w:type="dxa"/>
            <w:tcBorders>
              <w:top w:val="single" w:sz="6" w:space="0" w:color="auto"/>
              <w:left w:val="single" w:sz="6" w:space="0" w:color="auto"/>
              <w:bottom w:val="single" w:sz="6" w:space="0" w:color="auto"/>
              <w:right w:val="single" w:sz="6" w:space="0" w:color="auto"/>
            </w:tcBorders>
          </w:tcPr>
          <w:p w14:paraId="2B28C3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 СЭ № 73сэ</w:t>
            </w:r>
          </w:p>
          <w:p w14:paraId="55D434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9/VIII - 41 г.</w:t>
            </w:r>
          </w:p>
        </w:tc>
        <w:tc>
          <w:tcPr>
            <w:tcW w:w="603" w:type="dxa"/>
            <w:tcBorders>
              <w:top w:val="single" w:sz="6" w:space="0" w:color="auto"/>
              <w:left w:val="single" w:sz="6" w:space="0" w:color="auto"/>
              <w:bottom w:val="single" w:sz="6" w:space="0" w:color="auto"/>
              <w:right w:val="single" w:sz="12" w:space="0" w:color="auto"/>
            </w:tcBorders>
          </w:tcPr>
          <w:p w14:paraId="48E13C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031D8ED" w14:textId="77777777" w:rsidTr="000D3BCB">
        <w:tc>
          <w:tcPr>
            <w:tcW w:w="286" w:type="dxa"/>
            <w:tcBorders>
              <w:top w:val="single" w:sz="6" w:space="0" w:color="auto"/>
              <w:left w:val="single" w:sz="12" w:space="0" w:color="auto"/>
              <w:bottom w:val="single" w:sz="6" w:space="0" w:color="auto"/>
              <w:right w:val="single" w:sz="6" w:space="0" w:color="auto"/>
            </w:tcBorders>
          </w:tcPr>
          <w:p w14:paraId="37DA07C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w:t>
            </w:r>
          </w:p>
        </w:tc>
        <w:tc>
          <w:tcPr>
            <w:tcW w:w="1525" w:type="dxa"/>
            <w:tcBorders>
              <w:top w:val="single" w:sz="6" w:space="0" w:color="auto"/>
              <w:left w:val="single" w:sz="6" w:space="0" w:color="auto"/>
              <w:bottom w:val="single" w:sz="6" w:space="0" w:color="auto"/>
              <w:right w:val="single" w:sz="6" w:space="0" w:color="auto"/>
            </w:tcBorders>
          </w:tcPr>
          <w:p w14:paraId="4268761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509 НКВ</w:t>
            </w:r>
          </w:p>
        </w:tc>
        <w:tc>
          <w:tcPr>
            <w:tcW w:w="3069" w:type="dxa"/>
            <w:tcBorders>
              <w:top w:val="single" w:sz="6" w:space="0" w:color="auto"/>
              <w:left w:val="single" w:sz="6" w:space="0" w:color="auto"/>
              <w:bottom w:val="single" w:sz="6" w:space="0" w:color="auto"/>
              <w:right w:val="single" w:sz="6" w:space="0" w:color="auto"/>
            </w:tcBorders>
          </w:tcPr>
          <w:p w14:paraId="3C8832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там же</w:t>
            </w:r>
          </w:p>
        </w:tc>
        <w:tc>
          <w:tcPr>
            <w:tcW w:w="1678" w:type="dxa"/>
            <w:tcBorders>
              <w:top w:val="single" w:sz="6" w:space="0" w:color="auto"/>
              <w:left w:val="single" w:sz="6" w:space="0" w:color="auto"/>
              <w:bottom w:val="single" w:sz="6" w:space="0" w:color="auto"/>
              <w:right w:val="single" w:sz="6" w:space="0" w:color="auto"/>
            </w:tcBorders>
          </w:tcPr>
          <w:p w14:paraId="4FF96A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03" w:type="dxa"/>
            <w:tcBorders>
              <w:top w:val="single" w:sz="6" w:space="0" w:color="auto"/>
              <w:left w:val="single" w:sz="6" w:space="0" w:color="auto"/>
              <w:bottom w:val="single" w:sz="6" w:space="0" w:color="auto"/>
              <w:right w:val="single" w:sz="12" w:space="0" w:color="auto"/>
            </w:tcBorders>
          </w:tcPr>
          <w:p w14:paraId="2E6CD4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D21F703" w14:textId="77777777" w:rsidTr="000D3BCB">
        <w:tc>
          <w:tcPr>
            <w:tcW w:w="286" w:type="dxa"/>
            <w:tcBorders>
              <w:top w:val="single" w:sz="6" w:space="0" w:color="auto"/>
              <w:left w:val="single" w:sz="12" w:space="0" w:color="auto"/>
              <w:bottom w:val="single" w:sz="6" w:space="0" w:color="auto"/>
              <w:right w:val="single" w:sz="6" w:space="0" w:color="auto"/>
            </w:tcBorders>
          </w:tcPr>
          <w:p w14:paraId="335BB8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tc>
        <w:tc>
          <w:tcPr>
            <w:tcW w:w="1525" w:type="dxa"/>
            <w:tcBorders>
              <w:top w:val="single" w:sz="6" w:space="0" w:color="auto"/>
              <w:left w:val="single" w:sz="6" w:space="0" w:color="auto"/>
              <w:bottom w:val="single" w:sz="6" w:space="0" w:color="auto"/>
              <w:right w:val="single" w:sz="6" w:space="0" w:color="auto"/>
            </w:tcBorders>
          </w:tcPr>
          <w:p w14:paraId="60C17C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Кожсырьевой завод</w:t>
            </w:r>
          </w:p>
          <w:p w14:paraId="79D927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Осташков,</w:t>
            </w:r>
          </w:p>
          <w:p w14:paraId="1AC4C9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Калининской области)</w:t>
            </w:r>
          </w:p>
        </w:tc>
        <w:tc>
          <w:tcPr>
            <w:tcW w:w="3069" w:type="dxa"/>
            <w:tcBorders>
              <w:top w:val="single" w:sz="6" w:space="0" w:color="auto"/>
              <w:left w:val="single" w:sz="6" w:space="0" w:color="auto"/>
              <w:bottom w:val="single" w:sz="6" w:space="0" w:color="auto"/>
              <w:right w:val="single" w:sz="6" w:space="0" w:color="auto"/>
            </w:tcBorders>
          </w:tcPr>
          <w:p w14:paraId="0A76E7B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Кожсырьевая фабрика</w:t>
            </w:r>
          </w:p>
          <w:p w14:paraId="0EA36D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 Вахрушево</w:t>
            </w:r>
          </w:p>
          <w:p w14:paraId="2EB959E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Горьковской ж/д)</w:t>
            </w:r>
          </w:p>
        </w:tc>
        <w:tc>
          <w:tcPr>
            <w:tcW w:w="1678" w:type="dxa"/>
            <w:tcBorders>
              <w:top w:val="single" w:sz="6" w:space="0" w:color="auto"/>
              <w:left w:val="single" w:sz="6" w:space="0" w:color="auto"/>
              <w:bottom w:val="single" w:sz="6" w:space="0" w:color="auto"/>
              <w:right w:val="single" w:sz="6" w:space="0" w:color="auto"/>
            </w:tcBorders>
          </w:tcPr>
          <w:p w14:paraId="17B9A38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 СЭ № 5392сэ</w:t>
            </w:r>
          </w:p>
          <w:p w14:paraId="47C2E1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11/VIII - 41 г.</w:t>
            </w:r>
          </w:p>
        </w:tc>
        <w:tc>
          <w:tcPr>
            <w:tcW w:w="603" w:type="dxa"/>
            <w:tcBorders>
              <w:top w:val="single" w:sz="6" w:space="0" w:color="auto"/>
              <w:left w:val="single" w:sz="6" w:space="0" w:color="auto"/>
              <w:bottom w:val="single" w:sz="6" w:space="0" w:color="auto"/>
              <w:right w:val="single" w:sz="12" w:space="0" w:color="auto"/>
            </w:tcBorders>
          </w:tcPr>
          <w:p w14:paraId="1A45A6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EA227FD" w14:textId="77777777" w:rsidTr="000D3BCB">
        <w:tc>
          <w:tcPr>
            <w:tcW w:w="286" w:type="dxa"/>
            <w:tcBorders>
              <w:top w:val="single" w:sz="6" w:space="0" w:color="auto"/>
              <w:left w:val="single" w:sz="12" w:space="0" w:color="auto"/>
              <w:bottom w:val="single" w:sz="6" w:space="0" w:color="auto"/>
              <w:right w:val="single" w:sz="6" w:space="0" w:color="auto"/>
            </w:tcBorders>
          </w:tcPr>
          <w:p w14:paraId="1B0E26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1525" w:type="dxa"/>
            <w:tcBorders>
              <w:top w:val="single" w:sz="6" w:space="0" w:color="auto"/>
              <w:left w:val="single" w:sz="6" w:space="0" w:color="auto"/>
              <w:bottom w:val="single" w:sz="6" w:space="0" w:color="auto"/>
              <w:right w:val="single" w:sz="6" w:space="0" w:color="auto"/>
            </w:tcBorders>
          </w:tcPr>
          <w:p w14:paraId="08DF32C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Фурнитурно-гвоздильный</w:t>
            </w:r>
          </w:p>
          <w:p w14:paraId="75AB02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(Киев)</w:t>
            </w:r>
          </w:p>
        </w:tc>
        <w:tc>
          <w:tcPr>
            <w:tcW w:w="3069" w:type="dxa"/>
            <w:tcBorders>
              <w:top w:val="single" w:sz="6" w:space="0" w:color="auto"/>
              <w:left w:val="single" w:sz="6" w:space="0" w:color="auto"/>
              <w:bottom w:val="single" w:sz="6" w:space="0" w:color="auto"/>
              <w:right w:val="single" w:sz="6" w:space="0" w:color="auto"/>
            </w:tcBorders>
          </w:tcPr>
          <w:p w14:paraId="3C8A35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Кожзавод им. Октяб. революции</w:t>
            </w:r>
          </w:p>
        </w:tc>
        <w:tc>
          <w:tcPr>
            <w:tcW w:w="1678" w:type="dxa"/>
            <w:tcBorders>
              <w:top w:val="single" w:sz="6" w:space="0" w:color="auto"/>
              <w:left w:val="single" w:sz="6" w:space="0" w:color="auto"/>
              <w:bottom w:val="single" w:sz="6" w:space="0" w:color="auto"/>
              <w:right w:val="single" w:sz="6" w:space="0" w:color="auto"/>
            </w:tcBorders>
          </w:tcPr>
          <w:p w14:paraId="1D2E42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 СЭ № 5367сэ</w:t>
            </w:r>
          </w:p>
          <w:p w14:paraId="12BACD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9/VIII - 41 г.</w:t>
            </w:r>
          </w:p>
        </w:tc>
        <w:tc>
          <w:tcPr>
            <w:tcW w:w="603" w:type="dxa"/>
            <w:tcBorders>
              <w:top w:val="single" w:sz="6" w:space="0" w:color="auto"/>
              <w:left w:val="single" w:sz="6" w:space="0" w:color="auto"/>
              <w:bottom w:val="single" w:sz="6" w:space="0" w:color="auto"/>
              <w:right w:val="single" w:sz="12" w:space="0" w:color="auto"/>
            </w:tcBorders>
          </w:tcPr>
          <w:p w14:paraId="236396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F4A5F75" w14:textId="77777777" w:rsidTr="000D3BCB">
        <w:tc>
          <w:tcPr>
            <w:tcW w:w="286" w:type="dxa"/>
            <w:tcBorders>
              <w:top w:val="single" w:sz="6" w:space="0" w:color="auto"/>
              <w:left w:val="single" w:sz="12" w:space="0" w:color="auto"/>
              <w:bottom w:val="single" w:sz="6" w:space="0" w:color="auto"/>
              <w:right w:val="single" w:sz="6" w:space="0" w:color="auto"/>
            </w:tcBorders>
          </w:tcPr>
          <w:p w14:paraId="6DE4F4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w:t>
            </w:r>
          </w:p>
        </w:tc>
        <w:tc>
          <w:tcPr>
            <w:tcW w:w="1525" w:type="dxa"/>
            <w:tcBorders>
              <w:top w:val="single" w:sz="6" w:space="0" w:color="auto"/>
              <w:left w:val="single" w:sz="6" w:space="0" w:color="auto"/>
              <w:bottom w:val="single" w:sz="6" w:space="0" w:color="auto"/>
              <w:right w:val="single" w:sz="6" w:space="0" w:color="auto"/>
            </w:tcBorders>
          </w:tcPr>
          <w:p w14:paraId="038843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Картонная фабрика (Киев)</w:t>
            </w:r>
          </w:p>
        </w:tc>
        <w:tc>
          <w:tcPr>
            <w:tcW w:w="3069" w:type="dxa"/>
            <w:tcBorders>
              <w:top w:val="single" w:sz="6" w:space="0" w:color="auto"/>
              <w:left w:val="single" w:sz="6" w:space="0" w:color="auto"/>
              <w:bottom w:val="single" w:sz="6" w:space="0" w:color="auto"/>
              <w:right w:val="single" w:sz="6" w:space="0" w:color="auto"/>
            </w:tcBorders>
          </w:tcPr>
          <w:p w14:paraId="1D8C05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там же</w:t>
            </w:r>
          </w:p>
        </w:tc>
        <w:tc>
          <w:tcPr>
            <w:tcW w:w="1678" w:type="dxa"/>
            <w:tcBorders>
              <w:top w:val="single" w:sz="6" w:space="0" w:color="auto"/>
              <w:left w:val="single" w:sz="6" w:space="0" w:color="auto"/>
              <w:bottom w:val="single" w:sz="6" w:space="0" w:color="auto"/>
              <w:right w:val="single" w:sz="6" w:space="0" w:color="auto"/>
            </w:tcBorders>
          </w:tcPr>
          <w:p w14:paraId="1FAC55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03" w:type="dxa"/>
            <w:tcBorders>
              <w:top w:val="single" w:sz="6" w:space="0" w:color="auto"/>
              <w:left w:val="single" w:sz="6" w:space="0" w:color="auto"/>
              <w:bottom w:val="single" w:sz="6" w:space="0" w:color="auto"/>
              <w:right w:val="single" w:sz="12" w:space="0" w:color="auto"/>
            </w:tcBorders>
          </w:tcPr>
          <w:p w14:paraId="314C18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D349866" w14:textId="77777777" w:rsidTr="000D3BCB">
        <w:tc>
          <w:tcPr>
            <w:tcW w:w="286" w:type="dxa"/>
            <w:tcBorders>
              <w:top w:val="single" w:sz="6" w:space="0" w:color="auto"/>
              <w:left w:val="single" w:sz="12" w:space="0" w:color="auto"/>
              <w:bottom w:val="single" w:sz="6" w:space="0" w:color="auto"/>
              <w:right w:val="single" w:sz="6" w:space="0" w:color="auto"/>
            </w:tcBorders>
          </w:tcPr>
          <w:p w14:paraId="733CE5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w:t>
            </w:r>
          </w:p>
        </w:tc>
        <w:tc>
          <w:tcPr>
            <w:tcW w:w="1525" w:type="dxa"/>
            <w:tcBorders>
              <w:top w:val="single" w:sz="6" w:space="0" w:color="auto"/>
              <w:left w:val="single" w:sz="6" w:space="0" w:color="auto"/>
              <w:bottom w:val="single" w:sz="6" w:space="0" w:color="auto"/>
              <w:right w:val="single" w:sz="6" w:space="0" w:color="auto"/>
            </w:tcBorders>
          </w:tcPr>
          <w:p w14:paraId="022BB3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Колодочная</w:t>
            </w:r>
          </w:p>
          <w:p w14:paraId="6184EF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ф-ка (Киев)</w:t>
            </w:r>
          </w:p>
        </w:tc>
        <w:tc>
          <w:tcPr>
            <w:tcW w:w="3069" w:type="dxa"/>
            <w:tcBorders>
              <w:top w:val="single" w:sz="6" w:space="0" w:color="auto"/>
              <w:left w:val="single" w:sz="6" w:space="0" w:color="auto"/>
              <w:bottom w:val="single" w:sz="6" w:space="0" w:color="auto"/>
              <w:right w:val="single" w:sz="6" w:space="0" w:color="auto"/>
            </w:tcBorders>
          </w:tcPr>
          <w:p w14:paraId="43E6F5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там же</w:t>
            </w:r>
          </w:p>
        </w:tc>
        <w:tc>
          <w:tcPr>
            <w:tcW w:w="1678" w:type="dxa"/>
            <w:tcBorders>
              <w:top w:val="single" w:sz="6" w:space="0" w:color="auto"/>
              <w:left w:val="single" w:sz="6" w:space="0" w:color="auto"/>
              <w:bottom w:val="single" w:sz="6" w:space="0" w:color="auto"/>
              <w:right w:val="single" w:sz="6" w:space="0" w:color="auto"/>
            </w:tcBorders>
          </w:tcPr>
          <w:p w14:paraId="0E5B80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03" w:type="dxa"/>
            <w:tcBorders>
              <w:top w:val="single" w:sz="6" w:space="0" w:color="auto"/>
              <w:left w:val="single" w:sz="6" w:space="0" w:color="auto"/>
              <w:bottom w:val="single" w:sz="6" w:space="0" w:color="auto"/>
              <w:right w:val="single" w:sz="12" w:space="0" w:color="auto"/>
            </w:tcBorders>
          </w:tcPr>
          <w:p w14:paraId="676AF4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04CC310" w14:textId="77777777" w:rsidTr="000D3BCB">
        <w:tc>
          <w:tcPr>
            <w:tcW w:w="286" w:type="dxa"/>
            <w:tcBorders>
              <w:top w:val="single" w:sz="6" w:space="0" w:color="auto"/>
              <w:left w:val="single" w:sz="12" w:space="0" w:color="auto"/>
              <w:bottom w:val="single" w:sz="6" w:space="0" w:color="auto"/>
              <w:right w:val="single" w:sz="6" w:space="0" w:color="auto"/>
            </w:tcBorders>
          </w:tcPr>
          <w:p w14:paraId="35C725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w:t>
            </w:r>
          </w:p>
        </w:tc>
        <w:tc>
          <w:tcPr>
            <w:tcW w:w="1525" w:type="dxa"/>
            <w:tcBorders>
              <w:top w:val="single" w:sz="6" w:space="0" w:color="auto"/>
              <w:left w:val="single" w:sz="6" w:space="0" w:color="auto"/>
              <w:bottom w:val="single" w:sz="6" w:space="0" w:color="auto"/>
              <w:right w:val="single" w:sz="6" w:space="0" w:color="auto"/>
            </w:tcBorders>
          </w:tcPr>
          <w:p w14:paraId="340970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Каблучная ф-ка (Киев)</w:t>
            </w:r>
          </w:p>
        </w:tc>
        <w:tc>
          <w:tcPr>
            <w:tcW w:w="3069" w:type="dxa"/>
            <w:tcBorders>
              <w:top w:val="single" w:sz="6" w:space="0" w:color="auto"/>
              <w:left w:val="single" w:sz="6" w:space="0" w:color="auto"/>
              <w:bottom w:val="single" w:sz="6" w:space="0" w:color="auto"/>
              <w:right w:val="single" w:sz="6" w:space="0" w:color="auto"/>
            </w:tcBorders>
          </w:tcPr>
          <w:p w14:paraId="6920F4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там же</w:t>
            </w:r>
          </w:p>
        </w:tc>
        <w:tc>
          <w:tcPr>
            <w:tcW w:w="1678" w:type="dxa"/>
            <w:tcBorders>
              <w:top w:val="single" w:sz="6" w:space="0" w:color="auto"/>
              <w:left w:val="single" w:sz="6" w:space="0" w:color="auto"/>
              <w:bottom w:val="single" w:sz="6" w:space="0" w:color="auto"/>
              <w:right w:val="single" w:sz="6" w:space="0" w:color="auto"/>
            </w:tcBorders>
          </w:tcPr>
          <w:p w14:paraId="305EBA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03" w:type="dxa"/>
            <w:tcBorders>
              <w:top w:val="single" w:sz="6" w:space="0" w:color="auto"/>
              <w:left w:val="single" w:sz="6" w:space="0" w:color="auto"/>
              <w:bottom w:val="single" w:sz="6" w:space="0" w:color="auto"/>
              <w:right w:val="single" w:sz="12" w:space="0" w:color="auto"/>
            </w:tcBorders>
          </w:tcPr>
          <w:p w14:paraId="3D35B4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18AE387" w14:textId="77777777" w:rsidTr="000D3BCB">
        <w:tc>
          <w:tcPr>
            <w:tcW w:w="286" w:type="dxa"/>
            <w:tcBorders>
              <w:top w:val="single" w:sz="6" w:space="0" w:color="auto"/>
              <w:left w:val="single" w:sz="12" w:space="0" w:color="auto"/>
              <w:bottom w:val="single" w:sz="6" w:space="0" w:color="auto"/>
              <w:right w:val="single" w:sz="6" w:space="0" w:color="auto"/>
            </w:tcBorders>
          </w:tcPr>
          <w:p w14:paraId="2BE40B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w:t>
            </w:r>
          </w:p>
        </w:tc>
        <w:tc>
          <w:tcPr>
            <w:tcW w:w="1525" w:type="dxa"/>
            <w:tcBorders>
              <w:top w:val="single" w:sz="6" w:space="0" w:color="auto"/>
              <w:left w:val="single" w:sz="6" w:space="0" w:color="auto"/>
              <w:bottom w:val="single" w:sz="6" w:space="0" w:color="auto"/>
              <w:right w:val="single" w:sz="6" w:space="0" w:color="auto"/>
            </w:tcBorders>
          </w:tcPr>
          <w:p w14:paraId="669C69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кожзаменителя (Дарница)</w:t>
            </w:r>
          </w:p>
        </w:tc>
        <w:tc>
          <w:tcPr>
            <w:tcW w:w="3069" w:type="dxa"/>
            <w:tcBorders>
              <w:top w:val="single" w:sz="6" w:space="0" w:color="auto"/>
              <w:left w:val="single" w:sz="6" w:space="0" w:color="auto"/>
              <w:bottom w:val="single" w:sz="6" w:space="0" w:color="auto"/>
              <w:right w:val="single" w:sz="6" w:space="0" w:color="auto"/>
            </w:tcBorders>
          </w:tcPr>
          <w:p w14:paraId="198769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комбинат "Искож"</w:t>
            </w:r>
          </w:p>
        </w:tc>
        <w:tc>
          <w:tcPr>
            <w:tcW w:w="1678" w:type="dxa"/>
            <w:tcBorders>
              <w:top w:val="single" w:sz="6" w:space="0" w:color="auto"/>
              <w:left w:val="single" w:sz="6" w:space="0" w:color="auto"/>
              <w:bottom w:val="single" w:sz="6" w:space="0" w:color="auto"/>
              <w:right w:val="single" w:sz="6" w:space="0" w:color="auto"/>
            </w:tcBorders>
          </w:tcPr>
          <w:p w14:paraId="7ADAC6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03" w:type="dxa"/>
            <w:tcBorders>
              <w:top w:val="single" w:sz="6" w:space="0" w:color="auto"/>
              <w:left w:val="single" w:sz="6" w:space="0" w:color="auto"/>
              <w:bottom w:val="single" w:sz="6" w:space="0" w:color="auto"/>
              <w:right w:val="single" w:sz="12" w:space="0" w:color="auto"/>
            </w:tcBorders>
          </w:tcPr>
          <w:p w14:paraId="360B7B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B4F110C" w14:textId="77777777" w:rsidTr="000D3BCB">
        <w:tc>
          <w:tcPr>
            <w:tcW w:w="286" w:type="dxa"/>
            <w:tcBorders>
              <w:top w:val="single" w:sz="6" w:space="0" w:color="auto"/>
              <w:left w:val="single" w:sz="12" w:space="0" w:color="auto"/>
              <w:bottom w:val="single" w:sz="6" w:space="0" w:color="auto"/>
              <w:right w:val="single" w:sz="6" w:space="0" w:color="auto"/>
            </w:tcBorders>
          </w:tcPr>
          <w:p w14:paraId="7847B7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1525" w:type="dxa"/>
            <w:tcBorders>
              <w:top w:val="single" w:sz="6" w:space="0" w:color="auto"/>
              <w:left w:val="single" w:sz="6" w:space="0" w:color="auto"/>
              <w:bottom w:val="single" w:sz="6" w:space="0" w:color="auto"/>
              <w:right w:val="single" w:sz="6" w:space="0" w:color="auto"/>
            </w:tcBorders>
          </w:tcPr>
          <w:p w14:paraId="725A03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Фабрика Кожсуррогат</w:t>
            </w:r>
          </w:p>
          <w:p w14:paraId="024621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(Одесса)</w:t>
            </w:r>
          </w:p>
        </w:tc>
        <w:tc>
          <w:tcPr>
            <w:tcW w:w="3069" w:type="dxa"/>
            <w:tcBorders>
              <w:top w:val="single" w:sz="6" w:space="0" w:color="auto"/>
              <w:left w:val="single" w:sz="6" w:space="0" w:color="auto"/>
              <w:bottom w:val="single" w:sz="6" w:space="0" w:color="auto"/>
              <w:right w:val="single" w:sz="6" w:space="0" w:color="auto"/>
            </w:tcBorders>
          </w:tcPr>
          <w:p w14:paraId="577BE0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там же</w:t>
            </w:r>
          </w:p>
        </w:tc>
        <w:tc>
          <w:tcPr>
            <w:tcW w:w="1678" w:type="dxa"/>
            <w:tcBorders>
              <w:top w:val="single" w:sz="6" w:space="0" w:color="auto"/>
              <w:left w:val="single" w:sz="6" w:space="0" w:color="auto"/>
              <w:bottom w:val="single" w:sz="6" w:space="0" w:color="auto"/>
              <w:right w:val="single" w:sz="6" w:space="0" w:color="auto"/>
            </w:tcBorders>
          </w:tcPr>
          <w:p w14:paraId="4671D2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03" w:type="dxa"/>
            <w:tcBorders>
              <w:top w:val="single" w:sz="6" w:space="0" w:color="auto"/>
              <w:left w:val="single" w:sz="6" w:space="0" w:color="auto"/>
              <w:bottom w:val="single" w:sz="6" w:space="0" w:color="auto"/>
              <w:right w:val="single" w:sz="12" w:space="0" w:color="auto"/>
            </w:tcBorders>
          </w:tcPr>
          <w:p w14:paraId="17A54B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ABC0547" w14:textId="77777777" w:rsidTr="000D3BCB">
        <w:tc>
          <w:tcPr>
            <w:tcW w:w="286" w:type="dxa"/>
            <w:tcBorders>
              <w:top w:val="single" w:sz="6" w:space="0" w:color="auto"/>
              <w:left w:val="single" w:sz="12" w:space="0" w:color="auto"/>
              <w:bottom w:val="single" w:sz="6" w:space="0" w:color="auto"/>
              <w:right w:val="single" w:sz="6" w:space="0" w:color="auto"/>
            </w:tcBorders>
          </w:tcPr>
          <w:p w14:paraId="634DCA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w:t>
            </w:r>
          </w:p>
        </w:tc>
        <w:tc>
          <w:tcPr>
            <w:tcW w:w="1525" w:type="dxa"/>
            <w:tcBorders>
              <w:top w:val="single" w:sz="6" w:space="0" w:color="auto"/>
              <w:left w:val="single" w:sz="6" w:space="0" w:color="auto"/>
              <w:bottom w:val="single" w:sz="6" w:space="0" w:color="auto"/>
              <w:right w:val="single" w:sz="6" w:space="0" w:color="auto"/>
            </w:tcBorders>
          </w:tcPr>
          <w:p w14:paraId="3A504C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Нижне-Днепровская бумфабрика</w:t>
            </w:r>
          </w:p>
        </w:tc>
        <w:tc>
          <w:tcPr>
            <w:tcW w:w="3069" w:type="dxa"/>
            <w:tcBorders>
              <w:top w:val="single" w:sz="6" w:space="0" w:color="auto"/>
              <w:left w:val="single" w:sz="6" w:space="0" w:color="auto"/>
              <w:bottom w:val="single" w:sz="6" w:space="0" w:color="auto"/>
              <w:right w:val="single" w:sz="6" w:space="0" w:color="auto"/>
            </w:tcBorders>
          </w:tcPr>
          <w:p w14:paraId="35A0FA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Кордяжская бумфабрика Зуевского района</w:t>
            </w:r>
          </w:p>
        </w:tc>
        <w:tc>
          <w:tcPr>
            <w:tcW w:w="1678" w:type="dxa"/>
            <w:tcBorders>
              <w:top w:val="single" w:sz="6" w:space="0" w:color="auto"/>
              <w:left w:val="single" w:sz="6" w:space="0" w:color="auto"/>
              <w:bottom w:val="single" w:sz="6" w:space="0" w:color="auto"/>
              <w:right w:val="single" w:sz="6" w:space="0" w:color="auto"/>
            </w:tcBorders>
          </w:tcPr>
          <w:p w14:paraId="7BA94B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 СЭ № 5467сэ</w:t>
            </w:r>
          </w:p>
          <w:p w14:paraId="28B174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9/VIII - 41 г.</w:t>
            </w:r>
          </w:p>
        </w:tc>
        <w:tc>
          <w:tcPr>
            <w:tcW w:w="603" w:type="dxa"/>
            <w:tcBorders>
              <w:top w:val="single" w:sz="6" w:space="0" w:color="auto"/>
              <w:left w:val="single" w:sz="6" w:space="0" w:color="auto"/>
              <w:bottom w:val="single" w:sz="6" w:space="0" w:color="auto"/>
              <w:right w:val="single" w:sz="12" w:space="0" w:color="auto"/>
            </w:tcBorders>
          </w:tcPr>
          <w:p w14:paraId="3AD64F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CF1E497" w14:textId="77777777" w:rsidTr="000D3BCB">
        <w:tc>
          <w:tcPr>
            <w:tcW w:w="286" w:type="dxa"/>
            <w:tcBorders>
              <w:top w:val="single" w:sz="6" w:space="0" w:color="auto"/>
              <w:left w:val="single" w:sz="12" w:space="0" w:color="auto"/>
              <w:bottom w:val="single" w:sz="6" w:space="0" w:color="auto"/>
              <w:right w:val="single" w:sz="6" w:space="0" w:color="auto"/>
            </w:tcBorders>
          </w:tcPr>
          <w:p w14:paraId="2A2355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w:t>
            </w:r>
          </w:p>
        </w:tc>
        <w:tc>
          <w:tcPr>
            <w:tcW w:w="1525" w:type="dxa"/>
            <w:tcBorders>
              <w:top w:val="single" w:sz="6" w:space="0" w:color="auto"/>
              <w:left w:val="single" w:sz="6" w:space="0" w:color="auto"/>
              <w:bottom w:val="single" w:sz="6" w:space="0" w:color="auto"/>
              <w:right w:val="single" w:sz="6" w:space="0" w:color="auto"/>
            </w:tcBorders>
          </w:tcPr>
          <w:p w14:paraId="289AA2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Поддорский льнозавод</w:t>
            </w:r>
          </w:p>
        </w:tc>
        <w:tc>
          <w:tcPr>
            <w:tcW w:w="3069" w:type="dxa"/>
            <w:tcBorders>
              <w:top w:val="single" w:sz="6" w:space="0" w:color="auto"/>
              <w:left w:val="single" w:sz="6" w:space="0" w:color="auto"/>
              <w:bottom w:val="single" w:sz="6" w:space="0" w:color="auto"/>
              <w:right w:val="single" w:sz="6" w:space="0" w:color="auto"/>
            </w:tcBorders>
          </w:tcPr>
          <w:p w14:paraId="4F53C5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Фаленский район</w:t>
            </w:r>
          </w:p>
        </w:tc>
        <w:tc>
          <w:tcPr>
            <w:tcW w:w="1678" w:type="dxa"/>
            <w:tcBorders>
              <w:top w:val="single" w:sz="6" w:space="0" w:color="auto"/>
              <w:left w:val="single" w:sz="6" w:space="0" w:color="auto"/>
              <w:bottom w:val="single" w:sz="6" w:space="0" w:color="auto"/>
              <w:right w:val="single" w:sz="6" w:space="0" w:color="auto"/>
            </w:tcBorders>
          </w:tcPr>
          <w:p w14:paraId="5BD7C7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 СЭ № 5328сэ</w:t>
            </w:r>
          </w:p>
          <w:p w14:paraId="0019C3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7/VIII - 41 г.</w:t>
            </w:r>
          </w:p>
        </w:tc>
        <w:tc>
          <w:tcPr>
            <w:tcW w:w="603" w:type="dxa"/>
            <w:tcBorders>
              <w:top w:val="single" w:sz="6" w:space="0" w:color="auto"/>
              <w:left w:val="single" w:sz="6" w:space="0" w:color="auto"/>
              <w:bottom w:val="single" w:sz="6" w:space="0" w:color="auto"/>
              <w:right w:val="single" w:sz="12" w:space="0" w:color="auto"/>
            </w:tcBorders>
          </w:tcPr>
          <w:p w14:paraId="77734A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5D2A624" w14:textId="77777777" w:rsidTr="000D3BCB">
        <w:tc>
          <w:tcPr>
            <w:tcW w:w="286" w:type="dxa"/>
            <w:tcBorders>
              <w:top w:val="single" w:sz="6" w:space="0" w:color="auto"/>
              <w:left w:val="single" w:sz="12" w:space="0" w:color="auto"/>
              <w:bottom w:val="single" w:sz="6" w:space="0" w:color="auto"/>
              <w:right w:val="single" w:sz="6" w:space="0" w:color="auto"/>
            </w:tcBorders>
          </w:tcPr>
          <w:p w14:paraId="06DB2B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w:t>
            </w:r>
          </w:p>
        </w:tc>
        <w:tc>
          <w:tcPr>
            <w:tcW w:w="1525" w:type="dxa"/>
            <w:tcBorders>
              <w:top w:val="single" w:sz="6" w:space="0" w:color="auto"/>
              <w:left w:val="single" w:sz="6" w:space="0" w:color="auto"/>
              <w:bottom w:val="single" w:sz="6" w:space="0" w:color="auto"/>
              <w:right w:val="single" w:sz="6" w:space="0" w:color="auto"/>
            </w:tcBorders>
          </w:tcPr>
          <w:p w14:paraId="211451A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Скугровский льнозавод</w:t>
            </w:r>
          </w:p>
        </w:tc>
        <w:tc>
          <w:tcPr>
            <w:tcW w:w="3069" w:type="dxa"/>
            <w:tcBorders>
              <w:top w:val="single" w:sz="6" w:space="0" w:color="auto"/>
              <w:left w:val="single" w:sz="6" w:space="0" w:color="auto"/>
              <w:bottom w:val="single" w:sz="6" w:space="0" w:color="auto"/>
              <w:right w:val="single" w:sz="6" w:space="0" w:color="auto"/>
            </w:tcBorders>
          </w:tcPr>
          <w:p w14:paraId="238CB0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Шабалинский район</w:t>
            </w:r>
          </w:p>
        </w:tc>
        <w:tc>
          <w:tcPr>
            <w:tcW w:w="1678" w:type="dxa"/>
            <w:tcBorders>
              <w:top w:val="single" w:sz="6" w:space="0" w:color="auto"/>
              <w:left w:val="single" w:sz="6" w:space="0" w:color="auto"/>
              <w:bottom w:val="single" w:sz="6" w:space="0" w:color="auto"/>
              <w:right w:val="single" w:sz="6" w:space="0" w:color="auto"/>
            </w:tcBorders>
          </w:tcPr>
          <w:p w14:paraId="675A54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03" w:type="dxa"/>
            <w:tcBorders>
              <w:top w:val="single" w:sz="6" w:space="0" w:color="auto"/>
              <w:left w:val="single" w:sz="6" w:space="0" w:color="auto"/>
              <w:bottom w:val="single" w:sz="6" w:space="0" w:color="auto"/>
              <w:right w:val="single" w:sz="12" w:space="0" w:color="auto"/>
            </w:tcBorders>
          </w:tcPr>
          <w:p w14:paraId="0F7A671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EE4A296" w14:textId="77777777" w:rsidTr="000D3BCB">
        <w:tc>
          <w:tcPr>
            <w:tcW w:w="286" w:type="dxa"/>
            <w:tcBorders>
              <w:top w:val="single" w:sz="6" w:space="0" w:color="auto"/>
              <w:left w:val="single" w:sz="12" w:space="0" w:color="auto"/>
              <w:bottom w:val="single" w:sz="6" w:space="0" w:color="auto"/>
              <w:right w:val="single" w:sz="6" w:space="0" w:color="auto"/>
            </w:tcBorders>
          </w:tcPr>
          <w:p w14:paraId="5D3C8E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w:t>
            </w:r>
          </w:p>
        </w:tc>
        <w:tc>
          <w:tcPr>
            <w:tcW w:w="1525" w:type="dxa"/>
            <w:tcBorders>
              <w:top w:val="single" w:sz="6" w:space="0" w:color="auto"/>
              <w:left w:val="single" w:sz="6" w:space="0" w:color="auto"/>
              <w:bottom w:val="single" w:sz="6" w:space="0" w:color="auto"/>
              <w:right w:val="single" w:sz="6" w:space="0" w:color="auto"/>
            </w:tcBorders>
          </w:tcPr>
          <w:p w14:paraId="773062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Глинковский льнозавод</w:t>
            </w:r>
          </w:p>
        </w:tc>
        <w:tc>
          <w:tcPr>
            <w:tcW w:w="3069" w:type="dxa"/>
            <w:tcBorders>
              <w:top w:val="single" w:sz="6" w:space="0" w:color="auto"/>
              <w:left w:val="single" w:sz="6" w:space="0" w:color="auto"/>
              <w:bottom w:val="single" w:sz="6" w:space="0" w:color="auto"/>
              <w:right w:val="single" w:sz="6" w:space="0" w:color="auto"/>
            </w:tcBorders>
          </w:tcPr>
          <w:p w14:paraId="163DF63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Зуевский район</w:t>
            </w:r>
          </w:p>
        </w:tc>
        <w:tc>
          <w:tcPr>
            <w:tcW w:w="1678" w:type="dxa"/>
            <w:tcBorders>
              <w:top w:val="single" w:sz="6" w:space="0" w:color="auto"/>
              <w:left w:val="single" w:sz="6" w:space="0" w:color="auto"/>
              <w:bottom w:val="single" w:sz="6" w:space="0" w:color="auto"/>
              <w:right w:val="single" w:sz="6" w:space="0" w:color="auto"/>
            </w:tcBorders>
          </w:tcPr>
          <w:p w14:paraId="621AD8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03" w:type="dxa"/>
            <w:tcBorders>
              <w:top w:val="single" w:sz="6" w:space="0" w:color="auto"/>
              <w:left w:val="single" w:sz="6" w:space="0" w:color="auto"/>
              <w:bottom w:val="single" w:sz="6" w:space="0" w:color="auto"/>
              <w:right w:val="single" w:sz="12" w:space="0" w:color="auto"/>
            </w:tcBorders>
          </w:tcPr>
          <w:p w14:paraId="3AE99A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5F43277" w14:textId="77777777" w:rsidTr="000D3BCB">
        <w:tc>
          <w:tcPr>
            <w:tcW w:w="286" w:type="dxa"/>
            <w:tcBorders>
              <w:top w:val="single" w:sz="6" w:space="0" w:color="auto"/>
              <w:left w:val="single" w:sz="12" w:space="0" w:color="auto"/>
              <w:bottom w:val="single" w:sz="6" w:space="0" w:color="auto"/>
              <w:right w:val="single" w:sz="6" w:space="0" w:color="auto"/>
            </w:tcBorders>
          </w:tcPr>
          <w:p w14:paraId="143E0E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1525" w:type="dxa"/>
            <w:tcBorders>
              <w:top w:val="single" w:sz="6" w:space="0" w:color="auto"/>
              <w:left w:val="single" w:sz="6" w:space="0" w:color="auto"/>
              <w:bottom w:val="single" w:sz="6" w:space="0" w:color="auto"/>
              <w:right w:val="single" w:sz="6" w:space="0" w:color="auto"/>
            </w:tcBorders>
          </w:tcPr>
          <w:p w14:paraId="2BBE9B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Тесовский льнозавод</w:t>
            </w:r>
          </w:p>
        </w:tc>
        <w:tc>
          <w:tcPr>
            <w:tcW w:w="3069" w:type="dxa"/>
            <w:tcBorders>
              <w:top w:val="single" w:sz="6" w:space="0" w:color="auto"/>
              <w:left w:val="single" w:sz="6" w:space="0" w:color="auto"/>
              <w:bottom w:val="single" w:sz="6" w:space="0" w:color="auto"/>
              <w:right w:val="single" w:sz="6" w:space="0" w:color="auto"/>
            </w:tcBorders>
          </w:tcPr>
          <w:p w14:paraId="4A60E3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Верховинский район</w:t>
            </w:r>
          </w:p>
        </w:tc>
        <w:tc>
          <w:tcPr>
            <w:tcW w:w="1678" w:type="dxa"/>
            <w:tcBorders>
              <w:top w:val="single" w:sz="6" w:space="0" w:color="auto"/>
              <w:left w:val="single" w:sz="6" w:space="0" w:color="auto"/>
              <w:bottom w:val="single" w:sz="6" w:space="0" w:color="auto"/>
              <w:right w:val="single" w:sz="6" w:space="0" w:color="auto"/>
            </w:tcBorders>
          </w:tcPr>
          <w:p w14:paraId="01F465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03" w:type="dxa"/>
            <w:tcBorders>
              <w:top w:val="single" w:sz="6" w:space="0" w:color="auto"/>
              <w:left w:val="single" w:sz="6" w:space="0" w:color="auto"/>
              <w:bottom w:val="single" w:sz="6" w:space="0" w:color="auto"/>
              <w:right w:val="single" w:sz="12" w:space="0" w:color="auto"/>
            </w:tcBorders>
          </w:tcPr>
          <w:p w14:paraId="17D6C9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2DF8006" w14:textId="77777777" w:rsidTr="000D3BCB">
        <w:tc>
          <w:tcPr>
            <w:tcW w:w="286" w:type="dxa"/>
            <w:tcBorders>
              <w:top w:val="single" w:sz="6" w:space="0" w:color="auto"/>
              <w:left w:val="single" w:sz="12" w:space="0" w:color="auto"/>
              <w:bottom w:val="single" w:sz="6" w:space="0" w:color="auto"/>
              <w:right w:val="single" w:sz="6" w:space="0" w:color="auto"/>
            </w:tcBorders>
          </w:tcPr>
          <w:p w14:paraId="2440B3E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w:t>
            </w:r>
          </w:p>
        </w:tc>
        <w:tc>
          <w:tcPr>
            <w:tcW w:w="1525" w:type="dxa"/>
            <w:tcBorders>
              <w:top w:val="single" w:sz="6" w:space="0" w:color="auto"/>
              <w:left w:val="single" w:sz="6" w:space="0" w:color="auto"/>
              <w:bottom w:val="single" w:sz="6" w:space="0" w:color="auto"/>
              <w:right w:val="single" w:sz="6" w:space="0" w:color="auto"/>
            </w:tcBorders>
          </w:tcPr>
          <w:p w14:paraId="614299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деревообрабатываю-щих станков</w:t>
            </w:r>
          </w:p>
          <w:p w14:paraId="53021C3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Днепропетровск)</w:t>
            </w:r>
          </w:p>
        </w:tc>
        <w:tc>
          <w:tcPr>
            <w:tcW w:w="3069" w:type="dxa"/>
            <w:tcBorders>
              <w:top w:val="single" w:sz="6" w:space="0" w:color="auto"/>
              <w:left w:val="single" w:sz="6" w:space="0" w:color="auto"/>
              <w:bottom w:val="single" w:sz="6" w:space="0" w:color="auto"/>
              <w:right w:val="single" w:sz="6" w:space="0" w:color="auto"/>
            </w:tcBorders>
          </w:tcPr>
          <w:p w14:paraId="130224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"Кировский металлист"</w:t>
            </w:r>
          </w:p>
        </w:tc>
        <w:tc>
          <w:tcPr>
            <w:tcW w:w="1678" w:type="dxa"/>
            <w:tcBorders>
              <w:top w:val="single" w:sz="6" w:space="0" w:color="auto"/>
              <w:left w:val="single" w:sz="6" w:space="0" w:color="auto"/>
              <w:bottom w:val="single" w:sz="6" w:space="0" w:color="auto"/>
              <w:right w:val="single" w:sz="6" w:space="0" w:color="auto"/>
            </w:tcBorders>
          </w:tcPr>
          <w:p w14:paraId="543A7D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 СЭ № 5401сэ</w:t>
            </w:r>
          </w:p>
          <w:p w14:paraId="62E881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12/VIII - 41 г.</w:t>
            </w:r>
          </w:p>
        </w:tc>
        <w:tc>
          <w:tcPr>
            <w:tcW w:w="603" w:type="dxa"/>
            <w:tcBorders>
              <w:top w:val="single" w:sz="6" w:space="0" w:color="auto"/>
              <w:left w:val="single" w:sz="6" w:space="0" w:color="auto"/>
              <w:bottom w:val="single" w:sz="6" w:space="0" w:color="auto"/>
              <w:right w:val="single" w:sz="12" w:space="0" w:color="auto"/>
            </w:tcBorders>
          </w:tcPr>
          <w:p w14:paraId="0CAC8E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45F528E" w14:textId="77777777" w:rsidTr="000D3BCB">
        <w:tc>
          <w:tcPr>
            <w:tcW w:w="286" w:type="dxa"/>
            <w:tcBorders>
              <w:top w:val="single" w:sz="6" w:space="0" w:color="auto"/>
              <w:left w:val="single" w:sz="12" w:space="0" w:color="auto"/>
              <w:bottom w:val="single" w:sz="6" w:space="0" w:color="auto"/>
              <w:right w:val="single" w:sz="6" w:space="0" w:color="auto"/>
            </w:tcBorders>
          </w:tcPr>
          <w:p w14:paraId="633F3D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w:t>
            </w:r>
          </w:p>
        </w:tc>
        <w:tc>
          <w:tcPr>
            <w:tcW w:w="1525" w:type="dxa"/>
            <w:tcBorders>
              <w:top w:val="single" w:sz="6" w:space="0" w:color="auto"/>
              <w:left w:val="single" w:sz="6" w:space="0" w:color="auto"/>
              <w:bottom w:val="single" w:sz="6" w:space="0" w:color="auto"/>
              <w:right w:val="single" w:sz="6" w:space="0" w:color="auto"/>
            </w:tcBorders>
          </w:tcPr>
          <w:p w14:paraId="0C14D6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Катеростроительный завод № 5 (Ленинград)</w:t>
            </w:r>
          </w:p>
        </w:tc>
        <w:tc>
          <w:tcPr>
            <w:tcW w:w="3069" w:type="dxa"/>
            <w:tcBorders>
              <w:top w:val="single" w:sz="6" w:space="0" w:color="auto"/>
              <w:left w:val="single" w:sz="6" w:space="0" w:color="auto"/>
              <w:bottom w:val="single" w:sz="6" w:space="0" w:color="auto"/>
              <w:right w:val="single" w:sz="6" w:space="0" w:color="auto"/>
            </w:tcBorders>
          </w:tcPr>
          <w:p w14:paraId="167BF6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Сосновка,</w:t>
            </w:r>
          </w:p>
          <w:p w14:paraId="2C9FDB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судоверфь</w:t>
            </w:r>
          </w:p>
        </w:tc>
        <w:tc>
          <w:tcPr>
            <w:tcW w:w="1678" w:type="dxa"/>
            <w:tcBorders>
              <w:top w:val="single" w:sz="6" w:space="0" w:color="auto"/>
              <w:left w:val="single" w:sz="6" w:space="0" w:color="auto"/>
              <w:bottom w:val="single" w:sz="6" w:space="0" w:color="auto"/>
              <w:right w:val="single" w:sz="6" w:space="0" w:color="auto"/>
            </w:tcBorders>
          </w:tcPr>
          <w:p w14:paraId="0BB7EF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 СЭ № сэ63сс от 17/VII - 41 г.</w:t>
            </w:r>
          </w:p>
        </w:tc>
        <w:tc>
          <w:tcPr>
            <w:tcW w:w="603" w:type="dxa"/>
            <w:tcBorders>
              <w:top w:val="single" w:sz="6" w:space="0" w:color="auto"/>
              <w:left w:val="single" w:sz="6" w:space="0" w:color="auto"/>
              <w:bottom w:val="single" w:sz="6" w:space="0" w:color="auto"/>
              <w:right w:val="single" w:sz="12" w:space="0" w:color="auto"/>
            </w:tcBorders>
          </w:tcPr>
          <w:p w14:paraId="2A5971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F80D13D" w14:textId="77777777" w:rsidTr="000D3BCB">
        <w:tc>
          <w:tcPr>
            <w:tcW w:w="286" w:type="dxa"/>
            <w:tcBorders>
              <w:top w:val="single" w:sz="6" w:space="0" w:color="auto"/>
              <w:left w:val="single" w:sz="12" w:space="0" w:color="auto"/>
              <w:bottom w:val="single" w:sz="6" w:space="0" w:color="auto"/>
              <w:right w:val="single" w:sz="6" w:space="0" w:color="auto"/>
            </w:tcBorders>
          </w:tcPr>
          <w:p w14:paraId="17EEF3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w:t>
            </w:r>
          </w:p>
        </w:tc>
        <w:tc>
          <w:tcPr>
            <w:tcW w:w="1525" w:type="dxa"/>
            <w:tcBorders>
              <w:top w:val="single" w:sz="6" w:space="0" w:color="auto"/>
              <w:left w:val="single" w:sz="6" w:space="0" w:color="auto"/>
              <w:bottom w:val="single" w:sz="6" w:space="0" w:color="auto"/>
              <w:right w:val="single" w:sz="6" w:space="0" w:color="auto"/>
            </w:tcBorders>
          </w:tcPr>
          <w:p w14:paraId="450F57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Петрозаводская лыжная фабрика</w:t>
            </w:r>
          </w:p>
        </w:tc>
        <w:tc>
          <w:tcPr>
            <w:tcW w:w="3069" w:type="dxa"/>
            <w:tcBorders>
              <w:top w:val="single" w:sz="6" w:space="0" w:color="auto"/>
              <w:left w:val="single" w:sz="6" w:space="0" w:color="auto"/>
              <w:bottom w:val="single" w:sz="6" w:space="0" w:color="auto"/>
              <w:right w:val="single" w:sz="6" w:space="0" w:color="auto"/>
            </w:tcBorders>
          </w:tcPr>
          <w:p w14:paraId="78A29C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Древкомбинат НКЛ</w:t>
            </w:r>
          </w:p>
        </w:tc>
        <w:tc>
          <w:tcPr>
            <w:tcW w:w="1678" w:type="dxa"/>
            <w:tcBorders>
              <w:top w:val="single" w:sz="6" w:space="0" w:color="auto"/>
              <w:left w:val="single" w:sz="6" w:space="0" w:color="auto"/>
              <w:bottom w:val="single" w:sz="6" w:space="0" w:color="auto"/>
              <w:right w:val="single" w:sz="6" w:space="0" w:color="auto"/>
            </w:tcBorders>
          </w:tcPr>
          <w:p w14:paraId="114B63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 СЭ № 5456сэ</w:t>
            </w:r>
          </w:p>
          <w:p w14:paraId="143A6E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15/VIII - 41 г.</w:t>
            </w:r>
          </w:p>
        </w:tc>
        <w:tc>
          <w:tcPr>
            <w:tcW w:w="603" w:type="dxa"/>
            <w:tcBorders>
              <w:top w:val="single" w:sz="6" w:space="0" w:color="auto"/>
              <w:left w:val="single" w:sz="6" w:space="0" w:color="auto"/>
              <w:bottom w:val="single" w:sz="6" w:space="0" w:color="auto"/>
              <w:right w:val="single" w:sz="12" w:space="0" w:color="auto"/>
            </w:tcBorders>
          </w:tcPr>
          <w:p w14:paraId="20AC5D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21148D0" w14:textId="77777777" w:rsidTr="000D3BCB">
        <w:tc>
          <w:tcPr>
            <w:tcW w:w="286" w:type="dxa"/>
            <w:tcBorders>
              <w:top w:val="single" w:sz="6" w:space="0" w:color="auto"/>
              <w:left w:val="single" w:sz="12" w:space="0" w:color="auto"/>
              <w:bottom w:val="single" w:sz="6" w:space="0" w:color="auto"/>
              <w:right w:val="single" w:sz="6" w:space="0" w:color="auto"/>
            </w:tcBorders>
          </w:tcPr>
          <w:p w14:paraId="5BE7C4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w:t>
            </w:r>
          </w:p>
        </w:tc>
        <w:tc>
          <w:tcPr>
            <w:tcW w:w="1525" w:type="dxa"/>
            <w:tcBorders>
              <w:top w:val="single" w:sz="6" w:space="0" w:color="auto"/>
              <w:left w:val="single" w:sz="6" w:space="0" w:color="auto"/>
              <w:bottom w:val="single" w:sz="6" w:space="0" w:color="auto"/>
              <w:right w:val="single" w:sz="6" w:space="0" w:color="auto"/>
            </w:tcBorders>
          </w:tcPr>
          <w:p w14:paraId="657812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77 НКВ</w:t>
            </w:r>
          </w:p>
        </w:tc>
        <w:tc>
          <w:tcPr>
            <w:tcW w:w="3069" w:type="dxa"/>
            <w:tcBorders>
              <w:top w:val="single" w:sz="6" w:space="0" w:color="auto"/>
              <w:left w:val="single" w:sz="6" w:space="0" w:color="auto"/>
              <w:bottom w:val="single" w:sz="6" w:space="0" w:color="auto"/>
              <w:right w:val="single" w:sz="6" w:space="0" w:color="auto"/>
            </w:tcBorders>
          </w:tcPr>
          <w:p w14:paraId="4A6A85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Комбинат "Искож"</w:t>
            </w:r>
          </w:p>
        </w:tc>
        <w:tc>
          <w:tcPr>
            <w:tcW w:w="1678" w:type="dxa"/>
            <w:tcBorders>
              <w:top w:val="single" w:sz="6" w:space="0" w:color="auto"/>
              <w:left w:val="single" w:sz="6" w:space="0" w:color="auto"/>
              <w:bottom w:val="single" w:sz="6" w:space="0" w:color="auto"/>
              <w:right w:val="single" w:sz="6" w:space="0" w:color="auto"/>
            </w:tcBorders>
          </w:tcPr>
          <w:p w14:paraId="73915B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 СНК СССР</w:t>
            </w:r>
          </w:p>
          <w:p w14:paraId="2A6BF2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 ЦК ВКП(б)</w:t>
            </w:r>
          </w:p>
          <w:p w14:paraId="0A517C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1807-807сс</w:t>
            </w:r>
          </w:p>
          <w:p w14:paraId="732CAC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2/VII - 41 г.</w:t>
            </w:r>
          </w:p>
        </w:tc>
        <w:tc>
          <w:tcPr>
            <w:tcW w:w="603" w:type="dxa"/>
            <w:tcBorders>
              <w:top w:val="single" w:sz="6" w:space="0" w:color="auto"/>
              <w:left w:val="single" w:sz="6" w:space="0" w:color="auto"/>
              <w:bottom w:val="single" w:sz="6" w:space="0" w:color="auto"/>
              <w:right w:val="single" w:sz="12" w:space="0" w:color="auto"/>
            </w:tcBorders>
          </w:tcPr>
          <w:p w14:paraId="13DD76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14D14B6" w14:textId="77777777" w:rsidTr="000D3BCB">
        <w:tc>
          <w:tcPr>
            <w:tcW w:w="286" w:type="dxa"/>
            <w:tcBorders>
              <w:top w:val="single" w:sz="6" w:space="0" w:color="auto"/>
              <w:left w:val="single" w:sz="12" w:space="0" w:color="auto"/>
              <w:bottom w:val="single" w:sz="6" w:space="0" w:color="auto"/>
              <w:right w:val="single" w:sz="6" w:space="0" w:color="auto"/>
            </w:tcBorders>
          </w:tcPr>
          <w:p w14:paraId="5C2314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w:t>
            </w:r>
          </w:p>
        </w:tc>
        <w:tc>
          <w:tcPr>
            <w:tcW w:w="1525" w:type="dxa"/>
            <w:tcBorders>
              <w:top w:val="single" w:sz="6" w:space="0" w:color="auto"/>
              <w:left w:val="single" w:sz="6" w:space="0" w:color="auto"/>
              <w:bottom w:val="single" w:sz="6" w:space="0" w:color="auto"/>
              <w:right w:val="single" w:sz="6" w:space="0" w:color="auto"/>
            </w:tcBorders>
          </w:tcPr>
          <w:p w14:paraId="48CEA5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Ржевская льночесальная фабрика Наркомтекстильпрома СССР</w:t>
            </w:r>
          </w:p>
        </w:tc>
        <w:tc>
          <w:tcPr>
            <w:tcW w:w="3069" w:type="dxa"/>
            <w:tcBorders>
              <w:top w:val="single" w:sz="6" w:space="0" w:color="auto"/>
              <w:left w:val="single" w:sz="6" w:space="0" w:color="auto"/>
              <w:bottom w:val="single" w:sz="6" w:space="0" w:color="auto"/>
              <w:right w:val="single" w:sz="6" w:space="0" w:color="auto"/>
            </w:tcBorders>
          </w:tcPr>
          <w:p w14:paraId="3AACAC6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склад</w:t>
            </w:r>
          </w:p>
          <w:p w14:paraId="0D5DA2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Кировского льнотреста</w:t>
            </w:r>
          </w:p>
          <w:p w14:paraId="5C36FC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 Котельнич)</w:t>
            </w:r>
          </w:p>
        </w:tc>
        <w:tc>
          <w:tcPr>
            <w:tcW w:w="1678" w:type="dxa"/>
            <w:tcBorders>
              <w:top w:val="single" w:sz="6" w:space="0" w:color="auto"/>
              <w:left w:val="single" w:sz="6" w:space="0" w:color="auto"/>
              <w:bottom w:val="single" w:sz="6" w:space="0" w:color="auto"/>
              <w:right w:val="single" w:sz="6" w:space="0" w:color="auto"/>
            </w:tcBorders>
          </w:tcPr>
          <w:p w14:paraId="447513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 СЭ</w:t>
            </w:r>
          </w:p>
          <w:p w14:paraId="5A81B38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19/VII - 41 г.</w:t>
            </w:r>
          </w:p>
          <w:p w14:paraId="3CD2669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5499 сэ</w:t>
            </w:r>
          </w:p>
        </w:tc>
        <w:tc>
          <w:tcPr>
            <w:tcW w:w="603" w:type="dxa"/>
            <w:tcBorders>
              <w:top w:val="single" w:sz="6" w:space="0" w:color="auto"/>
              <w:left w:val="single" w:sz="6" w:space="0" w:color="auto"/>
              <w:bottom w:val="single" w:sz="6" w:space="0" w:color="auto"/>
              <w:right w:val="single" w:sz="12" w:space="0" w:color="auto"/>
            </w:tcBorders>
          </w:tcPr>
          <w:p w14:paraId="6EB783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11AC85B" w14:textId="77777777" w:rsidTr="000D3BCB">
        <w:tc>
          <w:tcPr>
            <w:tcW w:w="286" w:type="dxa"/>
            <w:tcBorders>
              <w:top w:val="single" w:sz="6" w:space="0" w:color="auto"/>
              <w:left w:val="single" w:sz="12" w:space="0" w:color="auto"/>
              <w:bottom w:val="single" w:sz="6" w:space="0" w:color="auto"/>
              <w:right w:val="single" w:sz="6" w:space="0" w:color="auto"/>
            </w:tcBorders>
          </w:tcPr>
          <w:p w14:paraId="552036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w:t>
            </w:r>
          </w:p>
        </w:tc>
        <w:tc>
          <w:tcPr>
            <w:tcW w:w="1525" w:type="dxa"/>
            <w:tcBorders>
              <w:top w:val="single" w:sz="6" w:space="0" w:color="auto"/>
              <w:left w:val="single" w:sz="6" w:space="0" w:color="auto"/>
              <w:bottom w:val="single" w:sz="6" w:space="0" w:color="auto"/>
              <w:right w:val="single" w:sz="6" w:space="0" w:color="auto"/>
            </w:tcBorders>
          </w:tcPr>
          <w:p w14:paraId="4FC84E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Кожевенный завод</w:t>
            </w:r>
          </w:p>
          <w:p w14:paraId="5284C4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имени Радищева</w:t>
            </w:r>
          </w:p>
          <w:p w14:paraId="4A65DB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(Ленинград)</w:t>
            </w:r>
          </w:p>
        </w:tc>
        <w:tc>
          <w:tcPr>
            <w:tcW w:w="3069" w:type="dxa"/>
            <w:tcBorders>
              <w:top w:val="single" w:sz="6" w:space="0" w:color="auto"/>
              <w:left w:val="single" w:sz="6" w:space="0" w:color="auto"/>
              <w:bottom w:val="single" w:sz="6" w:space="0" w:color="auto"/>
              <w:right w:val="single" w:sz="6" w:space="0" w:color="auto"/>
            </w:tcBorders>
          </w:tcPr>
          <w:p w14:paraId="409A9EE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Кожкомбинат имени Ленина</w:t>
            </w:r>
          </w:p>
        </w:tc>
        <w:tc>
          <w:tcPr>
            <w:tcW w:w="1678" w:type="dxa"/>
            <w:tcBorders>
              <w:top w:val="single" w:sz="6" w:space="0" w:color="auto"/>
              <w:left w:val="single" w:sz="6" w:space="0" w:color="auto"/>
              <w:bottom w:val="single" w:sz="6" w:space="0" w:color="auto"/>
              <w:right w:val="single" w:sz="6" w:space="0" w:color="auto"/>
            </w:tcBorders>
          </w:tcPr>
          <w:p w14:paraId="06CE781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 СЭ</w:t>
            </w:r>
          </w:p>
          <w:p w14:paraId="39E17C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16/VIII - 41 г.</w:t>
            </w:r>
          </w:p>
          <w:p w14:paraId="1A7796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5575-сэ</w:t>
            </w:r>
          </w:p>
        </w:tc>
        <w:tc>
          <w:tcPr>
            <w:tcW w:w="603" w:type="dxa"/>
            <w:tcBorders>
              <w:top w:val="single" w:sz="6" w:space="0" w:color="auto"/>
              <w:left w:val="single" w:sz="6" w:space="0" w:color="auto"/>
              <w:bottom w:val="single" w:sz="6" w:space="0" w:color="auto"/>
              <w:right w:val="single" w:sz="12" w:space="0" w:color="auto"/>
            </w:tcBorders>
          </w:tcPr>
          <w:p w14:paraId="78D7FD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4F93CD5" w14:textId="77777777" w:rsidTr="000D3BCB">
        <w:tc>
          <w:tcPr>
            <w:tcW w:w="286" w:type="dxa"/>
            <w:tcBorders>
              <w:top w:val="single" w:sz="6" w:space="0" w:color="auto"/>
              <w:left w:val="single" w:sz="12" w:space="0" w:color="auto"/>
              <w:bottom w:val="single" w:sz="6" w:space="0" w:color="auto"/>
              <w:right w:val="single" w:sz="6" w:space="0" w:color="auto"/>
            </w:tcBorders>
          </w:tcPr>
          <w:p w14:paraId="4B8511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w:t>
            </w:r>
          </w:p>
        </w:tc>
        <w:tc>
          <w:tcPr>
            <w:tcW w:w="1525" w:type="dxa"/>
            <w:tcBorders>
              <w:top w:val="single" w:sz="6" w:space="0" w:color="auto"/>
              <w:left w:val="single" w:sz="6" w:space="0" w:color="auto"/>
              <w:bottom w:val="single" w:sz="6" w:space="0" w:color="auto"/>
              <w:right w:val="single" w:sz="6" w:space="0" w:color="auto"/>
            </w:tcBorders>
          </w:tcPr>
          <w:p w14:paraId="4B057E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Кожевенный завод</w:t>
            </w:r>
          </w:p>
          <w:p w14:paraId="2CCC6F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имени Коминтерна</w:t>
            </w:r>
          </w:p>
          <w:p w14:paraId="39DC70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(Ленинград)</w:t>
            </w:r>
          </w:p>
        </w:tc>
        <w:tc>
          <w:tcPr>
            <w:tcW w:w="3069" w:type="dxa"/>
            <w:tcBorders>
              <w:top w:val="single" w:sz="6" w:space="0" w:color="auto"/>
              <w:left w:val="single" w:sz="6" w:space="0" w:color="auto"/>
              <w:bottom w:val="single" w:sz="6" w:space="0" w:color="auto"/>
              <w:right w:val="single" w:sz="6" w:space="0" w:color="auto"/>
            </w:tcBorders>
          </w:tcPr>
          <w:p w14:paraId="58C89A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Кожзавод имени</w:t>
            </w:r>
          </w:p>
          <w:p w14:paraId="22C91D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Октябрьской революции</w:t>
            </w:r>
          </w:p>
        </w:tc>
        <w:tc>
          <w:tcPr>
            <w:tcW w:w="1678" w:type="dxa"/>
            <w:tcBorders>
              <w:top w:val="single" w:sz="6" w:space="0" w:color="auto"/>
              <w:left w:val="single" w:sz="6" w:space="0" w:color="auto"/>
              <w:bottom w:val="single" w:sz="6" w:space="0" w:color="auto"/>
              <w:right w:val="single" w:sz="6" w:space="0" w:color="auto"/>
            </w:tcBorders>
          </w:tcPr>
          <w:p w14:paraId="188C5B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тоже</w:t>
            </w:r>
          </w:p>
        </w:tc>
        <w:tc>
          <w:tcPr>
            <w:tcW w:w="603" w:type="dxa"/>
            <w:tcBorders>
              <w:top w:val="single" w:sz="6" w:space="0" w:color="auto"/>
              <w:left w:val="single" w:sz="6" w:space="0" w:color="auto"/>
              <w:bottom w:val="single" w:sz="6" w:space="0" w:color="auto"/>
              <w:right w:val="single" w:sz="12" w:space="0" w:color="auto"/>
            </w:tcBorders>
          </w:tcPr>
          <w:p w14:paraId="5B9241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DB8A9CF" w14:textId="77777777" w:rsidTr="000D3BCB">
        <w:tc>
          <w:tcPr>
            <w:tcW w:w="286" w:type="dxa"/>
            <w:tcBorders>
              <w:top w:val="single" w:sz="6" w:space="0" w:color="auto"/>
              <w:left w:val="single" w:sz="12" w:space="0" w:color="auto"/>
              <w:bottom w:val="single" w:sz="6" w:space="0" w:color="auto"/>
              <w:right w:val="single" w:sz="6" w:space="0" w:color="auto"/>
            </w:tcBorders>
          </w:tcPr>
          <w:p w14:paraId="389F6F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w:t>
            </w:r>
          </w:p>
        </w:tc>
        <w:tc>
          <w:tcPr>
            <w:tcW w:w="1525" w:type="dxa"/>
            <w:tcBorders>
              <w:top w:val="single" w:sz="6" w:space="0" w:color="auto"/>
              <w:left w:val="single" w:sz="6" w:space="0" w:color="auto"/>
              <w:bottom w:val="single" w:sz="6" w:space="0" w:color="auto"/>
              <w:right w:val="single" w:sz="6" w:space="0" w:color="auto"/>
            </w:tcBorders>
          </w:tcPr>
          <w:p w14:paraId="577CBD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Кондопожский бумкомбинат</w:t>
            </w:r>
          </w:p>
          <w:p w14:paraId="678289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(Карело-Финская ССР)</w:t>
            </w:r>
          </w:p>
        </w:tc>
        <w:tc>
          <w:tcPr>
            <w:tcW w:w="3069" w:type="dxa"/>
            <w:tcBorders>
              <w:top w:val="single" w:sz="6" w:space="0" w:color="auto"/>
              <w:left w:val="single" w:sz="6" w:space="0" w:color="auto"/>
              <w:bottom w:val="single" w:sz="6" w:space="0" w:color="auto"/>
              <w:right w:val="single" w:sz="6" w:space="0" w:color="auto"/>
            </w:tcBorders>
          </w:tcPr>
          <w:p w14:paraId="15DCE5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Стр-во Чепецкого</w:t>
            </w:r>
          </w:p>
          <w:p w14:paraId="566A4B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бумкомбината</w:t>
            </w:r>
          </w:p>
        </w:tc>
        <w:tc>
          <w:tcPr>
            <w:tcW w:w="1678" w:type="dxa"/>
            <w:tcBorders>
              <w:top w:val="single" w:sz="6" w:space="0" w:color="auto"/>
              <w:left w:val="single" w:sz="6" w:space="0" w:color="auto"/>
              <w:bottom w:val="single" w:sz="6" w:space="0" w:color="auto"/>
              <w:right w:val="single" w:sz="6" w:space="0" w:color="auto"/>
            </w:tcBorders>
          </w:tcPr>
          <w:p w14:paraId="46D621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 СЭ</w:t>
            </w:r>
          </w:p>
          <w:p w14:paraId="1FC5B0B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20/VIII - 41 г.</w:t>
            </w:r>
          </w:p>
          <w:p w14:paraId="7E1A60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5632сэ</w:t>
            </w:r>
          </w:p>
        </w:tc>
        <w:tc>
          <w:tcPr>
            <w:tcW w:w="603" w:type="dxa"/>
            <w:tcBorders>
              <w:top w:val="single" w:sz="6" w:space="0" w:color="auto"/>
              <w:left w:val="single" w:sz="6" w:space="0" w:color="auto"/>
              <w:bottom w:val="single" w:sz="6" w:space="0" w:color="auto"/>
              <w:right w:val="single" w:sz="12" w:space="0" w:color="auto"/>
            </w:tcBorders>
          </w:tcPr>
          <w:p w14:paraId="5501B6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0BB5C2C" w14:textId="77777777" w:rsidTr="000D3BCB">
        <w:tc>
          <w:tcPr>
            <w:tcW w:w="286" w:type="dxa"/>
            <w:tcBorders>
              <w:top w:val="single" w:sz="6" w:space="0" w:color="auto"/>
              <w:left w:val="single" w:sz="12" w:space="0" w:color="auto"/>
              <w:bottom w:val="single" w:sz="6" w:space="0" w:color="auto"/>
              <w:right w:val="single" w:sz="6" w:space="0" w:color="auto"/>
            </w:tcBorders>
          </w:tcPr>
          <w:p w14:paraId="705742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w:t>
            </w:r>
          </w:p>
        </w:tc>
        <w:tc>
          <w:tcPr>
            <w:tcW w:w="1525" w:type="dxa"/>
            <w:tcBorders>
              <w:top w:val="single" w:sz="6" w:space="0" w:color="auto"/>
              <w:left w:val="single" w:sz="6" w:space="0" w:color="auto"/>
              <w:bottom w:val="single" w:sz="6" w:space="0" w:color="auto"/>
              <w:right w:val="single" w:sz="6" w:space="0" w:color="auto"/>
            </w:tcBorders>
          </w:tcPr>
          <w:p w14:paraId="5EA927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Сясьский бумкомбинат</w:t>
            </w:r>
          </w:p>
          <w:p w14:paraId="1A5D52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(Ленинградская область)</w:t>
            </w:r>
          </w:p>
        </w:tc>
        <w:tc>
          <w:tcPr>
            <w:tcW w:w="3069" w:type="dxa"/>
            <w:tcBorders>
              <w:top w:val="single" w:sz="6" w:space="0" w:color="auto"/>
              <w:left w:val="single" w:sz="6" w:space="0" w:color="auto"/>
              <w:bottom w:val="single" w:sz="6" w:space="0" w:color="auto"/>
              <w:right w:val="single" w:sz="6" w:space="0" w:color="auto"/>
            </w:tcBorders>
          </w:tcPr>
          <w:p w14:paraId="0938EC3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там же</w:t>
            </w:r>
          </w:p>
        </w:tc>
        <w:tc>
          <w:tcPr>
            <w:tcW w:w="1678" w:type="dxa"/>
            <w:tcBorders>
              <w:top w:val="single" w:sz="6" w:space="0" w:color="auto"/>
              <w:left w:val="single" w:sz="6" w:space="0" w:color="auto"/>
              <w:bottom w:val="single" w:sz="6" w:space="0" w:color="auto"/>
              <w:right w:val="single" w:sz="6" w:space="0" w:color="auto"/>
            </w:tcBorders>
          </w:tcPr>
          <w:p w14:paraId="67CAFD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 СЭ</w:t>
            </w:r>
          </w:p>
          <w:p w14:paraId="716B29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20/VIII - 41 г.</w:t>
            </w:r>
          </w:p>
          <w:p w14:paraId="3712E1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5539-сэ</w:t>
            </w:r>
          </w:p>
        </w:tc>
        <w:tc>
          <w:tcPr>
            <w:tcW w:w="603" w:type="dxa"/>
            <w:tcBorders>
              <w:top w:val="single" w:sz="6" w:space="0" w:color="auto"/>
              <w:left w:val="single" w:sz="6" w:space="0" w:color="auto"/>
              <w:bottom w:val="single" w:sz="6" w:space="0" w:color="auto"/>
              <w:right w:val="single" w:sz="12" w:space="0" w:color="auto"/>
            </w:tcBorders>
          </w:tcPr>
          <w:p w14:paraId="6A739F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CC2E60C" w14:textId="77777777" w:rsidTr="000D3BCB">
        <w:tc>
          <w:tcPr>
            <w:tcW w:w="286" w:type="dxa"/>
            <w:tcBorders>
              <w:top w:val="single" w:sz="6" w:space="0" w:color="auto"/>
              <w:left w:val="single" w:sz="12" w:space="0" w:color="auto"/>
              <w:bottom w:val="single" w:sz="6" w:space="0" w:color="auto"/>
              <w:right w:val="single" w:sz="6" w:space="0" w:color="auto"/>
            </w:tcBorders>
          </w:tcPr>
          <w:p w14:paraId="5ECC00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c>
          <w:tcPr>
            <w:tcW w:w="1525" w:type="dxa"/>
            <w:tcBorders>
              <w:top w:val="single" w:sz="6" w:space="0" w:color="auto"/>
              <w:left w:val="single" w:sz="6" w:space="0" w:color="auto"/>
              <w:bottom w:val="single" w:sz="6" w:space="0" w:color="auto"/>
              <w:right w:val="single" w:sz="6" w:space="0" w:color="auto"/>
            </w:tcBorders>
          </w:tcPr>
          <w:p w14:paraId="5333FDE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Спичфабрика</w:t>
            </w:r>
          </w:p>
          <w:p w14:paraId="0CA0A4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 Ленина (Ленинградская область)</w:t>
            </w:r>
          </w:p>
        </w:tc>
        <w:tc>
          <w:tcPr>
            <w:tcW w:w="3069" w:type="dxa"/>
            <w:tcBorders>
              <w:top w:val="single" w:sz="6" w:space="0" w:color="auto"/>
              <w:left w:val="single" w:sz="6" w:space="0" w:color="auto"/>
              <w:bottom w:val="single" w:sz="6" w:space="0" w:color="auto"/>
              <w:right w:val="single" w:sz="6" w:space="0" w:color="auto"/>
            </w:tcBorders>
          </w:tcPr>
          <w:p w14:paraId="09C4EF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Спичфабрика "Красная звезда"</w:t>
            </w:r>
          </w:p>
        </w:tc>
        <w:tc>
          <w:tcPr>
            <w:tcW w:w="1678" w:type="dxa"/>
            <w:tcBorders>
              <w:top w:val="single" w:sz="6" w:space="0" w:color="auto"/>
              <w:left w:val="single" w:sz="6" w:space="0" w:color="auto"/>
              <w:bottom w:val="single" w:sz="6" w:space="0" w:color="auto"/>
              <w:right w:val="single" w:sz="6" w:space="0" w:color="auto"/>
            </w:tcBorders>
          </w:tcPr>
          <w:p w14:paraId="63339A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 СЭ</w:t>
            </w:r>
          </w:p>
          <w:p w14:paraId="4DCA55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20/VIII - 41 г.</w:t>
            </w:r>
          </w:p>
          <w:p w14:paraId="6645AB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5538-сэ</w:t>
            </w:r>
          </w:p>
        </w:tc>
        <w:tc>
          <w:tcPr>
            <w:tcW w:w="603" w:type="dxa"/>
            <w:tcBorders>
              <w:top w:val="single" w:sz="6" w:space="0" w:color="auto"/>
              <w:left w:val="single" w:sz="6" w:space="0" w:color="auto"/>
              <w:bottom w:val="single" w:sz="6" w:space="0" w:color="auto"/>
              <w:right w:val="single" w:sz="12" w:space="0" w:color="auto"/>
            </w:tcBorders>
          </w:tcPr>
          <w:p w14:paraId="19DCF5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AA6D88C" w14:textId="77777777" w:rsidTr="000D3BCB">
        <w:tc>
          <w:tcPr>
            <w:tcW w:w="286" w:type="dxa"/>
            <w:tcBorders>
              <w:top w:val="single" w:sz="6" w:space="0" w:color="auto"/>
              <w:left w:val="single" w:sz="12" w:space="0" w:color="auto"/>
              <w:bottom w:val="single" w:sz="6" w:space="0" w:color="auto"/>
              <w:right w:val="single" w:sz="6" w:space="0" w:color="auto"/>
            </w:tcBorders>
          </w:tcPr>
          <w:p w14:paraId="6C003D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w:t>
            </w:r>
          </w:p>
        </w:tc>
        <w:tc>
          <w:tcPr>
            <w:tcW w:w="1525" w:type="dxa"/>
            <w:tcBorders>
              <w:top w:val="single" w:sz="6" w:space="0" w:color="auto"/>
              <w:left w:val="single" w:sz="6" w:space="0" w:color="auto"/>
              <w:bottom w:val="single" w:sz="6" w:space="0" w:color="auto"/>
              <w:right w:val="single" w:sz="6" w:space="0" w:color="auto"/>
            </w:tcBorders>
          </w:tcPr>
          <w:p w14:paraId="60384AA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Спичфабрика "Пролетарское знамя"</w:t>
            </w:r>
          </w:p>
          <w:p w14:paraId="6A95D2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 Чудово Октяб. ж/д)</w:t>
            </w:r>
          </w:p>
        </w:tc>
        <w:tc>
          <w:tcPr>
            <w:tcW w:w="3069" w:type="dxa"/>
            <w:tcBorders>
              <w:top w:val="single" w:sz="6" w:space="0" w:color="auto"/>
              <w:left w:val="single" w:sz="6" w:space="0" w:color="auto"/>
              <w:bottom w:val="single" w:sz="6" w:space="0" w:color="auto"/>
              <w:right w:val="single" w:sz="6" w:space="0" w:color="auto"/>
            </w:tcBorders>
          </w:tcPr>
          <w:p w14:paraId="10CA70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там же</w:t>
            </w:r>
          </w:p>
        </w:tc>
        <w:tc>
          <w:tcPr>
            <w:tcW w:w="1678" w:type="dxa"/>
            <w:tcBorders>
              <w:top w:val="single" w:sz="6" w:space="0" w:color="auto"/>
              <w:left w:val="single" w:sz="6" w:space="0" w:color="auto"/>
              <w:bottom w:val="single" w:sz="6" w:space="0" w:color="auto"/>
              <w:right w:val="single" w:sz="6" w:space="0" w:color="auto"/>
            </w:tcBorders>
          </w:tcPr>
          <w:p w14:paraId="415139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 СЭ</w:t>
            </w:r>
          </w:p>
          <w:p w14:paraId="6413B9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20/VIII - 41 г.</w:t>
            </w:r>
          </w:p>
          <w:p w14:paraId="63BC52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5538-сэ</w:t>
            </w:r>
          </w:p>
        </w:tc>
        <w:tc>
          <w:tcPr>
            <w:tcW w:w="603" w:type="dxa"/>
            <w:tcBorders>
              <w:top w:val="single" w:sz="6" w:space="0" w:color="auto"/>
              <w:left w:val="single" w:sz="6" w:space="0" w:color="auto"/>
              <w:bottom w:val="single" w:sz="6" w:space="0" w:color="auto"/>
              <w:right w:val="single" w:sz="12" w:space="0" w:color="auto"/>
            </w:tcBorders>
          </w:tcPr>
          <w:p w14:paraId="4AB5C7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123A201" w14:textId="77777777" w:rsidTr="000D3BCB">
        <w:tc>
          <w:tcPr>
            <w:tcW w:w="286" w:type="dxa"/>
            <w:tcBorders>
              <w:top w:val="single" w:sz="6" w:space="0" w:color="auto"/>
              <w:left w:val="single" w:sz="12" w:space="0" w:color="auto"/>
              <w:bottom w:val="single" w:sz="6" w:space="0" w:color="auto"/>
              <w:right w:val="single" w:sz="6" w:space="0" w:color="auto"/>
            </w:tcBorders>
          </w:tcPr>
          <w:p w14:paraId="2DCE4C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w:t>
            </w:r>
          </w:p>
        </w:tc>
        <w:tc>
          <w:tcPr>
            <w:tcW w:w="1525" w:type="dxa"/>
            <w:tcBorders>
              <w:top w:val="single" w:sz="6" w:space="0" w:color="auto"/>
              <w:left w:val="single" w:sz="6" w:space="0" w:color="auto"/>
              <w:bottom w:val="single" w:sz="6" w:space="0" w:color="auto"/>
              <w:right w:val="single" w:sz="6" w:space="0" w:color="auto"/>
            </w:tcBorders>
          </w:tcPr>
          <w:p w14:paraId="5E58A1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Центральные механическ. мастерские (ст. Новозыбково Белорусской ж/д)</w:t>
            </w:r>
          </w:p>
        </w:tc>
        <w:tc>
          <w:tcPr>
            <w:tcW w:w="3069" w:type="dxa"/>
            <w:tcBorders>
              <w:top w:val="single" w:sz="6" w:space="0" w:color="auto"/>
              <w:left w:val="single" w:sz="6" w:space="0" w:color="auto"/>
              <w:bottom w:val="single" w:sz="6" w:space="0" w:color="auto"/>
              <w:right w:val="single" w:sz="6" w:space="0" w:color="auto"/>
            </w:tcBorders>
          </w:tcPr>
          <w:p w14:paraId="0928AE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там же</w:t>
            </w:r>
          </w:p>
        </w:tc>
        <w:tc>
          <w:tcPr>
            <w:tcW w:w="1678" w:type="dxa"/>
            <w:tcBorders>
              <w:top w:val="single" w:sz="6" w:space="0" w:color="auto"/>
              <w:left w:val="single" w:sz="6" w:space="0" w:color="auto"/>
              <w:bottom w:val="single" w:sz="6" w:space="0" w:color="auto"/>
              <w:right w:val="single" w:sz="6" w:space="0" w:color="auto"/>
            </w:tcBorders>
          </w:tcPr>
          <w:p w14:paraId="78C4A2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 же</w:t>
            </w:r>
          </w:p>
        </w:tc>
        <w:tc>
          <w:tcPr>
            <w:tcW w:w="603" w:type="dxa"/>
            <w:tcBorders>
              <w:top w:val="single" w:sz="6" w:space="0" w:color="auto"/>
              <w:left w:val="single" w:sz="6" w:space="0" w:color="auto"/>
              <w:bottom w:val="single" w:sz="6" w:space="0" w:color="auto"/>
              <w:right w:val="single" w:sz="12" w:space="0" w:color="auto"/>
            </w:tcBorders>
          </w:tcPr>
          <w:p w14:paraId="2A9A6B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B8797E0" w14:textId="77777777" w:rsidTr="000D3BCB">
        <w:tc>
          <w:tcPr>
            <w:tcW w:w="286" w:type="dxa"/>
            <w:tcBorders>
              <w:top w:val="single" w:sz="6" w:space="0" w:color="auto"/>
              <w:left w:val="single" w:sz="12" w:space="0" w:color="auto"/>
              <w:bottom w:val="single" w:sz="6" w:space="0" w:color="auto"/>
              <w:right w:val="single" w:sz="6" w:space="0" w:color="auto"/>
            </w:tcBorders>
          </w:tcPr>
          <w:p w14:paraId="4F0AB5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33.</w:t>
            </w:r>
          </w:p>
        </w:tc>
        <w:tc>
          <w:tcPr>
            <w:tcW w:w="1525" w:type="dxa"/>
            <w:tcBorders>
              <w:top w:val="single" w:sz="6" w:space="0" w:color="auto"/>
              <w:left w:val="single" w:sz="6" w:space="0" w:color="auto"/>
              <w:bottom w:val="single" w:sz="6" w:space="0" w:color="auto"/>
              <w:right w:val="single" w:sz="6" w:space="0" w:color="auto"/>
            </w:tcBorders>
          </w:tcPr>
          <w:p w14:paraId="68D8AE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Трикотажная фабрика Обллегпрома</w:t>
            </w:r>
          </w:p>
          <w:p w14:paraId="5BA463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Кременчуг)</w:t>
            </w:r>
          </w:p>
        </w:tc>
        <w:tc>
          <w:tcPr>
            <w:tcW w:w="3069" w:type="dxa"/>
            <w:tcBorders>
              <w:top w:val="single" w:sz="6" w:space="0" w:color="auto"/>
              <w:left w:val="single" w:sz="6" w:space="0" w:color="auto"/>
              <w:bottom w:val="single" w:sz="6" w:space="0" w:color="auto"/>
              <w:right w:val="single" w:sz="6" w:space="0" w:color="auto"/>
            </w:tcBorders>
          </w:tcPr>
          <w:p w14:paraId="4C7976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Трикотажная</w:t>
            </w:r>
          </w:p>
          <w:p w14:paraId="6AD1E7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ф-ка</w:t>
            </w:r>
          </w:p>
          <w:p w14:paraId="11AB3D4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Обллегпрома</w:t>
            </w:r>
          </w:p>
        </w:tc>
        <w:tc>
          <w:tcPr>
            <w:tcW w:w="1678" w:type="dxa"/>
            <w:tcBorders>
              <w:top w:val="single" w:sz="6" w:space="0" w:color="auto"/>
              <w:left w:val="single" w:sz="6" w:space="0" w:color="auto"/>
              <w:bottom w:val="single" w:sz="6" w:space="0" w:color="auto"/>
              <w:right w:val="single" w:sz="6" w:space="0" w:color="auto"/>
            </w:tcBorders>
          </w:tcPr>
          <w:p w14:paraId="715B42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 СЭ</w:t>
            </w:r>
          </w:p>
          <w:p w14:paraId="551DD9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25/VIII - 41 г.</w:t>
            </w:r>
          </w:p>
          <w:p w14:paraId="751B00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13656-сэ</w:t>
            </w:r>
          </w:p>
        </w:tc>
        <w:tc>
          <w:tcPr>
            <w:tcW w:w="603" w:type="dxa"/>
            <w:tcBorders>
              <w:top w:val="single" w:sz="6" w:space="0" w:color="auto"/>
              <w:left w:val="single" w:sz="6" w:space="0" w:color="auto"/>
              <w:bottom w:val="single" w:sz="6" w:space="0" w:color="auto"/>
              <w:right w:val="single" w:sz="12" w:space="0" w:color="auto"/>
            </w:tcBorders>
          </w:tcPr>
          <w:p w14:paraId="27E9B3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3B6BAC0" w14:textId="77777777" w:rsidTr="000D3BCB">
        <w:tc>
          <w:tcPr>
            <w:tcW w:w="286" w:type="dxa"/>
            <w:tcBorders>
              <w:top w:val="single" w:sz="6" w:space="0" w:color="auto"/>
              <w:left w:val="single" w:sz="12" w:space="0" w:color="auto"/>
              <w:bottom w:val="single" w:sz="6" w:space="0" w:color="auto"/>
              <w:right w:val="single" w:sz="6" w:space="0" w:color="auto"/>
            </w:tcBorders>
          </w:tcPr>
          <w:p w14:paraId="2BDA3A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34.</w:t>
            </w:r>
          </w:p>
        </w:tc>
        <w:tc>
          <w:tcPr>
            <w:tcW w:w="1525" w:type="dxa"/>
            <w:tcBorders>
              <w:top w:val="single" w:sz="6" w:space="0" w:color="auto"/>
              <w:left w:val="single" w:sz="6" w:space="0" w:color="auto"/>
              <w:bottom w:val="single" w:sz="6" w:space="0" w:color="auto"/>
              <w:right w:val="single" w:sz="6" w:space="0" w:color="auto"/>
            </w:tcBorders>
          </w:tcPr>
          <w:p w14:paraId="6DF5B2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Перчаточная фабрика</w:t>
            </w:r>
          </w:p>
          <w:p w14:paraId="05CCB0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Полтава)</w:t>
            </w:r>
          </w:p>
        </w:tc>
        <w:tc>
          <w:tcPr>
            <w:tcW w:w="3069" w:type="dxa"/>
            <w:tcBorders>
              <w:top w:val="single" w:sz="6" w:space="0" w:color="auto"/>
              <w:left w:val="single" w:sz="6" w:space="0" w:color="auto"/>
              <w:bottom w:val="single" w:sz="6" w:space="0" w:color="auto"/>
              <w:right w:val="single" w:sz="6" w:space="0" w:color="auto"/>
            </w:tcBorders>
          </w:tcPr>
          <w:p w14:paraId="18A222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там же</w:t>
            </w:r>
          </w:p>
        </w:tc>
        <w:tc>
          <w:tcPr>
            <w:tcW w:w="1678" w:type="dxa"/>
            <w:tcBorders>
              <w:top w:val="single" w:sz="6" w:space="0" w:color="auto"/>
              <w:left w:val="single" w:sz="6" w:space="0" w:color="auto"/>
              <w:bottom w:val="single" w:sz="6" w:space="0" w:color="auto"/>
              <w:right w:val="single" w:sz="6" w:space="0" w:color="auto"/>
            </w:tcBorders>
          </w:tcPr>
          <w:p w14:paraId="1F0050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 же</w:t>
            </w:r>
          </w:p>
        </w:tc>
        <w:tc>
          <w:tcPr>
            <w:tcW w:w="603" w:type="dxa"/>
            <w:tcBorders>
              <w:top w:val="single" w:sz="6" w:space="0" w:color="auto"/>
              <w:left w:val="single" w:sz="6" w:space="0" w:color="auto"/>
              <w:bottom w:val="single" w:sz="6" w:space="0" w:color="auto"/>
              <w:right w:val="single" w:sz="12" w:space="0" w:color="auto"/>
            </w:tcBorders>
          </w:tcPr>
          <w:p w14:paraId="6A1145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E6E505E" w14:textId="77777777" w:rsidTr="000D3BCB">
        <w:tc>
          <w:tcPr>
            <w:tcW w:w="286" w:type="dxa"/>
            <w:tcBorders>
              <w:top w:val="single" w:sz="6" w:space="0" w:color="auto"/>
              <w:left w:val="single" w:sz="12" w:space="0" w:color="auto"/>
              <w:bottom w:val="single" w:sz="6" w:space="0" w:color="auto"/>
              <w:right w:val="single" w:sz="6" w:space="0" w:color="auto"/>
            </w:tcBorders>
          </w:tcPr>
          <w:p w14:paraId="042728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w:t>
            </w:r>
          </w:p>
        </w:tc>
        <w:tc>
          <w:tcPr>
            <w:tcW w:w="1525" w:type="dxa"/>
            <w:tcBorders>
              <w:top w:val="single" w:sz="6" w:space="0" w:color="auto"/>
              <w:left w:val="single" w:sz="6" w:space="0" w:color="auto"/>
              <w:bottom w:val="single" w:sz="6" w:space="0" w:color="auto"/>
              <w:right w:val="single" w:sz="6" w:space="0" w:color="auto"/>
            </w:tcBorders>
          </w:tcPr>
          <w:p w14:paraId="6D41CF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Торфопредприятия: "Пальцо" и "Брянское"</w:t>
            </w:r>
          </w:p>
          <w:p w14:paraId="10C4AC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(Орловской области)</w:t>
            </w:r>
          </w:p>
        </w:tc>
        <w:tc>
          <w:tcPr>
            <w:tcW w:w="3069" w:type="dxa"/>
            <w:tcBorders>
              <w:top w:val="single" w:sz="6" w:space="0" w:color="auto"/>
              <w:left w:val="single" w:sz="6" w:space="0" w:color="auto"/>
              <w:bottom w:val="single" w:sz="6" w:space="0" w:color="auto"/>
              <w:right w:val="single" w:sz="6" w:space="0" w:color="auto"/>
            </w:tcBorders>
          </w:tcPr>
          <w:p w14:paraId="642D52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Каринское торфопредпри-ятие</w:t>
            </w:r>
          </w:p>
        </w:tc>
        <w:tc>
          <w:tcPr>
            <w:tcW w:w="1678" w:type="dxa"/>
            <w:tcBorders>
              <w:top w:val="single" w:sz="6" w:space="0" w:color="auto"/>
              <w:left w:val="single" w:sz="6" w:space="0" w:color="auto"/>
              <w:bottom w:val="single" w:sz="6" w:space="0" w:color="auto"/>
              <w:right w:val="single" w:sz="6" w:space="0" w:color="auto"/>
            </w:tcBorders>
          </w:tcPr>
          <w:p w14:paraId="39C21A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 СЭ</w:t>
            </w:r>
          </w:p>
          <w:p w14:paraId="666FC3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24/VIII - 41 г.</w:t>
            </w:r>
          </w:p>
          <w:p w14:paraId="68A3CD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13635-сэ</w:t>
            </w:r>
          </w:p>
        </w:tc>
        <w:tc>
          <w:tcPr>
            <w:tcW w:w="603" w:type="dxa"/>
            <w:tcBorders>
              <w:top w:val="single" w:sz="6" w:space="0" w:color="auto"/>
              <w:left w:val="single" w:sz="6" w:space="0" w:color="auto"/>
              <w:bottom w:val="single" w:sz="6" w:space="0" w:color="auto"/>
              <w:right w:val="single" w:sz="12" w:space="0" w:color="auto"/>
            </w:tcBorders>
          </w:tcPr>
          <w:p w14:paraId="6EFDEC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1B003C3" w14:textId="77777777" w:rsidTr="000D3BCB">
        <w:tc>
          <w:tcPr>
            <w:tcW w:w="286" w:type="dxa"/>
            <w:tcBorders>
              <w:top w:val="single" w:sz="6" w:space="0" w:color="auto"/>
              <w:left w:val="single" w:sz="12" w:space="0" w:color="auto"/>
              <w:bottom w:val="single" w:sz="6" w:space="0" w:color="auto"/>
              <w:right w:val="single" w:sz="6" w:space="0" w:color="auto"/>
            </w:tcBorders>
          </w:tcPr>
          <w:p w14:paraId="090DE8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36.</w:t>
            </w:r>
          </w:p>
        </w:tc>
        <w:tc>
          <w:tcPr>
            <w:tcW w:w="1525" w:type="dxa"/>
            <w:tcBorders>
              <w:top w:val="single" w:sz="6" w:space="0" w:color="auto"/>
              <w:left w:val="single" w:sz="6" w:space="0" w:color="auto"/>
              <w:bottom w:val="single" w:sz="6" w:space="0" w:color="auto"/>
              <w:right w:val="single" w:sz="6" w:space="0" w:color="auto"/>
            </w:tcBorders>
          </w:tcPr>
          <w:p w14:paraId="75A186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Бумфабрика</w:t>
            </w:r>
          </w:p>
          <w:p w14:paraId="50C245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 Володарского</w:t>
            </w:r>
          </w:p>
          <w:p w14:paraId="47F624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(Ленинград)</w:t>
            </w:r>
          </w:p>
        </w:tc>
        <w:tc>
          <w:tcPr>
            <w:tcW w:w="3069" w:type="dxa"/>
            <w:tcBorders>
              <w:top w:val="single" w:sz="6" w:space="0" w:color="auto"/>
              <w:left w:val="single" w:sz="6" w:space="0" w:color="auto"/>
              <w:bottom w:val="single" w:sz="6" w:space="0" w:color="auto"/>
              <w:right w:val="single" w:sz="6" w:space="0" w:color="auto"/>
            </w:tcBorders>
          </w:tcPr>
          <w:p w14:paraId="48DD7B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Косинскую</w:t>
            </w:r>
          </w:p>
          <w:p w14:paraId="73EA9D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бумаж. фабрику</w:t>
            </w:r>
          </w:p>
        </w:tc>
        <w:tc>
          <w:tcPr>
            <w:tcW w:w="1678" w:type="dxa"/>
            <w:tcBorders>
              <w:top w:val="single" w:sz="6" w:space="0" w:color="auto"/>
              <w:left w:val="single" w:sz="6" w:space="0" w:color="auto"/>
              <w:bottom w:val="single" w:sz="6" w:space="0" w:color="auto"/>
              <w:right w:val="single" w:sz="6" w:space="0" w:color="auto"/>
            </w:tcBorders>
          </w:tcPr>
          <w:p w14:paraId="0AA1B7F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 СЭ</w:t>
            </w:r>
          </w:p>
          <w:p w14:paraId="791B57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23/VIII-1941 г.</w:t>
            </w:r>
          </w:p>
          <w:p w14:paraId="28FF2C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13523-сэ</w:t>
            </w:r>
          </w:p>
        </w:tc>
        <w:tc>
          <w:tcPr>
            <w:tcW w:w="603" w:type="dxa"/>
            <w:tcBorders>
              <w:top w:val="single" w:sz="6" w:space="0" w:color="auto"/>
              <w:left w:val="single" w:sz="6" w:space="0" w:color="auto"/>
              <w:bottom w:val="single" w:sz="6" w:space="0" w:color="auto"/>
              <w:right w:val="single" w:sz="12" w:space="0" w:color="auto"/>
            </w:tcBorders>
          </w:tcPr>
          <w:p w14:paraId="6051EAF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D7B45CA" w14:textId="77777777" w:rsidTr="000D3BCB">
        <w:tc>
          <w:tcPr>
            <w:tcW w:w="286" w:type="dxa"/>
            <w:tcBorders>
              <w:top w:val="single" w:sz="6" w:space="0" w:color="auto"/>
              <w:left w:val="single" w:sz="12" w:space="0" w:color="auto"/>
              <w:bottom w:val="single" w:sz="6" w:space="0" w:color="auto"/>
              <w:right w:val="single" w:sz="6" w:space="0" w:color="auto"/>
            </w:tcBorders>
          </w:tcPr>
          <w:p w14:paraId="188D17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37.</w:t>
            </w:r>
          </w:p>
        </w:tc>
        <w:tc>
          <w:tcPr>
            <w:tcW w:w="1525" w:type="dxa"/>
            <w:tcBorders>
              <w:top w:val="single" w:sz="6" w:space="0" w:color="auto"/>
              <w:left w:val="single" w:sz="6" w:space="0" w:color="auto"/>
              <w:bottom w:val="single" w:sz="6" w:space="0" w:color="auto"/>
              <w:right w:val="single" w:sz="6" w:space="0" w:color="auto"/>
            </w:tcBorders>
          </w:tcPr>
          <w:p w14:paraId="77C1A9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Киришский деревообделочный комбинат (Ленинградской области)</w:t>
            </w:r>
          </w:p>
        </w:tc>
        <w:tc>
          <w:tcPr>
            <w:tcW w:w="3069" w:type="dxa"/>
            <w:tcBorders>
              <w:top w:val="single" w:sz="6" w:space="0" w:color="auto"/>
              <w:left w:val="single" w:sz="6" w:space="0" w:color="auto"/>
              <w:bottom w:val="single" w:sz="6" w:space="0" w:color="auto"/>
              <w:right w:val="single" w:sz="6" w:space="0" w:color="auto"/>
            </w:tcBorders>
          </w:tcPr>
          <w:p w14:paraId="5B97FB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Лесозавод № 1</w:t>
            </w:r>
          </w:p>
          <w:p w14:paraId="7093EA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 Ст. Халтурина</w:t>
            </w:r>
          </w:p>
        </w:tc>
        <w:tc>
          <w:tcPr>
            <w:tcW w:w="1678" w:type="dxa"/>
            <w:tcBorders>
              <w:top w:val="single" w:sz="6" w:space="0" w:color="auto"/>
              <w:left w:val="single" w:sz="6" w:space="0" w:color="auto"/>
              <w:bottom w:val="single" w:sz="6" w:space="0" w:color="auto"/>
              <w:right w:val="single" w:sz="6" w:space="0" w:color="auto"/>
            </w:tcBorders>
          </w:tcPr>
          <w:p w14:paraId="758C42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 СЭ</w:t>
            </w:r>
          </w:p>
          <w:p w14:paraId="20ED72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23/VIII - 41 г.</w:t>
            </w:r>
          </w:p>
          <w:p w14:paraId="5040E4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13632-сэ</w:t>
            </w:r>
          </w:p>
        </w:tc>
        <w:tc>
          <w:tcPr>
            <w:tcW w:w="603" w:type="dxa"/>
            <w:tcBorders>
              <w:top w:val="single" w:sz="6" w:space="0" w:color="auto"/>
              <w:left w:val="single" w:sz="6" w:space="0" w:color="auto"/>
              <w:bottom w:val="single" w:sz="6" w:space="0" w:color="auto"/>
              <w:right w:val="single" w:sz="12" w:space="0" w:color="auto"/>
            </w:tcBorders>
          </w:tcPr>
          <w:p w14:paraId="6481AA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A29B5DF" w14:textId="77777777" w:rsidTr="000D3BCB">
        <w:tc>
          <w:tcPr>
            <w:tcW w:w="286" w:type="dxa"/>
            <w:tcBorders>
              <w:top w:val="single" w:sz="6" w:space="0" w:color="auto"/>
              <w:left w:val="single" w:sz="12" w:space="0" w:color="auto"/>
              <w:bottom w:val="single" w:sz="6" w:space="0" w:color="auto"/>
              <w:right w:val="single" w:sz="6" w:space="0" w:color="auto"/>
            </w:tcBorders>
          </w:tcPr>
          <w:p w14:paraId="5D3140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w:t>
            </w:r>
          </w:p>
        </w:tc>
        <w:tc>
          <w:tcPr>
            <w:tcW w:w="1525" w:type="dxa"/>
            <w:tcBorders>
              <w:top w:val="single" w:sz="6" w:space="0" w:color="auto"/>
              <w:left w:val="single" w:sz="6" w:space="0" w:color="auto"/>
              <w:bottom w:val="single" w:sz="6" w:space="0" w:color="auto"/>
              <w:right w:val="single" w:sz="6" w:space="0" w:color="auto"/>
            </w:tcBorders>
          </w:tcPr>
          <w:p w14:paraId="458F0F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Ленинградский фанерный завод</w:t>
            </w:r>
          </w:p>
          <w:p w14:paraId="1C5DE8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 Аврова</w:t>
            </w:r>
          </w:p>
          <w:p w14:paraId="59ABF1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(Ленинград)</w:t>
            </w:r>
          </w:p>
        </w:tc>
        <w:tc>
          <w:tcPr>
            <w:tcW w:w="3069" w:type="dxa"/>
            <w:tcBorders>
              <w:top w:val="single" w:sz="6" w:space="0" w:color="auto"/>
              <w:left w:val="single" w:sz="6" w:space="0" w:color="auto"/>
              <w:bottom w:val="single" w:sz="6" w:space="0" w:color="auto"/>
              <w:right w:val="single" w:sz="6" w:space="0" w:color="auto"/>
            </w:tcBorders>
          </w:tcPr>
          <w:p w14:paraId="345D88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Фанерный завод</w:t>
            </w:r>
          </w:p>
          <w:p w14:paraId="035538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"Красный якорь"</w:t>
            </w:r>
          </w:p>
          <w:p w14:paraId="7755EF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(Слободской район)</w:t>
            </w:r>
          </w:p>
        </w:tc>
        <w:tc>
          <w:tcPr>
            <w:tcW w:w="1678" w:type="dxa"/>
            <w:tcBorders>
              <w:top w:val="single" w:sz="6" w:space="0" w:color="auto"/>
              <w:left w:val="single" w:sz="6" w:space="0" w:color="auto"/>
              <w:bottom w:val="single" w:sz="6" w:space="0" w:color="auto"/>
              <w:right w:val="single" w:sz="6" w:space="0" w:color="auto"/>
            </w:tcBorders>
          </w:tcPr>
          <w:p w14:paraId="36E301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 же</w:t>
            </w:r>
          </w:p>
        </w:tc>
        <w:tc>
          <w:tcPr>
            <w:tcW w:w="603" w:type="dxa"/>
            <w:tcBorders>
              <w:top w:val="single" w:sz="6" w:space="0" w:color="auto"/>
              <w:left w:val="single" w:sz="6" w:space="0" w:color="auto"/>
              <w:bottom w:val="single" w:sz="6" w:space="0" w:color="auto"/>
              <w:right w:val="single" w:sz="12" w:space="0" w:color="auto"/>
            </w:tcBorders>
          </w:tcPr>
          <w:p w14:paraId="3DADA8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B4FC3C2" w14:textId="77777777" w:rsidTr="000D3BCB">
        <w:tc>
          <w:tcPr>
            <w:tcW w:w="286" w:type="dxa"/>
            <w:tcBorders>
              <w:top w:val="single" w:sz="6" w:space="0" w:color="auto"/>
              <w:left w:val="single" w:sz="12" w:space="0" w:color="auto"/>
              <w:bottom w:val="single" w:sz="6" w:space="0" w:color="auto"/>
              <w:right w:val="single" w:sz="6" w:space="0" w:color="auto"/>
            </w:tcBorders>
          </w:tcPr>
          <w:p w14:paraId="3D3300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w:t>
            </w:r>
          </w:p>
        </w:tc>
        <w:tc>
          <w:tcPr>
            <w:tcW w:w="1525" w:type="dxa"/>
            <w:tcBorders>
              <w:top w:val="single" w:sz="6" w:space="0" w:color="auto"/>
              <w:left w:val="single" w:sz="6" w:space="0" w:color="auto"/>
              <w:bottom w:val="single" w:sz="6" w:space="0" w:color="auto"/>
              <w:right w:val="single" w:sz="6" w:space="0" w:color="auto"/>
            </w:tcBorders>
          </w:tcPr>
          <w:p w14:paraId="689417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Лесопильный завод</w:t>
            </w:r>
          </w:p>
          <w:p w14:paraId="1467D39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 Халтурина</w:t>
            </w:r>
          </w:p>
          <w:p w14:paraId="6E2C39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(Ленинград)</w:t>
            </w:r>
          </w:p>
        </w:tc>
        <w:tc>
          <w:tcPr>
            <w:tcW w:w="3069" w:type="dxa"/>
            <w:tcBorders>
              <w:top w:val="single" w:sz="6" w:space="0" w:color="auto"/>
              <w:left w:val="single" w:sz="6" w:space="0" w:color="auto"/>
              <w:bottom w:val="single" w:sz="6" w:space="0" w:color="auto"/>
              <w:right w:val="single" w:sz="6" w:space="0" w:color="auto"/>
            </w:tcBorders>
          </w:tcPr>
          <w:p w14:paraId="31952C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Лесозавод № 2</w:t>
            </w:r>
          </w:p>
          <w:p w14:paraId="42E815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(берег р. Вятки)</w:t>
            </w:r>
          </w:p>
        </w:tc>
        <w:tc>
          <w:tcPr>
            <w:tcW w:w="1678" w:type="dxa"/>
            <w:tcBorders>
              <w:top w:val="single" w:sz="6" w:space="0" w:color="auto"/>
              <w:left w:val="single" w:sz="6" w:space="0" w:color="auto"/>
              <w:bottom w:val="single" w:sz="6" w:space="0" w:color="auto"/>
              <w:right w:val="single" w:sz="6" w:space="0" w:color="auto"/>
            </w:tcBorders>
          </w:tcPr>
          <w:p w14:paraId="5C820E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 СЭ</w:t>
            </w:r>
          </w:p>
          <w:p w14:paraId="046DA8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23/VIII - 41 г.</w:t>
            </w:r>
          </w:p>
          <w:p w14:paraId="7DD9AE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13632-сэ</w:t>
            </w:r>
          </w:p>
        </w:tc>
        <w:tc>
          <w:tcPr>
            <w:tcW w:w="603" w:type="dxa"/>
            <w:tcBorders>
              <w:top w:val="single" w:sz="6" w:space="0" w:color="auto"/>
              <w:left w:val="single" w:sz="6" w:space="0" w:color="auto"/>
              <w:bottom w:val="single" w:sz="6" w:space="0" w:color="auto"/>
              <w:right w:val="single" w:sz="12" w:space="0" w:color="auto"/>
            </w:tcBorders>
          </w:tcPr>
          <w:p w14:paraId="23082A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8B209EF" w14:textId="77777777" w:rsidTr="000D3BCB">
        <w:tc>
          <w:tcPr>
            <w:tcW w:w="286" w:type="dxa"/>
            <w:tcBorders>
              <w:top w:val="single" w:sz="6" w:space="0" w:color="auto"/>
              <w:left w:val="single" w:sz="12" w:space="0" w:color="auto"/>
              <w:bottom w:val="single" w:sz="6" w:space="0" w:color="auto"/>
              <w:right w:val="single" w:sz="6" w:space="0" w:color="auto"/>
            </w:tcBorders>
          </w:tcPr>
          <w:p w14:paraId="0E1593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w:t>
            </w:r>
          </w:p>
        </w:tc>
        <w:tc>
          <w:tcPr>
            <w:tcW w:w="1525" w:type="dxa"/>
            <w:tcBorders>
              <w:top w:val="single" w:sz="6" w:space="0" w:color="auto"/>
              <w:left w:val="single" w:sz="6" w:space="0" w:color="auto"/>
              <w:bottom w:val="single" w:sz="6" w:space="0" w:color="auto"/>
              <w:right w:val="single" w:sz="6" w:space="0" w:color="auto"/>
            </w:tcBorders>
          </w:tcPr>
          <w:p w14:paraId="6CBA7F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Ленинградский завод им. Воскова</w:t>
            </w:r>
          </w:p>
        </w:tc>
        <w:tc>
          <w:tcPr>
            <w:tcW w:w="3069" w:type="dxa"/>
            <w:tcBorders>
              <w:top w:val="single" w:sz="6" w:space="0" w:color="auto"/>
              <w:left w:val="single" w:sz="6" w:space="0" w:color="auto"/>
              <w:bottom w:val="single" w:sz="6" w:space="0" w:color="auto"/>
              <w:right w:val="single" w:sz="6" w:space="0" w:color="auto"/>
            </w:tcBorders>
          </w:tcPr>
          <w:p w14:paraId="49B0BC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Сосновский лесозавод Росглавдрева (Вятскополянский район)</w:t>
            </w:r>
          </w:p>
        </w:tc>
        <w:tc>
          <w:tcPr>
            <w:tcW w:w="1678" w:type="dxa"/>
            <w:tcBorders>
              <w:top w:val="single" w:sz="6" w:space="0" w:color="auto"/>
              <w:left w:val="single" w:sz="6" w:space="0" w:color="auto"/>
              <w:bottom w:val="single" w:sz="6" w:space="0" w:color="auto"/>
              <w:right w:val="single" w:sz="6" w:space="0" w:color="auto"/>
            </w:tcBorders>
          </w:tcPr>
          <w:p w14:paraId="1C46E1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 же</w:t>
            </w:r>
          </w:p>
        </w:tc>
        <w:tc>
          <w:tcPr>
            <w:tcW w:w="603" w:type="dxa"/>
            <w:tcBorders>
              <w:top w:val="single" w:sz="6" w:space="0" w:color="auto"/>
              <w:left w:val="single" w:sz="6" w:space="0" w:color="auto"/>
              <w:bottom w:val="single" w:sz="6" w:space="0" w:color="auto"/>
              <w:right w:val="single" w:sz="12" w:space="0" w:color="auto"/>
            </w:tcBorders>
          </w:tcPr>
          <w:p w14:paraId="665728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FC9F3D8" w14:textId="77777777" w:rsidTr="000D3BCB">
        <w:tc>
          <w:tcPr>
            <w:tcW w:w="286" w:type="dxa"/>
            <w:tcBorders>
              <w:top w:val="single" w:sz="6" w:space="0" w:color="auto"/>
              <w:left w:val="single" w:sz="12" w:space="0" w:color="auto"/>
              <w:bottom w:val="single" w:sz="6" w:space="0" w:color="auto"/>
              <w:right w:val="single" w:sz="6" w:space="0" w:color="auto"/>
            </w:tcBorders>
          </w:tcPr>
          <w:p w14:paraId="2133E8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41.</w:t>
            </w:r>
          </w:p>
        </w:tc>
        <w:tc>
          <w:tcPr>
            <w:tcW w:w="1525" w:type="dxa"/>
            <w:tcBorders>
              <w:top w:val="single" w:sz="6" w:space="0" w:color="auto"/>
              <w:left w:val="single" w:sz="6" w:space="0" w:color="auto"/>
              <w:bottom w:val="single" w:sz="6" w:space="0" w:color="auto"/>
              <w:right w:val="single" w:sz="6" w:space="0" w:color="auto"/>
            </w:tcBorders>
          </w:tcPr>
          <w:p w14:paraId="5F618B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Донецкая бумфабрика</w:t>
            </w:r>
          </w:p>
          <w:p w14:paraId="3C2748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 Змиев</w:t>
            </w:r>
          </w:p>
          <w:p w14:paraId="4A08B5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Сев.-Дон. ж/д</w:t>
            </w:r>
          </w:p>
          <w:p w14:paraId="4B3514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Харьковской области)</w:t>
            </w:r>
          </w:p>
        </w:tc>
        <w:tc>
          <w:tcPr>
            <w:tcW w:w="3069" w:type="dxa"/>
            <w:tcBorders>
              <w:top w:val="single" w:sz="6" w:space="0" w:color="auto"/>
              <w:left w:val="single" w:sz="6" w:space="0" w:color="auto"/>
              <w:bottom w:val="single" w:sz="6" w:space="0" w:color="auto"/>
              <w:right w:val="single" w:sz="6" w:space="0" w:color="auto"/>
            </w:tcBorders>
          </w:tcPr>
          <w:p w14:paraId="4E71CD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Косинская бумфабрика Зуевского района</w:t>
            </w:r>
          </w:p>
        </w:tc>
        <w:tc>
          <w:tcPr>
            <w:tcW w:w="1678" w:type="dxa"/>
            <w:tcBorders>
              <w:top w:val="single" w:sz="6" w:space="0" w:color="auto"/>
              <w:left w:val="single" w:sz="6" w:space="0" w:color="auto"/>
              <w:bottom w:val="single" w:sz="6" w:space="0" w:color="auto"/>
              <w:right w:val="single" w:sz="6" w:space="0" w:color="auto"/>
            </w:tcBorders>
          </w:tcPr>
          <w:p w14:paraId="7EEB408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 СЭ</w:t>
            </w:r>
          </w:p>
          <w:p w14:paraId="22186C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4/IX - 41 г.</w:t>
            </w:r>
          </w:p>
          <w:p w14:paraId="1E19106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13825-сэ</w:t>
            </w:r>
          </w:p>
        </w:tc>
        <w:tc>
          <w:tcPr>
            <w:tcW w:w="603" w:type="dxa"/>
            <w:tcBorders>
              <w:top w:val="single" w:sz="6" w:space="0" w:color="auto"/>
              <w:left w:val="single" w:sz="6" w:space="0" w:color="auto"/>
              <w:bottom w:val="single" w:sz="6" w:space="0" w:color="auto"/>
              <w:right w:val="single" w:sz="12" w:space="0" w:color="auto"/>
            </w:tcBorders>
          </w:tcPr>
          <w:p w14:paraId="429817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3FB8E16" w14:textId="77777777" w:rsidTr="000D3BCB">
        <w:tc>
          <w:tcPr>
            <w:tcW w:w="286" w:type="dxa"/>
            <w:tcBorders>
              <w:top w:val="single" w:sz="6" w:space="0" w:color="auto"/>
              <w:left w:val="single" w:sz="12" w:space="0" w:color="auto"/>
              <w:bottom w:val="single" w:sz="6" w:space="0" w:color="auto"/>
              <w:right w:val="single" w:sz="6" w:space="0" w:color="auto"/>
            </w:tcBorders>
          </w:tcPr>
          <w:p w14:paraId="619C92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42.</w:t>
            </w:r>
          </w:p>
        </w:tc>
        <w:tc>
          <w:tcPr>
            <w:tcW w:w="1525" w:type="dxa"/>
            <w:tcBorders>
              <w:top w:val="single" w:sz="6" w:space="0" w:color="auto"/>
              <w:left w:val="single" w:sz="6" w:space="0" w:color="auto"/>
              <w:bottom w:val="single" w:sz="6" w:space="0" w:color="auto"/>
              <w:right w:val="single" w:sz="6" w:space="0" w:color="auto"/>
            </w:tcBorders>
          </w:tcPr>
          <w:p w14:paraId="4EB549E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Торфопредприятие "Осташково"</w:t>
            </w:r>
          </w:p>
          <w:p w14:paraId="1BDFF69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Осташков Калининской области)</w:t>
            </w:r>
          </w:p>
        </w:tc>
        <w:tc>
          <w:tcPr>
            <w:tcW w:w="3069" w:type="dxa"/>
            <w:tcBorders>
              <w:top w:val="single" w:sz="6" w:space="0" w:color="auto"/>
              <w:left w:val="single" w:sz="6" w:space="0" w:color="auto"/>
              <w:bottom w:val="single" w:sz="6" w:space="0" w:color="auto"/>
              <w:right w:val="single" w:sz="6" w:space="0" w:color="auto"/>
            </w:tcBorders>
          </w:tcPr>
          <w:p w14:paraId="7A0394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Гадовское торфопредприятие (ст. Стрижи</w:t>
            </w:r>
          </w:p>
          <w:p w14:paraId="766AEB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Горьковск. жел/дороги)</w:t>
            </w:r>
          </w:p>
        </w:tc>
        <w:tc>
          <w:tcPr>
            <w:tcW w:w="1678" w:type="dxa"/>
            <w:tcBorders>
              <w:top w:val="single" w:sz="6" w:space="0" w:color="auto"/>
              <w:left w:val="single" w:sz="6" w:space="0" w:color="auto"/>
              <w:bottom w:val="single" w:sz="6" w:space="0" w:color="auto"/>
              <w:right w:val="single" w:sz="6" w:space="0" w:color="auto"/>
            </w:tcBorders>
          </w:tcPr>
          <w:p w14:paraId="7EE386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 СЭ</w:t>
            </w:r>
          </w:p>
          <w:p w14:paraId="799ACE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4/IX - 41 г.</w:t>
            </w:r>
          </w:p>
          <w:p w14:paraId="42FBA6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13834-сэ</w:t>
            </w:r>
          </w:p>
        </w:tc>
        <w:tc>
          <w:tcPr>
            <w:tcW w:w="603" w:type="dxa"/>
            <w:tcBorders>
              <w:top w:val="single" w:sz="6" w:space="0" w:color="auto"/>
              <w:left w:val="single" w:sz="6" w:space="0" w:color="auto"/>
              <w:bottom w:val="single" w:sz="6" w:space="0" w:color="auto"/>
              <w:right w:val="single" w:sz="12" w:space="0" w:color="auto"/>
            </w:tcBorders>
          </w:tcPr>
          <w:p w14:paraId="4B36E4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01D6BCF" w14:textId="77777777" w:rsidTr="000D3BCB">
        <w:tc>
          <w:tcPr>
            <w:tcW w:w="286" w:type="dxa"/>
            <w:tcBorders>
              <w:top w:val="single" w:sz="6" w:space="0" w:color="auto"/>
              <w:left w:val="single" w:sz="12" w:space="0" w:color="auto"/>
              <w:bottom w:val="single" w:sz="6" w:space="0" w:color="auto"/>
              <w:right w:val="single" w:sz="6" w:space="0" w:color="auto"/>
            </w:tcBorders>
          </w:tcPr>
          <w:p w14:paraId="3486A31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43.</w:t>
            </w:r>
          </w:p>
        </w:tc>
        <w:tc>
          <w:tcPr>
            <w:tcW w:w="1525" w:type="dxa"/>
            <w:tcBorders>
              <w:top w:val="single" w:sz="6" w:space="0" w:color="auto"/>
              <w:left w:val="single" w:sz="6" w:space="0" w:color="auto"/>
              <w:bottom w:val="single" w:sz="6" w:space="0" w:color="auto"/>
              <w:right w:val="single" w:sz="6" w:space="0" w:color="auto"/>
            </w:tcBorders>
          </w:tcPr>
          <w:p w14:paraId="2C2C16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Обувная фабрика</w:t>
            </w:r>
          </w:p>
          <w:p w14:paraId="3270C8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 Леккерта</w:t>
            </w:r>
          </w:p>
          <w:p w14:paraId="2BBCEB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Торжок</w:t>
            </w:r>
          </w:p>
          <w:p w14:paraId="09B0BA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Калининской области)</w:t>
            </w:r>
          </w:p>
        </w:tc>
        <w:tc>
          <w:tcPr>
            <w:tcW w:w="3069" w:type="dxa"/>
            <w:tcBorders>
              <w:top w:val="single" w:sz="6" w:space="0" w:color="auto"/>
              <w:left w:val="single" w:sz="6" w:space="0" w:color="auto"/>
              <w:bottom w:val="single" w:sz="6" w:space="0" w:color="auto"/>
              <w:right w:val="single" w:sz="6" w:space="0" w:color="auto"/>
            </w:tcBorders>
          </w:tcPr>
          <w:p w14:paraId="5BFC06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Кожкомбинат</w:t>
            </w:r>
          </w:p>
          <w:p w14:paraId="6E81BD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 Ленина</w:t>
            </w:r>
          </w:p>
          <w:p w14:paraId="023F68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 Вахруши</w:t>
            </w:r>
          </w:p>
          <w:p w14:paraId="558F64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Горьковской ж/д)</w:t>
            </w:r>
          </w:p>
        </w:tc>
        <w:tc>
          <w:tcPr>
            <w:tcW w:w="1678" w:type="dxa"/>
            <w:tcBorders>
              <w:top w:val="single" w:sz="6" w:space="0" w:color="auto"/>
              <w:left w:val="single" w:sz="6" w:space="0" w:color="auto"/>
              <w:bottom w:val="single" w:sz="6" w:space="0" w:color="auto"/>
              <w:right w:val="single" w:sz="6" w:space="0" w:color="auto"/>
            </w:tcBorders>
          </w:tcPr>
          <w:p w14:paraId="7905AE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 СЭ</w:t>
            </w:r>
          </w:p>
          <w:p w14:paraId="6A05B2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4/IX - 41 г.</w:t>
            </w:r>
          </w:p>
          <w:p w14:paraId="77AF3E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13834-сэ</w:t>
            </w:r>
          </w:p>
        </w:tc>
        <w:tc>
          <w:tcPr>
            <w:tcW w:w="603" w:type="dxa"/>
            <w:tcBorders>
              <w:top w:val="single" w:sz="6" w:space="0" w:color="auto"/>
              <w:left w:val="single" w:sz="6" w:space="0" w:color="auto"/>
              <w:bottom w:val="single" w:sz="6" w:space="0" w:color="auto"/>
              <w:right w:val="single" w:sz="12" w:space="0" w:color="auto"/>
            </w:tcBorders>
          </w:tcPr>
          <w:p w14:paraId="18EFBC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17B6F7C" w14:textId="77777777" w:rsidTr="000D3BCB">
        <w:tc>
          <w:tcPr>
            <w:tcW w:w="286" w:type="dxa"/>
            <w:tcBorders>
              <w:top w:val="single" w:sz="6" w:space="0" w:color="auto"/>
              <w:left w:val="single" w:sz="12" w:space="0" w:color="auto"/>
              <w:bottom w:val="single" w:sz="6" w:space="0" w:color="auto"/>
              <w:right w:val="single" w:sz="6" w:space="0" w:color="auto"/>
            </w:tcBorders>
          </w:tcPr>
          <w:p w14:paraId="43BDAA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44.</w:t>
            </w:r>
          </w:p>
        </w:tc>
        <w:tc>
          <w:tcPr>
            <w:tcW w:w="1525" w:type="dxa"/>
            <w:tcBorders>
              <w:top w:val="single" w:sz="6" w:space="0" w:color="auto"/>
              <w:left w:val="single" w:sz="6" w:space="0" w:color="auto"/>
              <w:bottom w:val="single" w:sz="6" w:space="0" w:color="auto"/>
              <w:right w:val="single" w:sz="6" w:space="0" w:color="auto"/>
            </w:tcBorders>
          </w:tcPr>
          <w:p w14:paraId="5E4219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резиновой</w:t>
            </w:r>
          </w:p>
          <w:p w14:paraId="28C82F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подошвы "Крепз"</w:t>
            </w:r>
          </w:p>
          <w:p w14:paraId="22C9FCE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(2-я очередь)</w:t>
            </w:r>
          </w:p>
          <w:p w14:paraId="39F6E7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Калинин)</w:t>
            </w:r>
          </w:p>
        </w:tc>
        <w:tc>
          <w:tcPr>
            <w:tcW w:w="3069" w:type="dxa"/>
            <w:tcBorders>
              <w:top w:val="single" w:sz="6" w:space="0" w:color="auto"/>
              <w:left w:val="single" w:sz="6" w:space="0" w:color="auto"/>
              <w:bottom w:val="single" w:sz="6" w:space="0" w:color="auto"/>
              <w:right w:val="single" w:sz="6" w:space="0" w:color="auto"/>
            </w:tcBorders>
          </w:tcPr>
          <w:p w14:paraId="501E05A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Комбинат "Искож"</w:t>
            </w:r>
          </w:p>
        </w:tc>
        <w:tc>
          <w:tcPr>
            <w:tcW w:w="1678" w:type="dxa"/>
            <w:tcBorders>
              <w:top w:val="single" w:sz="6" w:space="0" w:color="auto"/>
              <w:left w:val="single" w:sz="6" w:space="0" w:color="auto"/>
              <w:bottom w:val="single" w:sz="6" w:space="0" w:color="auto"/>
              <w:right w:val="single" w:sz="6" w:space="0" w:color="auto"/>
            </w:tcBorders>
          </w:tcPr>
          <w:p w14:paraId="2ACCCEE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 же</w:t>
            </w:r>
          </w:p>
        </w:tc>
        <w:tc>
          <w:tcPr>
            <w:tcW w:w="603" w:type="dxa"/>
            <w:tcBorders>
              <w:top w:val="single" w:sz="6" w:space="0" w:color="auto"/>
              <w:left w:val="single" w:sz="6" w:space="0" w:color="auto"/>
              <w:bottom w:val="single" w:sz="6" w:space="0" w:color="auto"/>
              <w:right w:val="single" w:sz="12" w:space="0" w:color="auto"/>
            </w:tcBorders>
          </w:tcPr>
          <w:p w14:paraId="0E2A8D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CC4109E" w14:textId="77777777" w:rsidTr="000D3BCB">
        <w:tc>
          <w:tcPr>
            <w:tcW w:w="286" w:type="dxa"/>
            <w:tcBorders>
              <w:top w:val="single" w:sz="6" w:space="0" w:color="auto"/>
              <w:left w:val="single" w:sz="12" w:space="0" w:color="auto"/>
              <w:bottom w:val="single" w:sz="6" w:space="0" w:color="auto"/>
              <w:right w:val="single" w:sz="6" w:space="0" w:color="auto"/>
            </w:tcBorders>
          </w:tcPr>
          <w:p w14:paraId="477097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w:t>
            </w:r>
          </w:p>
        </w:tc>
        <w:tc>
          <w:tcPr>
            <w:tcW w:w="1525" w:type="dxa"/>
            <w:tcBorders>
              <w:top w:val="single" w:sz="6" w:space="0" w:color="auto"/>
              <w:left w:val="single" w:sz="6" w:space="0" w:color="auto"/>
              <w:bottom w:val="single" w:sz="6" w:space="0" w:color="auto"/>
              <w:right w:val="single" w:sz="6" w:space="0" w:color="auto"/>
            </w:tcBorders>
          </w:tcPr>
          <w:p w14:paraId="456FFC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Мастерская индивидуального пошива обуви</w:t>
            </w:r>
          </w:p>
          <w:p w14:paraId="743040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Калинин)</w:t>
            </w:r>
          </w:p>
        </w:tc>
        <w:tc>
          <w:tcPr>
            <w:tcW w:w="3069" w:type="dxa"/>
            <w:tcBorders>
              <w:top w:val="single" w:sz="6" w:space="0" w:color="auto"/>
              <w:left w:val="single" w:sz="6" w:space="0" w:color="auto"/>
              <w:bottom w:val="single" w:sz="6" w:space="0" w:color="auto"/>
              <w:right w:val="single" w:sz="6" w:space="0" w:color="auto"/>
            </w:tcBorders>
          </w:tcPr>
          <w:p w14:paraId="7A3A0A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ф-ка обуви</w:t>
            </w:r>
          </w:p>
          <w:p w14:paraId="1FA8C3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повышенного качества Обллегпрома</w:t>
            </w:r>
          </w:p>
        </w:tc>
        <w:tc>
          <w:tcPr>
            <w:tcW w:w="1678" w:type="dxa"/>
            <w:tcBorders>
              <w:top w:val="single" w:sz="6" w:space="0" w:color="auto"/>
              <w:left w:val="single" w:sz="6" w:space="0" w:color="auto"/>
              <w:bottom w:val="single" w:sz="6" w:space="0" w:color="auto"/>
              <w:right w:val="single" w:sz="6" w:space="0" w:color="auto"/>
            </w:tcBorders>
          </w:tcPr>
          <w:p w14:paraId="2859FA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 СЭ</w:t>
            </w:r>
          </w:p>
          <w:p w14:paraId="1EFC43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4/IX - 41 г.</w:t>
            </w:r>
          </w:p>
          <w:p w14:paraId="4EBBD9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13834 - сэ</w:t>
            </w:r>
          </w:p>
        </w:tc>
        <w:tc>
          <w:tcPr>
            <w:tcW w:w="603" w:type="dxa"/>
            <w:tcBorders>
              <w:top w:val="single" w:sz="6" w:space="0" w:color="auto"/>
              <w:left w:val="single" w:sz="6" w:space="0" w:color="auto"/>
              <w:bottom w:val="single" w:sz="6" w:space="0" w:color="auto"/>
              <w:right w:val="single" w:sz="12" w:space="0" w:color="auto"/>
            </w:tcBorders>
          </w:tcPr>
          <w:p w14:paraId="17A1298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EF40102" w14:textId="77777777" w:rsidTr="000D3BCB">
        <w:tc>
          <w:tcPr>
            <w:tcW w:w="286" w:type="dxa"/>
            <w:tcBorders>
              <w:top w:val="single" w:sz="6" w:space="0" w:color="auto"/>
              <w:left w:val="single" w:sz="12" w:space="0" w:color="auto"/>
              <w:bottom w:val="single" w:sz="6" w:space="0" w:color="auto"/>
              <w:right w:val="single" w:sz="6" w:space="0" w:color="auto"/>
            </w:tcBorders>
          </w:tcPr>
          <w:p w14:paraId="28BE43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46.</w:t>
            </w:r>
          </w:p>
        </w:tc>
        <w:tc>
          <w:tcPr>
            <w:tcW w:w="1525" w:type="dxa"/>
            <w:tcBorders>
              <w:top w:val="single" w:sz="6" w:space="0" w:color="auto"/>
              <w:left w:val="single" w:sz="6" w:space="0" w:color="auto"/>
              <w:bottom w:val="single" w:sz="6" w:space="0" w:color="auto"/>
              <w:right w:val="single" w:sz="6" w:space="0" w:color="auto"/>
            </w:tcBorders>
          </w:tcPr>
          <w:p w14:paraId="263752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Ф-ка короткого</w:t>
            </w:r>
          </w:p>
          <w:p w14:paraId="33681F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волокна</w:t>
            </w:r>
          </w:p>
          <w:p w14:paraId="3C85D2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(Орловская обл.</w:t>
            </w:r>
          </w:p>
          <w:p w14:paraId="74F77F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 Карачев</w:t>
            </w:r>
          </w:p>
          <w:p w14:paraId="55D74D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Московско-Курск ж.д.)</w:t>
            </w:r>
          </w:p>
        </w:tc>
        <w:tc>
          <w:tcPr>
            <w:tcW w:w="3069" w:type="dxa"/>
            <w:tcBorders>
              <w:top w:val="single" w:sz="6" w:space="0" w:color="auto"/>
              <w:left w:val="single" w:sz="6" w:space="0" w:color="auto"/>
              <w:bottom w:val="single" w:sz="6" w:space="0" w:color="auto"/>
              <w:right w:val="single" w:sz="6" w:space="0" w:color="auto"/>
            </w:tcBorders>
          </w:tcPr>
          <w:p w14:paraId="3FD434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обл. к-ра</w:t>
            </w:r>
          </w:p>
          <w:p w14:paraId="4B00BB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"Союзутиль"</w:t>
            </w:r>
          </w:p>
          <w:p w14:paraId="76203A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Киров</w:t>
            </w:r>
          </w:p>
        </w:tc>
        <w:tc>
          <w:tcPr>
            <w:tcW w:w="1678" w:type="dxa"/>
            <w:tcBorders>
              <w:top w:val="single" w:sz="6" w:space="0" w:color="auto"/>
              <w:left w:val="single" w:sz="6" w:space="0" w:color="auto"/>
              <w:bottom w:val="single" w:sz="6" w:space="0" w:color="auto"/>
              <w:right w:val="single" w:sz="6" w:space="0" w:color="auto"/>
            </w:tcBorders>
          </w:tcPr>
          <w:p w14:paraId="4D6EFD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 же</w:t>
            </w:r>
          </w:p>
        </w:tc>
        <w:tc>
          <w:tcPr>
            <w:tcW w:w="603" w:type="dxa"/>
            <w:tcBorders>
              <w:top w:val="single" w:sz="6" w:space="0" w:color="auto"/>
              <w:left w:val="single" w:sz="6" w:space="0" w:color="auto"/>
              <w:bottom w:val="single" w:sz="6" w:space="0" w:color="auto"/>
              <w:right w:val="single" w:sz="12" w:space="0" w:color="auto"/>
            </w:tcBorders>
          </w:tcPr>
          <w:p w14:paraId="360312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36C7632" w14:textId="77777777" w:rsidTr="000D3BCB">
        <w:tc>
          <w:tcPr>
            <w:tcW w:w="286" w:type="dxa"/>
            <w:tcBorders>
              <w:top w:val="single" w:sz="6" w:space="0" w:color="auto"/>
              <w:left w:val="single" w:sz="12" w:space="0" w:color="auto"/>
              <w:bottom w:val="single" w:sz="6" w:space="0" w:color="auto"/>
              <w:right w:val="single" w:sz="6" w:space="0" w:color="auto"/>
            </w:tcBorders>
          </w:tcPr>
          <w:p w14:paraId="61D783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47.</w:t>
            </w:r>
          </w:p>
        </w:tc>
        <w:tc>
          <w:tcPr>
            <w:tcW w:w="1525" w:type="dxa"/>
            <w:tcBorders>
              <w:top w:val="single" w:sz="6" w:space="0" w:color="auto"/>
              <w:left w:val="single" w:sz="6" w:space="0" w:color="auto"/>
              <w:bottom w:val="single" w:sz="6" w:space="0" w:color="auto"/>
              <w:right w:val="single" w:sz="6" w:space="0" w:color="auto"/>
            </w:tcBorders>
          </w:tcPr>
          <w:p w14:paraId="23E4E3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Сумский лесозавод</w:t>
            </w:r>
          </w:p>
          <w:p w14:paraId="1EE8BA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 Сумы</w:t>
            </w:r>
          </w:p>
          <w:p w14:paraId="6147B5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Южной жел/дороги)</w:t>
            </w:r>
          </w:p>
        </w:tc>
        <w:tc>
          <w:tcPr>
            <w:tcW w:w="3069" w:type="dxa"/>
            <w:tcBorders>
              <w:top w:val="single" w:sz="6" w:space="0" w:color="auto"/>
              <w:left w:val="single" w:sz="6" w:space="0" w:color="auto"/>
              <w:bottom w:val="single" w:sz="6" w:space="0" w:color="auto"/>
              <w:right w:val="single" w:sz="6" w:space="0" w:color="auto"/>
            </w:tcBorders>
          </w:tcPr>
          <w:p w14:paraId="1717BD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Лесозавод № 1</w:t>
            </w:r>
          </w:p>
          <w:p w14:paraId="04D9C4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 Ст. Халтурина</w:t>
            </w:r>
          </w:p>
        </w:tc>
        <w:tc>
          <w:tcPr>
            <w:tcW w:w="1678" w:type="dxa"/>
            <w:tcBorders>
              <w:top w:val="single" w:sz="6" w:space="0" w:color="auto"/>
              <w:left w:val="single" w:sz="6" w:space="0" w:color="auto"/>
              <w:bottom w:val="single" w:sz="6" w:space="0" w:color="auto"/>
              <w:right w:val="single" w:sz="6" w:space="0" w:color="auto"/>
            </w:tcBorders>
          </w:tcPr>
          <w:p w14:paraId="314331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 СЭ</w:t>
            </w:r>
          </w:p>
          <w:p w14:paraId="79D711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28/VIII - 41 г.</w:t>
            </w:r>
          </w:p>
          <w:p w14:paraId="4AB9A63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13730-сэ</w:t>
            </w:r>
          </w:p>
        </w:tc>
        <w:tc>
          <w:tcPr>
            <w:tcW w:w="603" w:type="dxa"/>
            <w:tcBorders>
              <w:top w:val="single" w:sz="6" w:space="0" w:color="auto"/>
              <w:left w:val="single" w:sz="6" w:space="0" w:color="auto"/>
              <w:bottom w:val="single" w:sz="6" w:space="0" w:color="auto"/>
              <w:right w:val="single" w:sz="12" w:space="0" w:color="auto"/>
            </w:tcBorders>
          </w:tcPr>
          <w:p w14:paraId="4F2A43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A90EA7A" w14:textId="77777777" w:rsidTr="000D3BCB">
        <w:tc>
          <w:tcPr>
            <w:tcW w:w="286" w:type="dxa"/>
            <w:tcBorders>
              <w:top w:val="single" w:sz="6" w:space="0" w:color="auto"/>
              <w:left w:val="single" w:sz="12" w:space="0" w:color="auto"/>
              <w:bottom w:val="single" w:sz="6" w:space="0" w:color="auto"/>
              <w:right w:val="single" w:sz="6" w:space="0" w:color="auto"/>
            </w:tcBorders>
          </w:tcPr>
          <w:p w14:paraId="12FF16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48.</w:t>
            </w:r>
          </w:p>
        </w:tc>
        <w:tc>
          <w:tcPr>
            <w:tcW w:w="1525" w:type="dxa"/>
            <w:tcBorders>
              <w:top w:val="single" w:sz="6" w:space="0" w:color="auto"/>
              <w:left w:val="single" w:sz="6" w:space="0" w:color="auto"/>
              <w:bottom w:val="single" w:sz="6" w:space="0" w:color="auto"/>
              <w:right w:val="single" w:sz="6" w:space="0" w:color="auto"/>
            </w:tcBorders>
          </w:tcPr>
          <w:p w14:paraId="5F1BCB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Роменская</w:t>
            </w:r>
          </w:p>
          <w:p w14:paraId="48679E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мебельная ф-ка</w:t>
            </w:r>
          </w:p>
          <w:p w14:paraId="4A2ABD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 Ромны Южной ж/д)</w:t>
            </w:r>
          </w:p>
        </w:tc>
        <w:tc>
          <w:tcPr>
            <w:tcW w:w="3069" w:type="dxa"/>
            <w:tcBorders>
              <w:top w:val="single" w:sz="6" w:space="0" w:color="auto"/>
              <w:left w:val="single" w:sz="6" w:space="0" w:color="auto"/>
              <w:bottom w:val="single" w:sz="6" w:space="0" w:color="auto"/>
              <w:right w:val="single" w:sz="6" w:space="0" w:color="auto"/>
            </w:tcBorders>
          </w:tcPr>
          <w:p w14:paraId="64ABD3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там же</w:t>
            </w:r>
          </w:p>
        </w:tc>
        <w:tc>
          <w:tcPr>
            <w:tcW w:w="1678" w:type="dxa"/>
            <w:tcBorders>
              <w:top w:val="single" w:sz="6" w:space="0" w:color="auto"/>
              <w:left w:val="single" w:sz="6" w:space="0" w:color="auto"/>
              <w:bottom w:val="single" w:sz="6" w:space="0" w:color="auto"/>
              <w:right w:val="single" w:sz="6" w:space="0" w:color="auto"/>
            </w:tcBorders>
          </w:tcPr>
          <w:p w14:paraId="2ECAF6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 же</w:t>
            </w:r>
          </w:p>
        </w:tc>
        <w:tc>
          <w:tcPr>
            <w:tcW w:w="603" w:type="dxa"/>
            <w:tcBorders>
              <w:top w:val="single" w:sz="6" w:space="0" w:color="auto"/>
              <w:left w:val="single" w:sz="6" w:space="0" w:color="auto"/>
              <w:bottom w:val="single" w:sz="6" w:space="0" w:color="auto"/>
              <w:right w:val="single" w:sz="12" w:space="0" w:color="auto"/>
            </w:tcBorders>
          </w:tcPr>
          <w:p w14:paraId="3B6CDE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A42E66D" w14:textId="77777777" w:rsidTr="000D3BCB">
        <w:tc>
          <w:tcPr>
            <w:tcW w:w="286" w:type="dxa"/>
            <w:tcBorders>
              <w:top w:val="single" w:sz="6" w:space="0" w:color="auto"/>
              <w:left w:val="single" w:sz="12" w:space="0" w:color="auto"/>
              <w:bottom w:val="single" w:sz="6" w:space="0" w:color="auto"/>
              <w:right w:val="single" w:sz="6" w:space="0" w:color="auto"/>
            </w:tcBorders>
          </w:tcPr>
          <w:p w14:paraId="048027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49.</w:t>
            </w:r>
          </w:p>
        </w:tc>
        <w:tc>
          <w:tcPr>
            <w:tcW w:w="1525" w:type="dxa"/>
            <w:tcBorders>
              <w:top w:val="single" w:sz="6" w:space="0" w:color="auto"/>
              <w:left w:val="single" w:sz="6" w:space="0" w:color="auto"/>
              <w:bottom w:val="single" w:sz="6" w:space="0" w:color="auto"/>
              <w:right w:val="single" w:sz="6" w:space="0" w:color="auto"/>
            </w:tcBorders>
          </w:tcPr>
          <w:p w14:paraId="436B05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Пеплюевский лесозавод (ст. Пеплюево</w:t>
            </w:r>
          </w:p>
          <w:p w14:paraId="7BBAC1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М.-Киев. ж/д)</w:t>
            </w:r>
          </w:p>
        </w:tc>
        <w:tc>
          <w:tcPr>
            <w:tcW w:w="3069" w:type="dxa"/>
            <w:tcBorders>
              <w:top w:val="single" w:sz="6" w:space="0" w:color="auto"/>
              <w:left w:val="single" w:sz="6" w:space="0" w:color="auto"/>
              <w:bottom w:val="single" w:sz="6" w:space="0" w:color="auto"/>
              <w:right w:val="single" w:sz="6" w:space="0" w:color="auto"/>
            </w:tcBorders>
          </w:tcPr>
          <w:p w14:paraId="46A580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там же</w:t>
            </w:r>
          </w:p>
        </w:tc>
        <w:tc>
          <w:tcPr>
            <w:tcW w:w="1678" w:type="dxa"/>
            <w:tcBorders>
              <w:top w:val="single" w:sz="6" w:space="0" w:color="auto"/>
              <w:left w:val="single" w:sz="6" w:space="0" w:color="auto"/>
              <w:bottom w:val="single" w:sz="6" w:space="0" w:color="auto"/>
              <w:right w:val="single" w:sz="6" w:space="0" w:color="auto"/>
            </w:tcBorders>
          </w:tcPr>
          <w:p w14:paraId="563FF9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 же</w:t>
            </w:r>
          </w:p>
        </w:tc>
        <w:tc>
          <w:tcPr>
            <w:tcW w:w="603" w:type="dxa"/>
            <w:tcBorders>
              <w:top w:val="single" w:sz="6" w:space="0" w:color="auto"/>
              <w:left w:val="single" w:sz="6" w:space="0" w:color="auto"/>
              <w:bottom w:val="single" w:sz="6" w:space="0" w:color="auto"/>
              <w:right w:val="single" w:sz="12" w:space="0" w:color="auto"/>
            </w:tcBorders>
          </w:tcPr>
          <w:p w14:paraId="6F63FF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4C83008" w14:textId="77777777" w:rsidTr="000D3BCB">
        <w:tc>
          <w:tcPr>
            <w:tcW w:w="286" w:type="dxa"/>
            <w:tcBorders>
              <w:top w:val="single" w:sz="6" w:space="0" w:color="auto"/>
              <w:left w:val="single" w:sz="12" w:space="0" w:color="auto"/>
              <w:bottom w:val="single" w:sz="6" w:space="0" w:color="auto"/>
              <w:right w:val="single" w:sz="6" w:space="0" w:color="auto"/>
            </w:tcBorders>
          </w:tcPr>
          <w:p w14:paraId="238ED0C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w:t>
            </w:r>
          </w:p>
        </w:tc>
        <w:tc>
          <w:tcPr>
            <w:tcW w:w="1525" w:type="dxa"/>
            <w:tcBorders>
              <w:top w:val="single" w:sz="6" w:space="0" w:color="auto"/>
              <w:left w:val="single" w:sz="6" w:space="0" w:color="auto"/>
              <w:bottom w:val="single" w:sz="6" w:space="0" w:color="auto"/>
              <w:right w:val="single" w:sz="6" w:space="0" w:color="auto"/>
            </w:tcBorders>
          </w:tcPr>
          <w:p w14:paraId="38EBE1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Пироговский лесозавод (ст. Пирогово</w:t>
            </w:r>
          </w:p>
          <w:p w14:paraId="4C49B1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М.-К.ж/д)</w:t>
            </w:r>
          </w:p>
        </w:tc>
        <w:tc>
          <w:tcPr>
            <w:tcW w:w="3069" w:type="dxa"/>
            <w:tcBorders>
              <w:top w:val="single" w:sz="6" w:space="0" w:color="auto"/>
              <w:left w:val="single" w:sz="6" w:space="0" w:color="auto"/>
              <w:bottom w:val="single" w:sz="6" w:space="0" w:color="auto"/>
              <w:right w:val="single" w:sz="6" w:space="0" w:color="auto"/>
            </w:tcBorders>
          </w:tcPr>
          <w:p w14:paraId="422F43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там же</w:t>
            </w:r>
          </w:p>
        </w:tc>
        <w:tc>
          <w:tcPr>
            <w:tcW w:w="1678" w:type="dxa"/>
            <w:tcBorders>
              <w:top w:val="single" w:sz="6" w:space="0" w:color="auto"/>
              <w:left w:val="single" w:sz="6" w:space="0" w:color="auto"/>
              <w:bottom w:val="single" w:sz="6" w:space="0" w:color="auto"/>
              <w:right w:val="single" w:sz="6" w:space="0" w:color="auto"/>
            </w:tcBorders>
          </w:tcPr>
          <w:p w14:paraId="2A2E14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 же</w:t>
            </w:r>
          </w:p>
        </w:tc>
        <w:tc>
          <w:tcPr>
            <w:tcW w:w="603" w:type="dxa"/>
            <w:tcBorders>
              <w:top w:val="single" w:sz="6" w:space="0" w:color="auto"/>
              <w:left w:val="single" w:sz="6" w:space="0" w:color="auto"/>
              <w:bottom w:val="single" w:sz="6" w:space="0" w:color="auto"/>
              <w:right w:val="single" w:sz="12" w:space="0" w:color="auto"/>
            </w:tcBorders>
          </w:tcPr>
          <w:p w14:paraId="44CF03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45F838D" w14:textId="77777777" w:rsidTr="000D3BCB">
        <w:tc>
          <w:tcPr>
            <w:tcW w:w="286" w:type="dxa"/>
            <w:tcBorders>
              <w:top w:val="single" w:sz="6" w:space="0" w:color="auto"/>
              <w:left w:val="single" w:sz="12" w:space="0" w:color="auto"/>
              <w:bottom w:val="single" w:sz="6" w:space="0" w:color="auto"/>
              <w:right w:val="single" w:sz="6" w:space="0" w:color="auto"/>
            </w:tcBorders>
          </w:tcPr>
          <w:p w14:paraId="1EE78DC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51.</w:t>
            </w:r>
          </w:p>
        </w:tc>
        <w:tc>
          <w:tcPr>
            <w:tcW w:w="1525" w:type="dxa"/>
            <w:tcBorders>
              <w:top w:val="single" w:sz="6" w:space="0" w:color="auto"/>
              <w:left w:val="single" w:sz="6" w:space="0" w:color="auto"/>
              <w:bottom w:val="single" w:sz="6" w:space="0" w:color="auto"/>
              <w:right w:val="single" w:sz="6" w:space="0" w:color="auto"/>
            </w:tcBorders>
          </w:tcPr>
          <w:p w14:paraId="3435FF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Свесский лесозавод</w:t>
            </w:r>
          </w:p>
          <w:p w14:paraId="169F67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 Свесса</w:t>
            </w:r>
          </w:p>
          <w:p w14:paraId="7C4001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Моск.-Киев. ж/д)</w:t>
            </w:r>
          </w:p>
        </w:tc>
        <w:tc>
          <w:tcPr>
            <w:tcW w:w="3069" w:type="dxa"/>
            <w:tcBorders>
              <w:top w:val="single" w:sz="6" w:space="0" w:color="auto"/>
              <w:left w:val="single" w:sz="6" w:space="0" w:color="auto"/>
              <w:bottom w:val="single" w:sz="6" w:space="0" w:color="auto"/>
              <w:right w:val="single" w:sz="6" w:space="0" w:color="auto"/>
            </w:tcBorders>
          </w:tcPr>
          <w:p w14:paraId="3E80F8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там же</w:t>
            </w:r>
          </w:p>
        </w:tc>
        <w:tc>
          <w:tcPr>
            <w:tcW w:w="1678" w:type="dxa"/>
            <w:tcBorders>
              <w:top w:val="single" w:sz="6" w:space="0" w:color="auto"/>
              <w:left w:val="single" w:sz="6" w:space="0" w:color="auto"/>
              <w:bottom w:val="single" w:sz="6" w:space="0" w:color="auto"/>
              <w:right w:val="single" w:sz="6" w:space="0" w:color="auto"/>
            </w:tcBorders>
          </w:tcPr>
          <w:p w14:paraId="74C609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 же</w:t>
            </w:r>
          </w:p>
        </w:tc>
        <w:tc>
          <w:tcPr>
            <w:tcW w:w="603" w:type="dxa"/>
            <w:tcBorders>
              <w:top w:val="single" w:sz="6" w:space="0" w:color="auto"/>
              <w:left w:val="single" w:sz="6" w:space="0" w:color="auto"/>
              <w:bottom w:val="single" w:sz="6" w:space="0" w:color="auto"/>
              <w:right w:val="single" w:sz="12" w:space="0" w:color="auto"/>
            </w:tcBorders>
          </w:tcPr>
          <w:p w14:paraId="6C7089B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C79333A" w14:textId="77777777" w:rsidTr="000D3BCB">
        <w:tc>
          <w:tcPr>
            <w:tcW w:w="286" w:type="dxa"/>
            <w:tcBorders>
              <w:top w:val="single" w:sz="6" w:space="0" w:color="auto"/>
              <w:left w:val="single" w:sz="12" w:space="0" w:color="auto"/>
              <w:bottom w:val="single" w:sz="6" w:space="0" w:color="auto"/>
              <w:right w:val="single" w:sz="6" w:space="0" w:color="auto"/>
            </w:tcBorders>
          </w:tcPr>
          <w:p w14:paraId="4F4684E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52.</w:t>
            </w:r>
          </w:p>
        </w:tc>
        <w:tc>
          <w:tcPr>
            <w:tcW w:w="1525" w:type="dxa"/>
            <w:tcBorders>
              <w:top w:val="single" w:sz="6" w:space="0" w:color="auto"/>
              <w:left w:val="single" w:sz="6" w:space="0" w:color="auto"/>
              <w:bottom w:val="single" w:sz="6" w:space="0" w:color="auto"/>
              <w:right w:val="single" w:sz="6" w:space="0" w:color="auto"/>
            </w:tcBorders>
          </w:tcPr>
          <w:p w14:paraId="5F6458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Кондитерская фабрика им. Самойловой</w:t>
            </w:r>
          </w:p>
          <w:p w14:paraId="279A3EA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(Ленинград)</w:t>
            </w:r>
          </w:p>
        </w:tc>
        <w:tc>
          <w:tcPr>
            <w:tcW w:w="3069" w:type="dxa"/>
            <w:tcBorders>
              <w:top w:val="single" w:sz="6" w:space="0" w:color="auto"/>
              <w:left w:val="single" w:sz="6" w:space="0" w:color="auto"/>
              <w:bottom w:val="single" w:sz="6" w:space="0" w:color="auto"/>
              <w:right w:val="single" w:sz="6" w:space="0" w:color="auto"/>
            </w:tcBorders>
          </w:tcPr>
          <w:p w14:paraId="6363723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кондитерская фабрика Облпищепрома</w:t>
            </w:r>
          </w:p>
          <w:p w14:paraId="7921EC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Киров</w:t>
            </w:r>
          </w:p>
        </w:tc>
        <w:tc>
          <w:tcPr>
            <w:tcW w:w="1678" w:type="dxa"/>
            <w:tcBorders>
              <w:top w:val="single" w:sz="6" w:space="0" w:color="auto"/>
              <w:left w:val="single" w:sz="6" w:space="0" w:color="auto"/>
              <w:bottom w:val="single" w:sz="6" w:space="0" w:color="auto"/>
              <w:right w:val="single" w:sz="6" w:space="0" w:color="auto"/>
            </w:tcBorders>
          </w:tcPr>
          <w:p w14:paraId="2586EE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 СЭ</w:t>
            </w:r>
          </w:p>
          <w:p w14:paraId="447030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23/VIII - 41 г.</w:t>
            </w:r>
          </w:p>
          <w:p w14:paraId="1F0BF5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13634-сэ</w:t>
            </w:r>
          </w:p>
        </w:tc>
        <w:tc>
          <w:tcPr>
            <w:tcW w:w="603" w:type="dxa"/>
            <w:tcBorders>
              <w:top w:val="single" w:sz="6" w:space="0" w:color="auto"/>
              <w:left w:val="single" w:sz="6" w:space="0" w:color="auto"/>
              <w:bottom w:val="single" w:sz="6" w:space="0" w:color="auto"/>
              <w:right w:val="single" w:sz="12" w:space="0" w:color="auto"/>
            </w:tcBorders>
          </w:tcPr>
          <w:p w14:paraId="28E8F7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FF90380" w14:textId="77777777" w:rsidTr="000D3BCB">
        <w:tc>
          <w:tcPr>
            <w:tcW w:w="286" w:type="dxa"/>
            <w:tcBorders>
              <w:top w:val="single" w:sz="6" w:space="0" w:color="auto"/>
              <w:left w:val="single" w:sz="12" w:space="0" w:color="auto"/>
              <w:bottom w:val="single" w:sz="6" w:space="0" w:color="auto"/>
              <w:right w:val="single" w:sz="6" w:space="0" w:color="auto"/>
            </w:tcBorders>
          </w:tcPr>
          <w:p w14:paraId="20AEE1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53.</w:t>
            </w:r>
          </w:p>
        </w:tc>
        <w:tc>
          <w:tcPr>
            <w:tcW w:w="1525" w:type="dxa"/>
            <w:tcBorders>
              <w:top w:val="single" w:sz="6" w:space="0" w:color="auto"/>
              <w:left w:val="single" w:sz="6" w:space="0" w:color="auto"/>
              <w:bottom w:val="single" w:sz="6" w:space="0" w:color="auto"/>
              <w:right w:val="single" w:sz="6" w:space="0" w:color="auto"/>
            </w:tcBorders>
          </w:tcPr>
          <w:p w14:paraId="6FFCBD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Бежецкий спиртозавод (Калининская область)</w:t>
            </w:r>
          </w:p>
        </w:tc>
        <w:tc>
          <w:tcPr>
            <w:tcW w:w="3069" w:type="dxa"/>
            <w:tcBorders>
              <w:top w:val="single" w:sz="6" w:space="0" w:color="auto"/>
              <w:left w:val="single" w:sz="6" w:space="0" w:color="auto"/>
              <w:bottom w:val="single" w:sz="6" w:space="0" w:color="auto"/>
              <w:right w:val="single" w:sz="6" w:space="0" w:color="auto"/>
            </w:tcBorders>
          </w:tcPr>
          <w:p w14:paraId="4E03F1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Вятскополянский район,</w:t>
            </w:r>
          </w:p>
          <w:p w14:paraId="084559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Слуцкая церковь</w:t>
            </w:r>
          </w:p>
        </w:tc>
        <w:tc>
          <w:tcPr>
            <w:tcW w:w="1678" w:type="dxa"/>
            <w:tcBorders>
              <w:top w:val="single" w:sz="6" w:space="0" w:color="auto"/>
              <w:left w:val="single" w:sz="6" w:space="0" w:color="auto"/>
              <w:bottom w:val="single" w:sz="6" w:space="0" w:color="auto"/>
              <w:right w:val="single" w:sz="6" w:space="0" w:color="auto"/>
            </w:tcBorders>
          </w:tcPr>
          <w:p w14:paraId="6775083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 же</w:t>
            </w:r>
          </w:p>
        </w:tc>
        <w:tc>
          <w:tcPr>
            <w:tcW w:w="603" w:type="dxa"/>
            <w:tcBorders>
              <w:top w:val="single" w:sz="6" w:space="0" w:color="auto"/>
              <w:left w:val="single" w:sz="6" w:space="0" w:color="auto"/>
              <w:bottom w:val="single" w:sz="6" w:space="0" w:color="auto"/>
              <w:right w:val="single" w:sz="12" w:space="0" w:color="auto"/>
            </w:tcBorders>
          </w:tcPr>
          <w:p w14:paraId="0FC8A8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C18B523" w14:textId="77777777" w:rsidTr="000D3BCB">
        <w:tc>
          <w:tcPr>
            <w:tcW w:w="286" w:type="dxa"/>
            <w:tcBorders>
              <w:top w:val="single" w:sz="6" w:space="0" w:color="auto"/>
              <w:left w:val="single" w:sz="12" w:space="0" w:color="auto"/>
              <w:bottom w:val="single" w:sz="6" w:space="0" w:color="auto"/>
              <w:right w:val="single" w:sz="6" w:space="0" w:color="auto"/>
            </w:tcBorders>
          </w:tcPr>
          <w:p w14:paraId="2F07FA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54.</w:t>
            </w:r>
          </w:p>
        </w:tc>
        <w:tc>
          <w:tcPr>
            <w:tcW w:w="1525" w:type="dxa"/>
            <w:tcBorders>
              <w:top w:val="single" w:sz="6" w:space="0" w:color="auto"/>
              <w:left w:val="single" w:sz="6" w:space="0" w:color="auto"/>
              <w:bottom w:val="single" w:sz="6" w:space="0" w:color="auto"/>
              <w:right w:val="single" w:sz="6" w:space="0" w:color="auto"/>
            </w:tcBorders>
          </w:tcPr>
          <w:p w14:paraId="600F9EA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Мамаевский спиртозавод (Черниговская область)</w:t>
            </w:r>
          </w:p>
        </w:tc>
        <w:tc>
          <w:tcPr>
            <w:tcW w:w="3069" w:type="dxa"/>
            <w:tcBorders>
              <w:top w:val="single" w:sz="6" w:space="0" w:color="auto"/>
              <w:left w:val="single" w:sz="6" w:space="0" w:color="auto"/>
              <w:bottom w:val="single" w:sz="6" w:space="0" w:color="auto"/>
              <w:right w:val="single" w:sz="6" w:space="0" w:color="auto"/>
            </w:tcBorders>
          </w:tcPr>
          <w:p w14:paraId="524765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Кировский пивзавод, г. Киров</w:t>
            </w:r>
          </w:p>
        </w:tc>
        <w:tc>
          <w:tcPr>
            <w:tcW w:w="1678" w:type="dxa"/>
            <w:tcBorders>
              <w:top w:val="single" w:sz="6" w:space="0" w:color="auto"/>
              <w:left w:val="single" w:sz="6" w:space="0" w:color="auto"/>
              <w:bottom w:val="single" w:sz="6" w:space="0" w:color="auto"/>
              <w:right w:val="single" w:sz="6" w:space="0" w:color="auto"/>
            </w:tcBorders>
          </w:tcPr>
          <w:p w14:paraId="1812CB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 же</w:t>
            </w:r>
          </w:p>
        </w:tc>
        <w:tc>
          <w:tcPr>
            <w:tcW w:w="603" w:type="dxa"/>
            <w:tcBorders>
              <w:top w:val="single" w:sz="6" w:space="0" w:color="auto"/>
              <w:left w:val="single" w:sz="6" w:space="0" w:color="auto"/>
              <w:bottom w:val="single" w:sz="6" w:space="0" w:color="auto"/>
              <w:right w:val="single" w:sz="12" w:space="0" w:color="auto"/>
            </w:tcBorders>
          </w:tcPr>
          <w:p w14:paraId="240EEFF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81F874C" w14:textId="77777777" w:rsidTr="000D3BCB">
        <w:tc>
          <w:tcPr>
            <w:tcW w:w="286" w:type="dxa"/>
            <w:tcBorders>
              <w:top w:val="single" w:sz="6" w:space="0" w:color="auto"/>
              <w:left w:val="single" w:sz="12" w:space="0" w:color="auto"/>
              <w:bottom w:val="single" w:sz="6" w:space="0" w:color="auto"/>
              <w:right w:val="single" w:sz="6" w:space="0" w:color="auto"/>
            </w:tcBorders>
          </w:tcPr>
          <w:p w14:paraId="0AE9FA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55.</w:t>
            </w:r>
          </w:p>
        </w:tc>
        <w:tc>
          <w:tcPr>
            <w:tcW w:w="1525" w:type="dxa"/>
            <w:tcBorders>
              <w:top w:val="single" w:sz="6" w:space="0" w:color="auto"/>
              <w:left w:val="single" w:sz="6" w:space="0" w:color="auto"/>
              <w:bottom w:val="single" w:sz="6" w:space="0" w:color="auto"/>
              <w:right w:val="single" w:sz="6" w:space="0" w:color="auto"/>
            </w:tcBorders>
          </w:tcPr>
          <w:p w14:paraId="4D4834E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Чемерский спиртозавод (ст. Чернигов)</w:t>
            </w:r>
          </w:p>
        </w:tc>
        <w:tc>
          <w:tcPr>
            <w:tcW w:w="3069" w:type="dxa"/>
            <w:tcBorders>
              <w:top w:val="single" w:sz="6" w:space="0" w:color="auto"/>
              <w:left w:val="single" w:sz="6" w:space="0" w:color="auto"/>
              <w:bottom w:val="single" w:sz="6" w:space="0" w:color="auto"/>
              <w:right w:val="single" w:sz="6" w:space="0" w:color="auto"/>
            </w:tcBorders>
          </w:tcPr>
          <w:p w14:paraId="6622BA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там же</w:t>
            </w:r>
          </w:p>
        </w:tc>
        <w:tc>
          <w:tcPr>
            <w:tcW w:w="1678" w:type="dxa"/>
            <w:tcBorders>
              <w:top w:val="single" w:sz="6" w:space="0" w:color="auto"/>
              <w:left w:val="single" w:sz="6" w:space="0" w:color="auto"/>
              <w:bottom w:val="single" w:sz="6" w:space="0" w:color="auto"/>
              <w:right w:val="single" w:sz="6" w:space="0" w:color="auto"/>
            </w:tcBorders>
          </w:tcPr>
          <w:p w14:paraId="5D60EF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 же</w:t>
            </w:r>
          </w:p>
        </w:tc>
        <w:tc>
          <w:tcPr>
            <w:tcW w:w="603" w:type="dxa"/>
            <w:tcBorders>
              <w:top w:val="single" w:sz="6" w:space="0" w:color="auto"/>
              <w:left w:val="single" w:sz="6" w:space="0" w:color="auto"/>
              <w:bottom w:val="single" w:sz="6" w:space="0" w:color="auto"/>
              <w:right w:val="single" w:sz="12" w:space="0" w:color="auto"/>
            </w:tcBorders>
          </w:tcPr>
          <w:p w14:paraId="6AC8E5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97193A8" w14:textId="77777777" w:rsidTr="000D3BCB">
        <w:tc>
          <w:tcPr>
            <w:tcW w:w="286" w:type="dxa"/>
            <w:tcBorders>
              <w:top w:val="single" w:sz="6" w:space="0" w:color="auto"/>
              <w:left w:val="single" w:sz="12" w:space="0" w:color="auto"/>
              <w:bottom w:val="single" w:sz="6" w:space="0" w:color="auto"/>
              <w:right w:val="single" w:sz="6" w:space="0" w:color="auto"/>
            </w:tcBorders>
          </w:tcPr>
          <w:p w14:paraId="2C962E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56.</w:t>
            </w:r>
          </w:p>
        </w:tc>
        <w:tc>
          <w:tcPr>
            <w:tcW w:w="1525" w:type="dxa"/>
            <w:tcBorders>
              <w:top w:val="single" w:sz="6" w:space="0" w:color="auto"/>
              <w:left w:val="single" w:sz="6" w:space="0" w:color="auto"/>
              <w:bottom w:val="single" w:sz="6" w:space="0" w:color="auto"/>
              <w:right w:val="single" w:sz="6" w:space="0" w:color="auto"/>
            </w:tcBorders>
          </w:tcPr>
          <w:p w14:paraId="188961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Кайдаковский спиртозавод (Смоленская область)</w:t>
            </w:r>
          </w:p>
        </w:tc>
        <w:tc>
          <w:tcPr>
            <w:tcW w:w="3069" w:type="dxa"/>
            <w:tcBorders>
              <w:top w:val="single" w:sz="6" w:space="0" w:color="auto"/>
              <w:left w:val="single" w:sz="6" w:space="0" w:color="auto"/>
              <w:bottom w:val="single" w:sz="6" w:space="0" w:color="auto"/>
              <w:right w:val="single" w:sz="6" w:space="0" w:color="auto"/>
            </w:tcBorders>
          </w:tcPr>
          <w:p w14:paraId="697F0B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там же</w:t>
            </w:r>
          </w:p>
        </w:tc>
        <w:tc>
          <w:tcPr>
            <w:tcW w:w="1678" w:type="dxa"/>
            <w:tcBorders>
              <w:top w:val="single" w:sz="6" w:space="0" w:color="auto"/>
              <w:left w:val="single" w:sz="6" w:space="0" w:color="auto"/>
              <w:bottom w:val="single" w:sz="6" w:space="0" w:color="auto"/>
              <w:right w:val="single" w:sz="6" w:space="0" w:color="auto"/>
            </w:tcBorders>
          </w:tcPr>
          <w:p w14:paraId="49F3B8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 же</w:t>
            </w:r>
          </w:p>
        </w:tc>
        <w:tc>
          <w:tcPr>
            <w:tcW w:w="603" w:type="dxa"/>
            <w:tcBorders>
              <w:top w:val="single" w:sz="6" w:space="0" w:color="auto"/>
              <w:left w:val="single" w:sz="6" w:space="0" w:color="auto"/>
              <w:bottom w:val="single" w:sz="6" w:space="0" w:color="auto"/>
              <w:right w:val="single" w:sz="12" w:space="0" w:color="auto"/>
            </w:tcBorders>
          </w:tcPr>
          <w:p w14:paraId="25EA52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C475FD5" w14:textId="77777777" w:rsidTr="000D3BCB">
        <w:tc>
          <w:tcPr>
            <w:tcW w:w="286" w:type="dxa"/>
            <w:tcBorders>
              <w:top w:val="single" w:sz="6" w:space="0" w:color="auto"/>
              <w:left w:val="single" w:sz="12" w:space="0" w:color="auto"/>
              <w:bottom w:val="single" w:sz="6" w:space="0" w:color="auto"/>
              <w:right w:val="single" w:sz="6" w:space="0" w:color="auto"/>
            </w:tcBorders>
          </w:tcPr>
          <w:p w14:paraId="053A56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57.</w:t>
            </w:r>
          </w:p>
        </w:tc>
        <w:tc>
          <w:tcPr>
            <w:tcW w:w="1525" w:type="dxa"/>
            <w:tcBorders>
              <w:top w:val="single" w:sz="6" w:space="0" w:color="auto"/>
              <w:left w:val="single" w:sz="6" w:space="0" w:color="auto"/>
              <w:bottom w:val="single" w:sz="6" w:space="0" w:color="auto"/>
              <w:right w:val="single" w:sz="6" w:space="0" w:color="auto"/>
            </w:tcBorders>
          </w:tcPr>
          <w:p w14:paraId="2A0F3E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Остроженский спиртозавод (Смоленская область)</w:t>
            </w:r>
          </w:p>
        </w:tc>
        <w:tc>
          <w:tcPr>
            <w:tcW w:w="3069" w:type="dxa"/>
            <w:tcBorders>
              <w:top w:val="single" w:sz="6" w:space="0" w:color="auto"/>
              <w:left w:val="single" w:sz="6" w:space="0" w:color="auto"/>
              <w:bottom w:val="single" w:sz="6" w:space="0" w:color="auto"/>
              <w:right w:val="single" w:sz="6" w:space="0" w:color="auto"/>
            </w:tcBorders>
          </w:tcPr>
          <w:p w14:paraId="25D5924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там же</w:t>
            </w:r>
          </w:p>
        </w:tc>
        <w:tc>
          <w:tcPr>
            <w:tcW w:w="1678" w:type="dxa"/>
            <w:tcBorders>
              <w:top w:val="single" w:sz="6" w:space="0" w:color="auto"/>
              <w:left w:val="single" w:sz="6" w:space="0" w:color="auto"/>
              <w:bottom w:val="single" w:sz="6" w:space="0" w:color="auto"/>
              <w:right w:val="single" w:sz="6" w:space="0" w:color="auto"/>
            </w:tcBorders>
          </w:tcPr>
          <w:p w14:paraId="0D5A39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 же</w:t>
            </w:r>
          </w:p>
        </w:tc>
        <w:tc>
          <w:tcPr>
            <w:tcW w:w="603" w:type="dxa"/>
            <w:tcBorders>
              <w:top w:val="single" w:sz="6" w:space="0" w:color="auto"/>
              <w:left w:val="single" w:sz="6" w:space="0" w:color="auto"/>
              <w:bottom w:val="single" w:sz="6" w:space="0" w:color="auto"/>
              <w:right w:val="single" w:sz="12" w:space="0" w:color="auto"/>
            </w:tcBorders>
          </w:tcPr>
          <w:p w14:paraId="595490E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E18B45D" w14:textId="77777777" w:rsidTr="000D3BCB">
        <w:tc>
          <w:tcPr>
            <w:tcW w:w="286" w:type="dxa"/>
            <w:tcBorders>
              <w:top w:val="single" w:sz="6" w:space="0" w:color="auto"/>
              <w:left w:val="single" w:sz="12" w:space="0" w:color="auto"/>
              <w:bottom w:val="single" w:sz="6" w:space="0" w:color="auto"/>
              <w:right w:val="single" w:sz="6" w:space="0" w:color="auto"/>
            </w:tcBorders>
          </w:tcPr>
          <w:p w14:paraId="7934428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58.</w:t>
            </w:r>
          </w:p>
        </w:tc>
        <w:tc>
          <w:tcPr>
            <w:tcW w:w="1525" w:type="dxa"/>
            <w:tcBorders>
              <w:top w:val="single" w:sz="6" w:space="0" w:color="auto"/>
              <w:left w:val="single" w:sz="6" w:space="0" w:color="auto"/>
              <w:bottom w:val="single" w:sz="6" w:space="0" w:color="auto"/>
              <w:right w:val="single" w:sz="6" w:space="0" w:color="auto"/>
            </w:tcBorders>
          </w:tcPr>
          <w:p w14:paraId="64E8E7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Поповский спиртозавод (Смоленская область)</w:t>
            </w:r>
          </w:p>
        </w:tc>
        <w:tc>
          <w:tcPr>
            <w:tcW w:w="3069" w:type="dxa"/>
            <w:tcBorders>
              <w:top w:val="single" w:sz="6" w:space="0" w:color="auto"/>
              <w:left w:val="single" w:sz="6" w:space="0" w:color="auto"/>
              <w:bottom w:val="single" w:sz="6" w:space="0" w:color="auto"/>
              <w:right w:val="single" w:sz="6" w:space="0" w:color="auto"/>
            </w:tcBorders>
          </w:tcPr>
          <w:p w14:paraId="561329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Слободской спиртов. завод Слободского района</w:t>
            </w:r>
          </w:p>
        </w:tc>
        <w:tc>
          <w:tcPr>
            <w:tcW w:w="1678" w:type="dxa"/>
            <w:tcBorders>
              <w:top w:val="single" w:sz="6" w:space="0" w:color="auto"/>
              <w:left w:val="single" w:sz="6" w:space="0" w:color="auto"/>
              <w:bottom w:val="single" w:sz="6" w:space="0" w:color="auto"/>
              <w:right w:val="single" w:sz="6" w:space="0" w:color="auto"/>
            </w:tcBorders>
          </w:tcPr>
          <w:p w14:paraId="382455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 же</w:t>
            </w:r>
          </w:p>
        </w:tc>
        <w:tc>
          <w:tcPr>
            <w:tcW w:w="603" w:type="dxa"/>
            <w:tcBorders>
              <w:top w:val="single" w:sz="6" w:space="0" w:color="auto"/>
              <w:left w:val="single" w:sz="6" w:space="0" w:color="auto"/>
              <w:bottom w:val="single" w:sz="6" w:space="0" w:color="auto"/>
              <w:right w:val="single" w:sz="12" w:space="0" w:color="auto"/>
            </w:tcBorders>
          </w:tcPr>
          <w:p w14:paraId="64DEB0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B475021" w14:textId="77777777" w:rsidTr="000D3BCB">
        <w:tc>
          <w:tcPr>
            <w:tcW w:w="286" w:type="dxa"/>
            <w:tcBorders>
              <w:top w:val="single" w:sz="6" w:space="0" w:color="auto"/>
              <w:left w:val="single" w:sz="12" w:space="0" w:color="auto"/>
              <w:bottom w:val="single" w:sz="6" w:space="0" w:color="auto"/>
              <w:right w:val="single" w:sz="6" w:space="0" w:color="auto"/>
            </w:tcBorders>
          </w:tcPr>
          <w:p w14:paraId="24CC38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59.</w:t>
            </w:r>
          </w:p>
        </w:tc>
        <w:tc>
          <w:tcPr>
            <w:tcW w:w="1525" w:type="dxa"/>
            <w:tcBorders>
              <w:top w:val="single" w:sz="6" w:space="0" w:color="auto"/>
              <w:left w:val="single" w:sz="6" w:space="0" w:color="auto"/>
              <w:bottom w:val="single" w:sz="6" w:space="0" w:color="auto"/>
              <w:right w:val="single" w:sz="6" w:space="0" w:color="auto"/>
            </w:tcBorders>
          </w:tcPr>
          <w:p w14:paraId="49A891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Будыльский спиртозавод</w:t>
            </w:r>
          </w:p>
          <w:p w14:paraId="62E8B7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(Сумская область)</w:t>
            </w:r>
          </w:p>
        </w:tc>
        <w:tc>
          <w:tcPr>
            <w:tcW w:w="3069" w:type="dxa"/>
            <w:tcBorders>
              <w:top w:val="single" w:sz="6" w:space="0" w:color="auto"/>
              <w:left w:val="single" w:sz="6" w:space="0" w:color="auto"/>
              <w:bottom w:val="single" w:sz="6" w:space="0" w:color="auto"/>
              <w:right w:val="single" w:sz="6" w:space="0" w:color="auto"/>
            </w:tcBorders>
          </w:tcPr>
          <w:p w14:paraId="14CD7D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Слободской спиртов. завод Слободского района</w:t>
            </w:r>
          </w:p>
        </w:tc>
        <w:tc>
          <w:tcPr>
            <w:tcW w:w="1678" w:type="dxa"/>
            <w:tcBorders>
              <w:top w:val="single" w:sz="6" w:space="0" w:color="auto"/>
              <w:left w:val="single" w:sz="6" w:space="0" w:color="auto"/>
              <w:bottom w:val="single" w:sz="6" w:space="0" w:color="auto"/>
              <w:right w:val="single" w:sz="6" w:space="0" w:color="auto"/>
            </w:tcBorders>
          </w:tcPr>
          <w:p w14:paraId="2A5D70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 СЭ</w:t>
            </w:r>
          </w:p>
          <w:p w14:paraId="5DC2604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7/IX -1941 г.</w:t>
            </w:r>
          </w:p>
          <w:p w14:paraId="04F493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13875-сэ</w:t>
            </w:r>
          </w:p>
        </w:tc>
        <w:tc>
          <w:tcPr>
            <w:tcW w:w="603" w:type="dxa"/>
            <w:tcBorders>
              <w:top w:val="single" w:sz="6" w:space="0" w:color="auto"/>
              <w:left w:val="single" w:sz="6" w:space="0" w:color="auto"/>
              <w:bottom w:val="single" w:sz="6" w:space="0" w:color="auto"/>
              <w:right w:val="single" w:sz="12" w:space="0" w:color="auto"/>
            </w:tcBorders>
          </w:tcPr>
          <w:p w14:paraId="35D444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464EC07" w14:textId="77777777" w:rsidTr="000D3BCB">
        <w:tc>
          <w:tcPr>
            <w:tcW w:w="286" w:type="dxa"/>
            <w:tcBorders>
              <w:top w:val="single" w:sz="6" w:space="0" w:color="auto"/>
              <w:left w:val="single" w:sz="12" w:space="0" w:color="auto"/>
              <w:bottom w:val="single" w:sz="6" w:space="0" w:color="auto"/>
              <w:right w:val="single" w:sz="6" w:space="0" w:color="auto"/>
            </w:tcBorders>
          </w:tcPr>
          <w:p w14:paraId="69D9D2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w:t>
            </w:r>
          </w:p>
        </w:tc>
        <w:tc>
          <w:tcPr>
            <w:tcW w:w="1525" w:type="dxa"/>
            <w:tcBorders>
              <w:top w:val="single" w:sz="6" w:space="0" w:color="auto"/>
              <w:left w:val="single" w:sz="6" w:space="0" w:color="auto"/>
              <w:bottom w:val="single" w:sz="6" w:space="0" w:color="auto"/>
              <w:right w:val="single" w:sz="6" w:space="0" w:color="auto"/>
            </w:tcBorders>
          </w:tcPr>
          <w:p w14:paraId="646056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Бездринский спиртозавод</w:t>
            </w:r>
          </w:p>
          <w:p w14:paraId="5EDE4E6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(Сумская область)</w:t>
            </w:r>
          </w:p>
        </w:tc>
        <w:tc>
          <w:tcPr>
            <w:tcW w:w="3069" w:type="dxa"/>
            <w:tcBorders>
              <w:top w:val="single" w:sz="6" w:space="0" w:color="auto"/>
              <w:left w:val="single" w:sz="6" w:space="0" w:color="auto"/>
              <w:bottom w:val="single" w:sz="6" w:space="0" w:color="auto"/>
              <w:right w:val="single" w:sz="6" w:space="0" w:color="auto"/>
            </w:tcBorders>
          </w:tcPr>
          <w:p w14:paraId="1173BC9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Кировский пивовар. завод, г. Киров</w:t>
            </w:r>
          </w:p>
        </w:tc>
        <w:tc>
          <w:tcPr>
            <w:tcW w:w="1678" w:type="dxa"/>
            <w:tcBorders>
              <w:top w:val="single" w:sz="6" w:space="0" w:color="auto"/>
              <w:left w:val="single" w:sz="6" w:space="0" w:color="auto"/>
              <w:bottom w:val="single" w:sz="6" w:space="0" w:color="auto"/>
              <w:right w:val="single" w:sz="6" w:space="0" w:color="auto"/>
            </w:tcBorders>
          </w:tcPr>
          <w:p w14:paraId="20168C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 же</w:t>
            </w:r>
          </w:p>
        </w:tc>
        <w:tc>
          <w:tcPr>
            <w:tcW w:w="603" w:type="dxa"/>
            <w:tcBorders>
              <w:top w:val="single" w:sz="6" w:space="0" w:color="auto"/>
              <w:left w:val="single" w:sz="6" w:space="0" w:color="auto"/>
              <w:bottom w:val="single" w:sz="6" w:space="0" w:color="auto"/>
              <w:right w:val="single" w:sz="12" w:space="0" w:color="auto"/>
            </w:tcBorders>
          </w:tcPr>
          <w:p w14:paraId="1C0C71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49F360C" w14:textId="77777777" w:rsidTr="000D3BCB">
        <w:tc>
          <w:tcPr>
            <w:tcW w:w="286" w:type="dxa"/>
            <w:tcBorders>
              <w:top w:val="single" w:sz="6" w:space="0" w:color="auto"/>
              <w:left w:val="single" w:sz="12" w:space="0" w:color="auto"/>
              <w:bottom w:val="single" w:sz="6" w:space="0" w:color="auto"/>
              <w:right w:val="single" w:sz="6" w:space="0" w:color="auto"/>
            </w:tcBorders>
          </w:tcPr>
          <w:p w14:paraId="4EBF7E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61.</w:t>
            </w:r>
          </w:p>
        </w:tc>
        <w:tc>
          <w:tcPr>
            <w:tcW w:w="1525" w:type="dxa"/>
            <w:tcBorders>
              <w:top w:val="single" w:sz="6" w:space="0" w:color="auto"/>
              <w:left w:val="single" w:sz="6" w:space="0" w:color="auto"/>
              <w:bottom w:val="single" w:sz="6" w:space="0" w:color="auto"/>
              <w:right w:val="single" w:sz="6" w:space="0" w:color="auto"/>
            </w:tcBorders>
          </w:tcPr>
          <w:p w14:paraId="236D18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Перчаточная фабрика (г. Прилуки Черниговской области)</w:t>
            </w:r>
          </w:p>
        </w:tc>
        <w:tc>
          <w:tcPr>
            <w:tcW w:w="3069" w:type="dxa"/>
            <w:tcBorders>
              <w:top w:val="single" w:sz="6" w:space="0" w:color="auto"/>
              <w:left w:val="single" w:sz="6" w:space="0" w:color="auto"/>
              <w:bottom w:val="single" w:sz="6" w:space="0" w:color="auto"/>
              <w:right w:val="single" w:sz="6" w:space="0" w:color="auto"/>
            </w:tcBorders>
          </w:tcPr>
          <w:p w14:paraId="2B5E81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Трикотажная фабрика Обллегпрома</w:t>
            </w:r>
          </w:p>
        </w:tc>
        <w:tc>
          <w:tcPr>
            <w:tcW w:w="1678" w:type="dxa"/>
            <w:tcBorders>
              <w:top w:val="single" w:sz="6" w:space="0" w:color="auto"/>
              <w:left w:val="single" w:sz="6" w:space="0" w:color="auto"/>
              <w:bottom w:val="single" w:sz="6" w:space="0" w:color="auto"/>
              <w:right w:val="single" w:sz="6" w:space="0" w:color="auto"/>
            </w:tcBorders>
          </w:tcPr>
          <w:p w14:paraId="63A8D6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 СЭ</w:t>
            </w:r>
          </w:p>
          <w:p w14:paraId="5F4CDB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4/IX - 41 г.</w:t>
            </w:r>
          </w:p>
          <w:p w14:paraId="227CDA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13840-сэ</w:t>
            </w:r>
          </w:p>
        </w:tc>
        <w:tc>
          <w:tcPr>
            <w:tcW w:w="603" w:type="dxa"/>
            <w:tcBorders>
              <w:top w:val="single" w:sz="6" w:space="0" w:color="auto"/>
              <w:left w:val="single" w:sz="6" w:space="0" w:color="auto"/>
              <w:bottom w:val="single" w:sz="6" w:space="0" w:color="auto"/>
              <w:right w:val="single" w:sz="12" w:space="0" w:color="auto"/>
            </w:tcBorders>
          </w:tcPr>
          <w:p w14:paraId="2ACE3A4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9ED95FC" w14:textId="77777777" w:rsidTr="000D3BCB">
        <w:tc>
          <w:tcPr>
            <w:tcW w:w="286" w:type="dxa"/>
            <w:tcBorders>
              <w:top w:val="single" w:sz="6" w:space="0" w:color="auto"/>
              <w:left w:val="single" w:sz="12" w:space="0" w:color="auto"/>
              <w:bottom w:val="single" w:sz="6" w:space="0" w:color="auto"/>
              <w:right w:val="single" w:sz="6" w:space="0" w:color="auto"/>
            </w:tcBorders>
          </w:tcPr>
          <w:p w14:paraId="2AE94C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62.</w:t>
            </w:r>
          </w:p>
        </w:tc>
        <w:tc>
          <w:tcPr>
            <w:tcW w:w="1525" w:type="dxa"/>
            <w:tcBorders>
              <w:top w:val="single" w:sz="6" w:space="0" w:color="auto"/>
              <w:left w:val="single" w:sz="6" w:space="0" w:color="auto"/>
              <w:bottom w:val="single" w:sz="6" w:space="0" w:color="auto"/>
              <w:right w:val="single" w:sz="6" w:space="0" w:color="auto"/>
            </w:tcBorders>
          </w:tcPr>
          <w:p w14:paraId="53209C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Швейная фабрика</w:t>
            </w:r>
          </w:p>
          <w:p w14:paraId="25166C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индпошивом</w:t>
            </w:r>
          </w:p>
          <w:p w14:paraId="683E3E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(Сумская область)</w:t>
            </w:r>
          </w:p>
        </w:tc>
        <w:tc>
          <w:tcPr>
            <w:tcW w:w="3069" w:type="dxa"/>
            <w:tcBorders>
              <w:top w:val="single" w:sz="6" w:space="0" w:color="auto"/>
              <w:left w:val="single" w:sz="6" w:space="0" w:color="auto"/>
              <w:bottom w:val="single" w:sz="6" w:space="0" w:color="auto"/>
              <w:right w:val="single" w:sz="6" w:space="0" w:color="auto"/>
            </w:tcBorders>
          </w:tcPr>
          <w:p w14:paraId="36F05D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Кировская</w:t>
            </w:r>
          </w:p>
          <w:p w14:paraId="3E33C61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швейная фабрика</w:t>
            </w:r>
          </w:p>
          <w:p w14:paraId="634431E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Обллегпрома</w:t>
            </w:r>
          </w:p>
        </w:tc>
        <w:tc>
          <w:tcPr>
            <w:tcW w:w="1678" w:type="dxa"/>
            <w:tcBorders>
              <w:top w:val="single" w:sz="6" w:space="0" w:color="auto"/>
              <w:left w:val="single" w:sz="6" w:space="0" w:color="auto"/>
              <w:bottom w:val="single" w:sz="6" w:space="0" w:color="auto"/>
              <w:right w:val="single" w:sz="6" w:space="0" w:color="auto"/>
            </w:tcBorders>
          </w:tcPr>
          <w:p w14:paraId="4A3B76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 СЭ</w:t>
            </w:r>
          </w:p>
          <w:p w14:paraId="6635A2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4/IX - 41 г.</w:t>
            </w:r>
          </w:p>
          <w:p w14:paraId="32AE2C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13840-сэ</w:t>
            </w:r>
          </w:p>
        </w:tc>
        <w:tc>
          <w:tcPr>
            <w:tcW w:w="603" w:type="dxa"/>
            <w:tcBorders>
              <w:top w:val="single" w:sz="6" w:space="0" w:color="auto"/>
              <w:left w:val="single" w:sz="6" w:space="0" w:color="auto"/>
              <w:bottom w:val="single" w:sz="6" w:space="0" w:color="auto"/>
              <w:right w:val="single" w:sz="12" w:space="0" w:color="auto"/>
            </w:tcBorders>
          </w:tcPr>
          <w:p w14:paraId="5EFE39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8786EFD" w14:textId="77777777" w:rsidTr="000D3BCB">
        <w:tc>
          <w:tcPr>
            <w:tcW w:w="286" w:type="dxa"/>
            <w:tcBorders>
              <w:top w:val="single" w:sz="6" w:space="0" w:color="auto"/>
              <w:left w:val="single" w:sz="12" w:space="0" w:color="auto"/>
              <w:bottom w:val="single" w:sz="6" w:space="0" w:color="auto"/>
              <w:right w:val="single" w:sz="6" w:space="0" w:color="auto"/>
            </w:tcBorders>
          </w:tcPr>
          <w:p w14:paraId="0A9FD5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63.</w:t>
            </w:r>
          </w:p>
        </w:tc>
        <w:tc>
          <w:tcPr>
            <w:tcW w:w="1525" w:type="dxa"/>
            <w:tcBorders>
              <w:top w:val="single" w:sz="6" w:space="0" w:color="auto"/>
              <w:left w:val="single" w:sz="6" w:space="0" w:color="auto"/>
              <w:bottom w:val="single" w:sz="6" w:space="0" w:color="auto"/>
              <w:right w:val="single" w:sz="6" w:space="0" w:color="auto"/>
            </w:tcBorders>
          </w:tcPr>
          <w:p w14:paraId="30D885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Каблучная фабрика</w:t>
            </w:r>
          </w:p>
          <w:p w14:paraId="7D7E2D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(Запорожская область)</w:t>
            </w:r>
          </w:p>
        </w:tc>
        <w:tc>
          <w:tcPr>
            <w:tcW w:w="3069" w:type="dxa"/>
            <w:tcBorders>
              <w:top w:val="single" w:sz="6" w:space="0" w:color="auto"/>
              <w:left w:val="single" w:sz="6" w:space="0" w:color="auto"/>
              <w:bottom w:val="single" w:sz="6" w:space="0" w:color="auto"/>
              <w:right w:val="single" w:sz="6" w:space="0" w:color="auto"/>
            </w:tcBorders>
          </w:tcPr>
          <w:p w14:paraId="6CA40A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Склады</w:t>
            </w:r>
          </w:p>
          <w:p w14:paraId="6C3F0D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Киров. ф-ки обуви Обллегпрома</w:t>
            </w:r>
          </w:p>
        </w:tc>
        <w:tc>
          <w:tcPr>
            <w:tcW w:w="1678" w:type="dxa"/>
            <w:tcBorders>
              <w:top w:val="single" w:sz="6" w:space="0" w:color="auto"/>
              <w:left w:val="single" w:sz="6" w:space="0" w:color="auto"/>
              <w:bottom w:val="single" w:sz="6" w:space="0" w:color="auto"/>
              <w:right w:val="single" w:sz="6" w:space="0" w:color="auto"/>
            </w:tcBorders>
          </w:tcPr>
          <w:p w14:paraId="49FB758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 СЭ</w:t>
            </w:r>
          </w:p>
          <w:p w14:paraId="4ED920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4/IX - 41 г.</w:t>
            </w:r>
          </w:p>
          <w:p w14:paraId="7AAF62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13840-сэ</w:t>
            </w:r>
          </w:p>
        </w:tc>
        <w:tc>
          <w:tcPr>
            <w:tcW w:w="603" w:type="dxa"/>
            <w:tcBorders>
              <w:top w:val="single" w:sz="6" w:space="0" w:color="auto"/>
              <w:left w:val="single" w:sz="6" w:space="0" w:color="auto"/>
              <w:bottom w:val="single" w:sz="6" w:space="0" w:color="auto"/>
              <w:right w:val="single" w:sz="12" w:space="0" w:color="auto"/>
            </w:tcBorders>
          </w:tcPr>
          <w:p w14:paraId="355AD3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9F6B479" w14:textId="77777777" w:rsidTr="000D3BCB">
        <w:tc>
          <w:tcPr>
            <w:tcW w:w="286" w:type="dxa"/>
            <w:tcBorders>
              <w:top w:val="single" w:sz="6" w:space="0" w:color="auto"/>
              <w:left w:val="single" w:sz="12" w:space="0" w:color="auto"/>
              <w:bottom w:val="single" w:sz="6" w:space="0" w:color="auto"/>
              <w:right w:val="single" w:sz="6" w:space="0" w:color="auto"/>
            </w:tcBorders>
          </w:tcPr>
          <w:p w14:paraId="3F46CE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64.</w:t>
            </w:r>
          </w:p>
        </w:tc>
        <w:tc>
          <w:tcPr>
            <w:tcW w:w="1525" w:type="dxa"/>
            <w:tcBorders>
              <w:top w:val="single" w:sz="6" w:space="0" w:color="auto"/>
              <w:left w:val="single" w:sz="6" w:space="0" w:color="auto"/>
              <w:bottom w:val="single" w:sz="6" w:space="0" w:color="auto"/>
              <w:right w:val="single" w:sz="6" w:space="0" w:color="auto"/>
            </w:tcBorders>
          </w:tcPr>
          <w:p w14:paraId="1A6D08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Марковский спиртозавод</w:t>
            </w:r>
          </w:p>
        </w:tc>
        <w:tc>
          <w:tcPr>
            <w:tcW w:w="3069" w:type="dxa"/>
            <w:tcBorders>
              <w:top w:val="single" w:sz="6" w:space="0" w:color="auto"/>
              <w:left w:val="single" w:sz="6" w:space="0" w:color="auto"/>
              <w:bottom w:val="single" w:sz="6" w:space="0" w:color="auto"/>
              <w:right w:val="single" w:sz="6" w:space="0" w:color="auto"/>
            </w:tcBorders>
          </w:tcPr>
          <w:p w14:paraId="63EFB8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Вятскополян. район,</w:t>
            </w:r>
          </w:p>
          <w:p w14:paraId="7E7FA4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Слуцкая церковь</w:t>
            </w:r>
          </w:p>
        </w:tc>
        <w:tc>
          <w:tcPr>
            <w:tcW w:w="1678" w:type="dxa"/>
            <w:tcBorders>
              <w:top w:val="single" w:sz="6" w:space="0" w:color="auto"/>
              <w:left w:val="single" w:sz="6" w:space="0" w:color="auto"/>
              <w:bottom w:val="single" w:sz="6" w:space="0" w:color="auto"/>
              <w:right w:val="single" w:sz="6" w:space="0" w:color="auto"/>
            </w:tcBorders>
          </w:tcPr>
          <w:p w14:paraId="01D73D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 СЭ</w:t>
            </w:r>
          </w:p>
          <w:p w14:paraId="396550D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13/IX - 41 г.</w:t>
            </w:r>
          </w:p>
          <w:p w14:paraId="7EDB16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13941-сэ</w:t>
            </w:r>
          </w:p>
        </w:tc>
        <w:tc>
          <w:tcPr>
            <w:tcW w:w="603" w:type="dxa"/>
            <w:tcBorders>
              <w:top w:val="single" w:sz="6" w:space="0" w:color="auto"/>
              <w:left w:val="single" w:sz="6" w:space="0" w:color="auto"/>
              <w:bottom w:val="single" w:sz="6" w:space="0" w:color="auto"/>
              <w:right w:val="single" w:sz="12" w:space="0" w:color="auto"/>
            </w:tcBorders>
          </w:tcPr>
          <w:p w14:paraId="3605DC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0A528EF" w14:textId="77777777" w:rsidTr="000D3BCB">
        <w:tc>
          <w:tcPr>
            <w:tcW w:w="286" w:type="dxa"/>
            <w:tcBorders>
              <w:top w:val="single" w:sz="6" w:space="0" w:color="auto"/>
              <w:left w:val="single" w:sz="12" w:space="0" w:color="auto"/>
              <w:bottom w:val="single" w:sz="6" w:space="0" w:color="auto"/>
              <w:right w:val="single" w:sz="6" w:space="0" w:color="auto"/>
            </w:tcBorders>
          </w:tcPr>
          <w:p w14:paraId="2876438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65.</w:t>
            </w:r>
          </w:p>
        </w:tc>
        <w:tc>
          <w:tcPr>
            <w:tcW w:w="1525" w:type="dxa"/>
            <w:tcBorders>
              <w:top w:val="single" w:sz="6" w:space="0" w:color="auto"/>
              <w:left w:val="single" w:sz="6" w:space="0" w:color="auto"/>
              <w:bottom w:val="single" w:sz="6" w:space="0" w:color="auto"/>
              <w:right w:val="single" w:sz="6" w:space="0" w:color="auto"/>
            </w:tcBorders>
          </w:tcPr>
          <w:p w14:paraId="5C0A37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Дерюгинская</w:t>
            </w:r>
          </w:p>
          <w:p w14:paraId="0F016F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бум. фабрика Главтабака</w:t>
            </w:r>
          </w:p>
        </w:tc>
        <w:tc>
          <w:tcPr>
            <w:tcW w:w="3069" w:type="dxa"/>
            <w:tcBorders>
              <w:top w:val="single" w:sz="6" w:space="0" w:color="auto"/>
              <w:left w:val="single" w:sz="6" w:space="0" w:color="auto"/>
              <w:bottom w:val="single" w:sz="6" w:space="0" w:color="auto"/>
              <w:right w:val="single" w:sz="6" w:space="0" w:color="auto"/>
            </w:tcBorders>
          </w:tcPr>
          <w:p w14:paraId="45165E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 Луза, бумфабрика</w:t>
            </w:r>
          </w:p>
        </w:tc>
        <w:tc>
          <w:tcPr>
            <w:tcW w:w="1678" w:type="dxa"/>
            <w:tcBorders>
              <w:top w:val="single" w:sz="6" w:space="0" w:color="auto"/>
              <w:left w:val="single" w:sz="6" w:space="0" w:color="auto"/>
              <w:bottom w:val="single" w:sz="6" w:space="0" w:color="auto"/>
              <w:right w:val="single" w:sz="6" w:space="0" w:color="auto"/>
            </w:tcBorders>
          </w:tcPr>
          <w:p w14:paraId="06266E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 же</w:t>
            </w:r>
          </w:p>
        </w:tc>
        <w:tc>
          <w:tcPr>
            <w:tcW w:w="603" w:type="dxa"/>
            <w:tcBorders>
              <w:top w:val="single" w:sz="6" w:space="0" w:color="auto"/>
              <w:left w:val="single" w:sz="6" w:space="0" w:color="auto"/>
              <w:bottom w:val="single" w:sz="6" w:space="0" w:color="auto"/>
              <w:right w:val="single" w:sz="12" w:space="0" w:color="auto"/>
            </w:tcBorders>
          </w:tcPr>
          <w:p w14:paraId="0B5BED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213DC36" w14:textId="77777777" w:rsidTr="000D3BCB">
        <w:tc>
          <w:tcPr>
            <w:tcW w:w="286" w:type="dxa"/>
            <w:tcBorders>
              <w:top w:val="single" w:sz="6" w:space="0" w:color="auto"/>
              <w:left w:val="single" w:sz="12" w:space="0" w:color="auto"/>
              <w:bottom w:val="single" w:sz="6" w:space="0" w:color="auto"/>
              <w:right w:val="single" w:sz="6" w:space="0" w:color="auto"/>
            </w:tcBorders>
          </w:tcPr>
          <w:p w14:paraId="3B2055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66.</w:t>
            </w:r>
          </w:p>
        </w:tc>
        <w:tc>
          <w:tcPr>
            <w:tcW w:w="1525" w:type="dxa"/>
            <w:tcBorders>
              <w:top w:val="single" w:sz="6" w:space="0" w:color="auto"/>
              <w:left w:val="single" w:sz="6" w:space="0" w:color="auto"/>
              <w:bottom w:val="single" w:sz="6" w:space="0" w:color="auto"/>
              <w:right w:val="single" w:sz="6" w:space="0" w:color="auto"/>
            </w:tcBorders>
          </w:tcPr>
          <w:p w14:paraId="626EB9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Троицкая бумфабрика</w:t>
            </w:r>
          </w:p>
          <w:p w14:paraId="4CE01C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(один дизель)</w:t>
            </w:r>
          </w:p>
        </w:tc>
        <w:tc>
          <w:tcPr>
            <w:tcW w:w="3069" w:type="dxa"/>
            <w:tcBorders>
              <w:top w:val="single" w:sz="6" w:space="0" w:color="auto"/>
              <w:left w:val="single" w:sz="6" w:space="0" w:color="auto"/>
              <w:bottom w:val="single" w:sz="6" w:space="0" w:color="auto"/>
              <w:right w:val="single" w:sz="6" w:space="0" w:color="auto"/>
            </w:tcBorders>
          </w:tcPr>
          <w:p w14:paraId="4CA126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Бумфабрика "Красный курсант"</w:t>
            </w:r>
          </w:p>
        </w:tc>
        <w:tc>
          <w:tcPr>
            <w:tcW w:w="1678" w:type="dxa"/>
            <w:tcBorders>
              <w:top w:val="single" w:sz="6" w:space="0" w:color="auto"/>
              <w:left w:val="single" w:sz="6" w:space="0" w:color="auto"/>
              <w:bottom w:val="single" w:sz="6" w:space="0" w:color="auto"/>
              <w:right w:val="single" w:sz="6" w:space="0" w:color="auto"/>
            </w:tcBorders>
          </w:tcPr>
          <w:p w14:paraId="5D430F3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 СЭ</w:t>
            </w:r>
          </w:p>
          <w:p w14:paraId="70ABED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25/IX - 41 г.</w:t>
            </w:r>
          </w:p>
          <w:p w14:paraId="0EBD61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14073-сэ</w:t>
            </w:r>
          </w:p>
        </w:tc>
        <w:tc>
          <w:tcPr>
            <w:tcW w:w="603" w:type="dxa"/>
            <w:tcBorders>
              <w:top w:val="single" w:sz="6" w:space="0" w:color="auto"/>
              <w:left w:val="single" w:sz="6" w:space="0" w:color="auto"/>
              <w:bottom w:val="single" w:sz="6" w:space="0" w:color="auto"/>
              <w:right w:val="single" w:sz="12" w:space="0" w:color="auto"/>
            </w:tcBorders>
          </w:tcPr>
          <w:p w14:paraId="126184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FEECF60" w14:textId="77777777" w:rsidTr="000D3BCB">
        <w:tc>
          <w:tcPr>
            <w:tcW w:w="286" w:type="dxa"/>
            <w:tcBorders>
              <w:top w:val="single" w:sz="6" w:space="0" w:color="auto"/>
              <w:left w:val="single" w:sz="12" w:space="0" w:color="auto"/>
              <w:bottom w:val="single" w:sz="6" w:space="0" w:color="auto"/>
              <w:right w:val="single" w:sz="6" w:space="0" w:color="auto"/>
            </w:tcBorders>
          </w:tcPr>
          <w:p w14:paraId="0EF3D6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67.</w:t>
            </w:r>
          </w:p>
        </w:tc>
        <w:tc>
          <w:tcPr>
            <w:tcW w:w="1525" w:type="dxa"/>
            <w:tcBorders>
              <w:top w:val="single" w:sz="6" w:space="0" w:color="auto"/>
              <w:left w:val="single" w:sz="6" w:space="0" w:color="auto"/>
              <w:bottom w:val="single" w:sz="6" w:space="0" w:color="auto"/>
              <w:right w:val="single" w:sz="6" w:space="0" w:color="auto"/>
            </w:tcBorders>
          </w:tcPr>
          <w:p w14:paraId="3B6FAF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Полотняно-заводская бумфабрика</w:t>
            </w:r>
          </w:p>
        </w:tc>
        <w:tc>
          <w:tcPr>
            <w:tcW w:w="3069" w:type="dxa"/>
            <w:tcBorders>
              <w:top w:val="single" w:sz="6" w:space="0" w:color="auto"/>
              <w:left w:val="single" w:sz="6" w:space="0" w:color="auto"/>
              <w:bottom w:val="single" w:sz="6" w:space="0" w:color="auto"/>
              <w:right w:val="single" w:sz="6" w:space="0" w:color="auto"/>
            </w:tcBorders>
          </w:tcPr>
          <w:p w14:paraId="46B019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Косинская бумфабрика</w:t>
            </w:r>
          </w:p>
        </w:tc>
        <w:tc>
          <w:tcPr>
            <w:tcW w:w="1678" w:type="dxa"/>
            <w:tcBorders>
              <w:top w:val="single" w:sz="6" w:space="0" w:color="auto"/>
              <w:left w:val="single" w:sz="6" w:space="0" w:color="auto"/>
              <w:bottom w:val="single" w:sz="6" w:space="0" w:color="auto"/>
              <w:right w:val="single" w:sz="6" w:space="0" w:color="auto"/>
            </w:tcBorders>
          </w:tcPr>
          <w:p w14:paraId="6CC4E3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 же</w:t>
            </w:r>
          </w:p>
        </w:tc>
        <w:tc>
          <w:tcPr>
            <w:tcW w:w="603" w:type="dxa"/>
            <w:tcBorders>
              <w:top w:val="single" w:sz="6" w:space="0" w:color="auto"/>
              <w:left w:val="single" w:sz="6" w:space="0" w:color="auto"/>
              <w:bottom w:val="single" w:sz="6" w:space="0" w:color="auto"/>
              <w:right w:val="single" w:sz="12" w:space="0" w:color="auto"/>
            </w:tcBorders>
          </w:tcPr>
          <w:p w14:paraId="58556A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E8034BC" w14:textId="77777777" w:rsidTr="000D3BCB">
        <w:tc>
          <w:tcPr>
            <w:tcW w:w="286" w:type="dxa"/>
            <w:tcBorders>
              <w:top w:val="single" w:sz="6" w:space="0" w:color="auto"/>
              <w:left w:val="single" w:sz="12" w:space="0" w:color="auto"/>
              <w:bottom w:val="single" w:sz="6" w:space="0" w:color="auto"/>
              <w:right w:val="single" w:sz="6" w:space="0" w:color="auto"/>
            </w:tcBorders>
          </w:tcPr>
          <w:p w14:paraId="679689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68.</w:t>
            </w:r>
          </w:p>
        </w:tc>
        <w:tc>
          <w:tcPr>
            <w:tcW w:w="1525" w:type="dxa"/>
            <w:tcBorders>
              <w:top w:val="single" w:sz="6" w:space="0" w:color="auto"/>
              <w:left w:val="single" w:sz="6" w:space="0" w:color="auto"/>
              <w:bottom w:val="single" w:sz="6" w:space="0" w:color="auto"/>
              <w:right w:val="single" w:sz="6" w:space="0" w:color="auto"/>
            </w:tcBorders>
          </w:tcPr>
          <w:p w14:paraId="152E04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266 г. Москва</w:t>
            </w:r>
          </w:p>
        </w:tc>
        <w:tc>
          <w:tcPr>
            <w:tcW w:w="3069" w:type="dxa"/>
            <w:tcBorders>
              <w:top w:val="single" w:sz="6" w:space="0" w:color="auto"/>
              <w:left w:val="single" w:sz="6" w:space="0" w:color="auto"/>
              <w:bottom w:val="single" w:sz="6" w:space="0" w:color="auto"/>
              <w:right w:val="single" w:sz="6" w:space="0" w:color="auto"/>
            </w:tcBorders>
          </w:tcPr>
          <w:p w14:paraId="2166E6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46-й завод НКАП</w:t>
            </w:r>
          </w:p>
        </w:tc>
        <w:tc>
          <w:tcPr>
            <w:tcW w:w="1678" w:type="dxa"/>
            <w:tcBorders>
              <w:top w:val="single" w:sz="6" w:space="0" w:color="auto"/>
              <w:left w:val="single" w:sz="6" w:space="0" w:color="auto"/>
              <w:bottom w:val="single" w:sz="6" w:space="0" w:color="auto"/>
              <w:right w:val="single" w:sz="6" w:space="0" w:color="auto"/>
            </w:tcBorders>
          </w:tcPr>
          <w:p w14:paraId="03AA18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 СЭ</w:t>
            </w:r>
          </w:p>
          <w:p w14:paraId="2F7C11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СЭ-147 сс</w:t>
            </w:r>
          </w:p>
          <w:p w14:paraId="45AA75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10/X - 41 г.</w:t>
            </w:r>
          </w:p>
        </w:tc>
        <w:tc>
          <w:tcPr>
            <w:tcW w:w="603" w:type="dxa"/>
            <w:tcBorders>
              <w:top w:val="single" w:sz="6" w:space="0" w:color="auto"/>
              <w:left w:val="single" w:sz="6" w:space="0" w:color="auto"/>
              <w:bottom w:val="single" w:sz="6" w:space="0" w:color="auto"/>
              <w:right w:val="single" w:sz="12" w:space="0" w:color="auto"/>
            </w:tcBorders>
          </w:tcPr>
          <w:p w14:paraId="377C16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D771819" w14:textId="77777777" w:rsidTr="000D3BCB">
        <w:tc>
          <w:tcPr>
            <w:tcW w:w="286" w:type="dxa"/>
            <w:tcBorders>
              <w:top w:val="single" w:sz="6" w:space="0" w:color="auto"/>
              <w:left w:val="single" w:sz="12" w:space="0" w:color="auto"/>
              <w:bottom w:val="single" w:sz="6" w:space="0" w:color="auto"/>
              <w:right w:val="single" w:sz="6" w:space="0" w:color="auto"/>
            </w:tcBorders>
          </w:tcPr>
          <w:p w14:paraId="0773EA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69.</w:t>
            </w:r>
          </w:p>
        </w:tc>
        <w:tc>
          <w:tcPr>
            <w:tcW w:w="1525" w:type="dxa"/>
            <w:tcBorders>
              <w:top w:val="single" w:sz="6" w:space="0" w:color="auto"/>
              <w:left w:val="single" w:sz="6" w:space="0" w:color="auto"/>
              <w:bottom w:val="single" w:sz="6" w:space="0" w:color="auto"/>
              <w:right w:val="single" w:sz="6" w:space="0" w:color="auto"/>
            </w:tcBorders>
          </w:tcPr>
          <w:p w14:paraId="04F2B2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w:t>
            </w:r>
          </w:p>
          <w:p w14:paraId="6DA377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Оргавиахима</w:t>
            </w:r>
          </w:p>
          <w:p w14:paraId="331A16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Москва.</w:t>
            </w:r>
          </w:p>
        </w:tc>
        <w:tc>
          <w:tcPr>
            <w:tcW w:w="3069" w:type="dxa"/>
            <w:tcBorders>
              <w:top w:val="single" w:sz="6" w:space="0" w:color="auto"/>
              <w:left w:val="single" w:sz="6" w:space="0" w:color="auto"/>
              <w:bottom w:val="single" w:sz="6" w:space="0" w:color="auto"/>
              <w:right w:val="single" w:sz="6" w:space="0" w:color="auto"/>
            </w:tcBorders>
          </w:tcPr>
          <w:p w14:paraId="0AED10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Законсервирован. завод в поселке Климковка Белохолуницкого района</w:t>
            </w:r>
          </w:p>
        </w:tc>
        <w:tc>
          <w:tcPr>
            <w:tcW w:w="1678" w:type="dxa"/>
            <w:tcBorders>
              <w:top w:val="single" w:sz="6" w:space="0" w:color="auto"/>
              <w:left w:val="single" w:sz="6" w:space="0" w:color="auto"/>
              <w:bottom w:val="single" w:sz="6" w:space="0" w:color="auto"/>
              <w:right w:val="single" w:sz="6" w:space="0" w:color="auto"/>
            </w:tcBorders>
          </w:tcPr>
          <w:p w14:paraId="439D13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 СЭ</w:t>
            </w:r>
          </w:p>
          <w:p w14:paraId="7C1500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СЭ-147сс</w:t>
            </w:r>
          </w:p>
          <w:p w14:paraId="4CAE86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10/X - 41 г.</w:t>
            </w:r>
          </w:p>
        </w:tc>
        <w:tc>
          <w:tcPr>
            <w:tcW w:w="603" w:type="dxa"/>
            <w:tcBorders>
              <w:top w:val="single" w:sz="6" w:space="0" w:color="auto"/>
              <w:left w:val="single" w:sz="6" w:space="0" w:color="auto"/>
              <w:bottom w:val="single" w:sz="6" w:space="0" w:color="auto"/>
              <w:right w:val="single" w:sz="12" w:space="0" w:color="auto"/>
            </w:tcBorders>
          </w:tcPr>
          <w:p w14:paraId="5E6115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D805C8F" w14:textId="77777777" w:rsidTr="000D3BCB">
        <w:tc>
          <w:tcPr>
            <w:tcW w:w="286" w:type="dxa"/>
            <w:tcBorders>
              <w:top w:val="single" w:sz="6" w:space="0" w:color="auto"/>
              <w:left w:val="single" w:sz="12" w:space="0" w:color="auto"/>
              <w:bottom w:val="single" w:sz="6" w:space="0" w:color="auto"/>
              <w:right w:val="single" w:sz="6" w:space="0" w:color="auto"/>
            </w:tcBorders>
          </w:tcPr>
          <w:p w14:paraId="6CE457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70.</w:t>
            </w:r>
          </w:p>
        </w:tc>
        <w:tc>
          <w:tcPr>
            <w:tcW w:w="1525" w:type="dxa"/>
            <w:tcBorders>
              <w:top w:val="single" w:sz="6" w:space="0" w:color="auto"/>
              <w:left w:val="single" w:sz="6" w:space="0" w:color="auto"/>
              <w:bottom w:val="single" w:sz="6" w:space="0" w:color="auto"/>
              <w:right w:val="single" w:sz="6" w:space="0" w:color="auto"/>
            </w:tcBorders>
          </w:tcPr>
          <w:p w14:paraId="0EF874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Артемовский спиртозавод</w:t>
            </w:r>
          </w:p>
          <w:p w14:paraId="6C91E4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 Мерефа Южн. ж/д)</w:t>
            </w:r>
          </w:p>
        </w:tc>
        <w:tc>
          <w:tcPr>
            <w:tcW w:w="3069" w:type="dxa"/>
            <w:tcBorders>
              <w:top w:val="single" w:sz="6" w:space="0" w:color="auto"/>
              <w:left w:val="single" w:sz="6" w:space="0" w:color="auto"/>
              <w:bottom w:val="single" w:sz="6" w:space="0" w:color="auto"/>
              <w:right w:val="single" w:sz="6" w:space="0" w:color="auto"/>
            </w:tcBorders>
          </w:tcPr>
          <w:p w14:paraId="340221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Слободской спиртозавод</w:t>
            </w:r>
          </w:p>
        </w:tc>
        <w:tc>
          <w:tcPr>
            <w:tcW w:w="1678" w:type="dxa"/>
            <w:tcBorders>
              <w:top w:val="single" w:sz="6" w:space="0" w:color="auto"/>
              <w:left w:val="single" w:sz="6" w:space="0" w:color="auto"/>
              <w:bottom w:val="single" w:sz="6" w:space="0" w:color="auto"/>
              <w:right w:val="single" w:sz="6" w:space="0" w:color="auto"/>
            </w:tcBorders>
          </w:tcPr>
          <w:p w14:paraId="50D1AD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 СЭ № 14252сэ</w:t>
            </w:r>
          </w:p>
          <w:p w14:paraId="16F069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13/X - 41 г.</w:t>
            </w:r>
          </w:p>
        </w:tc>
        <w:tc>
          <w:tcPr>
            <w:tcW w:w="603" w:type="dxa"/>
            <w:tcBorders>
              <w:top w:val="single" w:sz="6" w:space="0" w:color="auto"/>
              <w:left w:val="single" w:sz="6" w:space="0" w:color="auto"/>
              <w:bottom w:val="single" w:sz="6" w:space="0" w:color="auto"/>
              <w:right w:val="single" w:sz="12" w:space="0" w:color="auto"/>
            </w:tcBorders>
          </w:tcPr>
          <w:p w14:paraId="200010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157DC01" w14:textId="77777777" w:rsidTr="000D3BCB">
        <w:tc>
          <w:tcPr>
            <w:tcW w:w="286" w:type="dxa"/>
            <w:tcBorders>
              <w:top w:val="single" w:sz="6" w:space="0" w:color="auto"/>
              <w:left w:val="single" w:sz="12" w:space="0" w:color="auto"/>
              <w:bottom w:val="single" w:sz="6" w:space="0" w:color="auto"/>
              <w:right w:val="single" w:sz="6" w:space="0" w:color="auto"/>
            </w:tcBorders>
          </w:tcPr>
          <w:p w14:paraId="006BAA3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71.</w:t>
            </w:r>
          </w:p>
        </w:tc>
        <w:tc>
          <w:tcPr>
            <w:tcW w:w="1525" w:type="dxa"/>
            <w:tcBorders>
              <w:top w:val="single" w:sz="6" w:space="0" w:color="auto"/>
              <w:left w:val="single" w:sz="6" w:space="0" w:color="auto"/>
              <w:bottom w:val="single" w:sz="6" w:space="0" w:color="auto"/>
              <w:right w:val="single" w:sz="6" w:space="0" w:color="auto"/>
            </w:tcBorders>
          </w:tcPr>
          <w:p w14:paraId="3D6D2E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Борский мебельно-</w:t>
            </w:r>
          </w:p>
          <w:p w14:paraId="20A1E6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деревообделочный комбинат</w:t>
            </w:r>
          </w:p>
          <w:p w14:paraId="7E1380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 Графская</w:t>
            </w:r>
          </w:p>
          <w:p w14:paraId="4D2479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Юго-Вост. ж/д)</w:t>
            </w:r>
          </w:p>
        </w:tc>
        <w:tc>
          <w:tcPr>
            <w:tcW w:w="3069" w:type="dxa"/>
            <w:tcBorders>
              <w:top w:val="single" w:sz="6" w:space="0" w:color="auto"/>
              <w:left w:val="single" w:sz="6" w:space="0" w:color="auto"/>
              <w:bottom w:val="single" w:sz="6" w:space="0" w:color="auto"/>
              <w:right w:val="single" w:sz="6" w:space="0" w:color="auto"/>
            </w:tcBorders>
          </w:tcPr>
          <w:p w14:paraId="0B5994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Сосновский лесозавод</w:t>
            </w:r>
          </w:p>
          <w:p w14:paraId="069992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(р/пос. Сосновка,</w:t>
            </w:r>
          </w:p>
          <w:p w14:paraId="4C8B84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Вятскопол. р.)</w:t>
            </w:r>
          </w:p>
        </w:tc>
        <w:tc>
          <w:tcPr>
            <w:tcW w:w="1678" w:type="dxa"/>
            <w:tcBorders>
              <w:top w:val="single" w:sz="6" w:space="0" w:color="auto"/>
              <w:left w:val="single" w:sz="6" w:space="0" w:color="auto"/>
              <w:bottom w:val="single" w:sz="6" w:space="0" w:color="auto"/>
              <w:right w:val="single" w:sz="6" w:space="0" w:color="auto"/>
            </w:tcBorders>
          </w:tcPr>
          <w:p w14:paraId="1F5E5D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 СЭ № 14289сэ</w:t>
            </w:r>
          </w:p>
          <w:p w14:paraId="0223A9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14/X - 41 г.</w:t>
            </w:r>
          </w:p>
        </w:tc>
        <w:tc>
          <w:tcPr>
            <w:tcW w:w="603" w:type="dxa"/>
            <w:tcBorders>
              <w:top w:val="single" w:sz="6" w:space="0" w:color="auto"/>
              <w:left w:val="single" w:sz="6" w:space="0" w:color="auto"/>
              <w:bottom w:val="single" w:sz="6" w:space="0" w:color="auto"/>
              <w:right w:val="single" w:sz="12" w:space="0" w:color="auto"/>
            </w:tcBorders>
          </w:tcPr>
          <w:p w14:paraId="2D1A9F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EF2B915" w14:textId="77777777" w:rsidTr="000D3BCB">
        <w:tc>
          <w:tcPr>
            <w:tcW w:w="286" w:type="dxa"/>
            <w:gridSpan w:val="5"/>
            <w:tcBorders>
              <w:top w:val="single" w:sz="6" w:space="0" w:color="auto"/>
              <w:left w:val="single" w:sz="12" w:space="0" w:color="auto"/>
              <w:bottom w:val="single" w:sz="6" w:space="0" w:color="auto"/>
              <w:right w:val="single" w:sz="12" w:space="0" w:color="auto"/>
            </w:tcBorders>
          </w:tcPr>
          <w:p w14:paraId="529FFE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Базы и склады</w:t>
            </w:r>
          </w:p>
        </w:tc>
      </w:tr>
      <w:tr w:rsidR="00643896" w:rsidRPr="00640820" w14:paraId="218E33D0" w14:textId="77777777" w:rsidTr="000D3BCB">
        <w:tc>
          <w:tcPr>
            <w:tcW w:w="286" w:type="dxa"/>
            <w:tcBorders>
              <w:top w:val="single" w:sz="6" w:space="0" w:color="auto"/>
              <w:left w:val="single" w:sz="12" w:space="0" w:color="auto"/>
              <w:bottom w:val="single" w:sz="6" w:space="0" w:color="auto"/>
              <w:right w:val="single" w:sz="6" w:space="0" w:color="auto"/>
            </w:tcBorders>
          </w:tcPr>
          <w:p w14:paraId="20B332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2199" w:type="dxa"/>
            <w:tcBorders>
              <w:top w:val="single" w:sz="6" w:space="0" w:color="auto"/>
              <w:left w:val="single" w:sz="6" w:space="0" w:color="auto"/>
              <w:bottom w:val="single" w:sz="6" w:space="0" w:color="auto"/>
              <w:right w:val="single" w:sz="6" w:space="0" w:color="auto"/>
            </w:tcBorders>
          </w:tcPr>
          <w:p w14:paraId="15B453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Кожсырьевая база</w:t>
            </w:r>
          </w:p>
          <w:p w14:paraId="4206A7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(Киев)</w:t>
            </w:r>
          </w:p>
        </w:tc>
        <w:tc>
          <w:tcPr>
            <w:tcW w:w="3069" w:type="dxa"/>
            <w:tcBorders>
              <w:top w:val="single" w:sz="6" w:space="0" w:color="auto"/>
              <w:left w:val="single" w:sz="6" w:space="0" w:color="auto"/>
              <w:bottom w:val="single" w:sz="6" w:space="0" w:color="auto"/>
              <w:right w:val="single" w:sz="6" w:space="0" w:color="auto"/>
            </w:tcBorders>
          </w:tcPr>
          <w:p w14:paraId="14506D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Кировкожсырьев. завод</w:t>
            </w:r>
          </w:p>
        </w:tc>
        <w:tc>
          <w:tcPr>
            <w:tcW w:w="1678" w:type="dxa"/>
            <w:tcBorders>
              <w:top w:val="single" w:sz="6" w:space="0" w:color="auto"/>
              <w:left w:val="single" w:sz="6" w:space="0" w:color="auto"/>
              <w:bottom w:val="single" w:sz="6" w:space="0" w:color="auto"/>
              <w:right w:val="single" w:sz="6" w:space="0" w:color="auto"/>
            </w:tcBorders>
          </w:tcPr>
          <w:p w14:paraId="6C8CC1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 СЭ № 5367сэ</w:t>
            </w:r>
          </w:p>
          <w:p w14:paraId="6EF82B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9/VIII- 41 г.</w:t>
            </w:r>
          </w:p>
        </w:tc>
        <w:tc>
          <w:tcPr>
            <w:tcW w:w="603" w:type="dxa"/>
            <w:tcBorders>
              <w:top w:val="single" w:sz="6" w:space="0" w:color="auto"/>
              <w:left w:val="single" w:sz="6" w:space="0" w:color="auto"/>
              <w:bottom w:val="single" w:sz="6" w:space="0" w:color="auto"/>
              <w:right w:val="single" w:sz="12" w:space="0" w:color="auto"/>
            </w:tcBorders>
          </w:tcPr>
          <w:p w14:paraId="4198E4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C279900" w14:textId="77777777" w:rsidTr="000D3BCB">
        <w:tc>
          <w:tcPr>
            <w:tcW w:w="286" w:type="dxa"/>
            <w:tcBorders>
              <w:top w:val="single" w:sz="6" w:space="0" w:color="auto"/>
              <w:left w:val="single" w:sz="12" w:space="0" w:color="auto"/>
              <w:bottom w:val="single" w:sz="6" w:space="0" w:color="auto"/>
              <w:right w:val="single" w:sz="6" w:space="0" w:color="auto"/>
            </w:tcBorders>
          </w:tcPr>
          <w:p w14:paraId="676673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2199" w:type="dxa"/>
            <w:tcBorders>
              <w:top w:val="single" w:sz="6" w:space="0" w:color="auto"/>
              <w:left w:val="single" w:sz="6" w:space="0" w:color="auto"/>
              <w:bottom w:val="single" w:sz="6" w:space="0" w:color="auto"/>
              <w:right w:val="single" w:sz="6" w:space="0" w:color="auto"/>
            </w:tcBorders>
          </w:tcPr>
          <w:p w14:paraId="607927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Главлегснаб (материалы) (Ленинград)</w:t>
            </w:r>
          </w:p>
        </w:tc>
        <w:tc>
          <w:tcPr>
            <w:tcW w:w="3069" w:type="dxa"/>
            <w:tcBorders>
              <w:top w:val="single" w:sz="6" w:space="0" w:color="auto"/>
              <w:left w:val="single" w:sz="6" w:space="0" w:color="auto"/>
              <w:bottom w:val="single" w:sz="6" w:space="0" w:color="auto"/>
              <w:right w:val="single" w:sz="6" w:space="0" w:color="auto"/>
            </w:tcBorders>
          </w:tcPr>
          <w:p w14:paraId="22E892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Комбинат "Искож"</w:t>
            </w:r>
          </w:p>
        </w:tc>
        <w:tc>
          <w:tcPr>
            <w:tcW w:w="1678" w:type="dxa"/>
            <w:tcBorders>
              <w:top w:val="single" w:sz="6" w:space="0" w:color="auto"/>
              <w:left w:val="single" w:sz="6" w:space="0" w:color="auto"/>
              <w:bottom w:val="single" w:sz="6" w:space="0" w:color="auto"/>
              <w:right w:val="single" w:sz="6" w:space="0" w:color="auto"/>
            </w:tcBorders>
          </w:tcPr>
          <w:p w14:paraId="4F48FF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 СЭ</w:t>
            </w:r>
          </w:p>
          <w:p w14:paraId="3E7746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15/VIII - 41 г.</w:t>
            </w:r>
          </w:p>
          <w:p w14:paraId="00CA1D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5449сэ</w:t>
            </w:r>
          </w:p>
        </w:tc>
        <w:tc>
          <w:tcPr>
            <w:tcW w:w="603" w:type="dxa"/>
            <w:tcBorders>
              <w:top w:val="single" w:sz="6" w:space="0" w:color="auto"/>
              <w:left w:val="single" w:sz="6" w:space="0" w:color="auto"/>
              <w:bottom w:val="single" w:sz="6" w:space="0" w:color="auto"/>
              <w:right w:val="single" w:sz="12" w:space="0" w:color="auto"/>
            </w:tcBorders>
          </w:tcPr>
          <w:p w14:paraId="64EBFB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2DCFBC2" w14:textId="77777777" w:rsidTr="000D3BCB">
        <w:tc>
          <w:tcPr>
            <w:tcW w:w="286" w:type="dxa"/>
            <w:tcBorders>
              <w:top w:val="single" w:sz="6" w:space="0" w:color="auto"/>
              <w:left w:val="single" w:sz="12" w:space="0" w:color="auto"/>
              <w:bottom w:val="single" w:sz="6" w:space="0" w:color="auto"/>
              <w:right w:val="single" w:sz="6" w:space="0" w:color="auto"/>
            </w:tcBorders>
          </w:tcPr>
          <w:p w14:paraId="26257C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c>
          <w:tcPr>
            <w:tcW w:w="2199" w:type="dxa"/>
            <w:tcBorders>
              <w:top w:val="single" w:sz="6" w:space="0" w:color="auto"/>
              <w:left w:val="single" w:sz="6" w:space="0" w:color="auto"/>
              <w:bottom w:val="single" w:sz="6" w:space="0" w:color="auto"/>
              <w:right w:val="single" w:sz="6" w:space="0" w:color="auto"/>
            </w:tcBorders>
          </w:tcPr>
          <w:p w14:paraId="0730A7B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Сырье, находящееся</w:t>
            </w:r>
          </w:p>
          <w:p w14:paraId="709F3E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Ленпорту</w:t>
            </w:r>
          </w:p>
        </w:tc>
        <w:tc>
          <w:tcPr>
            <w:tcW w:w="3069" w:type="dxa"/>
            <w:tcBorders>
              <w:top w:val="single" w:sz="6" w:space="0" w:color="auto"/>
              <w:left w:val="single" w:sz="6" w:space="0" w:color="auto"/>
              <w:bottom w:val="single" w:sz="6" w:space="0" w:color="auto"/>
              <w:right w:val="single" w:sz="6" w:space="0" w:color="auto"/>
            </w:tcBorders>
          </w:tcPr>
          <w:p w14:paraId="2827A3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Кир. овчин.-шубный завод</w:t>
            </w:r>
          </w:p>
        </w:tc>
        <w:tc>
          <w:tcPr>
            <w:tcW w:w="1678" w:type="dxa"/>
            <w:tcBorders>
              <w:top w:val="single" w:sz="6" w:space="0" w:color="auto"/>
              <w:left w:val="single" w:sz="6" w:space="0" w:color="auto"/>
              <w:bottom w:val="single" w:sz="6" w:space="0" w:color="auto"/>
              <w:right w:val="single" w:sz="6" w:space="0" w:color="auto"/>
            </w:tcBorders>
          </w:tcPr>
          <w:p w14:paraId="13B8C8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 же</w:t>
            </w:r>
          </w:p>
        </w:tc>
        <w:tc>
          <w:tcPr>
            <w:tcW w:w="603" w:type="dxa"/>
            <w:tcBorders>
              <w:top w:val="single" w:sz="6" w:space="0" w:color="auto"/>
              <w:left w:val="single" w:sz="6" w:space="0" w:color="auto"/>
              <w:bottom w:val="single" w:sz="6" w:space="0" w:color="auto"/>
              <w:right w:val="single" w:sz="12" w:space="0" w:color="auto"/>
            </w:tcBorders>
          </w:tcPr>
          <w:p w14:paraId="32DDD2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C788C22" w14:textId="77777777" w:rsidTr="000D3BCB">
        <w:tc>
          <w:tcPr>
            <w:tcW w:w="286" w:type="dxa"/>
            <w:tcBorders>
              <w:top w:val="single" w:sz="6" w:space="0" w:color="auto"/>
              <w:left w:val="single" w:sz="12" w:space="0" w:color="auto"/>
              <w:bottom w:val="single" w:sz="6" w:space="0" w:color="auto"/>
              <w:right w:val="single" w:sz="6" w:space="0" w:color="auto"/>
            </w:tcBorders>
          </w:tcPr>
          <w:p w14:paraId="72B2E2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2199" w:type="dxa"/>
            <w:tcBorders>
              <w:top w:val="single" w:sz="6" w:space="0" w:color="auto"/>
              <w:left w:val="single" w:sz="6" w:space="0" w:color="auto"/>
              <w:bottom w:val="single" w:sz="6" w:space="0" w:color="auto"/>
              <w:right w:val="single" w:sz="6" w:space="0" w:color="auto"/>
            </w:tcBorders>
          </w:tcPr>
          <w:p w14:paraId="539A86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Кожсырьевая база</w:t>
            </w:r>
          </w:p>
          <w:p w14:paraId="6A3148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Полтава).</w:t>
            </w:r>
          </w:p>
        </w:tc>
        <w:tc>
          <w:tcPr>
            <w:tcW w:w="3069" w:type="dxa"/>
            <w:tcBorders>
              <w:top w:val="single" w:sz="6" w:space="0" w:color="auto"/>
              <w:left w:val="single" w:sz="6" w:space="0" w:color="auto"/>
              <w:bottom w:val="single" w:sz="6" w:space="0" w:color="auto"/>
              <w:right w:val="single" w:sz="6" w:space="0" w:color="auto"/>
            </w:tcBorders>
          </w:tcPr>
          <w:p w14:paraId="7FC679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Кировская кожсырьевая база</w:t>
            </w:r>
          </w:p>
        </w:tc>
        <w:tc>
          <w:tcPr>
            <w:tcW w:w="1678" w:type="dxa"/>
            <w:tcBorders>
              <w:top w:val="single" w:sz="6" w:space="0" w:color="auto"/>
              <w:left w:val="single" w:sz="6" w:space="0" w:color="auto"/>
              <w:bottom w:val="single" w:sz="6" w:space="0" w:color="auto"/>
              <w:right w:val="single" w:sz="6" w:space="0" w:color="auto"/>
            </w:tcBorders>
          </w:tcPr>
          <w:p w14:paraId="7C3A48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 СЭ</w:t>
            </w:r>
          </w:p>
          <w:p w14:paraId="63047FB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25/VIII - 41 г.</w:t>
            </w:r>
          </w:p>
          <w:p w14:paraId="3EA3F3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13656-сэ</w:t>
            </w:r>
          </w:p>
        </w:tc>
        <w:tc>
          <w:tcPr>
            <w:tcW w:w="603" w:type="dxa"/>
            <w:tcBorders>
              <w:top w:val="single" w:sz="6" w:space="0" w:color="auto"/>
              <w:left w:val="single" w:sz="6" w:space="0" w:color="auto"/>
              <w:bottom w:val="single" w:sz="6" w:space="0" w:color="auto"/>
              <w:right w:val="single" w:sz="12" w:space="0" w:color="auto"/>
            </w:tcBorders>
          </w:tcPr>
          <w:p w14:paraId="32C28B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A83C895" w14:textId="77777777" w:rsidTr="000D3BCB">
        <w:tc>
          <w:tcPr>
            <w:tcW w:w="286" w:type="dxa"/>
            <w:gridSpan w:val="5"/>
            <w:tcBorders>
              <w:top w:val="single" w:sz="6" w:space="0" w:color="auto"/>
              <w:left w:val="single" w:sz="12" w:space="0" w:color="auto"/>
              <w:bottom w:val="single" w:sz="6" w:space="0" w:color="auto"/>
              <w:right w:val="single" w:sz="12" w:space="0" w:color="auto"/>
            </w:tcBorders>
          </w:tcPr>
          <w:p w14:paraId="67A4DB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Учреждения и организации</w:t>
            </w:r>
          </w:p>
        </w:tc>
      </w:tr>
      <w:tr w:rsidR="00643896" w:rsidRPr="00640820" w14:paraId="697F192D" w14:textId="77777777" w:rsidTr="000D3BCB">
        <w:tc>
          <w:tcPr>
            <w:tcW w:w="286" w:type="dxa"/>
            <w:tcBorders>
              <w:top w:val="single" w:sz="6" w:space="0" w:color="auto"/>
              <w:left w:val="single" w:sz="12" w:space="0" w:color="auto"/>
              <w:bottom w:val="single" w:sz="6" w:space="0" w:color="auto"/>
              <w:right w:val="single" w:sz="6" w:space="0" w:color="auto"/>
            </w:tcBorders>
          </w:tcPr>
          <w:p w14:paraId="6CB2D4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2199" w:type="dxa"/>
            <w:tcBorders>
              <w:top w:val="single" w:sz="6" w:space="0" w:color="auto"/>
              <w:left w:val="single" w:sz="6" w:space="0" w:color="auto"/>
              <w:bottom w:val="single" w:sz="6" w:space="0" w:color="auto"/>
              <w:right w:val="single" w:sz="6" w:space="0" w:color="auto"/>
            </w:tcBorders>
          </w:tcPr>
          <w:p w14:paraId="23A1FE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Народный Комиссариат лесной промышленности</w:t>
            </w:r>
          </w:p>
          <w:p w14:paraId="18AB44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Союза ССР</w:t>
            </w:r>
          </w:p>
        </w:tc>
        <w:tc>
          <w:tcPr>
            <w:tcW w:w="3069" w:type="dxa"/>
            <w:tcBorders>
              <w:top w:val="single" w:sz="6" w:space="0" w:color="auto"/>
              <w:left w:val="single" w:sz="6" w:space="0" w:color="auto"/>
              <w:bottom w:val="single" w:sz="6" w:space="0" w:color="auto"/>
              <w:right w:val="single" w:sz="6" w:space="0" w:color="auto"/>
            </w:tcBorders>
          </w:tcPr>
          <w:p w14:paraId="7D5FF6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Киров,</w:t>
            </w:r>
          </w:p>
          <w:p w14:paraId="658740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Ленина, № 111</w:t>
            </w:r>
          </w:p>
        </w:tc>
        <w:tc>
          <w:tcPr>
            <w:tcW w:w="1678" w:type="dxa"/>
            <w:tcBorders>
              <w:top w:val="single" w:sz="6" w:space="0" w:color="auto"/>
              <w:left w:val="single" w:sz="6" w:space="0" w:color="auto"/>
              <w:bottom w:val="single" w:sz="6" w:space="0" w:color="auto"/>
              <w:right w:val="single" w:sz="6" w:space="0" w:color="auto"/>
            </w:tcBorders>
          </w:tcPr>
          <w:p w14:paraId="10B916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 СНК СССР</w:t>
            </w:r>
          </w:p>
          <w:p w14:paraId="279162B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 ЦК ВКП (б)</w:t>
            </w:r>
          </w:p>
          <w:p w14:paraId="0F84278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29/VI - 41 г.</w:t>
            </w:r>
          </w:p>
          <w:p w14:paraId="5BEDFA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1781/789cc</w:t>
            </w:r>
          </w:p>
        </w:tc>
        <w:tc>
          <w:tcPr>
            <w:tcW w:w="603" w:type="dxa"/>
            <w:tcBorders>
              <w:top w:val="single" w:sz="6" w:space="0" w:color="auto"/>
              <w:left w:val="single" w:sz="6" w:space="0" w:color="auto"/>
              <w:bottom w:val="single" w:sz="6" w:space="0" w:color="auto"/>
              <w:right w:val="single" w:sz="12" w:space="0" w:color="auto"/>
            </w:tcBorders>
          </w:tcPr>
          <w:p w14:paraId="53AB30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99B0539" w14:textId="77777777" w:rsidTr="000D3BCB">
        <w:tc>
          <w:tcPr>
            <w:tcW w:w="286" w:type="dxa"/>
            <w:tcBorders>
              <w:top w:val="single" w:sz="6" w:space="0" w:color="auto"/>
              <w:left w:val="single" w:sz="12" w:space="0" w:color="auto"/>
              <w:bottom w:val="single" w:sz="6" w:space="0" w:color="auto"/>
              <w:right w:val="single" w:sz="6" w:space="0" w:color="auto"/>
            </w:tcBorders>
          </w:tcPr>
          <w:p w14:paraId="4BF5D3B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2199" w:type="dxa"/>
            <w:tcBorders>
              <w:top w:val="single" w:sz="6" w:space="0" w:color="auto"/>
              <w:left w:val="single" w:sz="6" w:space="0" w:color="auto"/>
              <w:bottom w:val="single" w:sz="6" w:space="0" w:color="auto"/>
              <w:right w:val="single" w:sz="6" w:space="0" w:color="auto"/>
            </w:tcBorders>
          </w:tcPr>
          <w:p w14:paraId="30C759A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Народный Комиссариат лесной промышленности РСФСР</w:t>
            </w:r>
          </w:p>
        </w:tc>
        <w:tc>
          <w:tcPr>
            <w:tcW w:w="3069" w:type="dxa"/>
            <w:tcBorders>
              <w:top w:val="single" w:sz="6" w:space="0" w:color="auto"/>
              <w:left w:val="single" w:sz="6" w:space="0" w:color="auto"/>
              <w:bottom w:val="single" w:sz="6" w:space="0" w:color="auto"/>
              <w:right w:val="single" w:sz="6" w:space="0" w:color="auto"/>
            </w:tcBorders>
          </w:tcPr>
          <w:p w14:paraId="6AC693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Киров, Большевиков, 42</w:t>
            </w:r>
          </w:p>
        </w:tc>
        <w:tc>
          <w:tcPr>
            <w:tcW w:w="1678" w:type="dxa"/>
            <w:tcBorders>
              <w:top w:val="single" w:sz="6" w:space="0" w:color="auto"/>
              <w:left w:val="single" w:sz="6" w:space="0" w:color="auto"/>
              <w:bottom w:val="single" w:sz="6" w:space="0" w:color="auto"/>
              <w:right w:val="single" w:sz="6" w:space="0" w:color="auto"/>
            </w:tcBorders>
          </w:tcPr>
          <w:p w14:paraId="5F1025C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 СНК РСФСР</w:t>
            </w:r>
          </w:p>
          <w:p w14:paraId="09856E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8/VII - 41 г.</w:t>
            </w:r>
          </w:p>
          <w:p w14:paraId="5EF4A0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516/23cc</w:t>
            </w:r>
          </w:p>
        </w:tc>
        <w:tc>
          <w:tcPr>
            <w:tcW w:w="603" w:type="dxa"/>
            <w:tcBorders>
              <w:top w:val="single" w:sz="6" w:space="0" w:color="auto"/>
              <w:left w:val="single" w:sz="6" w:space="0" w:color="auto"/>
              <w:bottom w:val="single" w:sz="6" w:space="0" w:color="auto"/>
              <w:right w:val="single" w:sz="12" w:space="0" w:color="auto"/>
            </w:tcBorders>
          </w:tcPr>
          <w:p w14:paraId="69AE95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1A9EC01" w14:textId="77777777" w:rsidTr="000D3BCB">
        <w:tc>
          <w:tcPr>
            <w:tcW w:w="286" w:type="dxa"/>
            <w:tcBorders>
              <w:top w:val="single" w:sz="6" w:space="0" w:color="auto"/>
              <w:left w:val="single" w:sz="12" w:space="0" w:color="auto"/>
              <w:bottom w:val="single" w:sz="6" w:space="0" w:color="auto"/>
              <w:right w:val="single" w:sz="6" w:space="0" w:color="auto"/>
            </w:tcBorders>
          </w:tcPr>
          <w:p w14:paraId="7B24426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c>
          <w:tcPr>
            <w:tcW w:w="2199" w:type="dxa"/>
            <w:tcBorders>
              <w:top w:val="single" w:sz="6" w:space="0" w:color="auto"/>
              <w:left w:val="single" w:sz="6" w:space="0" w:color="auto"/>
              <w:bottom w:val="single" w:sz="6" w:space="0" w:color="auto"/>
              <w:right w:val="single" w:sz="6" w:space="0" w:color="auto"/>
            </w:tcBorders>
          </w:tcPr>
          <w:p w14:paraId="391577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Народный Комиссариат просвещения РСФСР</w:t>
            </w:r>
          </w:p>
        </w:tc>
        <w:tc>
          <w:tcPr>
            <w:tcW w:w="3069" w:type="dxa"/>
            <w:tcBorders>
              <w:top w:val="single" w:sz="6" w:space="0" w:color="auto"/>
              <w:left w:val="single" w:sz="6" w:space="0" w:color="auto"/>
              <w:bottom w:val="single" w:sz="6" w:space="0" w:color="auto"/>
              <w:right w:val="single" w:sz="6" w:space="0" w:color="auto"/>
            </w:tcBorders>
          </w:tcPr>
          <w:p w14:paraId="078E19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Киров, Большевиков, 43.</w:t>
            </w:r>
          </w:p>
        </w:tc>
        <w:tc>
          <w:tcPr>
            <w:tcW w:w="1678" w:type="dxa"/>
            <w:tcBorders>
              <w:top w:val="single" w:sz="6" w:space="0" w:color="auto"/>
              <w:left w:val="single" w:sz="6" w:space="0" w:color="auto"/>
              <w:bottom w:val="single" w:sz="6" w:space="0" w:color="auto"/>
              <w:right w:val="single" w:sz="6" w:space="0" w:color="auto"/>
            </w:tcBorders>
          </w:tcPr>
          <w:p w14:paraId="716749F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 же</w:t>
            </w:r>
          </w:p>
        </w:tc>
        <w:tc>
          <w:tcPr>
            <w:tcW w:w="603" w:type="dxa"/>
            <w:tcBorders>
              <w:top w:val="single" w:sz="6" w:space="0" w:color="auto"/>
              <w:left w:val="single" w:sz="6" w:space="0" w:color="auto"/>
              <w:bottom w:val="single" w:sz="6" w:space="0" w:color="auto"/>
              <w:right w:val="single" w:sz="12" w:space="0" w:color="auto"/>
            </w:tcBorders>
          </w:tcPr>
          <w:p w14:paraId="228CE1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E1186F6" w14:textId="77777777" w:rsidTr="000D3BCB">
        <w:tc>
          <w:tcPr>
            <w:tcW w:w="286" w:type="dxa"/>
            <w:tcBorders>
              <w:top w:val="single" w:sz="6" w:space="0" w:color="auto"/>
              <w:left w:val="single" w:sz="12" w:space="0" w:color="auto"/>
              <w:bottom w:val="single" w:sz="6" w:space="0" w:color="auto"/>
              <w:right w:val="single" w:sz="6" w:space="0" w:color="auto"/>
            </w:tcBorders>
          </w:tcPr>
          <w:p w14:paraId="3ECFAC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2199" w:type="dxa"/>
            <w:tcBorders>
              <w:top w:val="single" w:sz="6" w:space="0" w:color="auto"/>
              <w:left w:val="single" w:sz="6" w:space="0" w:color="auto"/>
              <w:bottom w:val="single" w:sz="6" w:space="0" w:color="auto"/>
              <w:right w:val="single" w:sz="6" w:space="0" w:color="auto"/>
            </w:tcBorders>
          </w:tcPr>
          <w:p w14:paraId="4009E4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Главное управление</w:t>
            </w:r>
          </w:p>
          <w:p w14:paraId="568AC7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сульфитно-спиртовой</w:t>
            </w:r>
          </w:p>
          <w:p w14:paraId="25092D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 гидролизной</w:t>
            </w:r>
          </w:p>
          <w:p w14:paraId="6C1100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промышленности</w:t>
            </w:r>
          </w:p>
          <w:p w14:paraId="635930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СНК СССР</w:t>
            </w:r>
          </w:p>
        </w:tc>
        <w:tc>
          <w:tcPr>
            <w:tcW w:w="3069" w:type="dxa"/>
            <w:tcBorders>
              <w:top w:val="single" w:sz="6" w:space="0" w:color="auto"/>
              <w:left w:val="single" w:sz="6" w:space="0" w:color="auto"/>
              <w:bottom w:val="single" w:sz="6" w:space="0" w:color="auto"/>
              <w:right w:val="single" w:sz="6" w:space="0" w:color="auto"/>
            </w:tcBorders>
          </w:tcPr>
          <w:p w14:paraId="6F9D48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Киров, Дрелевского,</w:t>
            </w:r>
          </w:p>
          <w:p w14:paraId="7FE74F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дом № 41</w:t>
            </w:r>
          </w:p>
        </w:tc>
        <w:tc>
          <w:tcPr>
            <w:tcW w:w="1678" w:type="dxa"/>
            <w:tcBorders>
              <w:top w:val="single" w:sz="6" w:space="0" w:color="auto"/>
              <w:left w:val="single" w:sz="6" w:space="0" w:color="auto"/>
              <w:bottom w:val="single" w:sz="6" w:space="0" w:color="auto"/>
              <w:right w:val="single" w:sz="6" w:space="0" w:color="auto"/>
            </w:tcBorders>
          </w:tcPr>
          <w:p w14:paraId="67D16C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 СНК СССР</w:t>
            </w:r>
          </w:p>
          <w:p w14:paraId="68416F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6/VII - 41 г.</w:t>
            </w:r>
          </w:p>
          <w:p w14:paraId="316DA2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4889сэ</w:t>
            </w:r>
          </w:p>
        </w:tc>
        <w:tc>
          <w:tcPr>
            <w:tcW w:w="603" w:type="dxa"/>
            <w:tcBorders>
              <w:top w:val="single" w:sz="6" w:space="0" w:color="auto"/>
              <w:left w:val="single" w:sz="6" w:space="0" w:color="auto"/>
              <w:bottom w:val="single" w:sz="6" w:space="0" w:color="auto"/>
              <w:right w:val="single" w:sz="12" w:space="0" w:color="auto"/>
            </w:tcBorders>
          </w:tcPr>
          <w:p w14:paraId="560DE4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96587E8" w14:textId="77777777" w:rsidTr="000D3BCB">
        <w:tc>
          <w:tcPr>
            <w:tcW w:w="286" w:type="dxa"/>
            <w:tcBorders>
              <w:top w:val="single" w:sz="6" w:space="0" w:color="auto"/>
              <w:left w:val="single" w:sz="12" w:space="0" w:color="auto"/>
              <w:bottom w:val="single" w:sz="6" w:space="0" w:color="auto"/>
              <w:right w:val="single" w:sz="6" w:space="0" w:color="auto"/>
            </w:tcBorders>
          </w:tcPr>
          <w:p w14:paraId="317390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2199" w:type="dxa"/>
            <w:tcBorders>
              <w:top w:val="single" w:sz="6" w:space="0" w:color="auto"/>
              <w:left w:val="single" w:sz="6" w:space="0" w:color="auto"/>
              <w:bottom w:val="single" w:sz="6" w:space="0" w:color="auto"/>
              <w:right w:val="single" w:sz="6" w:space="0" w:color="auto"/>
            </w:tcBorders>
          </w:tcPr>
          <w:p w14:paraId="3981A8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Главное управление</w:t>
            </w:r>
          </w:p>
          <w:p w14:paraId="3E3CEC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лесоохраны</w:t>
            </w:r>
          </w:p>
          <w:p w14:paraId="425ABD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 лесонасаждений</w:t>
            </w:r>
          </w:p>
          <w:p w14:paraId="2E1684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СНК СССР</w:t>
            </w:r>
          </w:p>
        </w:tc>
        <w:tc>
          <w:tcPr>
            <w:tcW w:w="3069" w:type="dxa"/>
            <w:tcBorders>
              <w:top w:val="single" w:sz="6" w:space="0" w:color="auto"/>
              <w:left w:val="single" w:sz="6" w:space="0" w:color="auto"/>
              <w:bottom w:val="single" w:sz="6" w:space="0" w:color="auto"/>
              <w:right w:val="single" w:sz="6" w:space="0" w:color="auto"/>
            </w:tcBorders>
          </w:tcPr>
          <w:p w14:paraId="30DA00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Киров,</w:t>
            </w:r>
          </w:p>
          <w:p w14:paraId="364596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ул. Ленина, № 111</w:t>
            </w:r>
          </w:p>
        </w:tc>
        <w:tc>
          <w:tcPr>
            <w:tcW w:w="1678" w:type="dxa"/>
            <w:tcBorders>
              <w:top w:val="single" w:sz="6" w:space="0" w:color="auto"/>
              <w:left w:val="single" w:sz="6" w:space="0" w:color="auto"/>
              <w:bottom w:val="single" w:sz="6" w:space="0" w:color="auto"/>
              <w:right w:val="single" w:sz="6" w:space="0" w:color="auto"/>
            </w:tcBorders>
          </w:tcPr>
          <w:p w14:paraId="26BB5D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 СНК СССР и ЦК ВКП(б)</w:t>
            </w:r>
          </w:p>
          <w:p w14:paraId="7CF772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29/VI - 41 г.</w:t>
            </w:r>
          </w:p>
          <w:p w14:paraId="3BED61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1781/789cc</w:t>
            </w:r>
          </w:p>
        </w:tc>
        <w:tc>
          <w:tcPr>
            <w:tcW w:w="603" w:type="dxa"/>
            <w:tcBorders>
              <w:top w:val="single" w:sz="6" w:space="0" w:color="auto"/>
              <w:left w:val="single" w:sz="6" w:space="0" w:color="auto"/>
              <w:bottom w:val="single" w:sz="6" w:space="0" w:color="auto"/>
              <w:right w:val="single" w:sz="12" w:space="0" w:color="auto"/>
            </w:tcBorders>
          </w:tcPr>
          <w:p w14:paraId="1CB290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435014E" w14:textId="77777777" w:rsidTr="000D3BCB">
        <w:tc>
          <w:tcPr>
            <w:tcW w:w="286" w:type="dxa"/>
            <w:tcBorders>
              <w:top w:val="single" w:sz="6" w:space="0" w:color="auto"/>
              <w:left w:val="single" w:sz="12" w:space="0" w:color="auto"/>
              <w:bottom w:val="single" w:sz="6" w:space="0" w:color="auto"/>
              <w:right w:val="single" w:sz="6" w:space="0" w:color="auto"/>
            </w:tcBorders>
          </w:tcPr>
          <w:p w14:paraId="171B8C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c>
          <w:tcPr>
            <w:tcW w:w="2199" w:type="dxa"/>
            <w:tcBorders>
              <w:top w:val="single" w:sz="6" w:space="0" w:color="auto"/>
              <w:left w:val="single" w:sz="6" w:space="0" w:color="auto"/>
              <w:bottom w:val="single" w:sz="6" w:space="0" w:color="auto"/>
              <w:right w:val="single" w:sz="6" w:space="0" w:color="auto"/>
            </w:tcBorders>
          </w:tcPr>
          <w:p w14:paraId="16DE4D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Главное управление</w:t>
            </w:r>
          </w:p>
          <w:p w14:paraId="695D8F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лесосбыта</w:t>
            </w:r>
          </w:p>
          <w:p w14:paraId="4553D2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СНК СССР</w:t>
            </w:r>
          </w:p>
        </w:tc>
        <w:tc>
          <w:tcPr>
            <w:tcW w:w="3069" w:type="dxa"/>
            <w:tcBorders>
              <w:top w:val="single" w:sz="6" w:space="0" w:color="auto"/>
              <w:left w:val="single" w:sz="6" w:space="0" w:color="auto"/>
              <w:bottom w:val="single" w:sz="6" w:space="0" w:color="auto"/>
              <w:right w:val="single" w:sz="6" w:space="0" w:color="auto"/>
            </w:tcBorders>
          </w:tcPr>
          <w:p w14:paraId="3BD01D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Киров, Большевиков, № 40</w:t>
            </w:r>
          </w:p>
        </w:tc>
        <w:tc>
          <w:tcPr>
            <w:tcW w:w="1678" w:type="dxa"/>
            <w:tcBorders>
              <w:top w:val="single" w:sz="6" w:space="0" w:color="auto"/>
              <w:left w:val="single" w:sz="6" w:space="0" w:color="auto"/>
              <w:bottom w:val="single" w:sz="6" w:space="0" w:color="auto"/>
              <w:right w:val="single" w:sz="6" w:space="0" w:color="auto"/>
            </w:tcBorders>
          </w:tcPr>
          <w:p w14:paraId="3A0B68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 СНК СССР</w:t>
            </w:r>
          </w:p>
          <w:p w14:paraId="62C100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16/VII - 41 г.</w:t>
            </w:r>
          </w:p>
          <w:p w14:paraId="2142E1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1870841cc</w:t>
            </w:r>
          </w:p>
        </w:tc>
        <w:tc>
          <w:tcPr>
            <w:tcW w:w="603" w:type="dxa"/>
            <w:tcBorders>
              <w:top w:val="single" w:sz="6" w:space="0" w:color="auto"/>
              <w:left w:val="single" w:sz="6" w:space="0" w:color="auto"/>
              <w:bottom w:val="single" w:sz="6" w:space="0" w:color="auto"/>
              <w:right w:val="single" w:sz="12" w:space="0" w:color="auto"/>
            </w:tcBorders>
          </w:tcPr>
          <w:p w14:paraId="1DD6CA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D1A7182" w14:textId="77777777" w:rsidTr="000D3BCB">
        <w:tc>
          <w:tcPr>
            <w:tcW w:w="286" w:type="dxa"/>
            <w:tcBorders>
              <w:top w:val="single" w:sz="6" w:space="0" w:color="auto"/>
              <w:left w:val="single" w:sz="12" w:space="0" w:color="auto"/>
              <w:bottom w:val="single" w:sz="6" w:space="0" w:color="auto"/>
              <w:right w:val="single" w:sz="6" w:space="0" w:color="auto"/>
            </w:tcBorders>
          </w:tcPr>
          <w:p w14:paraId="107FE1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w:t>
            </w:r>
          </w:p>
        </w:tc>
        <w:tc>
          <w:tcPr>
            <w:tcW w:w="2199" w:type="dxa"/>
            <w:tcBorders>
              <w:top w:val="single" w:sz="6" w:space="0" w:color="auto"/>
              <w:left w:val="single" w:sz="6" w:space="0" w:color="auto"/>
              <w:bottom w:val="single" w:sz="6" w:space="0" w:color="auto"/>
              <w:right w:val="single" w:sz="6" w:space="0" w:color="auto"/>
            </w:tcBorders>
          </w:tcPr>
          <w:p w14:paraId="14EE85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Главное управление</w:t>
            </w:r>
          </w:p>
          <w:p w14:paraId="1D7F30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железнодорожного строительства</w:t>
            </w:r>
          </w:p>
          <w:p w14:paraId="3385D7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НКВД СССР</w:t>
            </w:r>
          </w:p>
        </w:tc>
        <w:tc>
          <w:tcPr>
            <w:tcW w:w="3069" w:type="dxa"/>
            <w:tcBorders>
              <w:top w:val="single" w:sz="6" w:space="0" w:color="auto"/>
              <w:left w:val="single" w:sz="6" w:space="0" w:color="auto"/>
              <w:bottom w:val="single" w:sz="6" w:space="0" w:color="auto"/>
              <w:right w:val="single" w:sz="6" w:space="0" w:color="auto"/>
            </w:tcBorders>
          </w:tcPr>
          <w:p w14:paraId="309FD7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Киров, Дрелевского, № 20</w:t>
            </w:r>
          </w:p>
        </w:tc>
        <w:tc>
          <w:tcPr>
            <w:tcW w:w="1678" w:type="dxa"/>
            <w:tcBorders>
              <w:top w:val="single" w:sz="6" w:space="0" w:color="auto"/>
              <w:left w:val="single" w:sz="6" w:space="0" w:color="auto"/>
              <w:bottom w:val="single" w:sz="6" w:space="0" w:color="auto"/>
              <w:right w:val="single" w:sz="6" w:space="0" w:color="auto"/>
            </w:tcBorders>
          </w:tcPr>
          <w:p w14:paraId="7F2B1D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 СНК СССР</w:t>
            </w:r>
          </w:p>
          <w:p w14:paraId="340A1F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5/VII - 41 г.</w:t>
            </w:r>
          </w:p>
          <w:p w14:paraId="035EFD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4865сэ</w:t>
            </w:r>
          </w:p>
        </w:tc>
        <w:tc>
          <w:tcPr>
            <w:tcW w:w="603" w:type="dxa"/>
            <w:tcBorders>
              <w:top w:val="single" w:sz="6" w:space="0" w:color="auto"/>
              <w:left w:val="single" w:sz="6" w:space="0" w:color="auto"/>
              <w:bottom w:val="single" w:sz="6" w:space="0" w:color="auto"/>
              <w:right w:val="single" w:sz="12" w:space="0" w:color="auto"/>
            </w:tcBorders>
          </w:tcPr>
          <w:p w14:paraId="6E292F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8C24D03" w14:textId="77777777" w:rsidTr="000D3BCB">
        <w:tc>
          <w:tcPr>
            <w:tcW w:w="286" w:type="dxa"/>
            <w:tcBorders>
              <w:top w:val="single" w:sz="6" w:space="0" w:color="auto"/>
              <w:left w:val="single" w:sz="12" w:space="0" w:color="auto"/>
              <w:bottom w:val="single" w:sz="6" w:space="0" w:color="auto"/>
              <w:right w:val="single" w:sz="6" w:space="0" w:color="auto"/>
            </w:tcBorders>
          </w:tcPr>
          <w:p w14:paraId="3A81531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w:t>
            </w:r>
          </w:p>
        </w:tc>
        <w:tc>
          <w:tcPr>
            <w:tcW w:w="2199" w:type="dxa"/>
            <w:tcBorders>
              <w:top w:val="single" w:sz="6" w:space="0" w:color="auto"/>
              <w:left w:val="single" w:sz="6" w:space="0" w:color="auto"/>
              <w:bottom w:val="single" w:sz="6" w:space="0" w:color="auto"/>
              <w:right w:val="single" w:sz="6" w:space="0" w:color="auto"/>
            </w:tcBorders>
          </w:tcPr>
          <w:p w14:paraId="0E5D11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Главное управление</w:t>
            </w:r>
          </w:p>
          <w:p w14:paraId="237D5F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лагерей лесной промышленности НКВД СССР</w:t>
            </w:r>
          </w:p>
        </w:tc>
        <w:tc>
          <w:tcPr>
            <w:tcW w:w="3069" w:type="dxa"/>
            <w:tcBorders>
              <w:top w:val="single" w:sz="6" w:space="0" w:color="auto"/>
              <w:left w:val="single" w:sz="6" w:space="0" w:color="auto"/>
              <w:bottom w:val="single" w:sz="6" w:space="0" w:color="auto"/>
              <w:right w:val="single" w:sz="6" w:space="0" w:color="auto"/>
            </w:tcBorders>
          </w:tcPr>
          <w:p w14:paraId="1BB5C5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Киров, Большевиков, 40</w:t>
            </w:r>
          </w:p>
        </w:tc>
        <w:tc>
          <w:tcPr>
            <w:tcW w:w="1678" w:type="dxa"/>
            <w:tcBorders>
              <w:top w:val="single" w:sz="6" w:space="0" w:color="auto"/>
              <w:left w:val="single" w:sz="6" w:space="0" w:color="auto"/>
              <w:bottom w:val="single" w:sz="6" w:space="0" w:color="auto"/>
              <w:right w:val="single" w:sz="6" w:space="0" w:color="auto"/>
            </w:tcBorders>
          </w:tcPr>
          <w:p w14:paraId="2761F3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Borders>
              <w:top w:val="single" w:sz="6" w:space="0" w:color="auto"/>
              <w:left w:val="single" w:sz="6" w:space="0" w:color="auto"/>
              <w:bottom w:val="single" w:sz="6" w:space="0" w:color="auto"/>
              <w:right w:val="single" w:sz="12" w:space="0" w:color="auto"/>
            </w:tcBorders>
          </w:tcPr>
          <w:p w14:paraId="73D1F5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E0CCBAF" w14:textId="77777777" w:rsidTr="000D3BCB">
        <w:tc>
          <w:tcPr>
            <w:tcW w:w="286" w:type="dxa"/>
            <w:tcBorders>
              <w:top w:val="single" w:sz="6" w:space="0" w:color="auto"/>
              <w:left w:val="single" w:sz="12" w:space="0" w:color="auto"/>
              <w:bottom w:val="single" w:sz="6" w:space="0" w:color="auto"/>
              <w:right w:val="single" w:sz="6" w:space="0" w:color="auto"/>
            </w:tcBorders>
          </w:tcPr>
          <w:p w14:paraId="31115F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tc>
        <w:tc>
          <w:tcPr>
            <w:tcW w:w="2199" w:type="dxa"/>
            <w:tcBorders>
              <w:top w:val="single" w:sz="6" w:space="0" w:color="auto"/>
              <w:left w:val="single" w:sz="6" w:space="0" w:color="auto"/>
              <w:bottom w:val="single" w:sz="6" w:space="0" w:color="auto"/>
              <w:right w:val="single" w:sz="6" w:space="0" w:color="auto"/>
            </w:tcBorders>
          </w:tcPr>
          <w:p w14:paraId="028021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Ленинградское отделение ТЭПа</w:t>
            </w:r>
          </w:p>
        </w:tc>
        <w:tc>
          <w:tcPr>
            <w:tcW w:w="3069" w:type="dxa"/>
            <w:tcBorders>
              <w:top w:val="single" w:sz="6" w:space="0" w:color="auto"/>
              <w:left w:val="single" w:sz="6" w:space="0" w:color="auto"/>
              <w:bottom w:val="single" w:sz="6" w:space="0" w:color="auto"/>
              <w:right w:val="single" w:sz="6" w:space="0" w:color="auto"/>
            </w:tcBorders>
          </w:tcPr>
          <w:p w14:paraId="088EF9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Строительство</w:t>
            </w:r>
          </w:p>
          <w:p w14:paraId="70116D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Кир.-Чеп. ТЭЦ</w:t>
            </w:r>
          </w:p>
        </w:tc>
        <w:tc>
          <w:tcPr>
            <w:tcW w:w="1678" w:type="dxa"/>
            <w:tcBorders>
              <w:top w:val="single" w:sz="6" w:space="0" w:color="auto"/>
              <w:left w:val="single" w:sz="6" w:space="0" w:color="auto"/>
              <w:bottom w:val="single" w:sz="6" w:space="0" w:color="auto"/>
              <w:right w:val="single" w:sz="6" w:space="0" w:color="auto"/>
            </w:tcBorders>
          </w:tcPr>
          <w:p w14:paraId="67AD99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 СЭ № сэ59сс от 2/VIII - 41 г.</w:t>
            </w:r>
          </w:p>
        </w:tc>
        <w:tc>
          <w:tcPr>
            <w:tcW w:w="603" w:type="dxa"/>
            <w:tcBorders>
              <w:top w:val="single" w:sz="6" w:space="0" w:color="auto"/>
              <w:left w:val="single" w:sz="6" w:space="0" w:color="auto"/>
              <w:bottom w:val="single" w:sz="6" w:space="0" w:color="auto"/>
              <w:right w:val="single" w:sz="12" w:space="0" w:color="auto"/>
            </w:tcBorders>
          </w:tcPr>
          <w:p w14:paraId="09EEED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EC68895" w14:textId="77777777" w:rsidTr="000D3BCB">
        <w:tc>
          <w:tcPr>
            <w:tcW w:w="286" w:type="dxa"/>
            <w:tcBorders>
              <w:top w:val="single" w:sz="6" w:space="0" w:color="auto"/>
              <w:left w:val="single" w:sz="12" w:space="0" w:color="auto"/>
              <w:bottom w:val="single" w:sz="6" w:space="0" w:color="auto"/>
              <w:right w:val="single" w:sz="6" w:space="0" w:color="auto"/>
            </w:tcBorders>
          </w:tcPr>
          <w:p w14:paraId="3BEEBC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2199" w:type="dxa"/>
            <w:tcBorders>
              <w:top w:val="single" w:sz="6" w:space="0" w:color="auto"/>
              <w:left w:val="single" w:sz="6" w:space="0" w:color="auto"/>
              <w:bottom w:val="single" w:sz="6" w:space="0" w:color="auto"/>
              <w:right w:val="single" w:sz="6" w:space="0" w:color="auto"/>
            </w:tcBorders>
          </w:tcPr>
          <w:p w14:paraId="50B824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Рыбосудпроект (Ленинград)</w:t>
            </w:r>
          </w:p>
        </w:tc>
        <w:tc>
          <w:tcPr>
            <w:tcW w:w="3069" w:type="dxa"/>
            <w:tcBorders>
              <w:top w:val="single" w:sz="6" w:space="0" w:color="auto"/>
              <w:left w:val="single" w:sz="6" w:space="0" w:color="auto"/>
              <w:bottom w:val="single" w:sz="6" w:space="0" w:color="auto"/>
              <w:right w:val="single" w:sz="6" w:space="0" w:color="auto"/>
            </w:tcBorders>
          </w:tcPr>
          <w:p w14:paraId="435B94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Сосновская судоверфь</w:t>
            </w:r>
          </w:p>
          <w:p w14:paraId="2B5B6B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Вятскополян. р-на</w:t>
            </w:r>
          </w:p>
        </w:tc>
        <w:tc>
          <w:tcPr>
            <w:tcW w:w="1678" w:type="dxa"/>
            <w:tcBorders>
              <w:top w:val="single" w:sz="6" w:space="0" w:color="auto"/>
              <w:left w:val="single" w:sz="6" w:space="0" w:color="auto"/>
              <w:bottom w:val="single" w:sz="6" w:space="0" w:color="auto"/>
              <w:right w:val="single" w:sz="6" w:space="0" w:color="auto"/>
            </w:tcBorders>
          </w:tcPr>
          <w:p w14:paraId="6D3DB8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 СЭ</w:t>
            </w:r>
          </w:p>
          <w:p w14:paraId="73C93C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26 /VIII - 41 г.</w:t>
            </w:r>
          </w:p>
          <w:p w14:paraId="0A2F87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13671сэ</w:t>
            </w:r>
          </w:p>
        </w:tc>
        <w:tc>
          <w:tcPr>
            <w:tcW w:w="603" w:type="dxa"/>
            <w:tcBorders>
              <w:top w:val="single" w:sz="6" w:space="0" w:color="auto"/>
              <w:left w:val="single" w:sz="6" w:space="0" w:color="auto"/>
              <w:bottom w:val="single" w:sz="6" w:space="0" w:color="auto"/>
              <w:right w:val="single" w:sz="12" w:space="0" w:color="auto"/>
            </w:tcBorders>
          </w:tcPr>
          <w:p w14:paraId="5C5BF4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4D1D679" w14:textId="77777777" w:rsidTr="000D3BCB">
        <w:tc>
          <w:tcPr>
            <w:tcW w:w="286" w:type="dxa"/>
            <w:tcBorders>
              <w:top w:val="single" w:sz="6" w:space="0" w:color="auto"/>
              <w:left w:val="single" w:sz="12" w:space="0" w:color="auto"/>
              <w:bottom w:val="single" w:sz="6" w:space="0" w:color="auto"/>
              <w:right w:val="single" w:sz="6" w:space="0" w:color="auto"/>
            </w:tcBorders>
          </w:tcPr>
          <w:p w14:paraId="3172A0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w:t>
            </w:r>
          </w:p>
        </w:tc>
        <w:tc>
          <w:tcPr>
            <w:tcW w:w="2199" w:type="dxa"/>
            <w:tcBorders>
              <w:top w:val="single" w:sz="6" w:space="0" w:color="auto"/>
              <w:left w:val="single" w:sz="6" w:space="0" w:color="auto"/>
              <w:bottom w:val="single" w:sz="6" w:space="0" w:color="auto"/>
              <w:right w:val="single" w:sz="6" w:space="0" w:color="auto"/>
            </w:tcBorders>
          </w:tcPr>
          <w:p w14:paraId="15714B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Всесоюзный институт</w:t>
            </w:r>
          </w:p>
          <w:p w14:paraId="3667D1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с/х микробиологии</w:t>
            </w:r>
          </w:p>
          <w:p w14:paraId="47EDE4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(Ленинград)</w:t>
            </w:r>
          </w:p>
        </w:tc>
        <w:tc>
          <w:tcPr>
            <w:tcW w:w="3069" w:type="dxa"/>
            <w:tcBorders>
              <w:top w:val="single" w:sz="6" w:space="0" w:color="auto"/>
              <w:left w:val="single" w:sz="6" w:space="0" w:color="auto"/>
              <w:bottom w:val="single" w:sz="6" w:space="0" w:color="auto"/>
              <w:right w:val="single" w:sz="6" w:space="0" w:color="auto"/>
            </w:tcBorders>
          </w:tcPr>
          <w:p w14:paraId="0C68419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Фаленская госселекционная станция</w:t>
            </w:r>
          </w:p>
        </w:tc>
        <w:tc>
          <w:tcPr>
            <w:tcW w:w="1678" w:type="dxa"/>
            <w:tcBorders>
              <w:top w:val="single" w:sz="6" w:space="0" w:color="auto"/>
              <w:left w:val="single" w:sz="6" w:space="0" w:color="auto"/>
              <w:bottom w:val="single" w:sz="6" w:space="0" w:color="auto"/>
              <w:right w:val="single" w:sz="6" w:space="0" w:color="auto"/>
            </w:tcBorders>
          </w:tcPr>
          <w:p w14:paraId="16A9F1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 СЭ</w:t>
            </w:r>
          </w:p>
          <w:p w14:paraId="1091C2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22/VIII - 41 г.</w:t>
            </w:r>
          </w:p>
          <w:p w14:paraId="42D286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5599-сэ</w:t>
            </w:r>
          </w:p>
        </w:tc>
        <w:tc>
          <w:tcPr>
            <w:tcW w:w="603" w:type="dxa"/>
            <w:tcBorders>
              <w:top w:val="single" w:sz="6" w:space="0" w:color="auto"/>
              <w:left w:val="single" w:sz="6" w:space="0" w:color="auto"/>
              <w:bottom w:val="single" w:sz="6" w:space="0" w:color="auto"/>
              <w:right w:val="single" w:sz="12" w:space="0" w:color="auto"/>
            </w:tcBorders>
          </w:tcPr>
          <w:p w14:paraId="217C9E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C6B5B95" w14:textId="77777777" w:rsidTr="000D3BCB">
        <w:tc>
          <w:tcPr>
            <w:tcW w:w="286" w:type="dxa"/>
            <w:tcBorders>
              <w:top w:val="single" w:sz="6" w:space="0" w:color="auto"/>
              <w:left w:val="single" w:sz="12" w:space="0" w:color="auto"/>
              <w:bottom w:val="single" w:sz="6" w:space="0" w:color="auto"/>
              <w:right w:val="single" w:sz="6" w:space="0" w:color="auto"/>
            </w:tcBorders>
          </w:tcPr>
          <w:p w14:paraId="411DCC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w:t>
            </w:r>
          </w:p>
        </w:tc>
        <w:tc>
          <w:tcPr>
            <w:tcW w:w="2199" w:type="dxa"/>
            <w:tcBorders>
              <w:top w:val="single" w:sz="6" w:space="0" w:color="auto"/>
              <w:left w:val="single" w:sz="6" w:space="0" w:color="auto"/>
              <w:bottom w:val="single" w:sz="6" w:space="0" w:color="auto"/>
              <w:right w:val="single" w:sz="6" w:space="0" w:color="auto"/>
            </w:tcBorders>
          </w:tcPr>
          <w:p w14:paraId="2F3678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Ленинградское отделение Всесоюзного</w:t>
            </w:r>
          </w:p>
          <w:p w14:paraId="57C19E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института удобрений, арготехники</w:t>
            </w:r>
          </w:p>
          <w:p w14:paraId="39FAEE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 агропочвоведения</w:t>
            </w:r>
          </w:p>
        </w:tc>
        <w:tc>
          <w:tcPr>
            <w:tcW w:w="3069" w:type="dxa"/>
            <w:tcBorders>
              <w:top w:val="single" w:sz="6" w:space="0" w:color="auto"/>
              <w:left w:val="single" w:sz="6" w:space="0" w:color="auto"/>
              <w:bottom w:val="single" w:sz="6" w:space="0" w:color="auto"/>
              <w:right w:val="single" w:sz="6" w:space="0" w:color="auto"/>
            </w:tcBorders>
          </w:tcPr>
          <w:p w14:paraId="6AAAB5C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Селекционная станция</w:t>
            </w:r>
          </w:p>
          <w:p w14:paraId="320B97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 Н. Рудницкого</w:t>
            </w:r>
          </w:p>
        </w:tc>
        <w:tc>
          <w:tcPr>
            <w:tcW w:w="1678" w:type="dxa"/>
            <w:tcBorders>
              <w:top w:val="single" w:sz="6" w:space="0" w:color="auto"/>
              <w:left w:val="single" w:sz="6" w:space="0" w:color="auto"/>
              <w:bottom w:val="single" w:sz="6" w:space="0" w:color="auto"/>
              <w:right w:val="single" w:sz="6" w:space="0" w:color="auto"/>
            </w:tcBorders>
          </w:tcPr>
          <w:p w14:paraId="01C613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 же</w:t>
            </w:r>
          </w:p>
        </w:tc>
        <w:tc>
          <w:tcPr>
            <w:tcW w:w="603" w:type="dxa"/>
            <w:tcBorders>
              <w:top w:val="single" w:sz="6" w:space="0" w:color="auto"/>
              <w:left w:val="single" w:sz="6" w:space="0" w:color="auto"/>
              <w:bottom w:val="single" w:sz="6" w:space="0" w:color="auto"/>
              <w:right w:val="single" w:sz="12" w:space="0" w:color="auto"/>
            </w:tcBorders>
          </w:tcPr>
          <w:p w14:paraId="26E5E4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8FCDE3E" w14:textId="77777777" w:rsidTr="000D3BCB">
        <w:tc>
          <w:tcPr>
            <w:tcW w:w="286" w:type="dxa"/>
            <w:tcBorders>
              <w:top w:val="single" w:sz="6" w:space="0" w:color="auto"/>
              <w:left w:val="single" w:sz="12" w:space="0" w:color="auto"/>
              <w:bottom w:val="single" w:sz="6" w:space="0" w:color="auto"/>
              <w:right w:val="single" w:sz="6" w:space="0" w:color="auto"/>
            </w:tcBorders>
          </w:tcPr>
          <w:p w14:paraId="1DA55A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w:t>
            </w:r>
          </w:p>
        </w:tc>
        <w:tc>
          <w:tcPr>
            <w:tcW w:w="2199" w:type="dxa"/>
            <w:tcBorders>
              <w:top w:val="single" w:sz="6" w:space="0" w:color="auto"/>
              <w:left w:val="single" w:sz="6" w:space="0" w:color="auto"/>
              <w:bottom w:val="single" w:sz="6" w:space="0" w:color="auto"/>
              <w:right w:val="single" w:sz="6" w:space="0" w:color="auto"/>
            </w:tcBorders>
          </w:tcPr>
          <w:p w14:paraId="6B81D5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Гомельский педагогический институт</w:t>
            </w:r>
          </w:p>
          <w:p w14:paraId="6EE1D4F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Гомель БССР)</w:t>
            </w:r>
          </w:p>
        </w:tc>
        <w:tc>
          <w:tcPr>
            <w:tcW w:w="3069" w:type="dxa"/>
            <w:tcBorders>
              <w:top w:val="single" w:sz="6" w:space="0" w:color="auto"/>
              <w:left w:val="single" w:sz="6" w:space="0" w:color="auto"/>
              <w:bottom w:val="single" w:sz="6" w:space="0" w:color="auto"/>
              <w:right w:val="single" w:sz="6" w:space="0" w:color="auto"/>
            </w:tcBorders>
          </w:tcPr>
          <w:p w14:paraId="68B35B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Котельнич. учительск. институт</w:t>
            </w:r>
          </w:p>
          <w:p w14:paraId="43CDD7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 Яранске</w:t>
            </w:r>
          </w:p>
        </w:tc>
        <w:tc>
          <w:tcPr>
            <w:tcW w:w="1678" w:type="dxa"/>
            <w:tcBorders>
              <w:top w:val="single" w:sz="6" w:space="0" w:color="auto"/>
              <w:left w:val="single" w:sz="6" w:space="0" w:color="auto"/>
              <w:bottom w:val="single" w:sz="6" w:space="0" w:color="auto"/>
              <w:right w:val="single" w:sz="6" w:space="0" w:color="auto"/>
            </w:tcBorders>
          </w:tcPr>
          <w:p w14:paraId="4ABEBD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 СЭ</w:t>
            </w:r>
          </w:p>
          <w:p w14:paraId="1286F2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28/VIII - 41 г.</w:t>
            </w:r>
          </w:p>
          <w:p w14:paraId="5E1D4D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13706сэ</w:t>
            </w:r>
          </w:p>
        </w:tc>
        <w:tc>
          <w:tcPr>
            <w:tcW w:w="603" w:type="dxa"/>
            <w:tcBorders>
              <w:top w:val="single" w:sz="6" w:space="0" w:color="auto"/>
              <w:left w:val="single" w:sz="6" w:space="0" w:color="auto"/>
              <w:bottom w:val="single" w:sz="6" w:space="0" w:color="auto"/>
              <w:right w:val="single" w:sz="12" w:space="0" w:color="auto"/>
            </w:tcBorders>
          </w:tcPr>
          <w:p w14:paraId="252C8B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07838CC" w14:textId="77777777" w:rsidTr="000D3BCB">
        <w:tc>
          <w:tcPr>
            <w:tcW w:w="286" w:type="dxa"/>
            <w:tcBorders>
              <w:top w:val="single" w:sz="6" w:space="0" w:color="auto"/>
              <w:left w:val="single" w:sz="12" w:space="0" w:color="auto"/>
              <w:bottom w:val="single" w:sz="6" w:space="0" w:color="auto"/>
              <w:right w:val="single" w:sz="6" w:space="0" w:color="auto"/>
            </w:tcBorders>
          </w:tcPr>
          <w:p w14:paraId="57E6BA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w:t>
            </w:r>
          </w:p>
        </w:tc>
        <w:tc>
          <w:tcPr>
            <w:tcW w:w="2199" w:type="dxa"/>
            <w:tcBorders>
              <w:top w:val="single" w:sz="6" w:space="0" w:color="auto"/>
              <w:left w:val="single" w:sz="6" w:space="0" w:color="auto"/>
              <w:bottom w:val="single" w:sz="6" w:space="0" w:color="auto"/>
              <w:right w:val="single" w:sz="6" w:space="0" w:color="auto"/>
            </w:tcBorders>
          </w:tcPr>
          <w:p w14:paraId="497B7F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Брянский лесохозяйственный институт</w:t>
            </w:r>
          </w:p>
        </w:tc>
        <w:tc>
          <w:tcPr>
            <w:tcW w:w="3069" w:type="dxa"/>
            <w:tcBorders>
              <w:top w:val="single" w:sz="6" w:space="0" w:color="auto"/>
              <w:left w:val="single" w:sz="6" w:space="0" w:color="auto"/>
              <w:bottom w:val="single" w:sz="6" w:space="0" w:color="auto"/>
              <w:right w:val="single" w:sz="6" w:space="0" w:color="auto"/>
            </w:tcBorders>
          </w:tcPr>
          <w:p w14:paraId="21DCEC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Суводский лесотехникум Советского района</w:t>
            </w:r>
          </w:p>
        </w:tc>
        <w:tc>
          <w:tcPr>
            <w:tcW w:w="1678" w:type="dxa"/>
            <w:tcBorders>
              <w:top w:val="single" w:sz="6" w:space="0" w:color="auto"/>
              <w:left w:val="single" w:sz="6" w:space="0" w:color="auto"/>
              <w:bottom w:val="single" w:sz="6" w:space="0" w:color="auto"/>
              <w:right w:val="single" w:sz="6" w:space="0" w:color="auto"/>
            </w:tcBorders>
          </w:tcPr>
          <w:p w14:paraId="33728B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 СЭ</w:t>
            </w:r>
          </w:p>
          <w:p w14:paraId="4C5389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23/VIII - 41 г.</w:t>
            </w:r>
          </w:p>
          <w:p w14:paraId="3BC29F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136116-сэ</w:t>
            </w:r>
          </w:p>
        </w:tc>
        <w:tc>
          <w:tcPr>
            <w:tcW w:w="603" w:type="dxa"/>
            <w:tcBorders>
              <w:top w:val="single" w:sz="6" w:space="0" w:color="auto"/>
              <w:left w:val="single" w:sz="6" w:space="0" w:color="auto"/>
              <w:bottom w:val="single" w:sz="6" w:space="0" w:color="auto"/>
              <w:right w:val="single" w:sz="12" w:space="0" w:color="auto"/>
            </w:tcBorders>
          </w:tcPr>
          <w:p w14:paraId="346DB9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7AA78C3" w14:textId="77777777" w:rsidTr="000D3BCB">
        <w:tc>
          <w:tcPr>
            <w:tcW w:w="286" w:type="dxa"/>
            <w:tcBorders>
              <w:top w:val="single" w:sz="6" w:space="0" w:color="auto"/>
              <w:left w:val="single" w:sz="12" w:space="0" w:color="auto"/>
              <w:bottom w:val="single" w:sz="6" w:space="0" w:color="auto"/>
              <w:right w:val="single" w:sz="6" w:space="0" w:color="auto"/>
            </w:tcBorders>
          </w:tcPr>
          <w:p w14:paraId="4F27D0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2199" w:type="dxa"/>
            <w:tcBorders>
              <w:top w:val="single" w:sz="6" w:space="0" w:color="auto"/>
              <w:left w:val="single" w:sz="6" w:space="0" w:color="auto"/>
              <w:bottom w:val="single" w:sz="6" w:space="0" w:color="auto"/>
              <w:right w:val="single" w:sz="6" w:space="0" w:color="auto"/>
            </w:tcBorders>
          </w:tcPr>
          <w:p w14:paraId="45893C8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"Гипролестранс" НКЛеса СССР</w:t>
            </w:r>
          </w:p>
          <w:p w14:paraId="3CE3A6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(Ленинград)</w:t>
            </w:r>
          </w:p>
        </w:tc>
        <w:tc>
          <w:tcPr>
            <w:tcW w:w="3069" w:type="dxa"/>
            <w:tcBorders>
              <w:top w:val="single" w:sz="6" w:space="0" w:color="auto"/>
              <w:left w:val="single" w:sz="6" w:space="0" w:color="auto"/>
              <w:bottom w:val="single" w:sz="6" w:space="0" w:color="auto"/>
              <w:right w:val="single" w:sz="6" w:space="0" w:color="auto"/>
            </w:tcBorders>
          </w:tcPr>
          <w:p w14:paraId="0477D4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Уржум</w:t>
            </w:r>
          </w:p>
        </w:tc>
        <w:tc>
          <w:tcPr>
            <w:tcW w:w="1678" w:type="dxa"/>
            <w:tcBorders>
              <w:top w:val="single" w:sz="6" w:space="0" w:color="auto"/>
              <w:left w:val="single" w:sz="6" w:space="0" w:color="auto"/>
              <w:bottom w:val="single" w:sz="6" w:space="0" w:color="auto"/>
              <w:right w:val="single" w:sz="6" w:space="0" w:color="auto"/>
            </w:tcBorders>
          </w:tcPr>
          <w:p w14:paraId="0420BF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Borders>
              <w:top w:val="single" w:sz="6" w:space="0" w:color="auto"/>
              <w:left w:val="single" w:sz="6" w:space="0" w:color="auto"/>
              <w:bottom w:val="single" w:sz="6" w:space="0" w:color="auto"/>
              <w:right w:val="single" w:sz="12" w:space="0" w:color="auto"/>
            </w:tcBorders>
          </w:tcPr>
          <w:p w14:paraId="775F22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19D837D" w14:textId="77777777" w:rsidTr="000D3BCB">
        <w:tc>
          <w:tcPr>
            <w:tcW w:w="286" w:type="dxa"/>
            <w:tcBorders>
              <w:top w:val="single" w:sz="6" w:space="0" w:color="auto"/>
              <w:left w:val="single" w:sz="12" w:space="0" w:color="auto"/>
              <w:bottom w:val="single" w:sz="6" w:space="0" w:color="auto"/>
              <w:right w:val="single" w:sz="6" w:space="0" w:color="auto"/>
            </w:tcBorders>
          </w:tcPr>
          <w:p w14:paraId="01E7861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w:t>
            </w:r>
          </w:p>
        </w:tc>
        <w:tc>
          <w:tcPr>
            <w:tcW w:w="2199" w:type="dxa"/>
            <w:tcBorders>
              <w:top w:val="single" w:sz="6" w:space="0" w:color="auto"/>
              <w:left w:val="single" w:sz="6" w:space="0" w:color="auto"/>
              <w:bottom w:val="single" w:sz="6" w:space="0" w:color="auto"/>
              <w:right w:val="single" w:sz="6" w:space="0" w:color="auto"/>
            </w:tcBorders>
          </w:tcPr>
          <w:p w14:paraId="2A10E5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"Гипродрев"</w:t>
            </w:r>
          </w:p>
          <w:p w14:paraId="65542A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НКЛеса СССР</w:t>
            </w:r>
          </w:p>
          <w:p w14:paraId="68FCB5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(Ленинград)</w:t>
            </w:r>
          </w:p>
        </w:tc>
        <w:tc>
          <w:tcPr>
            <w:tcW w:w="3069" w:type="dxa"/>
            <w:tcBorders>
              <w:top w:val="single" w:sz="6" w:space="0" w:color="auto"/>
              <w:left w:val="single" w:sz="6" w:space="0" w:color="auto"/>
              <w:bottom w:val="single" w:sz="6" w:space="0" w:color="auto"/>
              <w:right w:val="single" w:sz="6" w:space="0" w:color="auto"/>
            </w:tcBorders>
          </w:tcPr>
          <w:p w14:paraId="41BA94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г. Малмыж</w:t>
            </w:r>
          </w:p>
        </w:tc>
        <w:tc>
          <w:tcPr>
            <w:tcW w:w="1678" w:type="dxa"/>
            <w:tcBorders>
              <w:top w:val="single" w:sz="6" w:space="0" w:color="auto"/>
              <w:left w:val="single" w:sz="6" w:space="0" w:color="auto"/>
              <w:bottom w:val="single" w:sz="6" w:space="0" w:color="auto"/>
              <w:right w:val="single" w:sz="6" w:space="0" w:color="auto"/>
            </w:tcBorders>
          </w:tcPr>
          <w:p w14:paraId="2DF232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Borders>
              <w:top w:val="single" w:sz="6" w:space="0" w:color="auto"/>
              <w:left w:val="single" w:sz="6" w:space="0" w:color="auto"/>
              <w:bottom w:val="single" w:sz="6" w:space="0" w:color="auto"/>
              <w:right w:val="single" w:sz="12" w:space="0" w:color="auto"/>
            </w:tcBorders>
          </w:tcPr>
          <w:p w14:paraId="3F7BF6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CE27683" w14:textId="77777777" w:rsidTr="000D3BCB">
        <w:tc>
          <w:tcPr>
            <w:tcW w:w="286" w:type="dxa"/>
            <w:tcBorders>
              <w:top w:val="single" w:sz="6" w:space="0" w:color="auto"/>
              <w:left w:val="single" w:sz="12" w:space="0" w:color="auto"/>
              <w:bottom w:val="single" w:sz="6" w:space="0" w:color="auto"/>
              <w:right w:val="single" w:sz="6" w:space="0" w:color="auto"/>
            </w:tcBorders>
          </w:tcPr>
          <w:p w14:paraId="62CA1A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w:t>
            </w:r>
          </w:p>
        </w:tc>
        <w:tc>
          <w:tcPr>
            <w:tcW w:w="2199" w:type="dxa"/>
            <w:tcBorders>
              <w:top w:val="single" w:sz="6" w:space="0" w:color="auto"/>
              <w:left w:val="single" w:sz="6" w:space="0" w:color="auto"/>
              <w:bottom w:val="single" w:sz="6" w:space="0" w:color="auto"/>
              <w:right w:val="single" w:sz="6" w:space="0" w:color="auto"/>
            </w:tcBorders>
          </w:tcPr>
          <w:p w14:paraId="7E72A3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Ленинградский Большой драматический театр</w:t>
            </w:r>
          </w:p>
          <w:p w14:paraId="0EE62A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 Горького</w:t>
            </w:r>
          </w:p>
        </w:tc>
        <w:tc>
          <w:tcPr>
            <w:tcW w:w="3069" w:type="dxa"/>
            <w:tcBorders>
              <w:top w:val="single" w:sz="6" w:space="0" w:color="auto"/>
              <w:left w:val="single" w:sz="6" w:space="0" w:color="auto"/>
              <w:bottom w:val="single" w:sz="6" w:space="0" w:color="auto"/>
              <w:right w:val="single" w:sz="6" w:space="0" w:color="auto"/>
            </w:tcBorders>
          </w:tcPr>
          <w:p w14:paraId="2EFD19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Киров драматический театр им. Кирова</w:t>
            </w:r>
          </w:p>
        </w:tc>
        <w:tc>
          <w:tcPr>
            <w:tcW w:w="1678" w:type="dxa"/>
            <w:tcBorders>
              <w:top w:val="single" w:sz="6" w:space="0" w:color="auto"/>
              <w:left w:val="single" w:sz="6" w:space="0" w:color="auto"/>
              <w:bottom w:val="single" w:sz="6" w:space="0" w:color="auto"/>
              <w:right w:val="single" w:sz="6" w:space="0" w:color="auto"/>
            </w:tcBorders>
          </w:tcPr>
          <w:p w14:paraId="3ECC29F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Borders>
              <w:top w:val="single" w:sz="6" w:space="0" w:color="auto"/>
              <w:left w:val="single" w:sz="6" w:space="0" w:color="auto"/>
              <w:bottom w:val="single" w:sz="6" w:space="0" w:color="auto"/>
              <w:right w:val="single" w:sz="12" w:space="0" w:color="auto"/>
            </w:tcBorders>
          </w:tcPr>
          <w:p w14:paraId="397307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9ED7C70" w14:textId="77777777" w:rsidTr="000D3BCB">
        <w:tc>
          <w:tcPr>
            <w:tcW w:w="286" w:type="dxa"/>
            <w:tcBorders>
              <w:top w:val="single" w:sz="6" w:space="0" w:color="auto"/>
              <w:left w:val="single" w:sz="12" w:space="0" w:color="auto"/>
              <w:bottom w:val="single" w:sz="6" w:space="0" w:color="auto"/>
              <w:right w:val="single" w:sz="6" w:space="0" w:color="auto"/>
            </w:tcBorders>
          </w:tcPr>
          <w:p w14:paraId="66E92B9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w:t>
            </w:r>
          </w:p>
        </w:tc>
        <w:tc>
          <w:tcPr>
            <w:tcW w:w="2199" w:type="dxa"/>
            <w:tcBorders>
              <w:top w:val="single" w:sz="6" w:space="0" w:color="auto"/>
              <w:left w:val="single" w:sz="6" w:space="0" w:color="auto"/>
              <w:bottom w:val="single" w:sz="6" w:space="0" w:color="auto"/>
              <w:right w:val="single" w:sz="6" w:space="0" w:color="auto"/>
            </w:tcBorders>
          </w:tcPr>
          <w:p w14:paraId="1A3971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Полтавский техникум</w:t>
            </w:r>
          </w:p>
          <w:p w14:paraId="28CED5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полеводства (Полтавская область)</w:t>
            </w:r>
          </w:p>
        </w:tc>
        <w:tc>
          <w:tcPr>
            <w:tcW w:w="3069" w:type="dxa"/>
            <w:tcBorders>
              <w:top w:val="single" w:sz="6" w:space="0" w:color="auto"/>
              <w:left w:val="single" w:sz="6" w:space="0" w:color="auto"/>
              <w:bottom w:val="single" w:sz="6" w:space="0" w:color="auto"/>
              <w:right w:val="single" w:sz="6" w:space="0" w:color="auto"/>
            </w:tcBorders>
          </w:tcPr>
          <w:p w14:paraId="21D42E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Савальский</w:t>
            </w:r>
          </w:p>
          <w:p w14:paraId="640EB5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с/хоз. техникум Малмыжского района</w:t>
            </w:r>
          </w:p>
        </w:tc>
        <w:tc>
          <w:tcPr>
            <w:tcW w:w="1678" w:type="dxa"/>
            <w:tcBorders>
              <w:top w:val="single" w:sz="6" w:space="0" w:color="auto"/>
              <w:left w:val="single" w:sz="6" w:space="0" w:color="auto"/>
              <w:bottom w:val="single" w:sz="6" w:space="0" w:color="auto"/>
              <w:right w:val="single" w:sz="6" w:space="0" w:color="auto"/>
            </w:tcBorders>
          </w:tcPr>
          <w:p w14:paraId="235C95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 СЭ</w:t>
            </w:r>
          </w:p>
          <w:p w14:paraId="31D0C5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5/IX - 41 г.</w:t>
            </w:r>
          </w:p>
          <w:p w14:paraId="313410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13862-сэ</w:t>
            </w:r>
          </w:p>
        </w:tc>
        <w:tc>
          <w:tcPr>
            <w:tcW w:w="603" w:type="dxa"/>
            <w:tcBorders>
              <w:top w:val="single" w:sz="6" w:space="0" w:color="auto"/>
              <w:left w:val="single" w:sz="6" w:space="0" w:color="auto"/>
              <w:bottom w:val="single" w:sz="6" w:space="0" w:color="auto"/>
              <w:right w:val="single" w:sz="12" w:space="0" w:color="auto"/>
            </w:tcBorders>
          </w:tcPr>
          <w:p w14:paraId="356976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8BE1B95" w14:textId="77777777" w:rsidTr="000D3BCB">
        <w:tc>
          <w:tcPr>
            <w:tcW w:w="286" w:type="dxa"/>
            <w:tcBorders>
              <w:top w:val="single" w:sz="6" w:space="0" w:color="auto"/>
              <w:left w:val="single" w:sz="12" w:space="0" w:color="auto"/>
              <w:bottom w:val="single" w:sz="6" w:space="0" w:color="auto"/>
              <w:right w:val="single" w:sz="6" w:space="0" w:color="auto"/>
            </w:tcBorders>
          </w:tcPr>
          <w:p w14:paraId="16CB9B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w:t>
            </w:r>
          </w:p>
        </w:tc>
        <w:tc>
          <w:tcPr>
            <w:tcW w:w="2199" w:type="dxa"/>
            <w:tcBorders>
              <w:top w:val="single" w:sz="6" w:space="0" w:color="auto"/>
              <w:left w:val="single" w:sz="6" w:space="0" w:color="auto"/>
              <w:bottom w:val="single" w:sz="6" w:space="0" w:color="auto"/>
              <w:right w:val="single" w:sz="6" w:space="0" w:color="auto"/>
            </w:tcBorders>
          </w:tcPr>
          <w:p w14:paraId="1C0DA41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Кременчугский техникум механизации</w:t>
            </w:r>
          </w:p>
          <w:p w14:paraId="525C88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(Полтавская область)</w:t>
            </w:r>
          </w:p>
        </w:tc>
        <w:tc>
          <w:tcPr>
            <w:tcW w:w="3069" w:type="dxa"/>
            <w:tcBorders>
              <w:top w:val="single" w:sz="6" w:space="0" w:color="auto"/>
              <w:left w:val="single" w:sz="6" w:space="0" w:color="auto"/>
              <w:bottom w:val="single" w:sz="6" w:space="0" w:color="auto"/>
              <w:right w:val="single" w:sz="6" w:space="0" w:color="auto"/>
            </w:tcBorders>
          </w:tcPr>
          <w:p w14:paraId="42DD47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Молотовский техникум механизации Молотовского района</w:t>
            </w:r>
          </w:p>
        </w:tc>
        <w:tc>
          <w:tcPr>
            <w:tcW w:w="1678" w:type="dxa"/>
            <w:tcBorders>
              <w:top w:val="single" w:sz="6" w:space="0" w:color="auto"/>
              <w:left w:val="single" w:sz="6" w:space="0" w:color="auto"/>
              <w:bottom w:val="single" w:sz="6" w:space="0" w:color="auto"/>
              <w:right w:val="single" w:sz="6" w:space="0" w:color="auto"/>
            </w:tcBorders>
          </w:tcPr>
          <w:p w14:paraId="3E1D0E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 же</w:t>
            </w:r>
          </w:p>
        </w:tc>
        <w:tc>
          <w:tcPr>
            <w:tcW w:w="603" w:type="dxa"/>
            <w:tcBorders>
              <w:top w:val="single" w:sz="6" w:space="0" w:color="auto"/>
              <w:left w:val="single" w:sz="6" w:space="0" w:color="auto"/>
              <w:bottom w:val="single" w:sz="6" w:space="0" w:color="auto"/>
              <w:right w:val="single" w:sz="12" w:space="0" w:color="auto"/>
            </w:tcBorders>
          </w:tcPr>
          <w:p w14:paraId="7BCA3E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5D0E20D" w14:textId="77777777" w:rsidTr="000D3BCB">
        <w:tc>
          <w:tcPr>
            <w:tcW w:w="286" w:type="dxa"/>
            <w:tcBorders>
              <w:top w:val="single" w:sz="6" w:space="0" w:color="auto"/>
              <w:left w:val="single" w:sz="12" w:space="0" w:color="auto"/>
              <w:bottom w:val="single" w:sz="6" w:space="0" w:color="auto"/>
              <w:right w:val="single" w:sz="6" w:space="0" w:color="auto"/>
            </w:tcBorders>
          </w:tcPr>
          <w:p w14:paraId="5034E1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2199" w:type="dxa"/>
            <w:tcBorders>
              <w:top w:val="single" w:sz="6" w:space="0" w:color="auto"/>
              <w:left w:val="single" w:sz="6" w:space="0" w:color="auto"/>
              <w:bottom w:val="single" w:sz="6" w:space="0" w:color="auto"/>
              <w:right w:val="single" w:sz="6" w:space="0" w:color="auto"/>
            </w:tcBorders>
          </w:tcPr>
          <w:p w14:paraId="17B7B7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Харьковский</w:t>
            </w:r>
          </w:p>
          <w:p w14:paraId="7E020B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техникум механизации</w:t>
            </w:r>
          </w:p>
          <w:p w14:paraId="2F8CA1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(Полтавская область)</w:t>
            </w:r>
          </w:p>
        </w:tc>
        <w:tc>
          <w:tcPr>
            <w:tcW w:w="3069" w:type="dxa"/>
            <w:tcBorders>
              <w:top w:val="single" w:sz="6" w:space="0" w:color="auto"/>
              <w:left w:val="single" w:sz="6" w:space="0" w:color="auto"/>
              <w:bottom w:val="single" w:sz="6" w:space="0" w:color="auto"/>
              <w:right w:val="single" w:sz="6" w:space="0" w:color="auto"/>
            </w:tcBorders>
          </w:tcPr>
          <w:p w14:paraId="4129056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там же</w:t>
            </w:r>
          </w:p>
        </w:tc>
        <w:tc>
          <w:tcPr>
            <w:tcW w:w="1678" w:type="dxa"/>
            <w:tcBorders>
              <w:top w:val="single" w:sz="6" w:space="0" w:color="auto"/>
              <w:left w:val="single" w:sz="6" w:space="0" w:color="auto"/>
              <w:bottom w:val="single" w:sz="6" w:space="0" w:color="auto"/>
              <w:right w:val="single" w:sz="6" w:space="0" w:color="auto"/>
            </w:tcBorders>
          </w:tcPr>
          <w:p w14:paraId="5DC019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 же</w:t>
            </w:r>
          </w:p>
        </w:tc>
        <w:tc>
          <w:tcPr>
            <w:tcW w:w="603" w:type="dxa"/>
            <w:tcBorders>
              <w:top w:val="single" w:sz="6" w:space="0" w:color="auto"/>
              <w:left w:val="single" w:sz="6" w:space="0" w:color="auto"/>
              <w:bottom w:val="single" w:sz="6" w:space="0" w:color="auto"/>
              <w:right w:val="single" w:sz="12" w:space="0" w:color="auto"/>
            </w:tcBorders>
          </w:tcPr>
          <w:p w14:paraId="2D8D03A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2CF2AB0" w14:textId="77777777" w:rsidTr="000D3BCB">
        <w:tc>
          <w:tcPr>
            <w:tcW w:w="286" w:type="dxa"/>
            <w:tcBorders>
              <w:top w:val="single" w:sz="6" w:space="0" w:color="auto"/>
              <w:left w:val="single" w:sz="12" w:space="0" w:color="auto"/>
              <w:bottom w:val="single" w:sz="6" w:space="0" w:color="auto"/>
              <w:right w:val="single" w:sz="6" w:space="0" w:color="auto"/>
            </w:tcBorders>
          </w:tcPr>
          <w:p w14:paraId="097CC6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w:t>
            </w:r>
          </w:p>
        </w:tc>
        <w:tc>
          <w:tcPr>
            <w:tcW w:w="2199" w:type="dxa"/>
            <w:tcBorders>
              <w:top w:val="single" w:sz="6" w:space="0" w:color="auto"/>
              <w:left w:val="single" w:sz="6" w:space="0" w:color="auto"/>
              <w:bottom w:val="single" w:sz="6" w:space="0" w:color="auto"/>
              <w:right w:val="single" w:sz="6" w:space="0" w:color="auto"/>
            </w:tcBorders>
          </w:tcPr>
          <w:p w14:paraId="12E32A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Писаревщанский зоотехникум (Полтавской области)</w:t>
            </w:r>
          </w:p>
        </w:tc>
        <w:tc>
          <w:tcPr>
            <w:tcW w:w="3069" w:type="dxa"/>
            <w:tcBorders>
              <w:top w:val="single" w:sz="6" w:space="0" w:color="auto"/>
              <w:left w:val="single" w:sz="6" w:space="0" w:color="auto"/>
              <w:bottom w:val="single" w:sz="6" w:space="0" w:color="auto"/>
              <w:right w:val="single" w:sz="6" w:space="0" w:color="auto"/>
            </w:tcBorders>
          </w:tcPr>
          <w:p w14:paraId="2FEE824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Уржумский</w:t>
            </w:r>
          </w:p>
          <w:p w14:paraId="6C0966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с/х. техникум Уржумского района</w:t>
            </w:r>
          </w:p>
        </w:tc>
        <w:tc>
          <w:tcPr>
            <w:tcW w:w="1678" w:type="dxa"/>
            <w:tcBorders>
              <w:top w:val="single" w:sz="6" w:space="0" w:color="auto"/>
              <w:left w:val="single" w:sz="6" w:space="0" w:color="auto"/>
              <w:bottom w:val="single" w:sz="6" w:space="0" w:color="auto"/>
              <w:right w:val="single" w:sz="6" w:space="0" w:color="auto"/>
            </w:tcBorders>
          </w:tcPr>
          <w:p w14:paraId="3FABC5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 же</w:t>
            </w:r>
          </w:p>
        </w:tc>
        <w:tc>
          <w:tcPr>
            <w:tcW w:w="603" w:type="dxa"/>
            <w:tcBorders>
              <w:top w:val="single" w:sz="6" w:space="0" w:color="auto"/>
              <w:left w:val="single" w:sz="6" w:space="0" w:color="auto"/>
              <w:bottom w:val="single" w:sz="6" w:space="0" w:color="auto"/>
              <w:right w:val="single" w:sz="12" w:space="0" w:color="auto"/>
            </w:tcBorders>
          </w:tcPr>
          <w:p w14:paraId="3BD058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00A0C93" w14:textId="77777777" w:rsidTr="000D3BCB">
        <w:tc>
          <w:tcPr>
            <w:tcW w:w="286" w:type="dxa"/>
            <w:tcBorders>
              <w:top w:val="single" w:sz="6" w:space="0" w:color="auto"/>
              <w:left w:val="single" w:sz="12" w:space="0" w:color="auto"/>
              <w:bottom w:val="single" w:sz="6" w:space="0" w:color="auto"/>
              <w:right w:val="single" w:sz="6" w:space="0" w:color="auto"/>
            </w:tcBorders>
          </w:tcPr>
          <w:p w14:paraId="20A589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w:t>
            </w:r>
          </w:p>
        </w:tc>
        <w:tc>
          <w:tcPr>
            <w:tcW w:w="2199" w:type="dxa"/>
            <w:tcBorders>
              <w:top w:val="single" w:sz="6" w:space="0" w:color="auto"/>
              <w:left w:val="single" w:sz="6" w:space="0" w:color="auto"/>
              <w:bottom w:val="single" w:sz="6" w:space="0" w:color="auto"/>
              <w:right w:val="single" w:sz="6" w:space="0" w:color="auto"/>
            </w:tcBorders>
          </w:tcPr>
          <w:p w14:paraId="09A0FA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Андреевский зоотехникум (Полтавская область)</w:t>
            </w:r>
          </w:p>
        </w:tc>
        <w:tc>
          <w:tcPr>
            <w:tcW w:w="3069" w:type="dxa"/>
            <w:tcBorders>
              <w:top w:val="single" w:sz="6" w:space="0" w:color="auto"/>
              <w:left w:val="single" w:sz="6" w:space="0" w:color="auto"/>
              <w:bottom w:val="single" w:sz="6" w:space="0" w:color="auto"/>
              <w:right w:val="single" w:sz="6" w:space="0" w:color="auto"/>
            </w:tcBorders>
          </w:tcPr>
          <w:p w14:paraId="7FC696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Яранский сельхозтехникум Яранского района</w:t>
            </w:r>
          </w:p>
        </w:tc>
        <w:tc>
          <w:tcPr>
            <w:tcW w:w="1678" w:type="dxa"/>
            <w:tcBorders>
              <w:top w:val="single" w:sz="6" w:space="0" w:color="auto"/>
              <w:left w:val="single" w:sz="6" w:space="0" w:color="auto"/>
              <w:bottom w:val="single" w:sz="6" w:space="0" w:color="auto"/>
              <w:right w:val="single" w:sz="6" w:space="0" w:color="auto"/>
            </w:tcBorders>
          </w:tcPr>
          <w:p w14:paraId="009364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 же</w:t>
            </w:r>
          </w:p>
        </w:tc>
        <w:tc>
          <w:tcPr>
            <w:tcW w:w="603" w:type="dxa"/>
            <w:tcBorders>
              <w:top w:val="single" w:sz="6" w:space="0" w:color="auto"/>
              <w:left w:val="single" w:sz="6" w:space="0" w:color="auto"/>
              <w:bottom w:val="single" w:sz="6" w:space="0" w:color="auto"/>
              <w:right w:val="single" w:sz="12" w:space="0" w:color="auto"/>
            </w:tcBorders>
          </w:tcPr>
          <w:p w14:paraId="3177E7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C39EEAF" w14:textId="77777777" w:rsidTr="000D3BCB">
        <w:tc>
          <w:tcPr>
            <w:tcW w:w="286" w:type="dxa"/>
            <w:tcBorders>
              <w:top w:val="single" w:sz="6" w:space="0" w:color="auto"/>
              <w:left w:val="single" w:sz="12" w:space="0" w:color="auto"/>
              <w:bottom w:val="single" w:sz="6" w:space="0" w:color="auto"/>
              <w:right w:val="single" w:sz="6" w:space="0" w:color="auto"/>
            </w:tcBorders>
          </w:tcPr>
          <w:p w14:paraId="7C914A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w:t>
            </w:r>
          </w:p>
        </w:tc>
        <w:tc>
          <w:tcPr>
            <w:tcW w:w="2199" w:type="dxa"/>
            <w:tcBorders>
              <w:top w:val="single" w:sz="6" w:space="0" w:color="auto"/>
              <w:left w:val="single" w:sz="6" w:space="0" w:color="auto"/>
              <w:bottom w:val="single" w:sz="6" w:space="0" w:color="auto"/>
              <w:right w:val="single" w:sz="6" w:space="0" w:color="auto"/>
            </w:tcBorders>
          </w:tcPr>
          <w:p w14:paraId="6CEB3E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Березово-Рудский зоотехникум (Полтавская область)</w:t>
            </w:r>
          </w:p>
        </w:tc>
        <w:tc>
          <w:tcPr>
            <w:tcW w:w="3069" w:type="dxa"/>
            <w:tcBorders>
              <w:top w:val="single" w:sz="6" w:space="0" w:color="auto"/>
              <w:left w:val="single" w:sz="6" w:space="0" w:color="auto"/>
              <w:bottom w:val="single" w:sz="6" w:space="0" w:color="auto"/>
              <w:right w:val="single" w:sz="6" w:space="0" w:color="auto"/>
            </w:tcBorders>
          </w:tcPr>
          <w:p w14:paraId="17B717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там же</w:t>
            </w:r>
          </w:p>
        </w:tc>
        <w:tc>
          <w:tcPr>
            <w:tcW w:w="1678" w:type="dxa"/>
            <w:tcBorders>
              <w:top w:val="single" w:sz="6" w:space="0" w:color="auto"/>
              <w:left w:val="single" w:sz="6" w:space="0" w:color="auto"/>
              <w:bottom w:val="single" w:sz="6" w:space="0" w:color="auto"/>
              <w:right w:val="single" w:sz="6" w:space="0" w:color="auto"/>
            </w:tcBorders>
          </w:tcPr>
          <w:p w14:paraId="661B4F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 же</w:t>
            </w:r>
          </w:p>
        </w:tc>
        <w:tc>
          <w:tcPr>
            <w:tcW w:w="603" w:type="dxa"/>
            <w:tcBorders>
              <w:top w:val="single" w:sz="6" w:space="0" w:color="auto"/>
              <w:left w:val="single" w:sz="6" w:space="0" w:color="auto"/>
              <w:bottom w:val="single" w:sz="6" w:space="0" w:color="auto"/>
              <w:right w:val="single" w:sz="12" w:space="0" w:color="auto"/>
            </w:tcBorders>
          </w:tcPr>
          <w:p w14:paraId="40BB4B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48B6295" w14:textId="77777777" w:rsidTr="000D3BCB">
        <w:tc>
          <w:tcPr>
            <w:tcW w:w="286" w:type="dxa"/>
            <w:tcBorders>
              <w:top w:val="single" w:sz="6" w:space="0" w:color="auto"/>
              <w:left w:val="single" w:sz="12" w:space="0" w:color="auto"/>
              <w:bottom w:val="single" w:sz="6" w:space="0" w:color="auto"/>
              <w:right w:val="single" w:sz="6" w:space="0" w:color="auto"/>
            </w:tcBorders>
          </w:tcPr>
          <w:p w14:paraId="058690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w:t>
            </w:r>
          </w:p>
        </w:tc>
        <w:tc>
          <w:tcPr>
            <w:tcW w:w="2199" w:type="dxa"/>
            <w:tcBorders>
              <w:top w:val="single" w:sz="6" w:space="0" w:color="auto"/>
              <w:left w:val="single" w:sz="6" w:space="0" w:color="auto"/>
              <w:bottom w:val="single" w:sz="6" w:space="0" w:color="auto"/>
              <w:right w:val="single" w:sz="6" w:space="0" w:color="auto"/>
            </w:tcBorders>
          </w:tcPr>
          <w:p w14:paraId="16694CA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Золотоношский техникум полеводства</w:t>
            </w:r>
          </w:p>
          <w:p w14:paraId="60ADD2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(Полтавская область)</w:t>
            </w:r>
          </w:p>
        </w:tc>
        <w:tc>
          <w:tcPr>
            <w:tcW w:w="3069" w:type="dxa"/>
            <w:tcBorders>
              <w:top w:val="single" w:sz="6" w:space="0" w:color="auto"/>
              <w:left w:val="single" w:sz="6" w:space="0" w:color="auto"/>
              <w:bottom w:val="single" w:sz="6" w:space="0" w:color="auto"/>
              <w:right w:val="single" w:sz="6" w:space="0" w:color="auto"/>
            </w:tcBorders>
          </w:tcPr>
          <w:p w14:paraId="07711E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Яранская школа сельхозобразова-ния Яранского района</w:t>
            </w:r>
          </w:p>
        </w:tc>
        <w:tc>
          <w:tcPr>
            <w:tcW w:w="1678" w:type="dxa"/>
            <w:tcBorders>
              <w:top w:val="single" w:sz="6" w:space="0" w:color="auto"/>
              <w:left w:val="single" w:sz="6" w:space="0" w:color="auto"/>
              <w:bottom w:val="single" w:sz="6" w:space="0" w:color="auto"/>
              <w:right w:val="single" w:sz="6" w:space="0" w:color="auto"/>
            </w:tcBorders>
          </w:tcPr>
          <w:p w14:paraId="19A5BF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 же</w:t>
            </w:r>
          </w:p>
        </w:tc>
        <w:tc>
          <w:tcPr>
            <w:tcW w:w="603" w:type="dxa"/>
            <w:tcBorders>
              <w:top w:val="single" w:sz="6" w:space="0" w:color="auto"/>
              <w:left w:val="single" w:sz="6" w:space="0" w:color="auto"/>
              <w:bottom w:val="single" w:sz="6" w:space="0" w:color="auto"/>
              <w:right w:val="single" w:sz="12" w:space="0" w:color="auto"/>
            </w:tcBorders>
          </w:tcPr>
          <w:p w14:paraId="069E5E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6C35FBA" w14:textId="77777777" w:rsidTr="000D3BCB">
        <w:tc>
          <w:tcPr>
            <w:tcW w:w="286" w:type="dxa"/>
            <w:tcBorders>
              <w:top w:val="single" w:sz="6" w:space="0" w:color="auto"/>
              <w:left w:val="single" w:sz="12" w:space="0" w:color="auto"/>
              <w:bottom w:val="single" w:sz="12" w:space="0" w:color="auto"/>
              <w:right w:val="single" w:sz="6" w:space="0" w:color="auto"/>
            </w:tcBorders>
          </w:tcPr>
          <w:p w14:paraId="7251AE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w:t>
            </w:r>
          </w:p>
        </w:tc>
        <w:tc>
          <w:tcPr>
            <w:tcW w:w="2199" w:type="dxa"/>
            <w:tcBorders>
              <w:top w:val="single" w:sz="6" w:space="0" w:color="auto"/>
              <w:left w:val="single" w:sz="6" w:space="0" w:color="auto"/>
              <w:bottom w:val="single" w:sz="12" w:space="0" w:color="auto"/>
              <w:right w:val="single" w:sz="6" w:space="0" w:color="auto"/>
            </w:tcBorders>
          </w:tcPr>
          <w:p w14:paraId="42A5B2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Полтавский землеустроительный техникум</w:t>
            </w:r>
          </w:p>
          <w:p w14:paraId="69BCD7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(Полтавской области)</w:t>
            </w:r>
          </w:p>
        </w:tc>
        <w:tc>
          <w:tcPr>
            <w:tcW w:w="3069" w:type="dxa"/>
            <w:tcBorders>
              <w:top w:val="single" w:sz="6" w:space="0" w:color="auto"/>
              <w:left w:val="single" w:sz="6" w:space="0" w:color="auto"/>
              <w:bottom w:val="single" w:sz="12" w:space="0" w:color="auto"/>
              <w:right w:val="single" w:sz="6" w:space="0" w:color="auto"/>
            </w:tcBorders>
          </w:tcPr>
          <w:p w14:paraId="0CA5FE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Халтуринский сельхоз. техникум село Истобенское Оричевского района</w:t>
            </w:r>
          </w:p>
        </w:tc>
        <w:tc>
          <w:tcPr>
            <w:tcW w:w="1678" w:type="dxa"/>
            <w:tcBorders>
              <w:top w:val="single" w:sz="6" w:space="0" w:color="auto"/>
              <w:left w:val="single" w:sz="6" w:space="0" w:color="auto"/>
              <w:bottom w:val="single" w:sz="12" w:space="0" w:color="auto"/>
              <w:right w:val="single" w:sz="6" w:space="0" w:color="auto"/>
            </w:tcBorders>
          </w:tcPr>
          <w:p w14:paraId="5730FD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 СЭ</w:t>
            </w:r>
          </w:p>
          <w:p w14:paraId="0D77DF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5/IX -1941 г.</w:t>
            </w:r>
          </w:p>
          <w:p w14:paraId="4ABB5B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13862-сэ</w:t>
            </w:r>
          </w:p>
        </w:tc>
        <w:tc>
          <w:tcPr>
            <w:tcW w:w="603" w:type="dxa"/>
            <w:tcBorders>
              <w:top w:val="single" w:sz="6" w:space="0" w:color="auto"/>
              <w:left w:val="single" w:sz="6" w:space="0" w:color="auto"/>
              <w:bottom w:val="single" w:sz="12" w:space="0" w:color="auto"/>
              <w:right w:val="single" w:sz="12" w:space="0" w:color="auto"/>
            </w:tcBorders>
          </w:tcPr>
          <w:p w14:paraId="10A8CC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bl>
    <w:p w14:paraId="003C40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ГАСПИ КО. Ф. П-1291. Оп. 1. Д. 27. Лл. 1-4. Копия. Машинопись (11838).</w:t>
      </w:r>
    </w:p>
    <w:p w14:paraId="227333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88AC4F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конце 1941</w:t>
      </w:r>
    </w:p>
    <w:p w14:paraId="3EB2D9F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iCs/>
          <w:color w:val="000000" w:themeColor="text1"/>
          <w:sz w:val="16"/>
          <w:szCs w:val="16"/>
          <w:lang w:eastAsia="ru-RU"/>
        </w:rPr>
        <w:t>Совершенно секретно</w:t>
      </w:r>
      <w:r w:rsidRPr="00640820">
        <w:rPr>
          <w:rFonts w:ascii="Times New Roman" w:eastAsia="Times New Roman" w:hAnsi="Times New Roman"/>
          <w:iCs/>
          <w:color w:val="000000" w:themeColor="text1"/>
          <w:sz w:val="16"/>
          <w:szCs w:val="16"/>
          <w:vertAlign w:val="superscript"/>
          <w:lang w:eastAsia="ru-RU"/>
        </w:rPr>
        <w:t>1</w:t>
      </w:r>
    </w:p>
    <w:p w14:paraId="6E60FFA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Сведения</w:t>
      </w:r>
    </w:p>
    <w:p w14:paraId="1A3D37A3"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 заводах и фабриках, эвакуируемых в Кировскую область</w:t>
      </w:r>
    </w:p>
    <w:p w14:paraId="398C2D13"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[конец 1941]</w:t>
      </w:r>
      <w:r w:rsidRPr="00640820">
        <w:rPr>
          <w:rFonts w:ascii="Times New Roman" w:eastAsia="Times New Roman" w:hAnsi="Times New Roman"/>
          <w:color w:val="000000" w:themeColor="text1"/>
          <w:sz w:val="16"/>
          <w:szCs w:val="16"/>
          <w:vertAlign w:val="superscript"/>
          <w:lang w:eastAsia="ru-RU"/>
        </w:rPr>
        <w:t>1</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411"/>
        <w:gridCol w:w="30"/>
        <w:gridCol w:w="4437"/>
        <w:gridCol w:w="4319"/>
        <w:gridCol w:w="2125"/>
      </w:tblGrid>
      <w:tr w:rsidR="00643896" w:rsidRPr="00640820" w14:paraId="3755E355"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51AA08F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p w14:paraId="0326EE7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п/п</w:t>
            </w:r>
          </w:p>
        </w:tc>
        <w:tc>
          <w:tcPr>
            <w:tcW w:w="0" w:type="auto"/>
            <w:gridSpan w:val="2"/>
            <w:tcBorders>
              <w:top w:val="outset" w:sz="6" w:space="0" w:color="auto"/>
              <w:left w:val="outset" w:sz="6" w:space="0" w:color="auto"/>
              <w:bottom w:val="outset" w:sz="6" w:space="0" w:color="auto"/>
              <w:right w:val="outset" w:sz="6" w:space="0" w:color="auto"/>
            </w:tcBorders>
            <w:hideMark/>
          </w:tcPr>
          <w:p w14:paraId="0797BD1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Название эвакуируемых</w:t>
            </w:r>
          </w:p>
          <w:p w14:paraId="633E4EC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заводов и фабрик</w:t>
            </w:r>
          </w:p>
        </w:tc>
        <w:tc>
          <w:tcPr>
            <w:tcW w:w="0" w:type="auto"/>
            <w:tcBorders>
              <w:top w:val="outset" w:sz="6" w:space="0" w:color="auto"/>
              <w:left w:val="outset" w:sz="6" w:space="0" w:color="auto"/>
              <w:bottom w:val="outset" w:sz="6" w:space="0" w:color="auto"/>
              <w:right w:val="outset" w:sz="6" w:space="0" w:color="auto"/>
            </w:tcBorders>
            <w:hideMark/>
          </w:tcPr>
          <w:p w14:paraId="68624D2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Где размещаются</w:t>
            </w:r>
          </w:p>
        </w:tc>
        <w:tc>
          <w:tcPr>
            <w:tcW w:w="0" w:type="auto"/>
            <w:tcBorders>
              <w:top w:val="outset" w:sz="6" w:space="0" w:color="auto"/>
              <w:left w:val="outset" w:sz="6" w:space="0" w:color="auto"/>
              <w:bottom w:val="outset" w:sz="6" w:space="0" w:color="auto"/>
              <w:right w:val="outset" w:sz="6" w:space="0" w:color="auto"/>
            </w:tcBorders>
            <w:hideMark/>
          </w:tcPr>
          <w:p w14:paraId="1E36CCA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Основание</w:t>
            </w:r>
          </w:p>
        </w:tc>
      </w:tr>
      <w:tr w:rsidR="00643896" w:rsidRPr="00640820" w14:paraId="47D3AAA1"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74FF045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w:t>
            </w:r>
          </w:p>
        </w:tc>
        <w:tc>
          <w:tcPr>
            <w:tcW w:w="0" w:type="auto"/>
            <w:gridSpan w:val="2"/>
            <w:tcBorders>
              <w:top w:val="outset" w:sz="6" w:space="0" w:color="auto"/>
              <w:left w:val="outset" w:sz="6" w:space="0" w:color="auto"/>
              <w:bottom w:val="outset" w:sz="6" w:space="0" w:color="auto"/>
              <w:right w:val="outset" w:sz="6" w:space="0" w:color="auto"/>
            </w:tcBorders>
            <w:hideMark/>
          </w:tcPr>
          <w:p w14:paraId="7656CDAE"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w:t>
            </w:r>
          </w:p>
        </w:tc>
        <w:tc>
          <w:tcPr>
            <w:tcW w:w="0" w:type="auto"/>
            <w:tcBorders>
              <w:top w:val="outset" w:sz="6" w:space="0" w:color="auto"/>
              <w:left w:val="outset" w:sz="6" w:space="0" w:color="auto"/>
              <w:bottom w:val="outset" w:sz="6" w:space="0" w:color="auto"/>
              <w:right w:val="outset" w:sz="6" w:space="0" w:color="auto"/>
            </w:tcBorders>
            <w:hideMark/>
          </w:tcPr>
          <w:p w14:paraId="7B1D761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3.</w:t>
            </w:r>
          </w:p>
        </w:tc>
        <w:tc>
          <w:tcPr>
            <w:tcW w:w="0" w:type="auto"/>
            <w:tcBorders>
              <w:top w:val="outset" w:sz="6" w:space="0" w:color="auto"/>
              <w:left w:val="outset" w:sz="6" w:space="0" w:color="auto"/>
              <w:bottom w:val="outset" w:sz="6" w:space="0" w:color="auto"/>
              <w:right w:val="outset" w:sz="6" w:space="0" w:color="auto"/>
            </w:tcBorders>
            <w:hideMark/>
          </w:tcPr>
          <w:p w14:paraId="3447F6C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4.</w:t>
            </w:r>
          </w:p>
        </w:tc>
      </w:tr>
      <w:tr w:rsidR="00643896" w:rsidRPr="00640820" w14:paraId="4309DF7F"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1E45B703"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w:t>
            </w:r>
          </w:p>
        </w:tc>
        <w:tc>
          <w:tcPr>
            <w:tcW w:w="0" w:type="auto"/>
            <w:gridSpan w:val="2"/>
            <w:tcBorders>
              <w:top w:val="outset" w:sz="6" w:space="0" w:color="auto"/>
              <w:left w:val="outset" w:sz="6" w:space="0" w:color="auto"/>
              <w:bottom w:val="outset" w:sz="6" w:space="0" w:color="auto"/>
              <w:right w:val="outset" w:sz="6" w:space="0" w:color="auto"/>
            </w:tcBorders>
            <w:hideMark/>
          </w:tcPr>
          <w:p w14:paraId="738A9D5E"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Завод имени Январского восстания</w:t>
            </w:r>
          </w:p>
        </w:tc>
        <w:tc>
          <w:tcPr>
            <w:tcW w:w="0" w:type="auto"/>
            <w:tcBorders>
              <w:top w:val="outset" w:sz="6" w:space="0" w:color="auto"/>
              <w:left w:val="outset" w:sz="6" w:space="0" w:color="auto"/>
              <w:bottom w:val="outset" w:sz="6" w:space="0" w:color="auto"/>
              <w:right w:val="outset" w:sz="6" w:space="0" w:color="auto"/>
            </w:tcBorders>
            <w:hideMark/>
          </w:tcPr>
          <w:p w14:paraId="27C4109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p w14:paraId="27BD4AF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Кировский</w:t>
            </w:r>
          </w:p>
          <w:p w14:paraId="23F2DFD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машстройзавод</w:t>
            </w:r>
          </w:p>
        </w:tc>
        <w:tc>
          <w:tcPr>
            <w:tcW w:w="0" w:type="auto"/>
            <w:tcBorders>
              <w:top w:val="outset" w:sz="6" w:space="0" w:color="auto"/>
              <w:left w:val="outset" w:sz="6" w:space="0" w:color="auto"/>
              <w:bottom w:val="outset" w:sz="6" w:space="0" w:color="auto"/>
              <w:right w:val="outset" w:sz="6" w:space="0" w:color="auto"/>
            </w:tcBorders>
            <w:hideMark/>
          </w:tcPr>
          <w:p w14:paraId="3781443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p w14:paraId="752201E3"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Пост. СЭ № сэ22сс</w:t>
            </w:r>
          </w:p>
          <w:p w14:paraId="34AF457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8/VII - 41 г.</w:t>
            </w:r>
          </w:p>
        </w:tc>
      </w:tr>
      <w:tr w:rsidR="00643896" w:rsidRPr="00640820" w14:paraId="31987498"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6CCFD41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w:t>
            </w:r>
          </w:p>
        </w:tc>
        <w:tc>
          <w:tcPr>
            <w:tcW w:w="0" w:type="auto"/>
            <w:gridSpan w:val="2"/>
            <w:tcBorders>
              <w:top w:val="outset" w:sz="6" w:space="0" w:color="auto"/>
              <w:left w:val="outset" w:sz="6" w:space="0" w:color="auto"/>
              <w:bottom w:val="outset" w:sz="6" w:space="0" w:color="auto"/>
              <w:right w:val="outset" w:sz="6" w:space="0" w:color="auto"/>
            </w:tcBorders>
            <w:hideMark/>
          </w:tcPr>
          <w:p w14:paraId="7C09599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Завод "Красный инструментальщик"</w:t>
            </w:r>
          </w:p>
        </w:tc>
        <w:tc>
          <w:tcPr>
            <w:tcW w:w="0" w:type="auto"/>
            <w:tcBorders>
              <w:top w:val="outset" w:sz="6" w:space="0" w:color="auto"/>
              <w:left w:val="outset" w:sz="6" w:space="0" w:color="auto"/>
              <w:bottom w:val="outset" w:sz="6" w:space="0" w:color="auto"/>
              <w:right w:val="outset" w:sz="6" w:space="0" w:color="auto"/>
            </w:tcBorders>
            <w:hideMark/>
          </w:tcPr>
          <w:p w14:paraId="0DBED5D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Ликеро-водочный завод</w:t>
            </w:r>
          </w:p>
          <w:p w14:paraId="6D1E66CE"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425AD48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r>
      <w:tr w:rsidR="00643896" w:rsidRPr="00640820" w14:paraId="62C28C2F"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40BDC97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3.</w:t>
            </w:r>
          </w:p>
        </w:tc>
        <w:tc>
          <w:tcPr>
            <w:tcW w:w="0" w:type="auto"/>
            <w:gridSpan w:val="2"/>
            <w:tcBorders>
              <w:top w:val="outset" w:sz="6" w:space="0" w:color="auto"/>
              <w:left w:val="outset" w:sz="6" w:space="0" w:color="auto"/>
              <w:bottom w:val="outset" w:sz="6" w:space="0" w:color="auto"/>
              <w:right w:val="outset" w:sz="6" w:space="0" w:color="auto"/>
            </w:tcBorders>
            <w:hideMark/>
          </w:tcPr>
          <w:p w14:paraId="4BE73A7E"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Завод № 537 - НКВ</w:t>
            </w:r>
          </w:p>
        </w:tc>
        <w:tc>
          <w:tcPr>
            <w:tcW w:w="0" w:type="auto"/>
            <w:tcBorders>
              <w:top w:val="outset" w:sz="6" w:space="0" w:color="auto"/>
              <w:left w:val="outset" w:sz="6" w:space="0" w:color="auto"/>
              <w:bottom w:val="outset" w:sz="6" w:space="0" w:color="auto"/>
              <w:right w:val="outset" w:sz="6" w:space="0" w:color="auto"/>
            </w:tcBorders>
            <w:hideMark/>
          </w:tcPr>
          <w:p w14:paraId="00BBC034"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Зооветинститут</w:t>
            </w:r>
          </w:p>
        </w:tc>
        <w:tc>
          <w:tcPr>
            <w:tcW w:w="0" w:type="auto"/>
            <w:tcBorders>
              <w:top w:val="outset" w:sz="6" w:space="0" w:color="auto"/>
              <w:left w:val="outset" w:sz="6" w:space="0" w:color="auto"/>
              <w:bottom w:val="outset" w:sz="6" w:space="0" w:color="auto"/>
              <w:right w:val="outset" w:sz="6" w:space="0" w:color="auto"/>
            </w:tcBorders>
            <w:hideMark/>
          </w:tcPr>
          <w:p w14:paraId="3DC948D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Тел. расп. ГКО</w:t>
            </w:r>
          </w:p>
          <w:p w14:paraId="6DFCDBB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31/VII - 41 г.</w:t>
            </w:r>
          </w:p>
          <w:p w14:paraId="1885DED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r>
      <w:tr w:rsidR="00643896" w:rsidRPr="00640820" w14:paraId="09D4F9B7"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5C88DC1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4.</w:t>
            </w:r>
          </w:p>
        </w:tc>
        <w:tc>
          <w:tcPr>
            <w:tcW w:w="0" w:type="auto"/>
            <w:gridSpan w:val="2"/>
            <w:tcBorders>
              <w:top w:val="outset" w:sz="6" w:space="0" w:color="auto"/>
              <w:left w:val="outset" w:sz="6" w:space="0" w:color="auto"/>
              <w:bottom w:val="outset" w:sz="6" w:space="0" w:color="auto"/>
              <w:right w:val="outset" w:sz="6" w:space="0" w:color="auto"/>
            </w:tcBorders>
            <w:hideMark/>
          </w:tcPr>
          <w:p w14:paraId="097113B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Вяземская</w:t>
            </w:r>
          </w:p>
          <w:p w14:paraId="520EECE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льночесальная фабрика</w:t>
            </w:r>
          </w:p>
        </w:tc>
        <w:tc>
          <w:tcPr>
            <w:tcW w:w="0" w:type="auto"/>
            <w:tcBorders>
              <w:top w:val="outset" w:sz="6" w:space="0" w:color="auto"/>
              <w:left w:val="outset" w:sz="6" w:space="0" w:color="auto"/>
              <w:bottom w:val="outset" w:sz="6" w:space="0" w:color="auto"/>
              <w:right w:val="outset" w:sz="6" w:space="0" w:color="auto"/>
            </w:tcBorders>
            <w:hideMark/>
          </w:tcPr>
          <w:p w14:paraId="21A389C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Ф-ка "Красный труд", затем Кировская МТМ</w:t>
            </w:r>
          </w:p>
        </w:tc>
        <w:tc>
          <w:tcPr>
            <w:tcW w:w="0" w:type="auto"/>
            <w:tcBorders>
              <w:top w:val="outset" w:sz="6" w:space="0" w:color="auto"/>
              <w:left w:val="outset" w:sz="6" w:space="0" w:color="auto"/>
              <w:bottom w:val="outset" w:sz="6" w:space="0" w:color="auto"/>
              <w:right w:val="outset" w:sz="6" w:space="0" w:color="auto"/>
            </w:tcBorders>
            <w:hideMark/>
          </w:tcPr>
          <w:p w14:paraId="19E956A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Расп. СЭ</w:t>
            </w:r>
          </w:p>
          <w:p w14:paraId="27AF44A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18/VII - 41 г.</w:t>
            </w:r>
          </w:p>
          <w:p w14:paraId="09EA772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146-сэ</w:t>
            </w:r>
          </w:p>
          <w:p w14:paraId="02EA69B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(ш/т. от 29/VIII - )</w:t>
            </w:r>
          </w:p>
          <w:p w14:paraId="75E5603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p w14:paraId="7BA8678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p w14:paraId="0697D50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r>
      <w:tr w:rsidR="00643896" w:rsidRPr="00640820" w14:paraId="5B3B8293"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4A7C987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5.</w:t>
            </w:r>
          </w:p>
        </w:tc>
        <w:tc>
          <w:tcPr>
            <w:tcW w:w="0" w:type="auto"/>
            <w:gridSpan w:val="2"/>
            <w:tcBorders>
              <w:top w:val="outset" w:sz="6" w:space="0" w:color="auto"/>
              <w:left w:val="outset" w:sz="6" w:space="0" w:color="auto"/>
              <w:bottom w:val="outset" w:sz="6" w:space="0" w:color="auto"/>
              <w:right w:val="outset" w:sz="6" w:space="0" w:color="auto"/>
            </w:tcBorders>
            <w:hideMark/>
          </w:tcPr>
          <w:p w14:paraId="28F2669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Кондровскаябумфабрика</w:t>
            </w:r>
          </w:p>
          <w:p w14:paraId="7656D31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(Смоленская область)</w:t>
            </w:r>
          </w:p>
        </w:tc>
        <w:tc>
          <w:tcPr>
            <w:tcW w:w="0" w:type="auto"/>
            <w:tcBorders>
              <w:top w:val="outset" w:sz="6" w:space="0" w:color="auto"/>
              <w:left w:val="outset" w:sz="6" w:space="0" w:color="auto"/>
              <w:bottom w:val="outset" w:sz="6" w:space="0" w:color="auto"/>
              <w:right w:val="outset" w:sz="6" w:space="0" w:color="auto"/>
            </w:tcBorders>
            <w:hideMark/>
          </w:tcPr>
          <w:p w14:paraId="7BED45E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Косинская бумфабрика Зуевского района</w:t>
            </w:r>
          </w:p>
        </w:tc>
        <w:tc>
          <w:tcPr>
            <w:tcW w:w="0" w:type="auto"/>
            <w:tcBorders>
              <w:top w:val="outset" w:sz="6" w:space="0" w:color="auto"/>
              <w:left w:val="outset" w:sz="6" w:space="0" w:color="auto"/>
              <w:bottom w:val="outset" w:sz="6" w:space="0" w:color="auto"/>
              <w:right w:val="outset" w:sz="6" w:space="0" w:color="auto"/>
            </w:tcBorders>
            <w:hideMark/>
          </w:tcPr>
          <w:p w14:paraId="58A0082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Расп. СЭ № 5329сэ</w:t>
            </w:r>
          </w:p>
          <w:p w14:paraId="0E64F05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7/VIII - 41 г.</w:t>
            </w:r>
          </w:p>
          <w:p w14:paraId="5166353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p w14:paraId="591379F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r>
      <w:tr w:rsidR="00643896" w:rsidRPr="00640820" w14:paraId="22C25C0A"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150D2CE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6.</w:t>
            </w:r>
          </w:p>
        </w:tc>
        <w:tc>
          <w:tcPr>
            <w:tcW w:w="0" w:type="auto"/>
            <w:gridSpan w:val="2"/>
            <w:tcBorders>
              <w:top w:val="outset" w:sz="6" w:space="0" w:color="auto"/>
              <w:left w:val="outset" w:sz="6" w:space="0" w:color="auto"/>
              <w:bottom w:val="outset" w:sz="6" w:space="0" w:color="auto"/>
              <w:right w:val="outset" w:sz="6" w:space="0" w:color="auto"/>
            </w:tcBorders>
            <w:hideMark/>
          </w:tcPr>
          <w:p w14:paraId="35814CA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Никопольский завод им. Ленина</w:t>
            </w:r>
          </w:p>
          <w:p w14:paraId="3C6754C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(ст. Никополь УССР)</w:t>
            </w:r>
          </w:p>
        </w:tc>
        <w:tc>
          <w:tcPr>
            <w:tcW w:w="0" w:type="auto"/>
            <w:tcBorders>
              <w:top w:val="outset" w:sz="6" w:space="0" w:color="auto"/>
              <w:left w:val="outset" w:sz="6" w:space="0" w:color="auto"/>
              <w:bottom w:val="outset" w:sz="6" w:space="0" w:color="auto"/>
              <w:right w:val="outset" w:sz="6" w:space="0" w:color="auto"/>
            </w:tcBorders>
            <w:hideMark/>
          </w:tcPr>
          <w:p w14:paraId="632B23A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Белохолуницкий</w:t>
            </w:r>
          </w:p>
          <w:p w14:paraId="0904096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машстройзавод</w:t>
            </w:r>
          </w:p>
        </w:tc>
        <w:tc>
          <w:tcPr>
            <w:tcW w:w="0" w:type="auto"/>
            <w:tcBorders>
              <w:top w:val="outset" w:sz="6" w:space="0" w:color="auto"/>
              <w:left w:val="outset" w:sz="6" w:space="0" w:color="auto"/>
              <w:bottom w:val="outset" w:sz="6" w:space="0" w:color="auto"/>
              <w:right w:val="outset" w:sz="6" w:space="0" w:color="auto"/>
            </w:tcBorders>
            <w:hideMark/>
          </w:tcPr>
          <w:p w14:paraId="7AE9635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пост. СЭ № сэ66сс</w:t>
            </w:r>
          </w:p>
          <w:p w14:paraId="669435C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7/VIII - 41 г.</w:t>
            </w:r>
          </w:p>
          <w:p w14:paraId="5EDEF56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p w14:paraId="2A79EE94"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r>
      <w:tr w:rsidR="00643896" w:rsidRPr="00640820" w14:paraId="6BFF1C75"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1551AEE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7.</w:t>
            </w:r>
          </w:p>
        </w:tc>
        <w:tc>
          <w:tcPr>
            <w:tcW w:w="0" w:type="auto"/>
            <w:gridSpan w:val="2"/>
            <w:tcBorders>
              <w:top w:val="outset" w:sz="6" w:space="0" w:color="auto"/>
              <w:left w:val="outset" w:sz="6" w:space="0" w:color="auto"/>
              <w:bottom w:val="outset" w:sz="6" w:space="0" w:color="auto"/>
              <w:right w:val="outset" w:sz="6" w:space="0" w:color="auto"/>
            </w:tcBorders>
            <w:hideMark/>
          </w:tcPr>
          <w:p w14:paraId="79B04B8E"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Завод № 367 НКВ</w:t>
            </w:r>
          </w:p>
        </w:tc>
        <w:tc>
          <w:tcPr>
            <w:tcW w:w="0" w:type="auto"/>
            <w:tcBorders>
              <w:top w:val="outset" w:sz="6" w:space="0" w:color="auto"/>
              <w:left w:val="outset" w:sz="6" w:space="0" w:color="auto"/>
              <w:bottom w:val="outset" w:sz="6" w:space="0" w:color="auto"/>
              <w:right w:val="outset" w:sz="6" w:space="0" w:color="auto"/>
            </w:tcBorders>
            <w:hideMark/>
          </w:tcPr>
          <w:p w14:paraId="7B4F6CC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Вятскополянская шпульно-катушечная фабрика</w:t>
            </w:r>
          </w:p>
          <w:p w14:paraId="310D51E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670CFB7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Пост. СЭ № 73сэ</w:t>
            </w:r>
          </w:p>
          <w:p w14:paraId="7818D70E"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9/VIII - 41 г.</w:t>
            </w:r>
          </w:p>
        </w:tc>
      </w:tr>
      <w:tr w:rsidR="00643896" w:rsidRPr="00640820" w14:paraId="1FEDACA2"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34F3B5C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8.</w:t>
            </w:r>
          </w:p>
        </w:tc>
        <w:tc>
          <w:tcPr>
            <w:tcW w:w="0" w:type="auto"/>
            <w:gridSpan w:val="2"/>
            <w:tcBorders>
              <w:top w:val="outset" w:sz="6" w:space="0" w:color="auto"/>
              <w:left w:val="outset" w:sz="6" w:space="0" w:color="auto"/>
              <w:bottom w:val="outset" w:sz="6" w:space="0" w:color="auto"/>
              <w:right w:val="outset" w:sz="6" w:space="0" w:color="auto"/>
            </w:tcBorders>
            <w:hideMark/>
          </w:tcPr>
          <w:p w14:paraId="049093B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Завод № 509 НКВ</w:t>
            </w:r>
          </w:p>
        </w:tc>
        <w:tc>
          <w:tcPr>
            <w:tcW w:w="0" w:type="auto"/>
            <w:tcBorders>
              <w:top w:val="outset" w:sz="6" w:space="0" w:color="auto"/>
              <w:left w:val="outset" w:sz="6" w:space="0" w:color="auto"/>
              <w:bottom w:val="outset" w:sz="6" w:space="0" w:color="auto"/>
              <w:right w:val="outset" w:sz="6" w:space="0" w:color="auto"/>
            </w:tcBorders>
            <w:hideMark/>
          </w:tcPr>
          <w:p w14:paraId="397EBA54"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там же</w:t>
            </w:r>
          </w:p>
        </w:tc>
        <w:tc>
          <w:tcPr>
            <w:tcW w:w="0" w:type="auto"/>
            <w:tcBorders>
              <w:top w:val="outset" w:sz="6" w:space="0" w:color="auto"/>
              <w:left w:val="outset" w:sz="6" w:space="0" w:color="auto"/>
              <w:bottom w:val="outset" w:sz="6" w:space="0" w:color="auto"/>
              <w:right w:val="outset" w:sz="6" w:space="0" w:color="auto"/>
            </w:tcBorders>
            <w:hideMark/>
          </w:tcPr>
          <w:p w14:paraId="4DBEF7D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p w14:paraId="3237C0D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r>
      <w:tr w:rsidR="00643896" w:rsidRPr="00640820" w14:paraId="3DEC3720"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7C0482F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9.</w:t>
            </w:r>
          </w:p>
        </w:tc>
        <w:tc>
          <w:tcPr>
            <w:tcW w:w="0" w:type="auto"/>
            <w:gridSpan w:val="2"/>
            <w:tcBorders>
              <w:top w:val="outset" w:sz="6" w:space="0" w:color="auto"/>
              <w:left w:val="outset" w:sz="6" w:space="0" w:color="auto"/>
              <w:bottom w:val="outset" w:sz="6" w:space="0" w:color="auto"/>
              <w:right w:val="outset" w:sz="6" w:space="0" w:color="auto"/>
            </w:tcBorders>
            <w:hideMark/>
          </w:tcPr>
          <w:p w14:paraId="5422105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Кожсырьевой завод</w:t>
            </w:r>
          </w:p>
          <w:p w14:paraId="39D9606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 Осташков,</w:t>
            </w:r>
          </w:p>
          <w:p w14:paraId="6354FD6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Калининской области)</w:t>
            </w:r>
          </w:p>
        </w:tc>
        <w:tc>
          <w:tcPr>
            <w:tcW w:w="0" w:type="auto"/>
            <w:tcBorders>
              <w:top w:val="outset" w:sz="6" w:space="0" w:color="auto"/>
              <w:left w:val="outset" w:sz="6" w:space="0" w:color="auto"/>
              <w:bottom w:val="outset" w:sz="6" w:space="0" w:color="auto"/>
              <w:right w:val="outset" w:sz="6" w:space="0" w:color="auto"/>
            </w:tcBorders>
            <w:hideMark/>
          </w:tcPr>
          <w:p w14:paraId="4E894C8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Кожсырьевая фабрика</w:t>
            </w:r>
          </w:p>
          <w:p w14:paraId="0449AC2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(ст. Вахрушево</w:t>
            </w:r>
          </w:p>
          <w:p w14:paraId="195E87E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Горьковской ж/д)</w:t>
            </w:r>
          </w:p>
          <w:p w14:paraId="5A91393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104C833E"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Расп. СЭ № 5392сэ</w:t>
            </w:r>
          </w:p>
          <w:p w14:paraId="6253A4F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11/VIII - 41 г.</w:t>
            </w:r>
          </w:p>
        </w:tc>
      </w:tr>
      <w:tr w:rsidR="00643896" w:rsidRPr="00640820" w14:paraId="4E474553"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2A0BA49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10.</w:t>
            </w:r>
          </w:p>
        </w:tc>
        <w:tc>
          <w:tcPr>
            <w:tcW w:w="0" w:type="auto"/>
            <w:gridSpan w:val="2"/>
            <w:tcBorders>
              <w:top w:val="outset" w:sz="6" w:space="0" w:color="auto"/>
              <w:left w:val="outset" w:sz="6" w:space="0" w:color="auto"/>
              <w:bottom w:val="outset" w:sz="6" w:space="0" w:color="auto"/>
              <w:right w:val="outset" w:sz="6" w:space="0" w:color="auto"/>
            </w:tcBorders>
            <w:hideMark/>
          </w:tcPr>
          <w:p w14:paraId="1BB5DFC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Фурнитурно-гвоздильный</w:t>
            </w:r>
          </w:p>
          <w:p w14:paraId="2B57254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завод (Киев)</w:t>
            </w:r>
          </w:p>
          <w:p w14:paraId="493E9114"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0050762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Кожзавод им. Октяб. революции</w:t>
            </w:r>
          </w:p>
        </w:tc>
        <w:tc>
          <w:tcPr>
            <w:tcW w:w="0" w:type="auto"/>
            <w:tcBorders>
              <w:top w:val="outset" w:sz="6" w:space="0" w:color="auto"/>
              <w:left w:val="outset" w:sz="6" w:space="0" w:color="auto"/>
              <w:bottom w:val="outset" w:sz="6" w:space="0" w:color="auto"/>
              <w:right w:val="outset" w:sz="6" w:space="0" w:color="auto"/>
            </w:tcBorders>
            <w:hideMark/>
          </w:tcPr>
          <w:p w14:paraId="29D1470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Расп. СЭ № 5367сэ</w:t>
            </w:r>
          </w:p>
          <w:p w14:paraId="5C9EAC5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9/VIII - 41 г.</w:t>
            </w:r>
          </w:p>
        </w:tc>
      </w:tr>
      <w:tr w:rsidR="00643896" w:rsidRPr="00640820" w14:paraId="7927D440"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1F3B5D5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11.</w:t>
            </w:r>
          </w:p>
        </w:tc>
        <w:tc>
          <w:tcPr>
            <w:tcW w:w="0" w:type="auto"/>
            <w:gridSpan w:val="2"/>
            <w:tcBorders>
              <w:top w:val="outset" w:sz="6" w:space="0" w:color="auto"/>
              <w:left w:val="outset" w:sz="6" w:space="0" w:color="auto"/>
              <w:bottom w:val="outset" w:sz="6" w:space="0" w:color="auto"/>
              <w:right w:val="outset" w:sz="6" w:space="0" w:color="auto"/>
            </w:tcBorders>
            <w:hideMark/>
          </w:tcPr>
          <w:p w14:paraId="4377AFF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Картонная фабрика (Киев)</w:t>
            </w:r>
          </w:p>
          <w:p w14:paraId="61A556E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1F0428D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там же</w:t>
            </w:r>
          </w:p>
        </w:tc>
        <w:tc>
          <w:tcPr>
            <w:tcW w:w="0" w:type="auto"/>
            <w:tcBorders>
              <w:top w:val="outset" w:sz="6" w:space="0" w:color="auto"/>
              <w:left w:val="outset" w:sz="6" w:space="0" w:color="auto"/>
              <w:bottom w:val="outset" w:sz="6" w:space="0" w:color="auto"/>
              <w:right w:val="outset" w:sz="6" w:space="0" w:color="auto"/>
            </w:tcBorders>
            <w:hideMark/>
          </w:tcPr>
          <w:p w14:paraId="7D9FDE8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323B8B96"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08068FE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12.</w:t>
            </w:r>
          </w:p>
        </w:tc>
        <w:tc>
          <w:tcPr>
            <w:tcW w:w="0" w:type="auto"/>
            <w:gridSpan w:val="2"/>
            <w:tcBorders>
              <w:top w:val="outset" w:sz="6" w:space="0" w:color="auto"/>
              <w:left w:val="outset" w:sz="6" w:space="0" w:color="auto"/>
              <w:bottom w:val="outset" w:sz="6" w:space="0" w:color="auto"/>
              <w:right w:val="outset" w:sz="6" w:space="0" w:color="auto"/>
            </w:tcBorders>
            <w:hideMark/>
          </w:tcPr>
          <w:p w14:paraId="7ECBD6C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Колодочная</w:t>
            </w:r>
          </w:p>
          <w:p w14:paraId="6CFC6BA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ф-ка (Киев)</w:t>
            </w:r>
          </w:p>
          <w:p w14:paraId="2ABB0F8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654FA5D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там же</w:t>
            </w:r>
          </w:p>
        </w:tc>
        <w:tc>
          <w:tcPr>
            <w:tcW w:w="0" w:type="auto"/>
            <w:tcBorders>
              <w:top w:val="outset" w:sz="6" w:space="0" w:color="auto"/>
              <w:left w:val="outset" w:sz="6" w:space="0" w:color="auto"/>
              <w:bottom w:val="outset" w:sz="6" w:space="0" w:color="auto"/>
              <w:right w:val="outset" w:sz="6" w:space="0" w:color="auto"/>
            </w:tcBorders>
            <w:hideMark/>
          </w:tcPr>
          <w:p w14:paraId="3B9A870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6C71D88F"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3166C41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13.</w:t>
            </w:r>
          </w:p>
        </w:tc>
        <w:tc>
          <w:tcPr>
            <w:tcW w:w="0" w:type="auto"/>
            <w:gridSpan w:val="2"/>
            <w:tcBorders>
              <w:top w:val="outset" w:sz="6" w:space="0" w:color="auto"/>
              <w:left w:val="outset" w:sz="6" w:space="0" w:color="auto"/>
              <w:bottom w:val="outset" w:sz="6" w:space="0" w:color="auto"/>
              <w:right w:val="outset" w:sz="6" w:space="0" w:color="auto"/>
            </w:tcBorders>
            <w:hideMark/>
          </w:tcPr>
          <w:p w14:paraId="4E7EAFCE"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Каблучная ф-ка (Киев)</w:t>
            </w:r>
          </w:p>
        </w:tc>
        <w:tc>
          <w:tcPr>
            <w:tcW w:w="0" w:type="auto"/>
            <w:tcBorders>
              <w:top w:val="outset" w:sz="6" w:space="0" w:color="auto"/>
              <w:left w:val="outset" w:sz="6" w:space="0" w:color="auto"/>
              <w:bottom w:val="outset" w:sz="6" w:space="0" w:color="auto"/>
              <w:right w:val="outset" w:sz="6" w:space="0" w:color="auto"/>
            </w:tcBorders>
            <w:hideMark/>
          </w:tcPr>
          <w:p w14:paraId="6D2B43CE"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там же</w:t>
            </w:r>
          </w:p>
        </w:tc>
        <w:tc>
          <w:tcPr>
            <w:tcW w:w="0" w:type="auto"/>
            <w:tcBorders>
              <w:top w:val="outset" w:sz="6" w:space="0" w:color="auto"/>
              <w:left w:val="outset" w:sz="6" w:space="0" w:color="auto"/>
              <w:bottom w:val="outset" w:sz="6" w:space="0" w:color="auto"/>
              <w:right w:val="outset" w:sz="6" w:space="0" w:color="auto"/>
            </w:tcBorders>
            <w:hideMark/>
          </w:tcPr>
          <w:p w14:paraId="2FD52B1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p w14:paraId="1FE34243"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lastRenderedPageBreak/>
              <w:t> </w:t>
            </w:r>
          </w:p>
        </w:tc>
      </w:tr>
      <w:tr w:rsidR="00643896" w:rsidRPr="00640820" w14:paraId="54E9A686"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668DC61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lastRenderedPageBreak/>
              <w:t>14.</w:t>
            </w:r>
          </w:p>
        </w:tc>
        <w:tc>
          <w:tcPr>
            <w:tcW w:w="0" w:type="auto"/>
            <w:gridSpan w:val="2"/>
            <w:tcBorders>
              <w:top w:val="outset" w:sz="6" w:space="0" w:color="auto"/>
              <w:left w:val="outset" w:sz="6" w:space="0" w:color="auto"/>
              <w:bottom w:val="outset" w:sz="6" w:space="0" w:color="auto"/>
              <w:right w:val="outset" w:sz="6" w:space="0" w:color="auto"/>
            </w:tcBorders>
            <w:hideMark/>
          </w:tcPr>
          <w:p w14:paraId="67F4EF44"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Завод кожзаменителя (Дарница)</w:t>
            </w:r>
          </w:p>
          <w:p w14:paraId="3A8BE32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2396857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комбинат "Искож"</w:t>
            </w:r>
          </w:p>
        </w:tc>
        <w:tc>
          <w:tcPr>
            <w:tcW w:w="0" w:type="auto"/>
            <w:tcBorders>
              <w:top w:val="outset" w:sz="6" w:space="0" w:color="auto"/>
              <w:left w:val="outset" w:sz="6" w:space="0" w:color="auto"/>
              <w:bottom w:val="outset" w:sz="6" w:space="0" w:color="auto"/>
              <w:right w:val="outset" w:sz="6" w:space="0" w:color="auto"/>
            </w:tcBorders>
            <w:hideMark/>
          </w:tcPr>
          <w:p w14:paraId="608B23C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3E265C84"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22A632D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15.</w:t>
            </w:r>
          </w:p>
        </w:tc>
        <w:tc>
          <w:tcPr>
            <w:tcW w:w="0" w:type="auto"/>
            <w:gridSpan w:val="2"/>
            <w:tcBorders>
              <w:top w:val="outset" w:sz="6" w:space="0" w:color="auto"/>
              <w:left w:val="outset" w:sz="6" w:space="0" w:color="auto"/>
              <w:bottom w:val="outset" w:sz="6" w:space="0" w:color="auto"/>
              <w:right w:val="outset" w:sz="6" w:space="0" w:color="auto"/>
            </w:tcBorders>
            <w:hideMark/>
          </w:tcPr>
          <w:p w14:paraId="5CF9BCA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Фабрика Кожсуррогат</w:t>
            </w:r>
          </w:p>
          <w:p w14:paraId="73C7E66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(Одесса)</w:t>
            </w:r>
          </w:p>
        </w:tc>
        <w:tc>
          <w:tcPr>
            <w:tcW w:w="0" w:type="auto"/>
            <w:tcBorders>
              <w:top w:val="outset" w:sz="6" w:space="0" w:color="auto"/>
              <w:left w:val="outset" w:sz="6" w:space="0" w:color="auto"/>
              <w:bottom w:val="outset" w:sz="6" w:space="0" w:color="auto"/>
              <w:right w:val="outset" w:sz="6" w:space="0" w:color="auto"/>
            </w:tcBorders>
            <w:hideMark/>
          </w:tcPr>
          <w:p w14:paraId="56DEE80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там же</w:t>
            </w:r>
          </w:p>
          <w:p w14:paraId="4078B3C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p w14:paraId="7194D11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7525973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35D1EBD2"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60B7F77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16.</w:t>
            </w:r>
          </w:p>
        </w:tc>
        <w:tc>
          <w:tcPr>
            <w:tcW w:w="0" w:type="auto"/>
            <w:gridSpan w:val="2"/>
            <w:tcBorders>
              <w:top w:val="outset" w:sz="6" w:space="0" w:color="auto"/>
              <w:left w:val="outset" w:sz="6" w:space="0" w:color="auto"/>
              <w:bottom w:val="outset" w:sz="6" w:space="0" w:color="auto"/>
              <w:right w:val="outset" w:sz="6" w:space="0" w:color="auto"/>
            </w:tcBorders>
            <w:hideMark/>
          </w:tcPr>
          <w:p w14:paraId="0C9D5CF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Нижне-Днепровская бумфабрика</w:t>
            </w:r>
          </w:p>
        </w:tc>
        <w:tc>
          <w:tcPr>
            <w:tcW w:w="0" w:type="auto"/>
            <w:tcBorders>
              <w:top w:val="outset" w:sz="6" w:space="0" w:color="auto"/>
              <w:left w:val="outset" w:sz="6" w:space="0" w:color="auto"/>
              <w:bottom w:val="outset" w:sz="6" w:space="0" w:color="auto"/>
              <w:right w:val="outset" w:sz="6" w:space="0" w:color="auto"/>
            </w:tcBorders>
            <w:hideMark/>
          </w:tcPr>
          <w:p w14:paraId="0C03FCD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Кордяжскаябумфабрика Зуевского района</w:t>
            </w:r>
          </w:p>
        </w:tc>
        <w:tc>
          <w:tcPr>
            <w:tcW w:w="0" w:type="auto"/>
            <w:tcBorders>
              <w:top w:val="outset" w:sz="6" w:space="0" w:color="auto"/>
              <w:left w:val="outset" w:sz="6" w:space="0" w:color="auto"/>
              <w:bottom w:val="outset" w:sz="6" w:space="0" w:color="auto"/>
              <w:right w:val="outset" w:sz="6" w:space="0" w:color="auto"/>
            </w:tcBorders>
            <w:hideMark/>
          </w:tcPr>
          <w:p w14:paraId="1007BC2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Расп. СЭ № 5467сэ</w:t>
            </w:r>
          </w:p>
          <w:p w14:paraId="13C98A7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9/VIII - 41 г.</w:t>
            </w:r>
          </w:p>
        </w:tc>
      </w:tr>
      <w:tr w:rsidR="00643896" w:rsidRPr="00640820" w14:paraId="1B87076F"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5150A30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17.</w:t>
            </w:r>
          </w:p>
        </w:tc>
        <w:tc>
          <w:tcPr>
            <w:tcW w:w="0" w:type="auto"/>
            <w:gridSpan w:val="2"/>
            <w:tcBorders>
              <w:top w:val="outset" w:sz="6" w:space="0" w:color="auto"/>
              <w:left w:val="outset" w:sz="6" w:space="0" w:color="auto"/>
              <w:bottom w:val="outset" w:sz="6" w:space="0" w:color="auto"/>
              <w:right w:val="outset" w:sz="6" w:space="0" w:color="auto"/>
            </w:tcBorders>
            <w:hideMark/>
          </w:tcPr>
          <w:p w14:paraId="1D8BA8F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Поддорский льнозавод</w:t>
            </w:r>
          </w:p>
        </w:tc>
        <w:tc>
          <w:tcPr>
            <w:tcW w:w="0" w:type="auto"/>
            <w:tcBorders>
              <w:top w:val="outset" w:sz="6" w:space="0" w:color="auto"/>
              <w:left w:val="outset" w:sz="6" w:space="0" w:color="auto"/>
              <w:bottom w:val="outset" w:sz="6" w:space="0" w:color="auto"/>
              <w:right w:val="outset" w:sz="6" w:space="0" w:color="auto"/>
            </w:tcBorders>
            <w:hideMark/>
          </w:tcPr>
          <w:p w14:paraId="11DE395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Фаленский район</w:t>
            </w:r>
          </w:p>
        </w:tc>
        <w:tc>
          <w:tcPr>
            <w:tcW w:w="0" w:type="auto"/>
            <w:tcBorders>
              <w:top w:val="outset" w:sz="6" w:space="0" w:color="auto"/>
              <w:left w:val="outset" w:sz="6" w:space="0" w:color="auto"/>
              <w:bottom w:val="outset" w:sz="6" w:space="0" w:color="auto"/>
              <w:right w:val="outset" w:sz="6" w:space="0" w:color="auto"/>
            </w:tcBorders>
            <w:hideMark/>
          </w:tcPr>
          <w:p w14:paraId="154A932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Расп. СЭ № 5328сэ</w:t>
            </w:r>
          </w:p>
          <w:p w14:paraId="68FB0844"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7/VIII - 41 г.</w:t>
            </w:r>
          </w:p>
          <w:p w14:paraId="01790A2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r>
      <w:tr w:rsidR="00643896" w:rsidRPr="00640820" w14:paraId="72CCACC7"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2634E693"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18.</w:t>
            </w:r>
          </w:p>
        </w:tc>
        <w:tc>
          <w:tcPr>
            <w:tcW w:w="0" w:type="auto"/>
            <w:gridSpan w:val="2"/>
            <w:tcBorders>
              <w:top w:val="outset" w:sz="6" w:space="0" w:color="auto"/>
              <w:left w:val="outset" w:sz="6" w:space="0" w:color="auto"/>
              <w:bottom w:val="outset" w:sz="6" w:space="0" w:color="auto"/>
              <w:right w:val="outset" w:sz="6" w:space="0" w:color="auto"/>
            </w:tcBorders>
            <w:hideMark/>
          </w:tcPr>
          <w:p w14:paraId="567E4BB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Скугровский льнозавод</w:t>
            </w:r>
          </w:p>
          <w:p w14:paraId="462A7C8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66F9656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Шабалинский район</w:t>
            </w:r>
          </w:p>
        </w:tc>
        <w:tc>
          <w:tcPr>
            <w:tcW w:w="0" w:type="auto"/>
            <w:tcBorders>
              <w:top w:val="outset" w:sz="6" w:space="0" w:color="auto"/>
              <w:left w:val="outset" w:sz="6" w:space="0" w:color="auto"/>
              <w:bottom w:val="outset" w:sz="6" w:space="0" w:color="auto"/>
              <w:right w:val="outset" w:sz="6" w:space="0" w:color="auto"/>
            </w:tcBorders>
            <w:hideMark/>
          </w:tcPr>
          <w:p w14:paraId="08B3BFA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0AAF9032"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310D4E3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19.</w:t>
            </w:r>
          </w:p>
        </w:tc>
        <w:tc>
          <w:tcPr>
            <w:tcW w:w="0" w:type="auto"/>
            <w:gridSpan w:val="2"/>
            <w:tcBorders>
              <w:top w:val="outset" w:sz="6" w:space="0" w:color="auto"/>
              <w:left w:val="outset" w:sz="6" w:space="0" w:color="auto"/>
              <w:bottom w:val="outset" w:sz="6" w:space="0" w:color="auto"/>
              <w:right w:val="outset" w:sz="6" w:space="0" w:color="auto"/>
            </w:tcBorders>
            <w:hideMark/>
          </w:tcPr>
          <w:p w14:paraId="667DB06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Глинковский льнозавод</w:t>
            </w:r>
          </w:p>
        </w:tc>
        <w:tc>
          <w:tcPr>
            <w:tcW w:w="0" w:type="auto"/>
            <w:tcBorders>
              <w:top w:val="outset" w:sz="6" w:space="0" w:color="auto"/>
              <w:left w:val="outset" w:sz="6" w:space="0" w:color="auto"/>
              <w:bottom w:val="outset" w:sz="6" w:space="0" w:color="auto"/>
              <w:right w:val="outset" w:sz="6" w:space="0" w:color="auto"/>
            </w:tcBorders>
            <w:hideMark/>
          </w:tcPr>
          <w:p w14:paraId="7EE529E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Зуевский район</w:t>
            </w:r>
          </w:p>
          <w:p w14:paraId="3885252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66EF702E"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6B6D695D"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0C3B8ED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20.</w:t>
            </w:r>
          </w:p>
        </w:tc>
        <w:tc>
          <w:tcPr>
            <w:tcW w:w="0" w:type="auto"/>
            <w:gridSpan w:val="2"/>
            <w:tcBorders>
              <w:top w:val="outset" w:sz="6" w:space="0" w:color="auto"/>
              <w:left w:val="outset" w:sz="6" w:space="0" w:color="auto"/>
              <w:bottom w:val="outset" w:sz="6" w:space="0" w:color="auto"/>
              <w:right w:val="outset" w:sz="6" w:space="0" w:color="auto"/>
            </w:tcBorders>
            <w:hideMark/>
          </w:tcPr>
          <w:p w14:paraId="63E32B7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Тесовский льнозавод</w:t>
            </w:r>
          </w:p>
        </w:tc>
        <w:tc>
          <w:tcPr>
            <w:tcW w:w="0" w:type="auto"/>
            <w:tcBorders>
              <w:top w:val="outset" w:sz="6" w:space="0" w:color="auto"/>
              <w:left w:val="outset" w:sz="6" w:space="0" w:color="auto"/>
              <w:bottom w:val="outset" w:sz="6" w:space="0" w:color="auto"/>
              <w:right w:val="outset" w:sz="6" w:space="0" w:color="auto"/>
            </w:tcBorders>
            <w:hideMark/>
          </w:tcPr>
          <w:p w14:paraId="1D08376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Верховинский район</w:t>
            </w:r>
          </w:p>
          <w:p w14:paraId="5F42077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0326328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w:t>
            </w:r>
          </w:p>
        </w:tc>
      </w:tr>
      <w:tr w:rsidR="00643896" w:rsidRPr="00640820" w14:paraId="75064736"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5F700C7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21.</w:t>
            </w:r>
          </w:p>
        </w:tc>
        <w:tc>
          <w:tcPr>
            <w:tcW w:w="0" w:type="auto"/>
            <w:gridSpan w:val="2"/>
            <w:tcBorders>
              <w:top w:val="outset" w:sz="6" w:space="0" w:color="auto"/>
              <w:left w:val="outset" w:sz="6" w:space="0" w:color="auto"/>
              <w:bottom w:val="outset" w:sz="6" w:space="0" w:color="auto"/>
              <w:right w:val="outset" w:sz="6" w:space="0" w:color="auto"/>
            </w:tcBorders>
            <w:hideMark/>
          </w:tcPr>
          <w:p w14:paraId="689A6553"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Завод деревообрабатываю-щих станков</w:t>
            </w:r>
          </w:p>
          <w:p w14:paraId="062E214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 Днепропетровск)</w:t>
            </w:r>
          </w:p>
          <w:p w14:paraId="32BF91D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7A4B826E"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Завод "Кировский металлист"</w:t>
            </w:r>
          </w:p>
        </w:tc>
        <w:tc>
          <w:tcPr>
            <w:tcW w:w="0" w:type="auto"/>
            <w:tcBorders>
              <w:top w:val="outset" w:sz="6" w:space="0" w:color="auto"/>
              <w:left w:val="outset" w:sz="6" w:space="0" w:color="auto"/>
              <w:bottom w:val="outset" w:sz="6" w:space="0" w:color="auto"/>
              <w:right w:val="outset" w:sz="6" w:space="0" w:color="auto"/>
            </w:tcBorders>
            <w:hideMark/>
          </w:tcPr>
          <w:p w14:paraId="3DD7AA2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Расп. СЭ № 5401сэ</w:t>
            </w:r>
          </w:p>
          <w:p w14:paraId="15A84FB3"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12/VIII - 41 г.</w:t>
            </w:r>
          </w:p>
        </w:tc>
      </w:tr>
      <w:tr w:rsidR="00643896" w:rsidRPr="00640820" w14:paraId="394C93D3"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0CE6E3D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22.</w:t>
            </w:r>
          </w:p>
        </w:tc>
        <w:tc>
          <w:tcPr>
            <w:tcW w:w="0" w:type="auto"/>
            <w:gridSpan w:val="2"/>
            <w:tcBorders>
              <w:top w:val="outset" w:sz="6" w:space="0" w:color="auto"/>
              <w:left w:val="outset" w:sz="6" w:space="0" w:color="auto"/>
              <w:bottom w:val="outset" w:sz="6" w:space="0" w:color="auto"/>
              <w:right w:val="outset" w:sz="6" w:space="0" w:color="auto"/>
            </w:tcBorders>
            <w:hideMark/>
          </w:tcPr>
          <w:p w14:paraId="10C0A23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Катеростроительный завод № 5 (Ленинград)</w:t>
            </w:r>
          </w:p>
        </w:tc>
        <w:tc>
          <w:tcPr>
            <w:tcW w:w="0" w:type="auto"/>
            <w:tcBorders>
              <w:top w:val="outset" w:sz="6" w:space="0" w:color="auto"/>
              <w:left w:val="outset" w:sz="6" w:space="0" w:color="auto"/>
              <w:bottom w:val="outset" w:sz="6" w:space="0" w:color="auto"/>
              <w:right w:val="outset" w:sz="6" w:space="0" w:color="auto"/>
            </w:tcBorders>
            <w:hideMark/>
          </w:tcPr>
          <w:p w14:paraId="491C581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Сосновка,</w:t>
            </w:r>
          </w:p>
          <w:p w14:paraId="5F6C866E"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судоверфь</w:t>
            </w:r>
          </w:p>
        </w:tc>
        <w:tc>
          <w:tcPr>
            <w:tcW w:w="0" w:type="auto"/>
            <w:tcBorders>
              <w:top w:val="outset" w:sz="6" w:space="0" w:color="auto"/>
              <w:left w:val="outset" w:sz="6" w:space="0" w:color="auto"/>
              <w:bottom w:val="outset" w:sz="6" w:space="0" w:color="auto"/>
              <w:right w:val="outset" w:sz="6" w:space="0" w:color="auto"/>
            </w:tcBorders>
            <w:hideMark/>
          </w:tcPr>
          <w:p w14:paraId="616E1183"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Пост. СЭ № сэ63сс от 17/VII - 41 г.</w:t>
            </w:r>
          </w:p>
          <w:p w14:paraId="56A2A97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r>
      <w:tr w:rsidR="00643896" w:rsidRPr="00640820" w14:paraId="5DC612C6"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49CFCBB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23.</w:t>
            </w:r>
          </w:p>
        </w:tc>
        <w:tc>
          <w:tcPr>
            <w:tcW w:w="0" w:type="auto"/>
            <w:gridSpan w:val="2"/>
            <w:tcBorders>
              <w:top w:val="outset" w:sz="6" w:space="0" w:color="auto"/>
              <w:left w:val="outset" w:sz="6" w:space="0" w:color="auto"/>
              <w:bottom w:val="outset" w:sz="6" w:space="0" w:color="auto"/>
              <w:right w:val="outset" w:sz="6" w:space="0" w:color="auto"/>
            </w:tcBorders>
            <w:hideMark/>
          </w:tcPr>
          <w:p w14:paraId="43C6D89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Петрозаводская лыжная фабрика</w:t>
            </w:r>
          </w:p>
          <w:p w14:paraId="3E6FD9A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63FE538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Древкомбинат НКЛ</w:t>
            </w:r>
          </w:p>
        </w:tc>
        <w:tc>
          <w:tcPr>
            <w:tcW w:w="0" w:type="auto"/>
            <w:tcBorders>
              <w:top w:val="outset" w:sz="6" w:space="0" w:color="auto"/>
              <w:left w:val="outset" w:sz="6" w:space="0" w:color="auto"/>
              <w:bottom w:val="outset" w:sz="6" w:space="0" w:color="auto"/>
              <w:right w:val="outset" w:sz="6" w:space="0" w:color="auto"/>
            </w:tcBorders>
            <w:hideMark/>
          </w:tcPr>
          <w:p w14:paraId="2ED75D2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Расп. СЭ № 5456сэ</w:t>
            </w:r>
          </w:p>
          <w:p w14:paraId="171D655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15/VIII - 41 г.</w:t>
            </w:r>
          </w:p>
        </w:tc>
      </w:tr>
      <w:tr w:rsidR="00643896" w:rsidRPr="00640820" w14:paraId="1059E120"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12CB110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24.</w:t>
            </w:r>
          </w:p>
        </w:tc>
        <w:tc>
          <w:tcPr>
            <w:tcW w:w="0" w:type="auto"/>
            <w:gridSpan w:val="2"/>
            <w:tcBorders>
              <w:top w:val="outset" w:sz="6" w:space="0" w:color="auto"/>
              <w:left w:val="outset" w:sz="6" w:space="0" w:color="auto"/>
              <w:bottom w:val="outset" w:sz="6" w:space="0" w:color="auto"/>
              <w:right w:val="outset" w:sz="6" w:space="0" w:color="auto"/>
            </w:tcBorders>
            <w:hideMark/>
          </w:tcPr>
          <w:p w14:paraId="1359A80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Завод № 77 НКВ</w:t>
            </w:r>
          </w:p>
        </w:tc>
        <w:tc>
          <w:tcPr>
            <w:tcW w:w="0" w:type="auto"/>
            <w:tcBorders>
              <w:top w:val="outset" w:sz="6" w:space="0" w:color="auto"/>
              <w:left w:val="outset" w:sz="6" w:space="0" w:color="auto"/>
              <w:bottom w:val="outset" w:sz="6" w:space="0" w:color="auto"/>
              <w:right w:val="outset" w:sz="6" w:space="0" w:color="auto"/>
            </w:tcBorders>
            <w:hideMark/>
          </w:tcPr>
          <w:p w14:paraId="719067B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Комбинат "Искож"</w:t>
            </w:r>
          </w:p>
        </w:tc>
        <w:tc>
          <w:tcPr>
            <w:tcW w:w="0" w:type="auto"/>
            <w:tcBorders>
              <w:top w:val="outset" w:sz="6" w:space="0" w:color="auto"/>
              <w:left w:val="outset" w:sz="6" w:space="0" w:color="auto"/>
              <w:bottom w:val="outset" w:sz="6" w:space="0" w:color="auto"/>
              <w:right w:val="outset" w:sz="6" w:space="0" w:color="auto"/>
            </w:tcBorders>
            <w:hideMark/>
          </w:tcPr>
          <w:p w14:paraId="4BE6C5E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Пост. СНК СССР</w:t>
            </w:r>
          </w:p>
          <w:p w14:paraId="6F42BEE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и ЦК ВКП(б)</w:t>
            </w:r>
          </w:p>
          <w:p w14:paraId="6EA18BA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1807-807сс</w:t>
            </w:r>
          </w:p>
          <w:p w14:paraId="4677CF0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2/VII - 41 г.</w:t>
            </w:r>
          </w:p>
          <w:p w14:paraId="7D4D0F8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r>
      <w:tr w:rsidR="00643896" w:rsidRPr="00640820" w14:paraId="77C3132A"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631E40E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25.</w:t>
            </w:r>
          </w:p>
        </w:tc>
        <w:tc>
          <w:tcPr>
            <w:tcW w:w="0" w:type="auto"/>
            <w:gridSpan w:val="2"/>
            <w:tcBorders>
              <w:top w:val="outset" w:sz="6" w:space="0" w:color="auto"/>
              <w:left w:val="outset" w:sz="6" w:space="0" w:color="auto"/>
              <w:bottom w:val="outset" w:sz="6" w:space="0" w:color="auto"/>
              <w:right w:val="outset" w:sz="6" w:space="0" w:color="auto"/>
            </w:tcBorders>
            <w:hideMark/>
          </w:tcPr>
          <w:p w14:paraId="1AAC7AD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Ржевская льночесальная фабрика Наркомтекстильпрома СССР</w:t>
            </w:r>
          </w:p>
        </w:tc>
        <w:tc>
          <w:tcPr>
            <w:tcW w:w="0" w:type="auto"/>
            <w:tcBorders>
              <w:top w:val="outset" w:sz="6" w:space="0" w:color="auto"/>
              <w:left w:val="outset" w:sz="6" w:space="0" w:color="auto"/>
              <w:bottom w:val="outset" w:sz="6" w:space="0" w:color="auto"/>
              <w:right w:val="outset" w:sz="6" w:space="0" w:color="auto"/>
            </w:tcBorders>
            <w:hideMark/>
          </w:tcPr>
          <w:p w14:paraId="65F1684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На склад</w:t>
            </w:r>
          </w:p>
          <w:p w14:paraId="793AC51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Кировского льнотреста</w:t>
            </w:r>
          </w:p>
          <w:p w14:paraId="5EA7AD8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(ст. Котельнич)</w:t>
            </w:r>
          </w:p>
          <w:p w14:paraId="61B96B2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2150F08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Расп. СЭ</w:t>
            </w:r>
          </w:p>
          <w:p w14:paraId="3928C68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19/VII - 41 г.</w:t>
            </w:r>
          </w:p>
          <w:p w14:paraId="6C54440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5499 сэ</w:t>
            </w:r>
          </w:p>
        </w:tc>
      </w:tr>
      <w:tr w:rsidR="00643896" w:rsidRPr="00640820" w14:paraId="7FBCCB34"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11C322E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26.</w:t>
            </w:r>
          </w:p>
        </w:tc>
        <w:tc>
          <w:tcPr>
            <w:tcW w:w="0" w:type="auto"/>
            <w:gridSpan w:val="2"/>
            <w:tcBorders>
              <w:top w:val="outset" w:sz="6" w:space="0" w:color="auto"/>
              <w:left w:val="outset" w:sz="6" w:space="0" w:color="auto"/>
              <w:bottom w:val="outset" w:sz="6" w:space="0" w:color="auto"/>
              <w:right w:val="outset" w:sz="6" w:space="0" w:color="auto"/>
            </w:tcBorders>
            <w:hideMark/>
          </w:tcPr>
          <w:p w14:paraId="061DC58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Кожевенный завод</w:t>
            </w:r>
          </w:p>
          <w:p w14:paraId="3F2F2023"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имени Радищева</w:t>
            </w:r>
          </w:p>
          <w:p w14:paraId="0DF0A7A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(Ленинград)</w:t>
            </w:r>
          </w:p>
        </w:tc>
        <w:tc>
          <w:tcPr>
            <w:tcW w:w="0" w:type="auto"/>
            <w:tcBorders>
              <w:top w:val="outset" w:sz="6" w:space="0" w:color="auto"/>
              <w:left w:val="outset" w:sz="6" w:space="0" w:color="auto"/>
              <w:bottom w:val="outset" w:sz="6" w:space="0" w:color="auto"/>
              <w:right w:val="outset" w:sz="6" w:space="0" w:color="auto"/>
            </w:tcBorders>
            <w:hideMark/>
          </w:tcPr>
          <w:p w14:paraId="645B4E7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bookmarkStart w:id="29" w:name="YANDEX_0"/>
            <w:bookmarkEnd w:id="29"/>
            <w:r w:rsidRPr="00640820">
              <w:rPr>
                <w:rFonts w:ascii="Times New Roman" w:eastAsia="Times New Roman" w:hAnsi="Times New Roman"/>
                <w:color w:val="000000" w:themeColor="text1"/>
                <w:sz w:val="16"/>
                <w:szCs w:val="16"/>
                <w:lang w:eastAsia="ru-RU"/>
              </w:rPr>
              <w:t>  Кожкомбинат  имени Ленина</w:t>
            </w:r>
          </w:p>
        </w:tc>
        <w:tc>
          <w:tcPr>
            <w:tcW w:w="0" w:type="auto"/>
            <w:tcBorders>
              <w:top w:val="outset" w:sz="6" w:space="0" w:color="auto"/>
              <w:left w:val="outset" w:sz="6" w:space="0" w:color="auto"/>
              <w:bottom w:val="outset" w:sz="6" w:space="0" w:color="auto"/>
              <w:right w:val="outset" w:sz="6" w:space="0" w:color="auto"/>
            </w:tcBorders>
            <w:hideMark/>
          </w:tcPr>
          <w:p w14:paraId="1DDECF14"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Расп. СЭ</w:t>
            </w:r>
          </w:p>
          <w:p w14:paraId="07BAF88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16/VIII - 41 г.</w:t>
            </w:r>
          </w:p>
          <w:p w14:paraId="2ADDFB3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5575-сэ</w:t>
            </w:r>
          </w:p>
          <w:p w14:paraId="20FC079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r>
      <w:tr w:rsidR="00643896" w:rsidRPr="00640820" w14:paraId="43B23CC1"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08CC7A7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27.</w:t>
            </w:r>
          </w:p>
        </w:tc>
        <w:tc>
          <w:tcPr>
            <w:tcW w:w="0" w:type="auto"/>
            <w:gridSpan w:val="2"/>
            <w:tcBorders>
              <w:top w:val="outset" w:sz="6" w:space="0" w:color="auto"/>
              <w:left w:val="outset" w:sz="6" w:space="0" w:color="auto"/>
              <w:bottom w:val="outset" w:sz="6" w:space="0" w:color="auto"/>
              <w:right w:val="outset" w:sz="6" w:space="0" w:color="auto"/>
            </w:tcBorders>
            <w:hideMark/>
          </w:tcPr>
          <w:p w14:paraId="2781C79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Кожевенный завод</w:t>
            </w:r>
          </w:p>
          <w:p w14:paraId="38D1FE5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имени Коминтерна</w:t>
            </w:r>
          </w:p>
          <w:p w14:paraId="6B16077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(Ленинград)</w:t>
            </w:r>
          </w:p>
        </w:tc>
        <w:tc>
          <w:tcPr>
            <w:tcW w:w="0" w:type="auto"/>
            <w:tcBorders>
              <w:top w:val="outset" w:sz="6" w:space="0" w:color="auto"/>
              <w:left w:val="outset" w:sz="6" w:space="0" w:color="auto"/>
              <w:bottom w:val="outset" w:sz="6" w:space="0" w:color="auto"/>
              <w:right w:val="outset" w:sz="6" w:space="0" w:color="auto"/>
            </w:tcBorders>
            <w:hideMark/>
          </w:tcPr>
          <w:p w14:paraId="47298094"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Кожзавод имени</w:t>
            </w:r>
          </w:p>
          <w:p w14:paraId="1E367C8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Октябрьской революции</w:t>
            </w:r>
          </w:p>
        </w:tc>
        <w:tc>
          <w:tcPr>
            <w:tcW w:w="0" w:type="auto"/>
            <w:tcBorders>
              <w:top w:val="outset" w:sz="6" w:space="0" w:color="auto"/>
              <w:left w:val="outset" w:sz="6" w:space="0" w:color="auto"/>
              <w:bottom w:val="outset" w:sz="6" w:space="0" w:color="auto"/>
              <w:right w:val="outset" w:sz="6" w:space="0" w:color="auto"/>
            </w:tcBorders>
            <w:hideMark/>
          </w:tcPr>
          <w:p w14:paraId="2B53AA1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тоже</w:t>
            </w:r>
          </w:p>
        </w:tc>
      </w:tr>
      <w:tr w:rsidR="00643896" w:rsidRPr="00640820" w14:paraId="30598225"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27D19B9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28.</w:t>
            </w:r>
          </w:p>
        </w:tc>
        <w:tc>
          <w:tcPr>
            <w:tcW w:w="0" w:type="auto"/>
            <w:gridSpan w:val="2"/>
            <w:tcBorders>
              <w:top w:val="outset" w:sz="6" w:space="0" w:color="auto"/>
              <w:left w:val="outset" w:sz="6" w:space="0" w:color="auto"/>
              <w:bottom w:val="outset" w:sz="6" w:space="0" w:color="auto"/>
              <w:right w:val="outset" w:sz="6" w:space="0" w:color="auto"/>
            </w:tcBorders>
            <w:hideMark/>
          </w:tcPr>
          <w:p w14:paraId="2F4BDEA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Кондопожскийбумкомбинат</w:t>
            </w:r>
          </w:p>
          <w:p w14:paraId="0CA8A55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(Карело-Финская ССР)</w:t>
            </w:r>
          </w:p>
        </w:tc>
        <w:tc>
          <w:tcPr>
            <w:tcW w:w="0" w:type="auto"/>
            <w:tcBorders>
              <w:top w:val="outset" w:sz="6" w:space="0" w:color="auto"/>
              <w:left w:val="outset" w:sz="6" w:space="0" w:color="auto"/>
              <w:bottom w:val="outset" w:sz="6" w:space="0" w:color="auto"/>
              <w:right w:val="outset" w:sz="6" w:space="0" w:color="auto"/>
            </w:tcBorders>
            <w:hideMark/>
          </w:tcPr>
          <w:p w14:paraId="3CDC1F8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Стр-во Чепецкого</w:t>
            </w:r>
          </w:p>
          <w:p w14:paraId="63B2298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бумкомбината</w:t>
            </w:r>
          </w:p>
        </w:tc>
        <w:tc>
          <w:tcPr>
            <w:tcW w:w="0" w:type="auto"/>
            <w:tcBorders>
              <w:top w:val="outset" w:sz="6" w:space="0" w:color="auto"/>
              <w:left w:val="outset" w:sz="6" w:space="0" w:color="auto"/>
              <w:bottom w:val="outset" w:sz="6" w:space="0" w:color="auto"/>
              <w:right w:val="outset" w:sz="6" w:space="0" w:color="auto"/>
            </w:tcBorders>
            <w:hideMark/>
          </w:tcPr>
          <w:p w14:paraId="44EEFAD3"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Расп. СЭ</w:t>
            </w:r>
          </w:p>
          <w:p w14:paraId="1F195D0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20/VIII - 41 г.</w:t>
            </w:r>
          </w:p>
          <w:p w14:paraId="2B11958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5632сэ</w:t>
            </w:r>
          </w:p>
          <w:p w14:paraId="5CA13AC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r>
      <w:tr w:rsidR="00643896" w:rsidRPr="00640820" w14:paraId="17006AE4"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74E29DB4"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29.</w:t>
            </w:r>
          </w:p>
        </w:tc>
        <w:tc>
          <w:tcPr>
            <w:tcW w:w="0" w:type="auto"/>
            <w:gridSpan w:val="2"/>
            <w:tcBorders>
              <w:top w:val="outset" w:sz="6" w:space="0" w:color="auto"/>
              <w:left w:val="outset" w:sz="6" w:space="0" w:color="auto"/>
              <w:bottom w:val="outset" w:sz="6" w:space="0" w:color="auto"/>
              <w:right w:val="outset" w:sz="6" w:space="0" w:color="auto"/>
            </w:tcBorders>
            <w:hideMark/>
          </w:tcPr>
          <w:p w14:paraId="34C9018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Сясьскийбумкомбинат</w:t>
            </w:r>
          </w:p>
          <w:p w14:paraId="1E4D14C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(Ленинградская область)</w:t>
            </w:r>
          </w:p>
        </w:tc>
        <w:tc>
          <w:tcPr>
            <w:tcW w:w="0" w:type="auto"/>
            <w:tcBorders>
              <w:top w:val="outset" w:sz="6" w:space="0" w:color="auto"/>
              <w:left w:val="outset" w:sz="6" w:space="0" w:color="auto"/>
              <w:bottom w:val="outset" w:sz="6" w:space="0" w:color="auto"/>
              <w:right w:val="outset" w:sz="6" w:space="0" w:color="auto"/>
            </w:tcBorders>
            <w:hideMark/>
          </w:tcPr>
          <w:p w14:paraId="0E22E39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там же</w:t>
            </w:r>
          </w:p>
        </w:tc>
        <w:tc>
          <w:tcPr>
            <w:tcW w:w="0" w:type="auto"/>
            <w:tcBorders>
              <w:top w:val="outset" w:sz="6" w:space="0" w:color="auto"/>
              <w:left w:val="outset" w:sz="6" w:space="0" w:color="auto"/>
              <w:bottom w:val="outset" w:sz="6" w:space="0" w:color="auto"/>
              <w:right w:val="outset" w:sz="6" w:space="0" w:color="auto"/>
            </w:tcBorders>
            <w:hideMark/>
          </w:tcPr>
          <w:p w14:paraId="6B830F9E"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Расп. СЭ</w:t>
            </w:r>
          </w:p>
          <w:p w14:paraId="1DFB1DD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20/VIII - 41 г.</w:t>
            </w:r>
          </w:p>
          <w:p w14:paraId="45B42A8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5539-сэ</w:t>
            </w:r>
          </w:p>
          <w:p w14:paraId="2BD14994"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r>
      <w:tr w:rsidR="00643896" w:rsidRPr="00640820" w14:paraId="366A966D"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0611622E"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30.</w:t>
            </w:r>
          </w:p>
        </w:tc>
        <w:tc>
          <w:tcPr>
            <w:tcW w:w="0" w:type="auto"/>
            <w:gridSpan w:val="2"/>
            <w:tcBorders>
              <w:top w:val="outset" w:sz="6" w:space="0" w:color="auto"/>
              <w:left w:val="outset" w:sz="6" w:space="0" w:color="auto"/>
              <w:bottom w:val="outset" w:sz="6" w:space="0" w:color="auto"/>
              <w:right w:val="outset" w:sz="6" w:space="0" w:color="auto"/>
            </w:tcBorders>
            <w:hideMark/>
          </w:tcPr>
          <w:p w14:paraId="63F03EC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Спичфабрика</w:t>
            </w:r>
          </w:p>
          <w:p w14:paraId="12A51763"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им. Ленина (Ленинградская область)</w:t>
            </w:r>
          </w:p>
          <w:p w14:paraId="627EE23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38B8589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Спичфабрика "Красная звезда"</w:t>
            </w:r>
          </w:p>
        </w:tc>
        <w:tc>
          <w:tcPr>
            <w:tcW w:w="0" w:type="auto"/>
            <w:tcBorders>
              <w:top w:val="outset" w:sz="6" w:space="0" w:color="auto"/>
              <w:left w:val="outset" w:sz="6" w:space="0" w:color="auto"/>
              <w:bottom w:val="outset" w:sz="6" w:space="0" w:color="auto"/>
              <w:right w:val="outset" w:sz="6" w:space="0" w:color="auto"/>
            </w:tcBorders>
            <w:hideMark/>
          </w:tcPr>
          <w:p w14:paraId="132BEDE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Расп. СЭ</w:t>
            </w:r>
          </w:p>
          <w:p w14:paraId="175193B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20/VIII - 41 г.</w:t>
            </w:r>
          </w:p>
          <w:p w14:paraId="2F9D08E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5538-сэ</w:t>
            </w:r>
          </w:p>
        </w:tc>
      </w:tr>
      <w:tr w:rsidR="00643896" w:rsidRPr="00640820" w14:paraId="423614FA"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3219A2A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31.</w:t>
            </w:r>
          </w:p>
        </w:tc>
        <w:tc>
          <w:tcPr>
            <w:tcW w:w="0" w:type="auto"/>
            <w:gridSpan w:val="2"/>
            <w:tcBorders>
              <w:top w:val="outset" w:sz="6" w:space="0" w:color="auto"/>
              <w:left w:val="outset" w:sz="6" w:space="0" w:color="auto"/>
              <w:bottom w:val="outset" w:sz="6" w:space="0" w:color="auto"/>
              <w:right w:val="outset" w:sz="6" w:space="0" w:color="auto"/>
            </w:tcBorders>
            <w:hideMark/>
          </w:tcPr>
          <w:p w14:paraId="1C8185F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Спичфабрика "Пролетарское знамя"</w:t>
            </w:r>
          </w:p>
          <w:p w14:paraId="2FFDD98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(ст. Чудово Октяб. ж/д)</w:t>
            </w:r>
          </w:p>
        </w:tc>
        <w:tc>
          <w:tcPr>
            <w:tcW w:w="0" w:type="auto"/>
            <w:tcBorders>
              <w:top w:val="outset" w:sz="6" w:space="0" w:color="auto"/>
              <w:left w:val="outset" w:sz="6" w:space="0" w:color="auto"/>
              <w:bottom w:val="outset" w:sz="6" w:space="0" w:color="auto"/>
              <w:right w:val="outset" w:sz="6" w:space="0" w:color="auto"/>
            </w:tcBorders>
            <w:hideMark/>
          </w:tcPr>
          <w:p w14:paraId="3890019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там же</w:t>
            </w:r>
          </w:p>
        </w:tc>
        <w:tc>
          <w:tcPr>
            <w:tcW w:w="0" w:type="auto"/>
            <w:tcBorders>
              <w:top w:val="outset" w:sz="6" w:space="0" w:color="auto"/>
              <w:left w:val="outset" w:sz="6" w:space="0" w:color="auto"/>
              <w:bottom w:val="outset" w:sz="6" w:space="0" w:color="auto"/>
              <w:right w:val="outset" w:sz="6" w:space="0" w:color="auto"/>
            </w:tcBorders>
            <w:hideMark/>
          </w:tcPr>
          <w:p w14:paraId="0799D20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Расп. СЭ</w:t>
            </w:r>
          </w:p>
          <w:p w14:paraId="331A232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20/VIII - 41 г.</w:t>
            </w:r>
          </w:p>
          <w:p w14:paraId="0CC3E1F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5538-сэ</w:t>
            </w:r>
          </w:p>
          <w:p w14:paraId="51BFB2A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r>
      <w:tr w:rsidR="00643896" w:rsidRPr="00640820" w14:paraId="2EEC4C61"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2FCF7FE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32.</w:t>
            </w:r>
          </w:p>
        </w:tc>
        <w:tc>
          <w:tcPr>
            <w:tcW w:w="0" w:type="auto"/>
            <w:gridSpan w:val="2"/>
            <w:tcBorders>
              <w:top w:val="outset" w:sz="6" w:space="0" w:color="auto"/>
              <w:left w:val="outset" w:sz="6" w:space="0" w:color="auto"/>
              <w:bottom w:val="outset" w:sz="6" w:space="0" w:color="auto"/>
              <w:right w:val="outset" w:sz="6" w:space="0" w:color="auto"/>
            </w:tcBorders>
            <w:hideMark/>
          </w:tcPr>
          <w:p w14:paraId="466AACE4"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Центральные механическ. мастерские (ст. Новозыбково Белорусской ж/д)</w:t>
            </w:r>
          </w:p>
          <w:p w14:paraId="057776D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531762B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там же</w:t>
            </w:r>
          </w:p>
        </w:tc>
        <w:tc>
          <w:tcPr>
            <w:tcW w:w="0" w:type="auto"/>
            <w:tcBorders>
              <w:top w:val="outset" w:sz="6" w:space="0" w:color="auto"/>
              <w:left w:val="outset" w:sz="6" w:space="0" w:color="auto"/>
              <w:bottom w:val="outset" w:sz="6" w:space="0" w:color="auto"/>
              <w:right w:val="outset" w:sz="6" w:space="0" w:color="auto"/>
            </w:tcBorders>
            <w:hideMark/>
          </w:tcPr>
          <w:p w14:paraId="4333A27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то же</w:t>
            </w:r>
          </w:p>
        </w:tc>
      </w:tr>
      <w:tr w:rsidR="00643896" w:rsidRPr="00640820" w14:paraId="1504C04B"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3A3AF1F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33.</w:t>
            </w:r>
          </w:p>
        </w:tc>
        <w:tc>
          <w:tcPr>
            <w:tcW w:w="0" w:type="auto"/>
            <w:gridSpan w:val="2"/>
            <w:tcBorders>
              <w:top w:val="outset" w:sz="6" w:space="0" w:color="auto"/>
              <w:left w:val="outset" w:sz="6" w:space="0" w:color="auto"/>
              <w:bottom w:val="outset" w:sz="6" w:space="0" w:color="auto"/>
              <w:right w:val="outset" w:sz="6" w:space="0" w:color="auto"/>
            </w:tcBorders>
            <w:hideMark/>
          </w:tcPr>
          <w:p w14:paraId="02616A93"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Трикотажная фабрика Обллегпрома</w:t>
            </w:r>
          </w:p>
          <w:p w14:paraId="6E4234B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 Кременчуг)</w:t>
            </w:r>
          </w:p>
        </w:tc>
        <w:tc>
          <w:tcPr>
            <w:tcW w:w="0" w:type="auto"/>
            <w:tcBorders>
              <w:top w:val="outset" w:sz="6" w:space="0" w:color="auto"/>
              <w:left w:val="outset" w:sz="6" w:space="0" w:color="auto"/>
              <w:bottom w:val="outset" w:sz="6" w:space="0" w:color="auto"/>
              <w:right w:val="outset" w:sz="6" w:space="0" w:color="auto"/>
            </w:tcBorders>
            <w:hideMark/>
          </w:tcPr>
          <w:p w14:paraId="7CED038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Трикотажная</w:t>
            </w:r>
          </w:p>
          <w:p w14:paraId="2BAC777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ф-ка</w:t>
            </w:r>
          </w:p>
          <w:p w14:paraId="126F864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Обллегпрома</w:t>
            </w:r>
          </w:p>
        </w:tc>
        <w:tc>
          <w:tcPr>
            <w:tcW w:w="0" w:type="auto"/>
            <w:tcBorders>
              <w:top w:val="outset" w:sz="6" w:space="0" w:color="auto"/>
              <w:left w:val="outset" w:sz="6" w:space="0" w:color="auto"/>
              <w:bottom w:val="outset" w:sz="6" w:space="0" w:color="auto"/>
              <w:right w:val="outset" w:sz="6" w:space="0" w:color="auto"/>
            </w:tcBorders>
            <w:hideMark/>
          </w:tcPr>
          <w:p w14:paraId="5B7EB27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Расп. СЭ</w:t>
            </w:r>
          </w:p>
          <w:p w14:paraId="2691A8A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25/VIII - 41 г.</w:t>
            </w:r>
          </w:p>
          <w:p w14:paraId="3CFF8FDE"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13656-сэ</w:t>
            </w:r>
          </w:p>
          <w:p w14:paraId="333F0DE4"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r>
      <w:tr w:rsidR="00643896" w:rsidRPr="00640820" w14:paraId="2034BFE5"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7251B644"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34.</w:t>
            </w:r>
          </w:p>
        </w:tc>
        <w:tc>
          <w:tcPr>
            <w:tcW w:w="0" w:type="auto"/>
            <w:gridSpan w:val="2"/>
            <w:tcBorders>
              <w:top w:val="outset" w:sz="6" w:space="0" w:color="auto"/>
              <w:left w:val="outset" w:sz="6" w:space="0" w:color="auto"/>
              <w:bottom w:val="outset" w:sz="6" w:space="0" w:color="auto"/>
              <w:right w:val="outset" w:sz="6" w:space="0" w:color="auto"/>
            </w:tcBorders>
            <w:hideMark/>
          </w:tcPr>
          <w:p w14:paraId="43CA314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Перчаточная фабрика</w:t>
            </w:r>
          </w:p>
          <w:p w14:paraId="3ED27F0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 Полтава)</w:t>
            </w:r>
          </w:p>
        </w:tc>
        <w:tc>
          <w:tcPr>
            <w:tcW w:w="0" w:type="auto"/>
            <w:tcBorders>
              <w:top w:val="outset" w:sz="6" w:space="0" w:color="auto"/>
              <w:left w:val="outset" w:sz="6" w:space="0" w:color="auto"/>
              <w:bottom w:val="outset" w:sz="6" w:space="0" w:color="auto"/>
              <w:right w:val="outset" w:sz="6" w:space="0" w:color="auto"/>
            </w:tcBorders>
            <w:hideMark/>
          </w:tcPr>
          <w:p w14:paraId="2C60663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там же</w:t>
            </w:r>
          </w:p>
        </w:tc>
        <w:tc>
          <w:tcPr>
            <w:tcW w:w="0" w:type="auto"/>
            <w:tcBorders>
              <w:top w:val="outset" w:sz="6" w:space="0" w:color="auto"/>
              <w:left w:val="outset" w:sz="6" w:space="0" w:color="auto"/>
              <w:bottom w:val="outset" w:sz="6" w:space="0" w:color="auto"/>
              <w:right w:val="outset" w:sz="6" w:space="0" w:color="auto"/>
            </w:tcBorders>
            <w:hideMark/>
          </w:tcPr>
          <w:p w14:paraId="093E460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то же</w:t>
            </w:r>
          </w:p>
          <w:p w14:paraId="3511C35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p w14:paraId="058025B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r>
      <w:tr w:rsidR="00643896" w:rsidRPr="00640820" w14:paraId="54EADA63"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22B26DD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35.</w:t>
            </w:r>
          </w:p>
        </w:tc>
        <w:tc>
          <w:tcPr>
            <w:tcW w:w="0" w:type="auto"/>
            <w:gridSpan w:val="2"/>
            <w:tcBorders>
              <w:top w:val="outset" w:sz="6" w:space="0" w:color="auto"/>
              <w:left w:val="outset" w:sz="6" w:space="0" w:color="auto"/>
              <w:bottom w:val="outset" w:sz="6" w:space="0" w:color="auto"/>
              <w:right w:val="outset" w:sz="6" w:space="0" w:color="auto"/>
            </w:tcBorders>
            <w:hideMark/>
          </w:tcPr>
          <w:p w14:paraId="322B923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Торфопредприятия: "Пальцо" и "Брянское"</w:t>
            </w:r>
          </w:p>
          <w:p w14:paraId="4C941C2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(Орловской области)</w:t>
            </w:r>
          </w:p>
        </w:tc>
        <w:tc>
          <w:tcPr>
            <w:tcW w:w="0" w:type="auto"/>
            <w:tcBorders>
              <w:top w:val="outset" w:sz="6" w:space="0" w:color="auto"/>
              <w:left w:val="outset" w:sz="6" w:space="0" w:color="auto"/>
              <w:bottom w:val="outset" w:sz="6" w:space="0" w:color="auto"/>
              <w:right w:val="outset" w:sz="6" w:space="0" w:color="auto"/>
            </w:tcBorders>
            <w:hideMark/>
          </w:tcPr>
          <w:p w14:paraId="69098A9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Каринскоеторфопредпри-ятие</w:t>
            </w:r>
          </w:p>
        </w:tc>
        <w:tc>
          <w:tcPr>
            <w:tcW w:w="0" w:type="auto"/>
            <w:tcBorders>
              <w:top w:val="outset" w:sz="6" w:space="0" w:color="auto"/>
              <w:left w:val="outset" w:sz="6" w:space="0" w:color="auto"/>
              <w:bottom w:val="outset" w:sz="6" w:space="0" w:color="auto"/>
              <w:right w:val="outset" w:sz="6" w:space="0" w:color="auto"/>
            </w:tcBorders>
            <w:hideMark/>
          </w:tcPr>
          <w:p w14:paraId="2E15BA9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Расп. СЭ</w:t>
            </w:r>
          </w:p>
          <w:p w14:paraId="12A2F0A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24/VIII - 41 г.</w:t>
            </w:r>
          </w:p>
          <w:p w14:paraId="0FF6A49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13635-сэ</w:t>
            </w:r>
          </w:p>
          <w:p w14:paraId="0415D72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r>
      <w:tr w:rsidR="00643896" w:rsidRPr="00640820" w14:paraId="4806587E"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50C8FA2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36.</w:t>
            </w:r>
          </w:p>
        </w:tc>
        <w:tc>
          <w:tcPr>
            <w:tcW w:w="0" w:type="auto"/>
            <w:gridSpan w:val="2"/>
            <w:tcBorders>
              <w:top w:val="outset" w:sz="6" w:space="0" w:color="auto"/>
              <w:left w:val="outset" w:sz="6" w:space="0" w:color="auto"/>
              <w:bottom w:val="outset" w:sz="6" w:space="0" w:color="auto"/>
              <w:right w:val="outset" w:sz="6" w:space="0" w:color="auto"/>
            </w:tcBorders>
            <w:hideMark/>
          </w:tcPr>
          <w:p w14:paraId="4931A37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Бумфабрика</w:t>
            </w:r>
          </w:p>
          <w:p w14:paraId="10595C1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им. Володарского</w:t>
            </w:r>
          </w:p>
          <w:p w14:paraId="4F2E668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(Ленинград)</w:t>
            </w:r>
          </w:p>
        </w:tc>
        <w:tc>
          <w:tcPr>
            <w:tcW w:w="0" w:type="auto"/>
            <w:tcBorders>
              <w:top w:val="outset" w:sz="6" w:space="0" w:color="auto"/>
              <w:left w:val="outset" w:sz="6" w:space="0" w:color="auto"/>
              <w:bottom w:val="outset" w:sz="6" w:space="0" w:color="auto"/>
              <w:right w:val="outset" w:sz="6" w:space="0" w:color="auto"/>
            </w:tcBorders>
            <w:hideMark/>
          </w:tcPr>
          <w:p w14:paraId="421FF4C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Косинскую</w:t>
            </w:r>
          </w:p>
          <w:p w14:paraId="5EFF394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бумаж. фабрику</w:t>
            </w:r>
          </w:p>
        </w:tc>
        <w:tc>
          <w:tcPr>
            <w:tcW w:w="0" w:type="auto"/>
            <w:tcBorders>
              <w:top w:val="outset" w:sz="6" w:space="0" w:color="auto"/>
              <w:left w:val="outset" w:sz="6" w:space="0" w:color="auto"/>
              <w:bottom w:val="outset" w:sz="6" w:space="0" w:color="auto"/>
              <w:right w:val="outset" w:sz="6" w:space="0" w:color="auto"/>
            </w:tcBorders>
            <w:hideMark/>
          </w:tcPr>
          <w:p w14:paraId="0046679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Расп. СЭ</w:t>
            </w:r>
          </w:p>
          <w:p w14:paraId="27FFCD5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23/VIII-1941 г.</w:t>
            </w:r>
          </w:p>
          <w:p w14:paraId="1B74534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13523-сэ</w:t>
            </w:r>
          </w:p>
          <w:p w14:paraId="58AB8B2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lastRenderedPageBreak/>
              <w:t> </w:t>
            </w:r>
          </w:p>
        </w:tc>
      </w:tr>
      <w:tr w:rsidR="00643896" w:rsidRPr="00640820" w14:paraId="62385623"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367DC73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lastRenderedPageBreak/>
              <w:t>37.</w:t>
            </w:r>
          </w:p>
        </w:tc>
        <w:tc>
          <w:tcPr>
            <w:tcW w:w="0" w:type="auto"/>
            <w:gridSpan w:val="2"/>
            <w:tcBorders>
              <w:top w:val="outset" w:sz="6" w:space="0" w:color="auto"/>
              <w:left w:val="outset" w:sz="6" w:space="0" w:color="auto"/>
              <w:bottom w:val="outset" w:sz="6" w:space="0" w:color="auto"/>
              <w:right w:val="outset" w:sz="6" w:space="0" w:color="auto"/>
            </w:tcBorders>
            <w:hideMark/>
          </w:tcPr>
          <w:p w14:paraId="12517DD4"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Киришский деревообделочный комбинат (Ленинградской области)</w:t>
            </w:r>
          </w:p>
        </w:tc>
        <w:tc>
          <w:tcPr>
            <w:tcW w:w="0" w:type="auto"/>
            <w:tcBorders>
              <w:top w:val="outset" w:sz="6" w:space="0" w:color="auto"/>
              <w:left w:val="outset" w:sz="6" w:space="0" w:color="auto"/>
              <w:bottom w:val="outset" w:sz="6" w:space="0" w:color="auto"/>
              <w:right w:val="outset" w:sz="6" w:space="0" w:color="auto"/>
            </w:tcBorders>
            <w:hideMark/>
          </w:tcPr>
          <w:p w14:paraId="5B54DB7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Лесозавод № 1</w:t>
            </w:r>
          </w:p>
          <w:p w14:paraId="61757AC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им. Ст. Халтурина</w:t>
            </w:r>
          </w:p>
        </w:tc>
        <w:tc>
          <w:tcPr>
            <w:tcW w:w="0" w:type="auto"/>
            <w:tcBorders>
              <w:top w:val="outset" w:sz="6" w:space="0" w:color="auto"/>
              <w:left w:val="outset" w:sz="6" w:space="0" w:color="auto"/>
              <w:bottom w:val="outset" w:sz="6" w:space="0" w:color="auto"/>
              <w:right w:val="outset" w:sz="6" w:space="0" w:color="auto"/>
            </w:tcBorders>
            <w:hideMark/>
          </w:tcPr>
          <w:p w14:paraId="72F4878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Расп. СЭ</w:t>
            </w:r>
          </w:p>
          <w:p w14:paraId="2A0102D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23/VIII - 41 г.</w:t>
            </w:r>
          </w:p>
          <w:p w14:paraId="03D6CB0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13632-сэ</w:t>
            </w:r>
          </w:p>
        </w:tc>
      </w:tr>
      <w:tr w:rsidR="00643896" w:rsidRPr="00640820" w14:paraId="78A850DA"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264D613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38.</w:t>
            </w:r>
          </w:p>
        </w:tc>
        <w:tc>
          <w:tcPr>
            <w:tcW w:w="0" w:type="auto"/>
            <w:gridSpan w:val="2"/>
            <w:tcBorders>
              <w:top w:val="outset" w:sz="6" w:space="0" w:color="auto"/>
              <w:left w:val="outset" w:sz="6" w:space="0" w:color="auto"/>
              <w:bottom w:val="outset" w:sz="6" w:space="0" w:color="auto"/>
              <w:right w:val="outset" w:sz="6" w:space="0" w:color="auto"/>
            </w:tcBorders>
            <w:hideMark/>
          </w:tcPr>
          <w:p w14:paraId="019684E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Ленинградский фанерный завод</w:t>
            </w:r>
          </w:p>
          <w:p w14:paraId="067514D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им. Аврова</w:t>
            </w:r>
          </w:p>
          <w:p w14:paraId="54AD592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(Ленинград)</w:t>
            </w:r>
          </w:p>
          <w:p w14:paraId="19429C8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2B7B895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Фанерный завод</w:t>
            </w:r>
          </w:p>
          <w:p w14:paraId="3D516F9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"Красный якорь"</w:t>
            </w:r>
          </w:p>
          <w:p w14:paraId="7833575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(Слободской район)</w:t>
            </w:r>
          </w:p>
        </w:tc>
        <w:tc>
          <w:tcPr>
            <w:tcW w:w="0" w:type="auto"/>
            <w:tcBorders>
              <w:top w:val="outset" w:sz="6" w:space="0" w:color="auto"/>
              <w:left w:val="outset" w:sz="6" w:space="0" w:color="auto"/>
              <w:bottom w:val="outset" w:sz="6" w:space="0" w:color="auto"/>
              <w:right w:val="outset" w:sz="6" w:space="0" w:color="auto"/>
            </w:tcBorders>
            <w:hideMark/>
          </w:tcPr>
          <w:p w14:paraId="64AA69C3"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то же</w:t>
            </w:r>
          </w:p>
        </w:tc>
      </w:tr>
      <w:tr w:rsidR="00643896" w:rsidRPr="00640820" w14:paraId="33223CBA"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6C32B46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39.</w:t>
            </w:r>
          </w:p>
        </w:tc>
        <w:tc>
          <w:tcPr>
            <w:tcW w:w="0" w:type="auto"/>
            <w:gridSpan w:val="2"/>
            <w:tcBorders>
              <w:top w:val="outset" w:sz="6" w:space="0" w:color="auto"/>
              <w:left w:val="outset" w:sz="6" w:space="0" w:color="auto"/>
              <w:bottom w:val="outset" w:sz="6" w:space="0" w:color="auto"/>
              <w:right w:val="outset" w:sz="6" w:space="0" w:color="auto"/>
            </w:tcBorders>
            <w:hideMark/>
          </w:tcPr>
          <w:p w14:paraId="7040B5E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Лесопильный завод</w:t>
            </w:r>
          </w:p>
          <w:p w14:paraId="7D8F45F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им. Халтурина</w:t>
            </w:r>
          </w:p>
          <w:p w14:paraId="7C7B257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(Ленинград)</w:t>
            </w:r>
          </w:p>
        </w:tc>
        <w:tc>
          <w:tcPr>
            <w:tcW w:w="0" w:type="auto"/>
            <w:tcBorders>
              <w:top w:val="outset" w:sz="6" w:space="0" w:color="auto"/>
              <w:left w:val="outset" w:sz="6" w:space="0" w:color="auto"/>
              <w:bottom w:val="outset" w:sz="6" w:space="0" w:color="auto"/>
              <w:right w:val="outset" w:sz="6" w:space="0" w:color="auto"/>
            </w:tcBorders>
            <w:hideMark/>
          </w:tcPr>
          <w:p w14:paraId="1B5903E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Лесозавод № 2</w:t>
            </w:r>
          </w:p>
          <w:p w14:paraId="40F754E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(берег р. Вятки)</w:t>
            </w:r>
          </w:p>
        </w:tc>
        <w:tc>
          <w:tcPr>
            <w:tcW w:w="0" w:type="auto"/>
            <w:tcBorders>
              <w:top w:val="outset" w:sz="6" w:space="0" w:color="auto"/>
              <w:left w:val="outset" w:sz="6" w:space="0" w:color="auto"/>
              <w:bottom w:val="outset" w:sz="6" w:space="0" w:color="auto"/>
              <w:right w:val="outset" w:sz="6" w:space="0" w:color="auto"/>
            </w:tcBorders>
            <w:hideMark/>
          </w:tcPr>
          <w:p w14:paraId="6B815DF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Расп. СЭ</w:t>
            </w:r>
          </w:p>
          <w:p w14:paraId="5CFF899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23/VIII - 41 г.</w:t>
            </w:r>
          </w:p>
          <w:p w14:paraId="524EB8E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13632-сэ</w:t>
            </w:r>
          </w:p>
          <w:p w14:paraId="3119501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r>
      <w:tr w:rsidR="00643896" w:rsidRPr="00640820" w14:paraId="1B7D77CE"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4380722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40.</w:t>
            </w:r>
          </w:p>
        </w:tc>
        <w:tc>
          <w:tcPr>
            <w:tcW w:w="0" w:type="auto"/>
            <w:gridSpan w:val="2"/>
            <w:tcBorders>
              <w:top w:val="outset" w:sz="6" w:space="0" w:color="auto"/>
              <w:left w:val="outset" w:sz="6" w:space="0" w:color="auto"/>
              <w:bottom w:val="outset" w:sz="6" w:space="0" w:color="auto"/>
              <w:right w:val="outset" w:sz="6" w:space="0" w:color="auto"/>
            </w:tcBorders>
            <w:hideMark/>
          </w:tcPr>
          <w:p w14:paraId="31A8200E"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Ленинградский завод им. Воскова</w:t>
            </w:r>
          </w:p>
        </w:tc>
        <w:tc>
          <w:tcPr>
            <w:tcW w:w="0" w:type="auto"/>
            <w:tcBorders>
              <w:top w:val="outset" w:sz="6" w:space="0" w:color="auto"/>
              <w:left w:val="outset" w:sz="6" w:space="0" w:color="auto"/>
              <w:bottom w:val="outset" w:sz="6" w:space="0" w:color="auto"/>
              <w:right w:val="outset" w:sz="6" w:space="0" w:color="auto"/>
            </w:tcBorders>
            <w:hideMark/>
          </w:tcPr>
          <w:p w14:paraId="19E2836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Сосновский лесозавод Росглавдрева (Вятскополянский район)</w:t>
            </w:r>
          </w:p>
          <w:p w14:paraId="21D85A8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0416429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то же</w:t>
            </w:r>
          </w:p>
          <w:p w14:paraId="6505684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r>
      <w:tr w:rsidR="00643896" w:rsidRPr="00640820" w14:paraId="61EE6DB3"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3769ECC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41.</w:t>
            </w:r>
          </w:p>
        </w:tc>
        <w:tc>
          <w:tcPr>
            <w:tcW w:w="0" w:type="auto"/>
            <w:gridSpan w:val="2"/>
            <w:tcBorders>
              <w:top w:val="outset" w:sz="6" w:space="0" w:color="auto"/>
              <w:left w:val="outset" w:sz="6" w:space="0" w:color="auto"/>
              <w:bottom w:val="outset" w:sz="6" w:space="0" w:color="auto"/>
              <w:right w:val="outset" w:sz="6" w:space="0" w:color="auto"/>
            </w:tcBorders>
            <w:hideMark/>
          </w:tcPr>
          <w:p w14:paraId="75AD916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Донецкая бумфабрика</w:t>
            </w:r>
          </w:p>
          <w:p w14:paraId="1EB08AC4"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(ст. Змиев</w:t>
            </w:r>
          </w:p>
          <w:p w14:paraId="75C8536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Сев.-Дон. ж/д</w:t>
            </w:r>
          </w:p>
          <w:p w14:paraId="213453D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Харьковской области)</w:t>
            </w:r>
          </w:p>
          <w:p w14:paraId="6F81F6A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p w14:paraId="67E0A62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3052403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Косинская бумфабрика Зуевского района</w:t>
            </w:r>
          </w:p>
        </w:tc>
        <w:tc>
          <w:tcPr>
            <w:tcW w:w="0" w:type="auto"/>
            <w:tcBorders>
              <w:top w:val="outset" w:sz="6" w:space="0" w:color="auto"/>
              <w:left w:val="outset" w:sz="6" w:space="0" w:color="auto"/>
              <w:bottom w:val="outset" w:sz="6" w:space="0" w:color="auto"/>
              <w:right w:val="outset" w:sz="6" w:space="0" w:color="auto"/>
            </w:tcBorders>
            <w:hideMark/>
          </w:tcPr>
          <w:p w14:paraId="5E75697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Расп. СЭ</w:t>
            </w:r>
          </w:p>
          <w:p w14:paraId="595C205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4/IX - 41 г.</w:t>
            </w:r>
          </w:p>
          <w:p w14:paraId="3E51C48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13825-сэ</w:t>
            </w:r>
          </w:p>
        </w:tc>
      </w:tr>
      <w:tr w:rsidR="00643896" w:rsidRPr="00640820" w14:paraId="13BD707A"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12F35E5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42.</w:t>
            </w:r>
          </w:p>
        </w:tc>
        <w:tc>
          <w:tcPr>
            <w:tcW w:w="0" w:type="auto"/>
            <w:gridSpan w:val="2"/>
            <w:tcBorders>
              <w:top w:val="outset" w:sz="6" w:space="0" w:color="auto"/>
              <w:left w:val="outset" w:sz="6" w:space="0" w:color="auto"/>
              <w:bottom w:val="outset" w:sz="6" w:space="0" w:color="auto"/>
              <w:right w:val="outset" w:sz="6" w:space="0" w:color="auto"/>
            </w:tcBorders>
            <w:hideMark/>
          </w:tcPr>
          <w:p w14:paraId="1D781D0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Торфопредприятие "Осташково"</w:t>
            </w:r>
          </w:p>
          <w:p w14:paraId="23FE906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 Осташков Калининской области)</w:t>
            </w:r>
          </w:p>
        </w:tc>
        <w:tc>
          <w:tcPr>
            <w:tcW w:w="0" w:type="auto"/>
            <w:tcBorders>
              <w:top w:val="outset" w:sz="6" w:space="0" w:color="auto"/>
              <w:left w:val="outset" w:sz="6" w:space="0" w:color="auto"/>
              <w:bottom w:val="outset" w:sz="6" w:space="0" w:color="auto"/>
              <w:right w:val="outset" w:sz="6" w:space="0" w:color="auto"/>
            </w:tcBorders>
            <w:hideMark/>
          </w:tcPr>
          <w:p w14:paraId="77F77B3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Гадовское торфопредприятие (ст. Стрижи</w:t>
            </w:r>
          </w:p>
          <w:p w14:paraId="6C3FC49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Горьковск. жел/дороги)</w:t>
            </w:r>
          </w:p>
          <w:p w14:paraId="6566221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1A366D4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Расп. СЭ</w:t>
            </w:r>
          </w:p>
          <w:p w14:paraId="350A002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4/IX - 41 г.</w:t>
            </w:r>
          </w:p>
          <w:p w14:paraId="5BB3973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13834-сэ</w:t>
            </w:r>
          </w:p>
        </w:tc>
      </w:tr>
      <w:tr w:rsidR="00643896" w:rsidRPr="00640820" w14:paraId="1AB932CD"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6590BB14"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43.</w:t>
            </w:r>
          </w:p>
        </w:tc>
        <w:tc>
          <w:tcPr>
            <w:tcW w:w="0" w:type="auto"/>
            <w:gridSpan w:val="2"/>
            <w:tcBorders>
              <w:top w:val="outset" w:sz="6" w:space="0" w:color="auto"/>
              <w:left w:val="outset" w:sz="6" w:space="0" w:color="auto"/>
              <w:bottom w:val="outset" w:sz="6" w:space="0" w:color="auto"/>
              <w:right w:val="outset" w:sz="6" w:space="0" w:color="auto"/>
            </w:tcBorders>
            <w:hideMark/>
          </w:tcPr>
          <w:p w14:paraId="7C65E86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Обувная фабрика</w:t>
            </w:r>
          </w:p>
          <w:p w14:paraId="6C916DB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им. Леккерта</w:t>
            </w:r>
          </w:p>
          <w:p w14:paraId="222BE00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 Торжок</w:t>
            </w:r>
          </w:p>
          <w:p w14:paraId="083E237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Калининской области)</w:t>
            </w:r>
          </w:p>
          <w:p w14:paraId="52E36B8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79A168C4"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bookmarkStart w:id="30" w:name="YANDEX_1"/>
            <w:bookmarkEnd w:id="30"/>
            <w:r w:rsidRPr="00640820">
              <w:rPr>
                <w:rFonts w:ascii="Times New Roman" w:eastAsia="Times New Roman" w:hAnsi="Times New Roman"/>
                <w:color w:val="000000" w:themeColor="text1"/>
                <w:sz w:val="16"/>
                <w:szCs w:val="16"/>
                <w:lang w:eastAsia="ru-RU"/>
              </w:rPr>
              <w:t> Кожкомбинат </w:t>
            </w:r>
            <w:bookmarkStart w:id="31" w:name="YANDEX_LAST"/>
            <w:bookmarkEnd w:id="31"/>
          </w:p>
          <w:p w14:paraId="403D2D0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им. Ленина</w:t>
            </w:r>
          </w:p>
          <w:p w14:paraId="05F528E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(ст. Вахруши</w:t>
            </w:r>
          </w:p>
          <w:p w14:paraId="292F0B13"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Горьковской ж/д)</w:t>
            </w:r>
          </w:p>
        </w:tc>
        <w:tc>
          <w:tcPr>
            <w:tcW w:w="0" w:type="auto"/>
            <w:tcBorders>
              <w:top w:val="outset" w:sz="6" w:space="0" w:color="auto"/>
              <w:left w:val="outset" w:sz="6" w:space="0" w:color="auto"/>
              <w:bottom w:val="outset" w:sz="6" w:space="0" w:color="auto"/>
              <w:right w:val="outset" w:sz="6" w:space="0" w:color="auto"/>
            </w:tcBorders>
            <w:hideMark/>
          </w:tcPr>
          <w:p w14:paraId="0CC893A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Расп. СЭ</w:t>
            </w:r>
          </w:p>
          <w:p w14:paraId="05D40BB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4/IX - 41 г.</w:t>
            </w:r>
          </w:p>
          <w:p w14:paraId="32D1190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13834-сэ</w:t>
            </w:r>
          </w:p>
        </w:tc>
      </w:tr>
      <w:tr w:rsidR="00643896" w:rsidRPr="00640820" w14:paraId="72891B8A"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4DDEAA7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44.</w:t>
            </w:r>
          </w:p>
        </w:tc>
        <w:tc>
          <w:tcPr>
            <w:tcW w:w="0" w:type="auto"/>
            <w:gridSpan w:val="2"/>
            <w:tcBorders>
              <w:top w:val="outset" w:sz="6" w:space="0" w:color="auto"/>
              <w:left w:val="outset" w:sz="6" w:space="0" w:color="auto"/>
              <w:bottom w:val="outset" w:sz="6" w:space="0" w:color="auto"/>
              <w:right w:val="outset" w:sz="6" w:space="0" w:color="auto"/>
            </w:tcBorders>
            <w:hideMark/>
          </w:tcPr>
          <w:p w14:paraId="723EF983"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Завод резиновой</w:t>
            </w:r>
          </w:p>
          <w:p w14:paraId="74F705B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подошвы "Крепз"</w:t>
            </w:r>
          </w:p>
          <w:p w14:paraId="43A2D8F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(2-я очередь)</w:t>
            </w:r>
          </w:p>
          <w:p w14:paraId="596AE22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 Калинин)</w:t>
            </w:r>
          </w:p>
          <w:p w14:paraId="7472211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596C8164"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Комбинат "Искож"</w:t>
            </w:r>
          </w:p>
        </w:tc>
        <w:tc>
          <w:tcPr>
            <w:tcW w:w="0" w:type="auto"/>
            <w:tcBorders>
              <w:top w:val="outset" w:sz="6" w:space="0" w:color="auto"/>
              <w:left w:val="outset" w:sz="6" w:space="0" w:color="auto"/>
              <w:bottom w:val="outset" w:sz="6" w:space="0" w:color="auto"/>
              <w:right w:val="outset" w:sz="6" w:space="0" w:color="auto"/>
            </w:tcBorders>
            <w:hideMark/>
          </w:tcPr>
          <w:p w14:paraId="32ACB3E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то же</w:t>
            </w:r>
          </w:p>
          <w:p w14:paraId="267F090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r>
      <w:tr w:rsidR="00643896" w:rsidRPr="00640820" w14:paraId="73B58558"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10F2757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45.</w:t>
            </w:r>
          </w:p>
        </w:tc>
        <w:tc>
          <w:tcPr>
            <w:tcW w:w="0" w:type="auto"/>
            <w:gridSpan w:val="2"/>
            <w:tcBorders>
              <w:top w:val="outset" w:sz="6" w:space="0" w:color="auto"/>
              <w:left w:val="outset" w:sz="6" w:space="0" w:color="auto"/>
              <w:bottom w:val="outset" w:sz="6" w:space="0" w:color="auto"/>
              <w:right w:val="outset" w:sz="6" w:space="0" w:color="auto"/>
            </w:tcBorders>
            <w:hideMark/>
          </w:tcPr>
          <w:p w14:paraId="40914BA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Мастерская индивидуального пошива обуви</w:t>
            </w:r>
          </w:p>
          <w:p w14:paraId="210FC49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 Калинин)</w:t>
            </w:r>
          </w:p>
          <w:p w14:paraId="74F6CCC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3B1A869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ф-ка обуви</w:t>
            </w:r>
          </w:p>
          <w:p w14:paraId="03A9633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повышенного качества Обллегпрома</w:t>
            </w:r>
          </w:p>
        </w:tc>
        <w:tc>
          <w:tcPr>
            <w:tcW w:w="0" w:type="auto"/>
            <w:tcBorders>
              <w:top w:val="outset" w:sz="6" w:space="0" w:color="auto"/>
              <w:left w:val="outset" w:sz="6" w:space="0" w:color="auto"/>
              <w:bottom w:val="outset" w:sz="6" w:space="0" w:color="auto"/>
              <w:right w:val="outset" w:sz="6" w:space="0" w:color="auto"/>
            </w:tcBorders>
            <w:hideMark/>
          </w:tcPr>
          <w:p w14:paraId="144EDB3E"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Расп. СЭ</w:t>
            </w:r>
          </w:p>
          <w:p w14:paraId="303D92D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4/IX - 41г.</w:t>
            </w:r>
          </w:p>
          <w:p w14:paraId="4537409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13834 - сэ</w:t>
            </w:r>
          </w:p>
        </w:tc>
      </w:tr>
      <w:tr w:rsidR="00643896" w:rsidRPr="00640820" w14:paraId="30BA7FCA"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15C96C6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46.</w:t>
            </w:r>
          </w:p>
        </w:tc>
        <w:tc>
          <w:tcPr>
            <w:tcW w:w="0" w:type="auto"/>
            <w:gridSpan w:val="2"/>
            <w:tcBorders>
              <w:top w:val="outset" w:sz="6" w:space="0" w:color="auto"/>
              <w:left w:val="outset" w:sz="6" w:space="0" w:color="auto"/>
              <w:bottom w:val="outset" w:sz="6" w:space="0" w:color="auto"/>
              <w:right w:val="outset" w:sz="6" w:space="0" w:color="auto"/>
            </w:tcBorders>
            <w:hideMark/>
          </w:tcPr>
          <w:p w14:paraId="6B510AA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Ф-ка короткого</w:t>
            </w:r>
          </w:p>
          <w:p w14:paraId="1F11A073"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волокна</w:t>
            </w:r>
          </w:p>
          <w:p w14:paraId="02452D3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(Орловская обл.</w:t>
            </w:r>
          </w:p>
          <w:p w14:paraId="32E4CE8E"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ст. Карачев</w:t>
            </w:r>
          </w:p>
          <w:p w14:paraId="0ED4F82E"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Московско-Курск ж.д.)</w:t>
            </w:r>
          </w:p>
          <w:p w14:paraId="1B41B7F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433BE5A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обл. к-ра</w:t>
            </w:r>
          </w:p>
          <w:p w14:paraId="6BE6573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"Союзутиль"</w:t>
            </w:r>
          </w:p>
          <w:p w14:paraId="7EABC19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 Киров</w:t>
            </w:r>
          </w:p>
        </w:tc>
        <w:tc>
          <w:tcPr>
            <w:tcW w:w="0" w:type="auto"/>
            <w:tcBorders>
              <w:top w:val="outset" w:sz="6" w:space="0" w:color="auto"/>
              <w:left w:val="outset" w:sz="6" w:space="0" w:color="auto"/>
              <w:bottom w:val="outset" w:sz="6" w:space="0" w:color="auto"/>
              <w:right w:val="outset" w:sz="6" w:space="0" w:color="auto"/>
            </w:tcBorders>
            <w:hideMark/>
          </w:tcPr>
          <w:p w14:paraId="1E2FF443"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то же</w:t>
            </w:r>
          </w:p>
        </w:tc>
      </w:tr>
      <w:tr w:rsidR="00643896" w:rsidRPr="00640820" w14:paraId="047C586A"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7DC52CD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47.</w:t>
            </w:r>
          </w:p>
        </w:tc>
        <w:tc>
          <w:tcPr>
            <w:tcW w:w="0" w:type="auto"/>
            <w:gridSpan w:val="2"/>
            <w:tcBorders>
              <w:top w:val="outset" w:sz="6" w:space="0" w:color="auto"/>
              <w:left w:val="outset" w:sz="6" w:space="0" w:color="auto"/>
              <w:bottom w:val="outset" w:sz="6" w:space="0" w:color="auto"/>
              <w:right w:val="outset" w:sz="6" w:space="0" w:color="auto"/>
            </w:tcBorders>
            <w:hideMark/>
          </w:tcPr>
          <w:p w14:paraId="10571B3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Сумский лесозавод</w:t>
            </w:r>
          </w:p>
          <w:p w14:paraId="78BCBDD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(ст. Сумы</w:t>
            </w:r>
          </w:p>
          <w:p w14:paraId="7BCCA4C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Южной жел/дороги)</w:t>
            </w:r>
          </w:p>
          <w:p w14:paraId="74DAF3F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0ECDF3B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Лесозавод № 1</w:t>
            </w:r>
          </w:p>
          <w:p w14:paraId="0E0B9B1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им. Ст. Халтурина</w:t>
            </w:r>
          </w:p>
        </w:tc>
        <w:tc>
          <w:tcPr>
            <w:tcW w:w="0" w:type="auto"/>
            <w:tcBorders>
              <w:top w:val="outset" w:sz="6" w:space="0" w:color="auto"/>
              <w:left w:val="outset" w:sz="6" w:space="0" w:color="auto"/>
              <w:bottom w:val="outset" w:sz="6" w:space="0" w:color="auto"/>
              <w:right w:val="outset" w:sz="6" w:space="0" w:color="auto"/>
            </w:tcBorders>
            <w:hideMark/>
          </w:tcPr>
          <w:p w14:paraId="6E4A3CA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Расп. СЭ</w:t>
            </w:r>
          </w:p>
          <w:p w14:paraId="31062824"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28/VIII - 41г.</w:t>
            </w:r>
          </w:p>
          <w:p w14:paraId="543EB39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13730-сэ</w:t>
            </w:r>
          </w:p>
        </w:tc>
      </w:tr>
      <w:tr w:rsidR="00643896" w:rsidRPr="00640820" w14:paraId="02BBAA83"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3158829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48.</w:t>
            </w:r>
          </w:p>
        </w:tc>
        <w:tc>
          <w:tcPr>
            <w:tcW w:w="0" w:type="auto"/>
            <w:gridSpan w:val="2"/>
            <w:tcBorders>
              <w:top w:val="outset" w:sz="6" w:space="0" w:color="auto"/>
              <w:left w:val="outset" w:sz="6" w:space="0" w:color="auto"/>
              <w:bottom w:val="outset" w:sz="6" w:space="0" w:color="auto"/>
              <w:right w:val="outset" w:sz="6" w:space="0" w:color="auto"/>
            </w:tcBorders>
            <w:hideMark/>
          </w:tcPr>
          <w:p w14:paraId="2B96E1E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Роменская</w:t>
            </w:r>
          </w:p>
          <w:p w14:paraId="5664345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мебельная ф-ка</w:t>
            </w:r>
          </w:p>
          <w:p w14:paraId="5D3942B3"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(ст. Ромны Южной ж/д)</w:t>
            </w:r>
          </w:p>
          <w:p w14:paraId="78C0BD5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152CBD8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там же</w:t>
            </w:r>
          </w:p>
        </w:tc>
        <w:tc>
          <w:tcPr>
            <w:tcW w:w="0" w:type="auto"/>
            <w:tcBorders>
              <w:top w:val="outset" w:sz="6" w:space="0" w:color="auto"/>
              <w:left w:val="outset" w:sz="6" w:space="0" w:color="auto"/>
              <w:bottom w:val="outset" w:sz="6" w:space="0" w:color="auto"/>
              <w:right w:val="outset" w:sz="6" w:space="0" w:color="auto"/>
            </w:tcBorders>
            <w:hideMark/>
          </w:tcPr>
          <w:p w14:paraId="706F8E8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то же</w:t>
            </w:r>
          </w:p>
        </w:tc>
      </w:tr>
      <w:tr w:rsidR="00643896" w:rsidRPr="00640820" w14:paraId="186F2D4B"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7489129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49.</w:t>
            </w:r>
          </w:p>
        </w:tc>
        <w:tc>
          <w:tcPr>
            <w:tcW w:w="0" w:type="auto"/>
            <w:gridSpan w:val="2"/>
            <w:tcBorders>
              <w:top w:val="outset" w:sz="6" w:space="0" w:color="auto"/>
              <w:left w:val="outset" w:sz="6" w:space="0" w:color="auto"/>
              <w:bottom w:val="outset" w:sz="6" w:space="0" w:color="auto"/>
              <w:right w:val="outset" w:sz="6" w:space="0" w:color="auto"/>
            </w:tcBorders>
            <w:hideMark/>
          </w:tcPr>
          <w:p w14:paraId="499A409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Пеплюевский лесозавод (ст. Пеплюево</w:t>
            </w:r>
          </w:p>
          <w:p w14:paraId="3DAD7BD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М.-Киев. ж/д)</w:t>
            </w:r>
          </w:p>
          <w:p w14:paraId="437582E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0E2CE6C4"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там же</w:t>
            </w:r>
          </w:p>
        </w:tc>
        <w:tc>
          <w:tcPr>
            <w:tcW w:w="0" w:type="auto"/>
            <w:tcBorders>
              <w:top w:val="outset" w:sz="6" w:space="0" w:color="auto"/>
              <w:left w:val="outset" w:sz="6" w:space="0" w:color="auto"/>
              <w:bottom w:val="outset" w:sz="6" w:space="0" w:color="auto"/>
              <w:right w:val="outset" w:sz="6" w:space="0" w:color="auto"/>
            </w:tcBorders>
            <w:hideMark/>
          </w:tcPr>
          <w:p w14:paraId="6B9D9BCE"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то же</w:t>
            </w:r>
          </w:p>
        </w:tc>
      </w:tr>
      <w:tr w:rsidR="00643896" w:rsidRPr="00640820" w14:paraId="55BC0926"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7C2948A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50.</w:t>
            </w:r>
          </w:p>
        </w:tc>
        <w:tc>
          <w:tcPr>
            <w:tcW w:w="0" w:type="auto"/>
            <w:gridSpan w:val="2"/>
            <w:tcBorders>
              <w:top w:val="outset" w:sz="6" w:space="0" w:color="auto"/>
              <w:left w:val="outset" w:sz="6" w:space="0" w:color="auto"/>
              <w:bottom w:val="outset" w:sz="6" w:space="0" w:color="auto"/>
              <w:right w:val="outset" w:sz="6" w:space="0" w:color="auto"/>
            </w:tcBorders>
            <w:hideMark/>
          </w:tcPr>
          <w:p w14:paraId="56D5D1B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Пироговский лесозавод (ст. Пирогово</w:t>
            </w:r>
          </w:p>
          <w:p w14:paraId="63DA39A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М.-К.ж/д)</w:t>
            </w:r>
          </w:p>
          <w:p w14:paraId="45E2D16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2987269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там же</w:t>
            </w:r>
          </w:p>
        </w:tc>
        <w:tc>
          <w:tcPr>
            <w:tcW w:w="0" w:type="auto"/>
            <w:tcBorders>
              <w:top w:val="outset" w:sz="6" w:space="0" w:color="auto"/>
              <w:left w:val="outset" w:sz="6" w:space="0" w:color="auto"/>
              <w:bottom w:val="outset" w:sz="6" w:space="0" w:color="auto"/>
              <w:right w:val="outset" w:sz="6" w:space="0" w:color="auto"/>
            </w:tcBorders>
            <w:hideMark/>
          </w:tcPr>
          <w:p w14:paraId="40DF689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то же</w:t>
            </w:r>
          </w:p>
        </w:tc>
      </w:tr>
      <w:tr w:rsidR="00643896" w:rsidRPr="00640820" w14:paraId="17587E13"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29B7DBA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51.</w:t>
            </w:r>
          </w:p>
        </w:tc>
        <w:tc>
          <w:tcPr>
            <w:tcW w:w="0" w:type="auto"/>
            <w:gridSpan w:val="2"/>
            <w:tcBorders>
              <w:top w:val="outset" w:sz="6" w:space="0" w:color="auto"/>
              <w:left w:val="outset" w:sz="6" w:space="0" w:color="auto"/>
              <w:bottom w:val="outset" w:sz="6" w:space="0" w:color="auto"/>
              <w:right w:val="outset" w:sz="6" w:space="0" w:color="auto"/>
            </w:tcBorders>
            <w:hideMark/>
          </w:tcPr>
          <w:p w14:paraId="0D72A89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Свесский лесозавод</w:t>
            </w:r>
          </w:p>
          <w:p w14:paraId="02BAFD5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(ст. Свесса</w:t>
            </w:r>
          </w:p>
          <w:p w14:paraId="5A9644A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Моск.-Киев. ж/д)</w:t>
            </w:r>
          </w:p>
          <w:p w14:paraId="51D3B3A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419FCC0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там же</w:t>
            </w:r>
          </w:p>
        </w:tc>
        <w:tc>
          <w:tcPr>
            <w:tcW w:w="0" w:type="auto"/>
            <w:tcBorders>
              <w:top w:val="outset" w:sz="6" w:space="0" w:color="auto"/>
              <w:left w:val="outset" w:sz="6" w:space="0" w:color="auto"/>
              <w:bottom w:val="outset" w:sz="6" w:space="0" w:color="auto"/>
              <w:right w:val="outset" w:sz="6" w:space="0" w:color="auto"/>
            </w:tcBorders>
            <w:hideMark/>
          </w:tcPr>
          <w:p w14:paraId="2A62475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то же</w:t>
            </w:r>
          </w:p>
        </w:tc>
      </w:tr>
      <w:tr w:rsidR="00643896" w:rsidRPr="00640820" w14:paraId="134D50FC"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38E956B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52.</w:t>
            </w:r>
          </w:p>
        </w:tc>
        <w:tc>
          <w:tcPr>
            <w:tcW w:w="0" w:type="auto"/>
            <w:gridSpan w:val="2"/>
            <w:tcBorders>
              <w:top w:val="outset" w:sz="6" w:space="0" w:color="auto"/>
              <w:left w:val="outset" w:sz="6" w:space="0" w:color="auto"/>
              <w:bottom w:val="outset" w:sz="6" w:space="0" w:color="auto"/>
              <w:right w:val="outset" w:sz="6" w:space="0" w:color="auto"/>
            </w:tcBorders>
            <w:hideMark/>
          </w:tcPr>
          <w:p w14:paraId="6AB0DD6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Кондитерская фабрика им. Самойловой</w:t>
            </w:r>
          </w:p>
          <w:p w14:paraId="1E2AD5B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(Ленинград)</w:t>
            </w:r>
          </w:p>
        </w:tc>
        <w:tc>
          <w:tcPr>
            <w:tcW w:w="0" w:type="auto"/>
            <w:tcBorders>
              <w:top w:val="outset" w:sz="6" w:space="0" w:color="auto"/>
              <w:left w:val="outset" w:sz="6" w:space="0" w:color="auto"/>
              <w:bottom w:val="outset" w:sz="6" w:space="0" w:color="auto"/>
              <w:right w:val="outset" w:sz="6" w:space="0" w:color="auto"/>
            </w:tcBorders>
            <w:hideMark/>
          </w:tcPr>
          <w:p w14:paraId="6C54CB4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кондитерская фабрика Облпищепрома</w:t>
            </w:r>
          </w:p>
          <w:p w14:paraId="0C06624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 Киров</w:t>
            </w:r>
          </w:p>
          <w:p w14:paraId="6BF59D74"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48A64C8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Расп. СЭ</w:t>
            </w:r>
          </w:p>
          <w:p w14:paraId="2ED375C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23/VIII - 41 г.</w:t>
            </w:r>
          </w:p>
          <w:p w14:paraId="015ACBE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13634-сэ</w:t>
            </w:r>
          </w:p>
        </w:tc>
      </w:tr>
      <w:tr w:rsidR="00643896" w:rsidRPr="00640820" w14:paraId="7D44EA71"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182894E3"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53.</w:t>
            </w:r>
          </w:p>
        </w:tc>
        <w:tc>
          <w:tcPr>
            <w:tcW w:w="0" w:type="auto"/>
            <w:gridSpan w:val="2"/>
            <w:tcBorders>
              <w:top w:val="outset" w:sz="6" w:space="0" w:color="auto"/>
              <w:left w:val="outset" w:sz="6" w:space="0" w:color="auto"/>
              <w:bottom w:val="outset" w:sz="6" w:space="0" w:color="auto"/>
              <w:right w:val="outset" w:sz="6" w:space="0" w:color="auto"/>
            </w:tcBorders>
            <w:hideMark/>
          </w:tcPr>
          <w:p w14:paraId="67E4966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Бежецкийспиртозавод (Калининская область)</w:t>
            </w:r>
          </w:p>
        </w:tc>
        <w:tc>
          <w:tcPr>
            <w:tcW w:w="0" w:type="auto"/>
            <w:tcBorders>
              <w:top w:val="outset" w:sz="6" w:space="0" w:color="auto"/>
              <w:left w:val="outset" w:sz="6" w:space="0" w:color="auto"/>
              <w:bottom w:val="outset" w:sz="6" w:space="0" w:color="auto"/>
              <w:right w:val="outset" w:sz="6" w:space="0" w:color="auto"/>
            </w:tcBorders>
            <w:hideMark/>
          </w:tcPr>
          <w:p w14:paraId="476BC08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Вятскополянский район,</w:t>
            </w:r>
          </w:p>
          <w:p w14:paraId="0BC5026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Слуцкая церковь</w:t>
            </w:r>
          </w:p>
          <w:p w14:paraId="1FFA3F0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5E51A57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то же</w:t>
            </w:r>
          </w:p>
        </w:tc>
      </w:tr>
      <w:tr w:rsidR="00643896" w:rsidRPr="00640820" w14:paraId="1BCE8257"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57E2DDB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54.</w:t>
            </w:r>
          </w:p>
        </w:tc>
        <w:tc>
          <w:tcPr>
            <w:tcW w:w="0" w:type="auto"/>
            <w:gridSpan w:val="2"/>
            <w:tcBorders>
              <w:top w:val="outset" w:sz="6" w:space="0" w:color="auto"/>
              <w:left w:val="outset" w:sz="6" w:space="0" w:color="auto"/>
              <w:bottom w:val="outset" w:sz="6" w:space="0" w:color="auto"/>
              <w:right w:val="outset" w:sz="6" w:space="0" w:color="auto"/>
            </w:tcBorders>
            <w:hideMark/>
          </w:tcPr>
          <w:p w14:paraId="355FDE3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Мамаевскийспиртозавод (Черниговская область)</w:t>
            </w:r>
          </w:p>
          <w:p w14:paraId="39DBC03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3E68C8B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Кировский пивзавод, г. Киров</w:t>
            </w:r>
          </w:p>
        </w:tc>
        <w:tc>
          <w:tcPr>
            <w:tcW w:w="0" w:type="auto"/>
            <w:tcBorders>
              <w:top w:val="outset" w:sz="6" w:space="0" w:color="auto"/>
              <w:left w:val="outset" w:sz="6" w:space="0" w:color="auto"/>
              <w:bottom w:val="outset" w:sz="6" w:space="0" w:color="auto"/>
              <w:right w:val="outset" w:sz="6" w:space="0" w:color="auto"/>
            </w:tcBorders>
            <w:hideMark/>
          </w:tcPr>
          <w:p w14:paraId="54E978D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то же</w:t>
            </w:r>
          </w:p>
        </w:tc>
      </w:tr>
      <w:tr w:rsidR="00643896" w:rsidRPr="00640820" w14:paraId="21CEFEF4"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5C6B051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55.</w:t>
            </w:r>
          </w:p>
        </w:tc>
        <w:tc>
          <w:tcPr>
            <w:tcW w:w="0" w:type="auto"/>
            <w:gridSpan w:val="2"/>
            <w:tcBorders>
              <w:top w:val="outset" w:sz="6" w:space="0" w:color="auto"/>
              <w:left w:val="outset" w:sz="6" w:space="0" w:color="auto"/>
              <w:bottom w:val="outset" w:sz="6" w:space="0" w:color="auto"/>
              <w:right w:val="outset" w:sz="6" w:space="0" w:color="auto"/>
            </w:tcBorders>
            <w:hideMark/>
          </w:tcPr>
          <w:p w14:paraId="10AF3A1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Чемерскийспиртозавод (ст. Чернигов)</w:t>
            </w:r>
          </w:p>
          <w:p w14:paraId="2D5566E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405A0CEE"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там же</w:t>
            </w:r>
          </w:p>
        </w:tc>
        <w:tc>
          <w:tcPr>
            <w:tcW w:w="0" w:type="auto"/>
            <w:tcBorders>
              <w:top w:val="outset" w:sz="6" w:space="0" w:color="auto"/>
              <w:left w:val="outset" w:sz="6" w:space="0" w:color="auto"/>
              <w:bottom w:val="outset" w:sz="6" w:space="0" w:color="auto"/>
              <w:right w:val="outset" w:sz="6" w:space="0" w:color="auto"/>
            </w:tcBorders>
            <w:hideMark/>
          </w:tcPr>
          <w:p w14:paraId="59AECBD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то же</w:t>
            </w:r>
          </w:p>
        </w:tc>
      </w:tr>
      <w:tr w:rsidR="00643896" w:rsidRPr="00640820" w14:paraId="1C48EEB8"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1D17962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56.</w:t>
            </w:r>
          </w:p>
        </w:tc>
        <w:tc>
          <w:tcPr>
            <w:tcW w:w="0" w:type="auto"/>
            <w:gridSpan w:val="2"/>
            <w:tcBorders>
              <w:top w:val="outset" w:sz="6" w:space="0" w:color="auto"/>
              <w:left w:val="outset" w:sz="6" w:space="0" w:color="auto"/>
              <w:bottom w:val="outset" w:sz="6" w:space="0" w:color="auto"/>
              <w:right w:val="outset" w:sz="6" w:space="0" w:color="auto"/>
            </w:tcBorders>
            <w:hideMark/>
          </w:tcPr>
          <w:p w14:paraId="2CE93DC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Кайдаковскийспиртозавод (Смоленская область)</w:t>
            </w:r>
          </w:p>
          <w:p w14:paraId="0AF2BCD4"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1D42CED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там же</w:t>
            </w:r>
          </w:p>
        </w:tc>
        <w:tc>
          <w:tcPr>
            <w:tcW w:w="0" w:type="auto"/>
            <w:tcBorders>
              <w:top w:val="outset" w:sz="6" w:space="0" w:color="auto"/>
              <w:left w:val="outset" w:sz="6" w:space="0" w:color="auto"/>
              <w:bottom w:val="outset" w:sz="6" w:space="0" w:color="auto"/>
              <w:right w:val="outset" w:sz="6" w:space="0" w:color="auto"/>
            </w:tcBorders>
            <w:hideMark/>
          </w:tcPr>
          <w:p w14:paraId="2705959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то же</w:t>
            </w:r>
          </w:p>
        </w:tc>
      </w:tr>
      <w:tr w:rsidR="00643896" w:rsidRPr="00640820" w14:paraId="5EB487C4"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34FABE0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57.</w:t>
            </w:r>
          </w:p>
        </w:tc>
        <w:tc>
          <w:tcPr>
            <w:tcW w:w="0" w:type="auto"/>
            <w:gridSpan w:val="2"/>
            <w:tcBorders>
              <w:top w:val="outset" w:sz="6" w:space="0" w:color="auto"/>
              <w:left w:val="outset" w:sz="6" w:space="0" w:color="auto"/>
              <w:bottom w:val="outset" w:sz="6" w:space="0" w:color="auto"/>
              <w:right w:val="outset" w:sz="6" w:space="0" w:color="auto"/>
            </w:tcBorders>
            <w:hideMark/>
          </w:tcPr>
          <w:p w14:paraId="1259847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Остроженскийспиртозавод (Смоленская область)</w:t>
            </w:r>
          </w:p>
          <w:p w14:paraId="0F3C76B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lastRenderedPageBreak/>
              <w:t> </w:t>
            </w:r>
          </w:p>
        </w:tc>
        <w:tc>
          <w:tcPr>
            <w:tcW w:w="0" w:type="auto"/>
            <w:tcBorders>
              <w:top w:val="outset" w:sz="6" w:space="0" w:color="auto"/>
              <w:left w:val="outset" w:sz="6" w:space="0" w:color="auto"/>
              <w:bottom w:val="outset" w:sz="6" w:space="0" w:color="auto"/>
              <w:right w:val="outset" w:sz="6" w:space="0" w:color="auto"/>
            </w:tcBorders>
            <w:hideMark/>
          </w:tcPr>
          <w:p w14:paraId="1DA42DDE"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lastRenderedPageBreak/>
              <w:t>там же</w:t>
            </w:r>
          </w:p>
        </w:tc>
        <w:tc>
          <w:tcPr>
            <w:tcW w:w="0" w:type="auto"/>
            <w:tcBorders>
              <w:top w:val="outset" w:sz="6" w:space="0" w:color="auto"/>
              <w:left w:val="outset" w:sz="6" w:space="0" w:color="auto"/>
              <w:bottom w:val="outset" w:sz="6" w:space="0" w:color="auto"/>
              <w:right w:val="outset" w:sz="6" w:space="0" w:color="auto"/>
            </w:tcBorders>
            <w:hideMark/>
          </w:tcPr>
          <w:p w14:paraId="3E80652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то же</w:t>
            </w:r>
          </w:p>
        </w:tc>
      </w:tr>
      <w:tr w:rsidR="00643896" w:rsidRPr="00640820" w14:paraId="0CD90F81"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4EC94FCE"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58.</w:t>
            </w:r>
          </w:p>
        </w:tc>
        <w:tc>
          <w:tcPr>
            <w:tcW w:w="0" w:type="auto"/>
            <w:gridSpan w:val="2"/>
            <w:tcBorders>
              <w:top w:val="outset" w:sz="6" w:space="0" w:color="auto"/>
              <w:left w:val="outset" w:sz="6" w:space="0" w:color="auto"/>
              <w:bottom w:val="outset" w:sz="6" w:space="0" w:color="auto"/>
              <w:right w:val="outset" w:sz="6" w:space="0" w:color="auto"/>
            </w:tcBorders>
            <w:hideMark/>
          </w:tcPr>
          <w:p w14:paraId="1C07775E"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Поповский спиртозавод (Смоленская область)</w:t>
            </w:r>
          </w:p>
        </w:tc>
        <w:tc>
          <w:tcPr>
            <w:tcW w:w="0" w:type="auto"/>
            <w:tcBorders>
              <w:top w:val="outset" w:sz="6" w:space="0" w:color="auto"/>
              <w:left w:val="outset" w:sz="6" w:space="0" w:color="auto"/>
              <w:bottom w:val="outset" w:sz="6" w:space="0" w:color="auto"/>
              <w:right w:val="outset" w:sz="6" w:space="0" w:color="auto"/>
            </w:tcBorders>
            <w:hideMark/>
          </w:tcPr>
          <w:p w14:paraId="657B095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Слободской спиртов. завод Слободского района</w:t>
            </w:r>
          </w:p>
          <w:p w14:paraId="3C2257A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0C895D9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то же</w:t>
            </w:r>
          </w:p>
        </w:tc>
      </w:tr>
      <w:tr w:rsidR="00643896" w:rsidRPr="00640820" w14:paraId="030D33A5"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7E34759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59.</w:t>
            </w:r>
          </w:p>
        </w:tc>
        <w:tc>
          <w:tcPr>
            <w:tcW w:w="0" w:type="auto"/>
            <w:gridSpan w:val="2"/>
            <w:tcBorders>
              <w:top w:val="outset" w:sz="6" w:space="0" w:color="auto"/>
              <w:left w:val="outset" w:sz="6" w:space="0" w:color="auto"/>
              <w:bottom w:val="outset" w:sz="6" w:space="0" w:color="auto"/>
              <w:right w:val="outset" w:sz="6" w:space="0" w:color="auto"/>
            </w:tcBorders>
            <w:hideMark/>
          </w:tcPr>
          <w:p w14:paraId="3D8F343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Будыльскийспиртозавод</w:t>
            </w:r>
          </w:p>
          <w:p w14:paraId="39D3C5A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(Сумская область)</w:t>
            </w:r>
          </w:p>
        </w:tc>
        <w:tc>
          <w:tcPr>
            <w:tcW w:w="0" w:type="auto"/>
            <w:tcBorders>
              <w:top w:val="outset" w:sz="6" w:space="0" w:color="auto"/>
              <w:left w:val="outset" w:sz="6" w:space="0" w:color="auto"/>
              <w:bottom w:val="outset" w:sz="6" w:space="0" w:color="auto"/>
              <w:right w:val="outset" w:sz="6" w:space="0" w:color="auto"/>
            </w:tcBorders>
            <w:hideMark/>
          </w:tcPr>
          <w:p w14:paraId="0C535C8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Слободской спиртов. завод Слободского района</w:t>
            </w:r>
          </w:p>
          <w:p w14:paraId="7512A433"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673238F4"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Расп. СЭ</w:t>
            </w:r>
          </w:p>
          <w:p w14:paraId="0CBFCF5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7/IX -1941 г.</w:t>
            </w:r>
          </w:p>
          <w:p w14:paraId="3583241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13875-сэ</w:t>
            </w:r>
          </w:p>
        </w:tc>
      </w:tr>
      <w:tr w:rsidR="00643896" w:rsidRPr="00640820" w14:paraId="6854DAA8"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2C8302E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60.</w:t>
            </w:r>
          </w:p>
        </w:tc>
        <w:tc>
          <w:tcPr>
            <w:tcW w:w="0" w:type="auto"/>
            <w:gridSpan w:val="2"/>
            <w:tcBorders>
              <w:top w:val="outset" w:sz="6" w:space="0" w:color="auto"/>
              <w:left w:val="outset" w:sz="6" w:space="0" w:color="auto"/>
              <w:bottom w:val="outset" w:sz="6" w:space="0" w:color="auto"/>
              <w:right w:val="outset" w:sz="6" w:space="0" w:color="auto"/>
            </w:tcBorders>
            <w:hideMark/>
          </w:tcPr>
          <w:p w14:paraId="3912459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Бездринскийспиртозавод</w:t>
            </w:r>
          </w:p>
          <w:p w14:paraId="0D045FC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(Сумская область)</w:t>
            </w:r>
          </w:p>
          <w:p w14:paraId="7BDB891E"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302841B4"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Кировский пивовар. завод, г. Киров</w:t>
            </w:r>
          </w:p>
        </w:tc>
        <w:tc>
          <w:tcPr>
            <w:tcW w:w="0" w:type="auto"/>
            <w:tcBorders>
              <w:top w:val="outset" w:sz="6" w:space="0" w:color="auto"/>
              <w:left w:val="outset" w:sz="6" w:space="0" w:color="auto"/>
              <w:bottom w:val="outset" w:sz="6" w:space="0" w:color="auto"/>
              <w:right w:val="outset" w:sz="6" w:space="0" w:color="auto"/>
            </w:tcBorders>
            <w:hideMark/>
          </w:tcPr>
          <w:p w14:paraId="136D6F5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то же</w:t>
            </w:r>
          </w:p>
        </w:tc>
      </w:tr>
      <w:tr w:rsidR="00643896" w:rsidRPr="00640820" w14:paraId="18AC93C8"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1A554383"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61.</w:t>
            </w:r>
          </w:p>
        </w:tc>
        <w:tc>
          <w:tcPr>
            <w:tcW w:w="0" w:type="auto"/>
            <w:gridSpan w:val="2"/>
            <w:tcBorders>
              <w:top w:val="outset" w:sz="6" w:space="0" w:color="auto"/>
              <w:left w:val="outset" w:sz="6" w:space="0" w:color="auto"/>
              <w:bottom w:val="outset" w:sz="6" w:space="0" w:color="auto"/>
              <w:right w:val="outset" w:sz="6" w:space="0" w:color="auto"/>
            </w:tcBorders>
            <w:hideMark/>
          </w:tcPr>
          <w:p w14:paraId="540BC25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Перчаточная фабрика (г. Прилуки Черниговской области)</w:t>
            </w:r>
          </w:p>
        </w:tc>
        <w:tc>
          <w:tcPr>
            <w:tcW w:w="0" w:type="auto"/>
            <w:tcBorders>
              <w:top w:val="outset" w:sz="6" w:space="0" w:color="auto"/>
              <w:left w:val="outset" w:sz="6" w:space="0" w:color="auto"/>
              <w:bottom w:val="outset" w:sz="6" w:space="0" w:color="auto"/>
              <w:right w:val="outset" w:sz="6" w:space="0" w:color="auto"/>
            </w:tcBorders>
            <w:hideMark/>
          </w:tcPr>
          <w:p w14:paraId="622A937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Трикотажная фабрика Обллегпрома</w:t>
            </w:r>
          </w:p>
          <w:p w14:paraId="16670CC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0A60EC2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Расп. СЭ</w:t>
            </w:r>
          </w:p>
          <w:p w14:paraId="43507C2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4/IX - 41г.</w:t>
            </w:r>
          </w:p>
          <w:p w14:paraId="01B85BF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13840-сэ</w:t>
            </w:r>
          </w:p>
        </w:tc>
      </w:tr>
      <w:tr w:rsidR="00643896" w:rsidRPr="00640820" w14:paraId="68D4F56D"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2FAE27F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62.</w:t>
            </w:r>
          </w:p>
        </w:tc>
        <w:tc>
          <w:tcPr>
            <w:tcW w:w="0" w:type="auto"/>
            <w:gridSpan w:val="2"/>
            <w:tcBorders>
              <w:top w:val="outset" w:sz="6" w:space="0" w:color="auto"/>
              <w:left w:val="outset" w:sz="6" w:space="0" w:color="auto"/>
              <w:bottom w:val="outset" w:sz="6" w:space="0" w:color="auto"/>
              <w:right w:val="outset" w:sz="6" w:space="0" w:color="auto"/>
            </w:tcBorders>
            <w:hideMark/>
          </w:tcPr>
          <w:p w14:paraId="47400413"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Швейная фабрика</w:t>
            </w:r>
          </w:p>
          <w:p w14:paraId="7DE9227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 индпошивом</w:t>
            </w:r>
          </w:p>
          <w:p w14:paraId="73DC401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(Сумская область)</w:t>
            </w:r>
          </w:p>
        </w:tc>
        <w:tc>
          <w:tcPr>
            <w:tcW w:w="0" w:type="auto"/>
            <w:tcBorders>
              <w:top w:val="outset" w:sz="6" w:space="0" w:color="auto"/>
              <w:left w:val="outset" w:sz="6" w:space="0" w:color="auto"/>
              <w:bottom w:val="outset" w:sz="6" w:space="0" w:color="auto"/>
              <w:right w:val="outset" w:sz="6" w:space="0" w:color="auto"/>
            </w:tcBorders>
            <w:hideMark/>
          </w:tcPr>
          <w:p w14:paraId="6392AA5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Кировская</w:t>
            </w:r>
          </w:p>
          <w:p w14:paraId="0C9E71B4"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швейная фабрика</w:t>
            </w:r>
          </w:p>
          <w:p w14:paraId="357CB78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Обллегпрома</w:t>
            </w:r>
          </w:p>
          <w:p w14:paraId="0C9A2F5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12168F9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Расп. СЭ</w:t>
            </w:r>
          </w:p>
          <w:p w14:paraId="068E96A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4/IX - 41 г.</w:t>
            </w:r>
          </w:p>
          <w:p w14:paraId="27364A8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13840-сэ</w:t>
            </w:r>
          </w:p>
        </w:tc>
      </w:tr>
      <w:tr w:rsidR="00643896" w:rsidRPr="00640820" w14:paraId="780BC2A1"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4CD84A23"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63.</w:t>
            </w:r>
          </w:p>
        </w:tc>
        <w:tc>
          <w:tcPr>
            <w:tcW w:w="0" w:type="auto"/>
            <w:gridSpan w:val="2"/>
            <w:tcBorders>
              <w:top w:val="outset" w:sz="6" w:space="0" w:color="auto"/>
              <w:left w:val="outset" w:sz="6" w:space="0" w:color="auto"/>
              <w:bottom w:val="outset" w:sz="6" w:space="0" w:color="auto"/>
              <w:right w:val="outset" w:sz="6" w:space="0" w:color="auto"/>
            </w:tcBorders>
            <w:hideMark/>
          </w:tcPr>
          <w:p w14:paraId="20A0FE0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Каблучная фабрика</w:t>
            </w:r>
          </w:p>
          <w:p w14:paraId="5B3D254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(Запорожская область)</w:t>
            </w:r>
          </w:p>
        </w:tc>
        <w:tc>
          <w:tcPr>
            <w:tcW w:w="0" w:type="auto"/>
            <w:tcBorders>
              <w:top w:val="outset" w:sz="6" w:space="0" w:color="auto"/>
              <w:left w:val="outset" w:sz="6" w:space="0" w:color="auto"/>
              <w:bottom w:val="outset" w:sz="6" w:space="0" w:color="auto"/>
              <w:right w:val="outset" w:sz="6" w:space="0" w:color="auto"/>
            </w:tcBorders>
            <w:hideMark/>
          </w:tcPr>
          <w:p w14:paraId="53CD235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Склады</w:t>
            </w:r>
          </w:p>
          <w:p w14:paraId="7FD179B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Киров. ф-ки обуви Обллегпрома</w:t>
            </w:r>
          </w:p>
        </w:tc>
        <w:tc>
          <w:tcPr>
            <w:tcW w:w="0" w:type="auto"/>
            <w:tcBorders>
              <w:top w:val="outset" w:sz="6" w:space="0" w:color="auto"/>
              <w:left w:val="outset" w:sz="6" w:space="0" w:color="auto"/>
              <w:bottom w:val="outset" w:sz="6" w:space="0" w:color="auto"/>
              <w:right w:val="outset" w:sz="6" w:space="0" w:color="auto"/>
            </w:tcBorders>
            <w:hideMark/>
          </w:tcPr>
          <w:p w14:paraId="2236B19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Расп. СЭ</w:t>
            </w:r>
          </w:p>
          <w:p w14:paraId="2748383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4/IX - 41 г.</w:t>
            </w:r>
          </w:p>
          <w:p w14:paraId="18A2471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13840-сэ</w:t>
            </w:r>
          </w:p>
          <w:p w14:paraId="248E096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r>
      <w:tr w:rsidR="00643896" w:rsidRPr="00640820" w14:paraId="57DBB84A"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7636913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64.</w:t>
            </w:r>
          </w:p>
        </w:tc>
        <w:tc>
          <w:tcPr>
            <w:tcW w:w="0" w:type="auto"/>
            <w:gridSpan w:val="2"/>
            <w:tcBorders>
              <w:top w:val="outset" w:sz="6" w:space="0" w:color="auto"/>
              <w:left w:val="outset" w:sz="6" w:space="0" w:color="auto"/>
              <w:bottom w:val="outset" w:sz="6" w:space="0" w:color="auto"/>
              <w:right w:val="outset" w:sz="6" w:space="0" w:color="auto"/>
            </w:tcBorders>
            <w:hideMark/>
          </w:tcPr>
          <w:p w14:paraId="266F1A5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Марковский спиртозавод</w:t>
            </w:r>
          </w:p>
        </w:tc>
        <w:tc>
          <w:tcPr>
            <w:tcW w:w="0" w:type="auto"/>
            <w:tcBorders>
              <w:top w:val="outset" w:sz="6" w:space="0" w:color="auto"/>
              <w:left w:val="outset" w:sz="6" w:space="0" w:color="auto"/>
              <w:bottom w:val="outset" w:sz="6" w:space="0" w:color="auto"/>
              <w:right w:val="outset" w:sz="6" w:space="0" w:color="auto"/>
            </w:tcBorders>
            <w:hideMark/>
          </w:tcPr>
          <w:p w14:paraId="0F52709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Вятскополян. район,</w:t>
            </w:r>
          </w:p>
          <w:p w14:paraId="68B5594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Слуцкая церковь</w:t>
            </w:r>
          </w:p>
        </w:tc>
        <w:tc>
          <w:tcPr>
            <w:tcW w:w="0" w:type="auto"/>
            <w:tcBorders>
              <w:top w:val="outset" w:sz="6" w:space="0" w:color="auto"/>
              <w:left w:val="outset" w:sz="6" w:space="0" w:color="auto"/>
              <w:bottom w:val="outset" w:sz="6" w:space="0" w:color="auto"/>
              <w:right w:val="outset" w:sz="6" w:space="0" w:color="auto"/>
            </w:tcBorders>
            <w:hideMark/>
          </w:tcPr>
          <w:p w14:paraId="102E89CE"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Расп. СЭ</w:t>
            </w:r>
          </w:p>
          <w:p w14:paraId="6469603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13/IX - 41 г.</w:t>
            </w:r>
          </w:p>
          <w:p w14:paraId="399D7A5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13941-сэ</w:t>
            </w:r>
          </w:p>
          <w:p w14:paraId="696B63A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r>
      <w:tr w:rsidR="00643896" w:rsidRPr="00640820" w14:paraId="5BE5C299"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2339E3E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65.</w:t>
            </w:r>
          </w:p>
        </w:tc>
        <w:tc>
          <w:tcPr>
            <w:tcW w:w="0" w:type="auto"/>
            <w:gridSpan w:val="2"/>
            <w:tcBorders>
              <w:top w:val="outset" w:sz="6" w:space="0" w:color="auto"/>
              <w:left w:val="outset" w:sz="6" w:space="0" w:color="auto"/>
              <w:bottom w:val="outset" w:sz="6" w:space="0" w:color="auto"/>
              <w:right w:val="outset" w:sz="6" w:space="0" w:color="auto"/>
            </w:tcBorders>
            <w:hideMark/>
          </w:tcPr>
          <w:p w14:paraId="7EE9A3EE"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Дерюгинская</w:t>
            </w:r>
          </w:p>
          <w:p w14:paraId="6442E17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бум. фабрика Главтабака</w:t>
            </w:r>
          </w:p>
        </w:tc>
        <w:tc>
          <w:tcPr>
            <w:tcW w:w="0" w:type="auto"/>
            <w:tcBorders>
              <w:top w:val="outset" w:sz="6" w:space="0" w:color="auto"/>
              <w:left w:val="outset" w:sz="6" w:space="0" w:color="auto"/>
              <w:bottom w:val="outset" w:sz="6" w:space="0" w:color="auto"/>
              <w:right w:val="outset" w:sz="6" w:space="0" w:color="auto"/>
            </w:tcBorders>
            <w:hideMark/>
          </w:tcPr>
          <w:p w14:paraId="74CF68D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ст. Луза, бумфабрика</w:t>
            </w:r>
          </w:p>
          <w:p w14:paraId="53F4FFA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p w14:paraId="7901837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4A1D2A1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то же</w:t>
            </w:r>
          </w:p>
        </w:tc>
      </w:tr>
      <w:tr w:rsidR="00643896" w:rsidRPr="00640820" w14:paraId="2EBF07E1"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1867518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66.</w:t>
            </w:r>
          </w:p>
        </w:tc>
        <w:tc>
          <w:tcPr>
            <w:tcW w:w="0" w:type="auto"/>
            <w:gridSpan w:val="2"/>
            <w:tcBorders>
              <w:top w:val="outset" w:sz="6" w:space="0" w:color="auto"/>
              <w:left w:val="outset" w:sz="6" w:space="0" w:color="auto"/>
              <w:bottom w:val="outset" w:sz="6" w:space="0" w:color="auto"/>
              <w:right w:val="outset" w:sz="6" w:space="0" w:color="auto"/>
            </w:tcBorders>
            <w:hideMark/>
          </w:tcPr>
          <w:p w14:paraId="4EAFA21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Троицкая бумфабрика</w:t>
            </w:r>
          </w:p>
          <w:p w14:paraId="42EA952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(один дизель)</w:t>
            </w:r>
          </w:p>
        </w:tc>
        <w:tc>
          <w:tcPr>
            <w:tcW w:w="0" w:type="auto"/>
            <w:tcBorders>
              <w:top w:val="outset" w:sz="6" w:space="0" w:color="auto"/>
              <w:left w:val="outset" w:sz="6" w:space="0" w:color="auto"/>
              <w:bottom w:val="outset" w:sz="6" w:space="0" w:color="auto"/>
              <w:right w:val="outset" w:sz="6" w:space="0" w:color="auto"/>
            </w:tcBorders>
            <w:hideMark/>
          </w:tcPr>
          <w:p w14:paraId="3C693E4E"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Бумфабрика "Красный курсант"</w:t>
            </w:r>
          </w:p>
        </w:tc>
        <w:tc>
          <w:tcPr>
            <w:tcW w:w="0" w:type="auto"/>
            <w:tcBorders>
              <w:top w:val="outset" w:sz="6" w:space="0" w:color="auto"/>
              <w:left w:val="outset" w:sz="6" w:space="0" w:color="auto"/>
              <w:bottom w:val="outset" w:sz="6" w:space="0" w:color="auto"/>
              <w:right w:val="outset" w:sz="6" w:space="0" w:color="auto"/>
            </w:tcBorders>
            <w:hideMark/>
          </w:tcPr>
          <w:p w14:paraId="2C880C3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Расп. СЭ</w:t>
            </w:r>
          </w:p>
          <w:p w14:paraId="7A4906D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25/IX - 41 г.</w:t>
            </w:r>
          </w:p>
          <w:p w14:paraId="5E998D0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14073-сэ</w:t>
            </w:r>
          </w:p>
          <w:p w14:paraId="43C319B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r>
      <w:tr w:rsidR="00643896" w:rsidRPr="00640820" w14:paraId="6FE336F7"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719E209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67.</w:t>
            </w:r>
          </w:p>
        </w:tc>
        <w:tc>
          <w:tcPr>
            <w:tcW w:w="0" w:type="auto"/>
            <w:gridSpan w:val="2"/>
            <w:tcBorders>
              <w:top w:val="outset" w:sz="6" w:space="0" w:color="auto"/>
              <w:left w:val="outset" w:sz="6" w:space="0" w:color="auto"/>
              <w:bottom w:val="outset" w:sz="6" w:space="0" w:color="auto"/>
              <w:right w:val="outset" w:sz="6" w:space="0" w:color="auto"/>
            </w:tcBorders>
            <w:hideMark/>
          </w:tcPr>
          <w:p w14:paraId="5A566474"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Полотняно-заводская бумфабрика</w:t>
            </w:r>
          </w:p>
          <w:p w14:paraId="3F58972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44AC557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Косинская бумфабрика</w:t>
            </w:r>
          </w:p>
        </w:tc>
        <w:tc>
          <w:tcPr>
            <w:tcW w:w="0" w:type="auto"/>
            <w:tcBorders>
              <w:top w:val="outset" w:sz="6" w:space="0" w:color="auto"/>
              <w:left w:val="outset" w:sz="6" w:space="0" w:color="auto"/>
              <w:bottom w:val="outset" w:sz="6" w:space="0" w:color="auto"/>
              <w:right w:val="outset" w:sz="6" w:space="0" w:color="auto"/>
            </w:tcBorders>
            <w:hideMark/>
          </w:tcPr>
          <w:p w14:paraId="22569D74"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то же</w:t>
            </w:r>
          </w:p>
        </w:tc>
      </w:tr>
      <w:tr w:rsidR="00643896" w:rsidRPr="00640820" w14:paraId="660F1525"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7AC09B0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68.</w:t>
            </w:r>
          </w:p>
        </w:tc>
        <w:tc>
          <w:tcPr>
            <w:tcW w:w="0" w:type="auto"/>
            <w:gridSpan w:val="2"/>
            <w:tcBorders>
              <w:top w:val="outset" w:sz="6" w:space="0" w:color="auto"/>
              <w:left w:val="outset" w:sz="6" w:space="0" w:color="auto"/>
              <w:bottom w:val="outset" w:sz="6" w:space="0" w:color="auto"/>
              <w:right w:val="outset" w:sz="6" w:space="0" w:color="auto"/>
            </w:tcBorders>
            <w:hideMark/>
          </w:tcPr>
          <w:p w14:paraId="4A08AB7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Завод № 266 г. Москва</w:t>
            </w:r>
          </w:p>
        </w:tc>
        <w:tc>
          <w:tcPr>
            <w:tcW w:w="0" w:type="auto"/>
            <w:tcBorders>
              <w:top w:val="outset" w:sz="6" w:space="0" w:color="auto"/>
              <w:left w:val="outset" w:sz="6" w:space="0" w:color="auto"/>
              <w:bottom w:val="outset" w:sz="6" w:space="0" w:color="auto"/>
              <w:right w:val="outset" w:sz="6" w:space="0" w:color="auto"/>
            </w:tcBorders>
            <w:hideMark/>
          </w:tcPr>
          <w:p w14:paraId="49A6F68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46-й завод НКАП</w:t>
            </w:r>
          </w:p>
        </w:tc>
        <w:tc>
          <w:tcPr>
            <w:tcW w:w="0" w:type="auto"/>
            <w:tcBorders>
              <w:top w:val="outset" w:sz="6" w:space="0" w:color="auto"/>
              <w:left w:val="outset" w:sz="6" w:space="0" w:color="auto"/>
              <w:bottom w:val="outset" w:sz="6" w:space="0" w:color="auto"/>
              <w:right w:val="outset" w:sz="6" w:space="0" w:color="auto"/>
            </w:tcBorders>
            <w:hideMark/>
          </w:tcPr>
          <w:p w14:paraId="254C946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Пост. СЭ</w:t>
            </w:r>
          </w:p>
          <w:p w14:paraId="05E4FFF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СЭ-147 сс</w:t>
            </w:r>
          </w:p>
          <w:p w14:paraId="3D3C7F7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10/X - 41 г.</w:t>
            </w:r>
          </w:p>
          <w:p w14:paraId="54F214A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r>
      <w:tr w:rsidR="00643896" w:rsidRPr="00640820" w14:paraId="3DD8CDCA"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6BAB1B6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69.</w:t>
            </w:r>
          </w:p>
        </w:tc>
        <w:tc>
          <w:tcPr>
            <w:tcW w:w="0" w:type="auto"/>
            <w:gridSpan w:val="2"/>
            <w:tcBorders>
              <w:top w:val="outset" w:sz="6" w:space="0" w:color="auto"/>
              <w:left w:val="outset" w:sz="6" w:space="0" w:color="auto"/>
              <w:bottom w:val="outset" w:sz="6" w:space="0" w:color="auto"/>
              <w:right w:val="outset" w:sz="6" w:space="0" w:color="auto"/>
            </w:tcBorders>
            <w:hideMark/>
          </w:tcPr>
          <w:p w14:paraId="1E47655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Завод № 1</w:t>
            </w:r>
          </w:p>
          <w:p w14:paraId="34084893"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Оргавиахима</w:t>
            </w:r>
          </w:p>
          <w:p w14:paraId="3CD4F43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 Москва.</w:t>
            </w:r>
          </w:p>
        </w:tc>
        <w:tc>
          <w:tcPr>
            <w:tcW w:w="0" w:type="auto"/>
            <w:tcBorders>
              <w:top w:val="outset" w:sz="6" w:space="0" w:color="auto"/>
              <w:left w:val="outset" w:sz="6" w:space="0" w:color="auto"/>
              <w:bottom w:val="outset" w:sz="6" w:space="0" w:color="auto"/>
              <w:right w:val="outset" w:sz="6" w:space="0" w:color="auto"/>
            </w:tcBorders>
            <w:hideMark/>
          </w:tcPr>
          <w:p w14:paraId="50A8A58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Законсервирован. завод в поселке Климковка Белохолуницкого района</w:t>
            </w:r>
          </w:p>
          <w:p w14:paraId="70E3594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5CE4D0D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Пост. СЭ</w:t>
            </w:r>
          </w:p>
          <w:p w14:paraId="512C65B4"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СЭ-147сс</w:t>
            </w:r>
          </w:p>
          <w:p w14:paraId="2F467A9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10/X - 41 г.</w:t>
            </w:r>
          </w:p>
        </w:tc>
      </w:tr>
      <w:tr w:rsidR="00643896" w:rsidRPr="00640820" w14:paraId="1EA4E319"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415B924E"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70.</w:t>
            </w:r>
          </w:p>
        </w:tc>
        <w:tc>
          <w:tcPr>
            <w:tcW w:w="0" w:type="auto"/>
            <w:gridSpan w:val="2"/>
            <w:tcBorders>
              <w:top w:val="outset" w:sz="6" w:space="0" w:color="auto"/>
              <w:left w:val="outset" w:sz="6" w:space="0" w:color="auto"/>
              <w:bottom w:val="outset" w:sz="6" w:space="0" w:color="auto"/>
              <w:right w:val="outset" w:sz="6" w:space="0" w:color="auto"/>
            </w:tcBorders>
            <w:hideMark/>
          </w:tcPr>
          <w:p w14:paraId="71087E9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Артемовский спиртозавод</w:t>
            </w:r>
          </w:p>
          <w:p w14:paraId="6DED7943"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(ст. Мерефа Южн. ж/д)</w:t>
            </w:r>
          </w:p>
          <w:p w14:paraId="4A51FCD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465DCDE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Слободской спиртозавод</w:t>
            </w:r>
          </w:p>
        </w:tc>
        <w:tc>
          <w:tcPr>
            <w:tcW w:w="0" w:type="auto"/>
            <w:tcBorders>
              <w:top w:val="outset" w:sz="6" w:space="0" w:color="auto"/>
              <w:left w:val="outset" w:sz="6" w:space="0" w:color="auto"/>
              <w:bottom w:val="outset" w:sz="6" w:space="0" w:color="auto"/>
              <w:right w:val="outset" w:sz="6" w:space="0" w:color="auto"/>
            </w:tcBorders>
            <w:hideMark/>
          </w:tcPr>
          <w:p w14:paraId="17B0CBD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Расп. СЭ № 14252сэ</w:t>
            </w:r>
          </w:p>
          <w:p w14:paraId="7487F3E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13/X - 41 г.</w:t>
            </w:r>
          </w:p>
        </w:tc>
      </w:tr>
      <w:tr w:rsidR="00643896" w:rsidRPr="00640820" w14:paraId="3A2EFA44" w14:textId="77777777" w:rsidTr="002B4573">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14:paraId="36A90B6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71.</w:t>
            </w:r>
          </w:p>
        </w:tc>
        <w:tc>
          <w:tcPr>
            <w:tcW w:w="0" w:type="auto"/>
            <w:gridSpan w:val="2"/>
            <w:tcBorders>
              <w:top w:val="outset" w:sz="6" w:space="0" w:color="auto"/>
              <w:left w:val="outset" w:sz="6" w:space="0" w:color="auto"/>
              <w:bottom w:val="outset" w:sz="6" w:space="0" w:color="auto"/>
              <w:right w:val="outset" w:sz="6" w:space="0" w:color="auto"/>
            </w:tcBorders>
            <w:hideMark/>
          </w:tcPr>
          <w:p w14:paraId="0E282A2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Борский мебельно-</w:t>
            </w:r>
          </w:p>
          <w:p w14:paraId="35E677B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деревообделочный комбинат</w:t>
            </w:r>
          </w:p>
          <w:p w14:paraId="658C1F0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(ст. Графская</w:t>
            </w:r>
          </w:p>
          <w:p w14:paraId="4B8FC83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Юго-Вост. ж/д)</w:t>
            </w:r>
          </w:p>
        </w:tc>
        <w:tc>
          <w:tcPr>
            <w:tcW w:w="0" w:type="auto"/>
            <w:tcBorders>
              <w:top w:val="outset" w:sz="6" w:space="0" w:color="auto"/>
              <w:left w:val="outset" w:sz="6" w:space="0" w:color="auto"/>
              <w:bottom w:val="outset" w:sz="6" w:space="0" w:color="auto"/>
              <w:right w:val="outset" w:sz="6" w:space="0" w:color="auto"/>
            </w:tcBorders>
            <w:hideMark/>
          </w:tcPr>
          <w:p w14:paraId="6601541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Сосновский лесозавод</w:t>
            </w:r>
          </w:p>
          <w:p w14:paraId="5C044D0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(р/пос. Сосновка,</w:t>
            </w:r>
          </w:p>
          <w:p w14:paraId="2C0BC86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Вятскопол. р.)</w:t>
            </w:r>
          </w:p>
        </w:tc>
        <w:tc>
          <w:tcPr>
            <w:tcW w:w="0" w:type="auto"/>
            <w:tcBorders>
              <w:top w:val="outset" w:sz="6" w:space="0" w:color="auto"/>
              <w:left w:val="outset" w:sz="6" w:space="0" w:color="auto"/>
              <w:bottom w:val="outset" w:sz="6" w:space="0" w:color="auto"/>
              <w:right w:val="outset" w:sz="6" w:space="0" w:color="auto"/>
            </w:tcBorders>
            <w:hideMark/>
          </w:tcPr>
          <w:p w14:paraId="5B130BF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Расп. СЭ № 14289сэ</w:t>
            </w:r>
          </w:p>
          <w:p w14:paraId="04BF4E64"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14/X - 41 г.</w:t>
            </w:r>
          </w:p>
        </w:tc>
      </w:tr>
      <w:tr w:rsidR="00643896" w:rsidRPr="00640820" w14:paraId="034D0673" w14:textId="77777777" w:rsidTr="002B4573">
        <w:trPr>
          <w:tblCellSpacing w:w="15" w:type="dxa"/>
        </w:trPr>
        <w:tc>
          <w:tcPr>
            <w:tcW w:w="0" w:type="auto"/>
            <w:gridSpan w:val="2"/>
            <w:tcBorders>
              <w:top w:val="outset" w:sz="6" w:space="0" w:color="auto"/>
              <w:left w:val="outset" w:sz="6" w:space="0" w:color="auto"/>
              <w:bottom w:val="outset" w:sz="6" w:space="0" w:color="auto"/>
              <w:right w:val="outset" w:sz="6" w:space="0" w:color="auto"/>
            </w:tcBorders>
            <w:hideMark/>
          </w:tcPr>
          <w:p w14:paraId="3743D56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w:t>
            </w:r>
          </w:p>
        </w:tc>
        <w:tc>
          <w:tcPr>
            <w:tcW w:w="0" w:type="auto"/>
            <w:tcBorders>
              <w:top w:val="outset" w:sz="6" w:space="0" w:color="auto"/>
              <w:left w:val="outset" w:sz="6" w:space="0" w:color="auto"/>
              <w:bottom w:val="outset" w:sz="6" w:space="0" w:color="auto"/>
              <w:right w:val="outset" w:sz="6" w:space="0" w:color="auto"/>
            </w:tcBorders>
            <w:hideMark/>
          </w:tcPr>
          <w:p w14:paraId="405F7E74"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Кожсырьевая база</w:t>
            </w:r>
          </w:p>
          <w:p w14:paraId="2A83096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(Киев)</w:t>
            </w:r>
          </w:p>
        </w:tc>
        <w:tc>
          <w:tcPr>
            <w:tcW w:w="0" w:type="auto"/>
            <w:tcBorders>
              <w:top w:val="outset" w:sz="6" w:space="0" w:color="auto"/>
              <w:left w:val="outset" w:sz="6" w:space="0" w:color="auto"/>
              <w:bottom w:val="outset" w:sz="6" w:space="0" w:color="auto"/>
              <w:right w:val="outset" w:sz="6" w:space="0" w:color="auto"/>
            </w:tcBorders>
            <w:hideMark/>
          </w:tcPr>
          <w:p w14:paraId="000C5F0E"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Кировкожсырьев. завод</w:t>
            </w:r>
          </w:p>
        </w:tc>
        <w:tc>
          <w:tcPr>
            <w:tcW w:w="0" w:type="auto"/>
            <w:tcBorders>
              <w:top w:val="outset" w:sz="6" w:space="0" w:color="auto"/>
              <w:left w:val="outset" w:sz="6" w:space="0" w:color="auto"/>
              <w:bottom w:val="outset" w:sz="6" w:space="0" w:color="auto"/>
              <w:right w:val="outset" w:sz="6" w:space="0" w:color="auto"/>
            </w:tcBorders>
            <w:hideMark/>
          </w:tcPr>
          <w:p w14:paraId="75A75D1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Расп. СЭ № 5367сэ</w:t>
            </w:r>
          </w:p>
          <w:p w14:paraId="30AC6194"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9/VIII- 41 г.</w:t>
            </w:r>
          </w:p>
          <w:p w14:paraId="602840D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r>
      <w:tr w:rsidR="00643896" w:rsidRPr="00640820" w14:paraId="496D7912" w14:textId="77777777" w:rsidTr="002B4573">
        <w:trPr>
          <w:tblCellSpacing w:w="15" w:type="dxa"/>
        </w:trPr>
        <w:tc>
          <w:tcPr>
            <w:tcW w:w="0" w:type="auto"/>
            <w:gridSpan w:val="2"/>
            <w:tcBorders>
              <w:top w:val="outset" w:sz="6" w:space="0" w:color="auto"/>
              <w:left w:val="outset" w:sz="6" w:space="0" w:color="auto"/>
              <w:bottom w:val="outset" w:sz="6" w:space="0" w:color="auto"/>
              <w:right w:val="outset" w:sz="6" w:space="0" w:color="auto"/>
            </w:tcBorders>
            <w:hideMark/>
          </w:tcPr>
          <w:p w14:paraId="3CFD2B0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w:t>
            </w:r>
          </w:p>
        </w:tc>
        <w:tc>
          <w:tcPr>
            <w:tcW w:w="0" w:type="auto"/>
            <w:tcBorders>
              <w:top w:val="outset" w:sz="6" w:space="0" w:color="auto"/>
              <w:left w:val="outset" w:sz="6" w:space="0" w:color="auto"/>
              <w:bottom w:val="outset" w:sz="6" w:space="0" w:color="auto"/>
              <w:right w:val="outset" w:sz="6" w:space="0" w:color="auto"/>
            </w:tcBorders>
            <w:hideMark/>
          </w:tcPr>
          <w:p w14:paraId="5769007E"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Главлегснаб (материалы) (Ленинград)</w:t>
            </w:r>
          </w:p>
          <w:p w14:paraId="7244B4C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50D8B37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Комбинат "Искож"</w:t>
            </w:r>
          </w:p>
        </w:tc>
        <w:tc>
          <w:tcPr>
            <w:tcW w:w="0" w:type="auto"/>
            <w:tcBorders>
              <w:top w:val="outset" w:sz="6" w:space="0" w:color="auto"/>
              <w:left w:val="outset" w:sz="6" w:space="0" w:color="auto"/>
              <w:bottom w:val="outset" w:sz="6" w:space="0" w:color="auto"/>
              <w:right w:val="outset" w:sz="6" w:space="0" w:color="auto"/>
            </w:tcBorders>
            <w:hideMark/>
          </w:tcPr>
          <w:p w14:paraId="246A202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Расп. СЭ</w:t>
            </w:r>
          </w:p>
          <w:p w14:paraId="1660EB1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15/VIII - 41 г.</w:t>
            </w:r>
          </w:p>
          <w:p w14:paraId="1F27803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5449сэ</w:t>
            </w:r>
          </w:p>
        </w:tc>
      </w:tr>
      <w:tr w:rsidR="00643896" w:rsidRPr="00640820" w14:paraId="73D2AF1E" w14:textId="77777777" w:rsidTr="002B4573">
        <w:trPr>
          <w:tblCellSpacing w:w="15" w:type="dxa"/>
        </w:trPr>
        <w:tc>
          <w:tcPr>
            <w:tcW w:w="0" w:type="auto"/>
            <w:gridSpan w:val="2"/>
            <w:tcBorders>
              <w:top w:val="outset" w:sz="6" w:space="0" w:color="auto"/>
              <w:left w:val="outset" w:sz="6" w:space="0" w:color="auto"/>
              <w:bottom w:val="outset" w:sz="6" w:space="0" w:color="auto"/>
              <w:right w:val="outset" w:sz="6" w:space="0" w:color="auto"/>
            </w:tcBorders>
            <w:hideMark/>
          </w:tcPr>
          <w:p w14:paraId="07CA73E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3.</w:t>
            </w:r>
          </w:p>
        </w:tc>
        <w:tc>
          <w:tcPr>
            <w:tcW w:w="0" w:type="auto"/>
            <w:tcBorders>
              <w:top w:val="outset" w:sz="6" w:space="0" w:color="auto"/>
              <w:left w:val="outset" w:sz="6" w:space="0" w:color="auto"/>
              <w:bottom w:val="outset" w:sz="6" w:space="0" w:color="auto"/>
              <w:right w:val="outset" w:sz="6" w:space="0" w:color="auto"/>
            </w:tcBorders>
            <w:hideMark/>
          </w:tcPr>
          <w:p w14:paraId="7CCCCF2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Сырье, находящееся</w:t>
            </w:r>
          </w:p>
          <w:p w14:paraId="58354AB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Ленпорту</w:t>
            </w:r>
          </w:p>
          <w:p w14:paraId="0F802613"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4241675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Кир. овчин.-шубный завод</w:t>
            </w:r>
          </w:p>
        </w:tc>
        <w:tc>
          <w:tcPr>
            <w:tcW w:w="0" w:type="auto"/>
            <w:tcBorders>
              <w:top w:val="outset" w:sz="6" w:space="0" w:color="auto"/>
              <w:left w:val="outset" w:sz="6" w:space="0" w:color="auto"/>
              <w:bottom w:val="outset" w:sz="6" w:space="0" w:color="auto"/>
              <w:right w:val="outset" w:sz="6" w:space="0" w:color="auto"/>
            </w:tcBorders>
            <w:hideMark/>
          </w:tcPr>
          <w:p w14:paraId="6226568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то же</w:t>
            </w:r>
          </w:p>
        </w:tc>
      </w:tr>
      <w:tr w:rsidR="00643896" w:rsidRPr="00640820" w14:paraId="540198BF" w14:textId="77777777" w:rsidTr="002B4573">
        <w:trPr>
          <w:tblCellSpacing w:w="15" w:type="dxa"/>
        </w:trPr>
        <w:tc>
          <w:tcPr>
            <w:tcW w:w="0" w:type="auto"/>
            <w:gridSpan w:val="2"/>
            <w:tcBorders>
              <w:top w:val="outset" w:sz="6" w:space="0" w:color="auto"/>
              <w:left w:val="outset" w:sz="6" w:space="0" w:color="auto"/>
              <w:bottom w:val="outset" w:sz="6" w:space="0" w:color="auto"/>
              <w:right w:val="outset" w:sz="6" w:space="0" w:color="auto"/>
            </w:tcBorders>
            <w:hideMark/>
          </w:tcPr>
          <w:p w14:paraId="7494FA9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4.</w:t>
            </w:r>
          </w:p>
        </w:tc>
        <w:tc>
          <w:tcPr>
            <w:tcW w:w="0" w:type="auto"/>
            <w:tcBorders>
              <w:top w:val="outset" w:sz="6" w:space="0" w:color="auto"/>
              <w:left w:val="outset" w:sz="6" w:space="0" w:color="auto"/>
              <w:bottom w:val="outset" w:sz="6" w:space="0" w:color="auto"/>
              <w:right w:val="outset" w:sz="6" w:space="0" w:color="auto"/>
            </w:tcBorders>
            <w:hideMark/>
          </w:tcPr>
          <w:p w14:paraId="125DA9CE"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Кожсырьевая база</w:t>
            </w:r>
          </w:p>
          <w:p w14:paraId="2E47F39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 Полтава).</w:t>
            </w:r>
          </w:p>
        </w:tc>
        <w:tc>
          <w:tcPr>
            <w:tcW w:w="0" w:type="auto"/>
            <w:tcBorders>
              <w:top w:val="outset" w:sz="6" w:space="0" w:color="auto"/>
              <w:left w:val="outset" w:sz="6" w:space="0" w:color="auto"/>
              <w:bottom w:val="outset" w:sz="6" w:space="0" w:color="auto"/>
              <w:right w:val="outset" w:sz="6" w:space="0" w:color="auto"/>
            </w:tcBorders>
            <w:hideMark/>
          </w:tcPr>
          <w:p w14:paraId="1957D034"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Кировская кожсырьевая база</w:t>
            </w:r>
          </w:p>
        </w:tc>
        <w:tc>
          <w:tcPr>
            <w:tcW w:w="0" w:type="auto"/>
            <w:tcBorders>
              <w:top w:val="outset" w:sz="6" w:space="0" w:color="auto"/>
              <w:left w:val="outset" w:sz="6" w:space="0" w:color="auto"/>
              <w:bottom w:val="outset" w:sz="6" w:space="0" w:color="auto"/>
              <w:right w:val="outset" w:sz="6" w:space="0" w:color="auto"/>
            </w:tcBorders>
            <w:hideMark/>
          </w:tcPr>
          <w:p w14:paraId="58DB1C2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Расп. СЭ</w:t>
            </w:r>
          </w:p>
          <w:p w14:paraId="68D3E60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25/VIII - 41 г.</w:t>
            </w:r>
          </w:p>
          <w:p w14:paraId="242C569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13656-сэ</w:t>
            </w:r>
          </w:p>
        </w:tc>
      </w:tr>
      <w:tr w:rsidR="00643896" w:rsidRPr="00640820" w14:paraId="3A1767B9" w14:textId="77777777" w:rsidTr="002B4573">
        <w:trPr>
          <w:tblCellSpacing w:w="15" w:type="dxa"/>
        </w:trPr>
        <w:tc>
          <w:tcPr>
            <w:tcW w:w="0" w:type="auto"/>
            <w:gridSpan w:val="2"/>
            <w:tcBorders>
              <w:top w:val="outset" w:sz="6" w:space="0" w:color="auto"/>
              <w:left w:val="outset" w:sz="6" w:space="0" w:color="auto"/>
              <w:bottom w:val="outset" w:sz="6" w:space="0" w:color="auto"/>
              <w:right w:val="outset" w:sz="6" w:space="0" w:color="auto"/>
            </w:tcBorders>
            <w:hideMark/>
          </w:tcPr>
          <w:p w14:paraId="5C4DA75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w:t>
            </w:r>
          </w:p>
        </w:tc>
        <w:tc>
          <w:tcPr>
            <w:tcW w:w="0" w:type="auto"/>
            <w:tcBorders>
              <w:top w:val="outset" w:sz="6" w:space="0" w:color="auto"/>
              <w:left w:val="outset" w:sz="6" w:space="0" w:color="auto"/>
              <w:bottom w:val="outset" w:sz="6" w:space="0" w:color="auto"/>
              <w:right w:val="outset" w:sz="6" w:space="0" w:color="auto"/>
            </w:tcBorders>
            <w:hideMark/>
          </w:tcPr>
          <w:p w14:paraId="2A1960D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Народный Комиссариат лесной промышленности</w:t>
            </w:r>
          </w:p>
          <w:p w14:paraId="2AA3EBD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Союза ССР</w:t>
            </w:r>
          </w:p>
        </w:tc>
        <w:tc>
          <w:tcPr>
            <w:tcW w:w="0" w:type="auto"/>
            <w:tcBorders>
              <w:top w:val="outset" w:sz="6" w:space="0" w:color="auto"/>
              <w:left w:val="outset" w:sz="6" w:space="0" w:color="auto"/>
              <w:bottom w:val="outset" w:sz="6" w:space="0" w:color="auto"/>
              <w:right w:val="outset" w:sz="6" w:space="0" w:color="auto"/>
            </w:tcBorders>
            <w:hideMark/>
          </w:tcPr>
          <w:p w14:paraId="6D9BA6F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 Киров,</w:t>
            </w:r>
          </w:p>
          <w:p w14:paraId="0761485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Ленина, № 111</w:t>
            </w:r>
          </w:p>
        </w:tc>
        <w:tc>
          <w:tcPr>
            <w:tcW w:w="0" w:type="auto"/>
            <w:tcBorders>
              <w:top w:val="outset" w:sz="6" w:space="0" w:color="auto"/>
              <w:left w:val="outset" w:sz="6" w:space="0" w:color="auto"/>
              <w:bottom w:val="outset" w:sz="6" w:space="0" w:color="auto"/>
              <w:right w:val="outset" w:sz="6" w:space="0" w:color="auto"/>
            </w:tcBorders>
            <w:hideMark/>
          </w:tcPr>
          <w:p w14:paraId="3A21202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Пост. СНК СССР</w:t>
            </w:r>
          </w:p>
          <w:p w14:paraId="23DA426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и ЦК ВКП (б)</w:t>
            </w:r>
          </w:p>
          <w:p w14:paraId="0731DD3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29/VI - 41 г.</w:t>
            </w:r>
          </w:p>
          <w:p w14:paraId="1EFFFCC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1781/789cc</w:t>
            </w:r>
          </w:p>
          <w:p w14:paraId="5D91B69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r>
      <w:tr w:rsidR="00643896" w:rsidRPr="00640820" w14:paraId="2435D02E" w14:textId="77777777" w:rsidTr="002B4573">
        <w:trPr>
          <w:tblCellSpacing w:w="15" w:type="dxa"/>
        </w:trPr>
        <w:tc>
          <w:tcPr>
            <w:tcW w:w="0" w:type="auto"/>
            <w:gridSpan w:val="2"/>
            <w:tcBorders>
              <w:top w:val="outset" w:sz="6" w:space="0" w:color="auto"/>
              <w:left w:val="outset" w:sz="6" w:space="0" w:color="auto"/>
              <w:bottom w:val="outset" w:sz="6" w:space="0" w:color="auto"/>
              <w:right w:val="outset" w:sz="6" w:space="0" w:color="auto"/>
            </w:tcBorders>
            <w:hideMark/>
          </w:tcPr>
          <w:p w14:paraId="2EF2F103"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w:t>
            </w:r>
          </w:p>
        </w:tc>
        <w:tc>
          <w:tcPr>
            <w:tcW w:w="0" w:type="auto"/>
            <w:tcBorders>
              <w:top w:val="outset" w:sz="6" w:space="0" w:color="auto"/>
              <w:left w:val="outset" w:sz="6" w:space="0" w:color="auto"/>
              <w:bottom w:val="outset" w:sz="6" w:space="0" w:color="auto"/>
              <w:right w:val="outset" w:sz="6" w:space="0" w:color="auto"/>
            </w:tcBorders>
            <w:hideMark/>
          </w:tcPr>
          <w:p w14:paraId="3914BA8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Народный Комиссариат лесной промышленности РСФСР</w:t>
            </w:r>
          </w:p>
          <w:p w14:paraId="6B44E75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4D6B0E8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 Киров, Большевиков, 42</w:t>
            </w:r>
          </w:p>
        </w:tc>
        <w:tc>
          <w:tcPr>
            <w:tcW w:w="0" w:type="auto"/>
            <w:tcBorders>
              <w:top w:val="outset" w:sz="6" w:space="0" w:color="auto"/>
              <w:left w:val="outset" w:sz="6" w:space="0" w:color="auto"/>
              <w:bottom w:val="outset" w:sz="6" w:space="0" w:color="auto"/>
              <w:right w:val="outset" w:sz="6" w:space="0" w:color="auto"/>
            </w:tcBorders>
            <w:hideMark/>
          </w:tcPr>
          <w:p w14:paraId="1F1A287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Пост. СНК РСФСР</w:t>
            </w:r>
          </w:p>
          <w:p w14:paraId="498E3C2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8/VII - 41 г.</w:t>
            </w:r>
          </w:p>
          <w:p w14:paraId="70A5D05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516/23cc</w:t>
            </w:r>
          </w:p>
        </w:tc>
      </w:tr>
      <w:tr w:rsidR="00643896" w:rsidRPr="00640820" w14:paraId="238B74D0" w14:textId="77777777" w:rsidTr="002B4573">
        <w:trPr>
          <w:tblCellSpacing w:w="15" w:type="dxa"/>
        </w:trPr>
        <w:tc>
          <w:tcPr>
            <w:tcW w:w="0" w:type="auto"/>
            <w:gridSpan w:val="2"/>
            <w:tcBorders>
              <w:top w:val="outset" w:sz="6" w:space="0" w:color="auto"/>
              <w:left w:val="outset" w:sz="6" w:space="0" w:color="auto"/>
              <w:bottom w:val="outset" w:sz="6" w:space="0" w:color="auto"/>
              <w:right w:val="outset" w:sz="6" w:space="0" w:color="auto"/>
            </w:tcBorders>
            <w:hideMark/>
          </w:tcPr>
          <w:p w14:paraId="3F8027E3"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3.</w:t>
            </w:r>
          </w:p>
        </w:tc>
        <w:tc>
          <w:tcPr>
            <w:tcW w:w="0" w:type="auto"/>
            <w:tcBorders>
              <w:top w:val="outset" w:sz="6" w:space="0" w:color="auto"/>
              <w:left w:val="outset" w:sz="6" w:space="0" w:color="auto"/>
              <w:bottom w:val="outset" w:sz="6" w:space="0" w:color="auto"/>
              <w:right w:val="outset" w:sz="6" w:space="0" w:color="auto"/>
            </w:tcBorders>
            <w:hideMark/>
          </w:tcPr>
          <w:p w14:paraId="32870BA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Народный Комиссариат просвещения РСФСР</w:t>
            </w:r>
          </w:p>
          <w:p w14:paraId="01D5E30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057243B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 Киров, Большевиков, 43.</w:t>
            </w:r>
          </w:p>
        </w:tc>
        <w:tc>
          <w:tcPr>
            <w:tcW w:w="0" w:type="auto"/>
            <w:tcBorders>
              <w:top w:val="outset" w:sz="6" w:space="0" w:color="auto"/>
              <w:left w:val="outset" w:sz="6" w:space="0" w:color="auto"/>
              <w:bottom w:val="outset" w:sz="6" w:space="0" w:color="auto"/>
              <w:right w:val="outset" w:sz="6" w:space="0" w:color="auto"/>
            </w:tcBorders>
            <w:hideMark/>
          </w:tcPr>
          <w:p w14:paraId="0B9D106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то же</w:t>
            </w:r>
          </w:p>
        </w:tc>
      </w:tr>
      <w:tr w:rsidR="00643896" w:rsidRPr="00640820" w14:paraId="5045E03D" w14:textId="77777777" w:rsidTr="002B4573">
        <w:trPr>
          <w:tblCellSpacing w:w="15" w:type="dxa"/>
        </w:trPr>
        <w:tc>
          <w:tcPr>
            <w:tcW w:w="0" w:type="auto"/>
            <w:gridSpan w:val="2"/>
            <w:tcBorders>
              <w:top w:val="outset" w:sz="6" w:space="0" w:color="auto"/>
              <w:left w:val="outset" w:sz="6" w:space="0" w:color="auto"/>
              <w:bottom w:val="outset" w:sz="6" w:space="0" w:color="auto"/>
              <w:right w:val="outset" w:sz="6" w:space="0" w:color="auto"/>
            </w:tcBorders>
            <w:hideMark/>
          </w:tcPr>
          <w:p w14:paraId="380D10A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4.</w:t>
            </w:r>
          </w:p>
        </w:tc>
        <w:tc>
          <w:tcPr>
            <w:tcW w:w="0" w:type="auto"/>
            <w:tcBorders>
              <w:top w:val="outset" w:sz="6" w:space="0" w:color="auto"/>
              <w:left w:val="outset" w:sz="6" w:space="0" w:color="auto"/>
              <w:bottom w:val="outset" w:sz="6" w:space="0" w:color="auto"/>
              <w:right w:val="outset" w:sz="6" w:space="0" w:color="auto"/>
            </w:tcBorders>
            <w:hideMark/>
          </w:tcPr>
          <w:p w14:paraId="6843C4D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Главное управление</w:t>
            </w:r>
          </w:p>
          <w:p w14:paraId="0AE3F3A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сульфитно-спиртовой</w:t>
            </w:r>
          </w:p>
          <w:p w14:paraId="66063ACE"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и гидролизной</w:t>
            </w:r>
          </w:p>
          <w:p w14:paraId="180AF07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промышленности</w:t>
            </w:r>
          </w:p>
          <w:p w14:paraId="76B6DF5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lastRenderedPageBreak/>
              <w:t>при СНК СССР</w:t>
            </w:r>
          </w:p>
          <w:p w14:paraId="60A2E09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638F3F3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lastRenderedPageBreak/>
              <w:t>г. Киров, Дрелевского,</w:t>
            </w:r>
          </w:p>
          <w:p w14:paraId="097A42C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дом № 41</w:t>
            </w:r>
          </w:p>
        </w:tc>
        <w:tc>
          <w:tcPr>
            <w:tcW w:w="0" w:type="auto"/>
            <w:tcBorders>
              <w:top w:val="outset" w:sz="6" w:space="0" w:color="auto"/>
              <w:left w:val="outset" w:sz="6" w:space="0" w:color="auto"/>
              <w:bottom w:val="outset" w:sz="6" w:space="0" w:color="auto"/>
              <w:right w:val="outset" w:sz="6" w:space="0" w:color="auto"/>
            </w:tcBorders>
            <w:hideMark/>
          </w:tcPr>
          <w:p w14:paraId="3260C5E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Расп. СНК СССР</w:t>
            </w:r>
          </w:p>
          <w:p w14:paraId="4595013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6/VII - 41г.</w:t>
            </w:r>
          </w:p>
          <w:p w14:paraId="005B793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4889сэ</w:t>
            </w:r>
          </w:p>
        </w:tc>
      </w:tr>
      <w:tr w:rsidR="00643896" w:rsidRPr="00640820" w14:paraId="004E5D94" w14:textId="77777777" w:rsidTr="002B4573">
        <w:trPr>
          <w:tblCellSpacing w:w="15" w:type="dxa"/>
        </w:trPr>
        <w:tc>
          <w:tcPr>
            <w:tcW w:w="0" w:type="auto"/>
            <w:gridSpan w:val="2"/>
            <w:tcBorders>
              <w:top w:val="outset" w:sz="6" w:space="0" w:color="auto"/>
              <w:left w:val="outset" w:sz="6" w:space="0" w:color="auto"/>
              <w:bottom w:val="outset" w:sz="6" w:space="0" w:color="auto"/>
              <w:right w:val="outset" w:sz="6" w:space="0" w:color="auto"/>
            </w:tcBorders>
            <w:hideMark/>
          </w:tcPr>
          <w:p w14:paraId="23B852E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5.</w:t>
            </w:r>
          </w:p>
        </w:tc>
        <w:tc>
          <w:tcPr>
            <w:tcW w:w="0" w:type="auto"/>
            <w:tcBorders>
              <w:top w:val="outset" w:sz="6" w:space="0" w:color="auto"/>
              <w:left w:val="outset" w:sz="6" w:space="0" w:color="auto"/>
              <w:bottom w:val="outset" w:sz="6" w:space="0" w:color="auto"/>
              <w:right w:val="outset" w:sz="6" w:space="0" w:color="auto"/>
            </w:tcBorders>
            <w:hideMark/>
          </w:tcPr>
          <w:p w14:paraId="7151993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Главное управление</w:t>
            </w:r>
          </w:p>
          <w:p w14:paraId="626F0A3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лесоохраны</w:t>
            </w:r>
          </w:p>
          <w:p w14:paraId="58E81EA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и лесонасаждений</w:t>
            </w:r>
          </w:p>
          <w:p w14:paraId="5BED90E3"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при СНК СССР</w:t>
            </w:r>
          </w:p>
          <w:p w14:paraId="43DC3D9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73339D9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 Киров,</w:t>
            </w:r>
          </w:p>
          <w:p w14:paraId="1E32DFD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ул. Ленина, № 111</w:t>
            </w:r>
          </w:p>
        </w:tc>
        <w:tc>
          <w:tcPr>
            <w:tcW w:w="0" w:type="auto"/>
            <w:tcBorders>
              <w:top w:val="outset" w:sz="6" w:space="0" w:color="auto"/>
              <w:left w:val="outset" w:sz="6" w:space="0" w:color="auto"/>
              <w:bottom w:val="outset" w:sz="6" w:space="0" w:color="auto"/>
              <w:right w:val="outset" w:sz="6" w:space="0" w:color="auto"/>
            </w:tcBorders>
            <w:hideMark/>
          </w:tcPr>
          <w:p w14:paraId="20C0FC9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Пост. СНК СССР и ЦК ВКП(б)</w:t>
            </w:r>
          </w:p>
          <w:p w14:paraId="26A5FD8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29/VI - 41 г.</w:t>
            </w:r>
          </w:p>
          <w:p w14:paraId="48FBD60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1781/789cc</w:t>
            </w:r>
          </w:p>
        </w:tc>
      </w:tr>
      <w:tr w:rsidR="00643896" w:rsidRPr="00640820" w14:paraId="6C410708" w14:textId="77777777" w:rsidTr="002B4573">
        <w:trPr>
          <w:tblCellSpacing w:w="15" w:type="dxa"/>
        </w:trPr>
        <w:tc>
          <w:tcPr>
            <w:tcW w:w="0" w:type="auto"/>
            <w:gridSpan w:val="2"/>
            <w:tcBorders>
              <w:top w:val="outset" w:sz="6" w:space="0" w:color="auto"/>
              <w:left w:val="outset" w:sz="6" w:space="0" w:color="auto"/>
              <w:bottom w:val="outset" w:sz="6" w:space="0" w:color="auto"/>
              <w:right w:val="outset" w:sz="6" w:space="0" w:color="auto"/>
            </w:tcBorders>
            <w:hideMark/>
          </w:tcPr>
          <w:p w14:paraId="5968AF7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6.</w:t>
            </w:r>
          </w:p>
        </w:tc>
        <w:tc>
          <w:tcPr>
            <w:tcW w:w="0" w:type="auto"/>
            <w:tcBorders>
              <w:top w:val="outset" w:sz="6" w:space="0" w:color="auto"/>
              <w:left w:val="outset" w:sz="6" w:space="0" w:color="auto"/>
              <w:bottom w:val="outset" w:sz="6" w:space="0" w:color="auto"/>
              <w:right w:val="outset" w:sz="6" w:space="0" w:color="auto"/>
            </w:tcBorders>
            <w:hideMark/>
          </w:tcPr>
          <w:p w14:paraId="2021152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Главное управление</w:t>
            </w:r>
          </w:p>
          <w:p w14:paraId="3035004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лесосбыта</w:t>
            </w:r>
          </w:p>
          <w:p w14:paraId="7C58D42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при СНК СССР</w:t>
            </w:r>
          </w:p>
          <w:p w14:paraId="76D08C2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399D8AD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 Киров, Большевиков, № 40</w:t>
            </w:r>
          </w:p>
        </w:tc>
        <w:tc>
          <w:tcPr>
            <w:tcW w:w="0" w:type="auto"/>
            <w:tcBorders>
              <w:top w:val="outset" w:sz="6" w:space="0" w:color="auto"/>
              <w:left w:val="outset" w:sz="6" w:space="0" w:color="auto"/>
              <w:bottom w:val="outset" w:sz="6" w:space="0" w:color="auto"/>
              <w:right w:val="outset" w:sz="6" w:space="0" w:color="auto"/>
            </w:tcBorders>
            <w:hideMark/>
          </w:tcPr>
          <w:p w14:paraId="6BE4F9E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Пост. СНК СССР</w:t>
            </w:r>
          </w:p>
          <w:p w14:paraId="4A5406E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16/VII - 41 г.</w:t>
            </w:r>
          </w:p>
          <w:p w14:paraId="1499D304"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1870841cc</w:t>
            </w:r>
          </w:p>
        </w:tc>
      </w:tr>
      <w:tr w:rsidR="00643896" w:rsidRPr="00640820" w14:paraId="13E67E8F" w14:textId="77777777" w:rsidTr="002B4573">
        <w:trPr>
          <w:tblCellSpacing w:w="15" w:type="dxa"/>
        </w:trPr>
        <w:tc>
          <w:tcPr>
            <w:tcW w:w="0" w:type="auto"/>
            <w:gridSpan w:val="2"/>
            <w:tcBorders>
              <w:top w:val="outset" w:sz="6" w:space="0" w:color="auto"/>
              <w:left w:val="outset" w:sz="6" w:space="0" w:color="auto"/>
              <w:bottom w:val="outset" w:sz="6" w:space="0" w:color="auto"/>
              <w:right w:val="outset" w:sz="6" w:space="0" w:color="auto"/>
            </w:tcBorders>
            <w:hideMark/>
          </w:tcPr>
          <w:p w14:paraId="15B7C22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7.</w:t>
            </w:r>
          </w:p>
        </w:tc>
        <w:tc>
          <w:tcPr>
            <w:tcW w:w="0" w:type="auto"/>
            <w:tcBorders>
              <w:top w:val="outset" w:sz="6" w:space="0" w:color="auto"/>
              <w:left w:val="outset" w:sz="6" w:space="0" w:color="auto"/>
              <w:bottom w:val="outset" w:sz="6" w:space="0" w:color="auto"/>
              <w:right w:val="outset" w:sz="6" w:space="0" w:color="auto"/>
            </w:tcBorders>
            <w:hideMark/>
          </w:tcPr>
          <w:p w14:paraId="45A042E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Главное управление</w:t>
            </w:r>
          </w:p>
          <w:p w14:paraId="3034B2D3"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железнодорожного строительства</w:t>
            </w:r>
          </w:p>
          <w:p w14:paraId="70BD26F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НКВД СССР</w:t>
            </w:r>
          </w:p>
          <w:p w14:paraId="238D85B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074E796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 Киров, Дрелевского, № 20</w:t>
            </w:r>
          </w:p>
        </w:tc>
        <w:tc>
          <w:tcPr>
            <w:tcW w:w="0" w:type="auto"/>
            <w:tcBorders>
              <w:top w:val="outset" w:sz="6" w:space="0" w:color="auto"/>
              <w:left w:val="outset" w:sz="6" w:space="0" w:color="auto"/>
              <w:bottom w:val="outset" w:sz="6" w:space="0" w:color="auto"/>
              <w:right w:val="outset" w:sz="6" w:space="0" w:color="auto"/>
            </w:tcBorders>
            <w:hideMark/>
          </w:tcPr>
          <w:p w14:paraId="6893E3F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Расп. СНК СССР</w:t>
            </w:r>
          </w:p>
          <w:p w14:paraId="0C9D777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5/VII - 41 г.</w:t>
            </w:r>
          </w:p>
          <w:p w14:paraId="0FFDBA73"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4865сэ</w:t>
            </w:r>
          </w:p>
        </w:tc>
      </w:tr>
      <w:tr w:rsidR="00643896" w:rsidRPr="00640820" w14:paraId="53E5E5C9" w14:textId="77777777" w:rsidTr="002B4573">
        <w:trPr>
          <w:tblCellSpacing w:w="15" w:type="dxa"/>
        </w:trPr>
        <w:tc>
          <w:tcPr>
            <w:tcW w:w="0" w:type="auto"/>
            <w:gridSpan w:val="2"/>
            <w:tcBorders>
              <w:top w:val="outset" w:sz="6" w:space="0" w:color="auto"/>
              <w:left w:val="outset" w:sz="6" w:space="0" w:color="auto"/>
              <w:bottom w:val="outset" w:sz="6" w:space="0" w:color="auto"/>
              <w:right w:val="outset" w:sz="6" w:space="0" w:color="auto"/>
            </w:tcBorders>
            <w:hideMark/>
          </w:tcPr>
          <w:p w14:paraId="0C91F0F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8.</w:t>
            </w:r>
          </w:p>
        </w:tc>
        <w:tc>
          <w:tcPr>
            <w:tcW w:w="0" w:type="auto"/>
            <w:tcBorders>
              <w:top w:val="outset" w:sz="6" w:space="0" w:color="auto"/>
              <w:left w:val="outset" w:sz="6" w:space="0" w:color="auto"/>
              <w:bottom w:val="outset" w:sz="6" w:space="0" w:color="auto"/>
              <w:right w:val="outset" w:sz="6" w:space="0" w:color="auto"/>
            </w:tcBorders>
            <w:hideMark/>
          </w:tcPr>
          <w:p w14:paraId="55D521D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Главное управление</w:t>
            </w:r>
          </w:p>
          <w:p w14:paraId="6C80429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лагерей лесной промышленности НКВД СССР</w:t>
            </w:r>
          </w:p>
          <w:p w14:paraId="0F86B27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p w14:paraId="3D79F1A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0A3751E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 Киров, Большевиков, 40</w:t>
            </w:r>
          </w:p>
        </w:tc>
        <w:tc>
          <w:tcPr>
            <w:tcW w:w="0" w:type="auto"/>
            <w:tcBorders>
              <w:top w:val="outset" w:sz="6" w:space="0" w:color="auto"/>
              <w:left w:val="outset" w:sz="6" w:space="0" w:color="auto"/>
              <w:bottom w:val="outset" w:sz="6" w:space="0" w:color="auto"/>
              <w:right w:val="outset" w:sz="6" w:space="0" w:color="auto"/>
            </w:tcBorders>
            <w:hideMark/>
          </w:tcPr>
          <w:p w14:paraId="074DEF6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r>
      <w:tr w:rsidR="00643896" w:rsidRPr="00640820" w14:paraId="4804C9B9" w14:textId="77777777" w:rsidTr="002B4573">
        <w:trPr>
          <w:tblCellSpacing w:w="15" w:type="dxa"/>
        </w:trPr>
        <w:tc>
          <w:tcPr>
            <w:tcW w:w="0" w:type="auto"/>
            <w:gridSpan w:val="2"/>
            <w:tcBorders>
              <w:top w:val="outset" w:sz="6" w:space="0" w:color="auto"/>
              <w:left w:val="outset" w:sz="6" w:space="0" w:color="auto"/>
              <w:bottom w:val="outset" w:sz="6" w:space="0" w:color="auto"/>
              <w:right w:val="outset" w:sz="6" w:space="0" w:color="auto"/>
            </w:tcBorders>
            <w:hideMark/>
          </w:tcPr>
          <w:p w14:paraId="35AD1FA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9.</w:t>
            </w:r>
          </w:p>
        </w:tc>
        <w:tc>
          <w:tcPr>
            <w:tcW w:w="0" w:type="auto"/>
            <w:tcBorders>
              <w:top w:val="outset" w:sz="6" w:space="0" w:color="auto"/>
              <w:left w:val="outset" w:sz="6" w:space="0" w:color="auto"/>
              <w:bottom w:val="outset" w:sz="6" w:space="0" w:color="auto"/>
              <w:right w:val="outset" w:sz="6" w:space="0" w:color="auto"/>
            </w:tcBorders>
            <w:hideMark/>
          </w:tcPr>
          <w:p w14:paraId="4DA4C02E"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Ленинградское отделение ТЭПа</w:t>
            </w:r>
          </w:p>
          <w:p w14:paraId="446D957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3B0C515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Строительство</w:t>
            </w:r>
          </w:p>
          <w:p w14:paraId="6298951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Кир.-Чеп. ТЭЦ</w:t>
            </w:r>
          </w:p>
        </w:tc>
        <w:tc>
          <w:tcPr>
            <w:tcW w:w="0" w:type="auto"/>
            <w:tcBorders>
              <w:top w:val="outset" w:sz="6" w:space="0" w:color="auto"/>
              <w:left w:val="outset" w:sz="6" w:space="0" w:color="auto"/>
              <w:bottom w:val="outset" w:sz="6" w:space="0" w:color="auto"/>
              <w:right w:val="outset" w:sz="6" w:space="0" w:color="auto"/>
            </w:tcBorders>
            <w:hideMark/>
          </w:tcPr>
          <w:p w14:paraId="129DBA6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Пост. СЭ № сэ59сс от 2/VIII - 41 г.</w:t>
            </w:r>
          </w:p>
        </w:tc>
      </w:tr>
      <w:tr w:rsidR="00643896" w:rsidRPr="00640820" w14:paraId="7E2E6CCF" w14:textId="77777777" w:rsidTr="002B4573">
        <w:trPr>
          <w:tblCellSpacing w:w="15" w:type="dxa"/>
        </w:trPr>
        <w:tc>
          <w:tcPr>
            <w:tcW w:w="0" w:type="auto"/>
            <w:gridSpan w:val="2"/>
            <w:tcBorders>
              <w:top w:val="outset" w:sz="6" w:space="0" w:color="auto"/>
              <w:left w:val="outset" w:sz="6" w:space="0" w:color="auto"/>
              <w:bottom w:val="outset" w:sz="6" w:space="0" w:color="auto"/>
              <w:right w:val="outset" w:sz="6" w:space="0" w:color="auto"/>
            </w:tcBorders>
            <w:hideMark/>
          </w:tcPr>
          <w:p w14:paraId="7ABBA2E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10.</w:t>
            </w:r>
          </w:p>
        </w:tc>
        <w:tc>
          <w:tcPr>
            <w:tcW w:w="0" w:type="auto"/>
            <w:tcBorders>
              <w:top w:val="outset" w:sz="6" w:space="0" w:color="auto"/>
              <w:left w:val="outset" w:sz="6" w:space="0" w:color="auto"/>
              <w:bottom w:val="outset" w:sz="6" w:space="0" w:color="auto"/>
              <w:right w:val="outset" w:sz="6" w:space="0" w:color="auto"/>
            </w:tcBorders>
            <w:hideMark/>
          </w:tcPr>
          <w:p w14:paraId="0B65A34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Рыбосудпроект (Ленинград)</w:t>
            </w:r>
          </w:p>
        </w:tc>
        <w:tc>
          <w:tcPr>
            <w:tcW w:w="0" w:type="auto"/>
            <w:tcBorders>
              <w:top w:val="outset" w:sz="6" w:space="0" w:color="auto"/>
              <w:left w:val="outset" w:sz="6" w:space="0" w:color="auto"/>
              <w:bottom w:val="outset" w:sz="6" w:space="0" w:color="auto"/>
              <w:right w:val="outset" w:sz="6" w:space="0" w:color="auto"/>
            </w:tcBorders>
            <w:hideMark/>
          </w:tcPr>
          <w:p w14:paraId="5535C484"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Сосновская судоверфь</w:t>
            </w:r>
          </w:p>
          <w:p w14:paraId="0AC0E11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Вятскополян. р-на</w:t>
            </w:r>
          </w:p>
          <w:p w14:paraId="2488AAE4"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2A10BDC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Расп. СЭ</w:t>
            </w:r>
          </w:p>
          <w:p w14:paraId="5F4C4F2E"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26 /VIII - 41г.</w:t>
            </w:r>
          </w:p>
          <w:p w14:paraId="0D868F2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13671сэ</w:t>
            </w:r>
          </w:p>
        </w:tc>
      </w:tr>
      <w:tr w:rsidR="00643896" w:rsidRPr="00640820" w14:paraId="5AE35674" w14:textId="77777777" w:rsidTr="002B4573">
        <w:trPr>
          <w:tblCellSpacing w:w="15" w:type="dxa"/>
        </w:trPr>
        <w:tc>
          <w:tcPr>
            <w:tcW w:w="0" w:type="auto"/>
            <w:gridSpan w:val="2"/>
            <w:tcBorders>
              <w:top w:val="outset" w:sz="6" w:space="0" w:color="auto"/>
              <w:left w:val="outset" w:sz="6" w:space="0" w:color="auto"/>
              <w:bottom w:val="outset" w:sz="6" w:space="0" w:color="auto"/>
              <w:right w:val="outset" w:sz="6" w:space="0" w:color="auto"/>
            </w:tcBorders>
            <w:hideMark/>
          </w:tcPr>
          <w:p w14:paraId="56113064"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11.</w:t>
            </w:r>
          </w:p>
        </w:tc>
        <w:tc>
          <w:tcPr>
            <w:tcW w:w="0" w:type="auto"/>
            <w:tcBorders>
              <w:top w:val="outset" w:sz="6" w:space="0" w:color="auto"/>
              <w:left w:val="outset" w:sz="6" w:space="0" w:color="auto"/>
              <w:bottom w:val="outset" w:sz="6" w:space="0" w:color="auto"/>
              <w:right w:val="outset" w:sz="6" w:space="0" w:color="auto"/>
            </w:tcBorders>
            <w:hideMark/>
          </w:tcPr>
          <w:p w14:paraId="6C7A5B7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Всесоюзный институт</w:t>
            </w:r>
          </w:p>
          <w:p w14:paraId="2D130C9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с/х микробиологии</w:t>
            </w:r>
          </w:p>
          <w:p w14:paraId="4ED5DCB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(Ленинград)</w:t>
            </w:r>
          </w:p>
          <w:p w14:paraId="7D81EBC3"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7C3EA56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Фаленскаягосселекционная станция</w:t>
            </w:r>
          </w:p>
        </w:tc>
        <w:tc>
          <w:tcPr>
            <w:tcW w:w="0" w:type="auto"/>
            <w:tcBorders>
              <w:top w:val="outset" w:sz="6" w:space="0" w:color="auto"/>
              <w:left w:val="outset" w:sz="6" w:space="0" w:color="auto"/>
              <w:bottom w:val="outset" w:sz="6" w:space="0" w:color="auto"/>
              <w:right w:val="outset" w:sz="6" w:space="0" w:color="auto"/>
            </w:tcBorders>
            <w:hideMark/>
          </w:tcPr>
          <w:p w14:paraId="0A5B58B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Расп. СЭ</w:t>
            </w:r>
          </w:p>
          <w:p w14:paraId="6D678CFE"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22/VIII - 41 г.</w:t>
            </w:r>
          </w:p>
          <w:p w14:paraId="3898D9A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5599-сэ</w:t>
            </w:r>
          </w:p>
        </w:tc>
      </w:tr>
      <w:tr w:rsidR="00643896" w:rsidRPr="00640820" w14:paraId="6AEBD255" w14:textId="77777777" w:rsidTr="002B4573">
        <w:trPr>
          <w:tblCellSpacing w:w="15" w:type="dxa"/>
        </w:trPr>
        <w:tc>
          <w:tcPr>
            <w:tcW w:w="0" w:type="auto"/>
            <w:gridSpan w:val="2"/>
            <w:tcBorders>
              <w:top w:val="outset" w:sz="6" w:space="0" w:color="auto"/>
              <w:left w:val="outset" w:sz="6" w:space="0" w:color="auto"/>
              <w:bottom w:val="outset" w:sz="6" w:space="0" w:color="auto"/>
              <w:right w:val="outset" w:sz="6" w:space="0" w:color="auto"/>
            </w:tcBorders>
            <w:hideMark/>
          </w:tcPr>
          <w:p w14:paraId="5E78781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12.</w:t>
            </w:r>
          </w:p>
        </w:tc>
        <w:tc>
          <w:tcPr>
            <w:tcW w:w="0" w:type="auto"/>
            <w:tcBorders>
              <w:top w:val="outset" w:sz="6" w:space="0" w:color="auto"/>
              <w:left w:val="outset" w:sz="6" w:space="0" w:color="auto"/>
              <w:bottom w:val="outset" w:sz="6" w:space="0" w:color="auto"/>
              <w:right w:val="outset" w:sz="6" w:space="0" w:color="auto"/>
            </w:tcBorders>
            <w:hideMark/>
          </w:tcPr>
          <w:p w14:paraId="4EA4871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Ленинградское отделение Всесоюзного</w:t>
            </w:r>
          </w:p>
          <w:p w14:paraId="18DF4AA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института удобрений, арготехники</w:t>
            </w:r>
          </w:p>
          <w:p w14:paraId="4940E06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и агропочвоведения</w:t>
            </w:r>
          </w:p>
          <w:p w14:paraId="58EED964"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5E16ADB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Селекционная станция</w:t>
            </w:r>
          </w:p>
          <w:p w14:paraId="27131DE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им. Н. Рудницкого</w:t>
            </w:r>
          </w:p>
        </w:tc>
        <w:tc>
          <w:tcPr>
            <w:tcW w:w="0" w:type="auto"/>
            <w:tcBorders>
              <w:top w:val="outset" w:sz="6" w:space="0" w:color="auto"/>
              <w:left w:val="outset" w:sz="6" w:space="0" w:color="auto"/>
              <w:bottom w:val="outset" w:sz="6" w:space="0" w:color="auto"/>
              <w:right w:val="outset" w:sz="6" w:space="0" w:color="auto"/>
            </w:tcBorders>
            <w:hideMark/>
          </w:tcPr>
          <w:p w14:paraId="236EC0E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то же</w:t>
            </w:r>
          </w:p>
        </w:tc>
      </w:tr>
      <w:tr w:rsidR="00643896" w:rsidRPr="00640820" w14:paraId="0B85E5F5" w14:textId="77777777" w:rsidTr="002B4573">
        <w:trPr>
          <w:tblCellSpacing w:w="15" w:type="dxa"/>
        </w:trPr>
        <w:tc>
          <w:tcPr>
            <w:tcW w:w="0" w:type="auto"/>
            <w:gridSpan w:val="2"/>
            <w:tcBorders>
              <w:top w:val="outset" w:sz="6" w:space="0" w:color="auto"/>
              <w:left w:val="outset" w:sz="6" w:space="0" w:color="auto"/>
              <w:bottom w:val="outset" w:sz="6" w:space="0" w:color="auto"/>
              <w:right w:val="outset" w:sz="6" w:space="0" w:color="auto"/>
            </w:tcBorders>
            <w:hideMark/>
          </w:tcPr>
          <w:p w14:paraId="73F0F45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13.</w:t>
            </w:r>
          </w:p>
        </w:tc>
        <w:tc>
          <w:tcPr>
            <w:tcW w:w="0" w:type="auto"/>
            <w:tcBorders>
              <w:top w:val="outset" w:sz="6" w:space="0" w:color="auto"/>
              <w:left w:val="outset" w:sz="6" w:space="0" w:color="auto"/>
              <w:bottom w:val="outset" w:sz="6" w:space="0" w:color="auto"/>
              <w:right w:val="outset" w:sz="6" w:space="0" w:color="auto"/>
            </w:tcBorders>
            <w:hideMark/>
          </w:tcPr>
          <w:p w14:paraId="7DDAE2B4"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Гомельский педагогический институт</w:t>
            </w:r>
          </w:p>
          <w:p w14:paraId="513814A4"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 Гомель БССР)</w:t>
            </w:r>
          </w:p>
        </w:tc>
        <w:tc>
          <w:tcPr>
            <w:tcW w:w="0" w:type="auto"/>
            <w:tcBorders>
              <w:top w:val="outset" w:sz="6" w:space="0" w:color="auto"/>
              <w:left w:val="outset" w:sz="6" w:space="0" w:color="auto"/>
              <w:bottom w:val="outset" w:sz="6" w:space="0" w:color="auto"/>
              <w:right w:val="outset" w:sz="6" w:space="0" w:color="auto"/>
            </w:tcBorders>
            <w:hideMark/>
          </w:tcPr>
          <w:p w14:paraId="6F7CBE2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Котельнич. учительск. институт</w:t>
            </w:r>
          </w:p>
          <w:p w14:paraId="1F97D18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г. Яранске</w:t>
            </w:r>
          </w:p>
          <w:p w14:paraId="1E4F2A4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5E168D2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Расп. СЭ</w:t>
            </w:r>
          </w:p>
          <w:p w14:paraId="223238C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28/VIII - 41 г.</w:t>
            </w:r>
          </w:p>
          <w:p w14:paraId="7BB9372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13706сэ</w:t>
            </w:r>
          </w:p>
        </w:tc>
      </w:tr>
      <w:tr w:rsidR="00643896" w:rsidRPr="00640820" w14:paraId="79A225F4" w14:textId="77777777" w:rsidTr="002B4573">
        <w:trPr>
          <w:tblCellSpacing w:w="15" w:type="dxa"/>
        </w:trPr>
        <w:tc>
          <w:tcPr>
            <w:tcW w:w="0" w:type="auto"/>
            <w:gridSpan w:val="2"/>
            <w:tcBorders>
              <w:top w:val="outset" w:sz="6" w:space="0" w:color="auto"/>
              <w:left w:val="outset" w:sz="6" w:space="0" w:color="auto"/>
              <w:bottom w:val="outset" w:sz="6" w:space="0" w:color="auto"/>
              <w:right w:val="outset" w:sz="6" w:space="0" w:color="auto"/>
            </w:tcBorders>
            <w:hideMark/>
          </w:tcPr>
          <w:p w14:paraId="2AD3953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14.</w:t>
            </w:r>
          </w:p>
        </w:tc>
        <w:tc>
          <w:tcPr>
            <w:tcW w:w="0" w:type="auto"/>
            <w:tcBorders>
              <w:top w:val="outset" w:sz="6" w:space="0" w:color="auto"/>
              <w:left w:val="outset" w:sz="6" w:space="0" w:color="auto"/>
              <w:bottom w:val="outset" w:sz="6" w:space="0" w:color="auto"/>
              <w:right w:val="outset" w:sz="6" w:space="0" w:color="auto"/>
            </w:tcBorders>
            <w:hideMark/>
          </w:tcPr>
          <w:p w14:paraId="120F1A3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Брянский лесохозяйственный институт</w:t>
            </w:r>
          </w:p>
        </w:tc>
        <w:tc>
          <w:tcPr>
            <w:tcW w:w="0" w:type="auto"/>
            <w:tcBorders>
              <w:top w:val="outset" w:sz="6" w:space="0" w:color="auto"/>
              <w:left w:val="outset" w:sz="6" w:space="0" w:color="auto"/>
              <w:bottom w:val="outset" w:sz="6" w:space="0" w:color="auto"/>
              <w:right w:val="outset" w:sz="6" w:space="0" w:color="auto"/>
            </w:tcBorders>
            <w:hideMark/>
          </w:tcPr>
          <w:p w14:paraId="686DB0A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Суводский лесотехникум Советского района</w:t>
            </w:r>
          </w:p>
        </w:tc>
        <w:tc>
          <w:tcPr>
            <w:tcW w:w="0" w:type="auto"/>
            <w:tcBorders>
              <w:top w:val="outset" w:sz="6" w:space="0" w:color="auto"/>
              <w:left w:val="outset" w:sz="6" w:space="0" w:color="auto"/>
              <w:bottom w:val="outset" w:sz="6" w:space="0" w:color="auto"/>
              <w:right w:val="outset" w:sz="6" w:space="0" w:color="auto"/>
            </w:tcBorders>
            <w:hideMark/>
          </w:tcPr>
          <w:p w14:paraId="531E0BF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Расп. СЭ</w:t>
            </w:r>
          </w:p>
          <w:p w14:paraId="42BE101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23/VIII - 41 г.</w:t>
            </w:r>
          </w:p>
          <w:p w14:paraId="107D45B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136116-сэ</w:t>
            </w:r>
          </w:p>
          <w:p w14:paraId="30E91A4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r>
      <w:tr w:rsidR="00643896" w:rsidRPr="00640820" w14:paraId="6BF6CFEC" w14:textId="77777777" w:rsidTr="002B4573">
        <w:trPr>
          <w:tblCellSpacing w:w="15" w:type="dxa"/>
        </w:trPr>
        <w:tc>
          <w:tcPr>
            <w:tcW w:w="0" w:type="auto"/>
            <w:gridSpan w:val="2"/>
            <w:tcBorders>
              <w:top w:val="outset" w:sz="6" w:space="0" w:color="auto"/>
              <w:left w:val="outset" w:sz="6" w:space="0" w:color="auto"/>
              <w:bottom w:val="outset" w:sz="6" w:space="0" w:color="auto"/>
              <w:right w:val="outset" w:sz="6" w:space="0" w:color="auto"/>
            </w:tcBorders>
            <w:hideMark/>
          </w:tcPr>
          <w:p w14:paraId="5C96EDC3"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15.</w:t>
            </w:r>
          </w:p>
        </w:tc>
        <w:tc>
          <w:tcPr>
            <w:tcW w:w="0" w:type="auto"/>
            <w:tcBorders>
              <w:top w:val="outset" w:sz="6" w:space="0" w:color="auto"/>
              <w:left w:val="outset" w:sz="6" w:space="0" w:color="auto"/>
              <w:bottom w:val="outset" w:sz="6" w:space="0" w:color="auto"/>
              <w:right w:val="outset" w:sz="6" w:space="0" w:color="auto"/>
            </w:tcBorders>
            <w:hideMark/>
          </w:tcPr>
          <w:p w14:paraId="252C2FE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"Гипролестранс" НКЛеса СССР</w:t>
            </w:r>
          </w:p>
          <w:p w14:paraId="2B357CA4"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(Ленинград)</w:t>
            </w:r>
          </w:p>
          <w:p w14:paraId="3DFB785E"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7345915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 Уржум</w:t>
            </w:r>
          </w:p>
        </w:tc>
        <w:tc>
          <w:tcPr>
            <w:tcW w:w="0" w:type="auto"/>
            <w:tcBorders>
              <w:top w:val="outset" w:sz="6" w:space="0" w:color="auto"/>
              <w:left w:val="outset" w:sz="6" w:space="0" w:color="auto"/>
              <w:bottom w:val="outset" w:sz="6" w:space="0" w:color="auto"/>
              <w:right w:val="outset" w:sz="6" w:space="0" w:color="auto"/>
            </w:tcBorders>
            <w:hideMark/>
          </w:tcPr>
          <w:p w14:paraId="4EE6166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r>
      <w:tr w:rsidR="00643896" w:rsidRPr="00640820" w14:paraId="38745776" w14:textId="77777777" w:rsidTr="002B4573">
        <w:trPr>
          <w:tblCellSpacing w:w="15" w:type="dxa"/>
        </w:trPr>
        <w:tc>
          <w:tcPr>
            <w:tcW w:w="0" w:type="auto"/>
            <w:gridSpan w:val="2"/>
            <w:tcBorders>
              <w:top w:val="outset" w:sz="6" w:space="0" w:color="auto"/>
              <w:left w:val="outset" w:sz="6" w:space="0" w:color="auto"/>
              <w:bottom w:val="outset" w:sz="6" w:space="0" w:color="auto"/>
              <w:right w:val="outset" w:sz="6" w:space="0" w:color="auto"/>
            </w:tcBorders>
            <w:hideMark/>
          </w:tcPr>
          <w:p w14:paraId="769394C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16.</w:t>
            </w:r>
          </w:p>
        </w:tc>
        <w:tc>
          <w:tcPr>
            <w:tcW w:w="0" w:type="auto"/>
            <w:tcBorders>
              <w:top w:val="outset" w:sz="6" w:space="0" w:color="auto"/>
              <w:left w:val="outset" w:sz="6" w:space="0" w:color="auto"/>
              <w:bottom w:val="outset" w:sz="6" w:space="0" w:color="auto"/>
              <w:right w:val="outset" w:sz="6" w:space="0" w:color="auto"/>
            </w:tcBorders>
            <w:hideMark/>
          </w:tcPr>
          <w:p w14:paraId="16BEB26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"Гипродрев"</w:t>
            </w:r>
          </w:p>
          <w:p w14:paraId="2CCF618E"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НКЛеса СССР</w:t>
            </w:r>
          </w:p>
          <w:p w14:paraId="2ADE3E4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(Ленинград)</w:t>
            </w:r>
          </w:p>
          <w:p w14:paraId="2B0824C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7276B65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 Малмыж</w:t>
            </w:r>
          </w:p>
        </w:tc>
        <w:tc>
          <w:tcPr>
            <w:tcW w:w="0" w:type="auto"/>
            <w:tcBorders>
              <w:top w:val="outset" w:sz="6" w:space="0" w:color="auto"/>
              <w:left w:val="outset" w:sz="6" w:space="0" w:color="auto"/>
              <w:bottom w:val="outset" w:sz="6" w:space="0" w:color="auto"/>
              <w:right w:val="outset" w:sz="6" w:space="0" w:color="auto"/>
            </w:tcBorders>
            <w:hideMark/>
          </w:tcPr>
          <w:p w14:paraId="4F3ED4BE"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r>
      <w:tr w:rsidR="00643896" w:rsidRPr="00640820" w14:paraId="4B3A1510" w14:textId="77777777" w:rsidTr="002B4573">
        <w:trPr>
          <w:tblCellSpacing w:w="15" w:type="dxa"/>
        </w:trPr>
        <w:tc>
          <w:tcPr>
            <w:tcW w:w="0" w:type="auto"/>
            <w:gridSpan w:val="2"/>
            <w:tcBorders>
              <w:top w:val="outset" w:sz="6" w:space="0" w:color="auto"/>
              <w:left w:val="outset" w:sz="6" w:space="0" w:color="auto"/>
              <w:bottom w:val="outset" w:sz="6" w:space="0" w:color="auto"/>
              <w:right w:val="outset" w:sz="6" w:space="0" w:color="auto"/>
            </w:tcBorders>
            <w:hideMark/>
          </w:tcPr>
          <w:p w14:paraId="624C2CE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17.</w:t>
            </w:r>
          </w:p>
        </w:tc>
        <w:tc>
          <w:tcPr>
            <w:tcW w:w="0" w:type="auto"/>
            <w:tcBorders>
              <w:top w:val="outset" w:sz="6" w:space="0" w:color="auto"/>
              <w:left w:val="outset" w:sz="6" w:space="0" w:color="auto"/>
              <w:bottom w:val="outset" w:sz="6" w:space="0" w:color="auto"/>
              <w:right w:val="outset" w:sz="6" w:space="0" w:color="auto"/>
            </w:tcBorders>
            <w:hideMark/>
          </w:tcPr>
          <w:p w14:paraId="1F64388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Ленинградский Большой драматический театр</w:t>
            </w:r>
          </w:p>
          <w:p w14:paraId="62D9178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им. Горького</w:t>
            </w:r>
          </w:p>
        </w:tc>
        <w:tc>
          <w:tcPr>
            <w:tcW w:w="0" w:type="auto"/>
            <w:tcBorders>
              <w:top w:val="outset" w:sz="6" w:space="0" w:color="auto"/>
              <w:left w:val="outset" w:sz="6" w:space="0" w:color="auto"/>
              <w:bottom w:val="outset" w:sz="6" w:space="0" w:color="auto"/>
              <w:right w:val="outset" w:sz="6" w:space="0" w:color="auto"/>
            </w:tcBorders>
            <w:hideMark/>
          </w:tcPr>
          <w:p w14:paraId="3D68DF13"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 Киров драматический театр им. Кирова</w:t>
            </w:r>
          </w:p>
        </w:tc>
        <w:tc>
          <w:tcPr>
            <w:tcW w:w="0" w:type="auto"/>
            <w:tcBorders>
              <w:top w:val="outset" w:sz="6" w:space="0" w:color="auto"/>
              <w:left w:val="outset" w:sz="6" w:space="0" w:color="auto"/>
              <w:bottom w:val="outset" w:sz="6" w:space="0" w:color="auto"/>
              <w:right w:val="outset" w:sz="6" w:space="0" w:color="auto"/>
            </w:tcBorders>
            <w:hideMark/>
          </w:tcPr>
          <w:p w14:paraId="7B42C2D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r>
      <w:tr w:rsidR="00643896" w:rsidRPr="00640820" w14:paraId="48C44462" w14:textId="77777777" w:rsidTr="002B4573">
        <w:trPr>
          <w:tblCellSpacing w:w="15" w:type="dxa"/>
        </w:trPr>
        <w:tc>
          <w:tcPr>
            <w:tcW w:w="0" w:type="auto"/>
            <w:gridSpan w:val="2"/>
            <w:tcBorders>
              <w:top w:val="outset" w:sz="6" w:space="0" w:color="auto"/>
              <w:left w:val="outset" w:sz="6" w:space="0" w:color="auto"/>
              <w:bottom w:val="outset" w:sz="6" w:space="0" w:color="auto"/>
              <w:right w:val="outset" w:sz="6" w:space="0" w:color="auto"/>
            </w:tcBorders>
            <w:hideMark/>
          </w:tcPr>
          <w:p w14:paraId="0E46E7F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18.</w:t>
            </w:r>
          </w:p>
        </w:tc>
        <w:tc>
          <w:tcPr>
            <w:tcW w:w="0" w:type="auto"/>
            <w:tcBorders>
              <w:top w:val="outset" w:sz="6" w:space="0" w:color="auto"/>
              <w:left w:val="outset" w:sz="6" w:space="0" w:color="auto"/>
              <w:bottom w:val="outset" w:sz="6" w:space="0" w:color="auto"/>
              <w:right w:val="outset" w:sz="6" w:space="0" w:color="auto"/>
            </w:tcBorders>
            <w:hideMark/>
          </w:tcPr>
          <w:p w14:paraId="513EEBA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Полтавский техникум</w:t>
            </w:r>
          </w:p>
          <w:p w14:paraId="75E3C44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полеводства (Полтавская область)</w:t>
            </w:r>
          </w:p>
        </w:tc>
        <w:tc>
          <w:tcPr>
            <w:tcW w:w="0" w:type="auto"/>
            <w:tcBorders>
              <w:top w:val="outset" w:sz="6" w:space="0" w:color="auto"/>
              <w:left w:val="outset" w:sz="6" w:space="0" w:color="auto"/>
              <w:bottom w:val="outset" w:sz="6" w:space="0" w:color="auto"/>
              <w:right w:val="outset" w:sz="6" w:space="0" w:color="auto"/>
            </w:tcBorders>
            <w:hideMark/>
          </w:tcPr>
          <w:p w14:paraId="3DEDCAB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Савальский</w:t>
            </w:r>
          </w:p>
          <w:p w14:paraId="66875A5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с/хоз. техникум Малмыжского района</w:t>
            </w:r>
          </w:p>
          <w:p w14:paraId="71A1F02E"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6C880B7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Расп. СЭ</w:t>
            </w:r>
          </w:p>
          <w:p w14:paraId="3A2CF70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5/IX - 41 г.</w:t>
            </w:r>
          </w:p>
          <w:p w14:paraId="6A0E7C5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13862-сэ</w:t>
            </w:r>
          </w:p>
        </w:tc>
      </w:tr>
      <w:tr w:rsidR="00643896" w:rsidRPr="00640820" w14:paraId="2E30EEB3" w14:textId="77777777" w:rsidTr="002B4573">
        <w:trPr>
          <w:tblCellSpacing w:w="15" w:type="dxa"/>
        </w:trPr>
        <w:tc>
          <w:tcPr>
            <w:tcW w:w="0" w:type="auto"/>
            <w:gridSpan w:val="2"/>
            <w:tcBorders>
              <w:top w:val="outset" w:sz="6" w:space="0" w:color="auto"/>
              <w:left w:val="outset" w:sz="6" w:space="0" w:color="auto"/>
              <w:bottom w:val="outset" w:sz="6" w:space="0" w:color="auto"/>
              <w:right w:val="outset" w:sz="6" w:space="0" w:color="auto"/>
            </w:tcBorders>
            <w:hideMark/>
          </w:tcPr>
          <w:p w14:paraId="2C80415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19.</w:t>
            </w:r>
          </w:p>
        </w:tc>
        <w:tc>
          <w:tcPr>
            <w:tcW w:w="0" w:type="auto"/>
            <w:tcBorders>
              <w:top w:val="outset" w:sz="6" w:space="0" w:color="auto"/>
              <w:left w:val="outset" w:sz="6" w:space="0" w:color="auto"/>
              <w:bottom w:val="outset" w:sz="6" w:space="0" w:color="auto"/>
              <w:right w:val="outset" w:sz="6" w:space="0" w:color="auto"/>
            </w:tcBorders>
            <w:hideMark/>
          </w:tcPr>
          <w:p w14:paraId="4F5762F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Кременчугский техникум механизации</w:t>
            </w:r>
          </w:p>
          <w:p w14:paraId="667DB9E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(Полтавская область)</w:t>
            </w:r>
          </w:p>
        </w:tc>
        <w:tc>
          <w:tcPr>
            <w:tcW w:w="0" w:type="auto"/>
            <w:tcBorders>
              <w:top w:val="outset" w:sz="6" w:space="0" w:color="auto"/>
              <w:left w:val="outset" w:sz="6" w:space="0" w:color="auto"/>
              <w:bottom w:val="outset" w:sz="6" w:space="0" w:color="auto"/>
              <w:right w:val="outset" w:sz="6" w:space="0" w:color="auto"/>
            </w:tcBorders>
            <w:hideMark/>
          </w:tcPr>
          <w:p w14:paraId="0052015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Молотовский техникум механизации Молотовского района</w:t>
            </w:r>
          </w:p>
          <w:p w14:paraId="650AAE23"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65C769C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то же</w:t>
            </w:r>
          </w:p>
        </w:tc>
      </w:tr>
      <w:tr w:rsidR="00643896" w:rsidRPr="00640820" w14:paraId="3E0549EB" w14:textId="77777777" w:rsidTr="002B4573">
        <w:trPr>
          <w:tblCellSpacing w:w="15" w:type="dxa"/>
        </w:trPr>
        <w:tc>
          <w:tcPr>
            <w:tcW w:w="0" w:type="auto"/>
            <w:gridSpan w:val="2"/>
            <w:tcBorders>
              <w:top w:val="outset" w:sz="6" w:space="0" w:color="auto"/>
              <w:left w:val="outset" w:sz="6" w:space="0" w:color="auto"/>
              <w:bottom w:val="outset" w:sz="6" w:space="0" w:color="auto"/>
              <w:right w:val="outset" w:sz="6" w:space="0" w:color="auto"/>
            </w:tcBorders>
            <w:hideMark/>
          </w:tcPr>
          <w:p w14:paraId="26421DD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20.</w:t>
            </w:r>
          </w:p>
        </w:tc>
        <w:tc>
          <w:tcPr>
            <w:tcW w:w="0" w:type="auto"/>
            <w:tcBorders>
              <w:top w:val="outset" w:sz="6" w:space="0" w:color="auto"/>
              <w:left w:val="outset" w:sz="6" w:space="0" w:color="auto"/>
              <w:bottom w:val="outset" w:sz="6" w:space="0" w:color="auto"/>
              <w:right w:val="outset" w:sz="6" w:space="0" w:color="auto"/>
            </w:tcBorders>
            <w:hideMark/>
          </w:tcPr>
          <w:p w14:paraId="517FD8F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Харьковский</w:t>
            </w:r>
          </w:p>
          <w:p w14:paraId="30B41C8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техникум механизации</w:t>
            </w:r>
          </w:p>
          <w:p w14:paraId="08B65C5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(Полтавская область)</w:t>
            </w:r>
          </w:p>
          <w:p w14:paraId="5701BA3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7851C1C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там же</w:t>
            </w:r>
          </w:p>
        </w:tc>
        <w:tc>
          <w:tcPr>
            <w:tcW w:w="0" w:type="auto"/>
            <w:tcBorders>
              <w:top w:val="outset" w:sz="6" w:space="0" w:color="auto"/>
              <w:left w:val="outset" w:sz="6" w:space="0" w:color="auto"/>
              <w:bottom w:val="outset" w:sz="6" w:space="0" w:color="auto"/>
              <w:right w:val="outset" w:sz="6" w:space="0" w:color="auto"/>
            </w:tcBorders>
            <w:hideMark/>
          </w:tcPr>
          <w:p w14:paraId="73848593"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то же</w:t>
            </w:r>
          </w:p>
        </w:tc>
      </w:tr>
      <w:tr w:rsidR="00643896" w:rsidRPr="00640820" w14:paraId="241B24DE" w14:textId="77777777" w:rsidTr="002B4573">
        <w:trPr>
          <w:tblCellSpacing w:w="15" w:type="dxa"/>
        </w:trPr>
        <w:tc>
          <w:tcPr>
            <w:tcW w:w="0" w:type="auto"/>
            <w:gridSpan w:val="2"/>
            <w:tcBorders>
              <w:top w:val="outset" w:sz="6" w:space="0" w:color="auto"/>
              <w:left w:val="outset" w:sz="6" w:space="0" w:color="auto"/>
              <w:bottom w:val="outset" w:sz="6" w:space="0" w:color="auto"/>
              <w:right w:val="outset" w:sz="6" w:space="0" w:color="auto"/>
            </w:tcBorders>
            <w:hideMark/>
          </w:tcPr>
          <w:p w14:paraId="6BF19D6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21.</w:t>
            </w:r>
          </w:p>
        </w:tc>
        <w:tc>
          <w:tcPr>
            <w:tcW w:w="0" w:type="auto"/>
            <w:tcBorders>
              <w:top w:val="outset" w:sz="6" w:space="0" w:color="auto"/>
              <w:left w:val="outset" w:sz="6" w:space="0" w:color="auto"/>
              <w:bottom w:val="outset" w:sz="6" w:space="0" w:color="auto"/>
              <w:right w:val="outset" w:sz="6" w:space="0" w:color="auto"/>
            </w:tcBorders>
            <w:hideMark/>
          </w:tcPr>
          <w:p w14:paraId="2F305AE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Писаревщанскийзоотехникум (Полтавской области)</w:t>
            </w:r>
          </w:p>
          <w:p w14:paraId="6D1B10E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42652DD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Уржумский</w:t>
            </w:r>
          </w:p>
          <w:p w14:paraId="3E9D4224"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с/х. техникум Уржумского района</w:t>
            </w:r>
          </w:p>
        </w:tc>
        <w:tc>
          <w:tcPr>
            <w:tcW w:w="0" w:type="auto"/>
            <w:tcBorders>
              <w:top w:val="outset" w:sz="6" w:space="0" w:color="auto"/>
              <w:left w:val="outset" w:sz="6" w:space="0" w:color="auto"/>
              <w:bottom w:val="outset" w:sz="6" w:space="0" w:color="auto"/>
              <w:right w:val="outset" w:sz="6" w:space="0" w:color="auto"/>
            </w:tcBorders>
            <w:hideMark/>
          </w:tcPr>
          <w:p w14:paraId="31FF242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то же</w:t>
            </w:r>
          </w:p>
        </w:tc>
      </w:tr>
      <w:tr w:rsidR="00643896" w:rsidRPr="00640820" w14:paraId="16FA41FD" w14:textId="77777777" w:rsidTr="002B4573">
        <w:trPr>
          <w:tblCellSpacing w:w="15" w:type="dxa"/>
        </w:trPr>
        <w:tc>
          <w:tcPr>
            <w:tcW w:w="0" w:type="auto"/>
            <w:gridSpan w:val="2"/>
            <w:tcBorders>
              <w:top w:val="outset" w:sz="6" w:space="0" w:color="auto"/>
              <w:left w:val="outset" w:sz="6" w:space="0" w:color="auto"/>
              <w:bottom w:val="outset" w:sz="6" w:space="0" w:color="auto"/>
              <w:right w:val="outset" w:sz="6" w:space="0" w:color="auto"/>
            </w:tcBorders>
            <w:hideMark/>
          </w:tcPr>
          <w:p w14:paraId="406228A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22.</w:t>
            </w:r>
          </w:p>
        </w:tc>
        <w:tc>
          <w:tcPr>
            <w:tcW w:w="0" w:type="auto"/>
            <w:tcBorders>
              <w:top w:val="outset" w:sz="6" w:space="0" w:color="auto"/>
              <w:left w:val="outset" w:sz="6" w:space="0" w:color="auto"/>
              <w:bottom w:val="outset" w:sz="6" w:space="0" w:color="auto"/>
              <w:right w:val="outset" w:sz="6" w:space="0" w:color="auto"/>
            </w:tcBorders>
            <w:hideMark/>
          </w:tcPr>
          <w:p w14:paraId="10BF280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Андреевский зоотехникум (Полтавская область)</w:t>
            </w:r>
          </w:p>
          <w:p w14:paraId="106F4A5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1883D57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Яранский сельхозтехникум Яранского района</w:t>
            </w:r>
          </w:p>
        </w:tc>
        <w:tc>
          <w:tcPr>
            <w:tcW w:w="0" w:type="auto"/>
            <w:tcBorders>
              <w:top w:val="outset" w:sz="6" w:space="0" w:color="auto"/>
              <w:left w:val="outset" w:sz="6" w:space="0" w:color="auto"/>
              <w:bottom w:val="outset" w:sz="6" w:space="0" w:color="auto"/>
              <w:right w:val="outset" w:sz="6" w:space="0" w:color="auto"/>
            </w:tcBorders>
            <w:hideMark/>
          </w:tcPr>
          <w:p w14:paraId="14A19C6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то же</w:t>
            </w:r>
          </w:p>
        </w:tc>
      </w:tr>
      <w:tr w:rsidR="00643896" w:rsidRPr="00640820" w14:paraId="57CF19CD" w14:textId="77777777" w:rsidTr="002B4573">
        <w:trPr>
          <w:tblCellSpacing w:w="15" w:type="dxa"/>
        </w:trPr>
        <w:tc>
          <w:tcPr>
            <w:tcW w:w="0" w:type="auto"/>
            <w:gridSpan w:val="2"/>
            <w:tcBorders>
              <w:top w:val="outset" w:sz="6" w:space="0" w:color="auto"/>
              <w:left w:val="outset" w:sz="6" w:space="0" w:color="auto"/>
              <w:bottom w:val="outset" w:sz="6" w:space="0" w:color="auto"/>
              <w:right w:val="outset" w:sz="6" w:space="0" w:color="auto"/>
            </w:tcBorders>
            <w:hideMark/>
          </w:tcPr>
          <w:p w14:paraId="19C2323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23.</w:t>
            </w:r>
          </w:p>
        </w:tc>
        <w:tc>
          <w:tcPr>
            <w:tcW w:w="0" w:type="auto"/>
            <w:tcBorders>
              <w:top w:val="outset" w:sz="6" w:space="0" w:color="auto"/>
              <w:left w:val="outset" w:sz="6" w:space="0" w:color="auto"/>
              <w:bottom w:val="outset" w:sz="6" w:space="0" w:color="auto"/>
              <w:right w:val="outset" w:sz="6" w:space="0" w:color="auto"/>
            </w:tcBorders>
            <w:hideMark/>
          </w:tcPr>
          <w:p w14:paraId="4A0D67B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Березово-Рудскийзоотехникум (Полтавская область)</w:t>
            </w:r>
          </w:p>
          <w:p w14:paraId="7F51658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70B0916E"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там же</w:t>
            </w:r>
          </w:p>
        </w:tc>
        <w:tc>
          <w:tcPr>
            <w:tcW w:w="0" w:type="auto"/>
            <w:tcBorders>
              <w:top w:val="outset" w:sz="6" w:space="0" w:color="auto"/>
              <w:left w:val="outset" w:sz="6" w:space="0" w:color="auto"/>
              <w:bottom w:val="outset" w:sz="6" w:space="0" w:color="auto"/>
              <w:right w:val="outset" w:sz="6" w:space="0" w:color="auto"/>
            </w:tcBorders>
            <w:hideMark/>
          </w:tcPr>
          <w:p w14:paraId="40C81B6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то же</w:t>
            </w:r>
          </w:p>
        </w:tc>
      </w:tr>
      <w:tr w:rsidR="00643896" w:rsidRPr="00640820" w14:paraId="2AD5E3B9" w14:textId="77777777" w:rsidTr="002B4573">
        <w:trPr>
          <w:tblCellSpacing w:w="15" w:type="dxa"/>
        </w:trPr>
        <w:tc>
          <w:tcPr>
            <w:tcW w:w="0" w:type="auto"/>
            <w:gridSpan w:val="2"/>
            <w:tcBorders>
              <w:top w:val="outset" w:sz="6" w:space="0" w:color="auto"/>
              <w:left w:val="outset" w:sz="6" w:space="0" w:color="auto"/>
              <w:bottom w:val="outset" w:sz="6" w:space="0" w:color="auto"/>
              <w:right w:val="outset" w:sz="6" w:space="0" w:color="auto"/>
            </w:tcBorders>
            <w:hideMark/>
          </w:tcPr>
          <w:p w14:paraId="3F1DA4D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24.</w:t>
            </w:r>
          </w:p>
        </w:tc>
        <w:tc>
          <w:tcPr>
            <w:tcW w:w="0" w:type="auto"/>
            <w:tcBorders>
              <w:top w:val="outset" w:sz="6" w:space="0" w:color="auto"/>
              <w:left w:val="outset" w:sz="6" w:space="0" w:color="auto"/>
              <w:bottom w:val="outset" w:sz="6" w:space="0" w:color="auto"/>
              <w:right w:val="outset" w:sz="6" w:space="0" w:color="auto"/>
            </w:tcBorders>
            <w:hideMark/>
          </w:tcPr>
          <w:p w14:paraId="6F499E0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Золотоношский техникум полеводства</w:t>
            </w:r>
          </w:p>
          <w:p w14:paraId="763F544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(Полтавская область)</w:t>
            </w:r>
          </w:p>
        </w:tc>
        <w:tc>
          <w:tcPr>
            <w:tcW w:w="0" w:type="auto"/>
            <w:tcBorders>
              <w:top w:val="outset" w:sz="6" w:space="0" w:color="auto"/>
              <w:left w:val="outset" w:sz="6" w:space="0" w:color="auto"/>
              <w:bottom w:val="outset" w:sz="6" w:space="0" w:color="auto"/>
              <w:right w:val="outset" w:sz="6" w:space="0" w:color="auto"/>
            </w:tcBorders>
            <w:hideMark/>
          </w:tcPr>
          <w:p w14:paraId="7691A97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Яранская школа сельхозобразова-нияЯранского района</w:t>
            </w:r>
          </w:p>
          <w:p w14:paraId="4D1F53E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w:t>
            </w:r>
          </w:p>
        </w:tc>
        <w:tc>
          <w:tcPr>
            <w:tcW w:w="0" w:type="auto"/>
            <w:tcBorders>
              <w:top w:val="outset" w:sz="6" w:space="0" w:color="auto"/>
              <w:left w:val="outset" w:sz="6" w:space="0" w:color="auto"/>
              <w:bottom w:val="outset" w:sz="6" w:space="0" w:color="auto"/>
              <w:right w:val="outset" w:sz="6" w:space="0" w:color="auto"/>
            </w:tcBorders>
            <w:hideMark/>
          </w:tcPr>
          <w:p w14:paraId="45E2DA1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то же</w:t>
            </w:r>
          </w:p>
        </w:tc>
      </w:tr>
      <w:tr w:rsidR="00643896" w:rsidRPr="00640820" w14:paraId="61DFA1ED" w14:textId="77777777" w:rsidTr="002B4573">
        <w:trPr>
          <w:tblCellSpacing w:w="15" w:type="dxa"/>
        </w:trPr>
        <w:tc>
          <w:tcPr>
            <w:tcW w:w="0" w:type="auto"/>
            <w:gridSpan w:val="2"/>
            <w:tcBorders>
              <w:top w:val="outset" w:sz="6" w:space="0" w:color="auto"/>
              <w:left w:val="outset" w:sz="6" w:space="0" w:color="auto"/>
              <w:bottom w:val="outset" w:sz="6" w:space="0" w:color="auto"/>
              <w:right w:val="outset" w:sz="6" w:space="0" w:color="auto"/>
            </w:tcBorders>
            <w:hideMark/>
          </w:tcPr>
          <w:p w14:paraId="6A8E069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25.</w:t>
            </w:r>
          </w:p>
        </w:tc>
        <w:tc>
          <w:tcPr>
            <w:tcW w:w="0" w:type="auto"/>
            <w:tcBorders>
              <w:top w:val="outset" w:sz="6" w:space="0" w:color="auto"/>
              <w:left w:val="outset" w:sz="6" w:space="0" w:color="auto"/>
              <w:bottom w:val="outset" w:sz="6" w:space="0" w:color="auto"/>
              <w:right w:val="outset" w:sz="6" w:space="0" w:color="auto"/>
            </w:tcBorders>
            <w:hideMark/>
          </w:tcPr>
          <w:p w14:paraId="65A005F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Полтавский землеустроительный техникум</w:t>
            </w:r>
          </w:p>
          <w:p w14:paraId="47124553"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(Полтавской области)</w:t>
            </w:r>
          </w:p>
        </w:tc>
        <w:tc>
          <w:tcPr>
            <w:tcW w:w="0" w:type="auto"/>
            <w:tcBorders>
              <w:top w:val="outset" w:sz="6" w:space="0" w:color="auto"/>
              <w:left w:val="outset" w:sz="6" w:space="0" w:color="auto"/>
              <w:bottom w:val="outset" w:sz="6" w:space="0" w:color="auto"/>
              <w:right w:val="outset" w:sz="6" w:space="0" w:color="auto"/>
            </w:tcBorders>
            <w:hideMark/>
          </w:tcPr>
          <w:p w14:paraId="22FA648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Халтуринский сельхоз. техникум село ИстобенскоеОричевского района</w:t>
            </w:r>
          </w:p>
        </w:tc>
        <w:tc>
          <w:tcPr>
            <w:tcW w:w="0" w:type="auto"/>
            <w:tcBorders>
              <w:top w:val="outset" w:sz="6" w:space="0" w:color="auto"/>
              <w:left w:val="outset" w:sz="6" w:space="0" w:color="auto"/>
              <w:bottom w:val="outset" w:sz="6" w:space="0" w:color="auto"/>
              <w:right w:val="outset" w:sz="6" w:space="0" w:color="auto"/>
            </w:tcBorders>
            <w:hideMark/>
          </w:tcPr>
          <w:p w14:paraId="7AEEA38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Расп. СЭ</w:t>
            </w:r>
          </w:p>
          <w:p w14:paraId="30040C6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от 5/IX -1941 г.</w:t>
            </w:r>
          </w:p>
          <w:p w14:paraId="265D3C5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13862-сэ</w:t>
            </w:r>
          </w:p>
        </w:tc>
      </w:tr>
    </w:tbl>
    <w:p w14:paraId="5B53EB45" w14:textId="77777777" w:rsidR="00095326" w:rsidRPr="00640820" w:rsidRDefault="0009532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(17493)</w:t>
      </w:r>
    </w:p>
    <w:p w14:paraId="3D759EA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p>
    <w:p w14:paraId="6454CF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была подготовлена справка:</w:t>
      </w:r>
    </w:p>
    <w:p w14:paraId="24A84E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Размещение эвакуированных заводов в Кузбассе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
        <w:gridCol w:w="3791"/>
        <w:gridCol w:w="3174"/>
        <w:gridCol w:w="1747"/>
      </w:tblGrid>
      <w:tr w:rsidR="00643896" w:rsidRPr="00640820" w14:paraId="0B0DA54B" w14:textId="77777777" w:rsidTr="000D3BCB">
        <w:tc>
          <w:tcPr>
            <w:tcW w:w="178" w:type="dxa"/>
            <w:tcBorders>
              <w:top w:val="single" w:sz="12" w:space="0" w:color="auto"/>
            </w:tcBorders>
          </w:tcPr>
          <w:p w14:paraId="67D803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3791" w:type="dxa"/>
            <w:tcBorders>
              <w:top w:val="single" w:sz="12" w:space="0" w:color="auto"/>
            </w:tcBorders>
          </w:tcPr>
          <w:p w14:paraId="64FADE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Наименование эвакуированных предприятий</w:t>
            </w:r>
          </w:p>
        </w:tc>
        <w:tc>
          <w:tcPr>
            <w:tcW w:w="3174" w:type="dxa"/>
            <w:tcBorders>
              <w:top w:val="single" w:sz="12" w:space="0" w:color="auto"/>
            </w:tcBorders>
          </w:tcPr>
          <w:p w14:paraId="07420B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размещения эвакуированного оборудования</w:t>
            </w:r>
          </w:p>
        </w:tc>
        <w:tc>
          <w:tcPr>
            <w:tcW w:w="1747" w:type="dxa"/>
            <w:tcBorders>
              <w:top w:val="single" w:sz="12" w:space="0" w:color="auto"/>
            </w:tcBorders>
          </w:tcPr>
          <w:p w14:paraId="0BBA74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Вновь созданное предприятие</w:t>
            </w:r>
          </w:p>
        </w:tc>
      </w:tr>
      <w:tr w:rsidR="00643896" w:rsidRPr="00640820" w14:paraId="6D02321B" w14:textId="77777777" w:rsidTr="000D3BCB">
        <w:tc>
          <w:tcPr>
            <w:tcW w:w="178" w:type="dxa"/>
          </w:tcPr>
          <w:p w14:paraId="258ADB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1</w:t>
            </w:r>
          </w:p>
        </w:tc>
        <w:tc>
          <w:tcPr>
            <w:tcW w:w="3791" w:type="dxa"/>
          </w:tcPr>
          <w:p w14:paraId="5B13B2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Азотно-туковый завод Наркомата химической промышленности (НКХП), г.Горловка</w:t>
            </w:r>
          </w:p>
        </w:tc>
        <w:tc>
          <w:tcPr>
            <w:tcW w:w="3174" w:type="dxa"/>
          </w:tcPr>
          <w:p w14:paraId="1DB807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Кемеровский азотно-туковый завод (сюда также прибыли Днепродзержинский и Лисичанский АТЗ)</w:t>
            </w:r>
          </w:p>
        </w:tc>
        <w:tc>
          <w:tcPr>
            <w:tcW w:w="1747" w:type="dxa"/>
          </w:tcPr>
          <w:p w14:paraId="37F92B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AB62892" w14:textId="77777777" w:rsidTr="000D3BCB">
        <w:tc>
          <w:tcPr>
            <w:tcW w:w="178" w:type="dxa"/>
          </w:tcPr>
          <w:p w14:paraId="084918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3791" w:type="dxa"/>
          </w:tcPr>
          <w:p w14:paraId="772C16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Химический завод №20 (НКХП), г.Рубежное</w:t>
            </w:r>
          </w:p>
        </w:tc>
        <w:tc>
          <w:tcPr>
            <w:tcW w:w="3174" w:type="dxa"/>
          </w:tcPr>
          <w:p w14:paraId="716A97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Pr>
          <w:p w14:paraId="214FBA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0CDA6FE" w14:textId="77777777" w:rsidTr="000D3BCB">
        <w:tc>
          <w:tcPr>
            <w:tcW w:w="178" w:type="dxa"/>
          </w:tcPr>
          <w:p w14:paraId="093F2A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c>
          <w:tcPr>
            <w:tcW w:w="3791" w:type="dxa"/>
          </w:tcPr>
          <w:p w14:paraId="5743CD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Химкомбинат г.Новомосковск</w:t>
            </w:r>
          </w:p>
        </w:tc>
        <w:tc>
          <w:tcPr>
            <w:tcW w:w="3174" w:type="dxa"/>
          </w:tcPr>
          <w:p w14:paraId="5F4116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Pr>
          <w:p w14:paraId="5F093F4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4047F4B" w14:textId="77777777" w:rsidTr="000D3BCB">
        <w:tc>
          <w:tcPr>
            <w:tcW w:w="178" w:type="dxa"/>
          </w:tcPr>
          <w:p w14:paraId="6C8C1F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3791" w:type="dxa"/>
          </w:tcPr>
          <w:p w14:paraId="56916D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Азотно-туковый завод г.Сталинград</w:t>
            </w:r>
          </w:p>
        </w:tc>
        <w:tc>
          <w:tcPr>
            <w:tcW w:w="3174" w:type="dxa"/>
          </w:tcPr>
          <w:p w14:paraId="241EE8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Pr>
          <w:p w14:paraId="50D204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28F3235" w14:textId="77777777" w:rsidTr="000D3BCB">
        <w:tc>
          <w:tcPr>
            <w:tcW w:w="178" w:type="dxa"/>
          </w:tcPr>
          <w:p w14:paraId="5B9428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3791" w:type="dxa"/>
          </w:tcPr>
          <w:p w14:paraId="5DDBEE5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№510 Наркомата боеприпасов (НКБ), г.Ногинск</w:t>
            </w:r>
          </w:p>
        </w:tc>
        <w:tc>
          <w:tcPr>
            <w:tcW w:w="3174" w:type="dxa"/>
          </w:tcPr>
          <w:p w14:paraId="59525E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Кемеровский мехзавод</w:t>
            </w:r>
          </w:p>
        </w:tc>
        <w:tc>
          <w:tcPr>
            <w:tcW w:w="1747" w:type="dxa"/>
          </w:tcPr>
          <w:p w14:paraId="47EF4DF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№606 НКБ г.Кемерово</w:t>
            </w:r>
          </w:p>
        </w:tc>
      </w:tr>
      <w:tr w:rsidR="00643896" w:rsidRPr="00640820" w14:paraId="2AF174BF" w14:textId="77777777" w:rsidTr="000D3BCB">
        <w:tc>
          <w:tcPr>
            <w:tcW w:w="178" w:type="dxa"/>
          </w:tcPr>
          <w:p w14:paraId="0A85F28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c>
          <w:tcPr>
            <w:tcW w:w="3791" w:type="dxa"/>
          </w:tcPr>
          <w:p w14:paraId="4FB6AF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№187 НКБ (частично). Часть оборудования завода №510. Часть оборудования химического завода №20 НКХП г.Рубежное</w:t>
            </w:r>
          </w:p>
        </w:tc>
        <w:tc>
          <w:tcPr>
            <w:tcW w:w="3174" w:type="dxa"/>
          </w:tcPr>
          <w:p w14:paraId="2E82A4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Кемеровский опытный гидрогенизационный завод (ОГГЗ)</w:t>
            </w:r>
          </w:p>
        </w:tc>
        <w:tc>
          <w:tcPr>
            <w:tcW w:w="1747" w:type="dxa"/>
          </w:tcPr>
          <w:p w14:paraId="64EB1E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№510 НКХП, г.Кемерово Завод №11 НКХП, г.Кемерово</w:t>
            </w:r>
          </w:p>
        </w:tc>
      </w:tr>
      <w:tr w:rsidR="00643896" w:rsidRPr="00640820" w14:paraId="49E4194E" w14:textId="77777777" w:rsidTr="000D3BCB">
        <w:tc>
          <w:tcPr>
            <w:tcW w:w="178" w:type="dxa"/>
          </w:tcPr>
          <w:p w14:paraId="0C1899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w:t>
            </w:r>
          </w:p>
        </w:tc>
        <w:tc>
          <w:tcPr>
            <w:tcW w:w="3791" w:type="dxa"/>
          </w:tcPr>
          <w:p w14:paraId="26C1F2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 Фрунзе НКБ</w:t>
            </w:r>
          </w:p>
        </w:tc>
        <w:tc>
          <w:tcPr>
            <w:tcW w:w="3174" w:type="dxa"/>
          </w:tcPr>
          <w:p w14:paraId="797AB8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Кемеровский комбинат №392 «Прогресс» НКБ</w:t>
            </w:r>
          </w:p>
        </w:tc>
        <w:tc>
          <w:tcPr>
            <w:tcW w:w="1747" w:type="dxa"/>
          </w:tcPr>
          <w:p w14:paraId="7417A3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4B8E806" w14:textId="77777777" w:rsidTr="000D3BCB">
        <w:tc>
          <w:tcPr>
            <w:tcW w:w="178" w:type="dxa"/>
          </w:tcPr>
          <w:p w14:paraId="4EABA7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w:t>
            </w:r>
          </w:p>
        </w:tc>
        <w:tc>
          <w:tcPr>
            <w:tcW w:w="3791" w:type="dxa"/>
          </w:tcPr>
          <w:p w14:paraId="2A4284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№9 НКБ г.Шостка</w:t>
            </w:r>
          </w:p>
        </w:tc>
        <w:tc>
          <w:tcPr>
            <w:tcW w:w="3174" w:type="dxa"/>
          </w:tcPr>
          <w:p w14:paraId="54ED40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Pr>
          <w:p w14:paraId="2CC3F5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2D50BD6" w14:textId="77777777" w:rsidTr="000D3BCB">
        <w:tc>
          <w:tcPr>
            <w:tcW w:w="178" w:type="dxa"/>
          </w:tcPr>
          <w:p w14:paraId="74AA1D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tc>
        <w:tc>
          <w:tcPr>
            <w:tcW w:w="3791" w:type="dxa"/>
          </w:tcPr>
          <w:p w14:paraId="3D35B4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№101 НКБ, г.Днепродзержинск</w:t>
            </w:r>
          </w:p>
        </w:tc>
        <w:tc>
          <w:tcPr>
            <w:tcW w:w="3174" w:type="dxa"/>
          </w:tcPr>
          <w:p w14:paraId="505F6C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Pr>
          <w:p w14:paraId="77DA75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№573 НКБ, г.Кемерово</w:t>
            </w:r>
          </w:p>
        </w:tc>
      </w:tr>
      <w:tr w:rsidR="00643896" w:rsidRPr="00640820" w14:paraId="50415F0D" w14:textId="77777777" w:rsidTr="000D3BCB">
        <w:tc>
          <w:tcPr>
            <w:tcW w:w="178" w:type="dxa"/>
          </w:tcPr>
          <w:p w14:paraId="1233DA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3791" w:type="dxa"/>
          </w:tcPr>
          <w:p w14:paraId="6A4883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№323 НКБ, г.Алексин</w:t>
            </w:r>
          </w:p>
        </w:tc>
        <w:tc>
          <w:tcPr>
            <w:tcW w:w="3174" w:type="dxa"/>
          </w:tcPr>
          <w:p w14:paraId="7AFC90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Pr>
          <w:p w14:paraId="4647EC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BCE277F" w14:textId="77777777" w:rsidTr="000D3BCB">
        <w:tc>
          <w:tcPr>
            <w:tcW w:w="178" w:type="dxa"/>
          </w:tcPr>
          <w:p w14:paraId="76E8531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w:t>
            </w:r>
          </w:p>
        </w:tc>
        <w:tc>
          <w:tcPr>
            <w:tcW w:w="3791" w:type="dxa"/>
          </w:tcPr>
          <w:p w14:paraId="49C832E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№100 НКХП, г.Новомосковск</w:t>
            </w:r>
          </w:p>
        </w:tc>
        <w:tc>
          <w:tcPr>
            <w:tcW w:w="3174" w:type="dxa"/>
          </w:tcPr>
          <w:p w14:paraId="2055C5E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Pr>
          <w:p w14:paraId="1594E2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2AB4F26" w14:textId="77777777" w:rsidTr="000D3BCB">
        <w:tc>
          <w:tcPr>
            <w:tcW w:w="178" w:type="dxa"/>
          </w:tcPr>
          <w:p w14:paraId="7ECDF61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w:t>
            </w:r>
          </w:p>
        </w:tc>
        <w:tc>
          <w:tcPr>
            <w:tcW w:w="3791" w:type="dxa"/>
          </w:tcPr>
          <w:p w14:paraId="3E67EB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№64 НКБ, г.Горловка Часть оборудования химического завода №20 НКХП, г.Рубежное</w:t>
            </w:r>
          </w:p>
        </w:tc>
        <w:tc>
          <w:tcPr>
            <w:tcW w:w="3174" w:type="dxa"/>
          </w:tcPr>
          <w:p w14:paraId="33D3269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Строившийся Кемеровский завод взрывчатых веществ</w:t>
            </w:r>
          </w:p>
        </w:tc>
        <w:tc>
          <w:tcPr>
            <w:tcW w:w="1747" w:type="dxa"/>
          </w:tcPr>
          <w:p w14:paraId="467C1E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№319 «Коммунар» НКБ, г.Кемерово</w:t>
            </w:r>
          </w:p>
        </w:tc>
      </w:tr>
      <w:tr w:rsidR="00643896" w:rsidRPr="00640820" w14:paraId="76DE2AAA" w14:textId="77777777" w:rsidTr="000D3BCB">
        <w:tc>
          <w:tcPr>
            <w:tcW w:w="178" w:type="dxa"/>
          </w:tcPr>
          <w:p w14:paraId="21082A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w:t>
            </w:r>
          </w:p>
        </w:tc>
        <w:tc>
          <w:tcPr>
            <w:tcW w:w="3791" w:type="dxa"/>
          </w:tcPr>
          <w:p w14:paraId="514754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№6 «Оргавиапром» Наркомавиапрома (НКАП), г.Ржев</w:t>
            </w:r>
          </w:p>
        </w:tc>
        <w:tc>
          <w:tcPr>
            <w:tcW w:w="3174" w:type="dxa"/>
          </w:tcPr>
          <w:p w14:paraId="3891A1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Здание ВОХР г.Кемерово</w:t>
            </w:r>
          </w:p>
        </w:tc>
        <w:tc>
          <w:tcPr>
            <w:tcW w:w="1747" w:type="dxa"/>
          </w:tcPr>
          <w:p w14:paraId="45E4D5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№6 НКАП, г.Кемерово</w:t>
            </w:r>
          </w:p>
        </w:tc>
      </w:tr>
      <w:tr w:rsidR="00643896" w:rsidRPr="00640820" w14:paraId="641525A8" w14:textId="77777777" w:rsidTr="000D3BCB">
        <w:tc>
          <w:tcPr>
            <w:tcW w:w="178" w:type="dxa"/>
          </w:tcPr>
          <w:p w14:paraId="4417C6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w:t>
            </w:r>
          </w:p>
        </w:tc>
        <w:tc>
          <w:tcPr>
            <w:tcW w:w="3791" w:type="dxa"/>
          </w:tcPr>
          <w:p w14:paraId="5F1F4C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Анилинокрасочный завод НКХП, г.Рубежное</w:t>
            </w:r>
          </w:p>
        </w:tc>
        <w:tc>
          <w:tcPr>
            <w:tcW w:w="3174" w:type="dxa"/>
          </w:tcPr>
          <w:p w14:paraId="4EBDB3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Здание Кемеровских заводов коксохимического, азотно-тукового и №319</w:t>
            </w:r>
          </w:p>
        </w:tc>
        <w:tc>
          <w:tcPr>
            <w:tcW w:w="1747" w:type="dxa"/>
          </w:tcPr>
          <w:p w14:paraId="5EA7BD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№630 (АКЗ) НКХП, г.Кемерово</w:t>
            </w:r>
          </w:p>
        </w:tc>
      </w:tr>
      <w:tr w:rsidR="00643896" w:rsidRPr="00640820" w14:paraId="443D2B11" w14:textId="77777777" w:rsidTr="000D3BCB">
        <w:tc>
          <w:tcPr>
            <w:tcW w:w="178" w:type="dxa"/>
          </w:tcPr>
          <w:p w14:paraId="1A5288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3791" w:type="dxa"/>
          </w:tcPr>
          <w:p w14:paraId="6B401B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Московский Дербеневский завод НКХП</w:t>
            </w:r>
          </w:p>
        </w:tc>
        <w:tc>
          <w:tcPr>
            <w:tcW w:w="3174" w:type="dxa"/>
          </w:tcPr>
          <w:p w14:paraId="156B7A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Pr>
          <w:p w14:paraId="573917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8A5245B" w14:textId="77777777" w:rsidTr="000D3BCB">
        <w:tc>
          <w:tcPr>
            <w:tcW w:w="178" w:type="dxa"/>
          </w:tcPr>
          <w:p w14:paraId="79AA15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w:t>
            </w:r>
          </w:p>
        </w:tc>
        <w:tc>
          <w:tcPr>
            <w:tcW w:w="3791" w:type="dxa"/>
          </w:tcPr>
          <w:p w14:paraId="0D18DE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Электромеханический завод Наркомэлектропрома (НКЭП), г.Харьков, цеха двигателей переменного тока</w:t>
            </w:r>
          </w:p>
        </w:tc>
        <w:tc>
          <w:tcPr>
            <w:tcW w:w="3174" w:type="dxa"/>
          </w:tcPr>
          <w:p w14:paraId="0E2BEC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Кемеровский универмаг, гаражи, трамвайный парк</w:t>
            </w:r>
          </w:p>
        </w:tc>
        <w:tc>
          <w:tcPr>
            <w:tcW w:w="1747" w:type="dxa"/>
          </w:tcPr>
          <w:p w14:paraId="461542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№652 (КЭМЗ) НКЭП, г.Кемерово</w:t>
            </w:r>
          </w:p>
        </w:tc>
      </w:tr>
      <w:tr w:rsidR="00643896" w:rsidRPr="00640820" w14:paraId="0F53AB13" w14:textId="77777777" w:rsidTr="000D3BCB">
        <w:tc>
          <w:tcPr>
            <w:tcW w:w="178" w:type="dxa"/>
          </w:tcPr>
          <w:p w14:paraId="32709A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w:t>
            </w:r>
          </w:p>
        </w:tc>
        <w:tc>
          <w:tcPr>
            <w:tcW w:w="3791" w:type="dxa"/>
          </w:tcPr>
          <w:p w14:paraId="24E668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пластмасс НКХП, г.Орехово-Зуево</w:t>
            </w:r>
          </w:p>
        </w:tc>
        <w:tc>
          <w:tcPr>
            <w:tcW w:w="3174" w:type="dxa"/>
          </w:tcPr>
          <w:p w14:paraId="36457B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Строившийся Кемеровский трубопрокатный завод, образно-механический завод горпромкомбината, Дворец труда</w:t>
            </w:r>
          </w:p>
        </w:tc>
        <w:tc>
          <w:tcPr>
            <w:tcW w:w="1747" w:type="dxa"/>
          </w:tcPr>
          <w:p w14:paraId="229A2A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«Карболит» НКХП, г.Кемерово</w:t>
            </w:r>
          </w:p>
        </w:tc>
      </w:tr>
      <w:tr w:rsidR="00643896" w:rsidRPr="00640820" w14:paraId="5341AE4F" w14:textId="77777777" w:rsidTr="000D3BCB">
        <w:tc>
          <w:tcPr>
            <w:tcW w:w="178" w:type="dxa"/>
          </w:tcPr>
          <w:p w14:paraId="17D6B8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w:t>
            </w:r>
          </w:p>
        </w:tc>
        <w:tc>
          <w:tcPr>
            <w:tcW w:w="3791" w:type="dxa"/>
          </w:tcPr>
          <w:p w14:paraId="237EE2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Салициловый завод, г.Москва часть оборудования</w:t>
            </w:r>
          </w:p>
        </w:tc>
        <w:tc>
          <w:tcPr>
            <w:tcW w:w="3174" w:type="dxa"/>
          </w:tcPr>
          <w:p w14:paraId="55C92D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Школа в Рудничном районе г.Кемерово</w:t>
            </w:r>
          </w:p>
        </w:tc>
        <w:tc>
          <w:tcPr>
            <w:tcW w:w="1747" w:type="dxa"/>
          </w:tcPr>
          <w:p w14:paraId="21DDC0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Завод№36 Наркомздрава, г.Кемерово</w:t>
            </w:r>
          </w:p>
        </w:tc>
      </w:tr>
      <w:tr w:rsidR="00643896" w:rsidRPr="00640820" w14:paraId="7D28609C" w14:textId="77777777" w:rsidTr="000D3BCB">
        <w:tc>
          <w:tcPr>
            <w:tcW w:w="178" w:type="dxa"/>
          </w:tcPr>
          <w:p w14:paraId="19C8E4F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w:t>
            </w:r>
          </w:p>
        </w:tc>
        <w:tc>
          <w:tcPr>
            <w:tcW w:w="3791" w:type="dxa"/>
          </w:tcPr>
          <w:p w14:paraId="4B04B08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Военно-подковный завод №1 г.Ленинград </w:t>
            </w:r>
          </w:p>
        </w:tc>
        <w:tc>
          <w:tcPr>
            <w:tcW w:w="3174" w:type="dxa"/>
          </w:tcPr>
          <w:p w14:paraId="0DF4C1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Pr>
          <w:p w14:paraId="01B0F8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B033E54" w14:textId="77777777" w:rsidTr="000D3BCB">
        <w:tc>
          <w:tcPr>
            <w:tcW w:w="178" w:type="dxa"/>
          </w:tcPr>
          <w:p w14:paraId="110F3D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3791" w:type="dxa"/>
          </w:tcPr>
          <w:p w14:paraId="10BFFF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Оборудование коксохимических заводов: Запорожского</w:t>
            </w:r>
          </w:p>
        </w:tc>
        <w:tc>
          <w:tcPr>
            <w:tcW w:w="3174" w:type="dxa"/>
          </w:tcPr>
          <w:p w14:paraId="30B8F5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Кемеровский коксохимический завод</w:t>
            </w:r>
          </w:p>
        </w:tc>
        <w:tc>
          <w:tcPr>
            <w:tcW w:w="1747" w:type="dxa"/>
          </w:tcPr>
          <w:p w14:paraId="42B453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80E0A05" w14:textId="77777777" w:rsidTr="000D3BCB">
        <w:tc>
          <w:tcPr>
            <w:tcW w:w="178" w:type="dxa"/>
          </w:tcPr>
          <w:p w14:paraId="667AD0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w:t>
            </w:r>
          </w:p>
        </w:tc>
        <w:tc>
          <w:tcPr>
            <w:tcW w:w="3791" w:type="dxa"/>
          </w:tcPr>
          <w:p w14:paraId="10A113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Днепродзержинского</w:t>
            </w:r>
          </w:p>
        </w:tc>
        <w:tc>
          <w:tcPr>
            <w:tcW w:w="3174" w:type="dxa"/>
          </w:tcPr>
          <w:p w14:paraId="0E85B0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Pr>
          <w:p w14:paraId="39CE3D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EDD1781" w14:textId="77777777" w:rsidTr="000D3BCB">
        <w:tc>
          <w:tcPr>
            <w:tcW w:w="178" w:type="dxa"/>
          </w:tcPr>
          <w:p w14:paraId="0DA322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w:t>
            </w:r>
          </w:p>
        </w:tc>
        <w:tc>
          <w:tcPr>
            <w:tcW w:w="3791" w:type="dxa"/>
          </w:tcPr>
          <w:p w14:paraId="466BB9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Донецкого</w:t>
            </w:r>
          </w:p>
        </w:tc>
        <w:tc>
          <w:tcPr>
            <w:tcW w:w="3174" w:type="dxa"/>
          </w:tcPr>
          <w:p w14:paraId="2DB006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Pr>
          <w:p w14:paraId="54FB11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420E95D" w14:textId="77777777" w:rsidTr="000D3BCB">
        <w:tc>
          <w:tcPr>
            <w:tcW w:w="178" w:type="dxa"/>
          </w:tcPr>
          <w:p w14:paraId="42DB7C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w:t>
            </w:r>
          </w:p>
        </w:tc>
        <w:tc>
          <w:tcPr>
            <w:tcW w:w="3791" w:type="dxa"/>
          </w:tcPr>
          <w:p w14:paraId="793367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Константиновского</w:t>
            </w:r>
          </w:p>
        </w:tc>
        <w:tc>
          <w:tcPr>
            <w:tcW w:w="3174" w:type="dxa"/>
          </w:tcPr>
          <w:p w14:paraId="441A47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Pr>
          <w:p w14:paraId="3F2687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FA0D358" w14:textId="77777777" w:rsidTr="000D3BCB">
        <w:tc>
          <w:tcPr>
            <w:tcW w:w="178" w:type="dxa"/>
          </w:tcPr>
          <w:p w14:paraId="3DA579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w:t>
            </w:r>
          </w:p>
        </w:tc>
        <w:tc>
          <w:tcPr>
            <w:tcW w:w="3791" w:type="dxa"/>
          </w:tcPr>
          <w:p w14:paraId="10356E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Краматорского</w:t>
            </w:r>
          </w:p>
        </w:tc>
        <w:tc>
          <w:tcPr>
            <w:tcW w:w="3174" w:type="dxa"/>
          </w:tcPr>
          <w:p w14:paraId="6CECEC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Pr>
          <w:p w14:paraId="583B22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5341C6D" w14:textId="77777777" w:rsidTr="000D3BCB">
        <w:tc>
          <w:tcPr>
            <w:tcW w:w="178" w:type="dxa"/>
          </w:tcPr>
          <w:p w14:paraId="07D8C7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w:t>
            </w:r>
          </w:p>
        </w:tc>
        <w:tc>
          <w:tcPr>
            <w:tcW w:w="3791" w:type="dxa"/>
          </w:tcPr>
          <w:p w14:paraId="225F40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Керченского</w:t>
            </w:r>
          </w:p>
        </w:tc>
        <w:tc>
          <w:tcPr>
            <w:tcW w:w="3174" w:type="dxa"/>
          </w:tcPr>
          <w:p w14:paraId="3B349F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Pr>
          <w:p w14:paraId="6CD5E8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97E2F7F" w14:textId="77777777" w:rsidTr="000D3BCB">
        <w:tc>
          <w:tcPr>
            <w:tcW w:w="178" w:type="dxa"/>
          </w:tcPr>
          <w:p w14:paraId="1B337C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w:t>
            </w:r>
          </w:p>
        </w:tc>
        <w:tc>
          <w:tcPr>
            <w:tcW w:w="3791" w:type="dxa"/>
          </w:tcPr>
          <w:p w14:paraId="213870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Старо-Константиновского</w:t>
            </w:r>
          </w:p>
        </w:tc>
        <w:tc>
          <w:tcPr>
            <w:tcW w:w="3174" w:type="dxa"/>
          </w:tcPr>
          <w:p w14:paraId="0D3F07B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Pr>
          <w:p w14:paraId="46175E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813EB8C" w14:textId="77777777" w:rsidTr="000D3BCB">
        <w:tc>
          <w:tcPr>
            <w:tcW w:w="178" w:type="dxa"/>
          </w:tcPr>
          <w:p w14:paraId="48F0DA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w:t>
            </w:r>
          </w:p>
        </w:tc>
        <w:tc>
          <w:tcPr>
            <w:tcW w:w="3791" w:type="dxa"/>
          </w:tcPr>
          <w:p w14:paraId="5AFC3A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Серговского</w:t>
            </w:r>
          </w:p>
        </w:tc>
        <w:tc>
          <w:tcPr>
            <w:tcW w:w="3174" w:type="dxa"/>
          </w:tcPr>
          <w:p w14:paraId="194F73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Pr>
          <w:p w14:paraId="1818BCE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7636EED" w14:textId="77777777" w:rsidTr="000D3BCB">
        <w:tc>
          <w:tcPr>
            <w:tcW w:w="178" w:type="dxa"/>
          </w:tcPr>
          <w:p w14:paraId="7F4016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w:t>
            </w:r>
          </w:p>
        </w:tc>
        <w:tc>
          <w:tcPr>
            <w:tcW w:w="3791" w:type="dxa"/>
          </w:tcPr>
          <w:p w14:paraId="58AB1E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Мушкетовского</w:t>
            </w:r>
          </w:p>
        </w:tc>
        <w:tc>
          <w:tcPr>
            <w:tcW w:w="3174" w:type="dxa"/>
          </w:tcPr>
          <w:p w14:paraId="37AFFA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Pr>
          <w:p w14:paraId="7518E7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EE2310A" w14:textId="77777777" w:rsidTr="000D3BCB">
        <w:tc>
          <w:tcPr>
            <w:tcW w:w="178" w:type="dxa"/>
          </w:tcPr>
          <w:p w14:paraId="1CA358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w:t>
            </w:r>
          </w:p>
        </w:tc>
        <w:tc>
          <w:tcPr>
            <w:tcW w:w="3791" w:type="dxa"/>
          </w:tcPr>
          <w:p w14:paraId="417EA8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Ново-смоляниновского</w:t>
            </w:r>
          </w:p>
        </w:tc>
        <w:tc>
          <w:tcPr>
            <w:tcW w:w="3174" w:type="dxa"/>
          </w:tcPr>
          <w:p w14:paraId="330DA1F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Pr>
          <w:p w14:paraId="2D0B8B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2D12470" w14:textId="77777777" w:rsidTr="000D3BCB">
        <w:tc>
          <w:tcPr>
            <w:tcW w:w="178" w:type="dxa"/>
          </w:tcPr>
          <w:p w14:paraId="368012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c>
          <w:tcPr>
            <w:tcW w:w="3791" w:type="dxa"/>
          </w:tcPr>
          <w:p w14:paraId="6A5CC3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Рутченковского</w:t>
            </w:r>
          </w:p>
        </w:tc>
        <w:tc>
          <w:tcPr>
            <w:tcW w:w="3174" w:type="dxa"/>
          </w:tcPr>
          <w:p w14:paraId="03CA4DA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Pr>
          <w:p w14:paraId="03111E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0777CDD" w14:textId="77777777" w:rsidTr="000D3BCB">
        <w:tc>
          <w:tcPr>
            <w:tcW w:w="178" w:type="dxa"/>
          </w:tcPr>
          <w:p w14:paraId="6C6FB2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w:t>
            </w:r>
          </w:p>
        </w:tc>
        <w:tc>
          <w:tcPr>
            <w:tcW w:w="3791" w:type="dxa"/>
          </w:tcPr>
          <w:p w14:paraId="1424C8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Ольховского</w:t>
            </w:r>
          </w:p>
        </w:tc>
        <w:tc>
          <w:tcPr>
            <w:tcW w:w="3174" w:type="dxa"/>
          </w:tcPr>
          <w:p w14:paraId="622A7D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Pr>
          <w:p w14:paraId="132DD6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AE954BA" w14:textId="77777777" w:rsidTr="000D3BCB">
        <w:tc>
          <w:tcPr>
            <w:tcW w:w="178" w:type="dxa"/>
          </w:tcPr>
          <w:p w14:paraId="62FE13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w:t>
            </w:r>
          </w:p>
        </w:tc>
        <w:tc>
          <w:tcPr>
            <w:tcW w:w="3791" w:type="dxa"/>
          </w:tcPr>
          <w:p w14:paraId="483897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Ханженховского</w:t>
            </w:r>
          </w:p>
        </w:tc>
        <w:tc>
          <w:tcPr>
            <w:tcW w:w="3174" w:type="dxa"/>
          </w:tcPr>
          <w:p w14:paraId="3E0761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Pr>
          <w:p w14:paraId="3C3FE9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E90CD03" w14:textId="77777777" w:rsidTr="000D3BCB">
        <w:tc>
          <w:tcPr>
            <w:tcW w:w="178" w:type="dxa"/>
          </w:tcPr>
          <w:p w14:paraId="646454A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33</w:t>
            </w:r>
          </w:p>
        </w:tc>
        <w:tc>
          <w:tcPr>
            <w:tcW w:w="3791" w:type="dxa"/>
          </w:tcPr>
          <w:p w14:paraId="780FCE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Харьковского</w:t>
            </w:r>
          </w:p>
        </w:tc>
        <w:tc>
          <w:tcPr>
            <w:tcW w:w="3174" w:type="dxa"/>
          </w:tcPr>
          <w:p w14:paraId="117D63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Pr>
          <w:p w14:paraId="1256FF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F502A1F" w14:textId="77777777" w:rsidTr="000D3BCB">
        <w:tc>
          <w:tcPr>
            <w:tcW w:w="178" w:type="dxa"/>
          </w:tcPr>
          <w:p w14:paraId="0415C7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34</w:t>
            </w:r>
          </w:p>
        </w:tc>
        <w:tc>
          <w:tcPr>
            <w:tcW w:w="3791" w:type="dxa"/>
          </w:tcPr>
          <w:p w14:paraId="52964A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Щербиновского</w:t>
            </w:r>
          </w:p>
        </w:tc>
        <w:tc>
          <w:tcPr>
            <w:tcW w:w="3174" w:type="dxa"/>
          </w:tcPr>
          <w:p w14:paraId="6AACC4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Pr>
          <w:p w14:paraId="00F4ED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97ECB86" w14:textId="77777777" w:rsidTr="000D3BCB">
        <w:tc>
          <w:tcPr>
            <w:tcW w:w="178" w:type="dxa"/>
          </w:tcPr>
          <w:p w14:paraId="516CBA4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w:t>
            </w:r>
          </w:p>
        </w:tc>
        <w:tc>
          <w:tcPr>
            <w:tcW w:w="3791" w:type="dxa"/>
          </w:tcPr>
          <w:p w14:paraId="53334B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Воронежского завода №2 Часть оборудования Мариупольского КХЗ</w:t>
            </w:r>
          </w:p>
        </w:tc>
        <w:tc>
          <w:tcPr>
            <w:tcW w:w="3174" w:type="dxa"/>
          </w:tcPr>
          <w:p w14:paraId="71DE84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Pr>
          <w:p w14:paraId="008C17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7EEE32F" w14:textId="77777777" w:rsidTr="000D3BCB">
        <w:tc>
          <w:tcPr>
            <w:tcW w:w="178" w:type="dxa"/>
          </w:tcPr>
          <w:p w14:paraId="305280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36</w:t>
            </w:r>
          </w:p>
        </w:tc>
        <w:tc>
          <w:tcPr>
            <w:tcW w:w="3791" w:type="dxa"/>
          </w:tcPr>
          <w:p w14:paraId="682391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«Красный Тигель» Наркомстанкостроения, г.Луга</w:t>
            </w:r>
          </w:p>
        </w:tc>
        <w:tc>
          <w:tcPr>
            <w:tcW w:w="3174" w:type="dxa"/>
          </w:tcPr>
          <w:p w14:paraId="379946B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Здания Кузнецкого металлургического комбината</w:t>
            </w:r>
          </w:p>
        </w:tc>
        <w:tc>
          <w:tcPr>
            <w:tcW w:w="1747" w:type="dxa"/>
          </w:tcPr>
          <w:p w14:paraId="0E3AFC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«Красный Тигель», г.Новокузнецк</w:t>
            </w:r>
          </w:p>
        </w:tc>
      </w:tr>
      <w:tr w:rsidR="00643896" w:rsidRPr="00640820" w14:paraId="3FD70294" w14:textId="77777777" w:rsidTr="000D3BCB">
        <w:tc>
          <w:tcPr>
            <w:tcW w:w="178" w:type="dxa"/>
          </w:tcPr>
          <w:p w14:paraId="728E2C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37</w:t>
            </w:r>
          </w:p>
        </w:tc>
        <w:tc>
          <w:tcPr>
            <w:tcW w:w="3791" w:type="dxa"/>
          </w:tcPr>
          <w:p w14:paraId="5341E4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 К. Либкнехта, Донбасс</w:t>
            </w:r>
          </w:p>
        </w:tc>
        <w:tc>
          <w:tcPr>
            <w:tcW w:w="3174" w:type="dxa"/>
          </w:tcPr>
          <w:p w14:paraId="21D6FD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Кузнецкий металлургический комбинат</w:t>
            </w:r>
          </w:p>
        </w:tc>
        <w:tc>
          <w:tcPr>
            <w:tcW w:w="1747" w:type="dxa"/>
          </w:tcPr>
          <w:p w14:paraId="4FC125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1E61F06" w14:textId="77777777" w:rsidTr="000D3BCB">
        <w:tc>
          <w:tcPr>
            <w:tcW w:w="178" w:type="dxa"/>
          </w:tcPr>
          <w:p w14:paraId="368AB9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w:t>
            </w:r>
          </w:p>
        </w:tc>
        <w:tc>
          <w:tcPr>
            <w:tcW w:w="3791" w:type="dxa"/>
          </w:tcPr>
          <w:p w14:paraId="02F8D71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Машиностроительный завод, г.Дебальцево</w:t>
            </w:r>
          </w:p>
        </w:tc>
        <w:tc>
          <w:tcPr>
            <w:tcW w:w="3174" w:type="dxa"/>
          </w:tcPr>
          <w:p w14:paraId="1F5FE8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Pr>
          <w:p w14:paraId="3D66F5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9C811D1" w14:textId="77777777" w:rsidTr="000D3BCB">
        <w:tc>
          <w:tcPr>
            <w:tcW w:w="178" w:type="dxa"/>
          </w:tcPr>
          <w:p w14:paraId="644100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w:t>
            </w:r>
          </w:p>
        </w:tc>
        <w:tc>
          <w:tcPr>
            <w:tcW w:w="3791" w:type="dxa"/>
          </w:tcPr>
          <w:p w14:paraId="2CD00B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Машиностроительный завод, г.Славянск</w:t>
            </w:r>
          </w:p>
        </w:tc>
        <w:tc>
          <w:tcPr>
            <w:tcW w:w="3174" w:type="dxa"/>
          </w:tcPr>
          <w:p w14:paraId="446871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Pr>
          <w:p w14:paraId="75E0BD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5703547" w14:textId="77777777" w:rsidTr="000D3BCB">
        <w:tc>
          <w:tcPr>
            <w:tcW w:w="178" w:type="dxa"/>
          </w:tcPr>
          <w:p w14:paraId="1B605E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w:t>
            </w:r>
          </w:p>
        </w:tc>
        <w:tc>
          <w:tcPr>
            <w:tcW w:w="3791" w:type="dxa"/>
          </w:tcPr>
          <w:p w14:paraId="5B091F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Литейно-механический завод, г.Серго</w:t>
            </w:r>
          </w:p>
        </w:tc>
        <w:tc>
          <w:tcPr>
            <w:tcW w:w="3174" w:type="dxa"/>
          </w:tcPr>
          <w:p w14:paraId="080CBA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Pr>
          <w:p w14:paraId="6B6AA6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64F2012" w14:textId="77777777" w:rsidTr="000D3BCB">
        <w:tc>
          <w:tcPr>
            <w:tcW w:w="178" w:type="dxa"/>
          </w:tcPr>
          <w:p w14:paraId="6CB8E3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41</w:t>
            </w:r>
          </w:p>
        </w:tc>
        <w:tc>
          <w:tcPr>
            <w:tcW w:w="3791" w:type="dxa"/>
          </w:tcPr>
          <w:p w14:paraId="0C07DE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Литейно-механический завод, г.Славянск</w:t>
            </w:r>
          </w:p>
        </w:tc>
        <w:tc>
          <w:tcPr>
            <w:tcW w:w="3174" w:type="dxa"/>
          </w:tcPr>
          <w:p w14:paraId="24EDDD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Pr>
          <w:p w14:paraId="546233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F42584E" w14:textId="77777777" w:rsidTr="000D3BCB">
        <w:tc>
          <w:tcPr>
            <w:tcW w:w="178" w:type="dxa"/>
          </w:tcPr>
          <w:p w14:paraId="348E32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42</w:t>
            </w:r>
          </w:p>
        </w:tc>
        <w:tc>
          <w:tcPr>
            <w:tcW w:w="3791" w:type="dxa"/>
          </w:tcPr>
          <w:p w14:paraId="4E26AC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Ново-макеевский коксохимический завод</w:t>
            </w:r>
          </w:p>
        </w:tc>
        <w:tc>
          <w:tcPr>
            <w:tcW w:w="3174" w:type="dxa"/>
          </w:tcPr>
          <w:p w14:paraId="3CC5DB9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Pr>
          <w:p w14:paraId="0D8701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177EC6E" w14:textId="77777777" w:rsidTr="000D3BCB">
        <w:tc>
          <w:tcPr>
            <w:tcW w:w="178" w:type="dxa"/>
          </w:tcPr>
          <w:p w14:paraId="7F4266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43</w:t>
            </w:r>
          </w:p>
        </w:tc>
        <w:tc>
          <w:tcPr>
            <w:tcW w:w="3791" w:type="dxa"/>
          </w:tcPr>
          <w:p w14:paraId="3166F9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Коксохимический завод, г.Мариуполь</w:t>
            </w:r>
          </w:p>
        </w:tc>
        <w:tc>
          <w:tcPr>
            <w:tcW w:w="3174" w:type="dxa"/>
          </w:tcPr>
          <w:p w14:paraId="5682C3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Pr>
          <w:p w14:paraId="719663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E5BDEEA" w14:textId="77777777" w:rsidTr="000D3BCB">
        <w:tc>
          <w:tcPr>
            <w:tcW w:w="178" w:type="dxa"/>
          </w:tcPr>
          <w:p w14:paraId="60B5F7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44</w:t>
            </w:r>
          </w:p>
        </w:tc>
        <w:tc>
          <w:tcPr>
            <w:tcW w:w="3791" w:type="dxa"/>
          </w:tcPr>
          <w:p w14:paraId="3FE7A4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«Днепроспецсталь», г.Запорожье</w:t>
            </w:r>
          </w:p>
        </w:tc>
        <w:tc>
          <w:tcPr>
            <w:tcW w:w="3174" w:type="dxa"/>
          </w:tcPr>
          <w:p w14:paraId="349B1A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Pr>
          <w:p w14:paraId="3D4515A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DA42F61" w14:textId="77777777" w:rsidTr="000D3BCB">
        <w:tc>
          <w:tcPr>
            <w:tcW w:w="178" w:type="dxa"/>
          </w:tcPr>
          <w:p w14:paraId="458382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w:t>
            </w:r>
          </w:p>
        </w:tc>
        <w:tc>
          <w:tcPr>
            <w:tcW w:w="3791" w:type="dxa"/>
          </w:tcPr>
          <w:p w14:paraId="61339F3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металлоконструкций, г.Днепропетровск</w:t>
            </w:r>
          </w:p>
        </w:tc>
        <w:tc>
          <w:tcPr>
            <w:tcW w:w="3174" w:type="dxa"/>
          </w:tcPr>
          <w:p w14:paraId="146F7B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Строившийся Новокузнецкий завод металлоконструкций</w:t>
            </w:r>
          </w:p>
        </w:tc>
        <w:tc>
          <w:tcPr>
            <w:tcW w:w="1747" w:type="dxa"/>
          </w:tcPr>
          <w:p w14:paraId="13D3C1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металлоконструкций, г.Новокузнецк</w:t>
            </w:r>
          </w:p>
        </w:tc>
      </w:tr>
      <w:tr w:rsidR="00643896" w:rsidRPr="00640820" w14:paraId="297257D5" w14:textId="77777777" w:rsidTr="000D3BCB">
        <w:tc>
          <w:tcPr>
            <w:tcW w:w="178" w:type="dxa"/>
          </w:tcPr>
          <w:p w14:paraId="5EBA7E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46</w:t>
            </w:r>
          </w:p>
        </w:tc>
        <w:tc>
          <w:tcPr>
            <w:tcW w:w="3791" w:type="dxa"/>
          </w:tcPr>
          <w:p w14:paraId="339E1F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Ферросплавный завод, г.Запорожье</w:t>
            </w:r>
          </w:p>
        </w:tc>
        <w:tc>
          <w:tcPr>
            <w:tcW w:w="3174" w:type="dxa"/>
          </w:tcPr>
          <w:p w14:paraId="543C01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Строившийся Новокузнецкий ферросплавный завод</w:t>
            </w:r>
          </w:p>
        </w:tc>
        <w:tc>
          <w:tcPr>
            <w:tcW w:w="1747" w:type="dxa"/>
          </w:tcPr>
          <w:p w14:paraId="1D2181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Ферросплавный завод, г.Новокузнецк</w:t>
            </w:r>
          </w:p>
        </w:tc>
      </w:tr>
      <w:tr w:rsidR="00643896" w:rsidRPr="00640820" w14:paraId="7ABA83A9" w14:textId="77777777" w:rsidTr="000D3BCB">
        <w:tc>
          <w:tcPr>
            <w:tcW w:w="178" w:type="dxa"/>
          </w:tcPr>
          <w:p w14:paraId="22A046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47</w:t>
            </w:r>
          </w:p>
        </w:tc>
        <w:tc>
          <w:tcPr>
            <w:tcW w:w="3791" w:type="dxa"/>
          </w:tcPr>
          <w:p w14:paraId="79C3E2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Алюминиевый завод, г.Запорожье</w:t>
            </w:r>
          </w:p>
        </w:tc>
        <w:tc>
          <w:tcPr>
            <w:tcW w:w="3174" w:type="dxa"/>
          </w:tcPr>
          <w:p w14:paraId="6AC664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Строившийся Новокузнецкий алюминиевый завод</w:t>
            </w:r>
          </w:p>
        </w:tc>
        <w:tc>
          <w:tcPr>
            <w:tcW w:w="1747" w:type="dxa"/>
          </w:tcPr>
          <w:p w14:paraId="57FC078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Алюминиевый завод, г.Новокузнецк</w:t>
            </w:r>
          </w:p>
        </w:tc>
      </w:tr>
      <w:tr w:rsidR="00643896" w:rsidRPr="00640820" w14:paraId="1F33D4F6" w14:textId="77777777" w:rsidTr="000D3BCB">
        <w:tc>
          <w:tcPr>
            <w:tcW w:w="178" w:type="dxa"/>
          </w:tcPr>
          <w:p w14:paraId="6059E9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48</w:t>
            </w:r>
          </w:p>
        </w:tc>
        <w:tc>
          <w:tcPr>
            <w:tcW w:w="3791" w:type="dxa"/>
          </w:tcPr>
          <w:p w14:paraId="7464631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Цементный завод, г.Днепродзержинск</w:t>
            </w:r>
          </w:p>
        </w:tc>
        <w:tc>
          <w:tcPr>
            <w:tcW w:w="3174" w:type="dxa"/>
          </w:tcPr>
          <w:p w14:paraId="4A3A13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Строившийся Новокузнецкий цементный завод</w:t>
            </w:r>
          </w:p>
        </w:tc>
        <w:tc>
          <w:tcPr>
            <w:tcW w:w="1747" w:type="dxa"/>
          </w:tcPr>
          <w:p w14:paraId="30FE19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Цементный завод, г.Новокузнецк</w:t>
            </w:r>
          </w:p>
        </w:tc>
      </w:tr>
      <w:tr w:rsidR="00643896" w:rsidRPr="00640820" w14:paraId="0A5DA31D" w14:textId="77777777" w:rsidTr="000D3BCB">
        <w:tc>
          <w:tcPr>
            <w:tcW w:w="178" w:type="dxa"/>
          </w:tcPr>
          <w:p w14:paraId="227D9D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49</w:t>
            </w:r>
          </w:p>
        </w:tc>
        <w:tc>
          <w:tcPr>
            <w:tcW w:w="3791" w:type="dxa"/>
          </w:tcPr>
          <w:p w14:paraId="480BA5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Цементный завод, г.Орджоникидзе</w:t>
            </w:r>
          </w:p>
        </w:tc>
        <w:tc>
          <w:tcPr>
            <w:tcW w:w="3174" w:type="dxa"/>
          </w:tcPr>
          <w:p w14:paraId="01D50A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Pr>
          <w:p w14:paraId="64ED9A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FDB96A0" w14:textId="77777777" w:rsidTr="000D3BCB">
        <w:tc>
          <w:tcPr>
            <w:tcW w:w="178" w:type="dxa"/>
          </w:tcPr>
          <w:p w14:paraId="4547435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w:t>
            </w:r>
          </w:p>
        </w:tc>
        <w:tc>
          <w:tcPr>
            <w:tcW w:w="3791" w:type="dxa"/>
          </w:tcPr>
          <w:p w14:paraId="59EE1B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Механический завод, г.Киев</w:t>
            </w:r>
          </w:p>
        </w:tc>
        <w:tc>
          <w:tcPr>
            <w:tcW w:w="3174" w:type="dxa"/>
          </w:tcPr>
          <w:p w14:paraId="1E9808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Строявшаяся Новокузнецкая льнопрядильная фабрика</w:t>
            </w:r>
          </w:p>
        </w:tc>
        <w:tc>
          <w:tcPr>
            <w:tcW w:w="1747" w:type="dxa"/>
          </w:tcPr>
          <w:p w14:paraId="499623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№526</w:t>
            </w:r>
          </w:p>
        </w:tc>
      </w:tr>
      <w:tr w:rsidR="00643896" w:rsidRPr="00640820" w14:paraId="2F84070B" w14:textId="77777777" w:rsidTr="000D3BCB">
        <w:tc>
          <w:tcPr>
            <w:tcW w:w="178" w:type="dxa"/>
          </w:tcPr>
          <w:p w14:paraId="462E3E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51</w:t>
            </w:r>
          </w:p>
        </w:tc>
        <w:tc>
          <w:tcPr>
            <w:tcW w:w="3791" w:type="dxa"/>
          </w:tcPr>
          <w:p w14:paraId="771D04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Цехи машин постоянного тока электромеханического завода, г.Харьков</w:t>
            </w:r>
          </w:p>
        </w:tc>
        <w:tc>
          <w:tcPr>
            <w:tcW w:w="3174" w:type="dxa"/>
          </w:tcPr>
          <w:p w14:paraId="2F354D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Центральная электростанция (ЦЭС), мастерские горного техникума, гараж, г.Прокопьевск</w:t>
            </w:r>
          </w:p>
        </w:tc>
        <w:tc>
          <w:tcPr>
            <w:tcW w:w="1747" w:type="dxa"/>
          </w:tcPr>
          <w:p w14:paraId="2AE508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№651 (электромашина) НКЭП, г.Прокопьевск</w:t>
            </w:r>
          </w:p>
        </w:tc>
      </w:tr>
      <w:tr w:rsidR="00643896" w:rsidRPr="00640820" w14:paraId="622C8A33" w14:textId="77777777" w:rsidTr="000D3BCB">
        <w:tc>
          <w:tcPr>
            <w:tcW w:w="178" w:type="dxa"/>
          </w:tcPr>
          <w:p w14:paraId="770F04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52</w:t>
            </w:r>
          </w:p>
        </w:tc>
        <w:tc>
          <w:tcPr>
            <w:tcW w:w="3791" w:type="dxa"/>
          </w:tcPr>
          <w:p w14:paraId="161CD1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«Мотор», г.Харьков</w:t>
            </w:r>
          </w:p>
        </w:tc>
        <w:tc>
          <w:tcPr>
            <w:tcW w:w="3174" w:type="dxa"/>
          </w:tcPr>
          <w:p w14:paraId="6A8CD2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Pr>
          <w:p w14:paraId="377D6F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151CC61" w14:textId="77777777" w:rsidTr="000D3BCB">
        <w:tc>
          <w:tcPr>
            <w:tcW w:w="178" w:type="dxa"/>
          </w:tcPr>
          <w:p w14:paraId="61BE9F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53</w:t>
            </w:r>
          </w:p>
        </w:tc>
        <w:tc>
          <w:tcPr>
            <w:tcW w:w="3791" w:type="dxa"/>
          </w:tcPr>
          <w:p w14:paraId="68FB69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Механический завод, г.Красный Луч</w:t>
            </w:r>
          </w:p>
        </w:tc>
        <w:tc>
          <w:tcPr>
            <w:tcW w:w="3174" w:type="dxa"/>
          </w:tcPr>
          <w:p w14:paraId="10014FE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Центральные электромеханические мастерские (ЦЭММ), г.Прокопьевск</w:t>
            </w:r>
          </w:p>
        </w:tc>
        <w:tc>
          <w:tcPr>
            <w:tcW w:w="1747" w:type="dxa"/>
          </w:tcPr>
          <w:p w14:paraId="1D625B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Рудоремонтный (механический) завод, г.Прокопьевск</w:t>
            </w:r>
          </w:p>
        </w:tc>
      </w:tr>
      <w:tr w:rsidR="00643896" w:rsidRPr="00640820" w14:paraId="2582A959" w14:textId="77777777" w:rsidTr="000D3BCB">
        <w:tc>
          <w:tcPr>
            <w:tcW w:w="178" w:type="dxa"/>
          </w:tcPr>
          <w:p w14:paraId="1A1A94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54</w:t>
            </w:r>
          </w:p>
        </w:tc>
        <w:tc>
          <w:tcPr>
            <w:tcW w:w="3791" w:type="dxa"/>
          </w:tcPr>
          <w:p w14:paraId="08AECF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Табачная фабрика им. Урицкого, г.Ленинград</w:t>
            </w:r>
          </w:p>
        </w:tc>
        <w:tc>
          <w:tcPr>
            <w:tcW w:w="3174" w:type="dxa"/>
          </w:tcPr>
          <w:p w14:paraId="3563E8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Вспомогательные помещения, г.Прокопьевск</w:t>
            </w:r>
          </w:p>
        </w:tc>
        <w:tc>
          <w:tcPr>
            <w:tcW w:w="1747" w:type="dxa"/>
          </w:tcPr>
          <w:p w14:paraId="54ED0F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Табачная фабрика, г.Прокопьевск</w:t>
            </w:r>
          </w:p>
        </w:tc>
      </w:tr>
      <w:tr w:rsidR="00643896" w:rsidRPr="00640820" w14:paraId="19C5E690" w14:textId="77777777" w:rsidTr="000D3BCB">
        <w:tc>
          <w:tcPr>
            <w:tcW w:w="178" w:type="dxa"/>
          </w:tcPr>
          <w:p w14:paraId="20A778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55</w:t>
            </w:r>
          </w:p>
        </w:tc>
        <w:tc>
          <w:tcPr>
            <w:tcW w:w="3791" w:type="dxa"/>
          </w:tcPr>
          <w:p w14:paraId="53BFDC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«Красный Октябрь» Наркомугля, г.Харьков</w:t>
            </w:r>
          </w:p>
        </w:tc>
        <w:tc>
          <w:tcPr>
            <w:tcW w:w="3174" w:type="dxa"/>
          </w:tcPr>
          <w:p w14:paraId="0278E88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ЦЕММ, г.Ленинск-Кузнецкий</w:t>
            </w:r>
          </w:p>
        </w:tc>
        <w:tc>
          <w:tcPr>
            <w:tcW w:w="1747" w:type="dxa"/>
          </w:tcPr>
          <w:p w14:paraId="737CE7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Рудоремонтный завод «Кузбассугля», г.Ленинск-Кузнецкий</w:t>
            </w:r>
          </w:p>
        </w:tc>
      </w:tr>
      <w:tr w:rsidR="00643896" w:rsidRPr="00640820" w14:paraId="425FC5A6" w14:textId="77777777" w:rsidTr="000D3BCB">
        <w:tc>
          <w:tcPr>
            <w:tcW w:w="178" w:type="dxa"/>
          </w:tcPr>
          <w:p w14:paraId="582AD6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56</w:t>
            </w:r>
          </w:p>
        </w:tc>
        <w:tc>
          <w:tcPr>
            <w:tcW w:w="3791" w:type="dxa"/>
          </w:tcPr>
          <w:p w14:paraId="7E80B6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№220 «Мосэлемент» НКЭП</w:t>
            </w:r>
          </w:p>
        </w:tc>
        <w:tc>
          <w:tcPr>
            <w:tcW w:w="3174" w:type="dxa"/>
          </w:tcPr>
          <w:p w14:paraId="2ADC54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Промышленные здания, г.Ленинск-Кузнецкий</w:t>
            </w:r>
          </w:p>
        </w:tc>
        <w:tc>
          <w:tcPr>
            <w:tcW w:w="1747" w:type="dxa"/>
          </w:tcPr>
          <w:p w14:paraId="61B39B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№587 «Кузбассэлемент» НКЭП, г.Ленинск- Кузнецкий</w:t>
            </w:r>
          </w:p>
        </w:tc>
      </w:tr>
      <w:tr w:rsidR="00643896" w:rsidRPr="00640820" w14:paraId="1C40971F" w14:textId="77777777" w:rsidTr="000D3BCB">
        <w:tc>
          <w:tcPr>
            <w:tcW w:w="178" w:type="dxa"/>
          </w:tcPr>
          <w:p w14:paraId="6F2E4B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57</w:t>
            </w:r>
          </w:p>
        </w:tc>
        <w:tc>
          <w:tcPr>
            <w:tcW w:w="3791" w:type="dxa"/>
          </w:tcPr>
          <w:p w14:paraId="5E16DB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Филиал оптико-механического завода, эвакуированного в Новосибирск</w:t>
            </w:r>
          </w:p>
        </w:tc>
        <w:tc>
          <w:tcPr>
            <w:tcW w:w="3174" w:type="dxa"/>
          </w:tcPr>
          <w:p w14:paraId="2DE959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Промсооружения и др., г.Ленинск-Кузнецкий</w:t>
            </w:r>
          </w:p>
        </w:tc>
        <w:tc>
          <w:tcPr>
            <w:tcW w:w="1747" w:type="dxa"/>
          </w:tcPr>
          <w:p w14:paraId="6C127C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№588 НКБ, г.Ленинск-Кузнецкий (электроламповый)</w:t>
            </w:r>
          </w:p>
        </w:tc>
      </w:tr>
      <w:tr w:rsidR="00643896" w:rsidRPr="00640820" w14:paraId="2575A01E" w14:textId="77777777" w:rsidTr="000D3BCB">
        <w:tc>
          <w:tcPr>
            <w:tcW w:w="178" w:type="dxa"/>
          </w:tcPr>
          <w:p w14:paraId="74F243C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58</w:t>
            </w:r>
          </w:p>
        </w:tc>
        <w:tc>
          <w:tcPr>
            <w:tcW w:w="3791" w:type="dxa"/>
          </w:tcPr>
          <w:p w14:paraId="0D1ECF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НКУП «Свет шахтера», г.Харьков</w:t>
            </w:r>
          </w:p>
        </w:tc>
        <w:tc>
          <w:tcPr>
            <w:tcW w:w="3174" w:type="dxa"/>
          </w:tcPr>
          <w:p w14:paraId="721139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Рудоремонтный завод, г.Анжеро-Судженск</w:t>
            </w:r>
          </w:p>
        </w:tc>
        <w:tc>
          <w:tcPr>
            <w:tcW w:w="1747" w:type="dxa"/>
          </w:tcPr>
          <w:p w14:paraId="19E5F1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Анжерский машиностроительный завод НКУП</w:t>
            </w:r>
          </w:p>
        </w:tc>
      </w:tr>
      <w:tr w:rsidR="00643896" w:rsidRPr="00640820" w14:paraId="3D824383" w14:textId="77777777" w:rsidTr="000D3BCB">
        <w:tc>
          <w:tcPr>
            <w:tcW w:w="178" w:type="dxa"/>
          </w:tcPr>
          <w:p w14:paraId="2C8C54B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59</w:t>
            </w:r>
          </w:p>
        </w:tc>
        <w:tc>
          <w:tcPr>
            <w:tcW w:w="3791" w:type="dxa"/>
          </w:tcPr>
          <w:p w14:paraId="1E9A1A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НКУП «Красный металлист», г.Конотоп</w:t>
            </w:r>
          </w:p>
        </w:tc>
        <w:tc>
          <w:tcPr>
            <w:tcW w:w="3174" w:type="dxa"/>
          </w:tcPr>
          <w:p w14:paraId="18F8EC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Pr>
          <w:p w14:paraId="20A38D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9495070" w14:textId="77777777" w:rsidTr="000D3BCB">
        <w:tc>
          <w:tcPr>
            <w:tcW w:w="178" w:type="dxa"/>
          </w:tcPr>
          <w:p w14:paraId="4964D1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w:t>
            </w:r>
          </w:p>
        </w:tc>
        <w:tc>
          <w:tcPr>
            <w:tcW w:w="3791" w:type="dxa"/>
          </w:tcPr>
          <w:p w14:paraId="3BD858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Стекольный завод «Великий Октябрь»</w:t>
            </w:r>
          </w:p>
        </w:tc>
        <w:tc>
          <w:tcPr>
            <w:tcW w:w="3174" w:type="dxa"/>
          </w:tcPr>
          <w:p w14:paraId="75C47F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Строившийся шпалопропитный завод, г.Анжеро-Судженск</w:t>
            </w:r>
          </w:p>
        </w:tc>
        <w:tc>
          <w:tcPr>
            <w:tcW w:w="1747" w:type="dxa"/>
          </w:tcPr>
          <w:p w14:paraId="0E6B66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Анжеро-Судженский стекольный завод</w:t>
            </w:r>
          </w:p>
        </w:tc>
      </w:tr>
      <w:tr w:rsidR="00643896" w:rsidRPr="00640820" w14:paraId="762A1F58" w14:textId="77777777" w:rsidTr="000D3BCB">
        <w:tc>
          <w:tcPr>
            <w:tcW w:w="178" w:type="dxa"/>
          </w:tcPr>
          <w:p w14:paraId="1C9FBB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61</w:t>
            </w:r>
          </w:p>
        </w:tc>
        <w:tc>
          <w:tcPr>
            <w:tcW w:w="3791" w:type="dxa"/>
          </w:tcPr>
          <w:p w14:paraId="36DB47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Батышевский стекольный завод</w:t>
            </w:r>
          </w:p>
        </w:tc>
        <w:tc>
          <w:tcPr>
            <w:tcW w:w="3174" w:type="dxa"/>
          </w:tcPr>
          <w:p w14:paraId="155FF5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Pr>
          <w:p w14:paraId="1D52378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92ED378" w14:textId="77777777" w:rsidTr="000D3BCB">
        <w:tc>
          <w:tcPr>
            <w:tcW w:w="178" w:type="dxa"/>
          </w:tcPr>
          <w:p w14:paraId="49016E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62</w:t>
            </w:r>
          </w:p>
        </w:tc>
        <w:tc>
          <w:tcPr>
            <w:tcW w:w="3791" w:type="dxa"/>
          </w:tcPr>
          <w:p w14:paraId="56EE79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Химико-фармацевтический завод им. Семашко, г.Москва Часть оборудования Московского салицилового завода</w:t>
            </w:r>
          </w:p>
        </w:tc>
        <w:tc>
          <w:tcPr>
            <w:tcW w:w="3174" w:type="dxa"/>
          </w:tcPr>
          <w:p w14:paraId="15AF09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Социально-бытовые и промышленные помещения, г.Анжеро-Судженск</w:t>
            </w:r>
          </w:p>
        </w:tc>
        <w:tc>
          <w:tcPr>
            <w:tcW w:w="1747" w:type="dxa"/>
          </w:tcPr>
          <w:p w14:paraId="770C97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Анжеро-Судженский завод №37 Наркомздрава (Химпромзавод)</w:t>
            </w:r>
          </w:p>
        </w:tc>
      </w:tr>
      <w:tr w:rsidR="00643896" w:rsidRPr="00640820" w14:paraId="37106E31" w14:textId="77777777" w:rsidTr="000D3BCB">
        <w:tc>
          <w:tcPr>
            <w:tcW w:w="178" w:type="dxa"/>
          </w:tcPr>
          <w:p w14:paraId="54737C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63</w:t>
            </w:r>
          </w:p>
        </w:tc>
        <w:tc>
          <w:tcPr>
            <w:tcW w:w="3791" w:type="dxa"/>
          </w:tcPr>
          <w:p w14:paraId="6D797F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«Красный Круль» НКУП, г.Таллинн</w:t>
            </w:r>
          </w:p>
        </w:tc>
        <w:tc>
          <w:tcPr>
            <w:tcW w:w="3174" w:type="dxa"/>
          </w:tcPr>
          <w:p w14:paraId="693033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ЦЕММ, г.Киселевск</w:t>
            </w:r>
          </w:p>
        </w:tc>
        <w:tc>
          <w:tcPr>
            <w:tcW w:w="1747" w:type="dxa"/>
          </w:tcPr>
          <w:p w14:paraId="792261D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Киселевский углемашзавод</w:t>
            </w:r>
          </w:p>
        </w:tc>
      </w:tr>
      <w:tr w:rsidR="00643896" w:rsidRPr="00640820" w14:paraId="5A7DBF07" w14:textId="77777777" w:rsidTr="000D3BCB">
        <w:tc>
          <w:tcPr>
            <w:tcW w:w="178" w:type="dxa"/>
          </w:tcPr>
          <w:p w14:paraId="0C6015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64</w:t>
            </w:r>
          </w:p>
        </w:tc>
        <w:tc>
          <w:tcPr>
            <w:tcW w:w="3791" w:type="dxa"/>
          </w:tcPr>
          <w:p w14:paraId="5D2BAF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Рудоремонтный завод НКУП, г.Рутченково</w:t>
            </w:r>
          </w:p>
        </w:tc>
        <w:tc>
          <w:tcPr>
            <w:tcW w:w="3174" w:type="dxa"/>
          </w:tcPr>
          <w:p w14:paraId="6FF07A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Pr>
          <w:p w14:paraId="77A6F1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C383507" w14:textId="77777777" w:rsidTr="000D3BCB">
        <w:tc>
          <w:tcPr>
            <w:tcW w:w="178" w:type="dxa"/>
          </w:tcPr>
          <w:p w14:paraId="25165E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65</w:t>
            </w:r>
          </w:p>
        </w:tc>
        <w:tc>
          <w:tcPr>
            <w:tcW w:w="3791" w:type="dxa"/>
          </w:tcPr>
          <w:p w14:paraId="662EE2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№70 им. Владимира Ильича НКБ, г.Москва</w:t>
            </w:r>
          </w:p>
        </w:tc>
        <w:tc>
          <w:tcPr>
            <w:tcW w:w="3174" w:type="dxa"/>
          </w:tcPr>
          <w:p w14:paraId="2FA356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Киселевский госмашзавод НКУП</w:t>
            </w:r>
          </w:p>
        </w:tc>
        <w:tc>
          <w:tcPr>
            <w:tcW w:w="1747" w:type="dxa"/>
          </w:tcPr>
          <w:p w14:paraId="282EF3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№605 НКБ, г.Киселевск</w:t>
            </w:r>
          </w:p>
        </w:tc>
      </w:tr>
      <w:tr w:rsidR="00643896" w:rsidRPr="00640820" w14:paraId="40AFFEA5" w14:textId="77777777" w:rsidTr="000D3BCB">
        <w:tc>
          <w:tcPr>
            <w:tcW w:w="178" w:type="dxa"/>
          </w:tcPr>
          <w:p w14:paraId="03570A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66</w:t>
            </w:r>
          </w:p>
        </w:tc>
        <w:tc>
          <w:tcPr>
            <w:tcW w:w="3791" w:type="dxa"/>
          </w:tcPr>
          <w:p w14:paraId="3D3BFE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«Укрцинк», г.Константиновка</w:t>
            </w:r>
          </w:p>
        </w:tc>
        <w:tc>
          <w:tcPr>
            <w:tcW w:w="3174" w:type="dxa"/>
          </w:tcPr>
          <w:p w14:paraId="418E92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Беловский цинковый завод</w:t>
            </w:r>
          </w:p>
        </w:tc>
        <w:tc>
          <w:tcPr>
            <w:tcW w:w="1747" w:type="dxa"/>
          </w:tcPr>
          <w:p w14:paraId="15A6F2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E363C7F" w14:textId="77777777" w:rsidTr="000D3BCB">
        <w:tc>
          <w:tcPr>
            <w:tcW w:w="178" w:type="dxa"/>
          </w:tcPr>
          <w:p w14:paraId="3AC8C3C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67</w:t>
            </w:r>
          </w:p>
        </w:tc>
        <w:tc>
          <w:tcPr>
            <w:tcW w:w="3791" w:type="dxa"/>
          </w:tcPr>
          <w:p w14:paraId="430A85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№482 Наркомата минометного вооружения (НКМБ), г.Коломна</w:t>
            </w:r>
          </w:p>
        </w:tc>
        <w:tc>
          <w:tcPr>
            <w:tcW w:w="3174" w:type="dxa"/>
          </w:tcPr>
          <w:p w14:paraId="05AA97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Ремесленное училище, школа №1 и др., г.Белово</w:t>
            </w:r>
          </w:p>
        </w:tc>
        <w:tc>
          <w:tcPr>
            <w:tcW w:w="1747" w:type="dxa"/>
          </w:tcPr>
          <w:p w14:paraId="7C71A0E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№842 НКЭП, г.Белово</w:t>
            </w:r>
          </w:p>
        </w:tc>
      </w:tr>
      <w:tr w:rsidR="00643896" w:rsidRPr="00640820" w14:paraId="354B6EEE" w14:textId="77777777" w:rsidTr="000D3BCB">
        <w:tc>
          <w:tcPr>
            <w:tcW w:w="178" w:type="dxa"/>
          </w:tcPr>
          <w:p w14:paraId="71BB9C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68</w:t>
            </w:r>
          </w:p>
        </w:tc>
        <w:tc>
          <w:tcPr>
            <w:tcW w:w="3791" w:type="dxa"/>
          </w:tcPr>
          <w:p w14:paraId="4578FF3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киноаппаратуры (КИНАП) им. Дзержинского, г.Одесса</w:t>
            </w:r>
          </w:p>
        </w:tc>
        <w:tc>
          <w:tcPr>
            <w:tcW w:w="3174" w:type="dxa"/>
          </w:tcPr>
          <w:p w14:paraId="4DE495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Беловский городской Совет депутатов трудящихся</w:t>
            </w:r>
          </w:p>
        </w:tc>
        <w:tc>
          <w:tcPr>
            <w:tcW w:w="1747" w:type="dxa"/>
          </w:tcPr>
          <w:p w14:paraId="5540E2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КИНАП, г.Белово</w:t>
            </w:r>
          </w:p>
        </w:tc>
      </w:tr>
      <w:tr w:rsidR="00643896" w:rsidRPr="00640820" w14:paraId="0DD30268" w14:textId="77777777" w:rsidTr="000D3BCB">
        <w:tc>
          <w:tcPr>
            <w:tcW w:w="178" w:type="dxa"/>
          </w:tcPr>
          <w:p w14:paraId="29EB80F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69</w:t>
            </w:r>
          </w:p>
        </w:tc>
        <w:tc>
          <w:tcPr>
            <w:tcW w:w="3791" w:type="dxa"/>
          </w:tcPr>
          <w:p w14:paraId="4ABF82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КИНАП, г.Москва</w:t>
            </w:r>
          </w:p>
        </w:tc>
        <w:tc>
          <w:tcPr>
            <w:tcW w:w="3174" w:type="dxa"/>
          </w:tcPr>
          <w:p w14:paraId="2FF03C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Pr>
          <w:p w14:paraId="2E51A9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ABCAE5D" w14:textId="77777777" w:rsidTr="000D3BCB">
        <w:tc>
          <w:tcPr>
            <w:tcW w:w="178" w:type="dxa"/>
          </w:tcPr>
          <w:p w14:paraId="730FFC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70</w:t>
            </w:r>
          </w:p>
        </w:tc>
        <w:tc>
          <w:tcPr>
            <w:tcW w:w="3791" w:type="dxa"/>
          </w:tcPr>
          <w:p w14:paraId="476857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«Спецмашдеталь», г.Киев</w:t>
            </w:r>
          </w:p>
        </w:tc>
        <w:tc>
          <w:tcPr>
            <w:tcW w:w="3174" w:type="dxa"/>
          </w:tcPr>
          <w:p w14:paraId="08F217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Производственные помещения, ст.Промышленная</w:t>
            </w:r>
          </w:p>
        </w:tc>
        <w:tc>
          <w:tcPr>
            <w:tcW w:w="1747" w:type="dxa"/>
          </w:tcPr>
          <w:p w14:paraId="4A6A4A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«Спецмашдеталь» Обллегпрома, пос.Промышленная</w:t>
            </w:r>
          </w:p>
        </w:tc>
      </w:tr>
      <w:tr w:rsidR="00643896" w:rsidRPr="00640820" w14:paraId="78355DD0" w14:textId="77777777" w:rsidTr="000D3BCB">
        <w:tc>
          <w:tcPr>
            <w:tcW w:w="178" w:type="dxa"/>
          </w:tcPr>
          <w:p w14:paraId="637A1D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71</w:t>
            </w:r>
          </w:p>
        </w:tc>
        <w:tc>
          <w:tcPr>
            <w:tcW w:w="3791" w:type="dxa"/>
          </w:tcPr>
          <w:p w14:paraId="5EC59B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Колодочно-каблучная фабрика, г.Киев</w:t>
            </w:r>
          </w:p>
        </w:tc>
        <w:tc>
          <w:tcPr>
            <w:tcW w:w="3174" w:type="dxa"/>
          </w:tcPr>
          <w:p w14:paraId="5DE998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Производственные помещения</w:t>
            </w:r>
          </w:p>
        </w:tc>
        <w:tc>
          <w:tcPr>
            <w:tcW w:w="1747" w:type="dxa"/>
          </w:tcPr>
          <w:p w14:paraId="657C9A3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37F8EBF" w14:textId="77777777" w:rsidTr="000D3BCB">
        <w:tc>
          <w:tcPr>
            <w:tcW w:w="178" w:type="dxa"/>
          </w:tcPr>
          <w:p w14:paraId="325CDD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72</w:t>
            </w:r>
          </w:p>
        </w:tc>
        <w:tc>
          <w:tcPr>
            <w:tcW w:w="3791" w:type="dxa"/>
          </w:tcPr>
          <w:p w14:paraId="2FBCFC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противопожарного оборудования НКМБ, г.Ливны</w:t>
            </w:r>
          </w:p>
        </w:tc>
        <w:tc>
          <w:tcPr>
            <w:tcW w:w="3174" w:type="dxa"/>
          </w:tcPr>
          <w:p w14:paraId="00268F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Площадка в г.Топки</w:t>
            </w:r>
          </w:p>
        </w:tc>
        <w:tc>
          <w:tcPr>
            <w:tcW w:w="1747" w:type="dxa"/>
          </w:tcPr>
          <w:p w14:paraId="626A4F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противопожарного оборудования (ППО) НКМБ, г.Топки</w:t>
            </w:r>
          </w:p>
        </w:tc>
      </w:tr>
      <w:tr w:rsidR="00643896" w:rsidRPr="00640820" w14:paraId="0ACAA86F" w14:textId="77777777" w:rsidTr="000D3BCB">
        <w:tc>
          <w:tcPr>
            <w:tcW w:w="178" w:type="dxa"/>
          </w:tcPr>
          <w:p w14:paraId="6F93F0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73</w:t>
            </w:r>
          </w:p>
        </w:tc>
        <w:tc>
          <w:tcPr>
            <w:tcW w:w="3791" w:type="dxa"/>
          </w:tcPr>
          <w:p w14:paraId="19842A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«Большевик» НКБ, г.Ленинград</w:t>
            </w:r>
          </w:p>
        </w:tc>
        <w:tc>
          <w:tcPr>
            <w:tcW w:w="3174" w:type="dxa"/>
          </w:tcPr>
          <w:p w14:paraId="7E5F90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Строившийся завод «Т» у ст.Юрга</w:t>
            </w:r>
          </w:p>
        </w:tc>
        <w:tc>
          <w:tcPr>
            <w:tcW w:w="1747" w:type="dxa"/>
          </w:tcPr>
          <w:p w14:paraId="332AC4B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№75 НКБ, пос.Юрга</w:t>
            </w:r>
          </w:p>
        </w:tc>
      </w:tr>
      <w:tr w:rsidR="00643896" w:rsidRPr="00640820" w14:paraId="101031B1" w14:textId="77777777" w:rsidTr="000D3BCB">
        <w:tc>
          <w:tcPr>
            <w:tcW w:w="178" w:type="dxa"/>
            <w:tcBorders>
              <w:bottom w:val="single" w:sz="12" w:space="0" w:color="auto"/>
            </w:tcBorders>
          </w:tcPr>
          <w:p w14:paraId="1BAC64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74</w:t>
            </w:r>
          </w:p>
        </w:tc>
        <w:tc>
          <w:tcPr>
            <w:tcW w:w="3791" w:type="dxa"/>
            <w:tcBorders>
              <w:bottom w:val="single" w:sz="12" w:space="0" w:color="auto"/>
            </w:tcBorders>
          </w:tcPr>
          <w:p w14:paraId="3F85E8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«Баррикады» НКБ, г.Сталинград</w:t>
            </w:r>
          </w:p>
        </w:tc>
        <w:tc>
          <w:tcPr>
            <w:tcW w:w="3174" w:type="dxa"/>
            <w:tcBorders>
              <w:bottom w:val="single" w:sz="12" w:space="0" w:color="auto"/>
            </w:tcBorders>
          </w:tcPr>
          <w:p w14:paraId="0F31E0C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Borders>
              <w:bottom w:val="single" w:sz="12" w:space="0" w:color="auto"/>
            </w:tcBorders>
          </w:tcPr>
          <w:p w14:paraId="078839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bl>
    <w:p w14:paraId="584F09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Прибывавшие в Кузбасс эвакуированные заводы размещались в промышленных центрах. Решения о выделении необходимых зданий и помещений принимались исполнительным комитетом Новосибирского областного Совета депутатов трудящихся на его суженном заседании, а чаще бюро Новосибирского обкома ВКП (б), </w:t>
      </w:r>
      <w:r w:rsidRPr="00640820">
        <w:rPr>
          <w:rFonts w:ascii="Times New Roman" w:hAnsi="Times New Roman"/>
          <w:color w:val="000000" w:themeColor="text1"/>
          <w:sz w:val="16"/>
          <w:szCs w:val="16"/>
        </w:rPr>
        <w:lastRenderedPageBreak/>
        <w:t xml:space="preserve">осуществлявшего и административно-распорядительные функции. Эти решения хранились в «Особых папках», которые в партархиве Кемеровского обкома КПСС уничтожены в 1991 году, но в архиве Новосибирского обкома сохранились. </w:t>
      </w:r>
    </w:p>
    <w:p w14:paraId="6B1A0E1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Обком и горкомы партии следили за вводом в эксплуатацию оборудования, принимали меры по оказанию помощи эвакуированным предприятиям рабочей силой и жилищным устройством, выделением местных строительных материалов. </w:t>
      </w:r>
    </w:p>
    <w:p w14:paraId="619B32D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Размещение предприятий в Новокузнецке. </w:t>
      </w:r>
    </w:p>
    <w:p w14:paraId="19FA3B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Новокузнецк первым прибыл завод Наркома строительства «Красный Тигель» из г. Луги Ленинградской области. 21 июля бюро Новосибирского обкома ВКП (б) обязало разместить завод в существующих и строившихся зданиях Кузнецкого металлургического комбината. </w:t>
      </w:r>
    </w:p>
    <w:p w14:paraId="2FCF051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Затем, по постановлению ГКО от 18 августа 1941 года, началась эвакуация заводов южной металлургии. На КМК прибыло до 4 тысяч вагонов из восьми предприятий. Менее чем за месяц на базе станков завода им. К. Либкнехта создали новомеханический цех. Станки и агрегаты Дебальцевского, Славянского и Серговского литейно-механических и Славянского машиностроительного заводов использовали для создания еще пяти аналогичных подразделений, а позже и мехцеха №6. </w:t>
      </w:r>
    </w:p>
    <w:p w14:paraId="3403A0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Часть оборудования Славянского и Дебальцевского литейно-механического заводов использовали для создания цеха по производству оснащения коксохимических цехов и заводов Урала и Сибири. Прибывшее оборудование Ново-Макеевского и Мариупольского коксохимических заводов использовали на комбинате при сооружении пятой коксовой батареи. </w:t>
      </w:r>
    </w:p>
    <w:p w14:paraId="0A2A368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Особенно важной задачей была задача ввода в эксплуатацию прибывшей оснастки с завода «Днепроспецсталь» и создания на комбинате электросталеплавильного цеха. </w:t>
      </w:r>
    </w:p>
    <w:p w14:paraId="107A3F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строившемся ферросплавном заводе разместили оборудование эвакуированного из г. Запорожья завода ферросплавов. Постановлением СНК СССР от 29 августа 1941 года предусматривалось первую печь ввести к 1 марта, а вторую – к 1 Мая следующего года. </w:t>
      </w:r>
    </w:p>
    <w:p w14:paraId="3CEE20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Всего прибыло 138 вагонов, в том числе 70 с оборудованием, 10 с материалами и 58 с людьми. </w:t>
      </w:r>
    </w:p>
    <w:p w14:paraId="165E82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Вместе с эвакуированными рабочими и инженерно-техническими работниками на стройке трудились бойцы стройбатальона, вольнонаемные рабочие, выпускники школы ФЗО и заключенные Сиблага. </w:t>
      </w:r>
    </w:p>
    <w:p w14:paraId="42B812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Эвакуированное оборудование обеспечивало лишь около 26 процентов его потребностей на заводе. Остальное изготовлялось на месте. Первая печь вступила в строй 7 июля 1942 года, печь № 2 – 20 октября и 7 ноября – печь №4. Выпускавшийся ферросилиций отправлялся на заводы наркоматов черной и цветной металлургии, тяжелого машиностроения, вооружения, танковой промышленности, минометного вооружения, путей сообщения. </w:t>
      </w:r>
    </w:p>
    <w:p w14:paraId="2AAD106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Вскоре после начала войны Волховский алюминиевый завод прекратил свою деятельность, а Богословский завод – БАЗ – на Урале лишь набирал силу. Третий – Запорожский – успели частично эвакуировать в г. Новокузнецк, где развертывалось строительство аналогичного завода. </w:t>
      </w:r>
    </w:p>
    <w:p w14:paraId="4C5C17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Предусматривалось смонтировать 152 электролизные ванные и ввести их в апреле, а первую очередь ТЭЦ – 15 августа 1942 года. Из Запорожья прибыла только часть агрегатов для будущей ТЭЦ. Ванны, оснастку изготовляли сами. Затягивались сроки. Рабочих строительно-монтажной части – ОСМЧ-3 – не хватало. Поэтому ГКО 18 августа 19942 года направил сюда 4500 человек и предписал ввести в строй первую очередь завода 15 октября 1942. </w:t>
      </w:r>
    </w:p>
    <w:p w14:paraId="040F33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Спешно монтировали ванны, достраивали участок линии электропередач между Ленинском-Кузницким и Белово, по которой должна пойти электроэнергия из Кемерова. </w:t>
      </w:r>
    </w:p>
    <w:p w14:paraId="56270E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Из эвакуированных рабочих Волховского завода организовали новое строительное управление № 6 , сооружавшее ТЭЦ. К декабрю в цехе № 3 смонтировали 40 ванн. В ночь на 7 января 1943 года металлурги выдали крылатый металл из первой ванны. </w:t>
      </w:r>
    </w:p>
    <w:p w14:paraId="33532B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строившемся в г. Новокузнецке заводе металлоконструкций им. Молотова разместили оборудование, эвакуированное из г. Днепропетровска. Предприятие намечалось ввести в декабре 1941 года. Часть оснастки, которую не монтировали, хранили на складах под навесами. Оборудование двух цементных заводов из г. Днепродзержинска и г. Орджоникидзе поручили сионтировать и ввести в строй КМК. </w:t>
      </w:r>
    </w:p>
    <w:p w14:paraId="18A902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Разрозненное оборудование, основу которого составляли станки механического завода из г. Киева, собрали на площадке строившейся с 1939 года в Новокузнецке льнопрядильной фабрики. Постановление от 16 августа 1941 года СНК СССР решил создать здесь оружейный завод. В сентябре эвакуированный из Киева Строймонтажтрест № 53 доделывал имеющиеся и возводил новые корпуса. Одновременно шел монтаж оборудования, комплектовали и обучали рабочие кадры. </w:t>
      </w:r>
    </w:p>
    <w:p w14:paraId="26DD26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 февралю 1942 года на завод прибыло 257 станков, и уже 95 работали. В июне работало 350 станков и еще 155 монтировали. Получая часть деталей с других заводов, новое предприятие № 526 Наркомата вооружения начало выдавать продукцию. </w:t>
      </w:r>
    </w:p>
    <w:p w14:paraId="0D0B6C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Новокузнецк эвакуировали и заводы № 252 и № 192 Наркомата судостроительной промышленности. Завод № 252 был объединен с перевезенным из г. Петропавловска (Казахстанского) заводом № 253. Однако в первом квартале 1942 года предприятие № 192, а в 1943 году – и № 252 реэвакуировали из города. </w:t>
      </w:r>
    </w:p>
    <w:p w14:paraId="0A5593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Итого в г. Новокузнецке осталось оборудование 15 предприятий из 74 эвакуированных в Кузбасс. На его базе создано шесть новых заводов и существенно расширен Кузнецкий металлургический комбинат. </w:t>
      </w:r>
    </w:p>
    <w:p w14:paraId="100671C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Выпуск вооружения. </w:t>
      </w:r>
    </w:p>
    <w:p w14:paraId="6246BD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первых дней войны в неравных боях потери, как войск, так и оружия были огромными. Особенно велики были потери минометов. За второе полугодие 1941 года они достигли 60,5 тысяч, тогда как перед войной их было в войсках 56,1 тысячи. Это значит, что обеспечение ими действующей армии всецело зависело от текущего производства. </w:t>
      </w:r>
    </w:p>
    <w:p w14:paraId="4EED10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Бюро Новосибирского обкома 23 октября решило организовать производство минометов в Новокузнецке и Кемерове. Кузнецкий металлургический комбинат и депо станции Новокузнецк получили задание обеспечить совместно выпуск в четвертом квартале 350, а в январе 1942 года – 750 батальонных 82-мм минометов. Их производство организовывалось на основе кооперирования ряда предприятий. </w:t>
      </w:r>
    </w:p>
    <w:p w14:paraId="77A9AD4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Велики были потери на фронте стрелкового оружия. По ручным и станковым пулеметам за первое военное полугодие они достигли 62,4 и 64 процента и превосходили их текущее производство. За 1942 год потери ручных пулеметов на фронте составили 30,2 процента. Исключительно важной в связи с этим была роль новокузнецкого завода № 526 Наркомата вооружения. Ему предписывалось увеличить освоенное производство ручных пулеметов. Но строительство завода еще продолжалось. Не хватало строительных рабочих и материалов. Поступавшее оборудование было нередко некомплектным. Монтаж его, да еще в недостроенных цехах, шел медленно. В июне 1942 года работало только 68 процентов прибывших станков. </w:t>
      </w:r>
    </w:p>
    <w:p w14:paraId="4369A1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Наркомат вооружения заменил на заводе директора. Вместо М. С. Новикова он назначил Н. А. Дубасова. Наркомат оказал значительную помощь заводу. В августе из других оружейных заводов в Новокузнецк приехали 770 рабочих. Прибыли инженерно-технические работники из Ковровского, Ижевского и Тульского заводов. Осенью и зимой приняты на завод многие рабочие и ИТР, эвакуированные из Ленинграда, Донбасса и Сталинграда. </w:t>
      </w:r>
    </w:p>
    <w:p w14:paraId="465975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Но жилищно-бытовые условия на новом заводе были крайне неудовлетворительными. Один рубленный и пяти каркасно-засыпных бараков удовлетворяли потребности более, чем двухтысячного коллектива в жилье лишь на 20 процентов. Большинство устраивалось на частные квартиры, в соседние поселки. Инженерно-технические работники жили в здании школы, в бараках и на частных квартирах. </w:t>
      </w:r>
    </w:p>
    <w:p w14:paraId="71107D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Заводское подсобное хозяйство только раздавалось. Да и находилось в 60 километрах. Так что дополнение к питанию по карточкам было минимальным. Бывали прогулы и случаи дезертирства рабочих. Завод постоянно ощущал большую нехватку рабочих, порой свыше полутора тысяч человек. Коллектив завода упорно налаживал производство. Если в феврале работало только 95 станков – 33 процента из 257 поступивших на завод, то в декабре 1942 года из 914 станков уже работало 727 – 80 процентов. </w:t>
      </w:r>
    </w:p>
    <w:p w14:paraId="20990A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Строительство завода особенно усилилось в 1943 году. Сооружались многие новые цеха. Начав выпуск пулеметов Дп в июне 1942 года, завод с августа ежемесячно выполнял и перевыполнял задания ГКО. Пример в работе показывал фрезеровщик П. А. Грачев, слесари Г. В. Демин и А. П. Татаринов, бригадир заточников Я. И. Требенников, мастер В. А. Ихвищенко. </w:t>
      </w:r>
    </w:p>
    <w:p w14:paraId="2A2CEB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Однако у завода были проблемы. Себестоимость выпускаемой продукции превышала плановую. Отпускную цену одного пулемета Дп установили в 1200 рублей, а себестоимость его изготовления на заводе обходилась в 1890 рублей. Еще сложнее обстояло дело с танковым вариантом пулемета, освоение выпуска которых начато в феврале 1943 года. Заводская себестоимость пулемета Дт составляла 2555 рублей, а отпускная цена – только 808 рублей. Велик бал брак. По отдельным деталям он доходил до 51 процента. Обнаружили ряд дефектов в пулеметах Дп при испытании их на живучесть, проведенных на полигоне в апреле 1943 года. </w:t>
      </w:r>
    </w:p>
    <w:p w14:paraId="1856BB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Дополнительно на завод поступило 200 станков. Но из общего количества – 1114 станков – 315 еще не были ведены в строй. И бытовые условия рабочих заметного улучшения не претерпели. За семь месяцев 1943 года дезертировали 354 человека. Да еще по тогдашним правилам требовалось провести отчисление 41 человека «как не соответствующих режиму завода». Из-за перебоев с обеспечением рабочей силой приходилось останавливать с разрешения наркома два цеха. Неуклонно наращивая производство, с апреля 1943 года завод перестал справляться с планом выпуска так необходимой фронту продукции. </w:t>
      </w:r>
    </w:p>
    <w:p w14:paraId="5263E7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Обеспокоенный положением на предприятии, первый секретарь Новокузнецкого горкома партии В. А. Москвин, дважды, в мае и в августе 1943 года, обращался непосредственно к секретарю ЦК ВКП (б) Г. М. Маленкову с просьбой оказать помощь. В записке отмечалось, что Наркомат вооружения раньше оказывал большую помощь заводу и содержалась просьба обязать его вновь уделить ему необходимое внимание. </w:t>
      </w:r>
    </w:p>
    <w:p w14:paraId="5DB331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Наркомат оказал заводу помощь. В целом за 1943 год он стал крупным предприятием. На нем работало до 3600 человек, в том числе свыше 2600 рабочих. За 1943 год завод выпустил 19380 ручных пулеметов. Это составляло 7,7 процента их производства в стране и восполняло 23,4 потерь на фронте. </w:t>
      </w:r>
    </w:p>
    <w:p w14:paraId="3E864A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Но директора завода Наркомат заменил. Пол руководством нового директора (Н. Денисенко) бурное строительство, осуществлявшееся в 1943 году, продолжилось, но сложнее, чем прежде. Основная строительная организация – трест № 53 Наркомата вооружения, прибывший из Киева, в конце 1943 года был реэвакуирован. Местные силы, объединенные в управление капитального строительства (УКС) завода, достраивали объекты. </w:t>
      </w:r>
    </w:p>
    <w:p w14:paraId="40DF9D5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На территории площадью 13,23 гектара за время строительства было возведено 32 корпуса и здания. Выросли основные цеха: пять механических, два инструментальных, литейный с вагранками, кузнечный, термический, сборки магазинов, механосборочный и другие. В цехах работало около 1100 станков, разумеется, в две смены по 11 часов каждая. Стало внедряться поточное производство. Приобретали все больший практический опыт рабочие и инженерно-технические работники. Возрастал объем выпускаемой продукции. </w:t>
      </w:r>
    </w:p>
    <w:p w14:paraId="5DA2E3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Среднегодовая рабочего была сравнительно не так уж велика и, в отличие от многих производств, четыре пятых ее шло на оплату труда рабочих. </w:t>
      </w:r>
    </w:p>
    <w:p w14:paraId="4CFE6C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Когда же в 1945 году производство оружия в стране стало резко сокращаться, на заводе № 526 все показатели его работы снизились. Резко сократив выпуск пулеметов, он стал производить гражданскую продукцию – выпустил в том году, на стыке войны и мира, 4000 мелкокалиберных винтовок ТОЗ-8, 7540 коньков «Снегурочка», 120 отбойных молотков. </w:t>
      </w:r>
    </w:p>
    <w:p w14:paraId="5790BE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Новокузнецкий завод «Красный Тигель» Наркомата станкостроения в 1942 году, когда на нем трудились всего 122 человека, произвел продукции на 4432,9 тысячи рублей, что почти равно тому объему, который был в г. Луге. Налицо был результат высокой производительности труда. Каждый из 73 рабочих, в среднем, давал продукции на 60726 рублей, заработав по 5304 рубля за год. </w:t>
      </w:r>
    </w:p>
    <w:p w14:paraId="66FC1C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Главной продукцией завода были графитовые тигли. Их в Новокузнецке выпускали больше, чем в Луге в 1941 году. Одновременно завод изготовил 63,5 тонны карборундовой, кварцитовой и других шлифовочных паст на 634,7 тысячи и абразивных брусков на 160,6 тысячи рублей. Две трети продукции шло заводам собственной отрасли, а треть – на нужды Наркоматов авиационной, танковой промышленности, вооружения и промышленности боеприпасов. </w:t>
      </w:r>
    </w:p>
    <w:p w14:paraId="70EB6C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Производство химической продукции. </w:t>
      </w:r>
    </w:p>
    <w:p w14:paraId="12C16D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Свой вклад в производство химической продукции, необходимой для изготовления взрывчатки, вносил Кузнецкий металлургический комбинат, его коксовый цех, особенно после пуска в 1942 году пятой коксовой батареи. Стоимость выпущенной химической продукции комбинатом в 1941 году составила 15684 тысячи рублей. Затем она снизилась – до 14420 тысяч рублей, что, однако, равнялось производительности целого химического завода. </w:t>
      </w:r>
    </w:p>
    <w:p w14:paraId="218D9D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вводов в эксплуатацию пятой коксовой батареи выпуск химической продукции продолжал нарастать. Производство основных ее видов, необходимых для изготовления взрывчатых веществ, характеризуется следующими показателями (в тоннах):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239"/>
        <w:gridCol w:w="1551"/>
        <w:gridCol w:w="1551"/>
        <w:gridCol w:w="1551"/>
      </w:tblGrid>
      <w:tr w:rsidR="00643896" w:rsidRPr="00640820" w14:paraId="239AA9C8" w14:textId="77777777" w:rsidTr="000D3BCB">
        <w:tc>
          <w:tcPr>
            <w:tcW w:w="4239" w:type="dxa"/>
            <w:tcBorders>
              <w:top w:val="single" w:sz="12" w:space="0" w:color="auto"/>
            </w:tcBorders>
          </w:tcPr>
          <w:p w14:paraId="50DB00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Продукция</w:t>
            </w:r>
          </w:p>
        </w:tc>
        <w:tc>
          <w:tcPr>
            <w:tcW w:w="1551" w:type="dxa"/>
            <w:tcBorders>
              <w:top w:val="single" w:sz="12" w:space="0" w:color="auto"/>
            </w:tcBorders>
          </w:tcPr>
          <w:p w14:paraId="7CAB66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1943 г.</w:t>
            </w:r>
          </w:p>
        </w:tc>
        <w:tc>
          <w:tcPr>
            <w:tcW w:w="1551" w:type="dxa"/>
            <w:tcBorders>
              <w:top w:val="single" w:sz="12" w:space="0" w:color="auto"/>
            </w:tcBorders>
          </w:tcPr>
          <w:p w14:paraId="5692C7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1944 г.</w:t>
            </w:r>
          </w:p>
        </w:tc>
        <w:tc>
          <w:tcPr>
            <w:tcW w:w="1551" w:type="dxa"/>
            <w:tcBorders>
              <w:top w:val="single" w:sz="12" w:space="0" w:color="auto"/>
            </w:tcBorders>
          </w:tcPr>
          <w:p w14:paraId="5803C4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1945 г.</w:t>
            </w:r>
          </w:p>
        </w:tc>
      </w:tr>
      <w:tr w:rsidR="00643896" w:rsidRPr="00640820" w14:paraId="507F3347" w14:textId="77777777" w:rsidTr="000D3BCB">
        <w:tc>
          <w:tcPr>
            <w:tcW w:w="4239" w:type="dxa"/>
          </w:tcPr>
          <w:p w14:paraId="7F7022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Каменноугольная смола</w:t>
            </w:r>
          </w:p>
        </w:tc>
        <w:tc>
          <w:tcPr>
            <w:tcW w:w="1551" w:type="dxa"/>
          </w:tcPr>
          <w:p w14:paraId="0BFA38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61587</w:t>
            </w:r>
          </w:p>
        </w:tc>
        <w:tc>
          <w:tcPr>
            <w:tcW w:w="1551" w:type="dxa"/>
          </w:tcPr>
          <w:p w14:paraId="194C8C8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62977</w:t>
            </w:r>
          </w:p>
        </w:tc>
        <w:tc>
          <w:tcPr>
            <w:tcW w:w="1551" w:type="dxa"/>
          </w:tcPr>
          <w:p w14:paraId="28B8B1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61473</w:t>
            </w:r>
          </w:p>
        </w:tc>
      </w:tr>
      <w:tr w:rsidR="00643896" w:rsidRPr="00640820" w14:paraId="7050FB6C" w14:textId="77777777" w:rsidTr="000D3BCB">
        <w:tc>
          <w:tcPr>
            <w:tcW w:w="4239" w:type="dxa"/>
          </w:tcPr>
          <w:p w14:paraId="3ADEFD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Толуол</w:t>
            </w:r>
          </w:p>
        </w:tc>
        <w:tc>
          <w:tcPr>
            <w:tcW w:w="1551" w:type="dxa"/>
          </w:tcPr>
          <w:p w14:paraId="17A4F9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2634</w:t>
            </w:r>
          </w:p>
        </w:tc>
        <w:tc>
          <w:tcPr>
            <w:tcW w:w="1551" w:type="dxa"/>
          </w:tcPr>
          <w:p w14:paraId="2EFDD6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2517</w:t>
            </w:r>
          </w:p>
        </w:tc>
        <w:tc>
          <w:tcPr>
            <w:tcW w:w="1551" w:type="dxa"/>
          </w:tcPr>
          <w:p w14:paraId="5B29DE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2075</w:t>
            </w:r>
          </w:p>
        </w:tc>
      </w:tr>
      <w:tr w:rsidR="00643896" w:rsidRPr="00640820" w14:paraId="29CC6ECF" w14:textId="77777777" w:rsidTr="000D3BCB">
        <w:tc>
          <w:tcPr>
            <w:tcW w:w="4239" w:type="dxa"/>
          </w:tcPr>
          <w:p w14:paraId="6DCA57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Бензол сырой</w:t>
            </w:r>
          </w:p>
        </w:tc>
        <w:tc>
          <w:tcPr>
            <w:tcW w:w="1551" w:type="dxa"/>
          </w:tcPr>
          <w:p w14:paraId="0681CC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17372</w:t>
            </w:r>
          </w:p>
        </w:tc>
        <w:tc>
          <w:tcPr>
            <w:tcW w:w="1551" w:type="dxa"/>
          </w:tcPr>
          <w:p w14:paraId="3C9C8D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18074</w:t>
            </w:r>
          </w:p>
        </w:tc>
        <w:tc>
          <w:tcPr>
            <w:tcW w:w="1551" w:type="dxa"/>
          </w:tcPr>
          <w:p w14:paraId="5CE3CA1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17800</w:t>
            </w:r>
          </w:p>
        </w:tc>
      </w:tr>
      <w:tr w:rsidR="00643896" w:rsidRPr="00640820" w14:paraId="35D0D672" w14:textId="77777777" w:rsidTr="000D3BCB">
        <w:tc>
          <w:tcPr>
            <w:tcW w:w="4239" w:type="dxa"/>
          </w:tcPr>
          <w:p w14:paraId="22C3B3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Бензол чистый</w:t>
            </w:r>
          </w:p>
        </w:tc>
        <w:tc>
          <w:tcPr>
            <w:tcW w:w="1551" w:type="dxa"/>
          </w:tcPr>
          <w:p w14:paraId="48C04C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11076</w:t>
            </w:r>
          </w:p>
        </w:tc>
        <w:tc>
          <w:tcPr>
            <w:tcW w:w="1551" w:type="dxa"/>
          </w:tcPr>
          <w:p w14:paraId="1448A7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12084</w:t>
            </w:r>
          </w:p>
        </w:tc>
        <w:tc>
          <w:tcPr>
            <w:tcW w:w="1551" w:type="dxa"/>
          </w:tcPr>
          <w:p w14:paraId="423CE9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113210</w:t>
            </w:r>
          </w:p>
        </w:tc>
      </w:tr>
      <w:tr w:rsidR="00643896" w:rsidRPr="00640820" w14:paraId="6AF2F004" w14:textId="77777777" w:rsidTr="000D3BCB">
        <w:tc>
          <w:tcPr>
            <w:tcW w:w="4239" w:type="dxa"/>
          </w:tcPr>
          <w:p w14:paraId="27BFA8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Ксилол</w:t>
            </w:r>
          </w:p>
        </w:tc>
        <w:tc>
          <w:tcPr>
            <w:tcW w:w="1551" w:type="dxa"/>
          </w:tcPr>
          <w:p w14:paraId="7EAE708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541</w:t>
            </w:r>
          </w:p>
        </w:tc>
        <w:tc>
          <w:tcPr>
            <w:tcW w:w="1551" w:type="dxa"/>
          </w:tcPr>
          <w:p w14:paraId="052118E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450</w:t>
            </w:r>
          </w:p>
        </w:tc>
        <w:tc>
          <w:tcPr>
            <w:tcW w:w="1551" w:type="dxa"/>
          </w:tcPr>
          <w:p w14:paraId="61C558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367</w:t>
            </w:r>
          </w:p>
        </w:tc>
      </w:tr>
      <w:tr w:rsidR="00643896" w:rsidRPr="00640820" w14:paraId="488D7758" w14:textId="77777777" w:rsidTr="000D3BCB">
        <w:tc>
          <w:tcPr>
            <w:tcW w:w="4239" w:type="dxa"/>
            <w:tcBorders>
              <w:bottom w:val="single" w:sz="12" w:space="0" w:color="auto"/>
            </w:tcBorders>
          </w:tcPr>
          <w:p w14:paraId="04EEC6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Сульфат</w:t>
            </w:r>
          </w:p>
        </w:tc>
        <w:tc>
          <w:tcPr>
            <w:tcW w:w="1551" w:type="dxa"/>
            <w:tcBorders>
              <w:bottom w:val="single" w:sz="12" w:space="0" w:color="auto"/>
            </w:tcBorders>
          </w:tcPr>
          <w:p w14:paraId="573109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837</w:t>
            </w:r>
          </w:p>
        </w:tc>
        <w:tc>
          <w:tcPr>
            <w:tcW w:w="1551" w:type="dxa"/>
            <w:tcBorders>
              <w:bottom w:val="single" w:sz="12" w:space="0" w:color="auto"/>
            </w:tcBorders>
          </w:tcPr>
          <w:p w14:paraId="0F58EE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843</w:t>
            </w:r>
          </w:p>
        </w:tc>
        <w:tc>
          <w:tcPr>
            <w:tcW w:w="1551" w:type="dxa"/>
            <w:tcBorders>
              <w:bottom w:val="single" w:sz="12" w:space="0" w:color="auto"/>
            </w:tcBorders>
          </w:tcPr>
          <w:p w14:paraId="61D1CC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1100</w:t>
            </w:r>
          </w:p>
        </w:tc>
      </w:tr>
    </w:tbl>
    <w:p w14:paraId="762851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Из таблицы видно, что на комбинате во всевозрастающих размерах выпускалось сырье для изготовления взрывчатки – толуол и бензол, а также смола, необходимая для их производства. Он давал и другие химические продукты, использовавшиеся на нужды обороны. Высшего объема выпуск химической продукции Кузнецким металлургическим комбинатом достиг в 1944 году. Лишь после окончания Великой Отечественной войны их производство стало сокращаться. </w:t>
      </w:r>
    </w:p>
    <w:p w14:paraId="03C775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Боеприпасы для фронта. </w:t>
      </w:r>
    </w:p>
    <w:p w14:paraId="15E5E4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Особенно крупномасштабное производство боеприпасов организовали на Кузнецком металлургическом комбинате. Постановлением СНК СССР от 5 сентября 1941 года на нем намечалось развернуть производство свертных 122 мм и 152 мм снарядных гильз. Комбинат обязывался срочно провести необходимую подготовку и начать их выпуск через 7 дней после прибытия оборудования эвакуированного завода имени Карла Либкнехта. </w:t>
      </w:r>
    </w:p>
    <w:p w14:paraId="2F6FAD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связи с произошедшей затем задержкой бюро Новосибирского обкома ВКП (б) 8 ноября потребовало от руководства комбината восстановить производство артиллерийских гильз. В ноябре же комбинату поручили срочно отлить опытную партию в 200 штук снарядов калибра 76 мм из сталистого чугуна. Такие снаряды-новинки получили затем широкое применение на фронте. </w:t>
      </w:r>
    </w:p>
    <w:p w14:paraId="6A5DEE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Созданные на базе эвакооборудования пять новых механических цехов комбината занимались в основном производством боеприпасов. За последние месяцы 1941 года спецпроизводство комбината, как оно называлось в официальных отчетах, выдало продукции на 7101 тысячу рублей. А в 1942 году объем спецпродукции увеличился в 6,5 раза и составил 46402 тысячи рублей. </w:t>
      </w:r>
    </w:p>
    <w:p w14:paraId="309235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Но это не стало пределом. Совершенствование технологии, освоение новых видов продукции на комбинате неуклонно продолжались. Еще более крупных масштабов выпуска гильз, снарядов, бомб, мин и гранат достигли в 1943 году, когда их было произведено на 82242 тысячи рублей. Самого же высокого уровня спецпроизводство достигло в 1944 году, когда его объем поднялся до 96513 тысяч рублей, что сопоставимо с довольно значительным самостоятельным заводом. </w:t>
      </w:r>
    </w:p>
    <w:p w14:paraId="7414B9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Все спецпроизводство в валовой продукции КМК в 1943-1944 годах занимало 12,7 процента общего ее объема. А по отношению к продукции металлургического производства (чугун, сталь, прокат), оно равнялось 17 процентам ее валового объема. Лишь в 1945 году производство боеприпасов на комбинате снизилось до 50603 тысяч рублей, уменьшилось и количество выпущенных изделий. </w:t>
      </w:r>
    </w:p>
    <w:p w14:paraId="5A0FB4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Только выпуск гильз снарядов 122 мм в 1945 году несколько увеличился. Производство всех других видов боеприпасов и их элементов свертывалось. Но за военный период Кузнецкий комбинат внес весомый вклад в обеспечение выпуска боеприпасов для фронта. </w:t>
      </w:r>
    </w:p>
    <w:p w14:paraId="2784011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Заключение. </w:t>
      </w:r>
    </w:p>
    <w:p w14:paraId="0E2B1F3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Промышленность Новокузнецка, как и промышленность всего Кузбасса, внесшая большой вклад в обеспечение нужд фронта в период Великой Отечественной войны, после ее окончания стала перестраиваться на мирные рельсы. Но мы никогда не должны забывать таких людей, как А. Я. Чалкова – сталевара КМК, лауреата Государственной премии; М. В. Буркайкого – сталевара КМК; Р. В. Белана – директора КМК; М. М. Привалова – знатного сталевара КМК в военный период; Л. А. Бугарова – директора Новокузнецкого алюминиевого завода в военные годы (11850).</w:t>
      </w:r>
    </w:p>
    <w:p w14:paraId="275909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DC0C8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была подготовлена справка:</w:t>
      </w:r>
    </w:p>
    <w:p w14:paraId="07E908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Размещение эвакуированных заводов в Кузбассе</w:t>
      </w:r>
    </w:p>
    <w:tbl>
      <w:tblPr>
        <w:tblW w:w="0" w:type="auto"/>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00" w:firstRow="0" w:lastRow="0" w:firstColumn="0" w:lastColumn="0" w:noHBand="0" w:noVBand="0"/>
      </w:tblPr>
      <w:tblGrid>
        <w:gridCol w:w="384"/>
        <w:gridCol w:w="5187"/>
        <w:gridCol w:w="2044"/>
        <w:gridCol w:w="2222"/>
      </w:tblGrid>
      <w:tr w:rsidR="00643896" w:rsidRPr="00640820" w14:paraId="198D2874" w14:textId="77777777" w:rsidTr="000D3BCB">
        <w:trPr>
          <w:jc w:val="center"/>
        </w:trPr>
        <w:tc>
          <w:tcPr>
            <w:tcW w:w="384" w:type="dxa"/>
            <w:tcBorders>
              <w:top w:val="single" w:sz="12" w:space="0" w:color="000000"/>
            </w:tcBorders>
          </w:tcPr>
          <w:p w14:paraId="120894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NN</w:t>
            </w:r>
          </w:p>
        </w:tc>
        <w:tc>
          <w:tcPr>
            <w:tcW w:w="5187" w:type="dxa"/>
            <w:tcBorders>
              <w:top w:val="single" w:sz="12" w:space="0" w:color="000000"/>
            </w:tcBorders>
          </w:tcPr>
          <w:p w14:paraId="6E3CF1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Наименование эвакуированных предприятий</w:t>
            </w:r>
          </w:p>
        </w:tc>
        <w:tc>
          <w:tcPr>
            <w:tcW w:w="2044" w:type="dxa"/>
            <w:tcBorders>
              <w:top w:val="single" w:sz="12" w:space="0" w:color="000000"/>
            </w:tcBorders>
          </w:tcPr>
          <w:p w14:paraId="331A61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размещения эвакооборудования</w:t>
            </w:r>
          </w:p>
        </w:tc>
        <w:tc>
          <w:tcPr>
            <w:tcW w:w="2222" w:type="dxa"/>
            <w:tcBorders>
              <w:top w:val="single" w:sz="12" w:space="0" w:color="000000"/>
            </w:tcBorders>
          </w:tcPr>
          <w:p w14:paraId="16175E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Вновь созданное предприятие</w:t>
            </w:r>
          </w:p>
        </w:tc>
      </w:tr>
      <w:tr w:rsidR="00643896" w:rsidRPr="00640820" w14:paraId="025F72AC" w14:textId="77777777" w:rsidTr="000D3BCB">
        <w:trPr>
          <w:jc w:val="center"/>
        </w:trPr>
        <w:tc>
          <w:tcPr>
            <w:tcW w:w="384" w:type="dxa"/>
          </w:tcPr>
          <w:p w14:paraId="5755A2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5187" w:type="dxa"/>
          </w:tcPr>
          <w:p w14:paraId="0B55BF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Азотнотуковый завод Наркомата химической промышленности (НКХП). г. Горловка</w:t>
            </w:r>
          </w:p>
        </w:tc>
        <w:tc>
          <w:tcPr>
            <w:tcW w:w="2044" w:type="dxa"/>
          </w:tcPr>
          <w:p w14:paraId="738DE8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Кемеровский аэотно-туковый завод</w:t>
            </w:r>
          </w:p>
        </w:tc>
        <w:tc>
          <w:tcPr>
            <w:tcW w:w="2222" w:type="dxa"/>
          </w:tcPr>
          <w:p w14:paraId="2614ADE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0238659" w14:textId="77777777" w:rsidTr="000D3BCB">
        <w:trPr>
          <w:jc w:val="center"/>
        </w:trPr>
        <w:tc>
          <w:tcPr>
            <w:tcW w:w="384" w:type="dxa"/>
          </w:tcPr>
          <w:p w14:paraId="22BEF3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5187" w:type="dxa"/>
          </w:tcPr>
          <w:p w14:paraId="128F2B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Азотно-туковый завод, г. Днепродзержинск</w:t>
            </w:r>
          </w:p>
        </w:tc>
        <w:tc>
          <w:tcPr>
            <w:tcW w:w="2044" w:type="dxa"/>
          </w:tcPr>
          <w:p w14:paraId="197BDD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22" w:type="dxa"/>
          </w:tcPr>
          <w:p w14:paraId="3FE931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946699A" w14:textId="77777777" w:rsidTr="000D3BCB">
        <w:trPr>
          <w:jc w:val="center"/>
        </w:trPr>
        <w:tc>
          <w:tcPr>
            <w:tcW w:w="384" w:type="dxa"/>
          </w:tcPr>
          <w:p w14:paraId="1DE5EF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c>
          <w:tcPr>
            <w:tcW w:w="5187" w:type="dxa"/>
          </w:tcPr>
          <w:p w14:paraId="1926D1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Азотнотуковый завод, г. Лисичанск</w:t>
            </w:r>
          </w:p>
        </w:tc>
        <w:tc>
          <w:tcPr>
            <w:tcW w:w="2044" w:type="dxa"/>
          </w:tcPr>
          <w:p w14:paraId="0140D9F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22" w:type="dxa"/>
          </w:tcPr>
          <w:p w14:paraId="2FF5F1B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FCB6305" w14:textId="77777777" w:rsidTr="000D3BCB">
        <w:trPr>
          <w:jc w:val="center"/>
        </w:trPr>
        <w:tc>
          <w:tcPr>
            <w:tcW w:w="384" w:type="dxa"/>
          </w:tcPr>
          <w:p w14:paraId="6D4DE4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5187" w:type="dxa"/>
          </w:tcPr>
          <w:p w14:paraId="60419AA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Химический завод N 20 (НКХП), г. Рубежное</w:t>
            </w:r>
          </w:p>
        </w:tc>
        <w:tc>
          <w:tcPr>
            <w:tcW w:w="2044" w:type="dxa"/>
          </w:tcPr>
          <w:p w14:paraId="4FD7DC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22" w:type="dxa"/>
          </w:tcPr>
          <w:p w14:paraId="272D4C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1C62B3E" w14:textId="77777777" w:rsidTr="000D3BCB">
        <w:trPr>
          <w:jc w:val="center"/>
        </w:trPr>
        <w:tc>
          <w:tcPr>
            <w:tcW w:w="384" w:type="dxa"/>
          </w:tcPr>
          <w:p w14:paraId="08A2778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5187" w:type="dxa"/>
          </w:tcPr>
          <w:p w14:paraId="5BD15A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Химкомбинат, г. Новомосковск</w:t>
            </w:r>
          </w:p>
        </w:tc>
        <w:tc>
          <w:tcPr>
            <w:tcW w:w="2044" w:type="dxa"/>
          </w:tcPr>
          <w:p w14:paraId="097797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22" w:type="dxa"/>
          </w:tcPr>
          <w:p w14:paraId="4BF85A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886F739" w14:textId="77777777" w:rsidTr="000D3BCB">
        <w:trPr>
          <w:jc w:val="center"/>
        </w:trPr>
        <w:tc>
          <w:tcPr>
            <w:tcW w:w="384" w:type="dxa"/>
          </w:tcPr>
          <w:p w14:paraId="7A75B2E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c>
          <w:tcPr>
            <w:tcW w:w="5187" w:type="dxa"/>
          </w:tcPr>
          <w:p w14:paraId="105C34E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Азотно-туковый завод, г. Сталинград</w:t>
            </w:r>
          </w:p>
        </w:tc>
        <w:tc>
          <w:tcPr>
            <w:tcW w:w="2044" w:type="dxa"/>
          </w:tcPr>
          <w:p w14:paraId="3C669A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22" w:type="dxa"/>
          </w:tcPr>
          <w:p w14:paraId="4732878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8DEFC3C" w14:textId="77777777" w:rsidTr="000D3BCB">
        <w:trPr>
          <w:jc w:val="center"/>
        </w:trPr>
        <w:tc>
          <w:tcPr>
            <w:tcW w:w="384" w:type="dxa"/>
          </w:tcPr>
          <w:p w14:paraId="6CC73F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w:t>
            </w:r>
          </w:p>
        </w:tc>
        <w:tc>
          <w:tcPr>
            <w:tcW w:w="5187" w:type="dxa"/>
          </w:tcPr>
          <w:p w14:paraId="32CC39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N 510 Наркомата боеприпасов (НКБ), г. Ногинск</w:t>
            </w:r>
          </w:p>
        </w:tc>
        <w:tc>
          <w:tcPr>
            <w:tcW w:w="2044" w:type="dxa"/>
          </w:tcPr>
          <w:p w14:paraId="5FB6D1D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Кемеровский мехзавод</w:t>
            </w:r>
          </w:p>
        </w:tc>
        <w:tc>
          <w:tcPr>
            <w:tcW w:w="2222" w:type="dxa"/>
          </w:tcPr>
          <w:p w14:paraId="039CFE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N 606 НКБ, г. Кемерово</w:t>
            </w:r>
          </w:p>
        </w:tc>
      </w:tr>
      <w:tr w:rsidR="00643896" w:rsidRPr="00640820" w14:paraId="79A48CD8" w14:textId="77777777" w:rsidTr="000D3BCB">
        <w:trPr>
          <w:jc w:val="center"/>
        </w:trPr>
        <w:tc>
          <w:tcPr>
            <w:tcW w:w="384" w:type="dxa"/>
          </w:tcPr>
          <w:p w14:paraId="5D7F51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5187" w:type="dxa"/>
          </w:tcPr>
          <w:p w14:paraId="7863B5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N 187 НКБ (частично)</w:t>
            </w:r>
          </w:p>
        </w:tc>
        <w:tc>
          <w:tcPr>
            <w:tcW w:w="2044" w:type="dxa"/>
          </w:tcPr>
          <w:p w14:paraId="242F9B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22" w:type="dxa"/>
          </w:tcPr>
          <w:p w14:paraId="516A64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6419691" w14:textId="77777777" w:rsidTr="000D3BCB">
        <w:trPr>
          <w:jc w:val="center"/>
        </w:trPr>
        <w:tc>
          <w:tcPr>
            <w:tcW w:w="384" w:type="dxa"/>
          </w:tcPr>
          <w:p w14:paraId="38BC38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w:t>
            </w:r>
          </w:p>
        </w:tc>
        <w:tc>
          <w:tcPr>
            <w:tcW w:w="5187" w:type="dxa"/>
          </w:tcPr>
          <w:p w14:paraId="27CD6E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Часть оборудования завода N510 </w:t>
            </w:r>
          </w:p>
          <w:p w14:paraId="0F0611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Часть оборудования химического завода N20 НКХП, г. Рубежное</w:t>
            </w:r>
          </w:p>
        </w:tc>
        <w:tc>
          <w:tcPr>
            <w:tcW w:w="2044" w:type="dxa"/>
          </w:tcPr>
          <w:p w14:paraId="76C9C4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Кемеровский опытный гидрогенизационный завод (ОГГЗ)</w:t>
            </w:r>
          </w:p>
        </w:tc>
        <w:tc>
          <w:tcPr>
            <w:tcW w:w="2222" w:type="dxa"/>
          </w:tcPr>
          <w:p w14:paraId="358E7C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N510 НКХП, г. Кемерово Завод N 11 НКХП, г. Кемерово</w:t>
            </w:r>
          </w:p>
        </w:tc>
      </w:tr>
      <w:tr w:rsidR="00643896" w:rsidRPr="00640820" w14:paraId="344C837D" w14:textId="77777777" w:rsidTr="000D3BCB">
        <w:trPr>
          <w:jc w:val="center"/>
        </w:trPr>
        <w:tc>
          <w:tcPr>
            <w:tcW w:w="384" w:type="dxa"/>
          </w:tcPr>
          <w:p w14:paraId="0D3A01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tc>
        <w:tc>
          <w:tcPr>
            <w:tcW w:w="5187" w:type="dxa"/>
          </w:tcPr>
          <w:p w14:paraId="054761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 Фрунзе НКБ, г. Сумы</w:t>
            </w:r>
          </w:p>
        </w:tc>
        <w:tc>
          <w:tcPr>
            <w:tcW w:w="2044" w:type="dxa"/>
          </w:tcPr>
          <w:p w14:paraId="1E7E29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Кемеровский</w:t>
            </w:r>
          </w:p>
        </w:tc>
        <w:tc>
          <w:tcPr>
            <w:tcW w:w="2222" w:type="dxa"/>
          </w:tcPr>
          <w:p w14:paraId="691DB8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E19844F" w14:textId="77777777" w:rsidTr="000D3BCB">
        <w:trPr>
          <w:jc w:val="center"/>
        </w:trPr>
        <w:tc>
          <w:tcPr>
            <w:tcW w:w="384" w:type="dxa"/>
          </w:tcPr>
          <w:p w14:paraId="765D24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5187" w:type="dxa"/>
          </w:tcPr>
          <w:p w14:paraId="6E3B33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N 9 НКБ, г. Шостка</w:t>
            </w:r>
          </w:p>
        </w:tc>
        <w:tc>
          <w:tcPr>
            <w:tcW w:w="2044" w:type="dxa"/>
          </w:tcPr>
          <w:p w14:paraId="70260B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комбинат N 392 (“Прогресс”)</w:t>
            </w:r>
          </w:p>
        </w:tc>
        <w:tc>
          <w:tcPr>
            <w:tcW w:w="2222" w:type="dxa"/>
          </w:tcPr>
          <w:p w14:paraId="7E86A29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44FCDEF" w14:textId="77777777" w:rsidTr="000D3BCB">
        <w:trPr>
          <w:jc w:val="center"/>
        </w:trPr>
        <w:tc>
          <w:tcPr>
            <w:tcW w:w="384" w:type="dxa"/>
          </w:tcPr>
          <w:p w14:paraId="03F576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w:t>
            </w:r>
          </w:p>
        </w:tc>
        <w:tc>
          <w:tcPr>
            <w:tcW w:w="5187" w:type="dxa"/>
          </w:tcPr>
          <w:p w14:paraId="7ACB63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N 101 НКБ, г. Каменск</w:t>
            </w:r>
          </w:p>
        </w:tc>
        <w:tc>
          <w:tcPr>
            <w:tcW w:w="2044" w:type="dxa"/>
          </w:tcPr>
          <w:p w14:paraId="67B3D2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НКБ</w:t>
            </w:r>
          </w:p>
        </w:tc>
        <w:tc>
          <w:tcPr>
            <w:tcW w:w="2222" w:type="dxa"/>
          </w:tcPr>
          <w:p w14:paraId="78A245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C63373B" w14:textId="77777777" w:rsidTr="000D3BCB">
        <w:trPr>
          <w:jc w:val="center"/>
        </w:trPr>
        <w:tc>
          <w:tcPr>
            <w:tcW w:w="384" w:type="dxa"/>
          </w:tcPr>
          <w:p w14:paraId="049C0C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w:t>
            </w:r>
          </w:p>
        </w:tc>
        <w:tc>
          <w:tcPr>
            <w:tcW w:w="5187" w:type="dxa"/>
          </w:tcPr>
          <w:p w14:paraId="71902A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N 100 НКХП, г. Новомосковск</w:t>
            </w:r>
          </w:p>
        </w:tc>
        <w:tc>
          <w:tcPr>
            <w:tcW w:w="2044" w:type="dxa"/>
          </w:tcPr>
          <w:p w14:paraId="42C601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22" w:type="dxa"/>
          </w:tcPr>
          <w:p w14:paraId="4132FE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C8D1A62" w14:textId="77777777" w:rsidTr="000D3BCB">
        <w:trPr>
          <w:jc w:val="center"/>
        </w:trPr>
        <w:tc>
          <w:tcPr>
            <w:tcW w:w="384" w:type="dxa"/>
            <w:tcBorders>
              <w:bottom w:val="single" w:sz="12" w:space="0" w:color="000000"/>
            </w:tcBorders>
          </w:tcPr>
          <w:p w14:paraId="654AB0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w:t>
            </w:r>
          </w:p>
        </w:tc>
        <w:tc>
          <w:tcPr>
            <w:tcW w:w="5187" w:type="dxa"/>
            <w:tcBorders>
              <w:bottom w:val="single" w:sz="12" w:space="0" w:color="000000"/>
            </w:tcBorders>
          </w:tcPr>
          <w:p w14:paraId="7D60C3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N 323 НКБ, г. Алексин</w:t>
            </w:r>
          </w:p>
        </w:tc>
        <w:tc>
          <w:tcPr>
            <w:tcW w:w="2044" w:type="dxa"/>
            <w:tcBorders>
              <w:bottom w:val="single" w:sz="12" w:space="0" w:color="000000"/>
            </w:tcBorders>
          </w:tcPr>
          <w:p w14:paraId="0446A7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22" w:type="dxa"/>
            <w:tcBorders>
              <w:bottom w:val="single" w:sz="12" w:space="0" w:color="000000"/>
            </w:tcBorders>
          </w:tcPr>
          <w:p w14:paraId="259CD4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N 573 НКБ, г. Кемерово</w:t>
            </w:r>
          </w:p>
        </w:tc>
      </w:tr>
    </w:tbl>
    <w:p w14:paraId="1C39E6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Всего в Кузбассе полностью либо частично было размещено оборудование 82 эвакуированных предприятий. Из них 5 заводов вскоре реэвакуировали. На базе оставшегося и восстановленного оборудования 77 предприятий было создано 33 новых завода, В том числе возникли в Кемерово 11 новых заводов, в Новокузнецке - 6, в Прокопьевске - 3 (два завода и одна фабрика), в Ленинске-Кузнецком и Анжеро-Судженске - по 3 завода, в Киселевске и Белово - по 2, в Юрге, Топках и Промышленной - но одному заводу (11851). </w:t>
      </w:r>
    </w:p>
    <w:p w14:paraId="744B13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F4894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были подготовлены данные о заводах, эвакуированных в Томск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2669"/>
        <w:gridCol w:w="2669"/>
        <w:gridCol w:w="2669"/>
        <w:gridCol w:w="2669"/>
      </w:tblGrid>
      <w:tr w:rsidR="00643896" w:rsidRPr="00640820" w14:paraId="5D5E015F" w14:textId="77777777" w:rsidTr="000D3BCB">
        <w:tc>
          <w:tcPr>
            <w:tcW w:w="534" w:type="dxa"/>
            <w:tcBorders>
              <w:top w:val="single" w:sz="12" w:space="0" w:color="auto"/>
            </w:tcBorders>
          </w:tcPr>
          <w:p w14:paraId="1E6AB4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п/п</w:t>
            </w:r>
          </w:p>
        </w:tc>
        <w:tc>
          <w:tcPr>
            <w:tcW w:w="2669" w:type="dxa"/>
            <w:tcBorders>
              <w:top w:val="single" w:sz="12" w:space="0" w:color="auto"/>
            </w:tcBorders>
          </w:tcPr>
          <w:p w14:paraId="7E8C5D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Наименование организаций</w:t>
            </w:r>
          </w:p>
        </w:tc>
        <w:tc>
          <w:tcPr>
            <w:tcW w:w="2669" w:type="dxa"/>
            <w:tcBorders>
              <w:top w:val="single" w:sz="12" w:space="0" w:color="auto"/>
            </w:tcBorders>
          </w:tcPr>
          <w:p w14:paraId="69EED4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Когда были эвакуирован и откуда</w:t>
            </w:r>
          </w:p>
        </w:tc>
        <w:tc>
          <w:tcPr>
            <w:tcW w:w="2669" w:type="dxa"/>
            <w:tcBorders>
              <w:top w:val="single" w:sz="12" w:space="0" w:color="auto"/>
            </w:tcBorders>
          </w:tcPr>
          <w:p w14:paraId="0A5DF5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Где и в каких зданиях размещены</w:t>
            </w:r>
          </w:p>
        </w:tc>
        <w:tc>
          <w:tcPr>
            <w:tcW w:w="2669" w:type="dxa"/>
            <w:tcBorders>
              <w:top w:val="single" w:sz="12" w:space="0" w:color="auto"/>
            </w:tcBorders>
          </w:tcPr>
          <w:p w14:paraId="5191B1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Какую продукцию производили</w:t>
            </w:r>
          </w:p>
        </w:tc>
      </w:tr>
      <w:tr w:rsidR="00643896" w:rsidRPr="00640820" w14:paraId="7F962784" w14:textId="77777777" w:rsidTr="000D3BCB">
        <w:tc>
          <w:tcPr>
            <w:tcW w:w="534" w:type="dxa"/>
          </w:tcPr>
          <w:p w14:paraId="7A6790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2669" w:type="dxa"/>
          </w:tcPr>
          <w:p w14:paraId="722AC28A" w14:textId="77777777" w:rsidR="00045010" w:rsidRPr="00640820" w:rsidRDefault="00045010" w:rsidP="00640820">
            <w:pPr>
              <w:autoSpaceDE w:val="0"/>
              <w:autoSpaceDN w:val="0"/>
              <w:adjustRightInd w:val="0"/>
              <w:spacing w:after="0" w:line="240" w:lineRule="auto"/>
              <w:jc w:val="both"/>
              <w:rPr>
                <w:rFonts w:ascii="Times New Roman" w:hAnsi="Times New Roman"/>
                <w:b/>
                <w:bCs/>
                <w:iCs/>
                <w:color w:val="000000" w:themeColor="text1"/>
                <w:sz w:val="16"/>
                <w:szCs w:val="16"/>
              </w:rPr>
            </w:pPr>
            <w:r w:rsidRPr="00640820">
              <w:rPr>
                <w:rFonts w:ascii="Times New Roman" w:hAnsi="Times New Roman"/>
                <w:color w:val="000000" w:themeColor="text1"/>
                <w:sz w:val="16"/>
                <w:szCs w:val="16"/>
              </w:rPr>
              <w:t>Радист»Завод № 625-ТЗИА</w:t>
            </w:r>
          </w:p>
        </w:tc>
        <w:tc>
          <w:tcPr>
            <w:tcW w:w="2669" w:type="dxa"/>
          </w:tcPr>
          <w:p w14:paraId="6D761FA4" w14:textId="77777777" w:rsidR="00045010" w:rsidRPr="00640820" w:rsidRDefault="00045010" w:rsidP="00640820">
            <w:pPr>
              <w:autoSpaceDE w:val="0"/>
              <w:autoSpaceDN w:val="0"/>
              <w:adjustRightInd w:val="0"/>
              <w:spacing w:after="0" w:line="240" w:lineRule="auto"/>
              <w:jc w:val="both"/>
              <w:rPr>
                <w:rFonts w:ascii="Times New Roman" w:hAnsi="Times New Roman"/>
                <w:b/>
                <w:bCs/>
                <w:iCs/>
                <w:color w:val="000000" w:themeColor="text1"/>
                <w:sz w:val="16"/>
                <w:szCs w:val="16"/>
              </w:rPr>
            </w:pPr>
            <w:r w:rsidRPr="00640820">
              <w:rPr>
                <w:rFonts w:ascii="Times New Roman" w:hAnsi="Times New Roman"/>
                <w:color w:val="000000" w:themeColor="text1"/>
                <w:sz w:val="16"/>
                <w:szCs w:val="16"/>
              </w:rPr>
              <w:t>8-19 июля 1941 г. Ленинград</w:t>
            </w:r>
          </w:p>
        </w:tc>
        <w:tc>
          <w:tcPr>
            <w:tcW w:w="2669" w:type="dxa"/>
          </w:tcPr>
          <w:p w14:paraId="67A8CBFD" w14:textId="77777777" w:rsidR="00045010" w:rsidRPr="00640820" w:rsidRDefault="00045010" w:rsidP="00640820">
            <w:pPr>
              <w:autoSpaceDE w:val="0"/>
              <w:autoSpaceDN w:val="0"/>
              <w:adjustRightInd w:val="0"/>
              <w:spacing w:after="0" w:line="240" w:lineRule="auto"/>
              <w:jc w:val="both"/>
              <w:rPr>
                <w:rFonts w:ascii="Times New Roman" w:hAnsi="Times New Roman"/>
                <w:b/>
                <w:bCs/>
                <w:iCs/>
                <w:color w:val="000000" w:themeColor="text1"/>
                <w:sz w:val="16"/>
                <w:szCs w:val="16"/>
              </w:rPr>
            </w:pPr>
            <w:r w:rsidRPr="00640820">
              <w:rPr>
                <w:rFonts w:ascii="Times New Roman" w:hAnsi="Times New Roman"/>
                <w:color w:val="000000" w:themeColor="text1"/>
                <w:sz w:val="16"/>
                <w:szCs w:val="16"/>
              </w:rPr>
              <w:t>Войкова, 51а (помещение ампульной фабрики), недостроенное здание школы</w:t>
            </w:r>
          </w:p>
        </w:tc>
        <w:tc>
          <w:tcPr>
            <w:tcW w:w="2669" w:type="dxa"/>
          </w:tcPr>
          <w:p w14:paraId="51A69B06" w14:textId="77777777" w:rsidR="00045010" w:rsidRPr="00640820" w:rsidRDefault="00045010" w:rsidP="00640820">
            <w:pPr>
              <w:autoSpaceDE w:val="0"/>
              <w:autoSpaceDN w:val="0"/>
              <w:adjustRightInd w:val="0"/>
              <w:spacing w:after="0" w:line="240" w:lineRule="auto"/>
              <w:jc w:val="both"/>
              <w:rPr>
                <w:rFonts w:ascii="Times New Roman" w:hAnsi="Times New Roman"/>
                <w:b/>
                <w:bCs/>
                <w:iCs/>
                <w:color w:val="000000" w:themeColor="text1"/>
                <w:sz w:val="16"/>
                <w:szCs w:val="16"/>
              </w:rPr>
            </w:pPr>
            <w:r w:rsidRPr="00640820">
              <w:rPr>
                <w:rFonts w:ascii="Times New Roman" w:hAnsi="Times New Roman"/>
                <w:color w:val="000000" w:themeColor="text1"/>
                <w:sz w:val="16"/>
                <w:szCs w:val="16"/>
              </w:rPr>
              <w:t>Миноискатели ВИМ, радиооборудование для танков, медицинские радиозонды, прокладки к тракторным двигателям, звенья для цепей Эверта.</w:t>
            </w:r>
          </w:p>
        </w:tc>
      </w:tr>
      <w:tr w:rsidR="00643896" w:rsidRPr="00640820" w14:paraId="1569D99D" w14:textId="77777777" w:rsidTr="000D3BCB">
        <w:tc>
          <w:tcPr>
            <w:tcW w:w="534" w:type="dxa"/>
          </w:tcPr>
          <w:p w14:paraId="3E76FA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2669" w:type="dxa"/>
          </w:tcPr>
          <w:p w14:paraId="75694B1E" w14:textId="77777777" w:rsidR="00045010" w:rsidRPr="00640820" w:rsidRDefault="00045010" w:rsidP="00640820">
            <w:pPr>
              <w:autoSpaceDE w:val="0"/>
              <w:autoSpaceDN w:val="0"/>
              <w:adjustRightInd w:val="0"/>
              <w:spacing w:after="0" w:line="240" w:lineRule="auto"/>
              <w:jc w:val="both"/>
              <w:rPr>
                <w:rFonts w:ascii="Times New Roman" w:hAnsi="Times New Roman"/>
                <w:b/>
                <w:bCs/>
                <w:iCs/>
                <w:color w:val="000000" w:themeColor="text1"/>
                <w:sz w:val="16"/>
                <w:szCs w:val="16"/>
              </w:rPr>
            </w:pPr>
            <w:r w:rsidRPr="00640820">
              <w:rPr>
                <w:rFonts w:ascii="Times New Roman" w:hAnsi="Times New Roman"/>
                <w:color w:val="000000" w:themeColor="text1"/>
                <w:sz w:val="16"/>
                <w:szCs w:val="16"/>
              </w:rPr>
              <w:t>Завод "шарикоподшипниковый" (ГПЗ-5)</w:t>
            </w:r>
          </w:p>
        </w:tc>
        <w:tc>
          <w:tcPr>
            <w:tcW w:w="2669" w:type="dxa"/>
          </w:tcPr>
          <w:p w14:paraId="6373C0DF" w14:textId="77777777" w:rsidR="00045010" w:rsidRPr="00640820" w:rsidRDefault="00045010" w:rsidP="00640820">
            <w:pPr>
              <w:autoSpaceDE w:val="0"/>
              <w:autoSpaceDN w:val="0"/>
              <w:adjustRightInd w:val="0"/>
              <w:spacing w:after="0" w:line="240" w:lineRule="auto"/>
              <w:jc w:val="both"/>
              <w:rPr>
                <w:rFonts w:ascii="Times New Roman" w:hAnsi="Times New Roman"/>
                <w:b/>
                <w:bCs/>
                <w:iCs/>
                <w:color w:val="000000" w:themeColor="text1"/>
                <w:sz w:val="16"/>
                <w:szCs w:val="16"/>
              </w:rPr>
            </w:pPr>
            <w:r w:rsidRPr="00640820">
              <w:rPr>
                <w:rFonts w:ascii="Times New Roman" w:hAnsi="Times New Roman"/>
                <w:color w:val="000000" w:themeColor="text1"/>
                <w:sz w:val="16"/>
                <w:szCs w:val="16"/>
              </w:rPr>
              <w:t>6 сентября 1941 г. Москва</w:t>
            </w:r>
          </w:p>
        </w:tc>
        <w:tc>
          <w:tcPr>
            <w:tcW w:w="2669" w:type="dxa"/>
          </w:tcPr>
          <w:p w14:paraId="6ABB1854" w14:textId="77777777" w:rsidR="00045010" w:rsidRPr="00640820" w:rsidRDefault="00045010" w:rsidP="00640820">
            <w:pPr>
              <w:autoSpaceDE w:val="0"/>
              <w:autoSpaceDN w:val="0"/>
              <w:adjustRightInd w:val="0"/>
              <w:spacing w:after="0" w:line="240" w:lineRule="auto"/>
              <w:jc w:val="both"/>
              <w:rPr>
                <w:rFonts w:ascii="Times New Roman" w:hAnsi="Times New Roman"/>
                <w:b/>
                <w:bCs/>
                <w:iCs/>
                <w:color w:val="000000" w:themeColor="text1"/>
                <w:sz w:val="16"/>
                <w:szCs w:val="16"/>
              </w:rPr>
            </w:pPr>
            <w:r w:rsidRPr="00640820">
              <w:rPr>
                <w:rFonts w:ascii="Times New Roman" w:hAnsi="Times New Roman"/>
                <w:color w:val="000000" w:themeColor="text1"/>
                <w:sz w:val="16"/>
                <w:szCs w:val="16"/>
              </w:rPr>
              <w:t>Томск- II , Северный военный городок. Казарменные помещения</w:t>
            </w:r>
          </w:p>
        </w:tc>
        <w:tc>
          <w:tcPr>
            <w:tcW w:w="2669" w:type="dxa"/>
          </w:tcPr>
          <w:p w14:paraId="26A14F3F" w14:textId="77777777" w:rsidR="00045010" w:rsidRPr="00640820" w:rsidRDefault="00045010" w:rsidP="00640820">
            <w:pPr>
              <w:autoSpaceDE w:val="0"/>
              <w:autoSpaceDN w:val="0"/>
              <w:adjustRightInd w:val="0"/>
              <w:spacing w:after="0" w:line="240" w:lineRule="auto"/>
              <w:jc w:val="both"/>
              <w:rPr>
                <w:rFonts w:ascii="Times New Roman" w:hAnsi="Times New Roman"/>
                <w:b/>
                <w:bCs/>
                <w:iCs/>
                <w:color w:val="000000" w:themeColor="text1"/>
                <w:sz w:val="16"/>
                <w:szCs w:val="16"/>
              </w:rPr>
            </w:pPr>
            <w:r w:rsidRPr="00640820">
              <w:rPr>
                <w:rFonts w:ascii="Times New Roman" w:hAnsi="Times New Roman"/>
                <w:color w:val="000000" w:themeColor="text1"/>
                <w:sz w:val="16"/>
                <w:szCs w:val="16"/>
              </w:rPr>
              <w:t>Подшипники разных размеров и назначений</w:t>
            </w:r>
          </w:p>
        </w:tc>
      </w:tr>
      <w:tr w:rsidR="00643896" w:rsidRPr="00640820" w14:paraId="2DE424F6" w14:textId="77777777" w:rsidTr="000D3BCB">
        <w:tc>
          <w:tcPr>
            <w:tcW w:w="534" w:type="dxa"/>
          </w:tcPr>
          <w:p w14:paraId="18CE189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c>
          <w:tcPr>
            <w:tcW w:w="2669" w:type="dxa"/>
          </w:tcPr>
          <w:p w14:paraId="3591B69D" w14:textId="77777777" w:rsidR="00045010" w:rsidRPr="00640820" w:rsidRDefault="00045010" w:rsidP="00640820">
            <w:pPr>
              <w:autoSpaceDE w:val="0"/>
              <w:autoSpaceDN w:val="0"/>
              <w:adjustRightInd w:val="0"/>
              <w:spacing w:after="0" w:line="240" w:lineRule="auto"/>
              <w:jc w:val="both"/>
              <w:rPr>
                <w:rFonts w:ascii="Times New Roman" w:hAnsi="Times New Roman"/>
                <w:b/>
                <w:bCs/>
                <w:iCs/>
                <w:color w:val="000000" w:themeColor="text1"/>
                <w:sz w:val="16"/>
                <w:szCs w:val="16"/>
              </w:rPr>
            </w:pPr>
            <w:r w:rsidRPr="00640820">
              <w:rPr>
                <w:rFonts w:ascii="Times New Roman" w:hAnsi="Times New Roman"/>
                <w:color w:val="000000" w:themeColor="text1"/>
                <w:sz w:val="16"/>
                <w:szCs w:val="16"/>
              </w:rPr>
              <w:t>Московский электроламповый завод</w:t>
            </w:r>
          </w:p>
        </w:tc>
        <w:tc>
          <w:tcPr>
            <w:tcW w:w="2669" w:type="dxa"/>
          </w:tcPr>
          <w:p w14:paraId="32177E80" w14:textId="77777777" w:rsidR="00045010" w:rsidRPr="00640820" w:rsidRDefault="00045010" w:rsidP="00640820">
            <w:pPr>
              <w:autoSpaceDE w:val="0"/>
              <w:autoSpaceDN w:val="0"/>
              <w:adjustRightInd w:val="0"/>
              <w:spacing w:after="0" w:line="240" w:lineRule="auto"/>
              <w:jc w:val="both"/>
              <w:rPr>
                <w:rFonts w:ascii="Times New Roman" w:hAnsi="Times New Roman"/>
                <w:b/>
                <w:bCs/>
                <w:iCs/>
                <w:color w:val="000000" w:themeColor="text1"/>
                <w:sz w:val="16"/>
                <w:szCs w:val="16"/>
              </w:rPr>
            </w:pPr>
            <w:r w:rsidRPr="00640820">
              <w:rPr>
                <w:rFonts w:ascii="Times New Roman" w:hAnsi="Times New Roman"/>
                <w:color w:val="000000" w:themeColor="text1"/>
                <w:sz w:val="16"/>
                <w:szCs w:val="16"/>
              </w:rPr>
              <w:t>24 сентября 1941 г. Москва</w:t>
            </w:r>
          </w:p>
        </w:tc>
        <w:tc>
          <w:tcPr>
            <w:tcW w:w="2669" w:type="dxa"/>
          </w:tcPr>
          <w:p w14:paraId="4A5CC9B1" w14:textId="77777777" w:rsidR="00045010" w:rsidRPr="00640820" w:rsidRDefault="00045010" w:rsidP="00640820">
            <w:pPr>
              <w:autoSpaceDE w:val="0"/>
              <w:autoSpaceDN w:val="0"/>
              <w:adjustRightInd w:val="0"/>
              <w:spacing w:after="0" w:line="240" w:lineRule="auto"/>
              <w:jc w:val="both"/>
              <w:rPr>
                <w:rFonts w:ascii="Times New Roman" w:hAnsi="Times New Roman"/>
                <w:b/>
                <w:bCs/>
                <w:iCs/>
                <w:color w:val="000000" w:themeColor="text1"/>
                <w:sz w:val="16"/>
                <w:szCs w:val="16"/>
              </w:rPr>
            </w:pPr>
            <w:r w:rsidRPr="00640820">
              <w:rPr>
                <w:rFonts w:ascii="Times New Roman" w:hAnsi="Times New Roman"/>
                <w:color w:val="000000" w:themeColor="text1"/>
                <w:sz w:val="16"/>
                <w:szCs w:val="16"/>
              </w:rPr>
              <w:t>Кирова,5. В здании биологического корпуса мединститута, пр. Тимирязева, 5 -бывшее помещение ТГУ</w:t>
            </w:r>
          </w:p>
        </w:tc>
        <w:tc>
          <w:tcPr>
            <w:tcW w:w="2669" w:type="dxa"/>
          </w:tcPr>
          <w:p w14:paraId="64B2794B" w14:textId="77777777" w:rsidR="00045010" w:rsidRPr="00640820" w:rsidRDefault="00045010" w:rsidP="00640820">
            <w:pPr>
              <w:autoSpaceDE w:val="0"/>
              <w:autoSpaceDN w:val="0"/>
              <w:adjustRightInd w:val="0"/>
              <w:spacing w:after="0" w:line="240" w:lineRule="auto"/>
              <w:jc w:val="both"/>
              <w:rPr>
                <w:rFonts w:ascii="Times New Roman" w:hAnsi="Times New Roman"/>
                <w:b/>
                <w:bCs/>
                <w:iCs/>
                <w:color w:val="000000" w:themeColor="text1"/>
                <w:sz w:val="16"/>
                <w:szCs w:val="16"/>
              </w:rPr>
            </w:pPr>
            <w:r w:rsidRPr="00640820">
              <w:rPr>
                <w:rFonts w:ascii="Times New Roman" w:hAnsi="Times New Roman"/>
                <w:color w:val="000000" w:themeColor="text1"/>
                <w:sz w:val="16"/>
                <w:szCs w:val="16"/>
              </w:rPr>
              <w:t>Колбы, лампы</w:t>
            </w:r>
          </w:p>
        </w:tc>
      </w:tr>
      <w:tr w:rsidR="00643896" w:rsidRPr="00640820" w14:paraId="66B437AE" w14:textId="77777777" w:rsidTr="000D3BCB">
        <w:tc>
          <w:tcPr>
            <w:tcW w:w="534" w:type="dxa"/>
          </w:tcPr>
          <w:p w14:paraId="246ACE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2669" w:type="dxa"/>
          </w:tcPr>
          <w:p w14:paraId="30899B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резиновой обуви</w:t>
            </w:r>
          </w:p>
          <w:p w14:paraId="2A2CAB5A" w14:textId="77777777" w:rsidR="00045010" w:rsidRPr="00640820" w:rsidRDefault="00045010" w:rsidP="00640820">
            <w:pPr>
              <w:autoSpaceDE w:val="0"/>
              <w:autoSpaceDN w:val="0"/>
              <w:adjustRightInd w:val="0"/>
              <w:spacing w:after="0" w:line="240" w:lineRule="auto"/>
              <w:jc w:val="both"/>
              <w:rPr>
                <w:rFonts w:ascii="Times New Roman" w:hAnsi="Times New Roman"/>
                <w:b/>
                <w:bCs/>
                <w:iCs/>
                <w:color w:val="000000" w:themeColor="text1"/>
                <w:sz w:val="16"/>
                <w:szCs w:val="16"/>
              </w:rPr>
            </w:pPr>
            <w:r w:rsidRPr="00640820">
              <w:rPr>
                <w:rFonts w:ascii="Times New Roman" w:hAnsi="Times New Roman"/>
                <w:color w:val="000000" w:themeColor="text1"/>
                <w:sz w:val="16"/>
                <w:szCs w:val="16"/>
              </w:rPr>
              <w:t>Завод " Красный богатырь"</w:t>
            </w:r>
          </w:p>
        </w:tc>
        <w:tc>
          <w:tcPr>
            <w:tcW w:w="2669" w:type="dxa"/>
          </w:tcPr>
          <w:p w14:paraId="0EB6552B" w14:textId="77777777" w:rsidR="00045010" w:rsidRPr="00640820" w:rsidRDefault="00045010" w:rsidP="00640820">
            <w:pPr>
              <w:autoSpaceDE w:val="0"/>
              <w:autoSpaceDN w:val="0"/>
              <w:adjustRightInd w:val="0"/>
              <w:spacing w:after="0" w:line="240" w:lineRule="auto"/>
              <w:jc w:val="both"/>
              <w:rPr>
                <w:rFonts w:ascii="Times New Roman" w:hAnsi="Times New Roman"/>
                <w:b/>
                <w:bCs/>
                <w:iCs/>
                <w:color w:val="000000" w:themeColor="text1"/>
                <w:sz w:val="16"/>
                <w:szCs w:val="16"/>
              </w:rPr>
            </w:pPr>
            <w:r w:rsidRPr="00640820">
              <w:rPr>
                <w:rFonts w:ascii="Times New Roman" w:hAnsi="Times New Roman"/>
                <w:color w:val="000000" w:themeColor="text1"/>
                <w:sz w:val="16"/>
                <w:szCs w:val="16"/>
              </w:rPr>
              <w:t>г. Москва 1941 г.</w:t>
            </w:r>
          </w:p>
        </w:tc>
        <w:tc>
          <w:tcPr>
            <w:tcW w:w="2669" w:type="dxa"/>
          </w:tcPr>
          <w:p w14:paraId="03EE1250" w14:textId="77777777" w:rsidR="00045010" w:rsidRPr="00640820" w:rsidRDefault="00045010" w:rsidP="00640820">
            <w:pPr>
              <w:autoSpaceDE w:val="0"/>
              <w:autoSpaceDN w:val="0"/>
              <w:adjustRightInd w:val="0"/>
              <w:spacing w:after="0" w:line="240" w:lineRule="auto"/>
              <w:jc w:val="both"/>
              <w:rPr>
                <w:rFonts w:ascii="Times New Roman" w:hAnsi="Times New Roman"/>
                <w:b/>
                <w:bCs/>
                <w:iCs/>
                <w:color w:val="000000" w:themeColor="text1"/>
                <w:sz w:val="16"/>
                <w:szCs w:val="16"/>
              </w:rPr>
            </w:pPr>
            <w:r w:rsidRPr="00640820">
              <w:rPr>
                <w:rFonts w:ascii="Times New Roman" w:hAnsi="Times New Roman"/>
                <w:color w:val="000000" w:themeColor="text1"/>
                <w:sz w:val="16"/>
                <w:szCs w:val="16"/>
              </w:rPr>
              <w:t>Кооперативный,7а,9, Коммунистический проспект,6 (ныне пр. Ленина) (Завод резиновой обуви)</w:t>
            </w:r>
          </w:p>
        </w:tc>
        <w:tc>
          <w:tcPr>
            <w:tcW w:w="2669" w:type="dxa"/>
          </w:tcPr>
          <w:p w14:paraId="5F4149AC" w14:textId="77777777" w:rsidR="00045010" w:rsidRPr="00640820" w:rsidRDefault="00045010" w:rsidP="00640820">
            <w:pPr>
              <w:autoSpaceDE w:val="0"/>
              <w:autoSpaceDN w:val="0"/>
              <w:adjustRightInd w:val="0"/>
              <w:spacing w:after="0" w:line="240" w:lineRule="auto"/>
              <w:jc w:val="both"/>
              <w:rPr>
                <w:rFonts w:ascii="Times New Roman" w:hAnsi="Times New Roman"/>
                <w:b/>
                <w:bCs/>
                <w:iCs/>
                <w:color w:val="000000" w:themeColor="text1"/>
                <w:sz w:val="16"/>
                <w:szCs w:val="16"/>
              </w:rPr>
            </w:pPr>
            <w:r w:rsidRPr="00640820">
              <w:rPr>
                <w:rFonts w:ascii="Times New Roman" w:hAnsi="Times New Roman"/>
                <w:color w:val="000000" w:themeColor="text1"/>
                <w:sz w:val="16"/>
                <w:szCs w:val="16"/>
              </w:rPr>
              <w:t>Фасонная резина для танков, резиновые перчатки для защиты от БОВ. С 1943 г. обувь, галоши. Противогазы, амортизаторы для самолетов</w:t>
            </w:r>
          </w:p>
        </w:tc>
      </w:tr>
      <w:tr w:rsidR="00643896" w:rsidRPr="00640820" w14:paraId="52FF6D15" w14:textId="77777777" w:rsidTr="000D3BCB">
        <w:tc>
          <w:tcPr>
            <w:tcW w:w="534" w:type="dxa"/>
          </w:tcPr>
          <w:p w14:paraId="2AC8F3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2669" w:type="dxa"/>
          </w:tcPr>
          <w:p w14:paraId="7A247940" w14:textId="77777777" w:rsidR="00045010" w:rsidRPr="00640820" w:rsidRDefault="00045010" w:rsidP="00640820">
            <w:pPr>
              <w:autoSpaceDE w:val="0"/>
              <w:autoSpaceDN w:val="0"/>
              <w:adjustRightInd w:val="0"/>
              <w:spacing w:after="0" w:line="240" w:lineRule="auto"/>
              <w:jc w:val="both"/>
              <w:rPr>
                <w:rFonts w:ascii="Times New Roman" w:hAnsi="Times New Roman"/>
                <w:b/>
                <w:bCs/>
                <w:iCs/>
                <w:color w:val="000000" w:themeColor="text1"/>
                <w:sz w:val="16"/>
                <w:szCs w:val="16"/>
              </w:rPr>
            </w:pPr>
            <w:r w:rsidRPr="00640820">
              <w:rPr>
                <w:rFonts w:ascii="Times New Roman" w:hAnsi="Times New Roman"/>
                <w:color w:val="000000" w:themeColor="text1"/>
                <w:sz w:val="16"/>
                <w:szCs w:val="16"/>
              </w:rPr>
              <w:t>Завод "Манометр"</w:t>
            </w:r>
          </w:p>
        </w:tc>
        <w:tc>
          <w:tcPr>
            <w:tcW w:w="2669" w:type="dxa"/>
          </w:tcPr>
          <w:p w14:paraId="644C8FE6" w14:textId="77777777" w:rsidR="00045010" w:rsidRPr="00640820" w:rsidRDefault="00045010" w:rsidP="00640820">
            <w:pPr>
              <w:autoSpaceDE w:val="0"/>
              <w:autoSpaceDN w:val="0"/>
              <w:adjustRightInd w:val="0"/>
              <w:spacing w:after="0" w:line="240" w:lineRule="auto"/>
              <w:jc w:val="both"/>
              <w:rPr>
                <w:rFonts w:ascii="Times New Roman" w:hAnsi="Times New Roman"/>
                <w:b/>
                <w:bCs/>
                <w:iCs/>
                <w:color w:val="000000" w:themeColor="text1"/>
                <w:sz w:val="16"/>
                <w:szCs w:val="16"/>
              </w:rPr>
            </w:pPr>
            <w:r w:rsidRPr="00640820">
              <w:rPr>
                <w:rFonts w:ascii="Times New Roman" w:hAnsi="Times New Roman"/>
                <w:color w:val="000000" w:themeColor="text1"/>
                <w:sz w:val="16"/>
                <w:szCs w:val="16"/>
              </w:rPr>
              <w:t>1941 г. Ленинград</w:t>
            </w:r>
          </w:p>
        </w:tc>
        <w:tc>
          <w:tcPr>
            <w:tcW w:w="2669" w:type="dxa"/>
          </w:tcPr>
          <w:p w14:paraId="683949F0" w14:textId="77777777" w:rsidR="00045010" w:rsidRPr="00640820" w:rsidRDefault="00045010" w:rsidP="00640820">
            <w:pPr>
              <w:autoSpaceDE w:val="0"/>
              <w:autoSpaceDN w:val="0"/>
              <w:adjustRightInd w:val="0"/>
              <w:spacing w:after="0" w:line="240" w:lineRule="auto"/>
              <w:jc w:val="both"/>
              <w:rPr>
                <w:rFonts w:ascii="Times New Roman" w:hAnsi="Times New Roman"/>
                <w:b/>
                <w:bCs/>
                <w:iCs/>
                <w:color w:val="000000" w:themeColor="text1"/>
                <w:sz w:val="16"/>
                <w:szCs w:val="16"/>
              </w:rPr>
            </w:pPr>
            <w:r w:rsidRPr="00640820">
              <w:rPr>
                <w:rFonts w:ascii="Times New Roman" w:hAnsi="Times New Roman"/>
                <w:color w:val="000000" w:themeColor="text1"/>
                <w:sz w:val="16"/>
                <w:szCs w:val="16"/>
              </w:rPr>
              <w:t>Тимирязевский пр. (ныне пр. Ленина) (Манометрический завод)</w:t>
            </w:r>
          </w:p>
        </w:tc>
        <w:tc>
          <w:tcPr>
            <w:tcW w:w="2669" w:type="dxa"/>
          </w:tcPr>
          <w:p w14:paraId="78D65ECA" w14:textId="77777777" w:rsidR="00045010" w:rsidRPr="00640820" w:rsidRDefault="00045010" w:rsidP="00640820">
            <w:pPr>
              <w:autoSpaceDE w:val="0"/>
              <w:autoSpaceDN w:val="0"/>
              <w:adjustRightInd w:val="0"/>
              <w:spacing w:after="0" w:line="240" w:lineRule="auto"/>
              <w:jc w:val="both"/>
              <w:rPr>
                <w:rFonts w:ascii="Times New Roman" w:hAnsi="Times New Roman"/>
                <w:b/>
                <w:bCs/>
                <w:iCs/>
                <w:color w:val="000000" w:themeColor="text1"/>
                <w:sz w:val="16"/>
                <w:szCs w:val="16"/>
              </w:rPr>
            </w:pPr>
            <w:r w:rsidRPr="00640820">
              <w:rPr>
                <w:rFonts w:ascii="Times New Roman" w:hAnsi="Times New Roman"/>
                <w:color w:val="000000" w:themeColor="text1"/>
                <w:sz w:val="16"/>
                <w:szCs w:val="16"/>
              </w:rPr>
              <w:t>Манометры</w:t>
            </w:r>
          </w:p>
        </w:tc>
      </w:tr>
      <w:tr w:rsidR="00643896" w:rsidRPr="00640820" w14:paraId="2121AFF7" w14:textId="77777777" w:rsidTr="000D3BCB">
        <w:tc>
          <w:tcPr>
            <w:tcW w:w="534" w:type="dxa"/>
          </w:tcPr>
          <w:p w14:paraId="2C08A8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c>
          <w:tcPr>
            <w:tcW w:w="2669" w:type="dxa"/>
          </w:tcPr>
          <w:p w14:paraId="633AE954" w14:textId="77777777" w:rsidR="00045010" w:rsidRPr="00640820" w:rsidRDefault="00045010" w:rsidP="00640820">
            <w:pPr>
              <w:autoSpaceDE w:val="0"/>
              <w:autoSpaceDN w:val="0"/>
              <w:adjustRightInd w:val="0"/>
              <w:spacing w:after="0" w:line="240" w:lineRule="auto"/>
              <w:jc w:val="both"/>
              <w:rPr>
                <w:rFonts w:ascii="Times New Roman" w:hAnsi="Times New Roman"/>
                <w:b/>
                <w:bCs/>
                <w:iCs/>
                <w:color w:val="000000" w:themeColor="text1"/>
                <w:sz w:val="16"/>
                <w:szCs w:val="16"/>
              </w:rPr>
            </w:pPr>
            <w:r w:rsidRPr="00640820">
              <w:rPr>
                <w:rFonts w:ascii="Times New Roman" w:hAnsi="Times New Roman"/>
                <w:color w:val="000000" w:themeColor="text1"/>
                <w:sz w:val="16"/>
                <w:szCs w:val="16"/>
              </w:rPr>
              <w:t>Завод "Москабель" завод "Электропровод"</w:t>
            </w:r>
          </w:p>
        </w:tc>
        <w:tc>
          <w:tcPr>
            <w:tcW w:w="2669" w:type="dxa"/>
          </w:tcPr>
          <w:p w14:paraId="66163379" w14:textId="77777777" w:rsidR="00045010" w:rsidRPr="00640820" w:rsidRDefault="00045010" w:rsidP="00640820">
            <w:pPr>
              <w:autoSpaceDE w:val="0"/>
              <w:autoSpaceDN w:val="0"/>
              <w:adjustRightInd w:val="0"/>
              <w:spacing w:after="0" w:line="240" w:lineRule="auto"/>
              <w:jc w:val="both"/>
              <w:rPr>
                <w:rFonts w:ascii="Times New Roman" w:hAnsi="Times New Roman"/>
                <w:b/>
                <w:bCs/>
                <w:iCs/>
                <w:color w:val="000000" w:themeColor="text1"/>
                <w:sz w:val="16"/>
                <w:szCs w:val="16"/>
              </w:rPr>
            </w:pPr>
            <w:r w:rsidRPr="00640820">
              <w:rPr>
                <w:rFonts w:ascii="Times New Roman" w:hAnsi="Times New Roman"/>
                <w:color w:val="000000" w:themeColor="text1"/>
                <w:sz w:val="16"/>
                <w:szCs w:val="16"/>
              </w:rPr>
              <w:t>1941 г. Москва</w:t>
            </w:r>
          </w:p>
        </w:tc>
        <w:tc>
          <w:tcPr>
            <w:tcW w:w="2669" w:type="dxa"/>
          </w:tcPr>
          <w:p w14:paraId="7CC1A1BD" w14:textId="77777777" w:rsidR="00045010" w:rsidRPr="00640820" w:rsidRDefault="00045010" w:rsidP="00640820">
            <w:pPr>
              <w:autoSpaceDE w:val="0"/>
              <w:autoSpaceDN w:val="0"/>
              <w:adjustRightInd w:val="0"/>
              <w:spacing w:after="0" w:line="240" w:lineRule="auto"/>
              <w:jc w:val="both"/>
              <w:rPr>
                <w:rFonts w:ascii="Times New Roman" w:hAnsi="Times New Roman"/>
                <w:b/>
                <w:bCs/>
                <w:iCs/>
                <w:color w:val="000000" w:themeColor="text1"/>
                <w:sz w:val="16"/>
                <w:szCs w:val="16"/>
              </w:rPr>
            </w:pPr>
            <w:r w:rsidRPr="00640820">
              <w:rPr>
                <w:rFonts w:ascii="Times New Roman" w:hAnsi="Times New Roman"/>
                <w:color w:val="000000" w:themeColor="text1"/>
                <w:sz w:val="16"/>
                <w:szCs w:val="16"/>
              </w:rPr>
              <w:t>по пер. Макушина (учебный корпус электромеханического техникума) (ПО " Сибкабель")</w:t>
            </w:r>
          </w:p>
        </w:tc>
        <w:tc>
          <w:tcPr>
            <w:tcW w:w="2669" w:type="dxa"/>
          </w:tcPr>
          <w:p w14:paraId="2B66C85F" w14:textId="77777777" w:rsidR="00045010" w:rsidRPr="00640820" w:rsidRDefault="00045010" w:rsidP="00640820">
            <w:pPr>
              <w:autoSpaceDE w:val="0"/>
              <w:autoSpaceDN w:val="0"/>
              <w:adjustRightInd w:val="0"/>
              <w:spacing w:after="0" w:line="240" w:lineRule="auto"/>
              <w:jc w:val="both"/>
              <w:rPr>
                <w:rFonts w:ascii="Times New Roman" w:hAnsi="Times New Roman"/>
                <w:b/>
                <w:bCs/>
                <w:iCs/>
                <w:color w:val="000000" w:themeColor="text1"/>
                <w:sz w:val="16"/>
                <w:szCs w:val="16"/>
              </w:rPr>
            </w:pPr>
            <w:r w:rsidRPr="00640820">
              <w:rPr>
                <w:rFonts w:ascii="Times New Roman" w:hAnsi="Times New Roman"/>
                <w:color w:val="000000" w:themeColor="text1"/>
                <w:sz w:val="16"/>
                <w:szCs w:val="16"/>
              </w:rPr>
              <w:t>Кабели с резиновой изоляцией, кабели бронированные, кабели силовые, кабели телефонные</w:t>
            </w:r>
          </w:p>
        </w:tc>
      </w:tr>
      <w:tr w:rsidR="00643896" w:rsidRPr="00640820" w14:paraId="1FFC8140" w14:textId="77777777" w:rsidTr="000D3BCB">
        <w:tc>
          <w:tcPr>
            <w:tcW w:w="534" w:type="dxa"/>
          </w:tcPr>
          <w:p w14:paraId="24686D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w:t>
            </w:r>
          </w:p>
        </w:tc>
        <w:tc>
          <w:tcPr>
            <w:tcW w:w="2669" w:type="dxa"/>
          </w:tcPr>
          <w:p w14:paraId="55320888" w14:textId="77777777" w:rsidR="00045010" w:rsidRPr="00640820" w:rsidRDefault="00045010" w:rsidP="00640820">
            <w:pPr>
              <w:autoSpaceDE w:val="0"/>
              <w:autoSpaceDN w:val="0"/>
              <w:adjustRightInd w:val="0"/>
              <w:spacing w:after="0" w:line="240" w:lineRule="auto"/>
              <w:jc w:val="both"/>
              <w:rPr>
                <w:rFonts w:ascii="Times New Roman" w:hAnsi="Times New Roman"/>
                <w:b/>
                <w:bCs/>
                <w:iCs/>
                <w:color w:val="000000" w:themeColor="text1"/>
                <w:sz w:val="16"/>
                <w:szCs w:val="16"/>
              </w:rPr>
            </w:pPr>
            <w:r w:rsidRPr="00640820">
              <w:rPr>
                <w:rFonts w:ascii="Times New Roman" w:hAnsi="Times New Roman"/>
                <w:color w:val="000000" w:themeColor="text1"/>
                <w:sz w:val="16"/>
                <w:szCs w:val="16"/>
              </w:rPr>
              <w:t>Завод «Сибэлектромотор» Завод "Электросила"</w:t>
            </w:r>
          </w:p>
        </w:tc>
        <w:tc>
          <w:tcPr>
            <w:tcW w:w="2669" w:type="dxa"/>
          </w:tcPr>
          <w:p w14:paraId="7B7E1C6C" w14:textId="77777777" w:rsidR="00045010" w:rsidRPr="00640820" w:rsidRDefault="00045010" w:rsidP="00640820">
            <w:pPr>
              <w:autoSpaceDE w:val="0"/>
              <w:autoSpaceDN w:val="0"/>
              <w:adjustRightInd w:val="0"/>
              <w:spacing w:after="0" w:line="240" w:lineRule="auto"/>
              <w:jc w:val="both"/>
              <w:rPr>
                <w:rFonts w:ascii="Times New Roman" w:hAnsi="Times New Roman"/>
                <w:b/>
                <w:bCs/>
                <w:iCs/>
                <w:color w:val="000000" w:themeColor="text1"/>
                <w:sz w:val="16"/>
                <w:szCs w:val="16"/>
              </w:rPr>
            </w:pPr>
            <w:r w:rsidRPr="00640820">
              <w:rPr>
                <w:rFonts w:ascii="Times New Roman" w:hAnsi="Times New Roman"/>
                <w:color w:val="000000" w:themeColor="text1"/>
                <w:sz w:val="16"/>
                <w:szCs w:val="16"/>
              </w:rPr>
              <w:t>1941 г. Ленинград</w:t>
            </w:r>
          </w:p>
        </w:tc>
        <w:tc>
          <w:tcPr>
            <w:tcW w:w="2669" w:type="dxa"/>
          </w:tcPr>
          <w:p w14:paraId="30156554" w14:textId="77777777" w:rsidR="00045010" w:rsidRPr="00640820" w:rsidRDefault="00045010" w:rsidP="00640820">
            <w:pPr>
              <w:autoSpaceDE w:val="0"/>
              <w:autoSpaceDN w:val="0"/>
              <w:adjustRightInd w:val="0"/>
              <w:spacing w:after="0" w:line="240" w:lineRule="auto"/>
              <w:jc w:val="both"/>
              <w:rPr>
                <w:rFonts w:ascii="Times New Roman" w:hAnsi="Times New Roman"/>
                <w:b/>
                <w:bCs/>
                <w:iCs/>
                <w:color w:val="000000" w:themeColor="text1"/>
                <w:sz w:val="16"/>
                <w:szCs w:val="16"/>
              </w:rPr>
            </w:pPr>
            <w:r w:rsidRPr="00640820">
              <w:rPr>
                <w:rFonts w:ascii="Times New Roman" w:hAnsi="Times New Roman"/>
                <w:color w:val="000000" w:themeColor="text1"/>
                <w:sz w:val="16"/>
                <w:szCs w:val="16"/>
              </w:rPr>
              <w:t>Помещения Сибэлектромотора, Томск (ПО " Сибэлектромотор") пр. Кирова</w:t>
            </w:r>
          </w:p>
        </w:tc>
        <w:tc>
          <w:tcPr>
            <w:tcW w:w="2669" w:type="dxa"/>
          </w:tcPr>
          <w:p w14:paraId="3FDD185D" w14:textId="77777777" w:rsidR="00045010" w:rsidRPr="00640820" w:rsidRDefault="00045010" w:rsidP="00640820">
            <w:pPr>
              <w:autoSpaceDE w:val="0"/>
              <w:autoSpaceDN w:val="0"/>
              <w:adjustRightInd w:val="0"/>
              <w:spacing w:after="0" w:line="240" w:lineRule="auto"/>
              <w:jc w:val="both"/>
              <w:rPr>
                <w:rFonts w:ascii="Times New Roman" w:hAnsi="Times New Roman"/>
                <w:b/>
                <w:bCs/>
                <w:iCs/>
                <w:color w:val="000000" w:themeColor="text1"/>
                <w:sz w:val="16"/>
                <w:szCs w:val="16"/>
              </w:rPr>
            </w:pPr>
            <w:r w:rsidRPr="00640820">
              <w:rPr>
                <w:rFonts w:ascii="Times New Roman" w:hAnsi="Times New Roman"/>
                <w:color w:val="000000" w:themeColor="text1"/>
                <w:sz w:val="16"/>
                <w:szCs w:val="16"/>
              </w:rPr>
              <w:t>Стартеры для танков Т-34, электродвигатели АПР-112, высокоточные двигатели АИС-180 для стиральных машин, электродвигатели, асинхронные двигатели</w:t>
            </w:r>
          </w:p>
        </w:tc>
      </w:tr>
      <w:tr w:rsidR="00643896" w:rsidRPr="00640820" w14:paraId="65860719" w14:textId="77777777" w:rsidTr="000D3BCB">
        <w:tc>
          <w:tcPr>
            <w:tcW w:w="534" w:type="dxa"/>
          </w:tcPr>
          <w:p w14:paraId="34F749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w:t>
            </w:r>
          </w:p>
        </w:tc>
        <w:tc>
          <w:tcPr>
            <w:tcW w:w="2669" w:type="dxa"/>
          </w:tcPr>
          <w:p w14:paraId="0DC9620D" w14:textId="77777777" w:rsidR="00045010" w:rsidRPr="00640820" w:rsidRDefault="00045010" w:rsidP="00640820">
            <w:pPr>
              <w:autoSpaceDE w:val="0"/>
              <w:autoSpaceDN w:val="0"/>
              <w:adjustRightInd w:val="0"/>
              <w:spacing w:after="0" w:line="240" w:lineRule="auto"/>
              <w:jc w:val="both"/>
              <w:rPr>
                <w:rFonts w:ascii="Times New Roman" w:hAnsi="Times New Roman"/>
                <w:b/>
                <w:bCs/>
                <w:iCs/>
                <w:color w:val="000000" w:themeColor="text1"/>
                <w:sz w:val="16"/>
                <w:szCs w:val="16"/>
              </w:rPr>
            </w:pPr>
            <w:r w:rsidRPr="00640820">
              <w:rPr>
                <w:rFonts w:ascii="Times New Roman" w:hAnsi="Times New Roman"/>
                <w:color w:val="000000" w:themeColor="text1"/>
                <w:sz w:val="16"/>
                <w:szCs w:val="16"/>
              </w:rPr>
              <w:t>Завод электротехническийЗавод имени Лепсе</w:t>
            </w:r>
          </w:p>
        </w:tc>
        <w:tc>
          <w:tcPr>
            <w:tcW w:w="2669" w:type="dxa"/>
          </w:tcPr>
          <w:p w14:paraId="01C332B7" w14:textId="77777777" w:rsidR="00045010" w:rsidRPr="00640820" w:rsidRDefault="00045010" w:rsidP="00640820">
            <w:pPr>
              <w:autoSpaceDE w:val="0"/>
              <w:autoSpaceDN w:val="0"/>
              <w:adjustRightInd w:val="0"/>
              <w:spacing w:after="0" w:line="240" w:lineRule="auto"/>
              <w:jc w:val="both"/>
              <w:rPr>
                <w:rFonts w:ascii="Times New Roman" w:hAnsi="Times New Roman"/>
                <w:b/>
                <w:bCs/>
                <w:iCs/>
                <w:color w:val="000000" w:themeColor="text1"/>
                <w:sz w:val="16"/>
                <w:szCs w:val="16"/>
              </w:rPr>
            </w:pPr>
            <w:r w:rsidRPr="00640820">
              <w:rPr>
                <w:rFonts w:ascii="Times New Roman" w:hAnsi="Times New Roman"/>
                <w:color w:val="000000" w:themeColor="text1"/>
                <w:sz w:val="16"/>
                <w:szCs w:val="16"/>
              </w:rPr>
              <w:t>1941 г . Москва. На его основе 10.03.42 приказом №7 по Наркомату электропромышленности основывался Томский завод радиомашин.</w:t>
            </w:r>
          </w:p>
        </w:tc>
        <w:tc>
          <w:tcPr>
            <w:tcW w:w="2669" w:type="dxa"/>
          </w:tcPr>
          <w:p w14:paraId="387D4D7B" w14:textId="77777777" w:rsidR="00045010" w:rsidRPr="00640820" w:rsidRDefault="00045010" w:rsidP="00640820">
            <w:pPr>
              <w:autoSpaceDE w:val="0"/>
              <w:autoSpaceDN w:val="0"/>
              <w:adjustRightInd w:val="0"/>
              <w:spacing w:after="0" w:line="240" w:lineRule="auto"/>
              <w:jc w:val="both"/>
              <w:rPr>
                <w:rFonts w:ascii="Times New Roman" w:hAnsi="Times New Roman"/>
                <w:b/>
                <w:bCs/>
                <w:iCs/>
                <w:color w:val="000000" w:themeColor="text1"/>
                <w:sz w:val="16"/>
                <w:szCs w:val="16"/>
              </w:rPr>
            </w:pPr>
            <w:r w:rsidRPr="00640820">
              <w:rPr>
                <w:rFonts w:ascii="Times New Roman" w:hAnsi="Times New Roman"/>
                <w:color w:val="000000" w:themeColor="text1"/>
                <w:sz w:val="16"/>
                <w:szCs w:val="16"/>
              </w:rPr>
              <w:t>Перекресток улиц Киевской и Кирова. В Доме инвалидов (электротехнический завод)</w:t>
            </w:r>
          </w:p>
        </w:tc>
        <w:tc>
          <w:tcPr>
            <w:tcW w:w="2669" w:type="dxa"/>
          </w:tcPr>
          <w:p w14:paraId="3A12279A" w14:textId="77777777" w:rsidR="00045010" w:rsidRPr="00640820" w:rsidRDefault="00045010" w:rsidP="00640820">
            <w:pPr>
              <w:autoSpaceDE w:val="0"/>
              <w:autoSpaceDN w:val="0"/>
              <w:adjustRightInd w:val="0"/>
              <w:spacing w:after="0" w:line="240" w:lineRule="auto"/>
              <w:jc w:val="both"/>
              <w:rPr>
                <w:rFonts w:ascii="Times New Roman" w:hAnsi="Times New Roman"/>
                <w:b/>
                <w:bCs/>
                <w:iCs/>
                <w:color w:val="000000" w:themeColor="text1"/>
                <w:sz w:val="16"/>
                <w:szCs w:val="16"/>
              </w:rPr>
            </w:pPr>
            <w:r w:rsidRPr="00640820">
              <w:rPr>
                <w:rFonts w:ascii="Times New Roman" w:hAnsi="Times New Roman"/>
                <w:color w:val="000000" w:themeColor="text1"/>
                <w:sz w:val="16"/>
                <w:szCs w:val="16"/>
              </w:rPr>
              <w:t>Электромашины РДС - 750, РУН - 45, РНУ-120, РУК - 300</w:t>
            </w:r>
          </w:p>
        </w:tc>
      </w:tr>
      <w:tr w:rsidR="00643896" w:rsidRPr="00640820" w14:paraId="1F5A9F6D" w14:textId="77777777" w:rsidTr="000D3BCB">
        <w:tc>
          <w:tcPr>
            <w:tcW w:w="534" w:type="dxa"/>
            <w:tcBorders>
              <w:bottom w:val="single" w:sz="12" w:space="0" w:color="auto"/>
            </w:tcBorders>
          </w:tcPr>
          <w:p w14:paraId="61CB473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tc>
        <w:tc>
          <w:tcPr>
            <w:tcW w:w="2669" w:type="dxa"/>
            <w:tcBorders>
              <w:bottom w:val="single" w:sz="12" w:space="0" w:color="auto"/>
            </w:tcBorders>
          </w:tcPr>
          <w:p w14:paraId="4E77C9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«Инструмент» Завод "Фрезер"</w:t>
            </w:r>
          </w:p>
        </w:tc>
        <w:tc>
          <w:tcPr>
            <w:tcW w:w="2669" w:type="dxa"/>
            <w:tcBorders>
              <w:bottom w:val="single" w:sz="12" w:space="0" w:color="auto"/>
            </w:tcBorders>
          </w:tcPr>
          <w:p w14:paraId="6479CF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 г . ноябрь, г. Москва</w:t>
            </w:r>
          </w:p>
        </w:tc>
        <w:tc>
          <w:tcPr>
            <w:tcW w:w="2669" w:type="dxa"/>
            <w:tcBorders>
              <w:bottom w:val="single" w:sz="12" w:space="0" w:color="auto"/>
            </w:tcBorders>
          </w:tcPr>
          <w:p w14:paraId="3020DE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Территория воинской части (завод режущих инструментов)</w:t>
            </w:r>
          </w:p>
        </w:tc>
        <w:tc>
          <w:tcPr>
            <w:tcW w:w="2669" w:type="dxa"/>
            <w:tcBorders>
              <w:bottom w:val="single" w:sz="12" w:space="0" w:color="auto"/>
            </w:tcBorders>
          </w:tcPr>
          <w:p w14:paraId="780CD5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Режущие инструменты, сверла диаметром 0.25-0.5 мм для форсунок двигателей</w:t>
            </w:r>
          </w:p>
        </w:tc>
      </w:tr>
    </w:tbl>
    <w:p w14:paraId="72A2D3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(11858).</w:t>
      </w:r>
    </w:p>
    <w:p w14:paraId="6B89FA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758B084" w14:textId="77777777" w:rsidR="00095326" w:rsidRPr="00640820" w:rsidRDefault="00095326" w:rsidP="00640820">
      <w:pPr>
        <w:spacing w:after="0" w:line="240" w:lineRule="auto"/>
        <w:jc w:val="both"/>
        <w:rPr>
          <w:rFonts w:ascii="Times New Roman" w:eastAsia="Times New Roman" w:hAnsi="Times New Roman"/>
          <w:bCs/>
          <w:color w:val="000000" w:themeColor="text1"/>
          <w:sz w:val="16"/>
          <w:szCs w:val="16"/>
          <w:lang w:eastAsia="ru-RU"/>
        </w:rPr>
      </w:pPr>
      <w:r w:rsidRPr="00640820">
        <w:rPr>
          <w:rFonts w:ascii="Times New Roman" w:eastAsia="Times New Roman" w:hAnsi="Times New Roman"/>
          <w:bCs/>
          <w:color w:val="000000" w:themeColor="text1"/>
          <w:sz w:val="16"/>
          <w:szCs w:val="16"/>
          <w:lang w:eastAsia="ru-RU"/>
        </w:rPr>
        <w:t>В конце 1941 был подготовлен:</w:t>
      </w:r>
    </w:p>
    <w:p w14:paraId="1078831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bCs/>
          <w:color w:val="000000" w:themeColor="text1"/>
          <w:sz w:val="16"/>
          <w:szCs w:val="16"/>
          <w:lang w:eastAsia="ru-RU"/>
        </w:rPr>
        <w:t xml:space="preserve">Список предприятий, учреждений и учебных заведений, </w:t>
      </w:r>
      <w:bookmarkStart w:id="32" w:name="YANDEX_38"/>
      <w:bookmarkEnd w:id="32"/>
      <w:r w:rsidRPr="00640820">
        <w:rPr>
          <w:rFonts w:ascii="Times New Roman" w:eastAsia="Times New Roman" w:hAnsi="Times New Roman"/>
          <w:bCs/>
          <w:color w:val="000000" w:themeColor="text1"/>
          <w:sz w:val="16"/>
          <w:szCs w:val="16"/>
          <w:lang w:eastAsia="ru-RU"/>
        </w:rPr>
        <w:t xml:space="preserve"> эвакуированных  в Северо-Казахстанскую область в августе-декабре </w:t>
      </w:r>
      <w:bookmarkStart w:id="33" w:name="YANDEX_39"/>
      <w:bookmarkEnd w:id="33"/>
      <w:r w:rsidRPr="00640820">
        <w:rPr>
          <w:rFonts w:ascii="Times New Roman" w:eastAsia="Times New Roman" w:hAnsi="Times New Roman"/>
          <w:bCs/>
          <w:color w:val="000000" w:themeColor="text1"/>
          <w:sz w:val="16"/>
          <w:szCs w:val="16"/>
          <w:lang w:eastAsia="ru-RU"/>
        </w:rPr>
        <w:t> 1941  года [</w:t>
      </w:r>
      <w:r w:rsidRPr="00640820">
        <w:rPr>
          <w:rFonts w:ascii="Times New Roman" w:eastAsia="Times New Roman" w:hAnsi="Times New Roman"/>
          <w:color w:val="000000" w:themeColor="text1"/>
          <w:sz w:val="16"/>
          <w:szCs w:val="16"/>
          <w:lang w:eastAsia="ru-RU"/>
        </w:rPr>
        <w:t>ГАСКО ф.1189, оп.1, д.1040, л.82-83</w:t>
      </w:r>
      <w:r w:rsidRPr="00640820">
        <w:rPr>
          <w:rFonts w:ascii="Times New Roman" w:eastAsia="Times New Roman" w:hAnsi="Times New Roman"/>
          <w:bCs/>
          <w:color w:val="000000" w:themeColor="text1"/>
          <w:sz w:val="16"/>
          <w:szCs w:val="16"/>
          <w:lang w:eastAsia="ru-RU"/>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17"/>
        <w:gridCol w:w="2979"/>
        <w:gridCol w:w="2348"/>
        <w:gridCol w:w="3412"/>
        <w:gridCol w:w="924"/>
        <w:gridCol w:w="1348"/>
      </w:tblGrid>
      <w:tr w:rsidR="00643896" w:rsidRPr="00640820" w14:paraId="292C0C0F" w14:textId="77777777" w:rsidTr="002B4573">
        <w:tc>
          <w:tcPr>
            <w:tcW w:w="0" w:type="auto"/>
            <w:shd w:val="clear" w:color="auto" w:fill="auto"/>
            <w:vAlign w:val="center"/>
            <w:hideMark/>
          </w:tcPr>
          <w:p w14:paraId="7A4A83C3"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bCs/>
                <w:color w:val="000000" w:themeColor="text1"/>
                <w:sz w:val="16"/>
                <w:szCs w:val="16"/>
                <w:lang w:eastAsia="ru-RU"/>
              </w:rPr>
              <w:t>№ п/п</w:t>
            </w:r>
          </w:p>
        </w:tc>
        <w:tc>
          <w:tcPr>
            <w:tcW w:w="0" w:type="auto"/>
            <w:shd w:val="clear" w:color="auto" w:fill="auto"/>
            <w:vAlign w:val="center"/>
            <w:hideMark/>
          </w:tcPr>
          <w:p w14:paraId="17ADD1B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bCs/>
                <w:color w:val="000000" w:themeColor="text1"/>
                <w:sz w:val="16"/>
                <w:szCs w:val="16"/>
                <w:lang w:eastAsia="ru-RU"/>
              </w:rPr>
              <w:t>Наименование предприятия</w:t>
            </w:r>
          </w:p>
        </w:tc>
        <w:tc>
          <w:tcPr>
            <w:tcW w:w="0" w:type="auto"/>
            <w:shd w:val="clear" w:color="auto" w:fill="auto"/>
            <w:vAlign w:val="center"/>
            <w:hideMark/>
          </w:tcPr>
          <w:p w14:paraId="025244E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bCs/>
                <w:color w:val="000000" w:themeColor="text1"/>
                <w:sz w:val="16"/>
                <w:szCs w:val="16"/>
                <w:lang w:eastAsia="ru-RU"/>
              </w:rPr>
              <w:t>Наименова-ние наркомата</w:t>
            </w:r>
          </w:p>
        </w:tc>
        <w:tc>
          <w:tcPr>
            <w:tcW w:w="0" w:type="auto"/>
            <w:shd w:val="clear" w:color="auto" w:fill="auto"/>
            <w:vAlign w:val="center"/>
            <w:hideMark/>
          </w:tcPr>
          <w:p w14:paraId="2929FDF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bCs/>
                <w:color w:val="000000" w:themeColor="text1"/>
                <w:sz w:val="16"/>
                <w:szCs w:val="16"/>
                <w:lang w:eastAsia="ru-RU"/>
              </w:rPr>
              <w:t>Дата прибытия, пункт отправки (примеча-ние)</w:t>
            </w:r>
          </w:p>
        </w:tc>
        <w:tc>
          <w:tcPr>
            <w:tcW w:w="0" w:type="auto"/>
            <w:shd w:val="clear" w:color="auto" w:fill="auto"/>
            <w:vAlign w:val="center"/>
            <w:hideMark/>
          </w:tcPr>
          <w:p w14:paraId="4B01322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bCs/>
                <w:color w:val="000000" w:themeColor="text1"/>
                <w:sz w:val="16"/>
                <w:szCs w:val="16"/>
                <w:lang w:eastAsia="ru-RU"/>
              </w:rPr>
              <w:t>Количест-во</w:t>
            </w:r>
          </w:p>
          <w:p w14:paraId="07EE7E0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bCs/>
                <w:color w:val="000000" w:themeColor="text1"/>
                <w:sz w:val="16"/>
                <w:szCs w:val="16"/>
                <w:lang w:eastAsia="ru-RU"/>
              </w:rPr>
              <w:t>прибыв-ших</w:t>
            </w:r>
          </w:p>
        </w:tc>
        <w:tc>
          <w:tcPr>
            <w:tcW w:w="0" w:type="auto"/>
            <w:shd w:val="clear" w:color="auto" w:fill="auto"/>
            <w:vAlign w:val="center"/>
            <w:hideMark/>
          </w:tcPr>
          <w:p w14:paraId="6364B2C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bCs/>
                <w:color w:val="000000" w:themeColor="text1"/>
                <w:sz w:val="16"/>
                <w:szCs w:val="16"/>
                <w:lang w:eastAsia="ru-RU"/>
              </w:rPr>
              <w:t>Место расположе-ния</w:t>
            </w:r>
          </w:p>
        </w:tc>
      </w:tr>
      <w:tr w:rsidR="00643896" w:rsidRPr="00640820" w14:paraId="1F5C0FB2" w14:textId="77777777" w:rsidTr="002B4573">
        <w:tc>
          <w:tcPr>
            <w:tcW w:w="0" w:type="auto"/>
            <w:shd w:val="clear" w:color="auto" w:fill="auto"/>
            <w:vAlign w:val="center"/>
            <w:hideMark/>
          </w:tcPr>
          <w:p w14:paraId="19D76E0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w:t>
            </w:r>
          </w:p>
        </w:tc>
        <w:tc>
          <w:tcPr>
            <w:tcW w:w="0" w:type="auto"/>
            <w:shd w:val="clear" w:color="auto" w:fill="auto"/>
            <w:vAlign w:val="center"/>
            <w:hideMark/>
          </w:tcPr>
          <w:p w14:paraId="78A4961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Завод №460</w:t>
            </w:r>
          </w:p>
          <w:p w14:paraId="5D1F2694"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 В последующем завод </w:t>
            </w:r>
          </w:p>
          <w:p w14:paraId="0F17F26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621</w:t>
            </w:r>
          </w:p>
        </w:tc>
        <w:tc>
          <w:tcPr>
            <w:tcW w:w="0" w:type="auto"/>
            <w:shd w:val="clear" w:color="auto" w:fill="auto"/>
            <w:vAlign w:val="center"/>
            <w:hideMark/>
          </w:tcPr>
          <w:p w14:paraId="24BA3B5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НК Вооружения СССР</w:t>
            </w:r>
          </w:p>
        </w:tc>
        <w:tc>
          <w:tcPr>
            <w:tcW w:w="0" w:type="auto"/>
            <w:shd w:val="clear" w:color="auto" w:fill="auto"/>
            <w:vAlign w:val="center"/>
            <w:hideMark/>
          </w:tcPr>
          <w:p w14:paraId="1782889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19.11.41,</w:t>
            </w:r>
          </w:p>
          <w:p w14:paraId="05BECD7E"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из г. Подольск, Московской области.</w:t>
            </w:r>
          </w:p>
        </w:tc>
        <w:tc>
          <w:tcPr>
            <w:tcW w:w="0" w:type="auto"/>
            <w:shd w:val="clear" w:color="auto" w:fill="auto"/>
            <w:vAlign w:val="center"/>
            <w:hideMark/>
          </w:tcPr>
          <w:p w14:paraId="03DE1CF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655</w:t>
            </w:r>
          </w:p>
        </w:tc>
        <w:tc>
          <w:tcPr>
            <w:tcW w:w="0" w:type="auto"/>
            <w:shd w:val="clear" w:color="auto" w:fill="auto"/>
            <w:vAlign w:val="center"/>
            <w:hideMark/>
          </w:tcPr>
          <w:p w14:paraId="7B08E59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 Кокшетау</w:t>
            </w:r>
          </w:p>
        </w:tc>
      </w:tr>
      <w:tr w:rsidR="00643896" w:rsidRPr="00640820" w14:paraId="661E9742" w14:textId="77777777" w:rsidTr="002B4573">
        <w:tc>
          <w:tcPr>
            <w:tcW w:w="0" w:type="auto"/>
            <w:shd w:val="clear" w:color="auto" w:fill="auto"/>
            <w:vAlign w:val="center"/>
            <w:hideMark/>
          </w:tcPr>
          <w:p w14:paraId="29D2EAA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w:t>
            </w:r>
          </w:p>
        </w:tc>
        <w:tc>
          <w:tcPr>
            <w:tcW w:w="0" w:type="auto"/>
            <w:shd w:val="clear" w:color="auto" w:fill="auto"/>
            <w:vAlign w:val="center"/>
            <w:hideMark/>
          </w:tcPr>
          <w:p w14:paraId="1B81752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Артиллерийский арсенал №4</w:t>
            </w:r>
          </w:p>
        </w:tc>
        <w:tc>
          <w:tcPr>
            <w:tcW w:w="0" w:type="auto"/>
            <w:shd w:val="clear" w:color="auto" w:fill="auto"/>
            <w:vAlign w:val="center"/>
            <w:hideMark/>
          </w:tcPr>
          <w:p w14:paraId="5077C9C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НК обороны СССР</w:t>
            </w:r>
          </w:p>
        </w:tc>
        <w:tc>
          <w:tcPr>
            <w:tcW w:w="0" w:type="auto"/>
            <w:shd w:val="clear" w:color="auto" w:fill="auto"/>
            <w:vAlign w:val="center"/>
            <w:hideMark/>
          </w:tcPr>
          <w:p w14:paraId="1E85DAF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23.10.41, из г. Москва</w:t>
            </w:r>
          </w:p>
        </w:tc>
        <w:tc>
          <w:tcPr>
            <w:tcW w:w="0" w:type="auto"/>
            <w:shd w:val="clear" w:color="auto" w:fill="auto"/>
            <w:vAlign w:val="center"/>
            <w:hideMark/>
          </w:tcPr>
          <w:p w14:paraId="102E54F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нет сведений</w:t>
            </w:r>
          </w:p>
        </w:tc>
        <w:tc>
          <w:tcPr>
            <w:tcW w:w="0" w:type="auto"/>
            <w:shd w:val="clear" w:color="auto" w:fill="auto"/>
            <w:vAlign w:val="center"/>
            <w:hideMark/>
          </w:tcPr>
          <w:p w14:paraId="5C7DEDF4"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 Петропав-ловск</w:t>
            </w:r>
          </w:p>
        </w:tc>
      </w:tr>
      <w:tr w:rsidR="00643896" w:rsidRPr="00640820" w14:paraId="7DAE3F31" w14:textId="77777777" w:rsidTr="002B4573">
        <w:tc>
          <w:tcPr>
            <w:tcW w:w="0" w:type="auto"/>
            <w:tcBorders>
              <w:bottom w:val="single" w:sz="4" w:space="0" w:color="auto"/>
            </w:tcBorders>
            <w:shd w:val="clear" w:color="auto" w:fill="auto"/>
            <w:vAlign w:val="center"/>
            <w:hideMark/>
          </w:tcPr>
          <w:p w14:paraId="3E9DB53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3</w:t>
            </w:r>
          </w:p>
        </w:tc>
        <w:tc>
          <w:tcPr>
            <w:tcW w:w="0" w:type="auto"/>
            <w:tcBorders>
              <w:bottom w:val="single" w:sz="4" w:space="0" w:color="auto"/>
            </w:tcBorders>
            <w:shd w:val="clear" w:color="auto" w:fill="auto"/>
            <w:vAlign w:val="center"/>
            <w:hideMark/>
          </w:tcPr>
          <w:p w14:paraId="433DCA9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Научно-исследовательская лаборатория артиллерийского приборостроения РККА</w:t>
            </w:r>
          </w:p>
        </w:tc>
        <w:tc>
          <w:tcPr>
            <w:tcW w:w="0" w:type="auto"/>
            <w:tcBorders>
              <w:bottom w:val="single" w:sz="4" w:space="0" w:color="auto"/>
            </w:tcBorders>
            <w:shd w:val="clear" w:color="auto" w:fill="auto"/>
            <w:vAlign w:val="center"/>
            <w:hideMark/>
          </w:tcPr>
          <w:p w14:paraId="34919A8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НК обороны СССР</w:t>
            </w:r>
          </w:p>
        </w:tc>
        <w:tc>
          <w:tcPr>
            <w:tcW w:w="0" w:type="auto"/>
            <w:tcBorders>
              <w:bottom w:val="single" w:sz="4" w:space="0" w:color="auto"/>
            </w:tcBorders>
            <w:shd w:val="clear" w:color="auto" w:fill="auto"/>
            <w:vAlign w:val="center"/>
            <w:hideMark/>
          </w:tcPr>
          <w:p w14:paraId="50E23C8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17.11.41, откуда – нет данных</w:t>
            </w:r>
          </w:p>
        </w:tc>
        <w:tc>
          <w:tcPr>
            <w:tcW w:w="0" w:type="auto"/>
            <w:tcBorders>
              <w:bottom w:val="single" w:sz="4" w:space="0" w:color="auto"/>
            </w:tcBorders>
            <w:shd w:val="clear" w:color="auto" w:fill="auto"/>
            <w:vAlign w:val="center"/>
            <w:hideMark/>
          </w:tcPr>
          <w:p w14:paraId="1239012E"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нет сведений</w:t>
            </w:r>
          </w:p>
        </w:tc>
        <w:tc>
          <w:tcPr>
            <w:tcW w:w="0" w:type="auto"/>
            <w:tcBorders>
              <w:bottom w:val="single" w:sz="4" w:space="0" w:color="auto"/>
            </w:tcBorders>
            <w:shd w:val="clear" w:color="auto" w:fill="auto"/>
            <w:vAlign w:val="center"/>
            <w:hideMark/>
          </w:tcPr>
          <w:p w14:paraId="2FEEF80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 Петропав-ловск</w:t>
            </w:r>
          </w:p>
        </w:tc>
      </w:tr>
      <w:tr w:rsidR="00643896" w:rsidRPr="00640820" w14:paraId="2613D6EA" w14:textId="77777777" w:rsidTr="002B457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20BB376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49496D5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Завод №239</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20F3A2C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НК судостроительной промышленности СССР</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3DB88AC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14.08.41, из г. Москва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6BB0D00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768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79289CC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 Петропав-ловск</w:t>
            </w:r>
          </w:p>
        </w:tc>
      </w:tr>
      <w:tr w:rsidR="00643896" w:rsidRPr="00640820" w14:paraId="0B68903E" w14:textId="77777777" w:rsidTr="002B457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6228874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47DA987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Завод №347 им. В.М. Молотова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2817053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НК судостроительной промышленности СССР</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1630B50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15.11.41, из г. Таганрог, Ростовской области</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659C918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695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42888BD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 Петропав-ловск</w:t>
            </w:r>
          </w:p>
        </w:tc>
      </w:tr>
      <w:tr w:rsidR="00643896" w:rsidRPr="00640820" w14:paraId="54A1DC40" w14:textId="77777777" w:rsidTr="002B457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457260A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4FF2E77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Завод №3</w:t>
            </w:r>
          </w:p>
          <w:p w14:paraId="34A6C9A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  составе завода № 641)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7D92C41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НК судостроительной промышленности СССР</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0279779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28.11.41, из г. Александров. Ивановской обл.</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08ED3EB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нет сведений</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108B8CB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 Петропав-ловск</w:t>
            </w:r>
          </w:p>
        </w:tc>
      </w:tr>
      <w:tr w:rsidR="00643896" w:rsidRPr="00640820" w14:paraId="759895FB" w14:textId="77777777" w:rsidTr="002B457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608B726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60B0D83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Завод №233 </w:t>
            </w:r>
          </w:p>
          <w:p w14:paraId="7B62DCE3"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Выбыл  в г. Сталинск в июне 1942 года.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1AC0F1C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НК судостроительной промышленности СССР</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7708C00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28.11.41, откуда – нет данных. (производственные площади были заняты заводом № 641)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25BAB63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162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06EE0DE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 Петропав-ловск</w:t>
            </w:r>
          </w:p>
        </w:tc>
      </w:tr>
      <w:tr w:rsidR="00643896" w:rsidRPr="00640820" w14:paraId="583B9894" w14:textId="77777777" w:rsidTr="002B457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79BEC56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26A8E18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7-й Харьковский госкожзавод «Большевик»</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37E1E14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НК легкой промышленности Укр. ССР</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6F8C085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19.10.41, из г. Харьков Укр. ССР</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6A29614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нет сведений</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5086A38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 Петропав-ловск</w:t>
            </w:r>
          </w:p>
        </w:tc>
      </w:tr>
      <w:tr w:rsidR="00643896" w:rsidRPr="00640820" w14:paraId="16A810E0" w14:textId="77777777" w:rsidTr="002B457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0159444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9</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589C26F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Завод №641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798F91C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НК электропромышленности СССР</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13D909A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Ноябрь 1941, из г. Александров,  Ивановской области</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08548E6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943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2EE808D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 Петропав-ловск</w:t>
            </w:r>
          </w:p>
        </w:tc>
      </w:tr>
      <w:tr w:rsidR="00643896" w:rsidRPr="00640820" w14:paraId="7F960EB9" w14:textId="77777777" w:rsidTr="002B457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489C2303"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28F8086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Завод малолитражных двигателей</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4E680B5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НК среднего машиностроения СССР</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08892A2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Декабрь 1941 года, из г. Москва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11240B6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нет сведений</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2ED6C02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 Петропав-ловск</w:t>
            </w:r>
          </w:p>
        </w:tc>
      </w:tr>
      <w:tr w:rsidR="00643896" w:rsidRPr="00640820" w14:paraId="59BA655D" w14:textId="77777777" w:rsidTr="002B457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3ABFD3C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6C2B7963"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Завод № 675 (ЗЭИМ)</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5ADCC8D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НК электротехнической промышленности СССР</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6311E64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Ноябрь 1941, из г. Москва и г. Хотьково Московской области</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40BCFE0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92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2D6A152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 Петропав-ловск</w:t>
            </w:r>
          </w:p>
        </w:tc>
      </w:tr>
      <w:tr w:rsidR="00643896" w:rsidRPr="00640820" w14:paraId="7CE254E3" w14:textId="77777777" w:rsidTr="002B457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5ECF85B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5A498AA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Махорочная фабрика</w:t>
            </w:r>
          </w:p>
          <w:p w14:paraId="52592C5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«Кременчуг»</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4205FEB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НК пищевой промышленности СССР</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7B0A4DEE"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Ноябрь 1941 года. Оборудование из разных мест</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555CA94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нет сведений</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5ED718E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 Петропав-ловск</w:t>
            </w:r>
          </w:p>
        </w:tc>
      </w:tr>
      <w:tr w:rsidR="00643896" w:rsidRPr="00640820" w14:paraId="79DA24EA" w14:textId="77777777" w:rsidTr="002B457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11DF90EA"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48C70BA4"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Селищенская школа авиамехаников</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171679F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НК обороны СССР</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54525F2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Прибыла 29 августа 1941 года  в состав частей САВО </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77188A1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нет сведений</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0376A66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 Петропав-ловск</w:t>
            </w:r>
          </w:p>
        </w:tc>
      </w:tr>
      <w:tr w:rsidR="00643896" w:rsidRPr="00640820" w14:paraId="111B2B2B" w14:textId="77777777" w:rsidTr="002B457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40C7160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30A3D48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Центральная школа  слепых (из Курска)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181DAA78"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НК просвещения РСФСР</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45218C7E"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Октябрь 1941 года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3317A1E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110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2CAA01FE"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 Петропав-ловск</w:t>
            </w:r>
          </w:p>
        </w:tc>
      </w:tr>
      <w:tr w:rsidR="00643896" w:rsidRPr="00640820" w14:paraId="01C80179" w14:textId="77777777" w:rsidTr="002B457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5A53C57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5ACA826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Московский ветеринарный институт</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25FA6B8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нет сведений</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12FC3BBE"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 Петропав-ловск</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718C9AB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3A19907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p>
        </w:tc>
      </w:tr>
      <w:tr w:rsidR="00643896" w:rsidRPr="00640820" w14:paraId="76E96B92" w14:textId="77777777" w:rsidTr="002B457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70ED231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5467588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Московский землеустроительный институт</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1BBB647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нет сведений</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7F092E7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 Петропав-ловск</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1E49AA1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0B0FC446"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p>
        </w:tc>
      </w:tr>
      <w:tr w:rsidR="00643896" w:rsidRPr="00640820" w14:paraId="24B344DF" w14:textId="77777777" w:rsidTr="002B457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73D0BE7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17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2A26DF6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Криворожское железнодорожное училище</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30543620"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Октябрь 1941 года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29AD31B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328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7458BC8D"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г. Петропав-ловск</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0B46583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p>
        </w:tc>
      </w:tr>
      <w:tr w:rsidR="00643896" w:rsidRPr="00640820" w14:paraId="2F22EF15" w14:textId="77777777" w:rsidTr="002B457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0C65E167"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lastRenderedPageBreak/>
              <w:t>18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3B84DD59"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Харьковский детский дом</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732C6A42"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НК просвещения Укр. ССР </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09F55865"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Октябрь </w:t>
            </w:r>
            <w:bookmarkStart w:id="34" w:name="YANDEX_40"/>
            <w:bookmarkEnd w:id="34"/>
            <w:r w:rsidRPr="00640820">
              <w:rPr>
                <w:rFonts w:ascii="Times New Roman" w:eastAsia="Times New Roman" w:hAnsi="Times New Roman"/>
                <w:color w:val="000000" w:themeColor="text1"/>
                <w:sz w:val="16"/>
                <w:szCs w:val="16"/>
                <w:lang w:eastAsia="ru-RU"/>
              </w:rPr>
              <w:t> 1941  года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244CDC41"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260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33AA80FB"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Ленинский район, ст. Кара-Агаш</w:t>
            </w:r>
          </w:p>
        </w:tc>
      </w:tr>
    </w:tbl>
    <w:p w14:paraId="6A3AC08F"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r w:rsidRPr="00640820">
        <w:rPr>
          <w:rFonts w:ascii="Times New Roman" w:eastAsia="Times New Roman" w:hAnsi="Times New Roman"/>
          <w:color w:val="000000" w:themeColor="text1"/>
          <w:sz w:val="16"/>
          <w:szCs w:val="16"/>
          <w:lang w:eastAsia="ru-RU"/>
        </w:rPr>
        <w:t xml:space="preserve">После эвакуации </w:t>
      </w:r>
      <w:bookmarkStart w:id="35" w:name="YANDEX_41"/>
      <w:bookmarkEnd w:id="35"/>
      <w:r w:rsidRPr="00640820">
        <w:rPr>
          <w:rFonts w:ascii="Times New Roman" w:eastAsia="Times New Roman" w:hAnsi="Times New Roman"/>
          <w:color w:val="000000" w:themeColor="text1"/>
          <w:sz w:val="16"/>
          <w:szCs w:val="16"/>
          <w:lang w:eastAsia="ru-RU"/>
        </w:rPr>
        <w:t xml:space="preserve"> в  </w:t>
      </w:r>
      <w:bookmarkStart w:id="36" w:name="YANDEX_42"/>
      <w:bookmarkEnd w:id="36"/>
      <w:r w:rsidRPr="00640820">
        <w:rPr>
          <w:rFonts w:ascii="Times New Roman" w:eastAsia="Times New Roman" w:hAnsi="Times New Roman"/>
          <w:color w:val="000000" w:themeColor="text1"/>
          <w:sz w:val="16"/>
          <w:szCs w:val="16"/>
          <w:lang w:eastAsia="ru-RU"/>
        </w:rPr>
        <w:t> Петропавловск  имело место образование одного завода из нескольких: так завод №239 был создан на базе московского завода и частично заводов №182, №375 и №215. Завод №675 создан на базе производственного оборудования Московского электроизоляционного завода (МЭИЗ), Хотьковского завода электроизоляционных материалов (ЗЭИМ) и части московского завода «Изолит». Завод №347 создан на базе завода Наркомата судостроительной промышленности из г. Таганрога Ростовской области и части завода №182 из г. Махачкалы (17487).</w:t>
      </w:r>
    </w:p>
    <w:p w14:paraId="6AFA162C" w14:textId="77777777" w:rsidR="00095326" w:rsidRPr="00640820" w:rsidRDefault="00095326" w:rsidP="00640820">
      <w:pPr>
        <w:spacing w:after="0" w:line="240" w:lineRule="auto"/>
        <w:jc w:val="both"/>
        <w:rPr>
          <w:rFonts w:ascii="Times New Roman" w:eastAsia="Times New Roman" w:hAnsi="Times New Roman"/>
          <w:color w:val="000000" w:themeColor="text1"/>
          <w:sz w:val="16"/>
          <w:szCs w:val="16"/>
          <w:lang w:eastAsia="ru-RU"/>
        </w:rPr>
      </w:pPr>
    </w:p>
    <w:p w14:paraId="173189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на вооружение приняли одноантенную РЛС (384,220).</w:t>
      </w:r>
    </w:p>
    <w:p w14:paraId="626A37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FE519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завод № 351 НКЭП (Завод № 351 НКОП, НКСП, НКЭП, «Елецэлементстрой» НКОП, п/я 13, Елецкий элементный завод, п/я 113, ОАО «Энергия» /г. Елец Липецкой обл.;  г. Верхний Уфалей Челябинской обл./ /399775  г. Елец Липецкой обл. пос. Электрик, 1/) был эвакуирован в  г. Верхний Уфалей, где действовал по 1944 г., затем реэвакуирован на прежнее место.</w:t>
      </w:r>
    </w:p>
    <w:p w14:paraId="33054B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28.10.1944 г. вышло постановление ГКО № 6814 об увеличении производства гальванических батарей и элементов для радиоузлов и войсковых радиостанций на заводе.</w:t>
      </w:r>
    </w:p>
    <w:p w14:paraId="6D2451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Имел открытые наименования «п/я 13» (1952 г.-), затем «п/я 113» (1964-65 г.). Далее - Елецкий элементный завод.</w:t>
      </w:r>
    </w:p>
    <w:p w14:paraId="2555B7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w:t>
      </w:r>
      <w:r w:rsidRPr="00640820">
        <w:rPr>
          <w:rFonts w:ascii="Times New Roman" w:hAnsi="Times New Roman"/>
          <w:iCs/>
          <w:color w:val="000000" w:themeColor="text1"/>
          <w:sz w:val="16"/>
          <w:szCs w:val="16"/>
        </w:rPr>
        <w:t xml:space="preserve"> Я.К.</w:t>
      </w:r>
      <w:r w:rsidRPr="00640820">
        <w:rPr>
          <w:rFonts w:ascii="Times New Roman" w:hAnsi="Times New Roman"/>
          <w:color w:val="000000" w:themeColor="text1"/>
          <w:sz w:val="16"/>
          <w:szCs w:val="16"/>
        </w:rPr>
        <w:t xml:space="preserve"> Проскурин, Шагиян. Гендиректор (1985-2007 г.-)- В.А. Архипенко.</w:t>
      </w:r>
    </w:p>
    <w:p w14:paraId="64685E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строительства (-14.07.1937 г.)- И. Г. Симхович, (14.07.1937-11.04.1938 г.)- К.П(Н). Нагог, (4.10.1938 г.-)- И.С. Кузовов.</w:t>
      </w:r>
      <w:r w:rsidRPr="00640820">
        <w:rPr>
          <w:rFonts w:ascii="Times New Roman" w:hAnsi="Times New Roman"/>
          <w:color w:val="000000" w:themeColor="text1"/>
          <w:sz w:val="16"/>
          <w:szCs w:val="16"/>
          <w:vertAlign w:val="superscript"/>
        </w:rPr>
        <w:t>139</w:t>
      </w:r>
    </w:p>
    <w:p w14:paraId="12EED3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(2007 г.)- М.В. Каменцев (11982).</w:t>
      </w:r>
    </w:p>
    <w:p w14:paraId="6F4131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30E17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на правый берег Боль</w:t>
      </w:r>
      <w:r w:rsidRPr="00640820">
        <w:rPr>
          <w:rFonts w:ascii="Times New Roman" w:hAnsi="Times New Roman"/>
          <w:color w:val="000000" w:themeColor="text1"/>
          <w:sz w:val="16"/>
          <w:szCs w:val="16"/>
        </w:rPr>
        <w:softHyphen/>
        <w:t>шой Невки (Выборгский район) на территории одного из эва</w:t>
      </w:r>
      <w:r w:rsidRPr="00640820">
        <w:rPr>
          <w:rFonts w:ascii="Times New Roman" w:hAnsi="Times New Roman"/>
          <w:color w:val="000000" w:themeColor="text1"/>
          <w:sz w:val="16"/>
          <w:szCs w:val="16"/>
        </w:rPr>
        <w:softHyphen/>
        <w:t>куированных предприятий по решению Во</w:t>
      </w:r>
      <w:r w:rsidRPr="00640820">
        <w:rPr>
          <w:rFonts w:ascii="Times New Roman" w:hAnsi="Times New Roman"/>
          <w:color w:val="000000" w:themeColor="text1"/>
          <w:sz w:val="16"/>
          <w:szCs w:val="16"/>
        </w:rPr>
        <w:softHyphen/>
        <w:t>енного совета фронта от 17 сентября была перебазирована часть производственных мощностей завода 190, территория которого оказалась в непосредственной близости от зоны боевых действий и простреливалась противником. На новой территории в 1942 г. функционировали механические цехи, а осенью того же года перебрались корпусной цех с котельным участком, монтажный, трубомедницкий, деревоотделочный и такелажно-парусный цехи. К осени 1943 г. на стапелях верфи уже были собраны три тральщика-"стотонника", спуск которьхх на воду был осуществлен с помощью плавучего крана. Временная верфь просуществовала до 1944 г., когда началось ее постепенное перебазирование на основную пло</w:t>
      </w:r>
      <w:r w:rsidRPr="00640820">
        <w:rPr>
          <w:rFonts w:ascii="Times New Roman" w:hAnsi="Times New Roman"/>
          <w:color w:val="000000" w:themeColor="text1"/>
          <w:sz w:val="16"/>
          <w:szCs w:val="16"/>
        </w:rPr>
        <w:softHyphen/>
        <w:t>щадку (3898).</w:t>
      </w:r>
    </w:p>
    <w:p w14:paraId="3EAEBE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0D9D9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при организации НКМВ на базе «Гипрообщмаша» был организован Институт по проектированию заводов минометного вооружения (ИМВ-1).</w:t>
      </w:r>
    </w:p>
    <w:p w14:paraId="5072F0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НКМВ № 224с от 23.06.1942г. разрабатывался проект реконструкции завода № 806 НКМВ для организации с 1.10.1942г. производства минометов образца 1937г.</w:t>
      </w:r>
    </w:p>
    <w:p w14:paraId="647CD8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Управляющий (06.1942г.)- Куликов (11982).</w:t>
      </w:r>
    </w:p>
    <w:p w14:paraId="24862050" w14:textId="77777777" w:rsidR="00897CA4" w:rsidRPr="00640820" w:rsidRDefault="00897CA4"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8926871"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33BD868D"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8DF9E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большая потребность действующей армии в штурмовиках Ил-2 вынуждали советское командование направлять штурмовые авиаполки на фронт непол</w:t>
      </w:r>
      <w:r w:rsidRPr="00640820">
        <w:rPr>
          <w:rFonts w:ascii="Times New Roman" w:hAnsi="Times New Roman"/>
          <w:color w:val="000000" w:themeColor="text1"/>
          <w:sz w:val="16"/>
          <w:szCs w:val="16"/>
        </w:rPr>
        <w:softHyphen/>
        <w:t>ностью обученными и укомплектованны</w:t>
      </w:r>
      <w:r w:rsidRPr="00640820">
        <w:rPr>
          <w:rFonts w:ascii="Times New Roman" w:hAnsi="Times New Roman"/>
          <w:color w:val="000000" w:themeColor="text1"/>
          <w:sz w:val="16"/>
          <w:szCs w:val="16"/>
        </w:rPr>
        <w:softHyphen/>
        <w:t>ми личным составом. Летать в строю толком не учили, бом</w:t>
      </w:r>
      <w:r w:rsidRPr="00640820">
        <w:rPr>
          <w:rFonts w:ascii="Times New Roman" w:hAnsi="Times New Roman"/>
          <w:color w:val="000000" w:themeColor="text1"/>
          <w:sz w:val="16"/>
          <w:szCs w:val="16"/>
        </w:rPr>
        <w:softHyphen/>
        <w:t>бометание и стрельбу давали ограни</w:t>
      </w:r>
      <w:r w:rsidRPr="00640820">
        <w:rPr>
          <w:rFonts w:ascii="Times New Roman" w:hAnsi="Times New Roman"/>
          <w:color w:val="000000" w:themeColor="text1"/>
          <w:sz w:val="16"/>
          <w:szCs w:val="16"/>
        </w:rPr>
        <w:softHyphen/>
        <w:t>ченно и т.д. Средний налет при подго</w:t>
      </w:r>
      <w:r w:rsidRPr="00640820">
        <w:rPr>
          <w:rFonts w:ascii="Times New Roman" w:hAnsi="Times New Roman"/>
          <w:color w:val="000000" w:themeColor="text1"/>
          <w:sz w:val="16"/>
          <w:szCs w:val="16"/>
        </w:rPr>
        <w:softHyphen/>
        <w:t>товке одного летчика-штурмовика на самолете Ил-2 в 1941 г. составил всего 3-4 часа (несколько полетов по кругу, 2-3 полета в зону, 2-3 полета на полигон, 2-3 полета на групповую слетанность), поэтому, у многих молодых летчиков пер</w:t>
      </w:r>
      <w:r w:rsidRPr="00640820">
        <w:rPr>
          <w:rFonts w:ascii="Times New Roman" w:hAnsi="Times New Roman"/>
          <w:color w:val="000000" w:themeColor="text1"/>
          <w:sz w:val="16"/>
          <w:szCs w:val="16"/>
        </w:rPr>
        <w:softHyphen/>
        <w:t>вый боевой вылет становился после</w:t>
      </w:r>
      <w:r w:rsidRPr="00640820">
        <w:rPr>
          <w:rFonts w:ascii="Times New Roman" w:hAnsi="Times New Roman"/>
          <w:color w:val="000000" w:themeColor="text1"/>
          <w:sz w:val="16"/>
          <w:szCs w:val="16"/>
        </w:rPr>
        <w:softHyphen/>
        <w:t>дним...(6467).</w:t>
      </w:r>
    </w:p>
    <w:p w14:paraId="05CA8E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Очевидно, что в этих условиях гово</w:t>
      </w:r>
      <w:r w:rsidRPr="00640820">
        <w:rPr>
          <w:rFonts w:ascii="Times New Roman" w:hAnsi="Times New Roman"/>
          <w:color w:val="000000" w:themeColor="text1"/>
          <w:sz w:val="16"/>
          <w:szCs w:val="16"/>
        </w:rPr>
        <w:softHyphen/>
        <w:t>рить об использовании на фронте всего боевого потенциала Ил-2 уже не прихо</w:t>
      </w:r>
      <w:r w:rsidRPr="00640820">
        <w:rPr>
          <w:rFonts w:ascii="Times New Roman" w:hAnsi="Times New Roman"/>
          <w:color w:val="000000" w:themeColor="text1"/>
          <w:sz w:val="16"/>
          <w:szCs w:val="16"/>
        </w:rPr>
        <w:softHyphen/>
        <w:t>дится. Штурмовые авиаполки просто не мог</w:t>
      </w:r>
      <w:r w:rsidRPr="00640820">
        <w:rPr>
          <w:rFonts w:ascii="Times New Roman" w:hAnsi="Times New Roman"/>
          <w:color w:val="000000" w:themeColor="text1"/>
          <w:sz w:val="16"/>
          <w:szCs w:val="16"/>
        </w:rPr>
        <w:softHyphen/>
        <w:t>ли обладать высокими боевыми возмож</w:t>
      </w:r>
      <w:r w:rsidRPr="00640820">
        <w:rPr>
          <w:rFonts w:ascii="Times New Roman" w:hAnsi="Times New Roman"/>
          <w:color w:val="000000" w:themeColor="text1"/>
          <w:sz w:val="16"/>
          <w:szCs w:val="16"/>
        </w:rPr>
        <w:softHyphen/>
        <w:t>ностями (слетанностью, стрелковой и тактической выучкой и т.д.) и, ввиду практически полного господства в воз</w:t>
      </w:r>
      <w:r w:rsidRPr="00640820">
        <w:rPr>
          <w:rFonts w:ascii="Times New Roman" w:hAnsi="Times New Roman"/>
          <w:color w:val="000000" w:themeColor="text1"/>
          <w:sz w:val="16"/>
          <w:szCs w:val="16"/>
        </w:rPr>
        <w:softHyphen/>
        <w:t>духе авиации противника, несли поте</w:t>
      </w:r>
      <w:r w:rsidRPr="00640820">
        <w:rPr>
          <w:rFonts w:ascii="Times New Roman" w:hAnsi="Times New Roman"/>
          <w:color w:val="000000" w:themeColor="text1"/>
          <w:sz w:val="16"/>
          <w:szCs w:val="16"/>
        </w:rPr>
        <w:softHyphen/>
        <w:t>ри. Последнее же вынуждало командо</w:t>
      </w:r>
      <w:r w:rsidRPr="00640820">
        <w:rPr>
          <w:rFonts w:ascii="Times New Roman" w:hAnsi="Times New Roman"/>
          <w:color w:val="000000" w:themeColor="text1"/>
          <w:sz w:val="16"/>
          <w:szCs w:val="16"/>
        </w:rPr>
        <w:softHyphen/>
        <w:t>вание ВВС КА формировать все новые и новые полки (6467).</w:t>
      </w:r>
    </w:p>
    <w:p w14:paraId="46DBF4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F2F3B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До конца 1941 г. пришлось списать более 400 Су-2, из которых 222 погибли от бомбежек на аэродромах, были сбиты истребителями или зенитками противника (зарегистрировано около 5 000 боевых вылетов). Наибольший урон части этих машин понесли в первые месяц - полтора с начала войны. В этом судьба самолетов Сухого оказалась аналогичной туполевским СБ, или ильюшинским ДБ-ЗФ, которые пострадали ничуть не меньше (12028). </w:t>
      </w:r>
    </w:p>
    <w:p w14:paraId="521A76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C53D9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учитывая хорошие разгонные характеристики самолета Пе-2 даже при пологом снижении, экипажи черноморских “пешек”-разведчиков научились применять новый противозенитный маневр, основанный на плавном увеличении скорости в ходе фотографирования. Суть его заключалась в следующем: к моменту подхода к зоне зенитного огня цель удерживалась на курсовом угле 40-60", а затем осуществлялся резкий вираж и вывод машины на боевой курс с незначительным снижением, одновременно моторам давался полный газ. В результате такого маневра скорость самолета плавно росла и все разрывы зенитных снарядов ложились позади. После окончания боевого курса выполнялся энергичный противозенитный маневр с уходом либо в сторону солнца, либо в море (4476).</w:t>
      </w:r>
    </w:p>
    <w:p w14:paraId="17C034B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3B363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экипажи черноморских "пешек"-разведчиков научились применять новый противозенитный маневр, основанный на плавном увеличении скорости в ходе фотографирования. Суть его заключалась в следующем. К моменту подхода к зоне зенитного огня цель удерживалась на курсовом угле 40-60°, а затем осуществлялся резкий вираж и вывод машины на боевой курс с незначительным снижением, одновременно моторам давался полный газ. В результате такого маневра скорость самолета плавно увеличивалась, и все разрывы зенитных снарядов ложились позади. После окончания боевого курса выполнялся энергичный противозенитный маневр с уходом либо в сторону солнца, либо в море (12042).</w:t>
      </w:r>
    </w:p>
    <w:p w14:paraId="54053A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79E29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года в боевом строю 421 дбап имелось до 20 бомбардировщиков Ер-2, в том числе 13-15 исправных. Две машины проходили восстановительный ремонт: одна в Сальске, другая в Раменском. Последние дни 1941 г. были отмечены высокой боевой активностью: 28, 29 и 30 декабря 1941 полк всем составом вылетал для нанесения ударов по скоплению танков и живой силы в районе Истры (3322,24).</w:t>
      </w:r>
    </w:p>
    <w:p w14:paraId="39AB1A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42546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конца 1941 г. проводились акции по вручению строевым частям боевой техники, построенной на собранные средства. Обычно, если отсутствовало конкретное пожелание "заказчика", вид и тип вооружения определялся по ближайшему военному заводу. Поэтому рабочие и колхозники Горьковской области вручали летчикам самолеты ЛаГГ-3 и Ла-5, саратовцы - Як-1, новосибирцы - Як-7, дальневосточные чекисты - Ил-4. У москвичей, благодаря концентрации в столице авиазаводов, выбор оказался шире. Отдельно следует сказать о жителях Красноярска. Они были вынуждены "дарить" летчикам американские истребители Р-39, поступавшие по ленд-лизу, что, с юридической точки зрения, выглядит несколько странно.</w:t>
      </w:r>
    </w:p>
    <w:p w14:paraId="55068D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Наиболее масштабная акция прошла в Горьковской области. В декабре 1942 г. начался сбор средств на эскадрилью "Валерий Чкалов". Всего построили около 60 ЛаГГ-3 и Ла-5, на левом борту которых по трафарету наносили надпись "Эскадрилья "Валерий Чкалов", а на правом - на чьи средства построен самолет. Эти истребители летали в 240, 193, 13, 254, 21-м иап, 4, 111, 88-м и 137-м гв. иап.</w:t>
      </w:r>
    </w:p>
    <w:p w14:paraId="7765C0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 в Советском Союзе нашлись люди, имевшие возможность приобрести боевой самолет на свои личные деньги в одиночку. Среди них были "рекордсмены", подарившие ВВС по два истребителя. В особый ряд можно выделить машины, купленные родителями для своих воюющих сыновей. Были и случаи приобретения боевых самолетов самими летчиками.</w:t>
      </w:r>
    </w:p>
    <w:p w14:paraId="15995F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Подаренные самолеты несли на своих фюзеляжах соответствующие надписи. Летчики гордились такими машинами и обычно сохраняли надписи при ремонте.</w:t>
      </w:r>
    </w:p>
    <w:p w14:paraId="37E72B4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 меньше, чем дарственных надписей, на советских самолетах имелось и личных эмблем пилотов. С приобретением боевого опыта летчики перестали бояться выделить свою машину среди других. А во второй половине войны заметили, что большинство немецких пилотов опасаются вступать в бой с раскрашенными истребителями. Завоеванный в боях авторитет советской авиации начал работать на ее пилотов.</w:t>
      </w:r>
    </w:p>
    <w:p w14:paraId="3A7442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Личные эмблемы, хотя никак и не регламентировались, но подпадали под цензуру: политорганов и собственную, "внутреннюю". Это накладывало на них свой отпечаток. Отсутствовали, например, эротические сюжеты, редко встречались черти и прочая нечисть. В качестве личных эмблем встречались в основном рисунки зверей и птиц. Большинство из них изображали львов, тигров и орлов. При этом если львы и тигры были индивидуальны, то орлы на самолетах разных частей очень походили друг на друга, как срисованные с одного прототипа. Иногда на фюзеляжах появлялись целые картины. Например, на Як-9 командира 2-й эскадрильи 4-го иап И.Н. Степаненко был изображен тигр, преследующий убегающего Геббельса.</w:t>
      </w:r>
    </w:p>
    <w:p w14:paraId="192CA2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Нередко попадались эмблемы с символами карточных мастей, но использовались только пики и черви. На Р-39 командира 1-й эскадрильи 30-го гв. иап А.П. Филатова были изображены целых три карты: дама, семерка и туз - все пики. На советских самолетах рисовали и открытые пасти.</w:t>
      </w:r>
    </w:p>
    <w:p w14:paraId="607458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Советские летчики отмечали свои воздушные победы не только "наркомовскими" ста граммами, но и красными пятиконечными звездочками на бортах своих самолетов. Это явление возникло в конце весны - начале лета 1942 г. практически одновременно во многих полках.Вероятно, символы побед, появившиеся по </w:t>
      </w:r>
      <w:r w:rsidRPr="00640820">
        <w:rPr>
          <w:rFonts w:ascii="Times New Roman" w:hAnsi="Times New Roman"/>
          <w:color w:val="000000" w:themeColor="text1"/>
          <w:sz w:val="16"/>
          <w:szCs w:val="16"/>
        </w:rPr>
        <w:lastRenderedPageBreak/>
        <w:t>инициативе пилотов, получили поддержку и одобрение на самых разных уровнях. Где-то регламентация происходила в форме устных распоряжений, где-то оформлялась приказом (11989).</w:t>
      </w:r>
    </w:p>
    <w:p w14:paraId="6A7931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66F65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для обороны города Сталинграда из личного состава Сталинградской и Борисоглебской летных школ образовали 102-ю авиадивизию ПВО. Самолеты для двух полков - 628-го и 629-го собирали отовсюду - в основном это были И-16 и И-153. По воспоминаниям бывшего пилота 629-го иап Александра Попова, ему достался "ишачок" 10-го типа с цифрой "9" на руле поворота. Каково же было удивление сержанта Попова, когда под ободранной защитной краской он обнаружил, что самолет ранее был красного цвета. Заглянув в формуляр самолета, молодой летчик обнаружил, что ему досталась машина, принадлежавшая ранее Анатолию Серову. На этом И-16, который до войны Серов водил над Красной площадью, летчик Попов 23 июля 1942 г. таранил иод Сталинградом немецкий бомбардировщик До-215 (12015).</w:t>
      </w:r>
    </w:p>
    <w:p w14:paraId="3A83F0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2B002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несмотря на дополнительные поступления. на фронте насчитывалось 240 И-16. До середины 1942 г. это количество удавалось поддерживать за счет ремонта и пополнения из тыловых частей. Ремонт самолетов производили практически во всех прифронтовых авиамастерских и на некоторых заводах. Так. на базе авиазавода №51 в Москве после его эвакуации в Новосибирск организовали ремонтные мастерские, в которых до июня 1943 г. отремонтировали 31 И-16 (12015).</w:t>
      </w:r>
    </w:p>
    <w:p w14:paraId="6557FCB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B8691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на ЗФ советская авиация применяла бомбы, снаряженныке оксиликвитом по рецептуре НИИ-6, разработанной в 1939. Жидкий кислород доставляли из Москвы и заливали на аэродроме. Свойства сохранялись 3-4 час. Сбросили около 500 ФАБ-100-85нг и ФАБ-250-200нг с корпусами из железобетона (7453, 187).</w:t>
      </w:r>
    </w:p>
    <w:p w14:paraId="749754A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C987F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ГСТ на флотах стало меньше, поскольку МБР-2 и Че-2 продолжали поступать, а ГСТ - нет. Особенно опасны для тихоходных и сравнительно слабо вооруженных летающих лодок были истребители противника. Однако, ночные полеты решали эту проблему. На Севере лодки несколько раз по ночам бомбили поселок Западная Лица. На одном из ГСТ там летал известный полярный пилот Б.Г.Чухновский (3457,49).</w:t>
      </w:r>
    </w:p>
    <w:p w14:paraId="315DB8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38134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 конца 1941 г. авиация Балтфлота выставила на коммуникациях противника 108 мин. Из них 45 устаревших МАВ-1, 10 индукционных МИРАБ, а остальные - новые типа АМГ-1. Если учесть, что мины ставились небольшими отдельными банками или поодиночке в очень обширных районах, то катастрофического ущерба врагу они не принесли. Наиболее болезненной для немцев стала гибель флагманского корабля 31-й флотилии тральщиков М-3131. 23 июля он подорвался на советской авиамине в устье Западной Двины, в районе с координатами 51°1Г с.ш., 24°10'5" в.д. Вместе с кораблем погибли 22 человека, и в их числе командир флотилии, командир отряда, командир корабля и флагманский врач флотилии(2867,67).</w:t>
      </w:r>
    </w:p>
    <w:p w14:paraId="3EB609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89916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из 14 экипажей 250 дбап и 5 экипажей 14 тбап образовали Группу ТБ ОН и поручили ей доставку горючего, масла и антифриза базировавшимся на аэродромах Керченского п/о 8, 12 и 347 иап (1859).</w:t>
      </w:r>
    </w:p>
    <w:p w14:paraId="53FD3F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575AE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1941-го и в 1942 г. под Москвой в районе линии фронта по ночам “огненные мешки” вручную сбрасывали с самолетов У-2, летавших на малых высотах (7453).</w:t>
      </w:r>
    </w:p>
    <w:p w14:paraId="7EA9CB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2E44A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Хейншель-129 был пленен на Восточном фронте в одном из первых вылетов. С.В.И - очень волновался (63,117).</w:t>
      </w:r>
    </w:p>
    <w:p w14:paraId="1B0EB3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другим данным это было в начале 1942 (5,114).</w:t>
      </w:r>
    </w:p>
    <w:p w14:paraId="1E18D3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третьим - в середине 1942 (430,462).</w:t>
      </w:r>
    </w:p>
    <w:p w14:paraId="398237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392C7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в СССР через Англию поступили первые 14 Р-40Е "Китихаук", отличавшийся от Р-40D только шестью пулеметами вместо четырех. Все первые партии прибывали через северные порты. И применять их начали тоже па северных участках советско-германского фронта. Первые "Киттихауки" передали в полки, уже освоившие "Томагаук" - 126-й и 154-й иап. В последнем к концу февраля 1942 года уже насчитывалось почти столько же Р-40Е, сколько машин более раннего типа. Однако "Киттихауков" шло больше, чем "Томагауков", и ими стали перевооружать новые части. Весной эти самолеты прибыли в некоторые эскадрильи полков 258-и смешанной авиадивизии - 19-го и 20-го гвардейских. Эта дивизия воевала на Карельском фронте. Первой там освоила новую технику 2-я эскадрилья 19-го полка под командованием А.Е. Новожилова. Это произошло в апреле, а 15 мая 1942 полк уже вновь вступил в бой. Примерно в это же время получили первые "Киттихауки" в 122-й дивизии ПВО, ранее сплошь вооруженной "Харрикейнами". Модернизированный истребитель P-40D имел более совершенный двигатель V-1710-39 вместо V-1710-33, обладавший лучшими высотными характеристиками и возможностью кратковременного (до 5 минут) форсирования - так называемый "чрезвычайный боевой режим". Одновременно конструкторы переработали весь фюзеляж. Он стал ниже, контуры его изменились, обеспечивая лучший обзор из кабины. Смещенный вверх мотор позволил укоротить стойки шасси, но одновременно вытеснил из-под капота пулеметы - их все сосредоточили в крыле. Воздухозаборник радиатора увеличили и сдвинули к самому коку винта. Крыло, хвостовое оперение и основные агрегаты не изменились или изменились весьма незначительно. Такой подход позволял очень быстро поставить самолет на поток, хотя заранее обрекал его на сохранение большинства недостатков предшественника. Однако принцип "количество за счет качества" в преддверии большой войны возобладал и в США. Новую модификацию, Р-40D в нюне 1940 года приняли на вооружение. Еще раньше, в мае, ее заказали английские ВВС как "Киттихаук" I (3457,62).</w:t>
      </w:r>
    </w:p>
    <w:p w14:paraId="40ECDB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9AEB4E4"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года с фронтов стали поступать донесения о поражении танков Т-34 огнем 50-мм противотанковых пушек РаК 38, выпуск которых немцы постоянно наращивали. Для предотвращения этого по согласованию с ГАБТУ КА и Наркомтанкоп- ромом 25 декабря 1941 года появилось постановление ГКО № 1062 сс, «О производстве танка Т-34 с лобовой броней толщиной 60 мм», которым предписывалось всем заводам начиная с 15 февраля 1942 года перейти на выпуск таких машин. При этом на первых порах, до освоения броневыми заводами проката толщиной 60 мм, предусматривалось проводить экранировку 15-мм броней верхнего лобового листа и башни тридцатьчетверок - первые такие машины предписывалось изготовить к 15 января 1942 года. Кроме того, завод № 183, по своей инициативе решил не позднее 20 января 1942 года начать отливки башен с толщиной стенок 60 мм, а с 1 февраля полностью перейти и на производство экранированных бронекорпусов.</w:t>
      </w:r>
    </w:p>
    <w:p w14:paraId="1E5E696B"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Однако спустя два месяца - 23 февраля 1942 года - постановлением ГКО № 1333 сс усиление брони и экранировка тридцатьчетверок отменялись. Основным аргументом были проблемы с прокатом 60 мм бронелистов и дефицитом легирующих элементов, а также то, что 50-мм противотанковых и танковых орудий, способных поразить Т-34, у немцев в то время было еще относительно немного. Тем не менее, заводы Наркомтанкопрома изготовили некоторое количество экранированных машин (12217).</w:t>
      </w:r>
    </w:p>
    <w:p w14:paraId="26FEF880" w14:textId="77777777" w:rsidR="00045010" w:rsidRPr="00640820" w:rsidRDefault="00045010" w:rsidP="00640820">
      <w:pPr>
        <w:spacing w:after="0" w:line="240" w:lineRule="auto"/>
        <w:jc w:val="both"/>
        <w:rPr>
          <w:rFonts w:ascii="Times New Roman" w:hAnsi="Times New Roman"/>
          <w:color w:val="000000" w:themeColor="text1"/>
          <w:sz w:val="16"/>
          <w:szCs w:val="16"/>
        </w:rPr>
      </w:pPr>
    </w:p>
    <w:p w14:paraId="1E901D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концу 1941 г. число пленных составило 3.800.000 человек. В последующие годы к ним прибавились еще 1.440.000 (4538).</w:t>
      </w:r>
    </w:p>
    <w:p w14:paraId="19B700F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CACF8F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концу 1941 г. был утрачен почти весь танковый парк Красной Армии, находив</w:t>
      </w:r>
      <w:r w:rsidRPr="00640820">
        <w:rPr>
          <w:rFonts w:ascii="Times New Roman" w:hAnsi="Times New Roman"/>
          <w:color w:val="000000" w:themeColor="text1"/>
          <w:sz w:val="16"/>
          <w:szCs w:val="16"/>
        </w:rPr>
        <w:softHyphen/>
        <w:t>шийся в европейской части страны до начала войны. Несмотря на абсо</w:t>
      </w:r>
      <w:r w:rsidRPr="00640820">
        <w:rPr>
          <w:rFonts w:ascii="Times New Roman" w:hAnsi="Times New Roman"/>
          <w:color w:val="000000" w:themeColor="text1"/>
          <w:sz w:val="16"/>
          <w:szCs w:val="16"/>
        </w:rPr>
        <w:softHyphen/>
        <w:t>лютное превосходство по совокупности боевых свойств танков КВ и Т-34 над танками противника, наши танковые части и подразделения в указанный период понесли большие потери, в том числе и в этих боевых машинах. Не вдаваясь в многочисленные объективные и субъективные причины создавшегося положения, следует отметить, что слишком ма</w:t>
      </w:r>
      <w:r w:rsidRPr="00640820">
        <w:rPr>
          <w:rFonts w:ascii="Times New Roman" w:hAnsi="Times New Roman"/>
          <w:color w:val="000000" w:themeColor="text1"/>
          <w:sz w:val="16"/>
          <w:szCs w:val="16"/>
        </w:rPr>
        <w:softHyphen/>
        <w:t>ло времени было отпущено историей до начала войны на освоение но</w:t>
      </w:r>
      <w:r w:rsidRPr="00640820">
        <w:rPr>
          <w:rFonts w:ascii="Times New Roman" w:hAnsi="Times New Roman"/>
          <w:color w:val="000000" w:themeColor="text1"/>
          <w:sz w:val="16"/>
          <w:szCs w:val="16"/>
        </w:rPr>
        <w:softHyphen/>
        <w:t>вого бронетанкового вооружения как экипажами, так и командным со</w:t>
      </w:r>
      <w:r w:rsidRPr="00640820">
        <w:rPr>
          <w:rFonts w:ascii="Times New Roman" w:hAnsi="Times New Roman"/>
          <w:color w:val="000000" w:themeColor="text1"/>
          <w:sz w:val="16"/>
          <w:szCs w:val="16"/>
        </w:rPr>
        <w:softHyphen/>
        <w:t>ставом. Большой выход из строя танков КВ и Т-34 в начале войны про</w:t>
      </w:r>
      <w:r w:rsidRPr="00640820">
        <w:rPr>
          <w:rFonts w:ascii="Times New Roman" w:hAnsi="Times New Roman"/>
          <w:color w:val="000000" w:themeColor="text1"/>
          <w:sz w:val="16"/>
          <w:szCs w:val="16"/>
        </w:rPr>
        <w:softHyphen/>
        <w:t>исходил из-за отсутствия своевременного подвоза боеприпасов и горю</w:t>
      </w:r>
      <w:r w:rsidRPr="00640820">
        <w:rPr>
          <w:rFonts w:ascii="Times New Roman" w:hAnsi="Times New Roman"/>
          <w:color w:val="000000" w:themeColor="text1"/>
          <w:sz w:val="16"/>
          <w:szCs w:val="16"/>
        </w:rPr>
        <w:softHyphen/>
        <w:t>че-смазочных материалов, а также возникновения различных техничес</w:t>
      </w:r>
      <w:r w:rsidRPr="00640820">
        <w:rPr>
          <w:rFonts w:ascii="Times New Roman" w:hAnsi="Times New Roman"/>
          <w:color w:val="000000" w:themeColor="text1"/>
          <w:sz w:val="16"/>
          <w:szCs w:val="16"/>
        </w:rPr>
        <w:softHyphen/>
        <w:t>ких неисправностей и отказов машин при совершении длительных мар</w:t>
      </w:r>
      <w:r w:rsidRPr="00640820">
        <w:rPr>
          <w:rFonts w:ascii="Times New Roman" w:hAnsi="Times New Roman"/>
          <w:color w:val="000000" w:themeColor="text1"/>
          <w:sz w:val="16"/>
          <w:szCs w:val="16"/>
        </w:rPr>
        <w:softHyphen/>
        <w:t>шей. Большое число танков КВ и Т-34, оставшихся без боеприпасов и дизельного топлива, было взорвано или специально выведено из строя экипажами, чтобы исправные машины не достались врагу (10703).</w:t>
      </w:r>
    </w:p>
    <w:p w14:paraId="32D90C6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BCB27D"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211849AB"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BCED9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года в Кремле сочли, что эвакуация завершена. Враг остановлен и отброшен от Москвы, фронт стабилизировался. Совет по эвакуации при Совнаркоме как выполнивший свои задачи распустили. Некоторые предприятия и институты даже начали проситься домой. Но с новым отступлением Красной армии в 1942 году все началось снова. Теперь орган, ведавший эвакуацией, назывался комитетом. А в остальном не изменилось ничего (11587).</w:t>
      </w:r>
    </w:p>
    <w:p w14:paraId="098BF4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940040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конце </w:t>
      </w:r>
      <w:r w:rsidR="00FA2FD1" w:rsidRPr="00640820">
        <w:rPr>
          <w:rFonts w:ascii="Times New Roman" w:hAnsi="Times New Roman"/>
          <w:color w:val="000000" w:themeColor="text1"/>
          <w:sz w:val="16"/>
          <w:szCs w:val="16"/>
        </w:rPr>
        <w:t>19</w:t>
      </w:r>
      <w:r w:rsidRPr="00640820">
        <w:rPr>
          <w:rFonts w:ascii="Times New Roman" w:hAnsi="Times New Roman"/>
          <w:color w:val="000000" w:themeColor="text1"/>
          <w:sz w:val="16"/>
          <w:szCs w:val="16"/>
        </w:rPr>
        <w:t xml:space="preserve">41-го года были введены карточки на рыбу, крупы, мясо и макароны. Мяса, в среднем по стране, полагалось всего 1,2 кг на человека в месяц. Затем в 1942 г. во многих городах ввели нормировку на продажу населению керосина и соли. У магазинов выстроились длинные очереди. Однако дефицит объяснялся не только условиями военного времени. Значительная часть хлеба по разным причинам не доходила до прилавков, а «чудесным образом» оказывалась на рынках по баснословным ценам. Стоимость одной буханки сначала дошла до 200–250, а позднее и до 400 рублей! И это при том, что зарплата квалифицированного рабочего на военном заводе составляла 800 рублей в месяц. Чуть больше — ставку в 1080 рублей — имели профессора. Но ведь существовали и совершенно мизерные оклады. </w:t>
      </w:r>
      <w:r w:rsidRPr="00640820">
        <w:rPr>
          <w:rFonts w:ascii="Times New Roman" w:hAnsi="Times New Roman"/>
          <w:color w:val="000000" w:themeColor="text1"/>
          <w:sz w:val="16"/>
          <w:szCs w:val="16"/>
        </w:rPr>
        <w:lastRenderedPageBreak/>
        <w:t>Так, технички и гардеробщицы получали всего 100-130 рублей. В тоже время цена, к примеру, килограмма моркови на базарах в мае 1942 г. достигла почти 80 рублей! (11741).</w:t>
      </w:r>
    </w:p>
    <w:p w14:paraId="07E7A23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47D740"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4B198AF7"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2DF501F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конца 1941 года начала поступать секретная информация от Фукса - физика-теоретика — немца-коммуниста, бежавшего от гитлеровского режима в Англию (Сборник законодательных и нормативных актов о репрессиях и реабилитации жертв политических репрессий. — М.: Республика, 1993. — 223 с.). Сначала с ним встречались сотрудники советской военной разведки — С. Кремер, Н. Аптекарь (Сергей) и Р. Вернер (Соня).</w:t>
      </w:r>
    </w:p>
    <w:p w14:paraId="2B5951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время первой встречи К. Фукс рассказал С. Кремеру о начале работ по созданию атомной бомбы в США и Англии. На второй он вручил сотруднику советской военной разведки большой блокнот с материалами о британском проекте «Тьюб эллойз» (Сейдаметов Д. Шляпников Н. Германо-австрийская разведка в царской России. — М.: Воениздат, 1939.).</w:t>
      </w:r>
    </w:p>
    <w:p w14:paraId="1C9B3D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Много лет спустя сотрудница советской военной разведки Р. Вернер буднично описала свой первый контакт с К. Фуксом: «Мы встретились, прогулялись под видом влюбленной парочки, Фукс передал мне толстую пачку документов и конвейер заработал». Как ей удалось избежать тогда провала? Некоторые британские эксперты утверждают, что сам шеф контрразведки (МИ-5) Р. Холлис был советским агентом и прикрывал Соню. Они оба находились в 30-е годы в Шанхае, посещали один и тот же клуб, вместе играли в теннис. Более того, у будущего главы МИ-6 был роман с подругой Р. Вернер. А в Англии советская разведчица поселилась рядом с местом работы своего высокопоставленного знакомого (Семиряга М. И. Как мы управляли Германией. — М.: РОС-ПЭН, 1995. — 400 с.). К сожалению, мы уже никогда не узнаем, что на самом деле связывало эти две знаменитые фигуры в мировой истории шпионажа.</w:t>
      </w:r>
    </w:p>
    <w:p w14:paraId="0A804F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время работы с военной разведкой К. Фукс передал советской стороне ряд расчетов по расщеплению ядра и созданию атомной бомбы. Эти материалы получили высокую оценку уполномоченного по науке ГКО. Всего от К. Фукса в 1941—1943 годах было получено 7 весьма ценных материалов.</w:t>
      </w:r>
    </w:p>
    <w:p w14:paraId="77879EB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Оценить объем переданных К. Фуксом секретных материалов в период его работы в бирмингемской исследовательской группе (июнь 1941 — ноябрь 1943 года) можно с помощью меморандума директора ФБР Д. Э. Гувера специальному помощнику президента США контр-адмиралу С. Соуэрсу. Этот документ датирован 2 марта 1950 года.</w:t>
      </w:r>
    </w:p>
    <w:p w14:paraId="28E024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нем, в частности, указывалось: «В соответствии со своими намерениями передавать Советскому Союзу только результаты своих собственных работ, Фукс передавал советскому агенту копии всех докладов, подготовленных им в Бирмингемском университете…</w:t>
      </w:r>
    </w:p>
    <w:p w14:paraId="39D8A2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Помимо копий документов, автором которых он был сам, Фукс действительно сообщил советскому агенту в общих чертах о научно-исследовательских работах в рамках программы «Тьюб эллойз» в Великобритании и о создании небольшой экспериментальной станции по изучению процессов диффузии урана на базе одного из заводов министерства снабжения в Северном Уэльсе (объект «Долина»). Он сказал, что никакой проектно-конструк-торской информации по этой экспериментальной станции и используемому на ней инженерному оборудованию он советским агентам не передавал. Кроме того, он сообщил русским, что аналогичные исследования проводятся так же в США и что между двумя странами сотрудничество в этой области» (Смирнов Л. Последний из гондольеров // Московский Комсомолец. — 2000. — 4 дек.) (11765).</w:t>
      </w:r>
    </w:p>
    <w:p w14:paraId="46E28F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CAE3C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года из Лондона поступила информация о том, что США и Великобритания решили координировать усилия своих ученых в области атомной энергии. Позднее, 20 июня 1942 года, во время переговоров в Вашингтоне Черчилль и Рузвельт приняли решение строить атомные объекты в США, так как Англия подвергается постоянным бомбардировкам германской авиации (11765).</w:t>
      </w:r>
    </w:p>
    <w:p w14:paraId="4355FE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51482A7"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0EE5296C"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872C5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года в военно-транспортную авиацию США начали поступать первые машины DC-3 в специальном военном исполнении - С-53 "Скайтрупнер" с упрощенным интерьером кабины и более мощными моторами R-1830-92 (3457,134).</w:t>
      </w:r>
    </w:p>
    <w:p w14:paraId="3602A7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ED4A8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фирма «Хеншель» развернула работы над созданием управляемой авиационной бомбы-торпеды Hs294. По конструкции она была сходна с КР Hs293С. На бомбе в качестве силовой установки было применено два ЖРД HWK109-507D. Поскольку бомба должна была бить по кораблям ниже ватерлинии (конечный участок траектории бомбы торпеды проходил под водой), то в ней предусматривался сброс крыльев и хвостовой части с помощью пиротехнических болтов или ослаблением конструкции перфорацией в местах предполагаемого отделения. Форма корпуса бомбы выбиралась из соображений движения под водой с малым гидродинамическим сопротивлением.</w:t>
      </w:r>
    </w:p>
    <w:p w14:paraId="5F50AB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войны был разработан способ буксировки Hs294 реактивным четырехмоторным бомбардировщиком Ar234C. В этом случае ракетная бомба-торпеда оснащалась сбрасываемой тележкой и узлом крепления полужесткого буксировочного троса.</w:t>
      </w:r>
    </w:p>
    <w:p w14:paraId="34C6F9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Испытания такой системы показали, что она может при скорости 816 км/ч на высоте 8000 м достичь дальности полета до 400 км и при скорости 750 км/ч у земли – 760 км. Пуск Hs294 должен был осуществляться с малых высот (11686).</w:t>
      </w:r>
    </w:p>
    <w:p w14:paraId="50679D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218E3C5" w14:textId="77777777" w:rsidR="00897CA4" w:rsidRPr="00640820" w:rsidRDefault="00897CA4" w:rsidP="00640820">
      <w:pPr>
        <w:pStyle w:val="book"/>
        <w:ind w:firstLine="0"/>
        <w:jc w:val="both"/>
        <w:rPr>
          <w:color w:val="000000" w:themeColor="text1"/>
          <w:sz w:val="16"/>
          <w:szCs w:val="16"/>
        </w:rPr>
      </w:pPr>
      <w:r w:rsidRPr="00640820">
        <w:rPr>
          <w:color w:val="000000" w:themeColor="text1"/>
          <w:sz w:val="16"/>
          <w:szCs w:val="16"/>
        </w:rPr>
        <w:t>В конце 1941 г. фирма «Хеншель» начала проектирование новой планирующей бомбы Hs 294, которая поражала подводную часть корабля. Hs 294 по существу представляла собой торпеду с крыльями, системой наведения и двумя двигательными установками. Ракета наводилась на цель оператором с помощью оптического прицела методом «трех точек». Управление производилось с помощью радиокоманд. Был разработан вариант установки бортовой телевизионной системы с передачей информации на самолет-носитель. Двигательная установка состояла из двух жидкостных реактивных двигателей HWK 109—507, развивающих тягу по 590 кг каждый, время работы их около 10 с. В последних образцах Hs 294 жидкостно-реактивные двигатели (ЖРД) были заменены на твердотопливные. Ракета Hs 294 развивала скорость до 900 км/час. Стартовый вес ракеты Hs 294 — 2175 кг. Аэродинамическая схема ракеты нормальная самолетная. Длина ракеты 6,15 м, диаметр 620 мм, размах крыльев 3960 мм. Высота сброса ракеты 5,4 км, дальность полета до 14 км. Когда ракета касалась воды, крылья, задняя часть фюзеляжа и двигатели отделялись, давая возможность остальной части фюзеляжа продолжать движение в качестве подводной торпеды. Hs 294 управлялась так, чтобы примерно за 30—40 м до корабля-цели ракета входила под небольшим углом в воду и двигалась там горизонтально на небольшой глубине со скоростью 320—240 км/ч. В качестве носителя использовался бомбардировщик Не 177. Кроме того, рассматривался вариант буксировки Hs 294 за реактивным бомбардировщиком Ar 234С. По различным источникам было изготовлено от 125 до 165 ракет Hs 294. Но в боевых условиях применить их немцы не успели. Серийные воздушные торпеды Hs 293 и Hs 294 снабжались обычно контактными взрывателями ударного действия. Однако фирма «Хеншель» на опытных образцах устанавливала три типа неконтактных взрывателей. Среди них был радиовзрыватель «Какаду», принцип работы которого основывался на эффекте Доплера. Взрыватель «Какаду» серийно производился в Третьем рейхе и применялся в ряде ракет. Применялся также и оптический взрыватель «Пистоле». Он имел источник света (как излучения видимого спектра, так и инфракрасного излучения), помещавшийся внутри вращающегося цилиндра, снабженного прорезями, так что модулированный свет излучался в радиальном направлении (перпендикулярно направлению движения). Если вблизи прибора оказывалось отражающее тело (цель), то фотоэлемент воспринимал отраженные лучи, и тогда через усилитель и низкочастотный фильтр приводилось в действие исполнительное реле (15225).</w:t>
      </w:r>
    </w:p>
    <w:p w14:paraId="7FE6C1F2" w14:textId="77777777" w:rsidR="00897CA4" w:rsidRPr="00640820" w:rsidRDefault="00897CA4" w:rsidP="00640820">
      <w:pPr>
        <w:pStyle w:val="book"/>
        <w:ind w:firstLine="0"/>
        <w:jc w:val="both"/>
        <w:rPr>
          <w:color w:val="000000" w:themeColor="text1"/>
          <w:sz w:val="16"/>
          <w:szCs w:val="16"/>
        </w:rPr>
      </w:pPr>
    </w:p>
    <w:p w14:paraId="629DC954" w14:textId="77777777" w:rsidR="001A313A" w:rsidRPr="00640820" w:rsidRDefault="001A313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К концу 1941 в течение 1941 года немецкие ночные истребители, защищавшие Германию, сбили 421 британский бомбардировщик, что в десять раз больше, чем в 1940 году (20794).</w:t>
      </w:r>
    </w:p>
    <w:p w14:paraId="5A417714" w14:textId="77777777" w:rsidR="001A313A" w:rsidRPr="00640820" w:rsidRDefault="001A313A" w:rsidP="00640820">
      <w:pPr>
        <w:spacing w:after="0" w:line="240" w:lineRule="auto"/>
        <w:jc w:val="both"/>
        <w:rPr>
          <w:rFonts w:ascii="Times New Roman" w:hAnsi="Times New Roman"/>
          <w:color w:val="0070C0"/>
          <w:sz w:val="16"/>
          <w:szCs w:val="16"/>
        </w:rPr>
      </w:pPr>
    </w:p>
    <w:p w14:paraId="1C8212C2" w14:textId="77777777" w:rsidR="001A313A" w:rsidRPr="00640820" w:rsidRDefault="001A313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 конце 1941 года облет B-24D показал, что при росте массы скорость увеличилась до 487 км/ч, максимальная дальность уменьшилась из-за отказа от дополнительных баков в бомбоотсеке, но боевая дальность выросла, особенно с предельной бомбовой нагрузкой, которая снова была доведена до 3630 кг. Для отработки новой модификации B-24D фирма Консолидейтед использовала недостроенные В-24А фирма использовала. На ней по-прежнему не было протектированных баков, брони, системы нейтрального газа, но наконец-то появились турбокомпрессорные моторы R-1830-41 (1200 л.с. на высоте 6000 м). Оборону обеспечивали спаренные пулеметы М-2 (12,7 мм) в верхней башне Мартин А-3 за кабиной летчиков и в хвостовой установке А-6А собственной разработки, и один М-2 в носовой кабине штурмана. Экипаж был увеличен до 10 человек.</w:t>
      </w:r>
    </w:p>
    <w:p w14:paraId="451663CF" w14:textId="77777777" w:rsidR="001A313A" w:rsidRPr="00640820" w:rsidRDefault="001A313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Боевые качества B-24D выросли настолько, что ВВС не удовлетворились первым контрактом и заключили девять дополнительных. Для их исполнения были привлечены заводы «Консолидейтед» в городе Форт-Уорс и «Дуглас» в Тулсе. Но основной завод в Сан-Диего уже «набрал обороты», а на новом месте много времени ушло на подготовку производства, потому в ФортУорсе построили только 8 машин из агрегатов, привезенных из Сан-Диего, и 295 «полностью своих» B-24D-CF, а Тулса и вовсе дала только десять B-24D-1-DT и D-5-DT. На базовом же заводе до лета 1942 года сделали 2500 тяжелых бомбардировщиков B-24D-CO. Самолет, получивший в ВВС США официальное наименование «Либерейтор», стал к середине 1942 года основным американским бомбардировщиком, оттеснив Боинг В-17. Англичане также закупали B-24D, но по-прежнему использовали их только в качестве патрульных машин над Атлантикой (22838).</w:t>
      </w:r>
    </w:p>
    <w:p w14:paraId="06FFD30B" w14:textId="77777777" w:rsidR="001A313A" w:rsidRPr="00640820" w:rsidRDefault="001A313A" w:rsidP="00640820">
      <w:pPr>
        <w:spacing w:after="0" w:line="240" w:lineRule="auto"/>
        <w:jc w:val="both"/>
        <w:rPr>
          <w:rFonts w:ascii="Times New Roman" w:hAnsi="Times New Roman"/>
          <w:color w:val="0070C0"/>
          <w:sz w:val="16"/>
          <w:szCs w:val="16"/>
        </w:rPr>
      </w:pPr>
    </w:p>
    <w:p w14:paraId="1F50147B" w14:textId="77777777" w:rsidR="001A313A" w:rsidRPr="00640820" w:rsidRDefault="001A313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lastRenderedPageBreak/>
        <w:t>В конце 1941 г. появилась улучшенная версия итальянского среднего танка, получившая обозначение М14/41. Внешне она практиче</w:t>
      </w:r>
      <w:r w:rsidRPr="00640820">
        <w:rPr>
          <w:rFonts w:ascii="Times New Roman" w:hAnsi="Times New Roman"/>
          <w:color w:val="0070C0"/>
          <w:sz w:val="16"/>
          <w:szCs w:val="16"/>
        </w:rPr>
        <w:softHyphen/>
        <w:t>ски не отличалась от Ml3/40. Масса, правда, увеличилась на 500 кг (в том числе из-за увеличения боекомплекта и усовершенствования воздушных фильтров, приспосо</w:t>
      </w:r>
      <w:r w:rsidRPr="00640820">
        <w:rPr>
          <w:rFonts w:ascii="Times New Roman" w:hAnsi="Times New Roman"/>
          <w:color w:val="0070C0"/>
          <w:sz w:val="16"/>
          <w:szCs w:val="16"/>
        </w:rPr>
        <w:softHyphen/>
        <w:t>бленных для работы в пустыне). Но, благодаря новому двигателю SPA 15Тмощностью 145 л. с. (на 20 лошадей больше, чем у ранее использовавшегося SPA 8Т), общие ходовые качества танка не изменились. С конца 1941 по 1942 гг. было произведено менее 700 М14/41.</w:t>
      </w:r>
    </w:p>
    <w:p w14:paraId="5E2E7119" w14:textId="4035A9A2" w:rsidR="001A313A" w:rsidRPr="00640820" w:rsidRDefault="001A313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Следующая модификация танка — М15/42 была разра</w:t>
      </w:r>
      <w:r w:rsidRPr="00640820">
        <w:rPr>
          <w:rFonts w:ascii="Times New Roman" w:hAnsi="Times New Roman"/>
          <w:color w:val="0070C0"/>
          <w:sz w:val="16"/>
          <w:szCs w:val="16"/>
        </w:rPr>
        <w:softHyphen/>
        <w:t>ботана в 1942 г. Вооружение было усилено за счет уста</w:t>
      </w:r>
      <w:r w:rsidRPr="00640820">
        <w:rPr>
          <w:rFonts w:ascii="Times New Roman" w:hAnsi="Times New Roman"/>
          <w:color w:val="0070C0"/>
          <w:sz w:val="16"/>
          <w:szCs w:val="16"/>
        </w:rPr>
        <w:softHyphen/>
        <w:t xml:space="preserve">новки пушки с удлиненным до 40 калибров стволом. Ее 47-мм бронебойный снаряд пробивал 42-мм броню на дистанции в 1 км. Новый двигатель </w:t>
      </w:r>
      <w:r w:rsidRPr="00640820">
        <w:rPr>
          <w:rFonts w:ascii="Times New Roman" w:hAnsi="Times New Roman"/>
          <w:color w:val="0070C0"/>
          <w:sz w:val="16"/>
          <w:szCs w:val="16"/>
          <w:lang w:val="en-US" w:bidi="en-US"/>
        </w:rPr>
        <w:t>FIAT</w:t>
      </w:r>
      <w:r w:rsidRPr="00640820">
        <w:rPr>
          <w:rFonts w:ascii="Times New Roman" w:hAnsi="Times New Roman"/>
          <w:color w:val="0070C0"/>
          <w:sz w:val="16"/>
          <w:szCs w:val="16"/>
          <w:lang w:bidi="en-US"/>
        </w:rPr>
        <w:t>-</w:t>
      </w:r>
      <w:r w:rsidRPr="00640820">
        <w:rPr>
          <w:rFonts w:ascii="Times New Roman" w:hAnsi="Times New Roman"/>
          <w:color w:val="0070C0"/>
          <w:sz w:val="16"/>
          <w:szCs w:val="16"/>
          <w:lang w:val="en-US" w:bidi="en-US"/>
        </w:rPr>
        <w:t>SPA</w:t>
      </w:r>
      <w:r w:rsidRPr="00640820">
        <w:rPr>
          <w:rFonts w:ascii="Times New Roman" w:hAnsi="Times New Roman"/>
          <w:color w:val="0070C0"/>
          <w:sz w:val="16"/>
          <w:szCs w:val="16"/>
          <w:lang w:bidi="en-US"/>
        </w:rPr>
        <w:t xml:space="preserve"> </w:t>
      </w:r>
      <w:r w:rsidRPr="00640820">
        <w:rPr>
          <w:rFonts w:ascii="Times New Roman" w:hAnsi="Times New Roman"/>
          <w:color w:val="0070C0"/>
          <w:sz w:val="16"/>
          <w:szCs w:val="16"/>
        </w:rPr>
        <w:t>15ТВ мощ</w:t>
      </w:r>
      <w:r w:rsidRPr="00640820">
        <w:rPr>
          <w:rFonts w:ascii="Times New Roman" w:hAnsi="Times New Roman"/>
          <w:color w:val="0070C0"/>
          <w:sz w:val="16"/>
          <w:szCs w:val="16"/>
        </w:rPr>
        <w:softHyphen/>
        <w:t>ностью 190 л. с. с новой трансмиссией позволял машине развивать максимальную скорость до 40 км/ч, правда, для их размещения потребовалось удлинить корпус танка примерно на 15 см (22976).</w:t>
      </w:r>
    </w:p>
    <w:p w14:paraId="65B98949" w14:textId="77777777" w:rsidR="001A313A" w:rsidRPr="00640820" w:rsidRDefault="001A313A" w:rsidP="00640820">
      <w:pPr>
        <w:spacing w:after="0" w:line="240" w:lineRule="auto"/>
        <w:jc w:val="both"/>
        <w:rPr>
          <w:rFonts w:ascii="Times New Roman" w:hAnsi="Times New Roman"/>
          <w:color w:val="0070C0"/>
          <w:sz w:val="16"/>
          <w:szCs w:val="16"/>
        </w:rPr>
      </w:pPr>
    </w:p>
    <w:p w14:paraId="52AB68C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концу 1941 года Германия располагала запасом в 360 килограмм тяжелой воды. При потребности в полторы тонны тяжелой воды в месяц фирма «Норск-Гидро» выпускала не более 140 килограмм. В начале 1942 года фабрику оснастили новыми электролизерами, но выпуск тяжелой воды при этом снизился до 91 килограмма в месяц (!). Норвежцы занимались откровенным саботажем, и любые усилия оккупантов увеличить производительность фабрики сводились на нет. В конце концов было решено построить опытную установку по производству тяжелой воды на территории Германии. Обязательства по ее строительству взяла на себя фирма «Лейнаверке», входившая в концерн «ИГ Фарбениндустри». Расходы должны были составить около 150 000 рейхсмарок, но зато себестоимость грамма тяжелой воды планировалось снизить до 30 пфеннингов. Впрочем, и это начинание закончилось пшиком – в 1944 году, когда положение с «урановым проектом» стало критическим, концерн отказался от договора с физиками (11688).</w:t>
      </w:r>
    </w:p>
    <w:p w14:paraId="14DEC0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08A04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конца 1941 года на о. Гернси в Ла-Манше началось строительство 12/52-дюймовой батареи "Нина", вооруженной башнями, снятыми французами в Бизерте с линкора "Генерал Алексеев" (бывший "Император Александр III") и потом захваченными немцами. После гибели немецкого капитана 1-го ранга Мируса батарея была переименована в его честь "Мирус". Батарея состояла из 4-х пушек в отдельных башнях с собственными погребами боезапаса, жилыми казематами, командный пункт с целеуказателем и 10-метровым дальномером, а также двух выдвинутых командных пунктов. Имелись прожекторные установки и одна РЛС типа "Вюрцбург" (3861).</w:t>
      </w:r>
    </w:p>
    <w:p w14:paraId="09CDEF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C73CA08" w14:textId="77777777" w:rsidR="00897CA4" w:rsidRPr="00640820" w:rsidRDefault="00897CA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w:t>
      </w:r>
      <w:r w:rsidRPr="00640820">
        <w:rPr>
          <w:rFonts w:ascii="Times New Roman" w:hAnsi="Times New Roman"/>
          <w:color w:val="000000" w:themeColor="text1"/>
          <w:sz w:val="16"/>
          <w:szCs w:val="16"/>
        </w:rPr>
        <w:softHyphen/>
        <w:t xml:space="preserve">це 1941 года на фирме </w:t>
      </w:r>
      <w:r w:rsidRPr="00640820">
        <w:rPr>
          <w:rFonts w:ascii="Times New Roman" w:hAnsi="Times New Roman"/>
          <w:color w:val="000000" w:themeColor="text1"/>
          <w:sz w:val="16"/>
          <w:szCs w:val="16"/>
          <w:lang w:val="en-US"/>
        </w:rPr>
        <w:t>Alkett</w:t>
      </w:r>
      <w:r w:rsidRPr="00640820">
        <w:rPr>
          <w:rFonts w:ascii="Times New Roman" w:hAnsi="Times New Roman"/>
          <w:color w:val="000000" w:themeColor="text1"/>
          <w:sz w:val="16"/>
          <w:szCs w:val="16"/>
        </w:rPr>
        <w:t xml:space="preserve"> началось серийное производство </w:t>
      </w:r>
      <w:r w:rsidRPr="00640820">
        <w:rPr>
          <w:rFonts w:ascii="Times New Roman" w:hAnsi="Times New Roman"/>
          <w:color w:val="000000" w:themeColor="text1"/>
          <w:sz w:val="16"/>
          <w:szCs w:val="16"/>
          <w:lang w:val="en-US"/>
        </w:rPr>
        <w:t>Sturmpanzer</w:t>
      </w:r>
      <w:r w:rsidRPr="00640820">
        <w:rPr>
          <w:rFonts w:ascii="Times New Roman" w:hAnsi="Times New Roman"/>
          <w:color w:val="000000" w:themeColor="text1"/>
          <w:sz w:val="16"/>
          <w:szCs w:val="16"/>
        </w:rPr>
        <w:t xml:space="preserve"> II. Впрочем, изготовили только 12 единиц (семь — в 1941-м и пять — в 1942-м), из которых сформировали 707-ю и 708-ю роты тяже</w:t>
      </w:r>
      <w:r w:rsidRPr="00640820">
        <w:rPr>
          <w:rFonts w:ascii="Times New Roman" w:hAnsi="Times New Roman"/>
          <w:color w:val="000000" w:themeColor="text1"/>
          <w:sz w:val="16"/>
          <w:szCs w:val="16"/>
        </w:rPr>
        <w:softHyphen/>
        <w:t>лых пехотных орудий. Обе роты отправи</w:t>
      </w:r>
      <w:r w:rsidRPr="00640820">
        <w:rPr>
          <w:rFonts w:ascii="Times New Roman" w:hAnsi="Times New Roman"/>
          <w:color w:val="000000" w:themeColor="text1"/>
          <w:sz w:val="16"/>
          <w:szCs w:val="16"/>
        </w:rPr>
        <w:softHyphen/>
        <w:t>ли в Северную Африку, где они участво</w:t>
      </w:r>
      <w:r w:rsidRPr="00640820">
        <w:rPr>
          <w:rFonts w:ascii="Times New Roman" w:hAnsi="Times New Roman"/>
          <w:color w:val="000000" w:themeColor="text1"/>
          <w:sz w:val="16"/>
          <w:szCs w:val="16"/>
        </w:rPr>
        <w:softHyphen/>
        <w:t>вали в боевых действиях, включая сраже</w:t>
      </w:r>
      <w:r w:rsidRPr="00640820">
        <w:rPr>
          <w:rFonts w:ascii="Times New Roman" w:hAnsi="Times New Roman"/>
          <w:color w:val="000000" w:themeColor="text1"/>
          <w:sz w:val="16"/>
          <w:szCs w:val="16"/>
        </w:rPr>
        <w:softHyphen/>
        <w:t>ние у Эль-Аламейна.</w:t>
      </w:r>
    </w:p>
    <w:p w14:paraId="411A659B" w14:textId="77777777" w:rsidR="00897CA4" w:rsidRPr="00640820" w:rsidRDefault="00897CA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Надо сказать, что в войсках первые штурмпанцеры встретили весьма прохлад</w:t>
      </w:r>
      <w:r w:rsidRPr="00640820">
        <w:rPr>
          <w:rFonts w:ascii="Times New Roman" w:hAnsi="Times New Roman"/>
          <w:color w:val="000000" w:themeColor="text1"/>
          <w:sz w:val="16"/>
          <w:szCs w:val="16"/>
        </w:rPr>
        <w:softHyphen/>
        <w:t xml:space="preserve">но. Во-первых, машина была почти на три тонны тяжелее танка </w:t>
      </w:r>
      <w:r w:rsidRPr="00640820">
        <w:rPr>
          <w:rFonts w:ascii="Times New Roman" w:hAnsi="Times New Roman"/>
          <w:color w:val="000000" w:themeColor="text1"/>
          <w:sz w:val="16"/>
          <w:szCs w:val="16"/>
          <w:lang w:val="en-US"/>
        </w:rPr>
        <w:t>Pz</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II</w:t>
      </w:r>
      <w:r w:rsidRPr="00640820">
        <w:rPr>
          <w:rFonts w:ascii="Times New Roman" w:hAnsi="Times New Roman"/>
          <w:color w:val="000000" w:themeColor="text1"/>
          <w:sz w:val="16"/>
          <w:szCs w:val="16"/>
        </w:rPr>
        <w:t>, что приво</w:t>
      </w:r>
      <w:r w:rsidRPr="00640820">
        <w:rPr>
          <w:rFonts w:ascii="Times New Roman" w:hAnsi="Times New Roman"/>
          <w:color w:val="000000" w:themeColor="text1"/>
          <w:sz w:val="16"/>
          <w:szCs w:val="16"/>
        </w:rPr>
        <w:softHyphen/>
        <w:t xml:space="preserve">дило к перегреву двигателя и частому его выходу из строя. Во-вторых, слабая бро- незащита не позволяла штурмовому танку оправдывать свое назначение, то есть штурмовать. И это при недостаточной дальнобойности орудия </w:t>
      </w:r>
      <w:r w:rsidRPr="00640820">
        <w:rPr>
          <w:rFonts w:ascii="Times New Roman" w:hAnsi="Times New Roman"/>
          <w:color w:val="000000" w:themeColor="text1"/>
          <w:sz w:val="16"/>
          <w:szCs w:val="16"/>
          <w:lang w:val="en-US"/>
        </w:rPr>
        <w:t>sIG</w:t>
      </w:r>
      <w:r w:rsidRPr="00640820">
        <w:rPr>
          <w:rFonts w:ascii="Times New Roman" w:hAnsi="Times New Roman"/>
          <w:color w:val="000000" w:themeColor="text1"/>
          <w:sz w:val="16"/>
          <w:szCs w:val="16"/>
        </w:rPr>
        <w:t xml:space="preserve"> 33. Даже 150- мм гаубица периода Первой мировой вой</w:t>
      </w:r>
      <w:r w:rsidRPr="00640820">
        <w:rPr>
          <w:rFonts w:ascii="Times New Roman" w:hAnsi="Times New Roman"/>
          <w:color w:val="000000" w:themeColor="text1"/>
          <w:sz w:val="16"/>
          <w:szCs w:val="16"/>
        </w:rPr>
        <w:softHyphen/>
        <w:t>ны обладала большей дальностью стрель</w:t>
      </w:r>
      <w:r w:rsidRPr="00640820">
        <w:rPr>
          <w:rFonts w:ascii="Times New Roman" w:hAnsi="Times New Roman"/>
          <w:color w:val="000000" w:themeColor="text1"/>
          <w:sz w:val="16"/>
          <w:szCs w:val="16"/>
        </w:rPr>
        <w:softHyphen/>
        <w:t>бы. Наконец, в Африке штурмпанцеры попросту были не нужны — там не было долговременных оборонительных соору</w:t>
      </w:r>
      <w:r w:rsidRPr="00640820">
        <w:rPr>
          <w:rFonts w:ascii="Times New Roman" w:hAnsi="Times New Roman"/>
          <w:color w:val="000000" w:themeColor="text1"/>
          <w:sz w:val="16"/>
          <w:szCs w:val="16"/>
        </w:rPr>
        <w:softHyphen/>
        <w:t>жений и крупных населенных пунктов, превращенных в узлы обороны.</w:t>
      </w:r>
    </w:p>
    <w:p w14:paraId="2CB8B6D6" w14:textId="77777777" w:rsidR="00897CA4" w:rsidRPr="00640820" w:rsidRDefault="00897CA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Последние </w:t>
      </w:r>
      <w:r w:rsidRPr="00640820">
        <w:rPr>
          <w:rFonts w:ascii="Times New Roman" w:hAnsi="Times New Roman"/>
          <w:color w:val="000000" w:themeColor="text1"/>
          <w:sz w:val="16"/>
          <w:szCs w:val="16"/>
          <w:lang w:val="en-US"/>
        </w:rPr>
        <w:t>Sturmpanzer</w:t>
      </w:r>
      <w:r w:rsidRPr="00640820">
        <w:rPr>
          <w:rFonts w:ascii="Times New Roman" w:hAnsi="Times New Roman"/>
          <w:color w:val="000000" w:themeColor="text1"/>
          <w:sz w:val="16"/>
          <w:szCs w:val="16"/>
        </w:rPr>
        <w:t xml:space="preserve"> II были захва</w:t>
      </w:r>
      <w:r w:rsidRPr="00640820">
        <w:rPr>
          <w:rFonts w:ascii="Times New Roman" w:hAnsi="Times New Roman"/>
          <w:color w:val="000000" w:themeColor="text1"/>
          <w:sz w:val="16"/>
          <w:szCs w:val="16"/>
        </w:rPr>
        <w:softHyphen/>
        <w:t>чены западными союзниками во время капитуляции немецких войск весной 1943 года в Тунисе. До наших дней ни одна машина этого типа не сохранилась.</w:t>
      </w:r>
    </w:p>
    <w:p w14:paraId="454B0D2E" w14:textId="77777777" w:rsidR="00897CA4" w:rsidRPr="00640820" w:rsidRDefault="00897CA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ТАКТИКО-ТЕХНИЧЕСКИЕ ХАРАКТЕРИСТИКИ </w:t>
      </w:r>
      <w:r w:rsidRPr="00640820">
        <w:rPr>
          <w:rFonts w:ascii="Times New Roman" w:hAnsi="Times New Roman"/>
          <w:color w:val="000000" w:themeColor="text1"/>
          <w:sz w:val="16"/>
          <w:szCs w:val="16"/>
          <w:lang w:val="en-US"/>
        </w:rPr>
        <w:t>Sturmpanzer</w:t>
      </w:r>
      <w:r w:rsidRPr="00640820">
        <w:rPr>
          <w:rFonts w:ascii="Times New Roman" w:hAnsi="Times New Roman"/>
          <w:color w:val="000000" w:themeColor="text1"/>
          <w:sz w:val="16"/>
          <w:szCs w:val="16"/>
        </w:rPr>
        <w:t xml:space="preserve"> II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2770"/>
        <w:gridCol w:w="907"/>
      </w:tblGrid>
      <w:tr w:rsidR="00643896" w:rsidRPr="00640820" w14:paraId="503EDD51" w14:textId="77777777" w:rsidTr="00150B39">
        <w:trPr>
          <w:trHeight w:val="240"/>
        </w:trPr>
        <w:tc>
          <w:tcPr>
            <w:tcW w:w="2770" w:type="dxa"/>
            <w:shd w:val="clear" w:color="auto" w:fill="FFFFFF"/>
          </w:tcPr>
          <w:p w14:paraId="6B456497" w14:textId="77777777" w:rsidR="00897CA4" w:rsidRPr="00640820" w:rsidRDefault="00897CA4"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Боевая масса, т</w:t>
            </w:r>
          </w:p>
        </w:tc>
        <w:tc>
          <w:tcPr>
            <w:tcW w:w="907" w:type="dxa"/>
            <w:shd w:val="clear" w:color="auto" w:fill="FFFFFF"/>
          </w:tcPr>
          <w:p w14:paraId="6030EE9D" w14:textId="77777777" w:rsidR="00897CA4" w:rsidRPr="00640820" w:rsidRDefault="00897CA4"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12</w:t>
            </w:r>
          </w:p>
        </w:tc>
      </w:tr>
      <w:tr w:rsidR="00643896" w:rsidRPr="00640820" w14:paraId="35895F6A" w14:textId="77777777" w:rsidTr="00150B39">
        <w:trPr>
          <w:trHeight w:val="206"/>
        </w:trPr>
        <w:tc>
          <w:tcPr>
            <w:tcW w:w="2770" w:type="dxa"/>
            <w:shd w:val="clear" w:color="auto" w:fill="FFFFFF"/>
          </w:tcPr>
          <w:p w14:paraId="16BD55ED" w14:textId="77777777" w:rsidR="00897CA4" w:rsidRPr="00640820" w:rsidRDefault="00897CA4"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Экипаж,чел.</w:t>
            </w:r>
          </w:p>
        </w:tc>
        <w:tc>
          <w:tcPr>
            <w:tcW w:w="907" w:type="dxa"/>
            <w:shd w:val="clear" w:color="auto" w:fill="FFFFFF"/>
          </w:tcPr>
          <w:p w14:paraId="78963558" w14:textId="77777777" w:rsidR="00897CA4" w:rsidRPr="00640820" w:rsidRDefault="00897CA4"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5</w:t>
            </w:r>
          </w:p>
        </w:tc>
      </w:tr>
      <w:tr w:rsidR="00643896" w:rsidRPr="00640820" w14:paraId="68716555" w14:textId="77777777" w:rsidTr="00150B39">
        <w:trPr>
          <w:trHeight w:val="216"/>
        </w:trPr>
        <w:tc>
          <w:tcPr>
            <w:tcW w:w="2770" w:type="dxa"/>
            <w:shd w:val="clear" w:color="auto" w:fill="FFFFFF"/>
          </w:tcPr>
          <w:p w14:paraId="721E3574" w14:textId="77777777" w:rsidR="00897CA4" w:rsidRPr="00640820" w:rsidRDefault="00897CA4"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Габаритные размеры, мм:</w:t>
            </w:r>
          </w:p>
        </w:tc>
        <w:tc>
          <w:tcPr>
            <w:tcW w:w="907" w:type="dxa"/>
            <w:shd w:val="clear" w:color="auto" w:fill="FFFFFF"/>
          </w:tcPr>
          <w:p w14:paraId="0BF59C14" w14:textId="77777777" w:rsidR="00897CA4" w:rsidRPr="00640820" w:rsidRDefault="00897CA4" w:rsidP="00640820">
            <w:pPr>
              <w:spacing w:after="0" w:line="240" w:lineRule="auto"/>
              <w:jc w:val="both"/>
              <w:rPr>
                <w:rFonts w:ascii="Times New Roman" w:hAnsi="Times New Roman"/>
                <w:color w:val="000000" w:themeColor="text1"/>
                <w:sz w:val="16"/>
                <w:szCs w:val="16"/>
              </w:rPr>
            </w:pPr>
          </w:p>
        </w:tc>
      </w:tr>
      <w:tr w:rsidR="00643896" w:rsidRPr="00640820" w14:paraId="133E1728" w14:textId="77777777" w:rsidTr="00150B39">
        <w:trPr>
          <w:trHeight w:val="182"/>
        </w:trPr>
        <w:tc>
          <w:tcPr>
            <w:tcW w:w="2770" w:type="dxa"/>
            <w:shd w:val="clear" w:color="auto" w:fill="FFFFFF"/>
          </w:tcPr>
          <w:p w14:paraId="61496550" w14:textId="77777777" w:rsidR="00897CA4" w:rsidRPr="00640820" w:rsidRDefault="00897CA4"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Длина</w:t>
            </w:r>
          </w:p>
        </w:tc>
        <w:tc>
          <w:tcPr>
            <w:tcW w:w="907" w:type="dxa"/>
            <w:shd w:val="clear" w:color="auto" w:fill="FFFFFF"/>
          </w:tcPr>
          <w:p w14:paraId="57C09C6E" w14:textId="77777777" w:rsidR="00897CA4" w:rsidRPr="00640820" w:rsidRDefault="00897CA4"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5410</w:t>
            </w:r>
          </w:p>
        </w:tc>
      </w:tr>
      <w:tr w:rsidR="00643896" w:rsidRPr="00640820" w14:paraId="6BB7B664" w14:textId="77777777" w:rsidTr="00150B39">
        <w:trPr>
          <w:trHeight w:val="206"/>
        </w:trPr>
        <w:tc>
          <w:tcPr>
            <w:tcW w:w="2770" w:type="dxa"/>
            <w:shd w:val="clear" w:color="auto" w:fill="FFFFFF"/>
          </w:tcPr>
          <w:p w14:paraId="500B2249" w14:textId="77777777" w:rsidR="00897CA4" w:rsidRPr="00640820" w:rsidRDefault="00897CA4"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Ширина</w:t>
            </w:r>
          </w:p>
        </w:tc>
        <w:tc>
          <w:tcPr>
            <w:tcW w:w="907" w:type="dxa"/>
            <w:shd w:val="clear" w:color="auto" w:fill="FFFFFF"/>
          </w:tcPr>
          <w:p w14:paraId="562F32AB" w14:textId="77777777" w:rsidR="00897CA4" w:rsidRPr="00640820" w:rsidRDefault="00897CA4"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2610</w:t>
            </w:r>
          </w:p>
        </w:tc>
      </w:tr>
      <w:tr w:rsidR="00643896" w:rsidRPr="00640820" w14:paraId="3FF2B14A" w14:textId="77777777" w:rsidTr="00150B39">
        <w:trPr>
          <w:trHeight w:val="197"/>
        </w:trPr>
        <w:tc>
          <w:tcPr>
            <w:tcW w:w="2770" w:type="dxa"/>
            <w:shd w:val="clear" w:color="auto" w:fill="FFFFFF"/>
          </w:tcPr>
          <w:p w14:paraId="01DD063B" w14:textId="77777777" w:rsidR="00897CA4" w:rsidRPr="00640820" w:rsidRDefault="00897CA4"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Высота</w:t>
            </w:r>
          </w:p>
        </w:tc>
        <w:tc>
          <w:tcPr>
            <w:tcW w:w="907" w:type="dxa"/>
            <w:shd w:val="clear" w:color="auto" w:fill="FFFFFF"/>
          </w:tcPr>
          <w:p w14:paraId="1744A821" w14:textId="77777777" w:rsidR="00897CA4" w:rsidRPr="00640820" w:rsidRDefault="00897CA4"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1600</w:t>
            </w:r>
          </w:p>
        </w:tc>
      </w:tr>
      <w:tr w:rsidR="00643896" w:rsidRPr="00640820" w14:paraId="21298DB4" w14:textId="77777777" w:rsidTr="00150B39">
        <w:trPr>
          <w:trHeight w:val="206"/>
        </w:trPr>
        <w:tc>
          <w:tcPr>
            <w:tcW w:w="2770" w:type="dxa"/>
            <w:shd w:val="clear" w:color="auto" w:fill="FFFFFF"/>
          </w:tcPr>
          <w:p w14:paraId="5C88304F" w14:textId="77777777" w:rsidR="00897CA4" w:rsidRPr="00640820" w:rsidRDefault="00897CA4"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Клиренс</w:t>
            </w:r>
          </w:p>
        </w:tc>
        <w:tc>
          <w:tcPr>
            <w:tcW w:w="907" w:type="dxa"/>
            <w:shd w:val="clear" w:color="auto" w:fill="FFFFFF"/>
          </w:tcPr>
          <w:p w14:paraId="6FB22B07" w14:textId="77777777" w:rsidR="00897CA4" w:rsidRPr="00640820" w:rsidRDefault="00897CA4"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340</w:t>
            </w:r>
          </w:p>
        </w:tc>
      </w:tr>
      <w:tr w:rsidR="00643896" w:rsidRPr="00640820" w14:paraId="3E9B00CE" w14:textId="77777777" w:rsidTr="00150B39">
        <w:trPr>
          <w:trHeight w:val="197"/>
        </w:trPr>
        <w:tc>
          <w:tcPr>
            <w:tcW w:w="2770" w:type="dxa"/>
            <w:shd w:val="clear" w:color="auto" w:fill="FFFFFF"/>
          </w:tcPr>
          <w:p w14:paraId="522DE411" w14:textId="77777777" w:rsidR="00897CA4" w:rsidRPr="00640820" w:rsidRDefault="00897CA4"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Толщина брони, мм:</w:t>
            </w:r>
          </w:p>
        </w:tc>
        <w:tc>
          <w:tcPr>
            <w:tcW w:w="907" w:type="dxa"/>
            <w:shd w:val="clear" w:color="auto" w:fill="FFFFFF"/>
          </w:tcPr>
          <w:p w14:paraId="45934A6D" w14:textId="77777777" w:rsidR="00897CA4" w:rsidRPr="00640820" w:rsidRDefault="00897CA4" w:rsidP="00640820">
            <w:pPr>
              <w:spacing w:after="0" w:line="240" w:lineRule="auto"/>
              <w:jc w:val="both"/>
              <w:rPr>
                <w:rFonts w:ascii="Times New Roman" w:hAnsi="Times New Roman"/>
                <w:color w:val="000000" w:themeColor="text1"/>
                <w:sz w:val="16"/>
                <w:szCs w:val="16"/>
              </w:rPr>
            </w:pPr>
          </w:p>
        </w:tc>
      </w:tr>
      <w:tr w:rsidR="00643896" w:rsidRPr="00640820" w14:paraId="77F685C5" w14:textId="77777777" w:rsidTr="00150B39">
        <w:trPr>
          <w:trHeight w:val="206"/>
        </w:trPr>
        <w:tc>
          <w:tcPr>
            <w:tcW w:w="2770" w:type="dxa"/>
            <w:shd w:val="clear" w:color="auto" w:fill="FFFFFF"/>
          </w:tcPr>
          <w:p w14:paraId="5B7AA411" w14:textId="77777777" w:rsidR="00897CA4" w:rsidRPr="00640820" w:rsidRDefault="00897CA4"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лоб корпуса</w:t>
            </w:r>
          </w:p>
        </w:tc>
        <w:tc>
          <w:tcPr>
            <w:tcW w:w="907" w:type="dxa"/>
            <w:shd w:val="clear" w:color="auto" w:fill="FFFFFF"/>
          </w:tcPr>
          <w:p w14:paraId="0AF51A16" w14:textId="77777777" w:rsidR="00897CA4" w:rsidRPr="00640820" w:rsidRDefault="00897CA4"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30</w:t>
            </w:r>
          </w:p>
        </w:tc>
      </w:tr>
      <w:tr w:rsidR="00643896" w:rsidRPr="00640820" w14:paraId="5A56F9C3" w14:textId="77777777" w:rsidTr="00150B39">
        <w:trPr>
          <w:trHeight w:val="211"/>
        </w:trPr>
        <w:tc>
          <w:tcPr>
            <w:tcW w:w="2770" w:type="dxa"/>
            <w:shd w:val="clear" w:color="auto" w:fill="FFFFFF"/>
          </w:tcPr>
          <w:p w14:paraId="4776D738" w14:textId="77777777" w:rsidR="00897CA4" w:rsidRPr="00640820" w:rsidRDefault="00897CA4"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борт и корма</w:t>
            </w:r>
          </w:p>
        </w:tc>
        <w:tc>
          <w:tcPr>
            <w:tcW w:w="907" w:type="dxa"/>
            <w:shd w:val="clear" w:color="auto" w:fill="FFFFFF"/>
          </w:tcPr>
          <w:p w14:paraId="352B548A" w14:textId="77777777" w:rsidR="00897CA4" w:rsidRPr="00640820" w:rsidRDefault="00897CA4"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14,5</w:t>
            </w:r>
          </w:p>
        </w:tc>
      </w:tr>
      <w:tr w:rsidR="00643896" w:rsidRPr="00640820" w14:paraId="0405DE32" w14:textId="77777777" w:rsidTr="00150B39">
        <w:trPr>
          <w:trHeight w:val="178"/>
        </w:trPr>
        <w:tc>
          <w:tcPr>
            <w:tcW w:w="2770" w:type="dxa"/>
            <w:shd w:val="clear" w:color="auto" w:fill="FFFFFF"/>
          </w:tcPr>
          <w:p w14:paraId="55B8A08E" w14:textId="77777777" w:rsidR="00897CA4" w:rsidRPr="00640820" w:rsidRDefault="00897CA4"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днище</w:t>
            </w:r>
          </w:p>
        </w:tc>
        <w:tc>
          <w:tcPr>
            <w:tcW w:w="907" w:type="dxa"/>
            <w:shd w:val="clear" w:color="auto" w:fill="FFFFFF"/>
          </w:tcPr>
          <w:p w14:paraId="26F444F3" w14:textId="77777777" w:rsidR="00897CA4" w:rsidRPr="00640820" w:rsidRDefault="00897CA4"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5</w:t>
            </w:r>
          </w:p>
        </w:tc>
      </w:tr>
      <w:tr w:rsidR="00643896" w:rsidRPr="00640820" w14:paraId="07B81E1C" w14:textId="77777777" w:rsidTr="00150B39">
        <w:trPr>
          <w:trHeight w:val="202"/>
        </w:trPr>
        <w:tc>
          <w:tcPr>
            <w:tcW w:w="2770" w:type="dxa"/>
            <w:shd w:val="clear" w:color="auto" w:fill="FFFFFF"/>
          </w:tcPr>
          <w:p w14:paraId="7029D550" w14:textId="77777777" w:rsidR="00897CA4" w:rsidRPr="00640820" w:rsidRDefault="00897CA4"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лоб рубки</w:t>
            </w:r>
          </w:p>
        </w:tc>
        <w:tc>
          <w:tcPr>
            <w:tcW w:w="907" w:type="dxa"/>
            <w:shd w:val="clear" w:color="auto" w:fill="FFFFFF"/>
          </w:tcPr>
          <w:p w14:paraId="0FE96443" w14:textId="77777777" w:rsidR="00897CA4" w:rsidRPr="00640820" w:rsidRDefault="00897CA4"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30</w:t>
            </w:r>
          </w:p>
        </w:tc>
      </w:tr>
      <w:tr w:rsidR="00643896" w:rsidRPr="00640820" w14:paraId="62D73DEF" w14:textId="77777777" w:rsidTr="00150B39">
        <w:trPr>
          <w:trHeight w:val="202"/>
        </w:trPr>
        <w:tc>
          <w:tcPr>
            <w:tcW w:w="2770" w:type="dxa"/>
            <w:shd w:val="clear" w:color="auto" w:fill="FFFFFF"/>
          </w:tcPr>
          <w:p w14:paraId="3D67BB63" w14:textId="77777777" w:rsidR="00897CA4" w:rsidRPr="00640820" w:rsidRDefault="00897CA4"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Борт</w:t>
            </w:r>
          </w:p>
        </w:tc>
        <w:tc>
          <w:tcPr>
            <w:tcW w:w="907" w:type="dxa"/>
            <w:shd w:val="clear" w:color="auto" w:fill="FFFFFF"/>
          </w:tcPr>
          <w:p w14:paraId="4F8CAD0A" w14:textId="77777777" w:rsidR="00897CA4" w:rsidRPr="00640820" w:rsidRDefault="00897CA4"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14,5</w:t>
            </w:r>
          </w:p>
        </w:tc>
      </w:tr>
      <w:tr w:rsidR="00643896" w:rsidRPr="00640820" w14:paraId="2226AF24" w14:textId="77777777" w:rsidTr="00150B39">
        <w:trPr>
          <w:trHeight w:val="202"/>
        </w:trPr>
        <w:tc>
          <w:tcPr>
            <w:tcW w:w="2770" w:type="dxa"/>
            <w:shd w:val="clear" w:color="auto" w:fill="FFFFFF"/>
          </w:tcPr>
          <w:p w14:paraId="766FE9D7" w14:textId="77777777" w:rsidR="00897CA4" w:rsidRPr="00640820" w:rsidRDefault="00897CA4"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Максимальная скорость</w:t>
            </w:r>
          </w:p>
        </w:tc>
        <w:tc>
          <w:tcPr>
            <w:tcW w:w="907" w:type="dxa"/>
            <w:shd w:val="clear" w:color="auto" w:fill="FFFFFF"/>
          </w:tcPr>
          <w:p w14:paraId="3E6ACC26" w14:textId="77777777" w:rsidR="00897CA4" w:rsidRPr="00640820" w:rsidRDefault="00897CA4" w:rsidP="00640820">
            <w:pPr>
              <w:spacing w:after="0" w:line="240" w:lineRule="auto"/>
              <w:jc w:val="both"/>
              <w:rPr>
                <w:rFonts w:ascii="Times New Roman" w:hAnsi="Times New Roman"/>
                <w:color w:val="000000" w:themeColor="text1"/>
                <w:sz w:val="16"/>
                <w:szCs w:val="16"/>
              </w:rPr>
            </w:pPr>
          </w:p>
        </w:tc>
      </w:tr>
      <w:tr w:rsidR="00643896" w:rsidRPr="00640820" w14:paraId="66B5BE19" w14:textId="77777777" w:rsidTr="00150B39">
        <w:trPr>
          <w:trHeight w:val="197"/>
        </w:trPr>
        <w:tc>
          <w:tcPr>
            <w:tcW w:w="2770" w:type="dxa"/>
            <w:shd w:val="clear" w:color="auto" w:fill="FFFFFF"/>
          </w:tcPr>
          <w:p w14:paraId="4119A9AE" w14:textId="77777777" w:rsidR="00897CA4" w:rsidRPr="00640820" w:rsidRDefault="00897CA4"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движения, км/ч</w:t>
            </w:r>
          </w:p>
        </w:tc>
        <w:tc>
          <w:tcPr>
            <w:tcW w:w="907" w:type="dxa"/>
            <w:shd w:val="clear" w:color="auto" w:fill="FFFFFF"/>
          </w:tcPr>
          <w:p w14:paraId="108F5B7F" w14:textId="77777777" w:rsidR="00897CA4" w:rsidRPr="00640820" w:rsidRDefault="00897CA4"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40</w:t>
            </w:r>
          </w:p>
        </w:tc>
      </w:tr>
      <w:tr w:rsidR="00643896" w:rsidRPr="00640820" w14:paraId="12A386CF" w14:textId="77777777" w:rsidTr="00150B39">
        <w:trPr>
          <w:trHeight w:val="269"/>
        </w:trPr>
        <w:tc>
          <w:tcPr>
            <w:tcW w:w="2770" w:type="dxa"/>
            <w:shd w:val="clear" w:color="auto" w:fill="FFFFFF"/>
          </w:tcPr>
          <w:p w14:paraId="654AB04D" w14:textId="77777777" w:rsidR="00897CA4" w:rsidRPr="00640820" w:rsidRDefault="00897CA4"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Запас хода, км</w:t>
            </w:r>
          </w:p>
        </w:tc>
        <w:tc>
          <w:tcPr>
            <w:tcW w:w="907" w:type="dxa"/>
            <w:shd w:val="clear" w:color="auto" w:fill="FFFFFF"/>
          </w:tcPr>
          <w:p w14:paraId="7D5A7766" w14:textId="77777777" w:rsidR="00897CA4" w:rsidRPr="00640820" w:rsidRDefault="00897CA4"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140</w:t>
            </w:r>
          </w:p>
        </w:tc>
      </w:tr>
    </w:tbl>
    <w:p w14:paraId="26776554" w14:textId="77777777" w:rsidR="00897CA4" w:rsidRPr="00640820" w:rsidRDefault="00897CA4"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(15232).</w:t>
      </w:r>
    </w:p>
    <w:p w14:paraId="4D770ED9" w14:textId="77777777" w:rsidR="00897CA4" w:rsidRPr="00640820" w:rsidRDefault="00897CA4" w:rsidP="00640820">
      <w:pPr>
        <w:spacing w:after="0" w:line="240" w:lineRule="auto"/>
        <w:jc w:val="both"/>
        <w:rPr>
          <w:rFonts w:ascii="Times New Roman" w:hAnsi="Times New Roman"/>
          <w:color w:val="000000" w:themeColor="text1"/>
          <w:sz w:val="16"/>
          <w:szCs w:val="16"/>
        </w:rPr>
      </w:pPr>
    </w:p>
    <w:p w14:paraId="6B8171AC"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5FF2C154"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EEF98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 начале 1942 г. в Иркутске велась работа по второму Пе-3бис. Контрольные испытания проводил летчик М. Нюхтиков. Отличия головной серийной машины зав. № 40143900 от первого варианта Пе-Збис заключались в следующем:</w:t>
      </w:r>
    </w:p>
    <w:p w14:paraId="48B81A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пулеметы УБК изъяли из носовой части фюзеляжа и разместили под центропланом на месте прежнего бомбоотсека Пе-2. Оба УБК закрепили на общей раме, закрытой легким открывающимся вбок люком. Передняя часть рамы имела цапфы, относительно которых могла поворачиваться при обслуживании и зарядке пулеметов. При освобождении задних узлов крепления пулеметы вместе с патронными ящиками опускались казенной частью вниз, что существенно упрощало процесс подготовки вооружения. Боекомплект правого пулемета состоял из 230, а левого - из 265 патронов;</w:t>
      </w:r>
    </w:p>
    <w:p w14:paraId="59E0F0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вместо турели, разработанной для первого опытного Пе-Збис заводом № 39, у штурмана смонтировали серийную установку конструкции завода № 32 (установку Торопова, она же ВУБ-1). Питание пулемета УБК (на турели устанавливался именно крыльевой - с электроспуском и пневмопе- резарядкой, а не турельный вариант пулемета Березина) было ленточным, боекомплект состоял из 200 патронов. Для повышения надежности установки пулемет оборудовали устройством электроподтяга ленты. В ходе испытаний выяснилось, что отклонение пулемета в стороны усилиями штурмана на угол свыше 40-50° при крейсерских скоростях полета невозможно из-за больших аэродинамических нагрузок. Для устранения этого явления на экран установили двухле- пестковый компенсатор;</w:t>
      </w:r>
    </w:p>
    <w:p w14:paraId="256F34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в кабине экипажа в качестве вынужденной меры сняли противокапотажную раму для улучшения условий работы штурмана в полете;</w:t>
      </w:r>
    </w:p>
    <w:p w14:paraId="362FA9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усилили бронирование экипажа, при этом общая масса стальной брони возросла до 148 кг. Спереди пилота прикрыли броне- плитками толщиной 4-6,5 мм, чего нельзя было сделать на первом варианте Пе-Збис, носовая часть которого оказалась буквально "нашпигована" оружием. Установили бронеспинку сидения пилота толщиной 13 мм и лобовые стекла из 45-мм сталинита. Кроме того, забронировали нижний люк кабины экипажа для защиты от случайного выстрела из УБК в момент посадки в самолет;</w:t>
      </w:r>
    </w:p>
    <w:p w14:paraId="5D81F4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остекление в носовой части фюзеляжа ликвидировали, оставив лишь небольшой смотровой люк перед штурманом для осуществления прицеливания при бомбометании с горизонтального полета;</w:t>
      </w:r>
    </w:p>
    <w:p w14:paraId="5D998BB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перенос оружия в центроплан вынудил уменьшить емкость бензобака № 7 и общего запаса горючего на 100л. Для изоляции бака и предохранения его от нагрева ввели асбестовую перегородку, которая одновременно служила экраном, предохранявшим пулеметы от попадания на них бензина;</w:t>
      </w:r>
    </w:p>
    <w:p w14:paraId="669259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площадь килей увеличили на 15% для повышения путевой устойчивости (только на опытном самолете);</w:t>
      </w:r>
    </w:p>
    <w:p w14:paraId="1778CD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установили противообледенительную систему на винты и лобовое стекло фонаря кабины;</w:t>
      </w:r>
    </w:p>
    <w:p w14:paraId="105EF2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вместо регуляторов постоянных оборотов винта Р-3 с электродистанционным управлением, недостаток которых состоял в возможности раскрутки винтов при выходе из пикирования, смонтировали агрегаты Р-7 со штурвальным управлением из кабины пилота;</w:t>
      </w:r>
    </w:p>
    <w:p w14:paraId="2582E6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подкосы основных стоек удлинили, в результате чего колеса в выпущенном положении сместились вперед на 60 мм. Этого оказалось достаточно для некоторого улучшения поведения истребителя на посадке.</w:t>
      </w:r>
    </w:p>
    <w:p w14:paraId="29D7EE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Нормальная полетная масса данного Пе-Збис составляла 8002 кг. Максимальная скорость полета по сравнению с машиной первого варианта немного уменьшилась: у земли до 438 км/ч, а на высоте до 527 км/ч (из-за установки компенсатора турели, увеличенных килей и подфюзеляжных пулеметов). За боевой разворот самолет набирал 540 м, время виража на высоте 1000 м составляло 30 с, а для набора высоты 5000 м требовалось 9,65 мин. Эти летно-техничес- кие данные можно считать типовыми для серийного Пе-Збис производства 1942 г. (12042).</w:t>
      </w:r>
    </w:p>
    <w:p w14:paraId="5BE206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9125E4F" w14:textId="77777777" w:rsidR="00BC4498" w:rsidRPr="00640820" w:rsidRDefault="00BC4498"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C конца 1941 по конец 1942 КБ А.Н.Т. подготовило несколько технических предложений по дальнейшему развитию 103 и хотели делать:</w:t>
      </w:r>
    </w:p>
    <w:p w14:paraId="20B8BE44" w14:textId="77777777" w:rsidR="00BC4498" w:rsidRPr="00640820" w:rsidRDefault="00BC4498"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скоростной высотный бомбардировщик с нормальной бомбовой нагрузкой 3000 кг и 2хШВАК + 2хУБ</w:t>
      </w:r>
    </w:p>
    <w:p w14:paraId="6A67E7B4" w14:textId="77777777" w:rsidR="00BC4498" w:rsidRPr="00640820" w:rsidRDefault="00BC4498"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скоростного высотного фоторазведчика с размещением в бомбоотсеке АФА-33-500 и АФА-33-200 в дополнение к обычному АФА-Б и дополнительным баком на 750 л</w:t>
      </w:r>
    </w:p>
    <w:p w14:paraId="2F30DCA7" w14:textId="77777777" w:rsidR="00BC4498" w:rsidRPr="00640820" w:rsidRDefault="00BC4498"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высотного тяжелого истребителя с установкой вперед одного УБ и 2хШ-37 при сохранении крыльевых 2хШВАК и 2хУБ и подвеской бака на 700 л в бомбоотсеке (1835,16).</w:t>
      </w:r>
    </w:p>
    <w:p w14:paraId="008DBA9A" w14:textId="77777777" w:rsidR="00BC4498" w:rsidRPr="00640820" w:rsidRDefault="00BC4498"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 начале 1942 г. в Иркутске на заводе № 39 проводилась работа по усовершенствованию Пе-3. В серию Пе-Збис запустили в апреле 1942 г. (в этом же месяце из деталей, привезенных из Москвы, сумели собрать еще 11 “обычных” Пе-3, доведя их общее количество до 207 единиц), а в НИИ ВВС опытный самолет второго варианта (зав. № 40143900) попал только в конце мая. Контрольные испытания проводил летчик М.Нюхтиков. Отличия машины от первого варианта Пе-Збис заключались в следующем:</w:t>
      </w:r>
    </w:p>
    <w:p w14:paraId="583C67CE" w14:textId="77777777" w:rsidR="00BC4498" w:rsidRPr="00640820" w:rsidRDefault="00BC4498"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пулеметы УБК изъяли из носовой части фюзеляжа и разместили под центропланом на месте прежнего бомбоотсека Пе-2. Оба УБК закрепили на общей раме, закрытой легким открывающимся вбок люком. Передняя часть рамы имела цапфы, относительно которых могла поворачиваться при обслуживании пулеметов. При освобождении задних узлов крепления пулеметы вместе с патронными ящиками опускались казенной частью вниз, что существенно упрощало процесс подготовки вооружения. Боекомплект правого пулемета состоял из 230, а левого - из 265 патронов;</w:t>
      </w:r>
    </w:p>
    <w:p w14:paraId="20673D14" w14:textId="77777777" w:rsidR="00BC4498" w:rsidRPr="00640820" w:rsidRDefault="00BC4498"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вместо турели, разработанной для первого опытного Пе-Збис заводом № 39, у штурмана смонтировали серийную установку конструкции завода № 32 (так называемую “установку Торопова”, она же ВУБ-1, она же Б-270). Питание пулемета УБК (на турели устанавливался именно крыльевой, с электроспуском и пневмоперезарядкой, а не специальный турельный вариант пулемета Березина) было ленточным, боекомплект состоял из 200 патронов. Для повышения надежности установки пулемет оборудовали устройством электроподтяга ленты. В ходе испытаний выяснилось, что отклонение пулемета в стороны усилиями штурмана на угол свыше 40-50° при крейсерских скоростях полета невозможно из-за больших аэродинамических нагрузок. Для устранения этого явления на экран установили двухлепестковый компенсатор, оказавшийся, впрочем, недостаточно эффективным;</w:t>
      </w:r>
    </w:p>
    <w:p w14:paraId="339EF525" w14:textId="77777777" w:rsidR="00BC4498" w:rsidRPr="00640820" w:rsidRDefault="00BC4498"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в кабине экипажа в качестве вынужденной меры сняли противокапотажную раму для улучшения условий работы штурмана в полете;</w:t>
      </w:r>
    </w:p>
    <w:p w14:paraId="742F4DDA" w14:textId="77777777" w:rsidR="00BC4498" w:rsidRPr="00640820" w:rsidRDefault="00BC4498"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усилили бронирование экипажа, при этом общая масса стальной брони возросла до 148 кг. Спереди пилота прикрыли бронеплитками толщиной 4-6,5 мм, чего нельзя было сделать на первом варианте Пе-Збис, носовая часть которого оказалась буквально “нашпигована” оружием. Броне-спинку сиденья пилота выполнили из стали толщиной 13 мм, а лобовые стекла - из 45-миллиметрового сталинита. Кроме того, забронировали нижний люк кабины экипажа для защиты от случайного выстрела из УБК в момент посадки в самолет;</w:t>
      </w:r>
    </w:p>
    <w:p w14:paraId="55CA93FD" w14:textId="77777777" w:rsidR="00BC4498" w:rsidRPr="00640820" w:rsidRDefault="00BC4498"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остекление в носовой части фюзеляжа ликвидировали, оставив лишь небольшой смотровой люк перед штурманом для осуществления прицеливания при бомбометании с горизонтального полета;</w:t>
      </w:r>
    </w:p>
    <w:p w14:paraId="579C2B0C" w14:textId="77777777" w:rsidR="00BC4498" w:rsidRPr="00640820" w:rsidRDefault="00BC4498"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перенос оружия в центроплан потребовал уменьшения емкости бензобака № 7 и запаса горючего на 100 л. Для изоляции бака и предохранения его от нагрева ввели асбестовую перегородку, которая одновременно служила экраном, предохранявшим пулеметы от подтекания на них бензина;</w:t>
      </w:r>
    </w:p>
    <w:p w14:paraId="1D2C58E8" w14:textId="77777777" w:rsidR="00BC4498" w:rsidRPr="00640820" w:rsidRDefault="00BC4498"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площадь килей увеличили на 15 % для повышения путевой устойчивости (только на опытном самолете);</w:t>
      </w:r>
    </w:p>
    <w:p w14:paraId="495B8530" w14:textId="77777777" w:rsidR="00BC4498" w:rsidRPr="00640820" w:rsidRDefault="00BC4498"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установили противообледенительную систему на винты и лобовое стекло фонаря кабины;</w:t>
      </w:r>
    </w:p>
    <w:p w14:paraId="57115229" w14:textId="77777777" w:rsidR="00BC4498" w:rsidRPr="00640820" w:rsidRDefault="00BC4498"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вместо регуляторов постоянных оборотов винта Р-3 с электродистанционным управлением, недостатком которых была возможность раскрутки винтов при выходе из пикирования, смонтировали агрегаты Р-7 со штурвальным управлением из кабины пилота.</w:t>
      </w:r>
    </w:p>
    <w:p w14:paraId="4E89D2EC" w14:textId="77777777" w:rsidR="00BC4498" w:rsidRPr="00640820" w:rsidRDefault="00BC4498"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Центр тяжести самолета, особенно при посадке с опустевшими баками, заметно сместился вперед из-за размещения в носовой части фюзеляжа пушки и брони. Все это привело к уменьшению противокапотажного угла и невозможности эффективного торможения - самолет так и норовил “встать на нос”. С целью устранения недостатка подкосы основных стоек удлинили, в результате чего колеса в выпущенном положении сместились вперед на 60 мм. Этого оказалось достаточно для некоторого улучшения поведения истребителя на посадке.</w:t>
      </w:r>
    </w:p>
    <w:p w14:paraId="186D9462" w14:textId="77777777" w:rsidR="00BC4498" w:rsidRPr="00640820" w:rsidRDefault="00BC4498"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Нормальная полетная масса Пе-Збис составляла 8002 кг. Максимальная скорость полета по сравнению с машиной первого варианта немного уменьшилась: у земли до 438 км/ч, а на высоте - до 527 км/ч (из-за компенсатора турели, увеличенных килей и подфюзеляжных пулеметов). За боевой разворот самолет набирал 540 м, время виража на высоте 1000 м составляло 30 с, а высоту 5000 м истребитель набирал за 9,65 мин. Эти летно-технические данные можно считать типовыми для серийного Пе-Збис производства 1942 г. Заводские номера серийных машин были шестизначными, например, 400105, что означало - Пе-Збис (40), пятый самолет (05) первой серии (01). В некоторых документах второй “ноль” в заводском номере не указывался, так как количество серий Пе-Збис не превысило десятка (4476).</w:t>
      </w:r>
    </w:p>
    <w:p w14:paraId="3EE2359D" w14:textId="77777777" w:rsidR="00BC4498" w:rsidRPr="00640820" w:rsidRDefault="00BC4498" w:rsidP="00640820">
      <w:pPr>
        <w:autoSpaceDE w:val="0"/>
        <w:autoSpaceDN w:val="0"/>
        <w:adjustRightInd w:val="0"/>
        <w:spacing w:after="0" w:line="240" w:lineRule="auto"/>
        <w:jc w:val="both"/>
        <w:rPr>
          <w:rFonts w:ascii="Times New Roman" w:hAnsi="Times New Roman"/>
          <w:color w:val="000000" w:themeColor="text1"/>
          <w:sz w:val="16"/>
          <w:szCs w:val="16"/>
        </w:rPr>
      </w:pPr>
    </w:p>
    <w:p w14:paraId="072FA2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в конце 1941 — начале 1942 г. была первая волна новых предприятий, вступивших в строй в годы войны заводы, образовавшихся в восточных регионах в результате слияния эвакуированных предприятий и заводов восточных регионов. Однако несомненно наличие и второй волны, пришедшейся на П—</w:t>
      </w:r>
      <w:r w:rsidRPr="00640820">
        <w:rPr>
          <w:rFonts w:ascii="Times New Roman" w:hAnsi="Times New Roman"/>
          <w:color w:val="000000" w:themeColor="text1"/>
          <w:sz w:val="16"/>
          <w:szCs w:val="16"/>
          <w:lang w:val="en-US"/>
        </w:rPr>
        <w:t>III</w:t>
      </w:r>
      <w:r w:rsidRPr="00640820">
        <w:rPr>
          <w:rFonts w:ascii="Times New Roman" w:hAnsi="Times New Roman"/>
          <w:color w:val="000000" w:themeColor="text1"/>
          <w:sz w:val="16"/>
          <w:szCs w:val="16"/>
        </w:rPr>
        <w:t xml:space="preserve"> кварталы 1942 г., и ознаменовавшейся вводом в эксплуатацию заводы № 23, 41, 45, 500, 315, 122, 118, 133, 280, 282, 328, 339, 150, 95 фили</w:t>
      </w:r>
      <w:r w:rsidRPr="00640820">
        <w:rPr>
          <w:rFonts w:ascii="Times New Roman" w:hAnsi="Times New Roman"/>
          <w:color w:val="000000" w:themeColor="text1"/>
          <w:sz w:val="16"/>
          <w:szCs w:val="16"/>
        </w:rPr>
        <w:softHyphen/>
        <w:t xml:space="preserve">ал. </w:t>
      </w:r>
    </w:p>
    <w:p w14:paraId="49873E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конец 1942, как показывает анализ состава НКАП (см. прил. 4), практически вся вторая волна создания новых состояла из заводов, дислоцированных в Москве или центральном про</w:t>
      </w:r>
      <w:r w:rsidRPr="00640820">
        <w:rPr>
          <w:rFonts w:ascii="Times New Roman" w:hAnsi="Times New Roman"/>
          <w:color w:val="000000" w:themeColor="text1"/>
          <w:sz w:val="16"/>
          <w:szCs w:val="16"/>
        </w:rPr>
        <w:softHyphen/>
        <w:t>мышленном районе. Очевидно, советское руководство пере</w:t>
      </w:r>
      <w:r w:rsidRPr="00640820">
        <w:rPr>
          <w:rFonts w:ascii="Times New Roman" w:hAnsi="Times New Roman"/>
          <w:color w:val="000000" w:themeColor="text1"/>
          <w:sz w:val="16"/>
          <w:szCs w:val="16"/>
        </w:rPr>
        <w:softHyphen/>
        <w:t>стало опасаться взятия столицы противником и стремилось реанимировать Авиапром центральных регионов страны.</w:t>
      </w:r>
    </w:p>
    <w:p w14:paraId="647066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Победа советских войск под Москвой положила конец надеждам гитлеровцев на осуществление блицкрига и в из</w:t>
      </w:r>
      <w:r w:rsidRPr="00640820">
        <w:rPr>
          <w:rFonts w:ascii="Times New Roman" w:hAnsi="Times New Roman"/>
          <w:color w:val="000000" w:themeColor="text1"/>
          <w:sz w:val="16"/>
          <w:szCs w:val="16"/>
        </w:rPr>
        <w:softHyphen/>
        <w:t>вестной степени успокоила высшие эшелоны советского ис</w:t>
      </w:r>
      <w:r w:rsidRPr="00640820">
        <w:rPr>
          <w:rFonts w:ascii="Times New Roman" w:hAnsi="Times New Roman"/>
          <w:color w:val="000000" w:themeColor="text1"/>
          <w:sz w:val="16"/>
          <w:szCs w:val="16"/>
        </w:rPr>
        <w:softHyphen/>
        <w:t>теблишмента. Стало ясно, что времена, когда вермахт неоста</w:t>
      </w:r>
      <w:r w:rsidRPr="00640820">
        <w:rPr>
          <w:rFonts w:ascii="Times New Roman" w:hAnsi="Times New Roman"/>
          <w:color w:val="000000" w:themeColor="text1"/>
          <w:sz w:val="16"/>
          <w:szCs w:val="16"/>
        </w:rPr>
        <w:softHyphen/>
        <w:t>новимой лавой катился на восток, прошли. Соответственно, процесс эвакуации приостановился, а затем сменился на про</w:t>
      </w:r>
      <w:r w:rsidRPr="00640820">
        <w:rPr>
          <w:rFonts w:ascii="Times New Roman" w:hAnsi="Times New Roman"/>
          <w:color w:val="000000" w:themeColor="text1"/>
          <w:sz w:val="16"/>
          <w:szCs w:val="16"/>
        </w:rPr>
        <w:softHyphen/>
        <w:t>тивоположный — реэвакуационный. Дело в том, что многие заводы либо вовсе не смогли наладить полноценный выпуск на новом месте, либо издержки такого налаживания выгля</w:t>
      </w:r>
      <w:r w:rsidRPr="00640820">
        <w:rPr>
          <w:rFonts w:ascii="Times New Roman" w:hAnsi="Times New Roman"/>
          <w:color w:val="000000" w:themeColor="text1"/>
          <w:sz w:val="16"/>
          <w:szCs w:val="16"/>
        </w:rPr>
        <w:softHyphen/>
        <w:t>дели слишком тяжёлыми. В этом свете предложения о реэ</w:t>
      </w:r>
      <w:r w:rsidRPr="00640820">
        <w:rPr>
          <w:rFonts w:ascii="Times New Roman" w:hAnsi="Times New Roman"/>
          <w:color w:val="000000" w:themeColor="text1"/>
          <w:sz w:val="16"/>
          <w:szCs w:val="16"/>
        </w:rPr>
        <w:softHyphen/>
        <w:t>вакуации, скажем, обратно в Москву, выглядели вполне обо</w:t>
      </w:r>
      <w:r w:rsidRPr="00640820">
        <w:rPr>
          <w:rFonts w:ascii="Times New Roman" w:hAnsi="Times New Roman"/>
          <w:color w:val="000000" w:themeColor="text1"/>
          <w:sz w:val="16"/>
          <w:szCs w:val="16"/>
        </w:rPr>
        <w:softHyphen/>
        <w:t>снованными. Раз противник отброшен</w:t>
      </w:r>
      <w:r w:rsidRPr="00640820">
        <w:rPr>
          <w:rFonts w:ascii="Times New Roman" w:hAnsi="Times New Roman"/>
          <w:color w:val="000000" w:themeColor="text1"/>
          <w:sz w:val="16"/>
          <w:szCs w:val="16"/>
          <w:vertAlign w:val="superscript"/>
        </w:rPr>
        <w:t>1</w:t>
      </w:r>
      <w:r w:rsidRPr="00640820">
        <w:rPr>
          <w:rFonts w:ascii="Times New Roman" w:hAnsi="Times New Roman"/>
          <w:color w:val="000000" w:themeColor="text1"/>
          <w:sz w:val="16"/>
          <w:szCs w:val="16"/>
        </w:rPr>
        <w:t xml:space="preserve"> и непосредственная угроза столице пропала — так зачем омертвлять средства в необязательном капитальном строительстве? Не лучше ль вернуться в старые корпуса? Так, например, в феврале 1942 г. началась реэвакуация из Каменск-Уральского обратно, на станцию Ступино, завода № 150, объяснявшееся именно этой логикой.</w:t>
      </w:r>
    </w:p>
    <w:p w14:paraId="471277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руководство НКАПа и само было не прочь за</w:t>
      </w:r>
      <w:r w:rsidRPr="00640820">
        <w:rPr>
          <w:rFonts w:ascii="Times New Roman" w:hAnsi="Times New Roman"/>
          <w:color w:val="000000" w:themeColor="text1"/>
          <w:sz w:val="16"/>
          <w:szCs w:val="16"/>
        </w:rPr>
        <w:softHyphen/>
        <w:t>действовать производственные площади и часть оборудова</w:t>
      </w:r>
      <w:r w:rsidRPr="00640820">
        <w:rPr>
          <w:rFonts w:ascii="Times New Roman" w:hAnsi="Times New Roman"/>
          <w:color w:val="000000" w:themeColor="text1"/>
          <w:sz w:val="16"/>
          <w:szCs w:val="16"/>
        </w:rPr>
        <w:softHyphen/>
        <w:t>ния, оставшиеся не эвакуированными. Пусть не для выпуска новой техники, но хотя бы для ремонта эти, ставшие при</w:t>
      </w:r>
      <w:r w:rsidRPr="00640820">
        <w:rPr>
          <w:rFonts w:ascii="Times New Roman" w:hAnsi="Times New Roman"/>
          <w:color w:val="000000" w:themeColor="text1"/>
          <w:sz w:val="16"/>
          <w:szCs w:val="16"/>
        </w:rPr>
        <w:softHyphen/>
        <w:t>фронтовыми, заводы — годились.</w:t>
      </w:r>
    </w:p>
    <w:p w14:paraId="2A8386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Как правило, предприятия «второй волны» представляли собой попытку задействовать в авиапроизводстве производ</w:t>
      </w:r>
      <w:r w:rsidRPr="00640820">
        <w:rPr>
          <w:rFonts w:ascii="Times New Roman" w:hAnsi="Times New Roman"/>
          <w:color w:val="000000" w:themeColor="text1"/>
          <w:sz w:val="16"/>
          <w:szCs w:val="16"/>
        </w:rPr>
        <w:softHyphen/>
        <w:t>ственные помещения и оставшееся оборудование (Как правило, полностью эвакуировать оборудование не удавалось, и часть оборудования оставалось на старом месте) эвакуиро</w:t>
      </w:r>
      <w:r w:rsidRPr="00640820">
        <w:rPr>
          <w:rFonts w:ascii="Times New Roman" w:hAnsi="Times New Roman"/>
          <w:color w:val="000000" w:themeColor="text1"/>
          <w:sz w:val="16"/>
          <w:szCs w:val="16"/>
        </w:rPr>
        <w:softHyphen/>
        <w:t>ванных заводов. Эти производственные площадки обычно обладали развитой инфраструктурой, подъездными путями и энергооборудованием, поэтому наладить производство там было сравнительно просто. Характерно, что в упоми</w:t>
      </w:r>
      <w:r w:rsidRPr="00640820">
        <w:rPr>
          <w:rFonts w:ascii="Times New Roman" w:hAnsi="Times New Roman"/>
          <w:color w:val="000000" w:themeColor="text1"/>
          <w:sz w:val="16"/>
          <w:szCs w:val="16"/>
        </w:rPr>
        <w:softHyphen/>
        <w:t>навшемся выше постановлении ГКО «Вопросы НКАП» от 14 декабря 1941 г. специально подчёркивалась важность и срочность сооружения в районе Москвы новых авиастрои</w:t>
      </w:r>
      <w:r w:rsidRPr="00640820">
        <w:rPr>
          <w:rFonts w:ascii="Times New Roman" w:hAnsi="Times New Roman"/>
          <w:color w:val="000000" w:themeColor="text1"/>
          <w:sz w:val="16"/>
          <w:szCs w:val="16"/>
        </w:rPr>
        <w:softHyphen/>
        <w:t>тельных заводов (КуманёвГ.А. Говорят сталинские наркомы. Смоленск, 2002. С. 212). Вскоре процесс пошёл вширь, не ограничи</w:t>
      </w:r>
      <w:r w:rsidRPr="00640820">
        <w:rPr>
          <w:rFonts w:ascii="Times New Roman" w:hAnsi="Times New Roman"/>
          <w:color w:val="000000" w:themeColor="text1"/>
          <w:sz w:val="16"/>
          <w:szCs w:val="16"/>
        </w:rPr>
        <w:softHyphen/>
        <w:t>ваясь вышеперечисленными заводами, введёнными в строй в середине 1942 г. На площадке эвакуированного из Москвы завода № 39 (Новый завод получил №81) было организовано производство истребителей Ла-5 (Самолётостроение в СССР. 1917—1945. Кн. 2. М., 1994. С. 227). Соответственно, на площадках эвакуированных мото</w:t>
      </w:r>
      <w:r w:rsidRPr="00640820">
        <w:rPr>
          <w:rFonts w:ascii="Times New Roman" w:hAnsi="Times New Roman"/>
          <w:color w:val="000000" w:themeColor="text1"/>
          <w:sz w:val="16"/>
          <w:szCs w:val="16"/>
        </w:rPr>
        <w:softHyphen/>
        <w:t>ростроительного завода № 16 и агрегатного № 20 возникли заводы № 265 и 41. В Рыбинске на базе эвакуированного завода № 26 в марте 1942 был создан завод № 36, занимав</w:t>
      </w:r>
      <w:r w:rsidRPr="00640820">
        <w:rPr>
          <w:rFonts w:ascii="Times New Roman" w:hAnsi="Times New Roman"/>
          <w:color w:val="000000" w:themeColor="text1"/>
          <w:sz w:val="16"/>
          <w:szCs w:val="16"/>
        </w:rPr>
        <w:softHyphen/>
        <w:t>шийся ремонтом авиамоторов (Авиадвигатели «Сатурна». М., 2003. С. 69), а с 1944 г. — выпуском ави</w:t>
      </w:r>
      <w:r w:rsidRPr="00640820">
        <w:rPr>
          <w:rFonts w:ascii="Times New Roman" w:hAnsi="Times New Roman"/>
          <w:color w:val="000000" w:themeColor="text1"/>
          <w:sz w:val="16"/>
          <w:szCs w:val="16"/>
        </w:rPr>
        <w:softHyphen/>
        <w:t>адвигателей АШ-62ИР (Авиадвигатели «Сатурна». М., 2003. С. 84). Развёртывание выпуска авиамото</w:t>
      </w:r>
      <w:r w:rsidRPr="00640820">
        <w:rPr>
          <w:rFonts w:ascii="Times New Roman" w:hAnsi="Times New Roman"/>
          <w:color w:val="000000" w:themeColor="text1"/>
          <w:sz w:val="16"/>
          <w:szCs w:val="16"/>
        </w:rPr>
        <w:softHyphen/>
        <w:t>ров в Рыбинске до 1944 г. сдерживалось постоянными бом</w:t>
      </w:r>
      <w:r w:rsidRPr="00640820">
        <w:rPr>
          <w:rFonts w:ascii="Times New Roman" w:hAnsi="Times New Roman"/>
          <w:color w:val="000000" w:themeColor="text1"/>
          <w:sz w:val="16"/>
          <w:szCs w:val="16"/>
        </w:rPr>
        <w:softHyphen/>
        <w:t>бёжками неприятельской авиации, прекратившимися лишь со второй половины 1943 г. Всего от авиаударов неприятеля пострадало около 87 % производственных площадей завода № 36. Уже к весне 1943 г. по количеству авиапредприятий центральный регион составлял чуть менее половины общей численности промышленных объектов НКАП (см. прил. 5). В результате восстановления эвакуированных предприятий центрального региона удельный вес в суммарном авиавыпу</w:t>
      </w:r>
      <w:r w:rsidRPr="00640820">
        <w:rPr>
          <w:rFonts w:ascii="Times New Roman" w:hAnsi="Times New Roman"/>
          <w:color w:val="000000" w:themeColor="text1"/>
          <w:sz w:val="16"/>
          <w:szCs w:val="16"/>
        </w:rPr>
        <w:softHyphen/>
        <w:t>ске Центральной России и Поволжья к 1944 г. практически сравнился (см. табл. «Роль различных регионов в суммар</w:t>
      </w:r>
      <w:r w:rsidRPr="00640820">
        <w:rPr>
          <w:rFonts w:ascii="Times New Roman" w:hAnsi="Times New Roman"/>
          <w:color w:val="000000" w:themeColor="text1"/>
          <w:sz w:val="16"/>
          <w:szCs w:val="16"/>
        </w:rPr>
        <w:softHyphen/>
        <w:t>ном авиавыпуске»).</w:t>
      </w:r>
    </w:p>
    <w:p w14:paraId="12C6B7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Такие «новые» заводы, возникшие на площадках старых предприятий, уехавших в эвакуацию, представляли собой очень интересный феномен создания завода уже с учётом но</w:t>
      </w:r>
      <w:r w:rsidRPr="00640820">
        <w:rPr>
          <w:rFonts w:ascii="Times New Roman" w:hAnsi="Times New Roman"/>
          <w:color w:val="000000" w:themeColor="text1"/>
          <w:sz w:val="16"/>
          <w:szCs w:val="16"/>
        </w:rPr>
        <w:softHyphen/>
        <w:t>вейших тенденций в организации производства. Рассмотрим, как типичное предприятие этой генерации, завод № 45.</w:t>
      </w:r>
    </w:p>
    <w:p w14:paraId="6C6D99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Этот завод был организован, согласно постановлению ГКО № 1283сс от 15.02.1942 г., на площадке эвакуированно</w:t>
      </w:r>
      <w:r w:rsidRPr="00640820">
        <w:rPr>
          <w:rFonts w:ascii="Times New Roman" w:hAnsi="Times New Roman"/>
          <w:color w:val="000000" w:themeColor="text1"/>
          <w:sz w:val="16"/>
          <w:szCs w:val="16"/>
        </w:rPr>
        <w:softHyphen/>
        <w:t>го авиамоторного завода № 24 для производства авиамотора АМ-38 (РГАЭ. Ф. 8044. Он. 1. Д. 2826. Л. 61). При этом принципы построения производствен</w:t>
      </w:r>
      <w:r w:rsidRPr="00640820">
        <w:rPr>
          <w:rFonts w:ascii="Times New Roman" w:hAnsi="Times New Roman"/>
          <w:color w:val="000000" w:themeColor="text1"/>
          <w:sz w:val="16"/>
          <w:szCs w:val="16"/>
        </w:rPr>
        <w:softHyphen/>
        <w:t>ного процесса на новом заводе существенно отличались от принятых на заводе № 24. Ранее монтаж узлов и агрегатов оизводился в цехе первой сборки, что вело к значительному удлинению производственных циклов, обусловленному затратой времени на постоянную подгонку «по месту» со</w:t>
      </w:r>
      <w:r w:rsidRPr="00640820">
        <w:rPr>
          <w:rFonts w:ascii="Times New Roman" w:hAnsi="Times New Roman"/>
          <w:color w:val="000000" w:themeColor="text1"/>
          <w:sz w:val="16"/>
          <w:szCs w:val="16"/>
        </w:rPr>
        <w:softHyphen/>
        <w:t>прягающихся деталей. Разумеется, о взаимозаменяемости деталей при такой организации технического процесса го</w:t>
      </w:r>
      <w:r w:rsidRPr="00640820">
        <w:rPr>
          <w:rFonts w:ascii="Times New Roman" w:hAnsi="Times New Roman"/>
          <w:color w:val="000000" w:themeColor="text1"/>
          <w:sz w:val="16"/>
          <w:szCs w:val="16"/>
        </w:rPr>
        <w:softHyphen/>
        <w:t>ворить не приходилось. На заводе № 45 пошли иным путём. Теперь ставка делалась на «агрегатный принцип», согласно Которому монтаж агрегатов должен был производиться в Специально организованных в обрабатывающих цехах сле</w:t>
      </w:r>
      <w:r w:rsidRPr="00640820">
        <w:rPr>
          <w:rFonts w:ascii="Times New Roman" w:hAnsi="Times New Roman"/>
          <w:color w:val="000000" w:themeColor="text1"/>
          <w:sz w:val="16"/>
          <w:szCs w:val="16"/>
        </w:rPr>
        <w:softHyphen/>
        <w:t>сарных группах. Это позволяло сосредоточить первичную Сборку, а также переборку после сдаточных испытаний, в пределах одного цеха. На окончательную сборку подавались уже крупные блоки, включавшие в себя несколько агрега</w:t>
      </w:r>
      <w:r w:rsidRPr="00640820">
        <w:rPr>
          <w:rFonts w:ascii="Times New Roman" w:hAnsi="Times New Roman"/>
          <w:color w:val="000000" w:themeColor="text1"/>
          <w:sz w:val="16"/>
          <w:szCs w:val="16"/>
        </w:rPr>
        <w:softHyphen/>
        <w:t>тов. Такая организация технического процесса былй ориен</w:t>
      </w:r>
      <w:r w:rsidRPr="00640820">
        <w:rPr>
          <w:rFonts w:ascii="Times New Roman" w:hAnsi="Times New Roman"/>
          <w:color w:val="000000" w:themeColor="text1"/>
          <w:sz w:val="16"/>
          <w:szCs w:val="16"/>
        </w:rPr>
        <w:softHyphen/>
        <w:t>тирована на выпуск 10—15 моторов в день, и надо отметить, что с производственным заданием завод начал справляться сравнительно быстро (12011).</w:t>
      </w:r>
    </w:p>
    <w:p w14:paraId="43985C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72C3DBF" w14:textId="77777777" w:rsidR="00897CA4"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На конец 1941-го — начало 1942 г. ситуация с кадрами авиастроения оставалась удручающей. В нашем распоряже</w:t>
      </w:r>
      <w:r w:rsidRPr="00640820">
        <w:rPr>
          <w:rFonts w:ascii="Times New Roman" w:hAnsi="Times New Roman"/>
          <w:color w:val="000000" w:themeColor="text1"/>
          <w:sz w:val="16"/>
          <w:szCs w:val="16"/>
        </w:rPr>
        <w:softHyphen/>
        <w:t>нии есть сведения о результатах эвакуации персонала с ряда авиапредприятий (см. прил. 18). Как видим, большинство предприятий смогли вывезти около трети персонала, и хотя к марту 1942 г. в большинстве случаев довоенная численность была не только восстановлена, но и перекрыта, это было до</w:t>
      </w:r>
      <w:r w:rsidRPr="00640820">
        <w:rPr>
          <w:rFonts w:ascii="Times New Roman" w:hAnsi="Times New Roman"/>
          <w:color w:val="000000" w:themeColor="text1"/>
          <w:sz w:val="16"/>
          <w:szCs w:val="16"/>
        </w:rPr>
        <w:softHyphen/>
        <w:t>стигнуто за счёт массового использования новой, а значит, в подавляющем большинстве малоквалифицированной ра</w:t>
      </w:r>
      <w:r w:rsidRPr="00640820">
        <w:rPr>
          <w:rFonts w:ascii="Times New Roman" w:hAnsi="Times New Roman"/>
          <w:color w:val="000000" w:themeColor="text1"/>
          <w:sz w:val="16"/>
          <w:szCs w:val="16"/>
        </w:rPr>
        <w:softHyphen/>
        <w:t>бочей силы. В сравнении с предприятиями других отраслей оборонки, эвакуация авиазаводов не демонстрирует значимых отличий. По данным Совета по эвакуации при СНК СССР, в среднем с оборонными предприятиями эвакуировалось 30— 40 % персонала, т.е. столько же, сколько и на авиазаводах (</w:t>
      </w:r>
      <w:r w:rsidRPr="00640820">
        <w:rPr>
          <w:rFonts w:ascii="Times New Roman" w:hAnsi="Times New Roman"/>
          <w:iCs/>
          <w:color w:val="000000" w:themeColor="text1"/>
          <w:sz w:val="16"/>
          <w:szCs w:val="16"/>
        </w:rPr>
        <w:t>Быстрова И.В.</w:t>
      </w:r>
      <w:r w:rsidRPr="00640820">
        <w:rPr>
          <w:rFonts w:ascii="Times New Roman" w:hAnsi="Times New Roman"/>
          <w:color w:val="000000" w:themeColor="text1"/>
          <w:sz w:val="16"/>
          <w:szCs w:val="16"/>
        </w:rPr>
        <w:t xml:space="preserve"> Указ. соч. С. 197.;</w:t>
      </w:r>
      <w:r w:rsidRPr="00640820">
        <w:rPr>
          <w:rFonts w:ascii="Times New Roman" w:hAnsi="Times New Roman"/>
          <w:iCs/>
          <w:color w:val="000000" w:themeColor="text1"/>
          <w:sz w:val="16"/>
          <w:szCs w:val="16"/>
        </w:rPr>
        <w:t xml:space="preserve"> Савицкий ИМ.</w:t>
      </w:r>
      <w:r w:rsidRPr="00640820">
        <w:rPr>
          <w:rFonts w:ascii="Times New Roman" w:hAnsi="Times New Roman"/>
          <w:color w:val="000000" w:themeColor="text1"/>
          <w:sz w:val="16"/>
          <w:szCs w:val="16"/>
        </w:rPr>
        <w:t xml:space="preserve"> Важнейший арсенал Сибири. Новосибирск, 2005. С. 43).</w:t>
      </w:r>
    </w:p>
    <w:p w14:paraId="0749A11B" w14:textId="77777777" w:rsidR="00897CA4"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Cs/>
          <w:color w:val="000000" w:themeColor="text1"/>
          <w:sz w:val="16"/>
          <w:szCs w:val="16"/>
        </w:rPr>
        <w:t>Приложение 18</w:t>
      </w:r>
    </w:p>
    <w:p w14:paraId="2EB63E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Кадровая ситуация на ряде авиапредприятий на март 1942 г. (РГАЭ. Ф. 8044. </w:t>
      </w:r>
      <w:r w:rsidRPr="00640820">
        <w:rPr>
          <w:rFonts w:ascii="Times New Roman" w:hAnsi="Times New Roman"/>
          <w:color w:val="000000" w:themeColor="text1"/>
          <w:sz w:val="16"/>
          <w:szCs w:val="16"/>
          <w:lang w:val="en-US"/>
        </w:rPr>
        <w:t>On</w:t>
      </w:r>
      <w:r w:rsidRPr="00640820">
        <w:rPr>
          <w:rFonts w:ascii="Times New Roman" w:hAnsi="Times New Roman"/>
          <w:color w:val="000000" w:themeColor="text1"/>
          <w:sz w:val="16"/>
          <w:szCs w:val="16"/>
        </w:rPr>
        <w:t>. 1. Д. 4466.</w:t>
      </w:r>
      <w:r w:rsidRPr="00640820">
        <w:rPr>
          <w:rFonts w:ascii="Times New Roman" w:hAnsi="Times New Roman"/>
          <w:iCs/>
          <w:color w:val="000000" w:themeColor="text1"/>
          <w:sz w:val="16"/>
          <w:szCs w:val="16"/>
        </w:rPr>
        <w:t xml:space="preserve"> Л</w:t>
      </w:r>
      <w:r w:rsidRPr="00640820">
        <w:rPr>
          <w:rFonts w:ascii="Times New Roman" w:hAnsi="Times New Roman"/>
          <w:color w:val="000000" w:themeColor="text1"/>
          <w:sz w:val="16"/>
          <w:szCs w:val="16"/>
        </w:rPr>
        <w:t xml:space="preserve"> 165—288; Д. 4467. Л. 6)</w:t>
      </w:r>
    </w:p>
    <w:tbl>
      <w:tblPr>
        <w:tblW w:w="0" w:type="auto"/>
        <w:tblInd w:w="8" w:type="dxa"/>
        <w:tblLayout w:type="fixed"/>
        <w:tblCellMar>
          <w:left w:w="0" w:type="dxa"/>
          <w:right w:w="0" w:type="dxa"/>
        </w:tblCellMar>
        <w:tblLook w:val="0000" w:firstRow="0" w:lastRow="0" w:firstColumn="0" w:lastColumn="0" w:noHBand="0" w:noVBand="0"/>
      </w:tblPr>
      <w:tblGrid>
        <w:gridCol w:w="557"/>
        <w:gridCol w:w="1080"/>
        <w:gridCol w:w="1090"/>
        <w:gridCol w:w="1085"/>
        <w:gridCol w:w="1080"/>
        <w:gridCol w:w="1070"/>
      </w:tblGrid>
      <w:tr w:rsidR="00643896" w:rsidRPr="00640820" w14:paraId="22F903C0" w14:textId="77777777" w:rsidTr="000D3BCB">
        <w:trPr>
          <w:trHeight w:val="806"/>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208F8A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за</w:t>
            </w:r>
            <w:r w:rsidRPr="00640820">
              <w:rPr>
                <w:rFonts w:ascii="Times New Roman" w:hAnsi="Times New Roman"/>
                <w:color w:val="000000" w:themeColor="text1"/>
                <w:sz w:val="16"/>
                <w:szCs w:val="16"/>
                <w:lang w:val="en-US"/>
              </w:rPr>
              <w:softHyphen/>
              <w:t>вода</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3DB003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Число работаю</w:t>
            </w:r>
            <w:r w:rsidRPr="00640820">
              <w:rPr>
                <w:rFonts w:ascii="Times New Roman" w:hAnsi="Times New Roman"/>
                <w:color w:val="000000" w:themeColor="text1"/>
                <w:sz w:val="16"/>
                <w:szCs w:val="16"/>
              </w:rPr>
              <w:softHyphen/>
              <w:t>щим заводе до эвакуация</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248A77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Число эва</w:t>
            </w:r>
            <w:r w:rsidRPr="00640820">
              <w:rPr>
                <w:rFonts w:ascii="Times New Roman" w:hAnsi="Times New Roman"/>
                <w:color w:val="000000" w:themeColor="text1"/>
                <w:sz w:val="16"/>
                <w:szCs w:val="16"/>
                <w:lang w:val="en-US"/>
              </w:rPr>
              <w:softHyphen/>
              <w:t>куированных сотрудников</w:t>
            </w:r>
            <w:r w:rsidRPr="00640820">
              <w:rPr>
                <w:rFonts w:ascii="Times New Roman" w:hAnsi="Times New Roman"/>
                <w:color w:val="000000" w:themeColor="text1"/>
                <w:sz w:val="16"/>
                <w:szCs w:val="16"/>
                <w:vertAlign w:val="superscript"/>
                <w:lang w:val="en-US"/>
              </w:rPr>
              <w:t>1</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6F17D1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рабочих на заводе на 1 марта 1942 г.</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7FBDBD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Рабочих и уче</w:t>
            </w:r>
            <w:r w:rsidRPr="00640820">
              <w:rPr>
                <w:rFonts w:ascii="Times New Roman" w:hAnsi="Times New Roman"/>
                <w:color w:val="000000" w:themeColor="text1"/>
                <w:sz w:val="16"/>
                <w:szCs w:val="16"/>
              </w:rPr>
              <w:softHyphen/>
              <w:t>ников на 1 марта 1942 г.</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2D1F40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ИТР на 1 марта 1942 г.</w:t>
            </w:r>
          </w:p>
        </w:tc>
      </w:tr>
      <w:tr w:rsidR="00643896" w:rsidRPr="00640820" w14:paraId="504F308D" w14:textId="77777777" w:rsidTr="000D3BCB">
        <w:trPr>
          <w:trHeight w:val="221"/>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4611B3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3020B5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19931</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71EC6E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6695(33,5)</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1667EC3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11564</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2BDEA2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19023»</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171D0B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2542</w:t>
            </w:r>
          </w:p>
        </w:tc>
      </w:tr>
      <w:tr w:rsidR="00643896" w:rsidRPr="00640820" w14:paraId="31DD2440" w14:textId="77777777" w:rsidTr="000D3BCB">
        <w:trPr>
          <w:trHeight w:val="221"/>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09065F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547D0B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18433</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5C1DA7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5592 (303)</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78BC02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15287</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5FBF63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17739</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4C4944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2743</w:t>
            </w:r>
          </w:p>
        </w:tc>
      </w:tr>
      <w:tr w:rsidR="00643896" w:rsidRPr="00640820" w14:paraId="0A742AD4" w14:textId="77777777" w:rsidTr="000D3BCB">
        <w:trPr>
          <w:trHeight w:val="226"/>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0BC47EF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454</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0C46DFA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857</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15FE1B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352(41,1)</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50811C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1090</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042C3B3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1544</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2FE8A0F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286</w:t>
            </w:r>
          </w:p>
        </w:tc>
      </w:tr>
      <w:tr w:rsidR="00643896" w:rsidRPr="00640820" w14:paraId="44B00603" w14:textId="77777777" w:rsidTr="000D3BCB">
        <w:trPr>
          <w:trHeight w:val="221"/>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259BCD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145</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652B44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1712+720*</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47EE79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615+459+98*</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22C833C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1691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7576C8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2222</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68FCC8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461</w:t>
            </w:r>
          </w:p>
        </w:tc>
      </w:tr>
      <w:tr w:rsidR="00643896" w:rsidRPr="00640820" w14:paraId="2DA629B8" w14:textId="77777777" w:rsidTr="000D3BCB">
        <w:trPr>
          <w:trHeight w:val="221"/>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2FE37B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305</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44F2AE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1560</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2D0A31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533 (34,2)</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7B1EE2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599</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6AE244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843</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0565CE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219</w:t>
            </w:r>
          </w:p>
        </w:tc>
      </w:tr>
      <w:tr w:rsidR="00643896" w:rsidRPr="00640820" w14:paraId="33035170" w14:textId="77777777" w:rsidTr="000D3BCB">
        <w:trPr>
          <w:trHeight w:val="221"/>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5A9B41B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35</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113533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4363</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4110C7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1654(37,9)</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3BC4D0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1653</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088C35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2062</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05FF6CF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471</w:t>
            </w:r>
          </w:p>
        </w:tc>
      </w:tr>
      <w:tr w:rsidR="00643896" w:rsidRPr="00640820" w14:paraId="4F9FFEA5" w14:textId="77777777" w:rsidTr="000D3BCB">
        <w:trPr>
          <w:trHeight w:val="221"/>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215801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24</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483098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21257</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0B58FD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8435(39,7)</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700FDA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12612</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2B36C6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16367</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6F594B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3626</w:t>
            </w:r>
          </w:p>
        </w:tc>
      </w:tr>
      <w:tr w:rsidR="00643896" w:rsidRPr="00640820" w14:paraId="101DC383" w14:textId="77777777" w:rsidTr="000D3BCB">
        <w:trPr>
          <w:trHeight w:val="226"/>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47F8D5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289"</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301B27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470</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1CB761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345(71)</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4222F0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334</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516B18D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344</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14A4C4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245*</w:t>
            </w:r>
          </w:p>
        </w:tc>
      </w:tr>
      <w:tr w:rsidR="00643896" w:rsidRPr="00640820" w14:paraId="662A0591" w14:textId="77777777" w:rsidTr="000D3BCB">
        <w:trPr>
          <w:trHeight w:val="221"/>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60E23B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218</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620E9F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3600</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66037E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354(9,85)</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2F2499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726</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2A21963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996</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658CD0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231</w:t>
            </w:r>
          </w:p>
        </w:tc>
      </w:tr>
      <w:tr w:rsidR="00643896" w:rsidRPr="00640820" w14:paraId="0A62CEF1" w14:textId="77777777" w:rsidTr="000D3BCB">
        <w:trPr>
          <w:trHeight w:val="221"/>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752483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20</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14C3D7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2320</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3835AE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1966(84,9)</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7E71C7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3324</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6DEEC2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3720</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7BB5D9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686</w:t>
            </w:r>
          </w:p>
        </w:tc>
      </w:tr>
      <w:tr w:rsidR="00643896" w:rsidRPr="00640820" w14:paraId="0BCA8FA8" w14:textId="77777777" w:rsidTr="000D3BCB">
        <w:trPr>
          <w:trHeight w:val="226"/>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0BA9AA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070942C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22700</w:t>
            </w:r>
            <w:r w:rsidRPr="00640820">
              <w:rPr>
                <w:rFonts w:ascii="Times New Roman" w:hAnsi="Times New Roman"/>
                <w:color w:val="000000" w:themeColor="text1"/>
                <w:sz w:val="16"/>
                <w:szCs w:val="16"/>
                <w:vertAlign w:val="superscript"/>
                <w:lang w:val="en-US"/>
              </w:rPr>
              <w:t>й</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09528AE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На (60)</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3EA7A0E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21954</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3FD38C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24990</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31CFCB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4814</w:t>
            </w:r>
          </w:p>
        </w:tc>
      </w:tr>
      <w:tr w:rsidR="00643896" w:rsidRPr="00640820" w14:paraId="3233605C" w14:textId="77777777" w:rsidTr="000D3BCB">
        <w:trPr>
          <w:trHeight w:val="221"/>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74F5D0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266</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153E99B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3815*</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1D9BFA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1456(38,2)*</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03F6B3E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6139</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2A5FD81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7177</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39F2C9C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1209</w:t>
            </w:r>
          </w:p>
        </w:tc>
      </w:tr>
      <w:tr w:rsidR="00643896" w:rsidRPr="00640820" w14:paraId="6175DF75" w14:textId="77777777" w:rsidTr="000D3BCB">
        <w:trPr>
          <w:trHeight w:val="221"/>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780482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29</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600CD4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13135'</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673E86C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5266* (40,1)</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64C491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7175</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641096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10251</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6B601E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1773</w:t>
            </w:r>
          </w:p>
        </w:tc>
      </w:tr>
      <w:tr w:rsidR="00643896" w:rsidRPr="00640820" w14:paraId="285B91F2" w14:textId="77777777" w:rsidTr="000D3BCB">
        <w:trPr>
          <w:trHeight w:val="221"/>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020A73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w:t>
            </w:r>
          </w:p>
        </w:tc>
        <w:tc>
          <w:tcPr>
            <w:tcW w:w="2170" w:type="dxa"/>
            <w:gridSpan w:val="2"/>
            <w:tcBorders>
              <w:top w:val="single" w:sz="6" w:space="0" w:color="auto"/>
              <w:left w:val="single" w:sz="6" w:space="0" w:color="auto"/>
              <w:bottom w:val="single" w:sz="6" w:space="0" w:color="auto"/>
              <w:right w:val="single" w:sz="6" w:space="0" w:color="auto"/>
            </w:tcBorders>
            <w:shd w:val="clear" w:color="auto" w:fill="FFFFFF"/>
          </w:tcPr>
          <w:p w14:paraId="660699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Не эвакуировался</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264781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13131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205234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15121</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0CAB72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2615</w:t>
            </w:r>
          </w:p>
        </w:tc>
      </w:tr>
      <w:tr w:rsidR="00643896" w:rsidRPr="00640820" w14:paraId="5932ABEC" w14:textId="77777777" w:rsidTr="000D3BCB">
        <w:trPr>
          <w:trHeight w:val="221"/>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5BFAB9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32</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3CB49D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7400</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77FD56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2450(33,2)</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4CE1DB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3350</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0FA884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5126</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4EF2F1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929</w:t>
            </w:r>
          </w:p>
        </w:tc>
      </w:tr>
      <w:tr w:rsidR="00643896" w:rsidRPr="00640820" w14:paraId="5F7F3163" w14:textId="77777777" w:rsidTr="000D3BCB">
        <w:trPr>
          <w:trHeight w:val="221"/>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07FA58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2A3133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7730</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3C80DF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2664(34,5)</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371A7AC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9000</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0DE436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12850</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06FE29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Ид.</w:t>
            </w:r>
          </w:p>
        </w:tc>
      </w:tr>
      <w:tr w:rsidR="00643896" w:rsidRPr="00640820" w14:paraId="2A38AA47" w14:textId="77777777" w:rsidTr="000D3BCB">
        <w:trPr>
          <w:trHeight w:val="226"/>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2D96951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33</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04E212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5350</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6FF0A5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1970(36,8)</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7DFE1D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4553</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18B7A8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4957</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58C575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919</w:t>
            </w:r>
          </w:p>
        </w:tc>
      </w:tr>
      <w:tr w:rsidR="00643896" w:rsidRPr="00640820" w14:paraId="4B406277" w14:textId="77777777" w:rsidTr="000D3BCB">
        <w:trPr>
          <w:trHeight w:val="600"/>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5AE941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1(Оргавиапром)</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417A38A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2468</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08DD36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1457(59)</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2986EE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1744</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386DF2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Нд.</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6CEC95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326</w:t>
            </w:r>
          </w:p>
        </w:tc>
      </w:tr>
      <w:tr w:rsidR="00643896" w:rsidRPr="00640820" w14:paraId="3D77BD5F" w14:textId="77777777" w:rsidTr="000D3BCB">
        <w:trPr>
          <w:trHeight w:val="221"/>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000E401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224</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3DBD18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989</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1A6A93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412(41,7)</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059B2E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650</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2D4A689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906</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1A9ABE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186</w:t>
            </w:r>
          </w:p>
        </w:tc>
      </w:tr>
      <w:tr w:rsidR="00643896" w:rsidRPr="00640820" w14:paraId="5D2E2A7D" w14:textId="77777777" w:rsidTr="000D3BCB">
        <w:trPr>
          <w:trHeight w:val="245"/>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35A8C8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387</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2717C1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2342</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557975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1031(44)</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2F9E90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3305</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7119DA1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3698</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07D04D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574</w:t>
            </w:r>
          </w:p>
        </w:tc>
      </w:tr>
    </w:tbl>
    <w:p w14:paraId="4F20E7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vertAlign w:val="superscript"/>
        </w:rPr>
        <w:t>1</w:t>
      </w:r>
      <w:r w:rsidRPr="00640820">
        <w:rPr>
          <w:rFonts w:ascii="Times New Roman" w:hAnsi="Times New Roman"/>
          <w:color w:val="000000" w:themeColor="text1"/>
          <w:sz w:val="16"/>
          <w:szCs w:val="16"/>
        </w:rPr>
        <w:t xml:space="preserve"> Для наглядности в скобках приводится удельный вес (в %) эвакуированных по отношению к довоенной численности персонала.</w:t>
      </w:r>
    </w:p>
    <w:p w14:paraId="3C5E47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vertAlign w:val="superscript"/>
        </w:rPr>
        <w:t>н</w:t>
      </w:r>
      <w:r w:rsidRPr="00640820">
        <w:rPr>
          <w:rFonts w:ascii="Times New Roman" w:hAnsi="Times New Roman"/>
          <w:color w:val="000000" w:themeColor="text1"/>
          <w:sz w:val="16"/>
          <w:szCs w:val="16"/>
        </w:rPr>
        <w:t xml:space="preserve"> В данной таблице под понятием «ученики» собрано несколько достаточно раз</w:t>
      </w:r>
      <w:r w:rsidRPr="00640820">
        <w:rPr>
          <w:rFonts w:ascii="Times New Roman" w:hAnsi="Times New Roman"/>
          <w:color w:val="000000" w:themeColor="text1"/>
          <w:sz w:val="16"/>
          <w:szCs w:val="16"/>
        </w:rPr>
        <w:softHyphen/>
        <w:t>ношёрстных категорий работников, не подпадающих под определение «рабочий». Т.к. давать подробную разбивку по каждому заводу нецелесообразно из соображений чита</w:t>
      </w:r>
      <w:r w:rsidRPr="00640820">
        <w:rPr>
          <w:rFonts w:ascii="Times New Roman" w:hAnsi="Times New Roman"/>
          <w:color w:val="000000" w:themeColor="text1"/>
          <w:sz w:val="16"/>
          <w:szCs w:val="16"/>
        </w:rPr>
        <w:softHyphen/>
        <w:t>бельности таблицы, мы ограничимся примером завода № 18. Кроме 11564 рабочих, на нём трудилось 980 учеников школ ФЗО и РУ; 5009 рабочих из числа рабочих батальо</w:t>
      </w:r>
      <w:r w:rsidRPr="00640820">
        <w:rPr>
          <w:rFonts w:ascii="Times New Roman" w:hAnsi="Times New Roman"/>
          <w:color w:val="000000" w:themeColor="text1"/>
          <w:sz w:val="16"/>
          <w:szCs w:val="16"/>
        </w:rPr>
        <w:softHyphen/>
        <w:t>нов (так в документе, хотя официальным термином было — рабочие колонны) НКО; 1060 учеников на производстве; и 410 рабочих из ВТУЗов и техникумов.</w:t>
      </w:r>
    </w:p>
    <w:p w14:paraId="07F790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vertAlign w:val="superscript"/>
        </w:rPr>
        <w:t>ш</w:t>
      </w:r>
      <w:r w:rsidRPr="00640820">
        <w:rPr>
          <w:rFonts w:ascii="Times New Roman" w:hAnsi="Times New Roman"/>
          <w:color w:val="000000" w:themeColor="text1"/>
          <w:sz w:val="16"/>
          <w:szCs w:val="16"/>
        </w:rPr>
        <w:t xml:space="preserve"> Завод № 145 образовался в результате слияния в эвакуации заводов № 145 и 455.</w:t>
      </w:r>
    </w:p>
    <w:p w14:paraId="3F6B6B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Соответственно с заводов № 145, 455 и 261 в среднем было эвакуировано ок. 44 % персонала предприятий.</w:t>
      </w:r>
    </w:p>
    <w:p w14:paraId="171559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Формально Совет по эвакуации, действовавший под руко</w:t>
      </w:r>
      <w:r w:rsidRPr="00640820">
        <w:rPr>
          <w:rFonts w:ascii="Times New Roman" w:hAnsi="Times New Roman"/>
          <w:color w:val="000000" w:themeColor="text1"/>
          <w:sz w:val="16"/>
          <w:szCs w:val="16"/>
        </w:rPr>
        <w:softHyphen/>
        <w:t>водством ГКО, разработал порядок эвакуации, согласно кото</w:t>
      </w:r>
      <w:r w:rsidRPr="00640820">
        <w:rPr>
          <w:rFonts w:ascii="Times New Roman" w:hAnsi="Times New Roman"/>
          <w:color w:val="000000" w:themeColor="text1"/>
          <w:sz w:val="16"/>
          <w:szCs w:val="16"/>
        </w:rPr>
        <w:softHyphen/>
        <w:t>рому каждый работник предприятия имел право взять 100 кг груза на себя и по 40 кг на каждого члена семьи, причём этот груз перевозился бесплатно. Помимо этого, на время эвакуа</w:t>
      </w:r>
      <w:r w:rsidRPr="00640820">
        <w:rPr>
          <w:rFonts w:ascii="Times New Roman" w:hAnsi="Times New Roman"/>
          <w:color w:val="000000" w:themeColor="text1"/>
          <w:sz w:val="16"/>
          <w:szCs w:val="16"/>
        </w:rPr>
        <w:softHyphen/>
        <w:t>ции работникам выплачивались своеобразные подъёмные в размере средней, за последние 3 месяца, зарплаты, плюс чет</w:t>
      </w:r>
      <w:r w:rsidRPr="00640820">
        <w:rPr>
          <w:rFonts w:ascii="Times New Roman" w:hAnsi="Times New Roman"/>
          <w:color w:val="000000" w:themeColor="text1"/>
          <w:sz w:val="16"/>
          <w:szCs w:val="16"/>
        </w:rPr>
        <w:softHyphen/>
        <w:t>верть оклада за жену и по одной восьмой оклада на каждого из остальных неработающих членов семьи (</w:t>
      </w:r>
      <w:r w:rsidRPr="00640820">
        <w:rPr>
          <w:rFonts w:ascii="Times New Roman" w:hAnsi="Times New Roman"/>
          <w:iCs/>
          <w:color w:val="000000" w:themeColor="text1"/>
          <w:sz w:val="16"/>
          <w:szCs w:val="16"/>
        </w:rPr>
        <w:t>Кравченко Г.С.</w:t>
      </w:r>
      <w:r w:rsidRPr="00640820">
        <w:rPr>
          <w:rFonts w:ascii="Times New Roman" w:hAnsi="Times New Roman"/>
          <w:color w:val="000000" w:themeColor="text1"/>
          <w:sz w:val="16"/>
          <w:szCs w:val="16"/>
        </w:rPr>
        <w:t xml:space="preserve"> Указ. соч. С. 113). Однако на прак</w:t>
      </w:r>
      <w:r w:rsidRPr="00640820">
        <w:rPr>
          <w:rFonts w:ascii="Times New Roman" w:hAnsi="Times New Roman"/>
          <w:color w:val="000000" w:themeColor="text1"/>
          <w:sz w:val="16"/>
          <w:szCs w:val="16"/>
        </w:rPr>
        <w:softHyphen/>
        <w:t>тике этот порядок соблюдался далеко не всегда (12011).</w:t>
      </w:r>
    </w:p>
    <w:p w14:paraId="2904F1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DC2EF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 начале 1942 г. только на разведывательные варианты ставили радиополукомпасы РПК-2. Иногда на фронте усовершенствовали радиооборудование, обеспечивая через СПУ всем членам экипажа радиотелефонную связь с командным пунктом для оперативной передачи информации (4476).</w:t>
      </w:r>
    </w:p>
    <w:p w14:paraId="7A5829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34EEDCE" w14:textId="77777777" w:rsidR="0059263F" w:rsidRPr="00640820" w:rsidRDefault="0059263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и начале 1942 годов филиал в Казани обобщал материал, накопленный ранее по продувкам самолетов в больших аэродинамических трубах ЦАГИ-Стаханове. В начале марта 1942 г. начальник филиала ЦАГИ-Казань подписал «Отчет по испытаниям моде - ли № 19 завода № 168 НКАП». Это была модель десантного планера БИЧ-19, выполненного по схеме летающее крыло. В аэродинамической трубе Т-1-К проводили определение аэродинамических характеристик и оценивали эффективность органов управления. Анализ результатов показал, что модель обладает малым значением максимального коэффициента подъемной силы, недостаточной эффективностью закрылков и узким диапазоном возможных центровок. Кроме того, устойчивость пути и эффективность руля направления оказались неудовлетворительными. В итоге проект планера БИЧ-19 дальнейшего развития не получил. В Казани институту пришлось преодолеть ряд серьезных трудностей, связанных с обеспечением нормальней производственной деятельности и созданием элементарных бытовых условий для вновь прибывших сотрудников. В октябре и ноябре пришлось жаловаться в обком партии и Уполномоченному комиссии партийного контроля при ЦК ВКП(б). Начальник института С. Н. Шишкин в конце года в своей докладной записке на имя А. С. Яковлева с горечью писал: «Работать здесь нелегко, так как... городские организации, как правило, не знают ЦАГИ и плохо понимают его роль». Тем не менее, в Казани работал семинар по аэродинамике. Наряду с М. В. Келдышем и С. А. Хрис - тиановичем в его работе принимали участие И. В. Осто славский, Л. Г. Лойцянский, А. К. Мартынов, Г. П. Свищев, Г. С. Бюшгенс (19727).</w:t>
      </w:r>
    </w:p>
    <w:p w14:paraId="2605C217" w14:textId="77777777" w:rsidR="0059263F" w:rsidRPr="00640820" w:rsidRDefault="0059263F" w:rsidP="00640820">
      <w:pPr>
        <w:spacing w:after="0" w:line="240" w:lineRule="auto"/>
        <w:jc w:val="both"/>
        <w:rPr>
          <w:rFonts w:ascii="Times New Roman" w:hAnsi="Times New Roman"/>
          <w:color w:val="000000" w:themeColor="text1"/>
          <w:sz w:val="16"/>
          <w:szCs w:val="16"/>
        </w:rPr>
      </w:pPr>
    </w:p>
    <w:p w14:paraId="45F3C66B" w14:textId="77777777" w:rsidR="0059263F" w:rsidRPr="00640820" w:rsidRDefault="0059263F" w:rsidP="00640820">
      <w:pPr>
        <w:spacing w:after="0" w:line="240" w:lineRule="auto"/>
        <w:jc w:val="both"/>
        <w:rPr>
          <w:rFonts w:ascii="Times New Roman" w:hAnsi="Times New Roman"/>
          <w:color w:val="000000" w:themeColor="text1"/>
          <w:sz w:val="16"/>
          <w:szCs w:val="16"/>
          <w:shd w:val="clear" w:color="auto" w:fill="FFFFFF"/>
        </w:rPr>
      </w:pPr>
      <w:r w:rsidRPr="00640820">
        <w:rPr>
          <w:rFonts w:ascii="Times New Roman" w:hAnsi="Times New Roman"/>
          <w:color w:val="000000" w:themeColor="text1"/>
          <w:sz w:val="16"/>
          <w:szCs w:val="16"/>
          <w:shd w:val="clear" w:color="auto" w:fill="FFFFFF"/>
        </w:rPr>
        <w:t>В конце 1941 – начале 1942 года“Огневые мешки” пользовались повышенным спросом. В дальнейшем, по мере поступления в войска новых, более эффективных, зажигательных средств, спрос на них уменьшился. Последние сообщения об их успешном применении в боевых операциях на Северном Кавказе относятся к декабрю 1942 года. Соответственно, снизились и заказы на их изготовление, а в 1943 году и вовсе прекратились.</w:t>
      </w:r>
    </w:p>
    <w:p w14:paraId="340FDD73" w14:textId="77777777" w:rsidR="0059263F" w:rsidRPr="00640820" w:rsidRDefault="0059263F" w:rsidP="00640820">
      <w:pPr>
        <w:spacing w:after="0" w:line="240" w:lineRule="auto"/>
        <w:jc w:val="both"/>
        <w:rPr>
          <w:rFonts w:ascii="Times New Roman" w:hAnsi="Times New Roman"/>
          <w:color w:val="000000" w:themeColor="text1"/>
          <w:sz w:val="16"/>
          <w:szCs w:val="16"/>
          <w:shd w:val="clear" w:color="auto" w:fill="FFFFFF"/>
        </w:rPr>
      </w:pPr>
      <w:r w:rsidRPr="00640820">
        <w:rPr>
          <w:rFonts w:ascii="Times New Roman" w:hAnsi="Times New Roman"/>
          <w:color w:val="000000" w:themeColor="text1"/>
          <w:sz w:val="16"/>
          <w:szCs w:val="16"/>
          <w:shd w:val="clear" w:color="auto" w:fill="FFFFFF"/>
        </w:rPr>
        <w:t>Главной проблемой была организация выпуска простых в изготовлении боеприпасов из доступных исходных материалов. И решить эту проблему удалось. Герой Социалистического Труда Александр Ерминингельдович Арбузов и его сын академик Борис Александрович Арбузов синтезировали новый состав сильной горючей смеси. Именно бутылки с этой «зажигалкой» и использовали наши солдаты, бросаясь в атаку на фашистские танки.</w:t>
      </w:r>
    </w:p>
    <w:p w14:paraId="5FAF51CD" w14:textId="77777777" w:rsidR="0059263F" w:rsidRPr="00640820" w:rsidRDefault="0059263F" w:rsidP="00640820">
      <w:pPr>
        <w:spacing w:after="0" w:line="240" w:lineRule="auto"/>
        <w:jc w:val="both"/>
        <w:rPr>
          <w:rFonts w:ascii="Times New Roman" w:hAnsi="Times New Roman"/>
          <w:color w:val="000000" w:themeColor="text1"/>
          <w:sz w:val="16"/>
          <w:szCs w:val="16"/>
          <w:shd w:val="clear" w:color="auto" w:fill="FFFFFF"/>
        </w:rPr>
      </w:pPr>
      <w:r w:rsidRPr="00640820">
        <w:rPr>
          <w:rFonts w:ascii="Times New Roman" w:hAnsi="Times New Roman"/>
          <w:color w:val="000000" w:themeColor="text1"/>
          <w:sz w:val="16"/>
          <w:szCs w:val="16"/>
          <w:shd w:val="clear" w:color="auto" w:fill="FFFFFF"/>
        </w:rPr>
        <w:t>На основе реликтовых «огневых мешков» времен Первой мировой войны были разработаны усовершенствованные бомбы. Они представляли собой большие - объемом до 30 литров - клеенчатые или выполненные из крафт-бумаги бензостойкие пакеты, которые непосредственно на аэродромах заполнялись вязкой огнесмесью. В горловину пакетов вставляли деревянный блок с воспламенителями и разрывным зарядом, а завязывали импровизированную «бомбу» веревочкой.</w:t>
      </w:r>
    </w:p>
    <w:p w14:paraId="63E21B2F" w14:textId="77777777" w:rsidR="0059263F" w:rsidRPr="00640820" w:rsidRDefault="0059263F" w:rsidP="00640820">
      <w:pPr>
        <w:spacing w:after="0" w:line="240" w:lineRule="auto"/>
        <w:jc w:val="both"/>
        <w:rPr>
          <w:rFonts w:ascii="Times New Roman" w:hAnsi="Times New Roman"/>
          <w:color w:val="000000" w:themeColor="text1"/>
          <w:sz w:val="16"/>
          <w:szCs w:val="16"/>
          <w:shd w:val="clear" w:color="auto" w:fill="FFFFFF"/>
        </w:rPr>
      </w:pPr>
      <w:r w:rsidRPr="00640820">
        <w:rPr>
          <w:rFonts w:ascii="Times New Roman" w:hAnsi="Times New Roman"/>
          <w:color w:val="000000" w:themeColor="text1"/>
          <w:sz w:val="16"/>
          <w:szCs w:val="16"/>
          <w:shd w:val="clear" w:color="auto" w:fill="FFFFFF"/>
        </w:rPr>
        <w:t>Уже в конце года первые «огневые мешки» прибыли на передовую.</w:t>
      </w:r>
    </w:p>
    <w:p w14:paraId="7439C19F" w14:textId="77777777" w:rsidR="0059263F" w:rsidRPr="00640820" w:rsidRDefault="0059263F" w:rsidP="00640820">
      <w:pPr>
        <w:spacing w:after="0" w:line="240" w:lineRule="auto"/>
        <w:jc w:val="both"/>
        <w:rPr>
          <w:rFonts w:ascii="Times New Roman" w:hAnsi="Times New Roman"/>
          <w:color w:val="000000" w:themeColor="text1"/>
          <w:sz w:val="16"/>
          <w:szCs w:val="16"/>
          <w:shd w:val="clear" w:color="auto" w:fill="FFFFFF"/>
        </w:rPr>
      </w:pPr>
      <w:r w:rsidRPr="00640820">
        <w:rPr>
          <w:rFonts w:ascii="Times New Roman" w:hAnsi="Times New Roman"/>
          <w:color w:val="000000" w:themeColor="text1"/>
          <w:sz w:val="16"/>
          <w:szCs w:val="16"/>
          <w:shd w:val="clear" w:color="auto" w:fill="FFFFFF"/>
        </w:rPr>
        <w:t>В первые месяцы войны с помощью химиков и инженеров были изобретены своеобразные «бомбы».</w:t>
      </w:r>
    </w:p>
    <w:p w14:paraId="66C5F203" w14:textId="77777777" w:rsidR="0059263F" w:rsidRPr="00640820" w:rsidRDefault="0059263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shd w:val="clear" w:color="auto" w:fill="FFFFFF"/>
        </w:rPr>
        <w:t>- Это было первое оружие, которое получила наша особая авиагруппа. Бомбы взрывались метрах в пятидесяти от земли, поливая огненными струями скопления техники и траншеи противника, - рассказывал начальник Главного управления Гражданского воздушного флота (ГВФ) СССР, Герой Советского Союза, генерал-майора авиации Василий Сергеевич Молоков. - Наши летчики успешно использовали «огненные мешки» для выкуривания врага с земли Подмосковья, Можайска, Кубинки, деревни Березовка, станции Дорохово, в боях за Вязьму и Дорогобуж. (19699).</w:t>
      </w:r>
    </w:p>
    <w:p w14:paraId="52E243AA" w14:textId="77777777" w:rsidR="0059263F" w:rsidRPr="00640820" w:rsidRDefault="0059263F" w:rsidP="00640820">
      <w:pPr>
        <w:spacing w:after="0" w:line="240" w:lineRule="auto"/>
        <w:jc w:val="both"/>
        <w:rPr>
          <w:rFonts w:ascii="Times New Roman" w:hAnsi="Times New Roman"/>
          <w:color w:val="000000" w:themeColor="text1"/>
          <w:sz w:val="16"/>
          <w:szCs w:val="16"/>
        </w:rPr>
      </w:pPr>
    </w:p>
    <w:p w14:paraId="4D4AC426" w14:textId="77777777" w:rsidR="00FB05DC" w:rsidRPr="00640820" w:rsidRDefault="00FB05D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конце 1941 — начале 1942 года завод №183 занималось внедрением на новом месте Т-34, при этом отдельные элементы Т-34М попали на серийную машину. Несостоявшаяся модернизация заметна по гусеничным тракам, форме башни и установке орудия, люку в верхней кормовой плите корпуса и некоторым другим элементам. Конечно, некоторые опытные работы на заводе проводились, но танка «большой модернизации» в них не было. Отсутствовала данная тематика и в планах опытных работ завода №183. Тем не менее о «большой модернизации» 1941 года всё же единожды вспомнили (18420).</w:t>
      </w:r>
    </w:p>
    <w:p w14:paraId="4853B527" w14:textId="77777777" w:rsidR="00FB05DC" w:rsidRPr="00640820" w:rsidRDefault="00FB05DC" w:rsidP="00640820">
      <w:pPr>
        <w:spacing w:after="0" w:line="240" w:lineRule="auto"/>
        <w:jc w:val="both"/>
        <w:rPr>
          <w:rFonts w:ascii="Times New Roman" w:hAnsi="Times New Roman"/>
          <w:color w:val="000000" w:themeColor="text1"/>
          <w:sz w:val="16"/>
          <w:szCs w:val="16"/>
        </w:rPr>
      </w:pPr>
    </w:p>
    <w:p w14:paraId="4E5980B8" w14:textId="77777777" w:rsidR="00FB05DC" w:rsidRPr="00640820" w:rsidRDefault="00FB05DC"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5AABEDBB" w14:textId="77777777" w:rsidR="00FB05DC" w:rsidRPr="00640820" w:rsidRDefault="00FB05D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0CC0570" w14:textId="77777777" w:rsidR="00FB05DC" w:rsidRPr="00640820" w:rsidRDefault="00FB05D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 начале 1942 годов, в наиболее сложный для нашей военной промышленности период, когда одновременно приходилось организовывать массовое производство военной техники и вооружения и восстанавливать производственные мощности эвакуированных предприятий, велась работа по упрощению конструкции танков и, следовательно, большую технологичность. На всех предприятиях НКТП производство танков пришлось организовывать заново, на производственной базе, отличающейся от той, которая была до войны. В этих условиях КБ заводов были даны разрешения самостоятельно вносить изменения в конструкцию выпускаемых ими танков, что значительно ускорило работы над упрощением конструкции. В качестве примера можно привести работу КБ завода # 183. В написанной после войны для служебного пользования "Истории танкостроения на заводе # 183" есть раздел, посвященный работе конструкторского отдела. Он написан самим А.А.Морозовым, участником создания Т-34, бывшим главным конструктором завода # 183. Он упоминает несколько основных направлений, по которым велись работы (РГАЭ. Ф. 8798. Оп. 4. Д. 15. Л. 124-125.):</w:t>
      </w:r>
    </w:p>
    <w:p w14:paraId="7DF95FBE" w14:textId="77777777" w:rsidR="00FB05DC" w:rsidRPr="00640820" w:rsidRDefault="00FB05D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Максимально возможное сокращение деталей второстепенного значения. Всего к концу января было отменено использование на танке 5641 детали 1265 наименований.</w:t>
      </w:r>
    </w:p>
    <w:p w14:paraId="62DAF5DB" w14:textId="77777777" w:rsidR="00FB05DC" w:rsidRPr="00640820" w:rsidRDefault="00FB05D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Сокращение номенклатуры применяемых на танке деталей.</w:t>
      </w:r>
    </w:p>
    <w:p w14:paraId="0516B9E3" w14:textId="77777777" w:rsidR="00FB05DC" w:rsidRPr="00640820" w:rsidRDefault="00FB05D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Упрощение производства деталей за счёт сокращения механической обработки деталей, пересмотра степени чистоты поверхностей, в первую очередь нерабочих. К концу января 1942 года таким образом было упрощено 707 наименований деталей.</w:t>
      </w:r>
    </w:p>
    <w:p w14:paraId="53E5FF72" w14:textId="77777777" w:rsidR="00FB05DC" w:rsidRPr="00640820" w:rsidRDefault="00FB05D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Переход от горячей штамповки и поковки к холодной штамповке и литью. Например, начали производиться литые катки для танка вместо штампованных. Эти меры были вызваны слабостью штамповочного цеха Уралвагонзавода, на территорию которого был эвакуирован завод # 183, и наличием там хорошо оборудованного литейного цеха.</w:t>
      </w:r>
    </w:p>
    <w:p w14:paraId="3985AB48" w14:textId="77777777" w:rsidR="00FB05DC" w:rsidRPr="00640820" w:rsidRDefault="00FB05D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Сокращение номенклатуры деталей, подвергаемых термообработке. Эта мера была вызвана нехваткой специальных печей для термообработки. Отказ от термообработки многих деталей приводил к снижению их прочности. Особо стоит отметить, что в этот период многие заводы прекратили термообработку бронекорпусов танков, что привело к снижению качества бронезащиты.</w:t>
      </w:r>
    </w:p>
    <w:p w14:paraId="5808AE17" w14:textId="77777777" w:rsidR="00FB05DC" w:rsidRPr="00640820" w:rsidRDefault="00FB05D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Сокращение количества деталей, получаемых по кооперированным поставкам. В условиях военного времени нельзя было излишне полагаться на поставщиков. Благодаря работе конструкторов были отменены поставки 206 наименований изделий, что значительно облегчило снабжение завода.</w:t>
      </w:r>
    </w:p>
    <w:p w14:paraId="600B8664" w14:textId="77777777" w:rsidR="00FB05DC" w:rsidRPr="00640820" w:rsidRDefault="00FB05D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Сокращение номенклатуры материалов, применяемых при производстве танка.</w:t>
      </w:r>
    </w:p>
    <w:p w14:paraId="352F8298" w14:textId="77777777" w:rsidR="00FB05DC" w:rsidRPr="00640820" w:rsidRDefault="00FB05D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Использование заменителей редких материалов. Широкие масштабы развертывающегося военного производства требовали большого количества разнообразного материала, прежде всего качественных сталей, содержащих большое количество легирующих элементов. Но проблема усугублялась тем, что советская экономика испытывала острую нехватку этих материалов. Поэтому конструкторам пришлось проделать серьёзную работу для поиска возможностей по использованию других сортов стали, содержащих меньше легирующих добавок. Другой важной проблемой была нехватка резины, что заставило использовать танковые катки с "внутренней амортизацией".</w:t>
      </w:r>
    </w:p>
    <w:p w14:paraId="7AB1DA01" w14:textId="77777777" w:rsidR="00FB05DC" w:rsidRPr="00640820" w:rsidRDefault="00FB05D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Большое количество новых, неопытных рабочих вынудило конструкторов расширить допуски при производстве новых деталей.</w:t>
      </w:r>
    </w:p>
    <w:p w14:paraId="140561EF" w14:textId="77777777" w:rsidR="00FB05DC" w:rsidRPr="00640820" w:rsidRDefault="00FB05D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немалую экономию рабочей силы в этот период принёс отказ от механической обработки поверхности бронелистов и упрощение конструкции их соединения. Была введена огневая резка бронелистов вместо прежних более сложных способов. В итоге время, потребное на обработку бронелистов, сократилось с 260 до 80 человеко-часов (РГАЭ. Ф. 8798. Оп. 4. Д. 15. Л. 124-125.) (11787).</w:t>
      </w:r>
    </w:p>
    <w:p w14:paraId="2D8AD42F" w14:textId="77777777" w:rsidR="00FB05DC" w:rsidRPr="00640820" w:rsidRDefault="00FB05DC" w:rsidP="00640820">
      <w:pPr>
        <w:autoSpaceDE w:val="0"/>
        <w:autoSpaceDN w:val="0"/>
        <w:adjustRightInd w:val="0"/>
        <w:spacing w:after="0" w:line="240" w:lineRule="auto"/>
        <w:jc w:val="both"/>
        <w:rPr>
          <w:rFonts w:ascii="Times New Roman" w:hAnsi="Times New Roman"/>
          <w:color w:val="000000" w:themeColor="text1"/>
          <w:sz w:val="16"/>
          <w:szCs w:val="16"/>
        </w:rPr>
      </w:pPr>
    </w:p>
    <w:p w14:paraId="41FAD80E" w14:textId="77777777" w:rsidR="00060F70" w:rsidRPr="00640820" w:rsidRDefault="00060F7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г. и в начале 1942 г. в Ленинграде на оставшейся после эвакуации заводов производственной базе были созданы самоходные установки с 76,2-мм полковой пушкой обр. 1927 г. Базовой машиной для них являлся танк Т-26. Они представляли собой тумбовую установ</w:t>
      </w:r>
      <w:r w:rsidRPr="00640820">
        <w:rPr>
          <w:rFonts w:ascii="Times New Roman" w:hAnsi="Times New Roman"/>
          <w:color w:val="000000" w:themeColor="text1"/>
          <w:sz w:val="16"/>
          <w:szCs w:val="16"/>
        </w:rPr>
        <w:softHyphen/>
        <w:t>ку артиллерийской системы на поворотной платформе, размещенной на подбашенном листе машины. Для защиты орудийного расчета было ус</w:t>
      </w:r>
      <w:r w:rsidRPr="00640820">
        <w:rPr>
          <w:rFonts w:ascii="Times New Roman" w:hAnsi="Times New Roman"/>
          <w:color w:val="000000" w:themeColor="text1"/>
          <w:sz w:val="16"/>
          <w:szCs w:val="16"/>
        </w:rPr>
        <w:softHyphen/>
        <w:t>тановлено броневое прикрытие, выполненное по аналогии с прикрыти</w:t>
      </w:r>
      <w:r w:rsidRPr="00640820">
        <w:rPr>
          <w:rFonts w:ascii="Times New Roman" w:hAnsi="Times New Roman"/>
          <w:color w:val="000000" w:themeColor="text1"/>
          <w:sz w:val="16"/>
          <w:szCs w:val="16"/>
        </w:rPr>
        <w:softHyphen/>
        <w:t>ем предвоенной колесной самоходной установки СУ-12 (10703).</w:t>
      </w:r>
    </w:p>
    <w:p w14:paraId="4F3F67C7" w14:textId="77777777" w:rsidR="00060F70" w:rsidRPr="00640820" w:rsidRDefault="00060F7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7D1D33" w14:textId="77777777" w:rsidR="00060F70" w:rsidRPr="00640820" w:rsidRDefault="00060F7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 начале 1942 года на предприятиях Москвы велись первые опыты по перевооружению трофейных САУ отечественными орудиями. По воспоминаниям А.Клубнева, в начале марта 1942 года в 33-ю армию, где он командовал взводом танковТ-60, прибыли шесть отремонтированных на московских заводах StuG III. Три из них имели штатное короткоствольное орудие, а три "были вооружены пушками от ранней тридцатьчетверки". О такой же машине, "вооруженной орудием от танка KB" и подбитой немцами недалеко от Медыни весной 1942 года, рассказывал П.Миньков, также воевавший в 33-ей армии. Однако пока не удалось найти ни документального подтверждения такой переделки, ни фотографий таких машин. Можно лишь предположить, что такое перевооружение было проведено на единичных САУ (9695).</w:t>
      </w:r>
    </w:p>
    <w:p w14:paraId="30D61A8D" w14:textId="77777777" w:rsidR="00060F70" w:rsidRPr="00640820" w:rsidRDefault="00060F70" w:rsidP="00640820">
      <w:pPr>
        <w:autoSpaceDE w:val="0"/>
        <w:autoSpaceDN w:val="0"/>
        <w:adjustRightInd w:val="0"/>
        <w:spacing w:after="0" w:line="240" w:lineRule="auto"/>
        <w:jc w:val="both"/>
        <w:rPr>
          <w:rFonts w:ascii="Times New Roman" w:hAnsi="Times New Roman"/>
          <w:color w:val="000000" w:themeColor="text1"/>
          <w:sz w:val="16"/>
          <w:szCs w:val="16"/>
        </w:rPr>
      </w:pPr>
    </w:p>
    <w:p w14:paraId="20C551B7" w14:textId="77777777" w:rsidR="00060F70" w:rsidRPr="00640820" w:rsidRDefault="00060F7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или в начале 1942 года Алексеев обращается к  Главному конструктору завода № 112 В. В. Крылову, доложив ему существо своего проекта, и получив его поддержку, обращается к директору завода Е. Э. Рубинчику с просьбой разрешить ему во внерабочее время продолжить в помещении конструкторского отдела завода работу, начатую в дипломном проекте по созданию торпедного катера на подводных крыльях в направлении создания в первую очередь так называемой самоходной модели масштабного аналога натурного корабля. Директор завода дал свое согласие (19678).</w:t>
      </w:r>
    </w:p>
    <w:p w14:paraId="4CDC9FB0" w14:textId="77777777" w:rsidR="00060F70" w:rsidRPr="00640820" w:rsidRDefault="00060F70" w:rsidP="00640820">
      <w:pPr>
        <w:spacing w:after="0" w:line="240" w:lineRule="auto"/>
        <w:jc w:val="both"/>
        <w:rPr>
          <w:rFonts w:ascii="Times New Roman" w:hAnsi="Times New Roman"/>
          <w:color w:val="000000" w:themeColor="text1"/>
          <w:sz w:val="16"/>
          <w:szCs w:val="16"/>
        </w:rPr>
      </w:pPr>
    </w:p>
    <w:p w14:paraId="46E70458" w14:textId="77777777" w:rsidR="00FB05DC" w:rsidRPr="00640820" w:rsidRDefault="00FB05DC"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279E82E8" w14:textId="77777777" w:rsidR="00FB05DC" w:rsidRPr="00640820" w:rsidRDefault="00FB05DC"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710B715" w14:textId="77777777" w:rsidR="00FB05DC" w:rsidRPr="00640820" w:rsidRDefault="00FB05DC"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1941 – начале 1942 года были созданы три новых дивизионных района ПВО: Мурманский, Ростовский и Уральский. Управление командующего войсками ПВО ТС включало штаб, управление истребительной авиации, управление зенитной артиллерии и другие органы. Зоны ПВО на Европейской части СССР были расформированы, на их основе созданы Московский и Ленинградский корпусные районы ПВО, Архангельский, Череповецко-Вологодский, Рыбинско-Ярославский, Ряжско-Тамбовский, Воронежско-Борисоглебский, Горьковский, Казанский, Пензенский, Куйбышевский, Саратовско-Балашовский, Сталинградский, Краснодарский и Грозненский дивизионные районы ПВО. В Закавказье и Сибири оставлены Закавказская, Среднеазиатская, Забайкальская и Дальневосточная зоны ПВО (10109).</w:t>
      </w:r>
    </w:p>
    <w:p w14:paraId="274C47F8" w14:textId="77777777" w:rsidR="00FB05DC" w:rsidRPr="00640820" w:rsidRDefault="00FB05DC" w:rsidP="00640820">
      <w:pPr>
        <w:autoSpaceDE w:val="0"/>
        <w:autoSpaceDN w:val="0"/>
        <w:adjustRightInd w:val="0"/>
        <w:spacing w:after="0" w:line="240" w:lineRule="auto"/>
        <w:jc w:val="both"/>
        <w:rPr>
          <w:rFonts w:ascii="Times New Roman" w:hAnsi="Times New Roman"/>
          <w:color w:val="000000" w:themeColor="text1"/>
          <w:sz w:val="16"/>
          <w:szCs w:val="16"/>
        </w:rPr>
      </w:pPr>
    </w:p>
    <w:p w14:paraId="3471B66F" w14:textId="77777777" w:rsidR="00A83418" w:rsidRPr="00640820" w:rsidRDefault="00A83418"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097082CA" w14:textId="77777777" w:rsidR="00A83418" w:rsidRPr="00640820" w:rsidRDefault="00A83418"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C563748" w14:textId="77777777" w:rsidR="00A83418" w:rsidRPr="00640820" w:rsidRDefault="00A83418" w:rsidP="00640820">
      <w:pPr>
        <w:pStyle w:val="book"/>
        <w:ind w:firstLine="0"/>
        <w:jc w:val="both"/>
        <w:rPr>
          <w:color w:val="000000" w:themeColor="text1"/>
          <w:sz w:val="16"/>
          <w:szCs w:val="16"/>
        </w:rPr>
      </w:pPr>
      <w:r w:rsidRPr="00640820">
        <w:rPr>
          <w:color w:val="000000" w:themeColor="text1"/>
          <w:sz w:val="16"/>
          <w:szCs w:val="16"/>
        </w:rPr>
        <w:t>В конце 1941 г. — начале 1942 г. был создан 21-см пятиствольный реактивный миномет 21 cm Nb.W 42. Блок из пяти 21-см труб (стволов) был установлен на лафете миномета 15 cm Nb.W 41, в который были внесены небольшие изменения. В боекомплект 21 cm Nb.W 42 входил только один снаряд — 21 см реактивная осколочная мина обр. 42 (21 cm Wgr.42 Spr). В отличие от 15-см снаряда в 21-см снаряде взрывчатое вещество (ВВ) и топливо размещалось по классической схеме: в головной части — ВВ, в хвостовой части — топливный бак (15225).</w:t>
      </w:r>
    </w:p>
    <w:p w14:paraId="52938BF6" w14:textId="77777777" w:rsidR="00A83418" w:rsidRPr="00640820" w:rsidRDefault="00A83418" w:rsidP="00640820">
      <w:pPr>
        <w:autoSpaceDE w:val="0"/>
        <w:autoSpaceDN w:val="0"/>
        <w:adjustRightInd w:val="0"/>
        <w:spacing w:after="0" w:line="240" w:lineRule="auto"/>
        <w:jc w:val="both"/>
        <w:rPr>
          <w:rFonts w:ascii="Times New Roman" w:hAnsi="Times New Roman"/>
          <w:i/>
          <w:iCs/>
          <w:color w:val="000000" w:themeColor="text1"/>
          <w:sz w:val="16"/>
          <w:szCs w:val="16"/>
        </w:rPr>
      </w:pPr>
    </w:p>
    <w:p w14:paraId="016D4F29"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598295DC"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1BBFB1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второй половине 1941 вышел ДИС МиГ под 2хАМ-37 (173,32).</w:t>
      </w:r>
    </w:p>
    <w:p w14:paraId="239C11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55CD5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второй половине 1941 г. самолеты МиГ-3 получили мотор АМ-35А с редукцией 0,732 (вместо 0,902) и винт АВ-5Л-123 с диапазоном поворота лопастей 30° (вместо ВИШ-22Е), козырек фонаря с бронестеклом, подвесные топливные баки и систему заполнения топливных баков нейтральным газом. Также были внедрены в серии элероны с увеличенной до 26% компенсацией и горизонтальное оперение с распределением площадей - 63% - стабилизатор и 37 % - руль высоты. Все эти мероприятия также позволили УЛУЧШИТЬ летные и эксплуатационные характеристики истребителя МиГ-3, а также повысить его живучесть. Помимо этого, учитывая замечания строевых частей о неудовлетворительной конструкции капотов с замками "Дзус" и сложности их эксплуатации, на машине №2554 был отработан новый капот на стяжных замках, по ТИПУ истребителя Bf-109, который был внедрен на самолетах МиГ-3 с 16 серии. Одновременно с этим для предотвращения попадания песка и пыли во всасывающие патрубки нагнетателя на них были установлены автоматические заслонки, которые открывались и закрывались при уборке и выпуске шасси (4802).</w:t>
      </w:r>
    </w:p>
    <w:p w14:paraId="456678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71DBE2E" w14:textId="77777777" w:rsidR="00897CA4" w:rsidRPr="00640820" w:rsidRDefault="00897CA4" w:rsidP="00640820">
      <w:pPr>
        <w:pStyle w:val="a3"/>
        <w:rPr>
          <w:color w:val="000000" w:themeColor="text1"/>
          <w:lang w:val="ru-RU"/>
        </w:rPr>
      </w:pPr>
      <w:r w:rsidRPr="00640820">
        <w:rPr>
          <w:color w:val="000000" w:themeColor="text1"/>
          <w:lang w:val="ru-RU"/>
        </w:rPr>
        <w:t>Во второй половине 1941 г. МиГи получили систему запол</w:t>
      </w:r>
      <w:r w:rsidRPr="00640820">
        <w:rPr>
          <w:color w:val="000000" w:themeColor="text1"/>
          <w:lang w:val="ru-RU"/>
        </w:rPr>
        <w:softHyphen/>
        <w:t xml:space="preserve">нения топливных баков нейтральным газом (с самолёта № 3530 16-й серии), мотор АМ-35А с редукцией </w:t>
      </w:r>
      <w:r w:rsidRPr="00640820">
        <w:rPr>
          <w:color w:val="000000" w:themeColor="text1"/>
          <w:lang w:val="ru-RU"/>
        </w:rPr>
        <w:lastRenderedPageBreak/>
        <w:t>0,732, вместо 0,902 (с самолёта № 3800 19-й серии) и вместо ВИШ-22Е винт АВ-5Л-1 23 (с</w:t>
      </w:r>
      <w:r w:rsidRPr="00640820">
        <w:rPr>
          <w:rStyle w:val="423"/>
          <w:rFonts w:ascii="Times New Roman" w:hAnsi="Times New Roman" w:cs="Times New Roman"/>
          <w:i w:val="0"/>
          <w:color w:val="000000" w:themeColor="text1"/>
          <w:lang w:val="ru-RU"/>
        </w:rPr>
        <w:t xml:space="preserve"> самолёта №</w:t>
      </w:r>
      <w:r w:rsidRPr="00640820">
        <w:rPr>
          <w:color w:val="000000" w:themeColor="text1"/>
          <w:lang w:val="ru-RU"/>
        </w:rPr>
        <w:t xml:space="preserve"> 3586 17-й серии), а затем АВ-5Л-1 10 (с самолёта № 4583 26-й серии), подвесные топливные баки (с самолёта № 443 1 25-й серии).</w:t>
      </w:r>
    </w:p>
    <w:p w14:paraId="1B159E0A" w14:textId="77777777" w:rsidR="00897CA4" w:rsidRPr="00640820" w:rsidRDefault="00897CA4" w:rsidP="00640820">
      <w:pPr>
        <w:pStyle w:val="a3"/>
        <w:rPr>
          <w:color w:val="000000" w:themeColor="text1"/>
          <w:lang w:val="ru-RU"/>
        </w:rPr>
      </w:pPr>
      <w:r w:rsidRPr="00640820">
        <w:rPr>
          <w:color w:val="000000" w:themeColor="text1"/>
          <w:lang w:val="ru-RU"/>
        </w:rPr>
        <w:t>Учитывая замечания строевых частей о неудовлетворительной конструкции капотов с зам</w:t>
      </w:r>
      <w:r w:rsidRPr="00640820">
        <w:rPr>
          <w:color w:val="000000" w:themeColor="text1"/>
          <w:lang w:val="ru-RU"/>
        </w:rPr>
        <w:softHyphen/>
        <w:t>ками «Дзус» и сложности их эксплуатации, на машине № 2554 был отработан новый капот на стяжных замках,</w:t>
      </w:r>
      <w:r w:rsidRPr="00640820">
        <w:rPr>
          <w:rStyle w:val="423"/>
          <w:rFonts w:ascii="Times New Roman" w:hAnsi="Times New Roman" w:cs="Times New Roman"/>
          <w:i w:val="0"/>
          <w:color w:val="000000" w:themeColor="text1"/>
          <w:lang w:val="ru-RU"/>
        </w:rPr>
        <w:t xml:space="preserve"> по</w:t>
      </w:r>
      <w:r w:rsidRPr="00640820">
        <w:rPr>
          <w:color w:val="000000" w:themeColor="text1"/>
          <w:lang w:val="ru-RU"/>
        </w:rPr>
        <w:t xml:space="preserve"> типу истребителя </w:t>
      </w:r>
      <w:r w:rsidRPr="00640820">
        <w:rPr>
          <w:color w:val="000000" w:themeColor="text1"/>
        </w:rPr>
        <w:t>Bf</w:t>
      </w:r>
      <w:r w:rsidRPr="00640820">
        <w:rPr>
          <w:color w:val="000000" w:themeColor="text1"/>
          <w:lang w:val="ru-RU"/>
        </w:rPr>
        <w:t xml:space="preserve"> 109. Капот внедрили в производство с</w:t>
      </w:r>
      <w:r w:rsidRPr="00640820">
        <w:rPr>
          <w:rStyle w:val="423"/>
          <w:rFonts w:ascii="Times New Roman" w:hAnsi="Times New Roman" w:cs="Times New Roman"/>
          <w:i w:val="0"/>
          <w:color w:val="000000" w:themeColor="text1"/>
          <w:lang w:val="ru-RU"/>
        </w:rPr>
        <w:t xml:space="preserve"> самолёта </w:t>
      </w:r>
      <w:r w:rsidRPr="00640820">
        <w:rPr>
          <w:color w:val="000000" w:themeColor="text1"/>
          <w:lang w:val="ru-RU"/>
        </w:rPr>
        <w:t>№ 3451 16-й серии. Одновременно с этим для предотвращения попадания песка и пыли во всасывающие патрубки нагнетателя на последних установили автоматические заслонки, откры</w:t>
      </w:r>
      <w:r w:rsidRPr="00640820">
        <w:rPr>
          <w:color w:val="000000" w:themeColor="text1"/>
          <w:lang w:val="ru-RU"/>
        </w:rPr>
        <w:softHyphen/>
        <w:t>вавшиеся при уборке и закрывавшиеся при выпуске шасси (15976).</w:t>
      </w:r>
    </w:p>
    <w:p w14:paraId="275CA95F" w14:textId="77777777" w:rsidR="00897CA4" w:rsidRPr="00640820" w:rsidRDefault="00897CA4" w:rsidP="00640820">
      <w:pPr>
        <w:pStyle w:val="a3"/>
        <w:rPr>
          <w:color w:val="000000" w:themeColor="text1"/>
          <w:lang w:val="ru-RU"/>
        </w:rPr>
      </w:pPr>
    </w:p>
    <w:p w14:paraId="28DA5CC8"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5C263221"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05E1526" w14:textId="77777777" w:rsidR="00FB05DC" w:rsidRPr="00640820" w:rsidRDefault="00FB05DC"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второй половине 1941 г. советская металлургическая промышленность лишилась 124 коксовых батарей, 61 доменных печей, 204 мартеновских печей, 16 конвертеров, 14 трубопрокатных станов, 150 прокатных станов. В декабре 1941 г. были намечены к восстановлению 15 мартеновских печей, 5 доменных печей, 7 коксовых батарей. Из данного перечня в декабре месяце 1941 г. удалось ввести только 2 прокатных стана на Ново-Тагильском и Магнитогорском металлургических заводах (18677).</w:t>
      </w:r>
    </w:p>
    <w:p w14:paraId="745E21A0" w14:textId="77777777" w:rsidR="00FB05DC" w:rsidRPr="00640820" w:rsidRDefault="00FB05DC" w:rsidP="00640820">
      <w:pPr>
        <w:spacing w:after="0" w:line="240" w:lineRule="auto"/>
        <w:jc w:val="both"/>
        <w:rPr>
          <w:rFonts w:ascii="Times New Roman" w:hAnsi="Times New Roman"/>
          <w:color w:val="000000" w:themeColor="text1"/>
          <w:sz w:val="16"/>
          <w:szCs w:val="16"/>
        </w:rPr>
      </w:pPr>
    </w:p>
    <w:p w14:paraId="5A3CFA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второй половине 1941 вероятно на Завод № 506 НКХП, п/я 51, Завод «Ява», Дзержинский завод жирных спиртов МХП, Завод, ПО, ОАО «Синтез» /г. Дзержинск Горьковской обл. ул. Рабочая, 31/ после начала войны был эвакуирован завод № 93 НКХП из Москвы, был в 1942 г. Распоряжением ГКО № 3957 от 19.08.1943 г. строительство 2-й очереди завода было прекращено.</w:t>
      </w:r>
    </w:p>
    <w:p w14:paraId="70679D9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годы войны - производство этиловой жидкости-антидетонатора для моторных топлив.</w:t>
      </w:r>
    </w:p>
    <w:p w14:paraId="5214D4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Велась разработка и производство текстильно-вспомогательных и поверхностно-активных веществ для легкой, нефтеперерабатывающей, фармацевтической и медицинской</w:t>
      </w:r>
      <w:r w:rsidRPr="00640820">
        <w:rPr>
          <w:rFonts w:ascii="Times New Roman" w:hAnsi="Times New Roman"/>
          <w:iCs/>
          <w:color w:val="000000" w:themeColor="text1"/>
          <w:sz w:val="16"/>
          <w:szCs w:val="16"/>
        </w:rPr>
        <w:t xml:space="preserve"> промышленности.</w:t>
      </w:r>
    </w:p>
    <w:p w14:paraId="0437E3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01.1972 г. по приказу МХП в состав завода жирных спиртов влит завод «Ядохимикатов».</w:t>
      </w:r>
    </w:p>
    <w:p w14:paraId="6F141A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1984 г. на базе Дзержинского завода жирных спиртов создано ПО «Синтез». В 1996 г. предприятие преобразовано в ОАО «Синтез». В процессе реорганизации отдельные производства были выделены в самостоятельные предприятия, в т.ч. «Синтез-ПВ», «Синтез-Ацетон».</w:t>
      </w:r>
    </w:p>
    <w:p w14:paraId="7147C8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Имелось производство этиловой жидкости мощностью 10 тыс. т в год, в 2002 г. производство остановлено. В 2009 г. планировалось восстановить производство этиловой жидкости мощностью 3 тыс. т; запустить производство экстралина (компонента присадок для бензина).</w:t>
      </w:r>
    </w:p>
    <w:p w14:paraId="69EF59A1" w14:textId="77777777" w:rsidR="009042E6"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моноэтаноламин, триэтаноламин, ОП-7, ОП-Ю.</w:t>
      </w:r>
    </w:p>
    <w:p w14:paraId="1E4E6AC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«Синтез-ПВ»</w:t>
      </w:r>
    </w:p>
    <w:p w14:paraId="41622B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(2000-е) концентрированой перекиси водорода для ракетно-космической промышленности. В 2009 г. планировалось реконструировать производство для выпуска медицинской перекиси водорода (11982).</w:t>
      </w:r>
    </w:p>
    <w:p w14:paraId="6E393DCF" w14:textId="77777777" w:rsidR="009042E6" w:rsidRPr="00640820" w:rsidRDefault="009042E6" w:rsidP="00640820">
      <w:pPr>
        <w:autoSpaceDE w:val="0"/>
        <w:autoSpaceDN w:val="0"/>
        <w:adjustRightInd w:val="0"/>
        <w:spacing w:after="0" w:line="240" w:lineRule="auto"/>
        <w:jc w:val="both"/>
        <w:rPr>
          <w:rFonts w:ascii="Times New Roman" w:hAnsi="Times New Roman"/>
          <w:color w:val="000000" w:themeColor="text1"/>
          <w:sz w:val="16"/>
          <w:szCs w:val="16"/>
        </w:rPr>
      </w:pPr>
    </w:p>
    <w:p w14:paraId="250512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второй половине 1941 г. после начала войны на площадку Злоказовской суконной фабрики эвакуирован из Киева завод «Киевволокно». В 05.1942 г. предприятие получило № 508 (Завод № 508 НК текстиля, Арамильский завод искусственного волокна, Уральский завод «Полимерконтейнер», АООТ, ОАО «Арамильский завод «Пластмасс» /624001  г. Арамиль Свердловской обл. ул. Клубная, 13/). 12.06.1943 г. вышло постановление ГКО № 3558 о мероприятиях по окончанию строительства и вводу завода в действие. Освоено производство пороха, первую продукцию завод дал в середине 08.1943 г. (хотя к этому времени на заводе сменилось 10 директоров).</w:t>
      </w:r>
    </w:p>
    <w:p w14:paraId="4EA1C7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проведена реконструкция производства, и завод перешел на выпуск искусственного штапельного волокна. Позднее освоено производство полипропиленового волокна.</w:t>
      </w:r>
    </w:p>
    <w:p w14:paraId="2F6E7D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1963 г. переименован в Арамильский завод искусственного волокна, а с 3.03.1977 г.- в Уральский завод «Полимерконтейнер».</w:t>
      </w:r>
    </w:p>
    <w:p w14:paraId="3CC893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Гендиректор (2003 г.)- Т.Ю. Поморцева, Ю.А. Бочарников (11982).</w:t>
      </w:r>
    </w:p>
    <w:p w14:paraId="75D975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27FC0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второй половине 1941 года Грабин без разрешения ГАУ развернул валовое производство 76-мм пушки ЗИС-3 на заводе № 92 (3861).</w:t>
      </w:r>
    </w:p>
    <w:p w14:paraId="6A1BCC9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78430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второй половине 1941 г. СТЗ (директор Б. Я. Дулькин, позднее К. А. Задорожный, главный инженер - А. Н. Демьянович) дал фронту 962 танка. СТЗ вынужден был прекратить выпуск Т-34 в августе 1942, когда бои шли уже на территории завода. В этом месяце под бомбами и снарядами завод изготовил 240 машин. "Красное Сормово" (директор -Д. В. Михалев, главный инженер -Г. И. Кузьмин) во второй половине 1941 дал 173 Т-34. А все три завода за указанный отрезок времени выпустили 1885 машин. За весь год было передано армии 2995 танков Т-34. (3862).</w:t>
      </w:r>
    </w:p>
    <w:p w14:paraId="354DCC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4A553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второй половине 1941 года Завод № 176 им. Ф.Э. Дзержинского в Муроме по решению ГКО перешел с ремонта паровозов на изготовление корпусов и деталей танков и с 1 сентября 1941 года был передан из системы НКСП в НКТП (8849).</w:t>
      </w:r>
    </w:p>
    <w:p w14:paraId="557ED9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E5BF6D0"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второе полугодие 1941 года на заводе № 183:</w:t>
      </w:r>
    </w:p>
    <w:p w14:paraId="29187C21"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для снижения трудоемкости отменены два раздельных клапана, провой и воздушный, и заменены общим паровоздушным клапаном;</w:t>
      </w:r>
    </w:p>
    <w:p w14:paraId="2B5ECD7D"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для увеличения запаса ТОПЛИВА введены два дополнительных топливных бака емкостью 90 литров в моторном отделении;</w:t>
      </w:r>
    </w:p>
    <w:p w14:paraId="6EFE0388"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вместо штампованного ведущего колеса со втулками введено литое, а втулки роликов отменены;</w:t>
      </w:r>
    </w:p>
    <w:p w14:paraId="21DA716B"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введен литой диск опорного катка вместо штампованного;</w:t>
      </w:r>
    </w:p>
    <w:p w14:paraId="543DD6D5"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изменено стопорение балансиров 2, 3, 4 и 5-го опорных катков (отменена струна);</w:t>
      </w:r>
    </w:p>
    <w:p w14:paraId="636795B9"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уменьшено количество пружин рычагов бортовых фрикционов с четырех до двух;</w:t>
      </w:r>
    </w:p>
    <w:p w14:paraId="17E7CD13"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упрощена конструкция выключателя массы, щитков электроприборов, масляных и топливных баков, бортового фрикциона, балансиров, ленивца, приводов управления, сидений, боеукладки, деталей ЗИПа, смотровых приборов, корпуса и башни;</w:t>
      </w:r>
    </w:p>
    <w:p w14:paraId="32B316D6"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1942 год:</w:t>
      </w:r>
    </w:p>
    <w:p w14:paraId="1B7FEDC8"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введена литая шестигранная башня с двумя люками;</w:t>
      </w:r>
    </w:p>
    <w:p w14:paraId="15D1C390"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для улучшения смазки двигателя перед его запуском введен ручной маслоподкачивающий насос;</w:t>
      </w:r>
    </w:p>
    <w:p w14:paraId="2B481DBE"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введен воздухоочиститель «Циклон» для улучшения очистки воздуха, поступающего в двигатель;</w:t>
      </w:r>
    </w:p>
    <w:p w14:paraId="08A9BEDE"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для облегчения запуска двигателя в холодную погоду на всасывающем патрубке двигателя установлен калорифер, подогревающий воздух;</w:t>
      </w:r>
    </w:p>
    <w:p w14:paraId="730C1101"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для увеличения запаса хода на корме танка установлены два дополнительных топливных бака общей емкостью 270 литров;</w:t>
      </w:r>
    </w:p>
    <w:p w14:paraId="30F542B5"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установлен новый фрикцион упрощенной конструкции с повышенным коэффициентом запаса;</w:t>
      </w:r>
    </w:p>
    <w:p w14:paraId="4C0CF098"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для упрощения конструкции и устранения случаев разрушения роликов ведущего колеса введено цельнолитое колесо с ведущими кулаками вместо роликов. Позже отменено, как не оправдавшее себя из-за частого заклинивания гусеницы;</w:t>
      </w:r>
    </w:p>
    <w:p w14:paraId="2776E511"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вновь установлены ранее отмененные из-за их отсутствия фара, звуковой сигнал, амперметр, вольтметр и ТПУ-ЗР;</w:t>
      </w:r>
    </w:p>
    <w:p w14:paraId="173E7B98"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для улучшения очистки воздуха боевого отделения вытяжной центробежный вентилятор, смонтированный у моторной перегородки, заменен осевым вентилятором в крыше башни;</w:t>
      </w:r>
    </w:p>
    <w:p w14:paraId="53183575"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для поддержания танков в боевой готовности зимой и сбережения моторесурсов введена печка для обогрева машины;</w:t>
      </w:r>
    </w:p>
    <w:p w14:paraId="62C7AF08"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увеличен возимый боекомплект с 77 до 100 снарядов;</w:t>
      </w:r>
    </w:p>
    <w:p w14:paraId="2192A478"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установлены бачки для питьевой воды;</w:t>
      </w:r>
    </w:p>
    <w:p w14:paraId="11BC4BEA"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установлены поручни для десанта на башне и корпусе танка;</w:t>
      </w:r>
    </w:p>
    <w:p w14:paraId="7FB90BF2"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смонтированы управляемые жалюзи над водяными радиаторами для ускорения прогрева двигателя;</w:t>
      </w:r>
    </w:p>
    <w:p w14:paraId="790C4F1A"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введена бронировка головки перископа башни;</w:t>
      </w:r>
    </w:p>
    <w:p w14:paraId="684392F3"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для облегчения открывания люков в башне на них установлен уравновешивающий торсионный механизм;</w:t>
      </w:r>
    </w:p>
    <w:p w14:paraId="036973E2"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установлена бронировка курсового пулемета в лобовом листе корпуса;</w:t>
      </w:r>
    </w:p>
    <w:p w14:paraId="7F8F6563"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в башне смонтированы откидные сиденья;</w:t>
      </w:r>
    </w:p>
    <w:p w14:paraId="3B318153"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для упрощения конструкции введены унифицированные траки без стопорения пальцев шплинтами, а для забивания пальцев на месте при движении танка введен специальный кулак.</w:t>
      </w:r>
    </w:p>
    <w:p w14:paraId="753B1874"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1943 год:</w:t>
      </w:r>
    </w:p>
    <w:p w14:paraId="77260908"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установлен масляный радиатор для улучшения теплового режима двигателя;</w:t>
      </w:r>
    </w:p>
    <w:p w14:paraId="09357185"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для облегчения запуска двигателя при низких температурах установлено маслоперепускное устройство;</w:t>
      </w:r>
    </w:p>
    <w:p w14:paraId="6250A74C"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введено стопорение проволокой штуцерных резьбовых соединений топливных и масляных трубопроводов;</w:t>
      </w:r>
    </w:p>
    <w:p w14:paraId="4B2F005A"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Изготовлениелитыхбронировок для танка Т-34. Завод № 183, 1942 год (РГАЭ).</w:t>
      </w:r>
    </w:p>
    <w:p w14:paraId="652D4C31"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для увеличения времени работы воздухоочистителя между очистками введен бункер для сбора пыли на 24 кг (вместо 17 кг);</w:t>
      </w:r>
    </w:p>
    <w:p w14:paraId="15D0E94B"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прямоугольные наружные топливные баки на корме танка заменены тремя цилиндрическими на бортах;</w:t>
      </w:r>
    </w:p>
    <w:p w14:paraId="0A928E88"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вновь введены втулки роликов ведущего колеса для снижения нагрузки на ось роликов;</w:t>
      </w:r>
    </w:p>
    <w:p w14:paraId="3372B84C"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с 1 сентября отменена установка на танк опорных катков с внутренней амортизацией и введены все катки с наружной амортизацией;</w:t>
      </w:r>
    </w:p>
    <w:p w14:paraId="5314FAA0"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для устранения случаев замыкания между контактными пальцами вращающееся контактное устройство ВКУ-37Т заменено на ВКУ-27;</w:t>
      </w:r>
    </w:p>
    <w:p w14:paraId="66DF9CBF"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для устранения случаев спекания контактов установлен новый выключатель масс ВБ-404;</w:t>
      </w:r>
    </w:p>
    <w:p w14:paraId="2B8D3650"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установлена командирская башенка с пятью щелевыми смотровыми приборами и одним призматическим прибором МК-4;</w:t>
      </w:r>
    </w:p>
    <w:p w14:paraId="63695641"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введена установка радиоприемников, а впоследствии и радиопередатчиков на всех танках.</w:t>
      </w:r>
    </w:p>
    <w:p w14:paraId="5B1EE87C"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1944 год:</w:t>
      </w:r>
    </w:p>
    <w:p w14:paraId="4BC9B3F7"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для обеспечения автоматической регулировки подачи топлива на всех режимах работы двигателя ведена установка всережимного топливного регулятора топливного насоса с маслофильтром «Кимаф»;</w:t>
      </w:r>
    </w:p>
    <w:p w14:paraId="1409D92F"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установлен воздухоочиститель «Мультициклон»;</w:t>
      </w:r>
    </w:p>
    <w:p w14:paraId="58DD9A5E"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для повышения надежности работы резинового массива опорных катков вместо резины «грузо-80» введена «120с» и отменены вентиляционные отверстия;</w:t>
      </w:r>
    </w:p>
    <w:p w14:paraId="4877EE20"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усилен вертикальный валик приводов управления коробки перемены передач для устранения разрегулировки включения передач;</w:t>
      </w:r>
    </w:p>
    <w:p w14:paraId="3BF723A2"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установлена новая башня с расширенным погоном диаметром 1600 мм и 85-мм пушкой;</w:t>
      </w:r>
    </w:p>
    <w:p w14:paraId="131EC7CF"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проведено утолщение брони башни под 85-мм пушку - лоб 90 мм (вместо 75 мм), борт 75 мм (вместо 52 мм) и корма 52 мм;</w:t>
      </w:r>
    </w:p>
    <w:p w14:paraId="1EE40E64"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—установлен шарнирный телескопический прицел ТШ-15;</w:t>
      </w:r>
    </w:p>
    <w:p w14:paraId="2E08E307"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введен электроспуск пушки и спаренного пулемета;</w:t>
      </w:r>
    </w:p>
    <w:p w14:paraId="25FA4F13"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улучшена конструкция поворотного механизма башни;</w:t>
      </w:r>
    </w:p>
    <w:p w14:paraId="0EB842FA"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для улучшения вентиляции боевого отделения установлено два вентилятора в башне;</w:t>
      </w:r>
    </w:p>
    <w:p w14:paraId="4DEE37B4"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установлено пять запасных траков гусеницы на лобовом листе для экранировки корпуса;</w:t>
      </w:r>
    </w:p>
    <w:p w14:paraId="46DBC7C9"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для уменьшения коробления погона башни введена приварка механически обрабатываемого опорного кольца погона к крыше корпуса;</w:t>
      </w:r>
    </w:p>
    <w:p w14:paraId="788C4A39"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установлены откидные укороченные передние грязевые щитки гусениц с шарнирным креплением;</w:t>
      </w:r>
    </w:p>
    <w:p w14:paraId="3908759A"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для защиты экипажа от свинцовых брызг при обстреле смонтированы щитки, перекрывающие отверстия спаренного пулемета ДТ и прицела ТШ-15;</w:t>
      </w:r>
    </w:p>
    <w:p w14:paraId="14946964"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радиостанция 9РМ заменена на 9РС, что улучшило модуляцию</w:t>
      </w:r>
    </w:p>
    <w:p w14:paraId="1C9BF001"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 увеличило дальность связи с 22 до 27 километров;</w:t>
      </w:r>
    </w:p>
    <w:p w14:paraId="25532590"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установлены морские дымовые лишки (МДШ) на корме танка.</w:t>
      </w:r>
    </w:p>
    <w:p w14:paraId="01D4DEEE"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1945 год (до 1 июня):</w:t>
      </w:r>
    </w:p>
    <w:p w14:paraId="5E790D3A"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для устранения течи смазки введено уплотнение главного вала коробки перемены передач с маслоотражателем, канавками и сальником:</w:t>
      </w:r>
    </w:p>
    <w:p w14:paraId="64FD4FD3"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для повышения срока службы гусеницы наружный диаметр ведущего колеса увеличен с 634 мм до 650 мм;</w:t>
      </w:r>
    </w:p>
    <w:p w14:paraId="64EC35C1"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установлен прицел ППУ-8Т для пулемета ДТ в лобовом листе корпуса.</w:t>
      </w:r>
    </w:p>
    <w:p w14:paraId="54D720BA" w14:textId="77777777" w:rsidR="00045010" w:rsidRPr="00640820" w:rsidRDefault="00045010" w:rsidP="00640820">
      <w:pPr>
        <w:spacing w:after="0" w:line="240" w:lineRule="auto"/>
        <w:jc w:val="both"/>
        <w:rPr>
          <w:rFonts w:ascii="Times New Roman" w:hAnsi="Times New Roman"/>
          <w:color w:val="000000" w:themeColor="text1"/>
          <w:sz w:val="16"/>
          <w:szCs w:val="16"/>
        </w:rPr>
      </w:pPr>
    </w:p>
    <w:p w14:paraId="5C0F63D3"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второй половине 1944 - начале 1945 года был последний этап экранировки танков Т-34. Это было связано с применением немцами в большом количестве ручных противотанковых средств кумулятивного действия — «Фаустпатрон» и «Панцершрек». Однако сведениями о том, что работы по экранированию для защиты от них велись на заводах, автор не располагает. В тоже время существует большое количество фотографий танков Т-34-85 из состава 36-й гвардейской танковой бригады, сделанных в Берлине. Изображенные на них тридцатьчетверки оснащены сетчатыми экранами, которые во многих изданиях усиленно выдают за кроватные сетки. Однако при рассмотрении фотографий видно, что к кроватям указанные конструкции никакого отношения не имеют. Хорошо видно, что эти экраны были сделаны для защиты танков от "фаустников" в условиях уличных боев - экраны расположены так, чтобы в первую очередь защитить экипаж, боеуклад- ку и баки, причем один из них установлен на крыше башни.</w:t>
      </w:r>
    </w:p>
    <w:p w14:paraId="557570D7"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Встречается на фотографиях еще один любопытный вариант экранировки Т-34-85, при котором для защиты танка использовался штатный сетчатый экран от немецкого Рг.1У, установленный на бортах корпуса и башне. Принадлежность этой машины автору неизвестна, можно только сказать, что снимок сделан в полосе наступления 13-й армии в апреле 1945 года.</w:t>
      </w:r>
    </w:p>
    <w:p w14:paraId="1576C41F"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 что на заключительном этапе войны, для защиты от воздействия кумулятивных боеприпасов использовались самые разнообразные средства - известный факт. В ход шло все - ящики, двери и мебель, закрепленная веревками и брезентом. Неплохой эффект давали пустые бочки и канистры.</w:t>
      </w:r>
    </w:p>
    <w:p w14:paraId="084E8ED7"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Правда есть фотографии моделей нескольких вариантов экранировки Т-34-85, которые скорее всего разрабатывались на заводе № 112. На одной из них видно, что полукруглые экраны прикрывают частично башню и моторное отделение танка. Второй вариант выполнен более основательно и предусматривал полную экранировку бортов корпуса и башни металлическими листами (по типу немецких экранов), а для обеспечения обзора из командирской башенки в экране были прорезаны окна, забранные сеткой. Еще один вариант походил на предыдущий, но выполнялся из сетки. К сожалению, никакой информации кроме фотографий макетов пока обнаружить не удалось.</w:t>
      </w:r>
    </w:p>
    <w:p w14:paraId="48CA7CB6"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Существовал еще один вариант экранировки - защита лобового листа корпуса траками гусениц. Видимо эту идею навеяли немецкие машины, которые часто обвешивались запасными траками весьма обильно. Первый вариант был предложен заводом № 183 в августе 1943 года. По нему на лобовом листе корпуса крепилось 14 траков, причем по одному. Этот вариант был отвергнут военными, но сама идея понравилась (12217).</w:t>
      </w:r>
    </w:p>
    <w:p w14:paraId="1B1F2B36" w14:textId="77777777" w:rsidR="00045010" w:rsidRPr="00640820" w:rsidRDefault="00045010" w:rsidP="00640820">
      <w:pPr>
        <w:spacing w:after="0" w:line="240" w:lineRule="auto"/>
        <w:jc w:val="both"/>
        <w:rPr>
          <w:rFonts w:ascii="Times New Roman" w:hAnsi="Times New Roman"/>
          <w:color w:val="000000" w:themeColor="text1"/>
          <w:sz w:val="16"/>
          <w:szCs w:val="16"/>
        </w:rPr>
      </w:pPr>
    </w:p>
    <w:p w14:paraId="26A70AEC" w14:textId="77777777" w:rsidR="001A313A" w:rsidRPr="00640820" w:rsidRDefault="001A313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Во втором полугодии 1941 года база № 60 должна была закончить постройкой опытные образцы ПЛ-40. Проект был разработан в 1940 году. Толщину бронирования ПЛ-40 предполагалось довести до 30 мм, а его листы крепить не отжившей свой век клепкой, а передовой автоматической сваркой. Вместо старых Максимов предусматривались новые пулеметы ДС, а в качестве зенитных — крупнокалиберные ДК. Начавшаяся война разрушила эти планы (22745).</w:t>
      </w:r>
    </w:p>
    <w:p w14:paraId="715AD3E0" w14:textId="77777777" w:rsidR="001A313A" w:rsidRPr="00640820" w:rsidRDefault="001A313A" w:rsidP="00640820">
      <w:pPr>
        <w:spacing w:after="0" w:line="240" w:lineRule="auto"/>
        <w:jc w:val="both"/>
        <w:rPr>
          <w:rFonts w:ascii="Times New Roman" w:hAnsi="Times New Roman"/>
          <w:color w:val="0070C0"/>
          <w:sz w:val="16"/>
          <w:szCs w:val="16"/>
        </w:rPr>
      </w:pPr>
    </w:p>
    <w:p w14:paraId="15C968F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второй половины 1941 г. на судостроительно- судоремонтный завод им. С.Н. Бутякова были эвакуированы завод им. Сталина из Киева и в 1942 г. - Московский судостроительный завод. Работой завод загружался полностью. В 1942 г. постройка 200 сильных морских буксиров выполнена лишь в объёме 4% вместо плановых 10%. Недовыполнение плана, судя по документам, связывали с необеспеченностью объекта материалами и рабочей силой. В 1943 г. производственная программа завода была выполнена по его основному профилю - среднему текущему ремонту судов. Выполнение программы по новому судостроению (58 %) и капитальному ремонту флота (59,4 %) связано с перебоями в снабжении завода материалами, рабочей силой, в транспорте. В 1944 г. невыполнение плана было связано за счёт нового судостроения (выполнено на 13 %) и капитального ремонта (на 37,5 %) (9707).</w:t>
      </w:r>
    </w:p>
    <w:p w14:paraId="6ACCCE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E145D5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второй половине 1941 г. был разработан танк 0-60 на базе узлов и агрегатов малого танка Т-30 в КБ завода № 37 под руководством Н.А. Астрова при участии представителя военной приемки ГАБТУ РККА на заводе подполковника В.П. Окунева. Первый опытный образец машит ны был изготовлен заводом № 37 в августе 1941 г. Второй опытный образец с установкой более мощного вооружения, изготовленный осень 1941 г., стал предсерийным образцом танка Т-60 (10703).</w:t>
      </w:r>
    </w:p>
    <w:p w14:paraId="7E4E5B2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0CB58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второй половине 1941 г. Параллельно с созданием истребительно-противотанковых само</w:t>
      </w:r>
      <w:r w:rsidRPr="00640820">
        <w:rPr>
          <w:rFonts w:ascii="Times New Roman" w:hAnsi="Times New Roman"/>
          <w:color w:val="000000" w:themeColor="text1"/>
          <w:sz w:val="16"/>
          <w:szCs w:val="16"/>
        </w:rPr>
        <w:softHyphen/>
        <w:t>ходных установок были разработаны и вы</w:t>
      </w:r>
      <w:r w:rsidRPr="00640820">
        <w:rPr>
          <w:rFonts w:ascii="Times New Roman" w:hAnsi="Times New Roman"/>
          <w:color w:val="000000" w:themeColor="text1"/>
          <w:sz w:val="16"/>
          <w:szCs w:val="16"/>
        </w:rPr>
        <w:softHyphen/>
        <w:t>пущены в небольшом количестве боевые бронированные машины реак</w:t>
      </w:r>
      <w:r w:rsidRPr="00640820">
        <w:rPr>
          <w:rFonts w:ascii="Times New Roman" w:hAnsi="Times New Roman"/>
          <w:color w:val="000000" w:themeColor="text1"/>
          <w:sz w:val="16"/>
          <w:szCs w:val="16"/>
        </w:rPr>
        <w:softHyphen/>
        <w:t>тивной артиллерии БМ-8-24. Боевая машина БМ-8-24 была спроекти</w:t>
      </w:r>
      <w:r w:rsidRPr="00640820">
        <w:rPr>
          <w:rFonts w:ascii="Times New Roman" w:hAnsi="Times New Roman"/>
          <w:color w:val="000000" w:themeColor="text1"/>
          <w:sz w:val="16"/>
          <w:szCs w:val="16"/>
        </w:rPr>
        <w:softHyphen/>
        <w:t>рована в августе 1941 г. на базе малого танка Т-40 с учетом опыта разра</w:t>
      </w:r>
      <w:r w:rsidRPr="00640820">
        <w:rPr>
          <w:rFonts w:ascii="Times New Roman" w:hAnsi="Times New Roman"/>
          <w:color w:val="000000" w:themeColor="text1"/>
          <w:sz w:val="16"/>
          <w:szCs w:val="16"/>
        </w:rPr>
        <w:softHyphen/>
        <w:t>ботки и результатов испытаний боевой машины реактивной артилле</w:t>
      </w:r>
      <w:r w:rsidRPr="00640820">
        <w:rPr>
          <w:rFonts w:ascii="Times New Roman" w:hAnsi="Times New Roman"/>
          <w:color w:val="000000" w:themeColor="text1"/>
          <w:sz w:val="16"/>
          <w:szCs w:val="16"/>
        </w:rPr>
        <w:softHyphen/>
        <w:t>рии БМ-8-36 с 36 двухметровыми направляющими типа "флейта", кото</w:t>
      </w:r>
      <w:r w:rsidRPr="00640820">
        <w:rPr>
          <w:rFonts w:ascii="Times New Roman" w:hAnsi="Times New Roman"/>
          <w:color w:val="000000" w:themeColor="text1"/>
          <w:sz w:val="16"/>
          <w:szCs w:val="16"/>
        </w:rPr>
        <w:softHyphen/>
        <w:t>рая была разработана в СКВ московского завода "Компрессор" под ру</w:t>
      </w:r>
      <w:r w:rsidRPr="00640820">
        <w:rPr>
          <w:rFonts w:ascii="Times New Roman" w:hAnsi="Times New Roman"/>
          <w:color w:val="000000" w:themeColor="text1"/>
          <w:sz w:val="16"/>
          <w:szCs w:val="16"/>
        </w:rPr>
        <w:softHyphen/>
        <w:t>ководством ведущего инженера Ю.Э. Эндека. Параллельно с работами по монтажу установки БМ-8 на базе танка Т-40С аналогичные работы велись и по установке БМ-13. После изготовления двух опытных образ</w:t>
      </w:r>
      <w:r w:rsidRPr="00640820">
        <w:rPr>
          <w:rFonts w:ascii="Times New Roman" w:hAnsi="Times New Roman"/>
          <w:color w:val="000000" w:themeColor="text1"/>
          <w:sz w:val="16"/>
          <w:szCs w:val="16"/>
        </w:rPr>
        <w:softHyphen/>
        <w:t>цов данных машин и проведения полигонных испытаний было установ</w:t>
      </w:r>
      <w:r w:rsidRPr="00640820">
        <w:rPr>
          <w:rFonts w:ascii="Times New Roman" w:hAnsi="Times New Roman"/>
          <w:color w:val="000000" w:themeColor="text1"/>
          <w:sz w:val="16"/>
          <w:szCs w:val="16"/>
        </w:rPr>
        <w:softHyphen/>
        <w:t>лено, что несмотря на ряд преимуществ боевых установок на гусенич</w:t>
      </w:r>
      <w:r w:rsidRPr="00640820">
        <w:rPr>
          <w:rFonts w:ascii="Times New Roman" w:hAnsi="Times New Roman"/>
          <w:color w:val="000000" w:themeColor="text1"/>
          <w:sz w:val="16"/>
          <w:szCs w:val="16"/>
        </w:rPr>
        <w:softHyphen/>
        <w:t>ном ходу перед боевыми установками на колесном ходу (увеличение сектора обстрела по горизонту, более высокая проходимость), боевые установки БМ-13 обладали рядом недостатков, которые приводили к увеличению элипса рассеивания снарядов при стрельбе до недопусти</w:t>
      </w:r>
      <w:r w:rsidRPr="00640820">
        <w:rPr>
          <w:rFonts w:ascii="Times New Roman" w:hAnsi="Times New Roman"/>
          <w:color w:val="000000" w:themeColor="text1"/>
          <w:sz w:val="16"/>
          <w:szCs w:val="16"/>
        </w:rPr>
        <w:softHyphen/>
        <w:t>мых пределов на средних углах возвышения (до 25°). Эти конструктив</w:t>
      </w:r>
      <w:r w:rsidRPr="00640820">
        <w:rPr>
          <w:rFonts w:ascii="Times New Roman" w:hAnsi="Times New Roman"/>
          <w:color w:val="000000" w:themeColor="text1"/>
          <w:sz w:val="16"/>
          <w:szCs w:val="16"/>
        </w:rPr>
        <w:softHyphen/>
        <w:t>ные недостатки послужили причиной отказа в принятии самоходных установок БМ-8 и БМ-13 с направляющими типа "флейта" на базе ма</w:t>
      </w:r>
      <w:r w:rsidRPr="00640820">
        <w:rPr>
          <w:rFonts w:ascii="Times New Roman" w:hAnsi="Times New Roman"/>
          <w:color w:val="000000" w:themeColor="text1"/>
          <w:sz w:val="16"/>
          <w:szCs w:val="16"/>
        </w:rPr>
        <w:softHyphen/>
        <w:t>лого танка Т-40 на вооружение РККА и прекращения по ним дальней</w:t>
      </w:r>
      <w:r w:rsidRPr="00640820">
        <w:rPr>
          <w:rFonts w:ascii="Times New Roman" w:hAnsi="Times New Roman"/>
          <w:color w:val="000000" w:themeColor="text1"/>
          <w:sz w:val="16"/>
          <w:szCs w:val="16"/>
        </w:rPr>
        <w:softHyphen/>
        <w:t>ших работ (10703).</w:t>
      </w:r>
    </w:p>
    <w:p w14:paraId="459BB58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91026C"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3316AA0C"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7866CC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началу зимы 1942 из Москвы в Куйбышев прибыло уже 24 эшело</w:t>
      </w:r>
      <w:r w:rsidRPr="00640820">
        <w:rPr>
          <w:rFonts w:ascii="Times New Roman" w:hAnsi="Times New Roman"/>
          <w:color w:val="000000" w:themeColor="text1"/>
          <w:sz w:val="16"/>
          <w:szCs w:val="16"/>
        </w:rPr>
        <w:softHyphen/>
        <w:t>на, насчитывающих 1400 вагонов с содержимым завода № 1 (9984).</w:t>
      </w:r>
    </w:p>
    <w:p w14:paraId="4B07A1D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D77B64"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lastRenderedPageBreak/>
        <w:t>Авиапромышленность:</w:t>
      </w:r>
    </w:p>
    <w:p w14:paraId="2BA5B725"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F6FDE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зимы 1941 (м.б. 1942 - логичнее) испытали взлетные лыжи, которые предложил л-и НИИ ГВФ Б.К.Кондратьев, чтобы решить проблему отказа от лыж и по-прежнему неубиравшихся аэродромов. По В.Б.Ш. были лыжи и для Ил-2. Для него как и для Ил-4 делали и маленькую хвостовую (4,316).</w:t>
      </w:r>
    </w:p>
    <w:p w14:paraId="51AB7F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Интересно, как их собирали.</w:t>
      </w:r>
    </w:p>
    <w:p w14:paraId="3B4538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ТО - нет, но в инструкции 1943 - есть.</w:t>
      </w:r>
    </w:p>
    <w:p w14:paraId="699417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14FD325"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1E642648"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31D6B1B" w14:textId="77777777" w:rsidR="005A189F" w:rsidRPr="00640820" w:rsidRDefault="005A189F"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Зимой 1941 г., в связи с острой нехваткой в строевых частях ВВС РККА технических средств для уборки снега и укатки взлетно-посадочных полос, в некоторых штурмовых авиаполках самолеты Ил-2 стали использовать с неубирающимися лыжами (18250).</w:t>
      </w:r>
    </w:p>
    <w:p w14:paraId="1AA2A136" w14:textId="77777777" w:rsidR="005A189F" w:rsidRPr="00640820" w:rsidRDefault="005A189F" w:rsidP="00640820">
      <w:pPr>
        <w:spacing w:after="0" w:line="240" w:lineRule="auto"/>
        <w:jc w:val="both"/>
        <w:rPr>
          <w:rFonts w:ascii="Times New Roman" w:hAnsi="Times New Roman"/>
          <w:color w:val="000000" w:themeColor="text1"/>
          <w:sz w:val="16"/>
          <w:szCs w:val="16"/>
        </w:rPr>
      </w:pPr>
    </w:p>
    <w:p w14:paraId="6C0F43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Зимой 1941/42 г. верхние и боковые поверхности самолетов окрашивали белой смываемой краской МК-7. Эту краску, неотличимую по цвету от снега как в видимой, так и в ультрафиолетовой области спектра, разработали на основе мела и казеинового клея. Она состояла из пасты (мел, разбавленный водой со спиртом и добавкой 0,1 - 0,2 % ультрамарина для уничтожения желтоватости мела) и закрепителя (казеиновый клей, перемешанный с водой). Наносилась краска в два слоя пульверизатором или в один-два слоя кистью прямо на летний камуфляж верхних и боковых поверхностей. Слои должны были быть ровными без шероховатостей, через них должно было "слегка просвечиваться основное лакокрасочное покрытие". Самолеты, отправлявшиеся с заводов зимой, окрашивались белой смываемой краской поверх летнего камуфляжа. Покрытие краской МК-7 было довольно непрочным и, при невыполнении требований инструкции об обновлении, постепенно стиралось, обнажая летнюю окраску. К концу зимы на самолетах сам собой появлялся так называемый "весенний" камуфляж. Впрочем в действующих частях белой краской часто окрашивали не весь истребитель, придавая машинам зачастую весьма причудливый вид (11983).</w:t>
      </w:r>
    </w:p>
    <w:p w14:paraId="208FF1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D410B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Зимой 1941-1942 гг., согласно воспоминания В.В. Пшеничнова, в 1941 - 1945 гг. начальника ПАРМ-1 562-го иап ПВО, все самолеты окрасили в белый цвет. Использовали мел грубого помола, так что о распылителях и речи быть не могло, красили кистями. Работы шли на морозе, и чтобы смесь мела, казеина и воды не застывала, добавлялась некая спиртосодержащая жидкость. Полученная в результате поверхность оказывалась очень шероховатой. Белая краска успешно дожила до весны 1942 г., когда и была с трудом смыта.</w:t>
      </w:r>
    </w:p>
    <w:p w14:paraId="535B92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Необходимость в окраске возникала в двух случаях: механического повреждения самолета и порчи самой поверхности. В первом - старались красить лишь отремонтированные места, не трогая остававшиеся целыми. При этом не придерживались каких-либо стандартных схем, о которых, кстати, и не знали. Красили больше по наитию, но, естественно, учитывали, как выглядят другие самолеты. В состав полка техника попадала часто не с завода, а с мест вынужденной посадки, после ремонта и из других частей, потому машины имели достаточно разношерстную окраску, хотя все были "яками".</w:t>
      </w:r>
    </w:p>
    <w:p w14:paraId="7B22E4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Одним из наиболее распространенных дефектов советских самолетов того времени было низкое качество лакокрасочного покрытия. О причинах этого говорилось выше. Кроме того, машины постоянно находились под открытым небом, предоставленные солнцу, дождю и снегу (чехлами закрывались только капот и кабина). Это приводило к тому, что поверхность, в первую очередь, крыльев покрывалась сеткой трещин. В истребительных полках ПВО самолеты жили дольше, чем во фронтовой авиации, но и там через ка- кие-то год-полтора эксплуатации приходилось сталкиваться с необходимостью менять обшивку крыльев.</w:t>
      </w:r>
    </w:p>
    <w:p w14:paraId="0494A9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Восстанавливая обшивку, старались придерживаться заводской технологии. После удаления старой обшивки крыло покрывали нитроклеем, натягивали миткаль и сверху вновь промазывали нитроклеем. Когда он высыхал, наносили аэролак первого покрытия, шпаклевали, иногда за два прохода, зашкуривали и, наконец, переходили к лакам второго покрытия. Красили распылителем. Для экономии старались ограничиться одним слоем, поскольку проблемы с получением лаков были постоянными.</w:t>
      </w:r>
    </w:p>
    <w:p w14:paraId="56461C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Вопреки бытующему мнению, использовались только лаки серии АМТ. Каких- либо автомобильных, танковых, приобретенных на стороне, вообще неавиационных, не применяли никогда. Не практиковалось и смешивание лаков, чтобы добиться нужного цвета. При недостатке какого-то из них просто изменяли соотношение площадей пятен камуфляжа, тем более, что схемы его в ПАРМ официально не присылались. Но более или менее типовая окраска существовала, поскольку работу выполняли одни и те же люди на самолетах одного и того же типа.</w:t>
      </w:r>
    </w:p>
    <w:p w14:paraId="5AAE9C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Окрашенную поверхность пробовали полировать тряпками, но заметного прироста скорости это не давало. Под конец с помощью фанерного трафарета наносили бортовые номера и звезды, красной краской - технические надписи. На хвостовой части фюзеляжа - номер ПАРМ. Единых отличительных знаков для полка или эскадрилий не было, но своеобразные элементы окраски на самолетах все же присутствовали. Они появлялись по инициативе пилотов или на машинах, пришедших из других полков. По просьбе летчиков Пшеничное на нескольких самолетах изобразил леопарда, а на других черта - по образцу фигурки каслинского литья (11989).</w:t>
      </w:r>
    </w:p>
    <w:p w14:paraId="77C13C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B3751E0"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244CCE07"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3188993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Зимой 1941—1942 гг. заказчик принимал от временных производите</w:t>
      </w:r>
      <w:r w:rsidRPr="00640820">
        <w:rPr>
          <w:rFonts w:ascii="Times New Roman" w:hAnsi="Times New Roman"/>
          <w:color w:val="000000" w:themeColor="text1"/>
          <w:sz w:val="16"/>
          <w:szCs w:val="16"/>
        </w:rPr>
        <w:softHyphen/>
        <w:t>лей боеприпасы типа БР-243 и БЗР-243 (штатные бронебойные снаряды 45-мм танковых и противотанковых пушек) со значительным (до 25%) отклонениями от нормы. Улучшение качества массово вы</w:t>
      </w:r>
      <w:r w:rsidRPr="00640820">
        <w:rPr>
          <w:rFonts w:ascii="Times New Roman" w:hAnsi="Times New Roman"/>
          <w:color w:val="000000" w:themeColor="text1"/>
          <w:sz w:val="16"/>
          <w:szCs w:val="16"/>
        </w:rPr>
        <w:softHyphen/>
        <w:t>пускаемого бронебойного снаряда калибра 45-мм не пред</w:t>
      </w:r>
      <w:r w:rsidRPr="00640820">
        <w:rPr>
          <w:rFonts w:ascii="Times New Roman" w:hAnsi="Times New Roman"/>
          <w:color w:val="000000" w:themeColor="text1"/>
          <w:sz w:val="16"/>
          <w:szCs w:val="16"/>
        </w:rPr>
        <w:softHyphen/>
        <w:t>ставлялось возможным, ибо они выпускались чаще всего на непрофильных машиностроительных предприятиях, имев</w:t>
      </w:r>
      <w:r w:rsidRPr="00640820">
        <w:rPr>
          <w:rFonts w:ascii="Times New Roman" w:hAnsi="Times New Roman"/>
          <w:color w:val="000000" w:themeColor="text1"/>
          <w:sz w:val="16"/>
          <w:szCs w:val="16"/>
        </w:rPr>
        <w:softHyphen/>
        <w:t>ших термические участки, по полукустарной технологии, и вполне естественно то, что снаряды, поступающие в этот пе</w:t>
      </w:r>
      <w:r w:rsidRPr="00640820">
        <w:rPr>
          <w:rFonts w:ascii="Times New Roman" w:hAnsi="Times New Roman"/>
          <w:color w:val="000000" w:themeColor="text1"/>
          <w:sz w:val="16"/>
          <w:szCs w:val="16"/>
        </w:rPr>
        <w:softHyphen/>
        <w:t>риод в армию, отличались крайне низким качеством. Согласно отчету Техуправления НКВ, поступающие с зи</w:t>
      </w:r>
      <w:r w:rsidRPr="00640820">
        <w:rPr>
          <w:rFonts w:ascii="Times New Roman" w:hAnsi="Times New Roman"/>
          <w:color w:val="000000" w:themeColor="text1"/>
          <w:sz w:val="16"/>
          <w:szCs w:val="16"/>
        </w:rPr>
        <w:softHyphen/>
        <w:t>мы 1941/42 г.на оснащение наших танков и противотанковой артиллерии 37-мм и 45-мм бронебойные снаряды имели бро-непробиваемость значительно пониженную не только по сравнению с эталонными образцами. Так, 37-мм пушка РаК 35/36, стрелявшая снарядами РгСг 39 с большим преиму</w:t>
      </w:r>
      <w:r w:rsidRPr="00640820">
        <w:rPr>
          <w:rFonts w:ascii="Times New Roman" w:hAnsi="Times New Roman"/>
          <w:color w:val="000000" w:themeColor="text1"/>
          <w:sz w:val="16"/>
          <w:szCs w:val="16"/>
        </w:rPr>
        <w:softHyphen/>
        <w:t>ществом выигрывала состязание не только у 37-мм, но и у «сорокапятки» с отечественным бронебойным эрзацснаря-дом военного времени против брони высокой твердости (10782).</w:t>
      </w:r>
    </w:p>
    <w:p w14:paraId="606BA9E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62D11A" w14:textId="77777777" w:rsidR="00351905" w:rsidRPr="00640820" w:rsidRDefault="00351905"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Зимой 1941–1942 гг. с фронтов на ПТ ружья особых нареканий не поступало, но с наступлением тепла и появлением пыли пошли массовые претензии на тугую работу затвора, затрудненную экстракцию гильз и другие недостатки ружей. В начале мая 1942 г. на НИПСВО были проведены испытания ПТРД и ПТРС, выпущенных всеми заводами-изготовителями, подтвердившие обоснованность жалоб из войск. Большие претензии были и к качеству патронов. На заводе №17 в Барнауле из-за раздутия стенки гильзы при стрельбе из ПТРС забраковали весь месячный выпуск 14,5-мм патронов, примерно 400 тыс. штук. Всю партию направили на оружейные заводы для использования на испытательных стрельбах. На заводах пришлось форсировать конструкторскую и технологическую доработку обоих ПТР, которая велась и до этого. Например, на ПТРС отказались от наплечника на прикладе и поставили новую сошку (18638).</w:t>
      </w:r>
    </w:p>
    <w:p w14:paraId="72FC8A6A" w14:textId="77777777" w:rsidR="00351905" w:rsidRPr="00640820" w:rsidRDefault="00351905" w:rsidP="00640820">
      <w:pPr>
        <w:spacing w:after="0" w:line="240" w:lineRule="auto"/>
        <w:jc w:val="both"/>
        <w:rPr>
          <w:rFonts w:ascii="Times New Roman" w:hAnsi="Times New Roman"/>
          <w:color w:val="000000" w:themeColor="text1"/>
          <w:sz w:val="16"/>
          <w:szCs w:val="16"/>
        </w:rPr>
      </w:pPr>
    </w:p>
    <w:p w14:paraId="5D56F8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Зимой 1941 был налажен выпуск СУ-100, на которых была установлена новая пушка калибра 100 мм. Всего было изготовлено 2329 самоходок СУ-85 и 315 самоходок СУ-85М с корпусом СУ-100 (3862).</w:t>
      </w:r>
    </w:p>
    <w:p w14:paraId="6C8DC0C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Из-за задержки производства СУ-100 (проблемы со 100-мм боеприпасом) и в то же время прекращения производства корпусов для СУ-85, был временно налажен выпуск "модернизированной" САУ СУ-85М (3862).</w:t>
      </w:r>
    </w:p>
    <w:p w14:paraId="1528C5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Эта машина, отличавшаяся от серийной СУ-85 более толстой лобовой броней (75мм вместо 45мм) и более просторным боевым отделением, представляла собой обыкновенную СУ-100, но вооруженную 85-мм орудием Д-5С. Вплоть до декабря 1944 эта САУ была в производстве и лишь после запуска в серию СУ-100, ее производство было остановлено (3862).</w:t>
      </w:r>
    </w:p>
    <w:p w14:paraId="581EE6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Помимо Красной Армии, машины этого типа поступали на вооружение Войска Польского (70 шт.) и Чехословацкого корпуса (2 шт.). В Польше СУ-85 стояли на вооружении до конца 50-х годов, часть из них в последствии переоборудовали в БРЭМ (3862).</w:t>
      </w:r>
    </w:p>
    <w:p w14:paraId="347B4F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993681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Зимой 1941-1942 гг. на заводе № 92 НКВ в Горьком на базе полугусеничного автомобиля ЗИС-42 был изготовлен полубронированный артиллерий</w:t>
      </w:r>
      <w:r w:rsidRPr="00640820">
        <w:rPr>
          <w:rFonts w:ascii="Times New Roman" w:hAnsi="Times New Roman"/>
          <w:color w:val="000000" w:themeColor="text1"/>
          <w:sz w:val="16"/>
          <w:szCs w:val="16"/>
        </w:rPr>
        <w:softHyphen/>
        <w:t>ский тягач ЗИС-41, предназначавшийся для буксирования122-мм гау</w:t>
      </w:r>
      <w:r w:rsidRPr="00640820">
        <w:rPr>
          <w:rFonts w:ascii="Times New Roman" w:hAnsi="Times New Roman"/>
          <w:color w:val="000000" w:themeColor="text1"/>
          <w:sz w:val="16"/>
          <w:szCs w:val="16"/>
        </w:rPr>
        <w:softHyphen/>
        <w:t>биц М-30, который весной 1942 г. прошел испытания на АНИОПе. По результатам испытаний машины, после устранения выявленных недо</w:t>
      </w:r>
      <w:r w:rsidRPr="00640820">
        <w:rPr>
          <w:rFonts w:ascii="Times New Roman" w:hAnsi="Times New Roman"/>
          <w:color w:val="000000" w:themeColor="text1"/>
          <w:sz w:val="16"/>
          <w:szCs w:val="16"/>
        </w:rPr>
        <w:softHyphen/>
        <w:t>статков, была признана пригодной для использования в РККА в качест</w:t>
      </w:r>
      <w:r w:rsidRPr="00640820">
        <w:rPr>
          <w:rFonts w:ascii="Times New Roman" w:hAnsi="Times New Roman"/>
          <w:color w:val="000000" w:themeColor="text1"/>
          <w:sz w:val="16"/>
          <w:szCs w:val="16"/>
        </w:rPr>
        <w:softHyphen/>
        <w:t>ве артиллерийского тягача для буксировки 122-мм гаубиц. Однако мас</w:t>
      </w:r>
      <w:r w:rsidRPr="00640820">
        <w:rPr>
          <w:rFonts w:ascii="Times New Roman" w:hAnsi="Times New Roman"/>
          <w:color w:val="000000" w:themeColor="text1"/>
          <w:sz w:val="16"/>
          <w:szCs w:val="16"/>
        </w:rPr>
        <w:softHyphen/>
        <w:t>совое производство арттягача ЗИС-41 не было развернуто по причинам, не связанным с его техническим совершенством (10703).</w:t>
      </w:r>
    </w:p>
    <w:p w14:paraId="270CAB5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1728C4"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0F83A519"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E7129CA" w14:textId="77777777" w:rsidR="001A313A" w:rsidRPr="00640820" w:rsidRDefault="001A313A"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Зимой 1941-42 годов ДБ-3 из 1-го ГвМТАП занимались снабжением блокад</w:t>
      </w:r>
      <w:r w:rsidRPr="00640820">
        <w:rPr>
          <w:rFonts w:ascii="Times New Roman" w:hAnsi="Times New Roman"/>
          <w:color w:val="0070C0"/>
          <w:sz w:val="16"/>
          <w:szCs w:val="16"/>
        </w:rPr>
        <w:softHyphen/>
        <w:t>ного Ленинграда, перевозя оружие, бое</w:t>
      </w:r>
      <w:r w:rsidRPr="00640820">
        <w:rPr>
          <w:rFonts w:ascii="Times New Roman" w:hAnsi="Times New Roman"/>
          <w:color w:val="0070C0"/>
          <w:sz w:val="16"/>
          <w:szCs w:val="16"/>
        </w:rPr>
        <w:softHyphen/>
        <w:t>припасы, продукты, медикаменты и т.п. Летали, как правило, целым полком. Трасса пролегала над Ладожским озе</w:t>
      </w:r>
      <w:r w:rsidRPr="00640820">
        <w:rPr>
          <w:rFonts w:ascii="Times New Roman" w:hAnsi="Times New Roman"/>
          <w:color w:val="0070C0"/>
          <w:sz w:val="16"/>
          <w:szCs w:val="16"/>
        </w:rPr>
        <w:softHyphen/>
        <w:t>ром. В один из январских дней 1942 г. са</w:t>
      </w:r>
      <w:r w:rsidRPr="00640820">
        <w:rPr>
          <w:rFonts w:ascii="Times New Roman" w:hAnsi="Times New Roman"/>
          <w:color w:val="0070C0"/>
          <w:sz w:val="16"/>
          <w:szCs w:val="16"/>
        </w:rPr>
        <w:softHyphen/>
        <w:t>молеты были атакованы истребителями противника. Стрелок-радист М. Кудряшов из экипажа к-на М.Н. Плоткина сбил одного из нападавших, а там подоспело и свое прикрытие. Для гвардейцев вылет завершился без потерь (19944).</w:t>
      </w:r>
    </w:p>
    <w:p w14:paraId="365D0CEA" w14:textId="77777777" w:rsidR="001A313A" w:rsidRPr="00640820" w:rsidRDefault="001A313A" w:rsidP="00640820">
      <w:pPr>
        <w:spacing w:after="0" w:line="240" w:lineRule="auto"/>
        <w:jc w:val="both"/>
        <w:rPr>
          <w:rFonts w:ascii="Times New Roman" w:hAnsi="Times New Roman"/>
          <w:color w:val="0070C0"/>
          <w:sz w:val="16"/>
          <w:szCs w:val="16"/>
        </w:rPr>
      </w:pPr>
    </w:p>
    <w:p w14:paraId="486164E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Зимой 1941/42 года в битве под Москвой довольно широко применялись танки Т-40, где наиболее эффективными оказались на лесисто-болотистых участках местности, ограниченно проходимой для других, более тяжелых танков (3862).</w:t>
      </w:r>
    </w:p>
    <w:p w14:paraId="5B68F4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470BD2E" w14:textId="77777777" w:rsidR="009042E6"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5416890B" w14:textId="77777777" w:rsidR="009042E6" w:rsidRPr="00640820" w:rsidRDefault="009042E6"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7F944415" w14:textId="77777777" w:rsidR="009042E6" w:rsidRPr="00640820" w:rsidRDefault="009042E6"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Зимой 1941/42 года фир</w:t>
      </w:r>
      <w:r w:rsidRPr="00640820">
        <w:rPr>
          <w:rFonts w:ascii="Times New Roman" w:cs="Times New Roman"/>
          <w:color w:val="000000" w:themeColor="text1"/>
          <w:spacing w:val="0"/>
        </w:rPr>
        <w:softHyphen/>
        <w:t xml:space="preserve">ма </w:t>
      </w:r>
      <w:r w:rsidRPr="00640820">
        <w:rPr>
          <w:rFonts w:ascii="Times New Roman" w:cs="Times New Roman"/>
          <w:color w:val="000000" w:themeColor="text1"/>
          <w:spacing w:val="0"/>
          <w:lang w:val="en-US"/>
        </w:rPr>
        <w:t>Alket</w:t>
      </w:r>
      <w:r w:rsidRPr="00640820">
        <w:rPr>
          <w:rFonts w:ascii="Times New Roman" w:cs="Times New Roman"/>
          <w:color w:val="000000" w:themeColor="text1"/>
          <w:spacing w:val="0"/>
        </w:rPr>
        <w:t xml:space="preserve"> взялась из</w:t>
      </w:r>
      <w:r w:rsidRPr="00640820">
        <w:rPr>
          <w:rFonts w:ascii="Times New Roman" w:cs="Times New Roman"/>
          <w:color w:val="000000" w:themeColor="text1"/>
          <w:spacing w:val="0"/>
        </w:rPr>
        <w:softHyphen/>
        <w:t xml:space="preserve">готовить прототип пехотного орудия </w:t>
      </w:r>
      <w:r w:rsidRPr="00640820">
        <w:rPr>
          <w:rFonts w:ascii="Times New Roman" w:cs="Times New Roman"/>
          <w:color w:val="000000" w:themeColor="text1"/>
          <w:spacing w:val="0"/>
          <w:lang w:val="en-US"/>
        </w:rPr>
        <w:t>sIG</w:t>
      </w:r>
      <w:r w:rsidRPr="00640820">
        <w:rPr>
          <w:rFonts w:ascii="Times New Roman" w:cs="Times New Roman"/>
          <w:color w:val="000000" w:themeColor="text1"/>
          <w:spacing w:val="0"/>
        </w:rPr>
        <w:t xml:space="preserve"> 33 в полностью закрытой броневой рубке. Контрактом, заключенным Управлени</w:t>
      </w:r>
      <w:r w:rsidRPr="00640820">
        <w:rPr>
          <w:rFonts w:ascii="Times New Roman" w:cs="Times New Roman"/>
          <w:color w:val="000000" w:themeColor="text1"/>
          <w:spacing w:val="0"/>
        </w:rPr>
        <w:softHyphen/>
        <w:t>ем вооружения сухопутных войск с фир</w:t>
      </w:r>
      <w:r w:rsidRPr="00640820">
        <w:rPr>
          <w:rFonts w:ascii="Times New Roman" w:cs="Times New Roman"/>
          <w:color w:val="000000" w:themeColor="text1"/>
          <w:spacing w:val="0"/>
        </w:rPr>
        <w:softHyphen/>
        <w:t xml:space="preserve">мой </w:t>
      </w:r>
      <w:r w:rsidRPr="00640820">
        <w:rPr>
          <w:rFonts w:ascii="Times New Roman" w:cs="Times New Roman"/>
          <w:color w:val="000000" w:themeColor="text1"/>
          <w:spacing w:val="0"/>
          <w:lang w:val="en-US"/>
        </w:rPr>
        <w:t>Alkett</w:t>
      </w:r>
      <w:r w:rsidRPr="00640820">
        <w:rPr>
          <w:rFonts w:ascii="Times New Roman" w:cs="Times New Roman"/>
          <w:color w:val="000000" w:themeColor="text1"/>
          <w:spacing w:val="0"/>
        </w:rPr>
        <w:t xml:space="preserve"> предусматривалось изготовле</w:t>
      </w:r>
      <w:r w:rsidRPr="00640820">
        <w:rPr>
          <w:rFonts w:ascii="Times New Roman" w:cs="Times New Roman"/>
          <w:color w:val="000000" w:themeColor="text1"/>
          <w:spacing w:val="0"/>
        </w:rPr>
        <w:softHyphen/>
        <w:t>ние в течение 1942 года опытной серии из 12 таких машин, получивших назва</w:t>
      </w:r>
      <w:r w:rsidRPr="00640820">
        <w:rPr>
          <w:rFonts w:ascii="Times New Roman" w:cs="Times New Roman"/>
          <w:color w:val="000000" w:themeColor="text1"/>
          <w:spacing w:val="0"/>
        </w:rPr>
        <w:softHyphen/>
        <w:t xml:space="preserve">ние </w:t>
      </w:r>
      <w:r w:rsidRPr="00640820">
        <w:rPr>
          <w:rFonts w:ascii="Times New Roman" w:cs="Times New Roman"/>
          <w:color w:val="000000" w:themeColor="text1"/>
          <w:spacing w:val="0"/>
          <w:lang w:val="en-US"/>
        </w:rPr>
        <w:t>Sturminfanterie</w:t>
      </w:r>
      <w:r w:rsidRPr="00640820">
        <w:rPr>
          <w:rFonts w:ascii="Times New Roman" w:cs="Times New Roman"/>
          <w:color w:val="000000" w:themeColor="text1"/>
          <w:spacing w:val="0"/>
        </w:rPr>
        <w:t>-</w:t>
      </w:r>
      <w:r w:rsidRPr="00640820">
        <w:rPr>
          <w:rFonts w:ascii="Times New Roman" w:cs="Times New Roman"/>
          <w:color w:val="000000" w:themeColor="text1"/>
          <w:spacing w:val="0"/>
          <w:lang w:val="en-US"/>
        </w:rPr>
        <w:t>Geschutz</w:t>
      </w:r>
      <w:r w:rsidRPr="00640820">
        <w:rPr>
          <w:rFonts w:ascii="Times New Roman" w:cs="Times New Roman"/>
          <w:color w:val="000000" w:themeColor="text1"/>
          <w:spacing w:val="0"/>
        </w:rPr>
        <w:t xml:space="preserve"> 33 (</w:t>
      </w:r>
      <w:r w:rsidRPr="00640820">
        <w:rPr>
          <w:rFonts w:ascii="Times New Roman" w:cs="Times New Roman"/>
          <w:color w:val="000000" w:themeColor="text1"/>
          <w:spacing w:val="0"/>
          <w:lang w:val="en-US"/>
        </w:rPr>
        <w:t>StulG</w:t>
      </w:r>
      <w:r w:rsidRPr="00640820">
        <w:rPr>
          <w:rFonts w:ascii="Times New Roman" w:cs="Times New Roman"/>
          <w:color w:val="000000" w:themeColor="text1"/>
          <w:spacing w:val="0"/>
        </w:rPr>
        <w:t xml:space="preserve"> 33), или </w:t>
      </w:r>
      <w:r w:rsidRPr="00640820">
        <w:rPr>
          <w:rFonts w:ascii="Times New Roman" w:cs="Times New Roman"/>
          <w:color w:val="000000" w:themeColor="text1"/>
          <w:spacing w:val="0"/>
          <w:lang w:val="en-US"/>
        </w:rPr>
        <w:t>Sturmpanzer</w:t>
      </w:r>
      <w:r w:rsidRPr="00640820">
        <w:rPr>
          <w:rFonts w:ascii="Times New Roman" w:cs="Times New Roman"/>
          <w:color w:val="000000" w:themeColor="text1"/>
          <w:spacing w:val="0"/>
        </w:rPr>
        <w:t xml:space="preserve"> 33. Но производство велось медленно, во многом потому, что довольно долго новым штурмовым тан</w:t>
      </w:r>
      <w:r w:rsidRPr="00640820">
        <w:rPr>
          <w:rFonts w:ascii="Times New Roman" w:cs="Times New Roman"/>
          <w:color w:val="000000" w:themeColor="text1"/>
          <w:spacing w:val="0"/>
        </w:rPr>
        <w:softHyphen/>
        <w:t>кам не находилось достойного примене</w:t>
      </w:r>
      <w:r w:rsidRPr="00640820">
        <w:rPr>
          <w:rFonts w:ascii="Times New Roman" w:cs="Times New Roman"/>
          <w:color w:val="000000" w:themeColor="text1"/>
          <w:spacing w:val="0"/>
        </w:rPr>
        <w:softHyphen/>
        <w:t>ния. Вспомнили о них только в ходе боев за Сталинград. Гитлер лично распорядился ускорить процесс. В уличных боях самоходки, вооруженные крупнокалиберными ору</w:t>
      </w:r>
      <w:r w:rsidRPr="00640820">
        <w:rPr>
          <w:rFonts w:ascii="Times New Roman" w:cs="Times New Roman"/>
          <w:color w:val="000000" w:themeColor="text1"/>
          <w:spacing w:val="0"/>
        </w:rPr>
        <w:softHyphen/>
        <w:t>диями, пришлись бы как нельзя кстати. Соответствующее распоряжение фюре</w:t>
      </w:r>
      <w:r w:rsidRPr="00640820">
        <w:rPr>
          <w:rFonts w:ascii="Times New Roman" w:cs="Times New Roman"/>
          <w:color w:val="000000" w:themeColor="text1"/>
          <w:spacing w:val="0"/>
        </w:rPr>
        <w:softHyphen/>
        <w:t>ра последовало в сентябре 1942 года. Первые 12 машин изготавливали на за</w:t>
      </w:r>
      <w:r w:rsidRPr="00640820">
        <w:rPr>
          <w:rFonts w:ascii="Times New Roman" w:cs="Times New Roman"/>
          <w:color w:val="000000" w:themeColor="text1"/>
          <w:spacing w:val="0"/>
        </w:rPr>
        <w:softHyphen/>
        <w:t xml:space="preserve">воде </w:t>
      </w:r>
      <w:r w:rsidRPr="00640820">
        <w:rPr>
          <w:rFonts w:ascii="Times New Roman" w:cs="Times New Roman"/>
          <w:color w:val="000000" w:themeColor="text1"/>
          <w:spacing w:val="0"/>
          <w:lang w:val="en-US"/>
        </w:rPr>
        <w:t>Alkett</w:t>
      </w:r>
      <w:r w:rsidRPr="00640820">
        <w:rPr>
          <w:rFonts w:ascii="Times New Roman" w:cs="Times New Roman"/>
          <w:color w:val="000000" w:themeColor="text1"/>
          <w:spacing w:val="0"/>
        </w:rPr>
        <w:t xml:space="preserve"> в большой спешке. На все фюрер дал две недели. По этой причине новая машина выглядела довольно при</w:t>
      </w:r>
      <w:r w:rsidRPr="00640820">
        <w:rPr>
          <w:rFonts w:ascii="Times New Roman" w:cs="Times New Roman"/>
          <w:color w:val="000000" w:themeColor="text1"/>
          <w:spacing w:val="0"/>
        </w:rPr>
        <w:softHyphen/>
        <w:t>митивно. При боевой массе в 21 т штурмовой танк имел полностью бронированную сварную рубку простой прямоугольной формы с 50-мм (впоследствии усиленной до 80-мм) лобовой броней. Борта рубки представляли собой бронелисты толщи</w:t>
      </w:r>
      <w:r w:rsidRPr="00640820">
        <w:rPr>
          <w:rFonts w:ascii="Times New Roman" w:cs="Times New Roman"/>
          <w:color w:val="000000" w:themeColor="text1"/>
          <w:spacing w:val="0"/>
        </w:rPr>
        <w:softHyphen/>
        <w:t>ной 50 мм, корма — 15 мм, а крыша вы</w:t>
      </w:r>
      <w:r w:rsidRPr="00640820">
        <w:rPr>
          <w:rFonts w:ascii="Times New Roman" w:cs="Times New Roman"/>
          <w:color w:val="000000" w:themeColor="text1"/>
          <w:spacing w:val="0"/>
        </w:rPr>
        <w:softHyphen/>
        <w:t>полнялась из 10-мм бронелиста. В рубке была установлена 150-мм пехотная гауби</w:t>
      </w:r>
      <w:r w:rsidRPr="00640820">
        <w:rPr>
          <w:rFonts w:ascii="Times New Roman" w:cs="Times New Roman"/>
          <w:color w:val="000000" w:themeColor="text1"/>
          <w:spacing w:val="0"/>
        </w:rPr>
        <w:softHyphen/>
        <w:t xml:space="preserve">ца </w:t>
      </w:r>
      <w:r w:rsidRPr="00640820">
        <w:rPr>
          <w:rFonts w:ascii="Times New Roman" w:cs="Times New Roman"/>
          <w:color w:val="000000" w:themeColor="text1"/>
          <w:spacing w:val="0"/>
          <w:lang w:val="en-US"/>
        </w:rPr>
        <w:t>sIG</w:t>
      </w:r>
      <w:r w:rsidRPr="00640820">
        <w:rPr>
          <w:rFonts w:ascii="Times New Roman" w:cs="Times New Roman"/>
          <w:color w:val="000000" w:themeColor="text1"/>
          <w:spacing w:val="0"/>
        </w:rPr>
        <w:t xml:space="preserve"> 33. В качестве оборонительного во</w:t>
      </w:r>
      <w:r w:rsidRPr="00640820">
        <w:rPr>
          <w:rFonts w:ascii="Times New Roman" w:cs="Times New Roman"/>
          <w:color w:val="000000" w:themeColor="text1"/>
          <w:spacing w:val="0"/>
        </w:rPr>
        <w:softHyphen/>
        <w:t xml:space="preserve">оружения использовался пулемет </w:t>
      </w:r>
      <w:r w:rsidRPr="00640820">
        <w:rPr>
          <w:rFonts w:ascii="Times New Roman" w:cs="Times New Roman"/>
          <w:color w:val="000000" w:themeColor="text1"/>
          <w:spacing w:val="0"/>
          <w:lang w:val="en-US"/>
        </w:rPr>
        <w:t>MG</w:t>
      </w:r>
      <w:r w:rsidRPr="00640820">
        <w:rPr>
          <w:rFonts w:ascii="Times New Roman" w:cs="Times New Roman"/>
          <w:color w:val="000000" w:themeColor="text1"/>
          <w:spacing w:val="0"/>
        </w:rPr>
        <w:t>34, размещенный в шаровой установке в ло</w:t>
      </w:r>
      <w:r w:rsidRPr="00640820">
        <w:rPr>
          <w:rFonts w:ascii="Times New Roman" w:cs="Times New Roman"/>
          <w:color w:val="000000" w:themeColor="text1"/>
          <w:spacing w:val="0"/>
        </w:rPr>
        <w:softHyphen/>
        <w:t>бовом листе рубки. Боекомплект состоял из 30 выстрелов и 600 патронов. Наведе</w:t>
      </w:r>
      <w:r w:rsidRPr="00640820">
        <w:rPr>
          <w:rFonts w:ascii="Times New Roman" w:cs="Times New Roman"/>
          <w:color w:val="000000" w:themeColor="text1"/>
          <w:spacing w:val="0"/>
        </w:rPr>
        <w:softHyphen/>
        <w:t>ние орудия в цель осуществлялось с по</w:t>
      </w:r>
      <w:r w:rsidRPr="00640820">
        <w:rPr>
          <w:rFonts w:ascii="Times New Roman" w:cs="Times New Roman"/>
          <w:color w:val="000000" w:themeColor="text1"/>
          <w:spacing w:val="0"/>
        </w:rPr>
        <w:softHyphen/>
        <w:t xml:space="preserve">мощью перископического прицела </w:t>
      </w:r>
      <w:r w:rsidRPr="00640820">
        <w:rPr>
          <w:rFonts w:ascii="Times New Roman" w:cs="Times New Roman"/>
          <w:color w:val="000000" w:themeColor="text1"/>
          <w:spacing w:val="0"/>
          <w:lang w:val="en-US"/>
        </w:rPr>
        <w:t>Rblf</w:t>
      </w:r>
      <w:r w:rsidRPr="00640820">
        <w:rPr>
          <w:rFonts w:ascii="Times New Roman" w:cs="Times New Roman"/>
          <w:color w:val="000000" w:themeColor="text1"/>
          <w:spacing w:val="0"/>
        </w:rPr>
        <w:t xml:space="preserve"> 36. Его головка была выведена в отвер</w:t>
      </w:r>
      <w:r w:rsidRPr="00640820">
        <w:rPr>
          <w:rFonts w:ascii="Times New Roman" w:cs="Times New Roman"/>
          <w:color w:val="000000" w:themeColor="text1"/>
          <w:spacing w:val="0"/>
        </w:rPr>
        <w:softHyphen/>
        <w:t>стие в крыше рубки, защищенное сверху броневой крышкой. В задней левой части крыши имелся люк командира машины. Для посадки пяти членов экипажа служи</w:t>
      </w:r>
      <w:r w:rsidRPr="00640820">
        <w:rPr>
          <w:rFonts w:ascii="Times New Roman" w:cs="Times New Roman"/>
          <w:color w:val="000000" w:themeColor="text1"/>
          <w:spacing w:val="0"/>
        </w:rPr>
        <w:softHyphen/>
        <w:t>ли два люка в кормовом листе рубки. Возможно, что столь простая и нетипичная для немецкого танкостроения конструк</w:t>
      </w:r>
      <w:r w:rsidRPr="00640820">
        <w:rPr>
          <w:rFonts w:ascii="Times New Roman" w:cs="Times New Roman"/>
          <w:color w:val="000000" w:themeColor="text1"/>
          <w:spacing w:val="0"/>
        </w:rPr>
        <w:softHyphen/>
        <w:t>ция рубки была результатом спешки, с другой же стороны, она как нельзя лучше подходила для уличных боев.</w:t>
      </w:r>
    </w:p>
    <w:p w14:paraId="7604D8B4" w14:textId="77777777" w:rsidR="009042E6" w:rsidRPr="00640820" w:rsidRDefault="009042E6"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В качестве базы для размещения рубки использовали шасси 12 штурмовых ору</w:t>
      </w:r>
      <w:r w:rsidRPr="00640820">
        <w:rPr>
          <w:rFonts w:ascii="Times New Roman" w:cs="Times New Roman"/>
          <w:color w:val="000000" w:themeColor="text1"/>
          <w:spacing w:val="0"/>
        </w:rPr>
        <w:softHyphen/>
        <w:t xml:space="preserve">дий </w:t>
      </w:r>
      <w:r w:rsidRPr="00640820">
        <w:rPr>
          <w:rFonts w:ascii="Times New Roman" w:cs="Times New Roman"/>
          <w:color w:val="000000" w:themeColor="text1"/>
          <w:spacing w:val="0"/>
          <w:lang w:val="en-US"/>
        </w:rPr>
        <w:t>StuGIIIAusf</w:t>
      </w:r>
      <w:r w:rsidRPr="00640820">
        <w:rPr>
          <w:rFonts w:ascii="Times New Roman" w:cs="Times New Roman"/>
          <w:color w:val="000000" w:themeColor="text1"/>
          <w:spacing w:val="0"/>
        </w:rPr>
        <w:t>.</w:t>
      </w:r>
      <w:r w:rsidRPr="00640820">
        <w:rPr>
          <w:rFonts w:ascii="Times New Roman" w:cs="Times New Roman"/>
          <w:color w:val="000000" w:themeColor="text1"/>
          <w:spacing w:val="0"/>
          <w:lang w:val="en-US"/>
        </w:rPr>
        <w:t>E</w:t>
      </w:r>
      <w:r w:rsidRPr="00640820">
        <w:rPr>
          <w:rFonts w:ascii="Times New Roman" w:cs="Times New Roman"/>
          <w:color w:val="000000" w:themeColor="text1"/>
          <w:spacing w:val="0"/>
        </w:rPr>
        <w:t xml:space="preserve">. Все они покинули заводской цех в октябре 1942 года. Для следующих 12 машин, изготовленных в ноябре 1942 года, использовались шасси </w:t>
      </w:r>
      <w:r w:rsidRPr="00640820">
        <w:rPr>
          <w:rFonts w:ascii="Times New Roman" w:cs="Times New Roman"/>
          <w:color w:val="000000" w:themeColor="text1"/>
          <w:spacing w:val="0"/>
          <w:lang w:val="en-US"/>
        </w:rPr>
        <w:t>StuGIIIAusf</w:t>
      </w:r>
      <w:r w:rsidRPr="00640820">
        <w:rPr>
          <w:rFonts w:ascii="Times New Roman" w:cs="Times New Roman"/>
          <w:color w:val="000000" w:themeColor="text1"/>
          <w:spacing w:val="0"/>
        </w:rPr>
        <w:t>.</w:t>
      </w:r>
      <w:r w:rsidRPr="00640820">
        <w:rPr>
          <w:rFonts w:ascii="Times New Roman" w:cs="Times New Roman"/>
          <w:color w:val="000000" w:themeColor="text1"/>
          <w:spacing w:val="0"/>
          <w:lang w:val="en-US"/>
        </w:rPr>
        <w:t>F</w:t>
      </w:r>
      <w:r w:rsidRPr="00640820">
        <w:rPr>
          <w:rFonts w:ascii="Times New Roman" w:cs="Times New Roman"/>
          <w:color w:val="000000" w:themeColor="text1"/>
          <w:spacing w:val="0"/>
        </w:rPr>
        <w:t>/8.</w:t>
      </w:r>
    </w:p>
    <w:p w14:paraId="32FA73FE" w14:textId="77777777" w:rsidR="009042E6" w:rsidRPr="00640820" w:rsidRDefault="009042E6"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 xml:space="preserve">В моторном отделении располагался 12-цилиндровый </w:t>
      </w:r>
      <w:r w:rsidRPr="00640820">
        <w:rPr>
          <w:rFonts w:ascii="Times New Roman" w:cs="Times New Roman"/>
          <w:color w:val="000000" w:themeColor="text1"/>
          <w:spacing w:val="0"/>
          <w:lang w:val="en-US"/>
        </w:rPr>
        <w:t>V</w:t>
      </w:r>
      <w:r w:rsidRPr="00640820">
        <w:rPr>
          <w:rFonts w:ascii="Times New Roman" w:cs="Times New Roman"/>
          <w:color w:val="000000" w:themeColor="text1"/>
          <w:spacing w:val="0"/>
        </w:rPr>
        <w:t>-образный (развал ци</w:t>
      </w:r>
      <w:r w:rsidRPr="00640820">
        <w:rPr>
          <w:rFonts w:ascii="Times New Roman" w:cs="Times New Roman"/>
          <w:color w:val="000000" w:themeColor="text1"/>
          <w:spacing w:val="0"/>
        </w:rPr>
        <w:softHyphen/>
        <w:t>линдров 60°) карбюраторный четырех</w:t>
      </w:r>
      <w:r w:rsidRPr="00640820">
        <w:rPr>
          <w:rFonts w:ascii="Times New Roman" w:cs="Times New Roman"/>
          <w:color w:val="000000" w:themeColor="text1"/>
          <w:spacing w:val="0"/>
        </w:rPr>
        <w:softHyphen/>
        <w:t xml:space="preserve">тактный двигатель </w:t>
      </w:r>
      <w:r w:rsidRPr="00640820">
        <w:rPr>
          <w:rFonts w:ascii="Times New Roman" w:cs="Times New Roman"/>
          <w:color w:val="000000" w:themeColor="text1"/>
          <w:spacing w:val="0"/>
          <w:lang w:val="en-US"/>
        </w:rPr>
        <w:t>HL</w:t>
      </w:r>
      <w:r w:rsidRPr="00640820">
        <w:rPr>
          <w:rFonts w:ascii="Times New Roman" w:cs="Times New Roman"/>
          <w:color w:val="000000" w:themeColor="text1"/>
          <w:spacing w:val="0"/>
        </w:rPr>
        <w:t xml:space="preserve"> 120</w:t>
      </w:r>
      <w:r w:rsidRPr="00640820">
        <w:rPr>
          <w:rFonts w:ascii="Times New Roman" w:cs="Times New Roman"/>
          <w:color w:val="000000" w:themeColor="text1"/>
          <w:spacing w:val="0"/>
          <w:lang w:val="en-US"/>
        </w:rPr>
        <w:t>TRM</w:t>
      </w:r>
      <w:r w:rsidRPr="00640820">
        <w:rPr>
          <w:rFonts w:ascii="Times New Roman" w:cs="Times New Roman"/>
          <w:color w:val="000000" w:themeColor="text1"/>
          <w:spacing w:val="0"/>
        </w:rPr>
        <w:t xml:space="preserve"> мощнос</w:t>
      </w:r>
      <w:r w:rsidRPr="00640820">
        <w:rPr>
          <w:rFonts w:ascii="Times New Roman" w:cs="Times New Roman"/>
          <w:color w:val="000000" w:themeColor="text1"/>
          <w:spacing w:val="0"/>
        </w:rPr>
        <w:softHyphen/>
        <w:t>тью 300 л.с. при 3000 об/мин. Топливо — этилированный бензин с октановым чис</w:t>
      </w:r>
      <w:r w:rsidRPr="00640820">
        <w:rPr>
          <w:rFonts w:ascii="Times New Roman" w:cs="Times New Roman"/>
          <w:color w:val="000000" w:themeColor="text1"/>
          <w:spacing w:val="0"/>
        </w:rPr>
        <w:softHyphen/>
        <w:t>лом не ниже 74. В топливную систему входил один бензобак емкостью 320 л, располагавшийся в кормовой части кор</w:t>
      </w:r>
      <w:r w:rsidRPr="00640820">
        <w:rPr>
          <w:rFonts w:ascii="Times New Roman" w:cs="Times New Roman"/>
          <w:color w:val="000000" w:themeColor="text1"/>
          <w:spacing w:val="0"/>
        </w:rPr>
        <w:softHyphen/>
        <w:t>пуса справа от двигателя.</w:t>
      </w:r>
    </w:p>
    <w:p w14:paraId="4D40A1D4" w14:textId="77777777" w:rsidR="009042E6" w:rsidRPr="00640820" w:rsidRDefault="009042E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Трансмиссия состояла из карданной передачи, главного фрикциона, коробки передач, механизмов поворота и борто</w:t>
      </w:r>
      <w:r w:rsidRPr="00640820">
        <w:rPr>
          <w:rFonts w:ascii="Times New Roman" w:hAnsi="Times New Roman"/>
          <w:color w:val="000000" w:themeColor="text1"/>
          <w:sz w:val="16"/>
          <w:szCs w:val="16"/>
        </w:rPr>
        <w:softHyphen/>
        <w:t>вых передач. На всех машинах использо</w:t>
      </w:r>
      <w:r w:rsidRPr="00640820">
        <w:rPr>
          <w:rFonts w:ascii="Times New Roman" w:hAnsi="Times New Roman"/>
          <w:color w:val="000000" w:themeColor="text1"/>
          <w:sz w:val="16"/>
          <w:szCs w:val="16"/>
        </w:rPr>
        <w:softHyphen/>
        <w:t xml:space="preserve">вались шестискоростные механические коробки передач </w:t>
      </w:r>
      <w:r w:rsidRPr="00640820">
        <w:rPr>
          <w:rFonts w:ascii="Times New Roman" w:hAnsi="Times New Roman"/>
          <w:color w:val="000000" w:themeColor="text1"/>
          <w:sz w:val="16"/>
          <w:szCs w:val="16"/>
          <w:lang w:val="en-US"/>
        </w:rPr>
        <w:t>ZFSSG</w:t>
      </w:r>
      <w:r w:rsidRPr="00640820">
        <w:rPr>
          <w:rFonts w:ascii="Times New Roman" w:hAnsi="Times New Roman"/>
          <w:color w:val="000000" w:themeColor="text1"/>
          <w:sz w:val="16"/>
          <w:szCs w:val="16"/>
        </w:rPr>
        <w:t xml:space="preserve"> 77 </w:t>
      </w:r>
      <w:r w:rsidRPr="00640820">
        <w:rPr>
          <w:rFonts w:ascii="Times New Roman" w:hAnsi="Times New Roman"/>
          <w:color w:val="000000" w:themeColor="text1"/>
          <w:sz w:val="16"/>
          <w:szCs w:val="16"/>
          <w:lang w:val="en-US"/>
        </w:rPr>
        <w:t>Aphon</w:t>
      </w:r>
      <w:r w:rsidRPr="00640820">
        <w:rPr>
          <w:rFonts w:ascii="Times New Roman" w:hAnsi="Times New Roman"/>
          <w:color w:val="000000" w:themeColor="text1"/>
          <w:sz w:val="16"/>
          <w:szCs w:val="16"/>
        </w:rPr>
        <w:t xml:space="preserve"> с трехдисковым сухим главным фрикцио</w:t>
      </w:r>
      <w:r w:rsidRPr="00640820">
        <w:rPr>
          <w:rFonts w:ascii="Times New Roman" w:hAnsi="Times New Roman"/>
          <w:color w:val="000000" w:themeColor="text1"/>
          <w:sz w:val="16"/>
          <w:szCs w:val="16"/>
        </w:rPr>
        <w:softHyphen/>
        <w:t xml:space="preserve">ном механического управления марки </w:t>
      </w:r>
      <w:r w:rsidRPr="00640820">
        <w:rPr>
          <w:rFonts w:ascii="Times New Roman" w:hAnsi="Times New Roman"/>
          <w:color w:val="000000" w:themeColor="text1"/>
          <w:sz w:val="16"/>
          <w:szCs w:val="16"/>
          <w:lang w:val="en-US"/>
        </w:rPr>
        <w:t>Fichtel</w:t>
      </w:r>
      <w:r w:rsidRPr="00640820">
        <w:rPr>
          <w:rFonts w:ascii="Times New Roman" w:hAnsi="Times New Roman"/>
          <w:color w:val="000000" w:themeColor="text1"/>
          <w:sz w:val="16"/>
          <w:szCs w:val="16"/>
        </w:rPr>
        <w:t>&amp;</w:t>
      </w:r>
      <w:r w:rsidRPr="00640820">
        <w:rPr>
          <w:rFonts w:ascii="Times New Roman" w:hAnsi="Times New Roman"/>
          <w:color w:val="000000" w:themeColor="text1"/>
          <w:sz w:val="16"/>
          <w:szCs w:val="16"/>
          <w:lang w:val="en-US"/>
        </w:rPr>
        <w:t>SachsLa</w:t>
      </w:r>
      <w:r w:rsidRPr="00640820">
        <w:rPr>
          <w:rFonts w:ascii="Times New Roman" w:hAnsi="Times New Roman"/>
          <w:color w:val="000000" w:themeColor="text1"/>
          <w:sz w:val="16"/>
          <w:szCs w:val="16"/>
        </w:rPr>
        <w:t xml:space="preserve"> 120 </w:t>
      </w:r>
      <w:r w:rsidRPr="00640820">
        <w:rPr>
          <w:rFonts w:ascii="Times New Roman" w:hAnsi="Times New Roman"/>
          <w:color w:val="000000" w:themeColor="text1"/>
          <w:sz w:val="16"/>
          <w:szCs w:val="16"/>
          <w:lang w:val="en-US"/>
        </w:rPr>
        <w:t>HDA</w:t>
      </w:r>
      <w:r w:rsidRPr="00640820">
        <w:rPr>
          <w:rFonts w:ascii="Times New Roman" w:hAnsi="Times New Roman"/>
          <w:color w:val="000000" w:themeColor="text1"/>
          <w:sz w:val="16"/>
          <w:szCs w:val="16"/>
        </w:rPr>
        <w:t xml:space="preserve"> и механичес</w:t>
      </w:r>
      <w:r w:rsidRPr="00640820">
        <w:rPr>
          <w:rFonts w:ascii="Times New Roman" w:hAnsi="Times New Roman"/>
          <w:color w:val="000000" w:themeColor="text1"/>
          <w:sz w:val="16"/>
          <w:szCs w:val="16"/>
        </w:rPr>
        <w:softHyphen/>
        <w:t>ким или гидравлическим управлением тормозов.</w:t>
      </w:r>
    </w:p>
    <w:p w14:paraId="438D1197" w14:textId="77777777" w:rsidR="009042E6" w:rsidRPr="00640820" w:rsidRDefault="009042E6"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Передача вращения от коробки пере</w:t>
      </w:r>
      <w:r w:rsidRPr="00640820">
        <w:rPr>
          <w:rFonts w:ascii="Times New Roman" w:cs="Times New Roman"/>
          <w:color w:val="000000" w:themeColor="text1"/>
          <w:spacing w:val="0"/>
        </w:rPr>
        <w:softHyphen/>
        <w:t>дач бортовым передачам производилась правым и левым одноступенчатыми пла</w:t>
      </w:r>
      <w:r w:rsidRPr="00640820">
        <w:rPr>
          <w:rFonts w:ascii="Times New Roman" w:cs="Times New Roman"/>
          <w:color w:val="000000" w:themeColor="text1"/>
          <w:spacing w:val="0"/>
        </w:rPr>
        <w:softHyphen/>
        <w:t>нетарными механизмами, смонтирован</w:t>
      </w:r>
      <w:r w:rsidRPr="00640820">
        <w:rPr>
          <w:rFonts w:ascii="Times New Roman" w:cs="Times New Roman"/>
          <w:color w:val="000000" w:themeColor="text1"/>
          <w:spacing w:val="0"/>
        </w:rPr>
        <w:softHyphen/>
        <w:t>ными в один агрегат.</w:t>
      </w:r>
    </w:p>
    <w:p w14:paraId="15E8A3F3" w14:textId="77777777" w:rsidR="009042E6" w:rsidRPr="00640820" w:rsidRDefault="009042E6" w:rsidP="00640820">
      <w:pPr>
        <w:pStyle w:val="27"/>
        <w:shd w:val="clear" w:color="auto" w:fill="auto"/>
        <w:spacing w:after="0" w:line="240" w:lineRule="auto"/>
        <w:ind w:firstLine="0"/>
        <w:rPr>
          <w:rFonts w:ascii="Times New Roman" w:cs="Times New Roman"/>
          <w:color w:val="000000" w:themeColor="text1"/>
          <w:spacing w:val="0"/>
        </w:rPr>
      </w:pPr>
      <w:r w:rsidRPr="00640820">
        <w:rPr>
          <w:rFonts w:ascii="Times New Roman" w:cs="Times New Roman"/>
          <w:color w:val="000000" w:themeColor="text1"/>
          <w:spacing w:val="0"/>
        </w:rPr>
        <w:t>Ходовая часть состояла, применитель</w:t>
      </w:r>
      <w:r w:rsidRPr="00640820">
        <w:rPr>
          <w:rFonts w:ascii="Times New Roman" w:cs="Times New Roman"/>
          <w:color w:val="000000" w:themeColor="text1"/>
          <w:spacing w:val="0"/>
        </w:rPr>
        <w:softHyphen/>
        <w:t>но к одному борту, из шести сдвоенных обрезиненных опорных катков диамет</w:t>
      </w:r>
      <w:r w:rsidRPr="00640820">
        <w:rPr>
          <w:rFonts w:ascii="Times New Roman" w:cs="Times New Roman"/>
          <w:color w:val="000000" w:themeColor="text1"/>
          <w:spacing w:val="0"/>
        </w:rPr>
        <w:softHyphen/>
        <w:t>ром 520 мм и трех обрезиненных поддер</w:t>
      </w:r>
      <w:r w:rsidRPr="00640820">
        <w:rPr>
          <w:rFonts w:ascii="Times New Roman" w:cs="Times New Roman"/>
          <w:color w:val="000000" w:themeColor="text1"/>
          <w:spacing w:val="0"/>
        </w:rPr>
        <w:softHyphen/>
        <w:t>живающих катков диаметром 310 мм. Подвеска индивидуальная торсионная с гидравлическими телескопическими амортизаторами на 1-ми 6-м опорных катках. Ведущие колеса переднего распо</w:t>
      </w:r>
      <w:r w:rsidRPr="00640820">
        <w:rPr>
          <w:rFonts w:ascii="Times New Roman" w:cs="Times New Roman"/>
          <w:color w:val="000000" w:themeColor="text1"/>
          <w:spacing w:val="0"/>
        </w:rPr>
        <w:softHyphen/>
        <w:t>ложения. Зацепление цевочное. Гусени</w:t>
      </w:r>
      <w:r w:rsidRPr="00640820">
        <w:rPr>
          <w:rFonts w:ascii="Times New Roman" w:cs="Times New Roman"/>
          <w:color w:val="000000" w:themeColor="text1"/>
          <w:spacing w:val="0"/>
        </w:rPr>
        <w:softHyphen/>
        <w:t>цы стальные, мелкозвенчатые, из 93 — 94 одногребневых траков каждая (15232).</w:t>
      </w:r>
    </w:p>
    <w:p w14:paraId="18E66FCE" w14:textId="77777777" w:rsidR="009042E6" w:rsidRPr="00640820" w:rsidRDefault="009042E6" w:rsidP="00640820">
      <w:pPr>
        <w:pStyle w:val="27"/>
        <w:shd w:val="clear" w:color="auto" w:fill="auto"/>
        <w:spacing w:after="0" w:line="240" w:lineRule="auto"/>
        <w:ind w:firstLine="0"/>
        <w:rPr>
          <w:rFonts w:ascii="Times New Roman" w:cs="Times New Roman"/>
          <w:color w:val="000000" w:themeColor="text1"/>
          <w:spacing w:val="0"/>
        </w:rPr>
      </w:pPr>
    </w:p>
    <w:p w14:paraId="5B5BF319"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7189E7F0"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293C4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И.В.С. посетил заводы 1 и 39. По И.Ф.Петрову завод 1 должен был делать 5 Ил-2 в день и И.В.С. поставил задачу о выпуске 20. П.В.Дементьев сказал, что много надо - да, сказал И.В.С. - пишите. Байка на тему, что такое Советская Власть "Если возникает какая-то проблема, которая не противоречит законам физики, механики и химии, а ее решение необходимо Родине, то она будет решена" (262,51).</w:t>
      </w:r>
    </w:p>
    <w:p w14:paraId="09E8DB8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53B60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1941 производство Ил-2 началось на новом 381 заводе, построенном в Ленинграде (173,204).</w:t>
      </w:r>
    </w:p>
    <w:p w14:paraId="11FC80B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EE3D9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была сделана НС-37 А.Э.Нудельмана, А.С.Суранова, Г.А.Жирных, В.Я.Неменова. С.Г.Лунина, М.П.Бородина. Короткий ход ствола, ленточное питание. Принята на вооружение в 1942 и была лучше Ш-37 по надежности, габаритам, весу, скорострельности. Снаряды - бронебойно-зажигательно-трассирующие (с 200 м пробивалась 50 мм броня) и осколочно-зажигательно-трассирующие с головным взрывателем (85,443).</w:t>
      </w:r>
    </w:p>
    <w:p w14:paraId="2622CE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04CE9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Коллектив Б.Г.Шпитального к 1941 сделал 37 мм Ш-37 на принципе отвода газов и с магазинным питанием (85,443).</w:t>
      </w:r>
    </w:p>
    <w:p w14:paraId="41A484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F76EEB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Су-6 был готов в 1941 и имел автоматические предкрылки (91,155).</w:t>
      </w:r>
    </w:p>
    <w:p w14:paraId="70B040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4977DE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в ОКО завода № 1 разрабатывался проект самолета ПБШ-1 с гидропередачей на винт от мотора АМ-38, но работа не была завершена (9649).</w:t>
      </w:r>
    </w:p>
    <w:p w14:paraId="32C524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01789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с целью устранения основных недостатков ПБШ-1 (плохие взлетно-посадочные характеристики и недостаточный запас устойчивости), значительно затрудняющих освоение и боевое применение штурмовика летным составом, имеющего в условиях военного времени недостаточную летную подготовку, ОКО А. И. Микояна был предложен проект штурмовика-биплана ПБШ-2 с мотором АМ-38.</w:t>
      </w:r>
    </w:p>
    <w:p w14:paraId="31F031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Предполагалось, что при создании ПБШ-2 будут достигнуты такие пилотажные качества, при которых новый штурмовик будет “прощать” самые грубые ошибки летчиков.</w:t>
      </w:r>
    </w:p>
    <w:p w14:paraId="66B532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Это представлялось особенно важным, так как тактика боевого применения штурмовой авиации в это время предполагала выполнение атаки либо с бреющего полета, либо с пологого планирования с подскока до высоты 150-200 м. При этом полет до цели и обратно осуществлялся только на бреющем полете.</w:t>
      </w:r>
    </w:p>
    <w:p w14:paraId="504D8C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Очевидно, что в этих условиях любая ошибка летчика из-за неграмотных действий или ранения с большой вероятностью приводила к катастрофе.</w:t>
      </w:r>
    </w:p>
    <w:p w14:paraId="4A06FBA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пояснительной записке к эскизному проекту ПБШ-2 по этому поводу указывалось: “...Учитывая то обстоятельство, что полеты на моноплане с большой нагрузкой на крыло близко у земли очень сложны и, а также то, что монопланы не прощают грубых ошибок пилотов на малых высотах, мы разработали проект самолета ПБШ-2, по назначению аналогичный самолету ПБШ-1, бипланной схемы.</w:t>
      </w:r>
    </w:p>
    <w:p w14:paraId="08F017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Самолеты-бипланы в технике пилотирования значительно проще. Они также обладают значительно лучшей устойчивостью и управляемостью, чем монопланы...”</w:t>
      </w:r>
    </w:p>
    <w:p w14:paraId="7DB6AC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Биплан ПБШ-2 был выполнен по довольно необычной схеме. Верхнее крыло, имевшее большую обратную стреловидность и без органов поперечного управления, было сдвинуто назад по отношению к нижнему крылу.</w:t>
      </w:r>
    </w:p>
    <w:p w14:paraId="6403EA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Его площадь была почти в два раза меньше площади нижнего крыла. Нижнее крыло оборудовалось по задней кромке двухсекционными щитками и элеронами большой площади. Крылья соединялись двумя подкосами без расчалок.</w:t>
      </w:r>
    </w:p>
    <w:p w14:paraId="053FD9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Проведенные в ЦАГИ натурные исследования в аэродинамической трубе такой коробки крыльев показали неплохие результаты.</w:t>
      </w:r>
    </w:p>
    <w:p w14:paraId="7D7E20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Мотор, кабина и топливные баки защищались листами цементированной и гомогенной брони переменной толщины от 1,5 до 7,5 мм.</w:t>
      </w:r>
    </w:p>
    <w:p w14:paraId="6ABF12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Стрелково-пушечное вооружение штурмовика включало две пушки МП-б калибра 23 мм и шесть пулеметов ШКАС. Бомбовое вооружение состояло из двух бомболюков в центроплане между лонжеронами крыла для бомбометания с горизонтального полета и двух внешних бомбодержателей (по одному под каждой плоскостью крыла) вне зоны, сметаемой винтом для бомбометания с пикирования.</w:t>
      </w:r>
    </w:p>
    <w:p w14:paraId="3F2DFC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Центропланные бомболюки допускали загрузку мелких авиабомб различного типа калибром от 1 до 10 кг. Бомбы калибра от 25 до 250 кг могли подвешиваться на наружные подкры-льевые бомбодержатели. Нормальная бомбовая нагрузка - 200 кг.</w:t>
      </w:r>
    </w:p>
    <w:p w14:paraId="6236BD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Установка реактивного вооружения не предусматривалась.</w:t>
      </w:r>
    </w:p>
    <w:p w14:paraId="690313F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Несмотря на то, что штурмовик ПБШ-2 вполне обеспечивал решение проблемы упрощения пилотирования на малых высотах, все работы по этой оригинальной машине также были прекращены.</w:t>
      </w:r>
    </w:p>
    <w:p w14:paraId="362228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Дело в том, что реальные летные данные у ПБШ-2 были бы намного ниже, чем у штурмовика ПБШ-1, тогда как возможности для улучшения летных данных были весьма и весьма ограничены.</w:t>
      </w:r>
    </w:p>
    <w:p w14:paraId="57655B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Кроме того, конструкция ПБШ-2 была бы более сложной, что создало бы дополнительные трудности в серийном производстве, особенно в военное время (9649).</w:t>
      </w:r>
    </w:p>
    <w:p w14:paraId="666492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B51DF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Динамика производства серийных штурмовиков Ил-2, Ил-10 в 1941-47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1"/>
        <w:gridCol w:w="1121"/>
        <w:gridCol w:w="1121"/>
        <w:gridCol w:w="1121"/>
        <w:gridCol w:w="1121"/>
        <w:gridCol w:w="1121"/>
        <w:gridCol w:w="1121"/>
        <w:gridCol w:w="1121"/>
        <w:gridCol w:w="1121"/>
        <w:gridCol w:w="1121"/>
      </w:tblGrid>
      <w:tr w:rsidR="00643896" w:rsidRPr="00640820" w14:paraId="61B56A08" w14:textId="77777777" w:rsidTr="000D3BCB">
        <w:tc>
          <w:tcPr>
            <w:tcW w:w="1121" w:type="dxa"/>
            <w:tcBorders>
              <w:top w:val="single" w:sz="12" w:space="0" w:color="auto"/>
            </w:tcBorders>
          </w:tcPr>
          <w:p w14:paraId="4EF8EA8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Номер</w:t>
            </w:r>
          </w:p>
        </w:tc>
        <w:tc>
          <w:tcPr>
            <w:tcW w:w="1121" w:type="dxa"/>
            <w:tcBorders>
              <w:top w:val="single" w:sz="12" w:space="0" w:color="auto"/>
            </w:tcBorders>
          </w:tcPr>
          <w:p w14:paraId="3E4AF9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Тип самолета</w:t>
            </w:r>
          </w:p>
        </w:tc>
        <w:tc>
          <w:tcPr>
            <w:tcW w:w="1121" w:type="dxa"/>
            <w:tcBorders>
              <w:top w:val="single" w:sz="12" w:space="0" w:color="auto"/>
            </w:tcBorders>
          </w:tcPr>
          <w:p w14:paraId="5D3FE7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1941</w:t>
            </w:r>
          </w:p>
        </w:tc>
        <w:tc>
          <w:tcPr>
            <w:tcW w:w="1121" w:type="dxa"/>
            <w:tcBorders>
              <w:top w:val="single" w:sz="12" w:space="0" w:color="auto"/>
            </w:tcBorders>
          </w:tcPr>
          <w:p w14:paraId="779FB8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1942</w:t>
            </w:r>
          </w:p>
        </w:tc>
        <w:tc>
          <w:tcPr>
            <w:tcW w:w="1121" w:type="dxa"/>
            <w:tcBorders>
              <w:top w:val="single" w:sz="12" w:space="0" w:color="auto"/>
            </w:tcBorders>
          </w:tcPr>
          <w:p w14:paraId="456FC1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1943</w:t>
            </w:r>
          </w:p>
        </w:tc>
        <w:tc>
          <w:tcPr>
            <w:tcW w:w="1121" w:type="dxa"/>
            <w:tcBorders>
              <w:top w:val="single" w:sz="12" w:space="0" w:color="auto"/>
            </w:tcBorders>
          </w:tcPr>
          <w:p w14:paraId="6B70EA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Годы 1944</w:t>
            </w:r>
          </w:p>
        </w:tc>
        <w:tc>
          <w:tcPr>
            <w:tcW w:w="1121" w:type="dxa"/>
            <w:tcBorders>
              <w:top w:val="single" w:sz="12" w:space="0" w:color="auto"/>
            </w:tcBorders>
          </w:tcPr>
          <w:p w14:paraId="65F39F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1945</w:t>
            </w:r>
          </w:p>
        </w:tc>
        <w:tc>
          <w:tcPr>
            <w:tcW w:w="1121" w:type="dxa"/>
            <w:tcBorders>
              <w:top w:val="single" w:sz="12" w:space="0" w:color="auto"/>
            </w:tcBorders>
          </w:tcPr>
          <w:p w14:paraId="4E3F0A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1946</w:t>
            </w:r>
          </w:p>
        </w:tc>
        <w:tc>
          <w:tcPr>
            <w:tcW w:w="1121" w:type="dxa"/>
            <w:tcBorders>
              <w:top w:val="single" w:sz="12" w:space="0" w:color="auto"/>
            </w:tcBorders>
          </w:tcPr>
          <w:p w14:paraId="637EC6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1947</w:t>
            </w:r>
          </w:p>
        </w:tc>
        <w:tc>
          <w:tcPr>
            <w:tcW w:w="1121" w:type="dxa"/>
            <w:tcBorders>
              <w:top w:val="single" w:sz="12" w:space="0" w:color="auto"/>
            </w:tcBorders>
          </w:tcPr>
          <w:p w14:paraId="117F74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Всего</w:t>
            </w:r>
          </w:p>
        </w:tc>
      </w:tr>
      <w:tr w:rsidR="00643896" w:rsidRPr="00640820" w14:paraId="000456FC" w14:textId="77777777" w:rsidTr="000D3BCB">
        <w:tc>
          <w:tcPr>
            <w:tcW w:w="1121" w:type="dxa"/>
          </w:tcPr>
          <w:p w14:paraId="07B1AF1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lastRenderedPageBreak/>
              <w:t>1</w:t>
            </w:r>
          </w:p>
        </w:tc>
        <w:tc>
          <w:tcPr>
            <w:tcW w:w="1121" w:type="dxa"/>
          </w:tcPr>
          <w:p w14:paraId="4697CF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Ил-2 (2У)</w:t>
            </w:r>
          </w:p>
        </w:tc>
        <w:tc>
          <w:tcPr>
            <w:tcW w:w="1121" w:type="dxa"/>
          </w:tcPr>
          <w:p w14:paraId="48F454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w:t>
            </w:r>
          </w:p>
        </w:tc>
        <w:tc>
          <w:tcPr>
            <w:tcW w:w="1121" w:type="dxa"/>
          </w:tcPr>
          <w:p w14:paraId="605E94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2991</w:t>
            </w:r>
          </w:p>
        </w:tc>
        <w:tc>
          <w:tcPr>
            <w:tcW w:w="1121" w:type="dxa"/>
          </w:tcPr>
          <w:p w14:paraId="278421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4257</w:t>
            </w:r>
          </w:p>
        </w:tc>
        <w:tc>
          <w:tcPr>
            <w:tcW w:w="1121" w:type="dxa"/>
          </w:tcPr>
          <w:p w14:paraId="12F447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3710</w:t>
            </w:r>
          </w:p>
        </w:tc>
        <w:tc>
          <w:tcPr>
            <w:tcW w:w="1121" w:type="dxa"/>
          </w:tcPr>
          <w:p w14:paraId="40646BA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957</w:t>
            </w:r>
          </w:p>
        </w:tc>
        <w:tc>
          <w:tcPr>
            <w:tcW w:w="1121" w:type="dxa"/>
          </w:tcPr>
          <w:p w14:paraId="6781A2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121" w:type="dxa"/>
          </w:tcPr>
          <w:p w14:paraId="73517B3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121" w:type="dxa"/>
          </w:tcPr>
          <w:p w14:paraId="17F07D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11920</w:t>
            </w:r>
          </w:p>
        </w:tc>
      </w:tr>
      <w:tr w:rsidR="00643896" w:rsidRPr="00640820" w14:paraId="2390EE0A" w14:textId="77777777" w:rsidTr="000D3BCB">
        <w:tc>
          <w:tcPr>
            <w:tcW w:w="1121" w:type="dxa"/>
          </w:tcPr>
          <w:p w14:paraId="4189AAC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121" w:type="dxa"/>
          </w:tcPr>
          <w:p w14:paraId="5968AA9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Ил-10/10У</w:t>
            </w:r>
          </w:p>
        </w:tc>
        <w:tc>
          <w:tcPr>
            <w:tcW w:w="1121" w:type="dxa"/>
          </w:tcPr>
          <w:p w14:paraId="1F647F6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121" w:type="dxa"/>
          </w:tcPr>
          <w:p w14:paraId="6D7951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121" w:type="dxa"/>
          </w:tcPr>
          <w:p w14:paraId="6225C6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121" w:type="dxa"/>
          </w:tcPr>
          <w:p w14:paraId="5E491A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121" w:type="dxa"/>
          </w:tcPr>
          <w:p w14:paraId="359C43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893/228</w:t>
            </w:r>
          </w:p>
        </w:tc>
        <w:tc>
          <w:tcPr>
            <w:tcW w:w="1121" w:type="dxa"/>
          </w:tcPr>
          <w:p w14:paraId="46E21A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2/41</w:t>
            </w:r>
          </w:p>
        </w:tc>
        <w:tc>
          <w:tcPr>
            <w:tcW w:w="1121" w:type="dxa"/>
          </w:tcPr>
          <w:p w14:paraId="6B0CDF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121" w:type="dxa"/>
          </w:tcPr>
          <w:p w14:paraId="67EDA99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695/269</w:t>
            </w:r>
          </w:p>
        </w:tc>
      </w:tr>
      <w:tr w:rsidR="00643896" w:rsidRPr="00640820" w14:paraId="2C2DD499" w14:textId="77777777" w:rsidTr="000D3BCB">
        <w:tc>
          <w:tcPr>
            <w:tcW w:w="1121" w:type="dxa"/>
          </w:tcPr>
          <w:p w14:paraId="0A08AE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w:t>
            </w:r>
          </w:p>
        </w:tc>
        <w:tc>
          <w:tcPr>
            <w:tcW w:w="1121" w:type="dxa"/>
          </w:tcPr>
          <w:p w14:paraId="0A23FF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Ил-2 (2У)</w:t>
            </w:r>
          </w:p>
        </w:tc>
        <w:tc>
          <w:tcPr>
            <w:tcW w:w="1121" w:type="dxa"/>
          </w:tcPr>
          <w:p w14:paraId="220005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1510</w:t>
            </w:r>
          </w:p>
        </w:tc>
        <w:tc>
          <w:tcPr>
            <w:tcW w:w="1121" w:type="dxa"/>
          </w:tcPr>
          <w:p w14:paraId="75E5E8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3942</w:t>
            </w:r>
          </w:p>
        </w:tc>
        <w:tc>
          <w:tcPr>
            <w:tcW w:w="1121" w:type="dxa"/>
          </w:tcPr>
          <w:p w14:paraId="100FBB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4702</w:t>
            </w:r>
          </w:p>
        </w:tc>
        <w:tc>
          <w:tcPr>
            <w:tcW w:w="1121" w:type="dxa"/>
          </w:tcPr>
          <w:p w14:paraId="468EAE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4014</w:t>
            </w:r>
          </w:p>
        </w:tc>
        <w:tc>
          <w:tcPr>
            <w:tcW w:w="1121" w:type="dxa"/>
          </w:tcPr>
          <w:p w14:paraId="6AB857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931</w:t>
            </w:r>
          </w:p>
        </w:tc>
        <w:tc>
          <w:tcPr>
            <w:tcW w:w="1121" w:type="dxa"/>
          </w:tcPr>
          <w:p w14:paraId="3CFA2D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121" w:type="dxa"/>
          </w:tcPr>
          <w:p w14:paraId="64B8B2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121" w:type="dxa"/>
          </w:tcPr>
          <w:p w14:paraId="1C9C1D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15099</w:t>
            </w:r>
          </w:p>
        </w:tc>
      </w:tr>
      <w:tr w:rsidR="00643896" w:rsidRPr="00640820" w14:paraId="7474CE70" w14:textId="77777777" w:rsidTr="000D3BCB">
        <w:tc>
          <w:tcPr>
            <w:tcW w:w="1121" w:type="dxa"/>
          </w:tcPr>
          <w:p w14:paraId="7541AB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121" w:type="dxa"/>
          </w:tcPr>
          <w:p w14:paraId="735D36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Ил-10/10У</w:t>
            </w:r>
          </w:p>
        </w:tc>
        <w:tc>
          <w:tcPr>
            <w:tcW w:w="1121" w:type="dxa"/>
          </w:tcPr>
          <w:p w14:paraId="5A13CB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121" w:type="dxa"/>
          </w:tcPr>
          <w:p w14:paraId="44691E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121" w:type="dxa"/>
          </w:tcPr>
          <w:p w14:paraId="0FC0528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121" w:type="dxa"/>
          </w:tcPr>
          <w:p w14:paraId="602BAB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73</w:t>
            </w:r>
          </w:p>
        </w:tc>
        <w:tc>
          <w:tcPr>
            <w:tcW w:w="1121" w:type="dxa"/>
          </w:tcPr>
          <w:p w14:paraId="066834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1362</w:t>
            </w:r>
          </w:p>
        </w:tc>
        <w:tc>
          <w:tcPr>
            <w:tcW w:w="1121" w:type="dxa"/>
          </w:tcPr>
          <w:p w14:paraId="66A747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1006/11</w:t>
            </w:r>
          </w:p>
        </w:tc>
        <w:tc>
          <w:tcPr>
            <w:tcW w:w="1121" w:type="dxa"/>
          </w:tcPr>
          <w:p w14:paraId="3A6AB0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859</w:t>
            </w:r>
          </w:p>
        </w:tc>
        <w:tc>
          <w:tcPr>
            <w:tcW w:w="1121" w:type="dxa"/>
          </w:tcPr>
          <w:p w14:paraId="29FD46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3300/11</w:t>
            </w:r>
          </w:p>
        </w:tc>
      </w:tr>
      <w:tr w:rsidR="00643896" w:rsidRPr="00640820" w14:paraId="7B2DA9D1" w14:textId="77777777" w:rsidTr="000D3BCB">
        <w:tc>
          <w:tcPr>
            <w:tcW w:w="1121" w:type="dxa"/>
          </w:tcPr>
          <w:p w14:paraId="402092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30</w:t>
            </w:r>
          </w:p>
        </w:tc>
        <w:tc>
          <w:tcPr>
            <w:tcW w:w="1121" w:type="dxa"/>
          </w:tcPr>
          <w:p w14:paraId="3CA4F7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Ил-2 (2У)</w:t>
            </w:r>
          </w:p>
        </w:tc>
        <w:tc>
          <w:tcPr>
            <w:tcW w:w="1121" w:type="dxa"/>
          </w:tcPr>
          <w:p w14:paraId="1FC2AB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121" w:type="dxa"/>
          </w:tcPr>
          <w:p w14:paraId="0A417E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1053</w:t>
            </w:r>
          </w:p>
        </w:tc>
        <w:tc>
          <w:tcPr>
            <w:tcW w:w="1121" w:type="dxa"/>
          </w:tcPr>
          <w:p w14:paraId="0DA61A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2234</w:t>
            </w:r>
          </w:p>
        </w:tc>
        <w:tc>
          <w:tcPr>
            <w:tcW w:w="1121" w:type="dxa"/>
          </w:tcPr>
          <w:p w14:paraId="385478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3377</w:t>
            </w:r>
          </w:p>
        </w:tc>
        <w:tc>
          <w:tcPr>
            <w:tcW w:w="1121" w:type="dxa"/>
          </w:tcPr>
          <w:p w14:paraId="1BAAF6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2201</w:t>
            </w:r>
          </w:p>
        </w:tc>
        <w:tc>
          <w:tcPr>
            <w:tcW w:w="1121" w:type="dxa"/>
          </w:tcPr>
          <w:p w14:paraId="08AF8A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121" w:type="dxa"/>
          </w:tcPr>
          <w:p w14:paraId="516F87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121" w:type="dxa"/>
          </w:tcPr>
          <w:p w14:paraId="3EBD31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8865</w:t>
            </w:r>
          </w:p>
        </w:tc>
      </w:tr>
      <w:tr w:rsidR="00643896" w:rsidRPr="00640820" w14:paraId="393AF89A" w14:textId="77777777" w:rsidTr="000D3BCB">
        <w:tc>
          <w:tcPr>
            <w:tcW w:w="1121" w:type="dxa"/>
          </w:tcPr>
          <w:p w14:paraId="21D8B74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381</w:t>
            </w:r>
          </w:p>
        </w:tc>
        <w:tc>
          <w:tcPr>
            <w:tcW w:w="1121" w:type="dxa"/>
          </w:tcPr>
          <w:p w14:paraId="11FBFE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Ил-2</w:t>
            </w:r>
          </w:p>
        </w:tc>
        <w:tc>
          <w:tcPr>
            <w:tcW w:w="1121" w:type="dxa"/>
          </w:tcPr>
          <w:p w14:paraId="0B5E66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27</w:t>
            </w:r>
          </w:p>
        </w:tc>
        <w:tc>
          <w:tcPr>
            <w:tcW w:w="1121" w:type="dxa"/>
          </w:tcPr>
          <w:p w14:paraId="3F8CA18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243</w:t>
            </w:r>
          </w:p>
        </w:tc>
        <w:tc>
          <w:tcPr>
            <w:tcW w:w="1121" w:type="dxa"/>
          </w:tcPr>
          <w:p w14:paraId="111E16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121" w:type="dxa"/>
          </w:tcPr>
          <w:p w14:paraId="4A5517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121" w:type="dxa"/>
          </w:tcPr>
          <w:p w14:paraId="3D7C7D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121" w:type="dxa"/>
          </w:tcPr>
          <w:p w14:paraId="6BEE7C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121" w:type="dxa"/>
          </w:tcPr>
          <w:p w14:paraId="371C40B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121" w:type="dxa"/>
          </w:tcPr>
          <w:p w14:paraId="51EAD6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270</w:t>
            </w:r>
          </w:p>
        </w:tc>
      </w:tr>
      <w:tr w:rsidR="00643896" w:rsidRPr="00640820" w14:paraId="05CE168D" w14:textId="77777777" w:rsidTr="000D3BCB">
        <w:tc>
          <w:tcPr>
            <w:tcW w:w="1121" w:type="dxa"/>
          </w:tcPr>
          <w:p w14:paraId="265FFD8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64</w:t>
            </w:r>
          </w:p>
        </w:tc>
        <w:tc>
          <w:tcPr>
            <w:tcW w:w="1121" w:type="dxa"/>
          </w:tcPr>
          <w:p w14:paraId="4B8E8F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Ил-10</w:t>
            </w:r>
          </w:p>
        </w:tc>
        <w:tc>
          <w:tcPr>
            <w:tcW w:w="1121" w:type="dxa"/>
          </w:tcPr>
          <w:p w14:paraId="3733FC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121" w:type="dxa"/>
          </w:tcPr>
          <w:p w14:paraId="6072EA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121" w:type="dxa"/>
          </w:tcPr>
          <w:p w14:paraId="33905C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121" w:type="dxa"/>
          </w:tcPr>
          <w:p w14:paraId="442E2C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121" w:type="dxa"/>
          </w:tcPr>
          <w:p w14:paraId="3A6957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121" w:type="dxa"/>
          </w:tcPr>
          <w:p w14:paraId="765D60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121" w:type="dxa"/>
          </w:tcPr>
          <w:p w14:paraId="774642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w:t>
            </w:r>
          </w:p>
        </w:tc>
        <w:tc>
          <w:tcPr>
            <w:tcW w:w="1121" w:type="dxa"/>
          </w:tcPr>
          <w:p w14:paraId="5D61A3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w:t>
            </w:r>
          </w:p>
        </w:tc>
      </w:tr>
      <w:tr w:rsidR="00643896" w:rsidRPr="00640820" w14:paraId="04A57C7E" w14:textId="77777777" w:rsidTr="000D3BCB">
        <w:tc>
          <w:tcPr>
            <w:tcW w:w="1121" w:type="dxa"/>
          </w:tcPr>
          <w:p w14:paraId="4E43DD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Итого</w:t>
            </w:r>
          </w:p>
        </w:tc>
        <w:tc>
          <w:tcPr>
            <w:tcW w:w="1121" w:type="dxa"/>
          </w:tcPr>
          <w:p w14:paraId="1C8C3C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Ил-2 (2У)</w:t>
            </w:r>
          </w:p>
        </w:tc>
        <w:tc>
          <w:tcPr>
            <w:tcW w:w="1121" w:type="dxa"/>
          </w:tcPr>
          <w:p w14:paraId="4AF875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1542</w:t>
            </w:r>
          </w:p>
        </w:tc>
        <w:tc>
          <w:tcPr>
            <w:tcW w:w="1121" w:type="dxa"/>
          </w:tcPr>
          <w:p w14:paraId="38AD5D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8229</w:t>
            </w:r>
          </w:p>
        </w:tc>
        <w:tc>
          <w:tcPr>
            <w:tcW w:w="1121" w:type="dxa"/>
          </w:tcPr>
          <w:p w14:paraId="6DEFF6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11193</w:t>
            </w:r>
          </w:p>
        </w:tc>
        <w:tc>
          <w:tcPr>
            <w:tcW w:w="1121" w:type="dxa"/>
          </w:tcPr>
          <w:p w14:paraId="29DE52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11101</w:t>
            </w:r>
          </w:p>
        </w:tc>
        <w:tc>
          <w:tcPr>
            <w:tcW w:w="1121" w:type="dxa"/>
          </w:tcPr>
          <w:p w14:paraId="5110E19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4089</w:t>
            </w:r>
          </w:p>
        </w:tc>
        <w:tc>
          <w:tcPr>
            <w:tcW w:w="1121" w:type="dxa"/>
          </w:tcPr>
          <w:p w14:paraId="0FAAD1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121" w:type="dxa"/>
          </w:tcPr>
          <w:p w14:paraId="27254A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121" w:type="dxa"/>
          </w:tcPr>
          <w:p w14:paraId="5CA36D5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36154</w:t>
            </w:r>
          </w:p>
        </w:tc>
      </w:tr>
      <w:tr w:rsidR="00643896" w:rsidRPr="00640820" w14:paraId="64CC01BD" w14:textId="77777777" w:rsidTr="000D3BCB">
        <w:tc>
          <w:tcPr>
            <w:tcW w:w="1121" w:type="dxa"/>
            <w:tcBorders>
              <w:bottom w:val="single" w:sz="12" w:space="0" w:color="auto"/>
            </w:tcBorders>
          </w:tcPr>
          <w:p w14:paraId="5BA5AC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121" w:type="dxa"/>
            <w:tcBorders>
              <w:bottom w:val="single" w:sz="12" w:space="0" w:color="auto"/>
            </w:tcBorders>
          </w:tcPr>
          <w:p w14:paraId="7DE571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Ил-10/10У</w:t>
            </w:r>
          </w:p>
        </w:tc>
        <w:tc>
          <w:tcPr>
            <w:tcW w:w="1121" w:type="dxa"/>
            <w:tcBorders>
              <w:bottom w:val="single" w:sz="12" w:space="0" w:color="auto"/>
            </w:tcBorders>
          </w:tcPr>
          <w:p w14:paraId="664E85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121" w:type="dxa"/>
            <w:tcBorders>
              <w:bottom w:val="single" w:sz="12" w:space="0" w:color="auto"/>
            </w:tcBorders>
          </w:tcPr>
          <w:p w14:paraId="6D57F1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121" w:type="dxa"/>
            <w:tcBorders>
              <w:bottom w:val="single" w:sz="12" w:space="0" w:color="auto"/>
            </w:tcBorders>
          </w:tcPr>
          <w:p w14:paraId="61D01A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121" w:type="dxa"/>
            <w:tcBorders>
              <w:bottom w:val="single" w:sz="12" w:space="0" w:color="auto"/>
            </w:tcBorders>
          </w:tcPr>
          <w:p w14:paraId="0787BFE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73</w:t>
            </w:r>
          </w:p>
        </w:tc>
        <w:tc>
          <w:tcPr>
            <w:tcW w:w="1121" w:type="dxa"/>
            <w:tcBorders>
              <w:bottom w:val="single" w:sz="12" w:space="0" w:color="auto"/>
            </w:tcBorders>
          </w:tcPr>
          <w:p w14:paraId="7DD9DF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2255/228</w:t>
            </w:r>
          </w:p>
        </w:tc>
        <w:tc>
          <w:tcPr>
            <w:tcW w:w="1121" w:type="dxa"/>
            <w:tcBorders>
              <w:bottom w:val="single" w:sz="12" w:space="0" w:color="auto"/>
            </w:tcBorders>
          </w:tcPr>
          <w:p w14:paraId="2A53AE8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1008/52</w:t>
            </w:r>
          </w:p>
        </w:tc>
        <w:tc>
          <w:tcPr>
            <w:tcW w:w="1121" w:type="dxa"/>
            <w:tcBorders>
              <w:bottom w:val="single" w:sz="12" w:space="0" w:color="auto"/>
            </w:tcBorders>
          </w:tcPr>
          <w:p w14:paraId="675AF0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859</w:t>
            </w:r>
          </w:p>
        </w:tc>
        <w:tc>
          <w:tcPr>
            <w:tcW w:w="1121" w:type="dxa"/>
            <w:tcBorders>
              <w:bottom w:val="single" w:sz="12" w:space="0" w:color="auto"/>
            </w:tcBorders>
          </w:tcPr>
          <w:p w14:paraId="26D56D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4007/280</w:t>
            </w:r>
          </w:p>
        </w:tc>
      </w:tr>
    </w:tbl>
    <w:p w14:paraId="016BAE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(12020).</w:t>
      </w:r>
    </w:p>
    <w:p w14:paraId="1B0A25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6F541A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Динамика поступления серийных штурмовиков Ил-2, Ил-10 в ВВС КА и отправка их в действующую армию в 1941-45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217"/>
        <w:gridCol w:w="1276"/>
        <w:gridCol w:w="1276"/>
        <w:gridCol w:w="1276"/>
        <w:gridCol w:w="1417"/>
        <w:gridCol w:w="1417"/>
      </w:tblGrid>
      <w:tr w:rsidR="00643896" w:rsidRPr="00640820" w14:paraId="53443647" w14:textId="77777777" w:rsidTr="000D3BCB">
        <w:tc>
          <w:tcPr>
            <w:tcW w:w="1868" w:type="dxa"/>
            <w:tcBorders>
              <w:top w:val="single" w:sz="12" w:space="0" w:color="auto"/>
            </w:tcBorders>
          </w:tcPr>
          <w:p w14:paraId="0890CA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Тип самолета</w:t>
            </w:r>
          </w:p>
        </w:tc>
        <w:tc>
          <w:tcPr>
            <w:tcW w:w="1217" w:type="dxa"/>
            <w:tcBorders>
              <w:top w:val="single" w:sz="12" w:space="0" w:color="auto"/>
            </w:tcBorders>
          </w:tcPr>
          <w:p w14:paraId="35A85EA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276" w:type="dxa"/>
            <w:tcBorders>
              <w:top w:val="single" w:sz="12" w:space="0" w:color="auto"/>
            </w:tcBorders>
          </w:tcPr>
          <w:p w14:paraId="174361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276" w:type="dxa"/>
            <w:tcBorders>
              <w:top w:val="single" w:sz="12" w:space="0" w:color="auto"/>
            </w:tcBorders>
          </w:tcPr>
          <w:p w14:paraId="0F03B7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Годы</w:t>
            </w:r>
          </w:p>
        </w:tc>
        <w:tc>
          <w:tcPr>
            <w:tcW w:w="1276" w:type="dxa"/>
            <w:tcBorders>
              <w:top w:val="single" w:sz="12" w:space="0" w:color="auto"/>
            </w:tcBorders>
          </w:tcPr>
          <w:p w14:paraId="1CA539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417" w:type="dxa"/>
            <w:tcBorders>
              <w:top w:val="single" w:sz="12" w:space="0" w:color="auto"/>
            </w:tcBorders>
          </w:tcPr>
          <w:p w14:paraId="099F5D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417" w:type="dxa"/>
            <w:tcBorders>
              <w:top w:val="single" w:sz="12" w:space="0" w:color="auto"/>
            </w:tcBorders>
          </w:tcPr>
          <w:p w14:paraId="41E041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Всего</w:t>
            </w:r>
          </w:p>
        </w:tc>
      </w:tr>
      <w:tr w:rsidR="00643896" w:rsidRPr="00640820" w14:paraId="1EC5672F" w14:textId="77777777" w:rsidTr="000D3BCB">
        <w:tc>
          <w:tcPr>
            <w:tcW w:w="1868" w:type="dxa"/>
          </w:tcPr>
          <w:p w14:paraId="7AE336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217" w:type="dxa"/>
          </w:tcPr>
          <w:p w14:paraId="79C118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1941</w:t>
            </w:r>
          </w:p>
        </w:tc>
        <w:tc>
          <w:tcPr>
            <w:tcW w:w="1276" w:type="dxa"/>
          </w:tcPr>
          <w:p w14:paraId="7FCED3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1942</w:t>
            </w:r>
          </w:p>
        </w:tc>
        <w:tc>
          <w:tcPr>
            <w:tcW w:w="1276" w:type="dxa"/>
          </w:tcPr>
          <w:p w14:paraId="3C8A8F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1943</w:t>
            </w:r>
          </w:p>
        </w:tc>
        <w:tc>
          <w:tcPr>
            <w:tcW w:w="1276" w:type="dxa"/>
          </w:tcPr>
          <w:p w14:paraId="2AB867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1944</w:t>
            </w:r>
          </w:p>
        </w:tc>
        <w:tc>
          <w:tcPr>
            <w:tcW w:w="1417" w:type="dxa"/>
          </w:tcPr>
          <w:p w14:paraId="7F6680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1945</w:t>
            </w:r>
          </w:p>
        </w:tc>
        <w:tc>
          <w:tcPr>
            <w:tcW w:w="1417" w:type="dxa"/>
          </w:tcPr>
          <w:p w14:paraId="1A67E4E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6950834E" w14:textId="77777777" w:rsidTr="000D3BCB">
        <w:tc>
          <w:tcPr>
            <w:tcW w:w="1868" w:type="dxa"/>
          </w:tcPr>
          <w:p w14:paraId="161433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Ил-2</w:t>
            </w:r>
          </w:p>
        </w:tc>
        <w:tc>
          <w:tcPr>
            <w:tcW w:w="1217" w:type="dxa"/>
          </w:tcPr>
          <w:p w14:paraId="2014A6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1513/1051 </w:t>
            </w:r>
          </w:p>
        </w:tc>
        <w:tc>
          <w:tcPr>
            <w:tcW w:w="1276" w:type="dxa"/>
          </w:tcPr>
          <w:p w14:paraId="5337F0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276" w:type="dxa"/>
          </w:tcPr>
          <w:p w14:paraId="24161F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10773/11254</w:t>
            </w:r>
          </w:p>
        </w:tc>
        <w:tc>
          <w:tcPr>
            <w:tcW w:w="1276" w:type="dxa"/>
          </w:tcPr>
          <w:p w14:paraId="7FB537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10497/10297</w:t>
            </w:r>
          </w:p>
        </w:tc>
        <w:tc>
          <w:tcPr>
            <w:tcW w:w="1417" w:type="dxa"/>
          </w:tcPr>
          <w:p w14:paraId="6619C6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3689/3664</w:t>
            </w:r>
          </w:p>
        </w:tc>
        <w:tc>
          <w:tcPr>
            <w:tcW w:w="1417" w:type="dxa"/>
          </w:tcPr>
          <w:p w14:paraId="05E97C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34663/33920</w:t>
            </w:r>
          </w:p>
        </w:tc>
      </w:tr>
      <w:tr w:rsidR="00643896" w:rsidRPr="00640820" w14:paraId="22800443" w14:textId="77777777" w:rsidTr="000D3BCB">
        <w:tc>
          <w:tcPr>
            <w:tcW w:w="1868" w:type="dxa"/>
          </w:tcPr>
          <w:p w14:paraId="50CA42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Ил-2У</w:t>
            </w:r>
          </w:p>
        </w:tc>
        <w:tc>
          <w:tcPr>
            <w:tcW w:w="1217" w:type="dxa"/>
          </w:tcPr>
          <w:p w14:paraId="7A5E13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34/-</w:t>
            </w:r>
          </w:p>
        </w:tc>
        <w:tc>
          <w:tcPr>
            <w:tcW w:w="1276" w:type="dxa"/>
          </w:tcPr>
          <w:p w14:paraId="062CA5E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276" w:type="dxa"/>
          </w:tcPr>
          <w:p w14:paraId="79E483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412/-</w:t>
            </w:r>
          </w:p>
        </w:tc>
        <w:tc>
          <w:tcPr>
            <w:tcW w:w="1276" w:type="dxa"/>
          </w:tcPr>
          <w:p w14:paraId="4E8938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390/-</w:t>
            </w:r>
          </w:p>
        </w:tc>
        <w:tc>
          <w:tcPr>
            <w:tcW w:w="1417" w:type="dxa"/>
          </w:tcPr>
          <w:p w14:paraId="0145A6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370/-</w:t>
            </w:r>
          </w:p>
        </w:tc>
        <w:tc>
          <w:tcPr>
            <w:tcW w:w="1417" w:type="dxa"/>
          </w:tcPr>
          <w:p w14:paraId="680BA9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1211/-</w:t>
            </w:r>
          </w:p>
        </w:tc>
      </w:tr>
      <w:tr w:rsidR="00643896" w:rsidRPr="00640820" w14:paraId="3416E9EE" w14:textId="77777777" w:rsidTr="000D3BCB">
        <w:tc>
          <w:tcPr>
            <w:tcW w:w="1868" w:type="dxa"/>
          </w:tcPr>
          <w:p w14:paraId="24304B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Ил-10</w:t>
            </w:r>
          </w:p>
        </w:tc>
        <w:tc>
          <w:tcPr>
            <w:tcW w:w="1217" w:type="dxa"/>
          </w:tcPr>
          <w:p w14:paraId="6BBF84E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276" w:type="dxa"/>
          </w:tcPr>
          <w:p w14:paraId="2D59C6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276" w:type="dxa"/>
          </w:tcPr>
          <w:p w14:paraId="680E61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276" w:type="dxa"/>
          </w:tcPr>
          <w:p w14:paraId="0AB74B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41/0</w:t>
            </w:r>
          </w:p>
        </w:tc>
        <w:tc>
          <w:tcPr>
            <w:tcW w:w="1417" w:type="dxa"/>
          </w:tcPr>
          <w:p w14:paraId="34E84F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2226/630</w:t>
            </w:r>
          </w:p>
        </w:tc>
        <w:tc>
          <w:tcPr>
            <w:tcW w:w="1417" w:type="dxa"/>
          </w:tcPr>
          <w:p w14:paraId="4F48BA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2267/630</w:t>
            </w:r>
          </w:p>
        </w:tc>
      </w:tr>
      <w:tr w:rsidR="00643896" w:rsidRPr="00640820" w14:paraId="2B519FDB" w14:textId="77777777" w:rsidTr="000D3BCB">
        <w:tc>
          <w:tcPr>
            <w:tcW w:w="1868" w:type="dxa"/>
            <w:tcBorders>
              <w:bottom w:val="single" w:sz="12" w:space="0" w:color="auto"/>
            </w:tcBorders>
          </w:tcPr>
          <w:p w14:paraId="6E191B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Ил-ЮУ</w:t>
            </w:r>
          </w:p>
        </w:tc>
        <w:tc>
          <w:tcPr>
            <w:tcW w:w="1217" w:type="dxa"/>
            <w:tcBorders>
              <w:bottom w:val="single" w:sz="12" w:space="0" w:color="auto"/>
            </w:tcBorders>
          </w:tcPr>
          <w:p w14:paraId="543E789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276" w:type="dxa"/>
            <w:tcBorders>
              <w:bottom w:val="single" w:sz="12" w:space="0" w:color="auto"/>
            </w:tcBorders>
          </w:tcPr>
          <w:p w14:paraId="7BA44D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276" w:type="dxa"/>
            <w:tcBorders>
              <w:bottom w:val="single" w:sz="12" w:space="0" w:color="auto"/>
            </w:tcBorders>
          </w:tcPr>
          <w:p w14:paraId="69431C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276" w:type="dxa"/>
            <w:tcBorders>
              <w:bottom w:val="single" w:sz="12" w:space="0" w:color="auto"/>
            </w:tcBorders>
          </w:tcPr>
          <w:p w14:paraId="4EA7C8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417" w:type="dxa"/>
            <w:tcBorders>
              <w:bottom w:val="single" w:sz="12" w:space="0" w:color="auto"/>
            </w:tcBorders>
          </w:tcPr>
          <w:p w14:paraId="15B7B3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227/-</w:t>
            </w:r>
          </w:p>
        </w:tc>
        <w:tc>
          <w:tcPr>
            <w:tcW w:w="1417" w:type="dxa"/>
            <w:tcBorders>
              <w:bottom w:val="single" w:sz="12" w:space="0" w:color="auto"/>
            </w:tcBorders>
          </w:tcPr>
          <w:p w14:paraId="43799B8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227/-</w:t>
            </w:r>
          </w:p>
        </w:tc>
      </w:tr>
    </w:tbl>
    <w:p w14:paraId="756E65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числителе указано количество поставленных в ВВС КА самолетов, а в знаменателе - количество отправленных в действующую армию (12020).</w:t>
      </w:r>
    </w:p>
    <w:p w14:paraId="273520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C22E6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авиационных моторов для Ил-2, Ил-10 и их поставка в оборотный фонд ВВС КА в 1941-45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643896" w:rsidRPr="00640820" w14:paraId="20F45767" w14:textId="77777777" w:rsidTr="000D3BCB">
        <w:tc>
          <w:tcPr>
            <w:tcW w:w="1601" w:type="dxa"/>
            <w:tcBorders>
              <w:top w:val="single" w:sz="12" w:space="0" w:color="auto"/>
            </w:tcBorders>
          </w:tcPr>
          <w:p w14:paraId="21E73B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Тип мотора</w:t>
            </w:r>
          </w:p>
        </w:tc>
        <w:tc>
          <w:tcPr>
            <w:tcW w:w="1601" w:type="dxa"/>
            <w:tcBorders>
              <w:top w:val="single" w:sz="12" w:space="0" w:color="auto"/>
            </w:tcBorders>
          </w:tcPr>
          <w:p w14:paraId="3ECF59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1941</w:t>
            </w:r>
          </w:p>
        </w:tc>
        <w:tc>
          <w:tcPr>
            <w:tcW w:w="1601" w:type="dxa"/>
            <w:tcBorders>
              <w:top w:val="single" w:sz="12" w:space="0" w:color="auto"/>
            </w:tcBorders>
          </w:tcPr>
          <w:p w14:paraId="33A855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1942</w:t>
            </w:r>
          </w:p>
        </w:tc>
        <w:tc>
          <w:tcPr>
            <w:tcW w:w="1601" w:type="dxa"/>
            <w:tcBorders>
              <w:top w:val="single" w:sz="12" w:space="0" w:color="auto"/>
            </w:tcBorders>
          </w:tcPr>
          <w:p w14:paraId="5BD44C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1943</w:t>
            </w:r>
          </w:p>
        </w:tc>
        <w:tc>
          <w:tcPr>
            <w:tcW w:w="1601" w:type="dxa"/>
            <w:tcBorders>
              <w:top w:val="single" w:sz="12" w:space="0" w:color="auto"/>
            </w:tcBorders>
          </w:tcPr>
          <w:p w14:paraId="7A842C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1944</w:t>
            </w:r>
          </w:p>
        </w:tc>
        <w:tc>
          <w:tcPr>
            <w:tcW w:w="1601" w:type="dxa"/>
            <w:tcBorders>
              <w:top w:val="single" w:sz="12" w:space="0" w:color="auto"/>
            </w:tcBorders>
          </w:tcPr>
          <w:p w14:paraId="3BB80B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1945</w:t>
            </w:r>
          </w:p>
        </w:tc>
        <w:tc>
          <w:tcPr>
            <w:tcW w:w="1601" w:type="dxa"/>
            <w:tcBorders>
              <w:top w:val="single" w:sz="12" w:space="0" w:color="auto"/>
            </w:tcBorders>
          </w:tcPr>
          <w:p w14:paraId="1E904D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Всего</w:t>
            </w:r>
          </w:p>
        </w:tc>
      </w:tr>
      <w:tr w:rsidR="00643896" w:rsidRPr="00640820" w14:paraId="0687A25C" w14:textId="77777777" w:rsidTr="000D3BCB">
        <w:tc>
          <w:tcPr>
            <w:tcW w:w="1601" w:type="dxa"/>
          </w:tcPr>
          <w:p w14:paraId="58C9DE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АМ-38</w:t>
            </w:r>
          </w:p>
        </w:tc>
        <w:tc>
          <w:tcPr>
            <w:tcW w:w="1601" w:type="dxa"/>
          </w:tcPr>
          <w:p w14:paraId="537792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1927/178</w:t>
            </w:r>
          </w:p>
        </w:tc>
        <w:tc>
          <w:tcPr>
            <w:tcW w:w="1601" w:type="dxa"/>
          </w:tcPr>
          <w:p w14:paraId="2D4DB6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8356/417</w:t>
            </w:r>
          </w:p>
        </w:tc>
        <w:tc>
          <w:tcPr>
            <w:tcW w:w="1601" w:type="dxa"/>
          </w:tcPr>
          <w:p w14:paraId="1961B2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810/75</w:t>
            </w:r>
          </w:p>
        </w:tc>
        <w:tc>
          <w:tcPr>
            <w:tcW w:w="1601" w:type="dxa"/>
          </w:tcPr>
          <w:p w14:paraId="5401A4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601" w:type="dxa"/>
          </w:tcPr>
          <w:p w14:paraId="5DFDECD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601" w:type="dxa"/>
          </w:tcPr>
          <w:p w14:paraId="7173E7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11093/670</w:t>
            </w:r>
          </w:p>
        </w:tc>
      </w:tr>
      <w:tr w:rsidR="00643896" w:rsidRPr="00640820" w14:paraId="6E7ABE6E" w14:textId="77777777" w:rsidTr="000D3BCB">
        <w:tc>
          <w:tcPr>
            <w:tcW w:w="1601" w:type="dxa"/>
          </w:tcPr>
          <w:p w14:paraId="1C6C60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АМ-38ф</w:t>
            </w:r>
          </w:p>
        </w:tc>
        <w:tc>
          <w:tcPr>
            <w:tcW w:w="1601" w:type="dxa"/>
          </w:tcPr>
          <w:p w14:paraId="04BE76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601" w:type="dxa"/>
          </w:tcPr>
          <w:p w14:paraId="19DB87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377</w:t>
            </w:r>
          </w:p>
        </w:tc>
        <w:tc>
          <w:tcPr>
            <w:tcW w:w="1601" w:type="dxa"/>
          </w:tcPr>
          <w:p w14:paraId="15E8B8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12927/1122</w:t>
            </w:r>
          </w:p>
        </w:tc>
        <w:tc>
          <w:tcPr>
            <w:tcW w:w="1601" w:type="dxa"/>
          </w:tcPr>
          <w:p w14:paraId="1BE979B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1332/1449</w:t>
            </w:r>
          </w:p>
        </w:tc>
        <w:tc>
          <w:tcPr>
            <w:tcW w:w="1601" w:type="dxa"/>
          </w:tcPr>
          <w:p w14:paraId="66EEC3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5561/1688</w:t>
            </w:r>
          </w:p>
        </w:tc>
        <w:tc>
          <w:tcPr>
            <w:tcW w:w="1601" w:type="dxa"/>
          </w:tcPr>
          <w:p w14:paraId="70E078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32185/4259</w:t>
            </w:r>
          </w:p>
        </w:tc>
      </w:tr>
      <w:tr w:rsidR="00643896" w:rsidRPr="00640820" w14:paraId="5FA4C564" w14:textId="77777777" w:rsidTr="000D3BCB">
        <w:tc>
          <w:tcPr>
            <w:tcW w:w="1601" w:type="dxa"/>
            <w:tcBorders>
              <w:bottom w:val="single" w:sz="12" w:space="0" w:color="auto"/>
            </w:tcBorders>
          </w:tcPr>
          <w:p w14:paraId="75E861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АМ-42</w:t>
            </w:r>
          </w:p>
        </w:tc>
        <w:tc>
          <w:tcPr>
            <w:tcW w:w="1601" w:type="dxa"/>
            <w:tcBorders>
              <w:bottom w:val="single" w:sz="12" w:space="0" w:color="auto"/>
            </w:tcBorders>
          </w:tcPr>
          <w:p w14:paraId="6EE58FE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601" w:type="dxa"/>
            <w:tcBorders>
              <w:bottom w:val="single" w:sz="12" w:space="0" w:color="auto"/>
            </w:tcBorders>
          </w:tcPr>
          <w:p w14:paraId="77CEA1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w:t>
            </w:r>
          </w:p>
        </w:tc>
        <w:tc>
          <w:tcPr>
            <w:tcW w:w="1601" w:type="dxa"/>
            <w:tcBorders>
              <w:bottom w:val="single" w:sz="12" w:space="0" w:color="auto"/>
            </w:tcBorders>
          </w:tcPr>
          <w:p w14:paraId="4D2607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55</w:t>
            </w:r>
          </w:p>
        </w:tc>
        <w:tc>
          <w:tcPr>
            <w:tcW w:w="1601" w:type="dxa"/>
            <w:tcBorders>
              <w:bottom w:val="single" w:sz="12" w:space="0" w:color="auto"/>
            </w:tcBorders>
          </w:tcPr>
          <w:p w14:paraId="46E8E8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501/2</w:t>
            </w:r>
          </w:p>
        </w:tc>
        <w:tc>
          <w:tcPr>
            <w:tcW w:w="1601" w:type="dxa"/>
            <w:tcBorders>
              <w:bottom w:val="single" w:sz="12" w:space="0" w:color="auto"/>
            </w:tcBorders>
          </w:tcPr>
          <w:p w14:paraId="7032C0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3132/361</w:t>
            </w:r>
          </w:p>
        </w:tc>
        <w:tc>
          <w:tcPr>
            <w:tcW w:w="1601" w:type="dxa"/>
            <w:tcBorders>
              <w:bottom w:val="single" w:sz="12" w:space="0" w:color="auto"/>
            </w:tcBorders>
          </w:tcPr>
          <w:p w14:paraId="660B6EC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3700/363</w:t>
            </w:r>
          </w:p>
        </w:tc>
      </w:tr>
    </w:tbl>
    <w:p w14:paraId="4F3581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числителе указано количество произведённых, а в знаменателе - количество поставленных в оборотный фонд ВВС КА моторов (12020).</w:t>
      </w:r>
    </w:p>
    <w:p w14:paraId="52A361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0E700E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под</w:t>
      </w:r>
      <w:r w:rsidRPr="00640820">
        <w:rPr>
          <w:rFonts w:ascii="Times New Roman" w:hAnsi="Times New Roman"/>
          <w:color w:val="000000" w:themeColor="text1"/>
          <w:sz w:val="16"/>
          <w:szCs w:val="16"/>
        </w:rPr>
        <w:softHyphen/>
        <w:t>готовили еще один самолет ДБ-3Б для экспериментов с телами вращения, но начало войны сорвало эту работу (10734,21).</w:t>
      </w:r>
    </w:p>
    <w:p w14:paraId="191AED6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1214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 1941 г. сумели выпустить 17 ТБ-7, из них три - с М-40Ф и 11 - с М-30. Последние три машины опять получили более надёжные АМ-35А. Под них же переоборудовали несколько бомбардировщиков, изготовленных ранее (11996).</w:t>
      </w:r>
    </w:p>
    <w:p w14:paraId="059A36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82B00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 за 1941 г. четыре серийных завода изготовили 1671 пикировщик и 196 истребителей (соответственно завод № 22 - 1120 Пе-2, № 39 - 303 Пе-2 и 196 Пе-3, № 124 - 104 Пе-2 и № 125 - 144 Пе-2). Это позволило внедрить новую машину по всему фронту от Баренцевого моря до Черного. Их применяли не только полки ВВС, но и части авиации Северного, Балтийского и Черноморского флотов (3542).</w:t>
      </w:r>
    </w:p>
    <w:p w14:paraId="74C7F3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5D19E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СНК обязал В.М.Петлякова сделать пять Пе-2 в варианте высотного истребителя с гермокабинами и передать их на гос. испытания (235,5).</w:t>
      </w:r>
    </w:p>
    <w:p w14:paraId="45C2CC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D335F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делали Пе-2 Ш - серийный с батареей из 2 ШВАК и одного УБС под фюзеляжем. Затем еще один с убираемой батареей 2 ШВАК + 2 ШКАС, отклоняемых на 40 гр. (4,168).</w:t>
      </w:r>
    </w:p>
    <w:p w14:paraId="16E714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9F800C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был построен И-185 М-71 4-й экземпляр. Согласно уточненным ТТТ увеличен радиус действия, то есть увеличен объем топливных баков. Были из</w:t>
      </w:r>
      <w:r w:rsidRPr="00640820">
        <w:rPr>
          <w:rFonts w:ascii="Times New Roman" w:hAnsi="Times New Roman"/>
          <w:color w:val="000000" w:themeColor="text1"/>
          <w:sz w:val="16"/>
          <w:szCs w:val="16"/>
        </w:rPr>
        <w:softHyphen/>
        <w:t>готовлены рабочие чертежи, детали и агрегаты на 50%. Впоследствии этот образец использо</w:t>
      </w:r>
      <w:r w:rsidRPr="00640820">
        <w:rPr>
          <w:rFonts w:ascii="Times New Roman" w:hAnsi="Times New Roman"/>
          <w:color w:val="000000" w:themeColor="text1"/>
          <w:sz w:val="16"/>
          <w:szCs w:val="16"/>
        </w:rPr>
        <w:softHyphen/>
        <w:t>ван для установки двигателя М-82 (9979).</w:t>
      </w:r>
    </w:p>
    <w:p w14:paraId="7A436B0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6E9C81" w14:textId="77777777" w:rsidR="000E0937" w:rsidRPr="00640820" w:rsidRDefault="000E09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был разработан проект истребителя ИС-4 с двигателем жидкостного охлаждения М-120 (мощность 1800 л.с). Он имел трехколесное шасси с применением носовой стойки. Переднее колесо располагалось под двигателем и убиралось назад. Кабина со сдвижным фонарем была каплевидной формы. Расчетная максимальная скорость истребителя составляла 720 км/ч.</w:t>
      </w:r>
    </w:p>
    <w:p w14:paraId="3976BF21" w14:textId="77777777" w:rsidR="000E0937" w:rsidRPr="00640820" w:rsidRDefault="000E09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условиях начавшейся войны дальнейшие работы по доводке истребителей типа ИС пришлось прекратить, хотя в конструкторском бюро уже велись предварительные расчеты для опытных ИС-3 и ИС-4. Но эра винтомоторных самолетов уходила, и реализовать замечательные качества ИС-4 на практике не удалось. Последней работой Шевченко был эскизный проект самолета ИС-14, сделанный в 1947 г. Проект сопровождался письмом авиаконструктора в ЦК партии. На этот раз Шевченко разработал принципиально новую схему - высокоплан с малой несущей поверхностью при большой стреловидности крыла на максимальном режиме полета. Крыло поворачивалось в горизонтальной плоскости при помощи шарнирного соединения. Консоль по верхнему обрезу фюзеляжа могла быть откинута назад под углом до 61 градусов. Этот реактивный истребитель-перехватчик при полном полетном весе 3200 кг должен был достичь скорости значительно более высокой, чем на других самолетах с подобными двигателями.</w:t>
      </w:r>
    </w:p>
    <w:p w14:paraId="1B8F2CA8" w14:textId="77777777" w:rsidR="000E0937" w:rsidRPr="00640820" w:rsidRDefault="000E09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Самолеты Шевченко – Никитина</w:t>
      </w:r>
    </w:p>
    <w:p w14:paraId="5EB0F070" w14:textId="77777777" w:rsidR="000E0937" w:rsidRPr="00640820" w:rsidRDefault="000E09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 ИС - 1 с мотором М-63, экспериментальный самолет с изменяемой в полете площадью крыла (1939 г.),</w:t>
      </w:r>
    </w:p>
    <w:p w14:paraId="4504D67F" w14:textId="77777777" w:rsidR="000E0937" w:rsidRPr="00640820" w:rsidRDefault="000E09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 ИС-2 с мотором М-88, одноместный истребитель с изменяемой в полете площадью крыла (1940 г.),</w:t>
      </w:r>
    </w:p>
    <w:p w14:paraId="65A5AFDC" w14:textId="77777777" w:rsidR="000E0937" w:rsidRPr="00640820" w:rsidRDefault="000E09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 ИС-4 с мотором АМ-37, скоростной маневреный истртребитель с изменяемой в полете площадью крыла (1940 г.),</w:t>
      </w:r>
    </w:p>
    <w:p w14:paraId="20587014" w14:textId="77777777" w:rsidR="000E0937" w:rsidRPr="00640820" w:rsidRDefault="000E09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 ИС-14 скоростной маневренный истребитель с изменяемой в полете площадью крыла (1941 г.),</w:t>
      </w:r>
    </w:p>
    <w:p w14:paraId="7BD06AFB" w14:textId="77777777" w:rsidR="000E0937" w:rsidRPr="00640820" w:rsidRDefault="000E09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 ИС с мотором М-71Ф, скоростной истребитель с изменяемой в полете площадью крыла (проект 1942 г.),</w:t>
      </w:r>
    </w:p>
    <w:p w14:paraId="05A51679" w14:textId="77777777" w:rsidR="000E0937" w:rsidRPr="00640820" w:rsidRDefault="000E09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 истребитель-перехватчик с изменяемой стреловидностью крыла (проект 1947 г.) (15550).</w:t>
      </w:r>
    </w:p>
    <w:p w14:paraId="295BDA07" w14:textId="77777777" w:rsidR="000E0937" w:rsidRPr="00640820" w:rsidRDefault="000E0937" w:rsidP="00640820">
      <w:pPr>
        <w:spacing w:after="0" w:line="240" w:lineRule="auto"/>
        <w:jc w:val="both"/>
        <w:rPr>
          <w:rFonts w:ascii="Times New Roman" w:hAnsi="Times New Roman"/>
          <w:color w:val="000000" w:themeColor="text1"/>
          <w:sz w:val="16"/>
          <w:szCs w:val="16"/>
        </w:rPr>
      </w:pPr>
    </w:p>
    <w:p w14:paraId="43C80F9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завод № 16 выпустил 1324 мотора, из них в военное время – 806 моторов. С приходом Лукина завод постепенно начинает набирать обороты. Всего за 1942 год завод произвел 2916 моторов М-105РА (12049).</w:t>
      </w:r>
    </w:p>
    <w:p w14:paraId="6D0BE8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CDFA6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сотрудниками Военно-химического научно-исследовательского института были разработаны «огне</w:t>
      </w:r>
      <w:r w:rsidRPr="00640820">
        <w:rPr>
          <w:rFonts w:ascii="Times New Roman" w:hAnsi="Times New Roman"/>
          <w:color w:val="000000" w:themeColor="text1"/>
          <w:sz w:val="16"/>
          <w:szCs w:val="16"/>
        </w:rPr>
        <w:softHyphen/>
        <w:t>вые» мешки, заполненные зажигательной смесью. Первоначально их сбрасывали из кабины вручную. У-2, оборудованный специальными кассетами под нижним крылом для сбрасывания усовершенствованных «огне</w:t>
      </w:r>
      <w:r w:rsidRPr="00640820">
        <w:rPr>
          <w:rFonts w:ascii="Times New Roman" w:hAnsi="Times New Roman"/>
          <w:color w:val="000000" w:themeColor="text1"/>
          <w:sz w:val="16"/>
          <w:szCs w:val="16"/>
        </w:rPr>
        <w:softHyphen/>
        <w:t>вых» мешков, получил обозначение ВОМ-1 («воздуш</w:t>
      </w:r>
      <w:r w:rsidRPr="00640820">
        <w:rPr>
          <w:rFonts w:ascii="Times New Roman" w:hAnsi="Times New Roman"/>
          <w:color w:val="000000" w:themeColor="text1"/>
          <w:sz w:val="16"/>
          <w:szCs w:val="16"/>
        </w:rPr>
        <w:softHyphen/>
        <w:t>ный огнемет»). Самолет выпускался небольшой серией в авиаремонтных мастерских Южно-Уральского воен</w:t>
      </w:r>
      <w:r w:rsidRPr="00640820">
        <w:rPr>
          <w:rFonts w:ascii="Times New Roman" w:hAnsi="Times New Roman"/>
          <w:color w:val="000000" w:themeColor="text1"/>
          <w:sz w:val="16"/>
          <w:szCs w:val="16"/>
        </w:rPr>
        <w:softHyphen/>
        <w:t>ного округа в г. Актюбинске (10667). Существовал ряд модификаций У-2, отличавшихся оборудованием (1941 г. - с курсоглиссадной системой на ультракоротких волнах «Ночь-1», 1945 г. - с кольцом-магнитометром для поиска мин и подводных лодок), управлением (1934 г. - с ручным управлением летчика Горжану, 1934 г. - с У-образным оперением, 1935 г. и 1939 г. - с лежачим положением летчика), шасси (1937 г. - гусеничное шасси Н.А.Чечубалина, 1947 г. - гусенич</w:t>
      </w:r>
      <w:r w:rsidRPr="00640820">
        <w:rPr>
          <w:rFonts w:ascii="Times New Roman" w:hAnsi="Times New Roman"/>
          <w:color w:val="000000" w:themeColor="text1"/>
          <w:sz w:val="16"/>
          <w:szCs w:val="16"/>
        </w:rPr>
        <w:softHyphen/>
        <w:t>ное шасси С.А.Мостового), двигателями (1931 г. - вари</w:t>
      </w:r>
      <w:r w:rsidRPr="00640820">
        <w:rPr>
          <w:rFonts w:ascii="Times New Roman" w:hAnsi="Times New Roman"/>
          <w:color w:val="000000" w:themeColor="text1"/>
          <w:sz w:val="16"/>
          <w:szCs w:val="16"/>
        </w:rPr>
        <w:softHyphen/>
        <w:t>ант для Арктики с мотором Сименс в 125 л.с., 1938 г. - с автомобильным двигателем ГАЗ-Авиа в 85 л.с., 1943 г. -с М-12 М.А.Коссова в 200 л.с.) и др. (10667).</w:t>
      </w:r>
    </w:p>
    <w:p w14:paraId="2B079D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E3D36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состоялось 488 решений и постановлений по авиационным вопросам (6,80).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24"/>
        <w:gridCol w:w="1024"/>
        <w:gridCol w:w="1024"/>
        <w:gridCol w:w="1024"/>
        <w:gridCol w:w="1024"/>
        <w:gridCol w:w="1934"/>
      </w:tblGrid>
      <w:tr w:rsidR="00643896" w:rsidRPr="00640820" w14:paraId="044099B1" w14:textId="77777777" w:rsidTr="000D3BCB">
        <w:tc>
          <w:tcPr>
            <w:tcW w:w="1024" w:type="dxa"/>
            <w:tcBorders>
              <w:top w:val="single" w:sz="12" w:space="0" w:color="auto"/>
            </w:tcBorders>
          </w:tcPr>
          <w:p w14:paraId="6D64CB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Пр-во</w:t>
            </w:r>
          </w:p>
        </w:tc>
        <w:tc>
          <w:tcPr>
            <w:tcW w:w="1024" w:type="dxa"/>
            <w:tcBorders>
              <w:top w:val="single" w:sz="12" w:space="0" w:color="auto"/>
            </w:tcBorders>
          </w:tcPr>
          <w:p w14:paraId="4EE1A1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1938</w:t>
            </w:r>
          </w:p>
        </w:tc>
        <w:tc>
          <w:tcPr>
            <w:tcW w:w="1024" w:type="dxa"/>
            <w:tcBorders>
              <w:top w:val="single" w:sz="12" w:space="0" w:color="auto"/>
            </w:tcBorders>
          </w:tcPr>
          <w:p w14:paraId="4102B3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1939</w:t>
            </w:r>
          </w:p>
        </w:tc>
        <w:tc>
          <w:tcPr>
            <w:tcW w:w="1024" w:type="dxa"/>
            <w:tcBorders>
              <w:top w:val="single" w:sz="12" w:space="0" w:color="auto"/>
            </w:tcBorders>
          </w:tcPr>
          <w:p w14:paraId="1FB57A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1940</w:t>
            </w:r>
          </w:p>
        </w:tc>
        <w:tc>
          <w:tcPr>
            <w:tcW w:w="1024" w:type="dxa"/>
            <w:tcBorders>
              <w:top w:val="single" w:sz="12" w:space="0" w:color="auto"/>
            </w:tcBorders>
          </w:tcPr>
          <w:p w14:paraId="103AA5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22.06.41</w:t>
            </w:r>
          </w:p>
        </w:tc>
        <w:tc>
          <w:tcPr>
            <w:tcW w:w="1934" w:type="dxa"/>
            <w:tcBorders>
              <w:top w:val="single" w:sz="12" w:space="0" w:color="auto"/>
            </w:tcBorders>
          </w:tcPr>
          <w:p w14:paraId="34F3B3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w:t>
            </w:r>
          </w:p>
        </w:tc>
      </w:tr>
      <w:tr w:rsidR="00643896" w:rsidRPr="00640820" w14:paraId="44D4349D" w14:textId="77777777" w:rsidTr="000D3BCB">
        <w:tc>
          <w:tcPr>
            <w:tcW w:w="1024" w:type="dxa"/>
          </w:tcPr>
          <w:p w14:paraId="3D54C4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Бомб.</w:t>
            </w:r>
          </w:p>
        </w:tc>
        <w:tc>
          <w:tcPr>
            <w:tcW w:w="1024" w:type="dxa"/>
          </w:tcPr>
          <w:p w14:paraId="77FDEB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2017</w:t>
            </w:r>
          </w:p>
        </w:tc>
        <w:tc>
          <w:tcPr>
            <w:tcW w:w="1024" w:type="dxa"/>
          </w:tcPr>
          <w:p w14:paraId="635153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2744</w:t>
            </w:r>
          </w:p>
        </w:tc>
        <w:tc>
          <w:tcPr>
            <w:tcW w:w="1024" w:type="dxa"/>
          </w:tcPr>
          <w:p w14:paraId="41F631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3575</w:t>
            </w:r>
          </w:p>
        </w:tc>
        <w:tc>
          <w:tcPr>
            <w:tcW w:w="1024" w:type="dxa"/>
          </w:tcPr>
          <w:p w14:paraId="1CD3FF9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1354</w:t>
            </w:r>
          </w:p>
        </w:tc>
        <w:tc>
          <w:tcPr>
            <w:tcW w:w="1934" w:type="dxa"/>
          </w:tcPr>
          <w:p w14:paraId="0C0207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9690</w:t>
            </w:r>
          </w:p>
        </w:tc>
      </w:tr>
      <w:tr w:rsidR="00643896" w:rsidRPr="00640820" w14:paraId="26B1E7CF" w14:textId="77777777" w:rsidTr="000D3BCB">
        <w:tc>
          <w:tcPr>
            <w:tcW w:w="1024" w:type="dxa"/>
            <w:tcBorders>
              <w:bottom w:val="single" w:sz="12" w:space="0" w:color="auto"/>
            </w:tcBorders>
          </w:tcPr>
          <w:p w14:paraId="1BF357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Ист.</w:t>
            </w:r>
          </w:p>
        </w:tc>
        <w:tc>
          <w:tcPr>
            <w:tcW w:w="1024" w:type="dxa"/>
            <w:tcBorders>
              <w:bottom w:val="single" w:sz="12" w:space="0" w:color="auto"/>
            </w:tcBorders>
          </w:tcPr>
          <w:p w14:paraId="616377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2016</w:t>
            </w:r>
          </w:p>
        </w:tc>
        <w:tc>
          <w:tcPr>
            <w:tcW w:w="1024" w:type="dxa"/>
            <w:tcBorders>
              <w:bottom w:val="single" w:sz="12" w:space="0" w:color="auto"/>
            </w:tcBorders>
          </w:tcPr>
          <w:p w14:paraId="3FEBEE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3726</w:t>
            </w:r>
          </w:p>
        </w:tc>
        <w:tc>
          <w:tcPr>
            <w:tcW w:w="1024" w:type="dxa"/>
            <w:tcBorders>
              <w:bottom w:val="single" w:sz="12" w:space="0" w:color="auto"/>
            </w:tcBorders>
          </w:tcPr>
          <w:p w14:paraId="591905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4657</w:t>
            </w:r>
          </w:p>
        </w:tc>
        <w:tc>
          <w:tcPr>
            <w:tcW w:w="1024" w:type="dxa"/>
            <w:tcBorders>
              <w:bottom w:val="single" w:sz="12" w:space="0" w:color="auto"/>
            </w:tcBorders>
          </w:tcPr>
          <w:p w14:paraId="2FF2EF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2596</w:t>
            </w:r>
          </w:p>
        </w:tc>
        <w:tc>
          <w:tcPr>
            <w:tcW w:w="1934" w:type="dxa"/>
            <w:tcBorders>
              <w:bottom w:val="single" w:sz="12" w:space="0" w:color="auto"/>
            </w:tcBorders>
          </w:tcPr>
          <w:p w14:paraId="15DEFD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12995 (66,222)</w:t>
            </w:r>
          </w:p>
        </w:tc>
      </w:tr>
    </w:tbl>
    <w:p w14:paraId="1216C5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Больше, чем Германия (66,222).</w:t>
      </w:r>
    </w:p>
    <w:p w14:paraId="0E911BF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Доля боевых в общем выпуске выросла с 67% в 1939 до 79% в 1940 (66,222). Доля новых выросла с 86 в 1940 до 2653 до войны в 1941 (66,222).</w:t>
      </w:r>
    </w:p>
    <w:p w14:paraId="6FEADA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Вторая половина 1941 дала 15735 самолетов (12377 боевых) и 28707 моторов (173,215).</w:t>
      </w:r>
    </w:p>
    <w:p w14:paraId="1FBC003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A60E9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1941 г в целом, несмотря на эвакуацию, советская авиапромышленность произвела 15 735 самолётов (из них 12 377 боевых) и 28 707 моторов, превысив показатели вто</w:t>
      </w:r>
      <w:r w:rsidRPr="00640820">
        <w:rPr>
          <w:rFonts w:ascii="Times New Roman" w:hAnsi="Times New Roman"/>
          <w:color w:val="000000" w:themeColor="text1"/>
          <w:sz w:val="16"/>
          <w:szCs w:val="16"/>
        </w:rPr>
        <w:softHyphen/>
        <w:t>рого полугодия 1940 г. на 48 и 34 % соответственно (12011).</w:t>
      </w:r>
    </w:p>
    <w:p w14:paraId="42DFB5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B3F02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1941 была подготовлена ВЫПИСКА ИЗ ДИСПЕТЧЕРСКОГО ЖУРНАЛА НАРКОМАТА АВИАЦИОННОЙ ПРОМЫШЛЕННОСТИ СССР ПО ВЫПУСКУ САМОЛЕТОВ В 1941 ГОДУ </w:t>
      </w:r>
    </w:p>
    <w:p w14:paraId="5B59E49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(Левая половина таблицы) </w:t>
      </w:r>
    </w:p>
    <w:tbl>
      <w:tblPr>
        <w:tblW w:w="0" w:type="auto"/>
        <w:tblInd w:w="3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30" w:type="dxa"/>
          <w:right w:w="30" w:type="dxa"/>
        </w:tblCellMar>
        <w:tblLook w:val="0000" w:firstRow="0" w:lastRow="0" w:firstColumn="0" w:lastColumn="0" w:noHBand="0" w:noVBand="0"/>
      </w:tblPr>
      <w:tblGrid>
        <w:gridCol w:w="936"/>
        <w:gridCol w:w="936"/>
        <w:gridCol w:w="849"/>
        <w:gridCol w:w="655"/>
        <w:gridCol w:w="748"/>
        <w:gridCol w:w="748"/>
        <w:gridCol w:w="748"/>
        <w:gridCol w:w="748"/>
        <w:gridCol w:w="748"/>
        <w:gridCol w:w="748"/>
        <w:gridCol w:w="748"/>
        <w:gridCol w:w="748"/>
      </w:tblGrid>
      <w:tr w:rsidR="00643896" w:rsidRPr="00640820" w14:paraId="325EBF6C" w14:textId="77777777" w:rsidTr="000D3BCB">
        <w:tc>
          <w:tcPr>
            <w:tcW w:w="936" w:type="dxa"/>
            <w:tcBorders>
              <w:top w:val="single" w:sz="12" w:space="0" w:color="000000"/>
            </w:tcBorders>
          </w:tcPr>
          <w:p w14:paraId="22A2F7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Наймем. изделия</w:t>
            </w:r>
          </w:p>
        </w:tc>
        <w:tc>
          <w:tcPr>
            <w:tcW w:w="936" w:type="dxa"/>
            <w:tcBorders>
              <w:top w:val="single" w:sz="12" w:space="0" w:color="000000"/>
            </w:tcBorders>
          </w:tcPr>
          <w:p w14:paraId="6102AA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w:t>
            </w:r>
          </w:p>
          <w:p w14:paraId="3E581BA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завода</w:t>
            </w:r>
          </w:p>
        </w:tc>
        <w:tc>
          <w:tcPr>
            <w:tcW w:w="849" w:type="dxa"/>
            <w:tcBorders>
              <w:top w:val="single" w:sz="12" w:space="0" w:color="000000"/>
            </w:tcBorders>
          </w:tcPr>
          <w:p w14:paraId="552AC9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Показатели</w:t>
            </w:r>
          </w:p>
        </w:tc>
        <w:tc>
          <w:tcPr>
            <w:tcW w:w="655" w:type="dxa"/>
            <w:tcBorders>
              <w:top w:val="single" w:sz="12" w:space="0" w:color="000000"/>
            </w:tcBorders>
          </w:tcPr>
          <w:p w14:paraId="657F99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Borders>
              <w:top w:val="single" w:sz="12" w:space="0" w:color="000000"/>
            </w:tcBorders>
          </w:tcPr>
          <w:p w14:paraId="6B26D6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II</w:t>
            </w:r>
          </w:p>
        </w:tc>
        <w:tc>
          <w:tcPr>
            <w:tcW w:w="748" w:type="dxa"/>
            <w:tcBorders>
              <w:top w:val="single" w:sz="12" w:space="0" w:color="000000"/>
            </w:tcBorders>
          </w:tcPr>
          <w:p w14:paraId="4C0024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III</w:t>
            </w:r>
          </w:p>
        </w:tc>
        <w:tc>
          <w:tcPr>
            <w:tcW w:w="748" w:type="dxa"/>
            <w:tcBorders>
              <w:top w:val="single" w:sz="12" w:space="0" w:color="000000"/>
            </w:tcBorders>
          </w:tcPr>
          <w:p w14:paraId="3C77A7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 кв.</w:t>
            </w:r>
          </w:p>
        </w:tc>
        <w:tc>
          <w:tcPr>
            <w:tcW w:w="748" w:type="dxa"/>
            <w:tcBorders>
              <w:top w:val="single" w:sz="12" w:space="0" w:color="000000"/>
            </w:tcBorders>
          </w:tcPr>
          <w:p w14:paraId="555F41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IV</w:t>
            </w:r>
          </w:p>
        </w:tc>
        <w:tc>
          <w:tcPr>
            <w:tcW w:w="748" w:type="dxa"/>
            <w:tcBorders>
              <w:top w:val="single" w:sz="12" w:space="0" w:color="000000"/>
            </w:tcBorders>
          </w:tcPr>
          <w:p w14:paraId="4253BB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V</w:t>
            </w:r>
          </w:p>
        </w:tc>
        <w:tc>
          <w:tcPr>
            <w:tcW w:w="748" w:type="dxa"/>
            <w:tcBorders>
              <w:top w:val="single" w:sz="12" w:space="0" w:color="000000"/>
            </w:tcBorders>
          </w:tcPr>
          <w:p w14:paraId="213BD6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VI</w:t>
            </w:r>
          </w:p>
        </w:tc>
        <w:tc>
          <w:tcPr>
            <w:tcW w:w="748" w:type="dxa"/>
            <w:tcBorders>
              <w:top w:val="single" w:sz="12" w:space="0" w:color="000000"/>
            </w:tcBorders>
          </w:tcPr>
          <w:p w14:paraId="0FB085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II кв.</w:t>
            </w:r>
          </w:p>
        </w:tc>
        <w:tc>
          <w:tcPr>
            <w:tcW w:w="748" w:type="dxa"/>
            <w:tcBorders>
              <w:top w:val="single" w:sz="12" w:space="0" w:color="000000"/>
            </w:tcBorders>
          </w:tcPr>
          <w:p w14:paraId="02091B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 полу-годие</w:t>
            </w:r>
          </w:p>
        </w:tc>
      </w:tr>
      <w:tr w:rsidR="00643896" w:rsidRPr="00640820" w14:paraId="650B9789" w14:textId="77777777" w:rsidTr="000D3BCB">
        <w:tc>
          <w:tcPr>
            <w:tcW w:w="936" w:type="dxa"/>
          </w:tcPr>
          <w:p w14:paraId="77E270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936" w:type="dxa"/>
          </w:tcPr>
          <w:p w14:paraId="4513D5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849" w:type="dxa"/>
          </w:tcPr>
          <w:p w14:paraId="24E5CA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c>
          <w:tcPr>
            <w:tcW w:w="655" w:type="dxa"/>
          </w:tcPr>
          <w:p w14:paraId="1E8849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748" w:type="dxa"/>
          </w:tcPr>
          <w:p w14:paraId="6D71E03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748" w:type="dxa"/>
          </w:tcPr>
          <w:p w14:paraId="44B3DA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c>
          <w:tcPr>
            <w:tcW w:w="748" w:type="dxa"/>
          </w:tcPr>
          <w:p w14:paraId="42C6BB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w:t>
            </w:r>
          </w:p>
        </w:tc>
        <w:tc>
          <w:tcPr>
            <w:tcW w:w="748" w:type="dxa"/>
          </w:tcPr>
          <w:p w14:paraId="5D06C5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w:t>
            </w:r>
          </w:p>
        </w:tc>
        <w:tc>
          <w:tcPr>
            <w:tcW w:w="748" w:type="dxa"/>
          </w:tcPr>
          <w:p w14:paraId="67C7FC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tc>
        <w:tc>
          <w:tcPr>
            <w:tcW w:w="748" w:type="dxa"/>
          </w:tcPr>
          <w:p w14:paraId="7E3F3A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748" w:type="dxa"/>
          </w:tcPr>
          <w:p w14:paraId="5AB942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w:t>
            </w:r>
          </w:p>
        </w:tc>
        <w:tc>
          <w:tcPr>
            <w:tcW w:w="748" w:type="dxa"/>
          </w:tcPr>
          <w:p w14:paraId="103BE6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w:t>
            </w:r>
          </w:p>
        </w:tc>
      </w:tr>
      <w:tr w:rsidR="00643896" w:rsidRPr="00640820" w14:paraId="087D2CF0" w14:textId="77777777" w:rsidTr="000D3BCB">
        <w:tc>
          <w:tcPr>
            <w:tcW w:w="936" w:type="dxa"/>
            <w:gridSpan w:val="2"/>
          </w:tcPr>
          <w:p w14:paraId="08C155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Истребители</w:t>
            </w:r>
          </w:p>
        </w:tc>
        <w:tc>
          <w:tcPr>
            <w:tcW w:w="849" w:type="dxa"/>
          </w:tcPr>
          <w:p w14:paraId="7C0A92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3CA81E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18A32F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4758C8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341661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59AEB7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1ED171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63FF2D1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4F7245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6DE86B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00B4CD3" w14:textId="77777777" w:rsidTr="000D3BCB">
        <w:tc>
          <w:tcPr>
            <w:tcW w:w="936" w:type="dxa"/>
          </w:tcPr>
          <w:p w14:paraId="453197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МИГ-3</w:t>
            </w:r>
          </w:p>
        </w:tc>
        <w:tc>
          <w:tcPr>
            <w:tcW w:w="936" w:type="dxa"/>
          </w:tcPr>
          <w:p w14:paraId="1AA032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849" w:type="dxa"/>
          </w:tcPr>
          <w:p w14:paraId="0EC8D7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4A0AE5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1F06E1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150</w:t>
            </w:r>
          </w:p>
        </w:tc>
        <w:tc>
          <w:tcPr>
            <w:tcW w:w="748" w:type="dxa"/>
          </w:tcPr>
          <w:p w14:paraId="65F8DEB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175</w:t>
            </w:r>
          </w:p>
        </w:tc>
        <w:tc>
          <w:tcPr>
            <w:tcW w:w="748" w:type="dxa"/>
          </w:tcPr>
          <w:p w14:paraId="1785509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w:t>
            </w:r>
          </w:p>
        </w:tc>
        <w:tc>
          <w:tcPr>
            <w:tcW w:w="748" w:type="dxa"/>
          </w:tcPr>
          <w:p w14:paraId="7070EA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525</w:t>
            </w:r>
          </w:p>
        </w:tc>
        <w:tc>
          <w:tcPr>
            <w:tcW w:w="748" w:type="dxa"/>
          </w:tcPr>
          <w:p w14:paraId="36DE14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270</w:t>
            </w:r>
          </w:p>
        </w:tc>
        <w:tc>
          <w:tcPr>
            <w:tcW w:w="748" w:type="dxa"/>
          </w:tcPr>
          <w:p w14:paraId="00D718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270</w:t>
            </w:r>
          </w:p>
        </w:tc>
        <w:tc>
          <w:tcPr>
            <w:tcW w:w="748" w:type="dxa"/>
          </w:tcPr>
          <w:p w14:paraId="56D6BF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298</w:t>
            </w:r>
          </w:p>
        </w:tc>
        <w:tc>
          <w:tcPr>
            <w:tcW w:w="748" w:type="dxa"/>
          </w:tcPr>
          <w:p w14:paraId="07730F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838</w:t>
            </w:r>
          </w:p>
        </w:tc>
        <w:tc>
          <w:tcPr>
            <w:tcW w:w="748" w:type="dxa"/>
          </w:tcPr>
          <w:p w14:paraId="642B66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1363</w:t>
            </w:r>
          </w:p>
        </w:tc>
      </w:tr>
      <w:tr w:rsidR="00643896" w:rsidRPr="00640820" w14:paraId="2913BBCE" w14:textId="77777777" w:rsidTr="000D3BCB">
        <w:tc>
          <w:tcPr>
            <w:tcW w:w="936" w:type="dxa"/>
          </w:tcPr>
          <w:p w14:paraId="7C8F2D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И-153</w:t>
            </w:r>
          </w:p>
        </w:tc>
        <w:tc>
          <w:tcPr>
            <w:tcW w:w="936" w:type="dxa"/>
          </w:tcPr>
          <w:p w14:paraId="1BD7CC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849" w:type="dxa"/>
          </w:tcPr>
          <w:p w14:paraId="40BC85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1B479F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25D021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3CA76D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w:t>
            </w:r>
          </w:p>
        </w:tc>
        <w:tc>
          <w:tcPr>
            <w:tcW w:w="748" w:type="dxa"/>
          </w:tcPr>
          <w:p w14:paraId="7E2BB6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w:t>
            </w:r>
          </w:p>
        </w:tc>
        <w:tc>
          <w:tcPr>
            <w:tcW w:w="748" w:type="dxa"/>
          </w:tcPr>
          <w:p w14:paraId="6E0DB6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41</w:t>
            </w:r>
          </w:p>
        </w:tc>
        <w:tc>
          <w:tcPr>
            <w:tcW w:w="748" w:type="dxa"/>
          </w:tcPr>
          <w:p w14:paraId="1F3100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748" w:type="dxa"/>
          </w:tcPr>
          <w:p w14:paraId="35FED8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0CC384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w:t>
            </w:r>
          </w:p>
        </w:tc>
        <w:tc>
          <w:tcPr>
            <w:tcW w:w="748" w:type="dxa"/>
          </w:tcPr>
          <w:p w14:paraId="43BF2D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w:t>
            </w:r>
          </w:p>
        </w:tc>
        <w:tc>
          <w:tcPr>
            <w:tcW w:w="748" w:type="dxa"/>
          </w:tcPr>
          <w:p w14:paraId="185251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64</w:t>
            </w:r>
          </w:p>
        </w:tc>
      </w:tr>
      <w:tr w:rsidR="00643896" w:rsidRPr="00640820" w14:paraId="3F8F115A" w14:textId="77777777" w:rsidTr="000D3BCB">
        <w:tc>
          <w:tcPr>
            <w:tcW w:w="936" w:type="dxa"/>
          </w:tcPr>
          <w:p w14:paraId="751887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ЛАГГ-3</w:t>
            </w:r>
          </w:p>
        </w:tc>
        <w:tc>
          <w:tcPr>
            <w:tcW w:w="936" w:type="dxa"/>
          </w:tcPr>
          <w:p w14:paraId="491441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w:t>
            </w:r>
          </w:p>
        </w:tc>
        <w:tc>
          <w:tcPr>
            <w:tcW w:w="849" w:type="dxa"/>
          </w:tcPr>
          <w:p w14:paraId="290E79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2B5F22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7BC94E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74D66D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748" w:type="dxa"/>
          </w:tcPr>
          <w:p w14:paraId="6133CD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748" w:type="dxa"/>
          </w:tcPr>
          <w:p w14:paraId="1B5B8C5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748" w:type="dxa"/>
          </w:tcPr>
          <w:p w14:paraId="22228C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748" w:type="dxa"/>
          </w:tcPr>
          <w:p w14:paraId="227EFB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748" w:type="dxa"/>
          </w:tcPr>
          <w:p w14:paraId="7C8004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w:t>
            </w:r>
          </w:p>
        </w:tc>
        <w:tc>
          <w:tcPr>
            <w:tcW w:w="748" w:type="dxa"/>
          </w:tcPr>
          <w:p w14:paraId="5648BA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w:t>
            </w:r>
          </w:p>
        </w:tc>
        <w:tc>
          <w:tcPr>
            <w:tcW w:w="748" w:type="dxa"/>
          </w:tcPr>
          <w:p w14:paraId="3F37178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w:t>
            </w:r>
          </w:p>
        </w:tc>
      </w:tr>
      <w:tr w:rsidR="00643896" w:rsidRPr="00640820" w14:paraId="797EE5A9" w14:textId="77777777" w:rsidTr="000D3BCB">
        <w:tc>
          <w:tcPr>
            <w:tcW w:w="936" w:type="dxa"/>
          </w:tcPr>
          <w:p w14:paraId="6E998C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И-16</w:t>
            </w:r>
          </w:p>
        </w:tc>
        <w:tc>
          <w:tcPr>
            <w:tcW w:w="936" w:type="dxa"/>
          </w:tcPr>
          <w:p w14:paraId="139FA1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w:t>
            </w:r>
          </w:p>
        </w:tc>
        <w:tc>
          <w:tcPr>
            <w:tcW w:w="849" w:type="dxa"/>
          </w:tcPr>
          <w:p w14:paraId="6E0B1FF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3BD68C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30D4B8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56</w:t>
            </w:r>
          </w:p>
        </w:tc>
        <w:tc>
          <w:tcPr>
            <w:tcW w:w="748" w:type="dxa"/>
          </w:tcPr>
          <w:p w14:paraId="6BC0E1E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w:t>
            </w:r>
          </w:p>
        </w:tc>
        <w:tc>
          <w:tcPr>
            <w:tcW w:w="748" w:type="dxa"/>
          </w:tcPr>
          <w:p w14:paraId="61A796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748" w:type="dxa"/>
          </w:tcPr>
          <w:p w14:paraId="7532E0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80</w:t>
            </w:r>
          </w:p>
        </w:tc>
        <w:tc>
          <w:tcPr>
            <w:tcW w:w="748" w:type="dxa"/>
          </w:tcPr>
          <w:p w14:paraId="3BD5F9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1AC3E4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6820BC3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4AE258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686B5A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80</w:t>
            </w:r>
          </w:p>
        </w:tc>
      </w:tr>
      <w:tr w:rsidR="00643896" w:rsidRPr="00640820" w14:paraId="608EDC3F" w14:textId="77777777" w:rsidTr="000D3BCB">
        <w:tc>
          <w:tcPr>
            <w:tcW w:w="936" w:type="dxa"/>
          </w:tcPr>
          <w:p w14:paraId="143D74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ЛАГГ-3</w:t>
            </w:r>
          </w:p>
        </w:tc>
        <w:tc>
          <w:tcPr>
            <w:tcW w:w="936" w:type="dxa"/>
          </w:tcPr>
          <w:p w14:paraId="14BBEE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w:t>
            </w:r>
          </w:p>
        </w:tc>
        <w:tc>
          <w:tcPr>
            <w:tcW w:w="849" w:type="dxa"/>
          </w:tcPr>
          <w:p w14:paraId="08B6EA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6C52B3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3BCFEA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327321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05E9F0B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748" w:type="dxa"/>
          </w:tcPr>
          <w:p w14:paraId="7AC498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748" w:type="dxa"/>
          </w:tcPr>
          <w:p w14:paraId="6314FEB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w:t>
            </w:r>
          </w:p>
        </w:tc>
        <w:tc>
          <w:tcPr>
            <w:tcW w:w="748" w:type="dxa"/>
          </w:tcPr>
          <w:p w14:paraId="377DC79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w:t>
            </w:r>
          </w:p>
        </w:tc>
        <w:tc>
          <w:tcPr>
            <w:tcW w:w="748" w:type="dxa"/>
          </w:tcPr>
          <w:p w14:paraId="6F5FD7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w:t>
            </w:r>
          </w:p>
        </w:tc>
        <w:tc>
          <w:tcPr>
            <w:tcW w:w="748" w:type="dxa"/>
          </w:tcPr>
          <w:p w14:paraId="4AD1D7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88</w:t>
            </w:r>
          </w:p>
        </w:tc>
        <w:tc>
          <w:tcPr>
            <w:tcW w:w="748" w:type="dxa"/>
          </w:tcPr>
          <w:p w14:paraId="6F385E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89</w:t>
            </w:r>
          </w:p>
        </w:tc>
      </w:tr>
      <w:tr w:rsidR="00643896" w:rsidRPr="00640820" w14:paraId="4BBC39E7" w14:textId="77777777" w:rsidTr="000D3BCB">
        <w:tc>
          <w:tcPr>
            <w:tcW w:w="936" w:type="dxa"/>
          </w:tcPr>
          <w:p w14:paraId="63A445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ЯК-1</w:t>
            </w:r>
          </w:p>
        </w:tc>
        <w:tc>
          <w:tcPr>
            <w:tcW w:w="936" w:type="dxa"/>
          </w:tcPr>
          <w:p w14:paraId="2FFC36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292</w:t>
            </w:r>
          </w:p>
        </w:tc>
        <w:tc>
          <w:tcPr>
            <w:tcW w:w="849" w:type="dxa"/>
          </w:tcPr>
          <w:p w14:paraId="79C041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5FADC4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284B59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748" w:type="dxa"/>
          </w:tcPr>
          <w:p w14:paraId="6DB165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w:t>
            </w:r>
          </w:p>
        </w:tc>
        <w:tc>
          <w:tcPr>
            <w:tcW w:w="748" w:type="dxa"/>
          </w:tcPr>
          <w:p w14:paraId="49859E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w:t>
            </w:r>
          </w:p>
        </w:tc>
        <w:tc>
          <w:tcPr>
            <w:tcW w:w="748" w:type="dxa"/>
          </w:tcPr>
          <w:p w14:paraId="260DC1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76</w:t>
            </w:r>
          </w:p>
        </w:tc>
        <w:tc>
          <w:tcPr>
            <w:tcW w:w="748" w:type="dxa"/>
          </w:tcPr>
          <w:p w14:paraId="78D758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66</w:t>
            </w:r>
          </w:p>
        </w:tc>
        <w:tc>
          <w:tcPr>
            <w:tcW w:w="748" w:type="dxa"/>
          </w:tcPr>
          <w:p w14:paraId="786942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75</w:t>
            </w:r>
          </w:p>
        </w:tc>
        <w:tc>
          <w:tcPr>
            <w:tcW w:w="748" w:type="dxa"/>
          </w:tcPr>
          <w:p w14:paraId="792F5C9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101</w:t>
            </w:r>
          </w:p>
        </w:tc>
        <w:tc>
          <w:tcPr>
            <w:tcW w:w="748" w:type="dxa"/>
          </w:tcPr>
          <w:p w14:paraId="28FF9E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242</w:t>
            </w:r>
          </w:p>
        </w:tc>
        <w:tc>
          <w:tcPr>
            <w:tcW w:w="748" w:type="dxa"/>
          </w:tcPr>
          <w:p w14:paraId="716F09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318</w:t>
            </w:r>
          </w:p>
        </w:tc>
      </w:tr>
      <w:tr w:rsidR="00643896" w:rsidRPr="00640820" w14:paraId="04227232" w14:textId="77777777" w:rsidTr="000D3BCB">
        <w:tc>
          <w:tcPr>
            <w:tcW w:w="936" w:type="dxa"/>
          </w:tcPr>
          <w:p w14:paraId="0F0633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ЯК-1</w:t>
            </w:r>
          </w:p>
        </w:tc>
        <w:tc>
          <w:tcPr>
            <w:tcW w:w="936" w:type="dxa"/>
          </w:tcPr>
          <w:p w14:paraId="7BF854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301</w:t>
            </w:r>
          </w:p>
        </w:tc>
        <w:tc>
          <w:tcPr>
            <w:tcW w:w="849" w:type="dxa"/>
          </w:tcPr>
          <w:p w14:paraId="00C4F9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1F967E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6B712C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w:t>
            </w:r>
          </w:p>
        </w:tc>
        <w:tc>
          <w:tcPr>
            <w:tcW w:w="748" w:type="dxa"/>
          </w:tcPr>
          <w:p w14:paraId="6FD45D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w:t>
            </w:r>
          </w:p>
        </w:tc>
        <w:tc>
          <w:tcPr>
            <w:tcW w:w="748" w:type="dxa"/>
          </w:tcPr>
          <w:p w14:paraId="410FA1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w:t>
            </w:r>
          </w:p>
        </w:tc>
        <w:tc>
          <w:tcPr>
            <w:tcW w:w="748" w:type="dxa"/>
          </w:tcPr>
          <w:p w14:paraId="0FC181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69</w:t>
            </w:r>
          </w:p>
        </w:tc>
        <w:tc>
          <w:tcPr>
            <w:tcW w:w="748" w:type="dxa"/>
          </w:tcPr>
          <w:p w14:paraId="0D9A08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6947A0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7BEA27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60F223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4454CB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69</w:t>
            </w:r>
          </w:p>
        </w:tc>
      </w:tr>
      <w:tr w:rsidR="00643896" w:rsidRPr="00640820" w14:paraId="426265B7" w14:textId="77777777" w:rsidTr="000D3BCB">
        <w:tc>
          <w:tcPr>
            <w:tcW w:w="936" w:type="dxa"/>
          </w:tcPr>
          <w:p w14:paraId="38838E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И-16</w:t>
            </w:r>
          </w:p>
        </w:tc>
        <w:tc>
          <w:tcPr>
            <w:tcW w:w="936" w:type="dxa"/>
          </w:tcPr>
          <w:p w14:paraId="29EB8B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153</w:t>
            </w:r>
          </w:p>
        </w:tc>
        <w:tc>
          <w:tcPr>
            <w:tcW w:w="849" w:type="dxa"/>
          </w:tcPr>
          <w:p w14:paraId="4C5E8C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624260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278C3E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748" w:type="dxa"/>
          </w:tcPr>
          <w:p w14:paraId="4A43EA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2A95DF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529E9D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748" w:type="dxa"/>
          </w:tcPr>
          <w:p w14:paraId="2A1AA7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c>
          <w:tcPr>
            <w:tcW w:w="748" w:type="dxa"/>
          </w:tcPr>
          <w:p w14:paraId="5B9355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3E3985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748" w:type="dxa"/>
          </w:tcPr>
          <w:p w14:paraId="3FD5EE5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748" w:type="dxa"/>
          </w:tcPr>
          <w:p w14:paraId="0D243DC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w:t>
            </w:r>
          </w:p>
        </w:tc>
      </w:tr>
      <w:tr w:rsidR="00643896" w:rsidRPr="00640820" w14:paraId="23EC4AFE" w14:textId="77777777" w:rsidTr="000D3BCB">
        <w:tc>
          <w:tcPr>
            <w:tcW w:w="936" w:type="dxa"/>
          </w:tcPr>
          <w:p w14:paraId="53E4EB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ЛАГГ-3</w:t>
            </w:r>
          </w:p>
        </w:tc>
        <w:tc>
          <w:tcPr>
            <w:tcW w:w="936" w:type="dxa"/>
          </w:tcPr>
          <w:p w14:paraId="1024EB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153</w:t>
            </w:r>
          </w:p>
        </w:tc>
        <w:tc>
          <w:tcPr>
            <w:tcW w:w="849" w:type="dxa"/>
          </w:tcPr>
          <w:p w14:paraId="735E17B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7BC1FFC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5C7D9B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59C752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4EC696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33851B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14762F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150AD3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5B4E33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621675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12AA22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084E9CE3" w14:textId="77777777" w:rsidTr="000D3BCB">
        <w:tc>
          <w:tcPr>
            <w:tcW w:w="936" w:type="dxa"/>
          </w:tcPr>
          <w:p w14:paraId="3B05C78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ПЕ-3</w:t>
            </w:r>
          </w:p>
        </w:tc>
        <w:tc>
          <w:tcPr>
            <w:tcW w:w="936" w:type="dxa"/>
          </w:tcPr>
          <w:p w14:paraId="67C4EE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w:t>
            </w:r>
          </w:p>
        </w:tc>
        <w:tc>
          <w:tcPr>
            <w:tcW w:w="849" w:type="dxa"/>
          </w:tcPr>
          <w:p w14:paraId="08EEFD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5378C3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5AFC4B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1BF746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785ABD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4C2AAA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1BDAD9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35C65DB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1605BE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75605A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0C7890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06C68A76" w14:textId="77777777" w:rsidTr="000D3BCB">
        <w:tc>
          <w:tcPr>
            <w:tcW w:w="936" w:type="dxa"/>
          </w:tcPr>
          <w:p w14:paraId="4AE569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И-21</w:t>
            </w:r>
          </w:p>
        </w:tc>
        <w:tc>
          <w:tcPr>
            <w:tcW w:w="936" w:type="dxa"/>
          </w:tcPr>
          <w:p w14:paraId="5E03FD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w:t>
            </w:r>
          </w:p>
        </w:tc>
        <w:tc>
          <w:tcPr>
            <w:tcW w:w="849" w:type="dxa"/>
          </w:tcPr>
          <w:p w14:paraId="5A0F50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1889B5B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760C98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5C4905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7863E5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2B7494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32751C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51D43F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568D92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1039A89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0F067BC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28A35C69" w14:textId="77777777" w:rsidTr="000D3BCB">
        <w:tc>
          <w:tcPr>
            <w:tcW w:w="936" w:type="dxa"/>
          </w:tcPr>
          <w:p w14:paraId="09BA81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ЯК-1</w:t>
            </w:r>
          </w:p>
        </w:tc>
        <w:tc>
          <w:tcPr>
            <w:tcW w:w="936" w:type="dxa"/>
          </w:tcPr>
          <w:p w14:paraId="52FB3B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153</w:t>
            </w:r>
          </w:p>
        </w:tc>
        <w:tc>
          <w:tcPr>
            <w:tcW w:w="849" w:type="dxa"/>
          </w:tcPr>
          <w:p w14:paraId="0B160E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683968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7D766D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434220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5AE1EE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2881D1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175C8C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547DA7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739680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6FD324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12357A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6088908E" w14:textId="77777777" w:rsidTr="000D3BCB">
        <w:tc>
          <w:tcPr>
            <w:tcW w:w="936" w:type="dxa"/>
            <w:gridSpan w:val="2"/>
          </w:tcPr>
          <w:p w14:paraId="1E1CE4D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Итого истребителей</w:t>
            </w:r>
          </w:p>
        </w:tc>
        <w:tc>
          <w:tcPr>
            <w:tcW w:w="849" w:type="dxa"/>
          </w:tcPr>
          <w:p w14:paraId="5583C4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3B1740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261</w:t>
            </w:r>
          </w:p>
        </w:tc>
        <w:tc>
          <w:tcPr>
            <w:tcW w:w="748" w:type="dxa"/>
          </w:tcPr>
          <w:p w14:paraId="060946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276</w:t>
            </w:r>
          </w:p>
        </w:tc>
        <w:tc>
          <w:tcPr>
            <w:tcW w:w="748" w:type="dxa"/>
          </w:tcPr>
          <w:p w14:paraId="2CE80E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312</w:t>
            </w:r>
          </w:p>
        </w:tc>
        <w:tc>
          <w:tcPr>
            <w:tcW w:w="748" w:type="dxa"/>
          </w:tcPr>
          <w:p w14:paraId="5D9030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849</w:t>
            </w:r>
          </w:p>
        </w:tc>
        <w:tc>
          <w:tcPr>
            <w:tcW w:w="748" w:type="dxa"/>
          </w:tcPr>
          <w:p w14:paraId="7FA8FD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421</w:t>
            </w:r>
          </w:p>
        </w:tc>
        <w:tc>
          <w:tcPr>
            <w:tcW w:w="748" w:type="dxa"/>
          </w:tcPr>
          <w:p w14:paraId="111C57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433</w:t>
            </w:r>
          </w:p>
        </w:tc>
        <w:tc>
          <w:tcPr>
            <w:tcW w:w="748" w:type="dxa"/>
          </w:tcPr>
          <w:p w14:paraId="076874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547</w:t>
            </w:r>
          </w:p>
        </w:tc>
        <w:tc>
          <w:tcPr>
            <w:tcW w:w="748" w:type="dxa"/>
          </w:tcPr>
          <w:p w14:paraId="4D4F17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1401</w:t>
            </w:r>
          </w:p>
        </w:tc>
        <w:tc>
          <w:tcPr>
            <w:tcW w:w="748" w:type="dxa"/>
          </w:tcPr>
          <w:p w14:paraId="6E4B79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2250</w:t>
            </w:r>
          </w:p>
        </w:tc>
      </w:tr>
      <w:tr w:rsidR="00643896" w:rsidRPr="00640820" w14:paraId="3BAFC694" w14:textId="77777777" w:rsidTr="000D3BCB">
        <w:tc>
          <w:tcPr>
            <w:tcW w:w="936" w:type="dxa"/>
            <w:gridSpan w:val="2"/>
          </w:tcPr>
          <w:p w14:paraId="721E91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Бомбардировщики</w:t>
            </w:r>
          </w:p>
        </w:tc>
        <w:tc>
          <w:tcPr>
            <w:tcW w:w="849" w:type="dxa"/>
          </w:tcPr>
          <w:p w14:paraId="19B4FD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4F6B76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68A430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7DE34B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13E473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3E359C1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29B30B8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54CF2C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2AED72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72477D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C9B9DC7" w14:textId="77777777" w:rsidTr="000D3BCB">
        <w:tc>
          <w:tcPr>
            <w:tcW w:w="936" w:type="dxa"/>
          </w:tcPr>
          <w:p w14:paraId="6161EC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ПЕ-2</w:t>
            </w:r>
          </w:p>
        </w:tc>
        <w:tc>
          <w:tcPr>
            <w:tcW w:w="936" w:type="dxa"/>
          </w:tcPr>
          <w:p w14:paraId="04BF1C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w:t>
            </w:r>
          </w:p>
        </w:tc>
        <w:tc>
          <w:tcPr>
            <w:tcW w:w="849" w:type="dxa"/>
          </w:tcPr>
          <w:p w14:paraId="32B52F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6BF387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789A3A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748" w:type="dxa"/>
          </w:tcPr>
          <w:p w14:paraId="4FD4CC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tc>
        <w:tc>
          <w:tcPr>
            <w:tcW w:w="748" w:type="dxa"/>
          </w:tcPr>
          <w:p w14:paraId="31C1C1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w:t>
            </w:r>
          </w:p>
        </w:tc>
        <w:tc>
          <w:tcPr>
            <w:tcW w:w="748" w:type="dxa"/>
          </w:tcPr>
          <w:p w14:paraId="7134631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43</w:t>
            </w:r>
          </w:p>
        </w:tc>
        <w:tc>
          <w:tcPr>
            <w:tcW w:w="748" w:type="dxa"/>
          </w:tcPr>
          <w:p w14:paraId="01CB05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68</w:t>
            </w:r>
          </w:p>
        </w:tc>
        <w:tc>
          <w:tcPr>
            <w:tcW w:w="748" w:type="dxa"/>
          </w:tcPr>
          <w:p w14:paraId="649597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84</w:t>
            </w:r>
          </w:p>
        </w:tc>
        <w:tc>
          <w:tcPr>
            <w:tcW w:w="748" w:type="dxa"/>
          </w:tcPr>
          <w:p w14:paraId="59F369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124</w:t>
            </w:r>
          </w:p>
        </w:tc>
        <w:tc>
          <w:tcPr>
            <w:tcW w:w="748" w:type="dxa"/>
          </w:tcPr>
          <w:p w14:paraId="6A2F89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276</w:t>
            </w:r>
          </w:p>
        </w:tc>
        <w:tc>
          <w:tcPr>
            <w:tcW w:w="748" w:type="dxa"/>
          </w:tcPr>
          <w:p w14:paraId="3CBFFE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319</w:t>
            </w:r>
          </w:p>
        </w:tc>
      </w:tr>
      <w:tr w:rsidR="00643896" w:rsidRPr="00640820" w14:paraId="4CD88100" w14:textId="77777777" w:rsidTr="000D3BCB">
        <w:tc>
          <w:tcPr>
            <w:tcW w:w="936" w:type="dxa"/>
          </w:tcPr>
          <w:p w14:paraId="6900B9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АР-2</w:t>
            </w:r>
          </w:p>
        </w:tc>
        <w:tc>
          <w:tcPr>
            <w:tcW w:w="936" w:type="dxa"/>
          </w:tcPr>
          <w:p w14:paraId="5BD2A3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w:t>
            </w:r>
          </w:p>
        </w:tc>
        <w:tc>
          <w:tcPr>
            <w:tcW w:w="849" w:type="dxa"/>
          </w:tcPr>
          <w:p w14:paraId="3AE208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0C6AE0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7B37FA1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w:t>
            </w:r>
          </w:p>
        </w:tc>
        <w:tc>
          <w:tcPr>
            <w:tcW w:w="748" w:type="dxa"/>
          </w:tcPr>
          <w:p w14:paraId="2D8340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748" w:type="dxa"/>
          </w:tcPr>
          <w:p w14:paraId="1F4461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748" w:type="dxa"/>
          </w:tcPr>
          <w:p w14:paraId="1D581A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122</w:t>
            </w:r>
          </w:p>
        </w:tc>
        <w:tc>
          <w:tcPr>
            <w:tcW w:w="748" w:type="dxa"/>
          </w:tcPr>
          <w:p w14:paraId="580277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71A651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148A02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0D9CB6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50223F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122</w:t>
            </w:r>
          </w:p>
        </w:tc>
      </w:tr>
      <w:tr w:rsidR="00643896" w:rsidRPr="00640820" w14:paraId="7CB8D9B1" w14:textId="77777777" w:rsidTr="000D3BCB">
        <w:tc>
          <w:tcPr>
            <w:tcW w:w="936" w:type="dxa"/>
          </w:tcPr>
          <w:p w14:paraId="28D9C33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СБ</w:t>
            </w:r>
          </w:p>
        </w:tc>
        <w:tc>
          <w:tcPr>
            <w:tcW w:w="936" w:type="dxa"/>
          </w:tcPr>
          <w:p w14:paraId="452272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w:t>
            </w:r>
          </w:p>
        </w:tc>
        <w:tc>
          <w:tcPr>
            <w:tcW w:w="849" w:type="dxa"/>
          </w:tcPr>
          <w:p w14:paraId="558D16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20AA77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46ADE5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41</w:t>
            </w:r>
          </w:p>
        </w:tc>
        <w:tc>
          <w:tcPr>
            <w:tcW w:w="748" w:type="dxa"/>
          </w:tcPr>
          <w:p w14:paraId="183B3D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w:t>
            </w:r>
          </w:p>
        </w:tc>
        <w:tc>
          <w:tcPr>
            <w:tcW w:w="748" w:type="dxa"/>
          </w:tcPr>
          <w:p w14:paraId="33B76CB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c>
          <w:tcPr>
            <w:tcW w:w="748" w:type="dxa"/>
          </w:tcPr>
          <w:p w14:paraId="1ED2FA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54</w:t>
            </w:r>
          </w:p>
        </w:tc>
        <w:tc>
          <w:tcPr>
            <w:tcW w:w="748" w:type="dxa"/>
          </w:tcPr>
          <w:p w14:paraId="1EDB46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tc>
        <w:tc>
          <w:tcPr>
            <w:tcW w:w="748" w:type="dxa"/>
          </w:tcPr>
          <w:p w14:paraId="5D240E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4B3DBC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1A636E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tc>
        <w:tc>
          <w:tcPr>
            <w:tcW w:w="748" w:type="dxa"/>
          </w:tcPr>
          <w:p w14:paraId="739D83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63</w:t>
            </w:r>
          </w:p>
        </w:tc>
      </w:tr>
      <w:tr w:rsidR="00643896" w:rsidRPr="00640820" w14:paraId="144486B2" w14:textId="77777777" w:rsidTr="000D3BCB">
        <w:tc>
          <w:tcPr>
            <w:tcW w:w="936" w:type="dxa"/>
          </w:tcPr>
          <w:p w14:paraId="5A844B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ПЕ-2</w:t>
            </w:r>
          </w:p>
        </w:tc>
        <w:tc>
          <w:tcPr>
            <w:tcW w:w="936" w:type="dxa"/>
          </w:tcPr>
          <w:p w14:paraId="203ED2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w:t>
            </w:r>
          </w:p>
        </w:tc>
        <w:tc>
          <w:tcPr>
            <w:tcW w:w="849" w:type="dxa"/>
          </w:tcPr>
          <w:p w14:paraId="250D82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12444A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60E725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748" w:type="dxa"/>
          </w:tcPr>
          <w:p w14:paraId="1E84BF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w:t>
            </w:r>
          </w:p>
        </w:tc>
        <w:tc>
          <w:tcPr>
            <w:tcW w:w="748" w:type="dxa"/>
          </w:tcPr>
          <w:p w14:paraId="65AEE8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w:t>
            </w:r>
          </w:p>
        </w:tc>
        <w:tc>
          <w:tcPr>
            <w:tcW w:w="748" w:type="dxa"/>
          </w:tcPr>
          <w:p w14:paraId="0224A3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w:t>
            </w:r>
          </w:p>
        </w:tc>
        <w:tc>
          <w:tcPr>
            <w:tcW w:w="748" w:type="dxa"/>
          </w:tcPr>
          <w:p w14:paraId="529059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w:t>
            </w:r>
          </w:p>
        </w:tc>
        <w:tc>
          <w:tcPr>
            <w:tcW w:w="748" w:type="dxa"/>
          </w:tcPr>
          <w:p w14:paraId="06D7C7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w:t>
            </w:r>
          </w:p>
        </w:tc>
        <w:tc>
          <w:tcPr>
            <w:tcW w:w="748" w:type="dxa"/>
          </w:tcPr>
          <w:p w14:paraId="1F1BABE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55</w:t>
            </w:r>
          </w:p>
        </w:tc>
        <w:tc>
          <w:tcPr>
            <w:tcW w:w="748" w:type="dxa"/>
          </w:tcPr>
          <w:p w14:paraId="039D7F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140</w:t>
            </w:r>
          </w:p>
        </w:tc>
        <w:tc>
          <w:tcPr>
            <w:tcW w:w="748" w:type="dxa"/>
          </w:tcPr>
          <w:p w14:paraId="4C3124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167</w:t>
            </w:r>
          </w:p>
        </w:tc>
      </w:tr>
      <w:tr w:rsidR="00643896" w:rsidRPr="00640820" w14:paraId="359BDD37" w14:textId="77777777" w:rsidTr="000D3BCB">
        <w:tc>
          <w:tcPr>
            <w:tcW w:w="936" w:type="dxa"/>
          </w:tcPr>
          <w:p w14:paraId="23F019A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ДБ-Зф</w:t>
            </w:r>
          </w:p>
        </w:tc>
        <w:tc>
          <w:tcPr>
            <w:tcW w:w="936" w:type="dxa"/>
          </w:tcPr>
          <w:p w14:paraId="4D15F8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w:t>
            </w:r>
          </w:p>
        </w:tc>
        <w:tc>
          <w:tcPr>
            <w:tcW w:w="849" w:type="dxa"/>
          </w:tcPr>
          <w:p w14:paraId="5EF7EE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687DE1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4041E4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tc>
        <w:tc>
          <w:tcPr>
            <w:tcW w:w="748" w:type="dxa"/>
          </w:tcPr>
          <w:p w14:paraId="3AF7BB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w:t>
            </w:r>
          </w:p>
        </w:tc>
        <w:tc>
          <w:tcPr>
            <w:tcW w:w="748" w:type="dxa"/>
          </w:tcPr>
          <w:p w14:paraId="4CF141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748" w:type="dxa"/>
          </w:tcPr>
          <w:p w14:paraId="5E6C78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w:t>
            </w:r>
          </w:p>
        </w:tc>
        <w:tc>
          <w:tcPr>
            <w:tcW w:w="748" w:type="dxa"/>
          </w:tcPr>
          <w:p w14:paraId="025845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tc>
        <w:tc>
          <w:tcPr>
            <w:tcW w:w="748" w:type="dxa"/>
          </w:tcPr>
          <w:p w14:paraId="0F7F9D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c>
          <w:tcPr>
            <w:tcW w:w="748" w:type="dxa"/>
          </w:tcPr>
          <w:p w14:paraId="2DC8CE8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748" w:type="dxa"/>
          </w:tcPr>
          <w:p w14:paraId="0BA8CC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w:t>
            </w:r>
          </w:p>
        </w:tc>
        <w:tc>
          <w:tcPr>
            <w:tcW w:w="748" w:type="dxa"/>
          </w:tcPr>
          <w:p w14:paraId="65B6EC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43</w:t>
            </w:r>
          </w:p>
        </w:tc>
      </w:tr>
      <w:tr w:rsidR="00643896" w:rsidRPr="00640820" w14:paraId="2735E516" w14:textId="77777777" w:rsidTr="000D3BCB">
        <w:tc>
          <w:tcPr>
            <w:tcW w:w="936" w:type="dxa"/>
          </w:tcPr>
          <w:p w14:paraId="378264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СУ-2</w:t>
            </w:r>
          </w:p>
        </w:tc>
        <w:tc>
          <w:tcPr>
            <w:tcW w:w="936" w:type="dxa"/>
          </w:tcPr>
          <w:p w14:paraId="205043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135</w:t>
            </w:r>
          </w:p>
        </w:tc>
        <w:tc>
          <w:tcPr>
            <w:tcW w:w="849" w:type="dxa"/>
          </w:tcPr>
          <w:p w14:paraId="42490C9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0775E9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518162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44</w:t>
            </w:r>
          </w:p>
        </w:tc>
        <w:tc>
          <w:tcPr>
            <w:tcW w:w="748" w:type="dxa"/>
          </w:tcPr>
          <w:p w14:paraId="6BAC18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w:t>
            </w:r>
          </w:p>
        </w:tc>
        <w:tc>
          <w:tcPr>
            <w:tcW w:w="748" w:type="dxa"/>
          </w:tcPr>
          <w:p w14:paraId="442264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47</w:t>
            </w:r>
          </w:p>
        </w:tc>
        <w:tc>
          <w:tcPr>
            <w:tcW w:w="748" w:type="dxa"/>
          </w:tcPr>
          <w:p w14:paraId="7663AC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136</w:t>
            </w:r>
          </w:p>
        </w:tc>
        <w:tc>
          <w:tcPr>
            <w:tcW w:w="748" w:type="dxa"/>
          </w:tcPr>
          <w:p w14:paraId="68CB08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57</w:t>
            </w:r>
          </w:p>
        </w:tc>
        <w:tc>
          <w:tcPr>
            <w:tcW w:w="748" w:type="dxa"/>
          </w:tcPr>
          <w:p w14:paraId="5024D5B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w:t>
            </w:r>
          </w:p>
        </w:tc>
        <w:tc>
          <w:tcPr>
            <w:tcW w:w="748" w:type="dxa"/>
          </w:tcPr>
          <w:p w14:paraId="30276E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62</w:t>
            </w:r>
          </w:p>
        </w:tc>
        <w:tc>
          <w:tcPr>
            <w:tcW w:w="748" w:type="dxa"/>
          </w:tcPr>
          <w:p w14:paraId="73B3C9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179</w:t>
            </w:r>
          </w:p>
        </w:tc>
        <w:tc>
          <w:tcPr>
            <w:tcW w:w="748" w:type="dxa"/>
          </w:tcPr>
          <w:p w14:paraId="534207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315</w:t>
            </w:r>
          </w:p>
        </w:tc>
      </w:tr>
      <w:tr w:rsidR="00643896" w:rsidRPr="00640820" w14:paraId="3A41CDBC" w14:textId="77777777" w:rsidTr="000D3BCB">
        <w:tc>
          <w:tcPr>
            <w:tcW w:w="936" w:type="dxa"/>
          </w:tcPr>
          <w:p w14:paraId="59A251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СУ-2</w:t>
            </w:r>
          </w:p>
        </w:tc>
        <w:tc>
          <w:tcPr>
            <w:tcW w:w="936" w:type="dxa"/>
          </w:tcPr>
          <w:p w14:paraId="431824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207</w:t>
            </w:r>
          </w:p>
        </w:tc>
        <w:tc>
          <w:tcPr>
            <w:tcW w:w="849" w:type="dxa"/>
          </w:tcPr>
          <w:p w14:paraId="103CC9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06FB76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780F7B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c>
          <w:tcPr>
            <w:tcW w:w="748" w:type="dxa"/>
          </w:tcPr>
          <w:p w14:paraId="0507B0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748" w:type="dxa"/>
          </w:tcPr>
          <w:p w14:paraId="12F8C7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w:t>
            </w:r>
          </w:p>
        </w:tc>
        <w:tc>
          <w:tcPr>
            <w:tcW w:w="748" w:type="dxa"/>
          </w:tcPr>
          <w:p w14:paraId="6D1798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748" w:type="dxa"/>
          </w:tcPr>
          <w:p w14:paraId="3D3CFB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748" w:type="dxa"/>
          </w:tcPr>
          <w:p w14:paraId="677734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w:t>
            </w:r>
          </w:p>
        </w:tc>
        <w:tc>
          <w:tcPr>
            <w:tcW w:w="748" w:type="dxa"/>
          </w:tcPr>
          <w:p w14:paraId="631C6C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w:t>
            </w:r>
          </w:p>
        </w:tc>
        <w:tc>
          <w:tcPr>
            <w:tcW w:w="748" w:type="dxa"/>
          </w:tcPr>
          <w:p w14:paraId="548E1BC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42</w:t>
            </w:r>
          </w:p>
        </w:tc>
        <w:tc>
          <w:tcPr>
            <w:tcW w:w="748" w:type="dxa"/>
          </w:tcPr>
          <w:p w14:paraId="6ACC4A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12 \493\ </w:t>
            </w:r>
          </w:p>
        </w:tc>
      </w:tr>
      <w:tr w:rsidR="00643896" w:rsidRPr="00640820" w14:paraId="6C162E4B" w14:textId="77777777" w:rsidTr="000D3BCB">
        <w:tc>
          <w:tcPr>
            <w:tcW w:w="936" w:type="dxa"/>
          </w:tcPr>
          <w:p w14:paraId="097E66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ЯК-4</w:t>
            </w:r>
          </w:p>
        </w:tc>
        <w:tc>
          <w:tcPr>
            <w:tcW w:w="936" w:type="dxa"/>
          </w:tcPr>
          <w:p w14:paraId="5125DE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81</w:t>
            </w:r>
          </w:p>
        </w:tc>
        <w:tc>
          <w:tcPr>
            <w:tcW w:w="849" w:type="dxa"/>
          </w:tcPr>
          <w:p w14:paraId="34CEE2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7FDA0B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6B09E0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w:t>
            </w:r>
          </w:p>
        </w:tc>
        <w:tc>
          <w:tcPr>
            <w:tcW w:w="748" w:type="dxa"/>
          </w:tcPr>
          <w:p w14:paraId="750097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748" w:type="dxa"/>
          </w:tcPr>
          <w:p w14:paraId="32C28F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w:t>
            </w:r>
          </w:p>
        </w:tc>
        <w:tc>
          <w:tcPr>
            <w:tcW w:w="748" w:type="dxa"/>
          </w:tcPr>
          <w:p w14:paraId="6D016F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41</w:t>
            </w:r>
          </w:p>
        </w:tc>
        <w:tc>
          <w:tcPr>
            <w:tcW w:w="748" w:type="dxa"/>
          </w:tcPr>
          <w:p w14:paraId="6B24D68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w:t>
            </w:r>
          </w:p>
        </w:tc>
        <w:tc>
          <w:tcPr>
            <w:tcW w:w="748" w:type="dxa"/>
          </w:tcPr>
          <w:p w14:paraId="7F4694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51BD65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69E9B5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w:t>
            </w:r>
          </w:p>
        </w:tc>
        <w:tc>
          <w:tcPr>
            <w:tcW w:w="748" w:type="dxa"/>
          </w:tcPr>
          <w:p w14:paraId="45DA8B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63</w:t>
            </w:r>
          </w:p>
        </w:tc>
      </w:tr>
      <w:tr w:rsidR="00643896" w:rsidRPr="00640820" w14:paraId="0989D862" w14:textId="77777777" w:rsidTr="000D3BCB">
        <w:tc>
          <w:tcPr>
            <w:tcW w:w="936" w:type="dxa"/>
          </w:tcPr>
          <w:p w14:paraId="29FADD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ДБ-Зф</w:t>
            </w:r>
          </w:p>
        </w:tc>
        <w:tc>
          <w:tcPr>
            <w:tcW w:w="936" w:type="dxa"/>
          </w:tcPr>
          <w:p w14:paraId="1815DA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w:t>
            </w:r>
          </w:p>
        </w:tc>
        <w:tc>
          <w:tcPr>
            <w:tcW w:w="849" w:type="dxa"/>
          </w:tcPr>
          <w:p w14:paraId="195C3A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024FA9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453384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65</w:t>
            </w:r>
          </w:p>
        </w:tc>
        <w:tc>
          <w:tcPr>
            <w:tcW w:w="748" w:type="dxa"/>
          </w:tcPr>
          <w:p w14:paraId="6463BC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85</w:t>
            </w:r>
          </w:p>
        </w:tc>
        <w:tc>
          <w:tcPr>
            <w:tcW w:w="748" w:type="dxa"/>
          </w:tcPr>
          <w:p w14:paraId="614AE8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90</w:t>
            </w:r>
          </w:p>
        </w:tc>
        <w:tc>
          <w:tcPr>
            <w:tcW w:w="748" w:type="dxa"/>
          </w:tcPr>
          <w:p w14:paraId="11C78A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240</w:t>
            </w:r>
          </w:p>
        </w:tc>
        <w:tc>
          <w:tcPr>
            <w:tcW w:w="748" w:type="dxa"/>
          </w:tcPr>
          <w:p w14:paraId="2F19AD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w:t>
            </w:r>
          </w:p>
        </w:tc>
        <w:tc>
          <w:tcPr>
            <w:tcW w:w="748" w:type="dxa"/>
          </w:tcPr>
          <w:p w14:paraId="070F3B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6E7367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w:t>
            </w:r>
          </w:p>
        </w:tc>
        <w:tc>
          <w:tcPr>
            <w:tcW w:w="748" w:type="dxa"/>
          </w:tcPr>
          <w:p w14:paraId="5C5668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86</w:t>
            </w:r>
          </w:p>
        </w:tc>
        <w:tc>
          <w:tcPr>
            <w:tcW w:w="748" w:type="dxa"/>
          </w:tcPr>
          <w:p w14:paraId="7A0414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326</w:t>
            </w:r>
          </w:p>
        </w:tc>
      </w:tr>
      <w:tr w:rsidR="00643896" w:rsidRPr="00640820" w14:paraId="765C2910" w14:textId="77777777" w:rsidTr="000D3BCB">
        <w:tc>
          <w:tcPr>
            <w:tcW w:w="936" w:type="dxa"/>
          </w:tcPr>
          <w:p w14:paraId="083EE8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ЕР-2</w:t>
            </w:r>
          </w:p>
        </w:tc>
        <w:tc>
          <w:tcPr>
            <w:tcW w:w="936" w:type="dxa"/>
          </w:tcPr>
          <w:p w14:paraId="706149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w:t>
            </w:r>
          </w:p>
        </w:tc>
        <w:tc>
          <w:tcPr>
            <w:tcW w:w="849" w:type="dxa"/>
          </w:tcPr>
          <w:p w14:paraId="5F4120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608246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00E126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589BDF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6EEB189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4C1B17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465B77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w:t>
            </w:r>
          </w:p>
        </w:tc>
        <w:tc>
          <w:tcPr>
            <w:tcW w:w="748" w:type="dxa"/>
          </w:tcPr>
          <w:p w14:paraId="3E0B8A4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748" w:type="dxa"/>
          </w:tcPr>
          <w:p w14:paraId="5BC4C2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w:t>
            </w:r>
          </w:p>
        </w:tc>
        <w:tc>
          <w:tcPr>
            <w:tcW w:w="748" w:type="dxa"/>
          </w:tcPr>
          <w:p w14:paraId="2673DE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42</w:t>
            </w:r>
          </w:p>
        </w:tc>
        <w:tc>
          <w:tcPr>
            <w:tcW w:w="748" w:type="dxa"/>
          </w:tcPr>
          <w:p w14:paraId="4634E5A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42</w:t>
            </w:r>
          </w:p>
        </w:tc>
      </w:tr>
      <w:tr w:rsidR="00643896" w:rsidRPr="00640820" w14:paraId="67369AAE" w14:textId="77777777" w:rsidTr="000D3BCB">
        <w:tc>
          <w:tcPr>
            <w:tcW w:w="936" w:type="dxa"/>
          </w:tcPr>
          <w:p w14:paraId="48A037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ДБ-Зф</w:t>
            </w:r>
          </w:p>
        </w:tc>
        <w:tc>
          <w:tcPr>
            <w:tcW w:w="936" w:type="dxa"/>
          </w:tcPr>
          <w:p w14:paraId="45798C1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126</w:t>
            </w:r>
          </w:p>
        </w:tc>
        <w:tc>
          <w:tcPr>
            <w:tcW w:w="849" w:type="dxa"/>
          </w:tcPr>
          <w:p w14:paraId="62FFE7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0E6227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66900E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3F88B5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7AAB36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154657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4685CFE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c>
          <w:tcPr>
            <w:tcW w:w="748" w:type="dxa"/>
          </w:tcPr>
          <w:p w14:paraId="1685D6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w:t>
            </w:r>
          </w:p>
        </w:tc>
        <w:tc>
          <w:tcPr>
            <w:tcW w:w="748" w:type="dxa"/>
          </w:tcPr>
          <w:p w14:paraId="278BFA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w:t>
            </w:r>
          </w:p>
        </w:tc>
        <w:tc>
          <w:tcPr>
            <w:tcW w:w="748" w:type="dxa"/>
          </w:tcPr>
          <w:p w14:paraId="400BA7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64</w:t>
            </w:r>
          </w:p>
        </w:tc>
        <w:tc>
          <w:tcPr>
            <w:tcW w:w="748" w:type="dxa"/>
          </w:tcPr>
          <w:p w14:paraId="1A1308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64</w:t>
            </w:r>
          </w:p>
        </w:tc>
      </w:tr>
      <w:tr w:rsidR="00643896" w:rsidRPr="00640820" w14:paraId="2A5A65FA" w14:textId="77777777" w:rsidTr="000D3BCB">
        <w:tc>
          <w:tcPr>
            <w:tcW w:w="936" w:type="dxa"/>
          </w:tcPr>
          <w:p w14:paraId="34D8EC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ДБ-3</w:t>
            </w:r>
          </w:p>
        </w:tc>
        <w:tc>
          <w:tcPr>
            <w:tcW w:w="936" w:type="dxa"/>
          </w:tcPr>
          <w:p w14:paraId="00FCEF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126</w:t>
            </w:r>
          </w:p>
        </w:tc>
        <w:tc>
          <w:tcPr>
            <w:tcW w:w="849" w:type="dxa"/>
          </w:tcPr>
          <w:p w14:paraId="028A8F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18A3C3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5D99CB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7032B6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648302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w:t>
            </w:r>
          </w:p>
        </w:tc>
        <w:tc>
          <w:tcPr>
            <w:tcW w:w="748" w:type="dxa"/>
          </w:tcPr>
          <w:p w14:paraId="1106F7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w:t>
            </w:r>
          </w:p>
        </w:tc>
        <w:tc>
          <w:tcPr>
            <w:tcW w:w="748" w:type="dxa"/>
          </w:tcPr>
          <w:p w14:paraId="53484C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w:t>
            </w:r>
          </w:p>
        </w:tc>
        <w:tc>
          <w:tcPr>
            <w:tcW w:w="748" w:type="dxa"/>
          </w:tcPr>
          <w:p w14:paraId="17A728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02C16C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517817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w:t>
            </w:r>
          </w:p>
        </w:tc>
        <w:tc>
          <w:tcPr>
            <w:tcW w:w="748" w:type="dxa"/>
          </w:tcPr>
          <w:p w14:paraId="0728268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w:t>
            </w:r>
          </w:p>
        </w:tc>
      </w:tr>
      <w:tr w:rsidR="00643896" w:rsidRPr="00640820" w14:paraId="163215F0" w14:textId="77777777" w:rsidTr="000D3BCB">
        <w:tc>
          <w:tcPr>
            <w:tcW w:w="936" w:type="dxa"/>
          </w:tcPr>
          <w:p w14:paraId="690701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ТБ-7</w:t>
            </w:r>
          </w:p>
        </w:tc>
        <w:tc>
          <w:tcPr>
            <w:tcW w:w="936" w:type="dxa"/>
          </w:tcPr>
          <w:p w14:paraId="4CCC02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124</w:t>
            </w:r>
          </w:p>
        </w:tc>
        <w:tc>
          <w:tcPr>
            <w:tcW w:w="849" w:type="dxa"/>
          </w:tcPr>
          <w:p w14:paraId="498BF8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19B60B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77D44B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26558E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748" w:type="dxa"/>
          </w:tcPr>
          <w:p w14:paraId="3B55814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748" w:type="dxa"/>
          </w:tcPr>
          <w:p w14:paraId="5A4D83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748" w:type="dxa"/>
          </w:tcPr>
          <w:p w14:paraId="6AB3A44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08B2EA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748" w:type="dxa"/>
          </w:tcPr>
          <w:p w14:paraId="52E2AE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c>
          <w:tcPr>
            <w:tcW w:w="748" w:type="dxa"/>
          </w:tcPr>
          <w:p w14:paraId="5D5B4C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748" w:type="dxa"/>
          </w:tcPr>
          <w:p w14:paraId="128BBF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w:t>
            </w:r>
          </w:p>
        </w:tc>
      </w:tr>
      <w:tr w:rsidR="00643896" w:rsidRPr="00640820" w14:paraId="0E6913B0" w14:textId="77777777" w:rsidTr="000D3BCB">
        <w:tc>
          <w:tcPr>
            <w:tcW w:w="936" w:type="dxa"/>
          </w:tcPr>
          <w:p w14:paraId="1A8063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СБ</w:t>
            </w:r>
          </w:p>
        </w:tc>
        <w:tc>
          <w:tcPr>
            <w:tcW w:w="936" w:type="dxa"/>
          </w:tcPr>
          <w:p w14:paraId="4A86E0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125</w:t>
            </w:r>
          </w:p>
        </w:tc>
        <w:tc>
          <w:tcPr>
            <w:tcW w:w="849" w:type="dxa"/>
          </w:tcPr>
          <w:p w14:paraId="33607B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177F07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7F540E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56AB87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0D69BE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w:t>
            </w:r>
          </w:p>
        </w:tc>
        <w:tc>
          <w:tcPr>
            <w:tcW w:w="748" w:type="dxa"/>
          </w:tcPr>
          <w:p w14:paraId="2CAC73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w:t>
            </w:r>
          </w:p>
        </w:tc>
        <w:tc>
          <w:tcPr>
            <w:tcW w:w="748" w:type="dxa"/>
          </w:tcPr>
          <w:p w14:paraId="6ECB74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0E45A1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204306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465531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4D59F0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w:t>
            </w:r>
          </w:p>
        </w:tc>
      </w:tr>
      <w:tr w:rsidR="00643896" w:rsidRPr="00640820" w14:paraId="7F93A71F" w14:textId="77777777" w:rsidTr="000D3BCB">
        <w:tc>
          <w:tcPr>
            <w:tcW w:w="936" w:type="dxa"/>
          </w:tcPr>
          <w:p w14:paraId="7025001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ПЕ-2</w:t>
            </w:r>
          </w:p>
        </w:tc>
        <w:tc>
          <w:tcPr>
            <w:tcW w:w="936" w:type="dxa"/>
          </w:tcPr>
          <w:p w14:paraId="5681FC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124</w:t>
            </w:r>
          </w:p>
        </w:tc>
        <w:tc>
          <w:tcPr>
            <w:tcW w:w="849" w:type="dxa"/>
          </w:tcPr>
          <w:p w14:paraId="53BADB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42947E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55D229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7A7E1E6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536257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7EB34A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3F3049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748" w:type="dxa"/>
          </w:tcPr>
          <w:p w14:paraId="3A9002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748" w:type="dxa"/>
          </w:tcPr>
          <w:p w14:paraId="41BAE6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748" w:type="dxa"/>
          </w:tcPr>
          <w:p w14:paraId="3A22AA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748" w:type="dxa"/>
          </w:tcPr>
          <w:p w14:paraId="5F028A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r>
      <w:tr w:rsidR="00643896" w:rsidRPr="00640820" w14:paraId="6C93BCCF" w14:textId="77777777" w:rsidTr="000D3BCB">
        <w:tc>
          <w:tcPr>
            <w:tcW w:w="936" w:type="dxa"/>
          </w:tcPr>
          <w:p w14:paraId="5E7F49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ПЕ-2</w:t>
            </w:r>
          </w:p>
        </w:tc>
        <w:tc>
          <w:tcPr>
            <w:tcW w:w="936" w:type="dxa"/>
          </w:tcPr>
          <w:p w14:paraId="543363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125</w:t>
            </w:r>
          </w:p>
        </w:tc>
        <w:tc>
          <w:tcPr>
            <w:tcW w:w="849" w:type="dxa"/>
          </w:tcPr>
          <w:p w14:paraId="526CDD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356F76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102F43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004E379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53B84B5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602E2E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66BFB44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6374B1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0EC3EF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0DB5E7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1691A5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7C2F5A76" w14:textId="77777777" w:rsidTr="000D3BCB">
        <w:tc>
          <w:tcPr>
            <w:tcW w:w="936" w:type="dxa"/>
          </w:tcPr>
          <w:p w14:paraId="7ABF48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СУ-2</w:t>
            </w:r>
          </w:p>
        </w:tc>
        <w:tc>
          <w:tcPr>
            <w:tcW w:w="936" w:type="dxa"/>
          </w:tcPr>
          <w:p w14:paraId="17525D6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w:t>
            </w:r>
          </w:p>
        </w:tc>
        <w:tc>
          <w:tcPr>
            <w:tcW w:w="849" w:type="dxa"/>
          </w:tcPr>
          <w:p w14:paraId="4DD4DC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7A1656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4602D0E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751560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501D16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06ECC8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44E642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508118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038B87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1AC7A0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776F19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48C3CA96" w14:textId="77777777" w:rsidTr="000D3BCB">
        <w:tc>
          <w:tcPr>
            <w:tcW w:w="936" w:type="dxa"/>
            <w:gridSpan w:val="2"/>
          </w:tcPr>
          <w:p w14:paraId="3FAE68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 бомбардировщиков</w:t>
            </w:r>
          </w:p>
        </w:tc>
        <w:tc>
          <w:tcPr>
            <w:tcW w:w="849" w:type="dxa"/>
          </w:tcPr>
          <w:p w14:paraId="20E874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10CE77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5BBE4E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291</w:t>
            </w:r>
          </w:p>
        </w:tc>
        <w:tc>
          <w:tcPr>
            <w:tcW w:w="748" w:type="dxa"/>
          </w:tcPr>
          <w:p w14:paraId="2EDE8EC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192</w:t>
            </w:r>
          </w:p>
        </w:tc>
        <w:tc>
          <w:tcPr>
            <w:tcW w:w="748" w:type="dxa"/>
          </w:tcPr>
          <w:p w14:paraId="2B177E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259</w:t>
            </w:r>
          </w:p>
        </w:tc>
        <w:tc>
          <w:tcPr>
            <w:tcW w:w="748" w:type="dxa"/>
          </w:tcPr>
          <w:p w14:paraId="3F6AF5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742</w:t>
            </w:r>
          </w:p>
        </w:tc>
        <w:tc>
          <w:tcPr>
            <w:tcW w:w="748" w:type="dxa"/>
          </w:tcPr>
          <w:p w14:paraId="0547A4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288</w:t>
            </w:r>
          </w:p>
        </w:tc>
        <w:tc>
          <w:tcPr>
            <w:tcW w:w="748" w:type="dxa"/>
          </w:tcPr>
          <w:p w14:paraId="287EA5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249</w:t>
            </w:r>
          </w:p>
        </w:tc>
        <w:tc>
          <w:tcPr>
            <w:tcW w:w="748" w:type="dxa"/>
          </w:tcPr>
          <w:p w14:paraId="1DAD96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340</w:t>
            </w:r>
          </w:p>
        </w:tc>
        <w:tc>
          <w:tcPr>
            <w:tcW w:w="748" w:type="dxa"/>
          </w:tcPr>
          <w:p w14:paraId="2781104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877</w:t>
            </w:r>
          </w:p>
        </w:tc>
        <w:tc>
          <w:tcPr>
            <w:tcW w:w="748" w:type="dxa"/>
          </w:tcPr>
          <w:p w14:paraId="1D5B0B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1619</w:t>
            </w:r>
          </w:p>
        </w:tc>
      </w:tr>
      <w:tr w:rsidR="00643896" w:rsidRPr="00640820" w14:paraId="439AEBCD" w14:textId="77777777" w:rsidTr="000D3BCB">
        <w:tc>
          <w:tcPr>
            <w:tcW w:w="936" w:type="dxa"/>
            <w:gridSpan w:val="2"/>
          </w:tcPr>
          <w:p w14:paraId="1A3FC6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Дополнения</w:t>
            </w:r>
          </w:p>
        </w:tc>
        <w:tc>
          <w:tcPr>
            <w:tcW w:w="849" w:type="dxa"/>
          </w:tcPr>
          <w:p w14:paraId="1BB550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15D8A2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748" w:type="dxa"/>
          </w:tcPr>
          <w:p w14:paraId="32E97F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42CBC3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1E1927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460588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748" w:type="dxa"/>
          </w:tcPr>
          <w:p w14:paraId="5D479E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1F9CD7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5F0FF3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02098E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19967466" w14:textId="77777777" w:rsidTr="000D3BCB">
        <w:tc>
          <w:tcPr>
            <w:tcW w:w="936" w:type="dxa"/>
            <w:gridSpan w:val="2"/>
          </w:tcPr>
          <w:p w14:paraId="2954ECF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Штурмовики</w:t>
            </w:r>
          </w:p>
        </w:tc>
        <w:tc>
          <w:tcPr>
            <w:tcW w:w="849" w:type="dxa"/>
          </w:tcPr>
          <w:p w14:paraId="3A13BA3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21DC8F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257342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51D7E3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624D39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47AE4C6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04B4EA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2BA256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0DEAE9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07FD40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EF4F26D" w14:textId="77777777" w:rsidTr="000D3BCB">
        <w:tc>
          <w:tcPr>
            <w:tcW w:w="936" w:type="dxa"/>
          </w:tcPr>
          <w:p w14:paraId="3BFC39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ИЛ-2</w:t>
            </w:r>
          </w:p>
        </w:tc>
        <w:tc>
          <w:tcPr>
            <w:tcW w:w="936" w:type="dxa"/>
          </w:tcPr>
          <w:p w14:paraId="564187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w:t>
            </w:r>
          </w:p>
        </w:tc>
        <w:tc>
          <w:tcPr>
            <w:tcW w:w="849" w:type="dxa"/>
          </w:tcPr>
          <w:p w14:paraId="2AF7E4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0311B2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58FD19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00B806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2ED9C0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748" w:type="dxa"/>
          </w:tcPr>
          <w:p w14:paraId="72BDEB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748" w:type="dxa"/>
          </w:tcPr>
          <w:p w14:paraId="7B1183C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w:t>
            </w:r>
          </w:p>
        </w:tc>
        <w:tc>
          <w:tcPr>
            <w:tcW w:w="748" w:type="dxa"/>
          </w:tcPr>
          <w:p w14:paraId="69F88D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74</w:t>
            </w:r>
          </w:p>
        </w:tc>
        <w:tc>
          <w:tcPr>
            <w:tcW w:w="748" w:type="dxa"/>
          </w:tcPr>
          <w:p w14:paraId="7F64FA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159</w:t>
            </w:r>
          </w:p>
        </w:tc>
        <w:tc>
          <w:tcPr>
            <w:tcW w:w="748" w:type="dxa"/>
          </w:tcPr>
          <w:p w14:paraId="5FDA3D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249</w:t>
            </w:r>
          </w:p>
        </w:tc>
        <w:tc>
          <w:tcPr>
            <w:tcW w:w="748" w:type="dxa"/>
          </w:tcPr>
          <w:p w14:paraId="52645A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251</w:t>
            </w:r>
          </w:p>
        </w:tc>
      </w:tr>
      <w:tr w:rsidR="00643896" w:rsidRPr="00640820" w14:paraId="71A98975" w14:textId="77777777" w:rsidTr="000D3BCB">
        <w:tc>
          <w:tcPr>
            <w:tcW w:w="936" w:type="dxa"/>
          </w:tcPr>
          <w:p w14:paraId="460545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ИЛ-2</w:t>
            </w:r>
          </w:p>
        </w:tc>
        <w:tc>
          <w:tcPr>
            <w:tcW w:w="936" w:type="dxa"/>
          </w:tcPr>
          <w:p w14:paraId="5336A4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849" w:type="dxa"/>
          </w:tcPr>
          <w:p w14:paraId="7244D2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553AFA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52B014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480294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26070AE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773905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618936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67FC45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540FCF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7DA59F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55D1EE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31190018" w14:textId="77777777" w:rsidTr="000D3BCB">
        <w:tc>
          <w:tcPr>
            <w:tcW w:w="936" w:type="dxa"/>
          </w:tcPr>
          <w:p w14:paraId="100B38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ИЛ-2</w:t>
            </w:r>
          </w:p>
        </w:tc>
        <w:tc>
          <w:tcPr>
            <w:tcW w:w="936" w:type="dxa"/>
          </w:tcPr>
          <w:p w14:paraId="19722F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381</w:t>
            </w:r>
          </w:p>
        </w:tc>
        <w:tc>
          <w:tcPr>
            <w:tcW w:w="849" w:type="dxa"/>
          </w:tcPr>
          <w:p w14:paraId="4CA666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26B071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59F811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1CB9F8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257948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38CFB1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12E449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5AE5B4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394117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1125D2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731614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r>
      <w:tr w:rsidR="00643896" w:rsidRPr="00640820" w14:paraId="4CFDDC87" w14:textId="77777777" w:rsidTr="000D3BCB">
        <w:tc>
          <w:tcPr>
            <w:tcW w:w="936" w:type="dxa"/>
            <w:gridSpan w:val="2"/>
          </w:tcPr>
          <w:p w14:paraId="2725626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 штурмовиков</w:t>
            </w:r>
          </w:p>
        </w:tc>
        <w:tc>
          <w:tcPr>
            <w:tcW w:w="849" w:type="dxa"/>
          </w:tcPr>
          <w:p w14:paraId="603BC5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7016B9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32E184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10A8A6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748" w:type="dxa"/>
          </w:tcPr>
          <w:p w14:paraId="311193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748" w:type="dxa"/>
          </w:tcPr>
          <w:p w14:paraId="0A5846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w:t>
            </w:r>
          </w:p>
        </w:tc>
        <w:tc>
          <w:tcPr>
            <w:tcW w:w="748" w:type="dxa"/>
          </w:tcPr>
          <w:p w14:paraId="77A2CC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74</w:t>
            </w:r>
          </w:p>
        </w:tc>
        <w:tc>
          <w:tcPr>
            <w:tcW w:w="748" w:type="dxa"/>
          </w:tcPr>
          <w:p w14:paraId="3B9594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159</w:t>
            </w:r>
          </w:p>
        </w:tc>
        <w:tc>
          <w:tcPr>
            <w:tcW w:w="748" w:type="dxa"/>
          </w:tcPr>
          <w:p w14:paraId="745CA5E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249</w:t>
            </w:r>
          </w:p>
        </w:tc>
        <w:tc>
          <w:tcPr>
            <w:tcW w:w="748" w:type="dxa"/>
          </w:tcPr>
          <w:p w14:paraId="2154CB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251</w:t>
            </w:r>
          </w:p>
        </w:tc>
      </w:tr>
      <w:tr w:rsidR="00643896" w:rsidRPr="00640820" w14:paraId="5F3F69FB" w14:textId="77777777" w:rsidTr="000D3BCB">
        <w:tc>
          <w:tcPr>
            <w:tcW w:w="936" w:type="dxa"/>
            <w:gridSpan w:val="2"/>
          </w:tcPr>
          <w:p w14:paraId="420213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Разведчики</w:t>
            </w:r>
          </w:p>
        </w:tc>
        <w:tc>
          <w:tcPr>
            <w:tcW w:w="849" w:type="dxa"/>
          </w:tcPr>
          <w:p w14:paraId="64A330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63829B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249DF1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5A3E63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268A40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20D923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454122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6ECC23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28780A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2039AA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3F9B534" w14:textId="77777777" w:rsidTr="000D3BCB">
        <w:tc>
          <w:tcPr>
            <w:tcW w:w="936" w:type="dxa"/>
          </w:tcPr>
          <w:p w14:paraId="1ED1A7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МДР-6</w:t>
            </w:r>
          </w:p>
        </w:tc>
        <w:tc>
          <w:tcPr>
            <w:tcW w:w="936" w:type="dxa"/>
          </w:tcPr>
          <w:p w14:paraId="6C1050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w:t>
            </w:r>
          </w:p>
        </w:tc>
        <w:tc>
          <w:tcPr>
            <w:tcW w:w="849" w:type="dxa"/>
          </w:tcPr>
          <w:p w14:paraId="48E15A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086B969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227DD9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748" w:type="dxa"/>
          </w:tcPr>
          <w:p w14:paraId="510FF2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6BCC8C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213757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748" w:type="dxa"/>
          </w:tcPr>
          <w:p w14:paraId="6327A8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03761B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6518EB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07FDF0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33FE0B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r>
      <w:tr w:rsidR="00643896" w:rsidRPr="00640820" w14:paraId="10BEFE64" w14:textId="77777777" w:rsidTr="000D3BCB">
        <w:tc>
          <w:tcPr>
            <w:tcW w:w="936" w:type="dxa"/>
          </w:tcPr>
          <w:p w14:paraId="0DA965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(Чс)</w:t>
            </w:r>
          </w:p>
        </w:tc>
        <w:tc>
          <w:tcPr>
            <w:tcW w:w="936" w:type="dxa"/>
          </w:tcPr>
          <w:p w14:paraId="36A509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9" w:type="dxa"/>
          </w:tcPr>
          <w:p w14:paraId="745BD4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01E60F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71EB3B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68656B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15D9FDF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66F0DF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41B056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24E655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336C3F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5ABFF2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8AF03C6" w14:textId="77777777" w:rsidTr="000D3BCB">
        <w:tc>
          <w:tcPr>
            <w:tcW w:w="936" w:type="dxa"/>
          </w:tcPr>
          <w:p w14:paraId="0A31FF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МДР-6</w:t>
            </w:r>
          </w:p>
        </w:tc>
        <w:tc>
          <w:tcPr>
            <w:tcW w:w="936" w:type="dxa"/>
          </w:tcPr>
          <w:p w14:paraId="3B1CC1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c>
          <w:tcPr>
            <w:tcW w:w="849" w:type="dxa"/>
          </w:tcPr>
          <w:p w14:paraId="592829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74D5C2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478EB5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48DEFD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2DC27CB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193786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0228CB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748" w:type="dxa"/>
          </w:tcPr>
          <w:p w14:paraId="721BC96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2F0953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748" w:type="dxa"/>
          </w:tcPr>
          <w:p w14:paraId="13E572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c>
          <w:tcPr>
            <w:tcW w:w="748" w:type="dxa"/>
          </w:tcPr>
          <w:p w14:paraId="64721C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r>
      <w:tr w:rsidR="00643896" w:rsidRPr="00640820" w14:paraId="352F39A3" w14:textId="77777777" w:rsidTr="000D3BCB">
        <w:tc>
          <w:tcPr>
            <w:tcW w:w="936" w:type="dxa"/>
            <w:gridSpan w:val="2"/>
          </w:tcPr>
          <w:p w14:paraId="3D3083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 разведчиков</w:t>
            </w:r>
          </w:p>
        </w:tc>
        <w:tc>
          <w:tcPr>
            <w:tcW w:w="849" w:type="dxa"/>
          </w:tcPr>
          <w:p w14:paraId="0926CF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30ED07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748" w:type="dxa"/>
          </w:tcPr>
          <w:p w14:paraId="10525E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42F8AD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592CA4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748" w:type="dxa"/>
          </w:tcPr>
          <w:p w14:paraId="20A772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748" w:type="dxa"/>
          </w:tcPr>
          <w:p w14:paraId="52EC7D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55A27B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748" w:type="dxa"/>
          </w:tcPr>
          <w:p w14:paraId="555F7A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c>
          <w:tcPr>
            <w:tcW w:w="748" w:type="dxa"/>
          </w:tcPr>
          <w:p w14:paraId="4AF5078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r>
      <w:tr w:rsidR="00643896" w:rsidRPr="00640820" w14:paraId="5C2C03F0" w14:textId="77777777" w:rsidTr="000D3BCB">
        <w:tc>
          <w:tcPr>
            <w:tcW w:w="936" w:type="dxa"/>
            <w:gridSpan w:val="3"/>
            <w:tcBorders>
              <w:bottom w:val="single" w:sz="12" w:space="0" w:color="000000"/>
            </w:tcBorders>
          </w:tcPr>
          <w:p w14:paraId="6FC2E9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Итого боевых машин</w:t>
            </w:r>
          </w:p>
        </w:tc>
        <w:tc>
          <w:tcPr>
            <w:tcW w:w="655" w:type="dxa"/>
            <w:tcBorders>
              <w:bottom w:val="single" w:sz="12" w:space="0" w:color="000000"/>
            </w:tcBorders>
          </w:tcPr>
          <w:p w14:paraId="2380B6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556</w:t>
            </w:r>
          </w:p>
        </w:tc>
        <w:tc>
          <w:tcPr>
            <w:tcW w:w="748" w:type="dxa"/>
            <w:tcBorders>
              <w:bottom w:val="single" w:sz="12" w:space="0" w:color="000000"/>
            </w:tcBorders>
          </w:tcPr>
          <w:p w14:paraId="1BF7CB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468</w:t>
            </w:r>
          </w:p>
        </w:tc>
        <w:tc>
          <w:tcPr>
            <w:tcW w:w="748" w:type="dxa"/>
            <w:tcBorders>
              <w:bottom w:val="single" w:sz="12" w:space="0" w:color="000000"/>
            </w:tcBorders>
          </w:tcPr>
          <w:p w14:paraId="0C39F5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573</w:t>
            </w:r>
          </w:p>
        </w:tc>
        <w:tc>
          <w:tcPr>
            <w:tcW w:w="748" w:type="dxa"/>
            <w:tcBorders>
              <w:bottom w:val="single" w:sz="12" w:space="0" w:color="000000"/>
            </w:tcBorders>
          </w:tcPr>
          <w:p w14:paraId="2682A7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1597</w:t>
            </w:r>
          </w:p>
        </w:tc>
        <w:tc>
          <w:tcPr>
            <w:tcW w:w="748" w:type="dxa"/>
            <w:tcBorders>
              <w:bottom w:val="single" w:sz="12" w:space="0" w:color="000000"/>
            </w:tcBorders>
          </w:tcPr>
          <w:p w14:paraId="7D52D2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730</w:t>
            </w:r>
          </w:p>
        </w:tc>
        <w:tc>
          <w:tcPr>
            <w:tcW w:w="748" w:type="dxa"/>
            <w:tcBorders>
              <w:bottom w:val="single" w:sz="12" w:space="0" w:color="000000"/>
            </w:tcBorders>
          </w:tcPr>
          <w:p w14:paraId="6D60F68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756</w:t>
            </w:r>
          </w:p>
        </w:tc>
        <w:tc>
          <w:tcPr>
            <w:tcW w:w="748" w:type="dxa"/>
            <w:tcBorders>
              <w:bottom w:val="single" w:sz="12" w:space="0" w:color="000000"/>
            </w:tcBorders>
          </w:tcPr>
          <w:p w14:paraId="3BDE3D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1407</w:t>
            </w:r>
          </w:p>
        </w:tc>
        <w:tc>
          <w:tcPr>
            <w:tcW w:w="748" w:type="dxa"/>
            <w:tcBorders>
              <w:bottom w:val="single" w:sz="12" w:space="0" w:color="000000"/>
            </w:tcBorders>
          </w:tcPr>
          <w:p w14:paraId="57F135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2533</w:t>
            </w:r>
          </w:p>
        </w:tc>
        <w:tc>
          <w:tcPr>
            <w:tcW w:w="748" w:type="dxa"/>
            <w:tcBorders>
              <w:bottom w:val="single" w:sz="12" w:space="0" w:color="000000"/>
            </w:tcBorders>
          </w:tcPr>
          <w:p w14:paraId="5BA4CB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4130 \494\ </w:t>
            </w:r>
          </w:p>
        </w:tc>
      </w:tr>
    </w:tbl>
    <w:p w14:paraId="1FA007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(Правая сторона) </w:t>
      </w:r>
    </w:p>
    <w:tbl>
      <w:tblPr>
        <w:tblW w:w="0" w:type="auto"/>
        <w:tblInd w:w="3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30" w:type="dxa"/>
          <w:right w:w="30" w:type="dxa"/>
        </w:tblCellMar>
        <w:tblLook w:val="0000" w:firstRow="0" w:lastRow="0" w:firstColumn="0" w:lastColumn="0" w:noHBand="0" w:noVBand="0"/>
      </w:tblPr>
      <w:tblGrid>
        <w:gridCol w:w="936"/>
        <w:gridCol w:w="936"/>
        <w:gridCol w:w="842"/>
        <w:gridCol w:w="655"/>
        <w:gridCol w:w="655"/>
        <w:gridCol w:w="655"/>
        <w:gridCol w:w="655"/>
        <w:gridCol w:w="655"/>
        <w:gridCol w:w="655"/>
        <w:gridCol w:w="561"/>
        <w:gridCol w:w="561"/>
        <w:gridCol w:w="748"/>
        <w:gridCol w:w="1029"/>
      </w:tblGrid>
      <w:tr w:rsidR="00643896" w:rsidRPr="00640820" w14:paraId="2C373AEB" w14:textId="77777777" w:rsidTr="000D3BCB">
        <w:tc>
          <w:tcPr>
            <w:tcW w:w="936" w:type="dxa"/>
            <w:tcBorders>
              <w:top w:val="single" w:sz="12" w:space="0" w:color="000000"/>
            </w:tcBorders>
          </w:tcPr>
          <w:p w14:paraId="594990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Наимен. изделия</w:t>
            </w:r>
          </w:p>
        </w:tc>
        <w:tc>
          <w:tcPr>
            <w:tcW w:w="936" w:type="dxa"/>
            <w:tcBorders>
              <w:top w:val="single" w:sz="12" w:space="0" w:color="000000"/>
            </w:tcBorders>
          </w:tcPr>
          <w:p w14:paraId="762735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w:t>
            </w:r>
          </w:p>
          <w:p w14:paraId="593E80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завода</w:t>
            </w:r>
          </w:p>
        </w:tc>
        <w:tc>
          <w:tcPr>
            <w:tcW w:w="842" w:type="dxa"/>
            <w:tcBorders>
              <w:top w:val="single" w:sz="12" w:space="0" w:color="000000"/>
            </w:tcBorders>
          </w:tcPr>
          <w:p w14:paraId="4DDC0D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Показатели</w:t>
            </w:r>
          </w:p>
        </w:tc>
        <w:tc>
          <w:tcPr>
            <w:tcW w:w="655" w:type="dxa"/>
            <w:tcBorders>
              <w:top w:val="single" w:sz="12" w:space="0" w:color="000000"/>
            </w:tcBorders>
          </w:tcPr>
          <w:p w14:paraId="0DEF49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VII</w:t>
            </w:r>
          </w:p>
        </w:tc>
        <w:tc>
          <w:tcPr>
            <w:tcW w:w="655" w:type="dxa"/>
            <w:tcBorders>
              <w:top w:val="single" w:sz="12" w:space="0" w:color="000000"/>
            </w:tcBorders>
          </w:tcPr>
          <w:p w14:paraId="2FD64B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VIII</w:t>
            </w:r>
          </w:p>
        </w:tc>
        <w:tc>
          <w:tcPr>
            <w:tcW w:w="655" w:type="dxa"/>
            <w:tcBorders>
              <w:top w:val="single" w:sz="12" w:space="0" w:color="000000"/>
            </w:tcBorders>
          </w:tcPr>
          <w:p w14:paraId="4B1CB5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IX</w:t>
            </w:r>
          </w:p>
        </w:tc>
        <w:tc>
          <w:tcPr>
            <w:tcW w:w="655" w:type="dxa"/>
            <w:tcBorders>
              <w:top w:val="single" w:sz="12" w:space="0" w:color="000000"/>
            </w:tcBorders>
          </w:tcPr>
          <w:p w14:paraId="277D8D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III кв.</w:t>
            </w:r>
          </w:p>
        </w:tc>
        <w:tc>
          <w:tcPr>
            <w:tcW w:w="655" w:type="dxa"/>
            <w:tcBorders>
              <w:top w:val="single" w:sz="12" w:space="0" w:color="000000"/>
            </w:tcBorders>
          </w:tcPr>
          <w:p w14:paraId="16A9B6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X</w:t>
            </w:r>
          </w:p>
        </w:tc>
        <w:tc>
          <w:tcPr>
            <w:tcW w:w="655" w:type="dxa"/>
            <w:tcBorders>
              <w:top w:val="single" w:sz="12" w:space="0" w:color="000000"/>
            </w:tcBorders>
          </w:tcPr>
          <w:p w14:paraId="07BF88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XI</w:t>
            </w:r>
          </w:p>
        </w:tc>
        <w:tc>
          <w:tcPr>
            <w:tcW w:w="561" w:type="dxa"/>
            <w:tcBorders>
              <w:top w:val="single" w:sz="12" w:space="0" w:color="000000"/>
            </w:tcBorders>
          </w:tcPr>
          <w:p w14:paraId="59E1F6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XII</w:t>
            </w:r>
          </w:p>
        </w:tc>
        <w:tc>
          <w:tcPr>
            <w:tcW w:w="561" w:type="dxa"/>
            <w:tcBorders>
              <w:top w:val="single" w:sz="12" w:space="0" w:color="000000"/>
            </w:tcBorders>
          </w:tcPr>
          <w:p w14:paraId="4CAFB1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IV кв.</w:t>
            </w:r>
          </w:p>
        </w:tc>
        <w:tc>
          <w:tcPr>
            <w:tcW w:w="748" w:type="dxa"/>
            <w:tcBorders>
              <w:top w:val="single" w:sz="12" w:space="0" w:color="000000"/>
            </w:tcBorders>
          </w:tcPr>
          <w:p w14:paraId="0B4363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I полу-годие</w:t>
            </w:r>
          </w:p>
        </w:tc>
        <w:tc>
          <w:tcPr>
            <w:tcW w:w="1029" w:type="dxa"/>
            <w:tcBorders>
              <w:top w:val="single" w:sz="12" w:space="0" w:color="000000"/>
            </w:tcBorders>
          </w:tcPr>
          <w:p w14:paraId="334D01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Год</w:t>
            </w:r>
          </w:p>
        </w:tc>
      </w:tr>
      <w:tr w:rsidR="00643896" w:rsidRPr="00640820" w14:paraId="027C2F00" w14:textId="77777777" w:rsidTr="000D3BCB">
        <w:tc>
          <w:tcPr>
            <w:tcW w:w="936" w:type="dxa"/>
          </w:tcPr>
          <w:p w14:paraId="5DDC04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936" w:type="dxa"/>
          </w:tcPr>
          <w:p w14:paraId="5C9F559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842" w:type="dxa"/>
          </w:tcPr>
          <w:p w14:paraId="67A2A5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c>
          <w:tcPr>
            <w:tcW w:w="655" w:type="dxa"/>
          </w:tcPr>
          <w:p w14:paraId="65AD08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655" w:type="dxa"/>
          </w:tcPr>
          <w:p w14:paraId="3A1D2BC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655" w:type="dxa"/>
          </w:tcPr>
          <w:p w14:paraId="0C2488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c>
          <w:tcPr>
            <w:tcW w:w="655" w:type="dxa"/>
          </w:tcPr>
          <w:p w14:paraId="709718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w:t>
            </w:r>
          </w:p>
        </w:tc>
        <w:tc>
          <w:tcPr>
            <w:tcW w:w="655" w:type="dxa"/>
          </w:tcPr>
          <w:p w14:paraId="6FA26E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w:t>
            </w:r>
          </w:p>
        </w:tc>
        <w:tc>
          <w:tcPr>
            <w:tcW w:w="655" w:type="dxa"/>
          </w:tcPr>
          <w:p w14:paraId="4576A4A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tc>
        <w:tc>
          <w:tcPr>
            <w:tcW w:w="561" w:type="dxa"/>
          </w:tcPr>
          <w:p w14:paraId="739882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561" w:type="dxa"/>
          </w:tcPr>
          <w:p w14:paraId="3CC99F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w:t>
            </w:r>
          </w:p>
        </w:tc>
        <w:tc>
          <w:tcPr>
            <w:tcW w:w="748" w:type="dxa"/>
          </w:tcPr>
          <w:p w14:paraId="1DF217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w:t>
            </w:r>
          </w:p>
        </w:tc>
        <w:tc>
          <w:tcPr>
            <w:tcW w:w="1029" w:type="dxa"/>
          </w:tcPr>
          <w:p w14:paraId="6B7BAB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w:t>
            </w:r>
          </w:p>
        </w:tc>
      </w:tr>
      <w:tr w:rsidR="00643896" w:rsidRPr="00640820" w14:paraId="2DC657AD" w14:textId="77777777" w:rsidTr="000D3BCB">
        <w:tc>
          <w:tcPr>
            <w:tcW w:w="936" w:type="dxa"/>
            <w:gridSpan w:val="2"/>
          </w:tcPr>
          <w:p w14:paraId="7123C9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Истребители</w:t>
            </w:r>
          </w:p>
        </w:tc>
        <w:tc>
          <w:tcPr>
            <w:tcW w:w="842" w:type="dxa"/>
          </w:tcPr>
          <w:p w14:paraId="04E3C3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30D39C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41156B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6DB86F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578DAD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713B2D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063C91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561" w:type="dxa"/>
          </w:tcPr>
          <w:p w14:paraId="5CB93C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561" w:type="dxa"/>
          </w:tcPr>
          <w:p w14:paraId="493FA2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2948A0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29" w:type="dxa"/>
          </w:tcPr>
          <w:p w14:paraId="6245E0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DDD5EEA" w14:textId="77777777" w:rsidTr="000D3BCB">
        <w:tc>
          <w:tcPr>
            <w:tcW w:w="936" w:type="dxa"/>
          </w:tcPr>
          <w:p w14:paraId="2D1E58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МИГ-3</w:t>
            </w:r>
          </w:p>
        </w:tc>
        <w:tc>
          <w:tcPr>
            <w:tcW w:w="936" w:type="dxa"/>
          </w:tcPr>
          <w:p w14:paraId="003A9E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842" w:type="dxa"/>
          </w:tcPr>
          <w:p w14:paraId="63D623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2914BB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1B6A22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496</w:t>
            </w:r>
          </w:p>
        </w:tc>
        <w:tc>
          <w:tcPr>
            <w:tcW w:w="655" w:type="dxa"/>
          </w:tcPr>
          <w:p w14:paraId="51ABEC6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562</w:t>
            </w:r>
          </w:p>
        </w:tc>
        <w:tc>
          <w:tcPr>
            <w:tcW w:w="655" w:type="dxa"/>
          </w:tcPr>
          <w:p w14:paraId="4B9A2A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450</w:t>
            </w:r>
          </w:p>
        </w:tc>
        <w:tc>
          <w:tcPr>
            <w:tcW w:w="655" w:type="dxa"/>
          </w:tcPr>
          <w:p w14:paraId="7466EC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1508</w:t>
            </w:r>
          </w:p>
        </w:tc>
        <w:tc>
          <w:tcPr>
            <w:tcW w:w="655" w:type="dxa"/>
          </w:tcPr>
          <w:p w14:paraId="2B7B9D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199</w:t>
            </w:r>
          </w:p>
        </w:tc>
        <w:tc>
          <w:tcPr>
            <w:tcW w:w="655" w:type="dxa"/>
          </w:tcPr>
          <w:p w14:paraId="405310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c>
          <w:tcPr>
            <w:tcW w:w="561" w:type="dxa"/>
          </w:tcPr>
          <w:p w14:paraId="4DA437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w:t>
            </w:r>
          </w:p>
        </w:tc>
        <w:tc>
          <w:tcPr>
            <w:tcW w:w="561" w:type="dxa"/>
          </w:tcPr>
          <w:p w14:paraId="2FF8D7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229</w:t>
            </w:r>
          </w:p>
        </w:tc>
        <w:tc>
          <w:tcPr>
            <w:tcW w:w="748" w:type="dxa"/>
          </w:tcPr>
          <w:p w14:paraId="786CE9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1737</w:t>
            </w:r>
          </w:p>
        </w:tc>
        <w:tc>
          <w:tcPr>
            <w:tcW w:w="1029" w:type="dxa"/>
          </w:tcPr>
          <w:p w14:paraId="053784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3100</w:t>
            </w:r>
          </w:p>
        </w:tc>
      </w:tr>
      <w:tr w:rsidR="00643896" w:rsidRPr="00640820" w14:paraId="1D3D721A" w14:textId="77777777" w:rsidTr="000D3BCB">
        <w:tc>
          <w:tcPr>
            <w:tcW w:w="936" w:type="dxa"/>
          </w:tcPr>
          <w:p w14:paraId="708F18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И-153</w:t>
            </w:r>
          </w:p>
        </w:tc>
        <w:tc>
          <w:tcPr>
            <w:tcW w:w="936" w:type="dxa"/>
          </w:tcPr>
          <w:p w14:paraId="3CA2B9B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842" w:type="dxa"/>
          </w:tcPr>
          <w:p w14:paraId="49BAEF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2382FB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730212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318419D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33E024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38DB68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543AE6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72B5C7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1" w:type="dxa"/>
          </w:tcPr>
          <w:p w14:paraId="42A12E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1" w:type="dxa"/>
          </w:tcPr>
          <w:p w14:paraId="3C9452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212D50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029" w:type="dxa"/>
          </w:tcPr>
          <w:p w14:paraId="626A25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64</w:t>
            </w:r>
          </w:p>
        </w:tc>
      </w:tr>
      <w:tr w:rsidR="00643896" w:rsidRPr="00640820" w14:paraId="70C4D94C" w14:textId="77777777" w:rsidTr="000D3BCB">
        <w:tc>
          <w:tcPr>
            <w:tcW w:w="936" w:type="dxa"/>
          </w:tcPr>
          <w:p w14:paraId="594F1F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ЛАГГ-3</w:t>
            </w:r>
          </w:p>
        </w:tc>
        <w:tc>
          <w:tcPr>
            <w:tcW w:w="936" w:type="dxa"/>
          </w:tcPr>
          <w:p w14:paraId="4B68B8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w:t>
            </w:r>
          </w:p>
        </w:tc>
        <w:tc>
          <w:tcPr>
            <w:tcW w:w="842" w:type="dxa"/>
          </w:tcPr>
          <w:p w14:paraId="0B859B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1F9A76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03BEF81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655" w:type="dxa"/>
          </w:tcPr>
          <w:p w14:paraId="50413E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w:t>
            </w:r>
          </w:p>
        </w:tc>
        <w:tc>
          <w:tcPr>
            <w:tcW w:w="655" w:type="dxa"/>
          </w:tcPr>
          <w:p w14:paraId="72004B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655" w:type="dxa"/>
          </w:tcPr>
          <w:p w14:paraId="105839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w:t>
            </w:r>
          </w:p>
        </w:tc>
        <w:tc>
          <w:tcPr>
            <w:tcW w:w="655" w:type="dxa"/>
          </w:tcPr>
          <w:p w14:paraId="23B03E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3B6734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1" w:type="dxa"/>
          </w:tcPr>
          <w:p w14:paraId="015C3B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1" w:type="dxa"/>
          </w:tcPr>
          <w:p w14:paraId="4A7472C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706326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w:t>
            </w:r>
          </w:p>
        </w:tc>
        <w:tc>
          <w:tcPr>
            <w:tcW w:w="1029" w:type="dxa"/>
          </w:tcPr>
          <w:p w14:paraId="26CF10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65</w:t>
            </w:r>
          </w:p>
        </w:tc>
      </w:tr>
      <w:tr w:rsidR="00643896" w:rsidRPr="00640820" w14:paraId="3FF02973" w14:textId="77777777" w:rsidTr="000D3BCB">
        <w:tc>
          <w:tcPr>
            <w:tcW w:w="936" w:type="dxa"/>
          </w:tcPr>
          <w:p w14:paraId="4AD11B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И-16</w:t>
            </w:r>
          </w:p>
        </w:tc>
        <w:tc>
          <w:tcPr>
            <w:tcW w:w="936" w:type="dxa"/>
          </w:tcPr>
          <w:p w14:paraId="5313A8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w:t>
            </w:r>
          </w:p>
        </w:tc>
        <w:tc>
          <w:tcPr>
            <w:tcW w:w="842" w:type="dxa"/>
          </w:tcPr>
          <w:p w14:paraId="3428E8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207B8BC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3EAD60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1C6B46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5A6C1D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00BB10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236192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713F76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1" w:type="dxa"/>
          </w:tcPr>
          <w:p w14:paraId="2AC509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1" w:type="dxa"/>
          </w:tcPr>
          <w:p w14:paraId="63FE51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2E99C2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029" w:type="dxa"/>
          </w:tcPr>
          <w:p w14:paraId="5BCC19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80</w:t>
            </w:r>
          </w:p>
        </w:tc>
      </w:tr>
      <w:tr w:rsidR="00643896" w:rsidRPr="00640820" w14:paraId="72964B0C" w14:textId="77777777" w:rsidTr="000D3BCB">
        <w:tc>
          <w:tcPr>
            <w:tcW w:w="936" w:type="dxa"/>
          </w:tcPr>
          <w:p w14:paraId="7B72EB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ЛАГГ-3</w:t>
            </w:r>
          </w:p>
        </w:tc>
        <w:tc>
          <w:tcPr>
            <w:tcW w:w="936" w:type="dxa"/>
          </w:tcPr>
          <w:p w14:paraId="02CC2AA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w:t>
            </w:r>
          </w:p>
        </w:tc>
        <w:tc>
          <w:tcPr>
            <w:tcW w:w="842" w:type="dxa"/>
          </w:tcPr>
          <w:p w14:paraId="6D8E12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7E6B88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7E61FF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44</w:t>
            </w:r>
          </w:p>
        </w:tc>
        <w:tc>
          <w:tcPr>
            <w:tcW w:w="655" w:type="dxa"/>
          </w:tcPr>
          <w:p w14:paraId="109B9A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130</w:t>
            </w:r>
          </w:p>
        </w:tc>
        <w:tc>
          <w:tcPr>
            <w:tcW w:w="655" w:type="dxa"/>
          </w:tcPr>
          <w:p w14:paraId="3C7189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165</w:t>
            </w:r>
          </w:p>
        </w:tc>
        <w:tc>
          <w:tcPr>
            <w:tcW w:w="655" w:type="dxa"/>
          </w:tcPr>
          <w:p w14:paraId="6AAF87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339</w:t>
            </w:r>
          </w:p>
        </w:tc>
        <w:tc>
          <w:tcPr>
            <w:tcW w:w="655" w:type="dxa"/>
          </w:tcPr>
          <w:p w14:paraId="6AF9CD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w:t>
            </w:r>
          </w:p>
        </w:tc>
        <w:tc>
          <w:tcPr>
            <w:tcW w:w="655" w:type="dxa"/>
          </w:tcPr>
          <w:p w14:paraId="0C5004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c>
          <w:tcPr>
            <w:tcW w:w="561" w:type="dxa"/>
          </w:tcPr>
          <w:p w14:paraId="74C782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w:t>
            </w:r>
          </w:p>
        </w:tc>
        <w:tc>
          <w:tcPr>
            <w:tcW w:w="561" w:type="dxa"/>
          </w:tcPr>
          <w:p w14:paraId="24E350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46</w:t>
            </w:r>
          </w:p>
        </w:tc>
        <w:tc>
          <w:tcPr>
            <w:tcW w:w="748" w:type="dxa"/>
          </w:tcPr>
          <w:p w14:paraId="3F938A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385</w:t>
            </w:r>
          </w:p>
        </w:tc>
        <w:tc>
          <w:tcPr>
            <w:tcW w:w="1029" w:type="dxa"/>
          </w:tcPr>
          <w:p w14:paraId="1A3807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474</w:t>
            </w:r>
          </w:p>
        </w:tc>
      </w:tr>
      <w:tr w:rsidR="00643896" w:rsidRPr="00640820" w14:paraId="252F7C13" w14:textId="77777777" w:rsidTr="000D3BCB">
        <w:tc>
          <w:tcPr>
            <w:tcW w:w="936" w:type="dxa"/>
          </w:tcPr>
          <w:p w14:paraId="0AC9ED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ЯК-1</w:t>
            </w:r>
          </w:p>
        </w:tc>
        <w:tc>
          <w:tcPr>
            <w:tcW w:w="936" w:type="dxa"/>
          </w:tcPr>
          <w:p w14:paraId="7FAF78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292</w:t>
            </w:r>
          </w:p>
        </w:tc>
        <w:tc>
          <w:tcPr>
            <w:tcW w:w="842" w:type="dxa"/>
          </w:tcPr>
          <w:p w14:paraId="09B1E6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08E6F4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1F44C2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135</w:t>
            </w:r>
          </w:p>
        </w:tc>
        <w:tc>
          <w:tcPr>
            <w:tcW w:w="655" w:type="dxa"/>
          </w:tcPr>
          <w:p w14:paraId="2BF0F56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150</w:t>
            </w:r>
          </w:p>
        </w:tc>
        <w:tc>
          <w:tcPr>
            <w:tcW w:w="655" w:type="dxa"/>
          </w:tcPr>
          <w:p w14:paraId="56044C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168</w:t>
            </w:r>
          </w:p>
        </w:tc>
        <w:tc>
          <w:tcPr>
            <w:tcW w:w="655" w:type="dxa"/>
          </w:tcPr>
          <w:p w14:paraId="7DE7BA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453</w:t>
            </w:r>
          </w:p>
        </w:tc>
        <w:tc>
          <w:tcPr>
            <w:tcW w:w="655" w:type="dxa"/>
          </w:tcPr>
          <w:p w14:paraId="3DEFE6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185</w:t>
            </w:r>
          </w:p>
        </w:tc>
        <w:tc>
          <w:tcPr>
            <w:tcW w:w="655" w:type="dxa"/>
          </w:tcPr>
          <w:p w14:paraId="376948C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104</w:t>
            </w:r>
          </w:p>
        </w:tc>
        <w:tc>
          <w:tcPr>
            <w:tcW w:w="561" w:type="dxa"/>
          </w:tcPr>
          <w:p w14:paraId="5D1919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152</w:t>
            </w:r>
          </w:p>
        </w:tc>
        <w:tc>
          <w:tcPr>
            <w:tcW w:w="561" w:type="dxa"/>
          </w:tcPr>
          <w:p w14:paraId="26E250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441</w:t>
            </w:r>
          </w:p>
        </w:tc>
        <w:tc>
          <w:tcPr>
            <w:tcW w:w="748" w:type="dxa"/>
          </w:tcPr>
          <w:p w14:paraId="53485C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894</w:t>
            </w:r>
          </w:p>
        </w:tc>
        <w:tc>
          <w:tcPr>
            <w:tcW w:w="1029" w:type="dxa"/>
          </w:tcPr>
          <w:p w14:paraId="1A14A5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1212</w:t>
            </w:r>
          </w:p>
        </w:tc>
      </w:tr>
      <w:tr w:rsidR="00643896" w:rsidRPr="00640820" w14:paraId="7E8E5D7C" w14:textId="77777777" w:rsidTr="000D3BCB">
        <w:tc>
          <w:tcPr>
            <w:tcW w:w="936" w:type="dxa"/>
          </w:tcPr>
          <w:p w14:paraId="29B7B7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ЯК-1</w:t>
            </w:r>
          </w:p>
        </w:tc>
        <w:tc>
          <w:tcPr>
            <w:tcW w:w="936" w:type="dxa"/>
          </w:tcPr>
          <w:p w14:paraId="07F81DE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301</w:t>
            </w:r>
          </w:p>
        </w:tc>
        <w:tc>
          <w:tcPr>
            <w:tcW w:w="842" w:type="dxa"/>
          </w:tcPr>
          <w:p w14:paraId="549F653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01FA70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7FBFAA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76F06A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003090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w:t>
            </w:r>
          </w:p>
        </w:tc>
        <w:tc>
          <w:tcPr>
            <w:tcW w:w="655" w:type="dxa"/>
          </w:tcPr>
          <w:p w14:paraId="6215E7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w:t>
            </w:r>
          </w:p>
        </w:tc>
        <w:tc>
          <w:tcPr>
            <w:tcW w:w="655" w:type="dxa"/>
          </w:tcPr>
          <w:p w14:paraId="7D4EC0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w:t>
            </w:r>
          </w:p>
        </w:tc>
        <w:tc>
          <w:tcPr>
            <w:tcW w:w="655" w:type="dxa"/>
          </w:tcPr>
          <w:p w14:paraId="5144C5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1" w:type="dxa"/>
          </w:tcPr>
          <w:p w14:paraId="5660BF3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1" w:type="dxa"/>
          </w:tcPr>
          <w:p w14:paraId="589559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w:t>
            </w:r>
          </w:p>
        </w:tc>
        <w:tc>
          <w:tcPr>
            <w:tcW w:w="748" w:type="dxa"/>
          </w:tcPr>
          <w:p w14:paraId="74A5FA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52</w:t>
            </w:r>
          </w:p>
        </w:tc>
        <w:tc>
          <w:tcPr>
            <w:tcW w:w="1029" w:type="dxa"/>
          </w:tcPr>
          <w:p w14:paraId="1E996A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121</w:t>
            </w:r>
          </w:p>
        </w:tc>
      </w:tr>
      <w:tr w:rsidR="00643896" w:rsidRPr="00640820" w14:paraId="20E49BAB" w14:textId="77777777" w:rsidTr="000D3BCB">
        <w:tc>
          <w:tcPr>
            <w:tcW w:w="936" w:type="dxa"/>
          </w:tcPr>
          <w:p w14:paraId="36A553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И-16</w:t>
            </w:r>
          </w:p>
        </w:tc>
        <w:tc>
          <w:tcPr>
            <w:tcW w:w="936" w:type="dxa"/>
          </w:tcPr>
          <w:p w14:paraId="7F7CC1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153</w:t>
            </w:r>
          </w:p>
        </w:tc>
        <w:tc>
          <w:tcPr>
            <w:tcW w:w="842" w:type="dxa"/>
          </w:tcPr>
          <w:p w14:paraId="702492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461D79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73C664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1D10B3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24B7F6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4072F5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154C6C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2FF6B83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1" w:type="dxa"/>
          </w:tcPr>
          <w:p w14:paraId="2705AA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1" w:type="dxa"/>
          </w:tcPr>
          <w:p w14:paraId="1F7993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162D57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029" w:type="dxa"/>
          </w:tcPr>
          <w:p w14:paraId="647CC0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w:t>
            </w:r>
          </w:p>
        </w:tc>
      </w:tr>
      <w:tr w:rsidR="00643896" w:rsidRPr="00640820" w14:paraId="70A30AD1" w14:textId="77777777" w:rsidTr="000D3BCB">
        <w:tc>
          <w:tcPr>
            <w:tcW w:w="936" w:type="dxa"/>
          </w:tcPr>
          <w:p w14:paraId="7D34C0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ЛАГГ-3</w:t>
            </w:r>
          </w:p>
        </w:tc>
        <w:tc>
          <w:tcPr>
            <w:tcW w:w="936" w:type="dxa"/>
          </w:tcPr>
          <w:p w14:paraId="6BC985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153</w:t>
            </w:r>
          </w:p>
        </w:tc>
        <w:tc>
          <w:tcPr>
            <w:tcW w:w="842" w:type="dxa"/>
          </w:tcPr>
          <w:p w14:paraId="2D1936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3B4AD1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405192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c>
          <w:tcPr>
            <w:tcW w:w="655" w:type="dxa"/>
          </w:tcPr>
          <w:p w14:paraId="1471DA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w:t>
            </w:r>
          </w:p>
        </w:tc>
        <w:tc>
          <w:tcPr>
            <w:tcW w:w="655" w:type="dxa"/>
          </w:tcPr>
          <w:p w14:paraId="6ED4DE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w:t>
            </w:r>
          </w:p>
        </w:tc>
        <w:tc>
          <w:tcPr>
            <w:tcW w:w="655" w:type="dxa"/>
          </w:tcPr>
          <w:p w14:paraId="776459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51</w:t>
            </w:r>
          </w:p>
        </w:tc>
        <w:tc>
          <w:tcPr>
            <w:tcW w:w="655" w:type="dxa"/>
          </w:tcPr>
          <w:p w14:paraId="5FCC4B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63</w:t>
            </w:r>
          </w:p>
        </w:tc>
        <w:tc>
          <w:tcPr>
            <w:tcW w:w="655" w:type="dxa"/>
          </w:tcPr>
          <w:p w14:paraId="3B6A90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54</w:t>
            </w:r>
          </w:p>
        </w:tc>
        <w:tc>
          <w:tcPr>
            <w:tcW w:w="561" w:type="dxa"/>
          </w:tcPr>
          <w:p w14:paraId="0226CC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97</w:t>
            </w:r>
          </w:p>
        </w:tc>
        <w:tc>
          <w:tcPr>
            <w:tcW w:w="561" w:type="dxa"/>
          </w:tcPr>
          <w:p w14:paraId="258108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214</w:t>
            </w:r>
          </w:p>
        </w:tc>
        <w:tc>
          <w:tcPr>
            <w:tcW w:w="748" w:type="dxa"/>
          </w:tcPr>
          <w:p w14:paraId="622CE5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265</w:t>
            </w:r>
          </w:p>
        </w:tc>
        <w:tc>
          <w:tcPr>
            <w:tcW w:w="1029" w:type="dxa"/>
          </w:tcPr>
          <w:p w14:paraId="6F7182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265</w:t>
            </w:r>
          </w:p>
        </w:tc>
      </w:tr>
      <w:tr w:rsidR="00643896" w:rsidRPr="00640820" w14:paraId="58FA30AA" w14:textId="77777777" w:rsidTr="000D3BCB">
        <w:tc>
          <w:tcPr>
            <w:tcW w:w="936" w:type="dxa"/>
          </w:tcPr>
          <w:p w14:paraId="39E2D6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ПЕ-3</w:t>
            </w:r>
          </w:p>
        </w:tc>
        <w:tc>
          <w:tcPr>
            <w:tcW w:w="936" w:type="dxa"/>
          </w:tcPr>
          <w:p w14:paraId="4E4A1AF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w:t>
            </w:r>
          </w:p>
        </w:tc>
        <w:tc>
          <w:tcPr>
            <w:tcW w:w="842" w:type="dxa"/>
          </w:tcPr>
          <w:p w14:paraId="0BF8AA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5DC321D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21F60EB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779F8BF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w:t>
            </w:r>
          </w:p>
        </w:tc>
        <w:tc>
          <w:tcPr>
            <w:tcW w:w="655" w:type="dxa"/>
          </w:tcPr>
          <w:p w14:paraId="3EC9B53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98</w:t>
            </w:r>
          </w:p>
        </w:tc>
        <w:tc>
          <w:tcPr>
            <w:tcW w:w="655" w:type="dxa"/>
          </w:tcPr>
          <w:p w14:paraId="5B39A5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114</w:t>
            </w:r>
          </w:p>
        </w:tc>
        <w:tc>
          <w:tcPr>
            <w:tcW w:w="655" w:type="dxa"/>
          </w:tcPr>
          <w:p w14:paraId="4D9D19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82</w:t>
            </w:r>
          </w:p>
        </w:tc>
        <w:tc>
          <w:tcPr>
            <w:tcW w:w="655" w:type="dxa"/>
          </w:tcPr>
          <w:p w14:paraId="1EF78E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1" w:type="dxa"/>
          </w:tcPr>
          <w:p w14:paraId="1A137D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1" w:type="dxa"/>
          </w:tcPr>
          <w:p w14:paraId="78CEBD3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82</w:t>
            </w:r>
          </w:p>
        </w:tc>
        <w:tc>
          <w:tcPr>
            <w:tcW w:w="748" w:type="dxa"/>
          </w:tcPr>
          <w:p w14:paraId="2E3E2F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196</w:t>
            </w:r>
          </w:p>
        </w:tc>
        <w:tc>
          <w:tcPr>
            <w:tcW w:w="1029" w:type="dxa"/>
          </w:tcPr>
          <w:p w14:paraId="229F6BE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(196) (отнесено к бомб.)</w:t>
            </w:r>
          </w:p>
        </w:tc>
      </w:tr>
      <w:tr w:rsidR="00643896" w:rsidRPr="00640820" w14:paraId="21E65800" w14:textId="77777777" w:rsidTr="000D3BCB">
        <w:tc>
          <w:tcPr>
            <w:tcW w:w="936" w:type="dxa"/>
          </w:tcPr>
          <w:p w14:paraId="1129BDC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И-21</w:t>
            </w:r>
          </w:p>
        </w:tc>
        <w:tc>
          <w:tcPr>
            <w:tcW w:w="936" w:type="dxa"/>
          </w:tcPr>
          <w:p w14:paraId="096160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w:t>
            </w:r>
          </w:p>
        </w:tc>
        <w:tc>
          <w:tcPr>
            <w:tcW w:w="842" w:type="dxa"/>
          </w:tcPr>
          <w:p w14:paraId="77B9D1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2EA825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03BDEE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2885C2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2E8AB9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655" w:type="dxa"/>
          </w:tcPr>
          <w:p w14:paraId="1B0B60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655" w:type="dxa"/>
          </w:tcPr>
          <w:p w14:paraId="1E7C8A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2ACCE71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1" w:type="dxa"/>
          </w:tcPr>
          <w:p w14:paraId="11CB21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1" w:type="dxa"/>
          </w:tcPr>
          <w:p w14:paraId="38CDF6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5078D3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1029" w:type="dxa"/>
          </w:tcPr>
          <w:p w14:paraId="4650B9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r>
      <w:tr w:rsidR="00643896" w:rsidRPr="00640820" w14:paraId="4DDEFE0D" w14:textId="77777777" w:rsidTr="000D3BCB">
        <w:tc>
          <w:tcPr>
            <w:tcW w:w="936" w:type="dxa"/>
          </w:tcPr>
          <w:p w14:paraId="1CCAC3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ЯК-1</w:t>
            </w:r>
          </w:p>
        </w:tc>
        <w:tc>
          <w:tcPr>
            <w:tcW w:w="936" w:type="dxa"/>
          </w:tcPr>
          <w:p w14:paraId="29C76E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153</w:t>
            </w:r>
          </w:p>
        </w:tc>
        <w:tc>
          <w:tcPr>
            <w:tcW w:w="842" w:type="dxa"/>
          </w:tcPr>
          <w:p w14:paraId="62F8B0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7989B6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3339CE3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4BA93D8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36AAD9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53616C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5B8948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3CAD15C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1" w:type="dxa"/>
          </w:tcPr>
          <w:p w14:paraId="57286C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w:t>
            </w:r>
          </w:p>
        </w:tc>
        <w:tc>
          <w:tcPr>
            <w:tcW w:w="561" w:type="dxa"/>
          </w:tcPr>
          <w:p w14:paraId="44E586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w:t>
            </w:r>
          </w:p>
        </w:tc>
        <w:tc>
          <w:tcPr>
            <w:tcW w:w="748" w:type="dxa"/>
          </w:tcPr>
          <w:p w14:paraId="345633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w:t>
            </w:r>
          </w:p>
        </w:tc>
        <w:tc>
          <w:tcPr>
            <w:tcW w:w="1029" w:type="dxa"/>
          </w:tcPr>
          <w:p w14:paraId="6A0E9E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w:t>
            </w:r>
          </w:p>
        </w:tc>
      </w:tr>
      <w:tr w:rsidR="00643896" w:rsidRPr="00640820" w14:paraId="41C3653B" w14:textId="77777777" w:rsidTr="000D3BCB">
        <w:tc>
          <w:tcPr>
            <w:tcW w:w="936" w:type="dxa"/>
            <w:gridSpan w:val="2"/>
          </w:tcPr>
          <w:p w14:paraId="7EC51A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Итого истребителей</w:t>
            </w:r>
          </w:p>
        </w:tc>
        <w:tc>
          <w:tcPr>
            <w:tcW w:w="842" w:type="dxa"/>
          </w:tcPr>
          <w:p w14:paraId="6A96A2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2FDC48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887</w:t>
            </w:r>
          </w:p>
        </w:tc>
        <w:tc>
          <w:tcPr>
            <w:tcW w:w="655" w:type="dxa"/>
          </w:tcPr>
          <w:p w14:paraId="30D04DE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1118</w:t>
            </w:r>
          </w:p>
        </w:tc>
        <w:tc>
          <w:tcPr>
            <w:tcW w:w="655" w:type="dxa"/>
          </w:tcPr>
          <w:p w14:paraId="4249936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1229</w:t>
            </w:r>
          </w:p>
        </w:tc>
        <w:tc>
          <w:tcPr>
            <w:tcW w:w="655" w:type="dxa"/>
          </w:tcPr>
          <w:p w14:paraId="1BA798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3234</w:t>
            </w:r>
          </w:p>
        </w:tc>
        <w:tc>
          <w:tcPr>
            <w:tcW w:w="655" w:type="dxa"/>
          </w:tcPr>
          <w:p w14:paraId="078E68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878</w:t>
            </w:r>
          </w:p>
        </w:tc>
        <w:tc>
          <w:tcPr>
            <w:tcW w:w="655" w:type="dxa"/>
          </w:tcPr>
          <w:p w14:paraId="7D52BD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394</w:t>
            </w:r>
          </w:p>
        </w:tc>
        <w:tc>
          <w:tcPr>
            <w:tcW w:w="561" w:type="dxa"/>
          </w:tcPr>
          <w:p w14:paraId="6A2C17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521</w:t>
            </w:r>
          </w:p>
        </w:tc>
        <w:tc>
          <w:tcPr>
            <w:tcW w:w="561" w:type="dxa"/>
          </w:tcPr>
          <w:p w14:paraId="38908F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1793</w:t>
            </w:r>
          </w:p>
        </w:tc>
        <w:tc>
          <w:tcPr>
            <w:tcW w:w="748" w:type="dxa"/>
          </w:tcPr>
          <w:p w14:paraId="1CDC52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5027</w:t>
            </w:r>
          </w:p>
        </w:tc>
        <w:tc>
          <w:tcPr>
            <w:tcW w:w="1029" w:type="dxa"/>
          </w:tcPr>
          <w:p w14:paraId="4B52C7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7277 (7081)</w:t>
            </w:r>
          </w:p>
        </w:tc>
      </w:tr>
      <w:tr w:rsidR="00643896" w:rsidRPr="00640820" w14:paraId="1544932C" w14:textId="77777777" w:rsidTr="000D3BCB">
        <w:tc>
          <w:tcPr>
            <w:tcW w:w="936" w:type="dxa"/>
            <w:gridSpan w:val="2"/>
          </w:tcPr>
          <w:p w14:paraId="000F6E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Бомбардировщики</w:t>
            </w:r>
          </w:p>
        </w:tc>
        <w:tc>
          <w:tcPr>
            <w:tcW w:w="842" w:type="dxa"/>
          </w:tcPr>
          <w:p w14:paraId="6B0B94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363F66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393DA5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0D0405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6E6560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42396F3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306C39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561" w:type="dxa"/>
          </w:tcPr>
          <w:p w14:paraId="42E1A1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561" w:type="dxa"/>
          </w:tcPr>
          <w:p w14:paraId="64F675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5E169BE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29" w:type="dxa"/>
          </w:tcPr>
          <w:p w14:paraId="2466C2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51E6EFE" w14:textId="77777777" w:rsidTr="000D3BCB">
        <w:tc>
          <w:tcPr>
            <w:tcW w:w="936" w:type="dxa"/>
          </w:tcPr>
          <w:p w14:paraId="02CEB0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ПЕ-2</w:t>
            </w:r>
          </w:p>
        </w:tc>
        <w:tc>
          <w:tcPr>
            <w:tcW w:w="936" w:type="dxa"/>
          </w:tcPr>
          <w:p w14:paraId="4E61ED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w:t>
            </w:r>
          </w:p>
        </w:tc>
        <w:tc>
          <w:tcPr>
            <w:tcW w:w="842" w:type="dxa"/>
          </w:tcPr>
          <w:p w14:paraId="1DDCAF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36561A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204171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183</w:t>
            </w:r>
          </w:p>
        </w:tc>
        <w:tc>
          <w:tcPr>
            <w:tcW w:w="655" w:type="dxa"/>
          </w:tcPr>
          <w:p w14:paraId="09A110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201</w:t>
            </w:r>
          </w:p>
        </w:tc>
        <w:tc>
          <w:tcPr>
            <w:tcW w:w="655" w:type="dxa"/>
          </w:tcPr>
          <w:p w14:paraId="030C00A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233</w:t>
            </w:r>
          </w:p>
        </w:tc>
        <w:tc>
          <w:tcPr>
            <w:tcW w:w="655" w:type="dxa"/>
          </w:tcPr>
          <w:p w14:paraId="7E80A5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617</w:t>
            </w:r>
          </w:p>
        </w:tc>
        <w:tc>
          <w:tcPr>
            <w:tcW w:w="655" w:type="dxa"/>
          </w:tcPr>
          <w:p w14:paraId="28490D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138</w:t>
            </w:r>
          </w:p>
        </w:tc>
        <w:tc>
          <w:tcPr>
            <w:tcW w:w="655" w:type="dxa"/>
          </w:tcPr>
          <w:p w14:paraId="15927C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tc>
        <w:tc>
          <w:tcPr>
            <w:tcW w:w="561" w:type="dxa"/>
          </w:tcPr>
          <w:p w14:paraId="2FB890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37</w:t>
            </w:r>
          </w:p>
        </w:tc>
        <w:tc>
          <w:tcPr>
            <w:tcW w:w="561" w:type="dxa"/>
          </w:tcPr>
          <w:p w14:paraId="56927D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184</w:t>
            </w:r>
          </w:p>
        </w:tc>
        <w:tc>
          <w:tcPr>
            <w:tcW w:w="748" w:type="dxa"/>
          </w:tcPr>
          <w:p w14:paraId="4CEC77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801</w:t>
            </w:r>
          </w:p>
        </w:tc>
        <w:tc>
          <w:tcPr>
            <w:tcW w:w="1029" w:type="dxa"/>
          </w:tcPr>
          <w:p w14:paraId="26B8A8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1120</w:t>
            </w:r>
          </w:p>
        </w:tc>
      </w:tr>
      <w:tr w:rsidR="00643896" w:rsidRPr="00640820" w14:paraId="1CCD1155" w14:textId="77777777" w:rsidTr="000D3BCB">
        <w:tc>
          <w:tcPr>
            <w:tcW w:w="936" w:type="dxa"/>
          </w:tcPr>
          <w:p w14:paraId="4B94BC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АР-2</w:t>
            </w:r>
          </w:p>
        </w:tc>
        <w:tc>
          <w:tcPr>
            <w:tcW w:w="936" w:type="dxa"/>
          </w:tcPr>
          <w:p w14:paraId="241F86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w:t>
            </w:r>
          </w:p>
        </w:tc>
        <w:tc>
          <w:tcPr>
            <w:tcW w:w="842" w:type="dxa"/>
          </w:tcPr>
          <w:p w14:paraId="688A84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24F804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59DF89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655" w:type="dxa"/>
          </w:tcPr>
          <w:p w14:paraId="6FBBE5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166CB2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630809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655" w:type="dxa"/>
          </w:tcPr>
          <w:p w14:paraId="464E29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3F9CFD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1" w:type="dxa"/>
          </w:tcPr>
          <w:p w14:paraId="04ADA5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1" w:type="dxa"/>
          </w:tcPr>
          <w:p w14:paraId="14A19A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16BC4A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1029" w:type="dxa"/>
          </w:tcPr>
          <w:p w14:paraId="5095C5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127</w:t>
            </w:r>
          </w:p>
        </w:tc>
      </w:tr>
      <w:tr w:rsidR="00643896" w:rsidRPr="00640820" w14:paraId="2D65599E" w14:textId="77777777" w:rsidTr="000D3BCB">
        <w:tc>
          <w:tcPr>
            <w:tcW w:w="936" w:type="dxa"/>
          </w:tcPr>
          <w:p w14:paraId="021EA6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СБ</w:t>
            </w:r>
          </w:p>
        </w:tc>
        <w:tc>
          <w:tcPr>
            <w:tcW w:w="936" w:type="dxa"/>
          </w:tcPr>
          <w:p w14:paraId="6CD4EEB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w:t>
            </w:r>
          </w:p>
        </w:tc>
        <w:tc>
          <w:tcPr>
            <w:tcW w:w="842" w:type="dxa"/>
          </w:tcPr>
          <w:p w14:paraId="3FD743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404AD4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11D672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c>
          <w:tcPr>
            <w:tcW w:w="655" w:type="dxa"/>
          </w:tcPr>
          <w:p w14:paraId="6AE3C3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3EDC96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2F7ECC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c>
          <w:tcPr>
            <w:tcW w:w="655" w:type="dxa"/>
          </w:tcPr>
          <w:p w14:paraId="2E6DDF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482348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1" w:type="dxa"/>
          </w:tcPr>
          <w:p w14:paraId="0CA7EA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1" w:type="dxa"/>
          </w:tcPr>
          <w:p w14:paraId="20D30F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5BFC7D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c>
          <w:tcPr>
            <w:tcW w:w="1029" w:type="dxa"/>
          </w:tcPr>
          <w:p w14:paraId="0067E9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69</w:t>
            </w:r>
          </w:p>
        </w:tc>
      </w:tr>
      <w:tr w:rsidR="00643896" w:rsidRPr="00640820" w14:paraId="76893F58" w14:textId="77777777" w:rsidTr="000D3BCB">
        <w:tc>
          <w:tcPr>
            <w:tcW w:w="936" w:type="dxa"/>
          </w:tcPr>
          <w:p w14:paraId="242BC2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ПЕ-2</w:t>
            </w:r>
          </w:p>
        </w:tc>
        <w:tc>
          <w:tcPr>
            <w:tcW w:w="936" w:type="dxa"/>
          </w:tcPr>
          <w:p w14:paraId="3DD01CB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w:t>
            </w:r>
          </w:p>
        </w:tc>
        <w:tc>
          <w:tcPr>
            <w:tcW w:w="842" w:type="dxa"/>
          </w:tcPr>
          <w:p w14:paraId="73EA1E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77A2D6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3CFA67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73</w:t>
            </w:r>
          </w:p>
        </w:tc>
        <w:tc>
          <w:tcPr>
            <w:tcW w:w="655" w:type="dxa"/>
          </w:tcPr>
          <w:p w14:paraId="6D6144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63</w:t>
            </w:r>
          </w:p>
        </w:tc>
        <w:tc>
          <w:tcPr>
            <w:tcW w:w="655" w:type="dxa"/>
          </w:tcPr>
          <w:p w14:paraId="4790F2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1EC63B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136</w:t>
            </w:r>
          </w:p>
        </w:tc>
        <w:tc>
          <w:tcPr>
            <w:tcW w:w="655" w:type="dxa"/>
          </w:tcPr>
          <w:p w14:paraId="35E7B5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152B57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1" w:type="dxa"/>
          </w:tcPr>
          <w:p w14:paraId="3ABF2B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1" w:type="dxa"/>
          </w:tcPr>
          <w:p w14:paraId="52EE4A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1A9D82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136</w:t>
            </w:r>
          </w:p>
        </w:tc>
        <w:tc>
          <w:tcPr>
            <w:tcW w:w="1029" w:type="dxa"/>
          </w:tcPr>
          <w:p w14:paraId="279E14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303</w:t>
            </w:r>
          </w:p>
        </w:tc>
      </w:tr>
      <w:tr w:rsidR="00643896" w:rsidRPr="00640820" w14:paraId="0430BBAB" w14:textId="77777777" w:rsidTr="000D3BCB">
        <w:tc>
          <w:tcPr>
            <w:tcW w:w="936" w:type="dxa"/>
          </w:tcPr>
          <w:p w14:paraId="0A5006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ДБ-Зф</w:t>
            </w:r>
          </w:p>
        </w:tc>
        <w:tc>
          <w:tcPr>
            <w:tcW w:w="936" w:type="dxa"/>
          </w:tcPr>
          <w:p w14:paraId="3B0DE6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w:t>
            </w:r>
          </w:p>
        </w:tc>
        <w:tc>
          <w:tcPr>
            <w:tcW w:w="842" w:type="dxa"/>
          </w:tcPr>
          <w:p w14:paraId="1F62D1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2CFC82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6E2646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655" w:type="dxa"/>
          </w:tcPr>
          <w:p w14:paraId="4D65E8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5989CF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16FBC5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53CBA4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4679A5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1" w:type="dxa"/>
          </w:tcPr>
          <w:p w14:paraId="43CAC2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1" w:type="dxa"/>
          </w:tcPr>
          <w:p w14:paraId="549B16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5CA9DB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1029" w:type="dxa"/>
          </w:tcPr>
          <w:p w14:paraId="7B4AEB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44</w:t>
            </w:r>
          </w:p>
        </w:tc>
      </w:tr>
      <w:tr w:rsidR="00643896" w:rsidRPr="00640820" w14:paraId="2CCFA1BD" w14:textId="77777777" w:rsidTr="000D3BCB">
        <w:tc>
          <w:tcPr>
            <w:tcW w:w="936" w:type="dxa"/>
          </w:tcPr>
          <w:p w14:paraId="5C9C3D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СУ-2</w:t>
            </w:r>
          </w:p>
        </w:tc>
        <w:tc>
          <w:tcPr>
            <w:tcW w:w="936" w:type="dxa"/>
          </w:tcPr>
          <w:p w14:paraId="70F042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135</w:t>
            </w:r>
          </w:p>
        </w:tc>
        <w:tc>
          <w:tcPr>
            <w:tcW w:w="842" w:type="dxa"/>
          </w:tcPr>
          <w:p w14:paraId="4C22AB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6917C2E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4F9BE7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94</w:t>
            </w:r>
          </w:p>
        </w:tc>
        <w:tc>
          <w:tcPr>
            <w:tcW w:w="655" w:type="dxa"/>
          </w:tcPr>
          <w:p w14:paraId="2B089C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117</w:t>
            </w:r>
          </w:p>
        </w:tc>
        <w:tc>
          <w:tcPr>
            <w:tcW w:w="655" w:type="dxa"/>
          </w:tcPr>
          <w:p w14:paraId="04781EE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87</w:t>
            </w:r>
          </w:p>
        </w:tc>
        <w:tc>
          <w:tcPr>
            <w:tcW w:w="655" w:type="dxa"/>
          </w:tcPr>
          <w:p w14:paraId="0F45C38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298</w:t>
            </w:r>
          </w:p>
        </w:tc>
        <w:tc>
          <w:tcPr>
            <w:tcW w:w="655" w:type="dxa"/>
          </w:tcPr>
          <w:p w14:paraId="026BF7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c>
          <w:tcPr>
            <w:tcW w:w="655" w:type="dxa"/>
          </w:tcPr>
          <w:p w14:paraId="02FB21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1" w:type="dxa"/>
          </w:tcPr>
          <w:p w14:paraId="7735DF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w:t>
            </w:r>
          </w:p>
        </w:tc>
        <w:tc>
          <w:tcPr>
            <w:tcW w:w="561" w:type="dxa"/>
          </w:tcPr>
          <w:p w14:paraId="68BCA1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w:t>
            </w:r>
          </w:p>
        </w:tc>
        <w:tc>
          <w:tcPr>
            <w:tcW w:w="748" w:type="dxa"/>
          </w:tcPr>
          <w:p w14:paraId="2793A6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320</w:t>
            </w:r>
          </w:p>
        </w:tc>
        <w:tc>
          <w:tcPr>
            <w:tcW w:w="1029" w:type="dxa"/>
          </w:tcPr>
          <w:p w14:paraId="666ADD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636</w:t>
            </w:r>
          </w:p>
        </w:tc>
      </w:tr>
      <w:tr w:rsidR="00643896" w:rsidRPr="00640820" w14:paraId="788A8703" w14:textId="77777777" w:rsidTr="000D3BCB">
        <w:tc>
          <w:tcPr>
            <w:tcW w:w="936" w:type="dxa"/>
          </w:tcPr>
          <w:p w14:paraId="347C99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СУ-2</w:t>
            </w:r>
          </w:p>
        </w:tc>
        <w:tc>
          <w:tcPr>
            <w:tcW w:w="936" w:type="dxa"/>
          </w:tcPr>
          <w:p w14:paraId="2B20E0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207</w:t>
            </w:r>
          </w:p>
        </w:tc>
        <w:tc>
          <w:tcPr>
            <w:tcW w:w="842" w:type="dxa"/>
          </w:tcPr>
          <w:p w14:paraId="274FDB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3DA270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1BBBAD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w:t>
            </w:r>
          </w:p>
        </w:tc>
        <w:tc>
          <w:tcPr>
            <w:tcW w:w="655" w:type="dxa"/>
          </w:tcPr>
          <w:p w14:paraId="09F5BB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655" w:type="dxa"/>
          </w:tcPr>
          <w:p w14:paraId="331D35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w:t>
            </w:r>
          </w:p>
        </w:tc>
        <w:tc>
          <w:tcPr>
            <w:tcW w:w="655" w:type="dxa"/>
          </w:tcPr>
          <w:p w14:paraId="028D0E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w:t>
            </w:r>
          </w:p>
        </w:tc>
        <w:tc>
          <w:tcPr>
            <w:tcW w:w="655" w:type="dxa"/>
          </w:tcPr>
          <w:p w14:paraId="7863F69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2DF78F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1" w:type="dxa"/>
          </w:tcPr>
          <w:p w14:paraId="0D570B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1" w:type="dxa"/>
          </w:tcPr>
          <w:p w14:paraId="5F4F853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w:t>
            </w:r>
          </w:p>
        </w:tc>
        <w:tc>
          <w:tcPr>
            <w:tcW w:w="748" w:type="dxa"/>
          </w:tcPr>
          <w:p w14:paraId="08B5FE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47</w:t>
            </w:r>
          </w:p>
        </w:tc>
        <w:tc>
          <w:tcPr>
            <w:tcW w:w="1029" w:type="dxa"/>
          </w:tcPr>
          <w:p w14:paraId="48EE49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89</w:t>
            </w:r>
          </w:p>
        </w:tc>
      </w:tr>
      <w:tr w:rsidR="00643896" w:rsidRPr="00640820" w14:paraId="64881D1F" w14:textId="77777777" w:rsidTr="000D3BCB">
        <w:tc>
          <w:tcPr>
            <w:tcW w:w="936" w:type="dxa"/>
          </w:tcPr>
          <w:p w14:paraId="756A77C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ЯК-4</w:t>
            </w:r>
          </w:p>
        </w:tc>
        <w:tc>
          <w:tcPr>
            <w:tcW w:w="936" w:type="dxa"/>
          </w:tcPr>
          <w:p w14:paraId="1081C0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81</w:t>
            </w:r>
          </w:p>
        </w:tc>
        <w:tc>
          <w:tcPr>
            <w:tcW w:w="842" w:type="dxa"/>
          </w:tcPr>
          <w:p w14:paraId="5CB618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50D0E9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7992CF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103787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3D60D7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47382D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512921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31F0B6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1" w:type="dxa"/>
          </w:tcPr>
          <w:p w14:paraId="7AA3EE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1" w:type="dxa"/>
          </w:tcPr>
          <w:p w14:paraId="7E0F5F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2EBECD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029" w:type="dxa"/>
          </w:tcPr>
          <w:p w14:paraId="68DC3F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63 \495\ </w:t>
            </w:r>
          </w:p>
        </w:tc>
      </w:tr>
      <w:tr w:rsidR="00643896" w:rsidRPr="00640820" w14:paraId="5D198BAC" w14:textId="77777777" w:rsidTr="000D3BCB">
        <w:tc>
          <w:tcPr>
            <w:tcW w:w="936" w:type="dxa"/>
          </w:tcPr>
          <w:p w14:paraId="54D207F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ДБ-Зф</w:t>
            </w:r>
          </w:p>
        </w:tc>
        <w:tc>
          <w:tcPr>
            <w:tcW w:w="936" w:type="dxa"/>
          </w:tcPr>
          <w:p w14:paraId="1887DF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w:t>
            </w:r>
          </w:p>
        </w:tc>
        <w:tc>
          <w:tcPr>
            <w:tcW w:w="842" w:type="dxa"/>
          </w:tcPr>
          <w:p w14:paraId="2F9147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737113B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540DB3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655" w:type="dxa"/>
          </w:tcPr>
          <w:p w14:paraId="2CA007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124652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2ED1ED9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655" w:type="dxa"/>
          </w:tcPr>
          <w:p w14:paraId="469451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655" w:type="dxa"/>
          </w:tcPr>
          <w:p w14:paraId="4302F7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1" w:type="dxa"/>
          </w:tcPr>
          <w:p w14:paraId="63E8DC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1" w:type="dxa"/>
          </w:tcPr>
          <w:p w14:paraId="775BEAA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748" w:type="dxa"/>
          </w:tcPr>
          <w:p w14:paraId="1C44F7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1029" w:type="dxa"/>
          </w:tcPr>
          <w:p w14:paraId="1CD61CB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328</w:t>
            </w:r>
          </w:p>
        </w:tc>
      </w:tr>
      <w:tr w:rsidR="00643896" w:rsidRPr="00640820" w14:paraId="7C62D99B" w14:textId="77777777" w:rsidTr="000D3BCB">
        <w:tc>
          <w:tcPr>
            <w:tcW w:w="936" w:type="dxa"/>
          </w:tcPr>
          <w:p w14:paraId="38103F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ЕР-2</w:t>
            </w:r>
          </w:p>
        </w:tc>
        <w:tc>
          <w:tcPr>
            <w:tcW w:w="936" w:type="dxa"/>
          </w:tcPr>
          <w:p w14:paraId="626E0C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w:t>
            </w:r>
          </w:p>
        </w:tc>
        <w:tc>
          <w:tcPr>
            <w:tcW w:w="842" w:type="dxa"/>
          </w:tcPr>
          <w:p w14:paraId="32E9F0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53BFA83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7AA564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w:t>
            </w:r>
          </w:p>
        </w:tc>
        <w:tc>
          <w:tcPr>
            <w:tcW w:w="655" w:type="dxa"/>
          </w:tcPr>
          <w:p w14:paraId="361156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52264A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220084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w:t>
            </w:r>
          </w:p>
        </w:tc>
        <w:tc>
          <w:tcPr>
            <w:tcW w:w="655" w:type="dxa"/>
          </w:tcPr>
          <w:p w14:paraId="08F513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3D088E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1" w:type="dxa"/>
          </w:tcPr>
          <w:p w14:paraId="0C50D1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1" w:type="dxa"/>
          </w:tcPr>
          <w:p w14:paraId="1383AF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3DDF01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w:t>
            </w:r>
          </w:p>
        </w:tc>
        <w:tc>
          <w:tcPr>
            <w:tcW w:w="1029" w:type="dxa"/>
          </w:tcPr>
          <w:p w14:paraId="2F58CA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71</w:t>
            </w:r>
          </w:p>
        </w:tc>
      </w:tr>
      <w:tr w:rsidR="00643896" w:rsidRPr="00640820" w14:paraId="16E657EF" w14:textId="77777777" w:rsidTr="000D3BCB">
        <w:tc>
          <w:tcPr>
            <w:tcW w:w="936" w:type="dxa"/>
          </w:tcPr>
          <w:p w14:paraId="7742FB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ДБ-Зф</w:t>
            </w:r>
          </w:p>
        </w:tc>
        <w:tc>
          <w:tcPr>
            <w:tcW w:w="936" w:type="dxa"/>
          </w:tcPr>
          <w:p w14:paraId="5FC8A8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126</w:t>
            </w:r>
          </w:p>
        </w:tc>
        <w:tc>
          <w:tcPr>
            <w:tcW w:w="842" w:type="dxa"/>
          </w:tcPr>
          <w:p w14:paraId="2FE83C1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7B55CF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261524A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64</w:t>
            </w:r>
          </w:p>
        </w:tc>
        <w:tc>
          <w:tcPr>
            <w:tcW w:w="655" w:type="dxa"/>
          </w:tcPr>
          <w:p w14:paraId="142B4D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67</w:t>
            </w:r>
          </w:p>
        </w:tc>
        <w:tc>
          <w:tcPr>
            <w:tcW w:w="655" w:type="dxa"/>
          </w:tcPr>
          <w:p w14:paraId="5C5150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64</w:t>
            </w:r>
          </w:p>
        </w:tc>
        <w:tc>
          <w:tcPr>
            <w:tcW w:w="655" w:type="dxa"/>
          </w:tcPr>
          <w:p w14:paraId="3694C0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195</w:t>
            </w:r>
          </w:p>
        </w:tc>
        <w:tc>
          <w:tcPr>
            <w:tcW w:w="655" w:type="dxa"/>
          </w:tcPr>
          <w:p w14:paraId="03A32E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54</w:t>
            </w:r>
          </w:p>
        </w:tc>
        <w:tc>
          <w:tcPr>
            <w:tcW w:w="655" w:type="dxa"/>
          </w:tcPr>
          <w:p w14:paraId="264687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1" w:type="dxa"/>
          </w:tcPr>
          <w:p w14:paraId="7AC7039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47</w:t>
            </w:r>
          </w:p>
        </w:tc>
        <w:tc>
          <w:tcPr>
            <w:tcW w:w="561" w:type="dxa"/>
          </w:tcPr>
          <w:p w14:paraId="3FE2B1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101</w:t>
            </w:r>
          </w:p>
        </w:tc>
        <w:tc>
          <w:tcPr>
            <w:tcW w:w="748" w:type="dxa"/>
          </w:tcPr>
          <w:p w14:paraId="76B1BB5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296</w:t>
            </w:r>
          </w:p>
        </w:tc>
        <w:tc>
          <w:tcPr>
            <w:tcW w:w="1029" w:type="dxa"/>
          </w:tcPr>
          <w:p w14:paraId="1B6BF0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360</w:t>
            </w:r>
          </w:p>
        </w:tc>
      </w:tr>
      <w:tr w:rsidR="00643896" w:rsidRPr="00640820" w14:paraId="55F04BD4" w14:textId="77777777" w:rsidTr="000D3BCB">
        <w:tc>
          <w:tcPr>
            <w:tcW w:w="936" w:type="dxa"/>
          </w:tcPr>
          <w:p w14:paraId="1DC81A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ДБ-3</w:t>
            </w:r>
          </w:p>
        </w:tc>
        <w:tc>
          <w:tcPr>
            <w:tcW w:w="936" w:type="dxa"/>
          </w:tcPr>
          <w:p w14:paraId="20AAC7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126</w:t>
            </w:r>
          </w:p>
        </w:tc>
        <w:tc>
          <w:tcPr>
            <w:tcW w:w="842" w:type="dxa"/>
          </w:tcPr>
          <w:p w14:paraId="52A316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55A0A2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0E97289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57FC7E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0C88DC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798899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087E12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67AB6A8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561" w:type="dxa"/>
          </w:tcPr>
          <w:p w14:paraId="36225E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561" w:type="dxa"/>
          </w:tcPr>
          <w:p w14:paraId="5F9A2EA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w:t>
            </w:r>
          </w:p>
        </w:tc>
        <w:tc>
          <w:tcPr>
            <w:tcW w:w="748" w:type="dxa"/>
          </w:tcPr>
          <w:p w14:paraId="38FC0E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w:t>
            </w:r>
          </w:p>
        </w:tc>
        <w:tc>
          <w:tcPr>
            <w:tcW w:w="1029" w:type="dxa"/>
          </w:tcPr>
          <w:p w14:paraId="38BA16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w:t>
            </w:r>
          </w:p>
        </w:tc>
      </w:tr>
      <w:tr w:rsidR="00643896" w:rsidRPr="00640820" w14:paraId="51C111FE" w14:textId="77777777" w:rsidTr="000D3BCB">
        <w:tc>
          <w:tcPr>
            <w:tcW w:w="936" w:type="dxa"/>
          </w:tcPr>
          <w:p w14:paraId="7E99DB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ТБ-7</w:t>
            </w:r>
          </w:p>
        </w:tc>
        <w:tc>
          <w:tcPr>
            <w:tcW w:w="936" w:type="dxa"/>
          </w:tcPr>
          <w:p w14:paraId="6F7F30A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124</w:t>
            </w:r>
          </w:p>
        </w:tc>
        <w:tc>
          <w:tcPr>
            <w:tcW w:w="842" w:type="dxa"/>
          </w:tcPr>
          <w:p w14:paraId="7D795C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33E002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33BBD0E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655" w:type="dxa"/>
          </w:tcPr>
          <w:p w14:paraId="474993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655" w:type="dxa"/>
          </w:tcPr>
          <w:p w14:paraId="6CB3D7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c>
          <w:tcPr>
            <w:tcW w:w="655" w:type="dxa"/>
          </w:tcPr>
          <w:p w14:paraId="4A5E25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w:t>
            </w:r>
          </w:p>
        </w:tc>
        <w:tc>
          <w:tcPr>
            <w:tcW w:w="655" w:type="dxa"/>
          </w:tcPr>
          <w:p w14:paraId="18D3A8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655" w:type="dxa"/>
          </w:tcPr>
          <w:p w14:paraId="0AEC8B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561" w:type="dxa"/>
          </w:tcPr>
          <w:p w14:paraId="2FB0C5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561" w:type="dxa"/>
          </w:tcPr>
          <w:p w14:paraId="2B96BA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748" w:type="dxa"/>
          </w:tcPr>
          <w:p w14:paraId="508E5C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w:t>
            </w:r>
          </w:p>
        </w:tc>
        <w:tc>
          <w:tcPr>
            <w:tcW w:w="1029" w:type="dxa"/>
          </w:tcPr>
          <w:p w14:paraId="007CE0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w:t>
            </w:r>
          </w:p>
        </w:tc>
      </w:tr>
      <w:tr w:rsidR="00643896" w:rsidRPr="00640820" w14:paraId="1440ECCB" w14:textId="77777777" w:rsidTr="000D3BCB">
        <w:tc>
          <w:tcPr>
            <w:tcW w:w="936" w:type="dxa"/>
          </w:tcPr>
          <w:p w14:paraId="76DC10E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СБ</w:t>
            </w:r>
          </w:p>
        </w:tc>
        <w:tc>
          <w:tcPr>
            <w:tcW w:w="936" w:type="dxa"/>
          </w:tcPr>
          <w:p w14:paraId="7380FB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125</w:t>
            </w:r>
          </w:p>
        </w:tc>
        <w:tc>
          <w:tcPr>
            <w:tcW w:w="842" w:type="dxa"/>
          </w:tcPr>
          <w:p w14:paraId="363992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59C69F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33E8D3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060C16F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18D9DA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7892A4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2CB0E09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18A4A1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1" w:type="dxa"/>
          </w:tcPr>
          <w:p w14:paraId="7EDE12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1" w:type="dxa"/>
          </w:tcPr>
          <w:p w14:paraId="287D4F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6A6877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029" w:type="dxa"/>
          </w:tcPr>
          <w:p w14:paraId="44ABF7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w:t>
            </w:r>
          </w:p>
        </w:tc>
      </w:tr>
      <w:tr w:rsidR="00643896" w:rsidRPr="00640820" w14:paraId="524A15DF" w14:textId="77777777" w:rsidTr="000D3BCB">
        <w:tc>
          <w:tcPr>
            <w:tcW w:w="936" w:type="dxa"/>
          </w:tcPr>
          <w:p w14:paraId="19C8DE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ПЕ-2</w:t>
            </w:r>
          </w:p>
        </w:tc>
        <w:tc>
          <w:tcPr>
            <w:tcW w:w="936" w:type="dxa"/>
          </w:tcPr>
          <w:p w14:paraId="4A0A85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124</w:t>
            </w:r>
          </w:p>
        </w:tc>
        <w:tc>
          <w:tcPr>
            <w:tcW w:w="842" w:type="dxa"/>
          </w:tcPr>
          <w:p w14:paraId="10BC8A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2C2A84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762764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655" w:type="dxa"/>
          </w:tcPr>
          <w:p w14:paraId="603801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c>
          <w:tcPr>
            <w:tcW w:w="655" w:type="dxa"/>
          </w:tcPr>
          <w:p w14:paraId="5FA807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w:t>
            </w:r>
          </w:p>
        </w:tc>
        <w:tc>
          <w:tcPr>
            <w:tcW w:w="655" w:type="dxa"/>
          </w:tcPr>
          <w:p w14:paraId="4C35AB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51</w:t>
            </w:r>
          </w:p>
        </w:tc>
        <w:tc>
          <w:tcPr>
            <w:tcW w:w="655" w:type="dxa"/>
          </w:tcPr>
          <w:p w14:paraId="4206BE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w:t>
            </w:r>
          </w:p>
        </w:tc>
        <w:tc>
          <w:tcPr>
            <w:tcW w:w="655" w:type="dxa"/>
          </w:tcPr>
          <w:p w14:paraId="17C5E0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561" w:type="dxa"/>
          </w:tcPr>
          <w:p w14:paraId="1D351A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1" w:type="dxa"/>
          </w:tcPr>
          <w:p w14:paraId="1953D9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49</w:t>
            </w:r>
          </w:p>
        </w:tc>
        <w:tc>
          <w:tcPr>
            <w:tcW w:w="748" w:type="dxa"/>
          </w:tcPr>
          <w:p w14:paraId="40BDF98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w:t>
            </w:r>
          </w:p>
        </w:tc>
        <w:tc>
          <w:tcPr>
            <w:tcW w:w="1029" w:type="dxa"/>
          </w:tcPr>
          <w:p w14:paraId="531B1D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104</w:t>
            </w:r>
          </w:p>
        </w:tc>
      </w:tr>
      <w:tr w:rsidR="00643896" w:rsidRPr="00640820" w14:paraId="40EA3806" w14:textId="77777777" w:rsidTr="000D3BCB">
        <w:tc>
          <w:tcPr>
            <w:tcW w:w="936" w:type="dxa"/>
          </w:tcPr>
          <w:p w14:paraId="7F35EF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ПЕ-2</w:t>
            </w:r>
          </w:p>
        </w:tc>
        <w:tc>
          <w:tcPr>
            <w:tcW w:w="936" w:type="dxa"/>
          </w:tcPr>
          <w:p w14:paraId="533DFC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125</w:t>
            </w:r>
          </w:p>
        </w:tc>
        <w:tc>
          <w:tcPr>
            <w:tcW w:w="842" w:type="dxa"/>
          </w:tcPr>
          <w:p w14:paraId="0C12FA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4F2393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22E5F9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c>
          <w:tcPr>
            <w:tcW w:w="655" w:type="dxa"/>
          </w:tcPr>
          <w:p w14:paraId="6BA6EA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655" w:type="dxa"/>
          </w:tcPr>
          <w:p w14:paraId="7D8246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655" w:type="dxa"/>
          </w:tcPr>
          <w:p w14:paraId="09D568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w:t>
            </w:r>
          </w:p>
        </w:tc>
        <w:tc>
          <w:tcPr>
            <w:tcW w:w="655" w:type="dxa"/>
          </w:tcPr>
          <w:p w14:paraId="5B0545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w:t>
            </w:r>
          </w:p>
        </w:tc>
        <w:tc>
          <w:tcPr>
            <w:tcW w:w="655" w:type="dxa"/>
          </w:tcPr>
          <w:p w14:paraId="745132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w:t>
            </w:r>
          </w:p>
        </w:tc>
        <w:tc>
          <w:tcPr>
            <w:tcW w:w="561" w:type="dxa"/>
          </w:tcPr>
          <w:p w14:paraId="69F95C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56</w:t>
            </w:r>
          </w:p>
        </w:tc>
        <w:tc>
          <w:tcPr>
            <w:tcW w:w="561" w:type="dxa"/>
          </w:tcPr>
          <w:p w14:paraId="1E700D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122</w:t>
            </w:r>
          </w:p>
        </w:tc>
        <w:tc>
          <w:tcPr>
            <w:tcW w:w="748" w:type="dxa"/>
          </w:tcPr>
          <w:p w14:paraId="4BB65F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1029" w:type="dxa"/>
          </w:tcPr>
          <w:p w14:paraId="2E8BB6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144</w:t>
            </w:r>
          </w:p>
        </w:tc>
      </w:tr>
      <w:tr w:rsidR="00643896" w:rsidRPr="00640820" w14:paraId="0F01C3B8" w14:textId="77777777" w:rsidTr="000D3BCB">
        <w:tc>
          <w:tcPr>
            <w:tcW w:w="936" w:type="dxa"/>
          </w:tcPr>
          <w:p w14:paraId="747409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СУ-2</w:t>
            </w:r>
          </w:p>
        </w:tc>
        <w:tc>
          <w:tcPr>
            <w:tcW w:w="936" w:type="dxa"/>
          </w:tcPr>
          <w:p w14:paraId="229CA29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w:t>
            </w:r>
          </w:p>
        </w:tc>
        <w:tc>
          <w:tcPr>
            <w:tcW w:w="842" w:type="dxa"/>
          </w:tcPr>
          <w:p w14:paraId="6E15DB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577FD4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5E02B8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2966E9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6C19A6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655" w:type="dxa"/>
          </w:tcPr>
          <w:p w14:paraId="2F1746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655" w:type="dxa"/>
          </w:tcPr>
          <w:p w14:paraId="2AEAA1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064398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1" w:type="dxa"/>
          </w:tcPr>
          <w:p w14:paraId="6A45F1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1" w:type="dxa"/>
          </w:tcPr>
          <w:p w14:paraId="183B95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40DE27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1029" w:type="dxa"/>
          </w:tcPr>
          <w:p w14:paraId="259CE4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r>
      <w:tr w:rsidR="00643896" w:rsidRPr="00640820" w14:paraId="0EE9DC84" w14:textId="77777777" w:rsidTr="000D3BCB">
        <w:tc>
          <w:tcPr>
            <w:tcW w:w="936" w:type="dxa"/>
            <w:gridSpan w:val="2"/>
          </w:tcPr>
          <w:p w14:paraId="51BE35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 бомбардировщиков</w:t>
            </w:r>
          </w:p>
        </w:tc>
        <w:tc>
          <w:tcPr>
            <w:tcW w:w="842" w:type="dxa"/>
          </w:tcPr>
          <w:p w14:paraId="09125AF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2037E3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1B126F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485</w:t>
            </w:r>
          </w:p>
        </w:tc>
        <w:tc>
          <w:tcPr>
            <w:tcW w:w="655" w:type="dxa"/>
          </w:tcPr>
          <w:p w14:paraId="2D444A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480</w:t>
            </w:r>
          </w:p>
        </w:tc>
        <w:tc>
          <w:tcPr>
            <w:tcW w:w="655" w:type="dxa"/>
          </w:tcPr>
          <w:p w14:paraId="2FDB36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446</w:t>
            </w:r>
          </w:p>
        </w:tc>
        <w:tc>
          <w:tcPr>
            <w:tcW w:w="655" w:type="dxa"/>
          </w:tcPr>
          <w:p w14:paraId="07D576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1411</w:t>
            </w:r>
          </w:p>
        </w:tc>
        <w:tc>
          <w:tcPr>
            <w:tcW w:w="655" w:type="dxa"/>
          </w:tcPr>
          <w:p w14:paraId="233CB7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286</w:t>
            </w:r>
          </w:p>
        </w:tc>
        <w:tc>
          <w:tcPr>
            <w:tcW w:w="655" w:type="dxa"/>
          </w:tcPr>
          <w:p w14:paraId="6B568A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57</w:t>
            </w:r>
          </w:p>
        </w:tc>
        <w:tc>
          <w:tcPr>
            <w:tcW w:w="561" w:type="dxa"/>
          </w:tcPr>
          <w:p w14:paraId="71FCBA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160</w:t>
            </w:r>
          </w:p>
        </w:tc>
        <w:tc>
          <w:tcPr>
            <w:tcW w:w="561" w:type="dxa"/>
          </w:tcPr>
          <w:p w14:paraId="0784C28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503</w:t>
            </w:r>
          </w:p>
        </w:tc>
        <w:tc>
          <w:tcPr>
            <w:tcW w:w="748" w:type="dxa"/>
          </w:tcPr>
          <w:p w14:paraId="0B271C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1914</w:t>
            </w:r>
          </w:p>
        </w:tc>
        <w:tc>
          <w:tcPr>
            <w:tcW w:w="1029" w:type="dxa"/>
          </w:tcPr>
          <w:p w14:paraId="76900A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3533</w:t>
            </w:r>
          </w:p>
        </w:tc>
      </w:tr>
      <w:tr w:rsidR="00643896" w:rsidRPr="00640820" w14:paraId="31AB3653" w14:textId="77777777" w:rsidTr="000D3BCB">
        <w:tc>
          <w:tcPr>
            <w:tcW w:w="936" w:type="dxa"/>
            <w:gridSpan w:val="2"/>
          </w:tcPr>
          <w:p w14:paraId="3CBD61E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Дополнения</w:t>
            </w:r>
          </w:p>
        </w:tc>
        <w:tc>
          <w:tcPr>
            <w:tcW w:w="842" w:type="dxa"/>
          </w:tcPr>
          <w:p w14:paraId="4861023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4C9E5C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c>
          <w:tcPr>
            <w:tcW w:w="655" w:type="dxa"/>
          </w:tcPr>
          <w:p w14:paraId="724901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w:t>
            </w:r>
          </w:p>
        </w:tc>
        <w:tc>
          <w:tcPr>
            <w:tcW w:w="655" w:type="dxa"/>
          </w:tcPr>
          <w:p w14:paraId="75D4C0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104</w:t>
            </w:r>
          </w:p>
        </w:tc>
        <w:tc>
          <w:tcPr>
            <w:tcW w:w="655" w:type="dxa"/>
          </w:tcPr>
          <w:p w14:paraId="7DDE26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4E84D6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83</w:t>
            </w:r>
          </w:p>
        </w:tc>
        <w:tc>
          <w:tcPr>
            <w:tcW w:w="655" w:type="dxa"/>
          </w:tcPr>
          <w:p w14:paraId="5925E8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561" w:type="dxa"/>
          </w:tcPr>
          <w:p w14:paraId="1E66CD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561" w:type="dxa"/>
          </w:tcPr>
          <w:p w14:paraId="68E79B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184BD0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29" w:type="dxa"/>
          </w:tcPr>
          <w:p w14:paraId="2F9CE93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196</w:t>
            </w:r>
          </w:p>
        </w:tc>
      </w:tr>
      <w:tr w:rsidR="00643896" w:rsidRPr="00640820" w14:paraId="4A39F21C" w14:textId="77777777" w:rsidTr="000D3BCB">
        <w:tc>
          <w:tcPr>
            <w:tcW w:w="936" w:type="dxa"/>
            <w:gridSpan w:val="2"/>
          </w:tcPr>
          <w:p w14:paraId="104FDE1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Штурмовики</w:t>
            </w:r>
          </w:p>
        </w:tc>
        <w:tc>
          <w:tcPr>
            <w:tcW w:w="842" w:type="dxa"/>
          </w:tcPr>
          <w:p w14:paraId="63085E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530B9F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7FFBD8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7BB8DA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7D9DC3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2864DB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4049B7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561" w:type="dxa"/>
          </w:tcPr>
          <w:p w14:paraId="670717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561" w:type="dxa"/>
          </w:tcPr>
          <w:p w14:paraId="16298E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534911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29" w:type="dxa"/>
          </w:tcPr>
          <w:p w14:paraId="353841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0105E59" w14:textId="77777777" w:rsidTr="000D3BCB">
        <w:tc>
          <w:tcPr>
            <w:tcW w:w="936" w:type="dxa"/>
          </w:tcPr>
          <w:p w14:paraId="2C0A00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ИЛ-2</w:t>
            </w:r>
          </w:p>
        </w:tc>
        <w:tc>
          <w:tcPr>
            <w:tcW w:w="936" w:type="dxa"/>
          </w:tcPr>
          <w:p w14:paraId="16BC50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w:t>
            </w:r>
          </w:p>
        </w:tc>
        <w:tc>
          <w:tcPr>
            <w:tcW w:w="842" w:type="dxa"/>
          </w:tcPr>
          <w:p w14:paraId="517901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2A2D9D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330575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310</w:t>
            </w:r>
          </w:p>
        </w:tc>
        <w:tc>
          <w:tcPr>
            <w:tcW w:w="655" w:type="dxa"/>
          </w:tcPr>
          <w:p w14:paraId="7368FA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356</w:t>
            </w:r>
          </w:p>
        </w:tc>
        <w:tc>
          <w:tcPr>
            <w:tcW w:w="655" w:type="dxa"/>
          </w:tcPr>
          <w:p w14:paraId="1D6D13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336</w:t>
            </w:r>
          </w:p>
        </w:tc>
        <w:tc>
          <w:tcPr>
            <w:tcW w:w="655" w:type="dxa"/>
          </w:tcPr>
          <w:p w14:paraId="7C9F80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1002</w:t>
            </w:r>
          </w:p>
        </w:tc>
        <w:tc>
          <w:tcPr>
            <w:tcW w:w="655" w:type="dxa"/>
          </w:tcPr>
          <w:p w14:paraId="0E02C4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228</w:t>
            </w:r>
          </w:p>
        </w:tc>
        <w:tc>
          <w:tcPr>
            <w:tcW w:w="655" w:type="dxa"/>
          </w:tcPr>
          <w:p w14:paraId="1B30DF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1" w:type="dxa"/>
          </w:tcPr>
          <w:p w14:paraId="3D0615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w:t>
            </w:r>
          </w:p>
        </w:tc>
        <w:tc>
          <w:tcPr>
            <w:tcW w:w="561" w:type="dxa"/>
          </w:tcPr>
          <w:p w14:paraId="2D816B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257</w:t>
            </w:r>
          </w:p>
        </w:tc>
        <w:tc>
          <w:tcPr>
            <w:tcW w:w="748" w:type="dxa"/>
          </w:tcPr>
          <w:p w14:paraId="590E40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1259</w:t>
            </w:r>
          </w:p>
        </w:tc>
        <w:tc>
          <w:tcPr>
            <w:tcW w:w="1029" w:type="dxa"/>
          </w:tcPr>
          <w:p w14:paraId="12D3BD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1510</w:t>
            </w:r>
          </w:p>
        </w:tc>
      </w:tr>
      <w:tr w:rsidR="00643896" w:rsidRPr="00640820" w14:paraId="3FBCEF23" w14:textId="77777777" w:rsidTr="000D3BCB">
        <w:tc>
          <w:tcPr>
            <w:tcW w:w="936" w:type="dxa"/>
          </w:tcPr>
          <w:p w14:paraId="6F0060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ИЛ-2</w:t>
            </w:r>
          </w:p>
        </w:tc>
        <w:tc>
          <w:tcPr>
            <w:tcW w:w="936" w:type="dxa"/>
          </w:tcPr>
          <w:p w14:paraId="7C77D6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842" w:type="dxa"/>
          </w:tcPr>
          <w:p w14:paraId="1C661E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14B745B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План</w:t>
            </w:r>
          </w:p>
        </w:tc>
        <w:tc>
          <w:tcPr>
            <w:tcW w:w="655" w:type="dxa"/>
          </w:tcPr>
          <w:p w14:paraId="55F9F7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w:t>
            </w:r>
          </w:p>
        </w:tc>
        <w:tc>
          <w:tcPr>
            <w:tcW w:w="655" w:type="dxa"/>
          </w:tcPr>
          <w:p w14:paraId="71A97B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0DE417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655" w:type="dxa"/>
          </w:tcPr>
          <w:p w14:paraId="02642E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655" w:type="dxa"/>
          </w:tcPr>
          <w:p w14:paraId="5848A1E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655" w:type="dxa"/>
          </w:tcPr>
          <w:p w14:paraId="757850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1" w:type="dxa"/>
          </w:tcPr>
          <w:p w14:paraId="23A2C1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c>
          <w:tcPr>
            <w:tcW w:w="561" w:type="dxa"/>
          </w:tcPr>
          <w:p w14:paraId="35EB3A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748" w:type="dxa"/>
          </w:tcPr>
          <w:p w14:paraId="1C2C06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1029" w:type="dxa"/>
          </w:tcPr>
          <w:p w14:paraId="600876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r>
      <w:tr w:rsidR="00643896" w:rsidRPr="00640820" w14:paraId="0AAD23D4" w14:textId="77777777" w:rsidTr="000D3BCB">
        <w:tc>
          <w:tcPr>
            <w:tcW w:w="936" w:type="dxa"/>
          </w:tcPr>
          <w:p w14:paraId="4E2EDE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ИЛ-2</w:t>
            </w:r>
          </w:p>
        </w:tc>
        <w:tc>
          <w:tcPr>
            <w:tcW w:w="936" w:type="dxa"/>
          </w:tcPr>
          <w:p w14:paraId="772C8D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381</w:t>
            </w:r>
          </w:p>
        </w:tc>
        <w:tc>
          <w:tcPr>
            <w:tcW w:w="842" w:type="dxa"/>
          </w:tcPr>
          <w:p w14:paraId="034FD7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291423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049E49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4776E8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37B217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655" w:type="dxa"/>
          </w:tcPr>
          <w:p w14:paraId="4642AA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655" w:type="dxa"/>
          </w:tcPr>
          <w:p w14:paraId="069E5B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655" w:type="dxa"/>
          </w:tcPr>
          <w:p w14:paraId="04367F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c>
          <w:tcPr>
            <w:tcW w:w="561" w:type="dxa"/>
          </w:tcPr>
          <w:p w14:paraId="39C932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561" w:type="dxa"/>
          </w:tcPr>
          <w:p w14:paraId="769980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w:t>
            </w:r>
          </w:p>
        </w:tc>
        <w:tc>
          <w:tcPr>
            <w:tcW w:w="748" w:type="dxa"/>
          </w:tcPr>
          <w:p w14:paraId="79EEA0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w:t>
            </w:r>
          </w:p>
        </w:tc>
        <w:tc>
          <w:tcPr>
            <w:tcW w:w="1029" w:type="dxa"/>
          </w:tcPr>
          <w:p w14:paraId="528D1D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w:t>
            </w:r>
          </w:p>
        </w:tc>
      </w:tr>
      <w:tr w:rsidR="00643896" w:rsidRPr="00640820" w14:paraId="6CEF3903" w14:textId="77777777" w:rsidTr="000D3BCB">
        <w:tc>
          <w:tcPr>
            <w:tcW w:w="936" w:type="dxa"/>
          </w:tcPr>
          <w:p w14:paraId="2F442C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 штурмовиков</w:t>
            </w:r>
          </w:p>
        </w:tc>
        <w:tc>
          <w:tcPr>
            <w:tcW w:w="936" w:type="dxa"/>
          </w:tcPr>
          <w:p w14:paraId="65746B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2" w:type="dxa"/>
          </w:tcPr>
          <w:p w14:paraId="3E428E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1A6F01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310</w:t>
            </w:r>
          </w:p>
        </w:tc>
        <w:tc>
          <w:tcPr>
            <w:tcW w:w="655" w:type="dxa"/>
          </w:tcPr>
          <w:p w14:paraId="2F9BA5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356</w:t>
            </w:r>
          </w:p>
        </w:tc>
        <w:tc>
          <w:tcPr>
            <w:tcW w:w="655" w:type="dxa"/>
          </w:tcPr>
          <w:p w14:paraId="0138C91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341</w:t>
            </w:r>
          </w:p>
        </w:tc>
        <w:tc>
          <w:tcPr>
            <w:tcW w:w="655" w:type="dxa"/>
          </w:tcPr>
          <w:p w14:paraId="7A8845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1007</w:t>
            </w:r>
          </w:p>
        </w:tc>
        <w:tc>
          <w:tcPr>
            <w:tcW w:w="655" w:type="dxa"/>
          </w:tcPr>
          <w:p w14:paraId="58EBF69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234</w:t>
            </w:r>
          </w:p>
        </w:tc>
        <w:tc>
          <w:tcPr>
            <w:tcW w:w="655" w:type="dxa"/>
          </w:tcPr>
          <w:p w14:paraId="6F5FC7C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c>
          <w:tcPr>
            <w:tcW w:w="561" w:type="dxa"/>
          </w:tcPr>
          <w:p w14:paraId="487F53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47</w:t>
            </w:r>
          </w:p>
        </w:tc>
        <w:tc>
          <w:tcPr>
            <w:tcW w:w="561" w:type="dxa"/>
          </w:tcPr>
          <w:p w14:paraId="57B59F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284</w:t>
            </w:r>
          </w:p>
        </w:tc>
        <w:tc>
          <w:tcPr>
            <w:tcW w:w="748" w:type="dxa"/>
          </w:tcPr>
          <w:p w14:paraId="6DAEB9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1291</w:t>
            </w:r>
          </w:p>
        </w:tc>
        <w:tc>
          <w:tcPr>
            <w:tcW w:w="1029" w:type="dxa"/>
          </w:tcPr>
          <w:p w14:paraId="6305B4A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1542</w:t>
            </w:r>
          </w:p>
        </w:tc>
      </w:tr>
      <w:tr w:rsidR="00643896" w:rsidRPr="00640820" w14:paraId="26C774AB" w14:textId="77777777" w:rsidTr="000D3BCB">
        <w:tc>
          <w:tcPr>
            <w:tcW w:w="936" w:type="dxa"/>
          </w:tcPr>
          <w:p w14:paraId="306B0E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Разведчики</w:t>
            </w:r>
          </w:p>
        </w:tc>
        <w:tc>
          <w:tcPr>
            <w:tcW w:w="936" w:type="dxa"/>
          </w:tcPr>
          <w:p w14:paraId="161BA34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2" w:type="dxa"/>
          </w:tcPr>
          <w:p w14:paraId="3D53AE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4E5127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1A65D1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4F1DB1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413072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7AA8EF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3E097E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561" w:type="dxa"/>
          </w:tcPr>
          <w:p w14:paraId="0D5792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561" w:type="dxa"/>
          </w:tcPr>
          <w:p w14:paraId="7391C1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39B8D3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29" w:type="dxa"/>
          </w:tcPr>
          <w:p w14:paraId="029199D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61E52FE" w14:textId="77777777" w:rsidTr="000D3BCB">
        <w:tc>
          <w:tcPr>
            <w:tcW w:w="936" w:type="dxa"/>
          </w:tcPr>
          <w:p w14:paraId="4CD39A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МДР-6</w:t>
            </w:r>
          </w:p>
        </w:tc>
        <w:tc>
          <w:tcPr>
            <w:tcW w:w="936" w:type="dxa"/>
          </w:tcPr>
          <w:p w14:paraId="6CD5D5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w:t>
            </w:r>
          </w:p>
        </w:tc>
        <w:tc>
          <w:tcPr>
            <w:tcW w:w="842" w:type="dxa"/>
          </w:tcPr>
          <w:p w14:paraId="6262CE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039B74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7DC20B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182F94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74618A3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5CFFEF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61965F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655" w:type="dxa"/>
          </w:tcPr>
          <w:p w14:paraId="60CC13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1" w:type="dxa"/>
          </w:tcPr>
          <w:p w14:paraId="1005F3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1" w:type="dxa"/>
          </w:tcPr>
          <w:p w14:paraId="4F654A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7BE6B4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1029" w:type="dxa"/>
          </w:tcPr>
          <w:p w14:paraId="5C9974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r>
      <w:tr w:rsidR="00643896" w:rsidRPr="00640820" w14:paraId="78FCB500" w14:textId="77777777" w:rsidTr="000D3BCB">
        <w:tc>
          <w:tcPr>
            <w:tcW w:w="936" w:type="dxa"/>
          </w:tcPr>
          <w:p w14:paraId="54627F9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(Чс)</w:t>
            </w:r>
          </w:p>
        </w:tc>
        <w:tc>
          <w:tcPr>
            <w:tcW w:w="936" w:type="dxa"/>
          </w:tcPr>
          <w:p w14:paraId="61C588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842" w:type="dxa"/>
          </w:tcPr>
          <w:p w14:paraId="72206B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60C0CA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5F1347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01B5AA5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31536C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687DB3E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396B30C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561" w:type="dxa"/>
          </w:tcPr>
          <w:p w14:paraId="603A50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561" w:type="dxa"/>
          </w:tcPr>
          <w:p w14:paraId="3839B5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18E2225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029" w:type="dxa"/>
          </w:tcPr>
          <w:p w14:paraId="364B11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DDCC43C" w14:textId="77777777" w:rsidTr="000D3BCB">
        <w:tc>
          <w:tcPr>
            <w:tcW w:w="936" w:type="dxa"/>
          </w:tcPr>
          <w:p w14:paraId="11B8A8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МДР-6</w:t>
            </w:r>
          </w:p>
        </w:tc>
        <w:tc>
          <w:tcPr>
            <w:tcW w:w="936" w:type="dxa"/>
          </w:tcPr>
          <w:p w14:paraId="742144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c>
          <w:tcPr>
            <w:tcW w:w="842" w:type="dxa"/>
          </w:tcPr>
          <w:p w14:paraId="3B48B8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Отчет </w:t>
            </w:r>
          </w:p>
          <w:p w14:paraId="6FE9EE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План</w:t>
            </w:r>
          </w:p>
        </w:tc>
        <w:tc>
          <w:tcPr>
            <w:tcW w:w="655" w:type="dxa"/>
          </w:tcPr>
          <w:p w14:paraId="7C753E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c>
          <w:tcPr>
            <w:tcW w:w="655" w:type="dxa"/>
          </w:tcPr>
          <w:p w14:paraId="38F554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655" w:type="dxa"/>
          </w:tcPr>
          <w:p w14:paraId="36A613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c>
          <w:tcPr>
            <w:tcW w:w="655" w:type="dxa"/>
          </w:tcPr>
          <w:p w14:paraId="1C43DF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w:t>
            </w:r>
          </w:p>
        </w:tc>
        <w:tc>
          <w:tcPr>
            <w:tcW w:w="655" w:type="dxa"/>
          </w:tcPr>
          <w:p w14:paraId="72E297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655" w:type="dxa"/>
          </w:tcPr>
          <w:p w14:paraId="79CDA8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1" w:type="dxa"/>
          </w:tcPr>
          <w:p w14:paraId="61D787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1" w:type="dxa"/>
          </w:tcPr>
          <w:p w14:paraId="246906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748" w:type="dxa"/>
          </w:tcPr>
          <w:p w14:paraId="6C3448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1029" w:type="dxa"/>
          </w:tcPr>
          <w:p w14:paraId="2CC071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w:t>
            </w:r>
          </w:p>
        </w:tc>
      </w:tr>
      <w:tr w:rsidR="00643896" w:rsidRPr="00640820" w14:paraId="2D949DF6" w14:textId="77777777" w:rsidTr="000D3BCB">
        <w:tc>
          <w:tcPr>
            <w:tcW w:w="936" w:type="dxa"/>
            <w:gridSpan w:val="2"/>
          </w:tcPr>
          <w:p w14:paraId="49611E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 разведчиков</w:t>
            </w:r>
          </w:p>
        </w:tc>
        <w:tc>
          <w:tcPr>
            <w:tcW w:w="842" w:type="dxa"/>
          </w:tcPr>
          <w:p w14:paraId="2DD3FD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655" w:type="dxa"/>
          </w:tcPr>
          <w:p w14:paraId="38B805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c>
          <w:tcPr>
            <w:tcW w:w="655" w:type="dxa"/>
          </w:tcPr>
          <w:p w14:paraId="06BCD0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655" w:type="dxa"/>
          </w:tcPr>
          <w:p w14:paraId="148EDE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c>
          <w:tcPr>
            <w:tcW w:w="655" w:type="dxa"/>
          </w:tcPr>
          <w:p w14:paraId="480082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w:t>
            </w:r>
          </w:p>
        </w:tc>
        <w:tc>
          <w:tcPr>
            <w:tcW w:w="655" w:type="dxa"/>
          </w:tcPr>
          <w:p w14:paraId="569F81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655" w:type="dxa"/>
          </w:tcPr>
          <w:p w14:paraId="403CA0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1" w:type="dxa"/>
          </w:tcPr>
          <w:p w14:paraId="70EB21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561" w:type="dxa"/>
          </w:tcPr>
          <w:p w14:paraId="0774AD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748" w:type="dxa"/>
          </w:tcPr>
          <w:p w14:paraId="22365C4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1029" w:type="dxa"/>
          </w:tcPr>
          <w:p w14:paraId="1A7FA2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w:t>
            </w:r>
          </w:p>
        </w:tc>
      </w:tr>
      <w:tr w:rsidR="00643896" w:rsidRPr="00640820" w14:paraId="064B54BD" w14:textId="77777777" w:rsidTr="000D3BCB">
        <w:tc>
          <w:tcPr>
            <w:tcW w:w="936" w:type="dxa"/>
            <w:gridSpan w:val="3"/>
            <w:tcBorders>
              <w:bottom w:val="single" w:sz="12" w:space="0" w:color="000000"/>
            </w:tcBorders>
          </w:tcPr>
          <w:p w14:paraId="397CAE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Итого боевых машин</w:t>
            </w:r>
          </w:p>
        </w:tc>
        <w:tc>
          <w:tcPr>
            <w:tcW w:w="655" w:type="dxa"/>
            <w:tcBorders>
              <w:bottom w:val="single" w:sz="12" w:space="0" w:color="000000"/>
            </w:tcBorders>
          </w:tcPr>
          <w:p w14:paraId="7F4E80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1685</w:t>
            </w:r>
          </w:p>
        </w:tc>
        <w:tc>
          <w:tcPr>
            <w:tcW w:w="655" w:type="dxa"/>
            <w:tcBorders>
              <w:bottom w:val="single" w:sz="12" w:space="0" w:color="000000"/>
            </w:tcBorders>
          </w:tcPr>
          <w:p w14:paraId="01B00A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1959</w:t>
            </w:r>
          </w:p>
        </w:tc>
        <w:tc>
          <w:tcPr>
            <w:tcW w:w="655" w:type="dxa"/>
            <w:tcBorders>
              <w:bottom w:val="single" w:sz="12" w:space="0" w:color="000000"/>
            </w:tcBorders>
          </w:tcPr>
          <w:p w14:paraId="599905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2022</w:t>
            </w:r>
          </w:p>
        </w:tc>
        <w:tc>
          <w:tcPr>
            <w:tcW w:w="655" w:type="dxa"/>
            <w:tcBorders>
              <w:bottom w:val="single" w:sz="12" w:space="0" w:color="000000"/>
            </w:tcBorders>
          </w:tcPr>
          <w:p w14:paraId="5E85F6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5667</w:t>
            </w:r>
          </w:p>
        </w:tc>
        <w:tc>
          <w:tcPr>
            <w:tcW w:w="655" w:type="dxa"/>
            <w:tcBorders>
              <w:bottom w:val="single" w:sz="12" w:space="0" w:color="000000"/>
            </w:tcBorders>
          </w:tcPr>
          <w:p w14:paraId="544D5D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1399</w:t>
            </w:r>
          </w:p>
        </w:tc>
        <w:tc>
          <w:tcPr>
            <w:tcW w:w="655" w:type="dxa"/>
            <w:tcBorders>
              <w:bottom w:val="single" w:sz="12" w:space="0" w:color="000000"/>
            </w:tcBorders>
          </w:tcPr>
          <w:p w14:paraId="370792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454</w:t>
            </w:r>
          </w:p>
        </w:tc>
        <w:tc>
          <w:tcPr>
            <w:tcW w:w="561" w:type="dxa"/>
            <w:tcBorders>
              <w:bottom w:val="single" w:sz="12" w:space="0" w:color="000000"/>
            </w:tcBorders>
          </w:tcPr>
          <w:p w14:paraId="3889EE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788</w:t>
            </w:r>
          </w:p>
        </w:tc>
        <w:tc>
          <w:tcPr>
            <w:tcW w:w="561" w:type="dxa"/>
            <w:tcBorders>
              <w:bottom w:val="single" w:sz="12" w:space="0" w:color="000000"/>
            </w:tcBorders>
          </w:tcPr>
          <w:p w14:paraId="1E96B6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2580</w:t>
            </w:r>
          </w:p>
        </w:tc>
        <w:tc>
          <w:tcPr>
            <w:tcW w:w="748" w:type="dxa"/>
            <w:tcBorders>
              <w:bottom w:val="single" w:sz="12" w:space="0" w:color="000000"/>
            </w:tcBorders>
          </w:tcPr>
          <w:p w14:paraId="16E4EB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8247</w:t>
            </w:r>
          </w:p>
        </w:tc>
        <w:tc>
          <w:tcPr>
            <w:tcW w:w="1029" w:type="dxa"/>
            <w:tcBorders>
              <w:bottom w:val="single" w:sz="12" w:space="0" w:color="000000"/>
            </w:tcBorders>
          </w:tcPr>
          <w:p w14:paraId="6724B5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12377</w:t>
            </w:r>
          </w:p>
        </w:tc>
      </w:tr>
    </w:tbl>
    <w:p w14:paraId="12FE986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РГАЭ. Ф.8044. Оп.1. Д.3228. Лл.15-17. Рукопись в канцелярской тетради. Фамилии исполнителей не указаны. </w:t>
      </w:r>
    </w:p>
    <w:p w14:paraId="4C2859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30A70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была подготовлена ВЫПИСКА ИЗ ДИСПЕТЧЕРСКОГО ЖУРНАЛА НАРКОМАТА АВИАЦИОННОЙ ПРОМЫШЛЕННОСТИ СССР ПО ВЫПУСКУ САМОЛЕТОВ</w:t>
      </w:r>
    </w:p>
    <w:tbl>
      <w:tblPr>
        <w:tblW w:w="0" w:type="auto"/>
        <w:tblLayout w:type="fixed"/>
        <w:tblCellMar>
          <w:left w:w="0" w:type="dxa"/>
          <w:right w:w="0" w:type="dxa"/>
        </w:tblCellMar>
        <w:tblLook w:val="0000" w:firstRow="0" w:lastRow="0" w:firstColumn="0" w:lastColumn="0" w:noHBand="0" w:noVBand="0"/>
      </w:tblPr>
      <w:tblGrid>
        <w:gridCol w:w="917"/>
        <w:gridCol w:w="19"/>
        <w:gridCol w:w="898"/>
        <w:gridCol w:w="38"/>
        <w:gridCol w:w="787"/>
        <w:gridCol w:w="62"/>
        <w:gridCol w:w="579"/>
        <w:gridCol w:w="76"/>
        <w:gridCol w:w="565"/>
        <w:gridCol w:w="183"/>
        <w:gridCol w:w="458"/>
        <w:gridCol w:w="290"/>
        <w:gridCol w:w="351"/>
        <w:gridCol w:w="397"/>
        <w:gridCol w:w="244"/>
        <w:gridCol w:w="504"/>
        <w:gridCol w:w="137"/>
        <w:gridCol w:w="549"/>
        <w:gridCol w:w="62"/>
        <w:gridCol w:w="487"/>
        <w:gridCol w:w="261"/>
        <w:gridCol w:w="472"/>
        <w:gridCol w:w="276"/>
        <w:gridCol w:w="748"/>
      </w:tblGrid>
      <w:tr w:rsidR="00643896" w:rsidRPr="00640820" w14:paraId="14F70262" w14:textId="77777777" w:rsidTr="000D3BCB">
        <w:tc>
          <w:tcPr>
            <w:tcW w:w="936" w:type="dxa"/>
            <w:gridSpan w:val="24"/>
            <w:tcBorders>
              <w:top w:val="nil"/>
              <w:left w:val="nil"/>
              <w:bottom w:val="nil"/>
              <w:right w:val="nil"/>
            </w:tcBorders>
          </w:tcPr>
          <w:p w14:paraId="028DCC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(Левая половина таблицы. - Сост.) </w:t>
            </w:r>
          </w:p>
        </w:tc>
      </w:tr>
      <w:tr w:rsidR="00643896" w:rsidRPr="00640820" w14:paraId="443F069E" w14:textId="77777777" w:rsidTr="000D3BCB">
        <w:tc>
          <w:tcPr>
            <w:tcW w:w="936" w:type="dxa"/>
            <w:gridSpan w:val="2"/>
            <w:tcBorders>
              <w:top w:val="single" w:sz="12" w:space="0" w:color="auto"/>
              <w:left w:val="single" w:sz="12" w:space="0" w:color="auto"/>
              <w:bottom w:val="single" w:sz="6" w:space="0" w:color="auto"/>
              <w:right w:val="single" w:sz="6" w:space="0" w:color="auto"/>
            </w:tcBorders>
          </w:tcPr>
          <w:p w14:paraId="632333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Наимем. изделия</w:t>
            </w:r>
          </w:p>
        </w:tc>
        <w:tc>
          <w:tcPr>
            <w:tcW w:w="936" w:type="dxa"/>
            <w:gridSpan w:val="2"/>
            <w:tcBorders>
              <w:top w:val="single" w:sz="12" w:space="0" w:color="auto"/>
              <w:left w:val="single" w:sz="6" w:space="0" w:color="auto"/>
              <w:bottom w:val="single" w:sz="6" w:space="0" w:color="auto"/>
              <w:right w:val="single" w:sz="6" w:space="0" w:color="auto"/>
            </w:tcBorders>
          </w:tcPr>
          <w:p w14:paraId="5880AA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 </w:t>
            </w:r>
          </w:p>
          <w:p w14:paraId="5B071E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завода</w:t>
            </w:r>
          </w:p>
        </w:tc>
        <w:tc>
          <w:tcPr>
            <w:tcW w:w="849" w:type="dxa"/>
            <w:gridSpan w:val="2"/>
            <w:tcBorders>
              <w:top w:val="single" w:sz="12" w:space="0" w:color="auto"/>
              <w:left w:val="single" w:sz="6" w:space="0" w:color="auto"/>
              <w:bottom w:val="single" w:sz="6" w:space="0" w:color="auto"/>
              <w:right w:val="single" w:sz="6" w:space="0" w:color="auto"/>
            </w:tcBorders>
          </w:tcPr>
          <w:p w14:paraId="3B3BB6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Показатели</w:t>
            </w:r>
          </w:p>
        </w:tc>
        <w:tc>
          <w:tcPr>
            <w:tcW w:w="655" w:type="dxa"/>
            <w:gridSpan w:val="2"/>
            <w:tcBorders>
              <w:top w:val="single" w:sz="12" w:space="0" w:color="auto"/>
              <w:left w:val="single" w:sz="6" w:space="0" w:color="auto"/>
              <w:bottom w:val="single" w:sz="6" w:space="0" w:color="auto"/>
              <w:right w:val="single" w:sz="6" w:space="0" w:color="auto"/>
            </w:tcBorders>
          </w:tcPr>
          <w:p w14:paraId="7CD380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48" w:type="dxa"/>
            <w:gridSpan w:val="2"/>
            <w:tcBorders>
              <w:top w:val="single" w:sz="12" w:space="0" w:color="auto"/>
              <w:left w:val="single" w:sz="6" w:space="0" w:color="auto"/>
              <w:bottom w:val="single" w:sz="6" w:space="0" w:color="auto"/>
              <w:right w:val="single" w:sz="6" w:space="0" w:color="auto"/>
            </w:tcBorders>
          </w:tcPr>
          <w:p w14:paraId="58EF81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II</w:t>
            </w:r>
          </w:p>
        </w:tc>
        <w:tc>
          <w:tcPr>
            <w:tcW w:w="748" w:type="dxa"/>
            <w:gridSpan w:val="2"/>
            <w:tcBorders>
              <w:top w:val="single" w:sz="12" w:space="0" w:color="auto"/>
              <w:left w:val="single" w:sz="6" w:space="0" w:color="auto"/>
              <w:bottom w:val="single" w:sz="6" w:space="0" w:color="auto"/>
              <w:right w:val="single" w:sz="6" w:space="0" w:color="auto"/>
            </w:tcBorders>
          </w:tcPr>
          <w:p w14:paraId="774D4A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III</w:t>
            </w:r>
          </w:p>
        </w:tc>
        <w:tc>
          <w:tcPr>
            <w:tcW w:w="748" w:type="dxa"/>
            <w:gridSpan w:val="2"/>
            <w:tcBorders>
              <w:top w:val="single" w:sz="12" w:space="0" w:color="auto"/>
              <w:left w:val="single" w:sz="6" w:space="0" w:color="auto"/>
              <w:bottom w:val="single" w:sz="6" w:space="0" w:color="auto"/>
              <w:right w:val="single" w:sz="6" w:space="0" w:color="auto"/>
            </w:tcBorders>
          </w:tcPr>
          <w:p w14:paraId="6B213D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I кв.</w:t>
            </w:r>
          </w:p>
        </w:tc>
        <w:tc>
          <w:tcPr>
            <w:tcW w:w="748" w:type="dxa"/>
            <w:gridSpan w:val="2"/>
            <w:tcBorders>
              <w:top w:val="single" w:sz="12" w:space="0" w:color="auto"/>
              <w:left w:val="single" w:sz="6" w:space="0" w:color="auto"/>
              <w:bottom w:val="single" w:sz="6" w:space="0" w:color="auto"/>
              <w:right w:val="single" w:sz="6" w:space="0" w:color="auto"/>
            </w:tcBorders>
          </w:tcPr>
          <w:p w14:paraId="753052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IV</w:t>
            </w:r>
          </w:p>
        </w:tc>
        <w:tc>
          <w:tcPr>
            <w:tcW w:w="748" w:type="dxa"/>
            <w:gridSpan w:val="3"/>
            <w:tcBorders>
              <w:top w:val="single" w:sz="12" w:space="0" w:color="auto"/>
              <w:left w:val="single" w:sz="6" w:space="0" w:color="auto"/>
              <w:bottom w:val="single" w:sz="6" w:space="0" w:color="auto"/>
              <w:right w:val="single" w:sz="6" w:space="0" w:color="auto"/>
            </w:tcBorders>
          </w:tcPr>
          <w:p w14:paraId="59D8C6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V</w:t>
            </w:r>
          </w:p>
        </w:tc>
        <w:tc>
          <w:tcPr>
            <w:tcW w:w="748" w:type="dxa"/>
            <w:gridSpan w:val="2"/>
            <w:tcBorders>
              <w:top w:val="single" w:sz="12" w:space="0" w:color="auto"/>
              <w:left w:val="single" w:sz="6" w:space="0" w:color="auto"/>
              <w:bottom w:val="single" w:sz="6" w:space="0" w:color="auto"/>
              <w:right w:val="single" w:sz="6" w:space="0" w:color="auto"/>
            </w:tcBorders>
          </w:tcPr>
          <w:p w14:paraId="6C4B73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VI</w:t>
            </w:r>
          </w:p>
        </w:tc>
        <w:tc>
          <w:tcPr>
            <w:tcW w:w="748" w:type="dxa"/>
            <w:gridSpan w:val="2"/>
            <w:tcBorders>
              <w:top w:val="single" w:sz="12" w:space="0" w:color="auto"/>
              <w:left w:val="single" w:sz="6" w:space="0" w:color="auto"/>
              <w:bottom w:val="single" w:sz="6" w:space="0" w:color="auto"/>
              <w:right w:val="single" w:sz="6" w:space="0" w:color="auto"/>
            </w:tcBorders>
          </w:tcPr>
          <w:p w14:paraId="25934C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II кв.</w:t>
            </w:r>
          </w:p>
        </w:tc>
        <w:tc>
          <w:tcPr>
            <w:tcW w:w="748" w:type="dxa"/>
            <w:tcBorders>
              <w:top w:val="single" w:sz="12" w:space="0" w:color="auto"/>
              <w:left w:val="single" w:sz="6" w:space="0" w:color="auto"/>
              <w:bottom w:val="single" w:sz="6" w:space="0" w:color="auto"/>
              <w:right w:val="single" w:sz="12" w:space="0" w:color="auto"/>
            </w:tcBorders>
          </w:tcPr>
          <w:p w14:paraId="1EEEA5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I полу-годие</w:t>
            </w:r>
          </w:p>
        </w:tc>
      </w:tr>
      <w:tr w:rsidR="00643896" w:rsidRPr="00640820" w14:paraId="31E641C4" w14:textId="77777777" w:rsidTr="000D3BCB">
        <w:tc>
          <w:tcPr>
            <w:tcW w:w="936" w:type="dxa"/>
            <w:gridSpan w:val="2"/>
            <w:tcBorders>
              <w:top w:val="single" w:sz="6" w:space="0" w:color="auto"/>
              <w:left w:val="single" w:sz="12" w:space="0" w:color="auto"/>
              <w:bottom w:val="single" w:sz="6" w:space="0" w:color="auto"/>
              <w:right w:val="single" w:sz="6" w:space="0" w:color="auto"/>
            </w:tcBorders>
          </w:tcPr>
          <w:p w14:paraId="40EDB0E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936" w:type="dxa"/>
            <w:gridSpan w:val="2"/>
            <w:tcBorders>
              <w:top w:val="single" w:sz="6" w:space="0" w:color="auto"/>
              <w:left w:val="single" w:sz="6" w:space="0" w:color="auto"/>
              <w:bottom w:val="single" w:sz="6" w:space="0" w:color="auto"/>
              <w:right w:val="single" w:sz="6" w:space="0" w:color="auto"/>
            </w:tcBorders>
          </w:tcPr>
          <w:p w14:paraId="79A7FE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w:t>
            </w:r>
          </w:p>
        </w:tc>
        <w:tc>
          <w:tcPr>
            <w:tcW w:w="849" w:type="dxa"/>
            <w:gridSpan w:val="2"/>
            <w:tcBorders>
              <w:top w:val="single" w:sz="6" w:space="0" w:color="auto"/>
              <w:left w:val="single" w:sz="6" w:space="0" w:color="auto"/>
              <w:bottom w:val="single" w:sz="6" w:space="0" w:color="auto"/>
              <w:right w:val="single" w:sz="6" w:space="0" w:color="auto"/>
            </w:tcBorders>
          </w:tcPr>
          <w:p w14:paraId="3CD4E5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w:t>
            </w:r>
          </w:p>
        </w:tc>
        <w:tc>
          <w:tcPr>
            <w:tcW w:w="655" w:type="dxa"/>
            <w:gridSpan w:val="2"/>
            <w:tcBorders>
              <w:top w:val="single" w:sz="6" w:space="0" w:color="auto"/>
              <w:left w:val="single" w:sz="6" w:space="0" w:color="auto"/>
              <w:bottom w:val="single" w:sz="6" w:space="0" w:color="auto"/>
              <w:right w:val="single" w:sz="6" w:space="0" w:color="auto"/>
            </w:tcBorders>
          </w:tcPr>
          <w:p w14:paraId="4E66421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w:t>
            </w:r>
          </w:p>
        </w:tc>
        <w:tc>
          <w:tcPr>
            <w:tcW w:w="748" w:type="dxa"/>
            <w:gridSpan w:val="2"/>
            <w:tcBorders>
              <w:top w:val="single" w:sz="6" w:space="0" w:color="auto"/>
              <w:left w:val="single" w:sz="6" w:space="0" w:color="auto"/>
              <w:bottom w:val="single" w:sz="6" w:space="0" w:color="auto"/>
              <w:right w:val="single" w:sz="6" w:space="0" w:color="auto"/>
            </w:tcBorders>
          </w:tcPr>
          <w:p w14:paraId="4402E4F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w:t>
            </w:r>
          </w:p>
        </w:tc>
        <w:tc>
          <w:tcPr>
            <w:tcW w:w="748" w:type="dxa"/>
            <w:gridSpan w:val="2"/>
            <w:tcBorders>
              <w:top w:val="single" w:sz="6" w:space="0" w:color="auto"/>
              <w:left w:val="single" w:sz="6" w:space="0" w:color="auto"/>
              <w:bottom w:val="single" w:sz="6" w:space="0" w:color="auto"/>
              <w:right w:val="single" w:sz="6" w:space="0" w:color="auto"/>
            </w:tcBorders>
          </w:tcPr>
          <w:p w14:paraId="3E16CB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w:t>
            </w:r>
          </w:p>
        </w:tc>
        <w:tc>
          <w:tcPr>
            <w:tcW w:w="748" w:type="dxa"/>
            <w:gridSpan w:val="2"/>
            <w:tcBorders>
              <w:top w:val="single" w:sz="6" w:space="0" w:color="auto"/>
              <w:left w:val="single" w:sz="6" w:space="0" w:color="auto"/>
              <w:bottom w:val="single" w:sz="6" w:space="0" w:color="auto"/>
              <w:right w:val="single" w:sz="6" w:space="0" w:color="auto"/>
            </w:tcBorders>
          </w:tcPr>
          <w:p w14:paraId="0B9512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w:t>
            </w:r>
          </w:p>
        </w:tc>
        <w:tc>
          <w:tcPr>
            <w:tcW w:w="748" w:type="dxa"/>
            <w:gridSpan w:val="2"/>
            <w:tcBorders>
              <w:top w:val="single" w:sz="6" w:space="0" w:color="auto"/>
              <w:left w:val="single" w:sz="6" w:space="0" w:color="auto"/>
              <w:bottom w:val="single" w:sz="6" w:space="0" w:color="auto"/>
              <w:right w:val="single" w:sz="6" w:space="0" w:color="auto"/>
            </w:tcBorders>
          </w:tcPr>
          <w:p w14:paraId="70F188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w:t>
            </w:r>
          </w:p>
        </w:tc>
        <w:tc>
          <w:tcPr>
            <w:tcW w:w="748" w:type="dxa"/>
            <w:gridSpan w:val="3"/>
            <w:tcBorders>
              <w:top w:val="single" w:sz="6" w:space="0" w:color="auto"/>
              <w:left w:val="single" w:sz="6" w:space="0" w:color="auto"/>
              <w:bottom w:val="single" w:sz="6" w:space="0" w:color="auto"/>
              <w:right w:val="single" w:sz="6" w:space="0" w:color="auto"/>
            </w:tcBorders>
          </w:tcPr>
          <w:p w14:paraId="7D046A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w:t>
            </w:r>
          </w:p>
        </w:tc>
        <w:tc>
          <w:tcPr>
            <w:tcW w:w="748" w:type="dxa"/>
            <w:gridSpan w:val="2"/>
            <w:tcBorders>
              <w:top w:val="single" w:sz="6" w:space="0" w:color="auto"/>
              <w:left w:val="single" w:sz="6" w:space="0" w:color="auto"/>
              <w:bottom w:val="single" w:sz="6" w:space="0" w:color="auto"/>
              <w:right w:val="single" w:sz="6" w:space="0" w:color="auto"/>
            </w:tcBorders>
          </w:tcPr>
          <w:p w14:paraId="2D7378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w:t>
            </w:r>
          </w:p>
        </w:tc>
        <w:tc>
          <w:tcPr>
            <w:tcW w:w="748" w:type="dxa"/>
            <w:gridSpan w:val="2"/>
            <w:tcBorders>
              <w:top w:val="single" w:sz="6" w:space="0" w:color="auto"/>
              <w:left w:val="single" w:sz="6" w:space="0" w:color="auto"/>
              <w:bottom w:val="single" w:sz="6" w:space="0" w:color="auto"/>
              <w:right w:val="single" w:sz="6" w:space="0" w:color="auto"/>
            </w:tcBorders>
          </w:tcPr>
          <w:p w14:paraId="41D6CA3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w:t>
            </w:r>
          </w:p>
        </w:tc>
        <w:tc>
          <w:tcPr>
            <w:tcW w:w="748" w:type="dxa"/>
            <w:tcBorders>
              <w:top w:val="single" w:sz="6" w:space="0" w:color="auto"/>
              <w:left w:val="single" w:sz="6" w:space="0" w:color="auto"/>
              <w:bottom w:val="single" w:sz="6" w:space="0" w:color="auto"/>
              <w:right w:val="single" w:sz="12" w:space="0" w:color="auto"/>
            </w:tcBorders>
          </w:tcPr>
          <w:p w14:paraId="681969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w:t>
            </w:r>
          </w:p>
        </w:tc>
      </w:tr>
      <w:tr w:rsidR="00643896" w:rsidRPr="00640820" w14:paraId="47D191B0" w14:textId="77777777" w:rsidTr="000D3BCB">
        <w:tc>
          <w:tcPr>
            <w:tcW w:w="936" w:type="dxa"/>
            <w:gridSpan w:val="4"/>
            <w:tcBorders>
              <w:top w:val="single" w:sz="6" w:space="0" w:color="auto"/>
              <w:left w:val="single" w:sz="12" w:space="0" w:color="auto"/>
              <w:bottom w:val="single" w:sz="6" w:space="0" w:color="auto"/>
              <w:right w:val="single" w:sz="6" w:space="0" w:color="auto"/>
            </w:tcBorders>
          </w:tcPr>
          <w:p w14:paraId="6975CD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Истребители</w:t>
            </w:r>
          </w:p>
        </w:tc>
        <w:tc>
          <w:tcPr>
            <w:tcW w:w="849" w:type="dxa"/>
            <w:gridSpan w:val="2"/>
            <w:tcBorders>
              <w:top w:val="single" w:sz="6" w:space="0" w:color="auto"/>
              <w:left w:val="single" w:sz="6" w:space="0" w:color="auto"/>
              <w:bottom w:val="single" w:sz="6" w:space="0" w:color="auto"/>
              <w:right w:val="single" w:sz="6" w:space="0" w:color="auto"/>
            </w:tcBorders>
          </w:tcPr>
          <w:p w14:paraId="6756A4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55" w:type="dxa"/>
            <w:gridSpan w:val="2"/>
            <w:tcBorders>
              <w:top w:val="single" w:sz="6" w:space="0" w:color="auto"/>
              <w:left w:val="single" w:sz="6" w:space="0" w:color="auto"/>
              <w:bottom w:val="single" w:sz="6" w:space="0" w:color="auto"/>
              <w:right w:val="single" w:sz="6" w:space="0" w:color="auto"/>
            </w:tcBorders>
          </w:tcPr>
          <w:p w14:paraId="01F329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48" w:type="dxa"/>
            <w:gridSpan w:val="2"/>
            <w:tcBorders>
              <w:top w:val="single" w:sz="6" w:space="0" w:color="auto"/>
              <w:left w:val="single" w:sz="6" w:space="0" w:color="auto"/>
              <w:bottom w:val="single" w:sz="6" w:space="0" w:color="auto"/>
              <w:right w:val="single" w:sz="6" w:space="0" w:color="auto"/>
            </w:tcBorders>
          </w:tcPr>
          <w:p w14:paraId="687BFA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48" w:type="dxa"/>
            <w:gridSpan w:val="2"/>
            <w:tcBorders>
              <w:top w:val="single" w:sz="6" w:space="0" w:color="auto"/>
              <w:left w:val="single" w:sz="6" w:space="0" w:color="auto"/>
              <w:bottom w:val="single" w:sz="6" w:space="0" w:color="auto"/>
              <w:right w:val="single" w:sz="6" w:space="0" w:color="auto"/>
            </w:tcBorders>
          </w:tcPr>
          <w:p w14:paraId="7745BB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48" w:type="dxa"/>
            <w:gridSpan w:val="2"/>
            <w:tcBorders>
              <w:top w:val="single" w:sz="6" w:space="0" w:color="auto"/>
              <w:left w:val="single" w:sz="6" w:space="0" w:color="auto"/>
              <w:bottom w:val="single" w:sz="6" w:space="0" w:color="auto"/>
              <w:right w:val="single" w:sz="6" w:space="0" w:color="auto"/>
            </w:tcBorders>
          </w:tcPr>
          <w:p w14:paraId="492D39F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48" w:type="dxa"/>
            <w:gridSpan w:val="2"/>
            <w:tcBorders>
              <w:top w:val="single" w:sz="6" w:space="0" w:color="auto"/>
              <w:left w:val="single" w:sz="6" w:space="0" w:color="auto"/>
              <w:bottom w:val="single" w:sz="6" w:space="0" w:color="auto"/>
              <w:right w:val="single" w:sz="6" w:space="0" w:color="auto"/>
            </w:tcBorders>
          </w:tcPr>
          <w:p w14:paraId="671506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48" w:type="dxa"/>
            <w:gridSpan w:val="3"/>
            <w:tcBorders>
              <w:top w:val="single" w:sz="6" w:space="0" w:color="auto"/>
              <w:left w:val="single" w:sz="6" w:space="0" w:color="auto"/>
              <w:bottom w:val="single" w:sz="6" w:space="0" w:color="auto"/>
              <w:right w:val="single" w:sz="6" w:space="0" w:color="auto"/>
            </w:tcBorders>
          </w:tcPr>
          <w:p w14:paraId="2C942F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48" w:type="dxa"/>
            <w:gridSpan w:val="2"/>
            <w:tcBorders>
              <w:top w:val="single" w:sz="6" w:space="0" w:color="auto"/>
              <w:left w:val="single" w:sz="6" w:space="0" w:color="auto"/>
              <w:bottom w:val="single" w:sz="6" w:space="0" w:color="auto"/>
              <w:right w:val="single" w:sz="6" w:space="0" w:color="auto"/>
            </w:tcBorders>
          </w:tcPr>
          <w:p w14:paraId="4BE870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48" w:type="dxa"/>
            <w:gridSpan w:val="2"/>
            <w:tcBorders>
              <w:top w:val="single" w:sz="6" w:space="0" w:color="auto"/>
              <w:left w:val="single" w:sz="6" w:space="0" w:color="auto"/>
              <w:bottom w:val="single" w:sz="6" w:space="0" w:color="auto"/>
              <w:right w:val="single" w:sz="6" w:space="0" w:color="auto"/>
            </w:tcBorders>
          </w:tcPr>
          <w:p w14:paraId="2F356C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48" w:type="dxa"/>
            <w:tcBorders>
              <w:top w:val="single" w:sz="6" w:space="0" w:color="auto"/>
              <w:left w:val="single" w:sz="6" w:space="0" w:color="auto"/>
              <w:bottom w:val="single" w:sz="6" w:space="0" w:color="auto"/>
              <w:right w:val="single" w:sz="12" w:space="0" w:color="auto"/>
            </w:tcBorders>
          </w:tcPr>
          <w:p w14:paraId="2F7F75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37BC57D2" w14:textId="77777777" w:rsidTr="000D3BCB">
        <w:tc>
          <w:tcPr>
            <w:tcW w:w="936" w:type="dxa"/>
            <w:gridSpan w:val="2"/>
            <w:tcBorders>
              <w:top w:val="single" w:sz="6" w:space="0" w:color="auto"/>
              <w:left w:val="single" w:sz="12" w:space="0" w:color="auto"/>
              <w:bottom w:val="single" w:sz="6" w:space="0" w:color="auto"/>
              <w:right w:val="single" w:sz="6" w:space="0" w:color="auto"/>
            </w:tcBorders>
          </w:tcPr>
          <w:p w14:paraId="4DCED6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МИГ-3</w:t>
            </w:r>
          </w:p>
        </w:tc>
        <w:tc>
          <w:tcPr>
            <w:tcW w:w="936" w:type="dxa"/>
            <w:gridSpan w:val="2"/>
            <w:tcBorders>
              <w:top w:val="single" w:sz="6" w:space="0" w:color="auto"/>
              <w:left w:val="single" w:sz="6" w:space="0" w:color="auto"/>
              <w:bottom w:val="single" w:sz="6" w:space="0" w:color="auto"/>
              <w:right w:val="single" w:sz="6" w:space="0" w:color="auto"/>
            </w:tcBorders>
          </w:tcPr>
          <w:p w14:paraId="13110D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849" w:type="dxa"/>
            <w:gridSpan w:val="2"/>
            <w:tcBorders>
              <w:top w:val="single" w:sz="6" w:space="0" w:color="auto"/>
              <w:left w:val="single" w:sz="6" w:space="0" w:color="auto"/>
              <w:bottom w:val="single" w:sz="6" w:space="0" w:color="auto"/>
              <w:right w:val="single" w:sz="6" w:space="0" w:color="auto"/>
            </w:tcBorders>
          </w:tcPr>
          <w:p w14:paraId="1045258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47BD2A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55" w:type="dxa"/>
            <w:gridSpan w:val="2"/>
            <w:tcBorders>
              <w:top w:val="single" w:sz="6" w:space="0" w:color="auto"/>
              <w:left w:val="single" w:sz="6" w:space="0" w:color="auto"/>
              <w:bottom w:val="single" w:sz="6" w:space="0" w:color="auto"/>
              <w:right w:val="single" w:sz="6" w:space="0" w:color="auto"/>
            </w:tcBorders>
          </w:tcPr>
          <w:p w14:paraId="3F04BF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150</w:t>
            </w:r>
          </w:p>
        </w:tc>
        <w:tc>
          <w:tcPr>
            <w:tcW w:w="748" w:type="dxa"/>
            <w:gridSpan w:val="2"/>
            <w:tcBorders>
              <w:top w:val="single" w:sz="6" w:space="0" w:color="auto"/>
              <w:left w:val="single" w:sz="6" w:space="0" w:color="auto"/>
              <w:bottom w:val="single" w:sz="6" w:space="0" w:color="auto"/>
              <w:right w:val="single" w:sz="6" w:space="0" w:color="auto"/>
            </w:tcBorders>
          </w:tcPr>
          <w:p w14:paraId="3427D1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175</w:t>
            </w:r>
          </w:p>
        </w:tc>
        <w:tc>
          <w:tcPr>
            <w:tcW w:w="748" w:type="dxa"/>
            <w:gridSpan w:val="2"/>
            <w:tcBorders>
              <w:top w:val="single" w:sz="6" w:space="0" w:color="auto"/>
              <w:left w:val="single" w:sz="6" w:space="0" w:color="auto"/>
              <w:bottom w:val="single" w:sz="6" w:space="0" w:color="auto"/>
              <w:right w:val="single" w:sz="6" w:space="0" w:color="auto"/>
            </w:tcBorders>
          </w:tcPr>
          <w:p w14:paraId="7693A0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200</w:t>
            </w:r>
          </w:p>
        </w:tc>
        <w:tc>
          <w:tcPr>
            <w:tcW w:w="748" w:type="dxa"/>
            <w:gridSpan w:val="2"/>
            <w:tcBorders>
              <w:top w:val="single" w:sz="6" w:space="0" w:color="auto"/>
              <w:left w:val="single" w:sz="6" w:space="0" w:color="auto"/>
              <w:bottom w:val="single" w:sz="6" w:space="0" w:color="auto"/>
              <w:right w:val="single" w:sz="6" w:space="0" w:color="auto"/>
            </w:tcBorders>
          </w:tcPr>
          <w:p w14:paraId="1885F7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525</w:t>
            </w:r>
          </w:p>
        </w:tc>
        <w:tc>
          <w:tcPr>
            <w:tcW w:w="748" w:type="dxa"/>
            <w:gridSpan w:val="2"/>
            <w:tcBorders>
              <w:top w:val="single" w:sz="6" w:space="0" w:color="auto"/>
              <w:left w:val="single" w:sz="6" w:space="0" w:color="auto"/>
              <w:bottom w:val="single" w:sz="6" w:space="0" w:color="auto"/>
              <w:right w:val="single" w:sz="6" w:space="0" w:color="auto"/>
            </w:tcBorders>
          </w:tcPr>
          <w:p w14:paraId="6668B6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270</w:t>
            </w:r>
          </w:p>
        </w:tc>
        <w:tc>
          <w:tcPr>
            <w:tcW w:w="748" w:type="dxa"/>
            <w:gridSpan w:val="3"/>
            <w:tcBorders>
              <w:top w:val="single" w:sz="6" w:space="0" w:color="auto"/>
              <w:left w:val="single" w:sz="6" w:space="0" w:color="auto"/>
              <w:bottom w:val="single" w:sz="6" w:space="0" w:color="auto"/>
              <w:right w:val="single" w:sz="6" w:space="0" w:color="auto"/>
            </w:tcBorders>
          </w:tcPr>
          <w:p w14:paraId="5A40FD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270</w:t>
            </w:r>
          </w:p>
        </w:tc>
        <w:tc>
          <w:tcPr>
            <w:tcW w:w="748" w:type="dxa"/>
            <w:gridSpan w:val="2"/>
            <w:tcBorders>
              <w:top w:val="single" w:sz="6" w:space="0" w:color="auto"/>
              <w:left w:val="single" w:sz="6" w:space="0" w:color="auto"/>
              <w:bottom w:val="single" w:sz="6" w:space="0" w:color="auto"/>
              <w:right w:val="single" w:sz="6" w:space="0" w:color="auto"/>
            </w:tcBorders>
          </w:tcPr>
          <w:p w14:paraId="0A5743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298</w:t>
            </w:r>
          </w:p>
        </w:tc>
        <w:tc>
          <w:tcPr>
            <w:tcW w:w="748" w:type="dxa"/>
            <w:gridSpan w:val="2"/>
            <w:tcBorders>
              <w:top w:val="single" w:sz="6" w:space="0" w:color="auto"/>
              <w:left w:val="single" w:sz="6" w:space="0" w:color="auto"/>
              <w:bottom w:val="single" w:sz="6" w:space="0" w:color="auto"/>
              <w:right w:val="single" w:sz="6" w:space="0" w:color="auto"/>
            </w:tcBorders>
          </w:tcPr>
          <w:p w14:paraId="50D5A9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838</w:t>
            </w:r>
          </w:p>
        </w:tc>
        <w:tc>
          <w:tcPr>
            <w:tcW w:w="748" w:type="dxa"/>
            <w:tcBorders>
              <w:top w:val="single" w:sz="6" w:space="0" w:color="auto"/>
              <w:left w:val="single" w:sz="6" w:space="0" w:color="auto"/>
              <w:bottom w:val="single" w:sz="6" w:space="0" w:color="auto"/>
              <w:right w:val="single" w:sz="12" w:space="0" w:color="auto"/>
            </w:tcBorders>
          </w:tcPr>
          <w:p w14:paraId="2FD920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1363</w:t>
            </w:r>
          </w:p>
        </w:tc>
      </w:tr>
      <w:tr w:rsidR="00643896" w:rsidRPr="00640820" w14:paraId="75C6AB2A" w14:textId="77777777" w:rsidTr="000D3BCB">
        <w:tc>
          <w:tcPr>
            <w:tcW w:w="936" w:type="dxa"/>
            <w:gridSpan w:val="2"/>
            <w:tcBorders>
              <w:top w:val="single" w:sz="6" w:space="0" w:color="auto"/>
              <w:left w:val="single" w:sz="12" w:space="0" w:color="auto"/>
              <w:bottom w:val="single" w:sz="6" w:space="0" w:color="auto"/>
              <w:right w:val="single" w:sz="6" w:space="0" w:color="auto"/>
            </w:tcBorders>
          </w:tcPr>
          <w:p w14:paraId="4F81F5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И-153</w:t>
            </w:r>
          </w:p>
        </w:tc>
        <w:tc>
          <w:tcPr>
            <w:tcW w:w="936" w:type="dxa"/>
            <w:gridSpan w:val="2"/>
            <w:tcBorders>
              <w:top w:val="single" w:sz="6" w:space="0" w:color="auto"/>
              <w:left w:val="single" w:sz="6" w:space="0" w:color="auto"/>
              <w:bottom w:val="single" w:sz="6" w:space="0" w:color="auto"/>
              <w:right w:val="single" w:sz="6" w:space="0" w:color="auto"/>
            </w:tcBorders>
          </w:tcPr>
          <w:p w14:paraId="47BA8D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849" w:type="dxa"/>
            <w:gridSpan w:val="2"/>
            <w:tcBorders>
              <w:top w:val="single" w:sz="6" w:space="0" w:color="auto"/>
              <w:left w:val="single" w:sz="6" w:space="0" w:color="auto"/>
              <w:bottom w:val="single" w:sz="6" w:space="0" w:color="auto"/>
              <w:right w:val="single" w:sz="6" w:space="0" w:color="auto"/>
            </w:tcBorders>
          </w:tcPr>
          <w:p w14:paraId="5AE340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5B275C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55" w:type="dxa"/>
            <w:gridSpan w:val="2"/>
            <w:tcBorders>
              <w:top w:val="single" w:sz="6" w:space="0" w:color="auto"/>
              <w:left w:val="single" w:sz="6" w:space="0" w:color="auto"/>
              <w:bottom w:val="single" w:sz="6" w:space="0" w:color="auto"/>
              <w:right w:val="single" w:sz="6" w:space="0" w:color="auto"/>
            </w:tcBorders>
          </w:tcPr>
          <w:p w14:paraId="100F15B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48" w:type="dxa"/>
            <w:gridSpan w:val="2"/>
            <w:tcBorders>
              <w:top w:val="single" w:sz="6" w:space="0" w:color="auto"/>
              <w:left w:val="single" w:sz="6" w:space="0" w:color="auto"/>
              <w:bottom w:val="single" w:sz="6" w:space="0" w:color="auto"/>
              <w:right w:val="single" w:sz="6" w:space="0" w:color="auto"/>
            </w:tcBorders>
          </w:tcPr>
          <w:p w14:paraId="2DC083E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23</w:t>
            </w:r>
          </w:p>
        </w:tc>
        <w:tc>
          <w:tcPr>
            <w:tcW w:w="748" w:type="dxa"/>
            <w:gridSpan w:val="2"/>
            <w:tcBorders>
              <w:top w:val="single" w:sz="6" w:space="0" w:color="auto"/>
              <w:left w:val="single" w:sz="6" w:space="0" w:color="auto"/>
              <w:bottom w:val="single" w:sz="6" w:space="0" w:color="auto"/>
              <w:right w:val="single" w:sz="6" w:space="0" w:color="auto"/>
            </w:tcBorders>
          </w:tcPr>
          <w:p w14:paraId="4D9092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w:t>
            </w:r>
          </w:p>
        </w:tc>
        <w:tc>
          <w:tcPr>
            <w:tcW w:w="748" w:type="dxa"/>
            <w:gridSpan w:val="2"/>
            <w:tcBorders>
              <w:top w:val="single" w:sz="6" w:space="0" w:color="auto"/>
              <w:left w:val="single" w:sz="6" w:space="0" w:color="auto"/>
              <w:bottom w:val="single" w:sz="6" w:space="0" w:color="auto"/>
              <w:right w:val="single" w:sz="6" w:space="0" w:color="auto"/>
            </w:tcBorders>
          </w:tcPr>
          <w:p w14:paraId="3E40D1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41</w:t>
            </w:r>
          </w:p>
        </w:tc>
        <w:tc>
          <w:tcPr>
            <w:tcW w:w="748" w:type="dxa"/>
            <w:gridSpan w:val="2"/>
            <w:tcBorders>
              <w:top w:val="single" w:sz="6" w:space="0" w:color="auto"/>
              <w:left w:val="single" w:sz="6" w:space="0" w:color="auto"/>
              <w:bottom w:val="single" w:sz="6" w:space="0" w:color="auto"/>
              <w:right w:val="single" w:sz="6" w:space="0" w:color="auto"/>
            </w:tcBorders>
          </w:tcPr>
          <w:p w14:paraId="57AC13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748" w:type="dxa"/>
            <w:gridSpan w:val="3"/>
            <w:tcBorders>
              <w:top w:val="single" w:sz="6" w:space="0" w:color="auto"/>
              <w:left w:val="single" w:sz="6" w:space="0" w:color="auto"/>
              <w:bottom w:val="single" w:sz="6" w:space="0" w:color="auto"/>
              <w:right w:val="single" w:sz="6" w:space="0" w:color="auto"/>
            </w:tcBorders>
          </w:tcPr>
          <w:p w14:paraId="7F66C3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247983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w:t>
            </w:r>
          </w:p>
        </w:tc>
        <w:tc>
          <w:tcPr>
            <w:tcW w:w="748" w:type="dxa"/>
            <w:gridSpan w:val="2"/>
            <w:tcBorders>
              <w:top w:val="single" w:sz="6" w:space="0" w:color="auto"/>
              <w:left w:val="single" w:sz="6" w:space="0" w:color="auto"/>
              <w:bottom w:val="single" w:sz="6" w:space="0" w:color="auto"/>
              <w:right w:val="single" w:sz="6" w:space="0" w:color="auto"/>
            </w:tcBorders>
          </w:tcPr>
          <w:p w14:paraId="64A632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23</w:t>
            </w:r>
          </w:p>
        </w:tc>
        <w:tc>
          <w:tcPr>
            <w:tcW w:w="748" w:type="dxa"/>
            <w:tcBorders>
              <w:top w:val="single" w:sz="6" w:space="0" w:color="auto"/>
              <w:left w:val="single" w:sz="6" w:space="0" w:color="auto"/>
              <w:bottom w:val="single" w:sz="6" w:space="0" w:color="auto"/>
              <w:right w:val="single" w:sz="12" w:space="0" w:color="auto"/>
            </w:tcBorders>
          </w:tcPr>
          <w:p w14:paraId="56E6F8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64</w:t>
            </w:r>
          </w:p>
        </w:tc>
      </w:tr>
      <w:tr w:rsidR="00643896" w:rsidRPr="00640820" w14:paraId="237F6DA4" w14:textId="77777777" w:rsidTr="000D3BCB">
        <w:tc>
          <w:tcPr>
            <w:tcW w:w="936" w:type="dxa"/>
            <w:gridSpan w:val="2"/>
            <w:tcBorders>
              <w:top w:val="single" w:sz="6" w:space="0" w:color="auto"/>
              <w:left w:val="single" w:sz="12" w:space="0" w:color="auto"/>
              <w:bottom w:val="single" w:sz="6" w:space="0" w:color="auto"/>
              <w:right w:val="single" w:sz="6" w:space="0" w:color="auto"/>
            </w:tcBorders>
          </w:tcPr>
          <w:p w14:paraId="61A15D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ЛАГГ-3</w:t>
            </w:r>
          </w:p>
        </w:tc>
        <w:tc>
          <w:tcPr>
            <w:tcW w:w="936" w:type="dxa"/>
            <w:gridSpan w:val="2"/>
            <w:tcBorders>
              <w:top w:val="single" w:sz="6" w:space="0" w:color="auto"/>
              <w:left w:val="single" w:sz="6" w:space="0" w:color="auto"/>
              <w:bottom w:val="single" w:sz="6" w:space="0" w:color="auto"/>
              <w:right w:val="single" w:sz="6" w:space="0" w:color="auto"/>
            </w:tcBorders>
          </w:tcPr>
          <w:p w14:paraId="067B79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w:t>
            </w:r>
          </w:p>
        </w:tc>
        <w:tc>
          <w:tcPr>
            <w:tcW w:w="849" w:type="dxa"/>
            <w:gridSpan w:val="2"/>
            <w:tcBorders>
              <w:top w:val="single" w:sz="6" w:space="0" w:color="auto"/>
              <w:left w:val="single" w:sz="6" w:space="0" w:color="auto"/>
              <w:bottom w:val="single" w:sz="6" w:space="0" w:color="auto"/>
              <w:right w:val="single" w:sz="6" w:space="0" w:color="auto"/>
            </w:tcBorders>
          </w:tcPr>
          <w:p w14:paraId="49F837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52666B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55" w:type="dxa"/>
            <w:gridSpan w:val="2"/>
            <w:tcBorders>
              <w:top w:val="single" w:sz="6" w:space="0" w:color="auto"/>
              <w:left w:val="single" w:sz="6" w:space="0" w:color="auto"/>
              <w:bottom w:val="single" w:sz="6" w:space="0" w:color="auto"/>
              <w:right w:val="single" w:sz="6" w:space="0" w:color="auto"/>
            </w:tcBorders>
          </w:tcPr>
          <w:p w14:paraId="3E3B1B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48" w:type="dxa"/>
            <w:gridSpan w:val="2"/>
            <w:tcBorders>
              <w:top w:val="single" w:sz="6" w:space="0" w:color="auto"/>
              <w:left w:val="single" w:sz="6" w:space="0" w:color="auto"/>
              <w:bottom w:val="single" w:sz="6" w:space="0" w:color="auto"/>
              <w:right w:val="single" w:sz="6" w:space="0" w:color="auto"/>
            </w:tcBorders>
          </w:tcPr>
          <w:p w14:paraId="7CAD63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748" w:type="dxa"/>
            <w:gridSpan w:val="2"/>
            <w:tcBorders>
              <w:top w:val="single" w:sz="6" w:space="0" w:color="auto"/>
              <w:left w:val="single" w:sz="6" w:space="0" w:color="auto"/>
              <w:bottom w:val="single" w:sz="6" w:space="0" w:color="auto"/>
              <w:right w:val="single" w:sz="6" w:space="0" w:color="auto"/>
            </w:tcBorders>
          </w:tcPr>
          <w:p w14:paraId="22E1F2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w:t>
            </w:r>
          </w:p>
        </w:tc>
        <w:tc>
          <w:tcPr>
            <w:tcW w:w="748" w:type="dxa"/>
            <w:gridSpan w:val="2"/>
            <w:tcBorders>
              <w:top w:val="single" w:sz="6" w:space="0" w:color="auto"/>
              <w:left w:val="single" w:sz="6" w:space="0" w:color="auto"/>
              <w:bottom w:val="single" w:sz="6" w:space="0" w:color="auto"/>
              <w:right w:val="single" w:sz="6" w:space="0" w:color="auto"/>
            </w:tcBorders>
          </w:tcPr>
          <w:p w14:paraId="51126A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w:t>
            </w:r>
          </w:p>
        </w:tc>
        <w:tc>
          <w:tcPr>
            <w:tcW w:w="748" w:type="dxa"/>
            <w:gridSpan w:val="2"/>
            <w:tcBorders>
              <w:top w:val="single" w:sz="6" w:space="0" w:color="auto"/>
              <w:left w:val="single" w:sz="6" w:space="0" w:color="auto"/>
              <w:bottom w:val="single" w:sz="6" w:space="0" w:color="auto"/>
              <w:right w:val="single" w:sz="6" w:space="0" w:color="auto"/>
            </w:tcBorders>
          </w:tcPr>
          <w:p w14:paraId="4A795A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w:t>
            </w:r>
          </w:p>
        </w:tc>
        <w:tc>
          <w:tcPr>
            <w:tcW w:w="748" w:type="dxa"/>
            <w:gridSpan w:val="3"/>
            <w:tcBorders>
              <w:top w:val="single" w:sz="6" w:space="0" w:color="auto"/>
              <w:left w:val="single" w:sz="6" w:space="0" w:color="auto"/>
              <w:bottom w:val="single" w:sz="6" w:space="0" w:color="auto"/>
              <w:right w:val="single" w:sz="6" w:space="0" w:color="auto"/>
            </w:tcBorders>
          </w:tcPr>
          <w:p w14:paraId="2C943A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w:t>
            </w:r>
          </w:p>
        </w:tc>
        <w:tc>
          <w:tcPr>
            <w:tcW w:w="748" w:type="dxa"/>
            <w:gridSpan w:val="2"/>
            <w:tcBorders>
              <w:top w:val="single" w:sz="6" w:space="0" w:color="auto"/>
              <w:left w:val="single" w:sz="6" w:space="0" w:color="auto"/>
              <w:bottom w:val="single" w:sz="6" w:space="0" w:color="auto"/>
              <w:right w:val="single" w:sz="6" w:space="0" w:color="auto"/>
            </w:tcBorders>
          </w:tcPr>
          <w:p w14:paraId="4DA75B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w:t>
            </w:r>
          </w:p>
        </w:tc>
        <w:tc>
          <w:tcPr>
            <w:tcW w:w="748" w:type="dxa"/>
            <w:gridSpan w:val="2"/>
            <w:tcBorders>
              <w:top w:val="single" w:sz="6" w:space="0" w:color="auto"/>
              <w:left w:val="single" w:sz="6" w:space="0" w:color="auto"/>
              <w:bottom w:val="single" w:sz="6" w:space="0" w:color="auto"/>
              <w:right w:val="single" w:sz="6" w:space="0" w:color="auto"/>
            </w:tcBorders>
          </w:tcPr>
          <w:p w14:paraId="286FAB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w:t>
            </w:r>
          </w:p>
        </w:tc>
        <w:tc>
          <w:tcPr>
            <w:tcW w:w="748" w:type="dxa"/>
            <w:tcBorders>
              <w:top w:val="single" w:sz="6" w:space="0" w:color="auto"/>
              <w:left w:val="single" w:sz="6" w:space="0" w:color="auto"/>
              <w:bottom w:val="single" w:sz="6" w:space="0" w:color="auto"/>
              <w:right w:val="single" w:sz="12" w:space="0" w:color="auto"/>
            </w:tcBorders>
          </w:tcPr>
          <w:p w14:paraId="5F0D7CF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27</w:t>
            </w:r>
          </w:p>
        </w:tc>
      </w:tr>
      <w:tr w:rsidR="00643896" w:rsidRPr="00640820" w14:paraId="17784CDE" w14:textId="77777777" w:rsidTr="000D3BCB">
        <w:tc>
          <w:tcPr>
            <w:tcW w:w="936" w:type="dxa"/>
            <w:gridSpan w:val="2"/>
            <w:tcBorders>
              <w:top w:val="single" w:sz="6" w:space="0" w:color="auto"/>
              <w:left w:val="single" w:sz="12" w:space="0" w:color="auto"/>
              <w:bottom w:val="single" w:sz="6" w:space="0" w:color="auto"/>
              <w:right w:val="single" w:sz="6" w:space="0" w:color="auto"/>
            </w:tcBorders>
          </w:tcPr>
          <w:p w14:paraId="6A9DED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И-16</w:t>
            </w:r>
          </w:p>
        </w:tc>
        <w:tc>
          <w:tcPr>
            <w:tcW w:w="936" w:type="dxa"/>
            <w:gridSpan w:val="2"/>
            <w:tcBorders>
              <w:top w:val="single" w:sz="6" w:space="0" w:color="auto"/>
              <w:left w:val="single" w:sz="6" w:space="0" w:color="auto"/>
              <w:bottom w:val="single" w:sz="6" w:space="0" w:color="auto"/>
              <w:right w:val="single" w:sz="6" w:space="0" w:color="auto"/>
            </w:tcBorders>
          </w:tcPr>
          <w:p w14:paraId="47B193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w:t>
            </w:r>
          </w:p>
        </w:tc>
        <w:tc>
          <w:tcPr>
            <w:tcW w:w="849" w:type="dxa"/>
            <w:gridSpan w:val="2"/>
            <w:tcBorders>
              <w:top w:val="single" w:sz="6" w:space="0" w:color="auto"/>
              <w:left w:val="single" w:sz="6" w:space="0" w:color="auto"/>
              <w:bottom w:val="single" w:sz="6" w:space="0" w:color="auto"/>
              <w:right w:val="single" w:sz="6" w:space="0" w:color="auto"/>
            </w:tcBorders>
          </w:tcPr>
          <w:p w14:paraId="026EAC1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6ACC409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55" w:type="dxa"/>
            <w:gridSpan w:val="2"/>
            <w:tcBorders>
              <w:top w:val="single" w:sz="6" w:space="0" w:color="auto"/>
              <w:left w:val="single" w:sz="6" w:space="0" w:color="auto"/>
              <w:bottom w:val="single" w:sz="6" w:space="0" w:color="auto"/>
              <w:right w:val="single" w:sz="6" w:space="0" w:color="auto"/>
            </w:tcBorders>
          </w:tcPr>
          <w:p w14:paraId="38D621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56</w:t>
            </w:r>
          </w:p>
        </w:tc>
        <w:tc>
          <w:tcPr>
            <w:tcW w:w="748" w:type="dxa"/>
            <w:gridSpan w:val="2"/>
            <w:tcBorders>
              <w:top w:val="single" w:sz="6" w:space="0" w:color="auto"/>
              <w:left w:val="single" w:sz="6" w:space="0" w:color="auto"/>
              <w:bottom w:val="single" w:sz="6" w:space="0" w:color="auto"/>
              <w:right w:val="single" w:sz="6" w:space="0" w:color="auto"/>
            </w:tcBorders>
          </w:tcPr>
          <w:p w14:paraId="09E00F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23</w:t>
            </w:r>
          </w:p>
        </w:tc>
        <w:tc>
          <w:tcPr>
            <w:tcW w:w="748" w:type="dxa"/>
            <w:gridSpan w:val="2"/>
            <w:tcBorders>
              <w:top w:val="single" w:sz="6" w:space="0" w:color="auto"/>
              <w:left w:val="single" w:sz="6" w:space="0" w:color="auto"/>
              <w:bottom w:val="single" w:sz="6" w:space="0" w:color="auto"/>
              <w:right w:val="single" w:sz="6" w:space="0" w:color="auto"/>
            </w:tcBorders>
          </w:tcPr>
          <w:p w14:paraId="73B07D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748" w:type="dxa"/>
            <w:gridSpan w:val="2"/>
            <w:tcBorders>
              <w:top w:val="single" w:sz="6" w:space="0" w:color="auto"/>
              <w:left w:val="single" w:sz="6" w:space="0" w:color="auto"/>
              <w:bottom w:val="single" w:sz="6" w:space="0" w:color="auto"/>
              <w:right w:val="single" w:sz="6" w:space="0" w:color="auto"/>
            </w:tcBorders>
          </w:tcPr>
          <w:p w14:paraId="54D489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80</w:t>
            </w:r>
          </w:p>
        </w:tc>
        <w:tc>
          <w:tcPr>
            <w:tcW w:w="748" w:type="dxa"/>
            <w:gridSpan w:val="2"/>
            <w:tcBorders>
              <w:top w:val="single" w:sz="6" w:space="0" w:color="auto"/>
              <w:left w:val="single" w:sz="6" w:space="0" w:color="auto"/>
              <w:bottom w:val="single" w:sz="6" w:space="0" w:color="auto"/>
              <w:right w:val="single" w:sz="6" w:space="0" w:color="auto"/>
            </w:tcBorders>
          </w:tcPr>
          <w:p w14:paraId="78BD75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3"/>
            <w:tcBorders>
              <w:top w:val="single" w:sz="6" w:space="0" w:color="auto"/>
              <w:left w:val="single" w:sz="6" w:space="0" w:color="auto"/>
              <w:bottom w:val="single" w:sz="6" w:space="0" w:color="auto"/>
              <w:right w:val="single" w:sz="6" w:space="0" w:color="auto"/>
            </w:tcBorders>
          </w:tcPr>
          <w:p w14:paraId="17449B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3DFE51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60939D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tcBorders>
              <w:top w:val="single" w:sz="6" w:space="0" w:color="auto"/>
              <w:left w:val="single" w:sz="6" w:space="0" w:color="auto"/>
              <w:bottom w:val="single" w:sz="6" w:space="0" w:color="auto"/>
              <w:right w:val="single" w:sz="12" w:space="0" w:color="auto"/>
            </w:tcBorders>
          </w:tcPr>
          <w:p w14:paraId="1A10F4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80</w:t>
            </w:r>
          </w:p>
        </w:tc>
      </w:tr>
      <w:tr w:rsidR="00643896" w:rsidRPr="00640820" w14:paraId="030DE4CB" w14:textId="77777777" w:rsidTr="000D3BCB">
        <w:tc>
          <w:tcPr>
            <w:tcW w:w="936" w:type="dxa"/>
            <w:gridSpan w:val="2"/>
            <w:tcBorders>
              <w:top w:val="single" w:sz="6" w:space="0" w:color="auto"/>
              <w:left w:val="single" w:sz="12" w:space="0" w:color="auto"/>
              <w:bottom w:val="single" w:sz="6" w:space="0" w:color="auto"/>
              <w:right w:val="single" w:sz="6" w:space="0" w:color="auto"/>
            </w:tcBorders>
          </w:tcPr>
          <w:p w14:paraId="7D29AA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ЛАГГ-3</w:t>
            </w:r>
          </w:p>
        </w:tc>
        <w:tc>
          <w:tcPr>
            <w:tcW w:w="936" w:type="dxa"/>
            <w:gridSpan w:val="2"/>
            <w:tcBorders>
              <w:top w:val="single" w:sz="6" w:space="0" w:color="auto"/>
              <w:left w:val="single" w:sz="6" w:space="0" w:color="auto"/>
              <w:bottom w:val="single" w:sz="6" w:space="0" w:color="auto"/>
              <w:right w:val="single" w:sz="6" w:space="0" w:color="auto"/>
            </w:tcBorders>
          </w:tcPr>
          <w:p w14:paraId="428E39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31</w:t>
            </w:r>
          </w:p>
        </w:tc>
        <w:tc>
          <w:tcPr>
            <w:tcW w:w="849" w:type="dxa"/>
            <w:gridSpan w:val="2"/>
            <w:tcBorders>
              <w:top w:val="single" w:sz="6" w:space="0" w:color="auto"/>
              <w:left w:val="single" w:sz="6" w:space="0" w:color="auto"/>
              <w:bottom w:val="single" w:sz="6" w:space="0" w:color="auto"/>
              <w:right w:val="single" w:sz="6" w:space="0" w:color="auto"/>
            </w:tcBorders>
          </w:tcPr>
          <w:p w14:paraId="655338E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44BB1D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55" w:type="dxa"/>
            <w:gridSpan w:val="2"/>
            <w:tcBorders>
              <w:top w:val="single" w:sz="6" w:space="0" w:color="auto"/>
              <w:left w:val="single" w:sz="6" w:space="0" w:color="auto"/>
              <w:bottom w:val="single" w:sz="6" w:space="0" w:color="auto"/>
              <w:right w:val="single" w:sz="6" w:space="0" w:color="auto"/>
            </w:tcBorders>
          </w:tcPr>
          <w:p w14:paraId="596BB0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48" w:type="dxa"/>
            <w:gridSpan w:val="2"/>
            <w:tcBorders>
              <w:top w:val="single" w:sz="6" w:space="0" w:color="auto"/>
              <w:left w:val="single" w:sz="6" w:space="0" w:color="auto"/>
              <w:bottom w:val="single" w:sz="6" w:space="0" w:color="auto"/>
              <w:right w:val="single" w:sz="6" w:space="0" w:color="auto"/>
            </w:tcBorders>
          </w:tcPr>
          <w:p w14:paraId="1369AA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57C25D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748" w:type="dxa"/>
            <w:gridSpan w:val="2"/>
            <w:tcBorders>
              <w:top w:val="single" w:sz="6" w:space="0" w:color="auto"/>
              <w:left w:val="single" w:sz="6" w:space="0" w:color="auto"/>
              <w:bottom w:val="single" w:sz="6" w:space="0" w:color="auto"/>
              <w:right w:val="single" w:sz="6" w:space="0" w:color="auto"/>
            </w:tcBorders>
          </w:tcPr>
          <w:p w14:paraId="567912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748" w:type="dxa"/>
            <w:gridSpan w:val="2"/>
            <w:tcBorders>
              <w:top w:val="single" w:sz="6" w:space="0" w:color="auto"/>
              <w:left w:val="single" w:sz="6" w:space="0" w:color="auto"/>
              <w:bottom w:val="single" w:sz="6" w:space="0" w:color="auto"/>
              <w:right w:val="single" w:sz="6" w:space="0" w:color="auto"/>
            </w:tcBorders>
          </w:tcPr>
          <w:p w14:paraId="7DC64F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w:t>
            </w:r>
          </w:p>
        </w:tc>
        <w:tc>
          <w:tcPr>
            <w:tcW w:w="748" w:type="dxa"/>
            <w:gridSpan w:val="3"/>
            <w:tcBorders>
              <w:top w:val="single" w:sz="6" w:space="0" w:color="auto"/>
              <w:left w:val="single" w:sz="6" w:space="0" w:color="auto"/>
              <w:bottom w:val="single" w:sz="6" w:space="0" w:color="auto"/>
              <w:right w:val="single" w:sz="6" w:space="0" w:color="auto"/>
            </w:tcBorders>
          </w:tcPr>
          <w:p w14:paraId="3BE0D2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32</w:t>
            </w:r>
          </w:p>
        </w:tc>
        <w:tc>
          <w:tcPr>
            <w:tcW w:w="748" w:type="dxa"/>
            <w:gridSpan w:val="2"/>
            <w:tcBorders>
              <w:top w:val="single" w:sz="6" w:space="0" w:color="auto"/>
              <w:left w:val="single" w:sz="6" w:space="0" w:color="auto"/>
              <w:bottom w:val="single" w:sz="6" w:space="0" w:color="auto"/>
              <w:right w:val="single" w:sz="6" w:space="0" w:color="auto"/>
            </w:tcBorders>
          </w:tcPr>
          <w:p w14:paraId="3AFEE9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38</w:t>
            </w:r>
          </w:p>
        </w:tc>
        <w:tc>
          <w:tcPr>
            <w:tcW w:w="748" w:type="dxa"/>
            <w:gridSpan w:val="2"/>
            <w:tcBorders>
              <w:top w:val="single" w:sz="6" w:space="0" w:color="auto"/>
              <w:left w:val="single" w:sz="6" w:space="0" w:color="auto"/>
              <w:bottom w:val="single" w:sz="6" w:space="0" w:color="auto"/>
              <w:right w:val="single" w:sz="6" w:space="0" w:color="auto"/>
            </w:tcBorders>
          </w:tcPr>
          <w:p w14:paraId="604DC56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88</w:t>
            </w:r>
          </w:p>
        </w:tc>
        <w:tc>
          <w:tcPr>
            <w:tcW w:w="748" w:type="dxa"/>
            <w:tcBorders>
              <w:top w:val="single" w:sz="6" w:space="0" w:color="auto"/>
              <w:left w:val="single" w:sz="6" w:space="0" w:color="auto"/>
              <w:bottom w:val="single" w:sz="6" w:space="0" w:color="auto"/>
              <w:right w:val="single" w:sz="12" w:space="0" w:color="auto"/>
            </w:tcBorders>
          </w:tcPr>
          <w:p w14:paraId="2299D8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89</w:t>
            </w:r>
          </w:p>
        </w:tc>
      </w:tr>
      <w:tr w:rsidR="00643896" w:rsidRPr="00640820" w14:paraId="6900A9AC" w14:textId="77777777" w:rsidTr="000D3BCB">
        <w:tc>
          <w:tcPr>
            <w:tcW w:w="936" w:type="dxa"/>
            <w:gridSpan w:val="2"/>
            <w:tcBorders>
              <w:top w:val="single" w:sz="6" w:space="0" w:color="auto"/>
              <w:left w:val="single" w:sz="12" w:space="0" w:color="auto"/>
              <w:bottom w:val="single" w:sz="6" w:space="0" w:color="auto"/>
              <w:right w:val="single" w:sz="6" w:space="0" w:color="auto"/>
            </w:tcBorders>
          </w:tcPr>
          <w:p w14:paraId="470EE9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ЯК-1</w:t>
            </w:r>
          </w:p>
        </w:tc>
        <w:tc>
          <w:tcPr>
            <w:tcW w:w="936" w:type="dxa"/>
            <w:gridSpan w:val="2"/>
            <w:tcBorders>
              <w:top w:val="single" w:sz="6" w:space="0" w:color="auto"/>
              <w:left w:val="single" w:sz="6" w:space="0" w:color="auto"/>
              <w:bottom w:val="single" w:sz="6" w:space="0" w:color="auto"/>
              <w:right w:val="single" w:sz="6" w:space="0" w:color="auto"/>
            </w:tcBorders>
          </w:tcPr>
          <w:p w14:paraId="220EB4F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292</w:t>
            </w:r>
          </w:p>
        </w:tc>
        <w:tc>
          <w:tcPr>
            <w:tcW w:w="849" w:type="dxa"/>
            <w:gridSpan w:val="2"/>
            <w:tcBorders>
              <w:top w:val="single" w:sz="6" w:space="0" w:color="auto"/>
              <w:left w:val="single" w:sz="6" w:space="0" w:color="auto"/>
              <w:bottom w:val="single" w:sz="6" w:space="0" w:color="auto"/>
              <w:right w:val="single" w:sz="6" w:space="0" w:color="auto"/>
            </w:tcBorders>
          </w:tcPr>
          <w:p w14:paraId="29416F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4E5F60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55" w:type="dxa"/>
            <w:gridSpan w:val="2"/>
            <w:tcBorders>
              <w:top w:val="single" w:sz="6" w:space="0" w:color="auto"/>
              <w:left w:val="single" w:sz="6" w:space="0" w:color="auto"/>
              <w:bottom w:val="single" w:sz="6" w:space="0" w:color="auto"/>
              <w:right w:val="single" w:sz="6" w:space="0" w:color="auto"/>
            </w:tcBorders>
          </w:tcPr>
          <w:p w14:paraId="3C0361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748" w:type="dxa"/>
            <w:gridSpan w:val="2"/>
            <w:tcBorders>
              <w:top w:val="single" w:sz="6" w:space="0" w:color="auto"/>
              <w:left w:val="single" w:sz="6" w:space="0" w:color="auto"/>
              <w:bottom w:val="single" w:sz="6" w:space="0" w:color="auto"/>
              <w:right w:val="single" w:sz="6" w:space="0" w:color="auto"/>
            </w:tcBorders>
          </w:tcPr>
          <w:p w14:paraId="68BF9FB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w:t>
            </w:r>
          </w:p>
        </w:tc>
        <w:tc>
          <w:tcPr>
            <w:tcW w:w="748" w:type="dxa"/>
            <w:gridSpan w:val="2"/>
            <w:tcBorders>
              <w:top w:val="single" w:sz="6" w:space="0" w:color="auto"/>
              <w:left w:val="single" w:sz="6" w:space="0" w:color="auto"/>
              <w:bottom w:val="single" w:sz="6" w:space="0" w:color="auto"/>
              <w:right w:val="single" w:sz="6" w:space="0" w:color="auto"/>
            </w:tcBorders>
          </w:tcPr>
          <w:p w14:paraId="1A604A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40</w:t>
            </w:r>
          </w:p>
        </w:tc>
        <w:tc>
          <w:tcPr>
            <w:tcW w:w="748" w:type="dxa"/>
            <w:gridSpan w:val="2"/>
            <w:tcBorders>
              <w:top w:val="single" w:sz="6" w:space="0" w:color="auto"/>
              <w:left w:val="single" w:sz="6" w:space="0" w:color="auto"/>
              <w:bottom w:val="single" w:sz="6" w:space="0" w:color="auto"/>
              <w:right w:val="single" w:sz="6" w:space="0" w:color="auto"/>
            </w:tcBorders>
          </w:tcPr>
          <w:p w14:paraId="7B0716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76</w:t>
            </w:r>
          </w:p>
        </w:tc>
        <w:tc>
          <w:tcPr>
            <w:tcW w:w="748" w:type="dxa"/>
            <w:gridSpan w:val="2"/>
            <w:tcBorders>
              <w:top w:val="single" w:sz="6" w:space="0" w:color="auto"/>
              <w:left w:val="single" w:sz="6" w:space="0" w:color="auto"/>
              <w:bottom w:val="single" w:sz="6" w:space="0" w:color="auto"/>
              <w:right w:val="single" w:sz="6" w:space="0" w:color="auto"/>
            </w:tcBorders>
          </w:tcPr>
          <w:p w14:paraId="5A032E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66</w:t>
            </w:r>
          </w:p>
        </w:tc>
        <w:tc>
          <w:tcPr>
            <w:tcW w:w="748" w:type="dxa"/>
            <w:gridSpan w:val="3"/>
            <w:tcBorders>
              <w:top w:val="single" w:sz="6" w:space="0" w:color="auto"/>
              <w:left w:val="single" w:sz="6" w:space="0" w:color="auto"/>
              <w:bottom w:val="single" w:sz="6" w:space="0" w:color="auto"/>
              <w:right w:val="single" w:sz="6" w:space="0" w:color="auto"/>
            </w:tcBorders>
          </w:tcPr>
          <w:p w14:paraId="470FAE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75</w:t>
            </w:r>
          </w:p>
        </w:tc>
        <w:tc>
          <w:tcPr>
            <w:tcW w:w="748" w:type="dxa"/>
            <w:gridSpan w:val="2"/>
            <w:tcBorders>
              <w:top w:val="single" w:sz="6" w:space="0" w:color="auto"/>
              <w:left w:val="single" w:sz="6" w:space="0" w:color="auto"/>
              <w:bottom w:val="single" w:sz="6" w:space="0" w:color="auto"/>
              <w:right w:val="single" w:sz="6" w:space="0" w:color="auto"/>
            </w:tcBorders>
          </w:tcPr>
          <w:p w14:paraId="3FA233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101</w:t>
            </w:r>
          </w:p>
        </w:tc>
        <w:tc>
          <w:tcPr>
            <w:tcW w:w="748" w:type="dxa"/>
            <w:gridSpan w:val="2"/>
            <w:tcBorders>
              <w:top w:val="single" w:sz="6" w:space="0" w:color="auto"/>
              <w:left w:val="single" w:sz="6" w:space="0" w:color="auto"/>
              <w:bottom w:val="single" w:sz="6" w:space="0" w:color="auto"/>
              <w:right w:val="single" w:sz="6" w:space="0" w:color="auto"/>
            </w:tcBorders>
          </w:tcPr>
          <w:p w14:paraId="4C8D7C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242</w:t>
            </w:r>
          </w:p>
        </w:tc>
        <w:tc>
          <w:tcPr>
            <w:tcW w:w="748" w:type="dxa"/>
            <w:tcBorders>
              <w:top w:val="single" w:sz="6" w:space="0" w:color="auto"/>
              <w:left w:val="single" w:sz="6" w:space="0" w:color="auto"/>
              <w:bottom w:val="single" w:sz="6" w:space="0" w:color="auto"/>
              <w:right w:val="single" w:sz="12" w:space="0" w:color="auto"/>
            </w:tcBorders>
          </w:tcPr>
          <w:p w14:paraId="6AE186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318</w:t>
            </w:r>
          </w:p>
        </w:tc>
      </w:tr>
      <w:tr w:rsidR="00643896" w:rsidRPr="00640820" w14:paraId="09C25D73" w14:textId="77777777" w:rsidTr="000D3BCB">
        <w:tc>
          <w:tcPr>
            <w:tcW w:w="936" w:type="dxa"/>
            <w:gridSpan w:val="2"/>
            <w:tcBorders>
              <w:top w:val="single" w:sz="6" w:space="0" w:color="auto"/>
              <w:left w:val="single" w:sz="12" w:space="0" w:color="auto"/>
              <w:bottom w:val="single" w:sz="6" w:space="0" w:color="auto"/>
              <w:right w:val="single" w:sz="6" w:space="0" w:color="auto"/>
            </w:tcBorders>
          </w:tcPr>
          <w:p w14:paraId="597A2B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ЯК-1</w:t>
            </w:r>
          </w:p>
        </w:tc>
        <w:tc>
          <w:tcPr>
            <w:tcW w:w="936" w:type="dxa"/>
            <w:gridSpan w:val="2"/>
            <w:tcBorders>
              <w:top w:val="single" w:sz="6" w:space="0" w:color="auto"/>
              <w:left w:val="single" w:sz="6" w:space="0" w:color="auto"/>
              <w:bottom w:val="single" w:sz="6" w:space="0" w:color="auto"/>
              <w:right w:val="single" w:sz="6" w:space="0" w:color="auto"/>
            </w:tcBorders>
          </w:tcPr>
          <w:p w14:paraId="3EDF51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301</w:t>
            </w:r>
          </w:p>
        </w:tc>
        <w:tc>
          <w:tcPr>
            <w:tcW w:w="849" w:type="dxa"/>
            <w:gridSpan w:val="2"/>
            <w:tcBorders>
              <w:top w:val="single" w:sz="6" w:space="0" w:color="auto"/>
              <w:left w:val="single" w:sz="6" w:space="0" w:color="auto"/>
              <w:bottom w:val="single" w:sz="6" w:space="0" w:color="auto"/>
              <w:right w:val="single" w:sz="6" w:space="0" w:color="auto"/>
            </w:tcBorders>
          </w:tcPr>
          <w:p w14:paraId="183822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3C9055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55" w:type="dxa"/>
            <w:gridSpan w:val="2"/>
            <w:tcBorders>
              <w:top w:val="single" w:sz="6" w:space="0" w:color="auto"/>
              <w:left w:val="single" w:sz="6" w:space="0" w:color="auto"/>
              <w:bottom w:val="single" w:sz="6" w:space="0" w:color="auto"/>
              <w:right w:val="single" w:sz="6" w:space="0" w:color="auto"/>
            </w:tcBorders>
          </w:tcPr>
          <w:p w14:paraId="08226B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25</w:t>
            </w:r>
          </w:p>
        </w:tc>
        <w:tc>
          <w:tcPr>
            <w:tcW w:w="748" w:type="dxa"/>
            <w:gridSpan w:val="2"/>
            <w:tcBorders>
              <w:top w:val="single" w:sz="6" w:space="0" w:color="auto"/>
              <w:left w:val="single" w:sz="6" w:space="0" w:color="auto"/>
              <w:bottom w:val="single" w:sz="6" w:space="0" w:color="auto"/>
              <w:right w:val="single" w:sz="6" w:space="0" w:color="auto"/>
            </w:tcBorders>
          </w:tcPr>
          <w:p w14:paraId="2B929B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26</w:t>
            </w:r>
          </w:p>
        </w:tc>
        <w:tc>
          <w:tcPr>
            <w:tcW w:w="748" w:type="dxa"/>
            <w:gridSpan w:val="2"/>
            <w:tcBorders>
              <w:top w:val="single" w:sz="6" w:space="0" w:color="auto"/>
              <w:left w:val="single" w:sz="6" w:space="0" w:color="auto"/>
              <w:bottom w:val="single" w:sz="6" w:space="0" w:color="auto"/>
              <w:right w:val="single" w:sz="6" w:space="0" w:color="auto"/>
            </w:tcBorders>
          </w:tcPr>
          <w:p w14:paraId="325D4B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w:t>
            </w:r>
          </w:p>
        </w:tc>
        <w:tc>
          <w:tcPr>
            <w:tcW w:w="748" w:type="dxa"/>
            <w:gridSpan w:val="2"/>
            <w:tcBorders>
              <w:top w:val="single" w:sz="6" w:space="0" w:color="auto"/>
              <w:left w:val="single" w:sz="6" w:space="0" w:color="auto"/>
              <w:bottom w:val="single" w:sz="6" w:space="0" w:color="auto"/>
              <w:right w:val="single" w:sz="6" w:space="0" w:color="auto"/>
            </w:tcBorders>
          </w:tcPr>
          <w:p w14:paraId="40325F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69</w:t>
            </w:r>
          </w:p>
        </w:tc>
        <w:tc>
          <w:tcPr>
            <w:tcW w:w="748" w:type="dxa"/>
            <w:gridSpan w:val="2"/>
            <w:tcBorders>
              <w:top w:val="single" w:sz="6" w:space="0" w:color="auto"/>
              <w:left w:val="single" w:sz="6" w:space="0" w:color="auto"/>
              <w:bottom w:val="single" w:sz="6" w:space="0" w:color="auto"/>
              <w:right w:val="single" w:sz="6" w:space="0" w:color="auto"/>
            </w:tcBorders>
          </w:tcPr>
          <w:p w14:paraId="677926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3"/>
            <w:tcBorders>
              <w:top w:val="single" w:sz="6" w:space="0" w:color="auto"/>
              <w:left w:val="single" w:sz="6" w:space="0" w:color="auto"/>
              <w:bottom w:val="single" w:sz="6" w:space="0" w:color="auto"/>
              <w:right w:val="single" w:sz="6" w:space="0" w:color="auto"/>
            </w:tcBorders>
          </w:tcPr>
          <w:p w14:paraId="2DD6F7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2AE9E2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698FEE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tcBorders>
              <w:top w:val="single" w:sz="6" w:space="0" w:color="auto"/>
              <w:left w:val="single" w:sz="6" w:space="0" w:color="auto"/>
              <w:bottom w:val="single" w:sz="6" w:space="0" w:color="auto"/>
              <w:right w:val="single" w:sz="12" w:space="0" w:color="auto"/>
            </w:tcBorders>
          </w:tcPr>
          <w:p w14:paraId="51BE39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69</w:t>
            </w:r>
          </w:p>
        </w:tc>
      </w:tr>
      <w:tr w:rsidR="00643896" w:rsidRPr="00640820" w14:paraId="6E01244A" w14:textId="77777777" w:rsidTr="000D3BCB">
        <w:tc>
          <w:tcPr>
            <w:tcW w:w="936" w:type="dxa"/>
            <w:gridSpan w:val="2"/>
            <w:tcBorders>
              <w:top w:val="single" w:sz="6" w:space="0" w:color="auto"/>
              <w:left w:val="single" w:sz="12" w:space="0" w:color="auto"/>
              <w:bottom w:val="single" w:sz="6" w:space="0" w:color="auto"/>
              <w:right w:val="single" w:sz="6" w:space="0" w:color="auto"/>
            </w:tcBorders>
          </w:tcPr>
          <w:p w14:paraId="0087B8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И-16</w:t>
            </w:r>
          </w:p>
        </w:tc>
        <w:tc>
          <w:tcPr>
            <w:tcW w:w="936" w:type="dxa"/>
            <w:gridSpan w:val="2"/>
            <w:tcBorders>
              <w:top w:val="single" w:sz="6" w:space="0" w:color="auto"/>
              <w:left w:val="single" w:sz="6" w:space="0" w:color="auto"/>
              <w:bottom w:val="single" w:sz="6" w:space="0" w:color="auto"/>
              <w:right w:val="single" w:sz="6" w:space="0" w:color="auto"/>
            </w:tcBorders>
          </w:tcPr>
          <w:p w14:paraId="71BA27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153</w:t>
            </w:r>
          </w:p>
        </w:tc>
        <w:tc>
          <w:tcPr>
            <w:tcW w:w="849" w:type="dxa"/>
            <w:gridSpan w:val="2"/>
            <w:tcBorders>
              <w:top w:val="single" w:sz="6" w:space="0" w:color="auto"/>
              <w:left w:val="single" w:sz="6" w:space="0" w:color="auto"/>
              <w:bottom w:val="single" w:sz="6" w:space="0" w:color="auto"/>
              <w:right w:val="single" w:sz="6" w:space="0" w:color="auto"/>
            </w:tcBorders>
          </w:tcPr>
          <w:p w14:paraId="0D7808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50F248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55" w:type="dxa"/>
            <w:gridSpan w:val="2"/>
            <w:tcBorders>
              <w:top w:val="single" w:sz="6" w:space="0" w:color="auto"/>
              <w:left w:val="single" w:sz="6" w:space="0" w:color="auto"/>
              <w:bottom w:val="single" w:sz="6" w:space="0" w:color="auto"/>
              <w:right w:val="single" w:sz="6" w:space="0" w:color="auto"/>
            </w:tcBorders>
          </w:tcPr>
          <w:p w14:paraId="79E31D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748" w:type="dxa"/>
            <w:gridSpan w:val="2"/>
            <w:tcBorders>
              <w:top w:val="single" w:sz="6" w:space="0" w:color="auto"/>
              <w:left w:val="single" w:sz="6" w:space="0" w:color="auto"/>
              <w:bottom w:val="single" w:sz="6" w:space="0" w:color="auto"/>
              <w:right w:val="single" w:sz="6" w:space="0" w:color="auto"/>
            </w:tcBorders>
          </w:tcPr>
          <w:p w14:paraId="18EDE8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79EBE6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69F2F9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748" w:type="dxa"/>
            <w:gridSpan w:val="2"/>
            <w:tcBorders>
              <w:top w:val="single" w:sz="6" w:space="0" w:color="auto"/>
              <w:left w:val="single" w:sz="6" w:space="0" w:color="auto"/>
              <w:bottom w:val="single" w:sz="6" w:space="0" w:color="auto"/>
              <w:right w:val="single" w:sz="6" w:space="0" w:color="auto"/>
            </w:tcBorders>
          </w:tcPr>
          <w:p w14:paraId="296035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w:t>
            </w:r>
          </w:p>
        </w:tc>
        <w:tc>
          <w:tcPr>
            <w:tcW w:w="748" w:type="dxa"/>
            <w:gridSpan w:val="3"/>
            <w:tcBorders>
              <w:top w:val="single" w:sz="6" w:space="0" w:color="auto"/>
              <w:left w:val="single" w:sz="6" w:space="0" w:color="auto"/>
              <w:bottom w:val="single" w:sz="6" w:space="0" w:color="auto"/>
              <w:right w:val="single" w:sz="6" w:space="0" w:color="auto"/>
            </w:tcBorders>
          </w:tcPr>
          <w:p w14:paraId="6AEEE5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69DDA0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748" w:type="dxa"/>
            <w:gridSpan w:val="2"/>
            <w:tcBorders>
              <w:top w:val="single" w:sz="6" w:space="0" w:color="auto"/>
              <w:left w:val="single" w:sz="6" w:space="0" w:color="auto"/>
              <w:bottom w:val="single" w:sz="6" w:space="0" w:color="auto"/>
              <w:right w:val="single" w:sz="6" w:space="0" w:color="auto"/>
            </w:tcBorders>
          </w:tcPr>
          <w:p w14:paraId="766C60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w:t>
            </w:r>
          </w:p>
        </w:tc>
        <w:tc>
          <w:tcPr>
            <w:tcW w:w="748" w:type="dxa"/>
            <w:tcBorders>
              <w:top w:val="single" w:sz="6" w:space="0" w:color="auto"/>
              <w:left w:val="single" w:sz="6" w:space="0" w:color="auto"/>
              <w:bottom w:val="single" w:sz="6" w:space="0" w:color="auto"/>
              <w:right w:val="single" w:sz="12" w:space="0" w:color="auto"/>
            </w:tcBorders>
          </w:tcPr>
          <w:p w14:paraId="36BC39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w:t>
            </w:r>
          </w:p>
        </w:tc>
      </w:tr>
      <w:tr w:rsidR="00643896" w:rsidRPr="00640820" w14:paraId="35F0F02F" w14:textId="77777777" w:rsidTr="000D3BCB">
        <w:tc>
          <w:tcPr>
            <w:tcW w:w="936" w:type="dxa"/>
            <w:gridSpan w:val="2"/>
            <w:tcBorders>
              <w:top w:val="single" w:sz="6" w:space="0" w:color="auto"/>
              <w:left w:val="single" w:sz="12" w:space="0" w:color="auto"/>
              <w:bottom w:val="single" w:sz="6" w:space="0" w:color="auto"/>
              <w:right w:val="single" w:sz="6" w:space="0" w:color="auto"/>
            </w:tcBorders>
          </w:tcPr>
          <w:p w14:paraId="3CDA10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ЛАГГ-3</w:t>
            </w:r>
          </w:p>
        </w:tc>
        <w:tc>
          <w:tcPr>
            <w:tcW w:w="936" w:type="dxa"/>
            <w:gridSpan w:val="2"/>
            <w:tcBorders>
              <w:top w:val="single" w:sz="6" w:space="0" w:color="auto"/>
              <w:left w:val="single" w:sz="6" w:space="0" w:color="auto"/>
              <w:bottom w:val="single" w:sz="6" w:space="0" w:color="auto"/>
              <w:right w:val="single" w:sz="6" w:space="0" w:color="auto"/>
            </w:tcBorders>
          </w:tcPr>
          <w:p w14:paraId="14A60B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153</w:t>
            </w:r>
          </w:p>
        </w:tc>
        <w:tc>
          <w:tcPr>
            <w:tcW w:w="849" w:type="dxa"/>
            <w:gridSpan w:val="2"/>
            <w:tcBorders>
              <w:top w:val="single" w:sz="6" w:space="0" w:color="auto"/>
              <w:left w:val="single" w:sz="6" w:space="0" w:color="auto"/>
              <w:bottom w:val="single" w:sz="6" w:space="0" w:color="auto"/>
              <w:right w:val="single" w:sz="6" w:space="0" w:color="auto"/>
            </w:tcBorders>
          </w:tcPr>
          <w:p w14:paraId="41140C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392AFD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55" w:type="dxa"/>
            <w:gridSpan w:val="2"/>
            <w:tcBorders>
              <w:top w:val="single" w:sz="6" w:space="0" w:color="auto"/>
              <w:left w:val="single" w:sz="6" w:space="0" w:color="auto"/>
              <w:bottom w:val="single" w:sz="6" w:space="0" w:color="auto"/>
              <w:right w:val="single" w:sz="6" w:space="0" w:color="auto"/>
            </w:tcBorders>
          </w:tcPr>
          <w:p w14:paraId="415041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48" w:type="dxa"/>
            <w:gridSpan w:val="2"/>
            <w:tcBorders>
              <w:top w:val="single" w:sz="6" w:space="0" w:color="auto"/>
              <w:left w:val="single" w:sz="6" w:space="0" w:color="auto"/>
              <w:bottom w:val="single" w:sz="6" w:space="0" w:color="auto"/>
              <w:right w:val="single" w:sz="6" w:space="0" w:color="auto"/>
            </w:tcBorders>
          </w:tcPr>
          <w:p w14:paraId="3EFB55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4B1AAB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593027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275FBA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3"/>
            <w:tcBorders>
              <w:top w:val="single" w:sz="6" w:space="0" w:color="auto"/>
              <w:left w:val="single" w:sz="6" w:space="0" w:color="auto"/>
              <w:bottom w:val="single" w:sz="6" w:space="0" w:color="auto"/>
              <w:right w:val="single" w:sz="6" w:space="0" w:color="auto"/>
            </w:tcBorders>
          </w:tcPr>
          <w:p w14:paraId="1E72E2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3863EE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6CC516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tcBorders>
              <w:top w:val="single" w:sz="6" w:space="0" w:color="auto"/>
              <w:left w:val="single" w:sz="6" w:space="0" w:color="auto"/>
              <w:bottom w:val="single" w:sz="6" w:space="0" w:color="auto"/>
              <w:right w:val="single" w:sz="12" w:space="0" w:color="auto"/>
            </w:tcBorders>
          </w:tcPr>
          <w:p w14:paraId="5FEA2D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r>
      <w:tr w:rsidR="00643896" w:rsidRPr="00640820" w14:paraId="5B9D0E6A" w14:textId="77777777" w:rsidTr="000D3BCB">
        <w:tc>
          <w:tcPr>
            <w:tcW w:w="936" w:type="dxa"/>
            <w:gridSpan w:val="2"/>
            <w:tcBorders>
              <w:top w:val="single" w:sz="6" w:space="0" w:color="auto"/>
              <w:left w:val="single" w:sz="12" w:space="0" w:color="auto"/>
              <w:bottom w:val="single" w:sz="6" w:space="0" w:color="auto"/>
              <w:right w:val="single" w:sz="6" w:space="0" w:color="auto"/>
            </w:tcBorders>
          </w:tcPr>
          <w:p w14:paraId="773B04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ПЕ-3</w:t>
            </w:r>
          </w:p>
        </w:tc>
        <w:tc>
          <w:tcPr>
            <w:tcW w:w="936" w:type="dxa"/>
            <w:gridSpan w:val="2"/>
            <w:tcBorders>
              <w:top w:val="single" w:sz="6" w:space="0" w:color="auto"/>
              <w:left w:val="single" w:sz="6" w:space="0" w:color="auto"/>
              <w:bottom w:val="single" w:sz="6" w:space="0" w:color="auto"/>
              <w:right w:val="single" w:sz="6" w:space="0" w:color="auto"/>
            </w:tcBorders>
          </w:tcPr>
          <w:p w14:paraId="2E1763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39</w:t>
            </w:r>
          </w:p>
        </w:tc>
        <w:tc>
          <w:tcPr>
            <w:tcW w:w="849" w:type="dxa"/>
            <w:gridSpan w:val="2"/>
            <w:tcBorders>
              <w:top w:val="single" w:sz="6" w:space="0" w:color="auto"/>
              <w:left w:val="single" w:sz="6" w:space="0" w:color="auto"/>
              <w:bottom w:val="single" w:sz="6" w:space="0" w:color="auto"/>
              <w:right w:val="single" w:sz="6" w:space="0" w:color="auto"/>
            </w:tcBorders>
          </w:tcPr>
          <w:p w14:paraId="525BA9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2179D6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55" w:type="dxa"/>
            <w:gridSpan w:val="2"/>
            <w:tcBorders>
              <w:top w:val="single" w:sz="6" w:space="0" w:color="auto"/>
              <w:left w:val="single" w:sz="6" w:space="0" w:color="auto"/>
              <w:bottom w:val="single" w:sz="6" w:space="0" w:color="auto"/>
              <w:right w:val="single" w:sz="6" w:space="0" w:color="auto"/>
            </w:tcBorders>
          </w:tcPr>
          <w:p w14:paraId="5A23A7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48" w:type="dxa"/>
            <w:gridSpan w:val="2"/>
            <w:tcBorders>
              <w:top w:val="single" w:sz="6" w:space="0" w:color="auto"/>
              <w:left w:val="single" w:sz="6" w:space="0" w:color="auto"/>
              <w:bottom w:val="single" w:sz="6" w:space="0" w:color="auto"/>
              <w:right w:val="single" w:sz="6" w:space="0" w:color="auto"/>
            </w:tcBorders>
          </w:tcPr>
          <w:p w14:paraId="24E1AB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008C27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1BDC61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70A123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3"/>
            <w:tcBorders>
              <w:top w:val="single" w:sz="6" w:space="0" w:color="auto"/>
              <w:left w:val="single" w:sz="6" w:space="0" w:color="auto"/>
              <w:bottom w:val="single" w:sz="6" w:space="0" w:color="auto"/>
              <w:right w:val="single" w:sz="6" w:space="0" w:color="auto"/>
            </w:tcBorders>
          </w:tcPr>
          <w:p w14:paraId="70D17C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2F9DE4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575099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tcBorders>
              <w:top w:val="single" w:sz="6" w:space="0" w:color="auto"/>
              <w:left w:val="single" w:sz="6" w:space="0" w:color="auto"/>
              <w:bottom w:val="single" w:sz="6" w:space="0" w:color="auto"/>
              <w:right w:val="single" w:sz="12" w:space="0" w:color="auto"/>
            </w:tcBorders>
          </w:tcPr>
          <w:p w14:paraId="4A1D28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r>
      <w:tr w:rsidR="00643896" w:rsidRPr="00640820" w14:paraId="33FDA2E3" w14:textId="77777777" w:rsidTr="000D3BCB">
        <w:tc>
          <w:tcPr>
            <w:tcW w:w="936" w:type="dxa"/>
            <w:gridSpan w:val="2"/>
            <w:tcBorders>
              <w:top w:val="single" w:sz="6" w:space="0" w:color="auto"/>
              <w:left w:val="single" w:sz="12" w:space="0" w:color="auto"/>
              <w:bottom w:val="single" w:sz="6" w:space="0" w:color="auto"/>
              <w:right w:val="single" w:sz="6" w:space="0" w:color="auto"/>
            </w:tcBorders>
          </w:tcPr>
          <w:p w14:paraId="333ECE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И-21</w:t>
            </w:r>
          </w:p>
        </w:tc>
        <w:tc>
          <w:tcPr>
            <w:tcW w:w="936" w:type="dxa"/>
            <w:gridSpan w:val="2"/>
            <w:tcBorders>
              <w:top w:val="single" w:sz="6" w:space="0" w:color="auto"/>
              <w:left w:val="single" w:sz="6" w:space="0" w:color="auto"/>
              <w:bottom w:val="single" w:sz="6" w:space="0" w:color="auto"/>
              <w:right w:val="single" w:sz="6" w:space="0" w:color="auto"/>
            </w:tcBorders>
          </w:tcPr>
          <w:p w14:paraId="0B7499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w:t>
            </w:r>
          </w:p>
        </w:tc>
        <w:tc>
          <w:tcPr>
            <w:tcW w:w="849" w:type="dxa"/>
            <w:gridSpan w:val="2"/>
            <w:tcBorders>
              <w:top w:val="single" w:sz="6" w:space="0" w:color="auto"/>
              <w:left w:val="single" w:sz="6" w:space="0" w:color="auto"/>
              <w:bottom w:val="single" w:sz="6" w:space="0" w:color="auto"/>
              <w:right w:val="single" w:sz="6" w:space="0" w:color="auto"/>
            </w:tcBorders>
          </w:tcPr>
          <w:p w14:paraId="132CD5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3A1A03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55" w:type="dxa"/>
            <w:gridSpan w:val="2"/>
            <w:tcBorders>
              <w:top w:val="single" w:sz="6" w:space="0" w:color="auto"/>
              <w:left w:val="single" w:sz="6" w:space="0" w:color="auto"/>
              <w:bottom w:val="single" w:sz="6" w:space="0" w:color="auto"/>
              <w:right w:val="single" w:sz="6" w:space="0" w:color="auto"/>
            </w:tcBorders>
          </w:tcPr>
          <w:p w14:paraId="130FE4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48" w:type="dxa"/>
            <w:gridSpan w:val="2"/>
            <w:tcBorders>
              <w:top w:val="single" w:sz="6" w:space="0" w:color="auto"/>
              <w:left w:val="single" w:sz="6" w:space="0" w:color="auto"/>
              <w:bottom w:val="single" w:sz="6" w:space="0" w:color="auto"/>
              <w:right w:val="single" w:sz="6" w:space="0" w:color="auto"/>
            </w:tcBorders>
          </w:tcPr>
          <w:p w14:paraId="63B727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047C1A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280365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2549FB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3"/>
            <w:tcBorders>
              <w:top w:val="single" w:sz="6" w:space="0" w:color="auto"/>
              <w:left w:val="single" w:sz="6" w:space="0" w:color="auto"/>
              <w:bottom w:val="single" w:sz="6" w:space="0" w:color="auto"/>
              <w:right w:val="single" w:sz="6" w:space="0" w:color="auto"/>
            </w:tcBorders>
          </w:tcPr>
          <w:p w14:paraId="22525B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4C7B3A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2E92EA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tcBorders>
              <w:top w:val="single" w:sz="6" w:space="0" w:color="auto"/>
              <w:left w:val="single" w:sz="6" w:space="0" w:color="auto"/>
              <w:bottom w:val="single" w:sz="6" w:space="0" w:color="auto"/>
              <w:right w:val="single" w:sz="12" w:space="0" w:color="auto"/>
            </w:tcBorders>
          </w:tcPr>
          <w:p w14:paraId="552CD5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r>
      <w:tr w:rsidR="00643896" w:rsidRPr="00640820" w14:paraId="7D1B16A9" w14:textId="77777777" w:rsidTr="000D3BCB">
        <w:tc>
          <w:tcPr>
            <w:tcW w:w="936" w:type="dxa"/>
            <w:gridSpan w:val="2"/>
            <w:tcBorders>
              <w:top w:val="single" w:sz="6" w:space="0" w:color="auto"/>
              <w:left w:val="single" w:sz="12" w:space="0" w:color="auto"/>
              <w:bottom w:val="single" w:sz="6" w:space="0" w:color="auto"/>
              <w:right w:val="single" w:sz="6" w:space="0" w:color="auto"/>
            </w:tcBorders>
          </w:tcPr>
          <w:p w14:paraId="245E9F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ЯК-1</w:t>
            </w:r>
          </w:p>
        </w:tc>
        <w:tc>
          <w:tcPr>
            <w:tcW w:w="936" w:type="dxa"/>
            <w:gridSpan w:val="2"/>
            <w:tcBorders>
              <w:top w:val="single" w:sz="6" w:space="0" w:color="auto"/>
              <w:left w:val="single" w:sz="6" w:space="0" w:color="auto"/>
              <w:bottom w:val="single" w:sz="6" w:space="0" w:color="auto"/>
              <w:right w:val="single" w:sz="6" w:space="0" w:color="auto"/>
            </w:tcBorders>
          </w:tcPr>
          <w:p w14:paraId="5D19E4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153</w:t>
            </w:r>
          </w:p>
        </w:tc>
        <w:tc>
          <w:tcPr>
            <w:tcW w:w="849" w:type="dxa"/>
            <w:gridSpan w:val="2"/>
            <w:tcBorders>
              <w:top w:val="single" w:sz="6" w:space="0" w:color="auto"/>
              <w:left w:val="single" w:sz="6" w:space="0" w:color="auto"/>
              <w:bottom w:val="single" w:sz="6" w:space="0" w:color="auto"/>
              <w:right w:val="single" w:sz="6" w:space="0" w:color="auto"/>
            </w:tcBorders>
          </w:tcPr>
          <w:p w14:paraId="456BEE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58A212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55" w:type="dxa"/>
            <w:gridSpan w:val="2"/>
            <w:tcBorders>
              <w:top w:val="single" w:sz="6" w:space="0" w:color="auto"/>
              <w:left w:val="single" w:sz="6" w:space="0" w:color="auto"/>
              <w:bottom w:val="single" w:sz="6" w:space="0" w:color="auto"/>
              <w:right w:val="single" w:sz="6" w:space="0" w:color="auto"/>
            </w:tcBorders>
          </w:tcPr>
          <w:p w14:paraId="5C99B13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48" w:type="dxa"/>
            <w:gridSpan w:val="2"/>
            <w:tcBorders>
              <w:top w:val="single" w:sz="6" w:space="0" w:color="auto"/>
              <w:left w:val="single" w:sz="6" w:space="0" w:color="auto"/>
              <w:bottom w:val="single" w:sz="6" w:space="0" w:color="auto"/>
              <w:right w:val="single" w:sz="6" w:space="0" w:color="auto"/>
            </w:tcBorders>
          </w:tcPr>
          <w:p w14:paraId="0F315B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7383F4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2850C8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3E1F5E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3"/>
            <w:tcBorders>
              <w:top w:val="single" w:sz="6" w:space="0" w:color="auto"/>
              <w:left w:val="single" w:sz="6" w:space="0" w:color="auto"/>
              <w:bottom w:val="single" w:sz="6" w:space="0" w:color="auto"/>
              <w:right w:val="single" w:sz="6" w:space="0" w:color="auto"/>
            </w:tcBorders>
          </w:tcPr>
          <w:p w14:paraId="547821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1FA141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0861CC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tcBorders>
              <w:top w:val="single" w:sz="6" w:space="0" w:color="auto"/>
              <w:left w:val="single" w:sz="6" w:space="0" w:color="auto"/>
              <w:bottom w:val="single" w:sz="6" w:space="0" w:color="auto"/>
              <w:right w:val="single" w:sz="12" w:space="0" w:color="auto"/>
            </w:tcBorders>
          </w:tcPr>
          <w:p w14:paraId="2AFB13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r>
      <w:tr w:rsidR="00643896" w:rsidRPr="00640820" w14:paraId="1DC53309" w14:textId="77777777" w:rsidTr="000D3BCB">
        <w:tc>
          <w:tcPr>
            <w:tcW w:w="936" w:type="dxa"/>
            <w:gridSpan w:val="4"/>
            <w:tcBorders>
              <w:top w:val="single" w:sz="6" w:space="0" w:color="auto"/>
              <w:left w:val="single" w:sz="12" w:space="0" w:color="auto"/>
              <w:bottom w:val="single" w:sz="6" w:space="0" w:color="auto"/>
              <w:right w:val="single" w:sz="6" w:space="0" w:color="auto"/>
            </w:tcBorders>
          </w:tcPr>
          <w:p w14:paraId="13413A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Итого истребителей</w:t>
            </w:r>
          </w:p>
        </w:tc>
        <w:tc>
          <w:tcPr>
            <w:tcW w:w="849" w:type="dxa"/>
            <w:gridSpan w:val="2"/>
            <w:tcBorders>
              <w:top w:val="single" w:sz="6" w:space="0" w:color="auto"/>
              <w:left w:val="single" w:sz="6" w:space="0" w:color="auto"/>
              <w:bottom w:val="single" w:sz="6" w:space="0" w:color="auto"/>
              <w:right w:val="single" w:sz="6" w:space="0" w:color="auto"/>
            </w:tcBorders>
          </w:tcPr>
          <w:p w14:paraId="486ED4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55" w:type="dxa"/>
            <w:gridSpan w:val="2"/>
            <w:tcBorders>
              <w:top w:val="single" w:sz="6" w:space="0" w:color="auto"/>
              <w:left w:val="single" w:sz="6" w:space="0" w:color="auto"/>
              <w:bottom w:val="single" w:sz="6" w:space="0" w:color="auto"/>
              <w:right w:val="single" w:sz="6" w:space="0" w:color="auto"/>
            </w:tcBorders>
          </w:tcPr>
          <w:p w14:paraId="5ECE0C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261</w:t>
            </w:r>
          </w:p>
        </w:tc>
        <w:tc>
          <w:tcPr>
            <w:tcW w:w="748" w:type="dxa"/>
            <w:gridSpan w:val="2"/>
            <w:tcBorders>
              <w:top w:val="single" w:sz="6" w:space="0" w:color="auto"/>
              <w:left w:val="single" w:sz="6" w:space="0" w:color="auto"/>
              <w:bottom w:val="single" w:sz="6" w:space="0" w:color="auto"/>
              <w:right w:val="single" w:sz="6" w:space="0" w:color="auto"/>
            </w:tcBorders>
          </w:tcPr>
          <w:p w14:paraId="21C447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276</w:t>
            </w:r>
          </w:p>
        </w:tc>
        <w:tc>
          <w:tcPr>
            <w:tcW w:w="748" w:type="dxa"/>
            <w:gridSpan w:val="2"/>
            <w:tcBorders>
              <w:top w:val="single" w:sz="6" w:space="0" w:color="auto"/>
              <w:left w:val="single" w:sz="6" w:space="0" w:color="auto"/>
              <w:bottom w:val="single" w:sz="6" w:space="0" w:color="auto"/>
              <w:right w:val="single" w:sz="6" w:space="0" w:color="auto"/>
            </w:tcBorders>
          </w:tcPr>
          <w:p w14:paraId="01E5AE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312</w:t>
            </w:r>
          </w:p>
        </w:tc>
        <w:tc>
          <w:tcPr>
            <w:tcW w:w="748" w:type="dxa"/>
            <w:gridSpan w:val="2"/>
            <w:tcBorders>
              <w:top w:val="single" w:sz="6" w:space="0" w:color="auto"/>
              <w:left w:val="single" w:sz="6" w:space="0" w:color="auto"/>
              <w:bottom w:val="single" w:sz="6" w:space="0" w:color="auto"/>
              <w:right w:val="single" w:sz="6" w:space="0" w:color="auto"/>
            </w:tcBorders>
          </w:tcPr>
          <w:p w14:paraId="635733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849</w:t>
            </w:r>
          </w:p>
        </w:tc>
        <w:tc>
          <w:tcPr>
            <w:tcW w:w="748" w:type="dxa"/>
            <w:gridSpan w:val="2"/>
            <w:tcBorders>
              <w:top w:val="single" w:sz="6" w:space="0" w:color="auto"/>
              <w:left w:val="single" w:sz="6" w:space="0" w:color="auto"/>
              <w:bottom w:val="single" w:sz="6" w:space="0" w:color="auto"/>
              <w:right w:val="single" w:sz="6" w:space="0" w:color="auto"/>
            </w:tcBorders>
          </w:tcPr>
          <w:p w14:paraId="236C63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421</w:t>
            </w:r>
          </w:p>
        </w:tc>
        <w:tc>
          <w:tcPr>
            <w:tcW w:w="748" w:type="dxa"/>
            <w:gridSpan w:val="3"/>
            <w:tcBorders>
              <w:top w:val="single" w:sz="6" w:space="0" w:color="auto"/>
              <w:left w:val="single" w:sz="6" w:space="0" w:color="auto"/>
              <w:bottom w:val="single" w:sz="6" w:space="0" w:color="auto"/>
              <w:right w:val="single" w:sz="6" w:space="0" w:color="auto"/>
            </w:tcBorders>
          </w:tcPr>
          <w:p w14:paraId="1032E0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433</w:t>
            </w:r>
          </w:p>
        </w:tc>
        <w:tc>
          <w:tcPr>
            <w:tcW w:w="748" w:type="dxa"/>
            <w:gridSpan w:val="2"/>
            <w:tcBorders>
              <w:top w:val="single" w:sz="6" w:space="0" w:color="auto"/>
              <w:left w:val="single" w:sz="6" w:space="0" w:color="auto"/>
              <w:bottom w:val="single" w:sz="6" w:space="0" w:color="auto"/>
              <w:right w:val="single" w:sz="6" w:space="0" w:color="auto"/>
            </w:tcBorders>
          </w:tcPr>
          <w:p w14:paraId="0AE6D9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547</w:t>
            </w:r>
          </w:p>
        </w:tc>
        <w:tc>
          <w:tcPr>
            <w:tcW w:w="748" w:type="dxa"/>
            <w:gridSpan w:val="2"/>
            <w:tcBorders>
              <w:top w:val="single" w:sz="6" w:space="0" w:color="auto"/>
              <w:left w:val="single" w:sz="6" w:space="0" w:color="auto"/>
              <w:bottom w:val="single" w:sz="6" w:space="0" w:color="auto"/>
              <w:right w:val="single" w:sz="6" w:space="0" w:color="auto"/>
            </w:tcBorders>
          </w:tcPr>
          <w:p w14:paraId="5524E4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1401</w:t>
            </w:r>
          </w:p>
        </w:tc>
        <w:tc>
          <w:tcPr>
            <w:tcW w:w="748" w:type="dxa"/>
            <w:tcBorders>
              <w:top w:val="single" w:sz="6" w:space="0" w:color="auto"/>
              <w:left w:val="single" w:sz="6" w:space="0" w:color="auto"/>
              <w:bottom w:val="single" w:sz="6" w:space="0" w:color="auto"/>
              <w:right w:val="single" w:sz="12" w:space="0" w:color="auto"/>
            </w:tcBorders>
          </w:tcPr>
          <w:p w14:paraId="0352E2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2250</w:t>
            </w:r>
          </w:p>
        </w:tc>
      </w:tr>
      <w:tr w:rsidR="00643896" w:rsidRPr="00640820" w14:paraId="153B2D8D" w14:textId="77777777" w:rsidTr="000D3BCB">
        <w:tc>
          <w:tcPr>
            <w:tcW w:w="936" w:type="dxa"/>
            <w:gridSpan w:val="4"/>
            <w:tcBorders>
              <w:top w:val="single" w:sz="6" w:space="0" w:color="auto"/>
              <w:left w:val="single" w:sz="12" w:space="0" w:color="auto"/>
              <w:bottom w:val="single" w:sz="6" w:space="0" w:color="auto"/>
              <w:right w:val="single" w:sz="6" w:space="0" w:color="auto"/>
            </w:tcBorders>
          </w:tcPr>
          <w:p w14:paraId="3143A6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Бомбардировщики</w:t>
            </w:r>
          </w:p>
        </w:tc>
        <w:tc>
          <w:tcPr>
            <w:tcW w:w="849" w:type="dxa"/>
            <w:gridSpan w:val="2"/>
            <w:tcBorders>
              <w:top w:val="single" w:sz="6" w:space="0" w:color="auto"/>
              <w:left w:val="single" w:sz="6" w:space="0" w:color="auto"/>
              <w:bottom w:val="single" w:sz="6" w:space="0" w:color="auto"/>
              <w:right w:val="single" w:sz="6" w:space="0" w:color="auto"/>
            </w:tcBorders>
          </w:tcPr>
          <w:p w14:paraId="0B454F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55" w:type="dxa"/>
            <w:gridSpan w:val="2"/>
            <w:tcBorders>
              <w:top w:val="single" w:sz="6" w:space="0" w:color="auto"/>
              <w:left w:val="single" w:sz="6" w:space="0" w:color="auto"/>
              <w:bottom w:val="single" w:sz="6" w:space="0" w:color="auto"/>
              <w:right w:val="single" w:sz="6" w:space="0" w:color="auto"/>
            </w:tcBorders>
          </w:tcPr>
          <w:p w14:paraId="7D07F6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48" w:type="dxa"/>
            <w:gridSpan w:val="2"/>
            <w:tcBorders>
              <w:top w:val="single" w:sz="6" w:space="0" w:color="auto"/>
              <w:left w:val="single" w:sz="6" w:space="0" w:color="auto"/>
              <w:bottom w:val="single" w:sz="6" w:space="0" w:color="auto"/>
              <w:right w:val="single" w:sz="6" w:space="0" w:color="auto"/>
            </w:tcBorders>
          </w:tcPr>
          <w:p w14:paraId="3586C43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48" w:type="dxa"/>
            <w:gridSpan w:val="2"/>
            <w:tcBorders>
              <w:top w:val="single" w:sz="6" w:space="0" w:color="auto"/>
              <w:left w:val="single" w:sz="6" w:space="0" w:color="auto"/>
              <w:bottom w:val="single" w:sz="6" w:space="0" w:color="auto"/>
              <w:right w:val="single" w:sz="6" w:space="0" w:color="auto"/>
            </w:tcBorders>
          </w:tcPr>
          <w:p w14:paraId="0E233A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48" w:type="dxa"/>
            <w:gridSpan w:val="2"/>
            <w:tcBorders>
              <w:top w:val="single" w:sz="6" w:space="0" w:color="auto"/>
              <w:left w:val="single" w:sz="6" w:space="0" w:color="auto"/>
              <w:bottom w:val="single" w:sz="6" w:space="0" w:color="auto"/>
              <w:right w:val="single" w:sz="6" w:space="0" w:color="auto"/>
            </w:tcBorders>
          </w:tcPr>
          <w:p w14:paraId="789AEC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48" w:type="dxa"/>
            <w:gridSpan w:val="2"/>
            <w:tcBorders>
              <w:top w:val="single" w:sz="6" w:space="0" w:color="auto"/>
              <w:left w:val="single" w:sz="6" w:space="0" w:color="auto"/>
              <w:bottom w:val="single" w:sz="6" w:space="0" w:color="auto"/>
              <w:right w:val="single" w:sz="6" w:space="0" w:color="auto"/>
            </w:tcBorders>
          </w:tcPr>
          <w:p w14:paraId="6A6271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48" w:type="dxa"/>
            <w:gridSpan w:val="3"/>
            <w:tcBorders>
              <w:top w:val="single" w:sz="6" w:space="0" w:color="auto"/>
              <w:left w:val="single" w:sz="6" w:space="0" w:color="auto"/>
              <w:bottom w:val="single" w:sz="6" w:space="0" w:color="auto"/>
              <w:right w:val="single" w:sz="6" w:space="0" w:color="auto"/>
            </w:tcBorders>
          </w:tcPr>
          <w:p w14:paraId="5DB2CE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48" w:type="dxa"/>
            <w:gridSpan w:val="2"/>
            <w:tcBorders>
              <w:top w:val="single" w:sz="6" w:space="0" w:color="auto"/>
              <w:left w:val="single" w:sz="6" w:space="0" w:color="auto"/>
              <w:bottom w:val="single" w:sz="6" w:space="0" w:color="auto"/>
              <w:right w:val="single" w:sz="6" w:space="0" w:color="auto"/>
            </w:tcBorders>
          </w:tcPr>
          <w:p w14:paraId="2F95F4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48" w:type="dxa"/>
            <w:gridSpan w:val="2"/>
            <w:tcBorders>
              <w:top w:val="single" w:sz="6" w:space="0" w:color="auto"/>
              <w:left w:val="single" w:sz="6" w:space="0" w:color="auto"/>
              <w:bottom w:val="single" w:sz="6" w:space="0" w:color="auto"/>
              <w:right w:val="single" w:sz="6" w:space="0" w:color="auto"/>
            </w:tcBorders>
          </w:tcPr>
          <w:p w14:paraId="26DF05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48" w:type="dxa"/>
            <w:tcBorders>
              <w:top w:val="single" w:sz="6" w:space="0" w:color="auto"/>
              <w:left w:val="single" w:sz="6" w:space="0" w:color="auto"/>
              <w:bottom w:val="single" w:sz="6" w:space="0" w:color="auto"/>
              <w:right w:val="single" w:sz="12" w:space="0" w:color="auto"/>
            </w:tcBorders>
          </w:tcPr>
          <w:p w14:paraId="54E94C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555A512A" w14:textId="77777777" w:rsidTr="000D3BCB">
        <w:tc>
          <w:tcPr>
            <w:tcW w:w="936" w:type="dxa"/>
            <w:gridSpan w:val="2"/>
            <w:tcBorders>
              <w:top w:val="single" w:sz="6" w:space="0" w:color="auto"/>
              <w:left w:val="single" w:sz="12" w:space="0" w:color="auto"/>
              <w:bottom w:val="single" w:sz="6" w:space="0" w:color="auto"/>
              <w:right w:val="single" w:sz="6" w:space="0" w:color="auto"/>
            </w:tcBorders>
          </w:tcPr>
          <w:p w14:paraId="1A4F31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ПЕ-2</w:t>
            </w:r>
          </w:p>
        </w:tc>
        <w:tc>
          <w:tcPr>
            <w:tcW w:w="936" w:type="dxa"/>
            <w:gridSpan w:val="2"/>
            <w:tcBorders>
              <w:top w:val="single" w:sz="6" w:space="0" w:color="auto"/>
              <w:left w:val="single" w:sz="6" w:space="0" w:color="auto"/>
              <w:bottom w:val="single" w:sz="6" w:space="0" w:color="auto"/>
              <w:right w:val="single" w:sz="6" w:space="0" w:color="auto"/>
            </w:tcBorders>
          </w:tcPr>
          <w:p w14:paraId="6B1A57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w:t>
            </w:r>
          </w:p>
        </w:tc>
        <w:tc>
          <w:tcPr>
            <w:tcW w:w="849" w:type="dxa"/>
            <w:gridSpan w:val="2"/>
            <w:tcBorders>
              <w:top w:val="single" w:sz="6" w:space="0" w:color="auto"/>
              <w:left w:val="single" w:sz="6" w:space="0" w:color="auto"/>
              <w:bottom w:val="single" w:sz="6" w:space="0" w:color="auto"/>
              <w:right w:val="single" w:sz="6" w:space="0" w:color="auto"/>
            </w:tcBorders>
          </w:tcPr>
          <w:p w14:paraId="6CAA32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586011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55" w:type="dxa"/>
            <w:gridSpan w:val="2"/>
            <w:tcBorders>
              <w:top w:val="single" w:sz="6" w:space="0" w:color="auto"/>
              <w:left w:val="single" w:sz="6" w:space="0" w:color="auto"/>
              <w:bottom w:val="single" w:sz="6" w:space="0" w:color="auto"/>
              <w:right w:val="single" w:sz="6" w:space="0" w:color="auto"/>
            </w:tcBorders>
          </w:tcPr>
          <w:p w14:paraId="78873E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w:t>
            </w:r>
          </w:p>
        </w:tc>
        <w:tc>
          <w:tcPr>
            <w:tcW w:w="748" w:type="dxa"/>
            <w:gridSpan w:val="2"/>
            <w:tcBorders>
              <w:top w:val="single" w:sz="6" w:space="0" w:color="auto"/>
              <w:left w:val="single" w:sz="6" w:space="0" w:color="auto"/>
              <w:bottom w:val="single" w:sz="6" w:space="0" w:color="auto"/>
              <w:right w:val="single" w:sz="6" w:space="0" w:color="auto"/>
            </w:tcBorders>
          </w:tcPr>
          <w:p w14:paraId="776C2E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w:t>
            </w:r>
          </w:p>
        </w:tc>
        <w:tc>
          <w:tcPr>
            <w:tcW w:w="748" w:type="dxa"/>
            <w:gridSpan w:val="2"/>
            <w:tcBorders>
              <w:top w:val="single" w:sz="6" w:space="0" w:color="auto"/>
              <w:left w:val="single" w:sz="6" w:space="0" w:color="auto"/>
              <w:bottom w:val="single" w:sz="6" w:space="0" w:color="auto"/>
              <w:right w:val="single" w:sz="6" w:space="0" w:color="auto"/>
            </w:tcBorders>
          </w:tcPr>
          <w:p w14:paraId="0C33C0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32</w:t>
            </w:r>
          </w:p>
        </w:tc>
        <w:tc>
          <w:tcPr>
            <w:tcW w:w="748" w:type="dxa"/>
            <w:gridSpan w:val="2"/>
            <w:tcBorders>
              <w:top w:val="single" w:sz="6" w:space="0" w:color="auto"/>
              <w:left w:val="single" w:sz="6" w:space="0" w:color="auto"/>
              <w:bottom w:val="single" w:sz="6" w:space="0" w:color="auto"/>
              <w:right w:val="single" w:sz="6" w:space="0" w:color="auto"/>
            </w:tcBorders>
          </w:tcPr>
          <w:p w14:paraId="385E4E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43</w:t>
            </w:r>
          </w:p>
        </w:tc>
        <w:tc>
          <w:tcPr>
            <w:tcW w:w="748" w:type="dxa"/>
            <w:gridSpan w:val="2"/>
            <w:tcBorders>
              <w:top w:val="single" w:sz="6" w:space="0" w:color="auto"/>
              <w:left w:val="single" w:sz="6" w:space="0" w:color="auto"/>
              <w:bottom w:val="single" w:sz="6" w:space="0" w:color="auto"/>
              <w:right w:val="single" w:sz="6" w:space="0" w:color="auto"/>
            </w:tcBorders>
          </w:tcPr>
          <w:p w14:paraId="14F1FF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68</w:t>
            </w:r>
          </w:p>
        </w:tc>
        <w:tc>
          <w:tcPr>
            <w:tcW w:w="748" w:type="dxa"/>
            <w:gridSpan w:val="3"/>
            <w:tcBorders>
              <w:top w:val="single" w:sz="6" w:space="0" w:color="auto"/>
              <w:left w:val="single" w:sz="6" w:space="0" w:color="auto"/>
              <w:bottom w:val="single" w:sz="6" w:space="0" w:color="auto"/>
              <w:right w:val="single" w:sz="6" w:space="0" w:color="auto"/>
            </w:tcBorders>
          </w:tcPr>
          <w:p w14:paraId="22ECAB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84</w:t>
            </w:r>
          </w:p>
        </w:tc>
        <w:tc>
          <w:tcPr>
            <w:tcW w:w="748" w:type="dxa"/>
            <w:gridSpan w:val="2"/>
            <w:tcBorders>
              <w:top w:val="single" w:sz="6" w:space="0" w:color="auto"/>
              <w:left w:val="single" w:sz="6" w:space="0" w:color="auto"/>
              <w:bottom w:val="single" w:sz="6" w:space="0" w:color="auto"/>
              <w:right w:val="single" w:sz="6" w:space="0" w:color="auto"/>
            </w:tcBorders>
          </w:tcPr>
          <w:p w14:paraId="6C8EB0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124</w:t>
            </w:r>
          </w:p>
        </w:tc>
        <w:tc>
          <w:tcPr>
            <w:tcW w:w="748" w:type="dxa"/>
            <w:gridSpan w:val="2"/>
            <w:tcBorders>
              <w:top w:val="single" w:sz="6" w:space="0" w:color="auto"/>
              <w:left w:val="single" w:sz="6" w:space="0" w:color="auto"/>
              <w:bottom w:val="single" w:sz="6" w:space="0" w:color="auto"/>
              <w:right w:val="single" w:sz="6" w:space="0" w:color="auto"/>
            </w:tcBorders>
          </w:tcPr>
          <w:p w14:paraId="3914E8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276</w:t>
            </w:r>
          </w:p>
        </w:tc>
        <w:tc>
          <w:tcPr>
            <w:tcW w:w="748" w:type="dxa"/>
            <w:tcBorders>
              <w:top w:val="single" w:sz="6" w:space="0" w:color="auto"/>
              <w:left w:val="single" w:sz="6" w:space="0" w:color="auto"/>
              <w:bottom w:val="single" w:sz="6" w:space="0" w:color="auto"/>
              <w:right w:val="single" w:sz="12" w:space="0" w:color="auto"/>
            </w:tcBorders>
          </w:tcPr>
          <w:p w14:paraId="721CC9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319</w:t>
            </w:r>
          </w:p>
        </w:tc>
      </w:tr>
      <w:tr w:rsidR="00643896" w:rsidRPr="00640820" w14:paraId="46BD309D" w14:textId="77777777" w:rsidTr="000D3BCB">
        <w:tc>
          <w:tcPr>
            <w:tcW w:w="936" w:type="dxa"/>
            <w:gridSpan w:val="2"/>
            <w:tcBorders>
              <w:top w:val="single" w:sz="6" w:space="0" w:color="auto"/>
              <w:left w:val="single" w:sz="12" w:space="0" w:color="auto"/>
              <w:bottom w:val="single" w:sz="6" w:space="0" w:color="auto"/>
              <w:right w:val="single" w:sz="6" w:space="0" w:color="auto"/>
            </w:tcBorders>
          </w:tcPr>
          <w:p w14:paraId="04E896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АР-2</w:t>
            </w:r>
          </w:p>
        </w:tc>
        <w:tc>
          <w:tcPr>
            <w:tcW w:w="936" w:type="dxa"/>
            <w:gridSpan w:val="2"/>
            <w:tcBorders>
              <w:top w:val="single" w:sz="6" w:space="0" w:color="auto"/>
              <w:left w:val="single" w:sz="6" w:space="0" w:color="auto"/>
              <w:bottom w:val="single" w:sz="6" w:space="0" w:color="auto"/>
              <w:right w:val="single" w:sz="6" w:space="0" w:color="auto"/>
            </w:tcBorders>
          </w:tcPr>
          <w:p w14:paraId="69F192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w:t>
            </w:r>
          </w:p>
        </w:tc>
        <w:tc>
          <w:tcPr>
            <w:tcW w:w="849" w:type="dxa"/>
            <w:gridSpan w:val="2"/>
            <w:tcBorders>
              <w:top w:val="single" w:sz="6" w:space="0" w:color="auto"/>
              <w:left w:val="single" w:sz="6" w:space="0" w:color="auto"/>
              <w:bottom w:val="single" w:sz="6" w:space="0" w:color="auto"/>
              <w:right w:val="single" w:sz="6" w:space="0" w:color="auto"/>
            </w:tcBorders>
          </w:tcPr>
          <w:p w14:paraId="738D30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0A8AAB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55" w:type="dxa"/>
            <w:gridSpan w:val="2"/>
            <w:tcBorders>
              <w:top w:val="single" w:sz="6" w:space="0" w:color="auto"/>
              <w:left w:val="single" w:sz="6" w:space="0" w:color="auto"/>
              <w:bottom w:val="single" w:sz="6" w:space="0" w:color="auto"/>
              <w:right w:val="single" w:sz="6" w:space="0" w:color="auto"/>
            </w:tcBorders>
          </w:tcPr>
          <w:p w14:paraId="04D17BB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100</w:t>
            </w:r>
          </w:p>
        </w:tc>
        <w:tc>
          <w:tcPr>
            <w:tcW w:w="748" w:type="dxa"/>
            <w:gridSpan w:val="2"/>
            <w:tcBorders>
              <w:top w:val="single" w:sz="6" w:space="0" w:color="auto"/>
              <w:left w:val="single" w:sz="6" w:space="0" w:color="auto"/>
              <w:bottom w:val="single" w:sz="6" w:space="0" w:color="auto"/>
              <w:right w:val="single" w:sz="6" w:space="0" w:color="auto"/>
            </w:tcBorders>
          </w:tcPr>
          <w:p w14:paraId="73844C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20</w:t>
            </w:r>
          </w:p>
        </w:tc>
        <w:tc>
          <w:tcPr>
            <w:tcW w:w="748" w:type="dxa"/>
            <w:gridSpan w:val="2"/>
            <w:tcBorders>
              <w:top w:val="single" w:sz="6" w:space="0" w:color="auto"/>
              <w:left w:val="single" w:sz="6" w:space="0" w:color="auto"/>
              <w:bottom w:val="single" w:sz="6" w:space="0" w:color="auto"/>
              <w:right w:val="single" w:sz="6" w:space="0" w:color="auto"/>
            </w:tcBorders>
          </w:tcPr>
          <w:p w14:paraId="356AA6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w:t>
            </w:r>
          </w:p>
        </w:tc>
        <w:tc>
          <w:tcPr>
            <w:tcW w:w="748" w:type="dxa"/>
            <w:gridSpan w:val="2"/>
            <w:tcBorders>
              <w:top w:val="single" w:sz="6" w:space="0" w:color="auto"/>
              <w:left w:val="single" w:sz="6" w:space="0" w:color="auto"/>
              <w:bottom w:val="single" w:sz="6" w:space="0" w:color="auto"/>
              <w:right w:val="single" w:sz="6" w:space="0" w:color="auto"/>
            </w:tcBorders>
          </w:tcPr>
          <w:p w14:paraId="57851B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122</w:t>
            </w:r>
          </w:p>
        </w:tc>
        <w:tc>
          <w:tcPr>
            <w:tcW w:w="748" w:type="dxa"/>
            <w:gridSpan w:val="2"/>
            <w:tcBorders>
              <w:top w:val="single" w:sz="6" w:space="0" w:color="auto"/>
              <w:left w:val="single" w:sz="6" w:space="0" w:color="auto"/>
              <w:bottom w:val="single" w:sz="6" w:space="0" w:color="auto"/>
              <w:right w:val="single" w:sz="6" w:space="0" w:color="auto"/>
            </w:tcBorders>
          </w:tcPr>
          <w:p w14:paraId="2881111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3"/>
            <w:tcBorders>
              <w:top w:val="single" w:sz="6" w:space="0" w:color="auto"/>
              <w:left w:val="single" w:sz="6" w:space="0" w:color="auto"/>
              <w:bottom w:val="single" w:sz="6" w:space="0" w:color="auto"/>
              <w:right w:val="single" w:sz="6" w:space="0" w:color="auto"/>
            </w:tcBorders>
          </w:tcPr>
          <w:p w14:paraId="7A790B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10AF82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383567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tcBorders>
              <w:top w:val="single" w:sz="6" w:space="0" w:color="auto"/>
              <w:left w:val="single" w:sz="6" w:space="0" w:color="auto"/>
              <w:bottom w:val="single" w:sz="6" w:space="0" w:color="auto"/>
              <w:right w:val="single" w:sz="12" w:space="0" w:color="auto"/>
            </w:tcBorders>
          </w:tcPr>
          <w:p w14:paraId="73DB7F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122</w:t>
            </w:r>
          </w:p>
        </w:tc>
      </w:tr>
      <w:tr w:rsidR="00643896" w:rsidRPr="00640820" w14:paraId="34752D0E" w14:textId="77777777" w:rsidTr="000D3BCB">
        <w:tc>
          <w:tcPr>
            <w:tcW w:w="936" w:type="dxa"/>
            <w:gridSpan w:val="2"/>
            <w:tcBorders>
              <w:top w:val="single" w:sz="6" w:space="0" w:color="auto"/>
              <w:left w:val="single" w:sz="12" w:space="0" w:color="auto"/>
              <w:bottom w:val="single" w:sz="6" w:space="0" w:color="auto"/>
              <w:right w:val="single" w:sz="6" w:space="0" w:color="auto"/>
            </w:tcBorders>
          </w:tcPr>
          <w:p w14:paraId="62FED61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СБ</w:t>
            </w:r>
          </w:p>
        </w:tc>
        <w:tc>
          <w:tcPr>
            <w:tcW w:w="936" w:type="dxa"/>
            <w:gridSpan w:val="2"/>
            <w:tcBorders>
              <w:top w:val="single" w:sz="6" w:space="0" w:color="auto"/>
              <w:left w:val="single" w:sz="6" w:space="0" w:color="auto"/>
              <w:bottom w:val="single" w:sz="6" w:space="0" w:color="auto"/>
              <w:right w:val="single" w:sz="6" w:space="0" w:color="auto"/>
            </w:tcBorders>
          </w:tcPr>
          <w:p w14:paraId="656929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w:t>
            </w:r>
          </w:p>
        </w:tc>
        <w:tc>
          <w:tcPr>
            <w:tcW w:w="849" w:type="dxa"/>
            <w:gridSpan w:val="2"/>
            <w:tcBorders>
              <w:top w:val="single" w:sz="6" w:space="0" w:color="auto"/>
              <w:left w:val="single" w:sz="6" w:space="0" w:color="auto"/>
              <w:bottom w:val="single" w:sz="6" w:space="0" w:color="auto"/>
              <w:right w:val="single" w:sz="6" w:space="0" w:color="auto"/>
            </w:tcBorders>
          </w:tcPr>
          <w:p w14:paraId="0E7CE1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67D43E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55" w:type="dxa"/>
            <w:gridSpan w:val="2"/>
            <w:tcBorders>
              <w:top w:val="single" w:sz="6" w:space="0" w:color="auto"/>
              <w:left w:val="single" w:sz="6" w:space="0" w:color="auto"/>
              <w:bottom w:val="single" w:sz="6" w:space="0" w:color="auto"/>
              <w:right w:val="single" w:sz="6" w:space="0" w:color="auto"/>
            </w:tcBorders>
          </w:tcPr>
          <w:p w14:paraId="5461D9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41</w:t>
            </w:r>
          </w:p>
        </w:tc>
        <w:tc>
          <w:tcPr>
            <w:tcW w:w="748" w:type="dxa"/>
            <w:gridSpan w:val="2"/>
            <w:tcBorders>
              <w:top w:val="single" w:sz="6" w:space="0" w:color="auto"/>
              <w:left w:val="single" w:sz="6" w:space="0" w:color="auto"/>
              <w:bottom w:val="single" w:sz="6" w:space="0" w:color="auto"/>
              <w:right w:val="single" w:sz="6" w:space="0" w:color="auto"/>
            </w:tcBorders>
          </w:tcPr>
          <w:p w14:paraId="48DE1F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w:t>
            </w:r>
          </w:p>
        </w:tc>
        <w:tc>
          <w:tcPr>
            <w:tcW w:w="748" w:type="dxa"/>
            <w:gridSpan w:val="2"/>
            <w:tcBorders>
              <w:top w:val="single" w:sz="6" w:space="0" w:color="auto"/>
              <w:left w:val="single" w:sz="6" w:space="0" w:color="auto"/>
              <w:bottom w:val="single" w:sz="6" w:space="0" w:color="auto"/>
              <w:right w:val="single" w:sz="6" w:space="0" w:color="auto"/>
            </w:tcBorders>
          </w:tcPr>
          <w:p w14:paraId="0C77F8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w:t>
            </w:r>
          </w:p>
        </w:tc>
        <w:tc>
          <w:tcPr>
            <w:tcW w:w="748" w:type="dxa"/>
            <w:gridSpan w:val="2"/>
            <w:tcBorders>
              <w:top w:val="single" w:sz="6" w:space="0" w:color="auto"/>
              <w:left w:val="single" w:sz="6" w:space="0" w:color="auto"/>
              <w:bottom w:val="single" w:sz="6" w:space="0" w:color="auto"/>
              <w:right w:val="single" w:sz="6" w:space="0" w:color="auto"/>
            </w:tcBorders>
          </w:tcPr>
          <w:p w14:paraId="7195B8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54</w:t>
            </w:r>
          </w:p>
        </w:tc>
        <w:tc>
          <w:tcPr>
            <w:tcW w:w="748" w:type="dxa"/>
            <w:gridSpan w:val="2"/>
            <w:tcBorders>
              <w:top w:val="single" w:sz="6" w:space="0" w:color="auto"/>
              <w:left w:val="single" w:sz="6" w:space="0" w:color="auto"/>
              <w:bottom w:val="single" w:sz="6" w:space="0" w:color="auto"/>
              <w:right w:val="single" w:sz="6" w:space="0" w:color="auto"/>
            </w:tcBorders>
          </w:tcPr>
          <w:p w14:paraId="17CFF7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w:t>
            </w:r>
          </w:p>
        </w:tc>
        <w:tc>
          <w:tcPr>
            <w:tcW w:w="748" w:type="dxa"/>
            <w:gridSpan w:val="3"/>
            <w:tcBorders>
              <w:top w:val="single" w:sz="6" w:space="0" w:color="auto"/>
              <w:left w:val="single" w:sz="6" w:space="0" w:color="auto"/>
              <w:bottom w:val="single" w:sz="6" w:space="0" w:color="auto"/>
              <w:right w:val="single" w:sz="6" w:space="0" w:color="auto"/>
            </w:tcBorders>
          </w:tcPr>
          <w:p w14:paraId="20493B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3478CD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195DC9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w:t>
            </w:r>
          </w:p>
        </w:tc>
        <w:tc>
          <w:tcPr>
            <w:tcW w:w="748" w:type="dxa"/>
            <w:tcBorders>
              <w:top w:val="single" w:sz="6" w:space="0" w:color="auto"/>
              <w:left w:val="single" w:sz="6" w:space="0" w:color="auto"/>
              <w:bottom w:val="single" w:sz="6" w:space="0" w:color="auto"/>
              <w:right w:val="single" w:sz="12" w:space="0" w:color="auto"/>
            </w:tcBorders>
          </w:tcPr>
          <w:p w14:paraId="3E1486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63</w:t>
            </w:r>
          </w:p>
        </w:tc>
      </w:tr>
      <w:tr w:rsidR="00643896" w:rsidRPr="00640820" w14:paraId="0B379B12" w14:textId="77777777" w:rsidTr="000D3BCB">
        <w:tc>
          <w:tcPr>
            <w:tcW w:w="936" w:type="dxa"/>
            <w:gridSpan w:val="2"/>
            <w:tcBorders>
              <w:top w:val="single" w:sz="6" w:space="0" w:color="auto"/>
              <w:left w:val="single" w:sz="12" w:space="0" w:color="auto"/>
              <w:bottom w:val="single" w:sz="6" w:space="0" w:color="auto"/>
              <w:right w:val="single" w:sz="6" w:space="0" w:color="auto"/>
            </w:tcBorders>
          </w:tcPr>
          <w:p w14:paraId="0E4E53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ПЕ-2</w:t>
            </w:r>
          </w:p>
        </w:tc>
        <w:tc>
          <w:tcPr>
            <w:tcW w:w="936" w:type="dxa"/>
            <w:gridSpan w:val="2"/>
            <w:tcBorders>
              <w:top w:val="single" w:sz="6" w:space="0" w:color="auto"/>
              <w:left w:val="single" w:sz="6" w:space="0" w:color="auto"/>
              <w:bottom w:val="single" w:sz="6" w:space="0" w:color="auto"/>
              <w:right w:val="single" w:sz="6" w:space="0" w:color="auto"/>
            </w:tcBorders>
          </w:tcPr>
          <w:p w14:paraId="6DF167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39</w:t>
            </w:r>
          </w:p>
        </w:tc>
        <w:tc>
          <w:tcPr>
            <w:tcW w:w="849" w:type="dxa"/>
            <w:gridSpan w:val="2"/>
            <w:tcBorders>
              <w:top w:val="single" w:sz="6" w:space="0" w:color="auto"/>
              <w:left w:val="single" w:sz="6" w:space="0" w:color="auto"/>
              <w:bottom w:val="single" w:sz="6" w:space="0" w:color="auto"/>
              <w:right w:val="single" w:sz="6" w:space="0" w:color="auto"/>
            </w:tcBorders>
          </w:tcPr>
          <w:p w14:paraId="611091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53A9C4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55" w:type="dxa"/>
            <w:gridSpan w:val="2"/>
            <w:tcBorders>
              <w:top w:val="single" w:sz="6" w:space="0" w:color="auto"/>
              <w:left w:val="single" w:sz="6" w:space="0" w:color="auto"/>
              <w:bottom w:val="single" w:sz="6" w:space="0" w:color="auto"/>
              <w:right w:val="single" w:sz="6" w:space="0" w:color="auto"/>
            </w:tcBorders>
          </w:tcPr>
          <w:p w14:paraId="32EABB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w:t>
            </w:r>
          </w:p>
        </w:tc>
        <w:tc>
          <w:tcPr>
            <w:tcW w:w="748" w:type="dxa"/>
            <w:gridSpan w:val="2"/>
            <w:tcBorders>
              <w:top w:val="single" w:sz="6" w:space="0" w:color="auto"/>
              <w:left w:val="single" w:sz="6" w:space="0" w:color="auto"/>
              <w:bottom w:val="single" w:sz="6" w:space="0" w:color="auto"/>
              <w:right w:val="single" w:sz="6" w:space="0" w:color="auto"/>
            </w:tcBorders>
          </w:tcPr>
          <w:p w14:paraId="722E90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w:t>
            </w:r>
          </w:p>
        </w:tc>
        <w:tc>
          <w:tcPr>
            <w:tcW w:w="748" w:type="dxa"/>
            <w:gridSpan w:val="2"/>
            <w:tcBorders>
              <w:top w:val="single" w:sz="6" w:space="0" w:color="auto"/>
              <w:left w:val="single" w:sz="6" w:space="0" w:color="auto"/>
              <w:bottom w:val="single" w:sz="6" w:space="0" w:color="auto"/>
              <w:right w:val="single" w:sz="6" w:space="0" w:color="auto"/>
            </w:tcBorders>
          </w:tcPr>
          <w:p w14:paraId="7F6573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w:t>
            </w:r>
          </w:p>
        </w:tc>
        <w:tc>
          <w:tcPr>
            <w:tcW w:w="748" w:type="dxa"/>
            <w:gridSpan w:val="2"/>
            <w:tcBorders>
              <w:top w:val="single" w:sz="6" w:space="0" w:color="auto"/>
              <w:left w:val="single" w:sz="6" w:space="0" w:color="auto"/>
              <w:bottom w:val="single" w:sz="6" w:space="0" w:color="auto"/>
              <w:right w:val="single" w:sz="6" w:space="0" w:color="auto"/>
            </w:tcBorders>
          </w:tcPr>
          <w:p w14:paraId="71FA26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27</w:t>
            </w:r>
          </w:p>
        </w:tc>
        <w:tc>
          <w:tcPr>
            <w:tcW w:w="748" w:type="dxa"/>
            <w:gridSpan w:val="2"/>
            <w:tcBorders>
              <w:top w:val="single" w:sz="6" w:space="0" w:color="auto"/>
              <w:left w:val="single" w:sz="6" w:space="0" w:color="auto"/>
              <w:bottom w:val="single" w:sz="6" w:space="0" w:color="auto"/>
              <w:right w:val="single" w:sz="6" w:space="0" w:color="auto"/>
            </w:tcBorders>
          </w:tcPr>
          <w:p w14:paraId="24A443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35</w:t>
            </w:r>
          </w:p>
        </w:tc>
        <w:tc>
          <w:tcPr>
            <w:tcW w:w="748" w:type="dxa"/>
            <w:gridSpan w:val="3"/>
            <w:tcBorders>
              <w:top w:val="single" w:sz="6" w:space="0" w:color="auto"/>
              <w:left w:val="single" w:sz="6" w:space="0" w:color="auto"/>
              <w:bottom w:val="single" w:sz="6" w:space="0" w:color="auto"/>
              <w:right w:val="single" w:sz="6" w:space="0" w:color="auto"/>
            </w:tcBorders>
          </w:tcPr>
          <w:p w14:paraId="4CB05D9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50</w:t>
            </w:r>
          </w:p>
        </w:tc>
        <w:tc>
          <w:tcPr>
            <w:tcW w:w="748" w:type="dxa"/>
            <w:gridSpan w:val="2"/>
            <w:tcBorders>
              <w:top w:val="single" w:sz="6" w:space="0" w:color="auto"/>
              <w:left w:val="single" w:sz="6" w:space="0" w:color="auto"/>
              <w:bottom w:val="single" w:sz="6" w:space="0" w:color="auto"/>
              <w:right w:val="single" w:sz="6" w:space="0" w:color="auto"/>
            </w:tcBorders>
          </w:tcPr>
          <w:p w14:paraId="25028B4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55</w:t>
            </w:r>
          </w:p>
        </w:tc>
        <w:tc>
          <w:tcPr>
            <w:tcW w:w="748" w:type="dxa"/>
            <w:gridSpan w:val="2"/>
            <w:tcBorders>
              <w:top w:val="single" w:sz="6" w:space="0" w:color="auto"/>
              <w:left w:val="single" w:sz="6" w:space="0" w:color="auto"/>
              <w:bottom w:val="single" w:sz="6" w:space="0" w:color="auto"/>
              <w:right w:val="single" w:sz="6" w:space="0" w:color="auto"/>
            </w:tcBorders>
          </w:tcPr>
          <w:p w14:paraId="6DA6B3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140</w:t>
            </w:r>
          </w:p>
        </w:tc>
        <w:tc>
          <w:tcPr>
            <w:tcW w:w="748" w:type="dxa"/>
            <w:tcBorders>
              <w:top w:val="single" w:sz="6" w:space="0" w:color="auto"/>
              <w:left w:val="single" w:sz="6" w:space="0" w:color="auto"/>
              <w:bottom w:val="single" w:sz="6" w:space="0" w:color="auto"/>
              <w:right w:val="single" w:sz="12" w:space="0" w:color="auto"/>
            </w:tcBorders>
          </w:tcPr>
          <w:p w14:paraId="2F4528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167</w:t>
            </w:r>
          </w:p>
        </w:tc>
      </w:tr>
      <w:tr w:rsidR="00643896" w:rsidRPr="00640820" w14:paraId="1FDBFBD3" w14:textId="77777777" w:rsidTr="000D3BCB">
        <w:tc>
          <w:tcPr>
            <w:tcW w:w="936" w:type="dxa"/>
            <w:gridSpan w:val="2"/>
            <w:tcBorders>
              <w:top w:val="single" w:sz="6" w:space="0" w:color="auto"/>
              <w:left w:val="single" w:sz="12" w:space="0" w:color="auto"/>
              <w:bottom w:val="single" w:sz="6" w:space="0" w:color="auto"/>
              <w:right w:val="single" w:sz="6" w:space="0" w:color="auto"/>
            </w:tcBorders>
          </w:tcPr>
          <w:p w14:paraId="6F44C9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ДБ-Зф</w:t>
            </w:r>
          </w:p>
        </w:tc>
        <w:tc>
          <w:tcPr>
            <w:tcW w:w="936" w:type="dxa"/>
            <w:gridSpan w:val="2"/>
            <w:tcBorders>
              <w:top w:val="single" w:sz="6" w:space="0" w:color="auto"/>
              <w:left w:val="single" w:sz="6" w:space="0" w:color="auto"/>
              <w:bottom w:val="single" w:sz="6" w:space="0" w:color="auto"/>
              <w:right w:val="single" w:sz="6" w:space="0" w:color="auto"/>
            </w:tcBorders>
          </w:tcPr>
          <w:p w14:paraId="3D0328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39</w:t>
            </w:r>
          </w:p>
        </w:tc>
        <w:tc>
          <w:tcPr>
            <w:tcW w:w="849" w:type="dxa"/>
            <w:gridSpan w:val="2"/>
            <w:tcBorders>
              <w:top w:val="single" w:sz="6" w:space="0" w:color="auto"/>
              <w:left w:val="single" w:sz="6" w:space="0" w:color="auto"/>
              <w:bottom w:val="single" w:sz="6" w:space="0" w:color="auto"/>
              <w:right w:val="single" w:sz="6" w:space="0" w:color="auto"/>
            </w:tcBorders>
          </w:tcPr>
          <w:p w14:paraId="3D24089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2A6A2D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55" w:type="dxa"/>
            <w:gridSpan w:val="2"/>
            <w:tcBorders>
              <w:top w:val="single" w:sz="6" w:space="0" w:color="auto"/>
              <w:left w:val="single" w:sz="6" w:space="0" w:color="auto"/>
              <w:bottom w:val="single" w:sz="6" w:space="0" w:color="auto"/>
              <w:right w:val="single" w:sz="6" w:space="0" w:color="auto"/>
            </w:tcBorders>
          </w:tcPr>
          <w:p w14:paraId="4651D4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w:t>
            </w:r>
          </w:p>
        </w:tc>
        <w:tc>
          <w:tcPr>
            <w:tcW w:w="748" w:type="dxa"/>
            <w:gridSpan w:val="2"/>
            <w:tcBorders>
              <w:top w:val="single" w:sz="6" w:space="0" w:color="auto"/>
              <w:left w:val="single" w:sz="6" w:space="0" w:color="auto"/>
              <w:bottom w:val="single" w:sz="6" w:space="0" w:color="auto"/>
              <w:right w:val="single" w:sz="6" w:space="0" w:color="auto"/>
            </w:tcBorders>
          </w:tcPr>
          <w:p w14:paraId="4C5DB4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w:t>
            </w:r>
          </w:p>
        </w:tc>
        <w:tc>
          <w:tcPr>
            <w:tcW w:w="748" w:type="dxa"/>
            <w:gridSpan w:val="2"/>
            <w:tcBorders>
              <w:top w:val="single" w:sz="6" w:space="0" w:color="auto"/>
              <w:left w:val="single" w:sz="6" w:space="0" w:color="auto"/>
              <w:bottom w:val="single" w:sz="6" w:space="0" w:color="auto"/>
              <w:right w:val="single" w:sz="6" w:space="0" w:color="auto"/>
            </w:tcBorders>
          </w:tcPr>
          <w:p w14:paraId="41EE38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w:t>
            </w:r>
          </w:p>
        </w:tc>
        <w:tc>
          <w:tcPr>
            <w:tcW w:w="748" w:type="dxa"/>
            <w:gridSpan w:val="2"/>
            <w:tcBorders>
              <w:top w:val="single" w:sz="6" w:space="0" w:color="auto"/>
              <w:left w:val="single" w:sz="6" w:space="0" w:color="auto"/>
              <w:bottom w:val="single" w:sz="6" w:space="0" w:color="auto"/>
              <w:right w:val="single" w:sz="6" w:space="0" w:color="auto"/>
            </w:tcBorders>
          </w:tcPr>
          <w:p w14:paraId="6AEAFB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27</w:t>
            </w:r>
          </w:p>
        </w:tc>
        <w:tc>
          <w:tcPr>
            <w:tcW w:w="748" w:type="dxa"/>
            <w:gridSpan w:val="2"/>
            <w:tcBorders>
              <w:top w:val="single" w:sz="6" w:space="0" w:color="auto"/>
              <w:left w:val="single" w:sz="6" w:space="0" w:color="auto"/>
              <w:bottom w:val="single" w:sz="6" w:space="0" w:color="auto"/>
              <w:right w:val="single" w:sz="6" w:space="0" w:color="auto"/>
            </w:tcBorders>
          </w:tcPr>
          <w:p w14:paraId="53B32D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w:t>
            </w:r>
          </w:p>
        </w:tc>
        <w:tc>
          <w:tcPr>
            <w:tcW w:w="748" w:type="dxa"/>
            <w:gridSpan w:val="3"/>
            <w:tcBorders>
              <w:top w:val="single" w:sz="6" w:space="0" w:color="auto"/>
              <w:left w:val="single" w:sz="6" w:space="0" w:color="auto"/>
              <w:bottom w:val="single" w:sz="6" w:space="0" w:color="auto"/>
              <w:right w:val="single" w:sz="6" w:space="0" w:color="auto"/>
            </w:tcBorders>
          </w:tcPr>
          <w:p w14:paraId="1BEC9D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w:t>
            </w:r>
          </w:p>
        </w:tc>
        <w:tc>
          <w:tcPr>
            <w:tcW w:w="748" w:type="dxa"/>
            <w:gridSpan w:val="2"/>
            <w:tcBorders>
              <w:top w:val="single" w:sz="6" w:space="0" w:color="auto"/>
              <w:left w:val="single" w:sz="6" w:space="0" w:color="auto"/>
              <w:bottom w:val="single" w:sz="6" w:space="0" w:color="auto"/>
              <w:right w:val="single" w:sz="6" w:space="0" w:color="auto"/>
            </w:tcBorders>
          </w:tcPr>
          <w:p w14:paraId="5F5A1B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748" w:type="dxa"/>
            <w:gridSpan w:val="2"/>
            <w:tcBorders>
              <w:top w:val="single" w:sz="6" w:space="0" w:color="auto"/>
              <w:left w:val="single" w:sz="6" w:space="0" w:color="auto"/>
              <w:bottom w:val="single" w:sz="6" w:space="0" w:color="auto"/>
              <w:right w:val="single" w:sz="6" w:space="0" w:color="auto"/>
            </w:tcBorders>
          </w:tcPr>
          <w:p w14:paraId="1EEB9E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w:t>
            </w:r>
          </w:p>
        </w:tc>
        <w:tc>
          <w:tcPr>
            <w:tcW w:w="748" w:type="dxa"/>
            <w:tcBorders>
              <w:top w:val="single" w:sz="6" w:space="0" w:color="auto"/>
              <w:left w:val="single" w:sz="6" w:space="0" w:color="auto"/>
              <w:bottom w:val="single" w:sz="6" w:space="0" w:color="auto"/>
              <w:right w:val="single" w:sz="12" w:space="0" w:color="auto"/>
            </w:tcBorders>
          </w:tcPr>
          <w:p w14:paraId="50386DE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43</w:t>
            </w:r>
          </w:p>
        </w:tc>
      </w:tr>
      <w:tr w:rsidR="00643896" w:rsidRPr="00640820" w14:paraId="40095700" w14:textId="77777777" w:rsidTr="000D3BCB">
        <w:tc>
          <w:tcPr>
            <w:tcW w:w="936" w:type="dxa"/>
            <w:gridSpan w:val="2"/>
            <w:tcBorders>
              <w:top w:val="single" w:sz="6" w:space="0" w:color="auto"/>
              <w:left w:val="single" w:sz="12" w:space="0" w:color="auto"/>
              <w:bottom w:val="single" w:sz="6" w:space="0" w:color="auto"/>
              <w:right w:val="single" w:sz="6" w:space="0" w:color="auto"/>
            </w:tcBorders>
          </w:tcPr>
          <w:p w14:paraId="555892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СУ-2</w:t>
            </w:r>
          </w:p>
        </w:tc>
        <w:tc>
          <w:tcPr>
            <w:tcW w:w="936" w:type="dxa"/>
            <w:gridSpan w:val="2"/>
            <w:tcBorders>
              <w:top w:val="single" w:sz="6" w:space="0" w:color="auto"/>
              <w:left w:val="single" w:sz="6" w:space="0" w:color="auto"/>
              <w:bottom w:val="single" w:sz="6" w:space="0" w:color="auto"/>
              <w:right w:val="single" w:sz="6" w:space="0" w:color="auto"/>
            </w:tcBorders>
          </w:tcPr>
          <w:p w14:paraId="41EB23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135</w:t>
            </w:r>
          </w:p>
        </w:tc>
        <w:tc>
          <w:tcPr>
            <w:tcW w:w="849" w:type="dxa"/>
            <w:gridSpan w:val="2"/>
            <w:tcBorders>
              <w:top w:val="single" w:sz="6" w:space="0" w:color="auto"/>
              <w:left w:val="single" w:sz="6" w:space="0" w:color="auto"/>
              <w:bottom w:val="single" w:sz="6" w:space="0" w:color="auto"/>
              <w:right w:val="single" w:sz="6" w:space="0" w:color="auto"/>
            </w:tcBorders>
          </w:tcPr>
          <w:p w14:paraId="74B631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0CA7A7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55" w:type="dxa"/>
            <w:gridSpan w:val="2"/>
            <w:tcBorders>
              <w:top w:val="single" w:sz="6" w:space="0" w:color="auto"/>
              <w:left w:val="single" w:sz="6" w:space="0" w:color="auto"/>
              <w:bottom w:val="single" w:sz="6" w:space="0" w:color="auto"/>
              <w:right w:val="single" w:sz="6" w:space="0" w:color="auto"/>
            </w:tcBorders>
          </w:tcPr>
          <w:p w14:paraId="16C8FA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44</w:t>
            </w:r>
          </w:p>
        </w:tc>
        <w:tc>
          <w:tcPr>
            <w:tcW w:w="748" w:type="dxa"/>
            <w:gridSpan w:val="2"/>
            <w:tcBorders>
              <w:top w:val="single" w:sz="6" w:space="0" w:color="auto"/>
              <w:left w:val="single" w:sz="6" w:space="0" w:color="auto"/>
              <w:bottom w:val="single" w:sz="6" w:space="0" w:color="auto"/>
              <w:right w:val="single" w:sz="6" w:space="0" w:color="auto"/>
            </w:tcBorders>
          </w:tcPr>
          <w:p w14:paraId="373DF0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45</w:t>
            </w:r>
          </w:p>
        </w:tc>
        <w:tc>
          <w:tcPr>
            <w:tcW w:w="748" w:type="dxa"/>
            <w:gridSpan w:val="2"/>
            <w:tcBorders>
              <w:top w:val="single" w:sz="6" w:space="0" w:color="auto"/>
              <w:left w:val="single" w:sz="6" w:space="0" w:color="auto"/>
              <w:bottom w:val="single" w:sz="6" w:space="0" w:color="auto"/>
              <w:right w:val="single" w:sz="6" w:space="0" w:color="auto"/>
            </w:tcBorders>
          </w:tcPr>
          <w:p w14:paraId="5E3441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47</w:t>
            </w:r>
          </w:p>
        </w:tc>
        <w:tc>
          <w:tcPr>
            <w:tcW w:w="748" w:type="dxa"/>
            <w:gridSpan w:val="2"/>
            <w:tcBorders>
              <w:top w:val="single" w:sz="6" w:space="0" w:color="auto"/>
              <w:left w:val="single" w:sz="6" w:space="0" w:color="auto"/>
              <w:bottom w:val="single" w:sz="6" w:space="0" w:color="auto"/>
              <w:right w:val="single" w:sz="6" w:space="0" w:color="auto"/>
            </w:tcBorders>
          </w:tcPr>
          <w:p w14:paraId="15BE99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136</w:t>
            </w:r>
          </w:p>
        </w:tc>
        <w:tc>
          <w:tcPr>
            <w:tcW w:w="748" w:type="dxa"/>
            <w:gridSpan w:val="2"/>
            <w:tcBorders>
              <w:top w:val="single" w:sz="6" w:space="0" w:color="auto"/>
              <w:left w:val="single" w:sz="6" w:space="0" w:color="auto"/>
              <w:bottom w:val="single" w:sz="6" w:space="0" w:color="auto"/>
              <w:right w:val="single" w:sz="6" w:space="0" w:color="auto"/>
            </w:tcBorders>
          </w:tcPr>
          <w:p w14:paraId="4C216D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57</w:t>
            </w:r>
          </w:p>
        </w:tc>
        <w:tc>
          <w:tcPr>
            <w:tcW w:w="748" w:type="dxa"/>
            <w:gridSpan w:val="3"/>
            <w:tcBorders>
              <w:top w:val="single" w:sz="6" w:space="0" w:color="auto"/>
              <w:left w:val="single" w:sz="6" w:space="0" w:color="auto"/>
              <w:bottom w:val="single" w:sz="6" w:space="0" w:color="auto"/>
              <w:right w:val="single" w:sz="6" w:space="0" w:color="auto"/>
            </w:tcBorders>
          </w:tcPr>
          <w:p w14:paraId="39788C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60</w:t>
            </w:r>
          </w:p>
        </w:tc>
        <w:tc>
          <w:tcPr>
            <w:tcW w:w="748" w:type="dxa"/>
            <w:gridSpan w:val="2"/>
            <w:tcBorders>
              <w:top w:val="single" w:sz="6" w:space="0" w:color="auto"/>
              <w:left w:val="single" w:sz="6" w:space="0" w:color="auto"/>
              <w:bottom w:val="single" w:sz="6" w:space="0" w:color="auto"/>
              <w:right w:val="single" w:sz="6" w:space="0" w:color="auto"/>
            </w:tcBorders>
          </w:tcPr>
          <w:p w14:paraId="60B740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62</w:t>
            </w:r>
          </w:p>
        </w:tc>
        <w:tc>
          <w:tcPr>
            <w:tcW w:w="748" w:type="dxa"/>
            <w:gridSpan w:val="2"/>
            <w:tcBorders>
              <w:top w:val="single" w:sz="6" w:space="0" w:color="auto"/>
              <w:left w:val="single" w:sz="6" w:space="0" w:color="auto"/>
              <w:bottom w:val="single" w:sz="6" w:space="0" w:color="auto"/>
              <w:right w:val="single" w:sz="6" w:space="0" w:color="auto"/>
            </w:tcBorders>
          </w:tcPr>
          <w:p w14:paraId="714268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179</w:t>
            </w:r>
          </w:p>
        </w:tc>
        <w:tc>
          <w:tcPr>
            <w:tcW w:w="748" w:type="dxa"/>
            <w:tcBorders>
              <w:top w:val="single" w:sz="6" w:space="0" w:color="auto"/>
              <w:left w:val="single" w:sz="6" w:space="0" w:color="auto"/>
              <w:bottom w:val="single" w:sz="6" w:space="0" w:color="auto"/>
              <w:right w:val="single" w:sz="12" w:space="0" w:color="auto"/>
            </w:tcBorders>
          </w:tcPr>
          <w:p w14:paraId="1B9F0E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315</w:t>
            </w:r>
          </w:p>
        </w:tc>
      </w:tr>
      <w:tr w:rsidR="00643896" w:rsidRPr="00640820" w14:paraId="0745312A" w14:textId="77777777" w:rsidTr="000D3BCB">
        <w:tc>
          <w:tcPr>
            <w:tcW w:w="936" w:type="dxa"/>
            <w:gridSpan w:val="2"/>
            <w:tcBorders>
              <w:top w:val="single" w:sz="6" w:space="0" w:color="auto"/>
              <w:left w:val="single" w:sz="12" w:space="0" w:color="auto"/>
              <w:bottom w:val="single" w:sz="6" w:space="0" w:color="auto"/>
              <w:right w:val="single" w:sz="6" w:space="0" w:color="auto"/>
            </w:tcBorders>
          </w:tcPr>
          <w:p w14:paraId="415B6F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СУ-2</w:t>
            </w:r>
          </w:p>
        </w:tc>
        <w:tc>
          <w:tcPr>
            <w:tcW w:w="936" w:type="dxa"/>
            <w:gridSpan w:val="2"/>
            <w:tcBorders>
              <w:top w:val="single" w:sz="6" w:space="0" w:color="auto"/>
              <w:left w:val="single" w:sz="6" w:space="0" w:color="auto"/>
              <w:bottom w:val="single" w:sz="6" w:space="0" w:color="auto"/>
              <w:right w:val="single" w:sz="6" w:space="0" w:color="auto"/>
            </w:tcBorders>
          </w:tcPr>
          <w:p w14:paraId="6BCC57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207</w:t>
            </w:r>
          </w:p>
        </w:tc>
        <w:tc>
          <w:tcPr>
            <w:tcW w:w="849" w:type="dxa"/>
            <w:gridSpan w:val="2"/>
            <w:tcBorders>
              <w:top w:val="single" w:sz="6" w:space="0" w:color="auto"/>
              <w:left w:val="single" w:sz="6" w:space="0" w:color="auto"/>
              <w:bottom w:val="single" w:sz="6" w:space="0" w:color="auto"/>
              <w:right w:val="single" w:sz="6" w:space="0" w:color="auto"/>
            </w:tcBorders>
          </w:tcPr>
          <w:p w14:paraId="193AD2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00B09D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55" w:type="dxa"/>
            <w:gridSpan w:val="2"/>
            <w:tcBorders>
              <w:top w:val="single" w:sz="6" w:space="0" w:color="auto"/>
              <w:left w:val="single" w:sz="6" w:space="0" w:color="auto"/>
              <w:bottom w:val="single" w:sz="6" w:space="0" w:color="auto"/>
              <w:right w:val="single" w:sz="6" w:space="0" w:color="auto"/>
            </w:tcBorders>
          </w:tcPr>
          <w:p w14:paraId="1283C9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w:t>
            </w:r>
          </w:p>
        </w:tc>
        <w:tc>
          <w:tcPr>
            <w:tcW w:w="748" w:type="dxa"/>
            <w:gridSpan w:val="2"/>
            <w:tcBorders>
              <w:top w:val="single" w:sz="6" w:space="0" w:color="auto"/>
              <w:left w:val="single" w:sz="6" w:space="0" w:color="auto"/>
              <w:bottom w:val="single" w:sz="6" w:space="0" w:color="auto"/>
              <w:right w:val="single" w:sz="6" w:space="0" w:color="auto"/>
            </w:tcBorders>
          </w:tcPr>
          <w:p w14:paraId="64CDEFE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w:t>
            </w:r>
          </w:p>
        </w:tc>
        <w:tc>
          <w:tcPr>
            <w:tcW w:w="748" w:type="dxa"/>
            <w:gridSpan w:val="2"/>
            <w:tcBorders>
              <w:top w:val="single" w:sz="6" w:space="0" w:color="auto"/>
              <w:left w:val="single" w:sz="6" w:space="0" w:color="auto"/>
              <w:bottom w:val="single" w:sz="6" w:space="0" w:color="auto"/>
              <w:right w:val="single" w:sz="6" w:space="0" w:color="auto"/>
            </w:tcBorders>
          </w:tcPr>
          <w:p w14:paraId="4B7861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w:t>
            </w:r>
          </w:p>
        </w:tc>
        <w:tc>
          <w:tcPr>
            <w:tcW w:w="748" w:type="dxa"/>
            <w:gridSpan w:val="2"/>
            <w:tcBorders>
              <w:top w:val="single" w:sz="6" w:space="0" w:color="auto"/>
              <w:left w:val="single" w:sz="6" w:space="0" w:color="auto"/>
              <w:bottom w:val="single" w:sz="6" w:space="0" w:color="auto"/>
              <w:right w:val="single" w:sz="6" w:space="0" w:color="auto"/>
            </w:tcBorders>
          </w:tcPr>
          <w:p w14:paraId="644008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748" w:type="dxa"/>
            <w:gridSpan w:val="2"/>
            <w:tcBorders>
              <w:top w:val="single" w:sz="6" w:space="0" w:color="auto"/>
              <w:left w:val="single" w:sz="6" w:space="0" w:color="auto"/>
              <w:bottom w:val="single" w:sz="6" w:space="0" w:color="auto"/>
              <w:right w:val="single" w:sz="6" w:space="0" w:color="auto"/>
            </w:tcBorders>
          </w:tcPr>
          <w:p w14:paraId="079D2E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w:t>
            </w:r>
          </w:p>
        </w:tc>
        <w:tc>
          <w:tcPr>
            <w:tcW w:w="748" w:type="dxa"/>
            <w:gridSpan w:val="3"/>
            <w:tcBorders>
              <w:top w:val="single" w:sz="6" w:space="0" w:color="auto"/>
              <w:left w:val="single" w:sz="6" w:space="0" w:color="auto"/>
              <w:bottom w:val="single" w:sz="6" w:space="0" w:color="auto"/>
              <w:right w:val="single" w:sz="6" w:space="0" w:color="auto"/>
            </w:tcBorders>
          </w:tcPr>
          <w:p w14:paraId="34149D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w:t>
            </w:r>
          </w:p>
        </w:tc>
        <w:tc>
          <w:tcPr>
            <w:tcW w:w="748" w:type="dxa"/>
            <w:gridSpan w:val="2"/>
            <w:tcBorders>
              <w:top w:val="single" w:sz="6" w:space="0" w:color="auto"/>
              <w:left w:val="single" w:sz="6" w:space="0" w:color="auto"/>
              <w:bottom w:val="single" w:sz="6" w:space="0" w:color="auto"/>
              <w:right w:val="single" w:sz="6" w:space="0" w:color="auto"/>
            </w:tcBorders>
          </w:tcPr>
          <w:p w14:paraId="15DCE5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27</w:t>
            </w:r>
          </w:p>
        </w:tc>
        <w:tc>
          <w:tcPr>
            <w:tcW w:w="748" w:type="dxa"/>
            <w:gridSpan w:val="2"/>
            <w:tcBorders>
              <w:top w:val="single" w:sz="6" w:space="0" w:color="auto"/>
              <w:left w:val="single" w:sz="6" w:space="0" w:color="auto"/>
              <w:bottom w:val="single" w:sz="6" w:space="0" w:color="auto"/>
              <w:right w:val="single" w:sz="6" w:space="0" w:color="auto"/>
            </w:tcBorders>
          </w:tcPr>
          <w:p w14:paraId="56617D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42</w:t>
            </w:r>
          </w:p>
        </w:tc>
        <w:tc>
          <w:tcPr>
            <w:tcW w:w="748" w:type="dxa"/>
            <w:tcBorders>
              <w:top w:val="single" w:sz="6" w:space="0" w:color="auto"/>
              <w:left w:val="single" w:sz="6" w:space="0" w:color="auto"/>
              <w:bottom w:val="single" w:sz="6" w:space="0" w:color="auto"/>
              <w:right w:val="single" w:sz="12" w:space="0" w:color="auto"/>
            </w:tcBorders>
          </w:tcPr>
          <w:p w14:paraId="7520D2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12 \493\ </w:t>
            </w:r>
          </w:p>
        </w:tc>
      </w:tr>
      <w:tr w:rsidR="00643896" w:rsidRPr="00640820" w14:paraId="36A1B2A0" w14:textId="77777777" w:rsidTr="000D3BCB">
        <w:tc>
          <w:tcPr>
            <w:tcW w:w="936" w:type="dxa"/>
            <w:gridSpan w:val="2"/>
            <w:tcBorders>
              <w:top w:val="single" w:sz="6" w:space="0" w:color="auto"/>
              <w:left w:val="single" w:sz="12" w:space="0" w:color="auto"/>
              <w:bottom w:val="single" w:sz="6" w:space="0" w:color="auto"/>
              <w:right w:val="single" w:sz="6" w:space="0" w:color="auto"/>
            </w:tcBorders>
          </w:tcPr>
          <w:p w14:paraId="047BCE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ЯК-4</w:t>
            </w:r>
          </w:p>
        </w:tc>
        <w:tc>
          <w:tcPr>
            <w:tcW w:w="936" w:type="dxa"/>
            <w:gridSpan w:val="2"/>
            <w:tcBorders>
              <w:top w:val="single" w:sz="6" w:space="0" w:color="auto"/>
              <w:left w:val="single" w:sz="6" w:space="0" w:color="auto"/>
              <w:bottom w:val="single" w:sz="6" w:space="0" w:color="auto"/>
              <w:right w:val="single" w:sz="6" w:space="0" w:color="auto"/>
            </w:tcBorders>
          </w:tcPr>
          <w:p w14:paraId="1CAB38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81</w:t>
            </w:r>
          </w:p>
        </w:tc>
        <w:tc>
          <w:tcPr>
            <w:tcW w:w="849" w:type="dxa"/>
            <w:gridSpan w:val="2"/>
            <w:tcBorders>
              <w:top w:val="single" w:sz="6" w:space="0" w:color="auto"/>
              <w:left w:val="single" w:sz="6" w:space="0" w:color="auto"/>
              <w:bottom w:val="single" w:sz="6" w:space="0" w:color="auto"/>
              <w:right w:val="single" w:sz="6" w:space="0" w:color="auto"/>
            </w:tcBorders>
          </w:tcPr>
          <w:p w14:paraId="6F9C338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56725D9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55" w:type="dxa"/>
            <w:gridSpan w:val="2"/>
            <w:tcBorders>
              <w:top w:val="single" w:sz="6" w:space="0" w:color="auto"/>
              <w:left w:val="single" w:sz="6" w:space="0" w:color="auto"/>
              <w:bottom w:val="single" w:sz="6" w:space="0" w:color="auto"/>
              <w:right w:val="single" w:sz="6" w:space="0" w:color="auto"/>
            </w:tcBorders>
          </w:tcPr>
          <w:p w14:paraId="7C7C90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25</w:t>
            </w:r>
          </w:p>
        </w:tc>
        <w:tc>
          <w:tcPr>
            <w:tcW w:w="748" w:type="dxa"/>
            <w:gridSpan w:val="2"/>
            <w:tcBorders>
              <w:top w:val="single" w:sz="6" w:space="0" w:color="auto"/>
              <w:left w:val="single" w:sz="6" w:space="0" w:color="auto"/>
              <w:bottom w:val="single" w:sz="6" w:space="0" w:color="auto"/>
              <w:right w:val="single" w:sz="6" w:space="0" w:color="auto"/>
            </w:tcBorders>
          </w:tcPr>
          <w:p w14:paraId="51BF0A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w:t>
            </w:r>
          </w:p>
        </w:tc>
        <w:tc>
          <w:tcPr>
            <w:tcW w:w="748" w:type="dxa"/>
            <w:gridSpan w:val="2"/>
            <w:tcBorders>
              <w:top w:val="single" w:sz="6" w:space="0" w:color="auto"/>
              <w:left w:val="single" w:sz="6" w:space="0" w:color="auto"/>
              <w:bottom w:val="single" w:sz="6" w:space="0" w:color="auto"/>
              <w:right w:val="single" w:sz="6" w:space="0" w:color="auto"/>
            </w:tcBorders>
          </w:tcPr>
          <w:p w14:paraId="2909B3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w:t>
            </w:r>
          </w:p>
        </w:tc>
        <w:tc>
          <w:tcPr>
            <w:tcW w:w="748" w:type="dxa"/>
            <w:gridSpan w:val="2"/>
            <w:tcBorders>
              <w:top w:val="single" w:sz="6" w:space="0" w:color="auto"/>
              <w:left w:val="single" w:sz="6" w:space="0" w:color="auto"/>
              <w:bottom w:val="single" w:sz="6" w:space="0" w:color="auto"/>
              <w:right w:val="single" w:sz="6" w:space="0" w:color="auto"/>
            </w:tcBorders>
          </w:tcPr>
          <w:p w14:paraId="7430F8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41</w:t>
            </w:r>
          </w:p>
        </w:tc>
        <w:tc>
          <w:tcPr>
            <w:tcW w:w="748" w:type="dxa"/>
            <w:gridSpan w:val="2"/>
            <w:tcBorders>
              <w:top w:val="single" w:sz="6" w:space="0" w:color="auto"/>
              <w:left w:val="single" w:sz="6" w:space="0" w:color="auto"/>
              <w:bottom w:val="single" w:sz="6" w:space="0" w:color="auto"/>
              <w:right w:val="single" w:sz="6" w:space="0" w:color="auto"/>
            </w:tcBorders>
          </w:tcPr>
          <w:p w14:paraId="15C5AA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w:t>
            </w:r>
          </w:p>
        </w:tc>
        <w:tc>
          <w:tcPr>
            <w:tcW w:w="748" w:type="dxa"/>
            <w:gridSpan w:val="3"/>
            <w:tcBorders>
              <w:top w:val="single" w:sz="6" w:space="0" w:color="auto"/>
              <w:left w:val="single" w:sz="6" w:space="0" w:color="auto"/>
              <w:bottom w:val="single" w:sz="6" w:space="0" w:color="auto"/>
              <w:right w:val="single" w:sz="6" w:space="0" w:color="auto"/>
            </w:tcBorders>
          </w:tcPr>
          <w:p w14:paraId="5B1DD1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21EA61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37B5D8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w:t>
            </w:r>
          </w:p>
        </w:tc>
        <w:tc>
          <w:tcPr>
            <w:tcW w:w="748" w:type="dxa"/>
            <w:tcBorders>
              <w:top w:val="single" w:sz="6" w:space="0" w:color="auto"/>
              <w:left w:val="single" w:sz="6" w:space="0" w:color="auto"/>
              <w:bottom w:val="single" w:sz="6" w:space="0" w:color="auto"/>
              <w:right w:val="single" w:sz="12" w:space="0" w:color="auto"/>
            </w:tcBorders>
          </w:tcPr>
          <w:p w14:paraId="56452B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63</w:t>
            </w:r>
          </w:p>
        </w:tc>
      </w:tr>
      <w:tr w:rsidR="00643896" w:rsidRPr="00640820" w14:paraId="7140A00A" w14:textId="77777777" w:rsidTr="000D3BCB">
        <w:tc>
          <w:tcPr>
            <w:tcW w:w="936" w:type="dxa"/>
            <w:gridSpan w:val="2"/>
            <w:tcBorders>
              <w:top w:val="single" w:sz="6" w:space="0" w:color="auto"/>
              <w:left w:val="single" w:sz="12" w:space="0" w:color="auto"/>
              <w:bottom w:val="single" w:sz="6" w:space="0" w:color="auto"/>
              <w:right w:val="single" w:sz="6" w:space="0" w:color="auto"/>
            </w:tcBorders>
          </w:tcPr>
          <w:p w14:paraId="744E6C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ДБ-Зф</w:t>
            </w:r>
          </w:p>
        </w:tc>
        <w:tc>
          <w:tcPr>
            <w:tcW w:w="936" w:type="dxa"/>
            <w:gridSpan w:val="2"/>
            <w:tcBorders>
              <w:top w:val="single" w:sz="6" w:space="0" w:color="auto"/>
              <w:left w:val="single" w:sz="6" w:space="0" w:color="auto"/>
              <w:bottom w:val="single" w:sz="6" w:space="0" w:color="auto"/>
              <w:right w:val="single" w:sz="6" w:space="0" w:color="auto"/>
            </w:tcBorders>
          </w:tcPr>
          <w:p w14:paraId="7FAB3C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w:t>
            </w:r>
          </w:p>
        </w:tc>
        <w:tc>
          <w:tcPr>
            <w:tcW w:w="849" w:type="dxa"/>
            <w:gridSpan w:val="2"/>
            <w:tcBorders>
              <w:top w:val="single" w:sz="6" w:space="0" w:color="auto"/>
              <w:left w:val="single" w:sz="6" w:space="0" w:color="auto"/>
              <w:bottom w:val="single" w:sz="6" w:space="0" w:color="auto"/>
              <w:right w:val="single" w:sz="6" w:space="0" w:color="auto"/>
            </w:tcBorders>
          </w:tcPr>
          <w:p w14:paraId="673442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5ADA2A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55" w:type="dxa"/>
            <w:gridSpan w:val="2"/>
            <w:tcBorders>
              <w:top w:val="single" w:sz="6" w:space="0" w:color="auto"/>
              <w:left w:val="single" w:sz="6" w:space="0" w:color="auto"/>
              <w:bottom w:val="single" w:sz="6" w:space="0" w:color="auto"/>
              <w:right w:val="single" w:sz="6" w:space="0" w:color="auto"/>
            </w:tcBorders>
          </w:tcPr>
          <w:p w14:paraId="7E9E79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65</w:t>
            </w:r>
          </w:p>
        </w:tc>
        <w:tc>
          <w:tcPr>
            <w:tcW w:w="748" w:type="dxa"/>
            <w:gridSpan w:val="2"/>
            <w:tcBorders>
              <w:top w:val="single" w:sz="6" w:space="0" w:color="auto"/>
              <w:left w:val="single" w:sz="6" w:space="0" w:color="auto"/>
              <w:bottom w:val="single" w:sz="6" w:space="0" w:color="auto"/>
              <w:right w:val="single" w:sz="6" w:space="0" w:color="auto"/>
            </w:tcBorders>
          </w:tcPr>
          <w:p w14:paraId="20B651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85</w:t>
            </w:r>
          </w:p>
        </w:tc>
        <w:tc>
          <w:tcPr>
            <w:tcW w:w="748" w:type="dxa"/>
            <w:gridSpan w:val="2"/>
            <w:tcBorders>
              <w:top w:val="single" w:sz="6" w:space="0" w:color="auto"/>
              <w:left w:val="single" w:sz="6" w:space="0" w:color="auto"/>
              <w:bottom w:val="single" w:sz="6" w:space="0" w:color="auto"/>
              <w:right w:val="single" w:sz="6" w:space="0" w:color="auto"/>
            </w:tcBorders>
          </w:tcPr>
          <w:p w14:paraId="0D5CC9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90</w:t>
            </w:r>
          </w:p>
        </w:tc>
        <w:tc>
          <w:tcPr>
            <w:tcW w:w="748" w:type="dxa"/>
            <w:gridSpan w:val="2"/>
            <w:tcBorders>
              <w:top w:val="single" w:sz="6" w:space="0" w:color="auto"/>
              <w:left w:val="single" w:sz="6" w:space="0" w:color="auto"/>
              <w:bottom w:val="single" w:sz="6" w:space="0" w:color="auto"/>
              <w:right w:val="single" w:sz="6" w:space="0" w:color="auto"/>
            </w:tcBorders>
          </w:tcPr>
          <w:p w14:paraId="3BA4AC9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240</w:t>
            </w:r>
          </w:p>
        </w:tc>
        <w:tc>
          <w:tcPr>
            <w:tcW w:w="748" w:type="dxa"/>
            <w:gridSpan w:val="2"/>
            <w:tcBorders>
              <w:top w:val="single" w:sz="6" w:space="0" w:color="auto"/>
              <w:left w:val="single" w:sz="6" w:space="0" w:color="auto"/>
              <w:bottom w:val="single" w:sz="6" w:space="0" w:color="auto"/>
              <w:right w:val="single" w:sz="6" w:space="0" w:color="auto"/>
            </w:tcBorders>
          </w:tcPr>
          <w:p w14:paraId="377D76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60</w:t>
            </w:r>
          </w:p>
        </w:tc>
        <w:tc>
          <w:tcPr>
            <w:tcW w:w="748" w:type="dxa"/>
            <w:gridSpan w:val="3"/>
            <w:tcBorders>
              <w:top w:val="single" w:sz="6" w:space="0" w:color="auto"/>
              <w:left w:val="single" w:sz="6" w:space="0" w:color="auto"/>
              <w:bottom w:val="single" w:sz="6" w:space="0" w:color="auto"/>
              <w:right w:val="single" w:sz="6" w:space="0" w:color="auto"/>
            </w:tcBorders>
          </w:tcPr>
          <w:p w14:paraId="6334B9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78C683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26</w:t>
            </w:r>
          </w:p>
        </w:tc>
        <w:tc>
          <w:tcPr>
            <w:tcW w:w="748" w:type="dxa"/>
            <w:gridSpan w:val="2"/>
            <w:tcBorders>
              <w:top w:val="single" w:sz="6" w:space="0" w:color="auto"/>
              <w:left w:val="single" w:sz="6" w:space="0" w:color="auto"/>
              <w:bottom w:val="single" w:sz="6" w:space="0" w:color="auto"/>
              <w:right w:val="single" w:sz="6" w:space="0" w:color="auto"/>
            </w:tcBorders>
          </w:tcPr>
          <w:p w14:paraId="72BBC1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86</w:t>
            </w:r>
          </w:p>
        </w:tc>
        <w:tc>
          <w:tcPr>
            <w:tcW w:w="748" w:type="dxa"/>
            <w:tcBorders>
              <w:top w:val="single" w:sz="6" w:space="0" w:color="auto"/>
              <w:left w:val="single" w:sz="6" w:space="0" w:color="auto"/>
              <w:bottom w:val="single" w:sz="6" w:space="0" w:color="auto"/>
              <w:right w:val="single" w:sz="12" w:space="0" w:color="auto"/>
            </w:tcBorders>
          </w:tcPr>
          <w:p w14:paraId="280C0C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326</w:t>
            </w:r>
          </w:p>
        </w:tc>
      </w:tr>
      <w:tr w:rsidR="00643896" w:rsidRPr="00640820" w14:paraId="2A6B864C" w14:textId="77777777" w:rsidTr="000D3BCB">
        <w:tc>
          <w:tcPr>
            <w:tcW w:w="936" w:type="dxa"/>
            <w:gridSpan w:val="2"/>
            <w:tcBorders>
              <w:top w:val="single" w:sz="6" w:space="0" w:color="auto"/>
              <w:left w:val="single" w:sz="12" w:space="0" w:color="auto"/>
              <w:bottom w:val="single" w:sz="6" w:space="0" w:color="auto"/>
              <w:right w:val="single" w:sz="6" w:space="0" w:color="auto"/>
            </w:tcBorders>
          </w:tcPr>
          <w:p w14:paraId="574897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ЕР-2</w:t>
            </w:r>
          </w:p>
        </w:tc>
        <w:tc>
          <w:tcPr>
            <w:tcW w:w="936" w:type="dxa"/>
            <w:gridSpan w:val="2"/>
            <w:tcBorders>
              <w:top w:val="single" w:sz="6" w:space="0" w:color="auto"/>
              <w:left w:val="single" w:sz="6" w:space="0" w:color="auto"/>
              <w:bottom w:val="single" w:sz="6" w:space="0" w:color="auto"/>
              <w:right w:val="single" w:sz="6" w:space="0" w:color="auto"/>
            </w:tcBorders>
          </w:tcPr>
          <w:p w14:paraId="16D855B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w:t>
            </w:r>
          </w:p>
        </w:tc>
        <w:tc>
          <w:tcPr>
            <w:tcW w:w="849" w:type="dxa"/>
            <w:gridSpan w:val="2"/>
            <w:tcBorders>
              <w:top w:val="single" w:sz="6" w:space="0" w:color="auto"/>
              <w:left w:val="single" w:sz="6" w:space="0" w:color="auto"/>
              <w:bottom w:val="single" w:sz="6" w:space="0" w:color="auto"/>
              <w:right w:val="single" w:sz="6" w:space="0" w:color="auto"/>
            </w:tcBorders>
          </w:tcPr>
          <w:p w14:paraId="045C64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6785B6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55" w:type="dxa"/>
            <w:gridSpan w:val="2"/>
            <w:tcBorders>
              <w:top w:val="single" w:sz="6" w:space="0" w:color="auto"/>
              <w:left w:val="single" w:sz="6" w:space="0" w:color="auto"/>
              <w:bottom w:val="single" w:sz="6" w:space="0" w:color="auto"/>
              <w:right w:val="single" w:sz="6" w:space="0" w:color="auto"/>
            </w:tcBorders>
          </w:tcPr>
          <w:p w14:paraId="0FC418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70F230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164737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4537CC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08A9ED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w:t>
            </w:r>
          </w:p>
        </w:tc>
        <w:tc>
          <w:tcPr>
            <w:tcW w:w="748" w:type="dxa"/>
            <w:gridSpan w:val="3"/>
            <w:tcBorders>
              <w:top w:val="single" w:sz="6" w:space="0" w:color="auto"/>
              <w:left w:val="single" w:sz="6" w:space="0" w:color="auto"/>
              <w:bottom w:val="single" w:sz="6" w:space="0" w:color="auto"/>
              <w:right w:val="single" w:sz="6" w:space="0" w:color="auto"/>
            </w:tcBorders>
          </w:tcPr>
          <w:p w14:paraId="79FF9B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w:t>
            </w:r>
          </w:p>
        </w:tc>
        <w:tc>
          <w:tcPr>
            <w:tcW w:w="748" w:type="dxa"/>
            <w:gridSpan w:val="2"/>
            <w:tcBorders>
              <w:top w:val="single" w:sz="6" w:space="0" w:color="auto"/>
              <w:left w:val="single" w:sz="6" w:space="0" w:color="auto"/>
              <w:bottom w:val="single" w:sz="6" w:space="0" w:color="auto"/>
              <w:right w:val="single" w:sz="6" w:space="0" w:color="auto"/>
            </w:tcBorders>
          </w:tcPr>
          <w:p w14:paraId="5E0D87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25</w:t>
            </w:r>
          </w:p>
        </w:tc>
        <w:tc>
          <w:tcPr>
            <w:tcW w:w="748" w:type="dxa"/>
            <w:gridSpan w:val="2"/>
            <w:tcBorders>
              <w:top w:val="single" w:sz="6" w:space="0" w:color="auto"/>
              <w:left w:val="single" w:sz="6" w:space="0" w:color="auto"/>
              <w:bottom w:val="single" w:sz="6" w:space="0" w:color="auto"/>
              <w:right w:val="single" w:sz="6" w:space="0" w:color="auto"/>
            </w:tcBorders>
          </w:tcPr>
          <w:p w14:paraId="480A65E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42</w:t>
            </w:r>
          </w:p>
        </w:tc>
        <w:tc>
          <w:tcPr>
            <w:tcW w:w="748" w:type="dxa"/>
            <w:tcBorders>
              <w:top w:val="single" w:sz="6" w:space="0" w:color="auto"/>
              <w:left w:val="single" w:sz="6" w:space="0" w:color="auto"/>
              <w:bottom w:val="single" w:sz="6" w:space="0" w:color="auto"/>
              <w:right w:val="single" w:sz="12" w:space="0" w:color="auto"/>
            </w:tcBorders>
          </w:tcPr>
          <w:p w14:paraId="51F476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42</w:t>
            </w:r>
          </w:p>
        </w:tc>
      </w:tr>
      <w:tr w:rsidR="00643896" w:rsidRPr="00640820" w14:paraId="3B99B6B8" w14:textId="77777777" w:rsidTr="000D3BCB">
        <w:tc>
          <w:tcPr>
            <w:tcW w:w="936" w:type="dxa"/>
            <w:gridSpan w:val="2"/>
            <w:tcBorders>
              <w:top w:val="single" w:sz="6" w:space="0" w:color="auto"/>
              <w:left w:val="single" w:sz="12" w:space="0" w:color="auto"/>
              <w:bottom w:val="single" w:sz="6" w:space="0" w:color="auto"/>
              <w:right w:val="single" w:sz="6" w:space="0" w:color="auto"/>
            </w:tcBorders>
          </w:tcPr>
          <w:p w14:paraId="7A0BE4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ДБ-Зф</w:t>
            </w:r>
          </w:p>
        </w:tc>
        <w:tc>
          <w:tcPr>
            <w:tcW w:w="936" w:type="dxa"/>
            <w:gridSpan w:val="2"/>
            <w:tcBorders>
              <w:top w:val="single" w:sz="6" w:space="0" w:color="auto"/>
              <w:left w:val="single" w:sz="6" w:space="0" w:color="auto"/>
              <w:bottom w:val="single" w:sz="6" w:space="0" w:color="auto"/>
              <w:right w:val="single" w:sz="6" w:space="0" w:color="auto"/>
            </w:tcBorders>
          </w:tcPr>
          <w:p w14:paraId="3537D9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126</w:t>
            </w:r>
          </w:p>
        </w:tc>
        <w:tc>
          <w:tcPr>
            <w:tcW w:w="849" w:type="dxa"/>
            <w:gridSpan w:val="2"/>
            <w:tcBorders>
              <w:top w:val="single" w:sz="6" w:space="0" w:color="auto"/>
              <w:left w:val="single" w:sz="6" w:space="0" w:color="auto"/>
              <w:bottom w:val="single" w:sz="6" w:space="0" w:color="auto"/>
              <w:right w:val="single" w:sz="6" w:space="0" w:color="auto"/>
            </w:tcBorders>
          </w:tcPr>
          <w:p w14:paraId="3A965E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35A388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55" w:type="dxa"/>
            <w:gridSpan w:val="2"/>
            <w:tcBorders>
              <w:top w:val="single" w:sz="6" w:space="0" w:color="auto"/>
              <w:left w:val="single" w:sz="6" w:space="0" w:color="auto"/>
              <w:bottom w:val="single" w:sz="6" w:space="0" w:color="auto"/>
              <w:right w:val="single" w:sz="6" w:space="0" w:color="auto"/>
            </w:tcBorders>
          </w:tcPr>
          <w:p w14:paraId="5DBDEC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5A37D2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2AA3FE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70695E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1555C1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w:t>
            </w:r>
          </w:p>
        </w:tc>
        <w:tc>
          <w:tcPr>
            <w:tcW w:w="748" w:type="dxa"/>
            <w:gridSpan w:val="3"/>
            <w:tcBorders>
              <w:top w:val="single" w:sz="6" w:space="0" w:color="auto"/>
              <w:left w:val="single" w:sz="6" w:space="0" w:color="auto"/>
              <w:bottom w:val="single" w:sz="6" w:space="0" w:color="auto"/>
              <w:right w:val="single" w:sz="6" w:space="0" w:color="auto"/>
            </w:tcBorders>
          </w:tcPr>
          <w:p w14:paraId="15FD2D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26</w:t>
            </w:r>
          </w:p>
        </w:tc>
        <w:tc>
          <w:tcPr>
            <w:tcW w:w="748" w:type="dxa"/>
            <w:gridSpan w:val="2"/>
            <w:tcBorders>
              <w:top w:val="single" w:sz="6" w:space="0" w:color="auto"/>
              <w:left w:val="single" w:sz="6" w:space="0" w:color="auto"/>
              <w:bottom w:val="single" w:sz="6" w:space="0" w:color="auto"/>
              <w:right w:val="single" w:sz="6" w:space="0" w:color="auto"/>
            </w:tcBorders>
          </w:tcPr>
          <w:p w14:paraId="2CD160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35</w:t>
            </w:r>
          </w:p>
        </w:tc>
        <w:tc>
          <w:tcPr>
            <w:tcW w:w="748" w:type="dxa"/>
            <w:gridSpan w:val="2"/>
            <w:tcBorders>
              <w:top w:val="single" w:sz="6" w:space="0" w:color="auto"/>
              <w:left w:val="single" w:sz="6" w:space="0" w:color="auto"/>
              <w:bottom w:val="single" w:sz="6" w:space="0" w:color="auto"/>
              <w:right w:val="single" w:sz="6" w:space="0" w:color="auto"/>
            </w:tcBorders>
          </w:tcPr>
          <w:p w14:paraId="775F37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64</w:t>
            </w:r>
          </w:p>
        </w:tc>
        <w:tc>
          <w:tcPr>
            <w:tcW w:w="748" w:type="dxa"/>
            <w:tcBorders>
              <w:top w:val="single" w:sz="6" w:space="0" w:color="auto"/>
              <w:left w:val="single" w:sz="6" w:space="0" w:color="auto"/>
              <w:bottom w:val="single" w:sz="6" w:space="0" w:color="auto"/>
              <w:right w:val="single" w:sz="12" w:space="0" w:color="auto"/>
            </w:tcBorders>
          </w:tcPr>
          <w:p w14:paraId="1AF171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64</w:t>
            </w:r>
          </w:p>
        </w:tc>
      </w:tr>
      <w:tr w:rsidR="00643896" w:rsidRPr="00640820" w14:paraId="0BA54212" w14:textId="77777777" w:rsidTr="000D3BCB">
        <w:tc>
          <w:tcPr>
            <w:tcW w:w="936" w:type="dxa"/>
            <w:gridSpan w:val="2"/>
            <w:tcBorders>
              <w:top w:val="single" w:sz="6" w:space="0" w:color="auto"/>
              <w:left w:val="single" w:sz="12" w:space="0" w:color="auto"/>
              <w:bottom w:val="single" w:sz="6" w:space="0" w:color="auto"/>
              <w:right w:val="single" w:sz="6" w:space="0" w:color="auto"/>
            </w:tcBorders>
          </w:tcPr>
          <w:p w14:paraId="130393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ДБ-3</w:t>
            </w:r>
          </w:p>
        </w:tc>
        <w:tc>
          <w:tcPr>
            <w:tcW w:w="936" w:type="dxa"/>
            <w:gridSpan w:val="2"/>
            <w:tcBorders>
              <w:top w:val="single" w:sz="6" w:space="0" w:color="auto"/>
              <w:left w:val="single" w:sz="6" w:space="0" w:color="auto"/>
              <w:bottom w:val="single" w:sz="6" w:space="0" w:color="auto"/>
              <w:right w:val="single" w:sz="6" w:space="0" w:color="auto"/>
            </w:tcBorders>
          </w:tcPr>
          <w:p w14:paraId="0B36BE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126</w:t>
            </w:r>
          </w:p>
        </w:tc>
        <w:tc>
          <w:tcPr>
            <w:tcW w:w="849" w:type="dxa"/>
            <w:gridSpan w:val="2"/>
            <w:tcBorders>
              <w:top w:val="single" w:sz="6" w:space="0" w:color="auto"/>
              <w:left w:val="single" w:sz="6" w:space="0" w:color="auto"/>
              <w:bottom w:val="single" w:sz="6" w:space="0" w:color="auto"/>
              <w:right w:val="single" w:sz="6" w:space="0" w:color="auto"/>
            </w:tcBorders>
          </w:tcPr>
          <w:p w14:paraId="4E3234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771CB0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55" w:type="dxa"/>
            <w:gridSpan w:val="2"/>
            <w:tcBorders>
              <w:top w:val="single" w:sz="6" w:space="0" w:color="auto"/>
              <w:left w:val="single" w:sz="6" w:space="0" w:color="auto"/>
              <w:bottom w:val="single" w:sz="6" w:space="0" w:color="auto"/>
              <w:right w:val="single" w:sz="6" w:space="0" w:color="auto"/>
            </w:tcBorders>
          </w:tcPr>
          <w:p w14:paraId="22A5B0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495DEB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331CD4D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w:t>
            </w:r>
          </w:p>
        </w:tc>
        <w:tc>
          <w:tcPr>
            <w:tcW w:w="748" w:type="dxa"/>
            <w:gridSpan w:val="2"/>
            <w:tcBorders>
              <w:top w:val="single" w:sz="6" w:space="0" w:color="auto"/>
              <w:left w:val="single" w:sz="6" w:space="0" w:color="auto"/>
              <w:bottom w:val="single" w:sz="6" w:space="0" w:color="auto"/>
              <w:right w:val="single" w:sz="6" w:space="0" w:color="auto"/>
            </w:tcBorders>
          </w:tcPr>
          <w:p w14:paraId="741E10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w:t>
            </w:r>
          </w:p>
        </w:tc>
        <w:tc>
          <w:tcPr>
            <w:tcW w:w="748" w:type="dxa"/>
            <w:gridSpan w:val="2"/>
            <w:tcBorders>
              <w:top w:val="single" w:sz="6" w:space="0" w:color="auto"/>
              <w:left w:val="single" w:sz="6" w:space="0" w:color="auto"/>
              <w:bottom w:val="single" w:sz="6" w:space="0" w:color="auto"/>
              <w:right w:val="single" w:sz="6" w:space="0" w:color="auto"/>
            </w:tcBorders>
          </w:tcPr>
          <w:p w14:paraId="40737F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w:t>
            </w:r>
          </w:p>
        </w:tc>
        <w:tc>
          <w:tcPr>
            <w:tcW w:w="748" w:type="dxa"/>
            <w:gridSpan w:val="3"/>
            <w:tcBorders>
              <w:top w:val="single" w:sz="6" w:space="0" w:color="auto"/>
              <w:left w:val="single" w:sz="6" w:space="0" w:color="auto"/>
              <w:bottom w:val="single" w:sz="6" w:space="0" w:color="auto"/>
              <w:right w:val="single" w:sz="6" w:space="0" w:color="auto"/>
            </w:tcBorders>
          </w:tcPr>
          <w:p w14:paraId="29F47D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2380CB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1EFDB3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w:t>
            </w:r>
          </w:p>
        </w:tc>
        <w:tc>
          <w:tcPr>
            <w:tcW w:w="748" w:type="dxa"/>
            <w:tcBorders>
              <w:top w:val="single" w:sz="6" w:space="0" w:color="auto"/>
              <w:left w:val="single" w:sz="6" w:space="0" w:color="auto"/>
              <w:bottom w:val="single" w:sz="6" w:space="0" w:color="auto"/>
              <w:right w:val="single" w:sz="12" w:space="0" w:color="auto"/>
            </w:tcBorders>
          </w:tcPr>
          <w:p w14:paraId="05D9B2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w:t>
            </w:r>
          </w:p>
        </w:tc>
      </w:tr>
      <w:tr w:rsidR="00643896" w:rsidRPr="00640820" w14:paraId="404BF9F2" w14:textId="77777777" w:rsidTr="000D3BCB">
        <w:tc>
          <w:tcPr>
            <w:tcW w:w="936" w:type="dxa"/>
            <w:gridSpan w:val="2"/>
            <w:tcBorders>
              <w:top w:val="single" w:sz="6" w:space="0" w:color="auto"/>
              <w:left w:val="single" w:sz="12" w:space="0" w:color="auto"/>
              <w:bottom w:val="single" w:sz="6" w:space="0" w:color="auto"/>
              <w:right w:val="single" w:sz="6" w:space="0" w:color="auto"/>
            </w:tcBorders>
          </w:tcPr>
          <w:p w14:paraId="5DE45FA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ТБ-7</w:t>
            </w:r>
          </w:p>
        </w:tc>
        <w:tc>
          <w:tcPr>
            <w:tcW w:w="936" w:type="dxa"/>
            <w:gridSpan w:val="2"/>
            <w:tcBorders>
              <w:top w:val="single" w:sz="6" w:space="0" w:color="auto"/>
              <w:left w:val="single" w:sz="6" w:space="0" w:color="auto"/>
              <w:bottom w:val="single" w:sz="6" w:space="0" w:color="auto"/>
              <w:right w:val="single" w:sz="6" w:space="0" w:color="auto"/>
            </w:tcBorders>
          </w:tcPr>
          <w:p w14:paraId="1D35EB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124</w:t>
            </w:r>
          </w:p>
        </w:tc>
        <w:tc>
          <w:tcPr>
            <w:tcW w:w="849" w:type="dxa"/>
            <w:gridSpan w:val="2"/>
            <w:tcBorders>
              <w:top w:val="single" w:sz="6" w:space="0" w:color="auto"/>
              <w:left w:val="single" w:sz="6" w:space="0" w:color="auto"/>
              <w:bottom w:val="single" w:sz="6" w:space="0" w:color="auto"/>
              <w:right w:val="single" w:sz="6" w:space="0" w:color="auto"/>
            </w:tcBorders>
          </w:tcPr>
          <w:p w14:paraId="38A2D2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5974AA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55" w:type="dxa"/>
            <w:gridSpan w:val="2"/>
            <w:tcBorders>
              <w:top w:val="single" w:sz="6" w:space="0" w:color="auto"/>
              <w:left w:val="single" w:sz="6" w:space="0" w:color="auto"/>
              <w:bottom w:val="single" w:sz="6" w:space="0" w:color="auto"/>
              <w:right w:val="single" w:sz="6" w:space="0" w:color="auto"/>
            </w:tcBorders>
          </w:tcPr>
          <w:p w14:paraId="6BC4191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5D047A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748" w:type="dxa"/>
            <w:gridSpan w:val="2"/>
            <w:tcBorders>
              <w:top w:val="single" w:sz="6" w:space="0" w:color="auto"/>
              <w:left w:val="single" w:sz="6" w:space="0" w:color="auto"/>
              <w:bottom w:val="single" w:sz="6" w:space="0" w:color="auto"/>
              <w:right w:val="single" w:sz="6" w:space="0" w:color="auto"/>
            </w:tcBorders>
          </w:tcPr>
          <w:p w14:paraId="0FCFE7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748" w:type="dxa"/>
            <w:gridSpan w:val="2"/>
            <w:tcBorders>
              <w:top w:val="single" w:sz="6" w:space="0" w:color="auto"/>
              <w:left w:val="single" w:sz="6" w:space="0" w:color="auto"/>
              <w:bottom w:val="single" w:sz="6" w:space="0" w:color="auto"/>
              <w:right w:val="single" w:sz="6" w:space="0" w:color="auto"/>
            </w:tcBorders>
          </w:tcPr>
          <w:p w14:paraId="3601C8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w:t>
            </w:r>
          </w:p>
        </w:tc>
        <w:tc>
          <w:tcPr>
            <w:tcW w:w="748" w:type="dxa"/>
            <w:gridSpan w:val="2"/>
            <w:tcBorders>
              <w:top w:val="single" w:sz="6" w:space="0" w:color="auto"/>
              <w:left w:val="single" w:sz="6" w:space="0" w:color="auto"/>
              <w:bottom w:val="single" w:sz="6" w:space="0" w:color="auto"/>
              <w:right w:val="single" w:sz="6" w:space="0" w:color="auto"/>
            </w:tcBorders>
          </w:tcPr>
          <w:p w14:paraId="7D8873D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3"/>
            <w:tcBorders>
              <w:top w:val="single" w:sz="6" w:space="0" w:color="auto"/>
              <w:left w:val="single" w:sz="6" w:space="0" w:color="auto"/>
              <w:bottom w:val="single" w:sz="6" w:space="0" w:color="auto"/>
              <w:right w:val="single" w:sz="6" w:space="0" w:color="auto"/>
            </w:tcBorders>
          </w:tcPr>
          <w:p w14:paraId="76D0E8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w:t>
            </w:r>
          </w:p>
        </w:tc>
        <w:tc>
          <w:tcPr>
            <w:tcW w:w="748" w:type="dxa"/>
            <w:gridSpan w:val="2"/>
            <w:tcBorders>
              <w:top w:val="single" w:sz="6" w:space="0" w:color="auto"/>
              <w:left w:val="single" w:sz="6" w:space="0" w:color="auto"/>
              <w:bottom w:val="single" w:sz="6" w:space="0" w:color="auto"/>
              <w:right w:val="single" w:sz="6" w:space="0" w:color="auto"/>
            </w:tcBorders>
          </w:tcPr>
          <w:p w14:paraId="477292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w:t>
            </w:r>
          </w:p>
        </w:tc>
        <w:tc>
          <w:tcPr>
            <w:tcW w:w="748" w:type="dxa"/>
            <w:gridSpan w:val="2"/>
            <w:tcBorders>
              <w:top w:val="single" w:sz="6" w:space="0" w:color="auto"/>
              <w:left w:val="single" w:sz="6" w:space="0" w:color="auto"/>
              <w:bottom w:val="single" w:sz="6" w:space="0" w:color="auto"/>
              <w:right w:val="single" w:sz="6" w:space="0" w:color="auto"/>
            </w:tcBorders>
          </w:tcPr>
          <w:p w14:paraId="117CEC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w:t>
            </w:r>
          </w:p>
        </w:tc>
        <w:tc>
          <w:tcPr>
            <w:tcW w:w="748" w:type="dxa"/>
            <w:tcBorders>
              <w:top w:val="single" w:sz="6" w:space="0" w:color="auto"/>
              <w:left w:val="single" w:sz="6" w:space="0" w:color="auto"/>
              <w:bottom w:val="single" w:sz="6" w:space="0" w:color="auto"/>
              <w:right w:val="single" w:sz="12" w:space="0" w:color="auto"/>
            </w:tcBorders>
          </w:tcPr>
          <w:p w14:paraId="007915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w:t>
            </w:r>
          </w:p>
        </w:tc>
      </w:tr>
      <w:tr w:rsidR="00643896" w:rsidRPr="00640820" w14:paraId="5C55137A" w14:textId="77777777" w:rsidTr="000D3BCB">
        <w:tc>
          <w:tcPr>
            <w:tcW w:w="936" w:type="dxa"/>
            <w:gridSpan w:val="2"/>
            <w:tcBorders>
              <w:top w:val="single" w:sz="6" w:space="0" w:color="auto"/>
              <w:left w:val="single" w:sz="12" w:space="0" w:color="auto"/>
              <w:bottom w:val="single" w:sz="6" w:space="0" w:color="auto"/>
              <w:right w:val="single" w:sz="6" w:space="0" w:color="auto"/>
            </w:tcBorders>
          </w:tcPr>
          <w:p w14:paraId="3DC09D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СБ</w:t>
            </w:r>
          </w:p>
        </w:tc>
        <w:tc>
          <w:tcPr>
            <w:tcW w:w="936" w:type="dxa"/>
            <w:gridSpan w:val="2"/>
            <w:tcBorders>
              <w:top w:val="single" w:sz="6" w:space="0" w:color="auto"/>
              <w:left w:val="single" w:sz="6" w:space="0" w:color="auto"/>
              <w:bottom w:val="single" w:sz="6" w:space="0" w:color="auto"/>
              <w:right w:val="single" w:sz="6" w:space="0" w:color="auto"/>
            </w:tcBorders>
          </w:tcPr>
          <w:p w14:paraId="216BA0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125</w:t>
            </w:r>
          </w:p>
        </w:tc>
        <w:tc>
          <w:tcPr>
            <w:tcW w:w="849" w:type="dxa"/>
            <w:gridSpan w:val="2"/>
            <w:tcBorders>
              <w:top w:val="single" w:sz="6" w:space="0" w:color="auto"/>
              <w:left w:val="single" w:sz="6" w:space="0" w:color="auto"/>
              <w:bottom w:val="single" w:sz="6" w:space="0" w:color="auto"/>
              <w:right w:val="single" w:sz="6" w:space="0" w:color="auto"/>
            </w:tcBorders>
          </w:tcPr>
          <w:p w14:paraId="38F909C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44F898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55" w:type="dxa"/>
            <w:gridSpan w:val="2"/>
            <w:tcBorders>
              <w:top w:val="single" w:sz="6" w:space="0" w:color="auto"/>
              <w:left w:val="single" w:sz="6" w:space="0" w:color="auto"/>
              <w:bottom w:val="single" w:sz="6" w:space="0" w:color="auto"/>
              <w:right w:val="single" w:sz="6" w:space="0" w:color="auto"/>
            </w:tcBorders>
          </w:tcPr>
          <w:p w14:paraId="0FEDB0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2CA42A9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310200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24</w:t>
            </w:r>
          </w:p>
        </w:tc>
        <w:tc>
          <w:tcPr>
            <w:tcW w:w="748" w:type="dxa"/>
            <w:gridSpan w:val="2"/>
            <w:tcBorders>
              <w:top w:val="single" w:sz="6" w:space="0" w:color="auto"/>
              <w:left w:val="single" w:sz="6" w:space="0" w:color="auto"/>
              <w:bottom w:val="single" w:sz="6" w:space="0" w:color="auto"/>
              <w:right w:val="single" w:sz="6" w:space="0" w:color="auto"/>
            </w:tcBorders>
          </w:tcPr>
          <w:p w14:paraId="34CD8FB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24</w:t>
            </w:r>
          </w:p>
        </w:tc>
        <w:tc>
          <w:tcPr>
            <w:tcW w:w="748" w:type="dxa"/>
            <w:gridSpan w:val="2"/>
            <w:tcBorders>
              <w:top w:val="single" w:sz="6" w:space="0" w:color="auto"/>
              <w:left w:val="single" w:sz="6" w:space="0" w:color="auto"/>
              <w:bottom w:val="single" w:sz="6" w:space="0" w:color="auto"/>
              <w:right w:val="single" w:sz="6" w:space="0" w:color="auto"/>
            </w:tcBorders>
          </w:tcPr>
          <w:p w14:paraId="4D0F69B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3"/>
            <w:tcBorders>
              <w:top w:val="single" w:sz="6" w:space="0" w:color="auto"/>
              <w:left w:val="single" w:sz="6" w:space="0" w:color="auto"/>
              <w:bottom w:val="single" w:sz="6" w:space="0" w:color="auto"/>
              <w:right w:val="single" w:sz="6" w:space="0" w:color="auto"/>
            </w:tcBorders>
          </w:tcPr>
          <w:p w14:paraId="6357BC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37F74DA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2569CD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tcBorders>
              <w:top w:val="single" w:sz="6" w:space="0" w:color="auto"/>
              <w:left w:val="single" w:sz="6" w:space="0" w:color="auto"/>
              <w:bottom w:val="single" w:sz="6" w:space="0" w:color="auto"/>
              <w:right w:val="single" w:sz="12" w:space="0" w:color="auto"/>
            </w:tcBorders>
          </w:tcPr>
          <w:p w14:paraId="66F191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24</w:t>
            </w:r>
          </w:p>
        </w:tc>
      </w:tr>
      <w:tr w:rsidR="00643896" w:rsidRPr="00640820" w14:paraId="5F34B96E" w14:textId="77777777" w:rsidTr="000D3BCB">
        <w:tc>
          <w:tcPr>
            <w:tcW w:w="936" w:type="dxa"/>
            <w:gridSpan w:val="2"/>
            <w:tcBorders>
              <w:top w:val="single" w:sz="6" w:space="0" w:color="auto"/>
              <w:left w:val="single" w:sz="12" w:space="0" w:color="auto"/>
              <w:bottom w:val="single" w:sz="6" w:space="0" w:color="auto"/>
              <w:right w:val="single" w:sz="6" w:space="0" w:color="auto"/>
            </w:tcBorders>
          </w:tcPr>
          <w:p w14:paraId="46D925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ПЕ-2</w:t>
            </w:r>
          </w:p>
        </w:tc>
        <w:tc>
          <w:tcPr>
            <w:tcW w:w="936" w:type="dxa"/>
            <w:gridSpan w:val="2"/>
            <w:tcBorders>
              <w:top w:val="single" w:sz="6" w:space="0" w:color="auto"/>
              <w:left w:val="single" w:sz="6" w:space="0" w:color="auto"/>
              <w:bottom w:val="single" w:sz="6" w:space="0" w:color="auto"/>
              <w:right w:val="single" w:sz="6" w:space="0" w:color="auto"/>
            </w:tcBorders>
          </w:tcPr>
          <w:p w14:paraId="136E8B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124</w:t>
            </w:r>
          </w:p>
        </w:tc>
        <w:tc>
          <w:tcPr>
            <w:tcW w:w="849" w:type="dxa"/>
            <w:gridSpan w:val="2"/>
            <w:tcBorders>
              <w:top w:val="single" w:sz="6" w:space="0" w:color="auto"/>
              <w:left w:val="single" w:sz="6" w:space="0" w:color="auto"/>
              <w:bottom w:val="single" w:sz="6" w:space="0" w:color="auto"/>
              <w:right w:val="single" w:sz="6" w:space="0" w:color="auto"/>
            </w:tcBorders>
          </w:tcPr>
          <w:p w14:paraId="12E8E2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0B41FC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55" w:type="dxa"/>
            <w:gridSpan w:val="2"/>
            <w:tcBorders>
              <w:top w:val="single" w:sz="6" w:space="0" w:color="auto"/>
              <w:left w:val="single" w:sz="6" w:space="0" w:color="auto"/>
              <w:bottom w:val="single" w:sz="6" w:space="0" w:color="auto"/>
              <w:right w:val="single" w:sz="6" w:space="0" w:color="auto"/>
            </w:tcBorders>
          </w:tcPr>
          <w:p w14:paraId="7D8D3D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2E7AC5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36EA76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5BDE9B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060FDF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748" w:type="dxa"/>
            <w:gridSpan w:val="3"/>
            <w:tcBorders>
              <w:top w:val="single" w:sz="6" w:space="0" w:color="auto"/>
              <w:left w:val="single" w:sz="6" w:space="0" w:color="auto"/>
              <w:bottom w:val="single" w:sz="6" w:space="0" w:color="auto"/>
              <w:right w:val="single" w:sz="6" w:space="0" w:color="auto"/>
            </w:tcBorders>
          </w:tcPr>
          <w:p w14:paraId="2A08E6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748" w:type="dxa"/>
            <w:gridSpan w:val="2"/>
            <w:tcBorders>
              <w:top w:val="single" w:sz="6" w:space="0" w:color="auto"/>
              <w:left w:val="single" w:sz="6" w:space="0" w:color="auto"/>
              <w:bottom w:val="single" w:sz="6" w:space="0" w:color="auto"/>
              <w:right w:val="single" w:sz="6" w:space="0" w:color="auto"/>
            </w:tcBorders>
          </w:tcPr>
          <w:p w14:paraId="3290FC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w:t>
            </w:r>
          </w:p>
        </w:tc>
        <w:tc>
          <w:tcPr>
            <w:tcW w:w="748" w:type="dxa"/>
            <w:gridSpan w:val="2"/>
            <w:tcBorders>
              <w:top w:val="single" w:sz="6" w:space="0" w:color="auto"/>
              <w:left w:val="single" w:sz="6" w:space="0" w:color="auto"/>
              <w:bottom w:val="single" w:sz="6" w:space="0" w:color="auto"/>
              <w:right w:val="single" w:sz="6" w:space="0" w:color="auto"/>
            </w:tcBorders>
          </w:tcPr>
          <w:p w14:paraId="7F3A51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w:t>
            </w:r>
          </w:p>
        </w:tc>
        <w:tc>
          <w:tcPr>
            <w:tcW w:w="748" w:type="dxa"/>
            <w:tcBorders>
              <w:top w:val="single" w:sz="6" w:space="0" w:color="auto"/>
              <w:left w:val="single" w:sz="6" w:space="0" w:color="auto"/>
              <w:bottom w:val="single" w:sz="6" w:space="0" w:color="auto"/>
              <w:right w:val="single" w:sz="12" w:space="0" w:color="auto"/>
            </w:tcBorders>
          </w:tcPr>
          <w:p w14:paraId="7B469E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w:t>
            </w:r>
          </w:p>
        </w:tc>
      </w:tr>
      <w:tr w:rsidR="00643896" w:rsidRPr="00640820" w14:paraId="044C9228" w14:textId="77777777" w:rsidTr="000D3BCB">
        <w:tc>
          <w:tcPr>
            <w:tcW w:w="936" w:type="dxa"/>
            <w:gridSpan w:val="2"/>
            <w:tcBorders>
              <w:top w:val="single" w:sz="6" w:space="0" w:color="auto"/>
              <w:left w:val="single" w:sz="12" w:space="0" w:color="auto"/>
              <w:bottom w:val="single" w:sz="6" w:space="0" w:color="auto"/>
              <w:right w:val="single" w:sz="6" w:space="0" w:color="auto"/>
            </w:tcBorders>
          </w:tcPr>
          <w:p w14:paraId="04BAA4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ПЕ-2</w:t>
            </w:r>
          </w:p>
        </w:tc>
        <w:tc>
          <w:tcPr>
            <w:tcW w:w="936" w:type="dxa"/>
            <w:gridSpan w:val="2"/>
            <w:tcBorders>
              <w:top w:val="single" w:sz="6" w:space="0" w:color="auto"/>
              <w:left w:val="single" w:sz="6" w:space="0" w:color="auto"/>
              <w:bottom w:val="single" w:sz="6" w:space="0" w:color="auto"/>
              <w:right w:val="single" w:sz="6" w:space="0" w:color="auto"/>
            </w:tcBorders>
          </w:tcPr>
          <w:p w14:paraId="074E3F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125</w:t>
            </w:r>
          </w:p>
        </w:tc>
        <w:tc>
          <w:tcPr>
            <w:tcW w:w="849" w:type="dxa"/>
            <w:gridSpan w:val="2"/>
            <w:tcBorders>
              <w:top w:val="single" w:sz="6" w:space="0" w:color="auto"/>
              <w:left w:val="single" w:sz="6" w:space="0" w:color="auto"/>
              <w:bottom w:val="single" w:sz="6" w:space="0" w:color="auto"/>
              <w:right w:val="single" w:sz="6" w:space="0" w:color="auto"/>
            </w:tcBorders>
          </w:tcPr>
          <w:p w14:paraId="5FE2FF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225D7F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55" w:type="dxa"/>
            <w:gridSpan w:val="2"/>
            <w:tcBorders>
              <w:top w:val="single" w:sz="6" w:space="0" w:color="auto"/>
              <w:left w:val="single" w:sz="6" w:space="0" w:color="auto"/>
              <w:bottom w:val="single" w:sz="6" w:space="0" w:color="auto"/>
              <w:right w:val="single" w:sz="6" w:space="0" w:color="auto"/>
            </w:tcBorders>
          </w:tcPr>
          <w:p w14:paraId="77FB30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7A896E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055DDB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7CC28A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4E4F7D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3"/>
            <w:tcBorders>
              <w:top w:val="single" w:sz="6" w:space="0" w:color="auto"/>
              <w:left w:val="single" w:sz="6" w:space="0" w:color="auto"/>
              <w:bottom w:val="single" w:sz="6" w:space="0" w:color="auto"/>
              <w:right w:val="single" w:sz="6" w:space="0" w:color="auto"/>
            </w:tcBorders>
          </w:tcPr>
          <w:p w14:paraId="5A8599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52572B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753F5C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tcBorders>
              <w:top w:val="single" w:sz="6" w:space="0" w:color="auto"/>
              <w:left w:val="single" w:sz="6" w:space="0" w:color="auto"/>
              <w:bottom w:val="single" w:sz="6" w:space="0" w:color="auto"/>
              <w:right w:val="single" w:sz="12" w:space="0" w:color="auto"/>
            </w:tcBorders>
          </w:tcPr>
          <w:p w14:paraId="1ADBFB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r>
      <w:tr w:rsidR="00643896" w:rsidRPr="00640820" w14:paraId="44FB24AD" w14:textId="77777777" w:rsidTr="000D3BCB">
        <w:tc>
          <w:tcPr>
            <w:tcW w:w="936" w:type="dxa"/>
            <w:gridSpan w:val="2"/>
            <w:tcBorders>
              <w:top w:val="single" w:sz="6" w:space="0" w:color="auto"/>
              <w:left w:val="single" w:sz="12" w:space="0" w:color="auto"/>
              <w:bottom w:val="single" w:sz="6" w:space="0" w:color="auto"/>
              <w:right w:val="single" w:sz="6" w:space="0" w:color="auto"/>
            </w:tcBorders>
          </w:tcPr>
          <w:p w14:paraId="088FB9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lastRenderedPageBreak/>
              <w:t>СУ-2</w:t>
            </w:r>
          </w:p>
        </w:tc>
        <w:tc>
          <w:tcPr>
            <w:tcW w:w="936" w:type="dxa"/>
            <w:gridSpan w:val="2"/>
            <w:tcBorders>
              <w:top w:val="single" w:sz="6" w:space="0" w:color="auto"/>
              <w:left w:val="single" w:sz="6" w:space="0" w:color="auto"/>
              <w:bottom w:val="single" w:sz="6" w:space="0" w:color="auto"/>
              <w:right w:val="single" w:sz="6" w:space="0" w:color="auto"/>
            </w:tcBorders>
          </w:tcPr>
          <w:p w14:paraId="0CCD8E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31</w:t>
            </w:r>
          </w:p>
        </w:tc>
        <w:tc>
          <w:tcPr>
            <w:tcW w:w="849" w:type="dxa"/>
            <w:gridSpan w:val="2"/>
            <w:tcBorders>
              <w:top w:val="single" w:sz="6" w:space="0" w:color="auto"/>
              <w:left w:val="single" w:sz="6" w:space="0" w:color="auto"/>
              <w:bottom w:val="single" w:sz="6" w:space="0" w:color="auto"/>
              <w:right w:val="single" w:sz="6" w:space="0" w:color="auto"/>
            </w:tcBorders>
          </w:tcPr>
          <w:p w14:paraId="44E6FE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6CAD20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55" w:type="dxa"/>
            <w:gridSpan w:val="2"/>
            <w:tcBorders>
              <w:top w:val="single" w:sz="6" w:space="0" w:color="auto"/>
              <w:left w:val="single" w:sz="6" w:space="0" w:color="auto"/>
              <w:bottom w:val="single" w:sz="6" w:space="0" w:color="auto"/>
              <w:right w:val="single" w:sz="6" w:space="0" w:color="auto"/>
            </w:tcBorders>
          </w:tcPr>
          <w:p w14:paraId="48D5D7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4EABDB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3200FF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6B46C0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1462B2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3"/>
            <w:tcBorders>
              <w:top w:val="single" w:sz="6" w:space="0" w:color="auto"/>
              <w:left w:val="single" w:sz="6" w:space="0" w:color="auto"/>
              <w:bottom w:val="single" w:sz="6" w:space="0" w:color="auto"/>
              <w:right w:val="single" w:sz="6" w:space="0" w:color="auto"/>
            </w:tcBorders>
          </w:tcPr>
          <w:p w14:paraId="2970A4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616B5A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6E72CA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tcBorders>
              <w:top w:val="single" w:sz="6" w:space="0" w:color="auto"/>
              <w:left w:val="single" w:sz="6" w:space="0" w:color="auto"/>
              <w:bottom w:val="single" w:sz="6" w:space="0" w:color="auto"/>
              <w:right w:val="single" w:sz="12" w:space="0" w:color="auto"/>
            </w:tcBorders>
          </w:tcPr>
          <w:p w14:paraId="44CE9A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r>
      <w:tr w:rsidR="00643896" w:rsidRPr="00640820" w14:paraId="2B123F43" w14:textId="77777777" w:rsidTr="000D3BCB">
        <w:tc>
          <w:tcPr>
            <w:tcW w:w="936" w:type="dxa"/>
            <w:gridSpan w:val="4"/>
            <w:tcBorders>
              <w:top w:val="single" w:sz="6" w:space="0" w:color="auto"/>
              <w:left w:val="single" w:sz="12" w:space="0" w:color="auto"/>
              <w:bottom w:val="single" w:sz="6" w:space="0" w:color="auto"/>
              <w:right w:val="single" w:sz="6" w:space="0" w:color="auto"/>
            </w:tcBorders>
          </w:tcPr>
          <w:p w14:paraId="71BAC8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Всего бомбардировщиков</w:t>
            </w:r>
          </w:p>
        </w:tc>
        <w:tc>
          <w:tcPr>
            <w:tcW w:w="849" w:type="dxa"/>
            <w:gridSpan w:val="2"/>
            <w:tcBorders>
              <w:top w:val="single" w:sz="6" w:space="0" w:color="auto"/>
              <w:left w:val="single" w:sz="6" w:space="0" w:color="auto"/>
              <w:bottom w:val="single" w:sz="6" w:space="0" w:color="auto"/>
              <w:right w:val="single" w:sz="6" w:space="0" w:color="auto"/>
            </w:tcBorders>
          </w:tcPr>
          <w:p w14:paraId="2598A3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6BD132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55" w:type="dxa"/>
            <w:gridSpan w:val="2"/>
            <w:tcBorders>
              <w:top w:val="single" w:sz="6" w:space="0" w:color="auto"/>
              <w:left w:val="single" w:sz="6" w:space="0" w:color="auto"/>
              <w:bottom w:val="single" w:sz="6" w:space="0" w:color="auto"/>
              <w:right w:val="single" w:sz="6" w:space="0" w:color="auto"/>
            </w:tcBorders>
          </w:tcPr>
          <w:p w14:paraId="5385DE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291</w:t>
            </w:r>
          </w:p>
        </w:tc>
        <w:tc>
          <w:tcPr>
            <w:tcW w:w="748" w:type="dxa"/>
            <w:gridSpan w:val="2"/>
            <w:tcBorders>
              <w:top w:val="single" w:sz="6" w:space="0" w:color="auto"/>
              <w:left w:val="single" w:sz="6" w:space="0" w:color="auto"/>
              <w:bottom w:val="single" w:sz="6" w:space="0" w:color="auto"/>
              <w:right w:val="single" w:sz="6" w:space="0" w:color="auto"/>
            </w:tcBorders>
          </w:tcPr>
          <w:p w14:paraId="51B297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192</w:t>
            </w:r>
          </w:p>
        </w:tc>
        <w:tc>
          <w:tcPr>
            <w:tcW w:w="748" w:type="dxa"/>
            <w:gridSpan w:val="2"/>
            <w:tcBorders>
              <w:top w:val="single" w:sz="6" w:space="0" w:color="auto"/>
              <w:left w:val="single" w:sz="6" w:space="0" w:color="auto"/>
              <w:bottom w:val="single" w:sz="6" w:space="0" w:color="auto"/>
              <w:right w:val="single" w:sz="6" w:space="0" w:color="auto"/>
            </w:tcBorders>
          </w:tcPr>
          <w:p w14:paraId="4B66E6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259</w:t>
            </w:r>
          </w:p>
        </w:tc>
        <w:tc>
          <w:tcPr>
            <w:tcW w:w="748" w:type="dxa"/>
            <w:gridSpan w:val="2"/>
            <w:tcBorders>
              <w:top w:val="single" w:sz="6" w:space="0" w:color="auto"/>
              <w:left w:val="single" w:sz="6" w:space="0" w:color="auto"/>
              <w:bottom w:val="single" w:sz="6" w:space="0" w:color="auto"/>
              <w:right w:val="single" w:sz="6" w:space="0" w:color="auto"/>
            </w:tcBorders>
          </w:tcPr>
          <w:p w14:paraId="45A354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742</w:t>
            </w:r>
          </w:p>
        </w:tc>
        <w:tc>
          <w:tcPr>
            <w:tcW w:w="748" w:type="dxa"/>
            <w:gridSpan w:val="2"/>
            <w:tcBorders>
              <w:top w:val="single" w:sz="6" w:space="0" w:color="auto"/>
              <w:left w:val="single" w:sz="6" w:space="0" w:color="auto"/>
              <w:bottom w:val="single" w:sz="6" w:space="0" w:color="auto"/>
              <w:right w:val="single" w:sz="6" w:space="0" w:color="auto"/>
            </w:tcBorders>
          </w:tcPr>
          <w:p w14:paraId="25E77E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288</w:t>
            </w:r>
          </w:p>
        </w:tc>
        <w:tc>
          <w:tcPr>
            <w:tcW w:w="748" w:type="dxa"/>
            <w:gridSpan w:val="3"/>
            <w:tcBorders>
              <w:top w:val="single" w:sz="6" w:space="0" w:color="auto"/>
              <w:left w:val="single" w:sz="6" w:space="0" w:color="auto"/>
              <w:bottom w:val="single" w:sz="6" w:space="0" w:color="auto"/>
              <w:right w:val="single" w:sz="6" w:space="0" w:color="auto"/>
            </w:tcBorders>
          </w:tcPr>
          <w:p w14:paraId="3CFC09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249</w:t>
            </w:r>
          </w:p>
        </w:tc>
        <w:tc>
          <w:tcPr>
            <w:tcW w:w="748" w:type="dxa"/>
            <w:gridSpan w:val="2"/>
            <w:tcBorders>
              <w:top w:val="single" w:sz="6" w:space="0" w:color="auto"/>
              <w:left w:val="single" w:sz="6" w:space="0" w:color="auto"/>
              <w:bottom w:val="single" w:sz="6" w:space="0" w:color="auto"/>
              <w:right w:val="single" w:sz="6" w:space="0" w:color="auto"/>
            </w:tcBorders>
          </w:tcPr>
          <w:p w14:paraId="2C0967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340</w:t>
            </w:r>
          </w:p>
        </w:tc>
        <w:tc>
          <w:tcPr>
            <w:tcW w:w="748" w:type="dxa"/>
            <w:gridSpan w:val="2"/>
            <w:tcBorders>
              <w:top w:val="single" w:sz="6" w:space="0" w:color="auto"/>
              <w:left w:val="single" w:sz="6" w:space="0" w:color="auto"/>
              <w:bottom w:val="single" w:sz="6" w:space="0" w:color="auto"/>
              <w:right w:val="single" w:sz="6" w:space="0" w:color="auto"/>
            </w:tcBorders>
          </w:tcPr>
          <w:p w14:paraId="7FC760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877</w:t>
            </w:r>
          </w:p>
        </w:tc>
        <w:tc>
          <w:tcPr>
            <w:tcW w:w="748" w:type="dxa"/>
            <w:tcBorders>
              <w:top w:val="single" w:sz="6" w:space="0" w:color="auto"/>
              <w:left w:val="single" w:sz="6" w:space="0" w:color="auto"/>
              <w:bottom w:val="single" w:sz="6" w:space="0" w:color="auto"/>
              <w:right w:val="single" w:sz="12" w:space="0" w:color="auto"/>
            </w:tcBorders>
          </w:tcPr>
          <w:p w14:paraId="1EC5F3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1619</w:t>
            </w:r>
          </w:p>
        </w:tc>
      </w:tr>
      <w:tr w:rsidR="00643896" w:rsidRPr="00640820" w14:paraId="32F20A3F" w14:textId="77777777" w:rsidTr="000D3BCB">
        <w:tc>
          <w:tcPr>
            <w:tcW w:w="936" w:type="dxa"/>
            <w:gridSpan w:val="4"/>
            <w:tcBorders>
              <w:top w:val="single" w:sz="6" w:space="0" w:color="auto"/>
              <w:left w:val="single" w:sz="12" w:space="0" w:color="auto"/>
              <w:bottom w:val="single" w:sz="6" w:space="0" w:color="auto"/>
              <w:right w:val="single" w:sz="6" w:space="0" w:color="auto"/>
            </w:tcBorders>
          </w:tcPr>
          <w:p w14:paraId="7611B2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Дополнения</w:t>
            </w:r>
          </w:p>
        </w:tc>
        <w:tc>
          <w:tcPr>
            <w:tcW w:w="849" w:type="dxa"/>
            <w:gridSpan w:val="2"/>
            <w:tcBorders>
              <w:top w:val="single" w:sz="6" w:space="0" w:color="auto"/>
              <w:left w:val="single" w:sz="6" w:space="0" w:color="auto"/>
              <w:bottom w:val="single" w:sz="6" w:space="0" w:color="auto"/>
              <w:right w:val="single" w:sz="6" w:space="0" w:color="auto"/>
            </w:tcBorders>
          </w:tcPr>
          <w:p w14:paraId="200244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55" w:type="dxa"/>
            <w:gridSpan w:val="2"/>
            <w:tcBorders>
              <w:top w:val="single" w:sz="6" w:space="0" w:color="auto"/>
              <w:left w:val="single" w:sz="6" w:space="0" w:color="auto"/>
              <w:bottom w:val="single" w:sz="6" w:space="0" w:color="auto"/>
              <w:right w:val="single" w:sz="6" w:space="0" w:color="auto"/>
            </w:tcBorders>
          </w:tcPr>
          <w:p w14:paraId="1211F9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w:t>
            </w:r>
          </w:p>
        </w:tc>
        <w:tc>
          <w:tcPr>
            <w:tcW w:w="748" w:type="dxa"/>
            <w:gridSpan w:val="2"/>
            <w:tcBorders>
              <w:top w:val="single" w:sz="6" w:space="0" w:color="auto"/>
              <w:left w:val="single" w:sz="6" w:space="0" w:color="auto"/>
              <w:bottom w:val="single" w:sz="6" w:space="0" w:color="auto"/>
              <w:right w:val="single" w:sz="6" w:space="0" w:color="auto"/>
            </w:tcBorders>
          </w:tcPr>
          <w:p w14:paraId="56AD68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557C2B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179A19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0DCAC8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w:t>
            </w:r>
          </w:p>
        </w:tc>
        <w:tc>
          <w:tcPr>
            <w:tcW w:w="748" w:type="dxa"/>
            <w:gridSpan w:val="3"/>
            <w:tcBorders>
              <w:top w:val="single" w:sz="6" w:space="0" w:color="auto"/>
              <w:left w:val="single" w:sz="6" w:space="0" w:color="auto"/>
              <w:bottom w:val="single" w:sz="6" w:space="0" w:color="auto"/>
              <w:right w:val="single" w:sz="6" w:space="0" w:color="auto"/>
            </w:tcBorders>
          </w:tcPr>
          <w:p w14:paraId="378B91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004989B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203485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tcBorders>
              <w:top w:val="single" w:sz="6" w:space="0" w:color="auto"/>
              <w:left w:val="single" w:sz="6" w:space="0" w:color="auto"/>
              <w:bottom w:val="single" w:sz="6" w:space="0" w:color="auto"/>
              <w:right w:val="single" w:sz="12" w:space="0" w:color="auto"/>
            </w:tcBorders>
          </w:tcPr>
          <w:p w14:paraId="19E9A1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r>
      <w:tr w:rsidR="00643896" w:rsidRPr="00640820" w14:paraId="11287CE4" w14:textId="77777777" w:rsidTr="000D3BCB">
        <w:tc>
          <w:tcPr>
            <w:tcW w:w="936" w:type="dxa"/>
            <w:gridSpan w:val="4"/>
            <w:tcBorders>
              <w:top w:val="single" w:sz="6" w:space="0" w:color="auto"/>
              <w:left w:val="single" w:sz="12" w:space="0" w:color="auto"/>
              <w:bottom w:val="single" w:sz="6" w:space="0" w:color="auto"/>
              <w:right w:val="single" w:sz="6" w:space="0" w:color="auto"/>
            </w:tcBorders>
          </w:tcPr>
          <w:p w14:paraId="0A7FF0A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Штурмовики</w:t>
            </w:r>
          </w:p>
        </w:tc>
        <w:tc>
          <w:tcPr>
            <w:tcW w:w="849" w:type="dxa"/>
            <w:gridSpan w:val="2"/>
            <w:tcBorders>
              <w:top w:val="single" w:sz="6" w:space="0" w:color="auto"/>
              <w:left w:val="single" w:sz="6" w:space="0" w:color="auto"/>
              <w:bottom w:val="single" w:sz="6" w:space="0" w:color="auto"/>
              <w:right w:val="single" w:sz="6" w:space="0" w:color="auto"/>
            </w:tcBorders>
          </w:tcPr>
          <w:p w14:paraId="693EE6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55" w:type="dxa"/>
            <w:gridSpan w:val="2"/>
            <w:tcBorders>
              <w:top w:val="single" w:sz="6" w:space="0" w:color="auto"/>
              <w:left w:val="single" w:sz="6" w:space="0" w:color="auto"/>
              <w:bottom w:val="single" w:sz="6" w:space="0" w:color="auto"/>
              <w:right w:val="single" w:sz="6" w:space="0" w:color="auto"/>
            </w:tcBorders>
          </w:tcPr>
          <w:p w14:paraId="2D1E3F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48" w:type="dxa"/>
            <w:gridSpan w:val="2"/>
            <w:tcBorders>
              <w:top w:val="single" w:sz="6" w:space="0" w:color="auto"/>
              <w:left w:val="single" w:sz="6" w:space="0" w:color="auto"/>
              <w:bottom w:val="single" w:sz="6" w:space="0" w:color="auto"/>
              <w:right w:val="single" w:sz="6" w:space="0" w:color="auto"/>
            </w:tcBorders>
          </w:tcPr>
          <w:p w14:paraId="7C6C75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48" w:type="dxa"/>
            <w:gridSpan w:val="2"/>
            <w:tcBorders>
              <w:top w:val="single" w:sz="6" w:space="0" w:color="auto"/>
              <w:left w:val="single" w:sz="6" w:space="0" w:color="auto"/>
              <w:bottom w:val="single" w:sz="6" w:space="0" w:color="auto"/>
              <w:right w:val="single" w:sz="6" w:space="0" w:color="auto"/>
            </w:tcBorders>
          </w:tcPr>
          <w:p w14:paraId="67EF27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48" w:type="dxa"/>
            <w:gridSpan w:val="2"/>
            <w:tcBorders>
              <w:top w:val="single" w:sz="6" w:space="0" w:color="auto"/>
              <w:left w:val="single" w:sz="6" w:space="0" w:color="auto"/>
              <w:bottom w:val="single" w:sz="6" w:space="0" w:color="auto"/>
              <w:right w:val="single" w:sz="6" w:space="0" w:color="auto"/>
            </w:tcBorders>
          </w:tcPr>
          <w:p w14:paraId="5CD44C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48" w:type="dxa"/>
            <w:gridSpan w:val="2"/>
            <w:tcBorders>
              <w:top w:val="single" w:sz="6" w:space="0" w:color="auto"/>
              <w:left w:val="single" w:sz="6" w:space="0" w:color="auto"/>
              <w:bottom w:val="single" w:sz="6" w:space="0" w:color="auto"/>
              <w:right w:val="single" w:sz="6" w:space="0" w:color="auto"/>
            </w:tcBorders>
          </w:tcPr>
          <w:p w14:paraId="57842E5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48" w:type="dxa"/>
            <w:gridSpan w:val="3"/>
            <w:tcBorders>
              <w:top w:val="single" w:sz="6" w:space="0" w:color="auto"/>
              <w:left w:val="single" w:sz="6" w:space="0" w:color="auto"/>
              <w:bottom w:val="single" w:sz="6" w:space="0" w:color="auto"/>
              <w:right w:val="single" w:sz="6" w:space="0" w:color="auto"/>
            </w:tcBorders>
          </w:tcPr>
          <w:p w14:paraId="04F1888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48" w:type="dxa"/>
            <w:gridSpan w:val="2"/>
            <w:tcBorders>
              <w:top w:val="single" w:sz="6" w:space="0" w:color="auto"/>
              <w:left w:val="single" w:sz="6" w:space="0" w:color="auto"/>
              <w:bottom w:val="single" w:sz="6" w:space="0" w:color="auto"/>
              <w:right w:val="single" w:sz="6" w:space="0" w:color="auto"/>
            </w:tcBorders>
          </w:tcPr>
          <w:p w14:paraId="411093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48" w:type="dxa"/>
            <w:gridSpan w:val="2"/>
            <w:tcBorders>
              <w:top w:val="single" w:sz="6" w:space="0" w:color="auto"/>
              <w:left w:val="single" w:sz="6" w:space="0" w:color="auto"/>
              <w:bottom w:val="single" w:sz="6" w:space="0" w:color="auto"/>
              <w:right w:val="single" w:sz="6" w:space="0" w:color="auto"/>
            </w:tcBorders>
          </w:tcPr>
          <w:p w14:paraId="33E7BB9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48" w:type="dxa"/>
            <w:tcBorders>
              <w:top w:val="single" w:sz="6" w:space="0" w:color="auto"/>
              <w:left w:val="single" w:sz="6" w:space="0" w:color="auto"/>
              <w:bottom w:val="single" w:sz="6" w:space="0" w:color="auto"/>
              <w:right w:val="single" w:sz="12" w:space="0" w:color="auto"/>
            </w:tcBorders>
          </w:tcPr>
          <w:p w14:paraId="5C1448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28427A23" w14:textId="77777777" w:rsidTr="000D3BCB">
        <w:tc>
          <w:tcPr>
            <w:tcW w:w="936" w:type="dxa"/>
            <w:gridSpan w:val="2"/>
            <w:tcBorders>
              <w:top w:val="single" w:sz="6" w:space="0" w:color="auto"/>
              <w:left w:val="single" w:sz="12" w:space="0" w:color="auto"/>
              <w:bottom w:val="single" w:sz="6" w:space="0" w:color="auto"/>
              <w:right w:val="single" w:sz="6" w:space="0" w:color="auto"/>
            </w:tcBorders>
          </w:tcPr>
          <w:p w14:paraId="594BE2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ИЛ-2</w:t>
            </w:r>
          </w:p>
        </w:tc>
        <w:tc>
          <w:tcPr>
            <w:tcW w:w="936" w:type="dxa"/>
            <w:gridSpan w:val="2"/>
            <w:tcBorders>
              <w:top w:val="single" w:sz="6" w:space="0" w:color="auto"/>
              <w:left w:val="single" w:sz="6" w:space="0" w:color="auto"/>
              <w:bottom w:val="single" w:sz="6" w:space="0" w:color="auto"/>
              <w:right w:val="single" w:sz="6" w:space="0" w:color="auto"/>
            </w:tcBorders>
          </w:tcPr>
          <w:p w14:paraId="4F34F1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w:t>
            </w:r>
          </w:p>
        </w:tc>
        <w:tc>
          <w:tcPr>
            <w:tcW w:w="849" w:type="dxa"/>
            <w:gridSpan w:val="2"/>
            <w:tcBorders>
              <w:top w:val="single" w:sz="6" w:space="0" w:color="auto"/>
              <w:left w:val="single" w:sz="6" w:space="0" w:color="auto"/>
              <w:bottom w:val="single" w:sz="6" w:space="0" w:color="auto"/>
              <w:right w:val="single" w:sz="6" w:space="0" w:color="auto"/>
            </w:tcBorders>
          </w:tcPr>
          <w:p w14:paraId="3D2ED7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491A39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55" w:type="dxa"/>
            <w:gridSpan w:val="2"/>
            <w:tcBorders>
              <w:top w:val="single" w:sz="6" w:space="0" w:color="auto"/>
              <w:left w:val="single" w:sz="6" w:space="0" w:color="auto"/>
              <w:bottom w:val="single" w:sz="6" w:space="0" w:color="auto"/>
              <w:right w:val="single" w:sz="6" w:space="0" w:color="auto"/>
            </w:tcBorders>
          </w:tcPr>
          <w:p w14:paraId="0E19F5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14FB30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0375F9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w:t>
            </w:r>
          </w:p>
        </w:tc>
        <w:tc>
          <w:tcPr>
            <w:tcW w:w="748" w:type="dxa"/>
            <w:gridSpan w:val="2"/>
            <w:tcBorders>
              <w:top w:val="single" w:sz="6" w:space="0" w:color="auto"/>
              <w:left w:val="single" w:sz="6" w:space="0" w:color="auto"/>
              <w:bottom w:val="single" w:sz="6" w:space="0" w:color="auto"/>
              <w:right w:val="single" w:sz="6" w:space="0" w:color="auto"/>
            </w:tcBorders>
          </w:tcPr>
          <w:p w14:paraId="5FEB31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w:t>
            </w:r>
          </w:p>
        </w:tc>
        <w:tc>
          <w:tcPr>
            <w:tcW w:w="748" w:type="dxa"/>
            <w:gridSpan w:val="2"/>
            <w:tcBorders>
              <w:top w:val="single" w:sz="6" w:space="0" w:color="auto"/>
              <w:left w:val="single" w:sz="6" w:space="0" w:color="auto"/>
              <w:bottom w:val="single" w:sz="6" w:space="0" w:color="auto"/>
              <w:right w:val="single" w:sz="6" w:space="0" w:color="auto"/>
            </w:tcBorders>
          </w:tcPr>
          <w:p w14:paraId="5CC4E3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w:t>
            </w:r>
          </w:p>
        </w:tc>
        <w:tc>
          <w:tcPr>
            <w:tcW w:w="748" w:type="dxa"/>
            <w:gridSpan w:val="3"/>
            <w:tcBorders>
              <w:top w:val="single" w:sz="6" w:space="0" w:color="auto"/>
              <w:left w:val="single" w:sz="6" w:space="0" w:color="auto"/>
              <w:bottom w:val="single" w:sz="6" w:space="0" w:color="auto"/>
              <w:right w:val="single" w:sz="6" w:space="0" w:color="auto"/>
            </w:tcBorders>
          </w:tcPr>
          <w:p w14:paraId="084995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74</w:t>
            </w:r>
          </w:p>
        </w:tc>
        <w:tc>
          <w:tcPr>
            <w:tcW w:w="748" w:type="dxa"/>
            <w:gridSpan w:val="2"/>
            <w:tcBorders>
              <w:top w:val="single" w:sz="6" w:space="0" w:color="auto"/>
              <w:left w:val="single" w:sz="6" w:space="0" w:color="auto"/>
              <w:bottom w:val="single" w:sz="6" w:space="0" w:color="auto"/>
              <w:right w:val="single" w:sz="6" w:space="0" w:color="auto"/>
            </w:tcBorders>
          </w:tcPr>
          <w:p w14:paraId="0A083B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159</w:t>
            </w:r>
          </w:p>
        </w:tc>
        <w:tc>
          <w:tcPr>
            <w:tcW w:w="748" w:type="dxa"/>
            <w:gridSpan w:val="2"/>
            <w:tcBorders>
              <w:top w:val="single" w:sz="6" w:space="0" w:color="auto"/>
              <w:left w:val="single" w:sz="6" w:space="0" w:color="auto"/>
              <w:bottom w:val="single" w:sz="6" w:space="0" w:color="auto"/>
              <w:right w:val="single" w:sz="6" w:space="0" w:color="auto"/>
            </w:tcBorders>
          </w:tcPr>
          <w:p w14:paraId="78D2DD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249</w:t>
            </w:r>
          </w:p>
        </w:tc>
        <w:tc>
          <w:tcPr>
            <w:tcW w:w="748" w:type="dxa"/>
            <w:tcBorders>
              <w:top w:val="single" w:sz="6" w:space="0" w:color="auto"/>
              <w:left w:val="single" w:sz="6" w:space="0" w:color="auto"/>
              <w:bottom w:val="single" w:sz="6" w:space="0" w:color="auto"/>
              <w:right w:val="single" w:sz="12" w:space="0" w:color="auto"/>
            </w:tcBorders>
          </w:tcPr>
          <w:p w14:paraId="4C8F15C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251</w:t>
            </w:r>
          </w:p>
        </w:tc>
      </w:tr>
      <w:tr w:rsidR="00643896" w:rsidRPr="00640820" w14:paraId="1B46824C" w14:textId="77777777" w:rsidTr="000D3BCB">
        <w:tc>
          <w:tcPr>
            <w:tcW w:w="936" w:type="dxa"/>
            <w:gridSpan w:val="2"/>
            <w:tcBorders>
              <w:top w:val="single" w:sz="6" w:space="0" w:color="auto"/>
              <w:left w:val="single" w:sz="12" w:space="0" w:color="auto"/>
              <w:bottom w:val="single" w:sz="6" w:space="0" w:color="auto"/>
              <w:right w:val="single" w:sz="6" w:space="0" w:color="auto"/>
            </w:tcBorders>
          </w:tcPr>
          <w:p w14:paraId="19544F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ИЛ-2</w:t>
            </w:r>
          </w:p>
        </w:tc>
        <w:tc>
          <w:tcPr>
            <w:tcW w:w="936" w:type="dxa"/>
            <w:gridSpan w:val="2"/>
            <w:tcBorders>
              <w:top w:val="single" w:sz="6" w:space="0" w:color="auto"/>
              <w:left w:val="single" w:sz="6" w:space="0" w:color="auto"/>
              <w:bottom w:val="single" w:sz="6" w:space="0" w:color="auto"/>
              <w:right w:val="single" w:sz="6" w:space="0" w:color="auto"/>
            </w:tcBorders>
          </w:tcPr>
          <w:p w14:paraId="526F6A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849" w:type="dxa"/>
            <w:gridSpan w:val="2"/>
            <w:tcBorders>
              <w:top w:val="single" w:sz="6" w:space="0" w:color="auto"/>
              <w:left w:val="single" w:sz="6" w:space="0" w:color="auto"/>
              <w:bottom w:val="single" w:sz="6" w:space="0" w:color="auto"/>
              <w:right w:val="single" w:sz="6" w:space="0" w:color="auto"/>
            </w:tcBorders>
          </w:tcPr>
          <w:p w14:paraId="175412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0F4DE6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55" w:type="dxa"/>
            <w:gridSpan w:val="2"/>
            <w:tcBorders>
              <w:top w:val="single" w:sz="6" w:space="0" w:color="auto"/>
              <w:left w:val="single" w:sz="6" w:space="0" w:color="auto"/>
              <w:bottom w:val="single" w:sz="6" w:space="0" w:color="auto"/>
              <w:right w:val="single" w:sz="6" w:space="0" w:color="auto"/>
            </w:tcBorders>
          </w:tcPr>
          <w:p w14:paraId="3A8B5C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0F797D9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42D4D7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7A65301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16F3F3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3"/>
            <w:tcBorders>
              <w:top w:val="single" w:sz="6" w:space="0" w:color="auto"/>
              <w:left w:val="single" w:sz="6" w:space="0" w:color="auto"/>
              <w:bottom w:val="single" w:sz="6" w:space="0" w:color="auto"/>
              <w:right w:val="single" w:sz="6" w:space="0" w:color="auto"/>
            </w:tcBorders>
          </w:tcPr>
          <w:p w14:paraId="27D222A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4387A19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454E86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tcBorders>
              <w:top w:val="single" w:sz="6" w:space="0" w:color="auto"/>
              <w:left w:val="single" w:sz="6" w:space="0" w:color="auto"/>
              <w:bottom w:val="single" w:sz="6" w:space="0" w:color="auto"/>
              <w:right w:val="single" w:sz="12" w:space="0" w:color="auto"/>
            </w:tcBorders>
          </w:tcPr>
          <w:p w14:paraId="70983C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r>
      <w:tr w:rsidR="00643896" w:rsidRPr="00640820" w14:paraId="7070D543" w14:textId="77777777" w:rsidTr="000D3BCB">
        <w:tc>
          <w:tcPr>
            <w:tcW w:w="936" w:type="dxa"/>
            <w:gridSpan w:val="2"/>
            <w:tcBorders>
              <w:top w:val="single" w:sz="6" w:space="0" w:color="auto"/>
              <w:left w:val="single" w:sz="12" w:space="0" w:color="auto"/>
              <w:bottom w:val="single" w:sz="6" w:space="0" w:color="auto"/>
              <w:right w:val="single" w:sz="6" w:space="0" w:color="auto"/>
            </w:tcBorders>
          </w:tcPr>
          <w:p w14:paraId="7B0150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ИЛ-2</w:t>
            </w:r>
          </w:p>
        </w:tc>
        <w:tc>
          <w:tcPr>
            <w:tcW w:w="936" w:type="dxa"/>
            <w:gridSpan w:val="2"/>
            <w:tcBorders>
              <w:top w:val="single" w:sz="6" w:space="0" w:color="auto"/>
              <w:left w:val="single" w:sz="6" w:space="0" w:color="auto"/>
              <w:bottom w:val="single" w:sz="6" w:space="0" w:color="auto"/>
              <w:right w:val="single" w:sz="6" w:space="0" w:color="auto"/>
            </w:tcBorders>
          </w:tcPr>
          <w:p w14:paraId="7C850B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381</w:t>
            </w:r>
          </w:p>
        </w:tc>
        <w:tc>
          <w:tcPr>
            <w:tcW w:w="849" w:type="dxa"/>
            <w:gridSpan w:val="2"/>
            <w:tcBorders>
              <w:top w:val="single" w:sz="6" w:space="0" w:color="auto"/>
              <w:left w:val="single" w:sz="6" w:space="0" w:color="auto"/>
              <w:bottom w:val="single" w:sz="6" w:space="0" w:color="auto"/>
              <w:right w:val="single" w:sz="6" w:space="0" w:color="auto"/>
            </w:tcBorders>
          </w:tcPr>
          <w:p w14:paraId="170ACD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148380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55" w:type="dxa"/>
            <w:gridSpan w:val="2"/>
            <w:tcBorders>
              <w:top w:val="single" w:sz="6" w:space="0" w:color="auto"/>
              <w:left w:val="single" w:sz="6" w:space="0" w:color="auto"/>
              <w:bottom w:val="single" w:sz="6" w:space="0" w:color="auto"/>
              <w:right w:val="single" w:sz="6" w:space="0" w:color="auto"/>
            </w:tcBorders>
          </w:tcPr>
          <w:p w14:paraId="13D3B1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3B5A2D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0D7ED1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554047B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1E0B7F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3"/>
            <w:tcBorders>
              <w:top w:val="single" w:sz="6" w:space="0" w:color="auto"/>
              <w:left w:val="single" w:sz="6" w:space="0" w:color="auto"/>
              <w:bottom w:val="single" w:sz="6" w:space="0" w:color="auto"/>
              <w:right w:val="single" w:sz="6" w:space="0" w:color="auto"/>
            </w:tcBorders>
          </w:tcPr>
          <w:p w14:paraId="3A1EE48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4E3183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5C8907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tcBorders>
              <w:top w:val="single" w:sz="6" w:space="0" w:color="auto"/>
              <w:left w:val="single" w:sz="6" w:space="0" w:color="auto"/>
              <w:bottom w:val="single" w:sz="6" w:space="0" w:color="auto"/>
              <w:right w:val="single" w:sz="12" w:space="0" w:color="auto"/>
            </w:tcBorders>
          </w:tcPr>
          <w:p w14:paraId="0FDEC6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r>
      <w:tr w:rsidR="00643896" w:rsidRPr="00640820" w14:paraId="19A90480" w14:textId="77777777" w:rsidTr="000D3BCB">
        <w:tc>
          <w:tcPr>
            <w:tcW w:w="936" w:type="dxa"/>
            <w:gridSpan w:val="4"/>
            <w:tcBorders>
              <w:top w:val="single" w:sz="6" w:space="0" w:color="auto"/>
              <w:left w:val="single" w:sz="12" w:space="0" w:color="auto"/>
              <w:bottom w:val="single" w:sz="6" w:space="0" w:color="auto"/>
              <w:right w:val="single" w:sz="6" w:space="0" w:color="auto"/>
            </w:tcBorders>
          </w:tcPr>
          <w:p w14:paraId="33B26C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Всего штурмовиков</w:t>
            </w:r>
          </w:p>
        </w:tc>
        <w:tc>
          <w:tcPr>
            <w:tcW w:w="849" w:type="dxa"/>
            <w:gridSpan w:val="2"/>
            <w:tcBorders>
              <w:top w:val="single" w:sz="6" w:space="0" w:color="auto"/>
              <w:left w:val="single" w:sz="6" w:space="0" w:color="auto"/>
              <w:bottom w:val="single" w:sz="6" w:space="0" w:color="auto"/>
              <w:right w:val="single" w:sz="6" w:space="0" w:color="auto"/>
            </w:tcBorders>
          </w:tcPr>
          <w:p w14:paraId="5EEE64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55" w:type="dxa"/>
            <w:gridSpan w:val="2"/>
            <w:tcBorders>
              <w:top w:val="single" w:sz="6" w:space="0" w:color="auto"/>
              <w:left w:val="single" w:sz="6" w:space="0" w:color="auto"/>
              <w:bottom w:val="single" w:sz="6" w:space="0" w:color="auto"/>
              <w:right w:val="single" w:sz="6" w:space="0" w:color="auto"/>
            </w:tcBorders>
          </w:tcPr>
          <w:p w14:paraId="7A7F55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01EDBF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18CA9A9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w:t>
            </w:r>
          </w:p>
        </w:tc>
        <w:tc>
          <w:tcPr>
            <w:tcW w:w="748" w:type="dxa"/>
            <w:gridSpan w:val="2"/>
            <w:tcBorders>
              <w:top w:val="single" w:sz="6" w:space="0" w:color="auto"/>
              <w:left w:val="single" w:sz="6" w:space="0" w:color="auto"/>
              <w:bottom w:val="single" w:sz="6" w:space="0" w:color="auto"/>
              <w:right w:val="single" w:sz="6" w:space="0" w:color="auto"/>
            </w:tcBorders>
          </w:tcPr>
          <w:p w14:paraId="2F98D2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w:t>
            </w:r>
          </w:p>
        </w:tc>
        <w:tc>
          <w:tcPr>
            <w:tcW w:w="748" w:type="dxa"/>
            <w:gridSpan w:val="2"/>
            <w:tcBorders>
              <w:top w:val="single" w:sz="6" w:space="0" w:color="auto"/>
              <w:left w:val="single" w:sz="6" w:space="0" w:color="auto"/>
              <w:bottom w:val="single" w:sz="6" w:space="0" w:color="auto"/>
              <w:right w:val="single" w:sz="6" w:space="0" w:color="auto"/>
            </w:tcBorders>
          </w:tcPr>
          <w:p w14:paraId="14D8BB1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w:t>
            </w:r>
          </w:p>
        </w:tc>
        <w:tc>
          <w:tcPr>
            <w:tcW w:w="748" w:type="dxa"/>
            <w:gridSpan w:val="3"/>
            <w:tcBorders>
              <w:top w:val="single" w:sz="6" w:space="0" w:color="auto"/>
              <w:left w:val="single" w:sz="6" w:space="0" w:color="auto"/>
              <w:bottom w:val="single" w:sz="6" w:space="0" w:color="auto"/>
              <w:right w:val="single" w:sz="6" w:space="0" w:color="auto"/>
            </w:tcBorders>
          </w:tcPr>
          <w:p w14:paraId="598EC1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74</w:t>
            </w:r>
          </w:p>
        </w:tc>
        <w:tc>
          <w:tcPr>
            <w:tcW w:w="748" w:type="dxa"/>
            <w:gridSpan w:val="2"/>
            <w:tcBorders>
              <w:top w:val="single" w:sz="6" w:space="0" w:color="auto"/>
              <w:left w:val="single" w:sz="6" w:space="0" w:color="auto"/>
              <w:bottom w:val="single" w:sz="6" w:space="0" w:color="auto"/>
              <w:right w:val="single" w:sz="6" w:space="0" w:color="auto"/>
            </w:tcBorders>
          </w:tcPr>
          <w:p w14:paraId="54A696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159</w:t>
            </w:r>
          </w:p>
        </w:tc>
        <w:tc>
          <w:tcPr>
            <w:tcW w:w="748" w:type="dxa"/>
            <w:gridSpan w:val="2"/>
            <w:tcBorders>
              <w:top w:val="single" w:sz="6" w:space="0" w:color="auto"/>
              <w:left w:val="single" w:sz="6" w:space="0" w:color="auto"/>
              <w:bottom w:val="single" w:sz="6" w:space="0" w:color="auto"/>
              <w:right w:val="single" w:sz="6" w:space="0" w:color="auto"/>
            </w:tcBorders>
          </w:tcPr>
          <w:p w14:paraId="15F500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249</w:t>
            </w:r>
          </w:p>
        </w:tc>
        <w:tc>
          <w:tcPr>
            <w:tcW w:w="748" w:type="dxa"/>
            <w:tcBorders>
              <w:top w:val="single" w:sz="6" w:space="0" w:color="auto"/>
              <w:left w:val="single" w:sz="6" w:space="0" w:color="auto"/>
              <w:bottom w:val="single" w:sz="6" w:space="0" w:color="auto"/>
              <w:right w:val="single" w:sz="12" w:space="0" w:color="auto"/>
            </w:tcBorders>
          </w:tcPr>
          <w:p w14:paraId="73337F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251</w:t>
            </w:r>
          </w:p>
        </w:tc>
      </w:tr>
      <w:tr w:rsidR="00643896" w:rsidRPr="00640820" w14:paraId="360DA2D8" w14:textId="77777777" w:rsidTr="000D3BCB">
        <w:tc>
          <w:tcPr>
            <w:tcW w:w="936" w:type="dxa"/>
            <w:gridSpan w:val="4"/>
            <w:tcBorders>
              <w:top w:val="single" w:sz="6" w:space="0" w:color="auto"/>
              <w:left w:val="single" w:sz="12" w:space="0" w:color="auto"/>
              <w:bottom w:val="single" w:sz="6" w:space="0" w:color="auto"/>
              <w:right w:val="single" w:sz="6" w:space="0" w:color="auto"/>
            </w:tcBorders>
          </w:tcPr>
          <w:p w14:paraId="041E58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Разведчики</w:t>
            </w:r>
          </w:p>
        </w:tc>
        <w:tc>
          <w:tcPr>
            <w:tcW w:w="849" w:type="dxa"/>
            <w:gridSpan w:val="2"/>
            <w:tcBorders>
              <w:top w:val="single" w:sz="6" w:space="0" w:color="auto"/>
              <w:left w:val="single" w:sz="6" w:space="0" w:color="auto"/>
              <w:bottom w:val="single" w:sz="6" w:space="0" w:color="auto"/>
              <w:right w:val="single" w:sz="6" w:space="0" w:color="auto"/>
            </w:tcBorders>
          </w:tcPr>
          <w:p w14:paraId="1B36E5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55" w:type="dxa"/>
            <w:gridSpan w:val="2"/>
            <w:tcBorders>
              <w:top w:val="single" w:sz="6" w:space="0" w:color="auto"/>
              <w:left w:val="single" w:sz="6" w:space="0" w:color="auto"/>
              <w:bottom w:val="single" w:sz="6" w:space="0" w:color="auto"/>
              <w:right w:val="single" w:sz="6" w:space="0" w:color="auto"/>
            </w:tcBorders>
          </w:tcPr>
          <w:p w14:paraId="23FFB0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48" w:type="dxa"/>
            <w:gridSpan w:val="2"/>
            <w:tcBorders>
              <w:top w:val="single" w:sz="6" w:space="0" w:color="auto"/>
              <w:left w:val="single" w:sz="6" w:space="0" w:color="auto"/>
              <w:bottom w:val="single" w:sz="6" w:space="0" w:color="auto"/>
              <w:right w:val="single" w:sz="6" w:space="0" w:color="auto"/>
            </w:tcBorders>
          </w:tcPr>
          <w:p w14:paraId="2320E0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48" w:type="dxa"/>
            <w:gridSpan w:val="2"/>
            <w:tcBorders>
              <w:top w:val="single" w:sz="6" w:space="0" w:color="auto"/>
              <w:left w:val="single" w:sz="6" w:space="0" w:color="auto"/>
              <w:bottom w:val="single" w:sz="6" w:space="0" w:color="auto"/>
              <w:right w:val="single" w:sz="6" w:space="0" w:color="auto"/>
            </w:tcBorders>
          </w:tcPr>
          <w:p w14:paraId="3F4CB0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48" w:type="dxa"/>
            <w:gridSpan w:val="2"/>
            <w:tcBorders>
              <w:top w:val="single" w:sz="6" w:space="0" w:color="auto"/>
              <w:left w:val="single" w:sz="6" w:space="0" w:color="auto"/>
              <w:bottom w:val="single" w:sz="6" w:space="0" w:color="auto"/>
              <w:right w:val="single" w:sz="6" w:space="0" w:color="auto"/>
            </w:tcBorders>
          </w:tcPr>
          <w:p w14:paraId="7C1608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48" w:type="dxa"/>
            <w:gridSpan w:val="2"/>
            <w:tcBorders>
              <w:top w:val="single" w:sz="6" w:space="0" w:color="auto"/>
              <w:left w:val="single" w:sz="6" w:space="0" w:color="auto"/>
              <w:bottom w:val="single" w:sz="6" w:space="0" w:color="auto"/>
              <w:right w:val="single" w:sz="6" w:space="0" w:color="auto"/>
            </w:tcBorders>
          </w:tcPr>
          <w:p w14:paraId="744812E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48" w:type="dxa"/>
            <w:gridSpan w:val="3"/>
            <w:tcBorders>
              <w:top w:val="single" w:sz="6" w:space="0" w:color="auto"/>
              <w:left w:val="single" w:sz="6" w:space="0" w:color="auto"/>
              <w:bottom w:val="single" w:sz="6" w:space="0" w:color="auto"/>
              <w:right w:val="single" w:sz="6" w:space="0" w:color="auto"/>
            </w:tcBorders>
          </w:tcPr>
          <w:p w14:paraId="0C0A58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48" w:type="dxa"/>
            <w:gridSpan w:val="2"/>
            <w:tcBorders>
              <w:top w:val="single" w:sz="6" w:space="0" w:color="auto"/>
              <w:left w:val="single" w:sz="6" w:space="0" w:color="auto"/>
              <w:bottom w:val="single" w:sz="6" w:space="0" w:color="auto"/>
              <w:right w:val="single" w:sz="6" w:space="0" w:color="auto"/>
            </w:tcBorders>
          </w:tcPr>
          <w:p w14:paraId="03ED2BB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48" w:type="dxa"/>
            <w:gridSpan w:val="2"/>
            <w:tcBorders>
              <w:top w:val="single" w:sz="6" w:space="0" w:color="auto"/>
              <w:left w:val="single" w:sz="6" w:space="0" w:color="auto"/>
              <w:bottom w:val="single" w:sz="6" w:space="0" w:color="auto"/>
              <w:right w:val="single" w:sz="6" w:space="0" w:color="auto"/>
            </w:tcBorders>
          </w:tcPr>
          <w:p w14:paraId="3CB331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48" w:type="dxa"/>
            <w:tcBorders>
              <w:top w:val="single" w:sz="6" w:space="0" w:color="auto"/>
              <w:left w:val="single" w:sz="6" w:space="0" w:color="auto"/>
              <w:bottom w:val="single" w:sz="6" w:space="0" w:color="auto"/>
              <w:right w:val="single" w:sz="12" w:space="0" w:color="auto"/>
            </w:tcBorders>
          </w:tcPr>
          <w:p w14:paraId="418568A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294C1D5E" w14:textId="77777777" w:rsidTr="000D3BCB">
        <w:tc>
          <w:tcPr>
            <w:tcW w:w="936" w:type="dxa"/>
            <w:gridSpan w:val="2"/>
            <w:tcBorders>
              <w:top w:val="single" w:sz="6" w:space="0" w:color="auto"/>
              <w:left w:val="single" w:sz="12" w:space="0" w:color="auto"/>
              <w:bottom w:val="single" w:sz="6" w:space="0" w:color="auto"/>
              <w:right w:val="single" w:sz="6" w:space="0" w:color="auto"/>
            </w:tcBorders>
          </w:tcPr>
          <w:p w14:paraId="442D04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МДР-6</w:t>
            </w:r>
          </w:p>
        </w:tc>
        <w:tc>
          <w:tcPr>
            <w:tcW w:w="936" w:type="dxa"/>
            <w:gridSpan w:val="2"/>
            <w:tcBorders>
              <w:top w:val="single" w:sz="6" w:space="0" w:color="auto"/>
              <w:left w:val="single" w:sz="6" w:space="0" w:color="auto"/>
              <w:bottom w:val="single" w:sz="6" w:space="0" w:color="auto"/>
              <w:right w:val="single" w:sz="6" w:space="0" w:color="auto"/>
            </w:tcBorders>
          </w:tcPr>
          <w:p w14:paraId="0E1EC9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31</w:t>
            </w:r>
          </w:p>
        </w:tc>
        <w:tc>
          <w:tcPr>
            <w:tcW w:w="849" w:type="dxa"/>
            <w:gridSpan w:val="2"/>
            <w:tcBorders>
              <w:top w:val="single" w:sz="6" w:space="0" w:color="auto"/>
              <w:left w:val="single" w:sz="6" w:space="0" w:color="auto"/>
              <w:bottom w:val="single" w:sz="6" w:space="0" w:color="auto"/>
              <w:right w:val="single" w:sz="6" w:space="0" w:color="auto"/>
            </w:tcBorders>
          </w:tcPr>
          <w:p w14:paraId="4E2ACB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5AD0EA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55" w:type="dxa"/>
            <w:gridSpan w:val="2"/>
            <w:tcBorders>
              <w:top w:val="single" w:sz="6" w:space="0" w:color="auto"/>
              <w:left w:val="single" w:sz="6" w:space="0" w:color="auto"/>
              <w:bottom w:val="single" w:sz="6" w:space="0" w:color="auto"/>
              <w:right w:val="single" w:sz="6" w:space="0" w:color="auto"/>
            </w:tcBorders>
          </w:tcPr>
          <w:p w14:paraId="1BC69B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w:t>
            </w:r>
          </w:p>
        </w:tc>
        <w:tc>
          <w:tcPr>
            <w:tcW w:w="748" w:type="dxa"/>
            <w:gridSpan w:val="2"/>
            <w:tcBorders>
              <w:top w:val="single" w:sz="6" w:space="0" w:color="auto"/>
              <w:left w:val="single" w:sz="6" w:space="0" w:color="auto"/>
              <w:bottom w:val="single" w:sz="6" w:space="0" w:color="auto"/>
              <w:right w:val="single" w:sz="6" w:space="0" w:color="auto"/>
            </w:tcBorders>
          </w:tcPr>
          <w:p w14:paraId="2D52E0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5F8DE6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61C378B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w:t>
            </w:r>
          </w:p>
        </w:tc>
        <w:tc>
          <w:tcPr>
            <w:tcW w:w="748" w:type="dxa"/>
            <w:gridSpan w:val="2"/>
            <w:tcBorders>
              <w:top w:val="single" w:sz="6" w:space="0" w:color="auto"/>
              <w:left w:val="single" w:sz="6" w:space="0" w:color="auto"/>
              <w:bottom w:val="single" w:sz="6" w:space="0" w:color="auto"/>
              <w:right w:val="single" w:sz="6" w:space="0" w:color="auto"/>
            </w:tcBorders>
          </w:tcPr>
          <w:p w14:paraId="22FB5C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3"/>
            <w:tcBorders>
              <w:top w:val="single" w:sz="6" w:space="0" w:color="auto"/>
              <w:left w:val="single" w:sz="6" w:space="0" w:color="auto"/>
              <w:bottom w:val="single" w:sz="6" w:space="0" w:color="auto"/>
              <w:right w:val="single" w:sz="6" w:space="0" w:color="auto"/>
            </w:tcBorders>
          </w:tcPr>
          <w:p w14:paraId="201867A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634E35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4A5938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tcBorders>
              <w:top w:val="single" w:sz="6" w:space="0" w:color="auto"/>
              <w:left w:val="single" w:sz="6" w:space="0" w:color="auto"/>
              <w:bottom w:val="single" w:sz="6" w:space="0" w:color="auto"/>
              <w:right w:val="single" w:sz="12" w:space="0" w:color="auto"/>
            </w:tcBorders>
          </w:tcPr>
          <w:p w14:paraId="5BDF87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w:t>
            </w:r>
          </w:p>
        </w:tc>
      </w:tr>
      <w:tr w:rsidR="00643896" w:rsidRPr="00640820" w14:paraId="6D5798ED" w14:textId="77777777" w:rsidTr="000D3BCB">
        <w:tc>
          <w:tcPr>
            <w:tcW w:w="936" w:type="dxa"/>
            <w:gridSpan w:val="2"/>
            <w:tcBorders>
              <w:top w:val="single" w:sz="6" w:space="0" w:color="auto"/>
              <w:left w:val="single" w:sz="12" w:space="0" w:color="auto"/>
              <w:bottom w:val="single" w:sz="6" w:space="0" w:color="auto"/>
              <w:right w:val="single" w:sz="6" w:space="0" w:color="auto"/>
            </w:tcBorders>
          </w:tcPr>
          <w:p w14:paraId="680F62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(Чс)</w:t>
            </w:r>
          </w:p>
        </w:tc>
        <w:tc>
          <w:tcPr>
            <w:tcW w:w="936" w:type="dxa"/>
            <w:gridSpan w:val="2"/>
            <w:tcBorders>
              <w:top w:val="single" w:sz="6" w:space="0" w:color="auto"/>
              <w:left w:val="single" w:sz="6" w:space="0" w:color="auto"/>
              <w:bottom w:val="single" w:sz="6" w:space="0" w:color="auto"/>
              <w:right w:val="single" w:sz="6" w:space="0" w:color="auto"/>
            </w:tcBorders>
          </w:tcPr>
          <w:p w14:paraId="313D3A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49" w:type="dxa"/>
            <w:gridSpan w:val="2"/>
            <w:tcBorders>
              <w:top w:val="single" w:sz="6" w:space="0" w:color="auto"/>
              <w:left w:val="single" w:sz="6" w:space="0" w:color="auto"/>
              <w:bottom w:val="single" w:sz="6" w:space="0" w:color="auto"/>
              <w:right w:val="single" w:sz="6" w:space="0" w:color="auto"/>
            </w:tcBorders>
          </w:tcPr>
          <w:p w14:paraId="14FF698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55" w:type="dxa"/>
            <w:gridSpan w:val="2"/>
            <w:tcBorders>
              <w:top w:val="single" w:sz="6" w:space="0" w:color="auto"/>
              <w:left w:val="single" w:sz="6" w:space="0" w:color="auto"/>
              <w:bottom w:val="single" w:sz="6" w:space="0" w:color="auto"/>
              <w:right w:val="single" w:sz="6" w:space="0" w:color="auto"/>
            </w:tcBorders>
          </w:tcPr>
          <w:p w14:paraId="2580A3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48" w:type="dxa"/>
            <w:gridSpan w:val="2"/>
            <w:tcBorders>
              <w:top w:val="single" w:sz="6" w:space="0" w:color="auto"/>
              <w:left w:val="single" w:sz="6" w:space="0" w:color="auto"/>
              <w:bottom w:val="single" w:sz="6" w:space="0" w:color="auto"/>
              <w:right w:val="single" w:sz="6" w:space="0" w:color="auto"/>
            </w:tcBorders>
          </w:tcPr>
          <w:p w14:paraId="5305CE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48" w:type="dxa"/>
            <w:gridSpan w:val="2"/>
            <w:tcBorders>
              <w:top w:val="single" w:sz="6" w:space="0" w:color="auto"/>
              <w:left w:val="single" w:sz="6" w:space="0" w:color="auto"/>
              <w:bottom w:val="single" w:sz="6" w:space="0" w:color="auto"/>
              <w:right w:val="single" w:sz="6" w:space="0" w:color="auto"/>
            </w:tcBorders>
          </w:tcPr>
          <w:p w14:paraId="20DBD5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48" w:type="dxa"/>
            <w:gridSpan w:val="2"/>
            <w:tcBorders>
              <w:top w:val="single" w:sz="6" w:space="0" w:color="auto"/>
              <w:left w:val="single" w:sz="6" w:space="0" w:color="auto"/>
              <w:bottom w:val="single" w:sz="6" w:space="0" w:color="auto"/>
              <w:right w:val="single" w:sz="6" w:space="0" w:color="auto"/>
            </w:tcBorders>
          </w:tcPr>
          <w:p w14:paraId="2C99BA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48" w:type="dxa"/>
            <w:gridSpan w:val="2"/>
            <w:tcBorders>
              <w:top w:val="single" w:sz="6" w:space="0" w:color="auto"/>
              <w:left w:val="single" w:sz="6" w:space="0" w:color="auto"/>
              <w:bottom w:val="single" w:sz="6" w:space="0" w:color="auto"/>
              <w:right w:val="single" w:sz="6" w:space="0" w:color="auto"/>
            </w:tcBorders>
          </w:tcPr>
          <w:p w14:paraId="208D2E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48" w:type="dxa"/>
            <w:gridSpan w:val="3"/>
            <w:tcBorders>
              <w:top w:val="single" w:sz="6" w:space="0" w:color="auto"/>
              <w:left w:val="single" w:sz="6" w:space="0" w:color="auto"/>
              <w:bottom w:val="single" w:sz="6" w:space="0" w:color="auto"/>
              <w:right w:val="single" w:sz="6" w:space="0" w:color="auto"/>
            </w:tcBorders>
          </w:tcPr>
          <w:p w14:paraId="63393C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48" w:type="dxa"/>
            <w:gridSpan w:val="2"/>
            <w:tcBorders>
              <w:top w:val="single" w:sz="6" w:space="0" w:color="auto"/>
              <w:left w:val="single" w:sz="6" w:space="0" w:color="auto"/>
              <w:bottom w:val="single" w:sz="6" w:space="0" w:color="auto"/>
              <w:right w:val="single" w:sz="6" w:space="0" w:color="auto"/>
            </w:tcBorders>
          </w:tcPr>
          <w:p w14:paraId="25D668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48" w:type="dxa"/>
            <w:gridSpan w:val="2"/>
            <w:tcBorders>
              <w:top w:val="single" w:sz="6" w:space="0" w:color="auto"/>
              <w:left w:val="single" w:sz="6" w:space="0" w:color="auto"/>
              <w:bottom w:val="single" w:sz="6" w:space="0" w:color="auto"/>
              <w:right w:val="single" w:sz="6" w:space="0" w:color="auto"/>
            </w:tcBorders>
          </w:tcPr>
          <w:p w14:paraId="2D7911C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48" w:type="dxa"/>
            <w:tcBorders>
              <w:top w:val="single" w:sz="6" w:space="0" w:color="auto"/>
              <w:left w:val="single" w:sz="6" w:space="0" w:color="auto"/>
              <w:bottom w:val="single" w:sz="6" w:space="0" w:color="auto"/>
              <w:right w:val="single" w:sz="12" w:space="0" w:color="auto"/>
            </w:tcBorders>
          </w:tcPr>
          <w:p w14:paraId="18AAD91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11B5CBF5" w14:textId="77777777" w:rsidTr="000D3BCB">
        <w:tc>
          <w:tcPr>
            <w:tcW w:w="936" w:type="dxa"/>
            <w:gridSpan w:val="2"/>
            <w:tcBorders>
              <w:top w:val="single" w:sz="6" w:space="0" w:color="auto"/>
              <w:left w:val="single" w:sz="12" w:space="0" w:color="auto"/>
              <w:bottom w:val="single" w:sz="6" w:space="0" w:color="auto"/>
              <w:right w:val="single" w:sz="6" w:space="0" w:color="auto"/>
            </w:tcBorders>
          </w:tcPr>
          <w:p w14:paraId="5492BE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МДР-6</w:t>
            </w:r>
          </w:p>
        </w:tc>
        <w:tc>
          <w:tcPr>
            <w:tcW w:w="936" w:type="dxa"/>
            <w:gridSpan w:val="2"/>
            <w:tcBorders>
              <w:top w:val="single" w:sz="6" w:space="0" w:color="auto"/>
              <w:left w:val="single" w:sz="6" w:space="0" w:color="auto"/>
              <w:bottom w:val="single" w:sz="6" w:space="0" w:color="auto"/>
              <w:right w:val="single" w:sz="6" w:space="0" w:color="auto"/>
            </w:tcBorders>
          </w:tcPr>
          <w:p w14:paraId="1C9684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30</w:t>
            </w:r>
          </w:p>
        </w:tc>
        <w:tc>
          <w:tcPr>
            <w:tcW w:w="849" w:type="dxa"/>
            <w:gridSpan w:val="2"/>
            <w:tcBorders>
              <w:top w:val="single" w:sz="6" w:space="0" w:color="auto"/>
              <w:left w:val="single" w:sz="6" w:space="0" w:color="auto"/>
              <w:bottom w:val="single" w:sz="6" w:space="0" w:color="auto"/>
              <w:right w:val="single" w:sz="6" w:space="0" w:color="auto"/>
            </w:tcBorders>
          </w:tcPr>
          <w:p w14:paraId="556295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4211E6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55" w:type="dxa"/>
            <w:gridSpan w:val="2"/>
            <w:tcBorders>
              <w:top w:val="single" w:sz="6" w:space="0" w:color="auto"/>
              <w:left w:val="single" w:sz="6" w:space="0" w:color="auto"/>
              <w:bottom w:val="single" w:sz="6" w:space="0" w:color="auto"/>
              <w:right w:val="single" w:sz="6" w:space="0" w:color="auto"/>
            </w:tcBorders>
          </w:tcPr>
          <w:p w14:paraId="43B80C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48" w:type="dxa"/>
            <w:gridSpan w:val="2"/>
            <w:tcBorders>
              <w:top w:val="single" w:sz="6" w:space="0" w:color="auto"/>
              <w:left w:val="single" w:sz="6" w:space="0" w:color="auto"/>
              <w:bottom w:val="single" w:sz="6" w:space="0" w:color="auto"/>
              <w:right w:val="single" w:sz="6" w:space="0" w:color="auto"/>
            </w:tcBorders>
          </w:tcPr>
          <w:p w14:paraId="06CF5C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5C2DBFA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621D45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180B99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w:t>
            </w:r>
          </w:p>
        </w:tc>
        <w:tc>
          <w:tcPr>
            <w:tcW w:w="748" w:type="dxa"/>
            <w:gridSpan w:val="3"/>
            <w:tcBorders>
              <w:top w:val="single" w:sz="6" w:space="0" w:color="auto"/>
              <w:left w:val="single" w:sz="6" w:space="0" w:color="auto"/>
              <w:bottom w:val="single" w:sz="6" w:space="0" w:color="auto"/>
              <w:right w:val="single" w:sz="6" w:space="0" w:color="auto"/>
            </w:tcBorders>
          </w:tcPr>
          <w:p w14:paraId="1017F6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024B4E9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748" w:type="dxa"/>
            <w:gridSpan w:val="2"/>
            <w:tcBorders>
              <w:top w:val="single" w:sz="6" w:space="0" w:color="auto"/>
              <w:left w:val="single" w:sz="6" w:space="0" w:color="auto"/>
              <w:bottom w:val="single" w:sz="6" w:space="0" w:color="auto"/>
              <w:right w:val="single" w:sz="6" w:space="0" w:color="auto"/>
            </w:tcBorders>
          </w:tcPr>
          <w:p w14:paraId="1E1222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w:t>
            </w:r>
          </w:p>
        </w:tc>
        <w:tc>
          <w:tcPr>
            <w:tcW w:w="748" w:type="dxa"/>
            <w:tcBorders>
              <w:top w:val="single" w:sz="6" w:space="0" w:color="auto"/>
              <w:left w:val="single" w:sz="6" w:space="0" w:color="auto"/>
              <w:bottom w:val="single" w:sz="6" w:space="0" w:color="auto"/>
              <w:right w:val="single" w:sz="12" w:space="0" w:color="auto"/>
            </w:tcBorders>
          </w:tcPr>
          <w:p w14:paraId="38BEFB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w:t>
            </w:r>
          </w:p>
        </w:tc>
      </w:tr>
      <w:tr w:rsidR="00643896" w:rsidRPr="00640820" w14:paraId="369577E2" w14:textId="77777777" w:rsidTr="000D3BCB">
        <w:tc>
          <w:tcPr>
            <w:tcW w:w="936" w:type="dxa"/>
            <w:gridSpan w:val="4"/>
            <w:tcBorders>
              <w:top w:val="single" w:sz="6" w:space="0" w:color="auto"/>
              <w:left w:val="single" w:sz="12" w:space="0" w:color="auto"/>
              <w:bottom w:val="single" w:sz="6" w:space="0" w:color="auto"/>
              <w:right w:val="single" w:sz="6" w:space="0" w:color="auto"/>
            </w:tcBorders>
          </w:tcPr>
          <w:p w14:paraId="065E1F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Всего разведчиков</w:t>
            </w:r>
          </w:p>
        </w:tc>
        <w:tc>
          <w:tcPr>
            <w:tcW w:w="849" w:type="dxa"/>
            <w:gridSpan w:val="2"/>
            <w:tcBorders>
              <w:top w:val="single" w:sz="6" w:space="0" w:color="auto"/>
              <w:left w:val="single" w:sz="6" w:space="0" w:color="auto"/>
              <w:bottom w:val="single" w:sz="6" w:space="0" w:color="auto"/>
              <w:right w:val="single" w:sz="6" w:space="0" w:color="auto"/>
            </w:tcBorders>
          </w:tcPr>
          <w:p w14:paraId="63F476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55" w:type="dxa"/>
            <w:gridSpan w:val="2"/>
            <w:tcBorders>
              <w:top w:val="single" w:sz="6" w:space="0" w:color="auto"/>
              <w:left w:val="single" w:sz="6" w:space="0" w:color="auto"/>
              <w:bottom w:val="single" w:sz="6" w:space="0" w:color="auto"/>
              <w:right w:val="single" w:sz="6" w:space="0" w:color="auto"/>
            </w:tcBorders>
          </w:tcPr>
          <w:p w14:paraId="346627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w:t>
            </w:r>
          </w:p>
        </w:tc>
        <w:tc>
          <w:tcPr>
            <w:tcW w:w="748" w:type="dxa"/>
            <w:gridSpan w:val="2"/>
            <w:tcBorders>
              <w:top w:val="single" w:sz="6" w:space="0" w:color="auto"/>
              <w:left w:val="single" w:sz="6" w:space="0" w:color="auto"/>
              <w:bottom w:val="single" w:sz="6" w:space="0" w:color="auto"/>
              <w:right w:val="single" w:sz="6" w:space="0" w:color="auto"/>
            </w:tcBorders>
          </w:tcPr>
          <w:p w14:paraId="4E0C68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4D174B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11AAB6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w:t>
            </w:r>
          </w:p>
        </w:tc>
        <w:tc>
          <w:tcPr>
            <w:tcW w:w="748" w:type="dxa"/>
            <w:gridSpan w:val="2"/>
            <w:tcBorders>
              <w:top w:val="single" w:sz="6" w:space="0" w:color="auto"/>
              <w:left w:val="single" w:sz="6" w:space="0" w:color="auto"/>
              <w:bottom w:val="single" w:sz="6" w:space="0" w:color="auto"/>
              <w:right w:val="single" w:sz="6" w:space="0" w:color="auto"/>
            </w:tcBorders>
          </w:tcPr>
          <w:p w14:paraId="5D1671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w:t>
            </w:r>
          </w:p>
        </w:tc>
        <w:tc>
          <w:tcPr>
            <w:tcW w:w="748" w:type="dxa"/>
            <w:gridSpan w:val="3"/>
            <w:tcBorders>
              <w:top w:val="single" w:sz="6" w:space="0" w:color="auto"/>
              <w:left w:val="single" w:sz="6" w:space="0" w:color="auto"/>
              <w:bottom w:val="single" w:sz="6" w:space="0" w:color="auto"/>
              <w:right w:val="single" w:sz="6" w:space="0" w:color="auto"/>
            </w:tcBorders>
          </w:tcPr>
          <w:p w14:paraId="4100B9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48" w:type="dxa"/>
            <w:gridSpan w:val="2"/>
            <w:tcBorders>
              <w:top w:val="single" w:sz="6" w:space="0" w:color="auto"/>
              <w:left w:val="single" w:sz="6" w:space="0" w:color="auto"/>
              <w:bottom w:val="single" w:sz="6" w:space="0" w:color="auto"/>
              <w:right w:val="single" w:sz="6" w:space="0" w:color="auto"/>
            </w:tcBorders>
          </w:tcPr>
          <w:p w14:paraId="53D8F1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748" w:type="dxa"/>
            <w:gridSpan w:val="2"/>
            <w:tcBorders>
              <w:top w:val="single" w:sz="6" w:space="0" w:color="auto"/>
              <w:left w:val="single" w:sz="6" w:space="0" w:color="auto"/>
              <w:bottom w:val="single" w:sz="6" w:space="0" w:color="auto"/>
              <w:right w:val="single" w:sz="6" w:space="0" w:color="auto"/>
            </w:tcBorders>
          </w:tcPr>
          <w:p w14:paraId="44A4C7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w:t>
            </w:r>
          </w:p>
        </w:tc>
        <w:tc>
          <w:tcPr>
            <w:tcW w:w="748" w:type="dxa"/>
            <w:tcBorders>
              <w:top w:val="single" w:sz="6" w:space="0" w:color="auto"/>
              <w:left w:val="single" w:sz="6" w:space="0" w:color="auto"/>
              <w:bottom w:val="single" w:sz="6" w:space="0" w:color="auto"/>
              <w:right w:val="single" w:sz="12" w:space="0" w:color="auto"/>
            </w:tcBorders>
          </w:tcPr>
          <w:p w14:paraId="0096DC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w:t>
            </w:r>
          </w:p>
        </w:tc>
      </w:tr>
      <w:tr w:rsidR="00643896" w:rsidRPr="00640820" w14:paraId="068DEB93" w14:textId="77777777" w:rsidTr="000D3BCB">
        <w:tc>
          <w:tcPr>
            <w:tcW w:w="936" w:type="dxa"/>
            <w:gridSpan w:val="6"/>
            <w:tcBorders>
              <w:top w:val="single" w:sz="6" w:space="0" w:color="auto"/>
              <w:left w:val="single" w:sz="12" w:space="0" w:color="auto"/>
              <w:bottom w:val="single" w:sz="12" w:space="0" w:color="auto"/>
              <w:right w:val="single" w:sz="6" w:space="0" w:color="auto"/>
            </w:tcBorders>
          </w:tcPr>
          <w:p w14:paraId="1F24F6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Итого боевых машин</w:t>
            </w:r>
          </w:p>
        </w:tc>
        <w:tc>
          <w:tcPr>
            <w:tcW w:w="655" w:type="dxa"/>
            <w:gridSpan w:val="2"/>
            <w:tcBorders>
              <w:top w:val="single" w:sz="6" w:space="0" w:color="auto"/>
              <w:left w:val="single" w:sz="6" w:space="0" w:color="auto"/>
              <w:bottom w:val="single" w:sz="12" w:space="0" w:color="auto"/>
              <w:right w:val="single" w:sz="6" w:space="0" w:color="auto"/>
            </w:tcBorders>
          </w:tcPr>
          <w:p w14:paraId="68019F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556</w:t>
            </w:r>
          </w:p>
        </w:tc>
        <w:tc>
          <w:tcPr>
            <w:tcW w:w="748" w:type="dxa"/>
            <w:gridSpan w:val="2"/>
            <w:tcBorders>
              <w:top w:val="single" w:sz="6" w:space="0" w:color="auto"/>
              <w:left w:val="single" w:sz="6" w:space="0" w:color="auto"/>
              <w:bottom w:val="single" w:sz="12" w:space="0" w:color="auto"/>
              <w:right w:val="single" w:sz="6" w:space="0" w:color="auto"/>
            </w:tcBorders>
          </w:tcPr>
          <w:p w14:paraId="214764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468</w:t>
            </w:r>
          </w:p>
        </w:tc>
        <w:tc>
          <w:tcPr>
            <w:tcW w:w="748" w:type="dxa"/>
            <w:gridSpan w:val="2"/>
            <w:tcBorders>
              <w:top w:val="single" w:sz="6" w:space="0" w:color="auto"/>
              <w:left w:val="single" w:sz="6" w:space="0" w:color="auto"/>
              <w:bottom w:val="single" w:sz="12" w:space="0" w:color="auto"/>
              <w:right w:val="single" w:sz="6" w:space="0" w:color="auto"/>
            </w:tcBorders>
          </w:tcPr>
          <w:p w14:paraId="4AEFB4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573</w:t>
            </w:r>
          </w:p>
        </w:tc>
        <w:tc>
          <w:tcPr>
            <w:tcW w:w="748" w:type="dxa"/>
            <w:gridSpan w:val="2"/>
            <w:tcBorders>
              <w:top w:val="single" w:sz="6" w:space="0" w:color="auto"/>
              <w:left w:val="single" w:sz="6" w:space="0" w:color="auto"/>
              <w:bottom w:val="single" w:sz="12" w:space="0" w:color="auto"/>
              <w:right w:val="single" w:sz="6" w:space="0" w:color="auto"/>
            </w:tcBorders>
          </w:tcPr>
          <w:p w14:paraId="68DCE0F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1597</w:t>
            </w:r>
          </w:p>
        </w:tc>
        <w:tc>
          <w:tcPr>
            <w:tcW w:w="748" w:type="dxa"/>
            <w:gridSpan w:val="2"/>
            <w:tcBorders>
              <w:top w:val="single" w:sz="6" w:space="0" w:color="auto"/>
              <w:left w:val="single" w:sz="6" w:space="0" w:color="auto"/>
              <w:bottom w:val="single" w:sz="12" w:space="0" w:color="auto"/>
              <w:right w:val="single" w:sz="6" w:space="0" w:color="auto"/>
            </w:tcBorders>
          </w:tcPr>
          <w:p w14:paraId="7CAF8B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730</w:t>
            </w:r>
          </w:p>
        </w:tc>
        <w:tc>
          <w:tcPr>
            <w:tcW w:w="748" w:type="dxa"/>
            <w:gridSpan w:val="3"/>
            <w:tcBorders>
              <w:top w:val="single" w:sz="6" w:space="0" w:color="auto"/>
              <w:left w:val="single" w:sz="6" w:space="0" w:color="auto"/>
              <w:bottom w:val="single" w:sz="12" w:space="0" w:color="auto"/>
              <w:right w:val="single" w:sz="6" w:space="0" w:color="auto"/>
            </w:tcBorders>
          </w:tcPr>
          <w:p w14:paraId="758D14F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756</w:t>
            </w:r>
          </w:p>
        </w:tc>
        <w:tc>
          <w:tcPr>
            <w:tcW w:w="748" w:type="dxa"/>
            <w:gridSpan w:val="2"/>
            <w:tcBorders>
              <w:top w:val="single" w:sz="6" w:space="0" w:color="auto"/>
              <w:left w:val="single" w:sz="6" w:space="0" w:color="auto"/>
              <w:bottom w:val="single" w:sz="12" w:space="0" w:color="auto"/>
              <w:right w:val="single" w:sz="6" w:space="0" w:color="auto"/>
            </w:tcBorders>
          </w:tcPr>
          <w:p w14:paraId="4069B09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1407</w:t>
            </w:r>
          </w:p>
        </w:tc>
        <w:tc>
          <w:tcPr>
            <w:tcW w:w="748" w:type="dxa"/>
            <w:gridSpan w:val="2"/>
            <w:tcBorders>
              <w:top w:val="single" w:sz="6" w:space="0" w:color="auto"/>
              <w:left w:val="single" w:sz="6" w:space="0" w:color="auto"/>
              <w:bottom w:val="single" w:sz="12" w:space="0" w:color="auto"/>
              <w:right w:val="single" w:sz="6" w:space="0" w:color="auto"/>
            </w:tcBorders>
          </w:tcPr>
          <w:p w14:paraId="31A7F2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2533</w:t>
            </w:r>
          </w:p>
        </w:tc>
        <w:tc>
          <w:tcPr>
            <w:tcW w:w="748" w:type="dxa"/>
            <w:tcBorders>
              <w:top w:val="single" w:sz="6" w:space="0" w:color="auto"/>
              <w:left w:val="single" w:sz="6" w:space="0" w:color="auto"/>
              <w:bottom w:val="single" w:sz="12" w:space="0" w:color="auto"/>
              <w:right w:val="single" w:sz="12" w:space="0" w:color="auto"/>
            </w:tcBorders>
          </w:tcPr>
          <w:p w14:paraId="131ACF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4130 \494\ </w:t>
            </w:r>
          </w:p>
        </w:tc>
      </w:tr>
      <w:tr w:rsidR="00643896" w:rsidRPr="00640820" w14:paraId="5FBEF9A0" w14:textId="77777777" w:rsidTr="000D3BCB">
        <w:tc>
          <w:tcPr>
            <w:tcW w:w="917" w:type="dxa"/>
            <w:gridSpan w:val="24"/>
            <w:tcBorders>
              <w:top w:val="nil"/>
              <w:left w:val="nil"/>
              <w:bottom w:val="nil"/>
              <w:right w:val="nil"/>
            </w:tcBorders>
          </w:tcPr>
          <w:p w14:paraId="0D931C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(Продолжение таблицы - правая сторона. - Сост.) </w:t>
            </w:r>
          </w:p>
        </w:tc>
      </w:tr>
      <w:tr w:rsidR="00643896" w:rsidRPr="00640820" w14:paraId="7EED3563" w14:textId="77777777" w:rsidTr="000D3BCB">
        <w:tc>
          <w:tcPr>
            <w:tcW w:w="917" w:type="dxa"/>
            <w:tcBorders>
              <w:top w:val="single" w:sz="12" w:space="0" w:color="auto"/>
              <w:left w:val="single" w:sz="12" w:space="0" w:color="auto"/>
              <w:bottom w:val="single" w:sz="6" w:space="0" w:color="auto"/>
              <w:right w:val="single" w:sz="6" w:space="0" w:color="auto"/>
            </w:tcBorders>
          </w:tcPr>
          <w:p w14:paraId="3C7B49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Наимен. изделия</w:t>
            </w:r>
          </w:p>
        </w:tc>
        <w:tc>
          <w:tcPr>
            <w:tcW w:w="917" w:type="dxa"/>
            <w:gridSpan w:val="2"/>
            <w:tcBorders>
              <w:top w:val="single" w:sz="12" w:space="0" w:color="auto"/>
              <w:left w:val="single" w:sz="6" w:space="0" w:color="auto"/>
              <w:bottom w:val="single" w:sz="6" w:space="0" w:color="auto"/>
              <w:right w:val="single" w:sz="6" w:space="0" w:color="auto"/>
            </w:tcBorders>
          </w:tcPr>
          <w:p w14:paraId="60BF1C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 </w:t>
            </w:r>
          </w:p>
          <w:p w14:paraId="1EB517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завода</w:t>
            </w:r>
          </w:p>
        </w:tc>
        <w:tc>
          <w:tcPr>
            <w:tcW w:w="825" w:type="dxa"/>
            <w:gridSpan w:val="2"/>
            <w:tcBorders>
              <w:top w:val="single" w:sz="12" w:space="0" w:color="auto"/>
              <w:left w:val="single" w:sz="6" w:space="0" w:color="auto"/>
              <w:bottom w:val="single" w:sz="6" w:space="0" w:color="auto"/>
              <w:right w:val="single" w:sz="6" w:space="0" w:color="auto"/>
            </w:tcBorders>
          </w:tcPr>
          <w:p w14:paraId="2441D1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Показатели</w:t>
            </w:r>
          </w:p>
        </w:tc>
        <w:tc>
          <w:tcPr>
            <w:tcW w:w="641" w:type="dxa"/>
            <w:gridSpan w:val="2"/>
            <w:tcBorders>
              <w:top w:val="single" w:sz="12" w:space="0" w:color="auto"/>
              <w:left w:val="single" w:sz="6" w:space="0" w:color="auto"/>
              <w:bottom w:val="single" w:sz="6" w:space="0" w:color="auto"/>
              <w:right w:val="single" w:sz="6" w:space="0" w:color="auto"/>
            </w:tcBorders>
          </w:tcPr>
          <w:p w14:paraId="0C1C24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VII</w:t>
            </w:r>
          </w:p>
        </w:tc>
        <w:tc>
          <w:tcPr>
            <w:tcW w:w="641" w:type="dxa"/>
            <w:gridSpan w:val="2"/>
            <w:tcBorders>
              <w:top w:val="single" w:sz="12" w:space="0" w:color="auto"/>
              <w:left w:val="single" w:sz="6" w:space="0" w:color="auto"/>
              <w:bottom w:val="single" w:sz="6" w:space="0" w:color="auto"/>
              <w:right w:val="single" w:sz="6" w:space="0" w:color="auto"/>
            </w:tcBorders>
          </w:tcPr>
          <w:p w14:paraId="2EC1BA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VIII</w:t>
            </w:r>
          </w:p>
        </w:tc>
        <w:tc>
          <w:tcPr>
            <w:tcW w:w="641" w:type="dxa"/>
            <w:gridSpan w:val="2"/>
            <w:tcBorders>
              <w:top w:val="single" w:sz="12" w:space="0" w:color="auto"/>
              <w:left w:val="single" w:sz="6" w:space="0" w:color="auto"/>
              <w:bottom w:val="single" w:sz="6" w:space="0" w:color="auto"/>
              <w:right w:val="single" w:sz="6" w:space="0" w:color="auto"/>
            </w:tcBorders>
          </w:tcPr>
          <w:p w14:paraId="590A19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IX</w:t>
            </w:r>
          </w:p>
        </w:tc>
        <w:tc>
          <w:tcPr>
            <w:tcW w:w="641" w:type="dxa"/>
            <w:gridSpan w:val="2"/>
            <w:tcBorders>
              <w:top w:val="single" w:sz="12" w:space="0" w:color="auto"/>
              <w:left w:val="single" w:sz="6" w:space="0" w:color="auto"/>
              <w:bottom w:val="single" w:sz="6" w:space="0" w:color="auto"/>
              <w:right w:val="single" w:sz="6" w:space="0" w:color="auto"/>
            </w:tcBorders>
          </w:tcPr>
          <w:p w14:paraId="737F1D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III кв.</w:t>
            </w:r>
          </w:p>
        </w:tc>
        <w:tc>
          <w:tcPr>
            <w:tcW w:w="641" w:type="dxa"/>
            <w:gridSpan w:val="2"/>
            <w:tcBorders>
              <w:top w:val="single" w:sz="12" w:space="0" w:color="auto"/>
              <w:left w:val="single" w:sz="6" w:space="0" w:color="auto"/>
              <w:bottom w:val="single" w:sz="6" w:space="0" w:color="auto"/>
              <w:right w:val="single" w:sz="6" w:space="0" w:color="auto"/>
            </w:tcBorders>
          </w:tcPr>
          <w:p w14:paraId="6E8D58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X</w:t>
            </w:r>
          </w:p>
        </w:tc>
        <w:tc>
          <w:tcPr>
            <w:tcW w:w="641" w:type="dxa"/>
            <w:gridSpan w:val="2"/>
            <w:tcBorders>
              <w:top w:val="single" w:sz="12" w:space="0" w:color="auto"/>
              <w:left w:val="single" w:sz="6" w:space="0" w:color="auto"/>
              <w:bottom w:val="single" w:sz="6" w:space="0" w:color="auto"/>
              <w:right w:val="single" w:sz="6" w:space="0" w:color="auto"/>
            </w:tcBorders>
          </w:tcPr>
          <w:p w14:paraId="3F8334C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XI</w:t>
            </w:r>
          </w:p>
        </w:tc>
        <w:tc>
          <w:tcPr>
            <w:tcW w:w="549" w:type="dxa"/>
            <w:tcBorders>
              <w:top w:val="single" w:sz="12" w:space="0" w:color="auto"/>
              <w:left w:val="single" w:sz="6" w:space="0" w:color="auto"/>
              <w:bottom w:val="single" w:sz="6" w:space="0" w:color="auto"/>
              <w:right w:val="single" w:sz="6" w:space="0" w:color="auto"/>
            </w:tcBorders>
          </w:tcPr>
          <w:p w14:paraId="278BDC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XII</w:t>
            </w:r>
          </w:p>
        </w:tc>
        <w:tc>
          <w:tcPr>
            <w:tcW w:w="549" w:type="dxa"/>
            <w:gridSpan w:val="2"/>
            <w:tcBorders>
              <w:top w:val="single" w:sz="12" w:space="0" w:color="auto"/>
              <w:left w:val="single" w:sz="6" w:space="0" w:color="auto"/>
              <w:bottom w:val="single" w:sz="6" w:space="0" w:color="auto"/>
              <w:right w:val="single" w:sz="6" w:space="0" w:color="auto"/>
            </w:tcBorders>
          </w:tcPr>
          <w:p w14:paraId="3B83F0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IV кв.</w:t>
            </w:r>
          </w:p>
        </w:tc>
        <w:tc>
          <w:tcPr>
            <w:tcW w:w="733" w:type="dxa"/>
            <w:gridSpan w:val="2"/>
            <w:tcBorders>
              <w:top w:val="single" w:sz="12" w:space="0" w:color="auto"/>
              <w:left w:val="single" w:sz="6" w:space="0" w:color="auto"/>
              <w:bottom w:val="single" w:sz="6" w:space="0" w:color="auto"/>
              <w:right w:val="single" w:sz="6" w:space="0" w:color="auto"/>
            </w:tcBorders>
          </w:tcPr>
          <w:p w14:paraId="4FBE70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I полу-годие</w:t>
            </w:r>
          </w:p>
        </w:tc>
        <w:tc>
          <w:tcPr>
            <w:tcW w:w="1024" w:type="dxa"/>
            <w:gridSpan w:val="2"/>
            <w:tcBorders>
              <w:top w:val="single" w:sz="12" w:space="0" w:color="auto"/>
              <w:left w:val="single" w:sz="6" w:space="0" w:color="auto"/>
              <w:bottom w:val="single" w:sz="6" w:space="0" w:color="auto"/>
              <w:right w:val="single" w:sz="12" w:space="0" w:color="auto"/>
            </w:tcBorders>
          </w:tcPr>
          <w:p w14:paraId="57EB74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Год</w:t>
            </w:r>
          </w:p>
        </w:tc>
      </w:tr>
      <w:tr w:rsidR="00643896" w:rsidRPr="00640820" w14:paraId="5AE9FB0C" w14:textId="77777777" w:rsidTr="000D3BCB">
        <w:tc>
          <w:tcPr>
            <w:tcW w:w="917" w:type="dxa"/>
            <w:tcBorders>
              <w:top w:val="single" w:sz="6" w:space="0" w:color="auto"/>
              <w:left w:val="single" w:sz="12" w:space="0" w:color="auto"/>
              <w:bottom w:val="single" w:sz="6" w:space="0" w:color="auto"/>
              <w:right w:val="single" w:sz="6" w:space="0" w:color="auto"/>
            </w:tcBorders>
          </w:tcPr>
          <w:p w14:paraId="6D2611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917" w:type="dxa"/>
            <w:gridSpan w:val="2"/>
            <w:tcBorders>
              <w:top w:val="single" w:sz="6" w:space="0" w:color="auto"/>
              <w:left w:val="single" w:sz="6" w:space="0" w:color="auto"/>
              <w:bottom w:val="single" w:sz="6" w:space="0" w:color="auto"/>
              <w:right w:val="single" w:sz="6" w:space="0" w:color="auto"/>
            </w:tcBorders>
          </w:tcPr>
          <w:p w14:paraId="687648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w:t>
            </w:r>
          </w:p>
        </w:tc>
        <w:tc>
          <w:tcPr>
            <w:tcW w:w="825" w:type="dxa"/>
            <w:gridSpan w:val="2"/>
            <w:tcBorders>
              <w:top w:val="single" w:sz="6" w:space="0" w:color="auto"/>
              <w:left w:val="single" w:sz="6" w:space="0" w:color="auto"/>
              <w:bottom w:val="single" w:sz="6" w:space="0" w:color="auto"/>
              <w:right w:val="single" w:sz="6" w:space="0" w:color="auto"/>
            </w:tcBorders>
          </w:tcPr>
          <w:p w14:paraId="1CC462E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w:t>
            </w:r>
          </w:p>
        </w:tc>
        <w:tc>
          <w:tcPr>
            <w:tcW w:w="641" w:type="dxa"/>
            <w:gridSpan w:val="2"/>
            <w:tcBorders>
              <w:top w:val="single" w:sz="6" w:space="0" w:color="auto"/>
              <w:left w:val="single" w:sz="6" w:space="0" w:color="auto"/>
              <w:bottom w:val="single" w:sz="6" w:space="0" w:color="auto"/>
              <w:right w:val="single" w:sz="6" w:space="0" w:color="auto"/>
            </w:tcBorders>
          </w:tcPr>
          <w:p w14:paraId="3511DB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w:t>
            </w:r>
          </w:p>
        </w:tc>
        <w:tc>
          <w:tcPr>
            <w:tcW w:w="641" w:type="dxa"/>
            <w:gridSpan w:val="2"/>
            <w:tcBorders>
              <w:top w:val="single" w:sz="6" w:space="0" w:color="auto"/>
              <w:left w:val="single" w:sz="6" w:space="0" w:color="auto"/>
              <w:bottom w:val="single" w:sz="6" w:space="0" w:color="auto"/>
              <w:right w:val="single" w:sz="6" w:space="0" w:color="auto"/>
            </w:tcBorders>
          </w:tcPr>
          <w:p w14:paraId="091DC8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w:t>
            </w:r>
          </w:p>
        </w:tc>
        <w:tc>
          <w:tcPr>
            <w:tcW w:w="641" w:type="dxa"/>
            <w:gridSpan w:val="2"/>
            <w:tcBorders>
              <w:top w:val="single" w:sz="6" w:space="0" w:color="auto"/>
              <w:left w:val="single" w:sz="6" w:space="0" w:color="auto"/>
              <w:bottom w:val="single" w:sz="6" w:space="0" w:color="auto"/>
              <w:right w:val="single" w:sz="6" w:space="0" w:color="auto"/>
            </w:tcBorders>
          </w:tcPr>
          <w:p w14:paraId="56A8DA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w:t>
            </w:r>
          </w:p>
        </w:tc>
        <w:tc>
          <w:tcPr>
            <w:tcW w:w="641" w:type="dxa"/>
            <w:gridSpan w:val="2"/>
            <w:tcBorders>
              <w:top w:val="single" w:sz="6" w:space="0" w:color="auto"/>
              <w:left w:val="single" w:sz="6" w:space="0" w:color="auto"/>
              <w:bottom w:val="single" w:sz="6" w:space="0" w:color="auto"/>
              <w:right w:val="single" w:sz="6" w:space="0" w:color="auto"/>
            </w:tcBorders>
          </w:tcPr>
          <w:p w14:paraId="26E4CC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w:t>
            </w:r>
          </w:p>
        </w:tc>
        <w:tc>
          <w:tcPr>
            <w:tcW w:w="641" w:type="dxa"/>
            <w:gridSpan w:val="2"/>
            <w:tcBorders>
              <w:top w:val="single" w:sz="6" w:space="0" w:color="auto"/>
              <w:left w:val="single" w:sz="6" w:space="0" w:color="auto"/>
              <w:bottom w:val="single" w:sz="6" w:space="0" w:color="auto"/>
              <w:right w:val="single" w:sz="6" w:space="0" w:color="auto"/>
            </w:tcBorders>
          </w:tcPr>
          <w:p w14:paraId="328F19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w:t>
            </w:r>
          </w:p>
        </w:tc>
        <w:tc>
          <w:tcPr>
            <w:tcW w:w="641" w:type="dxa"/>
            <w:gridSpan w:val="2"/>
            <w:tcBorders>
              <w:top w:val="single" w:sz="6" w:space="0" w:color="auto"/>
              <w:left w:val="single" w:sz="6" w:space="0" w:color="auto"/>
              <w:bottom w:val="single" w:sz="6" w:space="0" w:color="auto"/>
              <w:right w:val="single" w:sz="6" w:space="0" w:color="auto"/>
            </w:tcBorders>
          </w:tcPr>
          <w:p w14:paraId="36C19A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w:t>
            </w:r>
          </w:p>
        </w:tc>
        <w:tc>
          <w:tcPr>
            <w:tcW w:w="549" w:type="dxa"/>
            <w:tcBorders>
              <w:top w:val="single" w:sz="6" w:space="0" w:color="auto"/>
              <w:left w:val="single" w:sz="6" w:space="0" w:color="auto"/>
              <w:bottom w:val="single" w:sz="6" w:space="0" w:color="auto"/>
              <w:right w:val="single" w:sz="6" w:space="0" w:color="auto"/>
            </w:tcBorders>
          </w:tcPr>
          <w:p w14:paraId="3C3F249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w:t>
            </w:r>
          </w:p>
        </w:tc>
        <w:tc>
          <w:tcPr>
            <w:tcW w:w="549" w:type="dxa"/>
            <w:gridSpan w:val="2"/>
            <w:tcBorders>
              <w:top w:val="single" w:sz="6" w:space="0" w:color="auto"/>
              <w:left w:val="single" w:sz="6" w:space="0" w:color="auto"/>
              <w:bottom w:val="single" w:sz="6" w:space="0" w:color="auto"/>
              <w:right w:val="single" w:sz="6" w:space="0" w:color="auto"/>
            </w:tcBorders>
          </w:tcPr>
          <w:p w14:paraId="5D6B55B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w:t>
            </w:r>
          </w:p>
        </w:tc>
        <w:tc>
          <w:tcPr>
            <w:tcW w:w="733" w:type="dxa"/>
            <w:gridSpan w:val="2"/>
            <w:tcBorders>
              <w:top w:val="single" w:sz="6" w:space="0" w:color="auto"/>
              <w:left w:val="single" w:sz="6" w:space="0" w:color="auto"/>
              <w:bottom w:val="single" w:sz="6" w:space="0" w:color="auto"/>
              <w:right w:val="single" w:sz="6" w:space="0" w:color="auto"/>
            </w:tcBorders>
          </w:tcPr>
          <w:p w14:paraId="79C576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w:t>
            </w:r>
          </w:p>
        </w:tc>
        <w:tc>
          <w:tcPr>
            <w:tcW w:w="1024" w:type="dxa"/>
            <w:gridSpan w:val="2"/>
            <w:tcBorders>
              <w:top w:val="single" w:sz="6" w:space="0" w:color="auto"/>
              <w:left w:val="single" w:sz="6" w:space="0" w:color="auto"/>
              <w:bottom w:val="single" w:sz="6" w:space="0" w:color="auto"/>
              <w:right w:val="single" w:sz="12" w:space="0" w:color="auto"/>
            </w:tcBorders>
          </w:tcPr>
          <w:p w14:paraId="2764A3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w:t>
            </w:r>
          </w:p>
        </w:tc>
      </w:tr>
      <w:tr w:rsidR="00643896" w:rsidRPr="00640820" w14:paraId="52987D4B" w14:textId="77777777" w:rsidTr="000D3BCB">
        <w:tc>
          <w:tcPr>
            <w:tcW w:w="917" w:type="dxa"/>
            <w:gridSpan w:val="3"/>
            <w:tcBorders>
              <w:top w:val="single" w:sz="6" w:space="0" w:color="auto"/>
              <w:left w:val="single" w:sz="12" w:space="0" w:color="auto"/>
              <w:bottom w:val="single" w:sz="6" w:space="0" w:color="auto"/>
              <w:right w:val="single" w:sz="6" w:space="0" w:color="auto"/>
            </w:tcBorders>
          </w:tcPr>
          <w:p w14:paraId="5D50EB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Истребители</w:t>
            </w:r>
          </w:p>
        </w:tc>
        <w:tc>
          <w:tcPr>
            <w:tcW w:w="825" w:type="dxa"/>
            <w:gridSpan w:val="2"/>
            <w:tcBorders>
              <w:top w:val="single" w:sz="6" w:space="0" w:color="auto"/>
              <w:left w:val="single" w:sz="6" w:space="0" w:color="auto"/>
              <w:bottom w:val="single" w:sz="6" w:space="0" w:color="auto"/>
              <w:right w:val="single" w:sz="6" w:space="0" w:color="auto"/>
            </w:tcBorders>
          </w:tcPr>
          <w:p w14:paraId="046590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41" w:type="dxa"/>
            <w:gridSpan w:val="2"/>
            <w:tcBorders>
              <w:top w:val="single" w:sz="6" w:space="0" w:color="auto"/>
              <w:left w:val="single" w:sz="6" w:space="0" w:color="auto"/>
              <w:bottom w:val="single" w:sz="6" w:space="0" w:color="auto"/>
              <w:right w:val="single" w:sz="6" w:space="0" w:color="auto"/>
            </w:tcBorders>
          </w:tcPr>
          <w:p w14:paraId="477072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41" w:type="dxa"/>
            <w:gridSpan w:val="2"/>
            <w:tcBorders>
              <w:top w:val="single" w:sz="6" w:space="0" w:color="auto"/>
              <w:left w:val="single" w:sz="6" w:space="0" w:color="auto"/>
              <w:bottom w:val="single" w:sz="6" w:space="0" w:color="auto"/>
              <w:right w:val="single" w:sz="6" w:space="0" w:color="auto"/>
            </w:tcBorders>
          </w:tcPr>
          <w:p w14:paraId="3FE349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41" w:type="dxa"/>
            <w:gridSpan w:val="2"/>
            <w:tcBorders>
              <w:top w:val="single" w:sz="6" w:space="0" w:color="auto"/>
              <w:left w:val="single" w:sz="6" w:space="0" w:color="auto"/>
              <w:bottom w:val="single" w:sz="6" w:space="0" w:color="auto"/>
              <w:right w:val="single" w:sz="6" w:space="0" w:color="auto"/>
            </w:tcBorders>
          </w:tcPr>
          <w:p w14:paraId="0D93BE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41" w:type="dxa"/>
            <w:gridSpan w:val="2"/>
            <w:tcBorders>
              <w:top w:val="single" w:sz="6" w:space="0" w:color="auto"/>
              <w:left w:val="single" w:sz="6" w:space="0" w:color="auto"/>
              <w:bottom w:val="single" w:sz="6" w:space="0" w:color="auto"/>
              <w:right w:val="single" w:sz="6" w:space="0" w:color="auto"/>
            </w:tcBorders>
          </w:tcPr>
          <w:p w14:paraId="7810686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41" w:type="dxa"/>
            <w:gridSpan w:val="2"/>
            <w:tcBorders>
              <w:top w:val="single" w:sz="6" w:space="0" w:color="auto"/>
              <w:left w:val="single" w:sz="6" w:space="0" w:color="auto"/>
              <w:bottom w:val="single" w:sz="6" w:space="0" w:color="auto"/>
              <w:right w:val="single" w:sz="6" w:space="0" w:color="auto"/>
            </w:tcBorders>
          </w:tcPr>
          <w:p w14:paraId="288338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41" w:type="dxa"/>
            <w:gridSpan w:val="2"/>
            <w:tcBorders>
              <w:top w:val="single" w:sz="6" w:space="0" w:color="auto"/>
              <w:left w:val="single" w:sz="6" w:space="0" w:color="auto"/>
              <w:bottom w:val="single" w:sz="6" w:space="0" w:color="auto"/>
              <w:right w:val="single" w:sz="6" w:space="0" w:color="auto"/>
            </w:tcBorders>
          </w:tcPr>
          <w:p w14:paraId="4D0C05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49" w:type="dxa"/>
            <w:tcBorders>
              <w:top w:val="single" w:sz="6" w:space="0" w:color="auto"/>
              <w:left w:val="single" w:sz="6" w:space="0" w:color="auto"/>
              <w:bottom w:val="single" w:sz="6" w:space="0" w:color="auto"/>
              <w:right w:val="single" w:sz="6" w:space="0" w:color="auto"/>
            </w:tcBorders>
          </w:tcPr>
          <w:p w14:paraId="614B3B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49" w:type="dxa"/>
            <w:gridSpan w:val="2"/>
            <w:tcBorders>
              <w:top w:val="single" w:sz="6" w:space="0" w:color="auto"/>
              <w:left w:val="single" w:sz="6" w:space="0" w:color="auto"/>
              <w:bottom w:val="single" w:sz="6" w:space="0" w:color="auto"/>
              <w:right w:val="single" w:sz="6" w:space="0" w:color="auto"/>
            </w:tcBorders>
          </w:tcPr>
          <w:p w14:paraId="1E2AC38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33" w:type="dxa"/>
            <w:gridSpan w:val="2"/>
            <w:tcBorders>
              <w:top w:val="single" w:sz="6" w:space="0" w:color="auto"/>
              <w:left w:val="single" w:sz="6" w:space="0" w:color="auto"/>
              <w:bottom w:val="single" w:sz="6" w:space="0" w:color="auto"/>
              <w:right w:val="single" w:sz="6" w:space="0" w:color="auto"/>
            </w:tcBorders>
          </w:tcPr>
          <w:p w14:paraId="699D08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024" w:type="dxa"/>
            <w:gridSpan w:val="2"/>
            <w:tcBorders>
              <w:top w:val="single" w:sz="6" w:space="0" w:color="auto"/>
              <w:left w:val="single" w:sz="6" w:space="0" w:color="auto"/>
              <w:bottom w:val="single" w:sz="6" w:space="0" w:color="auto"/>
              <w:right w:val="single" w:sz="12" w:space="0" w:color="auto"/>
            </w:tcBorders>
          </w:tcPr>
          <w:p w14:paraId="486E82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3F08A8BE" w14:textId="77777777" w:rsidTr="000D3BCB">
        <w:tc>
          <w:tcPr>
            <w:tcW w:w="917" w:type="dxa"/>
            <w:tcBorders>
              <w:top w:val="single" w:sz="6" w:space="0" w:color="auto"/>
              <w:left w:val="single" w:sz="12" w:space="0" w:color="auto"/>
              <w:bottom w:val="single" w:sz="6" w:space="0" w:color="auto"/>
              <w:right w:val="single" w:sz="6" w:space="0" w:color="auto"/>
            </w:tcBorders>
          </w:tcPr>
          <w:p w14:paraId="3F0B7A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МИГ-3</w:t>
            </w:r>
          </w:p>
        </w:tc>
        <w:tc>
          <w:tcPr>
            <w:tcW w:w="917" w:type="dxa"/>
            <w:gridSpan w:val="2"/>
            <w:tcBorders>
              <w:top w:val="single" w:sz="6" w:space="0" w:color="auto"/>
              <w:left w:val="single" w:sz="6" w:space="0" w:color="auto"/>
              <w:bottom w:val="single" w:sz="6" w:space="0" w:color="auto"/>
              <w:right w:val="single" w:sz="6" w:space="0" w:color="auto"/>
            </w:tcBorders>
          </w:tcPr>
          <w:p w14:paraId="3668E7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825" w:type="dxa"/>
            <w:gridSpan w:val="2"/>
            <w:tcBorders>
              <w:top w:val="single" w:sz="6" w:space="0" w:color="auto"/>
              <w:left w:val="single" w:sz="6" w:space="0" w:color="auto"/>
              <w:bottom w:val="single" w:sz="6" w:space="0" w:color="auto"/>
              <w:right w:val="single" w:sz="6" w:space="0" w:color="auto"/>
            </w:tcBorders>
          </w:tcPr>
          <w:p w14:paraId="717BC0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338ABD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41" w:type="dxa"/>
            <w:gridSpan w:val="2"/>
            <w:tcBorders>
              <w:top w:val="single" w:sz="6" w:space="0" w:color="auto"/>
              <w:left w:val="single" w:sz="6" w:space="0" w:color="auto"/>
              <w:bottom w:val="single" w:sz="6" w:space="0" w:color="auto"/>
              <w:right w:val="single" w:sz="6" w:space="0" w:color="auto"/>
            </w:tcBorders>
          </w:tcPr>
          <w:p w14:paraId="6C8279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496</w:t>
            </w:r>
          </w:p>
        </w:tc>
        <w:tc>
          <w:tcPr>
            <w:tcW w:w="641" w:type="dxa"/>
            <w:gridSpan w:val="2"/>
            <w:tcBorders>
              <w:top w:val="single" w:sz="6" w:space="0" w:color="auto"/>
              <w:left w:val="single" w:sz="6" w:space="0" w:color="auto"/>
              <w:bottom w:val="single" w:sz="6" w:space="0" w:color="auto"/>
              <w:right w:val="single" w:sz="6" w:space="0" w:color="auto"/>
            </w:tcBorders>
          </w:tcPr>
          <w:p w14:paraId="647C1A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562</w:t>
            </w:r>
          </w:p>
        </w:tc>
        <w:tc>
          <w:tcPr>
            <w:tcW w:w="641" w:type="dxa"/>
            <w:gridSpan w:val="2"/>
            <w:tcBorders>
              <w:top w:val="single" w:sz="6" w:space="0" w:color="auto"/>
              <w:left w:val="single" w:sz="6" w:space="0" w:color="auto"/>
              <w:bottom w:val="single" w:sz="6" w:space="0" w:color="auto"/>
              <w:right w:val="single" w:sz="6" w:space="0" w:color="auto"/>
            </w:tcBorders>
          </w:tcPr>
          <w:p w14:paraId="07FFB2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450</w:t>
            </w:r>
          </w:p>
        </w:tc>
        <w:tc>
          <w:tcPr>
            <w:tcW w:w="641" w:type="dxa"/>
            <w:gridSpan w:val="2"/>
            <w:tcBorders>
              <w:top w:val="single" w:sz="6" w:space="0" w:color="auto"/>
              <w:left w:val="single" w:sz="6" w:space="0" w:color="auto"/>
              <w:bottom w:val="single" w:sz="6" w:space="0" w:color="auto"/>
              <w:right w:val="single" w:sz="6" w:space="0" w:color="auto"/>
            </w:tcBorders>
          </w:tcPr>
          <w:p w14:paraId="777EDD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1508</w:t>
            </w:r>
          </w:p>
        </w:tc>
        <w:tc>
          <w:tcPr>
            <w:tcW w:w="641" w:type="dxa"/>
            <w:gridSpan w:val="2"/>
            <w:tcBorders>
              <w:top w:val="single" w:sz="6" w:space="0" w:color="auto"/>
              <w:left w:val="single" w:sz="6" w:space="0" w:color="auto"/>
              <w:bottom w:val="single" w:sz="6" w:space="0" w:color="auto"/>
              <w:right w:val="single" w:sz="6" w:space="0" w:color="auto"/>
            </w:tcBorders>
          </w:tcPr>
          <w:p w14:paraId="58F2F7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199</w:t>
            </w:r>
          </w:p>
        </w:tc>
        <w:tc>
          <w:tcPr>
            <w:tcW w:w="641" w:type="dxa"/>
            <w:gridSpan w:val="2"/>
            <w:tcBorders>
              <w:top w:val="single" w:sz="6" w:space="0" w:color="auto"/>
              <w:left w:val="single" w:sz="6" w:space="0" w:color="auto"/>
              <w:bottom w:val="single" w:sz="6" w:space="0" w:color="auto"/>
              <w:right w:val="single" w:sz="6" w:space="0" w:color="auto"/>
            </w:tcBorders>
          </w:tcPr>
          <w:p w14:paraId="7C16FA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w:t>
            </w:r>
          </w:p>
        </w:tc>
        <w:tc>
          <w:tcPr>
            <w:tcW w:w="549" w:type="dxa"/>
            <w:tcBorders>
              <w:top w:val="single" w:sz="6" w:space="0" w:color="auto"/>
              <w:left w:val="single" w:sz="6" w:space="0" w:color="auto"/>
              <w:bottom w:val="single" w:sz="6" w:space="0" w:color="auto"/>
              <w:right w:val="single" w:sz="6" w:space="0" w:color="auto"/>
            </w:tcBorders>
          </w:tcPr>
          <w:p w14:paraId="18960A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27</w:t>
            </w:r>
          </w:p>
        </w:tc>
        <w:tc>
          <w:tcPr>
            <w:tcW w:w="549" w:type="dxa"/>
            <w:gridSpan w:val="2"/>
            <w:tcBorders>
              <w:top w:val="single" w:sz="6" w:space="0" w:color="auto"/>
              <w:left w:val="single" w:sz="6" w:space="0" w:color="auto"/>
              <w:bottom w:val="single" w:sz="6" w:space="0" w:color="auto"/>
              <w:right w:val="single" w:sz="6" w:space="0" w:color="auto"/>
            </w:tcBorders>
          </w:tcPr>
          <w:p w14:paraId="4F16E0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229</w:t>
            </w:r>
          </w:p>
        </w:tc>
        <w:tc>
          <w:tcPr>
            <w:tcW w:w="733" w:type="dxa"/>
            <w:gridSpan w:val="2"/>
            <w:tcBorders>
              <w:top w:val="single" w:sz="6" w:space="0" w:color="auto"/>
              <w:left w:val="single" w:sz="6" w:space="0" w:color="auto"/>
              <w:bottom w:val="single" w:sz="6" w:space="0" w:color="auto"/>
              <w:right w:val="single" w:sz="6" w:space="0" w:color="auto"/>
            </w:tcBorders>
          </w:tcPr>
          <w:p w14:paraId="3BB354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1737</w:t>
            </w:r>
          </w:p>
        </w:tc>
        <w:tc>
          <w:tcPr>
            <w:tcW w:w="1024" w:type="dxa"/>
            <w:gridSpan w:val="2"/>
            <w:tcBorders>
              <w:top w:val="single" w:sz="6" w:space="0" w:color="auto"/>
              <w:left w:val="single" w:sz="6" w:space="0" w:color="auto"/>
              <w:bottom w:val="single" w:sz="6" w:space="0" w:color="auto"/>
              <w:right w:val="single" w:sz="12" w:space="0" w:color="auto"/>
            </w:tcBorders>
          </w:tcPr>
          <w:p w14:paraId="69C17D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3100</w:t>
            </w:r>
          </w:p>
        </w:tc>
      </w:tr>
      <w:tr w:rsidR="00643896" w:rsidRPr="00640820" w14:paraId="67A84BB6" w14:textId="77777777" w:rsidTr="000D3BCB">
        <w:tc>
          <w:tcPr>
            <w:tcW w:w="917" w:type="dxa"/>
            <w:tcBorders>
              <w:top w:val="single" w:sz="6" w:space="0" w:color="auto"/>
              <w:left w:val="single" w:sz="12" w:space="0" w:color="auto"/>
              <w:bottom w:val="single" w:sz="6" w:space="0" w:color="auto"/>
              <w:right w:val="single" w:sz="6" w:space="0" w:color="auto"/>
            </w:tcBorders>
          </w:tcPr>
          <w:p w14:paraId="4A3E4A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И-153</w:t>
            </w:r>
          </w:p>
        </w:tc>
        <w:tc>
          <w:tcPr>
            <w:tcW w:w="917" w:type="dxa"/>
            <w:gridSpan w:val="2"/>
            <w:tcBorders>
              <w:top w:val="single" w:sz="6" w:space="0" w:color="auto"/>
              <w:left w:val="single" w:sz="6" w:space="0" w:color="auto"/>
              <w:bottom w:val="single" w:sz="6" w:space="0" w:color="auto"/>
              <w:right w:val="single" w:sz="6" w:space="0" w:color="auto"/>
            </w:tcBorders>
          </w:tcPr>
          <w:p w14:paraId="52CF3D6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825" w:type="dxa"/>
            <w:gridSpan w:val="2"/>
            <w:tcBorders>
              <w:top w:val="single" w:sz="6" w:space="0" w:color="auto"/>
              <w:left w:val="single" w:sz="6" w:space="0" w:color="auto"/>
              <w:bottom w:val="single" w:sz="6" w:space="0" w:color="auto"/>
              <w:right w:val="single" w:sz="6" w:space="0" w:color="auto"/>
            </w:tcBorders>
          </w:tcPr>
          <w:p w14:paraId="73725C9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05563E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41" w:type="dxa"/>
            <w:gridSpan w:val="2"/>
            <w:tcBorders>
              <w:top w:val="single" w:sz="6" w:space="0" w:color="auto"/>
              <w:left w:val="single" w:sz="6" w:space="0" w:color="auto"/>
              <w:bottom w:val="single" w:sz="6" w:space="0" w:color="auto"/>
              <w:right w:val="single" w:sz="6" w:space="0" w:color="auto"/>
            </w:tcBorders>
          </w:tcPr>
          <w:p w14:paraId="58B90D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4E56F7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795F57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599CA0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68D314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04BD95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549" w:type="dxa"/>
            <w:tcBorders>
              <w:top w:val="single" w:sz="6" w:space="0" w:color="auto"/>
              <w:left w:val="single" w:sz="6" w:space="0" w:color="auto"/>
              <w:bottom w:val="single" w:sz="6" w:space="0" w:color="auto"/>
              <w:right w:val="single" w:sz="6" w:space="0" w:color="auto"/>
            </w:tcBorders>
          </w:tcPr>
          <w:p w14:paraId="7828A1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549" w:type="dxa"/>
            <w:gridSpan w:val="2"/>
            <w:tcBorders>
              <w:top w:val="single" w:sz="6" w:space="0" w:color="auto"/>
              <w:left w:val="single" w:sz="6" w:space="0" w:color="auto"/>
              <w:bottom w:val="single" w:sz="6" w:space="0" w:color="auto"/>
              <w:right w:val="single" w:sz="6" w:space="0" w:color="auto"/>
            </w:tcBorders>
          </w:tcPr>
          <w:p w14:paraId="49BC35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33" w:type="dxa"/>
            <w:gridSpan w:val="2"/>
            <w:tcBorders>
              <w:top w:val="single" w:sz="6" w:space="0" w:color="auto"/>
              <w:left w:val="single" w:sz="6" w:space="0" w:color="auto"/>
              <w:bottom w:val="single" w:sz="6" w:space="0" w:color="auto"/>
              <w:right w:val="single" w:sz="6" w:space="0" w:color="auto"/>
            </w:tcBorders>
          </w:tcPr>
          <w:p w14:paraId="544B4D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024" w:type="dxa"/>
            <w:gridSpan w:val="2"/>
            <w:tcBorders>
              <w:top w:val="single" w:sz="6" w:space="0" w:color="auto"/>
              <w:left w:val="single" w:sz="6" w:space="0" w:color="auto"/>
              <w:bottom w:val="single" w:sz="6" w:space="0" w:color="auto"/>
              <w:right w:val="single" w:sz="12" w:space="0" w:color="auto"/>
            </w:tcBorders>
          </w:tcPr>
          <w:p w14:paraId="67DB6B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64</w:t>
            </w:r>
          </w:p>
        </w:tc>
      </w:tr>
      <w:tr w:rsidR="00643896" w:rsidRPr="00640820" w14:paraId="3A667D20" w14:textId="77777777" w:rsidTr="000D3BCB">
        <w:tc>
          <w:tcPr>
            <w:tcW w:w="917" w:type="dxa"/>
            <w:tcBorders>
              <w:top w:val="single" w:sz="6" w:space="0" w:color="auto"/>
              <w:left w:val="single" w:sz="12" w:space="0" w:color="auto"/>
              <w:bottom w:val="single" w:sz="6" w:space="0" w:color="auto"/>
              <w:right w:val="single" w:sz="6" w:space="0" w:color="auto"/>
            </w:tcBorders>
          </w:tcPr>
          <w:p w14:paraId="3E6D76B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ЛАГГ-3</w:t>
            </w:r>
          </w:p>
        </w:tc>
        <w:tc>
          <w:tcPr>
            <w:tcW w:w="917" w:type="dxa"/>
            <w:gridSpan w:val="2"/>
            <w:tcBorders>
              <w:top w:val="single" w:sz="6" w:space="0" w:color="auto"/>
              <w:left w:val="single" w:sz="6" w:space="0" w:color="auto"/>
              <w:bottom w:val="single" w:sz="6" w:space="0" w:color="auto"/>
              <w:right w:val="single" w:sz="6" w:space="0" w:color="auto"/>
            </w:tcBorders>
          </w:tcPr>
          <w:p w14:paraId="086FE5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w:t>
            </w:r>
          </w:p>
        </w:tc>
        <w:tc>
          <w:tcPr>
            <w:tcW w:w="825" w:type="dxa"/>
            <w:gridSpan w:val="2"/>
            <w:tcBorders>
              <w:top w:val="single" w:sz="6" w:space="0" w:color="auto"/>
              <w:left w:val="single" w:sz="6" w:space="0" w:color="auto"/>
              <w:bottom w:val="single" w:sz="6" w:space="0" w:color="auto"/>
              <w:right w:val="single" w:sz="6" w:space="0" w:color="auto"/>
            </w:tcBorders>
          </w:tcPr>
          <w:p w14:paraId="47CB1B9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55EDCE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41" w:type="dxa"/>
            <w:gridSpan w:val="2"/>
            <w:tcBorders>
              <w:top w:val="single" w:sz="6" w:space="0" w:color="auto"/>
              <w:left w:val="single" w:sz="6" w:space="0" w:color="auto"/>
              <w:bottom w:val="single" w:sz="6" w:space="0" w:color="auto"/>
              <w:right w:val="single" w:sz="6" w:space="0" w:color="auto"/>
            </w:tcBorders>
          </w:tcPr>
          <w:p w14:paraId="1F1E17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w:t>
            </w:r>
          </w:p>
        </w:tc>
        <w:tc>
          <w:tcPr>
            <w:tcW w:w="641" w:type="dxa"/>
            <w:gridSpan w:val="2"/>
            <w:tcBorders>
              <w:top w:val="single" w:sz="6" w:space="0" w:color="auto"/>
              <w:left w:val="single" w:sz="6" w:space="0" w:color="auto"/>
              <w:bottom w:val="single" w:sz="6" w:space="0" w:color="auto"/>
              <w:right w:val="single" w:sz="6" w:space="0" w:color="auto"/>
            </w:tcBorders>
          </w:tcPr>
          <w:p w14:paraId="607FA3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w:t>
            </w:r>
          </w:p>
        </w:tc>
        <w:tc>
          <w:tcPr>
            <w:tcW w:w="641" w:type="dxa"/>
            <w:gridSpan w:val="2"/>
            <w:tcBorders>
              <w:top w:val="single" w:sz="6" w:space="0" w:color="auto"/>
              <w:left w:val="single" w:sz="6" w:space="0" w:color="auto"/>
              <w:bottom w:val="single" w:sz="6" w:space="0" w:color="auto"/>
              <w:right w:val="single" w:sz="6" w:space="0" w:color="auto"/>
            </w:tcBorders>
          </w:tcPr>
          <w:p w14:paraId="1BA34F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641" w:type="dxa"/>
            <w:gridSpan w:val="2"/>
            <w:tcBorders>
              <w:top w:val="single" w:sz="6" w:space="0" w:color="auto"/>
              <w:left w:val="single" w:sz="6" w:space="0" w:color="auto"/>
              <w:bottom w:val="single" w:sz="6" w:space="0" w:color="auto"/>
              <w:right w:val="single" w:sz="6" w:space="0" w:color="auto"/>
            </w:tcBorders>
          </w:tcPr>
          <w:p w14:paraId="631FB3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38</w:t>
            </w:r>
          </w:p>
        </w:tc>
        <w:tc>
          <w:tcPr>
            <w:tcW w:w="641" w:type="dxa"/>
            <w:gridSpan w:val="2"/>
            <w:tcBorders>
              <w:top w:val="single" w:sz="6" w:space="0" w:color="auto"/>
              <w:left w:val="single" w:sz="6" w:space="0" w:color="auto"/>
              <w:bottom w:val="single" w:sz="6" w:space="0" w:color="auto"/>
              <w:right w:val="single" w:sz="6" w:space="0" w:color="auto"/>
            </w:tcBorders>
          </w:tcPr>
          <w:p w14:paraId="5227C2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5A5A5D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549" w:type="dxa"/>
            <w:tcBorders>
              <w:top w:val="single" w:sz="6" w:space="0" w:color="auto"/>
              <w:left w:val="single" w:sz="6" w:space="0" w:color="auto"/>
              <w:bottom w:val="single" w:sz="6" w:space="0" w:color="auto"/>
              <w:right w:val="single" w:sz="6" w:space="0" w:color="auto"/>
            </w:tcBorders>
          </w:tcPr>
          <w:p w14:paraId="57AF03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549" w:type="dxa"/>
            <w:gridSpan w:val="2"/>
            <w:tcBorders>
              <w:top w:val="single" w:sz="6" w:space="0" w:color="auto"/>
              <w:left w:val="single" w:sz="6" w:space="0" w:color="auto"/>
              <w:bottom w:val="single" w:sz="6" w:space="0" w:color="auto"/>
              <w:right w:val="single" w:sz="6" w:space="0" w:color="auto"/>
            </w:tcBorders>
          </w:tcPr>
          <w:p w14:paraId="701D5D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33" w:type="dxa"/>
            <w:gridSpan w:val="2"/>
            <w:tcBorders>
              <w:top w:val="single" w:sz="6" w:space="0" w:color="auto"/>
              <w:left w:val="single" w:sz="6" w:space="0" w:color="auto"/>
              <w:bottom w:val="single" w:sz="6" w:space="0" w:color="auto"/>
              <w:right w:val="single" w:sz="6" w:space="0" w:color="auto"/>
            </w:tcBorders>
          </w:tcPr>
          <w:p w14:paraId="31927BF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38</w:t>
            </w:r>
          </w:p>
        </w:tc>
        <w:tc>
          <w:tcPr>
            <w:tcW w:w="1024" w:type="dxa"/>
            <w:gridSpan w:val="2"/>
            <w:tcBorders>
              <w:top w:val="single" w:sz="6" w:space="0" w:color="auto"/>
              <w:left w:val="single" w:sz="6" w:space="0" w:color="auto"/>
              <w:bottom w:val="single" w:sz="6" w:space="0" w:color="auto"/>
              <w:right w:val="single" w:sz="12" w:space="0" w:color="auto"/>
            </w:tcBorders>
          </w:tcPr>
          <w:p w14:paraId="5BAA96C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65</w:t>
            </w:r>
          </w:p>
        </w:tc>
      </w:tr>
      <w:tr w:rsidR="00643896" w:rsidRPr="00640820" w14:paraId="62164B6C" w14:textId="77777777" w:rsidTr="000D3BCB">
        <w:tc>
          <w:tcPr>
            <w:tcW w:w="917" w:type="dxa"/>
            <w:tcBorders>
              <w:top w:val="single" w:sz="6" w:space="0" w:color="auto"/>
              <w:left w:val="single" w:sz="12" w:space="0" w:color="auto"/>
              <w:bottom w:val="single" w:sz="6" w:space="0" w:color="auto"/>
              <w:right w:val="single" w:sz="6" w:space="0" w:color="auto"/>
            </w:tcBorders>
          </w:tcPr>
          <w:p w14:paraId="08DAF6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И-16</w:t>
            </w:r>
          </w:p>
        </w:tc>
        <w:tc>
          <w:tcPr>
            <w:tcW w:w="917" w:type="dxa"/>
            <w:gridSpan w:val="2"/>
            <w:tcBorders>
              <w:top w:val="single" w:sz="6" w:space="0" w:color="auto"/>
              <w:left w:val="single" w:sz="6" w:space="0" w:color="auto"/>
              <w:bottom w:val="single" w:sz="6" w:space="0" w:color="auto"/>
              <w:right w:val="single" w:sz="6" w:space="0" w:color="auto"/>
            </w:tcBorders>
          </w:tcPr>
          <w:p w14:paraId="5334A6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w:t>
            </w:r>
          </w:p>
        </w:tc>
        <w:tc>
          <w:tcPr>
            <w:tcW w:w="825" w:type="dxa"/>
            <w:gridSpan w:val="2"/>
            <w:tcBorders>
              <w:top w:val="single" w:sz="6" w:space="0" w:color="auto"/>
              <w:left w:val="single" w:sz="6" w:space="0" w:color="auto"/>
              <w:bottom w:val="single" w:sz="6" w:space="0" w:color="auto"/>
              <w:right w:val="single" w:sz="6" w:space="0" w:color="auto"/>
            </w:tcBorders>
          </w:tcPr>
          <w:p w14:paraId="25D23A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0D0ADB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41" w:type="dxa"/>
            <w:gridSpan w:val="2"/>
            <w:tcBorders>
              <w:top w:val="single" w:sz="6" w:space="0" w:color="auto"/>
              <w:left w:val="single" w:sz="6" w:space="0" w:color="auto"/>
              <w:bottom w:val="single" w:sz="6" w:space="0" w:color="auto"/>
              <w:right w:val="single" w:sz="6" w:space="0" w:color="auto"/>
            </w:tcBorders>
          </w:tcPr>
          <w:p w14:paraId="749177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0BA2A0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790470B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3A6648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00FCD1B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7E05CD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549" w:type="dxa"/>
            <w:tcBorders>
              <w:top w:val="single" w:sz="6" w:space="0" w:color="auto"/>
              <w:left w:val="single" w:sz="6" w:space="0" w:color="auto"/>
              <w:bottom w:val="single" w:sz="6" w:space="0" w:color="auto"/>
              <w:right w:val="single" w:sz="6" w:space="0" w:color="auto"/>
            </w:tcBorders>
          </w:tcPr>
          <w:p w14:paraId="3FA372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549" w:type="dxa"/>
            <w:gridSpan w:val="2"/>
            <w:tcBorders>
              <w:top w:val="single" w:sz="6" w:space="0" w:color="auto"/>
              <w:left w:val="single" w:sz="6" w:space="0" w:color="auto"/>
              <w:bottom w:val="single" w:sz="6" w:space="0" w:color="auto"/>
              <w:right w:val="single" w:sz="6" w:space="0" w:color="auto"/>
            </w:tcBorders>
          </w:tcPr>
          <w:p w14:paraId="7C6B78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33" w:type="dxa"/>
            <w:gridSpan w:val="2"/>
            <w:tcBorders>
              <w:top w:val="single" w:sz="6" w:space="0" w:color="auto"/>
              <w:left w:val="single" w:sz="6" w:space="0" w:color="auto"/>
              <w:bottom w:val="single" w:sz="6" w:space="0" w:color="auto"/>
              <w:right w:val="single" w:sz="6" w:space="0" w:color="auto"/>
            </w:tcBorders>
          </w:tcPr>
          <w:p w14:paraId="420174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024" w:type="dxa"/>
            <w:gridSpan w:val="2"/>
            <w:tcBorders>
              <w:top w:val="single" w:sz="6" w:space="0" w:color="auto"/>
              <w:left w:val="single" w:sz="6" w:space="0" w:color="auto"/>
              <w:bottom w:val="single" w:sz="6" w:space="0" w:color="auto"/>
              <w:right w:val="single" w:sz="12" w:space="0" w:color="auto"/>
            </w:tcBorders>
          </w:tcPr>
          <w:p w14:paraId="4CD352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80</w:t>
            </w:r>
          </w:p>
        </w:tc>
      </w:tr>
      <w:tr w:rsidR="00643896" w:rsidRPr="00640820" w14:paraId="14FB9F5D" w14:textId="77777777" w:rsidTr="000D3BCB">
        <w:tc>
          <w:tcPr>
            <w:tcW w:w="917" w:type="dxa"/>
            <w:tcBorders>
              <w:top w:val="single" w:sz="6" w:space="0" w:color="auto"/>
              <w:left w:val="single" w:sz="12" w:space="0" w:color="auto"/>
              <w:bottom w:val="single" w:sz="6" w:space="0" w:color="auto"/>
              <w:right w:val="single" w:sz="6" w:space="0" w:color="auto"/>
            </w:tcBorders>
          </w:tcPr>
          <w:p w14:paraId="0C5853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ЛАГГ-3</w:t>
            </w:r>
          </w:p>
        </w:tc>
        <w:tc>
          <w:tcPr>
            <w:tcW w:w="917" w:type="dxa"/>
            <w:gridSpan w:val="2"/>
            <w:tcBorders>
              <w:top w:val="single" w:sz="6" w:space="0" w:color="auto"/>
              <w:left w:val="single" w:sz="6" w:space="0" w:color="auto"/>
              <w:bottom w:val="single" w:sz="6" w:space="0" w:color="auto"/>
              <w:right w:val="single" w:sz="6" w:space="0" w:color="auto"/>
            </w:tcBorders>
          </w:tcPr>
          <w:p w14:paraId="33757F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31</w:t>
            </w:r>
          </w:p>
        </w:tc>
        <w:tc>
          <w:tcPr>
            <w:tcW w:w="825" w:type="dxa"/>
            <w:gridSpan w:val="2"/>
            <w:tcBorders>
              <w:top w:val="single" w:sz="6" w:space="0" w:color="auto"/>
              <w:left w:val="single" w:sz="6" w:space="0" w:color="auto"/>
              <w:bottom w:val="single" w:sz="6" w:space="0" w:color="auto"/>
              <w:right w:val="single" w:sz="6" w:space="0" w:color="auto"/>
            </w:tcBorders>
          </w:tcPr>
          <w:p w14:paraId="3DB08E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396439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41" w:type="dxa"/>
            <w:gridSpan w:val="2"/>
            <w:tcBorders>
              <w:top w:val="single" w:sz="6" w:space="0" w:color="auto"/>
              <w:left w:val="single" w:sz="6" w:space="0" w:color="auto"/>
              <w:bottom w:val="single" w:sz="6" w:space="0" w:color="auto"/>
              <w:right w:val="single" w:sz="6" w:space="0" w:color="auto"/>
            </w:tcBorders>
          </w:tcPr>
          <w:p w14:paraId="55019F1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44</w:t>
            </w:r>
          </w:p>
        </w:tc>
        <w:tc>
          <w:tcPr>
            <w:tcW w:w="641" w:type="dxa"/>
            <w:gridSpan w:val="2"/>
            <w:tcBorders>
              <w:top w:val="single" w:sz="6" w:space="0" w:color="auto"/>
              <w:left w:val="single" w:sz="6" w:space="0" w:color="auto"/>
              <w:bottom w:val="single" w:sz="6" w:space="0" w:color="auto"/>
              <w:right w:val="single" w:sz="6" w:space="0" w:color="auto"/>
            </w:tcBorders>
          </w:tcPr>
          <w:p w14:paraId="3A40CA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130</w:t>
            </w:r>
          </w:p>
        </w:tc>
        <w:tc>
          <w:tcPr>
            <w:tcW w:w="641" w:type="dxa"/>
            <w:gridSpan w:val="2"/>
            <w:tcBorders>
              <w:top w:val="single" w:sz="6" w:space="0" w:color="auto"/>
              <w:left w:val="single" w:sz="6" w:space="0" w:color="auto"/>
              <w:bottom w:val="single" w:sz="6" w:space="0" w:color="auto"/>
              <w:right w:val="single" w:sz="6" w:space="0" w:color="auto"/>
            </w:tcBorders>
          </w:tcPr>
          <w:p w14:paraId="62B618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165</w:t>
            </w:r>
          </w:p>
        </w:tc>
        <w:tc>
          <w:tcPr>
            <w:tcW w:w="641" w:type="dxa"/>
            <w:gridSpan w:val="2"/>
            <w:tcBorders>
              <w:top w:val="single" w:sz="6" w:space="0" w:color="auto"/>
              <w:left w:val="single" w:sz="6" w:space="0" w:color="auto"/>
              <w:bottom w:val="single" w:sz="6" w:space="0" w:color="auto"/>
              <w:right w:val="single" w:sz="6" w:space="0" w:color="auto"/>
            </w:tcBorders>
          </w:tcPr>
          <w:p w14:paraId="7EDC92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339</w:t>
            </w:r>
          </w:p>
        </w:tc>
        <w:tc>
          <w:tcPr>
            <w:tcW w:w="641" w:type="dxa"/>
            <w:gridSpan w:val="2"/>
            <w:tcBorders>
              <w:top w:val="single" w:sz="6" w:space="0" w:color="auto"/>
              <w:left w:val="single" w:sz="6" w:space="0" w:color="auto"/>
              <w:bottom w:val="single" w:sz="6" w:space="0" w:color="auto"/>
              <w:right w:val="single" w:sz="6" w:space="0" w:color="auto"/>
            </w:tcBorders>
          </w:tcPr>
          <w:p w14:paraId="6EF62E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26</w:t>
            </w:r>
          </w:p>
        </w:tc>
        <w:tc>
          <w:tcPr>
            <w:tcW w:w="641" w:type="dxa"/>
            <w:gridSpan w:val="2"/>
            <w:tcBorders>
              <w:top w:val="single" w:sz="6" w:space="0" w:color="auto"/>
              <w:left w:val="single" w:sz="6" w:space="0" w:color="auto"/>
              <w:bottom w:val="single" w:sz="6" w:space="0" w:color="auto"/>
              <w:right w:val="single" w:sz="6" w:space="0" w:color="auto"/>
            </w:tcBorders>
          </w:tcPr>
          <w:p w14:paraId="75706B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w:t>
            </w:r>
          </w:p>
        </w:tc>
        <w:tc>
          <w:tcPr>
            <w:tcW w:w="549" w:type="dxa"/>
            <w:tcBorders>
              <w:top w:val="single" w:sz="6" w:space="0" w:color="auto"/>
              <w:left w:val="single" w:sz="6" w:space="0" w:color="auto"/>
              <w:bottom w:val="single" w:sz="6" w:space="0" w:color="auto"/>
              <w:right w:val="single" w:sz="6" w:space="0" w:color="auto"/>
            </w:tcBorders>
          </w:tcPr>
          <w:p w14:paraId="74D686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w:t>
            </w:r>
          </w:p>
        </w:tc>
        <w:tc>
          <w:tcPr>
            <w:tcW w:w="549" w:type="dxa"/>
            <w:gridSpan w:val="2"/>
            <w:tcBorders>
              <w:top w:val="single" w:sz="6" w:space="0" w:color="auto"/>
              <w:left w:val="single" w:sz="6" w:space="0" w:color="auto"/>
              <w:bottom w:val="single" w:sz="6" w:space="0" w:color="auto"/>
              <w:right w:val="single" w:sz="6" w:space="0" w:color="auto"/>
            </w:tcBorders>
          </w:tcPr>
          <w:p w14:paraId="64F1A1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46</w:t>
            </w:r>
          </w:p>
        </w:tc>
        <w:tc>
          <w:tcPr>
            <w:tcW w:w="733" w:type="dxa"/>
            <w:gridSpan w:val="2"/>
            <w:tcBorders>
              <w:top w:val="single" w:sz="6" w:space="0" w:color="auto"/>
              <w:left w:val="single" w:sz="6" w:space="0" w:color="auto"/>
              <w:bottom w:val="single" w:sz="6" w:space="0" w:color="auto"/>
              <w:right w:val="single" w:sz="6" w:space="0" w:color="auto"/>
            </w:tcBorders>
          </w:tcPr>
          <w:p w14:paraId="24C417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385</w:t>
            </w:r>
          </w:p>
        </w:tc>
        <w:tc>
          <w:tcPr>
            <w:tcW w:w="1024" w:type="dxa"/>
            <w:gridSpan w:val="2"/>
            <w:tcBorders>
              <w:top w:val="single" w:sz="6" w:space="0" w:color="auto"/>
              <w:left w:val="single" w:sz="6" w:space="0" w:color="auto"/>
              <w:bottom w:val="single" w:sz="6" w:space="0" w:color="auto"/>
              <w:right w:val="single" w:sz="12" w:space="0" w:color="auto"/>
            </w:tcBorders>
          </w:tcPr>
          <w:p w14:paraId="11CA32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474</w:t>
            </w:r>
          </w:p>
        </w:tc>
      </w:tr>
      <w:tr w:rsidR="00643896" w:rsidRPr="00640820" w14:paraId="6D2D88D2" w14:textId="77777777" w:rsidTr="000D3BCB">
        <w:tc>
          <w:tcPr>
            <w:tcW w:w="917" w:type="dxa"/>
            <w:tcBorders>
              <w:top w:val="single" w:sz="6" w:space="0" w:color="auto"/>
              <w:left w:val="single" w:sz="12" w:space="0" w:color="auto"/>
              <w:bottom w:val="single" w:sz="6" w:space="0" w:color="auto"/>
              <w:right w:val="single" w:sz="6" w:space="0" w:color="auto"/>
            </w:tcBorders>
          </w:tcPr>
          <w:p w14:paraId="141D6A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ЯК-1</w:t>
            </w:r>
          </w:p>
        </w:tc>
        <w:tc>
          <w:tcPr>
            <w:tcW w:w="917" w:type="dxa"/>
            <w:gridSpan w:val="2"/>
            <w:tcBorders>
              <w:top w:val="single" w:sz="6" w:space="0" w:color="auto"/>
              <w:left w:val="single" w:sz="6" w:space="0" w:color="auto"/>
              <w:bottom w:val="single" w:sz="6" w:space="0" w:color="auto"/>
              <w:right w:val="single" w:sz="6" w:space="0" w:color="auto"/>
            </w:tcBorders>
          </w:tcPr>
          <w:p w14:paraId="478702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292</w:t>
            </w:r>
          </w:p>
        </w:tc>
        <w:tc>
          <w:tcPr>
            <w:tcW w:w="825" w:type="dxa"/>
            <w:gridSpan w:val="2"/>
            <w:tcBorders>
              <w:top w:val="single" w:sz="6" w:space="0" w:color="auto"/>
              <w:left w:val="single" w:sz="6" w:space="0" w:color="auto"/>
              <w:bottom w:val="single" w:sz="6" w:space="0" w:color="auto"/>
              <w:right w:val="single" w:sz="6" w:space="0" w:color="auto"/>
            </w:tcBorders>
          </w:tcPr>
          <w:p w14:paraId="21870E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5542CE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41" w:type="dxa"/>
            <w:gridSpan w:val="2"/>
            <w:tcBorders>
              <w:top w:val="single" w:sz="6" w:space="0" w:color="auto"/>
              <w:left w:val="single" w:sz="6" w:space="0" w:color="auto"/>
              <w:bottom w:val="single" w:sz="6" w:space="0" w:color="auto"/>
              <w:right w:val="single" w:sz="6" w:space="0" w:color="auto"/>
            </w:tcBorders>
          </w:tcPr>
          <w:p w14:paraId="7EE805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135</w:t>
            </w:r>
          </w:p>
        </w:tc>
        <w:tc>
          <w:tcPr>
            <w:tcW w:w="641" w:type="dxa"/>
            <w:gridSpan w:val="2"/>
            <w:tcBorders>
              <w:top w:val="single" w:sz="6" w:space="0" w:color="auto"/>
              <w:left w:val="single" w:sz="6" w:space="0" w:color="auto"/>
              <w:bottom w:val="single" w:sz="6" w:space="0" w:color="auto"/>
              <w:right w:val="single" w:sz="6" w:space="0" w:color="auto"/>
            </w:tcBorders>
          </w:tcPr>
          <w:p w14:paraId="262F34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150</w:t>
            </w:r>
          </w:p>
        </w:tc>
        <w:tc>
          <w:tcPr>
            <w:tcW w:w="641" w:type="dxa"/>
            <w:gridSpan w:val="2"/>
            <w:tcBorders>
              <w:top w:val="single" w:sz="6" w:space="0" w:color="auto"/>
              <w:left w:val="single" w:sz="6" w:space="0" w:color="auto"/>
              <w:bottom w:val="single" w:sz="6" w:space="0" w:color="auto"/>
              <w:right w:val="single" w:sz="6" w:space="0" w:color="auto"/>
            </w:tcBorders>
          </w:tcPr>
          <w:p w14:paraId="7C0CBD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168</w:t>
            </w:r>
          </w:p>
        </w:tc>
        <w:tc>
          <w:tcPr>
            <w:tcW w:w="641" w:type="dxa"/>
            <w:gridSpan w:val="2"/>
            <w:tcBorders>
              <w:top w:val="single" w:sz="6" w:space="0" w:color="auto"/>
              <w:left w:val="single" w:sz="6" w:space="0" w:color="auto"/>
              <w:bottom w:val="single" w:sz="6" w:space="0" w:color="auto"/>
              <w:right w:val="single" w:sz="6" w:space="0" w:color="auto"/>
            </w:tcBorders>
          </w:tcPr>
          <w:p w14:paraId="0FC944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453</w:t>
            </w:r>
          </w:p>
        </w:tc>
        <w:tc>
          <w:tcPr>
            <w:tcW w:w="641" w:type="dxa"/>
            <w:gridSpan w:val="2"/>
            <w:tcBorders>
              <w:top w:val="single" w:sz="6" w:space="0" w:color="auto"/>
              <w:left w:val="single" w:sz="6" w:space="0" w:color="auto"/>
              <w:bottom w:val="single" w:sz="6" w:space="0" w:color="auto"/>
              <w:right w:val="single" w:sz="6" w:space="0" w:color="auto"/>
            </w:tcBorders>
          </w:tcPr>
          <w:p w14:paraId="375765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185</w:t>
            </w:r>
          </w:p>
        </w:tc>
        <w:tc>
          <w:tcPr>
            <w:tcW w:w="641" w:type="dxa"/>
            <w:gridSpan w:val="2"/>
            <w:tcBorders>
              <w:top w:val="single" w:sz="6" w:space="0" w:color="auto"/>
              <w:left w:val="single" w:sz="6" w:space="0" w:color="auto"/>
              <w:bottom w:val="single" w:sz="6" w:space="0" w:color="auto"/>
              <w:right w:val="single" w:sz="6" w:space="0" w:color="auto"/>
            </w:tcBorders>
          </w:tcPr>
          <w:p w14:paraId="2ED749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104</w:t>
            </w:r>
          </w:p>
        </w:tc>
        <w:tc>
          <w:tcPr>
            <w:tcW w:w="549" w:type="dxa"/>
            <w:tcBorders>
              <w:top w:val="single" w:sz="6" w:space="0" w:color="auto"/>
              <w:left w:val="single" w:sz="6" w:space="0" w:color="auto"/>
              <w:bottom w:val="single" w:sz="6" w:space="0" w:color="auto"/>
              <w:right w:val="single" w:sz="6" w:space="0" w:color="auto"/>
            </w:tcBorders>
          </w:tcPr>
          <w:p w14:paraId="1434CC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152</w:t>
            </w:r>
          </w:p>
        </w:tc>
        <w:tc>
          <w:tcPr>
            <w:tcW w:w="549" w:type="dxa"/>
            <w:gridSpan w:val="2"/>
            <w:tcBorders>
              <w:top w:val="single" w:sz="6" w:space="0" w:color="auto"/>
              <w:left w:val="single" w:sz="6" w:space="0" w:color="auto"/>
              <w:bottom w:val="single" w:sz="6" w:space="0" w:color="auto"/>
              <w:right w:val="single" w:sz="6" w:space="0" w:color="auto"/>
            </w:tcBorders>
          </w:tcPr>
          <w:p w14:paraId="4883DF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441</w:t>
            </w:r>
          </w:p>
        </w:tc>
        <w:tc>
          <w:tcPr>
            <w:tcW w:w="733" w:type="dxa"/>
            <w:gridSpan w:val="2"/>
            <w:tcBorders>
              <w:top w:val="single" w:sz="6" w:space="0" w:color="auto"/>
              <w:left w:val="single" w:sz="6" w:space="0" w:color="auto"/>
              <w:bottom w:val="single" w:sz="6" w:space="0" w:color="auto"/>
              <w:right w:val="single" w:sz="6" w:space="0" w:color="auto"/>
            </w:tcBorders>
          </w:tcPr>
          <w:p w14:paraId="061DD7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894</w:t>
            </w:r>
          </w:p>
        </w:tc>
        <w:tc>
          <w:tcPr>
            <w:tcW w:w="1024" w:type="dxa"/>
            <w:gridSpan w:val="2"/>
            <w:tcBorders>
              <w:top w:val="single" w:sz="6" w:space="0" w:color="auto"/>
              <w:left w:val="single" w:sz="6" w:space="0" w:color="auto"/>
              <w:bottom w:val="single" w:sz="6" w:space="0" w:color="auto"/>
              <w:right w:val="single" w:sz="12" w:space="0" w:color="auto"/>
            </w:tcBorders>
          </w:tcPr>
          <w:p w14:paraId="41E79A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1212</w:t>
            </w:r>
          </w:p>
        </w:tc>
      </w:tr>
      <w:tr w:rsidR="00643896" w:rsidRPr="00640820" w14:paraId="337F9673" w14:textId="77777777" w:rsidTr="000D3BCB">
        <w:tc>
          <w:tcPr>
            <w:tcW w:w="917" w:type="dxa"/>
            <w:tcBorders>
              <w:top w:val="single" w:sz="6" w:space="0" w:color="auto"/>
              <w:left w:val="single" w:sz="12" w:space="0" w:color="auto"/>
              <w:bottom w:val="single" w:sz="6" w:space="0" w:color="auto"/>
              <w:right w:val="single" w:sz="6" w:space="0" w:color="auto"/>
            </w:tcBorders>
          </w:tcPr>
          <w:p w14:paraId="06E6CD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ЯК-1</w:t>
            </w:r>
          </w:p>
        </w:tc>
        <w:tc>
          <w:tcPr>
            <w:tcW w:w="917" w:type="dxa"/>
            <w:gridSpan w:val="2"/>
            <w:tcBorders>
              <w:top w:val="single" w:sz="6" w:space="0" w:color="auto"/>
              <w:left w:val="single" w:sz="6" w:space="0" w:color="auto"/>
              <w:bottom w:val="single" w:sz="6" w:space="0" w:color="auto"/>
              <w:right w:val="single" w:sz="6" w:space="0" w:color="auto"/>
            </w:tcBorders>
          </w:tcPr>
          <w:p w14:paraId="5F6214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301</w:t>
            </w:r>
          </w:p>
        </w:tc>
        <w:tc>
          <w:tcPr>
            <w:tcW w:w="825" w:type="dxa"/>
            <w:gridSpan w:val="2"/>
            <w:tcBorders>
              <w:top w:val="single" w:sz="6" w:space="0" w:color="auto"/>
              <w:left w:val="single" w:sz="6" w:space="0" w:color="auto"/>
              <w:bottom w:val="single" w:sz="6" w:space="0" w:color="auto"/>
              <w:right w:val="single" w:sz="6" w:space="0" w:color="auto"/>
            </w:tcBorders>
          </w:tcPr>
          <w:p w14:paraId="50B65B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7EE82A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41" w:type="dxa"/>
            <w:gridSpan w:val="2"/>
            <w:tcBorders>
              <w:top w:val="single" w:sz="6" w:space="0" w:color="auto"/>
              <w:left w:val="single" w:sz="6" w:space="0" w:color="auto"/>
              <w:bottom w:val="single" w:sz="6" w:space="0" w:color="auto"/>
              <w:right w:val="single" w:sz="6" w:space="0" w:color="auto"/>
            </w:tcBorders>
          </w:tcPr>
          <w:p w14:paraId="2BADC0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43BDAC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5E8FED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31</w:t>
            </w:r>
          </w:p>
        </w:tc>
        <w:tc>
          <w:tcPr>
            <w:tcW w:w="641" w:type="dxa"/>
            <w:gridSpan w:val="2"/>
            <w:tcBorders>
              <w:top w:val="single" w:sz="6" w:space="0" w:color="auto"/>
              <w:left w:val="single" w:sz="6" w:space="0" w:color="auto"/>
              <w:bottom w:val="single" w:sz="6" w:space="0" w:color="auto"/>
              <w:right w:val="single" w:sz="6" w:space="0" w:color="auto"/>
            </w:tcBorders>
          </w:tcPr>
          <w:p w14:paraId="528A3A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31</w:t>
            </w:r>
          </w:p>
        </w:tc>
        <w:tc>
          <w:tcPr>
            <w:tcW w:w="641" w:type="dxa"/>
            <w:gridSpan w:val="2"/>
            <w:tcBorders>
              <w:top w:val="single" w:sz="6" w:space="0" w:color="auto"/>
              <w:left w:val="single" w:sz="6" w:space="0" w:color="auto"/>
              <w:bottom w:val="single" w:sz="6" w:space="0" w:color="auto"/>
              <w:right w:val="single" w:sz="6" w:space="0" w:color="auto"/>
            </w:tcBorders>
          </w:tcPr>
          <w:p w14:paraId="1BED5D3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w:t>
            </w:r>
          </w:p>
        </w:tc>
        <w:tc>
          <w:tcPr>
            <w:tcW w:w="641" w:type="dxa"/>
            <w:gridSpan w:val="2"/>
            <w:tcBorders>
              <w:top w:val="single" w:sz="6" w:space="0" w:color="auto"/>
              <w:left w:val="single" w:sz="6" w:space="0" w:color="auto"/>
              <w:bottom w:val="single" w:sz="6" w:space="0" w:color="auto"/>
              <w:right w:val="single" w:sz="6" w:space="0" w:color="auto"/>
            </w:tcBorders>
          </w:tcPr>
          <w:p w14:paraId="7C1E14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549" w:type="dxa"/>
            <w:tcBorders>
              <w:top w:val="single" w:sz="6" w:space="0" w:color="auto"/>
              <w:left w:val="single" w:sz="6" w:space="0" w:color="auto"/>
              <w:bottom w:val="single" w:sz="6" w:space="0" w:color="auto"/>
              <w:right w:val="single" w:sz="6" w:space="0" w:color="auto"/>
            </w:tcBorders>
          </w:tcPr>
          <w:p w14:paraId="29174F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549" w:type="dxa"/>
            <w:gridSpan w:val="2"/>
            <w:tcBorders>
              <w:top w:val="single" w:sz="6" w:space="0" w:color="auto"/>
              <w:left w:val="single" w:sz="6" w:space="0" w:color="auto"/>
              <w:bottom w:val="single" w:sz="6" w:space="0" w:color="auto"/>
              <w:right w:val="single" w:sz="6" w:space="0" w:color="auto"/>
            </w:tcBorders>
          </w:tcPr>
          <w:p w14:paraId="7E62FF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w:t>
            </w:r>
          </w:p>
        </w:tc>
        <w:tc>
          <w:tcPr>
            <w:tcW w:w="733" w:type="dxa"/>
            <w:gridSpan w:val="2"/>
            <w:tcBorders>
              <w:top w:val="single" w:sz="6" w:space="0" w:color="auto"/>
              <w:left w:val="single" w:sz="6" w:space="0" w:color="auto"/>
              <w:bottom w:val="single" w:sz="6" w:space="0" w:color="auto"/>
              <w:right w:val="single" w:sz="6" w:space="0" w:color="auto"/>
            </w:tcBorders>
          </w:tcPr>
          <w:p w14:paraId="36FC7C9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52</w:t>
            </w:r>
          </w:p>
        </w:tc>
        <w:tc>
          <w:tcPr>
            <w:tcW w:w="1024" w:type="dxa"/>
            <w:gridSpan w:val="2"/>
            <w:tcBorders>
              <w:top w:val="single" w:sz="6" w:space="0" w:color="auto"/>
              <w:left w:val="single" w:sz="6" w:space="0" w:color="auto"/>
              <w:bottom w:val="single" w:sz="6" w:space="0" w:color="auto"/>
              <w:right w:val="single" w:sz="12" w:space="0" w:color="auto"/>
            </w:tcBorders>
          </w:tcPr>
          <w:p w14:paraId="0F43B4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121</w:t>
            </w:r>
          </w:p>
        </w:tc>
      </w:tr>
      <w:tr w:rsidR="00643896" w:rsidRPr="00640820" w14:paraId="11FCDAA4" w14:textId="77777777" w:rsidTr="000D3BCB">
        <w:tc>
          <w:tcPr>
            <w:tcW w:w="917" w:type="dxa"/>
            <w:tcBorders>
              <w:top w:val="single" w:sz="6" w:space="0" w:color="auto"/>
              <w:left w:val="single" w:sz="12" w:space="0" w:color="auto"/>
              <w:bottom w:val="single" w:sz="6" w:space="0" w:color="auto"/>
              <w:right w:val="single" w:sz="6" w:space="0" w:color="auto"/>
            </w:tcBorders>
          </w:tcPr>
          <w:p w14:paraId="40BB8A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И-16</w:t>
            </w:r>
          </w:p>
        </w:tc>
        <w:tc>
          <w:tcPr>
            <w:tcW w:w="917" w:type="dxa"/>
            <w:gridSpan w:val="2"/>
            <w:tcBorders>
              <w:top w:val="single" w:sz="6" w:space="0" w:color="auto"/>
              <w:left w:val="single" w:sz="6" w:space="0" w:color="auto"/>
              <w:bottom w:val="single" w:sz="6" w:space="0" w:color="auto"/>
              <w:right w:val="single" w:sz="6" w:space="0" w:color="auto"/>
            </w:tcBorders>
          </w:tcPr>
          <w:p w14:paraId="75C7B5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153</w:t>
            </w:r>
          </w:p>
        </w:tc>
        <w:tc>
          <w:tcPr>
            <w:tcW w:w="825" w:type="dxa"/>
            <w:gridSpan w:val="2"/>
            <w:tcBorders>
              <w:top w:val="single" w:sz="6" w:space="0" w:color="auto"/>
              <w:left w:val="single" w:sz="6" w:space="0" w:color="auto"/>
              <w:bottom w:val="single" w:sz="6" w:space="0" w:color="auto"/>
              <w:right w:val="single" w:sz="6" w:space="0" w:color="auto"/>
            </w:tcBorders>
          </w:tcPr>
          <w:p w14:paraId="09844A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333795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41" w:type="dxa"/>
            <w:gridSpan w:val="2"/>
            <w:tcBorders>
              <w:top w:val="single" w:sz="6" w:space="0" w:color="auto"/>
              <w:left w:val="single" w:sz="6" w:space="0" w:color="auto"/>
              <w:bottom w:val="single" w:sz="6" w:space="0" w:color="auto"/>
              <w:right w:val="single" w:sz="6" w:space="0" w:color="auto"/>
            </w:tcBorders>
          </w:tcPr>
          <w:p w14:paraId="767BFF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0DF3393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46E690B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164B0D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5858AB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5CB6091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549" w:type="dxa"/>
            <w:tcBorders>
              <w:top w:val="single" w:sz="6" w:space="0" w:color="auto"/>
              <w:left w:val="single" w:sz="6" w:space="0" w:color="auto"/>
              <w:bottom w:val="single" w:sz="6" w:space="0" w:color="auto"/>
              <w:right w:val="single" w:sz="6" w:space="0" w:color="auto"/>
            </w:tcBorders>
          </w:tcPr>
          <w:p w14:paraId="4E874E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549" w:type="dxa"/>
            <w:gridSpan w:val="2"/>
            <w:tcBorders>
              <w:top w:val="single" w:sz="6" w:space="0" w:color="auto"/>
              <w:left w:val="single" w:sz="6" w:space="0" w:color="auto"/>
              <w:bottom w:val="single" w:sz="6" w:space="0" w:color="auto"/>
              <w:right w:val="single" w:sz="6" w:space="0" w:color="auto"/>
            </w:tcBorders>
          </w:tcPr>
          <w:p w14:paraId="37D030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33" w:type="dxa"/>
            <w:gridSpan w:val="2"/>
            <w:tcBorders>
              <w:top w:val="single" w:sz="6" w:space="0" w:color="auto"/>
              <w:left w:val="single" w:sz="6" w:space="0" w:color="auto"/>
              <w:bottom w:val="single" w:sz="6" w:space="0" w:color="auto"/>
              <w:right w:val="single" w:sz="6" w:space="0" w:color="auto"/>
            </w:tcBorders>
          </w:tcPr>
          <w:p w14:paraId="48DFAC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024" w:type="dxa"/>
            <w:gridSpan w:val="2"/>
            <w:tcBorders>
              <w:top w:val="single" w:sz="6" w:space="0" w:color="auto"/>
              <w:left w:val="single" w:sz="6" w:space="0" w:color="auto"/>
              <w:bottom w:val="single" w:sz="6" w:space="0" w:color="auto"/>
              <w:right w:val="single" w:sz="12" w:space="0" w:color="auto"/>
            </w:tcBorders>
          </w:tcPr>
          <w:p w14:paraId="47F80C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w:t>
            </w:r>
          </w:p>
        </w:tc>
      </w:tr>
      <w:tr w:rsidR="00643896" w:rsidRPr="00640820" w14:paraId="1321AFB6" w14:textId="77777777" w:rsidTr="000D3BCB">
        <w:tc>
          <w:tcPr>
            <w:tcW w:w="917" w:type="dxa"/>
            <w:tcBorders>
              <w:top w:val="single" w:sz="6" w:space="0" w:color="auto"/>
              <w:left w:val="single" w:sz="12" w:space="0" w:color="auto"/>
              <w:bottom w:val="single" w:sz="6" w:space="0" w:color="auto"/>
              <w:right w:val="single" w:sz="6" w:space="0" w:color="auto"/>
            </w:tcBorders>
          </w:tcPr>
          <w:p w14:paraId="2C5C71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ЛАГГ-3</w:t>
            </w:r>
          </w:p>
        </w:tc>
        <w:tc>
          <w:tcPr>
            <w:tcW w:w="917" w:type="dxa"/>
            <w:gridSpan w:val="2"/>
            <w:tcBorders>
              <w:top w:val="single" w:sz="6" w:space="0" w:color="auto"/>
              <w:left w:val="single" w:sz="6" w:space="0" w:color="auto"/>
              <w:bottom w:val="single" w:sz="6" w:space="0" w:color="auto"/>
              <w:right w:val="single" w:sz="6" w:space="0" w:color="auto"/>
            </w:tcBorders>
          </w:tcPr>
          <w:p w14:paraId="718BCC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153</w:t>
            </w:r>
          </w:p>
        </w:tc>
        <w:tc>
          <w:tcPr>
            <w:tcW w:w="825" w:type="dxa"/>
            <w:gridSpan w:val="2"/>
            <w:tcBorders>
              <w:top w:val="single" w:sz="6" w:space="0" w:color="auto"/>
              <w:left w:val="single" w:sz="6" w:space="0" w:color="auto"/>
              <w:bottom w:val="single" w:sz="6" w:space="0" w:color="auto"/>
              <w:right w:val="single" w:sz="6" w:space="0" w:color="auto"/>
            </w:tcBorders>
          </w:tcPr>
          <w:p w14:paraId="1B1FA3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27C6C5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41" w:type="dxa"/>
            <w:gridSpan w:val="2"/>
            <w:tcBorders>
              <w:top w:val="single" w:sz="6" w:space="0" w:color="auto"/>
              <w:left w:val="single" w:sz="6" w:space="0" w:color="auto"/>
              <w:bottom w:val="single" w:sz="6" w:space="0" w:color="auto"/>
              <w:right w:val="single" w:sz="6" w:space="0" w:color="auto"/>
            </w:tcBorders>
          </w:tcPr>
          <w:p w14:paraId="0F9D98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w:t>
            </w:r>
          </w:p>
        </w:tc>
        <w:tc>
          <w:tcPr>
            <w:tcW w:w="641" w:type="dxa"/>
            <w:gridSpan w:val="2"/>
            <w:tcBorders>
              <w:top w:val="single" w:sz="6" w:space="0" w:color="auto"/>
              <w:left w:val="single" w:sz="6" w:space="0" w:color="auto"/>
              <w:bottom w:val="single" w:sz="6" w:space="0" w:color="auto"/>
              <w:right w:val="single" w:sz="6" w:space="0" w:color="auto"/>
            </w:tcBorders>
          </w:tcPr>
          <w:p w14:paraId="2BFC4EA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27</w:t>
            </w:r>
          </w:p>
        </w:tc>
        <w:tc>
          <w:tcPr>
            <w:tcW w:w="641" w:type="dxa"/>
            <w:gridSpan w:val="2"/>
            <w:tcBorders>
              <w:top w:val="single" w:sz="6" w:space="0" w:color="auto"/>
              <w:left w:val="single" w:sz="6" w:space="0" w:color="auto"/>
              <w:bottom w:val="single" w:sz="6" w:space="0" w:color="auto"/>
              <w:right w:val="single" w:sz="6" w:space="0" w:color="auto"/>
            </w:tcBorders>
          </w:tcPr>
          <w:p w14:paraId="09618C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w:t>
            </w:r>
          </w:p>
        </w:tc>
        <w:tc>
          <w:tcPr>
            <w:tcW w:w="641" w:type="dxa"/>
            <w:gridSpan w:val="2"/>
            <w:tcBorders>
              <w:top w:val="single" w:sz="6" w:space="0" w:color="auto"/>
              <w:left w:val="single" w:sz="6" w:space="0" w:color="auto"/>
              <w:bottom w:val="single" w:sz="6" w:space="0" w:color="auto"/>
              <w:right w:val="single" w:sz="6" w:space="0" w:color="auto"/>
            </w:tcBorders>
          </w:tcPr>
          <w:p w14:paraId="7E51F0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51</w:t>
            </w:r>
          </w:p>
        </w:tc>
        <w:tc>
          <w:tcPr>
            <w:tcW w:w="641" w:type="dxa"/>
            <w:gridSpan w:val="2"/>
            <w:tcBorders>
              <w:top w:val="single" w:sz="6" w:space="0" w:color="auto"/>
              <w:left w:val="single" w:sz="6" w:space="0" w:color="auto"/>
              <w:bottom w:val="single" w:sz="6" w:space="0" w:color="auto"/>
              <w:right w:val="single" w:sz="6" w:space="0" w:color="auto"/>
            </w:tcBorders>
          </w:tcPr>
          <w:p w14:paraId="2887F5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63</w:t>
            </w:r>
          </w:p>
        </w:tc>
        <w:tc>
          <w:tcPr>
            <w:tcW w:w="641" w:type="dxa"/>
            <w:gridSpan w:val="2"/>
            <w:tcBorders>
              <w:top w:val="single" w:sz="6" w:space="0" w:color="auto"/>
              <w:left w:val="single" w:sz="6" w:space="0" w:color="auto"/>
              <w:bottom w:val="single" w:sz="6" w:space="0" w:color="auto"/>
              <w:right w:val="single" w:sz="6" w:space="0" w:color="auto"/>
            </w:tcBorders>
          </w:tcPr>
          <w:p w14:paraId="02D85F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54</w:t>
            </w:r>
          </w:p>
        </w:tc>
        <w:tc>
          <w:tcPr>
            <w:tcW w:w="549" w:type="dxa"/>
            <w:tcBorders>
              <w:top w:val="single" w:sz="6" w:space="0" w:color="auto"/>
              <w:left w:val="single" w:sz="6" w:space="0" w:color="auto"/>
              <w:bottom w:val="single" w:sz="6" w:space="0" w:color="auto"/>
              <w:right w:val="single" w:sz="6" w:space="0" w:color="auto"/>
            </w:tcBorders>
          </w:tcPr>
          <w:p w14:paraId="41E04D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97</w:t>
            </w:r>
          </w:p>
        </w:tc>
        <w:tc>
          <w:tcPr>
            <w:tcW w:w="549" w:type="dxa"/>
            <w:gridSpan w:val="2"/>
            <w:tcBorders>
              <w:top w:val="single" w:sz="6" w:space="0" w:color="auto"/>
              <w:left w:val="single" w:sz="6" w:space="0" w:color="auto"/>
              <w:bottom w:val="single" w:sz="6" w:space="0" w:color="auto"/>
              <w:right w:val="single" w:sz="6" w:space="0" w:color="auto"/>
            </w:tcBorders>
          </w:tcPr>
          <w:p w14:paraId="550D2E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214</w:t>
            </w:r>
          </w:p>
        </w:tc>
        <w:tc>
          <w:tcPr>
            <w:tcW w:w="733" w:type="dxa"/>
            <w:gridSpan w:val="2"/>
            <w:tcBorders>
              <w:top w:val="single" w:sz="6" w:space="0" w:color="auto"/>
              <w:left w:val="single" w:sz="6" w:space="0" w:color="auto"/>
              <w:bottom w:val="single" w:sz="6" w:space="0" w:color="auto"/>
              <w:right w:val="single" w:sz="6" w:space="0" w:color="auto"/>
            </w:tcBorders>
          </w:tcPr>
          <w:p w14:paraId="75C213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265</w:t>
            </w:r>
          </w:p>
        </w:tc>
        <w:tc>
          <w:tcPr>
            <w:tcW w:w="1024" w:type="dxa"/>
            <w:gridSpan w:val="2"/>
            <w:tcBorders>
              <w:top w:val="single" w:sz="6" w:space="0" w:color="auto"/>
              <w:left w:val="single" w:sz="6" w:space="0" w:color="auto"/>
              <w:bottom w:val="single" w:sz="6" w:space="0" w:color="auto"/>
              <w:right w:val="single" w:sz="12" w:space="0" w:color="auto"/>
            </w:tcBorders>
          </w:tcPr>
          <w:p w14:paraId="3175E6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265</w:t>
            </w:r>
          </w:p>
        </w:tc>
      </w:tr>
      <w:tr w:rsidR="00643896" w:rsidRPr="00640820" w14:paraId="51871F27" w14:textId="77777777" w:rsidTr="000D3BCB">
        <w:tc>
          <w:tcPr>
            <w:tcW w:w="917" w:type="dxa"/>
            <w:tcBorders>
              <w:top w:val="single" w:sz="6" w:space="0" w:color="auto"/>
              <w:left w:val="single" w:sz="12" w:space="0" w:color="auto"/>
              <w:bottom w:val="single" w:sz="6" w:space="0" w:color="auto"/>
              <w:right w:val="single" w:sz="6" w:space="0" w:color="auto"/>
            </w:tcBorders>
          </w:tcPr>
          <w:p w14:paraId="0E5EA4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ПЕ-3</w:t>
            </w:r>
          </w:p>
        </w:tc>
        <w:tc>
          <w:tcPr>
            <w:tcW w:w="917" w:type="dxa"/>
            <w:gridSpan w:val="2"/>
            <w:tcBorders>
              <w:top w:val="single" w:sz="6" w:space="0" w:color="auto"/>
              <w:left w:val="single" w:sz="6" w:space="0" w:color="auto"/>
              <w:bottom w:val="single" w:sz="6" w:space="0" w:color="auto"/>
              <w:right w:val="single" w:sz="6" w:space="0" w:color="auto"/>
            </w:tcBorders>
          </w:tcPr>
          <w:p w14:paraId="5FE4EB1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39</w:t>
            </w:r>
          </w:p>
        </w:tc>
        <w:tc>
          <w:tcPr>
            <w:tcW w:w="825" w:type="dxa"/>
            <w:gridSpan w:val="2"/>
            <w:tcBorders>
              <w:top w:val="single" w:sz="6" w:space="0" w:color="auto"/>
              <w:left w:val="single" w:sz="6" w:space="0" w:color="auto"/>
              <w:bottom w:val="single" w:sz="6" w:space="0" w:color="auto"/>
              <w:right w:val="single" w:sz="6" w:space="0" w:color="auto"/>
            </w:tcBorders>
          </w:tcPr>
          <w:p w14:paraId="6C1CC2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266DEC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41" w:type="dxa"/>
            <w:gridSpan w:val="2"/>
            <w:tcBorders>
              <w:top w:val="single" w:sz="6" w:space="0" w:color="auto"/>
              <w:left w:val="single" w:sz="6" w:space="0" w:color="auto"/>
              <w:bottom w:val="single" w:sz="6" w:space="0" w:color="auto"/>
              <w:right w:val="single" w:sz="6" w:space="0" w:color="auto"/>
            </w:tcBorders>
          </w:tcPr>
          <w:p w14:paraId="6205FB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1A7D08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w:t>
            </w:r>
          </w:p>
        </w:tc>
        <w:tc>
          <w:tcPr>
            <w:tcW w:w="641" w:type="dxa"/>
            <w:gridSpan w:val="2"/>
            <w:tcBorders>
              <w:top w:val="single" w:sz="6" w:space="0" w:color="auto"/>
              <w:left w:val="single" w:sz="6" w:space="0" w:color="auto"/>
              <w:bottom w:val="single" w:sz="6" w:space="0" w:color="auto"/>
              <w:right w:val="single" w:sz="6" w:space="0" w:color="auto"/>
            </w:tcBorders>
          </w:tcPr>
          <w:p w14:paraId="49B71E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98</w:t>
            </w:r>
          </w:p>
        </w:tc>
        <w:tc>
          <w:tcPr>
            <w:tcW w:w="641" w:type="dxa"/>
            <w:gridSpan w:val="2"/>
            <w:tcBorders>
              <w:top w:val="single" w:sz="6" w:space="0" w:color="auto"/>
              <w:left w:val="single" w:sz="6" w:space="0" w:color="auto"/>
              <w:bottom w:val="single" w:sz="6" w:space="0" w:color="auto"/>
              <w:right w:val="single" w:sz="6" w:space="0" w:color="auto"/>
            </w:tcBorders>
          </w:tcPr>
          <w:p w14:paraId="11281C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114</w:t>
            </w:r>
          </w:p>
        </w:tc>
        <w:tc>
          <w:tcPr>
            <w:tcW w:w="641" w:type="dxa"/>
            <w:gridSpan w:val="2"/>
            <w:tcBorders>
              <w:top w:val="single" w:sz="6" w:space="0" w:color="auto"/>
              <w:left w:val="single" w:sz="6" w:space="0" w:color="auto"/>
              <w:bottom w:val="single" w:sz="6" w:space="0" w:color="auto"/>
              <w:right w:val="single" w:sz="6" w:space="0" w:color="auto"/>
            </w:tcBorders>
          </w:tcPr>
          <w:p w14:paraId="4AD038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82</w:t>
            </w:r>
          </w:p>
        </w:tc>
        <w:tc>
          <w:tcPr>
            <w:tcW w:w="641" w:type="dxa"/>
            <w:gridSpan w:val="2"/>
            <w:tcBorders>
              <w:top w:val="single" w:sz="6" w:space="0" w:color="auto"/>
              <w:left w:val="single" w:sz="6" w:space="0" w:color="auto"/>
              <w:bottom w:val="single" w:sz="6" w:space="0" w:color="auto"/>
              <w:right w:val="single" w:sz="6" w:space="0" w:color="auto"/>
            </w:tcBorders>
          </w:tcPr>
          <w:p w14:paraId="31047B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549" w:type="dxa"/>
            <w:tcBorders>
              <w:top w:val="single" w:sz="6" w:space="0" w:color="auto"/>
              <w:left w:val="single" w:sz="6" w:space="0" w:color="auto"/>
              <w:bottom w:val="single" w:sz="6" w:space="0" w:color="auto"/>
              <w:right w:val="single" w:sz="6" w:space="0" w:color="auto"/>
            </w:tcBorders>
          </w:tcPr>
          <w:p w14:paraId="13FD4A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549" w:type="dxa"/>
            <w:gridSpan w:val="2"/>
            <w:tcBorders>
              <w:top w:val="single" w:sz="6" w:space="0" w:color="auto"/>
              <w:left w:val="single" w:sz="6" w:space="0" w:color="auto"/>
              <w:bottom w:val="single" w:sz="6" w:space="0" w:color="auto"/>
              <w:right w:val="single" w:sz="6" w:space="0" w:color="auto"/>
            </w:tcBorders>
          </w:tcPr>
          <w:p w14:paraId="7718F3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82</w:t>
            </w:r>
          </w:p>
        </w:tc>
        <w:tc>
          <w:tcPr>
            <w:tcW w:w="733" w:type="dxa"/>
            <w:gridSpan w:val="2"/>
            <w:tcBorders>
              <w:top w:val="single" w:sz="6" w:space="0" w:color="auto"/>
              <w:left w:val="single" w:sz="6" w:space="0" w:color="auto"/>
              <w:bottom w:val="single" w:sz="6" w:space="0" w:color="auto"/>
              <w:right w:val="single" w:sz="6" w:space="0" w:color="auto"/>
            </w:tcBorders>
          </w:tcPr>
          <w:p w14:paraId="134AC2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196</w:t>
            </w:r>
          </w:p>
        </w:tc>
        <w:tc>
          <w:tcPr>
            <w:tcW w:w="1024" w:type="dxa"/>
            <w:gridSpan w:val="2"/>
            <w:tcBorders>
              <w:top w:val="single" w:sz="6" w:space="0" w:color="auto"/>
              <w:left w:val="single" w:sz="6" w:space="0" w:color="auto"/>
              <w:bottom w:val="single" w:sz="6" w:space="0" w:color="auto"/>
              <w:right w:val="single" w:sz="12" w:space="0" w:color="auto"/>
            </w:tcBorders>
          </w:tcPr>
          <w:p w14:paraId="3603F9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(196) (отнесено к бомб.)</w:t>
            </w:r>
          </w:p>
        </w:tc>
      </w:tr>
      <w:tr w:rsidR="00643896" w:rsidRPr="00640820" w14:paraId="6AC43399" w14:textId="77777777" w:rsidTr="000D3BCB">
        <w:tc>
          <w:tcPr>
            <w:tcW w:w="917" w:type="dxa"/>
            <w:tcBorders>
              <w:top w:val="single" w:sz="6" w:space="0" w:color="auto"/>
              <w:left w:val="single" w:sz="12" w:space="0" w:color="auto"/>
              <w:bottom w:val="single" w:sz="6" w:space="0" w:color="auto"/>
              <w:right w:val="single" w:sz="6" w:space="0" w:color="auto"/>
            </w:tcBorders>
          </w:tcPr>
          <w:p w14:paraId="47C306D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И-21</w:t>
            </w:r>
          </w:p>
        </w:tc>
        <w:tc>
          <w:tcPr>
            <w:tcW w:w="917" w:type="dxa"/>
            <w:gridSpan w:val="2"/>
            <w:tcBorders>
              <w:top w:val="single" w:sz="6" w:space="0" w:color="auto"/>
              <w:left w:val="single" w:sz="6" w:space="0" w:color="auto"/>
              <w:bottom w:val="single" w:sz="6" w:space="0" w:color="auto"/>
              <w:right w:val="single" w:sz="6" w:space="0" w:color="auto"/>
            </w:tcBorders>
          </w:tcPr>
          <w:p w14:paraId="1FEA40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w:t>
            </w:r>
          </w:p>
        </w:tc>
        <w:tc>
          <w:tcPr>
            <w:tcW w:w="825" w:type="dxa"/>
            <w:gridSpan w:val="2"/>
            <w:tcBorders>
              <w:top w:val="single" w:sz="6" w:space="0" w:color="auto"/>
              <w:left w:val="single" w:sz="6" w:space="0" w:color="auto"/>
              <w:bottom w:val="single" w:sz="6" w:space="0" w:color="auto"/>
              <w:right w:val="single" w:sz="6" w:space="0" w:color="auto"/>
            </w:tcBorders>
          </w:tcPr>
          <w:p w14:paraId="78BDD7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25FE24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41" w:type="dxa"/>
            <w:gridSpan w:val="2"/>
            <w:tcBorders>
              <w:top w:val="single" w:sz="6" w:space="0" w:color="auto"/>
              <w:left w:val="single" w:sz="6" w:space="0" w:color="auto"/>
              <w:bottom w:val="single" w:sz="6" w:space="0" w:color="auto"/>
              <w:right w:val="single" w:sz="6" w:space="0" w:color="auto"/>
            </w:tcBorders>
          </w:tcPr>
          <w:p w14:paraId="21DA5D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513A33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40D00D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641" w:type="dxa"/>
            <w:gridSpan w:val="2"/>
            <w:tcBorders>
              <w:top w:val="single" w:sz="6" w:space="0" w:color="auto"/>
              <w:left w:val="single" w:sz="6" w:space="0" w:color="auto"/>
              <w:bottom w:val="single" w:sz="6" w:space="0" w:color="auto"/>
              <w:right w:val="single" w:sz="6" w:space="0" w:color="auto"/>
            </w:tcBorders>
          </w:tcPr>
          <w:p w14:paraId="08B548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641" w:type="dxa"/>
            <w:gridSpan w:val="2"/>
            <w:tcBorders>
              <w:top w:val="single" w:sz="6" w:space="0" w:color="auto"/>
              <w:left w:val="single" w:sz="6" w:space="0" w:color="auto"/>
              <w:bottom w:val="single" w:sz="6" w:space="0" w:color="auto"/>
              <w:right w:val="single" w:sz="6" w:space="0" w:color="auto"/>
            </w:tcBorders>
          </w:tcPr>
          <w:p w14:paraId="2DB1DD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1B83C59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549" w:type="dxa"/>
            <w:tcBorders>
              <w:top w:val="single" w:sz="6" w:space="0" w:color="auto"/>
              <w:left w:val="single" w:sz="6" w:space="0" w:color="auto"/>
              <w:bottom w:val="single" w:sz="6" w:space="0" w:color="auto"/>
              <w:right w:val="single" w:sz="6" w:space="0" w:color="auto"/>
            </w:tcBorders>
          </w:tcPr>
          <w:p w14:paraId="2940EE6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549" w:type="dxa"/>
            <w:gridSpan w:val="2"/>
            <w:tcBorders>
              <w:top w:val="single" w:sz="6" w:space="0" w:color="auto"/>
              <w:left w:val="single" w:sz="6" w:space="0" w:color="auto"/>
              <w:bottom w:val="single" w:sz="6" w:space="0" w:color="auto"/>
              <w:right w:val="single" w:sz="6" w:space="0" w:color="auto"/>
            </w:tcBorders>
          </w:tcPr>
          <w:p w14:paraId="3B07B5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33" w:type="dxa"/>
            <w:gridSpan w:val="2"/>
            <w:tcBorders>
              <w:top w:val="single" w:sz="6" w:space="0" w:color="auto"/>
              <w:left w:val="single" w:sz="6" w:space="0" w:color="auto"/>
              <w:bottom w:val="single" w:sz="6" w:space="0" w:color="auto"/>
              <w:right w:val="single" w:sz="6" w:space="0" w:color="auto"/>
            </w:tcBorders>
          </w:tcPr>
          <w:p w14:paraId="31DDCE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1024" w:type="dxa"/>
            <w:gridSpan w:val="2"/>
            <w:tcBorders>
              <w:top w:val="single" w:sz="6" w:space="0" w:color="auto"/>
              <w:left w:val="single" w:sz="6" w:space="0" w:color="auto"/>
              <w:bottom w:val="single" w:sz="6" w:space="0" w:color="auto"/>
              <w:right w:val="single" w:sz="12" w:space="0" w:color="auto"/>
            </w:tcBorders>
          </w:tcPr>
          <w:p w14:paraId="25528B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r>
      <w:tr w:rsidR="00643896" w:rsidRPr="00640820" w14:paraId="7C65C22E" w14:textId="77777777" w:rsidTr="000D3BCB">
        <w:tc>
          <w:tcPr>
            <w:tcW w:w="917" w:type="dxa"/>
            <w:tcBorders>
              <w:top w:val="single" w:sz="6" w:space="0" w:color="auto"/>
              <w:left w:val="single" w:sz="12" w:space="0" w:color="auto"/>
              <w:bottom w:val="single" w:sz="6" w:space="0" w:color="auto"/>
              <w:right w:val="single" w:sz="6" w:space="0" w:color="auto"/>
            </w:tcBorders>
          </w:tcPr>
          <w:p w14:paraId="03FC5B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ЯК-1</w:t>
            </w:r>
          </w:p>
        </w:tc>
        <w:tc>
          <w:tcPr>
            <w:tcW w:w="917" w:type="dxa"/>
            <w:gridSpan w:val="2"/>
            <w:tcBorders>
              <w:top w:val="single" w:sz="6" w:space="0" w:color="auto"/>
              <w:left w:val="single" w:sz="6" w:space="0" w:color="auto"/>
              <w:bottom w:val="single" w:sz="6" w:space="0" w:color="auto"/>
              <w:right w:val="single" w:sz="6" w:space="0" w:color="auto"/>
            </w:tcBorders>
          </w:tcPr>
          <w:p w14:paraId="035620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153</w:t>
            </w:r>
          </w:p>
        </w:tc>
        <w:tc>
          <w:tcPr>
            <w:tcW w:w="825" w:type="dxa"/>
            <w:gridSpan w:val="2"/>
            <w:tcBorders>
              <w:top w:val="single" w:sz="6" w:space="0" w:color="auto"/>
              <w:left w:val="single" w:sz="6" w:space="0" w:color="auto"/>
              <w:bottom w:val="single" w:sz="6" w:space="0" w:color="auto"/>
              <w:right w:val="single" w:sz="6" w:space="0" w:color="auto"/>
            </w:tcBorders>
          </w:tcPr>
          <w:p w14:paraId="1A1712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022697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41" w:type="dxa"/>
            <w:gridSpan w:val="2"/>
            <w:tcBorders>
              <w:top w:val="single" w:sz="6" w:space="0" w:color="auto"/>
              <w:left w:val="single" w:sz="6" w:space="0" w:color="auto"/>
              <w:bottom w:val="single" w:sz="6" w:space="0" w:color="auto"/>
              <w:right w:val="single" w:sz="6" w:space="0" w:color="auto"/>
            </w:tcBorders>
          </w:tcPr>
          <w:p w14:paraId="1D92B1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1FA421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76A363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751EF7F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401B14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6A014D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549" w:type="dxa"/>
            <w:tcBorders>
              <w:top w:val="single" w:sz="6" w:space="0" w:color="auto"/>
              <w:left w:val="single" w:sz="6" w:space="0" w:color="auto"/>
              <w:bottom w:val="single" w:sz="6" w:space="0" w:color="auto"/>
              <w:right w:val="single" w:sz="6" w:space="0" w:color="auto"/>
            </w:tcBorders>
          </w:tcPr>
          <w:p w14:paraId="4F15A9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w:t>
            </w:r>
          </w:p>
        </w:tc>
        <w:tc>
          <w:tcPr>
            <w:tcW w:w="549" w:type="dxa"/>
            <w:gridSpan w:val="2"/>
            <w:tcBorders>
              <w:top w:val="single" w:sz="6" w:space="0" w:color="auto"/>
              <w:left w:val="single" w:sz="6" w:space="0" w:color="auto"/>
              <w:bottom w:val="single" w:sz="6" w:space="0" w:color="auto"/>
              <w:right w:val="single" w:sz="6" w:space="0" w:color="auto"/>
            </w:tcBorders>
          </w:tcPr>
          <w:p w14:paraId="0D0F8C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w:t>
            </w:r>
          </w:p>
        </w:tc>
        <w:tc>
          <w:tcPr>
            <w:tcW w:w="733" w:type="dxa"/>
            <w:gridSpan w:val="2"/>
            <w:tcBorders>
              <w:top w:val="single" w:sz="6" w:space="0" w:color="auto"/>
              <w:left w:val="single" w:sz="6" w:space="0" w:color="auto"/>
              <w:bottom w:val="single" w:sz="6" w:space="0" w:color="auto"/>
              <w:right w:val="single" w:sz="6" w:space="0" w:color="auto"/>
            </w:tcBorders>
          </w:tcPr>
          <w:p w14:paraId="2885A0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w:t>
            </w:r>
          </w:p>
        </w:tc>
        <w:tc>
          <w:tcPr>
            <w:tcW w:w="1024" w:type="dxa"/>
            <w:gridSpan w:val="2"/>
            <w:tcBorders>
              <w:top w:val="single" w:sz="6" w:space="0" w:color="auto"/>
              <w:left w:val="single" w:sz="6" w:space="0" w:color="auto"/>
              <w:bottom w:val="single" w:sz="6" w:space="0" w:color="auto"/>
              <w:right w:val="single" w:sz="12" w:space="0" w:color="auto"/>
            </w:tcBorders>
          </w:tcPr>
          <w:p w14:paraId="295D53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w:t>
            </w:r>
          </w:p>
        </w:tc>
      </w:tr>
      <w:tr w:rsidR="00643896" w:rsidRPr="00640820" w14:paraId="0A21FE75" w14:textId="77777777" w:rsidTr="000D3BCB">
        <w:tc>
          <w:tcPr>
            <w:tcW w:w="917" w:type="dxa"/>
            <w:gridSpan w:val="3"/>
            <w:tcBorders>
              <w:top w:val="single" w:sz="6" w:space="0" w:color="auto"/>
              <w:left w:val="single" w:sz="12" w:space="0" w:color="auto"/>
              <w:bottom w:val="single" w:sz="6" w:space="0" w:color="auto"/>
              <w:right w:val="single" w:sz="6" w:space="0" w:color="auto"/>
            </w:tcBorders>
          </w:tcPr>
          <w:p w14:paraId="66D75A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Итого истребителей</w:t>
            </w:r>
          </w:p>
        </w:tc>
        <w:tc>
          <w:tcPr>
            <w:tcW w:w="825" w:type="dxa"/>
            <w:gridSpan w:val="2"/>
            <w:tcBorders>
              <w:top w:val="single" w:sz="6" w:space="0" w:color="auto"/>
              <w:left w:val="single" w:sz="6" w:space="0" w:color="auto"/>
              <w:bottom w:val="single" w:sz="6" w:space="0" w:color="auto"/>
              <w:right w:val="single" w:sz="6" w:space="0" w:color="auto"/>
            </w:tcBorders>
          </w:tcPr>
          <w:p w14:paraId="6EBA50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41" w:type="dxa"/>
            <w:gridSpan w:val="2"/>
            <w:tcBorders>
              <w:top w:val="single" w:sz="6" w:space="0" w:color="auto"/>
              <w:left w:val="single" w:sz="6" w:space="0" w:color="auto"/>
              <w:bottom w:val="single" w:sz="6" w:space="0" w:color="auto"/>
              <w:right w:val="single" w:sz="6" w:space="0" w:color="auto"/>
            </w:tcBorders>
          </w:tcPr>
          <w:p w14:paraId="7CA5B6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887</w:t>
            </w:r>
          </w:p>
        </w:tc>
        <w:tc>
          <w:tcPr>
            <w:tcW w:w="641" w:type="dxa"/>
            <w:gridSpan w:val="2"/>
            <w:tcBorders>
              <w:top w:val="single" w:sz="6" w:space="0" w:color="auto"/>
              <w:left w:val="single" w:sz="6" w:space="0" w:color="auto"/>
              <w:bottom w:val="single" w:sz="6" w:space="0" w:color="auto"/>
              <w:right w:val="single" w:sz="6" w:space="0" w:color="auto"/>
            </w:tcBorders>
          </w:tcPr>
          <w:p w14:paraId="7C63244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1118</w:t>
            </w:r>
          </w:p>
        </w:tc>
        <w:tc>
          <w:tcPr>
            <w:tcW w:w="641" w:type="dxa"/>
            <w:gridSpan w:val="2"/>
            <w:tcBorders>
              <w:top w:val="single" w:sz="6" w:space="0" w:color="auto"/>
              <w:left w:val="single" w:sz="6" w:space="0" w:color="auto"/>
              <w:bottom w:val="single" w:sz="6" w:space="0" w:color="auto"/>
              <w:right w:val="single" w:sz="6" w:space="0" w:color="auto"/>
            </w:tcBorders>
          </w:tcPr>
          <w:p w14:paraId="0274769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1229</w:t>
            </w:r>
          </w:p>
        </w:tc>
        <w:tc>
          <w:tcPr>
            <w:tcW w:w="641" w:type="dxa"/>
            <w:gridSpan w:val="2"/>
            <w:tcBorders>
              <w:top w:val="single" w:sz="6" w:space="0" w:color="auto"/>
              <w:left w:val="single" w:sz="6" w:space="0" w:color="auto"/>
              <w:bottom w:val="single" w:sz="6" w:space="0" w:color="auto"/>
              <w:right w:val="single" w:sz="6" w:space="0" w:color="auto"/>
            </w:tcBorders>
          </w:tcPr>
          <w:p w14:paraId="48F73A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3234</w:t>
            </w:r>
          </w:p>
        </w:tc>
        <w:tc>
          <w:tcPr>
            <w:tcW w:w="641" w:type="dxa"/>
            <w:gridSpan w:val="2"/>
            <w:tcBorders>
              <w:top w:val="single" w:sz="6" w:space="0" w:color="auto"/>
              <w:left w:val="single" w:sz="6" w:space="0" w:color="auto"/>
              <w:bottom w:val="single" w:sz="6" w:space="0" w:color="auto"/>
              <w:right w:val="single" w:sz="6" w:space="0" w:color="auto"/>
            </w:tcBorders>
          </w:tcPr>
          <w:p w14:paraId="4F8770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878</w:t>
            </w:r>
          </w:p>
        </w:tc>
        <w:tc>
          <w:tcPr>
            <w:tcW w:w="641" w:type="dxa"/>
            <w:gridSpan w:val="2"/>
            <w:tcBorders>
              <w:top w:val="single" w:sz="6" w:space="0" w:color="auto"/>
              <w:left w:val="single" w:sz="6" w:space="0" w:color="auto"/>
              <w:bottom w:val="single" w:sz="6" w:space="0" w:color="auto"/>
              <w:right w:val="single" w:sz="6" w:space="0" w:color="auto"/>
            </w:tcBorders>
          </w:tcPr>
          <w:p w14:paraId="19FF90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394</w:t>
            </w:r>
          </w:p>
        </w:tc>
        <w:tc>
          <w:tcPr>
            <w:tcW w:w="549" w:type="dxa"/>
            <w:tcBorders>
              <w:top w:val="single" w:sz="6" w:space="0" w:color="auto"/>
              <w:left w:val="single" w:sz="6" w:space="0" w:color="auto"/>
              <w:bottom w:val="single" w:sz="6" w:space="0" w:color="auto"/>
              <w:right w:val="single" w:sz="6" w:space="0" w:color="auto"/>
            </w:tcBorders>
          </w:tcPr>
          <w:p w14:paraId="7C5022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521</w:t>
            </w:r>
          </w:p>
        </w:tc>
        <w:tc>
          <w:tcPr>
            <w:tcW w:w="549" w:type="dxa"/>
            <w:gridSpan w:val="2"/>
            <w:tcBorders>
              <w:top w:val="single" w:sz="6" w:space="0" w:color="auto"/>
              <w:left w:val="single" w:sz="6" w:space="0" w:color="auto"/>
              <w:bottom w:val="single" w:sz="6" w:space="0" w:color="auto"/>
              <w:right w:val="single" w:sz="6" w:space="0" w:color="auto"/>
            </w:tcBorders>
          </w:tcPr>
          <w:p w14:paraId="293945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1793</w:t>
            </w:r>
          </w:p>
        </w:tc>
        <w:tc>
          <w:tcPr>
            <w:tcW w:w="733" w:type="dxa"/>
            <w:gridSpan w:val="2"/>
            <w:tcBorders>
              <w:top w:val="single" w:sz="6" w:space="0" w:color="auto"/>
              <w:left w:val="single" w:sz="6" w:space="0" w:color="auto"/>
              <w:bottom w:val="single" w:sz="6" w:space="0" w:color="auto"/>
              <w:right w:val="single" w:sz="6" w:space="0" w:color="auto"/>
            </w:tcBorders>
          </w:tcPr>
          <w:p w14:paraId="153A2A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5027</w:t>
            </w:r>
          </w:p>
        </w:tc>
        <w:tc>
          <w:tcPr>
            <w:tcW w:w="1024" w:type="dxa"/>
            <w:gridSpan w:val="2"/>
            <w:tcBorders>
              <w:top w:val="single" w:sz="6" w:space="0" w:color="auto"/>
              <w:left w:val="single" w:sz="6" w:space="0" w:color="auto"/>
              <w:bottom w:val="single" w:sz="6" w:space="0" w:color="auto"/>
              <w:right w:val="single" w:sz="12" w:space="0" w:color="auto"/>
            </w:tcBorders>
          </w:tcPr>
          <w:p w14:paraId="737928E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7277 (7081)</w:t>
            </w:r>
          </w:p>
        </w:tc>
      </w:tr>
      <w:tr w:rsidR="00643896" w:rsidRPr="00640820" w14:paraId="28627B81" w14:textId="77777777" w:rsidTr="000D3BCB">
        <w:tc>
          <w:tcPr>
            <w:tcW w:w="917" w:type="dxa"/>
            <w:gridSpan w:val="3"/>
            <w:tcBorders>
              <w:top w:val="single" w:sz="6" w:space="0" w:color="auto"/>
              <w:left w:val="single" w:sz="12" w:space="0" w:color="auto"/>
              <w:bottom w:val="single" w:sz="6" w:space="0" w:color="auto"/>
              <w:right w:val="single" w:sz="6" w:space="0" w:color="auto"/>
            </w:tcBorders>
          </w:tcPr>
          <w:p w14:paraId="552B83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Бомбардировщики</w:t>
            </w:r>
          </w:p>
        </w:tc>
        <w:tc>
          <w:tcPr>
            <w:tcW w:w="825" w:type="dxa"/>
            <w:gridSpan w:val="2"/>
            <w:tcBorders>
              <w:top w:val="single" w:sz="6" w:space="0" w:color="auto"/>
              <w:left w:val="single" w:sz="6" w:space="0" w:color="auto"/>
              <w:bottom w:val="single" w:sz="6" w:space="0" w:color="auto"/>
              <w:right w:val="single" w:sz="6" w:space="0" w:color="auto"/>
            </w:tcBorders>
          </w:tcPr>
          <w:p w14:paraId="015A09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41" w:type="dxa"/>
            <w:gridSpan w:val="2"/>
            <w:tcBorders>
              <w:top w:val="single" w:sz="6" w:space="0" w:color="auto"/>
              <w:left w:val="single" w:sz="6" w:space="0" w:color="auto"/>
              <w:bottom w:val="single" w:sz="6" w:space="0" w:color="auto"/>
              <w:right w:val="single" w:sz="6" w:space="0" w:color="auto"/>
            </w:tcBorders>
          </w:tcPr>
          <w:p w14:paraId="762C5B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41" w:type="dxa"/>
            <w:gridSpan w:val="2"/>
            <w:tcBorders>
              <w:top w:val="single" w:sz="6" w:space="0" w:color="auto"/>
              <w:left w:val="single" w:sz="6" w:space="0" w:color="auto"/>
              <w:bottom w:val="single" w:sz="6" w:space="0" w:color="auto"/>
              <w:right w:val="single" w:sz="6" w:space="0" w:color="auto"/>
            </w:tcBorders>
          </w:tcPr>
          <w:p w14:paraId="1ED181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41" w:type="dxa"/>
            <w:gridSpan w:val="2"/>
            <w:tcBorders>
              <w:top w:val="single" w:sz="6" w:space="0" w:color="auto"/>
              <w:left w:val="single" w:sz="6" w:space="0" w:color="auto"/>
              <w:bottom w:val="single" w:sz="6" w:space="0" w:color="auto"/>
              <w:right w:val="single" w:sz="6" w:space="0" w:color="auto"/>
            </w:tcBorders>
          </w:tcPr>
          <w:p w14:paraId="665499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41" w:type="dxa"/>
            <w:gridSpan w:val="2"/>
            <w:tcBorders>
              <w:top w:val="single" w:sz="6" w:space="0" w:color="auto"/>
              <w:left w:val="single" w:sz="6" w:space="0" w:color="auto"/>
              <w:bottom w:val="single" w:sz="6" w:space="0" w:color="auto"/>
              <w:right w:val="single" w:sz="6" w:space="0" w:color="auto"/>
            </w:tcBorders>
          </w:tcPr>
          <w:p w14:paraId="569CFE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41" w:type="dxa"/>
            <w:gridSpan w:val="2"/>
            <w:tcBorders>
              <w:top w:val="single" w:sz="6" w:space="0" w:color="auto"/>
              <w:left w:val="single" w:sz="6" w:space="0" w:color="auto"/>
              <w:bottom w:val="single" w:sz="6" w:space="0" w:color="auto"/>
              <w:right w:val="single" w:sz="6" w:space="0" w:color="auto"/>
            </w:tcBorders>
          </w:tcPr>
          <w:p w14:paraId="5FE6DFB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41" w:type="dxa"/>
            <w:gridSpan w:val="2"/>
            <w:tcBorders>
              <w:top w:val="single" w:sz="6" w:space="0" w:color="auto"/>
              <w:left w:val="single" w:sz="6" w:space="0" w:color="auto"/>
              <w:bottom w:val="single" w:sz="6" w:space="0" w:color="auto"/>
              <w:right w:val="single" w:sz="6" w:space="0" w:color="auto"/>
            </w:tcBorders>
          </w:tcPr>
          <w:p w14:paraId="3720B3D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49" w:type="dxa"/>
            <w:tcBorders>
              <w:top w:val="single" w:sz="6" w:space="0" w:color="auto"/>
              <w:left w:val="single" w:sz="6" w:space="0" w:color="auto"/>
              <w:bottom w:val="single" w:sz="6" w:space="0" w:color="auto"/>
              <w:right w:val="single" w:sz="6" w:space="0" w:color="auto"/>
            </w:tcBorders>
          </w:tcPr>
          <w:p w14:paraId="7CA002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49" w:type="dxa"/>
            <w:gridSpan w:val="2"/>
            <w:tcBorders>
              <w:top w:val="single" w:sz="6" w:space="0" w:color="auto"/>
              <w:left w:val="single" w:sz="6" w:space="0" w:color="auto"/>
              <w:bottom w:val="single" w:sz="6" w:space="0" w:color="auto"/>
              <w:right w:val="single" w:sz="6" w:space="0" w:color="auto"/>
            </w:tcBorders>
          </w:tcPr>
          <w:p w14:paraId="218B74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33" w:type="dxa"/>
            <w:gridSpan w:val="2"/>
            <w:tcBorders>
              <w:top w:val="single" w:sz="6" w:space="0" w:color="auto"/>
              <w:left w:val="single" w:sz="6" w:space="0" w:color="auto"/>
              <w:bottom w:val="single" w:sz="6" w:space="0" w:color="auto"/>
              <w:right w:val="single" w:sz="6" w:space="0" w:color="auto"/>
            </w:tcBorders>
          </w:tcPr>
          <w:p w14:paraId="7DFCB5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024" w:type="dxa"/>
            <w:gridSpan w:val="2"/>
            <w:tcBorders>
              <w:top w:val="single" w:sz="6" w:space="0" w:color="auto"/>
              <w:left w:val="single" w:sz="6" w:space="0" w:color="auto"/>
              <w:bottom w:val="single" w:sz="6" w:space="0" w:color="auto"/>
              <w:right w:val="single" w:sz="12" w:space="0" w:color="auto"/>
            </w:tcBorders>
          </w:tcPr>
          <w:p w14:paraId="62D88B3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444DB1BD" w14:textId="77777777" w:rsidTr="000D3BCB">
        <w:tc>
          <w:tcPr>
            <w:tcW w:w="917" w:type="dxa"/>
            <w:tcBorders>
              <w:top w:val="single" w:sz="6" w:space="0" w:color="auto"/>
              <w:left w:val="single" w:sz="12" w:space="0" w:color="auto"/>
              <w:bottom w:val="single" w:sz="6" w:space="0" w:color="auto"/>
              <w:right w:val="single" w:sz="6" w:space="0" w:color="auto"/>
            </w:tcBorders>
          </w:tcPr>
          <w:p w14:paraId="6528BD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ПЕ-2</w:t>
            </w:r>
          </w:p>
        </w:tc>
        <w:tc>
          <w:tcPr>
            <w:tcW w:w="917" w:type="dxa"/>
            <w:gridSpan w:val="2"/>
            <w:tcBorders>
              <w:top w:val="single" w:sz="6" w:space="0" w:color="auto"/>
              <w:left w:val="single" w:sz="6" w:space="0" w:color="auto"/>
              <w:bottom w:val="single" w:sz="6" w:space="0" w:color="auto"/>
              <w:right w:val="single" w:sz="6" w:space="0" w:color="auto"/>
            </w:tcBorders>
          </w:tcPr>
          <w:p w14:paraId="66F16C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w:t>
            </w:r>
          </w:p>
        </w:tc>
        <w:tc>
          <w:tcPr>
            <w:tcW w:w="825" w:type="dxa"/>
            <w:gridSpan w:val="2"/>
            <w:tcBorders>
              <w:top w:val="single" w:sz="6" w:space="0" w:color="auto"/>
              <w:left w:val="single" w:sz="6" w:space="0" w:color="auto"/>
              <w:bottom w:val="single" w:sz="6" w:space="0" w:color="auto"/>
              <w:right w:val="single" w:sz="6" w:space="0" w:color="auto"/>
            </w:tcBorders>
          </w:tcPr>
          <w:p w14:paraId="56CB688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547688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41" w:type="dxa"/>
            <w:gridSpan w:val="2"/>
            <w:tcBorders>
              <w:top w:val="single" w:sz="6" w:space="0" w:color="auto"/>
              <w:left w:val="single" w:sz="6" w:space="0" w:color="auto"/>
              <w:bottom w:val="single" w:sz="6" w:space="0" w:color="auto"/>
              <w:right w:val="single" w:sz="6" w:space="0" w:color="auto"/>
            </w:tcBorders>
          </w:tcPr>
          <w:p w14:paraId="625873E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183</w:t>
            </w:r>
          </w:p>
        </w:tc>
        <w:tc>
          <w:tcPr>
            <w:tcW w:w="641" w:type="dxa"/>
            <w:gridSpan w:val="2"/>
            <w:tcBorders>
              <w:top w:val="single" w:sz="6" w:space="0" w:color="auto"/>
              <w:left w:val="single" w:sz="6" w:space="0" w:color="auto"/>
              <w:bottom w:val="single" w:sz="6" w:space="0" w:color="auto"/>
              <w:right w:val="single" w:sz="6" w:space="0" w:color="auto"/>
            </w:tcBorders>
          </w:tcPr>
          <w:p w14:paraId="76623A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201</w:t>
            </w:r>
          </w:p>
        </w:tc>
        <w:tc>
          <w:tcPr>
            <w:tcW w:w="641" w:type="dxa"/>
            <w:gridSpan w:val="2"/>
            <w:tcBorders>
              <w:top w:val="single" w:sz="6" w:space="0" w:color="auto"/>
              <w:left w:val="single" w:sz="6" w:space="0" w:color="auto"/>
              <w:bottom w:val="single" w:sz="6" w:space="0" w:color="auto"/>
              <w:right w:val="single" w:sz="6" w:space="0" w:color="auto"/>
            </w:tcBorders>
          </w:tcPr>
          <w:p w14:paraId="315DEB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233</w:t>
            </w:r>
          </w:p>
        </w:tc>
        <w:tc>
          <w:tcPr>
            <w:tcW w:w="641" w:type="dxa"/>
            <w:gridSpan w:val="2"/>
            <w:tcBorders>
              <w:top w:val="single" w:sz="6" w:space="0" w:color="auto"/>
              <w:left w:val="single" w:sz="6" w:space="0" w:color="auto"/>
              <w:bottom w:val="single" w:sz="6" w:space="0" w:color="auto"/>
              <w:right w:val="single" w:sz="6" w:space="0" w:color="auto"/>
            </w:tcBorders>
          </w:tcPr>
          <w:p w14:paraId="7B316D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617</w:t>
            </w:r>
          </w:p>
        </w:tc>
        <w:tc>
          <w:tcPr>
            <w:tcW w:w="641" w:type="dxa"/>
            <w:gridSpan w:val="2"/>
            <w:tcBorders>
              <w:top w:val="single" w:sz="6" w:space="0" w:color="auto"/>
              <w:left w:val="single" w:sz="6" w:space="0" w:color="auto"/>
              <w:bottom w:val="single" w:sz="6" w:space="0" w:color="auto"/>
              <w:right w:val="single" w:sz="6" w:space="0" w:color="auto"/>
            </w:tcBorders>
          </w:tcPr>
          <w:p w14:paraId="324164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138</w:t>
            </w:r>
          </w:p>
        </w:tc>
        <w:tc>
          <w:tcPr>
            <w:tcW w:w="641" w:type="dxa"/>
            <w:gridSpan w:val="2"/>
            <w:tcBorders>
              <w:top w:val="single" w:sz="6" w:space="0" w:color="auto"/>
              <w:left w:val="single" w:sz="6" w:space="0" w:color="auto"/>
              <w:bottom w:val="single" w:sz="6" w:space="0" w:color="auto"/>
              <w:right w:val="single" w:sz="6" w:space="0" w:color="auto"/>
            </w:tcBorders>
          </w:tcPr>
          <w:p w14:paraId="11AC9B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w:t>
            </w:r>
          </w:p>
        </w:tc>
        <w:tc>
          <w:tcPr>
            <w:tcW w:w="549" w:type="dxa"/>
            <w:tcBorders>
              <w:top w:val="single" w:sz="6" w:space="0" w:color="auto"/>
              <w:left w:val="single" w:sz="6" w:space="0" w:color="auto"/>
              <w:bottom w:val="single" w:sz="6" w:space="0" w:color="auto"/>
              <w:right w:val="single" w:sz="6" w:space="0" w:color="auto"/>
            </w:tcBorders>
          </w:tcPr>
          <w:p w14:paraId="25E449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37</w:t>
            </w:r>
          </w:p>
        </w:tc>
        <w:tc>
          <w:tcPr>
            <w:tcW w:w="549" w:type="dxa"/>
            <w:gridSpan w:val="2"/>
            <w:tcBorders>
              <w:top w:val="single" w:sz="6" w:space="0" w:color="auto"/>
              <w:left w:val="single" w:sz="6" w:space="0" w:color="auto"/>
              <w:bottom w:val="single" w:sz="6" w:space="0" w:color="auto"/>
              <w:right w:val="single" w:sz="6" w:space="0" w:color="auto"/>
            </w:tcBorders>
          </w:tcPr>
          <w:p w14:paraId="41EE03C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184</w:t>
            </w:r>
          </w:p>
        </w:tc>
        <w:tc>
          <w:tcPr>
            <w:tcW w:w="733" w:type="dxa"/>
            <w:gridSpan w:val="2"/>
            <w:tcBorders>
              <w:top w:val="single" w:sz="6" w:space="0" w:color="auto"/>
              <w:left w:val="single" w:sz="6" w:space="0" w:color="auto"/>
              <w:bottom w:val="single" w:sz="6" w:space="0" w:color="auto"/>
              <w:right w:val="single" w:sz="6" w:space="0" w:color="auto"/>
            </w:tcBorders>
          </w:tcPr>
          <w:p w14:paraId="63137F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801</w:t>
            </w:r>
          </w:p>
        </w:tc>
        <w:tc>
          <w:tcPr>
            <w:tcW w:w="1024" w:type="dxa"/>
            <w:gridSpan w:val="2"/>
            <w:tcBorders>
              <w:top w:val="single" w:sz="6" w:space="0" w:color="auto"/>
              <w:left w:val="single" w:sz="6" w:space="0" w:color="auto"/>
              <w:bottom w:val="single" w:sz="6" w:space="0" w:color="auto"/>
              <w:right w:val="single" w:sz="12" w:space="0" w:color="auto"/>
            </w:tcBorders>
          </w:tcPr>
          <w:p w14:paraId="7E0296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1120</w:t>
            </w:r>
          </w:p>
        </w:tc>
      </w:tr>
      <w:tr w:rsidR="00643896" w:rsidRPr="00640820" w14:paraId="15AAD420" w14:textId="77777777" w:rsidTr="000D3BCB">
        <w:tc>
          <w:tcPr>
            <w:tcW w:w="917" w:type="dxa"/>
            <w:tcBorders>
              <w:top w:val="single" w:sz="6" w:space="0" w:color="auto"/>
              <w:left w:val="single" w:sz="12" w:space="0" w:color="auto"/>
              <w:bottom w:val="single" w:sz="6" w:space="0" w:color="auto"/>
              <w:right w:val="single" w:sz="6" w:space="0" w:color="auto"/>
            </w:tcBorders>
          </w:tcPr>
          <w:p w14:paraId="73A873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АР-2</w:t>
            </w:r>
          </w:p>
        </w:tc>
        <w:tc>
          <w:tcPr>
            <w:tcW w:w="917" w:type="dxa"/>
            <w:gridSpan w:val="2"/>
            <w:tcBorders>
              <w:top w:val="single" w:sz="6" w:space="0" w:color="auto"/>
              <w:left w:val="single" w:sz="6" w:space="0" w:color="auto"/>
              <w:bottom w:val="single" w:sz="6" w:space="0" w:color="auto"/>
              <w:right w:val="single" w:sz="6" w:space="0" w:color="auto"/>
            </w:tcBorders>
          </w:tcPr>
          <w:p w14:paraId="2063FF8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w:t>
            </w:r>
          </w:p>
        </w:tc>
        <w:tc>
          <w:tcPr>
            <w:tcW w:w="825" w:type="dxa"/>
            <w:gridSpan w:val="2"/>
            <w:tcBorders>
              <w:top w:val="single" w:sz="6" w:space="0" w:color="auto"/>
              <w:left w:val="single" w:sz="6" w:space="0" w:color="auto"/>
              <w:bottom w:val="single" w:sz="6" w:space="0" w:color="auto"/>
              <w:right w:val="single" w:sz="6" w:space="0" w:color="auto"/>
            </w:tcBorders>
          </w:tcPr>
          <w:p w14:paraId="374E5B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54104A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41" w:type="dxa"/>
            <w:gridSpan w:val="2"/>
            <w:tcBorders>
              <w:top w:val="single" w:sz="6" w:space="0" w:color="auto"/>
              <w:left w:val="single" w:sz="6" w:space="0" w:color="auto"/>
              <w:bottom w:val="single" w:sz="6" w:space="0" w:color="auto"/>
              <w:right w:val="single" w:sz="6" w:space="0" w:color="auto"/>
            </w:tcBorders>
          </w:tcPr>
          <w:p w14:paraId="100B86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w:t>
            </w:r>
          </w:p>
        </w:tc>
        <w:tc>
          <w:tcPr>
            <w:tcW w:w="641" w:type="dxa"/>
            <w:gridSpan w:val="2"/>
            <w:tcBorders>
              <w:top w:val="single" w:sz="6" w:space="0" w:color="auto"/>
              <w:left w:val="single" w:sz="6" w:space="0" w:color="auto"/>
              <w:bottom w:val="single" w:sz="6" w:space="0" w:color="auto"/>
              <w:right w:val="single" w:sz="6" w:space="0" w:color="auto"/>
            </w:tcBorders>
          </w:tcPr>
          <w:p w14:paraId="253228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104488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302720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w:t>
            </w:r>
          </w:p>
        </w:tc>
        <w:tc>
          <w:tcPr>
            <w:tcW w:w="641" w:type="dxa"/>
            <w:gridSpan w:val="2"/>
            <w:tcBorders>
              <w:top w:val="single" w:sz="6" w:space="0" w:color="auto"/>
              <w:left w:val="single" w:sz="6" w:space="0" w:color="auto"/>
              <w:bottom w:val="single" w:sz="6" w:space="0" w:color="auto"/>
              <w:right w:val="single" w:sz="6" w:space="0" w:color="auto"/>
            </w:tcBorders>
          </w:tcPr>
          <w:p w14:paraId="6824DE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69751B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549" w:type="dxa"/>
            <w:tcBorders>
              <w:top w:val="single" w:sz="6" w:space="0" w:color="auto"/>
              <w:left w:val="single" w:sz="6" w:space="0" w:color="auto"/>
              <w:bottom w:val="single" w:sz="6" w:space="0" w:color="auto"/>
              <w:right w:val="single" w:sz="6" w:space="0" w:color="auto"/>
            </w:tcBorders>
          </w:tcPr>
          <w:p w14:paraId="4CBF9B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549" w:type="dxa"/>
            <w:gridSpan w:val="2"/>
            <w:tcBorders>
              <w:top w:val="single" w:sz="6" w:space="0" w:color="auto"/>
              <w:left w:val="single" w:sz="6" w:space="0" w:color="auto"/>
              <w:bottom w:val="single" w:sz="6" w:space="0" w:color="auto"/>
              <w:right w:val="single" w:sz="6" w:space="0" w:color="auto"/>
            </w:tcBorders>
          </w:tcPr>
          <w:p w14:paraId="6DBB12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33" w:type="dxa"/>
            <w:gridSpan w:val="2"/>
            <w:tcBorders>
              <w:top w:val="single" w:sz="6" w:space="0" w:color="auto"/>
              <w:left w:val="single" w:sz="6" w:space="0" w:color="auto"/>
              <w:bottom w:val="single" w:sz="6" w:space="0" w:color="auto"/>
              <w:right w:val="single" w:sz="6" w:space="0" w:color="auto"/>
            </w:tcBorders>
          </w:tcPr>
          <w:p w14:paraId="3CBE80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w:t>
            </w:r>
          </w:p>
        </w:tc>
        <w:tc>
          <w:tcPr>
            <w:tcW w:w="1024" w:type="dxa"/>
            <w:gridSpan w:val="2"/>
            <w:tcBorders>
              <w:top w:val="single" w:sz="6" w:space="0" w:color="auto"/>
              <w:left w:val="single" w:sz="6" w:space="0" w:color="auto"/>
              <w:bottom w:val="single" w:sz="6" w:space="0" w:color="auto"/>
              <w:right w:val="single" w:sz="12" w:space="0" w:color="auto"/>
            </w:tcBorders>
          </w:tcPr>
          <w:p w14:paraId="736570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127</w:t>
            </w:r>
          </w:p>
        </w:tc>
      </w:tr>
      <w:tr w:rsidR="00643896" w:rsidRPr="00640820" w14:paraId="0EA131B8" w14:textId="77777777" w:rsidTr="000D3BCB">
        <w:tc>
          <w:tcPr>
            <w:tcW w:w="917" w:type="dxa"/>
            <w:tcBorders>
              <w:top w:val="single" w:sz="6" w:space="0" w:color="auto"/>
              <w:left w:val="single" w:sz="12" w:space="0" w:color="auto"/>
              <w:bottom w:val="single" w:sz="6" w:space="0" w:color="auto"/>
              <w:right w:val="single" w:sz="6" w:space="0" w:color="auto"/>
            </w:tcBorders>
          </w:tcPr>
          <w:p w14:paraId="55988B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СБ</w:t>
            </w:r>
          </w:p>
        </w:tc>
        <w:tc>
          <w:tcPr>
            <w:tcW w:w="917" w:type="dxa"/>
            <w:gridSpan w:val="2"/>
            <w:tcBorders>
              <w:top w:val="single" w:sz="6" w:space="0" w:color="auto"/>
              <w:left w:val="single" w:sz="6" w:space="0" w:color="auto"/>
              <w:bottom w:val="single" w:sz="6" w:space="0" w:color="auto"/>
              <w:right w:val="single" w:sz="6" w:space="0" w:color="auto"/>
            </w:tcBorders>
          </w:tcPr>
          <w:p w14:paraId="5837BF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w:t>
            </w:r>
          </w:p>
        </w:tc>
        <w:tc>
          <w:tcPr>
            <w:tcW w:w="825" w:type="dxa"/>
            <w:gridSpan w:val="2"/>
            <w:tcBorders>
              <w:top w:val="single" w:sz="6" w:space="0" w:color="auto"/>
              <w:left w:val="single" w:sz="6" w:space="0" w:color="auto"/>
              <w:bottom w:val="single" w:sz="6" w:space="0" w:color="auto"/>
              <w:right w:val="single" w:sz="6" w:space="0" w:color="auto"/>
            </w:tcBorders>
          </w:tcPr>
          <w:p w14:paraId="6DABA9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6D9672A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41" w:type="dxa"/>
            <w:gridSpan w:val="2"/>
            <w:tcBorders>
              <w:top w:val="single" w:sz="6" w:space="0" w:color="auto"/>
              <w:left w:val="single" w:sz="6" w:space="0" w:color="auto"/>
              <w:bottom w:val="single" w:sz="6" w:space="0" w:color="auto"/>
              <w:right w:val="single" w:sz="6" w:space="0" w:color="auto"/>
            </w:tcBorders>
          </w:tcPr>
          <w:p w14:paraId="3FB863B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w:t>
            </w:r>
          </w:p>
        </w:tc>
        <w:tc>
          <w:tcPr>
            <w:tcW w:w="641" w:type="dxa"/>
            <w:gridSpan w:val="2"/>
            <w:tcBorders>
              <w:top w:val="single" w:sz="6" w:space="0" w:color="auto"/>
              <w:left w:val="single" w:sz="6" w:space="0" w:color="auto"/>
              <w:bottom w:val="single" w:sz="6" w:space="0" w:color="auto"/>
              <w:right w:val="single" w:sz="6" w:space="0" w:color="auto"/>
            </w:tcBorders>
          </w:tcPr>
          <w:p w14:paraId="1FD6BD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0C28E7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1848B9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w:t>
            </w:r>
          </w:p>
        </w:tc>
        <w:tc>
          <w:tcPr>
            <w:tcW w:w="641" w:type="dxa"/>
            <w:gridSpan w:val="2"/>
            <w:tcBorders>
              <w:top w:val="single" w:sz="6" w:space="0" w:color="auto"/>
              <w:left w:val="single" w:sz="6" w:space="0" w:color="auto"/>
              <w:bottom w:val="single" w:sz="6" w:space="0" w:color="auto"/>
              <w:right w:val="single" w:sz="6" w:space="0" w:color="auto"/>
            </w:tcBorders>
          </w:tcPr>
          <w:p w14:paraId="390198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0D4546E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549" w:type="dxa"/>
            <w:tcBorders>
              <w:top w:val="single" w:sz="6" w:space="0" w:color="auto"/>
              <w:left w:val="single" w:sz="6" w:space="0" w:color="auto"/>
              <w:bottom w:val="single" w:sz="6" w:space="0" w:color="auto"/>
              <w:right w:val="single" w:sz="6" w:space="0" w:color="auto"/>
            </w:tcBorders>
          </w:tcPr>
          <w:p w14:paraId="35BD56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549" w:type="dxa"/>
            <w:gridSpan w:val="2"/>
            <w:tcBorders>
              <w:top w:val="single" w:sz="6" w:space="0" w:color="auto"/>
              <w:left w:val="single" w:sz="6" w:space="0" w:color="auto"/>
              <w:bottom w:val="single" w:sz="6" w:space="0" w:color="auto"/>
              <w:right w:val="single" w:sz="6" w:space="0" w:color="auto"/>
            </w:tcBorders>
          </w:tcPr>
          <w:p w14:paraId="3B9DAD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33" w:type="dxa"/>
            <w:gridSpan w:val="2"/>
            <w:tcBorders>
              <w:top w:val="single" w:sz="6" w:space="0" w:color="auto"/>
              <w:left w:val="single" w:sz="6" w:space="0" w:color="auto"/>
              <w:bottom w:val="single" w:sz="6" w:space="0" w:color="auto"/>
              <w:right w:val="single" w:sz="6" w:space="0" w:color="auto"/>
            </w:tcBorders>
          </w:tcPr>
          <w:p w14:paraId="2B053B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w:t>
            </w:r>
          </w:p>
        </w:tc>
        <w:tc>
          <w:tcPr>
            <w:tcW w:w="1024" w:type="dxa"/>
            <w:gridSpan w:val="2"/>
            <w:tcBorders>
              <w:top w:val="single" w:sz="6" w:space="0" w:color="auto"/>
              <w:left w:val="single" w:sz="6" w:space="0" w:color="auto"/>
              <w:bottom w:val="single" w:sz="6" w:space="0" w:color="auto"/>
              <w:right w:val="single" w:sz="12" w:space="0" w:color="auto"/>
            </w:tcBorders>
          </w:tcPr>
          <w:p w14:paraId="02D3B3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69</w:t>
            </w:r>
          </w:p>
        </w:tc>
      </w:tr>
      <w:tr w:rsidR="00643896" w:rsidRPr="00640820" w14:paraId="331B795F" w14:textId="77777777" w:rsidTr="000D3BCB">
        <w:tc>
          <w:tcPr>
            <w:tcW w:w="917" w:type="dxa"/>
            <w:tcBorders>
              <w:top w:val="single" w:sz="6" w:space="0" w:color="auto"/>
              <w:left w:val="single" w:sz="12" w:space="0" w:color="auto"/>
              <w:bottom w:val="single" w:sz="6" w:space="0" w:color="auto"/>
              <w:right w:val="single" w:sz="6" w:space="0" w:color="auto"/>
            </w:tcBorders>
          </w:tcPr>
          <w:p w14:paraId="58FD1D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ПЕ-2</w:t>
            </w:r>
          </w:p>
        </w:tc>
        <w:tc>
          <w:tcPr>
            <w:tcW w:w="917" w:type="dxa"/>
            <w:gridSpan w:val="2"/>
            <w:tcBorders>
              <w:top w:val="single" w:sz="6" w:space="0" w:color="auto"/>
              <w:left w:val="single" w:sz="6" w:space="0" w:color="auto"/>
              <w:bottom w:val="single" w:sz="6" w:space="0" w:color="auto"/>
              <w:right w:val="single" w:sz="6" w:space="0" w:color="auto"/>
            </w:tcBorders>
          </w:tcPr>
          <w:p w14:paraId="0173471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39</w:t>
            </w:r>
          </w:p>
        </w:tc>
        <w:tc>
          <w:tcPr>
            <w:tcW w:w="825" w:type="dxa"/>
            <w:gridSpan w:val="2"/>
            <w:tcBorders>
              <w:top w:val="single" w:sz="6" w:space="0" w:color="auto"/>
              <w:left w:val="single" w:sz="6" w:space="0" w:color="auto"/>
              <w:bottom w:val="single" w:sz="6" w:space="0" w:color="auto"/>
              <w:right w:val="single" w:sz="6" w:space="0" w:color="auto"/>
            </w:tcBorders>
          </w:tcPr>
          <w:p w14:paraId="3E7B77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2192256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41" w:type="dxa"/>
            <w:gridSpan w:val="2"/>
            <w:tcBorders>
              <w:top w:val="single" w:sz="6" w:space="0" w:color="auto"/>
              <w:left w:val="single" w:sz="6" w:space="0" w:color="auto"/>
              <w:bottom w:val="single" w:sz="6" w:space="0" w:color="auto"/>
              <w:right w:val="single" w:sz="6" w:space="0" w:color="auto"/>
            </w:tcBorders>
          </w:tcPr>
          <w:p w14:paraId="7EB2C2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73</w:t>
            </w:r>
          </w:p>
        </w:tc>
        <w:tc>
          <w:tcPr>
            <w:tcW w:w="641" w:type="dxa"/>
            <w:gridSpan w:val="2"/>
            <w:tcBorders>
              <w:top w:val="single" w:sz="6" w:space="0" w:color="auto"/>
              <w:left w:val="single" w:sz="6" w:space="0" w:color="auto"/>
              <w:bottom w:val="single" w:sz="6" w:space="0" w:color="auto"/>
              <w:right w:val="single" w:sz="6" w:space="0" w:color="auto"/>
            </w:tcBorders>
          </w:tcPr>
          <w:p w14:paraId="2AE63F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63</w:t>
            </w:r>
          </w:p>
        </w:tc>
        <w:tc>
          <w:tcPr>
            <w:tcW w:w="641" w:type="dxa"/>
            <w:gridSpan w:val="2"/>
            <w:tcBorders>
              <w:top w:val="single" w:sz="6" w:space="0" w:color="auto"/>
              <w:left w:val="single" w:sz="6" w:space="0" w:color="auto"/>
              <w:bottom w:val="single" w:sz="6" w:space="0" w:color="auto"/>
              <w:right w:val="single" w:sz="6" w:space="0" w:color="auto"/>
            </w:tcBorders>
          </w:tcPr>
          <w:p w14:paraId="5E10A6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3FD95A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136</w:t>
            </w:r>
          </w:p>
        </w:tc>
        <w:tc>
          <w:tcPr>
            <w:tcW w:w="641" w:type="dxa"/>
            <w:gridSpan w:val="2"/>
            <w:tcBorders>
              <w:top w:val="single" w:sz="6" w:space="0" w:color="auto"/>
              <w:left w:val="single" w:sz="6" w:space="0" w:color="auto"/>
              <w:bottom w:val="single" w:sz="6" w:space="0" w:color="auto"/>
              <w:right w:val="single" w:sz="6" w:space="0" w:color="auto"/>
            </w:tcBorders>
          </w:tcPr>
          <w:p w14:paraId="1077A9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59A06FD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549" w:type="dxa"/>
            <w:tcBorders>
              <w:top w:val="single" w:sz="6" w:space="0" w:color="auto"/>
              <w:left w:val="single" w:sz="6" w:space="0" w:color="auto"/>
              <w:bottom w:val="single" w:sz="6" w:space="0" w:color="auto"/>
              <w:right w:val="single" w:sz="6" w:space="0" w:color="auto"/>
            </w:tcBorders>
          </w:tcPr>
          <w:p w14:paraId="7AEF79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549" w:type="dxa"/>
            <w:gridSpan w:val="2"/>
            <w:tcBorders>
              <w:top w:val="single" w:sz="6" w:space="0" w:color="auto"/>
              <w:left w:val="single" w:sz="6" w:space="0" w:color="auto"/>
              <w:bottom w:val="single" w:sz="6" w:space="0" w:color="auto"/>
              <w:right w:val="single" w:sz="6" w:space="0" w:color="auto"/>
            </w:tcBorders>
          </w:tcPr>
          <w:p w14:paraId="5025456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33" w:type="dxa"/>
            <w:gridSpan w:val="2"/>
            <w:tcBorders>
              <w:top w:val="single" w:sz="6" w:space="0" w:color="auto"/>
              <w:left w:val="single" w:sz="6" w:space="0" w:color="auto"/>
              <w:bottom w:val="single" w:sz="6" w:space="0" w:color="auto"/>
              <w:right w:val="single" w:sz="6" w:space="0" w:color="auto"/>
            </w:tcBorders>
          </w:tcPr>
          <w:p w14:paraId="40E34A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136</w:t>
            </w:r>
          </w:p>
        </w:tc>
        <w:tc>
          <w:tcPr>
            <w:tcW w:w="1024" w:type="dxa"/>
            <w:gridSpan w:val="2"/>
            <w:tcBorders>
              <w:top w:val="single" w:sz="6" w:space="0" w:color="auto"/>
              <w:left w:val="single" w:sz="6" w:space="0" w:color="auto"/>
              <w:bottom w:val="single" w:sz="6" w:space="0" w:color="auto"/>
              <w:right w:val="single" w:sz="12" w:space="0" w:color="auto"/>
            </w:tcBorders>
          </w:tcPr>
          <w:p w14:paraId="6AAABCD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303</w:t>
            </w:r>
          </w:p>
        </w:tc>
      </w:tr>
      <w:tr w:rsidR="00643896" w:rsidRPr="00640820" w14:paraId="04EC380E" w14:textId="77777777" w:rsidTr="000D3BCB">
        <w:tc>
          <w:tcPr>
            <w:tcW w:w="917" w:type="dxa"/>
            <w:tcBorders>
              <w:top w:val="single" w:sz="6" w:space="0" w:color="auto"/>
              <w:left w:val="single" w:sz="12" w:space="0" w:color="auto"/>
              <w:bottom w:val="single" w:sz="6" w:space="0" w:color="auto"/>
              <w:right w:val="single" w:sz="6" w:space="0" w:color="auto"/>
            </w:tcBorders>
          </w:tcPr>
          <w:p w14:paraId="400BEF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ДБ-Зф</w:t>
            </w:r>
          </w:p>
        </w:tc>
        <w:tc>
          <w:tcPr>
            <w:tcW w:w="917" w:type="dxa"/>
            <w:gridSpan w:val="2"/>
            <w:tcBorders>
              <w:top w:val="single" w:sz="6" w:space="0" w:color="auto"/>
              <w:left w:val="single" w:sz="6" w:space="0" w:color="auto"/>
              <w:bottom w:val="single" w:sz="6" w:space="0" w:color="auto"/>
              <w:right w:val="single" w:sz="6" w:space="0" w:color="auto"/>
            </w:tcBorders>
          </w:tcPr>
          <w:p w14:paraId="24E65D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39</w:t>
            </w:r>
          </w:p>
        </w:tc>
        <w:tc>
          <w:tcPr>
            <w:tcW w:w="825" w:type="dxa"/>
            <w:gridSpan w:val="2"/>
            <w:tcBorders>
              <w:top w:val="single" w:sz="6" w:space="0" w:color="auto"/>
              <w:left w:val="single" w:sz="6" w:space="0" w:color="auto"/>
              <w:bottom w:val="single" w:sz="6" w:space="0" w:color="auto"/>
              <w:right w:val="single" w:sz="6" w:space="0" w:color="auto"/>
            </w:tcBorders>
          </w:tcPr>
          <w:p w14:paraId="34ABCB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3DAC48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41" w:type="dxa"/>
            <w:gridSpan w:val="2"/>
            <w:tcBorders>
              <w:top w:val="single" w:sz="6" w:space="0" w:color="auto"/>
              <w:left w:val="single" w:sz="6" w:space="0" w:color="auto"/>
              <w:bottom w:val="single" w:sz="6" w:space="0" w:color="auto"/>
              <w:right w:val="single" w:sz="6" w:space="0" w:color="auto"/>
            </w:tcBorders>
          </w:tcPr>
          <w:p w14:paraId="155F4D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641" w:type="dxa"/>
            <w:gridSpan w:val="2"/>
            <w:tcBorders>
              <w:top w:val="single" w:sz="6" w:space="0" w:color="auto"/>
              <w:left w:val="single" w:sz="6" w:space="0" w:color="auto"/>
              <w:bottom w:val="single" w:sz="6" w:space="0" w:color="auto"/>
              <w:right w:val="single" w:sz="6" w:space="0" w:color="auto"/>
            </w:tcBorders>
          </w:tcPr>
          <w:p w14:paraId="04388D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0895CA1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757793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076739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1E22C9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549" w:type="dxa"/>
            <w:tcBorders>
              <w:top w:val="single" w:sz="6" w:space="0" w:color="auto"/>
              <w:left w:val="single" w:sz="6" w:space="0" w:color="auto"/>
              <w:bottom w:val="single" w:sz="6" w:space="0" w:color="auto"/>
              <w:right w:val="single" w:sz="6" w:space="0" w:color="auto"/>
            </w:tcBorders>
          </w:tcPr>
          <w:p w14:paraId="3792FF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549" w:type="dxa"/>
            <w:gridSpan w:val="2"/>
            <w:tcBorders>
              <w:top w:val="single" w:sz="6" w:space="0" w:color="auto"/>
              <w:left w:val="single" w:sz="6" w:space="0" w:color="auto"/>
              <w:bottom w:val="single" w:sz="6" w:space="0" w:color="auto"/>
              <w:right w:val="single" w:sz="6" w:space="0" w:color="auto"/>
            </w:tcBorders>
          </w:tcPr>
          <w:p w14:paraId="1D5EA7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33" w:type="dxa"/>
            <w:gridSpan w:val="2"/>
            <w:tcBorders>
              <w:top w:val="single" w:sz="6" w:space="0" w:color="auto"/>
              <w:left w:val="single" w:sz="6" w:space="0" w:color="auto"/>
              <w:bottom w:val="single" w:sz="6" w:space="0" w:color="auto"/>
              <w:right w:val="single" w:sz="6" w:space="0" w:color="auto"/>
            </w:tcBorders>
          </w:tcPr>
          <w:p w14:paraId="534834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1024" w:type="dxa"/>
            <w:gridSpan w:val="2"/>
            <w:tcBorders>
              <w:top w:val="single" w:sz="6" w:space="0" w:color="auto"/>
              <w:left w:val="single" w:sz="6" w:space="0" w:color="auto"/>
              <w:bottom w:val="single" w:sz="6" w:space="0" w:color="auto"/>
              <w:right w:val="single" w:sz="12" w:space="0" w:color="auto"/>
            </w:tcBorders>
          </w:tcPr>
          <w:p w14:paraId="141F04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44</w:t>
            </w:r>
          </w:p>
        </w:tc>
      </w:tr>
      <w:tr w:rsidR="00643896" w:rsidRPr="00640820" w14:paraId="31C74DAE" w14:textId="77777777" w:rsidTr="000D3BCB">
        <w:tc>
          <w:tcPr>
            <w:tcW w:w="917" w:type="dxa"/>
            <w:tcBorders>
              <w:top w:val="single" w:sz="6" w:space="0" w:color="auto"/>
              <w:left w:val="single" w:sz="12" w:space="0" w:color="auto"/>
              <w:bottom w:val="single" w:sz="6" w:space="0" w:color="auto"/>
              <w:right w:val="single" w:sz="6" w:space="0" w:color="auto"/>
            </w:tcBorders>
          </w:tcPr>
          <w:p w14:paraId="752F1A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СУ-2</w:t>
            </w:r>
          </w:p>
        </w:tc>
        <w:tc>
          <w:tcPr>
            <w:tcW w:w="917" w:type="dxa"/>
            <w:gridSpan w:val="2"/>
            <w:tcBorders>
              <w:top w:val="single" w:sz="6" w:space="0" w:color="auto"/>
              <w:left w:val="single" w:sz="6" w:space="0" w:color="auto"/>
              <w:bottom w:val="single" w:sz="6" w:space="0" w:color="auto"/>
              <w:right w:val="single" w:sz="6" w:space="0" w:color="auto"/>
            </w:tcBorders>
          </w:tcPr>
          <w:p w14:paraId="2B24CA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135</w:t>
            </w:r>
          </w:p>
        </w:tc>
        <w:tc>
          <w:tcPr>
            <w:tcW w:w="825" w:type="dxa"/>
            <w:gridSpan w:val="2"/>
            <w:tcBorders>
              <w:top w:val="single" w:sz="6" w:space="0" w:color="auto"/>
              <w:left w:val="single" w:sz="6" w:space="0" w:color="auto"/>
              <w:bottom w:val="single" w:sz="6" w:space="0" w:color="auto"/>
              <w:right w:val="single" w:sz="6" w:space="0" w:color="auto"/>
            </w:tcBorders>
          </w:tcPr>
          <w:p w14:paraId="3D84CC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2A98B8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41" w:type="dxa"/>
            <w:gridSpan w:val="2"/>
            <w:tcBorders>
              <w:top w:val="single" w:sz="6" w:space="0" w:color="auto"/>
              <w:left w:val="single" w:sz="6" w:space="0" w:color="auto"/>
              <w:bottom w:val="single" w:sz="6" w:space="0" w:color="auto"/>
              <w:right w:val="single" w:sz="6" w:space="0" w:color="auto"/>
            </w:tcBorders>
          </w:tcPr>
          <w:p w14:paraId="3FD9BA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94</w:t>
            </w:r>
          </w:p>
        </w:tc>
        <w:tc>
          <w:tcPr>
            <w:tcW w:w="641" w:type="dxa"/>
            <w:gridSpan w:val="2"/>
            <w:tcBorders>
              <w:top w:val="single" w:sz="6" w:space="0" w:color="auto"/>
              <w:left w:val="single" w:sz="6" w:space="0" w:color="auto"/>
              <w:bottom w:val="single" w:sz="6" w:space="0" w:color="auto"/>
              <w:right w:val="single" w:sz="6" w:space="0" w:color="auto"/>
            </w:tcBorders>
          </w:tcPr>
          <w:p w14:paraId="1ECC94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117</w:t>
            </w:r>
          </w:p>
        </w:tc>
        <w:tc>
          <w:tcPr>
            <w:tcW w:w="641" w:type="dxa"/>
            <w:gridSpan w:val="2"/>
            <w:tcBorders>
              <w:top w:val="single" w:sz="6" w:space="0" w:color="auto"/>
              <w:left w:val="single" w:sz="6" w:space="0" w:color="auto"/>
              <w:bottom w:val="single" w:sz="6" w:space="0" w:color="auto"/>
              <w:right w:val="single" w:sz="6" w:space="0" w:color="auto"/>
            </w:tcBorders>
          </w:tcPr>
          <w:p w14:paraId="296906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87</w:t>
            </w:r>
          </w:p>
        </w:tc>
        <w:tc>
          <w:tcPr>
            <w:tcW w:w="641" w:type="dxa"/>
            <w:gridSpan w:val="2"/>
            <w:tcBorders>
              <w:top w:val="single" w:sz="6" w:space="0" w:color="auto"/>
              <w:left w:val="single" w:sz="6" w:space="0" w:color="auto"/>
              <w:bottom w:val="single" w:sz="6" w:space="0" w:color="auto"/>
              <w:right w:val="single" w:sz="6" w:space="0" w:color="auto"/>
            </w:tcBorders>
          </w:tcPr>
          <w:p w14:paraId="3D20CD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298</w:t>
            </w:r>
          </w:p>
        </w:tc>
        <w:tc>
          <w:tcPr>
            <w:tcW w:w="641" w:type="dxa"/>
            <w:gridSpan w:val="2"/>
            <w:tcBorders>
              <w:top w:val="single" w:sz="6" w:space="0" w:color="auto"/>
              <w:left w:val="single" w:sz="6" w:space="0" w:color="auto"/>
              <w:bottom w:val="single" w:sz="6" w:space="0" w:color="auto"/>
              <w:right w:val="single" w:sz="6" w:space="0" w:color="auto"/>
            </w:tcBorders>
          </w:tcPr>
          <w:p w14:paraId="2E6D91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w:t>
            </w:r>
          </w:p>
        </w:tc>
        <w:tc>
          <w:tcPr>
            <w:tcW w:w="641" w:type="dxa"/>
            <w:gridSpan w:val="2"/>
            <w:tcBorders>
              <w:top w:val="single" w:sz="6" w:space="0" w:color="auto"/>
              <w:left w:val="single" w:sz="6" w:space="0" w:color="auto"/>
              <w:bottom w:val="single" w:sz="6" w:space="0" w:color="auto"/>
              <w:right w:val="single" w:sz="6" w:space="0" w:color="auto"/>
            </w:tcBorders>
          </w:tcPr>
          <w:p w14:paraId="3C6AD9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549" w:type="dxa"/>
            <w:tcBorders>
              <w:top w:val="single" w:sz="6" w:space="0" w:color="auto"/>
              <w:left w:val="single" w:sz="6" w:space="0" w:color="auto"/>
              <w:bottom w:val="single" w:sz="6" w:space="0" w:color="auto"/>
              <w:right w:val="single" w:sz="6" w:space="0" w:color="auto"/>
            </w:tcBorders>
          </w:tcPr>
          <w:p w14:paraId="6A1AC7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w:t>
            </w:r>
          </w:p>
        </w:tc>
        <w:tc>
          <w:tcPr>
            <w:tcW w:w="549" w:type="dxa"/>
            <w:gridSpan w:val="2"/>
            <w:tcBorders>
              <w:top w:val="single" w:sz="6" w:space="0" w:color="auto"/>
              <w:left w:val="single" w:sz="6" w:space="0" w:color="auto"/>
              <w:bottom w:val="single" w:sz="6" w:space="0" w:color="auto"/>
              <w:right w:val="single" w:sz="6" w:space="0" w:color="auto"/>
            </w:tcBorders>
          </w:tcPr>
          <w:p w14:paraId="205500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w:t>
            </w:r>
          </w:p>
        </w:tc>
        <w:tc>
          <w:tcPr>
            <w:tcW w:w="733" w:type="dxa"/>
            <w:gridSpan w:val="2"/>
            <w:tcBorders>
              <w:top w:val="single" w:sz="6" w:space="0" w:color="auto"/>
              <w:left w:val="single" w:sz="6" w:space="0" w:color="auto"/>
              <w:bottom w:val="single" w:sz="6" w:space="0" w:color="auto"/>
              <w:right w:val="single" w:sz="6" w:space="0" w:color="auto"/>
            </w:tcBorders>
          </w:tcPr>
          <w:p w14:paraId="781114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320</w:t>
            </w:r>
          </w:p>
        </w:tc>
        <w:tc>
          <w:tcPr>
            <w:tcW w:w="1024" w:type="dxa"/>
            <w:gridSpan w:val="2"/>
            <w:tcBorders>
              <w:top w:val="single" w:sz="6" w:space="0" w:color="auto"/>
              <w:left w:val="single" w:sz="6" w:space="0" w:color="auto"/>
              <w:bottom w:val="single" w:sz="6" w:space="0" w:color="auto"/>
              <w:right w:val="single" w:sz="12" w:space="0" w:color="auto"/>
            </w:tcBorders>
          </w:tcPr>
          <w:p w14:paraId="4246D0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636</w:t>
            </w:r>
          </w:p>
        </w:tc>
      </w:tr>
      <w:tr w:rsidR="00643896" w:rsidRPr="00640820" w14:paraId="3461E7E8" w14:textId="77777777" w:rsidTr="000D3BCB">
        <w:tc>
          <w:tcPr>
            <w:tcW w:w="917" w:type="dxa"/>
            <w:tcBorders>
              <w:top w:val="single" w:sz="6" w:space="0" w:color="auto"/>
              <w:left w:val="single" w:sz="12" w:space="0" w:color="auto"/>
              <w:bottom w:val="single" w:sz="6" w:space="0" w:color="auto"/>
              <w:right w:val="single" w:sz="6" w:space="0" w:color="auto"/>
            </w:tcBorders>
          </w:tcPr>
          <w:p w14:paraId="45FBEA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СУ-2</w:t>
            </w:r>
          </w:p>
        </w:tc>
        <w:tc>
          <w:tcPr>
            <w:tcW w:w="917" w:type="dxa"/>
            <w:gridSpan w:val="2"/>
            <w:tcBorders>
              <w:top w:val="single" w:sz="6" w:space="0" w:color="auto"/>
              <w:left w:val="single" w:sz="6" w:space="0" w:color="auto"/>
              <w:bottom w:val="single" w:sz="6" w:space="0" w:color="auto"/>
              <w:right w:val="single" w:sz="6" w:space="0" w:color="auto"/>
            </w:tcBorders>
          </w:tcPr>
          <w:p w14:paraId="6C536B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207</w:t>
            </w:r>
          </w:p>
        </w:tc>
        <w:tc>
          <w:tcPr>
            <w:tcW w:w="825" w:type="dxa"/>
            <w:gridSpan w:val="2"/>
            <w:tcBorders>
              <w:top w:val="single" w:sz="6" w:space="0" w:color="auto"/>
              <w:left w:val="single" w:sz="6" w:space="0" w:color="auto"/>
              <w:bottom w:val="single" w:sz="6" w:space="0" w:color="auto"/>
              <w:right w:val="single" w:sz="6" w:space="0" w:color="auto"/>
            </w:tcBorders>
          </w:tcPr>
          <w:p w14:paraId="574786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6DEF1D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41" w:type="dxa"/>
            <w:gridSpan w:val="2"/>
            <w:tcBorders>
              <w:top w:val="single" w:sz="6" w:space="0" w:color="auto"/>
              <w:left w:val="single" w:sz="6" w:space="0" w:color="auto"/>
              <w:bottom w:val="single" w:sz="6" w:space="0" w:color="auto"/>
              <w:right w:val="single" w:sz="6" w:space="0" w:color="auto"/>
            </w:tcBorders>
          </w:tcPr>
          <w:p w14:paraId="09389F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w:t>
            </w:r>
          </w:p>
        </w:tc>
        <w:tc>
          <w:tcPr>
            <w:tcW w:w="641" w:type="dxa"/>
            <w:gridSpan w:val="2"/>
            <w:tcBorders>
              <w:top w:val="single" w:sz="6" w:space="0" w:color="auto"/>
              <w:left w:val="single" w:sz="6" w:space="0" w:color="auto"/>
              <w:bottom w:val="single" w:sz="6" w:space="0" w:color="auto"/>
              <w:right w:val="single" w:sz="6" w:space="0" w:color="auto"/>
            </w:tcBorders>
          </w:tcPr>
          <w:p w14:paraId="5C4FDB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641" w:type="dxa"/>
            <w:gridSpan w:val="2"/>
            <w:tcBorders>
              <w:top w:val="single" w:sz="6" w:space="0" w:color="auto"/>
              <w:left w:val="single" w:sz="6" w:space="0" w:color="auto"/>
              <w:bottom w:val="single" w:sz="6" w:space="0" w:color="auto"/>
              <w:right w:val="single" w:sz="6" w:space="0" w:color="auto"/>
            </w:tcBorders>
          </w:tcPr>
          <w:p w14:paraId="7E9317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35</w:t>
            </w:r>
          </w:p>
        </w:tc>
        <w:tc>
          <w:tcPr>
            <w:tcW w:w="641" w:type="dxa"/>
            <w:gridSpan w:val="2"/>
            <w:tcBorders>
              <w:top w:val="single" w:sz="6" w:space="0" w:color="auto"/>
              <w:left w:val="single" w:sz="6" w:space="0" w:color="auto"/>
              <w:bottom w:val="single" w:sz="6" w:space="0" w:color="auto"/>
              <w:right w:val="single" w:sz="6" w:space="0" w:color="auto"/>
            </w:tcBorders>
          </w:tcPr>
          <w:p w14:paraId="6C030A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w:t>
            </w:r>
          </w:p>
        </w:tc>
        <w:tc>
          <w:tcPr>
            <w:tcW w:w="641" w:type="dxa"/>
            <w:gridSpan w:val="2"/>
            <w:tcBorders>
              <w:top w:val="single" w:sz="6" w:space="0" w:color="auto"/>
              <w:left w:val="single" w:sz="6" w:space="0" w:color="auto"/>
              <w:bottom w:val="single" w:sz="6" w:space="0" w:color="auto"/>
              <w:right w:val="single" w:sz="6" w:space="0" w:color="auto"/>
            </w:tcBorders>
          </w:tcPr>
          <w:p w14:paraId="4BA469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7D81DD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549" w:type="dxa"/>
            <w:tcBorders>
              <w:top w:val="single" w:sz="6" w:space="0" w:color="auto"/>
              <w:left w:val="single" w:sz="6" w:space="0" w:color="auto"/>
              <w:bottom w:val="single" w:sz="6" w:space="0" w:color="auto"/>
              <w:right w:val="single" w:sz="6" w:space="0" w:color="auto"/>
            </w:tcBorders>
          </w:tcPr>
          <w:p w14:paraId="7A28EC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549" w:type="dxa"/>
            <w:gridSpan w:val="2"/>
            <w:tcBorders>
              <w:top w:val="single" w:sz="6" w:space="0" w:color="auto"/>
              <w:left w:val="single" w:sz="6" w:space="0" w:color="auto"/>
              <w:bottom w:val="single" w:sz="6" w:space="0" w:color="auto"/>
              <w:right w:val="single" w:sz="6" w:space="0" w:color="auto"/>
            </w:tcBorders>
          </w:tcPr>
          <w:p w14:paraId="0EF5AD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w:t>
            </w:r>
          </w:p>
        </w:tc>
        <w:tc>
          <w:tcPr>
            <w:tcW w:w="733" w:type="dxa"/>
            <w:gridSpan w:val="2"/>
            <w:tcBorders>
              <w:top w:val="single" w:sz="6" w:space="0" w:color="auto"/>
              <w:left w:val="single" w:sz="6" w:space="0" w:color="auto"/>
              <w:bottom w:val="single" w:sz="6" w:space="0" w:color="auto"/>
              <w:right w:val="single" w:sz="6" w:space="0" w:color="auto"/>
            </w:tcBorders>
          </w:tcPr>
          <w:p w14:paraId="01FDD5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47</w:t>
            </w:r>
          </w:p>
        </w:tc>
        <w:tc>
          <w:tcPr>
            <w:tcW w:w="1024" w:type="dxa"/>
            <w:gridSpan w:val="2"/>
            <w:tcBorders>
              <w:top w:val="single" w:sz="6" w:space="0" w:color="auto"/>
              <w:left w:val="single" w:sz="6" w:space="0" w:color="auto"/>
              <w:bottom w:val="single" w:sz="6" w:space="0" w:color="auto"/>
              <w:right w:val="single" w:sz="12" w:space="0" w:color="auto"/>
            </w:tcBorders>
          </w:tcPr>
          <w:p w14:paraId="01E7CA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89</w:t>
            </w:r>
          </w:p>
        </w:tc>
      </w:tr>
      <w:tr w:rsidR="00643896" w:rsidRPr="00640820" w14:paraId="1D24F349" w14:textId="77777777" w:rsidTr="000D3BCB">
        <w:tc>
          <w:tcPr>
            <w:tcW w:w="917" w:type="dxa"/>
            <w:tcBorders>
              <w:top w:val="single" w:sz="6" w:space="0" w:color="auto"/>
              <w:left w:val="single" w:sz="12" w:space="0" w:color="auto"/>
              <w:bottom w:val="single" w:sz="6" w:space="0" w:color="auto"/>
              <w:right w:val="single" w:sz="6" w:space="0" w:color="auto"/>
            </w:tcBorders>
          </w:tcPr>
          <w:p w14:paraId="2B0A84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ЯК-4</w:t>
            </w:r>
          </w:p>
        </w:tc>
        <w:tc>
          <w:tcPr>
            <w:tcW w:w="917" w:type="dxa"/>
            <w:gridSpan w:val="2"/>
            <w:tcBorders>
              <w:top w:val="single" w:sz="6" w:space="0" w:color="auto"/>
              <w:left w:val="single" w:sz="6" w:space="0" w:color="auto"/>
              <w:bottom w:val="single" w:sz="6" w:space="0" w:color="auto"/>
              <w:right w:val="single" w:sz="6" w:space="0" w:color="auto"/>
            </w:tcBorders>
          </w:tcPr>
          <w:p w14:paraId="4D7796B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81</w:t>
            </w:r>
          </w:p>
        </w:tc>
        <w:tc>
          <w:tcPr>
            <w:tcW w:w="825" w:type="dxa"/>
            <w:gridSpan w:val="2"/>
            <w:tcBorders>
              <w:top w:val="single" w:sz="6" w:space="0" w:color="auto"/>
              <w:left w:val="single" w:sz="6" w:space="0" w:color="auto"/>
              <w:bottom w:val="single" w:sz="6" w:space="0" w:color="auto"/>
              <w:right w:val="single" w:sz="6" w:space="0" w:color="auto"/>
            </w:tcBorders>
          </w:tcPr>
          <w:p w14:paraId="7FDE08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03E7DA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41" w:type="dxa"/>
            <w:gridSpan w:val="2"/>
            <w:tcBorders>
              <w:top w:val="single" w:sz="6" w:space="0" w:color="auto"/>
              <w:left w:val="single" w:sz="6" w:space="0" w:color="auto"/>
              <w:bottom w:val="single" w:sz="6" w:space="0" w:color="auto"/>
              <w:right w:val="single" w:sz="6" w:space="0" w:color="auto"/>
            </w:tcBorders>
          </w:tcPr>
          <w:p w14:paraId="70B828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63F918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6623ED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0B4D90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39ACE2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38765E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549" w:type="dxa"/>
            <w:tcBorders>
              <w:top w:val="single" w:sz="6" w:space="0" w:color="auto"/>
              <w:left w:val="single" w:sz="6" w:space="0" w:color="auto"/>
              <w:bottom w:val="single" w:sz="6" w:space="0" w:color="auto"/>
              <w:right w:val="single" w:sz="6" w:space="0" w:color="auto"/>
            </w:tcBorders>
          </w:tcPr>
          <w:p w14:paraId="3021144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549" w:type="dxa"/>
            <w:gridSpan w:val="2"/>
            <w:tcBorders>
              <w:top w:val="single" w:sz="6" w:space="0" w:color="auto"/>
              <w:left w:val="single" w:sz="6" w:space="0" w:color="auto"/>
              <w:bottom w:val="single" w:sz="6" w:space="0" w:color="auto"/>
              <w:right w:val="single" w:sz="6" w:space="0" w:color="auto"/>
            </w:tcBorders>
          </w:tcPr>
          <w:p w14:paraId="0013CE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33" w:type="dxa"/>
            <w:gridSpan w:val="2"/>
            <w:tcBorders>
              <w:top w:val="single" w:sz="6" w:space="0" w:color="auto"/>
              <w:left w:val="single" w:sz="6" w:space="0" w:color="auto"/>
              <w:bottom w:val="single" w:sz="6" w:space="0" w:color="auto"/>
              <w:right w:val="single" w:sz="6" w:space="0" w:color="auto"/>
            </w:tcBorders>
          </w:tcPr>
          <w:p w14:paraId="12D83F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024" w:type="dxa"/>
            <w:gridSpan w:val="2"/>
            <w:tcBorders>
              <w:top w:val="single" w:sz="6" w:space="0" w:color="auto"/>
              <w:left w:val="single" w:sz="6" w:space="0" w:color="auto"/>
              <w:bottom w:val="single" w:sz="6" w:space="0" w:color="auto"/>
              <w:right w:val="single" w:sz="12" w:space="0" w:color="auto"/>
            </w:tcBorders>
          </w:tcPr>
          <w:p w14:paraId="0D1942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63 \495\ </w:t>
            </w:r>
          </w:p>
        </w:tc>
      </w:tr>
      <w:tr w:rsidR="00643896" w:rsidRPr="00640820" w14:paraId="742840ED" w14:textId="77777777" w:rsidTr="000D3BCB">
        <w:tc>
          <w:tcPr>
            <w:tcW w:w="917" w:type="dxa"/>
            <w:tcBorders>
              <w:top w:val="single" w:sz="6" w:space="0" w:color="auto"/>
              <w:left w:val="single" w:sz="12" w:space="0" w:color="auto"/>
              <w:bottom w:val="single" w:sz="6" w:space="0" w:color="auto"/>
              <w:right w:val="single" w:sz="6" w:space="0" w:color="auto"/>
            </w:tcBorders>
          </w:tcPr>
          <w:p w14:paraId="2D95F1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ДБ-Зф</w:t>
            </w:r>
          </w:p>
        </w:tc>
        <w:tc>
          <w:tcPr>
            <w:tcW w:w="917" w:type="dxa"/>
            <w:gridSpan w:val="2"/>
            <w:tcBorders>
              <w:top w:val="single" w:sz="6" w:space="0" w:color="auto"/>
              <w:left w:val="single" w:sz="6" w:space="0" w:color="auto"/>
              <w:bottom w:val="single" w:sz="6" w:space="0" w:color="auto"/>
              <w:right w:val="single" w:sz="6" w:space="0" w:color="auto"/>
            </w:tcBorders>
          </w:tcPr>
          <w:p w14:paraId="6C4BB7E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w:t>
            </w:r>
          </w:p>
        </w:tc>
        <w:tc>
          <w:tcPr>
            <w:tcW w:w="825" w:type="dxa"/>
            <w:gridSpan w:val="2"/>
            <w:tcBorders>
              <w:top w:val="single" w:sz="6" w:space="0" w:color="auto"/>
              <w:left w:val="single" w:sz="6" w:space="0" w:color="auto"/>
              <w:bottom w:val="single" w:sz="6" w:space="0" w:color="auto"/>
              <w:right w:val="single" w:sz="6" w:space="0" w:color="auto"/>
            </w:tcBorders>
          </w:tcPr>
          <w:p w14:paraId="2FDB4B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0AF994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41" w:type="dxa"/>
            <w:gridSpan w:val="2"/>
            <w:tcBorders>
              <w:top w:val="single" w:sz="6" w:space="0" w:color="auto"/>
              <w:left w:val="single" w:sz="6" w:space="0" w:color="auto"/>
              <w:bottom w:val="single" w:sz="6" w:space="0" w:color="auto"/>
              <w:right w:val="single" w:sz="6" w:space="0" w:color="auto"/>
            </w:tcBorders>
          </w:tcPr>
          <w:p w14:paraId="23BE31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641" w:type="dxa"/>
            <w:gridSpan w:val="2"/>
            <w:tcBorders>
              <w:top w:val="single" w:sz="6" w:space="0" w:color="auto"/>
              <w:left w:val="single" w:sz="6" w:space="0" w:color="auto"/>
              <w:bottom w:val="single" w:sz="6" w:space="0" w:color="auto"/>
              <w:right w:val="single" w:sz="6" w:space="0" w:color="auto"/>
            </w:tcBorders>
          </w:tcPr>
          <w:p w14:paraId="52720A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7C08D6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7A25EA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641" w:type="dxa"/>
            <w:gridSpan w:val="2"/>
            <w:tcBorders>
              <w:top w:val="single" w:sz="6" w:space="0" w:color="auto"/>
              <w:left w:val="single" w:sz="6" w:space="0" w:color="auto"/>
              <w:bottom w:val="single" w:sz="6" w:space="0" w:color="auto"/>
              <w:right w:val="single" w:sz="6" w:space="0" w:color="auto"/>
            </w:tcBorders>
          </w:tcPr>
          <w:p w14:paraId="1B9CD4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641" w:type="dxa"/>
            <w:gridSpan w:val="2"/>
            <w:tcBorders>
              <w:top w:val="single" w:sz="6" w:space="0" w:color="auto"/>
              <w:left w:val="single" w:sz="6" w:space="0" w:color="auto"/>
              <w:bottom w:val="single" w:sz="6" w:space="0" w:color="auto"/>
              <w:right w:val="single" w:sz="6" w:space="0" w:color="auto"/>
            </w:tcBorders>
          </w:tcPr>
          <w:p w14:paraId="6AA0FA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549" w:type="dxa"/>
            <w:tcBorders>
              <w:top w:val="single" w:sz="6" w:space="0" w:color="auto"/>
              <w:left w:val="single" w:sz="6" w:space="0" w:color="auto"/>
              <w:bottom w:val="single" w:sz="6" w:space="0" w:color="auto"/>
              <w:right w:val="single" w:sz="6" w:space="0" w:color="auto"/>
            </w:tcBorders>
          </w:tcPr>
          <w:p w14:paraId="3CC3B7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549" w:type="dxa"/>
            <w:gridSpan w:val="2"/>
            <w:tcBorders>
              <w:top w:val="single" w:sz="6" w:space="0" w:color="auto"/>
              <w:left w:val="single" w:sz="6" w:space="0" w:color="auto"/>
              <w:bottom w:val="single" w:sz="6" w:space="0" w:color="auto"/>
              <w:right w:val="single" w:sz="6" w:space="0" w:color="auto"/>
            </w:tcBorders>
          </w:tcPr>
          <w:p w14:paraId="3B6F78C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733" w:type="dxa"/>
            <w:gridSpan w:val="2"/>
            <w:tcBorders>
              <w:top w:val="single" w:sz="6" w:space="0" w:color="auto"/>
              <w:left w:val="single" w:sz="6" w:space="0" w:color="auto"/>
              <w:bottom w:val="single" w:sz="6" w:space="0" w:color="auto"/>
              <w:right w:val="single" w:sz="6" w:space="0" w:color="auto"/>
            </w:tcBorders>
          </w:tcPr>
          <w:p w14:paraId="3E788E4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w:t>
            </w:r>
          </w:p>
        </w:tc>
        <w:tc>
          <w:tcPr>
            <w:tcW w:w="1024" w:type="dxa"/>
            <w:gridSpan w:val="2"/>
            <w:tcBorders>
              <w:top w:val="single" w:sz="6" w:space="0" w:color="auto"/>
              <w:left w:val="single" w:sz="6" w:space="0" w:color="auto"/>
              <w:bottom w:val="single" w:sz="6" w:space="0" w:color="auto"/>
              <w:right w:val="single" w:sz="12" w:space="0" w:color="auto"/>
            </w:tcBorders>
          </w:tcPr>
          <w:p w14:paraId="31F737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328</w:t>
            </w:r>
          </w:p>
        </w:tc>
      </w:tr>
      <w:tr w:rsidR="00643896" w:rsidRPr="00640820" w14:paraId="6D54EC4C" w14:textId="77777777" w:rsidTr="000D3BCB">
        <w:tc>
          <w:tcPr>
            <w:tcW w:w="917" w:type="dxa"/>
            <w:tcBorders>
              <w:top w:val="single" w:sz="6" w:space="0" w:color="auto"/>
              <w:left w:val="single" w:sz="12" w:space="0" w:color="auto"/>
              <w:bottom w:val="single" w:sz="6" w:space="0" w:color="auto"/>
              <w:right w:val="single" w:sz="6" w:space="0" w:color="auto"/>
            </w:tcBorders>
          </w:tcPr>
          <w:p w14:paraId="474FC4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ЕР-2</w:t>
            </w:r>
          </w:p>
        </w:tc>
        <w:tc>
          <w:tcPr>
            <w:tcW w:w="917" w:type="dxa"/>
            <w:gridSpan w:val="2"/>
            <w:tcBorders>
              <w:top w:val="single" w:sz="6" w:space="0" w:color="auto"/>
              <w:left w:val="single" w:sz="6" w:space="0" w:color="auto"/>
              <w:bottom w:val="single" w:sz="6" w:space="0" w:color="auto"/>
              <w:right w:val="single" w:sz="6" w:space="0" w:color="auto"/>
            </w:tcBorders>
          </w:tcPr>
          <w:p w14:paraId="5A24CF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w:t>
            </w:r>
          </w:p>
        </w:tc>
        <w:tc>
          <w:tcPr>
            <w:tcW w:w="825" w:type="dxa"/>
            <w:gridSpan w:val="2"/>
            <w:tcBorders>
              <w:top w:val="single" w:sz="6" w:space="0" w:color="auto"/>
              <w:left w:val="single" w:sz="6" w:space="0" w:color="auto"/>
              <w:bottom w:val="single" w:sz="6" w:space="0" w:color="auto"/>
              <w:right w:val="single" w:sz="6" w:space="0" w:color="auto"/>
            </w:tcBorders>
          </w:tcPr>
          <w:p w14:paraId="514B92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5B3D029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41" w:type="dxa"/>
            <w:gridSpan w:val="2"/>
            <w:tcBorders>
              <w:top w:val="single" w:sz="6" w:space="0" w:color="auto"/>
              <w:left w:val="single" w:sz="6" w:space="0" w:color="auto"/>
              <w:bottom w:val="single" w:sz="6" w:space="0" w:color="auto"/>
              <w:right w:val="single" w:sz="6" w:space="0" w:color="auto"/>
            </w:tcBorders>
          </w:tcPr>
          <w:p w14:paraId="4E992E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29</w:t>
            </w:r>
          </w:p>
        </w:tc>
        <w:tc>
          <w:tcPr>
            <w:tcW w:w="641" w:type="dxa"/>
            <w:gridSpan w:val="2"/>
            <w:tcBorders>
              <w:top w:val="single" w:sz="6" w:space="0" w:color="auto"/>
              <w:left w:val="single" w:sz="6" w:space="0" w:color="auto"/>
              <w:bottom w:val="single" w:sz="6" w:space="0" w:color="auto"/>
              <w:right w:val="single" w:sz="6" w:space="0" w:color="auto"/>
            </w:tcBorders>
          </w:tcPr>
          <w:p w14:paraId="65878D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1C5986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318471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29</w:t>
            </w:r>
          </w:p>
        </w:tc>
        <w:tc>
          <w:tcPr>
            <w:tcW w:w="641" w:type="dxa"/>
            <w:gridSpan w:val="2"/>
            <w:tcBorders>
              <w:top w:val="single" w:sz="6" w:space="0" w:color="auto"/>
              <w:left w:val="single" w:sz="6" w:space="0" w:color="auto"/>
              <w:bottom w:val="single" w:sz="6" w:space="0" w:color="auto"/>
              <w:right w:val="single" w:sz="6" w:space="0" w:color="auto"/>
            </w:tcBorders>
          </w:tcPr>
          <w:p w14:paraId="40F112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7B53331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549" w:type="dxa"/>
            <w:tcBorders>
              <w:top w:val="single" w:sz="6" w:space="0" w:color="auto"/>
              <w:left w:val="single" w:sz="6" w:space="0" w:color="auto"/>
              <w:bottom w:val="single" w:sz="6" w:space="0" w:color="auto"/>
              <w:right w:val="single" w:sz="6" w:space="0" w:color="auto"/>
            </w:tcBorders>
          </w:tcPr>
          <w:p w14:paraId="41DCFFE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549" w:type="dxa"/>
            <w:gridSpan w:val="2"/>
            <w:tcBorders>
              <w:top w:val="single" w:sz="6" w:space="0" w:color="auto"/>
              <w:left w:val="single" w:sz="6" w:space="0" w:color="auto"/>
              <w:bottom w:val="single" w:sz="6" w:space="0" w:color="auto"/>
              <w:right w:val="single" w:sz="6" w:space="0" w:color="auto"/>
            </w:tcBorders>
          </w:tcPr>
          <w:p w14:paraId="56514F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33" w:type="dxa"/>
            <w:gridSpan w:val="2"/>
            <w:tcBorders>
              <w:top w:val="single" w:sz="6" w:space="0" w:color="auto"/>
              <w:left w:val="single" w:sz="6" w:space="0" w:color="auto"/>
              <w:bottom w:val="single" w:sz="6" w:space="0" w:color="auto"/>
              <w:right w:val="single" w:sz="6" w:space="0" w:color="auto"/>
            </w:tcBorders>
          </w:tcPr>
          <w:p w14:paraId="087134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29</w:t>
            </w:r>
          </w:p>
        </w:tc>
        <w:tc>
          <w:tcPr>
            <w:tcW w:w="1024" w:type="dxa"/>
            <w:gridSpan w:val="2"/>
            <w:tcBorders>
              <w:top w:val="single" w:sz="6" w:space="0" w:color="auto"/>
              <w:left w:val="single" w:sz="6" w:space="0" w:color="auto"/>
              <w:bottom w:val="single" w:sz="6" w:space="0" w:color="auto"/>
              <w:right w:val="single" w:sz="12" w:space="0" w:color="auto"/>
            </w:tcBorders>
          </w:tcPr>
          <w:p w14:paraId="79F2A9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71</w:t>
            </w:r>
          </w:p>
        </w:tc>
      </w:tr>
      <w:tr w:rsidR="00643896" w:rsidRPr="00640820" w14:paraId="1F0DD450" w14:textId="77777777" w:rsidTr="000D3BCB">
        <w:tc>
          <w:tcPr>
            <w:tcW w:w="917" w:type="dxa"/>
            <w:tcBorders>
              <w:top w:val="single" w:sz="6" w:space="0" w:color="auto"/>
              <w:left w:val="single" w:sz="12" w:space="0" w:color="auto"/>
              <w:bottom w:val="single" w:sz="6" w:space="0" w:color="auto"/>
              <w:right w:val="single" w:sz="6" w:space="0" w:color="auto"/>
            </w:tcBorders>
          </w:tcPr>
          <w:p w14:paraId="6DFA01D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ДБ-Зф</w:t>
            </w:r>
          </w:p>
        </w:tc>
        <w:tc>
          <w:tcPr>
            <w:tcW w:w="917" w:type="dxa"/>
            <w:gridSpan w:val="2"/>
            <w:tcBorders>
              <w:top w:val="single" w:sz="6" w:space="0" w:color="auto"/>
              <w:left w:val="single" w:sz="6" w:space="0" w:color="auto"/>
              <w:bottom w:val="single" w:sz="6" w:space="0" w:color="auto"/>
              <w:right w:val="single" w:sz="6" w:space="0" w:color="auto"/>
            </w:tcBorders>
          </w:tcPr>
          <w:p w14:paraId="2B2574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126</w:t>
            </w:r>
          </w:p>
        </w:tc>
        <w:tc>
          <w:tcPr>
            <w:tcW w:w="825" w:type="dxa"/>
            <w:gridSpan w:val="2"/>
            <w:tcBorders>
              <w:top w:val="single" w:sz="6" w:space="0" w:color="auto"/>
              <w:left w:val="single" w:sz="6" w:space="0" w:color="auto"/>
              <w:bottom w:val="single" w:sz="6" w:space="0" w:color="auto"/>
              <w:right w:val="single" w:sz="6" w:space="0" w:color="auto"/>
            </w:tcBorders>
          </w:tcPr>
          <w:p w14:paraId="56E182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246653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41" w:type="dxa"/>
            <w:gridSpan w:val="2"/>
            <w:tcBorders>
              <w:top w:val="single" w:sz="6" w:space="0" w:color="auto"/>
              <w:left w:val="single" w:sz="6" w:space="0" w:color="auto"/>
              <w:bottom w:val="single" w:sz="6" w:space="0" w:color="auto"/>
              <w:right w:val="single" w:sz="6" w:space="0" w:color="auto"/>
            </w:tcBorders>
          </w:tcPr>
          <w:p w14:paraId="04972E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64</w:t>
            </w:r>
          </w:p>
        </w:tc>
        <w:tc>
          <w:tcPr>
            <w:tcW w:w="641" w:type="dxa"/>
            <w:gridSpan w:val="2"/>
            <w:tcBorders>
              <w:top w:val="single" w:sz="6" w:space="0" w:color="auto"/>
              <w:left w:val="single" w:sz="6" w:space="0" w:color="auto"/>
              <w:bottom w:val="single" w:sz="6" w:space="0" w:color="auto"/>
              <w:right w:val="single" w:sz="6" w:space="0" w:color="auto"/>
            </w:tcBorders>
          </w:tcPr>
          <w:p w14:paraId="36CCC5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67</w:t>
            </w:r>
          </w:p>
        </w:tc>
        <w:tc>
          <w:tcPr>
            <w:tcW w:w="641" w:type="dxa"/>
            <w:gridSpan w:val="2"/>
            <w:tcBorders>
              <w:top w:val="single" w:sz="6" w:space="0" w:color="auto"/>
              <w:left w:val="single" w:sz="6" w:space="0" w:color="auto"/>
              <w:bottom w:val="single" w:sz="6" w:space="0" w:color="auto"/>
              <w:right w:val="single" w:sz="6" w:space="0" w:color="auto"/>
            </w:tcBorders>
          </w:tcPr>
          <w:p w14:paraId="68C400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64</w:t>
            </w:r>
          </w:p>
        </w:tc>
        <w:tc>
          <w:tcPr>
            <w:tcW w:w="641" w:type="dxa"/>
            <w:gridSpan w:val="2"/>
            <w:tcBorders>
              <w:top w:val="single" w:sz="6" w:space="0" w:color="auto"/>
              <w:left w:val="single" w:sz="6" w:space="0" w:color="auto"/>
              <w:bottom w:val="single" w:sz="6" w:space="0" w:color="auto"/>
              <w:right w:val="single" w:sz="6" w:space="0" w:color="auto"/>
            </w:tcBorders>
          </w:tcPr>
          <w:p w14:paraId="4242CB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195</w:t>
            </w:r>
          </w:p>
        </w:tc>
        <w:tc>
          <w:tcPr>
            <w:tcW w:w="641" w:type="dxa"/>
            <w:gridSpan w:val="2"/>
            <w:tcBorders>
              <w:top w:val="single" w:sz="6" w:space="0" w:color="auto"/>
              <w:left w:val="single" w:sz="6" w:space="0" w:color="auto"/>
              <w:bottom w:val="single" w:sz="6" w:space="0" w:color="auto"/>
              <w:right w:val="single" w:sz="6" w:space="0" w:color="auto"/>
            </w:tcBorders>
          </w:tcPr>
          <w:p w14:paraId="177DA4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54</w:t>
            </w:r>
          </w:p>
        </w:tc>
        <w:tc>
          <w:tcPr>
            <w:tcW w:w="641" w:type="dxa"/>
            <w:gridSpan w:val="2"/>
            <w:tcBorders>
              <w:top w:val="single" w:sz="6" w:space="0" w:color="auto"/>
              <w:left w:val="single" w:sz="6" w:space="0" w:color="auto"/>
              <w:bottom w:val="single" w:sz="6" w:space="0" w:color="auto"/>
              <w:right w:val="single" w:sz="6" w:space="0" w:color="auto"/>
            </w:tcBorders>
          </w:tcPr>
          <w:p w14:paraId="4A1071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549" w:type="dxa"/>
            <w:tcBorders>
              <w:top w:val="single" w:sz="6" w:space="0" w:color="auto"/>
              <w:left w:val="single" w:sz="6" w:space="0" w:color="auto"/>
              <w:bottom w:val="single" w:sz="6" w:space="0" w:color="auto"/>
              <w:right w:val="single" w:sz="6" w:space="0" w:color="auto"/>
            </w:tcBorders>
          </w:tcPr>
          <w:p w14:paraId="73EA66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47</w:t>
            </w:r>
          </w:p>
        </w:tc>
        <w:tc>
          <w:tcPr>
            <w:tcW w:w="549" w:type="dxa"/>
            <w:gridSpan w:val="2"/>
            <w:tcBorders>
              <w:top w:val="single" w:sz="6" w:space="0" w:color="auto"/>
              <w:left w:val="single" w:sz="6" w:space="0" w:color="auto"/>
              <w:bottom w:val="single" w:sz="6" w:space="0" w:color="auto"/>
              <w:right w:val="single" w:sz="6" w:space="0" w:color="auto"/>
            </w:tcBorders>
          </w:tcPr>
          <w:p w14:paraId="027CF2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101</w:t>
            </w:r>
          </w:p>
        </w:tc>
        <w:tc>
          <w:tcPr>
            <w:tcW w:w="733" w:type="dxa"/>
            <w:gridSpan w:val="2"/>
            <w:tcBorders>
              <w:top w:val="single" w:sz="6" w:space="0" w:color="auto"/>
              <w:left w:val="single" w:sz="6" w:space="0" w:color="auto"/>
              <w:bottom w:val="single" w:sz="6" w:space="0" w:color="auto"/>
              <w:right w:val="single" w:sz="6" w:space="0" w:color="auto"/>
            </w:tcBorders>
          </w:tcPr>
          <w:p w14:paraId="0E82A5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296</w:t>
            </w:r>
          </w:p>
        </w:tc>
        <w:tc>
          <w:tcPr>
            <w:tcW w:w="1024" w:type="dxa"/>
            <w:gridSpan w:val="2"/>
            <w:tcBorders>
              <w:top w:val="single" w:sz="6" w:space="0" w:color="auto"/>
              <w:left w:val="single" w:sz="6" w:space="0" w:color="auto"/>
              <w:bottom w:val="single" w:sz="6" w:space="0" w:color="auto"/>
              <w:right w:val="single" w:sz="12" w:space="0" w:color="auto"/>
            </w:tcBorders>
          </w:tcPr>
          <w:p w14:paraId="4502FF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360</w:t>
            </w:r>
          </w:p>
        </w:tc>
      </w:tr>
      <w:tr w:rsidR="00643896" w:rsidRPr="00640820" w14:paraId="4F4E9CC4" w14:textId="77777777" w:rsidTr="000D3BCB">
        <w:tc>
          <w:tcPr>
            <w:tcW w:w="917" w:type="dxa"/>
            <w:tcBorders>
              <w:top w:val="single" w:sz="6" w:space="0" w:color="auto"/>
              <w:left w:val="single" w:sz="12" w:space="0" w:color="auto"/>
              <w:bottom w:val="single" w:sz="6" w:space="0" w:color="auto"/>
              <w:right w:val="single" w:sz="6" w:space="0" w:color="auto"/>
            </w:tcBorders>
          </w:tcPr>
          <w:p w14:paraId="7096C1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ДБ-3</w:t>
            </w:r>
          </w:p>
        </w:tc>
        <w:tc>
          <w:tcPr>
            <w:tcW w:w="917" w:type="dxa"/>
            <w:gridSpan w:val="2"/>
            <w:tcBorders>
              <w:top w:val="single" w:sz="6" w:space="0" w:color="auto"/>
              <w:left w:val="single" w:sz="6" w:space="0" w:color="auto"/>
              <w:bottom w:val="single" w:sz="6" w:space="0" w:color="auto"/>
              <w:right w:val="single" w:sz="6" w:space="0" w:color="auto"/>
            </w:tcBorders>
          </w:tcPr>
          <w:p w14:paraId="627BCE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126</w:t>
            </w:r>
          </w:p>
        </w:tc>
        <w:tc>
          <w:tcPr>
            <w:tcW w:w="825" w:type="dxa"/>
            <w:gridSpan w:val="2"/>
            <w:tcBorders>
              <w:top w:val="single" w:sz="6" w:space="0" w:color="auto"/>
              <w:left w:val="single" w:sz="6" w:space="0" w:color="auto"/>
              <w:bottom w:val="single" w:sz="6" w:space="0" w:color="auto"/>
              <w:right w:val="single" w:sz="6" w:space="0" w:color="auto"/>
            </w:tcBorders>
          </w:tcPr>
          <w:p w14:paraId="429DAD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3602F4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41" w:type="dxa"/>
            <w:gridSpan w:val="2"/>
            <w:tcBorders>
              <w:top w:val="single" w:sz="6" w:space="0" w:color="auto"/>
              <w:left w:val="single" w:sz="6" w:space="0" w:color="auto"/>
              <w:bottom w:val="single" w:sz="6" w:space="0" w:color="auto"/>
              <w:right w:val="single" w:sz="6" w:space="0" w:color="auto"/>
            </w:tcBorders>
          </w:tcPr>
          <w:p w14:paraId="2A5B63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0EF6F9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33CC92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4A1993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52410D8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24B1F5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w:t>
            </w:r>
          </w:p>
        </w:tc>
        <w:tc>
          <w:tcPr>
            <w:tcW w:w="549" w:type="dxa"/>
            <w:tcBorders>
              <w:top w:val="single" w:sz="6" w:space="0" w:color="auto"/>
              <w:left w:val="single" w:sz="6" w:space="0" w:color="auto"/>
              <w:bottom w:val="single" w:sz="6" w:space="0" w:color="auto"/>
              <w:right w:val="single" w:sz="6" w:space="0" w:color="auto"/>
            </w:tcBorders>
          </w:tcPr>
          <w:p w14:paraId="5A2E8A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w:t>
            </w:r>
          </w:p>
        </w:tc>
        <w:tc>
          <w:tcPr>
            <w:tcW w:w="549" w:type="dxa"/>
            <w:gridSpan w:val="2"/>
            <w:tcBorders>
              <w:top w:val="single" w:sz="6" w:space="0" w:color="auto"/>
              <w:left w:val="single" w:sz="6" w:space="0" w:color="auto"/>
              <w:bottom w:val="single" w:sz="6" w:space="0" w:color="auto"/>
              <w:right w:val="single" w:sz="6" w:space="0" w:color="auto"/>
            </w:tcBorders>
          </w:tcPr>
          <w:p w14:paraId="46737F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w:t>
            </w:r>
          </w:p>
        </w:tc>
        <w:tc>
          <w:tcPr>
            <w:tcW w:w="733" w:type="dxa"/>
            <w:gridSpan w:val="2"/>
            <w:tcBorders>
              <w:top w:val="single" w:sz="6" w:space="0" w:color="auto"/>
              <w:left w:val="single" w:sz="6" w:space="0" w:color="auto"/>
              <w:bottom w:val="single" w:sz="6" w:space="0" w:color="auto"/>
              <w:right w:val="single" w:sz="6" w:space="0" w:color="auto"/>
            </w:tcBorders>
          </w:tcPr>
          <w:p w14:paraId="57F101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w:t>
            </w:r>
          </w:p>
        </w:tc>
        <w:tc>
          <w:tcPr>
            <w:tcW w:w="1024" w:type="dxa"/>
            <w:gridSpan w:val="2"/>
            <w:tcBorders>
              <w:top w:val="single" w:sz="6" w:space="0" w:color="auto"/>
              <w:left w:val="single" w:sz="6" w:space="0" w:color="auto"/>
              <w:bottom w:val="single" w:sz="6" w:space="0" w:color="auto"/>
              <w:right w:val="single" w:sz="12" w:space="0" w:color="auto"/>
            </w:tcBorders>
          </w:tcPr>
          <w:p w14:paraId="53DC8E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25</w:t>
            </w:r>
          </w:p>
        </w:tc>
      </w:tr>
      <w:tr w:rsidR="00643896" w:rsidRPr="00640820" w14:paraId="1070D6C3" w14:textId="77777777" w:rsidTr="000D3BCB">
        <w:tc>
          <w:tcPr>
            <w:tcW w:w="917" w:type="dxa"/>
            <w:tcBorders>
              <w:top w:val="single" w:sz="6" w:space="0" w:color="auto"/>
              <w:left w:val="single" w:sz="12" w:space="0" w:color="auto"/>
              <w:bottom w:val="single" w:sz="6" w:space="0" w:color="auto"/>
              <w:right w:val="single" w:sz="6" w:space="0" w:color="auto"/>
            </w:tcBorders>
          </w:tcPr>
          <w:p w14:paraId="15E0E5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ТБ-7</w:t>
            </w:r>
          </w:p>
        </w:tc>
        <w:tc>
          <w:tcPr>
            <w:tcW w:w="917" w:type="dxa"/>
            <w:gridSpan w:val="2"/>
            <w:tcBorders>
              <w:top w:val="single" w:sz="6" w:space="0" w:color="auto"/>
              <w:left w:val="single" w:sz="6" w:space="0" w:color="auto"/>
              <w:bottom w:val="single" w:sz="6" w:space="0" w:color="auto"/>
              <w:right w:val="single" w:sz="6" w:space="0" w:color="auto"/>
            </w:tcBorders>
          </w:tcPr>
          <w:p w14:paraId="6FC848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124</w:t>
            </w:r>
          </w:p>
        </w:tc>
        <w:tc>
          <w:tcPr>
            <w:tcW w:w="825" w:type="dxa"/>
            <w:gridSpan w:val="2"/>
            <w:tcBorders>
              <w:top w:val="single" w:sz="6" w:space="0" w:color="auto"/>
              <w:left w:val="single" w:sz="6" w:space="0" w:color="auto"/>
              <w:bottom w:val="single" w:sz="6" w:space="0" w:color="auto"/>
              <w:right w:val="single" w:sz="6" w:space="0" w:color="auto"/>
            </w:tcBorders>
          </w:tcPr>
          <w:p w14:paraId="7189BF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4C783D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41" w:type="dxa"/>
            <w:gridSpan w:val="2"/>
            <w:tcBorders>
              <w:top w:val="single" w:sz="6" w:space="0" w:color="auto"/>
              <w:left w:val="single" w:sz="6" w:space="0" w:color="auto"/>
              <w:bottom w:val="single" w:sz="6" w:space="0" w:color="auto"/>
              <w:right w:val="single" w:sz="6" w:space="0" w:color="auto"/>
            </w:tcBorders>
          </w:tcPr>
          <w:p w14:paraId="3BD93F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w:t>
            </w:r>
          </w:p>
        </w:tc>
        <w:tc>
          <w:tcPr>
            <w:tcW w:w="641" w:type="dxa"/>
            <w:gridSpan w:val="2"/>
            <w:tcBorders>
              <w:top w:val="single" w:sz="6" w:space="0" w:color="auto"/>
              <w:left w:val="single" w:sz="6" w:space="0" w:color="auto"/>
              <w:bottom w:val="single" w:sz="6" w:space="0" w:color="auto"/>
              <w:right w:val="single" w:sz="6" w:space="0" w:color="auto"/>
            </w:tcBorders>
          </w:tcPr>
          <w:p w14:paraId="1873BC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w:t>
            </w:r>
          </w:p>
        </w:tc>
        <w:tc>
          <w:tcPr>
            <w:tcW w:w="641" w:type="dxa"/>
            <w:gridSpan w:val="2"/>
            <w:tcBorders>
              <w:top w:val="single" w:sz="6" w:space="0" w:color="auto"/>
              <w:left w:val="single" w:sz="6" w:space="0" w:color="auto"/>
              <w:bottom w:val="single" w:sz="6" w:space="0" w:color="auto"/>
              <w:right w:val="single" w:sz="6" w:space="0" w:color="auto"/>
            </w:tcBorders>
          </w:tcPr>
          <w:p w14:paraId="2B1E00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w:t>
            </w:r>
          </w:p>
        </w:tc>
        <w:tc>
          <w:tcPr>
            <w:tcW w:w="641" w:type="dxa"/>
            <w:gridSpan w:val="2"/>
            <w:tcBorders>
              <w:top w:val="single" w:sz="6" w:space="0" w:color="auto"/>
              <w:left w:val="single" w:sz="6" w:space="0" w:color="auto"/>
              <w:bottom w:val="single" w:sz="6" w:space="0" w:color="auto"/>
              <w:right w:val="single" w:sz="6" w:space="0" w:color="auto"/>
            </w:tcBorders>
          </w:tcPr>
          <w:p w14:paraId="390CB34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w:t>
            </w:r>
          </w:p>
        </w:tc>
        <w:tc>
          <w:tcPr>
            <w:tcW w:w="641" w:type="dxa"/>
            <w:gridSpan w:val="2"/>
            <w:tcBorders>
              <w:top w:val="single" w:sz="6" w:space="0" w:color="auto"/>
              <w:left w:val="single" w:sz="6" w:space="0" w:color="auto"/>
              <w:bottom w:val="single" w:sz="6" w:space="0" w:color="auto"/>
              <w:right w:val="single" w:sz="6" w:space="0" w:color="auto"/>
            </w:tcBorders>
          </w:tcPr>
          <w:p w14:paraId="3746A11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641" w:type="dxa"/>
            <w:gridSpan w:val="2"/>
            <w:tcBorders>
              <w:top w:val="single" w:sz="6" w:space="0" w:color="auto"/>
              <w:left w:val="single" w:sz="6" w:space="0" w:color="auto"/>
              <w:bottom w:val="single" w:sz="6" w:space="0" w:color="auto"/>
              <w:right w:val="single" w:sz="6" w:space="0" w:color="auto"/>
            </w:tcBorders>
          </w:tcPr>
          <w:p w14:paraId="2B9F5B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w:t>
            </w:r>
          </w:p>
        </w:tc>
        <w:tc>
          <w:tcPr>
            <w:tcW w:w="549" w:type="dxa"/>
            <w:tcBorders>
              <w:top w:val="single" w:sz="6" w:space="0" w:color="auto"/>
              <w:left w:val="single" w:sz="6" w:space="0" w:color="auto"/>
              <w:bottom w:val="single" w:sz="6" w:space="0" w:color="auto"/>
              <w:right w:val="single" w:sz="6" w:space="0" w:color="auto"/>
            </w:tcBorders>
          </w:tcPr>
          <w:p w14:paraId="1B8178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w:t>
            </w:r>
          </w:p>
        </w:tc>
        <w:tc>
          <w:tcPr>
            <w:tcW w:w="549" w:type="dxa"/>
            <w:gridSpan w:val="2"/>
            <w:tcBorders>
              <w:top w:val="single" w:sz="6" w:space="0" w:color="auto"/>
              <w:left w:val="single" w:sz="6" w:space="0" w:color="auto"/>
              <w:bottom w:val="single" w:sz="6" w:space="0" w:color="auto"/>
              <w:right w:val="single" w:sz="6" w:space="0" w:color="auto"/>
            </w:tcBorders>
          </w:tcPr>
          <w:p w14:paraId="50F96F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w:t>
            </w:r>
          </w:p>
        </w:tc>
        <w:tc>
          <w:tcPr>
            <w:tcW w:w="733" w:type="dxa"/>
            <w:gridSpan w:val="2"/>
            <w:tcBorders>
              <w:top w:val="single" w:sz="6" w:space="0" w:color="auto"/>
              <w:left w:val="single" w:sz="6" w:space="0" w:color="auto"/>
              <w:bottom w:val="single" w:sz="6" w:space="0" w:color="auto"/>
              <w:right w:val="single" w:sz="6" w:space="0" w:color="auto"/>
            </w:tcBorders>
          </w:tcPr>
          <w:p w14:paraId="0C4375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w:t>
            </w:r>
          </w:p>
        </w:tc>
        <w:tc>
          <w:tcPr>
            <w:tcW w:w="1024" w:type="dxa"/>
            <w:gridSpan w:val="2"/>
            <w:tcBorders>
              <w:top w:val="single" w:sz="6" w:space="0" w:color="auto"/>
              <w:left w:val="single" w:sz="6" w:space="0" w:color="auto"/>
              <w:bottom w:val="single" w:sz="6" w:space="0" w:color="auto"/>
              <w:right w:val="single" w:sz="12" w:space="0" w:color="auto"/>
            </w:tcBorders>
          </w:tcPr>
          <w:p w14:paraId="12F307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23</w:t>
            </w:r>
          </w:p>
        </w:tc>
      </w:tr>
      <w:tr w:rsidR="00643896" w:rsidRPr="00640820" w14:paraId="29F0C766" w14:textId="77777777" w:rsidTr="000D3BCB">
        <w:tc>
          <w:tcPr>
            <w:tcW w:w="917" w:type="dxa"/>
            <w:tcBorders>
              <w:top w:val="single" w:sz="6" w:space="0" w:color="auto"/>
              <w:left w:val="single" w:sz="12" w:space="0" w:color="auto"/>
              <w:bottom w:val="single" w:sz="6" w:space="0" w:color="auto"/>
              <w:right w:val="single" w:sz="6" w:space="0" w:color="auto"/>
            </w:tcBorders>
          </w:tcPr>
          <w:p w14:paraId="53EBBB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СБ</w:t>
            </w:r>
          </w:p>
        </w:tc>
        <w:tc>
          <w:tcPr>
            <w:tcW w:w="917" w:type="dxa"/>
            <w:gridSpan w:val="2"/>
            <w:tcBorders>
              <w:top w:val="single" w:sz="6" w:space="0" w:color="auto"/>
              <w:left w:val="single" w:sz="6" w:space="0" w:color="auto"/>
              <w:bottom w:val="single" w:sz="6" w:space="0" w:color="auto"/>
              <w:right w:val="single" w:sz="6" w:space="0" w:color="auto"/>
            </w:tcBorders>
          </w:tcPr>
          <w:p w14:paraId="1583F9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125</w:t>
            </w:r>
          </w:p>
        </w:tc>
        <w:tc>
          <w:tcPr>
            <w:tcW w:w="825" w:type="dxa"/>
            <w:gridSpan w:val="2"/>
            <w:tcBorders>
              <w:top w:val="single" w:sz="6" w:space="0" w:color="auto"/>
              <w:left w:val="single" w:sz="6" w:space="0" w:color="auto"/>
              <w:bottom w:val="single" w:sz="6" w:space="0" w:color="auto"/>
              <w:right w:val="single" w:sz="6" w:space="0" w:color="auto"/>
            </w:tcBorders>
          </w:tcPr>
          <w:p w14:paraId="0306CC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36DD959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41" w:type="dxa"/>
            <w:gridSpan w:val="2"/>
            <w:tcBorders>
              <w:top w:val="single" w:sz="6" w:space="0" w:color="auto"/>
              <w:left w:val="single" w:sz="6" w:space="0" w:color="auto"/>
              <w:bottom w:val="single" w:sz="6" w:space="0" w:color="auto"/>
              <w:right w:val="single" w:sz="6" w:space="0" w:color="auto"/>
            </w:tcBorders>
          </w:tcPr>
          <w:p w14:paraId="6DC199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37240E9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7D4FD5F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7AD090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2E48CB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39AA25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549" w:type="dxa"/>
            <w:tcBorders>
              <w:top w:val="single" w:sz="6" w:space="0" w:color="auto"/>
              <w:left w:val="single" w:sz="6" w:space="0" w:color="auto"/>
              <w:bottom w:val="single" w:sz="6" w:space="0" w:color="auto"/>
              <w:right w:val="single" w:sz="6" w:space="0" w:color="auto"/>
            </w:tcBorders>
          </w:tcPr>
          <w:p w14:paraId="4F7146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549" w:type="dxa"/>
            <w:gridSpan w:val="2"/>
            <w:tcBorders>
              <w:top w:val="single" w:sz="6" w:space="0" w:color="auto"/>
              <w:left w:val="single" w:sz="6" w:space="0" w:color="auto"/>
              <w:bottom w:val="single" w:sz="6" w:space="0" w:color="auto"/>
              <w:right w:val="single" w:sz="6" w:space="0" w:color="auto"/>
            </w:tcBorders>
          </w:tcPr>
          <w:p w14:paraId="479C613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33" w:type="dxa"/>
            <w:gridSpan w:val="2"/>
            <w:tcBorders>
              <w:top w:val="single" w:sz="6" w:space="0" w:color="auto"/>
              <w:left w:val="single" w:sz="6" w:space="0" w:color="auto"/>
              <w:bottom w:val="single" w:sz="6" w:space="0" w:color="auto"/>
              <w:right w:val="single" w:sz="6" w:space="0" w:color="auto"/>
            </w:tcBorders>
          </w:tcPr>
          <w:p w14:paraId="554B47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024" w:type="dxa"/>
            <w:gridSpan w:val="2"/>
            <w:tcBorders>
              <w:top w:val="single" w:sz="6" w:space="0" w:color="auto"/>
              <w:left w:val="single" w:sz="6" w:space="0" w:color="auto"/>
              <w:bottom w:val="single" w:sz="6" w:space="0" w:color="auto"/>
              <w:right w:val="single" w:sz="12" w:space="0" w:color="auto"/>
            </w:tcBorders>
          </w:tcPr>
          <w:p w14:paraId="44090A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24</w:t>
            </w:r>
          </w:p>
        </w:tc>
      </w:tr>
      <w:tr w:rsidR="00643896" w:rsidRPr="00640820" w14:paraId="74D0D317" w14:textId="77777777" w:rsidTr="000D3BCB">
        <w:tc>
          <w:tcPr>
            <w:tcW w:w="917" w:type="dxa"/>
            <w:tcBorders>
              <w:top w:val="single" w:sz="6" w:space="0" w:color="auto"/>
              <w:left w:val="single" w:sz="12" w:space="0" w:color="auto"/>
              <w:bottom w:val="single" w:sz="6" w:space="0" w:color="auto"/>
              <w:right w:val="single" w:sz="6" w:space="0" w:color="auto"/>
            </w:tcBorders>
          </w:tcPr>
          <w:p w14:paraId="151E54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lastRenderedPageBreak/>
              <w:t>ПЕ-2</w:t>
            </w:r>
          </w:p>
        </w:tc>
        <w:tc>
          <w:tcPr>
            <w:tcW w:w="917" w:type="dxa"/>
            <w:gridSpan w:val="2"/>
            <w:tcBorders>
              <w:top w:val="single" w:sz="6" w:space="0" w:color="auto"/>
              <w:left w:val="single" w:sz="6" w:space="0" w:color="auto"/>
              <w:bottom w:val="single" w:sz="6" w:space="0" w:color="auto"/>
              <w:right w:val="single" w:sz="6" w:space="0" w:color="auto"/>
            </w:tcBorders>
          </w:tcPr>
          <w:p w14:paraId="47AAA7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124</w:t>
            </w:r>
          </w:p>
        </w:tc>
        <w:tc>
          <w:tcPr>
            <w:tcW w:w="825" w:type="dxa"/>
            <w:gridSpan w:val="2"/>
            <w:tcBorders>
              <w:top w:val="single" w:sz="6" w:space="0" w:color="auto"/>
              <w:left w:val="single" w:sz="6" w:space="0" w:color="auto"/>
              <w:bottom w:val="single" w:sz="6" w:space="0" w:color="auto"/>
              <w:right w:val="single" w:sz="6" w:space="0" w:color="auto"/>
            </w:tcBorders>
          </w:tcPr>
          <w:p w14:paraId="78D7BF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07CEA5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41" w:type="dxa"/>
            <w:gridSpan w:val="2"/>
            <w:tcBorders>
              <w:top w:val="single" w:sz="6" w:space="0" w:color="auto"/>
              <w:left w:val="single" w:sz="6" w:space="0" w:color="auto"/>
              <w:bottom w:val="single" w:sz="6" w:space="0" w:color="auto"/>
              <w:right w:val="single" w:sz="6" w:space="0" w:color="auto"/>
            </w:tcBorders>
          </w:tcPr>
          <w:p w14:paraId="1DAA2C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w:t>
            </w:r>
          </w:p>
        </w:tc>
        <w:tc>
          <w:tcPr>
            <w:tcW w:w="641" w:type="dxa"/>
            <w:gridSpan w:val="2"/>
            <w:tcBorders>
              <w:top w:val="single" w:sz="6" w:space="0" w:color="auto"/>
              <w:left w:val="single" w:sz="6" w:space="0" w:color="auto"/>
              <w:bottom w:val="single" w:sz="6" w:space="0" w:color="auto"/>
              <w:right w:val="single" w:sz="6" w:space="0" w:color="auto"/>
            </w:tcBorders>
          </w:tcPr>
          <w:p w14:paraId="247C53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w:t>
            </w:r>
          </w:p>
        </w:tc>
        <w:tc>
          <w:tcPr>
            <w:tcW w:w="641" w:type="dxa"/>
            <w:gridSpan w:val="2"/>
            <w:tcBorders>
              <w:top w:val="single" w:sz="6" w:space="0" w:color="auto"/>
              <w:left w:val="single" w:sz="6" w:space="0" w:color="auto"/>
              <w:bottom w:val="single" w:sz="6" w:space="0" w:color="auto"/>
              <w:right w:val="single" w:sz="6" w:space="0" w:color="auto"/>
            </w:tcBorders>
          </w:tcPr>
          <w:p w14:paraId="5088F3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25</w:t>
            </w:r>
          </w:p>
        </w:tc>
        <w:tc>
          <w:tcPr>
            <w:tcW w:w="641" w:type="dxa"/>
            <w:gridSpan w:val="2"/>
            <w:tcBorders>
              <w:top w:val="single" w:sz="6" w:space="0" w:color="auto"/>
              <w:left w:val="single" w:sz="6" w:space="0" w:color="auto"/>
              <w:bottom w:val="single" w:sz="6" w:space="0" w:color="auto"/>
              <w:right w:val="single" w:sz="6" w:space="0" w:color="auto"/>
            </w:tcBorders>
          </w:tcPr>
          <w:p w14:paraId="30FDE04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51</w:t>
            </w:r>
          </w:p>
        </w:tc>
        <w:tc>
          <w:tcPr>
            <w:tcW w:w="641" w:type="dxa"/>
            <w:gridSpan w:val="2"/>
            <w:tcBorders>
              <w:top w:val="single" w:sz="6" w:space="0" w:color="auto"/>
              <w:left w:val="single" w:sz="6" w:space="0" w:color="auto"/>
              <w:bottom w:val="single" w:sz="6" w:space="0" w:color="auto"/>
              <w:right w:val="single" w:sz="6" w:space="0" w:color="auto"/>
            </w:tcBorders>
          </w:tcPr>
          <w:p w14:paraId="1691F7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39</w:t>
            </w:r>
          </w:p>
        </w:tc>
        <w:tc>
          <w:tcPr>
            <w:tcW w:w="641" w:type="dxa"/>
            <w:gridSpan w:val="2"/>
            <w:tcBorders>
              <w:top w:val="single" w:sz="6" w:space="0" w:color="auto"/>
              <w:left w:val="single" w:sz="6" w:space="0" w:color="auto"/>
              <w:bottom w:val="single" w:sz="6" w:space="0" w:color="auto"/>
              <w:right w:val="single" w:sz="6" w:space="0" w:color="auto"/>
            </w:tcBorders>
          </w:tcPr>
          <w:p w14:paraId="78D8B4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w:t>
            </w:r>
          </w:p>
        </w:tc>
        <w:tc>
          <w:tcPr>
            <w:tcW w:w="549" w:type="dxa"/>
            <w:tcBorders>
              <w:top w:val="single" w:sz="6" w:space="0" w:color="auto"/>
              <w:left w:val="single" w:sz="6" w:space="0" w:color="auto"/>
              <w:bottom w:val="single" w:sz="6" w:space="0" w:color="auto"/>
              <w:right w:val="single" w:sz="6" w:space="0" w:color="auto"/>
            </w:tcBorders>
          </w:tcPr>
          <w:p w14:paraId="2C921D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549" w:type="dxa"/>
            <w:gridSpan w:val="2"/>
            <w:tcBorders>
              <w:top w:val="single" w:sz="6" w:space="0" w:color="auto"/>
              <w:left w:val="single" w:sz="6" w:space="0" w:color="auto"/>
              <w:bottom w:val="single" w:sz="6" w:space="0" w:color="auto"/>
              <w:right w:val="single" w:sz="6" w:space="0" w:color="auto"/>
            </w:tcBorders>
          </w:tcPr>
          <w:p w14:paraId="7C7026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49</w:t>
            </w:r>
          </w:p>
        </w:tc>
        <w:tc>
          <w:tcPr>
            <w:tcW w:w="733" w:type="dxa"/>
            <w:gridSpan w:val="2"/>
            <w:tcBorders>
              <w:top w:val="single" w:sz="6" w:space="0" w:color="auto"/>
              <w:left w:val="single" w:sz="6" w:space="0" w:color="auto"/>
              <w:bottom w:val="single" w:sz="6" w:space="0" w:color="auto"/>
              <w:right w:val="single" w:sz="6" w:space="0" w:color="auto"/>
            </w:tcBorders>
          </w:tcPr>
          <w:p w14:paraId="757E12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100</w:t>
            </w:r>
          </w:p>
        </w:tc>
        <w:tc>
          <w:tcPr>
            <w:tcW w:w="1024" w:type="dxa"/>
            <w:gridSpan w:val="2"/>
            <w:tcBorders>
              <w:top w:val="single" w:sz="6" w:space="0" w:color="auto"/>
              <w:left w:val="single" w:sz="6" w:space="0" w:color="auto"/>
              <w:bottom w:val="single" w:sz="6" w:space="0" w:color="auto"/>
              <w:right w:val="single" w:sz="12" w:space="0" w:color="auto"/>
            </w:tcBorders>
          </w:tcPr>
          <w:p w14:paraId="008E79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104</w:t>
            </w:r>
          </w:p>
        </w:tc>
      </w:tr>
      <w:tr w:rsidR="00643896" w:rsidRPr="00640820" w14:paraId="250D3A14" w14:textId="77777777" w:rsidTr="000D3BCB">
        <w:tc>
          <w:tcPr>
            <w:tcW w:w="917" w:type="dxa"/>
            <w:tcBorders>
              <w:top w:val="single" w:sz="6" w:space="0" w:color="auto"/>
              <w:left w:val="single" w:sz="12" w:space="0" w:color="auto"/>
              <w:bottom w:val="single" w:sz="6" w:space="0" w:color="auto"/>
              <w:right w:val="single" w:sz="6" w:space="0" w:color="auto"/>
            </w:tcBorders>
          </w:tcPr>
          <w:p w14:paraId="0A3F22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ПЕ-2</w:t>
            </w:r>
          </w:p>
        </w:tc>
        <w:tc>
          <w:tcPr>
            <w:tcW w:w="917" w:type="dxa"/>
            <w:gridSpan w:val="2"/>
            <w:tcBorders>
              <w:top w:val="single" w:sz="6" w:space="0" w:color="auto"/>
              <w:left w:val="single" w:sz="6" w:space="0" w:color="auto"/>
              <w:bottom w:val="single" w:sz="6" w:space="0" w:color="auto"/>
              <w:right w:val="single" w:sz="6" w:space="0" w:color="auto"/>
            </w:tcBorders>
          </w:tcPr>
          <w:p w14:paraId="330EF1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125</w:t>
            </w:r>
          </w:p>
        </w:tc>
        <w:tc>
          <w:tcPr>
            <w:tcW w:w="825" w:type="dxa"/>
            <w:gridSpan w:val="2"/>
            <w:tcBorders>
              <w:top w:val="single" w:sz="6" w:space="0" w:color="auto"/>
              <w:left w:val="single" w:sz="6" w:space="0" w:color="auto"/>
              <w:bottom w:val="single" w:sz="6" w:space="0" w:color="auto"/>
              <w:right w:val="single" w:sz="6" w:space="0" w:color="auto"/>
            </w:tcBorders>
          </w:tcPr>
          <w:p w14:paraId="5F4B6E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6BE12D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41" w:type="dxa"/>
            <w:gridSpan w:val="2"/>
            <w:tcBorders>
              <w:top w:val="single" w:sz="6" w:space="0" w:color="auto"/>
              <w:left w:val="single" w:sz="6" w:space="0" w:color="auto"/>
              <w:bottom w:val="single" w:sz="6" w:space="0" w:color="auto"/>
              <w:right w:val="single" w:sz="6" w:space="0" w:color="auto"/>
            </w:tcBorders>
          </w:tcPr>
          <w:p w14:paraId="38A9B41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w:t>
            </w:r>
          </w:p>
        </w:tc>
        <w:tc>
          <w:tcPr>
            <w:tcW w:w="641" w:type="dxa"/>
            <w:gridSpan w:val="2"/>
            <w:tcBorders>
              <w:top w:val="single" w:sz="6" w:space="0" w:color="auto"/>
              <w:left w:val="single" w:sz="6" w:space="0" w:color="auto"/>
              <w:bottom w:val="single" w:sz="6" w:space="0" w:color="auto"/>
              <w:right w:val="single" w:sz="6" w:space="0" w:color="auto"/>
            </w:tcBorders>
          </w:tcPr>
          <w:p w14:paraId="616F3F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w:t>
            </w:r>
          </w:p>
        </w:tc>
        <w:tc>
          <w:tcPr>
            <w:tcW w:w="641" w:type="dxa"/>
            <w:gridSpan w:val="2"/>
            <w:tcBorders>
              <w:top w:val="single" w:sz="6" w:space="0" w:color="auto"/>
              <w:left w:val="single" w:sz="6" w:space="0" w:color="auto"/>
              <w:bottom w:val="single" w:sz="6" w:space="0" w:color="auto"/>
              <w:right w:val="single" w:sz="6" w:space="0" w:color="auto"/>
            </w:tcBorders>
          </w:tcPr>
          <w:p w14:paraId="03E2489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641" w:type="dxa"/>
            <w:gridSpan w:val="2"/>
            <w:tcBorders>
              <w:top w:val="single" w:sz="6" w:space="0" w:color="auto"/>
              <w:left w:val="single" w:sz="6" w:space="0" w:color="auto"/>
              <w:bottom w:val="single" w:sz="6" w:space="0" w:color="auto"/>
              <w:right w:val="single" w:sz="6" w:space="0" w:color="auto"/>
            </w:tcBorders>
          </w:tcPr>
          <w:p w14:paraId="1B06AD1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w:t>
            </w:r>
          </w:p>
        </w:tc>
        <w:tc>
          <w:tcPr>
            <w:tcW w:w="641" w:type="dxa"/>
            <w:gridSpan w:val="2"/>
            <w:tcBorders>
              <w:top w:val="single" w:sz="6" w:space="0" w:color="auto"/>
              <w:left w:val="single" w:sz="6" w:space="0" w:color="auto"/>
              <w:bottom w:val="single" w:sz="6" w:space="0" w:color="auto"/>
              <w:right w:val="single" w:sz="6" w:space="0" w:color="auto"/>
            </w:tcBorders>
          </w:tcPr>
          <w:p w14:paraId="6A2AC0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35</w:t>
            </w:r>
          </w:p>
        </w:tc>
        <w:tc>
          <w:tcPr>
            <w:tcW w:w="641" w:type="dxa"/>
            <w:gridSpan w:val="2"/>
            <w:tcBorders>
              <w:top w:val="single" w:sz="6" w:space="0" w:color="auto"/>
              <w:left w:val="single" w:sz="6" w:space="0" w:color="auto"/>
              <w:bottom w:val="single" w:sz="6" w:space="0" w:color="auto"/>
              <w:right w:val="single" w:sz="6" w:space="0" w:color="auto"/>
            </w:tcBorders>
          </w:tcPr>
          <w:p w14:paraId="051ECF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31</w:t>
            </w:r>
          </w:p>
        </w:tc>
        <w:tc>
          <w:tcPr>
            <w:tcW w:w="549" w:type="dxa"/>
            <w:tcBorders>
              <w:top w:val="single" w:sz="6" w:space="0" w:color="auto"/>
              <w:left w:val="single" w:sz="6" w:space="0" w:color="auto"/>
              <w:bottom w:val="single" w:sz="6" w:space="0" w:color="auto"/>
              <w:right w:val="single" w:sz="6" w:space="0" w:color="auto"/>
            </w:tcBorders>
          </w:tcPr>
          <w:p w14:paraId="09F980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56</w:t>
            </w:r>
          </w:p>
        </w:tc>
        <w:tc>
          <w:tcPr>
            <w:tcW w:w="549" w:type="dxa"/>
            <w:gridSpan w:val="2"/>
            <w:tcBorders>
              <w:top w:val="single" w:sz="6" w:space="0" w:color="auto"/>
              <w:left w:val="single" w:sz="6" w:space="0" w:color="auto"/>
              <w:bottom w:val="single" w:sz="6" w:space="0" w:color="auto"/>
              <w:right w:val="single" w:sz="6" w:space="0" w:color="auto"/>
            </w:tcBorders>
          </w:tcPr>
          <w:p w14:paraId="43C004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122</w:t>
            </w:r>
          </w:p>
        </w:tc>
        <w:tc>
          <w:tcPr>
            <w:tcW w:w="733" w:type="dxa"/>
            <w:gridSpan w:val="2"/>
            <w:tcBorders>
              <w:top w:val="single" w:sz="6" w:space="0" w:color="auto"/>
              <w:left w:val="single" w:sz="6" w:space="0" w:color="auto"/>
              <w:bottom w:val="single" w:sz="6" w:space="0" w:color="auto"/>
              <w:right w:val="single" w:sz="6" w:space="0" w:color="auto"/>
            </w:tcBorders>
          </w:tcPr>
          <w:p w14:paraId="387794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1024" w:type="dxa"/>
            <w:gridSpan w:val="2"/>
            <w:tcBorders>
              <w:top w:val="single" w:sz="6" w:space="0" w:color="auto"/>
              <w:left w:val="single" w:sz="6" w:space="0" w:color="auto"/>
              <w:bottom w:val="single" w:sz="6" w:space="0" w:color="auto"/>
              <w:right w:val="single" w:sz="12" w:space="0" w:color="auto"/>
            </w:tcBorders>
          </w:tcPr>
          <w:p w14:paraId="5E8811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144</w:t>
            </w:r>
          </w:p>
        </w:tc>
      </w:tr>
      <w:tr w:rsidR="00643896" w:rsidRPr="00640820" w14:paraId="5830A343" w14:textId="77777777" w:rsidTr="000D3BCB">
        <w:tc>
          <w:tcPr>
            <w:tcW w:w="917" w:type="dxa"/>
            <w:tcBorders>
              <w:top w:val="single" w:sz="6" w:space="0" w:color="auto"/>
              <w:left w:val="single" w:sz="12" w:space="0" w:color="auto"/>
              <w:bottom w:val="single" w:sz="6" w:space="0" w:color="auto"/>
              <w:right w:val="single" w:sz="6" w:space="0" w:color="auto"/>
            </w:tcBorders>
          </w:tcPr>
          <w:p w14:paraId="0779C9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СУ-2</w:t>
            </w:r>
          </w:p>
        </w:tc>
        <w:tc>
          <w:tcPr>
            <w:tcW w:w="917" w:type="dxa"/>
            <w:gridSpan w:val="2"/>
            <w:tcBorders>
              <w:top w:val="single" w:sz="6" w:space="0" w:color="auto"/>
              <w:left w:val="single" w:sz="6" w:space="0" w:color="auto"/>
              <w:bottom w:val="single" w:sz="6" w:space="0" w:color="auto"/>
              <w:right w:val="single" w:sz="6" w:space="0" w:color="auto"/>
            </w:tcBorders>
          </w:tcPr>
          <w:p w14:paraId="662437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31</w:t>
            </w:r>
          </w:p>
        </w:tc>
        <w:tc>
          <w:tcPr>
            <w:tcW w:w="825" w:type="dxa"/>
            <w:gridSpan w:val="2"/>
            <w:tcBorders>
              <w:top w:val="single" w:sz="6" w:space="0" w:color="auto"/>
              <w:left w:val="single" w:sz="6" w:space="0" w:color="auto"/>
              <w:bottom w:val="single" w:sz="6" w:space="0" w:color="auto"/>
              <w:right w:val="single" w:sz="6" w:space="0" w:color="auto"/>
            </w:tcBorders>
          </w:tcPr>
          <w:p w14:paraId="166649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6D26AF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41" w:type="dxa"/>
            <w:gridSpan w:val="2"/>
            <w:tcBorders>
              <w:top w:val="single" w:sz="6" w:space="0" w:color="auto"/>
              <w:left w:val="single" w:sz="6" w:space="0" w:color="auto"/>
              <w:bottom w:val="single" w:sz="6" w:space="0" w:color="auto"/>
              <w:right w:val="single" w:sz="6" w:space="0" w:color="auto"/>
            </w:tcBorders>
          </w:tcPr>
          <w:p w14:paraId="00172B3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13E1C9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57FE07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w:t>
            </w:r>
          </w:p>
        </w:tc>
        <w:tc>
          <w:tcPr>
            <w:tcW w:w="641" w:type="dxa"/>
            <w:gridSpan w:val="2"/>
            <w:tcBorders>
              <w:top w:val="single" w:sz="6" w:space="0" w:color="auto"/>
              <w:left w:val="single" w:sz="6" w:space="0" w:color="auto"/>
              <w:bottom w:val="single" w:sz="6" w:space="0" w:color="auto"/>
              <w:right w:val="single" w:sz="6" w:space="0" w:color="auto"/>
            </w:tcBorders>
          </w:tcPr>
          <w:p w14:paraId="477798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w:t>
            </w:r>
          </w:p>
        </w:tc>
        <w:tc>
          <w:tcPr>
            <w:tcW w:w="641" w:type="dxa"/>
            <w:gridSpan w:val="2"/>
            <w:tcBorders>
              <w:top w:val="single" w:sz="6" w:space="0" w:color="auto"/>
              <w:left w:val="single" w:sz="6" w:space="0" w:color="auto"/>
              <w:bottom w:val="single" w:sz="6" w:space="0" w:color="auto"/>
              <w:right w:val="single" w:sz="6" w:space="0" w:color="auto"/>
            </w:tcBorders>
          </w:tcPr>
          <w:p w14:paraId="521210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1A1B8B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549" w:type="dxa"/>
            <w:tcBorders>
              <w:top w:val="single" w:sz="6" w:space="0" w:color="auto"/>
              <w:left w:val="single" w:sz="6" w:space="0" w:color="auto"/>
              <w:bottom w:val="single" w:sz="6" w:space="0" w:color="auto"/>
              <w:right w:val="single" w:sz="6" w:space="0" w:color="auto"/>
            </w:tcBorders>
          </w:tcPr>
          <w:p w14:paraId="2DB042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549" w:type="dxa"/>
            <w:gridSpan w:val="2"/>
            <w:tcBorders>
              <w:top w:val="single" w:sz="6" w:space="0" w:color="auto"/>
              <w:left w:val="single" w:sz="6" w:space="0" w:color="auto"/>
              <w:bottom w:val="single" w:sz="6" w:space="0" w:color="auto"/>
              <w:right w:val="single" w:sz="6" w:space="0" w:color="auto"/>
            </w:tcBorders>
          </w:tcPr>
          <w:p w14:paraId="5DF468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33" w:type="dxa"/>
            <w:gridSpan w:val="2"/>
            <w:tcBorders>
              <w:top w:val="single" w:sz="6" w:space="0" w:color="auto"/>
              <w:left w:val="single" w:sz="6" w:space="0" w:color="auto"/>
              <w:bottom w:val="single" w:sz="6" w:space="0" w:color="auto"/>
              <w:right w:val="single" w:sz="6" w:space="0" w:color="auto"/>
            </w:tcBorders>
          </w:tcPr>
          <w:p w14:paraId="0452C5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w:t>
            </w:r>
          </w:p>
        </w:tc>
        <w:tc>
          <w:tcPr>
            <w:tcW w:w="1024" w:type="dxa"/>
            <w:gridSpan w:val="2"/>
            <w:tcBorders>
              <w:top w:val="single" w:sz="6" w:space="0" w:color="auto"/>
              <w:left w:val="single" w:sz="6" w:space="0" w:color="auto"/>
              <w:bottom w:val="single" w:sz="6" w:space="0" w:color="auto"/>
              <w:right w:val="single" w:sz="12" w:space="0" w:color="auto"/>
            </w:tcBorders>
          </w:tcPr>
          <w:p w14:paraId="766693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w:t>
            </w:r>
          </w:p>
        </w:tc>
      </w:tr>
      <w:tr w:rsidR="00643896" w:rsidRPr="00640820" w14:paraId="0C81C698" w14:textId="77777777" w:rsidTr="000D3BCB">
        <w:tc>
          <w:tcPr>
            <w:tcW w:w="917" w:type="dxa"/>
            <w:gridSpan w:val="3"/>
            <w:tcBorders>
              <w:top w:val="single" w:sz="6" w:space="0" w:color="auto"/>
              <w:left w:val="single" w:sz="12" w:space="0" w:color="auto"/>
              <w:bottom w:val="single" w:sz="6" w:space="0" w:color="auto"/>
              <w:right w:val="single" w:sz="6" w:space="0" w:color="auto"/>
            </w:tcBorders>
          </w:tcPr>
          <w:p w14:paraId="5CF436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Всего бомбардировщиков</w:t>
            </w:r>
          </w:p>
        </w:tc>
        <w:tc>
          <w:tcPr>
            <w:tcW w:w="825" w:type="dxa"/>
            <w:gridSpan w:val="2"/>
            <w:tcBorders>
              <w:top w:val="single" w:sz="6" w:space="0" w:color="auto"/>
              <w:left w:val="single" w:sz="6" w:space="0" w:color="auto"/>
              <w:bottom w:val="single" w:sz="6" w:space="0" w:color="auto"/>
              <w:right w:val="single" w:sz="6" w:space="0" w:color="auto"/>
            </w:tcBorders>
          </w:tcPr>
          <w:p w14:paraId="1FC897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6D58EE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41" w:type="dxa"/>
            <w:gridSpan w:val="2"/>
            <w:tcBorders>
              <w:top w:val="single" w:sz="6" w:space="0" w:color="auto"/>
              <w:left w:val="single" w:sz="6" w:space="0" w:color="auto"/>
              <w:bottom w:val="single" w:sz="6" w:space="0" w:color="auto"/>
              <w:right w:val="single" w:sz="6" w:space="0" w:color="auto"/>
            </w:tcBorders>
          </w:tcPr>
          <w:p w14:paraId="07CFDC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485</w:t>
            </w:r>
          </w:p>
        </w:tc>
        <w:tc>
          <w:tcPr>
            <w:tcW w:w="641" w:type="dxa"/>
            <w:gridSpan w:val="2"/>
            <w:tcBorders>
              <w:top w:val="single" w:sz="6" w:space="0" w:color="auto"/>
              <w:left w:val="single" w:sz="6" w:space="0" w:color="auto"/>
              <w:bottom w:val="single" w:sz="6" w:space="0" w:color="auto"/>
              <w:right w:val="single" w:sz="6" w:space="0" w:color="auto"/>
            </w:tcBorders>
          </w:tcPr>
          <w:p w14:paraId="4C3B2F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480</w:t>
            </w:r>
          </w:p>
        </w:tc>
        <w:tc>
          <w:tcPr>
            <w:tcW w:w="641" w:type="dxa"/>
            <w:gridSpan w:val="2"/>
            <w:tcBorders>
              <w:top w:val="single" w:sz="6" w:space="0" w:color="auto"/>
              <w:left w:val="single" w:sz="6" w:space="0" w:color="auto"/>
              <w:bottom w:val="single" w:sz="6" w:space="0" w:color="auto"/>
              <w:right w:val="single" w:sz="6" w:space="0" w:color="auto"/>
            </w:tcBorders>
          </w:tcPr>
          <w:p w14:paraId="159A36D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446</w:t>
            </w:r>
          </w:p>
        </w:tc>
        <w:tc>
          <w:tcPr>
            <w:tcW w:w="641" w:type="dxa"/>
            <w:gridSpan w:val="2"/>
            <w:tcBorders>
              <w:top w:val="single" w:sz="6" w:space="0" w:color="auto"/>
              <w:left w:val="single" w:sz="6" w:space="0" w:color="auto"/>
              <w:bottom w:val="single" w:sz="6" w:space="0" w:color="auto"/>
              <w:right w:val="single" w:sz="6" w:space="0" w:color="auto"/>
            </w:tcBorders>
          </w:tcPr>
          <w:p w14:paraId="58369A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1411</w:t>
            </w:r>
          </w:p>
        </w:tc>
        <w:tc>
          <w:tcPr>
            <w:tcW w:w="641" w:type="dxa"/>
            <w:gridSpan w:val="2"/>
            <w:tcBorders>
              <w:top w:val="single" w:sz="6" w:space="0" w:color="auto"/>
              <w:left w:val="single" w:sz="6" w:space="0" w:color="auto"/>
              <w:bottom w:val="single" w:sz="6" w:space="0" w:color="auto"/>
              <w:right w:val="single" w:sz="6" w:space="0" w:color="auto"/>
            </w:tcBorders>
          </w:tcPr>
          <w:p w14:paraId="41DE0D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286</w:t>
            </w:r>
          </w:p>
        </w:tc>
        <w:tc>
          <w:tcPr>
            <w:tcW w:w="641" w:type="dxa"/>
            <w:gridSpan w:val="2"/>
            <w:tcBorders>
              <w:top w:val="single" w:sz="6" w:space="0" w:color="auto"/>
              <w:left w:val="single" w:sz="6" w:space="0" w:color="auto"/>
              <w:bottom w:val="single" w:sz="6" w:space="0" w:color="auto"/>
              <w:right w:val="single" w:sz="6" w:space="0" w:color="auto"/>
            </w:tcBorders>
          </w:tcPr>
          <w:p w14:paraId="7EA7B6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57</w:t>
            </w:r>
          </w:p>
        </w:tc>
        <w:tc>
          <w:tcPr>
            <w:tcW w:w="549" w:type="dxa"/>
            <w:tcBorders>
              <w:top w:val="single" w:sz="6" w:space="0" w:color="auto"/>
              <w:left w:val="single" w:sz="6" w:space="0" w:color="auto"/>
              <w:bottom w:val="single" w:sz="6" w:space="0" w:color="auto"/>
              <w:right w:val="single" w:sz="6" w:space="0" w:color="auto"/>
            </w:tcBorders>
          </w:tcPr>
          <w:p w14:paraId="031962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160</w:t>
            </w:r>
          </w:p>
        </w:tc>
        <w:tc>
          <w:tcPr>
            <w:tcW w:w="549" w:type="dxa"/>
            <w:gridSpan w:val="2"/>
            <w:tcBorders>
              <w:top w:val="single" w:sz="6" w:space="0" w:color="auto"/>
              <w:left w:val="single" w:sz="6" w:space="0" w:color="auto"/>
              <w:bottom w:val="single" w:sz="6" w:space="0" w:color="auto"/>
              <w:right w:val="single" w:sz="6" w:space="0" w:color="auto"/>
            </w:tcBorders>
          </w:tcPr>
          <w:p w14:paraId="7FD713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503</w:t>
            </w:r>
          </w:p>
        </w:tc>
        <w:tc>
          <w:tcPr>
            <w:tcW w:w="733" w:type="dxa"/>
            <w:gridSpan w:val="2"/>
            <w:tcBorders>
              <w:top w:val="single" w:sz="6" w:space="0" w:color="auto"/>
              <w:left w:val="single" w:sz="6" w:space="0" w:color="auto"/>
              <w:bottom w:val="single" w:sz="6" w:space="0" w:color="auto"/>
              <w:right w:val="single" w:sz="6" w:space="0" w:color="auto"/>
            </w:tcBorders>
          </w:tcPr>
          <w:p w14:paraId="790E9C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1914</w:t>
            </w:r>
          </w:p>
        </w:tc>
        <w:tc>
          <w:tcPr>
            <w:tcW w:w="1024" w:type="dxa"/>
            <w:gridSpan w:val="2"/>
            <w:tcBorders>
              <w:top w:val="single" w:sz="6" w:space="0" w:color="auto"/>
              <w:left w:val="single" w:sz="6" w:space="0" w:color="auto"/>
              <w:bottom w:val="single" w:sz="6" w:space="0" w:color="auto"/>
              <w:right w:val="single" w:sz="12" w:space="0" w:color="auto"/>
            </w:tcBorders>
          </w:tcPr>
          <w:p w14:paraId="408A16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3533</w:t>
            </w:r>
          </w:p>
        </w:tc>
      </w:tr>
      <w:tr w:rsidR="00643896" w:rsidRPr="00640820" w14:paraId="65564B53" w14:textId="77777777" w:rsidTr="000D3BCB">
        <w:tc>
          <w:tcPr>
            <w:tcW w:w="917" w:type="dxa"/>
            <w:gridSpan w:val="3"/>
            <w:tcBorders>
              <w:top w:val="single" w:sz="6" w:space="0" w:color="auto"/>
              <w:left w:val="single" w:sz="12" w:space="0" w:color="auto"/>
              <w:bottom w:val="single" w:sz="6" w:space="0" w:color="auto"/>
              <w:right w:val="single" w:sz="6" w:space="0" w:color="auto"/>
            </w:tcBorders>
          </w:tcPr>
          <w:p w14:paraId="69AC6D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Дополнения</w:t>
            </w:r>
          </w:p>
        </w:tc>
        <w:tc>
          <w:tcPr>
            <w:tcW w:w="825" w:type="dxa"/>
            <w:gridSpan w:val="2"/>
            <w:tcBorders>
              <w:top w:val="single" w:sz="6" w:space="0" w:color="auto"/>
              <w:left w:val="single" w:sz="6" w:space="0" w:color="auto"/>
              <w:bottom w:val="single" w:sz="6" w:space="0" w:color="auto"/>
              <w:right w:val="single" w:sz="6" w:space="0" w:color="auto"/>
            </w:tcBorders>
          </w:tcPr>
          <w:p w14:paraId="16F41D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41" w:type="dxa"/>
            <w:gridSpan w:val="2"/>
            <w:tcBorders>
              <w:top w:val="single" w:sz="6" w:space="0" w:color="auto"/>
              <w:left w:val="single" w:sz="6" w:space="0" w:color="auto"/>
              <w:bottom w:val="single" w:sz="6" w:space="0" w:color="auto"/>
              <w:right w:val="single" w:sz="6" w:space="0" w:color="auto"/>
            </w:tcBorders>
          </w:tcPr>
          <w:p w14:paraId="2E2D0D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w:t>
            </w:r>
          </w:p>
        </w:tc>
        <w:tc>
          <w:tcPr>
            <w:tcW w:w="641" w:type="dxa"/>
            <w:gridSpan w:val="2"/>
            <w:tcBorders>
              <w:top w:val="single" w:sz="6" w:space="0" w:color="auto"/>
              <w:left w:val="single" w:sz="6" w:space="0" w:color="auto"/>
              <w:bottom w:val="single" w:sz="6" w:space="0" w:color="auto"/>
              <w:right w:val="single" w:sz="6" w:space="0" w:color="auto"/>
            </w:tcBorders>
          </w:tcPr>
          <w:p w14:paraId="116CB4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w:t>
            </w:r>
          </w:p>
        </w:tc>
        <w:tc>
          <w:tcPr>
            <w:tcW w:w="641" w:type="dxa"/>
            <w:gridSpan w:val="2"/>
            <w:tcBorders>
              <w:top w:val="single" w:sz="6" w:space="0" w:color="auto"/>
              <w:left w:val="single" w:sz="6" w:space="0" w:color="auto"/>
              <w:bottom w:val="single" w:sz="6" w:space="0" w:color="auto"/>
              <w:right w:val="single" w:sz="6" w:space="0" w:color="auto"/>
            </w:tcBorders>
          </w:tcPr>
          <w:p w14:paraId="124C15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104</w:t>
            </w:r>
          </w:p>
        </w:tc>
        <w:tc>
          <w:tcPr>
            <w:tcW w:w="641" w:type="dxa"/>
            <w:gridSpan w:val="2"/>
            <w:tcBorders>
              <w:top w:val="single" w:sz="6" w:space="0" w:color="auto"/>
              <w:left w:val="single" w:sz="6" w:space="0" w:color="auto"/>
              <w:bottom w:val="single" w:sz="6" w:space="0" w:color="auto"/>
              <w:right w:val="single" w:sz="6" w:space="0" w:color="auto"/>
            </w:tcBorders>
          </w:tcPr>
          <w:p w14:paraId="0BCE96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0F78AB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83</w:t>
            </w:r>
          </w:p>
        </w:tc>
        <w:tc>
          <w:tcPr>
            <w:tcW w:w="641" w:type="dxa"/>
            <w:gridSpan w:val="2"/>
            <w:tcBorders>
              <w:top w:val="single" w:sz="6" w:space="0" w:color="auto"/>
              <w:left w:val="single" w:sz="6" w:space="0" w:color="auto"/>
              <w:bottom w:val="single" w:sz="6" w:space="0" w:color="auto"/>
              <w:right w:val="single" w:sz="6" w:space="0" w:color="auto"/>
            </w:tcBorders>
          </w:tcPr>
          <w:p w14:paraId="235E9A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49" w:type="dxa"/>
            <w:tcBorders>
              <w:top w:val="single" w:sz="6" w:space="0" w:color="auto"/>
              <w:left w:val="single" w:sz="6" w:space="0" w:color="auto"/>
              <w:bottom w:val="single" w:sz="6" w:space="0" w:color="auto"/>
              <w:right w:val="single" w:sz="6" w:space="0" w:color="auto"/>
            </w:tcBorders>
          </w:tcPr>
          <w:p w14:paraId="7F4725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49" w:type="dxa"/>
            <w:gridSpan w:val="2"/>
            <w:tcBorders>
              <w:top w:val="single" w:sz="6" w:space="0" w:color="auto"/>
              <w:left w:val="single" w:sz="6" w:space="0" w:color="auto"/>
              <w:bottom w:val="single" w:sz="6" w:space="0" w:color="auto"/>
              <w:right w:val="single" w:sz="6" w:space="0" w:color="auto"/>
            </w:tcBorders>
          </w:tcPr>
          <w:p w14:paraId="676C0E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33" w:type="dxa"/>
            <w:gridSpan w:val="2"/>
            <w:tcBorders>
              <w:top w:val="single" w:sz="6" w:space="0" w:color="auto"/>
              <w:left w:val="single" w:sz="6" w:space="0" w:color="auto"/>
              <w:bottom w:val="single" w:sz="6" w:space="0" w:color="auto"/>
              <w:right w:val="single" w:sz="6" w:space="0" w:color="auto"/>
            </w:tcBorders>
          </w:tcPr>
          <w:p w14:paraId="3774CB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024" w:type="dxa"/>
            <w:gridSpan w:val="2"/>
            <w:tcBorders>
              <w:top w:val="single" w:sz="6" w:space="0" w:color="auto"/>
              <w:left w:val="single" w:sz="6" w:space="0" w:color="auto"/>
              <w:bottom w:val="single" w:sz="6" w:space="0" w:color="auto"/>
              <w:right w:val="single" w:sz="12" w:space="0" w:color="auto"/>
            </w:tcBorders>
          </w:tcPr>
          <w:p w14:paraId="16A8D0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196</w:t>
            </w:r>
          </w:p>
        </w:tc>
      </w:tr>
      <w:tr w:rsidR="00643896" w:rsidRPr="00640820" w14:paraId="3F8B2AB9" w14:textId="77777777" w:rsidTr="000D3BCB">
        <w:tc>
          <w:tcPr>
            <w:tcW w:w="917" w:type="dxa"/>
            <w:gridSpan w:val="3"/>
            <w:tcBorders>
              <w:top w:val="single" w:sz="6" w:space="0" w:color="auto"/>
              <w:left w:val="single" w:sz="12" w:space="0" w:color="auto"/>
              <w:bottom w:val="single" w:sz="6" w:space="0" w:color="auto"/>
              <w:right w:val="single" w:sz="6" w:space="0" w:color="auto"/>
            </w:tcBorders>
          </w:tcPr>
          <w:p w14:paraId="3A94AAA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Штурмовики</w:t>
            </w:r>
          </w:p>
        </w:tc>
        <w:tc>
          <w:tcPr>
            <w:tcW w:w="825" w:type="dxa"/>
            <w:gridSpan w:val="2"/>
            <w:tcBorders>
              <w:top w:val="single" w:sz="6" w:space="0" w:color="auto"/>
              <w:left w:val="single" w:sz="6" w:space="0" w:color="auto"/>
              <w:bottom w:val="single" w:sz="6" w:space="0" w:color="auto"/>
              <w:right w:val="single" w:sz="6" w:space="0" w:color="auto"/>
            </w:tcBorders>
          </w:tcPr>
          <w:p w14:paraId="7462EFE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41" w:type="dxa"/>
            <w:gridSpan w:val="2"/>
            <w:tcBorders>
              <w:top w:val="single" w:sz="6" w:space="0" w:color="auto"/>
              <w:left w:val="single" w:sz="6" w:space="0" w:color="auto"/>
              <w:bottom w:val="single" w:sz="6" w:space="0" w:color="auto"/>
              <w:right w:val="single" w:sz="6" w:space="0" w:color="auto"/>
            </w:tcBorders>
          </w:tcPr>
          <w:p w14:paraId="12995B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41" w:type="dxa"/>
            <w:gridSpan w:val="2"/>
            <w:tcBorders>
              <w:top w:val="single" w:sz="6" w:space="0" w:color="auto"/>
              <w:left w:val="single" w:sz="6" w:space="0" w:color="auto"/>
              <w:bottom w:val="single" w:sz="6" w:space="0" w:color="auto"/>
              <w:right w:val="single" w:sz="6" w:space="0" w:color="auto"/>
            </w:tcBorders>
          </w:tcPr>
          <w:p w14:paraId="204D03C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41" w:type="dxa"/>
            <w:gridSpan w:val="2"/>
            <w:tcBorders>
              <w:top w:val="single" w:sz="6" w:space="0" w:color="auto"/>
              <w:left w:val="single" w:sz="6" w:space="0" w:color="auto"/>
              <w:bottom w:val="single" w:sz="6" w:space="0" w:color="auto"/>
              <w:right w:val="single" w:sz="6" w:space="0" w:color="auto"/>
            </w:tcBorders>
          </w:tcPr>
          <w:p w14:paraId="4595D4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41" w:type="dxa"/>
            <w:gridSpan w:val="2"/>
            <w:tcBorders>
              <w:top w:val="single" w:sz="6" w:space="0" w:color="auto"/>
              <w:left w:val="single" w:sz="6" w:space="0" w:color="auto"/>
              <w:bottom w:val="single" w:sz="6" w:space="0" w:color="auto"/>
              <w:right w:val="single" w:sz="6" w:space="0" w:color="auto"/>
            </w:tcBorders>
          </w:tcPr>
          <w:p w14:paraId="20057C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41" w:type="dxa"/>
            <w:gridSpan w:val="2"/>
            <w:tcBorders>
              <w:top w:val="single" w:sz="6" w:space="0" w:color="auto"/>
              <w:left w:val="single" w:sz="6" w:space="0" w:color="auto"/>
              <w:bottom w:val="single" w:sz="6" w:space="0" w:color="auto"/>
              <w:right w:val="single" w:sz="6" w:space="0" w:color="auto"/>
            </w:tcBorders>
          </w:tcPr>
          <w:p w14:paraId="0D966E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41" w:type="dxa"/>
            <w:gridSpan w:val="2"/>
            <w:tcBorders>
              <w:top w:val="single" w:sz="6" w:space="0" w:color="auto"/>
              <w:left w:val="single" w:sz="6" w:space="0" w:color="auto"/>
              <w:bottom w:val="single" w:sz="6" w:space="0" w:color="auto"/>
              <w:right w:val="single" w:sz="6" w:space="0" w:color="auto"/>
            </w:tcBorders>
          </w:tcPr>
          <w:p w14:paraId="5F25C5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49" w:type="dxa"/>
            <w:tcBorders>
              <w:top w:val="single" w:sz="6" w:space="0" w:color="auto"/>
              <w:left w:val="single" w:sz="6" w:space="0" w:color="auto"/>
              <w:bottom w:val="single" w:sz="6" w:space="0" w:color="auto"/>
              <w:right w:val="single" w:sz="6" w:space="0" w:color="auto"/>
            </w:tcBorders>
          </w:tcPr>
          <w:p w14:paraId="4714CD3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49" w:type="dxa"/>
            <w:gridSpan w:val="2"/>
            <w:tcBorders>
              <w:top w:val="single" w:sz="6" w:space="0" w:color="auto"/>
              <w:left w:val="single" w:sz="6" w:space="0" w:color="auto"/>
              <w:bottom w:val="single" w:sz="6" w:space="0" w:color="auto"/>
              <w:right w:val="single" w:sz="6" w:space="0" w:color="auto"/>
            </w:tcBorders>
          </w:tcPr>
          <w:p w14:paraId="04112A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33" w:type="dxa"/>
            <w:gridSpan w:val="2"/>
            <w:tcBorders>
              <w:top w:val="single" w:sz="6" w:space="0" w:color="auto"/>
              <w:left w:val="single" w:sz="6" w:space="0" w:color="auto"/>
              <w:bottom w:val="single" w:sz="6" w:space="0" w:color="auto"/>
              <w:right w:val="single" w:sz="6" w:space="0" w:color="auto"/>
            </w:tcBorders>
          </w:tcPr>
          <w:p w14:paraId="21970A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024" w:type="dxa"/>
            <w:gridSpan w:val="2"/>
            <w:tcBorders>
              <w:top w:val="single" w:sz="6" w:space="0" w:color="auto"/>
              <w:left w:val="single" w:sz="6" w:space="0" w:color="auto"/>
              <w:bottom w:val="single" w:sz="6" w:space="0" w:color="auto"/>
              <w:right w:val="single" w:sz="12" w:space="0" w:color="auto"/>
            </w:tcBorders>
          </w:tcPr>
          <w:p w14:paraId="3A7F45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63BEED4A" w14:textId="77777777" w:rsidTr="000D3BCB">
        <w:tc>
          <w:tcPr>
            <w:tcW w:w="917" w:type="dxa"/>
            <w:tcBorders>
              <w:top w:val="single" w:sz="6" w:space="0" w:color="auto"/>
              <w:left w:val="single" w:sz="12" w:space="0" w:color="auto"/>
              <w:bottom w:val="single" w:sz="6" w:space="0" w:color="auto"/>
              <w:right w:val="single" w:sz="6" w:space="0" w:color="auto"/>
            </w:tcBorders>
          </w:tcPr>
          <w:p w14:paraId="58F2D6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ИЛ-2</w:t>
            </w:r>
          </w:p>
        </w:tc>
        <w:tc>
          <w:tcPr>
            <w:tcW w:w="917" w:type="dxa"/>
            <w:gridSpan w:val="2"/>
            <w:tcBorders>
              <w:top w:val="single" w:sz="6" w:space="0" w:color="auto"/>
              <w:left w:val="single" w:sz="6" w:space="0" w:color="auto"/>
              <w:bottom w:val="single" w:sz="6" w:space="0" w:color="auto"/>
              <w:right w:val="single" w:sz="6" w:space="0" w:color="auto"/>
            </w:tcBorders>
          </w:tcPr>
          <w:p w14:paraId="770C3D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w:t>
            </w:r>
          </w:p>
        </w:tc>
        <w:tc>
          <w:tcPr>
            <w:tcW w:w="825" w:type="dxa"/>
            <w:gridSpan w:val="2"/>
            <w:tcBorders>
              <w:top w:val="single" w:sz="6" w:space="0" w:color="auto"/>
              <w:left w:val="single" w:sz="6" w:space="0" w:color="auto"/>
              <w:bottom w:val="single" w:sz="6" w:space="0" w:color="auto"/>
              <w:right w:val="single" w:sz="6" w:space="0" w:color="auto"/>
            </w:tcBorders>
          </w:tcPr>
          <w:p w14:paraId="2B9579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206D27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41" w:type="dxa"/>
            <w:gridSpan w:val="2"/>
            <w:tcBorders>
              <w:top w:val="single" w:sz="6" w:space="0" w:color="auto"/>
              <w:left w:val="single" w:sz="6" w:space="0" w:color="auto"/>
              <w:bottom w:val="single" w:sz="6" w:space="0" w:color="auto"/>
              <w:right w:val="single" w:sz="6" w:space="0" w:color="auto"/>
            </w:tcBorders>
          </w:tcPr>
          <w:p w14:paraId="169AB8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310</w:t>
            </w:r>
          </w:p>
        </w:tc>
        <w:tc>
          <w:tcPr>
            <w:tcW w:w="641" w:type="dxa"/>
            <w:gridSpan w:val="2"/>
            <w:tcBorders>
              <w:top w:val="single" w:sz="6" w:space="0" w:color="auto"/>
              <w:left w:val="single" w:sz="6" w:space="0" w:color="auto"/>
              <w:bottom w:val="single" w:sz="6" w:space="0" w:color="auto"/>
              <w:right w:val="single" w:sz="6" w:space="0" w:color="auto"/>
            </w:tcBorders>
          </w:tcPr>
          <w:p w14:paraId="48A613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356</w:t>
            </w:r>
          </w:p>
        </w:tc>
        <w:tc>
          <w:tcPr>
            <w:tcW w:w="641" w:type="dxa"/>
            <w:gridSpan w:val="2"/>
            <w:tcBorders>
              <w:top w:val="single" w:sz="6" w:space="0" w:color="auto"/>
              <w:left w:val="single" w:sz="6" w:space="0" w:color="auto"/>
              <w:bottom w:val="single" w:sz="6" w:space="0" w:color="auto"/>
              <w:right w:val="single" w:sz="6" w:space="0" w:color="auto"/>
            </w:tcBorders>
          </w:tcPr>
          <w:p w14:paraId="264E68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336</w:t>
            </w:r>
          </w:p>
        </w:tc>
        <w:tc>
          <w:tcPr>
            <w:tcW w:w="641" w:type="dxa"/>
            <w:gridSpan w:val="2"/>
            <w:tcBorders>
              <w:top w:val="single" w:sz="6" w:space="0" w:color="auto"/>
              <w:left w:val="single" w:sz="6" w:space="0" w:color="auto"/>
              <w:bottom w:val="single" w:sz="6" w:space="0" w:color="auto"/>
              <w:right w:val="single" w:sz="6" w:space="0" w:color="auto"/>
            </w:tcBorders>
          </w:tcPr>
          <w:p w14:paraId="2916A7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1002</w:t>
            </w:r>
          </w:p>
        </w:tc>
        <w:tc>
          <w:tcPr>
            <w:tcW w:w="641" w:type="dxa"/>
            <w:gridSpan w:val="2"/>
            <w:tcBorders>
              <w:top w:val="single" w:sz="6" w:space="0" w:color="auto"/>
              <w:left w:val="single" w:sz="6" w:space="0" w:color="auto"/>
              <w:bottom w:val="single" w:sz="6" w:space="0" w:color="auto"/>
              <w:right w:val="single" w:sz="6" w:space="0" w:color="auto"/>
            </w:tcBorders>
          </w:tcPr>
          <w:p w14:paraId="652BB5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228</w:t>
            </w:r>
          </w:p>
        </w:tc>
        <w:tc>
          <w:tcPr>
            <w:tcW w:w="641" w:type="dxa"/>
            <w:gridSpan w:val="2"/>
            <w:tcBorders>
              <w:top w:val="single" w:sz="6" w:space="0" w:color="auto"/>
              <w:left w:val="single" w:sz="6" w:space="0" w:color="auto"/>
              <w:bottom w:val="single" w:sz="6" w:space="0" w:color="auto"/>
              <w:right w:val="single" w:sz="6" w:space="0" w:color="auto"/>
            </w:tcBorders>
          </w:tcPr>
          <w:p w14:paraId="58CD6A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549" w:type="dxa"/>
            <w:tcBorders>
              <w:top w:val="single" w:sz="6" w:space="0" w:color="auto"/>
              <w:left w:val="single" w:sz="6" w:space="0" w:color="auto"/>
              <w:bottom w:val="single" w:sz="6" w:space="0" w:color="auto"/>
              <w:right w:val="single" w:sz="6" w:space="0" w:color="auto"/>
            </w:tcBorders>
          </w:tcPr>
          <w:p w14:paraId="5B759B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29</w:t>
            </w:r>
          </w:p>
        </w:tc>
        <w:tc>
          <w:tcPr>
            <w:tcW w:w="549" w:type="dxa"/>
            <w:gridSpan w:val="2"/>
            <w:tcBorders>
              <w:top w:val="single" w:sz="6" w:space="0" w:color="auto"/>
              <w:left w:val="single" w:sz="6" w:space="0" w:color="auto"/>
              <w:bottom w:val="single" w:sz="6" w:space="0" w:color="auto"/>
              <w:right w:val="single" w:sz="6" w:space="0" w:color="auto"/>
            </w:tcBorders>
          </w:tcPr>
          <w:p w14:paraId="49E59A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257</w:t>
            </w:r>
          </w:p>
        </w:tc>
        <w:tc>
          <w:tcPr>
            <w:tcW w:w="733" w:type="dxa"/>
            <w:gridSpan w:val="2"/>
            <w:tcBorders>
              <w:top w:val="single" w:sz="6" w:space="0" w:color="auto"/>
              <w:left w:val="single" w:sz="6" w:space="0" w:color="auto"/>
              <w:bottom w:val="single" w:sz="6" w:space="0" w:color="auto"/>
              <w:right w:val="single" w:sz="6" w:space="0" w:color="auto"/>
            </w:tcBorders>
          </w:tcPr>
          <w:p w14:paraId="085E401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1259</w:t>
            </w:r>
          </w:p>
        </w:tc>
        <w:tc>
          <w:tcPr>
            <w:tcW w:w="1024" w:type="dxa"/>
            <w:gridSpan w:val="2"/>
            <w:tcBorders>
              <w:top w:val="single" w:sz="6" w:space="0" w:color="auto"/>
              <w:left w:val="single" w:sz="6" w:space="0" w:color="auto"/>
              <w:bottom w:val="single" w:sz="6" w:space="0" w:color="auto"/>
              <w:right w:val="single" w:sz="12" w:space="0" w:color="auto"/>
            </w:tcBorders>
          </w:tcPr>
          <w:p w14:paraId="22CE69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1510</w:t>
            </w:r>
          </w:p>
        </w:tc>
      </w:tr>
      <w:tr w:rsidR="00643896" w:rsidRPr="00640820" w14:paraId="11C353A6" w14:textId="77777777" w:rsidTr="000D3BCB">
        <w:tc>
          <w:tcPr>
            <w:tcW w:w="917" w:type="dxa"/>
            <w:tcBorders>
              <w:top w:val="single" w:sz="6" w:space="0" w:color="auto"/>
              <w:left w:val="single" w:sz="12" w:space="0" w:color="auto"/>
              <w:bottom w:val="single" w:sz="6" w:space="0" w:color="auto"/>
              <w:right w:val="single" w:sz="6" w:space="0" w:color="auto"/>
            </w:tcBorders>
          </w:tcPr>
          <w:p w14:paraId="2EA212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ИЛ-2</w:t>
            </w:r>
          </w:p>
        </w:tc>
        <w:tc>
          <w:tcPr>
            <w:tcW w:w="917" w:type="dxa"/>
            <w:gridSpan w:val="2"/>
            <w:tcBorders>
              <w:top w:val="single" w:sz="6" w:space="0" w:color="auto"/>
              <w:left w:val="single" w:sz="6" w:space="0" w:color="auto"/>
              <w:bottom w:val="single" w:sz="6" w:space="0" w:color="auto"/>
              <w:right w:val="single" w:sz="6" w:space="0" w:color="auto"/>
            </w:tcBorders>
          </w:tcPr>
          <w:p w14:paraId="1AB4C0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825" w:type="dxa"/>
            <w:gridSpan w:val="2"/>
            <w:tcBorders>
              <w:top w:val="single" w:sz="6" w:space="0" w:color="auto"/>
              <w:left w:val="single" w:sz="6" w:space="0" w:color="auto"/>
              <w:bottom w:val="single" w:sz="6" w:space="0" w:color="auto"/>
              <w:right w:val="single" w:sz="6" w:space="0" w:color="auto"/>
            </w:tcBorders>
          </w:tcPr>
          <w:p w14:paraId="234467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12308C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41" w:type="dxa"/>
            <w:gridSpan w:val="2"/>
            <w:tcBorders>
              <w:top w:val="single" w:sz="6" w:space="0" w:color="auto"/>
              <w:left w:val="single" w:sz="6" w:space="0" w:color="auto"/>
              <w:bottom w:val="single" w:sz="6" w:space="0" w:color="auto"/>
              <w:right w:val="single" w:sz="6" w:space="0" w:color="auto"/>
            </w:tcBorders>
          </w:tcPr>
          <w:p w14:paraId="6B8CA2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0D302E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0C635E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641" w:type="dxa"/>
            <w:gridSpan w:val="2"/>
            <w:tcBorders>
              <w:top w:val="single" w:sz="6" w:space="0" w:color="auto"/>
              <w:left w:val="single" w:sz="6" w:space="0" w:color="auto"/>
              <w:bottom w:val="single" w:sz="6" w:space="0" w:color="auto"/>
              <w:right w:val="single" w:sz="6" w:space="0" w:color="auto"/>
            </w:tcBorders>
          </w:tcPr>
          <w:p w14:paraId="5B19DF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641" w:type="dxa"/>
            <w:gridSpan w:val="2"/>
            <w:tcBorders>
              <w:top w:val="single" w:sz="6" w:space="0" w:color="auto"/>
              <w:left w:val="single" w:sz="6" w:space="0" w:color="auto"/>
              <w:bottom w:val="single" w:sz="6" w:space="0" w:color="auto"/>
              <w:right w:val="single" w:sz="6" w:space="0" w:color="auto"/>
            </w:tcBorders>
          </w:tcPr>
          <w:p w14:paraId="0A90854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641" w:type="dxa"/>
            <w:gridSpan w:val="2"/>
            <w:tcBorders>
              <w:top w:val="single" w:sz="6" w:space="0" w:color="auto"/>
              <w:left w:val="single" w:sz="6" w:space="0" w:color="auto"/>
              <w:bottom w:val="single" w:sz="6" w:space="0" w:color="auto"/>
              <w:right w:val="single" w:sz="6" w:space="0" w:color="auto"/>
            </w:tcBorders>
          </w:tcPr>
          <w:p w14:paraId="655665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549" w:type="dxa"/>
            <w:tcBorders>
              <w:top w:val="single" w:sz="6" w:space="0" w:color="auto"/>
              <w:left w:val="single" w:sz="6" w:space="0" w:color="auto"/>
              <w:bottom w:val="single" w:sz="6" w:space="0" w:color="auto"/>
              <w:right w:val="single" w:sz="6" w:space="0" w:color="auto"/>
            </w:tcBorders>
          </w:tcPr>
          <w:p w14:paraId="3E7F4A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w:t>
            </w:r>
          </w:p>
        </w:tc>
        <w:tc>
          <w:tcPr>
            <w:tcW w:w="549" w:type="dxa"/>
            <w:gridSpan w:val="2"/>
            <w:tcBorders>
              <w:top w:val="single" w:sz="6" w:space="0" w:color="auto"/>
              <w:left w:val="single" w:sz="6" w:space="0" w:color="auto"/>
              <w:bottom w:val="single" w:sz="6" w:space="0" w:color="auto"/>
              <w:right w:val="single" w:sz="6" w:space="0" w:color="auto"/>
            </w:tcBorders>
          </w:tcPr>
          <w:p w14:paraId="344E09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w:t>
            </w:r>
          </w:p>
        </w:tc>
        <w:tc>
          <w:tcPr>
            <w:tcW w:w="733" w:type="dxa"/>
            <w:gridSpan w:val="2"/>
            <w:tcBorders>
              <w:top w:val="single" w:sz="6" w:space="0" w:color="auto"/>
              <w:left w:val="single" w:sz="6" w:space="0" w:color="auto"/>
              <w:bottom w:val="single" w:sz="6" w:space="0" w:color="auto"/>
              <w:right w:val="single" w:sz="6" w:space="0" w:color="auto"/>
            </w:tcBorders>
          </w:tcPr>
          <w:p w14:paraId="30E17C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w:t>
            </w:r>
          </w:p>
        </w:tc>
        <w:tc>
          <w:tcPr>
            <w:tcW w:w="1024" w:type="dxa"/>
            <w:gridSpan w:val="2"/>
            <w:tcBorders>
              <w:top w:val="single" w:sz="6" w:space="0" w:color="auto"/>
              <w:left w:val="single" w:sz="6" w:space="0" w:color="auto"/>
              <w:bottom w:val="single" w:sz="6" w:space="0" w:color="auto"/>
              <w:right w:val="single" w:sz="12" w:space="0" w:color="auto"/>
            </w:tcBorders>
          </w:tcPr>
          <w:p w14:paraId="5582B0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w:t>
            </w:r>
          </w:p>
        </w:tc>
      </w:tr>
      <w:tr w:rsidR="00643896" w:rsidRPr="00640820" w14:paraId="3B043521" w14:textId="77777777" w:rsidTr="000D3BCB">
        <w:tc>
          <w:tcPr>
            <w:tcW w:w="917" w:type="dxa"/>
            <w:tcBorders>
              <w:top w:val="single" w:sz="6" w:space="0" w:color="auto"/>
              <w:left w:val="single" w:sz="12" w:space="0" w:color="auto"/>
              <w:bottom w:val="single" w:sz="6" w:space="0" w:color="auto"/>
              <w:right w:val="single" w:sz="6" w:space="0" w:color="auto"/>
            </w:tcBorders>
          </w:tcPr>
          <w:p w14:paraId="0D6CCC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ИЛ-2</w:t>
            </w:r>
          </w:p>
        </w:tc>
        <w:tc>
          <w:tcPr>
            <w:tcW w:w="917" w:type="dxa"/>
            <w:gridSpan w:val="2"/>
            <w:tcBorders>
              <w:top w:val="single" w:sz="6" w:space="0" w:color="auto"/>
              <w:left w:val="single" w:sz="6" w:space="0" w:color="auto"/>
              <w:bottom w:val="single" w:sz="6" w:space="0" w:color="auto"/>
              <w:right w:val="single" w:sz="6" w:space="0" w:color="auto"/>
            </w:tcBorders>
          </w:tcPr>
          <w:p w14:paraId="2200DC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381</w:t>
            </w:r>
          </w:p>
        </w:tc>
        <w:tc>
          <w:tcPr>
            <w:tcW w:w="825" w:type="dxa"/>
            <w:gridSpan w:val="2"/>
            <w:tcBorders>
              <w:top w:val="single" w:sz="6" w:space="0" w:color="auto"/>
              <w:left w:val="single" w:sz="6" w:space="0" w:color="auto"/>
              <w:bottom w:val="single" w:sz="6" w:space="0" w:color="auto"/>
              <w:right w:val="single" w:sz="6" w:space="0" w:color="auto"/>
            </w:tcBorders>
          </w:tcPr>
          <w:p w14:paraId="16275F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7F8142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41" w:type="dxa"/>
            <w:gridSpan w:val="2"/>
            <w:tcBorders>
              <w:top w:val="single" w:sz="6" w:space="0" w:color="auto"/>
              <w:left w:val="single" w:sz="6" w:space="0" w:color="auto"/>
              <w:bottom w:val="single" w:sz="6" w:space="0" w:color="auto"/>
              <w:right w:val="single" w:sz="6" w:space="0" w:color="auto"/>
            </w:tcBorders>
          </w:tcPr>
          <w:p w14:paraId="1CEBB2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1931429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11D3EB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w:t>
            </w:r>
          </w:p>
        </w:tc>
        <w:tc>
          <w:tcPr>
            <w:tcW w:w="641" w:type="dxa"/>
            <w:gridSpan w:val="2"/>
            <w:tcBorders>
              <w:top w:val="single" w:sz="6" w:space="0" w:color="auto"/>
              <w:left w:val="single" w:sz="6" w:space="0" w:color="auto"/>
              <w:bottom w:val="single" w:sz="6" w:space="0" w:color="auto"/>
              <w:right w:val="single" w:sz="6" w:space="0" w:color="auto"/>
            </w:tcBorders>
          </w:tcPr>
          <w:p w14:paraId="09ED2FE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w:t>
            </w:r>
          </w:p>
        </w:tc>
        <w:tc>
          <w:tcPr>
            <w:tcW w:w="641" w:type="dxa"/>
            <w:gridSpan w:val="2"/>
            <w:tcBorders>
              <w:top w:val="single" w:sz="6" w:space="0" w:color="auto"/>
              <w:left w:val="single" w:sz="6" w:space="0" w:color="auto"/>
              <w:bottom w:val="single" w:sz="6" w:space="0" w:color="auto"/>
              <w:right w:val="single" w:sz="6" w:space="0" w:color="auto"/>
            </w:tcBorders>
          </w:tcPr>
          <w:p w14:paraId="6B53BD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w:t>
            </w:r>
          </w:p>
        </w:tc>
        <w:tc>
          <w:tcPr>
            <w:tcW w:w="641" w:type="dxa"/>
            <w:gridSpan w:val="2"/>
            <w:tcBorders>
              <w:top w:val="single" w:sz="6" w:space="0" w:color="auto"/>
              <w:left w:val="single" w:sz="6" w:space="0" w:color="auto"/>
              <w:bottom w:val="single" w:sz="6" w:space="0" w:color="auto"/>
              <w:right w:val="single" w:sz="6" w:space="0" w:color="auto"/>
            </w:tcBorders>
          </w:tcPr>
          <w:p w14:paraId="06990E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w:t>
            </w:r>
          </w:p>
        </w:tc>
        <w:tc>
          <w:tcPr>
            <w:tcW w:w="549" w:type="dxa"/>
            <w:tcBorders>
              <w:top w:val="single" w:sz="6" w:space="0" w:color="auto"/>
              <w:left w:val="single" w:sz="6" w:space="0" w:color="auto"/>
              <w:bottom w:val="single" w:sz="6" w:space="0" w:color="auto"/>
              <w:right w:val="single" w:sz="6" w:space="0" w:color="auto"/>
            </w:tcBorders>
          </w:tcPr>
          <w:p w14:paraId="38D1C1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549" w:type="dxa"/>
            <w:gridSpan w:val="2"/>
            <w:tcBorders>
              <w:top w:val="single" w:sz="6" w:space="0" w:color="auto"/>
              <w:left w:val="single" w:sz="6" w:space="0" w:color="auto"/>
              <w:bottom w:val="single" w:sz="6" w:space="0" w:color="auto"/>
              <w:right w:val="single" w:sz="6" w:space="0" w:color="auto"/>
            </w:tcBorders>
          </w:tcPr>
          <w:p w14:paraId="61EF7A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23</w:t>
            </w:r>
          </w:p>
        </w:tc>
        <w:tc>
          <w:tcPr>
            <w:tcW w:w="733" w:type="dxa"/>
            <w:gridSpan w:val="2"/>
            <w:tcBorders>
              <w:top w:val="single" w:sz="6" w:space="0" w:color="auto"/>
              <w:left w:val="single" w:sz="6" w:space="0" w:color="auto"/>
              <w:bottom w:val="single" w:sz="6" w:space="0" w:color="auto"/>
              <w:right w:val="single" w:sz="6" w:space="0" w:color="auto"/>
            </w:tcBorders>
          </w:tcPr>
          <w:p w14:paraId="3B3C9B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27</w:t>
            </w:r>
          </w:p>
        </w:tc>
        <w:tc>
          <w:tcPr>
            <w:tcW w:w="1024" w:type="dxa"/>
            <w:gridSpan w:val="2"/>
            <w:tcBorders>
              <w:top w:val="single" w:sz="6" w:space="0" w:color="auto"/>
              <w:left w:val="single" w:sz="6" w:space="0" w:color="auto"/>
              <w:bottom w:val="single" w:sz="6" w:space="0" w:color="auto"/>
              <w:right w:val="single" w:sz="12" w:space="0" w:color="auto"/>
            </w:tcBorders>
          </w:tcPr>
          <w:p w14:paraId="1F3122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27</w:t>
            </w:r>
          </w:p>
        </w:tc>
      </w:tr>
      <w:tr w:rsidR="00643896" w:rsidRPr="00640820" w14:paraId="4EFAA822" w14:textId="77777777" w:rsidTr="000D3BCB">
        <w:tc>
          <w:tcPr>
            <w:tcW w:w="917" w:type="dxa"/>
            <w:tcBorders>
              <w:top w:val="single" w:sz="6" w:space="0" w:color="auto"/>
              <w:left w:val="single" w:sz="12" w:space="0" w:color="auto"/>
              <w:bottom w:val="single" w:sz="6" w:space="0" w:color="auto"/>
              <w:right w:val="single" w:sz="6" w:space="0" w:color="auto"/>
            </w:tcBorders>
          </w:tcPr>
          <w:p w14:paraId="2B76FD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Всего штурмовиков</w:t>
            </w:r>
          </w:p>
        </w:tc>
        <w:tc>
          <w:tcPr>
            <w:tcW w:w="917" w:type="dxa"/>
            <w:gridSpan w:val="2"/>
            <w:tcBorders>
              <w:top w:val="single" w:sz="6" w:space="0" w:color="auto"/>
              <w:left w:val="single" w:sz="6" w:space="0" w:color="auto"/>
              <w:bottom w:val="single" w:sz="6" w:space="0" w:color="auto"/>
              <w:right w:val="single" w:sz="6" w:space="0" w:color="auto"/>
            </w:tcBorders>
          </w:tcPr>
          <w:p w14:paraId="0EDB2D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25" w:type="dxa"/>
            <w:gridSpan w:val="2"/>
            <w:tcBorders>
              <w:top w:val="single" w:sz="6" w:space="0" w:color="auto"/>
              <w:left w:val="single" w:sz="6" w:space="0" w:color="auto"/>
              <w:bottom w:val="single" w:sz="6" w:space="0" w:color="auto"/>
              <w:right w:val="single" w:sz="6" w:space="0" w:color="auto"/>
            </w:tcBorders>
          </w:tcPr>
          <w:p w14:paraId="0975B0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41" w:type="dxa"/>
            <w:gridSpan w:val="2"/>
            <w:tcBorders>
              <w:top w:val="single" w:sz="6" w:space="0" w:color="auto"/>
              <w:left w:val="single" w:sz="6" w:space="0" w:color="auto"/>
              <w:bottom w:val="single" w:sz="6" w:space="0" w:color="auto"/>
              <w:right w:val="single" w:sz="6" w:space="0" w:color="auto"/>
            </w:tcBorders>
          </w:tcPr>
          <w:p w14:paraId="02F4A1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310</w:t>
            </w:r>
          </w:p>
        </w:tc>
        <w:tc>
          <w:tcPr>
            <w:tcW w:w="641" w:type="dxa"/>
            <w:gridSpan w:val="2"/>
            <w:tcBorders>
              <w:top w:val="single" w:sz="6" w:space="0" w:color="auto"/>
              <w:left w:val="single" w:sz="6" w:space="0" w:color="auto"/>
              <w:bottom w:val="single" w:sz="6" w:space="0" w:color="auto"/>
              <w:right w:val="single" w:sz="6" w:space="0" w:color="auto"/>
            </w:tcBorders>
          </w:tcPr>
          <w:p w14:paraId="7DDF3F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356</w:t>
            </w:r>
          </w:p>
        </w:tc>
        <w:tc>
          <w:tcPr>
            <w:tcW w:w="641" w:type="dxa"/>
            <w:gridSpan w:val="2"/>
            <w:tcBorders>
              <w:top w:val="single" w:sz="6" w:space="0" w:color="auto"/>
              <w:left w:val="single" w:sz="6" w:space="0" w:color="auto"/>
              <w:bottom w:val="single" w:sz="6" w:space="0" w:color="auto"/>
              <w:right w:val="single" w:sz="6" w:space="0" w:color="auto"/>
            </w:tcBorders>
          </w:tcPr>
          <w:p w14:paraId="7899E5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341</w:t>
            </w:r>
          </w:p>
        </w:tc>
        <w:tc>
          <w:tcPr>
            <w:tcW w:w="641" w:type="dxa"/>
            <w:gridSpan w:val="2"/>
            <w:tcBorders>
              <w:top w:val="single" w:sz="6" w:space="0" w:color="auto"/>
              <w:left w:val="single" w:sz="6" w:space="0" w:color="auto"/>
              <w:bottom w:val="single" w:sz="6" w:space="0" w:color="auto"/>
              <w:right w:val="single" w:sz="6" w:space="0" w:color="auto"/>
            </w:tcBorders>
          </w:tcPr>
          <w:p w14:paraId="4312BF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1007</w:t>
            </w:r>
          </w:p>
        </w:tc>
        <w:tc>
          <w:tcPr>
            <w:tcW w:w="641" w:type="dxa"/>
            <w:gridSpan w:val="2"/>
            <w:tcBorders>
              <w:top w:val="single" w:sz="6" w:space="0" w:color="auto"/>
              <w:left w:val="single" w:sz="6" w:space="0" w:color="auto"/>
              <w:bottom w:val="single" w:sz="6" w:space="0" w:color="auto"/>
              <w:right w:val="single" w:sz="6" w:space="0" w:color="auto"/>
            </w:tcBorders>
          </w:tcPr>
          <w:p w14:paraId="414FF23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234</w:t>
            </w:r>
          </w:p>
        </w:tc>
        <w:tc>
          <w:tcPr>
            <w:tcW w:w="641" w:type="dxa"/>
            <w:gridSpan w:val="2"/>
            <w:tcBorders>
              <w:top w:val="single" w:sz="6" w:space="0" w:color="auto"/>
              <w:left w:val="single" w:sz="6" w:space="0" w:color="auto"/>
              <w:bottom w:val="single" w:sz="6" w:space="0" w:color="auto"/>
              <w:right w:val="single" w:sz="6" w:space="0" w:color="auto"/>
            </w:tcBorders>
          </w:tcPr>
          <w:p w14:paraId="330CF65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w:t>
            </w:r>
          </w:p>
        </w:tc>
        <w:tc>
          <w:tcPr>
            <w:tcW w:w="549" w:type="dxa"/>
            <w:tcBorders>
              <w:top w:val="single" w:sz="6" w:space="0" w:color="auto"/>
              <w:left w:val="single" w:sz="6" w:space="0" w:color="auto"/>
              <w:bottom w:val="single" w:sz="6" w:space="0" w:color="auto"/>
              <w:right w:val="single" w:sz="6" w:space="0" w:color="auto"/>
            </w:tcBorders>
          </w:tcPr>
          <w:p w14:paraId="135220F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47</w:t>
            </w:r>
          </w:p>
        </w:tc>
        <w:tc>
          <w:tcPr>
            <w:tcW w:w="549" w:type="dxa"/>
            <w:gridSpan w:val="2"/>
            <w:tcBorders>
              <w:top w:val="single" w:sz="6" w:space="0" w:color="auto"/>
              <w:left w:val="single" w:sz="6" w:space="0" w:color="auto"/>
              <w:bottom w:val="single" w:sz="6" w:space="0" w:color="auto"/>
              <w:right w:val="single" w:sz="6" w:space="0" w:color="auto"/>
            </w:tcBorders>
          </w:tcPr>
          <w:p w14:paraId="50C7B5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284</w:t>
            </w:r>
          </w:p>
        </w:tc>
        <w:tc>
          <w:tcPr>
            <w:tcW w:w="733" w:type="dxa"/>
            <w:gridSpan w:val="2"/>
            <w:tcBorders>
              <w:top w:val="single" w:sz="6" w:space="0" w:color="auto"/>
              <w:left w:val="single" w:sz="6" w:space="0" w:color="auto"/>
              <w:bottom w:val="single" w:sz="6" w:space="0" w:color="auto"/>
              <w:right w:val="single" w:sz="6" w:space="0" w:color="auto"/>
            </w:tcBorders>
          </w:tcPr>
          <w:p w14:paraId="189D9A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1291</w:t>
            </w:r>
          </w:p>
        </w:tc>
        <w:tc>
          <w:tcPr>
            <w:tcW w:w="1024" w:type="dxa"/>
            <w:gridSpan w:val="2"/>
            <w:tcBorders>
              <w:top w:val="single" w:sz="6" w:space="0" w:color="auto"/>
              <w:left w:val="single" w:sz="6" w:space="0" w:color="auto"/>
              <w:bottom w:val="single" w:sz="6" w:space="0" w:color="auto"/>
              <w:right w:val="single" w:sz="12" w:space="0" w:color="auto"/>
            </w:tcBorders>
          </w:tcPr>
          <w:p w14:paraId="713666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1542</w:t>
            </w:r>
          </w:p>
        </w:tc>
      </w:tr>
      <w:tr w:rsidR="00643896" w:rsidRPr="00640820" w14:paraId="49A111DE" w14:textId="77777777" w:rsidTr="000D3BCB">
        <w:tc>
          <w:tcPr>
            <w:tcW w:w="917" w:type="dxa"/>
            <w:tcBorders>
              <w:top w:val="single" w:sz="6" w:space="0" w:color="auto"/>
              <w:left w:val="single" w:sz="12" w:space="0" w:color="auto"/>
              <w:bottom w:val="single" w:sz="6" w:space="0" w:color="auto"/>
              <w:right w:val="single" w:sz="6" w:space="0" w:color="auto"/>
            </w:tcBorders>
          </w:tcPr>
          <w:p w14:paraId="01110D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Разведчики</w:t>
            </w:r>
          </w:p>
        </w:tc>
        <w:tc>
          <w:tcPr>
            <w:tcW w:w="917" w:type="dxa"/>
            <w:gridSpan w:val="2"/>
            <w:tcBorders>
              <w:top w:val="single" w:sz="6" w:space="0" w:color="auto"/>
              <w:left w:val="single" w:sz="6" w:space="0" w:color="auto"/>
              <w:bottom w:val="single" w:sz="6" w:space="0" w:color="auto"/>
              <w:right w:val="single" w:sz="6" w:space="0" w:color="auto"/>
            </w:tcBorders>
          </w:tcPr>
          <w:p w14:paraId="064C19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25" w:type="dxa"/>
            <w:gridSpan w:val="2"/>
            <w:tcBorders>
              <w:top w:val="single" w:sz="6" w:space="0" w:color="auto"/>
              <w:left w:val="single" w:sz="6" w:space="0" w:color="auto"/>
              <w:bottom w:val="single" w:sz="6" w:space="0" w:color="auto"/>
              <w:right w:val="single" w:sz="6" w:space="0" w:color="auto"/>
            </w:tcBorders>
          </w:tcPr>
          <w:p w14:paraId="307E89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41" w:type="dxa"/>
            <w:gridSpan w:val="2"/>
            <w:tcBorders>
              <w:top w:val="single" w:sz="6" w:space="0" w:color="auto"/>
              <w:left w:val="single" w:sz="6" w:space="0" w:color="auto"/>
              <w:bottom w:val="single" w:sz="6" w:space="0" w:color="auto"/>
              <w:right w:val="single" w:sz="6" w:space="0" w:color="auto"/>
            </w:tcBorders>
          </w:tcPr>
          <w:p w14:paraId="017587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41" w:type="dxa"/>
            <w:gridSpan w:val="2"/>
            <w:tcBorders>
              <w:top w:val="single" w:sz="6" w:space="0" w:color="auto"/>
              <w:left w:val="single" w:sz="6" w:space="0" w:color="auto"/>
              <w:bottom w:val="single" w:sz="6" w:space="0" w:color="auto"/>
              <w:right w:val="single" w:sz="6" w:space="0" w:color="auto"/>
            </w:tcBorders>
          </w:tcPr>
          <w:p w14:paraId="14CFC0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41" w:type="dxa"/>
            <w:gridSpan w:val="2"/>
            <w:tcBorders>
              <w:top w:val="single" w:sz="6" w:space="0" w:color="auto"/>
              <w:left w:val="single" w:sz="6" w:space="0" w:color="auto"/>
              <w:bottom w:val="single" w:sz="6" w:space="0" w:color="auto"/>
              <w:right w:val="single" w:sz="6" w:space="0" w:color="auto"/>
            </w:tcBorders>
          </w:tcPr>
          <w:p w14:paraId="011997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41" w:type="dxa"/>
            <w:gridSpan w:val="2"/>
            <w:tcBorders>
              <w:top w:val="single" w:sz="6" w:space="0" w:color="auto"/>
              <w:left w:val="single" w:sz="6" w:space="0" w:color="auto"/>
              <w:bottom w:val="single" w:sz="6" w:space="0" w:color="auto"/>
              <w:right w:val="single" w:sz="6" w:space="0" w:color="auto"/>
            </w:tcBorders>
          </w:tcPr>
          <w:p w14:paraId="4DD519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41" w:type="dxa"/>
            <w:gridSpan w:val="2"/>
            <w:tcBorders>
              <w:top w:val="single" w:sz="6" w:space="0" w:color="auto"/>
              <w:left w:val="single" w:sz="6" w:space="0" w:color="auto"/>
              <w:bottom w:val="single" w:sz="6" w:space="0" w:color="auto"/>
              <w:right w:val="single" w:sz="6" w:space="0" w:color="auto"/>
            </w:tcBorders>
          </w:tcPr>
          <w:p w14:paraId="0336CF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41" w:type="dxa"/>
            <w:gridSpan w:val="2"/>
            <w:tcBorders>
              <w:top w:val="single" w:sz="6" w:space="0" w:color="auto"/>
              <w:left w:val="single" w:sz="6" w:space="0" w:color="auto"/>
              <w:bottom w:val="single" w:sz="6" w:space="0" w:color="auto"/>
              <w:right w:val="single" w:sz="6" w:space="0" w:color="auto"/>
            </w:tcBorders>
          </w:tcPr>
          <w:p w14:paraId="68B2BF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49" w:type="dxa"/>
            <w:tcBorders>
              <w:top w:val="single" w:sz="6" w:space="0" w:color="auto"/>
              <w:left w:val="single" w:sz="6" w:space="0" w:color="auto"/>
              <w:bottom w:val="single" w:sz="6" w:space="0" w:color="auto"/>
              <w:right w:val="single" w:sz="6" w:space="0" w:color="auto"/>
            </w:tcBorders>
          </w:tcPr>
          <w:p w14:paraId="2C6A7D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49" w:type="dxa"/>
            <w:gridSpan w:val="2"/>
            <w:tcBorders>
              <w:top w:val="single" w:sz="6" w:space="0" w:color="auto"/>
              <w:left w:val="single" w:sz="6" w:space="0" w:color="auto"/>
              <w:bottom w:val="single" w:sz="6" w:space="0" w:color="auto"/>
              <w:right w:val="single" w:sz="6" w:space="0" w:color="auto"/>
            </w:tcBorders>
          </w:tcPr>
          <w:p w14:paraId="0C6357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33" w:type="dxa"/>
            <w:gridSpan w:val="2"/>
            <w:tcBorders>
              <w:top w:val="single" w:sz="6" w:space="0" w:color="auto"/>
              <w:left w:val="single" w:sz="6" w:space="0" w:color="auto"/>
              <w:bottom w:val="single" w:sz="6" w:space="0" w:color="auto"/>
              <w:right w:val="single" w:sz="6" w:space="0" w:color="auto"/>
            </w:tcBorders>
          </w:tcPr>
          <w:p w14:paraId="5A2CD9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024" w:type="dxa"/>
            <w:gridSpan w:val="2"/>
            <w:tcBorders>
              <w:top w:val="single" w:sz="6" w:space="0" w:color="auto"/>
              <w:left w:val="single" w:sz="6" w:space="0" w:color="auto"/>
              <w:bottom w:val="single" w:sz="6" w:space="0" w:color="auto"/>
              <w:right w:val="single" w:sz="12" w:space="0" w:color="auto"/>
            </w:tcBorders>
          </w:tcPr>
          <w:p w14:paraId="05953F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00DE5B27" w14:textId="77777777" w:rsidTr="000D3BCB">
        <w:tc>
          <w:tcPr>
            <w:tcW w:w="917" w:type="dxa"/>
            <w:tcBorders>
              <w:top w:val="single" w:sz="6" w:space="0" w:color="auto"/>
              <w:left w:val="single" w:sz="12" w:space="0" w:color="auto"/>
              <w:bottom w:val="single" w:sz="6" w:space="0" w:color="auto"/>
              <w:right w:val="single" w:sz="6" w:space="0" w:color="auto"/>
            </w:tcBorders>
          </w:tcPr>
          <w:p w14:paraId="43374F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МДР-6</w:t>
            </w:r>
          </w:p>
        </w:tc>
        <w:tc>
          <w:tcPr>
            <w:tcW w:w="917" w:type="dxa"/>
            <w:gridSpan w:val="2"/>
            <w:tcBorders>
              <w:top w:val="single" w:sz="6" w:space="0" w:color="auto"/>
              <w:left w:val="single" w:sz="6" w:space="0" w:color="auto"/>
              <w:bottom w:val="single" w:sz="6" w:space="0" w:color="auto"/>
              <w:right w:val="single" w:sz="6" w:space="0" w:color="auto"/>
            </w:tcBorders>
          </w:tcPr>
          <w:p w14:paraId="3BEA65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31</w:t>
            </w:r>
          </w:p>
        </w:tc>
        <w:tc>
          <w:tcPr>
            <w:tcW w:w="825" w:type="dxa"/>
            <w:gridSpan w:val="2"/>
            <w:tcBorders>
              <w:top w:val="single" w:sz="6" w:space="0" w:color="auto"/>
              <w:left w:val="single" w:sz="6" w:space="0" w:color="auto"/>
              <w:bottom w:val="single" w:sz="6" w:space="0" w:color="auto"/>
              <w:right w:val="single" w:sz="6" w:space="0" w:color="auto"/>
            </w:tcBorders>
          </w:tcPr>
          <w:p w14:paraId="2A4433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157657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41" w:type="dxa"/>
            <w:gridSpan w:val="2"/>
            <w:tcBorders>
              <w:top w:val="single" w:sz="6" w:space="0" w:color="auto"/>
              <w:left w:val="single" w:sz="6" w:space="0" w:color="auto"/>
              <w:bottom w:val="single" w:sz="6" w:space="0" w:color="auto"/>
              <w:right w:val="single" w:sz="6" w:space="0" w:color="auto"/>
            </w:tcBorders>
          </w:tcPr>
          <w:p w14:paraId="780322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2B51F7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02A23F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256744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05BFE7A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641" w:type="dxa"/>
            <w:gridSpan w:val="2"/>
            <w:tcBorders>
              <w:top w:val="single" w:sz="6" w:space="0" w:color="auto"/>
              <w:left w:val="single" w:sz="6" w:space="0" w:color="auto"/>
              <w:bottom w:val="single" w:sz="6" w:space="0" w:color="auto"/>
              <w:right w:val="single" w:sz="6" w:space="0" w:color="auto"/>
            </w:tcBorders>
          </w:tcPr>
          <w:p w14:paraId="2E258C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549" w:type="dxa"/>
            <w:tcBorders>
              <w:top w:val="single" w:sz="6" w:space="0" w:color="auto"/>
              <w:left w:val="single" w:sz="6" w:space="0" w:color="auto"/>
              <w:bottom w:val="single" w:sz="6" w:space="0" w:color="auto"/>
              <w:right w:val="single" w:sz="6" w:space="0" w:color="auto"/>
            </w:tcBorders>
          </w:tcPr>
          <w:p w14:paraId="717EF31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549" w:type="dxa"/>
            <w:gridSpan w:val="2"/>
            <w:tcBorders>
              <w:top w:val="single" w:sz="6" w:space="0" w:color="auto"/>
              <w:left w:val="single" w:sz="6" w:space="0" w:color="auto"/>
              <w:bottom w:val="single" w:sz="6" w:space="0" w:color="auto"/>
              <w:right w:val="single" w:sz="6" w:space="0" w:color="auto"/>
            </w:tcBorders>
          </w:tcPr>
          <w:p w14:paraId="2E4065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33" w:type="dxa"/>
            <w:gridSpan w:val="2"/>
            <w:tcBorders>
              <w:top w:val="single" w:sz="6" w:space="0" w:color="auto"/>
              <w:left w:val="single" w:sz="6" w:space="0" w:color="auto"/>
              <w:bottom w:val="single" w:sz="6" w:space="0" w:color="auto"/>
              <w:right w:val="single" w:sz="6" w:space="0" w:color="auto"/>
            </w:tcBorders>
          </w:tcPr>
          <w:p w14:paraId="779385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024" w:type="dxa"/>
            <w:gridSpan w:val="2"/>
            <w:tcBorders>
              <w:top w:val="single" w:sz="6" w:space="0" w:color="auto"/>
              <w:left w:val="single" w:sz="6" w:space="0" w:color="auto"/>
              <w:bottom w:val="single" w:sz="6" w:space="0" w:color="auto"/>
              <w:right w:val="single" w:sz="12" w:space="0" w:color="auto"/>
            </w:tcBorders>
          </w:tcPr>
          <w:p w14:paraId="716313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w:t>
            </w:r>
          </w:p>
        </w:tc>
      </w:tr>
      <w:tr w:rsidR="00643896" w:rsidRPr="00640820" w14:paraId="4B838623" w14:textId="77777777" w:rsidTr="000D3BCB">
        <w:tc>
          <w:tcPr>
            <w:tcW w:w="917" w:type="dxa"/>
            <w:tcBorders>
              <w:top w:val="single" w:sz="6" w:space="0" w:color="auto"/>
              <w:left w:val="single" w:sz="12" w:space="0" w:color="auto"/>
              <w:bottom w:val="single" w:sz="6" w:space="0" w:color="auto"/>
              <w:right w:val="single" w:sz="6" w:space="0" w:color="auto"/>
            </w:tcBorders>
          </w:tcPr>
          <w:p w14:paraId="6D5B85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(Чс)</w:t>
            </w:r>
          </w:p>
        </w:tc>
        <w:tc>
          <w:tcPr>
            <w:tcW w:w="917" w:type="dxa"/>
            <w:gridSpan w:val="2"/>
            <w:tcBorders>
              <w:top w:val="single" w:sz="6" w:space="0" w:color="auto"/>
              <w:left w:val="single" w:sz="6" w:space="0" w:color="auto"/>
              <w:bottom w:val="single" w:sz="6" w:space="0" w:color="auto"/>
              <w:right w:val="single" w:sz="6" w:space="0" w:color="auto"/>
            </w:tcBorders>
          </w:tcPr>
          <w:p w14:paraId="6B23A1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25" w:type="dxa"/>
            <w:gridSpan w:val="2"/>
            <w:tcBorders>
              <w:top w:val="single" w:sz="6" w:space="0" w:color="auto"/>
              <w:left w:val="single" w:sz="6" w:space="0" w:color="auto"/>
              <w:bottom w:val="single" w:sz="6" w:space="0" w:color="auto"/>
              <w:right w:val="single" w:sz="6" w:space="0" w:color="auto"/>
            </w:tcBorders>
          </w:tcPr>
          <w:p w14:paraId="5104039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41" w:type="dxa"/>
            <w:gridSpan w:val="2"/>
            <w:tcBorders>
              <w:top w:val="single" w:sz="6" w:space="0" w:color="auto"/>
              <w:left w:val="single" w:sz="6" w:space="0" w:color="auto"/>
              <w:bottom w:val="single" w:sz="6" w:space="0" w:color="auto"/>
              <w:right w:val="single" w:sz="6" w:space="0" w:color="auto"/>
            </w:tcBorders>
          </w:tcPr>
          <w:p w14:paraId="220A1C3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41" w:type="dxa"/>
            <w:gridSpan w:val="2"/>
            <w:tcBorders>
              <w:top w:val="single" w:sz="6" w:space="0" w:color="auto"/>
              <w:left w:val="single" w:sz="6" w:space="0" w:color="auto"/>
              <w:bottom w:val="single" w:sz="6" w:space="0" w:color="auto"/>
              <w:right w:val="single" w:sz="6" w:space="0" w:color="auto"/>
            </w:tcBorders>
          </w:tcPr>
          <w:p w14:paraId="78E8F61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41" w:type="dxa"/>
            <w:gridSpan w:val="2"/>
            <w:tcBorders>
              <w:top w:val="single" w:sz="6" w:space="0" w:color="auto"/>
              <w:left w:val="single" w:sz="6" w:space="0" w:color="auto"/>
              <w:bottom w:val="single" w:sz="6" w:space="0" w:color="auto"/>
              <w:right w:val="single" w:sz="6" w:space="0" w:color="auto"/>
            </w:tcBorders>
          </w:tcPr>
          <w:p w14:paraId="1C36C7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41" w:type="dxa"/>
            <w:gridSpan w:val="2"/>
            <w:tcBorders>
              <w:top w:val="single" w:sz="6" w:space="0" w:color="auto"/>
              <w:left w:val="single" w:sz="6" w:space="0" w:color="auto"/>
              <w:bottom w:val="single" w:sz="6" w:space="0" w:color="auto"/>
              <w:right w:val="single" w:sz="6" w:space="0" w:color="auto"/>
            </w:tcBorders>
          </w:tcPr>
          <w:p w14:paraId="7C7FE63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41" w:type="dxa"/>
            <w:gridSpan w:val="2"/>
            <w:tcBorders>
              <w:top w:val="single" w:sz="6" w:space="0" w:color="auto"/>
              <w:left w:val="single" w:sz="6" w:space="0" w:color="auto"/>
              <w:bottom w:val="single" w:sz="6" w:space="0" w:color="auto"/>
              <w:right w:val="single" w:sz="6" w:space="0" w:color="auto"/>
            </w:tcBorders>
          </w:tcPr>
          <w:p w14:paraId="51AF9C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41" w:type="dxa"/>
            <w:gridSpan w:val="2"/>
            <w:tcBorders>
              <w:top w:val="single" w:sz="6" w:space="0" w:color="auto"/>
              <w:left w:val="single" w:sz="6" w:space="0" w:color="auto"/>
              <w:bottom w:val="single" w:sz="6" w:space="0" w:color="auto"/>
              <w:right w:val="single" w:sz="6" w:space="0" w:color="auto"/>
            </w:tcBorders>
          </w:tcPr>
          <w:p w14:paraId="590C2B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49" w:type="dxa"/>
            <w:tcBorders>
              <w:top w:val="single" w:sz="6" w:space="0" w:color="auto"/>
              <w:left w:val="single" w:sz="6" w:space="0" w:color="auto"/>
              <w:bottom w:val="single" w:sz="6" w:space="0" w:color="auto"/>
              <w:right w:val="single" w:sz="6" w:space="0" w:color="auto"/>
            </w:tcBorders>
          </w:tcPr>
          <w:p w14:paraId="42E940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49" w:type="dxa"/>
            <w:gridSpan w:val="2"/>
            <w:tcBorders>
              <w:top w:val="single" w:sz="6" w:space="0" w:color="auto"/>
              <w:left w:val="single" w:sz="6" w:space="0" w:color="auto"/>
              <w:bottom w:val="single" w:sz="6" w:space="0" w:color="auto"/>
              <w:right w:val="single" w:sz="6" w:space="0" w:color="auto"/>
            </w:tcBorders>
          </w:tcPr>
          <w:p w14:paraId="0961BE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33" w:type="dxa"/>
            <w:gridSpan w:val="2"/>
            <w:tcBorders>
              <w:top w:val="single" w:sz="6" w:space="0" w:color="auto"/>
              <w:left w:val="single" w:sz="6" w:space="0" w:color="auto"/>
              <w:bottom w:val="single" w:sz="6" w:space="0" w:color="auto"/>
              <w:right w:val="single" w:sz="6" w:space="0" w:color="auto"/>
            </w:tcBorders>
          </w:tcPr>
          <w:p w14:paraId="05E755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024" w:type="dxa"/>
            <w:gridSpan w:val="2"/>
            <w:tcBorders>
              <w:top w:val="single" w:sz="6" w:space="0" w:color="auto"/>
              <w:left w:val="single" w:sz="6" w:space="0" w:color="auto"/>
              <w:bottom w:val="single" w:sz="6" w:space="0" w:color="auto"/>
              <w:right w:val="single" w:sz="12" w:space="0" w:color="auto"/>
            </w:tcBorders>
          </w:tcPr>
          <w:p w14:paraId="16BF7F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1A7CF0C4" w14:textId="77777777" w:rsidTr="000D3BCB">
        <w:tc>
          <w:tcPr>
            <w:tcW w:w="917" w:type="dxa"/>
            <w:tcBorders>
              <w:top w:val="single" w:sz="6" w:space="0" w:color="auto"/>
              <w:left w:val="single" w:sz="12" w:space="0" w:color="auto"/>
              <w:bottom w:val="single" w:sz="6" w:space="0" w:color="auto"/>
              <w:right w:val="single" w:sz="6" w:space="0" w:color="auto"/>
            </w:tcBorders>
          </w:tcPr>
          <w:p w14:paraId="0FBDCC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МДР-6</w:t>
            </w:r>
          </w:p>
        </w:tc>
        <w:tc>
          <w:tcPr>
            <w:tcW w:w="917" w:type="dxa"/>
            <w:gridSpan w:val="2"/>
            <w:tcBorders>
              <w:top w:val="single" w:sz="6" w:space="0" w:color="auto"/>
              <w:left w:val="single" w:sz="6" w:space="0" w:color="auto"/>
              <w:bottom w:val="single" w:sz="6" w:space="0" w:color="auto"/>
              <w:right w:val="single" w:sz="6" w:space="0" w:color="auto"/>
            </w:tcBorders>
          </w:tcPr>
          <w:p w14:paraId="7F573D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30</w:t>
            </w:r>
          </w:p>
        </w:tc>
        <w:tc>
          <w:tcPr>
            <w:tcW w:w="825" w:type="dxa"/>
            <w:gridSpan w:val="2"/>
            <w:tcBorders>
              <w:top w:val="single" w:sz="6" w:space="0" w:color="auto"/>
              <w:left w:val="single" w:sz="6" w:space="0" w:color="auto"/>
              <w:bottom w:val="single" w:sz="6" w:space="0" w:color="auto"/>
              <w:right w:val="single" w:sz="6" w:space="0" w:color="auto"/>
            </w:tcBorders>
          </w:tcPr>
          <w:p w14:paraId="50D28B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Отчет </w:t>
            </w:r>
          </w:p>
          <w:p w14:paraId="384B7C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План</w:t>
            </w:r>
          </w:p>
        </w:tc>
        <w:tc>
          <w:tcPr>
            <w:tcW w:w="641" w:type="dxa"/>
            <w:gridSpan w:val="2"/>
            <w:tcBorders>
              <w:top w:val="single" w:sz="6" w:space="0" w:color="auto"/>
              <w:left w:val="single" w:sz="6" w:space="0" w:color="auto"/>
              <w:bottom w:val="single" w:sz="6" w:space="0" w:color="auto"/>
              <w:right w:val="single" w:sz="6" w:space="0" w:color="auto"/>
            </w:tcBorders>
          </w:tcPr>
          <w:p w14:paraId="42EB094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w:t>
            </w:r>
          </w:p>
        </w:tc>
        <w:tc>
          <w:tcPr>
            <w:tcW w:w="641" w:type="dxa"/>
            <w:gridSpan w:val="2"/>
            <w:tcBorders>
              <w:top w:val="single" w:sz="6" w:space="0" w:color="auto"/>
              <w:left w:val="single" w:sz="6" w:space="0" w:color="auto"/>
              <w:bottom w:val="single" w:sz="6" w:space="0" w:color="auto"/>
              <w:right w:val="single" w:sz="6" w:space="0" w:color="auto"/>
            </w:tcBorders>
          </w:tcPr>
          <w:p w14:paraId="4DCFDB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w:t>
            </w:r>
          </w:p>
        </w:tc>
        <w:tc>
          <w:tcPr>
            <w:tcW w:w="641" w:type="dxa"/>
            <w:gridSpan w:val="2"/>
            <w:tcBorders>
              <w:top w:val="single" w:sz="6" w:space="0" w:color="auto"/>
              <w:left w:val="single" w:sz="6" w:space="0" w:color="auto"/>
              <w:bottom w:val="single" w:sz="6" w:space="0" w:color="auto"/>
              <w:right w:val="single" w:sz="6" w:space="0" w:color="auto"/>
            </w:tcBorders>
          </w:tcPr>
          <w:p w14:paraId="3A13A8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w:t>
            </w:r>
          </w:p>
        </w:tc>
        <w:tc>
          <w:tcPr>
            <w:tcW w:w="641" w:type="dxa"/>
            <w:gridSpan w:val="2"/>
            <w:tcBorders>
              <w:top w:val="single" w:sz="6" w:space="0" w:color="auto"/>
              <w:left w:val="single" w:sz="6" w:space="0" w:color="auto"/>
              <w:bottom w:val="single" w:sz="6" w:space="0" w:color="auto"/>
              <w:right w:val="single" w:sz="6" w:space="0" w:color="auto"/>
            </w:tcBorders>
          </w:tcPr>
          <w:p w14:paraId="1F2ED0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w:t>
            </w:r>
          </w:p>
        </w:tc>
        <w:tc>
          <w:tcPr>
            <w:tcW w:w="641" w:type="dxa"/>
            <w:gridSpan w:val="2"/>
            <w:tcBorders>
              <w:top w:val="single" w:sz="6" w:space="0" w:color="auto"/>
              <w:left w:val="single" w:sz="6" w:space="0" w:color="auto"/>
              <w:bottom w:val="single" w:sz="6" w:space="0" w:color="auto"/>
              <w:right w:val="single" w:sz="6" w:space="0" w:color="auto"/>
            </w:tcBorders>
          </w:tcPr>
          <w:p w14:paraId="61FEBA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641" w:type="dxa"/>
            <w:gridSpan w:val="2"/>
            <w:tcBorders>
              <w:top w:val="single" w:sz="6" w:space="0" w:color="auto"/>
              <w:left w:val="single" w:sz="6" w:space="0" w:color="auto"/>
              <w:bottom w:val="single" w:sz="6" w:space="0" w:color="auto"/>
              <w:right w:val="single" w:sz="6" w:space="0" w:color="auto"/>
            </w:tcBorders>
          </w:tcPr>
          <w:p w14:paraId="0453A5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549" w:type="dxa"/>
            <w:tcBorders>
              <w:top w:val="single" w:sz="6" w:space="0" w:color="auto"/>
              <w:left w:val="single" w:sz="6" w:space="0" w:color="auto"/>
              <w:bottom w:val="single" w:sz="6" w:space="0" w:color="auto"/>
              <w:right w:val="single" w:sz="6" w:space="0" w:color="auto"/>
            </w:tcBorders>
          </w:tcPr>
          <w:p w14:paraId="17F750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549" w:type="dxa"/>
            <w:gridSpan w:val="2"/>
            <w:tcBorders>
              <w:top w:val="single" w:sz="6" w:space="0" w:color="auto"/>
              <w:left w:val="single" w:sz="6" w:space="0" w:color="auto"/>
              <w:bottom w:val="single" w:sz="6" w:space="0" w:color="auto"/>
              <w:right w:val="single" w:sz="6" w:space="0" w:color="auto"/>
            </w:tcBorders>
          </w:tcPr>
          <w:p w14:paraId="05D75C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33" w:type="dxa"/>
            <w:gridSpan w:val="2"/>
            <w:tcBorders>
              <w:top w:val="single" w:sz="6" w:space="0" w:color="auto"/>
              <w:left w:val="single" w:sz="6" w:space="0" w:color="auto"/>
              <w:bottom w:val="single" w:sz="6" w:space="0" w:color="auto"/>
              <w:right w:val="single" w:sz="6" w:space="0" w:color="auto"/>
            </w:tcBorders>
          </w:tcPr>
          <w:p w14:paraId="320157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1024" w:type="dxa"/>
            <w:gridSpan w:val="2"/>
            <w:tcBorders>
              <w:top w:val="single" w:sz="6" w:space="0" w:color="auto"/>
              <w:left w:val="single" w:sz="6" w:space="0" w:color="auto"/>
              <w:bottom w:val="single" w:sz="6" w:space="0" w:color="auto"/>
              <w:right w:val="single" w:sz="12" w:space="0" w:color="auto"/>
            </w:tcBorders>
          </w:tcPr>
          <w:p w14:paraId="788B7E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w:t>
            </w:r>
          </w:p>
        </w:tc>
      </w:tr>
      <w:tr w:rsidR="00643896" w:rsidRPr="00640820" w14:paraId="34DE7F60" w14:textId="77777777" w:rsidTr="000D3BCB">
        <w:tc>
          <w:tcPr>
            <w:tcW w:w="917" w:type="dxa"/>
            <w:gridSpan w:val="3"/>
            <w:tcBorders>
              <w:top w:val="single" w:sz="6" w:space="0" w:color="auto"/>
              <w:left w:val="single" w:sz="12" w:space="0" w:color="auto"/>
              <w:bottom w:val="single" w:sz="6" w:space="0" w:color="auto"/>
              <w:right w:val="single" w:sz="6" w:space="0" w:color="auto"/>
            </w:tcBorders>
          </w:tcPr>
          <w:p w14:paraId="462D3D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Всего разведчиков</w:t>
            </w:r>
          </w:p>
        </w:tc>
        <w:tc>
          <w:tcPr>
            <w:tcW w:w="825" w:type="dxa"/>
            <w:gridSpan w:val="2"/>
            <w:tcBorders>
              <w:top w:val="single" w:sz="6" w:space="0" w:color="auto"/>
              <w:left w:val="single" w:sz="6" w:space="0" w:color="auto"/>
              <w:bottom w:val="single" w:sz="6" w:space="0" w:color="auto"/>
              <w:right w:val="single" w:sz="6" w:space="0" w:color="auto"/>
            </w:tcBorders>
          </w:tcPr>
          <w:p w14:paraId="5094E8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41" w:type="dxa"/>
            <w:gridSpan w:val="2"/>
            <w:tcBorders>
              <w:top w:val="single" w:sz="6" w:space="0" w:color="auto"/>
              <w:left w:val="single" w:sz="6" w:space="0" w:color="auto"/>
              <w:bottom w:val="single" w:sz="6" w:space="0" w:color="auto"/>
              <w:right w:val="single" w:sz="6" w:space="0" w:color="auto"/>
            </w:tcBorders>
          </w:tcPr>
          <w:p w14:paraId="7B9C95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w:t>
            </w:r>
          </w:p>
        </w:tc>
        <w:tc>
          <w:tcPr>
            <w:tcW w:w="641" w:type="dxa"/>
            <w:gridSpan w:val="2"/>
            <w:tcBorders>
              <w:top w:val="single" w:sz="6" w:space="0" w:color="auto"/>
              <w:left w:val="single" w:sz="6" w:space="0" w:color="auto"/>
              <w:bottom w:val="single" w:sz="6" w:space="0" w:color="auto"/>
              <w:right w:val="single" w:sz="6" w:space="0" w:color="auto"/>
            </w:tcBorders>
          </w:tcPr>
          <w:p w14:paraId="411AEA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w:t>
            </w:r>
          </w:p>
        </w:tc>
        <w:tc>
          <w:tcPr>
            <w:tcW w:w="641" w:type="dxa"/>
            <w:gridSpan w:val="2"/>
            <w:tcBorders>
              <w:top w:val="single" w:sz="6" w:space="0" w:color="auto"/>
              <w:left w:val="single" w:sz="6" w:space="0" w:color="auto"/>
              <w:bottom w:val="single" w:sz="6" w:space="0" w:color="auto"/>
              <w:right w:val="single" w:sz="6" w:space="0" w:color="auto"/>
            </w:tcBorders>
          </w:tcPr>
          <w:p w14:paraId="409F2E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w:t>
            </w:r>
          </w:p>
        </w:tc>
        <w:tc>
          <w:tcPr>
            <w:tcW w:w="641" w:type="dxa"/>
            <w:gridSpan w:val="2"/>
            <w:tcBorders>
              <w:top w:val="single" w:sz="6" w:space="0" w:color="auto"/>
              <w:left w:val="single" w:sz="6" w:space="0" w:color="auto"/>
              <w:bottom w:val="single" w:sz="6" w:space="0" w:color="auto"/>
              <w:right w:val="single" w:sz="6" w:space="0" w:color="auto"/>
            </w:tcBorders>
          </w:tcPr>
          <w:p w14:paraId="35BBA6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w:t>
            </w:r>
          </w:p>
        </w:tc>
        <w:tc>
          <w:tcPr>
            <w:tcW w:w="641" w:type="dxa"/>
            <w:gridSpan w:val="2"/>
            <w:tcBorders>
              <w:top w:val="single" w:sz="6" w:space="0" w:color="auto"/>
              <w:left w:val="single" w:sz="6" w:space="0" w:color="auto"/>
              <w:bottom w:val="single" w:sz="6" w:space="0" w:color="auto"/>
              <w:right w:val="single" w:sz="6" w:space="0" w:color="auto"/>
            </w:tcBorders>
          </w:tcPr>
          <w:p w14:paraId="7AFBE0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641" w:type="dxa"/>
            <w:gridSpan w:val="2"/>
            <w:tcBorders>
              <w:top w:val="single" w:sz="6" w:space="0" w:color="auto"/>
              <w:left w:val="single" w:sz="6" w:space="0" w:color="auto"/>
              <w:bottom w:val="single" w:sz="6" w:space="0" w:color="auto"/>
              <w:right w:val="single" w:sz="6" w:space="0" w:color="auto"/>
            </w:tcBorders>
          </w:tcPr>
          <w:p w14:paraId="2BD1B5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549" w:type="dxa"/>
            <w:tcBorders>
              <w:top w:val="single" w:sz="6" w:space="0" w:color="auto"/>
              <w:left w:val="single" w:sz="6" w:space="0" w:color="auto"/>
              <w:bottom w:val="single" w:sz="6" w:space="0" w:color="auto"/>
              <w:right w:val="single" w:sz="6" w:space="0" w:color="auto"/>
            </w:tcBorders>
          </w:tcPr>
          <w:p w14:paraId="2721E2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549" w:type="dxa"/>
            <w:gridSpan w:val="2"/>
            <w:tcBorders>
              <w:top w:val="single" w:sz="6" w:space="0" w:color="auto"/>
              <w:left w:val="single" w:sz="6" w:space="0" w:color="auto"/>
              <w:bottom w:val="single" w:sz="6" w:space="0" w:color="auto"/>
              <w:right w:val="single" w:sz="6" w:space="0" w:color="auto"/>
            </w:tcBorders>
          </w:tcPr>
          <w:p w14:paraId="59F7B1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733" w:type="dxa"/>
            <w:gridSpan w:val="2"/>
            <w:tcBorders>
              <w:top w:val="single" w:sz="6" w:space="0" w:color="auto"/>
              <w:left w:val="single" w:sz="6" w:space="0" w:color="auto"/>
              <w:bottom w:val="single" w:sz="6" w:space="0" w:color="auto"/>
              <w:right w:val="single" w:sz="6" w:space="0" w:color="auto"/>
            </w:tcBorders>
          </w:tcPr>
          <w:p w14:paraId="0E5DC5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1024" w:type="dxa"/>
            <w:gridSpan w:val="2"/>
            <w:tcBorders>
              <w:top w:val="single" w:sz="6" w:space="0" w:color="auto"/>
              <w:left w:val="single" w:sz="6" w:space="0" w:color="auto"/>
              <w:bottom w:val="single" w:sz="6" w:space="0" w:color="auto"/>
              <w:right w:val="single" w:sz="12" w:space="0" w:color="auto"/>
            </w:tcBorders>
          </w:tcPr>
          <w:p w14:paraId="3E78A1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25</w:t>
            </w:r>
          </w:p>
        </w:tc>
      </w:tr>
      <w:tr w:rsidR="00643896" w:rsidRPr="00640820" w14:paraId="2D61E16A" w14:textId="77777777" w:rsidTr="000D3BCB">
        <w:tc>
          <w:tcPr>
            <w:tcW w:w="917" w:type="dxa"/>
            <w:gridSpan w:val="5"/>
            <w:tcBorders>
              <w:top w:val="single" w:sz="6" w:space="0" w:color="auto"/>
              <w:left w:val="single" w:sz="12" w:space="0" w:color="auto"/>
              <w:bottom w:val="single" w:sz="12" w:space="0" w:color="auto"/>
              <w:right w:val="single" w:sz="6" w:space="0" w:color="auto"/>
            </w:tcBorders>
          </w:tcPr>
          <w:p w14:paraId="56C95B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Итого боевых машин</w:t>
            </w:r>
          </w:p>
        </w:tc>
        <w:tc>
          <w:tcPr>
            <w:tcW w:w="641" w:type="dxa"/>
            <w:gridSpan w:val="2"/>
            <w:tcBorders>
              <w:top w:val="single" w:sz="6" w:space="0" w:color="auto"/>
              <w:left w:val="single" w:sz="6" w:space="0" w:color="auto"/>
              <w:bottom w:val="single" w:sz="12" w:space="0" w:color="auto"/>
              <w:right w:val="single" w:sz="6" w:space="0" w:color="auto"/>
            </w:tcBorders>
          </w:tcPr>
          <w:p w14:paraId="05C5E8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1685</w:t>
            </w:r>
          </w:p>
        </w:tc>
        <w:tc>
          <w:tcPr>
            <w:tcW w:w="641" w:type="dxa"/>
            <w:gridSpan w:val="2"/>
            <w:tcBorders>
              <w:top w:val="single" w:sz="6" w:space="0" w:color="auto"/>
              <w:left w:val="single" w:sz="6" w:space="0" w:color="auto"/>
              <w:bottom w:val="single" w:sz="12" w:space="0" w:color="auto"/>
              <w:right w:val="single" w:sz="6" w:space="0" w:color="auto"/>
            </w:tcBorders>
          </w:tcPr>
          <w:p w14:paraId="14763A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1959</w:t>
            </w:r>
          </w:p>
        </w:tc>
        <w:tc>
          <w:tcPr>
            <w:tcW w:w="641" w:type="dxa"/>
            <w:gridSpan w:val="2"/>
            <w:tcBorders>
              <w:top w:val="single" w:sz="6" w:space="0" w:color="auto"/>
              <w:left w:val="single" w:sz="6" w:space="0" w:color="auto"/>
              <w:bottom w:val="single" w:sz="12" w:space="0" w:color="auto"/>
              <w:right w:val="single" w:sz="6" w:space="0" w:color="auto"/>
            </w:tcBorders>
          </w:tcPr>
          <w:p w14:paraId="16BA36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2022</w:t>
            </w:r>
          </w:p>
        </w:tc>
        <w:tc>
          <w:tcPr>
            <w:tcW w:w="641" w:type="dxa"/>
            <w:gridSpan w:val="2"/>
            <w:tcBorders>
              <w:top w:val="single" w:sz="6" w:space="0" w:color="auto"/>
              <w:left w:val="single" w:sz="6" w:space="0" w:color="auto"/>
              <w:bottom w:val="single" w:sz="12" w:space="0" w:color="auto"/>
              <w:right w:val="single" w:sz="6" w:space="0" w:color="auto"/>
            </w:tcBorders>
          </w:tcPr>
          <w:p w14:paraId="00CE20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5667</w:t>
            </w:r>
          </w:p>
        </w:tc>
        <w:tc>
          <w:tcPr>
            <w:tcW w:w="641" w:type="dxa"/>
            <w:gridSpan w:val="2"/>
            <w:tcBorders>
              <w:top w:val="single" w:sz="6" w:space="0" w:color="auto"/>
              <w:left w:val="single" w:sz="6" w:space="0" w:color="auto"/>
              <w:bottom w:val="single" w:sz="12" w:space="0" w:color="auto"/>
              <w:right w:val="single" w:sz="6" w:space="0" w:color="auto"/>
            </w:tcBorders>
          </w:tcPr>
          <w:p w14:paraId="7EB10FC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1399</w:t>
            </w:r>
          </w:p>
        </w:tc>
        <w:tc>
          <w:tcPr>
            <w:tcW w:w="641" w:type="dxa"/>
            <w:gridSpan w:val="2"/>
            <w:tcBorders>
              <w:top w:val="single" w:sz="6" w:space="0" w:color="auto"/>
              <w:left w:val="single" w:sz="6" w:space="0" w:color="auto"/>
              <w:bottom w:val="single" w:sz="12" w:space="0" w:color="auto"/>
              <w:right w:val="single" w:sz="6" w:space="0" w:color="auto"/>
            </w:tcBorders>
          </w:tcPr>
          <w:p w14:paraId="69B6485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454</w:t>
            </w:r>
          </w:p>
        </w:tc>
        <w:tc>
          <w:tcPr>
            <w:tcW w:w="549" w:type="dxa"/>
            <w:tcBorders>
              <w:top w:val="single" w:sz="6" w:space="0" w:color="auto"/>
              <w:left w:val="single" w:sz="6" w:space="0" w:color="auto"/>
              <w:bottom w:val="single" w:sz="12" w:space="0" w:color="auto"/>
              <w:right w:val="single" w:sz="6" w:space="0" w:color="auto"/>
            </w:tcBorders>
          </w:tcPr>
          <w:p w14:paraId="11010B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788</w:t>
            </w:r>
          </w:p>
        </w:tc>
        <w:tc>
          <w:tcPr>
            <w:tcW w:w="549" w:type="dxa"/>
            <w:gridSpan w:val="2"/>
            <w:tcBorders>
              <w:top w:val="single" w:sz="6" w:space="0" w:color="auto"/>
              <w:left w:val="single" w:sz="6" w:space="0" w:color="auto"/>
              <w:bottom w:val="single" w:sz="12" w:space="0" w:color="auto"/>
              <w:right w:val="single" w:sz="6" w:space="0" w:color="auto"/>
            </w:tcBorders>
          </w:tcPr>
          <w:p w14:paraId="701CE01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2580</w:t>
            </w:r>
          </w:p>
        </w:tc>
        <w:tc>
          <w:tcPr>
            <w:tcW w:w="733" w:type="dxa"/>
            <w:gridSpan w:val="2"/>
            <w:tcBorders>
              <w:top w:val="single" w:sz="6" w:space="0" w:color="auto"/>
              <w:left w:val="single" w:sz="6" w:space="0" w:color="auto"/>
              <w:bottom w:val="single" w:sz="12" w:space="0" w:color="auto"/>
              <w:right w:val="single" w:sz="6" w:space="0" w:color="auto"/>
            </w:tcBorders>
          </w:tcPr>
          <w:p w14:paraId="1ECEE5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8247</w:t>
            </w:r>
          </w:p>
        </w:tc>
        <w:tc>
          <w:tcPr>
            <w:tcW w:w="1024" w:type="dxa"/>
            <w:gridSpan w:val="2"/>
            <w:tcBorders>
              <w:top w:val="single" w:sz="6" w:space="0" w:color="auto"/>
              <w:left w:val="single" w:sz="6" w:space="0" w:color="auto"/>
              <w:bottom w:val="single" w:sz="12" w:space="0" w:color="auto"/>
              <w:right w:val="single" w:sz="12" w:space="0" w:color="auto"/>
            </w:tcBorders>
          </w:tcPr>
          <w:p w14:paraId="0237AF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12377</w:t>
            </w:r>
          </w:p>
        </w:tc>
      </w:tr>
    </w:tbl>
    <w:p w14:paraId="1F11613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РГАЭ. Ф.8044. Оп.1. Д.3228. Лл.15-17. Рукопись в канцелярской тетради. Фамилии исполнителей не указаны (12023).</w:t>
      </w:r>
    </w:p>
    <w:p w14:paraId="78CB9D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66BD0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выпуск Ар-2 составил 127 экземпляров, самолетов СБ - 68 экземпляров. Практически все эти машины изготовили в Москве, однако осенью 1941 г. авиазавод №22 эвакуировали в Казань, поэтому возможно, что несколько экземпляров собрали там. Известно, что с 22 июня 1941 г. до конца года ВВС РККА получили 7 Ар-2. В 1942 г. авиазавод №22 в Казани не выпускал ни СБ ни Ар-2, однако произвел текущий ремонт 112 машин обоих типов. Общее количество самолетов Ар-2, изготовленных в 1940-41 гг., согласно приведенной статистике составило 200 экземпляров. В 1942 г. один Ар-2 использовался для испытаний двигателей М-107 мощностью 1400 л.с. (12027).</w:t>
      </w:r>
    </w:p>
    <w:p w14:paraId="61213D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Сводная таблица основных технических и летных характеристик самолетов СБ различных годов выпуска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1"/>
        <w:gridCol w:w="1121"/>
        <w:gridCol w:w="1121"/>
        <w:gridCol w:w="1121"/>
        <w:gridCol w:w="1121"/>
        <w:gridCol w:w="1121"/>
        <w:gridCol w:w="1121"/>
        <w:gridCol w:w="1121"/>
        <w:gridCol w:w="1121"/>
        <w:gridCol w:w="1121"/>
      </w:tblGrid>
      <w:tr w:rsidR="00643896" w:rsidRPr="00640820" w14:paraId="04606ED8" w14:textId="77777777" w:rsidTr="000D3BCB">
        <w:tc>
          <w:tcPr>
            <w:tcW w:w="1121" w:type="dxa"/>
            <w:tcBorders>
              <w:top w:val="single" w:sz="12" w:space="0" w:color="auto"/>
            </w:tcBorders>
          </w:tcPr>
          <w:p w14:paraId="534638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ДАННЫЕ ????</w:t>
            </w:r>
          </w:p>
        </w:tc>
        <w:tc>
          <w:tcPr>
            <w:tcW w:w="1121" w:type="dxa"/>
            <w:tcBorders>
              <w:top w:val="single" w:sz="12" w:space="0" w:color="auto"/>
            </w:tcBorders>
          </w:tcPr>
          <w:p w14:paraId="47F39A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АНТ-40 РЦ</w:t>
            </w:r>
          </w:p>
        </w:tc>
        <w:tc>
          <w:tcPr>
            <w:tcW w:w="1121" w:type="dxa"/>
            <w:tcBorders>
              <w:top w:val="single" w:sz="12" w:space="0" w:color="auto"/>
            </w:tcBorders>
          </w:tcPr>
          <w:p w14:paraId="677E5CE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АНТ-40 ИС</w:t>
            </w:r>
          </w:p>
        </w:tc>
        <w:tc>
          <w:tcPr>
            <w:tcW w:w="1121" w:type="dxa"/>
            <w:tcBorders>
              <w:top w:val="single" w:sz="12" w:space="0" w:color="auto"/>
            </w:tcBorders>
          </w:tcPr>
          <w:p w14:paraId="75BE35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СБ №221</w:t>
            </w:r>
          </w:p>
        </w:tc>
        <w:tc>
          <w:tcPr>
            <w:tcW w:w="1121" w:type="dxa"/>
            <w:tcBorders>
              <w:top w:val="single" w:sz="12" w:space="0" w:color="auto"/>
            </w:tcBorders>
          </w:tcPr>
          <w:p w14:paraId="1D1C07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СБ№22200</w:t>
            </w:r>
          </w:p>
        </w:tc>
        <w:tc>
          <w:tcPr>
            <w:tcW w:w="1121" w:type="dxa"/>
            <w:tcBorders>
              <w:top w:val="single" w:sz="12" w:space="0" w:color="auto"/>
            </w:tcBorders>
          </w:tcPr>
          <w:p w14:paraId="576050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СБ№1/83</w:t>
            </w:r>
          </w:p>
        </w:tc>
        <w:tc>
          <w:tcPr>
            <w:tcW w:w="1121" w:type="dxa"/>
            <w:tcBorders>
              <w:top w:val="single" w:sz="12" w:space="0" w:color="auto"/>
            </w:tcBorders>
          </w:tcPr>
          <w:p w14:paraId="24FAE6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СБ№13/221</w:t>
            </w:r>
          </w:p>
        </w:tc>
        <w:tc>
          <w:tcPr>
            <w:tcW w:w="1121" w:type="dxa"/>
            <w:tcBorders>
              <w:top w:val="single" w:sz="12" w:space="0" w:color="auto"/>
            </w:tcBorders>
          </w:tcPr>
          <w:p w14:paraId="4878FC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ММН</w:t>
            </w:r>
          </w:p>
        </w:tc>
        <w:tc>
          <w:tcPr>
            <w:tcW w:w="1121" w:type="dxa"/>
            <w:tcBorders>
              <w:top w:val="single" w:sz="12" w:space="0" w:color="auto"/>
            </w:tcBorders>
          </w:tcPr>
          <w:p w14:paraId="647485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СБ№1/227</w:t>
            </w:r>
          </w:p>
        </w:tc>
        <w:tc>
          <w:tcPr>
            <w:tcW w:w="1121" w:type="dxa"/>
            <w:tcBorders>
              <w:top w:val="single" w:sz="12" w:space="0" w:color="auto"/>
            </w:tcBorders>
          </w:tcPr>
          <w:p w14:paraId="65302DF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АР-2</w:t>
            </w:r>
          </w:p>
        </w:tc>
      </w:tr>
      <w:tr w:rsidR="00643896" w:rsidRPr="00640820" w14:paraId="5154191D" w14:textId="77777777" w:rsidTr="000D3BCB">
        <w:tc>
          <w:tcPr>
            <w:tcW w:w="1121" w:type="dxa"/>
          </w:tcPr>
          <w:p w14:paraId="02890F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год</w:t>
            </w:r>
          </w:p>
        </w:tc>
        <w:tc>
          <w:tcPr>
            <w:tcW w:w="1121" w:type="dxa"/>
          </w:tcPr>
          <w:p w14:paraId="5F27D3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1934</w:t>
            </w:r>
          </w:p>
        </w:tc>
        <w:tc>
          <w:tcPr>
            <w:tcW w:w="1121" w:type="dxa"/>
          </w:tcPr>
          <w:p w14:paraId="15E5A4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1935</w:t>
            </w:r>
          </w:p>
        </w:tc>
        <w:tc>
          <w:tcPr>
            <w:tcW w:w="1121" w:type="dxa"/>
          </w:tcPr>
          <w:p w14:paraId="25ED7F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1936</w:t>
            </w:r>
          </w:p>
        </w:tc>
        <w:tc>
          <w:tcPr>
            <w:tcW w:w="1121" w:type="dxa"/>
          </w:tcPr>
          <w:p w14:paraId="232E713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1937</w:t>
            </w:r>
          </w:p>
        </w:tc>
        <w:tc>
          <w:tcPr>
            <w:tcW w:w="1121" w:type="dxa"/>
          </w:tcPr>
          <w:p w14:paraId="47B9AC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1938</w:t>
            </w:r>
          </w:p>
        </w:tc>
        <w:tc>
          <w:tcPr>
            <w:tcW w:w="1121" w:type="dxa"/>
          </w:tcPr>
          <w:p w14:paraId="392C2CE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1939</w:t>
            </w:r>
          </w:p>
        </w:tc>
        <w:tc>
          <w:tcPr>
            <w:tcW w:w="1121" w:type="dxa"/>
          </w:tcPr>
          <w:p w14:paraId="6EC2AE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1939</w:t>
            </w:r>
          </w:p>
        </w:tc>
        <w:tc>
          <w:tcPr>
            <w:tcW w:w="1121" w:type="dxa"/>
          </w:tcPr>
          <w:p w14:paraId="3DB4BF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1940</w:t>
            </w:r>
          </w:p>
        </w:tc>
        <w:tc>
          <w:tcPr>
            <w:tcW w:w="1121" w:type="dxa"/>
          </w:tcPr>
          <w:p w14:paraId="5A1ACD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1941</w:t>
            </w:r>
          </w:p>
        </w:tc>
      </w:tr>
      <w:tr w:rsidR="00643896" w:rsidRPr="00640820" w14:paraId="0BB25B96" w14:textId="77777777" w:rsidTr="000D3BCB">
        <w:tc>
          <w:tcPr>
            <w:tcW w:w="1121" w:type="dxa"/>
          </w:tcPr>
          <w:p w14:paraId="225449A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Двигатели</w:t>
            </w:r>
          </w:p>
        </w:tc>
        <w:tc>
          <w:tcPr>
            <w:tcW w:w="1121" w:type="dxa"/>
          </w:tcPr>
          <w:p w14:paraId="16993B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Райт "Циклон"</w:t>
            </w:r>
          </w:p>
        </w:tc>
        <w:tc>
          <w:tcPr>
            <w:tcW w:w="1121" w:type="dxa"/>
          </w:tcPr>
          <w:p w14:paraId="0F92DFF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Испано Сюиза</w:t>
            </w:r>
          </w:p>
        </w:tc>
        <w:tc>
          <w:tcPr>
            <w:tcW w:w="1121" w:type="dxa"/>
          </w:tcPr>
          <w:p w14:paraId="10A706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М-100</w:t>
            </w:r>
          </w:p>
        </w:tc>
        <w:tc>
          <w:tcPr>
            <w:tcW w:w="1121" w:type="dxa"/>
          </w:tcPr>
          <w:p w14:paraId="72B371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М-100А</w:t>
            </w:r>
          </w:p>
        </w:tc>
        <w:tc>
          <w:tcPr>
            <w:tcW w:w="1121" w:type="dxa"/>
          </w:tcPr>
          <w:p w14:paraId="690860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М-103</w:t>
            </w:r>
          </w:p>
        </w:tc>
        <w:tc>
          <w:tcPr>
            <w:tcW w:w="1121" w:type="dxa"/>
          </w:tcPr>
          <w:p w14:paraId="015A85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М-103</w:t>
            </w:r>
          </w:p>
        </w:tc>
        <w:tc>
          <w:tcPr>
            <w:tcW w:w="1121" w:type="dxa"/>
          </w:tcPr>
          <w:p w14:paraId="08B6EB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М-105</w:t>
            </w:r>
          </w:p>
        </w:tc>
        <w:tc>
          <w:tcPr>
            <w:tcW w:w="1121" w:type="dxa"/>
          </w:tcPr>
          <w:p w14:paraId="6C8795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М-105</w:t>
            </w:r>
          </w:p>
        </w:tc>
        <w:tc>
          <w:tcPr>
            <w:tcW w:w="1121" w:type="dxa"/>
          </w:tcPr>
          <w:p w14:paraId="288830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М-105</w:t>
            </w:r>
          </w:p>
        </w:tc>
      </w:tr>
      <w:tr w:rsidR="00643896" w:rsidRPr="00640820" w14:paraId="3C92734E" w14:textId="77777777" w:rsidTr="000D3BCB">
        <w:tc>
          <w:tcPr>
            <w:tcW w:w="1121" w:type="dxa"/>
          </w:tcPr>
          <w:p w14:paraId="547039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Мощн. л.с.</w:t>
            </w:r>
          </w:p>
        </w:tc>
        <w:tc>
          <w:tcPr>
            <w:tcW w:w="1121" w:type="dxa"/>
          </w:tcPr>
          <w:p w14:paraId="7069ED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730</w:t>
            </w:r>
          </w:p>
        </w:tc>
        <w:tc>
          <w:tcPr>
            <w:tcW w:w="1121" w:type="dxa"/>
          </w:tcPr>
          <w:p w14:paraId="2AB88E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750</w:t>
            </w:r>
          </w:p>
        </w:tc>
        <w:tc>
          <w:tcPr>
            <w:tcW w:w="1121" w:type="dxa"/>
          </w:tcPr>
          <w:p w14:paraId="052F54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750</w:t>
            </w:r>
          </w:p>
        </w:tc>
        <w:tc>
          <w:tcPr>
            <w:tcW w:w="1121" w:type="dxa"/>
          </w:tcPr>
          <w:p w14:paraId="03BB5F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850</w:t>
            </w:r>
          </w:p>
        </w:tc>
        <w:tc>
          <w:tcPr>
            <w:tcW w:w="1121" w:type="dxa"/>
          </w:tcPr>
          <w:p w14:paraId="4639CF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960</w:t>
            </w:r>
          </w:p>
        </w:tc>
        <w:tc>
          <w:tcPr>
            <w:tcW w:w="1121" w:type="dxa"/>
          </w:tcPr>
          <w:p w14:paraId="32D7B6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960</w:t>
            </w:r>
          </w:p>
        </w:tc>
        <w:tc>
          <w:tcPr>
            <w:tcW w:w="1121" w:type="dxa"/>
          </w:tcPr>
          <w:p w14:paraId="187303E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1050</w:t>
            </w:r>
          </w:p>
        </w:tc>
        <w:tc>
          <w:tcPr>
            <w:tcW w:w="1121" w:type="dxa"/>
          </w:tcPr>
          <w:p w14:paraId="0F698E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1050</w:t>
            </w:r>
          </w:p>
        </w:tc>
        <w:tc>
          <w:tcPr>
            <w:tcW w:w="1121" w:type="dxa"/>
          </w:tcPr>
          <w:p w14:paraId="5F939A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1050</w:t>
            </w:r>
          </w:p>
        </w:tc>
      </w:tr>
      <w:tr w:rsidR="00643896" w:rsidRPr="00640820" w14:paraId="6900AC4F" w14:textId="77777777" w:rsidTr="000D3BCB">
        <w:tc>
          <w:tcPr>
            <w:tcW w:w="1121" w:type="dxa"/>
          </w:tcPr>
          <w:p w14:paraId="595E45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Возд. винт диаметр (м)</w:t>
            </w:r>
          </w:p>
        </w:tc>
        <w:tc>
          <w:tcPr>
            <w:tcW w:w="1121" w:type="dxa"/>
          </w:tcPr>
          <w:p w14:paraId="109111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3-х лоп.</w:t>
            </w:r>
          </w:p>
        </w:tc>
        <w:tc>
          <w:tcPr>
            <w:tcW w:w="1121" w:type="dxa"/>
          </w:tcPr>
          <w:p w14:paraId="286153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2-х лоп.</w:t>
            </w:r>
          </w:p>
        </w:tc>
        <w:tc>
          <w:tcPr>
            <w:tcW w:w="1121" w:type="dxa"/>
          </w:tcPr>
          <w:p w14:paraId="38D4D9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2-х лоп.</w:t>
            </w:r>
          </w:p>
        </w:tc>
        <w:tc>
          <w:tcPr>
            <w:tcW w:w="1121" w:type="dxa"/>
          </w:tcPr>
          <w:p w14:paraId="589714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3-х лоп.</w:t>
            </w:r>
          </w:p>
        </w:tc>
        <w:tc>
          <w:tcPr>
            <w:tcW w:w="1121" w:type="dxa"/>
          </w:tcPr>
          <w:p w14:paraId="36F656A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3-х лоп.</w:t>
            </w:r>
          </w:p>
        </w:tc>
        <w:tc>
          <w:tcPr>
            <w:tcW w:w="1121" w:type="dxa"/>
          </w:tcPr>
          <w:p w14:paraId="23666C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3-х лоп.</w:t>
            </w:r>
          </w:p>
        </w:tc>
        <w:tc>
          <w:tcPr>
            <w:tcW w:w="1121" w:type="dxa"/>
          </w:tcPr>
          <w:p w14:paraId="2B6DA5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3-х лоп.</w:t>
            </w:r>
          </w:p>
        </w:tc>
        <w:tc>
          <w:tcPr>
            <w:tcW w:w="1121" w:type="dxa"/>
          </w:tcPr>
          <w:p w14:paraId="286F2A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3-х лоп.</w:t>
            </w:r>
          </w:p>
        </w:tc>
        <w:tc>
          <w:tcPr>
            <w:tcW w:w="1121" w:type="dxa"/>
          </w:tcPr>
          <w:p w14:paraId="4BADE3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3-х лоп.</w:t>
            </w:r>
          </w:p>
        </w:tc>
      </w:tr>
      <w:tr w:rsidR="00643896" w:rsidRPr="00640820" w14:paraId="35E3EBBF" w14:textId="77777777" w:rsidTr="000D3BCB">
        <w:tc>
          <w:tcPr>
            <w:tcW w:w="1121" w:type="dxa"/>
          </w:tcPr>
          <w:p w14:paraId="59DF43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121" w:type="dxa"/>
          </w:tcPr>
          <w:p w14:paraId="651DB4E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Д.3,51</w:t>
            </w:r>
          </w:p>
        </w:tc>
        <w:tc>
          <w:tcPr>
            <w:tcW w:w="1121" w:type="dxa"/>
          </w:tcPr>
          <w:p w14:paraId="3FB0E8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Д.3,4</w:t>
            </w:r>
          </w:p>
        </w:tc>
        <w:tc>
          <w:tcPr>
            <w:tcW w:w="1121" w:type="dxa"/>
          </w:tcPr>
          <w:p w14:paraId="00CD37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Д3,4</w:t>
            </w:r>
          </w:p>
        </w:tc>
        <w:tc>
          <w:tcPr>
            <w:tcW w:w="1121" w:type="dxa"/>
          </w:tcPr>
          <w:p w14:paraId="5BD06B6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Д.3,4</w:t>
            </w:r>
          </w:p>
        </w:tc>
        <w:tc>
          <w:tcPr>
            <w:tcW w:w="1121" w:type="dxa"/>
          </w:tcPr>
          <w:p w14:paraId="65B633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Д3,4</w:t>
            </w:r>
          </w:p>
        </w:tc>
        <w:tc>
          <w:tcPr>
            <w:tcW w:w="1121" w:type="dxa"/>
          </w:tcPr>
          <w:p w14:paraId="19E67BA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 3,25</w:t>
            </w:r>
          </w:p>
        </w:tc>
        <w:tc>
          <w:tcPr>
            <w:tcW w:w="1121" w:type="dxa"/>
          </w:tcPr>
          <w:p w14:paraId="3A2388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Д3.25</w:t>
            </w:r>
          </w:p>
        </w:tc>
        <w:tc>
          <w:tcPr>
            <w:tcW w:w="1121" w:type="dxa"/>
          </w:tcPr>
          <w:p w14:paraId="0043B1A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 3,25</w:t>
            </w:r>
          </w:p>
        </w:tc>
        <w:tc>
          <w:tcPr>
            <w:tcW w:w="1121" w:type="dxa"/>
          </w:tcPr>
          <w:p w14:paraId="40025E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Д3,1</w:t>
            </w:r>
          </w:p>
        </w:tc>
      </w:tr>
      <w:tr w:rsidR="00643896" w:rsidRPr="00640820" w14:paraId="46BBC25E" w14:textId="77777777" w:rsidTr="000D3BCB">
        <w:tc>
          <w:tcPr>
            <w:tcW w:w="1121" w:type="dxa"/>
          </w:tcPr>
          <w:p w14:paraId="03D7C8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Размах крыла (м.)</w:t>
            </w:r>
          </w:p>
        </w:tc>
        <w:tc>
          <w:tcPr>
            <w:tcW w:w="1121" w:type="dxa"/>
          </w:tcPr>
          <w:p w14:paraId="0841B5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19,0</w:t>
            </w:r>
          </w:p>
        </w:tc>
        <w:tc>
          <w:tcPr>
            <w:tcW w:w="1121" w:type="dxa"/>
          </w:tcPr>
          <w:p w14:paraId="5BD358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20,3</w:t>
            </w:r>
          </w:p>
        </w:tc>
        <w:tc>
          <w:tcPr>
            <w:tcW w:w="1121" w:type="dxa"/>
          </w:tcPr>
          <w:p w14:paraId="56038B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20,3</w:t>
            </w:r>
          </w:p>
        </w:tc>
        <w:tc>
          <w:tcPr>
            <w:tcW w:w="1121" w:type="dxa"/>
          </w:tcPr>
          <w:p w14:paraId="60FEB5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20,33</w:t>
            </w:r>
          </w:p>
        </w:tc>
        <w:tc>
          <w:tcPr>
            <w:tcW w:w="1121" w:type="dxa"/>
          </w:tcPr>
          <w:p w14:paraId="268226E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20,33</w:t>
            </w:r>
          </w:p>
        </w:tc>
        <w:tc>
          <w:tcPr>
            <w:tcW w:w="1121" w:type="dxa"/>
          </w:tcPr>
          <w:p w14:paraId="6A1A66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20,33</w:t>
            </w:r>
          </w:p>
        </w:tc>
        <w:tc>
          <w:tcPr>
            <w:tcW w:w="1121" w:type="dxa"/>
          </w:tcPr>
          <w:p w14:paraId="11D156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18,0</w:t>
            </w:r>
          </w:p>
        </w:tc>
        <w:tc>
          <w:tcPr>
            <w:tcW w:w="1121" w:type="dxa"/>
          </w:tcPr>
          <w:p w14:paraId="2700AC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20,33</w:t>
            </w:r>
          </w:p>
        </w:tc>
        <w:tc>
          <w:tcPr>
            <w:tcW w:w="1121" w:type="dxa"/>
          </w:tcPr>
          <w:p w14:paraId="5FE09B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18,0</w:t>
            </w:r>
          </w:p>
        </w:tc>
      </w:tr>
      <w:tr w:rsidR="00643896" w:rsidRPr="00640820" w14:paraId="5944B617" w14:textId="77777777" w:rsidTr="000D3BCB">
        <w:tc>
          <w:tcPr>
            <w:tcW w:w="1121" w:type="dxa"/>
          </w:tcPr>
          <w:p w14:paraId="2C1C63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Площадь крыла (м?)</w:t>
            </w:r>
          </w:p>
        </w:tc>
        <w:tc>
          <w:tcPr>
            <w:tcW w:w="1121" w:type="dxa"/>
          </w:tcPr>
          <w:p w14:paraId="58296B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46.3</w:t>
            </w:r>
          </w:p>
        </w:tc>
        <w:tc>
          <w:tcPr>
            <w:tcW w:w="1121" w:type="dxa"/>
          </w:tcPr>
          <w:p w14:paraId="480BCE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51,95</w:t>
            </w:r>
          </w:p>
        </w:tc>
        <w:tc>
          <w:tcPr>
            <w:tcW w:w="1121" w:type="dxa"/>
          </w:tcPr>
          <w:p w14:paraId="0805A4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56,7</w:t>
            </w:r>
          </w:p>
        </w:tc>
        <w:tc>
          <w:tcPr>
            <w:tcW w:w="1121" w:type="dxa"/>
          </w:tcPr>
          <w:p w14:paraId="5B84F6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56,7</w:t>
            </w:r>
          </w:p>
        </w:tc>
        <w:tc>
          <w:tcPr>
            <w:tcW w:w="1121" w:type="dxa"/>
          </w:tcPr>
          <w:p w14:paraId="16E7EC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56,7</w:t>
            </w:r>
          </w:p>
        </w:tc>
        <w:tc>
          <w:tcPr>
            <w:tcW w:w="1121" w:type="dxa"/>
          </w:tcPr>
          <w:p w14:paraId="5A58E4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56,7</w:t>
            </w:r>
          </w:p>
        </w:tc>
        <w:tc>
          <w:tcPr>
            <w:tcW w:w="1121" w:type="dxa"/>
          </w:tcPr>
          <w:p w14:paraId="1F5534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48,214</w:t>
            </w:r>
          </w:p>
        </w:tc>
        <w:tc>
          <w:tcPr>
            <w:tcW w:w="1121" w:type="dxa"/>
          </w:tcPr>
          <w:p w14:paraId="22D07D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56,7</w:t>
            </w:r>
          </w:p>
        </w:tc>
        <w:tc>
          <w:tcPr>
            <w:tcW w:w="1121" w:type="dxa"/>
          </w:tcPr>
          <w:p w14:paraId="336C35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48,2</w:t>
            </w:r>
          </w:p>
        </w:tc>
      </w:tr>
      <w:tr w:rsidR="00643896" w:rsidRPr="00640820" w14:paraId="12AC1204" w14:textId="77777777" w:rsidTr="000D3BCB">
        <w:tc>
          <w:tcPr>
            <w:tcW w:w="1121" w:type="dxa"/>
          </w:tcPr>
          <w:p w14:paraId="3C0A6D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Длина в лин. полета(м)</w:t>
            </w:r>
          </w:p>
        </w:tc>
        <w:tc>
          <w:tcPr>
            <w:tcW w:w="1121" w:type="dxa"/>
          </w:tcPr>
          <w:p w14:paraId="770EAC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12,3</w:t>
            </w:r>
          </w:p>
        </w:tc>
        <w:tc>
          <w:tcPr>
            <w:tcW w:w="1121" w:type="dxa"/>
          </w:tcPr>
          <w:p w14:paraId="08FDCD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12,217</w:t>
            </w:r>
          </w:p>
        </w:tc>
        <w:tc>
          <w:tcPr>
            <w:tcW w:w="1121" w:type="dxa"/>
          </w:tcPr>
          <w:p w14:paraId="0BC737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12,273</w:t>
            </w:r>
          </w:p>
        </w:tc>
        <w:tc>
          <w:tcPr>
            <w:tcW w:w="1121" w:type="dxa"/>
          </w:tcPr>
          <w:p w14:paraId="74975D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12,273</w:t>
            </w:r>
          </w:p>
        </w:tc>
        <w:tc>
          <w:tcPr>
            <w:tcW w:w="1121" w:type="dxa"/>
          </w:tcPr>
          <w:p w14:paraId="6DE6883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12,273</w:t>
            </w:r>
          </w:p>
        </w:tc>
        <w:tc>
          <w:tcPr>
            <w:tcW w:w="1121" w:type="dxa"/>
          </w:tcPr>
          <w:p w14:paraId="40056D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12,273</w:t>
            </w:r>
          </w:p>
        </w:tc>
        <w:tc>
          <w:tcPr>
            <w:tcW w:w="1121" w:type="dxa"/>
          </w:tcPr>
          <w:p w14:paraId="2B5792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12,78</w:t>
            </w:r>
          </w:p>
        </w:tc>
        <w:tc>
          <w:tcPr>
            <w:tcW w:w="1121" w:type="dxa"/>
          </w:tcPr>
          <w:p w14:paraId="598A5B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2,273</w:t>
            </w:r>
          </w:p>
        </w:tc>
        <w:tc>
          <w:tcPr>
            <w:tcW w:w="1121" w:type="dxa"/>
          </w:tcPr>
          <w:p w14:paraId="2BD7D8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12,640</w:t>
            </w:r>
          </w:p>
        </w:tc>
      </w:tr>
      <w:tr w:rsidR="00643896" w:rsidRPr="00640820" w14:paraId="347D9F63" w14:textId="77777777" w:rsidTr="000D3BCB">
        <w:tc>
          <w:tcPr>
            <w:tcW w:w="1121" w:type="dxa"/>
          </w:tcPr>
          <w:p w14:paraId="6E3BEE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Высота в лин. полета (м)</w:t>
            </w:r>
          </w:p>
        </w:tc>
        <w:tc>
          <w:tcPr>
            <w:tcW w:w="1121" w:type="dxa"/>
          </w:tcPr>
          <w:p w14:paraId="0C37D1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121" w:type="dxa"/>
          </w:tcPr>
          <w:p w14:paraId="546DE5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4,312</w:t>
            </w:r>
          </w:p>
        </w:tc>
        <w:tc>
          <w:tcPr>
            <w:tcW w:w="1121" w:type="dxa"/>
          </w:tcPr>
          <w:p w14:paraId="1706BD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4,39</w:t>
            </w:r>
          </w:p>
        </w:tc>
        <w:tc>
          <w:tcPr>
            <w:tcW w:w="1121" w:type="dxa"/>
          </w:tcPr>
          <w:p w14:paraId="78B0B2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4,24</w:t>
            </w:r>
          </w:p>
        </w:tc>
        <w:tc>
          <w:tcPr>
            <w:tcW w:w="1121" w:type="dxa"/>
          </w:tcPr>
          <w:p w14:paraId="2DCAC7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4,735</w:t>
            </w:r>
          </w:p>
        </w:tc>
        <w:tc>
          <w:tcPr>
            <w:tcW w:w="1121" w:type="dxa"/>
          </w:tcPr>
          <w:p w14:paraId="576615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4,735</w:t>
            </w:r>
          </w:p>
        </w:tc>
        <w:tc>
          <w:tcPr>
            <w:tcW w:w="1121" w:type="dxa"/>
          </w:tcPr>
          <w:p w14:paraId="02665A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4,7</w:t>
            </w:r>
          </w:p>
        </w:tc>
        <w:tc>
          <w:tcPr>
            <w:tcW w:w="1121" w:type="dxa"/>
          </w:tcPr>
          <w:p w14:paraId="2BB59CA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4,735</w:t>
            </w:r>
          </w:p>
        </w:tc>
        <w:tc>
          <w:tcPr>
            <w:tcW w:w="1121" w:type="dxa"/>
          </w:tcPr>
          <w:p w14:paraId="714664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4,7</w:t>
            </w:r>
          </w:p>
        </w:tc>
      </w:tr>
      <w:tr w:rsidR="00643896" w:rsidRPr="00640820" w14:paraId="64166219" w14:textId="77777777" w:rsidTr="000D3BCB">
        <w:tc>
          <w:tcPr>
            <w:tcW w:w="1121" w:type="dxa"/>
          </w:tcPr>
          <w:p w14:paraId="525863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Полетный вес (кг)</w:t>
            </w:r>
          </w:p>
        </w:tc>
        <w:tc>
          <w:tcPr>
            <w:tcW w:w="1121" w:type="dxa"/>
          </w:tcPr>
          <w:p w14:paraId="23FA346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4717</w:t>
            </w:r>
          </w:p>
        </w:tc>
        <w:tc>
          <w:tcPr>
            <w:tcW w:w="1121" w:type="dxa"/>
          </w:tcPr>
          <w:p w14:paraId="50B80C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4850</w:t>
            </w:r>
          </w:p>
        </w:tc>
        <w:tc>
          <w:tcPr>
            <w:tcW w:w="1121" w:type="dxa"/>
          </w:tcPr>
          <w:p w14:paraId="3FC3C1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5628</w:t>
            </w:r>
          </w:p>
        </w:tc>
        <w:tc>
          <w:tcPr>
            <w:tcW w:w="1121" w:type="dxa"/>
          </w:tcPr>
          <w:p w14:paraId="53D2A9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5748</w:t>
            </w:r>
          </w:p>
        </w:tc>
        <w:tc>
          <w:tcPr>
            <w:tcW w:w="1121" w:type="dxa"/>
          </w:tcPr>
          <w:p w14:paraId="53AD40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6175</w:t>
            </w:r>
          </w:p>
        </w:tc>
        <w:tc>
          <w:tcPr>
            <w:tcW w:w="1121" w:type="dxa"/>
          </w:tcPr>
          <w:p w14:paraId="388D7F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6380</w:t>
            </w:r>
          </w:p>
        </w:tc>
        <w:tc>
          <w:tcPr>
            <w:tcW w:w="1121" w:type="dxa"/>
          </w:tcPr>
          <w:p w14:paraId="276011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7068</w:t>
            </w:r>
          </w:p>
        </w:tc>
        <w:tc>
          <w:tcPr>
            <w:tcW w:w="1121" w:type="dxa"/>
          </w:tcPr>
          <w:p w14:paraId="2B9340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7000</w:t>
            </w:r>
          </w:p>
        </w:tc>
        <w:tc>
          <w:tcPr>
            <w:tcW w:w="1121" w:type="dxa"/>
          </w:tcPr>
          <w:p w14:paraId="4B1AF4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6500</w:t>
            </w:r>
          </w:p>
        </w:tc>
      </w:tr>
      <w:tr w:rsidR="00643896" w:rsidRPr="00640820" w14:paraId="78824BDD" w14:textId="77777777" w:rsidTr="000D3BCB">
        <w:tc>
          <w:tcPr>
            <w:tcW w:w="1121" w:type="dxa"/>
          </w:tcPr>
          <w:p w14:paraId="49BE4D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Бомбы (кг)</w:t>
            </w:r>
          </w:p>
        </w:tc>
        <w:tc>
          <w:tcPr>
            <w:tcW w:w="1121" w:type="dxa"/>
          </w:tcPr>
          <w:p w14:paraId="24B68B3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500</w:t>
            </w:r>
          </w:p>
        </w:tc>
        <w:tc>
          <w:tcPr>
            <w:tcW w:w="1121" w:type="dxa"/>
          </w:tcPr>
          <w:p w14:paraId="0A086F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500</w:t>
            </w:r>
          </w:p>
        </w:tc>
        <w:tc>
          <w:tcPr>
            <w:tcW w:w="1121" w:type="dxa"/>
          </w:tcPr>
          <w:p w14:paraId="009C72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500</w:t>
            </w:r>
          </w:p>
        </w:tc>
        <w:tc>
          <w:tcPr>
            <w:tcW w:w="1121" w:type="dxa"/>
          </w:tcPr>
          <w:p w14:paraId="0CE52C1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600</w:t>
            </w:r>
          </w:p>
        </w:tc>
        <w:tc>
          <w:tcPr>
            <w:tcW w:w="1121" w:type="dxa"/>
          </w:tcPr>
          <w:p w14:paraId="4ED9B7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1500</w:t>
            </w:r>
          </w:p>
        </w:tc>
        <w:tc>
          <w:tcPr>
            <w:tcW w:w="1121" w:type="dxa"/>
          </w:tcPr>
          <w:p w14:paraId="1151C3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1500</w:t>
            </w:r>
          </w:p>
        </w:tc>
        <w:tc>
          <w:tcPr>
            <w:tcW w:w="1121" w:type="dxa"/>
          </w:tcPr>
          <w:p w14:paraId="08D6906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1500</w:t>
            </w:r>
          </w:p>
        </w:tc>
        <w:tc>
          <w:tcPr>
            <w:tcW w:w="1121" w:type="dxa"/>
          </w:tcPr>
          <w:p w14:paraId="2A6F6E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1500</w:t>
            </w:r>
          </w:p>
        </w:tc>
        <w:tc>
          <w:tcPr>
            <w:tcW w:w="1121" w:type="dxa"/>
          </w:tcPr>
          <w:p w14:paraId="100059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1500</w:t>
            </w:r>
          </w:p>
        </w:tc>
      </w:tr>
      <w:tr w:rsidR="00643896" w:rsidRPr="00640820" w14:paraId="7716F9AF" w14:textId="77777777" w:rsidTr="000D3BCB">
        <w:tc>
          <w:tcPr>
            <w:tcW w:w="1121" w:type="dxa"/>
          </w:tcPr>
          <w:p w14:paraId="39A54C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Скорость макс, (км/ч)</w:t>
            </w:r>
          </w:p>
        </w:tc>
        <w:tc>
          <w:tcPr>
            <w:tcW w:w="1121" w:type="dxa"/>
          </w:tcPr>
          <w:p w14:paraId="156853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325</w:t>
            </w:r>
          </w:p>
        </w:tc>
        <w:tc>
          <w:tcPr>
            <w:tcW w:w="1121" w:type="dxa"/>
          </w:tcPr>
          <w:p w14:paraId="5E69B0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400</w:t>
            </w:r>
          </w:p>
        </w:tc>
        <w:tc>
          <w:tcPr>
            <w:tcW w:w="1121" w:type="dxa"/>
          </w:tcPr>
          <w:p w14:paraId="179C58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393</w:t>
            </w:r>
          </w:p>
        </w:tc>
        <w:tc>
          <w:tcPr>
            <w:tcW w:w="1121" w:type="dxa"/>
          </w:tcPr>
          <w:p w14:paraId="63F096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423</w:t>
            </w:r>
          </w:p>
        </w:tc>
        <w:tc>
          <w:tcPr>
            <w:tcW w:w="1121" w:type="dxa"/>
          </w:tcPr>
          <w:p w14:paraId="1FCAEE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419</w:t>
            </w:r>
          </w:p>
        </w:tc>
        <w:tc>
          <w:tcPr>
            <w:tcW w:w="1121" w:type="dxa"/>
          </w:tcPr>
          <w:p w14:paraId="472655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450</w:t>
            </w:r>
          </w:p>
        </w:tc>
        <w:tc>
          <w:tcPr>
            <w:tcW w:w="1121" w:type="dxa"/>
          </w:tcPr>
          <w:p w14:paraId="24B562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445</w:t>
            </w:r>
          </w:p>
        </w:tc>
        <w:tc>
          <w:tcPr>
            <w:tcW w:w="1121" w:type="dxa"/>
          </w:tcPr>
          <w:p w14:paraId="5D8DAC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445</w:t>
            </w:r>
          </w:p>
        </w:tc>
        <w:tc>
          <w:tcPr>
            <w:tcW w:w="1121" w:type="dxa"/>
          </w:tcPr>
          <w:p w14:paraId="1F28B0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512</w:t>
            </w:r>
          </w:p>
        </w:tc>
      </w:tr>
      <w:tr w:rsidR="00643896" w:rsidRPr="00640820" w14:paraId="2D6905CD" w14:textId="77777777" w:rsidTr="000D3BCB">
        <w:tc>
          <w:tcPr>
            <w:tcW w:w="1121" w:type="dxa"/>
          </w:tcPr>
          <w:p w14:paraId="4775AD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Дальность полета (км)</w:t>
            </w:r>
          </w:p>
        </w:tc>
        <w:tc>
          <w:tcPr>
            <w:tcW w:w="1121" w:type="dxa"/>
          </w:tcPr>
          <w:p w14:paraId="087F9C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1400</w:t>
            </w:r>
          </w:p>
        </w:tc>
        <w:tc>
          <w:tcPr>
            <w:tcW w:w="1121" w:type="dxa"/>
          </w:tcPr>
          <w:p w14:paraId="22B278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1400</w:t>
            </w:r>
          </w:p>
        </w:tc>
        <w:tc>
          <w:tcPr>
            <w:tcW w:w="1121" w:type="dxa"/>
          </w:tcPr>
          <w:p w14:paraId="33C1A2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2187</w:t>
            </w:r>
          </w:p>
        </w:tc>
        <w:tc>
          <w:tcPr>
            <w:tcW w:w="1121" w:type="dxa"/>
          </w:tcPr>
          <w:p w14:paraId="2693DE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121" w:type="dxa"/>
          </w:tcPr>
          <w:p w14:paraId="11C1FE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121" w:type="dxa"/>
          </w:tcPr>
          <w:p w14:paraId="5A5389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1900</w:t>
            </w:r>
          </w:p>
        </w:tc>
        <w:tc>
          <w:tcPr>
            <w:tcW w:w="1121" w:type="dxa"/>
          </w:tcPr>
          <w:p w14:paraId="51C2D0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1000</w:t>
            </w:r>
          </w:p>
        </w:tc>
        <w:tc>
          <w:tcPr>
            <w:tcW w:w="1121" w:type="dxa"/>
          </w:tcPr>
          <w:p w14:paraId="39C884F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1000</w:t>
            </w:r>
          </w:p>
        </w:tc>
        <w:tc>
          <w:tcPr>
            <w:tcW w:w="1121" w:type="dxa"/>
          </w:tcPr>
          <w:p w14:paraId="5CA127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1000</w:t>
            </w:r>
          </w:p>
        </w:tc>
      </w:tr>
      <w:tr w:rsidR="00643896" w:rsidRPr="00640820" w14:paraId="1EB63C58" w14:textId="77777777" w:rsidTr="000D3BCB">
        <w:tc>
          <w:tcPr>
            <w:tcW w:w="1121" w:type="dxa"/>
            <w:tcBorders>
              <w:bottom w:val="single" w:sz="12" w:space="0" w:color="auto"/>
            </w:tcBorders>
          </w:tcPr>
          <w:p w14:paraId="311047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Потолок (м)</w:t>
            </w:r>
          </w:p>
        </w:tc>
        <w:tc>
          <w:tcPr>
            <w:tcW w:w="1121" w:type="dxa"/>
            <w:tcBorders>
              <w:bottom w:val="single" w:sz="12" w:space="0" w:color="auto"/>
            </w:tcBorders>
          </w:tcPr>
          <w:p w14:paraId="5885F6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6800</w:t>
            </w:r>
          </w:p>
        </w:tc>
        <w:tc>
          <w:tcPr>
            <w:tcW w:w="1121" w:type="dxa"/>
            <w:tcBorders>
              <w:bottom w:val="single" w:sz="12" w:space="0" w:color="auto"/>
            </w:tcBorders>
          </w:tcPr>
          <w:p w14:paraId="26490F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9400</w:t>
            </w:r>
          </w:p>
        </w:tc>
        <w:tc>
          <w:tcPr>
            <w:tcW w:w="1121" w:type="dxa"/>
            <w:tcBorders>
              <w:bottom w:val="single" w:sz="12" w:space="0" w:color="auto"/>
            </w:tcBorders>
          </w:tcPr>
          <w:p w14:paraId="5BEFDF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9000</w:t>
            </w:r>
          </w:p>
        </w:tc>
        <w:tc>
          <w:tcPr>
            <w:tcW w:w="1121" w:type="dxa"/>
            <w:tcBorders>
              <w:bottom w:val="single" w:sz="12" w:space="0" w:color="auto"/>
            </w:tcBorders>
          </w:tcPr>
          <w:p w14:paraId="1C6E40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9560</w:t>
            </w:r>
          </w:p>
        </w:tc>
        <w:tc>
          <w:tcPr>
            <w:tcW w:w="1121" w:type="dxa"/>
            <w:tcBorders>
              <w:bottom w:val="single" w:sz="12" w:space="0" w:color="auto"/>
            </w:tcBorders>
          </w:tcPr>
          <w:p w14:paraId="4CA461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9600</w:t>
            </w:r>
          </w:p>
        </w:tc>
        <w:tc>
          <w:tcPr>
            <w:tcW w:w="1121" w:type="dxa"/>
            <w:tcBorders>
              <w:bottom w:val="single" w:sz="12" w:space="0" w:color="auto"/>
            </w:tcBorders>
          </w:tcPr>
          <w:p w14:paraId="593380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9300</w:t>
            </w:r>
          </w:p>
        </w:tc>
        <w:tc>
          <w:tcPr>
            <w:tcW w:w="1121" w:type="dxa"/>
            <w:tcBorders>
              <w:bottom w:val="single" w:sz="12" w:space="0" w:color="auto"/>
            </w:tcBorders>
          </w:tcPr>
          <w:p w14:paraId="27E807E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9000</w:t>
            </w:r>
          </w:p>
        </w:tc>
        <w:tc>
          <w:tcPr>
            <w:tcW w:w="1121" w:type="dxa"/>
            <w:tcBorders>
              <w:bottom w:val="single" w:sz="12" w:space="0" w:color="auto"/>
            </w:tcBorders>
          </w:tcPr>
          <w:p w14:paraId="0B8335C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9000</w:t>
            </w:r>
          </w:p>
        </w:tc>
        <w:tc>
          <w:tcPr>
            <w:tcW w:w="1121" w:type="dxa"/>
            <w:tcBorders>
              <w:bottom w:val="single" w:sz="12" w:space="0" w:color="auto"/>
            </w:tcBorders>
          </w:tcPr>
          <w:p w14:paraId="43B1FF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10500</w:t>
            </w:r>
          </w:p>
        </w:tc>
      </w:tr>
    </w:tbl>
    <w:p w14:paraId="5035AE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(12027).</w:t>
      </w:r>
    </w:p>
    <w:p w14:paraId="3678DB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Сравнительная таблица самолетов СБ 2М-103, СБ-РК, Ар-2 №1/511 и самолета "100" (Пе-2 производства завода №39). Летные и технические характеристики соответствуют значениям, зафиксированным при проведении государственных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643896" w:rsidRPr="00640820" w14:paraId="40CF519B" w14:textId="77777777" w:rsidTr="000D3BCB">
        <w:tc>
          <w:tcPr>
            <w:tcW w:w="2242" w:type="dxa"/>
            <w:tcBorders>
              <w:top w:val="single" w:sz="12" w:space="0" w:color="auto"/>
            </w:tcBorders>
          </w:tcPr>
          <w:p w14:paraId="5589EA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Характеристики</w:t>
            </w:r>
          </w:p>
        </w:tc>
        <w:tc>
          <w:tcPr>
            <w:tcW w:w="2242" w:type="dxa"/>
            <w:tcBorders>
              <w:top w:val="single" w:sz="12" w:space="0" w:color="auto"/>
            </w:tcBorders>
          </w:tcPr>
          <w:p w14:paraId="26F946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СБ 2М-103,1939 г.</w:t>
            </w:r>
          </w:p>
        </w:tc>
        <w:tc>
          <w:tcPr>
            <w:tcW w:w="2242" w:type="dxa"/>
            <w:tcBorders>
              <w:top w:val="single" w:sz="12" w:space="0" w:color="auto"/>
            </w:tcBorders>
          </w:tcPr>
          <w:p w14:paraId="441627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СБ-РК №2/281</w:t>
            </w:r>
          </w:p>
        </w:tc>
        <w:tc>
          <w:tcPr>
            <w:tcW w:w="2242" w:type="dxa"/>
            <w:tcBorders>
              <w:top w:val="single" w:sz="12" w:space="0" w:color="auto"/>
            </w:tcBorders>
          </w:tcPr>
          <w:p w14:paraId="20FE39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Ар-2 №1/511</w:t>
            </w:r>
          </w:p>
        </w:tc>
        <w:tc>
          <w:tcPr>
            <w:tcW w:w="2242" w:type="dxa"/>
            <w:tcBorders>
              <w:top w:val="single" w:sz="12" w:space="0" w:color="auto"/>
            </w:tcBorders>
          </w:tcPr>
          <w:p w14:paraId="53F388A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"100" (Пе-2)</w:t>
            </w:r>
          </w:p>
        </w:tc>
      </w:tr>
      <w:tr w:rsidR="00643896" w:rsidRPr="00640820" w14:paraId="667FAF9C" w14:textId="77777777" w:rsidTr="000D3BCB">
        <w:tc>
          <w:tcPr>
            <w:tcW w:w="2242" w:type="dxa"/>
          </w:tcPr>
          <w:p w14:paraId="6C7A6B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Размах крыла (м)</w:t>
            </w:r>
          </w:p>
        </w:tc>
        <w:tc>
          <w:tcPr>
            <w:tcW w:w="2242" w:type="dxa"/>
          </w:tcPr>
          <w:p w14:paraId="2F74E6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20,330</w:t>
            </w:r>
          </w:p>
        </w:tc>
        <w:tc>
          <w:tcPr>
            <w:tcW w:w="2242" w:type="dxa"/>
          </w:tcPr>
          <w:p w14:paraId="32ACA3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18,0</w:t>
            </w:r>
          </w:p>
        </w:tc>
        <w:tc>
          <w:tcPr>
            <w:tcW w:w="2242" w:type="dxa"/>
          </w:tcPr>
          <w:p w14:paraId="240D263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18,0</w:t>
            </w:r>
          </w:p>
        </w:tc>
        <w:tc>
          <w:tcPr>
            <w:tcW w:w="2242" w:type="dxa"/>
          </w:tcPr>
          <w:p w14:paraId="277FA2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17,150</w:t>
            </w:r>
          </w:p>
        </w:tc>
      </w:tr>
      <w:tr w:rsidR="00643896" w:rsidRPr="00640820" w14:paraId="211E8CFF" w14:textId="77777777" w:rsidTr="000D3BCB">
        <w:tc>
          <w:tcPr>
            <w:tcW w:w="2242" w:type="dxa"/>
          </w:tcPr>
          <w:p w14:paraId="4B80EF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Длина(м)</w:t>
            </w:r>
          </w:p>
        </w:tc>
        <w:tc>
          <w:tcPr>
            <w:tcW w:w="2242" w:type="dxa"/>
          </w:tcPr>
          <w:p w14:paraId="2C6C31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12,770</w:t>
            </w:r>
          </w:p>
        </w:tc>
        <w:tc>
          <w:tcPr>
            <w:tcW w:w="2242" w:type="dxa"/>
          </w:tcPr>
          <w:p w14:paraId="4DBF96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12,780</w:t>
            </w:r>
          </w:p>
        </w:tc>
        <w:tc>
          <w:tcPr>
            <w:tcW w:w="2242" w:type="dxa"/>
          </w:tcPr>
          <w:p w14:paraId="49F632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12,625*</w:t>
            </w:r>
          </w:p>
        </w:tc>
        <w:tc>
          <w:tcPr>
            <w:tcW w:w="2242" w:type="dxa"/>
          </w:tcPr>
          <w:p w14:paraId="05080E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12,698</w:t>
            </w:r>
          </w:p>
        </w:tc>
      </w:tr>
      <w:tr w:rsidR="00643896" w:rsidRPr="00640820" w14:paraId="79D16381" w14:textId="77777777" w:rsidTr="000D3BCB">
        <w:tc>
          <w:tcPr>
            <w:tcW w:w="2242" w:type="dxa"/>
          </w:tcPr>
          <w:p w14:paraId="2C13CF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Высота (м)</w:t>
            </w:r>
          </w:p>
        </w:tc>
        <w:tc>
          <w:tcPr>
            <w:tcW w:w="2242" w:type="dxa"/>
          </w:tcPr>
          <w:p w14:paraId="0F19C7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4,735</w:t>
            </w:r>
          </w:p>
        </w:tc>
        <w:tc>
          <w:tcPr>
            <w:tcW w:w="2242" w:type="dxa"/>
          </w:tcPr>
          <w:p w14:paraId="6B0348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4,700</w:t>
            </w:r>
          </w:p>
        </w:tc>
        <w:tc>
          <w:tcPr>
            <w:tcW w:w="2242" w:type="dxa"/>
          </w:tcPr>
          <w:p w14:paraId="77FE7C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4,700</w:t>
            </w:r>
          </w:p>
        </w:tc>
        <w:tc>
          <w:tcPr>
            <w:tcW w:w="2242" w:type="dxa"/>
          </w:tcPr>
          <w:p w14:paraId="78FC15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3,512</w:t>
            </w:r>
          </w:p>
        </w:tc>
      </w:tr>
      <w:tr w:rsidR="00643896" w:rsidRPr="00640820" w14:paraId="73DE1C43" w14:textId="77777777" w:rsidTr="000D3BCB">
        <w:tc>
          <w:tcPr>
            <w:tcW w:w="2242" w:type="dxa"/>
          </w:tcPr>
          <w:p w14:paraId="70E338E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Вес пустого (кг)</w:t>
            </w:r>
          </w:p>
        </w:tc>
        <w:tc>
          <w:tcPr>
            <w:tcW w:w="2242" w:type="dxa"/>
          </w:tcPr>
          <w:p w14:paraId="580A1B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4566</w:t>
            </w:r>
          </w:p>
        </w:tc>
        <w:tc>
          <w:tcPr>
            <w:tcW w:w="2242" w:type="dxa"/>
          </w:tcPr>
          <w:p w14:paraId="16BBCF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4735</w:t>
            </w:r>
          </w:p>
        </w:tc>
        <w:tc>
          <w:tcPr>
            <w:tcW w:w="2242" w:type="dxa"/>
          </w:tcPr>
          <w:p w14:paraId="3E0715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5106</w:t>
            </w:r>
          </w:p>
        </w:tc>
        <w:tc>
          <w:tcPr>
            <w:tcW w:w="2242" w:type="dxa"/>
          </w:tcPr>
          <w:p w14:paraId="30DB9B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5887</w:t>
            </w:r>
          </w:p>
        </w:tc>
      </w:tr>
      <w:tr w:rsidR="00643896" w:rsidRPr="00640820" w14:paraId="1829B071" w14:textId="77777777" w:rsidTr="000D3BCB">
        <w:tc>
          <w:tcPr>
            <w:tcW w:w="2242" w:type="dxa"/>
          </w:tcPr>
          <w:p w14:paraId="2AEF38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Полетный вес (кг)</w:t>
            </w:r>
          </w:p>
        </w:tc>
        <w:tc>
          <w:tcPr>
            <w:tcW w:w="2242" w:type="dxa"/>
          </w:tcPr>
          <w:p w14:paraId="365CC0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6380</w:t>
            </w:r>
          </w:p>
        </w:tc>
        <w:tc>
          <w:tcPr>
            <w:tcW w:w="2242" w:type="dxa"/>
          </w:tcPr>
          <w:p w14:paraId="1F5673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6300</w:t>
            </w:r>
          </w:p>
        </w:tc>
        <w:tc>
          <w:tcPr>
            <w:tcW w:w="2242" w:type="dxa"/>
          </w:tcPr>
          <w:p w14:paraId="52A613E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6500</w:t>
            </w:r>
          </w:p>
        </w:tc>
        <w:tc>
          <w:tcPr>
            <w:tcW w:w="2242" w:type="dxa"/>
          </w:tcPr>
          <w:p w14:paraId="4855A1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7200</w:t>
            </w:r>
          </w:p>
        </w:tc>
      </w:tr>
      <w:tr w:rsidR="00643896" w:rsidRPr="00640820" w14:paraId="1FC69455" w14:textId="77777777" w:rsidTr="000D3BCB">
        <w:tc>
          <w:tcPr>
            <w:tcW w:w="2242" w:type="dxa"/>
          </w:tcPr>
          <w:p w14:paraId="126293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Нагрузка на крыло (кг/м?)</w:t>
            </w:r>
          </w:p>
        </w:tc>
        <w:tc>
          <w:tcPr>
            <w:tcW w:w="2242" w:type="dxa"/>
          </w:tcPr>
          <w:p w14:paraId="6AB035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112,5</w:t>
            </w:r>
          </w:p>
        </w:tc>
        <w:tc>
          <w:tcPr>
            <w:tcW w:w="2242" w:type="dxa"/>
          </w:tcPr>
          <w:p w14:paraId="050D29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132</w:t>
            </w:r>
          </w:p>
        </w:tc>
        <w:tc>
          <w:tcPr>
            <w:tcW w:w="2242" w:type="dxa"/>
          </w:tcPr>
          <w:p w14:paraId="64EEC1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139-148</w:t>
            </w:r>
          </w:p>
        </w:tc>
        <w:tc>
          <w:tcPr>
            <w:tcW w:w="2242" w:type="dxa"/>
          </w:tcPr>
          <w:p w14:paraId="368823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177</w:t>
            </w:r>
          </w:p>
        </w:tc>
      </w:tr>
      <w:tr w:rsidR="00643896" w:rsidRPr="00640820" w14:paraId="055E8F16" w14:textId="77777777" w:rsidTr="000D3BCB">
        <w:tc>
          <w:tcPr>
            <w:tcW w:w="2242" w:type="dxa"/>
          </w:tcPr>
          <w:p w14:paraId="203548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Скор. макс, у земли (км/ч )</w:t>
            </w:r>
          </w:p>
        </w:tc>
        <w:tc>
          <w:tcPr>
            <w:tcW w:w="2242" w:type="dxa"/>
          </w:tcPr>
          <w:p w14:paraId="372B95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363,5</w:t>
            </w:r>
          </w:p>
        </w:tc>
        <w:tc>
          <w:tcPr>
            <w:tcW w:w="2242" w:type="dxa"/>
          </w:tcPr>
          <w:p w14:paraId="1E241B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411</w:t>
            </w:r>
          </w:p>
        </w:tc>
        <w:tc>
          <w:tcPr>
            <w:tcW w:w="2242" w:type="dxa"/>
          </w:tcPr>
          <w:p w14:paraId="6A4F9F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443</w:t>
            </w:r>
          </w:p>
        </w:tc>
        <w:tc>
          <w:tcPr>
            <w:tcW w:w="2242" w:type="dxa"/>
          </w:tcPr>
          <w:p w14:paraId="0BB6F8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455</w:t>
            </w:r>
          </w:p>
        </w:tc>
      </w:tr>
      <w:tr w:rsidR="00643896" w:rsidRPr="00640820" w14:paraId="04E02801" w14:textId="77777777" w:rsidTr="000D3BCB">
        <w:tc>
          <w:tcPr>
            <w:tcW w:w="2242" w:type="dxa"/>
          </w:tcPr>
          <w:p w14:paraId="17A3FE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Скор, на расч. высоте (км/ч )</w:t>
            </w:r>
          </w:p>
        </w:tc>
        <w:tc>
          <w:tcPr>
            <w:tcW w:w="2242" w:type="dxa"/>
          </w:tcPr>
          <w:p w14:paraId="096E42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433</w:t>
            </w:r>
          </w:p>
        </w:tc>
        <w:tc>
          <w:tcPr>
            <w:tcW w:w="2242" w:type="dxa"/>
          </w:tcPr>
          <w:p w14:paraId="65EDF1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480</w:t>
            </w:r>
          </w:p>
        </w:tc>
        <w:tc>
          <w:tcPr>
            <w:tcW w:w="2242" w:type="dxa"/>
          </w:tcPr>
          <w:p w14:paraId="744DC8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505-512</w:t>
            </w:r>
          </w:p>
        </w:tc>
        <w:tc>
          <w:tcPr>
            <w:tcW w:w="2242" w:type="dxa"/>
          </w:tcPr>
          <w:p w14:paraId="6724AB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515</w:t>
            </w:r>
          </w:p>
        </w:tc>
      </w:tr>
      <w:tr w:rsidR="00643896" w:rsidRPr="00640820" w14:paraId="54B42DAA" w14:textId="77777777" w:rsidTr="000D3BCB">
        <w:tc>
          <w:tcPr>
            <w:tcW w:w="2242" w:type="dxa"/>
          </w:tcPr>
          <w:p w14:paraId="266B4EE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Скорость посадочная (км/ч )</w:t>
            </w:r>
          </w:p>
        </w:tc>
        <w:tc>
          <w:tcPr>
            <w:tcW w:w="2242" w:type="dxa"/>
          </w:tcPr>
          <w:p w14:paraId="7DBE07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130</w:t>
            </w:r>
          </w:p>
        </w:tc>
        <w:tc>
          <w:tcPr>
            <w:tcW w:w="2242" w:type="dxa"/>
          </w:tcPr>
          <w:p w14:paraId="7E3273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135</w:t>
            </w:r>
          </w:p>
        </w:tc>
        <w:tc>
          <w:tcPr>
            <w:tcW w:w="2242" w:type="dxa"/>
          </w:tcPr>
          <w:p w14:paraId="707FD9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135</w:t>
            </w:r>
          </w:p>
        </w:tc>
        <w:tc>
          <w:tcPr>
            <w:tcW w:w="2242" w:type="dxa"/>
          </w:tcPr>
          <w:p w14:paraId="73C7D7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140</w:t>
            </w:r>
          </w:p>
        </w:tc>
      </w:tr>
      <w:tr w:rsidR="00643896" w:rsidRPr="00640820" w14:paraId="48358F24" w14:textId="77777777" w:rsidTr="000D3BCB">
        <w:tc>
          <w:tcPr>
            <w:tcW w:w="2242" w:type="dxa"/>
          </w:tcPr>
          <w:p w14:paraId="1F48A9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Время набора 5000м (мин)</w:t>
            </w:r>
          </w:p>
        </w:tc>
        <w:tc>
          <w:tcPr>
            <w:tcW w:w="2242" w:type="dxa"/>
          </w:tcPr>
          <w:p w14:paraId="418841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8,9</w:t>
            </w:r>
          </w:p>
        </w:tc>
        <w:tc>
          <w:tcPr>
            <w:tcW w:w="2242" w:type="dxa"/>
          </w:tcPr>
          <w:p w14:paraId="23442B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8,55(по др. данным 7,1)</w:t>
            </w:r>
          </w:p>
        </w:tc>
        <w:tc>
          <w:tcPr>
            <w:tcW w:w="2242" w:type="dxa"/>
          </w:tcPr>
          <w:p w14:paraId="093C18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6,55</w:t>
            </w:r>
          </w:p>
        </w:tc>
        <w:tc>
          <w:tcPr>
            <w:tcW w:w="2242" w:type="dxa"/>
          </w:tcPr>
          <w:p w14:paraId="619264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6,8</w:t>
            </w:r>
          </w:p>
        </w:tc>
      </w:tr>
      <w:tr w:rsidR="00643896" w:rsidRPr="00640820" w14:paraId="6DD8513C" w14:textId="77777777" w:rsidTr="000D3BCB">
        <w:tc>
          <w:tcPr>
            <w:tcW w:w="2242" w:type="dxa"/>
          </w:tcPr>
          <w:p w14:paraId="49C12B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Практическ. потолок (м)</w:t>
            </w:r>
          </w:p>
        </w:tc>
        <w:tc>
          <w:tcPr>
            <w:tcW w:w="2242" w:type="dxa"/>
          </w:tcPr>
          <w:p w14:paraId="12B920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8800</w:t>
            </w:r>
          </w:p>
        </w:tc>
        <w:tc>
          <w:tcPr>
            <w:tcW w:w="2242" w:type="dxa"/>
          </w:tcPr>
          <w:p w14:paraId="632652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10100</w:t>
            </w:r>
          </w:p>
        </w:tc>
        <w:tc>
          <w:tcPr>
            <w:tcW w:w="2242" w:type="dxa"/>
          </w:tcPr>
          <w:p w14:paraId="50321C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10500</w:t>
            </w:r>
          </w:p>
        </w:tc>
        <w:tc>
          <w:tcPr>
            <w:tcW w:w="2242" w:type="dxa"/>
          </w:tcPr>
          <w:p w14:paraId="2D7EA04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r>
      <w:tr w:rsidR="00643896" w:rsidRPr="00640820" w14:paraId="0B0B16AC" w14:textId="77777777" w:rsidTr="000D3BCB">
        <w:tc>
          <w:tcPr>
            <w:tcW w:w="2242" w:type="dxa"/>
            <w:tcBorders>
              <w:bottom w:val="single" w:sz="12" w:space="0" w:color="auto"/>
            </w:tcBorders>
          </w:tcPr>
          <w:p w14:paraId="1EB14B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Дальность норма, (км)</w:t>
            </w:r>
          </w:p>
        </w:tc>
        <w:tc>
          <w:tcPr>
            <w:tcW w:w="2242" w:type="dxa"/>
            <w:tcBorders>
              <w:bottom w:val="single" w:sz="12" w:space="0" w:color="auto"/>
            </w:tcBorders>
          </w:tcPr>
          <w:p w14:paraId="12AB67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800</w:t>
            </w:r>
          </w:p>
        </w:tc>
        <w:tc>
          <w:tcPr>
            <w:tcW w:w="2242" w:type="dxa"/>
            <w:tcBorders>
              <w:bottom w:val="single" w:sz="12" w:space="0" w:color="auto"/>
            </w:tcBorders>
          </w:tcPr>
          <w:p w14:paraId="549DB5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2242" w:type="dxa"/>
            <w:tcBorders>
              <w:bottom w:val="single" w:sz="12" w:space="0" w:color="auto"/>
            </w:tcBorders>
          </w:tcPr>
          <w:p w14:paraId="414F27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2242" w:type="dxa"/>
            <w:tcBorders>
              <w:bottom w:val="single" w:sz="12" w:space="0" w:color="auto"/>
            </w:tcBorders>
          </w:tcPr>
          <w:p w14:paraId="14A4A2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1400</w:t>
            </w:r>
          </w:p>
        </w:tc>
      </w:tr>
    </w:tbl>
    <w:p w14:paraId="43717D4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Длина самолета Ар-7 но другим данным 12.640 м (12027).</w:t>
      </w:r>
    </w:p>
    <w:p w14:paraId="73E000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38DB9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с началом войны Завод № 1, не просто базовый, а — единствен</w:t>
      </w:r>
      <w:r w:rsidRPr="00640820">
        <w:rPr>
          <w:rFonts w:ascii="Times New Roman" w:hAnsi="Times New Roman"/>
          <w:color w:val="000000" w:themeColor="text1"/>
          <w:sz w:val="16"/>
          <w:szCs w:val="16"/>
        </w:rPr>
        <w:softHyphen/>
        <w:t>ный, выпускавший МиГи, оказался географически, самым западным из крупных «истребительных» авиапредприятий. Соответственно, он был единственным таким авиазаводом, отправленным в эвакуацию. Разумеется, эвакуационные ме</w:t>
      </w:r>
      <w:r w:rsidRPr="00640820">
        <w:rPr>
          <w:rFonts w:ascii="Times New Roman" w:hAnsi="Times New Roman"/>
          <w:color w:val="000000" w:themeColor="text1"/>
          <w:sz w:val="16"/>
          <w:szCs w:val="16"/>
        </w:rPr>
        <w:softHyphen/>
        <w:t xml:space="preserve">роприятия </w:t>
      </w:r>
      <w:r w:rsidRPr="00640820">
        <w:rPr>
          <w:rFonts w:ascii="Times New Roman" w:hAnsi="Times New Roman"/>
          <w:color w:val="000000" w:themeColor="text1"/>
          <w:sz w:val="16"/>
          <w:szCs w:val="16"/>
        </w:rPr>
        <w:lastRenderedPageBreak/>
        <w:t>не могли не привести к определённому снижению выпуска истребителей МиГ. Однако и после восстановления работ на новом месте дислокации эта модель истребителей крупномасштабно не выпускалась, а вскоре и вовсе была снята с конвейера. Тому было несколько причин. Во-первых, МиГ-3 оснащался мотором АМ-35. Эти авиадвигатели также производились единственным авиамоторным предприяти</w:t>
      </w:r>
      <w:r w:rsidRPr="00640820">
        <w:rPr>
          <w:rFonts w:ascii="Times New Roman" w:hAnsi="Times New Roman"/>
          <w:color w:val="000000" w:themeColor="text1"/>
          <w:sz w:val="16"/>
          <w:szCs w:val="16"/>
        </w:rPr>
        <w:softHyphen/>
        <w:t>ем в СССР</w:t>
      </w:r>
      <w:r w:rsidRPr="00640820">
        <w:rPr>
          <w:rFonts w:ascii="Times New Roman" w:hAnsi="Times New Roman"/>
          <w:color w:val="000000" w:themeColor="text1"/>
          <w:sz w:val="16"/>
          <w:szCs w:val="16"/>
          <w:vertAlign w:val="superscript"/>
        </w:rPr>
        <w:t>1</w:t>
      </w:r>
      <w:r w:rsidRPr="00640820">
        <w:rPr>
          <w:rFonts w:ascii="Times New Roman" w:hAnsi="Times New Roman"/>
          <w:color w:val="000000" w:themeColor="text1"/>
          <w:sz w:val="16"/>
          <w:szCs w:val="16"/>
        </w:rPr>
        <w:t>, но даже это не было бы бедой, если бы... Это же предприятие выпускало мотор АМ-38, который шёл на оснащение штурмовиков Ил-2. Между тем штурмовики на зиму 1941/42 г. считались едва ли не главным приоритетом советской авиапромышленности. С учётом того, что суммар</w:t>
      </w:r>
      <w:r w:rsidRPr="00640820">
        <w:rPr>
          <w:rFonts w:ascii="Times New Roman" w:hAnsi="Times New Roman"/>
          <w:color w:val="000000" w:themeColor="text1"/>
          <w:sz w:val="16"/>
          <w:szCs w:val="16"/>
        </w:rPr>
        <w:softHyphen/>
        <w:t>ное количество моторов, выпускаемых заводом № 24, было ограничено, наращивать выпуск АМ-38 было возможно лишь сокращая производство АМ-35. Во-вторых, практика боевых действий показала, что, как правило, воздушные бои разво</w:t>
      </w:r>
      <w:r w:rsidRPr="00640820">
        <w:rPr>
          <w:rFonts w:ascii="Times New Roman" w:hAnsi="Times New Roman"/>
          <w:color w:val="000000" w:themeColor="text1"/>
          <w:sz w:val="16"/>
          <w:szCs w:val="16"/>
        </w:rPr>
        <w:softHyphen/>
        <w:t>рачиваются на высотах, недостаточных для наиболее эффек</w:t>
      </w:r>
      <w:r w:rsidRPr="00640820">
        <w:rPr>
          <w:rFonts w:ascii="Times New Roman" w:hAnsi="Times New Roman"/>
          <w:color w:val="000000" w:themeColor="text1"/>
          <w:sz w:val="16"/>
          <w:szCs w:val="16"/>
        </w:rPr>
        <w:softHyphen/>
        <w:t>тивного использования истребителей МиГ. Предназначенные для схваток на высоте 5—6 км, на 3—5 км. МиГи теряли пре</w:t>
      </w:r>
      <w:r w:rsidRPr="00640820">
        <w:rPr>
          <w:rFonts w:ascii="Times New Roman" w:hAnsi="Times New Roman"/>
          <w:color w:val="000000" w:themeColor="text1"/>
          <w:sz w:val="16"/>
          <w:szCs w:val="16"/>
        </w:rPr>
        <w:softHyphen/>
        <w:t>имущество в скорости, а преимущества в маневренности они и не имели. Наконец, сыграло свою роль и то обстоятельство, что конструкция этой модели предусматривала цельноме</w:t>
      </w:r>
      <w:r w:rsidRPr="00640820">
        <w:rPr>
          <w:rFonts w:ascii="Times New Roman" w:hAnsi="Times New Roman"/>
          <w:color w:val="000000" w:themeColor="text1"/>
          <w:sz w:val="16"/>
          <w:szCs w:val="16"/>
        </w:rPr>
        <w:softHyphen/>
        <w:t>таллический центроплан, то есть из всех истребителей «но</w:t>
      </w:r>
      <w:r w:rsidRPr="00640820">
        <w:rPr>
          <w:rFonts w:ascii="Times New Roman" w:hAnsi="Times New Roman"/>
          <w:color w:val="000000" w:themeColor="text1"/>
          <w:sz w:val="16"/>
          <w:szCs w:val="16"/>
        </w:rPr>
        <w:softHyphen/>
        <w:t>вой волны» именно МиГи требовали больше всего металла на один самолёт. Между тем, ситуация с «лёгкими сплава</w:t>
      </w:r>
      <w:r w:rsidRPr="00640820">
        <w:rPr>
          <w:rFonts w:ascii="Times New Roman" w:hAnsi="Times New Roman"/>
          <w:color w:val="000000" w:themeColor="text1"/>
          <w:sz w:val="16"/>
          <w:szCs w:val="16"/>
        </w:rPr>
        <w:softHyphen/>
        <w:t>ми» в ту зиму была критической. Все эти факторы, в сумме своей, привели к снятию истребителя МиГ-3 с производства. Практически всю войну КБ Микояна и Гуревича продолжа</w:t>
      </w:r>
      <w:r w:rsidRPr="00640820">
        <w:rPr>
          <w:rFonts w:ascii="Times New Roman" w:hAnsi="Times New Roman"/>
          <w:color w:val="000000" w:themeColor="text1"/>
          <w:sz w:val="16"/>
          <w:szCs w:val="16"/>
        </w:rPr>
        <w:softHyphen/>
        <w:t>ло конструировать и испытывал, высотные истребители- перехватчики (И-220 (1942), И-221, И-230, И-231 (1943), И-222, И-224, И-225 (1944)), но в серию ни одна модель этого ряда так и не пошла.</w:t>
      </w:r>
    </w:p>
    <w:p w14:paraId="1F0901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Некоторое время казалось, что судьбу МиГ-3 разделит и ЛаГГ-3. Эта цеяьнодеревянная машина, оснащённая тем же мотором М-105, что и Як-1, была тяжелее Яка на 200 кг только за счёт фюзеляжа. Пытаясь превзойти «лёгкого» кон</w:t>
      </w:r>
      <w:r w:rsidRPr="00640820">
        <w:rPr>
          <w:rFonts w:ascii="Times New Roman" w:hAnsi="Times New Roman"/>
          <w:color w:val="000000" w:themeColor="text1"/>
          <w:sz w:val="16"/>
          <w:szCs w:val="16"/>
        </w:rPr>
        <w:softHyphen/>
        <w:t>курента, выигрывавшего по скорости и манёвренности, хотя бы в дальности полёта и мощности вооружения, конструк</w:t>
      </w:r>
      <w:r w:rsidRPr="00640820">
        <w:rPr>
          <w:rFonts w:ascii="Times New Roman" w:hAnsi="Times New Roman"/>
          <w:color w:val="000000" w:themeColor="text1"/>
          <w:sz w:val="16"/>
          <w:szCs w:val="16"/>
        </w:rPr>
        <w:softHyphen/>
        <w:t>торы ЛаГГа ещё более загрузили свою машину. В результа</w:t>
      </w:r>
      <w:r w:rsidRPr="00640820">
        <w:rPr>
          <w:rFonts w:ascii="Times New Roman" w:hAnsi="Times New Roman"/>
          <w:color w:val="000000" w:themeColor="text1"/>
          <w:sz w:val="16"/>
          <w:szCs w:val="16"/>
        </w:rPr>
        <w:softHyphen/>
        <w:t>те общий перевес, по сравнению с Яком, достиг уже 300— 400 кг. Резкое падение скорости, а также вертикальной и горизонтальной маневренности делало эффективное приме</w:t>
      </w:r>
      <w:r w:rsidRPr="00640820">
        <w:rPr>
          <w:rFonts w:ascii="Times New Roman" w:hAnsi="Times New Roman"/>
          <w:color w:val="000000" w:themeColor="text1"/>
          <w:sz w:val="16"/>
          <w:szCs w:val="16"/>
        </w:rPr>
        <w:softHyphen/>
        <w:t>нение цельнодеревянного истребителя проблематичным. На этом фоне предложения о свёртывании производства ЛаГГа в пользу яковлевских истребителей выглядели обоснован</w:t>
      </w:r>
      <w:r w:rsidRPr="00640820">
        <w:rPr>
          <w:rFonts w:ascii="Times New Roman" w:hAnsi="Times New Roman"/>
          <w:color w:val="000000" w:themeColor="text1"/>
          <w:sz w:val="16"/>
          <w:szCs w:val="16"/>
        </w:rPr>
        <w:softHyphen/>
        <w:t>ными и рациональными. Лавочкин рассчитывал радикально улучшить характеристики своей машины установкой ново</w:t>
      </w:r>
      <w:r w:rsidRPr="00640820">
        <w:rPr>
          <w:rFonts w:ascii="Times New Roman" w:hAnsi="Times New Roman"/>
          <w:color w:val="000000" w:themeColor="text1"/>
          <w:sz w:val="16"/>
          <w:szCs w:val="16"/>
        </w:rPr>
        <w:softHyphen/>
        <w:t>го перспективного мотора М-106. Однако, во-первых, было очевидно, что М-106 может быть установлен и на Як-1, в результате чего Як всё равно сохранит явное превосходство над ЛаГТом, а во-вторых, М-106 всё ещё не был доведён и оставался «журавлём в небе». В этой ситуации КБ Лавочки</w:t>
      </w:r>
      <w:r w:rsidRPr="00640820">
        <w:rPr>
          <w:rFonts w:ascii="Times New Roman" w:hAnsi="Times New Roman"/>
          <w:color w:val="000000" w:themeColor="text1"/>
          <w:sz w:val="16"/>
          <w:szCs w:val="16"/>
        </w:rPr>
        <w:softHyphen/>
        <w:t>на сделало неожиданный ход, переоборудовав свой истре</w:t>
      </w:r>
      <w:r w:rsidRPr="00640820">
        <w:rPr>
          <w:rFonts w:ascii="Times New Roman" w:hAnsi="Times New Roman"/>
          <w:color w:val="000000" w:themeColor="text1"/>
          <w:sz w:val="16"/>
          <w:szCs w:val="16"/>
        </w:rPr>
        <w:softHyphen/>
        <w:t>битель под двигатель М-82. Этот мотор был своеобразной «инициативной» разработкой предприятия, поэтому он был не задействован в перспективных авиаконструкциях. Харак</w:t>
      </w:r>
      <w:r w:rsidRPr="00640820">
        <w:rPr>
          <w:rFonts w:ascii="Times New Roman" w:hAnsi="Times New Roman"/>
          <w:color w:val="000000" w:themeColor="text1"/>
          <w:sz w:val="16"/>
          <w:szCs w:val="16"/>
        </w:rPr>
        <w:softHyphen/>
        <w:t>терно, что в Балансе моторов на 1941 г. (см. главу 7) он вооб</w:t>
      </w:r>
      <w:r w:rsidRPr="00640820">
        <w:rPr>
          <w:rFonts w:ascii="Times New Roman" w:hAnsi="Times New Roman"/>
          <w:color w:val="000000" w:themeColor="text1"/>
          <w:sz w:val="16"/>
          <w:szCs w:val="16"/>
        </w:rPr>
        <w:softHyphen/>
        <w:t>ще не учитывается. Таким образом, ставка на М-82 с одной стороны, позволяла резко увеличить энерговооружённость самолёта, а с другой — не вела к конкуренции из-за моторов с другими моделями. Серийное производство новой модели, получившей название Ла-5, началось с 1942 г. Однако вы</w:t>
      </w:r>
      <w:r w:rsidRPr="00640820">
        <w:rPr>
          <w:rFonts w:ascii="Times New Roman" w:hAnsi="Times New Roman"/>
          <w:color w:val="000000" w:themeColor="text1"/>
          <w:sz w:val="16"/>
          <w:szCs w:val="16"/>
        </w:rPr>
        <w:softHyphen/>
        <w:t>пуск ЛаГГ-3 также продолжался вплоть до 1944 г. За счёт тщательной работы над аэродинамикой модели удалось су</w:t>
      </w:r>
      <w:r w:rsidRPr="00640820">
        <w:rPr>
          <w:rFonts w:ascii="Times New Roman" w:hAnsi="Times New Roman"/>
          <w:color w:val="000000" w:themeColor="text1"/>
          <w:sz w:val="16"/>
          <w:szCs w:val="16"/>
        </w:rPr>
        <w:softHyphen/>
        <w:t>щественно улучшить её лётно-технические характеристики, сохранив при этом относительно большую дальность, за счёт чего ЛаГТи поздних серий были востребованы в мор</w:t>
      </w:r>
      <w:r w:rsidRPr="00640820">
        <w:rPr>
          <w:rFonts w:ascii="Times New Roman" w:hAnsi="Times New Roman"/>
          <w:color w:val="000000" w:themeColor="text1"/>
          <w:sz w:val="16"/>
          <w:szCs w:val="16"/>
        </w:rPr>
        <w:softHyphen/>
        <w:t>ской авиации. Ла-5, в свою очередь, прошёл ряд модифика</w:t>
      </w:r>
      <w:r w:rsidRPr="00640820">
        <w:rPr>
          <w:rFonts w:ascii="Times New Roman" w:hAnsi="Times New Roman"/>
          <w:color w:val="000000" w:themeColor="text1"/>
          <w:sz w:val="16"/>
          <w:szCs w:val="16"/>
        </w:rPr>
        <w:softHyphen/>
        <w:t>ций, пока в 1944 г. не был сменён на конвейере своим логи</w:t>
      </w:r>
      <w:r w:rsidRPr="00640820">
        <w:rPr>
          <w:rFonts w:ascii="Times New Roman" w:hAnsi="Times New Roman"/>
          <w:color w:val="000000" w:themeColor="text1"/>
          <w:sz w:val="16"/>
          <w:szCs w:val="16"/>
        </w:rPr>
        <w:softHyphen/>
        <w:t>ческим продолжением — Ла-7.</w:t>
      </w:r>
    </w:p>
    <w:p w14:paraId="3796F3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Что касается яковлевских машин, то с началом боевых действий было решено на базе учебно-тренировочной мо</w:t>
      </w:r>
      <w:r w:rsidRPr="00640820">
        <w:rPr>
          <w:rFonts w:ascii="Times New Roman" w:hAnsi="Times New Roman"/>
          <w:color w:val="000000" w:themeColor="text1"/>
          <w:sz w:val="16"/>
          <w:szCs w:val="16"/>
        </w:rPr>
        <w:softHyphen/>
        <w:t>дификации Як-1 — УТИ-26 разработать полноценный ис</w:t>
      </w:r>
      <w:r w:rsidRPr="00640820">
        <w:rPr>
          <w:rFonts w:ascii="Times New Roman" w:hAnsi="Times New Roman"/>
          <w:color w:val="000000" w:themeColor="text1"/>
          <w:sz w:val="16"/>
          <w:szCs w:val="16"/>
        </w:rPr>
        <w:softHyphen/>
        <w:t>требитель Як-7, который был оперативно запущен в серию уже в 1941 г. В 1942 г. с конвейера начали сходить истре</w:t>
      </w:r>
      <w:r w:rsidRPr="00640820">
        <w:rPr>
          <w:rFonts w:ascii="Times New Roman" w:hAnsi="Times New Roman"/>
          <w:color w:val="000000" w:themeColor="text1"/>
          <w:sz w:val="16"/>
          <w:szCs w:val="16"/>
        </w:rPr>
        <w:softHyphen/>
        <w:t>бители Як-9, являвшиеся логическим продолжением Як-7. За счёт улучшения аэродинамики и широкого применения дюралюминия новая модель получилась существенно легче Як-7. Это, вкупе с установкой форсированной версии мото</w:t>
      </w:r>
      <w:r w:rsidRPr="00640820">
        <w:rPr>
          <w:rFonts w:ascii="Times New Roman" w:hAnsi="Times New Roman"/>
          <w:color w:val="000000" w:themeColor="text1"/>
          <w:sz w:val="16"/>
          <w:szCs w:val="16"/>
        </w:rPr>
        <w:softHyphen/>
        <w:t>ра М-105, позволило либо кардинально увеличить дальность полёта (Модификация Як-9Д имела максимальную дальность 1360 км, а Як-7 — лишь 645), либо радикально усилить вооружение (Модификация Як-9Т несла 37-мм пушку, а Як-7 — 20-мм). Вообщесе- рийных модификаций Як-9 существовало 15, среди них при</w:t>
      </w:r>
      <w:r w:rsidRPr="00640820">
        <w:rPr>
          <w:rFonts w:ascii="Times New Roman" w:hAnsi="Times New Roman"/>
          <w:color w:val="000000" w:themeColor="text1"/>
          <w:sz w:val="16"/>
          <w:szCs w:val="16"/>
        </w:rPr>
        <w:softHyphen/>
        <w:t>сутствовали истребители-бомбардировщики, фоторазведчик, учебный «вывозной» истребитель и ещё несколько специали</w:t>
      </w:r>
      <w:r w:rsidRPr="00640820">
        <w:rPr>
          <w:rFonts w:ascii="Times New Roman" w:hAnsi="Times New Roman"/>
          <w:color w:val="000000" w:themeColor="text1"/>
          <w:sz w:val="16"/>
          <w:szCs w:val="16"/>
        </w:rPr>
        <w:softHyphen/>
        <w:t>зированных машин. В 1944 г., модернизировав Як-1 в сторону максимального улучшения аэродинамики, форсирования мо</w:t>
      </w:r>
      <w:r w:rsidRPr="00640820">
        <w:rPr>
          <w:rFonts w:ascii="Times New Roman" w:hAnsi="Times New Roman"/>
          <w:color w:val="000000" w:themeColor="text1"/>
          <w:sz w:val="16"/>
          <w:szCs w:val="16"/>
        </w:rPr>
        <w:softHyphen/>
        <w:t>тора и — главное — максимального облегчения конструкции, Яковлев получил Як-3, ставший отличной машиной «завоева</w:t>
      </w:r>
      <w:r w:rsidRPr="00640820">
        <w:rPr>
          <w:rFonts w:ascii="Times New Roman" w:hAnsi="Times New Roman"/>
          <w:color w:val="000000" w:themeColor="text1"/>
          <w:sz w:val="16"/>
          <w:szCs w:val="16"/>
        </w:rPr>
        <w:softHyphen/>
        <w:t>ния господства в воздухе». Если Ла-7 стал вершиной истре</w:t>
      </w:r>
      <w:r w:rsidRPr="00640820">
        <w:rPr>
          <w:rFonts w:ascii="Times New Roman" w:hAnsi="Times New Roman"/>
          <w:color w:val="000000" w:themeColor="text1"/>
          <w:sz w:val="16"/>
          <w:szCs w:val="16"/>
        </w:rPr>
        <w:softHyphen/>
        <w:t>бителей Лавочкина в годы войны, то Як-3 был, безусловно, лучшим истребителем Яковлева.</w:t>
      </w:r>
    </w:p>
    <w:p w14:paraId="351419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Масштабы выпуска истребителей различных моделей в годы Второй мировой войны приводятся в следующей та</w:t>
      </w:r>
      <w:r w:rsidRPr="00640820">
        <w:rPr>
          <w:rFonts w:ascii="Times New Roman" w:hAnsi="Times New Roman"/>
          <w:color w:val="000000" w:themeColor="text1"/>
          <w:sz w:val="16"/>
          <w:szCs w:val="16"/>
        </w:rPr>
        <w:softHyphen/>
        <w:t>блице:</w:t>
      </w:r>
    </w:p>
    <w:p w14:paraId="5F3554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rPr>
        <w:t xml:space="preserve">Выпуск истребителей в годы Второй мировой войны (Самолетостроение в СССР 1917—1945 гг. </w:t>
      </w:r>
      <w:r w:rsidRPr="00640820">
        <w:rPr>
          <w:rFonts w:ascii="Times New Roman" w:hAnsi="Times New Roman"/>
          <w:color w:val="000000" w:themeColor="text1"/>
          <w:sz w:val="16"/>
          <w:szCs w:val="16"/>
          <w:lang w:val="en-US"/>
        </w:rPr>
        <w:t>Кн. 1. М., 1992 С. 432-435; Кн. 2. М., 1994 С. 235—237)</w:t>
      </w:r>
    </w:p>
    <w:tbl>
      <w:tblPr>
        <w:tblW w:w="0" w:type="auto"/>
        <w:tblInd w:w="8" w:type="dxa"/>
        <w:tblLayout w:type="fixed"/>
        <w:tblCellMar>
          <w:left w:w="0" w:type="dxa"/>
          <w:right w:w="0" w:type="dxa"/>
        </w:tblCellMar>
        <w:tblLook w:val="0000" w:firstRow="0" w:lastRow="0" w:firstColumn="0" w:lastColumn="0" w:noHBand="0" w:noVBand="0"/>
      </w:tblPr>
      <w:tblGrid>
        <w:gridCol w:w="667"/>
        <w:gridCol w:w="658"/>
        <w:gridCol w:w="658"/>
        <w:gridCol w:w="658"/>
        <w:gridCol w:w="658"/>
        <w:gridCol w:w="658"/>
        <w:gridCol w:w="653"/>
        <w:gridCol w:w="658"/>
        <w:gridCol w:w="672"/>
      </w:tblGrid>
      <w:tr w:rsidR="00643896" w:rsidRPr="00640820" w14:paraId="6F74EC95" w14:textId="77777777" w:rsidTr="000D3BCB">
        <w:trPr>
          <w:trHeight w:val="379"/>
        </w:trPr>
        <w:tc>
          <w:tcPr>
            <w:tcW w:w="667" w:type="dxa"/>
            <w:tcBorders>
              <w:top w:val="single" w:sz="6" w:space="0" w:color="auto"/>
              <w:left w:val="single" w:sz="6" w:space="0" w:color="auto"/>
              <w:bottom w:val="single" w:sz="6" w:space="0" w:color="auto"/>
              <w:right w:val="single" w:sz="6" w:space="0" w:color="auto"/>
            </w:tcBorders>
            <w:shd w:val="clear" w:color="auto" w:fill="FFFFFF"/>
          </w:tcPr>
          <w:p w14:paraId="1BE934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5C8959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1939</w:t>
            </w: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1C2DF0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1940</w:t>
            </w: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296E70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1941</w:t>
            </w: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0CD806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1942</w:t>
            </w: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5678A1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1943</w:t>
            </w:r>
          </w:p>
        </w:tc>
        <w:tc>
          <w:tcPr>
            <w:tcW w:w="653" w:type="dxa"/>
            <w:tcBorders>
              <w:top w:val="single" w:sz="6" w:space="0" w:color="auto"/>
              <w:left w:val="single" w:sz="6" w:space="0" w:color="auto"/>
              <w:bottom w:val="single" w:sz="6" w:space="0" w:color="auto"/>
              <w:right w:val="single" w:sz="6" w:space="0" w:color="auto"/>
            </w:tcBorders>
            <w:shd w:val="clear" w:color="auto" w:fill="FFFFFF"/>
          </w:tcPr>
          <w:p w14:paraId="6CDC9B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1944</w:t>
            </w: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663D3F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1945</w:t>
            </w:r>
          </w:p>
        </w:tc>
        <w:tc>
          <w:tcPr>
            <w:tcW w:w="672" w:type="dxa"/>
            <w:tcBorders>
              <w:top w:val="single" w:sz="6" w:space="0" w:color="auto"/>
              <w:left w:val="single" w:sz="6" w:space="0" w:color="auto"/>
              <w:bottom w:val="single" w:sz="6" w:space="0" w:color="auto"/>
              <w:right w:val="single" w:sz="6" w:space="0" w:color="auto"/>
            </w:tcBorders>
            <w:shd w:val="clear" w:color="auto" w:fill="FFFFFF"/>
          </w:tcPr>
          <w:p w14:paraId="56A769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Всего</w:t>
            </w:r>
          </w:p>
        </w:tc>
      </w:tr>
      <w:tr w:rsidR="00643896" w:rsidRPr="00640820" w14:paraId="719FA93A" w14:textId="77777777" w:rsidTr="000D3BCB">
        <w:trPr>
          <w:trHeight w:val="283"/>
        </w:trPr>
        <w:tc>
          <w:tcPr>
            <w:tcW w:w="667" w:type="dxa"/>
            <w:tcBorders>
              <w:top w:val="single" w:sz="6" w:space="0" w:color="auto"/>
              <w:left w:val="single" w:sz="6" w:space="0" w:color="auto"/>
              <w:bottom w:val="single" w:sz="6" w:space="0" w:color="auto"/>
              <w:right w:val="single" w:sz="6" w:space="0" w:color="auto"/>
            </w:tcBorders>
            <w:shd w:val="clear" w:color="auto" w:fill="FFFFFF"/>
          </w:tcPr>
          <w:p w14:paraId="73A515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И-15</w:t>
            </w: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1F33D5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1304</w:t>
            </w: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229F21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4DC68C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5514C6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19076CE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53" w:type="dxa"/>
            <w:tcBorders>
              <w:top w:val="single" w:sz="6" w:space="0" w:color="auto"/>
              <w:left w:val="single" w:sz="6" w:space="0" w:color="auto"/>
              <w:bottom w:val="single" w:sz="6" w:space="0" w:color="auto"/>
              <w:right w:val="single" w:sz="6" w:space="0" w:color="auto"/>
            </w:tcBorders>
            <w:shd w:val="clear" w:color="auto" w:fill="FFFFFF"/>
          </w:tcPr>
          <w:p w14:paraId="4CE9D5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41A9B13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72" w:type="dxa"/>
            <w:tcBorders>
              <w:top w:val="single" w:sz="6" w:space="0" w:color="auto"/>
              <w:left w:val="single" w:sz="6" w:space="0" w:color="auto"/>
              <w:bottom w:val="single" w:sz="6" w:space="0" w:color="auto"/>
              <w:right w:val="single" w:sz="6" w:space="0" w:color="auto"/>
            </w:tcBorders>
            <w:shd w:val="clear" w:color="auto" w:fill="FFFFFF"/>
          </w:tcPr>
          <w:p w14:paraId="260039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1304*</w:t>
            </w:r>
          </w:p>
        </w:tc>
      </w:tr>
      <w:tr w:rsidR="00643896" w:rsidRPr="00640820" w14:paraId="093BFDED" w14:textId="77777777" w:rsidTr="000D3BCB">
        <w:trPr>
          <w:trHeight w:val="259"/>
        </w:trPr>
        <w:tc>
          <w:tcPr>
            <w:tcW w:w="667" w:type="dxa"/>
            <w:tcBorders>
              <w:top w:val="single" w:sz="6" w:space="0" w:color="auto"/>
              <w:left w:val="single" w:sz="6" w:space="0" w:color="auto"/>
              <w:bottom w:val="single" w:sz="6" w:space="0" w:color="auto"/>
              <w:right w:val="single" w:sz="6" w:space="0" w:color="auto"/>
            </w:tcBorders>
            <w:shd w:val="clear" w:color="auto" w:fill="FFFFFF"/>
          </w:tcPr>
          <w:p w14:paraId="152C03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И-153</w:t>
            </w: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548AED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1011</w:t>
            </w: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70D05B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2362</w:t>
            </w: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0449D1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64</w:t>
            </w: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1F00F7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0315D6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53" w:type="dxa"/>
            <w:tcBorders>
              <w:top w:val="single" w:sz="6" w:space="0" w:color="auto"/>
              <w:left w:val="single" w:sz="6" w:space="0" w:color="auto"/>
              <w:bottom w:val="single" w:sz="6" w:space="0" w:color="auto"/>
              <w:right w:val="single" w:sz="6" w:space="0" w:color="auto"/>
            </w:tcBorders>
            <w:shd w:val="clear" w:color="auto" w:fill="FFFFFF"/>
          </w:tcPr>
          <w:p w14:paraId="77D79A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256072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72" w:type="dxa"/>
            <w:tcBorders>
              <w:top w:val="single" w:sz="6" w:space="0" w:color="auto"/>
              <w:left w:val="single" w:sz="6" w:space="0" w:color="auto"/>
              <w:bottom w:val="single" w:sz="6" w:space="0" w:color="auto"/>
              <w:right w:val="single" w:sz="6" w:space="0" w:color="auto"/>
            </w:tcBorders>
            <w:shd w:val="clear" w:color="auto" w:fill="FFFFFF"/>
          </w:tcPr>
          <w:p w14:paraId="00243CC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3437</w:t>
            </w:r>
          </w:p>
        </w:tc>
      </w:tr>
      <w:tr w:rsidR="00643896" w:rsidRPr="00640820" w14:paraId="20146189" w14:textId="77777777" w:rsidTr="000D3BCB">
        <w:trPr>
          <w:trHeight w:val="254"/>
        </w:trPr>
        <w:tc>
          <w:tcPr>
            <w:tcW w:w="667" w:type="dxa"/>
            <w:tcBorders>
              <w:top w:val="single" w:sz="6" w:space="0" w:color="auto"/>
              <w:left w:val="single" w:sz="6" w:space="0" w:color="auto"/>
              <w:bottom w:val="single" w:sz="6" w:space="0" w:color="auto"/>
              <w:right w:val="single" w:sz="6" w:space="0" w:color="auto"/>
            </w:tcBorders>
            <w:shd w:val="clear" w:color="auto" w:fill="FFFFFF"/>
          </w:tcPr>
          <w:p w14:paraId="5D8934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И-16</w:t>
            </w: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73C164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1835</w:t>
            </w: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5D30B4B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2710</w:t>
            </w: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3091778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356</w:t>
            </w: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57A2F5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21A35F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53" w:type="dxa"/>
            <w:tcBorders>
              <w:top w:val="single" w:sz="6" w:space="0" w:color="auto"/>
              <w:left w:val="single" w:sz="6" w:space="0" w:color="auto"/>
              <w:bottom w:val="single" w:sz="6" w:space="0" w:color="auto"/>
              <w:right w:val="single" w:sz="6" w:space="0" w:color="auto"/>
            </w:tcBorders>
            <w:shd w:val="clear" w:color="auto" w:fill="FFFFFF"/>
          </w:tcPr>
          <w:p w14:paraId="138F35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780CF5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72" w:type="dxa"/>
            <w:tcBorders>
              <w:top w:val="single" w:sz="6" w:space="0" w:color="auto"/>
              <w:left w:val="single" w:sz="6" w:space="0" w:color="auto"/>
              <w:bottom w:val="single" w:sz="6" w:space="0" w:color="auto"/>
              <w:right w:val="single" w:sz="6" w:space="0" w:color="auto"/>
            </w:tcBorders>
            <w:shd w:val="clear" w:color="auto" w:fill="FFFFFF"/>
          </w:tcPr>
          <w:p w14:paraId="2431A8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4901</w:t>
            </w:r>
          </w:p>
        </w:tc>
      </w:tr>
      <w:tr w:rsidR="00643896" w:rsidRPr="00640820" w14:paraId="1859B304" w14:textId="77777777" w:rsidTr="000D3BCB">
        <w:trPr>
          <w:trHeight w:val="278"/>
        </w:trPr>
        <w:tc>
          <w:tcPr>
            <w:tcW w:w="667" w:type="dxa"/>
            <w:tcBorders>
              <w:top w:val="single" w:sz="6" w:space="0" w:color="auto"/>
              <w:left w:val="single" w:sz="6" w:space="0" w:color="auto"/>
              <w:bottom w:val="single" w:sz="6" w:space="0" w:color="auto"/>
              <w:right w:val="single" w:sz="6" w:space="0" w:color="auto"/>
            </w:tcBorders>
            <w:shd w:val="clear" w:color="auto" w:fill="FFFFFF"/>
          </w:tcPr>
          <w:p w14:paraId="48EE7A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Ях-1</w:t>
            </w: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7FD577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3B45A4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64</w:t>
            </w: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79C042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1332</w:t>
            </w: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5FBC8A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3476</w:t>
            </w: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5F0A99F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2720</w:t>
            </w:r>
          </w:p>
        </w:tc>
        <w:tc>
          <w:tcPr>
            <w:tcW w:w="653" w:type="dxa"/>
            <w:tcBorders>
              <w:top w:val="single" w:sz="6" w:space="0" w:color="auto"/>
              <w:left w:val="single" w:sz="6" w:space="0" w:color="auto"/>
              <w:bottom w:val="single" w:sz="6" w:space="0" w:color="auto"/>
              <w:right w:val="single" w:sz="6" w:space="0" w:color="auto"/>
            </w:tcBorders>
            <w:shd w:val="clear" w:color="auto" w:fill="FFFFFF"/>
          </w:tcPr>
          <w:p w14:paraId="34C0FA5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1128</w:t>
            </w: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6A4F8C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72" w:type="dxa"/>
            <w:tcBorders>
              <w:top w:val="single" w:sz="6" w:space="0" w:color="auto"/>
              <w:left w:val="single" w:sz="6" w:space="0" w:color="auto"/>
              <w:bottom w:val="single" w:sz="6" w:space="0" w:color="auto"/>
              <w:right w:val="single" w:sz="6" w:space="0" w:color="auto"/>
            </w:tcBorders>
            <w:shd w:val="clear" w:color="auto" w:fill="FFFFFF"/>
          </w:tcPr>
          <w:p w14:paraId="08C568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8720</w:t>
            </w:r>
          </w:p>
        </w:tc>
      </w:tr>
      <w:tr w:rsidR="00643896" w:rsidRPr="00640820" w14:paraId="5D60BA8B" w14:textId="77777777" w:rsidTr="000D3BCB">
        <w:trPr>
          <w:trHeight w:val="221"/>
        </w:trPr>
        <w:tc>
          <w:tcPr>
            <w:tcW w:w="667" w:type="dxa"/>
            <w:tcBorders>
              <w:top w:val="single" w:sz="6" w:space="0" w:color="auto"/>
              <w:left w:val="single" w:sz="6" w:space="0" w:color="auto"/>
              <w:bottom w:val="single" w:sz="6" w:space="0" w:color="auto"/>
              <w:right w:val="single" w:sz="6" w:space="0" w:color="auto"/>
            </w:tcBorders>
            <w:shd w:val="clear" w:color="auto" w:fill="FFFFFF"/>
          </w:tcPr>
          <w:p w14:paraId="443552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Ях-3</w:t>
            </w: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4CB0C5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348F20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71E27B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18B448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5756FF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53" w:type="dxa"/>
            <w:tcBorders>
              <w:top w:val="single" w:sz="6" w:space="0" w:color="auto"/>
              <w:left w:val="single" w:sz="6" w:space="0" w:color="auto"/>
              <w:bottom w:val="single" w:sz="6" w:space="0" w:color="auto"/>
              <w:right w:val="single" w:sz="6" w:space="0" w:color="auto"/>
            </w:tcBorders>
            <w:shd w:val="clear" w:color="auto" w:fill="FFFFFF"/>
          </w:tcPr>
          <w:p w14:paraId="3F8497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2180</w:t>
            </w: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5CB8DA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2380</w:t>
            </w:r>
          </w:p>
        </w:tc>
        <w:tc>
          <w:tcPr>
            <w:tcW w:w="672" w:type="dxa"/>
            <w:tcBorders>
              <w:top w:val="single" w:sz="6" w:space="0" w:color="auto"/>
              <w:left w:val="single" w:sz="6" w:space="0" w:color="auto"/>
              <w:bottom w:val="single" w:sz="6" w:space="0" w:color="auto"/>
              <w:right w:val="single" w:sz="6" w:space="0" w:color="auto"/>
            </w:tcBorders>
            <w:shd w:val="clear" w:color="auto" w:fill="FFFFFF"/>
          </w:tcPr>
          <w:p w14:paraId="3A90BA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4560</w:t>
            </w:r>
          </w:p>
        </w:tc>
      </w:tr>
      <w:tr w:rsidR="00643896" w:rsidRPr="00640820" w14:paraId="3CDAAD4F" w14:textId="77777777" w:rsidTr="000D3BCB">
        <w:trPr>
          <w:trHeight w:val="221"/>
        </w:trPr>
        <w:tc>
          <w:tcPr>
            <w:tcW w:w="667" w:type="dxa"/>
            <w:tcBorders>
              <w:top w:val="single" w:sz="6" w:space="0" w:color="auto"/>
              <w:left w:val="single" w:sz="6" w:space="0" w:color="auto"/>
              <w:bottom w:val="single" w:sz="6" w:space="0" w:color="auto"/>
              <w:right w:val="single" w:sz="6" w:space="0" w:color="auto"/>
            </w:tcBorders>
            <w:shd w:val="clear" w:color="auto" w:fill="FFFFFF"/>
          </w:tcPr>
          <w:p w14:paraId="62E13E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Ях-7</w:t>
            </w: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761A98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755F8F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6E1397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207</w:t>
            </w: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00A409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2431</w:t>
            </w: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3004F84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3296</w:t>
            </w:r>
          </w:p>
        </w:tc>
        <w:tc>
          <w:tcPr>
            <w:tcW w:w="653" w:type="dxa"/>
            <w:tcBorders>
              <w:top w:val="single" w:sz="6" w:space="0" w:color="auto"/>
              <w:left w:val="single" w:sz="6" w:space="0" w:color="auto"/>
              <w:bottom w:val="single" w:sz="6" w:space="0" w:color="auto"/>
              <w:right w:val="single" w:sz="6" w:space="0" w:color="auto"/>
            </w:tcBorders>
            <w:shd w:val="clear" w:color="auto" w:fill="FFFFFF"/>
          </w:tcPr>
          <w:p w14:paraId="49B5B5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465</w:t>
            </w: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5B112D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72" w:type="dxa"/>
            <w:tcBorders>
              <w:top w:val="single" w:sz="6" w:space="0" w:color="auto"/>
              <w:left w:val="single" w:sz="6" w:space="0" w:color="auto"/>
              <w:bottom w:val="single" w:sz="6" w:space="0" w:color="auto"/>
              <w:right w:val="single" w:sz="6" w:space="0" w:color="auto"/>
            </w:tcBorders>
            <w:shd w:val="clear" w:color="auto" w:fill="FFFFFF"/>
          </w:tcPr>
          <w:p w14:paraId="3D0326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6399</w:t>
            </w:r>
          </w:p>
        </w:tc>
      </w:tr>
      <w:tr w:rsidR="00643896" w:rsidRPr="00640820" w14:paraId="78DB32A2" w14:textId="77777777" w:rsidTr="000D3BCB">
        <w:trPr>
          <w:trHeight w:val="221"/>
        </w:trPr>
        <w:tc>
          <w:tcPr>
            <w:tcW w:w="667" w:type="dxa"/>
            <w:tcBorders>
              <w:top w:val="single" w:sz="6" w:space="0" w:color="auto"/>
              <w:left w:val="single" w:sz="6" w:space="0" w:color="auto"/>
              <w:bottom w:val="single" w:sz="6" w:space="0" w:color="auto"/>
              <w:right w:val="single" w:sz="6" w:space="0" w:color="auto"/>
            </w:tcBorders>
            <w:shd w:val="clear" w:color="auto" w:fill="FFFFFF"/>
          </w:tcPr>
          <w:p w14:paraId="2C378A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Ях-9</w:t>
            </w: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69B863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61DD51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028AEC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26A801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59</w:t>
            </w: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165F76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2493</w:t>
            </w:r>
          </w:p>
        </w:tc>
        <w:tc>
          <w:tcPr>
            <w:tcW w:w="653" w:type="dxa"/>
            <w:tcBorders>
              <w:top w:val="single" w:sz="6" w:space="0" w:color="auto"/>
              <w:left w:val="single" w:sz="6" w:space="0" w:color="auto"/>
              <w:bottom w:val="single" w:sz="6" w:space="0" w:color="auto"/>
              <w:right w:val="single" w:sz="6" w:space="0" w:color="auto"/>
            </w:tcBorders>
            <w:shd w:val="clear" w:color="auto" w:fill="FFFFFF"/>
          </w:tcPr>
          <w:p w14:paraId="6742EE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7831</w:t>
            </w: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0DD03E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5087</w:t>
            </w:r>
          </w:p>
        </w:tc>
        <w:tc>
          <w:tcPr>
            <w:tcW w:w="672" w:type="dxa"/>
            <w:tcBorders>
              <w:top w:val="single" w:sz="6" w:space="0" w:color="auto"/>
              <w:left w:val="single" w:sz="6" w:space="0" w:color="auto"/>
              <w:bottom w:val="single" w:sz="6" w:space="0" w:color="auto"/>
              <w:right w:val="single" w:sz="6" w:space="0" w:color="auto"/>
            </w:tcBorders>
            <w:shd w:val="clear" w:color="auto" w:fill="FFFFFF"/>
          </w:tcPr>
          <w:p w14:paraId="08F9F9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15470</w:t>
            </w:r>
          </w:p>
        </w:tc>
      </w:tr>
      <w:tr w:rsidR="00643896" w:rsidRPr="00640820" w14:paraId="13DFB35D" w14:textId="77777777" w:rsidTr="000D3BCB">
        <w:trPr>
          <w:trHeight w:val="226"/>
        </w:trPr>
        <w:tc>
          <w:tcPr>
            <w:tcW w:w="667" w:type="dxa"/>
            <w:tcBorders>
              <w:top w:val="single" w:sz="6" w:space="0" w:color="auto"/>
              <w:left w:val="single" w:sz="6" w:space="0" w:color="auto"/>
              <w:bottom w:val="single" w:sz="6" w:space="0" w:color="auto"/>
              <w:right w:val="single" w:sz="6" w:space="0" w:color="auto"/>
            </w:tcBorders>
            <w:shd w:val="clear" w:color="auto" w:fill="FFFFFF"/>
          </w:tcPr>
          <w:p w14:paraId="0C3267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ЛаГГ-З</w:t>
            </w: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04C387E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5C403C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2755F1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2463</w:t>
            </w: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27233B9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2771</w:t>
            </w: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0DB155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1065</w:t>
            </w:r>
          </w:p>
        </w:tc>
        <w:tc>
          <w:tcPr>
            <w:tcW w:w="653" w:type="dxa"/>
            <w:tcBorders>
              <w:top w:val="single" w:sz="6" w:space="0" w:color="auto"/>
              <w:left w:val="single" w:sz="6" w:space="0" w:color="auto"/>
              <w:bottom w:val="single" w:sz="6" w:space="0" w:color="auto"/>
              <w:right w:val="single" w:sz="6" w:space="0" w:color="auto"/>
            </w:tcBorders>
            <w:shd w:val="clear" w:color="auto" w:fill="FFFFFF"/>
          </w:tcPr>
          <w:p w14:paraId="673AA2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229</w:t>
            </w: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4F73C3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72" w:type="dxa"/>
            <w:tcBorders>
              <w:top w:val="single" w:sz="6" w:space="0" w:color="auto"/>
              <w:left w:val="single" w:sz="6" w:space="0" w:color="auto"/>
              <w:bottom w:val="single" w:sz="6" w:space="0" w:color="auto"/>
              <w:right w:val="single" w:sz="6" w:space="0" w:color="auto"/>
            </w:tcBorders>
            <w:shd w:val="clear" w:color="auto" w:fill="FFFFFF"/>
          </w:tcPr>
          <w:p w14:paraId="27160C3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6528</w:t>
            </w:r>
          </w:p>
        </w:tc>
      </w:tr>
      <w:tr w:rsidR="00643896" w:rsidRPr="00640820" w14:paraId="5B00F72D" w14:textId="77777777" w:rsidTr="000D3BCB">
        <w:trPr>
          <w:trHeight w:val="221"/>
        </w:trPr>
        <w:tc>
          <w:tcPr>
            <w:tcW w:w="667" w:type="dxa"/>
            <w:tcBorders>
              <w:top w:val="single" w:sz="6" w:space="0" w:color="auto"/>
              <w:left w:val="single" w:sz="6" w:space="0" w:color="auto"/>
              <w:bottom w:val="single" w:sz="6" w:space="0" w:color="auto"/>
              <w:right w:val="single" w:sz="6" w:space="0" w:color="auto"/>
            </w:tcBorders>
            <w:shd w:val="clear" w:color="auto" w:fill="FFFFFF"/>
          </w:tcPr>
          <w:p w14:paraId="07F0A34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Ла-5</w:t>
            </w: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35B54A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06E63A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4964C4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39C2071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1129</w:t>
            </w: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63967A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4808</w:t>
            </w:r>
          </w:p>
        </w:tc>
        <w:tc>
          <w:tcPr>
            <w:tcW w:w="653" w:type="dxa"/>
            <w:tcBorders>
              <w:top w:val="single" w:sz="6" w:space="0" w:color="auto"/>
              <w:left w:val="single" w:sz="6" w:space="0" w:color="auto"/>
              <w:bottom w:val="single" w:sz="6" w:space="0" w:color="auto"/>
              <w:right w:val="single" w:sz="6" w:space="0" w:color="auto"/>
            </w:tcBorders>
            <w:shd w:val="clear" w:color="auto" w:fill="FFFFFF"/>
          </w:tcPr>
          <w:p w14:paraId="1EEF4A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3826</w:t>
            </w: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5D0700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72" w:type="dxa"/>
            <w:tcBorders>
              <w:top w:val="single" w:sz="6" w:space="0" w:color="auto"/>
              <w:left w:val="single" w:sz="6" w:space="0" w:color="auto"/>
              <w:bottom w:val="single" w:sz="6" w:space="0" w:color="auto"/>
              <w:right w:val="single" w:sz="6" w:space="0" w:color="auto"/>
            </w:tcBorders>
            <w:shd w:val="clear" w:color="auto" w:fill="FFFFFF"/>
          </w:tcPr>
          <w:p w14:paraId="7099E5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9763</w:t>
            </w:r>
          </w:p>
        </w:tc>
      </w:tr>
      <w:tr w:rsidR="00643896" w:rsidRPr="00640820" w14:paraId="6591C4A7" w14:textId="77777777" w:rsidTr="000D3BCB">
        <w:trPr>
          <w:trHeight w:val="221"/>
        </w:trPr>
        <w:tc>
          <w:tcPr>
            <w:tcW w:w="667" w:type="dxa"/>
            <w:tcBorders>
              <w:top w:val="single" w:sz="6" w:space="0" w:color="auto"/>
              <w:left w:val="single" w:sz="6" w:space="0" w:color="auto"/>
              <w:bottom w:val="single" w:sz="6" w:space="0" w:color="auto"/>
              <w:right w:val="single" w:sz="6" w:space="0" w:color="auto"/>
            </w:tcBorders>
            <w:shd w:val="clear" w:color="auto" w:fill="FFFFFF"/>
          </w:tcPr>
          <w:p w14:paraId="4F1763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Ла-7</w:t>
            </w: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4F5D4D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496F21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475CE88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52524C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3A593D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53" w:type="dxa"/>
            <w:tcBorders>
              <w:top w:val="single" w:sz="6" w:space="0" w:color="auto"/>
              <w:left w:val="single" w:sz="6" w:space="0" w:color="auto"/>
              <w:bottom w:val="single" w:sz="6" w:space="0" w:color="auto"/>
              <w:right w:val="single" w:sz="6" w:space="0" w:color="auto"/>
            </w:tcBorders>
            <w:shd w:val="clear" w:color="auto" w:fill="FFFFFF"/>
          </w:tcPr>
          <w:p w14:paraId="0C9FCA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2236</w:t>
            </w: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691DC5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3669</w:t>
            </w:r>
          </w:p>
        </w:tc>
        <w:tc>
          <w:tcPr>
            <w:tcW w:w="672" w:type="dxa"/>
            <w:tcBorders>
              <w:top w:val="single" w:sz="6" w:space="0" w:color="auto"/>
              <w:left w:val="single" w:sz="6" w:space="0" w:color="auto"/>
              <w:bottom w:val="single" w:sz="6" w:space="0" w:color="auto"/>
              <w:right w:val="single" w:sz="6" w:space="0" w:color="auto"/>
            </w:tcBorders>
            <w:shd w:val="clear" w:color="auto" w:fill="FFFFFF"/>
          </w:tcPr>
          <w:p w14:paraId="3625DC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5905</w:t>
            </w:r>
          </w:p>
        </w:tc>
      </w:tr>
      <w:tr w:rsidR="00643896" w:rsidRPr="00640820" w14:paraId="655EC976" w14:textId="77777777" w:rsidTr="000D3BCB">
        <w:trPr>
          <w:trHeight w:val="221"/>
        </w:trPr>
        <w:tc>
          <w:tcPr>
            <w:tcW w:w="667" w:type="dxa"/>
            <w:tcBorders>
              <w:top w:val="single" w:sz="6" w:space="0" w:color="auto"/>
              <w:left w:val="single" w:sz="6" w:space="0" w:color="auto"/>
              <w:bottom w:val="single" w:sz="6" w:space="0" w:color="auto"/>
              <w:right w:val="single" w:sz="6" w:space="0" w:color="auto"/>
            </w:tcBorders>
            <w:shd w:val="clear" w:color="auto" w:fill="FFFFFF"/>
          </w:tcPr>
          <w:p w14:paraId="243228E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МиГ-3</w:t>
            </w: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33576DB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3C1923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120</w:t>
            </w: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2B6869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3100</w:t>
            </w: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5F9C2F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52</w:t>
            </w: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05CB7FE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53" w:type="dxa"/>
            <w:tcBorders>
              <w:top w:val="single" w:sz="6" w:space="0" w:color="auto"/>
              <w:left w:val="single" w:sz="6" w:space="0" w:color="auto"/>
              <w:bottom w:val="single" w:sz="6" w:space="0" w:color="auto"/>
              <w:right w:val="single" w:sz="6" w:space="0" w:color="auto"/>
            </w:tcBorders>
            <w:shd w:val="clear" w:color="auto" w:fill="FFFFFF"/>
          </w:tcPr>
          <w:p w14:paraId="6AF6D2F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1A07B5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72" w:type="dxa"/>
            <w:tcBorders>
              <w:top w:val="single" w:sz="6" w:space="0" w:color="auto"/>
              <w:left w:val="single" w:sz="6" w:space="0" w:color="auto"/>
              <w:bottom w:val="single" w:sz="6" w:space="0" w:color="auto"/>
              <w:right w:val="single" w:sz="6" w:space="0" w:color="auto"/>
            </w:tcBorders>
            <w:shd w:val="clear" w:color="auto" w:fill="FFFFFF"/>
          </w:tcPr>
          <w:p w14:paraId="34BD83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3272</w:t>
            </w:r>
          </w:p>
        </w:tc>
      </w:tr>
      <w:tr w:rsidR="00643896" w:rsidRPr="00640820" w14:paraId="5202253C" w14:textId="77777777" w:rsidTr="000D3BCB">
        <w:trPr>
          <w:trHeight w:val="221"/>
        </w:trPr>
        <w:tc>
          <w:tcPr>
            <w:tcW w:w="667" w:type="dxa"/>
            <w:tcBorders>
              <w:top w:val="single" w:sz="6" w:space="0" w:color="auto"/>
              <w:left w:val="single" w:sz="6" w:space="0" w:color="auto"/>
              <w:bottom w:val="single" w:sz="6" w:space="0" w:color="auto"/>
              <w:right w:val="single" w:sz="6" w:space="0" w:color="auto"/>
            </w:tcBorders>
            <w:shd w:val="clear" w:color="auto" w:fill="FFFFFF"/>
          </w:tcPr>
          <w:p w14:paraId="0063AB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Пе-3</w:t>
            </w: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0AC3B6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113AB9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14D968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196</w:t>
            </w: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73788F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73391B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w:t>
            </w:r>
          </w:p>
        </w:tc>
        <w:tc>
          <w:tcPr>
            <w:tcW w:w="653" w:type="dxa"/>
            <w:tcBorders>
              <w:top w:val="single" w:sz="6" w:space="0" w:color="auto"/>
              <w:left w:val="single" w:sz="6" w:space="0" w:color="auto"/>
              <w:bottom w:val="single" w:sz="6" w:space="0" w:color="auto"/>
              <w:right w:val="single" w:sz="6" w:space="0" w:color="auto"/>
            </w:tcBorders>
            <w:shd w:val="clear" w:color="auto" w:fill="FFFFFF"/>
          </w:tcPr>
          <w:p w14:paraId="70E917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w:t>
            </w: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392E79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72" w:type="dxa"/>
            <w:tcBorders>
              <w:top w:val="single" w:sz="6" w:space="0" w:color="auto"/>
              <w:left w:val="single" w:sz="6" w:space="0" w:color="auto"/>
              <w:bottom w:val="single" w:sz="6" w:space="0" w:color="auto"/>
              <w:right w:val="single" w:sz="6" w:space="0" w:color="auto"/>
            </w:tcBorders>
            <w:shd w:val="clear" w:color="auto" w:fill="FFFFFF"/>
          </w:tcPr>
          <w:p w14:paraId="46EB75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228</w:t>
            </w:r>
          </w:p>
        </w:tc>
      </w:tr>
      <w:tr w:rsidR="00643896" w:rsidRPr="00640820" w14:paraId="72534865" w14:textId="77777777" w:rsidTr="000D3BCB">
        <w:trPr>
          <w:trHeight w:val="240"/>
        </w:trPr>
        <w:tc>
          <w:tcPr>
            <w:tcW w:w="667" w:type="dxa"/>
            <w:tcBorders>
              <w:top w:val="single" w:sz="6" w:space="0" w:color="auto"/>
              <w:left w:val="single" w:sz="6" w:space="0" w:color="auto"/>
              <w:bottom w:val="single" w:sz="6" w:space="0" w:color="auto"/>
              <w:right w:val="single" w:sz="6" w:space="0" w:color="auto"/>
            </w:tcBorders>
            <w:shd w:val="clear" w:color="auto" w:fill="FFFFFF"/>
          </w:tcPr>
          <w:p w14:paraId="375B4E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Всего</w:t>
            </w: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44D8DD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4150</w:t>
            </w: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4EA55B8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5256</w:t>
            </w: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38B5CE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7718</w:t>
            </w: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31B420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9918</w:t>
            </w: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665BC4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14395</w:t>
            </w:r>
          </w:p>
        </w:tc>
        <w:tc>
          <w:tcPr>
            <w:tcW w:w="653" w:type="dxa"/>
            <w:tcBorders>
              <w:top w:val="single" w:sz="6" w:space="0" w:color="auto"/>
              <w:left w:val="single" w:sz="6" w:space="0" w:color="auto"/>
              <w:bottom w:val="single" w:sz="6" w:space="0" w:color="auto"/>
              <w:right w:val="single" w:sz="6" w:space="0" w:color="auto"/>
            </w:tcBorders>
            <w:shd w:val="clear" w:color="auto" w:fill="FFFFFF"/>
          </w:tcPr>
          <w:p w14:paraId="69999B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17914</w:t>
            </w:r>
          </w:p>
        </w:tc>
        <w:tc>
          <w:tcPr>
            <w:tcW w:w="658" w:type="dxa"/>
            <w:tcBorders>
              <w:top w:val="single" w:sz="6" w:space="0" w:color="auto"/>
              <w:left w:val="single" w:sz="6" w:space="0" w:color="auto"/>
              <w:bottom w:val="single" w:sz="6" w:space="0" w:color="auto"/>
              <w:right w:val="single" w:sz="6" w:space="0" w:color="auto"/>
            </w:tcBorders>
            <w:shd w:val="clear" w:color="auto" w:fill="FFFFFF"/>
          </w:tcPr>
          <w:p w14:paraId="44FEC5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11136</w:t>
            </w:r>
          </w:p>
        </w:tc>
        <w:tc>
          <w:tcPr>
            <w:tcW w:w="672" w:type="dxa"/>
            <w:tcBorders>
              <w:top w:val="single" w:sz="6" w:space="0" w:color="auto"/>
              <w:left w:val="single" w:sz="6" w:space="0" w:color="auto"/>
              <w:bottom w:val="single" w:sz="6" w:space="0" w:color="auto"/>
              <w:right w:val="single" w:sz="6" w:space="0" w:color="auto"/>
            </w:tcBorders>
            <w:shd w:val="clear" w:color="auto" w:fill="FFFFFF"/>
          </w:tcPr>
          <w:p w14:paraId="7CFC33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70487</w:t>
            </w:r>
          </w:p>
        </w:tc>
      </w:tr>
    </w:tbl>
    <w:p w14:paraId="000D3B5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Учитываются лишь истребители, выпущенные в 1939—1945 гг., суммарное про</w:t>
      </w:r>
      <w:r w:rsidRPr="00640820">
        <w:rPr>
          <w:rFonts w:ascii="Times New Roman" w:hAnsi="Times New Roman"/>
          <w:color w:val="000000" w:themeColor="text1"/>
          <w:sz w:val="16"/>
          <w:szCs w:val="16"/>
        </w:rPr>
        <w:softHyphen/>
        <w:t>изводство И-15, И-153 и И-16 было много больше.</w:t>
      </w:r>
    </w:p>
    <w:p w14:paraId="16A91FD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Какие же выводы следуют из приведённых материалов? Разумеется, безусловными лидерами производства в годы Второй мировой войны были Як-9 и, в меньшей мере, Ла-5. Можно сказать, что именно эти два самолёта вынесли на сво</w:t>
      </w:r>
      <w:r w:rsidRPr="00640820">
        <w:rPr>
          <w:rFonts w:ascii="Times New Roman" w:hAnsi="Times New Roman"/>
          <w:color w:val="000000" w:themeColor="text1"/>
          <w:sz w:val="16"/>
          <w:szCs w:val="16"/>
        </w:rPr>
        <w:softHyphen/>
        <w:t>их плечах основную тяжесть воздушной войны на советско- германском фронте. Однако, с учётом всех машин, ведущих своё происхождение от Як-1, следует признать, что именно яковлевские модели составляли костяк истребительной авиа</w:t>
      </w:r>
      <w:r w:rsidRPr="00640820">
        <w:rPr>
          <w:rFonts w:ascii="Times New Roman" w:hAnsi="Times New Roman"/>
          <w:color w:val="000000" w:themeColor="text1"/>
          <w:sz w:val="16"/>
          <w:szCs w:val="16"/>
        </w:rPr>
        <w:softHyphen/>
        <w:t>ции СССР в годы войны.</w:t>
      </w:r>
    </w:p>
    <w:p w14:paraId="713742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этой связи будет небезынтересно оценить вклад в сум</w:t>
      </w:r>
      <w:r w:rsidRPr="00640820">
        <w:rPr>
          <w:rFonts w:ascii="Times New Roman" w:hAnsi="Times New Roman"/>
          <w:color w:val="000000" w:themeColor="text1"/>
          <w:sz w:val="16"/>
          <w:szCs w:val="16"/>
        </w:rPr>
        <w:softHyphen/>
        <w:t>марный авиавыпуск отдельных КБ.</w:t>
      </w:r>
    </w:p>
    <w:p w14:paraId="6FF6E7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rPr>
        <w:t xml:space="preserve">Производство самолётов и моторов в 1940—1944 гг. по КБ (штук) (РГАЭ. Ф. 8044. </w:t>
      </w:r>
      <w:r w:rsidRPr="00640820">
        <w:rPr>
          <w:rFonts w:ascii="Times New Roman" w:hAnsi="Times New Roman"/>
          <w:color w:val="000000" w:themeColor="text1"/>
          <w:sz w:val="16"/>
          <w:szCs w:val="16"/>
          <w:lang w:val="en-US"/>
        </w:rPr>
        <w:t>On. 1. Д. 2976. Л. 13—14)</w:t>
      </w:r>
    </w:p>
    <w:tbl>
      <w:tblPr>
        <w:tblW w:w="0" w:type="auto"/>
        <w:tblInd w:w="8" w:type="dxa"/>
        <w:tblLayout w:type="fixed"/>
        <w:tblCellMar>
          <w:left w:w="0" w:type="dxa"/>
          <w:right w:w="0" w:type="dxa"/>
        </w:tblCellMar>
        <w:tblLook w:val="0000" w:firstRow="0" w:lastRow="0" w:firstColumn="0" w:lastColumn="0" w:noHBand="0" w:noVBand="0"/>
      </w:tblPr>
      <w:tblGrid>
        <w:gridCol w:w="2971"/>
        <w:gridCol w:w="2971"/>
      </w:tblGrid>
      <w:tr w:rsidR="00643896" w:rsidRPr="00640820" w14:paraId="6E80DC42" w14:textId="77777777" w:rsidTr="000D3BCB">
        <w:trPr>
          <w:trHeight w:val="298"/>
        </w:trPr>
        <w:tc>
          <w:tcPr>
            <w:tcW w:w="5942" w:type="dxa"/>
            <w:gridSpan w:val="2"/>
            <w:tcBorders>
              <w:top w:val="single" w:sz="6" w:space="0" w:color="auto"/>
              <w:left w:val="single" w:sz="6" w:space="0" w:color="auto"/>
              <w:bottom w:val="single" w:sz="6" w:space="0" w:color="auto"/>
              <w:right w:val="single" w:sz="6" w:space="0" w:color="auto"/>
            </w:tcBorders>
            <w:shd w:val="clear" w:color="auto" w:fill="FFFFFF"/>
          </w:tcPr>
          <w:p w14:paraId="6E19CA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Самолётов</w:t>
            </w:r>
          </w:p>
        </w:tc>
      </w:tr>
      <w:tr w:rsidR="00643896" w:rsidRPr="00640820" w14:paraId="79C641F9" w14:textId="77777777" w:rsidTr="000D3BCB">
        <w:trPr>
          <w:trHeight w:val="278"/>
        </w:trPr>
        <w:tc>
          <w:tcPr>
            <w:tcW w:w="2971" w:type="dxa"/>
            <w:tcBorders>
              <w:top w:val="single" w:sz="6" w:space="0" w:color="auto"/>
              <w:left w:val="single" w:sz="6" w:space="0" w:color="auto"/>
              <w:bottom w:val="single" w:sz="6" w:space="0" w:color="auto"/>
              <w:right w:val="single" w:sz="6" w:space="0" w:color="auto"/>
            </w:tcBorders>
            <w:shd w:val="clear" w:color="auto" w:fill="FFFFFF"/>
          </w:tcPr>
          <w:p w14:paraId="608EBD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Микоян</w:t>
            </w:r>
          </w:p>
        </w:tc>
        <w:tc>
          <w:tcPr>
            <w:tcW w:w="2971" w:type="dxa"/>
            <w:tcBorders>
              <w:top w:val="single" w:sz="6" w:space="0" w:color="auto"/>
              <w:left w:val="single" w:sz="6" w:space="0" w:color="auto"/>
              <w:bottom w:val="single" w:sz="6" w:space="0" w:color="auto"/>
              <w:right w:val="single" w:sz="6" w:space="0" w:color="auto"/>
            </w:tcBorders>
            <w:shd w:val="clear" w:color="auto" w:fill="FFFFFF"/>
          </w:tcPr>
          <w:p w14:paraId="5F0C66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smallCaps/>
                <w:color w:val="000000" w:themeColor="text1"/>
                <w:sz w:val="16"/>
                <w:szCs w:val="16"/>
                <w:lang w:val="en-US"/>
              </w:rPr>
              <w:t>3178</w:t>
            </w:r>
          </w:p>
        </w:tc>
      </w:tr>
      <w:tr w:rsidR="00643896" w:rsidRPr="00640820" w14:paraId="334B5E09" w14:textId="77777777" w:rsidTr="000D3BCB">
        <w:trPr>
          <w:trHeight w:val="283"/>
        </w:trPr>
        <w:tc>
          <w:tcPr>
            <w:tcW w:w="2971" w:type="dxa"/>
            <w:tcBorders>
              <w:top w:val="single" w:sz="6" w:space="0" w:color="auto"/>
              <w:left w:val="single" w:sz="6" w:space="0" w:color="auto"/>
              <w:bottom w:val="single" w:sz="6" w:space="0" w:color="auto"/>
              <w:right w:val="single" w:sz="6" w:space="0" w:color="auto"/>
            </w:tcBorders>
            <w:shd w:val="clear" w:color="auto" w:fill="FFFFFF"/>
          </w:tcPr>
          <w:p w14:paraId="45DDF4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Лавочкин</w:t>
            </w:r>
          </w:p>
        </w:tc>
        <w:tc>
          <w:tcPr>
            <w:tcW w:w="2971" w:type="dxa"/>
            <w:tcBorders>
              <w:top w:val="single" w:sz="6" w:space="0" w:color="auto"/>
              <w:left w:val="single" w:sz="6" w:space="0" w:color="auto"/>
              <w:bottom w:val="single" w:sz="6" w:space="0" w:color="auto"/>
              <w:right w:val="single" w:sz="6" w:space="0" w:color="auto"/>
            </w:tcBorders>
            <w:shd w:val="clear" w:color="auto" w:fill="FFFFFF"/>
          </w:tcPr>
          <w:p w14:paraId="6EEA73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smallCaps/>
                <w:color w:val="000000" w:themeColor="text1"/>
                <w:sz w:val="16"/>
                <w:szCs w:val="16"/>
                <w:lang w:val="en-US"/>
              </w:rPr>
              <w:t>18788</w:t>
            </w:r>
          </w:p>
        </w:tc>
      </w:tr>
      <w:tr w:rsidR="00643896" w:rsidRPr="00640820" w14:paraId="513267EF" w14:textId="77777777" w:rsidTr="000D3BCB">
        <w:trPr>
          <w:trHeight w:val="278"/>
        </w:trPr>
        <w:tc>
          <w:tcPr>
            <w:tcW w:w="2971" w:type="dxa"/>
            <w:tcBorders>
              <w:top w:val="single" w:sz="6" w:space="0" w:color="auto"/>
              <w:left w:val="single" w:sz="6" w:space="0" w:color="auto"/>
              <w:bottom w:val="single" w:sz="6" w:space="0" w:color="auto"/>
              <w:right w:val="single" w:sz="6" w:space="0" w:color="auto"/>
            </w:tcBorders>
            <w:shd w:val="clear" w:color="auto" w:fill="FFFFFF"/>
          </w:tcPr>
          <w:p w14:paraId="6D6343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Яковлев</w:t>
            </w:r>
          </w:p>
        </w:tc>
        <w:tc>
          <w:tcPr>
            <w:tcW w:w="2971" w:type="dxa"/>
            <w:tcBorders>
              <w:top w:val="single" w:sz="6" w:space="0" w:color="auto"/>
              <w:left w:val="single" w:sz="6" w:space="0" w:color="auto"/>
              <w:bottom w:val="single" w:sz="6" w:space="0" w:color="auto"/>
              <w:right w:val="single" w:sz="6" w:space="0" w:color="auto"/>
            </w:tcBorders>
            <w:shd w:val="clear" w:color="auto" w:fill="FFFFFF"/>
          </w:tcPr>
          <w:p w14:paraId="1416FE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smallCaps/>
                <w:color w:val="000000" w:themeColor="text1"/>
                <w:sz w:val="16"/>
                <w:szCs w:val="16"/>
                <w:lang w:val="en-US"/>
              </w:rPr>
              <w:t>27516</w:t>
            </w:r>
          </w:p>
        </w:tc>
      </w:tr>
      <w:tr w:rsidR="00643896" w:rsidRPr="00640820" w14:paraId="36C253A7" w14:textId="77777777" w:rsidTr="000D3BCB">
        <w:trPr>
          <w:trHeight w:val="283"/>
        </w:trPr>
        <w:tc>
          <w:tcPr>
            <w:tcW w:w="2971" w:type="dxa"/>
            <w:tcBorders>
              <w:top w:val="single" w:sz="6" w:space="0" w:color="auto"/>
              <w:left w:val="single" w:sz="6" w:space="0" w:color="auto"/>
              <w:bottom w:val="single" w:sz="6" w:space="0" w:color="auto"/>
              <w:right w:val="single" w:sz="6" w:space="0" w:color="auto"/>
            </w:tcBorders>
            <w:shd w:val="clear" w:color="auto" w:fill="FFFFFF"/>
          </w:tcPr>
          <w:p w14:paraId="15CA1D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Сухой</w:t>
            </w:r>
          </w:p>
        </w:tc>
        <w:tc>
          <w:tcPr>
            <w:tcW w:w="2971" w:type="dxa"/>
            <w:tcBorders>
              <w:top w:val="single" w:sz="6" w:space="0" w:color="auto"/>
              <w:left w:val="single" w:sz="6" w:space="0" w:color="auto"/>
              <w:bottom w:val="single" w:sz="6" w:space="0" w:color="auto"/>
              <w:right w:val="single" w:sz="6" w:space="0" w:color="auto"/>
            </w:tcBorders>
            <w:shd w:val="clear" w:color="auto" w:fill="FFFFFF"/>
          </w:tcPr>
          <w:p w14:paraId="05E17E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smallCaps/>
                <w:color w:val="000000" w:themeColor="text1"/>
                <w:sz w:val="16"/>
                <w:szCs w:val="16"/>
                <w:lang w:val="en-US"/>
              </w:rPr>
              <w:t>893</w:t>
            </w:r>
          </w:p>
        </w:tc>
      </w:tr>
      <w:tr w:rsidR="00643896" w:rsidRPr="00640820" w14:paraId="17A4D261" w14:textId="77777777" w:rsidTr="000D3BCB">
        <w:trPr>
          <w:trHeight w:val="283"/>
        </w:trPr>
        <w:tc>
          <w:tcPr>
            <w:tcW w:w="2971" w:type="dxa"/>
            <w:tcBorders>
              <w:top w:val="single" w:sz="6" w:space="0" w:color="auto"/>
              <w:left w:val="single" w:sz="6" w:space="0" w:color="auto"/>
              <w:bottom w:val="single" w:sz="6" w:space="0" w:color="auto"/>
              <w:right w:val="single" w:sz="6" w:space="0" w:color="auto"/>
            </w:tcBorders>
            <w:shd w:val="clear" w:color="auto" w:fill="FFFFFF"/>
          </w:tcPr>
          <w:p w14:paraId="580FFD9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Архангельский</w:t>
            </w:r>
          </w:p>
        </w:tc>
        <w:tc>
          <w:tcPr>
            <w:tcW w:w="2971" w:type="dxa"/>
            <w:tcBorders>
              <w:top w:val="single" w:sz="6" w:space="0" w:color="auto"/>
              <w:left w:val="single" w:sz="6" w:space="0" w:color="auto"/>
              <w:bottom w:val="single" w:sz="6" w:space="0" w:color="auto"/>
              <w:right w:val="single" w:sz="6" w:space="0" w:color="auto"/>
            </w:tcBorders>
            <w:shd w:val="clear" w:color="auto" w:fill="FFFFFF"/>
          </w:tcPr>
          <w:p w14:paraId="788168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smallCaps/>
                <w:color w:val="000000" w:themeColor="text1"/>
                <w:sz w:val="16"/>
                <w:szCs w:val="16"/>
                <w:lang w:val="en-US"/>
              </w:rPr>
              <w:t>2217</w:t>
            </w:r>
          </w:p>
        </w:tc>
      </w:tr>
      <w:tr w:rsidR="00643896" w:rsidRPr="00640820" w14:paraId="5F9E4A98" w14:textId="77777777" w:rsidTr="000D3BCB">
        <w:trPr>
          <w:trHeight w:val="278"/>
        </w:trPr>
        <w:tc>
          <w:tcPr>
            <w:tcW w:w="2971" w:type="dxa"/>
            <w:tcBorders>
              <w:top w:val="single" w:sz="6" w:space="0" w:color="auto"/>
              <w:left w:val="single" w:sz="6" w:space="0" w:color="auto"/>
              <w:bottom w:val="single" w:sz="6" w:space="0" w:color="auto"/>
              <w:right w:val="single" w:sz="6" w:space="0" w:color="auto"/>
            </w:tcBorders>
            <w:shd w:val="clear" w:color="auto" w:fill="FFFFFF"/>
          </w:tcPr>
          <w:p w14:paraId="292796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Туполев</w:t>
            </w:r>
          </w:p>
        </w:tc>
        <w:tc>
          <w:tcPr>
            <w:tcW w:w="2971" w:type="dxa"/>
            <w:tcBorders>
              <w:top w:val="single" w:sz="6" w:space="0" w:color="auto"/>
              <w:left w:val="single" w:sz="6" w:space="0" w:color="auto"/>
              <w:bottom w:val="single" w:sz="6" w:space="0" w:color="auto"/>
              <w:right w:val="single" w:sz="6" w:space="0" w:color="auto"/>
            </w:tcBorders>
            <w:shd w:val="clear" w:color="auto" w:fill="FFFFFF"/>
          </w:tcPr>
          <w:p w14:paraId="6EC390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smallCaps/>
                <w:color w:val="000000" w:themeColor="text1"/>
                <w:sz w:val="16"/>
                <w:szCs w:val="16"/>
                <w:lang w:val="en-US"/>
              </w:rPr>
              <w:t>4896</w:t>
            </w:r>
          </w:p>
        </w:tc>
      </w:tr>
      <w:tr w:rsidR="00643896" w:rsidRPr="00640820" w14:paraId="576D5CAA" w14:textId="77777777" w:rsidTr="000D3BCB">
        <w:trPr>
          <w:trHeight w:val="278"/>
        </w:trPr>
        <w:tc>
          <w:tcPr>
            <w:tcW w:w="2971" w:type="dxa"/>
            <w:tcBorders>
              <w:top w:val="single" w:sz="6" w:space="0" w:color="auto"/>
              <w:left w:val="single" w:sz="6" w:space="0" w:color="auto"/>
              <w:bottom w:val="single" w:sz="6" w:space="0" w:color="auto"/>
              <w:right w:val="single" w:sz="6" w:space="0" w:color="auto"/>
            </w:tcBorders>
            <w:shd w:val="clear" w:color="auto" w:fill="FFFFFF"/>
          </w:tcPr>
          <w:p w14:paraId="56A09F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Петтт»</w:t>
            </w:r>
          </w:p>
        </w:tc>
        <w:tc>
          <w:tcPr>
            <w:tcW w:w="2971" w:type="dxa"/>
            <w:tcBorders>
              <w:top w:val="single" w:sz="6" w:space="0" w:color="auto"/>
              <w:left w:val="single" w:sz="6" w:space="0" w:color="auto"/>
              <w:bottom w:val="single" w:sz="6" w:space="0" w:color="auto"/>
              <w:right w:val="single" w:sz="6" w:space="0" w:color="auto"/>
            </w:tcBorders>
            <w:shd w:val="clear" w:color="auto" w:fill="FFFFFF"/>
          </w:tcPr>
          <w:p w14:paraId="6B2076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smallCaps/>
                <w:color w:val="000000" w:themeColor="text1"/>
                <w:sz w:val="16"/>
                <w:szCs w:val="16"/>
                <w:lang w:val="en-US"/>
              </w:rPr>
              <w:t>9562</w:t>
            </w:r>
          </w:p>
        </w:tc>
      </w:tr>
      <w:tr w:rsidR="00643896" w:rsidRPr="00640820" w14:paraId="5B1113DB" w14:textId="77777777" w:rsidTr="000D3BCB">
        <w:trPr>
          <w:trHeight w:val="283"/>
        </w:trPr>
        <w:tc>
          <w:tcPr>
            <w:tcW w:w="2971" w:type="dxa"/>
            <w:tcBorders>
              <w:top w:val="single" w:sz="6" w:space="0" w:color="auto"/>
              <w:left w:val="single" w:sz="6" w:space="0" w:color="auto"/>
              <w:bottom w:val="single" w:sz="6" w:space="0" w:color="auto"/>
              <w:right w:val="single" w:sz="6" w:space="0" w:color="auto"/>
            </w:tcBorders>
            <w:shd w:val="clear" w:color="auto" w:fill="FFFFFF"/>
          </w:tcPr>
          <w:p w14:paraId="1988D0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smallCaps/>
                <w:color w:val="000000" w:themeColor="text1"/>
                <w:sz w:val="16"/>
                <w:szCs w:val="16"/>
                <w:lang w:val="en-US"/>
              </w:rPr>
              <w:t>Ильюшин</w:t>
            </w:r>
          </w:p>
        </w:tc>
        <w:tc>
          <w:tcPr>
            <w:tcW w:w="2971" w:type="dxa"/>
            <w:tcBorders>
              <w:top w:val="single" w:sz="6" w:space="0" w:color="auto"/>
              <w:left w:val="single" w:sz="6" w:space="0" w:color="auto"/>
              <w:bottom w:val="single" w:sz="6" w:space="0" w:color="auto"/>
              <w:right w:val="single" w:sz="6" w:space="0" w:color="auto"/>
            </w:tcBorders>
            <w:shd w:val="clear" w:color="auto" w:fill="FFFFFF"/>
          </w:tcPr>
          <w:p w14:paraId="30C044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smallCaps/>
                <w:color w:val="000000" w:themeColor="text1"/>
                <w:sz w:val="16"/>
                <w:szCs w:val="16"/>
                <w:lang w:val="en-US"/>
              </w:rPr>
              <w:t>31664</w:t>
            </w:r>
          </w:p>
        </w:tc>
      </w:tr>
      <w:tr w:rsidR="00643896" w:rsidRPr="00640820" w14:paraId="0A30C87B" w14:textId="77777777" w:rsidTr="000D3BCB">
        <w:trPr>
          <w:trHeight w:val="221"/>
        </w:trPr>
        <w:tc>
          <w:tcPr>
            <w:tcW w:w="5942" w:type="dxa"/>
            <w:gridSpan w:val="2"/>
            <w:tcBorders>
              <w:top w:val="single" w:sz="6" w:space="0" w:color="auto"/>
              <w:left w:val="single" w:sz="6" w:space="0" w:color="auto"/>
              <w:bottom w:val="single" w:sz="6" w:space="0" w:color="auto"/>
              <w:right w:val="single" w:sz="6" w:space="0" w:color="auto"/>
            </w:tcBorders>
            <w:shd w:val="clear" w:color="auto" w:fill="FFFFFF"/>
          </w:tcPr>
          <w:p w14:paraId="393390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Могаров</w:t>
            </w:r>
          </w:p>
        </w:tc>
      </w:tr>
      <w:tr w:rsidR="00643896" w:rsidRPr="00640820" w14:paraId="62DD7845" w14:textId="77777777" w:rsidTr="000D3BCB">
        <w:trPr>
          <w:trHeight w:val="221"/>
        </w:trPr>
        <w:tc>
          <w:tcPr>
            <w:tcW w:w="2971" w:type="dxa"/>
            <w:tcBorders>
              <w:top w:val="single" w:sz="6" w:space="0" w:color="auto"/>
              <w:left w:val="single" w:sz="6" w:space="0" w:color="auto"/>
              <w:bottom w:val="single" w:sz="6" w:space="0" w:color="auto"/>
              <w:right w:val="single" w:sz="6" w:space="0" w:color="auto"/>
            </w:tcBorders>
            <w:shd w:val="clear" w:color="auto" w:fill="FFFFFF"/>
          </w:tcPr>
          <w:p w14:paraId="0C87CE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Швецов</w:t>
            </w:r>
          </w:p>
        </w:tc>
        <w:tc>
          <w:tcPr>
            <w:tcW w:w="2971" w:type="dxa"/>
            <w:tcBorders>
              <w:top w:val="single" w:sz="6" w:space="0" w:color="auto"/>
              <w:left w:val="single" w:sz="6" w:space="0" w:color="auto"/>
              <w:bottom w:val="single" w:sz="6" w:space="0" w:color="auto"/>
              <w:right w:val="single" w:sz="6" w:space="0" w:color="auto"/>
            </w:tcBorders>
            <w:shd w:val="clear" w:color="auto" w:fill="FFFFFF"/>
          </w:tcPr>
          <w:p w14:paraId="50FBB1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smallCaps/>
                <w:color w:val="000000" w:themeColor="text1"/>
                <w:sz w:val="16"/>
                <w:szCs w:val="16"/>
                <w:lang w:val="en-US"/>
              </w:rPr>
              <w:t>29562</w:t>
            </w:r>
          </w:p>
        </w:tc>
      </w:tr>
      <w:tr w:rsidR="00643896" w:rsidRPr="00640820" w14:paraId="7D921300" w14:textId="77777777" w:rsidTr="000D3BCB">
        <w:trPr>
          <w:trHeight w:val="283"/>
        </w:trPr>
        <w:tc>
          <w:tcPr>
            <w:tcW w:w="2971" w:type="dxa"/>
            <w:tcBorders>
              <w:top w:val="single" w:sz="6" w:space="0" w:color="auto"/>
              <w:left w:val="single" w:sz="6" w:space="0" w:color="auto"/>
              <w:bottom w:val="single" w:sz="6" w:space="0" w:color="auto"/>
              <w:right w:val="single" w:sz="6" w:space="0" w:color="auto"/>
            </w:tcBorders>
            <w:shd w:val="clear" w:color="auto" w:fill="FFFFFF"/>
          </w:tcPr>
          <w:p w14:paraId="655BD1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Микулин</w:t>
            </w:r>
          </w:p>
        </w:tc>
        <w:tc>
          <w:tcPr>
            <w:tcW w:w="2971" w:type="dxa"/>
            <w:tcBorders>
              <w:top w:val="single" w:sz="6" w:space="0" w:color="auto"/>
              <w:left w:val="single" w:sz="6" w:space="0" w:color="auto"/>
              <w:bottom w:val="single" w:sz="6" w:space="0" w:color="auto"/>
              <w:right w:val="single" w:sz="6" w:space="0" w:color="auto"/>
            </w:tcBorders>
            <w:shd w:val="clear" w:color="auto" w:fill="FFFFFF"/>
          </w:tcPr>
          <w:p w14:paraId="0E736F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smallCaps/>
                <w:color w:val="000000" w:themeColor="text1"/>
                <w:sz w:val="16"/>
                <w:szCs w:val="16"/>
                <w:lang w:val="en-US"/>
              </w:rPr>
              <w:t>41548</w:t>
            </w:r>
          </w:p>
        </w:tc>
      </w:tr>
      <w:tr w:rsidR="00643896" w:rsidRPr="00640820" w14:paraId="2C85D33D" w14:textId="77777777" w:rsidTr="000D3BCB">
        <w:trPr>
          <w:trHeight w:val="298"/>
        </w:trPr>
        <w:tc>
          <w:tcPr>
            <w:tcW w:w="2971" w:type="dxa"/>
            <w:tcBorders>
              <w:top w:val="single" w:sz="6" w:space="0" w:color="auto"/>
              <w:left w:val="single" w:sz="6" w:space="0" w:color="auto"/>
              <w:bottom w:val="single" w:sz="6" w:space="0" w:color="auto"/>
              <w:right w:val="single" w:sz="6" w:space="0" w:color="auto"/>
            </w:tcBorders>
            <w:shd w:val="clear" w:color="auto" w:fill="FFFFFF"/>
          </w:tcPr>
          <w:p w14:paraId="67EFDE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Климов</w:t>
            </w:r>
          </w:p>
        </w:tc>
        <w:tc>
          <w:tcPr>
            <w:tcW w:w="2971" w:type="dxa"/>
            <w:tcBorders>
              <w:top w:val="single" w:sz="6" w:space="0" w:color="auto"/>
              <w:left w:val="single" w:sz="6" w:space="0" w:color="auto"/>
              <w:bottom w:val="single" w:sz="6" w:space="0" w:color="auto"/>
              <w:right w:val="single" w:sz="6" w:space="0" w:color="auto"/>
            </w:tcBorders>
            <w:shd w:val="clear" w:color="auto" w:fill="FFFFFF"/>
          </w:tcPr>
          <w:p w14:paraId="783536D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smallCaps/>
                <w:color w:val="000000" w:themeColor="text1"/>
                <w:sz w:val="16"/>
                <w:szCs w:val="16"/>
                <w:lang w:val="en-US"/>
              </w:rPr>
              <w:t>71131</w:t>
            </w:r>
          </w:p>
        </w:tc>
      </w:tr>
    </w:tbl>
    <w:p w14:paraId="25058B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Как видим, подавляющее большинство советских самолё</w:t>
      </w:r>
      <w:r w:rsidRPr="00640820">
        <w:rPr>
          <w:rFonts w:ascii="Times New Roman" w:hAnsi="Times New Roman"/>
          <w:color w:val="000000" w:themeColor="text1"/>
          <w:sz w:val="16"/>
          <w:szCs w:val="16"/>
        </w:rPr>
        <w:softHyphen/>
        <w:t>тов тех лет были сконструированы в КБ Ильюшина, Лавоч</w:t>
      </w:r>
      <w:r w:rsidRPr="00640820">
        <w:rPr>
          <w:rFonts w:ascii="Times New Roman" w:hAnsi="Times New Roman"/>
          <w:color w:val="000000" w:themeColor="text1"/>
          <w:sz w:val="16"/>
          <w:szCs w:val="16"/>
        </w:rPr>
        <w:softHyphen/>
        <w:t>кина и Яковлева. Среди конструкторов авиадвигателей при</w:t>
      </w:r>
      <w:r w:rsidRPr="00640820">
        <w:rPr>
          <w:rFonts w:ascii="Times New Roman" w:hAnsi="Times New Roman"/>
          <w:color w:val="000000" w:themeColor="text1"/>
          <w:sz w:val="16"/>
          <w:szCs w:val="16"/>
        </w:rPr>
        <w:softHyphen/>
        <w:t>знанным лидером был Климов.</w:t>
      </w:r>
    </w:p>
    <w:p w14:paraId="60D1EE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Впрочем, вернёмся к истребителям. Хотя выше мы отме</w:t>
      </w:r>
      <w:r w:rsidRPr="00640820">
        <w:rPr>
          <w:rFonts w:ascii="Times New Roman" w:hAnsi="Times New Roman"/>
          <w:color w:val="000000" w:themeColor="text1"/>
          <w:sz w:val="16"/>
          <w:szCs w:val="16"/>
        </w:rPr>
        <w:softHyphen/>
        <w:t>чали постепенный сход на нет моделей прошлого поколения, однако фактически истребители Поликарпова (И-15, И-153 и И-16) составляли 14 % от суммарного выпуска истребителей в годы Второй мировой войны. Хотя их производство и сошло на нет уже в 1941 г., но в строю они оставались много доль</w:t>
      </w:r>
      <w:r w:rsidRPr="00640820">
        <w:rPr>
          <w:rFonts w:ascii="Times New Roman" w:hAnsi="Times New Roman"/>
          <w:color w:val="000000" w:themeColor="text1"/>
          <w:sz w:val="16"/>
          <w:szCs w:val="16"/>
        </w:rPr>
        <w:softHyphen/>
        <w:t>ше. Причём объёмы годового выпуска И-16 и И-153 в 1940 г. росли и в абсолютных цифрах были сопоставимы с выпуском в 1941 г. МиГ-3 и Як-1. Практически весь выпуск И-16 был сосредоточен на заводе № 21, производство этой модели на заводе № 153 носило незначительный характер. И-153 выпу</w:t>
      </w:r>
      <w:r w:rsidRPr="00640820">
        <w:rPr>
          <w:rFonts w:ascii="Times New Roman" w:hAnsi="Times New Roman"/>
          <w:color w:val="000000" w:themeColor="text1"/>
          <w:sz w:val="16"/>
          <w:szCs w:val="16"/>
        </w:rPr>
        <w:softHyphen/>
        <w:t>скался на единственном заводе № 1.</w:t>
      </w:r>
    </w:p>
    <w:p w14:paraId="70A91E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Если проанализировать сдачу истребителей по годам, становится очевидным, что в 1939—1940 гг. основу истре</w:t>
      </w:r>
      <w:r w:rsidRPr="00640820">
        <w:rPr>
          <w:rFonts w:ascii="Times New Roman" w:hAnsi="Times New Roman"/>
          <w:color w:val="000000" w:themeColor="text1"/>
          <w:sz w:val="16"/>
          <w:szCs w:val="16"/>
        </w:rPr>
        <w:softHyphen/>
        <w:t>бительного выпуска составляли самолёты И-16, на которые приходилось соответственно 44 и 52 % всех истребителей, из</w:t>
      </w:r>
      <w:r w:rsidRPr="00640820">
        <w:rPr>
          <w:rFonts w:ascii="Times New Roman" w:hAnsi="Times New Roman"/>
          <w:color w:val="000000" w:themeColor="text1"/>
          <w:sz w:val="16"/>
          <w:szCs w:val="16"/>
        </w:rPr>
        <w:softHyphen/>
        <w:t>готовленных в тот год. В 1941 г. поставки истребителей при</w:t>
      </w:r>
      <w:r w:rsidRPr="00640820">
        <w:rPr>
          <w:rFonts w:ascii="Times New Roman" w:hAnsi="Times New Roman"/>
          <w:color w:val="000000" w:themeColor="text1"/>
          <w:sz w:val="16"/>
          <w:szCs w:val="16"/>
        </w:rPr>
        <w:softHyphen/>
        <w:t>няли форму «МиГ-3 (40 %), ЛаГТ-3 (32 %) и все остальные». На 1942 г. пальму первенства удерживал Як-1 (35 %), которо</w:t>
      </w:r>
      <w:r w:rsidRPr="00640820">
        <w:rPr>
          <w:rFonts w:ascii="Times New Roman" w:hAnsi="Times New Roman"/>
          <w:color w:val="000000" w:themeColor="text1"/>
          <w:sz w:val="16"/>
          <w:szCs w:val="16"/>
        </w:rPr>
        <w:softHyphen/>
        <w:t>му в затылок дышали ЛаГТ-3 (28 %) и Як-7 (23 %); однако в следующем, 1943 г., вперёд резко вырвался Ла-5, на который приходилось 33 % истребительного выпуска того года. Хотя на яшвлевские машины совокупно приходилось почти 60 %, раздробленность их выпуска на три официальные модели де</w:t>
      </w:r>
      <w:r w:rsidRPr="00640820">
        <w:rPr>
          <w:rFonts w:ascii="Times New Roman" w:hAnsi="Times New Roman"/>
          <w:color w:val="000000" w:themeColor="text1"/>
          <w:sz w:val="16"/>
          <w:szCs w:val="16"/>
        </w:rPr>
        <w:softHyphen/>
        <w:t>лал каждую из них лишь сравнительно малозначительной ча</w:t>
      </w:r>
      <w:r w:rsidRPr="00640820">
        <w:rPr>
          <w:rFonts w:ascii="Times New Roman" w:hAnsi="Times New Roman"/>
          <w:color w:val="000000" w:themeColor="text1"/>
          <w:sz w:val="16"/>
          <w:szCs w:val="16"/>
        </w:rPr>
        <w:softHyphen/>
        <w:t>стью истребительного авиавыпуска. Наконец, 1944—1945 гг. стали временем безраздельного доминирования в истреби</w:t>
      </w:r>
      <w:r w:rsidRPr="00640820">
        <w:rPr>
          <w:rFonts w:ascii="Times New Roman" w:hAnsi="Times New Roman"/>
          <w:color w:val="000000" w:themeColor="text1"/>
          <w:sz w:val="16"/>
          <w:szCs w:val="16"/>
        </w:rPr>
        <w:softHyphen/>
        <w:t>тельном авиавыпуске Як-9. На него приходилась почти по</w:t>
      </w:r>
      <w:r w:rsidRPr="00640820">
        <w:rPr>
          <w:rFonts w:ascii="Times New Roman" w:hAnsi="Times New Roman"/>
          <w:color w:val="000000" w:themeColor="text1"/>
          <w:sz w:val="16"/>
          <w:szCs w:val="16"/>
        </w:rPr>
        <w:softHyphen/>
        <w:t>ловина всех истребителей, изготовленных в эти годы. Вторая половина распределялась между Як-3 и истребителями Ла</w:t>
      </w:r>
      <w:r w:rsidRPr="00640820">
        <w:rPr>
          <w:rFonts w:ascii="Times New Roman" w:hAnsi="Times New Roman"/>
          <w:color w:val="000000" w:themeColor="text1"/>
          <w:sz w:val="16"/>
          <w:szCs w:val="16"/>
        </w:rPr>
        <w:softHyphen/>
        <w:t>вочкина.</w:t>
      </w:r>
    </w:p>
    <w:p w14:paraId="230830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Головным предприятием, обеспечивавшим львиную долю сдачи Як-1 на протяжении всего выпуска данной модели, был завод № 292, известный также как «Саркомбайн». Попыт</w:t>
      </w:r>
      <w:r w:rsidRPr="00640820">
        <w:rPr>
          <w:rFonts w:ascii="Times New Roman" w:hAnsi="Times New Roman"/>
          <w:color w:val="000000" w:themeColor="text1"/>
          <w:sz w:val="16"/>
          <w:szCs w:val="16"/>
        </w:rPr>
        <w:softHyphen/>
        <w:t>ки развернуть выпуск этого истребителя на заводах № 47 и 301 носили эпизодический характер. Як-7, наоборот, был начат освоением сразу на нескольких авиапредприятиях, но основная масса (76 %) самолётов этой модели была выпу</w:t>
      </w:r>
      <w:r w:rsidRPr="00640820">
        <w:rPr>
          <w:rFonts w:ascii="Times New Roman" w:hAnsi="Times New Roman"/>
          <w:color w:val="000000" w:themeColor="text1"/>
          <w:sz w:val="16"/>
          <w:szCs w:val="16"/>
        </w:rPr>
        <w:softHyphen/>
        <w:t>щена на заводе № 153. Як-9 в известной степени повторил судьбу Як-1. Головным предприятием, начавшим его освое</w:t>
      </w:r>
      <w:r w:rsidRPr="00640820">
        <w:rPr>
          <w:rFonts w:ascii="Times New Roman" w:hAnsi="Times New Roman"/>
          <w:color w:val="000000" w:themeColor="text1"/>
          <w:sz w:val="16"/>
          <w:szCs w:val="16"/>
        </w:rPr>
        <w:softHyphen/>
        <w:t>ние, стал завод № 153, на котором Як-9 постепенно сменял на конвейере Як-7. И именно это предприятие дало львиную долю истребителей данной модели. С другой стороны, мас</w:t>
      </w:r>
      <w:r w:rsidRPr="00640820">
        <w:rPr>
          <w:rFonts w:ascii="Times New Roman" w:hAnsi="Times New Roman"/>
          <w:color w:val="000000" w:themeColor="text1"/>
          <w:sz w:val="16"/>
          <w:szCs w:val="16"/>
        </w:rPr>
        <w:softHyphen/>
        <w:t>штабы выпуска этого истребителя были столь велики, что даже второстепенный, по меркам производства Як-9, завод № 166 произвёл почти 3,5 тыс. истребителей; что, в свою оче</w:t>
      </w:r>
      <w:r w:rsidRPr="00640820">
        <w:rPr>
          <w:rFonts w:ascii="Times New Roman" w:hAnsi="Times New Roman"/>
          <w:color w:val="000000" w:themeColor="text1"/>
          <w:sz w:val="16"/>
          <w:szCs w:val="16"/>
        </w:rPr>
        <w:softHyphen/>
        <w:t>редь, сопоставимо с суммарным выпуском МиГ-3 или И-153. Если Як-9 сменил Як-7 на заводе № 153, то Як-3 осуществил ту же смену в отношении Як-1 на заводе № 292; и именно это предприятие стало основным производителем (79 % суммар</w:t>
      </w:r>
      <w:r w:rsidRPr="00640820">
        <w:rPr>
          <w:rFonts w:ascii="Times New Roman" w:hAnsi="Times New Roman"/>
          <w:color w:val="000000" w:themeColor="text1"/>
          <w:sz w:val="16"/>
          <w:szCs w:val="16"/>
        </w:rPr>
        <w:softHyphen/>
        <w:t>ного выпуска) этой модели.</w:t>
      </w:r>
    </w:p>
    <w:p w14:paraId="0C3857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Свыше половины истребителей ЛаГГ-3 было произведено на заводе №21. Нет сомнения, что доля этого предприятия в суммарном выпуске данной модели была бы ещё больше, однако с 1942 г. завод № 21 переключился на выпуск Ла-5, а производство ЛаГГ-3 было оставлено лишь на второстепен</w:t>
      </w:r>
      <w:r w:rsidRPr="00640820">
        <w:rPr>
          <w:rFonts w:ascii="Times New Roman" w:hAnsi="Times New Roman"/>
          <w:color w:val="000000" w:themeColor="text1"/>
          <w:sz w:val="16"/>
          <w:szCs w:val="16"/>
        </w:rPr>
        <w:softHyphen/>
        <w:t>ном заводе №31, который и сдавал ЛаГГи до 1944 г. Что ка</w:t>
      </w:r>
      <w:r w:rsidRPr="00640820">
        <w:rPr>
          <w:rFonts w:ascii="Times New Roman" w:hAnsi="Times New Roman"/>
          <w:color w:val="000000" w:themeColor="text1"/>
          <w:sz w:val="16"/>
          <w:szCs w:val="16"/>
        </w:rPr>
        <w:softHyphen/>
        <w:t>сается Ла-5, то хотя в его производстве были задействованы 4 самолётостроительных завода, свыше 90 % самолётов этой модели было сдано всё тем же заводом № 21. В 1944 г. это предприятие перешло на выпуск Ла-7 и снова стало главным поставщиком этой модели. Если учесть, что МиГ-3 выпускал</w:t>
      </w:r>
      <w:r w:rsidRPr="00640820">
        <w:rPr>
          <w:rFonts w:ascii="Times New Roman" w:hAnsi="Times New Roman"/>
          <w:color w:val="000000" w:themeColor="text1"/>
          <w:sz w:val="16"/>
          <w:szCs w:val="16"/>
        </w:rPr>
        <w:softHyphen/>
        <w:t>ся на единственном заводе № 1, можно сделать вывод, что, по сути, все советские истребители выпускались по принципу «одна модель — один завод». Хотя большинство моделей ис</w:t>
      </w:r>
      <w:r w:rsidRPr="00640820">
        <w:rPr>
          <w:rFonts w:ascii="Times New Roman" w:hAnsi="Times New Roman"/>
          <w:color w:val="000000" w:themeColor="text1"/>
          <w:sz w:val="16"/>
          <w:szCs w:val="16"/>
        </w:rPr>
        <w:softHyphen/>
        <w:t>требителей производились сразу на нескольких предприяти</w:t>
      </w:r>
      <w:r w:rsidRPr="00640820">
        <w:rPr>
          <w:rFonts w:ascii="Times New Roman" w:hAnsi="Times New Roman"/>
          <w:color w:val="000000" w:themeColor="text1"/>
          <w:sz w:val="16"/>
          <w:szCs w:val="16"/>
        </w:rPr>
        <w:softHyphen/>
        <w:t>ях, фактически львиная доля производства каждой модели приходилась на единственный головной завод, который и обеспечивал от 75 до 90 % выпуска.</w:t>
      </w:r>
    </w:p>
    <w:p w14:paraId="6889E5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Пе-3 ни в один из годов войны не имел существенного значения для суммарного выпуска истребителей. В отличие от Германии, США и Великобритании, где двухмоторный истребитель, как правило, рассматривался в первую очередь как истребитель сопровождения дальних бомбардировщиков, Пе-3 в СССР выполнял обычно функцию барражирующего перехватчика ПВО. При этом большой запас топлива требо</w:t>
      </w:r>
      <w:r w:rsidRPr="00640820">
        <w:rPr>
          <w:rFonts w:ascii="Times New Roman" w:hAnsi="Times New Roman"/>
          <w:color w:val="000000" w:themeColor="text1"/>
          <w:sz w:val="16"/>
          <w:szCs w:val="16"/>
        </w:rPr>
        <w:softHyphen/>
        <w:t>вался не для полётов на большое расстояние, а для длительно</w:t>
      </w:r>
      <w:r w:rsidRPr="00640820">
        <w:rPr>
          <w:rFonts w:ascii="Times New Roman" w:hAnsi="Times New Roman"/>
          <w:color w:val="000000" w:themeColor="text1"/>
          <w:sz w:val="16"/>
          <w:szCs w:val="16"/>
        </w:rPr>
        <w:softHyphen/>
        <w:t>го барражирования над охраняемым объектом; а сравнитель</w:t>
      </w:r>
      <w:r w:rsidRPr="00640820">
        <w:rPr>
          <w:rFonts w:ascii="Times New Roman" w:hAnsi="Times New Roman"/>
          <w:color w:val="000000" w:themeColor="text1"/>
          <w:sz w:val="16"/>
          <w:szCs w:val="16"/>
        </w:rPr>
        <w:softHyphen/>
        <w:t>но мощное вооружение двухмоторной машины обеспечивало быстрое уничтожение неприятельского бомбардировщика. С течением времени стало очевидно, что подобные задачи мо</w:t>
      </w:r>
      <w:r w:rsidRPr="00640820">
        <w:rPr>
          <w:rFonts w:ascii="Times New Roman" w:hAnsi="Times New Roman"/>
          <w:color w:val="000000" w:themeColor="text1"/>
          <w:sz w:val="16"/>
          <w:szCs w:val="16"/>
        </w:rPr>
        <w:softHyphen/>
        <w:t>гут с успехом решать и намного более дешёвые истребители Яковлева—Як-9Т и Як-9Д, поэтому производство Пе-3 было свёрнуто (12011).</w:t>
      </w:r>
    </w:p>
    <w:p w14:paraId="0D33F1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CBEC0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1941 ди</w:t>
      </w:r>
      <w:r w:rsidRPr="00640820">
        <w:rPr>
          <w:rFonts w:ascii="Times New Roman" w:hAnsi="Times New Roman"/>
          <w:color w:val="000000" w:themeColor="text1"/>
          <w:sz w:val="16"/>
          <w:szCs w:val="16"/>
        </w:rPr>
        <w:softHyphen/>
        <w:t>намика модельного ряда бомбардировщиков претерпела существенные изменения:</w:t>
      </w:r>
    </w:p>
    <w:p w14:paraId="5CE1ED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Выпуск бомбардировщиков в годы Второй мировой войпы</w:t>
      </w:r>
    </w:p>
    <w:tbl>
      <w:tblPr>
        <w:tblW w:w="0" w:type="auto"/>
        <w:tblInd w:w="8" w:type="dxa"/>
        <w:tblLayout w:type="fixed"/>
        <w:tblCellMar>
          <w:left w:w="0" w:type="dxa"/>
          <w:right w:w="0" w:type="dxa"/>
        </w:tblCellMar>
        <w:tblLook w:val="0000" w:firstRow="0" w:lastRow="0" w:firstColumn="0" w:lastColumn="0" w:noHBand="0" w:noVBand="0"/>
      </w:tblPr>
      <w:tblGrid>
        <w:gridCol w:w="1378"/>
        <w:gridCol w:w="566"/>
        <w:gridCol w:w="566"/>
        <w:gridCol w:w="576"/>
        <w:gridCol w:w="566"/>
        <w:gridCol w:w="571"/>
        <w:gridCol w:w="571"/>
        <w:gridCol w:w="562"/>
        <w:gridCol w:w="586"/>
      </w:tblGrid>
      <w:tr w:rsidR="00643896" w:rsidRPr="00640820" w14:paraId="11CEB0E5" w14:textId="77777777" w:rsidTr="000D3BCB">
        <w:trPr>
          <w:trHeight w:val="235"/>
        </w:trPr>
        <w:tc>
          <w:tcPr>
            <w:tcW w:w="1378" w:type="dxa"/>
            <w:tcBorders>
              <w:top w:val="single" w:sz="6" w:space="0" w:color="auto"/>
              <w:left w:val="single" w:sz="6" w:space="0" w:color="auto"/>
              <w:bottom w:val="single" w:sz="6" w:space="0" w:color="auto"/>
              <w:right w:val="single" w:sz="6" w:space="0" w:color="auto"/>
            </w:tcBorders>
            <w:shd w:val="clear" w:color="auto" w:fill="FFFFFF"/>
          </w:tcPr>
          <w:p w14:paraId="625B85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C2E25C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1939</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16BF1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1940</w:t>
            </w:r>
          </w:p>
        </w:tc>
        <w:tc>
          <w:tcPr>
            <w:tcW w:w="576" w:type="dxa"/>
            <w:tcBorders>
              <w:top w:val="single" w:sz="6" w:space="0" w:color="auto"/>
              <w:left w:val="single" w:sz="6" w:space="0" w:color="auto"/>
              <w:bottom w:val="single" w:sz="6" w:space="0" w:color="auto"/>
              <w:right w:val="single" w:sz="6" w:space="0" w:color="auto"/>
            </w:tcBorders>
            <w:shd w:val="clear" w:color="auto" w:fill="FFFFFF"/>
          </w:tcPr>
          <w:p w14:paraId="65261D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25607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1942</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978F7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1943</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70C9AA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1944</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03AAA9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1945</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453B5F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Всего</w:t>
            </w:r>
          </w:p>
        </w:tc>
      </w:tr>
      <w:tr w:rsidR="00643896" w:rsidRPr="00640820" w14:paraId="7EB864FA" w14:textId="77777777" w:rsidTr="000D3BCB">
        <w:trPr>
          <w:trHeight w:val="221"/>
        </w:trPr>
        <w:tc>
          <w:tcPr>
            <w:tcW w:w="1378" w:type="dxa"/>
            <w:tcBorders>
              <w:top w:val="single" w:sz="6" w:space="0" w:color="auto"/>
              <w:left w:val="single" w:sz="6" w:space="0" w:color="auto"/>
              <w:bottom w:val="single" w:sz="6" w:space="0" w:color="auto"/>
              <w:right w:val="single" w:sz="6" w:space="0" w:color="auto"/>
            </w:tcBorders>
            <w:shd w:val="clear" w:color="auto" w:fill="FFFFFF"/>
          </w:tcPr>
          <w:p w14:paraId="41650B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Р-10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C862DB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331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29420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w:t>
            </w:r>
          </w:p>
        </w:tc>
        <w:tc>
          <w:tcPr>
            <w:tcW w:w="576" w:type="dxa"/>
            <w:tcBorders>
              <w:top w:val="single" w:sz="6" w:space="0" w:color="auto"/>
              <w:left w:val="single" w:sz="6" w:space="0" w:color="auto"/>
              <w:bottom w:val="single" w:sz="6" w:space="0" w:color="auto"/>
              <w:right w:val="single" w:sz="6" w:space="0" w:color="auto"/>
            </w:tcBorders>
            <w:shd w:val="clear" w:color="auto" w:fill="FFFFFF"/>
          </w:tcPr>
          <w:p w14:paraId="27A5B9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1BD5A7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E8F10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1718C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7C346A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01ED11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349»</w:t>
            </w:r>
          </w:p>
        </w:tc>
      </w:tr>
      <w:tr w:rsidR="00643896" w:rsidRPr="00640820" w14:paraId="6A3538C9" w14:textId="77777777" w:rsidTr="000D3BCB">
        <w:trPr>
          <w:trHeight w:val="221"/>
        </w:trPr>
        <w:tc>
          <w:tcPr>
            <w:tcW w:w="1378" w:type="dxa"/>
            <w:tcBorders>
              <w:top w:val="single" w:sz="6" w:space="0" w:color="auto"/>
              <w:left w:val="single" w:sz="6" w:space="0" w:color="auto"/>
              <w:bottom w:val="single" w:sz="6" w:space="0" w:color="auto"/>
              <w:right w:val="single" w:sz="6" w:space="0" w:color="auto"/>
            </w:tcBorders>
            <w:shd w:val="clear" w:color="auto" w:fill="FFFFFF"/>
          </w:tcPr>
          <w:p w14:paraId="0306BA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МДР-2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420CB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919A9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38</w:t>
            </w:r>
          </w:p>
        </w:tc>
        <w:tc>
          <w:tcPr>
            <w:tcW w:w="576" w:type="dxa"/>
            <w:tcBorders>
              <w:top w:val="single" w:sz="6" w:space="0" w:color="auto"/>
              <w:left w:val="single" w:sz="6" w:space="0" w:color="auto"/>
              <w:bottom w:val="single" w:sz="6" w:space="0" w:color="auto"/>
              <w:right w:val="single" w:sz="6" w:space="0" w:color="auto"/>
            </w:tcBorders>
            <w:shd w:val="clear" w:color="auto" w:fill="FFFFFF"/>
          </w:tcPr>
          <w:p w14:paraId="1882E2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03525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1E59D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20DF86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3A3829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178BD34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220</w:t>
            </w:r>
          </w:p>
        </w:tc>
      </w:tr>
      <w:tr w:rsidR="00643896" w:rsidRPr="00640820" w14:paraId="1D599DF0" w14:textId="77777777" w:rsidTr="000D3BCB">
        <w:trPr>
          <w:trHeight w:val="221"/>
        </w:trPr>
        <w:tc>
          <w:tcPr>
            <w:tcW w:w="1378" w:type="dxa"/>
            <w:tcBorders>
              <w:top w:val="single" w:sz="6" w:space="0" w:color="auto"/>
              <w:left w:val="single" w:sz="6" w:space="0" w:color="auto"/>
              <w:bottom w:val="single" w:sz="6" w:space="0" w:color="auto"/>
              <w:right w:val="single" w:sz="6" w:space="0" w:color="auto"/>
            </w:tcBorders>
            <w:shd w:val="clear" w:color="auto" w:fill="FFFFFF"/>
          </w:tcPr>
          <w:p w14:paraId="16D069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ДБ-3/ДБ-ЗФ(Ил-4)</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4752E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959</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E8BC9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1106</w:t>
            </w:r>
          </w:p>
        </w:tc>
        <w:tc>
          <w:tcPr>
            <w:tcW w:w="576" w:type="dxa"/>
            <w:tcBorders>
              <w:top w:val="single" w:sz="6" w:space="0" w:color="auto"/>
              <w:left w:val="single" w:sz="6" w:space="0" w:color="auto"/>
              <w:bottom w:val="single" w:sz="6" w:space="0" w:color="auto"/>
              <w:right w:val="single" w:sz="6" w:space="0" w:color="auto"/>
            </w:tcBorders>
            <w:shd w:val="clear" w:color="auto" w:fill="FFFFFF"/>
          </w:tcPr>
          <w:p w14:paraId="43B6B3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757</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30624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858</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2DBF259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1568</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912E1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706</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044EF5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485</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643D43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6439</w:t>
            </w:r>
          </w:p>
        </w:tc>
      </w:tr>
      <w:tr w:rsidR="00643896" w:rsidRPr="00640820" w14:paraId="4C4BBC8D" w14:textId="77777777" w:rsidTr="000D3BCB">
        <w:trPr>
          <w:trHeight w:val="221"/>
        </w:trPr>
        <w:tc>
          <w:tcPr>
            <w:tcW w:w="1378" w:type="dxa"/>
            <w:tcBorders>
              <w:top w:val="single" w:sz="6" w:space="0" w:color="auto"/>
              <w:left w:val="single" w:sz="6" w:space="0" w:color="auto"/>
              <w:bottom w:val="single" w:sz="6" w:space="0" w:color="auto"/>
              <w:right w:val="single" w:sz="6" w:space="0" w:color="auto"/>
            </w:tcBorders>
            <w:shd w:val="clear" w:color="auto" w:fill="FFFFFF"/>
          </w:tcPr>
          <w:p w14:paraId="120CB7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СБ</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CD98C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1778</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10EF26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2195</w:t>
            </w:r>
          </w:p>
        </w:tc>
        <w:tc>
          <w:tcPr>
            <w:tcW w:w="576" w:type="dxa"/>
            <w:tcBorders>
              <w:top w:val="single" w:sz="6" w:space="0" w:color="auto"/>
              <w:left w:val="single" w:sz="6" w:space="0" w:color="auto"/>
              <w:bottom w:val="single" w:sz="6" w:space="0" w:color="auto"/>
              <w:right w:val="single" w:sz="6" w:space="0" w:color="auto"/>
            </w:tcBorders>
            <w:shd w:val="clear" w:color="auto" w:fill="FFFFFF"/>
          </w:tcPr>
          <w:p w14:paraId="419DF7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237</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42315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0FB27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2E173A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4C3D72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6C6A7D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4210</w:t>
            </w:r>
          </w:p>
        </w:tc>
      </w:tr>
      <w:tr w:rsidR="00643896" w:rsidRPr="00640820" w14:paraId="6F4E71FA" w14:textId="77777777" w:rsidTr="000D3BCB">
        <w:trPr>
          <w:trHeight w:val="226"/>
        </w:trPr>
        <w:tc>
          <w:tcPr>
            <w:tcW w:w="1378" w:type="dxa"/>
            <w:tcBorders>
              <w:top w:val="single" w:sz="6" w:space="0" w:color="auto"/>
              <w:left w:val="single" w:sz="6" w:space="0" w:color="auto"/>
              <w:bottom w:val="single" w:sz="6" w:space="0" w:color="auto"/>
              <w:right w:val="single" w:sz="6" w:space="0" w:color="auto"/>
            </w:tcBorders>
            <w:shd w:val="clear" w:color="auto" w:fill="FFFFFF"/>
          </w:tcPr>
          <w:p w14:paraId="108D57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Су-2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196FE58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4C4CF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113</w:t>
            </w:r>
          </w:p>
        </w:tc>
        <w:tc>
          <w:tcPr>
            <w:tcW w:w="576" w:type="dxa"/>
            <w:tcBorders>
              <w:top w:val="single" w:sz="6" w:space="0" w:color="auto"/>
              <w:left w:val="single" w:sz="6" w:space="0" w:color="auto"/>
              <w:bottom w:val="single" w:sz="6" w:space="0" w:color="auto"/>
              <w:right w:val="single" w:sz="6" w:space="0" w:color="auto"/>
            </w:tcBorders>
            <w:shd w:val="clear" w:color="auto" w:fill="FFFFFF"/>
          </w:tcPr>
          <w:p w14:paraId="3D6A4C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724</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1FF35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26B109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70D41B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142C40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00B3083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877</w:t>
            </w:r>
          </w:p>
        </w:tc>
      </w:tr>
      <w:tr w:rsidR="00643896" w:rsidRPr="00640820" w14:paraId="651C8801" w14:textId="77777777" w:rsidTr="000D3BCB">
        <w:trPr>
          <w:trHeight w:val="221"/>
        </w:trPr>
        <w:tc>
          <w:tcPr>
            <w:tcW w:w="1378" w:type="dxa"/>
            <w:tcBorders>
              <w:top w:val="single" w:sz="6" w:space="0" w:color="auto"/>
              <w:left w:val="single" w:sz="6" w:space="0" w:color="auto"/>
              <w:bottom w:val="single" w:sz="6" w:space="0" w:color="auto"/>
              <w:right w:val="single" w:sz="6" w:space="0" w:color="auto"/>
            </w:tcBorders>
            <w:shd w:val="clear" w:color="auto" w:fill="FFFFFF"/>
          </w:tcPr>
          <w:p w14:paraId="2F7781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Дс4</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16BA7B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B1AC6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138</w:t>
            </w:r>
          </w:p>
        </w:tc>
        <w:tc>
          <w:tcPr>
            <w:tcW w:w="576" w:type="dxa"/>
            <w:tcBorders>
              <w:top w:val="single" w:sz="6" w:space="0" w:color="auto"/>
              <w:left w:val="single" w:sz="6" w:space="0" w:color="auto"/>
              <w:bottom w:val="single" w:sz="6" w:space="0" w:color="auto"/>
              <w:right w:val="single" w:sz="6" w:space="0" w:color="auto"/>
            </w:tcBorders>
            <w:shd w:val="clear" w:color="auto" w:fill="FFFFFF"/>
          </w:tcPr>
          <w:p w14:paraId="1D4A36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63</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320D3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D70258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25DCA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5335F0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574AA1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201</w:t>
            </w:r>
          </w:p>
        </w:tc>
      </w:tr>
      <w:tr w:rsidR="00643896" w:rsidRPr="00640820" w14:paraId="606AA2D6" w14:textId="77777777" w:rsidTr="000D3BCB">
        <w:trPr>
          <w:trHeight w:val="221"/>
        </w:trPr>
        <w:tc>
          <w:tcPr>
            <w:tcW w:w="1378" w:type="dxa"/>
            <w:tcBorders>
              <w:top w:val="single" w:sz="6" w:space="0" w:color="auto"/>
              <w:left w:val="single" w:sz="6" w:space="0" w:color="auto"/>
              <w:bottom w:val="single" w:sz="6" w:space="0" w:color="auto"/>
              <w:right w:val="single" w:sz="6" w:space="0" w:color="auto"/>
            </w:tcBorders>
            <w:shd w:val="clear" w:color="auto" w:fill="FFFFFF"/>
          </w:tcPr>
          <w:p w14:paraId="129A82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Че-2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C98D6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1E6F98E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w:t>
            </w:r>
          </w:p>
        </w:tc>
        <w:tc>
          <w:tcPr>
            <w:tcW w:w="576" w:type="dxa"/>
            <w:tcBorders>
              <w:top w:val="single" w:sz="6" w:space="0" w:color="auto"/>
              <w:left w:val="single" w:sz="6" w:space="0" w:color="auto"/>
              <w:bottom w:val="single" w:sz="6" w:space="0" w:color="auto"/>
              <w:right w:val="single" w:sz="6" w:space="0" w:color="auto"/>
            </w:tcBorders>
            <w:shd w:val="clear" w:color="auto" w:fill="FFFFFF"/>
          </w:tcPr>
          <w:p w14:paraId="3A491C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1DAF5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7FB64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25BEC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0B7F916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37F8D7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w:t>
            </w:r>
          </w:p>
        </w:tc>
      </w:tr>
      <w:tr w:rsidR="00643896" w:rsidRPr="00640820" w14:paraId="470C4865" w14:textId="77777777" w:rsidTr="000D3BCB">
        <w:trPr>
          <w:trHeight w:val="221"/>
        </w:trPr>
        <w:tc>
          <w:tcPr>
            <w:tcW w:w="1378" w:type="dxa"/>
            <w:tcBorders>
              <w:top w:val="single" w:sz="6" w:space="0" w:color="auto"/>
              <w:left w:val="single" w:sz="6" w:space="0" w:color="auto"/>
              <w:bottom w:val="single" w:sz="6" w:space="0" w:color="auto"/>
              <w:right w:val="single" w:sz="6" w:space="0" w:color="auto"/>
            </w:tcBorders>
            <w:shd w:val="clear" w:color="auto" w:fill="FFFFFF"/>
          </w:tcPr>
          <w:p w14:paraId="75F5D1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Пе-2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26D02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B05A0C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576" w:type="dxa"/>
            <w:tcBorders>
              <w:top w:val="single" w:sz="6" w:space="0" w:color="auto"/>
              <w:left w:val="single" w:sz="6" w:space="0" w:color="auto"/>
              <w:bottom w:val="single" w:sz="6" w:space="0" w:color="auto"/>
              <w:right w:val="single" w:sz="6" w:space="0" w:color="auto"/>
            </w:tcBorders>
            <w:shd w:val="clear" w:color="auto" w:fill="FFFFFF"/>
          </w:tcPr>
          <w:p w14:paraId="01F58F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1671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486EF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2524</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78D0E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2428</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96C7A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2944</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61A8FD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1634</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2B03AC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11202</w:t>
            </w:r>
          </w:p>
        </w:tc>
      </w:tr>
      <w:tr w:rsidR="00643896" w:rsidRPr="00640820" w14:paraId="01CC465D" w14:textId="77777777" w:rsidTr="000D3BCB">
        <w:trPr>
          <w:trHeight w:val="226"/>
        </w:trPr>
        <w:tc>
          <w:tcPr>
            <w:tcW w:w="1378" w:type="dxa"/>
            <w:tcBorders>
              <w:top w:val="single" w:sz="6" w:space="0" w:color="auto"/>
              <w:left w:val="single" w:sz="6" w:space="0" w:color="auto"/>
              <w:bottom w:val="single" w:sz="6" w:space="0" w:color="auto"/>
              <w:right w:val="single" w:sz="6" w:space="0" w:color="auto"/>
            </w:tcBorders>
            <w:shd w:val="clear" w:color="auto" w:fill="FFFFFF"/>
          </w:tcPr>
          <w:p w14:paraId="3D4232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Пе-8</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FA82E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2030E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76" w:type="dxa"/>
            <w:tcBorders>
              <w:top w:val="single" w:sz="6" w:space="0" w:color="auto"/>
              <w:left w:val="single" w:sz="6" w:space="0" w:color="auto"/>
              <w:bottom w:val="single" w:sz="6" w:space="0" w:color="auto"/>
              <w:right w:val="single" w:sz="6" w:space="0" w:color="auto"/>
            </w:tcBorders>
            <w:shd w:val="clear" w:color="auto" w:fill="FFFFFF"/>
          </w:tcPr>
          <w:p w14:paraId="2A5659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23</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DA860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F8DD4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29</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F2F37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2164D5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346AD7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79</w:t>
            </w:r>
          </w:p>
        </w:tc>
      </w:tr>
      <w:tr w:rsidR="00643896" w:rsidRPr="00640820" w14:paraId="7FC8DE02" w14:textId="77777777" w:rsidTr="000D3BCB">
        <w:trPr>
          <w:trHeight w:val="221"/>
        </w:trPr>
        <w:tc>
          <w:tcPr>
            <w:tcW w:w="1378" w:type="dxa"/>
            <w:tcBorders>
              <w:top w:val="single" w:sz="6" w:space="0" w:color="auto"/>
              <w:left w:val="single" w:sz="6" w:space="0" w:color="auto"/>
              <w:bottom w:val="single" w:sz="6" w:space="0" w:color="auto"/>
              <w:right w:val="single" w:sz="6" w:space="0" w:color="auto"/>
            </w:tcBorders>
            <w:shd w:val="clear" w:color="auto" w:fill="FFFFFF"/>
          </w:tcPr>
          <w:p w14:paraId="14B41F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Бр-2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D34AF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94DE7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76" w:type="dxa"/>
            <w:tcBorders>
              <w:top w:val="single" w:sz="6" w:space="0" w:color="auto"/>
              <w:left w:val="single" w:sz="6" w:space="0" w:color="auto"/>
              <w:bottom w:val="single" w:sz="6" w:space="0" w:color="auto"/>
              <w:right w:val="single" w:sz="6" w:space="0" w:color="auto"/>
            </w:tcBorders>
            <w:shd w:val="clear" w:color="auto" w:fill="FFFFFF"/>
          </w:tcPr>
          <w:p w14:paraId="4CAE298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07C8D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54A06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3DA0C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148</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2F0C8C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241</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0F6DBB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462</w:t>
            </w:r>
          </w:p>
        </w:tc>
      </w:tr>
      <w:tr w:rsidR="00643896" w:rsidRPr="00640820" w14:paraId="7FAE6E4E" w14:textId="77777777" w:rsidTr="000D3BCB">
        <w:trPr>
          <w:trHeight w:val="221"/>
        </w:trPr>
        <w:tc>
          <w:tcPr>
            <w:tcW w:w="1378" w:type="dxa"/>
            <w:tcBorders>
              <w:top w:val="single" w:sz="6" w:space="0" w:color="auto"/>
              <w:left w:val="single" w:sz="6" w:space="0" w:color="auto"/>
              <w:bottom w:val="single" w:sz="6" w:space="0" w:color="auto"/>
              <w:right w:val="single" w:sz="6" w:space="0" w:color="auto"/>
            </w:tcBorders>
            <w:shd w:val="clear" w:color="auto" w:fill="FFFFFF"/>
          </w:tcPr>
          <w:p w14:paraId="57F9FF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Ту-2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CC970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6F4D33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76" w:type="dxa"/>
            <w:tcBorders>
              <w:top w:val="single" w:sz="6" w:space="0" w:color="auto"/>
              <w:left w:val="single" w:sz="6" w:space="0" w:color="auto"/>
              <w:bottom w:val="single" w:sz="6" w:space="0" w:color="auto"/>
              <w:right w:val="single" w:sz="6" w:space="0" w:color="auto"/>
            </w:tcBorders>
            <w:shd w:val="clear" w:color="auto" w:fill="FFFFFF"/>
          </w:tcPr>
          <w:p w14:paraId="39580F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26684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79</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1E3F7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19901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378</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35CBF2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742</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6C1F16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1216</w:t>
            </w:r>
          </w:p>
        </w:tc>
      </w:tr>
      <w:tr w:rsidR="00643896" w:rsidRPr="00640820" w14:paraId="013586D0" w14:textId="77777777" w:rsidTr="000D3BCB">
        <w:trPr>
          <w:trHeight w:val="240"/>
        </w:trPr>
        <w:tc>
          <w:tcPr>
            <w:tcW w:w="1378" w:type="dxa"/>
            <w:tcBorders>
              <w:top w:val="single" w:sz="6" w:space="0" w:color="auto"/>
              <w:left w:val="single" w:sz="6" w:space="0" w:color="auto"/>
              <w:bottom w:val="single" w:sz="6" w:space="0" w:color="auto"/>
              <w:right w:val="single" w:sz="6" w:space="0" w:color="auto"/>
            </w:tcBorders>
            <w:shd w:val="clear" w:color="auto" w:fill="FFFFFF"/>
          </w:tcPr>
          <w:p w14:paraId="61CAAF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Всего</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7C83D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3260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17F95B8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3622</w:t>
            </w:r>
          </w:p>
        </w:tc>
        <w:tc>
          <w:tcPr>
            <w:tcW w:w="576" w:type="dxa"/>
            <w:tcBorders>
              <w:top w:val="single" w:sz="6" w:space="0" w:color="auto"/>
              <w:left w:val="single" w:sz="6" w:space="0" w:color="auto"/>
              <w:bottom w:val="single" w:sz="6" w:space="0" w:color="auto"/>
              <w:right w:val="single" w:sz="6" w:space="0" w:color="auto"/>
            </w:tcBorders>
            <w:shd w:val="clear" w:color="auto" w:fill="FFFFFF"/>
          </w:tcPr>
          <w:p w14:paraId="54398F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3550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F3C6D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3523</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C3ABA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4044</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412C1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4181</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1EA0EF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3102</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1F0AED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25282</w:t>
            </w:r>
          </w:p>
        </w:tc>
      </w:tr>
    </w:tbl>
    <w:p w14:paraId="7D8180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•Учитываются лишь бомбардировщики, выпущенные в 1939—194</w:t>
      </w:r>
      <w:r w:rsidRPr="00640820">
        <w:rPr>
          <w:rFonts w:ascii="Times New Roman" w:hAnsi="Times New Roman"/>
          <w:color w:val="000000" w:themeColor="text1"/>
          <w:sz w:val="16"/>
          <w:szCs w:val="16"/>
          <w:lang w:val="en-US"/>
        </w:rPr>
        <w:t>S</w:t>
      </w:r>
      <w:r w:rsidRPr="00640820">
        <w:rPr>
          <w:rFonts w:ascii="Times New Roman" w:hAnsi="Times New Roman"/>
          <w:color w:val="000000" w:themeColor="text1"/>
          <w:sz w:val="16"/>
          <w:szCs w:val="16"/>
        </w:rPr>
        <w:t xml:space="preserve"> гг.</w:t>
      </w:r>
    </w:p>
    <w:p w14:paraId="6C323F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Следует отметить, что в отличие от истребителей, у кото</w:t>
      </w:r>
      <w:r w:rsidRPr="00640820">
        <w:rPr>
          <w:rFonts w:ascii="Times New Roman" w:hAnsi="Times New Roman"/>
          <w:color w:val="000000" w:themeColor="text1"/>
          <w:sz w:val="16"/>
          <w:szCs w:val="16"/>
        </w:rPr>
        <w:softHyphen/>
        <w:t>рых к 1941 г. полностью прекратилось производство моделей 1930-х годов, а к 1945 г. на конвейере не осталось ни одной модели 1941 г., в бомбардировочном авиавыпуске наблюдает</w:t>
      </w:r>
      <w:r w:rsidRPr="00640820">
        <w:rPr>
          <w:rFonts w:ascii="Times New Roman" w:hAnsi="Times New Roman"/>
          <w:color w:val="000000" w:themeColor="text1"/>
          <w:sz w:val="16"/>
          <w:szCs w:val="16"/>
        </w:rPr>
        <w:softHyphen/>
        <w:t>ся своеобразный долгожитель—ДБ-З/Ил-4, который, пройдя ряд модификаций, находился в производстве всю войну, не</w:t>
      </w:r>
      <w:r w:rsidRPr="00640820">
        <w:rPr>
          <w:rFonts w:ascii="Times New Roman" w:hAnsi="Times New Roman"/>
          <w:color w:val="000000" w:themeColor="text1"/>
          <w:sz w:val="16"/>
          <w:szCs w:val="16"/>
        </w:rPr>
        <w:softHyphen/>
        <w:t>смотря на то что его выпуск начался ещё в 1937 г. Первой (и, пожалуй, одной из самых удачных) ласточ</w:t>
      </w:r>
      <w:r w:rsidRPr="00640820">
        <w:rPr>
          <w:rFonts w:ascii="Times New Roman" w:hAnsi="Times New Roman"/>
          <w:color w:val="000000" w:themeColor="text1"/>
          <w:sz w:val="16"/>
          <w:szCs w:val="16"/>
        </w:rPr>
        <w:softHyphen/>
        <w:t>кой «нового поколения» стал ДБ-3, который, удачно сочетая сравнительно высокую скорость с большой дальностью полё</w:t>
      </w:r>
      <w:r w:rsidRPr="00640820">
        <w:rPr>
          <w:rFonts w:ascii="Times New Roman" w:hAnsi="Times New Roman"/>
          <w:color w:val="000000" w:themeColor="text1"/>
          <w:sz w:val="16"/>
          <w:szCs w:val="16"/>
        </w:rPr>
        <w:softHyphen/>
        <w:t>та, занял амплуа дальнего бомбардировщика. Однако по мак</w:t>
      </w:r>
      <w:r w:rsidRPr="00640820">
        <w:rPr>
          <w:rFonts w:ascii="Times New Roman" w:hAnsi="Times New Roman"/>
          <w:color w:val="000000" w:themeColor="text1"/>
          <w:sz w:val="16"/>
          <w:szCs w:val="16"/>
        </w:rPr>
        <w:softHyphen/>
        <w:t>симальной бомбовой нагрузке на статус бомбардировщика «тяжёлого» ДБ-3 не претендовал. Между тем Военвед требо</w:t>
      </w:r>
      <w:r w:rsidRPr="00640820">
        <w:rPr>
          <w:rFonts w:ascii="Times New Roman" w:hAnsi="Times New Roman"/>
          <w:color w:val="000000" w:themeColor="text1"/>
          <w:sz w:val="16"/>
          <w:szCs w:val="16"/>
        </w:rPr>
        <w:softHyphen/>
        <w:t>вал именно такой машины, которая могла бы стать идейным продолжением концепции ТБ-3. Наиболее перспективным в этом плане вышядел ТБ-7, позднее получивший индекс Пе-8. Однако машина доводилась очень долго и с большими труд</w:t>
      </w:r>
      <w:r w:rsidRPr="00640820">
        <w:rPr>
          <w:rFonts w:ascii="Times New Roman" w:hAnsi="Times New Roman"/>
          <w:color w:val="000000" w:themeColor="text1"/>
          <w:sz w:val="16"/>
          <w:szCs w:val="16"/>
        </w:rPr>
        <w:softHyphen/>
        <w:t>ностями. Сыграло свою роль и то, что конструкции, начатые проектированием в середине 1930-х, не учитывали требо</w:t>
      </w:r>
      <w:r w:rsidRPr="00640820">
        <w:rPr>
          <w:rFonts w:ascii="Times New Roman" w:hAnsi="Times New Roman"/>
          <w:color w:val="000000" w:themeColor="text1"/>
          <w:sz w:val="16"/>
          <w:szCs w:val="16"/>
        </w:rPr>
        <w:softHyphen/>
        <w:t>ваний плазово-шаблонной технологии и, соответственно, были к производству по такой технологии не приспособлены. Ильюшин учёл это обстоятельство и провёл кардинальную модернизацию ДБ-3 не с целью существенно поднять лётно- гехнические характеристики самолёта, а для того чтобы обе</w:t>
      </w:r>
      <w:r w:rsidRPr="00640820">
        <w:rPr>
          <w:rFonts w:ascii="Times New Roman" w:hAnsi="Times New Roman"/>
          <w:color w:val="000000" w:themeColor="text1"/>
          <w:sz w:val="16"/>
          <w:szCs w:val="16"/>
        </w:rPr>
        <w:softHyphen/>
        <w:t>спечить сборку планера самолёта по новой, более перспек</w:t>
      </w:r>
      <w:r w:rsidRPr="00640820">
        <w:rPr>
          <w:rFonts w:ascii="Times New Roman" w:hAnsi="Times New Roman"/>
          <w:color w:val="000000" w:themeColor="text1"/>
          <w:sz w:val="16"/>
          <w:szCs w:val="16"/>
        </w:rPr>
        <w:softHyphen/>
        <w:t>тивной технологии. На Пе-8 такой модернизации проведено не было, поэтому масштабы выпуска этого самолёта изна</w:t>
      </w:r>
      <w:r w:rsidRPr="00640820">
        <w:rPr>
          <w:rFonts w:ascii="Times New Roman" w:hAnsi="Times New Roman"/>
          <w:color w:val="000000" w:themeColor="text1"/>
          <w:sz w:val="16"/>
          <w:szCs w:val="16"/>
        </w:rPr>
        <w:softHyphen/>
        <w:t>чально не могли быть высоки.</w:t>
      </w:r>
    </w:p>
    <w:p w14:paraId="5EC077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Собственно, к началу 1940-х гг. уже и ДБ-3 не считался вполне современной машиной, и в роли его сменщика рас</w:t>
      </w:r>
      <w:r w:rsidRPr="00640820">
        <w:rPr>
          <w:rFonts w:ascii="Times New Roman" w:hAnsi="Times New Roman"/>
          <w:color w:val="000000" w:themeColor="text1"/>
          <w:sz w:val="16"/>
          <w:szCs w:val="16"/>
        </w:rPr>
        <w:softHyphen/>
        <w:t>сматривался Ер-2. Однако этой новой машине не повезло с двигателями — АМ-37 никак не моша освоить промышлен</w:t>
      </w:r>
      <w:r w:rsidRPr="00640820">
        <w:rPr>
          <w:rFonts w:ascii="Times New Roman" w:hAnsi="Times New Roman"/>
          <w:color w:val="000000" w:themeColor="text1"/>
          <w:sz w:val="16"/>
          <w:szCs w:val="16"/>
        </w:rPr>
        <w:softHyphen/>
        <w:t>ность, а с М-105 лётно-технические характеристики нового дальнего бомбардировщика не так уж отличались от данных уже освоенного в производстве Ил-4. Соответственно, начатое в 1941 г. производство Ер-2 после эвакуации фактически не возобновилось. Напротив, Ил-4 попал в «райские условия»— его мотор (М-88 и М-89) не использовался ни на какой другой модели, поэтому ветеран бомбардировочного авиавыпуска продолжал оставаться в серийном производстве. Во второй половине войны Ер-2, казалось, обрёл второе дыхание — на него было решено устанавливать авиадизели. Теоретически это сулило существенное увеличение дальности полёта. Однако на практике капризные моторы делали боевую эффек</w:t>
      </w:r>
      <w:r w:rsidRPr="00640820">
        <w:rPr>
          <w:rFonts w:ascii="Times New Roman" w:hAnsi="Times New Roman"/>
          <w:color w:val="000000" w:themeColor="text1"/>
          <w:sz w:val="16"/>
          <w:szCs w:val="16"/>
        </w:rPr>
        <w:softHyphen/>
        <w:t>тивность дизельных бомбардировщиков сомнительной. Хотя выпуск Ер-2 и возобновился, но даже в дальнебомбардиро- вочной авиации они так и не стали задавать тон.</w:t>
      </w:r>
    </w:p>
    <w:p w14:paraId="18B0A7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Появление Пе-2 связано с успешным применением в ходе Гражданской войны в Испании пикирующих бомбардиров</w:t>
      </w:r>
      <w:r w:rsidRPr="00640820">
        <w:rPr>
          <w:rFonts w:ascii="Times New Roman" w:hAnsi="Times New Roman"/>
          <w:color w:val="000000" w:themeColor="text1"/>
          <w:sz w:val="16"/>
          <w:szCs w:val="16"/>
        </w:rPr>
        <w:softHyphen/>
        <w:t>щиков Юнкерс-87. Идея высокоточных бомбовых ударов с пикирования оказалась столь соблазнительной, что в СССР немедленно начались работа по разработке соответствующе</w:t>
      </w:r>
      <w:r w:rsidRPr="00640820">
        <w:rPr>
          <w:rFonts w:ascii="Times New Roman" w:hAnsi="Times New Roman"/>
          <w:color w:val="000000" w:themeColor="text1"/>
          <w:sz w:val="16"/>
          <w:szCs w:val="16"/>
        </w:rPr>
        <w:softHyphen/>
        <w:t>го самолёта. Разработанный на базе высотного истребителя, Пе-2 сохранил многие черты, присущие своему «прародите</w:t>
      </w:r>
      <w:r w:rsidRPr="00640820">
        <w:rPr>
          <w:rFonts w:ascii="Times New Roman" w:hAnsi="Times New Roman"/>
          <w:color w:val="000000" w:themeColor="text1"/>
          <w:sz w:val="16"/>
          <w:szCs w:val="16"/>
        </w:rPr>
        <w:softHyphen/>
        <w:t>лю», но стал пикирующим бомбардировщиком, заняв новую нишу в бомбардировочном выпуске. Однако по бомбовой на</w:t>
      </w:r>
      <w:r w:rsidRPr="00640820">
        <w:rPr>
          <w:rFonts w:ascii="Times New Roman" w:hAnsi="Times New Roman"/>
          <w:color w:val="000000" w:themeColor="text1"/>
          <w:sz w:val="16"/>
          <w:szCs w:val="16"/>
        </w:rPr>
        <w:softHyphen/>
        <w:t>грузке Пе-2 не мог считаться полноценным фронтовым бом</w:t>
      </w:r>
      <w:r w:rsidRPr="00640820">
        <w:rPr>
          <w:rFonts w:ascii="Times New Roman" w:hAnsi="Times New Roman"/>
          <w:color w:val="000000" w:themeColor="text1"/>
          <w:sz w:val="16"/>
          <w:szCs w:val="16"/>
        </w:rPr>
        <w:softHyphen/>
        <w:t>бардировщиком; как уже говорилось, руководство советских ВВС было склонно сравнивать Пе-2 с Як-4, а не с СБ. Прак</w:t>
      </w:r>
      <w:r w:rsidRPr="00640820">
        <w:rPr>
          <w:rFonts w:ascii="Times New Roman" w:hAnsi="Times New Roman"/>
          <w:color w:val="000000" w:themeColor="text1"/>
          <w:sz w:val="16"/>
          <w:szCs w:val="16"/>
        </w:rPr>
        <w:softHyphen/>
        <w:t>тика боёв показала, что, с одной стороны, удары с пикирова</w:t>
      </w:r>
      <w:r w:rsidRPr="00640820">
        <w:rPr>
          <w:rFonts w:ascii="Times New Roman" w:hAnsi="Times New Roman"/>
          <w:color w:val="000000" w:themeColor="text1"/>
          <w:sz w:val="16"/>
          <w:szCs w:val="16"/>
        </w:rPr>
        <w:softHyphen/>
        <w:t>ния требуют специальной подготовки пилотов, а с другой — далеко не всегда целесообразны с точки зрения боевой эффективности. Пикирование давало ощутимый выигрыш при ударах по точным целям: мостам, кораблям, вокзалам и т.п. Логика боёв на сухопутном фронте требовала ударов преи</w:t>
      </w:r>
      <w:r w:rsidRPr="00640820">
        <w:rPr>
          <w:rFonts w:ascii="Times New Roman" w:hAnsi="Times New Roman"/>
          <w:color w:val="000000" w:themeColor="text1"/>
          <w:sz w:val="16"/>
          <w:szCs w:val="16"/>
        </w:rPr>
        <w:softHyphen/>
        <w:t>мущественно по целям площадным: транспортные колонны, передвигающиеся по дороге; артиллерийские батареи, пехот</w:t>
      </w:r>
      <w:r w:rsidRPr="00640820">
        <w:rPr>
          <w:rFonts w:ascii="Times New Roman" w:hAnsi="Times New Roman"/>
          <w:color w:val="000000" w:themeColor="text1"/>
          <w:sz w:val="16"/>
          <w:szCs w:val="16"/>
        </w:rPr>
        <w:softHyphen/>
        <w:t>ные позиции и т.д. Поэтому, как правило, Пе-2 бомбили с го</w:t>
      </w:r>
      <w:r w:rsidRPr="00640820">
        <w:rPr>
          <w:rFonts w:ascii="Times New Roman" w:hAnsi="Times New Roman"/>
          <w:color w:val="000000" w:themeColor="text1"/>
          <w:sz w:val="16"/>
          <w:szCs w:val="16"/>
        </w:rPr>
        <w:softHyphen/>
        <w:t>ризонтального полёта, фактически став «лёгким фронтовым бомбардировщиком». Как видно из таблицы, именно на эту модель пришлась почти половина построенных в годы Вто</w:t>
      </w:r>
      <w:r w:rsidRPr="00640820">
        <w:rPr>
          <w:rFonts w:ascii="Times New Roman" w:hAnsi="Times New Roman"/>
          <w:color w:val="000000" w:themeColor="text1"/>
          <w:sz w:val="16"/>
          <w:szCs w:val="16"/>
        </w:rPr>
        <w:softHyphen/>
        <w:t>рой мировой войны советских бомбардировщиков.</w:t>
      </w:r>
    </w:p>
    <w:p w14:paraId="4C11A6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Ту-2 также при проектировании являлся бомбардиров</w:t>
      </w:r>
      <w:r w:rsidRPr="00640820">
        <w:rPr>
          <w:rFonts w:ascii="Times New Roman" w:hAnsi="Times New Roman"/>
          <w:color w:val="000000" w:themeColor="text1"/>
          <w:sz w:val="16"/>
          <w:szCs w:val="16"/>
        </w:rPr>
        <w:softHyphen/>
        <w:t>щиком пикирующим. Однако сначала чехарда с моторами, которые предполагались к установке на этот самолёт, а за</w:t>
      </w:r>
      <w:r w:rsidRPr="00640820">
        <w:rPr>
          <w:rFonts w:ascii="Times New Roman" w:hAnsi="Times New Roman"/>
          <w:color w:val="000000" w:themeColor="text1"/>
          <w:sz w:val="16"/>
          <w:szCs w:val="16"/>
        </w:rPr>
        <w:softHyphen/>
        <w:t>тем — эвакуация, отсрочили начало выпуска до 1942 г. К это</w:t>
      </w:r>
      <w:r w:rsidRPr="00640820">
        <w:rPr>
          <w:rFonts w:ascii="Times New Roman" w:hAnsi="Times New Roman"/>
          <w:color w:val="000000" w:themeColor="text1"/>
          <w:sz w:val="16"/>
          <w:szCs w:val="16"/>
        </w:rPr>
        <w:softHyphen/>
        <w:t>му времени от иллюзий по поводу универсальности ударов с пикирования удалось избавиться, поэтому серийные Ту-2 во</w:t>
      </w:r>
      <w:r w:rsidRPr="00640820">
        <w:rPr>
          <w:rFonts w:ascii="Times New Roman" w:hAnsi="Times New Roman"/>
          <w:color w:val="000000" w:themeColor="text1"/>
          <w:sz w:val="16"/>
          <w:szCs w:val="16"/>
        </w:rPr>
        <w:softHyphen/>
        <w:t>обще штатно не комплектовались оборудованием для пи</w:t>
      </w:r>
      <w:r w:rsidRPr="00640820">
        <w:rPr>
          <w:rFonts w:ascii="Times New Roman" w:hAnsi="Times New Roman"/>
          <w:color w:val="000000" w:themeColor="text1"/>
          <w:sz w:val="16"/>
          <w:szCs w:val="16"/>
        </w:rPr>
        <w:softHyphen/>
        <w:t>кирования</w:t>
      </w:r>
      <w:r w:rsidRPr="00640820">
        <w:rPr>
          <w:rFonts w:ascii="Times New Roman" w:hAnsi="Times New Roman"/>
          <w:color w:val="000000" w:themeColor="text1"/>
          <w:sz w:val="16"/>
          <w:szCs w:val="16"/>
          <w:vertAlign w:val="superscript"/>
        </w:rPr>
        <w:t>1</w:t>
      </w:r>
      <w:r w:rsidRPr="00640820">
        <w:rPr>
          <w:rFonts w:ascii="Times New Roman" w:hAnsi="Times New Roman"/>
          <w:color w:val="000000" w:themeColor="text1"/>
          <w:sz w:val="16"/>
          <w:szCs w:val="16"/>
        </w:rPr>
        <w:t>. Таким образом, Ту-2 стал выполнять функции фронтового бомбардировщика, а ввиду наличия Пе-2 (лёг</w:t>
      </w:r>
      <w:r w:rsidRPr="00640820">
        <w:rPr>
          <w:rFonts w:ascii="Times New Roman" w:hAnsi="Times New Roman"/>
          <w:color w:val="000000" w:themeColor="text1"/>
          <w:sz w:val="16"/>
          <w:szCs w:val="16"/>
        </w:rPr>
        <w:softHyphen/>
        <w:t>кого фронтового) стал фактически «тяжёлым фронтовым» бомбардировщиком. В конце 1942 г. было принято решение свернуть производство Ту-2, а на освободившихся производ</w:t>
      </w:r>
      <w:r w:rsidRPr="00640820">
        <w:rPr>
          <w:rFonts w:ascii="Times New Roman" w:hAnsi="Times New Roman"/>
          <w:color w:val="000000" w:themeColor="text1"/>
          <w:sz w:val="16"/>
          <w:szCs w:val="16"/>
        </w:rPr>
        <w:softHyphen/>
        <w:t>ственных мощностях наладить выпуск истребителя Як-9. Ду</w:t>
      </w:r>
      <w:r w:rsidRPr="00640820">
        <w:rPr>
          <w:rFonts w:ascii="Times New Roman" w:hAnsi="Times New Roman"/>
          <w:color w:val="000000" w:themeColor="text1"/>
          <w:sz w:val="16"/>
          <w:szCs w:val="16"/>
        </w:rPr>
        <w:softHyphen/>
        <w:t>мается, что корни решения лежали не только в необходимости срочно увеличить производство истребителей, но и в вопро</w:t>
      </w:r>
      <w:r w:rsidRPr="00640820">
        <w:rPr>
          <w:rFonts w:ascii="Times New Roman" w:hAnsi="Times New Roman"/>
          <w:color w:val="000000" w:themeColor="text1"/>
          <w:sz w:val="16"/>
          <w:szCs w:val="16"/>
        </w:rPr>
        <w:softHyphen/>
        <w:t>сах материально-технического обеспечения авиапромышлен</w:t>
      </w:r>
      <w:r w:rsidRPr="00640820">
        <w:rPr>
          <w:rFonts w:ascii="Times New Roman" w:hAnsi="Times New Roman"/>
          <w:color w:val="000000" w:themeColor="text1"/>
          <w:sz w:val="16"/>
          <w:szCs w:val="16"/>
        </w:rPr>
        <w:softHyphen/>
        <w:t>ности. С одной стороны, хотя кризис с поставками алюминия и его сплавов и был решён, положение с этими ресурсами было достаточно напряжённым, поэтому производство двух</w:t>
      </w:r>
      <w:r w:rsidRPr="00640820">
        <w:rPr>
          <w:rFonts w:ascii="Times New Roman" w:hAnsi="Times New Roman"/>
          <w:color w:val="000000" w:themeColor="text1"/>
          <w:sz w:val="16"/>
          <w:szCs w:val="16"/>
        </w:rPr>
        <w:softHyphen/>
        <w:t>моторного цельнометаллического бомбардировщика было достаточно «накладным» для страны. С другой стороны, Ту-2 в плане мотора конкурировал с Ла-5, значение которого для истребительного авиавыпуска следующего, 1943 г. трудно переоценить. Видимо, в комплексе эти соображения и по</w:t>
      </w:r>
      <w:r w:rsidRPr="00640820">
        <w:rPr>
          <w:rFonts w:ascii="Times New Roman" w:hAnsi="Times New Roman"/>
          <w:color w:val="000000" w:themeColor="text1"/>
          <w:sz w:val="16"/>
          <w:szCs w:val="16"/>
        </w:rPr>
        <w:softHyphen/>
        <w:t>влияли на судьбу Ту-2. Впрочем, уже летом 1943 г. выпуск этого бомбардировщика возобновился, хотя и на другом за</w:t>
      </w:r>
      <w:r w:rsidRPr="00640820">
        <w:rPr>
          <w:rFonts w:ascii="Times New Roman" w:hAnsi="Times New Roman"/>
          <w:color w:val="000000" w:themeColor="text1"/>
          <w:sz w:val="16"/>
          <w:szCs w:val="16"/>
        </w:rPr>
        <w:softHyphen/>
        <w:t>воде.</w:t>
      </w:r>
    </w:p>
    <w:p w14:paraId="5C3CB9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Как уже говорилось выше, безусловным лидером бомбар</w:t>
      </w:r>
      <w:r w:rsidRPr="00640820">
        <w:rPr>
          <w:rFonts w:ascii="Times New Roman" w:hAnsi="Times New Roman"/>
          <w:color w:val="000000" w:themeColor="text1"/>
          <w:sz w:val="16"/>
          <w:szCs w:val="16"/>
        </w:rPr>
        <w:softHyphen/>
        <w:t>дировочного авиавыпуска был Пе-2. Однако эта ситуация сло</w:t>
      </w:r>
      <w:r w:rsidRPr="00640820">
        <w:rPr>
          <w:rFonts w:ascii="Times New Roman" w:hAnsi="Times New Roman"/>
          <w:color w:val="000000" w:themeColor="text1"/>
          <w:sz w:val="16"/>
          <w:szCs w:val="16"/>
        </w:rPr>
        <w:softHyphen/>
        <w:t>жилась не моментально. На 1939—1940 гг. примерно две тре</w:t>
      </w:r>
      <w:r w:rsidRPr="00640820">
        <w:rPr>
          <w:rFonts w:ascii="Times New Roman" w:hAnsi="Times New Roman"/>
          <w:color w:val="000000" w:themeColor="text1"/>
          <w:sz w:val="16"/>
          <w:szCs w:val="16"/>
        </w:rPr>
        <w:softHyphen/>
        <w:t>ти выпускавшихся бомбардировщиков приходилось на СБ, и треть — на ДБ-3. Кардинально ситуация изменилась в 1941 Г. Удельный вес СБ «съёжился» до околонулевых значений, при</w:t>
      </w:r>
      <w:r w:rsidRPr="00640820">
        <w:rPr>
          <w:rFonts w:ascii="Times New Roman" w:hAnsi="Times New Roman"/>
          <w:color w:val="000000" w:themeColor="text1"/>
          <w:sz w:val="16"/>
          <w:szCs w:val="16"/>
        </w:rPr>
        <w:softHyphen/>
        <w:t>мерно по 20 % выпуска стало приходиться на Ил-4 и Су-2, а почти 50 % — на Пе-2. Собственно говоря, этот тренд сохра</w:t>
      </w:r>
      <w:r w:rsidRPr="00640820">
        <w:rPr>
          <w:rFonts w:ascii="Times New Roman" w:hAnsi="Times New Roman"/>
          <w:color w:val="000000" w:themeColor="text1"/>
          <w:sz w:val="16"/>
          <w:szCs w:val="16"/>
        </w:rPr>
        <w:softHyphen/>
        <w:t>нился на весь период войны — удельный вес Пе-2 колебался в области 60—70 % годового бомбардировочного выпуска, лишь в 1945 г. опустившись до всего (!) 53 %. В 1943 г. удельный вес Ил-4 подпрыгнул до 39 % — это объясняется тем, что в связи с прекращением выпуска Су-2 и колебаниями руководства стра</w:t>
      </w:r>
      <w:r w:rsidRPr="00640820">
        <w:rPr>
          <w:rFonts w:ascii="Times New Roman" w:hAnsi="Times New Roman"/>
          <w:color w:val="000000" w:themeColor="text1"/>
          <w:sz w:val="16"/>
          <w:szCs w:val="16"/>
        </w:rPr>
        <w:softHyphen/>
        <w:t>ны относительно Ту-2, собственно, весь бомбардировочный вы</w:t>
      </w:r>
      <w:r w:rsidRPr="00640820">
        <w:rPr>
          <w:rFonts w:ascii="Times New Roman" w:hAnsi="Times New Roman"/>
          <w:color w:val="000000" w:themeColor="text1"/>
          <w:sz w:val="16"/>
          <w:szCs w:val="16"/>
        </w:rPr>
        <w:softHyphen/>
        <w:t>пуск и свёлся к Пе-2 и Ил-4, разбавляемым незначительным ко</w:t>
      </w:r>
      <w:r w:rsidRPr="00640820">
        <w:rPr>
          <w:rFonts w:ascii="Times New Roman" w:hAnsi="Times New Roman"/>
          <w:color w:val="000000" w:themeColor="text1"/>
          <w:sz w:val="16"/>
          <w:szCs w:val="16"/>
        </w:rPr>
        <w:softHyphen/>
        <w:t>личеством Пе-8 и Ту-2. В 1944 г. начинается, наконец, запоздав</w:t>
      </w:r>
      <w:r w:rsidRPr="00640820">
        <w:rPr>
          <w:rFonts w:ascii="Times New Roman" w:hAnsi="Times New Roman"/>
          <w:color w:val="000000" w:themeColor="text1"/>
          <w:sz w:val="16"/>
          <w:szCs w:val="16"/>
        </w:rPr>
        <w:softHyphen/>
        <w:t>шее на 5 лет обновление бомбардировочного выпуска, и доля Ил-4 начинает снижаться синхронно с возрастанием удельного веса Ту-2 и Ер-2. Впрочем, как уже говорилось выше, Ер-2 так и не стал полноценным дальним бомбардировщиком, поэтому со</w:t>
      </w:r>
      <w:r w:rsidRPr="00640820">
        <w:rPr>
          <w:rFonts w:ascii="Times New Roman" w:hAnsi="Times New Roman"/>
          <w:color w:val="000000" w:themeColor="text1"/>
          <w:sz w:val="16"/>
          <w:szCs w:val="16"/>
        </w:rPr>
        <w:softHyphen/>
        <w:t>ветские ВВС были вынуждены по-прежнему делать основную ставку на модель, впервые взлетевшую в 1935 г. и прошедшую капитальную модернизацию в 1940 г. А вот у Ту-2 дальнейшая судьба заладилась, и в 1945 г. он составлял уже почти четверть бомбардировочного авиавыпуска.</w:t>
      </w:r>
    </w:p>
    <w:p w14:paraId="2092CB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МДР-2 и Че-2 стоят в вышерассмотренном сюжете не</w:t>
      </w:r>
      <w:r w:rsidRPr="00640820">
        <w:rPr>
          <w:rFonts w:ascii="Times New Roman" w:hAnsi="Times New Roman"/>
          <w:color w:val="000000" w:themeColor="text1"/>
          <w:sz w:val="16"/>
          <w:szCs w:val="16"/>
        </w:rPr>
        <w:softHyphen/>
        <w:t>сколько наособицу. Это были летающие лодки</w:t>
      </w:r>
      <w:r w:rsidRPr="00640820">
        <w:rPr>
          <w:rFonts w:ascii="Times New Roman" w:hAnsi="Times New Roman"/>
          <w:color w:val="000000" w:themeColor="text1"/>
          <w:sz w:val="16"/>
          <w:szCs w:val="16"/>
          <w:vertAlign w:val="superscript"/>
        </w:rPr>
        <w:t>1</w:t>
      </w:r>
      <w:r w:rsidRPr="00640820">
        <w:rPr>
          <w:rFonts w:ascii="Times New Roman" w:hAnsi="Times New Roman"/>
          <w:color w:val="000000" w:themeColor="text1"/>
          <w:sz w:val="16"/>
          <w:szCs w:val="16"/>
        </w:rPr>
        <w:t>, основным предназначением которых была разведка на морских театрах военных действий (ТВД), а при необходимости — и нанесе</w:t>
      </w:r>
      <w:r w:rsidRPr="00640820">
        <w:rPr>
          <w:rFonts w:ascii="Times New Roman" w:hAnsi="Times New Roman"/>
          <w:color w:val="000000" w:themeColor="text1"/>
          <w:sz w:val="16"/>
          <w:szCs w:val="16"/>
        </w:rPr>
        <w:softHyphen/>
        <w:t>ние бомбовых ударов. По сути, в данном случае мы наблю</w:t>
      </w:r>
      <w:r w:rsidRPr="00640820">
        <w:rPr>
          <w:rFonts w:ascii="Times New Roman" w:hAnsi="Times New Roman"/>
          <w:color w:val="000000" w:themeColor="text1"/>
          <w:sz w:val="16"/>
          <w:szCs w:val="16"/>
        </w:rPr>
        <w:softHyphen/>
        <w:t>даем тот же процесс, что и в отношении прочих бомбарди</w:t>
      </w:r>
      <w:r w:rsidRPr="00640820">
        <w:rPr>
          <w:rFonts w:ascii="Times New Roman" w:hAnsi="Times New Roman"/>
          <w:color w:val="000000" w:themeColor="text1"/>
          <w:sz w:val="16"/>
          <w:szCs w:val="16"/>
        </w:rPr>
        <w:softHyphen/>
        <w:t>ровщиков — модель начала 1930-х гг. (МДР-2) сменялась в серийном производстве относительно новой моделью второй половины 1930-х (Че-2). Однако к началу войны Че-2 не за</w:t>
      </w:r>
      <w:r w:rsidRPr="00640820">
        <w:rPr>
          <w:rFonts w:ascii="Times New Roman" w:hAnsi="Times New Roman"/>
          <w:color w:val="000000" w:themeColor="text1"/>
          <w:sz w:val="16"/>
          <w:szCs w:val="16"/>
        </w:rPr>
        <w:softHyphen/>
        <w:t>вершила решение проблемы «детских болезней», а затем си</w:t>
      </w:r>
      <w:r w:rsidRPr="00640820">
        <w:rPr>
          <w:rFonts w:ascii="Times New Roman" w:hAnsi="Times New Roman"/>
          <w:color w:val="000000" w:themeColor="text1"/>
          <w:sz w:val="16"/>
          <w:szCs w:val="16"/>
        </w:rPr>
        <w:softHyphen/>
        <w:t>туация резко изменилась. Приоритетность боевых действий на море резко снизилась по сравнению с сухопутными ТВД, соответственно, и интерес к специализированным морским бомбардировщикам упал. Помимо этого, функции Че-2 могли с успехом выполнять «сухопутные» модели — Пе-2 и Ил-2. Поэтому выпуск Че-2 вскоре был прекращён.</w:t>
      </w:r>
    </w:p>
    <w:p w14:paraId="3A87BA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Выше мы выяснили, что производство каждой модели истребителя тяготело к одному базовому заводу, который и давал основную массу самолётов данной модели. Другие за</w:t>
      </w:r>
      <w:r w:rsidRPr="00640820">
        <w:rPr>
          <w:rFonts w:ascii="Times New Roman" w:hAnsi="Times New Roman"/>
          <w:color w:val="000000" w:themeColor="text1"/>
          <w:sz w:val="16"/>
          <w:szCs w:val="16"/>
        </w:rPr>
        <w:softHyphen/>
        <w:t>воды если и привлекались к производству этой модели, име</w:t>
      </w:r>
      <w:r w:rsidRPr="00640820">
        <w:rPr>
          <w:rFonts w:ascii="Times New Roman" w:hAnsi="Times New Roman"/>
          <w:color w:val="000000" w:themeColor="text1"/>
          <w:sz w:val="16"/>
          <w:szCs w:val="16"/>
        </w:rPr>
        <w:softHyphen/>
        <w:t>ли второстепенное значение. Организация выпуска бомбар</w:t>
      </w:r>
      <w:r w:rsidRPr="00640820">
        <w:rPr>
          <w:rFonts w:ascii="Times New Roman" w:hAnsi="Times New Roman"/>
          <w:color w:val="000000" w:themeColor="text1"/>
          <w:sz w:val="16"/>
          <w:szCs w:val="16"/>
        </w:rPr>
        <w:softHyphen/>
        <w:t>дировщиков также подтверждает эту тенденцию. 49 % всех Ил-4 было выпущено на заводе № 126, 90 % всех Пе-2 — на заводе № 22. Для Су-2 роль головного предприятия носил за</w:t>
      </w:r>
      <w:r w:rsidRPr="00640820">
        <w:rPr>
          <w:rFonts w:ascii="Times New Roman" w:hAnsi="Times New Roman"/>
          <w:color w:val="000000" w:themeColor="text1"/>
          <w:sz w:val="16"/>
          <w:szCs w:val="16"/>
        </w:rPr>
        <w:softHyphen/>
        <w:t>вод № 135. Прочие бомбардировщики имели столь малую се</w:t>
      </w:r>
      <w:r w:rsidRPr="00640820">
        <w:rPr>
          <w:rFonts w:ascii="Times New Roman" w:hAnsi="Times New Roman"/>
          <w:color w:val="000000" w:themeColor="text1"/>
          <w:sz w:val="16"/>
          <w:szCs w:val="16"/>
        </w:rPr>
        <w:softHyphen/>
        <w:t>рию, что обсуждать их в этом ключе нет смысла (12011).</w:t>
      </w:r>
    </w:p>
    <w:p w14:paraId="041565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u w:val="single"/>
        </w:rPr>
      </w:pPr>
    </w:p>
    <w:p w14:paraId="43F3CB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особо тяжёлой ситуация в годы Великой Отечественной войны была в об</w:t>
      </w:r>
      <w:r w:rsidRPr="00640820">
        <w:rPr>
          <w:rFonts w:ascii="Times New Roman" w:hAnsi="Times New Roman"/>
          <w:color w:val="000000" w:themeColor="text1"/>
          <w:sz w:val="16"/>
          <w:szCs w:val="16"/>
        </w:rPr>
        <w:softHyphen/>
        <w:t>ласти учебно-тренировочной авиатехники.</w:t>
      </w:r>
    </w:p>
    <w:p w14:paraId="7ACD13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Выпуск учебно-тренировочных самолётов в гады Второй мировой войны</w:t>
      </w:r>
    </w:p>
    <w:tbl>
      <w:tblPr>
        <w:tblW w:w="0" w:type="auto"/>
        <w:tblInd w:w="8" w:type="dxa"/>
        <w:tblLayout w:type="fixed"/>
        <w:tblCellMar>
          <w:left w:w="0" w:type="dxa"/>
          <w:right w:w="0" w:type="dxa"/>
        </w:tblCellMar>
        <w:tblLook w:val="0000" w:firstRow="0" w:lastRow="0" w:firstColumn="0" w:lastColumn="0" w:noHBand="0" w:noVBand="0"/>
      </w:tblPr>
      <w:tblGrid>
        <w:gridCol w:w="1373"/>
        <w:gridCol w:w="571"/>
        <w:gridCol w:w="571"/>
        <w:gridCol w:w="571"/>
        <w:gridCol w:w="566"/>
        <w:gridCol w:w="566"/>
        <w:gridCol w:w="571"/>
        <w:gridCol w:w="566"/>
        <w:gridCol w:w="586"/>
      </w:tblGrid>
      <w:tr w:rsidR="00643896" w:rsidRPr="00640820" w14:paraId="17C8FDDE" w14:textId="77777777" w:rsidTr="000D3BCB">
        <w:trPr>
          <w:trHeight w:val="235"/>
        </w:trPr>
        <w:tc>
          <w:tcPr>
            <w:tcW w:w="1373" w:type="dxa"/>
            <w:tcBorders>
              <w:top w:val="single" w:sz="6" w:space="0" w:color="auto"/>
              <w:left w:val="single" w:sz="6" w:space="0" w:color="auto"/>
              <w:bottom w:val="single" w:sz="6" w:space="0" w:color="auto"/>
              <w:right w:val="single" w:sz="6" w:space="0" w:color="auto"/>
            </w:tcBorders>
            <w:shd w:val="clear" w:color="auto" w:fill="FFFFFF"/>
          </w:tcPr>
          <w:p w14:paraId="28725D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68A6F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1939</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7E319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E5CB5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5AAC2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2F705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1943</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9A73E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1944</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01D4B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1945</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6ED5B6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Веете</w:t>
            </w:r>
          </w:p>
        </w:tc>
      </w:tr>
      <w:tr w:rsidR="00643896" w:rsidRPr="00640820" w14:paraId="5BD20B63" w14:textId="77777777" w:rsidTr="000D3BCB">
        <w:trPr>
          <w:trHeight w:val="221"/>
        </w:trPr>
        <w:tc>
          <w:tcPr>
            <w:tcW w:w="1373" w:type="dxa"/>
            <w:tcBorders>
              <w:top w:val="single" w:sz="6" w:space="0" w:color="auto"/>
              <w:left w:val="single" w:sz="6" w:space="0" w:color="auto"/>
              <w:bottom w:val="single" w:sz="6" w:space="0" w:color="auto"/>
              <w:right w:val="single" w:sz="6" w:space="0" w:color="auto"/>
            </w:tcBorders>
            <w:shd w:val="clear" w:color="auto" w:fill="FFFFFF"/>
          </w:tcPr>
          <w:p w14:paraId="14BFDB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УТ-1</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F51E4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551</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23A97F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885D1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0CF09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1B702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4F0F8A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B7F3A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4AEF5D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552</w:t>
            </w:r>
          </w:p>
        </w:tc>
      </w:tr>
      <w:tr w:rsidR="00643896" w:rsidRPr="00640820" w14:paraId="23353E22" w14:textId="77777777" w:rsidTr="000D3BCB">
        <w:trPr>
          <w:trHeight w:val="221"/>
        </w:trPr>
        <w:tc>
          <w:tcPr>
            <w:tcW w:w="1373" w:type="dxa"/>
            <w:tcBorders>
              <w:top w:val="single" w:sz="6" w:space="0" w:color="auto"/>
              <w:left w:val="single" w:sz="6" w:space="0" w:color="auto"/>
              <w:bottom w:val="single" w:sz="6" w:space="0" w:color="auto"/>
              <w:right w:val="single" w:sz="6" w:space="0" w:color="auto"/>
            </w:tcBorders>
            <w:shd w:val="clear" w:color="auto" w:fill="FFFFFF"/>
          </w:tcPr>
          <w:p w14:paraId="240BAB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УТ-2</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EC24C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540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2EED19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548</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8F11D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654</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4F479C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978</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1EFA8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909</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220D4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1055</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076B9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1279</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25B170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5963</w:t>
            </w:r>
          </w:p>
        </w:tc>
      </w:tr>
      <w:tr w:rsidR="00643896" w:rsidRPr="00640820" w14:paraId="302A6A81" w14:textId="77777777" w:rsidTr="000D3BCB">
        <w:trPr>
          <w:trHeight w:val="221"/>
        </w:trPr>
        <w:tc>
          <w:tcPr>
            <w:tcW w:w="1373" w:type="dxa"/>
            <w:tcBorders>
              <w:top w:val="single" w:sz="6" w:space="0" w:color="auto"/>
              <w:left w:val="single" w:sz="6" w:space="0" w:color="auto"/>
              <w:bottom w:val="single" w:sz="6" w:space="0" w:color="auto"/>
              <w:right w:val="single" w:sz="6" w:space="0" w:color="auto"/>
            </w:tcBorders>
            <w:shd w:val="clear" w:color="auto" w:fill="FFFFFF"/>
          </w:tcPr>
          <w:p w14:paraId="4C9D66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УТ-3</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D66E0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7EBFD2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FFEAB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8153D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1D77C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2DC6F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DC00A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5B6E43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w:t>
            </w:r>
          </w:p>
        </w:tc>
      </w:tr>
      <w:tr w:rsidR="00643896" w:rsidRPr="00640820" w14:paraId="2BF2606D" w14:textId="77777777" w:rsidTr="000D3BCB">
        <w:trPr>
          <w:trHeight w:val="221"/>
        </w:trPr>
        <w:tc>
          <w:tcPr>
            <w:tcW w:w="1373" w:type="dxa"/>
            <w:tcBorders>
              <w:top w:val="single" w:sz="6" w:space="0" w:color="auto"/>
              <w:left w:val="single" w:sz="6" w:space="0" w:color="auto"/>
              <w:bottom w:val="single" w:sz="6" w:space="0" w:color="auto"/>
              <w:right w:val="single" w:sz="6" w:space="0" w:color="auto"/>
            </w:tcBorders>
            <w:shd w:val="clear" w:color="auto" w:fill="FFFFFF"/>
          </w:tcPr>
          <w:p w14:paraId="6644A8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У-2</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72FF89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1584</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042AE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522</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2922D8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1245</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8E752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2243</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1D6565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3127</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60049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5133</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3FEC1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3556</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3F654A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17680</w:t>
            </w:r>
          </w:p>
        </w:tc>
      </w:tr>
      <w:tr w:rsidR="00643896" w:rsidRPr="00640820" w14:paraId="69E2A6E7" w14:textId="77777777" w:rsidTr="000D3BCB">
        <w:trPr>
          <w:trHeight w:val="240"/>
        </w:trPr>
        <w:tc>
          <w:tcPr>
            <w:tcW w:w="1373" w:type="dxa"/>
            <w:tcBorders>
              <w:top w:val="single" w:sz="6" w:space="0" w:color="auto"/>
              <w:left w:val="single" w:sz="6" w:space="0" w:color="auto"/>
              <w:bottom w:val="single" w:sz="6" w:space="0" w:color="auto"/>
              <w:right w:val="single" w:sz="6" w:space="0" w:color="auto"/>
            </w:tcBorders>
            <w:shd w:val="clear" w:color="auto" w:fill="FFFFFF"/>
          </w:tcPr>
          <w:p w14:paraId="0C6A0E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Всего</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BCAEE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2675</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323769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1083</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288D7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1899</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6BB158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3221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236AB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4036</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765849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6188</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3F947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4835</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7D2AB1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24207</w:t>
            </w:r>
          </w:p>
        </w:tc>
      </w:tr>
    </w:tbl>
    <w:p w14:paraId="3729EA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Как видим, практически все самолёты этого типа относи</w:t>
      </w:r>
      <w:r w:rsidRPr="00640820">
        <w:rPr>
          <w:rFonts w:ascii="Times New Roman" w:hAnsi="Times New Roman"/>
          <w:color w:val="000000" w:themeColor="text1"/>
          <w:sz w:val="16"/>
          <w:szCs w:val="16"/>
        </w:rPr>
        <w:softHyphen/>
        <w:t>лись к безусловно устаревшим моделям. У-2 впервые взлетел в 1928 г., УТ-2 — в 1935-м. Эти самолёты ещё годились для обу</w:t>
      </w:r>
      <w:r w:rsidRPr="00640820">
        <w:rPr>
          <w:rFonts w:ascii="Times New Roman" w:hAnsi="Times New Roman"/>
          <w:color w:val="000000" w:themeColor="text1"/>
          <w:sz w:val="16"/>
          <w:szCs w:val="16"/>
        </w:rPr>
        <w:softHyphen/>
        <w:t>чения азам пилотирования, но совершенно не подходили для освоения пилотами навыков, необходимых военным лётчикам. На самом деле всё обстояло не столь плохо, как живописует вышеприведённая таблица. Для обучения истребителей суще</w:t>
      </w:r>
      <w:r w:rsidRPr="00640820">
        <w:rPr>
          <w:rFonts w:ascii="Times New Roman" w:hAnsi="Times New Roman"/>
          <w:color w:val="000000" w:themeColor="text1"/>
          <w:sz w:val="16"/>
          <w:szCs w:val="16"/>
        </w:rPr>
        <w:softHyphen/>
        <w:t>ствовали учебно-тренировочные модификации И-16 (УТИ-4) и Як-1 (УТИ-26). Последняя из них впоследствии была пре</w:t>
      </w:r>
      <w:r w:rsidRPr="00640820">
        <w:rPr>
          <w:rFonts w:ascii="Times New Roman" w:hAnsi="Times New Roman"/>
          <w:color w:val="000000" w:themeColor="text1"/>
          <w:sz w:val="16"/>
          <w:szCs w:val="16"/>
        </w:rPr>
        <w:softHyphen/>
        <w:t>образована в полноценный истребитель</w:t>
      </w:r>
      <w:r w:rsidRPr="00640820">
        <w:rPr>
          <w:rFonts w:ascii="Times New Roman" w:hAnsi="Times New Roman"/>
          <w:iCs/>
          <w:color w:val="000000" w:themeColor="text1"/>
          <w:sz w:val="16"/>
          <w:szCs w:val="16"/>
        </w:rPr>
        <w:t xml:space="preserve"> Як-1.</w:t>
      </w:r>
      <w:r w:rsidRPr="00640820">
        <w:rPr>
          <w:rFonts w:ascii="Times New Roman" w:hAnsi="Times New Roman"/>
          <w:color w:val="000000" w:themeColor="text1"/>
          <w:sz w:val="16"/>
          <w:szCs w:val="16"/>
        </w:rPr>
        <w:t xml:space="preserve"> Однако учебные истребители учтены выше, в таблице «Выпуск истребителей в годы Второй мировой войны». С учётом же того, что с 1941 г. вы</w:t>
      </w:r>
      <w:r w:rsidRPr="00640820">
        <w:rPr>
          <w:rFonts w:ascii="Times New Roman" w:hAnsi="Times New Roman"/>
          <w:color w:val="000000" w:themeColor="text1"/>
          <w:sz w:val="16"/>
          <w:szCs w:val="16"/>
        </w:rPr>
        <w:softHyphen/>
        <w:t>пуск и И-16, и УТИ-4 прекратился, а УТИ-26 стал выпускаться в варианте</w:t>
      </w:r>
      <w:r w:rsidRPr="00640820">
        <w:rPr>
          <w:rFonts w:ascii="Times New Roman" w:hAnsi="Times New Roman"/>
          <w:iCs/>
          <w:color w:val="000000" w:themeColor="text1"/>
          <w:sz w:val="16"/>
          <w:szCs w:val="16"/>
        </w:rPr>
        <w:t xml:space="preserve"> Як-1,</w:t>
      </w:r>
      <w:r w:rsidRPr="00640820">
        <w:rPr>
          <w:rFonts w:ascii="Times New Roman" w:hAnsi="Times New Roman"/>
          <w:color w:val="000000" w:themeColor="text1"/>
          <w:sz w:val="16"/>
          <w:szCs w:val="16"/>
        </w:rPr>
        <w:t xml:space="preserve"> ситуация с учебно-тренировочными самолётами действительно стала безрадостной. Фактически учить пилотов специфике военной авиации приходилось на действительно боевых самолётах, вырабатывая отнюдь не бесконечный ресурс двигателей, тратя дефицитное горючее и рискуя в случае ава</w:t>
      </w:r>
      <w:r w:rsidRPr="00640820">
        <w:rPr>
          <w:rFonts w:ascii="Times New Roman" w:hAnsi="Times New Roman"/>
          <w:color w:val="000000" w:themeColor="text1"/>
          <w:sz w:val="16"/>
          <w:szCs w:val="16"/>
        </w:rPr>
        <w:softHyphen/>
        <w:t>рии потерей боевой машины. Единственная попытка внедрить в серию специальный «учебный бомбардировщик» УТ-3 за</w:t>
      </w:r>
      <w:r w:rsidRPr="00640820">
        <w:rPr>
          <w:rFonts w:ascii="Times New Roman" w:hAnsi="Times New Roman"/>
          <w:color w:val="000000" w:themeColor="text1"/>
          <w:sz w:val="16"/>
          <w:szCs w:val="16"/>
        </w:rPr>
        <w:softHyphen/>
        <w:t>вершилась фиаско. И сама модель не вызвала восторгов у пред</w:t>
      </w:r>
      <w:r w:rsidRPr="00640820">
        <w:rPr>
          <w:rFonts w:ascii="Times New Roman" w:hAnsi="Times New Roman"/>
          <w:color w:val="000000" w:themeColor="text1"/>
          <w:sz w:val="16"/>
          <w:szCs w:val="16"/>
        </w:rPr>
        <w:softHyphen/>
        <w:t>ставителей ВВС, и мотор, на неё установленный так и не стал массовым, а после напала войны стало не до лечения «детских болезней» машины не самого актуального типа авиатехники.</w:t>
      </w:r>
    </w:p>
    <w:p w14:paraId="5E1AB58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Две трети всех У-2 было выпущено на заводе № 367, что ещё раз подтверждает тенденцию к концентрации основно</w:t>
      </w:r>
      <w:r w:rsidRPr="00640820">
        <w:rPr>
          <w:rFonts w:ascii="Times New Roman" w:hAnsi="Times New Roman"/>
          <w:color w:val="000000" w:themeColor="text1"/>
          <w:sz w:val="16"/>
          <w:szCs w:val="16"/>
        </w:rPr>
        <w:softHyphen/>
        <w:t>го выпуска модели на головном предприятии. Строго говоря, это верно и для УТ-2, выпуск которого базировался на заводе № 116, однако в данном случае «завязанность» выпуска на головное предприятие была менее выражена, так как на завод №116 приходилось менее половины всех выпущенных са</w:t>
      </w:r>
      <w:r w:rsidRPr="00640820">
        <w:rPr>
          <w:rFonts w:ascii="Times New Roman" w:hAnsi="Times New Roman"/>
          <w:color w:val="000000" w:themeColor="text1"/>
          <w:sz w:val="16"/>
          <w:szCs w:val="16"/>
        </w:rPr>
        <w:softHyphen/>
        <w:t>молётов этой модели. Однако в целом гипотезу о решающем значении для авиавыпуска конкретных моделей считанных головных заводов можно считать доказанной (12011).</w:t>
      </w:r>
    </w:p>
    <w:p w14:paraId="41B28E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A0DCC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завод № 153 должен был освоить проектную мощность по производству истребительной авиации и выпускать 1500 машин в год. Однако построенные для изготовления истребителей корпуса не были дооборудованы станками, электроприводами, термической печью и санитарно-техническими приспособлениями. Отсутствие оборудования и материалов не давало возможности сдать в эксплуатацию цехи, вспомогательные сооружения и культурно-бытовые учреждения, в строительство которых было вложено более 40 млн р. На заводе за год были построены здания, имевшие высокую техническую степень готовности: кузница на 93 %, ремонтно-инструментальный корпус на 76 %, центральная котельная и компрессорная на 90 %, и ряд других объектов, которые не были сданы в эксплуатацию вследствие необеспеченности оборудованием и техническими материалами стоимостью всего около 250 тыс. р. Так, в случае выделения заводу легкокабельной продукции на 50 тыс. р. можно было сдать в эксплуатацию зданий и сооружений на 15 млн р.</w:t>
      </w:r>
    </w:p>
    <w:p w14:paraId="7E5DB9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Корпус бомбардировочной авиации (проектная площадь 65 тыс. м2) был готов наполовину - 29 тыс. м2. Для завершения этого корпуса необходимы были следующие фонды: электропровода-шнура - 125 км, оконно-рамного железа - 218 т, стекла - 24 тыс. м2, металлоконструкций - 900 т, калориферов - 1200 шт. Наличие в Новосибирской области строительных материалов обеспечивало возможность окончания строительства корпуса в первой половине 1941 г. Между тем, наркомат авиапромышленности не включил в титульные списки 1941 г. ряд важных объектов (технологические лаборатории, ремонтно-механический цех, ангар), без которых невозможна была нормальная работа завода. Не было ясности в вопросе, какой тип бомбардировщика должен был выпускать завод, хотя корпуса зданий строились для производства цельнометаллических машин типа скоростных или пикирующих бомбардировщиков. Наркомат авиапромышленности не решил этот вопрос (9684).</w:t>
      </w:r>
    </w:p>
    <w:p w14:paraId="6CA717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14324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на заводе № 292 в чертежи Як-1 было внесено еще 7023 изменения в дополнение к 7460 исправлениям И-26 в 1940 г. Окончательная программа 1941 - 1350 машин (первоначальный план - 1100), сдано 1212 машин Як-1 (711,3).</w:t>
      </w:r>
    </w:p>
    <w:p w14:paraId="67CDE4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0BD11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было принято решение о массовом производстве фибровых бензобаков и замене ими имеющихся на вооружении металлических. За основу конструкции взяли баки Ме-110, Ю-88, Хе-111 (229,22).</w:t>
      </w:r>
    </w:p>
    <w:p w14:paraId="50659F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5AF06E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1941 г. действовала 8-разрядная тарифная сетка, в которой ставка </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 xml:space="preserve"> и </w:t>
      </w:r>
      <w:r w:rsidRPr="00640820">
        <w:rPr>
          <w:rFonts w:ascii="Times New Roman" w:hAnsi="Times New Roman"/>
          <w:color w:val="000000" w:themeColor="text1"/>
          <w:sz w:val="16"/>
          <w:szCs w:val="16"/>
          <w:lang w:val="en-US"/>
        </w:rPr>
        <w:t>VIII</w:t>
      </w:r>
      <w:r w:rsidRPr="00640820">
        <w:rPr>
          <w:rFonts w:ascii="Times New Roman" w:hAnsi="Times New Roman"/>
          <w:color w:val="000000" w:themeColor="text1"/>
          <w:sz w:val="16"/>
          <w:szCs w:val="16"/>
        </w:rPr>
        <w:t xml:space="preserve"> разрядов соотносились как 1:3,6 (РГАЭ. Ф. 8044. </w:t>
      </w:r>
      <w:r w:rsidRPr="00640820">
        <w:rPr>
          <w:rFonts w:ascii="Times New Roman" w:hAnsi="Times New Roman"/>
          <w:color w:val="000000" w:themeColor="text1"/>
          <w:sz w:val="16"/>
          <w:szCs w:val="16"/>
          <w:lang w:val="en-US"/>
        </w:rPr>
        <w:t>On</w:t>
      </w:r>
      <w:r w:rsidRPr="00640820">
        <w:rPr>
          <w:rFonts w:ascii="Times New Roman" w:hAnsi="Times New Roman"/>
          <w:color w:val="000000" w:themeColor="text1"/>
          <w:sz w:val="16"/>
          <w:szCs w:val="16"/>
        </w:rPr>
        <w:t xml:space="preserve">. 1. Д. 647. Л. 19), то есть существенно не изменилась с 1938 г. Однако абсолютные значения ставки </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 xml:space="preserve"> разряда, от которой определялись ставки и всех последующих разрядов, мота колебаться в довольно су</w:t>
      </w:r>
      <w:r w:rsidRPr="00640820">
        <w:rPr>
          <w:rFonts w:ascii="Times New Roman" w:hAnsi="Times New Roman"/>
          <w:color w:val="000000" w:themeColor="text1"/>
          <w:sz w:val="16"/>
          <w:szCs w:val="16"/>
        </w:rPr>
        <w:softHyphen/>
        <w:t>щественных пределах.</w:t>
      </w:r>
    </w:p>
    <w:p w14:paraId="06A8D0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rPr>
        <w:t xml:space="preserve">Почасовые ставки рабочего </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 xml:space="preserve"> разряда в 1941 г. на некоторых заводах НКАП (коп.) </w:t>
      </w:r>
      <w:r w:rsidRPr="00640820">
        <w:rPr>
          <w:rFonts w:ascii="Times New Roman" w:hAnsi="Times New Roman"/>
          <w:color w:val="000000" w:themeColor="text1"/>
          <w:sz w:val="16"/>
          <w:szCs w:val="16"/>
          <w:lang w:val="en-US"/>
        </w:rPr>
        <w:t>(РГАЭ. Ф. 8044. On. 1. Д. 651. Л. 130).</w:t>
      </w:r>
    </w:p>
    <w:tbl>
      <w:tblPr>
        <w:tblW w:w="0" w:type="auto"/>
        <w:tblInd w:w="8" w:type="dxa"/>
        <w:tblLayout w:type="fixed"/>
        <w:tblCellMar>
          <w:left w:w="0" w:type="dxa"/>
          <w:right w:w="0" w:type="dxa"/>
        </w:tblCellMar>
        <w:tblLook w:val="0000" w:firstRow="0" w:lastRow="0" w:firstColumn="0" w:lastColumn="0" w:noHBand="0" w:noVBand="0"/>
      </w:tblPr>
      <w:tblGrid>
        <w:gridCol w:w="1987"/>
        <w:gridCol w:w="1973"/>
        <w:gridCol w:w="1982"/>
      </w:tblGrid>
      <w:tr w:rsidR="00643896" w:rsidRPr="00640820" w14:paraId="1DD944A0" w14:textId="77777777" w:rsidTr="000D3BCB">
        <w:trPr>
          <w:trHeight w:val="235"/>
        </w:trPr>
        <w:tc>
          <w:tcPr>
            <w:tcW w:w="1987" w:type="dxa"/>
            <w:tcBorders>
              <w:top w:val="single" w:sz="6" w:space="0" w:color="auto"/>
              <w:left w:val="single" w:sz="6" w:space="0" w:color="auto"/>
              <w:bottom w:val="single" w:sz="6" w:space="0" w:color="auto"/>
              <w:right w:val="single" w:sz="6" w:space="0" w:color="auto"/>
            </w:tcBorders>
            <w:shd w:val="clear" w:color="auto" w:fill="FFFFFF"/>
          </w:tcPr>
          <w:p w14:paraId="15638A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Завод</w:t>
            </w:r>
          </w:p>
        </w:tc>
        <w:tc>
          <w:tcPr>
            <w:tcW w:w="1973" w:type="dxa"/>
            <w:tcBorders>
              <w:top w:val="single" w:sz="6" w:space="0" w:color="auto"/>
              <w:left w:val="single" w:sz="6" w:space="0" w:color="auto"/>
              <w:bottom w:val="single" w:sz="6" w:space="0" w:color="auto"/>
              <w:right w:val="single" w:sz="6" w:space="0" w:color="auto"/>
            </w:tcBorders>
            <w:shd w:val="clear" w:color="auto" w:fill="FFFFFF"/>
          </w:tcPr>
          <w:p w14:paraId="26CB2D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Ставка сдельщика</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5B927D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Ставка повременщика</w:t>
            </w:r>
          </w:p>
        </w:tc>
      </w:tr>
      <w:tr w:rsidR="00643896" w:rsidRPr="00640820" w14:paraId="596DBEFB" w14:textId="77777777" w:rsidTr="000D3BCB">
        <w:trPr>
          <w:trHeight w:val="221"/>
        </w:trPr>
        <w:tc>
          <w:tcPr>
            <w:tcW w:w="1987" w:type="dxa"/>
            <w:tcBorders>
              <w:top w:val="single" w:sz="6" w:space="0" w:color="auto"/>
              <w:left w:val="single" w:sz="6" w:space="0" w:color="auto"/>
              <w:bottom w:val="single" w:sz="6" w:space="0" w:color="auto"/>
              <w:right w:val="single" w:sz="6" w:space="0" w:color="auto"/>
            </w:tcBorders>
            <w:shd w:val="clear" w:color="auto" w:fill="FFFFFF"/>
          </w:tcPr>
          <w:p w14:paraId="332A6B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383 (Москва)</w:t>
            </w:r>
          </w:p>
        </w:tc>
        <w:tc>
          <w:tcPr>
            <w:tcW w:w="1973" w:type="dxa"/>
            <w:tcBorders>
              <w:top w:val="single" w:sz="6" w:space="0" w:color="auto"/>
              <w:left w:val="single" w:sz="6" w:space="0" w:color="auto"/>
              <w:bottom w:val="single" w:sz="6" w:space="0" w:color="auto"/>
              <w:right w:val="single" w:sz="6" w:space="0" w:color="auto"/>
            </w:tcBorders>
            <w:shd w:val="clear" w:color="auto" w:fill="FFFFFF"/>
          </w:tcPr>
          <w:p w14:paraId="7D7331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78,75</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4731B8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70,0</w:t>
            </w:r>
          </w:p>
        </w:tc>
      </w:tr>
      <w:tr w:rsidR="00643896" w:rsidRPr="00640820" w14:paraId="2CCCE5A9" w14:textId="77777777" w:rsidTr="000D3BCB">
        <w:trPr>
          <w:trHeight w:val="226"/>
        </w:trPr>
        <w:tc>
          <w:tcPr>
            <w:tcW w:w="1987" w:type="dxa"/>
            <w:tcBorders>
              <w:top w:val="single" w:sz="6" w:space="0" w:color="auto"/>
              <w:left w:val="single" w:sz="6" w:space="0" w:color="auto"/>
              <w:bottom w:val="single" w:sz="6" w:space="0" w:color="auto"/>
              <w:right w:val="single" w:sz="6" w:space="0" w:color="auto"/>
            </w:tcBorders>
            <w:shd w:val="clear" w:color="auto" w:fill="FFFFFF"/>
          </w:tcPr>
          <w:p w14:paraId="6244863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№449 (Саратов)</w:t>
            </w:r>
          </w:p>
        </w:tc>
        <w:tc>
          <w:tcPr>
            <w:tcW w:w="1973" w:type="dxa"/>
            <w:tcBorders>
              <w:top w:val="single" w:sz="6" w:space="0" w:color="auto"/>
              <w:left w:val="single" w:sz="6" w:space="0" w:color="auto"/>
              <w:bottom w:val="single" w:sz="6" w:space="0" w:color="auto"/>
              <w:right w:val="single" w:sz="6" w:space="0" w:color="auto"/>
            </w:tcBorders>
            <w:shd w:val="clear" w:color="auto" w:fill="FFFFFF"/>
          </w:tcPr>
          <w:p w14:paraId="79DEB0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70,0</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6F3705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61,25</w:t>
            </w:r>
          </w:p>
        </w:tc>
      </w:tr>
      <w:tr w:rsidR="00643896" w:rsidRPr="00640820" w14:paraId="18F7AEB8" w14:textId="77777777" w:rsidTr="000D3BCB">
        <w:trPr>
          <w:trHeight w:val="235"/>
        </w:trPr>
        <w:tc>
          <w:tcPr>
            <w:tcW w:w="1987" w:type="dxa"/>
            <w:tcBorders>
              <w:top w:val="single" w:sz="6" w:space="0" w:color="auto"/>
              <w:left w:val="single" w:sz="6" w:space="0" w:color="auto"/>
              <w:bottom w:val="single" w:sz="6" w:space="0" w:color="auto"/>
              <w:right w:val="single" w:sz="6" w:space="0" w:color="auto"/>
            </w:tcBorders>
            <w:shd w:val="clear" w:color="auto" w:fill="FFFFFF"/>
          </w:tcPr>
          <w:p w14:paraId="4B9345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155 (Харьков)</w:t>
            </w:r>
          </w:p>
        </w:tc>
        <w:tc>
          <w:tcPr>
            <w:tcW w:w="1973" w:type="dxa"/>
            <w:tcBorders>
              <w:top w:val="single" w:sz="6" w:space="0" w:color="auto"/>
              <w:left w:val="single" w:sz="6" w:space="0" w:color="auto"/>
              <w:bottom w:val="single" w:sz="6" w:space="0" w:color="auto"/>
              <w:right w:val="single" w:sz="6" w:space="0" w:color="auto"/>
            </w:tcBorders>
            <w:shd w:val="clear" w:color="auto" w:fill="FFFFFF"/>
          </w:tcPr>
          <w:p w14:paraId="6BCD20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78,8</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3774DAB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65,6</w:t>
            </w:r>
          </w:p>
        </w:tc>
      </w:tr>
    </w:tbl>
    <w:p w14:paraId="70F695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Такой разнобой не мог не продуцировать роста текучести кадров. Крайним случаем такой борьбы за кадры стал эпи</w:t>
      </w:r>
      <w:r w:rsidRPr="00640820">
        <w:rPr>
          <w:rFonts w:ascii="Times New Roman" w:hAnsi="Times New Roman"/>
          <w:color w:val="000000" w:themeColor="text1"/>
          <w:sz w:val="16"/>
          <w:szCs w:val="16"/>
        </w:rPr>
        <w:softHyphen/>
        <w:t>зод с заводом № 464. Это предприятие было создано на базе уже существовавшего в Риге производства, но практически не имело кадра персонала. Антонов, назначенный руководить заводом, учёл менталитет местного населения и начал полно</w:t>
      </w:r>
      <w:r w:rsidRPr="00640820">
        <w:rPr>
          <w:rFonts w:ascii="Times New Roman" w:hAnsi="Times New Roman"/>
          <w:color w:val="000000" w:themeColor="text1"/>
          <w:sz w:val="16"/>
          <w:szCs w:val="16"/>
        </w:rPr>
        <w:softHyphen/>
        <w:t>масштабную рекламную акцию, заманивая рабочих к себе на завод обещаниями высоких окладов. Чтобы довести за</w:t>
      </w:r>
      <w:r w:rsidRPr="00640820">
        <w:rPr>
          <w:rFonts w:ascii="Times New Roman" w:hAnsi="Times New Roman"/>
          <w:color w:val="000000" w:themeColor="text1"/>
          <w:sz w:val="16"/>
          <w:szCs w:val="16"/>
        </w:rPr>
        <w:softHyphen/>
        <w:t>водскую рекламу «до каждого», практиковалась рассылка по почте специальных рекламных открыток и личные беседы. Успех пропагандистской акции был столь велик, что рижский Арсенал начал жаловаться в вышестоящие органы на авиа</w:t>
      </w:r>
      <w:r w:rsidRPr="00640820">
        <w:rPr>
          <w:rFonts w:ascii="Times New Roman" w:hAnsi="Times New Roman"/>
          <w:color w:val="000000" w:themeColor="text1"/>
          <w:sz w:val="16"/>
          <w:szCs w:val="16"/>
        </w:rPr>
        <w:softHyphen/>
        <w:t xml:space="preserve">строителей, которые сманивают к себе лучшие кадры (РГАЭ. Ф. 8044. </w:t>
      </w:r>
      <w:r w:rsidRPr="00640820">
        <w:rPr>
          <w:rFonts w:ascii="Times New Roman" w:hAnsi="Times New Roman"/>
          <w:color w:val="000000" w:themeColor="text1"/>
          <w:sz w:val="16"/>
          <w:szCs w:val="16"/>
          <w:lang w:val="en-US"/>
        </w:rPr>
        <w:t>On</w:t>
      </w:r>
      <w:r w:rsidRPr="00640820">
        <w:rPr>
          <w:rFonts w:ascii="Times New Roman" w:hAnsi="Times New Roman"/>
          <w:color w:val="000000" w:themeColor="text1"/>
          <w:sz w:val="16"/>
          <w:szCs w:val="16"/>
        </w:rPr>
        <w:t>. 1. Д. 2775. Л. 20-23).</w:t>
      </w:r>
    </w:p>
    <w:p w14:paraId="3ED4DB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Особенно тяжёлая ситуация с персоналом сложилась на йвиапредприятиях в восточных регионах страны. Пытаясь закрепить рабочую силу на заводах и хоть как-то обуздать на</w:t>
      </w:r>
      <w:r w:rsidRPr="00640820">
        <w:rPr>
          <w:rFonts w:ascii="Times New Roman" w:hAnsi="Times New Roman"/>
          <w:color w:val="000000" w:themeColor="text1"/>
          <w:sz w:val="16"/>
          <w:szCs w:val="16"/>
        </w:rPr>
        <w:softHyphen/>
        <w:t>раставшую текучесть, ещё 23 ноября 1940 г. Экономсовет при СНК разрешил НКАП официально ввести на ряде заводов, находящихся в отделённых регионах, поправочные коэффи</w:t>
      </w:r>
      <w:r w:rsidRPr="00640820">
        <w:rPr>
          <w:rFonts w:ascii="Times New Roman" w:hAnsi="Times New Roman"/>
          <w:color w:val="000000" w:themeColor="text1"/>
          <w:sz w:val="16"/>
          <w:szCs w:val="16"/>
        </w:rPr>
        <w:softHyphen/>
        <w:t>циенты к окладам ИТР и служащих:</w:t>
      </w:r>
    </w:p>
    <w:p w14:paraId="070418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Легко заметить, что чем восточней дислоцировался завод, тем больше на нём был поправочный коэффициент. Интерес</w:t>
      </w:r>
      <w:r w:rsidRPr="00640820">
        <w:rPr>
          <w:rFonts w:ascii="Times New Roman" w:hAnsi="Times New Roman"/>
          <w:color w:val="000000" w:themeColor="text1"/>
          <w:sz w:val="16"/>
          <w:szCs w:val="16"/>
        </w:rPr>
        <w:softHyphen/>
        <w:t>но, что руководство завода № 153, расположенного в Новоси</w:t>
      </w:r>
      <w:r w:rsidRPr="00640820">
        <w:rPr>
          <w:rFonts w:ascii="Times New Roman" w:hAnsi="Times New Roman"/>
          <w:color w:val="000000" w:themeColor="text1"/>
          <w:sz w:val="16"/>
          <w:szCs w:val="16"/>
        </w:rPr>
        <w:softHyphen/>
        <w:t>бирске, очень сетовало, что хотя снабжение товарами питания И широкого потребления Новосибирска, Иркутска и Улан-Удэ примерно одинаковое, уровень зарплат на «восточных» заво</w:t>
      </w:r>
      <w:r w:rsidRPr="00640820">
        <w:rPr>
          <w:rFonts w:ascii="Times New Roman" w:hAnsi="Times New Roman"/>
          <w:color w:val="000000" w:themeColor="text1"/>
          <w:sz w:val="16"/>
          <w:szCs w:val="16"/>
        </w:rPr>
        <w:softHyphen/>
        <w:t>дах выше, поэтому инженерные кадры предпочитали либо зацепиться за центральные регионы, где уровень снабжения был повыше, либо уж ехать за совсем «длинным рублём» на Дальний Восток. В результате новосибирский завод, оказав</w:t>
      </w:r>
      <w:r w:rsidRPr="00640820">
        <w:rPr>
          <w:rFonts w:ascii="Times New Roman" w:hAnsi="Times New Roman"/>
          <w:color w:val="000000" w:themeColor="text1"/>
          <w:sz w:val="16"/>
          <w:szCs w:val="16"/>
        </w:rPr>
        <w:softHyphen/>
        <w:t>шийся в положении «ни два, ни полтора», постоянно испыты</w:t>
      </w:r>
      <w:r w:rsidRPr="00640820">
        <w:rPr>
          <w:rFonts w:ascii="Times New Roman" w:hAnsi="Times New Roman"/>
          <w:color w:val="000000" w:themeColor="text1"/>
          <w:sz w:val="16"/>
          <w:szCs w:val="16"/>
        </w:rPr>
        <w:softHyphen/>
        <w:t>вал жёсткий дефицит ИТР (</w:t>
      </w:r>
      <w:r w:rsidRPr="00640820">
        <w:rPr>
          <w:rFonts w:ascii="Times New Roman" w:hAnsi="Times New Roman"/>
          <w:iCs/>
          <w:color w:val="000000" w:themeColor="text1"/>
          <w:sz w:val="16"/>
          <w:szCs w:val="16"/>
        </w:rPr>
        <w:t>Савицкий КМ.</w:t>
      </w:r>
      <w:r w:rsidRPr="00640820">
        <w:rPr>
          <w:rFonts w:ascii="Times New Roman" w:hAnsi="Times New Roman"/>
          <w:color w:val="000000" w:themeColor="text1"/>
          <w:sz w:val="16"/>
          <w:szCs w:val="16"/>
        </w:rPr>
        <w:t xml:space="preserve"> Указ. соч. С. 31).</w:t>
      </w:r>
    </w:p>
    <w:p w14:paraId="432C2D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rPr>
        <w:t xml:space="preserve">Поправочные коэффициенты к окладам ИТР н служащих, введённые 23 ноября 1940 г. для сотрудников авиазаводов отдалённых регионов (РГАЭ. Ф. 8044. </w:t>
      </w:r>
      <w:r w:rsidRPr="00640820">
        <w:rPr>
          <w:rFonts w:ascii="Times New Roman" w:hAnsi="Times New Roman"/>
          <w:color w:val="000000" w:themeColor="text1"/>
          <w:sz w:val="16"/>
          <w:szCs w:val="16"/>
          <w:lang w:val="en-US"/>
        </w:rPr>
        <w:t>On. 1. Д. 408. Л. 38)</w:t>
      </w:r>
    </w:p>
    <w:tbl>
      <w:tblPr>
        <w:tblW w:w="0" w:type="auto"/>
        <w:tblInd w:w="8" w:type="dxa"/>
        <w:tblLayout w:type="fixed"/>
        <w:tblCellMar>
          <w:left w:w="0" w:type="dxa"/>
          <w:right w:w="0" w:type="dxa"/>
        </w:tblCellMar>
        <w:tblLook w:val="0000" w:firstRow="0" w:lastRow="0" w:firstColumn="0" w:lastColumn="0" w:noHBand="0" w:noVBand="0"/>
      </w:tblPr>
      <w:tblGrid>
        <w:gridCol w:w="2966"/>
        <w:gridCol w:w="2976"/>
      </w:tblGrid>
      <w:tr w:rsidR="00643896" w:rsidRPr="00640820" w14:paraId="747397AC" w14:textId="77777777" w:rsidTr="000D3BCB">
        <w:trPr>
          <w:trHeight w:val="235"/>
        </w:trPr>
        <w:tc>
          <w:tcPr>
            <w:tcW w:w="2966" w:type="dxa"/>
            <w:tcBorders>
              <w:top w:val="single" w:sz="6" w:space="0" w:color="auto"/>
              <w:left w:val="single" w:sz="6" w:space="0" w:color="auto"/>
              <w:bottom w:val="single" w:sz="6" w:space="0" w:color="auto"/>
              <w:right w:val="single" w:sz="6" w:space="0" w:color="auto"/>
            </w:tcBorders>
            <w:shd w:val="clear" w:color="auto" w:fill="FFFFFF"/>
          </w:tcPr>
          <w:p w14:paraId="10D6B8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завода</w:t>
            </w:r>
          </w:p>
        </w:tc>
        <w:tc>
          <w:tcPr>
            <w:tcW w:w="2976" w:type="dxa"/>
            <w:tcBorders>
              <w:top w:val="single" w:sz="6" w:space="0" w:color="auto"/>
              <w:left w:val="single" w:sz="6" w:space="0" w:color="auto"/>
              <w:bottom w:val="single" w:sz="6" w:space="0" w:color="auto"/>
              <w:right w:val="single" w:sz="6" w:space="0" w:color="auto"/>
            </w:tcBorders>
            <w:shd w:val="clear" w:color="auto" w:fill="FFFFFF"/>
          </w:tcPr>
          <w:p w14:paraId="187FA8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Поправочный коэффициент</w:t>
            </w:r>
          </w:p>
        </w:tc>
      </w:tr>
      <w:tr w:rsidR="00643896" w:rsidRPr="00640820" w14:paraId="06BD5199" w14:textId="77777777" w:rsidTr="000D3BCB">
        <w:trPr>
          <w:trHeight w:val="221"/>
        </w:trPr>
        <w:tc>
          <w:tcPr>
            <w:tcW w:w="2966" w:type="dxa"/>
            <w:tcBorders>
              <w:top w:val="single" w:sz="6" w:space="0" w:color="auto"/>
              <w:left w:val="single" w:sz="6" w:space="0" w:color="auto"/>
              <w:bottom w:val="single" w:sz="6" w:space="0" w:color="auto"/>
              <w:right w:val="single" w:sz="6" w:space="0" w:color="auto"/>
            </w:tcBorders>
            <w:shd w:val="clear" w:color="auto" w:fill="FFFFFF"/>
          </w:tcPr>
          <w:p w14:paraId="118E94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116</w:t>
            </w:r>
          </w:p>
        </w:tc>
        <w:tc>
          <w:tcPr>
            <w:tcW w:w="2976" w:type="dxa"/>
            <w:tcBorders>
              <w:top w:val="single" w:sz="6" w:space="0" w:color="auto"/>
              <w:left w:val="single" w:sz="6" w:space="0" w:color="auto"/>
              <w:bottom w:val="single" w:sz="6" w:space="0" w:color="auto"/>
              <w:right w:val="single" w:sz="6" w:space="0" w:color="auto"/>
            </w:tcBorders>
            <w:shd w:val="clear" w:color="auto" w:fill="FFFFFF"/>
          </w:tcPr>
          <w:p w14:paraId="25D566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w:t>
            </w:r>
          </w:p>
        </w:tc>
      </w:tr>
      <w:tr w:rsidR="00643896" w:rsidRPr="00640820" w14:paraId="4FB9459D" w14:textId="77777777" w:rsidTr="000D3BCB">
        <w:trPr>
          <w:trHeight w:val="226"/>
        </w:trPr>
        <w:tc>
          <w:tcPr>
            <w:tcW w:w="2966" w:type="dxa"/>
            <w:tcBorders>
              <w:top w:val="single" w:sz="6" w:space="0" w:color="auto"/>
              <w:left w:val="single" w:sz="6" w:space="0" w:color="auto"/>
              <w:bottom w:val="single" w:sz="6" w:space="0" w:color="auto"/>
              <w:right w:val="single" w:sz="6" w:space="0" w:color="auto"/>
            </w:tcBorders>
            <w:shd w:val="clear" w:color="auto" w:fill="FFFFFF"/>
          </w:tcPr>
          <w:p w14:paraId="27F003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126</w:t>
            </w:r>
          </w:p>
        </w:tc>
        <w:tc>
          <w:tcPr>
            <w:tcW w:w="2976" w:type="dxa"/>
            <w:tcBorders>
              <w:top w:val="single" w:sz="6" w:space="0" w:color="auto"/>
              <w:left w:val="single" w:sz="6" w:space="0" w:color="auto"/>
              <w:bottom w:val="single" w:sz="6" w:space="0" w:color="auto"/>
              <w:right w:val="single" w:sz="6" w:space="0" w:color="auto"/>
            </w:tcBorders>
            <w:shd w:val="clear" w:color="auto" w:fill="FFFFFF"/>
          </w:tcPr>
          <w:p w14:paraId="3DB47A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w:t>
            </w:r>
          </w:p>
        </w:tc>
      </w:tr>
      <w:tr w:rsidR="00643896" w:rsidRPr="00640820" w14:paraId="33CBD48D" w14:textId="77777777" w:rsidTr="000D3BCB">
        <w:trPr>
          <w:trHeight w:val="221"/>
        </w:trPr>
        <w:tc>
          <w:tcPr>
            <w:tcW w:w="2966" w:type="dxa"/>
            <w:tcBorders>
              <w:top w:val="single" w:sz="6" w:space="0" w:color="auto"/>
              <w:left w:val="single" w:sz="6" w:space="0" w:color="auto"/>
              <w:bottom w:val="single" w:sz="6" w:space="0" w:color="auto"/>
              <w:right w:val="single" w:sz="6" w:space="0" w:color="auto"/>
            </w:tcBorders>
            <w:shd w:val="clear" w:color="auto" w:fill="FFFFFF"/>
          </w:tcPr>
          <w:p w14:paraId="11B07C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83</w:t>
            </w:r>
          </w:p>
        </w:tc>
        <w:tc>
          <w:tcPr>
            <w:tcW w:w="2976" w:type="dxa"/>
            <w:tcBorders>
              <w:top w:val="single" w:sz="6" w:space="0" w:color="auto"/>
              <w:left w:val="single" w:sz="6" w:space="0" w:color="auto"/>
              <w:bottom w:val="single" w:sz="6" w:space="0" w:color="auto"/>
              <w:right w:val="single" w:sz="6" w:space="0" w:color="auto"/>
            </w:tcBorders>
            <w:shd w:val="clear" w:color="auto" w:fill="FFFFFF"/>
          </w:tcPr>
          <w:p w14:paraId="3A9CFE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w:t>
            </w:r>
          </w:p>
        </w:tc>
      </w:tr>
      <w:tr w:rsidR="00643896" w:rsidRPr="00640820" w14:paraId="671C355F" w14:textId="77777777" w:rsidTr="000D3BCB">
        <w:trPr>
          <w:trHeight w:val="221"/>
        </w:trPr>
        <w:tc>
          <w:tcPr>
            <w:tcW w:w="2966" w:type="dxa"/>
            <w:tcBorders>
              <w:top w:val="single" w:sz="6" w:space="0" w:color="auto"/>
              <w:left w:val="single" w:sz="6" w:space="0" w:color="auto"/>
              <w:bottom w:val="single" w:sz="6" w:space="0" w:color="auto"/>
              <w:right w:val="single" w:sz="6" w:space="0" w:color="auto"/>
            </w:tcBorders>
            <w:shd w:val="clear" w:color="auto" w:fill="FFFFFF"/>
          </w:tcPr>
          <w:p w14:paraId="2DA601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99</w:t>
            </w:r>
          </w:p>
        </w:tc>
        <w:tc>
          <w:tcPr>
            <w:tcW w:w="2976" w:type="dxa"/>
            <w:tcBorders>
              <w:top w:val="single" w:sz="6" w:space="0" w:color="auto"/>
              <w:left w:val="single" w:sz="6" w:space="0" w:color="auto"/>
              <w:bottom w:val="single" w:sz="6" w:space="0" w:color="auto"/>
              <w:right w:val="single" w:sz="6" w:space="0" w:color="auto"/>
            </w:tcBorders>
            <w:shd w:val="clear" w:color="auto" w:fill="FFFFFF"/>
          </w:tcPr>
          <w:p w14:paraId="548756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r>
      <w:tr w:rsidR="00643896" w:rsidRPr="00640820" w14:paraId="5F682832" w14:textId="77777777" w:rsidTr="000D3BCB">
        <w:trPr>
          <w:trHeight w:val="226"/>
        </w:trPr>
        <w:tc>
          <w:tcPr>
            <w:tcW w:w="2966" w:type="dxa"/>
            <w:tcBorders>
              <w:top w:val="single" w:sz="6" w:space="0" w:color="auto"/>
              <w:left w:val="single" w:sz="6" w:space="0" w:color="auto"/>
              <w:bottom w:val="single" w:sz="6" w:space="0" w:color="auto"/>
              <w:right w:val="single" w:sz="6" w:space="0" w:color="auto"/>
            </w:tcBorders>
            <w:shd w:val="clear" w:color="auto" w:fill="FFFFFF"/>
          </w:tcPr>
          <w:p w14:paraId="40387C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125</w:t>
            </w:r>
          </w:p>
        </w:tc>
        <w:tc>
          <w:tcPr>
            <w:tcW w:w="2976" w:type="dxa"/>
            <w:tcBorders>
              <w:top w:val="single" w:sz="6" w:space="0" w:color="auto"/>
              <w:left w:val="single" w:sz="6" w:space="0" w:color="auto"/>
              <w:bottom w:val="single" w:sz="6" w:space="0" w:color="auto"/>
              <w:right w:val="single" w:sz="6" w:space="0" w:color="auto"/>
            </w:tcBorders>
            <w:shd w:val="clear" w:color="auto" w:fill="FFFFFF"/>
          </w:tcPr>
          <w:p w14:paraId="521089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1,35</w:t>
            </w:r>
          </w:p>
        </w:tc>
      </w:tr>
      <w:tr w:rsidR="00643896" w:rsidRPr="00640820" w14:paraId="795ECFD3" w14:textId="77777777" w:rsidTr="000D3BCB">
        <w:trPr>
          <w:trHeight w:val="240"/>
        </w:trPr>
        <w:tc>
          <w:tcPr>
            <w:tcW w:w="2966" w:type="dxa"/>
            <w:tcBorders>
              <w:top w:val="single" w:sz="6" w:space="0" w:color="auto"/>
              <w:left w:val="single" w:sz="6" w:space="0" w:color="auto"/>
              <w:bottom w:val="single" w:sz="6" w:space="0" w:color="auto"/>
              <w:right w:val="single" w:sz="6" w:space="0" w:color="auto"/>
            </w:tcBorders>
            <w:shd w:val="clear" w:color="auto" w:fill="FFFFFF"/>
          </w:tcPr>
          <w:p w14:paraId="39DAF5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153</w:t>
            </w:r>
          </w:p>
        </w:tc>
        <w:tc>
          <w:tcPr>
            <w:tcW w:w="2976" w:type="dxa"/>
            <w:tcBorders>
              <w:top w:val="single" w:sz="6" w:space="0" w:color="auto"/>
              <w:left w:val="single" w:sz="6" w:space="0" w:color="auto"/>
              <w:bottom w:val="single" w:sz="6" w:space="0" w:color="auto"/>
              <w:right w:val="single" w:sz="6" w:space="0" w:color="auto"/>
            </w:tcBorders>
            <w:shd w:val="clear" w:color="auto" w:fill="FFFFFF"/>
          </w:tcPr>
          <w:p w14:paraId="1FFAF3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U</w:t>
            </w:r>
          </w:p>
        </w:tc>
      </w:tr>
    </w:tbl>
    <w:p w14:paraId="4557BC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Параллельно с повышением расценок на заводах, распо</w:t>
      </w:r>
      <w:r w:rsidRPr="00640820">
        <w:rPr>
          <w:rFonts w:ascii="Times New Roman" w:hAnsi="Times New Roman"/>
          <w:color w:val="000000" w:themeColor="text1"/>
          <w:sz w:val="16"/>
          <w:szCs w:val="16"/>
        </w:rPr>
        <w:softHyphen/>
        <w:t>ложенных в удалённых регионах страны, руководство НКАП пыталось сократить расходы на рабочую силу предприятий, дислоцированных ближе к центру. Так, например, в марте 1941 г. на ряде заводов—№ 1,16,22,32,33,34,39,84,305 — был проведён очередной пересмотр норм выработки, который вылился в массовое снижение расценок. Разумеется, это вы</w:t>
      </w:r>
      <w:r w:rsidRPr="00640820">
        <w:rPr>
          <w:rFonts w:ascii="Times New Roman" w:hAnsi="Times New Roman"/>
          <w:color w:val="000000" w:themeColor="text1"/>
          <w:sz w:val="16"/>
          <w:szCs w:val="16"/>
        </w:rPr>
        <w:softHyphen/>
        <w:t>звало определённую напряжённость в коллективе указанных заводов. Далеко не все рабочие, особенно вновь принятые на авиапредприятия, были в состоянии выполнять новые, повы</w:t>
      </w:r>
      <w:r w:rsidRPr="00640820">
        <w:rPr>
          <w:rFonts w:ascii="Times New Roman" w:hAnsi="Times New Roman"/>
          <w:color w:val="000000" w:themeColor="text1"/>
          <w:sz w:val="16"/>
          <w:szCs w:val="16"/>
        </w:rPr>
        <w:softHyphen/>
        <w:t xml:space="preserve">шенные нормы. Так, на заводе № 16 в </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 xml:space="preserve"> квартале 1941 г. с этой задачей не справились 18,6 % рабочих-сделыциков (РГАЭ. Ф. 8044. </w:t>
      </w:r>
      <w:r w:rsidRPr="00640820">
        <w:rPr>
          <w:rFonts w:ascii="Times New Roman" w:hAnsi="Times New Roman"/>
          <w:color w:val="000000" w:themeColor="text1"/>
          <w:sz w:val="16"/>
          <w:szCs w:val="16"/>
          <w:lang w:val="en-US"/>
        </w:rPr>
        <w:t>On</w:t>
      </w:r>
      <w:r w:rsidRPr="00640820">
        <w:rPr>
          <w:rFonts w:ascii="Times New Roman" w:hAnsi="Times New Roman"/>
          <w:color w:val="000000" w:themeColor="text1"/>
          <w:sz w:val="16"/>
          <w:szCs w:val="16"/>
        </w:rPr>
        <w:t>. 1. Д. 674. Л. 44).</w:t>
      </w:r>
    </w:p>
    <w:p w14:paraId="51F2D4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BD785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потребовалось изменить Руководство для конструкторских бюро и ЛИС и в 1942 за это дали госпремию. В 1944 вышло второе, в 1947 - третье издание (88,149).</w:t>
      </w:r>
    </w:p>
    <w:p w14:paraId="462137A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361F9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1941 г. на месте планерного завода № 3 объединением Завода № 493 НКАП и Завода № 457 НКАП был вновь образовался в Тушино Завод № 464 НКАП (Завод № 464 НКАП, МОП, МАП, Долгопрудненский машиностроительный завод (ДМЗ), ДМПО, Долгопрудненское научно-производственное предприятие (ДНПП), ОАО «ДНПП» /г. Тушино Московской обл.;  г. Тюмень;  г. Долгопрудный Московской обл./ /141700  г. Долгопрудный Московской обл. пл. Собина, 1 тел. 408-34-22/). Гл. конструктор с 07.1941 г.- </w:t>
      </w:r>
      <w:r w:rsidRPr="00640820">
        <w:rPr>
          <w:rFonts w:ascii="Times New Roman" w:hAnsi="Times New Roman"/>
          <w:color w:val="000000" w:themeColor="text1"/>
          <w:sz w:val="16"/>
          <w:szCs w:val="16"/>
          <w:lang w:val="en-US"/>
        </w:rPr>
        <w:t>O</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K</w:t>
      </w:r>
      <w:r w:rsidRPr="00640820">
        <w:rPr>
          <w:rFonts w:ascii="Times New Roman" w:hAnsi="Times New Roman"/>
          <w:color w:val="000000" w:themeColor="text1"/>
          <w:sz w:val="16"/>
          <w:szCs w:val="16"/>
        </w:rPr>
        <w:t>. Антонов. Разработан десантный планер А-7, который строился серийно на заводах № 241 и № 445 в Тюмени и Алапаевске, а с конца 1942 г.- на заводе № 499. 15.10.1941 г. завод № 464 эвакуирован в Тюмень на площади бывшего пивоваренного завода и крытого рынка.</w:t>
      </w:r>
    </w:p>
    <w:p w14:paraId="60A52E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340с от 4.05.1942 г. завод № 464 реэвакуирован в Тушино на площадку бывшего завода № 445 НКАП для увеличения производства планера А-7.</w:t>
      </w:r>
    </w:p>
    <w:p w14:paraId="3BFB7A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618с от 12.08.1942 г. завод № 464 был определен ведущим по производству А-7 и А-2 и по их модификации. Для этого ОКБ Антонова переведено с завода № 241 в Тушино для продолжения работ по планерам.</w:t>
      </w:r>
    </w:p>
    <w:p w14:paraId="39A7FA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707с от 16.09.1942 г. в состав завода № 464 влиты заводы № 388 и № 457 НКАП. Профиль завода изменен: вместо А-7 началось производство самолета Як-6.</w:t>
      </w:r>
    </w:p>
    <w:p w14:paraId="7C417B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789с от 19.10.1942 г. при заводе № 464 образована группа ПМ (пластмасс), в ее состав переведен коллектив ОКБ завода № 294 НКАП гл. конструктора Д.А. Михайлова.</w:t>
      </w:r>
    </w:p>
    <w:p w14:paraId="771F718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174с от 27.03.1943 г. заводу № 464 переданы часть личного состава, оборудования и материалы завода № 445 НКАП.</w:t>
      </w:r>
    </w:p>
    <w:p w14:paraId="0C52E5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416с от 14.07.1943 г. завод № 464 для улучшения условий для ремонта самолета Ли-2 перебазирован на ст. Долгопрудная Московской обл. на площадку завода № 462 НКАП и объединен с ним под названием Завод № 464 НКАП в системе Г1ГУ. Одновременно тем же приказом в Тушино на освободившуюся площадку завода № 464 переведен Завод № 289 НКАП из Молотова и завод № 380 из Калининграда. С 07.1943 г. заводу задан ремонт Як-6.</w:t>
      </w:r>
    </w:p>
    <w:p w14:paraId="632995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имел два филиала. Московский филиал завода- Красносельская мебельная фабрика Горместпрома. По приказу № 487с от 10.08.1943 г. она передана в качестве филиала № 1 заводу № 381 НКАП. Другой филиал (возможно, это Мебельная фабрика Управления делами СНК СССР) по приказу № 743с от 11.12.1943 г. также передан заводу № 3 81 НКАП в качестве филиала № 2.</w:t>
      </w:r>
    </w:p>
    <w:p w14:paraId="4D6701F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1944 г. выпущена экспериментальная партия высокоточных планирующих бомб.</w:t>
      </w:r>
      <w:r w:rsidRPr="00640820">
        <w:rPr>
          <w:rFonts w:ascii="Times New Roman" w:hAnsi="Times New Roman"/>
          <w:color w:val="000000" w:themeColor="text1"/>
          <w:sz w:val="16"/>
          <w:szCs w:val="16"/>
          <w:vertAlign w:val="superscript"/>
        </w:rPr>
        <w:t>104</w:t>
      </w:r>
    </w:p>
    <w:p w14:paraId="03C37A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404с от20.10.1945гзаводс 1.10.1945 г. передан из 11ГУв 17ГУ для работ по радиоаппаратуре и электротехническим изделиям. Передан из 17ГУ в 11ГУ с 1.01.1946 г. Передан как опытный завод из 11ГУ в 7ГУ с 1.06.1946 г. Передан из 7ГУ в ИГУ с 1.07.1948 г. как серийный завод. Передан из 11ГУ в 1ГУ с 1.03.1951 г. Передан из 1ГУ в 6ГУ с 1.10.1951 г. С 07.1953 г. переведен в 9ГУ МОП. С 08.1953 г. - в 6ГУ МАП. По приказу № 268с от 19.04.1955 г. передан из 6ГУ МАП в МОП с 1.04.1955 г. В соответствии с пост. СМ СССР № 713-342 от 26.06.1957 г. передан в ведение СНХ РСФСР.</w:t>
      </w:r>
    </w:p>
    <w:p w14:paraId="7D3616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419с от 2.07.1946 г. завод определен в качестве производственной базы А.С. Яковлева. Началось освоение производства планера Як-14.</w:t>
      </w:r>
    </w:p>
    <w:p w14:paraId="1F14EA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06.1951 г. началось освоение ЗУР В-300 для системы С-25 ПВО Москвы, с 1957 г.- освоение В-750. С 1958 г.- подготовка к производству противоракеты В-1000. По решению ВПК от 4.04.1963 г. заводу поручен выпуск противоракет А-350 системы А-35 (но изготовлено лишь несколько опытных).</w:t>
      </w:r>
    </w:p>
    <w:p w14:paraId="0077BCE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03.1958 г. при заводе создано ОКБ.</w:t>
      </w:r>
    </w:p>
    <w:p w14:paraId="0C95D5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01.1964 г. началось освоение производства Ан-2М.</w:t>
      </w:r>
    </w:p>
    <w:p w14:paraId="6B28F6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1953  г. назывался Долгопруденский машиностроительный завод. В 1991 г. переименован в ДНПП. В 2002 г.- ОАО «ДНПП». В его состав входят (2002 г.): Долгопруденский машиностроительный завод, Воскресенский агрегатный завод, Кимовский завод металлоизделий. По решению правительства № 22-р от 9.01.2004 г. вошло в перечень стратегических предприятий.</w:t>
      </w:r>
    </w:p>
    <w:p w14:paraId="1D86BF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(-02-07.1943 г.-)- П.П. Перовский, (12.1943 г.)- М.И. Шелухин, (-02-11.1944 г.-)- А.В. Агурьев, (-02- 05.1945 г.-)- И.М. Шпаков, (-03.1946-49 г.-)- Борисов, (1959 г.)- И.В. Дорошенко. Гендиректор (1990-е)-  Г.М. Мордвинов, (1999 г.)- В.П. Эктов,</w:t>
      </w:r>
      <w:r w:rsidRPr="00640820">
        <w:rPr>
          <w:rFonts w:ascii="Times New Roman" w:hAnsi="Times New Roman"/>
          <w:color w:val="000000" w:themeColor="text1"/>
          <w:sz w:val="16"/>
          <w:szCs w:val="16"/>
          <w:vertAlign w:val="superscript"/>
        </w:rPr>
        <w:t>58</w:t>
      </w:r>
      <w:r w:rsidRPr="00640820">
        <w:rPr>
          <w:rFonts w:ascii="Times New Roman" w:hAnsi="Times New Roman"/>
          <w:color w:val="000000" w:themeColor="text1"/>
          <w:sz w:val="16"/>
          <w:szCs w:val="16"/>
        </w:rPr>
        <w:t xml:space="preserve"> (1999-2006 г.-)-  Г.П. Ежов.</w:t>
      </w:r>
    </w:p>
    <w:p w14:paraId="556D45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гендиректора: (2004 г.)- В.Г1. Эктов, (2009 г.)- В. Аверчук; по финансово-экономическим вопросам (- 1999 г.)-  Г.П. Ежов; по режиму и охране-  Г.П. Ежов.</w:t>
      </w:r>
    </w:p>
    <w:p w14:paraId="5C12FB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Гл. конструктор (07.1941 г.-)- </w:t>
      </w:r>
      <w:r w:rsidRPr="00640820">
        <w:rPr>
          <w:rFonts w:ascii="Times New Roman" w:hAnsi="Times New Roman"/>
          <w:color w:val="000000" w:themeColor="text1"/>
          <w:sz w:val="16"/>
          <w:szCs w:val="16"/>
          <w:lang w:val="en-US"/>
        </w:rPr>
        <w:t>O</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K</w:t>
      </w:r>
      <w:r w:rsidRPr="00640820">
        <w:rPr>
          <w:rFonts w:ascii="Times New Roman" w:hAnsi="Times New Roman"/>
          <w:color w:val="000000" w:themeColor="text1"/>
          <w:sz w:val="16"/>
          <w:szCs w:val="16"/>
        </w:rPr>
        <w:t>. Антонов, (07.1946-47 г.)- А.С. Яковлев. Ген. конструктор (-1999-2004 г.-)- В.П. Эктов.</w:t>
      </w:r>
      <w:r w:rsidRPr="00640820">
        <w:rPr>
          <w:rFonts w:ascii="Times New Roman" w:hAnsi="Times New Roman"/>
          <w:color w:val="000000" w:themeColor="text1"/>
          <w:sz w:val="16"/>
          <w:szCs w:val="16"/>
          <w:vertAlign w:val="superscript"/>
        </w:rPr>
        <w:t>69</w:t>
      </w:r>
    </w:p>
    <w:p w14:paraId="5F4596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(2004 г.)- А.П. Коробов.</w:t>
      </w:r>
    </w:p>
    <w:p w14:paraId="0BA366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цехов: (2004 г.)- В.В. Кононов.</w:t>
      </w:r>
    </w:p>
    <w:p w14:paraId="1690EFC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Ведущие конструкторы: (2004 г.)- А.П. Булашевич, (2004 г.)- В.В. Соков.</w:t>
      </w:r>
    </w:p>
    <w:p w14:paraId="514A7FB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планер А-7 (1941-42);</w:t>
      </w:r>
      <w:r w:rsidRPr="00640820">
        <w:rPr>
          <w:rFonts w:ascii="Times New Roman" w:hAnsi="Times New Roman"/>
          <w:iCs/>
          <w:color w:val="000000" w:themeColor="text1"/>
          <w:sz w:val="16"/>
          <w:szCs w:val="16"/>
        </w:rPr>
        <w:t xml:space="preserve"> самолеты:</w:t>
      </w:r>
      <w:r w:rsidRPr="00640820">
        <w:rPr>
          <w:rFonts w:ascii="Times New Roman" w:hAnsi="Times New Roman"/>
          <w:color w:val="000000" w:themeColor="text1"/>
          <w:sz w:val="16"/>
          <w:szCs w:val="16"/>
        </w:rPr>
        <w:t xml:space="preserve"> Як-6 (1942-43)- 50, У-2 (1943-45)- 1364, Як-14, Як-10 (1946)- 2, Як-12 (1948-51), Як-15УТ, Як-16, Ан-2М (1966-71)- 506;</w:t>
      </w:r>
      <w:r w:rsidRPr="00640820">
        <w:rPr>
          <w:rFonts w:ascii="Times New Roman" w:hAnsi="Times New Roman"/>
          <w:iCs/>
          <w:color w:val="000000" w:themeColor="text1"/>
          <w:sz w:val="16"/>
          <w:szCs w:val="16"/>
        </w:rPr>
        <w:t xml:space="preserve"> ЗУР:</w:t>
      </w:r>
      <w:r w:rsidRPr="00640820">
        <w:rPr>
          <w:rFonts w:ascii="Times New Roman" w:hAnsi="Times New Roman"/>
          <w:color w:val="000000" w:themeColor="text1"/>
          <w:sz w:val="16"/>
          <w:szCs w:val="16"/>
        </w:rPr>
        <w:t xml:space="preserve"> В-300 («205», 1952-54), «207А» (1954-57), В-750 (1957-58), В-750В (1959-60), В-755 (1961-), 13Д (1960), ЗМ9 для ЗРК «Куб» (1967-), ЗМ9М1 для «Куб-М1» (1972- ), ЗМ9МЗ для «Куб-МЗ» (1975-), 9М38 для ЗРК «Бук» (1977-), 9М38М1 для «Бук-М1» и «Штиль» (1982-2003-), 9М317 для ЗРК «Бук-М1-2» (1994-2003-);</w:t>
      </w:r>
      <w:r w:rsidRPr="00640820">
        <w:rPr>
          <w:rFonts w:ascii="Times New Roman" w:hAnsi="Times New Roman"/>
          <w:iCs/>
          <w:color w:val="000000" w:themeColor="text1"/>
          <w:sz w:val="16"/>
          <w:szCs w:val="16"/>
        </w:rPr>
        <w:t>УР:</w:t>
      </w:r>
      <w:r w:rsidRPr="00640820">
        <w:rPr>
          <w:rFonts w:ascii="Times New Roman" w:hAnsi="Times New Roman"/>
          <w:color w:val="000000" w:themeColor="text1"/>
          <w:sz w:val="16"/>
          <w:szCs w:val="16"/>
        </w:rPr>
        <w:t xml:space="preserve"> Р-33 (1981-);</w:t>
      </w:r>
      <w:r w:rsidRPr="00640820">
        <w:rPr>
          <w:rFonts w:ascii="Times New Roman" w:hAnsi="Times New Roman"/>
          <w:iCs/>
          <w:color w:val="000000" w:themeColor="text1"/>
          <w:sz w:val="16"/>
          <w:szCs w:val="16"/>
        </w:rPr>
        <w:t xml:space="preserve"> противоракеты:</w:t>
      </w:r>
      <w:r w:rsidRPr="00640820">
        <w:rPr>
          <w:rFonts w:ascii="Times New Roman" w:hAnsi="Times New Roman"/>
          <w:color w:val="000000" w:themeColor="text1"/>
          <w:sz w:val="16"/>
          <w:szCs w:val="16"/>
        </w:rPr>
        <w:t xml:space="preserve"> В-1000 (1959-62) -100, А-350Ж (1963), В-825 (5Я27, 1969-73)- 20; стрелковые установки ГП-9, СППУ-22, УПК-23 (1980-е); пусковая установка АПУ-60-</w:t>
      </w:r>
      <w:r w:rsidRPr="00640820">
        <w:rPr>
          <w:rFonts w:ascii="Times New Roman" w:hAnsi="Times New Roman"/>
          <w:color w:val="000000" w:themeColor="text1"/>
          <w:sz w:val="16"/>
          <w:szCs w:val="16"/>
          <w:lang w:val="en-US"/>
        </w:rPr>
        <w:t>II</w:t>
      </w:r>
      <w:r w:rsidRPr="00640820">
        <w:rPr>
          <w:rFonts w:ascii="Times New Roman" w:hAnsi="Times New Roman"/>
          <w:color w:val="000000" w:themeColor="text1"/>
          <w:sz w:val="16"/>
          <w:szCs w:val="16"/>
        </w:rPr>
        <w:t xml:space="preserve"> для Р-60; пороховые двигатели: ПРД-18М и ПРД-58 для В-750, ПРД-290 для В-755, ПРД-45 для В-625; корпуса РДТТ 5С47 для А-350 (1960-е); корректируемая авиабомба КАБ-500 (2003); программные блоки ракет- мишеней ЗМ20МЗ, запчасти для ракет ЗМ9МЗ и торпед (2003); передвижная контрольно-испытательная станция (КИПС) 5К45; система стартовой автоматики и обмена информацией стартовых комплексов; радиоприемники «Маршалл» (1945-);</w:t>
      </w:r>
      <w:r w:rsidRPr="00640820">
        <w:rPr>
          <w:rFonts w:ascii="Times New Roman" w:hAnsi="Times New Roman"/>
          <w:color w:val="000000" w:themeColor="text1"/>
          <w:sz w:val="16"/>
          <w:szCs w:val="16"/>
          <w:vertAlign w:val="superscript"/>
        </w:rPr>
        <w:t>101</w:t>
      </w:r>
      <w:r w:rsidRPr="00640820">
        <w:rPr>
          <w:rFonts w:ascii="Times New Roman" w:hAnsi="Times New Roman"/>
          <w:color w:val="000000" w:themeColor="text1"/>
          <w:sz w:val="16"/>
          <w:szCs w:val="16"/>
        </w:rPr>
        <w:t xml:space="preserve"> пассажирские кресла для ж/д вагонов (2009).</w:t>
      </w:r>
    </w:p>
    <w:p w14:paraId="3211E5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Ремонт:</w:t>
      </w:r>
      <w:r w:rsidRPr="00640820">
        <w:rPr>
          <w:rFonts w:ascii="Times New Roman" w:hAnsi="Times New Roman"/>
          <w:color w:val="000000" w:themeColor="text1"/>
          <w:sz w:val="16"/>
          <w:szCs w:val="16"/>
        </w:rPr>
        <w:t xml:space="preserve"> Як-6 (1943-).</w:t>
      </w:r>
    </w:p>
    <w:p w14:paraId="73AD634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Заводской №:</w:t>
      </w:r>
      <w:r w:rsidRPr="00640820">
        <w:rPr>
          <w:rFonts w:ascii="Times New Roman" w:hAnsi="Times New Roman"/>
          <w:color w:val="000000" w:themeColor="text1"/>
          <w:sz w:val="16"/>
          <w:szCs w:val="16"/>
        </w:rPr>
        <w:t xml:space="preserve"> Ан-2М</w:t>
      </w:r>
      <w:r w:rsidRPr="00640820">
        <w:rPr>
          <w:rFonts w:ascii="Times New Roman" w:hAnsi="Times New Roman"/>
          <w:iCs/>
          <w:color w:val="000000" w:themeColor="text1"/>
          <w:sz w:val="16"/>
          <w:szCs w:val="16"/>
        </w:rPr>
        <w:t xml:space="preserve"> № 600810:</w:t>
      </w:r>
      <w:r w:rsidRPr="00640820">
        <w:rPr>
          <w:rFonts w:ascii="Times New Roman" w:hAnsi="Times New Roman"/>
          <w:color w:val="000000" w:themeColor="text1"/>
          <w:sz w:val="16"/>
          <w:szCs w:val="16"/>
        </w:rPr>
        <w:t xml:space="preserve"> 6- год выпуска, 008- серия, 10- № самолета в серии.</w:t>
      </w:r>
    </w:p>
    <w:p w14:paraId="5DC744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ОКБ завода № 464 гл. конструктора </w:t>
      </w:r>
      <w:r w:rsidRPr="00640820">
        <w:rPr>
          <w:rFonts w:ascii="Times New Roman" w:hAnsi="Times New Roman"/>
          <w:color w:val="000000" w:themeColor="text1"/>
          <w:sz w:val="16"/>
          <w:szCs w:val="16"/>
          <w:lang w:val="en-US"/>
        </w:rPr>
        <w:t>O</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K</w:t>
      </w:r>
      <w:r w:rsidRPr="00640820">
        <w:rPr>
          <w:rFonts w:ascii="Times New Roman" w:hAnsi="Times New Roman"/>
          <w:color w:val="000000" w:themeColor="text1"/>
          <w:sz w:val="16"/>
          <w:szCs w:val="16"/>
        </w:rPr>
        <w:t>. Антонова</w:t>
      </w:r>
    </w:p>
    <w:p w14:paraId="4089D6A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 618с от 12.08.1942 г. ОКБ Антонова переведено с завода № 241 в Тушино на завод № 464 для продолжения работ по планерам А-7 (РФ-8) и А-2 (УС-6). Велись также работы по планерам А-Т, А-ИП (ВП) и А- БП (ВПБ). ОКБ привлекалось к работам по тематике группы Д.А. Михайлова.</w:t>
      </w:r>
    </w:p>
    <w:p w14:paraId="02FB8B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09.1942 г. работы по планерам приостановлены. Антонов в 1943-46 г. работал в ОКБ Яковлева.</w:t>
      </w:r>
    </w:p>
    <w:p w14:paraId="071BAD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Группа «ПМ» при заводе № 464 НКАП</w:t>
      </w:r>
    </w:p>
    <w:p w14:paraId="4BEBB2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Образована по приказу № 789с от 19.10.1942 г. для проектирования самолетных и планерных агрегатов и деталей из пластмасс. Тем же приказом в состав группы переведен коллектив ОКБ ПМ гл. конструктора Д.А. Михайлова со всем оборудованием и заделами с завода № 294 НКАП (филиал завода № 22 НКАП).</w:t>
      </w:r>
    </w:p>
    <w:p w14:paraId="2C2D426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1943 г. группа Д.А. Михайлова размещалась уже на территории завода № 156, хотя формально принадлежала заводу № 464. Отсюда по приказу № 107с от 22.02.1943 г. она была передана в состав ВИАМ.</w:t>
      </w:r>
    </w:p>
    <w:p w14:paraId="5F5816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завода № 464</w:t>
      </w:r>
    </w:p>
    <w:p w14:paraId="516F53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10.03.1958 г. для разработки и внедрения в серию ЗУР для систем ПВО и ПРО.</w:t>
      </w:r>
    </w:p>
    <w:p w14:paraId="36D968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Спроектирован и испытан ряд экспериментальных ракет для проведения НИР по заказу ЦАГИ, ЛИИ, ЦИАМ. С 09.1959 г.- разработка 2Я2ТА, по решению ВПК от 21.12.1959 г. создавалась С1А, по решению ВПК от 23.05.1961 г.-Я2ТА, в 1963 г. создана 1Я2ТА.</w:t>
      </w:r>
    </w:p>
    <w:p w14:paraId="4D7CCE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1958-60 г.- разработка ракеты для системы ПРО «Сатурн». В 1960 г. по инициативе П.Д. Грушина и директора завода И.В. Дорошенко работы были прекращены.</w:t>
      </w:r>
    </w:p>
    <w:p w14:paraId="481637E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1970 г. принимало участие в разработке ЗУР и стартовой автоматики для ЗРК «Бук». В 1994-97 г. совместно с НИИП им. Тихомирова и Ульяновским механическим заводом разработан ЗРК «Бук-М1-2» и ракета 9МЗ17.</w:t>
      </w:r>
    </w:p>
    <w:p w14:paraId="176BAA4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(2005 г.): разработка ракет 9МЗ17М, 9МЗ17А, 9МЗ17МА.</w:t>
      </w:r>
    </w:p>
    <w:p w14:paraId="18704E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(1958-61 г.)- Л. Г. Головин (снят).</w:t>
      </w:r>
    </w:p>
    <w:p w14:paraId="277962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(-1961 г.)- Л. Г. Головин, (1961 г.-)- М.А. Любомудров.</w:t>
      </w:r>
    </w:p>
    <w:p w14:paraId="76B82FA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конструкторы: В.П. Эктов (9М317).</w:t>
      </w:r>
    </w:p>
    <w:p w14:paraId="130871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Создано: ЗУР:</w:t>
      </w:r>
      <w:r w:rsidRPr="00640820">
        <w:rPr>
          <w:rFonts w:ascii="Times New Roman" w:hAnsi="Times New Roman"/>
          <w:color w:val="000000" w:themeColor="text1"/>
          <w:sz w:val="16"/>
          <w:szCs w:val="16"/>
        </w:rPr>
        <w:t xml:space="preserve"> 9М38М1, 9М317; исследовательские ракеты Я2ТА, 1Я2ТА, 2Я2ТА, С1А на базе В-1000; передвижная контрольно-испытательная станция (КИПС) 5К45 для войск ПВО; система стартовой автоматики и обмена информацией стартовых комплексов сухопутных и морских ракет.</w:t>
      </w:r>
    </w:p>
    <w:p w14:paraId="45F754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ФГУП «Воскресенский государственный казенный агрегатный завод» /ст. Фаустово Московской обл. тел. 556-07-47/</w:t>
      </w:r>
    </w:p>
    <w:p w14:paraId="3C690F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Входил в ОАО «ДНПП» (2002 г.). По Указу Президента РФ № 1009 от 4.08.2004 г. вошло в перечень стратегических оборонных предприятий.</w:t>
      </w:r>
    </w:p>
    <w:p w14:paraId="2589FD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Кнмовский завод металлоизделий /г. Кимовск Тульской обл./</w:t>
      </w:r>
    </w:p>
    <w:p w14:paraId="39C8C8A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Входил в ОАО «ДНПП» (2002 г.) (11982).</w:t>
      </w:r>
    </w:p>
    <w:p w14:paraId="66C569AE" w14:textId="77777777" w:rsidR="00813840" w:rsidRPr="00640820" w:rsidRDefault="00813840" w:rsidP="00640820">
      <w:pPr>
        <w:autoSpaceDE w:val="0"/>
        <w:autoSpaceDN w:val="0"/>
        <w:adjustRightInd w:val="0"/>
        <w:spacing w:after="0" w:line="240" w:lineRule="auto"/>
        <w:jc w:val="both"/>
        <w:rPr>
          <w:rFonts w:ascii="Times New Roman" w:hAnsi="Times New Roman"/>
          <w:color w:val="000000" w:themeColor="text1"/>
          <w:sz w:val="16"/>
          <w:szCs w:val="16"/>
        </w:rPr>
      </w:pPr>
    </w:p>
    <w:p w14:paraId="3E7423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году на базе механических мастерских Ново-Заимского зерносовхоза Ишимского треста совхозов Тюменской области разместился эвакуированный из Воронежа завод № 499 НКАП, организовавший впоследствии выпуск десантных планеров.</w:t>
      </w:r>
    </w:p>
    <w:p w14:paraId="08944F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настоящее время, по решению ГКО, завод № 499 НКАП реэвакуируется в Ленинград.</w:t>
      </w:r>
    </w:p>
    <w:p w14:paraId="3CBA2DF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организовать на базе производственных площадей реэвакуируемого завода № 499 мотороремонтный завод НК совхозов (8963).</w:t>
      </w:r>
    </w:p>
    <w:p w14:paraId="4D819E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0A357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году завод № 290 НКАП стал авторемонтными мастерские в/ч № 30092.</w:t>
      </w:r>
    </w:p>
    <w:p w14:paraId="1560AD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апреля 1953 года Постановлением СМ и приказом министра оборонной промышленности от 10 апреля 1953 года за № 95сс был организован Завод № 938.</w:t>
      </w:r>
    </w:p>
    <w:p w14:paraId="38F3C0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был предназначен для создания опытных образцов аэродромного оборудования.</w:t>
      </w:r>
    </w:p>
    <w:p w14:paraId="7A2A27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Директором завода, согласно приказу Министра оборонной промышленности от 7 июля 1953 года за № 287 был назначен Артемов Семен Степанович.</w:t>
      </w:r>
    </w:p>
    <w:p w14:paraId="3E3DDC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Начальником Конструкторского отдела согласно приказу Министра оборонной промышленности от 30 мая 1953 года за № 230 был назначен Бисноват Матус Рувимович.</w:t>
      </w:r>
    </w:p>
    <w:p w14:paraId="663FB0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1954 году тематика завода была изменена и заводу было предложено построить макет экспериментального десантно-транспортного винтокрыла Ка-22 с двумя турбовинтовыми двигателями ТВ-2ВК.</w:t>
      </w:r>
    </w:p>
    <w:p w14:paraId="34742D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Изменение тематики завода в 1954 году привело в 1955 году к тому, что заводу было предложено перейти на проектирование и создание опытных вертолетов, а аэродромную технику передать заводу № 468 и ОКБ-4, оставив для окончания только 2 изделия по аэродромной технике ………..</w:t>
      </w:r>
    </w:p>
    <w:p w14:paraId="680060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связи с изменением тематики приказом МАП от 8 февраля 1955 года за № 27 гл. конструктором завода № 938 назначен Камов Николай Ильич. Гл. конструктор Бисноват М.Р. был назначен гл. конструктором и начальником ОКБ-4.</w:t>
      </w:r>
    </w:p>
    <w:p w14:paraId="7172CE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МАП от 21 февраля 1955 года за № 70к директором завода назначен Левин Израиль Соломонович.</w:t>
      </w:r>
    </w:p>
    <w:p w14:paraId="5C5BCE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Работа по ремонту и восстановлению завода развернулась в августе 1953 года (9359).</w:t>
      </w:r>
    </w:p>
    <w:p w14:paraId="49000D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20FD9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году завод № 476 эвакуировался в Киров и слился с заводом № 266 НКАП.</w:t>
      </w:r>
    </w:p>
    <w:p w14:paraId="552A1B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Кирове под наименованием “Филиал № 2 завода № 266” завод продолжал выпускать приборы освещения и др.</w:t>
      </w:r>
    </w:p>
    <w:p w14:paraId="4B66E7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Москве, на площади оставшейся после эвакуации завода, согласно приказа № 46с от 17 января 1942 года НКАП, были организованы мастерские по ремонту моторных, самолетных агрегатов и приборов зажигания. Эти мастерские существовали недолго.</w:t>
      </w:r>
    </w:p>
    <w:p w14:paraId="45DBCE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Постановлению ГОКО от 5 апреля 1942 года за № 1543сс, приказа НКАП от 10 апреля 1942 года за № 269сс и приказа 4 гл. управления НКАП от 20 апреля 1942 года за № 06сс, был организован завод, которому было присвоено вновь наименование “Завод № 476” по производству магнето, авиасвечей и т.п.</w:t>
      </w:r>
    </w:p>
    <w:p w14:paraId="1C93C3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был укомплектован рабсилой и оборудованием за счет заводов НКАП №№ 30, 33, 132, 266 и 306.</w:t>
      </w:r>
    </w:p>
    <w:p w14:paraId="6BCFF3B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1942 года – директор – Советов В.П.</w:t>
      </w:r>
    </w:p>
    <w:p w14:paraId="23C6DD6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1944 году, согласно приказа № 40с от 19 января 1944 года НКАП, на заводе было организовано ОКБ-476 под руководством гл. конструктора Воронкова С.Ф., а с сентября 1945 года – Делекторского А.В.</w:t>
      </w:r>
    </w:p>
    <w:p w14:paraId="1F2770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Москва, Б, Новодмитровская, д. 12</w:t>
      </w:r>
    </w:p>
    <w:p w14:paraId="471133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Согласно приказа № 356сс от 30 августа 1945 года НКАП, в сентябре 1945 года завод был перебазирован на территорию, занимаемую ранее филиалом завода № 315 на Панскую (теперь Новодмитровскую ул.), д. 12, изготовлявшего до этого времени детали к насосам и карбюраторам с передачей для сборки узлов на основной завод (9611).</w:t>
      </w:r>
    </w:p>
    <w:p w14:paraId="7A002B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395D69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году б. завод № 67 Мостяжарт был эвакуирован: штамповальное производство в г. Дзержинск, где оно и перешло в химическую промышленность, а механо-сборочное производство в Миассы. С возвращением из эвакуации механосборочные цеха вновь стали продолжать выпуск авиабомб и в том числе чугунных, а в начале 1945 года – литье ручных фугасных гранат с их обработкой без снаряжения. В 1947 году по решению Министерства с/х машиностроения часть производственных корпусов завода совместно с оборудованием, рабсилой и обслуживающим персоналом были переданы КБ-2 МСХМ занимавшемуся реактивной техникой. С данного момента завод № 67 начал перестройку производства под тематику КБ-2, т.е. новую реактивную технику и одновременно продолжал выпуск корпусов разного вида авиабомб под пороховое снаряжение как по плану предприятия, так и для ГСКБ-47, НИИ-1 и др. организаций. В 1951 году по решению Правительства от 15 декабря 1951 года за № 5119-2226 на базе завода и КБ-2 был создан НИИ № 642, а завод как опытная производственная база при НИИ с профилем выпуска новой реактивной техники. В 1953 году ввиду реорганизации МСМ, ГСНИИ-642 перешел в ведение Министерства машиностроения и в том же 1953 году по Постановлению Правительства от 24 августа 1953 года за № 2260-921сс был передан в Министерство оборонной промышленности. В 1955 году по решению правительства от 2 апреля 1955 года за № 624-38сс ГСНИИ-642 был передан в подчинение Министерства общего машиностроения, а в 1956 году по решению Правительства от 31 августа 1956 года за № 1238-629 перешел в подчинение МАП, продолжая выпуск разных видов авиабомб без их снаряжения.</w:t>
      </w:r>
    </w:p>
    <w:p w14:paraId="56562D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Начиная с 1955 года опытный завод при ГСНИИ-642 постепенно сокращал выпуск корпусов разных видов пороховых авиабомб перестраиваясь на выпуск новой техники. С 1956 года основным профилем ГСНИИ-642 является изготовление управляемых бомб и самолетов-снарядов. В 1957 году по приказу МАП от 6 ноября 1957 года за № 368сс ГСНИИ-642 объединен с ОКБ-52 и дальнейшая реконструкция производства проходит всецело по профилю и тематике ОКБ-52.</w:t>
      </w:r>
    </w:p>
    <w:p w14:paraId="4314EA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Бывш. завод “Мастяжарт”; Московский ремонтный артиллерийский завод; завод № 67 им. Тимошенко; Опытный завод № 67 при НИИ-642 и впоследствии завод № 642 при ОКБ-52.</w:t>
      </w:r>
    </w:p>
    <w:p w14:paraId="14647B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Директора: С 1918 г. по 1922 г. – Розанов Н.Ф. С 1923 г. по 1924 г. – Лазько М.Н. С 1924 г. по 1925 г. – Королев С 1925 г. по 1926 г. – Кошелев Л.М. С 1927 г. по 1929 г. – Петрашко И.И. С 1930 г. по 1931 г. – Кузьмичев М.Г. С 1932 г. по 1933 г. – Семенов С 1934 г. по 1935 г. – Крынкин П.Г. С 1936 г. по 1937 г. – Фум С.Б. С 1937 г. по 1939 г. – Масальский М.Г. С 1940 г. по 1941 г. – Базаров В.И. С 1946 г. по 1948 г. – Невструев М.А. С 1948 г. по 1952 г. – Фролов А.В. С 1952 г. по 1955 г. – Титов Н.И. 1955 г. – Медков М.Г. С 1955 г. по 1956 г. – завод и институт Горемыкин П.Н. и Крупнов Н.И. С 1956 г. по 1957 г. –Дятлов Д.Г. С декабря 1957 года – гл. конструктор НИИ-642 Челомей В.Н. С 1958 года – Шаповалов А.И.</w:t>
      </w:r>
    </w:p>
    <w:p w14:paraId="6DD432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конструкторы: С 1918 г. по 1925 г. – Арефьев А. С 1925 г. по 1929 г. – Буховский С 1930 г. по 1935 г. – Орский И.Н. С 1936 г. по 1939 г. – Лобанов Н.М. С 1940 г. по 1946 г. – Срогович С.Я. С 1946 г. по 1955 г. – Виноградов К.И. С 1955 г. по 1956 г. – Надирадзе, Орлов, Свечарник С 1956 г. по 1957 г. – Надирадзе, Мосолов С декабря 1957 года – Челомей В.Н.</w:t>
      </w:r>
    </w:p>
    <w:p w14:paraId="0094A6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Москва, Семеновская застава, Вельяминовская ул., д. 32, п/я 2350</w:t>
      </w:r>
    </w:p>
    <w:p w14:paraId="61B647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Производственный профиль – опытно-экспериментальное производство управляемых авиабомб и самолетов-снарядов (9863).</w:t>
      </w:r>
    </w:p>
    <w:p w14:paraId="28DD5D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F47E15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С 1941 года до 1949 года промплощадка Энгельского мясокомбината занималась заводом № 213, а с 1949 года по апрель 1951 года филиалом завода № 213, который на основании постановления СМ от 21 апреля 1951 года № 1306-659 был выделен из завода № 213 в самостоятельное предприятие завод № 878 для производства приборов авиационной техники. С апреля 1951 года до июля 1957 года директор завода – Баенков Н.В. С 27 июля 1957 года – директор завода – Шипулин В.А.</w:t>
      </w:r>
    </w:p>
    <w:p w14:paraId="139BA43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Энгельс, Мясокомбинат, ст. Покровск (расстояние до Энгельса и до ж/д станции 12 км)</w:t>
      </w:r>
    </w:p>
    <w:p w14:paraId="54F87A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Производственный профиль – производство приборов авиатехники (9867).</w:t>
      </w:r>
    </w:p>
    <w:p w14:paraId="5B7C64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E24E35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был основан Авиаремонтный завод (АРЗ) № 401 ГА, АООТ, ОАО «Новосибирский АРЗ» (НАРЗ) /630021  г. Новосибирск Аэропорт, 1 тел. 28-96-50/. Имел наименование АРЗ № 401 ГА. В 1992 г. преобразован в АООТ.</w:t>
      </w:r>
    </w:p>
    <w:p w14:paraId="783165B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Производственные площади (2002 г.)- 27,5 тыс.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1A187F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(2002 г.)- 765 чел.</w:t>
      </w:r>
    </w:p>
    <w:p w14:paraId="38DECB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Гендиректор (2002 г.)- В.В. Костин.</w:t>
      </w:r>
    </w:p>
    <w:p w14:paraId="5630D9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гендиректора по производству и снабжению (2002 г.)- А.П. Полищук.</w:t>
      </w:r>
    </w:p>
    <w:p w14:paraId="2B1860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технолог (2002 г.)- А.Н. Заверуха.</w:t>
      </w:r>
    </w:p>
    <w:p w14:paraId="613FD41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Ремонт:</w:t>
      </w:r>
      <w:r w:rsidRPr="00640820">
        <w:rPr>
          <w:rFonts w:ascii="Times New Roman" w:hAnsi="Times New Roman"/>
          <w:color w:val="000000" w:themeColor="text1"/>
          <w:sz w:val="16"/>
          <w:szCs w:val="16"/>
        </w:rPr>
        <w:t xml:space="preserve"> вертолеты: Ми-8 (-2001-03-), Ми-6 (-2001-03-), Ми-10 (-2001-03-), Ми-17 (-2001-03-), Ми-24 (-2001- 03-), Ми-26 (-2001-03-); переоборудование вертолетов (11982).</w:t>
      </w:r>
    </w:p>
    <w:p w14:paraId="68B904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CFEA7E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году в секретном послании в Наркомат внешней торговли СССР заместитель руководителя НКАП (Народный комиссариат авиационной промышленности</w:t>
      </w:r>
      <w:r w:rsidRPr="00640820">
        <w:rPr>
          <w:rFonts w:ascii="Times New Roman" w:hAnsi="Times New Roman"/>
          <w:iCs/>
          <w:color w:val="000000" w:themeColor="text1"/>
          <w:sz w:val="16"/>
          <w:szCs w:val="16"/>
        </w:rPr>
        <w:t>)</w:t>
      </w:r>
      <w:r w:rsidRPr="00640820">
        <w:rPr>
          <w:rFonts w:ascii="Times New Roman" w:hAnsi="Times New Roman"/>
          <w:color w:val="000000" w:themeColor="text1"/>
          <w:sz w:val="16"/>
          <w:szCs w:val="16"/>
        </w:rPr>
        <w:t xml:space="preserve"> А. И. Кузнецов писал:</w:t>
      </w:r>
    </w:p>
    <w:p w14:paraId="707C1E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«В последнее время имеют место случаи, когда находящиеся за границей наши работники (приемщики оборудования, работники по техпомощи, работники торгпредства) в письмах, без грифа „секретно“, сообщают сведения, которые должны передаваться только секретным порядком.</w:t>
      </w:r>
    </w:p>
    <w:p w14:paraId="64A785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Так, отдел «Промсырьеимпорт» торгпредства в Германии направил без грифа «секретно» (№ 61/1II от 4. III. с. г.) письмо тов. Платова о сварных конструкциях. В письме тов. Платова рассказывается о производстве в Германии 200-местных планеров, причем приводятся подробности и умозаключения о размерах планера, местоположении завода «Мессершмитт», об ответственных лицах фирмы, проговорившихся как о самих планерах, так и месте их производства.</w:t>
      </w:r>
    </w:p>
    <w:p w14:paraId="09BF13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…В письме освещаются такие вопросы, как:</w:t>
      </w:r>
    </w:p>
    <w:p w14:paraId="025D4D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1. Отношение руководящих работников фирмы к нашим приемщикам и работникам по техпомощи.</w:t>
      </w:r>
    </w:p>
    <w:p w14:paraId="5077F1A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2. Результаты знакомства приемщиков с производством.</w:t>
      </w:r>
    </w:p>
    <w:p w14:paraId="247F72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3. Сообщение приемщиков о невозможности выполнения полученных в Москве спецзаданий.</w:t>
      </w:r>
    </w:p>
    <w:p w14:paraId="48469B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4. Сообщение о приемах и методах, способствующих выполнению спецзаданий…» (</w:t>
      </w:r>
      <w:r w:rsidRPr="00640820">
        <w:rPr>
          <w:rFonts w:ascii="Times New Roman" w:hAnsi="Times New Roman"/>
          <w:color w:val="000000" w:themeColor="text1"/>
          <w:sz w:val="16"/>
          <w:szCs w:val="16"/>
        </w:rPr>
        <w:t>Соболев Д. А. Немецкий след в истории советской авиации. Об участии немецких специалистов в развитии авиастроения в СССР. — М., 1996, с. 55-56.</w:t>
      </w:r>
      <w:r w:rsidRPr="00640820">
        <w:rPr>
          <w:rFonts w:ascii="Times New Roman" w:hAnsi="Times New Roman"/>
          <w:iCs/>
          <w:color w:val="000000" w:themeColor="text1"/>
          <w:sz w:val="16"/>
          <w:szCs w:val="16"/>
        </w:rPr>
        <w:t>) (11765).</w:t>
      </w:r>
    </w:p>
    <w:p w14:paraId="57BE30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6473C9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ГВФ в 1941 г. насчитывалось 23 Г-1, из них только 11-12 считались исправными. Еще 4 машины числились в наркомате рыб</w:t>
      </w:r>
      <w:r w:rsidRPr="00640820">
        <w:rPr>
          <w:rFonts w:ascii="Times New Roman" w:hAnsi="Times New Roman"/>
          <w:color w:val="000000" w:themeColor="text1"/>
          <w:sz w:val="16"/>
          <w:szCs w:val="16"/>
        </w:rPr>
        <w:softHyphen/>
        <w:t>ной промышленности, 4 — в авиапроме и свыше двух десятков — в УПА. В военной авиации оставалось 6 экземпляров в соста</w:t>
      </w:r>
      <w:r w:rsidRPr="00640820">
        <w:rPr>
          <w:rFonts w:ascii="Times New Roman" w:hAnsi="Times New Roman"/>
          <w:color w:val="000000" w:themeColor="text1"/>
          <w:sz w:val="16"/>
          <w:szCs w:val="16"/>
        </w:rPr>
        <w:softHyphen/>
        <w:t>ве Тихоокеанского флота. Однако следует учитывать, что некоторое число самолетов этого типа в документах тех лет попало в разряд «разных» и определить их точное ко</w:t>
      </w:r>
      <w:r w:rsidRPr="00640820">
        <w:rPr>
          <w:rFonts w:ascii="Times New Roman" w:hAnsi="Times New Roman"/>
          <w:color w:val="000000" w:themeColor="text1"/>
          <w:sz w:val="16"/>
          <w:szCs w:val="16"/>
        </w:rPr>
        <w:softHyphen/>
        <w:t>личество, особенно в ВВС Красной Армии, представляется затруднительным. Соприкоснуться с боевыми действиями могли от</w:t>
      </w:r>
      <w:r w:rsidRPr="00640820">
        <w:rPr>
          <w:rFonts w:ascii="Times New Roman" w:hAnsi="Times New Roman"/>
          <w:color w:val="000000" w:themeColor="text1"/>
          <w:sz w:val="16"/>
          <w:szCs w:val="16"/>
        </w:rPr>
        <w:softHyphen/>
        <w:t>дельные машины, прежде всего, из ГВФ. С началом войны практически все имевшиеся в европейской части СССР Г-1 перевели в состав особых авиагрупп. Согласно данным главного управления ГВФ, за первые пол</w:t>
      </w:r>
      <w:r w:rsidRPr="00640820">
        <w:rPr>
          <w:rFonts w:ascii="Times New Roman" w:hAnsi="Times New Roman"/>
          <w:color w:val="000000" w:themeColor="text1"/>
          <w:sz w:val="16"/>
          <w:szCs w:val="16"/>
        </w:rPr>
        <w:softHyphen/>
        <w:t>года войны было потеряно 6 Г-1: 1 — в ава</w:t>
      </w:r>
      <w:r w:rsidRPr="00640820">
        <w:rPr>
          <w:rFonts w:ascii="Times New Roman" w:hAnsi="Times New Roman"/>
          <w:color w:val="000000" w:themeColor="text1"/>
          <w:sz w:val="16"/>
          <w:szCs w:val="16"/>
        </w:rPr>
        <w:softHyphen/>
        <w:t>рии, 5 — уничтожено противником. По дру</w:t>
      </w:r>
      <w:r w:rsidRPr="00640820">
        <w:rPr>
          <w:rFonts w:ascii="Times New Roman" w:hAnsi="Times New Roman"/>
          <w:color w:val="000000" w:themeColor="text1"/>
          <w:sz w:val="16"/>
          <w:szCs w:val="16"/>
        </w:rPr>
        <w:softHyphen/>
        <w:t>гим источникам, потери составили 4 ма</w:t>
      </w:r>
      <w:r w:rsidRPr="00640820">
        <w:rPr>
          <w:rFonts w:ascii="Times New Roman" w:hAnsi="Times New Roman"/>
          <w:color w:val="000000" w:themeColor="text1"/>
          <w:sz w:val="16"/>
          <w:szCs w:val="16"/>
        </w:rPr>
        <w:softHyphen/>
        <w:t>шины: 1 — разбита в аварии, 2 — уничтожено на аэродромах, 1 — сбита своими истреби</w:t>
      </w:r>
      <w:r w:rsidRPr="00640820">
        <w:rPr>
          <w:rFonts w:ascii="Times New Roman" w:hAnsi="Times New Roman"/>
          <w:color w:val="000000" w:themeColor="text1"/>
          <w:sz w:val="16"/>
          <w:szCs w:val="16"/>
        </w:rPr>
        <w:softHyphen/>
        <w:t>телями. При повторном поступлении на военную службу отдельные экземпляры самолетов оборудовали оборонительными турелями, как правило, МВ-3, оснащенными пулеме</w:t>
      </w:r>
      <w:r w:rsidRPr="00640820">
        <w:rPr>
          <w:rFonts w:ascii="Times New Roman" w:hAnsi="Times New Roman"/>
          <w:color w:val="000000" w:themeColor="text1"/>
          <w:sz w:val="16"/>
          <w:szCs w:val="16"/>
        </w:rPr>
        <w:softHyphen/>
        <w:t>тами ШКАС. Кроме мобилизации исправ</w:t>
      </w:r>
      <w:r w:rsidRPr="00640820">
        <w:rPr>
          <w:rFonts w:ascii="Times New Roman" w:hAnsi="Times New Roman"/>
          <w:color w:val="000000" w:themeColor="text1"/>
          <w:sz w:val="16"/>
          <w:szCs w:val="16"/>
        </w:rPr>
        <w:softHyphen/>
        <w:t>ных машин, были отремонтированы не</w:t>
      </w:r>
      <w:r w:rsidRPr="00640820">
        <w:rPr>
          <w:rFonts w:ascii="Times New Roman" w:hAnsi="Times New Roman"/>
          <w:color w:val="000000" w:themeColor="text1"/>
          <w:sz w:val="16"/>
          <w:szCs w:val="16"/>
        </w:rPr>
        <w:softHyphen/>
        <w:t>сколько экземпляров, ранее определенных на списание. Продолжалась подобная прак</w:t>
      </w:r>
      <w:r w:rsidRPr="00640820">
        <w:rPr>
          <w:rFonts w:ascii="Times New Roman" w:hAnsi="Times New Roman"/>
          <w:color w:val="000000" w:themeColor="text1"/>
          <w:sz w:val="16"/>
          <w:szCs w:val="16"/>
        </w:rPr>
        <w:softHyphen/>
        <w:t>тика и позднее. Она позволила поддержи</w:t>
      </w:r>
      <w:r w:rsidRPr="00640820">
        <w:rPr>
          <w:rFonts w:ascii="Times New Roman" w:hAnsi="Times New Roman"/>
          <w:color w:val="000000" w:themeColor="text1"/>
          <w:sz w:val="16"/>
          <w:szCs w:val="16"/>
        </w:rPr>
        <w:softHyphen/>
        <w:t>вать количество Г-1 в особых авиагруппах в пределах 10-15 экземпляров довольно продолжительное время. По состоянию на 1 января 1943 г. в ГВФ насчитывалось 14 Г-1, из которых готовыми к полетам значи</w:t>
      </w:r>
      <w:r w:rsidRPr="00640820">
        <w:rPr>
          <w:rFonts w:ascii="Times New Roman" w:hAnsi="Times New Roman"/>
          <w:color w:val="000000" w:themeColor="text1"/>
          <w:sz w:val="16"/>
          <w:szCs w:val="16"/>
        </w:rPr>
        <w:softHyphen/>
        <w:t>лись только 4. Что касается ВВС, то здесь сведений о ТБ-1 почти нет. Известно лишь, что последний армейский ТБ-1 разбили в аварии в 1944г. О существовании заслуженного «ста</w:t>
      </w:r>
      <w:r w:rsidRPr="00640820">
        <w:rPr>
          <w:rFonts w:ascii="Times New Roman" w:hAnsi="Times New Roman"/>
          <w:color w:val="000000" w:themeColor="text1"/>
          <w:sz w:val="16"/>
          <w:szCs w:val="16"/>
        </w:rPr>
        <w:softHyphen/>
        <w:t>ричка» не забывали и на заключительном этапе войны. С началом операции по осво</w:t>
      </w:r>
      <w:r w:rsidRPr="00640820">
        <w:rPr>
          <w:rFonts w:ascii="Times New Roman" w:hAnsi="Times New Roman"/>
          <w:color w:val="000000" w:themeColor="text1"/>
          <w:sz w:val="16"/>
          <w:szCs w:val="16"/>
        </w:rPr>
        <w:softHyphen/>
        <w:t>бождению Крыма отдельные Г-1 использо</w:t>
      </w:r>
      <w:r w:rsidRPr="00640820">
        <w:rPr>
          <w:rFonts w:ascii="Times New Roman" w:hAnsi="Times New Roman"/>
          <w:color w:val="000000" w:themeColor="text1"/>
          <w:sz w:val="16"/>
          <w:szCs w:val="16"/>
        </w:rPr>
        <w:softHyphen/>
        <w:t>вали для перевозки грузов в Северную Тав</w:t>
      </w:r>
      <w:r w:rsidRPr="00640820">
        <w:rPr>
          <w:rFonts w:ascii="Times New Roman" w:hAnsi="Times New Roman"/>
          <w:color w:val="000000" w:themeColor="text1"/>
          <w:sz w:val="16"/>
          <w:szCs w:val="16"/>
        </w:rPr>
        <w:softHyphen/>
        <w:t>рию. 17 марта 1944 г. военный совет ЧФ запросил у наркома ВМФ о возможности получения еще 4-5 ТБ-1 с Тихоокеанского флота или из резерва Ставки, т.к. черно</w:t>
      </w:r>
      <w:r w:rsidRPr="00640820">
        <w:rPr>
          <w:rFonts w:ascii="Times New Roman" w:hAnsi="Times New Roman"/>
          <w:color w:val="000000" w:themeColor="text1"/>
          <w:sz w:val="16"/>
          <w:szCs w:val="16"/>
        </w:rPr>
        <w:softHyphen/>
        <w:t>морцы своими силами не справлялись с пе</w:t>
      </w:r>
      <w:r w:rsidRPr="00640820">
        <w:rPr>
          <w:rFonts w:ascii="Times New Roman" w:hAnsi="Times New Roman"/>
          <w:color w:val="000000" w:themeColor="text1"/>
          <w:sz w:val="16"/>
          <w:szCs w:val="16"/>
        </w:rPr>
        <w:softHyphen/>
        <w:t>ревозками. Однако потребность в тран</w:t>
      </w:r>
      <w:r w:rsidRPr="00640820">
        <w:rPr>
          <w:rFonts w:ascii="Times New Roman" w:hAnsi="Times New Roman"/>
          <w:color w:val="000000" w:themeColor="text1"/>
          <w:sz w:val="16"/>
          <w:szCs w:val="16"/>
        </w:rPr>
        <w:softHyphen/>
        <w:t>спортниках существовала и на Дальнем Востоке, поэтому самолеты остались там. В 1945 г. в составе авиации ТОФ еще числи</w:t>
      </w:r>
      <w:r w:rsidRPr="00640820">
        <w:rPr>
          <w:rFonts w:ascii="Times New Roman" w:hAnsi="Times New Roman"/>
          <w:color w:val="000000" w:themeColor="text1"/>
          <w:sz w:val="16"/>
          <w:szCs w:val="16"/>
        </w:rPr>
        <w:softHyphen/>
        <w:t>лись три транспортных ТБ-1. После окончания войны несколько эк</w:t>
      </w:r>
      <w:r w:rsidRPr="00640820">
        <w:rPr>
          <w:rFonts w:ascii="Times New Roman" w:hAnsi="Times New Roman"/>
          <w:color w:val="000000" w:themeColor="text1"/>
          <w:sz w:val="16"/>
          <w:szCs w:val="16"/>
        </w:rPr>
        <w:softHyphen/>
        <w:t>земпляров использовали в рыбной про</w:t>
      </w:r>
      <w:r w:rsidRPr="00640820">
        <w:rPr>
          <w:rFonts w:ascii="Times New Roman" w:hAnsi="Times New Roman"/>
          <w:color w:val="000000" w:themeColor="text1"/>
          <w:sz w:val="16"/>
          <w:szCs w:val="16"/>
        </w:rPr>
        <w:softHyphen/>
        <w:t>мышленности и на Севере. Последние машины там списали в 1946-47 гг. Таким образом, достойно отслужив почти два десятка лет, ТБ-1 окончательно сошел со сцены, когда в авиации наступала реактив</w:t>
      </w:r>
      <w:r w:rsidRPr="00640820">
        <w:rPr>
          <w:rFonts w:ascii="Times New Roman" w:hAnsi="Times New Roman"/>
          <w:color w:val="000000" w:themeColor="text1"/>
          <w:sz w:val="16"/>
          <w:szCs w:val="16"/>
        </w:rPr>
        <w:softHyphen/>
        <w:t>ная эра (11286).</w:t>
      </w:r>
    </w:p>
    <w:p w14:paraId="65EC581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FBCE5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Согласно данным главного управления ГВФ, за первые пол</w:t>
      </w:r>
      <w:r w:rsidRPr="00640820">
        <w:rPr>
          <w:rFonts w:ascii="Times New Roman" w:hAnsi="Times New Roman"/>
          <w:color w:val="000000" w:themeColor="text1"/>
          <w:sz w:val="16"/>
          <w:szCs w:val="16"/>
        </w:rPr>
        <w:softHyphen/>
        <w:t>года войны было потеряно 6 Г-1: 1 — в ава</w:t>
      </w:r>
      <w:r w:rsidRPr="00640820">
        <w:rPr>
          <w:rFonts w:ascii="Times New Roman" w:hAnsi="Times New Roman"/>
          <w:color w:val="000000" w:themeColor="text1"/>
          <w:sz w:val="16"/>
          <w:szCs w:val="16"/>
        </w:rPr>
        <w:softHyphen/>
        <w:t>рии, 5 — уничтожено противником. По дру</w:t>
      </w:r>
      <w:r w:rsidRPr="00640820">
        <w:rPr>
          <w:rFonts w:ascii="Times New Roman" w:hAnsi="Times New Roman"/>
          <w:color w:val="000000" w:themeColor="text1"/>
          <w:sz w:val="16"/>
          <w:szCs w:val="16"/>
        </w:rPr>
        <w:softHyphen/>
        <w:t>гим источникам, потери составили 4 ма</w:t>
      </w:r>
      <w:r w:rsidRPr="00640820">
        <w:rPr>
          <w:rFonts w:ascii="Times New Roman" w:hAnsi="Times New Roman"/>
          <w:color w:val="000000" w:themeColor="text1"/>
          <w:sz w:val="16"/>
          <w:szCs w:val="16"/>
        </w:rPr>
        <w:softHyphen/>
        <w:t>шины: 1 — разбита в аварии, 2 — уничтожено на аэродромах, 1 — сбита своими истреби</w:t>
      </w:r>
      <w:r w:rsidRPr="00640820">
        <w:rPr>
          <w:rFonts w:ascii="Times New Roman" w:hAnsi="Times New Roman"/>
          <w:color w:val="000000" w:themeColor="text1"/>
          <w:sz w:val="16"/>
          <w:szCs w:val="16"/>
        </w:rPr>
        <w:softHyphen/>
        <w:t>телями. При повторном поступлении на военную службу отдельные экземпляры самолетов оборудовали оборонительными турелями, как правило, МВ-3, оснащенными пулеме</w:t>
      </w:r>
      <w:r w:rsidRPr="00640820">
        <w:rPr>
          <w:rFonts w:ascii="Times New Roman" w:hAnsi="Times New Roman"/>
          <w:color w:val="000000" w:themeColor="text1"/>
          <w:sz w:val="16"/>
          <w:szCs w:val="16"/>
        </w:rPr>
        <w:softHyphen/>
        <w:t>тами ШКАС. Кроме мобилизации исправ</w:t>
      </w:r>
      <w:r w:rsidRPr="00640820">
        <w:rPr>
          <w:rFonts w:ascii="Times New Roman" w:hAnsi="Times New Roman"/>
          <w:color w:val="000000" w:themeColor="text1"/>
          <w:sz w:val="16"/>
          <w:szCs w:val="16"/>
        </w:rPr>
        <w:softHyphen/>
        <w:t>ных машин, были отремонтированы не</w:t>
      </w:r>
      <w:r w:rsidRPr="00640820">
        <w:rPr>
          <w:rFonts w:ascii="Times New Roman" w:hAnsi="Times New Roman"/>
          <w:color w:val="000000" w:themeColor="text1"/>
          <w:sz w:val="16"/>
          <w:szCs w:val="16"/>
        </w:rPr>
        <w:softHyphen/>
        <w:t>сколько экземпляров, ранее определенных на списание. Продолжалась подобная прак</w:t>
      </w:r>
      <w:r w:rsidRPr="00640820">
        <w:rPr>
          <w:rFonts w:ascii="Times New Roman" w:hAnsi="Times New Roman"/>
          <w:color w:val="000000" w:themeColor="text1"/>
          <w:sz w:val="16"/>
          <w:szCs w:val="16"/>
        </w:rPr>
        <w:softHyphen/>
        <w:t>тика и позднее. Она позволила поддержи</w:t>
      </w:r>
      <w:r w:rsidRPr="00640820">
        <w:rPr>
          <w:rFonts w:ascii="Times New Roman" w:hAnsi="Times New Roman"/>
          <w:color w:val="000000" w:themeColor="text1"/>
          <w:sz w:val="16"/>
          <w:szCs w:val="16"/>
        </w:rPr>
        <w:softHyphen/>
        <w:t>вать количество Г-1 в особых авиагруппах в пределах 10-15 экземпляров довольно продолжительное время. По состоянию на 1 января 1943 г. в ГВФ насчитывалось 14 Г-1, из которых готовыми к полетам значи</w:t>
      </w:r>
      <w:r w:rsidRPr="00640820">
        <w:rPr>
          <w:rFonts w:ascii="Times New Roman" w:hAnsi="Times New Roman"/>
          <w:color w:val="000000" w:themeColor="text1"/>
          <w:sz w:val="16"/>
          <w:szCs w:val="16"/>
        </w:rPr>
        <w:softHyphen/>
        <w:t>лись только 4. Что касается ВВС, то здесь сведений о ТБ-1 почти нет. Известно лишь, что последний армейский ТБ-1 разбили в аварии в 1944г. О существовании заслуженного «ста</w:t>
      </w:r>
      <w:r w:rsidRPr="00640820">
        <w:rPr>
          <w:rFonts w:ascii="Times New Roman" w:hAnsi="Times New Roman"/>
          <w:color w:val="000000" w:themeColor="text1"/>
          <w:sz w:val="16"/>
          <w:szCs w:val="16"/>
        </w:rPr>
        <w:softHyphen/>
        <w:t>ричка» не забывали и на заключительном этапе войны. С началом операции по осво</w:t>
      </w:r>
      <w:r w:rsidRPr="00640820">
        <w:rPr>
          <w:rFonts w:ascii="Times New Roman" w:hAnsi="Times New Roman"/>
          <w:color w:val="000000" w:themeColor="text1"/>
          <w:sz w:val="16"/>
          <w:szCs w:val="16"/>
        </w:rPr>
        <w:softHyphen/>
        <w:t>бождению Крыма отдельные Г-1 использо</w:t>
      </w:r>
      <w:r w:rsidRPr="00640820">
        <w:rPr>
          <w:rFonts w:ascii="Times New Roman" w:hAnsi="Times New Roman"/>
          <w:color w:val="000000" w:themeColor="text1"/>
          <w:sz w:val="16"/>
          <w:szCs w:val="16"/>
        </w:rPr>
        <w:softHyphen/>
        <w:t>вали для перевозки грузов в Северную Тав</w:t>
      </w:r>
      <w:r w:rsidRPr="00640820">
        <w:rPr>
          <w:rFonts w:ascii="Times New Roman" w:hAnsi="Times New Roman"/>
          <w:color w:val="000000" w:themeColor="text1"/>
          <w:sz w:val="16"/>
          <w:szCs w:val="16"/>
        </w:rPr>
        <w:softHyphen/>
        <w:t>рию. 17 марта 1944 г. военный совет ЧФ запросил у наркома ВМФ о возможности получения еще 4-5 ТБ-1 с Тихоокеанского флота или из резерва Ставки, т.к. черно</w:t>
      </w:r>
      <w:r w:rsidRPr="00640820">
        <w:rPr>
          <w:rFonts w:ascii="Times New Roman" w:hAnsi="Times New Roman"/>
          <w:color w:val="000000" w:themeColor="text1"/>
          <w:sz w:val="16"/>
          <w:szCs w:val="16"/>
        </w:rPr>
        <w:softHyphen/>
        <w:t>морцы своими силами не справлялись с пе</w:t>
      </w:r>
      <w:r w:rsidRPr="00640820">
        <w:rPr>
          <w:rFonts w:ascii="Times New Roman" w:hAnsi="Times New Roman"/>
          <w:color w:val="000000" w:themeColor="text1"/>
          <w:sz w:val="16"/>
          <w:szCs w:val="16"/>
        </w:rPr>
        <w:softHyphen/>
        <w:t>ревозками. Однако потребность в тран</w:t>
      </w:r>
      <w:r w:rsidRPr="00640820">
        <w:rPr>
          <w:rFonts w:ascii="Times New Roman" w:hAnsi="Times New Roman"/>
          <w:color w:val="000000" w:themeColor="text1"/>
          <w:sz w:val="16"/>
          <w:szCs w:val="16"/>
        </w:rPr>
        <w:softHyphen/>
        <w:t>спортниках существовала и на Дальнем Востоке, поэтому самолеты остались там. В 1945 г. в составе авиации ТОФ еще числи</w:t>
      </w:r>
      <w:r w:rsidRPr="00640820">
        <w:rPr>
          <w:rFonts w:ascii="Times New Roman" w:hAnsi="Times New Roman"/>
          <w:color w:val="000000" w:themeColor="text1"/>
          <w:sz w:val="16"/>
          <w:szCs w:val="16"/>
        </w:rPr>
        <w:softHyphen/>
        <w:t>лись три транспортных ТБ-1. После окончания войны несколько эк</w:t>
      </w:r>
      <w:r w:rsidRPr="00640820">
        <w:rPr>
          <w:rFonts w:ascii="Times New Roman" w:hAnsi="Times New Roman"/>
          <w:color w:val="000000" w:themeColor="text1"/>
          <w:sz w:val="16"/>
          <w:szCs w:val="16"/>
        </w:rPr>
        <w:softHyphen/>
        <w:t>земпляров использовали в рыбной про</w:t>
      </w:r>
      <w:r w:rsidRPr="00640820">
        <w:rPr>
          <w:rFonts w:ascii="Times New Roman" w:hAnsi="Times New Roman"/>
          <w:color w:val="000000" w:themeColor="text1"/>
          <w:sz w:val="16"/>
          <w:szCs w:val="16"/>
        </w:rPr>
        <w:softHyphen/>
        <w:t>мышленности и на Севере. Последние машины там списали в 1946-47 гг. Таким образом, достойно отслужив почти два десятка лет, ТБ-1 окончательно сошел со сцены, когда в авиации наступала реактив</w:t>
      </w:r>
      <w:r w:rsidRPr="00640820">
        <w:rPr>
          <w:rFonts w:ascii="Times New Roman" w:hAnsi="Times New Roman"/>
          <w:color w:val="000000" w:themeColor="text1"/>
          <w:sz w:val="16"/>
          <w:szCs w:val="16"/>
        </w:rPr>
        <w:softHyphen/>
        <w:t>ная эра (11286).</w:t>
      </w:r>
    </w:p>
    <w:p w14:paraId="75276F4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E45C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в Барнауле созданы Авиаремонтные мастерские, в 1944 г. перебазированы в Тюмень. В 1968 г. преобразованы в завод № 26 ГА /625025  г. Тюмень Аэропорт Плеханове тел. 43-23-73. В 1992 г. предприятие акционировано и преобразовано в ОАО.</w:t>
      </w:r>
    </w:p>
    <w:p w14:paraId="47AED1A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(2002 г.)- 302 чел.</w:t>
      </w:r>
    </w:p>
    <w:p w14:paraId="18ACC2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Гендиректор (1990-е)- Л.И. Романчук, (2002 г.)-  Г.В. Галиахмегов.</w:t>
      </w:r>
    </w:p>
    <w:p w14:paraId="369EB3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(2002 г.)- В.Д. Киселев.</w:t>
      </w:r>
    </w:p>
    <w:p w14:paraId="01579E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гендиректора по производству (2002 г.)- А. Г. Приходько.</w:t>
      </w:r>
      <w:r w:rsidRPr="00640820">
        <w:rPr>
          <w:rFonts w:ascii="Times New Roman" w:hAnsi="Times New Roman"/>
          <w:color w:val="000000" w:themeColor="text1"/>
          <w:sz w:val="16"/>
          <w:szCs w:val="16"/>
          <w:vertAlign w:val="superscript"/>
        </w:rPr>
        <w:t>69</w:t>
      </w:r>
    </w:p>
    <w:p w14:paraId="195BAB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Ремонт: самолеты По-2, Ш-2, Ан-2 (-2002-04-), Ми-1, Ми-2 (-2002-04-), Ми-8 (-2002-04-); двигатели: М-11, АИ-14Р; в/винты АВ-2 (-2002-04-) (11982).</w:t>
      </w:r>
    </w:p>
    <w:p w14:paraId="6CCDD7E2" w14:textId="77777777" w:rsidR="00813840" w:rsidRPr="00640820" w:rsidRDefault="00813840" w:rsidP="00640820">
      <w:pPr>
        <w:autoSpaceDE w:val="0"/>
        <w:autoSpaceDN w:val="0"/>
        <w:adjustRightInd w:val="0"/>
        <w:spacing w:after="0" w:line="240" w:lineRule="auto"/>
        <w:jc w:val="both"/>
        <w:rPr>
          <w:rFonts w:ascii="Times New Roman" w:hAnsi="Times New Roman"/>
          <w:color w:val="000000" w:themeColor="text1"/>
          <w:sz w:val="16"/>
          <w:szCs w:val="16"/>
        </w:rPr>
      </w:pPr>
    </w:p>
    <w:p w14:paraId="2FDFF4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АРБ № 405 (Авиаремонтный завод (АРЗ) № 405 ГА, ОАО «Авиапионно-технический цеитр-405» /Казахстан 480040  г. Алма-Ата,  г. Алматы ул. Закарпатская, 17/). Сюда после начала войны эвакуирован завод № 242 НКАП. После войны завод находился в  г. Джамбул.</w:t>
      </w:r>
      <w:r w:rsidRPr="00640820">
        <w:rPr>
          <w:rFonts w:ascii="Times New Roman" w:hAnsi="Times New Roman"/>
          <w:color w:val="000000" w:themeColor="text1"/>
          <w:sz w:val="16"/>
          <w:szCs w:val="16"/>
          <w:vertAlign w:val="superscript"/>
        </w:rPr>
        <w:t>31</w:t>
      </w:r>
    </w:p>
    <w:p w14:paraId="3DBE0E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(1990-е)- В.Т. Терешин.</w:t>
      </w:r>
    </w:p>
    <w:p w14:paraId="3F502A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Ремонт:</w:t>
      </w:r>
      <w:r w:rsidRPr="00640820">
        <w:rPr>
          <w:rFonts w:ascii="Times New Roman" w:hAnsi="Times New Roman"/>
          <w:color w:val="000000" w:themeColor="text1"/>
          <w:sz w:val="16"/>
          <w:szCs w:val="16"/>
        </w:rPr>
        <w:t xml:space="preserve"> самолеты: Ли-2 (после ВОВ), Ан-2 (2003); вертолет Ми-8 (2003) (11982).</w:t>
      </w:r>
    </w:p>
    <w:p w14:paraId="017CB4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82CCB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самолеты, принявшие первый удар Люфтваффе, кроме звезд в большинстве своем имели только бортовые номера на вертикальном оперении. Номера были одно- или двузначными, они наносились в строевых частях. Цвет их мог быть красным, черным, белым, синим или желтым, и обозначал принадлежность к полку или эскадрилье.</w:t>
      </w:r>
    </w:p>
    <w:p w14:paraId="59957D6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началом войны бортовые номера на большинстве истребителей стали наносить прямо на заводах. Числа брались из части заводского номера, обозначавшей номер самолета в серии. Цвет обычно был белым. В первые годы войны шрифт цифр походил на рукописный, позднее его стандартизировали, сделали более строгим, ввели черную, красную или синюю окантовку. Как правило, номера не менялись до конца службы самолета. Однако иногда их в частях закрашивали и наносили новые. Причины могли быть разными: индивидуальная "привязанность" пилота к определенному числу, одинаковые номера разных самолетов и прочее. Например, самолеты Як-9Б 168-го иап, построенные на средства москвичей, уже в день вручения (13 июня 1944 г.) несли номера от 1 до 12 и надпись "Москва". Машины были закреплены за пилотами, и при потере машины на новом самолете летчика появлялся "его" номер.</w:t>
      </w:r>
    </w:p>
    <w:p w14:paraId="56F9C7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бомбардировщиках номера обычно наносились в авиачастях. В 1943 г. Пе-8 890-го апдд имели голубые номера от 1 до 15. Машины первой эскадрильи несли номера с 1-го по 5-й, второй - с 6-го по 10-й и третьей - с 11-го по 15-й.</w:t>
      </w:r>
    </w:p>
    <w:p w14:paraId="4762B1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Для взаимодействия летчиков в бою необходимо быстро и безошибочно определить, где самолет командира, где ведомый и кто это заходит тебе в хвост... Для этого начали окрашивать в разные цвета коки, капоты, рули направления, верхние части килей (так называемые "пилотки"), а также рисовать полосы на вертикальном оперении, фюзеляжах и плоскостях самолетов. Иногда применя- пи и специальные эмблемы. Все эти знаки показывали принадлежность машины к конкретной эскадрилье, полку или дивизии. Использовались краски красного, белого, голубого и желтого цветов, в том числе предназначавшиеся для окраски внутренних поверхностей.</w:t>
      </w:r>
    </w:p>
    <w:p w14:paraId="3038A1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Единой системы тактических обозначений в советских ВВС не существовало. Пользы от нее было бы меньше, чем вреда. Такая система стала бы слишком сложной для восприятия пилотами в бою и, в то же время, могла быть расшифрована противником. Но и анархия в этом вопросе не допускалась. Обычно обозначения утверждались приказом вышестоящего командира.</w:t>
      </w:r>
    </w:p>
    <w:p w14:paraId="0793C7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Несколько примеров. Истребители 3-го иак несли на носовой части фюзеляжа эмблему в виде крыла со звездой и мечом, разрубающим свастику. Самолеты 813-го иап обозначались белой поперечной полосой вокруг фюзеляжа сразу за кабиной, 156-го иап - чередующимися красными и серебристыми полосами на руле поворота; оба полка входили в 8-й иак генерал-лейтенанта А С. Осипенко. На Ла-5ФН и Ла-7 790-го иап в качестве обозначения полка на капоты наносились белые шевроны, направленные острием вперед. Самолеты 828-го шап (входившего в 260-ю шад) имели окрашенные белой краской нижние части капотов.</w:t>
      </w:r>
    </w:p>
    <w:p w14:paraId="4B67BA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Часто для обозначения принадлежности самолета к эскадрилье использовалась окраска коков винтов. Обычно, первая эскадрилья имела красные коки, вторая - голубые, третья - желтые. Использование в тактических обозначениях, в первую очередь, красного цвета, вероятно, имело идеологическую подоплеку. Желтая краска применялась реже всего: на советско-германском фронте этот цвет для своих машин использовали Люфтваффе.</w:t>
      </w:r>
    </w:p>
    <w:p w14:paraId="6572A5E4" w14:textId="77777777" w:rsidR="0081384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Иногда введение тактических обозначений обуславливалось вполне конкретными причинами. В 1944 г. один полк из 1-й гв. шад обвинили в нанесении удара по своим войскам. Как оказалось впоследствии, виноваты в этом были летчики другой дивизии. Чтобы избежать подобного в дальнейшем, командир дивизии С.Д. Прутков приказал нанести на самолеты всех полков своего соединения белые полосы шириной около 1 м. Полосы наносились на обе плоскости сверху и снизу, примерно на половине размаха крыла. С такими полосами Ил-2 1-й гв. шад летали до конца войны (11989).</w:t>
      </w:r>
    </w:p>
    <w:p w14:paraId="7A530A7E" w14:textId="77777777" w:rsidR="00813840" w:rsidRPr="00640820" w:rsidRDefault="00813840" w:rsidP="00640820">
      <w:pPr>
        <w:autoSpaceDE w:val="0"/>
        <w:autoSpaceDN w:val="0"/>
        <w:adjustRightInd w:val="0"/>
        <w:spacing w:after="0" w:line="240" w:lineRule="auto"/>
        <w:jc w:val="both"/>
        <w:rPr>
          <w:rFonts w:ascii="Times New Roman" w:hAnsi="Times New Roman"/>
          <w:color w:val="000000" w:themeColor="text1"/>
          <w:sz w:val="16"/>
          <w:szCs w:val="16"/>
        </w:rPr>
      </w:pPr>
    </w:p>
    <w:p w14:paraId="5EC68ED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в Новосибирск направлена бригада проектировщиков «Гипроавиапрома» для ускорения ввода в строй эвакуированных заводов НКАП (Сибирский филиал «Гипроавиапрома», ОАО «Сибирский проектно-конструкторский и научно-исследовательский институт авиационной промышленности» («СибпроектНИИавиапром») /630015 г. Новосибирск ул. Королева, 29 тел. (383) 279-06-50</w:t>
      </w:r>
    </w:p>
    <w:p w14:paraId="0262AC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1951 г. бригада преобразована в Сибирский филиал «Гипроавиапрома». Филиал получил статус генерального проектировщика авиационных заводов Сибири, Дальнего Востока и Средней Азии. Кроме того, институту поручено проектирование оснащения аэродромов радиотехническим, светосигнальным и метеооборудованием.</w:t>
      </w:r>
    </w:p>
    <w:p w14:paraId="1E89B85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Разработаны проекты: корпуса № 2-6 СибНИА, самолеторемонтного корпуса ТАПОиЧ, Тюменского моторного завода, завода ТАПОиЧ в Фергане (1989г.), МИК для ОК «Буран» (254-я площадка Байконура), реконструкции ИАЗ. В 1990-е г. разработаны проекты обустройства нефтяных месторождений Тюменской обл., складов нефтепродуктов, АЗС, объектов жилищного строительства.</w:t>
      </w:r>
    </w:p>
    <w:p w14:paraId="24708C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27.05.1994г. акционирован и преобразован в ОАО, в 2000 г. переименован в «СибпроектНИИавиапром».</w:t>
      </w:r>
    </w:p>
    <w:p w14:paraId="0CD9B7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(2002г.): комплексные проектно-изыскательские и конструкторские работы для заводов авиационной промышленности. (2008г.): проекты реконструкции: КнААПО, НАПО им. Чкалова, корпуса № 6 СибНИА, ОП ЦКБ «Геофизика» (г. Красноярск); комплекс испытаний крупногабаритных конструкций для ЦАГИ.</w:t>
      </w:r>
    </w:p>
    <w:p w14:paraId="175A19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Структура института (2009г.): бюро: гл. инженеров проектов; гл. специалистов; отделы: архитектурно- строительный; электротехнический; отопления и вентиляции; технологический; нестандартизированного оборудования и транспорта; теплотехнический и промразводок; водопровода и водоотведения; инженерных изысканий; вычислительной техники и автоматизации проектирования; технический; сметный; оформления и экспедиции; плановый; эксплуатационно-хозяйственный; режима и кадров; служба качества; бухгалтерия. Имелись: производственный корпус, корпус по ремонту буровой техники.</w:t>
      </w:r>
    </w:p>
    <w:p w14:paraId="7684DE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решению правительства № 22-р от 9.01.2004г. и Указу Президента РФ № 1009 от 4.08.2004г. вошло в число стратегических оборонных предприятий.</w:t>
      </w:r>
    </w:p>
    <w:p w14:paraId="625847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производственная (2009г.)- 9020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6FA923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(2002г.)- 170 чел.</w:t>
      </w:r>
    </w:p>
    <w:p w14:paraId="46C842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Гендиректор (-2002-09г.-)- Р.Т. Армяков.</w:t>
      </w:r>
    </w:p>
    <w:p w14:paraId="0BBD93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технический (2002г.)- В.А. Серпионов; финансовый (2002г.)- В.А. Жилкин.</w:t>
      </w:r>
      <w:r w:rsidRPr="00640820">
        <w:rPr>
          <w:rFonts w:ascii="Times New Roman" w:hAnsi="Times New Roman"/>
          <w:color w:val="000000" w:themeColor="text1"/>
          <w:sz w:val="16"/>
          <w:szCs w:val="16"/>
          <w:vertAlign w:val="superscript"/>
        </w:rPr>
        <w:t>69</w:t>
      </w:r>
    </w:p>
    <w:p w14:paraId="02DD42A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инженеры проектов: П.В. Кожухов (СибНИА) (11982).</w:t>
      </w:r>
    </w:p>
    <w:p w14:paraId="7D51AB58" w14:textId="77777777" w:rsidR="00813840" w:rsidRPr="00640820" w:rsidRDefault="00813840" w:rsidP="00640820">
      <w:pPr>
        <w:autoSpaceDE w:val="0"/>
        <w:autoSpaceDN w:val="0"/>
        <w:adjustRightInd w:val="0"/>
        <w:spacing w:after="0" w:line="240" w:lineRule="auto"/>
        <w:jc w:val="both"/>
        <w:rPr>
          <w:rFonts w:ascii="Times New Roman" w:hAnsi="Times New Roman"/>
          <w:color w:val="000000" w:themeColor="text1"/>
          <w:sz w:val="16"/>
          <w:szCs w:val="16"/>
        </w:rPr>
      </w:pPr>
    </w:p>
    <w:p w14:paraId="41274A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в заводском разрезе авиавыпуск имел следую</w:t>
      </w:r>
      <w:r w:rsidRPr="00640820">
        <w:rPr>
          <w:rFonts w:ascii="Times New Roman" w:hAnsi="Times New Roman"/>
          <w:color w:val="000000" w:themeColor="text1"/>
          <w:sz w:val="16"/>
          <w:szCs w:val="16"/>
        </w:rPr>
        <w:softHyphen/>
        <w:t>щий вид (см. прил. 16).</w:t>
      </w:r>
    </w:p>
    <w:p w14:paraId="1B549C67" w14:textId="77777777" w:rsidR="00045010" w:rsidRPr="00640820" w:rsidRDefault="00045010" w:rsidP="00640820">
      <w:pPr>
        <w:tabs>
          <w:tab w:val="left" w:pos="296"/>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Приложение 16</w:t>
      </w:r>
    </w:p>
    <w:p w14:paraId="1800D3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моделей самолётов по заводам</w:t>
      </w:r>
    </w:p>
    <w:tbl>
      <w:tblPr>
        <w:tblW w:w="0" w:type="auto"/>
        <w:tblInd w:w="8" w:type="dxa"/>
        <w:tblLayout w:type="fixed"/>
        <w:tblCellMar>
          <w:left w:w="0" w:type="dxa"/>
          <w:right w:w="0" w:type="dxa"/>
        </w:tblCellMar>
        <w:tblLook w:val="0000" w:firstRow="0" w:lastRow="0" w:firstColumn="0" w:lastColumn="0" w:noHBand="0" w:noVBand="0"/>
      </w:tblPr>
      <w:tblGrid>
        <w:gridCol w:w="547"/>
        <w:gridCol w:w="15"/>
        <w:gridCol w:w="719"/>
        <w:gridCol w:w="6"/>
        <w:gridCol w:w="440"/>
        <w:gridCol w:w="11"/>
        <w:gridCol w:w="723"/>
        <w:gridCol w:w="7"/>
        <w:gridCol w:w="444"/>
        <w:gridCol w:w="7"/>
        <w:gridCol w:w="723"/>
        <w:gridCol w:w="7"/>
        <w:gridCol w:w="446"/>
        <w:gridCol w:w="840"/>
        <w:gridCol w:w="566"/>
        <w:gridCol w:w="730"/>
        <w:gridCol w:w="446"/>
        <w:gridCol w:w="984"/>
        <w:gridCol w:w="10"/>
        <w:gridCol w:w="446"/>
        <w:gridCol w:w="763"/>
        <w:gridCol w:w="644"/>
      </w:tblGrid>
      <w:tr w:rsidR="00643896" w:rsidRPr="00640820" w14:paraId="41D89154" w14:textId="77777777" w:rsidTr="000D3BCB">
        <w:trPr>
          <w:trHeight w:val="264"/>
        </w:trPr>
        <w:tc>
          <w:tcPr>
            <w:tcW w:w="562" w:type="dxa"/>
            <w:gridSpan w:val="2"/>
            <w:tcBorders>
              <w:top w:val="single" w:sz="6" w:space="0" w:color="auto"/>
              <w:left w:val="single" w:sz="6" w:space="0" w:color="auto"/>
              <w:bottom w:val="nil"/>
              <w:right w:val="single" w:sz="6" w:space="0" w:color="auto"/>
            </w:tcBorders>
            <w:shd w:val="clear" w:color="auto" w:fill="FFFFFF"/>
          </w:tcPr>
          <w:p w14:paraId="72CE90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за</w:t>
            </w:r>
            <w:r w:rsidRPr="00640820">
              <w:rPr>
                <w:rFonts w:ascii="Times New Roman" w:hAnsi="Times New Roman"/>
                <w:color w:val="000000" w:themeColor="text1"/>
                <w:sz w:val="16"/>
                <w:szCs w:val="16"/>
                <w:lang w:val="en-US"/>
              </w:rPr>
              <w:softHyphen/>
            </w:r>
          </w:p>
        </w:tc>
        <w:tc>
          <w:tcPr>
            <w:tcW w:w="725" w:type="dxa"/>
            <w:gridSpan w:val="2"/>
            <w:tcBorders>
              <w:top w:val="single" w:sz="6" w:space="0" w:color="auto"/>
              <w:left w:val="single" w:sz="6" w:space="0" w:color="auto"/>
              <w:bottom w:val="single" w:sz="6" w:space="0" w:color="auto"/>
              <w:right w:val="nil"/>
            </w:tcBorders>
            <w:shd w:val="clear" w:color="auto" w:fill="FFFFFF"/>
          </w:tcPr>
          <w:p w14:paraId="797EC6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1939</w:t>
            </w:r>
          </w:p>
        </w:tc>
        <w:tc>
          <w:tcPr>
            <w:tcW w:w="451" w:type="dxa"/>
            <w:gridSpan w:val="2"/>
            <w:tcBorders>
              <w:top w:val="single" w:sz="6" w:space="0" w:color="auto"/>
              <w:left w:val="nil"/>
              <w:bottom w:val="single" w:sz="6" w:space="0" w:color="auto"/>
              <w:right w:val="single" w:sz="6" w:space="0" w:color="auto"/>
            </w:tcBorders>
            <w:shd w:val="clear" w:color="auto" w:fill="FFFFFF"/>
          </w:tcPr>
          <w:p w14:paraId="0F8C2B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181" w:type="dxa"/>
            <w:gridSpan w:val="4"/>
            <w:tcBorders>
              <w:top w:val="single" w:sz="6" w:space="0" w:color="auto"/>
              <w:left w:val="single" w:sz="6" w:space="0" w:color="auto"/>
              <w:bottom w:val="single" w:sz="6" w:space="0" w:color="auto"/>
              <w:right w:val="single" w:sz="6" w:space="0" w:color="auto"/>
            </w:tcBorders>
            <w:shd w:val="clear" w:color="auto" w:fill="FFFFFF"/>
          </w:tcPr>
          <w:p w14:paraId="0F73B8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1940</w:t>
            </w:r>
          </w:p>
        </w:tc>
        <w:tc>
          <w:tcPr>
            <w:tcW w:w="1176" w:type="dxa"/>
            <w:gridSpan w:val="3"/>
            <w:tcBorders>
              <w:top w:val="single" w:sz="6" w:space="0" w:color="auto"/>
              <w:left w:val="single" w:sz="6" w:space="0" w:color="auto"/>
              <w:bottom w:val="single" w:sz="6" w:space="0" w:color="auto"/>
              <w:right w:val="single" w:sz="6" w:space="0" w:color="auto"/>
            </w:tcBorders>
            <w:shd w:val="clear" w:color="auto" w:fill="FFFFFF"/>
          </w:tcPr>
          <w:p w14:paraId="65780D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1941</w:t>
            </w:r>
          </w:p>
        </w:tc>
        <w:tc>
          <w:tcPr>
            <w:tcW w:w="1401" w:type="dxa"/>
            <w:gridSpan w:val="2"/>
            <w:tcBorders>
              <w:top w:val="single" w:sz="6" w:space="0" w:color="auto"/>
              <w:left w:val="single" w:sz="6" w:space="0" w:color="auto"/>
              <w:bottom w:val="single" w:sz="6" w:space="0" w:color="auto"/>
              <w:right w:val="single" w:sz="6" w:space="0" w:color="auto"/>
            </w:tcBorders>
            <w:shd w:val="clear" w:color="auto" w:fill="FFFFFF"/>
          </w:tcPr>
          <w:p w14:paraId="49AF00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1942</w:t>
            </w:r>
          </w:p>
        </w:tc>
        <w:tc>
          <w:tcPr>
            <w:tcW w:w="1176" w:type="dxa"/>
            <w:gridSpan w:val="2"/>
            <w:tcBorders>
              <w:top w:val="single" w:sz="6" w:space="0" w:color="auto"/>
              <w:left w:val="single" w:sz="6" w:space="0" w:color="auto"/>
              <w:bottom w:val="single" w:sz="6" w:space="0" w:color="auto"/>
              <w:right w:val="single" w:sz="6" w:space="0" w:color="auto"/>
            </w:tcBorders>
            <w:shd w:val="clear" w:color="auto" w:fill="FFFFFF"/>
          </w:tcPr>
          <w:p w14:paraId="59C063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1943</w:t>
            </w:r>
          </w:p>
        </w:tc>
        <w:tc>
          <w:tcPr>
            <w:tcW w:w="1430" w:type="dxa"/>
            <w:gridSpan w:val="3"/>
            <w:tcBorders>
              <w:top w:val="single" w:sz="6" w:space="0" w:color="auto"/>
              <w:left w:val="single" w:sz="6" w:space="0" w:color="auto"/>
              <w:bottom w:val="single" w:sz="6" w:space="0" w:color="auto"/>
              <w:right w:val="single" w:sz="6" w:space="0" w:color="auto"/>
            </w:tcBorders>
            <w:shd w:val="clear" w:color="auto" w:fill="FFFFFF"/>
          </w:tcPr>
          <w:p w14:paraId="44AC16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1944</w:t>
            </w:r>
          </w:p>
        </w:tc>
        <w:tc>
          <w:tcPr>
            <w:tcW w:w="1396" w:type="dxa"/>
            <w:gridSpan w:val="2"/>
            <w:tcBorders>
              <w:top w:val="single" w:sz="6" w:space="0" w:color="auto"/>
              <w:left w:val="single" w:sz="6" w:space="0" w:color="auto"/>
              <w:bottom w:val="single" w:sz="6" w:space="0" w:color="auto"/>
              <w:right w:val="single" w:sz="6" w:space="0" w:color="auto"/>
            </w:tcBorders>
            <w:shd w:val="clear" w:color="auto" w:fill="FFFFFF"/>
          </w:tcPr>
          <w:p w14:paraId="18DF19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1945</w:t>
            </w:r>
          </w:p>
        </w:tc>
      </w:tr>
      <w:tr w:rsidR="00643896" w:rsidRPr="00640820" w14:paraId="721FD5FD" w14:textId="77777777" w:rsidTr="000D3BCB">
        <w:trPr>
          <w:trHeight w:val="221"/>
        </w:trPr>
        <w:tc>
          <w:tcPr>
            <w:tcW w:w="562" w:type="dxa"/>
            <w:gridSpan w:val="2"/>
            <w:tcBorders>
              <w:top w:val="nil"/>
              <w:left w:val="single" w:sz="6" w:space="0" w:color="auto"/>
              <w:bottom w:val="single" w:sz="6" w:space="0" w:color="auto"/>
              <w:right w:val="single" w:sz="6" w:space="0" w:color="auto"/>
            </w:tcBorders>
            <w:shd w:val="clear" w:color="auto" w:fill="FFFFFF"/>
          </w:tcPr>
          <w:p w14:paraId="2C4C1E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вода</w:t>
            </w:r>
          </w:p>
        </w:tc>
        <w:tc>
          <w:tcPr>
            <w:tcW w:w="725" w:type="dxa"/>
            <w:gridSpan w:val="2"/>
            <w:tcBorders>
              <w:top w:val="single" w:sz="6" w:space="0" w:color="auto"/>
              <w:left w:val="single" w:sz="6" w:space="0" w:color="auto"/>
              <w:bottom w:val="single" w:sz="6" w:space="0" w:color="auto"/>
              <w:right w:val="single" w:sz="6" w:space="0" w:color="auto"/>
            </w:tcBorders>
            <w:shd w:val="clear" w:color="auto" w:fill="FFFFFF"/>
          </w:tcPr>
          <w:p w14:paraId="7F3FDB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по типам</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4FD5D0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всего</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58AB39F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по типам</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3BDBF0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всего</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7F933B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по типам</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4E5C39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всего</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4309D5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по типам</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B48CB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всего</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62A1C6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по типам</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7348F9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всего</w:t>
            </w:r>
          </w:p>
        </w:tc>
        <w:tc>
          <w:tcPr>
            <w:tcW w:w="984" w:type="dxa"/>
            <w:gridSpan w:val="2"/>
            <w:tcBorders>
              <w:top w:val="single" w:sz="6" w:space="0" w:color="auto"/>
              <w:left w:val="single" w:sz="6" w:space="0" w:color="auto"/>
              <w:bottom w:val="single" w:sz="6" w:space="0" w:color="auto"/>
              <w:right w:val="single" w:sz="6" w:space="0" w:color="auto"/>
            </w:tcBorders>
            <w:shd w:val="clear" w:color="auto" w:fill="FFFFFF"/>
          </w:tcPr>
          <w:p w14:paraId="518C74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по типам</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1458EA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всего</w:t>
            </w:r>
          </w:p>
        </w:tc>
        <w:tc>
          <w:tcPr>
            <w:tcW w:w="763" w:type="dxa"/>
            <w:tcBorders>
              <w:top w:val="single" w:sz="6" w:space="0" w:color="auto"/>
              <w:left w:val="single" w:sz="6" w:space="0" w:color="auto"/>
              <w:bottom w:val="single" w:sz="6" w:space="0" w:color="auto"/>
              <w:right w:val="single" w:sz="6" w:space="0" w:color="auto"/>
            </w:tcBorders>
            <w:shd w:val="clear" w:color="auto" w:fill="FFFFFF"/>
          </w:tcPr>
          <w:p w14:paraId="3216EB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по типам</w:t>
            </w:r>
          </w:p>
        </w:tc>
        <w:tc>
          <w:tcPr>
            <w:tcW w:w="633" w:type="dxa"/>
            <w:tcBorders>
              <w:top w:val="single" w:sz="6" w:space="0" w:color="auto"/>
              <w:left w:val="single" w:sz="6" w:space="0" w:color="auto"/>
              <w:bottom w:val="single" w:sz="6" w:space="0" w:color="auto"/>
              <w:right w:val="single" w:sz="6" w:space="0" w:color="auto"/>
            </w:tcBorders>
            <w:shd w:val="clear" w:color="auto" w:fill="FFFFFF"/>
          </w:tcPr>
          <w:p w14:paraId="344264B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веете</w:t>
            </w:r>
          </w:p>
        </w:tc>
      </w:tr>
      <w:tr w:rsidR="00643896" w:rsidRPr="00640820" w14:paraId="53DB01D1" w14:textId="77777777" w:rsidTr="000D3BCB">
        <w:trPr>
          <w:trHeight w:val="610"/>
        </w:trPr>
        <w:tc>
          <w:tcPr>
            <w:tcW w:w="562" w:type="dxa"/>
            <w:gridSpan w:val="2"/>
            <w:tcBorders>
              <w:top w:val="single" w:sz="6" w:space="0" w:color="auto"/>
              <w:left w:val="single" w:sz="6" w:space="0" w:color="auto"/>
              <w:bottom w:val="single" w:sz="6" w:space="0" w:color="auto"/>
              <w:right w:val="single" w:sz="6" w:space="0" w:color="auto"/>
            </w:tcBorders>
            <w:shd w:val="clear" w:color="auto" w:fill="FFFFFF"/>
          </w:tcPr>
          <w:p w14:paraId="4A614C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725" w:type="dxa"/>
            <w:gridSpan w:val="2"/>
            <w:tcBorders>
              <w:top w:val="single" w:sz="6" w:space="0" w:color="auto"/>
              <w:left w:val="single" w:sz="6" w:space="0" w:color="auto"/>
              <w:bottom w:val="single" w:sz="6" w:space="0" w:color="auto"/>
              <w:right w:val="single" w:sz="6" w:space="0" w:color="auto"/>
            </w:tcBorders>
            <w:shd w:val="clear" w:color="auto" w:fill="FFFFFF"/>
          </w:tcPr>
          <w:p w14:paraId="11C4E6B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1304 И-15 1011И-153</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49D315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2315</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41E609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2362 И-153 120 МиГ-3 81Як-4</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30F86F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2563</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45EBDC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64 И-153 3100 МиГ-3 5Ил-2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047134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3169</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05E78C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 МиГ-3 2991 Ил-2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1F021A8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3013</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2EC119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4257 Ил-2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40EE61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4257</w:t>
            </w:r>
          </w:p>
        </w:tc>
        <w:tc>
          <w:tcPr>
            <w:tcW w:w="984" w:type="dxa"/>
            <w:gridSpan w:val="2"/>
            <w:tcBorders>
              <w:top w:val="single" w:sz="6" w:space="0" w:color="auto"/>
              <w:left w:val="single" w:sz="6" w:space="0" w:color="auto"/>
              <w:bottom w:val="single" w:sz="6" w:space="0" w:color="auto"/>
              <w:right w:val="single" w:sz="6" w:space="0" w:color="auto"/>
            </w:tcBorders>
            <w:shd w:val="clear" w:color="auto" w:fill="FFFFFF"/>
          </w:tcPr>
          <w:p w14:paraId="1418B8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3719 Ил-2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1379F9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3719</w:t>
            </w:r>
          </w:p>
        </w:tc>
        <w:tc>
          <w:tcPr>
            <w:tcW w:w="763" w:type="dxa"/>
            <w:tcBorders>
              <w:top w:val="single" w:sz="6" w:space="0" w:color="auto"/>
              <w:left w:val="single" w:sz="6" w:space="0" w:color="auto"/>
              <w:bottom w:val="single" w:sz="6" w:space="0" w:color="auto"/>
              <w:right w:val="single" w:sz="6" w:space="0" w:color="auto"/>
            </w:tcBorders>
            <w:shd w:val="clear" w:color="auto" w:fill="FFFFFF"/>
          </w:tcPr>
          <w:p w14:paraId="49718B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957 Ил-2 1121 Ия-10</w:t>
            </w:r>
          </w:p>
        </w:tc>
        <w:tc>
          <w:tcPr>
            <w:tcW w:w="633" w:type="dxa"/>
            <w:tcBorders>
              <w:top w:val="single" w:sz="6" w:space="0" w:color="auto"/>
              <w:left w:val="single" w:sz="6" w:space="0" w:color="auto"/>
              <w:bottom w:val="single" w:sz="6" w:space="0" w:color="auto"/>
              <w:right w:val="single" w:sz="6" w:space="0" w:color="auto"/>
            </w:tcBorders>
            <w:shd w:val="clear" w:color="auto" w:fill="FFFFFF"/>
          </w:tcPr>
          <w:p w14:paraId="2400F5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2078</w:t>
            </w:r>
          </w:p>
        </w:tc>
      </w:tr>
      <w:tr w:rsidR="00643896" w:rsidRPr="00640820" w14:paraId="1596548D" w14:textId="77777777" w:rsidTr="000D3BCB">
        <w:trPr>
          <w:trHeight w:val="610"/>
        </w:trPr>
        <w:tc>
          <w:tcPr>
            <w:tcW w:w="562" w:type="dxa"/>
            <w:gridSpan w:val="2"/>
            <w:tcBorders>
              <w:top w:val="single" w:sz="6" w:space="0" w:color="auto"/>
              <w:left w:val="single" w:sz="6" w:space="0" w:color="auto"/>
              <w:bottom w:val="single" w:sz="6" w:space="0" w:color="auto"/>
              <w:right w:val="single" w:sz="6" w:space="0" w:color="auto"/>
            </w:tcBorders>
            <w:shd w:val="clear" w:color="auto" w:fill="FFFFFF"/>
          </w:tcPr>
          <w:p w14:paraId="13E185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w:t>
            </w:r>
          </w:p>
        </w:tc>
        <w:tc>
          <w:tcPr>
            <w:tcW w:w="725" w:type="dxa"/>
            <w:gridSpan w:val="2"/>
            <w:tcBorders>
              <w:top w:val="single" w:sz="6" w:space="0" w:color="auto"/>
              <w:left w:val="single" w:sz="6" w:space="0" w:color="auto"/>
              <w:bottom w:val="single" w:sz="6" w:space="0" w:color="auto"/>
              <w:right w:val="single" w:sz="6" w:space="0" w:color="auto"/>
            </w:tcBorders>
            <w:shd w:val="clear" w:color="auto" w:fill="FFFFFF"/>
          </w:tcPr>
          <w:p w14:paraId="4DD87D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555 Ил-4</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056381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555</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5559CF8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808Ил-4</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717B03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808</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173B51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1510 Ил-2 328Ил-4 71Ер-2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59A35D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1909</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6B4469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3942 Ил-2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A8A8F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3942</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70AEA6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4702 Ил-2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7727973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4702</w:t>
            </w:r>
          </w:p>
        </w:tc>
        <w:tc>
          <w:tcPr>
            <w:tcW w:w="984" w:type="dxa"/>
            <w:gridSpan w:val="2"/>
            <w:tcBorders>
              <w:top w:val="single" w:sz="6" w:space="0" w:color="auto"/>
              <w:left w:val="single" w:sz="6" w:space="0" w:color="auto"/>
              <w:bottom w:val="single" w:sz="6" w:space="0" w:color="auto"/>
              <w:right w:val="single" w:sz="6" w:space="0" w:color="auto"/>
            </w:tcBorders>
            <w:shd w:val="clear" w:color="auto" w:fill="FFFFFF"/>
          </w:tcPr>
          <w:p w14:paraId="44E16D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smallCaps/>
                <w:color w:val="000000" w:themeColor="text1"/>
                <w:sz w:val="16"/>
                <w:szCs w:val="16"/>
                <w:lang w:val="en-US"/>
              </w:rPr>
              <w:t>4014Ил-2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172360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4014</w:t>
            </w:r>
          </w:p>
        </w:tc>
        <w:tc>
          <w:tcPr>
            <w:tcW w:w="763" w:type="dxa"/>
            <w:tcBorders>
              <w:top w:val="single" w:sz="6" w:space="0" w:color="auto"/>
              <w:left w:val="single" w:sz="6" w:space="0" w:color="auto"/>
              <w:bottom w:val="single" w:sz="6" w:space="0" w:color="auto"/>
              <w:right w:val="single" w:sz="6" w:space="0" w:color="auto"/>
            </w:tcBorders>
            <w:shd w:val="clear" w:color="auto" w:fill="FFFFFF"/>
          </w:tcPr>
          <w:p w14:paraId="434C2B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931 Ил-2 1435 Ил-10</w:t>
            </w:r>
          </w:p>
        </w:tc>
        <w:tc>
          <w:tcPr>
            <w:tcW w:w="633" w:type="dxa"/>
            <w:tcBorders>
              <w:top w:val="single" w:sz="6" w:space="0" w:color="auto"/>
              <w:left w:val="single" w:sz="6" w:space="0" w:color="auto"/>
              <w:bottom w:val="single" w:sz="6" w:space="0" w:color="auto"/>
              <w:right w:val="single" w:sz="6" w:space="0" w:color="auto"/>
            </w:tcBorders>
            <w:shd w:val="clear" w:color="auto" w:fill="FFFFFF"/>
          </w:tcPr>
          <w:p w14:paraId="5C21BE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2366</w:t>
            </w:r>
          </w:p>
        </w:tc>
      </w:tr>
      <w:tr w:rsidR="00643896" w:rsidRPr="00640820" w14:paraId="6BA950D0" w14:textId="77777777" w:rsidTr="000D3BCB">
        <w:trPr>
          <w:trHeight w:val="610"/>
        </w:trPr>
        <w:tc>
          <w:tcPr>
            <w:tcW w:w="562" w:type="dxa"/>
            <w:gridSpan w:val="2"/>
            <w:tcBorders>
              <w:top w:val="single" w:sz="6" w:space="0" w:color="auto"/>
              <w:left w:val="single" w:sz="6" w:space="0" w:color="auto"/>
              <w:bottom w:val="single" w:sz="6" w:space="0" w:color="auto"/>
              <w:right w:val="single" w:sz="6" w:space="0" w:color="auto"/>
            </w:tcBorders>
            <w:shd w:val="clear" w:color="auto" w:fill="FFFFFF"/>
          </w:tcPr>
          <w:p w14:paraId="433658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w:t>
            </w:r>
          </w:p>
        </w:tc>
        <w:tc>
          <w:tcPr>
            <w:tcW w:w="725" w:type="dxa"/>
            <w:gridSpan w:val="2"/>
            <w:tcBorders>
              <w:top w:val="single" w:sz="6" w:space="0" w:color="auto"/>
              <w:left w:val="single" w:sz="6" w:space="0" w:color="auto"/>
              <w:bottom w:val="single" w:sz="6" w:space="0" w:color="auto"/>
              <w:right w:val="single" w:sz="6" w:space="0" w:color="auto"/>
            </w:tcBorders>
            <w:shd w:val="clear" w:color="auto" w:fill="FFFFFF"/>
          </w:tcPr>
          <w:p w14:paraId="16DE9D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1571 И-16</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755609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1571</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00AF4D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2207 И-16</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603C02E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2207</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79476F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337 И-16 1659 ЛаГГ-З</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448C2B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1996</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507F16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 Як-7 1924ЛаГГ-3 1107 Ла-5</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67E6F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3036</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2B8D4B1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4619 Ла-5</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668625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4619</w:t>
            </w:r>
          </w:p>
        </w:tc>
        <w:tc>
          <w:tcPr>
            <w:tcW w:w="984" w:type="dxa"/>
            <w:gridSpan w:val="2"/>
            <w:tcBorders>
              <w:top w:val="single" w:sz="6" w:space="0" w:color="auto"/>
              <w:left w:val="single" w:sz="6" w:space="0" w:color="auto"/>
              <w:bottom w:val="single" w:sz="6" w:space="0" w:color="auto"/>
              <w:right w:val="single" w:sz="6" w:space="0" w:color="auto"/>
            </w:tcBorders>
            <w:shd w:val="clear" w:color="auto" w:fill="FFFFFF"/>
          </w:tcPr>
          <w:p w14:paraId="4348DF1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3503 Ла-5 1558 Ла-7</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5DA3F8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5061</w:t>
            </w:r>
          </w:p>
        </w:tc>
        <w:tc>
          <w:tcPr>
            <w:tcW w:w="763" w:type="dxa"/>
            <w:tcBorders>
              <w:top w:val="single" w:sz="6" w:space="0" w:color="auto"/>
              <w:left w:val="single" w:sz="6" w:space="0" w:color="auto"/>
              <w:bottom w:val="single" w:sz="6" w:space="0" w:color="auto"/>
              <w:right w:val="single" w:sz="6" w:space="0" w:color="auto"/>
            </w:tcBorders>
            <w:shd w:val="clear" w:color="auto" w:fill="FFFFFF"/>
          </w:tcPr>
          <w:p w14:paraId="7673FF3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2799Ла-7</w:t>
            </w:r>
          </w:p>
        </w:tc>
        <w:tc>
          <w:tcPr>
            <w:tcW w:w="633" w:type="dxa"/>
            <w:tcBorders>
              <w:top w:val="single" w:sz="6" w:space="0" w:color="auto"/>
              <w:left w:val="single" w:sz="6" w:space="0" w:color="auto"/>
              <w:bottom w:val="single" w:sz="6" w:space="0" w:color="auto"/>
              <w:right w:val="single" w:sz="6" w:space="0" w:color="auto"/>
            </w:tcBorders>
            <w:shd w:val="clear" w:color="auto" w:fill="FFFFFF"/>
          </w:tcPr>
          <w:p w14:paraId="5B1264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2799</w:t>
            </w:r>
          </w:p>
        </w:tc>
      </w:tr>
      <w:tr w:rsidR="00643896" w:rsidRPr="00640820" w14:paraId="6A59AF27" w14:textId="77777777" w:rsidTr="000D3BCB">
        <w:trPr>
          <w:trHeight w:val="614"/>
        </w:trPr>
        <w:tc>
          <w:tcPr>
            <w:tcW w:w="562" w:type="dxa"/>
            <w:gridSpan w:val="2"/>
            <w:tcBorders>
              <w:top w:val="single" w:sz="6" w:space="0" w:color="auto"/>
              <w:left w:val="single" w:sz="6" w:space="0" w:color="auto"/>
              <w:bottom w:val="single" w:sz="6" w:space="0" w:color="auto"/>
              <w:right w:val="single" w:sz="6" w:space="0" w:color="auto"/>
            </w:tcBorders>
            <w:shd w:val="clear" w:color="auto" w:fill="FFFFFF"/>
          </w:tcPr>
          <w:p w14:paraId="598E2D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smallCaps/>
                <w:color w:val="000000" w:themeColor="text1"/>
                <w:sz w:val="16"/>
                <w:szCs w:val="16"/>
                <w:lang w:val="en-US"/>
              </w:rPr>
              <w:t>22</w:t>
            </w:r>
          </w:p>
        </w:tc>
        <w:tc>
          <w:tcPr>
            <w:tcW w:w="725" w:type="dxa"/>
            <w:gridSpan w:val="2"/>
            <w:tcBorders>
              <w:top w:val="single" w:sz="6" w:space="0" w:color="auto"/>
              <w:left w:val="single" w:sz="6" w:space="0" w:color="auto"/>
              <w:bottom w:val="single" w:sz="6" w:space="0" w:color="auto"/>
              <w:right w:val="single" w:sz="6" w:space="0" w:color="auto"/>
            </w:tcBorders>
            <w:shd w:val="clear" w:color="auto" w:fill="FFFFFF"/>
          </w:tcPr>
          <w:p w14:paraId="3E7858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1435 СБ</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29E6C0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1435</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146723E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1820 СБ</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53D895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1820</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36E782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69 СБ 1120 Пе-2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6A94C7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1189</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68A366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1937 Пе-2 22 Пе-8</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F996CB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1959</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1BEDB9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2423 Пе-2 29 Пе-8</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09E3BD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2452</w:t>
            </w:r>
          </w:p>
        </w:tc>
        <w:tc>
          <w:tcPr>
            <w:tcW w:w="984" w:type="dxa"/>
            <w:gridSpan w:val="2"/>
            <w:tcBorders>
              <w:top w:val="single" w:sz="6" w:space="0" w:color="auto"/>
              <w:left w:val="single" w:sz="6" w:space="0" w:color="auto"/>
              <w:bottom w:val="single" w:sz="6" w:space="0" w:color="auto"/>
              <w:right w:val="single" w:sz="6" w:space="0" w:color="auto"/>
            </w:tcBorders>
            <w:shd w:val="clear" w:color="auto" w:fill="FFFFFF"/>
          </w:tcPr>
          <w:p w14:paraId="00D72B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2944 Пе-2 19 Пе-3 5 Пе-8</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59B560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2968</w:t>
            </w:r>
          </w:p>
        </w:tc>
        <w:tc>
          <w:tcPr>
            <w:tcW w:w="763" w:type="dxa"/>
            <w:tcBorders>
              <w:top w:val="single" w:sz="6" w:space="0" w:color="auto"/>
              <w:left w:val="single" w:sz="6" w:space="0" w:color="auto"/>
              <w:bottom w:val="single" w:sz="6" w:space="0" w:color="auto"/>
              <w:right w:val="single" w:sz="6" w:space="0" w:color="auto"/>
            </w:tcBorders>
            <w:shd w:val="clear" w:color="auto" w:fill="FFFFFF"/>
          </w:tcPr>
          <w:p w14:paraId="1E3B58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1634 Пе-2</w:t>
            </w:r>
          </w:p>
        </w:tc>
        <w:tc>
          <w:tcPr>
            <w:tcW w:w="633" w:type="dxa"/>
            <w:tcBorders>
              <w:top w:val="single" w:sz="6" w:space="0" w:color="auto"/>
              <w:left w:val="single" w:sz="6" w:space="0" w:color="auto"/>
              <w:bottom w:val="single" w:sz="6" w:space="0" w:color="auto"/>
              <w:right w:val="single" w:sz="6" w:space="0" w:color="auto"/>
            </w:tcBorders>
            <w:shd w:val="clear" w:color="auto" w:fill="FFFFFF"/>
          </w:tcPr>
          <w:p w14:paraId="65B4F64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1634</w:t>
            </w:r>
          </w:p>
        </w:tc>
      </w:tr>
      <w:tr w:rsidR="00643896" w:rsidRPr="00640820" w14:paraId="33A1825A" w14:textId="77777777" w:rsidTr="000D3BCB">
        <w:trPr>
          <w:trHeight w:val="610"/>
        </w:trPr>
        <w:tc>
          <w:tcPr>
            <w:tcW w:w="562" w:type="dxa"/>
            <w:gridSpan w:val="2"/>
            <w:tcBorders>
              <w:top w:val="single" w:sz="6" w:space="0" w:color="auto"/>
              <w:left w:val="single" w:sz="6" w:space="0" w:color="auto"/>
              <w:bottom w:val="single" w:sz="6" w:space="0" w:color="auto"/>
              <w:right w:val="single" w:sz="6" w:space="0" w:color="auto"/>
            </w:tcBorders>
            <w:shd w:val="clear" w:color="auto" w:fill="FFFFFF"/>
          </w:tcPr>
          <w:p w14:paraId="0DA15A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23</w:t>
            </w:r>
          </w:p>
        </w:tc>
        <w:tc>
          <w:tcPr>
            <w:tcW w:w="725" w:type="dxa"/>
            <w:gridSpan w:val="2"/>
            <w:tcBorders>
              <w:top w:val="single" w:sz="6" w:space="0" w:color="auto"/>
              <w:left w:val="single" w:sz="6" w:space="0" w:color="auto"/>
              <w:bottom w:val="single" w:sz="6" w:space="0" w:color="auto"/>
              <w:right w:val="single" w:sz="6" w:space="0" w:color="auto"/>
            </w:tcBorders>
            <w:shd w:val="clear" w:color="auto" w:fill="FFFFFF"/>
          </w:tcPr>
          <w:p w14:paraId="02174A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254УТ-2 1584У-2 251АП-СП</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528E82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2089</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4024BE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383УТ-2 472 У-2 125 АП</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5CB225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980</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396387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65 ЛаГГ-З 5УТ-2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3A4E0E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70</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5F7DD2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110Ил-4</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90DDB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smallCaps/>
                <w:color w:val="000000" w:themeColor="text1"/>
                <w:sz w:val="16"/>
                <w:szCs w:val="16"/>
                <w:lang w:val="en-US"/>
              </w:rPr>
              <w:t>110</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239CE2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257Ил-4 16ТУ-2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54B95DE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273</w:t>
            </w:r>
          </w:p>
        </w:tc>
        <w:tc>
          <w:tcPr>
            <w:tcW w:w="984" w:type="dxa"/>
            <w:gridSpan w:val="2"/>
            <w:tcBorders>
              <w:top w:val="single" w:sz="6" w:space="0" w:color="auto"/>
              <w:left w:val="single" w:sz="6" w:space="0" w:color="auto"/>
              <w:bottom w:val="single" w:sz="6" w:space="0" w:color="auto"/>
              <w:right w:val="single" w:sz="6" w:space="0" w:color="auto"/>
            </w:tcBorders>
            <w:shd w:val="clear" w:color="auto" w:fill="FFFFFF"/>
          </w:tcPr>
          <w:p w14:paraId="66546A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378ТУ-2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4F8BFB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378</w:t>
            </w:r>
          </w:p>
        </w:tc>
        <w:tc>
          <w:tcPr>
            <w:tcW w:w="763" w:type="dxa"/>
            <w:tcBorders>
              <w:top w:val="single" w:sz="6" w:space="0" w:color="auto"/>
              <w:left w:val="single" w:sz="6" w:space="0" w:color="auto"/>
              <w:bottom w:val="single" w:sz="6" w:space="0" w:color="auto"/>
              <w:right w:val="single" w:sz="6" w:space="0" w:color="auto"/>
            </w:tcBorders>
            <w:shd w:val="clear" w:color="auto" w:fill="FFFFFF"/>
          </w:tcPr>
          <w:p w14:paraId="4849D8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742Ту-2</w:t>
            </w:r>
          </w:p>
        </w:tc>
        <w:tc>
          <w:tcPr>
            <w:tcW w:w="633" w:type="dxa"/>
            <w:tcBorders>
              <w:top w:val="single" w:sz="6" w:space="0" w:color="auto"/>
              <w:left w:val="single" w:sz="6" w:space="0" w:color="auto"/>
              <w:bottom w:val="single" w:sz="6" w:space="0" w:color="auto"/>
              <w:right w:val="single" w:sz="6" w:space="0" w:color="auto"/>
            </w:tcBorders>
            <w:shd w:val="clear" w:color="auto" w:fill="FFFFFF"/>
          </w:tcPr>
          <w:p w14:paraId="53F330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742</w:t>
            </w:r>
          </w:p>
        </w:tc>
      </w:tr>
      <w:tr w:rsidR="00643896" w:rsidRPr="00640820" w14:paraId="79119D67" w14:textId="77777777" w:rsidTr="000D3BCB">
        <w:trPr>
          <w:trHeight w:val="226"/>
        </w:trPr>
        <w:tc>
          <w:tcPr>
            <w:tcW w:w="562" w:type="dxa"/>
            <w:gridSpan w:val="2"/>
            <w:tcBorders>
              <w:top w:val="single" w:sz="6" w:space="0" w:color="auto"/>
              <w:left w:val="single" w:sz="6" w:space="0" w:color="auto"/>
              <w:bottom w:val="single" w:sz="6" w:space="0" w:color="auto"/>
              <w:right w:val="single" w:sz="6" w:space="0" w:color="auto"/>
            </w:tcBorders>
            <w:shd w:val="clear" w:color="auto" w:fill="FFFFFF"/>
          </w:tcPr>
          <w:p w14:paraId="561279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30</w:t>
            </w:r>
          </w:p>
        </w:tc>
        <w:tc>
          <w:tcPr>
            <w:tcW w:w="725" w:type="dxa"/>
            <w:gridSpan w:val="2"/>
            <w:tcBorders>
              <w:top w:val="single" w:sz="6" w:space="0" w:color="auto"/>
              <w:left w:val="single" w:sz="6" w:space="0" w:color="auto"/>
              <w:bottom w:val="single" w:sz="6" w:space="0" w:color="auto"/>
              <w:right w:val="single" w:sz="6" w:space="0" w:color="auto"/>
            </w:tcBorders>
            <w:shd w:val="clear" w:color="auto" w:fill="FFFFFF"/>
          </w:tcPr>
          <w:p w14:paraId="1DC491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190FF3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13F6F7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047EA1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08F95A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611EC5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7494E9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1053 Ил-2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FCDFD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1053</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6C79A4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2234 Ил-2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119FB5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2234</w:t>
            </w:r>
          </w:p>
        </w:tc>
        <w:tc>
          <w:tcPr>
            <w:tcW w:w="984" w:type="dxa"/>
            <w:gridSpan w:val="2"/>
            <w:tcBorders>
              <w:top w:val="single" w:sz="6" w:space="0" w:color="auto"/>
              <w:left w:val="single" w:sz="6" w:space="0" w:color="auto"/>
              <w:bottom w:val="single" w:sz="6" w:space="0" w:color="auto"/>
              <w:right w:val="single" w:sz="6" w:space="0" w:color="auto"/>
            </w:tcBorders>
            <w:shd w:val="clear" w:color="auto" w:fill="FFFFFF"/>
          </w:tcPr>
          <w:p w14:paraId="3715C3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3377 Ия-2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59011E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3377</w:t>
            </w:r>
          </w:p>
        </w:tc>
        <w:tc>
          <w:tcPr>
            <w:tcW w:w="763" w:type="dxa"/>
            <w:tcBorders>
              <w:top w:val="single" w:sz="6" w:space="0" w:color="auto"/>
              <w:left w:val="single" w:sz="6" w:space="0" w:color="auto"/>
              <w:bottom w:val="single" w:sz="6" w:space="0" w:color="auto"/>
              <w:right w:val="single" w:sz="6" w:space="0" w:color="auto"/>
            </w:tcBorders>
            <w:shd w:val="clear" w:color="auto" w:fill="FFFFFF"/>
          </w:tcPr>
          <w:p w14:paraId="1B06FB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2201 Ия-2</w:t>
            </w:r>
          </w:p>
        </w:tc>
        <w:tc>
          <w:tcPr>
            <w:tcW w:w="633" w:type="dxa"/>
            <w:tcBorders>
              <w:top w:val="single" w:sz="6" w:space="0" w:color="auto"/>
              <w:left w:val="single" w:sz="6" w:space="0" w:color="auto"/>
              <w:bottom w:val="single" w:sz="6" w:space="0" w:color="auto"/>
              <w:right w:val="single" w:sz="6" w:space="0" w:color="auto"/>
            </w:tcBorders>
            <w:shd w:val="clear" w:color="auto" w:fill="FFFFFF"/>
          </w:tcPr>
          <w:p w14:paraId="75F5FD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2201</w:t>
            </w:r>
          </w:p>
        </w:tc>
      </w:tr>
      <w:tr w:rsidR="00643896" w:rsidRPr="00640820" w14:paraId="0A5558F9" w14:textId="77777777" w:rsidTr="000D3BCB">
        <w:trPr>
          <w:trHeight w:val="418"/>
        </w:trPr>
        <w:tc>
          <w:tcPr>
            <w:tcW w:w="562" w:type="dxa"/>
            <w:gridSpan w:val="2"/>
            <w:tcBorders>
              <w:top w:val="single" w:sz="6" w:space="0" w:color="auto"/>
              <w:left w:val="single" w:sz="6" w:space="0" w:color="auto"/>
              <w:bottom w:val="single" w:sz="6" w:space="0" w:color="auto"/>
              <w:right w:val="single" w:sz="6" w:space="0" w:color="auto"/>
            </w:tcBorders>
            <w:shd w:val="clear" w:color="auto" w:fill="FFFFFF"/>
          </w:tcPr>
          <w:p w14:paraId="33D064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31</w:t>
            </w:r>
          </w:p>
        </w:tc>
        <w:tc>
          <w:tcPr>
            <w:tcW w:w="725" w:type="dxa"/>
            <w:gridSpan w:val="2"/>
            <w:tcBorders>
              <w:top w:val="single" w:sz="6" w:space="0" w:color="auto"/>
              <w:left w:val="single" w:sz="6" w:space="0" w:color="auto"/>
              <w:bottom w:val="single" w:sz="6" w:space="0" w:color="auto"/>
              <w:right w:val="single" w:sz="6" w:space="0" w:color="auto"/>
            </w:tcBorders>
            <w:shd w:val="clear" w:color="auto" w:fill="FFFFFF"/>
          </w:tcPr>
          <w:p w14:paraId="5CA260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192МБР-2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5C6402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192</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03BA01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38МБР-2 13 Че-2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11D63D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51</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62FC25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474 ЛаГГ-З 4 Че-2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7E2518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478</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703028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782ЛаГГ-3 22 Ла-5</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28F4C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804</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4E7326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1065 ЛаГГ-З 5 Ла-5</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32A235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1070</w:t>
            </w:r>
          </w:p>
        </w:tc>
        <w:tc>
          <w:tcPr>
            <w:tcW w:w="984" w:type="dxa"/>
            <w:gridSpan w:val="2"/>
            <w:tcBorders>
              <w:top w:val="single" w:sz="6" w:space="0" w:color="auto"/>
              <w:left w:val="single" w:sz="6" w:space="0" w:color="auto"/>
              <w:bottom w:val="single" w:sz="6" w:space="0" w:color="auto"/>
              <w:right w:val="single" w:sz="6" w:space="0" w:color="auto"/>
            </w:tcBorders>
            <w:shd w:val="clear" w:color="auto" w:fill="FFFFFF"/>
          </w:tcPr>
          <w:p w14:paraId="13EFE3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229 ЛаГГ-З</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74E98F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229</w:t>
            </w:r>
          </w:p>
        </w:tc>
        <w:tc>
          <w:tcPr>
            <w:tcW w:w="763" w:type="dxa"/>
            <w:tcBorders>
              <w:top w:val="single" w:sz="6" w:space="0" w:color="auto"/>
              <w:left w:val="single" w:sz="6" w:space="0" w:color="auto"/>
              <w:bottom w:val="single" w:sz="6" w:space="0" w:color="auto"/>
              <w:right w:val="single" w:sz="6" w:space="0" w:color="auto"/>
            </w:tcBorders>
            <w:shd w:val="clear" w:color="auto" w:fill="FFFFFF"/>
          </w:tcPr>
          <w:p w14:paraId="3F2F4C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33" w:type="dxa"/>
            <w:tcBorders>
              <w:top w:val="single" w:sz="6" w:space="0" w:color="auto"/>
              <w:left w:val="single" w:sz="6" w:space="0" w:color="auto"/>
              <w:bottom w:val="single" w:sz="6" w:space="0" w:color="auto"/>
              <w:right w:val="single" w:sz="6" w:space="0" w:color="auto"/>
            </w:tcBorders>
            <w:shd w:val="clear" w:color="auto" w:fill="FFFFFF"/>
          </w:tcPr>
          <w:p w14:paraId="1497459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200457D1" w14:textId="77777777" w:rsidTr="000D3BCB">
        <w:trPr>
          <w:trHeight w:val="854"/>
        </w:trPr>
        <w:tc>
          <w:tcPr>
            <w:tcW w:w="562" w:type="dxa"/>
            <w:gridSpan w:val="2"/>
            <w:tcBorders>
              <w:top w:val="single" w:sz="6" w:space="0" w:color="auto"/>
              <w:left w:val="single" w:sz="6" w:space="0" w:color="auto"/>
              <w:bottom w:val="single" w:sz="6" w:space="0" w:color="auto"/>
              <w:right w:val="single" w:sz="6" w:space="0" w:color="auto"/>
            </w:tcBorders>
            <w:shd w:val="clear" w:color="auto" w:fill="FFFFFF"/>
          </w:tcPr>
          <w:p w14:paraId="0742F4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39</w:t>
            </w:r>
          </w:p>
        </w:tc>
        <w:tc>
          <w:tcPr>
            <w:tcW w:w="725" w:type="dxa"/>
            <w:gridSpan w:val="2"/>
            <w:tcBorders>
              <w:top w:val="single" w:sz="6" w:space="0" w:color="auto"/>
              <w:left w:val="single" w:sz="6" w:space="0" w:color="auto"/>
              <w:bottom w:val="single" w:sz="6" w:space="0" w:color="auto"/>
              <w:right w:val="single" w:sz="6" w:space="0" w:color="auto"/>
            </w:tcBorders>
            <w:shd w:val="clear" w:color="auto" w:fill="FFFFFF"/>
          </w:tcPr>
          <w:p w14:paraId="2EB99D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279Ш-4</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21E1EC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279</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73466C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198Ил-4 1 Пс-2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6FB211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.199</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1D4824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44Ил-4 303 Пе-2 196Пе-3</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739F24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543</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3B3564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53ЙЛ-4 587 Пе-2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A4A36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640</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5C2653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698Ии-4 5 Пе-2 13 Пе-3 2 Ер-2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4554E8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718</w:t>
            </w:r>
          </w:p>
        </w:tc>
        <w:tc>
          <w:tcPr>
            <w:tcW w:w="984" w:type="dxa"/>
            <w:gridSpan w:val="2"/>
            <w:tcBorders>
              <w:top w:val="single" w:sz="6" w:space="0" w:color="auto"/>
              <w:left w:val="single" w:sz="6" w:space="0" w:color="auto"/>
              <w:bottom w:val="single" w:sz="6" w:space="0" w:color="auto"/>
              <w:right w:val="single" w:sz="6" w:space="0" w:color="auto"/>
            </w:tcBorders>
            <w:shd w:val="clear" w:color="auto" w:fill="FFFFFF"/>
          </w:tcPr>
          <w:p w14:paraId="656AB1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118Ил-4 148 Ер-2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491A30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266</w:t>
            </w:r>
          </w:p>
        </w:tc>
        <w:tc>
          <w:tcPr>
            <w:tcW w:w="763" w:type="dxa"/>
            <w:tcBorders>
              <w:top w:val="single" w:sz="6" w:space="0" w:color="auto"/>
              <w:left w:val="single" w:sz="6" w:space="0" w:color="auto"/>
              <w:bottom w:val="single" w:sz="6" w:space="0" w:color="auto"/>
              <w:right w:val="single" w:sz="6" w:space="0" w:color="auto"/>
            </w:tcBorders>
            <w:shd w:val="clear" w:color="auto" w:fill="FFFFFF"/>
          </w:tcPr>
          <w:p w14:paraId="0CC3A5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241 Ер-2</w:t>
            </w:r>
          </w:p>
        </w:tc>
        <w:tc>
          <w:tcPr>
            <w:tcW w:w="633" w:type="dxa"/>
            <w:tcBorders>
              <w:top w:val="single" w:sz="6" w:space="0" w:color="auto"/>
              <w:left w:val="single" w:sz="6" w:space="0" w:color="auto"/>
              <w:bottom w:val="single" w:sz="6" w:space="0" w:color="auto"/>
              <w:right w:val="single" w:sz="6" w:space="0" w:color="auto"/>
            </w:tcBorders>
            <w:shd w:val="clear" w:color="auto" w:fill="FFFFFF"/>
          </w:tcPr>
          <w:p w14:paraId="48BD44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241</w:t>
            </w:r>
          </w:p>
        </w:tc>
      </w:tr>
      <w:tr w:rsidR="00643896" w:rsidRPr="00640820" w14:paraId="4E1F7E5F" w14:textId="77777777" w:rsidTr="000D3BCB">
        <w:trPr>
          <w:trHeight w:val="614"/>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61A9B86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47</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471337B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10УТ-2 445УТ-1</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474CE5C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455</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6C1716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165УТ-2 1УТ-1</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4CC6E9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166</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0606BA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550УТ-2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4B2D73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550</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29B8B0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2Я1-1 427УТ-2 25Яж-6</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D4A1C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454</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0F3C3E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224 А-б</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15355E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224</w:t>
            </w: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3B889C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222Ще-2</w:t>
            </w: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02F8BAE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222</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1B2676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285 Ще-2</w:t>
            </w: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2D9527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285</w:t>
            </w:r>
          </w:p>
        </w:tc>
      </w:tr>
      <w:tr w:rsidR="00643896" w:rsidRPr="00640820" w14:paraId="1268A08B" w14:textId="77777777" w:rsidTr="000D3BCB">
        <w:trPr>
          <w:trHeight w:val="418"/>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293FE5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81</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1359AA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71E84B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77B7B2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57Як4 1УТ-3</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5D47BB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58</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240174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63Лс-4</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66EAA0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63</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520B33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12B5E8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67983E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56B379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3E45DD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195CE8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1C4433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7F8452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60C97BE8" w14:textId="77777777" w:rsidTr="000D3BCB">
        <w:trPr>
          <w:trHeight w:val="422"/>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52E3BE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82</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061F658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7D87D6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5F4CE9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24A70F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37F90BA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684042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04481E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215 Як-7</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DCEDC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215</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63FD208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640 Як-7</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00D66F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640</w:t>
            </w: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3D7312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465 Як-7 373Як-9</w:t>
            </w: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0290B8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838</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0503378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444Як-9</w:t>
            </w: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677724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444</w:t>
            </w:r>
          </w:p>
        </w:tc>
      </w:tr>
      <w:tr w:rsidR="00643896" w:rsidRPr="00640820" w14:paraId="0F8E0877" w14:textId="77777777" w:rsidTr="000D3BCB">
        <w:trPr>
          <w:trHeight w:val="226"/>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2CA35D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lastRenderedPageBreak/>
              <w:t>84</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124AD3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6J&amp;-2</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5B9FFD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23BFE1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51 Ля-2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1346D3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51</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1F209E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237Лм-2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415EE2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237</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701AAD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423 Ля-2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A6CE8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423</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4F1E1D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618 №2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515DB6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618</w:t>
            </w: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1339A1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626Ли-2</w:t>
            </w: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24F652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626</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18B92A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458Лн-2</w:t>
            </w: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12ACF0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458</w:t>
            </w:r>
          </w:p>
        </w:tc>
      </w:tr>
      <w:tr w:rsidR="00643896" w:rsidRPr="00640820" w14:paraId="5794C698" w14:textId="77777777" w:rsidTr="000D3BCB">
        <w:trPr>
          <w:trHeight w:val="418"/>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56E767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99</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066E91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5ADE23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17130D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50F54D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6DAF07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6EBDC6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016D7E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08E1DB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471818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184 Ла-5</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026A42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184</w:t>
            </w: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4174F0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102 Ла-5 40 Ла-7</w:t>
            </w: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3E364B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142</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4407A9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210 Ла-7</w:t>
            </w: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750EE5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210</w:t>
            </w:r>
          </w:p>
        </w:tc>
      </w:tr>
      <w:tr w:rsidR="00643896" w:rsidRPr="00640820" w14:paraId="3F10DDE5" w14:textId="77777777" w:rsidTr="000D3BCB">
        <w:trPr>
          <w:trHeight w:val="226"/>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01938C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U6</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147C88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08980E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4C7483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2CD615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2C0F7F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99УТ-2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699BB2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99</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151091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539УТ-2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7AA5A6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539</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1D59F94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702УТ-2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1FBD01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702</w:t>
            </w: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30FF68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746УТ-2</w:t>
            </w: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514B09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746</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46C272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845УТ-2</w:t>
            </w: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2CA132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845</w:t>
            </w:r>
          </w:p>
        </w:tc>
      </w:tr>
      <w:tr w:rsidR="00643896" w:rsidRPr="00640820" w14:paraId="488D127C" w14:textId="77777777" w:rsidTr="000D3BCB">
        <w:trPr>
          <w:trHeight w:val="418"/>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051D799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124</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56CDDF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32F12B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690DEEC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568D82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0DD597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104 Пе-2 23 Пе-8</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562168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127</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5AB126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919EA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5245D7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5C73349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4AB4B1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111CEE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1DF3E2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304B01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7D18F87E" w14:textId="77777777" w:rsidTr="000D3BCB">
        <w:trPr>
          <w:trHeight w:val="422"/>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670AEC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125</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291DC3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343 СБ</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75E5E4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343</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0F726E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375 СБ</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34012D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375</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2C4B706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168 СБ 144 Пе-2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652500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312</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579324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2E07F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398792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2108A2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634494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58FB9E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47FAA1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75168C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319A9344" w14:textId="77777777" w:rsidTr="000D3BCB">
        <w:trPr>
          <w:trHeight w:val="221"/>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4201EC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126</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5EDA54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125 Ил-4</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78F5CF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125</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092E72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100Ил-4</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55F9DB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100</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6D6CA5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385 Ил-4</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7C1722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385</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1E994F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695 Ил-4</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A7FBB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695</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114080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613 Ил-4</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7293D2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613</w:t>
            </w: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2BF1A29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588Ил-4</w:t>
            </w: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6FF864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588</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27412CA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485Ил-4</w:t>
            </w: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0A59C9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485</w:t>
            </w:r>
          </w:p>
        </w:tc>
      </w:tr>
      <w:tr w:rsidR="00643896" w:rsidRPr="00640820" w14:paraId="4BB53D5E" w14:textId="77777777" w:rsidTr="000D3BCB">
        <w:trPr>
          <w:trHeight w:val="226"/>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121071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135</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1BF1F2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229Р-10</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2BECCD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229</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368EEC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110 Су-2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2414FA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НО</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53D6B8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635 Су-2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6F628F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635</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333170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40 Су-2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AAFD7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40</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16F5D8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7071B7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559FE5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723DCD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47F988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4AEB9B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41F8DDC5" w14:textId="77777777" w:rsidTr="000D3BCB">
        <w:trPr>
          <w:trHeight w:val="226"/>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03002A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150</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386C15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106УТ-1</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257ABE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106</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70FBC6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060DD4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5BAD07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180FDB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335EA3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0B13C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3A6B16E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39596C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36A1CF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78928D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2945BA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730C82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649EC4C3" w14:textId="77777777" w:rsidTr="000D3BCB">
        <w:trPr>
          <w:trHeight w:val="614"/>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0360AF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153</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2F31E3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264 И-16</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27F39C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264</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47C698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503 И-16</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28CD09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503</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5CF448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 И-16 21 №7 265ЛаГГ-3</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229508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305</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4A783A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2211 Як-7 59 Як-9 65ЛаГГ-3</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17703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2335</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4DC3CB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2656Як-7 1761 Як-9</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6B5712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4417</w:t>
            </w: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065CA7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5858Як-9</w:t>
            </w: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2B80D9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5858</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0917F2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3559Як-9</w:t>
            </w: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76BA50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3559</w:t>
            </w:r>
          </w:p>
        </w:tc>
      </w:tr>
      <w:tr w:rsidR="00643896" w:rsidRPr="00640820" w14:paraId="0EB64C8F" w14:textId="77777777" w:rsidTr="000D3BCB">
        <w:trPr>
          <w:trHeight w:val="216"/>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39EF61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155</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2F76A4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759EC2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669B15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668884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1E4136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46DF863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082D24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39МиГ-З</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6D697E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30</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318D80E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1C9638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49FE29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3688E1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3C3D7C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1DDEFD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20B1A0B0" w14:textId="77777777" w:rsidTr="000D3BCB">
        <w:trPr>
          <w:trHeight w:val="418"/>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02A3CF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166</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616430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5BADAD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30F09F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1A188E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3B0D208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01A56B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422671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79Ту-2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7EB20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79</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725AE9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1Tу-2</w:t>
            </w:r>
          </w:p>
          <w:p w14:paraId="24C774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732Як-9</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12D2D9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713</w:t>
            </w: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3DFA4A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1600Як-9</w:t>
            </w: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460D4B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1600</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070D4E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1084Як-9</w:t>
            </w: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248BC2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1084</w:t>
            </w:r>
          </w:p>
        </w:tc>
      </w:tr>
      <w:tr w:rsidR="00643896" w:rsidRPr="00640820" w14:paraId="2523A111" w14:textId="77777777" w:rsidTr="000D3BCB">
        <w:trPr>
          <w:trHeight w:val="312"/>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596E40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168</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75BCA3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60E8A1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578571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35563C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485CDB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2D5199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2E7E88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iCs/>
                <w:color w:val="000000" w:themeColor="text1"/>
                <w:sz w:val="16"/>
                <w:szCs w:val="16"/>
                <w:lang w:val="en-US"/>
              </w:rPr>
              <w:t>12УТ-2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74C60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iCs/>
                <w:color w:val="000000" w:themeColor="text1"/>
                <w:sz w:val="16"/>
                <w:szCs w:val="16"/>
                <w:lang w:val="en-US"/>
              </w:rPr>
              <w:t>12</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5822E5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207УТ-2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4DBE41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iCs/>
                <w:color w:val="000000" w:themeColor="text1"/>
                <w:sz w:val="16"/>
                <w:szCs w:val="16"/>
                <w:lang w:val="en-US"/>
              </w:rPr>
              <w:t>207</w:t>
            </w: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16DD929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309УТ-2</w:t>
            </w: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4D4D07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309</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1F30A9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407УТ-2</w:t>
            </w: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28F39E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407</w:t>
            </w:r>
          </w:p>
        </w:tc>
      </w:tr>
      <w:tr w:rsidR="00643896" w:rsidRPr="00640820" w14:paraId="057D8D5F" w14:textId="77777777" w:rsidTr="000D3BCB">
        <w:trPr>
          <w:trHeight w:val="230"/>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62E6D5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207</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4CA8D8C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04905C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312BF7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3Су-2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7EB707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4EA353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89СУ-2</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6AB718A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89</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0D3AB3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1FF43D3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77DD16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77BA32C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3D3A9B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0C680D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0EDA5D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44" w:type="dxa"/>
            <w:tcBorders>
              <w:top w:val="single" w:sz="6" w:space="0" w:color="auto"/>
              <w:left w:val="single" w:sz="6" w:space="0" w:color="auto"/>
              <w:bottom w:val="single" w:sz="6" w:space="0" w:color="auto"/>
              <w:right w:val="single" w:sz="6" w:space="0" w:color="auto"/>
            </w:tcBorders>
            <w:shd w:val="clear" w:color="auto" w:fill="FFFFFF"/>
          </w:tcPr>
          <w:p w14:paraId="6A34C5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28C6407F" w14:textId="77777777" w:rsidTr="000D3BCB">
        <w:trPr>
          <w:trHeight w:val="221"/>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3CA51B3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228</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25115B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25EB68A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531A0B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292DC4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5BD29C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39C87C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5B5E53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iCs/>
                <w:color w:val="000000" w:themeColor="text1"/>
                <w:sz w:val="16"/>
                <w:szCs w:val="16"/>
                <w:lang w:val="en-US"/>
              </w:rPr>
              <w:t>6Бе-4</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CAED8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6ABD98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069948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417E44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241842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51B306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44" w:type="dxa"/>
            <w:tcBorders>
              <w:top w:val="single" w:sz="6" w:space="0" w:color="auto"/>
              <w:left w:val="single" w:sz="6" w:space="0" w:color="auto"/>
              <w:bottom w:val="single" w:sz="6" w:space="0" w:color="auto"/>
              <w:right w:val="single" w:sz="6" w:space="0" w:color="auto"/>
            </w:tcBorders>
            <w:shd w:val="clear" w:color="auto" w:fill="FFFFFF"/>
          </w:tcPr>
          <w:p w14:paraId="5C0437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6A956F2B" w14:textId="77777777" w:rsidTr="000D3BCB">
        <w:trPr>
          <w:trHeight w:val="418"/>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58A51E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292</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51A24A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102Р-10</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5A1740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102</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4913AD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16Як-1 18Р-10</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12EEFB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34</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75218D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1212 Як-1</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233273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1212</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618518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3474 Як-1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9F90A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3474</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7218D29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2720 Як-1</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3D54F0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2720</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7E94CD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1128 Як-1 1682 Як-3</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2D9547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2810</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52D6D1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1918 Як-3</w:t>
            </w:r>
          </w:p>
        </w:tc>
        <w:tc>
          <w:tcPr>
            <w:tcW w:w="644" w:type="dxa"/>
            <w:tcBorders>
              <w:top w:val="single" w:sz="6" w:space="0" w:color="auto"/>
              <w:left w:val="single" w:sz="6" w:space="0" w:color="auto"/>
              <w:bottom w:val="single" w:sz="6" w:space="0" w:color="auto"/>
              <w:right w:val="single" w:sz="6" w:space="0" w:color="auto"/>
            </w:tcBorders>
            <w:shd w:val="clear" w:color="auto" w:fill="FFFFFF"/>
          </w:tcPr>
          <w:p w14:paraId="163E2E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1918</w:t>
            </w:r>
          </w:p>
        </w:tc>
      </w:tr>
      <w:tr w:rsidR="00643896" w:rsidRPr="00640820" w14:paraId="6AD4FE18" w14:textId="77777777" w:rsidTr="000D3BCB">
        <w:trPr>
          <w:trHeight w:val="422"/>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01D6AD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301</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23CBAC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276УТ-2</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57A739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276</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455793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48 Як-1 11УТ-3</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4BC8B8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59</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6E5AD4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120 Як-1 186Як-7</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2DA56F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306</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3EA2A2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05386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1F4E29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148DDD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2166AE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498 Як-3</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7B4F3E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498</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2A1917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462 Як-3</w:t>
            </w:r>
          </w:p>
        </w:tc>
        <w:tc>
          <w:tcPr>
            <w:tcW w:w="644" w:type="dxa"/>
            <w:tcBorders>
              <w:top w:val="single" w:sz="6" w:space="0" w:color="auto"/>
              <w:left w:val="single" w:sz="6" w:space="0" w:color="auto"/>
              <w:bottom w:val="single" w:sz="6" w:space="0" w:color="auto"/>
              <w:right w:val="single" w:sz="6" w:space="0" w:color="auto"/>
            </w:tcBorders>
            <w:shd w:val="clear" w:color="auto" w:fill="FFFFFF"/>
          </w:tcPr>
          <w:p w14:paraId="1F9D26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462</w:t>
            </w:r>
          </w:p>
        </w:tc>
      </w:tr>
      <w:tr w:rsidR="00643896" w:rsidRPr="00640820" w14:paraId="687829AF" w14:textId="77777777" w:rsidTr="000D3BCB">
        <w:trPr>
          <w:trHeight w:val="413"/>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0824CF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381</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07442F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5DE322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6DA117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5801A1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518BB1E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27 Ил-2</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7734F0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27</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45046C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243 Ил-2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5B911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243</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37D16A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77E73E9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7D584E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221 JIa-5 638JIa-7</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3FD7516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859</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4259B3E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660 JIa-7</w:t>
            </w:r>
          </w:p>
        </w:tc>
        <w:tc>
          <w:tcPr>
            <w:tcW w:w="644" w:type="dxa"/>
            <w:tcBorders>
              <w:top w:val="single" w:sz="6" w:space="0" w:color="auto"/>
              <w:left w:val="single" w:sz="6" w:space="0" w:color="auto"/>
              <w:bottom w:val="single" w:sz="6" w:space="0" w:color="auto"/>
              <w:right w:val="single" w:sz="6" w:space="0" w:color="auto"/>
            </w:tcBorders>
            <w:shd w:val="clear" w:color="auto" w:fill="FFFFFF"/>
          </w:tcPr>
          <w:p w14:paraId="065791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660</w:t>
            </w:r>
          </w:p>
        </w:tc>
      </w:tr>
      <w:tr w:rsidR="00643896" w:rsidRPr="00640820" w14:paraId="5C31EF8F" w14:textId="77777777" w:rsidTr="000D3BCB">
        <w:trPr>
          <w:trHeight w:val="226"/>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64E41F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387</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1EA2E8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6AB602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639260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50У-2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017E6F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50</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6A99FD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1245У-2</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308C7B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1245</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1871F0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2225У-2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6187F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2225</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54D32F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2733У-2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44CA43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2733</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1E8EB3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3045У-2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639078F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3045</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387DC2F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2155 У-2</w:t>
            </w:r>
          </w:p>
        </w:tc>
        <w:tc>
          <w:tcPr>
            <w:tcW w:w="644" w:type="dxa"/>
            <w:tcBorders>
              <w:top w:val="single" w:sz="6" w:space="0" w:color="auto"/>
              <w:left w:val="single" w:sz="6" w:space="0" w:color="auto"/>
              <w:bottom w:val="single" w:sz="6" w:space="0" w:color="auto"/>
              <w:right w:val="single" w:sz="6" w:space="0" w:color="auto"/>
            </w:tcBorders>
            <w:shd w:val="clear" w:color="auto" w:fill="FFFFFF"/>
          </w:tcPr>
          <w:p w14:paraId="4BAD8E1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2155</w:t>
            </w:r>
          </w:p>
        </w:tc>
      </w:tr>
      <w:tr w:rsidR="00643896" w:rsidRPr="00640820" w14:paraId="6F0B6A68" w14:textId="77777777" w:rsidTr="000D3BCB">
        <w:trPr>
          <w:trHeight w:val="422"/>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02C038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447</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235415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6BB8FF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332F9A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44361E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6B3606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12AC1C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6FC2D7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0D6DB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6DB78C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35A0F9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7B962E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20Бе-4</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4B78F1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20</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79DBEB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18Бе-4 27УТ-2</w:t>
            </w:r>
          </w:p>
        </w:tc>
        <w:tc>
          <w:tcPr>
            <w:tcW w:w="644" w:type="dxa"/>
            <w:tcBorders>
              <w:top w:val="single" w:sz="6" w:space="0" w:color="auto"/>
              <w:left w:val="single" w:sz="6" w:space="0" w:color="auto"/>
              <w:bottom w:val="single" w:sz="6" w:space="0" w:color="auto"/>
              <w:right w:val="single" w:sz="6" w:space="0" w:color="auto"/>
            </w:tcBorders>
            <w:shd w:val="clear" w:color="auto" w:fill="FFFFFF"/>
          </w:tcPr>
          <w:p w14:paraId="04E20CA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45</w:t>
            </w:r>
          </w:p>
        </w:tc>
      </w:tr>
      <w:tr w:rsidR="00643896" w:rsidRPr="00640820" w14:paraId="45D7030C" w14:textId="77777777" w:rsidTr="000D3BCB">
        <w:trPr>
          <w:trHeight w:val="418"/>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23FE03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464</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62DA33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67FD41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79BFDF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50FF3C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6AB18E9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38B7BB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7BA1016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2Як-6</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ABEC4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339668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48Як-6 71 У-2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2C3503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119</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08D2F9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736 У-2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20ADDA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736</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489174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557 У-2</w:t>
            </w:r>
          </w:p>
        </w:tc>
        <w:tc>
          <w:tcPr>
            <w:tcW w:w="644" w:type="dxa"/>
            <w:tcBorders>
              <w:top w:val="single" w:sz="6" w:space="0" w:color="auto"/>
              <w:left w:val="single" w:sz="6" w:space="0" w:color="auto"/>
              <w:bottom w:val="single" w:sz="6" w:space="0" w:color="auto"/>
              <w:right w:val="single" w:sz="6" w:space="0" w:color="auto"/>
            </w:tcBorders>
            <w:shd w:val="clear" w:color="auto" w:fill="FFFFFF"/>
          </w:tcPr>
          <w:p w14:paraId="0F2CD4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557</w:t>
            </w:r>
          </w:p>
        </w:tc>
      </w:tr>
      <w:tr w:rsidR="00643896" w:rsidRPr="00640820" w14:paraId="411E1ACC" w14:textId="77777777" w:rsidTr="000D3BCB">
        <w:trPr>
          <w:trHeight w:val="418"/>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649CC9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471</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6DF8E9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011CA8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4376B8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3C7E37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51219B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115D38F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405E8F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1Яж-6</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6B7F2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59D232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81Як-6 53 У-2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6FEF66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134</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4E3556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657 У-2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6F46DF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657</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0CF54D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417У-2</w:t>
            </w:r>
          </w:p>
        </w:tc>
        <w:tc>
          <w:tcPr>
            <w:tcW w:w="644" w:type="dxa"/>
            <w:tcBorders>
              <w:top w:val="single" w:sz="6" w:space="0" w:color="auto"/>
              <w:left w:val="single" w:sz="6" w:space="0" w:color="auto"/>
              <w:bottom w:val="single" w:sz="6" w:space="0" w:color="auto"/>
              <w:right w:val="single" w:sz="6" w:space="0" w:color="auto"/>
            </w:tcBorders>
            <w:shd w:val="clear" w:color="auto" w:fill="FFFFFF"/>
          </w:tcPr>
          <w:p w14:paraId="39A66F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417</w:t>
            </w:r>
          </w:p>
        </w:tc>
      </w:tr>
      <w:tr w:rsidR="00643896" w:rsidRPr="00640820" w14:paraId="7280692C" w14:textId="77777777" w:rsidTr="000D3BCB">
        <w:trPr>
          <w:trHeight w:val="226"/>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3AF6CF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494</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298B5D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628FA0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3B0AE2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2BAC6E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112A3A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1C1C87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0D8C07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 У-2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019D4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0A003A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270 У-2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45BDED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270</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2246E6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695 У-2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14F9B9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695</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4B4E12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427 У-2</w:t>
            </w:r>
          </w:p>
        </w:tc>
        <w:tc>
          <w:tcPr>
            <w:tcW w:w="644" w:type="dxa"/>
            <w:tcBorders>
              <w:top w:val="single" w:sz="6" w:space="0" w:color="auto"/>
              <w:left w:val="single" w:sz="6" w:space="0" w:color="auto"/>
              <w:bottom w:val="single" w:sz="6" w:space="0" w:color="auto"/>
              <w:right w:val="single" w:sz="6" w:space="0" w:color="auto"/>
            </w:tcBorders>
            <w:shd w:val="clear" w:color="auto" w:fill="FFFFFF"/>
          </w:tcPr>
          <w:p w14:paraId="0D362D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427</w:t>
            </w:r>
          </w:p>
        </w:tc>
      </w:tr>
      <w:tr w:rsidR="00643896" w:rsidRPr="00640820" w14:paraId="0BAEF537" w14:textId="77777777" w:rsidTr="000D3BCB">
        <w:trPr>
          <w:trHeight w:val="254"/>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434FC3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Всего</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6605619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777D52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10342</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1DD188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0A5D5F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10137</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3B2280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3595BB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14946</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4C42F6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FF35F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25348</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769CDC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7ACF82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34639</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05D44D5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3CA6A7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40261</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606CA8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644" w:type="dxa"/>
            <w:tcBorders>
              <w:top w:val="single" w:sz="6" w:space="0" w:color="auto"/>
              <w:left w:val="single" w:sz="6" w:space="0" w:color="auto"/>
              <w:bottom w:val="single" w:sz="6" w:space="0" w:color="auto"/>
              <w:right w:val="single" w:sz="6" w:space="0" w:color="auto"/>
            </w:tcBorders>
            <w:shd w:val="clear" w:color="auto" w:fill="FFFFFF"/>
          </w:tcPr>
          <w:p w14:paraId="439023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26479</w:t>
            </w:r>
          </w:p>
        </w:tc>
      </w:tr>
    </w:tbl>
    <w:p w14:paraId="5202014B" w14:textId="77777777" w:rsidR="00045010" w:rsidRPr="00640820" w:rsidRDefault="00045010" w:rsidP="00640820">
      <w:pPr>
        <w:tabs>
          <w:tab w:val="left" w:pos="296"/>
        </w:tabs>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(12011).</w:t>
      </w:r>
    </w:p>
    <w:p w14:paraId="31F86A9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 (21,20 % всего авиавыпуска). Один из крупней</w:t>
      </w:r>
      <w:r w:rsidRPr="00640820">
        <w:rPr>
          <w:rFonts w:ascii="Times New Roman" w:hAnsi="Times New Roman"/>
          <w:color w:val="000000" w:themeColor="text1"/>
          <w:sz w:val="16"/>
          <w:szCs w:val="16"/>
        </w:rPr>
        <w:softHyphen/>
        <w:t>ших советских авиазаводов завершал выпуск морально устаревшего истребителя-биплана И-153. Однако дальнейшая судьба завода вызвала яростные дебаты. На начало Второй мировой войны завод выпускал истребители И-15 и его логи</w:t>
      </w:r>
      <w:r w:rsidRPr="00640820">
        <w:rPr>
          <w:rFonts w:ascii="Times New Roman" w:hAnsi="Times New Roman"/>
          <w:color w:val="000000" w:themeColor="text1"/>
          <w:sz w:val="16"/>
          <w:szCs w:val="16"/>
        </w:rPr>
        <w:softHyphen/>
        <w:t>ческое развитие—И-153. В 1940 г. уже кардинально устарев</w:t>
      </w:r>
      <w:r w:rsidRPr="00640820">
        <w:rPr>
          <w:rFonts w:ascii="Times New Roman" w:hAnsi="Times New Roman"/>
          <w:color w:val="000000" w:themeColor="text1"/>
          <w:sz w:val="16"/>
          <w:szCs w:val="16"/>
        </w:rPr>
        <w:softHyphen/>
        <w:t>шие И-15 были сняты с производства, но И-153 всё ещё рассматривался как вполне боеспособный самолёт. В конце 1930-х завод прошёл капитальную модернизацию, подготовившись к выпуску лицензионного штурмовика Валти, однако эта мо</w:t>
      </w:r>
      <w:r w:rsidRPr="00640820">
        <w:rPr>
          <w:rFonts w:ascii="Times New Roman" w:hAnsi="Times New Roman"/>
          <w:color w:val="000000" w:themeColor="text1"/>
          <w:sz w:val="16"/>
          <w:szCs w:val="16"/>
        </w:rPr>
        <w:softHyphen/>
        <w:t>дель в серию не пошла. В 1940 г. Яковлев пытался загрузить простаивающие мощности выпуском И-26 (Як-1), однако за</w:t>
      </w:r>
      <w:r w:rsidRPr="00640820">
        <w:rPr>
          <w:rFonts w:ascii="Times New Roman" w:hAnsi="Times New Roman"/>
          <w:color w:val="000000" w:themeColor="text1"/>
          <w:sz w:val="16"/>
          <w:szCs w:val="16"/>
        </w:rPr>
        <w:softHyphen/>
        <w:t>водское руководство настояло на выпуске И-200 (МиГ-1/3). В роли своеобразной уступки замнаркома на предприятии было организовано производство лёгкого бомбардировщика Як-4, однако эта модель выпускалась явно по остаточному принципу и уже в 1940 г. с конвейера была снята вместе с И-153. Вместо неё было решено выпускать штурмовик Ил-2. Таким образом, на 1941 г. завод сдал последние И-153, из</w:t>
      </w:r>
      <w:r w:rsidRPr="00640820">
        <w:rPr>
          <w:rFonts w:ascii="Times New Roman" w:hAnsi="Times New Roman"/>
          <w:color w:val="000000" w:themeColor="text1"/>
          <w:sz w:val="16"/>
          <w:szCs w:val="16"/>
        </w:rPr>
        <w:softHyphen/>
        <w:t>готовленные в основном ради утилизации задела, и сосре</w:t>
      </w:r>
      <w:r w:rsidRPr="00640820">
        <w:rPr>
          <w:rFonts w:ascii="Times New Roman" w:hAnsi="Times New Roman"/>
          <w:color w:val="000000" w:themeColor="text1"/>
          <w:sz w:val="16"/>
          <w:szCs w:val="16"/>
        </w:rPr>
        <w:softHyphen/>
        <w:t>доточился на выпуске МиГ-3. Ил-2 выпускался в следовых количествах, что вызвало крайнее неудовольствие руковод</w:t>
      </w:r>
      <w:r w:rsidRPr="00640820">
        <w:rPr>
          <w:rFonts w:ascii="Times New Roman" w:hAnsi="Times New Roman"/>
          <w:color w:val="000000" w:themeColor="text1"/>
          <w:sz w:val="16"/>
          <w:szCs w:val="16"/>
        </w:rPr>
        <w:softHyphen/>
        <w:t>ства страны. После эвакуации завод получил категорический приказ прекратить выпуск МиГ-3 и все ресурсы бросить на производство штурмовиков. Однако выполнить эту директи</w:t>
      </w:r>
      <w:r w:rsidRPr="00640820">
        <w:rPr>
          <w:rFonts w:ascii="Times New Roman" w:hAnsi="Times New Roman"/>
          <w:color w:val="000000" w:themeColor="text1"/>
          <w:sz w:val="16"/>
          <w:szCs w:val="16"/>
        </w:rPr>
        <w:softHyphen/>
        <w:t>ву удалось лишь в следующем году.</w:t>
      </w:r>
    </w:p>
    <w:p w14:paraId="221D32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18 (12,77 % всего авиавыпуска). Будучи основ</w:t>
      </w:r>
      <w:r w:rsidRPr="00640820">
        <w:rPr>
          <w:rFonts w:ascii="Times New Roman" w:hAnsi="Times New Roman"/>
          <w:color w:val="000000" w:themeColor="text1"/>
          <w:sz w:val="16"/>
          <w:szCs w:val="16"/>
        </w:rPr>
        <w:softHyphen/>
        <w:t>ным производителем бомбардировщика Ил-4, в 1941 г. был загружен выпуском штурмовика Ил-2 и бомбардировщика нового поколения Ер-2. Помимо этого, именно на этом пред</w:t>
      </w:r>
      <w:r w:rsidRPr="00640820">
        <w:rPr>
          <w:rFonts w:ascii="Times New Roman" w:hAnsi="Times New Roman"/>
          <w:color w:val="000000" w:themeColor="text1"/>
          <w:sz w:val="16"/>
          <w:szCs w:val="16"/>
        </w:rPr>
        <w:softHyphen/>
        <w:t>приятии предполагалось развернуть производство Ту-2 (</w:t>
      </w:r>
      <w:r w:rsidRPr="00640820">
        <w:rPr>
          <w:rFonts w:ascii="Times New Roman" w:hAnsi="Times New Roman"/>
          <w:iCs/>
          <w:color w:val="000000" w:themeColor="text1"/>
          <w:sz w:val="16"/>
          <w:szCs w:val="16"/>
        </w:rPr>
        <w:t>Саукке М.</w:t>
      </w:r>
      <w:r w:rsidRPr="00640820">
        <w:rPr>
          <w:rFonts w:ascii="Times New Roman" w:hAnsi="Times New Roman"/>
          <w:color w:val="000000" w:themeColor="text1"/>
          <w:sz w:val="16"/>
          <w:szCs w:val="16"/>
        </w:rPr>
        <w:t xml:space="preserve"> Ту-2. Часть </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 М., 2001. С. 40). Эва</w:t>
      </w:r>
      <w:r w:rsidRPr="00640820">
        <w:rPr>
          <w:rFonts w:ascii="Times New Roman" w:hAnsi="Times New Roman"/>
          <w:color w:val="000000" w:themeColor="text1"/>
          <w:sz w:val="16"/>
          <w:szCs w:val="16"/>
        </w:rPr>
        <w:softHyphen/>
        <w:t>куирован, как и завод № 1, в октябре 1941 г. в Куйбышев.</w:t>
      </w:r>
    </w:p>
    <w:p w14:paraId="551768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21 (13,35 % всего авиавыпуска). Головной завод по выпуску И-16 в 1941 г. завершил производство этого ис</w:t>
      </w:r>
      <w:r w:rsidRPr="00640820">
        <w:rPr>
          <w:rFonts w:ascii="Times New Roman" w:hAnsi="Times New Roman"/>
          <w:color w:val="000000" w:themeColor="text1"/>
          <w:sz w:val="16"/>
          <w:szCs w:val="16"/>
        </w:rPr>
        <w:softHyphen/>
        <w:t>требителя и освоил серийный выпуск истребителя ЛаГГ-3.</w:t>
      </w:r>
    </w:p>
    <w:p w14:paraId="7DFEE6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22 (7,96 % всего авиавыпуска). Головной завод по выпуску СБ в 1941 г. завершил производство этого бом</w:t>
      </w:r>
      <w:r w:rsidRPr="00640820">
        <w:rPr>
          <w:rFonts w:ascii="Times New Roman" w:hAnsi="Times New Roman"/>
          <w:color w:val="000000" w:themeColor="text1"/>
          <w:sz w:val="16"/>
          <w:szCs w:val="16"/>
        </w:rPr>
        <w:softHyphen/>
        <w:t>бардировщика и освоил серийный выпуск бомбардировщика Пе-2.</w:t>
      </w:r>
    </w:p>
    <w:p w14:paraId="36D516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23 (0,47 % всего авиавыпуска). Ведущий совет</w:t>
      </w:r>
      <w:r w:rsidRPr="00640820">
        <w:rPr>
          <w:rFonts w:ascii="Times New Roman" w:hAnsi="Times New Roman"/>
          <w:color w:val="000000" w:themeColor="text1"/>
          <w:sz w:val="16"/>
          <w:szCs w:val="16"/>
        </w:rPr>
        <w:softHyphen/>
        <w:t>ский авиазавод предвоенных лет, обеспечивавший львиную долю выпуска учебных самолётов УТ-2 и У-2, а так же транс</w:t>
      </w:r>
      <w:r w:rsidRPr="00640820">
        <w:rPr>
          <w:rFonts w:ascii="Times New Roman" w:hAnsi="Times New Roman"/>
          <w:color w:val="000000" w:themeColor="text1"/>
          <w:sz w:val="16"/>
          <w:szCs w:val="16"/>
        </w:rPr>
        <w:softHyphen/>
        <w:t>портных модификаций У-2. В 1941 г. получил план по вы</w:t>
      </w:r>
      <w:r w:rsidRPr="00640820">
        <w:rPr>
          <w:rFonts w:ascii="Times New Roman" w:hAnsi="Times New Roman"/>
          <w:color w:val="000000" w:themeColor="text1"/>
          <w:sz w:val="16"/>
          <w:szCs w:val="16"/>
        </w:rPr>
        <w:softHyphen/>
        <w:t xml:space="preserve">пуску </w:t>
      </w:r>
      <w:r w:rsidRPr="00640820">
        <w:rPr>
          <w:rFonts w:ascii="Times New Roman" w:hAnsi="Times New Roman"/>
          <w:color w:val="000000" w:themeColor="text1"/>
          <w:sz w:val="16"/>
          <w:szCs w:val="16"/>
          <w:lang w:val="en-US"/>
        </w:rPr>
        <w:t>JIaIT</w:t>
      </w:r>
      <w:r w:rsidRPr="00640820">
        <w:rPr>
          <w:rFonts w:ascii="Times New Roman" w:hAnsi="Times New Roman"/>
          <w:color w:val="000000" w:themeColor="text1"/>
          <w:sz w:val="16"/>
          <w:szCs w:val="16"/>
        </w:rPr>
        <w:t>-3 и даже успел сдать некоторое число этих ис</w:t>
      </w:r>
      <w:r w:rsidRPr="00640820">
        <w:rPr>
          <w:rFonts w:ascii="Times New Roman" w:hAnsi="Times New Roman"/>
          <w:color w:val="000000" w:themeColor="text1"/>
          <w:sz w:val="16"/>
          <w:szCs w:val="16"/>
        </w:rPr>
        <w:softHyphen/>
        <w:t>требителей. Будучи дислоцирован в Ленинграде, отправился в эвакуацию уже в июне 1941 г., то есть практически весь годовой выпуск этого завода пришёлся на цервое полугодие. В эвакуации был влит в состав завода № 153 и потерял само</w:t>
      </w:r>
      <w:r w:rsidRPr="00640820">
        <w:rPr>
          <w:rFonts w:ascii="Times New Roman" w:hAnsi="Times New Roman"/>
          <w:color w:val="000000" w:themeColor="text1"/>
          <w:sz w:val="16"/>
          <w:szCs w:val="16"/>
        </w:rPr>
        <w:softHyphen/>
        <w:t>стоятельность.</w:t>
      </w:r>
    </w:p>
    <w:p w14:paraId="27D864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31 (3,20 % всего авиавыпуска). Ведущий завод по производству гидросамолётов в 1940 г. получил приказ освоить выпуск истребителей ЛаГГ-З. В октябре 1941 г. был эвакуирован в Тбилиси.</w:t>
      </w:r>
    </w:p>
    <w:p w14:paraId="338AEA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39 (3,63 % всего авиавыпуска). На начало Второй мировой войны выпускал бомбардировщик Ил-4. В1940 г. на</w:t>
      </w:r>
      <w:r w:rsidRPr="00640820">
        <w:rPr>
          <w:rFonts w:ascii="Times New Roman" w:hAnsi="Times New Roman"/>
          <w:color w:val="000000" w:themeColor="text1"/>
          <w:sz w:val="16"/>
          <w:szCs w:val="16"/>
        </w:rPr>
        <w:softHyphen/>
        <w:t>чал освоение Пе-2, а в 1941 г. выпускал одновременно Ил-4, Пе-2 и истребительную версию Пе-2 — Пе-3.</w:t>
      </w:r>
    </w:p>
    <w:p w14:paraId="735DB3F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47 (3,68 % всего авиавыпуска). Выпускал учебно- тренировочные самолёты УТ-2.</w:t>
      </w:r>
    </w:p>
    <w:p w14:paraId="6CCE55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81 (0,42 % всего авиавыпуска). После того как Як-4 был снят с производства на авиазаводе № 1, выпуск этой модели пытались освоить на бывшем авиаремонтном заводе №81. Впрочем, пытались — без особого успеха. В октябре 1941 г. эвакуирован в Омск. Слит с заводом № 166.</w:t>
      </w:r>
    </w:p>
    <w:p w14:paraId="42C3A3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84 (1,59 % всего авиавыпуска). Единственный за</w:t>
      </w:r>
      <w:r w:rsidRPr="00640820">
        <w:rPr>
          <w:rFonts w:ascii="Times New Roman" w:hAnsi="Times New Roman"/>
          <w:color w:val="000000" w:themeColor="text1"/>
          <w:sz w:val="16"/>
          <w:szCs w:val="16"/>
        </w:rPr>
        <w:softHyphen/>
        <w:t>вод в СССР, выпускавший транспортные самолёты Ли-2.</w:t>
      </w:r>
    </w:p>
    <w:p w14:paraId="6652A2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116 (0,66 % всего авиавыпуска). Бывший авиаре</w:t>
      </w:r>
      <w:r w:rsidRPr="00640820">
        <w:rPr>
          <w:rFonts w:ascii="Times New Roman" w:hAnsi="Times New Roman"/>
          <w:color w:val="000000" w:themeColor="text1"/>
          <w:sz w:val="16"/>
          <w:szCs w:val="16"/>
        </w:rPr>
        <w:softHyphen/>
        <w:t>монтный завод, в 1941 г. освоил выпуск УТ-2.</w:t>
      </w:r>
    </w:p>
    <w:p w14:paraId="0B23A51D" w14:textId="77777777" w:rsidR="00045010" w:rsidRPr="00640820" w:rsidRDefault="00045010" w:rsidP="00640820">
      <w:pPr>
        <w:tabs>
          <w:tab w:val="left" w:pos="296"/>
        </w:tabs>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124 (0,85 % всего авиавыпуска). Один из крупней</w:t>
      </w:r>
      <w:r w:rsidRPr="00640820">
        <w:rPr>
          <w:rFonts w:ascii="Times New Roman" w:hAnsi="Times New Roman"/>
          <w:color w:val="000000" w:themeColor="text1"/>
          <w:sz w:val="16"/>
          <w:szCs w:val="16"/>
        </w:rPr>
        <w:softHyphen/>
        <w:t>ших советских авиазаводов наконец в 1941 г. вышел из статуса «вечно-завтрашних» и освоил выпуск Пе-2 и Пе-8. В сентябре 1941 г., в связи с эвакуацией в Казань завода № 22, потерял свой номер и впился в состав эвакуированного завода.</w:t>
      </w:r>
    </w:p>
    <w:p w14:paraId="7181EF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125 (2,09 % всего авиавыпуска). Один из вспо</w:t>
      </w:r>
      <w:r w:rsidRPr="00640820">
        <w:rPr>
          <w:rFonts w:ascii="Times New Roman" w:hAnsi="Times New Roman"/>
          <w:color w:val="000000" w:themeColor="text1"/>
          <w:sz w:val="16"/>
          <w:szCs w:val="16"/>
        </w:rPr>
        <w:softHyphen/>
        <w:t>могательных центров металлического авиастроения в 1939—1940 гг. выпускал СБ. В 1941 г. освоил выпуск и Пе-2, но в связи с эвакуацией в Иркутск завода № 39 в октябре 1941 г. утратил самостоятельность и влился в состав эвакуированно</w:t>
      </w:r>
      <w:r w:rsidRPr="00640820">
        <w:rPr>
          <w:rFonts w:ascii="Times New Roman" w:hAnsi="Times New Roman"/>
          <w:color w:val="000000" w:themeColor="text1"/>
          <w:sz w:val="16"/>
          <w:szCs w:val="16"/>
        </w:rPr>
        <w:softHyphen/>
        <w:t>го завода.</w:t>
      </w:r>
    </w:p>
    <w:p w14:paraId="20BD85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126 (2,58 % всего авиавыпуска). На расположен</w:t>
      </w:r>
      <w:r w:rsidRPr="00640820">
        <w:rPr>
          <w:rFonts w:ascii="Times New Roman" w:hAnsi="Times New Roman"/>
          <w:color w:val="000000" w:themeColor="text1"/>
          <w:sz w:val="16"/>
          <w:szCs w:val="16"/>
        </w:rPr>
        <w:softHyphen/>
        <w:t>ный на Дальнем Востоке завод процесс перевода авиавыпуска на новые модели решили распространить не сразу. Поэтому в 1941 г. предприятие, как и прежде, производило Ил-4.</w:t>
      </w:r>
    </w:p>
    <w:p w14:paraId="21C37B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135 (4,25 % всего авиавыпуска). Рассматрива</w:t>
      </w:r>
      <w:r w:rsidRPr="00640820">
        <w:rPr>
          <w:rFonts w:ascii="Times New Roman" w:hAnsi="Times New Roman"/>
          <w:color w:val="000000" w:themeColor="text1"/>
          <w:sz w:val="16"/>
          <w:szCs w:val="16"/>
        </w:rPr>
        <w:softHyphen/>
        <w:t>лось как головное предприятие в производстве Су-2. В октя</w:t>
      </w:r>
      <w:r w:rsidRPr="00640820">
        <w:rPr>
          <w:rFonts w:ascii="Times New Roman" w:hAnsi="Times New Roman"/>
          <w:color w:val="000000" w:themeColor="text1"/>
          <w:sz w:val="16"/>
          <w:szCs w:val="16"/>
        </w:rPr>
        <w:softHyphen/>
        <w:t>бре 1941 г. было эвакуировано в Пермь, что привело к факти</w:t>
      </w:r>
      <w:r w:rsidRPr="00640820">
        <w:rPr>
          <w:rFonts w:ascii="Times New Roman" w:hAnsi="Times New Roman"/>
          <w:color w:val="000000" w:themeColor="text1"/>
          <w:sz w:val="16"/>
          <w:szCs w:val="16"/>
        </w:rPr>
        <w:softHyphen/>
        <w:t>ческому прекращению работ.</w:t>
      </w:r>
    </w:p>
    <w:p w14:paraId="63683E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153 (2,04 % всего авиавыпуска). До войны рас</w:t>
      </w:r>
      <w:r w:rsidRPr="00640820">
        <w:rPr>
          <w:rFonts w:ascii="Times New Roman" w:hAnsi="Times New Roman"/>
          <w:color w:val="000000" w:themeColor="text1"/>
          <w:sz w:val="16"/>
          <w:szCs w:val="16"/>
        </w:rPr>
        <w:softHyphen/>
        <w:t>сматривался как вспомогательный дальневосточный центр производства И-16. В 1940 г. получил распоряжение освоить выпуск ЛаГГ-3. Однако в 1941 г. было решено переориентиро</w:t>
      </w:r>
      <w:r w:rsidRPr="00640820">
        <w:rPr>
          <w:rFonts w:ascii="Times New Roman" w:hAnsi="Times New Roman"/>
          <w:color w:val="000000" w:themeColor="text1"/>
          <w:sz w:val="16"/>
          <w:szCs w:val="16"/>
        </w:rPr>
        <w:softHyphen/>
        <w:t>вать завод на производство Як-7. В результате в 1941 г. пред</w:t>
      </w:r>
      <w:r w:rsidRPr="00640820">
        <w:rPr>
          <w:rFonts w:ascii="Times New Roman" w:hAnsi="Times New Roman"/>
          <w:color w:val="000000" w:themeColor="text1"/>
          <w:sz w:val="16"/>
          <w:szCs w:val="16"/>
        </w:rPr>
        <w:softHyphen/>
        <w:t xml:space="preserve">приятие сдало последние И-16, </w:t>
      </w:r>
      <w:r w:rsidRPr="00640820">
        <w:rPr>
          <w:rFonts w:ascii="Times New Roman" w:hAnsi="Times New Roman"/>
          <w:color w:val="000000" w:themeColor="text1"/>
          <w:sz w:val="16"/>
          <w:szCs w:val="16"/>
        </w:rPr>
        <w:lastRenderedPageBreak/>
        <w:t>наладило выпуск ЛаГГ-3 и одновременно освоило Як-7. Разумеется, масштабности про</w:t>
      </w:r>
      <w:r w:rsidRPr="00640820">
        <w:rPr>
          <w:rFonts w:ascii="Times New Roman" w:hAnsi="Times New Roman"/>
          <w:color w:val="000000" w:themeColor="text1"/>
          <w:sz w:val="16"/>
          <w:szCs w:val="16"/>
        </w:rPr>
        <w:softHyphen/>
        <w:t>изводства выпуск одновременно 3 моделей не способствовал. Следует учитывать, что синхронно с этими событиями завод принял в свой состав ещё 6 эвакуированных предприятий.</w:t>
      </w:r>
    </w:p>
    <w:p w14:paraId="314398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207 (0,60 % всего авиавыпуска). Должен был стать дублёром завода № 135 по выпуску Су-2. Был эвакуи</w:t>
      </w:r>
      <w:r w:rsidRPr="00640820">
        <w:rPr>
          <w:rFonts w:ascii="Times New Roman" w:hAnsi="Times New Roman"/>
          <w:color w:val="000000" w:themeColor="text1"/>
          <w:sz w:val="16"/>
          <w:szCs w:val="16"/>
        </w:rPr>
        <w:softHyphen/>
        <w:t>рован в Пермь, где слился с заводом № 135 и далее разделил его судьбу.</w:t>
      </w:r>
    </w:p>
    <w:p w14:paraId="093EC8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292 (8,11 % всего авиавыпуска). Первоначально рассматривался как дублёр завода № 135 по выпуску одномо</w:t>
      </w:r>
      <w:r w:rsidRPr="00640820">
        <w:rPr>
          <w:rFonts w:ascii="Times New Roman" w:hAnsi="Times New Roman"/>
          <w:color w:val="000000" w:themeColor="text1"/>
          <w:sz w:val="16"/>
          <w:szCs w:val="16"/>
        </w:rPr>
        <w:softHyphen/>
        <w:t>торных лёгких фронтовых бомбардировщиков. Т.к. на 1939 г. Су-2 ещё не выпускался, на это амплуа претендовал Р-10. Од</w:t>
      </w:r>
      <w:r w:rsidRPr="00640820">
        <w:rPr>
          <w:rFonts w:ascii="Times New Roman" w:hAnsi="Times New Roman"/>
          <w:color w:val="000000" w:themeColor="text1"/>
          <w:sz w:val="16"/>
          <w:szCs w:val="16"/>
        </w:rPr>
        <w:softHyphen/>
        <w:t>нако в 1940 г. Яковлев добился переключения данного пред</w:t>
      </w:r>
      <w:r w:rsidRPr="00640820">
        <w:rPr>
          <w:rFonts w:ascii="Times New Roman" w:hAnsi="Times New Roman"/>
          <w:color w:val="000000" w:themeColor="text1"/>
          <w:sz w:val="16"/>
          <w:szCs w:val="16"/>
        </w:rPr>
        <w:softHyphen/>
        <w:t>приятия на производство Як-1. В перспективе это решение оказалось удачным, ив 1941 г. саратовский завод стал, по сути, основным поставщиком этих истребителей.</w:t>
      </w:r>
    </w:p>
    <w:p w14:paraId="489290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301 (2,05 % всего авиавыпуска). В 1939 г. выпу</w:t>
      </w:r>
      <w:r w:rsidRPr="00640820">
        <w:rPr>
          <w:rFonts w:ascii="Times New Roman" w:hAnsi="Times New Roman"/>
          <w:color w:val="000000" w:themeColor="text1"/>
          <w:sz w:val="16"/>
          <w:szCs w:val="16"/>
        </w:rPr>
        <w:softHyphen/>
        <w:t>скал УТ-2. В 1940 г. был включён в программу по производ</w:t>
      </w:r>
      <w:r w:rsidRPr="00640820">
        <w:rPr>
          <w:rFonts w:ascii="Times New Roman" w:hAnsi="Times New Roman"/>
          <w:color w:val="000000" w:themeColor="text1"/>
          <w:sz w:val="16"/>
          <w:szCs w:val="16"/>
        </w:rPr>
        <w:softHyphen/>
        <w:t>ству Як-1, став дублёром завода № 292. В сентябре убыл в эвакуацию в Новосибирск, где влился в состав завода № 153.</w:t>
      </w:r>
    </w:p>
    <w:p w14:paraId="39CA37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381 (0,18 % всего авиавыпуска). Освоил выпуск Ил-2. В июле эвакуирован в Нижний Тагил.</w:t>
      </w:r>
    </w:p>
    <w:p w14:paraId="1DD174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387 (8,33 % всего авиавыпуска). Дублёр завода № 23 по выпуску У-2 к 1940 г., в связи с переориентировани</w:t>
      </w:r>
      <w:r w:rsidRPr="00640820">
        <w:rPr>
          <w:rFonts w:ascii="Times New Roman" w:hAnsi="Times New Roman"/>
          <w:color w:val="000000" w:themeColor="text1"/>
          <w:sz w:val="16"/>
          <w:szCs w:val="16"/>
        </w:rPr>
        <w:softHyphen/>
        <w:t>ем головного предприятия на производство ЛаГТ-3, сам стал головным. В июле эвакуирован в Казань.</w:t>
      </w:r>
    </w:p>
    <w:p w14:paraId="077F16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Таким образом, очевидно, что для 1941 г. была характерна очень высокая степень концентрации авиавыпуска. На 6 ави</w:t>
      </w:r>
      <w:r w:rsidRPr="00640820">
        <w:rPr>
          <w:rFonts w:ascii="Times New Roman" w:hAnsi="Times New Roman"/>
          <w:color w:val="000000" w:themeColor="text1"/>
          <w:sz w:val="16"/>
          <w:szCs w:val="16"/>
        </w:rPr>
        <w:softHyphen/>
        <w:t>азаводов (№ 1,18,21,22,292 и 387) приходилось свыше 70 % всего годового авиавыпуска. Разумеется, это не могло не бес</w:t>
      </w:r>
      <w:r w:rsidRPr="00640820">
        <w:rPr>
          <w:rFonts w:ascii="Times New Roman" w:hAnsi="Times New Roman"/>
          <w:color w:val="000000" w:themeColor="text1"/>
          <w:sz w:val="16"/>
          <w:szCs w:val="16"/>
        </w:rPr>
        <w:softHyphen/>
        <w:t>покоить руководство отрасли. Малейший сбой в работе этих «становых» предприятий грозил обернуться капитальным снижением выпуска авиатехники в масштабах страны — на</w:t>
      </w:r>
      <w:r w:rsidRPr="00640820">
        <w:rPr>
          <w:rFonts w:ascii="Times New Roman" w:hAnsi="Times New Roman"/>
          <w:color w:val="000000" w:themeColor="text1"/>
          <w:sz w:val="16"/>
          <w:szCs w:val="16"/>
        </w:rPr>
        <w:softHyphen/>
        <w:t>дежды на то, что недопоставки головного завода смогут по</w:t>
      </w:r>
      <w:r w:rsidRPr="00640820">
        <w:rPr>
          <w:rFonts w:ascii="Times New Roman" w:hAnsi="Times New Roman"/>
          <w:color w:val="000000" w:themeColor="text1"/>
          <w:sz w:val="16"/>
          <w:szCs w:val="16"/>
        </w:rPr>
        <w:softHyphen/>
        <w:t>крыть многочисленные второстепенные предприятия, было мало. С другой стороны, концентрация самолётостроения снижалась. В 1939 г. 72 % авиавыпуска приходилось всего на 4 завода (1, 21, 22 и 23). В 1940 г. на эти же четыре пред</w:t>
      </w:r>
      <w:r w:rsidRPr="00640820">
        <w:rPr>
          <w:rFonts w:ascii="Times New Roman" w:hAnsi="Times New Roman"/>
          <w:color w:val="000000" w:themeColor="text1"/>
          <w:sz w:val="16"/>
          <w:szCs w:val="16"/>
        </w:rPr>
        <w:softHyphen/>
        <w:t>приятия пришлось уже 7</w:t>
      </w:r>
      <w:r w:rsidRPr="00640820">
        <w:rPr>
          <w:rFonts w:ascii="Times New Roman" w:hAnsi="Times New Roman"/>
          <w:color w:val="000000" w:themeColor="text1"/>
          <w:sz w:val="16"/>
          <w:szCs w:val="16"/>
          <w:lang w:val="en-US"/>
        </w:rPr>
        <w:t>S</w:t>
      </w:r>
      <w:r w:rsidRPr="00640820">
        <w:rPr>
          <w:rFonts w:ascii="Times New Roman" w:hAnsi="Times New Roman"/>
          <w:color w:val="000000" w:themeColor="text1"/>
          <w:sz w:val="16"/>
          <w:szCs w:val="16"/>
        </w:rPr>
        <w:t xml:space="preserve"> % годового авиавыпуска. В этом свете ситуация 1941 г. выглядела явным прогрессом в деле децентарлизации авиапроизводства. Следует обратить вни</w:t>
      </w:r>
      <w:r w:rsidRPr="00640820">
        <w:rPr>
          <w:rFonts w:ascii="Times New Roman" w:hAnsi="Times New Roman"/>
          <w:color w:val="000000" w:themeColor="text1"/>
          <w:sz w:val="16"/>
          <w:szCs w:val="16"/>
        </w:rPr>
        <w:softHyphen/>
        <w:t>мание и на состав «топовой группы». В неё внезапно врыва</w:t>
      </w:r>
      <w:r w:rsidRPr="00640820">
        <w:rPr>
          <w:rFonts w:ascii="Times New Roman" w:hAnsi="Times New Roman"/>
          <w:color w:val="000000" w:themeColor="text1"/>
          <w:sz w:val="16"/>
          <w:szCs w:val="16"/>
        </w:rPr>
        <w:softHyphen/>
        <w:t>ются новые заводы — № 18 и 292. С последним, собственно, всё очевидно — упреждающее развитие перспективного ис</w:t>
      </w:r>
      <w:r w:rsidRPr="00640820">
        <w:rPr>
          <w:rFonts w:ascii="Times New Roman" w:hAnsi="Times New Roman"/>
          <w:color w:val="000000" w:themeColor="text1"/>
          <w:sz w:val="16"/>
          <w:szCs w:val="16"/>
        </w:rPr>
        <w:softHyphen/>
        <w:t>требителя на фоне эвакуации ведущих авиазаводов Москвы и Ленинграда позволили в общем-то заштатному предприятию одним прыжком запрыгнуть в группу головных заводов Авиапрома. А вот завод № 18 относился к старым предприяти</w:t>
      </w:r>
      <w:r w:rsidRPr="00640820">
        <w:rPr>
          <w:rFonts w:ascii="Times New Roman" w:hAnsi="Times New Roman"/>
          <w:color w:val="000000" w:themeColor="text1"/>
          <w:sz w:val="16"/>
          <w:szCs w:val="16"/>
        </w:rPr>
        <w:softHyphen/>
        <w:t>ям, но сыграть ведущую роль в суммарном авиавыпуске не мог, так как был загружен выпуском сложного в производ</w:t>
      </w:r>
      <w:r w:rsidRPr="00640820">
        <w:rPr>
          <w:rFonts w:ascii="Times New Roman" w:hAnsi="Times New Roman"/>
          <w:color w:val="000000" w:themeColor="text1"/>
          <w:sz w:val="16"/>
          <w:szCs w:val="16"/>
        </w:rPr>
        <w:softHyphen/>
        <w:t>стве бомбардировщика Ил-4. Прорваться в топовую группу этому заводу позволило освоение штурмовика Ил-2. Таким образом, основу авиавыпуска составили в 1941 г. заводы, за</w:t>
      </w:r>
      <w:r w:rsidRPr="00640820">
        <w:rPr>
          <w:rFonts w:ascii="Times New Roman" w:hAnsi="Times New Roman"/>
          <w:color w:val="000000" w:themeColor="text1"/>
          <w:sz w:val="16"/>
          <w:szCs w:val="16"/>
        </w:rPr>
        <w:softHyphen/>
        <w:t>груженные истребителями и штурмовиками — самолётами одномоторными, с фюзеляжами композитной схемы. В этом свете имеет смысл рассмотреть специально распределение удельного веса заводов, занятых цельнометаллическим само</w:t>
      </w:r>
      <w:r w:rsidRPr="00640820">
        <w:rPr>
          <w:rFonts w:ascii="Times New Roman" w:hAnsi="Times New Roman"/>
          <w:color w:val="000000" w:themeColor="text1"/>
          <w:sz w:val="16"/>
          <w:szCs w:val="16"/>
        </w:rPr>
        <w:softHyphen/>
        <w:t>лётостроением.</w:t>
      </w:r>
    </w:p>
    <w:p w14:paraId="31973E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Удельный вес заводов, занятых металлическим самолётостроением (% от всех металлических самолётов, построенных в этот год)</w:t>
      </w:r>
    </w:p>
    <w:tbl>
      <w:tblPr>
        <w:tblW w:w="0" w:type="auto"/>
        <w:tblInd w:w="8" w:type="dxa"/>
        <w:tblLayout w:type="fixed"/>
        <w:tblCellMar>
          <w:left w:w="0" w:type="dxa"/>
          <w:right w:w="0" w:type="dxa"/>
        </w:tblCellMar>
        <w:tblLook w:val="0000" w:firstRow="0" w:lastRow="0" w:firstColumn="0" w:lastColumn="0" w:noHBand="0" w:noVBand="0"/>
      </w:tblPr>
      <w:tblGrid>
        <w:gridCol w:w="1488"/>
        <w:gridCol w:w="1478"/>
        <w:gridCol w:w="1483"/>
        <w:gridCol w:w="1488"/>
      </w:tblGrid>
      <w:tr w:rsidR="00643896" w:rsidRPr="00640820" w14:paraId="418BB2A8" w14:textId="77777777" w:rsidTr="000D3BCB">
        <w:trPr>
          <w:trHeight w:val="326"/>
        </w:trPr>
        <w:tc>
          <w:tcPr>
            <w:tcW w:w="1488" w:type="dxa"/>
            <w:tcBorders>
              <w:top w:val="single" w:sz="6" w:space="0" w:color="auto"/>
              <w:left w:val="single" w:sz="6" w:space="0" w:color="auto"/>
              <w:bottom w:val="single" w:sz="6" w:space="0" w:color="auto"/>
              <w:right w:val="single" w:sz="6" w:space="0" w:color="auto"/>
            </w:tcBorders>
            <w:shd w:val="clear" w:color="auto" w:fill="FFFFFF"/>
          </w:tcPr>
          <w:p w14:paraId="1255D8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rPr>
              <w:t>Завод</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0269F3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1939</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35A112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1940</w:t>
            </w:r>
          </w:p>
        </w:tc>
        <w:tc>
          <w:tcPr>
            <w:tcW w:w="1488" w:type="dxa"/>
            <w:tcBorders>
              <w:top w:val="single" w:sz="6" w:space="0" w:color="auto"/>
              <w:left w:val="single" w:sz="6" w:space="0" w:color="auto"/>
              <w:bottom w:val="single" w:sz="6" w:space="0" w:color="auto"/>
              <w:right w:val="single" w:sz="6" w:space="0" w:color="auto"/>
            </w:tcBorders>
            <w:shd w:val="clear" w:color="auto" w:fill="FFFFFF"/>
          </w:tcPr>
          <w:p w14:paraId="7F5381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1941</w:t>
            </w:r>
          </w:p>
        </w:tc>
      </w:tr>
      <w:tr w:rsidR="00643896" w:rsidRPr="00640820" w14:paraId="4B0A31D3" w14:textId="77777777" w:rsidTr="000D3BCB">
        <w:trPr>
          <w:trHeight w:val="264"/>
        </w:trPr>
        <w:tc>
          <w:tcPr>
            <w:tcW w:w="1488" w:type="dxa"/>
            <w:tcBorders>
              <w:top w:val="single" w:sz="6" w:space="0" w:color="auto"/>
              <w:left w:val="single" w:sz="6" w:space="0" w:color="auto"/>
              <w:bottom w:val="single" w:sz="6" w:space="0" w:color="auto"/>
              <w:right w:val="single" w:sz="6" w:space="0" w:color="auto"/>
            </w:tcBorders>
            <w:shd w:val="clear" w:color="auto" w:fill="FFFFFF"/>
          </w:tcPr>
          <w:p w14:paraId="2751C1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06794F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18,91</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76FDE2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23,74</w:t>
            </w:r>
          </w:p>
        </w:tc>
        <w:tc>
          <w:tcPr>
            <w:tcW w:w="1488" w:type="dxa"/>
            <w:tcBorders>
              <w:top w:val="single" w:sz="6" w:space="0" w:color="auto"/>
              <w:left w:val="single" w:sz="6" w:space="0" w:color="auto"/>
              <w:bottom w:val="single" w:sz="6" w:space="0" w:color="auto"/>
              <w:right w:val="single" w:sz="6" w:space="0" w:color="auto"/>
            </w:tcBorders>
            <w:shd w:val="clear" w:color="auto" w:fill="FFFFFF"/>
          </w:tcPr>
          <w:p w14:paraId="04EE74F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12,48</w:t>
            </w:r>
          </w:p>
        </w:tc>
      </w:tr>
      <w:tr w:rsidR="00643896" w:rsidRPr="00640820" w14:paraId="7342F0EA" w14:textId="77777777" w:rsidTr="000D3BCB">
        <w:trPr>
          <w:trHeight w:val="269"/>
        </w:trPr>
        <w:tc>
          <w:tcPr>
            <w:tcW w:w="1488" w:type="dxa"/>
            <w:tcBorders>
              <w:top w:val="single" w:sz="6" w:space="0" w:color="auto"/>
              <w:left w:val="single" w:sz="6" w:space="0" w:color="auto"/>
              <w:bottom w:val="single" w:sz="6" w:space="0" w:color="auto"/>
              <w:right w:val="single" w:sz="6" w:space="0" w:color="auto"/>
            </w:tcBorders>
            <w:shd w:val="clear" w:color="auto" w:fill="FFFFFF"/>
          </w:tcPr>
          <w:p w14:paraId="61263C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12E8F4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48, «9</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0DE916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53,47</w:t>
            </w:r>
          </w:p>
        </w:tc>
        <w:tc>
          <w:tcPr>
            <w:tcW w:w="1488" w:type="dxa"/>
            <w:tcBorders>
              <w:top w:val="single" w:sz="6" w:space="0" w:color="auto"/>
              <w:left w:val="single" w:sz="6" w:space="0" w:color="auto"/>
              <w:bottom w:val="single" w:sz="6" w:space="0" w:color="auto"/>
              <w:right w:val="single" w:sz="6" w:space="0" w:color="auto"/>
            </w:tcBorders>
            <w:shd w:val="clear" w:color="auto" w:fill="FFFFFF"/>
          </w:tcPr>
          <w:p w14:paraId="41FF1E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37,20</w:t>
            </w:r>
          </w:p>
        </w:tc>
      </w:tr>
      <w:tr w:rsidR="00643896" w:rsidRPr="00640820" w14:paraId="1063BDE1" w14:textId="77777777" w:rsidTr="000D3BCB">
        <w:trPr>
          <w:trHeight w:val="269"/>
        </w:trPr>
        <w:tc>
          <w:tcPr>
            <w:tcW w:w="1488" w:type="dxa"/>
            <w:tcBorders>
              <w:top w:val="single" w:sz="6" w:space="0" w:color="auto"/>
              <w:left w:val="single" w:sz="6" w:space="0" w:color="auto"/>
              <w:bottom w:val="single" w:sz="6" w:space="0" w:color="auto"/>
              <w:right w:val="single" w:sz="6" w:space="0" w:color="auto"/>
            </w:tcBorders>
            <w:shd w:val="clear" w:color="auto" w:fill="FFFFFF"/>
          </w:tcPr>
          <w:p w14:paraId="6A2132F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31</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16AD5E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6,54</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141FE6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1,50</w:t>
            </w:r>
          </w:p>
        </w:tc>
        <w:tc>
          <w:tcPr>
            <w:tcW w:w="1488" w:type="dxa"/>
            <w:tcBorders>
              <w:top w:val="single" w:sz="6" w:space="0" w:color="auto"/>
              <w:left w:val="single" w:sz="6" w:space="0" w:color="auto"/>
              <w:bottom w:val="single" w:sz="6" w:space="0" w:color="auto"/>
              <w:right w:val="single" w:sz="6" w:space="0" w:color="auto"/>
            </w:tcBorders>
            <w:shd w:val="clear" w:color="auto" w:fill="FFFFFF"/>
          </w:tcPr>
          <w:p w14:paraId="26EA95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0,13</w:t>
            </w:r>
          </w:p>
        </w:tc>
      </w:tr>
      <w:tr w:rsidR="00643896" w:rsidRPr="00640820" w14:paraId="76205F83" w14:textId="77777777" w:rsidTr="000D3BCB">
        <w:trPr>
          <w:trHeight w:val="264"/>
        </w:trPr>
        <w:tc>
          <w:tcPr>
            <w:tcW w:w="1488" w:type="dxa"/>
            <w:tcBorders>
              <w:top w:val="single" w:sz="6" w:space="0" w:color="auto"/>
              <w:left w:val="single" w:sz="6" w:space="0" w:color="auto"/>
              <w:bottom w:val="single" w:sz="6" w:space="0" w:color="auto"/>
              <w:right w:val="single" w:sz="6" w:space="0" w:color="auto"/>
            </w:tcBorders>
            <w:shd w:val="clear" w:color="auto" w:fill="FFFFFF"/>
          </w:tcPr>
          <w:p w14:paraId="5D782B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39</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661BEC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9,51</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583C99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5,85</w:t>
            </w:r>
          </w:p>
        </w:tc>
        <w:tc>
          <w:tcPr>
            <w:tcW w:w="1488" w:type="dxa"/>
            <w:tcBorders>
              <w:top w:val="single" w:sz="6" w:space="0" w:color="auto"/>
              <w:left w:val="single" w:sz="6" w:space="0" w:color="auto"/>
              <w:bottom w:val="single" w:sz="6" w:space="0" w:color="auto"/>
              <w:right w:val="single" w:sz="6" w:space="0" w:color="auto"/>
            </w:tcBorders>
            <w:shd w:val="clear" w:color="auto" w:fill="FFFFFF"/>
          </w:tcPr>
          <w:p w14:paraId="27DD76B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w:t>
            </w:r>
          </w:p>
        </w:tc>
      </w:tr>
      <w:tr w:rsidR="00643896" w:rsidRPr="00640820" w14:paraId="41184502" w14:textId="77777777" w:rsidTr="000D3BCB">
        <w:trPr>
          <w:trHeight w:val="269"/>
        </w:trPr>
        <w:tc>
          <w:tcPr>
            <w:tcW w:w="1488" w:type="dxa"/>
            <w:tcBorders>
              <w:top w:val="single" w:sz="6" w:space="0" w:color="auto"/>
              <w:left w:val="single" w:sz="6" w:space="0" w:color="auto"/>
              <w:bottom w:val="single" w:sz="6" w:space="0" w:color="auto"/>
              <w:right w:val="single" w:sz="6" w:space="0" w:color="auto"/>
            </w:tcBorders>
            <w:shd w:val="clear" w:color="auto" w:fill="FFFFFF"/>
          </w:tcPr>
          <w:p w14:paraId="52FD09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84</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505A60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0,20</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364381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1.50</w:t>
            </w:r>
          </w:p>
        </w:tc>
        <w:tc>
          <w:tcPr>
            <w:tcW w:w="1488" w:type="dxa"/>
            <w:tcBorders>
              <w:top w:val="single" w:sz="6" w:space="0" w:color="auto"/>
              <w:left w:val="single" w:sz="6" w:space="0" w:color="auto"/>
              <w:bottom w:val="single" w:sz="6" w:space="0" w:color="auto"/>
              <w:right w:val="single" w:sz="6" w:space="0" w:color="auto"/>
            </w:tcBorders>
            <w:shd w:val="clear" w:color="auto" w:fill="FFFFFF"/>
          </w:tcPr>
          <w:p w14:paraId="56C791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7,42</w:t>
            </w:r>
          </w:p>
        </w:tc>
      </w:tr>
      <w:tr w:rsidR="00643896" w:rsidRPr="00640820" w14:paraId="7970B151" w14:textId="77777777" w:rsidTr="000D3BCB">
        <w:trPr>
          <w:trHeight w:val="264"/>
        </w:trPr>
        <w:tc>
          <w:tcPr>
            <w:tcW w:w="1488" w:type="dxa"/>
            <w:tcBorders>
              <w:top w:val="single" w:sz="6" w:space="0" w:color="auto"/>
              <w:left w:val="single" w:sz="6" w:space="0" w:color="auto"/>
              <w:bottom w:val="single" w:sz="6" w:space="0" w:color="auto"/>
              <w:right w:val="single" w:sz="6" w:space="0" w:color="auto"/>
            </w:tcBorders>
            <w:shd w:val="clear" w:color="auto" w:fill="FFFFFF"/>
          </w:tcPr>
          <w:p w14:paraId="5B1C2E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124</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632817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0,00</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1415F04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0,00</w:t>
            </w:r>
          </w:p>
        </w:tc>
        <w:tc>
          <w:tcPr>
            <w:tcW w:w="1488" w:type="dxa"/>
            <w:tcBorders>
              <w:top w:val="single" w:sz="6" w:space="0" w:color="auto"/>
              <w:left w:val="single" w:sz="6" w:space="0" w:color="auto"/>
              <w:bottom w:val="single" w:sz="6" w:space="0" w:color="auto"/>
              <w:right w:val="single" w:sz="6" w:space="0" w:color="auto"/>
            </w:tcBorders>
            <w:shd w:val="clear" w:color="auto" w:fill="FFFFFF"/>
          </w:tcPr>
          <w:p w14:paraId="28AFC0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3,97</w:t>
            </w:r>
          </w:p>
        </w:tc>
      </w:tr>
      <w:tr w:rsidR="00643896" w:rsidRPr="00640820" w14:paraId="5B468DD2" w14:textId="77777777" w:rsidTr="000D3BCB">
        <w:trPr>
          <w:trHeight w:val="269"/>
        </w:trPr>
        <w:tc>
          <w:tcPr>
            <w:tcW w:w="1488" w:type="dxa"/>
            <w:tcBorders>
              <w:top w:val="single" w:sz="6" w:space="0" w:color="auto"/>
              <w:left w:val="single" w:sz="6" w:space="0" w:color="auto"/>
              <w:bottom w:val="single" w:sz="6" w:space="0" w:color="auto"/>
              <w:right w:val="single" w:sz="6" w:space="0" w:color="auto"/>
            </w:tcBorders>
            <w:shd w:val="clear" w:color="auto" w:fill="FFFFFF"/>
          </w:tcPr>
          <w:p w14:paraId="734F79D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125</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4B0232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11,69</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2E5478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11,02</w:t>
            </w:r>
          </w:p>
        </w:tc>
        <w:tc>
          <w:tcPr>
            <w:tcW w:w="1488" w:type="dxa"/>
            <w:tcBorders>
              <w:top w:val="single" w:sz="6" w:space="0" w:color="auto"/>
              <w:left w:val="single" w:sz="6" w:space="0" w:color="auto"/>
              <w:bottom w:val="single" w:sz="6" w:space="0" w:color="auto"/>
              <w:right w:val="single" w:sz="6" w:space="0" w:color="auto"/>
            </w:tcBorders>
            <w:shd w:val="clear" w:color="auto" w:fill="FFFFFF"/>
          </w:tcPr>
          <w:p w14:paraId="79A573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9,76</w:t>
            </w:r>
          </w:p>
        </w:tc>
      </w:tr>
      <w:tr w:rsidR="00643896" w:rsidRPr="00640820" w14:paraId="0C7879A8" w14:textId="77777777" w:rsidTr="000D3BCB">
        <w:trPr>
          <w:trHeight w:val="283"/>
        </w:trPr>
        <w:tc>
          <w:tcPr>
            <w:tcW w:w="1488" w:type="dxa"/>
            <w:tcBorders>
              <w:top w:val="single" w:sz="6" w:space="0" w:color="auto"/>
              <w:left w:val="single" w:sz="6" w:space="0" w:color="auto"/>
              <w:bottom w:val="single" w:sz="6" w:space="0" w:color="auto"/>
              <w:right w:val="single" w:sz="6" w:space="0" w:color="auto"/>
            </w:tcBorders>
            <w:shd w:val="clear" w:color="auto" w:fill="FFFFFF"/>
          </w:tcPr>
          <w:p w14:paraId="3CBB9A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126</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042568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4Д6</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2A145C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2,94</w:t>
            </w:r>
          </w:p>
        </w:tc>
        <w:tc>
          <w:tcPr>
            <w:tcW w:w="1488" w:type="dxa"/>
            <w:tcBorders>
              <w:top w:val="single" w:sz="6" w:space="0" w:color="auto"/>
              <w:left w:val="single" w:sz="6" w:space="0" w:color="auto"/>
              <w:bottom w:val="single" w:sz="6" w:space="0" w:color="auto"/>
              <w:right w:val="single" w:sz="6" w:space="0" w:color="auto"/>
            </w:tcBorders>
            <w:shd w:val="clear" w:color="auto" w:fill="FFFFFF"/>
          </w:tcPr>
          <w:p w14:paraId="6A2445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12,05</w:t>
            </w:r>
          </w:p>
        </w:tc>
      </w:tr>
    </w:tbl>
    <w:p w14:paraId="04DFD5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Как видно из таблицы, период 1939—1941 гг. также ха</w:t>
      </w:r>
      <w:r w:rsidRPr="00640820">
        <w:rPr>
          <w:rFonts w:ascii="Times New Roman" w:hAnsi="Times New Roman"/>
          <w:color w:val="000000" w:themeColor="text1"/>
          <w:sz w:val="16"/>
          <w:szCs w:val="16"/>
        </w:rPr>
        <w:softHyphen/>
        <w:t>рактеризовался постепенным снижением роли завода № 22, который в 1940 г. практически производил половину всех ме</w:t>
      </w:r>
      <w:r w:rsidRPr="00640820">
        <w:rPr>
          <w:rFonts w:ascii="Times New Roman" w:hAnsi="Times New Roman"/>
          <w:color w:val="000000" w:themeColor="text1"/>
          <w:sz w:val="16"/>
          <w:szCs w:val="16"/>
        </w:rPr>
        <w:softHyphen/>
        <w:t>таллических самолётов, но в 1941 г. снизил свою долю всего до чуть более трети. Разумеется, в этом свою роль сыграли и обстоятельства военного времени; однако нельзя упускать из вида, что на фоне снижения выпуска на многих заводах, ряд авиазаводов (и, в том числе, строящих металлические само</w:t>
      </w:r>
      <w:r w:rsidRPr="00640820">
        <w:rPr>
          <w:rFonts w:ascii="Times New Roman" w:hAnsi="Times New Roman"/>
          <w:color w:val="000000" w:themeColor="text1"/>
          <w:sz w:val="16"/>
          <w:szCs w:val="16"/>
        </w:rPr>
        <w:softHyphen/>
        <w:t>лёты) выпуск увеличили. Возрос выпуск цельнометалличе</w:t>
      </w:r>
      <w:r w:rsidRPr="00640820">
        <w:rPr>
          <w:rFonts w:ascii="Times New Roman" w:hAnsi="Times New Roman"/>
          <w:color w:val="000000" w:themeColor="text1"/>
          <w:sz w:val="16"/>
          <w:szCs w:val="16"/>
        </w:rPr>
        <w:softHyphen/>
        <w:t>ских машин на заводах № 39,84 и 126, начал сдачу самолётов завод № 124. Таким образом, снижение удельного веса завода № 22 в производстве цельнометаллических самолётов нараду с эвакуацией объяснялось в том числе ростом производства на других предприятиях (12011).</w:t>
      </w:r>
    </w:p>
    <w:p w14:paraId="1A060E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33A5694"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lang w:eastAsia="ru-RU" w:bidi="ru-RU"/>
        </w:rPr>
        <w:t>В 1941 начался новый раунд борьбы за себестоимость и отпускные цены на продукцию авиапромышленности. На этот раз руководство Госплана с самого начала взяло курс на резкое снижение себестоимости. В НКАП, пони</w:t>
      </w:r>
      <w:r w:rsidRPr="00640820">
        <w:rPr>
          <w:rFonts w:ascii="Times New Roman" w:hAnsi="Times New Roman"/>
          <w:color w:val="0070C0"/>
          <w:sz w:val="16"/>
          <w:szCs w:val="16"/>
          <w:lang w:eastAsia="ru-RU" w:bidi="ru-RU"/>
        </w:rPr>
        <w:softHyphen/>
        <w:t>мая, что тенденция уже задана (и, видимо, утверждена высшими инстанциями), пытались «отыграть» хоть что-то. Однако в большинстве случаев реальная се</w:t>
      </w:r>
      <w:r w:rsidRPr="00640820">
        <w:rPr>
          <w:rFonts w:ascii="Times New Roman" w:hAnsi="Times New Roman"/>
          <w:color w:val="0070C0"/>
          <w:sz w:val="16"/>
          <w:szCs w:val="16"/>
          <w:lang w:eastAsia="ru-RU" w:bidi="ru-RU"/>
        </w:rPr>
        <w:softHyphen/>
        <w:t>бестоимость 1942 г. оказалась, хотя и меньше себестоимости 1941 г., но выше как предложений Госплана, так и версии НКАП. Та же картина (ниже прошлого года, но выше планов Госплана и НКАП) сложилась и в отношении отпускных цен 1942 г., которые были напрямую связаны с себестоимостью производства.</w:t>
      </w:r>
    </w:p>
    <w:p w14:paraId="00185F62" w14:textId="77777777" w:rsidR="006C0E54" w:rsidRPr="00640820" w:rsidRDefault="006C0E54" w:rsidP="00640820">
      <w:pPr>
        <w:spacing w:after="0" w:line="240" w:lineRule="auto"/>
        <w:jc w:val="both"/>
        <w:rPr>
          <w:rFonts w:ascii="Times New Roman" w:hAnsi="Times New Roman"/>
          <w:color w:val="0070C0"/>
          <w:sz w:val="16"/>
          <w:szCs w:val="16"/>
          <w:lang w:eastAsia="ru-RU" w:bidi="ru-RU"/>
        </w:rPr>
      </w:pPr>
      <w:r w:rsidRPr="00640820">
        <w:rPr>
          <w:rFonts w:ascii="Times New Roman" w:hAnsi="Times New Roman"/>
          <w:color w:val="0070C0"/>
          <w:sz w:val="16"/>
          <w:szCs w:val="16"/>
          <w:lang w:eastAsia="ru-RU" w:bidi="ru-RU"/>
        </w:rPr>
        <w:t>На составных элементах себестоимости следует остановиться подробнее. Как правило, её главными слагаемыми при производстве самолётов были «по</w:t>
      </w:r>
      <w:r w:rsidRPr="00640820">
        <w:rPr>
          <w:rFonts w:ascii="Times New Roman" w:hAnsi="Times New Roman"/>
          <w:color w:val="0070C0"/>
          <w:sz w:val="16"/>
          <w:szCs w:val="16"/>
          <w:lang w:eastAsia="ru-RU" w:bidi="ru-RU"/>
        </w:rPr>
        <w:softHyphen/>
        <w:t>купные изделия», т.е. поступавшие со стороны комплектующие. Эта ста</w:t>
      </w:r>
      <w:r w:rsidRPr="00640820">
        <w:rPr>
          <w:rFonts w:ascii="Times New Roman" w:hAnsi="Times New Roman"/>
          <w:color w:val="0070C0"/>
          <w:sz w:val="16"/>
          <w:szCs w:val="16"/>
          <w:lang w:eastAsia="ru-RU" w:bidi="ru-RU"/>
        </w:rPr>
        <w:softHyphen/>
        <w:t>тья составляла в лучшем случае около 20% себестоимости самолёта, но мо</w:t>
      </w:r>
      <w:r w:rsidRPr="00640820">
        <w:rPr>
          <w:rFonts w:ascii="Times New Roman" w:hAnsi="Times New Roman"/>
          <w:color w:val="0070C0"/>
          <w:sz w:val="16"/>
          <w:szCs w:val="16"/>
          <w:lang w:eastAsia="ru-RU" w:bidi="ru-RU"/>
        </w:rPr>
        <w:softHyphen/>
        <w:t>гла подниматься и до 50-60%. На втором месте, как правило, шли затраты на приобретение материалов и полуфабрикатов (порядка 20-30% себестоимо</w:t>
      </w:r>
      <w:r w:rsidRPr="00640820">
        <w:rPr>
          <w:rFonts w:ascii="Times New Roman" w:hAnsi="Times New Roman"/>
          <w:color w:val="0070C0"/>
          <w:sz w:val="16"/>
          <w:szCs w:val="16"/>
          <w:lang w:eastAsia="ru-RU" w:bidi="ru-RU"/>
        </w:rPr>
        <w:softHyphen/>
        <w:t>сти). Но на некоторых заводах, например, № 31 (производство ЛаГГ-3) и 153 (Як-7) на второе место выходили цеховые расходы, включавшие в себя затраты на охрану труда и компенсацию расхода быстроизнашивающегося инвентаря, а также на содержание зданий и инвентаря цехового назначения. Таким образом, следует признать, что собственно зарплата сотрудников в 1941-1942 гг. не игра</w:t>
      </w:r>
      <w:r w:rsidRPr="00640820">
        <w:rPr>
          <w:rFonts w:ascii="Times New Roman" w:hAnsi="Times New Roman"/>
          <w:color w:val="0070C0"/>
          <w:sz w:val="16"/>
          <w:szCs w:val="16"/>
          <w:lang w:eastAsia="ru-RU" w:bidi="ru-RU"/>
        </w:rPr>
        <w:softHyphen/>
        <w:t>ла существенной роли для формирования себестоимости самолётов. На её долю приходилось в среднем от 9 до 13%. В отношении производства моторов картина была ещё более шаблонна: примерно по трети суммы себестоимости приходилось на материалы и цеховые расходы и около 10% - на зарплату. Интересно, что при производстве самолётов в 1941-1942 гг. потери от брака составляли в среднем около 0.7% (за вычетом явно аномального уровня брака на производстве Ил-2 на заводе № 18). Для производства авиамоторов этот показатель соответствовал 6.5% (22646).</w:t>
      </w:r>
    </w:p>
    <w:p w14:paraId="420FF07E" w14:textId="77777777" w:rsidR="006C0E54" w:rsidRPr="00640820" w:rsidRDefault="006C0E54" w:rsidP="00640820">
      <w:pPr>
        <w:spacing w:after="0" w:line="240" w:lineRule="auto"/>
        <w:jc w:val="both"/>
        <w:rPr>
          <w:rFonts w:ascii="Times New Roman" w:hAnsi="Times New Roman"/>
          <w:color w:val="0070C0"/>
          <w:sz w:val="16"/>
          <w:szCs w:val="16"/>
        </w:rPr>
      </w:pPr>
    </w:p>
    <w:p w14:paraId="7889ECF6" w14:textId="77777777" w:rsidR="006C0E54" w:rsidRPr="00640820" w:rsidRDefault="006C0E54" w:rsidP="00640820">
      <w:pPr>
        <w:spacing w:after="0" w:line="240" w:lineRule="auto"/>
        <w:jc w:val="both"/>
        <w:rPr>
          <w:rFonts w:ascii="Times New Roman" w:hAnsi="Times New Roman"/>
          <w:color w:val="0070C0"/>
          <w:sz w:val="16"/>
          <w:szCs w:val="16"/>
          <w:shd w:val="clear" w:color="auto" w:fill="FFFFFF"/>
        </w:rPr>
      </w:pPr>
      <w:r w:rsidRPr="00640820">
        <w:rPr>
          <w:rFonts w:ascii="Times New Roman" w:hAnsi="Times New Roman"/>
          <w:color w:val="0070C0"/>
          <w:sz w:val="16"/>
          <w:szCs w:val="16"/>
          <w:shd w:val="clear" w:color="auto" w:fill="FFFFFF"/>
        </w:rPr>
        <w:t>1941</w:t>
      </w:r>
    </w:p>
    <w:p w14:paraId="5E548304"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shd w:val="clear" w:color="auto" w:fill="FFFFFF"/>
        </w:rPr>
        <w:t>Нормы расхода ЛКМ при ремонте ПС-9 (АНТ-9) на 1941 год:</w:t>
      </w:r>
    </w:p>
    <w:tbl>
      <w:tblPr>
        <w:tblOverlap w:val="never"/>
        <w:tblW w:w="102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605"/>
        <w:gridCol w:w="3825"/>
        <w:gridCol w:w="1170"/>
        <w:gridCol w:w="1170"/>
        <w:gridCol w:w="1170"/>
        <w:gridCol w:w="1170"/>
        <w:gridCol w:w="1170"/>
      </w:tblGrid>
      <w:tr w:rsidR="006C0E54" w:rsidRPr="00640820" w14:paraId="364637C2" w14:textId="77777777" w:rsidTr="007609C9">
        <w:trPr>
          <w:trHeight w:val="1570"/>
        </w:trPr>
        <w:tc>
          <w:tcPr>
            <w:tcW w:w="605" w:type="dxa"/>
            <w:shd w:val="clear" w:color="auto" w:fill="auto"/>
            <w:textDirection w:val="btLr"/>
          </w:tcPr>
          <w:p w14:paraId="6B330EC9"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 П|П.</w:t>
            </w:r>
            <w:r w:rsidRPr="00640820">
              <w:rPr>
                <w:rFonts w:ascii="Times New Roman" w:hAnsi="Times New Roman"/>
                <w:color w:val="0070C0"/>
                <w:sz w:val="16"/>
                <w:szCs w:val="16"/>
              </w:rPr>
              <w:tab/>
              <w:t>1</w:t>
            </w:r>
          </w:p>
        </w:tc>
        <w:tc>
          <w:tcPr>
            <w:tcW w:w="3825" w:type="dxa"/>
            <w:shd w:val="clear" w:color="auto" w:fill="auto"/>
            <w:vAlign w:val="center"/>
          </w:tcPr>
          <w:p w14:paraId="20CB2929"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Наименование материала</w:t>
            </w:r>
          </w:p>
        </w:tc>
        <w:tc>
          <w:tcPr>
            <w:tcW w:w="1170" w:type="dxa"/>
            <w:shd w:val="clear" w:color="auto" w:fill="auto"/>
            <w:vAlign w:val="center"/>
          </w:tcPr>
          <w:p w14:paraId="2CF6D25A"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Марка</w:t>
            </w:r>
          </w:p>
        </w:tc>
        <w:tc>
          <w:tcPr>
            <w:tcW w:w="1170" w:type="dxa"/>
            <w:shd w:val="clear" w:color="auto" w:fill="auto"/>
            <w:textDirection w:val="btLr"/>
          </w:tcPr>
          <w:p w14:paraId="13F092FA"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Единица измерения</w:t>
            </w:r>
          </w:p>
        </w:tc>
        <w:tc>
          <w:tcPr>
            <w:tcW w:w="1170" w:type="dxa"/>
            <w:shd w:val="clear" w:color="auto" w:fill="auto"/>
            <w:textDirection w:val="btLr"/>
          </w:tcPr>
          <w:p w14:paraId="0F4330DA"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Утвержденная норма на 1940—1941 гг.</w:t>
            </w:r>
          </w:p>
        </w:tc>
        <w:tc>
          <w:tcPr>
            <w:tcW w:w="1170" w:type="dxa"/>
            <w:shd w:val="clear" w:color="auto" w:fill="auto"/>
            <w:textDirection w:val="btLr"/>
          </w:tcPr>
          <w:p w14:paraId="1FB5DF3C"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Цена за еди</w:t>
            </w:r>
            <w:r w:rsidRPr="00640820">
              <w:rPr>
                <w:rFonts w:ascii="Times New Roman" w:hAnsi="Times New Roman"/>
                <w:color w:val="0070C0"/>
                <w:sz w:val="16"/>
                <w:szCs w:val="16"/>
              </w:rPr>
              <w:softHyphen/>
              <w:t>ницу измере</w:t>
            </w:r>
            <w:r w:rsidRPr="00640820">
              <w:rPr>
                <w:rFonts w:ascii="Times New Roman" w:hAnsi="Times New Roman"/>
                <w:color w:val="0070C0"/>
                <w:sz w:val="16"/>
                <w:szCs w:val="16"/>
              </w:rPr>
              <w:softHyphen/>
              <w:t>ния, руб., коп</w:t>
            </w:r>
          </w:p>
        </w:tc>
        <w:tc>
          <w:tcPr>
            <w:tcW w:w="1170" w:type="dxa"/>
            <w:shd w:val="clear" w:color="auto" w:fill="auto"/>
            <w:textDirection w:val="btLr"/>
          </w:tcPr>
          <w:p w14:paraId="1F41B194"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Сумма, руб., коп.</w:t>
            </w:r>
          </w:p>
        </w:tc>
      </w:tr>
      <w:tr w:rsidR="006C0E54" w:rsidRPr="00640820" w14:paraId="1D0F0933" w14:textId="77777777" w:rsidTr="007609C9">
        <w:trPr>
          <w:trHeight w:val="1040"/>
        </w:trPr>
        <w:tc>
          <w:tcPr>
            <w:tcW w:w="605" w:type="dxa"/>
            <w:shd w:val="clear" w:color="auto" w:fill="auto"/>
            <w:vAlign w:val="bottom"/>
          </w:tcPr>
          <w:p w14:paraId="3ED5E1C5"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w:t>
            </w:r>
          </w:p>
        </w:tc>
        <w:tc>
          <w:tcPr>
            <w:tcW w:w="3825" w:type="dxa"/>
            <w:shd w:val="clear" w:color="auto" w:fill="auto"/>
            <w:vAlign w:val="bottom"/>
          </w:tcPr>
          <w:p w14:paraId="2E4329AB"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Краски:</w:t>
            </w:r>
          </w:p>
          <w:p w14:paraId="61A25C90"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Эмаль коричневая</w:t>
            </w:r>
          </w:p>
        </w:tc>
        <w:tc>
          <w:tcPr>
            <w:tcW w:w="1170" w:type="dxa"/>
            <w:shd w:val="clear" w:color="auto" w:fill="auto"/>
            <w:vAlign w:val="bottom"/>
          </w:tcPr>
          <w:p w14:paraId="2CC5D92E"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А-8</w:t>
            </w:r>
          </w:p>
        </w:tc>
        <w:tc>
          <w:tcPr>
            <w:tcW w:w="1170" w:type="dxa"/>
            <w:shd w:val="clear" w:color="auto" w:fill="auto"/>
            <w:vAlign w:val="bottom"/>
          </w:tcPr>
          <w:p w14:paraId="3D297D86"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кг</w:t>
            </w:r>
          </w:p>
        </w:tc>
        <w:tc>
          <w:tcPr>
            <w:tcW w:w="1170" w:type="dxa"/>
            <w:shd w:val="clear" w:color="auto" w:fill="auto"/>
            <w:vAlign w:val="bottom"/>
          </w:tcPr>
          <w:p w14:paraId="7BC13FEA"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2,0</w:t>
            </w:r>
          </w:p>
        </w:tc>
        <w:tc>
          <w:tcPr>
            <w:tcW w:w="1170" w:type="dxa"/>
            <w:shd w:val="clear" w:color="auto" w:fill="auto"/>
            <w:vAlign w:val="bottom"/>
          </w:tcPr>
          <w:p w14:paraId="3FBDE3BA"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5.00</w:t>
            </w:r>
          </w:p>
        </w:tc>
        <w:tc>
          <w:tcPr>
            <w:tcW w:w="1170" w:type="dxa"/>
            <w:shd w:val="clear" w:color="auto" w:fill="auto"/>
            <w:vAlign w:val="bottom"/>
          </w:tcPr>
          <w:p w14:paraId="72D629D0"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10.00</w:t>
            </w:r>
          </w:p>
        </w:tc>
      </w:tr>
      <w:tr w:rsidR="006C0E54" w:rsidRPr="00640820" w14:paraId="744C1FB2" w14:textId="77777777" w:rsidTr="007609C9">
        <w:trPr>
          <w:trHeight w:val="210"/>
        </w:trPr>
        <w:tc>
          <w:tcPr>
            <w:tcW w:w="605" w:type="dxa"/>
            <w:shd w:val="clear" w:color="auto" w:fill="auto"/>
            <w:vAlign w:val="bottom"/>
          </w:tcPr>
          <w:p w14:paraId="64E0AE16"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w:t>
            </w:r>
          </w:p>
        </w:tc>
        <w:tc>
          <w:tcPr>
            <w:tcW w:w="3825" w:type="dxa"/>
            <w:shd w:val="clear" w:color="auto" w:fill="auto"/>
            <w:vAlign w:val="bottom"/>
          </w:tcPr>
          <w:p w14:paraId="1A83638D"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w:t>
            </w:r>
            <w:r w:rsidRPr="00640820">
              <w:rPr>
                <w:rFonts w:ascii="Times New Roman" w:hAnsi="Times New Roman"/>
                <w:color w:val="0070C0"/>
                <w:sz w:val="16"/>
                <w:szCs w:val="16"/>
              </w:rPr>
              <w:tab/>
              <w:t>зеленая</w:t>
            </w:r>
          </w:p>
        </w:tc>
        <w:tc>
          <w:tcPr>
            <w:tcW w:w="1170" w:type="dxa"/>
            <w:shd w:val="clear" w:color="auto" w:fill="auto"/>
            <w:vAlign w:val="bottom"/>
          </w:tcPr>
          <w:p w14:paraId="3D8EDEBB"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А-7</w:t>
            </w:r>
          </w:p>
        </w:tc>
        <w:tc>
          <w:tcPr>
            <w:tcW w:w="1170" w:type="dxa"/>
            <w:shd w:val="clear" w:color="auto" w:fill="auto"/>
            <w:vAlign w:val="bottom"/>
          </w:tcPr>
          <w:p w14:paraId="2D0382DA"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w:t>
            </w:r>
          </w:p>
        </w:tc>
        <w:tc>
          <w:tcPr>
            <w:tcW w:w="1170" w:type="dxa"/>
            <w:shd w:val="clear" w:color="auto" w:fill="auto"/>
            <w:vAlign w:val="bottom"/>
          </w:tcPr>
          <w:p w14:paraId="7ABFB3A4"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2,0</w:t>
            </w:r>
          </w:p>
        </w:tc>
        <w:tc>
          <w:tcPr>
            <w:tcW w:w="1170" w:type="dxa"/>
            <w:shd w:val="clear" w:color="auto" w:fill="auto"/>
            <w:vAlign w:val="bottom"/>
          </w:tcPr>
          <w:p w14:paraId="275BA19A"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5.00</w:t>
            </w:r>
          </w:p>
        </w:tc>
        <w:tc>
          <w:tcPr>
            <w:tcW w:w="1170" w:type="dxa"/>
            <w:shd w:val="clear" w:color="auto" w:fill="auto"/>
            <w:vAlign w:val="bottom"/>
          </w:tcPr>
          <w:p w14:paraId="015350B7"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10.00</w:t>
            </w:r>
          </w:p>
        </w:tc>
      </w:tr>
      <w:tr w:rsidR="006C0E54" w:rsidRPr="00640820" w14:paraId="1DABE20F" w14:textId="77777777" w:rsidTr="007609C9">
        <w:trPr>
          <w:trHeight w:val="290"/>
        </w:trPr>
        <w:tc>
          <w:tcPr>
            <w:tcW w:w="605" w:type="dxa"/>
            <w:shd w:val="clear" w:color="auto" w:fill="auto"/>
            <w:vAlign w:val="bottom"/>
          </w:tcPr>
          <w:p w14:paraId="2768D7BE"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3</w:t>
            </w:r>
          </w:p>
        </w:tc>
        <w:tc>
          <w:tcPr>
            <w:tcW w:w="3825" w:type="dxa"/>
            <w:shd w:val="clear" w:color="auto" w:fill="auto"/>
            <w:vAlign w:val="bottom"/>
          </w:tcPr>
          <w:p w14:paraId="7C295E93"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w:t>
            </w:r>
            <w:r w:rsidRPr="00640820">
              <w:rPr>
                <w:rFonts w:ascii="Times New Roman" w:hAnsi="Times New Roman"/>
                <w:color w:val="0070C0"/>
                <w:sz w:val="16"/>
                <w:szCs w:val="16"/>
              </w:rPr>
              <w:tab/>
              <w:t>черная</w:t>
            </w:r>
          </w:p>
        </w:tc>
        <w:tc>
          <w:tcPr>
            <w:tcW w:w="1170" w:type="dxa"/>
            <w:shd w:val="clear" w:color="auto" w:fill="auto"/>
            <w:vAlign w:val="bottom"/>
          </w:tcPr>
          <w:p w14:paraId="5A1E2357"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А-12</w:t>
            </w:r>
          </w:p>
        </w:tc>
        <w:tc>
          <w:tcPr>
            <w:tcW w:w="1170" w:type="dxa"/>
            <w:shd w:val="clear" w:color="auto" w:fill="auto"/>
            <w:vAlign w:val="bottom"/>
          </w:tcPr>
          <w:p w14:paraId="513E96D9"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w:t>
            </w:r>
          </w:p>
        </w:tc>
        <w:tc>
          <w:tcPr>
            <w:tcW w:w="1170" w:type="dxa"/>
            <w:shd w:val="clear" w:color="auto" w:fill="auto"/>
            <w:vAlign w:val="bottom"/>
          </w:tcPr>
          <w:p w14:paraId="692DDF4B"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2,0</w:t>
            </w:r>
          </w:p>
        </w:tc>
        <w:tc>
          <w:tcPr>
            <w:tcW w:w="1170" w:type="dxa"/>
            <w:shd w:val="clear" w:color="auto" w:fill="auto"/>
            <w:vAlign w:val="bottom"/>
          </w:tcPr>
          <w:p w14:paraId="1FDC1FA2"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4.90</w:t>
            </w:r>
          </w:p>
        </w:tc>
        <w:tc>
          <w:tcPr>
            <w:tcW w:w="1170" w:type="dxa"/>
            <w:shd w:val="clear" w:color="auto" w:fill="auto"/>
            <w:vAlign w:val="bottom"/>
          </w:tcPr>
          <w:p w14:paraId="5AB64618"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9.80</w:t>
            </w:r>
          </w:p>
        </w:tc>
      </w:tr>
      <w:tr w:rsidR="006C0E54" w:rsidRPr="00640820" w14:paraId="66949A50" w14:textId="77777777" w:rsidTr="007609C9">
        <w:trPr>
          <w:trHeight w:val="220"/>
        </w:trPr>
        <w:tc>
          <w:tcPr>
            <w:tcW w:w="605" w:type="dxa"/>
            <w:shd w:val="clear" w:color="auto" w:fill="auto"/>
          </w:tcPr>
          <w:p w14:paraId="660C1D08"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4</w:t>
            </w:r>
          </w:p>
        </w:tc>
        <w:tc>
          <w:tcPr>
            <w:tcW w:w="3825" w:type="dxa"/>
            <w:shd w:val="clear" w:color="auto" w:fill="auto"/>
          </w:tcPr>
          <w:p w14:paraId="79C2B5F6"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w:t>
            </w:r>
            <w:r w:rsidRPr="00640820">
              <w:rPr>
                <w:rFonts w:ascii="Times New Roman" w:hAnsi="Times New Roman"/>
                <w:color w:val="0070C0"/>
                <w:sz w:val="16"/>
                <w:szCs w:val="16"/>
              </w:rPr>
              <w:tab/>
              <w:t>защитная</w:t>
            </w:r>
          </w:p>
        </w:tc>
        <w:tc>
          <w:tcPr>
            <w:tcW w:w="1170" w:type="dxa"/>
            <w:shd w:val="clear" w:color="auto" w:fill="auto"/>
          </w:tcPr>
          <w:p w14:paraId="3DCB9A73"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АЗ-7</w:t>
            </w:r>
          </w:p>
        </w:tc>
        <w:tc>
          <w:tcPr>
            <w:tcW w:w="1170" w:type="dxa"/>
            <w:shd w:val="clear" w:color="auto" w:fill="auto"/>
          </w:tcPr>
          <w:p w14:paraId="46F0FFD3"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w:t>
            </w:r>
          </w:p>
        </w:tc>
        <w:tc>
          <w:tcPr>
            <w:tcW w:w="1170" w:type="dxa"/>
            <w:shd w:val="clear" w:color="auto" w:fill="auto"/>
            <w:vAlign w:val="bottom"/>
          </w:tcPr>
          <w:p w14:paraId="26931786"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2,0</w:t>
            </w:r>
          </w:p>
        </w:tc>
        <w:tc>
          <w:tcPr>
            <w:tcW w:w="1170" w:type="dxa"/>
            <w:shd w:val="clear" w:color="auto" w:fill="auto"/>
            <w:vAlign w:val="bottom"/>
          </w:tcPr>
          <w:p w14:paraId="73FA294C"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5.00</w:t>
            </w:r>
          </w:p>
        </w:tc>
        <w:tc>
          <w:tcPr>
            <w:tcW w:w="1170" w:type="dxa"/>
            <w:shd w:val="clear" w:color="auto" w:fill="auto"/>
            <w:vAlign w:val="bottom"/>
          </w:tcPr>
          <w:p w14:paraId="5F0F3C99"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10.00</w:t>
            </w:r>
          </w:p>
        </w:tc>
      </w:tr>
      <w:tr w:rsidR="006C0E54" w:rsidRPr="00640820" w14:paraId="2C3373A8" w14:textId="77777777" w:rsidTr="007609C9">
        <w:trPr>
          <w:trHeight w:val="230"/>
        </w:trPr>
        <w:tc>
          <w:tcPr>
            <w:tcW w:w="605" w:type="dxa"/>
            <w:shd w:val="clear" w:color="auto" w:fill="auto"/>
            <w:vAlign w:val="bottom"/>
          </w:tcPr>
          <w:p w14:paraId="6DF0DC01"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5</w:t>
            </w:r>
          </w:p>
        </w:tc>
        <w:tc>
          <w:tcPr>
            <w:tcW w:w="3825" w:type="dxa"/>
            <w:shd w:val="clear" w:color="auto" w:fill="auto"/>
            <w:vAlign w:val="bottom"/>
          </w:tcPr>
          <w:p w14:paraId="4C35169C"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w:t>
            </w:r>
            <w:r w:rsidRPr="00640820">
              <w:rPr>
                <w:rFonts w:ascii="Times New Roman" w:hAnsi="Times New Roman"/>
                <w:color w:val="0070C0"/>
                <w:sz w:val="16"/>
                <w:szCs w:val="16"/>
              </w:rPr>
              <w:tab/>
              <w:t>желтая</w:t>
            </w:r>
          </w:p>
        </w:tc>
        <w:tc>
          <w:tcPr>
            <w:tcW w:w="1170" w:type="dxa"/>
            <w:shd w:val="clear" w:color="auto" w:fill="auto"/>
            <w:vAlign w:val="bottom"/>
          </w:tcPr>
          <w:p w14:paraId="2BB14F71"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А-6</w:t>
            </w:r>
          </w:p>
        </w:tc>
        <w:tc>
          <w:tcPr>
            <w:tcW w:w="1170" w:type="dxa"/>
            <w:shd w:val="clear" w:color="auto" w:fill="auto"/>
          </w:tcPr>
          <w:p w14:paraId="4C4163B0"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w:t>
            </w:r>
          </w:p>
        </w:tc>
        <w:tc>
          <w:tcPr>
            <w:tcW w:w="1170" w:type="dxa"/>
            <w:shd w:val="clear" w:color="auto" w:fill="auto"/>
            <w:vAlign w:val="bottom"/>
          </w:tcPr>
          <w:p w14:paraId="039A3547"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3,0</w:t>
            </w:r>
          </w:p>
        </w:tc>
        <w:tc>
          <w:tcPr>
            <w:tcW w:w="1170" w:type="dxa"/>
            <w:shd w:val="clear" w:color="auto" w:fill="auto"/>
            <w:vAlign w:val="bottom"/>
          </w:tcPr>
          <w:p w14:paraId="4DFA8C34"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5.00</w:t>
            </w:r>
          </w:p>
        </w:tc>
        <w:tc>
          <w:tcPr>
            <w:tcW w:w="1170" w:type="dxa"/>
            <w:shd w:val="clear" w:color="auto" w:fill="auto"/>
            <w:vAlign w:val="bottom"/>
          </w:tcPr>
          <w:p w14:paraId="1FE19590"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15.00</w:t>
            </w:r>
          </w:p>
        </w:tc>
      </w:tr>
      <w:tr w:rsidR="006C0E54" w:rsidRPr="00640820" w14:paraId="4BA24426" w14:textId="77777777" w:rsidTr="007609C9">
        <w:trPr>
          <w:trHeight w:val="245"/>
        </w:trPr>
        <w:tc>
          <w:tcPr>
            <w:tcW w:w="605" w:type="dxa"/>
            <w:shd w:val="clear" w:color="auto" w:fill="auto"/>
            <w:vAlign w:val="bottom"/>
          </w:tcPr>
          <w:p w14:paraId="4CE8AC4D"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6</w:t>
            </w:r>
          </w:p>
        </w:tc>
        <w:tc>
          <w:tcPr>
            <w:tcW w:w="3825" w:type="dxa"/>
            <w:shd w:val="clear" w:color="auto" w:fill="auto"/>
            <w:vAlign w:val="bottom"/>
          </w:tcPr>
          <w:p w14:paraId="1526EFA0"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w:t>
            </w:r>
            <w:r w:rsidRPr="00640820">
              <w:rPr>
                <w:rFonts w:ascii="Times New Roman" w:hAnsi="Times New Roman"/>
                <w:color w:val="0070C0"/>
                <w:sz w:val="16"/>
                <w:szCs w:val="16"/>
              </w:rPr>
              <w:tab/>
              <w:t>стальная</w:t>
            </w:r>
          </w:p>
        </w:tc>
        <w:tc>
          <w:tcPr>
            <w:tcW w:w="1170" w:type="dxa"/>
            <w:shd w:val="clear" w:color="auto" w:fill="auto"/>
            <w:vAlign w:val="bottom"/>
          </w:tcPr>
          <w:p w14:paraId="11C384F3"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А-14</w:t>
            </w:r>
          </w:p>
        </w:tc>
        <w:tc>
          <w:tcPr>
            <w:tcW w:w="1170" w:type="dxa"/>
            <w:shd w:val="clear" w:color="auto" w:fill="auto"/>
          </w:tcPr>
          <w:p w14:paraId="14D01E1F"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w:t>
            </w:r>
          </w:p>
        </w:tc>
        <w:tc>
          <w:tcPr>
            <w:tcW w:w="1170" w:type="dxa"/>
            <w:shd w:val="clear" w:color="auto" w:fill="auto"/>
            <w:vAlign w:val="bottom"/>
          </w:tcPr>
          <w:p w14:paraId="0F203573"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30.0</w:t>
            </w:r>
          </w:p>
        </w:tc>
        <w:tc>
          <w:tcPr>
            <w:tcW w:w="1170" w:type="dxa"/>
            <w:shd w:val="clear" w:color="auto" w:fill="auto"/>
            <w:vAlign w:val="bottom"/>
          </w:tcPr>
          <w:p w14:paraId="61AF3A5E"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3.80</w:t>
            </w:r>
          </w:p>
        </w:tc>
        <w:tc>
          <w:tcPr>
            <w:tcW w:w="1170" w:type="dxa"/>
            <w:shd w:val="clear" w:color="auto" w:fill="auto"/>
            <w:vAlign w:val="bottom"/>
          </w:tcPr>
          <w:p w14:paraId="1A5F0DD4"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114.00</w:t>
            </w:r>
          </w:p>
        </w:tc>
      </w:tr>
      <w:tr w:rsidR="006C0E54" w:rsidRPr="00640820" w14:paraId="01F7B854" w14:textId="77777777" w:rsidTr="007609C9">
        <w:trPr>
          <w:trHeight w:val="280"/>
        </w:trPr>
        <w:tc>
          <w:tcPr>
            <w:tcW w:w="605" w:type="dxa"/>
            <w:shd w:val="clear" w:color="auto" w:fill="auto"/>
            <w:vAlign w:val="bottom"/>
          </w:tcPr>
          <w:p w14:paraId="2B1D403F"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7</w:t>
            </w:r>
          </w:p>
        </w:tc>
        <w:tc>
          <w:tcPr>
            <w:tcW w:w="3825" w:type="dxa"/>
            <w:shd w:val="clear" w:color="auto" w:fill="auto"/>
            <w:vAlign w:val="bottom"/>
          </w:tcPr>
          <w:p w14:paraId="1C366D95"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Краска масляная светлосерая</w:t>
            </w:r>
          </w:p>
        </w:tc>
        <w:tc>
          <w:tcPr>
            <w:tcW w:w="1170" w:type="dxa"/>
            <w:shd w:val="clear" w:color="auto" w:fill="auto"/>
            <w:vAlign w:val="bottom"/>
          </w:tcPr>
          <w:p w14:paraId="6F16A58C"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СБ</w:t>
            </w:r>
          </w:p>
        </w:tc>
        <w:tc>
          <w:tcPr>
            <w:tcW w:w="1170" w:type="dxa"/>
            <w:shd w:val="clear" w:color="auto" w:fill="auto"/>
          </w:tcPr>
          <w:p w14:paraId="52D9E372"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w:t>
            </w:r>
          </w:p>
        </w:tc>
        <w:tc>
          <w:tcPr>
            <w:tcW w:w="1170" w:type="dxa"/>
            <w:shd w:val="clear" w:color="auto" w:fill="auto"/>
            <w:vAlign w:val="bottom"/>
          </w:tcPr>
          <w:p w14:paraId="0BF7625C"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25,0</w:t>
            </w:r>
          </w:p>
        </w:tc>
        <w:tc>
          <w:tcPr>
            <w:tcW w:w="1170" w:type="dxa"/>
            <w:shd w:val="clear" w:color="auto" w:fill="auto"/>
            <w:vAlign w:val="bottom"/>
          </w:tcPr>
          <w:p w14:paraId="2C852403"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5.38</w:t>
            </w:r>
          </w:p>
        </w:tc>
        <w:tc>
          <w:tcPr>
            <w:tcW w:w="1170" w:type="dxa"/>
            <w:shd w:val="clear" w:color="auto" w:fill="auto"/>
            <w:vAlign w:val="bottom"/>
          </w:tcPr>
          <w:p w14:paraId="0AC35099"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134.50</w:t>
            </w:r>
          </w:p>
        </w:tc>
      </w:tr>
      <w:tr w:rsidR="006C0E54" w:rsidRPr="00640820" w14:paraId="71CEE94E" w14:textId="77777777" w:rsidTr="007609C9">
        <w:trPr>
          <w:trHeight w:val="250"/>
        </w:trPr>
        <w:tc>
          <w:tcPr>
            <w:tcW w:w="605" w:type="dxa"/>
            <w:shd w:val="clear" w:color="auto" w:fill="auto"/>
            <w:vAlign w:val="bottom"/>
          </w:tcPr>
          <w:p w14:paraId="17673194"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lastRenderedPageBreak/>
              <w:t>8</w:t>
            </w:r>
          </w:p>
        </w:tc>
        <w:tc>
          <w:tcPr>
            <w:tcW w:w="3825" w:type="dxa"/>
            <w:shd w:val="clear" w:color="auto" w:fill="auto"/>
            <w:vAlign w:val="bottom"/>
          </w:tcPr>
          <w:p w14:paraId="6CE5C40C"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w:t>
            </w:r>
            <w:r w:rsidRPr="00640820">
              <w:rPr>
                <w:rFonts w:ascii="Times New Roman" w:hAnsi="Times New Roman"/>
                <w:color w:val="0070C0"/>
                <w:sz w:val="16"/>
                <w:szCs w:val="16"/>
              </w:rPr>
              <w:tab/>
              <w:t>темносерая</w:t>
            </w:r>
          </w:p>
        </w:tc>
        <w:tc>
          <w:tcPr>
            <w:tcW w:w="1170" w:type="dxa"/>
            <w:shd w:val="clear" w:color="auto" w:fill="auto"/>
          </w:tcPr>
          <w:p w14:paraId="459EE390"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w:t>
            </w:r>
          </w:p>
        </w:tc>
        <w:tc>
          <w:tcPr>
            <w:tcW w:w="1170" w:type="dxa"/>
            <w:shd w:val="clear" w:color="auto" w:fill="auto"/>
            <w:vAlign w:val="bottom"/>
          </w:tcPr>
          <w:p w14:paraId="7B8CF808"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w:t>
            </w:r>
          </w:p>
        </w:tc>
        <w:tc>
          <w:tcPr>
            <w:tcW w:w="1170" w:type="dxa"/>
            <w:shd w:val="clear" w:color="auto" w:fill="auto"/>
            <w:vAlign w:val="bottom"/>
          </w:tcPr>
          <w:p w14:paraId="6A143A3F"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8,0</w:t>
            </w:r>
          </w:p>
        </w:tc>
        <w:tc>
          <w:tcPr>
            <w:tcW w:w="1170" w:type="dxa"/>
            <w:shd w:val="clear" w:color="auto" w:fill="auto"/>
            <w:vAlign w:val="bottom"/>
          </w:tcPr>
          <w:p w14:paraId="250B8018"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5.38</w:t>
            </w:r>
          </w:p>
        </w:tc>
        <w:tc>
          <w:tcPr>
            <w:tcW w:w="1170" w:type="dxa"/>
            <w:shd w:val="clear" w:color="auto" w:fill="auto"/>
            <w:vAlign w:val="bottom"/>
          </w:tcPr>
          <w:p w14:paraId="453DE033"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43.04</w:t>
            </w:r>
          </w:p>
        </w:tc>
      </w:tr>
      <w:tr w:rsidR="006C0E54" w:rsidRPr="00640820" w14:paraId="226FDBF9" w14:textId="77777777" w:rsidTr="007609C9">
        <w:trPr>
          <w:trHeight w:val="240"/>
        </w:trPr>
        <w:tc>
          <w:tcPr>
            <w:tcW w:w="605" w:type="dxa"/>
            <w:shd w:val="clear" w:color="auto" w:fill="auto"/>
            <w:vAlign w:val="bottom"/>
          </w:tcPr>
          <w:p w14:paraId="29D93AF1"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9</w:t>
            </w:r>
          </w:p>
        </w:tc>
        <w:tc>
          <w:tcPr>
            <w:tcW w:w="3825" w:type="dxa"/>
            <w:shd w:val="clear" w:color="auto" w:fill="auto"/>
            <w:vAlign w:val="bottom"/>
          </w:tcPr>
          <w:p w14:paraId="0DB6EEB8"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w:t>
            </w:r>
            <w:r w:rsidRPr="00640820">
              <w:rPr>
                <w:rFonts w:ascii="Times New Roman" w:hAnsi="Times New Roman"/>
                <w:color w:val="0070C0"/>
                <w:sz w:val="16"/>
                <w:szCs w:val="16"/>
              </w:rPr>
              <w:tab/>
              <w:t>черная</w:t>
            </w:r>
          </w:p>
        </w:tc>
        <w:tc>
          <w:tcPr>
            <w:tcW w:w="1170" w:type="dxa"/>
            <w:shd w:val="clear" w:color="auto" w:fill="auto"/>
            <w:vAlign w:val="bottom"/>
          </w:tcPr>
          <w:p w14:paraId="3DF0C10A"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w:t>
            </w:r>
          </w:p>
        </w:tc>
        <w:tc>
          <w:tcPr>
            <w:tcW w:w="1170" w:type="dxa"/>
            <w:shd w:val="clear" w:color="auto" w:fill="auto"/>
            <w:vAlign w:val="bottom"/>
          </w:tcPr>
          <w:p w14:paraId="582A7F50"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w:t>
            </w:r>
          </w:p>
        </w:tc>
        <w:tc>
          <w:tcPr>
            <w:tcW w:w="1170" w:type="dxa"/>
            <w:shd w:val="clear" w:color="auto" w:fill="auto"/>
            <w:vAlign w:val="bottom"/>
          </w:tcPr>
          <w:p w14:paraId="7163025E"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2,0</w:t>
            </w:r>
          </w:p>
        </w:tc>
        <w:tc>
          <w:tcPr>
            <w:tcW w:w="1170" w:type="dxa"/>
            <w:shd w:val="clear" w:color="auto" w:fill="auto"/>
            <w:vAlign w:val="bottom"/>
          </w:tcPr>
          <w:p w14:paraId="7E5EB5F9"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6.15</w:t>
            </w:r>
          </w:p>
        </w:tc>
        <w:tc>
          <w:tcPr>
            <w:tcW w:w="1170" w:type="dxa"/>
            <w:shd w:val="clear" w:color="auto" w:fill="auto"/>
            <w:vAlign w:val="bottom"/>
          </w:tcPr>
          <w:p w14:paraId="12780BF8"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12.30</w:t>
            </w:r>
          </w:p>
        </w:tc>
      </w:tr>
      <w:tr w:rsidR="006C0E54" w:rsidRPr="00640820" w14:paraId="15A6CE12" w14:textId="77777777" w:rsidTr="007609C9">
        <w:trPr>
          <w:trHeight w:val="245"/>
        </w:trPr>
        <w:tc>
          <w:tcPr>
            <w:tcW w:w="605" w:type="dxa"/>
            <w:shd w:val="clear" w:color="auto" w:fill="auto"/>
            <w:vAlign w:val="bottom"/>
          </w:tcPr>
          <w:p w14:paraId="38569FBF"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Ю</w:t>
            </w:r>
          </w:p>
        </w:tc>
        <w:tc>
          <w:tcPr>
            <w:tcW w:w="3825" w:type="dxa"/>
            <w:shd w:val="clear" w:color="auto" w:fill="auto"/>
            <w:vAlign w:val="bottom"/>
          </w:tcPr>
          <w:p w14:paraId="6E3B3661"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w:t>
            </w:r>
            <w:r w:rsidRPr="00640820">
              <w:rPr>
                <w:rFonts w:ascii="Times New Roman" w:hAnsi="Times New Roman"/>
                <w:color w:val="0070C0"/>
                <w:sz w:val="16"/>
                <w:szCs w:val="16"/>
              </w:rPr>
              <w:tab/>
              <w:t>желтая</w:t>
            </w:r>
          </w:p>
        </w:tc>
        <w:tc>
          <w:tcPr>
            <w:tcW w:w="1170" w:type="dxa"/>
            <w:shd w:val="clear" w:color="auto" w:fill="auto"/>
            <w:vAlign w:val="bottom"/>
          </w:tcPr>
          <w:p w14:paraId="70A218D4"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w:t>
            </w:r>
          </w:p>
        </w:tc>
        <w:tc>
          <w:tcPr>
            <w:tcW w:w="1170" w:type="dxa"/>
            <w:shd w:val="clear" w:color="auto" w:fill="auto"/>
          </w:tcPr>
          <w:p w14:paraId="159F64F2"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w:t>
            </w:r>
          </w:p>
        </w:tc>
        <w:tc>
          <w:tcPr>
            <w:tcW w:w="1170" w:type="dxa"/>
            <w:shd w:val="clear" w:color="auto" w:fill="auto"/>
            <w:vAlign w:val="bottom"/>
          </w:tcPr>
          <w:p w14:paraId="1EF048FF"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3,0</w:t>
            </w:r>
          </w:p>
        </w:tc>
        <w:tc>
          <w:tcPr>
            <w:tcW w:w="1170" w:type="dxa"/>
            <w:shd w:val="clear" w:color="auto" w:fill="auto"/>
            <w:vAlign w:val="bottom"/>
          </w:tcPr>
          <w:p w14:paraId="032D1124"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5.85</w:t>
            </w:r>
          </w:p>
        </w:tc>
        <w:tc>
          <w:tcPr>
            <w:tcW w:w="1170" w:type="dxa"/>
            <w:shd w:val="clear" w:color="auto" w:fill="auto"/>
            <w:vAlign w:val="bottom"/>
          </w:tcPr>
          <w:p w14:paraId="72F755E3"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17.55</w:t>
            </w:r>
          </w:p>
        </w:tc>
      </w:tr>
      <w:tr w:rsidR="006C0E54" w:rsidRPr="00640820" w14:paraId="3FC9C6F8" w14:textId="77777777" w:rsidTr="007609C9">
        <w:trPr>
          <w:trHeight w:val="220"/>
        </w:trPr>
        <w:tc>
          <w:tcPr>
            <w:tcW w:w="605" w:type="dxa"/>
            <w:shd w:val="clear" w:color="auto" w:fill="auto"/>
            <w:vAlign w:val="bottom"/>
          </w:tcPr>
          <w:p w14:paraId="3B3C429C"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11</w:t>
            </w:r>
          </w:p>
        </w:tc>
        <w:tc>
          <w:tcPr>
            <w:tcW w:w="3825" w:type="dxa"/>
            <w:shd w:val="clear" w:color="auto" w:fill="auto"/>
            <w:vAlign w:val="bottom"/>
          </w:tcPr>
          <w:p w14:paraId="11D42BBF"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w:t>
            </w:r>
            <w:r w:rsidRPr="00640820">
              <w:rPr>
                <w:rFonts w:ascii="Times New Roman" w:hAnsi="Times New Roman"/>
                <w:color w:val="0070C0"/>
                <w:sz w:val="16"/>
                <w:szCs w:val="16"/>
              </w:rPr>
              <w:tab/>
              <w:t>синяя</w:t>
            </w:r>
          </w:p>
        </w:tc>
        <w:tc>
          <w:tcPr>
            <w:tcW w:w="1170" w:type="dxa"/>
            <w:shd w:val="clear" w:color="auto" w:fill="auto"/>
            <w:vAlign w:val="bottom"/>
          </w:tcPr>
          <w:p w14:paraId="139F0665"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w:t>
            </w:r>
          </w:p>
        </w:tc>
        <w:tc>
          <w:tcPr>
            <w:tcW w:w="1170" w:type="dxa"/>
            <w:shd w:val="clear" w:color="auto" w:fill="auto"/>
          </w:tcPr>
          <w:p w14:paraId="56C51985"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w:t>
            </w:r>
          </w:p>
        </w:tc>
        <w:tc>
          <w:tcPr>
            <w:tcW w:w="1170" w:type="dxa"/>
            <w:shd w:val="clear" w:color="auto" w:fill="auto"/>
            <w:vAlign w:val="bottom"/>
          </w:tcPr>
          <w:p w14:paraId="6270F26F"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2,0</w:t>
            </w:r>
          </w:p>
        </w:tc>
        <w:tc>
          <w:tcPr>
            <w:tcW w:w="1170" w:type="dxa"/>
            <w:shd w:val="clear" w:color="auto" w:fill="auto"/>
            <w:vAlign w:val="bottom"/>
          </w:tcPr>
          <w:p w14:paraId="2211747A"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6.80</w:t>
            </w:r>
          </w:p>
        </w:tc>
        <w:tc>
          <w:tcPr>
            <w:tcW w:w="1170" w:type="dxa"/>
            <w:shd w:val="clear" w:color="auto" w:fill="auto"/>
            <w:vAlign w:val="bottom"/>
          </w:tcPr>
          <w:p w14:paraId="12AE323B"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13.60</w:t>
            </w:r>
          </w:p>
        </w:tc>
      </w:tr>
      <w:tr w:rsidR="006C0E54" w:rsidRPr="00640820" w14:paraId="4B71F088" w14:textId="77777777" w:rsidTr="007609C9">
        <w:trPr>
          <w:trHeight w:val="260"/>
        </w:trPr>
        <w:tc>
          <w:tcPr>
            <w:tcW w:w="605" w:type="dxa"/>
            <w:shd w:val="clear" w:color="auto" w:fill="auto"/>
          </w:tcPr>
          <w:p w14:paraId="3AE2E126"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12</w:t>
            </w:r>
          </w:p>
        </w:tc>
        <w:tc>
          <w:tcPr>
            <w:tcW w:w="3825" w:type="dxa"/>
            <w:shd w:val="clear" w:color="auto" w:fill="auto"/>
          </w:tcPr>
          <w:p w14:paraId="2CE44C77"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Нитроэмаль черная</w:t>
            </w:r>
          </w:p>
        </w:tc>
        <w:tc>
          <w:tcPr>
            <w:tcW w:w="1170" w:type="dxa"/>
            <w:shd w:val="clear" w:color="auto" w:fill="auto"/>
          </w:tcPr>
          <w:p w14:paraId="4D564D04"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ФГ-5</w:t>
            </w:r>
          </w:p>
        </w:tc>
        <w:tc>
          <w:tcPr>
            <w:tcW w:w="1170" w:type="dxa"/>
            <w:shd w:val="clear" w:color="auto" w:fill="auto"/>
          </w:tcPr>
          <w:p w14:paraId="02D57FDA"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w:t>
            </w:r>
          </w:p>
        </w:tc>
        <w:tc>
          <w:tcPr>
            <w:tcW w:w="1170" w:type="dxa"/>
            <w:shd w:val="clear" w:color="auto" w:fill="auto"/>
            <w:vAlign w:val="bottom"/>
          </w:tcPr>
          <w:p w14:paraId="5396892A"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0,8</w:t>
            </w:r>
          </w:p>
        </w:tc>
        <w:tc>
          <w:tcPr>
            <w:tcW w:w="1170" w:type="dxa"/>
            <w:shd w:val="clear" w:color="auto" w:fill="auto"/>
            <w:vAlign w:val="bottom"/>
          </w:tcPr>
          <w:p w14:paraId="5118E83A"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4.90</w:t>
            </w:r>
          </w:p>
        </w:tc>
        <w:tc>
          <w:tcPr>
            <w:tcW w:w="1170" w:type="dxa"/>
            <w:shd w:val="clear" w:color="auto" w:fill="auto"/>
            <w:vAlign w:val="bottom"/>
          </w:tcPr>
          <w:p w14:paraId="4391CCFD"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3.92</w:t>
            </w:r>
          </w:p>
        </w:tc>
      </w:tr>
      <w:tr w:rsidR="006C0E54" w:rsidRPr="00640820" w14:paraId="18E7918A" w14:textId="77777777" w:rsidTr="007609C9">
        <w:trPr>
          <w:trHeight w:val="245"/>
        </w:trPr>
        <w:tc>
          <w:tcPr>
            <w:tcW w:w="605" w:type="dxa"/>
            <w:shd w:val="clear" w:color="auto" w:fill="auto"/>
          </w:tcPr>
          <w:p w14:paraId="6D257D73"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13</w:t>
            </w:r>
          </w:p>
        </w:tc>
        <w:tc>
          <w:tcPr>
            <w:tcW w:w="3825" w:type="dxa"/>
            <w:shd w:val="clear" w:color="auto" w:fill="auto"/>
          </w:tcPr>
          <w:p w14:paraId="524AA222"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Нитрокраска</w:t>
            </w:r>
          </w:p>
        </w:tc>
        <w:tc>
          <w:tcPr>
            <w:tcW w:w="1170" w:type="dxa"/>
            <w:shd w:val="clear" w:color="auto" w:fill="auto"/>
          </w:tcPr>
          <w:p w14:paraId="143AC7D9"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Т</w:t>
            </w:r>
          </w:p>
        </w:tc>
        <w:tc>
          <w:tcPr>
            <w:tcW w:w="1170" w:type="dxa"/>
            <w:shd w:val="clear" w:color="auto" w:fill="auto"/>
            <w:vAlign w:val="bottom"/>
          </w:tcPr>
          <w:p w14:paraId="2E118CFA"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w:t>
            </w:r>
          </w:p>
        </w:tc>
        <w:tc>
          <w:tcPr>
            <w:tcW w:w="1170" w:type="dxa"/>
            <w:shd w:val="clear" w:color="auto" w:fill="auto"/>
            <w:vAlign w:val="bottom"/>
          </w:tcPr>
          <w:p w14:paraId="725A0EAF"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1,2</w:t>
            </w:r>
          </w:p>
        </w:tc>
        <w:tc>
          <w:tcPr>
            <w:tcW w:w="1170" w:type="dxa"/>
            <w:shd w:val="clear" w:color="auto" w:fill="auto"/>
            <w:vAlign w:val="bottom"/>
          </w:tcPr>
          <w:p w14:paraId="03F254CD"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6.15</w:t>
            </w:r>
          </w:p>
        </w:tc>
        <w:tc>
          <w:tcPr>
            <w:tcW w:w="1170" w:type="dxa"/>
            <w:shd w:val="clear" w:color="auto" w:fill="auto"/>
            <w:vAlign w:val="bottom"/>
          </w:tcPr>
          <w:p w14:paraId="02ABEE74"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7.38</w:t>
            </w:r>
          </w:p>
        </w:tc>
      </w:tr>
      <w:tr w:rsidR="006C0E54" w:rsidRPr="00640820" w14:paraId="3FF23C3D" w14:textId="77777777" w:rsidTr="007609C9">
        <w:trPr>
          <w:trHeight w:val="255"/>
        </w:trPr>
        <w:tc>
          <w:tcPr>
            <w:tcW w:w="605" w:type="dxa"/>
            <w:shd w:val="clear" w:color="auto" w:fill="auto"/>
          </w:tcPr>
          <w:p w14:paraId="06C713DC"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14</w:t>
            </w:r>
          </w:p>
        </w:tc>
        <w:tc>
          <w:tcPr>
            <w:tcW w:w="3825" w:type="dxa"/>
            <w:shd w:val="clear" w:color="auto" w:fill="auto"/>
          </w:tcPr>
          <w:p w14:paraId="1E51964C"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Нитроэмаль защитная</w:t>
            </w:r>
          </w:p>
        </w:tc>
        <w:tc>
          <w:tcPr>
            <w:tcW w:w="1170" w:type="dxa"/>
            <w:shd w:val="clear" w:color="auto" w:fill="auto"/>
          </w:tcPr>
          <w:p w14:paraId="3AFF9E01"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дв</w:t>
            </w:r>
          </w:p>
        </w:tc>
        <w:tc>
          <w:tcPr>
            <w:tcW w:w="1170" w:type="dxa"/>
            <w:shd w:val="clear" w:color="auto" w:fill="auto"/>
            <w:vAlign w:val="bottom"/>
          </w:tcPr>
          <w:p w14:paraId="7B5D4F45"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w:t>
            </w:r>
          </w:p>
        </w:tc>
        <w:tc>
          <w:tcPr>
            <w:tcW w:w="1170" w:type="dxa"/>
            <w:shd w:val="clear" w:color="auto" w:fill="auto"/>
            <w:vAlign w:val="bottom"/>
          </w:tcPr>
          <w:p w14:paraId="45B71223"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2,0</w:t>
            </w:r>
          </w:p>
        </w:tc>
        <w:tc>
          <w:tcPr>
            <w:tcW w:w="1170" w:type="dxa"/>
            <w:shd w:val="clear" w:color="auto" w:fill="auto"/>
            <w:vAlign w:val="bottom"/>
          </w:tcPr>
          <w:p w14:paraId="1B3F9D29"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5.00</w:t>
            </w:r>
          </w:p>
        </w:tc>
        <w:tc>
          <w:tcPr>
            <w:tcW w:w="1170" w:type="dxa"/>
            <w:shd w:val="clear" w:color="auto" w:fill="auto"/>
            <w:vAlign w:val="bottom"/>
          </w:tcPr>
          <w:p w14:paraId="727CFC91"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10.00</w:t>
            </w:r>
          </w:p>
        </w:tc>
      </w:tr>
      <w:tr w:rsidR="006C0E54" w:rsidRPr="00640820" w14:paraId="429105F7" w14:textId="77777777" w:rsidTr="007609C9">
        <w:trPr>
          <w:trHeight w:val="230"/>
        </w:trPr>
        <w:tc>
          <w:tcPr>
            <w:tcW w:w="605" w:type="dxa"/>
            <w:shd w:val="clear" w:color="auto" w:fill="auto"/>
          </w:tcPr>
          <w:p w14:paraId="4AFDC9D9"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15</w:t>
            </w:r>
          </w:p>
        </w:tc>
        <w:tc>
          <w:tcPr>
            <w:tcW w:w="3825" w:type="dxa"/>
            <w:shd w:val="clear" w:color="auto" w:fill="auto"/>
          </w:tcPr>
          <w:p w14:paraId="053573EF"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w:t>
            </w:r>
            <w:r w:rsidRPr="00640820">
              <w:rPr>
                <w:rFonts w:ascii="Times New Roman" w:hAnsi="Times New Roman"/>
                <w:color w:val="0070C0"/>
                <w:sz w:val="16"/>
                <w:szCs w:val="16"/>
              </w:rPr>
              <w:tab/>
              <w:t>красная</w:t>
            </w:r>
          </w:p>
        </w:tc>
        <w:tc>
          <w:tcPr>
            <w:tcW w:w="1170" w:type="dxa"/>
            <w:shd w:val="clear" w:color="auto" w:fill="auto"/>
          </w:tcPr>
          <w:p w14:paraId="6EAD5317"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дм</w:t>
            </w:r>
          </w:p>
        </w:tc>
        <w:tc>
          <w:tcPr>
            <w:tcW w:w="1170" w:type="dxa"/>
            <w:shd w:val="clear" w:color="auto" w:fill="auto"/>
            <w:vAlign w:val="bottom"/>
          </w:tcPr>
          <w:p w14:paraId="0A598D33"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w:t>
            </w:r>
          </w:p>
        </w:tc>
        <w:tc>
          <w:tcPr>
            <w:tcW w:w="1170" w:type="dxa"/>
            <w:shd w:val="clear" w:color="auto" w:fill="auto"/>
            <w:vAlign w:val="bottom"/>
          </w:tcPr>
          <w:p w14:paraId="288A8A1D"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1,0</w:t>
            </w:r>
          </w:p>
        </w:tc>
        <w:tc>
          <w:tcPr>
            <w:tcW w:w="1170" w:type="dxa"/>
            <w:shd w:val="clear" w:color="auto" w:fill="auto"/>
            <w:vAlign w:val="bottom"/>
          </w:tcPr>
          <w:p w14:paraId="65E130EE"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6.00</w:t>
            </w:r>
          </w:p>
        </w:tc>
        <w:tc>
          <w:tcPr>
            <w:tcW w:w="1170" w:type="dxa"/>
            <w:shd w:val="clear" w:color="auto" w:fill="auto"/>
            <w:vAlign w:val="bottom"/>
          </w:tcPr>
          <w:p w14:paraId="0B1F15B9"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6.00</w:t>
            </w:r>
          </w:p>
        </w:tc>
      </w:tr>
      <w:tr w:rsidR="006C0E54" w:rsidRPr="00640820" w14:paraId="5AE769D3" w14:textId="77777777" w:rsidTr="007609C9">
        <w:trPr>
          <w:trHeight w:val="255"/>
        </w:trPr>
        <w:tc>
          <w:tcPr>
            <w:tcW w:w="605" w:type="dxa"/>
            <w:shd w:val="clear" w:color="auto" w:fill="auto"/>
            <w:vAlign w:val="bottom"/>
          </w:tcPr>
          <w:p w14:paraId="509EB191"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16</w:t>
            </w:r>
          </w:p>
        </w:tc>
        <w:tc>
          <w:tcPr>
            <w:tcW w:w="3825" w:type="dxa"/>
            <w:shd w:val="clear" w:color="auto" w:fill="auto"/>
            <w:vAlign w:val="bottom"/>
          </w:tcPr>
          <w:p w14:paraId="730EE389"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w:t>
            </w:r>
            <w:r w:rsidRPr="00640820">
              <w:rPr>
                <w:rFonts w:ascii="Times New Roman" w:hAnsi="Times New Roman"/>
                <w:color w:val="0070C0"/>
                <w:sz w:val="16"/>
                <w:szCs w:val="16"/>
              </w:rPr>
              <w:tab/>
              <w:t>белая</w:t>
            </w:r>
          </w:p>
        </w:tc>
        <w:tc>
          <w:tcPr>
            <w:tcW w:w="1170" w:type="dxa"/>
            <w:shd w:val="clear" w:color="auto" w:fill="auto"/>
          </w:tcPr>
          <w:p w14:paraId="1D3BF323"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w:t>
            </w:r>
          </w:p>
        </w:tc>
        <w:tc>
          <w:tcPr>
            <w:tcW w:w="1170" w:type="dxa"/>
            <w:shd w:val="clear" w:color="auto" w:fill="auto"/>
          </w:tcPr>
          <w:p w14:paraId="1FEB3CA4"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w:t>
            </w:r>
          </w:p>
        </w:tc>
        <w:tc>
          <w:tcPr>
            <w:tcW w:w="1170" w:type="dxa"/>
            <w:shd w:val="clear" w:color="auto" w:fill="auto"/>
            <w:vAlign w:val="bottom"/>
          </w:tcPr>
          <w:p w14:paraId="1E821887"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4,0</w:t>
            </w:r>
          </w:p>
        </w:tc>
        <w:tc>
          <w:tcPr>
            <w:tcW w:w="1170" w:type="dxa"/>
            <w:shd w:val="clear" w:color="auto" w:fill="auto"/>
            <w:vAlign w:val="bottom"/>
          </w:tcPr>
          <w:p w14:paraId="7FF3A850"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4.00</w:t>
            </w:r>
          </w:p>
        </w:tc>
        <w:tc>
          <w:tcPr>
            <w:tcW w:w="1170" w:type="dxa"/>
            <w:shd w:val="clear" w:color="auto" w:fill="auto"/>
            <w:vAlign w:val="bottom"/>
          </w:tcPr>
          <w:p w14:paraId="418D0AE2"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16.00</w:t>
            </w:r>
          </w:p>
        </w:tc>
      </w:tr>
      <w:tr w:rsidR="006C0E54" w:rsidRPr="00640820" w14:paraId="368B3D0A" w14:textId="77777777" w:rsidTr="007609C9">
        <w:trPr>
          <w:trHeight w:val="245"/>
        </w:trPr>
        <w:tc>
          <w:tcPr>
            <w:tcW w:w="605" w:type="dxa"/>
            <w:shd w:val="clear" w:color="auto" w:fill="auto"/>
            <w:vAlign w:val="bottom"/>
          </w:tcPr>
          <w:p w14:paraId="7AD3A8CD"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17</w:t>
            </w:r>
          </w:p>
        </w:tc>
        <w:tc>
          <w:tcPr>
            <w:tcW w:w="3825" w:type="dxa"/>
            <w:shd w:val="clear" w:color="auto" w:fill="auto"/>
            <w:vAlign w:val="bottom"/>
          </w:tcPr>
          <w:p w14:paraId="24FFC8EB"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w:t>
            </w:r>
            <w:r w:rsidRPr="00640820">
              <w:rPr>
                <w:rFonts w:ascii="Times New Roman" w:hAnsi="Times New Roman"/>
                <w:color w:val="0070C0"/>
                <w:sz w:val="16"/>
                <w:szCs w:val="16"/>
              </w:rPr>
              <w:tab/>
              <w:t>желтая</w:t>
            </w:r>
          </w:p>
        </w:tc>
        <w:tc>
          <w:tcPr>
            <w:tcW w:w="1170" w:type="dxa"/>
            <w:shd w:val="clear" w:color="auto" w:fill="auto"/>
          </w:tcPr>
          <w:p w14:paraId="03CBB05F"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w:t>
            </w:r>
          </w:p>
        </w:tc>
        <w:tc>
          <w:tcPr>
            <w:tcW w:w="1170" w:type="dxa"/>
            <w:shd w:val="clear" w:color="auto" w:fill="auto"/>
          </w:tcPr>
          <w:p w14:paraId="3839ED8D"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w:t>
            </w:r>
          </w:p>
        </w:tc>
        <w:tc>
          <w:tcPr>
            <w:tcW w:w="1170" w:type="dxa"/>
            <w:shd w:val="clear" w:color="auto" w:fill="auto"/>
            <w:vAlign w:val="bottom"/>
          </w:tcPr>
          <w:p w14:paraId="215B072D"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3,0</w:t>
            </w:r>
          </w:p>
        </w:tc>
        <w:tc>
          <w:tcPr>
            <w:tcW w:w="1170" w:type="dxa"/>
            <w:shd w:val="clear" w:color="auto" w:fill="auto"/>
            <w:vAlign w:val="bottom"/>
          </w:tcPr>
          <w:p w14:paraId="3C2F11BB"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5.00</w:t>
            </w:r>
          </w:p>
        </w:tc>
        <w:tc>
          <w:tcPr>
            <w:tcW w:w="1170" w:type="dxa"/>
            <w:shd w:val="clear" w:color="auto" w:fill="auto"/>
            <w:vAlign w:val="bottom"/>
          </w:tcPr>
          <w:p w14:paraId="74C7F83D"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15.00</w:t>
            </w:r>
          </w:p>
        </w:tc>
      </w:tr>
      <w:tr w:rsidR="006C0E54" w:rsidRPr="00640820" w14:paraId="5123472B" w14:textId="77777777" w:rsidTr="007609C9">
        <w:trPr>
          <w:trHeight w:val="235"/>
        </w:trPr>
        <w:tc>
          <w:tcPr>
            <w:tcW w:w="605" w:type="dxa"/>
            <w:shd w:val="clear" w:color="auto" w:fill="auto"/>
            <w:vAlign w:val="bottom"/>
          </w:tcPr>
          <w:p w14:paraId="16B16C4C"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18</w:t>
            </w:r>
          </w:p>
        </w:tc>
        <w:tc>
          <w:tcPr>
            <w:tcW w:w="3825" w:type="dxa"/>
            <w:shd w:val="clear" w:color="auto" w:fill="auto"/>
            <w:vAlign w:val="bottom"/>
          </w:tcPr>
          <w:p w14:paraId="2F9453E9"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w:t>
            </w:r>
            <w:r w:rsidRPr="00640820">
              <w:rPr>
                <w:rFonts w:ascii="Times New Roman" w:hAnsi="Times New Roman"/>
                <w:color w:val="0070C0"/>
                <w:sz w:val="16"/>
                <w:szCs w:val="16"/>
              </w:rPr>
              <w:tab/>
              <w:t>коричневая</w:t>
            </w:r>
          </w:p>
        </w:tc>
        <w:tc>
          <w:tcPr>
            <w:tcW w:w="1170" w:type="dxa"/>
            <w:shd w:val="clear" w:color="auto" w:fill="auto"/>
            <w:vAlign w:val="bottom"/>
          </w:tcPr>
          <w:p w14:paraId="6863E33D"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w:t>
            </w:r>
          </w:p>
        </w:tc>
        <w:tc>
          <w:tcPr>
            <w:tcW w:w="1170" w:type="dxa"/>
            <w:shd w:val="clear" w:color="auto" w:fill="auto"/>
          </w:tcPr>
          <w:p w14:paraId="5B1193F1"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w:t>
            </w:r>
          </w:p>
        </w:tc>
        <w:tc>
          <w:tcPr>
            <w:tcW w:w="1170" w:type="dxa"/>
            <w:shd w:val="clear" w:color="auto" w:fill="auto"/>
            <w:vAlign w:val="bottom"/>
          </w:tcPr>
          <w:p w14:paraId="4C657D43"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6,0</w:t>
            </w:r>
          </w:p>
        </w:tc>
        <w:tc>
          <w:tcPr>
            <w:tcW w:w="1170" w:type="dxa"/>
            <w:shd w:val="clear" w:color="auto" w:fill="auto"/>
            <w:vAlign w:val="bottom"/>
          </w:tcPr>
          <w:p w14:paraId="6C833EB7"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5.00</w:t>
            </w:r>
          </w:p>
        </w:tc>
        <w:tc>
          <w:tcPr>
            <w:tcW w:w="1170" w:type="dxa"/>
            <w:shd w:val="clear" w:color="auto" w:fill="auto"/>
            <w:vAlign w:val="bottom"/>
          </w:tcPr>
          <w:p w14:paraId="0209E859"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30.00</w:t>
            </w:r>
          </w:p>
        </w:tc>
      </w:tr>
      <w:tr w:rsidR="006C0E54" w:rsidRPr="00640820" w14:paraId="5A99D7CF" w14:textId="77777777" w:rsidTr="007609C9">
        <w:trPr>
          <w:trHeight w:val="245"/>
        </w:trPr>
        <w:tc>
          <w:tcPr>
            <w:tcW w:w="605" w:type="dxa"/>
            <w:shd w:val="clear" w:color="auto" w:fill="auto"/>
          </w:tcPr>
          <w:p w14:paraId="516E163D"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19</w:t>
            </w:r>
          </w:p>
        </w:tc>
        <w:tc>
          <w:tcPr>
            <w:tcW w:w="3825" w:type="dxa"/>
            <w:shd w:val="clear" w:color="auto" w:fill="auto"/>
          </w:tcPr>
          <w:p w14:paraId="0757F5EF"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Нитрошпатлевка</w:t>
            </w:r>
          </w:p>
        </w:tc>
        <w:tc>
          <w:tcPr>
            <w:tcW w:w="1170" w:type="dxa"/>
            <w:shd w:val="clear" w:color="auto" w:fill="auto"/>
          </w:tcPr>
          <w:p w14:paraId="54828825"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АШ22</w:t>
            </w:r>
          </w:p>
        </w:tc>
        <w:tc>
          <w:tcPr>
            <w:tcW w:w="1170" w:type="dxa"/>
            <w:shd w:val="clear" w:color="auto" w:fill="auto"/>
            <w:vAlign w:val="bottom"/>
          </w:tcPr>
          <w:p w14:paraId="2EADE7BB"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w:t>
            </w:r>
          </w:p>
        </w:tc>
        <w:tc>
          <w:tcPr>
            <w:tcW w:w="1170" w:type="dxa"/>
            <w:shd w:val="clear" w:color="auto" w:fill="auto"/>
            <w:vAlign w:val="bottom"/>
          </w:tcPr>
          <w:p w14:paraId="609FC72D"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0,5</w:t>
            </w:r>
          </w:p>
        </w:tc>
        <w:tc>
          <w:tcPr>
            <w:tcW w:w="1170" w:type="dxa"/>
            <w:shd w:val="clear" w:color="auto" w:fill="auto"/>
            <w:vAlign w:val="bottom"/>
          </w:tcPr>
          <w:p w14:paraId="6CA8E5CF"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4.96</w:t>
            </w:r>
          </w:p>
        </w:tc>
        <w:tc>
          <w:tcPr>
            <w:tcW w:w="1170" w:type="dxa"/>
            <w:shd w:val="clear" w:color="auto" w:fill="auto"/>
            <w:vAlign w:val="bottom"/>
          </w:tcPr>
          <w:p w14:paraId="26851596"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2.48</w:t>
            </w:r>
          </w:p>
        </w:tc>
      </w:tr>
      <w:tr w:rsidR="006C0E54" w:rsidRPr="00640820" w14:paraId="05AB08B1" w14:textId="77777777" w:rsidTr="007609C9">
        <w:trPr>
          <w:trHeight w:val="515"/>
        </w:trPr>
        <w:tc>
          <w:tcPr>
            <w:tcW w:w="605" w:type="dxa"/>
            <w:shd w:val="clear" w:color="auto" w:fill="auto"/>
          </w:tcPr>
          <w:p w14:paraId="5AF90281"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20</w:t>
            </w:r>
          </w:p>
        </w:tc>
        <w:tc>
          <w:tcPr>
            <w:tcW w:w="3825" w:type="dxa"/>
            <w:shd w:val="clear" w:color="auto" w:fill="auto"/>
          </w:tcPr>
          <w:p w14:paraId="1DE1F4B1"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Разжижитель</w:t>
            </w:r>
          </w:p>
        </w:tc>
        <w:tc>
          <w:tcPr>
            <w:tcW w:w="1170" w:type="dxa"/>
            <w:shd w:val="clear" w:color="auto" w:fill="auto"/>
          </w:tcPr>
          <w:p w14:paraId="0074FE60"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РДВ</w:t>
            </w:r>
          </w:p>
        </w:tc>
        <w:tc>
          <w:tcPr>
            <w:tcW w:w="1170" w:type="dxa"/>
            <w:shd w:val="clear" w:color="auto" w:fill="auto"/>
            <w:vAlign w:val="center"/>
          </w:tcPr>
          <w:p w14:paraId="234F54B6"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w:t>
            </w:r>
          </w:p>
        </w:tc>
        <w:tc>
          <w:tcPr>
            <w:tcW w:w="1170" w:type="dxa"/>
            <w:shd w:val="clear" w:color="auto" w:fill="auto"/>
          </w:tcPr>
          <w:p w14:paraId="3571878F"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2,0</w:t>
            </w:r>
          </w:p>
        </w:tc>
        <w:tc>
          <w:tcPr>
            <w:tcW w:w="1170" w:type="dxa"/>
            <w:shd w:val="clear" w:color="auto" w:fill="auto"/>
          </w:tcPr>
          <w:p w14:paraId="5F6A5C31"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5.13</w:t>
            </w:r>
          </w:p>
        </w:tc>
        <w:tc>
          <w:tcPr>
            <w:tcW w:w="1170" w:type="dxa"/>
            <w:shd w:val="clear" w:color="auto" w:fill="auto"/>
          </w:tcPr>
          <w:p w14:paraId="0E5FA0DD"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10.26</w:t>
            </w:r>
          </w:p>
        </w:tc>
      </w:tr>
      <w:tr w:rsidR="006C0E54" w:rsidRPr="00640820" w14:paraId="10A0B4F0" w14:textId="77777777" w:rsidTr="007609C9">
        <w:trPr>
          <w:trHeight w:val="375"/>
        </w:trPr>
        <w:tc>
          <w:tcPr>
            <w:tcW w:w="605" w:type="dxa"/>
            <w:shd w:val="clear" w:color="auto" w:fill="auto"/>
          </w:tcPr>
          <w:p w14:paraId="0D792FF1" w14:textId="77777777" w:rsidR="006C0E54" w:rsidRPr="00640820" w:rsidRDefault="006C0E54" w:rsidP="00640820">
            <w:pPr>
              <w:spacing w:after="0" w:line="240" w:lineRule="auto"/>
              <w:jc w:val="both"/>
              <w:rPr>
                <w:rFonts w:ascii="Times New Roman" w:hAnsi="Times New Roman"/>
                <w:color w:val="0070C0"/>
                <w:sz w:val="16"/>
                <w:szCs w:val="16"/>
              </w:rPr>
            </w:pPr>
          </w:p>
        </w:tc>
        <w:tc>
          <w:tcPr>
            <w:tcW w:w="3825" w:type="dxa"/>
            <w:shd w:val="clear" w:color="auto" w:fill="auto"/>
          </w:tcPr>
          <w:p w14:paraId="7D30E885" w14:textId="77777777" w:rsidR="006C0E54" w:rsidRPr="00640820" w:rsidRDefault="006C0E54" w:rsidP="00640820">
            <w:pPr>
              <w:spacing w:after="0" w:line="240" w:lineRule="auto"/>
              <w:jc w:val="both"/>
              <w:rPr>
                <w:rFonts w:ascii="Times New Roman" w:hAnsi="Times New Roman"/>
                <w:color w:val="0070C0"/>
                <w:sz w:val="16"/>
                <w:szCs w:val="16"/>
              </w:rPr>
            </w:pPr>
          </w:p>
        </w:tc>
        <w:tc>
          <w:tcPr>
            <w:tcW w:w="1170" w:type="dxa"/>
            <w:shd w:val="clear" w:color="auto" w:fill="auto"/>
          </w:tcPr>
          <w:p w14:paraId="58552A74" w14:textId="77777777" w:rsidR="006C0E54" w:rsidRPr="00640820" w:rsidRDefault="006C0E54" w:rsidP="00640820">
            <w:pPr>
              <w:spacing w:after="0" w:line="240" w:lineRule="auto"/>
              <w:jc w:val="both"/>
              <w:rPr>
                <w:rFonts w:ascii="Times New Roman" w:hAnsi="Times New Roman"/>
                <w:color w:val="0070C0"/>
                <w:sz w:val="16"/>
                <w:szCs w:val="16"/>
              </w:rPr>
            </w:pPr>
          </w:p>
        </w:tc>
        <w:tc>
          <w:tcPr>
            <w:tcW w:w="1170" w:type="dxa"/>
            <w:shd w:val="clear" w:color="auto" w:fill="auto"/>
          </w:tcPr>
          <w:p w14:paraId="564A92F5" w14:textId="77777777" w:rsidR="006C0E54" w:rsidRPr="00640820" w:rsidRDefault="006C0E54" w:rsidP="00640820">
            <w:pPr>
              <w:spacing w:after="0" w:line="240" w:lineRule="auto"/>
              <w:jc w:val="both"/>
              <w:rPr>
                <w:rFonts w:ascii="Times New Roman" w:hAnsi="Times New Roman"/>
                <w:color w:val="0070C0"/>
                <w:sz w:val="16"/>
                <w:szCs w:val="16"/>
              </w:rPr>
            </w:pPr>
          </w:p>
        </w:tc>
        <w:tc>
          <w:tcPr>
            <w:tcW w:w="1170" w:type="dxa"/>
            <w:shd w:val="clear" w:color="auto" w:fill="auto"/>
          </w:tcPr>
          <w:p w14:paraId="05F4B3A6" w14:textId="77777777" w:rsidR="006C0E54" w:rsidRPr="00640820" w:rsidRDefault="006C0E54" w:rsidP="00640820">
            <w:pPr>
              <w:spacing w:after="0" w:line="240" w:lineRule="auto"/>
              <w:jc w:val="both"/>
              <w:rPr>
                <w:rFonts w:ascii="Times New Roman" w:hAnsi="Times New Roman"/>
                <w:color w:val="0070C0"/>
                <w:sz w:val="16"/>
                <w:szCs w:val="16"/>
              </w:rPr>
            </w:pPr>
          </w:p>
        </w:tc>
        <w:tc>
          <w:tcPr>
            <w:tcW w:w="1170" w:type="dxa"/>
            <w:shd w:val="clear" w:color="auto" w:fill="auto"/>
          </w:tcPr>
          <w:p w14:paraId="179C9756" w14:textId="77777777" w:rsidR="006C0E54" w:rsidRPr="00640820" w:rsidRDefault="006C0E54" w:rsidP="00640820">
            <w:pPr>
              <w:spacing w:after="0" w:line="240" w:lineRule="auto"/>
              <w:jc w:val="both"/>
              <w:rPr>
                <w:rFonts w:ascii="Times New Roman" w:hAnsi="Times New Roman"/>
                <w:color w:val="0070C0"/>
                <w:sz w:val="16"/>
                <w:szCs w:val="16"/>
              </w:rPr>
            </w:pPr>
          </w:p>
        </w:tc>
        <w:tc>
          <w:tcPr>
            <w:tcW w:w="1170" w:type="dxa"/>
            <w:shd w:val="clear" w:color="auto" w:fill="auto"/>
          </w:tcPr>
          <w:p w14:paraId="6D668246"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490.83</w:t>
            </w:r>
          </w:p>
        </w:tc>
      </w:tr>
    </w:tbl>
    <w:p w14:paraId="004A1842" w14:textId="77777777" w:rsidR="006C0E54" w:rsidRPr="00640820" w:rsidRDefault="006C0E54" w:rsidP="00640820">
      <w:pPr>
        <w:spacing w:after="0" w:line="240" w:lineRule="auto"/>
        <w:jc w:val="both"/>
        <w:rPr>
          <w:rFonts w:ascii="Times New Roman" w:hAnsi="Times New Roman"/>
          <w:color w:val="0070C0"/>
          <w:sz w:val="16"/>
          <w:szCs w:val="16"/>
        </w:rPr>
      </w:pPr>
      <w:r w:rsidRPr="00640820">
        <w:rPr>
          <w:rFonts w:ascii="Times New Roman" w:hAnsi="Times New Roman"/>
          <w:color w:val="0070C0"/>
          <w:sz w:val="16"/>
          <w:szCs w:val="16"/>
        </w:rPr>
        <w:t>(23124)</w:t>
      </w:r>
    </w:p>
    <w:p w14:paraId="359150E0" w14:textId="77777777" w:rsidR="006C0E54" w:rsidRPr="00640820" w:rsidRDefault="006C0E54" w:rsidP="00640820">
      <w:pPr>
        <w:spacing w:after="0" w:line="240" w:lineRule="auto"/>
        <w:jc w:val="both"/>
        <w:rPr>
          <w:rFonts w:ascii="Times New Roman" w:hAnsi="Times New Roman"/>
          <w:color w:val="0070C0"/>
          <w:sz w:val="16"/>
          <w:szCs w:val="16"/>
        </w:rPr>
      </w:pPr>
    </w:p>
    <w:p w14:paraId="755EEC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1941 г. для наземных испытаний </w:t>
      </w:r>
      <w:r w:rsidRPr="00640820">
        <w:rPr>
          <w:rFonts w:ascii="Times New Roman" w:hAnsi="Times New Roman"/>
          <w:color w:val="000000" w:themeColor="text1"/>
          <w:sz w:val="16"/>
          <w:szCs w:val="16"/>
          <w:lang w:val="en-US"/>
        </w:rPr>
        <w:t>AT</w:t>
      </w:r>
      <w:r w:rsidRPr="00640820">
        <w:rPr>
          <w:rFonts w:ascii="Times New Roman" w:hAnsi="Times New Roman"/>
          <w:color w:val="000000" w:themeColor="text1"/>
          <w:sz w:val="16"/>
          <w:szCs w:val="16"/>
        </w:rPr>
        <w:t xml:space="preserve"> и вооружения был создан полигон в Фаустово. В 1946г. здесь организована база № 1 НИИАС (База № 1 НИИАС, Научно-испытательный агрегатный институт (НИАИ), Белозерский филиал «Прибор» НИИАС, Государственный научно-испытательный полигон авиационных систем (ГосНИПАС), ФГУП, ФКП «Государственный казенный НИПАС» («ГкНИПАС») /пос. Фаустово (Кратово) Московской обл./ /140250 пос. Белозерский Воскресенского р-на Московской обл. тел. 556-07-09). В 1965-66г. полигон преобразован в самостоятельный НИАИ, с 1978г.- Белоозерский филиал «Прибор» НИИАС, с 1994г.- самостоятельный ГосНИПАС. В 2002г.- ФКП ГкНИПАС.</w:t>
      </w:r>
    </w:p>
    <w:p w14:paraId="559B06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Испытания вооружения: морской ракетный комплекс П-5 (с 12.03.1957г.).</w:t>
      </w:r>
      <w:r w:rsidRPr="00640820">
        <w:rPr>
          <w:rFonts w:ascii="Times New Roman" w:hAnsi="Times New Roman"/>
          <w:color w:val="000000" w:themeColor="text1"/>
          <w:sz w:val="16"/>
          <w:szCs w:val="16"/>
          <w:vertAlign w:val="superscript"/>
        </w:rPr>
        <w:t>58</w:t>
      </w:r>
    </w:p>
    <w:p w14:paraId="375665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противовоздушная мина «Темп-2»;</w:t>
      </w:r>
      <w:r w:rsidRPr="00640820">
        <w:rPr>
          <w:rFonts w:ascii="Times New Roman" w:hAnsi="Times New Roman"/>
          <w:color w:val="000000" w:themeColor="text1"/>
          <w:sz w:val="16"/>
          <w:szCs w:val="16"/>
          <w:vertAlign w:val="superscript"/>
        </w:rPr>
        <w:t>63</w:t>
      </w:r>
      <w:r w:rsidRPr="00640820">
        <w:rPr>
          <w:rFonts w:ascii="Times New Roman" w:hAnsi="Times New Roman"/>
          <w:color w:val="000000" w:themeColor="text1"/>
          <w:sz w:val="16"/>
          <w:szCs w:val="16"/>
        </w:rPr>
        <w:t xml:space="preserve"> многоцелевой штурмовой выстрел для РПГ-7 (1995); противотанковая противокрышевая мина.</w:t>
      </w:r>
    </w:p>
    <w:p w14:paraId="088C2D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(2000 г.): ОКР «Пассажир» по разработке стендового оборудования для сертификационных динамических испытаний на пассивную безопасность средств защиты пассажиров и экипажа транспортных средств при столкновении и авариях; ОКР «Безопасность» по разработке методов и средйтв испытаний транспортных средств, оборудования и защитных систем для обеспечения пассивной безопасности.</w:t>
      </w:r>
    </w:p>
    <w:p w14:paraId="04BAAB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Направления деятельности (2002г.): аэробаллистические исследования ЛА и вооружения, исследования эрозионного воздействия вооружения на защитные покрытия; огневые испытания ЖРД, РДТТ, камер сгорания; сертификационные испытания элементов пассажирских ЛА; исследования технических и эксплуатационных характеристик установок вооружения, влияния вибрационных и тепловых нагрузок, аэрокосмических условий и электромагнитного воздействия на работу авиационного вооружения; испытания систем аварийного покидания ЛА, исследования динамики парашютных систем; оценка боевой живучести ЛА.</w:t>
      </w:r>
    </w:p>
    <w:p w14:paraId="084D18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 экспериментальной базы входили: высокоскоростной ракетный испытательный трек; стенд «Кресло» (1999г.); стенд испытаний бортовых накопителей информации; легкогазовая система для испытаний на устойчивость к воздействию снарядов и осколков; комплекс светового моделирования; аэробаллистическая трасса; стенд тепловых испытаний СТИ-3; термоакустическая установка; комплекс стендов для испытаний ракетных двигателей; стенд комплексных испытаний; стенд для испытаний микроЖРД; вакуумный стенд; стенд теплоэрозионных испытаний.</w:t>
      </w:r>
    </w:p>
    <w:p w14:paraId="10B1E1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Являлся одним из 5 крупнейших полигонов России (2002г.).</w:t>
      </w:r>
    </w:p>
    <w:p w14:paraId="1317A2A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более 10.000 га.</w:t>
      </w:r>
    </w:p>
    <w:p w14:paraId="0CC6F84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(1990 г.)~ 2000 чел., (2002г.)- 1200 чел.</w:t>
      </w:r>
    </w:p>
    <w:p w14:paraId="48302E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(1946г.)- А.В. Архаров, (1994г.)- Л.К. Сафронов. Директор (2002г.)- А.А. Стрельников, (2005г.)-</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.Г.Русс.</w:t>
      </w:r>
    </w:p>
    <w:p w14:paraId="7B65D2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по научно-испытательной базе (2002г.)- В.Г. Русс; по безопасности (2002г.)- Ю.И. Кирпичев; по персоналу (2002г.)- Н.В. Щипунов.</w:t>
      </w:r>
    </w:p>
    <w:p w14:paraId="0C43629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(2002г.)- В.Г. Русс. Исполнительный директор (-2002-05г.-)- В.Я. Ниязов.</w:t>
      </w:r>
      <w:r w:rsidRPr="00640820">
        <w:rPr>
          <w:rFonts w:ascii="Times New Roman" w:hAnsi="Times New Roman"/>
          <w:color w:val="000000" w:themeColor="text1"/>
          <w:sz w:val="16"/>
          <w:szCs w:val="16"/>
          <w:vertAlign w:val="superscript"/>
        </w:rPr>
        <w:t xml:space="preserve">69 </w:t>
      </w:r>
      <w:r w:rsidRPr="00640820">
        <w:rPr>
          <w:rFonts w:ascii="Times New Roman" w:hAnsi="Times New Roman"/>
          <w:color w:val="000000" w:themeColor="text1"/>
          <w:sz w:val="16"/>
          <w:szCs w:val="16"/>
        </w:rPr>
        <w:t>Центр микроэлектроники авиационной промышленности</w:t>
      </w:r>
    </w:p>
    <w:p w14:paraId="102944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 при ГосНИИАС. Руководитель (1984-89г.)- Б. Алешин (119822).</w:t>
      </w:r>
    </w:p>
    <w:p w14:paraId="1A31A9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E4E4E9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на вооружение полевой реактивной артиллерии ракетно-химические снаряды МХ-13 модели ТЗ-0027 поступили. Вероятнее всего, судьба РАХС-132 сложилась так же, как и у РОФС-132 и РБС-132 накануне вой</w:t>
      </w:r>
      <w:r w:rsidRPr="00640820">
        <w:rPr>
          <w:rFonts w:ascii="Times New Roman" w:hAnsi="Times New Roman"/>
          <w:color w:val="000000" w:themeColor="text1"/>
          <w:sz w:val="16"/>
          <w:szCs w:val="16"/>
        </w:rPr>
        <w:softHyphen/>
        <w:t>ны. С той лишь разницей, что войсковые испытания эти боеприпасы на фронтах Великой Отечественной не проходили.</w:t>
      </w:r>
    </w:p>
    <w:p w14:paraId="1D29BF6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большой долей вероятности можно предположить, что номенкла</w:t>
      </w:r>
      <w:r w:rsidRPr="00640820">
        <w:rPr>
          <w:rFonts w:ascii="Times New Roman" w:hAnsi="Times New Roman"/>
          <w:color w:val="000000" w:themeColor="text1"/>
          <w:sz w:val="16"/>
          <w:szCs w:val="16"/>
        </w:rPr>
        <w:softHyphen/>
        <w:t>туру химических ракетных боеприпасов мог дополнять, как это ни странно, опытный 132-мм авиационный ракетно-осколочно-фугасный снаряд РОФС-132 модели 127100 разработки 1939г. (объект 116). В качестве корпусов их БЧ использовали и лекальный брак 122-мм артснарядов модели 2-03783, выполненных с головной запальной втулкой. Обрезан</w:t>
      </w:r>
      <w:r w:rsidRPr="00640820">
        <w:rPr>
          <w:rFonts w:ascii="Times New Roman" w:hAnsi="Times New Roman"/>
          <w:color w:val="000000" w:themeColor="text1"/>
          <w:sz w:val="16"/>
          <w:szCs w:val="16"/>
        </w:rPr>
        <w:softHyphen/>
        <w:t>ное дно артснаряда позволяло при снаряжании БЧ установить в заряд ВВ герметичную капсулу с ОВ. А устанавливая вместо штатной запальной втулки доработанную, боеприпас можно было использовать для неконтактного подрыва (с взрывателем АГДТ-А-РС-132) и заражения местности стойкими ОВ. Кстати, в случае снаряжания капсулы нестойкими ОВ, в головное очко устанавливали контактный взрыватель АМ-А-РС-132 через переходную втулку, как это позже в авиации повсеместно применя</w:t>
      </w:r>
      <w:r w:rsidRPr="00640820">
        <w:rPr>
          <w:rFonts w:ascii="Times New Roman" w:hAnsi="Times New Roman"/>
          <w:color w:val="000000" w:themeColor="text1"/>
          <w:sz w:val="16"/>
          <w:szCs w:val="16"/>
        </w:rPr>
        <w:softHyphen/>
        <w:t>ли для стрельбы артиллерийскими ракетными снарядами М-8 и М-13. Документальных подтверждений факту существования таких ракетно-осколочно-химических снарядов РОХС не обнаружено. Но на вооружении в РККА и КА были осколочно-химические авиабомбы и артеллеотйские снаряды. Между тем переделка РОФС в РОХС экономически была даже на много выгоднее производства авиабомб. А тактические выгоды от залпового огня РОХС. вне сомнения, превзошел бы результаты стрельбы такими же артснарядами.</w:t>
      </w:r>
    </w:p>
    <w:p w14:paraId="65A00C3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 менее велика вероятность разработки и ракетно-бетонобойно-хими</w:t>
      </w:r>
      <w:r w:rsidRPr="00640820">
        <w:rPr>
          <w:rFonts w:ascii="Times New Roman" w:hAnsi="Times New Roman"/>
          <w:color w:val="000000" w:themeColor="text1"/>
          <w:sz w:val="16"/>
          <w:szCs w:val="16"/>
        </w:rPr>
        <w:softHyphen/>
        <w:t>ческого снаряда РБХС-132. Дело и том, что в 1940 г. военные заказали раз</w:t>
      </w:r>
      <w:r w:rsidRPr="00640820">
        <w:rPr>
          <w:rFonts w:ascii="Times New Roman" w:hAnsi="Times New Roman"/>
          <w:color w:val="000000" w:themeColor="text1"/>
          <w:sz w:val="16"/>
          <w:szCs w:val="16"/>
        </w:rPr>
        <w:softHyphen/>
        <w:t>работку подобного боеприпаса, но в калибре 140 мм. Однако корпус для БЧ бетонобойного типа легче было взять из морской артиллерии (готовый 130-мм бетонобойный артснаряд) по анало</w:t>
      </w:r>
      <w:r w:rsidRPr="00640820">
        <w:rPr>
          <w:rFonts w:ascii="Times New Roman" w:hAnsi="Times New Roman"/>
          <w:color w:val="000000" w:themeColor="text1"/>
          <w:sz w:val="16"/>
          <w:szCs w:val="16"/>
        </w:rPr>
        <w:softHyphen/>
        <w:t>гии с бронебойными РБС, нежели проектировать, испытывать и изготавливать мизерной партией нечто подобное, но в калибре на 8 мм больше.</w:t>
      </w:r>
    </w:p>
    <w:p w14:paraId="480145E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Таким образом, экономически более выгодный готовый 130-мм арт</w:t>
      </w:r>
      <w:r w:rsidRPr="00640820">
        <w:rPr>
          <w:rFonts w:ascii="Times New Roman" w:hAnsi="Times New Roman"/>
          <w:color w:val="000000" w:themeColor="text1"/>
          <w:sz w:val="16"/>
          <w:szCs w:val="16"/>
        </w:rPr>
        <w:softHyphen/>
        <w:t>снаряд, но с капсулой нестойкого ОВ внутри заряда ВВ возможно было пристыковать к двигателю от РОФС-140 через переходные доньи. Попри этом, если эту же БЧ стыковать с двигателем от РОФС-132, такой РБХС получит выигрыш в скорости (за счет улучшенной внешней баллистики и меньшей массы), а также и в кинетике, чем более полно будет отвечать своим требованиям. Наши предки были не глупее нас нынешних (а норой и намного гениальнее), поэтому логика инженерного анализа предпола</w:t>
      </w:r>
      <w:r w:rsidRPr="00640820">
        <w:rPr>
          <w:rFonts w:ascii="Times New Roman" w:hAnsi="Times New Roman"/>
          <w:color w:val="000000" w:themeColor="text1"/>
          <w:sz w:val="16"/>
          <w:szCs w:val="16"/>
        </w:rPr>
        <w:softHyphen/>
        <w:t>гает наличие хотя бы проекта ракетного снаряда РБХС-132.</w:t>
      </w:r>
    </w:p>
    <w:p w14:paraId="73E3003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авиации химические ракетные боеприпасы в предвоенный период «не прижились» - для серьезного воздействия на противника был мало</w:t>
      </w:r>
      <w:r w:rsidRPr="00640820">
        <w:rPr>
          <w:rFonts w:ascii="Times New Roman" w:hAnsi="Times New Roman"/>
          <w:color w:val="000000" w:themeColor="text1"/>
          <w:sz w:val="16"/>
          <w:szCs w:val="16"/>
        </w:rPr>
        <w:softHyphen/>
        <w:t>ват боезапас на борту носителя, а огонь поточечным целям в виде незна</w:t>
      </w:r>
      <w:r w:rsidRPr="00640820">
        <w:rPr>
          <w:rFonts w:ascii="Times New Roman" w:hAnsi="Times New Roman"/>
          <w:color w:val="000000" w:themeColor="text1"/>
          <w:sz w:val="16"/>
          <w:szCs w:val="16"/>
        </w:rPr>
        <w:softHyphen/>
        <w:t>чительных групп противника на открытой местности с успехом можно было вести и осколочными РС (11402).</w:t>
      </w:r>
    </w:p>
    <w:p w14:paraId="668CF7C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0A826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на замену ТМ-4Б поступила новая дистанционная трубка ТМ-24Б. Она обладала единственным предохранителем, позволяющим применять авиабомбы как на наружных, так и па внутренних бомбодер</w:t>
      </w:r>
      <w:r w:rsidRPr="00640820">
        <w:rPr>
          <w:rFonts w:ascii="Times New Roman" w:hAnsi="Times New Roman"/>
          <w:color w:val="000000" w:themeColor="text1"/>
          <w:sz w:val="16"/>
          <w:szCs w:val="16"/>
        </w:rPr>
        <w:softHyphen/>
        <w:t>жателях, имела большее замедление и взводилась крыльчаткой. Как и предыдущий образец, она была чувствительна к ударам, однако по окончании войны еще оставалась на вооружении, оправдав себя в бое</w:t>
      </w:r>
      <w:r w:rsidRPr="00640820">
        <w:rPr>
          <w:rFonts w:ascii="Times New Roman" w:hAnsi="Times New Roman"/>
          <w:color w:val="000000" w:themeColor="text1"/>
          <w:sz w:val="16"/>
          <w:szCs w:val="16"/>
        </w:rPr>
        <w:softHyphen/>
        <w:t>вых условиях (11402).</w:t>
      </w:r>
    </w:p>
    <w:p w14:paraId="3339A5F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A030C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по некоторым данным, РС зажигательного действия РЗС-132 после Орши применили в последний раз под Керчью, но с не менее внушительным эффектом. Там Красная Армия располагала только од</w:t>
      </w:r>
      <w:r w:rsidRPr="00640820">
        <w:rPr>
          <w:rFonts w:ascii="Times New Roman" w:hAnsi="Times New Roman"/>
          <w:color w:val="000000" w:themeColor="text1"/>
          <w:sz w:val="16"/>
          <w:szCs w:val="16"/>
        </w:rPr>
        <w:softHyphen/>
        <w:t>ной установкой БМ-13-16, эвакуированной после испытаний из-под Се</w:t>
      </w:r>
      <w:r w:rsidRPr="00640820">
        <w:rPr>
          <w:rFonts w:ascii="Times New Roman" w:hAnsi="Times New Roman"/>
          <w:color w:val="000000" w:themeColor="text1"/>
          <w:sz w:val="16"/>
          <w:szCs w:val="16"/>
        </w:rPr>
        <w:softHyphen/>
        <w:t>вастополя. В ответ немцы обстреляли позицию «катюши» из своих реак</w:t>
      </w:r>
      <w:r w:rsidRPr="00640820">
        <w:rPr>
          <w:rFonts w:ascii="Times New Roman" w:hAnsi="Times New Roman"/>
          <w:color w:val="000000" w:themeColor="text1"/>
          <w:sz w:val="16"/>
          <w:szCs w:val="16"/>
        </w:rPr>
        <w:softHyphen/>
        <w:t>тивных установок химическими снарядами, своеобразно продемон</w:t>
      </w:r>
      <w:r w:rsidRPr="00640820">
        <w:rPr>
          <w:rFonts w:ascii="Times New Roman" w:hAnsi="Times New Roman"/>
          <w:color w:val="000000" w:themeColor="text1"/>
          <w:sz w:val="16"/>
          <w:szCs w:val="16"/>
        </w:rPr>
        <w:softHyphen/>
        <w:t>стрировав, что готовы нарушить запреты Международной Конвенции. В то же время, расчеты немецкой полевой артиллерии в ходе всей войны регулярно применяли против наших войск свои реактивные боеприпасы зажигательного действия, снаряженные жидкой зажигательной смесью, но в ответ ни разу не получили залпа химическими МХ-13 из «катюш». В ходе Великой Отечественной развивалось производство реактивных хими</w:t>
      </w:r>
      <w:r w:rsidRPr="00640820">
        <w:rPr>
          <w:rFonts w:ascii="Times New Roman" w:hAnsi="Times New Roman"/>
          <w:color w:val="000000" w:themeColor="text1"/>
          <w:sz w:val="16"/>
          <w:szCs w:val="16"/>
        </w:rPr>
        <w:softHyphen/>
        <w:t>ческих снарядов РХС-132 и МХ-13. Их нашей промышленностью было выпущено ровно столько же, сколько и осколочно-фугасных М-13, с той лишь разницей, что эти боеприпасы не применяли, а складировали в глубоком тылу. Но, даже в условиях дефицита баллиститных порохов ни у кого в Наркомате боеприпасов не возникло и мысли использовать РЗ от МХ-13 для снаряжения фронтовых партий М-13 (11402).</w:t>
      </w:r>
    </w:p>
    <w:p w14:paraId="2D7BD9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34369C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Вплоть до 1941 г. в НИИ-3 НКБ очень медленно, но шла отработка 406-мм ракетных снарядов в ин</w:t>
      </w:r>
      <w:r w:rsidRPr="00640820">
        <w:rPr>
          <w:rFonts w:ascii="Times New Roman" w:hAnsi="Times New Roman"/>
          <w:color w:val="000000" w:themeColor="text1"/>
          <w:sz w:val="16"/>
          <w:szCs w:val="16"/>
        </w:rPr>
        <w:softHyphen/>
        <w:t>тересах ВМС КА. Это именно для них изготовили пусковую установку на... санях. Но данные о ней в архивах ВВС и НИИ-3 крайне скудные.</w:t>
      </w:r>
    </w:p>
    <w:p w14:paraId="4C3D896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Некоторые авторы в своих публикациях, уцепившись за слово «сани» в годовом отчете за 1940 г., не стесняются живописно фантазировать о существовании «тачанки с «катюшей» на борту». Там, чуть ли не крас</w:t>
      </w:r>
      <w:r w:rsidRPr="00640820">
        <w:rPr>
          <w:rFonts w:ascii="Times New Roman" w:hAnsi="Times New Roman"/>
          <w:color w:val="000000" w:themeColor="text1"/>
          <w:sz w:val="16"/>
          <w:szCs w:val="16"/>
        </w:rPr>
        <w:softHyphen/>
        <w:t>ноармейцы в буденовках правили «лихой тройкой лошадей». На деле все оказалось куда прозаичнее - для стрельбы достаточно тяжелыми РС-406 (по другим данным — РМ-470 модели 134000) из стационарной (палуб</w:t>
      </w:r>
      <w:r w:rsidRPr="00640820">
        <w:rPr>
          <w:rFonts w:ascii="Times New Roman" w:hAnsi="Times New Roman"/>
          <w:color w:val="000000" w:themeColor="text1"/>
          <w:sz w:val="16"/>
          <w:szCs w:val="16"/>
        </w:rPr>
        <w:softHyphen/>
        <w:t>ной) пусковой в НИИ-3 НКБ для наземного отстрела наскоро сварили стальные сани, которые трактором буксировали по полигону на боевую позицию и обратно. БЧ этой 470-мм ракетной мины РМ-470 была осна</w:t>
      </w:r>
      <w:r w:rsidRPr="00640820">
        <w:rPr>
          <w:rFonts w:ascii="Times New Roman" w:hAnsi="Times New Roman"/>
          <w:color w:val="000000" w:themeColor="text1"/>
          <w:sz w:val="16"/>
          <w:szCs w:val="16"/>
        </w:rPr>
        <w:softHyphen/>
        <w:t>щена головным ГВМЗ и донным взрывателем РД.</w:t>
      </w:r>
    </w:p>
    <w:p w14:paraId="6FCDF2C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Кстати, тезис об увеличении калибров корабельных ракетных систем «вплоть до 450 мм, в частности, для метания по воздуху зарядных отделе</w:t>
      </w:r>
      <w:r w:rsidRPr="00640820">
        <w:rPr>
          <w:rFonts w:ascii="Times New Roman" w:hAnsi="Times New Roman"/>
          <w:color w:val="000000" w:themeColor="text1"/>
          <w:sz w:val="16"/>
          <w:szCs w:val="16"/>
        </w:rPr>
        <w:softHyphen/>
        <w:t>ний торпед с помощью ракет», озвученный комиссией Черноморского Флота в 1935 г., не остался пустым звуком (11402).</w:t>
      </w:r>
    </w:p>
    <w:p w14:paraId="4AE8183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F58797"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1A5F79A2"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BCA04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был создан Боеприпасный завод № 325 НКБ (Завод № 325 НКБ, МОП, п/я 126 /г. Новосибирск п/я 126 (1943 г.); Красный пр./), в 12.1942- 04.1943 г. - в ведении 5ГУ НКБ, в 08.1943-09.1944 г. - в ведении 8ГУ. Имел обозначение «п/я 126» (1943 г.) (вероятно, был филиалом комбината № 179).</w:t>
      </w:r>
    </w:p>
    <w:p w14:paraId="700E57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площадку завода по постановлению ГКО № 717с от 27.09.1941 г. эвакуирована часть завода № 513 НКБ (производство 20-мм снарядов, 233 ед. оборудования), к 30.12.1941 г. все оборудование прибыло, половина его смонтирована.</w:t>
      </w:r>
    </w:p>
    <w:p w14:paraId="7135776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1959 г. вошел в состав НИИ-48.</w:t>
      </w:r>
    </w:p>
    <w:p w14:paraId="2B33A0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(1943 г.)- 356 ед.</w:t>
      </w:r>
    </w:p>
    <w:p w14:paraId="76A83E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(1943 г.): производственная- 5407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вспомогательная- 1045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2F7E27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(12.1942 г.)- 2385 чел.</w:t>
      </w:r>
    </w:p>
    <w:p w14:paraId="15BF0C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(04.1943 г.)- Афанасьев.</w:t>
      </w:r>
    </w:p>
    <w:p w14:paraId="5D546B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ППО (04.1943 г.)- Скорицкий.</w:t>
      </w:r>
    </w:p>
    <w:p w14:paraId="0AA2A2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Руководитель термобригады (1946-47 г.)- Е.Ф. Доильницын.</w:t>
      </w:r>
    </w:p>
    <w:p w14:paraId="1C31C0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снаряды: 20-мм, 23-мм (1943),</w:t>
      </w:r>
      <w:r w:rsidRPr="00640820">
        <w:rPr>
          <w:rFonts w:ascii="Times New Roman" w:hAnsi="Times New Roman"/>
          <w:color w:val="000000" w:themeColor="text1"/>
          <w:sz w:val="16"/>
          <w:szCs w:val="16"/>
          <w:vertAlign w:val="superscript"/>
        </w:rPr>
        <w:t>Ь2</w:t>
      </w:r>
      <w:r w:rsidRPr="00640820">
        <w:rPr>
          <w:rFonts w:ascii="Times New Roman" w:hAnsi="Times New Roman"/>
          <w:color w:val="000000" w:themeColor="text1"/>
          <w:sz w:val="16"/>
          <w:szCs w:val="16"/>
        </w:rPr>
        <w:t xml:space="preserve"> термитные.</w:t>
      </w:r>
    </w:p>
    <w:p w14:paraId="3BABF3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завода № 325 МОП, НИИ-48 МСХМ, НИИ электронных приборов (НИИЭП) ММ, ФГУП «НИИЭП» Росбоеприпаса, ОАО «НИИЭПр» /630005  г. Новосибирск ул. Писарева, 53 тел. 242-479/</w:t>
      </w:r>
    </w:p>
    <w:p w14:paraId="4EB54D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СМ СССР от 27.12.1949 г. и приказом МСХМ от 22.01.1950 г. на базе ОКБ завода № 325 МОП создан НИИ-48 для разработки систем ближней локации на различных физических принципах (радио, лазерной и оптической) для широкого класса боеприпасов. В 1957 г. НИИ-48 преобразован в НИИЭП. Разрабатывалась также бортовая электроника и системы управления для различных видов вооружений и военной техники, в т.ч. для «Круг», «Шторм», С-25, С-300В, «Тор», «Кинжал». Сдано на вооружение более 40 изделий.</w:t>
      </w:r>
    </w:p>
    <w:p w14:paraId="1C607B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2004 г. ФГУП НИИЭП преобразовано в ОАО «НИИЭПр».</w:t>
      </w:r>
    </w:p>
    <w:p w14:paraId="3C75218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Работы (2004 г.): создание систем ближней локации в дипапазоне электромагнитных волн от дециметрового до оптического; бортовых вычислительных машин (БЭВМ) и автоматики для различной военной техники и вооружения.</w:t>
      </w:r>
    </w:p>
    <w:p w14:paraId="7494A3D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института (2004 г.): научно-исследовательские, конструкторские, технологические подразделения, опытное производство, испытательный комплекс, в т.ч. безэховый комплекс антенных измерений.</w:t>
      </w:r>
    </w:p>
    <w:p w14:paraId="055E60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(1958-63 г.)- В.П. Привалов, (1963-70 г.)- Н.Н. Афонский, (1970-1992 г.)- Н.И. Прокопенко, (1992- 2005 г.-)- В. Г. Эдвабник.</w:t>
      </w:r>
    </w:p>
    <w:p w14:paraId="10B634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Создано:</w:t>
      </w:r>
      <w:r w:rsidRPr="00640820">
        <w:rPr>
          <w:rFonts w:ascii="Times New Roman" w:hAnsi="Times New Roman"/>
          <w:color w:val="000000" w:themeColor="text1"/>
          <w:sz w:val="16"/>
          <w:szCs w:val="16"/>
        </w:rPr>
        <w:t xml:space="preserve"> взрыватели для морских ракет, лазерные взрыватели для УРВВ; БЧ для С-300; системы ближней локации для ЗРК «Круг», «Стрела-10СВ» (1969-76), «Шторм», С-25, С-75, С-300, «Тор», «Кинжал», УР К-73, К- 77. Х-59У, автоматика для бомб ОФАБ-100, ОФАБ-250, КАБ-500, ОТРК «Точка-У», Искандер-М», РСЗО «Смерч»; датчики обледенения и СКВ для Бе-200;</w:t>
      </w:r>
      <w:r w:rsidRPr="00640820">
        <w:rPr>
          <w:rFonts w:ascii="Times New Roman" w:hAnsi="Times New Roman"/>
          <w:color w:val="000000" w:themeColor="text1"/>
          <w:sz w:val="16"/>
          <w:szCs w:val="16"/>
          <w:vertAlign w:val="superscript"/>
        </w:rPr>
        <w:t>25</w:t>
      </w:r>
      <w:r w:rsidRPr="00640820">
        <w:rPr>
          <w:rFonts w:ascii="Times New Roman" w:hAnsi="Times New Roman"/>
          <w:color w:val="000000" w:themeColor="text1"/>
          <w:sz w:val="16"/>
          <w:szCs w:val="16"/>
        </w:rPr>
        <w:t xml:space="preserve"> БЭВМ для ЗРК С-300В (11982).</w:t>
      </w:r>
    </w:p>
    <w:p w14:paraId="39082FB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A1C7C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после начала войны Завод № 460 НКВ, НКБ /г. Подольск Московской обл./ был эвакуирован в Ижевск на завод № 74.</w:t>
      </w:r>
    </w:p>
    <w:p w14:paraId="01EC39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Затем завод передан из НКВ в ведение НКБ. Завод № 460 НКБ был в 06.1942 г., в 08.1943-09.1944 г. - в ведении 4ГУНКБ.</w:t>
      </w:r>
    </w:p>
    <w:p w14:paraId="5E6242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(12.1942 г.)- 3662 чел.</w:t>
      </w:r>
    </w:p>
    <w:p w14:paraId="7AAEBE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(-12.1942-11.1943 г.-)- П.Ф. Бубнов.</w:t>
      </w:r>
      <w:r w:rsidRPr="00640820">
        <w:rPr>
          <w:rFonts w:ascii="Times New Roman" w:hAnsi="Times New Roman"/>
          <w:color w:val="000000" w:themeColor="text1"/>
          <w:sz w:val="16"/>
          <w:szCs w:val="16"/>
          <w:vertAlign w:val="superscript"/>
        </w:rPr>
        <w:t>132</w:t>
      </w:r>
    </w:p>
    <w:p w14:paraId="1CE0E9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технолог (1940-41 г.)- Н.В. Кочерыгин.</w:t>
      </w:r>
    </w:p>
    <w:p w14:paraId="7B5900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авиабомбы ФАБ-100 (1943); буровые установки для сейсмической разведки, лебедки, насосы (1946) (11982).</w:t>
      </w:r>
    </w:p>
    <w:p w14:paraId="206C36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2749C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после начала войны в Каменск-Уральский эвакуирована часть завода № 7 НКЦМ, на ее базе создан завод № 515 НКЦМ (Завод № 515 НКЦМ, Каменск-Уральский завод по обработке цветных металлов (ОЦМ), ОАО «Каменск-Уральский завод ОЦМ» /623414  г. Каменск-Уральский Свердловской обл. ул. Лермонтова, 40 тел. 35-717/).</w:t>
      </w:r>
    </w:p>
    <w:p w14:paraId="7EA100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(2004 г.): изделия из меди, никеля, цинка, алюминия, латуни, бронзы, порошки, прокат.</w:t>
      </w:r>
    </w:p>
    <w:p w14:paraId="019FC3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Гендиректор (2001 г.)- В.А. Молчанов (11982).</w:t>
      </w:r>
    </w:p>
    <w:p w14:paraId="69130D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AE698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после начала войны в Орск эвакуирована часть завода № 7 НКЦМ, на ее базе создан завод № 516 (Завод № 516 НКЦМ , Орский завод по обработке цветных металлов, ОАО «Орский завод цветных металлов» /462402  г. Орск Оренбургской обл. ул. Заводская, 6/).</w:t>
      </w:r>
    </w:p>
    <w:p w14:paraId="1B6836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Был в 1960-е г. (11982).</w:t>
      </w:r>
    </w:p>
    <w:p w14:paraId="07EEBD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CDA99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был создан Завод № 568 НКБ (Завод № 568 НКБ /г. Москва/) на базе предприятия Комитета по делам искусств. Производство корпусов снарядов М-20, М-30 и М-31. В 1942 г. с завода № 562 НКБ передано оборудование по снаряжению 76-мм снарядов и 82-мм мин.</w:t>
      </w:r>
      <w:r w:rsidRPr="00640820">
        <w:rPr>
          <w:rFonts w:ascii="Times New Roman" w:hAnsi="Times New Roman"/>
          <w:color w:val="000000" w:themeColor="text1"/>
          <w:sz w:val="16"/>
          <w:szCs w:val="16"/>
          <w:vertAlign w:val="superscript"/>
        </w:rPr>
        <w:t>56</w:t>
      </w:r>
      <w:r w:rsidRPr="00640820">
        <w:rPr>
          <w:rFonts w:ascii="Times New Roman" w:hAnsi="Times New Roman"/>
          <w:color w:val="000000" w:themeColor="text1"/>
          <w:sz w:val="16"/>
          <w:szCs w:val="16"/>
        </w:rPr>
        <w:t xml:space="preserve"> В 12.1942 г. - в ведении 4ГУ НКБ, в 08.1943-09.1944 г. - в ведении 7ГУ.</w:t>
      </w:r>
    </w:p>
    <w:p w14:paraId="193E5B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06.1945 г. завод прекратил свою деятельность, оборудование и кадры переданы на другие заводы НКБ. В 06.1945 г. на площадку завода переведен Инструментальный часовой завод Главчаспрома НКМВ.</w:t>
      </w:r>
    </w:p>
    <w:p w14:paraId="08470F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имел филиал - завод № 775, который в 1946 г. стал опытным заводом ГЦКБ-1 МСХМ.</w:t>
      </w:r>
    </w:p>
    <w:p w14:paraId="293B36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(12.1942 г.)- 1128 чел.</w:t>
      </w:r>
    </w:p>
    <w:p w14:paraId="5FB0C91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640820">
        <w:rPr>
          <w:rFonts w:ascii="Times New Roman" w:hAnsi="Times New Roman"/>
          <w:color w:val="000000" w:themeColor="text1"/>
          <w:sz w:val="16"/>
          <w:szCs w:val="16"/>
        </w:rPr>
        <w:t>Директор (ВОВ)- П.А. Большаков. Начальник (11.1943 г.)- Андрачников (11982).</w:t>
      </w:r>
    </w:p>
    <w:p w14:paraId="1C1FEAB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F7C93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был реконструирован Завод № 602 НКБ, п/я 110 /г. Саратов п/я 110/. В 12.1942-04.1943 г. - в ведении 1ГУ НКБ.</w:t>
      </w:r>
    </w:p>
    <w:p w14:paraId="3940C1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(12.1942 г.)- 492 чел.</w:t>
      </w:r>
    </w:p>
    <w:p w14:paraId="043CD1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(1943 г.): производственная- 1455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вспомогательная- 1327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прочая- 1395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2C2C81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(04.1943 г.)- Ненешев.</w:t>
      </w:r>
    </w:p>
    <w:p w14:paraId="42745B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(04.1943 г.)- Бацюра.</w:t>
      </w:r>
    </w:p>
    <w:p w14:paraId="04EA92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снаряды: 37-мм, 45-мм; гранаты РГ-42, РГК; амматол (1943) (11982).</w:t>
      </w:r>
    </w:p>
    <w:p w14:paraId="360753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22C4C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на базе завода № 308 НКБ (производство корпусов гранат РГ-33, 153 ед. оборудования, 81 чел.), эвакуированного из Харькова на площадку двух продовольственных складов УГМР, был создан Курганский механический завод № 603 НКБ (Завод № 603 НКБ, п/я 63, Курганский механический завод им. 50-летия СССР /г. Курган Челябинской обл. п/я 63 «Стрела» (1942 г.)/ /640000  г. Курган ул. Автозаводская, 1 А/). Первая очередь завода пущена в эксплуатацию по приказу НКБ № 16 от 13.01.1942 г., к 30.01.942 г. прибыло 148 ед. оборудования. Было восстановлено производство гранат мощностью 2,4 млн. шт. в год.</w:t>
      </w:r>
    </w:p>
    <w:p w14:paraId="0884443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12.1942-11.1943 г. -в ведении 2ГУ НКБ, в 09.1944 г. - в ведении 8ГУ.</w:t>
      </w:r>
    </w:p>
    <w:p w14:paraId="553973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1970 г. начато освоение радиотехнической продукции, в 1972 г. ее объем составил 25% заводской продукции. По приказу ММ № 228 от 06.1973 г. на базе Курганского механического завода и Курганского приборостроительного завода создано ПО «Курганприбор». В 1975 г. заводу присвоено имя 50-летия СССР. Был в 2004 г.</w:t>
      </w:r>
    </w:p>
    <w:p w14:paraId="182140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(04.1943 г.)- 436 (металлорежущее) ед. Производственные площади: (1943 г.)- 10.300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(1970 г.)- 49.441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Численность персонала (12.1942 г.)- 1929 чел. Директор (04.1943 г.)- Кузьмин. Гл. инженер (04.1943 г.)- Поляков.</w:t>
      </w:r>
    </w:p>
    <w:p w14:paraId="4EBA6D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мобилизационно-планового (04.1943 г.)- Злотченко.</w:t>
      </w:r>
      <w:r w:rsidRPr="00640820">
        <w:rPr>
          <w:rFonts w:ascii="Times New Roman" w:hAnsi="Times New Roman"/>
          <w:color w:val="000000" w:themeColor="text1"/>
          <w:sz w:val="16"/>
          <w:szCs w:val="16"/>
          <w:vertAlign w:val="superscript"/>
        </w:rPr>
        <w:t xml:space="preserve">132 </w:t>
      </w:r>
      <w:r w:rsidRPr="00640820">
        <w:rPr>
          <w:rFonts w:ascii="Times New Roman" w:hAnsi="Times New Roman"/>
          <w:color w:val="000000" w:themeColor="text1"/>
          <w:sz w:val="16"/>
          <w:szCs w:val="16"/>
        </w:rPr>
        <w:t>Создано: устройство сигнализационное «Скала-1М» (2003).</w:t>
      </w:r>
    </w:p>
    <w:p w14:paraId="60F4C8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Производство: КВ-4, запал УЗРГ, граната РГ-42 (1943); «Нева-ЮМ» (1986); магнитолы: «Аэлита-101 (1986), - 102, РМ-204С»; радиоприемник «Аэлита РП-215» (11982).</w:t>
      </w:r>
    </w:p>
    <w:p w14:paraId="29CA5F50" w14:textId="77777777" w:rsidR="00646706" w:rsidRPr="00640820" w:rsidRDefault="00646706" w:rsidP="00640820">
      <w:pPr>
        <w:autoSpaceDE w:val="0"/>
        <w:autoSpaceDN w:val="0"/>
        <w:adjustRightInd w:val="0"/>
        <w:spacing w:after="0" w:line="240" w:lineRule="auto"/>
        <w:jc w:val="both"/>
        <w:rPr>
          <w:rFonts w:ascii="Times New Roman" w:hAnsi="Times New Roman"/>
          <w:color w:val="000000" w:themeColor="text1"/>
          <w:sz w:val="16"/>
          <w:szCs w:val="16"/>
        </w:rPr>
      </w:pPr>
    </w:p>
    <w:p w14:paraId="53B74D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был образован Завод № 609 НКБ в дер. Сапожнята Слободского р-на Кировской обл. на базе завода «Фитинг». Сюда осенью 1941 г. эвакуирована основная часть оборудования завода № 58 НКБ (производство ПП-3, МУВ, РПГ-40 и деталей к РГ-33; всего 422 ед. оборудования, 200 чел.); к 30.12.1941 г. все оборудование прибыло, небольшая часть его смонтирована.</w:t>
      </w:r>
    </w:p>
    <w:p w14:paraId="3A181A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12.1942 г. -в ведении 6ГУ НКБ. В 07.1943 г. завод № 609 влит в состав завода№ 608 НКБ.</w:t>
      </w:r>
    </w:p>
    <w:p w14:paraId="49C05C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(12.1942 г.)- 1083 чел.</w:t>
      </w:r>
      <w:r w:rsidRPr="00640820">
        <w:rPr>
          <w:rFonts w:ascii="Times New Roman" w:hAnsi="Times New Roman"/>
          <w:color w:val="000000" w:themeColor="text1"/>
          <w:sz w:val="16"/>
          <w:szCs w:val="16"/>
          <w:vertAlign w:val="superscript"/>
        </w:rPr>
        <w:t>Ь2</w:t>
      </w:r>
    </w:p>
    <w:p w14:paraId="73B632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(10.1941-01.1942 г.)- И.И. Кулаков, (01-08.1942 г.)- Р.Ф. Кулютин, (09-12.1942 г.)- С.А. Бабаев, (01- 07.1943 г.)- С.К. Синюхин (11982).</w:t>
      </w:r>
    </w:p>
    <w:p w14:paraId="2FC1A08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23965D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году ОКБ-172 были разработаны эскизные схемы 152-мм пушки на механической тяге на базе МУ-2 с качающейся частью Б-38:</w:t>
      </w:r>
    </w:p>
    <w:p w14:paraId="5F04C5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 МУ-2/Б-4 установка МУ-2 на лафете Б-4;</w:t>
      </w:r>
    </w:p>
    <w:p w14:paraId="55166B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 МУ-2/П установка МУ-2 на возимом основании (3861).</w:t>
      </w:r>
    </w:p>
    <w:p w14:paraId="581FED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BDE71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году началось проектирование 152-мм подвижных береговых установок СМ-9 (3861).</w:t>
      </w:r>
    </w:p>
    <w:p w14:paraId="7FA297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B98C6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году в АНИИ был разработан аванпроект 152-мм береговой подвижной установки АМ-1-152 с качающейся частью от МУ-2. Угол вертикального наведения 0; +40, угол горизонтального наведения 360. Приводы наведения ручные, скорость вертикального наведения 3 град/с, горизонтального наведения 2 град/с. Подача боеприпасов ручная (3861).</w:t>
      </w:r>
    </w:p>
    <w:p w14:paraId="4F1577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58503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году в КБ УЗТМ ("Уралмаш") была спроектирована 85-мм "дивизионная и противотанковая" пушка У-10. Пушка была получена наложением ствола с баллистикой 85-мм зенитной пушки обр. 1939 г. на лафет гаубицы М-30 (3861).</w:t>
      </w:r>
    </w:p>
    <w:p w14:paraId="5AE797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1B8E0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году в КБ УЗТМ ("Уралмаш") была спроектирована 85-мм "дивизионная и противотанковая" пушка У-10. Пушка была получена наложением ствола с баллистикой 85-мм зенитной пушки обр. 1939 г. на лафет гаубицы М-30 (3861).</w:t>
      </w:r>
    </w:p>
    <w:p w14:paraId="2C9246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2ADD4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году в КБ завода № 92 под руководством Грабина работали над установкой ЗИС-В - 76-мм пушкой Ф-22 на тумбе для "зенитной самообороны". Разумеется, из этой затеи ничего путного не вышло (3861).</w:t>
      </w:r>
    </w:p>
    <w:p w14:paraId="61C5F2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1EC75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году были отработаны 180-мм осколочно-фугасный снаряд с добавкой твердого отравляющего вещества, который получил название осколочно-химического (ОХС) и 180-мм химический снаряд ударного действия с жидким отравляющим веществом (3861).</w:t>
      </w:r>
    </w:p>
    <w:p w14:paraId="676182B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2E119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году ОТБ НКВД (затем ОКБ-172) разработало проект минометов АРГК 400-мм М-400 и 450-мм ОМ-450 (3861).</w:t>
      </w:r>
    </w:p>
    <w:p w14:paraId="30928A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0D88A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после эвакуации НИИ-6 был издан приказ об организации филиалов института: филиал № 1 при заводе № 580 (г. Красноярск), начальник- А.А. Иванов; филиал № 2 при заводе № 98 (г. Молотов), начальник- И.Г. Лопук; филиал № 3 при заводе № 635 (г. Новосибирск), начальник- В.З. Смоляницкий; филиал № 4 при заводе № 320 (г. Чебоксары), начальник- А.П. Ионов. Затем вышел приказ НКБ № 660 от 1.12.1941 г., отменявший предыдущее решение. В соответствии с ним был организован лишь филиал № 1 на заводе № 320 (начальник Н.Ф. Ус) (10776).</w:t>
      </w:r>
    </w:p>
    <w:p w14:paraId="0E4237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D574E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был завод № 529 НКВ – Калинин (9196).</w:t>
      </w:r>
    </w:p>
    <w:p w14:paraId="3958B6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B67A3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Завод № 237 НКВ оказался в Казани, 18, п/я 157 (9201).</w:t>
      </w:r>
    </w:p>
    <w:p w14:paraId="720897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EB6A7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в Ташкент на площадку Тарной фабрики эвакуирована часть завода «Ростсельмаш», на его базе организован завод «Ташсельмаш». В 06.1942 г. завод - в ведении Главсельмаша НКМВ. В соответствии с пост, правительства № 837-430сс от 3.06.1942 г. и приказом НКМВ № 250с от 7.07.1942 г. Ташкентский завод сельхозмашин НКМВ переименован в завод № 708 в ведении 1ГУ (Завод № 708 ИМ. Сталина НКМВ, Ташкентский завод сельскохозяйственных машин («Ташсельмаш») им. Сталина НКМВ, Завод «Таштекстильмаш» ММиП /г. Ташкент ул. Текстильная, 7 «Сталинец»/).</w:t>
      </w:r>
    </w:p>
    <w:p w14:paraId="5050CF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НКМВ № 223с от 20.06.1942 г. с завода передано 80 единиц оборудования на Рубцовский завод сельхозмашин. Пост. ГКО № 1962сс от 4.07.1942 г. и приказом НКМВ № 237сс от 7.07.1942 г. заводу установлен план выпуска на 3-й квартал 1942 г. 50-мм минометов- 2250 шт.</w:t>
      </w:r>
    </w:p>
    <w:p w14:paraId="4726BC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Далее - завод «Таштекстильмаш», в 1947 г. завод - в ведении Главтекстильлегмаша ММиП.</w:t>
      </w:r>
    </w:p>
    <w:p w14:paraId="3409AF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заводов (1947 г.) цехи: основные: РВК № 1, механический № 5, метизный № 7, механический крепежных деталей № 8, механический массовых деталей № 9, рогулек № 10, литейный № 2, кузнечно-прессовый № 3, сборочный № 6; вспомогательные: ДОК № 15, экспериментальный № 20, модельный № 23, ремонтно- механический № 29, инструментальный № 32, энергоцех № 33, центральная лаборатория (цех № 35).</w:t>
      </w:r>
    </w:p>
    <w:p w14:paraId="72AE98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Количество оборудования: (1946 г.)- 1398 ед., (1947 г.)- 1448 ед.</w:t>
      </w:r>
    </w:p>
    <w:p w14:paraId="2F26B1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Площадь: территории (1947 г.)- 25 га; застройки (1947 г.)- 60981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 производственная (1947 г.)- 39788 м</w:t>
      </w:r>
      <w:r w:rsidRPr="00640820">
        <w:rPr>
          <w:rFonts w:ascii="Times New Roman" w:hAnsi="Times New Roman"/>
          <w:color w:val="000000" w:themeColor="text1"/>
          <w:sz w:val="16"/>
          <w:szCs w:val="16"/>
          <w:vertAlign w:val="superscript"/>
        </w:rPr>
        <w:t>2</w:t>
      </w:r>
      <w:r w:rsidRPr="00640820">
        <w:rPr>
          <w:rFonts w:ascii="Times New Roman" w:hAnsi="Times New Roman"/>
          <w:color w:val="000000" w:themeColor="text1"/>
          <w:sz w:val="16"/>
          <w:szCs w:val="16"/>
        </w:rPr>
        <w:t>.</w:t>
      </w:r>
    </w:p>
    <w:p w14:paraId="7A6410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(1946 г.)- 3642 чел., (1947 г.)- 3558 чел.</w:t>
      </w:r>
    </w:p>
    <w:p w14:paraId="6BC991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(06.1942 г.)- Титаренко, (1948 г.)- Виноградов.</w:t>
      </w:r>
    </w:p>
    <w:p w14:paraId="2EDFCB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(1948 г.)- Котов.</w:t>
      </w:r>
    </w:p>
    <w:p w14:paraId="5A83F69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50-мм минометы; корпуса мин 82-мм, 120-мм, химической «ОТ», бомб ФАБ-100, АО-25 (1942); ватеры: ВВ-66, В-66; тазово-перегонный банкаброш БТП2 (1947) (11982).</w:t>
      </w:r>
    </w:p>
    <w:p w14:paraId="1397D1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23EA3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1941 Завод имени Киркижа стал основным предприятием по производству автоматического оружия для фронта: ручных и танковых пулеметов ДП и ДТ, противотанковых ружей ПТРД, авиационных ШВАК. Отмечая большой вклад ковровчан в дело борьбы с агрессором, в 1942 г. в Кремле Председатель Президиума Верховного Совета СССР М.И.Калинин подписал Указ о награждении завода орденом Трудового Красного Знамени. С этого времени завод именуется "Государственный Союзный Ордена Трудового Красного Знамени завод № 2 имени К. О. Киркижа". За годы войны завод выпустил и отправил в действующую армию 1 миллион 202 тысячи 408 единиц различного вооружения. Девять новых образцов автоматического стрелкового оружия было создано в военное время конструкторским бюро завода. Как особо отличившемуся в выполнении и перевыполнении Государственного плана в течение всего периода Отечественной войны 1941-1945 гг. заводу им. Киркижа в 1945 г. было передано на постоянное хранение переходящее Красное Знамя ЦК ВКП (б) и ГКО, а 16 сентября того же года Указом Президиума Верховного Совета СССР завод наградили Орденом Ленина. С этого времени он стал именоваться "Государственный Союзный Ордена Ленина и Ордена Трудового Красного Знамени завод № 2 имени К. О. Киркижа".</w:t>
      </w:r>
    </w:p>
    <w:p w14:paraId="780F53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завод частично перешел на выпуск мирной продукции. Ему предписывалось начать изготовление легкого мотоцикла. На заводе было организовано мотоциклетное производство и тогда же создан образец первого мотоцикла "К-125". Первые мотоциклы изготовили в конце ноября 1946 г., а уже в 1948 г. выпустили 25-ти тысячный мотоцикл. В 1949 г. скончался известный конструктор стрелкового оружия В. А. Дегтярев. В целях увековечения его памяти Совет Министров СССР постановил присвоить имя Василия Алексеевича Дегтярева Ковровскому заводу № 2 (9698).</w:t>
      </w:r>
    </w:p>
    <w:p w14:paraId="7F09E2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946DD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году почти все оборудование завода “Красный Аксай” было эвакуированло в Ташкент на завод № 735</w:t>
      </w:r>
    </w:p>
    <w:p w14:paraId="6EB8C4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Ростов-на-Дону, 35 линия, № 91</w:t>
      </w:r>
    </w:p>
    <w:p w14:paraId="414B4B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Год основания завода – 1888</w:t>
      </w:r>
    </w:p>
    <w:p w14:paraId="00A763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Профиль – с/х машиностроение (9162).</w:t>
      </w:r>
    </w:p>
    <w:p w14:paraId="308E7A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4EF15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году завод №53 был эвакуирован в г. Нижний Ломов Пензенской области. Там было восстановлено и начало массовый выпуск производство боеприпасов.</w:t>
      </w:r>
    </w:p>
    <w:p w14:paraId="431DB3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освобождения Шостки в 1943 году началось восстановление Шосткинского капсюльного завода № 53. В 1944 году завод начал выпускать продукцию для фронта и приказом НКБ от 2 июня 1944 года за № 6020 Шосткинский капсюльный завод № 53 был введен в число действующих предприятий.</w:t>
      </w:r>
    </w:p>
    <w:p w14:paraId="65703D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Шостка Сумской области, п/я 13</w:t>
      </w:r>
    </w:p>
    <w:p w14:paraId="1E05D4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завода – П. Трошин (10026).</w:t>
      </w:r>
    </w:p>
    <w:p w14:paraId="60A577E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6F4B5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году был основан Завод № 521 МОП на базе эвакуированного завода № 260. Ввод завода в эксплуатацию в 1941 году с профилем – взрыватели к артснарядам. Реконструкция начата в 1946 году и закончена в 1955 году на профиль – механические взрыватели (10007).</w:t>
      </w:r>
    </w:p>
    <w:p w14:paraId="34D843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7AD63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году жестяно-штамповальное производство завода № 67 было эвакуировано в Дзержинск, а механическое оборудование – в Миасы. В период 1941-1945 гг. опытный завод полностью был загружен выпуском боеприпасов всех направлений, как по линии ВВС, а также по ВМС, ГАУ и ВИУ. В 1947 году бывш. цех холодной штамповки с прилегающими службами, складами, оборудованием, рабочей силой по распоряжению МСХМ был передан бывш. КБ-2, ныне ГСНИИ-642. До 1953 года опытный завод, ранее именовавшийся “Завод № 67 им. С.К. Тимошенко” слился с институтом, как опытная база при институте.</w:t>
      </w:r>
    </w:p>
    <w:p w14:paraId="01C31B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Москва, Е-58, Сталинский район, Вельяминовская ул., д. 32, п/я 2350</w:t>
      </w:r>
    </w:p>
    <w:p w14:paraId="34F864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опытного завода – Титов</w:t>
      </w:r>
    </w:p>
    <w:p w14:paraId="38307F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граничит с северной стороны с Ткацкой улицей, с южной с ГСКБ-47 МОП и Зверинецкая улица, с восточной – территория филиала завода № 45 МАП и с западной –Вельяминовская улица (10040).</w:t>
      </w:r>
    </w:p>
    <w:p w14:paraId="378D29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D7E59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1941 г. основан завод № 627. 5.05.1944 г. ГС завод № 627 переименован в ГС НИИ-627. Создание источников электропитания для радиостанций, передвижных электростанций. </w:t>
      </w:r>
    </w:p>
    <w:p w14:paraId="334939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1946-48 г. группой Н.Н. Шереметьевского воссоздана американская амплидинно-сельсинная следящая система для пушечного вооружения Ту-4.</w:t>
      </w:r>
    </w:p>
    <w:p w14:paraId="1B1D12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конце 1940-х г.- разработка и выпуск бортоборудования для МБР (Р-7). </w:t>
      </w:r>
    </w:p>
    <w:p w14:paraId="45697BE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1953 г. в отделе Б.М. Кагана начались работы по вычислительной технике (с 1966 г. начальник- В.М. Долкарт). В 1957 г. вступила в эксплуатацию ЭВМ М-3. В 1962 г. создана управляющая вычислительная машина «ВНИИЭМ-1». В 1965 г.- УВМ «ВНИИЭМ-3», на ее базе созданы: УВМ В-3М, система обработки телеметрической информации с ИСЗ, «Скала» для энергоблоков АЭС, информационно-управляющая система для химпроизводства в Ангарске, управляющие вычислительные комплексы для испытаний КА. В 1979 г.- комплексы функционально-модульных микросредств управляющей ВТ МСУВТ В7. ВК повышенной надежности В6 для КА «Электро» (1994 г.). Для испытаний КА «Электро» была создана испытательная система на микросредствах МСУВТ В7/В9.</w:t>
      </w:r>
    </w:p>
    <w:p w14:paraId="7AC342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постановлением правительства от 30.10.1963 г.- головная организация по производству метеорологического КА «Метеор» (с 1969 г.- в эксплуатации), системы «Метеор» (2) (испытания- с 1975 г.).</w:t>
      </w:r>
    </w:p>
    <w:p w14:paraId="2FC903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Следящие системы ( и для ППВ), электродвигатели, реле рулевых машинок. Источники питания для ЗУР Р-101 (1948 г.). 1960-е г.: бортовое электрооборудование КА (приводы системы ориентации солнечных батарей, построители местной вертикали, двигатели, преобразователи, силовой гироскоп- «гиродин» для управления орбитальными станциями, шаровой двигатель-маховик для станции «Алмаз», бесщеточные двигатели постоянного тока систем жизнеобеспечения КА).</w:t>
      </w:r>
    </w:p>
    <w:p w14:paraId="4D87C58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1959 г. организован филиал в г. Истра для сборки и испытаний КА, с 1992 г.- самостоятельный НИИЭМ. </w:t>
      </w:r>
    </w:p>
    <w:p w14:paraId="6CB256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Решением ВПК от 4.06.1970 г. начата разработка Единой космической системы гидрометеорологического обеспечения (ГМКС). Затем, по Решению ВПК от 16.12.1972 г. начаты работы по ГМКС 3-го поколения «Планета-С» на базе КА «Метеор» (3).</w:t>
      </w:r>
    </w:p>
    <w:p w14:paraId="10BE0F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постановлением СМ СССР от 12.1971 г. началось создание КА для получения информации о природных ресурсах Земли (ИПРЗ) «Метеор-Природа» (запуски 9.07.1974 г., 15.05.1976 г., 29.06.1977 г.).</w:t>
      </w:r>
    </w:p>
    <w:p w14:paraId="665911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1957 г. назывался НИИ электротехнической промышленности № 627. В 1959 г. НИИ-627 переименован во ВНИИЭМ. В 1990 г. ВНИИЭМ- в ведении Минэлектротехпрома. По Указу Президента РФ № 1009 от 4.08.2004 г. вошел в число стратегических оборонных предприятий.</w:t>
      </w:r>
    </w:p>
    <w:p w14:paraId="01EF38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Разработка и производство бортовых преобразователей тока (умформеров) для РКТ. </w:t>
      </w:r>
    </w:p>
    <w:p w14:paraId="514509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2002 г.: электрооборудование, прецизионные электроприводы для РКТ, электромагнитные подшипники; электрооборудование, системы управления и защиты, информационно-диагностические системы для АЭС.</w:t>
      </w:r>
    </w:p>
    <w:p w14:paraId="607863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состав ВНИИЭМ входят (2004 г.): отделы: электрооборудования атомных станций (начальник- С.Д. Джумаев), электрооборудования систем управления и защиты атомных станций (начальник- В.А. Соколов), комплексных систем автоматизации (начальник- А.В. Петров), управляющих вычислительных средств (начальник- С.Я. Куцаков), систем управления перегрузочными машинами АЭС и специальных электроприводов (начальник- Ю.Т. Портной), локальных систем автоматизации и испытательных систем (начальник- Л.М. Лукьянов); испытательный центр (начальник- Ю.Ф. Пчеляков).www.vniiem.orc.ru </w:t>
      </w:r>
    </w:p>
    <w:p w14:paraId="058876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(1941-1970-е г.)- А.Г. Иосифьян.60 Ген. конструктор (1981 г.)- академик Н.Н. Шереметьевский.</w:t>
      </w:r>
    </w:p>
    <w:p w14:paraId="5F3D6B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(-1945-59 г.-)- А.Г. Иосифьян. Ген. директор (-2002-04 г.-)- С.А. Стома.</w:t>
      </w:r>
    </w:p>
    <w:p w14:paraId="524FA8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1-й зам. Гендиректора (2004 г.)- Г.А. Жемчугов. Зам. Гендиректора: по науке (2002 г.)- А.П. Сарычев; по ВЭС (2002 г.)- В.А. Круглин.69 </w:t>
      </w:r>
    </w:p>
    <w:p w14:paraId="54FCC6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конструкторы: (1981 г.)- Ю.В. Трифонов («Планета»).</w:t>
      </w:r>
    </w:p>
    <w:p w14:paraId="005B98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Работали: (1945 г.)- Н.Н. Шереметьевский; (1962 г.)- А.И. Воителев, В.Н. Степанов; (-1962-79 г.-)- В.М. Долкарт; (-1962-94 г.-)- М.М. Каневский, Л.М. Лукьянов, Г.Х. Новик; (1965 г.)- В.И. Адасько, А.Д. Воробьев, Б.М. Каган, М.Я. Танаев; (1979 г.)- В.В. Тащиян; (-1979-94 г.-)- И.Р. Крамфус; (1994 г.)- И.А. Жигунов, Ю.А. Кащавцев, И.С. Колтыпин.82 </w:t>
      </w:r>
    </w:p>
    <w:p w14:paraId="54E7D4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ГС Завод № 627, ГС НИИ-627 Минэлектротехпрома, ГКЭТ, НИИ электротехнической промышленности № 627, ВНИИЭМ (электромеханики) Минэлектротехпрома, ФГУП «НПП ВНИИЭМ с заводом им. А.Г. Иосифьяна» </w:t>
      </w:r>
    </w:p>
    <w:p w14:paraId="5CCEFF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Москва Хоромный туп., 4 101000 а/я 496 www.vniiem.ru</w:t>
      </w:r>
    </w:p>
    <w:p w14:paraId="0C29B5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Истринский филиал ВНИИЭМ, ФГУП «НИИЭМ (электромеханики)» РАКА, ФКА</w:t>
      </w:r>
    </w:p>
    <w:p w14:paraId="3730D5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143500 г. Истра Московской обл. ул. Панфилова, 1 тел. 994-51-42</w:t>
      </w:r>
    </w:p>
    <w:p w14:paraId="678574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Основан в 1959 г. как Истринский филиал ВНИИ электромеханики. В 1992 г. реорганизован в самостоятельное предприятие- НИИЭМ. По Указу Президента РФ № 1009 от 4.08.2004 г. вошел в число стратегических оборонных предприятий. В 10.2004 г. вошел в ОАО «ВПК «НПО машиностроения». </w:t>
      </w:r>
    </w:p>
    <w:p w14:paraId="05D62A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Созданы и испытаны метеорологические КА «Метеор-2» (в 1975-89 г. 18 запусков), «Метеор-3» (запущено 33 аппарата).</w:t>
      </w:r>
    </w:p>
    <w:p w14:paraId="0422CD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Работы на 2004 г.: разработка и изготовление бортовых систем для КА: систем ориентации и стабилизации, сброса кинетических моментов, коррекции орбиты радиационных холодильников и тепловых труб, бортовых комплексов управления и автоматизированных испытательных комплексов, информационно-навигационных систем; проектирование и изготовление: источников питания на основе электромашинных генераторов для морского флота, РКТ, прецизионных электроприводов для КА и станков с ЧПУ; разработка передвижных дизельных и газотурбинных электростанций мощностью до 300 кВт; разработка полупроводниковых преобразователей частоты, систем гарантированного питания, сложных электротехнических комплексов, частотно-регулируемых электроприводов. </w:t>
      </w:r>
    </w:p>
    <w:p w14:paraId="462630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Национальные программы: "Метеор", "Ресурс", "Электро". Участие в разработке метеорологических и природоресурсных космических систем нового поколения "Метеор-ЗМ" и "МКА-Метео".</w:t>
      </w:r>
    </w:p>
    <w:p w14:paraId="421CDA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Международные программы: "Интеркосмос-Болгария 1300", "Метеор-Томе", "Миссия к планете Земля", "СКАРАБ", "Спектр-Рентген-Гамма", запуск малых спутников "Тубсат" и "Темисат" совместно с Германией.</w:t>
      </w:r>
    </w:p>
    <w:p w14:paraId="67EAF7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настоящее время реализуются международные проекты: попутный запуск микроспутников BADR-B (Пакистан), Maroc/Tubsat (Марокко), установка на борту "Метеор-ЗМ" № 1 спектрометра Sage-3 (США, НАСА).</w:t>
      </w:r>
    </w:p>
    <w:p w14:paraId="3C37B6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Перспективные программы: создание космической системы оперативного краткосрочного прогноза землетрясений "Вулкан".</w:t>
      </w:r>
    </w:p>
    <w:p w14:paraId="405177C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Научно-производственная база НИИЭМ (2004 г.):</w:t>
      </w:r>
    </w:p>
    <w:p w14:paraId="106C1A6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монтажно-испытательный комплекс для КА с центром приема спутниковой телеметрической информации;</w:t>
      </w:r>
    </w:p>
    <w:p w14:paraId="1E3EB6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комплексный стенд механических и климатических испытаний;</w:t>
      </w:r>
    </w:p>
    <w:p w14:paraId="66E613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комплексный стенд электрических испытаний;</w:t>
      </w:r>
    </w:p>
    <w:p w14:paraId="237E65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автоматизированное производство сложных многослойных печатных плат;</w:t>
      </w:r>
    </w:p>
    <w:p w14:paraId="43014B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специализированное производство медицинской рентгеновской техники;</w:t>
      </w:r>
    </w:p>
    <w:p w14:paraId="23B4E3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 опытный завод НИИЭМ (ЗАО "Новатор"), расположенный на территории института. </w:t>
      </w:r>
    </w:p>
    <w:p w14:paraId="6D78949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Гендиректор (-2002-03 г.-)- А.Э. Хохлович. И.О. гендиректора (2004 г.)- А.Э. Хохлович.</w:t>
      </w:r>
    </w:p>
    <w:p w14:paraId="45E937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(1983 г.)- В.И. Адасько, (-2002-03 г.-)- А.Э. Хохлович.</w:t>
      </w:r>
    </w:p>
    <w:p w14:paraId="1EFA71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Гендиректора (2002 г.)- Е.Ф. Апанасенко. Зам. Гендиректора/ гл. конструктор по космической технике (2002 г.)- Р.С. Салихов.</w:t>
      </w:r>
    </w:p>
    <w:p w14:paraId="08D33D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Гл. инженер (2002 г.)- Ю.Ф. Помосов.69, www.tsenki.com </w:t>
      </w:r>
    </w:p>
    <w:p w14:paraId="2AE981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Работали: (1985 г.)- Э.Г. Кнеллер, Н. Надольский, В. Пац, Э.М. Пройдаков.</w:t>
      </w:r>
    </w:p>
    <w:p w14:paraId="5B06D2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Создано: ПЭВМ «Истра-4816» (1985).82 </w:t>
      </w:r>
    </w:p>
    <w:p w14:paraId="2FC5D8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Производство: КА «Метеор-2» (1978-).77 </w:t>
      </w:r>
    </w:p>
    <w:p w14:paraId="53FE78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Опытный завод ВНИИЭМ, ЗАО «Новатор»</w:t>
      </w:r>
    </w:p>
    <w:p w14:paraId="645B609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143500 г. Истра Московской обл. ул. Панфилова, 1 тел. 560-33-04</w:t>
      </w:r>
    </w:p>
    <w:p w14:paraId="209684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Опытное производство ВНИИЭМ создано в 1965 г. С 1988 г.- Опытный завод ВНИИЭМ, с 1992 г. – ЗАО «Новатор». По решению правительства № 22-р от 9.01.2004 г. вошло в перечень стратегических предприятий.</w:t>
      </w:r>
    </w:p>
    <w:p w14:paraId="49618E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Гендиректор (2002 г.)- Н.Д. Федченко.</w:t>
      </w:r>
    </w:p>
    <w:p w14:paraId="3EA58C3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Гендиректора (2002 г.)- Г.И. Терещенко (10776).</w:t>
      </w:r>
    </w:p>
    <w:p w14:paraId="7001C6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F2F65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1941 г. ГИПХ совместно с Алюминиево-магниевым институтом разработан рецепт горючей смеси, налажено производство зажигательных гранат (бутылок).56 В годы войны производил также дымовые шашки, ракеты, сигнальные осветительные шашки. После войнысоздана технология воспроизводства немецкого топлива для ЖРД «Тонкэ», технология промышленного производства перекиси водорода.92 В 1960-х г. разрабатывал топливо для РДТТ. Принимал участие в программе создания ОК «Буран». </w:t>
      </w:r>
    </w:p>
    <w:p w14:paraId="2843FF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1946 г.- ГИПХ МХП. В 1990 г. НПО ГИПХ- в ведении Минхиммаша.77Был в 2004 г.</w:t>
      </w:r>
    </w:p>
    <w:p w14:paraId="539DA9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(11.1944 г.)- П.П. Трофимов. Гендиректор (2004 г.)- Б. Гидаспов.</w:t>
      </w:r>
    </w:p>
    <w:p w14:paraId="62743B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Замдиректора (1942 г.)- М.Е. Позин.</w:t>
      </w:r>
    </w:p>
    <w:p w14:paraId="201B59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ГИПХ (Государственный институт прикладной химии) МХП, НПО ГИПХ Минхиммаша, ГНЦ РФ ГИПХ Росбоеприпаса</w:t>
      </w:r>
    </w:p>
    <w:p w14:paraId="5437AA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Ленинград, г. Санкт-Петербург</w:t>
      </w:r>
    </w:p>
    <w:p w14:paraId="7690C9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B85469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году Грабин продолжил работы над модернизированной установкой Ф-38 с пушкой Ф-34. Установке был присвоен новый заводской индекс ЗИС-7. Она предназначалась для установки в амбразуры Л-17 (3861).</w:t>
      </w:r>
    </w:p>
    <w:p w14:paraId="32F1B4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D96E1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Л.С.Душкин получил задание на разработку ракетной торпеды для п/л Д1Т-1400 со скоростью 70 узлов. Сделали в 1942. Ставили на торпеде РТ-45 и испытали в 1942-43 в Махачкале и на Иссык-Куле. Оказалась неудачной, т.к. оставленная система управления не отвечала более высокой скорости (2927).</w:t>
      </w:r>
    </w:p>
    <w:p w14:paraId="20474B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A23E8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году ЦКБ-36 разработало для якорной мины лвухканальный индукционно-акустический взрыватель. Однако реализовать его в якорной мине оказалось невозможным, так как перемещение из-за волнения вместе с корпусом мины индукционной катушки в магнитном ноле Земли приводило к постоянным самосрабатываниям взрывателя. Зато на донной мине такая схема была успешно реализована (3364,22).</w:t>
      </w:r>
    </w:p>
    <w:p w14:paraId="7EA730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F0A0B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году заводу № 8 выдано задание на 2664 45-мм танковых пушек 20К и в дальнейшем свертывания производства 20К не планировалось, так как они должны были поступить на вооружение нового основного танка сопровождения пехоты (Т-50 или Т-126СП). Фактически в 1941 году изготовили 2759 пушек (3861).</w:t>
      </w:r>
    </w:p>
    <w:p w14:paraId="6F62C5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B3EB9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году было изготовлено 443 танка Т-40 трех разновидностей, которые ни в заводской отчетности, ни в войсках не разделялись, марка же Т-30 вообще не прижилась (3862).</w:t>
      </w:r>
    </w:p>
    <w:p w14:paraId="7057B3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F7C47F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году производство танков Т-40 на заводе N 37 удалось расширить. До 22 июня изготовили еще 179 машин. Эти 279 танков Т-40 и вступили в войну. Всего же за первое полугодие 1941 года их было выпущено 192 единицы. Потребность армии в тот критический период даже в этих легких и слабовооруженных машинах оказалась настолько велика, что для расширения их производства, по инициативе начальника НТК ГБТУ генерала С.А.Афонина, завод пошел на упрощение конструкции. В первую очередь ликвидировали все водоходное оборудование: гребной винт с карданным приводом, коробку отбора мощности, водяные рули, трюмный насос, теплообменник, водоотбойный щит, компас. Отказались и от радиостанции (3862).</w:t>
      </w:r>
    </w:p>
    <w:p w14:paraId="0DE1DD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D0B5EB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специально для танка КВ-1 Грабиным была создана модификация 76-мм танковой пушки Ф-34, получившая заводской индекс ЗИС-5 и принятая на вооружение под названием "76-мм танковая пушка обр. 1941 г." ЗИС-5 отличалась от Ф-34 конструкцией люльки, устройством и креплением блокировки, а также рядом мелких деталей (3861).</w:t>
      </w:r>
    </w:p>
    <w:p w14:paraId="283D13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A2310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было создано ОКБ «Уралвагонзавода», ФГУП «Уральское КБ транспортного машиностроения« (УКБТМ) /622007(51)  г. Нижний Тагил Свердловской обл. Восточное ш., 28(38) тел. 235-474/. С тех пор являлось головным разработчиком бронетанковой техники.</w:t>
      </w:r>
    </w:p>
    <w:p w14:paraId="3E44FA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освобождения в 1943 г. Харькова большое число специалистов вернулось обратно (к 1951 г. численность КБ уменьшилась в 6 раз по сравнению с 1945 г.).</w:t>
      </w:r>
    </w:p>
    <w:p w14:paraId="775728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ГКБ-34 (Главное КБ) /г. Нижний Тагил/</w:t>
      </w:r>
    </w:p>
    <w:p w14:paraId="65C9CF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Главное КБ-34 при заводе № 183 действовало в ВОВ как центр по работе над Т-34 и его модификациям.</w:t>
      </w:r>
    </w:p>
    <w:p w14:paraId="0A25C0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 ГКО № 4776 от 15.12.1943 г. танк Т-34-85 пнв и запущен в серию на заводе № 112.</w:t>
      </w:r>
    </w:p>
    <w:p w14:paraId="656784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ГКО № 6997 от 23.11.1944 г. танк Т-44 пнв.</w:t>
      </w:r>
    </w:p>
    <w:p w14:paraId="4F64C0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1950-51 г. на базе Т-54 созданы: бронированный тягач-эвакуатор БТС-2, машина разведки минных полей, постановки дымовых завес. В соответствии с ПСМ № 900-386сс от 14.05.1954 г. танк Т-54 с автоматическим танковым огнеметом (АТО) пнв. В 1954 г. пнв Т-54А. В соответствии с ПСМ № 188-114сс от 5.02.1955 г. бронетягач на базе Т-54 пнв. В соответствии с </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1</w:t>
      </w:r>
      <w:r w:rsidRPr="00640820">
        <w:rPr>
          <w:rFonts w:ascii="Times New Roman" w:hAnsi="Times New Roman"/>
          <w:color w:val="000000" w:themeColor="text1"/>
          <w:sz w:val="16"/>
          <w:szCs w:val="16"/>
          <w:lang w:val="en-US"/>
        </w:rPr>
        <w:t>CM</w:t>
      </w:r>
      <w:r w:rsidRPr="00640820">
        <w:rPr>
          <w:rFonts w:ascii="Times New Roman" w:hAnsi="Times New Roman"/>
          <w:color w:val="000000" w:themeColor="text1"/>
          <w:sz w:val="16"/>
          <w:szCs w:val="16"/>
        </w:rPr>
        <w:t xml:space="preserve"> № 420-246сс от 8.03.1955 г. пнв Т-54, оборудованный стабилизатором вооружения СТП-1 и электроприводом наведения ТАЭН-3.</w:t>
      </w:r>
    </w:p>
    <w:p w14:paraId="6727FDF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1952 г. велись работы по теме «Горизонт» - разработке одноплоскостного стабилизатора танкового орудия.</w:t>
      </w:r>
    </w:p>
    <w:p w14:paraId="044718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 493-230 от 8.05.1958 г. средний танк Т-55 пнв и запущен в серию.</w:t>
      </w:r>
    </w:p>
    <w:p w14:paraId="367414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ПСМ № 729-305 от 12.08.1961 г. средний танк Т-62 с пушкой У-5ТС пнв. 28.10.1963 г. вышло распоряжение правительства № 2233-рс о выпуске с 10.1963 г. танков Т-62 с пушкой У-5ТС.</w:t>
      </w:r>
    </w:p>
    <w:p w14:paraId="1E30488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СМ СССР от 19.06.1986 г. начата разработка дальнейшего развития Т-72- «объекта 188» (Т-90).</w:t>
      </w:r>
    </w:p>
    <w:p w14:paraId="3D5C09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Принимало участие в разработке наземных стартовых комплексов РКТ.</w:t>
      </w:r>
      <w:r w:rsidRPr="00640820">
        <w:rPr>
          <w:rFonts w:ascii="Times New Roman" w:hAnsi="Times New Roman"/>
          <w:color w:val="000000" w:themeColor="text1"/>
          <w:sz w:val="16"/>
          <w:szCs w:val="16"/>
          <w:vertAlign w:val="superscript"/>
        </w:rPr>
        <w:t>77</w:t>
      </w:r>
    </w:p>
    <w:p w14:paraId="0ED47B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1990 г. начата разработка дорожно-строительной техники.</w:t>
      </w:r>
    </w:p>
    <w:p w14:paraId="088D5C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321DB4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(-1951 г.)- А.А. Морозов (Т-44), (1953-60-е  г.)- Л.Н. Карцев, (-1999 г.)- В. Поткин , (1999- 2006 г.-)- В.Б. Домнин.</w:t>
      </w:r>
    </w:p>
    <w:p w14:paraId="38A471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(-2005-06 г.-)- В.Б. Домнин.</w:t>
      </w:r>
    </w:p>
    <w:p w14:paraId="17AB7A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(2007 г.)- И. Баранов.</w:t>
      </w:r>
    </w:p>
    <w:p w14:paraId="287EFF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конструкторы: В.Н. Венедиктов (Т-72).</w:t>
      </w:r>
    </w:p>
    <w:p w14:paraId="2B1199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танки: средние Т-34-85, Т-34-85М (1944), Т-44 (пнв 23.11.1944 г.), Т-54 (Т-44В, 1945), Т-54 («объект 137», пнв в 04.1946 г.), Т-54 (пнв 14.05.1954 г.), Т-54А (пнв в 1954 г.), Т-55 (пнв 8.05.1958 г.), Т-62 (пнв 12.08.1961 г.), Т-72, ракетный ИТ-1 (1968), Т-90 (пнв 5.10.1992 г.), Т-90С (2000-е); проект танка «объект 140» (1950-е); бронетягач на базе Т-54 БТС-2 (пнв 5.02.1955 г.); боевая машина поддержки танков БМПТ (2000); машины: разминирования БМР-ЗМ, разграждения ИМР-3; малогабаритный погрузчик ПУМ-500, ПУМ-600, ПУМ-1000, ПУМ-1250; экскаваторы: гусеничный ЭО-5126; колесный ЭО-33211 (12982).</w:t>
      </w:r>
    </w:p>
    <w:p w14:paraId="5D36D5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BAECA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году по эвакуации части завода № 60 из Ворошиловграда в Киров был организовани завод № 537, который разместился на территории и в зданиях бывш. Кировского с/х института. Завод организован под производство металлических пушечно-пулеметных звеньев и лент. Адрес: Киров, ул. М. Гвардии, д. 67 (9473).</w:t>
      </w:r>
    </w:p>
    <w:p w14:paraId="1B9C37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3011B9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году танковое конструкторское бюро завода №183 (отдел 520) состояло из 106 человек (12 конструкторских групп) во главе с Главным конструктором А.А. Морозовым и двумя его заместителями- Н.А. Кучеренко и А.В. Колесниковым (9154).</w:t>
      </w:r>
    </w:p>
    <w:p w14:paraId="6C8B91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14C21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в составе НК танковой промышленности были:</w:t>
      </w:r>
    </w:p>
    <w:p w14:paraId="20BC0B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176 им. Ф.Э. Дзержинского</w:t>
      </w:r>
    </w:p>
    <w:p w14:paraId="68FEF8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Муром</w:t>
      </w:r>
    </w:p>
    <w:p w14:paraId="18916B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второй половине 1941 года по решению ГКО перешел с ремонта паровозов на изготовление корпусов и деталей танков и с 1 сентября 1941 года был передан из системы НКСП в НКТП.</w:t>
      </w:r>
    </w:p>
    <w:p w14:paraId="1DC580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180, п/я 128 (бывш. Паровозовагоноремонтный завод)</w:t>
      </w:r>
    </w:p>
    <w:p w14:paraId="3CDCF59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Саратов</w:t>
      </w:r>
    </w:p>
    <w:p w14:paraId="03C5B45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1942 год</w:t>
      </w:r>
    </w:p>
    <w:p w14:paraId="52A325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Продукция: корпуса и башни танков (8849)</w:t>
      </w:r>
    </w:p>
    <w:p w14:paraId="57E166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264</w:t>
      </w:r>
    </w:p>
    <w:p w14:paraId="7D290A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Место: Сталинград, 24, п/я 144</w:t>
      </w:r>
    </w:p>
    <w:p w14:paraId="2A8540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Первоначальный план 1941 года – изготовление бронекорпусов, судостроение.</w:t>
      </w:r>
    </w:p>
    <w:p w14:paraId="54F9BA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июня 1941 года – постановлением СНК и ЦК ВКП(б) № 1749-756 заводу был утвержден план II полугодия по увеличению выпуска бронекорпусов Т-34.</w:t>
      </w:r>
    </w:p>
    <w:p w14:paraId="0B8421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Постановление ГКО № 595 от 27 августа 1941 года заводу был утвержден план выпуска бронекорпусов ИЛ-2 и бронедеталей для заводов НКАП. Этим же постановлением предусматривалась эвакуация на завод № 264 Кировского и Ижорского заводов со всем оборудованием, рабочими и ИТР, занятыми по производству ИЛ-2. Фактически это не было сделано.</w:t>
      </w:r>
    </w:p>
    <w:p w14:paraId="6700A0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конце сентября 1941 года на завод № 264 была эвакуирована основная масса оборудования, рабочих и ИТР с ХТЗ, в связи с чем заводу был утвержден план организации и производства танков Т-60 с началом выпуска с октября 1941 года.</w:t>
      </w:r>
    </w:p>
    <w:p w14:paraId="1E16BBC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начало IV квартала 1941 года основными видами продукции являлись: танкостроение Т-60, бронекорпуса Т-34 и ИЛ-2, заказы судостроения были приостановлены. К концу 1941 года бывшая полукустарная верфь речного судостроения преобразовалась в крупнейший бронетанковый завод (8850).</w:t>
      </w:r>
    </w:p>
    <w:p w14:paraId="692DAC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177</w:t>
      </w:r>
    </w:p>
    <w:p w14:paraId="183655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Выкса Горьковской области</w:t>
      </w:r>
    </w:p>
    <w:p w14:paraId="7773C9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200</w:t>
      </w:r>
    </w:p>
    <w:p w14:paraId="2FF80C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Челябинск, п/я 45</w:t>
      </w:r>
    </w:p>
    <w:p w14:paraId="5A119F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Ввод в эксплуатацию – 1941 год</w:t>
      </w:r>
    </w:p>
    <w:p w14:paraId="711159B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Изготовление бронекорпусов (8851).</w:t>
      </w:r>
    </w:p>
    <w:p w14:paraId="41ACE2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металлических электродов Наркомата транспортного машиностроения</w:t>
      </w:r>
    </w:p>
    <w:p w14:paraId="206CF6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Москва, шоссе Энтузиастов</w:t>
      </w:r>
    </w:p>
    <w:p w14:paraId="0F36313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Ввод в эксплуатацию – 1933 год</w:t>
      </w:r>
    </w:p>
    <w:p w14:paraId="2D0A52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“Калибр” Наркомата транспортного машиностроения</w:t>
      </w:r>
    </w:p>
    <w:p w14:paraId="000E1A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 год</w:t>
      </w:r>
    </w:p>
    <w:p w14:paraId="3817D5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Москва-Челябинск (8850).</w:t>
      </w:r>
    </w:p>
    <w:p w14:paraId="055A37E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11F79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в составе Наркомата танковой промышленности были:</w:t>
      </w:r>
    </w:p>
    <w:p w14:paraId="5F8502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37 им. Орджоникидзе (9094).</w:t>
      </w:r>
    </w:p>
    <w:p w14:paraId="0CBE1B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сентября 1941 года</w:t>
      </w:r>
    </w:p>
    <w:p w14:paraId="742C3BA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Свердловск</w:t>
      </w:r>
    </w:p>
    <w:p w14:paraId="5FF8C4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Бывший автозавод им. КИМ, НКСМ (8717)</w:t>
      </w:r>
    </w:p>
    <w:p w14:paraId="658F30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Московский филиал завода № 37 (8717)</w:t>
      </w:r>
    </w:p>
    <w:p w14:paraId="413B4A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января 1942 года (8717)</w:t>
      </w:r>
    </w:p>
    <w:p w14:paraId="1AB7AA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37 (8717)</w:t>
      </w:r>
    </w:p>
    <w:p w14:paraId="130CBA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сентября 1942 года</w:t>
      </w:r>
    </w:p>
    <w:p w14:paraId="6A5947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базе Московского филиала завода № 37</w:t>
      </w:r>
    </w:p>
    <w:p w14:paraId="7E1B0F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38 им. В.В. Куйбышева (8717)</w:t>
      </w:r>
    </w:p>
    <w:p w14:paraId="6F3C86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Киров</w:t>
      </w:r>
    </w:p>
    <w:p w14:paraId="7FF14D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Бывший Коломенский машиностроительный завод НКМ</w:t>
      </w:r>
    </w:p>
    <w:p w14:paraId="674311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39 (8717)</w:t>
      </w:r>
    </w:p>
    <w:p w14:paraId="130666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сентября 1942 года</w:t>
      </w:r>
    </w:p>
    <w:p w14:paraId="77861A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Москва</w:t>
      </w:r>
    </w:p>
    <w:p w14:paraId="6EB849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Бывший завод им. КИМ филиал завода № 76 Наркомата танковой промышленности</w:t>
      </w:r>
    </w:p>
    <w:p w14:paraId="2EE520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41 (9093)</w:t>
      </w:r>
    </w:p>
    <w:p w14:paraId="271DBDB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Московская область</w:t>
      </w:r>
    </w:p>
    <w:p w14:paraId="3B0444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42 Гл. управления по ремонту танков (9094)</w:t>
      </w:r>
    </w:p>
    <w:p w14:paraId="2DC53B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Муром Горьковской области</w:t>
      </w:r>
    </w:p>
    <w:p w14:paraId="02854B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43 Гл. управления по ремонту танков (9094)</w:t>
      </w:r>
    </w:p>
    <w:p w14:paraId="4EBF2EB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Муром Горьковской области</w:t>
      </w:r>
    </w:p>
    <w:p w14:paraId="177139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44 Гл. управления по ремонту танков (9093)</w:t>
      </w:r>
    </w:p>
    <w:p w14:paraId="6DABFB8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Саратов</w:t>
      </w:r>
    </w:p>
    <w:p w14:paraId="79DDEF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46 (9093)</w:t>
      </w:r>
    </w:p>
    <w:p w14:paraId="522D1F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Ижевск</w:t>
      </w:r>
    </w:p>
    <w:p w14:paraId="281325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50 (9093)</w:t>
      </w:r>
    </w:p>
    <w:p w14:paraId="018B98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Свердловск</w:t>
      </w:r>
    </w:p>
    <w:p w14:paraId="635E8F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76 (9094)</w:t>
      </w:r>
    </w:p>
    <w:p w14:paraId="3DC060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Свердловск</w:t>
      </w:r>
    </w:p>
    <w:p w14:paraId="185350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Бывшему Уральскому турбинному заводу при передаче Наркомату танковой промышленности присвоен номер 76</w:t>
      </w:r>
    </w:p>
    <w:p w14:paraId="4F3672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 КИМ (8717)</w:t>
      </w:r>
    </w:p>
    <w:p w14:paraId="76D0E1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Москва</w:t>
      </w:r>
    </w:p>
    <w:p w14:paraId="4671128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Филиал завода № 76</w:t>
      </w:r>
    </w:p>
    <w:p w14:paraId="7AE1DE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77 (8717)</w:t>
      </w:r>
    </w:p>
    <w:p w14:paraId="461CEE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Барнаул</w:t>
      </w:r>
    </w:p>
    <w:p w14:paraId="5EEFE4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100 (9094)</w:t>
      </w:r>
    </w:p>
    <w:p w14:paraId="341486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Челябинск</w:t>
      </w:r>
    </w:p>
    <w:p w14:paraId="127304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Приказом Наркомата танковой промышленности от 16 февраля 1942 года № 55м при Кировском заводе Наркомата танковой промышленности на площадях бывшего опытного завода (ЧТЗ) организован опытный завод, впоследствии опытному заводу присвоен номер 100 (8236).</w:t>
      </w:r>
    </w:p>
    <w:p w14:paraId="617C0DB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Ленинградский филиал завода № 100 (9094)</w:t>
      </w:r>
    </w:p>
    <w:p w14:paraId="6F266D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112 (8717)</w:t>
      </w:r>
    </w:p>
    <w:p w14:paraId="3049B9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Горький</w:t>
      </w:r>
    </w:p>
    <w:p w14:paraId="176C72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Ранее был в ведении НКСП</w:t>
      </w:r>
    </w:p>
    <w:p w14:paraId="3682FD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174 им. Ворошилова (8717)</w:t>
      </w:r>
    </w:p>
    <w:p w14:paraId="5A4E1D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Омск</w:t>
      </w:r>
    </w:p>
    <w:p w14:paraId="01BF1A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Ранее был в ведении Наркомсредмаша</w:t>
      </w:r>
    </w:p>
    <w:p w14:paraId="1B5D19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176 3-го гл. управления (8717)</w:t>
      </w:r>
    </w:p>
    <w:p w14:paraId="5DB0D0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Муром Горьковской области</w:t>
      </w:r>
    </w:p>
    <w:p w14:paraId="633917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177 3-го гл. управления (8717)</w:t>
      </w:r>
    </w:p>
    <w:p w14:paraId="2040C5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Выкса Горьковской области</w:t>
      </w:r>
    </w:p>
    <w:p w14:paraId="6FEBBD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178 им. С.М. Кирова 3-го гл. управления (8717)</w:t>
      </w:r>
    </w:p>
    <w:p w14:paraId="41D3F6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Кулебаки Горьковской области</w:t>
      </w:r>
    </w:p>
    <w:p w14:paraId="7BA97D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180 3-го гл. управления (8717)</w:t>
      </w:r>
    </w:p>
    <w:p w14:paraId="302EE0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Саратов</w:t>
      </w:r>
    </w:p>
    <w:p w14:paraId="117399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183 им. Коминтерна (8717)</w:t>
      </w:r>
    </w:p>
    <w:p w14:paraId="1ACB18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Н. Тагил</w:t>
      </w:r>
    </w:p>
    <w:p w14:paraId="7C7B721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Бывший Уралвагонзавод Наркомсредмаша, ранее был в ведении Наркомата машиностроения</w:t>
      </w:r>
    </w:p>
    <w:p w14:paraId="26D47A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200 (8717)</w:t>
      </w:r>
    </w:p>
    <w:p w14:paraId="407CB4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222 (8717)</w:t>
      </w:r>
    </w:p>
    <w:p w14:paraId="0B1754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Тогузак Кустанайской области</w:t>
      </w:r>
    </w:p>
    <w:p w14:paraId="19160A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Переехал в Харьков (1945 год) (9095)</w:t>
      </w:r>
    </w:p>
    <w:p w14:paraId="7D91B6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254 (8717)</w:t>
      </w:r>
    </w:p>
    <w:p w14:paraId="5A189E4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255 (8717)</w:t>
      </w:r>
    </w:p>
    <w:p w14:paraId="7D7DB9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Челябинск</w:t>
      </w:r>
    </w:p>
    <w:p w14:paraId="5B301F3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Бывший завод электромашин “ЗЭМ” НКСМ</w:t>
      </w:r>
    </w:p>
    <w:p w14:paraId="6029E9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264 (8717)</w:t>
      </w:r>
    </w:p>
    <w:p w14:paraId="42FC3E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Сталинград</w:t>
      </w:r>
    </w:p>
    <w:p w14:paraId="620922A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Ранее был в ведении НКСП</w:t>
      </w:r>
    </w:p>
    <w:p w14:paraId="13829F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800 (9095)</w:t>
      </w:r>
    </w:p>
    <w:p w14:paraId="153E49B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Ленинград</w:t>
      </w:r>
    </w:p>
    <w:p w14:paraId="119E22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Ижорский завод 3-го гл. управления (9094)</w:t>
      </w:r>
    </w:p>
    <w:p w14:paraId="7A9E9D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Колпино Ленинградской области</w:t>
      </w:r>
    </w:p>
    <w:p w14:paraId="3219CE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Кировский завод (8717)</w:t>
      </w:r>
    </w:p>
    <w:p w14:paraId="23176B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Челябинск</w:t>
      </w:r>
    </w:p>
    <w:p w14:paraId="547EE04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Бывший Челябинский тракторный завод НКСМ</w:t>
      </w:r>
    </w:p>
    <w:p w14:paraId="226F93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Сталинградский тракторный завод им. Ф.Э. Дзержинского (8717)</w:t>
      </w:r>
    </w:p>
    <w:p w14:paraId="2D8267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Ранее был в ведении НКСМ</w:t>
      </w:r>
    </w:p>
    <w:p w14:paraId="7EC04D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ЦНИИ Наркомата танковой промышленности (ЦНИИ-48) (8717)</w:t>
      </w:r>
    </w:p>
    <w:p w14:paraId="32656C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Институт специального машиностроения Наркомсредмаша (ранее был в ведении НКОП) был передан в систему Наркомата танковой промышленности в 1943 году под наименованием 8 Государственный союзный проектный институт танковой промышленности (9093)</w:t>
      </w:r>
    </w:p>
    <w:p w14:paraId="77FFC0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в Наркомате среднего машиностроения были:</w:t>
      </w:r>
    </w:p>
    <w:p w14:paraId="2992F26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75</w:t>
      </w:r>
    </w:p>
    <w:p w14:paraId="056918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Харьков, п/я 27 (8800)</w:t>
      </w:r>
    </w:p>
    <w:p w14:paraId="2BD724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183 им. Коминтерна Главспецмаша</w:t>
      </w:r>
    </w:p>
    <w:p w14:paraId="77B2A2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Харьков</w:t>
      </w:r>
    </w:p>
    <w:p w14:paraId="1B12CE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225</w:t>
      </w:r>
    </w:p>
    <w:p w14:paraId="3B7F04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Киев, п/я 10 (8801)</w:t>
      </w:r>
    </w:p>
    <w:p w14:paraId="12D302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“Гомсельмаш” им. Л.М. Кагановича</w:t>
      </w:r>
    </w:p>
    <w:p w14:paraId="440F62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Гомель, Новиковская роща</w:t>
      </w:r>
    </w:p>
    <w:p w14:paraId="1D4122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Спецпродукция: 82 мм мины, капремонт танков (8802)</w:t>
      </w:r>
    </w:p>
    <w:p w14:paraId="66C92C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 Л.М. Кагановича</w:t>
      </w:r>
    </w:p>
    <w:p w14:paraId="4EB688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Тамбов, пл. Марата</w:t>
      </w:r>
    </w:p>
    <w:p w14:paraId="4BA91F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 20-летия октября</w:t>
      </w:r>
    </w:p>
    <w:p w14:paraId="323293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Ворошиловград, ул. Свердлова, 71 (8803)</w:t>
      </w:r>
    </w:p>
    <w:p w14:paraId="59602E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Чугунолитейный и механический завод “Октябрь” Главтрактородетали</w:t>
      </w:r>
    </w:p>
    <w:p w14:paraId="59DA3AD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Краснодар, ул. Красная, 117 (8804)</w:t>
      </w:r>
    </w:p>
    <w:p w14:paraId="241026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 Энгельса Главтрактородетали</w:t>
      </w:r>
    </w:p>
    <w:p w14:paraId="1AAD07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Запорожье (Верхгяя Хортица)</w:t>
      </w:r>
    </w:p>
    <w:p w14:paraId="7B0C27B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 Лепсе Главтрактородетали</w:t>
      </w:r>
    </w:p>
    <w:p w14:paraId="1C5CE7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Киев, Брест-Литовское шоссе, 39 (8805)</w:t>
      </w:r>
    </w:p>
    <w:p w14:paraId="3317FD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“Рессора” Главтрактородетали</w:t>
      </w:r>
    </w:p>
    <w:p w14:paraId="3A62A2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Москва, 80, Яросдавское шосе, 33 (8806)</w:t>
      </w:r>
    </w:p>
    <w:p w14:paraId="74F684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с/х обозостроения им. Коминтерна Главсельмаша</w:t>
      </w:r>
    </w:p>
    <w:p w14:paraId="304719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Омск, ул. Московская, 9</w:t>
      </w:r>
    </w:p>
    <w:p w14:paraId="32B35A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автоприцепов № 6 им. Коминтерна Глававтоприцепа</w:t>
      </w:r>
    </w:p>
    <w:p w14:paraId="25AA71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Омск, ул. Московская, 9 (8807)</w:t>
      </w:r>
    </w:p>
    <w:p w14:paraId="16D975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автоприцепов № 2 Глававтоприцепа</w:t>
      </w:r>
    </w:p>
    <w:p w14:paraId="2F82C7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Москва, Ленинградское шоссе, 9а (8808)</w:t>
      </w:r>
    </w:p>
    <w:p w14:paraId="4721F4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Ирбитский подшипниковый завод Главшарикоподшипника</w:t>
      </w:r>
    </w:p>
    <w:p w14:paraId="7CA169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Ирбит Свердловской области, ул. Революции, 17</w:t>
      </w:r>
    </w:p>
    <w:p w14:paraId="5748A1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Дело 173</w:t>
      </w:r>
    </w:p>
    <w:p w14:paraId="186E03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автоприцепов № 1 Глававтоприцепа</w:t>
      </w:r>
    </w:p>
    <w:p w14:paraId="4F7B71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Ирбит Свердловской области, ул. Революции, 17 (8809)</w:t>
      </w:r>
    </w:p>
    <w:p w14:paraId="4DCC19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Мотоциклетный завод “Искра”</w:t>
      </w:r>
    </w:p>
    <w:p w14:paraId="2A06CA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Москва, Павловская, 27/29 (8810)</w:t>
      </w:r>
    </w:p>
    <w:p w14:paraId="61975C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Серпуховский мотоциклетный завод</w:t>
      </w:r>
    </w:p>
    <w:p w14:paraId="06D0CD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Серпухов Московской области, ул. Пушкина, 45 (8811)</w:t>
      </w:r>
    </w:p>
    <w:p w14:paraId="135C8F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мотоциклетных моторов</w:t>
      </w:r>
    </w:p>
    <w:p w14:paraId="610055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Москва, Ладожка, 21 (8812)</w:t>
      </w:r>
    </w:p>
    <w:p w14:paraId="64E8B3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Москва, Нижние Котлы, ленинская слободка, 19 (8813)</w:t>
      </w:r>
    </w:p>
    <w:p w14:paraId="4E27E7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“Красная Этна” Главсельмаша</w:t>
      </w:r>
    </w:p>
    <w:p w14:paraId="6BF4BDB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Горький, ул. 9-го января (8814)</w:t>
      </w:r>
    </w:p>
    <w:p w14:paraId="272048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автоприцепов № 4 Глававтоприцепа</w:t>
      </w:r>
    </w:p>
    <w:p w14:paraId="1C8ABA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Усть-Тосно Ленинградской области (8815)</w:t>
      </w:r>
    </w:p>
    <w:p w14:paraId="112D5C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“Красный металлург”</w:t>
      </w:r>
    </w:p>
    <w:p w14:paraId="143A22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Лиепая, ул. Бривибас, 95 (8816)</w:t>
      </w:r>
    </w:p>
    <w:p w14:paraId="153C1C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Ишимский завод автоприцепов № 3 Глававтоприцепа</w:t>
      </w:r>
    </w:p>
    <w:p w14:paraId="3E0B78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(8817)</w:t>
      </w:r>
    </w:p>
    <w:p w14:paraId="591F94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Армавирский завод автоприцепов № 5 Глававтоприцепа (8818)</w:t>
      </w:r>
    </w:p>
    <w:p w14:paraId="2B968E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9D947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были следующие плановые цены закупок (1941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850"/>
        <w:gridCol w:w="1622"/>
      </w:tblGrid>
      <w:tr w:rsidR="00643896" w:rsidRPr="00640820" w14:paraId="1C8636DF" w14:textId="77777777" w:rsidTr="000D3BCB">
        <w:tc>
          <w:tcPr>
            <w:tcW w:w="3850" w:type="dxa"/>
            <w:tcBorders>
              <w:top w:val="single" w:sz="12" w:space="0" w:color="auto"/>
            </w:tcBorders>
          </w:tcPr>
          <w:p w14:paraId="2F966D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Дизель мотор "В2"</w:t>
            </w:r>
          </w:p>
        </w:tc>
        <w:tc>
          <w:tcPr>
            <w:tcW w:w="1622" w:type="dxa"/>
            <w:tcBorders>
              <w:top w:val="single" w:sz="12" w:space="0" w:color="auto"/>
            </w:tcBorders>
          </w:tcPr>
          <w:p w14:paraId="38F4A5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79500 р</w:t>
            </w:r>
          </w:p>
        </w:tc>
      </w:tr>
      <w:tr w:rsidR="00643896" w:rsidRPr="00640820" w14:paraId="1CD07EFD" w14:textId="77777777" w:rsidTr="000D3BCB">
        <w:tc>
          <w:tcPr>
            <w:tcW w:w="3850" w:type="dxa"/>
          </w:tcPr>
          <w:p w14:paraId="63F3D7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Мотор Т26</w:t>
            </w:r>
          </w:p>
        </w:tc>
        <w:tc>
          <w:tcPr>
            <w:tcW w:w="1622" w:type="dxa"/>
          </w:tcPr>
          <w:p w14:paraId="1C950A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13200 р</w:t>
            </w:r>
          </w:p>
        </w:tc>
      </w:tr>
      <w:tr w:rsidR="00643896" w:rsidRPr="00640820" w14:paraId="34FE8E54" w14:textId="77777777" w:rsidTr="000D3BCB">
        <w:tc>
          <w:tcPr>
            <w:tcW w:w="3850" w:type="dxa"/>
          </w:tcPr>
          <w:p w14:paraId="05A46A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Мотор Т40</w:t>
            </w:r>
          </w:p>
        </w:tc>
        <w:tc>
          <w:tcPr>
            <w:tcW w:w="1622" w:type="dxa"/>
          </w:tcPr>
          <w:p w14:paraId="0F93D2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1000 р</w:t>
            </w:r>
          </w:p>
        </w:tc>
      </w:tr>
      <w:tr w:rsidR="00643896" w:rsidRPr="00640820" w14:paraId="155F3CDE" w14:textId="77777777" w:rsidTr="000D3BCB">
        <w:tc>
          <w:tcPr>
            <w:tcW w:w="3850" w:type="dxa"/>
          </w:tcPr>
          <w:p w14:paraId="24A6F7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Мотор Т37 Т38</w:t>
            </w:r>
          </w:p>
        </w:tc>
        <w:tc>
          <w:tcPr>
            <w:tcW w:w="1622" w:type="dxa"/>
          </w:tcPr>
          <w:p w14:paraId="34755C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1 000 р</w:t>
            </w:r>
          </w:p>
        </w:tc>
      </w:tr>
      <w:tr w:rsidR="00643896" w:rsidRPr="00640820" w14:paraId="2AD02EB0" w14:textId="77777777" w:rsidTr="000D3BCB">
        <w:tc>
          <w:tcPr>
            <w:tcW w:w="3850" w:type="dxa"/>
          </w:tcPr>
          <w:p w14:paraId="01AEBB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Мотор СТ2</w:t>
            </w:r>
          </w:p>
        </w:tc>
        <w:tc>
          <w:tcPr>
            <w:tcW w:w="1622" w:type="dxa"/>
          </w:tcPr>
          <w:p w14:paraId="275960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12000 р</w:t>
            </w:r>
          </w:p>
        </w:tc>
      </w:tr>
      <w:tr w:rsidR="00643896" w:rsidRPr="00640820" w14:paraId="2209B1EB" w14:textId="77777777" w:rsidTr="000D3BCB">
        <w:tc>
          <w:tcPr>
            <w:tcW w:w="3850" w:type="dxa"/>
          </w:tcPr>
          <w:p w14:paraId="0F9BCF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Мотор ЧТЗ65</w:t>
            </w:r>
          </w:p>
        </w:tc>
        <w:tc>
          <w:tcPr>
            <w:tcW w:w="1622" w:type="dxa"/>
          </w:tcPr>
          <w:p w14:paraId="677C2E5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9300 р</w:t>
            </w:r>
          </w:p>
        </w:tc>
      </w:tr>
      <w:tr w:rsidR="00643896" w:rsidRPr="00640820" w14:paraId="4A193847" w14:textId="77777777" w:rsidTr="000D3BCB">
        <w:tc>
          <w:tcPr>
            <w:tcW w:w="3850" w:type="dxa"/>
          </w:tcPr>
          <w:p w14:paraId="68FB4BB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Мотор Комсомолец </w:t>
            </w:r>
          </w:p>
        </w:tc>
        <w:tc>
          <w:tcPr>
            <w:tcW w:w="1622" w:type="dxa"/>
          </w:tcPr>
          <w:p w14:paraId="0B940F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1000 р</w:t>
            </w:r>
          </w:p>
        </w:tc>
      </w:tr>
      <w:tr w:rsidR="00643896" w:rsidRPr="00640820" w14:paraId="0B4B471C" w14:textId="77777777" w:rsidTr="000D3BCB">
        <w:tc>
          <w:tcPr>
            <w:tcW w:w="3850" w:type="dxa"/>
          </w:tcPr>
          <w:p w14:paraId="4490E09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Мотор СТЗ5</w:t>
            </w:r>
          </w:p>
        </w:tc>
        <w:tc>
          <w:tcPr>
            <w:tcW w:w="1622" w:type="dxa"/>
          </w:tcPr>
          <w:p w14:paraId="050426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3500 р</w:t>
            </w:r>
          </w:p>
        </w:tc>
      </w:tr>
      <w:tr w:rsidR="00643896" w:rsidRPr="00640820" w14:paraId="54C2DC52" w14:textId="77777777" w:rsidTr="000D3BCB">
        <w:tc>
          <w:tcPr>
            <w:tcW w:w="3850" w:type="dxa"/>
          </w:tcPr>
          <w:p w14:paraId="61F3B5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Мотрр ГАЗ АА</w:t>
            </w:r>
          </w:p>
        </w:tc>
        <w:tc>
          <w:tcPr>
            <w:tcW w:w="1622" w:type="dxa"/>
          </w:tcPr>
          <w:p w14:paraId="5D81B9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1000 р</w:t>
            </w:r>
          </w:p>
        </w:tc>
      </w:tr>
      <w:tr w:rsidR="00643896" w:rsidRPr="00640820" w14:paraId="09AEDDCB" w14:textId="77777777" w:rsidTr="000D3BCB">
        <w:tc>
          <w:tcPr>
            <w:tcW w:w="3850" w:type="dxa"/>
            <w:tcBorders>
              <w:bottom w:val="single" w:sz="12" w:space="0" w:color="auto"/>
            </w:tcBorders>
          </w:tcPr>
          <w:p w14:paraId="528B1B9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Мотор ЗИС5</w:t>
            </w:r>
          </w:p>
        </w:tc>
        <w:tc>
          <w:tcPr>
            <w:tcW w:w="1622" w:type="dxa"/>
            <w:tcBorders>
              <w:bottom w:val="single" w:sz="12" w:space="0" w:color="auto"/>
            </w:tcBorders>
          </w:tcPr>
          <w:p w14:paraId="3DAF50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2200 р</w:t>
            </w:r>
          </w:p>
        </w:tc>
      </w:tr>
    </w:tbl>
    <w:p w14:paraId="147F72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(7720).</w:t>
      </w:r>
    </w:p>
    <w:p w14:paraId="784C73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7EB7A1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1941 г. серийное произ</w:t>
      </w:r>
      <w:r w:rsidRPr="00640820">
        <w:rPr>
          <w:rFonts w:ascii="Times New Roman" w:hAnsi="Times New Roman"/>
          <w:color w:val="000000" w:themeColor="text1"/>
          <w:sz w:val="16"/>
          <w:szCs w:val="16"/>
        </w:rPr>
        <w:softHyphen/>
        <w:t>водство на заводе «Красный Октябрь» свернули и заказчику сдали по оценке автора всего девять экземпляров спортивного мотоцикла С-1. В 1938 одновременно с подготовкой производства мотоцикла Л-8 соз</w:t>
      </w:r>
      <w:r w:rsidRPr="00640820">
        <w:rPr>
          <w:rFonts w:ascii="Times New Roman" w:hAnsi="Times New Roman"/>
          <w:color w:val="000000" w:themeColor="text1"/>
          <w:sz w:val="16"/>
          <w:szCs w:val="16"/>
        </w:rPr>
        <w:softHyphen/>
        <w:t>давали его более совершенную модификацию, обозначенную Л-9, наиболее важным отличием которого стало применение кар</w:t>
      </w:r>
      <w:r w:rsidRPr="00640820">
        <w:rPr>
          <w:rFonts w:ascii="Times New Roman" w:hAnsi="Times New Roman"/>
          <w:color w:val="000000" w:themeColor="text1"/>
          <w:sz w:val="16"/>
          <w:szCs w:val="16"/>
        </w:rPr>
        <w:softHyphen/>
        <w:t>данного вала для привода заднего колеса (табл. 2). Разработку Л-9 вёл главный конструктор завода Волков вместе с 12-ю лучшими конструкторами КБ: Анциловичем, Калиниковым и др. [4.94]. Требовалось привлечь к ней высоко</w:t>
      </w:r>
      <w:r w:rsidRPr="00640820">
        <w:rPr>
          <w:rFonts w:ascii="Times New Roman" w:hAnsi="Times New Roman"/>
          <w:color w:val="000000" w:themeColor="text1"/>
          <w:sz w:val="16"/>
          <w:szCs w:val="16"/>
        </w:rPr>
        <w:softHyphen/>
        <w:t>квалифицированных специалистов, так как не всё получалось по-задуманному. Разработка ослабляла инженерное обеспечение Л-8, и заводские службы старались устранить мешающие причины [4.95]. Помимо запуска в производство Л-8 и разработки Л-9, в КБ за</w:t>
      </w:r>
      <w:r w:rsidRPr="00640820">
        <w:rPr>
          <w:rFonts w:ascii="Times New Roman" w:hAnsi="Times New Roman"/>
          <w:color w:val="000000" w:themeColor="text1"/>
          <w:sz w:val="16"/>
          <w:szCs w:val="16"/>
        </w:rPr>
        <w:softHyphen/>
        <w:t>вода «Красный Октябрь» проектировали первый в нашей стране спортивный мотоцикл С-1. За основу конструкции взяли машину Л-8. Двигатель форсировали по степени сжатия до 10,4 (в отдельных экземплярах снижая до 8), усилили цапфу и ступицу заднего колеса для повышения боковой прочности, а также тормоз</w:t>
      </w:r>
      <w:r w:rsidRPr="00640820">
        <w:rPr>
          <w:rFonts w:ascii="Times New Roman" w:hAnsi="Times New Roman"/>
          <w:color w:val="000000" w:themeColor="text1"/>
          <w:sz w:val="16"/>
          <w:szCs w:val="16"/>
        </w:rPr>
        <w:softHyphen/>
        <w:t>ные барабаны (диаметр - 180 мм, ширина - 30 мм), изменили сиде</w:t>
      </w:r>
      <w:r w:rsidRPr="00640820">
        <w:rPr>
          <w:rFonts w:ascii="Times New Roman" w:hAnsi="Times New Roman"/>
          <w:color w:val="000000" w:themeColor="text1"/>
          <w:sz w:val="16"/>
          <w:szCs w:val="16"/>
        </w:rPr>
        <w:softHyphen/>
        <w:t>нье, руль, крылья, убрали приборы сигнализации и освещения. На первых заездах С-1 показал вполне приемлемую для того времени скорость - 140 км/ч [4.102]. Всё это свидетельствовало о готовности завода «Красный Октябрь» к долгосрочному серийному производст</w:t>
      </w:r>
      <w:r w:rsidRPr="00640820">
        <w:rPr>
          <w:rFonts w:ascii="Times New Roman" w:hAnsi="Times New Roman"/>
          <w:color w:val="000000" w:themeColor="text1"/>
          <w:sz w:val="16"/>
          <w:szCs w:val="16"/>
        </w:rPr>
        <w:softHyphen/>
        <w:t>ву мотоциклов Л-8. Однако этого не произошло.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61"/>
        <w:gridCol w:w="1417"/>
        <w:gridCol w:w="1418"/>
      </w:tblGrid>
      <w:tr w:rsidR="00643896" w:rsidRPr="00640820" w14:paraId="3AEFFAC3" w14:textId="77777777" w:rsidTr="000D3BCB">
        <w:tc>
          <w:tcPr>
            <w:tcW w:w="4361" w:type="dxa"/>
            <w:tcBorders>
              <w:top w:val="single" w:sz="12" w:space="0" w:color="auto"/>
            </w:tcBorders>
          </w:tcPr>
          <w:p w14:paraId="0FB777D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Общие данные</w:t>
            </w:r>
          </w:p>
        </w:tc>
        <w:tc>
          <w:tcPr>
            <w:tcW w:w="1417" w:type="dxa"/>
            <w:tcBorders>
              <w:top w:val="single" w:sz="12" w:space="0" w:color="auto"/>
            </w:tcBorders>
          </w:tcPr>
          <w:p w14:paraId="0C7CF80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Л-8 (серийный)</w:t>
            </w:r>
          </w:p>
        </w:tc>
        <w:tc>
          <w:tcPr>
            <w:tcW w:w="1418" w:type="dxa"/>
            <w:tcBorders>
              <w:top w:val="single" w:sz="12" w:space="0" w:color="auto"/>
            </w:tcBorders>
          </w:tcPr>
          <w:p w14:paraId="3144E41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Л-9 (опытный)</w:t>
            </w:r>
          </w:p>
        </w:tc>
      </w:tr>
      <w:tr w:rsidR="00643896" w:rsidRPr="00640820" w14:paraId="4977BCE1" w14:textId="77777777" w:rsidTr="000D3BCB">
        <w:tc>
          <w:tcPr>
            <w:tcW w:w="4361" w:type="dxa"/>
          </w:tcPr>
          <w:p w14:paraId="2373D69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база, мм</w:t>
            </w:r>
          </w:p>
        </w:tc>
        <w:tc>
          <w:tcPr>
            <w:tcW w:w="1417" w:type="dxa"/>
          </w:tcPr>
          <w:p w14:paraId="2DFC513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1385</w:t>
            </w:r>
          </w:p>
        </w:tc>
        <w:tc>
          <w:tcPr>
            <w:tcW w:w="1418" w:type="dxa"/>
          </w:tcPr>
          <w:p w14:paraId="43C3CC0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1380-1400</w:t>
            </w:r>
          </w:p>
        </w:tc>
      </w:tr>
      <w:tr w:rsidR="00643896" w:rsidRPr="00640820" w14:paraId="1B80A423" w14:textId="77777777" w:rsidTr="000D3BCB">
        <w:tc>
          <w:tcPr>
            <w:tcW w:w="4361" w:type="dxa"/>
          </w:tcPr>
          <w:p w14:paraId="1195D96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дорожный просвет, мм</w:t>
            </w:r>
          </w:p>
        </w:tc>
        <w:tc>
          <w:tcPr>
            <w:tcW w:w="1417" w:type="dxa"/>
          </w:tcPr>
          <w:p w14:paraId="3CC14FA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111</w:t>
            </w:r>
          </w:p>
        </w:tc>
        <w:tc>
          <w:tcPr>
            <w:tcW w:w="1418" w:type="dxa"/>
          </w:tcPr>
          <w:p w14:paraId="5F1AA03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115-120</w:t>
            </w:r>
          </w:p>
        </w:tc>
      </w:tr>
      <w:tr w:rsidR="00643896" w:rsidRPr="00640820" w14:paraId="1D2E32DB" w14:textId="77777777" w:rsidTr="000D3BCB">
        <w:tc>
          <w:tcPr>
            <w:tcW w:w="4361" w:type="dxa"/>
          </w:tcPr>
          <w:p w14:paraId="3125A3D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ёмкость бензобака, л</w:t>
            </w:r>
          </w:p>
        </w:tc>
        <w:tc>
          <w:tcPr>
            <w:tcW w:w="1417" w:type="dxa"/>
          </w:tcPr>
          <w:p w14:paraId="0C0C244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w:t>
            </w:r>
          </w:p>
        </w:tc>
        <w:tc>
          <w:tcPr>
            <w:tcW w:w="1418" w:type="dxa"/>
          </w:tcPr>
          <w:p w14:paraId="48D7E30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w:t>
            </w:r>
          </w:p>
        </w:tc>
      </w:tr>
      <w:tr w:rsidR="00643896" w:rsidRPr="00640820" w14:paraId="042CCBFA" w14:textId="77777777" w:rsidTr="000D3BCB">
        <w:tc>
          <w:tcPr>
            <w:tcW w:w="4361" w:type="dxa"/>
          </w:tcPr>
          <w:p w14:paraId="1061B9D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ёмкость маслобака, л</w:t>
            </w:r>
          </w:p>
        </w:tc>
        <w:tc>
          <w:tcPr>
            <w:tcW w:w="1417" w:type="dxa"/>
          </w:tcPr>
          <w:p w14:paraId="1022AB5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w:t>
            </w:r>
          </w:p>
        </w:tc>
        <w:tc>
          <w:tcPr>
            <w:tcW w:w="1418" w:type="dxa"/>
          </w:tcPr>
          <w:p w14:paraId="1D13303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r>
      <w:tr w:rsidR="00643896" w:rsidRPr="00640820" w14:paraId="05489513" w14:textId="77777777" w:rsidTr="000D3BCB">
        <w:tc>
          <w:tcPr>
            <w:tcW w:w="4361" w:type="dxa"/>
          </w:tcPr>
          <w:p w14:paraId="4599F92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максимальная скорость, км/ч</w:t>
            </w:r>
          </w:p>
        </w:tc>
        <w:tc>
          <w:tcPr>
            <w:tcW w:w="1417" w:type="dxa"/>
          </w:tcPr>
          <w:p w14:paraId="3EF93ED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105</w:t>
            </w:r>
          </w:p>
        </w:tc>
        <w:tc>
          <w:tcPr>
            <w:tcW w:w="1418" w:type="dxa"/>
          </w:tcPr>
          <w:p w14:paraId="7AED865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105</w:t>
            </w:r>
          </w:p>
        </w:tc>
      </w:tr>
      <w:tr w:rsidR="00643896" w:rsidRPr="00640820" w14:paraId="0989F857" w14:textId="77777777" w:rsidTr="000D3BCB">
        <w:tc>
          <w:tcPr>
            <w:tcW w:w="4361" w:type="dxa"/>
          </w:tcPr>
          <w:p w14:paraId="4C8BB3F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масса заправленного мото</w:t>
            </w:r>
            <w:r w:rsidRPr="00640820">
              <w:rPr>
                <w:rFonts w:ascii="Times New Roman" w:hAnsi="Times New Roman"/>
                <w:color w:val="000000" w:themeColor="text1"/>
                <w:sz w:val="16"/>
                <w:szCs w:val="16"/>
              </w:rPr>
              <w:softHyphen/>
              <w:t>цикла, кг</w:t>
            </w:r>
          </w:p>
        </w:tc>
        <w:tc>
          <w:tcPr>
            <w:tcW w:w="1417" w:type="dxa"/>
          </w:tcPr>
          <w:p w14:paraId="2684288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158</w:t>
            </w:r>
          </w:p>
        </w:tc>
        <w:tc>
          <w:tcPr>
            <w:tcW w:w="1418" w:type="dxa"/>
          </w:tcPr>
          <w:p w14:paraId="3713B16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155</w:t>
            </w:r>
          </w:p>
        </w:tc>
      </w:tr>
      <w:tr w:rsidR="00643896" w:rsidRPr="00640820" w14:paraId="42C9C699" w14:textId="77777777" w:rsidTr="000D3BCB">
        <w:tc>
          <w:tcPr>
            <w:tcW w:w="4361" w:type="dxa"/>
          </w:tcPr>
          <w:p w14:paraId="0D08EA5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Двигатель</w:t>
            </w:r>
          </w:p>
        </w:tc>
        <w:tc>
          <w:tcPr>
            <w:tcW w:w="1417" w:type="dxa"/>
          </w:tcPr>
          <w:p w14:paraId="2A13B39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50DCD44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24EF94A" w14:textId="77777777" w:rsidTr="000D3BCB">
        <w:tc>
          <w:tcPr>
            <w:tcW w:w="4361" w:type="dxa"/>
          </w:tcPr>
          <w:p w14:paraId="51D4A4A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число тактов</w:t>
            </w:r>
          </w:p>
        </w:tc>
        <w:tc>
          <w:tcPr>
            <w:tcW w:w="1417" w:type="dxa"/>
          </w:tcPr>
          <w:p w14:paraId="65BCDEE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1418" w:type="dxa"/>
          </w:tcPr>
          <w:p w14:paraId="19BF132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r>
      <w:tr w:rsidR="00643896" w:rsidRPr="00640820" w14:paraId="08A8147E" w14:textId="77777777" w:rsidTr="000D3BCB">
        <w:tc>
          <w:tcPr>
            <w:tcW w:w="4361" w:type="dxa"/>
          </w:tcPr>
          <w:p w14:paraId="3ABE6D3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число цилиндров</w:t>
            </w:r>
          </w:p>
        </w:tc>
        <w:tc>
          <w:tcPr>
            <w:tcW w:w="1417" w:type="dxa"/>
          </w:tcPr>
          <w:p w14:paraId="3670AEF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1418" w:type="dxa"/>
          </w:tcPr>
          <w:p w14:paraId="1BF45D3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r>
      <w:tr w:rsidR="00643896" w:rsidRPr="00640820" w14:paraId="3C9228F8" w14:textId="77777777" w:rsidTr="000D3BCB">
        <w:tc>
          <w:tcPr>
            <w:tcW w:w="4361" w:type="dxa"/>
          </w:tcPr>
          <w:p w14:paraId="3326EAA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расположение цилиндра</w:t>
            </w:r>
          </w:p>
        </w:tc>
        <w:tc>
          <w:tcPr>
            <w:tcW w:w="1417" w:type="dxa"/>
          </w:tcPr>
          <w:p w14:paraId="77041FE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Вертикальное</w:t>
            </w:r>
          </w:p>
        </w:tc>
        <w:tc>
          <w:tcPr>
            <w:tcW w:w="1418" w:type="dxa"/>
          </w:tcPr>
          <w:p w14:paraId="744956C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Вертикальное</w:t>
            </w:r>
          </w:p>
        </w:tc>
      </w:tr>
      <w:tr w:rsidR="00643896" w:rsidRPr="00640820" w14:paraId="794C9D62" w14:textId="77777777" w:rsidTr="000D3BCB">
        <w:tc>
          <w:tcPr>
            <w:tcW w:w="4361" w:type="dxa"/>
          </w:tcPr>
          <w:p w14:paraId="4E3A798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диаметр цилиндра и ход пор</w:t>
            </w:r>
            <w:r w:rsidRPr="00640820">
              <w:rPr>
                <w:rFonts w:ascii="Times New Roman" w:hAnsi="Times New Roman"/>
                <w:color w:val="000000" w:themeColor="text1"/>
                <w:sz w:val="16"/>
                <w:szCs w:val="16"/>
              </w:rPr>
              <w:softHyphen/>
              <w:t>шня, мм</w:t>
            </w:r>
          </w:p>
        </w:tc>
        <w:tc>
          <w:tcPr>
            <w:tcW w:w="1417" w:type="dxa"/>
          </w:tcPr>
          <w:p w14:paraId="3454015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74x80</w:t>
            </w:r>
          </w:p>
        </w:tc>
        <w:tc>
          <w:tcPr>
            <w:tcW w:w="1418" w:type="dxa"/>
          </w:tcPr>
          <w:p w14:paraId="15C31D6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74x80</w:t>
            </w:r>
          </w:p>
        </w:tc>
      </w:tr>
      <w:tr w:rsidR="00643896" w:rsidRPr="00640820" w14:paraId="61A2A7D1" w14:textId="77777777" w:rsidTr="000D3BCB">
        <w:tc>
          <w:tcPr>
            <w:tcW w:w="4361" w:type="dxa"/>
          </w:tcPr>
          <w:p w14:paraId="0B3EC10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рабочий объём, см</w:t>
            </w:r>
          </w:p>
        </w:tc>
        <w:tc>
          <w:tcPr>
            <w:tcW w:w="1417" w:type="dxa"/>
          </w:tcPr>
          <w:p w14:paraId="0180BA5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348</w:t>
            </w:r>
          </w:p>
        </w:tc>
        <w:tc>
          <w:tcPr>
            <w:tcW w:w="1418" w:type="dxa"/>
          </w:tcPr>
          <w:p w14:paraId="427A1C7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348</w:t>
            </w:r>
          </w:p>
        </w:tc>
      </w:tr>
      <w:tr w:rsidR="00643896" w:rsidRPr="00640820" w14:paraId="3A89E506" w14:textId="77777777" w:rsidTr="000D3BCB">
        <w:tc>
          <w:tcPr>
            <w:tcW w:w="4361" w:type="dxa"/>
          </w:tcPr>
          <w:p w14:paraId="380CF72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степень сжатия</w:t>
            </w:r>
          </w:p>
        </w:tc>
        <w:tc>
          <w:tcPr>
            <w:tcW w:w="1417" w:type="dxa"/>
          </w:tcPr>
          <w:p w14:paraId="6471B70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5,8-6,2</w:t>
            </w:r>
          </w:p>
        </w:tc>
        <w:tc>
          <w:tcPr>
            <w:tcW w:w="1418" w:type="dxa"/>
          </w:tcPr>
          <w:p w14:paraId="7986918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5,8-6,2</w:t>
            </w:r>
          </w:p>
        </w:tc>
      </w:tr>
      <w:tr w:rsidR="00643896" w:rsidRPr="00640820" w14:paraId="59B81643" w14:textId="77777777" w:rsidTr="000D3BCB">
        <w:tc>
          <w:tcPr>
            <w:tcW w:w="4361" w:type="dxa"/>
          </w:tcPr>
          <w:p w14:paraId="5723F01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максимальная мощность, л.с.</w:t>
            </w:r>
          </w:p>
        </w:tc>
        <w:tc>
          <w:tcPr>
            <w:tcW w:w="1417" w:type="dxa"/>
          </w:tcPr>
          <w:p w14:paraId="18BFA00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13,5</w:t>
            </w:r>
          </w:p>
        </w:tc>
        <w:tc>
          <w:tcPr>
            <w:tcW w:w="1418" w:type="dxa"/>
          </w:tcPr>
          <w:p w14:paraId="0A6B841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w:t>
            </w:r>
          </w:p>
        </w:tc>
      </w:tr>
      <w:tr w:rsidR="00643896" w:rsidRPr="00640820" w14:paraId="620762BD" w14:textId="77777777" w:rsidTr="000D3BCB">
        <w:tc>
          <w:tcPr>
            <w:tcW w:w="4361" w:type="dxa"/>
          </w:tcPr>
          <w:p w14:paraId="063AFE5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максимальная частота враще</w:t>
            </w:r>
            <w:r w:rsidRPr="00640820">
              <w:rPr>
                <w:rFonts w:ascii="Times New Roman" w:hAnsi="Times New Roman"/>
                <w:color w:val="000000" w:themeColor="text1"/>
                <w:sz w:val="16"/>
                <w:szCs w:val="16"/>
              </w:rPr>
              <w:softHyphen/>
              <w:t>ния, 1/мин коленчатого вала</w:t>
            </w:r>
          </w:p>
        </w:tc>
        <w:tc>
          <w:tcPr>
            <w:tcW w:w="1417" w:type="dxa"/>
          </w:tcPr>
          <w:p w14:paraId="203C9FC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4900</w:t>
            </w:r>
          </w:p>
        </w:tc>
        <w:tc>
          <w:tcPr>
            <w:tcW w:w="1418" w:type="dxa"/>
          </w:tcPr>
          <w:p w14:paraId="50C99FE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5000</w:t>
            </w:r>
          </w:p>
        </w:tc>
      </w:tr>
      <w:tr w:rsidR="00643896" w:rsidRPr="00640820" w14:paraId="3C96E844" w14:textId="77777777" w:rsidTr="000D3BCB">
        <w:tc>
          <w:tcPr>
            <w:tcW w:w="4361" w:type="dxa"/>
          </w:tcPr>
          <w:p w14:paraId="5063CAF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тип смазки</w:t>
            </w:r>
          </w:p>
        </w:tc>
        <w:tc>
          <w:tcPr>
            <w:tcW w:w="1417" w:type="dxa"/>
          </w:tcPr>
          <w:p w14:paraId="1F6F666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Циркуляционная</w:t>
            </w:r>
          </w:p>
        </w:tc>
        <w:tc>
          <w:tcPr>
            <w:tcW w:w="1418" w:type="dxa"/>
          </w:tcPr>
          <w:p w14:paraId="0FB8B8D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Циркуляционная</w:t>
            </w:r>
          </w:p>
        </w:tc>
      </w:tr>
      <w:tr w:rsidR="00643896" w:rsidRPr="00640820" w14:paraId="140D7D5F" w14:textId="77777777" w:rsidTr="000D3BCB">
        <w:tc>
          <w:tcPr>
            <w:tcW w:w="4361" w:type="dxa"/>
          </w:tcPr>
          <w:p w14:paraId="0459575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расход бензина на 100 км пути, л</w:t>
            </w:r>
          </w:p>
        </w:tc>
        <w:tc>
          <w:tcPr>
            <w:tcW w:w="1417" w:type="dxa"/>
          </w:tcPr>
          <w:p w14:paraId="727867E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w:t>
            </w:r>
          </w:p>
        </w:tc>
        <w:tc>
          <w:tcPr>
            <w:tcW w:w="1418" w:type="dxa"/>
          </w:tcPr>
          <w:p w14:paraId="1036740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w:t>
            </w:r>
          </w:p>
        </w:tc>
      </w:tr>
      <w:tr w:rsidR="00643896" w:rsidRPr="00640820" w14:paraId="18C8EA42" w14:textId="77777777" w:rsidTr="000D3BCB">
        <w:tc>
          <w:tcPr>
            <w:tcW w:w="4361" w:type="dxa"/>
          </w:tcPr>
          <w:p w14:paraId="648F56A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расход масла на 100 км пути, л</w:t>
            </w:r>
          </w:p>
        </w:tc>
        <w:tc>
          <w:tcPr>
            <w:tcW w:w="1417" w:type="dxa"/>
          </w:tcPr>
          <w:p w14:paraId="69FC979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A5061E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2C57C6A" w14:textId="77777777" w:rsidTr="000D3BCB">
        <w:tc>
          <w:tcPr>
            <w:tcW w:w="4361" w:type="dxa"/>
          </w:tcPr>
          <w:p w14:paraId="6ECFABC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тип карбюратора</w:t>
            </w:r>
          </w:p>
        </w:tc>
        <w:tc>
          <w:tcPr>
            <w:tcW w:w="1417" w:type="dxa"/>
          </w:tcPr>
          <w:p w14:paraId="2FFF092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0,15</w:t>
            </w:r>
          </w:p>
        </w:tc>
        <w:tc>
          <w:tcPr>
            <w:tcW w:w="1418" w:type="dxa"/>
          </w:tcPr>
          <w:p w14:paraId="660E043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0,2</w:t>
            </w:r>
          </w:p>
        </w:tc>
      </w:tr>
      <w:tr w:rsidR="00643896" w:rsidRPr="00640820" w14:paraId="6DB95110" w14:textId="77777777" w:rsidTr="000D3BCB">
        <w:tc>
          <w:tcPr>
            <w:tcW w:w="4361" w:type="dxa"/>
          </w:tcPr>
          <w:p w14:paraId="2D42C9B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Трансмиссия</w:t>
            </w:r>
          </w:p>
        </w:tc>
        <w:tc>
          <w:tcPr>
            <w:tcW w:w="1417" w:type="dxa"/>
          </w:tcPr>
          <w:p w14:paraId="76408DA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Аmal</w:t>
            </w:r>
          </w:p>
        </w:tc>
        <w:tc>
          <w:tcPr>
            <w:tcW w:w="1418" w:type="dxa"/>
          </w:tcPr>
          <w:p w14:paraId="258801C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Аmal</w:t>
            </w:r>
          </w:p>
        </w:tc>
      </w:tr>
      <w:tr w:rsidR="00643896" w:rsidRPr="00640820" w14:paraId="4408C758" w14:textId="77777777" w:rsidTr="000D3BCB">
        <w:tc>
          <w:tcPr>
            <w:tcW w:w="4361" w:type="dxa"/>
          </w:tcPr>
          <w:p w14:paraId="7967B2D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передача на заднее колесо</w:t>
            </w:r>
          </w:p>
        </w:tc>
        <w:tc>
          <w:tcPr>
            <w:tcW w:w="1417" w:type="dxa"/>
          </w:tcPr>
          <w:p w14:paraId="1A45E9C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7257BB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4DDB3EF" w14:textId="77777777" w:rsidTr="000D3BCB">
        <w:tc>
          <w:tcPr>
            <w:tcW w:w="4361" w:type="dxa"/>
          </w:tcPr>
          <w:p w14:paraId="1FD451F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тип сцепления</w:t>
            </w:r>
          </w:p>
        </w:tc>
        <w:tc>
          <w:tcPr>
            <w:tcW w:w="1417" w:type="dxa"/>
          </w:tcPr>
          <w:p w14:paraId="2F591FC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Цепь</w:t>
            </w:r>
          </w:p>
        </w:tc>
        <w:tc>
          <w:tcPr>
            <w:tcW w:w="1418" w:type="dxa"/>
          </w:tcPr>
          <w:p w14:paraId="09253E8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Цепь</w:t>
            </w:r>
          </w:p>
        </w:tc>
      </w:tr>
      <w:tr w:rsidR="00643896" w:rsidRPr="00640820" w14:paraId="54FCA212" w14:textId="77777777" w:rsidTr="000D3BCB">
        <w:tc>
          <w:tcPr>
            <w:tcW w:w="4361" w:type="dxa"/>
          </w:tcPr>
          <w:p w14:paraId="784CDCA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переключатель передач</w:t>
            </w:r>
          </w:p>
        </w:tc>
        <w:tc>
          <w:tcPr>
            <w:tcW w:w="1417" w:type="dxa"/>
          </w:tcPr>
          <w:p w14:paraId="37BA8E4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Диски</w:t>
            </w:r>
          </w:p>
        </w:tc>
        <w:tc>
          <w:tcPr>
            <w:tcW w:w="1418" w:type="dxa"/>
          </w:tcPr>
          <w:p w14:paraId="0AF0DA8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Диски</w:t>
            </w:r>
          </w:p>
        </w:tc>
      </w:tr>
      <w:tr w:rsidR="00643896" w:rsidRPr="00640820" w14:paraId="02B4B305" w14:textId="77777777" w:rsidTr="000D3BCB">
        <w:tc>
          <w:tcPr>
            <w:tcW w:w="4361" w:type="dxa"/>
          </w:tcPr>
          <w:p w14:paraId="7AE2606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Ходовая часть</w:t>
            </w:r>
          </w:p>
        </w:tc>
        <w:tc>
          <w:tcPr>
            <w:tcW w:w="1417" w:type="dxa"/>
          </w:tcPr>
          <w:p w14:paraId="5998734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Педаль</w:t>
            </w:r>
          </w:p>
        </w:tc>
        <w:tc>
          <w:tcPr>
            <w:tcW w:w="1418" w:type="dxa"/>
          </w:tcPr>
          <w:p w14:paraId="488A74E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Педаль</w:t>
            </w:r>
          </w:p>
        </w:tc>
      </w:tr>
      <w:tr w:rsidR="00643896" w:rsidRPr="00640820" w14:paraId="24F376A1" w14:textId="77777777" w:rsidTr="000D3BCB">
        <w:tc>
          <w:tcPr>
            <w:tcW w:w="4361" w:type="dxa"/>
          </w:tcPr>
          <w:p w14:paraId="6944712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рама</w:t>
            </w:r>
          </w:p>
        </w:tc>
        <w:tc>
          <w:tcPr>
            <w:tcW w:w="1417" w:type="dxa"/>
          </w:tcPr>
          <w:p w14:paraId="01B5B0B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248911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8795C77" w14:textId="77777777" w:rsidTr="000D3BCB">
        <w:tc>
          <w:tcPr>
            <w:tcW w:w="4361" w:type="dxa"/>
          </w:tcPr>
          <w:p w14:paraId="2B1AC35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вилка</w:t>
            </w:r>
          </w:p>
        </w:tc>
        <w:tc>
          <w:tcPr>
            <w:tcW w:w="1417" w:type="dxa"/>
          </w:tcPr>
          <w:p w14:paraId="3CC5046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Штампованная</w:t>
            </w:r>
          </w:p>
        </w:tc>
        <w:tc>
          <w:tcPr>
            <w:tcW w:w="1418" w:type="dxa"/>
          </w:tcPr>
          <w:p w14:paraId="6D46997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Штампованная</w:t>
            </w:r>
          </w:p>
        </w:tc>
      </w:tr>
      <w:tr w:rsidR="00643896" w:rsidRPr="00640820" w14:paraId="30C67592" w14:textId="77777777" w:rsidTr="000D3BCB">
        <w:tc>
          <w:tcPr>
            <w:tcW w:w="4361" w:type="dxa"/>
          </w:tcPr>
          <w:p w14:paraId="72DD27F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размеры шин, дюймы</w:t>
            </w:r>
          </w:p>
        </w:tc>
        <w:tc>
          <w:tcPr>
            <w:tcW w:w="1417" w:type="dxa"/>
          </w:tcPr>
          <w:p w14:paraId="2952BCF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Параллелограммная</w:t>
            </w:r>
          </w:p>
        </w:tc>
        <w:tc>
          <w:tcPr>
            <w:tcW w:w="1418" w:type="dxa"/>
          </w:tcPr>
          <w:p w14:paraId="66283D5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Параллелограммная</w:t>
            </w:r>
          </w:p>
        </w:tc>
      </w:tr>
      <w:tr w:rsidR="00643896" w:rsidRPr="00640820" w14:paraId="6BC2A877" w14:textId="77777777" w:rsidTr="000D3BCB">
        <w:tc>
          <w:tcPr>
            <w:tcW w:w="4361" w:type="dxa"/>
          </w:tcPr>
          <w:p w14:paraId="48992DA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тип тормозов</w:t>
            </w:r>
          </w:p>
        </w:tc>
        <w:tc>
          <w:tcPr>
            <w:tcW w:w="1417" w:type="dxa"/>
          </w:tcPr>
          <w:p w14:paraId="3778D0F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2,0x19</w:t>
            </w:r>
          </w:p>
        </w:tc>
        <w:tc>
          <w:tcPr>
            <w:tcW w:w="1418" w:type="dxa"/>
          </w:tcPr>
          <w:p w14:paraId="30F6164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2,0x19</w:t>
            </w:r>
          </w:p>
        </w:tc>
      </w:tr>
      <w:tr w:rsidR="00643896" w:rsidRPr="00640820" w14:paraId="4A20985D" w14:textId="77777777" w:rsidTr="000D3BCB">
        <w:tc>
          <w:tcPr>
            <w:tcW w:w="4361" w:type="dxa"/>
          </w:tcPr>
          <w:p w14:paraId="25C5E04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Оборудование</w:t>
            </w:r>
          </w:p>
        </w:tc>
        <w:tc>
          <w:tcPr>
            <w:tcW w:w="1417" w:type="dxa"/>
          </w:tcPr>
          <w:p w14:paraId="3339F82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Колодочные</w:t>
            </w:r>
          </w:p>
        </w:tc>
        <w:tc>
          <w:tcPr>
            <w:tcW w:w="1418" w:type="dxa"/>
          </w:tcPr>
          <w:p w14:paraId="51F1F3B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Колодочные</w:t>
            </w:r>
          </w:p>
        </w:tc>
      </w:tr>
      <w:tr w:rsidR="00643896" w:rsidRPr="00640820" w14:paraId="206903BF" w14:textId="77777777" w:rsidTr="000D3BCB">
        <w:tc>
          <w:tcPr>
            <w:tcW w:w="4361" w:type="dxa"/>
          </w:tcPr>
          <w:p w14:paraId="5F82078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питание зажигания</w:t>
            </w:r>
          </w:p>
        </w:tc>
        <w:tc>
          <w:tcPr>
            <w:tcW w:w="1417" w:type="dxa"/>
          </w:tcPr>
          <w:p w14:paraId="1A683E9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C35A0D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7F3EC53" w14:textId="77777777" w:rsidTr="000D3BCB">
        <w:tc>
          <w:tcPr>
            <w:tcW w:w="4361" w:type="dxa"/>
          </w:tcPr>
          <w:p w14:paraId="77C1787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питание освещения</w:t>
            </w:r>
          </w:p>
        </w:tc>
        <w:tc>
          <w:tcPr>
            <w:tcW w:w="1417" w:type="dxa"/>
          </w:tcPr>
          <w:p w14:paraId="54379BB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Магдино</w:t>
            </w:r>
          </w:p>
        </w:tc>
        <w:tc>
          <w:tcPr>
            <w:tcW w:w="1418" w:type="dxa"/>
          </w:tcPr>
          <w:p w14:paraId="745E7D2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Магдино</w:t>
            </w:r>
          </w:p>
        </w:tc>
      </w:tr>
      <w:tr w:rsidR="00643896" w:rsidRPr="00640820" w14:paraId="25500A86" w14:textId="77777777" w:rsidTr="000D3BCB">
        <w:tc>
          <w:tcPr>
            <w:tcW w:w="4361" w:type="dxa"/>
          </w:tcPr>
          <w:p w14:paraId="13BE1DF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диаметр фары, мм</w:t>
            </w:r>
          </w:p>
        </w:tc>
        <w:tc>
          <w:tcPr>
            <w:tcW w:w="1417" w:type="dxa"/>
          </w:tcPr>
          <w:p w14:paraId="7F90898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6FA245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3990C02" w14:textId="77777777" w:rsidTr="000D3BCB">
        <w:tc>
          <w:tcPr>
            <w:tcW w:w="4361" w:type="dxa"/>
          </w:tcPr>
          <w:p w14:paraId="0AB07B0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тип сигнала</w:t>
            </w:r>
          </w:p>
        </w:tc>
        <w:tc>
          <w:tcPr>
            <w:tcW w:w="1417" w:type="dxa"/>
          </w:tcPr>
          <w:p w14:paraId="2F6C151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170</w:t>
            </w:r>
          </w:p>
        </w:tc>
        <w:tc>
          <w:tcPr>
            <w:tcW w:w="1418" w:type="dxa"/>
          </w:tcPr>
          <w:p w14:paraId="60727FA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180</w:t>
            </w:r>
          </w:p>
        </w:tc>
      </w:tr>
      <w:tr w:rsidR="00643896" w:rsidRPr="00640820" w14:paraId="1FF23663" w14:textId="77777777" w:rsidTr="000D3BCB">
        <w:tc>
          <w:tcPr>
            <w:tcW w:w="4361" w:type="dxa"/>
          </w:tcPr>
          <w:p w14:paraId="416E5B6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Паспортные данные</w:t>
            </w:r>
          </w:p>
        </w:tc>
        <w:tc>
          <w:tcPr>
            <w:tcW w:w="1417" w:type="dxa"/>
          </w:tcPr>
          <w:p w14:paraId="41B469F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Электрический</w:t>
            </w:r>
          </w:p>
        </w:tc>
        <w:tc>
          <w:tcPr>
            <w:tcW w:w="1418" w:type="dxa"/>
          </w:tcPr>
          <w:p w14:paraId="4152C8E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Электрический</w:t>
            </w:r>
          </w:p>
        </w:tc>
      </w:tr>
      <w:tr w:rsidR="00643896" w:rsidRPr="00640820" w14:paraId="7AC55B84" w14:textId="77777777" w:rsidTr="000D3BCB">
        <w:tc>
          <w:tcPr>
            <w:tcW w:w="4361" w:type="dxa"/>
          </w:tcPr>
          <w:p w14:paraId="2A1D401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горючее</w:t>
            </w:r>
          </w:p>
        </w:tc>
        <w:tc>
          <w:tcPr>
            <w:tcW w:w="1417" w:type="dxa"/>
          </w:tcPr>
          <w:p w14:paraId="3F30A12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Автомобильный бензин</w:t>
            </w:r>
          </w:p>
        </w:tc>
        <w:tc>
          <w:tcPr>
            <w:tcW w:w="1418" w:type="dxa"/>
          </w:tcPr>
          <w:p w14:paraId="47A407A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Автомобильный бензин</w:t>
            </w:r>
          </w:p>
        </w:tc>
      </w:tr>
      <w:tr w:rsidR="00643896" w:rsidRPr="00640820" w14:paraId="162592C4" w14:textId="77777777" w:rsidTr="000D3BCB">
        <w:tc>
          <w:tcPr>
            <w:tcW w:w="4361" w:type="dxa"/>
          </w:tcPr>
          <w:p w14:paraId="0054C15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масло</w:t>
            </w:r>
          </w:p>
        </w:tc>
        <w:tc>
          <w:tcPr>
            <w:tcW w:w="1417" w:type="dxa"/>
          </w:tcPr>
          <w:p w14:paraId="4E8A70D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Автол «Т» и «М»</w:t>
            </w:r>
          </w:p>
        </w:tc>
        <w:tc>
          <w:tcPr>
            <w:tcW w:w="1418" w:type="dxa"/>
          </w:tcPr>
          <w:p w14:paraId="3017A51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Автол «Т» и «М»</w:t>
            </w:r>
          </w:p>
        </w:tc>
      </w:tr>
      <w:tr w:rsidR="00643896" w:rsidRPr="00640820" w14:paraId="311B21EA" w14:textId="77777777" w:rsidTr="000D3BCB">
        <w:tc>
          <w:tcPr>
            <w:tcW w:w="4361" w:type="dxa"/>
          </w:tcPr>
          <w:p w14:paraId="3A7C252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запас хода по топливу, км</w:t>
            </w:r>
          </w:p>
        </w:tc>
        <w:tc>
          <w:tcPr>
            <w:tcW w:w="1417" w:type="dxa"/>
          </w:tcPr>
          <w:p w14:paraId="47A9E24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400</w:t>
            </w:r>
          </w:p>
        </w:tc>
        <w:tc>
          <w:tcPr>
            <w:tcW w:w="1418" w:type="dxa"/>
          </w:tcPr>
          <w:p w14:paraId="5B5A452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370</w:t>
            </w:r>
          </w:p>
        </w:tc>
      </w:tr>
      <w:tr w:rsidR="00643896" w:rsidRPr="00640820" w14:paraId="49E66DDC" w14:textId="77777777" w:rsidTr="000D3BCB">
        <w:tc>
          <w:tcPr>
            <w:tcW w:w="4361" w:type="dxa"/>
            <w:tcBorders>
              <w:bottom w:val="single" w:sz="12" w:space="0" w:color="auto"/>
            </w:tcBorders>
          </w:tcPr>
          <w:p w14:paraId="78F0CB7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запас хода по маслу, км</w:t>
            </w:r>
          </w:p>
        </w:tc>
        <w:tc>
          <w:tcPr>
            <w:tcW w:w="1417" w:type="dxa"/>
            <w:tcBorders>
              <w:bottom w:val="single" w:sz="12" w:space="0" w:color="auto"/>
            </w:tcBorders>
          </w:tcPr>
          <w:p w14:paraId="48B9D28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1670</w:t>
            </w:r>
          </w:p>
        </w:tc>
        <w:tc>
          <w:tcPr>
            <w:tcW w:w="1418" w:type="dxa"/>
            <w:tcBorders>
              <w:bottom w:val="single" w:sz="12" w:space="0" w:color="auto"/>
            </w:tcBorders>
          </w:tcPr>
          <w:p w14:paraId="1BCE06C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1000</w:t>
            </w:r>
          </w:p>
        </w:tc>
      </w:tr>
    </w:tbl>
    <w:p w14:paraId="281176E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0B379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 за 1941 г. удалось сделать 10968 отечественных мотоцик</w:t>
      </w:r>
      <w:r w:rsidRPr="00640820">
        <w:rPr>
          <w:rFonts w:ascii="Times New Roman" w:hAnsi="Times New Roman"/>
          <w:color w:val="000000" w:themeColor="text1"/>
          <w:sz w:val="16"/>
          <w:szCs w:val="16"/>
        </w:rPr>
        <w:softHyphen/>
        <w:t>лов (табл. 13) [4.93, 4.191]. К концу октября 1941 г. производство отечественных мотоци</w:t>
      </w:r>
      <w:r w:rsidRPr="00640820">
        <w:rPr>
          <w:rFonts w:ascii="Times New Roman" w:hAnsi="Times New Roman"/>
          <w:color w:val="000000" w:themeColor="text1"/>
          <w:sz w:val="16"/>
          <w:szCs w:val="16"/>
        </w:rPr>
        <w:softHyphen/>
        <w:t>клов в СССР на ММЗ, СМЗ, ЛМЗ, ХМЗ, КМЗ и ИжМЗ прекра</w:t>
      </w:r>
      <w:r w:rsidRPr="00640820">
        <w:rPr>
          <w:rFonts w:ascii="Times New Roman" w:hAnsi="Times New Roman"/>
          <w:color w:val="000000" w:themeColor="text1"/>
          <w:sz w:val="16"/>
          <w:szCs w:val="16"/>
        </w:rPr>
        <w:softHyphen/>
        <w:t>тилось. Выпуск этой мотопродукции предполагалось развернуть на ГМЗ, ИМЗ и ТМЗ, но удалось только в Горьком. За период с октября по декабрь 1941 г. на ГМЗ из привезён</w:t>
      </w:r>
      <w:r w:rsidRPr="00640820">
        <w:rPr>
          <w:rFonts w:ascii="Times New Roman" w:hAnsi="Times New Roman"/>
          <w:color w:val="000000" w:themeColor="text1"/>
          <w:sz w:val="16"/>
          <w:szCs w:val="16"/>
        </w:rPr>
        <w:softHyphen/>
        <w:t>ных деталей собрали 243 мотоцикла, и завершили сборку 206 [4.191], доставленных с ММЗ и частично собранных, всего - 449. Эти машины сразу же передали в ГБТУ, ведавшего приёмкой мо</w:t>
      </w:r>
      <w:r w:rsidRPr="00640820">
        <w:rPr>
          <w:rFonts w:ascii="Times New Roman" w:hAnsi="Times New Roman"/>
          <w:color w:val="000000" w:themeColor="text1"/>
          <w:sz w:val="16"/>
          <w:szCs w:val="16"/>
        </w:rPr>
        <w:softHyphen/>
        <w:t>тоциклов и распределением их на фронте и в тылу. На освободившихся производственных площадях ММЗ в 4 квартале 1941 г. освоили ремонт трофейных мотоциклов, доста</w:t>
      </w:r>
      <w:r w:rsidRPr="00640820">
        <w:rPr>
          <w:rFonts w:ascii="Times New Roman" w:hAnsi="Times New Roman"/>
          <w:color w:val="000000" w:themeColor="text1"/>
          <w:sz w:val="16"/>
          <w:szCs w:val="16"/>
        </w:rPr>
        <w:softHyphen/>
        <w:t>вляемых на завод с полей сражений в ходе битвы за Москву. На ММЗ в 1941 г. отремонтировали 1763 трофейных мотоцикла [5.20]. В целом работники отечественной мотоциклетной про</w:t>
      </w:r>
      <w:r w:rsidRPr="00640820">
        <w:rPr>
          <w:rFonts w:ascii="Times New Roman" w:hAnsi="Times New Roman"/>
          <w:color w:val="000000" w:themeColor="text1"/>
          <w:sz w:val="16"/>
          <w:szCs w:val="16"/>
        </w:rPr>
        <w:softHyphen/>
        <w:t>мышленности в 1941 г. передали стране 12 643 мотоцикла.</w:t>
      </w:r>
    </w:p>
    <w:p w14:paraId="665F594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Выпуск отечественных мотоциклов в 1941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219"/>
        <w:gridCol w:w="960"/>
        <w:gridCol w:w="979"/>
      </w:tblGrid>
      <w:tr w:rsidR="00643896" w:rsidRPr="00640820" w14:paraId="615F5A25" w14:textId="77777777" w:rsidTr="000D3BCB">
        <w:trPr>
          <w:trHeight w:val="566"/>
        </w:trPr>
        <w:tc>
          <w:tcPr>
            <w:tcW w:w="1219" w:type="dxa"/>
            <w:tcBorders>
              <w:top w:val="single" w:sz="12" w:space="0" w:color="auto"/>
            </w:tcBorders>
          </w:tcPr>
          <w:p w14:paraId="72F06A4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Модель</w:t>
            </w:r>
          </w:p>
          <w:p w14:paraId="0C2936A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12" w:space="0" w:color="auto"/>
            </w:tcBorders>
          </w:tcPr>
          <w:p w14:paraId="2423567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w:t>
            </w:r>
          </w:p>
          <w:p w14:paraId="7AB85E2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12" w:space="0" w:color="auto"/>
            </w:tcBorders>
          </w:tcPr>
          <w:p w14:paraId="0E01F3D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Количест</w:t>
            </w:r>
            <w:r w:rsidRPr="00640820">
              <w:rPr>
                <w:rFonts w:ascii="Times New Roman" w:hAnsi="Times New Roman"/>
                <w:color w:val="000000" w:themeColor="text1"/>
                <w:sz w:val="16"/>
                <w:szCs w:val="16"/>
              </w:rPr>
              <w:softHyphen/>
              <w:t>во, экз.</w:t>
            </w:r>
          </w:p>
          <w:p w14:paraId="7BF42C9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73AFC9D" w14:textId="77777777" w:rsidTr="000D3BCB">
        <w:trPr>
          <w:trHeight w:val="288"/>
        </w:trPr>
        <w:tc>
          <w:tcPr>
            <w:tcW w:w="1219" w:type="dxa"/>
          </w:tcPr>
          <w:p w14:paraId="22122DC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Л-8</w:t>
            </w:r>
          </w:p>
          <w:p w14:paraId="2E72500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7275139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ЛМЗ</w:t>
            </w:r>
          </w:p>
          <w:p w14:paraId="107DECD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Pr>
          <w:p w14:paraId="49F3AB2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774</w:t>
            </w:r>
          </w:p>
          <w:p w14:paraId="23FACA9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58D97A8" w14:textId="77777777" w:rsidTr="000D3BCB">
        <w:trPr>
          <w:trHeight w:val="211"/>
        </w:trPr>
        <w:tc>
          <w:tcPr>
            <w:tcW w:w="1219" w:type="dxa"/>
          </w:tcPr>
          <w:p w14:paraId="5CF9F33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F5740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1272117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СМЗ</w:t>
            </w:r>
          </w:p>
          <w:p w14:paraId="3D147D5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Pr>
          <w:p w14:paraId="561A13A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396</w:t>
            </w:r>
          </w:p>
          <w:p w14:paraId="4171CB3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23F2C75" w14:textId="77777777" w:rsidTr="000D3BCB">
        <w:trPr>
          <w:trHeight w:val="221"/>
        </w:trPr>
        <w:tc>
          <w:tcPr>
            <w:tcW w:w="1219" w:type="dxa"/>
          </w:tcPr>
          <w:p w14:paraId="63FFD4F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ИЖ-9</w:t>
            </w:r>
          </w:p>
          <w:p w14:paraId="689A8FE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0C9062C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ИжМЗ</w:t>
            </w:r>
          </w:p>
          <w:p w14:paraId="1A29FA1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Pr>
          <w:p w14:paraId="576BBB4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4988</w:t>
            </w:r>
          </w:p>
          <w:p w14:paraId="5AFCE08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E266FA0" w14:textId="77777777" w:rsidTr="000D3BCB">
        <w:trPr>
          <w:trHeight w:val="221"/>
        </w:trPr>
        <w:tc>
          <w:tcPr>
            <w:tcW w:w="1219" w:type="dxa"/>
          </w:tcPr>
          <w:p w14:paraId="3C9956E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ИЖ-12</w:t>
            </w:r>
          </w:p>
          <w:p w14:paraId="61A8947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1B53A4C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E5CF3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Pr>
          <w:p w14:paraId="754C730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41</w:t>
            </w:r>
          </w:p>
          <w:p w14:paraId="10E50CB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EE49D70" w14:textId="77777777" w:rsidTr="000D3BCB">
        <w:trPr>
          <w:trHeight w:val="221"/>
        </w:trPr>
        <w:tc>
          <w:tcPr>
            <w:tcW w:w="1219" w:type="dxa"/>
          </w:tcPr>
          <w:p w14:paraId="6395131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МЛ-3</w:t>
            </w:r>
          </w:p>
          <w:p w14:paraId="690AE5A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6219E2C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СМЗ</w:t>
            </w:r>
          </w:p>
          <w:p w14:paraId="161DF0B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Pr>
          <w:p w14:paraId="15A78E9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48</w:t>
            </w:r>
          </w:p>
          <w:p w14:paraId="5815297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E095046" w14:textId="77777777" w:rsidTr="000D3BCB">
        <w:trPr>
          <w:trHeight w:val="221"/>
        </w:trPr>
        <w:tc>
          <w:tcPr>
            <w:tcW w:w="1219" w:type="dxa"/>
          </w:tcPr>
          <w:p w14:paraId="6378980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АМ-600</w:t>
            </w:r>
          </w:p>
          <w:p w14:paraId="246DCD5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236B594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тиз</w:t>
            </w:r>
          </w:p>
          <w:p w14:paraId="684D988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Pr>
          <w:p w14:paraId="03E0ECF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2970</w:t>
            </w:r>
          </w:p>
          <w:p w14:paraId="66EFF14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6FEAE80" w14:textId="77777777" w:rsidTr="000D3BCB">
        <w:trPr>
          <w:trHeight w:val="230"/>
        </w:trPr>
        <w:tc>
          <w:tcPr>
            <w:tcW w:w="1219" w:type="dxa"/>
          </w:tcPr>
          <w:p w14:paraId="6659487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М-72</w:t>
            </w:r>
          </w:p>
          <w:p w14:paraId="0A3E28E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0DB391F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хмз</w:t>
            </w:r>
          </w:p>
          <w:p w14:paraId="3CF4649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Pr>
          <w:p w14:paraId="06C49C6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212</w:t>
            </w:r>
          </w:p>
          <w:p w14:paraId="3FAFD15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3FA4A60" w14:textId="77777777" w:rsidTr="000D3BCB">
        <w:trPr>
          <w:trHeight w:val="221"/>
        </w:trPr>
        <w:tc>
          <w:tcPr>
            <w:tcW w:w="1219" w:type="dxa"/>
          </w:tcPr>
          <w:p w14:paraId="037951A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3EFFE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6BEC71F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ммз</w:t>
            </w:r>
          </w:p>
          <w:p w14:paraId="68DD3F9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Pr>
          <w:p w14:paraId="0ADE421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1090</w:t>
            </w:r>
          </w:p>
          <w:p w14:paraId="0B99BD2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AF74DA4" w14:textId="77777777" w:rsidTr="000D3BCB">
        <w:trPr>
          <w:trHeight w:val="230"/>
        </w:trPr>
        <w:tc>
          <w:tcPr>
            <w:tcW w:w="1219" w:type="dxa"/>
          </w:tcPr>
          <w:p w14:paraId="54040A1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04A7B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5FA305A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гмз</w:t>
            </w:r>
          </w:p>
          <w:p w14:paraId="0C1BA56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Pr>
          <w:p w14:paraId="1BA5A8A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449</w:t>
            </w:r>
          </w:p>
          <w:p w14:paraId="3D42E92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CFAFC35" w14:textId="77777777" w:rsidTr="000D3BCB">
        <w:trPr>
          <w:trHeight w:val="230"/>
        </w:trPr>
        <w:tc>
          <w:tcPr>
            <w:tcW w:w="1219" w:type="dxa"/>
            <w:tcBorders>
              <w:bottom w:val="single" w:sz="12" w:space="0" w:color="auto"/>
            </w:tcBorders>
          </w:tcPr>
          <w:p w14:paraId="0C6A699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Всего</w:t>
            </w:r>
          </w:p>
        </w:tc>
        <w:tc>
          <w:tcPr>
            <w:tcW w:w="960" w:type="dxa"/>
            <w:tcBorders>
              <w:bottom w:val="single" w:sz="12" w:space="0" w:color="auto"/>
            </w:tcBorders>
          </w:tcPr>
          <w:p w14:paraId="6960A31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bottom w:val="single" w:sz="12" w:space="0" w:color="auto"/>
            </w:tcBorders>
          </w:tcPr>
          <w:p w14:paraId="3B5E554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10968</w:t>
            </w:r>
          </w:p>
        </w:tc>
      </w:tr>
    </w:tbl>
    <w:p w14:paraId="33AA4E8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(11429).</w:t>
      </w:r>
    </w:p>
    <w:p w14:paraId="2794542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6C7F3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году с ММЗ вывезли техноло</w:t>
      </w:r>
      <w:r w:rsidRPr="00640820">
        <w:rPr>
          <w:rFonts w:ascii="Times New Roman" w:hAnsi="Times New Roman"/>
          <w:color w:val="000000" w:themeColor="text1"/>
          <w:sz w:val="16"/>
          <w:szCs w:val="16"/>
        </w:rPr>
        <w:softHyphen/>
        <w:t>гическое оборудование по выпуску тяжелых мотоциклов М-72 в восточные районы страны, и на освободившихся производствен</w:t>
      </w:r>
      <w:r w:rsidRPr="00640820">
        <w:rPr>
          <w:rFonts w:ascii="Times New Roman" w:hAnsi="Times New Roman"/>
          <w:color w:val="000000" w:themeColor="text1"/>
          <w:sz w:val="16"/>
          <w:szCs w:val="16"/>
        </w:rPr>
        <w:softHyphen/>
        <w:t>ных площадях организовали ремонт трофейных мотоциклов, до</w:t>
      </w:r>
      <w:r w:rsidRPr="00640820">
        <w:rPr>
          <w:rFonts w:ascii="Times New Roman" w:hAnsi="Times New Roman"/>
          <w:color w:val="000000" w:themeColor="text1"/>
          <w:sz w:val="16"/>
          <w:szCs w:val="16"/>
        </w:rPr>
        <w:softHyphen/>
        <w:t>ставленных с фронта. До конца 1941 года отремонтировали 1763 трофейных мотоцикла [5.20].</w:t>
      </w:r>
    </w:p>
    <w:p w14:paraId="5D57F7F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Таблица 19</w:t>
      </w:r>
    </w:p>
    <w:p w14:paraId="12D0293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Основные модели трофейных мотоциклов, 1941-1942</w:t>
      </w:r>
    </w:p>
    <w:tbl>
      <w:tblPr>
        <w:tblW w:w="0" w:type="auto"/>
        <w:tblInd w:w="40" w:type="dxa"/>
        <w:tblLayout w:type="fixed"/>
        <w:tblCellMar>
          <w:left w:w="40" w:type="dxa"/>
          <w:right w:w="40" w:type="dxa"/>
        </w:tblCellMar>
        <w:tblLook w:val="0000" w:firstRow="0" w:lastRow="0" w:firstColumn="0" w:lastColumn="0" w:noHBand="0" w:noVBand="0"/>
      </w:tblPr>
      <w:tblGrid>
        <w:gridCol w:w="1276"/>
        <w:gridCol w:w="2693"/>
        <w:gridCol w:w="1134"/>
        <w:gridCol w:w="1276"/>
        <w:gridCol w:w="12"/>
      </w:tblGrid>
      <w:tr w:rsidR="00643896" w:rsidRPr="00640820" w14:paraId="498DB33A" w14:textId="77777777" w:rsidTr="000D3BCB">
        <w:trPr>
          <w:gridAfter w:val="1"/>
          <w:wAfter w:w="7" w:type="dxa"/>
          <w:trHeight w:val="480"/>
        </w:trPr>
        <w:tc>
          <w:tcPr>
            <w:tcW w:w="1276" w:type="dxa"/>
            <w:tcBorders>
              <w:top w:val="single" w:sz="12" w:space="0" w:color="auto"/>
              <w:left w:val="single" w:sz="12" w:space="0" w:color="auto"/>
              <w:bottom w:val="single" w:sz="6" w:space="0" w:color="auto"/>
              <w:right w:val="single" w:sz="6" w:space="0" w:color="auto"/>
            </w:tcBorders>
          </w:tcPr>
          <w:p w14:paraId="56CA765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Фирма</w:t>
            </w:r>
          </w:p>
          <w:p w14:paraId="302B443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Borders>
              <w:top w:val="single" w:sz="12" w:space="0" w:color="auto"/>
              <w:left w:val="single" w:sz="6" w:space="0" w:color="auto"/>
              <w:bottom w:val="single" w:sz="6" w:space="0" w:color="auto"/>
              <w:right w:val="single" w:sz="6" w:space="0" w:color="auto"/>
            </w:tcBorders>
          </w:tcPr>
          <w:p w14:paraId="06E4026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Модель</w:t>
            </w:r>
          </w:p>
          <w:p w14:paraId="743D649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gridSpan w:val="2"/>
            <w:tcBorders>
              <w:top w:val="single" w:sz="12" w:space="0" w:color="auto"/>
              <w:left w:val="single" w:sz="6" w:space="0" w:color="auto"/>
              <w:bottom w:val="single" w:sz="6" w:space="0" w:color="auto"/>
              <w:right w:val="single" w:sz="12" w:space="0" w:color="auto"/>
            </w:tcBorders>
          </w:tcPr>
          <w:p w14:paraId="7248C4A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Двигатель</w:t>
            </w:r>
          </w:p>
          <w:p w14:paraId="6CAD25B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9A5A3B7" w14:textId="77777777" w:rsidTr="000D3BCB">
        <w:trPr>
          <w:gridAfter w:val="1"/>
          <w:wAfter w:w="7" w:type="dxa"/>
          <w:trHeight w:val="518"/>
        </w:trPr>
        <w:tc>
          <w:tcPr>
            <w:tcW w:w="1276" w:type="dxa"/>
            <w:tcBorders>
              <w:top w:val="single" w:sz="6" w:space="0" w:color="auto"/>
              <w:left w:val="single" w:sz="12" w:space="0" w:color="auto"/>
              <w:bottom w:val="single" w:sz="6" w:space="0" w:color="auto"/>
              <w:right w:val="single" w:sz="6" w:space="0" w:color="auto"/>
            </w:tcBorders>
          </w:tcPr>
          <w:p w14:paraId="5C21A3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1938A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643693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CD0AD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C9966B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Тип</w:t>
            </w:r>
          </w:p>
          <w:p w14:paraId="7407597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12" w:space="0" w:color="auto"/>
            </w:tcBorders>
          </w:tcPr>
          <w:p w14:paraId="58FF3CC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Рабочий объем, см</w:t>
            </w:r>
            <w:r w:rsidRPr="00640820">
              <w:rPr>
                <w:rFonts w:ascii="Times New Roman" w:hAnsi="Times New Roman"/>
                <w:color w:val="000000" w:themeColor="text1"/>
                <w:sz w:val="16"/>
                <w:szCs w:val="16"/>
                <w:vertAlign w:val="superscript"/>
              </w:rPr>
              <w:t>3</w:t>
            </w:r>
          </w:p>
          <w:p w14:paraId="52CAD04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6050907" w14:textId="77777777" w:rsidTr="000D3BCB">
        <w:trPr>
          <w:gridAfter w:val="1"/>
          <w:wAfter w:w="7" w:type="dxa"/>
          <w:trHeight w:val="346"/>
        </w:trPr>
        <w:tc>
          <w:tcPr>
            <w:tcW w:w="1276" w:type="dxa"/>
            <w:tcBorders>
              <w:top w:val="single" w:sz="6" w:space="0" w:color="auto"/>
              <w:left w:val="single" w:sz="12" w:space="0" w:color="auto"/>
              <w:bottom w:val="single" w:sz="6" w:space="0" w:color="auto"/>
              <w:right w:val="single" w:sz="6" w:space="0" w:color="auto"/>
            </w:tcBorders>
          </w:tcPr>
          <w:p w14:paraId="72866E7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Арди</w:t>
            </w:r>
          </w:p>
          <w:p w14:paraId="2A495E1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5BAA95E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Маfa-Мах-125</w:t>
            </w:r>
          </w:p>
          <w:p w14:paraId="3A45B60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F66099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2Т1-0</w:t>
            </w:r>
          </w:p>
          <w:p w14:paraId="288A727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12" w:space="0" w:color="auto"/>
            </w:tcBorders>
          </w:tcPr>
          <w:p w14:paraId="625546A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122</w:t>
            </w:r>
          </w:p>
          <w:p w14:paraId="7C85045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CC69BDC" w14:textId="77777777" w:rsidTr="000D3BCB">
        <w:trPr>
          <w:trHeight w:val="221"/>
        </w:trPr>
        <w:tc>
          <w:tcPr>
            <w:tcW w:w="1276" w:type="dxa"/>
            <w:tcBorders>
              <w:top w:val="single" w:sz="6" w:space="0" w:color="auto"/>
              <w:left w:val="single" w:sz="12" w:space="0" w:color="auto"/>
              <w:bottom w:val="single" w:sz="6" w:space="0" w:color="auto"/>
              <w:right w:val="single" w:sz="6" w:space="0" w:color="auto"/>
            </w:tcBorders>
          </w:tcPr>
          <w:p w14:paraId="5A380FA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p w14:paraId="33BD902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0A4EEB4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Junior S-125</w:t>
            </w:r>
          </w:p>
          <w:p w14:paraId="10A4B97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A6CE12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2Т1-3</w:t>
            </w:r>
          </w:p>
          <w:p w14:paraId="5E07635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5C7B2BA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122</w:t>
            </w:r>
          </w:p>
          <w:p w14:paraId="7C470CE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FA2D569" w14:textId="77777777" w:rsidTr="000D3BCB">
        <w:trPr>
          <w:trHeight w:val="240"/>
        </w:trPr>
        <w:tc>
          <w:tcPr>
            <w:tcW w:w="1276" w:type="dxa"/>
            <w:tcBorders>
              <w:top w:val="single" w:sz="6" w:space="0" w:color="auto"/>
              <w:left w:val="single" w:sz="12" w:space="0" w:color="auto"/>
              <w:bottom w:val="single" w:sz="6" w:space="0" w:color="auto"/>
              <w:right w:val="single" w:sz="6" w:space="0" w:color="auto"/>
            </w:tcBorders>
          </w:tcPr>
          <w:p w14:paraId="7A562BB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D757A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1E49A10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Маior RBZ-250</w:t>
            </w:r>
          </w:p>
          <w:p w14:paraId="09B2F50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16E56C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2Т1-4</w:t>
            </w:r>
          </w:p>
          <w:p w14:paraId="7103A5D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33FF41D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246</w:t>
            </w:r>
          </w:p>
          <w:p w14:paraId="628DA94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17F9909" w14:textId="77777777" w:rsidTr="000D3BCB">
        <w:trPr>
          <w:trHeight w:val="259"/>
        </w:trPr>
        <w:tc>
          <w:tcPr>
            <w:tcW w:w="1276" w:type="dxa"/>
            <w:tcBorders>
              <w:top w:val="single" w:sz="6" w:space="0" w:color="auto"/>
              <w:left w:val="single" w:sz="12" w:space="0" w:color="auto"/>
              <w:bottom w:val="single" w:sz="6" w:space="0" w:color="auto"/>
              <w:right w:val="single" w:sz="6" w:space="0" w:color="auto"/>
            </w:tcBorders>
          </w:tcPr>
          <w:p w14:paraId="54E2233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БМВ</w:t>
            </w:r>
          </w:p>
          <w:p w14:paraId="026CE6F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26E6701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R-23</w:t>
            </w:r>
          </w:p>
          <w:p w14:paraId="7167300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EAB195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4Т1-3</w:t>
            </w:r>
          </w:p>
          <w:p w14:paraId="24F82ED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6029E13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247</w:t>
            </w:r>
          </w:p>
          <w:p w14:paraId="41B1150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4CCDB40" w14:textId="77777777" w:rsidTr="000D3BCB">
        <w:trPr>
          <w:trHeight w:val="221"/>
        </w:trPr>
        <w:tc>
          <w:tcPr>
            <w:tcW w:w="1276" w:type="dxa"/>
            <w:tcBorders>
              <w:top w:val="single" w:sz="6" w:space="0" w:color="auto"/>
              <w:left w:val="single" w:sz="12" w:space="0" w:color="auto"/>
              <w:bottom w:val="single" w:sz="6" w:space="0" w:color="auto"/>
              <w:right w:val="single" w:sz="6" w:space="0" w:color="auto"/>
            </w:tcBorders>
          </w:tcPr>
          <w:p w14:paraId="571EC7A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DE6C9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39F9DB8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R-35</w:t>
            </w:r>
          </w:p>
          <w:p w14:paraId="416722E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CB3E55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4Т1-4</w:t>
            </w:r>
          </w:p>
          <w:p w14:paraId="0C72357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147AD20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340</w:t>
            </w:r>
          </w:p>
          <w:p w14:paraId="46D92E2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DC6C0D6" w14:textId="77777777" w:rsidTr="000D3BCB">
        <w:trPr>
          <w:trHeight w:val="221"/>
        </w:trPr>
        <w:tc>
          <w:tcPr>
            <w:tcW w:w="1276" w:type="dxa"/>
            <w:tcBorders>
              <w:top w:val="single" w:sz="6" w:space="0" w:color="auto"/>
              <w:left w:val="single" w:sz="12" w:space="0" w:color="auto"/>
              <w:bottom w:val="single" w:sz="6" w:space="0" w:color="auto"/>
              <w:right w:val="single" w:sz="6" w:space="0" w:color="auto"/>
            </w:tcBorders>
          </w:tcPr>
          <w:p w14:paraId="1203DF8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A1DC4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118CAB7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R-51</w:t>
            </w:r>
          </w:p>
          <w:p w14:paraId="5C9BEBD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4B3ACF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4Т2-4</w:t>
            </w:r>
          </w:p>
          <w:p w14:paraId="5BFF3DF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69FA374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494</w:t>
            </w:r>
          </w:p>
          <w:p w14:paraId="3F2872B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5725CB1" w14:textId="77777777" w:rsidTr="000D3BCB">
        <w:trPr>
          <w:trHeight w:val="250"/>
        </w:trPr>
        <w:tc>
          <w:tcPr>
            <w:tcW w:w="1276" w:type="dxa"/>
            <w:tcBorders>
              <w:top w:val="single" w:sz="6" w:space="0" w:color="auto"/>
              <w:left w:val="single" w:sz="12" w:space="0" w:color="auto"/>
              <w:bottom w:val="single" w:sz="6" w:space="0" w:color="auto"/>
              <w:right w:val="single" w:sz="6" w:space="0" w:color="auto"/>
            </w:tcBorders>
          </w:tcPr>
          <w:p w14:paraId="1CE0951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C4EB9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138F2EA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R-71</w:t>
            </w:r>
          </w:p>
          <w:p w14:paraId="76FE00C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96FD38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4Т2-4</w:t>
            </w:r>
          </w:p>
          <w:p w14:paraId="22123BE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3090FBA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745</w:t>
            </w:r>
          </w:p>
          <w:p w14:paraId="45136E1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B7DDE69" w14:textId="77777777" w:rsidTr="000D3BCB">
        <w:trPr>
          <w:trHeight w:val="250"/>
        </w:trPr>
        <w:tc>
          <w:tcPr>
            <w:tcW w:w="1276" w:type="dxa"/>
            <w:tcBorders>
              <w:top w:val="single" w:sz="6" w:space="0" w:color="auto"/>
              <w:left w:val="single" w:sz="12" w:space="0" w:color="auto"/>
              <w:bottom w:val="single" w:sz="6" w:space="0" w:color="auto"/>
              <w:right w:val="single" w:sz="6" w:space="0" w:color="auto"/>
            </w:tcBorders>
          </w:tcPr>
          <w:p w14:paraId="5F5AB5F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ДКВ</w:t>
            </w:r>
          </w:p>
          <w:p w14:paraId="3603790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3E46F98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RТ-125</w:t>
            </w:r>
          </w:p>
          <w:p w14:paraId="43DE9C4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E1E6ED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2Т1-3</w:t>
            </w:r>
          </w:p>
          <w:p w14:paraId="0090060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30440A0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123</w:t>
            </w:r>
          </w:p>
          <w:p w14:paraId="3D42171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ABC239B" w14:textId="77777777" w:rsidTr="000D3BCB">
        <w:trPr>
          <w:trHeight w:val="230"/>
        </w:trPr>
        <w:tc>
          <w:tcPr>
            <w:tcW w:w="1276" w:type="dxa"/>
            <w:tcBorders>
              <w:top w:val="single" w:sz="6" w:space="0" w:color="auto"/>
              <w:left w:val="single" w:sz="12" w:space="0" w:color="auto"/>
              <w:bottom w:val="single" w:sz="6" w:space="0" w:color="auto"/>
              <w:right w:val="single" w:sz="6" w:space="0" w:color="auto"/>
            </w:tcBorders>
          </w:tcPr>
          <w:p w14:paraId="16CA31B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E235E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323C06B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KS-200</w:t>
            </w:r>
          </w:p>
          <w:p w14:paraId="43DA5BB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AFE69E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2Т1-3</w:t>
            </w:r>
          </w:p>
          <w:p w14:paraId="7D30BF1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5220CEB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198</w:t>
            </w:r>
          </w:p>
          <w:p w14:paraId="4FA6529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AA48524" w14:textId="77777777" w:rsidTr="000D3BCB">
        <w:trPr>
          <w:trHeight w:val="211"/>
        </w:trPr>
        <w:tc>
          <w:tcPr>
            <w:tcW w:w="1276" w:type="dxa"/>
            <w:tcBorders>
              <w:top w:val="single" w:sz="6" w:space="0" w:color="auto"/>
              <w:left w:val="single" w:sz="12" w:space="0" w:color="auto"/>
              <w:bottom w:val="single" w:sz="6" w:space="0" w:color="auto"/>
              <w:right w:val="single" w:sz="6" w:space="0" w:color="auto"/>
            </w:tcBorders>
          </w:tcPr>
          <w:p w14:paraId="5EAED19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AB775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140EAE4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NZ-250</w:t>
            </w:r>
          </w:p>
          <w:p w14:paraId="1241D4D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28FAC5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2Т1-4</w:t>
            </w:r>
          </w:p>
          <w:p w14:paraId="5CD2D30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1EF69C7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245</w:t>
            </w:r>
          </w:p>
          <w:p w14:paraId="75DC974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BD1241F" w14:textId="77777777" w:rsidTr="000D3BCB">
        <w:trPr>
          <w:trHeight w:val="221"/>
        </w:trPr>
        <w:tc>
          <w:tcPr>
            <w:tcW w:w="1276" w:type="dxa"/>
            <w:tcBorders>
              <w:top w:val="single" w:sz="6" w:space="0" w:color="auto"/>
              <w:left w:val="single" w:sz="12" w:space="0" w:color="auto"/>
              <w:bottom w:val="single" w:sz="6" w:space="0" w:color="auto"/>
              <w:right w:val="single" w:sz="6" w:space="0" w:color="auto"/>
            </w:tcBorders>
          </w:tcPr>
          <w:p w14:paraId="049483C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9050F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4B80091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NZ-350</w:t>
            </w:r>
          </w:p>
          <w:p w14:paraId="09E9E25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C9D10C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2Т1-4</w:t>
            </w:r>
          </w:p>
          <w:p w14:paraId="60996EB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79396D2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343</w:t>
            </w:r>
          </w:p>
          <w:p w14:paraId="2B1E132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7C59EE8" w14:textId="77777777" w:rsidTr="000D3BCB">
        <w:trPr>
          <w:trHeight w:val="240"/>
        </w:trPr>
        <w:tc>
          <w:tcPr>
            <w:tcW w:w="1276" w:type="dxa"/>
            <w:tcBorders>
              <w:top w:val="single" w:sz="6" w:space="0" w:color="auto"/>
              <w:left w:val="single" w:sz="12" w:space="0" w:color="auto"/>
              <w:bottom w:val="single" w:sz="6" w:space="0" w:color="auto"/>
              <w:right w:val="single" w:sz="6" w:space="0" w:color="auto"/>
            </w:tcBorders>
          </w:tcPr>
          <w:p w14:paraId="61637D2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C4E40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5C6C0C5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NZ-500</w:t>
            </w:r>
          </w:p>
          <w:p w14:paraId="38219FB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CF85DC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2Т2-4</w:t>
            </w:r>
          </w:p>
          <w:p w14:paraId="5F33A87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5BD3989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489</w:t>
            </w:r>
          </w:p>
          <w:p w14:paraId="5F9239F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F57BC6A" w14:textId="77777777" w:rsidTr="000D3BCB">
        <w:trPr>
          <w:trHeight w:val="288"/>
        </w:trPr>
        <w:tc>
          <w:tcPr>
            <w:tcW w:w="1276" w:type="dxa"/>
            <w:tcBorders>
              <w:top w:val="single" w:sz="6" w:space="0" w:color="auto"/>
              <w:left w:val="single" w:sz="12" w:space="0" w:color="auto"/>
              <w:bottom w:val="single" w:sz="6" w:space="0" w:color="auto"/>
              <w:right w:val="single" w:sz="6" w:space="0" w:color="auto"/>
            </w:tcBorders>
          </w:tcPr>
          <w:p w14:paraId="436DE14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Геркулес</w:t>
            </w:r>
          </w:p>
          <w:p w14:paraId="6968471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607B550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S-125</w:t>
            </w:r>
          </w:p>
          <w:p w14:paraId="767AD9E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206F26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2Т1-3</w:t>
            </w:r>
          </w:p>
          <w:p w14:paraId="3F8F025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6C5A573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121</w:t>
            </w:r>
          </w:p>
          <w:p w14:paraId="60CFCF7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3F8E8D1" w14:textId="77777777" w:rsidTr="000D3BCB">
        <w:trPr>
          <w:trHeight w:val="221"/>
        </w:trPr>
        <w:tc>
          <w:tcPr>
            <w:tcW w:w="1276" w:type="dxa"/>
            <w:tcBorders>
              <w:top w:val="single" w:sz="6" w:space="0" w:color="auto"/>
              <w:left w:val="single" w:sz="12" w:space="0" w:color="auto"/>
              <w:bottom w:val="single" w:sz="6" w:space="0" w:color="auto"/>
              <w:right w:val="single" w:sz="6" w:space="0" w:color="auto"/>
            </w:tcBorders>
          </w:tcPr>
          <w:p w14:paraId="03E3E55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E2AC6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0AFCA4D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S-100</w:t>
            </w:r>
          </w:p>
          <w:p w14:paraId="194B9EA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5120D0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2Т1-3</w:t>
            </w:r>
          </w:p>
          <w:p w14:paraId="208AFE1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0F42A0C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98</w:t>
            </w:r>
          </w:p>
          <w:p w14:paraId="0A1FE09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9E9FEAA" w14:textId="77777777" w:rsidTr="000D3BCB">
        <w:trPr>
          <w:trHeight w:val="250"/>
        </w:trPr>
        <w:tc>
          <w:tcPr>
            <w:tcW w:w="1276" w:type="dxa"/>
            <w:tcBorders>
              <w:top w:val="single" w:sz="6" w:space="0" w:color="auto"/>
              <w:left w:val="single" w:sz="12" w:space="0" w:color="auto"/>
              <w:bottom w:val="single" w:sz="6" w:space="0" w:color="auto"/>
              <w:right w:val="single" w:sz="6" w:space="0" w:color="auto"/>
            </w:tcBorders>
          </w:tcPr>
          <w:p w14:paraId="7F083E1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43D47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173AFC3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МF-100</w:t>
            </w:r>
          </w:p>
          <w:p w14:paraId="4CEA0D1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A04052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2Т1-2</w:t>
            </w:r>
          </w:p>
          <w:p w14:paraId="1746FAB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190E26B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98</w:t>
            </w:r>
          </w:p>
          <w:p w14:paraId="4EF0E0B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A41EF3A" w14:textId="77777777" w:rsidTr="000D3BCB">
        <w:trPr>
          <w:trHeight w:val="269"/>
        </w:trPr>
        <w:tc>
          <w:tcPr>
            <w:tcW w:w="1276" w:type="dxa"/>
            <w:tcBorders>
              <w:top w:val="single" w:sz="6" w:space="0" w:color="auto"/>
              <w:left w:val="single" w:sz="12" w:space="0" w:color="auto"/>
              <w:bottom w:val="single" w:sz="6" w:space="0" w:color="auto"/>
              <w:right w:val="single" w:sz="6" w:space="0" w:color="auto"/>
            </w:tcBorders>
          </w:tcPr>
          <w:p w14:paraId="70DB70F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Майко</w:t>
            </w:r>
          </w:p>
          <w:p w14:paraId="2D8A5A5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2FB8EA4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МР-100</w:t>
            </w:r>
          </w:p>
          <w:p w14:paraId="63FFF5B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D81499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2Т1-2</w:t>
            </w:r>
          </w:p>
          <w:p w14:paraId="13F1DC5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409F847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98</w:t>
            </w:r>
          </w:p>
          <w:p w14:paraId="42A9E1A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72C9359" w14:textId="77777777" w:rsidTr="000D3BCB">
        <w:trPr>
          <w:trHeight w:val="221"/>
        </w:trPr>
        <w:tc>
          <w:tcPr>
            <w:tcW w:w="1276" w:type="dxa"/>
            <w:tcBorders>
              <w:top w:val="single" w:sz="6" w:space="0" w:color="auto"/>
              <w:left w:val="single" w:sz="12" w:space="0" w:color="auto"/>
              <w:bottom w:val="single" w:sz="6" w:space="0" w:color="auto"/>
              <w:right w:val="single" w:sz="6" w:space="0" w:color="auto"/>
            </w:tcBorders>
          </w:tcPr>
          <w:p w14:paraId="1E8342B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A3144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074D278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МР-125(2)</w:t>
            </w:r>
          </w:p>
          <w:p w14:paraId="35F15F8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7EB55F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2Т1-2</w:t>
            </w:r>
          </w:p>
          <w:p w14:paraId="6A4E22A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52950BE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123</w:t>
            </w:r>
          </w:p>
          <w:p w14:paraId="3AF7956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E9F30FF" w14:textId="77777777" w:rsidTr="000D3BCB">
        <w:trPr>
          <w:trHeight w:val="221"/>
        </w:trPr>
        <w:tc>
          <w:tcPr>
            <w:tcW w:w="1276" w:type="dxa"/>
            <w:tcBorders>
              <w:top w:val="single" w:sz="6" w:space="0" w:color="auto"/>
              <w:left w:val="single" w:sz="12" w:space="0" w:color="auto"/>
              <w:bottom w:val="single" w:sz="6" w:space="0" w:color="auto"/>
              <w:right w:val="single" w:sz="6" w:space="0" w:color="auto"/>
            </w:tcBorders>
          </w:tcPr>
          <w:p w14:paraId="141D96E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31C52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666612D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МР-125(3)</w:t>
            </w:r>
          </w:p>
          <w:p w14:paraId="74EE4EA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54C102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2Т1-3</w:t>
            </w:r>
          </w:p>
          <w:p w14:paraId="02142D3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5B166AD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123</w:t>
            </w:r>
          </w:p>
          <w:p w14:paraId="060EBE1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6A55F7A" w14:textId="77777777" w:rsidTr="000D3BCB">
        <w:trPr>
          <w:trHeight w:val="259"/>
        </w:trPr>
        <w:tc>
          <w:tcPr>
            <w:tcW w:w="1276" w:type="dxa"/>
            <w:tcBorders>
              <w:top w:val="single" w:sz="6" w:space="0" w:color="auto"/>
              <w:left w:val="single" w:sz="12" w:space="0" w:color="auto"/>
              <w:bottom w:val="single" w:sz="6" w:space="0" w:color="auto"/>
              <w:right w:val="single" w:sz="6" w:space="0" w:color="auto"/>
            </w:tcBorders>
          </w:tcPr>
          <w:p w14:paraId="3C27B32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НСУ</w:t>
            </w:r>
          </w:p>
          <w:p w14:paraId="5A0FC2A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29AAFCA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Quick</w:t>
            </w:r>
          </w:p>
          <w:p w14:paraId="1FAA40F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18A4DF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2Т1-2</w:t>
            </w:r>
          </w:p>
        </w:tc>
        <w:tc>
          <w:tcPr>
            <w:tcW w:w="1283" w:type="dxa"/>
            <w:gridSpan w:val="2"/>
            <w:tcBorders>
              <w:top w:val="single" w:sz="6" w:space="0" w:color="auto"/>
              <w:left w:val="single" w:sz="6" w:space="0" w:color="auto"/>
              <w:bottom w:val="single" w:sz="6" w:space="0" w:color="auto"/>
              <w:right w:val="single" w:sz="12" w:space="0" w:color="auto"/>
            </w:tcBorders>
          </w:tcPr>
          <w:p w14:paraId="11DD021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97</w:t>
            </w:r>
          </w:p>
        </w:tc>
      </w:tr>
      <w:tr w:rsidR="00643896" w:rsidRPr="00640820" w14:paraId="4326DD4D" w14:textId="77777777" w:rsidTr="000D3BCB">
        <w:trPr>
          <w:trHeight w:val="221"/>
        </w:trPr>
        <w:tc>
          <w:tcPr>
            <w:tcW w:w="1276" w:type="dxa"/>
            <w:tcBorders>
              <w:top w:val="single" w:sz="6" w:space="0" w:color="auto"/>
              <w:left w:val="single" w:sz="12" w:space="0" w:color="auto"/>
              <w:bottom w:val="single" w:sz="6" w:space="0" w:color="auto"/>
              <w:right w:val="single" w:sz="6" w:space="0" w:color="auto"/>
            </w:tcBorders>
          </w:tcPr>
          <w:p w14:paraId="714CBD9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11FD6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5533576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125 ZDB</w:t>
            </w:r>
          </w:p>
          <w:p w14:paraId="2DAD9F8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8CCE67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2Т1-3</w:t>
            </w:r>
          </w:p>
          <w:p w14:paraId="67B22B7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393A2B9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123</w:t>
            </w:r>
          </w:p>
          <w:p w14:paraId="07A795B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A353403" w14:textId="77777777" w:rsidTr="000D3BCB">
        <w:trPr>
          <w:trHeight w:val="221"/>
        </w:trPr>
        <w:tc>
          <w:tcPr>
            <w:tcW w:w="1276" w:type="dxa"/>
            <w:tcBorders>
              <w:top w:val="single" w:sz="6" w:space="0" w:color="auto"/>
              <w:left w:val="single" w:sz="12" w:space="0" w:color="auto"/>
              <w:bottom w:val="single" w:sz="6" w:space="0" w:color="auto"/>
              <w:right w:val="single" w:sz="6" w:space="0" w:color="auto"/>
            </w:tcBorders>
          </w:tcPr>
          <w:p w14:paraId="4504B4A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944BA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34273AB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251 OSL</w:t>
            </w:r>
          </w:p>
          <w:p w14:paraId="600400F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4A56A4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4Т1-4</w:t>
            </w:r>
          </w:p>
          <w:p w14:paraId="28EA22B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3943B8C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242</w:t>
            </w:r>
          </w:p>
          <w:p w14:paraId="7614776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6FCAA63" w14:textId="77777777" w:rsidTr="000D3BCB">
        <w:trPr>
          <w:trHeight w:val="221"/>
        </w:trPr>
        <w:tc>
          <w:tcPr>
            <w:tcW w:w="1276" w:type="dxa"/>
            <w:tcBorders>
              <w:top w:val="single" w:sz="6" w:space="0" w:color="auto"/>
              <w:left w:val="single" w:sz="12" w:space="0" w:color="auto"/>
              <w:bottom w:val="single" w:sz="6" w:space="0" w:color="auto"/>
              <w:right w:val="single" w:sz="6" w:space="0" w:color="auto"/>
            </w:tcBorders>
          </w:tcPr>
          <w:p w14:paraId="3619142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271DC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26AED7B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351 ОSL</w:t>
            </w:r>
          </w:p>
          <w:p w14:paraId="1C96D27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114D52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4Т1-4</w:t>
            </w:r>
          </w:p>
          <w:p w14:paraId="7743172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63DC446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346</w:t>
            </w:r>
          </w:p>
          <w:p w14:paraId="143817F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F213A51" w14:textId="77777777" w:rsidTr="000D3BCB">
        <w:trPr>
          <w:trHeight w:val="250"/>
        </w:trPr>
        <w:tc>
          <w:tcPr>
            <w:tcW w:w="1276" w:type="dxa"/>
            <w:tcBorders>
              <w:top w:val="single" w:sz="6" w:space="0" w:color="auto"/>
              <w:left w:val="single" w:sz="12" w:space="0" w:color="auto"/>
              <w:bottom w:val="single" w:sz="6" w:space="0" w:color="auto"/>
              <w:right w:val="single" w:sz="6" w:space="0" w:color="auto"/>
            </w:tcBorders>
          </w:tcPr>
          <w:p w14:paraId="6621664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5D116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4F724A7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601 ОSL</w:t>
            </w:r>
          </w:p>
          <w:p w14:paraId="6E9F256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A6A8B0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4Т1-4</w:t>
            </w:r>
          </w:p>
          <w:p w14:paraId="1465593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0F1BCD7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562</w:t>
            </w:r>
          </w:p>
          <w:p w14:paraId="38A5790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584A0D0" w14:textId="77777777" w:rsidTr="000D3BCB">
        <w:trPr>
          <w:trHeight w:val="269"/>
        </w:trPr>
        <w:tc>
          <w:tcPr>
            <w:tcW w:w="1276" w:type="dxa"/>
            <w:tcBorders>
              <w:top w:val="single" w:sz="6" w:space="0" w:color="auto"/>
              <w:left w:val="single" w:sz="12" w:space="0" w:color="auto"/>
              <w:bottom w:val="single" w:sz="6" w:space="0" w:color="auto"/>
              <w:right w:val="single" w:sz="6" w:space="0" w:color="auto"/>
            </w:tcBorders>
          </w:tcPr>
          <w:p w14:paraId="78C70C6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Феномен</w:t>
            </w:r>
          </w:p>
          <w:p w14:paraId="07343A4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79AD056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S и SD</w:t>
            </w:r>
          </w:p>
          <w:p w14:paraId="7DB5C03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09C295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2Т1-2</w:t>
            </w:r>
          </w:p>
          <w:p w14:paraId="41EAD85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6979F3A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98</w:t>
            </w:r>
          </w:p>
          <w:p w14:paraId="0685C93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C2F7352" w14:textId="77777777" w:rsidTr="000D3BCB">
        <w:trPr>
          <w:trHeight w:val="250"/>
        </w:trPr>
        <w:tc>
          <w:tcPr>
            <w:tcW w:w="1276" w:type="dxa"/>
            <w:tcBorders>
              <w:top w:val="single" w:sz="6" w:space="0" w:color="auto"/>
              <w:left w:val="single" w:sz="12" w:space="0" w:color="auto"/>
              <w:bottom w:val="single" w:sz="6" w:space="0" w:color="auto"/>
              <w:right w:val="single" w:sz="6" w:space="0" w:color="auto"/>
            </w:tcBorders>
          </w:tcPr>
          <w:p w14:paraId="5C1A2BF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16A6B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47065C2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125 Т</w:t>
            </w:r>
          </w:p>
          <w:p w14:paraId="5A09008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666312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2Т1-3</w:t>
            </w:r>
          </w:p>
          <w:p w14:paraId="3977A30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3DB5BD1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123</w:t>
            </w:r>
          </w:p>
          <w:p w14:paraId="0024507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33AF75D" w14:textId="77777777" w:rsidTr="000D3BCB">
        <w:trPr>
          <w:trHeight w:val="259"/>
        </w:trPr>
        <w:tc>
          <w:tcPr>
            <w:tcW w:w="1276" w:type="dxa"/>
            <w:tcBorders>
              <w:top w:val="single" w:sz="6" w:space="0" w:color="auto"/>
              <w:left w:val="single" w:sz="12" w:space="0" w:color="auto"/>
              <w:bottom w:val="single" w:sz="6" w:space="0" w:color="auto"/>
              <w:right w:val="single" w:sz="6" w:space="0" w:color="auto"/>
            </w:tcBorders>
          </w:tcPr>
          <w:p w14:paraId="1367C9F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Пух</w:t>
            </w:r>
          </w:p>
          <w:p w14:paraId="0FBBBAE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2FFED52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Styriette</w:t>
            </w:r>
          </w:p>
          <w:p w14:paraId="5E43FA1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0DE406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2Т1-0</w:t>
            </w:r>
          </w:p>
          <w:p w14:paraId="19596AC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16618F4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w:t>
            </w:r>
          </w:p>
          <w:p w14:paraId="37C2B23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6FE7BA7" w14:textId="77777777" w:rsidTr="000D3BCB">
        <w:trPr>
          <w:trHeight w:val="211"/>
        </w:trPr>
        <w:tc>
          <w:tcPr>
            <w:tcW w:w="1276" w:type="dxa"/>
            <w:tcBorders>
              <w:top w:val="single" w:sz="6" w:space="0" w:color="auto"/>
              <w:left w:val="single" w:sz="12" w:space="0" w:color="auto"/>
              <w:bottom w:val="single" w:sz="6" w:space="0" w:color="auto"/>
              <w:right w:val="single" w:sz="6" w:space="0" w:color="auto"/>
            </w:tcBorders>
          </w:tcPr>
          <w:p w14:paraId="4830846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54203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1E6390D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125</w:t>
            </w:r>
          </w:p>
          <w:p w14:paraId="6CB7E21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56A6F3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2Т1-3</w:t>
            </w:r>
          </w:p>
          <w:p w14:paraId="3F39746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1A33BB6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125</w:t>
            </w:r>
          </w:p>
          <w:p w14:paraId="4DA967C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CDC1EB9" w14:textId="77777777" w:rsidTr="000D3BCB">
        <w:trPr>
          <w:trHeight w:val="221"/>
        </w:trPr>
        <w:tc>
          <w:tcPr>
            <w:tcW w:w="1276" w:type="dxa"/>
            <w:tcBorders>
              <w:top w:val="single" w:sz="6" w:space="0" w:color="auto"/>
              <w:left w:val="single" w:sz="12" w:space="0" w:color="auto"/>
              <w:bottom w:val="single" w:sz="6" w:space="0" w:color="auto"/>
              <w:right w:val="single" w:sz="6" w:space="0" w:color="auto"/>
            </w:tcBorders>
          </w:tcPr>
          <w:p w14:paraId="1BDAB16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D3858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60B60A6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w:t>
            </w:r>
          </w:p>
          <w:p w14:paraId="42B99EA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60958D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2Т1-3</w:t>
            </w:r>
          </w:p>
          <w:p w14:paraId="0FA1417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385834A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198</w:t>
            </w:r>
          </w:p>
          <w:p w14:paraId="2AE9227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95C27BC" w14:textId="77777777" w:rsidTr="000D3BCB">
        <w:trPr>
          <w:trHeight w:val="259"/>
        </w:trPr>
        <w:tc>
          <w:tcPr>
            <w:tcW w:w="1276" w:type="dxa"/>
            <w:tcBorders>
              <w:top w:val="single" w:sz="6" w:space="0" w:color="auto"/>
              <w:left w:val="single" w:sz="12" w:space="0" w:color="auto"/>
              <w:bottom w:val="single" w:sz="6" w:space="0" w:color="auto"/>
              <w:right w:val="single" w:sz="6" w:space="0" w:color="auto"/>
            </w:tcBorders>
          </w:tcPr>
          <w:p w14:paraId="339383D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35806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488C038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250 5-4</w:t>
            </w:r>
          </w:p>
          <w:p w14:paraId="3E71160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3671AA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2Т1-4</w:t>
            </w:r>
          </w:p>
          <w:p w14:paraId="757577A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367BB0A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248</w:t>
            </w:r>
          </w:p>
          <w:p w14:paraId="4235146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0037C02" w14:textId="77777777" w:rsidTr="000D3BCB">
        <w:trPr>
          <w:trHeight w:val="298"/>
        </w:trPr>
        <w:tc>
          <w:tcPr>
            <w:tcW w:w="1276" w:type="dxa"/>
            <w:tcBorders>
              <w:top w:val="single" w:sz="6" w:space="0" w:color="auto"/>
              <w:left w:val="single" w:sz="12" w:space="0" w:color="auto"/>
              <w:bottom w:val="single" w:sz="6" w:space="0" w:color="auto"/>
              <w:right w:val="single" w:sz="6" w:space="0" w:color="auto"/>
            </w:tcBorders>
          </w:tcPr>
          <w:p w14:paraId="2F6CFDE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Стандарт</w:t>
            </w:r>
          </w:p>
          <w:p w14:paraId="0354B5D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63D10B2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Feurgeist-Luxus-Block T -200</w:t>
            </w:r>
          </w:p>
          <w:p w14:paraId="65A53E9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F5F27E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2Т1-3</w:t>
            </w:r>
          </w:p>
          <w:p w14:paraId="5089DAB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5397D77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250</w:t>
            </w:r>
          </w:p>
          <w:p w14:paraId="0331292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B989093" w14:textId="77777777" w:rsidTr="000D3BCB">
        <w:trPr>
          <w:trHeight w:val="259"/>
        </w:trPr>
        <w:tc>
          <w:tcPr>
            <w:tcW w:w="1276" w:type="dxa"/>
            <w:tcBorders>
              <w:top w:val="single" w:sz="6" w:space="0" w:color="auto"/>
              <w:left w:val="single" w:sz="12" w:space="0" w:color="auto"/>
              <w:bottom w:val="single" w:sz="6" w:space="0" w:color="auto"/>
              <w:right w:val="single" w:sz="6" w:space="0" w:color="auto"/>
            </w:tcBorders>
          </w:tcPr>
          <w:p w14:paraId="70B901D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Триумф</w:t>
            </w:r>
          </w:p>
          <w:p w14:paraId="0489616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256AE92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В- 100</w:t>
            </w:r>
          </w:p>
          <w:p w14:paraId="117FB8F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BE6B05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2Т1-2</w:t>
            </w:r>
          </w:p>
          <w:p w14:paraId="0C08F68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4EE6F7A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98</w:t>
            </w:r>
          </w:p>
          <w:p w14:paraId="0DB7B49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4F5B1F4" w14:textId="77777777" w:rsidTr="000D3BCB">
        <w:trPr>
          <w:trHeight w:val="221"/>
        </w:trPr>
        <w:tc>
          <w:tcPr>
            <w:tcW w:w="1276" w:type="dxa"/>
            <w:tcBorders>
              <w:top w:val="single" w:sz="6" w:space="0" w:color="auto"/>
              <w:left w:val="single" w:sz="12" w:space="0" w:color="auto"/>
              <w:bottom w:val="single" w:sz="6" w:space="0" w:color="auto"/>
              <w:right w:val="single" w:sz="6" w:space="0" w:color="auto"/>
            </w:tcBorders>
          </w:tcPr>
          <w:p w14:paraId="06EF315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43C91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4085667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В-125</w:t>
            </w:r>
          </w:p>
          <w:p w14:paraId="58B7F20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3CC4BB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2Т1-3</w:t>
            </w:r>
          </w:p>
          <w:p w14:paraId="6F80564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297BF77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122</w:t>
            </w:r>
          </w:p>
          <w:p w14:paraId="13D1069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BEF6CF9" w14:textId="77777777" w:rsidTr="000D3BCB">
        <w:trPr>
          <w:trHeight w:val="250"/>
        </w:trPr>
        <w:tc>
          <w:tcPr>
            <w:tcW w:w="1276" w:type="dxa"/>
            <w:tcBorders>
              <w:top w:val="single" w:sz="6" w:space="0" w:color="auto"/>
              <w:left w:val="single" w:sz="12" w:space="0" w:color="auto"/>
              <w:bottom w:val="single" w:sz="6" w:space="0" w:color="auto"/>
              <w:right w:val="single" w:sz="6" w:space="0" w:color="auto"/>
            </w:tcBorders>
          </w:tcPr>
          <w:p w14:paraId="70B8D03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1850A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28DBEB5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ВD-250</w:t>
            </w:r>
          </w:p>
          <w:p w14:paraId="17E14BF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92D16C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2Т1-4</w:t>
            </w:r>
          </w:p>
          <w:p w14:paraId="11CECEE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45E3E66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248</w:t>
            </w:r>
          </w:p>
          <w:p w14:paraId="530BEF7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90DDE14" w14:textId="77777777" w:rsidTr="000D3BCB">
        <w:trPr>
          <w:trHeight w:val="269"/>
        </w:trPr>
        <w:tc>
          <w:tcPr>
            <w:tcW w:w="1276" w:type="dxa"/>
            <w:tcBorders>
              <w:top w:val="single" w:sz="6" w:space="0" w:color="auto"/>
              <w:left w:val="single" w:sz="12" w:space="0" w:color="auto"/>
              <w:bottom w:val="single" w:sz="6" w:space="0" w:color="auto"/>
              <w:right w:val="single" w:sz="6" w:space="0" w:color="auto"/>
            </w:tcBorders>
          </w:tcPr>
          <w:p w14:paraId="7B3448C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Виктория</w:t>
            </w:r>
          </w:p>
          <w:p w14:paraId="1FD8B63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57D401A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Fix V-99N</w:t>
            </w:r>
          </w:p>
          <w:p w14:paraId="7B4F2B3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738EF5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2Т1-3</w:t>
            </w:r>
          </w:p>
          <w:p w14:paraId="4E43804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0E9DE8A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100</w:t>
            </w:r>
          </w:p>
          <w:p w14:paraId="5AF44BD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0DA1609" w14:textId="77777777" w:rsidTr="000D3BCB">
        <w:trPr>
          <w:trHeight w:val="221"/>
        </w:trPr>
        <w:tc>
          <w:tcPr>
            <w:tcW w:w="1276" w:type="dxa"/>
            <w:tcBorders>
              <w:top w:val="single" w:sz="6" w:space="0" w:color="auto"/>
              <w:left w:val="single" w:sz="12" w:space="0" w:color="auto"/>
              <w:bottom w:val="single" w:sz="6" w:space="0" w:color="auto"/>
              <w:right w:val="single" w:sz="6" w:space="0" w:color="auto"/>
            </w:tcBorders>
          </w:tcPr>
          <w:p w14:paraId="540D8BD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BAAA7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622B997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КR-10КА</w:t>
            </w:r>
          </w:p>
          <w:p w14:paraId="3DAC119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D2BF57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2Т1-3</w:t>
            </w:r>
          </w:p>
          <w:p w14:paraId="6A74E31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2138FC2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w:t>
            </w:r>
          </w:p>
          <w:p w14:paraId="222DC48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E508E84" w14:textId="77777777" w:rsidTr="000D3BCB">
        <w:trPr>
          <w:trHeight w:val="384"/>
        </w:trPr>
        <w:tc>
          <w:tcPr>
            <w:tcW w:w="1276" w:type="dxa"/>
            <w:tcBorders>
              <w:top w:val="single" w:sz="6" w:space="0" w:color="auto"/>
              <w:left w:val="single" w:sz="12" w:space="0" w:color="auto"/>
              <w:bottom w:val="single" w:sz="6" w:space="0" w:color="auto"/>
              <w:right w:val="single" w:sz="6" w:space="0" w:color="auto"/>
            </w:tcBorders>
          </w:tcPr>
          <w:p w14:paraId="598C35A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F428F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1BD4033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КR-12МА</w:t>
            </w:r>
          </w:p>
          <w:p w14:paraId="2F8B2DA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963BBD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2Т1-3</w:t>
            </w:r>
          </w:p>
          <w:p w14:paraId="5228C10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3" w:type="dxa"/>
            <w:gridSpan w:val="2"/>
            <w:tcBorders>
              <w:top w:val="single" w:sz="6" w:space="0" w:color="auto"/>
              <w:left w:val="single" w:sz="6" w:space="0" w:color="auto"/>
              <w:bottom w:val="single" w:sz="6" w:space="0" w:color="auto"/>
              <w:right w:val="single" w:sz="12" w:space="0" w:color="auto"/>
            </w:tcBorders>
          </w:tcPr>
          <w:p w14:paraId="0080FDD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123</w:t>
            </w:r>
          </w:p>
          <w:p w14:paraId="6F95BBB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4E10CCC" w14:textId="77777777" w:rsidTr="000D3BCB">
        <w:trPr>
          <w:gridAfter w:val="1"/>
          <w:wAfter w:w="12" w:type="dxa"/>
          <w:trHeight w:val="336"/>
        </w:trPr>
        <w:tc>
          <w:tcPr>
            <w:tcW w:w="1276" w:type="dxa"/>
            <w:tcBorders>
              <w:top w:val="single" w:sz="6" w:space="0" w:color="auto"/>
              <w:left w:val="single" w:sz="12" w:space="0" w:color="auto"/>
              <w:bottom w:val="single" w:sz="6" w:space="0" w:color="auto"/>
              <w:right w:val="single" w:sz="6" w:space="0" w:color="auto"/>
            </w:tcBorders>
          </w:tcPr>
          <w:p w14:paraId="5378343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Виктория</w:t>
            </w:r>
          </w:p>
          <w:p w14:paraId="45773EA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0AAA5F8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КR-15NА</w:t>
            </w:r>
          </w:p>
          <w:p w14:paraId="451EE0D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CA426B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2Т1-3</w:t>
            </w:r>
          </w:p>
          <w:p w14:paraId="506E246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1" w:type="dxa"/>
            <w:tcBorders>
              <w:top w:val="single" w:sz="6" w:space="0" w:color="auto"/>
              <w:left w:val="single" w:sz="6" w:space="0" w:color="auto"/>
              <w:bottom w:val="single" w:sz="6" w:space="0" w:color="auto"/>
              <w:right w:val="single" w:sz="12" w:space="0" w:color="auto"/>
            </w:tcBorders>
          </w:tcPr>
          <w:p w14:paraId="2C7863A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149</w:t>
            </w:r>
          </w:p>
          <w:p w14:paraId="2193F9C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5B0F90A" w14:textId="77777777" w:rsidTr="000D3BCB">
        <w:trPr>
          <w:gridAfter w:val="1"/>
          <w:wAfter w:w="12" w:type="dxa"/>
          <w:trHeight w:val="202"/>
        </w:trPr>
        <w:tc>
          <w:tcPr>
            <w:tcW w:w="1276" w:type="dxa"/>
            <w:tcBorders>
              <w:top w:val="single" w:sz="6" w:space="0" w:color="auto"/>
              <w:left w:val="single" w:sz="12" w:space="0" w:color="auto"/>
              <w:bottom w:val="single" w:sz="6" w:space="0" w:color="auto"/>
              <w:right w:val="single" w:sz="6" w:space="0" w:color="auto"/>
            </w:tcBorders>
          </w:tcPr>
          <w:p w14:paraId="08B4C3F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CF2DC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3C1D057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Lux КR-20ЕМ</w:t>
            </w:r>
          </w:p>
          <w:p w14:paraId="4067609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8F1BA8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2Т1-3</w:t>
            </w:r>
          </w:p>
          <w:p w14:paraId="4C8DAAE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1" w:type="dxa"/>
            <w:tcBorders>
              <w:top w:val="single" w:sz="6" w:space="0" w:color="auto"/>
              <w:left w:val="single" w:sz="6" w:space="0" w:color="auto"/>
              <w:bottom w:val="single" w:sz="6" w:space="0" w:color="auto"/>
              <w:right w:val="single" w:sz="12" w:space="0" w:color="auto"/>
            </w:tcBorders>
          </w:tcPr>
          <w:p w14:paraId="71E336C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198</w:t>
            </w:r>
          </w:p>
          <w:p w14:paraId="34B9C46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5065A36" w14:textId="77777777" w:rsidTr="000D3BCB">
        <w:trPr>
          <w:gridAfter w:val="1"/>
          <w:wAfter w:w="12" w:type="dxa"/>
          <w:trHeight w:val="221"/>
        </w:trPr>
        <w:tc>
          <w:tcPr>
            <w:tcW w:w="1276" w:type="dxa"/>
            <w:tcBorders>
              <w:top w:val="single" w:sz="6" w:space="0" w:color="auto"/>
              <w:left w:val="single" w:sz="12" w:space="0" w:color="auto"/>
              <w:bottom w:val="single" w:sz="6" w:space="0" w:color="auto"/>
              <w:right w:val="single" w:sz="6" w:space="0" w:color="auto"/>
            </w:tcBorders>
          </w:tcPr>
          <w:p w14:paraId="014EC90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81F31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0256CCD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Аего КК-255</w:t>
            </w:r>
          </w:p>
          <w:p w14:paraId="56FDF8A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837F0C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2Т1-4</w:t>
            </w:r>
          </w:p>
          <w:p w14:paraId="451C432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1" w:type="dxa"/>
            <w:tcBorders>
              <w:top w:val="single" w:sz="6" w:space="0" w:color="auto"/>
              <w:left w:val="single" w:sz="6" w:space="0" w:color="auto"/>
              <w:bottom w:val="single" w:sz="6" w:space="0" w:color="auto"/>
              <w:right w:val="single" w:sz="12" w:space="0" w:color="auto"/>
            </w:tcBorders>
          </w:tcPr>
          <w:p w14:paraId="68481E1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247</w:t>
            </w:r>
          </w:p>
          <w:p w14:paraId="31B7D8D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A4141EE" w14:textId="77777777" w:rsidTr="000D3BCB">
        <w:trPr>
          <w:gridAfter w:val="1"/>
          <w:wAfter w:w="12" w:type="dxa"/>
          <w:trHeight w:val="250"/>
        </w:trPr>
        <w:tc>
          <w:tcPr>
            <w:tcW w:w="1276" w:type="dxa"/>
            <w:tcBorders>
              <w:top w:val="single" w:sz="6" w:space="0" w:color="auto"/>
              <w:left w:val="single" w:sz="12" w:space="0" w:color="auto"/>
              <w:bottom w:val="single" w:sz="6" w:space="0" w:color="auto"/>
              <w:right w:val="single" w:sz="6" w:space="0" w:color="auto"/>
            </w:tcBorders>
          </w:tcPr>
          <w:p w14:paraId="0FBFCCF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27099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10A84C0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Pionier КR-35SN</w:t>
            </w:r>
          </w:p>
          <w:p w14:paraId="2379CF1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30B36D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4Т1-4</w:t>
            </w:r>
          </w:p>
          <w:p w14:paraId="3043D5D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1" w:type="dxa"/>
            <w:tcBorders>
              <w:top w:val="single" w:sz="6" w:space="0" w:color="auto"/>
              <w:left w:val="single" w:sz="6" w:space="0" w:color="auto"/>
              <w:bottom w:val="single" w:sz="6" w:space="0" w:color="auto"/>
              <w:right w:val="single" w:sz="12" w:space="0" w:color="auto"/>
            </w:tcBorders>
          </w:tcPr>
          <w:p w14:paraId="3570272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342</w:t>
            </w:r>
          </w:p>
          <w:p w14:paraId="2A9AA88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CB9765B" w14:textId="77777777" w:rsidTr="000D3BCB">
        <w:trPr>
          <w:gridAfter w:val="1"/>
          <w:wAfter w:w="12" w:type="dxa"/>
          <w:trHeight w:val="269"/>
        </w:trPr>
        <w:tc>
          <w:tcPr>
            <w:tcW w:w="1276" w:type="dxa"/>
            <w:tcBorders>
              <w:top w:val="single" w:sz="6" w:space="0" w:color="auto"/>
              <w:left w:val="single" w:sz="12" w:space="0" w:color="auto"/>
              <w:bottom w:val="single" w:sz="6" w:space="0" w:color="auto"/>
              <w:right w:val="single" w:sz="6" w:space="0" w:color="auto"/>
            </w:tcBorders>
          </w:tcPr>
          <w:p w14:paraId="048B01F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Цюндапп</w:t>
            </w:r>
          </w:p>
          <w:p w14:paraId="63D7CEB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6921A50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DВ-200</w:t>
            </w:r>
          </w:p>
          <w:p w14:paraId="4AC5155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5D0D15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2Т1-3</w:t>
            </w:r>
          </w:p>
          <w:p w14:paraId="36FB166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1" w:type="dxa"/>
            <w:tcBorders>
              <w:top w:val="single" w:sz="6" w:space="0" w:color="auto"/>
              <w:left w:val="single" w:sz="6" w:space="0" w:color="auto"/>
              <w:bottom w:val="single" w:sz="6" w:space="0" w:color="auto"/>
              <w:right w:val="single" w:sz="12" w:space="0" w:color="auto"/>
            </w:tcBorders>
          </w:tcPr>
          <w:p w14:paraId="5997183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198</w:t>
            </w:r>
          </w:p>
          <w:p w14:paraId="148851D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FB87ADA" w14:textId="77777777" w:rsidTr="000D3BCB">
        <w:trPr>
          <w:gridAfter w:val="1"/>
          <w:wAfter w:w="12" w:type="dxa"/>
          <w:trHeight w:val="211"/>
        </w:trPr>
        <w:tc>
          <w:tcPr>
            <w:tcW w:w="1276" w:type="dxa"/>
            <w:tcBorders>
              <w:top w:val="single" w:sz="6" w:space="0" w:color="auto"/>
              <w:left w:val="single" w:sz="12" w:space="0" w:color="auto"/>
              <w:bottom w:val="single" w:sz="6" w:space="0" w:color="auto"/>
              <w:right w:val="single" w:sz="6" w:space="0" w:color="auto"/>
            </w:tcBorders>
          </w:tcPr>
          <w:p w14:paraId="01FE708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30B5D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7CBD43D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DВК-250</w:t>
            </w:r>
          </w:p>
          <w:p w14:paraId="03E153B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654A86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2Т1-3</w:t>
            </w:r>
          </w:p>
          <w:p w14:paraId="28CD885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1" w:type="dxa"/>
            <w:tcBorders>
              <w:top w:val="single" w:sz="6" w:space="0" w:color="auto"/>
              <w:left w:val="single" w:sz="6" w:space="0" w:color="auto"/>
              <w:bottom w:val="single" w:sz="6" w:space="0" w:color="auto"/>
              <w:right w:val="single" w:sz="12" w:space="0" w:color="auto"/>
            </w:tcBorders>
          </w:tcPr>
          <w:p w14:paraId="6FF3E3B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247</w:t>
            </w:r>
          </w:p>
          <w:p w14:paraId="7A74D91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93A9D67" w14:textId="77777777" w:rsidTr="000D3BCB">
        <w:trPr>
          <w:gridAfter w:val="1"/>
          <w:wAfter w:w="12" w:type="dxa"/>
          <w:trHeight w:val="221"/>
        </w:trPr>
        <w:tc>
          <w:tcPr>
            <w:tcW w:w="1276" w:type="dxa"/>
            <w:tcBorders>
              <w:top w:val="single" w:sz="6" w:space="0" w:color="auto"/>
              <w:left w:val="single" w:sz="12" w:space="0" w:color="auto"/>
              <w:bottom w:val="single" w:sz="6" w:space="0" w:color="auto"/>
              <w:right w:val="single" w:sz="6" w:space="0" w:color="auto"/>
            </w:tcBorders>
          </w:tcPr>
          <w:p w14:paraId="134DEC0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6421C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2F71B93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DS-350</w:t>
            </w:r>
          </w:p>
          <w:p w14:paraId="38DA997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53D5B9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4Т1-4</w:t>
            </w:r>
          </w:p>
          <w:p w14:paraId="0DEEA98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1" w:type="dxa"/>
            <w:tcBorders>
              <w:top w:val="single" w:sz="6" w:space="0" w:color="auto"/>
              <w:left w:val="single" w:sz="6" w:space="0" w:color="auto"/>
              <w:bottom w:val="single" w:sz="6" w:space="0" w:color="auto"/>
              <w:right w:val="single" w:sz="12" w:space="0" w:color="auto"/>
            </w:tcBorders>
          </w:tcPr>
          <w:p w14:paraId="17E9C64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346</w:t>
            </w:r>
          </w:p>
          <w:p w14:paraId="7E687AC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9EC0B7C" w14:textId="77777777" w:rsidTr="000D3BCB">
        <w:trPr>
          <w:gridAfter w:val="1"/>
          <w:wAfter w:w="12" w:type="dxa"/>
          <w:trHeight w:val="221"/>
        </w:trPr>
        <w:tc>
          <w:tcPr>
            <w:tcW w:w="1276" w:type="dxa"/>
            <w:tcBorders>
              <w:top w:val="single" w:sz="6" w:space="0" w:color="auto"/>
              <w:left w:val="single" w:sz="12" w:space="0" w:color="auto"/>
              <w:bottom w:val="single" w:sz="6" w:space="0" w:color="auto"/>
              <w:right w:val="single" w:sz="6" w:space="0" w:color="auto"/>
            </w:tcBorders>
          </w:tcPr>
          <w:p w14:paraId="28B536F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0B2EB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070C4C7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К-500</w:t>
            </w:r>
          </w:p>
          <w:p w14:paraId="7DDF5D1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D02CA4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4Т2-4</w:t>
            </w:r>
          </w:p>
          <w:p w14:paraId="6F16723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1" w:type="dxa"/>
            <w:tcBorders>
              <w:top w:val="single" w:sz="6" w:space="0" w:color="auto"/>
              <w:left w:val="single" w:sz="6" w:space="0" w:color="auto"/>
              <w:bottom w:val="single" w:sz="6" w:space="0" w:color="auto"/>
              <w:right w:val="single" w:sz="12" w:space="0" w:color="auto"/>
            </w:tcBorders>
          </w:tcPr>
          <w:p w14:paraId="4B29586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496</w:t>
            </w:r>
          </w:p>
          <w:p w14:paraId="0C31B4A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F287291" w14:textId="77777777" w:rsidTr="000D3BCB">
        <w:trPr>
          <w:gridAfter w:val="1"/>
          <w:wAfter w:w="12" w:type="dxa"/>
          <w:trHeight w:val="221"/>
        </w:trPr>
        <w:tc>
          <w:tcPr>
            <w:tcW w:w="1276" w:type="dxa"/>
            <w:tcBorders>
              <w:top w:val="single" w:sz="6" w:space="0" w:color="auto"/>
              <w:left w:val="single" w:sz="12" w:space="0" w:color="auto"/>
              <w:bottom w:val="single" w:sz="6" w:space="0" w:color="auto"/>
              <w:right w:val="single" w:sz="6" w:space="0" w:color="auto"/>
            </w:tcBorders>
          </w:tcPr>
          <w:p w14:paraId="1F81835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978A2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3E9BB7D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КS-600</w:t>
            </w:r>
          </w:p>
          <w:p w14:paraId="76E8530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9C5F58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4Т2-4</w:t>
            </w:r>
          </w:p>
          <w:p w14:paraId="4A6A237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1" w:type="dxa"/>
            <w:tcBorders>
              <w:top w:val="single" w:sz="6" w:space="0" w:color="auto"/>
              <w:left w:val="single" w:sz="6" w:space="0" w:color="auto"/>
              <w:bottom w:val="single" w:sz="6" w:space="0" w:color="auto"/>
              <w:right w:val="single" w:sz="12" w:space="0" w:color="auto"/>
            </w:tcBorders>
          </w:tcPr>
          <w:p w14:paraId="64DFBF7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597</w:t>
            </w:r>
          </w:p>
          <w:p w14:paraId="76C0D7E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360FE6E" w14:textId="77777777" w:rsidTr="000D3BCB">
        <w:trPr>
          <w:gridAfter w:val="1"/>
          <w:wAfter w:w="12" w:type="dxa"/>
          <w:trHeight w:val="221"/>
        </w:trPr>
        <w:tc>
          <w:tcPr>
            <w:tcW w:w="1276" w:type="dxa"/>
            <w:tcBorders>
              <w:top w:val="single" w:sz="6" w:space="0" w:color="auto"/>
              <w:left w:val="single" w:sz="12" w:space="0" w:color="auto"/>
              <w:bottom w:val="single" w:sz="6" w:space="0" w:color="auto"/>
              <w:right w:val="single" w:sz="6" w:space="0" w:color="auto"/>
            </w:tcBorders>
          </w:tcPr>
          <w:p w14:paraId="2DC00C0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99485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6" w:space="0" w:color="auto"/>
              <w:right w:val="single" w:sz="6" w:space="0" w:color="auto"/>
            </w:tcBorders>
          </w:tcPr>
          <w:p w14:paraId="02794AD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КS-700</w:t>
            </w:r>
          </w:p>
          <w:p w14:paraId="0238B8A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511A2E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4Т2-5</w:t>
            </w:r>
          </w:p>
          <w:p w14:paraId="20A2A75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1" w:type="dxa"/>
            <w:tcBorders>
              <w:top w:val="single" w:sz="6" w:space="0" w:color="auto"/>
              <w:left w:val="single" w:sz="6" w:space="0" w:color="auto"/>
              <w:bottom w:val="single" w:sz="6" w:space="0" w:color="auto"/>
              <w:right w:val="single" w:sz="12" w:space="0" w:color="auto"/>
            </w:tcBorders>
          </w:tcPr>
          <w:p w14:paraId="1AFB893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746</w:t>
            </w:r>
          </w:p>
          <w:p w14:paraId="3ECC6C3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AE9793C" w14:textId="77777777" w:rsidTr="000D3BCB">
        <w:trPr>
          <w:gridAfter w:val="1"/>
          <w:wAfter w:w="12" w:type="dxa"/>
          <w:trHeight w:val="240"/>
        </w:trPr>
        <w:tc>
          <w:tcPr>
            <w:tcW w:w="1276" w:type="dxa"/>
            <w:tcBorders>
              <w:top w:val="single" w:sz="6" w:space="0" w:color="auto"/>
              <w:left w:val="single" w:sz="12" w:space="0" w:color="auto"/>
              <w:bottom w:val="single" w:sz="12" w:space="0" w:color="auto"/>
              <w:right w:val="single" w:sz="6" w:space="0" w:color="auto"/>
            </w:tcBorders>
          </w:tcPr>
          <w:p w14:paraId="7B0DAA7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523FC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Borders>
              <w:top w:val="single" w:sz="6" w:space="0" w:color="auto"/>
              <w:left w:val="single" w:sz="6" w:space="0" w:color="auto"/>
              <w:bottom w:val="single" w:sz="12" w:space="0" w:color="auto"/>
              <w:right w:val="single" w:sz="6" w:space="0" w:color="auto"/>
            </w:tcBorders>
          </w:tcPr>
          <w:p w14:paraId="2C664C8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К-800</w:t>
            </w:r>
          </w:p>
          <w:p w14:paraId="6B93961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12" w:space="0" w:color="auto"/>
              <w:right w:val="single" w:sz="6" w:space="0" w:color="auto"/>
            </w:tcBorders>
          </w:tcPr>
          <w:p w14:paraId="17F1B42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4Т2-4</w:t>
            </w:r>
          </w:p>
          <w:p w14:paraId="2E9997E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1" w:type="dxa"/>
            <w:tcBorders>
              <w:top w:val="single" w:sz="6" w:space="0" w:color="auto"/>
              <w:left w:val="single" w:sz="6" w:space="0" w:color="auto"/>
              <w:bottom w:val="single" w:sz="12" w:space="0" w:color="auto"/>
              <w:right w:val="single" w:sz="12" w:space="0" w:color="auto"/>
            </w:tcBorders>
          </w:tcPr>
          <w:p w14:paraId="55667C25"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804</w:t>
            </w:r>
          </w:p>
          <w:p w14:paraId="57B58CD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9DCDE2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Примечание. Цифры в графе «Тип» означают число тактов, количество цилиндров в двигателе и передач в КП.</w:t>
      </w:r>
    </w:p>
    <w:p w14:paraId="4943FCB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вышеприведенной таблице отражены разнообразные типы мотоциклов в германской армии: от микролитражных без КП, фирмы Stiriette, до тяжёлых - Zundapp с задним ходом. В силу этого поступавшую трофейную мототехнику разделили на клас</w:t>
      </w:r>
      <w:r w:rsidRPr="00640820">
        <w:rPr>
          <w:rFonts w:ascii="Times New Roman" w:hAnsi="Times New Roman"/>
          <w:color w:val="000000" w:themeColor="text1"/>
          <w:sz w:val="16"/>
          <w:szCs w:val="16"/>
        </w:rPr>
        <w:softHyphen/>
        <w:t>сы, чтобы ремонтировать на специализированных заводах. Ис</w:t>
      </w:r>
      <w:r w:rsidRPr="00640820">
        <w:rPr>
          <w:rFonts w:ascii="Times New Roman" w:hAnsi="Times New Roman"/>
          <w:color w:val="000000" w:themeColor="text1"/>
          <w:sz w:val="16"/>
          <w:szCs w:val="16"/>
        </w:rPr>
        <w:softHyphen/>
        <w:t>полнение этого замысла отражено в приказе № 51/м Главмотове-лопрома от 31 августа 1942 г. На ММЗ сосредоточили ремонт тя</w:t>
      </w:r>
      <w:r w:rsidRPr="00640820">
        <w:rPr>
          <w:rFonts w:ascii="Times New Roman" w:hAnsi="Times New Roman"/>
          <w:color w:val="000000" w:themeColor="text1"/>
          <w:sz w:val="16"/>
          <w:szCs w:val="16"/>
        </w:rPr>
        <w:softHyphen/>
        <w:t>жёлых четырёхтактных мотоциклов фирм БМВ и «Цюндапп» всех марок, а на СМЗ - двухтактных машин, сделанных на фир</w:t>
      </w:r>
      <w:r w:rsidRPr="00640820">
        <w:rPr>
          <w:rFonts w:ascii="Times New Roman" w:hAnsi="Times New Roman"/>
          <w:color w:val="000000" w:themeColor="text1"/>
          <w:sz w:val="16"/>
          <w:szCs w:val="16"/>
        </w:rPr>
        <w:softHyphen/>
        <w:t>мах Триумф, Пух, Терро, Цюндапп и др. Мотоциклы фирм ДКВ и НСУ ремонтировали на этих заводах, также как и остальные машины неназванных фирм, но при наличии ремкомплектов. Мотоциклы, не обеспеченные ремкомплектом, передавали на от</w:t>
      </w:r>
      <w:r w:rsidRPr="00640820">
        <w:rPr>
          <w:rFonts w:ascii="Times New Roman" w:hAnsi="Times New Roman"/>
          <w:color w:val="000000" w:themeColor="text1"/>
          <w:sz w:val="16"/>
          <w:szCs w:val="16"/>
        </w:rPr>
        <w:softHyphen/>
        <w:t>ветственное хранение на тех же заводах [5.52]. Изготовление рем-комплектов, как и отдельных деталей для трофейных мотоцик</w:t>
      </w:r>
      <w:r w:rsidRPr="00640820">
        <w:rPr>
          <w:rFonts w:ascii="Times New Roman" w:hAnsi="Times New Roman"/>
          <w:color w:val="000000" w:themeColor="text1"/>
          <w:sz w:val="16"/>
          <w:szCs w:val="16"/>
        </w:rPr>
        <w:softHyphen/>
        <w:t>лов, распределили по различным предприятиям Главмотовело-прома, производственные мощности которых были ограничены, что сдерживало изготовление необходимых запчастей в требуе</w:t>
      </w:r>
      <w:r w:rsidRPr="00640820">
        <w:rPr>
          <w:rFonts w:ascii="Times New Roman" w:hAnsi="Times New Roman"/>
          <w:color w:val="000000" w:themeColor="text1"/>
          <w:sz w:val="16"/>
          <w:szCs w:val="16"/>
        </w:rPr>
        <w:softHyphen/>
        <w:t>мых объемах и плохо влияло на ремонт трофейных мотоциклов. При месячном плане на ММЗ в 150 мотоциклов, в апреле 1942 г. удалось отремонтировать только 96 мотоциклов, а в мае - НО [5.53]. Количество отремонтированных в 1942 г. на ММЗ и СМЗ трофейных мотоциклов и переданных в ГБТУ приведено в табл. 20 [5.54].</w:t>
      </w:r>
    </w:p>
    <w:p w14:paraId="50423A2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Таблица 20</w:t>
      </w:r>
    </w:p>
    <w:p w14:paraId="17BD4C2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Объемы отремонтированных трофейных мотоциклов, 1942 г.</w:t>
      </w:r>
    </w:p>
    <w:tbl>
      <w:tblPr>
        <w:tblW w:w="0" w:type="auto"/>
        <w:tblInd w:w="40" w:type="dxa"/>
        <w:tblLayout w:type="fixed"/>
        <w:tblCellMar>
          <w:left w:w="40" w:type="dxa"/>
          <w:right w:w="40" w:type="dxa"/>
        </w:tblCellMar>
        <w:tblLook w:val="0000" w:firstRow="0" w:lastRow="0" w:firstColumn="0" w:lastColumn="0" w:noHBand="0" w:noVBand="0"/>
      </w:tblPr>
      <w:tblGrid>
        <w:gridCol w:w="970"/>
        <w:gridCol w:w="950"/>
        <w:gridCol w:w="720"/>
        <w:gridCol w:w="739"/>
      </w:tblGrid>
      <w:tr w:rsidR="00643896" w:rsidRPr="00640820" w14:paraId="0D051AAF" w14:textId="77777777" w:rsidTr="000D3BCB">
        <w:trPr>
          <w:trHeight w:val="394"/>
        </w:trPr>
        <w:tc>
          <w:tcPr>
            <w:tcW w:w="970" w:type="dxa"/>
            <w:tcBorders>
              <w:top w:val="single" w:sz="6" w:space="0" w:color="auto"/>
              <w:left w:val="single" w:sz="6" w:space="0" w:color="auto"/>
              <w:bottom w:val="nil"/>
              <w:right w:val="single" w:sz="6" w:space="0" w:color="auto"/>
            </w:tcBorders>
          </w:tcPr>
          <w:p w14:paraId="541E2152"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F11B6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nil"/>
              <w:right w:val="single" w:sz="6" w:space="0" w:color="auto"/>
            </w:tcBorders>
          </w:tcPr>
          <w:p w14:paraId="16B45B3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1C13F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9" w:type="dxa"/>
            <w:gridSpan w:val="2"/>
            <w:tcBorders>
              <w:top w:val="single" w:sz="6" w:space="0" w:color="auto"/>
              <w:left w:val="single" w:sz="6" w:space="0" w:color="auto"/>
              <w:bottom w:val="single" w:sz="6" w:space="0" w:color="auto"/>
              <w:right w:val="single" w:sz="6" w:space="0" w:color="auto"/>
            </w:tcBorders>
          </w:tcPr>
          <w:p w14:paraId="7035B88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Факт</w:t>
            </w:r>
          </w:p>
          <w:p w14:paraId="57F5D54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52F470F" w14:textId="77777777" w:rsidTr="000D3BCB">
        <w:trPr>
          <w:trHeight w:val="355"/>
        </w:trPr>
        <w:tc>
          <w:tcPr>
            <w:tcW w:w="970" w:type="dxa"/>
            <w:tcBorders>
              <w:top w:val="nil"/>
              <w:left w:val="single" w:sz="6" w:space="0" w:color="auto"/>
              <w:bottom w:val="single" w:sz="6" w:space="0" w:color="auto"/>
              <w:right w:val="single" w:sz="6" w:space="0" w:color="auto"/>
            </w:tcBorders>
          </w:tcPr>
          <w:p w14:paraId="17DD5D0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46AAE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nil"/>
              <w:left w:val="single" w:sz="6" w:space="0" w:color="auto"/>
              <w:bottom w:val="single" w:sz="6" w:space="0" w:color="auto"/>
              <w:right w:val="single" w:sz="6" w:space="0" w:color="auto"/>
            </w:tcBorders>
          </w:tcPr>
          <w:p w14:paraId="0C169C0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6CC96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1A766C5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шт.</w:t>
            </w:r>
          </w:p>
          <w:p w14:paraId="4C27719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203C9C5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p w14:paraId="5046BF8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AA388F8" w14:textId="77777777" w:rsidTr="000D3BCB">
        <w:trPr>
          <w:trHeight w:val="326"/>
        </w:trPr>
        <w:tc>
          <w:tcPr>
            <w:tcW w:w="970" w:type="dxa"/>
            <w:tcBorders>
              <w:top w:val="single" w:sz="6" w:space="0" w:color="auto"/>
              <w:left w:val="single" w:sz="6" w:space="0" w:color="auto"/>
              <w:bottom w:val="nil"/>
              <w:right w:val="single" w:sz="6" w:space="0" w:color="auto"/>
            </w:tcBorders>
          </w:tcPr>
          <w:p w14:paraId="41C5E53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ММЗ</w:t>
            </w:r>
          </w:p>
          <w:p w14:paraId="5FF63B00"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nil"/>
              <w:right w:val="single" w:sz="6" w:space="0" w:color="auto"/>
            </w:tcBorders>
          </w:tcPr>
          <w:p w14:paraId="044263A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2000</w:t>
            </w:r>
          </w:p>
          <w:p w14:paraId="01F6437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nil"/>
              <w:right w:val="single" w:sz="6" w:space="0" w:color="auto"/>
            </w:tcBorders>
          </w:tcPr>
          <w:p w14:paraId="5F878D8A"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1131</w:t>
            </w:r>
          </w:p>
          <w:p w14:paraId="6E4DC86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nil"/>
              <w:right w:val="single" w:sz="6" w:space="0" w:color="auto"/>
            </w:tcBorders>
          </w:tcPr>
          <w:p w14:paraId="390D8C5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56,6</w:t>
            </w:r>
          </w:p>
          <w:p w14:paraId="57CD50D9"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887469C" w14:textId="77777777" w:rsidTr="000D3BCB">
        <w:trPr>
          <w:trHeight w:val="240"/>
        </w:trPr>
        <w:tc>
          <w:tcPr>
            <w:tcW w:w="970" w:type="dxa"/>
            <w:tcBorders>
              <w:top w:val="nil"/>
              <w:left w:val="single" w:sz="6" w:space="0" w:color="auto"/>
              <w:bottom w:val="nil"/>
              <w:right w:val="single" w:sz="6" w:space="0" w:color="auto"/>
            </w:tcBorders>
          </w:tcPr>
          <w:p w14:paraId="6ECA80C3"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СМЗ</w:t>
            </w:r>
          </w:p>
          <w:p w14:paraId="69BA9D9E"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nil"/>
              <w:left w:val="single" w:sz="6" w:space="0" w:color="auto"/>
              <w:bottom w:val="nil"/>
              <w:right w:val="single" w:sz="6" w:space="0" w:color="auto"/>
            </w:tcBorders>
          </w:tcPr>
          <w:p w14:paraId="373D9C1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w:t>
            </w:r>
          </w:p>
          <w:p w14:paraId="5199716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nil"/>
              <w:left w:val="single" w:sz="6" w:space="0" w:color="auto"/>
              <w:bottom w:val="nil"/>
              <w:right w:val="single" w:sz="6" w:space="0" w:color="auto"/>
            </w:tcBorders>
          </w:tcPr>
          <w:p w14:paraId="06A0307F"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272</w:t>
            </w:r>
          </w:p>
          <w:p w14:paraId="4A7134D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nil"/>
              <w:left w:val="single" w:sz="6" w:space="0" w:color="auto"/>
              <w:bottom w:val="nil"/>
              <w:right w:val="single" w:sz="6" w:space="0" w:color="auto"/>
            </w:tcBorders>
          </w:tcPr>
          <w:p w14:paraId="740487CC"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90,6</w:t>
            </w:r>
          </w:p>
          <w:p w14:paraId="6CDA94B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96CAABE" w14:textId="77777777" w:rsidTr="000D3BCB">
        <w:trPr>
          <w:trHeight w:val="384"/>
        </w:trPr>
        <w:tc>
          <w:tcPr>
            <w:tcW w:w="970" w:type="dxa"/>
            <w:tcBorders>
              <w:top w:val="nil"/>
              <w:left w:val="single" w:sz="6" w:space="0" w:color="auto"/>
              <w:bottom w:val="single" w:sz="6" w:space="0" w:color="auto"/>
              <w:right w:val="single" w:sz="6" w:space="0" w:color="auto"/>
            </w:tcBorders>
          </w:tcPr>
          <w:p w14:paraId="18AC8F5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w:t>
            </w:r>
          </w:p>
          <w:p w14:paraId="2F03A6B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nil"/>
              <w:left w:val="single" w:sz="6" w:space="0" w:color="auto"/>
              <w:bottom w:val="single" w:sz="6" w:space="0" w:color="auto"/>
              <w:right w:val="single" w:sz="6" w:space="0" w:color="auto"/>
            </w:tcBorders>
          </w:tcPr>
          <w:p w14:paraId="3A1F977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2300</w:t>
            </w:r>
          </w:p>
          <w:p w14:paraId="69029A07"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nil"/>
              <w:left w:val="single" w:sz="6" w:space="0" w:color="auto"/>
              <w:bottom w:val="single" w:sz="6" w:space="0" w:color="auto"/>
              <w:right w:val="single" w:sz="6" w:space="0" w:color="auto"/>
            </w:tcBorders>
          </w:tcPr>
          <w:p w14:paraId="23DBEAAB"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1403</w:t>
            </w:r>
          </w:p>
          <w:p w14:paraId="46C659B8"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nil"/>
              <w:left w:val="single" w:sz="6" w:space="0" w:color="auto"/>
              <w:bottom w:val="single" w:sz="6" w:space="0" w:color="auto"/>
              <w:right w:val="single" w:sz="6" w:space="0" w:color="auto"/>
            </w:tcBorders>
          </w:tcPr>
          <w:p w14:paraId="426CB924"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61,0</w:t>
            </w:r>
          </w:p>
          <w:p w14:paraId="600776FD"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8DF04E6"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(11429).</w:t>
      </w:r>
    </w:p>
    <w:p w14:paraId="1ECBEF81" w14:textId="77777777" w:rsidR="00045010" w:rsidRPr="00640820" w:rsidRDefault="00045010" w:rsidP="0064082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AFFC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были следующие нормы расхода горюче-смазочных материалов для автобронетанкового вооружения РККА по мобилизационному плану 1941 г.</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45"/>
        <w:gridCol w:w="1122"/>
        <w:gridCol w:w="1207"/>
        <w:gridCol w:w="1654"/>
        <w:gridCol w:w="1100"/>
        <w:gridCol w:w="1100"/>
        <w:gridCol w:w="709"/>
        <w:gridCol w:w="846"/>
        <w:gridCol w:w="848"/>
      </w:tblGrid>
      <w:tr w:rsidR="00643896" w:rsidRPr="00640820" w14:paraId="5A14E742" w14:textId="77777777" w:rsidTr="000D3BCB">
        <w:trPr>
          <w:trHeight w:val="255"/>
          <w:jc w:val="center"/>
        </w:trPr>
        <w:tc>
          <w:tcPr>
            <w:tcW w:w="1245" w:type="dxa"/>
            <w:tcBorders>
              <w:top w:val="single" w:sz="12" w:space="0" w:color="auto"/>
            </w:tcBorders>
          </w:tcPr>
          <w:p w14:paraId="4A8070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Тип</w:t>
            </w:r>
          </w:p>
        </w:tc>
        <w:tc>
          <w:tcPr>
            <w:tcW w:w="1122" w:type="dxa"/>
            <w:tcBorders>
              <w:top w:val="single" w:sz="12" w:space="0" w:color="auto"/>
            </w:tcBorders>
          </w:tcPr>
          <w:p w14:paraId="3C6C7A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число единиц</w:t>
            </w:r>
          </w:p>
        </w:tc>
        <w:tc>
          <w:tcPr>
            <w:tcW w:w="1207" w:type="dxa"/>
            <w:tcBorders>
              <w:top w:val="single" w:sz="12" w:space="0" w:color="auto"/>
            </w:tcBorders>
          </w:tcPr>
          <w:p w14:paraId="28A136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время работы/длина пробега</w:t>
            </w:r>
          </w:p>
        </w:tc>
        <w:tc>
          <w:tcPr>
            <w:tcW w:w="1654" w:type="dxa"/>
            <w:tcBorders>
              <w:top w:val="single" w:sz="12" w:space="0" w:color="auto"/>
            </w:tcBorders>
          </w:tcPr>
          <w:p w14:paraId="4BBD984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тип горючего</w:t>
            </w:r>
          </w:p>
        </w:tc>
        <w:tc>
          <w:tcPr>
            <w:tcW w:w="1100" w:type="dxa"/>
            <w:tcBorders>
              <w:top w:val="single" w:sz="12" w:space="0" w:color="auto"/>
            </w:tcBorders>
          </w:tcPr>
          <w:p w14:paraId="438878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Расход горючего в литрах на 1 ч или 100 км пробега.</w:t>
            </w:r>
          </w:p>
        </w:tc>
        <w:tc>
          <w:tcPr>
            <w:tcW w:w="1100" w:type="dxa"/>
            <w:tcBorders>
              <w:top w:val="single" w:sz="12" w:space="0" w:color="auto"/>
            </w:tcBorders>
          </w:tcPr>
          <w:p w14:paraId="658FE8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авиамасло</w:t>
            </w:r>
          </w:p>
        </w:tc>
        <w:tc>
          <w:tcPr>
            <w:tcW w:w="709" w:type="dxa"/>
            <w:tcBorders>
              <w:top w:val="single" w:sz="12" w:space="0" w:color="auto"/>
            </w:tcBorders>
          </w:tcPr>
          <w:p w14:paraId="5CDC48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автол</w:t>
            </w:r>
          </w:p>
        </w:tc>
        <w:tc>
          <w:tcPr>
            <w:tcW w:w="846" w:type="dxa"/>
            <w:tcBorders>
              <w:top w:val="single" w:sz="12" w:space="0" w:color="auto"/>
            </w:tcBorders>
          </w:tcPr>
          <w:p w14:paraId="09CC77F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солидол</w:t>
            </w:r>
          </w:p>
        </w:tc>
        <w:tc>
          <w:tcPr>
            <w:tcW w:w="848" w:type="dxa"/>
            <w:tcBorders>
              <w:top w:val="single" w:sz="12" w:space="0" w:color="auto"/>
            </w:tcBorders>
          </w:tcPr>
          <w:p w14:paraId="042352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керосин</w:t>
            </w:r>
          </w:p>
        </w:tc>
      </w:tr>
      <w:tr w:rsidR="00643896" w:rsidRPr="00640820" w14:paraId="03FC485C" w14:textId="77777777" w:rsidTr="000D3BCB">
        <w:trPr>
          <w:trHeight w:val="255"/>
          <w:jc w:val="center"/>
        </w:trPr>
        <w:tc>
          <w:tcPr>
            <w:tcW w:w="1245" w:type="dxa"/>
          </w:tcPr>
          <w:p w14:paraId="6EF8B7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Т-35</w:t>
            </w:r>
          </w:p>
        </w:tc>
        <w:tc>
          <w:tcPr>
            <w:tcW w:w="1122" w:type="dxa"/>
          </w:tcPr>
          <w:p w14:paraId="56A1B2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56</w:t>
            </w:r>
          </w:p>
        </w:tc>
        <w:tc>
          <w:tcPr>
            <w:tcW w:w="1207" w:type="dxa"/>
          </w:tcPr>
          <w:p w14:paraId="14450E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450 часов</w:t>
            </w:r>
          </w:p>
        </w:tc>
        <w:tc>
          <w:tcPr>
            <w:tcW w:w="1654" w:type="dxa"/>
          </w:tcPr>
          <w:p w14:paraId="3852C7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Б-70 или КБ-70</w:t>
            </w:r>
          </w:p>
        </w:tc>
        <w:tc>
          <w:tcPr>
            <w:tcW w:w="1100" w:type="dxa"/>
          </w:tcPr>
          <w:p w14:paraId="5AACAF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w:t>
            </w:r>
          </w:p>
        </w:tc>
        <w:tc>
          <w:tcPr>
            <w:tcW w:w="1100" w:type="dxa"/>
          </w:tcPr>
          <w:p w14:paraId="2DC901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w:t>
            </w:r>
          </w:p>
        </w:tc>
        <w:tc>
          <w:tcPr>
            <w:tcW w:w="709" w:type="dxa"/>
          </w:tcPr>
          <w:p w14:paraId="13498A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846" w:type="dxa"/>
          </w:tcPr>
          <w:p w14:paraId="074580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w:t>
            </w:r>
          </w:p>
        </w:tc>
        <w:tc>
          <w:tcPr>
            <w:tcW w:w="848" w:type="dxa"/>
          </w:tcPr>
          <w:p w14:paraId="105E12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0,8</w:t>
            </w:r>
          </w:p>
        </w:tc>
      </w:tr>
      <w:tr w:rsidR="00643896" w:rsidRPr="00640820" w14:paraId="0AD57A56" w14:textId="77777777" w:rsidTr="000D3BCB">
        <w:trPr>
          <w:trHeight w:val="255"/>
          <w:jc w:val="center"/>
        </w:trPr>
        <w:tc>
          <w:tcPr>
            <w:tcW w:w="1245" w:type="dxa"/>
          </w:tcPr>
          <w:p w14:paraId="00709D8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КВ</w:t>
            </w:r>
          </w:p>
        </w:tc>
        <w:tc>
          <w:tcPr>
            <w:tcW w:w="1122" w:type="dxa"/>
          </w:tcPr>
          <w:p w14:paraId="7B5929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1443</w:t>
            </w:r>
          </w:p>
        </w:tc>
        <w:tc>
          <w:tcPr>
            <w:tcW w:w="1207" w:type="dxa"/>
          </w:tcPr>
          <w:p w14:paraId="26A94A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450 часов</w:t>
            </w:r>
          </w:p>
        </w:tc>
        <w:tc>
          <w:tcPr>
            <w:tcW w:w="1654" w:type="dxa"/>
          </w:tcPr>
          <w:p w14:paraId="478F7B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Дизельное топливо</w:t>
            </w:r>
          </w:p>
        </w:tc>
        <w:tc>
          <w:tcPr>
            <w:tcW w:w="1100" w:type="dxa"/>
          </w:tcPr>
          <w:p w14:paraId="668E92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w:t>
            </w:r>
          </w:p>
        </w:tc>
        <w:tc>
          <w:tcPr>
            <w:tcW w:w="1100" w:type="dxa"/>
          </w:tcPr>
          <w:p w14:paraId="068E06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w:t>
            </w:r>
          </w:p>
        </w:tc>
        <w:tc>
          <w:tcPr>
            <w:tcW w:w="709" w:type="dxa"/>
          </w:tcPr>
          <w:p w14:paraId="118F03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846" w:type="dxa"/>
          </w:tcPr>
          <w:p w14:paraId="3672E2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w:t>
            </w:r>
          </w:p>
        </w:tc>
        <w:tc>
          <w:tcPr>
            <w:tcW w:w="848" w:type="dxa"/>
          </w:tcPr>
          <w:p w14:paraId="705513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0,8</w:t>
            </w:r>
          </w:p>
        </w:tc>
      </w:tr>
      <w:tr w:rsidR="00643896" w:rsidRPr="00640820" w14:paraId="4C575D8B" w14:textId="77777777" w:rsidTr="000D3BCB">
        <w:trPr>
          <w:trHeight w:val="255"/>
          <w:jc w:val="center"/>
        </w:trPr>
        <w:tc>
          <w:tcPr>
            <w:tcW w:w="1245" w:type="dxa"/>
          </w:tcPr>
          <w:p w14:paraId="3AC2DFB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Т-28</w:t>
            </w:r>
          </w:p>
        </w:tc>
        <w:tc>
          <w:tcPr>
            <w:tcW w:w="1122" w:type="dxa"/>
          </w:tcPr>
          <w:p w14:paraId="610DBC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447</w:t>
            </w:r>
          </w:p>
        </w:tc>
        <w:tc>
          <w:tcPr>
            <w:tcW w:w="1207" w:type="dxa"/>
          </w:tcPr>
          <w:p w14:paraId="66F37A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450 часов</w:t>
            </w:r>
          </w:p>
        </w:tc>
        <w:tc>
          <w:tcPr>
            <w:tcW w:w="1654" w:type="dxa"/>
          </w:tcPr>
          <w:p w14:paraId="25ADEE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Б-70 или КБ-70</w:t>
            </w:r>
          </w:p>
        </w:tc>
        <w:tc>
          <w:tcPr>
            <w:tcW w:w="1100" w:type="dxa"/>
          </w:tcPr>
          <w:p w14:paraId="1CB160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w:t>
            </w:r>
          </w:p>
        </w:tc>
        <w:tc>
          <w:tcPr>
            <w:tcW w:w="1100" w:type="dxa"/>
          </w:tcPr>
          <w:p w14:paraId="5BD52A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w:t>
            </w:r>
          </w:p>
        </w:tc>
        <w:tc>
          <w:tcPr>
            <w:tcW w:w="709" w:type="dxa"/>
          </w:tcPr>
          <w:p w14:paraId="1BCF2F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846" w:type="dxa"/>
          </w:tcPr>
          <w:p w14:paraId="7664FDB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w:t>
            </w:r>
          </w:p>
        </w:tc>
        <w:tc>
          <w:tcPr>
            <w:tcW w:w="848" w:type="dxa"/>
          </w:tcPr>
          <w:p w14:paraId="1B66A8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0,6</w:t>
            </w:r>
          </w:p>
        </w:tc>
      </w:tr>
      <w:tr w:rsidR="00643896" w:rsidRPr="00640820" w14:paraId="18AA4A11" w14:textId="77777777" w:rsidTr="000D3BCB">
        <w:trPr>
          <w:trHeight w:val="255"/>
          <w:jc w:val="center"/>
        </w:trPr>
        <w:tc>
          <w:tcPr>
            <w:tcW w:w="1245" w:type="dxa"/>
          </w:tcPr>
          <w:p w14:paraId="4EAC8D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Т-34</w:t>
            </w:r>
          </w:p>
        </w:tc>
        <w:tc>
          <w:tcPr>
            <w:tcW w:w="1122" w:type="dxa"/>
          </w:tcPr>
          <w:p w14:paraId="4CBAE9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2615</w:t>
            </w:r>
          </w:p>
        </w:tc>
        <w:tc>
          <w:tcPr>
            <w:tcW w:w="1207" w:type="dxa"/>
          </w:tcPr>
          <w:p w14:paraId="39A6C3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900 часов</w:t>
            </w:r>
          </w:p>
        </w:tc>
        <w:tc>
          <w:tcPr>
            <w:tcW w:w="1654" w:type="dxa"/>
          </w:tcPr>
          <w:p w14:paraId="4D992C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Дизельное топливо</w:t>
            </w:r>
          </w:p>
        </w:tc>
        <w:tc>
          <w:tcPr>
            <w:tcW w:w="1100" w:type="dxa"/>
          </w:tcPr>
          <w:p w14:paraId="083D83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c>
          <w:tcPr>
            <w:tcW w:w="1100" w:type="dxa"/>
          </w:tcPr>
          <w:p w14:paraId="3AF4B1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c>
          <w:tcPr>
            <w:tcW w:w="709" w:type="dxa"/>
          </w:tcPr>
          <w:p w14:paraId="5837FD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0,15</w:t>
            </w:r>
          </w:p>
        </w:tc>
        <w:tc>
          <w:tcPr>
            <w:tcW w:w="846" w:type="dxa"/>
          </w:tcPr>
          <w:p w14:paraId="76F9C5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848" w:type="dxa"/>
          </w:tcPr>
          <w:p w14:paraId="67252F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0,2</w:t>
            </w:r>
          </w:p>
        </w:tc>
      </w:tr>
      <w:tr w:rsidR="00643896" w:rsidRPr="00640820" w14:paraId="6473BA50" w14:textId="77777777" w:rsidTr="000D3BCB">
        <w:trPr>
          <w:trHeight w:val="255"/>
          <w:jc w:val="center"/>
        </w:trPr>
        <w:tc>
          <w:tcPr>
            <w:tcW w:w="1245" w:type="dxa"/>
          </w:tcPr>
          <w:p w14:paraId="57E82F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Т-50</w:t>
            </w:r>
          </w:p>
        </w:tc>
        <w:tc>
          <w:tcPr>
            <w:tcW w:w="1122" w:type="dxa"/>
          </w:tcPr>
          <w:p w14:paraId="01795D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550</w:t>
            </w:r>
          </w:p>
        </w:tc>
        <w:tc>
          <w:tcPr>
            <w:tcW w:w="1207" w:type="dxa"/>
          </w:tcPr>
          <w:p w14:paraId="27F79D8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900 часов</w:t>
            </w:r>
          </w:p>
        </w:tc>
        <w:tc>
          <w:tcPr>
            <w:tcW w:w="1654" w:type="dxa"/>
          </w:tcPr>
          <w:p w14:paraId="6163F1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Дизельное топливо</w:t>
            </w:r>
          </w:p>
        </w:tc>
        <w:tc>
          <w:tcPr>
            <w:tcW w:w="1100" w:type="dxa"/>
          </w:tcPr>
          <w:p w14:paraId="523F56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w:t>
            </w:r>
          </w:p>
        </w:tc>
        <w:tc>
          <w:tcPr>
            <w:tcW w:w="1100" w:type="dxa"/>
          </w:tcPr>
          <w:p w14:paraId="62E7DC3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w:t>
            </w:r>
          </w:p>
        </w:tc>
        <w:tc>
          <w:tcPr>
            <w:tcW w:w="709" w:type="dxa"/>
          </w:tcPr>
          <w:p w14:paraId="73F86C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0,15</w:t>
            </w:r>
          </w:p>
        </w:tc>
        <w:tc>
          <w:tcPr>
            <w:tcW w:w="846" w:type="dxa"/>
          </w:tcPr>
          <w:p w14:paraId="1C6FABE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848" w:type="dxa"/>
          </w:tcPr>
          <w:p w14:paraId="0322ADD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0,2</w:t>
            </w:r>
          </w:p>
        </w:tc>
      </w:tr>
      <w:tr w:rsidR="00643896" w:rsidRPr="00640820" w14:paraId="50846E63" w14:textId="77777777" w:rsidTr="000D3BCB">
        <w:trPr>
          <w:trHeight w:val="255"/>
          <w:jc w:val="center"/>
        </w:trPr>
        <w:tc>
          <w:tcPr>
            <w:tcW w:w="1245" w:type="dxa"/>
          </w:tcPr>
          <w:p w14:paraId="46BF8B8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БТ-7М</w:t>
            </w:r>
          </w:p>
        </w:tc>
        <w:tc>
          <w:tcPr>
            <w:tcW w:w="1122" w:type="dxa"/>
          </w:tcPr>
          <w:p w14:paraId="3D5852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704</w:t>
            </w:r>
          </w:p>
        </w:tc>
        <w:tc>
          <w:tcPr>
            <w:tcW w:w="1207" w:type="dxa"/>
          </w:tcPr>
          <w:p w14:paraId="006F07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900 часов</w:t>
            </w:r>
          </w:p>
        </w:tc>
        <w:tc>
          <w:tcPr>
            <w:tcW w:w="1654" w:type="dxa"/>
          </w:tcPr>
          <w:p w14:paraId="3E6D7A3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Дизельное топливо</w:t>
            </w:r>
          </w:p>
        </w:tc>
        <w:tc>
          <w:tcPr>
            <w:tcW w:w="1100" w:type="dxa"/>
          </w:tcPr>
          <w:p w14:paraId="08F6BF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w:t>
            </w:r>
          </w:p>
        </w:tc>
        <w:tc>
          <w:tcPr>
            <w:tcW w:w="1100" w:type="dxa"/>
          </w:tcPr>
          <w:p w14:paraId="7D0AC7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w:t>
            </w:r>
          </w:p>
        </w:tc>
        <w:tc>
          <w:tcPr>
            <w:tcW w:w="709" w:type="dxa"/>
          </w:tcPr>
          <w:p w14:paraId="218FC6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0,1</w:t>
            </w:r>
          </w:p>
        </w:tc>
        <w:tc>
          <w:tcPr>
            <w:tcW w:w="846" w:type="dxa"/>
          </w:tcPr>
          <w:p w14:paraId="23C4DC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848" w:type="dxa"/>
          </w:tcPr>
          <w:p w14:paraId="524F8A9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0,2</w:t>
            </w:r>
          </w:p>
        </w:tc>
      </w:tr>
      <w:tr w:rsidR="00643896" w:rsidRPr="00640820" w14:paraId="697FA80C" w14:textId="77777777" w:rsidTr="000D3BCB">
        <w:trPr>
          <w:trHeight w:val="255"/>
          <w:jc w:val="center"/>
        </w:trPr>
        <w:tc>
          <w:tcPr>
            <w:tcW w:w="1245" w:type="dxa"/>
          </w:tcPr>
          <w:p w14:paraId="038BBA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БТ-7</w:t>
            </w:r>
          </w:p>
        </w:tc>
        <w:tc>
          <w:tcPr>
            <w:tcW w:w="1122" w:type="dxa"/>
          </w:tcPr>
          <w:p w14:paraId="22755E3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6746</w:t>
            </w:r>
          </w:p>
        </w:tc>
        <w:tc>
          <w:tcPr>
            <w:tcW w:w="1207" w:type="dxa"/>
          </w:tcPr>
          <w:p w14:paraId="0BABBDC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900 часов</w:t>
            </w:r>
          </w:p>
        </w:tc>
        <w:tc>
          <w:tcPr>
            <w:tcW w:w="1654" w:type="dxa"/>
          </w:tcPr>
          <w:p w14:paraId="569BEF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Б-70 или КБ-70</w:t>
            </w:r>
          </w:p>
        </w:tc>
        <w:tc>
          <w:tcPr>
            <w:tcW w:w="1100" w:type="dxa"/>
          </w:tcPr>
          <w:p w14:paraId="375239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w:t>
            </w:r>
          </w:p>
        </w:tc>
        <w:tc>
          <w:tcPr>
            <w:tcW w:w="1100" w:type="dxa"/>
          </w:tcPr>
          <w:p w14:paraId="687916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w:t>
            </w:r>
          </w:p>
        </w:tc>
        <w:tc>
          <w:tcPr>
            <w:tcW w:w="709" w:type="dxa"/>
          </w:tcPr>
          <w:p w14:paraId="085483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0,1</w:t>
            </w:r>
          </w:p>
        </w:tc>
        <w:tc>
          <w:tcPr>
            <w:tcW w:w="846" w:type="dxa"/>
          </w:tcPr>
          <w:p w14:paraId="2D46C15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848" w:type="dxa"/>
          </w:tcPr>
          <w:p w14:paraId="0E72E9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0,2</w:t>
            </w:r>
          </w:p>
        </w:tc>
      </w:tr>
      <w:tr w:rsidR="00643896" w:rsidRPr="00640820" w14:paraId="16BD06DB" w14:textId="77777777" w:rsidTr="000D3BCB">
        <w:trPr>
          <w:trHeight w:val="255"/>
          <w:jc w:val="center"/>
        </w:trPr>
        <w:tc>
          <w:tcPr>
            <w:tcW w:w="1245" w:type="dxa"/>
          </w:tcPr>
          <w:p w14:paraId="615EC1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Т-26</w:t>
            </w:r>
          </w:p>
        </w:tc>
        <w:tc>
          <w:tcPr>
            <w:tcW w:w="1122" w:type="dxa"/>
          </w:tcPr>
          <w:p w14:paraId="0B1F2B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9728</w:t>
            </w:r>
          </w:p>
        </w:tc>
        <w:tc>
          <w:tcPr>
            <w:tcW w:w="1207" w:type="dxa"/>
          </w:tcPr>
          <w:p w14:paraId="45DDCC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900 часов</w:t>
            </w:r>
          </w:p>
        </w:tc>
        <w:tc>
          <w:tcPr>
            <w:tcW w:w="1654" w:type="dxa"/>
          </w:tcPr>
          <w:p w14:paraId="68FA1D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Б-70 или КБ-70</w:t>
            </w:r>
          </w:p>
        </w:tc>
        <w:tc>
          <w:tcPr>
            <w:tcW w:w="1100" w:type="dxa"/>
          </w:tcPr>
          <w:p w14:paraId="5E4A34F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w:t>
            </w:r>
          </w:p>
        </w:tc>
        <w:tc>
          <w:tcPr>
            <w:tcW w:w="1100" w:type="dxa"/>
          </w:tcPr>
          <w:p w14:paraId="5FDE47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w:t>
            </w:r>
          </w:p>
        </w:tc>
        <w:tc>
          <w:tcPr>
            <w:tcW w:w="709" w:type="dxa"/>
          </w:tcPr>
          <w:p w14:paraId="6D72E1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0,3</w:t>
            </w:r>
          </w:p>
        </w:tc>
        <w:tc>
          <w:tcPr>
            <w:tcW w:w="846" w:type="dxa"/>
          </w:tcPr>
          <w:p w14:paraId="6B54C0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848" w:type="dxa"/>
          </w:tcPr>
          <w:p w14:paraId="2D61A9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0,15</w:t>
            </w:r>
          </w:p>
        </w:tc>
      </w:tr>
      <w:tr w:rsidR="00643896" w:rsidRPr="00640820" w14:paraId="5CF055D4" w14:textId="77777777" w:rsidTr="000D3BCB">
        <w:trPr>
          <w:trHeight w:val="255"/>
          <w:jc w:val="center"/>
        </w:trPr>
        <w:tc>
          <w:tcPr>
            <w:tcW w:w="1245" w:type="dxa"/>
          </w:tcPr>
          <w:p w14:paraId="6CBCB5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Т-40</w:t>
            </w:r>
          </w:p>
        </w:tc>
        <w:tc>
          <w:tcPr>
            <w:tcW w:w="1122" w:type="dxa"/>
          </w:tcPr>
          <w:p w14:paraId="1E7ACE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707</w:t>
            </w:r>
          </w:p>
        </w:tc>
        <w:tc>
          <w:tcPr>
            <w:tcW w:w="1207" w:type="dxa"/>
          </w:tcPr>
          <w:p w14:paraId="684EEF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1200 часов</w:t>
            </w:r>
          </w:p>
        </w:tc>
        <w:tc>
          <w:tcPr>
            <w:tcW w:w="1654" w:type="dxa"/>
          </w:tcPr>
          <w:p w14:paraId="373618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Автобензин</w:t>
            </w:r>
          </w:p>
        </w:tc>
        <w:tc>
          <w:tcPr>
            <w:tcW w:w="1100" w:type="dxa"/>
          </w:tcPr>
          <w:p w14:paraId="314838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5,5</w:t>
            </w:r>
          </w:p>
        </w:tc>
        <w:tc>
          <w:tcPr>
            <w:tcW w:w="1100" w:type="dxa"/>
          </w:tcPr>
          <w:p w14:paraId="3ABBAF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D35EF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0,6</w:t>
            </w:r>
          </w:p>
        </w:tc>
        <w:tc>
          <w:tcPr>
            <w:tcW w:w="846" w:type="dxa"/>
          </w:tcPr>
          <w:p w14:paraId="293823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0,3</w:t>
            </w:r>
          </w:p>
        </w:tc>
        <w:tc>
          <w:tcPr>
            <w:tcW w:w="848" w:type="dxa"/>
          </w:tcPr>
          <w:p w14:paraId="69C8F1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0,1</w:t>
            </w:r>
          </w:p>
        </w:tc>
      </w:tr>
      <w:tr w:rsidR="00643896" w:rsidRPr="00640820" w14:paraId="2B840391" w14:textId="77777777" w:rsidTr="000D3BCB">
        <w:trPr>
          <w:trHeight w:val="255"/>
          <w:jc w:val="center"/>
        </w:trPr>
        <w:tc>
          <w:tcPr>
            <w:tcW w:w="1245" w:type="dxa"/>
          </w:tcPr>
          <w:p w14:paraId="0B198D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Т-37-38</w:t>
            </w:r>
          </w:p>
        </w:tc>
        <w:tc>
          <w:tcPr>
            <w:tcW w:w="1122" w:type="dxa"/>
          </w:tcPr>
          <w:p w14:paraId="6E55EE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3525</w:t>
            </w:r>
          </w:p>
        </w:tc>
        <w:tc>
          <w:tcPr>
            <w:tcW w:w="1207" w:type="dxa"/>
          </w:tcPr>
          <w:p w14:paraId="71B2E6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1200 часов</w:t>
            </w:r>
          </w:p>
        </w:tc>
        <w:tc>
          <w:tcPr>
            <w:tcW w:w="1654" w:type="dxa"/>
          </w:tcPr>
          <w:p w14:paraId="7751D7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Автобензин</w:t>
            </w:r>
          </w:p>
        </w:tc>
        <w:tc>
          <w:tcPr>
            <w:tcW w:w="1100" w:type="dxa"/>
          </w:tcPr>
          <w:p w14:paraId="19D2CA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w:t>
            </w:r>
          </w:p>
        </w:tc>
        <w:tc>
          <w:tcPr>
            <w:tcW w:w="1100" w:type="dxa"/>
          </w:tcPr>
          <w:p w14:paraId="46B3018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C4FAAB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0,35</w:t>
            </w:r>
          </w:p>
        </w:tc>
        <w:tc>
          <w:tcPr>
            <w:tcW w:w="846" w:type="dxa"/>
          </w:tcPr>
          <w:p w14:paraId="7754C0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0,15</w:t>
            </w:r>
          </w:p>
        </w:tc>
        <w:tc>
          <w:tcPr>
            <w:tcW w:w="848" w:type="dxa"/>
          </w:tcPr>
          <w:p w14:paraId="0976BED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0,1</w:t>
            </w:r>
          </w:p>
        </w:tc>
      </w:tr>
      <w:tr w:rsidR="00643896" w:rsidRPr="00640820" w14:paraId="79E9BE59" w14:textId="77777777" w:rsidTr="000D3BCB">
        <w:trPr>
          <w:trHeight w:val="255"/>
          <w:jc w:val="center"/>
        </w:trPr>
        <w:tc>
          <w:tcPr>
            <w:tcW w:w="1245" w:type="dxa"/>
          </w:tcPr>
          <w:p w14:paraId="028993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ГАЗ-АА</w:t>
            </w:r>
          </w:p>
        </w:tc>
        <w:tc>
          <w:tcPr>
            <w:tcW w:w="1122" w:type="dxa"/>
          </w:tcPr>
          <w:p w14:paraId="72F6819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198161</w:t>
            </w:r>
          </w:p>
        </w:tc>
        <w:tc>
          <w:tcPr>
            <w:tcW w:w="1207" w:type="dxa"/>
          </w:tcPr>
          <w:p w14:paraId="75D78C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35000 км</w:t>
            </w:r>
          </w:p>
        </w:tc>
        <w:tc>
          <w:tcPr>
            <w:tcW w:w="1654" w:type="dxa"/>
          </w:tcPr>
          <w:p w14:paraId="69297B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Автобензин</w:t>
            </w:r>
          </w:p>
        </w:tc>
        <w:tc>
          <w:tcPr>
            <w:tcW w:w="1100" w:type="dxa"/>
          </w:tcPr>
          <w:p w14:paraId="778619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15,5</w:t>
            </w:r>
          </w:p>
        </w:tc>
        <w:tc>
          <w:tcPr>
            <w:tcW w:w="1100" w:type="dxa"/>
          </w:tcPr>
          <w:p w14:paraId="6E961B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F98FF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0,8</w:t>
            </w:r>
          </w:p>
        </w:tc>
        <w:tc>
          <w:tcPr>
            <w:tcW w:w="846" w:type="dxa"/>
          </w:tcPr>
          <w:p w14:paraId="7B9508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0,15</w:t>
            </w:r>
          </w:p>
        </w:tc>
        <w:tc>
          <w:tcPr>
            <w:tcW w:w="848" w:type="dxa"/>
          </w:tcPr>
          <w:p w14:paraId="1F6B7E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0,15</w:t>
            </w:r>
          </w:p>
        </w:tc>
      </w:tr>
      <w:tr w:rsidR="00643896" w:rsidRPr="00640820" w14:paraId="07E710A9" w14:textId="77777777" w:rsidTr="000D3BCB">
        <w:trPr>
          <w:trHeight w:val="255"/>
          <w:jc w:val="center"/>
        </w:trPr>
        <w:tc>
          <w:tcPr>
            <w:tcW w:w="1245" w:type="dxa"/>
          </w:tcPr>
          <w:p w14:paraId="173844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ЗИС-5</w:t>
            </w:r>
          </w:p>
        </w:tc>
        <w:tc>
          <w:tcPr>
            <w:tcW w:w="1122" w:type="dxa"/>
          </w:tcPr>
          <w:p w14:paraId="649C8F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226375</w:t>
            </w:r>
          </w:p>
        </w:tc>
        <w:tc>
          <w:tcPr>
            <w:tcW w:w="1207" w:type="dxa"/>
          </w:tcPr>
          <w:p w14:paraId="653EAA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35000км</w:t>
            </w:r>
          </w:p>
        </w:tc>
        <w:tc>
          <w:tcPr>
            <w:tcW w:w="1654" w:type="dxa"/>
          </w:tcPr>
          <w:p w14:paraId="302814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Автобензин</w:t>
            </w:r>
          </w:p>
        </w:tc>
        <w:tc>
          <w:tcPr>
            <w:tcW w:w="1100" w:type="dxa"/>
          </w:tcPr>
          <w:p w14:paraId="0C9A2F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25,7</w:t>
            </w:r>
          </w:p>
        </w:tc>
        <w:tc>
          <w:tcPr>
            <w:tcW w:w="1100" w:type="dxa"/>
          </w:tcPr>
          <w:p w14:paraId="120AF9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A24F53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w:t>
            </w:r>
          </w:p>
        </w:tc>
        <w:tc>
          <w:tcPr>
            <w:tcW w:w="846" w:type="dxa"/>
          </w:tcPr>
          <w:p w14:paraId="06E103F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0,15</w:t>
            </w:r>
          </w:p>
        </w:tc>
        <w:tc>
          <w:tcPr>
            <w:tcW w:w="848" w:type="dxa"/>
          </w:tcPr>
          <w:p w14:paraId="01612C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0,15</w:t>
            </w:r>
          </w:p>
        </w:tc>
      </w:tr>
      <w:tr w:rsidR="00643896" w:rsidRPr="00640820" w14:paraId="03150956" w14:textId="77777777" w:rsidTr="000D3BCB">
        <w:trPr>
          <w:trHeight w:val="255"/>
          <w:jc w:val="center"/>
        </w:trPr>
        <w:tc>
          <w:tcPr>
            <w:tcW w:w="1245" w:type="dxa"/>
          </w:tcPr>
          <w:p w14:paraId="4676E3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Ворошиловец</w:t>
            </w:r>
          </w:p>
        </w:tc>
        <w:tc>
          <w:tcPr>
            <w:tcW w:w="1122" w:type="dxa"/>
          </w:tcPr>
          <w:p w14:paraId="5A150F8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2174</w:t>
            </w:r>
          </w:p>
        </w:tc>
        <w:tc>
          <w:tcPr>
            <w:tcW w:w="1207" w:type="dxa"/>
          </w:tcPr>
          <w:p w14:paraId="750284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2400 часов</w:t>
            </w:r>
          </w:p>
        </w:tc>
        <w:tc>
          <w:tcPr>
            <w:tcW w:w="1654" w:type="dxa"/>
          </w:tcPr>
          <w:p w14:paraId="7C8F67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Дизельное топливо</w:t>
            </w:r>
          </w:p>
        </w:tc>
        <w:tc>
          <w:tcPr>
            <w:tcW w:w="1100" w:type="dxa"/>
          </w:tcPr>
          <w:p w14:paraId="2485F9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w:t>
            </w:r>
          </w:p>
        </w:tc>
        <w:tc>
          <w:tcPr>
            <w:tcW w:w="1100" w:type="dxa"/>
          </w:tcPr>
          <w:p w14:paraId="42C08D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w:t>
            </w:r>
          </w:p>
        </w:tc>
        <w:tc>
          <w:tcPr>
            <w:tcW w:w="709" w:type="dxa"/>
          </w:tcPr>
          <w:p w14:paraId="6FF862A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846" w:type="dxa"/>
          </w:tcPr>
          <w:p w14:paraId="26ECE7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w:t>
            </w:r>
          </w:p>
        </w:tc>
        <w:tc>
          <w:tcPr>
            <w:tcW w:w="848" w:type="dxa"/>
          </w:tcPr>
          <w:p w14:paraId="6979DCB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0,2</w:t>
            </w:r>
          </w:p>
        </w:tc>
      </w:tr>
      <w:tr w:rsidR="00643896" w:rsidRPr="00640820" w14:paraId="7EDE010A" w14:textId="77777777" w:rsidTr="000D3BCB">
        <w:trPr>
          <w:trHeight w:val="255"/>
          <w:jc w:val="center"/>
        </w:trPr>
        <w:tc>
          <w:tcPr>
            <w:tcW w:w="1245" w:type="dxa"/>
          </w:tcPr>
          <w:p w14:paraId="5913EC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Комсомолец</w:t>
            </w:r>
          </w:p>
        </w:tc>
        <w:tc>
          <w:tcPr>
            <w:tcW w:w="1122" w:type="dxa"/>
          </w:tcPr>
          <w:p w14:paraId="6C5957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7532</w:t>
            </w:r>
          </w:p>
        </w:tc>
        <w:tc>
          <w:tcPr>
            <w:tcW w:w="1207" w:type="dxa"/>
          </w:tcPr>
          <w:p w14:paraId="3A6DFF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2400 часов</w:t>
            </w:r>
          </w:p>
        </w:tc>
        <w:tc>
          <w:tcPr>
            <w:tcW w:w="1654" w:type="dxa"/>
          </w:tcPr>
          <w:p w14:paraId="28E7AB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Автобензин</w:t>
            </w:r>
          </w:p>
        </w:tc>
        <w:tc>
          <w:tcPr>
            <w:tcW w:w="1100" w:type="dxa"/>
          </w:tcPr>
          <w:p w14:paraId="5A9BC9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1100" w:type="dxa"/>
          </w:tcPr>
          <w:p w14:paraId="258F2C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09865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0,6</w:t>
            </w:r>
          </w:p>
        </w:tc>
        <w:tc>
          <w:tcPr>
            <w:tcW w:w="846" w:type="dxa"/>
          </w:tcPr>
          <w:p w14:paraId="7179D2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0,5</w:t>
            </w:r>
          </w:p>
        </w:tc>
        <w:tc>
          <w:tcPr>
            <w:tcW w:w="848" w:type="dxa"/>
          </w:tcPr>
          <w:p w14:paraId="699B1E1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0,4</w:t>
            </w:r>
          </w:p>
        </w:tc>
      </w:tr>
      <w:tr w:rsidR="00643896" w:rsidRPr="00640820" w14:paraId="18410EEA" w14:textId="77777777" w:rsidTr="000D3BCB">
        <w:trPr>
          <w:trHeight w:val="255"/>
          <w:jc w:val="center"/>
        </w:trPr>
        <w:tc>
          <w:tcPr>
            <w:tcW w:w="1245" w:type="dxa"/>
          </w:tcPr>
          <w:p w14:paraId="25DACE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Коминтерн</w:t>
            </w:r>
          </w:p>
        </w:tc>
        <w:tc>
          <w:tcPr>
            <w:tcW w:w="1122" w:type="dxa"/>
          </w:tcPr>
          <w:p w14:paraId="563788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1381</w:t>
            </w:r>
          </w:p>
        </w:tc>
        <w:tc>
          <w:tcPr>
            <w:tcW w:w="1207" w:type="dxa"/>
          </w:tcPr>
          <w:p w14:paraId="2B6981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2400 часов</w:t>
            </w:r>
          </w:p>
        </w:tc>
        <w:tc>
          <w:tcPr>
            <w:tcW w:w="1654" w:type="dxa"/>
          </w:tcPr>
          <w:p w14:paraId="099259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Автобензин</w:t>
            </w:r>
          </w:p>
        </w:tc>
        <w:tc>
          <w:tcPr>
            <w:tcW w:w="1100" w:type="dxa"/>
          </w:tcPr>
          <w:p w14:paraId="4E7653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w:t>
            </w:r>
          </w:p>
        </w:tc>
        <w:tc>
          <w:tcPr>
            <w:tcW w:w="1100" w:type="dxa"/>
          </w:tcPr>
          <w:p w14:paraId="2C5DD88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74921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w:t>
            </w:r>
          </w:p>
        </w:tc>
        <w:tc>
          <w:tcPr>
            <w:tcW w:w="846" w:type="dxa"/>
          </w:tcPr>
          <w:p w14:paraId="3BA12A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848" w:type="dxa"/>
          </w:tcPr>
          <w:p w14:paraId="30F3E9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0,8</w:t>
            </w:r>
          </w:p>
        </w:tc>
      </w:tr>
      <w:tr w:rsidR="00643896" w:rsidRPr="00640820" w14:paraId="6993AFCB" w14:textId="77777777" w:rsidTr="000D3BCB">
        <w:trPr>
          <w:trHeight w:val="255"/>
          <w:jc w:val="center"/>
        </w:trPr>
        <w:tc>
          <w:tcPr>
            <w:tcW w:w="1245" w:type="dxa"/>
          </w:tcPr>
          <w:p w14:paraId="12E5E3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ЧТЗ-60</w:t>
            </w:r>
          </w:p>
        </w:tc>
        <w:tc>
          <w:tcPr>
            <w:tcW w:w="1122" w:type="dxa"/>
          </w:tcPr>
          <w:p w14:paraId="1851A9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4852</w:t>
            </w:r>
          </w:p>
        </w:tc>
        <w:tc>
          <w:tcPr>
            <w:tcW w:w="1207" w:type="dxa"/>
          </w:tcPr>
          <w:p w14:paraId="0FD9DD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2400 часов</w:t>
            </w:r>
          </w:p>
        </w:tc>
        <w:tc>
          <w:tcPr>
            <w:tcW w:w="1654" w:type="dxa"/>
          </w:tcPr>
          <w:p w14:paraId="3408A8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Лигроин и автобензин</w:t>
            </w:r>
          </w:p>
        </w:tc>
        <w:tc>
          <w:tcPr>
            <w:tcW w:w="1100" w:type="dxa"/>
          </w:tcPr>
          <w:p w14:paraId="4B27AE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16+1</w:t>
            </w:r>
          </w:p>
        </w:tc>
        <w:tc>
          <w:tcPr>
            <w:tcW w:w="1100" w:type="dxa"/>
          </w:tcPr>
          <w:p w14:paraId="4C6B63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EDB70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w:t>
            </w:r>
          </w:p>
        </w:tc>
        <w:tc>
          <w:tcPr>
            <w:tcW w:w="846" w:type="dxa"/>
          </w:tcPr>
          <w:p w14:paraId="5380BF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0,8</w:t>
            </w:r>
          </w:p>
        </w:tc>
        <w:tc>
          <w:tcPr>
            <w:tcW w:w="848" w:type="dxa"/>
          </w:tcPr>
          <w:p w14:paraId="0D3C9E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0,05</w:t>
            </w:r>
          </w:p>
        </w:tc>
      </w:tr>
      <w:tr w:rsidR="00643896" w:rsidRPr="00640820" w14:paraId="06D6D1F8" w14:textId="77777777" w:rsidTr="000D3BCB">
        <w:trPr>
          <w:trHeight w:val="255"/>
          <w:jc w:val="center"/>
        </w:trPr>
        <w:tc>
          <w:tcPr>
            <w:tcW w:w="1245" w:type="dxa"/>
          </w:tcPr>
          <w:p w14:paraId="61CBFB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ЧТЗ-65</w:t>
            </w:r>
          </w:p>
        </w:tc>
        <w:tc>
          <w:tcPr>
            <w:tcW w:w="1122" w:type="dxa"/>
          </w:tcPr>
          <w:p w14:paraId="697968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25629</w:t>
            </w:r>
          </w:p>
        </w:tc>
        <w:tc>
          <w:tcPr>
            <w:tcW w:w="1207" w:type="dxa"/>
          </w:tcPr>
          <w:p w14:paraId="7198AF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2400 часов</w:t>
            </w:r>
          </w:p>
        </w:tc>
        <w:tc>
          <w:tcPr>
            <w:tcW w:w="1654" w:type="dxa"/>
          </w:tcPr>
          <w:p w14:paraId="099D54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Дизельное топливо + Автобензин</w:t>
            </w:r>
          </w:p>
        </w:tc>
        <w:tc>
          <w:tcPr>
            <w:tcW w:w="1100" w:type="dxa"/>
          </w:tcPr>
          <w:p w14:paraId="73CBAD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12+1</w:t>
            </w:r>
          </w:p>
        </w:tc>
        <w:tc>
          <w:tcPr>
            <w:tcW w:w="1100" w:type="dxa"/>
          </w:tcPr>
          <w:p w14:paraId="67D807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59A80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0,7</w:t>
            </w:r>
          </w:p>
        </w:tc>
        <w:tc>
          <w:tcPr>
            <w:tcW w:w="846" w:type="dxa"/>
          </w:tcPr>
          <w:p w14:paraId="7344A5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0,8</w:t>
            </w:r>
          </w:p>
        </w:tc>
        <w:tc>
          <w:tcPr>
            <w:tcW w:w="848" w:type="dxa"/>
          </w:tcPr>
          <w:p w14:paraId="2B80CA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0,05</w:t>
            </w:r>
          </w:p>
        </w:tc>
      </w:tr>
      <w:tr w:rsidR="00643896" w:rsidRPr="00640820" w14:paraId="3B7FADE3" w14:textId="77777777" w:rsidTr="000D3BCB">
        <w:trPr>
          <w:trHeight w:val="255"/>
          <w:jc w:val="center"/>
        </w:trPr>
        <w:tc>
          <w:tcPr>
            <w:tcW w:w="1245" w:type="dxa"/>
          </w:tcPr>
          <w:p w14:paraId="7A41CE3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С-2</w:t>
            </w:r>
          </w:p>
        </w:tc>
        <w:tc>
          <w:tcPr>
            <w:tcW w:w="1122" w:type="dxa"/>
          </w:tcPr>
          <w:p w14:paraId="4991EE6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18000</w:t>
            </w:r>
          </w:p>
        </w:tc>
        <w:tc>
          <w:tcPr>
            <w:tcW w:w="1207" w:type="dxa"/>
          </w:tcPr>
          <w:p w14:paraId="7E72A8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2400 часов</w:t>
            </w:r>
          </w:p>
        </w:tc>
        <w:tc>
          <w:tcPr>
            <w:tcW w:w="1654" w:type="dxa"/>
          </w:tcPr>
          <w:p w14:paraId="0FAC7A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Дизельное топливо + Автобензин</w:t>
            </w:r>
          </w:p>
        </w:tc>
        <w:tc>
          <w:tcPr>
            <w:tcW w:w="1100" w:type="dxa"/>
          </w:tcPr>
          <w:p w14:paraId="66DB11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15+1</w:t>
            </w:r>
          </w:p>
        </w:tc>
        <w:tc>
          <w:tcPr>
            <w:tcW w:w="1100" w:type="dxa"/>
          </w:tcPr>
          <w:p w14:paraId="7D2894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8D6E3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w:t>
            </w:r>
          </w:p>
        </w:tc>
        <w:tc>
          <w:tcPr>
            <w:tcW w:w="846" w:type="dxa"/>
          </w:tcPr>
          <w:p w14:paraId="06D7D6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848" w:type="dxa"/>
          </w:tcPr>
          <w:p w14:paraId="2139A51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0,6</w:t>
            </w:r>
          </w:p>
        </w:tc>
      </w:tr>
      <w:tr w:rsidR="00643896" w:rsidRPr="00640820" w14:paraId="6C44C394" w14:textId="77777777" w:rsidTr="000D3BCB">
        <w:trPr>
          <w:trHeight w:val="255"/>
          <w:jc w:val="center"/>
        </w:trPr>
        <w:tc>
          <w:tcPr>
            <w:tcW w:w="1245" w:type="dxa"/>
            <w:tcBorders>
              <w:bottom w:val="single" w:sz="12" w:space="0" w:color="auto"/>
            </w:tcBorders>
          </w:tcPr>
          <w:p w14:paraId="2C3EB6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СТЗ-3-5</w:t>
            </w:r>
          </w:p>
        </w:tc>
        <w:tc>
          <w:tcPr>
            <w:tcW w:w="1122" w:type="dxa"/>
            <w:tcBorders>
              <w:bottom w:val="single" w:sz="12" w:space="0" w:color="auto"/>
            </w:tcBorders>
          </w:tcPr>
          <w:p w14:paraId="7CE59E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26156</w:t>
            </w:r>
          </w:p>
        </w:tc>
        <w:tc>
          <w:tcPr>
            <w:tcW w:w="1207" w:type="dxa"/>
            <w:tcBorders>
              <w:bottom w:val="single" w:sz="12" w:space="0" w:color="auto"/>
            </w:tcBorders>
          </w:tcPr>
          <w:p w14:paraId="1005AE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2400 часов</w:t>
            </w:r>
          </w:p>
        </w:tc>
        <w:tc>
          <w:tcPr>
            <w:tcW w:w="1654" w:type="dxa"/>
            <w:tcBorders>
              <w:bottom w:val="single" w:sz="12" w:space="0" w:color="auto"/>
            </w:tcBorders>
          </w:tcPr>
          <w:p w14:paraId="4505AD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Тракторный керосин + Автобензин</w:t>
            </w:r>
          </w:p>
        </w:tc>
        <w:tc>
          <w:tcPr>
            <w:tcW w:w="1100" w:type="dxa"/>
            <w:tcBorders>
              <w:bottom w:val="single" w:sz="12" w:space="0" w:color="auto"/>
            </w:tcBorders>
          </w:tcPr>
          <w:p w14:paraId="05DD679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12+1</w:t>
            </w:r>
          </w:p>
        </w:tc>
        <w:tc>
          <w:tcPr>
            <w:tcW w:w="1100" w:type="dxa"/>
            <w:tcBorders>
              <w:bottom w:val="single" w:sz="12" w:space="0" w:color="auto"/>
            </w:tcBorders>
          </w:tcPr>
          <w:p w14:paraId="19DB8A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bottom w:val="single" w:sz="12" w:space="0" w:color="auto"/>
            </w:tcBorders>
          </w:tcPr>
          <w:p w14:paraId="165A8C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0,7</w:t>
            </w:r>
          </w:p>
        </w:tc>
        <w:tc>
          <w:tcPr>
            <w:tcW w:w="846" w:type="dxa"/>
            <w:tcBorders>
              <w:bottom w:val="single" w:sz="12" w:space="0" w:color="auto"/>
            </w:tcBorders>
          </w:tcPr>
          <w:p w14:paraId="2ADA80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0,5</w:t>
            </w:r>
          </w:p>
        </w:tc>
        <w:tc>
          <w:tcPr>
            <w:tcW w:w="848" w:type="dxa"/>
            <w:tcBorders>
              <w:bottom w:val="single" w:sz="12" w:space="0" w:color="auto"/>
            </w:tcBorders>
          </w:tcPr>
          <w:p w14:paraId="1B8C31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0,05</w:t>
            </w:r>
          </w:p>
        </w:tc>
      </w:tr>
    </w:tbl>
    <w:p w14:paraId="250FFE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(7720)</w:t>
      </w:r>
    </w:p>
    <w:p w14:paraId="71ACDA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F4736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на вооружении советских войск имелись легкие бронепоезда, оснащенные 76,2-мм пушками, и тяжелые со 107-мм орудиями. Дальность стрельбы пушек была 8…10 км, а пулеметов - 800…1000 м. Боекомплект на 76,2-мм пушку составлял 280 артиллерийских выстрелов, на 107-мм пушку - до 200, на 37-мм зенитную пушку - до 600, на 7,62-мм станковый пулемет "максим" - 5 тыс. патронов и на счетверенную зенитную пулеметную установку - 10 тыс. патронов. Бронирование (до 100 мм) обеспечивало защиту жизненно важных узлов от бронебойных снарядов калибром 75 мм.</w:t>
      </w:r>
    </w:p>
    <w:p w14:paraId="3A0913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одной заправке топливом и водой бронепоезд мог преодолеть до 120 км с максимальной скоростью 45 км/ч. В качестве топлива использовался уголь или мазут. Масса боевой части бронепоезда не превышала 400 т. Экипаж боевой части состоял из командования, взвода управления, взводов броневагонов с башенными расчетами и отделениями бортовых пулеметов, взвода ПВО, взвода тяги и движения и взвода железнодорожных бронеавтомобилей. В составе взвода железнодорожных бронеавтомобилей имелось два легких бронеавтомобиля БА-20ж.-д. и три средних бронеавтомобиля БА-10ж.-д., приспособленных для движения по железнодорожному пути. Они применялись для ведения разведки на удалении 10…15 км и в составе охранения (дозора) на марше. Кроме того, на платформах прикрытия мог расположиться десант в составе до трех стрелковых взводов (11406).</w:t>
      </w:r>
    </w:p>
    <w:p w14:paraId="094811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CCBD1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завод «Металл» Ленинградского промыслово-кооперативного металлического союза по изготовлению предметов широкого потребления, созданный в 1934 и в 1940 г. переданный в НКХП, был передан в ведение НКрезинпрома и получил наименование завод № 523 (Завод № 523 НКреЗИНПрома, НКСМ, Завод «Металл» НКХП, Завод «Автоарматура» НКСМ /г. Ленинград/).</w:t>
      </w:r>
    </w:p>
    <w:p w14:paraId="222358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Действовал в Ленинграде в 1943 г.</w:t>
      </w:r>
      <w:r w:rsidRPr="00640820">
        <w:rPr>
          <w:rFonts w:ascii="Times New Roman" w:hAnsi="Times New Roman"/>
          <w:color w:val="000000" w:themeColor="text1"/>
          <w:sz w:val="16"/>
          <w:szCs w:val="16"/>
          <w:vertAlign w:val="superscript"/>
        </w:rPr>
        <w:t>65</w:t>
      </w:r>
      <w:r w:rsidRPr="00640820">
        <w:rPr>
          <w:rFonts w:ascii="Times New Roman" w:hAnsi="Times New Roman"/>
          <w:color w:val="000000" w:themeColor="text1"/>
          <w:sz w:val="16"/>
          <w:szCs w:val="16"/>
        </w:rPr>
        <w:t xml:space="preserve"> По приказу № 231с от 23.05.1945 г. все помещения завода № 794 по ул. Слуцкого, 39 (площадка № 1) переданы в распоряжение завода № 523 НКСМ для производства вентилей (Завод № 523 НКреЗИНПрома, НКСМ, Завод «Металл» НКХП, Завод «Автоарматура» НКСМ /г. Ленинград/).</w:t>
      </w:r>
    </w:p>
    <w:p w14:paraId="40F5BB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11.06.1945 г. завод № 523 переименован в завод «Автоарматура» НКСМ, в 1946 г. передан в ведение Управления автоэлектроприборостроения Министерства автомобильной промышленности. С 1957 г. завод - в ведении Управления приборостроительной промышленности ЛенСНХ.</w:t>
      </w:r>
    </w:p>
    <w:p w14:paraId="2E3528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Разработка газовых рулей для ЗУР Р-101 (1948 г.).</w:t>
      </w:r>
      <w:r w:rsidRPr="00640820">
        <w:rPr>
          <w:rFonts w:ascii="Times New Roman" w:hAnsi="Times New Roman"/>
          <w:color w:val="000000" w:themeColor="text1"/>
          <w:sz w:val="16"/>
          <w:szCs w:val="16"/>
          <w:vertAlign w:val="superscript"/>
        </w:rPr>
        <w:t>57</w:t>
      </w:r>
    </w:p>
    <w:p w14:paraId="487236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1969 г. завод «Автоарматура» вошел в состав ПО «Ленинградский карбюраторный завод им. В.В. Куйбышева».</w:t>
      </w:r>
      <w:r w:rsidRPr="00640820">
        <w:rPr>
          <w:rFonts w:ascii="Times New Roman" w:hAnsi="Times New Roman"/>
          <w:color w:val="000000" w:themeColor="text1"/>
          <w:sz w:val="16"/>
          <w:szCs w:val="16"/>
          <w:vertAlign w:val="superscript"/>
        </w:rPr>
        <w:t>131</w:t>
      </w:r>
    </w:p>
    <w:p w14:paraId="60A63AE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Государственный чугуно-литейный и механический завод «Знамя труда» № 4 ВСНХ, Ленинградский государственный карбюраторно-арматурный завод им. В.В. Куйбышева («Ленкарз») НКТП, НКСМ, ММ, ПО «Ленинградский карбюраторный завод им. В.В. Куйбышева», АООТ «Карбюраторный завод им. В.В. Куйбышева», ОАО «Карбюраторный завод «Пекар» /г. Ленинград,  г. Санкт-Петербург/</w:t>
      </w:r>
    </w:p>
    <w:p w14:paraId="642E21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Государственный завод «Знамя труда « № 4 образован 12.12.1929 г. в ведении республиканского арматурного треста ВСНХ. В 1932 г. он передан в НКТП и переименован в Ленинградский карбюраторно-арматурный завод. 1.04.1935 г. заводу присвоено имя В.В. Куйбышева, в 1939 г. завод передан в НКСМ.</w:t>
      </w:r>
    </w:p>
    <w:p w14:paraId="58C65D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карбюраторов (1932 г.).</w:t>
      </w:r>
    </w:p>
    <w:p w14:paraId="4CF128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ГКО № 99сс от 11.07.1941 г. завод «Ленкарз» НКСМ подлежал эвакуации в Куйбышев на площадку Карбюраторного завода. Действовал в Ленинграде в 1942 г., в 12.1944 г. - в ведении НКСМ. Производство боеприпасов.</w:t>
      </w:r>
      <w:r w:rsidRPr="00640820">
        <w:rPr>
          <w:rFonts w:ascii="Times New Roman" w:hAnsi="Times New Roman"/>
          <w:color w:val="000000" w:themeColor="text1"/>
          <w:sz w:val="16"/>
          <w:szCs w:val="16"/>
          <w:vertAlign w:val="superscript"/>
        </w:rPr>
        <w:t>65</w:t>
      </w:r>
    </w:p>
    <w:p w14:paraId="5AA762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1.12.1944 г. вышло постановление ГКО № 7055 о переводе оборудования и рабочих с омского завода «Красный Профинтерн» на Ленинградский карбюраторный завод.</w:t>
      </w:r>
    </w:p>
    <w:p w14:paraId="626CC2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1946 г. завод - в ведении Министерства автомобильной промышленности (а также до 1953 г. и в 1954-57 г.), затем - Министерства автмобильной и тракторной промышленности (1947-48 г.), ММ (1953-54 г.), Управления приборостроительной промышленности ЛенСНХ (1957-59 г.), Управления машиностроения ЛенСНХ (1959-65 г.). С конца 1965 г. — в ведении ВПО «Союзавтоагрегат» Министерства автомобильной промышленности. В 1969 г. в состав ПО «Ленинградский карбюраторный завод им. В.В. Куйбышева» вошел завод «Автоарматура».</w:t>
      </w:r>
    </w:p>
    <w:p w14:paraId="016C27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1993 г. завод преобразован в АООТ «Карбюраторный завод им. В.В. Куйбышева», в 1996 г. преобразован в ОАО «Карбюраторный завод «Пекар», был в 2004 г. (11982).</w:t>
      </w:r>
    </w:p>
    <w:p w14:paraId="2D4145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C0813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на базе эвакуированных части Харьковского электромеханического завода и ленинградского завода «Электрик» был создан Завод № 654 НКЭП (Завод № 654 НКЭП, Чебоксарский электроаппаратный завод (ЧЭАЗ), ОАО «ЧЭАЗ» /Чувашия 428000  г. Чебоксары пр. И. Яковлева, 5/). Организовано производство элекгроагрегатов для авиационной и танковой промышленности, для ВМФ.</w:t>
      </w:r>
    </w:p>
    <w:p w14:paraId="1CDB9C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1943 г. начат выпуск реле защиты и другой аппаратуры для народного хозяйства. После войны разработано и освоено в производстве реле защиты и противоаварийная автоматика для ЛЭП 500 кВ «Куйбышев-Москва».</w:t>
      </w:r>
    </w:p>
    <w:p w14:paraId="300A2E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концу 1950-х  г. завод становится основным производителем устройств релейной защиты в стране. Производство электроисполнительных агрегатов и электроизмерительных приборов (1960-е  г.).</w:t>
      </w:r>
    </w:p>
    <w:p w14:paraId="11B2E7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1961 г. на базе завода создан ЧЭТНИИ.</w:t>
      </w:r>
    </w:p>
    <w:p w14:paraId="175524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1990-е  г. производство переориентировано, в основном, на низковольтные устройства для энергетики и нефтегазовой промышленности.</w:t>
      </w:r>
    </w:p>
    <w:p w14:paraId="387278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электромеханических сооружений «ДЕКА», Завод «Электросила» № 7, Государственный завод «Электрик» им. А.К. Скороходова ВСНХ, НКТП, НКМ, НКЭП, Ленинградский ордена Трудового Красного Знамени государственный завод «Электрик» МЭТП, АООТ «Санкт- Петербургский завод «Электрик», ОАО «Завод «Электрик» /г. Санкт-Петербург,  г. Петроград,  г. Ленинград,  г. Санкт-Петербург/</w:t>
      </w:r>
    </w:p>
    <w:p w14:paraId="1A76B2A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электромеханических сооружений «ДЕКА» АО «ДЕКА» («Дюфлон и Константинович») основан в 1893 г.</w:t>
      </w:r>
    </w:p>
    <w:p w14:paraId="56AF5F8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Пост. ВСНХ от 19.03.1919 г. завод национализирован и в 11.1920 г. переименован в завод «Электросила» № 7 электросекции Петроградского СНХ. В 11.1922 г.. переименован в государственный завод «Электрик» им. А.К. Скороходова в ведении Электротехнического треста ВСНХ. До 1925 г. находился в ведении Эльмаштреста ВСНХ, затем - ГЭТ, с 12.1929 г. - ВЭО ВСНХ, с 1932 г. - НКТП (в 1937 г. - в ведении Главэнергопрома НКТП), в 09.1938 г. - в ведении треста «Электропром» НКМ, с 1940 г. - в НКЭП.</w:t>
      </w:r>
    </w:p>
    <w:p w14:paraId="20F132E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(1937 г.): авиационная арматура (выключатели, кнопки, коробки ответвительные, рубильники, розетки, патроны).</w:t>
      </w:r>
    </w:p>
    <w:p w14:paraId="603ADF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соответствии с пост. ГКО № 99сс от 11.07.1941 г. завод «Электрик» НКЭП подлежал эвакуации в Касли на площадку чугунолитейного завода и в Чебоксары в помещения Дома Советов. В Чебоксарах часть завода вошла в состав вновь созданного завода № 654 НКЭП. Цех сварочных машин завода «Электрик» был эвакуирован в Первоуральск (пос. Новоуткинск) и послужил основой нового завода № 687.</w:t>
      </w:r>
    </w:p>
    <w:p w14:paraId="4D9177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1946 г. завод «Электрик» - в ведении МЭП, с 1953 г. - МЭТП, с 1957 г. - Управления электротехнической промышленности ЛенСНХ. С 11.1965 г. Ленинградский ордена Трудового Красного Знамени государственный завод «Электрик» - в ведении ГУ по производству электротермического и электросварочного оборудования МЭТП.</w:t>
      </w:r>
    </w:p>
    <w:p w14:paraId="6092F6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1992 г. завод преобразован в АООТ «Санкт-Петербургский завод «Электрик», затем - ОАО «Завод «Электрик».</w:t>
      </w:r>
      <w:r w:rsidRPr="00640820">
        <w:rPr>
          <w:rFonts w:ascii="Times New Roman" w:hAnsi="Times New Roman"/>
          <w:color w:val="000000" w:themeColor="text1"/>
          <w:sz w:val="16"/>
          <w:szCs w:val="16"/>
          <w:vertAlign w:val="superscript"/>
        </w:rPr>
        <w:t>131</w:t>
      </w:r>
    </w:p>
    <w:p w14:paraId="0108DA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(09.1938 г.)- Шикторов.</w:t>
      </w:r>
    </w:p>
    <w:p w14:paraId="4BB946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Чебоксарский электротехнический НИИ (ЧЭТНИИ), Всесоюзный НИИ релестроения (ВНИИР), ОАО «Всероссийский научно-исследовательский, проектно-конструкторский и технологический институт релестроения с опытным производством» /Чувашия  г. Чебоксары/</w:t>
      </w:r>
    </w:p>
    <w:p w14:paraId="1DD87CE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ЧЭТНИИ создан в 1961 г. на базе ЧЭАЗ. Затем институт преобразован во ВНИИР. До 1991 г. ВНИИР определял основные направления развития ЧЭАЗ. В 2004 г. - ОАО ВНИИР (11982).</w:t>
      </w:r>
    </w:p>
    <w:p w14:paraId="153BFE5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99801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Радиозавод № 2 был переведен в ведение Главрадиопрома, ему присвоен № 695 и наименование «п/я 241» (Завод № 695, завод «Профрадио», Радиозавод № 2, п/я 241, НИИ-695 МПСС, ГКРЭ, Московский НИИ радиосвязи (МНИИРС) МРП, МПСС, В-8828, ОАО «МНИИРС» / г. Москва Ж-316/ /109029  г. Москва ул. Нижегородская, 32 тел. 911-07-36, 912-59-65/).</w:t>
      </w:r>
    </w:p>
    <w:p w14:paraId="177D8A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1946 г. на базе завода № 695 создан НИИ радиосвязи (НИИ-695). В 1947 г. производственные участки и цеха завода преобразованы в опытный завод НИИ-695.</w:t>
      </w:r>
    </w:p>
    <w:p w14:paraId="464765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1949 г. изобретены первые в мире печатные платы. Созданы автомобильные и радиовещательные приемники, самолетные и корабельные радиостанции.</w:t>
      </w:r>
    </w:p>
    <w:p w14:paraId="3C0499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1955-59 г. - разработка систем радиосвязи для дальней авиации (Б.М. Коноплев).</w:t>
      </w:r>
      <w:r w:rsidRPr="00640820">
        <w:rPr>
          <w:rFonts w:ascii="Times New Roman" w:hAnsi="Times New Roman"/>
          <w:color w:val="000000" w:themeColor="text1"/>
          <w:sz w:val="16"/>
          <w:szCs w:val="16"/>
          <w:vertAlign w:val="superscript"/>
        </w:rPr>
        <w:t>60</w:t>
      </w:r>
      <w:r w:rsidRPr="00640820">
        <w:rPr>
          <w:rFonts w:ascii="Times New Roman" w:hAnsi="Times New Roman"/>
          <w:color w:val="000000" w:themeColor="text1"/>
          <w:sz w:val="16"/>
          <w:szCs w:val="16"/>
        </w:rPr>
        <w:t xml:space="preserve"> Принимал участие в разработке станции «Миндаль» для МиГ-19С.</w:t>
      </w:r>
    </w:p>
    <w:p w14:paraId="1790EF3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1957 г. занимается обеспечением аппаратурой радиосвязи с пилотируемыми КА. С 1962 г.- работы по созданию систем спутниковой связи.</w:t>
      </w:r>
    </w:p>
    <w:p w14:paraId="2E36B31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Распоряжением ВСНХ от 28.08.1964 г. на базе СКВ ГЗАС образован филиал института, предприятие- п/я 300.</w:t>
      </w:r>
    </w:p>
    <w:p w14:paraId="0381D2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1966 г. НИИ-695 переименован в МНИИРС, «предприятие- п/я В-8828» в ведении МРП. С 1974 по 1990 г.- в ведении МПСС.</w:t>
      </w:r>
      <w:r w:rsidRPr="00640820">
        <w:rPr>
          <w:rFonts w:ascii="Times New Roman" w:hAnsi="Times New Roman"/>
          <w:color w:val="000000" w:themeColor="text1"/>
          <w:sz w:val="16"/>
          <w:szCs w:val="16"/>
          <w:vertAlign w:val="superscript"/>
        </w:rPr>
        <w:t>77</w:t>
      </w:r>
      <w:r w:rsidRPr="00640820">
        <w:rPr>
          <w:rFonts w:ascii="Times New Roman" w:hAnsi="Times New Roman"/>
          <w:color w:val="000000" w:themeColor="text1"/>
          <w:sz w:val="16"/>
          <w:szCs w:val="16"/>
        </w:rPr>
        <w:t xml:space="preserve"> В 1993 г. МНИИРС акционирован и преобразован в ОАО. По решению правительства № 22-р от 9.01.2004 г. и Указу Президента РФ № 1009 от 4.08.2004 г. вошло в число стратегических оборонных предприятий.</w:t>
      </w:r>
    </w:p>
    <w:p w14:paraId="266C9B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Имел свой опытный завод. В 1970-е  г. построен корпус микроэлектроники.</w:t>
      </w:r>
    </w:p>
    <w:p w14:paraId="2F964FB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1990-е  г. на базе опытного завода совместно с ЗАО «Радиус-2» организовано серийное производство станции «Радиус».</w:t>
      </w:r>
    </w:p>
    <w:p w14:paraId="347C43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Принимал участие в программах: «Периметр», «Союз-Аполлон», МКС, РТР «Ямал-100».</w:t>
      </w:r>
    </w:p>
    <w:p w14:paraId="1E352A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Направления деятельности (2002 г.): совершенствование и развитие Единой системы спутниковой связи; ретрансляторы с системами обработки информации на борту и многолучевыми антенными системами; спутниковые системы связи для подвижных объектов; ретрансляторы для телевещания; приемники абонентских устройств кабельного вешания.</w:t>
      </w:r>
    </w:p>
    <w:p w14:paraId="78A5F3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Директор (1927 г.-)- П.П. Осипов, М.С. Матанов, К.К. Спецов, И.А. Дикарев, (-1941 г.)- С.И. Семенов, (1941- 43 г.)- И.Р. Гусенков, (1943 г.-)-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Ротенберг, (1947-52 г.)- В.И. Короткое, (1952-59 г.)- К.А. Ефимов, (1959-65 г.)- Л.И. Гусев, (1965-70 г.)- Ю.С. Быков, (1971-73 г.)- А.А. Иванов, (1973-77 г.)- С.П. Дубоносов, (-1984-90 г.)- А.П. Биленко. Гендиректор (1990-2001 г.)- А.В. Лисин, (2001-05 г.-)- Е.И. Федоров.</w:t>
      </w:r>
    </w:p>
    <w:p w14:paraId="117FCE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Зам. директора (1960-е)- М.Р. Капланов. Зам. гендиректора по научной работе (2002 г.)-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Воробьев.</w:t>
      </w:r>
    </w:p>
    <w:p w14:paraId="6F120C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(2002 г.)- Ю.И. Агальцов.</w:t>
      </w:r>
      <w:r w:rsidRPr="00640820">
        <w:rPr>
          <w:rFonts w:ascii="Times New Roman" w:hAnsi="Times New Roman"/>
          <w:color w:val="000000" w:themeColor="text1"/>
          <w:sz w:val="16"/>
          <w:szCs w:val="16"/>
          <w:vertAlign w:val="superscript"/>
        </w:rPr>
        <w:t>69</w:t>
      </w:r>
    </w:p>
    <w:p w14:paraId="22698F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(1960-70-е)- М.Р. Капланов.</w:t>
      </w:r>
    </w:p>
    <w:p w14:paraId="46C0B4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Научный руководитель (1959 г.)- Л.И. Гусев.</w:t>
      </w:r>
    </w:p>
    <w:p w14:paraId="69D0DA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механик (1933-34 г.)- Н.А. Федоров.</w:t>
      </w:r>
    </w:p>
    <w:p w14:paraId="0C6D01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конструкторы: (-1967-75 г.-)- Н.Н. Несвит («Цунами»), (1967 г.)- Н.А. Почтарь, (1967 г.)- И.Х. Голштейн, (1960-е)- И.Д. Богачев («Альфа»), (1975 г.)- А.А. Роффе («Цунами»), (-1980-84 г.-)- А.П. Биленко (ЕССС-1, «Нуклон»), (1980 г.)- В.И. Могучев («Дельта»), (1980-е)- В.И. Мещеряков («Раскат»).</w:t>
      </w:r>
    </w:p>
    <w:p w14:paraId="4CCD7E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Производство: громкоговорители (1930-е), мощные усилители для радиоузлов, оборудование для фототелеграфной связи, усилители для ВМФ (1930-е); малогабаритный </w:t>
      </w:r>
      <w:r w:rsidRPr="00640820">
        <w:rPr>
          <w:rFonts w:ascii="Times New Roman" w:hAnsi="Times New Roman"/>
          <w:color w:val="000000" w:themeColor="text1"/>
          <w:sz w:val="16"/>
          <w:szCs w:val="16"/>
          <w:lang w:val="en-US"/>
        </w:rPr>
        <w:t>KB</w:t>
      </w:r>
      <w:r w:rsidRPr="00640820">
        <w:rPr>
          <w:rFonts w:ascii="Times New Roman" w:hAnsi="Times New Roman"/>
          <w:color w:val="000000" w:themeColor="text1"/>
          <w:sz w:val="16"/>
          <w:szCs w:val="16"/>
        </w:rPr>
        <w:t xml:space="preserve"> передатчик «Джек» (ВОВ), самолетный передатчик РСИ-За для радиостанции «Орел» (ВОВ), десантная радиостанция (ВОВ); миноискатели, радиоуправляемые фугасы, аппаратура связи для кораблей и танков (ВОВ).</w:t>
      </w:r>
    </w:p>
    <w:p w14:paraId="028651B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Создано: аппаратура управления полетом самолетов </w:t>
      </w:r>
      <w:r w:rsidRPr="00640820">
        <w:rPr>
          <w:rFonts w:ascii="Times New Roman" w:hAnsi="Times New Roman"/>
          <w:color w:val="000000" w:themeColor="text1"/>
          <w:sz w:val="16"/>
          <w:szCs w:val="16"/>
          <w:lang w:val="en-US"/>
        </w:rPr>
        <w:t>APJI</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xml:space="preserve"> (1950-е); телеметрическая радиолиния с передатчиком «Планета» для КА «Луна» (1958), станция «Сигнал» для получения срочных особо важных телеметрических данных о космических кораблях (конец 1950-х), аппаратура «Калина-3» для КК «Восток»; радиостанции: авиационные бортовые: для истребителей «Клен», Р-801 «Дуб-4», Р-802 «Дуб-5», Р-803 «Эвкалипт-С», Р-832 «Эвкалипт-СМ», Р-832М «Эвкалипт-СМУ»; для кораблей ВМФ «Акация», «Кипарис»; «Заря» для КК «Восток» (1961); бортовые ретрансляторы: «Альфа», «Бета», «Тета» для КА «Молния-1» (1960-е), «Молния» (2) (1970-е), «Дельта» для КА «Радуга» (1980); оборудование спутника связи «Стрела-1» (1960-е); связной комплекс навигационно-связной системы ВМФ «Циклон» (1967), «Цунами» (1975); бортовые комплексы связи «Заря-17», «Аврора-ОБ», аппаратура приемопередачи телеграфной информации «Строка» (1970-е); комплекс конфиденциальной информации для переговоров космонавтов с врачами «Конвертер»; системы связи с КА «Космос»; Единая система спутниковой связи ЕССС-1 (1980), наземные станции для ЕССС-2 (1999); системы радиосвязи «Нуклон» (1984), «Раскат» для ОК «Буран»; радиоканал боевого управления БЖРК РТ-23 УТТХ (1980-е); радиоаппаратура для КК «Восход», «Союз», «Салют», «Буран»; многоствольные ретрансляторы и земные станции для спутниковых метеорологических систем; корабельная радиостанция «Волна-С» для международной системы морской связи «Инмарсат» (1970-е); радиостанции спутниковой связи для самолетов, кораблей и поездов: «Багет-К», «Кулон-Б», «Кулон-П», «Астероид-С», «Яшма», «Капля», «Центравр», «Барьер- Т», носимые станции спутниковой связи; морской и переносной аварийные радиобуи системы КОСПАС- САРСАТ (1970-е);</w:t>
      </w:r>
      <w:r w:rsidRPr="00640820">
        <w:rPr>
          <w:rFonts w:ascii="Times New Roman" w:hAnsi="Times New Roman"/>
          <w:color w:val="000000" w:themeColor="text1"/>
          <w:sz w:val="16"/>
          <w:szCs w:val="16"/>
          <w:vertAlign w:val="superscript"/>
        </w:rPr>
        <w:t>77</w:t>
      </w:r>
      <w:r w:rsidRPr="00640820">
        <w:rPr>
          <w:rFonts w:ascii="Times New Roman" w:hAnsi="Times New Roman"/>
          <w:color w:val="000000" w:themeColor="text1"/>
          <w:sz w:val="16"/>
          <w:szCs w:val="16"/>
        </w:rPr>
        <w:t xml:space="preserve"> ретранслятор для КА «Ямал» (1990-е); системы связи для ОАО «Газпром» (1990-е); цифровая радиорелейная станция «Радиус» (1990-е);</w:t>
      </w:r>
      <w:r w:rsidRPr="00640820">
        <w:rPr>
          <w:rFonts w:ascii="Times New Roman" w:hAnsi="Times New Roman"/>
          <w:color w:val="000000" w:themeColor="text1"/>
          <w:sz w:val="16"/>
          <w:szCs w:val="16"/>
          <w:vertAlign w:val="superscript"/>
        </w:rPr>
        <w:t>101</w:t>
      </w:r>
      <w:r w:rsidRPr="00640820">
        <w:rPr>
          <w:rFonts w:ascii="Times New Roman" w:hAnsi="Times New Roman"/>
          <w:color w:val="000000" w:themeColor="text1"/>
          <w:sz w:val="16"/>
          <w:szCs w:val="16"/>
        </w:rPr>
        <w:t xml:space="preserve"> ШРК-1 для Су-24МР (1985).</w:t>
      </w:r>
    </w:p>
    <w:p w14:paraId="75F9D2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СКБ-695</w:t>
      </w:r>
    </w:p>
    <w:p w14:paraId="0BFE8D5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Создана станция «Сатурн» траекторных измерений и передачи команд для КА, выводимых к Луне и планетам Солнечной системы (1961 г.,  Г.Я. Гуськов) (11982).</w:t>
      </w:r>
    </w:p>
    <w:p w14:paraId="3F7FFA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BB307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1941-годах в ходе боев под Москвой, Ленинградом, Севастополем, Мурманском и Новороссийском станции РУС-2 показали высокую эффективность. В Московской зоне ПВО к концу второго года войны их стало двенадцать (9921).</w:t>
      </w:r>
    </w:p>
    <w:p w14:paraId="0E4073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9A4C8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году были следующие Отпускные цены, в тыс. руб., на ОТДЕЛЬНЫЕ ВИДЫ ВООРУЖЕНИЯ И БОЕВОЙ ТЕХНИКЙ В 1941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43896" w:rsidRPr="00640820" w14:paraId="4BEB1952" w14:textId="77777777" w:rsidTr="000D3BCB">
        <w:tc>
          <w:tcPr>
            <w:tcW w:w="4788" w:type="dxa"/>
            <w:tcBorders>
              <w:top w:val="single" w:sz="12" w:space="0" w:color="auto"/>
            </w:tcBorders>
          </w:tcPr>
          <w:p w14:paraId="21B4F1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Самолет Ил-4</w:t>
            </w:r>
          </w:p>
        </w:tc>
        <w:tc>
          <w:tcPr>
            <w:tcW w:w="4788" w:type="dxa"/>
            <w:tcBorders>
              <w:top w:val="single" w:sz="12" w:space="0" w:color="auto"/>
            </w:tcBorders>
          </w:tcPr>
          <w:p w14:paraId="358F0C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800 </w:t>
            </w:r>
          </w:p>
        </w:tc>
      </w:tr>
      <w:tr w:rsidR="00643896" w:rsidRPr="00640820" w14:paraId="6CFE378C" w14:textId="77777777" w:rsidTr="000D3BCB">
        <w:tc>
          <w:tcPr>
            <w:tcW w:w="4788" w:type="dxa"/>
          </w:tcPr>
          <w:p w14:paraId="15373A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Самолет Ли-2</w:t>
            </w:r>
          </w:p>
        </w:tc>
        <w:tc>
          <w:tcPr>
            <w:tcW w:w="4788" w:type="dxa"/>
          </w:tcPr>
          <w:p w14:paraId="02CC26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650 </w:t>
            </w:r>
          </w:p>
        </w:tc>
      </w:tr>
      <w:tr w:rsidR="00643896" w:rsidRPr="00640820" w14:paraId="02EE9F18" w14:textId="77777777" w:rsidTr="000D3BCB">
        <w:tc>
          <w:tcPr>
            <w:tcW w:w="4788" w:type="dxa"/>
          </w:tcPr>
          <w:p w14:paraId="6FA5F3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Танк КВ</w:t>
            </w:r>
          </w:p>
        </w:tc>
        <w:tc>
          <w:tcPr>
            <w:tcW w:w="4788" w:type="dxa"/>
          </w:tcPr>
          <w:p w14:paraId="4C8770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635 </w:t>
            </w:r>
          </w:p>
        </w:tc>
      </w:tr>
      <w:tr w:rsidR="00643896" w:rsidRPr="00640820" w14:paraId="63C7581C" w14:textId="77777777" w:rsidTr="000D3BCB">
        <w:tc>
          <w:tcPr>
            <w:tcW w:w="4788" w:type="dxa"/>
          </w:tcPr>
          <w:p w14:paraId="175A00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Танк Т-34</w:t>
            </w:r>
          </w:p>
        </w:tc>
        <w:tc>
          <w:tcPr>
            <w:tcW w:w="4788" w:type="dxa"/>
          </w:tcPr>
          <w:p w14:paraId="72C3FC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269,5 </w:t>
            </w:r>
          </w:p>
        </w:tc>
      </w:tr>
      <w:tr w:rsidR="00643896" w:rsidRPr="00640820" w14:paraId="2F60CE64" w14:textId="77777777" w:rsidTr="000D3BCB">
        <w:tc>
          <w:tcPr>
            <w:tcW w:w="4788" w:type="dxa"/>
          </w:tcPr>
          <w:p w14:paraId="718C17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37-мм зенитная пушка</w:t>
            </w:r>
          </w:p>
        </w:tc>
        <w:tc>
          <w:tcPr>
            <w:tcW w:w="4788" w:type="dxa"/>
          </w:tcPr>
          <w:p w14:paraId="266297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72 </w:t>
            </w:r>
          </w:p>
        </w:tc>
      </w:tr>
      <w:tr w:rsidR="00643896" w:rsidRPr="00640820" w14:paraId="38D3683D" w14:textId="77777777" w:rsidTr="000D3BCB">
        <w:tc>
          <w:tcPr>
            <w:tcW w:w="4788" w:type="dxa"/>
          </w:tcPr>
          <w:p w14:paraId="2FDA9B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120-мм миномет</w:t>
            </w:r>
          </w:p>
        </w:tc>
        <w:tc>
          <w:tcPr>
            <w:tcW w:w="4788" w:type="dxa"/>
          </w:tcPr>
          <w:p w14:paraId="7084FC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0,12 </w:t>
            </w:r>
          </w:p>
        </w:tc>
      </w:tr>
      <w:tr w:rsidR="00643896" w:rsidRPr="00640820" w14:paraId="0F961EDE" w14:textId="77777777" w:rsidTr="000D3BCB">
        <w:tc>
          <w:tcPr>
            <w:tcW w:w="4788" w:type="dxa"/>
          </w:tcPr>
          <w:p w14:paraId="2152B2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Пистолет-пулемет ППШ</w:t>
            </w:r>
          </w:p>
        </w:tc>
        <w:tc>
          <w:tcPr>
            <w:tcW w:w="4788" w:type="dxa"/>
          </w:tcPr>
          <w:p w14:paraId="7CA2E0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0,5 </w:t>
            </w:r>
          </w:p>
        </w:tc>
      </w:tr>
      <w:tr w:rsidR="00643896" w:rsidRPr="00640820" w14:paraId="1C68C4D9" w14:textId="77777777" w:rsidTr="000D3BCB">
        <w:tc>
          <w:tcPr>
            <w:tcW w:w="4788" w:type="dxa"/>
            <w:tcBorders>
              <w:bottom w:val="single" w:sz="12" w:space="0" w:color="auto"/>
            </w:tcBorders>
          </w:tcPr>
          <w:p w14:paraId="0D2AE5C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7,62-мм винтовка</w:t>
            </w:r>
          </w:p>
        </w:tc>
        <w:tc>
          <w:tcPr>
            <w:tcW w:w="4788" w:type="dxa"/>
            <w:tcBorders>
              <w:bottom w:val="single" w:sz="12" w:space="0" w:color="auto"/>
            </w:tcBorders>
          </w:tcPr>
          <w:p w14:paraId="41BD761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0,163 (11150)</w:t>
            </w:r>
          </w:p>
        </w:tc>
      </w:tr>
    </w:tbl>
    <w:p w14:paraId="7A5486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7C856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после начала войны в Богородск была эвакуирована из Брянска рембаза № 6 по ремонту танков. На ее основе образован ремонтный завод № 6 (Ремонтный завод № 6, Завод № 6 МСП, п/я 28, Богородский механический завод, Богородский машиностроительный завод (БМЗ), ГП, ОАО «БМЗ» /607600 г. Богородск Нижегородской обл. ул. Пушкина, 24 тел. (83170) 2-14-24/). За годы войны отремонтировано 3500 единиц бронетехники.</w:t>
      </w:r>
    </w:p>
    <w:p w14:paraId="7BA9C1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1949-50 г. ремзавод передан в ведение МСП, ему оставлен № 6 и присвоено наименование «п/я 28». В 1971 г. - Богродский механический завод.</w:t>
      </w:r>
    </w:p>
    <w:p w14:paraId="3A6428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Был освоен выпуск продукции для ВМФ: конвертированных автомобильных двигателей для использования на катерах, подвесных лодочных моторов (единственный завод в стране) для спасательных шлюпок, котельной автоматики для СУ кораблей, штуцерно-нипельных соединений для гидросистем ПЛ. Завод стал ведущим в стране по разработке реверс-редукторов для конвертируемых двигателей.</w:t>
      </w:r>
    </w:p>
    <w:p w14:paraId="2F8596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1971 г. заводу поручено освоение производства двигателей с реверсивным редуктором на базе ЗД20 для катеров.</w:t>
      </w:r>
    </w:p>
    <w:p w14:paraId="32DB56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дальнейшем было освоено станкостроительное направление: налажен выпуск обрабатывающих центров с ЧПУ, а затем - токарных станков.</w:t>
      </w:r>
    </w:p>
    <w:p w14:paraId="23841A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Распоряжением Главы администрации Богородского района № 214-р от 29.01.1996г. ГП БМЗ преобразовано в ОАО. По решению правительства № 22-р от 9.01.2004г. вошло в число стратегических предприятий. 16.02.2009г. на предприятии введена процедура внешнего наблюдения, 14.05.2009г. процедура банкротства приостановлена.</w:t>
      </w:r>
    </w:p>
    <w:p w14:paraId="1DEC7F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имел представительства (2008г.): ООО «Индастриал &amp; Марин Сервис Инжиниринг Рус», ЗАО «Зенит- Энергия», ЗАО «Станкоцентр».</w:t>
      </w:r>
    </w:p>
    <w:p w14:paraId="14E3F4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(2007г.)- 248 чел.</w:t>
      </w:r>
    </w:p>
    <w:p w14:paraId="082758F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Гендиректор (2000-07г.)- Н.А. Чистов, (2007-08г.-)- А.Р. Ширяев. Временный управляющий (16.02.2009г.-)- Е.С. Алипов.</w:t>
      </w:r>
    </w:p>
    <w:p w14:paraId="688C07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технический (2005-06г.)- А.Р. Ширяев; по производству (2005-06г.)- Н.П. Полуэктов.</w:t>
      </w:r>
    </w:p>
    <w:p w14:paraId="5EFDB7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производств: «Станкостроение» (2006-07г.)- А.Р. Ширяев; «Мехобработка» (2006-08г.-)- Н.П. Полуэктов.</w:t>
      </w:r>
    </w:p>
    <w:p w14:paraId="4683DF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цехов: №4 (2000-01 г.)- Н.П. Полуэктов.</w:t>
      </w:r>
    </w:p>
    <w:p w14:paraId="4C26A9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ЭМО (2000-05г.)- А.Р. Ширяев; ППО (2001-05г.)- Н.П. Полуэктов.</w:t>
      </w:r>
    </w:p>
    <w:p w14:paraId="022F82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Производство: судовые двигатели: бензиновые М-51УМ (1960-е), М8 ЧСПУ-100 (1960-е); дизельные ЯМЗ- 236 (1971); подвесной лодочный мотор </w:t>
      </w:r>
      <w:r w:rsidRPr="00640820">
        <w:rPr>
          <w:rFonts w:ascii="Times New Roman" w:hAnsi="Times New Roman"/>
          <w:color w:val="000000" w:themeColor="text1"/>
          <w:sz w:val="16"/>
          <w:szCs w:val="16"/>
          <w:lang w:val="en-US"/>
        </w:rPr>
        <w:t>JIMM</w:t>
      </w:r>
      <w:r w:rsidRPr="00640820">
        <w:rPr>
          <w:rFonts w:ascii="Times New Roman" w:hAnsi="Times New Roman"/>
          <w:color w:val="000000" w:themeColor="text1"/>
          <w:sz w:val="16"/>
          <w:szCs w:val="16"/>
        </w:rPr>
        <w:t>-6 (1950-е); универсальный токарно-винторезный станок Б16Д25 (2000-е).</w:t>
      </w:r>
    </w:p>
    <w:p w14:paraId="73B520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КБ Богородского механического завода</w:t>
      </w:r>
    </w:p>
    <w:p w14:paraId="06B95A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начале 1960-х г. совместно с заводом «Дагдизель» создан судовой дизель 6ЧСП 9,5/11 мощностью 60 л.с. В 1960-е г. велась отработка судового бензинового двигателя 3</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3-53, подготовка к его серийному выпуску с 1968г. После конвертации двигатель получил марку М8 ЧСПУ-100 (11982).</w:t>
      </w:r>
    </w:p>
    <w:p w14:paraId="0FC391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CA49E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в Новосибирске был создан завод № 136 НКБ. В 08.1943-09.1944 г. - в ведении 8ГУ НКБ (11982).</w:t>
      </w:r>
    </w:p>
    <w:p w14:paraId="325A94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7F125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1941 на месте Тульского оружейного двора - Арсенала, основанного в 1713, был размещен авторемонтный завод. В соответствии с пост. СМ СССР от 10.10.1951 г. на базе центрального авторемонтного завода создан Тульский завод «Арсенал» (завод № 668) - один из первых заводов для производства средств радиолокации. Выпускал </w:t>
      </w:r>
      <w:r w:rsidRPr="00640820">
        <w:rPr>
          <w:rFonts w:ascii="Times New Roman" w:hAnsi="Times New Roman"/>
          <w:color w:val="000000" w:themeColor="text1"/>
          <w:sz w:val="16"/>
          <w:szCs w:val="16"/>
          <w:lang w:val="en-US"/>
        </w:rPr>
        <w:t>PJIC</w:t>
      </w:r>
      <w:r w:rsidRPr="00640820">
        <w:rPr>
          <w:rFonts w:ascii="Times New Roman" w:hAnsi="Times New Roman"/>
          <w:color w:val="000000" w:themeColor="text1"/>
          <w:sz w:val="16"/>
          <w:szCs w:val="16"/>
        </w:rPr>
        <w:t xml:space="preserve"> для сухопутных войск. В 1967 г. завод № 668 переименован в ТЗЭ.</w:t>
      </w:r>
    </w:p>
    <w:p w14:paraId="592761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1950-е  г. освоено производство первых отечественных </w:t>
      </w:r>
      <w:r w:rsidRPr="00640820">
        <w:rPr>
          <w:rFonts w:ascii="Times New Roman" w:hAnsi="Times New Roman"/>
          <w:color w:val="000000" w:themeColor="text1"/>
          <w:sz w:val="16"/>
          <w:szCs w:val="16"/>
          <w:lang w:val="en-US"/>
        </w:rPr>
        <w:t>PJIC</w:t>
      </w:r>
      <w:r w:rsidRPr="00640820">
        <w:rPr>
          <w:rFonts w:ascii="Times New Roman" w:hAnsi="Times New Roman"/>
          <w:color w:val="000000" w:themeColor="text1"/>
          <w:sz w:val="16"/>
          <w:szCs w:val="16"/>
        </w:rPr>
        <w:t xml:space="preserve"> наземной артиллерийской разведки СНАР-1, -2.</w:t>
      </w:r>
    </w:p>
    <w:p w14:paraId="56E690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1983 г. завод вошел в состав НПО «Антей». По решению правительства № 22-р от 9.01.2004 г. ОАО вошло в перечень стратегических предприятий. Входил в Концерн «Алмаз-Антей» (2005 г.). В 2005 г. начато объединение завода «Арсенал» и НИИ «Стрела».</w:t>
      </w:r>
    </w:p>
    <w:p w14:paraId="663439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Директор (1982 г.-)- В.А. Попов. Гендиректор (-1999 г.)- В.А. Попов, (-11.2005 г.)- А. Красницкий, (11.2005 г.-)- Н. Зайцев.</w:t>
      </w:r>
    </w:p>
    <w:p w14:paraId="7C9A31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зам. гендиректора (11.2005 г.-)- В. Кузьмин. Зам. директора по производству (-1988 г.)-  Г.В. Цибин. Зам. гендиректора по экономике и финансам (11.2005 г.-)- Ю. Гавриков.</w:t>
      </w:r>
    </w:p>
    <w:p w14:paraId="427B5E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(-1955 г.)- П.А. Конашков.</w:t>
      </w:r>
    </w:p>
    <w:p w14:paraId="11E8B7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конструктора: по производству «71»-  Г.В. Цибин; (1954-55 г.)- Я.И. Назаров.</w:t>
      </w:r>
    </w:p>
    <w:p w14:paraId="27E4B6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цехов: сборочного (-1958 г.)- Н.А. Куликов; (1952-55 г.)- Л.Е. Панасюк.</w:t>
      </w:r>
    </w:p>
    <w:p w14:paraId="0C305C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начальника цеха: сборочного (1952 г.-)- Н.А. Куликов. Зам. начальника КБ-  Г.В. Цибин.</w:t>
      </w:r>
    </w:p>
    <w:p w14:paraId="36628D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ОТК (1952-54 г.)- Я.И. Назаров; (1952 г.-)- П.А. Конашков.</w:t>
      </w:r>
    </w:p>
    <w:p w14:paraId="7DEBEA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лабораторий: радиотехнической (1952 г.-)-  Г.В. Цибин; (-1955 г.)- Ю.К. Смирнов.</w:t>
      </w:r>
    </w:p>
    <w:p w14:paraId="5E8C76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Производство: </w:t>
      </w:r>
      <w:r w:rsidRPr="00640820">
        <w:rPr>
          <w:rFonts w:ascii="Times New Roman" w:hAnsi="Times New Roman"/>
          <w:color w:val="000000" w:themeColor="text1"/>
          <w:sz w:val="16"/>
          <w:szCs w:val="16"/>
          <w:lang w:val="en-US"/>
        </w:rPr>
        <w:t>PJIC</w:t>
      </w:r>
      <w:r w:rsidRPr="00640820">
        <w:rPr>
          <w:rFonts w:ascii="Times New Roman" w:hAnsi="Times New Roman"/>
          <w:color w:val="000000" w:themeColor="text1"/>
          <w:sz w:val="16"/>
          <w:szCs w:val="16"/>
        </w:rPr>
        <w:t xml:space="preserve">: артиллерийской разведки: наземных движущихся целей СНАР-1 (1961), СНАР-2, СНАР- 6, СНАР-10, СНАР-15, ПСНР-5, ПСНР-8 (2005); морских целей «Голотурия»; разведки позиций АРК-1, «Зоопарк- 1»; системы наведения для ЗРК «Куб», «Круг», «Оса», С-300; измерительная регистрации траекторий «Амур»; противотанковые комплексы управления вооружением; «изд. 71»; технические средства охраны для МО (радиоволновые периметровые объемные </w:t>
      </w:r>
      <w:r w:rsidRPr="00640820">
        <w:rPr>
          <w:rFonts w:ascii="Times New Roman" w:hAnsi="Times New Roman"/>
          <w:color w:val="000000" w:themeColor="text1"/>
          <w:sz w:val="16"/>
          <w:szCs w:val="16"/>
          <w:lang w:val="en-US"/>
        </w:rPr>
        <w:t>PJI</w:t>
      </w:r>
      <w:r w:rsidRPr="00640820">
        <w:rPr>
          <w:rFonts w:ascii="Times New Roman" w:hAnsi="Times New Roman"/>
          <w:color w:val="000000" w:themeColor="text1"/>
          <w:sz w:val="16"/>
          <w:szCs w:val="16"/>
        </w:rPr>
        <w:t xml:space="preserve"> извещатели); автоматизированные системы пожаротушения УПР-1, УПД-1В (2001-);</w:t>
      </w:r>
    </w:p>
    <w:p w14:paraId="4DB609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ремонт и модернизация СНАР-10, ПСНР-5 (2005).</w:t>
      </w:r>
      <w:r w:rsidRPr="00640820">
        <w:rPr>
          <w:rFonts w:ascii="Times New Roman" w:hAnsi="Times New Roman"/>
          <w:color w:val="000000" w:themeColor="text1"/>
          <w:sz w:val="16"/>
          <w:szCs w:val="16"/>
          <w:vertAlign w:val="superscript"/>
        </w:rPr>
        <w:t>101</w:t>
      </w:r>
    </w:p>
    <w:p w14:paraId="5B97B0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завода № 668, ОКБ-668 МРП, НИИ «Стрела» МРП, ГУП, ФГУП, . ОАО «НИИ «Стрела» РАСУ</w:t>
      </w:r>
    </w:p>
    <w:p w14:paraId="654E49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/300002  г. Тула ул. М. Горького, 6 тел. 77-05-60, 34-11-26/</w:t>
      </w:r>
    </w:p>
    <w:p w14:paraId="076E16F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ОКБ-668 (далее - ОКБ завода «Арсенал») создано в соответствии с пост. СМ СССР от 26.11.1954 г. сопровождения производства и модернизации </w:t>
      </w:r>
      <w:r w:rsidRPr="00640820">
        <w:rPr>
          <w:rFonts w:ascii="Times New Roman" w:hAnsi="Times New Roman"/>
          <w:color w:val="000000" w:themeColor="text1"/>
          <w:sz w:val="16"/>
          <w:szCs w:val="16"/>
          <w:lang w:val="en-US"/>
        </w:rPr>
        <w:t>PJICCHAP</w:t>
      </w:r>
      <w:r w:rsidRPr="00640820">
        <w:rPr>
          <w:rFonts w:ascii="Times New Roman" w:hAnsi="Times New Roman"/>
          <w:color w:val="000000" w:themeColor="text1"/>
          <w:sz w:val="16"/>
          <w:szCs w:val="16"/>
        </w:rPr>
        <w:t xml:space="preserve">. Первые работы: модернизация </w:t>
      </w:r>
      <w:r w:rsidRPr="00640820">
        <w:rPr>
          <w:rFonts w:ascii="Times New Roman" w:hAnsi="Times New Roman"/>
          <w:color w:val="000000" w:themeColor="text1"/>
          <w:sz w:val="16"/>
          <w:szCs w:val="16"/>
          <w:lang w:val="en-US"/>
        </w:rPr>
        <w:t>PJI</w:t>
      </w:r>
      <w:r w:rsidRPr="00640820">
        <w:rPr>
          <w:rFonts w:ascii="Times New Roman" w:hAnsi="Times New Roman"/>
          <w:color w:val="000000" w:themeColor="text1"/>
          <w:sz w:val="16"/>
          <w:szCs w:val="16"/>
        </w:rPr>
        <w:t xml:space="preserve"> станции наземной артиллерийской разведки СНАР-2, разработка совместно с одним из НИИ </w:t>
      </w:r>
      <w:r w:rsidRPr="00640820">
        <w:rPr>
          <w:rFonts w:ascii="Times New Roman" w:hAnsi="Times New Roman"/>
          <w:color w:val="000000" w:themeColor="text1"/>
          <w:sz w:val="16"/>
          <w:szCs w:val="16"/>
          <w:lang w:val="en-US"/>
        </w:rPr>
        <w:t>PJIC</w:t>
      </w:r>
      <w:r w:rsidRPr="00640820">
        <w:rPr>
          <w:rFonts w:ascii="Times New Roman" w:hAnsi="Times New Roman"/>
          <w:color w:val="000000" w:themeColor="text1"/>
          <w:sz w:val="16"/>
          <w:szCs w:val="16"/>
        </w:rPr>
        <w:t xml:space="preserve"> траекторных измерений «Амур». С 1957 г.- самостоятельная разработка </w:t>
      </w:r>
      <w:r w:rsidRPr="00640820">
        <w:rPr>
          <w:rFonts w:ascii="Times New Roman" w:hAnsi="Times New Roman"/>
          <w:color w:val="000000" w:themeColor="text1"/>
          <w:sz w:val="16"/>
          <w:szCs w:val="16"/>
          <w:lang w:val="en-US"/>
        </w:rPr>
        <w:t>PJIC</w:t>
      </w:r>
      <w:r w:rsidRPr="00640820">
        <w:rPr>
          <w:rFonts w:ascii="Times New Roman" w:hAnsi="Times New Roman"/>
          <w:color w:val="000000" w:themeColor="text1"/>
          <w:sz w:val="16"/>
          <w:szCs w:val="16"/>
        </w:rPr>
        <w:t xml:space="preserve">. С 1960-х  г. - разработка РЭА для ПТУРС, систем регистрации промаха КР; переносные РЛС малой дальности; РЖ разведки огневых позиций; РПК комплексов активной защиты танков; </w:t>
      </w:r>
      <w:r w:rsidRPr="00640820">
        <w:rPr>
          <w:rFonts w:ascii="Times New Roman" w:hAnsi="Times New Roman"/>
          <w:color w:val="000000" w:themeColor="text1"/>
          <w:sz w:val="16"/>
          <w:szCs w:val="16"/>
          <w:lang w:val="en-US"/>
        </w:rPr>
        <w:t>PJI</w:t>
      </w:r>
      <w:r w:rsidRPr="00640820">
        <w:rPr>
          <w:rFonts w:ascii="Times New Roman" w:hAnsi="Times New Roman"/>
          <w:color w:val="000000" w:themeColor="text1"/>
          <w:sz w:val="16"/>
          <w:szCs w:val="16"/>
        </w:rPr>
        <w:t xml:space="preserve"> прицелы для противотанковых пушек; мобильные РЛК обнаружения и целеуказания низколетящих воздушных целей. ОКБ назначено головным по данным направлениям.</w:t>
      </w:r>
    </w:p>
    <w:p w14:paraId="2573F1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приказу МРП от 20.03.1961 г. ОКБ-668 стало самостоятельным предприятием. По приказу МРП от 29.06.1979 г. ОКБ преобразовано в НИИ «Стрела».</w:t>
      </w:r>
    </w:p>
    <w:p w14:paraId="6C0E1B6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1962 г. создан первый в стране военный переносной радиодальномер «Дуб». В 1976 г. создана первая отечественная портативная унифицированная </w:t>
      </w:r>
      <w:r w:rsidRPr="00640820">
        <w:rPr>
          <w:rFonts w:ascii="Times New Roman" w:hAnsi="Times New Roman"/>
          <w:color w:val="000000" w:themeColor="text1"/>
          <w:sz w:val="16"/>
          <w:szCs w:val="16"/>
          <w:lang w:val="en-US"/>
        </w:rPr>
        <w:t>PJIC</w:t>
      </w:r>
      <w:r w:rsidRPr="00640820">
        <w:rPr>
          <w:rFonts w:ascii="Times New Roman" w:hAnsi="Times New Roman"/>
          <w:color w:val="000000" w:themeColor="text1"/>
          <w:sz w:val="16"/>
          <w:szCs w:val="16"/>
        </w:rPr>
        <w:t xml:space="preserve"> ближней разведки СБР-3. Впервые в стране создана РЭА для ПТУР, обеспечивающая наведение ракеты, выстреливаемой из танковой пушки.</w:t>
      </w:r>
    </w:p>
    <w:p w14:paraId="743F2C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 начала 1980-х  г.- разработка </w:t>
      </w:r>
      <w:r w:rsidRPr="00640820">
        <w:rPr>
          <w:rFonts w:ascii="Times New Roman" w:hAnsi="Times New Roman"/>
          <w:color w:val="000000" w:themeColor="text1"/>
          <w:sz w:val="16"/>
          <w:szCs w:val="16"/>
          <w:lang w:val="en-US"/>
        </w:rPr>
        <w:t>PJI</w:t>
      </w:r>
      <w:r w:rsidRPr="00640820">
        <w:rPr>
          <w:rFonts w:ascii="Times New Roman" w:hAnsi="Times New Roman"/>
          <w:color w:val="000000" w:themeColor="text1"/>
          <w:sz w:val="16"/>
          <w:szCs w:val="16"/>
        </w:rPr>
        <w:t xml:space="preserve"> средств охраны границы для Пограничных войск. С 2000 г. начато серийное производство изделий собственной разработки.</w:t>
      </w:r>
    </w:p>
    <w:p w14:paraId="368D51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Разработка и производство (2002 г.): РЛ средства наземной разведки; РТ приборы промышленного и медицинского назначения; очистные комплексы сточных вод.</w:t>
      </w:r>
    </w:p>
    <w:p w14:paraId="667E34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Создана научная школа селекции наземных движущихся целей (Л.Н. Толкалин). Выполнены НИР: «Гайка» (1985 г.) по разработке алгоритмов автоматического обнаружения малоразмерных наземных целей; «Метан» по созданию автоматизированного комплекса ПТУР; «Фара», «Град», «Гроза», «Гарпун», «Мимоза», «Незабудка», «Резеда», «Горизонт».</w:t>
      </w:r>
    </w:p>
    <w:p w14:paraId="12A0193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началу 2000-х  г. разработано и поставлено на вооружение более 30 образцов изделий.</w:t>
      </w:r>
    </w:p>
    <w:p w14:paraId="22F501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1991 г. - ГУП, с 1999 г. - ФГУП, с 2001 г. - ОАО «НИИ «Стрела». В 2002 г. вошло в состав Концерна «Алмаз- Антей». По решению правительства № 22-р от 9.01.2004 г. и Указу Президента РФ № 1009 от 4.08.2004 г. ОАО вошло в число стратегических оборонных предприятий.</w:t>
      </w:r>
    </w:p>
    <w:p w14:paraId="2C4057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(1955-58 г.)- П.А. Конашков, (1959-79 г.)- В.И. Симачев. Директор (1979-85 г.)- В.И. Симачев, (1985- 96 г.)- Ю. Г. Земсков, (1996-2003 г.)- Н.А. Зайцев. Гендиректор (2003-07</w:t>
      </w:r>
      <w:r w:rsidRPr="00640820">
        <w:rPr>
          <w:rFonts w:ascii="Times New Roman" w:hAnsi="Times New Roman"/>
          <w:color w:val="000000" w:themeColor="text1"/>
          <w:sz w:val="16"/>
          <w:szCs w:val="16"/>
          <w:lang w:val="en-US"/>
        </w:rPr>
        <w:t>r</w:t>
      </w:r>
      <w:r w:rsidRPr="00640820">
        <w:rPr>
          <w:rFonts w:ascii="Times New Roman" w:hAnsi="Times New Roman"/>
          <w:color w:val="000000" w:themeColor="text1"/>
          <w:sz w:val="16"/>
          <w:szCs w:val="16"/>
        </w:rPr>
        <w:t>.-)- Н.А. Зайцев.</w:t>
      </w:r>
    </w:p>
    <w:p w14:paraId="3B5DD9A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Зам. начальника (1955 г.-)- Я.И. Назаров. Зам. директора, гендиректора: по научной работе (1980 г.-)- </w:t>
      </w:r>
      <w:r w:rsidRPr="00640820">
        <w:rPr>
          <w:rFonts w:ascii="Times New Roman" w:hAnsi="Times New Roman"/>
          <w:color w:val="000000" w:themeColor="text1"/>
          <w:sz w:val="16"/>
          <w:szCs w:val="16"/>
          <w:lang w:val="en-US"/>
        </w:rPr>
        <w:t>JI</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H</w:t>
      </w:r>
      <w:r w:rsidRPr="00640820">
        <w:rPr>
          <w:rFonts w:ascii="Times New Roman" w:hAnsi="Times New Roman"/>
          <w:color w:val="000000" w:themeColor="text1"/>
          <w:sz w:val="16"/>
          <w:szCs w:val="16"/>
        </w:rPr>
        <w:t>. Толкалин, (2006 г.)- В. Гаврюшн, М.Г1. Супоровский; по производству (11.2005 г.-)- В. Кузьмин; по экономическим вопросам (2005 г.)- Ю. Гавриков.</w:t>
      </w:r>
    </w:p>
    <w:p w14:paraId="1A74AA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(1959-85 г.)- В.И. Симачев, (1985-96 г.)- Ю. Г. Земсков, (2005-06 г.)- Н.А. Зайцев. Ген. конструктор (2006-07 г.-)- Н.А. Зайцев.</w:t>
      </w:r>
    </w:p>
    <w:p w14:paraId="08C7469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Ген. конструктор по системам и средствам разведки ракетных войск и артиллерии (2006-07 г.-)- Н.А. Зайцев.</w:t>
      </w:r>
    </w:p>
    <w:p w14:paraId="5FECDE1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гл. конструктора- М.А. Ромм.</w:t>
      </w:r>
    </w:p>
    <w:p w14:paraId="1D10BE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(-1978 г.)- Я.И. Назаров.</w:t>
      </w:r>
    </w:p>
    <w:p w14:paraId="267452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Научный руководитель (-1985 г.)- В.И. Симачев.</w:t>
      </w:r>
    </w:p>
    <w:p w14:paraId="578FDF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Гл. конструкторы: (1957 г.-)- Я.И. Назаров (1РЛЗЗ), (1959-63 г.)- И.Н. Борщев (РЛС для «Лотос», 1РЛ0136), (1960-78 Г.)- И. Г. Баженов (9С461, 9Б59, 9С477, 9Б511), (1961-62 г.)- М.П. Супоровский («Дуб»), (1969-72 г.)-  Г. Г. Букин (1РЛ129, 1РЛ133, 1РЛ133-1), (1972 г.)- Ю.К. Смирнов («Овод-М-СВ»), (-1981-86 г.-)- В.И. Симачев (1А31, </w:t>
      </w:r>
      <w:r w:rsidRPr="00640820">
        <w:rPr>
          <w:rFonts w:ascii="Times New Roman" w:hAnsi="Times New Roman"/>
          <w:color w:val="000000" w:themeColor="text1"/>
          <w:sz w:val="16"/>
          <w:szCs w:val="16"/>
          <w:lang w:val="en-US"/>
        </w:rPr>
        <w:t>CHAP</w:t>
      </w:r>
      <w:r w:rsidRPr="00640820">
        <w:rPr>
          <w:rFonts w:ascii="Times New Roman" w:hAnsi="Times New Roman"/>
          <w:color w:val="000000" w:themeColor="text1"/>
          <w:sz w:val="16"/>
          <w:szCs w:val="16"/>
        </w:rPr>
        <w:t xml:space="preserve">-10, -15, РЛС комплекса «Дрозд»), (1996 г.-)- Н.А. Зайцев («Фара-1», «Кредо-М1, -1Е», «Гамма-ПВ», «Пантера», «Обзор-ТМ», «Зоопарк-1», «Рампа»), 1-й зам. гл. конструкторов: (1966 г.)- Н.Т. Склянкин (СНАР-10), (-1996 г.)- Н.А. Зайцев («Фара-1», «Кредо-М1, - 1Е», «Гамма-ПВ», «Пантера», «Обзор-ТМ»), Б.А. Соколов (1А31, 1А32, 9С111), М.П. Супоровский (РЛС комплекса «Дрозд»). Зам. гл. конструкторов: (1957 г.-)- Л.Е. Панасюк (1РЛЗЗ), (1957 г.-)- Ю.К. Смирнов (1РЛЗЗ), (1959-80 г.-)- И.П. Гаврилюк (РЛС для «Лотос», 1РЛ0136, 1РЛ136), (1961-78 г.-)- Н.А. Куликов («Град», 9С461, 9Б59), (1967 г.-)- П.С. Зуев (СНАР-10), (1968-81 г.)-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Зинаков (9С477, 9С485, 9Б511, 9Б511М), (1970-76 г.)- И.Н. Борщев (1РЛ136), (1976-85 г.)- Е.А. Бузовкин (РЛС комплекса «Дрозд»), И.П. Скалецкий (РЛС комплекса «Дрозд»), (1980 г.-)- Ю.А. Миловзоров (СНАР-15), Н.Д. Алешин (1РЛ129, 1РЛ133, 1РЛ133-К), М.А. Ромм (1РЛ239, 1РЛ239-1, 1Л219), Н.Т. Склянкин (1РЛ232МП, 1РЛ232МП-К).</w:t>
      </w:r>
    </w:p>
    <w:p w14:paraId="45701B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отделений: конструкторского (1999-2001 г.)- Е.А. Бузовкин; (-1979 г.)- И. Г. Баженов, М.А. Ромм, (- 1978 г.)- Б.А. Соколов.</w:t>
      </w:r>
    </w:p>
    <w:p w14:paraId="78DB08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Начальники отделов: КО (1967 г.-)- П.С. Зуев, (1985-94 г.)- Е.А. Бузовкин, (-1996 г.)- М.Л. Пронин; проектно- конструкторского (1958-82 г.)- П.А. Конашков; (-1996 г.)- Н.А. Зайцев, (-1999 г.)-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Зинаков, (-1994 г.)- Н.А. Куликов, М.А. Ромм, Б.А. Соколов.</w:t>
      </w:r>
    </w:p>
    <w:p w14:paraId="05DD9B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начальника отдела: КО (1986-94 г.)- И.П. Гаврилюк; М.А. Ромм.</w:t>
      </w:r>
    </w:p>
    <w:p w14:paraId="21A265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секторов: конструкторского (1979-86 г.)- И.П. Гаврилюк; Н.А. Зайцев, Н.А. Куликов, (2003 г.)- В. Николаев, М.Л. Пронин, (1984 г.-)- Ю.К. Смирнов, Б.А. Соколов, (2003 г.)- А. Стрельников.</w:t>
      </w:r>
    </w:p>
    <w:p w14:paraId="6E1018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Начальники лаборатории: отраслевой селекции движущихся целей (1966 г.-)- Л.Н. Толкалин; (1955 г.-)- И. Г. Баженов, (1955 г.-)- М.А. Ромм, (1955-84 г.)- Ю.К. Смирнов, (1956-59 г.)- В.И. Симачев, (1967-68 г.)- Н.Д. Алешин, (1975 г.-)-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Зинаков, (-1990 г.)-  Г. Г. Букин, (-1994 г.)- И.Н. Борщев, И.П. Скалецкий, Н.Т. Склянкин.</w:t>
      </w:r>
    </w:p>
    <w:p w14:paraId="7A7F7C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Руководители групп: (-1979 г.)- И.П. Гаврилюк.</w:t>
      </w:r>
    </w:p>
    <w:p w14:paraId="07DA59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Научные руководители НИР: (1967-69 г.)-  Г. Г. Букин («Гроза», «Гарпун»), И. Г. Баженов («Град», «Гроза»), (1970-75 г.)- И.Н. Борщев («Фара»), (1972-85 г.-)- Н.А. Зайцев («Гайка»), В.И. Симачев, Б.А. Соколов («Мимоза», «Незабудка», «Резеда», «Горизонт»).</w:t>
      </w:r>
    </w:p>
    <w:p w14:paraId="5E9675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научного руководителя НИР: (1968-76 г.)- Е.А. Бузовкин.</w:t>
      </w:r>
    </w:p>
    <w:p w14:paraId="4D164C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РЛС: ближней разведки наземных движущихся целей ПСНР-5 (1РЛ133), 1РЛ133-К, береговая «Гамма-ПВ», СНАР-2А, СНАР-6 с системой СДЦ (1960), СНАР-10 (пнв в 1971 г.), СНАР-15 (пнв в 1986 г.), «Страж-С», СБР-5 (1Л111, пнв в 1999 г.); мобильные: СНАР-ЮМ «Пантера», «Обзор-ПВ, -ТМ»; переносные: СБР- 3 (1РЛ136, пнв в 1976 г.), «Гарпун», «Кредо», «Кредо-</w:t>
      </w:r>
      <w:r w:rsidRPr="00640820">
        <w:rPr>
          <w:rFonts w:ascii="Times New Roman" w:hAnsi="Times New Roman"/>
          <w:color w:val="000000" w:themeColor="text1"/>
          <w:sz w:val="16"/>
          <w:szCs w:val="16"/>
          <w:lang w:val="en-US"/>
        </w:rPr>
        <w:t>IE</w:t>
      </w:r>
      <w:r w:rsidRPr="00640820">
        <w:rPr>
          <w:rFonts w:ascii="Times New Roman" w:hAnsi="Times New Roman"/>
          <w:color w:val="000000" w:themeColor="text1"/>
          <w:sz w:val="16"/>
          <w:szCs w:val="16"/>
        </w:rPr>
        <w:t>, -М1» (ПСНР-8) (2000-е), 1РЛ129, 1РЛ232, 1РЛ232МП (1983), 1РЛ232МП-К (1987); РЛ комплексы разведки позиций стреляющих минометов, ракет и артиллерии: АРК- 1, -1М, -10, «Зоопарк-1», «Фара», «Фара-1, -ПВ», 1РЛ239, 1РЛ239-1, 1Л219; РЛ-прицелы: танковые «Рута» (1А31), 1А32, для самоходного ПТРК 9С111; для ПТУРС «Дракон» (1967), «Штурм-В, -С», «Агона», «Кобра», «Конкурс», «Норов»; РЛПК: «Тобол» (1РЛЗЗ) для «Шилка» (пнв в 1962 г.), для комплекса активной защиты танка «Дрозд» (пнв в 1982 г.); аппаратура наведения ПТУР по ИК-лучу «Лотос» (1963); артиллерийская баллистическая станция «Рампа»; система топопривязки артиллерии «Береза», топодальномер «Дуб» (1962); СУ: танковой УР, выстреливаемой из пушки 9С461, 9Б59 (1976); сверхзвуковыми ПТУР (вертолетными и сухопутными) 9С477, 9С485, 9Б511, 9Б511М; мобильные пункты управления и целеуказания: ПВО танкового полка «Овод-М-СВ» (9С80, пнв в 1978 г.), «Сборка»; мобильные комплексы охраны границы «Голотурия», «Голотурия-О, -88»;</w:t>
      </w:r>
      <w:r w:rsidRPr="00640820">
        <w:rPr>
          <w:rFonts w:ascii="Times New Roman" w:hAnsi="Times New Roman"/>
          <w:color w:val="000000" w:themeColor="text1"/>
          <w:sz w:val="16"/>
          <w:szCs w:val="16"/>
          <w:vertAlign w:val="superscript"/>
        </w:rPr>
        <w:t>101</w:t>
      </w:r>
      <w:r w:rsidRPr="00640820">
        <w:rPr>
          <w:rFonts w:ascii="Times New Roman" w:hAnsi="Times New Roman"/>
          <w:color w:val="000000" w:themeColor="text1"/>
          <w:sz w:val="16"/>
          <w:szCs w:val="16"/>
        </w:rPr>
        <w:t xml:space="preserve"> РЛУ для подрыва боеприпасов при обнаружении нарушителя на спецобъектах 1РЛ0136; РЛ и РЛ-телевизионные системы охраны территорий «Монитор», «Страж-А, -СТ», «Барьер-1».</w:t>
      </w:r>
      <w:r w:rsidRPr="00640820">
        <w:rPr>
          <w:rFonts w:ascii="Times New Roman" w:hAnsi="Times New Roman"/>
          <w:color w:val="000000" w:themeColor="text1"/>
          <w:sz w:val="16"/>
          <w:szCs w:val="16"/>
          <w:vertAlign w:val="superscript"/>
        </w:rPr>
        <w:t>69</w:t>
      </w:r>
    </w:p>
    <w:p w14:paraId="6B8906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Тульского завода «Арсенал»</w:t>
      </w:r>
    </w:p>
    <w:p w14:paraId="02D030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лабораторий: (1979-89 г.)- Н.Д. Алешин.</w:t>
      </w:r>
    </w:p>
    <w:p w14:paraId="07E701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бюро: (1989-94 г.)- Н.Д. Алешин (11982).</w:t>
      </w:r>
    </w:p>
    <w:p w14:paraId="4443E4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B9F568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в Бащшкирию были эвакуированы следующие предприятия:</w:t>
      </w:r>
    </w:p>
    <w:tbl>
      <w:tblPr>
        <w:tblW w:w="0" w:type="auto"/>
        <w:tblInd w:w="15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84"/>
        <w:gridCol w:w="2390"/>
        <w:gridCol w:w="3322"/>
        <w:gridCol w:w="4918"/>
      </w:tblGrid>
      <w:tr w:rsidR="00643896" w:rsidRPr="00640820" w14:paraId="43CFB203" w14:textId="77777777" w:rsidTr="000D3BCB">
        <w:tc>
          <w:tcPr>
            <w:tcW w:w="284" w:type="dxa"/>
            <w:tcBorders>
              <w:top w:val="single" w:sz="12" w:space="0" w:color="auto"/>
            </w:tcBorders>
          </w:tcPr>
          <w:p w14:paraId="2AC725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w:t>
            </w:r>
          </w:p>
        </w:tc>
        <w:tc>
          <w:tcPr>
            <w:tcW w:w="2390" w:type="dxa"/>
            <w:tcBorders>
              <w:top w:val="single" w:sz="12" w:space="0" w:color="auto"/>
            </w:tcBorders>
          </w:tcPr>
          <w:p w14:paraId="3506C7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Где</w:t>
            </w:r>
          </w:p>
          <w:p w14:paraId="601E2B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находились до войны</w:t>
            </w:r>
          </w:p>
        </w:tc>
        <w:tc>
          <w:tcPr>
            <w:tcW w:w="3322" w:type="dxa"/>
            <w:tcBorders>
              <w:top w:val="single" w:sz="12" w:space="0" w:color="auto"/>
            </w:tcBorders>
          </w:tcPr>
          <w:p w14:paraId="0082DA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Где размещены</w:t>
            </w:r>
          </w:p>
          <w:p w14:paraId="36FB72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столице</w:t>
            </w:r>
          </w:p>
        </w:tc>
        <w:tc>
          <w:tcPr>
            <w:tcW w:w="4918" w:type="dxa"/>
            <w:tcBorders>
              <w:top w:val="single" w:sz="12" w:space="0" w:color="auto"/>
            </w:tcBorders>
          </w:tcPr>
          <w:p w14:paraId="6751AF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Краткая характеристика предприятия</w:t>
            </w:r>
          </w:p>
        </w:tc>
      </w:tr>
      <w:tr w:rsidR="00643896" w:rsidRPr="00640820" w14:paraId="09A07FD1" w14:textId="77777777" w:rsidTr="000D3BCB">
        <w:tc>
          <w:tcPr>
            <w:tcW w:w="284" w:type="dxa"/>
          </w:tcPr>
          <w:p w14:paraId="11ECFA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2390" w:type="dxa"/>
          </w:tcPr>
          <w:p w14:paraId="4B50F4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Ленинградский телефонный завод «Красная заря»</w:t>
            </w:r>
          </w:p>
        </w:tc>
        <w:tc>
          <w:tcPr>
            <w:tcW w:w="3322" w:type="dxa"/>
          </w:tcPr>
          <w:p w14:paraId="7BAF94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Завод рамещен в Уфе в сельскохозяйственном и пед. институтах (Уфимское производственное объединение им. Кирова). С 1991 г. </w:t>
            </w:r>
            <w:r w:rsidRPr="00640820">
              <w:rPr>
                <w:rFonts w:ascii="Times New Roman" w:hAnsi="Times New Roman"/>
                <w:color w:val="000000" w:themeColor="text1"/>
                <w:sz w:val="16"/>
                <w:szCs w:val="16"/>
              </w:rPr>
              <w:lastRenderedPageBreak/>
              <w:t>преобразовано в АО «Концерн БЭТО» (ул.К.Маркса )</w:t>
            </w:r>
          </w:p>
        </w:tc>
        <w:tc>
          <w:tcPr>
            <w:tcW w:w="4918" w:type="dxa"/>
          </w:tcPr>
          <w:p w14:paraId="19E4B7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Эвакуирован в июле 1941 г.</w:t>
            </w:r>
          </w:p>
          <w:p w14:paraId="766B33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Организовано производство 20 типов аппаратуры дальней связи. Через два месяца он выдал первую продукцию. Завод № 628 выпускал полевые телефонные аппараты и коммутаторы. </w:t>
            </w:r>
          </w:p>
        </w:tc>
      </w:tr>
      <w:tr w:rsidR="00643896" w:rsidRPr="00640820" w14:paraId="523DCECD" w14:textId="77777777" w:rsidTr="000D3BCB">
        <w:tc>
          <w:tcPr>
            <w:tcW w:w="284" w:type="dxa"/>
          </w:tcPr>
          <w:p w14:paraId="6D5436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2390" w:type="dxa"/>
          </w:tcPr>
          <w:p w14:paraId="52C6B0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Заводы № 451 и 234 из Ленинграда </w:t>
            </w:r>
          </w:p>
        </w:tc>
        <w:tc>
          <w:tcPr>
            <w:tcW w:w="3322" w:type="dxa"/>
          </w:tcPr>
          <w:p w14:paraId="2B64BB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Уфе на площадях заводов № 384 и 338 ,ныне УМПО</w:t>
            </w:r>
          </w:p>
          <w:p w14:paraId="528964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(ул.Ферина,2)</w:t>
            </w:r>
          </w:p>
        </w:tc>
        <w:tc>
          <w:tcPr>
            <w:tcW w:w="4918" w:type="dxa"/>
          </w:tcPr>
          <w:p w14:paraId="7BD916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лета 1941 года до зимы на заводе за короткие сроки было налажено производство авиа моторов для истребителей Як-3,Як-7, Як-9,бомбордировщиков Пе-2 и др.</w:t>
            </w:r>
          </w:p>
        </w:tc>
      </w:tr>
      <w:tr w:rsidR="00643896" w:rsidRPr="00640820" w14:paraId="4BE62EDB" w14:textId="77777777" w:rsidTr="000D3BCB">
        <w:tc>
          <w:tcPr>
            <w:tcW w:w="284" w:type="dxa"/>
          </w:tcPr>
          <w:p w14:paraId="283376B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c>
          <w:tcPr>
            <w:tcW w:w="2390" w:type="dxa"/>
          </w:tcPr>
          <w:p w14:paraId="595D7D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№219 из Москвы</w:t>
            </w:r>
          </w:p>
        </w:tc>
        <w:tc>
          <w:tcPr>
            <w:tcW w:w="3322" w:type="dxa"/>
          </w:tcPr>
          <w:p w14:paraId="72B3EE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4918" w:type="dxa"/>
          </w:tcPr>
          <w:p w14:paraId="7BD8EC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811F663" w14:textId="77777777" w:rsidTr="000D3BCB">
        <w:tc>
          <w:tcPr>
            <w:tcW w:w="284" w:type="dxa"/>
          </w:tcPr>
          <w:p w14:paraId="58A075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2390" w:type="dxa"/>
          </w:tcPr>
          <w:p w14:paraId="1EBC359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26 изРыбинска</w:t>
            </w:r>
          </w:p>
        </w:tc>
        <w:tc>
          <w:tcPr>
            <w:tcW w:w="3322" w:type="dxa"/>
          </w:tcPr>
          <w:p w14:paraId="356087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4918" w:type="dxa"/>
          </w:tcPr>
          <w:p w14:paraId="532B88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9189AC1" w14:textId="77777777" w:rsidTr="000D3BCB">
        <w:tc>
          <w:tcPr>
            <w:tcW w:w="284" w:type="dxa"/>
          </w:tcPr>
          <w:p w14:paraId="742607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2390" w:type="dxa"/>
          </w:tcPr>
          <w:p w14:paraId="720393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г.Запорожье, авиаремонтные мастерские Центрального Совета Осоавиа- хима</w:t>
            </w:r>
          </w:p>
        </w:tc>
        <w:tc>
          <w:tcPr>
            <w:tcW w:w="3322" w:type="dxa"/>
          </w:tcPr>
          <w:p w14:paraId="0E50F88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4918" w:type="dxa"/>
          </w:tcPr>
          <w:p w14:paraId="535BF0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AD81CD5" w14:textId="77777777" w:rsidTr="000D3BCB">
        <w:tc>
          <w:tcPr>
            <w:tcW w:w="284" w:type="dxa"/>
          </w:tcPr>
          <w:p w14:paraId="0FF593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c>
          <w:tcPr>
            <w:tcW w:w="2390" w:type="dxa"/>
          </w:tcPr>
          <w:p w14:paraId="5B241C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Оборудование моторного завода из Верхневолжска</w:t>
            </w:r>
          </w:p>
        </w:tc>
        <w:tc>
          <w:tcPr>
            <w:tcW w:w="3322" w:type="dxa"/>
          </w:tcPr>
          <w:p w14:paraId="136344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4918" w:type="dxa"/>
          </w:tcPr>
          <w:p w14:paraId="625390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5D03EE4" w14:textId="77777777" w:rsidTr="000D3BCB">
        <w:tc>
          <w:tcPr>
            <w:tcW w:w="284" w:type="dxa"/>
          </w:tcPr>
          <w:p w14:paraId="0FD6E7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w:t>
            </w:r>
          </w:p>
        </w:tc>
        <w:tc>
          <w:tcPr>
            <w:tcW w:w="2390" w:type="dxa"/>
          </w:tcPr>
          <w:p w14:paraId="427DF3B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 завод №49 Наркомата авиационной промышленности СССР</w:t>
            </w:r>
          </w:p>
        </w:tc>
        <w:tc>
          <w:tcPr>
            <w:tcW w:w="3322" w:type="dxa"/>
          </w:tcPr>
          <w:p w14:paraId="74FAED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4918" w:type="dxa"/>
          </w:tcPr>
          <w:p w14:paraId="598747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F579698" w14:textId="77777777" w:rsidTr="000D3BCB">
        <w:tc>
          <w:tcPr>
            <w:tcW w:w="284" w:type="dxa"/>
          </w:tcPr>
          <w:p w14:paraId="11098E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w:t>
            </w:r>
          </w:p>
        </w:tc>
        <w:tc>
          <w:tcPr>
            <w:tcW w:w="2390" w:type="dxa"/>
          </w:tcPr>
          <w:p w14:paraId="36B7ACA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 1-й и 2-й красочные заводы треста «Полиграф»</w:t>
            </w:r>
          </w:p>
        </w:tc>
        <w:tc>
          <w:tcPr>
            <w:tcW w:w="3322" w:type="dxa"/>
          </w:tcPr>
          <w:p w14:paraId="3F686C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Лакокрасочный завод (ул.Зенцова, 93)</w:t>
            </w:r>
          </w:p>
        </w:tc>
        <w:tc>
          <w:tcPr>
            <w:tcW w:w="4918" w:type="dxa"/>
          </w:tcPr>
          <w:p w14:paraId="2408C4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Восстановлен за 3 месяца. Пустили в полный ход 1 января 1941 года. Вырабатывал печатную краску для удовлетворения нужд Генштаба, ВМФ, центра органов печати «Правда» и «Известия».</w:t>
            </w:r>
          </w:p>
        </w:tc>
      </w:tr>
      <w:tr w:rsidR="00643896" w:rsidRPr="00640820" w14:paraId="5B625A6C" w14:textId="77777777" w:rsidTr="000D3BCB">
        <w:tc>
          <w:tcPr>
            <w:tcW w:w="284" w:type="dxa"/>
          </w:tcPr>
          <w:p w14:paraId="5E3949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tc>
        <w:tc>
          <w:tcPr>
            <w:tcW w:w="2390" w:type="dxa"/>
          </w:tcPr>
          <w:p w14:paraId="56B8CB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 витаминный завод Наркомата пищевой промышленности СССР</w:t>
            </w:r>
          </w:p>
        </w:tc>
        <w:tc>
          <w:tcPr>
            <w:tcW w:w="3322" w:type="dxa"/>
          </w:tcPr>
          <w:p w14:paraId="0A6459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Уфимский витаминный завод (название с 1945г.), а ныне ОАО «Уфа ВИТА»</w:t>
            </w:r>
          </w:p>
          <w:p w14:paraId="46BA0A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(ул.Худайбердина,28)</w:t>
            </w:r>
          </w:p>
        </w:tc>
        <w:tc>
          <w:tcPr>
            <w:tcW w:w="4918" w:type="dxa"/>
          </w:tcPr>
          <w:p w14:paraId="6A3AD08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базе Уфимской кондитерской фабрики создан Уфимский витаминный завод</w:t>
            </w:r>
          </w:p>
          <w:p w14:paraId="6D5E72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Он был восстановлен за 2 месяца и уже в том же 1941 г. освоено пр-во витаминизированных сиропов из плодов шиповника, к 1944г. – витаминного драже и т.д.</w:t>
            </w:r>
          </w:p>
        </w:tc>
      </w:tr>
      <w:tr w:rsidR="00643896" w:rsidRPr="00640820" w14:paraId="378EDF77" w14:textId="77777777" w:rsidTr="000D3BCB">
        <w:tc>
          <w:tcPr>
            <w:tcW w:w="284" w:type="dxa"/>
          </w:tcPr>
          <w:p w14:paraId="6733B9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2390" w:type="dxa"/>
          </w:tcPr>
          <w:p w14:paraId="46631C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 радиоламповый завод №191</w:t>
            </w:r>
          </w:p>
        </w:tc>
        <w:tc>
          <w:tcPr>
            <w:tcW w:w="3322" w:type="dxa"/>
          </w:tcPr>
          <w:p w14:paraId="633C2F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ОАО «Уф.электроламповый завод «Свет»</w:t>
            </w:r>
          </w:p>
          <w:p w14:paraId="170976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Ул.Юбилейная, 1</w:t>
            </w:r>
          </w:p>
        </w:tc>
        <w:tc>
          <w:tcPr>
            <w:tcW w:w="4918" w:type="dxa"/>
          </w:tcPr>
          <w:p w14:paraId="6123DA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57560583" w14:textId="77777777" w:rsidTr="000D3BCB">
        <w:tc>
          <w:tcPr>
            <w:tcW w:w="284" w:type="dxa"/>
          </w:tcPr>
          <w:p w14:paraId="7F1FBA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w:t>
            </w:r>
          </w:p>
        </w:tc>
        <w:tc>
          <w:tcPr>
            <w:tcW w:w="2390" w:type="dxa"/>
          </w:tcPr>
          <w:p w14:paraId="7F2FE0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Московский кожевенный комбинат - «Москожкомбинат»</w:t>
            </w:r>
          </w:p>
        </w:tc>
        <w:tc>
          <w:tcPr>
            <w:tcW w:w="3322" w:type="dxa"/>
          </w:tcPr>
          <w:p w14:paraId="6AC47F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Уф.кожгалантерейная фабрика (ул.Рязанская,11)</w:t>
            </w:r>
          </w:p>
        </w:tc>
        <w:tc>
          <w:tcPr>
            <w:tcW w:w="4918" w:type="dxa"/>
          </w:tcPr>
          <w:p w14:paraId="0F58FB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базе Уф.кожгалантерейной фабрики создана шорно-седельная фабрика .</w:t>
            </w:r>
          </w:p>
          <w:p w14:paraId="63B5FA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Выпускала снаряжение для кавлерийских частей</w:t>
            </w:r>
          </w:p>
        </w:tc>
      </w:tr>
      <w:tr w:rsidR="00643896" w:rsidRPr="00640820" w14:paraId="20E473B0" w14:textId="77777777" w:rsidTr="000D3BCB">
        <w:tc>
          <w:tcPr>
            <w:tcW w:w="284" w:type="dxa"/>
          </w:tcPr>
          <w:p w14:paraId="1A1E56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w:t>
            </w:r>
          </w:p>
        </w:tc>
        <w:tc>
          <w:tcPr>
            <w:tcW w:w="2390" w:type="dxa"/>
          </w:tcPr>
          <w:p w14:paraId="18E818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 «Москабель»</w:t>
            </w:r>
          </w:p>
        </w:tc>
        <w:tc>
          <w:tcPr>
            <w:tcW w:w="3322" w:type="dxa"/>
          </w:tcPr>
          <w:p w14:paraId="1AF932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Уфимский кабельный завод</w:t>
            </w:r>
          </w:p>
          <w:p w14:paraId="6516A4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(ул.Цюрупы, 12)</w:t>
            </w:r>
          </w:p>
        </w:tc>
        <w:tc>
          <w:tcPr>
            <w:tcW w:w="4918" w:type="dxa"/>
          </w:tcPr>
          <w:p w14:paraId="30C1B1F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авг.1941 г. в Уфу эвакуировались 5 заводов и разместились в здании универмага (ул.Ленина,100).</w:t>
            </w:r>
          </w:p>
          <w:p w14:paraId="11D484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окт.1941 г. выпущена 1-я продукция: телефонные, саперные и др.провода.</w:t>
            </w:r>
          </w:p>
        </w:tc>
      </w:tr>
      <w:tr w:rsidR="00643896" w:rsidRPr="00640820" w14:paraId="237DA3A8" w14:textId="77777777" w:rsidTr="000D3BCB">
        <w:tc>
          <w:tcPr>
            <w:tcW w:w="284" w:type="dxa"/>
          </w:tcPr>
          <w:p w14:paraId="7736E8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w:t>
            </w:r>
          </w:p>
        </w:tc>
        <w:tc>
          <w:tcPr>
            <w:tcW w:w="2390" w:type="dxa"/>
          </w:tcPr>
          <w:p w14:paraId="1073EE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 завод «Электропровод»</w:t>
            </w:r>
          </w:p>
        </w:tc>
        <w:tc>
          <w:tcPr>
            <w:tcW w:w="3322" w:type="dxa"/>
          </w:tcPr>
          <w:p w14:paraId="4A91FE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4918" w:type="dxa"/>
          </w:tcPr>
          <w:p w14:paraId="5DD084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ED2C25C" w14:textId="77777777" w:rsidTr="000D3BCB">
        <w:tc>
          <w:tcPr>
            <w:tcW w:w="284" w:type="dxa"/>
          </w:tcPr>
          <w:p w14:paraId="25FC253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w:t>
            </w:r>
          </w:p>
        </w:tc>
        <w:tc>
          <w:tcPr>
            <w:tcW w:w="2390" w:type="dxa"/>
          </w:tcPr>
          <w:p w14:paraId="552CB0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Подольск, завод «Винилпровод»</w:t>
            </w:r>
          </w:p>
        </w:tc>
        <w:tc>
          <w:tcPr>
            <w:tcW w:w="3322" w:type="dxa"/>
          </w:tcPr>
          <w:p w14:paraId="2E71AD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4918" w:type="dxa"/>
          </w:tcPr>
          <w:p w14:paraId="5A2A96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0630A1A" w14:textId="77777777" w:rsidTr="000D3BCB">
        <w:tc>
          <w:tcPr>
            <w:tcW w:w="284" w:type="dxa"/>
          </w:tcPr>
          <w:p w14:paraId="667704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2390" w:type="dxa"/>
          </w:tcPr>
          <w:p w14:paraId="7EEA503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 , завод «Металлрукав»</w:t>
            </w:r>
          </w:p>
        </w:tc>
        <w:tc>
          <w:tcPr>
            <w:tcW w:w="3322" w:type="dxa"/>
          </w:tcPr>
          <w:p w14:paraId="7E13D5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4918" w:type="dxa"/>
          </w:tcPr>
          <w:p w14:paraId="5A0582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97EA2BE" w14:textId="77777777" w:rsidTr="000D3BCB">
        <w:tc>
          <w:tcPr>
            <w:tcW w:w="284" w:type="dxa"/>
          </w:tcPr>
          <w:p w14:paraId="12873F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w:t>
            </w:r>
          </w:p>
        </w:tc>
        <w:tc>
          <w:tcPr>
            <w:tcW w:w="2390" w:type="dxa"/>
          </w:tcPr>
          <w:p w14:paraId="698A5A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Одесса, завод «Электрошнур»</w:t>
            </w:r>
          </w:p>
        </w:tc>
        <w:tc>
          <w:tcPr>
            <w:tcW w:w="3322" w:type="dxa"/>
          </w:tcPr>
          <w:p w14:paraId="7BB6CC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4918" w:type="dxa"/>
          </w:tcPr>
          <w:p w14:paraId="2EC2FD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6E56B0A" w14:textId="77777777" w:rsidTr="000D3BCB">
        <w:tc>
          <w:tcPr>
            <w:tcW w:w="284" w:type="dxa"/>
          </w:tcPr>
          <w:p w14:paraId="5A36113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w:t>
            </w:r>
          </w:p>
        </w:tc>
        <w:tc>
          <w:tcPr>
            <w:tcW w:w="2390" w:type="dxa"/>
          </w:tcPr>
          <w:p w14:paraId="673F3B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Витебск, обувная фабрика «Прогресс»</w:t>
            </w:r>
          </w:p>
        </w:tc>
        <w:tc>
          <w:tcPr>
            <w:tcW w:w="3322" w:type="dxa"/>
          </w:tcPr>
          <w:p w14:paraId="7FE14D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Уф.обувная фабрика (ул.Трамвайная 15/1)</w:t>
            </w:r>
          </w:p>
        </w:tc>
        <w:tc>
          <w:tcPr>
            <w:tcW w:w="4918" w:type="dxa"/>
          </w:tcPr>
          <w:p w14:paraId="017029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Уф.обувной фабрике установили оборудование</w:t>
            </w:r>
          </w:p>
        </w:tc>
      </w:tr>
      <w:tr w:rsidR="00643896" w:rsidRPr="00640820" w14:paraId="239B6A09" w14:textId="77777777" w:rsidTr="000D3BCB">
        <w:tc>
          <w:tcPr>
            <w:tcW w:w="284" w:type="dxa"/>
          </w:tcPr>
          <w:p w14:paraId="6A4838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w:t>
            </w:r>
          </w:p>
        </w:tc>
        <w:tc>
          <w:tcPr>
            <w:tcW w:w="2390" w:type="dxa"/>
          </w:tcPr>
          <w:p w14:paraId="6FBF76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Витебский молочный завод</w:t>
            </w:r>
          </w:p>
          <w:p w14:paraId="1F25EA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 20 механизированных маслодельных заводов из Москвы</w:t>
            </w:r>
          </w:p>
        </w:tc>
        <w:tc>
          <w:tcPr>
            <w:tcW w:w="3322" w:type="dxa"/>
          </w:tcPr>
          <w:p w14:paraId="0C9B58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«Уфамолзавод»</w:t>
            </w:r>
          </w:p>
          <w:p w14:paraId="3EA7CA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(ул.Комсомольская, 3)</w:t>
            </w:r>
          </w:p>
        </w:tc>
        <w:tc>
          <w:tcPr>
            <w:tcW w:w="4918" w:type="dxa"/>
          </w:tcPr>
          <w:p w14:paraId="46220E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Уфимский молочный комбинат</w:t>
            </w:r>
          </w:p>
        </w:tc>
      </w:tr>
      <w:tr w:rsidR="00643896" w:rsidRPr="00640820" w14:paraId="3ED278CC" w14:textId="77777777" w:rsidTr="000D3BCB">
        <w:tc>
          <w:tcPr>
            <w:tcW w:w="284" w:type="dxa"/>
          </w:tcPr>
          <w:p w14:paraId="1C3F8F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w:t>
            </w:r>
          </w:p>
        </w:tc>
        <w:tc>
          <w:tcPr>
            <w:tcW w:w="2390" w:type="dxa"/>
          </w:tcPr>
          <w:p w14:paraId="4D7C45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Калуга, спичечная фабрика «Гигант»</w:t>
            </w:r>
          </w:p>
        </w:tc>
        <w:tc>
          <w:tcPr>
            <w:tcW w:w="3322" w:type="dxa"/>
          </w:tcPr>
          <w:p w14:paraId="33796E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Уфимская спичечная фабрика им.1Мая (ул.Новоженова)</w:t>
            </w:r>
          </w:p>
        </w:tc>
        <w:tc>
          <w:tcPr>
            <w:tcW w:w="4918" w:type="dxa"/>
          </w:tcPr>
          <w:p w14:paraId="5489A0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Разместилась на производственных площадях Уфимской спичечной фабрики им.1Мая</w:t>
            </w:r>
          </w:p>
        </w:tc>
      </w:tr>
      <w:tr w:rsidR="00643896" w:rsidRPr="00640820" w14:paraId="4B9DDED3" w14:textId="77777777" w:rsidTr="000D3BCB">
        <w:tc>
          <w:tcPr>
            <w:tcW w:w="284" w:type="dxa"/>
          </w:tcPr>
          <w:p w14:paraId="2B71088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w:t>
            </w:r>
          </w:p>
        </w:tc>
        <w:tc>
          <w:tcPr>
            <w:tcW w:w="2390" w:type="dxa"/>
          </w:tcPr>
          <w:p w14:paraId="2A60AB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С.Микашевичи Белорусская ССР,</w:t>
            </w:r>
          </w:p>
          <w:p w14:paraId="598F48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оборудование Микашевического фанерного завода</w:t>
            </w:r>
          </w:p>
        </w:tc>
        <w:tc>
          <w:tcPr>
            <w:tcW w:w="3322" w:type="dxa"/>
          </w:tcPr>
          <w:p w14:paraId="68F043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ООО «Фанерно-плиточный комбинат»</w:t>
            </w:r>
          </w:p>
          <w:p w14:paraId="64629E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(ул.Уф.шоссе,4)</w:t>
            </w:r>
          </w:p>
        </w:tc>
        <w:tc>
          <w:tcPr>
            <w:tcW w:w="4918" w:type="dxa"/>
          </w:tcPr>
          <w:p w14:paraId="366B02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Фанерный комбинат</w:t>
            </w:r>
          </w:p>
          <w:p w14:paraId="4242A4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Объединен с местными родственными предприятиями:</w:t>
            </w:r>
          </w:p>
          <w:p w14:paraId="11A9B1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А)Черниковский фанерный комбинат</w:t>
            </w:r>
          </w:p>
          <w:p w14:paraId="361109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Б)фанерный завод №17</w:t>
            </w:r>
          </w:p>
          <w:p w14:paraId="46B643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В)лесозавод №3</w:t>
            </w:r>
          </w:p>
          <w:p w14:paraId="5941C7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Они производили фанеру высокого качества, которая заменяла цветной металл</w:t>
            </w:r>
          </w:p>
        </w:tc>
      </w:tr>
      <w:tr w:rsidR="00643896" w:rsidRPr="00640820" w14:paraId="053953C5" w14:textId="77777777" w:rsidTr="000D3BCB">
        <w:tc>
          <w:tcPr>
            <w:tcW w:w="284" w:type="dxa"/>
          </w:tcPr>
          <w:p w14:paraId="027A27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w:t>
            </w:r>
          </w:p>
        </w:tc>
        <w:tc>
          <w:tcPr>
            <w:tcW w:w="2390" w:type="dxa"/>
          </w:tcPr>
          <w:p w14:paraId="234C69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Запорожский паровозоремонтный завод</w:t>
            </w:r>
          </w:p>
        </w:tc>
        <w:tc>
          <w:tcPr>
            <w:tcW w:w="3322" w:type="dxa"/>
          </w:tcPr>
          <w:p w14:paraId="458390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Уфимский тепловозоремонтный завод</w:t>
            </w:r>
          </w:p>
          <w:p w14:paraId="634E43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(ул.Вокзальная,57)</w:t>
            </w:r>
          </w:p>
        </w:tc>
        <w:tc>
          <w:tcPr>
            <w:tcW w:w="4918" w:type="dxa"/>
          </w:tcPr>
          <w:p w14:paraId="4C8429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Уфимский тепловозоремонтный завод в годы ВОВ разместил на своих площадках 4 эвак.завода. Ремонтировали локомотивы, выпускали военную продукцию, в 1942-1943 годах – 4 бронепоезда,а 1945г. з-д перешел на ремонт паровозов.</w:t>
            </w:r>
          </w:p>
        </w:tc>
      </w:tr>
      <w:tr w:rsidR="00643896" w:rsidRPr="00640820" w14:paraId="06FF4FF4" w14:textId="77777777" w:rsidTr="000D3BCB">
        <w:tc>
          <w:tcPr>
            <w:tcW w:w="284" w:type="dxa"/>
          </w:tcPr>
          <w:p w14:paraId="034F63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22</w:t>
            </w:r>
          </w:p>
        </w:tc>
        <w:tc>
          <w:tcPr>
            <w:tcW w:w="2390" w:type="dxa"/>
          </w:tcPr>
          <w:p w14:paraId="17A891B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Гомельский вагоноремонтный</w:t>
            </w:r>
          </w:p>
        </w:tc>
        <w:tc>
          <w:tcPr>
            <w:tcW w:w="3322" w:type="dxa"/>
          </w:tcPr>
          <w:p w14:paraId="38EB1B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4918" w:type="dxa"/>
          </w:tcPr>
          <w:p w14:paraId="2E8A34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400EF56" w14:textId="77777777" w:rsidTr="000D3BCB">
        <w:tc>
          <w:tcPr>
            <w:tcW w:w="284" w:type="dxa"/>
          </w:tcPr>
          <w:p w14:paraId="0BAAF5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w:t>
            </w:r>
          </w:p>
        </w:tc>
        <w:tc>
          <w:tcPr>
            <w:tcW w:w="2390" w:type="dxa"/>
          </w:tcPr>
          <w:p w14:paraId="38920E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Станиславский паровозоремонтный завод</w:t>
            </w:r>
          </w:p>
        </w:tc>
        <w:tc>
          <w:tcPr>
            <w:tcW w:w="3322" w:type="dxa"/>
          </w:tcPr>
          <w:p w14:paraId="5649CC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4918" w:type="dxa"/>
          </w:tcPr>
          <w:p w14:paraId="6825FA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CF6FB15" w14:textId="77777777" w:rsidTr="000D3BCB">
        <w:tc>
          <w:tcPr>
            <w:tcW w:w="284" w:type="dxa"/>
          </w:tcPr>
          <w:p w14:paraId="02EA7E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w:t>
            </w:r>
          </w:p>
        </w:tc>
        <w:tc>
          <w:tcPr>
            <w:tcW w:w="2390" w:type="dxa"/>
          </w:tcPr>
          <w:p w14:paraId="78F186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Изюмский паровозоремонтный завод</w:t>
            </w:r>
          </w:p>
        </w:tc>
        <w:tc>
          <w:tcPr>
            <w:tcW w:w="3322" w:type="dxa"/>
          </w:tcPr>
          <w:p w14:paraId="64C07E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4918" w:type="dxa"/>
          </w:tcPr>
          <w:p w14:paraId="47CA0A3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0E5D7EE" w14:textId="77777777" w:rsidTr="000D3BCB">
        <w:tc>
          <w:tcPr>
            <w:tcW w:w="284" w:type="dxa"/>
          </w:tcPr>
          <w:p w14:paraId="1A0B2E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w:t>
            </w:r>
          </w:p>
        </w:tc>
        <w:tc>
          <w:tcPr>
            <w:tcW w:w="2390" w:type="dxa"/>
          </w:tcPr>
          <w:p w14:paraId="39FCC3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Серпуховская текстильная фабрика, </w:t>
            </w:r>
          </w:p>
        </w:tc>
        <w:tc>
          <w:tcPr>
            <w:tcW w:w="3322" w:type="dxa"/>
          </w:tcPr>
          <w:p w14:paraId="30E5CD5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Уфимский хлопчатобумажный комбинат - УХБК ( ул.Менделеева, 137)</w:t>
            </w:r>
          </w:p>
        </w:tc>
        <w:tc>
          <w:tcPr>
            <w:tcW w:w="4918" w:type="dxa"/>
          </w:tcPr>
          <w:p w14:paraId="7B0243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Эвакуирована в 1941 г. в Уфу в здание Гостиного двора. В начале 1980-х годов комбинат освободил Гостиный двор и переехал в новое помещение.</w:t>
            </w:r>
          </w:p>
        </w:tc>
      </w:tr>
      <w:tr w:rsidR="00643896" w:rsidRPr="00640820" w14:paraId="593C83B0" w14:textId="77777777" w:rsidTr="000D3BCB">
        <w:tc>
          <w:tcPr>
            <w:tcW w:w="284" w:type="dxa"/>
          </w:tcPr>
          <w:p w14:paraId="2C9994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w:t>
            </w:r>
          </w:p>
        </w:tc>
        <w:tc>
          <w:tcPr>
            <w:tcW w:w="2390" w:type="dxa"/>
          </w:tcPr>
          <w:p w14:paraId="1ADD71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«Красный текстильщик» из Москвы </w:t>
            </w:r>
          </w:p>
        </w:tc>
        <w:tc>
          <w:tcPr>
            <w:tcW w:w="3322" w:type="dxa"/>
          </w:tcPr>
          <w:p w14:paraId="3C5915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4918" w:type="dxa"/>
          </w:tcPr>
          <w:p w14:paraId="4092C2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1230414" w14:textId="77777777" w:rsidTr="000D3BCB">
        <w:tc>
          <w:tcPr>
            <w:tcW w:w="284" w:type="dxa"/>
          </w:tcPr>
          <w:p w14:paraId="0194D2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w:t>
            </w:r>
          </w:p>
        </w:tc>
        <w:tc>
          <w:tcPr>
            <w:tcW w:w="2390" w:type="dxa"/>
          </w:tcPr>
          <w:p w14:paraId="456D90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«Красное знамя» из г. Раменского Моск. обл.</w:t>
            </w:r>
          </w:p>
        </w:tc>
        <w:tc>
          <w:tcPr>
            <w:tcW w:w="3322" w:type="dxa"/>
          </w:tcPr>
          <w:p w14:paraId="174262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4918" w:type="dxa"/>
          </w:tcPr>
          <w:p w14:paraId="68DAE8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BD86F43" w14:textId="77777777" w:rsidTr="000D3BCB">
        <w:tc>
          <w:tcPr>
            <w:tcW w:w="284" w:type="dxa"/>
          </w:tcPr>
          <w:p w14:paraId="27603E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w:t>
            </w:r>
          </w:p>
        </w:tc>
        <w:tc>
          <w:tcPr>
            <w:tcW w:w="2390" w:type="dxa"/>
          </w:tcPr>
          <w:p w14:paraId="3255CF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Ярцевская прядильная ф-ка (Смол.обл.)</w:t>
            </w:r>
          </w:p>
        </w:tc>
        <w:tc>
          <w:tcPr>
            <w:tcW w:w="3322" w:type="dxa"/>
          </w:tcPr>
          <w:p w14:paraId="20FA04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4918" w:type="dxa"/>
          </w:tcPr>
          <w:p w14:paraId="329CFE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3C55FEC" w14:textId="77777777" w:rsidTr="000D3BCB">
        <w:tc>
          <w:tcPr>
            <w:tcW w:w="284" w:type="dxa"/>
          </w:tcPr>
          <w:p w14:paraId="49313F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w:t>
            </w:r>
          </w:p>
        </w:tc>
        <w:tc>
          <w:tcPr>
            <w:tcW w:w="2390" w:type="dxa"/>
          </w:tcPr>
          <w:p w14:paraId="016C22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Рубежанского хим комбинат (цехи №/№1,2, 9, 11, 23 и электроподстанция ) Наркомата химической промышленности СССР</w:t>
            </w:r>
          </w:p>
        </w:tc>
        <w:tc>
          <w:tcPr>
            <w:tcW w:w="3322" w:type="dxa"/>
          </w:tcPr>
          <w:p w14:paraId="2C6FD1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г. Уфа на завод № 768 хим пром-ти (т.е. строящегося сернокислотного завода) . Создан Уфимский химический завод ОАО «Уфахимпром» (ул.Путейская, 25)</w:t>
            </w:r>
          </w:p>
        </w:tc>
        <w:tc>
          <w:tcPr>
            <w:tcW w:w="4918" w:type="dxa"/>
          </w:tcPr>
          <w:p w14:paraId="58BD97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апр.1943г. получена 1-я продукция – серная кислота для нужд обороны.</w:t>
            </w:r>
          </w:p>
          <w:p w14:paraId="7C577F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Производил продукты оборонного значения: хлора, каустической соды, соляной,серной кислот и т. д. Эта продукция применялась в нефтяной пром-ти и на заводах наркомата боеприпасов.</w:t>
            </w:r>
          </w:p>
        </w:tc>
      </w:tr>
      <w:tr w:rsidR="00643896" w:rsidRPr="00640820" w14:paraId="0030D331" w14:textId="77777777" w:rsidTr="000D3BCB">
        <w:tc>
          <w:tcPr>
            <w:tcW w:w="284" w:type="dxa"/>
          </w:tcPr>
          <w:p w14:paraId="05FDCB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w:t>
            </w:r>
          </w:p>
        </w:tc>
        <w:tc>
          <w:tcPr>
            <w:tcW w:w="2390" w:type="dxa"/>
          </w:tcPr>
          <w:p w14:paraId="74864D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Филиал Ржевского завода прокладок и уплотнительных материалов.</w:t>
            </w:r>
          </w:p>
        </w:tc>
        <w:tc>
          <w:tcPr>
            <w:tcW w:w="3322" w:type="dxa"/>
          </w:tcPr>
          <w:p w14:paraId="5F4787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ФГУП «Уфимское агрегатное предприятие «Гидравлика» (Володарского,2)</w:t>
            </w:r>
          </w:p>
        </w:tc>
        <w:tc>
          <w:tcPr>
            <w:tcW w:w="4918" w:type="dxa"/>
          </w:tcPr>
          <w:p w14:paraId="5636679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создан в марте 1942г. на базе эвакуированного и получил статус штамповочного завода. В годы ВОВ его продукцией обеспечивалось авиамоторное пр-во Урала и Сибири.</w:t>
            </w:r>
          </w:p>
        </w:tc>
      </w:tr>
      <w:tr w:rsidR="00643896" w:rsidRPr="00640820" w14:paraId="5C56A1D9" w14:textId="77777777" w:rsidTr="000D3BCB">
        <w:tc>
          <w:tcPr>
            <w:tcW w:w="284" w:type="dxa"/>
          </w:tcPr>
          <w:p w14:paraId="6C22AF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w:t>
            </w:r>
          </w:p>
        </w:tc>
        <w:tc>
          <w:tcPr>
            <w:tcW w:w="2390" w:type="dxa"/>
          </w:tcPr>
          <w:p w14:paraId="09AB24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Ярославский завод резино-технических изделий (РТИ) </w:t>
            </w:r>
          </w:p>
        </w:tc>
        <w:tc>
          <w:tcPr>
            <w:tcW w:w="3322" w:type="dxa"/>
          </w:tcPr>
          <w:p w14:paraId="05A974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Уфимский завод РТИ (завод №688), а ныне ОАО </w:t>
            </w:r>
          </w:p>
          <w:p w14:paraId="50E28E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Уф.завод эластомерных материалов, изделий и конструкций – УЗЭМИК»</w:t>
            </w:r>
          </w:p>
          <w:p w14:paraId="1E702F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Ул.Пархоменко, 156</w:t>
            </w:r>
          </w:p>
        </w:tc>
        <w:tc>
          <w:tcPr>
            <w:tcW w:w="4918" w:type="dxa"/>
          </w:tcPr>
          <w:p w14:paraId="50EAD7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эвакуирован, а в 1942г. коллектив пополнился работниками Ленинградского «Красного треугольника» и выпущена след.продукция: воздухоплавательное и инж.имущества, прорезиненные ткани и т.д.</w:t>
            </w:r>
          </w:p>
        </w:tc>
      </w:tr>
      <w:tr w:rsidR="00643896" w:rsidRPr="00640820" w14:paraId="2DA08B80" w14:textId="77777777" w:rsidTr="000D3BCB">
        <w:tc>
          <w:tcPr>
            <w:tcW w:w="284" w:type="dxa"/>
          </w:tcPr>
          <w:p w14:paraId="028BDF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32</w:t>
            </w:r>
          </w:p>
        </w:tc>
        <w:tc>
          <w:tcPr>
            <w:tcW w:w="2390" w:type="dxa"/>
          </w:tcPr>
          <w:p w14:paraId="4B0400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Ленинград «Красный треугольник»</w:t>
            </w:r>
          </w:p>
        </w:tc>
        <w:tc>
          <w:tcPr>
            <w:tcW w:w="3322" w:type="dxa"/>
          </w:tcPr>
          <w:p w14:paraId="73A047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4918" w:type="dxa"/>
          </w:tcPr>
          <w:p w14:paraId="66E656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EA1C2D1" w14:textId="77777777" w:rsidTr="000D3BCB">
        <w:tc>
          <w:tcPr>
            <w:tcW w:w="284" w:type="dxa"/>
          </w:tcPr>
          <w:p w14:paraId="03146E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33</w:t>
            </w:r>
          </w:p>
        </w:tc>
        <w:tc>
          <w:tcPr>
            <w:tcW w:w="2390" w:type="dxa"/>
          </w:tcPr>
          <w:p w14:paraId="41D031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г.Рязань, чаеразвесочная фабрика</w:t>
            </w:r>
          </w:p>
        </w:tc>
        <w:tc>
          <w:tcPr>
            <w:tcW w:w="3322" w:type="dxa"/>
          </w:tcPr>
          <w:p w14:paraId="6B15A6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ЗАО «Теастан»Уфимская чаеразвесочная фабрика (ул.Менделеева, 177)</w:t>
            </w:r>
          </w:p>
        </w:tc>
        <w:tc>
          <w:tcPr>
            <w:tcW w:w="4918" w:type="dxa"/>
          </w:tcPr>
          <w:p w14:paraId="388F5AF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Эвакуирован в 1942г, в 1943г. выпущена 1-я продукция – плиточный и прессованный в таблетках чай</w:t>
            </w:r>
          </w:p>
        </w:tc>
      </w:tr>
      <w:tr w:rsidR="00643896" w:rsidRPr="00640820" w14:paraId="0D6C7B95" w14:textId="77777777" w:rsidTr="000D3BCB">
        <w:tc>
          <w:tcPr>
            <w:tcW w:w="284" w:type="dxa"/>
          </w:tcPr>
          <w:p w14:paraId="4EBBCD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34</w:t>
            </w:r>
          </w:p>
        </w:tc>
        <w:tc>
          <w:tcPr>
            <w:tcW w:w="2390" w:type="dxa"/>
          </w:tcPr>
          <w:p w14:paraId="15BDFD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г.Краснодар, нефтеперерабатывающий завод</w:t>
            </w:r>
          </w:p>
        </w:tc>
        <w:tc>
          <w:tcPr>
            <w:tcW w:w="3322" w:type="dxa"/>
          </w:tcPr>
          <w:p w14:paraId="34C123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АО «Уф.нефтеперерабатывающий завод г.Уфы (ул.Ульяновых,74)</w:t>
            </w:r>
          </w:p>
        </w:tc>
        <w:tc>
          <w:tcPr>
            <w:tcW w:w="4918" w:type="dxa"/>
          </w:tcPr>
          <w:p w14:paraId="708A87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площадке нефтеперерабатывающего завода г.Уфы</w:t>
            </w:r>
          </w:p>
        </w:tc>
      </w:tr>
      <w:tr w:rsidR="00643896" w:rsidRPr="00640820" w14:paraId="48BF276A" w14:textId="77777777" w:rsidTr="000D3BCB">
        <w:tc>
          <w:tcPr>
            <w:tcW w:w="284" w:type="dxa"/>
          </w:tcPr>
          <w:p w14:paraId="15CDC5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w:t>
            </w:r>
          </w:p>
        </w:tc>
        <w:tc>
          <w:tcPr>
            <w:tcW w:w="2390" w:type="dxa"/>
          </w:tcPr>
          <w:p w14:paraId="122D8F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г.Грозный,</w:t>
            </w:r>
          </w:p>
          <w:p w14:paraId="78EABD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нефтеперерабатывающий завод</w:t>
            </w:r>
          </w:p>
        </w:tc>
        <w:tc>
          <w:tcPr>
            <w:tcW w:w="3322" w:type="dxa"/>
          </w:tcPr>
          <w:p w14:paraId="606BCD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4918" w:type="dxa"/>
          </w:tcPr>
          <w:p w14:paraId="22CA5F8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9AFD57A" w14:textId="77777777" w:rsidTr="000D3BCB">
        <w:tc>
          <w:tcPr>
            <w:tcW w:w="284" w:type="dxa"/>
          </w:tcPr>
          <w:p w14:paraId="6857ECE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36</w:t>
            </w:r>
          </w:p>
        </w:tc>
        <w:tc>
          <w:tcPr>
            <w:tcW w:w="2390" w:type="dxa"/>
          </w:tcPr>
          <w:p w14:paraId="1027C9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г.Ливны, оборудование завода натурального каучука</w:t>
            </w:r>
          </w:p>
          <w:p w14:paraId="616782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ю-в г.Орла)</w:t>
            </w:r>
          </w:p>
        </w:tc>
        <w:tc>
          <w:tcPr>
            <w:tcW w:w="3322" w:type="dxa"/>
          </w:tcPr>
          <w:p w14:paraId="5B0C77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4918" w:type="dxa"/>
          </w:tcPr>
          <w:p w14:paraId="084B3E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Разместилась на площадке одного из строившихся цехов Уф.НПЗ. В конце 1942г. начал давать продукцию оборонного значения. Основным сырьем являлся кок-сагыз, выращиваемый на полях республики.</w:t>
            </w:r>
          </w:p>
        </w:tc>
      </w:tr>
      <w:tr w:rsidR="00643896" w:rsidRPr="00640820" w14:paraId="468737BA" w14:textId="77777777" w:rsidTr="000D3BCB">
        <w:tc>
          <w:tcPr>
            <w:tcW w:w="284" w:type="dxa"/>
          </w:tcPr>
          <w:p w14:paraId="799D7B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37</w:t>
            </w:r>
          </w:p>
        </w:tc>
        <w:tc>
          <w:tcPr>
            <w:tcW w:w="2390" w:type="dxa"/>
          </w:tcPr>
          <w:p w14:paraId="29929B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 опытный завод натурального каучука «Роскаучук»</w:t>
            </w:r>
          </w:p>
        </w:tc>
        <w:tc>
          <w:tcPr>
            <w:tcW w:w="3322" w:type="dxa"/>
          </w:tcPr>
          <w:p w14:paraId="7851C8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4918" w:type="dxa"/>
          </w:tcPr>
          <w:p w14:paraId="7488FE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738367D3" w14:textId="77777777" w:rsidTr="000D3BCB">
        <w:tc>
          <w:tcPr>
            <w:tcW w:w="284" w:type="dxa"/>
          </w:tcPr>
          <w:p w14:paraId="4C71AF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w:t>
            </w:r>
          </w:p>
        </w:tc>
        <w:tc>
          <w:tcPr>
            <w:tcW w:w="2390" w:type="dxa"/>
          </w:tcPr>
          <w:p w14:paraId="4076799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г.Полтава, спиртзавод</w:t>
            </w:r>
          </w:p>
        </w:tc>
        <w:tc>
          <w:tcPr>
            <w:tcW w:w="3322" w:type="dxa"/>
          </w:tcPr>
          <w:p w14:paraId="1C22E6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Уф.ликероводочный завод и Уф.спиртоводочный комбинат</w:t>
            </w:r>
          </w:p>
          <w:p w14:paraId="01FFFD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(ул.Малая Трактовая, 199))</w:t>
            </w:r>
          </w:p>
        </w:tc>
        <w:tc>
          <w:tcPr>
            <w:tcW w:w="4918" w:type="dxa"/>
          </w:tcPr>
          <w:p w14:paraId="54AC5D4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783BA0E" w14:textId="77777777" w:rsidTr="000D3BCB">
        <w:tc>
          <w:tcPr>
            <w:tcW w:w="284" w:type="dxa"/>
          </w:tcPr>
          <w:p w14:paraId="1333043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w:t>
            </w:r>
          </w:p>
        </w:tc>
        <w:tc>
          <w:tcPr>
            <w:tcW w:w="2390" w:type="dxa"/>
          </w:tcPr>
          <w:p w14:paraId="273651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Харьковская фабрика «ТЭЖЭ»</w:t>
            </w:r>
          </w:p>
        </w:tc>
        <w:tc>
          <w:tcPr>
            <w:tcW w:w="3322" w:type="dxa"/>
          </w:tcPr>
          <w:p w14:paraId="69F1F3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20505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4918" w:type="dxa"/>
          </w:tcPr>
          <w:p w14:paraId="15B75E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6BD4EC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922C8FA" w14:textId="77777777" w:rsidTr="000D3BCB">
        <w:tc>
          <w:tcPr>
            <w:tcW w:w="284" w:type="dxa"/>
          </w:tcPr>
          <w:p w14:paraId="338560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w:t>
            </w:r>
          </w:p>
        </w:tc>
        <w:tc>
          <w:tcPr>
            <w:tcW w:w="2390" w:type="dxa"/>
          </w:tcPr>
          <w:p w14:paraId="1ED168C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Харьковский электромеханический завод им.Сталина</w:t>
            </w:r>
          </w:p>
        </w:tc>
        <w:tc>
          <w:tcPr>
            <w:tcW w:w="3322" w:type="dxa"/>
          </w:tcPr>
          <w:p w14:paraId="62AC73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ФГУП «Уф.агрегатное производственное объединение – УАПО»</w:t>
            </w:r>
          </w:p>
          <w:p w14:paraId="0CCC697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ул.Аксаково, 97</w:t>
            </w:r>
          </w:p>
        </w:tc>
        <w:tc>
          <w:tcPr>
            <w:tcW w:w="4918" w:type="dxa"/>
          </w:tcPr>
          <w:p w14:paraId="18F77A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1941 г. выпускали технику для нефтяной промышленности и нефтехим-х предприятий и энергетики</w:t>
            </w:r>
          </w:p>
        </w:tc>
      </w:tr>
      <w:tr w:rsidR="00643896" w:rsidRPr="00640820" w14:paraId="36ECAF4C" w14:textId="77777777" w:rsidTr="000D3BCB">
        <w:tc>
          <w:tcPr>
            <w:tcW w:w="284" w:type="dxa"/>
          </w:tcPr>
          <w:p w14:paraId="768508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41</w:t>
            </w:r>
          </w:p>
        </w:tc>
        <w:tc>
          <w:tcPr>
            <w:tcW w:w="2390" w:type="dxa"/>
          </w:tcPr>
          <w:p w14:paraId="689742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Г.Харьков, парфюмерная фабрика</w:t>
            </w:r>
          </w:p>
        </w:tc>
        <w:tc>
          <w:tcPr>
            <w:tcW w:w="3322" w:type="dxa"/>
          </w:tcPr>
          <w:p w14:paraId="0DD72E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Уфа</w:t>
            </w:r>
          </w:p>
        </w:tc>
        <w:tc>
          <w:tcPr>
            <w:tcW w:w="4918" w:type="dxa"/>
          </w:tcPr>
          <w:p w14:paraId="130CD8B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EE3DE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535FBA2" w14:textId="77777777" w:rsidTr="000D3BCB">
        <w:tc>
          <w:tcPr>
            <w:tcW w:w="284" w:type="dxa"/>
          </w:tcPr>
          <w:p w14:paraId="310DD8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42</w:t>
            </w:r>
          </w:p>
        </w:tc>
        <w:tc>
          <w:tcPr>
            <w:tcW w:w="2390" w:type="dxa"/>
          </w:tcPr>
          <w:p w14:paraId="7B2D8F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 экспериментальный завод «Главпарфюмера»</w:t>
            </w:r>
          </w:p>
        </w:tc>
        <w:tc>
          <w:tcPr>
            <w:tcW w:w="3322" w:type="dxa"/>
          </w:tcPr>
          <w:p w14:paraId="1DFA22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Уфа</w:t>
            </w:r>
          </w:p>
        </w:tc>
        <w:tc>
          <w:tcPr>
            <w:tcW w:w="4918" w:type="dxa"/>
          </w:tcPr>
          <w:p w14:paraId="2015BB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CB41F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CA77EAD" w14:textId="77777777" w:rsidTr="000D3BCB">
        <w:tc>
          <w:tcPr>
            <w:tcW w:w="284" w:type="dxa"/>
          </w:tcPr>
          <w:p w14:paraId="230333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43</w:t>
            </w:r>
          </w:p>
        </w:tc>
        <w:tc>
          <w:tcPr>
            <w:tcW w:w="2390" w:type="dxa"/>
          </w:tcPr>
          <w:p w14:paraId="4CE7BB1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 завод сложных эфиров</w:t>
            </w:r>
          </w:p>
        </w:tc>
        <w:tc>
          <w:tcPr>
            <w:tcW w:w="3322" w:type="dxa"/>
          </w:tcPr>
          <w:p w14:paraId="7100EC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Уфа</w:t>
            </w:r>
          </w:p>
        </w:tc>
        <w:tc>
          <w:tcPr>
            <w:tcW w:w="4918" w:type="dxa"/>
          </w:tcPr>
          <w:p w14:paraId="4B7E86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FFF9F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60500A7" w14:textId="77777777" w:rsidTr="000D3BCB">
        <w:tc>
          <w:tcPr>
            <w:tcW w:w="284" w:type="dxa"/>
          </w:tcPr>
          <w:p w14:paraId="60B367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44</w:t>
            </w:r>
          </w:p>
        </w:tc>
        <w:tc>
          <w:tcPr>
            <w:tcW w:w="2390" w:type="dxa"/>
          </w:tcPr>
          <w:p w14:paraId="5D860E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 завод №291</w:t>
            </w:r>
          </w:p>
        </w:tc>
        <w:tc>
          <w:tcPr>
            <w:tcW w:w="3322" w:type="dxa"/>
          </w:tcPr>
          <w:p w14:paraId="7AE84D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Уфа</w:t>
            </w:r>
          </w:p>
        </w:tc>
        <w:tc>
          <w:tcPr>
            <w:tcW w:w="4918" w:type="dxa"/>
          </w:tcPr>
          <w:p w14:paraId="3D0335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F1EA7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2189D5F" w14:textId="77777777" w:rsidTr="000D3BCB">
        <w:tc>
          <w:tcPr>
            <w:tcW w:w="284" w:type="dxa"/>
          </w:tcPr>
          <w:p w14:paraId="58F6CB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w:t>
            </w:r>
          </w:p>
        </w:tc>
        <w:tc>
          <w:tcPr>
            <w:tcW w:w="2390" w:type="dxa"/>
          </w:tcPr>
          <w:p w14:paraId="0EF090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 завод №161</w:t>
            </w:r>
          </w:p>
        </w:tc>
        <w:tc>
          <w:tcPr>
            <w:tcW w:w="3322" w:type="dxa"/>
          </w:tcPr>
          <w:p w14:paraId="3DF1CF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Уфа</w:t>
            </w:r>
          </w:p>
        </w:tc>
        <w:tc>
          <w:tcPr>
            <w:tcW w:w="4918" w:type="dxa"/>
          </w:tcPr>
          <w:p w14:paraId="00AC15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4CC06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D713725" w14:textId="77777777" w:rsidTr="000D3BCB">
        <w:tc>
          <w:tcPr>
            <w:tcW w:w="284" w:type="dxa"/>
          </w:tcPr>
          <w:p w14:paraId="0559F5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46</w:t>
            </w:r>
          </w:p>
        </w:tc>
        <w:tc>
          <w:tcPr>
            <w:tcW w:w="2390" w:type="dxa"/>
          </w:tcPr>
          <w:p w14:paraId="672AB9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Оборудование Московского аккамуляторного завода Промкооперации</w:t>
            </w:r>
          </w:p>
        </w:tc>
        <w:tc>
          <w:tcPr>
            <w:tcW w:w="3322" w:type="dxa"/>
          </w:tcPr>
          <w:p w14:paraId="6D217A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Уфа</w:t>
            </w:r>
          </w:p>
        </w:tc>
        <w:tc>
          <w:tcPr>
            <w:tcW w:w="4918" w:type="dxa"/>
          </w:tcPr>
          <w:p w14:paraId="386B234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135F1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200232DD" w14:textId="77777777" w:rsidTr="000D3BCB">
        <w:tc>
          <w:tcPr>
            <w:tcW w:w="284" w:type="dxa"/>
          </w:tcPr>
          <w:p w14:paraId="4B5D2E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47</w:t>
            </w:r>
          </w:p>
        </w:tc>
        <w:tc>
          <w:tcPr>
            <w:tcW w:w="2390" w:type="dxa"/>
          </w:tcPr>
          <w:p w14:paraId="50E01C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 радиостанция РВ -1 им.Коминтерна</w:t>
            </w:r>
          </w:p>
        </w:tc>
        <w:tc>
          <w:tcPr>
            <w:tcW w:w="3322" w:type="dxa"/>
          </w:tcPr>
          <w:p w14:paraId="40AF5D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Уфа</w:t>
            </w:r>
          </w:p>
        </w:tc>
        <w:tc>
          <w:tcPr>
            <w:tcW w:w="4918" w:type="dxa"/>
          </w:tcPr>
          <w:p w14:paraId="22A145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Радиостанции им. Коминтерна 1941 г. – из Москвы в Уфу. Через нее велась антифашистская пропаганда на страны Европы на 18 языках</w:t>
            </w:r>
          </w:p>
        </w:tc>
      </w:tr>
      <w:tr w:rsidR="00643896" w:rsidRPr="00640820" w14:paraId="7D360266" w14:textId="77777777" w:rsidTr="000D3BCB">
        <w:tc>
          <w:tcPr>
            <w:tcW w:w="284" w:type="dxa"/>
            <w:tcBorders>
              <w:bottom w:val="single" w:sz="12" w:space="0" w:color="auto"/>
            </w:tcBorders>
          </w:tcPr>
          <w:p w14:paraId="0F65FA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48</w:t>
            </w:r>
          </w:p>
        </w:tc>
        <w:tc>
          <w:tcPr>
            <w:tcW w:w="2390" w:type="dxa"/>
            <w:tcBorders>
              <w:bottom w:val="single" w:sz="12" w:space="0" w:color="auto"/>
            </w:tcBorders>
          </w:tcPr>
          <w:p w14:paraId="563EBC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 заводы №9 и №633 Наркомата электропромышленности СССР</w:t>
            </w:r>
          </w:p>
        </w:tc>
        <w:tc>
          <w:tcPr>
            <w:tcW w:w="3322" w:type="dxa"/>
            <w:tcBorders>
              <w:bottom w:val="single" w:sz="12" w:space="0" w:color="auto"/>
            </w:tcBorders>
          </w:tcPr>
          <w:p w14:paraId="3FC2EA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ОАО «Уф.завод «Электроаапарат»</w:t>
            </w:r>
          </w:p>
          <w:p w14:paraId="339E3A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(проспект Салавата Юлаева, 45)</w:t>
            </w:r>
          </w:p>
        </w:tc>
        <w:tc>
          <w:tcPr>
            <w:tcW w:w="4918" w:type="dxa"/>
            <w:tcBorders>
              <w:bottom w:val="single" w:sz="12" w:space="0" w:color="auto"/>
            </w:tcBorders>
          </w:tcPr>
          <w:p w14:paraId="58317A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№697 и №656 элекропромышленности, выпускали электротехническую продукцию для авиационной, танковой пром-ти и комплектовании средств фронтовой связи</w:t>
            </w:r>
          </w:p>
        </w:tc>
      </w:tr>
    </w:tbl>
    <w:p w14:paraId="1C070B3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были следующие НИО, эвакуированные в Башкирию</w:t>
      </w:r>
    </w:p>
    <w:tbl>
      <w:tblPr>
        <w:tblW w:w="0" w:type="auto"/>
        <w:tblInd w:w="15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84"/>
        <w:gridCol w:w="2409"/>
        <w:gridCol w:w="3261"/>
        <w:gridCol w:w="4961"/>
      </w:tblGrid>
      <w:tr w:rsidR="00643896" w:rsidRPr="00640820" w14:paraId="7012FCB5" w14:textId="77777777" w:rsidTr="000D3BCB">
        <w:tc>
          <w:tcPr>
            <w:tcW w:w="284" w:type="dxa"/>
            <w:tcBorders>
              <w:top w:val="single" w:sz="12" w:space="0" w:color="auto"/>
            </w:tcBorders>
          </w:tcPr>
          <w:p w14:paraId="55457F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12" w:space="0" w:color="auto"/>
            </w:tcBorders>
          </w:tcPr>
          <w:p w14:paraId="66268DF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Их местонахождение до войны</w:t>
            </w:r>
          </w:p>
        </w:tc>
        <w:tc>
          <w:tcPr>
            <w:tcW w:w="3261" w:type="dxa"/>
            <w:tcBorders>
              <w:top w:val="single" w:sz="12" w:space="0" w:color="auto"/>
            </w:tcBorders>
          </w:tcPr>
          <w:p w14:paraId="70217B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Их размещение в эвакуацию</w:t>
            </w:r>
          </w:p>
        </w:tc>
        <w:tc>
          <w:tcPr>
            <w:tcW w:w="4961" w:type="dxa"/>
            <w:tcBorders>
              <w:top w:val="single" w:sz="12" w:space="0" w:color="auto"/>
            </w:tcBorders>
          </w:tcPr>
          <w:p w14:paraId="4F8302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Краткая характеристика</w:t>
            </w:r>
          </w:p>
        </w:tc>
      </w:tr>
      <w:tr w:rsidR="00643896" w:rsidRPr="00640820" w14:paraId="6CA24521" w14:textId="77777777" w:rsidTr="000D3BCB">
        <w:tc>
          <w:tcPr>
            <w:tcW w:w="284" w:type="dxa"/>
          </w:tcPr>
          <w:p w14:paraId="23758C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w:t>
            </w:r>
          </w:p>
        </w:tc>
        <w:tc>
          <w:tcPr>
            <w:tcW w:w="2409" w:type="dxa"/>
          </w:tcPr>
          <w:p w14:paraId="6FA3FD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Академия наук УССР, Президиум и большинство институтов Академии наук УССР</w:t>
            </w:r>
            <w:r w:rsidRPr="00640820">
              <w:rPr>
                <w:rFonts w:ascii="Times New Roman" w:hAnsi="Times New Roman"/>
                <w:iCs/>
                <w:color w:val="000000" w:themeColor="text1"/>
                <w:sz w:val="16"/>
                <w:szCs w:val="16"/>
              </w:rPr>
              <w:t>.</w:t>
            </w:r>
          </w:p>
        </w:tc>
        <w:tc>
          <w:tcPr>
            <w:tcW w:w="3261" w:type="dxa"/>
          </w:tcPr>
          <w:p w14:paraId="014AB4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Уфа </w:t>
            </w:r>
          </w:p>
          <w:p w14:paraId="29FE2E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754D3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4961" w:type="dxa"/>
          </w:tcPr>
          <w:p w14:paraId="2C55A4D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вместе с Президиумом АН УССР в Уфе оказалось 38 академиков, 45 докторов и 150кандидатов наук. Сразу же приступили к разработке важных проблем науки и техники, имевших оборонное значение</w:t>
            </w:r>
          </w:p>
        </w:tc>
      </w:tr>
      <w:tr w:rsidR="00643896" w:rsidRPr="00640820" w14:paraId="1FB6D23F" w14:textId="77777777" w:rsidTr="000D3BCB">
        <w:tc>
          <w:tcPr>
            <w:tcW w:w="284" w:type="dxa"/>
          </w:tcPr>
          <w:p w14:paraId="2842E3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w:t>
            </w:r>
          </w:p>
        </w:tc>
        <w:tc>
          <w:tcPr>
            <w:tcW w:w="2409" w:type="dxa"/>
          </w:tcPr>
          <w:p w14:paraId="292B46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Московский НИИ эпидемиологии и микробиологии им.И.И.Мечникова</w:t>
            </w:r>
          </w:p>
        </w:tc>
        <w:tc>
          <w:tcPr>
            <w:tcW w:w="3261" w:type="dxa"/>
          </w:tcPr>
          <w:p w14:paraId="7C446FE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Уфимский институт эпидемиологии и микробиологии им. Мечникова </w:t>
            </w:r>
          </w:p>
          <w:p w14:paraId="688615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AF505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4D3A7F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6DED5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4961" w:type="dxa"/>
          </w:tcPr>
          <w:p w14:paraId="0DB6CF8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Он был образован в результате слияния Уфимского бактериологического НИИ с эвакуированными Московскими институтами. </w:t>
            </w:r>
          </w:p>
          <w:p w14:paraId="3944CE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Этому институту принадлежит большая заслуга в поддержании эпидемиологического благополучия как на фронте, так и в тылу</w:t>
            </w:r>
          </w:p>
        </w:tc>
      </w:tr>
      <w:tr w:rsidR="00643896" w:rsidRPr="00640820" w14:paraId="06AAA20F" w14:textId="77777777" w:rsidTr="000D3BCB">
        <w:tc>
          <w:tcPr>
            <w:tcW w:w="284" w:type="dxa"/>
          </w:tcPr>
          <w:p w14:paraId="43AC8E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w:t>
            </w:r>
          </w:p>
        </w:tc>
        <w:tc>
          <w:tcPr>
            <w:tcW w:w="2409" w:type="dxa"/>
          </w:tcPr>
          <w:p w14:paraId="4DEC7F9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Московский институт вакцин и сывороток. </w:t>
            </w:r>
          </w:p>
          <w:p w14:paraId="04E78D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23263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3261" w:type="dxa"/>
          </w:tcPr>
          <w:p w14:paraId="220D43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4961" w:type="dxa"/>
          </w:tcPr>
          <w:p w14:paraId="71D154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D7CCA84" w14:textId="77777777" w:rsidTr="000D3BCB">
        <w:tc>
          <w:tcPr>
            <w:tcW w:w="284" w:type="dxa"/>
          </w:tcPr>
          <w:p w14:paraId="5B17BCE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w:t>
            </w:r>
          </w:p>
        </w:tc>
        <w:tc>
          <w:tcPr>
            <w:tcW w:w="2409" w:type="dxa"/>
          </w:tcPr>
          <w:p w14:paraId="38B64D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1-й Московский медицинский институт</w:t>
            </w:r>
            <w:r w:rsidRPr="00640820">
              <w:rPr>
                <w:rFonts w:ascii="Times New Roman" w:hAnsi="Times New Roman"/>
                <w:iCs/>
                <w:color w:val="000000" w:themeColor="text1"/>
                <w:sz w:val="16"/>
                <w:szCs w:val="16"/>
              </w:rPr>
              <w:t>.</w:t>
            </w:r>
          </w:p>
        </w:tc>
        <w:tc>
          <w:tcPr>
            <w:tcW w:w="3261" w:type="dxa"/>
          </w:tcPr>
          <w:p w14:paraId="44C5E7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Уфа Башкирский мединститут</w:t>
            </w:r>
          </w:p>
        </w:tc>
        <w:tc>
          <w:tcPr>
            <w:tcW w:w="4961" w:type="dxa"/>
          </w:tcPr>
          <w:p w14:paraId="774958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 базе Башкирского </w:t>
            </w:r>
          </w:p>
          <w:p w14:paraId="53E1EE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мединститута с октября 1941 г. по август 1943 работал 1-ый Московский институт</w:t>
            </w:r>
            <w:r w:rsidRPr="00640820">
              <w:rPr>
                <w:rFonts w:ascii="Times New Roman" w:hAnsi="Times New Roman"/>
                <w:iCs/>
                <w:color w:val="000000" w:themeColor="text1"/>
                <w:sz w:val="16"/>
                <w:szCs w:val="16"/>
              </w:rPr>
              <w:t>.</w:t>
            </w:r>
          </w:p>
        </w:tc>
      </w:tr>
      <w:tr w:rsidR="00643896" w:rsidRPr="00640820" w14:paraId="7232F883" w14:textId="77777777" w:rsidTr="000D3BCB">
        <w:tc>
          <w:tcPr>
            <w:tcW w:w="284" w:type="dxa"/>
          </w:tcPr>
          <w:p w14:paraId="5771DA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w:t>
            </w:r>
          </w:p>
        </w:tc>
        <w:tc>
          <w:tcPr>
            <w:tcW w:w="2409" w:type="dxa"/>
          </w:tcPr>
          <w:p w14:paraId="45CCFC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Рыбинский авиационный институт им.С.Орджоникидзе </w:t>
            </w:r>
          </w:p>
          <w:p w14:paraId="63F3D4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C3D06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C1D2A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5F97E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3261" w:type="dxa"/>
          </w:tcPr>
          <w:p w14:paraId="3F84C1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Уфимский государственный авиационный </w:t>
            </w:r>
          </w:p>
          <w:p w14:paraId="62FD1D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технический </w:t>
            </w:r>
          </w:p>
          <w:p w14:paraId="2365A7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университет - </w:t>
            </w:r>
          </w:p>
          <w:p w14:paraId="0DCBBB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УГАТУ (с 1992г)</w:t>
            </w:r>
          </w:p>
        </w:tc>
        <w:tc>
          <w:tcPr>
            <w:tcW w:w="4961" w:type="dxa"/>
          </w:tcPr>
          <w:p w14:paraId="5BD76B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1942 г. из Рыбинского авиаинститута был создан Уфимский авиационный институт. 1-й выпуск инженеров произведен в 1943г.</w:t>
            </w:r>
          </w:p>
        </w:tc>
      </w:tr>
      <w:tr w:rsidR="00643896" w:rsidRPr="00640820" w14:paraId="0B1771A9" w14:textId="77777777" w:rsidTr="000D3BCB">
        <w:tc>
          <w:tcPr>
            <w:tcW w:w="284" w:type="dxa"/>
          </w:tcPr>
          <w:p w14:paraId="2874A0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w:t>
            </w:r>
          </w:p>
        </w:tc>
        <w:tc>
          <w:tcPr>
            <w:tcW w:w="2409" w:type="dxa"/>
          </w:tcPr>
          <w:p w14:paraId="1D315EB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Московский нефтяной институт им Губкина </w:t>
            </w:r>
          </w:p>
          <w:p w14:paraId="0A0BB5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E3FB91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3261" w:type="dxa"/>
          </w:tcPr>
          <w:p w14:paraId="6DAD42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Уфимский </w:t>
            </w:r>
          </w:p>
          <w:p w14:paraId="2ADA7F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государственный </w:t>
            </w:r>
          </w:p>
          <w:p w14:paraId="1B586AF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нефтяной </w:t>
            </w:r>
          </w:p>
          <w:p w14:paraId="2A0C80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технический университет – </w:t>
            </w:r>
          </w:p>
          <w:p w14:paraId="3C9D9D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УГНТУ</w:t>
            </w:r>
          </w:p>
        </w:tc>
        <w:tc>
          <w:tcPr>
            <w:tcW w:w="4961" w:type="dxa"/>
          </w:tcPr>
          <w:p w14:paraId="05AE4EF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1942 году в Уфу эвакуирован Московский нефтяной институт им Губкина и стал функционировать как Уфимский филиал Московского.</w:t>
            </w:r>
          </w:p>
        </w:tc>
      </w:tr>
      <w:tr w:rsidR="00643896" w:rsidRPr="00640820" w14:paraId="1E128961" w14:textId="77777777" w:rsidTr="000D3BCB">
        <w:tc>
          <w:tcPr>
            <w:tcW w:w="284" w:type="dxa"/>
          </w:tcPr>
          <w:p w14:paraId="1D7008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w:t>
            </w:r>
          </w:p>
        </w:tc>
        <w:tc>
          <w:tcPr>
            <w:tcW w:w="2409" w:type="dxa"/>
          </w:tcPr>
          <w:p w14:paraId="6DFF57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 научно-исследовательский институт №56 наркомата электропромышленности СССР</w:t>
            </w:r>
          </w:p>
        </w:tc>
        <w:tc>
          <w:tcPr>
            <w:tcW w:w="3261" w:type="dxa"/>
          </w:tcPr>
          <w:p w14:paraId="77CB80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Уфа</w:t>
            </w:r>
          </w:p>
        </w:tc>
        <w:tc>
          <w:tcPr>
            <w:tcW w:w="4961" w:type="dxa"/>
          </w:tcPr>
          <w:p w14:paraId="5514E7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Сотрудниками этих двух эвакуированных НИИ было разработано 26 типов высокочастотной аппаратуры, которая внедрялась в производство. По проектам этого института на Уф.заводе №697 в 1947г. был освоен выпуск аппаратуры связи для Ставки Верховного Командования.</w:t>
            </w:r>
          </w:p>
        </w:tc>
      </w:tr>
      <w:tr w:rsidR="00643896" w:rsidRPr="00640820" w14:paraId="5C828A3B" w14:textId="77777777" w:rsidTr="000D3BCB">
        <w:tc>
          <w:tcPr>
            <w:tcW w:w="284" w:type="dxa"/>
          </w:tcPr>
          <w:p w14:paraId="482D01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w:t>
            </w:r>
          </w:p>
        </w:tc>
        <w:tc>
          <w:tcPr>
            <w:tcW w:w="2409" w:type="dxa"/>
          </w:tcPr>
          <w:p w14:paraId="01A4BB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Москва, Центральный научно-исследовательский институт авиамоторостроения (ЦИАМ)</w:t>
            </w:r>
          </w:p>
        </w:tc>
        <w:tc>
          <w:tcPr>
            <w:tcW w:w="3261" w:type="dxa"/>
          </w:tcPr>
          <w:p w14:paraId="27B196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4961" w:type="dxa"/>
          </w:tcPr>
          <w:p w14:paraId="62EDEBF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25EB904" w14:textId="77777777" w:rsidTr="000D3BCB">
        <w:tc>
          <w:tcPr>
            <w:tcW w:w="284" w:type="dxa"/>
          </w:tcPr>
          <w:p w14:paraId="16FDE8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w:t>
            </w:r>
          </w:p>
        </w:tc>
        <w:tc>
          <w:tcPr>
            <w:tcW w:w="2409" w:type="dxa"/>
          </w:tcPr>
          <w:p w14:paraId="25D231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Военная академия Генштаба Красной Армии</w:t>
            </w:r>
          </w:p>
        </w:tc>
        <w:tc>
          <w:tcPr>
            <w:tcW w:w="3261" w:type="dxa"/>
          </w:tcPr>
          <w:p w14:paraId="0BB7FF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Уфе ей было выделено одно из лучших зданий – Уф.авиационный техникум.</w:t>
            </w:r>
          </w:p>
        </w:tc>
        <w:tc>
          <w:tcPr>
            <w:tcW w:w="4961" w:type="dxa"/>
          </w:tcPr>
          <w:p w14:paraId="2CD855C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Уфе академия находилась в течение года и к 17 ноября 1942г. была передислоцирована в Москву</w:t>
            </w:r>
          </w:p>
        </w:tc>
      </w:tr>
      <w:tr w:rsidR="00643896" w:rsidRPr="00640820" w14:paraId="0812ED11" w14:textId="77777777" w:rsidTr="000D3BCB">
        <w:tc>
          <w:tcPr>
            <w:tcW w:w="284" w:type="dxa"/>
          </w:tcPr>
          <w:p w14:paraId="06EC71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w:t>
            </w:r>
          </w:p>
        </w:tc>
        <w:tc>
          <w:tcPr>
            <w:tcW w:w="2409" w:type="dxa"/>
          </w:tcPr>
          <w:p w14:paraId="37BD761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Конструкторское бюро В.А. Добрынина Воронежского авиационного завода №16</w:t>
            </w:r>
          </w:p>
        </w:tc>
        <w:tc>
          <w:tcPr>
            <w:tcW w:w="3261" w:type="dxa"/>
          </w:tcPr>
          <w:p w14:paraId="7A68B63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Уфе оно функционировало как ОКБ - 250 </w:t>
            </w:r>
          </w:p>
          <w:p w14:paraId="1E23A41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85BCC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4961" w:type="dxa"/>
          </w:tcPr>
          <w:p w14:paraId="54C797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ОКБ возглавлялось В.Я.Климовым. Были созданы поршневые двигатели, которые устанавливались на истребителях Як-7, Як-9 и др.</w:t>
            </w:r>
          </w:p>
        </w:tc>
      </w:tr>
      <w:tr w:rsidR="00643896" w:rsidRPr="00640820" w14:paraId="42F6497C" w14:textId="77777777" w:rsidTr="000D3BCB">
        <w:tc>
          <w:tcPr>
            <w:tcW w:w="284" w:type="dxa"/>
          </w:tcPr>
          <w:p w14:paraId="591D6C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11</w:t>
            </w:r>
          </w:p>
        </w:tc>
        <w:tc>
          <w:tcPr>
            <w:tcW w:w="2409" w:type="dxa"/>
          </w:tcPr>
          <w:p w14:paraId="58D88E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Конструкторское бюро Рыбинского моторостроительного завода, возглавляемое В.Я.Климовым</w:t>
            </w:r>
          </w:p>
        </w:tc>
        <w:tc>
          <w:tcPr>
            <w:tcW w:w="3261" w:type="dxa"/>
          </w:tcPr>
          <w:p w14:paraId="06CF10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Уф.моторный завод (ныне УМПО) </w:t>
            </w:r>
          </w:p>
          <w:p w14:paraId="50A674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CD3D0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4961" w:type="dxa"/>
          </w:tcPr>
          <w:p w14:paraId="04FEED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Многотысячный коллектив завода, преодолевая трудности, в кратчайшие сроки освоил выпуск моторов для боевых самолетов.</w:t>
            </w:r>
          </w:p>
        </w:tc>
      </w:tr>
      <w:tr w:rsidR="00643896" w:rsidRPr="00640820" w14:paraId="19842BD8" w14:textId="77777777" w:rsidTr="000D3BCB">
        <w:tc>
          <w:tcPr>
            <w:tcW w:w="284" w:type="dxa"/>
          </w:tcPr>
          <w:p w14:paraId="7D6DFCB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w:t>
            </w:r>
          </w:p>
        </w:tc>
        <w:tc>
          <w:tcPr>
            <w:tcW w:w="2409" w:type="dxa"/>
          </w:tcPr>
          <w:p w14:paraId="7F854D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Документальные и книжные фонды Института Маркса-Энгельса- Ленина;</w:t>
            </w:r>
          </w:p>
        </w:tc>
        <w:tc>
          <w:tcPr>
            <w:tcW w:w="3261" w:type="dxa"/>
          </w:tcPr>
          <w:p w14:paraId="3809703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D224F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4961" w:type="dxa"/>
          </w:tcPr>
          <w:p w14:paraId="083EE5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FF4B3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77AA514" w14:textId="77777777" w:rsidTr="000D3BCB">
        <w:tc>
          <w:tcPr>
            <w:tcW w:w="284" w:type="dxa"/>
          </w:tcPr>
          <w:p w14:paraId="7E92C8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w:t>
            </w:r>
          </w:p>
        </w:tc>
        <w:tc>
          <w:tcPr>
            <w:tcW w:w="2409" w:type="dxa"/>
          </w:tcPr>
          <w:p w14:paraId="601BDD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Гос. институт высоких давлений </w:t>
            </w:r>
          </w:p>
          <w:p w14:paraId="280332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Наркомнефти СССР</w:t>
            </w:r>
          </w:p>
        </w:tc>
        <w:tc>
          <w:tcPr>
            <w:tcW w:w="3261" w:type="dxa"/>
          </w:tcPr>
          <w:p w14:paraId="1DC53F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31B71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4961" w:type="dxa"/>
          </w:tcPr>
          <w:p w14:paraId="3ED1A8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C30CE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3FD71C7A" w14:textId="77777777" w:rsidTr="000D3BCB">
        <w:tc>
          <w:tcPr>
            <w:tcW w:w="284" w:type="dxa"/>
          </w:tcPr>
          <w:p w14:paraId="471BCD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w:t>
            </w:r>
          </w:p>
        </w:tc>
        <w:tc>
          <w:tcPr>
            <w:tcW w:w="2409" w:type="dxa"/>
          </w:tcPr>
          <w:p w14:paraId="10B4F9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Научно-исследовательский институт керамики</w:t>
            </w:r>
          </w:p>
        </w:tc>
        <w:tc>
          <w:tcPr>
            <w:tcW w:w="3261" w:type="dxa"/>
          </w:tcPr>
          <w:p w14:paraId="09C1D9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CC5F0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4961" w:type="dxa"/>
          </w:tcPr>
          <w:p w14:paraId="009F3C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7D4F5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B7689E9" w14:textId="77777777" w:rsidTr="000D3BCB">
        <w:tc>
          <w:tcPr>
            <w:tcW w:w="284" w:type="dxa"/>
            <w:tcBorders>
              <w:bottom w:val="single" w:sz="12" w:space="0" w:color="auto"/>
            </w:tcBorders>
          </w:tcPr>
          <w:p w14:paraId="3A6C52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w:t>
            </w:r>
          </w:p>
        </w:tc>
        <w:tc>
          <w:tcPr>
            <w:tcW w:w="2409" w:type="dxa"/>
            <w:tcBorders>
              <w:bottom w:val="single" w:sz="12" w:space="0" w:color="auto"/>
            </w:tcBorders>
          </w:tcPr>
          <w:p w14:paraId="689A85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Институт «Грознефтепроект</w:t>
            </w:r>
          </w:p>
        </w:tc>
        <w:tc>
          <w:tcPr>
            <w:tcW w:w="3261" w:type="dxa"/>
            <w:tcBorders>
              <w:bottom w:val="single" w:sz="12" w:space="0" w:color="auto"/>
            </w:tcBorders>
          </w:tcPr>
          <w:p w14:paraId="0B0386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Влился в институт «Башнефтепродукт» В авг.1942г.</w:t>
            </w:r>
          </w:p>
        </w:tc>
        <w:tc>
          <w:tcPr>
            <w:tcW w:w="4961" w:type="dxa"/>
            <w:tcBorders>
              <w:bottom w:val="single" w:sz="12" w:space="0" w:color="auto"/>
            </w:tcBorders>
          </w:tcPr>
          <w:p w14:paraId="213EB5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DC00B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bl>
    <w:p w14:paraId="1D9582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(11785).</w:t>
      </w:r>
    </w:p>
    <w:p w14:paraId="0BBFB7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4F3FD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был подготовлен:</w:t>
      </w:r>
    </w:p>
    <w:p w14:paraId="2F48F8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СПИСОК предприятий, организаций и учреждений, эвакуированных в Пензенскую область </w:t>
      </w:r>
    </w:p>
    <w:p w14:paraId="1D6D0A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 Западных районов СССР в период Великой Отечественной войны</w:t>
      </w:r>
    </w:p>
    <w:p w14:paraId="7B4B41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Наименование эвакуированного предприятия Место размещения в Пензенской области</w:t>
      </w:r>
    </w:p>
    <w:p w14:paraId="111927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(организации, учреждения). </w:t>
      </w:r>
    </w:p>
    <w:p w14:paraId="0CFF93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Наркомат промстройматериалов</w:t>
      </w:r>
    </w:p>
    <w:p w14:paraId="43D325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Комбинат "Карачарово", Московская область. Славкинский лесозавод,Барановский район.</w:t>
      </w:r>
    </w:p>
    <w:p w14:paraId="166104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Лесокомбинат, г.Запорожье Деревообрабатывающий комбинат, ст.Евлашево</w:t>
      </w:r>
    </w:p>
    <w:p w14:paraId="22F1B6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Наркомат лесной промышленности</w:t>
      </w:r>
    </w:p>
    <w:p w14:paraId="2DECC4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Спичечная фабрика "Везувий", г.Могилев. Спичечная фабрика "Победа", с.Верхний Ломов.</w:t>
      </w:r>
    </w:p>
    <w:p w14:paraId="6F396D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Фанерный завод, р.п.Нелидово, Калининская область Фанерный завод "Власть труда", г.Нижпий Ломов.</w:t>
      </w:r>
    </w:p>
    <w:p w14:paraId="092526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Наркомат текстильной промышленности</w:t>
      </w:r>
    </w:p>
    <w:p w14:paraId="713E4D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Леншвеймаш ", г.Ленинград. Завод запчастей, г.Кузнецк.</w:t>
      </w:r>
    </w:p>
    <w:p w14:paraId="7E3D6C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Завод "Лентрикмаш", г.Ленинград. Завод запчастей, г.Кузнецк. </w:t>
      </w:r>
    </w:p>
    <w:p w14:paraId="156FAFB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"Красная вагранка", г.Ленинград. Завод запчастей, г.Кузнецк.</w:t>
      </w:r>
    </w:p>
    <w:p w14:paraId="78B5DE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Фабрика технических сукон им.Тельмана, г.Ленинград Суконная фабрика "Красный Октябрь", ст.Асеевка.</w:t>
      </w:r>
    </w:p>
    <w:p w14:paraId="742C2D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Механический цех хлопчато-бумажного комбината, </w:t>
      </w:r>
    </w:p>
    <w:p w14:paraId="5DD57B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г.Верний Волочек, Калининская область. Суконная фабрика "Красный Октябрь", ст.Асеевка.</w:t>
      </w:r>
    </w:p>
    <w:p w14:paraId="61DE0D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Механический завод Калининского комбината,</w:t>
      </w:r>
    </w:p>
    <w:p w14:paraId="1EAFD3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Калинин. Суконная фабрика "Красный Октябрь", ст.Асеевка.</w:t>
      </w:r>
    </w:p>
    <w:p w14:paraId="5A4C01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Шпагатная фабрика, г.Орел. Канатно-веревочная фабрика, г.Кузнецк.</w:t>
      </w:r>
    </w:p>
    <w:p w14:paraId="30F0FA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Фабрика им.Ленина, г.Клинцы, Орловская область. Суконная фабрика, р.п.Верхозим.</w:t>
      </w:r>
    </w:p>
    <w:p w14:paraId="27D7C0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Пенькозаводы:</w:t>
      </w:r>
    </w:p>
    <w:p w14:paraId="1AF163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с.Ворошилово, Орловская область. Пенькозавод, р.п.Лунино. </w:t>
      </w:r>
    </w:p>
    <w:p w14:paraId="397135F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с.Городище, Орловская область. Пенькозавод, р.п.Лунино. </w:t>
      </w:r>
    </w:p>
    <w:p w14:paraId="472F71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с.Конышевка, Курская область. с.Свищевка.</w:t>
      </w:r>
    </w:p>
    <w:p w14:paraId="021EA39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Дмитриевский, Курская область. Склад пенькозавода, ст. Башмаково</w:t>
      </w:r>
    </w:p>
    <w:p w14:paraId="6C766E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Михайловский пенькозавод, Курская область. Склад пенькозавода, г. Нижний Ломов</w:t>
      </w:r>
    </w:p>
    <w:p w14:paraId="166DDF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с.Малахово, Курская область. ст.Пачелма.</w:t>
      </w:r>
    </w:p>
    <w:p w14:paraId="1031E3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Бердянский, Черниговская область. ст.Башмаково. </w:t>
      </w:r>
    </w:p>
    <w:p w14:paraId="64E3F5A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Городнянскнй, ст.Городия, Черниговская область. ст.Башмаково. </w:t>
      </w:r>
    </w:p>
    <w:p w14:paraId="1854FB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г.Миргород, Полтавская область. "Пенькотрест", г.Пенза. </w:t>
      </w:r>
    </w:p>
    <w:p w14:paraId="0F53E2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г.Лубны, Полтавская область. "Пенькотрест", г.Пенза. </w:t>
      </w:r>
    </w:p>
    <w:p w14:paraId="201EFDB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Лубяной завод, г.Павлоград, Днепропетровская область. "Пенькотрест", г.Пенза. </w:t>
      </w:r>
    </w:p>
    <w:p w14:paraId="5FF94F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Перещепинский лубяной завод, Днепропетровская область. "Пенькотрест", г.Пенза. </w:t>
      </w:r>
    </w:p>
    <w:p w14:paraId="7A6E5C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Наркомат мясомолочной промышленности</w:t>
      </w:r>
    </w:p>
    <w:p w14:paraId="76F07F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Мясокомбинат, г.Феодосия, Крымская АССР. Мясокомбинат, г.Пенза.</w:t>
      </w:r>
    </w:p>
    <w:p w14:paraId="035D74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Наркомат минометного вооружения</w:t>
      </w:r>
    </w:p>
    <w:p w14:paraId="33415B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счетно-аналитических машин, г.Москва Часовой завод, г.Пенза.</w:t>
      </w:r>
    </w:p>
    <w:p w14:paraId="6D5648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им.Макса Гельца, г.Ленинград. Часовой завод, г.Пенза.</w:t>
      </w:r>
    </w:p>
    <w:p w14:paraId="223643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"Вперед", г.Ленинград. Бисквитная фабрика, г.Пенза.</w:t>
      </w:r>
    </w:p>
    <w:p w14:paraId="16C240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"Металлометр", г.Ленииград. Бисквитная фабрика, г.Пенза.</w:t>
      </w:r>
    </w:p>
    <w:p w14:paraId="3534AE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"Госметр", г.Ленипград. Бисквитная фабрика, г.Пенза.</w:t>
      </w:r>
    </w:p>
    <w:p w14:paraId="411685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нм.Лепсе (два цеха), г.Ленинград. Бисквитная фабрика, г.Пенза.</w:t>
      </w:r>
    </w:p>
    <w:p w14:paraId="180920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5, г.Орел. Машзавод, г.Кузнецк.</w:t>
      </w:r>
    </w:p>
    <w:p w14:paraId="312EE0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им.Медведева, г.Орел. Машзавод, г.Кузнецк.</w:t>
      </w:r>
    </w:p>
    <w:p w14:paraId="6E5536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Завод текстильного машиностроения №9, г.Орел. Ремонтно-механический завод, г.Кузнецк. </w:t>
      </w:r>
    </w:p>
    <w:p w14:paraId="5626EA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Механический цех завода, г.Старая Русса, </w:t>
      </w:r>
    </w:p>
    <w:p w14:paraId="2DED8A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Ленинградская область. Бисквитная фабрика, г.Пенза. </w:t>
      </w:r>
    </w:p>
    <w:p w14:paraId="0CE831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Завод им.Ленина, г.Воронеж. Завод"Текстильмаш",г.Пенза. </w:t>
      </w:r>
    </w:p>
    <w:p w14:paraId="42BC77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Завод продовольственного машиностроения "Смычка", </w:t>
      </w:r>
    </w:p>
    <w:p w14:paraId="53364C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р.ц.Плавск, Тульская область. Крахмальный завод, с.Бессоновка. </w:t>
      </w:r>
    </w:p>
    <w:p w14:paraId="6519FF3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Завод им.Калинина, г.Клинцы,Орловская область. Завод "Возрождение", г.Кузнецк. </w:t>
      </w:r>
    </w:p>
    <w:p w14:paraId="3160A1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Машиностроительный завод, г.Киев. Александровский спиртзавод №14 и совхоз им.Энгельса. </w:t>
      </w:r>
    </w:p>
    <w:p w14:paraId="6317A8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Завод текстильного машиностроения им.Шевченко, </w:t>
      </w:r>
    </w:p>
    <w:p w14:paraId="1D9739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г.Харьков. Бисквитная фабрика, г.Пенза. </w:t>
      </w:r>
    </w:p>
    <w:p w14:paraId="4D741C8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Заводы "Коммунар", г.Запорожье и "Красная Звезда", </w:t>
      </w:r>
    </w:p>
    <w:p w14:paraId="7A78715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Кировоград. Строящийся сахарный завод, р.п.Каменка.</w:t>
      </w:r>
    </w:p>
    <w:p w14:paraId="79A002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им.Воровского, г.Мелитополь, Запорожская область. Строящийся сахарный завод, р.п.Каменка и крахмальный завод,</w:t>
      </w:r>
    </w:p>
    <w:p w14:paraId="0A85F2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 Грабово.</w:t>
      </w:r>
    </w:p>
    <w:p w14:paraId="4FA7D7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Наркомат легкой промышленности </w:t>
      </w:r>
    </w:p>
    <w:p w14:paraId="750EA3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Обувная фабрика "Буревестник", г.Москва. Обувная фабрика, г.Кузнецк. </w:t>
      </w:r>
    </w:p>
    <w:p w14:paraId="4D9799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Обувная фабрика "Пролетарская победа" №2 (частично), </w:t>
      </w:r>
    </w:p>
    <w:p w14:paraId="4BDCD98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г.Ленинград. Обувная фабрика, г.Кузнецк. </w:t>
      </w:r>
    </w:p>
    <w:p w14:paraId="7291B2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Еланский стеклозавод, ст.Полпинская, Орловская область. Стеклозавод им.Р.Люксембург, с.Верхний Шкафт. </w:t>
      </w:r>
    </w:p>
    <w:p w14:paraId="5A7FD4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Швейная фабрика им.Дзержипского, г.Бобруйск Швейная фабрика, г.Пенза. </w:t>
      </w:r>
    </w:p>
    <w:p w14:paraId="74F82FF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Обувная фабрика, г.Киев. Обувная фабрика, г.Кузнецк. </w:t>
      </w:r>
    </w:p>
    <w:p w14:paraId="705557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Кожевенный завод №1, г.Полтава. Кожзавод, г.Кузнецк. </w:t>
      </w:r>
    </w:p>
    <w:p w14:paraId="150891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Швейная фабрика индивидуального пошива,г.Серго, </w:t>
      </w:r>
    </w:p>
    <w:p w14:paraId="04B525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Ворошиловградская область. Мастерская индивидуального пошива, г.Кузнецк. </w:t>
      </w:r>
    </w:p>
    <w:p w14:paraId="346B04B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Обувная фабрика им.РККА и промкомбинат, г.Кременчуг, </w:t>
      </w:r>
    </w:p>
    <w:p w14:paraId="08A0F3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Полтавская область. Обувная фабрика, г.Кузнецк. </w:t>
      </w:r>
    </w:p>
    <w:p w14:paraId="21A70A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Наркомат пищевой промышленности</w:t>
      </w:r>
    </w:p>
    <w:p w14:paraId="205A91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Спиртзаводы:</w:t>
      </w:r>
    </w:p>
    <w:p w14:paraId="4D9DA9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Упоровский, Курская область. Крутовский спиртзавод, ст.Тамала.</w:t>
      </w:r>
    </w:p>
    <w:p w14:paraId="348478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Юрасовский, Орловская область. Крутовский спиртзавод, ст.Тамала.</w:t>
      </w:r>
    </w:p>
    <w:p w14:paraId="591BD1A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Васильевский, Сумская область. Шувардинский спиртзавод, ст.Белинская.</w:t>
      </w:r>
    </w:p>
    <w:p w14:paraId="1B45CF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Иволжанский, Сумская область. Майоровский спиртзавод, ст.Титово</w:t>
      </w:r>
    </w:p>
    <w:p w14:paraId="60477B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Кондитерский комбинат "Спартак", г.Гомель. Карамельная фабрика, г.Пенза.</w:t>
      </w:r>
    </w:p>
    <w:p w14:paraId="315B23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Дрожжевой завод, г.Одесса. Дрожжевой завод, г.Пенза.</w:t>
      </w:r>
    </w:p>
    <w:p w14:paraId="107EA0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Наркомат авиационной промышленности</w:t>
      </w:r>
    </w:p>
    <w:p w14:paraId="64F27B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Завод №472, г.Болшево, г.Кузнецк, на базе площадей барачных </w:t>
      </w:r>
    </w:p>
    <w:p w14:paraId="456B42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Московская область. и жилых корпусов канатной фабрики.</w:t>
      </w:r>
    </w:p>
    <w:p w14:paraId="3EF4AF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№450, г.Воронеж. Завод №163, г.Пенза.</w:t>
      </w:r>
    </w:p>
    <w:p w14:paraId="4BF453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Наркомат общего машиностроения</w:t>
      </w:r>
    </w:p>
    <w:p w14:paraId="772C0F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полиграфмашстроя, г.Ромны, Сумская область. Машзавод, г.Кузнецк.</w:t>
      </w:r>
    </w:p>
    <w:p w14:paraId="7054F4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им.Ленина, г.Воронеж Завод "Текстильмаш", г.Пенза</w:t>
      </w:r>
    </w:p>
    <w:p w14:paraId="062F6E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Наркомат судостроительной промышленности</w:t>
      </w:r>
    </w:p>
    <w:p w14:paraId="64AFE3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Трест "Связьмортрест", г.Ленинград. г.Пенза.</w:t>
      </w:r>
    </w:p>
    <w:p w14:paraId="4AB096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Наркомат вооружения</w:t>
      </w:r>
    </w:p>
    <w:p w14:paraId="73798C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№354, г.Ленинград. Завод "Красный гигант", с.Николо-Пестравка.</w:t>
      </w:r>
    </w:p>
    <w:p w14:paraId="18FE96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№353 (частично), г.Изюм, Харьковская область. Завод "Красный гигант", с.Николо-Пестравка.</w:t>
      </w:r>
    </w:p>
    <w:p w14:paraId="79F1EC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Наркомат обороны</w:t>
      </w:r>
    </w:p>
    <w:p w14:paraId="510601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Военно-железнодорожный парк №2, г.Харьков. Шпалопропиточный завод, ст.Елюзань.</w:t>
      </w:r>
    </w:p>
    <w:p w14:paraId="6E7966E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Наркомат боеприпасов</w:t>
      </w:r>
    </w:p>
    <w:p w14:paraId="426DE8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Центрально-конструкторское бюро </w:t>
      </w:r>
      <w:r w:rsidRPr="00640820">
        <w:rPr>
          <w:rFonts w:ascii="Times New Roman" w:hAnsi="Times New Roman"/>
          <w:color w:val="000000" w:themeColor="text1"/>
          <w:sz w:val="16"/>
          <w:szCs w:val="16"/>
          <w:lang w:val="en-US"/>
        </w:rPr>
        <w:t>N</w:t>
      </w:r>
      <w:r w:rsidRPr="00640820">
        <w:rPr>
          <w:rFonts w:ascii="Times New Roman" w:hAnsi="Times New Roman"/>
          <w:color w:val="000000" w:themeColor="text1"/>
          <w:sz w:val="16"/>
          <w:szCs w:val="16"/>
        </w:rPr>
        <w:t>22, г.Ленинград. Завод № 50, г.Пенза.</w:t>
      </w:r>
    </w:p>
    <w:p w14:paraId="0D752B3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Наркомат здравоохранения</w:t>
      </w:r>
    </w:p>
    <w:p w14:paraId="63087A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Цех Свободинского завода, п.Свободы, Курская область. Завод дезоборудования, г.Пенза.</w:t>
      </w:r>
    </w:p>
    <w:p w14:paraId="574336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Наркомат местной промышленности РСФСР</w:t>
      </w:r>
    </w:p>
    <w:p w14:paraId="489A7A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Обозостроительный завод, р.п.Жуково, Орловская область. г.Сердобск.</w:t>
      </w:r>
    </w:p>
    <w:p w14:paraId="69629E5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Наркомат заготовок</w:t>
      </w:r>
    </w:p>
    <w:p w14:paraId="0760491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Элеватор, п.г.т.Карловка, Полтавская область. Пункт "Заготзерно", ст.Земетчино.</w:t>
      </w:r>
    </w:p>
    <w:p w14:paraId="13E1C6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Элеватор, ст.Кочубеевка, Полтавская область. Пункт "Заготзерно", ст.Земетчино.</w:t>
      </w:r>
    </w:p>
    <w:p w14:paraId="578955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Наркомат земледелия</w:t>
      </w:r>
    </w:p>
    <w:p w14:paraId="4A9EF5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Всесоюзный НИИ удобрений, агротехники и </w:t>
      </w:r>
    </w:p>
    <w:p w14:paraId="4F3019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агропочвоведения, г.Москва. Опытная сельскохозяйственная станция, г.Кузнецк.</w:t>
      </w:r>
    </w:p>
    <w:p w14:paraId="034C94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Птицесовхоз "Солидарность", г.Елец, Орловская область. Птицесовхоз, ст.Пачелма.</w:t>
      </w:r>
    </w:p>
    <w:p w14:paraId="2BEE03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инкубатора "Спартак", ст.Хотмшжск, Курская область. Инкубаторно-птицеводческая станция, ст.Колышлей.</w:t>
      </w:r>
    </w:p>
    <w:p w14:paraId="651B8F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Южная Госконюшня, г.Молочанск, Запорожская область. Ипподром, г.Пенза.</w:t>
      </w:r>
    </w:p>
    <w:p w14:paraId="6D6961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Учебные заведения:</w:t>
      </w:r>
    </w:p>
    <w:p w14:paraId="7ED7E3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Центральная музыкальная школа при Московской </w:t>
      </w:r>
    </w:p>
    <w:p w14:paraId="3B3633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консерватории им.Чайковского. г.Пенза.</w:t>
      </w:r>
    </w:p>
    <w:p w14:paraId="29500A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Фармацевтическое училище, г.Ленинград. г.Чембар.</w:t>
      </w:r>
    </w:p>
    <w:p w14:paraId="7EBA44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Индустриальный институт, г.Одесса. г.Пенза.</w:t>
      </w:r>
    </w:p>
    <w:p w14:paraId="4AE170B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Черниговский зоотехникум, г.Чернигов. Зоотехникум, г.Сердобск.</w:t>
      </w:r>
    </w:p>
    <w:p w14:paraId="45ADA3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Козелецкий зоотехникум, Черниговская область. Зоотехникум, г.Сердобск.</w:t>
      </w:r>
    </w:p>
    <w:p w14:paraId="316FC7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Роменский техникум плодоовощеводства, Сумская область. Сельскохозяйственный техникум, с. Мокшан</w:t>
      </w:r>
    </w:p>
    <w:p w14:paraId="2857A9B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Роменский техникум механизации сельского хозяйства, </w:t>
      </w:r>
    </w:p>
    <w:p w14:paraId="4617DBC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Сумская область. Сельскохозяйственный техникум, с. Мокшан</w:t>
      </w:r>
    </w:p>
    <w:p w14:paraId="1C564D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Нежинский ветеринарный техникум, Черниговская область. Зоотехникум, г.Сердобск</w:t>
      </w:r>
    </w:p>
    <w:p w14:paraId="35D534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Школа ФЗО №11 (металлисты), г.Сталино, Сталинская область. Завод №163, г.Пенза.</w:t>
      </w:r>
    </w:p>
    <w:p w14:paraId="4F398C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Школа ФЗО №16 (металлисты), г.Дебальцево, </w:t>
      </w:r>
    </w:p>
    <w:p w14:paraId="6DBE4E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Сталинская область. г.Кузнецк.</w:t>
      </w:r>
    </w:p>
    <w:p w14:paraId="38E4A8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Ремесленное училище №11, г.Киев. Арматурный завод, г.Пенза.</w:t>
      </w:r>
    </w:p>
    <w:p w14:paraId="372C16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Учреждения культуры:</w:t>
      </w:r>
    </w:p>
    <w:p w14:paraId="3176E3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Государственный литературный музей И.С.Тургенева,</w:t>
      </w:r>
    </w:p>
    <w:p w14:paraId="390541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г.Орел. г.Пенза.</w:t>
      </w:r>
    </w:p>
    <w:p w14:paraId="19AD3B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Театр музыкальной комедии, г.Ростов-па-Дону. г.Пенза.</w:t>
      </w:r>
    </w:p>
    <w:p w14:paraId="25D0DC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Джаз-оркестр, г.Ростов-на-Дону. г.Пенза.</w:t>
      </w:r>
    </w:p>
    <w:p w14:paraId="58B327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Украинский театр эстрады, г.Каменец-Подольский. г.Пенза.</w:t>
      </w:r>
    </w:p>
    <w:p w14:paraId="6BF28B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Основание: Госархив Пензенской области, ф.р.-568, оп.1, д.1118, л. 2-4; оп. 12, д.19; ф.р.-2038, оп.1, д. 12; ф.р.-312,оп.1, д.249, л.37-38; газ. "Пензенская правда", 1988 г., №108 (12026).</w:t>
      </w:r>
    </w:p>
    <w:p w14:paraId="52D0BA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C9CD7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состоянию на 1941: список номерных заводов Челябинской области в основном в период ВОВ, эвакуированных в нашу область и созданных непосредственно в Челябинской области, рассматривается в границах Челябинской области 1941 года. За основу классификации предприятий взята система нумерации оборонных заводов (№ 1, № 2 и т.д.), которая была введена в 1927 году в связи с требованием повышения секретности оборонного производства. Некоторые заводы имели одинаковую нумерацию, но разное ведомство. Приводится только первое, связанное с Челябинской областью, постановление об эвакуации, в дальнейшем заводы и предприятия могли быть переведены в другое место.</w:t>
      </w:r>
    </w:p>
    <w:p w14:paraId="1803F3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Завод № 2 Оргавиапром НКПА эвакуирован на Чебаркульскую опытную селекционную сельскохозяйственную станцию (поселок Тимирязево). Постановление СЭ № 130 сс от 07.10.41 (постановление Челябинского обкома ВКП(б) от 21.10.41).</w:t>
      </w:r>
    </w:p>
    <w:p w14:paraId="6AA584A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Завод № 2 НКСС – Московский государственный машиностроительный завод № 2 «Красный пролетарий». В 1941 году эвакуирован на площадку ЧТЗ. В 1942 году вернулся на старое место. Производство мин, направляющих для М-13 «катюша».</w:t>
      </w:r>
    </w:p>
    <w:p w14:paraId="6ADF0A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 Завод № 2 ОАП НКАП образован в Москве на базе Центрального института труда. В 1941 году эвакуирован на станцию Бишкиль Челябинской области (см. завод № 491). </w:t>
      </w:r>
    </w:p>
    <w:p w14:paraId="09AF53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ГИПИ-4 НХТП – Государственный научно-исследовательский и проектный институт лакокрасочной промышленности (г. Ленинград) эвакуирован в начале войны в Челябинск.</w:t>
      </w:r>
    </w:p>
    <w:p w14:paraId="261543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Завод К-4 (п/я 43) – Челябинский завод оргстекла. В декабре 1941 года Государственный комитет обороны (ГКО) приказал эвакуировать ленинградский завод «К-4» НКХМ в Челябинск. Для эвакуации было выделено 56 вагонов. Завод разместился на территории Челябинской макаронной фабрики.</w:t>
      </w:r>
    </w:p>
    <w:p w14:paraId="18D4F5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Завод № 7 НКВ из Ленинграда (пушки и детали к ним) в начале ВОВ эвакуирован частично на завод № 78 (см. завод № 78) в Челябинск.</w:t>
      </w:r>
    </w:p>
    <w:p w14:paraId="3CC873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Завод № 7 НКЦМ – им. С.Оржоникидзе (г. Кольчугино Ивановской обл.) частично эвакуирован на челябинский завод № 78 (см. завод № 78), часть – в Каменск-Уральский, где на его базе был создан завод № 515 (см. завод № 515).</w:t>
      </w:r>
    </w:p>
    <w:p w14:paraId="70F9F4B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Завод № 8 НКС – Челябинский завод «Строммашина». Сейчас – ОАО «Завод «Строммашина». Завод № 8 НКСМ основан в ноябре 1942 года по решению Народного комиссариата строительства на базе эвакуированного из Ленинграда предприятия «Нефтеприбор». Создан в 1942 г., во время ВОВ изготавливал авиабомбы. Имел такое номерное название по 1948 год.</w:t>
      </w:r>
    </w:p>
    <w:p w14:paraId="402E70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 xml:space="preserve">9. Сергиевский завод № 11 ВСНХ </w:t>
      </w:r>
    </w:p>
    <w:p w14:paraId="5096B6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 Троицк, Моск. обл.) делал разнообразные снаряды. По приказу НКБ от 10.10.1941 г. эвакуирован (570 ед. оборудования, 685 чел.) на строительную площадку строящегося в Челябинске завода № 254 (см. завод № 254). Также часть завода эвакуирована на территорию колхоза «Новый путь» (53 единиц оборудования, 239 чел.). Часть завода – на завод № 78. В 1943 г. имел обозначение п/я 3 (постановление о размещении Челябинского обкома партии от 27.10.41).</w:t>
      </w:r>
    </w:p>
    <w:p w14:paraId="40DC85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Механический завод № 13 НКВ (Брянск, артиллерийский завод «Арсенал» имени С.М. Кирова) частично эвакуирован в Усть-Катав постановлением ГКО № 449 от 09.08.1941 г. на площадку Усть-Катавского вагоностроительного завода (УКВЗ). 21.04.1942 г. его перевели постановлением ГКО № 1622 от 21.04.1942 г. в Мытищи, где была основная часть завода № 592. Выпускал танковую пушку Ф-34, зенитные установки. Весной и летом 1942 года в Усть-Катав были эвакуированы люди и оборудование Сталинградского артиллерийского завода «Баррикады».</w:t>
      </w:r>
    </w:p>
    <w:p w14:paraId="66FF73A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11. ЦКБ-14 НКОП – проектно-конструкторское бюро Тульского оружейного завода (стрелковое оружие). Частично было эвакуировано в Златоуст. С октября 1941 по октябрь 1943 г. </w:t>
      </w:r>
    </w:p>
    <w:p w14:paraId="710421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Завод № 18, Москва, в 1941 г. эвакуирован в г. Шадринск на площадку кирпичного завода и был преобразован в завод № 649 (см. завод № 649).</w:t>
      </w:r>
    </w:p>
    <w:p w14:paraId="468A3F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НИИ-24 – научно-исследовательский институт боеприпасов (разработка корпусов снарядов). В соответствии с пост. ЦК ВКП(б) П-34-174 от 02.07.1941 г. его ленинградский филиал НИИ-24 был эвакуирован в Челябинск на завод № 78 (см. завод № 78).</w:t>
      </w:r>
    </w:p>
    <w:p w14:paraId="409FE1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14. Завод № 20 НКБ (г. Рубежное Ворошиловградской области) частично эвакуирован на 114-й Копейский з-д (постановление Челябинского областного комитета ВКПб от 28.09.41 г.).</w:t>
      </w:r>
    </w:p>
    <w:p w14:paraId="509716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 Завод № 25 – Копейский завод им. Кирова Наркомугля. Упомянут в постановлении Челябинского обкома ВКП(б) от 06.01.42 г.</w:t>
      </w:r>
    </w:p>
    <w:p w14:paraId="4F4D67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 Завод № 34 НКТП (Московский авиационный завод) – выпуск водо- и маслорадиаторов, литые детали из алюминия. В сентябре 1941 года по решению Наркомата обороны 34-й завод был эвакуирован в Троицк на площадки 9 неприспособленных небольших предприятий, например на территорию пивоваренного завода. А уже 5 декабря была отгружена первая продукция – радиаторы для танковых и самолетных двигателей. В Троицке на его базе создан Троицкий электромеханический завод, ОАО «ТЭМЗ» (постановление о размещении Челябинского обкома партии от 15.11.41 г.).</w:t>
      </w:r>
    </w:p>
    <w:p w14:paraId="6781C6B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17. Союзное ОКБ завода № 34 эвакуировано в Троицк вместе с заводом № 34. </w:t>
      </w:r>
    </w:p>
    <w:p w14:paraId="78B287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 Завод № 38 НКОП, г. Тула (патроны), во время ВОВ эвакуирован в Юрюзань на механический завод, на территорию дополнительно строящегося гильзового завода. Сейчас это Юрюзанский механический завод (холодильники «Юрюзань» и др.) (постановление о размещении Челябинского обкома партии от 17.10.41 г.).</w:t>
      </w:r>
    </w:p>
    <w:p w14:paraId="73FD36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 Завод № 46 НКТП – Московская обл. Кунцево (выпуск патронов) – в соответствии с постановлением ГКО № 641 от 08.09.1941 г., возможно, был эвакуирован в Златоуст.</w:t>
      </w:r>
    </w:p>
    <w:p w14:paraId="541C74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 ГСКБ-47 НКОП (авиабомбы), Москва, частично эвакуировано в 1941 году в Миасс. Возвратилось из эвакуации в Москву в 1943 г.</w:t>
      </w:r>
    </w:p>
    <w:p w14:paraId="62B866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21. Завод № 53 НКОП – г. Шостки (производство капсюлей, детонаторов), Сумская область. Частично оборудование завода № 53 по снаряжению средств воспламенения эвакуировано на завод № 309 (см. завод № 309) откуда, в свою очередь, было дальше эвакуировано на завод № 254 (см. завод № 254) в Челябинск.</w:t>
      </w:r>
    </w:p>
    <w:p w14:paraId="573AB0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22. Завод № 54 НКПО – завод по производству стрелкового оружия, начал строиться в Златоусте в 1938 году. В ноябре 1941 года на предприятие (площадку завода № 54) было эвакуировано оборудование и специалисты с Тульского оружейного № 66 ( см. завод № 66) Подольского механического заводов (№ ? возможно, это завод № 125) С их прибытием был начат выпуск пулемёта Максима и авиационной пушки Волкова-Ярцева. Далее завод выпускал самозарядную винтовку Токарева, пулемёт Березина, пистолет-пулемёт Шпагина, противотанковое ружье Дегтярева. В декабре 1941 года заводу № 54 присвоен номер Тульского завода – 66. В августе 1945 года заводы № 385 (см. завод № 385) и № 66 были объединены. 16 сентября 1945 года уже единый завод награжден орденом Ленина. Предшественник производственного объединения «Златоустовский машиностроительный завод». Сейчас это – Открытое акционерное общество «Златоустовский машиностроительный завод» (ОАО «Златмаш», Россия, Челябинская область, г. Златоуст) — одно из ведущих изготовителей ракетных комплексов стратегического назначения Военно-морского флота Российской Федерации. Предприятие изготавливает комплектующие баллистических ракет перспективной разработки отечественной промышленности — высокоточного комплекса «Синева». </w:t>
      </w:r>
    </w:p>
    <w:p w14:paraId="019703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23. Завод № 60 ВСНХ – (Луганский патронный завод) частично эвакуирован с началом ВОВ в Челябинск. Размещён в помещениях Челябинского педагогического Университета (института) и Сельскохозяйственной Академии (института), вошёл в состав завода № 541 (см. завод № 541)</w:t>
      </w:r>
    </w:p>
    <w:p w14:paraId="197F7D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 Завод № 61 НКБ (Липецк) (мины, снаряды). В соответствии с пост ГКО № 777 от 13.10 41 г. часть завода (1120 ед. оборудования,1200 человек) эвакуировано в Касли на площадку завода № 613 (см. завод № 613). (Постановление о размещении Челябинского обкома партии от 03.11.41).</w:t>
      </w:r>
    </w:p>
    <w:p w14:paraId="4B1003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25. Завод № 62 4ГУ НКБ, г. Ярославль эвакуирован в Челябинск на площадку бывших складов УГМР Наркомзага, (1249 ед. оборудования, 1980 человек). Первый эшелон прибыл в Челябинск 07.11.41 г. Выпускал снаряды. Упоминается обозначение – п/я 161 (1943г). Сейчас это Челябинский АМЗ. (Постановление о размещении Челябинского обкома партии от 09.11.41).</w:t>
      </w:r>
    </w:p>
    <w:p w14:paraId="4060A0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 Завод № 66 НКВ (Тула) в начале ВОВ эвакуирован в Златоуст на площадку завода № 54 НКВ (см. завод 54), туда же эвакуирован и Подольский механический завод. По приказу НКВ от 12.10.1941 г. в результате слияния этих трёх заводов был создан единый з-д № 66. (выпускал миномёты и др.) (Постановление о размещении Челябинского обкома партии от 17.10.41).</w:t>
      </w:r>
    </w:p>
    <w:p w14:paraId="55EA5D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27. Завод № 67 НКТП, Москва (авиабомбы) – в соответствии с пост. ГКО №777 сс от 13.10.41. частично (производство ФАБ и ХАБ) эвакуирован в Миасс (278 ед. оборудования,278 чел) на площадку завода 316 НКБ – 278 единиц оборудования и 278 человек, другая часть в Челябинск на завод № 78 (производство ПЛАБ), (см завод № 78). (Постановление о размещении Челябинского обкома партии от 16.10.41).</w:t>
      </w:r>
    </w:p>
    <w:p w14:paraId="1B1505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28. ГСКБ 47 НКБ – (авиабомбостроение) эвакуировалось в Миасс вместе с заводом № 67 (см. завод № 67)</w:t>
      </w:r>
    </w:p>
    <w:p w14:paraId="106FC1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29. Завод № 70 НКТМ – машиностроительный завод им. Владимира Ильича, Москва (станки, снаряды в т.ч. для М-13 (Катюша). До 11.1941. эвакуирован, производство М-13 и станкостроение (400 ед. оборудования, 1000 человек) в Челябинский завод № 78. (см завод № 78). (Постановление о размещении Челябинского обкома партии от 13.10.41).</w:t>
      </w:r>
    </w:p>
    <w:p w14:paraId="2A5D51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30. Завод № 73 НКОП г. Сталино (Донецк), в соответствии с постановлением ГКО от 27.09.1941 эвакуирован. Частично эвакуирован (производство снарядов, авиабомб, всего-736 ед. оборудования, 1400 человек) в Челябинск на завод № 78. (Постановление о размещении Челябинского обкома партии от 28.09.41).</w:t>
      </w:r>
    </w:p>
    <w:p w14:paraId="58FAB4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31.Завод № 75 НКТП, Харьков им.В.А. Малышева (производство танковых двигателей), в соответствии с постановлением ГКО № 666 от 12.09.1941 (первая очередь) и № 731 от 04.10.1941 г. (вторая очередь) на ЧТЗ. (Кировский)</w:t>
      </w:r>
    </w:p>
    <w:p w14:paraId="24EDE0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32. СКБ-75 Харьков основная часть эвакуирована в Челябинск с заводом № 75 на ЧТЗ. </w:t>
      </w:r>
    </w:p>
    <w:p w14:paraId="54CBDB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33.Завод № 78 НКОП, п/я 500(1943г)– это Челябинский завод (выпуск снарядов, станков, М-13) им. Серго Орджоникидзе, получил наименование как завод № 78 от 30.12.36 . </w:t>
      </w:r>
    </w:p>
    <w:p w14:paraId="2B9DC3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НИИ-24 из Ленинграда – эвакуирован в 1941 году на завод № 78 (см. НИИ № 24) </w:t>
      </w:r>
    </w:p>
    <w:p w14:paraId="5E61F5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232 НКБ из Ленинграда эвакуирован (частично) на завод № 78 (см. завод № 232)</w:t>
      </w:r>
    </w:p>
    <w:p w14:paraId="6F0C18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Завод № 7 НКВ из Ленинграда, частично эвакуирован на завод № 78 (см. завод № 7) </w:t>
      </w:r>
    </w:p>
    <w:p w14:paraId="3E1055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Завод № 70 НКТМ, машиностроительный завод, Москва на завод № 78 (см. завод № 70) </w:t>
      </w:r>
    </w:p>
    <w:p w14:paraId="139F5B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Завод № 67 НКТП, Москва (авиабомбы) частично эвакуирован на завод № 78 (см. завод № 67) </w:t>
      </w:r>
    </w:p>
    <w:p w14:paraId="6393E4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73 НКОП г. Сталино (Донецк), частично эвакуирован на завод № 78 (см. завод № 73)</w:t>
      </w:r>
    </w:p>
    <w:p w14:paraId="3BB503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258 из Осипенко (Днепропетровск. обл.) частично эвакуиров. на завод № 78 (см. завод № 258)</w:t>
      </w:r>
    </w:p>
    <w:p w14:paraId="2A6415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513 из Ростова-на-Дону (Производство эмалированной посуды). частично эвакуирован на завод № 78 (см. завод № 513)</w:t>
      </w:r>
    </w:p>
    <w:p w14:paraId="5C95F1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Завод № 561, Москва частично эвакуирован на завод № 78 .(93 человека, которые были потом были возвращены обратно), (см. завод № 561) </w:t>
      </w:r>
    </w:p>
    <w:p w14:paraId="7F682A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А так же были эвакуированы на завод № 78: </w:t>
      </w:r>
    </w:p>
    <w:p w14:paraId="5A3B91C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Частично завод «Красный Профинтерн» (выпуск снарядов) г. Орджоникидзеград, 240 ед. оборудования. </w:t>
      </w:r>
    </w:p>
    <w:p w14:paraId="3A53B3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Прибыло оборудование с Московских заводов для выпуска М-13 : «Инжектор», Опытный, Электродный </w:t>
      </w:r>
    </w:p>
    <w:p w14:paraId="38101D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Им. Войтовича. Метрострой, Ситцевая фабрика, завод № 220 (см. завод № 220),Карачаровский, </w:t>
      </w:r>
    </w:p>
    <w:p w14:paraId="5D42D8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«Красный путь», з-д № 592 (см. завод № 592) (г. Мытищи), Кольчугинский.</w:t>
      </w:r>
    </w:p>
    <w:p w14:paraId="687DE8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34. Завод № 79 НКОП – (г. Днепропетровск, корпуса снарядов) – часть завода эвакуировано в Златоуст на завод № 259 (см. завод № 259).Постановление СЭ-66сс от 07.08.41.</w:t>
      </w:r>
    </w:p>
    <w:p w14:paraId="414726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35. Опытный танко-моторный завод № 100 НКТП – это опытный завод ЧТЗ, получил свой №100 от 16.02.1942 г. </w:t>
      </w:r>
    </w:p>
    <w:p w14:paraId="619CCE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36. Завод № 113 НКБ (пос. Сельцо Брянское Орловской области. В начале ВОВ часть завода эвакуировано на завод № 114 (см. завод № 114) Производство снарядов.(101 ед. обор, 385 чел)</w:t>
      </w:r>
    </w:p>
    <w:p w14:paraId="57AF86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37.Завод № 114 НКОП– это Копейский завод пластмасс, изготовление снарядов. В 1941 году на площадку завода эвакуированы часть завода № 144 (см. завод № 144) из Сталино, часть завода № 113 НКБ (см. завод № 113) </w:t>
      </w:r>
    </w:p>
    <w:p w14:paraId="03CB77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38. Завод № 120 НКТП (Балашиха, Моск. Обл.)– по приказу №1053сс от 09.10.41 г. частично эвакуирован в г.Каменск Челябинской области на площадку строящегося завода № 286 (см. завод № 286) Потом завод № 120 и № 286 были частично слиты в один завод № 120 (с 26.10.41). Потом этот завод № 120 (с 01.02.42 г.) получил название завод № 286 НКПА (см. завод № 286) (выпускал литые колёса для самолётов и алюминиевое литьё).</w:t>
      </w:r>
    </w:p>
    <w:p w14:paraId="2FB21E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39. Завод № 132 НКТП – Москва, (авиационное моторостроение, выпуск самолётных агрегатов). В соответствии с постановлением Совета по эвакуации № СЭ-147сс от 10.10.41. эвакуируется в г. Сим на площадку арматурного завода, там уже находился чуть более раннее эвакуированный из Москвы Завод № 444 НКАП. (см. завод № 444) 05.11.41.. Эти московские заводы были объединены под № 132 НКАП (Симский механический завод). Сейчас это Симское агрегатное производственное объединение (авиационные агрегаты).</w:t>
      </w:r>
    </w:p>
    <w:p w14:paraId="5F45A5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40. ОКБ-132.(завод №132) – эвакуировано вместе с заводом в г. Сим.</w:t>
      </w:r>
    </w:p>
    <w:p w14:paraId="0DF35C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41. Завод (комбинат) № 144 НКБ из Сталино (снаряды, бомбы) частично (62 ед. оборудования), по постановлению ГКО №717с от 27.09.1941 г. эвакуирован на площадку ремонтно-механического завода треста «Миассзолото», где создан завод № 611 НКБ (см. завод № 611)и частично эвакуирован на завод №114 (36 ед. оборудования.) См. завод № 144. (Постановление о размещении Челябинского обкома партии от 24.10.41).</w:t>
      </w:r>
    </w:p>
    <w:p w14:paraId="4C2456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42. Завод № 150 – Часть металлургического комбината № 150 (г.Ступино, московская область) была эвакуирована на площадку завода № 268 НКАП в г. Каменск-Уральск (В то время Чел. обл.). (Постановление о размещении Чел. обкома ВКПб от 11.10.41)</w:t>
      </w:r>
    </w:p>
    <w:p w14:paraId="292408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43.Строительство «Стройсемь» НКСП в Челябинске. На площадку «Стройсемь» подлежал эвакуации завод №169 НКСП из Ленинграда. Никакой дополнительной информации о «Стройсемь» и завод №169 найти не удалось.</w:t>
      </w:r>
    </w:p>
    <w:p w14:paraId="666583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44. Завод № 173 НКОП – Тульский оружейный завод (стрелковое оружие). В 11.43 г. эвакуирован в г. Златоуст на завод № 66 НКВ (см. завод № 66).</w:t>
      </w:r>
    </w:p>
    <w:p w14:paraId="5F8460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45. Завод № 174 – Ленинградский машиностроительный завод им. Ворошилова (выпуск танков). В соответствии с пост ГКО № 99сс от 11.07.41. частично эвакуирован на площадку ЧТЗ.</w:t>
      </w:r>
    </w:p>
    <w:p w14:paraId="746AF9E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46. Ленинградский Кировский завод НКТП – по постановлению ГКО № 734сс от 04.10.41 г. эвакуирован на ЧТЗ.</w:t>
      </w:r>
    </w:p>
    <w:p w14:paraId="47015B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47. СКБ-1, СКБ-2 Кировского завода – эвакуировано вместе с заводом в Челябинск на ЧТЗ.</w:t>
      </w:r>
    </w:p>
    <w:p w14:paraId="1A165B6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48. Завод № 187 НКБ (Тула) – цех № 21 разместить на площадях Синарского труболитейного завода. Постановление ГКО от 09.10.41. № 750 сс. (Постановление о размещении Челябинского обкома партии от 13.10.41).</w:t>
      </w:r>
    </w:p>
    <w:p w14:paraId="66BC43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49. Завод № 193 НКОП – это Харьковский радиозавод, по приказу НКОП 06 сс от 30.12.1936 переименован в завод № 193. в начале ВОВ эвакуирован в г. Касли (п/я 2883»). Сейчас это Каслинский радиозавод – ОАО «Радий». (Постановление о размещении Челябинского обкома партии от 03.11.41).</w:t>
      </w:r>
    </w:p>
    <w:p w14:paraId="5F726B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 Завод № 195-А НКЭП– г. Верхний Уфалей. Строился в Верхнем Уфалее на случай эвакуации из Саратова Завода № 195 (аккумуляторы). На площадку завода 195-А была эвакуирована часть завода – Аккумуляторный завод «Ленинская «Искра» из Ленинграда, 07. 1944 г. завод № 195-А был переименован в завод № 785. (см. завод № 785)</w:t>
      </w:r>
    </w:p>
    <w:p w14:paraId="439330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51. Завод № 200 НКТП Челябинск, (изготовление литых башен для танков) Создан по пост. ГКО № 892сс от 13.11.1941 г. путём выделения нескольких цехов из состава завода № 78.(см. завод № 78).</w:t>
      </w:r>
    </w:p>
    <w:p w14:paraId="00BFE7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52. Завод № 220 НКОП, Москва (анодные батареи) – в начале ВОВ в части производства М-13 эвакуирован в Челябинск на завод № 78 (см. завод № 78) </w:t>
      </w:r>
    </w:p>
    <w:p w14:paraId="5D275E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53. Завод № 225. НКТП – Новочеркасский завод эвакуирован в г. Троицк на площадку ранее выделенную Харьковскому заводу им. Молотова, который был переброшен на ЧТЗ. (Постановление о размещении Челябинского обкома партии от 18.12.41).</w:t>
      </w:r>
    </w:p>
    <w:p w14:paraId="4A536E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54. Завод № 232 НКОП, Ленинград (Обуховский з-д) – в соответствии с постановлением ГКО № 99сс от 11.07.1941 г. в части снарядного производства эвакуирован в Челябинск на завод № 78 (см. завод № 78)</w:t>
      </w:r>
    </w:p>
    <w:p w14:paraId="7DCED7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55. Завод № 254 НКБ (п/я 65 в 1943 г.)– производство сигнальных средств. Это завод «Сельмаш», потом завод «Сигнал» в Челябинске. 10.10 1941.на площадку завода эвакуирован завод № 11 НКБ г. Троицка Московской области (см. завод № 11) . Часть оборудования завода № 309 (см.завод № 309), полученного, в свою очередь, с завода № 53 (см. завод № 53). </w:t>
      </w:r>
    </w:p>
    <w:p w14:paraId="032BAE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56. Завод № 255 НКТП– завод специальных машин, Москва. В соответствии с постановлением ГКО от 10.1941 г. завод был практически полностью эвакуирован в Челябинск и размещён в гараже строительного треста 22 в Ленинском р-не. Выпускал электрооборудование для танков. Сейчас это завод «Электромашина» в Челябинске. </w:t>
      </w:r>
    </w:p>
    <w:p w14:paraId="3DC5706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57. Завод № 258 НКБ (в 1943г. п/я 8) г. Осипенко Днепропетровской области – в соответствии с постановлением ГКО № 605 от 01.09.1941 г. был эвакуирован (основная часть, производство снарядов) в г. Копейск на площадку гаража «Челябуголь», меньшая часть на завод № 78 (см. завод № 78) в Челябинск. </w:t>
      </w:r>
    </w:p>
    <w:p w14:paraId="5A74FB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58. Завод № 259 НКБ (п/я 39 в 1943 г.), – Златоустовский оружейный завод им. Ленина (снаряды и мины). С началом ВОВ на площадку этого завода эвакуированы: Завод № 561 (см. завод № 561) из Москвы (Лианозово), производство мин. Часть завода № 79 (см. завод № 79)из Днепропетровска (производство морских снарядов). Сейчас входит в ОАО «Булат» в Златоусте. </w:t>
      </w:r>
    </w:p>
    <w:p w14:paraId="54CF18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59. Завод № 268 НКАП – г. Каменск-Уральский металлургический завод.</w:t>
      </w:r>
    </w:p>
    <w:p w14:paraId="27E9FCF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60. Завод № 286 НКАП (г. Каменск-Уральский, в то время Челябинская область, литейный завод) – на площадку этого завода в начале ВОВ эвакуирован з-д № 120 НКПА (см. завод № 120)</w:t>
      </w:r>
    </w:p>
    <w:p w14:paraId="569AA6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61. Завод № 308 НКБ – Харьков, частично, с началом ВОВ эвакуирован в Курган (в то время Челябинская область) на площадку двух продовольственных складов УГМР, 153 ед. оборудования,81 человек. Производство корпусов гранат РГ -33 (см. з-д №603) </w:t>
      </w:r>
    </w:p>
    <w:p w14:paraId="05EC0E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62. Завод № 309 НКБ – г. Чапаевск Куйбышевской области, куда с началом войны эвакуирована часть завода № 53 (см. завод № 53) из г. Шостки (производство капсюлей), Сумская область. Затем частично оборудование было переотправлено на Челябинский з-д № 254 («Сигнал»)</w:t>
      </w:r>
    </w:p>
    <w:p w14:paraId="4C01AF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63. Завод № 314 НКВ из Тулы – на площадку завода № 385 в г. Златоуст. (Постановление о размещении Челябинского обкома партии от 17.10.41).</w:t>
      </w:r>
    </w:p>
    <w:p w14:paraId="77C36FE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64.Завод № 316 НКБ – Миасский автомоторный з-д. С началом ВОВ на площадку з-да № 316 эвакуированы заводы НКБ из Москвы: № 67 (производство бомб) (см. завод № 67), № 561 (производство бомб) (см. завод № 561). Сейчас ОАО «Автомобильный з-д Урал». (Постановление о размещении Челябинского обкома партии от 13.10.41).</w:t>
      </w:r>
    </w:p>
    <w:p w14:paraId="1FA885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65. Завод № 332 (Харьков) НКЭП (Наркомэлектропрома) в г. Касли на площадку школы механизации и промартели им. Куйбышева (Постановление Чел. Обкома ВКПб от 18.09.41.).</w:t>
      </w:r>
    </w:p>
    <w:p w14:paraId="1F08DE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66. Завод № 346 НКСП, им. Молотова Ленинград – в соответствии с пост. ГКО № 99сс от 11.07.1941 г. подлежал эвакуации на Магнитогорский металлургический комбинат и на Синарский труболитейный з-д</w:t>
      </w:r>
    </w:p>
    <w:p w14:paraId="324A74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67. Завод № 351 НКОП (г. Елец, Липец. Обл.) – в начале ВОВ эвакуирован в Верхний Уфалей (выпускал анодные батареи) </w:t>
      </w:r>
    </w:p>
    <w:p w14:paraId="6D6488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68. Завод № 378. – В начале ВОВ в г. Ашу был частично эвакуирован Московский завод № 691 «Электросвет» (см. завод № 691). Зимой 1942 г. на его базе в Аше был создан электроарматурный завод «Электролуч», которому был присвоен № 378. Сейчас это ООО «Электролуч».</w:t>
      </w:r>
    </w:p>
    <w:p w14:paraId="44E0F7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69. Завод № 385 – завод для крупнокалиберного стрелкового оружия, который начали строить в Златоусте в 08.40 г., рядом с заводом № 54 (см. завод № 54). Завод № 385 начал давать продукцию в начале 1942 года, в основном выпускал ППШ.</w:t>
      </w:r>
    </w:p>
    <w:p w14:paraId="058B05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70. СКБ-385 – сформировано на заводе № 66 НКВ в конце 1947 года для производства ракет дальнего действия и располагалась на площадке завода № 385 (см. завод № 385). Это предприятие сейчас находится в Миассе (Макеевский центр).</w:t>
      </w:r>
    </w:p>
    <w:p w14:paraId="4155AB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71.Завод № 391 НКБ, Златоуст. Создан 11.08.44 путем разделения Златоустовского комбината им. Ленина на заводы № 259 (см. завод № 259) и № 391 (цех холодного оружия). Далее это Златоустовский инструментально-металлургический завод.</w:t>
      </w:r>
    </w:p>
    <w:p w14:paraId="0EA1A8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72. Завод № 401 НКТП (Москва, ст. Реутово) – в начале ВОВ эвакуирован в г. Ашу (производство термита, 81 ед. оборудования, 204 чел.), был размещен в клубе лесокомбината. В 1943 году п/я 15. (Решение о размещении Челябинского обкома партии от 16.12.41.)</w:t>
      </w:r>
    </w:p>
    <w:p w14:paraId="6AB968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73. Завод № 444 НКАП – ст. Плющево, Московская обл. (авиаагрегаты). Сначала это был завод экспериментального сельскохозяйственного оборудования. По приказу № 567 от 19.10.1940. этот завод получил № 444. По приказу 660сс ГКО от 09.07.1941. был эвакуирован в г. Сим на площадку Симского арматурного завода.</w:t>
      </w:r>
    </w:p>
    <w:p w14:paraId="65DB4B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74. Завод № 491 НКПА (специальные токарные станки для авиапрома) – это завод № 2 ОАП НКАП, образованный в Москве на базе Центрального института труда. В 1941 году был эвакуирован на ст. Бишкиль Челябинской области, откуда в 1943 году был реэвакуирован в г. Кимры. В 1944 году переименован в завод № 491.С 1966 г. предприятие преобразовано в Савеловский машиностроительный завод, а в 1979 году — в завод «Прогресс». С 1993-го — ОАО «Савеловский машиностроительный завод» (ОАО «Савма»).</w:t>
      </w:r>
    </w:p>
    <w:p w14:paraId="28E634A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75. Завод № 513 НКБ («Эмальпосуда», г. Ростов-на-Дону) по постановлению ГКО 717с от 27.09.41 был раздроблен и эвакуирован в разные города СССР. Производство эмалированной посуды – 43 ед. оборудования на завод № 78 (см. завод № 78) в Челябинск.</w:t>
      </w:r>
    </w:p>
    <w:p w14:paraId="227EC1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76. Завод № 515 НКЦМ – Каменск-Уральск. Был создан на базе эвакуированного завода № 7 НКЦМ им. С.Оржоникидзе г. Кольчугино, Ивановской обл., в Каменск-Уральск (см. з-д № 7 НКЦМ).</w:t>
      </w:r>
    </w:p>
    <w:p w14:paraId="73D845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77. Завод № 524 МЦМ по выпуску графитированных ракетных рулей. Челябинский электродный завод. Постановление о строительстве завода было принято в 1948 году.</w:t>
      </w:r>
    </w:p>
    <w:p w14:paraId="4AFB19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78. Завод № 541, Харьков (выпуск патронов). Эвакуирован с началом ВОВ в Челябинск. Размещен в помещениях Челябинского педагогического университета и сельскохозяйственной академии. Сюда же был частично эвакуирован и з-д № 60 НКВ (Луганский патронный завод) (см. завод № 60), который вошел в состав завода № 541.</w:t>
      </w:r>
    </w:p>
    <w:p w14:paraId="1DFEBA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79. Завод № 545 упоминается в постановлении Челябинского обкома ВКП (б) от 10.09.41. об ускорении строительства завода. Возможно, это Киевский завод – книжно-журнальная фабрика, переименованная в 545-й патронный завод 06.06.41.</w:t>
      </w:r>
    </w:p>
    <w:p w14:paraId="5045F2A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80. Завод № 549 НКБ. Создан в начале 1941 года в Челябинске, на территории тюрьмы № 1 (по ул. Российской). Выпускал различные снаряды и замки направляющих для М-13 («Катюша»).</w:t>
      </w:r>
    </w:p>
    <w:p w14:paraId="267BD4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81. Завод № 561 НКБ, Москва, ст. Лианозово (корпуса мин и др.). В начале ВОВ эвакуирован в Челябинскую область: основная часть – в Миасс, на площадку завода № 316 (см. завод № 316). Часть – в Златоуст, на завод № 259 (см. завод № 259), небольшая часть – в Челябинск, на з-д № 78 (см. завод № 78). (Постановление о размещении Челябинского обкома партии от 13.10.41.)</w:t>
      </w:r>
    </w:p>
    <w:p w14:paraId="779FA3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82. Завод № 584 НКЭП, Ленинград (аккумуляторы и электроинструмент). С началом ВОВ частично эвакуирован в Верхний Уфалей, где на базе этого завода создан завод № 785 (см. завод № 785).</w:t>
      </w:r>
    </w:p>
    <w:p w14:paraId="424796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83.Завод № 592 НКВ, г. Мытищи, Московская область. С началом ВОВ большая часть эвакуирована в Челябинск, на завод № 78 (см. завод № 78), в основном производство М-13 («Катюши»). А также на завод № 13 в Усть-Катав. (Постановление о размещении Челябинского обкома партии от 17.10.41.) </w:t>
      </w:r>
    </w:p>
    <w:p w14:paraId="4F6030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84. Завод № 603 НКБ (п/я 63 1942 г.) – Курганский механический завод (тогда Челябинская область), создан на базе завода № 308 НКБ (см. завод № 308), эвакуированного из Харькова на площадку продовольственных складов УГМР (производство гранат).</w:t>
      </w:r>
    </w:p>
    <w:p w14:paraId="383EBE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85. Завод № 611 НКБ (п/я 25 1943 г.), г. Миасс. Создан на базе эвакуированного по постановлению ГКО № 717с от 27.09.1941 г. комбината № 144 НКБ (см. завод № 144) из Сталино на площадку ремонтно-механического завода треста «Миассзолото» (производство бомб, снарядов).</w:t>
      </w:r>
    </w:p>
    <w:p w14:paraId="5A102A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86. Завод № 613 НКБ (боеприпасное производство), г. Касли. Чугунолитейный завод. В соответствии с постановлением ГКО № 99сс от 11.07.1941 г. сюда эвакуирована часть завода «Электрик» НКЭП из Ленинграда, далее это все стало заводом № 613. Также сюда после начала ВОВ эвакуирован завод № 61 НКБ (см. завод № 61) из Липецка.</w:t>
      </w:r>
    </w:p>
    <w:p w14:paraId="394464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87.Завод № 649 МРП (полевые телефонные аппараты), г. Шадринск (тогда Челябинская область), создан 24.10.1941 г. на базе эвакуированного в начале ВОВ Московского радиозавода № 18 (см. з-д № 18) на площадку кирпичного з-да в Шадринске. Сейчас это Шадринский телефонный завод.</w:t>
      </w:r>
    </w:p>
    <w:p w14:paraId="0FC068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88. Завод № 657 НКЭП – Московский завод «Динамо» НК им. С.М. Кирова. С началом войны завод был эвакуирован в основном в г. Миасс (115 чел., 80 вагонов с оборудованием прибыли в Миасс в начале декабря 1941 г.) и в Челябинск, на ЧТЗ. Выпускал ксеноны для самолетов в Миассе и электрооборудование для танков на ЧТЗ. Завод в Миассе переименован в завод № 657 (24.03.1942 г.). Сейчас это ОАО «Миассэлектроаппарат».</w:t>
      </w:r>
    </w:p>
    <w:p w14:paraId="6368509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89. Завод № 691 НКЭП – Московский светотехнический завод им. Яблочкова «Электросвет», выпуск промышленных светильников (получил № 691 25.03.42 г.). В начале ВОВ завод был частично эвакуирован в г. Ашу, где приказом НКЭП № 5 от 25.03.1942 г. на его базе был создан завод № 378 (см. завод № 378).</w:t>
      </w:r>
    </w:p>
    <w:p w14:paraId="33E7D7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90. Завод № 701 НКМВ – Челябинский з-д строительно-дорожных машин «Колющенко» (глубинные бомбы, мины, снаряды и выпуск реактивных минометов М-13 «Катюша). Частично в начале ВОВ на 701-й завод был эвакуирован Московский завод «Компрессор» № 733 НКМВ (см. завод № 733 НКМВ).</w:t>
      </w:r>
    </w:p>
    <w:p w14:paraId="605314E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91. Завод № 707 НКВМ – Курганский завод «Уралсельмаш». В июле 1941 г. в Курган на площадку бывшего завода Балакшина эвакуирован завод «Гомсельмаш» и часть оборудования Люберецкого з-да им. Ухтомского. Объединенный з-д и получил название «Уралсельмаш», а 03.06.42 г. был переименован в з-д № 707.</w:t>
      </w:r>
    </w:p>
    <w:p w14:paraId="6E55ED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92. Завод № 707 НКЧМ – Миньярский металлургический завод (Челябинской обл.). В соответствии с постановлением правительства № 837-430 сс от 03.06.42 г. переименован в з-д № 707.</w:t>
      </w:r>
    </w:p>
    <w:p w14:paraId="71857D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93. Завод № 721 НКМВ в соответствии с постановлением СНК № 837 430сс от 03.06.42 г. Челябинский з-д «Челябкомпрессор» переименован в завод № 721.</w:t>
      </w:r>
    </w:p>
    <w:p w14:paraId="2923D9B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94. Московский ремонтно-механический з-д № 753 НКМВ – Московский экспериментальный завод сложного автоматостроения для пищевой промышленности имени М.И. Калинина. Сейчас – закрытое акционерное общество «Калининец» (производство деталей к морским минам). В начале ВОВ большая часть была эвакуирована в г. Шадринск (тогда Челябинская область), на площадку мотороремонтного завода. Сюда же был эвакуирован Ленинградский з-д «Ленполиграфмаш». Сюда же был эвакуирован Прилукский з-д противопожарного оборудования. Все это стало единым заводом № 815 (см. завод № 815). Ленинградский з-д «Ленполиграфмаш» (п/я 487) во время Великой Отечественной войны освоил выпуск пулеметов, снарядов, производство токарных прецизионных станков. Прилукский з-д противопожарного оборудования (авиационные взрыватели), Украина, пос. Ладан Черниговской области.</w:t>
      </w:r>
    </w:p>
    <w:p w14:paraId="5F653CD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95. Завод № 761 НКМВ – Курганский (тогда Чел. обл.) з-д дорожных машин, на который в начале ВОВ был эвакуирован Кременчугский завод дорожных машин и был образован з-д «Дормашин». И завод «Дормашин» 07.07.42 г. получил название № 761.</w:t>
      </w:r>
    </w:p>
    <w:p w14:paraId="49DBF6B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96.Завод № 785 НКЭП – Верхнеуфалейский завод № 195-А (см. завод № 195-А), строился как дублер Саратовского з-да № 195, в 1944 г. переименован в завод № 785. Сейчас завод «Уралэлемент» занимается выпуском разного рода источников питания (батарейки и т.п.). </w:t>
      </w:r>
    </w:p>
    <w:p w14:paraId="1695D3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97. Завод № 815 НКМВ – Шадринск (тогда Челябинская область). С началом ВОВ в 1941 г. на площадку Шадринского мотороремонтного завода был эвакуирован Прилукский завод противопожарного оборудования им. Войкова (авиационные взрыватели). 07.12.1941 г. прибыл в Шадринск эвакуированный Московский экспериментальный з-д сложного автоматостроения для пищевой промышленности. Сюда же был эвакуирован Ленинградский з-д «Ленполиграфмаш». Сюда же эвакуирован и Московский ремонтно-механический з-д № 753 НКМВ (см. завод № 753).</w:t>
      </w:r>
    </w:p>
    <w:p w14:paraId="0CEA63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98. Комбинат № 817. Датой основания считается 08.06.48 г. – это ПО «Маяк» (г. Озерск).</w:t>
      </w:r>
    </w:p>
    <w:p w14:paraId="16FF54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99. Ленинградский завод № 823 (Петергофская гранильная фабрика). В 1942 году в город Кусу, на гранильную фабрику, был эвакуирован Петергофский завод точных технических камней (гранильная фабрика) — в довоенный период предприятие по выпуску камней для часовой и приборостроительной промышленности.</w:t>
      </w:r>
    </w:p>
    <w:p w14:paraId="5C5756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100. Завод № 825 НКВМ – Кусинская гранильная фабрика. Переименована в з-д № 825 в соответствии с постановлением СНК № 837-430сс от 03.06.42 г.</w:t>
      </w:r>
    </w:p>
    <w:p w14:paraId="1D9AA8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101. Завод № 834 НКМВ (Златоуст). С началом ВОВ в Златоуст был переведен из Москвы 1-й Государственный часовой завод № 845 НКМВ (см. завод № 845) и часть з-да из Углича № 837 НКМВ (см. завод № 837) – завод точных технических камней. Все это 07.07.42 г. переименовано в завод № 834 (боеприпасы, часы для танков и самолетов). Сейчас ОАО «Златоустовский часовой завод».</w:t>
      </w:r>
    </w:p>
    <w:p w14:paraId="512EC8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102. Завод № 837 НКМВ (Углич, Ярославской области) – завод точных технических камней № 2. Небольшая часть эвакуирована в г. Златоуст в конце 1941 года (см. завод № 834).</w:t>
      </w:r>
    </w:p>
    <w:p w14:paraId="0ABBA5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103. Завод № 845 НКМВ – 1-й Государственный часовой московский завод им. Кирова (часовое производство для нужд армии) (см. завод № 834). В 1941 г. был переведен из Москвы в Златоуст. </w:t>
      </w:r>
    </w:p>
    <w:p w14:paraId="5BD4A8B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104. Завод № 933 ПГУ – Трехгорный приборостроительный з-д «Златоуст 36». Начато строительство в 1952 г. Первая продукция – две ядерные бомбы – выпущена в августе 1955 г. (12004).</w:t>
      </w:r>
    </w:p>
    <w:p w14:paraId="0858C53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0921E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ЦКБ-36 ликвидировано, образовав вместе с ЦКБ-39 ОКБ завода № 231 НКСП. Во 2-й половине 1942 г. ЦКБ-36 образовано вновь в  г. Петропавловске на базе филиала завода № 239. В 1944 г., после создания специализированного НИИ-400, было ликвидировано.</w:t>
      </w:r>
    </w:p>
    <w:p w14:paraId="109AA1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Начальник (1937-; 1942 г.)- </w:t>
      </w:r>
      <w:r w:rsidRPr="00640820">
        <w:rPr>
          <w:rFonts w:ascii="Times New Roman" w:hAnsi="Times New Roman"/>
          <w:color w:val="000000" w:themeColor="text1"/>
          <w:sz w:val="16"/>
          <w:szCs w:val="16"/>
          <w:lang w:val="en-US"/>
        </w:rPr>
        <w:t>A</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Борушко.</w:t>
      </w:r>
    </w:p>
    <w:p w14:paraId="172C80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(8.09.1937 г.-)- А.Л. Пятницкий.</w:t>
      </w:r>
    </w:p>
    <w:p w14:paraId="213CB0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(8.09.1937 г.-)- А.Л. Пятницкий.</w:t>
      </w:r>
    </w:p>
    <w:p w14:paraId="304768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2-го (10.1938 г.)- В.Н. Сварчевский.</w:t>
      </w:r>
      <w:r w:rsidRPr="00640820">
        <w:rPr>
          <w:rFonts w:ascii="Times New Roman" w:hAnsi="Times New Roman"/>
          <w:color w:val="000000" w:themeColor="text1"/>
          <w:sz w:val="16"/>
          <w:szCs w:val="16"/>
          <w:vertAlign w:val="superscript"/>
        </w:rPr>
        <w:t>139</w:t>
      </w:r>
    </w:p>
    <w:p w14:paraId="3E72B3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640820">
        <w:rPr>
          <w:rFonts w:ascii="Times New Roman" w:hAnsi="Times New Roman"/>
          <w:color w:val="000000" w:themeColor="text1"/>
          <w:sz w:val="16"/>
          <w:szCs w:val="16"/>
        </w:rPr>
        <w:t>Создано: взрыватели для торпед «НВ» (1940), НВС-2 (1941) (11982).</w:t>
      </w:r>
    </w:p>
    <w:p w14:paraId="5160C6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8B983F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завод № 239 (Завод № 239 НКОП, НКСП, Завод «Парострой» им. Лихачева НКОП, Петропавловский машиностроительный завод им. В.В. Куйбышева, ОАО «Завод ЗИК СТО» /г. Москва «Парострой» (1937 г.); Казахстан  г. Петропавловск Северо-Казахстанской обл./) эвакуирован в Петропавловск. В Петропавловск были также эвакуированы: часть заводов № 189 и № 194 НКСП; завод № 375 НКСП; часть феодосийского филиала завода № 181.</w:t>
      </w:r>
    </w:p>
    <w:p w14:paraId="500894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его месте в соответствии с распоряжением СНК СССР от 23.05.1942 г. образован завод № 709 НКСП.</w:t>
      </w:r>
      <w:r w:rsidRPr="00640820">
        <w:rPr>
          <w:rFonts w:ascii="Times New Roman" w:hAnsi="Times New Roman"/>
          <w:color w:val="000000" w:themeColor="text1"/>
          <w:sz w:val="16"/>
          <w:szCs w:val="16"/>
          <w:vertAlign w:val="superscript"/>
        </w:rPr>
        <w:t>61</w:t>
      </w:r>
    </w:p>
    <w:p w14:paraId="743DFF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 второй половине 1942 г. на базе завода № 239 воссоздано ЦКБ-36 НКСП.</w:t>
      </w:r>
    </w:p>
    <w:p w14:paraId="097550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(2004 г.) противокорабельные мины.</w:t>
      </w:r>
    </w:p>
    <w:p w14:paraId="74A1F99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(-05.1937-09.1938 г.-)- В.Н. Казаков.</w:t>
      </w:r>
    </w:p>
    <w:p w14:paraId="04F0E0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строительства (1937 г.)- Тагац. Зам. директора (9.05.1938 г.-&gt;  Г.М. Лебедский.</w:t>
      </w:r>
    </w:p>
    <w:p w14:paraId="27F20A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Технический директор (05.1937 г.)- Снешко.</w:t>
      </w:r>
    </w:p>
    <w:p w14:paraId="0B9B6C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инженер (9.05.1938 г.-)-  Г.М. Лебедский.</w:t>
      </w:r>
      <w:r w:rsidRPr="00640820">
        <w:rPr>
          <w:rFonts w:ascii="Times New Roman" w:hAnsi="Times New Roman"/>
          <w:color w:val="000000" w:themeColor="text1"/>
          <w:sz w:val="16"/>
          <w:szCs w:val="16"/>
          <w:vertAlign w:val="superscript"/>
        </w:rPr>
        <w:t>139</w:t>
      </w:r>
    </w:p>
    <w:p w14:paraId="64AE15E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 мины:</w:t>
      </w:r>
      <w:r w:rsidRPr="00640820">
        <w:rPr>
          <w:rFonts w:ascii="Times New Roman" w:hAnsi="Times New Roman"/>
          <w:color w:val="000000" w:themeColor="text1"/>
          <w:sz w:val="16"/>
          <w:szCs w:val="16"/>
        </w:rPr>
        <w:t xml:space="preserve"> ПЛТ-З (1943), противокорабельные МПТК-2, «Лангуст-Щука», «Кречет» (11982).</w:t>
      </w:r>
    </w:p>
    <w:p w14:paraId="058B81BC" w14:textId="77777777" w:rsidR="000E0937" w:rsidRPr="00640820" w:rsidRDefault="000E0937" w:rsidP="00640820">
      <w:pPr>
        <w:autoSpaceDE w:val="0"/>
        <w:autoSpaceDN w:val="0"/>
        <w:adjustRightInd w:val="0"/>
        <w:spacing w:after="0" w:line="240" w:lineRule="auto"/>
        <w:jc w:val="both"/>
        <w:rPr>
          <w:rFonts w:ascii="Times New Roman" w:hAnsi="Times New Roman"/>
          <w:color w:val="000000" w:themeColor="text1"/>
          <w:sz w:val="16"/>
          <w:szCs w:val="16"/>
        </w:rPr>
      </w:pPr>
    </w:p>
    <w:p w14:paraId="53FCC6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w:t>
      </w:r>
    </w:p>
    <w:p w14:paraId="2369B80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Размещение эвакуированных заводов в Кузбассе</w:t>
      </w:r>
    </w:p>
    <w:tbl>
      <w:tblPr>
        <w:tblW w:w="0" w:type="auto"/>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00" w:firstRow="0" w:lastRow="0" w:firstColumn="0" w:lastColumn="0" w:noHBand="0" w:noVBand="0"/>
      </w:tblPr>
      <w:tblGrid>
        <w:gridCol w:w="426"/>
        <w:gridCol w:w="3886"/>
        <w:gridCol w:w="2182"/>
        <w:gridCol w:w="2265"/>
      </w:tblGrid>
      <w:tr w:rsidR="00643896" w:rsidRPr="00640820" w14:paraId="76C66CBC" w14:textId="77777777" w:rsidTr="000D3BCB">
        <w:trPr>
          <w:jc w:val="center"/>
        </w:trPr>
        <w:tc>
          <w:tcPr>
            <w:tcW w:w="426" w:type="dxa"/>
            <w:tcBorders>
              <w:top w:val="single" w:sz="12" w:space="0" w:color="000000"/>
            </w:tcBorders>
          </w:tcPr>
          <w:p w14:paraId="29C533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NN</w:t>
            </w:r>
          </w:p>
        </w:tc>
        <w:tc>
          <w:tcPr>
            <w:tcW w:w="3886" w:type="dxa"/>
            <w:tcBorders>
              <w:top w:val="single" w:sz="12" w:space="0" w:color="000000"/>
            </w:tcBorders>
          </w:tcPr>
          <w:p w14:paraId="0D5437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Наименование эвакуированных предприятий</w:t>
            </w:r>
          </w:p>
        </w:tc>
        <w:tc>
          <w:tcPr>
            <w:tcW w:w="2182" w:type="dxa"/>
            <w:tcBorders>
              <w:top w:val="single" w:sz="12" w:space="0" w:color="000000"/>
            </w:tcBorders>
          </w:tcPr>
          <w:p w14:paraId="72D080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Место размещения эвакооборудования</w:t>
            </w:r>
          </w:p>
        </w:tc>
        <w:tc>
          <w:tcPr>
            <w:tcW w:w="2265" w:type="dxa"/>
            <w:tcBorders>
              <w:top w:val="single" w:sz="12" w:space="0" w:color="000000"/>
            </w:tcBorders>
          </w:tcPr>
          <w:p w14:paraId="43DFAB9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Вновь созданное предприятие</w:t>
            </w:r>
          </w:p>
        </w:tc>
      </w:tr>
      <w:tr w:rsidR="00643896" w:rsidRPr="00640820" w14:paraId="2BFEC756" w14:textId="77777777" w:rsidTr="000D3BCB">
        <w:trPr>
          <w:jc w:val="center"/>
        </w:trPr>
        <w:tc>
          <w:tcPr>
            <w:tcW w:w="426" w:type="dxa"/>
          </w:tcPr>
          <w:p w14:paraId="354660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3886" w:type="dxa"/>
          </w:tcPr>
          <w:p w14:paraId="680175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Азотнотуковый завод Наркомата химической промышленности (НКХП). г. Горловка</w:t>
            </w:r>
          </w:p>
        </w:tc>
        <w:tc>
          <w:tcPr>
            <w:tcW w:w="2182" w:type="dxa"/>
          </w:tcPr>
          <w:p w14:paraId="1B011229" w14:textId="77777777" w:rsidR="00045010" w:rsidRPr="00640820" w:rsidRDefault="00AC5806"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fldChar w:fldCharType="begin"/>
            </w:r>
            <w:r w:rsidR="00045010" w:rsidRPr="00640820">
              <w:rPr>
                <w:rFonts w:ascii="Times New Roman" w:hAnsi="Times New Roman"/>
                <w:color w:val="000000" w:themeColor="text1"/>
                <w:sz w:val="16"/>
                <w:szCs w:val="16"/>
                <w:lang w:val="en-US"/>
              </w:rPr>
              <w:instrText xml:space="preserve">ref HYPERLINK "http://hghltd.yandex.net/yandbtm?text=%D0%BA%D0%B5%D0%BC%D0%B5%D1%80%D0%BE%D0%B2%D1%81%D0%BA%D0%B8%D0%B9%20%D0%B7%D0%B0%D0%B2%D0%BE%D0%B4%201940&amp;url=http%3A%2F%2Fneworld.kemcity.ru%2Fschool38%2Fpobeda%2Fhistory.htm&amp;fmode=inject&amp;mime=html&amp;l10n=ru&amp;sign=298ada3045ac89438e929216a4aac81d&amp;keyno=0" \l "YANDEX_4" \* MERGEFORMAT </w:instrText>
            </w:r>
            <w:r w:rsidRPr="00640820">
              <w:rPr>
                <w:rFonts w:ascii="Times New Roman" w:hAnsi="Times New Roman"/>
                <w:color w:val="000000" w:themeColor="text1"/>
                <w:sz w:val="16"/>
                <w:szCs w:val="16"/>
                <w:lang w:val="en-US"/>
              </w:rPr>
              <w:fldChar w:fldCharType="end"/>
            </w:r>
            <w:r w:rsidR="00045010" w:rsidRPr="00640820">
              <w:rPr>
                <w:rFonts w:ascii="Times New Roman" w:hAnsi="Times New Roman"/>
                <w:color w:val="000000" w:themeColor="text1"/>
                <w:sz w:val="16"/>
                <w:szCs w:val="16"/>
                <w:lang w:val="en-US"/>
              </w:rPr>
              <w:t xml:space="preserve">Кемеровский </w:t>
            </w:r>
            <w:r w:rsidRPr="00640820">
              <w:rPr>
                <w:rFonts w:ascii="Times New Roman" w:hAnsi="Times New Roman"/>
                <w:color w:val="000000" w:themeColor="text1"/>
                <w:sz w:val="16"/>
                <w:szCs w:val="16"/>
                <w:lang w:val="en-US"/>
              </w:rPr>
              <w:fldChar w:fldCharType="begin"/>
            </w:r>
            <w:r w:rsidR="00045010" w:rsidRPr="00640820">
              <w:rPr>
                <w:rFonts w:ascii="Times New Roman" w:hAnsi="Times New Roman"/>
                <w:color w:val="000000" w:themeColor="text1"/>
                <w:sz w:val="16"/>
                <w:szCs w:val="16"/>
                <w:lang w:val="en-US"/>
              </w:rPr>
              <w:instrText xml:space="preserve">ref HYPERLINK "http://hghltd.yandex.net/yandbtm?text=%D0%BA%D0%B5%D0%BC%D0%B5%D1%80%D0%BE%D0%B2%D1%81%D0%BA%D0%B8%D0%B9%20%D0%B7%D0%B0%D0%B2%D0%BE%D0%B4%201940&amp;url=http%3A%2F%2Fneworld.kemcity.ru%2Fschool38%2Fpobeda%2Fhistory.htm&amp;fmode=inject&amp;mime=html&amp;l10n=ru&amp;sign=298ada3045ac89438e929216a4aac81d&amp;keyno=0" \l "YANDEX_6" \* MERGEFORMAT </w:instrText>
            </w:r>
            <w:r w:rsidRPr="00640820">
              <w:rPr>
                <w:rFonts w:ascii="Times New Roman" w:hAnsi="Times New Roman"/>
                <w:color w:val="000000" w:themeColor="text1"/>
                <w:sz w:val="16"/>
                <w:szCs w:val="16"/>
                <w:lang w:val="en-US"/>
              </w:rPr>
              <w:fldChar w:fldCharType="end"/>
            </w:r>
            <w:r w:rsidR="00045010" w:rsidRPr="00640820">
              <w:rPr>
                <w:rFonts w:ascii="Times New Roman" w:hAnsi="Times New Roman"/>
                <w:color w:val="000000" w:themeColor="text1"/>
                <w:sz w:val="16"/>
                <w:szCs w:val="16"/>
                <w:lang w:val="en-US"/>
              </w:rPr>
              <w:t xml:space="preserve">аэотно-туковый </w:t>
            </w:r>
            <w:r w:rsidRPr="00640820">
              <w:rPr>
                <w:rFonts w:ascii="Times New Roman" w:hAnsi="Times New Roman"/>
                <w:color w:val="000000" w:themeColor="text1"/>
                <w:sz w:val="16"/>
                <w:szCs w:val="16"/>
                <w:lang w:val="en-US"/>
              </w:rPr>
              <w:fldChar w:fldCharType="begin"/>
            </w:r>
            <w:r w:rsidR="00045010" w:rsidRPr="00640820">
              <w:rPr>
                <w:rFonts w:ascii="Times New Roman" w:hAnsi="Times New Roman"/>
                <w:color w:val="000000" w:themeColor="text1"/>
                <w:sz w:val="16"/>
                <w:szCs w:val="16"/>
                <w:lang w:val="en-US"/>
              </w:rPr>
              <w:instrText xml:space="preserve">ref HYPERLINK "http://hghltd.yandex.net/yandbtm?text=%D0%BA%D0%B5%D0%BC%D0%B5%D1%80%D0%BE%D0%B2%D1%81%D0%BA%D0%B8%D0%B9%20%D0%B7%D0%B0%D0%B2%D0%BE%D0%B4%201940&amp;url=http%3A%2F%2Fneworld.kemcity.ru%2Fschool38%2Fpobeda%2Fhistory.htm&amp;fmode=inject&amp;mime=html&amp;l10n=ru&amp;sign=298ada3045ac89438e929216a4aac81d&amp;keyno=0" \l "YANDEX_5" \* MERGEFORMAT </w:instrText>
            </w:r>
            <w:r w:rsidRPr="00640820">
              <w:rPr>
                <w:rFonts w:ascii="Times New Roman" w:hAnsi="Times New Roman"/>
                <w:color w:val="000000" w:themeColor="text1"/>
                <w:sz w:val="16"/>
                <w:szCs w:val="16"/>
                <w:lang w:val="en-US"/>
              </w:rPr>
              <w:fldChar w:fldCharType="end"/>
            </w:r>
            <w:r w:rsidR="00045010" w:rsidRPr="00640820">
              <w:rPr>
                <w:rFonts w:ascii="Times New Roman" w:hAnsi="Times New Roman"/>
                <w:color w:val="000000" w:themeColor="text1"/>
                <w:sz w:val="16"/>
                <w:szCs w:val="16"/>
                <w:lang w:val="en-US"/>
              </w:rPr>
              <w:t xml:space="preserve">завод </w:t>
            </w:r>
            <w:r w:rsidRPr="00640820">
              <w:rPr>
                <w:rFonts w:ascii="Times New Roman" w:hAnsi="Times New Roman"/>
                <w:color w:val="000000" w:themeColor="text1"/>
                <w:sz w:val="16"/>
                <w:szCs w:val="16"/>
                <w:lang w:val="en-US"/>
              </w:rPr>
              <w:fldChar w:fldCharType="begin"/>
            </w:r>
            <w:r w:rsidR="00045010" w:rsidRPr="00640820">
              <w:rPr>
                <w:rFonts w:ascii="Times New Roman" w:hAnsi="Times New Roman"/>
                <w:color w:val="000000" w:themeColor="text1"/>
                <w:sz w:val="16"/>
                <w:szCs w:val="16"/>
                <w:lang w:val="en-US"/>
              </w:rPr>
              <w:instrText xml:space="preserve">ref HYPERLINK "http://hghltd.yandex.net/yandbtm?text=%D0%BA%D0%B5%D0%BC%D0%B5%D1%80%D0%BE%D0%B2%D1%81%D0%BA%D0%B8%D0%B9%20%D0%B7%D0%B0%D0%B2%D0%BE%D0%B4%201940&amp;url=http%3A%2F%2Fneworld.kemcity.ru%2Fschool38%2Fpobeda%2Fhistory.htm&amp;fmode=inject&amp;mime=html&amp;l10n=ru&amp;sign=298ada3045ac89438e929216a4aac81d&amp;keyno=0" \l "YANDEX_7" \* MERGEFORMAT </w:instrText>
            </w:r>
            <w:r w:rsidRPr="00640820">
              <w:rPr>
                <w:rFonts w:ascii="Times New Roman" w:hAnsi="Times New Roman"/>
                <w:color w:val="000000" w:themeColor="text1"/>
                <w:sz w:val="16"/>
                <w:szCs w:val="16"/>
                <w:lang w:val="en-US"/>
              </w:rPr>
              <w:fldChar w:fldCharType="end"/>
            </w:r>
          </w:p>
        </w:tc>
        <w:tc>
          <w:tcPr>
            <w:tcW w:w="2265" w:type="dxa"/>
          </w:tcPr>
          <w:p w14:paraId="132275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680D7AC1" w14:textId="77777777" w:rsidTr="000D3BCB">
        <w:trPr>
          <w:jc w:val="center"/>
        </w:trPr>
        <w:tc>
          <w:tcPr>
            <w:tcW w:w="426" w:type="dxa"/>
          </w:tcPr>
          <w:p w14:paraId="6831FC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lastRenderedPageBreak/>
              <w:t>2.</w:t>
            </w:r>
          </w:p>
        </w:tc>
        <w:tc>
          <w:tcPr>
            <w:tcW w:w="3886" w:type="dxa"/>
          </w:tcPr>
          <w:p w14:paraId="60B7F2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Азотно-туковый завод, г. Днепродзержинск</w:t>
            </w:r>
          </w:p>
        </w:tc>
        <w:tc>
          <w:tcPr>
            <w:tcW w:w="2182" w:type="dxa"/>
          </w:tcPr>
          <w:p w14:paraId="0BF086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65" w:type="dxa"/>
          </w:tcPr>
          <w:p w14:paraId="25772D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E7E56AC" w14:textId="77777777" w:rsidTr="000D3BCB">
        <w:trPr>
          <w:jc w:val="center"/>
        </w:trPr>
        <w:tc>
          <w:tcPr>
            <w:tcW w:w="426" w:type="dxa"/>
          </w:tcPr>
          <w:p w14:paraId="682B22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w:t>
            </w:r>
          </w:p>
        </w:tc>
        <w:tc>
          <w:tcPr>
            <w:tcW w:w="3886" w:type="dxa"/>
          </w:tcPr>
          <w:p w14:paraId="59DDCA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Азотнотуковый завод, г. Лисичанск</w:t>
            </w:r>
          </w:p>
        </w:tc>
        <w:tc>
          <w:tcPr>
            <w:tcW w:w="2182" w:type="dxa"/>
          </w:tcPr>
          <w:p w14:paraId="2CBAA5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2265" w:type="dxa"/>
          </w:tcPr>
          <w:p w14:paraId="0F7820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7BA7FEAB" w14:textId="77777777" w:rsidTr="000D3BCB">
        <w:trPr>
          <w:jc w:val="center"/>
        </w:trPr>
        <w:tc>
          <w:tcPr>
            <w:tcW w:w="426" w:type="dxa"/>
          </w:tcPr>
          <w:p w14:paraId="1FCFB18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w:t>
            </w:r>
          </w:p>
        </w:tc>
        <w:tc>
          <w:tcPr>
            <w:tcW w:w="3886" w:type="dxa"/>
          </w:tcPr>
          <w:p w14:paraId="7DD9F5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Химический завод </w:t>
            </w:r>
            <w:r w:rsidRPr="00640820">
              <w:rPr>
                <w:rFonts w:ascii="Times New Roman" w:hAnsi="Times New Roman"/>
                <w:color w:val="000000" w:themeColor="text1"/>
                <w:sz w:val="16"/>
                <w:szCs w:val="16"/>
                <w:lang w:val="en-US"/>
              </w:rPr>
              <w:t>N</w:t>
            </w:r>
            <w:r w:rsidRPr="00640820">
              <w:rPr>
                <w:rFonts w:ascii="Times New Roman" w:hAnsi="Times New Roman"/>
                <w:color w:val="000000" w:themeColor="text1"/>
                <w:sz w:val="16"/>
                <w:szCs w:val="16"/>
              </w:rPr>
              <w:t xml:space="preserve"> 20 (НКХП), г. Рубежное</w:t>
            </w:r>
          </w:p>
        </w:tc>
        <w:tc>
          <w:tcPr>
            <w:tcW w:w="2182" w:type="dxa"/>
          </w:tcPr>
          <w:p w14:paraId="2D9F08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65" w:type="dxa"/>
          </w:tcPr>
          <w:p w14:paraId="491312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2A80129" w14:textId="77777777" w:rsidTr="000D3BCB">
        <w:trPr>
          <w:jc w:val="center"/>
        </w:trPr>
        <w:tc>
          <w:tcPr>
            <w:tcW w:w="426" w:type="dxa"/>
          </w:tcPr>
          <w:p w14:paraId="76E1DBA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w:t>
            </w:r>
          </w:p>
        </w:tc>
        <w:tc>
          <w:tcPr>
            <w:tcW w:w="3886" w:type="dxa"/>
          </w:tcPr>
          <w:p w14:paraId="51B5A2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Химкомбинат, г. Новомосковск</w:t>
            </w:r>
          </w:p>
        </w:tc>
        <w:tc>
          <w:tcPr>
            <w:tcW w:w="2182" w:type="dxa"/>
          </w:tcPr>
          <w:p w14:paraId="401ECE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2265" w:type="dxa"/>
          </w:tcPr>
          <w:p w14:paraId="78E560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002011CA" w14:textId="77777777" w:rsidTr="000D3BCB">
        <w:trPr>
          <w:jc w:val="center"/>
        </w:trPr>
        <w:tc>
          <w:tcPr>
            <w:tcW w:w="426" w:type="dxa"/>
          </w:tcPr>
          <w:p w14:paraId="52412E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w:t>
            </w:r>
          </w:p>
        </w:tc>
        <w:tc>
          <w:tcPr>
            <w:tcW w:w="3886" w:type="dxa"/>
          </w:tcPr>
          <w:p w14:paraId="29AC5A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Азотно-туковый завод, г. Сталинград</w:t>
            </w:r>
          </w:p>
        </w:tc>
        <w:tc>
          <w:tcPr>
            <w:tcW w:w="2182" w:type="dxa"/>
          </w:tcPr>
          <w:p w14:paraId="541B31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65" w:type="dxa"/>
          </w:tcPr>
          <w:p w14:paraId="3236EC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6A3BED3B" w14:textId="77777777" w:rsidTr="000D3BCB">
        <w:trPr>
          <w:jc w:val="center"/>
        </w:trPr>
        <w:tc>
          <w:tcPr>
            <w:tcW w:w="426" w:type="dxa"/>
          </w:tcPr>
          <w:p w14:paraId="695722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w:t>
            </w:r>
          </w:p>
        </w:tc>
        <w:tc>
          <w:tcPr>
            <w:tcW w:w="3886" w:type="dxa"/>
          </w:tcPr>
          <w:p w14:paraId="4EC760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Завод </w:t>
            </w:r>
            <w:r w:rsidRPr="00640820">
              <w:rPr>
                <w:rFonts w:ascii="Times New Roman" w:hAnsi="Times New Roman"/>
                <w:color w:val="000000" w:themeColor="text1"/>
                <w:sz w:val="16"/>
                <w:szCs w:val="16"/>
                <w:lang w:val="en-US"/>
              </w:rPr>
              <w:t>N</w:t>
            </w:r>
            <w:r w:rsidRPr="00640820">
              <w:rPr>
                <w:rFonts w:ascii="Times New Roman" w:hAnsi="Times New Roman"/>
                <w:color w:val="000000" w:themeColor="text1"/>
                <w:sz w:val="16"/>
                <w:szCs w:val="16"/>
              </w:rPr>
              <w:t xml:space="preserve"> 510 Наркомата боеприпасов (НКБ), г. Ногинск</w:t>
            </w:r>
          </w:p>
        </w:tc>
        <w:tc>
          <w:tcPr>
            <w:tcW w:w="2182" w:type="dxa"/>
          </w:tcPr>
          <w:p w14:paraId="51DE7C5A" w14:textId="77777777" w:rsidR="00045010" w:rsidRPr="00640820" w:rsidRDefault="00AC5806"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fldChar w:fldCharType="begin"/>
            </w:r>
            <w:r w:rsidR="00045010" w:rsidRPr="00640820">
              <w:rPr>
                <w:rFonts w:ascii="Times New Roman" w:hAnsi="Times New Roman"/>
                <w:color w:val="000000" w:themeColor="text1"/>
                <w:sz w:val="16"/>
                <w:szCs w:val="16"/>
                <w:lang w:val="en-US"/>
              </w:rPr>
              <w:instrText xml:space="preserve">ref HYPERLINK "http://hghltd.yandex.net/yandbtm?text=%D0%BA%D0%B5%D0%BC%D0%B5%D1%80%D0%BE%D0%B2%D1%81%D0%BA%D0%B8%D0%B9%20%D0%B7%D0%B0%D0%B2%D0%BE%D0%B4%201940&amp;url=http%3A%2F%2Fneworld.kemcity.ru%2Fschool38%2Fpobeda%2Fhistory.htm&amp;fmode=inject&amp;mime=html&amp;l10n=ru&amp;sign=298ada3045ac89438e929216a4aac81d&amp;keyno=0" \l "YANDEX_6" \* MERGEFORMAT </w:instrText>
            </w:r>
            <w:r w:rsidRPr="00640820">
              <w:rPr>
                <w:rFonts w:ascii="Times New Roman" w:hAnsi="Times New Roman"/>
                <w:color w:val="000000" w:themeColor="text1"/>
                <w:sz w:val="16"/>
                <w:szCs w:val="16"/>
                <w:lang w:val="en-US"/>
              </w:rPr>
              <w:fldChar w:fldCharType="end"/>
            </w:r>
            <w:r w:rsidR="00045010" w:rsidRPr="00640820">
              <w:rPr>
                <w:rFonts w:ascii="Times New Roman" w:hAnsi="Times New Roman"/>
                <w:color w:val="000000" w:themeColor="text1"/>
                <w:sz w:val="16"/>
                <w:szCs w:val="16"/>
                <w:lang w:val="en-US"/>
              </w:rPr>
              <w:t xml:space="preserve">Кемеровский </w:t>
            </w:r>
            <w:r w:rsidRPr="00640820">
              <w:rPr>
                <w:rFonts w:ascii="Times New Roman" w:hAnsi="Times New Roman"/>
                <w:color w:val="000000" w:themeColor="text1"/>
                <w:sz w:val="16"/>
                <w:szCs w:val="16"/>
                <w:lang w:val="en-US"/>
              </w:rPr>
              <w:fldChar w:fldCharType="begin"/>
            </w:r>
            <w:r w:rsidR="00045010" w:rsidRPr="00640820">
              <w:rPr>
                <w:rFonts w:ascii="Times New Roman" w:hAnsi="Times New Roman"/>
                <w:color w:val="000000" w:themeColor="text1"/>
                <w:sz w:val="16"/>
                <w:szCs w:val="16"/>
                <w:lang w:val="en-US"/>
              </w:rPr>
              <w:instrText xml:space="preserve">ref HYPERLINK "http://hghltd.yandex.net/yandbtm?text=%D0%BA%D0%B5%D0%BC%D0%B5%D1%80%D0%BE%D0%B2%D1%81%D0%BA%D0%B8%D0%B9%20%D0%B7%D0%B0%D0%B2%D0%BE%D0%B4%201940&amp;url=http%3A%2F%2Fneworld.kemcity.ru%2Fschool38%2Fpobeda%2Fhistory.htm&amp;fmode=inject&amp;mime=html&amp;l10n=ru&amp;sign=298ada3045ac89438e929216a4aac81d&amp;keyno=0" \l "YANDEX_8" \* MERGEFORMAT </w:instrText>
            </w:r>
            <w:r w:rsidRPr="00640820">
              <w:rPr>
                <w:rFonts w:ascii="Times New Roman" w:hAnsi="Times New Roman"/>
                <w:color w:val="000000" w:themeColor="text1"/>
                <w:sz w:val="16"/>
                <w:szCs w:val="16"/>
                <w:lang w:val="en-US"/>
              </w:rPr>
              <w:fldChar w:fldCharType="end"/>
            </w:r>
            <w:r w:rsidR="00045010" w:rsidRPr="00640820">
              <w:rPr>
                <w:rFonts w:ascii="Times New Roman" w:hAnsi="Times New Roman"/>
                <w:color w:val="000000" w:themeColor="text1"/>
                <w:sz w:val="16"/>
                <w:szCs w:val="16"/>
                <w:lang w:val="en-US"/>
              </w:rPr>
              <w:t>мехзавод</w:t>
            </w:r>
          </w:p>
        </w:tc>
        <w:tc>
          <w:tcPr>
            <w:tcW w:w="2265" w:type="dxa"/>
          </w:tcPr>
          <w:p w14:paraId="5F5566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Завод </w:t>
            </w:r>
            <w:r w:rsidRPr="00640820">
              <w:rPr>
                <w:rFonts w:ascii="Times New Roman" w:hAnsi="Times New Roman"/>
                <w:color w:val="000000" w:themeColor="text1"/>
                <w:sz w:val="16"/>
                <w:szCs w:val="16"/>
                <w:lang w:val="en-US"/>
              </w:rPr>
              <w:t>N</w:t>
            </w:r>
            <w:r w:rsidRPr="00640820">
              <w:rPr>
                <w:rFonts w:ascii="Times New Roman" w:hAnsi="Times New Roman"/>
                <w:color w:val="000000" w:themeColor="text1"/>
                <w:sz w:val="16"/>
                <w:szCs w:val="16"/>
              </w:rPr>
              <w:t xml:space="preserve"> 606 НКБ, г. Кемерово</w:t>
            </w:r>
          </w:p>
        </w:tc>
      </w:tr>
      <w:tr w:rsidR="00643896" w:rsidRPr="00640820" w14:paraId="4C49FF30" w14:textId="77777777" w:rsidTr="000D3BCB">
        <w:trPr>
          <w:jc w:val="center"/>
        </w:trPr>
        <w:tc>
          <w:tcPr>
            <w:tcW w:w="426" w:type="dxa"/>
          </w:tcPr>
          <w:p w14:paraId="1808EA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3886" w:type="dxa"/>
          </w:tcPr>
          <w:p w14:paraId="290D3A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Завод N 187 НКБ (частично)</w:t>
            </w:r>
          </w:p>
        </w:tc>
        <w:tc>
          <w:tcPr>
            <w:tcW w:w="2182" w:type="dxa"/>
          </w:tcPr>
          <w:p w14:paraId="7B7741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2265" w:type="dxa"/>
          </w:tcPr>
          <w:p w14:paraId="290F55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5A937131" w14:textId="77777777" w:rsidTr="000D3BCB">
        <w:trPr>
          <w:jc w:val="center"/>
        </w:trPr>
        <w:tc>
          <w:tcPr>
            <w:tcW w:w="426" w:type="dxa"/>
          </w:tcPr>
          <w:p w14:paraId="4DCFB5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w:t>
            </w:r>
          </w:p>
        </w:tc>
        <w:tc>
          <w:tcPr>
            <w:tcW w:w="3886" w:type="dxa"/>
          </w:tcPr>
          <w:p w14:paraId="347A3E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Часть оборудования завода </w:t>
            </w:r>
            <w:r w:rsidRPr="00640820">
              <w:rPr>
                <w:rFonts w:ascii="Times New Roman" w:hAnsi="Times New Roman"/>
                <w:color w:val="000000" w:themeColor="text1"/>
                <w:sz w:val="16"/>
                <w:szCs w:val="16"/>
                <w:lang w:val="en-US"/>
              </w:rPr>
              <w:t>N</w:t>
            </w:r>
            <w:r w:rsidRPr="00640820">
              <w:rPr>
                <w:rFonts w:ascii="Times New Roman" w:hAnsi="Times New Roman"/>
                <w:color w:val="000000" w:themeColor="text1"/>
                <w:sz w:val="16"/>
                <w:szCs w:val="16"/>
              </w:rPr>
              <w:t xml:space="preserve">510 </w:t>
            </w:r>
            <w:r w:rsidRPr="00640820">
              <w:rPr>
                <w:rFonts w:ascii="Times New Roman" w:hAnsi="Times New Roman"/>
                <w:color w:val="000000" w:themeColor="text1"/>
                <w:sz w:val="16"/>
                <w:szCs w:val="16"/>
              </w:rPr>
              <w:br/>
              <w:t xml:space="preserve">Часть оборудования химического завода </w:t>
            </w:r>
            <w:r w:rsidRPr="00640820">
              <w:rPr>
                <w:rFonts w:ascii="Times New Roman" w:hAnsi="Times New Roman"/>
                <w:color w:val="000000" w:themeColor="text1"/>
                <w:sz w:val="16"/>
                <w:szCs w:val="16"/>
                <w:lang w:val="en-US"/>
              </w:rPr>
              <w:t>N</w:t>
            </w:r>
            <w:r w:rsidRPr="00640820">
              <w:rPr>
                <w:rFonts w:ascii="Times New Roman" w:hAnsi="Times New Roman"/>
                <w:color w:val="000000" w:themeColor="text1"/>
                <w:sz w:val="16"/>
                <w:szCs w:val="16"/>
              </w:rPr>
              <w:t>20 НКХП, г. Рубежное</w:t>
            </w:r>
          </w:p>
        </w:tc>
        <w:tc>
          <w:tcPr>
            <w:tcW w:w="2182" w:type="dxa"/>
          </w:tcPr>
          <w:p w14:paraId="50C2C0CB" w14:textId="77777777" w:rsidR="00045010" w:rsidRPr="00640820" w:rsidRDefault="00AC5806"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lang w:val="en-US"/>
              </w:rPr>
              <w:fldChar w:fldCharType="begin"/>
            </w:r>
            <w:r w:rsidR="00045010" w:rsidRPr="00640820">
              <w:rPr>
                <w:rFonts w:ascii="Times New Roman" w:hAnsi="Times New Roman"/>
                <w:color w:val="000000" w:themeColor="text1"/>
                <w:sz w:val="16"/>
                <w:szCs w:val="16"/>
                <w:lang w:val="en-US"/>
              </w:rPr>
              <w:instrText>refHYPERLINK</w:instrText>
            </w:r>
            <w:r w:rsidR="00045010" w:rsidRPr="00640820">
              <w:rPr>
                <w:rFonts w:ascii="Times New Roman" w:hAnsi="Times New Roman"/>
                <w:color w:val="000000" w:themeColor="text1"/>
                <w:sz w:val="16"/>
                <w:szCs w:val="16"/>
              </w:rPr>
              <w:instrText xml:space="preserve"> "</w:instrText>
            </w:r>
            <w:r w:rsidR="00045010" w:rsidRPr="00640820">
              <w:rPr>
                <w:rFonts w:ascii="Times New Roman" w:hAnsi="Times New Roman"/>
                <w:color w:val="000000" w:themeColor="text1"/>
                <w:sz w:val="16"/>
                <w:szCs w:val="16"/>
                <w:lang w:val="en-US"/>
              </w:rPr>
              <w:instrText>http</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hghltd</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yandex</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net</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yandbtm</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text</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BA</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w:instrText>
            </w:r>
            <w:r w:rsidR="00045010" w:rsidRPr="00640820">
              <w:rPr>
                <w:rFonts w:ascii="Times New Roman" w:hAnsi="Times New Roman"/>
                <w:color w:val="000000" w:themeColor="text1"/>
                <w:sz w:val="16"/>
                <w:szCs w:val="16"/>
              </w:rPr>
              <w:instrText>5%</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BC</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w:instrText>
            </w:r>
            <w:r w:rsidR="00045010" w:rsidRPr="00640820">
              <w:rPr>
                <w:rFonts w:ascii="Times New Roman" w:hAnsi="Times New Roman"/>
                <w:color w:val="000000" w:themeColor="text1"/>
                <w:sz w:val="16"/>
                <w:szCs w:val="16"/>
              </w:rPr>
              <w:instrText>5%</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1%80%</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BE</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w:instrText>
            </w:r>
            <w:r w:rsidR="00045010" w:rsidRPr="00640820">
              <w:rPr>
                <w:rFonts w:ascii="Times New Roman" w:hAnsi="Times New Roman"/>
                <w:color w:val="000000" w:themeColor="text1"/>
                <w:sz w:val="16"/>
                <w:szCs w:val="16"/>
              </w:rPr>
              <w:instrText>2%</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1%81%</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BA</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w:instrText>
            </w:r>
            <w:r w:rsidR="00045010" w:rsidRPr="00640820">
              <w:rPr>
                <w:rFonts w:ascii="Times New Roman" w:hAnsi="Times New Roman"/>
                <w:color w:val="000000" w:themeColor="text1"/>
                <w:sz w:val="16"/>
                <w:szCs w:val="16"/>
              </w:rPr>
              <w:instrText>8%</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w:instrText>
            </w:r>
            <w:r w:rsidR="00045010" w:rsidRPr="00640820">
              <w:rPr>
                <w:rFonts w:ascii="Times New Roman" w:hAnsi="Times New Roman"/>
                <w:color w:val="000000" w:themeColor="text1"/>
                <w:sz w:val="16"/>
                <w:szCs w:val="16"/>
              </w:rPr>
              <w:instrText>9%20%</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w:instrText>
            </w:r>
            <w:r w:rsidR="00045010" w:rsidRPr="00640820">
              <w:rPr>
                <w:rFonts w:ascii="Times New Roman" w:hAnsi="Times New Roman"/>
                <w:color w:val="000000" w:themeColor="text1"/>
                <w:sz w:val="16"/>
                <w:szCs w:val="16"/>
              </w:rPr>
              <w:instrText>7%</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w:instrText>
            </w:r>
            <w:r w:rsidR="00045010" w:rsidRPr="00640820">
              <w:rPr>
                <w:rFonts w:ascii="Times New Roman" w:hAnsi="Times New Roman"/>
                <w:color w:val="000000" w:themeColor="text1"/>
                <w:sz w:val="16"/>
                <w:szCs w:val="16"/>
              </w:rPr>
              <w:instrText>2%</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BE</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w:instrText>
            </w:r>
            <w:r w:rsidR="00045010" w:rsidRPr="00640820">
              <w:rPr>
                <w:rFonts w:ascii="Times New Roman" w:hAnsi="Times New Roman"/>
                <w:color w:val="000000" w:themeColor="text1"/>
                <w:sz w:val="16"/>
                <w:szCs w:val="16"/>
              </w:rPr>
              <w:instrText>4%201940&amp;</w:instrText>
            </w:r>
            <w:r w:rsidR="00045010" w:rsidRPr="00640820">
              <w:rPr>
                <w:rFonts w:ascii="Times New Roman" w:hAnsi="Times New Roman"/>
                <w:color w:val="000000" w:themeColor="text1"/>
                <w:sz w:val="16"/>
                <w:szCs w:val="16"/>
                <w:lang w:val="en-US"/>
              </w:rPr>
              <w:instrText>url</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http</w:instrText>
            </w:r>
            <w:r w:rsidR="00045010" w:rsidRPr="00640820">
              <w:rPr>
                <w:rFonts w:ascii="Times New Roman" w:hAnsi="Times New Roman"/>
                <w:color w:val="000000" w:themeColor="text1"/>
                <w:sz w:val="16"/>
                <w:szCs w:val="16"/>
              </w:rPr>
              <w:instrText>%3</w:instrText>
            </w:r>
            <w:r w:rsidR="00045010" w:rsidRPr="00640820">
              <w:rPr>
                <w:rFonts w:ascii="Times New Roman" w:hAnsi="Times New Roman"/>
                <w:color w:val="000000" w:themeColor="text1"/>
                <w:sz w:val="16"/>
                <w:szCs w:val="16"/>
                <w:lang w:val="en-US"/>
              </w:rPr>
              <w:instrText>A</w:instrText>
            </w:r>
            <w:r w:rsidR="00045010" w:rsidRPr="00640820">
              <w:rPr>
                <w:rFonts w:ascii="Times New Roman" w:hAnsi="Times New Roman"/>
                <w:color w:val="000000" w:themeColor="text1"/>
                <w:sz w:val="16"/>
                <w:szCs w:val="16"/>
              </w:rPr>
              <w:instrText>%2</w:instrText>
            </w:r>
            <w:r w:rsidR="00045010" w:rsidRPr="00640820">
              <w:rPr>
                <w:rFonts w:ascii="Times New Roman" w:hAnsi="Times New Roman"/>
                <w:color w:val="000000" w:themeColor="text1"/>
                <w:sz w:val="16"/>
                <w:szCs w:val="16"/>
                <w:lang w:val="en-US"/>
              </w:rPr>
              <w:instrText>F</w:instrText>
            </w:r>
            <w:r w:rsidR="00045010" w:rsidRPr="00640820">
              <w:rPr>
                <w:rFonts w:ascii="Times New Roman" w:hAnsi="Times New Roman"/>
                <w:color w:val="000000" w:themeColor="text1"/>
                <w:sz w:val="16"/>
                <w:szCs w:val="16"/>
              </w:rPr>
              <w:instrText>%2</w:instrText>
            </w:r>
            <w:r w:rsidR="00045010" w:rsidRPr="00640820">
              <w:rPr>
                <w:rFonts w:ascii="Times New Roman" w:hAnsi="Times New Roman"/>
                <w:color w:val="000000" w:themeColor="text1"/>
                <w:sz w:val="16"/>
                <w:szCs w:val="16"/>
                <w:lang w:val="en-US"/>
              </w:rPr>
              <w:instrText>Fneworld</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kemcity</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ru</w:instrText>
            </w:r>
            <w:r w:rsidR="00045010" w:rsidRPr="00640820">
              <w:rPr>
                <w:rFonts w:ascii="Times New Roman" w:hAnsi="Times New Roman"/>
                <w:color w:val="000000" w:themeColor="text1"/>
                <w:sz w:val="16"/>
                <w:szCs w:val="16"/>
              </w:rPr>
              <w:instrText>%2</w:instrText>
            </w:r>
            <w:r w:rsidR="00045010" w:rsidRPr="00640820">
              <w:rPr>
                <w:rFonts w:ascii="Times New Roman" w:hAnsi="Times New Roman"/>
                <w:color w:val="000000" w:themeColor="text1"/>
                <w:sz w:val="16"/>
                <w:szCs w:val="16"/>
                <w:lang w:val="en-US"/>
              </w:rPr>
              <w:instrText>Fschool</w:instrText>
            </w:r>
            <w:r w:rsidR="00045010" w:rsidRPr="00640820">
              <w:rPr>
                <w:rFonts w:ascii="Times New Roman" w:hAnsi="Times New Roman"/>
                <w:color w:val="000000" w:themeColor="text1"/>
                <w:sz w:val="16"/>
                <w:szCs w:val="16"/>
              </w:rPr>
              <w:instrText>38%2</w:instrText>
            </w:r>
            <w:r w:rsidR="00045010" w:rsidRPr="00640820">
              <w:rPr>
                <w:rFonts w:ascii="Times New Roman" w:hAnsi="Times New Roman"/>
                <w:color w:val="000000" w:themeColor="text1"/>
                <w:sz w:val="16"/>
                <w:szCs w:val="16"/>
                <w:lang w:val="en-US"/>
              </w:rPr>
              <w:instrText>Fpobeda</w:instrText>
            </w:r>
            <w:r w:rsidR="00045010" w:rsidRPr="00640820">
              <w:rPr>
                <w:rFonts w:ascii="Times New Roman" w:hAnsi="Times New Roman"/>
                <w:color w:val="000000" w:themeColor="text1"/>
                <w:sz w:val="16"/>
                <w:szCs w:val="16"/>
              </w:rPr>
              <w:instrText>%2</w:instrText>
            </w:r>
            <w:r w:rsidR="00045010" w:rsidRPr="00640820">
              <w:rPr>
                <w:rFonts w:ascii="Times New Roman" w:hAnsi="Times New Roman"/>
                <w:color w:val="000000" w:themeColor="text1"/>
                <w:sz w:val="16"/>
                <w:szCs w:val="16"/>
                <w:lang w:val="en-US"/>
              </w:rPr>
              <w:instrText>Fhistory</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htm</w:instrText>
            </w:r>
            <w:r w:rsidR="00045010" w:rsidRPr="00640820">
              <w:rPr>
                <w:rFonts w:ascii="Times New Roman" w:hAnsi="Times New Roman"/>
                <w:color w:val="000000" w:themeColor="text1"/>
                <w:sz w:val="16"/>
                <w:szCs w:val="16"/>
              </w:rPr>
              <w:instrText>&amp;</w:instrText>
            </w:r>
            <w:r w:rsidR="00045010" w:rsidRPr="00640820">
              <w:rPr>
                <w:rFonts w:ascii="Times New Roman" w:hAnsi="Times New Roman"/>
                <w:color w:val="000000" w:themeColor="text1"/>
                <w:sz w:val="16"/>
                <w:szCs w:val="16"/>
                <w:lang w:val="en-US"/>
              </w:rPr>
              <w:instrText>fmode</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inject</w:instrText>
            </w:r>
            <w:r w:rsidR="00045010" w:rsidRPr="00640820">
              <w:rPr>
                <w:rFonts w:ascii="Times New Roman" w:hAnsi="Times New Roman"/>
                <w:color w:val="000000" w:themeColor="text1"/>
                <w:sz w:val="16"/>
                <w:szCs w:val="16"/>
              </w:rPr>
              <w:instrText>&amp;</w:instrText>
            </w:r>
            <w:r w:rsidR="00045010" w:rsidRPr="00640820">
              <w:rPr>
                <w:rFonts w:ascii="Times New Roman" w:hAnsi="Times New Roman"/>
                <w:color w:val="000000" w:themeColor="text1"/>
                <w:sz w:val="16"/>
                <w:szCs w:val="16"/>
                <w:lang w:val="en-US"/>
              </w:rPr>
              <w:instrText>mime</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html</w:instrText>
            </w:r>
            <w:r w:rsidR="00045010" w:rsidRPr="00640820">
              <w:rPr>
                <w:rFonts w:ascii="Times New Roman" w:hAnsi="Times New Roman"/>
                <w:color w:val="000000" w:themeColor="text1"/>
                <w:sz w:val="16"/>
                <w:szCs w:val="16"/>
              </w:rPr>
              <w:instrText>&amp;</w:instrText>
            </w:r>
            <w:r w:rsidR="00045010" w:rsidRPr="00640820">
              <w:rPr>
                <w:rFonts w:ascii="Times New Roman" w:hAnsi="Times New Roman"/>
                <w:color w:val="000000" w:themeColor="text1"/>
                <w:sz w:val="16"/>
                <w:szCs w:val="16"/>
                <w:lang w:val="en-US"/>
              </w:rPr>
              <w:instrText>l</w:instrText>
            </w:r>
            <w:r w:rsidR="00045010" w:rsidRPr="00640820">
              <w:rPr>
                <w:rFonts w:ascii="Times New Roman" w:hAnsi="Times New Roman"/>
                <w:color w:val="000000" w:themeColor="text1"/>
                <w:sz w:val="16"/>
                <w:szCs w:val="16"/>
              </w:rPr>
              <w:instrText>10</w:instrText>
            </w:r>
            <w:r w:rsidR="00045010" w:rsidRPr="00640820">
              <w:rPr>
                <w:rFonts w:ascii="Times New Roman" w:hAnsi="Times New Roman"/>
                <w:color w:val="000000" w:themeColor="text1"/>
                <w:sz w:val="16"/>
                <w:szCs w:val="16"/>
                <w:lang w:val="en-US"/>
              </w:rPr>
              <w:instrText>n</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ru</w:instrText>
            </w:r>
            <w:r w:rsidR="00045010" w:rsidRPr="00640820">
              <w:rPr>
                <w:rFonts w:ascii="Times New Roman" w:hAnsi="Times New Roman"/>
                <w:color w:val="000000" w:themeColor="text1"/>
                <w:sz w:val="16"/>
                <w:szCs w:val="16"/>
              </w:rPr>
              <w:instrText>&amp;</w:instrText>
            </w:r>
            <w:r w:rsidR="00045010" w:rsidRPr="00640820">
              <w:rPr>
                <w:rFonts w:ascii="Times New Roman" w:hAnsi="Times New Roman"/>
                <w:color w:val="000000" w:themeColor="text1"/>
                <w:sz w:val="16"/>
                <w:szCs w:val="16"/>
                <w:lang w:val="en-US"/>
              </w:rPr>
              <w:instrText>sign</w:instrText>
            </w:r>
            <w:r w:rsidR="00045010" w:rsidRPr="00640820">
              <w:rPr>
                <w:rFonts w:ascii="Times New Roman" w:hAnsi="Times New Roman"/>
                <w:color w:val="000000" w:themeColor="text1"/>
                <w:sz w:val="16"/>
                <w:szCs w:val="16"/>
              </w:rPr>
              <w:instrText>=298</w:instrText>
            </w:r>
            <w:r w:rsidR="00045010" w:rsidRPr="00640820">
              <w:rPr>
                <w:rFonts w:ascii="Times New Roman" w:hAnsi="Times New Roman"/>
                <w:color w:val="000000" w:themeColor="text1"/>
                <w:sz w:val="16"/>
                <w:szCs w:val="16"/>
                <w:lang w:val="en-US"/>
              </w:rPr>
              <w:instrText>ada</w:instrText>
            </w:r>
            <w:r w:rsidR="00045010" w:rsidRPr="00640820">
              <w:rPr>
                <w:rFonts w:ascii="Times New Roman" w:hAnsi="Times New Roman"/>
                <w:color w:val="000000" w:themeColor="text1"/>
                <w:sz w:val="16"/>
                <w:szCs w:val="16"/>
              </w:rPr>
              <w:instrText>3045</w:instrText>
            </w:r>
            <w:r w:rsidR="00045010" w:rsidRPr="00640820">
              <w:rPr>
                <w:rFonts w:ascii="Times New Roman" w:hAnsi="Times New Roman"/>
                <w:color w:val="000000" w:themeColor="text1"/>
                <w:sz w:val="16"/>
                <w:szCs w:val="16"/>
                <w:lang w:val="en-US"/>
              </w:rPr>
              <w:instrText>ac</w:instrText>
            </w:r>
            <w:r w:rsidR="00045010" w:rsidRPr="00640820">
              <w:rPr>
                <w:rFonts w:ascii="Times New Roman" w:hAnsi="Times New Roman"/>
                <w:color w:val="000000" w:themeColor="text1"/>
                <w:sz w:val="16"/>
                <w:szCs w:val="16"/>
              </w:rPr>
              <w:instrText>89438</w:instrText>
            </w:r>
            <w:r w:rsidR="00045010" w:rsidRPr="00640820">
              <w:rPr>
                <w:rFonts w:ascii="Times New Roman" w:hAnsi="Times New Roman"/>
                <w:color w:val="000000" w:themeColor="text1"/>
                <w:sz w:val="16"/>
                <w:szCs w:val="16"/>
                <w:lang w:val="en-US"/>
              </w:rPr>
              <w:instrText>e</w:instrText>
            </w:r>
            <w:r w:rsidR="00045010" w:rsidRPr="00640820">
              <w:rPr>
                <w:rFonts w:ascii="Times New Roman" w:hAnsi="Times New Roman"/>
                <w:color w:val="000000" w:themeColor="text1"/>
                <w:sz w:val="16"/>
                <w:szCs w:val="16"/>
              </w:rPr>
              <w:instrText>929216</w:instrText>
            </w:r>
            <w:r w:rsidR="00045010" w:rsidRPr="00640820">
              <w:rPr>
                <w:rFonts w:ascii="Times New Roman" w:hAnsi="Times New Roman"/>
                <w:color w:val="000000" w:themeColor="text1"/>
                <w:sz w:val="16"/>
                <w:szCs w:val="16"/>
                <w:lang w:val="en-US"/>
              </w:rPr>
              <w:instrText>a</w:instrText>
            </w:r>
            <w:r w:rsidR="00045010" w:rsidRPr="00640820">
              <w:rPr>
                <w:rFonts w:ascii="Times New Roman" w:hAnsi="Times New Roman"/>
                <w:color w:val="000000" w:themeColor="text1"/>
                <w:sz w:val="16"/>
                <w:szCs w:val="16"/>
              </w:rPr>
              <w:instrText>4</w:instrText>
            </w:r>
            <w:r w:rsidR="00045010" w:rsidRPr="00640820">
              <w:rPr>
                <w:rFonts w:ascii="Times New Roman" w:hAnsi="Times New Roman"/>
                <w:color w:val="000000" w:themeColor="text1"/>
                <w:sz w:val="16"/>
                <w:szCs w:val="16"/>
                <w:lang w:val="en-US"/>
              </w:rPr>
              <w:instrText>aac</w:instrText>
            </w:r>
            <w:r w:rsidR="00045010" w:rsidRPr="00640820">
              <w:rPr>
                <w:rFonts w:ascii="Times New Roman" w:hAnsi="Times New Roman"/>
                <w:color w:val="000000" w:themeColor="text1"/>
                <w:sz w:val="16"/>
                <w:szCs w:val="16"/>
              </w:rPr>
              <w:instrText>81</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&amp;</w:instrText>
            </w:r>
            <w:r w:rsidR="00045010" w:rsidRPr="00640820">
              <w:rPr>
                <w:rFonts w:ascii="Times New Roman" w:hAnsi="Times New Roman"/>
                <w:color w:val="000000" w:themeColor="text1"/>
                <w:sz w:val="16"/>
                <w:szCs w:val="16"/>
                <w:lang w:val="en-US"/>
              </w:rPr>
              <w:instrText>keyno</w:instrText>
            </w:r>
            <w:r w:rsidR="00045010" w:rsidRPr="00640820">
              <w:rPr>
                <w:rFonts w:ascii="Times New Roman" w:hAnsi="Times New Roman"/>
                <w:color w:val="000000" w:themeColor="text1"/>
                <w:sz w:val="16"/>
                <w:szCs w:val="16"/>
              </w:rPr>
              <w:instrText>=0" \</w:instrText>
            </w:r>
            <w:r w:rsidR="00045010" w:rsidRPr="00640820">
              <w:rPr>
                <w:rFonts w:ascii="Times New Roman" w:hAnsi="Times New Roman"/>
                <w:color w:val="000000" w:themeColor="text1"/>
                <w:sz w:val="16"/>
                <w:szCs w:val="16"/>
                <w:lang w:val="en-US"/>
              </w:rPr>
              <w:instrText>l</w:instrText>
            </w:r>
            <w:r w:rsidR="00045010" w:rsidRPr="00640820">
              <w:rPr>
                <w:rFonts w:ascii="Times New Roman" w:hAnsi="Times New Roman"/>
                <w:color w:val="000000" w:themeColor="text1"/>
                <w:sz w:val="16"/>
                <w:szCs w:val="16"/>
              </w:rPr>
              <w:instrText xml:space="preserve"> "</w:instrText>
            </w:r>
            <w:r w:rsidR="00045010" w:rsidRPr="00640820">
              <w:rPr>
                <w:rFonts w:ascii="Times New Roman" w:hAnsi="Times New Roman"/>
                <w:color w:val="000000" w:themeColor="text1"/>
                <w:sz w:val="16"/>
                <w:szCs w:val="16"/>
                <w:lang w:val="en-US"/>
              </w:rPr>
              <w:instrText>YANDEX</w:instrText>
            </w:r>
            <w:r w:rsidR="00045010" w:rsidRPr="00640820">
              <w:rPr>
                <w:rFonts w:ascii="Times New Roman" w:hAnsi="Times New Roman"/>
                <w:color w:val="000000" w:themeColor="text1"/>
                <w:sz w:val="16"/>
                <w:szCs w:val="16"/>
              </w:rPr>
              <w:instrText xml:space="preserve">_7" \* </w:instrText>
            </w:r>
            <w:r w:rsidR="00045010" w:rsidRPr="00640820">
              <w:rPr>
                <w:rFonts w:ascii="Times New Roman" w:hAnsi="Times New Roman"/>
                <w:color w:val="000000" w:themeColor="text1"/>
                <w:sz w:val="16"/>
                <w:szCs w:val="16"/>
                <w:lang w:val="en-US"/>
              </w:rPr>
              <w:instrText>MERGEFORMAT</w:instrText>
            </w:r>
            <w:r w:rsidRPr="00640820">
              <w:rPr>
                <w:rFonts w:ascii="Times New Roman" w:hAnsi="Times New Roman"/>
                <w:color w:val="000000" w:themeColor="text1"/>
                <w:sz w:val="16"/>
                <w:szCs w:val="16"/>
                <w:lang w:val="en-US"/>
              </w:rPr>
              <w:fldChar w:fldCharType="end"/>
            </w:r>
            <w:r w:rsidR="00045010" w:rsidRPr="00640820">
              <w:rPr>
                <w:rFonts w:ascii="Times New Roman" w:hAnsi="Times New Roman"/>
                <w:color w:val="000000" w:themeColor="text1"/>
                <w:sz w:val="16"/>
                <w:szCs w:val="16"/>
              </w:rPr>
              <w:t xml:space="preserve">Кемеровский </w:t>
            </w:r>
            <w:r w:rsidRPr="00640820">
              <w:rPr>
                <w:rFonts w:ascii="Times New Roman" w:hAnsi="Times New Roman"/>
                <w:color w:val="000000" w:themeColor="text1"/>
                <w:sz w:val="16"/>
                <w:szCs w:val="16"/>
                <w:lang w:val="en-US"/>
              </w:rPr>
              <w:fldChar w:fldCharType="begin"/>
            </w:r>
            <w:r w:rsidR="00045010" w:rsidRPr="00640820">
              <w:rPr>
                <w:rFonts w:ascii="Times New Roman" w:hAnsi="Times New Roman"/>
                <w:color w:val="000000" w:themeColor="text1"/>
                <w:sz w:val="16"/>
                <w:szCs w:val="16"/>
                <w:lang w:val="en-US"/>
              </w:rPr>
              <w:instrText>refHYPERLINK</w:instrText>
            </w:r>
            <w:r w:rsidR="00045010" w:rsidRPr="00640820">
              <w:rPr>
                <w:rFonts w:ascii="Times New Roman" w:hAnsi="Times New Roman"/>
                <w:color w:val="000000" w:themeColor="text1"/>
                <w:sz w:val="16"/>
                <w:szCs w:val="16"/>
              </w:rPr>
              <w:instrText xml:space="preserve"> "</w:instrText>
            </w:r>
            <w:r w:rsidR="00045010" w:rsidRPr="00640820">
              <w:rPr>
                <w:rFonts w:ascii="Times New Roman" w:hAnsi="Times New Roman"/>
                <w:color w:val="000000" w:themeColor="text1"/>
                <w:sz w:val="16"/>
                <w:szCs w:val="16"/>
                <w:lang w:val="en-US"/>
              </w:rPr>
              <w:instrText>http</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hghltd</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yandex</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net</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yandbtm</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text</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BA</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w:instrText>
            </w:r>
            <w:r w:rsidR="00045010" w:rsidRPr="00640820">
              <w:rPr>
                <w:rFonts w:ascii="Times New Roman" w:hAnsi="Times New Roman"/>
                <w:color w:val="000000" w:themeColor="text1"/>
                <w:sz w:val="16"/>
                <w:szCs w:val="16"/>
              </w:rPr>
              <w:instrText>5%</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BC</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w:instrText>
            </w:r>
            <w:r w:rsidR="00045010" w:rsidRPr="00640820">
              <w:rPr>
                <w:rFonts w:ascii="Times New Roman" w:hAnsi="Times New Roman"/>
                <w:color w:val="000000" w:themeColor="text1"/>
                <w:sz w:val="16"/>
                <w:szCs w:val="16"/>
              </w:rPr>
              <w:instrText>5%</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1%80%</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BE</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w:instrText>
            </w:r>
            <w:r w:rsidR="00045010" w:rsidRPr="00640820">
              <w:rPr>
                <w:rFonts w:ascii="Times New Roman" w:hAnsi="Times New Roman"/>
                <w:color w:val="000000" w:themeColor="text1"/>
                <w:sz w:val="16"/>
                <w:szCs w:val="16"/>
              </w:rPr>
              <w:instrText>2%</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1%81%</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BA</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w:instrText>
            </w:r>
            <w:r w:rsidR="00045010" w:rsidRPr="00640820">
              <w:rPr>
                <w:rFonts w:ascii="Times New Roman" w:hAnsi="Times New Roman"/>
                <w:color w:val="000000" w:themeColor="text1"/>
                <w:sz w:val="16"/>
                <w:szCs w:val="16"/>
              </w:rPr>
              <w:instrText>8%</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w:instrText>
            </w:r>
            <w:r w:rsidR="00045010" w:rsidRPr="00640820">
              <w:rPr>
                <w:rFonts w:ascii="Times New Roman" w:hAnsi="Times New Roman"/>
                <w:color w:val="000000" w:themeColor="text1"/>
                <w:sz w:val="16"/>
                <w:szCs w:val="16"/>
              </w:rPr>
              <w:instrText>9%20%</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w:instrText>
            </w:r>
            <w:r w:rsidR="00045010" w:rsidRPr="00640820">
              <w:rPr>
                <w:rFonts w:ascii="Times New Roman" w:hAnsi="Times New Roman"/>
                <w:color w:val="000000" w:themeColor="text1"/>
                <w:sz w:val="16"/>
                <w:szCs w:val="16"/>
              </w:rPr>
              <w:instrText>7%</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w:instrText>
            </w:r>
            <w:r w:rsidR="00045010" w:rsidRPr="00640820">
              <w:rPr>
                <w:rFonts w:ascii="Times New Roman" w:hAnsi="Times New Roman"/>
                <w:color w:val="000000" w:themeColor="text1"/>
                <w:sz w:val="16"/>
                <w:szCs w:val="16"/>
              </w:rPr>
              <w:instrText>2%</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BE</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w:instrText>
            </w:r>
            <w:r w:rsidR="00045010" w:rsidRPr="00640820">
              <w:rPr>
                <w:rFonts w:ascii="Times New Roman" w:hAnsi="Times New Roman"/>
                <w:color w:val="000000" w:themeColor="text1"/>
                <w:sz w:val="16"/>
                <w:szCs w:val="16"/>
              </w:rPr>
              <w:instrText>4%201940&amp;</w:instrText>
            </w:r>
            <w:r w:rsidR="00045010" w:rsidRPr="00640820">
              <w:rPr>
                <w:rFonts w:ascii="Times New Roman" w:hAnsi="Times New Roman"/>
                <w:color w:val="000000" w:themeColor="text1"/>
                <w:sz w:val="16"/>
                <w:szCs w:val="16"/>
                <w:lang w:val="en-US"/>
              </w:rPr>
              <w:instrText>url</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http</w:instrText>
            </w:r>
            <w:r w:rsidR="00045010" w:rsidRPr="00640820">
              <w:rPr>
                <w:rFonts w:ascii="Times New Roman" w:hAnsi="Times New Roman"/>
                <w:color w:val="000000" w:themeColor="text1"/>
                <w:sz w:val="16"/>
                <w:szCs w:val="16"/>
              </w:rPr>
              <w:instrText>%3</w:instrText>
            </w:r>
            <w:r w:rsidR="00045010" w:rsidRPr="00640820">
              <w:rPr>
                <w:rFonts w:ascii="Times New Roman" w:hAnsi="Times New Roman"/>
                <w:color w:val="000000" w:themeColor="text1"/>
                <w:sz w:val="16"/>
                <w:szCs w:val="16"/>
                <w:lang w:val="en-US"/>
              </w:rPr>
              <w:instrText>A</w:instrText>
            </w:r>
            <w:r w:rsidR="00045010" w:rsidRPr="00640820">
              <w:rPr>
                <w:rFonts w:ascii="Times New Roman" w:hAnsi="Times New Roman"/>
                <w:color w:val="000000" w:themeColor="text1"/>
                <w:sz w:val="16"/>
                <w:szCs w:val="16"/>
              </w:rPr>
              <w:instrText>%2</w:instrText>
            </w:r>
            <w:r w:rsidR="00045010" w:rsidRPr="00640820">
              <w:rPr>
                <w:rFonts w:ascii="Times New Roman" w:hAnsi="Times New Roman"/>
                <w:color w:val="000000" w:themeColor="text1"/>
                <w:sz w:val="16"/>
                <w:szCs w:val="16"/>
                <w:lang w:val="en-US"/>
              </w:rPr>
              <w:instrText>F</w:instrText>
            </w:r>
            <w:r w:rsidR="00045010" w:rsidRPr="00640820">
              <w:rPr>
                <w:rFonts w:ascii="Times New Roman" w:hAnsi="Times New Roman"/>
                <w:color w:val="000000" w:themeColor="text1"/>
                <w:sz w:val="16"/>
                <w:szCs w:val="16"/>
              </w:rPr>
              <w:instrText>%2</w:instrText>
            </w:r>
            <w:r w:rsidR="00045010" w:rsidRPr="00640820">
              <w:rPr>
                <w:rFonts w:ascii="Times New Roman" w:hAnsi="Times New Roman"/>
                <w:color w:val="000000" w:themeColor="text1"/>
                <w:sz w:val="16"/>
                <w:szCs w:val="16"/>
                <w:lang w:val="en-US"/>
              </w:rPr>
              <w:instrText>Fneworld</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kemcity</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ru</w:instrText>
            </w:r>
            <w:r w:rsidR="00045010" w:rsidRPr="00640820">
              <w:rPr>
                <w:rFonts w:ascii="Times New Roman" w:hAnsi="Times New Roman"/>
                <w:color w:val="000000" w:themeColor="text1"/>
                <w:sz w:val="16"/>
                <w:szCs w:val="16"/>
              </w:rPr>
              <w:instrText>%2</w:instrText>
            </w:r>
            <w:r w:rsidR="00045010" w:rsidRPr="00640820">
              <w:rPr>
                <w:rFonts w:ascii="Times New Roman" w:hAnsi="Times New Roman"/>
                <w:color w:val="000000" w:themeColor="text1"/>
                <w:sz w:val="16"/>
                <w:szCs w:val="16"/>
                <w:lang w:val="en-US"/>
              </w:rPr>
              <w:instrText>Fschool</w:instrText>
            </w:r>
            <w:r w:rsidR="00045010" w:rsidRPr="00640820">
              <w:rPr>
                <w:rFonts w:ascii="Times New Roman" w:hAnsi="Times New Roman"/>
                <w:color w:val="000000" w:themeColor="text1"/>
                <w:sz w:val="16"/>
                <w:szCs w:val="16"/>
              </w:rPr>
              <w:instrText>38%2</w:instrText>
            </w:r>
            <w:r w:rsidR="00045010" w:rsidRPr="00640820">
              <w:rPr>
                <w:rFonts w:ascii="Times New Roman" w:hAnsi="Times New Roman"/>
                <w:color w:val="000000" w:themeColor="text1"/>
                <w:sz w:val="16"/>
                <w:szCs w:val="16"/>
                <w:lang w:val="en-US"/>
              </w:rPr>
              <w:instrText>Fpobeda</w:instrText>
            </w:r>
            <w:r w:rsidR="00045010" w:rsidRPr="00640820">
              <w:rPr>
                <w:rFonts w:ascii="Times New Roman" w:hAnsi="Times New Roman"/>
                <w:color w:val="000000" w:themeColor="text1"/>
                <w:sz w:val="16"/>
                <w:szCs w:val="16"/>
              </w:rPr>
              <w:instrText>%2</w:instrText>
            </w:r>
            <w:r w:rsidR="00045010" w:rsidRPr="00640820">
              <w:rPr>
                <w:rFonts w:ascii="Times New Roman" w:hAnsi="Times New Roman"/>
                <w:color w:val="000000" w:themeColor="text1"/>
                <w:sz w:val="16"/>
                <w:szCs w:val="16"/>
                <w:lang w:val="en-US"/>
              </w:rPr>
              <w:instrText>Fhistory</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htm</w:instrText>
            </w:r>
            <w:r w:rsidR="00045010" w:rsidRPr="00640820">
              <w:rPr>
                <w:rFonts w:ascii="Times New Roman" w:hAnsi="Times New Roman"/>
                <w:color w:val="000000" w:themeColor="text1"/>
                <w:sz w:val="16"/>
                <w:szCs w:val="16"/>
              </w:rPr>
              <w:instrText>&amp;</w:instrText>
            </w:r>
            <w:r w:rsidR="00045010" w:rsidRPr="00640820">
              <w:rPr>
                <w:rFonts w:ascii="Times New Roman" w:hAnsi="Times New Roman"/>
                <w:color w:val="000000" w:themeColor="text1"/>
                <w:sz w:val="16"/>
                <w:szCs w:val="16"/>
                <w:lang w:val="en-US"/>
              </w:rPr>
              <w:instrText>fmode</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inject</w:instrText>
            </w:r>
            <w:r w:rsidR="00045010" w:rsidRPr="00640820">
              <w:rPr>
                <w:rFonts w:ascii="Times New Roman" w:hAnsi="Times New Roman"/>
                <w:color w:val="000000" w:themeColor="text1"/>
                <w:sz w:val="16"/>
                <w:szCs w:val="16"/>
              </w:rPr>
              <w:instrText>&amp;</w:instrText>
            </w:r>
            <w:r w:rsidR="00045010" w:rsidRPr="00640820">
              <w:rPr>
                <w:rFonts w:ascii="Times New Roman" w:hAnsi="Times New Roman"/>
                <w:color w:val="000000" w:themeColor="text1"/>
                <w:sz w:val="16"/>
                <w:szCs w:val="16"/>
                <w:lang w:val="en-US"/>
              </w:rPr>
              <w:instrText>mime</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html</w:instrText>
            </w:r>
            <w:r w:rsidR="00045010" w:rsidRPr="00640820">
              <w:rPr>
                <w:rFonts w:ascii="Times New Roman" w:hAnsi="Times New Roman"/>
                <w:color w:val="000000" w:themeColor="text1"/>
                <w:sz w:val="16"/>
                <w:szCs w:val="16"/>
              </w:rPr>
              <w:instrText>&amp;</w:instrText>
            </w:r>
            <w:r w:rsidR="00045010" w:rsidRPr="00640820">
              <w:rPr>
                <w:rFonts w:ascii="Times New Roman" w:hAnsi="Times New Roman"/>
                <w:color w:val="000000" w:themeColor="text1"/>
                <w:sz w:val="16"/>
                <w:szCs w:val="16"/>
                <w:lang w:val="en-US"/>
              </w:rPr>
              <w:instrText>l</w:instrText>
            </w:r>
            <w:r w:rsidR="00045010" w:rsidRPr="00640820">
              <w:rPr>
                <w:rFonts w:ascii="Times New Roman" w:hAnsi="Times New Roman"/>
                <w:color w:val="000000" w:themeColor="text1"/>
                <w:sz w:val="16"/>
                <w:szCs w:val="16"/>
              </w:rPr>
              <w:instrText>10</w:instrText>
            </w:r>
            <w:r w:rsidR="00045010" w:rsidRPr="00640820">
              <w:rPr>
                <w:rFonts w:ascii="Times New Roman" w:hAnsi="Times New Roman"/>
                <w:color w:val="000000" w:themeColor="text1"/>
                <w:sz w:val="16"/>
                <w:szCs w:val="16"/>
                <w:lang w:val="en-US"/>
              </w:rPr>
              <w:instrText>n</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ru</w:instrText>
            </w:r>
            <w:r w:rsidR="00045010" w:rsidRPr="00640820">
              <w:rPr>
                <w:rFonts w:ascii="Times New Roman" w:hAnsi="Times New Roman"/>
                <w:color w:val="000000" w:themeColor="text1"/>
                <w:sz w:val="16"/>
                <w:szCs w:val="16"/>
              </w:rPr>
              <w:instrText>&amp;</w:instrText>
            </w:r>
            <w:r w:rsidR="00045010" w:rsidRPr="00640820">
              <w:rPr>
                <w:rFonts w:ascii="Times New Roman" w:hAnsi="Times New Roman"/>
                <w:color w:val="000000" w:themeColor="text1"/>
                <w:sz w:val="16"/>
                <w:szCs w:val="16"/>
                <w:lang w:val="en-US"/>
              </w:rPr>
              <w:instrText>sign</w:instrText>
            </w:r>
            <w:r w:rsidR="00045010" w:rsidRPr="00640820">
              <w:rPr>
                <w:rFonts w:ascii="Times New Roman" w:hAnsi="Times New Roman"/>
                <w:color w:val="000000" w:themeColor="text1"/>
                <w:sz w:val="16"/>
                <w:szCs w:val="16"/>
              </w:rPr>
              <w:instrText>=298</w:instrText>
            </w:r>
            <w:r w:rsidR="00045010" w:rsidRPr="00640820">
              <w:rPr>
                <w:rFonts w:ascii="Times New Roman" w:hAnsi="Times New Roman"/>
                <w:color w:val="000000" w:themeColor="text1"/>
                <w:sz w:val="16"/>
                <w:szCs w:val="16"/>
                <w:lang w:val="en-US"/>
              </w:rPr>
              <w:instrText>ada</w:instrText>
            </w:r>
            <w:r w:rsidR="00045010" w:rsidRPr="00640820">
              <w:rPr>
                <w:rFonts w:ascii="Times New Roman" w:hAnsi="Times New Roman"/>
                <w:color w:val="000000" w:themeColor="text1"/>
                <w:sz w:val="16"/>
                <w:szCs w:val="16"/>
              </w:rPr>
              <w:instrText>3045</w:instrText>
            </w:r>
            <w:r w:rsidR="00045010" w:rsidRPr="00640820">
              <w:rPr>
                <w:rFonts w:ascii="Times New Roman" w:hAnsi="Times New Roman"/>
                <w:color w:val="000000" w:themeColor="text1"/>
                <w:sz w:val="16"/>
                <w:szCs w:val="16"/>
                <w:lang w:val="en-US"/>
              </w:rPr>
              <w:instrText>ac</w:instrText>
            </w:r>
            <w:r w:rsidR="00045010" w:rsidRPr="00640820">
              <w:rPr>
                <w:rFonts w:ascii="Times New Roman" w:hAnsi="Times New Roman"/>
                <w:color w:val="000000" w:themeColor="text1"/>
                <w:sz w:val="16"/>
                <w:szCs w:val="16"/>
              </w:rPr>
              <w:instrText>89438</w:instrText>
            </w:r>
            <w:r w:rsidR="00045010" w:rsidRPr="00640820">
              <w:rPr>
                <w:rFonts w:ascii="Times New Roman" w:hAnsi="Times New Roman"/>
                <w:color w:val="000000" w:themeColor="text1"/>
                <w:sz w:val="16"/>
                <w:szCs w:val="16"/>
                <w:lang w:val="en-US"/>
              </w:rPr>
              <w:instrText>e</w:instrText>
            </w:r>
            <w:r w:rsidR="00045010" w:rsidRPr="00640820">
              <w:rPr>
                <w:rFonts w:ascii="Times New Roman" w:hAnsi="Times New Roman"/>
                <w:color w:val="000000" w:themeColor="text1"/>
                <w:sz w:val="16"/>
                <w:szCs w:val="16"/>
              </w:rPr>
              <w:instrText>929216</w:instrText>
            </w:r>
            <w:r w:rsidR="00045010" w:rsidRPr="00640820">
              <w:rPr>
                <w:rFonts w:ascii="Times New Roman" w:hAnsi="Times New Roman"/>
                <w:color w:val="000000" w:themeColor="text1"/>
                <w:sz w:val="16"/>
                <w:szCs w:val="16"/>
                <w:lang w:val="en-US"/>
              </w:rPr>
              <w:instrText>a</w:instrText>
            </w:r>
            <w:r w:rsidR="00045010" w:rsidRPr="00640820">
              <w:rPr>
                <w:rFonts w:ascii="Times New Roman" w:hAnsi="Times New Roman"/>
                <w:color w:val="000000" w:themeColor="text1"/>
                <w:sz w:val="16"/>
                <w:szCs w:val="16"/>
              </w:rPr>
              <w:instrText>4</w:instrText>
            </w:r>
            <w:r w:rsidR="00045010" w:rsidRPr="00640820">
              <w:rPr>
                <w:rFonts w:ascii="Times New Roman" w:hAnsi="Times New Roman"/>
                <w:color w:val="000000" w:themeColor="text1"/>
                <w:sz w:val="16"/>
                <w:szCs w:val="16"/>
                <w:lang w:val="en-US"/>
              </w:rPr>
              <w:instrText>aac</w:instrText>
            </w:r>
            <w:r w:rsidR="00045010" w:rsidRPr="00640820">
              <w:rPr>
                <w:rFonts w:ascii="Times New Roman" w:hAnsi="Times New Roman"/>
                <w:color w:val="000000" w:themeColor="text1"/>
                <w:sz w:val="16"/>
                <w:szCs w:val="16"/>
              </w:rPr>
              <w:instrText>81</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&amp;</w:instrText>
            </w:r>
            <w:r w:rsidR="00045010" w:rsidRPr="00640820">
              <w:rPr>
                <w:rFonts w:ascii="Times New Roman" w:hAnsi="Times New Roman"/>
                <w:color w:val="000000" w:themeColor="text1"/>
                <w:sz w:val="16"/>
                <w:szCs w:val="16"/>
                <w:lang w:val="en-US"/>
              </w:rPr>
              <w:instrText>keyno</w:instrText>
            </w:r>
            <w:r w:rsidR="00045010" w:rsidRPr="00640820">
              <w:rPr>
                <w:rFonts w:ascii="Times New Roman" w:hAnsi="Times New Roman"/>
                <w:color w:val="000000" w:themeColor="text1"/>
                <w:sz w:val="16"/>
                <w:szCs w:val="16"/>
              </w:rPr>
              <w:instrText>=0" \</w:instrText>
            </w:r>
            <w:r w:rsidR="00045010" w:rsidRPr="00640820">
              <w:rPr>
                <w:rFonts w:ascii="Times New Roman" w:hAnsi="Times New Roman"/>
                <w:color w:val="000000" w:themeColor="text1"/>
                <w:sz w:val="16"/>
                <w:szCs w:val="16"/>
                <w:lang w:val="en-US"/>
              </w:rPr>
              <w:instrText>l</w:instrText>
            </w:r>
            <w:r w:rsidR="00045010" w:rsidRPr="00640820">
              <w:rPr>
                <w:rFonts w:ascii="Times New Roman" w:hAnsi="Times New Roman"/>
                <w:color w:val="000000" w:themeColor="text1"/>
                <w:sz w:val="16"/>
                <w:szCs w:val="16"/>
              </w:rPr>
              <w:instrText xml:space="preserve"> "</w:instrText>
            </w:r>
            <w:r w:rsidR="00045010" w:rsidRPr="00640820">
              <w:rPr>
                <w:rFonts w:ascii="Times New Roman" w:hAnsi="Times New Roman"/>
                <w:color w:val="000000" w:themeColor="text1"/>
                <w:sz w:val="16"/>
                <w:szCs w:val="16"/>
                <w:lang w:val="en-US"/>
              </w:rPr>
              <w:instrText>YANDEX</w:instrText>
            </w:r>
            <w:r w:rsidR="00045010" w:rsidRPr="00640820">
              <w:rPr>
                <w:rFonts w:ascii="Times New Roman" w:hAnsi="Times New Roman"/>
                <w:color w:val="000000" w:themeColor="text1"/>
                <w:sz w:val="16"/>
                <w:szCs w:val="16"/>
              </w:rPr>
              <w:instrText xml:space="preserve">_9" \* </w:instrText>
            </w:r>
            <w:r w:rsidR="00045010" w:rsidRPr="00640820">
              <w:rPr>
                <w:rFonts w:ascii="Times New Roman" w:hAnsi="Times New Roman"/>
                <w:color w:val="000000" w:themeColor="text1"/>
                <w:sz w:val="16"/>
                <w:szCs w:val="16"/>
                <w:lang w:val="en-US"/>
              </w:rPr>
              <w:instrText>MERGEFORMAT</w:instrText>
            </w:r>
            <w:r w:rsidRPr="00640820">
              <w:rPr>
                <w:rFonts w:ascii="Times New Roman" w:hAnsi="Times New Roman"/>
                <w:color w:val="000000" w:themeColor="text1"/>
                <w:sz w:val="16"/>
                <w:szCs w:val="16"/>
                <w:lang w:val="en-US"/>
              </w:rPr>
              <w:fldChar w:fldCharType="end"/>
            </w:r>
            <w:r w:rsidR="00045010" w:rsidRPr="00640820">
              <w:rPr>
                <w:rFonts w:ascii="Times New Roman" w:hAnsi="Times New Roman"/>
                <w:color w:val="000000" w:themeColor="text1"/>
                <w:sz w:val="16"/>
                <w:szCs w:val="16"/>
              </w:rPr>
              <w:t xml:space="preserve">опытный гидрогенизационный </w:t>
            </w:r>
            <w:r w:rsidRPr="00640820">
              <w:rPr>
                <w:rFonts w:ascii="Times New Roman" w:hAnsi="Times New Roman"/>
                <w:color w:val="000000" w:themeColor="text1"/>
                <w:sz w:val="16"/>
                <w:szCs w:val="16"/>
                <w:lang w:val="en-US"/>
              </w:rPr>
              <w:fldChar w:fldCharType="begin"/>
            </w:r>
            <w:r w:rsidR="00045010" w:rsidRPr="00640820">
              <w:rPr>
                <w:rFonts w:ascii="Times New Roman" w:hAnsi="Times New Roman"/>
                <w:color w:val="000000" w:themeColor="text1"/>
                <w:sz w:val="16"/>
                <w:szCs w:val="16"/>
                <w:lang w:val="en-US"/>
              </w:rPr>
              <w:instrText>refHYPERLINK</w:instrText>
            </w:r>
            <w:r w:rsidR="00045010" w:rsidRPr="00640820">
              <w:rPr>
                <w:rFonts w:ascii="Times New Roman" w:hAnsi="Times New Roman"/>
                <w:color w:val="000000" w:themeColor="text1"/>
                <w:sz w:val="16"/>
                <w:szCs w:val="16"/>
              </w:rPr>
              <w:instrText xml:space="preserve"> "</w:instrText>
            </w:r>
            <w:r w:rsidR="00045010" w:rsidRPr="00640820">
              <w:rPr>
                <w:rFonts w:ascii="Times New Roman" w:hAnsi="Times New Roman"/>
                <w:color w:val="000000" w:themeColor="text1"/>
                <w:sz w:val="16"/>
                <w:szCs w:val="16"/>
                <w:lang w:val="en-US"/>
              </w:rPr>
              <w:instrText>http</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hghltd</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yandex</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net</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yandbtm</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text</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BA</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w:instrText>
            </w:r>
            <w:r w:rsidR="00045010" w:rsidRPr="00640820">
              <w:rPr>
                <w:rFonts w:ascii="Times New Roman" w:hAnsi="Times New Roman"/>
                <w:color w:val="000000" w:themeColor="text1"/>
                <w:sz w:val="16"/>
                <w:szCs w:val="16"/>
              </w:rPr>
              <w:instrText>5%</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BC</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w:instrText>
            </w:r>
            <w:r w:rsidR="00045010" w:rsidRPr="00640820">
              <w:rPr>
                <w:rFonts w:ascii="Times New Roman" w:hAnsi="Times New Roman"/>
                <w:color w:val="000000" w:themeColor="text1"/>
                <w:sz w:val="16"/>
                <w:szCs w:val="16"/>
              </w:rPr>
              <w:instrText>5%</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1%80%</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BE</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w:instrText>
            </w:r>
            <w:r w:rsidR="00045010" w:rsidRPr="00640820">
              <w:rPr>
                <w:rFonts w:ascii="Times New Roman" w:hAnsi="Times New Roman"/>
                <w:color w:val="000000" w:themeColor="text1"/>
                <w:sz w:val="16"/>
                <w:szCs w:val="16"/>
              </w:rPr>
              <w:instrText>2%</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1%81%</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BA</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w:instrText>
            </w:r>
            <w:r w:rsidR="00045010" w:rsidRPr="00640820">
              <w:rPr>
                <w:rFonts w:ascii="Times New Roman" w:hAnsi="Times New Roman"/>
                <w:color w:val="000000" w:themeColor="text1"/>
                <w:sz w:val="16"/>
                <w:szCs w:val="16"/>
              </w:rPr>
              <w:instrText>8%</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w:instrText>
            </w:r>
            <w:r w:rsidR="00045010" w:rsidRPr="00640820">
              <w:rPr>
                <w:rFonts w:ascii="Times New Roman" w:hAnsi="Times New Roman"/>
                <w:color w:val="000000" w:themeColor="text1"/>
                <w:sz w:val="16"/>
                <w:szCs w:val="16"/>
              </w:rPr>
              <w:instrText>9%20%</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w:instrText>
            </w:r>
            <w:r w:rsidR="00045010" w:rsidRPr="00640820">
              <w:rPr>
                <w:rFonts w:ascii="Times New Roman" w:hAnsi="Times New Roman"/>
                <w:color w:val="000000" w:themeColor="text1"/>
                <w:sz w:val="16"/>
                <w:szCs w:val="16"/>
              </w:rPr>
              <w:instrText>7%</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w:instrText>
            </w:r>
            <w:r w:rsidR="00045010" w:rsidRPr="00640820">
              <w:rPr>
                <w:rFonts w:ascii="Times New Roman" w:hAnsi="Times New Roman"/>
                <w:color w:val="000000" w:themeColor="text1"/>
                <w:sz w:val="16"/>
                <w:szCs w:val="16"/>
              </w:rPr>
              <w:instrText>2%</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BE</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w:instrText>
            </w:r>
            <w:r w:rsidR="00045010" w:rsidRPr="00640820">
              <w:rPr>
                <w:rFonts w:ascii="Times New Roman" w:hAnsi="Times New Roman"/>
                <w:color w:val="000000" w:themeColor="text1"/>
                <w:sz w:val="16"/>
                <w:szCs w:val="16"/>
              </w:rPr>
              <w:instrText>4%201940&amp;</w:instrText>
            </w:r>
            <w:r w:rsidR="00045010" w:rsidRPr="00640820">
              <w:rPr>
                <w:rFonts w:ascii="Times New Roman" w:hAnsi="Times New Roman"/>
                <w:color w:val="000000" w:themeColor="text1"/>
                <w:sz w:val="16"/>
                <w:szCs w:val="16"/>
                <w:lang w:val="en-US"/>
              </w:rPr>
              <w:instrText>url</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http</w:instrText>
            </w:r>
            <w:r w:rsidR="00045010" w:rsidRPr="00640820">
              <w:rPr>
                <w:rFonts w:ascii="Times New Roman" w:hAnsi="Times New Roman"/>
                <w:color w:val="000000" w:themeColor="text1"/>
                <w:sz w:val="16"/>
                <w:szCs w:val="16"/>
              </w:rPr>
              <w:instrText>%3</w:instrText>
            </w:r>
            <w:r w:rsidR="00045010" w:rsidRPr="00640820">
              <w:rPr>
                <w:rFonts w:ascii="Times New Roman" w:hAnsi="Times New Roman"/>
                <w:color w:val="000000" w:themeColor="text1"/>
                <w:sz w:val="16"/>
                <w:szCs w:val="16"/>
                <w:lang w:val="en-US"/>
              </w:rPr>
              <w:instrText>A</w:instrText>
            </w:r>
            <w:r w:rsidR="00045010" w:rsidRPr="00640820">
              <w:rPr>
                <w:rFonts w:ascii="Times New Roman" w:hAnsi="Times New Roman"/>
                <w:color w:val="000000" w:themeColor="text1"/>
                <w:sz w:val="16"/>
                <w:szCs w:val="16"/>
              </w:rPr>
              <w:instrText>%2</w:instrText>
            </w:r>
            <w:r w:rsidR="00045010" w:rsidRPr="00640820">
              <w:rPr>
                <w:rFonts w:ascii="Times New Roman" w:hAnsi="Times New Roman"/>
                <w:color w:val="000000" w:themeColor="text1"/>
                <w:sz w:val="16"/>
                <w:szCs w:val="16"/>
                <w:lang w:val="en-US"/>
              </w:rPr>
              <w:instrText>F</w:instrText>
            </w:r>
            <w:r w:rsidR="00045010" w:rsidRPr="00640820">
              <w:rPr>
                <w:rFonts w:ascii="Times New Roman" w:hAnsi="Times New Roman"/>
                <w:color w:val="000000" w:themeColor="text1"/>
                <w:sz w:val="16"/>
                <w:szCs w:val="16"/>
              </w:rPr>
              <w:instrText>%2</w:instrText>
            </w:r>
            <w:r w:rsidR="00045010" w:rsidRPr="00640820">
              <w:rPr>
                <w:rFonts w:ascii="Times New Roman" w:hAnsi="Times New Roman"/>
                <w:color w:val="000000" w:themeColor="text1"/>
                <w:sz w:val="16"/>
                <w:szCs w:val="16"/>
                <w:lang w:val="en-US"/>
              </w:rPr>
              <w:instrText>Fneworld</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kemcity</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ru</w:instrText>
            </w:r>
            <w:r w:rsidR="00045010" w:rsidRPr="00640820">
              <w:rPr>
                <w:rFonts w:ascii="Times New Roman" w:hAnsi="Times New Roman"/>
                <w:color w:val="000000" w:themeColor="text1"/>
                <w:sz w:val="16"/>
                <w:szCs w:val="16"/>
              </w:rPr>
              <w:instrText>%2</w:instrText>
            </w:r>
            <w:r w:rsidR="00045010" w:rsidRPr="00640820">
              <w:rPr>
                <w:rFonts w:ascii="Times New Roman" w:hAnsi="Times New Roman"/>
                <w:color w:val="000000" w:themeColor="text1"/>
                <w:sz w:val="16"/>
                <w:szCs w:val="16"/>
                <w:lang w:val="en-US"/>
              </w:rPr>
              <w:instrText>Fschool</w:instrText>
            </w:r>
            <w:r w:rsidR="00045010" w:rsidRPr="00640820">
              <w:rPr>
                <w:rFonts w:ascii="Times New Roman" w:hAnsi="Times New Roman"/>
                <w:color w:val="000000" w:themeColor="text1"/>
                <w:sz w:val="16"/>
                <w:szCs w:val="16"/>
              </w:rPr>
              <w:instrText>38%2</w:instrText>
            </w:r>
            <w:r w:rsidR="00045010" w:rsidRPr="00640820">
              <w:rPr>
                <w:rFonts w:ascii="Times New Roman" w:hAnsi="Times New Roman"/>
                <w:color w:val="000000" w:themeColor="text1"/>
                <w:sz w:val="16"/>
                <w:szCs w:val="16"/>
                <w:lang w:val="en-US"/>
              </w:rPr>
              <w:instrText>Fpobeda</w:instrText>
            </w:r>
            <w:r w:rsidR="00045010" w:rsidRPr="00640820">
              <w:rPr>
                <w:rFonts w:ascii="Times New Roman" w:hAnsi="Times New Roman"/>
                <w:color w:val="000000" w:themeColor="text1"/>
                <w:sz w:val="16"/>
                <w:szCs w:val="16"/>
              </w:rPr>
              <w:instrText>%2</w:instrText>
            </w:r>
            <w:r w:rsidR="00045010" w:rsidRPr="00640820">
              <w:rPr>
                <w:rFonts w:ascii="Times New Roman" w:hAnsi="Times New Roman"/>
                <w:color w:val="000000" w:themeColor="text1"/>
                <w:sz w:val="16"/>
                <w:szCs w:val="16"/>
                <w:lang w:val="en-US"/>
              </w:rPr>
              <w:instrText>Fhistory</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htm</w:instrText>
            </w:r>
            <w:r w:rsidR="00045010" w:rsidRPr="00640820">
              <w:rPr>
                <w:rFonts w:ascii="Times New Roman" w:hAnsi="Times New Roman"/>
                <w:color w:val="000000" w:themeColor="text1"/>
                <w:sz w:val="16"/>
                <w:szCs w:val="16"/>
              </w:rPr>
              <w:instrText>&amp;</w:instrText>
            </w:r>
            <w:r w:rsidR="00045010" w:rsidRPr="00640820">
              <w:rPr>
                <w:rFonts w:ascii="Times New Roman" w:hAnsi="Times New Roman"/>
                <w:color w:val="000000" w:themeColor="text1"/>
                <w:sz w:val="16"/>
                <w:szCs w:val="16"/>
                <w:lang w:val="en-US"/>
              </w:rPr>
              <w:instrText>fmode</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inject</w:instrText>
            </w:r>
            <w:r w:rsidR="00045010" w:rsidRPr="00640820">
              <w:rPr>
                <w:rFonts w:ascii="Times New Roman" w:hAnsi="Times New Roman"/>
                <w:color w:val="000000" w:themeColor="text1"/>
                <w:sz w:val="16"/>
                <w:szCs w:val="16"/>
              </w:rPr>
              <w:instrText>&amp;</w:instrText>
            </w:r>
            <w:r w:rsidR="00045010" w:rsidRPr="00640820">
              <w:rPr>
                <w:rFonts w:ascii="Times New Roman" w:hAnsi="Times New Roman"/>
                <w:color w:val="000000" w:themeColor="text1"/>
                <w:sz w:val="16"/>
                <w:szCs w:val="16"/>
                <w:lang w:val="en-US"/>
              </w:rPr>
              <w:instrText>mime</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html</w:instrText>
            </w:r>
            <w:r w:rsidR="00045010" w:rsidRPr="00640820">
              <w:rPr>
                <w:rFonts w:ascii="Times New Roman" w:hAnsi="Times New Roman"/>
                <w:color w:val="000000" w:themeColor="text1"/>
                <w:sz w:val="16"/>
                <w:szCs w:val="16"/>
              </w:rPr>
              <w:instrText>&amp;</w:instrText>
            </w:r>
            <w:r w:rsidR="00045010" w:rsidRPr="00640820">
              <w:rPr>
                <w:rFonts w:ascii="Times New Roman" w:hAnsi="Times New Roman"/>
                <w:color w:val="000000" w:themeColor="text1"/>
                <w:sz w:val="16"/>
                <w:szCs w:val="16"/>
                <w:lang w:val="en-US"/>
              </w:rPr>
              <w:instrText>l</w:instrText>
            </w:r>
            <w:r w:rsidR="00045010" w:rsidRPr="00640820">
              <w:rPr>
                <w:rFonts w:ascii="Times New Roman" w:hAnsi="Times New Roman"/>
                <w:color w:val="000000" w:themeColor="text1"/>
                <w:sz w:val="16"/>
                <w:szCs w:val="16"/>
              </w:rPr>
              <w:instrText>10</w:instrText>
            </w:r>
            <w:r w:rsidR="00045010" w:rsidRPr="00640820">
              <w:rPr>
                <w:rFonts w:ascii="Times New Roman" w:hAnsi="Times New Roman"/>
                <w:color w:val="000000" w:themeColor="text1"/>
                <w:sz w:val="16"/>
                <w:szCs w:val="16"/>
                <w:lang w:val="en-US"/>
              </w:rPr>
              <w:instrText>n</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ru</w:instrText>
            </w:r>
            <w:r w:rsidR="00045010" w:rsidRPr="00640820">
              <w:rPr>
                <w:rFonts w:ascii="Times New Roman" w:hAnsi="Times New Roman"/>
                <w:color w:val="000000" w:themeColor="text1"/>
                <w:sz w:val="16"/>
                <w:szCs w:val="16"/>
              </w:rPr>
              <w:instrText>&amp;</w:instrText>
            </w:r>
            <w:r w:rsidR="00045010" w:rsidRPr="00640820">
              <w:rPr>
                <w:rFonts w:ascii="Times New Roman" w:hAnsi="Times New Roman"/>
                <w:color w:val="000000" w:themeColor="text1"/>
                <w:sz w:val="16"/>
                <w:szCs w:val="16"/>
                <w:lang w:val="en-US"/>
              </w:rPr>
              <w:instrText>sign</w:instrText>
            </w:r>
            <w:r w:rsidR="00045010" w:rsidRPr="00640820">
              <w:rPr>
                <w:rFonts w:ascii="Times New Roman" w:hAnsi="Times New Roman"/>
                <w:color w:val="000000" w:themeColor="text1"/>
                <w:sz w:val="16"/>
                <w:szCs w:val="16"/>
              </w:rPr>
              <w:instrText>=298</w:instrText>
            </w:r>
            <w:r w:rsidR="00045010" w:rsidRPr="00640820">
              <w:rPr>
                <w:rFonts w:ascii="Times New Roman" w:hAnsi="Times New Roman"/>
                <w:color w:val="000000" w:themeColor="text1"/>
                <w:sz w:val="16"/>
                <w:szCs w:val="16"/>
                <w:lang w:val="en-US"/>
              </w:rPr>
              <w:instrText>ada</w:instrText>
            </w:r>
            <w:r w:rsidR="00045010" w:rsidRPr="00640820">
              <w:rPr>
                <w:rFonts w:ascii="Times New Roman" w:hAnsi="Times New Roman"/>
                <w:color w:val="000000" w:themeColor="text1"/>
                <w:sz w:val="16"/>
                <w:szCs w:val="16"/>
              </w:rPr>
              <w:instrText>3045</w:instrText>
            </w:r>
            <w:r w:rsidR="00045010" w:rsidRPr="00640820">
              <w:rPr>
                <w:rFonts w:ascii="Times New Roman" w:hAnsi="Times New Roman"/>
                <w:color w:val="000000" w:themeColor="text1"/>
                <w:sz w:val="16"/>
                <w:szCs w:val="16"/>
                <w:lang w:val="en-US"/>
              </w:rPr>
              <w:instrText>ac</w:instrText>
            </w:r>
            <w:r w:rsidR="00045010" w:rsidRPr="00640820">
              <w:rPr>
                <w:rFonts w:ascii="Times New Roman" w:hAnsi="Times New Roman"/>
                <w:color w:val="000000" w:themeColor="text1"/>
                <w:sz w:val="16"/>
                <w:szCs w:val="16"/>
              </w:rPr>
              <w:instrText>89438</w:instrText>
            </w:r>
            <w:r w:rsidR="00045010" w:rsidRPr="00640820">
              <w:rPr>
                <w:rFonts w:ascii="Times New Roman" w:hAnsi="Times New Roman"/>
                <w:color w:val="000000" w:themeColor="text1"/>
                <w:sz w:val="16"/>
                <w:szCs w:val="16"/>
                <w:lang w:val="en-US"/>
              </w:rPr>
              <w:instrText>e</w:instrText>
            </w:r>
            <w:r w:rsidR="00045010" w:rsidRPr="00640820">
              <w:rPr>
                <w:rFonts w:ascii="Times New Roman" w:hAnsi="Times New Roman"/>
                <w:color w:val="000000" w:themeColor="text1"/>
                <w:sz w:val="16"/>
                <w:szCs w:val="16"/>
              </w:rPr>
              <w:instrText>929216</w:instrText>
            </w:r>
            <w:r w:rsidR="00045010" w:rsidRPr="00640820">
              <w:rPr>
                <w:rFonts w:ascii="Times New Roman" w:hAnsi="Times New Roman"/>
                <w:color w:val="000000" w:themeColor="text1"/>
                <w:sz w:val="16"/>
                <w:szCs w:val="16"/>
                <w:lang w:val="en-US"/>
              </w:rPr>
              <w:instrText>a</w:instrText>
            </w:r>
            <w:r w:rsidR="00045010" w:rsidRPr="00640820">
              <w:rPr>
                <w:rFonts w:ascii="Times New Roman" w:hAnsi="Times New Roman"/>
                <w:color w:val="000000" w:themeColor="text1"/>
                <w:sz w:val="16"/>
                <w:szCs w:val="16"/>
              </w:rPr>
              <w:instrText>4</w:instrText>
            </w:r>
            <w:r w:rsidR="00045010" w:rsidRPr="00640820">
              <w:rPr>
                <w:rFonts w:ascii="Times New Roman" w:hAnsi="Times New Roman"/>
                <w:color w:val="000000" w:themeColor="text1"/>
                <w:sz w:val="16"/>
                <w:szCs w:val="16"/>
                <w:lang w:val="en-US"/>
              </w:rPr>
              <w:instrText>aac</w:instrText>
            </w:r>
            <w:r w:rsidR="00045010" w:rsidRPr="00640820">
              <w:rPr>
                <w:rFonts w:ascii="Times New Roman" w:hAnsi="Times New Roman"/>
                <w:color w:val="000000" w:themeColor="text1"/>
                <w:sz w:val="16"/>
                <w:szCs w:val="16"/>
              </w:rPr>
              <w:instrText>81</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&amp;</w:instrText>
            </w:r>
            <w:r w:rsidR="00045010" w:rsidRPr="00640820">
              <w:rPr>
                <w:rFonts w:ascii="Times New Roman" w:hAnsi="Times New Roman"/>
                <w:color w:val="000000" w:themeColor="text1"/>
                <w:sz w:val="16"/>
                <w:szCs w:val="16"/>
                <w:lang w:val="en-US"/>
              </w:rPr>
              <w:instrText>keyno</w:instrText>
            </w:r>
            <w:r w:rsidR="00045010" w:rsidRPr="00640820">
              <w:rPr>
                <w:rFonts w:ascii="Times New Roman" w:hAnsi="Times New Roman"/>
                <w:color w:val="000000" w:themeColor="text1"/>
                <w:sz w:val="16"/>
                <w:szCs w:val="16"/>
              </w:rPr>
              <w:instrText>=0" \</w:instrText>
            </w:r>
            <w:r w:rsidR="00045010" w:rsidRPr="00640820">
              <w:rPr>
                <w:rFonts w:ascii="Times New Roman" w:hAnsi="Times New Roman"/>
                <w:color w:val="000000" w:themeColor="text1"/>
                <w:sz w:val="16"/>
                <w:szCs w:val="16"/>
                <w:lang w:val="en-US"/>
              </w:rPr>
              <w:instrText>l</w:instrText>
            </w:r>
            <w:r w:rsidR="00045010" w:rsidRPr="00640820">
              <w:rPr>
                <w:rFonts w:ascii="Times New Roman" w:hAnsi="Times New Roman"/>
                <w:color w:val="000000" w:themeColor="text1"/>
                <w:sz w:val="16"/>
                <w:szCs w:val="16"/>
              </w:rPr>
              <w:instrText xml:space="preserve"> "</w:instrText>
            </w:r>
            <w:r w:rsidR="00045010" w:rsidRPr="00640820">
              <w:rPr>
                <w:rFonts w:ascii="Times New Roman" w:hAnsi="Times New Roman"/>
                <w:color w:val="000000" w:themeColor="text1"/>
                <w:sz w:val="16"/>
                <w:szCs w:val="16"/>
                <w:lang w:val="en-US"/>
              </w:rPr>
              <w:instrText>YANDEX</w:instrText>
            </w:r>
            <w:r w:rsidR="00045010" w:rsidRPr="00640820">
              <w:rPr>
                <w:rFonts w:ascii="Times New Roman" w:hAnsi="Times New Roman"/>
                <w:color w:val="000000" w:themeColor="text1"/>
                <w:sz w:val="16"/>
                <w:szCs w:val="16"/>
              </w:rPr>
              <w:instrText xml:space="preserve">_8" \* </w:instrText>
            </w:r>
            <w:r w:rsidR="00045010" w:rsidRPr="00640820">
              <w:rPr>
                <w:rFonts w:ascii="Times New Roman" w:hAnsi="Times New Roman"/>
                <w:color w:val="000000" w:themeColor="text1"/>
                <w:sz w:val="16"/>
                <w:szCs w:val="16"/>
                <w:lang w:val="en-US"/>
              </w:rPr>
              <w:instrText>MERGEFORMAT</w:instrText>
            </w:r>
            <w:r w:rsidRPr="00640820">
              <w:rPr>
                <w:rFonts w:ascii="Times New Roman" w:hAnsi="Times New Roman"/>
                <w:color w:val="000000" w:themeColor="text1"/>
                <w:sz w:val="16"/>
                <w:szCs w:val="16"/>
                <w:lang w:val="en-US"/>
              </w:rPr>
              <w:fldChar w:fldCharType="end"/>
            </w:r>
            <w:r w:rsidR="00045010" w:rsidRPr="00640820">
              <w:rPr>
                <w:rFonts w:ascii="Times New Roman" w:hAnsi="Times New Roman"/>
                <w:color w:val="000000" w:themeColor="text1"/>
                <w:sz w:val="16"/>
                <w:szCs w:val="16"/>
              </w:rPr>
              <w:t xml:space="preserve">завод </w:t>
            </w:r>
            <w:r w:rsidRPr="00640820">
              <w:rPr>
                <w:rFonts w:ascii="Times New Roman" w:hAnsi="Times New Roman"/>
                <w:color w:val="000000" w:themeColor="text1"/>
                <w:sz w:val="16"/>
                <w:szCs w:val="16"/>
                <w:lang w:val="en-US"/>
              </w:rPr>
              <w:fldChar w:fldCharType="begin"/>
            </w:r>
            <w:r w:rsidR="00045010" w:rsidRPr="00640820">
              <w:rPr>
                <w:rFonts w:ascii="Times New Roman" w:hAnsi="Times New Roman"/>
                <w:color w:val="000000" w:themeColor="text1"/>
                <w:sz w:val="16"/>
                <w:szCs w:val="16"/>
                <w:lang w:val="en-US"/>
              </w:rPr>
              <w:instrText>refHYPERLINK</w:instrText>
            </w:r>
            <w:r w:rsidR="00045010" w:rsidRPr="00640820">
              <w:rPr>
                <w:rFonts w:ascii="Times New Roman" w:hAnsi="Times New Roman"/>
                <w:color w:val="000000" w:themeColor="text1"/>
                <w:sz w:val="16"/>
                <w:szCs w:val="16"/>
              </w:rPr>
              <w:instrText xml:space="preserve"> "</w:instrText>
            </w:r>
            <w:r w:rsidR="00045010" w:rsidRPr="00640820">
              <w:rPr>
                <w:rFonts w:ascii="Times New Roman" w:hAnsi="Times New Roman"/>
                <w:color w:val="000000" w:themeColor="text1"/>
                <w:sz w:val="16"/>
                <w:szCs w:val="16"/>
                <w:lang w:val="en-US"/>
              </w:rPr>
              <w:instrText>http</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hghltd</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yandex</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net</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yandbtm</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text</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BA</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w:instrText>
            </w:r>
            <w:r w:rsidR="00045010" w:rsidRPr="00640820">
              <w:rPr>
                <w:rFonts w:ascii="Times New Roman" w:hAnsi="Times New Roman"/>
                <w:color w:val="000000" w:themeColor="text1"/>
                <w:sz w:val="16"/>
                <w:szCs w:val="16"/>
              </w:rPr>
              <w:instrText>5%</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BC</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w:instrText>
            </w:r>
            <w:r w:rsidR="00045010" w:rsidRPr="00640820">
              <w:rPr>
                <w:rFonts w:ascii="Times New Roman" w:hAnsi="Times New Roman"/>
                <w:color w:val="000000" w:themeColor="text1"/>
                <w:sz w:val="16"/>
                <w:szCs w:val="16"/>
              </w:rPr>
              <w:instrText>5%</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1%80%</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BE</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w:instrText>
            </w:r>
            <w:r w:rsidR="00045010" w:rsidRPr="00640820">
              <w:rPr>
                <w:rFonts w:ascii="Times New Roman" w:hAnsi="Times New Roman"/>
                <w:color w:val="000000" w:themeColor="text1"/>
                <w:sz w:val="16"/>
                <w:szCs w:val="16"/>
              </w:rPr>
              <w:instrText>2%</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1%81%</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BA</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w:instrText>
            </w:r>
            <w:r w:rsidR="00045010" w:rsidRPr="00640820">
              <w:rPr>
                <w:rFonts w:ascii="Times New Roman" w:hAnsi="Times New Roman"/>
                <w:color w:val="000000" w:themeColor="text1"/>
                <w:sz w:val="16"/>
                <w:szCs w:val="16"/>
              </w:rPr>
              <w:instrText>8%</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w:instrText>
            </w:r>
            <w:r w:rsidR="00045010" w:rsidRPr="00640820">
              <w:rPr>
                <w:rFonts w:ascii="Times New Roman" w:hAnsi="Times New Roman"/>
                <w:color w:val="000000" w:themeColor="text1"/>
                <w:sz w:val="16"/>
                <w:szCs w:val="16"/>
              </w:rPr>
              <w:instrText>9%20%</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w:instrText>
            </w:r>
            <w:r w:rsidR="00045010" w:rsidRPr="00640820">
              <w:rPr>
                <w:rFonts w:ascii="Times New Roman" w:hAnsi="Times New Roman"/>
                <w:color w:val="000000" w:themeColor="text1"/>
                <w:sz w:val="16"/>
                <w:szCs w:val="16"/>
              </w:rPr>
              <w:instrText>7%</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w:instrText>
            </w:r>
            <w:r w:rsidR="00045010" w:rsidRPr="00640820">
              <w:rPr>
                <w:rFonts w:ascii="Times New Roman" w:hAnsi="Times New Roman"/>
                <w:color w:val="000000" w:themeColor="text1"/>
                <w:sz w:val="16"/>
                <w:szCs w:val="16"/>
              </w:rPr>
              <w:instrText>2%</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BE</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0%</w:instrText>
            </w:r>
            <w:r w:rsidR="00045010" w:rsidRPr="00640820">
              <w:rPr>
                <w:rFonts w:ascii="Times New Roman" w:hAnsi="Times New Roman"/>
                <w:color w:val="000000" w:themeColor="text1"/>
                <w:sz w:val="16"/>
                <w:szCs w:val="16"/>
                <w:lang w:val="en-US"/>
              </w:rPr>
              <w:instrText>B</w:instrText>
            </w:r>
            <w:r w:rsidR="00045010" w:rsidRPr="00640820">
              <w:rPr>
                <w:rFonts w:ascii="Times New Roman" w:hAnsi="Times New Roman"/>
                <w:color w:val="000000" w:themeColor="text1"/>
                <w:sz w:val="16"/>
                <w:szCs w:val="16"/>
              </w:rPr>
              <w:instrText>4%201940&amp;</w:instrText>
            </w:r>
            <w:r w:rsidR="00045010" w:rsidRPr="00640820">
              <w:rPr>
                <w:rFonts w:ascii="Times New Roman" w:hAnsi="Times New Roman"/>
                <w:color w:val="000000" w:themeColor="text1"/>
                <w:sz w:val="16"/>
                <w:szCs w:val="16"/>
                <w:lang w:val="en-US"/>
              </w:rPr>
              <w:instrText>url</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http</w:instrText>
            </w:r>
            <w:r w:rsidR="00045010" w:rsidRPr="00640820">
              <w:rPr>
                <w:rFonts w:ascii="Times New Roman" w:hAnsi="Times New Roman"/>
                <w:color w:val="000000" w:themeColor="text1"/>
                <w:sz w:val="16"/>
                <w:szCs w:val="16"/>
              </w:rPr>
              <w:instrText>%3</w:instrText>
            </w:r>
            <w:r w:rsidR="00045010" w:rsidRPr="00640820">
              <w:rPr>
                <w:rFonts w:ascii="Times New Roman" w:hAnsi="Times New Roman"/>
                <w:color w:val="000000" w:themeColor="text1"/>
                <w:sz w:val="16"/>
                <w:szCs w:val="16"/>
                <w:lang w:val="en-US"/>
              </w:rPr>
              <w:instrText>A</w:instrText>
            </w:r>
            <w:r w:rsidR="00045010" w:rsidRPr="00640820">
              <w:rPr>
                <w:rFonts w:ascii="Times New Roman" w:hAnsi="Times New Roman"/>
                <w:color w:val="000000" w:themeColor="text1"/>
                <w:sz w:val="16"/>
                <w:szCs w:val="16"/>
              </w:rPr>
              <w:instrText>%2</w:instrText>
            </w:r>
            <w:r w:rsidR="00045010" w:rsidRPr="00640820">
              <w:rPr>
                <w:rFonts w:ascii="Times New Roman" w:hAnsi="Times New Roman"/>
                <w:color w:val="000000" w:themeColor="text1"/>
                <w:sz w:val="16"/>
                <w:szCs w:val="16"/>
                <w:lang w:val="en-US"/>
              </w:rPr>
              <w:instrText>F</w:instrText>
            </w:r>
            <w:r w:rsidR="00045010" w:rsidRPr="00640820">
              <w:rPr>
                <w:rFonts w:ascii="Times New Roman" w:hAnsi="Times New Roman"/>
                <w:color w:val="000000" w:themeColor="text1"/>
                <w:sz w:val="16"/>
                <w:szCs w:val="16"/>
              </w:rPr>
              <w:instrText>%2</w:instrText>
            </w:r>
            <w:r w:rsidR="00045010" w:rsidRPr="00640820">
              <w:rPr>
                <w:rFonts w:ascii="Times New Roman" w:hAnsi="Times New Roman"/>
                <w:color w:val="000000" w:themeColor="text1"/>
                <w:sz w:val="16"/>
                <w:szCs w:val="16"/>
                <w:lang w:val="en-US"/>
              </w:rPr>
              <w:instrText>Fneworld</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kemcity</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ru</w:instrText>
            </w:r>
            <w:r w:rsidR="00045010" w:rsidRPr="00640820">
              <w:rPr>
                <w:rFonts w:ascii="Times New Roman" w:hAnsi="Times New Roman"/>
                <w:color w:val="000000" w:themeColor="text1"/>
                <w:sz w:val="16"/>
                <w:szCs w:val="16"/>
              </w:rPr>
              <w:instrText>%2</w:instrText>
            </w:r>
            <w:r w:rsidR="00045010" w:rsidRPr="00640820">
              <w:rPr>
                <w:rFonts w:ascii="Times New Roman" w:hAnsi="Times New Roman"/>
                <w:color w:val="000000" w:themeColor="text1"/>
                <w:sz w:val="16"/>
                <w:szCs w:val="16"/>
                <w:lang w:val="en-US"/>
              </w:rPr>
              <w:instrText>Fschool</w:instrText>
            </w:r>
            <w:r w:rsidR="00045010" w:rsidRPr="00640820">
              <w:rPr>
                <w:rFonts w:ascii="Times New Roman" w:hAnsi="Times New Roman"/>
                <w:color w:val="000000" w:themeColor="text1"/>
                <w:sz w:val="16"/>
                <w:szCs w:val="16"/>
              </w:rPr>
              <w:instrText>38%2</w:instrText>
            </w:r>
            <w:r w:rsidR="00045010" w:rsidRPr="00640820">
              <w:rPr>
                <w:rFonts w:ascii="Times New Roman" w:hAnsi="Times New Roman"/>
                <w:color w:val="000000" w:themeColor="text1"/>
                <w:sz w:val="16"/>
                <w:szCs w:val="16"/>
                <w:lang w:val="en-US"/>
              </w:rPr>
              <w:instrText>Fpobeda</w:instrText>
            </w:r>
            <w:r w:rsidR="00045010" w:rsidRPr="00640820">
              <w:rPr>
                <w:rFonts w:ascii="Times New Roman" w:hAnsi="Times New Roman"/>
                <w:color w:val="000000" w:themeColor="text1"/>
                <w:sz w:val="16"/>
                <w:szCs w:val="16"/>
              </w:rPr>
              <w:instrText>%2</w:instrText>
            </w:r>
            <w:r w:rsidR="00045010" w:rsidRPr="00640820">
              <w:rPr>
                <w:rFonts w:ascii="Times New Roman" w:hAnsi="Times New Roman"/>
                <w:color w:val="000000" w:themeColor="text1"/>
                <w:sz w:val="16"/>
                <w:szCs w:val="16"/>
                <w:lang w:val="en-US"/>
              </w:rPr>
              <w:instrText>Fhistory</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htm</w:instrText>
            </w:r>
            <w:r w:rsidR="00045010" w:rsidRPr="00640820">
              <w:rPr>
                <w:rFonts w:ascii="Times New Roman" w:hAnsi="Times New Roman"/>
                <w:color w:val="000000" w:themeColor="text1"/>
                <w:sz w:val="16"/>
                <w:szCs w:val="16"/>
              </w:rPr>
              <w:instrText>&amp;</w:instrText>
            </w:r>
            <w:r w:rsidR="00045010" w:rsidRPr="00640820">
              <w:rPr>
                <w:rFonts w:ascii="Times New Roman" w:hAnsi="Times New Roman"/>
                <w:color w:val="000000" w:themeColor="text1"/>
                <w:sz w:val="16"/>
                <w:szCs w:val="16"/>
                <w:lang w:val="en-US"/>
              </w:rPr>
              <w:instrText>fmode</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inject</w:instrText>
            </w:r>
            <w:r w:rsidR="00045010" w:rsidRPr="00640820">
              <w:rPr>
                <w:rFonts w:ascii="Times New Roman" w:hAnsi="Times New Roman"/>
                <w:color w:val="000000" w:themeColor="text1"/>
                <w:sz w:val="16"/>
                <w:szCs w:val="16"/>
              </w:rPr>
              <w:instrText>&amp;</w:instrText>
            </w:r>
            <w:r w:rsidR="00045010" w:rsidRPr="00640820">
              <w:rPr>
                <w:rFonts w:ascii="Times New Roman" w:hAnsi="Times New Roman"/>
                <w:color w:val="000000" w:themeColor="text1"/>
                <w:sz w:val="16"/>
                <w:szCs w:val="16"/>
                <w:lang w:val="en-US"/>
              </w:rPr>
              <w:instrText>mime</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html</w:instrText>
            </w:r>
            <w:r w:rsidR="00045010" w:rsidRPr="00640820">
              <w:rPr>
                <w:rFonts w:ascii="Times New Roman" w:hAnsi="Times New Roman"/>
                <w:color w:val="000000" w:themeColor="text1"/>
                <w:sz w:val="16"/>
                <w:szCs w:val="16"/>
              </w:rPr>
              <w:instrText>&amp;</w:instrText>
            </w:r>
            <w:r w:rsidR="00045010" w:rsidRPr="00640820">
              <w:rPr>
                <w:rFonts w:ascii="Times New Roman" w:hAnsi="Times New Roman"/>
                <w:color w:val="000000" w:themeColor="text1"/>
                <w:sz w:val="16"/>
                <w:szCs w:val="16"/>
                <w:lang w:val="en-US"/>
              </w:rPr>
              <w:instrText>l</w:instrText>
            </w:r>
            <w:r w:rsidR="00045010" w:rsidRPr="00640820">
              <w:rPr>
                <w:rFonts w:ascii="Times New Roman" w:hAnsi="Times New Roman"/>
                <w:color w:val="000000" w:themeColor="text1"/>
                <w:sz w:val="16"/>
                <w:szCs w:val="16"/>
              </w:rPr>
              <w:instrText>10</w:instrText>
            </w:r>
            <w:r w:rsidR="00045010" w:rsidRPr="00640820">
              <w:rPr>
                <w:rFonts w:ascii="Times New Roman" w:hAnsi="Times New Roman"/>
                <w:color w:val="000000" w:themeColor="text1"/>
                <w:sz w:val="16"/>
                <w:szCs w:val="16"/>
                <w:lang w:val="en-US"/>
              </w:rPr>
              <w:instrText>n</w:instrText>
            </w:r>
            <w:r w:rsidR="00045010" w:rsidRPr="00640820">
              <w:rPr>
                <w:rFonts w:ascii="Times New Roman" w:hAnsi="Times New Roman"/>
                <w:color w:val="000000" w:themeColor="text1"/>
                <w:sz w:val="16"/>
                <w:szCs w:val="16"/>
              </w:rPr>
              <w:instrText>=</w:instrText>
            </w:r>
            <w:r w:rsidR="00045010" w:rsidRPr="00640820">
              <w:rPr>
                <w:rFonts w:ascii="Times New Roman" w:hAnsi="Times New Roman"/>
                <w:color w:val="000000" w:themeColor="text1"/>
                <w:sz w:val="16"/>
                <w:szCs w:val="16"/>
                <w:lang w:val="en-US"/>
              </w:rPr>
              <w:instrText>ru</w:instrText>
            </w:r>
            <w:r w:rsidR="00045010" w:rsidRPr="00640820">
              <w:rPr>
                <w:rFonts w:ascii="Times New Roman" w:hAnsi="Times New Roman"/>
                <w:color w:val="000000" w:themeColor="text1"/>
                <w:sz w:val="16"/>
                <w:szCs w:val="16"/>
              </w:rPr>
              <w:instrText>&amp;</w:instrText>
            </w:r>
            <w:r w:rsidR="00045010" w:rsidRPr="00640820">
              <w:rPr>
                <w:rFonts w:ascii="Times New Roman" w:hAnsi="Times New Roman"/>
                <w:color w:val="000000" w:themeColor="text1"/>
                <w:sz w:val="16"/>
                <w:szCs w:val="16"/>
                <w:lang w:val="en-US"/>
              </w:rPr>
              <w:instrText>sign</w:instrText>
            </w:r>
            <w:r w:rsidR="00045010" w:rsidRPr="00640820">
              <w:rPr>
                <w:rFonts w:ascii="Times New Roman" w:hAnsi="Times New Roman"/>
                <w:color w:val="000000" w:themeColor="text1"/>
                <w:sz w:val="16"/>
                <w:szCs w:val="16"/>
              </w:rPr>
              <w:instrText>=298</w:instrText>
            </w:r>
            <w:r w:rsidR="00045010" w:rsidRPr="00640820">
              <w:rPr>
                <w:rFonts w:ascii="Times New Roman" w:hAnsi="Times New Roman"/>
                <w:color w:val="000000" w:themeColor="text1"/>
                <w:sz w:val="16"/>
                <w:szCs w:val="16"/>
                <w:lang w:val="en-US"/>
              </w:rPr>
              <w:instrText>ada</w:instrText>
            </w:r>
            <w:r w:rsidR="00045010" w:rsidRPr="00640820">
              <w:rPr>
                <w:rFonts w:ascii="Times New Roman" w:hAnsi="Times New Roman"/>
                <w:color w:val="000000" w:themeColor="text1"/>
                <w:sz w:val="16"/>
                <w:szCs w:val="16"/>
              </w:rPr>
              <w:instrText>3045</w:instrText>
            </w:r>
            <w:r w:rsidR="00045010" w:rsidRPr="00640820">
              <w:rPr>
                <w:rFonts w:ascii="Times New Roman" w:hAnsi="Times New Roman"/>
                <w:color w:val="000000" w:themeColor="text1"/>
                <w:sz w:val="16"/>
                <w:szCs w:val="16"/>
                <w:lang w:val="en-US"/>
              </w:rPr>
              <w:instrText>ac</w:instrText>
            </w:r>
            <w:r w:rsidR="00045010" w:rsidRPr="00640820">
              <w:rPr>
                <w:rFonts w:ascii="Times New Roman" w:hAnsi="Times New Roman"/>
                <w:color w:val="000000" w:themeColor="text1"/>
                <w:sz w:val="16"/>
                <w:szCs w:val="16"/>
              </w:rPr>
              <w:instrText>89438</w:instrText>
            </w:r>
            <w:r w:rsidR="00045010" w:rsidRPr="00640820">
              <w:rPr>
                <w:rFonts w:ascii="Times New Roman" w:hAnsi="Times New Roman"/>
                <w:color w:val="000000" w:themeColor="text1"/>
                <w:sz w:val="16"/>
                <w:szCs w:val="16"/>
                <w:lang w:val="en-US"/>
              </w:rPr>
              <w:instrText>e</w:instrText>
            </w:r>
            <w:r w:rsidR="00045010" w:rsidRPr="00640820">
              <w:rPr>
                <w:rFonts w:ascii="Times New Roman" w:hAnsi="Times New Roman"/>
                <w:color w:val="000000" w:themeColor="text1"/>
                <w:sz w:val="16"/>
                <w:szCs w:val="16"/>
              </w:rPr>
              <w:instrText>929216</w:instrText>
            </w:r>
            <w:r w:rsidR="00045010" w:rsidRPr="00640820">
              <w:rPr>
                <w:rFonts w:ascii="Times New Roman" w:hAnsi="Times New Roman"/>
                <w:color w:val="000000" w:themeColor="text1"/>
                <w:sz w:val="16"/>
                <w:szCs w:val="16"/>
                <w:lang w:val="en-US"/>
              </w:rPr>
              <w:instrText>a</w:instrText>
            </w:r>
            <w:r w:rsidR="00045010" w:rsidRPr="00640820">
              <w:rPr>
                <w:rFonts w:ascii="Times New Roman" w:hAnsi="Times New Roman"/>
                <w:color w:val="000000" w:themeColor="text1"/>
                <w:sz w:val="16"/>
                <w:szCs w:val="16"/>
              </w:rPr>
              <w:instrText>4</w:instrText>
            </w:r>
            <w:r w:rsidR="00045010" w:rsidRPr="00640820">
              <w:rPr>
                <w:rFonts w:ascii="Times New Roman" w:hAnsi="Times New Roman"/>
                <w:color w:val="000000" w:themeColor="text1"/>
                <w:sz w:val="16"/>
                <w:szCs w:val="16"/>
                <w:lang w:val="en-US"/>
              </w:rPr>
              <w:instrText>aac</w:instrText>
            </w:r>
            <w:r w:rsidR="00045010" w:rsidRPr="00640820">
              <w:rPr>
                <w:rFonts w:ascii="Times New Roman" w:hAnsi="Times New Roman"/>
                <w:color w:val="000000" w:themeColor="text1"/>
                <w:sz w:val="16"/>
                <w:szCs w:val="16"/>
              </w:rPr>
              <w:instrText>81</w:instrText>
            </w:r>
            <w:r w:rsidR="00045010" w:rsidRPr="00640820">
              <w:rPr>
                <w:rFonts w:ascii="Times New Roman" w:hAnsi="Times New Roman"/>
                <w:color w:val="000000" w:themeColor="text1"/>
                <w:sz w:val="16"/>
                <w:szCs w:val="16"/>
                <w:lang w:val="en-US"/>
              </w:rPr>
              <w:instrText>d</w:instrText>
            </w:r>
            <w:r w:rsidR="00045010" w:rsidRPr="00640820">
              <w:rPr>
                <w:rFonts w:ascii="Times New Roman" w:hAnsi="Times New Roman"/>
                <w:color w:val="000000" w:themeColor="text1"/>
                <w:sz w:val="16"/>
                <w:szCs w:val="16"/>
              </w:rPr>
              <w:instrText>&amp;</w:instrText>
            </w:r>
            <w:r w:rsidR="00045010" w:rsidRPr="00640820">
              <w:rPr>
                <w:rFonts w:ascii="Times New Roman" w:hAnsi="Times New Roman"/>
                <w:color w:val="000000" w:themeColor="text1"/>
                <w:sz w:val="16"/>
                <w:szCs w:val="16"/>
                <w:lang w:val="en-US"/>
              </w:rPr>
              <w:instrText>keyno</w:instrText>
            </w:r>
            <w:r w:rsidR="00045010" w:rsidRPr="00640820">
              <w:rPr>
                <w:rFonts w:ascii="Times New Roman" w:hAnsi="Times New Roman"/>
                <w:color w:val="000000" w:themeColor="text1"/>
                <w:sz w:val="16"/>
                <w:szCs w:val="16"/>
              </w:rPr>
              <w:instrText>=0" \</w:instrText>
            </w:r>
            <w:r w:rsidR="00045010" w:rsidRPr="00640820">
              <w:rPr>
                <w:rFonts w:ascii="Times New Roman" w:hAnsi="Times New Roman"/>
                <w:color w:val="000000" w:themeColor="text1"/>
                <w:sz w:val="16"/>
                <w:szCs w:val="16"/>
                <w:lang w:val="en-US"/>
              </w:rPr>
              <w:instrText>l</w:instrText>
            </w:r>
            <w:r w:rsidR="00045010" w:rsidRPr="00640820">
              <w:rPr>
                <w:rFonts w:ascii="Times New Roman" w:hAnsi="Times New Roman"/>
                <w:color w:val="000000" w:themeColor="text1"/>
                <w:sz w:val="16"/>
                <w:szCs w:val="16"/>
              </w:rPr>
              <w:instrText xml:space="preserve"> "</w:instrText>
            </w:r>
            <w:r w:rsidR="00045010" w:rsidRPr="00640820">
              <w:rPr>
                <w:rFonts w:ascii="Times New Roman" w:hAnsi="Times New Roman"/>
                <w:color w:val="000000" w:themeColor="text1"/>
                <w:sz w:val="16"/>
                <w:szCs w:val="16"/>
                <w:lang w:val="en-US"/>
              </w:rPr>
              <w:instrText>YANDEX</w:instrText>
            </w:r>
            <w:r w:rsidR="00045010" w:rsidRPr="00640820">
              <w:rPr>
                <w:rFonts w:ascii="Times New Roman" w:hAnsi="Times New Roman"/>
                <w:color w:val="000000" w:themeColor="text1"/>
                <w:sz w:val="16"/>
                <w:szCs w:val="16"/>
              </w:rPr>
              <w:instrText xml:space="preserve">_10" \* </w:instrText>
            </w:r>
            <w:r w:rsidR="00045010" w:rsidRPr="00640820">
              <w:rPr>
                <w:rFonts w:ascii="Times New Roman" w:hAnsi="Times New Roman"/>
                <w:color w:val="000000" w:themeColor="text1"/>
                <w:sz w:val="16"/>
                <w:szCs w:val="16"/>
                <w:lang w:val="en-US"/>
              </w:rPr>
              <w:instrText>MERGEFORMAT</w:instrText>
            </w:r>
            <w:r w:rsidRPr="00640820">
              <w:rPr>
                <w:rFonts w:ascii="Times New Roman" w:hAnsi="Times New Roman"/>
                <w:color w:val="000000" w:themeColor="text1"/>
                <w:sz w:val="16"/>
                <w:szCs w:val="16"/>
                <w:lang w:val="en-US"/>
              </w:rPr>
              <w:fldChar w:fldCharType="end"/>
            </w:r>
            <w:r w:rsidR="00045010" w:rsidRPr="00640820">
              <w:rPr>
                <w:rFonts w:ascii="Times New Roman" w:hAnsi="Times New Roman"/>
                <w:color w:val="000000" w:themeColor="text1"/>
                <w:sz w:val="16"/>
                <w:szCs w:val="16"/>
              </w:rPr>
              <w:t>(ОГГЗ)</w:t>
            </w:r>
          </w:p>
        </w:tc>
        <w:tc>
          <w:tcPr>
            <w:tcW w:w="2265" w:type="dxa"/>
          </w:tcPr>
          <w:p w14:paraId="5A6B1F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Завод </w:t>
            </w:r>
            <w:r w:rsidRPr="00640820">
              <w:rPr>
                <w:rFonts w:ascii="Times New Roman" w:hAnsi="Times New Roman"/>
                <w:color w:val="000000" w:themeColor="text1"/>
                <w:sz w:val="16"/>
                <w:szCs w:val="16"/>
                <w:lang w:val="en-US"/>
              </w:rPr>
              <w:t>N</w:t>
            </w:r>
            <w:r w:rsidRPr="00640820">
              <w:rPr>
                <w:rFonts w:ascii="Times New Roman" w:hAnsi="Times New Roman"/>
                <w:color w:val="000000" w:themeColor="text1"/>
                <w:sz w:val="16"/>
                <w:szCs w:val="16"/>
              </w:rPr>
              <w:t xml:space="preserve">510 НКХП, г. Кемерово Завод </w:t>
            </w:r>
            <w:r w:rsidRPr="00640820">
              <w:rPr>
                <w:rFonts w:ascii="Times New Roman" w:hAnsi="Times New Roman"/>
                <w:color w:val="000000" w:themeColor="text1"/>
                <w:sz w:val="16"/>
                <w:szCs w:val="16"/>
                <w:lang w:val="en-US"/>
              </w:rPr>
              <w:t>N</w:t>
            </w:r>
            <w:r w:rsidRPr="00640820">
              <w:rPr>
                <w:rFonts w:ascii="Times New Roman" w:hAnsi="Times New Roman"/>
                <w:color w:val="000000" w:themeColor="text1"/>
                <w:sz w:val="16"/>
                <w:szCs w:val="16"/>
              </w:rPr>
              <w:t xml:space="preserve"> 11 НКХП, г. Кемерово</w:t>
            </w:r>
          </w:p>
        </w:tc>
      </w:tr>
      <w:tr w:rsidR="00643896" w:rsidRPr="00640820" w14:paraId="5B4DA868" w14:textId="77777777" w:rsidTr="000D3BCB">
        <w:trPr>
          <w:jc w:val="center"/>
        </w:trPr>
        <w:tc>
          <w:tcPr>
            <w:tcW w:w="426" w:type="dxa"/>
          </w:tcPr>
          <w:p w14:paraId="656A50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w:t>
            </w:r>
          </w:p>
        </w:tc>
        <w:tc>
          <w:tcPr>
            <w:tcW w:w="3886" w:type="dxa"/>
          </w:tcPr>
          <w:p w14:paraId="3A9E0C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 Фрунзе НКБ, г. Сумы</w:t>
            </w:r>
          </w:p>
        </w:tc>
        <w:tc>
          <w:tcPr>
            <w:tcW w:w="2182" w:type="dxa"/>
          </w:tcPr>
          <w:p w14:paraId="5C51419E" w14:textId="77777777" w:rsidR="00045010" w:rsidRPr="00640820" w:rsidRDefault="00AC5806"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fldChar w:fldCharType="begin"/>
            </w:r>
            <w:r w:rsidR="00045010" w:rsidRPr="00640820">
              <w:rPr>
                <w:rFonts w:ascii="Times New Roman" w:hAnsi="Times New Roman"/>
                <w:color w:val="000000" w:themeColor="text1"/>
                <w:sz w:val="16"/>
                <w:szCs w:val="16"/>
                <w:lang w:val="en-US"/>
              </w:rPr>
              <w:instrText xml:space="preserve">ref HYPERLINK "http://hghltd.yandex.net/yandbtm?text=%D0%BA%D0%B5%D0%BC%D0%B5%D1%80%D0%BE%D0%B2%D1%81%D0%BA%D0%B8%D0%B9%20%D0%B7%D0%B0%D0%B2%D0%BE%D0%B4%201940&amp;url=http%3A%2F%2Fneworld.kemcity.ru%2Fschool38%2Fpobeda%2Fhistory.htm&amp;fmode=inject&amp;mime=html&amp;l10n=ru&amp;sign=298ada3045ac89438e929216a4aac81d&amp;keyno=0" \l "YANDEX_9" \* MERGEFORMAT </w:instrText>
            </w:r>
            <w:r w:rsidRPr="00640820">
              <w:rPr>
                <w:rFonts w:ascii="Times New Roman" w:hAnsi="Times New Roman"/>
                <w:color w:val="000000" w:themeColor="text1"/>
                <w:sz w:val="16"/>
                <w:szCs w:val="16"/>
                <w:lang w:val="en-US"/>
              </w:rPr>
              <w:fldChar w:fldCharType="end"/>
            </w:r>
            <w:r w:rsidR="00045010" w:rsidRPr="00640820">
              <w:rPr>
                <w:rFonts w:ascii="Times New Roman" w:hAnsi="Times New Roman"/>
                <w:color w:val="000000" w:themeColor="text1"/>
                <w:sz w:val="16"/>
                <w:szCs w:val="16"/>
                <w:lang w:val="en-US"/>
              </w:rPr>
              <w:t xml:space="preserve">Кемеровский </w:t>
            </w:r>
            <w:r w:rsidRPr="00640820">
              <w:rPr>
                <w:rFonts w:ascii="Times New Roman" w:hAnsi="Times New Roman"/>
                <w:color w:val="000000" w:themeColor="text1"/>
                <w:sz w:val="16"/>
                <w:szCs w:val="16"/>
                <w:lang w:val="en-US"/>
              </w:rPr>
              <w:fldChar w:fldCharType="begin"/>
            </w:r>
            <w:r w:rsidR="00045010" w:rsidRPr="00640820">
              <w:rPr>
                <w:rFonts w:ascii="Times New Roman" w:hAnsi="Times New Roman"/>
                <w:color w:val="000000" w:themeColor="text1"/>
                <w:sz w:val="16"/>
                <w:szCs w:val="16"/>
                <w:lang w:val="en-US"/>
              </w:rPr>
              <w:instrText xml:space="preserve">ref HYPERLINK "http://hghltd.yandex.net/yandbtm?text=%D0%BA%D0%B5%D0%BC%D0%B5%D1%80%D0%BE%D0%B2%D1%81%D0%BA%D0%B8%D0%B9%20%D0%B7%D0%B0%D0%B2%D0%BE%D0%B4%201940&amp;url=http%3A%2F%2Fneworld.kemcity.ru%2Fschool38%2Fpobeda%2Fhistory.htm&amp;fmode=inject&amp;mime=html&amp;l10n=ru&amp;sign=298ada3045ac89438e929216a4aac81d&amp;keyno=0" \l "YANDEX_11" \* MERGEFORMAT </w:instrText>
            </w:r>
            <w:r w:rsidRPr="00640820">
              <w:rPr>
                <w:rFonts w:ascii="Times New Roman" w:hAnsi="Times New Roman"/>
                <w:color w:val="000000" w:themeColor="text1"/>
                <w:sz w:val="16"/>
                <w:szCs w:val="16"/>
                <w:lang w:val="en-US"/>
              </w:rPr>
              <w:fldChar w:fldCharType="end"/>
            </w:r>
          </w:p>
        </w:tc>
        <w:tc>
          <w:tcPr>
            <w:tcW w:w="2265" w:type="dxa"/>
          </w:tcPr>
          <w:p w14:paraId="344F25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4E9463E7" w14:textId="77777777" w:rsidTr="000D3BCB">
        <w:trPr>
          <w:jc w:val="center"/>
        </w:trPr>
        <w:tc>
          <w:tcPr>
            <w:tcW w:w="426" w:type="dxa"/>
          </w:tcPr>
          <w:p w14:paraId="4D4296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w:t>
            </w:r>
          </w:p>
        </w:tc>
        <w:tc>
          <w:tcPr>
            <w:tcW w:w="3886" w:type="dxa"/>
          </w:tcPr>
          <w:p w14:paraId="0E970B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Завод </w:t>
            </w:r>
            <w:r w:rsidRPr="00640820">
              <w:rPr>
                <w:rFonts w:ascii="Times New Roman" w:hAnsi="Times New Roman"/>
                <w:color w:val="000000" w:themeColor="text1"/>
                <w:sz w:val="16"/>
                <w:szCs w:val="16"/>
                <w:lang w:val="en-US"/>
              </w:rPr>
              <w:t>N</w:t>
            </w:r>
            <w:r w:rsidRPr="00640820">
              <w:rPr>
                <w:rFonts w:ascii="Times New Roman" w:hAnsi="Times New Roman"/>
                <w:color w:val="000000" w:themeColor="text1"/>
                <w:sz w:val="16"/>
                <w:szCs w:val="16"/>
              </w:rPr>
              <w:t xml:space="preserve"> 9 НКБ, г. Шостка</w:t>
            </w:r>
          </w:p>
        </w:tc>
        <w:tc>
          <w:tcPr>
            <w:tcW w:w="2182" w:type="dxa"/>
          </w:tcPr>
          <w:p w14:paraId="538EB08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комбинат N 392 (“Прогресс”)</w:t>
            </w:r>
          </w:p>
        </w:tc>
        <w:tc>
          <w:tcPr>
            <w:tcW w:w="2265" w:type="dxa"/>
          </w:tcPr>
          <w:p w14:paraId="24182D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7A4705A7" w14:textId="77777777" w:rsidTr="000D3BCB">
        <w:trPr>
          <w:jc w:val="center"/>
        </w:trPr>
        <w:tc>
          <w:tcPr>
            <w:tcW w:w="426" w:type="dxa"/>
          </w:tcPr>
          <w:p w14:paraId="2DC967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w:t>
            </w:r>
          </w:p>
        </w:tc>
        <w:tc>
          <w:tcPr>
            <w:tcW w:w="3886" w:type="dxa"/>
          </w:tcPr>
          <w:p w14:paraId="2296E6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Завод </w:t>
            </w:r>
            <w:r w:rsidRPr="00640820">
              <w:rPr>
                <w:rFonts w:ascii="Times New Roman" w:hAnsi="Times New Roman"/>
                <w:color w:val="000000" w:themeColor="text1"/>
                <w:sz w:val="16"/>
                <w:szCs w:val="16"/>
                <w:lang w:val="en-US"/>
              </w:rPr>
              <w:t>N</w:t>
            </w:r>
            <w:r w:rsidRPr="00640820">
              <w:rPr>
                <w:rFonts w:ascii="Times New Roman" w:hAnsi="Times New Roman"/>
                <w:color w:val="000000" w:themeColor="text1"/>
                <w:sz w:val="16"/>
                <w:szCs w:val="16"/>
              </w:rPr>
              <w:t xml:space="preserve"> 101 НКБ, г. Каменск</w:t>
            </w:r>
          </w:p>
        </w:tc>
        <w:tc>
          <w:tcPr>
            <w:tcW w:w="2182" w:type="dxa"/>
          </w:tcPr>
          <w:p w14:paraId="121807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НКБ</w:t>
            </w:r>
          </w:p>
        </w:tc>
        <w:tc>
          <w:tcPr>
            <w:tcW w:w="2265" w:type="dxa"/>
          </w:tcPr>
          <w:p w14:paraId="3EEBE1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3D3E8C2B" w14:textId="77777777" w:rsidTr="000D3BCB">
        <w:trPr>
          <w:jc w:val="center"/>
        </w:trPr>
        <w:tc>
          <w:tcPr>
            <w:tcW w:w="426" w:type="dxa"/>
          </w:tcPr>
          <w:p w14:paraId="11B0DF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w:t>
            </w:r>
          </w:p>
        </w:tc>
        <w:tc>
          <w:tcPr>
            <w:tcW w:w="3886" w:type="dxa"/>
          </w:tcPr>
          <w:p w14:paraId="497E6A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Завод </w:t>
            </w:r>
            <w:r w:rsidRPr="00640820">
              <w:rPr>
                <w:rFonts w:ascii="Times New Roman" w:hAnsi="Times New Roman"/>
                <w:color w:val="000000" w:themeColor="text1"/>
                <w:sz w:val="16"/>
                <w:szCs w:val="16"/>
                <w:lang w:val="en-US"/>
              </w:rPr>
              <w:t>N</w:t>
            </w:r>
            <w:r w:rsidRPr="00640820">
              <w:rPr>
                <w:rFonts w:ascii="Times New Roman" w:hAnsi="Times New Roman"/>
                <w:color w:val="000000" w:themeColor="text1"/>
                <w:sz w:val="16"/>
                <w:szCs w:val="16"/>
              </w:rPr>
              <w:t xml:space="preserve"> 100 НКХП, г. Новомосковск</w:t>
            </w:r>
          </w:p>
        </w:tc>
        <w:tc>
          <w:tcPr>
            <w:tcW w:w="2182" w:type="dxa"/>
          </w:tcPr>
          <w:p w14:paraId="11C908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65" w:type="dxa"/>
          </w:tcPr>
          <w:p w14:paraId="6855C3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44A23520" w14:textId="77777777" w:rsidTr="000D3BCB">
        <w:trPr>
          <w:jc w:val="center"/>
        </w:trPr>
        <w:tc>
          <w:tcPr>
            <w:tcW w:w="426" w:type="dxa"/>
            <w:tcBorders>
              <w:bottom w:val="single" w:sz="12" w:space="0" w:color="000000"/>
            </w:tcBorders>
          </w:tcPr>
          <w:p w14:paraId="23942C8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w:t>
            </w:r>
          </w:p>
        </w:tc>
        <w:tc>
          <w:tcPr>
            <w:tcW w:w="3886" w:type="dxa"/>
            <w:tcBorders>
              <w:bottom w:val="single" w:sz="12" w:space="0" w:color="000000"/>
            </w:tcBorders>
          </w:tcPr>
          <w:p w14:paraId="067E22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Завод </w:t>
            </w:r>
            <w:r w:rsidRPr="00640820">
              <w:rPr>
                <w:rFonts w:ascii="Times New Roman" w:hAnsi="Times New Roman"/>
                <w:color w:val="000000" w:themeColor="text1"/>
                <w:sz w:val="16"/>
                <w:szCs w:val="16"/>
                <w:lang w:val="en-US"/>
              </w:rPr>
              <w:t>N</w:t>
            </w:r>
            <w:r w:rsidRPr="00640820">
              <w:rPr>
                <w:rFonts w:ascii="Times New Roman" w:hAnsi="Times New Roman"/>
                <w:color w:val="000000" w:themeColor="text1"/>
                <w:sz w:val="16"/>
                <w:szCs w:val="16"/>
              </w:rPr>
              <w:t xml:space="preserve"> 323 НКБ, г. Алексин</w:t>
            </w:r>
          </w:p>
        </w:tc>
        <w:tc>
          <w:tcPr>
            <w:tcW w:w="2182" w:type="dxa"/>
            <w:tcBorders>
              <w:bottom w:val="single" w:sz="12" w:space="0" w:color="000000"/>
            </w:tcBorders>
          </w:tcPr>
          <w:p w14:paraId="3007C7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2265" w:type="dxa"/>
            <w:tcBorders>
              <w:bottom w:val="single" w:sz="12" w:space="0" w:color="000000"/>
            </w:tcBorders>
          </w:tcPr>
          <w:p w14:paraId="356D7E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Завод </w:t>
            </w:r>
            <w:r w:rsidRPr="00640820">
              <w:rPr>
                <w:rFonts w:ascii="Times New Roman" w:hAnsi="Times New Roman"/>
                <w:color w:val="000000" w:themeColor="text1"/>
                <w:sz w:val="16"/>
                <w:szCs w:val="16"/>
                <w:lang w:val="en-US"/>
              </w:rPr>
              <w:t>N</w:t>
            </w:r>
            <w:r w:rsidRPr="00640820">
              <w:rPr>
                <w:rFonts w:ascii="Times New Roman" w:hAnsi="Times New Roman"/>
                <w:color w:val="000000" w:themeColor="text1"/>
                <w:sz w:val="16"/>
                <w:szCs w:val="16"/>
              </w:rPr>
              <w:t xml:space="preserve"> 573 НКБ, г. Кемерово</w:t>
            </w:r>
          </w:p>
        </w:tc>
      </w:tr>
    </w:tbl>
    <w:p w14:paraId="1DDCEA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 в Кузбассе полностью либо частично было размещено оборудование 82 эвакуированных предприятий. Из них 5 заводов вскоре реэвакуировали. На базе оставшегося и восстановленного оборудования 77 предприятий было создано 33 новых завода, В том числе возникли в Кемерово 11 новых заводов, в Новокузнецке - 6, в Прокопьевске - 3 (два завода и одна фабрика), в Ленинске-Кузнецком и Анжеро-Судженске - по 3 завода, в Киселевске и Белово - по 2, в Юрге, Топках и Промышленной - но одному заводу (12050).</w:t>
      </w:r>
    </w:p>
    <w:p w14:paraId="3F2BCD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E6EC2DC" w14:textId="77777777" w:rsidR="000E0937" w:rsidRPr="00640820" w:rsidRDefault="000E0937" w:rsidP="00640820">
      <w:pPr>
        <w:pStyle w:val="Pa4"/>
        <w:spacing w:line="240" w:lineRule="auto"/>
        <w:jc w:val="both"/>
        <w:rPr>
          <w:rFonts w:ascii="Times New Roman" w:hAnsi="Times New Roman"/>
          <w:bCs/>
          <w:color w:val="000000" w:themeColor="text1"/>
          <w:sz w:val="16"/>
          <w:szCs w:val="16"/>
        </w:rPr>
      </w:pPr>
      <w:r w:rsidRPr="00640820">
        <w:rPr>
          <w:rFonts w:ascii="Times New Roman" w:hAnsi="Times New Roman"/>
          <w:bCs/>
          <w:color w:val="000000" w:themeColor="text1"/>
          <w:sz w:val="16"/>
          <w:szCs w:val="16"/>
        </w:rPr>
        <w:t>1941</w:t>
      </w:r>
    </w:p>
    <w:p w14:paraId="4A362FE3" w14:textId="77777777" w:rsidR="000E0937" w:rsidRPr="00640820" w:rsidRDefault="000E0937" w:rsidP="00640820">
      <w:pPr>
        <w:pStyle w:val="Pa4"/>
        <w:spacing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Список предприятий и производств, эвакуированных в г. Молотов и Молотовскую область</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931"/>
        <w:gridCol w:w="3823"/>
        <w:gridCol w:w="16"/>
        <w:gridCol w:w="146"/>
      </w:tblGrid>
      <w:tr w:rsidR="00643896" w:rsidRPr="00640820" w14:paraId="7F4182FA" w14:textId="77777777" w:rsidTr="00150B39">
        <w:trPr>
          <w:trHeight w:val="94"/>
        </w:trPr>
        <w:tc>
          <w:tcPr>
            <w:tcW w:w="3931" w:type="dxa"/>
          </w:tcPr>
          <w:p w14:paraId="1BD7F9A0" w14:textId="77777777" w:rsidR="000E0937" w:rsidRPr="00640820" w:rsidRDefault="000E0937" w:rsidP="00640820">
            <w:pPr>
              <w:pStyle w:val="Pa11"/>
              <w:spacing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Предприятие, номер</w:t>
            </w:r>
          </w:p>
        </w:tc>
        <w:tc>
          <w:tcPr>
            <w:tcW w:w="3985" w:type="dxa"/>
            <w:gridSpan w:val="3"/>
          </w:tcPr>
          <w:p w14:paraId="479020A7" w14:textId="77777777" w:rsidR="000E0937" w:rsidRPr="00640820" w:rsidRDefault="000E0937" w:rsidP="00640820">
            <w:pPr>
              <w:pStyle w:val="Pa11"/>
              <w:spacing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размещения</w:t>
            </w:r>
          </w:p>
        </w:tc>
      </w:tr>
      <w:tr w:rsidR="00643896" w:rsidRPr="00640820" w14:paraId="6ED984B3" w14:textId="77777777" w:rsidTr="00150B39">
        <w:trPr>
          <w:trHeight w:val="107"/>
        </w:trPr>
        <w:tc>
          <w:tcPr>
            <w:tcW w:w="3931" w:type="dxa"/>
          </w:tcPr>
          <w:p w14:paraId="0F4AA8A2"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Агитский завод металлоизделий</w:t>
            </w:r>
          </w:p>
        </w:tc>
        <w:tc>
          <w:tcPr>
            <w:tcW w:w="3985" w:type="dxa"/>
            <w:gridSpan w:val="3"/>
          </w:tcPr>
          <w:p w14:paraId="3E341369"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Лысьва</w:t>
            </w:r>
          </w:p>
        </w:tc>
      </w:tr>
      <w:tr w:rsidR="00643896" w:rsidRPr="00640820" w14:paraId="117CB148" w14:textId="77777777" w:rsidTr="00150B39">
        <w:trPr>
          <w:trHeight w:val="107"/>
        </w:trPr>
        <w:tc>
          <w:tcPr>
            <w:tcW w:w="3931" w:type="dxa"/>
          </w:tcPr>
          <w:p w14:paraId="29C4B3E6"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Алчевский металлургический завод им. Ворошилова</w:t>
            </w:r>
          </w:p>
        </w:tc>
        <w:tc>
          <w:tcPr>
            <w:tcW w:w="3985" w:type="dxa"/>
            <w:gridSpan w:val="3"/>
          </w:tcPr>
          <w:p w14:paraId="7A36558B"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Чусовой</w:t>
            </w:r>
          </w:p>
        </w:tc>
      </w:tr>
      <w:tr w:rsidR="00643896" w:rsidRPr="00640820" w14:paraId="7F832448" w14:textId="77777777" w:rsidTr="00150B39">
        <w:trPr>
          <w:trHeight w:val="107"/>
        </w:trPr>
        <w:tc>
          <w:tcPr>
            <w:tcW w:w="3931" w:type="dxa"/>
          </w:tcPr>
          <w:p w14:paraId="77A9CD54"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Бакинский экспериментальный завод им. Мясникова</w:t>
            </w:r>
          </w:p>
        </w:tc>
        <w:tc>
          <w:tcPr>
            <w:tcW w:w="3985" w:type="dxa"/>
            <w:gridSpan w:val="3"/>
          </w:tcPr>
          <w:p w14:paraId="4836F5DE"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пос. Павловск Очерского района</w:t>
            </w:r>
          </w:p>
        </w:tc>
      </w:tr>
      <w:tr w:rsidR="00643896" w:rsidRPr="00640820" w14:paraId="67774DC2" w14:textId="77777777" w:rsidTr="00150B39">
        <w:trPr>
          <w:trHeight w:val="107"/>
        </w:trPr>
        <w:tc>
          <w:tcPr>
            <w:tcW w:w="3931" w:type="dxa"/>
          </w:tcPr>
          <w:p w14:paraId="6513C7CE"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Бердичевский завод «Прогресс»</w:t>
            </w:r>
          </w:p>
        </w:tc>
        <w:tc>
          <w:tcPr>
            <w:tcW w:w="3985" w:type="dxa"/>
            <w:gridSpan w:val="3"/>
          </w:tcPr>
          <w:p w14:paraId="42E5082C"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Очер</w:t>
            </w:r>
          </w:p>
        </w:tc>
      </w:tr>
      <w:tr w:rsidR="00643896" w:rsidRPr="00640820" w14:paraId="73996413" w14:textId="77777777" w:rsidTr="00150B39">
        <w:trPr>
          <w:trHeight w:val="107"/>
        </w:trPr>
        <w:tc>
          <w:tcPr>
            <w:tcW w:w="3931" w:type="dxa"/>
          </w:tcPr>
          <w:p w14:paraId="66EEFA25"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Бердянский крекинг-завод</w:t>
            </w:r>
          </w:p>
        </w:tc>
        <w:tc>
          <w:tcPr>
            <w:tcW w:w="3985" w:type="dxa"/>
            <w:gridSpan w:val="3"/>
          </w:tcPr>
          <w:p w14:paraId="78FF4224"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Краснокамск</w:t>
            </w:r>
          </w:p>
        </w:tc>
      </w:tr>
      <w:tr w:rsidR="00643896" w:rsidRPr="00640820" w14:paraId="1451AEBF" w14:textId="77777777" w:rsidTr="00150B39">
        <w:trPr>
          <w:trHeight w:val="107"/>
        </w:trPr>
        <w:tc>
          <w:tcPr>
            <w:tcW w:w="3931" w:type="dxa"/>
          </w:tcPr>
          <w:p w14:paraId="5EA116A0"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Братцевский чугунолитейный завод им. Войкова (Москва)</w:t>
            </w:r>
          </w:p>
        </w:tc>
        <w:tc>
          <w:tcPr>
            <w:tcW w:w="3985" w:type="dxa"/>
            <w:gridSpan w:val="3"/>
          </w:tcPr>
          <w:p w14:paraId="64EDDD5A"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Чусовой</w:t>
            </w:r>
          </w:p>
        </w:tc>
      </w:tr>
      <w:tr w:rsidR="00643896" w:rsidRPr="00640820" w14:paraId="07D6FA71" w14:textId="77777777" w:rsidTr="00150B39">
        <w:trPr>
          <w:trHeight w:val="107"/>
        </w:trPr>
        <w:tc>
          <w:tcPr>
            <w:tcW w:w="3931" w:type="dxa"/>
          </w:tcPr>
          <w:p w14:paraId="1CA9A231"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Великолуцкий паровозоремонтный завод</w:t>
            </w:r>
          </w:p>
        </w:tc>
        <w:tc>
          <w:tcPr>
            <w:tcW w:w="3985" w:type="dxa"/>
            <w:gridSpan w:val="3"/>
          </w:tcPr>
          <w:p w14:paraId="32BFEC3F"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Молотов</w:t>
            </w:r>
          </w:p>
        </w:tc>
      </w:tr>
      <w:tr w:rsidR="00643896" w:rsidRPr="00640820" w14:paraId="210C4BFB" w14:textId="77777777" w:rsidTr="00150B39">
        <w:trPr>
          <w:trHeight w:val="107"/>
        </w:trPr>
        <w:tc>
          <w:tcPr>
            <w:tcW w:w="3931" w:type="dxa"/>
          </w:tcPr>
          <w:p w14:paraId="5D527473"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Витебская очковая фабрика</w:t>
            </w:r>
          </w:p>
        </w:tc>
        <w:tc>
          <w:tcPr>
            <w:tcW w:w="3985" w:type="dxa"/>
            <w:gridSpan w:val="3"/>
          </w:tcPr>
          <w:p w14:paraId="3F4A50D8"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Суксун</w:t>
            </w:r>
          </w:p>
        </w:tc>
      </w:tr>
      <w:tr w:rsidR="00643896" w:rsidRPr="00640820" w14:paraId="02A0B73C" w14:textId="77777777" w:rsidTr="00150B39">
        <w:trPr>
          <w:trHeight w:val="107"/>
        </w:trPr>
        <w:tc>
          <w:tcPr>
            <w:tcW w:w="3931" w:type="dxa"/>
          </w:tcPr>
          <w:p w14:paraId="6FCBAA08"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Витебская обувная фабрика</w:t>
            </w:r>
          </w:p>
        </w:tc>
        <w:tc>
          <w:tcPr>
            <w:tcW w:w="3985" w:type="dxa"/>
            <w:gridSpan w:val="3"/>
          </w:tcPr>
          <w:p w14:paraId="7346EA8A"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Кунгур</w:t>
            </w:r>
          </w:p>
        </w:tc>
      </w:tr>
      <w:tr w:rsidR="00643896" w:rsidRPr="00640820" w14:paraId="69A930D3" w14:textId="77777777" w:rsidTr="00150B39">
        <w:trPr>
          <w:trHeight w:val="107"/>
        </w:trPr>
        <w:tc>
          <w:tcPr>
            <w:tcW w:w="3931" w:type="dxa"/>
          </w:tcPr>
          <w:p w14:paraId="6AA21917"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Витебский аэросанный завод</w:t>
            </w:r>
          </w:p>
        </w:tc>
        <w:tc>
          <w:tcPr>
            <w:tcW w:w="3985" w:type="dxa"/>
            <w:gridSpan w:val="3"/>
          </w:tcPr>
          <w:p w14:paraId="67A96C36"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Молотов</w:t>
            </w:r>
          </w:p>
        </w:tc>
      </w:tr>
      <w:tr w:rsidR="00643896" w:rsidRPr="00640820" w14:paraId="19D7A003" w14:textId="77777777" w:rsidTr="00150B39">
        <w:trPr>
          <w:trHeight w:val="107"/>
        </w:trPr>
        <w:tc>
          <w:tcPr>
            <w:tcW w:w="3931" w:type="dxa"/>
          </w:tcPr>
          <w:p w14:paraId="1AC30D5C"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Владимирская алмазная экспедиция</w:t>
            </w:r>
          </w:p>
        </w:tc>
        <w:tc>
          <w:tcPr>
            <w:tcW w:w="3985" w:type="dxa"/>
            <w:gridSpan w:val="3"/>
          </w:tcPr>
          <w:p w14:paraId="47E43BD1"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Чусовой</w:t>
            </w:r>
          </w:p>
        </w:tc>
      </w:tr>
      <w:tr w:rsidR="00643896" w:rsidRPr="00640820" w14:paraId="6EB64F9F" w14:textId="77777777" w:rsidTr="00150B39">
        <w:trPr>
          <w:trHeight w:val="107"/>
        </w:trPr>
        <w:tc>
          <w:tcPr>
            <w:tcW w:w="3931" w:type="dxa"/>
          </w:tcPr>
          <w:p w14:paraId="002259D4"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Владимирский патефонный завод № 260</w:t>
            </w:r>
          </w:p>
        </w:tc>
        <w:tc>
          <w:tcPr>
            <w:tcW w:w="3985" w:type="dxa"/>
            <w:gridSpan w:val="3"/>
          </w:tcPr>
          <w:p w14:paraId="40DCB91C"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Молотов</w:t>
            </w:r>
          </w:p>
        </w:tc>
      </w:tr>
      <w:tr w:rsidR="00643896" w:rsidRPr="00640820" w14:paraId="53F33B13" w14:textId="77777777" w:rsidTr="00150B39">
        <w:trPr>
          <w:trHeight w:val="107"/>
        </w:trPr>
        <w:tc>
          <w:tcPr>
            <w:tcW w:w="3931" w:type="dxa"/>
          </w:tcPr>
          <w:p w14:paraId="631976ED"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Волховский алюминиевый завод</w:t>
            </w:r>
          </w:p>
        </w:tc>
        <w:tc>
          <w:tcPr>
            <w:tcW w:w="3985" w:type="dxa"/>
            <w:gridSpan w:val="3"/>
          </w:tcPr>
          <w:p w14:paraId="62F45F27"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Соликамск</w:t>
            </w:r>
          </w:p>
        </w:tc>
      </w:tr>
      <w:tr w:rsidR="00643896" w:rsidRPr="00640820" w14:paraId="4F223510" w14:textId="77777777" w:rsidTr="00150B39">
        <w:trPr>
          <w:trHeight w:val="107"/>
        </w:trPr>
        <w:tc>
          <w:tcPr>
            <w:tcW w:w="3931" w:type="dxa"/>
          </w:tcPr>
          <w:p w14:paraId="352E34ED"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Воронежский завод с/х машиностроения</w:t>
            </w:r>
          </w:p>
        </w:tc>
        <w:tc>
          <w:tcPr>
            <w:tcW w:w="3985" w:type="dxa"/>
            <w:gridSpan w:val="3"/>
          </w:tcPr>
          <w:p w14:paraId="48B12696"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Кунгур</w:t>
            </w:r>
          </w:p>
        </w:tc>
      </w:tr>
      <w:tr w:rsidR="00643896" w:rsidRPr="00640820" w14:paraId="0D3FA208" w14:textId="77777777" w:rsidTr="00150B39">
        <w:trPr>
          <w:trHeight w:val="107"/>
        </w:trPr>
        <w:tc>
          <w:tcPr>
            <w:tcW w:w="3931" w:type="dxa"/>
          </w:tcPr>
          <w:p w14:paraId="6E5A8837"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Ворошиловградский механический завод им. 20-летия Октября</w:t>
            </w:r>
          </w:p>
        </w:tc>
        <w:tc>
          <w:tcPr>
            <w:tcW w:w="3985" w:type="dxa"/>
            <w:gridSpan w:val="3"/>
          </w:tcPr>
          <w:p w14:paraId="2228AB48"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Верещагино, ст. Зюкай</w:t>
            </w:r>
          </w:p>
        </w:tc>
      </w:tr>
      <w:tr w:rsidR="00643896" w:rsidRPr="00640820" w14:paraId="69C6695C" w14:textId="77777777" w:rsidTr="00150B39">
        <w:trPr>
          <w:trHeight w:val="107"/>
        </w:trPr>
        <w:tc>
          <w:tcPr>
            <w:tcW w:w="3931" w:type="dxa"/>
          </w:tcPr>
          <w:p w14:paraId="5D37BB36"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Ворошиловградский пороховой завод № 59</w:t>
            </w:r>
          </w:p>
        </w:tc>
        <w:tc>
          <w:tcPr>
            <w:tcW w:w="3985" w:type="dxa"/>
            <w:gridSpan w:val="3"/>
          </w:tcPr>
          <w:p w14:paraId="3E15EA33"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Молотов</w:t>
            </w:r>
          </w:p>
        </w:tc>
      </w:tr>
      <w:tr w:rsidR="00643896" w:rsidRPr="00640820" w14:paraId="3C4CFF56" w14:textId="77777777" w:rsidTr="00150B39">
        <w:trPr>
          <w:trHeight w:val="107"/>
        </w:trPr>
        <w:tc>
          <w:tcPr>
            <w:tcW w:w="3931" w:type="dxa"/>
          </w:tcPr>
          <w:p w14:paraId="7BC4EF85"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Воскресенский химический завод</w:t>
            </w:r>
          </w:p>
        </w:tc>
        <w:tc>
          <w:tcPr>
            <w:tcW w:w="3985" w:type="dxa"/>
            <w:gridSpan w:val="3"/>
          </w:tcPr>
          <w:p w14:paraId="4D25C03F"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Березники</w:t>
            </w:r>
          </w:p>
        </w:tc>
      </w:tr>
      <w:tr w:rsidR="00643896" w:rsidRPr="00640820" w14:paraId="4E0E227D" w14:textId="77777777" w:rsidTr="00150B39">
        <w:trPr>
          <w:trHeight w:val="107"/>
        </w:trPr>
        <w:tc>
          <w:tcPr>
            <w:tcW w:w="3931" w:type="dxa"/>
          </w:tcPr>
          <w:p w14:paraId="70EC66E6"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Выборгский мыловаренный и парфюмерный завод</w:t>
            </w:r>
          </w:p>
        </w:tc>
        <w:tc>
          <w:tcPr>
            <w:tcW w:w="3985" w:type="dxa"/>
            <w:gridSpan w:val="3"/>
          </w:tcPr>
          <w:p w14:paraId="38346B88"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Молотов</w:t>
            </w:r>
          </w:p>
        </w:tc>
      </w:tr>
      <w:tr w:rsidR="00643896" w:rsidRPr="00640820" w14:paraId="61AC6D22" w14:textId="77777777" w:rsidTr="00150B39">
        <w:trPr>
          <w:trHeight w:val="107"/>
        </w:trPr>
        <w:tc>
          <w:tcPr>
            <w:tcW w:w="3931" w:type="dxa"/>
          </w:tcPr>
          <w:p w14:paraId="0F4DE656"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Выборгский судоремонтный завод</w:t>
            </w:r>
          </w:p>
        </w:tc>
        <w:tc>
          <w:tcPr>
            <w:tcW w:w="3985" w:type="dxa"/>
            <w:gridSpan w:val="3"/>
          </w:tcPr>
          <w:p w14:paraId="3A8A2B50"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Молотов</w:t>
            </w:r>
          </w:p>
        </w:tc>
      </w:tr>
      <w:tr w:rsidR="00643896" w:rsidRPr="00640820" w14:paraId="7A2C5963" w14:textId="77777777" w:rsidTr="00150B39">
        <w:trPr>
          <w:trHeight w:val="107"/>
        </w:trPr>
        <w:tc>
          <w:tcPr>
            <w:tcW w:w="3931" w:type="dxa"/>
          </w:tcPr>
          <w:p w14:paraId="2EE39FB9"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Вышневолоцкий стекольный завод им. 9 Января</w:t>
            </w:r>
          </w:p>
        </w:tc>
        <w:tc>
          <w:tcPr>
            <w:tcW w:w="3985" w:type="dxa"/>
            <w:gridSpan w:val="3"/>
          </w:tcPr>
          <w:p w14:paraId="6D734509"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с. Чад (пос. Октябрьский)</w:t>
            </w:r>
          </w:p>
        </w:tc>
      </w:tr>
      <w:tr w:rsidR="00643896" w:rsidRPr="00640820" w14:paraId="5846B37E" w14:textId="77777777" w:rsidTr="00150B39">
        <w:trPr>
          <w:trHeight w:val="107"/>
        </w:trPr>
        <w:tc>
          <w:tcPr>
            <w:tcW w:w="3931" w:type="dxa"/>
          </w:tcPr>
          <w:p w14:paraId="126E1331"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Вышневолоцкий хлопчатобумажный комбинат</w:t>
            </w:r>
          </w:p>
        </w:tc>
        <w:tc>
          <w:tcPr>
            <w:tcW w:w="3985" w:type="dxa"/>
            <w:gridSpan w:val="3"/>
          </w:tcPr>
          <w:p w14:paraId="23E30BC1"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Краснокамск</w:t>
            </w:r>
          </w:p>
        </w:tc>
      </w:tr>
      <w:tr w:rsidR="00643896" w:rsidRPr="00640820" w14:paraId="1E14B520" w14:textId="77777777" w:rsidTr="00150B39">
        <w:trPr>
          <w:trHeight w:val="107"/>
        </w:trPr>
        <w:tc>
          <w:tcPr>
            <w:tcW w:w="3931" w:type="dxa"/>
          </w:tcPr>
          <w:p w14:paraId="2B60D472"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Гомельская тетрадная фабрика</w:t>
            </w:r>
          </w:p>
        </w:tc>
        <w:tc>
          <w:tcPr>
            <w:tcW w:w="3985" w:type="dxa"/>
            <w:gridSpan w:val="3"/>
          </w:tcPr>
          <w:p w14:paraId="3CC2F3EE"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Краснокамск</w:t>
            </w:r>
          </w:p>
        </w:tc>
      </w:tr>
      <w:tr w:rsidR="00643896" w:rsidRPr="00640820" w14:paraId="2B413E57" w14:textId="77777777" w:rsidTr="00150B39">
        <w:trPr>
          <w:trHeight w:val="207"/>
        </w:trPr>
        <w:tc>
          <w:tcPr>
            <w:tcW w:w="3931" w:type="dxa"/>
          </w:tcPr>
          <w:p w14:paraId="1B7540ED"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Горловский азотно-туковый завод</w:t>
            </w:r>
          </w:p>
        </w:tc>
        <w:tc>
          <w:tcPr>
            <w:tcW w:w="3985" w:type="dxa"/>
            <w:gridSpan w:val="3"/>
          </w:tcPr>
          <w:p w14:paraId="7C4895B1"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Краснокамск, г. Губаха,</w:t>
            </w:r>
          </w:p>
          <w:p w14:paraId="07A3A017"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Березники, г. Молотов</w:t>
            </w:r>
          </w:p>
        </w:tc>
      </w:tr>
      <w:tr w:rsidR="00643896" w:rsidRPr="00640820" w14:paraId="6DC1AC7B" w14:textId="77777777" w:rsidTr="00150B39">
        <w:trPr>
          <w:trHeight w:val="107"/>
        </w:trPr>
        <w:tc>
          <w:tcPr>
            <w:tcW w:w="3931" w:type="dxa"/>
          </w:tcPr>
          <w:p w14:paraId="01015AFD"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Дербеневский химический завод</w:t>
            </w:r>
          </w:p>
        </w:tc>
        <w:tc>
          <w:tcPr>
            <w:tcW w:w="3985" w:type="dxa"/>
            <w:gridSpan w:val="3"/>
          </w:tcPr>
          <w:p w14:paraId="2C0C450C"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Березники</w:t>
            </w:r>
          </w:p>
        </w:tc>
      </w:tr>
      <w:tr w:rsidR="00643896" w:rsidRPr="00640820" w14:paraId="7CBAA89F" w14:textId="77777777" w:rsidTr="00150B39">
        <w:trPr>
          <w:trHeight w:val="107"/>
        </w:trPr>
        <w:tc>
          <w:tcPr>
            <w:tcW w:w="3931" w:type="dxa"/>
          </w:tcPr>
          <w:p w14:paraId="3A02EF32"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Днепровский алюминиевый завод</w:t>
            </w:r>
          </w:p>
        </w:tc>
        <w:tc>
          <w:tcPr>
            <w:tcW w:w="3985" w:type="dxa"/>
            <w:gridSpan w:val="3"/>
          </w:tcPr>
          <w:p w14:paraId="1D9F20D1"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Березники</w:t>
            </w:r>
          </w:p>
        </w:tc>
      </w:tr>
      <w:tr w:rsidR="00643896" w:rsidRPr="00640820" w14:paraId="4CC44733" w14:textId="77777777" w:rsidTr="00150B39">
        <w:trPr>
          <w:trHeight w:val="107"/>
        </w:trPr>
        <w:tc>
          <w:tcPr>
            <w:tcW w:w="3931" w:type="dxa"/>
          </w:tcPr>
          <w:p w14:paraId="1FE3CC88"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Днепровский магниевый завод</w:t>
            </w:r>
          </w:p>
        </w:tc>
        <w:tc>
          <w:tcPr>
            <w:tcW w:w="3985" w:type="dxa"/>
            <w:gridSpan w:val="3"/>
          </w:tcPr>
          <w:p w14:paraId="012A3F1F"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Соликамск</w:t>
            </w:r>
          </w:p>
        </w:tc>
      </w:tr>
      <w:tr w:rsidR="00643896" w:rsidRPr="00640820" w14:paraId="37C8C987" w14:textId="77777777" w:rsidTr="00150B39">
        <w:trPr>
          <w:trHeight w:val="107"/>
        </w:trPr>
        <w:tc>
          <w:tcPr>
            <w:tcW w:w="3931" w:type="dxa"/>
          </w:tcPr>
          <w:p w14:paraId="20EC5F8C"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Днепродзержинский азотно-туковый завод</w:t>
            </w:r>
          </w:p>
        </w:tc>
        <w:tc>
          <w:tcPr>
            <w:tcW w:w="3985" w:type="dxa"/>
            <w:gridSpan w:val="3"/>
          </w:tcPr>
          <w:p w14:paraId="271A5201"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Березники, г. Губаха</w:t>
            </w:r>
          </w:p>
        </w:tc>
      </w:tr>
      <w:tr w:rsidR="00643896" w:rsidRPr="00640820" w14:paraId="463EFCCA" w14:textId="77777777" w:rsidTr="00150B39">
        <w:trPr>
          <w:trHeight w:val="107"/>
        </w:trPr>
        <w:tc>
          <w:tcPr>
            <w:tcW w:w="3931" w:type="dxa"/>
          </w:tcPr>
          <w:p w14:paraId="2CE81FBA"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Днепропетровский завод поршневых колец № 462</w:t>
            </w:r>
          </w:p>
        </w:tc>
        <w:tc>
          <w:tcPr>
            <w:tcW w:w="3985" w:type="dxa"/>
            <w:gridSpan w:val="3"/>
          </w:tcPr>
          <w:p w14:paraId="6015FAAF"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Молотов</w:t>
            </w:r>
          </w:p>
        </w:tc>
      </w:tr>
      <w:tr w:rsidR="00643896" w:rsidRPr="00640820" w14:paraId="6C024602" w14:textId="77777777" w:rsidTr="00150B39">
        <w:trPr>
          <w:trHeight w:val="107"/>
        </w:trPr>
        <w:tc>
          <w:tcPr>
            <w:tcW w:w="3931" w:type="dxa"/>
          </w:tcPr>
          <w:p w14:paraId="7974BCD4"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Днепропетровский завод химического машиностроения им. Артема</w:t>
            </w:r>
          </w:p>
        </w:tc>
        <w:tc>
          <w:tcPr>
            <w:tcW w:w="3985" w:type="dxa"/>
            <w:gridSpan w:val="3"/>
          </w:tcPr>
          <w:p w14:paraId="0E7CFCFE"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Очер</w:t>
            </w:r>
          </w:p>
        </w:tc>
      </w:tr>
      <w:tr w:rsidR="00643896" w:rsidRPr="00640820" w14:paraId="4F060FFD" w14:textId="77777777" w:rsidTr="00150B39">
        <w:trPr>
          <w:trHeight w:val="107"/>
        </w:trPr>
        <w:tc>
          <w:tcPr>
            <w:tcW w:w="3931" w:type="dxa"/>
          </w:tcPr>
          <w:p w14:paraId="2E449B3C"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Днепропетровский завод № 224 (филиал Ленинградского завода № 470)</w:t>
            </w:r>
          </w:p>
        </w:tc>
        <w:tc>
          <w:tcPr>
            <w:tcW w:w="3985" w:type="dxa"/>
            <w:gridSpan w:val="3"/>
          </w:tcPr>
          <w:p w14:paraId="190424D7"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Молотов</w:t>
            </w:r>
          </w:p>
        </w:tc>
      </w:tr>
      <w:tr w:rsidR="00643896" w:rsidRPr="00640820" w14:paraId="070F3DEC" w14:textId="77777777" w:rsidTr="00150B39">
        <w:trPr>
          <w:trHeight w:val="107"/>
        </w:trPr>
        <w:tc>
          <w:tcPr>
            <w:tcW w:w="3931" w:type="dxa"/>
          </w:tcPr>
          <w:p w14:paraId="36A04C7B"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Долгопрудненский завод № 207</w:t>
            </w:r>
          </w:p>
        </w:tc>
        <w:tc>
          <w:tcPr>
            <w:tcW w:w="3985" w:type="dxa"/>
            <w:gridSpan w:val="3"/>
          </w:tcPr>
          <w:p w14:paraId="3EA2CFEB"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Молотов</w:t>
            </w:r>
          </w:p>
        </w:tc>
      </w:tr>
      <w:tr w:rsidR="00643896" w:rsidRPr="00640820" w14:paraId="123B6FB3" w14:textId="77777777" w:rsidTr="00150B39">
        <w:trPr>
          <w:trHeight w:val="107"/>
        </w:trPr>
        <w:tc>
          <w:tcPr>
            <w:tcW w:w="3931" w:type="dxa"/>
          </w:tcPr>
          <w:p w14:paraId="6EC72826"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Донецкий содовый завод</w:t>
            </w:r>
          </w:p>
        </w:tc>
        <w:tc>
          <w:tcPr>
            <w:tcW w:w="3985" w:type="dxa"/>
            <w:gridSpan w:val="3"/>
          </w:tcPr>
          <w:p w14:paraId="695C3A74"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Березники</w:t>
            </w:r>
          </w:p>
        </w:tc>
      </w:tr>
      <w:tr w:rsidR="00643896" w:rsidRPr="00640820" w14:paraId="5C47D4BF" w14:textId="77777777" w:rsidTr="00150B39">
        <w:trPr>
          <w:trHeight w:val="107"/>
        </w:trPr>
        <w:tc>
          <w:tcPr>
            <w:tcW w:w="3931" w:type="dxa"/>
          </w:tcPr>
          <w:p w14:paraId="0D38EDAA"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Дорогомиловский химический завод</w:t>
            </w:r>
          </w:p>
        </w:tc>
        <w:tc>
          <w:tcPr>
            <w:tcW w:w="3985" w:type="dxa"/>
            <w:gridSpan w:val="3"/>
          </w:tcPr>
          <w:p w14:paraId="5C0238BF"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Молотов, г. Березники</w:t>
            </w:r>
          </w:p>
        </w:tc>
      </w:tr>
      <w:tr w:rsidR="00643896" w:rsidRPr="00640820" w14:paraId="04DA5B44" w14:textId="77777777" w:rsidTr="00150B39">
        <w:trPr>
          <w:trHeight w:val="107"/>
        </w:trPr>
        <w:tc>
          <w:tcPr>
            <w:tcW w:w="3931" w:type="dxa"/>
          </w:tcPr>
          <w:p w14:paraId="4AB989AA"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Дубкинский чугунолитейный завод. им. Дзержинского</w:t>
            </w:r>
          </w:p>
        </w:tc>
        <w:tc>
          <w:tcPr>
            <w:tcW w:w="3985" w:type="dxa"/>
            <w:gridSpan w:val="3"/>
          </w:tcPr>
          <w:p w14:paraId="4AE31646"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Чусовой</w:t>
            </w:r>
          </w:p>
        </w:tc>
      </w:tr>
      <w:tr w:rsidR="00643896" w:rsidRPr="00640820" w14:paraId="0CC6DE2C" w14:textId="77777777" w:rsidTr="00150B39">
        <w:trPr>
          <w:trHeight w:val="107"/>
        </w:trPr>
        <w:tc>
          <w:tcPr>
            <w:tcW w:w="3931" w:type="dxa"/>
          </w:tcPr>
          <w:p w14:paraId="47EBFF64" w14:textId="77777777" w:rsidR="000E0937" w:rsidRPr="00640820" w:rsidRDefault="000E0937" w:rsidP="00640820">
            <w:pPr>
              <w:pStyle w:val="Pa2"/>
              <w:spacing w:line="240" w:lineRule="auto"/>
              <w:jc w:val="both"/>
              <w:rPr>
                <w:color w:val="000000" w:themeColor="text1"/>
                <w:sz w:val="16"/>
                <w:szCs w:val="16"/>
              </w:rPr>
            </w:pPr>
          </w:p>
        </w:tc>
        <w:tc>
          <w:tcPr>
            <w:tcW w:w="3985" w:type="dxa"/>
            <w:gridSpan w:val="3"/>
          </w:tcPr>
          <w:p w14:paraId="43B1884E" w14:textId="77777777" w:rsidR="000E0937" w:rsidRPr="00640820" w:rsidRDefault="000E0937" w:rsidP="00640820">
            <w:pPr>
              <w:pStyle w:val="Pa2"/>
              <w:spacing w:line="240" w:lineRule="auto"/>
              <w:jc w:val="both"/>
              <w:rPr>
                <w:color w:val="000000" w:themeColor="text1"/>
                <w:sz w:val="16"/>
                <w:szCs w:val="16"/>
              </w:rPr>
            </w:pPr>
          </w:p>
        </w:tc>
      </w:tr>
      <w:tr w:rsidR="00643896" w:rsidRPr="00640820" w14:paraId="49C27857" w14:textId="77777777" w:rsidTr="00150B39">
        <w:trPr>
          <w:trHeight w:val="107"/>
        </w:trPr>
        <w:tc>
          <w:tcPr>
            <w:tcW w:w="3931" w:type="dxa"/>
          </w:tcPr>
          <w:p w14:paraId="4445FC8D" w14:textId="77777777" w:rsidR="000E0937" w:rsidRPr="00640820" w:rsidRDefault="000E0937" w:rsidP="00640820">
            <w:pPr>
              <w:pStyle w:val="Pa2"/>
              <w:spacing w:line="240" w:lineRule="auto"/>
              <w:jc w:val="both"/>
              <w:rPr>
                <w:color w:val="000000" w:themeColor="text1"/>
                <w:sz w:val="16"/>
                <w:szCs w:val="16"/>
              </w:rPr>
            </w:pPr>
          </w:p>
        </w:tc>
        <w:tc>
          <w:tcPr>
            <w:tcW w:w="3985" w:type="dxa"/>
            <w:gridSpan w:val="3"/>
          </w:tcPr>
          <w:p w14:paraId="4BF67A66" w14:textId="77777777" w:rsidR="000E0937" w:rsidRPr="00640820" w:rsidRDefault="000E0937" w:rsidP="00640820">
            <w:pPr>
              <w:pStyle w:val="Pa2"/>
              <w:spacing w:line="240" w:lineRule="auto"/>
              <w:jc w:val="both"/>
              <w:rPr>
                <w:color w:val="000000" w:themeColor="text1"/>
                <w:sz w:val="16"/>
                <w:szCs w:val="16"/>
              </w:rPr>
            </w:pPr>
          </w:p>
        </w:tc>
      </w:tr>
      <w:tr w:rsidR="00643896" w:rsidRPr="00640820" w14:paraId="5EC1D566" w14:textId="77777777" w:rsidTr="00150B39">
        <w:trPr>
          <w:trHeight w:val="107"/>
        </w:trPr>
        <w:tc>
          <w:tcPr>
            <w:tcW w:w="3931" w:type="dxa"/>
          </w:tcPr>
          <w:p w14:paraId="448F80EA"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Енакиевский металлургический завод им. Орджоникидзе</w:t>
            </w:r>
          </w:p>
        </w:tc>
        <w:tc>
          <w:tcPr>
            <w:tcW w:w="3985" w:type="dxa"/>
            <w:gridSpan w:val="3"/>
          </w:tcPr>
          <w:p w14:paraId="50516CA5"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Чусовой</w:t>
            </w:r>
          </w:p>
        </w:tc>
      </w:tr>
      <w:tr w:rsidR="00643896" w:rsidRPr="00640820" w14:paraId="054781A8" w14:textId="77777777" w:rsidTr="00150B39">
        <w:trPr>
          <w:trHeight w:val="374"/>
        </w:trPr>
        <w:tc>
          <w:tcPr>
            <w:tcW w:w="3931" w:type="dxa"/>
          </w:tcPr>
          <w:p w14:paraId="4D2493A1"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Завод № 93</w:t>
            </w:r>
          </w:p>
        </w:tc>
        <w:tc>
          <w:tcPr>
            <w:tcW w:w="3985" w:type="dxa"/>
            <w:gridSpan w:val="3"/>
          </w:tcPr>
          <w:p w14:paraId="0F405EB5"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Березники</w:t>
            </w:r>
          </w:p>
          <w:p w14:paraId="337E09B7" w14:textId="77777777" w:rsidR="000E0937" w:rsidRPr="00640820" w:rsidRDefault="000E0937" w:rsidP="00640820">
            <w:pPr>
              <w:pStyle w:val="Pa2"/>
              <w:spacing w:line="240" w:lineRule="auto"/>
              <w:jc w:val="both"/>
              <w:rPr>
                <w:color w:val="000000" w:themeColor="text1"/>
                <w:sz w:val="16"/>
                <w:szCs w:val="16"/>
              </w:rPr>
            </w:pPr>
            <w:r w:rsidRPr="00640820">
              <w:rPr>
                <w:rStyle w:val="A40"/>
                <w:color w:val="000000" w:themeColor="text1"/>
                <w:sz w:val="16"/>
                <w:szCs w:val="16"/>
              </w:rPr>
              <w:t xml:space="preserve">1 </w:t>
            </w:r>
            <w:r w:rsidRPr="00640820">
              <w:rPr>
                <w:color w:val="000000" w:themeColor="text1"/>
                <w:sz w:val="16"/>
                <w:szCs w:val="16"/>
              </w:rPr>
              <w:t>Список специально для этого издания подготовила Т. И. Силина по документам ПермГАНИ. Ф. 195. Оп. 8.</w:t>
            </w:r>
          </w:p>
        </w:tc>
      </w:tr>
      <w:tr w:rsidR="00643896" w:rsidRPr="00640820" w14:paraId="588C9A0B" w14:textId="77777777" w:rsidTr="00150B39">
        <w:trPr>
          <w:gridAfter w:val="1"/>
          <w:wAfter w:w="146" w:type="dxa"/>
          <w:trHeight w:val="94"/>
        </w:trPr>
        <w:tc>
          <w:tcPr>
            <w:tcW w:w="3931" w:type="dxa"/>
          </w:tcPr>
          <w:p w14:paraId="2345CB25" w14:textId="77777777" w:rsidR="000E0937" w:rsidRPr="00640820" w:rsidRDefault="000E0937" w:rsidP="00640820">
            <w:pPr>
              <w:pStyle w:val="Pa11"/>
              <w:spacing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Предприятие, номер </w:t>
            </w:r>
          </w:p>
        </w:tc>
        <w:tc>
          <w:tcPr>
            <w:tcW w:w="3839" w:type="dxa"/>
            <w:gridSpan w:val="2"/>
          </w:tcPr>
          <w:p w14:paraId="478F1E5C" w14:textId="77777777" w:rsidR="000E0937" w:rsidRPr="00640820" w:rsidRDefault="000E0937" w:rsidP="00640820">
            <w:pPr>
              <w:pStyle w:val="Pa11"/>
              <w:spacing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Место размещения </w:t>
            </w:r>
          </w:p>
        </w:tc>
      </w:tr>
      <w:tr w:rsidR="00643896" w:rsidRPr="00640820" w14:paraId="05276F55" w14:textId="77777777" w:rsidTr="00150B39">
        <w:trPr>
          <w:gridAfter w:val="1"/>
          <w:wAfter w:w="146" w:type="dxa"/>
          <w:trHeight w:val="107"/>
        </w:trPr>
        <w:tc>
          <w:tcPr>
            <w:tcW w:w="3931" w:type="dxa"/>
          </w:tcPr>
          <w:p w14:paraId="24FE840B"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Завод № 244 </w:t>
            </w:r>
          </w:p>
        </w:tc>
        <w:tc>
          <w:tcPr>
            <w:tcW w:w="3839" w:type="dxa"/>
            <w:gridSpan w:val="2"/>
          </w:tcPr>
          <w:p w14:paraId="531C70FD"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Молотов </w:t>
            </w:r>
          </w:p>
        </w:tc>
      </w:tr>
      <w:tr w:rsidR="00643896" w:rsidRPr="00640820" w14:paraId="670A0263" w14:textId="77777777" w:rsidTr="00150B39">
        <w:trPr>
          <w:gridAfter w:val="1"/>
          <w:wAfter w:w="146" w:type="dxa"/>
          <w:trHeight w:val="107"/>
        </w:trPr>
        <w:tc>
          <w:tcPr>
            <w:tcW w:w="3931" w:type="dxa"/>
          </w:tcPr>
          <w:p w14:paraId="54E6C60D"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Завод № 395 </w:t>
            </w:r>
          </w:p>
        </w:tc>
        <w:tc>
          <w:tcPr>
            <w:tcW w:w="3839" w:type="dxa"/>
            <w:gridSpan w:val="2"/>
          </w:tcPr>
          <w:p w14:paraId="3448C713"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Молотов </w:t>
            </w:r>
          </w:p>
        </w:tc>
      </w:tr>
      <w:tr w:rsidR="00643896" w:rsidRPr="00640820" w14:paraId="7FB10CE1" w14:textId="77777777" w:rsidTr="00150B39">
        <w:trPr>
          <w:gridAfter w:val="1"/>
          <w:wAfter w:w="146" w:type="dxa"/>
          <w:trHeight w:val="107"/>
        </w:trPr>
        <w:tc>
          <w:tcPr>
            <w:tcW w:w="3931" w:type="dxa"/>
          </w:tcPr>
          <w:p w14:paraId="060A6BAE"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Завод № 472 </w:t>
            </w:r>
          </w:p>
        </w:tc>
        <w:tc>
          <w:tcPr>
            <w:tcW w:w="3839" w:type="dxa"/>
            <w:gridSpan w:val="2"/>
          </w:tcPr>
          <w:p w14:paraId="58D1B246"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Молотов </w:t>
            </w:r>
          </w:p>
        </w:tc>
      </w:tr>
      <w:tr w:rsidR="00643896" w:rsidRPr="00640820" w14:paraId="64B6993F" w14:textId="77777777" w:rsidTr="00150B39">
        <w:trPr>
          <w:gridAfter w:val="1"/>
          <w:wAfter w:w="146" w:type="dxa"/>
          <w:trHeight w:val="107"/>
        </w:trPr>
        <w:tc>
          <w:tcPr>
            <w:tcW w:w="3931" w:type="dxa"/>
          </w:tcPr>
          <w:p w14:paraId="464811B1"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Завод № 749 </w:t>
            </w:r>
          </w:p>
        </w:tc>
        <w:tc>
          <w:tcPr>
            <w:tcW w:w="3839" w:type="dxa"/>
            <w:gridSpan w:val="2"/>
          </w:tcPr>
          <w:p w14:paraId="55DB9A2D"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Краснокамск </w:t>
            </w:r>
          </w:p>
        </w:tc>
      </w:tr>
      <w:tr w:rsidR="00643896" w:rsidRPr="00640820" w14:paraId="262E674C" w14:textId="77777777" w:rsidTr="00150B39">
        <w:trPr>
          <w:gridAfter w:val="1"/>
          <w:wAfter w:w="146" w:type="dxa"/>
          <w:trHeight w:val="107"/>
        </w:trPr>
        <w:tc>
          <w:tcPr>
            <w:tcW w:w="3931" w:type="dxa"/>
          </w:tcPr>
          <w:p w14:paraId="4C21EB1D"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Завод № 761 </w:t>
            </w:r>
          </w:p>
        </w:tc>
        <w:tc>
          <w:tcPr>
            <w:tcW w:w="3839" w:type="dxa"/>
            <w:gridSpan w:val="2"/>
          </w:tcPr>
          <w:p w14:paraId="4C45A096"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Березники </w:t>
            </w:r>
          </w:p>
        </w:tc>
      </w:tr>
      <w:tr w:rsidR="00643896" w:rsidRPr="00640820" w14:paraId="002865FC" w14:textId="77777777" w:rsidTr="00150B39">
        <w:trPr>
          <w:gridAfter w:val="1"/>
          <w:wAfter w:w="146" w:type="dxa"/>
          <w:trHeight w:val="107"/>
        </w:trPr>
        <w:tc>
          <w:tcPr>
            <w:tcW w:w="3931" w:type="dxa"/>
          </w:tcPr>
          <w:p w14:paraId="5D3D890D"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Калининская фабрика медно-аммиачного волокна </w:t>
            </w:r>
          </w:p>
        </w:tc>
        <w:tc>
          <w:tcPr>
            <w:tcW w:w="3839" w:type="dxa"/>
            <w:gridSpan w:val="2"/>
          </w:tcPr>
          <w:p w14:paraId="1CBFABA4"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Краснокамск </w:t>
            </w:r>
          </w:p>
        </w:tc>
      </w:tr>
      <w:tr w:rsidR="00643896" w:rsidRPr="00640820" w14:paraId="28EFE80F" w14:textId="77777777" w:rsidTr="00150B39">
        <w:trPr>
          <w:gridAfter w:val="1"/>
          <w:wAfter w:w="146" w:type="dxa"/>
          <w:trHeight w:val="107"/>
        </w:trPr>
        <w:tc>
          <w:tcPr>
            <w:tcW w:w="3931" w:type="dxa"/>
          </w:tcPr>
          <w:p w14:paraId="28DD18E4"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Карело-финская Сегежская бумажная фабрика </w:t>
            </w:r>
          </w:p>
        </w:tc>
        <w:tc>
          <w:tcPr>
            <w:tcW w:w="3839" w:type="dxa"/>
            <w:gridSpan w:val="2"/>
          </w:tcPr>
          <w:p w14:paraId="451099FA"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Соликамск </w:t>
            </w:r>
          </w:p>
        </w:tc>
      </w:tr>
      <w:tr w:rsidR="00643896" w:rsidRPr="00640820" w14:paraId="2E1DC664" w14:textId="77777777" w:rsidTr="00150B39">
        <w:trPr>
          <w:gridAfter w:val="1"/>
          <w:wAfter w:w="146" w:type="dxa"/>
          <w:trHeight w:val="107"/>
        </w:trPr>
        <w:tc>
          <w:tcPr>
            <w:tcW w:w="3931" w:type="dxa"/>
          </w:tcPr>
          <w:p w14:paraId="16A651EE"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Керченский коксохимический завод </w:t>
            </w:r>
          </w:p>
        </w:tc>
        <w:tc>
          <w:tcPr>
            <w:tcW w:w="3839" w:type="dxa"/>
            <w:gridSpan w:val="2"/>
          </w:tcPr>
          <w:p w14:paraId="05A1E012"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Губаха </w:t>
            </w:r>
          </w:p>
        </w:tc>
      </w:tr>
      <w:tr w:rsidR="00643896" w:rsidRPr="00640820" w14:paraId="753ECAB0" w14:textId="77777777" w:rsidTr="00150B39">
        <w:trPr>
          <w:gridAfter w:val="1"/>
          <w:wAfter w:w="146" w:type="dxa"/>
          <w:trHeight w:val="107"/>
        </w:trPr>
        <w:tc>
          <w:tcPr>
            <w:tcW w:w="3931" w:type="dxa"/>
          </w:tcPr>
          <w:p w14:paraId="4750B87A"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Керченский металлургический завод </w:t>
            </w:r>
          </w:p>
        </w:tc>
        <w:tc>
          <w:tcPr>
            <w:tcW w:w="3839" w:type="dxa"/>
            <w:gridSpan w:val="2"/>
          </w:tcPr>
          <w:p w14:paraId="7EC20B77"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Чусовой </w:t>
            </w:r>
          </w:p>
        </w:tc>
      </w:tr>
      <w:tr w:rsidR="00643896" w:rsidRPr="00640820" w14:paraId="4363A92C" w14:textId="77777777" w:rsidTr="00150B39">
        <w:trPr>
          <w:gridAfter w:val="1"/>
          <w:wAfter w:w="146" w:type="dxa"/>
          <w:trHeight w:val="107"/>
        </w:trPr>
        <w:tc>
          <w:tcPr>
            <w:tcW w:w="3931" w:type="dxa"/>
          </w:tcPr>
          <w:p w14:paraId="04F2C8E3"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Керченский судостроительный завод </w:t>
            </w:r>
          </w:p>
        </w:tc>
        <w:tc>
          <w:tcPr>
            <w:tcW w:w="3839" w:type="dxa"/>
            <w:gridSpan w:val="2"/>
          </w:tcPr>
          <w:p w14:paraId="7111652F"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Молотов </w:t>
            </w:r>
          </w:p>
        </w:tc>
      </w:tr>
      <w:tr w:rsidR="00643896" w:rsidRPr="00640820" w14:paraId="4BB87D48" w14:textId="77777777" w:rsidTr="00150B39">
        <w:trPr>
          <w:gridAfter w:val="1"/>
          <w:wAfter w:w="146" w:type="dxa"/>
          <w:trHeight w:val="107"/>
        </w:trPr>
        <w:tc>
          <w:tcPr>
            <w:tcW w:w="3931" w:type="dxa"/>
          </w:tcPr>
          <w:p w14:paraId="615DC271"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lastRenderedPageBreak/>
              <w:t xml:space="preserve">Киевская обувная фабрика </w:t>
            </w:r>
          </w:p>
        </w:tc>
        <w:tc>
          <w:tcPr>
            <w:tcW w:w="3839" w:type="dxa"/>
            <w:gridSpan w:val="2"/>
          </w:tcPr>
          <w:p w14:paraId="64F95180"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Кунгур </w:t>
            </w:r>
          </w:p>
        </w:tc>
      </w:tr>
      <w:tr w:rsidR="00643896" w:rsidRPr="00640820" w14:paraId="14C1B3DF" w14:textId="77777777" w:rsidTr="00150B39">
        <w:trPr>
          <w:gridAfter w:val="1"/>
          <w:wAfter w:w="146" w:type="dxa"/>
          <w:trHeight w:val="107"/>
        </w:trPr>
        <w:tc>
          <w:tcPr>
            <w:tcW w:w="3931" w:type="dxa"/>
          </w:tcPr>
          <w:p w14:paraId="7FAB0E91"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Киевская швейная фабрика </w:t>
            </w:r>
          </w:p>
        </w:tc>
        <w:tc>
          <w:tcPr>
            <w:tcW w:w="3839" w:type="dxa"/>
            <w:gridSpan w:val="2"/>
          </w:tcPr>
          <w:p w14:paraId="605AC197"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Березники </w:t>
            </w:r>
          </w:p>
        </w:tc>
      </w:tr>
      <w:tr w:rsidR="00643896" w:rsidRPr="00640820" w14:paraId="34440E51" w14:textId="77777777" w:rsidTr="00150B39">
        <w:trPr>
          <w:gridAfter w:val="1"/>
          <w:wAfter w:w="146" w:type="dxa"/>
          <w:trHeight w:val="107"/>
        </w:trPr>
        <w:tc>
          <w:tcPr>
            <w:tcW w:w="3931" w:type="dxa"/>
          </w:tcPr>
          <w:p w14:paraId="661E28B5"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Киевский рыбокомбинат </w:t>
            </w:r>
          </w:p>
        </w:tc>
        <w:tc>
          <w:tcPr>
            <w:tcW w:w="3839" w:type="dxa"/>
            <w:gridSpan w:val="2"/>
          </w:tcPr>
          <w:p w14:paraId="2E0C9886"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Молотов </w:t>
            </w:r>
          </w:p>
        </w:tc>
      </w:tr>
      <w:tr w:rsidR="00643896" w:rsidRPr="00640820" w14:paraId="6BEFB2B4" w14:textId="77777777" w:rsidTr="00150B39">
        <w:trPr>
          <w:gridAfter w:val="1"/>
          <w:wAfter w:w="146" w:type="dxa"/>
          <w:trHeight w:val="107"/>
        </w:trPr>
        <w:tc>
          <w:tcPr>
            <w:tcW w:w="3931" w:type="dxa"/>
          </w:tcPr>
          <w:p w14:paraId="31E617C3"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Киевский станкостроительный завод № 185 им. Горького </w:t>
            </w:r>
          </w:p>
        </w:tc>
        <w:tc>
          <w:tcPr>
            <w:tcW w:w="3839" w:type="dxa"/>
            <w:gridSpan w:val="2"/>
          </w:tcPr>
          <w:p w14:paraId="632A619D"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Кизел </w:t>
            </w:r>
          </w:p>
        </w:tc>
      </w:tr>
      <w:tr w:rsidR="00643896" w:rsidRPr="00640820" w14:paraId="59B16958" w14:textId="77777777" w:rsidTr="00150B39">
        <w:trPr>
          <w:gridAfter w:val="1"/>
          <w:wAfter w:w="146" w:type="dxa"/>
          <w:trHeight w:val="107"/>
        </w:trPr>
        <w:tc>
          <w:tcPr>
            <w:tcW w:w="3931" w:type="dxa"/>
          </w:tcPr>
          <w:p w14:paraId="65A78818"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Кинешемский анилиновый завод </w:t>
            </w:r>
          </w:p>
        </w:tc>
        <w:tc>
          <w:tcPr>
            <w:tcW w:w="3839" w:type="dxa"/>
            <w:gridSpan w:val="2"/>
          </w:tcPr>
          <w:p w14:paraId="671CDF5A"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Березники </w:t>
            </w:r>
          </w:p>
        </w:tc>
      </w:tr>
      <w:tr w:rsidR="00643896" w:rsidRPr="00640820" w14:paraId="14681E10" w14:textId="77777777" w:rsidTr="00150B39">
        <w:trPr>
          <w:gridAfter w:val="1"/>
          <w:wAfter w:w="146" w:type="dxa"/>
          <w:trHeight w:val="107"/>
        </w:trPr>
        <w:tc>
          <w:tcPr>
            <w:tcW w:w="3931" w:type="dxa"/>
          </w:tcPr>
          <w:p w14:paraId="06233328"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Клинская фабрика искусственного волокна </w:t>
            </w:r>
          </w:p>
        </w:tc>
        <w:tc>
          <w:tcPr>
            <w:tcW w:w="3839" w:type="dxa"/>
            <w:gridSpan w:val="2"/>
          </w:tcPr>
          <w:p w14:paraId="0F6E4560"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Березники </w:t>
            </w:r>
          </w:p>
        </w:tc>
      </w:tr>
      <w:tr w:rsidR="00643896" w:rsidRPr="00640820" w14:paraId="292B774B" w14:textId="77777777" w:rsidTr="00150B39">
        <w:trPr>
          <w:gridAfter w:val="1"/>
          <w:wAfter w:w="146" w:type="dxa"/>
          <w:trHeight w:val="107"/>
        </w:trPr>
        <w:tc>
          <w:tcPr>
            <w:tcW w:w="3931" w:type="dxa"/>
          </w:tcPr>
          <w:p w14:paraId="79560966"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Коломенский машиностроительный завод им. Куйбышева </w:t>
            </w:r>
          </w:p>
        </w:tc>
        <w:tc>
          <w:tcPr>
            <w:tcW w:w="3839" w:type="dxa"/>
            <w:gridSpan w:val="2"/>
          </w:tcPr>
          <w:p w14:paraId="74B39A18"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Молотов </w:t>
            </w:r>
          </w:p>
        </w:tc>
      </w:tr>
      <w:tr w:rsidR="00643896" w:rsidRPr="00640820" w14:paraId="473FA6FA" w14:textId="77777777" w:rsidTr="00150B39">
        <w:trPr>
          <w:gridAfter w:val="1"/>
          <w:wAfter w:w="146" w:type="dxa"/>
          <w:trHeight w:val="107"/>
        </w:trPr>
        <w:tc>
          <w:tcPr>
            <w:tcW w:w="3931" w:type="dxa"/>
          </w:tcPr>
          <w:p w14:paraId="038C335E"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Кольчугинский завод металлических сеток «Электрокабель» </w:t>
            </w:r>
          </w:p>
        </w:tc>
        <w:tc>
          <w:tcPr>
            <w:tcW w:w="3839" w:type="dxa"/>
            <w:gridSpan w:val="2"/>
          </w:tcPr>
          <w:p w14:paraId="349B5CB0"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Краснокамск </w:t>
            </w:r>
          </w:p>
        </w:tc>
      </w:tr>
      <w:tr w:rsidR="00643896" w:rsidRPr="00640820" w14:paraId="1FB8F3CF" w14:textId="77777777" w:rsidTr="00150B39">
        <w:trPr>
          <w:gridAfter w:val="1"/>
          <w:wAfter w:w="146" w:type="dxa"/>
          <w:trHeight w:val="107"/>
        </w:trPr>
        <w:tc>
          <w:tcPr>
            <w:tcW w:w="3931" w:type="dxa"/>
          </w:tcPr>
          <w:p w14:paraId="6FF592E5"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Кондровская бумажная фабрика </w:t>
            </w:r>
          </w:p>
        </w:tc>
        <w:tc>
          <w:tcPr>
            <w:tcW w:w="3839" w:type="dxa"/>
            <w:gridSpan w:val="2"/>
          </w:tcPr>
          <w:p w14:paraId="3B113F5F"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Красновишерск </w:t>
            </w:r>
          </w:p>
        </w:tc>
      </w:tr>
      <w:tr w:rsidR="00643896" w:rsidRPr="00640820" w14:paraId="40B73B5B" w14:textId="77777777" w:rsidTr="00150B39">
        <w:trPr>
          <w:gridAfter w:val="1"/>
          <w:wAfter w:w="146" w:type="dxa"/>
          <w:trHeight w:val="107"/>
        </w:trPr>
        <w:tc>
          <w:tcPr>
            <w:tcW w:w="3931" w:type="dxa"/>
          </w:tcPr>
          <w:p w14:paraId="156E0CF1"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Конотопский ПРЗ </w:t>
            </w:r>
          </w:p>
        </w:tc>
        <w:tc>
          <w:tcPr>
            <w:tcW w:w="3839" w:type="dxa"/>
            <w:gridSpan w:val="2"/>
          </w:tcPr>
          <w:p w14:paraId="39F32AA1"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Молотов </w:t>
            </w:r>
          </w:p>
        </w:tc>
      </w:tr>
      <w:tr w:rsidR="00643896" w:rsidRPr="00640820" w14:paraId="3F3EF69B" w14:textId="77777777" w:rsidTr="00150B39">
        <w:trPr>
          <w:gridAfter w:val="1"/>
          <w:wAfter w:w="146" w:type="dxa"/>
          <w:trHeight w:val="107"/>
        </w:trPr>
        <w:tc>
          <w:tcPr>
            <w:tcW w:w="3931" w:type="dxa"/>
          </w:tcPr>
          <w:p w14:paraId="506CD5DE"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Константиновский завод им. Фрунзе </w:t>
            </w:r>
          </w:p>
        </w:tc>
        <w:tc>
          <w:tcPr>
            <w:tcW w:w="3839" w:type="dxa"/>
            <w:gridSpan w:val="2"/>
          </w:tcPr>
          <w:p w14:paraId="7A558E3F"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Березники, г. Молотов </w:t>
            </w:r>
          </w:p>
        </w:tc>
      </w:tr>
      <w:tr w:rsidR="00643896" w:rsidRPr="00640820" w14:paraId="5498D47B" w14:textId="77777777" w:rsidTr="00150B39">
        <w:trPr>
          <w:gridAfter w:val="1"/>
          <w:wAfter w:w="146" w:type="dxa"/>
          <w:trHeight w:val="107"/>
        </w:trPr>
        <w:tc>
          <w:tcPr>
            <w:tcW w:w="3931" w:type="dxa"/>
          </w:tcPr>
          <w:p w14:paraId="6D876B8D"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Константиновский металлургический завод </w:t>
            </w:r>
          </w:p>
        </w:tc>
        <w:tc>
          <w:tcPr>
            <w:tcW w:w="3839" w:type="dxa"/>
            <w:gridSpan w:val="2"/>
          </w:tcPr>
          <w:p w14:paraId="7F35F8DB"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Чусовой </w:t>
            </w:r>
          </w:p>
        </w:tc>
      </w:tr>
      <w:tr w:rsidR="00643896" w:rsidRPr="00640820" w14:paraId="092094B8" w14:textId="77777777" w:rsidTr="00150B39">
        <w:trPr>
          <w:gridAfter w:val="1"/>
          <w:wAfter w:w="146" w:type="dxa"/>
          <w:trHeight w:val="107"/>
        </w:trPr>
        <w:tc>
          <w:tcPr>
            <w:tcW w:w="3931" w:type="dxa"/>
          </w:tcPr>
          <w:p w14:paraId="061C5452"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Константиновский стекольный завод № 25 </w:t>
            </w:r>
          </w:p>
        </w:tc>
        <w:tc>
          <w:tcPr>
            <w:tcW w:w="3839" w:type="dxa"/>
            <w:gridSpan w:val="2"/>
          </w:tcPr>
          <w:p w14:paraId="07DB74E8"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пос. Лямино Чусовского района </w:t>
            </w:r>
          </w:p>
        </w:tc>
      </w:tr>
      <w:tr w:rsidR="00643896" w:rsidRPr="00640820" w14:paraId="40606354" w14:textId="77777777" w:rsidTr="00150B39">
        <w:trPr>
          <w:gridAfter w:val="1"/>
          <w:wAfter w:w="146" w:type="dxa"/>
          <w:trHeight w:val="107"/>
        </w:trPr>
        <w:tc>
          <w:tcPr>
            <w:tcW w:w="3931" w:type="dxa"/>
          </w:tcPr>
          <w:p w14:paraId="41F5FF4E"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Косогорский металлургический завод </w:t>
            </w:r>
          </w:p>
        </w:tc>
        <w:tc>
          <w:tcPr>
            <w:tcW w:w="3839" w:type="dxa"/>
            <w:gridSpan w:val="2"/>
          </w:tcPr>
          <w:p w14:paraId="1550307A"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Лысьва </w:t>
            </w:r>
          </w:p>
        </w:tc>
      </w:tr>
      <w:tr w:rsidR="00643896" w:rsidRPr="00640820" w14:paraId="60BB4FAC" w14:textId="77777777" w:rsidTr="00150B39">
        <w:trPr>
          <w:gridAfter w:val="1"/>
          <w:wAfter w:w="146" w:type="dxa"/>
          <w:trHeight w:val="107"/>
        </w:trPr>
        <w:tc>
          <w:tcPr>
            <w:tcW w:w="3931" w:type="dxa"/>
          </w:tcPr>
          <w:p w14:paraId="4CCF7165"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Красноперекопский химический завод </w:t>
            </w:r>
          </w:p>
        </w:tc>
        <w:tc>
          <w:tcPr>
            <w:tcW w:w="3839" w:type="dxa"/>
            <w:gridSpan w:val="2"/>
          </w:tcPr>
          <w:p w14:paraId="4D3E0E66"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Краснокамск </w:t>
            </w:r>
          </w:p>
        </w:tc>
      </w:tr>
      <w:tr w:rsidR="00643896" w:rsidRPr="00640820" w14:paraId="09A67DB8" w14:textId="77777777" w:rsidTr="00150B39">
        <w:trPr>
          <w:gridAfter w:val="1"/>
          <w:wAfter w:w="146" w:type="dxa"/>
          <w:trHeight w:val="107"/>
        </w:trPr>
        <w:tc>
          <w:tcPr>
            <w:tcW w:w="3931" w:type="dxa"/>
          </w:tcPr>
          <w:p w14:paraId="0CEC538D"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Красносельский завод № 1 </w:t>
            </w:r>
          </w:p>
        </w:tc>
        <w:tc>
          <w:tcPr>
            <w:tcW w:w="3839" w:type="dxa"/>
            <w:gridSpan w:val="2"/>
          </w:tcPr>
          <w:p w14:paraId="614E086F"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Молотов </w:t>
            </w:r>
          </w:p>
        </w:tc>
      </w:tr>
      <w:tr w:rsidR="00643896" w:rsidRPr="00640820" w14:paraId="6FF2D590" w14:textId="77777777" w:rsidTr="00150B39">
        <w:trPr>
          <w:gridAfter w:val="1"/>
          <w:wAfter w:w="146" w:type="dxa"/>
          <w:trHeight w:val="107"/>
        </w:trPr>
        <w:tc>
          <w:tcPr>
            <w:tcW w:w="3931" w:type="dxa"/>
          </w:tcPr>
          <w:p w14:paraId="5331A4D4"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Крюковский вагоноремонтный завод </w:t>
            </w:r>
          </w:p>
        </w:tc>
        <w:tc>
          <w:tcPr>
            <w:tcW w:w="3839" w:type="dxa"/>
            <w:gridSpan w:val="2"/>
          </w:tcPr>
          <w:p w14:paraId="328D4091"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Молотов </w:t>
            </w:r>
          </w:p>
        </w:tc>
      </w:tr>
      <w:tr w:rsidR="00643896" w:rsidRPr="00640820" w14:paraId="42EAE504" w14:textId="77777777" w:rsidTr="00150B39">
        <w:trPr>
          <w:gridAfter w:val="1"/>
          <w:wAfter w:w="146" w:type="dxa"/>
          <w:trHeight w:val="107"/>
        </w:trPr>
        <w:tc>
          <w:tcPr>
            <w:tcW w:w="3931" w:type="dxa"/>
          </w:tcPr>
          <w:p w14:paraId="51F7DBD0"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Курский завод автотракторных деталей им. Калинина </w:t>
            </w:r>
          </w:p>
        </w:tc>
        <w:tc>
          <w:tcPr>
            <w:tcW w:w="3839" w:type="dxa"/>
            <w:gridSpan w:val="2"/>
          </w:tcPr>
          <w:p w14:paraId="2CB8A6FC"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Верещагино, ст. Зюкай </w:t>
            </w:r>
          </w:p>
        </w:tc>
      </w:tr>
      <w:tr w:rsidR="00643896" w:rsidRPr="00640820" w14:paraId="3AEB8B4D" w14:textId="77777777" w:rsidTr="00150B39">
        <w:trPr>
          <w:gridAfter w:val="1"/>
          <w:wAfter w:w="146" w:type="dxa"/>
          <w:trHeight w:val="107"/>
        </w:trPr>
        <w:tc>
          <w:tcPr>
            <w:tcW w:w="3931" w:type="dxa"/>
          </w:tcPr>
          <w:p w14:paraId="4860B1A1"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Ленинградская бумажная фабрика «Гознак» </w:t>
            </w:r>
          </w:p>
        </w:tc>
        <w:tc>
          <w:tcPr>
            <w:tcW w:w="3839" w:type="dxa"/>
            <w:gridSpan w:val="2"/>
          </w:tcPr>
          <w:p w14:paraId="408B4BE6"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Краснокамск </w:t>
            </w:r>
          </w:p>
        </w:tc>
      </w:tr>
      <w:tr w:rsidR="00643896" w:rsidRPr="00640820" w14:paraId="648FA7DC" w14:textId="77777777" w:rsidTr="00150B39">
        <w:trPr>
          <w:gridAfter w:val="1"/>
          <w:wAfter w:w="146" w:type="dxa"/>
          <w:trHeight w:val="107"/>
        </w:trPr>
        <w:tc>
          <w:tcPr>
            <w:tcW w:w="3931" w:type="dxa"/>
          </w:tcPr>
          <w:p w14:paraId="794BCD27"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Ленинградская бумажная фабрика им. Володарского </w:t>
            </w:r>
          </w:p>
        </w:tc>
        <w:tc>
          <w:tcPr>
            <w:tcW w:w="3839" w:type="dxa"/>
            <w:gridSpan w:val="2"/>
          </w:tcPr>
          <w:p w14:paraId="6C0A5C9B"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Краснокамск </w:t>
            </w:r>
          </w:p>
        </w:tc>
      </w:tr>
      <w:tr w:rsidR="00643896" w:rsidRPr="00640820" w14:paraId="12AEE1B4" w14:textId="77777777" w:rsidTr="00150B39">
        <w:trPr>
          <w:gridAfter w:val="1"/>
          <w:wAfter w:w="146" w:type="dxa"/>
          <w:trHeight w:val="107"/>
        </w:trPr>
        <w:tc>
          <w:tcPr>
            <w:tcW w:w="3931" w:type="dxa"/>
          </w:tcPr>
          <w:p w14:paraId="76277F01"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Ленинградская печатная фабрика им. Горького </w:t>
            </w:r>
          </w:p>
        </w:tc>
        <w:tc>
          <w:tcPr>
            <w:tcW w:w="3839" w:type="dxa"/>
            <w:gridSpan w:val="2"/>
          </w:tcPr>
          <w:p w14:paraId="644052A1"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Краснокамск </w:t>
            </w:r>
          </w:p>
        </w:tc>
      </w:tr>
      <w:tr w:rsidR="00643896" w:rsidRPr="00640820" w14:paraId="0B0F80BB" w14:textId="77777777" w:rsidTr="00150B39">
        <w:trPr>
          <w:gridAfter w:val="1"/>
          <w:wAfter w:w="146" w:type="dxa"/>
          <w:trHeight w:val="107"/>
        </w:trPr>
        <w:tc>
          <w:tcPr>
            <w:tcW w:w="3931" w:type="dxa"/>
          </w:tcPr>
          <w:p w14:paraId="5A15697E"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Ленинградский завод оптического стекла </w:t>
            </w:r>
          </w:p>
        </w:tc>
        <w:tc>
          <w:tcPr>
            <w:tcW w:w="3839" w:type="dxa"/>
            <w:gridSpan w:val="2"/>
          </w:tcPr>
          <w:p w14:paraId="027CDBF9"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с. Сарс Октябрьского района </w:t>
            </w:r>
          </w:p>
        </w:tc>
      </w:tr>
      <w:tr w:rsidR="00643896" w:rsidRPr="00640820" w14:paraId="6944CD5B" w14:textId="77777777" w:rsidTr="00150B39">
        <w:trPr>
          <w:gridAfter w:val="1"/>
          <w:wAfter w:w="146" w:type="dxa"/>
          <w:trHeight w:val="107"/>
        </w:trPr>
        <w:tc>
          <w:tcPr>
            <w:tcW w:w="3931" w:type="dxa"/>
          </w:tcPr>
          <w:p w14:paraId="6CCA2BEC"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Ленинградский завод № 8 </w:t>
            </w:r>
          </w:p>
        </w:tc>
        <w:tc>
          <w:tcPr>
            <w:tcW w:w="3839" w:type="dxa"/>
            <w:gridSpan w:val="2"/>
          </w:tcPr>
          <w:p w14:paraId="2303F117"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Молотов </w:t>
            </w:r>
          </w:p>
        </w:tc>
      </w:tr>
      <w:tr w:rsidR="00643896" w:rsidRPr="00640820" w14:paraId="0151098B" w14:textId="77777777" w:rsidTr="00150B39">
        <w:trPr>
          <w:gridAfter w:val="1"/>
          <w:wAfter w:w="146" w:type="dxa"/>
          <w:trHeight w:val="107"/>
        </w:trPr>
        <w:tc>
          <w:tcPr>
            <w:tcW w:w="3931" w:type="dxa"/>
          </w:tcPr>
          <w:p w14:paraId="0F86F946"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Ленинградский завод авиационных приборов № 470 </w:t>
            </w:r>
          </w:p>
        </w:tc>
        <w:tc>
          <w:tcPr>
            <w:tcW w:w="3839" w:type="dxa"/>
            <w:gridSpan w:val="2"/>
          </w:tcPr>
          <w:p w14:paraId="4815A468"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Молотов </w:t>
            </w:r>
          </w:p>
        </w:tc>
      </w:tr>
      <w:tr w:rsidR="00643896" w:rsidRPr="00640820" w14:paraId="1C30513A" w14:textId="77777777" w:rsidTr="00150B39">
        <w:trPr>
          <w:gridAfter w:val="1"/>
          <w:wAfter w:w="146" w:type="dxa"/>
          <w:trHeight w:val="107"/>
        </w:trPr>
        <w:tc>
          <w:tcPr>
            <w:tcW w:w="3931" w:type="dxa"/>
          </w:tcPr>
          <w:p w14:paraId="1CE7D238"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Ленинградский завод «Красный металлист» </w:t>
            </w:r>
          </w:p>
        </w:tc>
        <w:tc>
          <w:tcPr>
            <w:tcW w:w="3839" w:type="dxa"/>
            <w:gridSpan w:val="2"/>
          </w:tcPr>
          <w:p w14:paraId="04787515"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Нытва </w:t>
            </w:r>
          </w:p>
        </w:tc>
      </w:tr>
      <w:tr w:rsidR="00643896" w:rsidRPr="00640820" w14:paraId="6AF1F619" w14:textId="77777777" w:rsidTr="00150B39">
        <w:trPr>
          <w:gridAfter w:val="1"/>
          <w:wAfter w:w="146" w:type="dxa"/>
          <w:trHeight w:val="107"/>
        </w:trPr>
        <w:tc>
          <w:tcPr>
            <w:tcW w:w="3931" w:type="dxa"/>
          </w:tcPr>
          <w:p w14:paraId="04A8EECF"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Ленинградский монетный двор </w:t>
            </w:r>
          </w:p>
        </w:tc>
        <w:tc>
          <w:tcPr>
            <w:tcW w:w="3839" w:type="dxa"/>
            <w:gridSpan w:val="2"/>
          </w:tcPr>
          <w:p w14:paraId="5FDE3707"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Краснокамск </w:t>
            </w:r>
          </w:p>
        </w:tc>
      </w:tr>
      <w:tr w:rsidR="00643896" w:rsidRPr="00640820" w14:paraId="598A9DA2" w14:textId="77777777" w:rsidTr="00150B39">
        <w:trPr>
          <w:gridAfter w:val="1"/>
          <w:wAfter w:w="146" w:type="dxa"/>
          <w:trHeight w:val="107"/>
        </w:trPr>
        <w:tc>
          <w:tcPr>
            <w:tcW w:w="3931" w:type="dxa"/>
          </w:tcPr>
          <w:p w14:paraId="5F7B0A7A"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Ленинградский пороховой завод № 6 </w:t>
            </w:r>
          </w:p>
        </w:tc>
        <w:tc>
          <w:tcPr>
            <w:tcW w:w="3839" w:type="dxa"/>
            <w:gridSpan w:val="2"/>
          </w:tcPr>
          <w:p w14:paraId="0E4DCBA8"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Молотов </w:t>
            </w:r>
          </w:p>
        </w:tc>
      </w:tr>
      <w:tr w:rsidR="00643896" w:rsidRPr="00640820" w14:paraId="20321413" w14:textId="77777777" w:rsidTr="00150B39">
        <w:trPr>
          <w:gridAfter w:val="1"/>
          <w:wAfter w:w="146" w:type="dxa"/>
          <w:trHeight w:val="107"/>
        </w:trPr>
        <w:tc>
          <w:tcPr>
            <w:tcW w:w="3931" w:type="dxa"/>
          </w:tcPr>
          <w:p w14:paraId="35CE3322"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Ленинградский пороховой завод № 52 </w:t>
            </w:r>
          </w:p>
        </w:tc>
        <w:tc>
          <w:tcPr>
            <w:tcW w:w="3839" w:type="dxa"/>
            <w:gridSpan w:val="2"/>
          </w:tcPr>
          <w:p w14:paraId="428C6CAD"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Молотов </w:t>
            </w:r>
          </w:p>
        </w:tc>
      </w:tr>
      <w:tr w:rsidR="00643896" w:rsidRPr="00640820" w14:paraId="7D797813" w14:textId="77777777" w:rsidTr="00150B39">
        <w:trPr>
          <w:gridAfter w:val="1"/>
          <w:wAfter w:w="146" w:type="dxa"/>
          <w:trHeight w:val="107"/>
        </w:trPr>
        <w:tc>
          <w:tcPr>
            <w:tcW w:w="3931" w:type="dxa"/>
          </w:tcPr>
          <w:p w14:paraId="3C38CD9B"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Ленинградский пороховой завод № 101 </w:t>
            </w:r>
          </w:p>
        </w:tc>
        <w:tc>
          <w:tcPr>
            <w:tcW w:w="3839" w:type="dxa"/>
            <w:gridSpan w:val="2"/>
          </w:tcPr>
          <w:p w14:paraId="6A348FB1"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Молотов </w:t>
            </w:r>
          </w:p>
        </w:tc>
      </w:tr>
      <w:tr w:rsidR="00643896" w:rsidRPr="00640820" w14:paraId="23254F24" w14:textId="77777777" w:rsidTr="00150B39">
        <w:trPr>
          <w:gridAfter w:val="1"/>
          <w:wAfter w:w="146" w:type="dxa"/>
          <w:trHeight w:val="107"/>
        </w:trPr>
        <w:tc>
          <w:tcPr>
            <w:tcW w:w="3931" w:type="dxa"/>
          </w:tcPr>
          <w:p w14:paraId="38007DFE"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Ленинградский портовый элеватор </w:t>
            </w:r>
          </w:p>
        </w:tc>
        <w:tc>
          <w:tcPr>
            <w:tcW w:w="3839" w:type="dxa"/>
            <w:gridSpan w:val="2"/>
          </w:tcPr>
          <w:p w14:paraId="05EE5451"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Молотов </w:t>
            </w:r>
          </w:p>
        </w:tc>
      </w:tr>
      <w:tr w:rsidR="00643896" w:rsidRPr="00640820" w14:paraId="6F844A46" w14:textId="77777777" w:rsidTr="00150B39">
        <w:trPr>
          <w:gridAfter w:val="1"/>
          <w:wAfter w:w="146" w:type="dxa"/>
          <w:trHeight w:val="107"/>
        </w:trPr>
        <w:tc>
          <w:tcPr>
            <w:tcW w:w="3931" w:type="dxa"/>
          </w:tcPr>
          <w:p w14:paraId="6959D5E4"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Ленинградский судостроительный завод № 139 </w:t>
            </w:r>
          </w:p>
        </w:tc>
        <w:tc>
          <w:tcPr>
            <w:tcW w:w="3839" w:type="dxa"/>
            <w:gridSpan w:val="2"/>
          </w:tcPr>
          <w:p w14:paraId="366F8669"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Молотов</w:t>
            </w:r>
          </w:p>
        </w:tc>
      </w:tr>
      <w:tr w:rsidR="00643896" w:rsidRPr="00640820" w14:paraId="46A3804C" w14:textId="77777777" w:rsidTr="00150B39">
        <w:trPr>
          <w:gridAfter w:val="2"/>
          <w:wAfter w:w="162" w:type="dxa"/>
          <w:trHeight w:val="94"/>
        </w:trPr>
        <w:tc>
          <w:tcPr>
            <w:tcW w:w="3931" w:type="dxa"/>
          </w:tcPr>
          <w:p w14:paraId="4122615B" w14:textId="77777777" w:rsidR="000E0937" w:rsidRPr="00640820" w:rsidRDefault="000E0937" w:rsidP="00640820">
            <w:pPr>
              <w:pStyle w:val="Pa11"/>
              <w:spacing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Предприятие, номер</w:t>
            </w:r>
          </w:p>
        </w:tc>
        <w:tc>
          <w:tcPr>
            <w:tcW w:w="3823" w:type="dxa"/>
          </w:tcPr>
          <w:p w14:paraId="5EFDB8B2" w14:textId="77777777" w:rsidR="000E0937" w:rsidRPr="00640820" w:rsidRDefault="000E0937" w:rsidP="00640820">
            <w:pPr>
              <w:pStyle w:val="Pa11"/>
              <w:spacing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Место размещения</w:t>
            </w:r>
          </w:p>
        </w:tc>
      </w:tr>
      <w:tr w:rsidR="00643896" w:rsidRPr="00640820" w14:paraId="18F72792" w14:textId="77777777" w:rsidTr="00150B39">
        <w:trPr>
          <w:gridAfter w:val="2"/>
          <w:wAfter w:w="162" w:type="dxa"/>
          <w:trHeight w:val="107"/>
        </w:trPr>
        <w:tc>
          <w:tcPr>
            <w:tcW w:w="3931" w:type="dxa"/>
          </w:tcPr>
          <w:p w14:paraId="097DB236"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Ленинградский фонарный завод</w:t>
            </w:r>
          </w:p>
        </w:tc>
        <w:tc>
          <w:tcPr>
            <w:tcW w:w="3823" w:type="dxa"/>
          </w:tcPr>
          <w:p w14:paraId="362A89D9"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пос. Ленва г. Березники </w:t>
            </w:r>
          </w:p>
        </w:tc>
      </w:tr>
      <w:tr w:rsidR="00643896" w:rsidRPr="00640820" w14:paraId="09239882" w14:textId="77777777" w:rsidTr="00150B39">
        <w:trPr>
          <w:gridAfter w:val="2"/>
          <w:wAfter w:w="162" w:type="dxa"/>
          <w:trHeight w:val="107"/>
        </w:trPr>
        <w:tc>
          <w:tcPr>
            <w:tcW w:w="3931" w:type="dxa"/>
          </w:tcPr>
          <w:p w14:paraId="5CB5C86E"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Ленинградский цех светочувствительной бумаги</w:t>
            </w:r>
          </w:p>
        </w:tc>
        <w:tc>
          <w:tcPr>
            <w:tcW w:w="3823" w:type="dxa"/>
          </w:tcPr>
          <w:p w14:paraId="44D70D3C"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Краснокамск</w:t>
            </w:r>
          </w:p>
        </w:tc>
      </w:tr>
      <w:tr w:rsidR="00643896" w:rsidRPr="00640820" w14:paraId="01844C14" w14:textId="77777777" w:rsidTr="00150B39">
        <w:trPr>
          <w:gridAfter w:val="2"/>
          <w:wAfter w:w="162" w:type="dxa"/>
          <w:trHeight w:val="107"/>
        </w:trPr>
        <w:tc>
          <w:tcPr>
            <w:tcW w:w="3931" w:type="dxa"/>
          </w:tcPr>
          <w:p w14:paraId="359E614F"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Ленинградский электромеханический завод № 629</w:t>
            </w:r>
          </w:p>
        </w:tc>
        <w:tc>
          <w:tcPr>
            <w:tcW w:w="3823" w:type="dxa"/>
          </w:tcPr>
          <w:p w14:paraId="1807E260"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Молотов</w:t>
            </w:r>
          </w:p>
        </w:tc>
      </w:tr>
      <w:tr w:rsidR="00643896" w:rsidRPr="00640820" w14:paraId="7A0273D8" w14:textId="77777777" w:rsidTr="00150B39">
        <w:trPr>
          <w:gridAfter w:val="2"/>
          <w:wAfter w:w="162" w:type="dxa"/>
          <w:trHeight w:val="107"/>
        </w:trPr>
        <w:tc>
          <w:tcPr>
            <w:tcW w:w="3931" w:type="dxa"/>
          </w:tcPr>
          <w:p w14:paraId="4B674E84"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Липецкий моторно-ремонтный завод</w:t>
            </w:r>
          </w:p>
        </w:tc>
        <w:tc>
          <w:tcPr>
            <w:tcW w:w="3823" w:type="dxa"/>
          </w:tcPr>
          <w:p w14:paraId="553C0115"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Верещагино</w:t>
            </w:r>
          </w:p>
        </w:tc>
      </w:tr>
      <w:tr w:rsidR="00643896" w:rsidRPr="00640820" w14:paraId="6C6648F2" w14:textId="77777777" w:rsidTr="00150B39">
        <w:trPr>
          <w:gridAfter w:val="2"/>
          <w:wAfter w:w="162" w:type="dxa"/>
          <w:trHeight w:val="107"/>
        </w:trPr>
        <w:tc>
          <w:tcPr>
            <w:tcW w:w="3931" w:type="dxa"/>
          </w:tcPr>
          <w:p w14:paraId="4B2310EA"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Лисичанский азотно-туковый завод</w:t>
            </w:r>
          </w:p>
        </w:tc>
        <w:tc>
          <w:tcPr>
            <w:tcW w:w="3823" w:type="dxa"/>
          </w:tcPr>
          <w:p w14:paraId="1B4CCD22"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Березники, г. Губаха</w:t>
            </w:r>
          </w:p>
        </w:tc>
      </w:tr>
      <w:tr w:rsidR="00643896" w:rsidRPr="00640820" w14:paraId="3A164EC4" w14:textId="77777777" w:rsidTr="00150B39">
        <w:trPr>
          <w:gridAfter w:val="2"/>
          <w:wAfter w:w="162" w:type="dxa"/>
          <w:trHeight w:val="107"/>
        </w:trPr>
        <w:tc>
          <w:tcPr>
            <w:tcW w:w="3931" w:type="dxa"/>
          </w:tcPr>
          <w:p w14:paraId="2B096393"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Лисичанский содовый завод</w:t>
            </w:r>
          </w:p>
        </w:tc>
        <w:tc>
          <w:tcPr>
            <w:tcW w:w="3823" w:type="dxa"/>
          </w:tcPr>
          <w:p w14:paraId="223DDB64"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Березники</w:t>
            </w:r>
          </w:p>
        </w:tc>
      </w:tr>
      <w:tr w:rsidR="00643896" w:rsidRPr="00640820" w14:paraId="03F620D1" w14:textId="77777777" w:rsidTr="00150B39">
        <w:trPr>
          <w:gridAfter w:val="2"/>
          <w:wAfter w:w="162" w:type="dxa"/>
          <w:trHeight w:val="107"/>
        </w:trPr>
        <w:tc>
          <w:tcPr>
            <w:tcW w:w="3931" w:type="dxa"/>
          </w:tcPr>
          <w:p w14:paraId="04D87AF7"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Мичуринский паровозоремонтный завод</w:t>
            </w:r>
          </w:p>
        </w:tc>
        <w:tc>
          <w:tcPr>
            <w:tcW w:w="3823" w:type="dxa"/>
          </w:tcPr>
          <w:p w14:paraId="7FF20D53"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Молотов</w:t>
            </w:r>
          </w:p>
        </w:tc>
      </w:tr>
      <w:tr w:rsidR="00643896" w:rsidRPr="00640820" w14:paraId="0A96D528" w14:textId="77777777" w:rsidTr="00150B39">
        <w:trPr>
          <w:gridAfter w:val="2"/>
          <w:wAfter w:w="162" w:type="dxa"/>
          <w:trHeight w:val="107"/>
        </w:trPr>
        <w:tc>
          <w:tcPr>
            <w:tcW w:w="3931" w:type="dxa"/>
          </w:tcPr>
          <w:p w14:paraId="1455A88D"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Московская конвертная фабрика</w:t>
            </w:r>
          </w:p>
        </w:tc>
        <w:tc>
          <w:tcPr>
            <w:tcW w:w="3823" w:type="dxa"/>
          </w:tcPr>
          <w:p w14:paraId="352FECA9"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Молотов</w:t>
            </w:r>
          </w:p>
        </w:tc>
      </w:tr>
      <w:tr w:rsidR="00643896" w:rsidRPr="00640820" w14:paraId="09E6B36F" w14:textId="77777777" w:rsidTr="00150B39">
        <w:trPr>
          <w:gridAfter w:val="2"/>
          <w:wAfter w:w="162" w:type="dxa"/>
          <w:trHeight w:val="107"/>
        </w:trPr>
        <w:tc>
          <w:tcPr>
            <w:tcW w:w="3931" w:type="dxa"/>
          </w:tcPr>
          <w:p w14:paraId="577C1720"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Московская печатная фабрика «Гознак»</w:t>
            </w:r>
          </w:p>
        </w:tc>
        <w:tc>
          <w:tcPr>
            <w:tcW w:w="3823" w:type="dxa"/>
          </w:tcPr>
          <w:p w14:paraId="4E901E49"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Молотов</w:t>
            </w:r>
          </w:p>
        </w:tc>
      </w:tr>
      <w:tr w:rsidR="00643896" w:rsidRPr="00640820" w14:paraId="748365DB" w14:textId="77777777" w:rsidTr="00150B39">
        <w:trPr>
          <w:gridAfter w:val="2"/>
          <w:wAfter w:w="162" w:type="dxa"/>
          <w:trHeight w:val="107"/>
        </w:trPr>
        <w:tc>
          <w:tcPr>
            <w:tcW w:w="3931" w:type="dxa"/>
          </w:tcPr>
          <w:p w14:paraId="727E65CA"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Московская швейная фабрика № 6</w:t>
            </w:r>
          </w:p>
        </w:tc>
        <w:tc>
          <w:tcPr>
            <w:tcW w:w="3823" w:type="dxa"/>
          </w:tcPr>
          <w:p w14:paraId="7613E69F"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Усолье</w:t>
            </w:r>
          </w:p>
        </w:tc>
      </w:tr>
      <w:tr w:rsidR="00643896" w:rsidRPr="00640820" w14:paraId="2DA5B1CE" w14:textId="77777777" w:rsidTr="00150B39">
        <w:trPr>
          <w:gridAfter w:val="2"/>
          <w:wAfter w:w="162" w:type="dxa"/>
          <w:trHeight w:val="107"/>
        </w:trPr>
        <w:tc>
          <w:tcPr>
            <w:tcW w:w="3931" w:type="dxa"/>
          </w:tcPr>
          <w:p w14:paraId="6FE78BC0"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Московская фабрика технической бумаги им. Красина</w:t>
            </w:r>
          </w:p>
        </w:tc>
        <w:tc>
          <w:tcPr>
            <w:tcW w:w="3823" w:type="dxa"/>
          </w:tcPr>
          <w:p w14:paraId="20E93512"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Краснокамск</w:t>
            </w:r>
          </w:p>
        </w:tc>
      </w:tr>
      <w:tr w:rsidR="00643896" w:rsidRPr="00640820" w14:paraId="581DBBE0" w14:textId="77777777" w:rsidTr="00150B39">
        <w:trPr>
          <w:gridAfter w:val="2"/>
          <w:wAfter w:w="162" w:type="dxa"/>
          <w:trHeight w:val="107"/>
        </w:trPr>
        <w:tc>
          <w:tcPr>
            <w:tcW w:w="3931" w:type="dxa"/>
          </w:tcPr>
          <w:p w14:paraId="48A30380"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Московский вагоноремонтный завод</w:t>
            </w:r>
          </w:p>
        </w:tc>
        <w:tc>
          <w:tcPr>
            <w:tcW w:w="3823" w:type="dxa"/>
          </w:tcPr>
          <w:p w14:paraId="30CA3345"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Усолье</w:t>
            </w:r>
          </w:p>
        </w:tc>
      </w:tr>
      <w:tr w:rsidR="00643896" w:rsidRPr="00640820" w14:paraId="6973ADE0" w14:textId="77777777" w:rsidTr="00150B39">
        <w:trPr>
          <w:gridAfter w:val="2"/>
          <w:wAfter w:w="162" w:type="dxa"/>
          <w:trHeight w:val="107"/>
        </w:trPr>
        <w:tc>
          <w:tcPr>
            <w:tcW w:w="3931" w:type="dxa"/>
          </w:tcPr>
          <w:p w14:paraId="07BD6A1A"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Московский завод «Рессора»</w:t>
            </w:r>
          </w:p>
        </w:tc>
        <w:tc>
          <w:tcPr>
            <w:tcW w:w="3823" w:type="dxa"/>
          </w:tcPr>
          <w:p w14:paraId="089C263D"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Лысьва</w:t>
            </w:r>
          </w:p>
        </w:tc>
      </w:tr>
      <w:tr w:rsidR="00643896" w:rsidRPr="00640820" w14:paraId="52FA4616" w14:textId="77777777" w:rsidTr="00150B39">
        <w:trPr>
          <w:gridAfter w:val="2"/>
          <w:wAfter w:w="162" w:type="dxa"/>
          <w:trHeight w:val="107"/>
        </w:trPr>
        <w:tc>
          <w:tcPr>
            <w:tcW w:w="3931" w:type="dxa"/>
          </w:tcPr>
          <w:p w14:paraId="15E261AA"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Московский завод № 20</w:t>
            </w:r>
          </w:p>
        </w:tc>
        <w:tc>
          <w:tcPr>
            <w:tcW w:w="3823" w:type="dxa"/>
          </w:tcPr>
          <w:p w14:paraId="28C970D4"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Молотов</w:t>
            </w:r>
          </w:p>
        </w:tc>
      </w:tr>
      <w:tr w:rsidR="00643896" w:rsidRPr="00640820" w14:paraId="434C3627" w14:textId="77777777" w:rsidTr="00150B39">
        <w:trPr>
          <w:gridAfter w:val="2"/>
          <w:wAfter w:w="162" w:type="dxa"/>
          <w:trHeight w:val="107"/>
        </w:trPr>
        <w:tc>
          <w:tcPr>
            <w:tcW w:w="3931" w:type="dxa"/>
          </w:tcPr>
          <w:p w14:paraId="665FA85C"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Московский карбюраторный завод № 33</w:t>
            </w:r>
          </w:p>
        </w:tc>
        <w:tc>
          <w:tcPr>
            <w:tcW w:w="3823" w:type="dxa"/>
          </w:tcPr>
          <w:p w14:paraId="7ECAC09D"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Молотов</w:t>
            </w:r>
          </w:p>
        </w:tc>
      </w:tr>
      <w:tr w:rsidR="00643896" w:rsidRPr="00640820" w14:paraId="4FE84373" w14:textId="77777777" w:rsidTr="00150B39">
        <w:trPr>
          <w:gridAfter w:val="2"/>
          <w:wAfter w:w="162" w:type="dxa"/>
          <w:trHeight w:val="107"/>
        </w:trPr>
        <w:tc>
          <w:tcPr>
            <w:tcW w:w="3931" w:type="dxa"/>
          </w:tcPr>
          <w:p w14:paraId="5DC65E64"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Московский пороховой завод</w:t>
            </w:r>
          </w:p>
        </w:tc>
        <w:tc>
          <w:tcPr>
            <w:tcW w:w="3823" w:type="dxa"/>
          </w:tcPr>
          <w:p w14:paraId="1E201592"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Молотов</w:t>
            </w:r>
          </w:p>
        </w:tc>
      </w:tr>
      <w:tr w:rsidR="00643896" w:rsidRPr="00640820" w14:paraId="00C3ACE6" w14:textId="77777777" w:rsidTr="00150B39">
        <w:trPr>
          <w:gridAfter w:val="2"/>
          <w:wAfter w:w="162" w:type="dxa"/>
          <w:trHeight w:val="107"/>
        </w:trPr>
        <w:tc>
          <w:tcPr>
            <w:tcW w:w="3931" w:type="dxa"/>
          </w:tcPr>
          <w:p w14:paraId="1C708293"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Московский самолетный завод № 289</w:t>
            </w:r>
          </w:p>
        </w:tc>
        <w:tc>
          <w:tcPr>
            <w:tcW w:w="3823" w:type="dxa"/>
          </w:tcPr>
          <w:p w14:paraId="234DF52E"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Молотов</w:t>
            </w:r>
          </w:p>
        </w:tc>
      </w:tr>
      <w:tr w:rsidR="00643896" w:rsidRPr="00640820" w14:paraId="0FA32A68" w14:textId="77777777" w:rsidTr="00150B39">
        <w:trPr>
          <w:gridAfter w:val="2"/>
          <w:wAfter w:w="162" w:type="dxa"/>
          <w:trHeight w:val="107"/>
        </w:trPr>
        <w:tc>
          <w:tcPr>
            <w:tcW w:w="3931" w:type="dxa"/>
          </w:tcPr>
          <w:p w14:paraId="6DCC9618"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Мурманский апатитовый комбинат</w:t>
            </w:r>
          </w:p>
        </w:tc>
        <w:tc>
          <w:tcPr>
            <w:tcW w:w="3823" w:type="dxa"/>
          </w:tcPr>
          <w:p w14:paraId="5CA70CCE"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Березники, г. Соликамск</w:t>
            </w:r>
          </w:p>
        </w:tc>
      </w:tr>
      <w:tr w:rsidR="00643896" w:rsidRPr="00640820" w14:paraId="6F8DA5C8" w14:textId="77777777" w:rsidTr="00150B39">
        <w:trPr>
          <w:gridAfter w:val="2"/>
          <w:wAfter w:w="162" w:type="dxa"/>
          <w:trHeight w:val="107"/>
        </w:trPr>
        <w:tc>
          <w:tcPr>
            <w:tcW w:w="3931" w:type="dxa"/>
          </w:tcPr>
          <w:p w14:paraId="019E9D05"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Мытищинский завод № 532</w:t>
            </w:r>
          </w:p>
        </w:tc>
        <w:tc>
          <w:tcPr>
            <w:tcW w:w="3823" w:type="dxa"/>
          </w:tcPr>
          <w:p w14:paraId="3CFA7600"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Молотов</w:t>
            </w:r>
          </w:p>
        </w:tc>
      </w:tr>
      <w:tr w:rsidR="00643896" w:rsidRPr="00640820" w14:paraId="230A52F3" w14:textId="77777777" w:rsidTr="00150B39">
        <w:trPr>
          <w:gridAfter w:val="2"/>
          <w:wAfter w:w="162" w:type="dxa"/>
          <w:trHeight w:val="107"/>
        </w:trPr>
        <w:tc>
          <w:tcPr>
            <w:tcW w:w="3931" w:type="dxa"/>
          </w:tcPr>
          <w:p w14:paraId="281DCF69"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Нижнеднепровский металлургический завод </w:t>
            </w:r>
          </w:p>
        </w:tc>
        <w:tc>
          <w:tcPr>
            <w:tcW w:w="3823" w:type="dxa"/>
          </w:tcPr>
          <w:p w14:paraId="1AAABC66"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Чусовой</w:t>
            </w:r>
          </w:p>
        </w:tc>
      </w:tr>
      <w:tr w:rsidR="00643896" w:rsidRPr="00640820" w14:paraId="00927272" w14:textId="77777777" w:rsidTr="00150B39">
        <w:trPr>
          <w:gridAfter w:val="2"/>
          <w:wAfter w:w="162" w:type="dxa"/>
          <w:trHeight w:val="107"/>
        </w:trPr>
        <w:tc>
          <w:tcPr>
            <w:tcW w:w="3931" w:type="dxa"/>
          </w:tcPr>
          <w:p w14:paraId="5E1CE91A"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Новокраматорский машзавод</w:t>
            </w:r>
          </w:p>
        </w:tc>
        <w:tc>
          <w:tcPr>
            <w:tcW w:w="3823" w:type="dxa"/>
          </w:tcPr>
          <w:p w14:paraId="16276676"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Кунгур</w:t>
            </w:r>
          </w:p>
        </w:tc>
      </w:tr>
      <w:tr w:rsidR="00643896" w:rsidRPr="00640820" w14:paraId="55AEFE7F" w14:textId="77777777" w:rsidTr="00150B39">
        <w:trPr>
          <w:gridAfter w:val="2"/>
          <w:wAfter w:w="162" w:type="dxa"/>
          <w:trHeight w:val="107"/>
        </w:trPr>
        <w:tc>
          <w:tcPr>
            <w:tcW w:w="3931" w:type="dxa"/>
          </w:tcPr>
          <w:p w14:paraId="0D3D2E06"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Новомеханический завод им. Коминтерна</w:t>
            </w:r>
          </w:p>
        </w:tc>
        <w:tc>
          <w:tcPr>
            <w:tcW w:w="3823" w:type="dxa"/>
          </w:tcPr>
          <w:p w14:paraId="7F1B4EE7"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Чусовой</w:t>
            </w:r>
          </w:p>
        </w:tc>
      </w:tr>
      <w:tr w:rsidR="00643896" w:rsidRPr="00640820" w14:paraId="1AC9D13D" w14:textId="77777777" w:rsidTr="00150B39">
        <w:trPr>
          <w:gridAfter w:val="2"/>
          <w:wAfter w:w="162" w:type="dxa"/>
          <w:trHeight w:val="107"/>
        </w:trPr>
        <w:tc>
          <w:tcPr>
            <w:tcW w:w="3931" w:type="dxa"/>
          </w:tcPr>
          <w:p w14:paraId="3566390F"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Новомосковский химический завод</w:t>
            </w:r>
          </w:p>
        </w:tc>
        <w:tc>
          <w:tcPr>
            <w:tcW w:w="3823" w:type="dxa"/>
          </w:tcPr>
          <w:p w14:paraId="2DA7D602"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Березники</w:t>
            </w:r>
          </w:p>
        </w:tc>
      </w:tr>
      <w:tr w:rsidR="00643896" w:rsidRPr="00640820" w14:paraId="734A261E" w14:textId="77777777" w:rsidTr="00150B39">
        <w:trPr>
          <w:gridAfter w:val="2"/>
          <w:wAfter w:w="162" w:type="dxa"/>
          <w:trHeight w:val="107"/>
        </w:trPr>
        <w:tc>
          <w:tcPr>
            <w:tcW w:w="3931" w:type="dxa"/>
          </w:tcPr>
          <w:p w14:paraId="4B6CC1B7"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Одесский завод им. Иванова</w:t>
            </w:r>
          </w:p>
        </w:tc>
        <w:tc>
          <w:tcPr>
            <w:tcW w:w="3823" w:type="dxa"/>
          </w:tcPr>
          <w:p w14:paraId="265057EF"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Лысьва</w:t>
            </w:r>
          </w:p>
        </w:tc>
      </w:tr>
      <w:tr w:rsidR="00643896" w:rsidRPr="00640820" w14:paraId="13AE6281" w14:textId="77777777" w:rsidTr="00150B39">
        <w:trPr>
          <w:gridAfter w:val="2"/>
          <w:wAfter w:w="162" w:type="dxa"/>
          <w:trHeight w:val="107"/>
        </w:trPr>
        <w:tc>
          <w:tcPr>
            <w:tcW w:w="3931" w:type="dxa"/>
          </w:tcPr>
          <w:p w14:paraId="7EA532DF"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Одесский сталепрокатный завод им. Дзержинского</w:t>
            </w:r>
          </w:p>
        </w:tc>
        <w:tc>
          <w:tcPr>
            <w:tcW w:w="3823" w:type="dxa"/>
          </w:tcPr>
          <w:p w14:paraId="229D9D75"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пос. Пожва</w:t>
            </w:r>
          </w:p>
        </w:tc>
      </w:tr>
      <w:tr w:rsidR="00643896" w:rsidRPr="00640820" w14:paraId="10CD1C65" w14:textId="77777777" w:rsidTr="00150B39">
        <w:trPr>
          <w:gridAfter w:val="2"/>
          <w:wAfter w:w="162" w:type="dxa"/>
          <w:trHeight w:val="107"/>
        </w:trPr>
        <w:tc>
          <w:tcPr>
            <w:tcW w:w="3931" w:type="dxa"/>
          </w:tcPr>
          <w:p w14:paraId="2405AFE7"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Одесский химический завод им. Петровского</w:t>
            </w:r>
          </w:p>
        </w:tc>
        <w:tc>
          <w:tcPr>
            <w:tcW w:w="3823" w:type="dxa"/>
          </w:tcPr>
          <w:p w14:paraId="0939FDDF"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пос. Ленва г. Березники</w:t>
            </w:r>
          </w:p>
        </w:tc>
      </w:tr>
      <w:tr w:rsidR="00643896" w:rsidRPr="00640820" w14:paraId="783A719C" w14:textId="77777777" w:rsidTr="00150B39">
        <w:trPr>
          <w:gridAfter w:val="2"/>
          <w:wAfter w:w="162" w:type="dxa"/>
          <w:trHeight w:val="107"/>
        </w:trPr>
        <w:tc>
          <w:tcPr>
            <w:tcW w:w="3931" w:type="dxa"/>
          </w:tcPr>
          <w:p w14:paraId="27C71400"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Осипенковский крекинг-завод</w:t>
            </w:r>
          </w:p>
        </w:tc>
        <w:tc>
          <w:tcPr>
            <w:tcW w:w="3823" w:type="dxa"/>
          </w:tcPr>
          <w:p w14:paraId="1B571E84"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Молотов</w:t>
            </w:r>
          </w:p>
        </w:tc>
      </w:tr>
      <w:tr w:rsidR="00643896" w:rsidRPr="00640820" w14:paraId="09827E5E" w14:textId="77777777" w:rsidTr="00150B39">
        <w:trPr>
          <w:gridAfter w:val="2"/>
          <w:wAfter w:w="162" w:type="dxa"/>
          <w:trHeight w:val="107"/>
        </w:trPr>
        <w:tc>
          <w:tcPr>
            <w:tcW w:w="3931" w:type="dxa"/>
          </w:tcPr>
          <w:p w14:paraId="75256EB2"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Павловский косно-механический завод</w:t>
            </w:r>
          </w:p>
        </w:tc>
        <w:tc>
          <w:tcPr>
            <w:tcW w:w="3823" w:type="dxa"/>
          </w:tcPr>
          <w:p w14:paraId="38149AC6"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Усолье</w:t>
            </w:r>
          </w:p>
        </w:tc>
      </w:tr>
      <w:tr w:rsidR="00643896" w:rsidRPr="00640820" w14:paraId="08E60C5F" w14:textId="77777777" w:rsidTr="00150B39">
        <w:trPr>
          <w:gridAfter w:val="2"/>
          <w:wAfter w:w="162" w:type="dxa"/>
          <w:trHeight w:val="107"/>
        </w:trPr>
        <w:tc>
          <w:tcPr>
            <w:tcW w:w="3931" w:type="dxa"/>
          </w:tcPr>
          <w:p w14:paraId="6E3686DB"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Перекопский химический завод</w:t>
            </w:r>
          </w:p>
        </w:tc>
        <w:tc>
          <w:tcPr>
            <w:tcW w:w="3823" w:type="dxa"/>
          </w:tcPr>
          <w:p w14:paraId="3CE06DEE"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Краснокамск</w:t>
            </w:r>
          </w:p>
        </w:tc>
      </w:tr>
      <w:tr w:rsidR="00643896" w:rsidRPr="00640820" w14:paraId="22A8285B" w14:textId="77777777" w:rsidTr="00150B39">
        <w:trPr>
          <w:gridAfter w:val="2"/>
          <w:wAfter w:w="162" w:type="dxa"/>
          <w:trHeight w:val="107"/>
        </w:trPr>
        <w:tc>
          <w:tcPr>
            <w:tcW w:w="3931" w:type="dxa"/>
          </w:tcPr>
          <w:p w14:paraId="7C7541DE"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Петровская алмазная экспедиция</w:t>
            </w:r>
          </w:p>
        </w:tc>
        <w:tc>
          <w:tcPr>
            <w:tcW w:w="3823" w:type="dxa"/>
          </w:tcPr>
          <w:p w14:paraId="396CEC0B"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Чусовой</w:t>
            </w:r>
          </w:p>
        </w:tc>
      </w:tr>
      <w:tr w:rsidR="00643896" w:rsidRPr="00640820" w14:paraId="7216220F" w14:textId="77777777" w:rsidTr="00150B39">
        <w:trPr>
          <w:gridAfter w:val="2"/>
          <w:wAfter w:w="162" w:type="dxa"/>
          <w:trHeight w:val="107"/>
        </w:trPr>
        <w:tc>
          <w:tcPr>
            <w:tcW w:w="3931" w:type="dxa"/>
          </w:tcPr>
          <w:p w14:paraId="2820F40A"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Повицкий судозавод</w:t>
            </w:r>
          </w:p>
        </w:tc>
        <w:tc>
          <w:tcPr>
            <w:tcW w:w="3823" w:type="dxa"/>
          </w:tcPr>
          <w:p w14:paraId="133EFA54"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Чердынь</w:t>
            </w:r>
          </w:p>
        </w:tc>
      </w:tr>
      <w:tr w:rsidR="00643896" w:rsidRPr="00640820" w14:paraId="5BFC77DB" w14:textId="77777777" w:rsidTr="00150B39">
        <w:trPr>
          <w:gridAfter w:val="2"/>
          <w:wAfter w:w="162" w:type="dxa"/>
          <w:trHeight w:val="107"/>
        </w:trPr>
        <w:tc>
          <w:tcPr>
            <w:tcW w:w="3931" w:type="dxa"/>
          </w:tcPr>
          <w:p w14:paraId="56258678"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Подольский литейно-прокатный завод</w:t>
            </w:r>
          </w:p>
        </w:tc>
        <w:tc>
          <w:tcPr>
            <w:tcW w:w="3823" w:type="dxa"/>
          </w:tcPr>
          <w:p w14:paraId="78A48E85"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Березники</w:t>
            </w:r>
          </w:p>
        </w:tc>
      </w:tr>
      <w:tr w:rsidR="00643896" w:rsidRPr="00640820" w14:paraId="0E6E9BDD" w14:textId="77777777" w:rsidTr="00150B39">
        <w:trPr>
          <w:gridAfter w:val="2"/>
          <w:wAfter w:w="162" w:type="dxa"/>
          <w:trHeight w:val="107"/>
        </w:trPr>
        <w:tc>
          <w:tcPr>
            <w:tcW w:w="3931" w:type="dxa"/>
          </w:tcPr>
          <w:p w14:paraId="7F8EE9FE"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Полотнянский завод (Смоленская обл.)</w:t>
            </w:r>
          </w:p>
        </w:tc>
        <w:tc>
          <w:tcPr>
            <w:tcW w:w="3823" w:type="dxa"/>
          </w:tcPr>
          <w:p w14:paraId="28B3A285"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Красновишерск</w:t>
            </w:r>
          </w:p>
        </w:tc>
      </w:tr>
      <w:tr w:rsidR="00643896" w:rsidRPr="00640820" w14:paraId="7EF35558" w14:textId="77777777" w:rsidTr="00150B39">
        <w:trPr>
          <w:gridAfter w:val="2"/>
          <w:wAfter w:w="162" w:type="dxa"/>
          <w:trHeight w:val="107"/>
        </w:trPr>
        <w:tc>
          <w:tcPr>
            <w:tcW w:w="3931" w:type="dxa"/>
          </w:tcPr>
          <w:p w14:paraId="445E3511"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Прядильно-трикотажная фабрика</w:t>
            </w:r>
          </w:p>
        </w:tc>
        <w:tc>
          <w:tcPr>
            <w:tcW w:w="3823" w:type="dxa"/>
          </w:tcPr>
          <w:p w14:paraId="6D26A776"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Кудымкар</w:t>
            </w:r>
          </w:p>
        </w:tc>
      </w:tr>
      <w:tr w:rsidR="00643896" w:rsidRPr="00640820" w14:paraId="345D310D" w14:textId="77777777" w:rsidTr="00150B39">
        <w:trPr>
          <w:gridAfter w:val="2"/>
          <w:wAfter w:w="162" w:type="dxa"/>
          <w:trHeight w:val="107"/>
        </w:trPr>
        <w:tc>
          <w:tcPr>
            <w:tcW w:w="3931" w:type="dxa"/>
          </w:tcPr>
          <w:p w14:paraId="581E1E5B"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Рижская швейная фабрика</w:t>
            </w:r>
          </w:p>
        </w:tc>
        <w:tc>
          <w:tcPr>
            <w:tcW w:w="3823" w:type="dxa"/>
          </w:tcPr>
          <w:p w14:paraId="167F7FF9"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Кунгур</w:t>
            </w:r>
          </w:p>
        </w:tc>
      </w:tr>
      <w:tr w:rsidR="00643896" w:rsidRPr="00640820" w14:paraId="2AA501A5" w14:textId="77777777" w:rsidTr="00150B39">
        <w:trPr>
          <w:gridAfter w:val="2"/>
          <w:wAfter w:w="162" w:type="dxa"/>
          <w:trHeight w:val="107"/>
        </w:trPr>
        <w:tc>
          <w:tcPr>
            <w:tcW w:w="3931" w:type="dxa"/>
          </w:tcPr>
          <w:p w14:paraId="762F7F09"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Ростовский пороховой завод</w:t>
            </w:r>
          </w:p>
        </w:tc>
        <w:tc>
          <w:tcPr>
            <w:tcW w:w="3823" w:type="dxa"/>
          </w:tcPr>
          <w:p w14:paraId="172968C5"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Молотов</w:t>
            </w:r>
          </w:p>
        </w:tc>
      </w:tr>
      <w:tr w:rsidR="00643896" w:rsidRPr="00640820" w14:paraId="0EAA5A71" w14:textId="77777777" w:rsidTr="00150B39">
        <w:trPr>
          <w:gridAfter w:val="2"/>
          <w:wAfter w:w="162" w:type="dxa"/>
          <w:trHeight w:val="107"/>
        </w:trPr>
        <w:tc>
          <w:tcPr>
            <w:tcW w:w="3931" w:type="dxa"/>
          </w:tcPr>
          <w:p w14:paraId="173CD3A3"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Рубежанский химический комбинат</w:t>
            </w:r>
          </w:p>
        </w:tc>
        <w:tc>
          <w:tcPr>
            <w:tcW w:w="3823" w:type="dxa"/>
          </w:tcPr>
          <w:p w14:paraId="138FCCA4"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Молотов, г. Березники</w:t>
            </w:r>
          </w:p>
        </w:tc>
      </w:tr>
      <w:tr w:rsidR="00643896" w:rsidRPr="00640820" w14:paraId="0E26138F" w14:textId="77777777" w:rsidTr="00150B39">
        <w:trPr>
          <w:gridAfter w:val="2"/>
          <w:wAfter w:w="162" w:type="dxa"/>
          <w:trHeight w:val="107"/>
        </w:trPr>
        <w:tc>
          <w:tcPr>
            <w:tcW w:w="3931" w:type="dxa"/>
          </w:tcPr>
          <w:p w14:paraId="385C50A2"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Сакский бромный завод</w:t>
            </w:r>
          </w:p>
        </w:tc>
        <w:tc>
          <w:tcPr>
            <w:tcW w:w="3823" w:type="dxa"/>
          </w:tcPr>
          <w:p w14:paraId="488E1771"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Краснокамск</w:t>
            </w:r>
          </w:p>
        </w:tc>
      </w:tr>
      <w:tr w:rsidR="00643896" w:rsidRPr="00640820" w14:paraId="5EE5C2D9" w14:textId="77777777" w:rsidTr="00150B39">
        <w:trPr>
          <w:gridAfter w:val="2"/>
          <w:wAfter w:w="162" w:type="dxa"/>
          <w:trHeight w:val="107"/>
        </w:trPr>
        <w:tc>
          <w:tcPr>
            <w:tcW w:w="3931" w:type="dxa"/>
          </w:tcPr>
          <w:p w14:paraId="65C90FB1"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Славянский химический завод «Красный химик»</w:t>
            </w:r>
          </w:p>
        </w:tc>
        <w:tc>
          <w:tcPr>
            <w:tcW w:w="3823" w:type="dxa"/>
          </w:tcPr>
          <w:p w14:paraId="6D6BE2B9"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Березники, г. Молотов</w:t>
            </w:r>
          </w:p>
        </w:tc>
      </w:tr>
      <w:tr w:rsidR="00643896" w:rsidRPr="00640820" w14:paraId="6D0AFB9E" w14:textId="77777777" w:rsidTr="00150B39">
        <w:trPr>
          <w:gridAfter w:val="2"/>
          <w:wAfter w:w="162" w:type="dxa"/>
          <w:trHeight w:val="107"/>
        </w:trPr>
        <w:tc>
          <w:tcPr>
            <w:tcW w:w="3931" w:type="dxa"/>
          </w:tcPr>
          <w:p w14:paraId="2F70F18C"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Смелянский машиностроительный завод № 2</w:t>
            </w:r>
          </w:p>
        </w:tc>
        <w:tc>
          <w:tcPr>
            <w:tcW w:w="3823" w:type="dxa"/>
          </w:tcPr>
          <w:p w14:paraId="1AEF6539"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Молотов</w:t>
            </w:r>
          </w:p>
        </w:tc>
      </w:tr>
      <w:tr w:rsidR="00643896" w:rsidRPr="00640820" w14:paraId="7D79A12D" w14:textId="77777777" w:rsidTr="00150B39">
        <w:trPr>
          <w:gridAfter w:val="2"/>
          <w:wAfter w:w="162" w:type="dxa"/>
          <w:trHeight w:val="107"/>
        </w:trPr>
        <w:tc>
          <w:tcPr>
            <w:tcW w:w="3931" w:type="dxa"/>
          </w:tcPr>
          <w:p w14:paraId="5963DA47"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Солянский завод</w:t>
            </w:r>
          </w:p>
        </w:tc>
        <w:tc>
          <w:tcPr>
            <w:tcW w:w="3823" w:type="dxa"/>
          </w:tcPr>
          <w:p w14:paraId="66B9B5A0"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Березники</w:t>
            </w:r>
          </w:p>
        </w:tc>
      </w:tr>
      <w:tr w:rsidR="00643896" w:rsidRPr="00640820" w14:paraId="3B1D0D59" w14:textId="77777777" w:rsidTr="00150B39">
        <w:trPr>
          <w:gridAfter w:val="2"/>
          <w:wAfter w:w="162" w:type="dxa"/>
          <w:trHeight w:val="107"/>
        </w:trPr>
        <w:tc>
          <w:tcPr>
            <w:tcW w:w="3931" w:type="dxa"/>
          </w:tcPr>
          <w:p w14:paraId="3E292453"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Сталиногорский азотно-туковый завод № 213</w:t>
            </w:r>
          </w:p>
        </w:tc>
        <w:tc>
          <w:tcPr>
            <w:tcW w:w="3823" w:type="dxa"/>
          </w:tcPr>
          <w:p w14:paraId="4B634A0F"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Губаха</w:t>
            </w:r>
          </w:p>
        </w:tc>
      </w:tr>
    </w:tbl>
    <w:p w14:paraId="6495D863" w14:textId="77777777" w:rsidR="000E0937" w:rsidRPr="00640820" w:rsidRDefault="000E0937" w:rsidP="00640820">
      <w:pPr>
        <w:spacing w:after="0" w:line="240" w:lineRule="auto"/>
        <w:jc w:val="both"/>
        <w:rPr>
          <w:rFonts w:ascii="Times New Roman" w:hAnsi="Times New Roman"/>
          <w:bCs/>
          <w:color w:val="000000" w:themeColor="text1"/>
          <w:sz w:val="16"/>
          <w:szCs w:val="1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931"/>
        <w:gridCol w:w="3827"/>
      </w:tblGrid>
      <w:tr w:rsidR="00643896" w:rsidRPr="00640820" w14:paraId="47C2FC0A" w14:textId="77777777" w:rsidTr="00150B39">
        <w:trPr>
          <w:trHeight w:val="94"/>
        </w:trPr>
        <w:tc>
          <w:tcPr>
            <w:tcW w:w="3931" w:type="dxa"/>
          </w:tcPr>
          <w:p w14:paraId="639B2BA0" w14:textId="77777777" w:rsidR="000E0937" w:rsidRPr="00640820" w:rsidRDefault="000E0937" w:rsidP="00640820">
            <w:pPr>
              <w:pStyle w:val="Pa11"/>
              <w:spacing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Предприятие, номер </w:t>
            </w:r>
          </w:p>
        </w:tc>
        <w:tc>
          <w:tcPr>
            <w:tcW w:w="3827" w:type="dxa"/>
          </w:tcPr>
          <w:p w14:paraId="52E574E9" w14:textId="77777777" w:rsidR="000E0937" w:rsidRPr="00640820" w:rsidRDefault="000E0937" w:rsidP="00640820">
            <w:pPr>
              <w:pStyle w:val="Pa11"/>
              <w:spacing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Место размещения </w:t>
            </w:r>
          </w:p>
        </w:tc>
      </w:tr>
      <w:tr w:rsidR="00643896" w:rsidRPr="00640820" w14:paraId="4D9E6AF2" w14:textId="77777777" w:rsidTr="00150B39">
        <w:trPr>
          <w:trHeight w:val="107"/>
        </w:trPr>
        <w:tc>
          <w:tcPr>
            <w:tcW w:w="3931" w:type="dxa"/>
          </w:tcPr>
          <w:p w14:paraId="1E4BECF8"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Сталиногорский анилинокрасочный завод </w:t>
            </w:r>
          </w:p>
        </w:tc>
        <w:tc>
          <w:tcPr>
            <w:tcW w:w="3827" w:type="dxa"/>
          </w:tcPr>
          <w:p w14:paraId="61CE97B2"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Березники </w:t>
            </w:r>
          </w:p>
        </w:tc>
      </w:tr>
      <w:tr w:rsidR="00643896" w:rsidRPr="00640820" w14:paraId="1F5464AC" w14:textId="77777777" w:rsidTr="00150B39">
        <w:trPr>
          <w:trHeight w:val="107"/>
        </w:trPr>
        <w:tc>
          <w:tcPr>
            <w:tcW w:w="3931" w:type="dxa"/>
          </w:tcPr>
          <w:p w14:paraId="5179933D"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Сталинский азотно-туковый завод </w:t>
            </w:r>
          </w:p>
        </w:tc>
        <w:tc>
          <w:tcPr>
            <w:tcW w:w="3827" w:type="dxa"/>
          </w:tcPr>
          <w:p w14:paraId="40127662"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Губаха </w:t>
            </w:r>
          </w:p>
        </w:tc>
      </w:tr>
      <w:tr w:rsidR="00643896" w:rsidRPr="00640820" w14:paraId="77BEF14D" w14:textId="77777777" w:rsidTr="00150B39">
        <w:trPr>
          <w:trHeight w:val="107"/>
        </w:trPr>
        <w:tc>
          <w:tcPr>
            <w:tcW w:w="3931" w:type="dxa"/>
          </w:tcPr>
          <w:p w14:paraId="03A6D083"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lastRenderedPageBreak/>
              <w:t xml:space="preserve">Таганрогский металлургический завод </w:t>
            </w:r>
          </w:p>
        </w:tc>
        <w:tc>
          <w:tcPr>
            <w:tcW w:w="3827" w:type="dxa"/>
          </w:tcPr>
          <w:p w14:paraId="3199E3A5"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Лысьва </w:t>
            </w:r>
          </w:p>
        </w:tc>
      </w:tr>
      <w:tr w:rsidR="00643896" w:rsidRPr="00640820" w14:paraId="4ED7EC62" w14:textId="77777777" w:rsidTr="00150B39">
        <w:trPr>
          <w:trHeight w:val="107"/>
        </w:trPr>
        <w:tc>
          <w:tcPr>
            <w:tcW w:w="3931" w:type="dxa"/>
          </w:tcPr>
          <w:p w14:paraId="733C184C"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Тамбовский кислотный завод </w:t>
            </w:r>
          </w:p>
        </w:tc>
        <w:tc>
          <w:tcPr>
            <w:tcW w:w="3827" w:type="dxa"/>
          </w:tcPr>
          <w:p w14:paraId="637D093A"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Березники </w:t>
            </w:r>
          </w:p>
        </w:tc>
      </w:tr>
      <w:tr w:rsidR="00643896" w:rsidRPr="00640820" w14:paraId="29246034" w14:textId="77777777" w:rsidTr="00150B39">
        <w:trPr>
          <w:trHeight w:val="107"/>
        </w:trPr>
        <w:tc>
          <w:tcPr>
            <w:tcW w:w="3931" w:type="dxa"/>
          </w:tcPr>
          <w:p w14:paraId="4C943E2C"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Тихвинский глиноземный завод </w:t>
            </w:r>
          </w:p>
        </w:tc>
        <w:tc>
          <w:tcPr>
            <w:tcW w:w="3827" w:type="dxa"/>
          </w:tcPr>
          <w:p w14:paraId="6E21FE44"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Соликамск </w:t>
            </w:r>
          </w:p>
        </w:tc>
      </w:tr>
      <w:tr w:rsidR="00643896" w:rsidRPr="00640820" w14:paraId="1AADE0D8" w14:textId="77777777" w:rsidTr="00150B39">
        <w:trPr>
          <w:trHeight w:val="107"/>
        </w:trPr>
        <w:tc>
          <w:tcPr>
            <w:tcW w:w="3931" w:type="dxa"/>
          </w:tcPr>
          <w:p w14:paraId="738B7B23"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Торецкий завод горного машиностроения </w:t>
            </w:r>
          </w:p>
        </w:tc>
        <w:tc>
          <w:tcPr>
            <w:tcW w:w="3827" w:type="dxa"/>
          </w:tcPr>
          <w:p w14:paraId="48FFDC29"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Александровск </w:t>
            </w:r>
          </w:p>
        </w:tc>
      </w:tr>
      <w:tr w:rsidR="00643896" w:rsidRPr="00640820" w14:paraId="50905682" w14:textId="77777777" w:rsidTr="00150B39">
        <w:trPr>
          <w:trHeight w:val="107"/>
        </w:trPr>
        <w:tc>
          <w:tcPr>
            <w:tcW w:w="3931" w:type="dxa"/>
          </w:tcPr>
          <w:p w14:paraId="1B97910B"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Троицкая бумажная фабрика (Смоленская обл.) </w:t>
            </w:r>
          </w:p>
        </w:tc>
        <w:tc>
          <w:tcPr>
            <w:tcW w:w="3827" w:type="dxa"/>
          </w:tcPr>
          <w:p w14:paraId="20A40CEB"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Красновишерск </w:t>
            </w:r>
          </w:p>
        </w:tc>
      </w:tr>
      <w:tr w:rsidR="00643896" w:rsidRPr="00640820" w14:paraId="6280A037" w14:textId="77777777" w:rsidTr="00150B39">
        <w:trPr>
          <w:trHeight w:val="107"/>
        </w:trPr>
        <w:tc>
          <w:tcPr>
            <w:tcW w:w="3931" w:type="dxa"/>
          </w:tcPr>
          <w:p w14:paraId="4C538979"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Туапсинский машиностроительный завод № 183 </w:t>
            </w:r>
          </w:p>
        </w:tc>
        <w:tc>
          <w:tcPr>
            <w:tcW w:w="3827" w:type="dxa"/>
          </w:tcPr>
          <w:p w14:paraId="3BCDD567"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Кунгур </w:t>
            </w:r>
          </w:p>
        </w:tc>
      </w:tr>
      <w:tr w:rsidR="00643896" w:rsidRPr="00640820" w14:paraId="7A2823CA" w14:textId="77777777" w:rsidTr="00150B39">
        <w:trPr>
          <w:trHeight w:val="107"/>
        </w:trPr>
        <w:tc>
          <w:tcPr>
            <w:tcW w:w="3931" w:type="dxa"/>
          </w:tcPr>
          <w:p w14:paraId="7B8F48FA"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Тульский завод № 38 </w:t>
            </w:r>
          </w:p>
        </w:tc>
        <w:tc>
          <w:tcPr>
            <w:tcW w:w="3827" w:type="dxa"/>
          </w:tcPr>
          <w:p w14:paraId="42EF8758"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Нытва </w:t>
            </w:r>
          </w:p>
        </w:tc>
      </w:tr>
      <w:tr w:rsidR="00643896" w:rsidRPr="00640820" w14:paraId="7778C402" w14:textId="77777777" w:rsidTr="00150B39">
        <w:trPr>
          <w:trHeight w:val="107"/>
        </w:trPr>
        <w:tc>
          <w:tcPr>
            <w:tcW w:w="3931" w:type="dxa"/>
          </w:tcPr>
          <w:p w14:paraId="70F20101"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Тульский завод № 66 </w:t>
            </w:r>
          </w:p>
        </w:tc>
        <w:tc>
          <w:tcPr>
            <w:tcW w:w="3827" w:type="dxa"/>
          </w:tcPr>
          <w:p w14:paraId="0F1D70B0"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Молотов </w:t>
            </w:r>
          </w:p>
        </w:tc>
      </w:tr>
      <w:tr w:rsidR="00643896" w:rsidRPr="00640820" w14:paraId="26FA1E1C" w14:textId="77777777" w:rsidTr="00150B39">
        <w:trPr>
          <w:trHeight w:val="107"/>
        </w:trPr>
        <w:tc>
          <w:tcPr>
            <w:tcW w:w="3931" w:type="dxa"/>
          </w:tcPr>
          <w:p w14:paraId="6F048A24"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Тульский чугунолитейный завод </w:t>
            </w:r>
          </w:p>
        </w:tc>
        <w:tc>
          <w:tcPr>
            <w:tcW w:w="3827" w:type="dxa"/>
          </w:tcPr>
          <w:p w14:paraId="1C348C61"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Чусовой </w:t>
            </w:r>
          </w:p>
        </w:tc>
      </w:tr>
      <w:tr w:rsidR="00643896" w:rsidRPr="00640820" w14:paraId="5CAA3DC6" w14:textId="77777777" w:rsidTr="00150B39">
        <w:trPr>
          <w:trHeight w:val="107"/>
        </w:trPr>
        <w:tc>
          <w:tcPr>
            <w:tcW w:w="3931" w:type="dxa"/>
          </w:tcPr>
          <w:p w14:paraId="6461ECD7"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Уральская алмазная экспедиция </w:t>
            </w:r>
          </w:p>
        </w:tc>
        <w:tc>
          <w:tcPr>
            <w:tcW w:w="3827" w:type="dxa"/>
          </w:tcPr>
          <w:p w14:paraId="1BC7D7B0"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Чусовой </w:t>
            </w:r>
          </w:p>
        </w:tc>
      </w:tr>
      <w:tr w:rsidR="00643896" w:rsidRPr="00640820" w14:paraId="773D2D3C" w14:textId="77777777" w:rsidTr="00150B39">
        <w:trPr>
          <w:trHeight w:val="107"/>
        </w:trPr>
        <w:tc>
          <w:tcPr>
            <w:tcW w:w="3931" w:type="dxa"/>
          </w:tcPr>
          <w:p w14:paraId="0A10AFAC"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Харьковская автотракторная колонна УВВР-10 </w:t>
            </w:r>
          </w:p>
        </w:tc>
        <w:tc>
          <w:tcPr>
            <w:tcW w:w="3827" w:type="dxa"/>
          </w:tcPr>
          <w:p w14:paraId="3D300BB0"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Молотов </w:t>
            </w:r>
          </w:p>
        </w:tc>
      </w:tr>
      <w:tr w:rsidR="00643896" w:rsidRPr="00640820" w14:paraId="22D79044" w14:textId="77777777" w:rsidTr="00150B39">
        <w:trPr>
          <w:trHeight w:val="107"/>
        </w:trPr>
        <w:tc>
          <w:tcPr>
            <w:tcW w:w="3931" w:type="dxa"/>
          </w:tcPr>
          <w:p w14:paraId="00FD4FE3"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Харьковский авиационный завод № 135 </w:t>
            </w:r>
          </w:p>
        </w:tc>
        <w:tc>
          <w:tcPr>
            <w:tcW w:w="3827" w:type="dxa"/>
          </w:tcPr>
          <w:p w14:paraId="10EE58F6"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Молотов </w:t>
            </w:r>
          </w:p>
        </w:tc>
      </w:tr>
      <w:tr w:rsidR="00643896" w:rsidRPr="00640820" w14:paraId="370F2A13" w14:textId="77777777" w:rsidTr="00150B39">
        <w:trPr>
          <w:trHeight w:val="207"/>
        </w:trPr>
        <w:tc>
          <w:tcPr>
            <w:tcW w:w="3931" w:type="dxa"/>
          </w:tcPr>
          <w:p w14:paraId="42C636D7"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Харьковский завод «Гидропривод» </w:t>
            </w:r>
          </w:p>
        </w:tc>
        <w:tc>
          <w:tcPr>
            <w:tcW w:w="3827" w:type="dxa"/>
          </w:tcPr>
          <w:p w14:paraId="4932A5CB"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пос. Луньевка Кизеловского (ныне - Алексан</w:t>
            </w:r>
            <w:r w:rsidRPr="00640820">
              <w:rPr>
                <w:color w:val="000000" w:themeColor="text1"/>
                <w:sz w:val="16"/>
                <w:szCs w:val="16"/>
              </w:rPr>
              <w:softHyphen/>
              <w:t xml:space="preserve">дровского) района </w:t>
            </w:r>
          </w:p>
        </w:tc>
      </w:tr>
      <w:tr w:rsidR="00643896" w:rsidRPr="00640820" w14:paraId="2AF82AAB" w14:textId="77777777" w:rsidTr="00150B39">
        <w:trPr>
          <w:trHeight w:val="107"/>
        </w:trPr>
        <w:tc>
          <w:tcPr>
            <w:tcW w:w="3931" w:type="dxa"/>
          </w:tcPr>
          <w:p w14:paraId="5BCDDFC3"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Харьковский завод «Механолит» </w:t>
            </w:r>
          </w:p>
        </w:tc>
        <w:tc>
          <w:tcPr>
            <w:tcW w:w="3827" w:type="dxa"/>
          </w:tcPr>
          <w:p w14:paraId="040E12E9"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Молотов </w:t>
            </w:r>
          </w:p>
        </w:tc>
      </w:tr>
      <w:tr w:rsidR="00643896" w:rsidRPr="00640820" w14:paraId="020DE31B" w14:textId="77777777" w:rsidTr="00150B39">
        <w:trPr>
          <w:trHeight w:val="107"/>
        </w:trPr>
        <w:tc>
          <w:tcPr>
            <w:tcW w:w="3931" w:type="dxa"/>
          </w:tcPr>
          <w:p w14:paraId="0D89BA8A"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Харьковский завод № 2 </w:t>
            </w:r>
          </w:p>
        </w:tc>
        <w:tc>
          <w:tcPr>
            <w:tcW w:w="3827" w:type="dxa"/>
          </w:tcPr>
          <w:p w14:paraId="77C6007E"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Молотов </w:t>
            </w:r>
          </w:p>
        </w:tc>
      </w:tr>
      <w:tr w:rsidR="00643896" w:rsidRPr="00640820" w14:paraId="4011934F" w14:textId="77777777" w:rsidTr="00150B39">
        <w:trPr>
          <w:trHeight w:val="107"/>
        </w:trPr>
        <w:tc>
          <w:tcPr>
            <w:tcW w:w="3931" w:type="dxa"/>
          </w:tcPr>
          <w:p w14:paraId="69CE23B3"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Харьковский завод № 14 </w:t>
            </w:r>
          </w:p>
        </w:tc>
        <w:tc>
          <w:tcPr>
            <w:tcW w:w="3827" w:type="dxa"/>
          </w:tcPr>
          <w:p w14:paraId="243C8045"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Молотов </w:t>
            </w:r>
          </w:p>
        </w:tc>
      </w:tr>
      <w:tr w:rsidR="00643896" w:rsidRPr="00640820" w14:paraId="01333031" w14:textId="77777777" w:rsidTr="00150B39">
        <w:trPr>
          <w:trHeight w:val="107"/>
        </w:trPr>
        <w:tc>
          <w:tcPr>
            <w:tcW w:w="3931" w:type="dxa"/>
          </w:tcPr>
          <w:p w14:paraId="7D4D1909"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Харьковский завод № 237 </w:t>
            </w:r>
          </w:p>
        </w:tc>
        <w:tc>
          <w:tcPr>
            <w:tcW w:w="3827" w:type="dxa"/>
          </w:tcPr>
          <w:p w14:paraId="11C65839"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Березники </w:t>
            </w:r>
          </w:p>
        </w:tc>
      </w:tr>
      <w:tr w:rsidR="00643896" w:rsidRPr="00640820" w14:paraId="3365FDCD" w14:textId="77777777" w:rsidTr="00150B39">
        <w:trPr>
          <w:trHeight w:val="107"/>
        </w:trPr>
        <w:tc>
          <w:tcPr>
            <w:tcW w:w="3931" w:type="dxa"/>
          </w:tcPr>
          <w:p w14:paraId="23CC8518"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Харьковский завод № 450 </w:t>
            </w:r>
          </w:p>
        </w:tc>
        <w:tc>
          <w:tcPr>
            <w:tcW w:w="3827" w:type="dxa"/>
          </w:tcPr>
          <w:p w14:paraId="781AB385"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Молотов </w:t>
            </w:r>
          </w:p>
        </w:tc>
      </w:tr>
      <w:tr w:rsidR="00643896" w:rsidRPr="00640820" w14:paraId="7B2DC2B2" w14:textId="77777777" w:rsidTr="00150B39">
        <w:trPr>
          <w:trHeight w:val="107"/>
        </w:trPr>
        <w:tc>
          <w:tcPr>
            <w:tcW w:w="3931" w:type="dxa"/>
          </w:tcPr>
          <w:p w14:paraId="6AC662BC"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Харьковский завод № 480 </w:t>
            </w:r>
          </w:p>
        </w:tc>
        <w:tc>
          <w:tcPr>
            <w:tcW w:w="3827" w:type="dxa"/>
          </w:tcPr>
          <w:p w14:paraId="57C6A827"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Молотов </w:t>
            </w:r>
          </w:p>
        </w:tc>
      </w:tr>
      <w:tr w:rsidR="00643896" w:rsidRPr="00640820" w14:paraId="5DA384E6" w14:textId="77777777" w:rsidTr="00150B39">
        <w:trPr>
          <w:trHeight w:val="107"/>
        </w:trPr>
        <w:tc>
          <w:tcPr>
            <w:tcW w:w="3931" w:type="dxa"/>
          </w:tcPr>
          <w:p w14:paraId="25932166"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Харьковский завод № 648 </w:t>
            </w:r>
          </w:p>
        </w:tc>
        <w:tc>
          <w:tcPr>
            <w:tcW w:w="3827" w:type="dxa"/>
          </w:tcPr>
          <w:p w14:paraId="18750DEA"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Чернушка </w:t>
            </w:r>
          </w:p>
        </w:tc>
      </w:tr>
      <w:tr w:rsidR="00643896" w:rsidRPr="00640820" w14:paraId="681E9318" w14:textId="77777777" w:rsidTr="00150B39">
        <w:trPr>
          <w:trHeight w:val="107"/>
        </w:trPr>
        <w:tc>
          <w:tcPr>
            <w:tcW w:w="3931" w:type="dxa"/>
          </w:tcPr>
          <w:p w14:paraId="652E62EA"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Харьковский фюзеляжный завод «Серп и молот» </w:t>
            </w:r>
          </w:p>
        </w:tc>
        <w:tc>
          <w:tcPr>
            <w:tcW w:w="3827" w:type="dxa"/>
          </w:tcPr>
          <w:p w14:paraId="3F959269"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Молотов </w:t>
            </w:r>
          </w:p>
        </w:tc>
      </w:tr>
      <w:tr w:rsidR="00643896" w:rsidRPr="00640820" w14:paraId="413158B9" w14:textId="77777777" w:rsidTr="00150B39">
        <w:trPr>
          <w:trHeight w:val="107"/>
        </w:trPr>
        <w:tc>
          <w:tcPr>
            <w:tcW w:w="3931" w:type="dxa"/>
          </w:tcPr>
          <w:p w14:paraId="77FDEE76"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Щелковский химический завод </w:t>
            </w:r>
          </w:p>
        </w:tc>
        <w:tc>
          <w:tcPr>
            <w:tcW w:w="3827" w:type="dxa"/>
          </w:tcPr>
          <w:p w14:paraId="63B2108A"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Молотов </w:t>
            </w:r>
          </w:p>
        </w:tc>
      </w:tr>
      <w:tr w:rsidR="00643896" w:rsidRPr="00640820" w14:paraId="78149D7D" w14:textId="77777777" w:rsidTr="00150B39">
        <w:trPr>
          <w:trHeight w:val="107"/>
        </w:trPr>
        <w:tc>
          <w:tcPr>
            <w:tcW w:w="3931" w:type="dxa"/>
          </w:tcPr>
          <w:p w14:paraId="1D257BD7"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Электростальский химический завод № 103 </w:t>
            </w:r>
          </w:p>
        </w:tc>
        <w:tc>
          <w:tcPr>
            <w:tcW w:w="3827" w:type="dxa"/>
          </w:tcPr>
          <w:p w14:paraId="420C9749"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Молотов </w:t>
            </w:r>
          </w:p>
        </w:tc>
      </w:tr>
      <w:tr w:rsidR="00643896" w:rsidRPr="00640820" w14:paraId="104E50FB" w14:textId="77777777" w:rsidTr="00150B39">
        <w:trPr>
          <w:trHeight w:val="107"/>
        </w:trPr>
        <w:tc>
          <w:tcPr>
            <w:tcW w:w="3931" w:type="dxa"/>
          </w:tcPr>
          <w:p w14:paraId="49EAB9AC"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Элистинский бумажный комбинат </w:t>
            </w:r>
          </w:p>
        </w:tc>
        <w:tc>
          <w:tcPr>
            <w:tcW w:w="3827" w:type="dxa"/>
          </w:tcPr>
          <w:p w14:paraId="4CE1DFAA"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Соликамск </w:t>
            </w:r>
          </w:p>
        </w:tc>
      </w:tr>
      <w:tr w:rsidR="00643896" w:rsidRPr="00640820" w14:paraId="43CB7A34" w14:textId="77777777" w:rsidTr="00150B39">
        <w:trPr>
          <w:trHeight w:val="110"/>
        </w:trPr>
        <w:tc>
          <w:tcPr>
            <w:tcW w:w="7758" w:type="dxa"/>
            <w:gridSpan w:val="2"/>
          </w:tcPr>
          <w:p w14:paraId="278566F5" w14:textId="77777777" w:rsidR="000E0937" w:rsidRPr="00640820" w:rsidRDefault="000E0937" w:rsidP="00640820">
            <w:pPr>
              <w:pStyle w:val="Pa1"/>
              <w:spacing w:line="240" w:lineRule="auto"/>
              <w:jc w:val="both"/>
              <w:rPr>
                <w:rFonts w:ascii="Times New Roman" w:hAnsi="Times New Roman"/>
                <w:color w:val="000000" w:themeColor="text1"/>
                <w:sz w:val="16"/>
                <w:szCs w:val="16"/>
              </w:rPr>
            </w:pPr>
            <w:r w:rsidRPr="00640820">
              <w:rPr>
                <w:rFonts w:ascii="Times New Roman" w:hAnsi="Times New Roman"/>
                <w:bCs/>
                <w:color w:val="000000" w:themeColor="text1"/>
                <w:sz w:val="16"/>
                <w:szCs w:val="16"/>
              </w:rPr>
              <w:t xml:space="preserve">Научно-исследовательские и конструкторские коллективы </w:t>
            </w:r>
          </w:p>
        </w:tc>
      </w:tr>
      <w:tr w:rsidR="00643896" w:rsidRPr="00640820" w14:paraId="7C82E2AA" w14:textId="77777777" w:rsidTr="00150B39">
        <w:trPr>
          <w:trHeight w:val="107"/>
        </w:trPr>
        <w:tc>
          <w:tcPr>
            <w:tcW w:w="3931" w:type="dxa"/>
          </w:tcPr>
          <w:p w14:paraId="701BF561"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КБ А. А. Микулина </w:t>
            </w:r>
          </w:p>
        </w:tc>
        <w:tc>
          <w:tcPr>
            <w:tcW w:w="3827" w:type="dxa"/>
          </w:tcPr>
          <w:p w14:paraId="7BA177EE"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Молотов </w:t>
            </w:r>
          </w:p>
        </w:tc>
      </w:tr>
      <w:tr w:rsidR="00643896" w:rsidRPr="00640820" w14:paraId="35A34992" w14:textId="77777777" w:rsidTr="00150B39">
        <w:trPr>
          <w:trHeight w:val="107"/>
        </w:trPr>
        <w:tc>
          <w:tcPr>
            <w:tcW w:w="3931" w:type="dxa"/>
          </w:tcPr>
          <w:p w14:paraId="443E81AD"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КБ под руководством Свойкина из 1-го ГПИ </w:t>
            </w:r>
          </w:p>
        </w:tc>
        <w:tc>
          <w:tcPr>
            <w:tcW w:w="3827" w:type="dxa"/>
          </w:tcPr>
          <w:p w14:paraId="2D01B5AC"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Молотов </w:t>
            </w:r>
          </w:p>
        </w:tc>
      </w:tr>
      <w:tr w:rsidR="00643896" w:rsidRPr="00640820" w14:paraId="0C50A9F3" w14:textId="77777777" w:rsidTr="00150B39">
        <w:trPr>
          <w:trHeight w:val="107"/>
        </w:trPr>
        <w:tc>
          <w:tcPr>
            <w:tcW w:w="3931" w:type="dxa"/>
          </w:tcPr>
          <w:p w14:paraId="544A47D2"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НИИ-13 </w:t>
            </w:r>
          </w:p>
        </w:tc>
        <w:tc>
          <w:tcPr>
            <w:tcW w:w="3827" w:type="dxa"/>
          </w:tcPr>
          <w:p w14:paraId="40B21EB4"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Молотов </w:t>
            </w:r>
          </w:p>
        </w:tc>
      </w:tr>
      <w:tr w:rsidR="00643896" w:rsidRPr="00640820" w14:paraId="73480863" w14:textId="77777777" w:rsidTr="00150B39">
        <w:trPr>
          <w:trHeight w:val="107"/>
        </w:trPr>
        <w:tc>
          <w:tcPr>
            <w:tcW w:w="3931" w:type="dxa"/>
          </w:tcPr>
          <w:p w14:paraId="0D94787E"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НИИ-26 </w:t>
            </w:r>
          </w:p>
        </w:tc>
        <w:tc>
          <w:tcPr>
            <w:tcW w:w="3827" w:type="dxa"/>
          </w:tcPr>
          <w:p w14:paraId="13DF2981"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Молотов </w:t>
            </w:r>
          </w:p>
        </w:tc>
      </w:tr>
      <w:tr w:rsidR="00643896" w:rsidRPr="00640820" w14:paraId="2155CF5F" w14:textId="77777777" w:rsidTr="00150B39">
        <w:trPr>
          <w:trHeight w:val="107"/>
        </w:trPr>
        <w:tc>
          <w:tcPr>
            <w:tcW w:w="3931" w:type="dxa"/>
          </w:tcPr>
          <w:p w14:paraId="2D76A598"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ОКБ-16 </w:t>
            </w:r>
          </w:p>
        </w:tc>
        <w:tc>
          <w:tcPr>
            <w:tcW w:w="3827" w:type="dxa"/>
          </w:tcPr>
          <w:p w14:paraId="3BBB73CA"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Нытва </w:t>
            </w:r>
          </w:p>
        </w:tc>
      </w:tr>
      <w:tr w:rsidR="00643896" w:rsidRPr="00640820" w14:paraId="17C6B4DF" w14:textId="77777777" w:rsidTr="00150B39">
        <w:trPr>
          <w:trHeight w:val="107"/>
        </w:trPr>
        <w:tc>
          <w:tcPr>
            <w:tcW w:w="3931" w:type="dxa"/>
          </w:tcPr>
          <w:p w14:paraId="740131D2"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ОКБ-33 </w:t>
            </w:r>
          </w:p>
        </w:tc>
        <w:tc>
          <w:tcPr>
            <w:tcW w:w="3827" w:type="dxa"/>
          </w:tcPr>
          <w:p w14:paraId="6CE13BF9"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Молотов </w:t>
            </w:r>
          </w:p>
        </w:tc>
      </w:tr>
      <w:tr w:rsidR="00643896" w:rsidRPr="00640820" w14:paraId="0A6F4E99" w14:textId="77777777" w:rsidTr="00150B39">
        <w:trPr>
          <w:trHeight w:val="107"/>
        </w:trPr>
        <w:tc>
          <w:tcPr>
            <w:tcW w:w="3931" w:type="dxa"/>
          </w:tcPr>
          <w:p w14:paraId="3D159AC4"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ОКБ-172 </w:t>
            </w:r>
          </w:p>
        </w:tc>
        <w:tc>
          <w:tcPr>
            <w:tcW w:w="3827" w:type="dxa"/>
          </w:tcPr>
          <w:p w14:paraId="00DF1D2F"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Молотов </w:t>
            </w:r>
          </w:p>
        </w:tc>
      </w:tr>
      <w:tr w:rsidR="00643896" w:rsidRPr="00640820" w14:paraId="473578AD" w14:textId="77777777" w:rsidTr="00150B39">
        <w:trPr>
          <w:trHeight w:val="107"/>
        </w:trPr>
        <w:tc>
          <w:tcPr>
            <w:tcW w:w="3931" w:type="dxa"/>
          </w:tcPr>
          <w:p w14:paraId="6B26F1BD"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ОТБ НКВД </w:t>
            </w:r>
          </w:p>
        </w:tc>
        <w:tc>
          <w:tcPr>
            <w:tcW w:w="3827" w:type="dxa"/>
          </w:tcPr>
          <w:p w14:paraId="5014C0CE"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Молотов </w:t>
            </w:r>
          </w:p>
        </w:tc>
      </w:tr>
      <w:tr w:rsidR="00643896" w:rsidRPr="00640820" w14:paraId="1316BEFB" w14:textId="77777777" w:rsidTr="00150B39">
        <w:trPr>
          <w:trHeight w:val="107"/>
        </w:trPr>
        <w:tc>
          <w:tcPr>
            <w:tcW w:w="3931" w:type="dxa"/>
          </w:tcPr>
          <w:p w14:paraId="69635684"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Проектный институт «Гипроалюминий» </w:t>
            </w:r>
          </w:p>
        </w:tc>
        <w:tc>
          <w:tcPr>
            <w:tcW w:w="3827" w:type="dxa"/>
          </w:tcPr>
          <w:p w14:paraId="22FB05B5"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г. Березники </w:t>
            </w:r>
          </w:p>
        </w:tc>
      </w:tr>
      <w:tr w:rsidR="00643896" w:rsidRPr="00640820" w14:paraId="1FF96124" w14:textId="77777777" w:rsidTr="00150B39">
        <w:trPr>
          <w:trHeight w:val="107"/>
        </w:trPr>
        <w:tc>
          <w:tcPr>
            <w:tcW w:w="3931" w:type="dxa"/>
          </w:tcPr>
          <w:p w14:paraId="6AA96EEF"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 xml:space="preserve">Проектный институт «Теплоэлектропроект» </w:t>
            </w:r>
          </w:p>
        </w:tc>
        <w:tc>
          <w:tcPr>
            <w:tcW w:w="3827" w:type="dxa"/>
          </w:tcPr>
          <w:p w14:paraId="0111B92B" w14:textId="77777777" w:rsidR="000E0937" w:rsidRPr="00640820" w:rsidRDefault="000E0937" w:rsidP="00640820">
            <w:pPr>
              <w:pStyle w:val="Pa2"/>
              <w:spacing w:line="240" w:lineRule="auto"/>
              <w:jc w:val="both"/>
              <w:rPr>
                <w:color w:val="000000" w:themeColor="text1"/>
                <w:sz w:val="16"/>
                <w:szCs w:val="16"/>
              </w:rPr>
            </w:pPr>
            <w:r w:rsidRPr="00640820">
              <w:rPr>
                <w:color w:val="000000" w:themeColor="text1"/>
                <w:sz w:val="16"/>
                <w:szCs w:val="16"/>
              </w:rPr>
              <w:t>г. Молотов</w:t>
            </w:r>
          </w:p>
        </w:tc>
      </w:tr>
    </w:tbl>
    <w:p w14:paraId="3D107699" w14:textId="77777777" w:rsidR="000E0937" w:rsidRPr="00640820" w:rsidRDefault="000E0937" w:rsidP="00640820">
      <w:pPr>
        <w:spacing w:after="0" w:line="240" w:lineRule="auto"/>
        <w:jc w:val="both"/>
        <w:rPr>
          <w:rFonts w:ascii="Times New Roman" w:hAnsi="Times New Roman"/>
          <w:bCs/>
          <w:color w:val="000000" w:themeColor="text1"/>
          <w:sz w:val="16"/>
          <w:szCs w:val="16"/>
        </w:rPr>
      </w:pPr>
      <w:r w:rsidRPr="00640820">
        <w:rPr>
          <w:rFonts w:ascii="Times New Roman" w:hAnsi="Times New Roman"/>
          <w:color w:val="000000" w:themeColor="text1"/>
          <w:sz w:val="16"/>
          <w:szCs w:val="16"/>
        </w:rPr>
        <w:t>Приложение составлено на основании списка, опубликованного в книге «Урал ковал победу» (Челябинск, 1993. С. 265–270)</w:t>
      </w:r>
    </w:p>
    <w:p w14:paraId="3BA2ACBA" w14:textId="77777777" w:rsidR="000E0937" w:rsidRPr="00640820" w:rsidRDefault="000E0937" w:rsidP="00640820">
      <w:pPr>
        <w:spacing w:after="0" w:line="240" w:lineRule="auto"/>
        <w:jc w:val="both"/>
        <w:rPr>
          <w:rFonts w:ascii="Times New Roman" w:hAnsi="Times New Roman"/>
          <w:bCs/>
          <w:color w:val="000000" w:themeColor="text1"/>
          <w:sz w:val="16"/>
          <w:szCs w:val="16"/>
        </w:rPr>
      </w:pPr>
    </w:p>
    <w:p w14:paraId="6AC93555" w14:textId="77777777" w:rsidR="00D114F3" w:rsidRPr="00640820" w:rsidRDefault="00D114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w:t>
      </w:r>
    </w:p>
    <w:p w14:paraId="440FEEF2" w14:textId="77777777" w:rsidR="00D114F3" w:rsidRPr="00640820" w:rsidRDefault="00D114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СПИСОК ПРЕДПРИЯТИЙ ОБЛАСТНОГО ПОДЧИНЕНИЯ, ДЕЙСТВОВАВШИХ В ТОМСКЕ В 1941-1945 ГГ</w:t>
      </w:r>
    </w:p>
    <w:tbl>
      <w:tblPr>
        <w:tblStyle w:val="afffff2"/>
        <w:tblW w:w="0" w:type="auto"/>
        <w:tblLook w:val="04A0" w:firstRow="1" w:lastRow="0" w:firstColumn="1" w:lastColumn="0" w:noHBand="0" w:noVBand="1"/>
      </w:tblPr>
      <w:tblGrid>
        <w:gridCol w:w="3626"/>
        <w:gridCol w:w="3626"/>
      </w:tblGrid>
      <w:tr w:rsidR="00643896" w:rsidRPr="00640820" w14:paraId="645BBAF1" w14:textId="77777777" w:rsidTr="00FA2FD1">
        <w:tc>
          <w:tcPr>
            <w:tcW w:w="3626" w:type="dxa"/>
          </w:tcPr>
          <w:p w14:paraId="324E9780"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Наименование</w:t>
            </w:r>
          </w:p>
        </w:tc>
        <w:tc>
          <w:tcPr>
            <w:tcW w:w="3626" w:type="dxa"/>
          </w:tcPr>
          <w:p w14:paraId="0C16DE53"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Гражданское или современное название</w:t>
            </w:r>
          </w:p>
        </w:tc>
      </w:tr>
      <w:tr w:rsidR="00643896" w:rsidRPr="00640820" w14:paraId="36C38C01" w14:textId="77777777" w:rsidTr="00FA2FD1">
        <w:tc>
          <w:tcPr>
            <w:tcW w:w="3626" w:type="dxa"/>
          </w:tcPr>
          <w:p w14:paraId="2E1F9082"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Автобаза</w:t>
            </w:r>
          </w:p>
        </w:tc>
        <w:tc>
          <w:tcPr>
            <w:tcW w:w="3626" w:type="dxa"/>
          </w:tcPr>
          <w:p w14:paraId="0BF7A6B8"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 xml:space="preserve"> — </w:t>
            </w:r>
          </w:p>
        </w:tc>
      </w:tr>
      <w:tr w:rsidR="00643896" w:rsidRPr="00640820" w14:paraId="5D5E6AB1" w14:textId="77777777" w:rsidTr="00FA2FD1">
        <w:tc>
          <w:tcPr>
            <w:tcW w:w="3626" w:type="dxa"/>
          </w:tcPr>
          <w:p w14:paraId="06DECDD2"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Вагонное депо Томск-2</w:t>
            </w:r>
          </w:p>
        </w:tc>
        <w:tc>
          <w:tcPr>
            <w:tcW w:w="3626" w:type="dxa"/>
          </w:tcPr>
          <w:p w14:paraId="2C8AA165"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 xml:space="preserve"> — </w:t>
            </w:r>
          </w:p>
        </w:tc>
      </w:tr>
      <w:tr w:rsidR="00643896" w:rsidRPr="00640820" w14:paraId="7609D31B" w14:textId="77777777" w:rsidTr="00FA2FD1">
        <w:tc>
          <w:tcPr>
            <w:tcW w:w="3626" w:type="dxa"/>
          </w:tcPr>
          <w:p w14:paraId="0A3001B0"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Воскозавод</w:t>
            </w:r>
          </w:p>
        </w:tc>
        <w:tc>
          <w:tcPr>
            <w:tcW w:w="3626" w:type="dxa"/>
          </w:tcPr>
          <w:p w14:paraId="6EBD7A4D"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 xml:space="preserve"> — </w:t>
            </w:r>
          </w:p>
        </w:tc>
      </w:tr>
      <w:tr w:rsidR="00643896" w:rsidRPr="00640820" w14:paraId="3AF67BAC" w14:textId="77777777" w:rsidTr="00FA2FD1">
        <w:tc>
          <w:tcPr>
            <w:tcW w:w="3626" w:type="dxa"/>
          </w:tcPr>
          <w:p w14:paraId="71F4ABD1"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Гортопкомбинат</w:t>
            </w:r>
          </w:p>
        </w:tc>
        <w:tc>
          <w:tcPr>
            <w:tcW w:w="3626" w:type="dxa"/>
          </w:tcPr>
          <w:p w14:paraId="52705840"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 xml:space="preserve"> — </w:t>
            </w:r>
          </w:p>
        </w:tc>
      </w:tr>
      <w:tr w:rsidR="00643896" w:rsidRPr="00640820" w14:paraId="62F9F355" w14:textId="77777777" w:rsidTr="00FA2FD1">
        <w:tc>
          <w:tcPr>
            <w:tcW w:w="3626" w:type="dxa"/>
          </w:tcPr>
          <w:p w14:paraId="1CF348F5"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Дрожзавод</w:t>
            </w:r>
          </w:p>
        </w:tc>
        <w:tc>
          <w:tcPr>
            <w:tcW w:w="3626" w:type="dxa"/>
          </w:tcPr>
          <w:p w14:paraId="3C429FD1"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 xml:space="preserve"> Томский дрожзавод</w:t>
            </w:r>
          </w:p>
        </w:tc>
      </w:tr>
      <w:tr w:rsidR="00643896" w:rsidRPr="00640820" w14:paraId="4C5321CC" w14:textId="77777777" w:rsidTr="00FA2FD1">
        <w:tc>
          <w:tcPr>
            <w:tcW w:w="3626" w:type="dxa"/>
          </w:tcPr>
          <w:p w14:paraId="29F8FEFD"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Завод металлоизделий</w:t>
            </w:r>
          </w:p>
        </w:tc>
        <w:tc>
          <w:tcPr>
            <w:tcW w:w="3626" w:type="dxa"/>
          </w:tcPr>
          <w:p w14:paraId="505AF418"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Весовой завод (из завода «Металлист»)</w:t>
            </w:r>
          </w:p>
        </w:tc>
      </w:tr>
      <w:tr w:rsidR="00643896" w:rsidRPr="00640820" w14:paraId="780062CE" w14:textId="77777777" w:rsidTr="00FA2FD1">
        <w:tc>
          <w:tcPr>
            <w:tcW w:w="3626" w:type="dxa"/>
          </w:tcPr>
          <w:p w14:paraId="2C446A39"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Завод «Республика»</w:t>
            </w:r>
          </w:p>
        </w:tc>
        <w:tc>
          <w:tcPr>
            <w:tcW w:w="3626" w:type="dxa"/>
          </w:tcPr>
          <w:p w14:paraId="57ABE1C0"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 xml:space="preserve"> — </w:t>
            </w:r>
          </w:p>
        </w:tc>
      </w:tr>
      <w:tr w:rsidR="00643896" w:rsidRPr="00640820" w14:paraId="6CBAE33F" w14:textId="77777777" w:rsidTr="00FA2FD1">
        <w:tc>
          <w:tcPr>
            <w:tcW w:w="3626" w:type="dxa"/>
          </w:tcPr>
          <w:p w14:paraId="41DB73CB"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ИТК №1</w:t>
            </w:r>
          </w:p>
        </w:tc>
        <w:tc>
          <w:tcPr>
            <w:tcW w:w="3626" w:type="dxa"/>
          </w:tcPr>
          <w:p w14:paraId="1AF60F6F"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 xml:space="preserve"> — </w:t>
            </w:r>
          </w:p>
        </w:tc>
      </w:tr>
      <w:tr w:rsidR="00643896" w:rsidRPr="00640820" w14:paraId="0BE7C70E" w14:textId="77777777" w:rsidTr="00FA2FD1">
        <w:tc>
          <w:tcPr>
            <w:tcW w:w="3626" w:type="dxa"/>
          </w:tcPr>
          <w:p w14:paraId="58ACE47E"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ИТК №2</w:t>
            </w:r>
          </w:p>
        </w:tc>
        <w:tc>
          <w:tcPr>
            <w:tcW w:w="3626" w:type="dxa"/>
          </w:tcPr>
          <w:p w14:paraId="7BC6924E"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 xml:space="preserve"> — </w:t>
            </w:r>
          </w:p>
        </w:tc>
      </w:tr>
      <w:tr w:rsidR="00643896" w:rsidRPr="00640820" w14:paraId="5682D5F0" w14:textId="77777777" w:rsidTr="00FA2FD1">
        <w:tc>
          <w:tcPr>
            <w:tcW w:w="3626" w:type="dxa"/>
          </w:tcPr>
          <w:p w14:paraId="55CC1C5B"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ИТК №3</w:t>
            </w:r>
          </w:p>
        </w:tc>
        <w:tc>
          <w:tcPr>
            <w:tcW w:w="3626" w:type="dxa"/>
          </w:tcPr>
          <w:p w14:paraId="1268B8B6"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 xml:space="preserve"> — </w:t>
            </w:r>
          </w:p>
        </w:tc>
      </w:tr>
      <w:tr w:rsidR="00643896" w:rsidRPr="00640820" w14:paraId="5A0C3F67" w14:textId="77777777" w:rsidTr="00FA2FD1">
        <w:tc>
          <w:tcPr>
            <w:tcW w:w="3626" w:type="dxa"/>
          </w:tcPr>
          <w:p w14:paraId="74563E63"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ИТК №5</w:t>
            </w:r>
          </w:p>
        </w:tc>
        <w:tc>
          <w:tcPr>
            <w:tcW w:w="3626" w:type="dxa"/>
          </w:tcPr>
          <w:p w14:paraId="2BA452E1"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 xml:space="preserve"> – </w:t>
            </w:r>
          </w:p>
        </w:tc>
      </w:tr>
      <w:tr w:rsidR="00643896" w:rsidRPr="00640820" w14:paraId="52DCD940" w14:textId="77777777" w:rsidTr="00FA2FD1">
        <w:tc>
          <w:tcPr>
            <w:tcW w:w="3626" w:type="dxa"/>
          </w:tcPr>
          <w:p w14:paraId="22E93F11"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ИТК №6</w:t>
            </w:r>
          </w:p>
        </w:tc>
        <w:tc>
          <w:tcPr>
            <w:tcW w:w="3626" w:type="dxa"/>
          </w:tcPr>
          <w:p w14:paraId="6925312F"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 xml:space="preserve"> — </w:t>
            </w:r>
          </w:p>
        </w:tc>
      </w:tr>
      <w:tr w:rsidR="00643896" w:rsidRPr="00640820" w14:paraId="3ED9FFC6" w14:textId="77777777" w:rsidTr="00FA2FD1">
        <w:tc>
          <w:tcPr>
            <w:tcW w:w="3626" w:type="dxa"/>
          </w:tcPr>
          <w:p w14:paraId="7D874BC8"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Обувная мастерская</w:t>
            </w:r>
          </w:p>
        </w:tc>
        <w:tc>
          <w:tcPr>
            <w:tcW w:w="3626" w:type="dxa"/>
          </w:tcPr>
          <w:p w14:paraId="4A732833"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 xml:space="preserve"> — </w:t>
            </w:r>
          </w:p>
        </w:tc>
      </w:tr>
      <w:tr w:rsidR="00643896" w:rsidRPr="00640820" w14:paraId="6AA73997" w14:textId="77777777" w:rsidTr="00FA2FD1">
        <w:tc>
          <w:tcPr>
            <w:tcW w:w="3626" w:type="dxa"/>
          </w:tcPr>
          <w:p w14:paraId="4C362133"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Пивоваренный завод</w:t>
            </w:r>
          </w:p>
        </w:tc>
        <w:tc>
          <w:tcPr>
            <w:tcW w:w="3626" w:type="dxa"/>
          </w:tcPr>
          <w:p w14:paraId="53A48C4D"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ОАО «Томское пиво»</w:t>
            </w:r>
          </w:p>
        </w:tc>
      </w:tr>
      <w:tr w:rsidR="00643896" w:rsidRPr="00640820" w14:paraId="5BFDF9D5" w14:textId="77777777" w:rsidTr="00FA2FD1">
        <w:tc>
          <w:tcPr>
            <w:tcW w:w="3626" w:type="dxa"/>
          </w:tcPr>
          <w:p w14:paraId="2C594AF8"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Погрузконтора</w:t>
            </w:r>
          </w:p>
        </w:tc>
        <w:tc>
          <w:tcPr>
            <w:tcW w:w="3626" w:type="dxa"/>
          </w:tcPr>
          <w:p w14:paraId="789DE242"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 xml:space="preserve"> — </w:t>
            </w:r>
          </w:p>
        </w:tc>
      </w:tr>
      <w:tr w:rsidR="00643896" w:rsidRPr="00640820" w14:paraId="679D60A0" w14:textId="77777777" w:rsidTr="00FA2FD1">
        <w:tc>
          <w:tcPr>
            <w:tcW w:w="3626" w:type="dxa"/>
          </w:tcPr>
          <w:p w14:paraId="396643F6"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Рыбзавод</w:t>
            </w:r>
          </w:p>
        </w:tc>
        <w:tc>
          <w:tcPr>
            <w:tcW w:w="3626" w:type="dxa"/>
          </w:tcPr>
          <w:p w14:paraId="2349F735"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 xml:space="preserve"> Томский рыбозавод</w:t>
            </w:r>
          </w:p>
        </w:tc>
      </w:tr>
      <w:tr w:rsidR="00643896" w:rsidRPr="00640820" w14:paraId="21BEF4B0" w14:textId="77777777" w:rsidTr="00FA2FD1">
        <w:tc>
          <w:tcPr>
            <w:tcW w:w="3626" w:type="dxa"/>
          </w:tcPr>
          <w:p w14:paraId="1B90D90E"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Таробондарный завод</w:t>
            </w:r>
          </w:p>
        </w:tc>
        <w:tc>
          <w:tcPr>
            <w:tcW w:w="3626" w:type="dxa"/>
          </w:tcPr>
          <w:p w14:paraId="1EE3BC63"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 xml:space="preserve"> — </w:t>
            </w:r>
          </w:p>
        </w:tc>
      </w:tr>
      <w:tr w:rsidR="00643896" w:rsidRPr="00640820" w14:paraId="2D19535D" w14:textId="77777777" w:rsidTr="00FA2FD1">
        <w:tc>
          <w:tcPr>
            <w:tcW w:w="3626" w:type="dxa"/>
          </w:tcPr>
          <w:p w14:paraId="35BDCBCB"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Типография «Красное знамя»</w:t>
            </w:r>
          </w:p>
        </w:tc>
        <w:tc>
          <w:tcPr>
            <w:tcW w:w="3626" w:type="dxa"/>
          </w:tcPr>
          <w:p w14:paraId="4D400C01"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 xml:space="preserve"> — </w:t>
            </w:r>
          </w:p>
        </w:tc>
      </w:tr>
      <w:tr w:rsidR="00643896" w:rsidRPr="00640820" w14:paraId="7163B0B0" w14:textId="77777777" w:rsidTr="00FA2FD1">
        <w:tc>
          <w:tcPr>
            <w:tcW w:w="3626" w:type="dxa"/>
          </w:tcPr>
          <w:p w14:paraId="3F9FD7D3"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Трест «Томскпромстрой»</w:t>
            </w:r>
          </w:p>
        </w:tc>
        <w:tc>
          <w:tcPr>
            <w:tcW w:w="3626" w:type="dxa"/>
          </w:tcPr>
          <w:p w14:paraId="7227869A"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 xml:space="preserve"> — </w:t>
            </w:r>
          </w:p>
        </w:tc>
      </w:tr>
      <w:tr w:rsidR="00643896" w:rsidRPr="00640820" w14:paraId="263A6AC0" w14:textId="77777777" w:rsidTr="00FA2FD1">
        <w:tc>
          <w:tcPr>
            <w:tcW w:w="3626" w:type="dxa"/>
          </w:tcPr>
          <w:p w14:paraId="187E3BC3"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ТЭЦ (ГЭС, ГРЭС-2)</w:t>
            </w:r>
          </w:p>
        </w:tc>
        <w:tc>
          <w:tcPr>
            <w:tcW w:w="3626" w:type="dxa"/>
          </w:tcPr>
          <w:p w14:paraId="3DC76A01"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 xml:space="preserve"> — </w:t>
            </w:r>
          </w:p>
        </w:tc>
      </w:tr>
      <w:tr w:rsidR="00643896" w:rsidRPr="00640820" w14:paraId="03985727" w14:textId="77777777" w:rsidTr="00FA2FD1">
        <w:tc>
          <w:tcPr>
            <w:tcW w:w="3626" w:type="dxa"/>
          </w:tcPr>
          <w:p w14:paraId="2A1E1F0B"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Фабрика «Красная звезда»</w:t>
            </w:r>
          </w:p>
        </w:tc>
        <w:tc>
          <w:tcPr>
            <w:tcW w:w="3626" w:type="dxa"/>
          </w:tcPr>
          <w:p w14:paraId="6099B3EC"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 xml:space="preserve">ОАО «Томская кондитерская фабрика «Красная звезда» </w:t>
            </w:r>
          </w:p>
        </w:tc>
      </w:tr>
      <w:tr w:rsidR="00643896" w:rsidRPr="00640820" w14:paraId="09F90EFB" w14:textId="77777777" w:rsidTr="00FA2FD1">
        <w:tc>
          <w:tcPr>
            <w:tcW w:w="3626" w:type="dxa"/>
          </w:tcPr>
          <w:p w14:paraId="065434A9"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Швейная фабрика №5</w:t>
            </w:r>
          </w:p>
        </w:tc>
        <w:tc>
          <w:tcPr>
            <w:tcW w:w="3626" w:type="dxa"/>
          </w:tcPr>
          <w:p w14:paraId="6774E16D"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 xml:space="preserve"> — </w:t>
            </w:r>
          </w:p>
        </w:tc>
      </w:tr>
      <w:tr w:rsidR="00643896" w:rsidRPr="00640820" w14:paraId="117DC744" w14:textId="77777777" w:rsidTr="00FA2FD1">
        <w:tc>
          <w:tcPr>
            <w:tcW w:w="3626" w:type="dxa"/>
          </w:tcPr>
          <w:p w14:paraId="32C07ABE"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Швейная мастерская №8</w:t>
            </w:r>
          </w:p>
        </w:tc>
        <w:tc>
          <w:tcPr>
            <w:tcW w:w="3626" w:type="dxa"/>
          </w:tcPr>
          <w:p w14:paraId="1D319069"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 xml:space="preserve"> — </w:t>
            </w:r>
          </w:p>
        </w:tc>
      </w:tr>
      <w:tr w:rsidR="00643896" w:rsidRPr="00640820" w14:paraId="1FCB2664" w14:textId="77777777" w:rsidTr="00FA2FD1">
        <w:tc>
          <w:tcPr>
            <w:tcW w:w="3626" w:type="dxa"/>
          </w:tcPr>
          <w:p w14:paraId="21523B3F"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Детдом №16</w:t>
            </w:r>
          </w:p>
        </w:tc>
        <w:tc>
          <w:tcPr>
            <w:tcW w:w="3626" w:type="dxa"/>
          </w:tcPr>
          <w:p w14:paraId="6AB7948F"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 xml:space="preserve"> — </w:t>
            </w:r>
          </w:p>
        </w:tc>
      </w:tr>
      <w:tr w:rsidR="00643896" w:rsidRPr="00640820" w14:paraId="58AB7E87" w14:textId="77777777" w:rsidTr="00FA2FD1">
        <w:tc>
          <w:tcPr>
            <w:tcW w:w="3626" w:type="dxa"/>
          </w:tcPr>
          <w:p w14:paraId="4F8C8825"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Комбинат подсобных производств</w:t>
            </w:r>
          </w:p>
        </w:tc>
        <w:tc>
          <w:tcPr>
            <w:tcW w:w="3626" w:type="dxa"/>
          </w:tcPr>
          <w:p w14:paraId="5D4FC7A9"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 xml:space="preserve"> — </w:t>
            </w:r>
          </w:p>
        </w:tc>
      </w:tr>
      <w:tr w:rsidR="00643896" w:rsidRPr="00640820" w14:paraId="05F3C5CF" w14:textId="77777777" w:rsidTr="00FA2FD1">
        <w:tc>
          <w:tcPr>
            <w:tcW w:w="3626" w:type="dxa"/>
          </w:tcPr>
          <w:p w14:paraId="4621DC9B"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ст. Томск 1</w:t>
            </w:r>
          </w:p>
        </w:tc>
        <w:tc>
          <w:tcPr>
            <w:tcW w:w="3626" w:type="dxa"/>
          </w:tcPr>
          <w:p w14:paraId="1C18FECD"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РАО «РЖД»</w:t>
            </w:r>
          </w:p>
        </w:tc>
      </w:tr>
      <w:tr w:rsidR="00643896" w:rsidRPr="00640820" w14:paraId="503D933B" w14:textId="77777777" w:rsidTr="00FA2FD1">
        <w:tc>
          <w:tcPr>
            <w:tcW w:w="3626" w:type="dxa"/>
          </w:tcPr>
          <w:p w14:paraId="73F846AD"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ст. Томск 2 (включая мастерские связи)</w:t>
            </w:r>
          </w:p>
        </w:tc>
        <w:tc>
          <w:tcPr>
            <w:tcW w:w="3626" w:type="dxa"/>
          </w:tcPr>
          <w:p w14:paraId="16BC48B2"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 xml:space="preserve">РАО «РЖД» </w:t>
            </w:r>
          </w:p>
        </w:tc>
      </w:tr>
      <w:tr w:rsidR="00643896" w:rsidRPr="00640820" w14:paraId="47876250" w14:textId="77777777" w:rsidTr="00FA2FD1">
        <w:tc>
          <w:tcPr>
            <w:tcW w:w="3626" w:type="dxa"/>
          </w:tcPr>
          <w:p w14:paraId="65460B9C"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Пристань Томск</w:t>
            </w:r>
          </w:p>
        </w:tc>
        <w:tc>
          <w:tcPr>
            <w:tcW w:w="3626" w:type="dxa"/>
          </w:tcPr>
          <w:p w14:paraId="4B383CF5"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ОАО «Томская судоходная компания»</w:t>
            </w:r>
          </w:p>
        </w:tc>
      </w:tr>
      <w:tr w:rsidR="00643896" w:rsidRPr="00640820" w14:paraId="1325AAA0" w14:textId="77777777" w:rsidTr="00FA2FD1">
        <w:tc>
          <w:tcPr>
            <w:tcW w:w="3626" w:type="dxa"/>
          </w:tcPr>
          <w:p w14:paraId="2FD372B3"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Томская городская контора связи</w:t>
            </w:r>
          </w:p>
        </w:tc>
        <w:tc>
          <w:tcPr>
            <w:tcW w:w="3626" w:type="dxa"/>
          </w:tcPr>
          <w:p w14:paraId="5DE41C7C"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 xml:space="preserve"> ФГУП «Почта России»</w:t>
            </w:r>
          </w:p>
        </w:tc>
      </w:tr>
      <w:tr w:rsidR="00643896" w:rsidRPr="00640820" w14:paraId="189D649E" w14:textId="77777777" w:rsidTr="00FA2FD1">
        <w:tc>
          <w:tcPr>
            <w:tcW w:w="3626" w:type="dxa"/>
          </w:tcPr>
          <w:p w14:paraId="270F6CFB"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Моряковский судоремонтный завод</w:t>
            </w:r>
          </w:p>
        </w:tc>
        <w:tc>
          <w:tcPr>
            <w:tcW w:w="3626" w:type="dxa"/>
          </w:tcPr>
          <w:p w14:paraId="15D49D25"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 xml:space="preserve"> — </w:t>
            </w:r>
          </w:p>
        </w:tc>
      </w:tr>
      <w:tr w:rsidR="00643896" w:rsidRPr="00640820" w14:paraId="6B4C38D9" w14:textId="77777777" w:rsidTr="00FA2FD1">
        <w:tc>
          <w:tcPr>
            <w:tcW w:w="3626" w:type="dxa"/>
          </w:tcPr>
          <w:p w14:paraId="6929C282"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Самусьский судоремонтный завод</w:t>
            </w:r>
          </w:p>
        </w:tc>
        <w:tc>
          <w:tcPr>
            <w:tcW w:w="3626" w:type="dxa"/>
          </w:tcPr>
          <w:p w14:paraId="0217EF83" w14:textId="77777777" w:rsidR="00D114F3" w:rsidRPr="00640820" w:rsidRDefault="00D114F3" w:rsidP="00640820">
            <w:pPr>
              <w:spacing w:after="0" w:line="240" w:lineRule="auto"/>
              <w:jc w:val="both"/>
              <w:rPr>
                <w:color w:val="000000" w:themeColor="text1"/>
                <w:sz w:val="16"/>
                <w:szCs w:val="16"/>
              </w:rPr>
            </w:pPr>
            <w:r w:rsidRPr="00640820">
              <w:rPr>
                <w:color w:val="000000" w:themeColor="text1"/>
                <w:sz w:val="16"/>
                <w:szCs w:val="16"/>
              </w:rPr>
              <w:t xml:space="preserve"> — </w:t>
            </w:r>
          </w:p>
        </w:tc>
      </w:tr>
    </w:tbl>
    <w:p w14:paraId="662DC8E1" w14:textId="77777777" w:rsidR="00D114F3" w:rsidRPr="00640820" w:rsidRDefault="00D114F3"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Основание: ЦДНИ ТО. Ф. 80. Оп.3. Д. 165. Л. 7, 23; Д. 419. Л. 24; Д. 98. Л. 36. (названия номерных заводов даны по состоянию на 1942 год) (19700).</w:t>
      </w:r>
    </w:p>
    <w:p w14:paraId="05804DD0" w14:textId="77777777" w:rsidR="00D114F3" w:rsidRPr="00640820" w:rsidRDefault="00D114F3" w:rsidP="00640820">
      <w:pPr>
        <w:spacing w:after="0" w:line="240" w:lineRule="auto"/>
        <w:jc w:val="both"/>
        <w:rPr>
          <w:rFonts w:ascii="Times New Roman" w:hAnsi="Times New Roman"/>
          <w:color w:val="000000" w:themeColor="text1"/>
          <w:sz w:val="16"/>
          <w:szCs w:val="16"/>
        </w:rPr>
      </w:pPr>
    </w:p>
    <w:p w14:paraId="2635D18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был создан Завод № 386 НКВ, НКБ, п/я 5, ФГУП «Новосибирский механический завод «Искра» Росбоеприпаса /630013  г. Новосибирск ул. Чекалина, 8/, Устав предприятия утвержден 29.04.1942 г. Выпускал боеприпасы. В 12.1942 г. - в ведении 6ГУ НКБ, был в 11.1943 г. Имел наименование «п/я 5».</w:t>
      </w:r>
    </w:p>
    <w:p w14:paraId="79B3B4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1960-е  г.- в ведении Управления точного машиностроения Западно-Сибирского совнархоза.</w:t>
      </w:r>
    </w:p>
    <w:p w14:paraId="7E2292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Производство (2004 г.): капсюли-воспламенители для патронов, средства инициирования взрывов; промышленные взрывчатые вещества для горнорудной промышленности, строительства и обработки металлов; охотничьи патроны; ТНП.</w:t>
      </w:r>
    </w:p>
    <w:p w14:paraId="0F5102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По Указу Президента РФ № 1009 от 4.08.2004 г. вошел в число стратегических оборонных предприятий. В 12.2008-01.2009 г. завод был остановлен, штат сокращен на 160 чел.</w:t>
      </w:r>
    </w:p>
    <w:p w14:paraId="31D2439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Численность персонала (12.1942 г.)- 551 чел.,</w:t>
      </w:r>
      <w:r w:rsidRPr="00640820">
        <w:rPr>
          <w:rFonts w:ascii="Times New Roman" w:hAnsi="Times New Roman"/>
          <w:color w:val="000000" w:themeColor="text1"/>
          <w:sz w:val="16"/>
          <w:szCs w:val="16"/>
          <w:vertAlign w:val="superscript"/>
        </w:rPr>
        <w:t>135</w:t>
      </w:r>
      <w:r w:rsidRPr="00640820">
        <w:rPr>
          <w:rFonts w:ascii="Times New Roman" w:hAnsi="Times New Roman"/>
          <w:color w:val="000000" w:themeColor="text1"/>
          <w:sz w:val="16"/>
          <w:szCs w:val="16"/>
        </w:rPr>
        <w:t xml:space="preserve"> (2004 г.)- 2500 чел.</w:t>
      </w:r>
    </w:p>
    <w:p w14:paraId="6A77450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(11.1943 г.)- Барский. Гендиректор (2004-07 г.-)- А. Г. Неклюдов (11982).</w:t>
      </w:r>
    </w:p>
    <w:p w14:paraId="7CA0FE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74036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было организовано КБ завода № 189 НКСП. Были организованы отделы: корпусный, механический, электротехнический.</w:t>
      </w:r>
    </w:p>
    <w:p w14:paraId="058557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Первыми работами стали: разработка документации для ремонта кораблей и разработка приспособлений для производства на заводе снарядов - артиллерийских и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 разработка проекта транспортного дока для эвакуации из Ленинграда недостроенных кораблей; проектирование разборных понтонов для переправы танков через Неву. Проектирование сухогрузных барж (1941 г.).</w:t>
      </w:r>
      <w:r w:rsidRPr="00640820">
        <w:rPr>
          <w:rFonts w:ascii="Times New Roman" w:hAnsi="Times New Roman"/>
          <w:color w:val="000000" w:themeColor="text1"/>
          <w:sz w:val="16"/>
          <w:szCs w:val="16"/>
          <w:vertAlign w:val="superscript"/>
        </w:rPr>
        <w:t>6</w:t>
      </w:r>
      <w:r w:rsidRPr="00640820">
        <w:rPr>
          <w:rFonts w:ascii="Times New Roman" w:hAnsi="Times New Roman"/>
          <w:color w:val="000000" w:themeColor="text1"/>
          <w:sz w:val="16"/>
          <w:szCs w:val="16"/>
        </w:rPr>
        <w:t>' В 1942 г. разработан проект подвижной электростанции для сборочного производства барж в бухте Гольсмана. В 1943 г. доработан проект ЦКБ-51 тральщика пр. 253.</w:t>
      </w:r>
    </w:p>
    <w:p w14:paraId="677A07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1945(6) г. на базе КБ создано самостоятельное ЦКБ-50 по проектированию специализированных кораблей (тральщиков, десантных).</w:t>
      </w:r>
    </w:p>
    <w:p w14:paraId="4F7B3F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(07.1941-43 г.-)- С.А. Базютевский.</w:t>
      </w:r>
    </w:p>
    <w:p w14:paraId="463C40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 (07.1941-43 г.-)- С.А. Базилевский.</w:t>
      </w:r>
    </w:p>
    <w:p w14:paraId="108B6E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конструкторы: (1945 г.)- А. Г. Соколов (пр. 255), В.И. Блинов (пр. 255).</w:t>
      </w:r>
    </w:p>
    <w:p w14:paraId="5014F2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отделов: корпусного (1941 г.-)- Я.А. Копержинский; механического (1941 г.-)- М.Ш. Шифрин; электротехнического (1941 г.-)- А.Я. Барсуков; (1943 г.)- Н.Д. Агафонов, (1943 г.)- П.Н. Кочеров, (1943 г.)- М.Д. Кошелев.</w:t>
      </w:r>
    </w:p>
    <w:p w14:paraId="4EB530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Ведущие конструкторы: (1942 г.)- Н.А. Агафонов, (1942 г.)- К.И. Кононов, (1942 г.)- М.Д. Кошелев.</w:t>
      </w:r>
    </w:p>
    <w:p w14:paraId="1808AA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Создано: тральщики: малые пр. 253Л (МТ-1) (1943), МТ-2 (1944), рейдовый пр. 255 (1945); дизельный ледокол «Москва» пр. 21900 (совместно с «Балтсудопроектом», 2000-е) (11982).</w:t>
      </w:r>
    </w:p>
    <w:p w14:paraId="1F7ABF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313E4DC" w14:textId="77777777" w:rsidR="00646706" w:rsidRPr="00640820" w:rsidRDefault="00646706"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лаборатория № 12 ЦАГИ спроектировала и построила экспериментальный катер «ССК» (Специальный скоростной катер) на подводных крыльях. Осенью 1942 г. катер прошел предварительные ходовые испытания на Волге в г. Казани. При весе 1380 кг с моторами мощностью 56 л. с. катер во время испытаний полностью выходил на крылья и развивал скорость до 75 км/ч. Катер имел три крыла: одно в носу и два на корме. Специальный механизм автоматической регулировки угла атаки крыльев обеспечил катеру хорошую вертикальную, поперечную и продольную устойчивость. Движение катера с полной скоростью при ветровой волне в 0.3 м проходило совершенно спокойно, без толчков и ударов, характерных для глиссирующих катеров в подобных условиях. В 1943 г. испытания были продолжены на Химкинском водохранилище в Москве с катером, имеющим мотор М-11 мощностью 110 л. с. Скорость доходила до 90 км/ч, что почти на 40% больше, чем у того же катера без подводных крыльев. За счет специального управления появилась возможность совершать крутые развороты на больших скоростях. Таким образом, впервые удалось решить проблему обеспечения устойчивости движения на подводных крыльях и был поставлен вопрос о создании в ЦКБ-32 под руководством ЦАГИ боевого катера на подводных крыльях. Эти работы продолжились уже в послевоенный период (19727).</w:t>
      </w:r>
    </w:p>
    <w:p w14:paraId="6D3F94D3" w14:textId="77777777" w:rsidR="00646706" w:rsidRPr="00640820" w:rsidRDefault="00646706" w:rsidP="00640820">
      <w:pPr>
        <w:spacing w:after="0" w:line="240" w:lineRule="auto"/>
        <w:jc w:val="both"/>
        <w:rPr>
          <w:rFonts w:ascii="Times New Roman" w:hAnsi="Times New Roman"/>
          <w:color w:val="000000" w:themeColor="text1"/>
          <w:sz w:val="16"/>
          <w:szCs w:val="16"/>
        </w:rPr>
      </w:pPr>
    </w:p>
    <w:p w14:paraId="3B3D58BD"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Армия:</w:t>
      </w:r>
    </w:p>
    <w:p w14:paraId="3B822EB1"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C46029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Динамика боевых потерь штурмовиков Ил-2, Ил-10 ВВС РККА в 1941-45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643896" w:rsidRPr="00640820" w14:paraId="751EF614" w14:textId="77777777" w:rsidTr="000D3BCB">
        <w:tc>
          <w:tcPr>
            <w:tcW w:w="1601" w:type="dxa"/>
            <w:tcBorders>
              <w:top w:val="single" w:sz="12" w:space="0" w:color="auto"/>
            </w:tcBorders>
          </w:tcPr>
          <w:p w14:paraId="74DDF6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Виды потерь</w:t>
            </w:r>
          </w:p>
        </w:tc>
        <w:tc>
          <w:tcPr>
            <w:tcW w:w="1601" w:type="dxa"/>
            <w:tcBorders>
              <w:top w:val="single" w:sz="12" w:space="0" w:color="auto"/>
            </w:tcBorders>
          </w:tcPr>
          <w:p w14:paraId="02468DA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1941</w:t>
            </w:r>
          </w:p>
        </w:tc>
        <w:tc>
          <w:tcPr>
            <w:tcW w:w="1601" w:type="dxa"/>
            <w:tcBorders>
              <w:top w:val="single" w:sz="12" w:space="0" w:color="auto"/>
            </w:tcBorders>
          </w:tcPr>
          <w:p w14:paraId="67B605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1942</w:t>
            </w:r>
          </w:p>
        </w:tc>
        <w:tc>
          <w:tcPr>
            <w:tcW w:w="1601" w:type="dxa"/>
            <w:tcBorders>
              <w:top w:val="single" w:sz="12" w:space="0" w:color="auto"/>
            </w:tcBorders>
          </w:tcPr>
          <w:p w14:paraId="4CF94A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1943</w:t>
            </w:r>
          </w:p>
        </w:tc>
        <w:tc>
          <w:tcPr>
            <w:tcW w:w="1601" w:type="dxa"/>
            <w:tcBorders>
              <w:top w:val="single" w:sz="12" w:space="0" w:color="auto"/>
            </w:tcBorders>
          </w:tcPr>
          <w:p w14:paraId="12B6C4C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1944</w:t>
            </w:r>
          </w:p>
        </w:tc>
        <w:tc>
          <w:tcPr>
            <w:tcW w:w="1601" w:type="dxa"/>
            <w:tcBorders>
              <w:top w:val="single" w:sz="12" w:space="0" w:color="auto"/>
            </w:tcBorders>
          </w:tcPr>
          <w:p w14:paraId="08A701C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1945</w:t>
            </w:r>
          </w:p>
        </w:tc>
        <w:tc>
          <w:tcPr>
            <w:tcW w:w="1601" w:type="dxa"/>
            <w:tcBorders>
              <w:top w:val="single" w:sz="12" w:space="0" w:color="auto"/>
            </w:tcBorders>
          </w:tcPr>
          <w:p w14:paraId="09FAC9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Всего</w:t>
            </w:r>
          </w:p>
        </w:tc>
      </w:tr>
      <w:tr w:rsidR="00643896" w:rsidRPr="00640820" w14:paraId="2A1E948E" w14:textId="77777777" w:rsidTr="000D3BCB">
        <w:tc>
          <w:tcPr>
            <w:tcW w:w="1601" w:type="dxa"/>
          </w:tcPr>
          <w:p w14:paraId="3FD352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Сбито в воздушных боях</w:t>
            </w:r>
          </w:p>
        </w:tc>
        <w:tc>
          <w:tcPr>
            <w:tcW w:w="1601" w:type="dxa"/>
          </w:tcPr>
          <w:p w14:paraId="290F09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47</w:t>
            </w:r>
          </w:p>
        </w:tc>
        <w:tc>
          <w:tcPr>
            <w:tcW w:w="1601" w:type="dxa"/>
          </w:tcPr>
          <w:p w14:paraId="40E3BA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169</w:t>
            </w:r>
          </w:p>
        </w:tc>
        <w:tc>
          <w:tcPr>
            <w:tcW w:w="1601" w:type="dxa"/>
          </w:tcPr>
          <w:p w14:paraId="7B69C1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1090</w:t>
            </w:r>
          </w:p>
        </w:tc>
        <w:tc>
          <w:tcPr>
            <w:tcW w:w="1601" w:type="dxa"/>
          </w:tcPr>
          <w:p w14:paraId="23233A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882</w:t>
            </w:r>
          </w:p>
        </w:tc>
        <w:tc>
          <w:tcPr>
            <w:tcW w:w="1601" w:type="dxa"/>
          </w:tcPr>
          <w:p w14:paraId="198531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369</w:t>
            </w:r>
          </w:p>
        </w:tc>
        <w:tc>
          <w:tcPr>
            <w:tcW w:w="1601" w:type="dxa"/>
          </w:tcPr>
          <w:p w14:paraId="25D652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2557</w:t>
            </w:r>
          </w:p>
        </w:tc>
      </w:tr>
      <w:tr w:rsidR="00643896" w:rsidRPr="00640820" w14:paraId="312F03E2" w14:textId="77777777" w:rsidTr="000D3BCB">
        <w:tc>
          <w:tcPr>
            <w:tcW w:w="1601" w:type="dxa"/>
          </w:tcPr>
          <w:p w14:paraId="7235D8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Сбито огнем зенитной артиллерии</w:t>
            </w:r>
          </w:p>
        </w:tc>
        <w:tc>
          <w:tcPr>
            <w:tcW w:w="1601" w:type="dxa"/>
          </w:tcPr>
          <w:p w14:paraId="16C3CE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101</w:t>
            </w:r>
          </w:p>
        </w:tc>
        <w:tc>
          <w:tcPr>
            <w:tcW w:w="1601" w:type="dxa"/>
          </w:tcPr>
          <w:p w14:paraId="70D16D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203</w:t>
            </w:r>
          </w:p>
        </w:tc>
        <w:tc>
          <w:tcPr>
            <w:tcW w:w="1601" w:type="dxa"/>
          </w:tcPr>
          <w:p w14:paraId="2D582B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1468</w:t>
            </w:r>
          </w:p>
        </w:tc>
        <w:tc>
          <w:tcPr>
            <w:tcW w:w="1601" w:type="dxa"/>
          </w:tcPr>
          <w:p w14:paraId="2A9A05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1859</w:t>
            </w:r>
          </w:p>
        </w:tc>
        <w:tc>
          <w:tcPr>
            <w:tcW w:w="1601" w:type="dxa"/>
          </w:tcPr>
          <w:p w14:paraId="71D6C5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1048</w:t>
            </w:r>
          </w:p>
        </w:tc>
        <w:tc>
          <w:tcPr>
            <w:tcW w:w="1601" w:type="dxa"/>
          </w:tcPr>
          <w:p w14:paraId="577150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4679</w:t>
            </w:r>
          </w:p>
        </w:tc>
      </w:tr>
      <w:tr w:rsidR="00643896" w:rsidRPr="00640820" w14:paraId="705D0AE9" w14:textId="77777777" w:rsidTr="000D3BCB">
        <w:tc>
          <w:tcPr>
            <w:tcW w:w="1601" w:type="dxa"/>
          </w:tcPr>
          <w:p w14:paraId="73B4D5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Уничтожено на аэродромах</w:t>
            </w:r>
          </w:p>
        </w:tc>
        <w:tc>
          <w:tcPr>
            <w:tcW w:w="1601" w:type="dxa"/>
          </w:tcPr>
          <w:p w14:paraId="7B681A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w:t>
            </w:r>
          </w:p>
        </w:tc>
        <w:tc>
          <w:tcPr>
            <w:tcW w:w="1601" w:type="dxa"/>
          </w:tcPr>
          <w:p w14:paraId="63C31DE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w:t>
            </w:r>
          </w:p>
        </w:tc>
        <w:tc>
          <w:tcPr>
            <w:tcW w:w="1601" w:type="dxa"/>
          </w:tcPr>
          <w:p w14:paraId="4F5E0F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40</w:t>
            </w:r>
          </w:p>
        </w:tc>
        <w:tc>
          <w:tcPr>
            <w:tcW w:w="1601" w:type="dxa"/>
          </w:tcPr>
          <w:p w14:paraId="668504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34</w:t>
            </w:r>
          </w:p>
        </w:tc>
        <w:tc>
          <w:tcPr>
            <w:tcW w:w="1601" w:type="dxa"/>
          </w:tcPr>
          <w:p w14:paraId="180D77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w:t>
            </w:r>
          </w:p>
        </w:tc>
        <w:tc>
          <w:tcPr>
            <w:tcW w:w="1601" w:type="dxa"/>
          </w:tcPr>
          <w:p w14:paraId="57A502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109</w:t>
            </w:r>
          </w:p>
        </w:tc>
      </w:tr>
      <w:tr w:rsidR="00643896" w:rsidRPr="00640820" w14:paraId="5C9C734E" w14:textId="77777777" w:rsidTr="000D3BCB">
        <w:tc>
          <w:tcPr>
            <w:tcW w:w="1601" w:type="dxa"/>
          </w:tcPr>
          <w:p w14:paraId="3C7891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 вернулось с боевого задания</w:t>
            </w:r>
          </w:p>
        </w:tc>
        <w:tc>
          <w:tcPr>
            <w:tcW w:w="1601" w:type="dxa"/>
          </w:tcPr>
          <w:p w14:paraId="7880C9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372</w:t>
            </w:r>
          </w:p>
        </w:tc>
        <w:tc>
          <w:tcPr>
            <w:tcW w:w="1601" w:type="dxa"/>
          </w:tcPr>
          <w:p w14:paraId="7FD1CE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1290</w:t>
            </w:r>
          </w:p>
        </w:tc>
        <w:tc>
          <w:tcPr>
            <w:tcW w:w="1601" w:type="dxa"/>
          </w:tcPr>
          <w:p w14:paraId="2EF255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917</w:t>
            </w:r>
          </w:p>
        </w:tc>
        <w:tc>
          <w:tcPr>
            <w:tcW w:w="1601" w:type="dxa"/>
          </w:tcPr>
          <w:p w14:paraId="21C158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569</w:t>
            </w:r>
          </w:p>
        </w:tc>
        <w:tc>
          <w:tcPr>
            <w:tcW w:w="1601" w:type="dxa"/>
          </w:tcPr>
          <w:p w14:paraId="11789B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266</w:t>
            </w:r>
          </w:p>
        </w:tc>
        <w:tc>
          <w:tcPr>
            <w:tcW w:w="1601" w:type="dxa"/>
          </w:tcPr>
          <w:p w14:paraId="5ADFF3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3414</w:t>
            </w:r>
          </w:p>
        </w:tc>
      </w:tr>
      <w:tr w:rsidR="00643896" w:rsidRPr="00640820" w14:paraId="7EFDA43C" w14:textId="77777777" w:rsidTr="000D3BCB">
        <w:tc>
          <w:tcPr>
            <w:tcW w:w="1601" w:type="dxa"/>
            <w:tcBorders>
              <w:bottom w:val="single" w:sz="12" w:space="0" w:color="auto"/>
            </w:tcBorders>
          </w:tcPr>
          <w:p w14:paraId="79004C6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Итого</w:t>
            </w:r>
          </w:p>
        </w:tc>
        <w:tc>
          <w:tcPr>
            <w:tcW w:w="1601" w:type="dxa"/>
            <w:tcBorders>
              <w:bottom w:val="single" w:sz="12" w:space="0" w:color="auto"/>
            </w:tcBorders>
          </w:tcPr>
          <w:p w14:paraId="1B7F05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533</w:t>
            </w:r>
          </w:p>
        </w:tc>
        <w:tc>
          <w:tcPr>
            <w:tcW w:w="1601" w:type="dxa"/>
            <w:tcBorders>
              <w:bottom w:val="single" w:sz="12" w:space="0" w:color="auto"/>
            </w:tcBorders>
          </w:tcPr>
          <w:p w14:paraId="72FB095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1676</w:t>
            </w:r>
          </w:p>
        </w:tc>
        <w:tc>
          <w:tcPr>
            <w:tcW w:w="1601" w:type="dxa"/>
            <w:tcBorders>
              <w:bottom w:val="single" w:sz="12" w:space="0" w:color="auto"/>
            </w:tcBorders>
          </w:tcPr>
          <w:p w14:paraId="23A2AC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3515</w:t>
            </w:r>
          </w:p>
        </w:tc>
        <w:tc>
          <w:tcPr>
            <w:tcW w:w="1601" w:type="dxa"/>
            <w:tcBorders>
              <w:bottom w:val="single" w:sz="12" w:space="0" w:color="auto"/>
            </w:tcBorders>
          </w:tcPr>
          <w:p w14:paraId="32B6ABC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3344</w:t>
            </w:r>
          </w:p>
        </w:tc>
        <w:tc>
          <w:tcPr>
            <w:tcW w:w="1601" w:type="dxa"/>
            <w:tcBorders>
              <w:bottom w:val="single" w:sz="12" w:space="0" w:color="auto"/>
            </w:tcBorders>
          </w:tcPr>
          <w:p w14:paraId="24E7CD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1691</w:t>
            </w:r>
          </w:p>
        </w:tc>
        <w:tc>
          <w:tcPr>
            <w:tcW w:w="1601" w:type="dxa"/>
            <w:tcBorders>
              <w:bottom w:val="single" w:sz="12" w:space="0" w:color="auto"/>
            </w:tcBorders>
          </w:tcPr>
          <w:p w14:paraId="6BCEFE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10759</w:t>
            </w:r>
          </w:p>
        </w:tc>
      </w:tr>
    </w:tbl>
    <w:p w14:paraId="639285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072070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Динамика боевых потерь штурмовиков Ил-2, Ил-10 авиации ВМФ КА в 1941-45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643896" w:rsidRPr="00640820" w14:paraId="21C58AF5" w14:textId="77777777" w:rsidTr="000D3BCB">
        <w:tc>
          <w:tcPr>
            <w:tcW w:w="1868" w:type="dxa"/>
            <w:tcBorders>
              <w:top w:val="single" w:sz="12" w:space="0" w:color="auto"/>
            </w:tcBorders>
          </w:tcPr>
          <w:p w14:paraId="029A38A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Флот </w:t>
            </w:r>
          </w:p>
        </w:tc>
        <w:tc>
          <w:tcPr>
            <w:tcW w:w="1868" w:type="dxa"/>
            <w:tcBorders>
              <w:top w:val="single" w:sz="12" w:space="0" w:color="auto"/>
            </w:tcBorders>
          </w:tcPr>
          <w:p w14:paraId="717D1E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22.06.41-21.06.42</w:t>
            </w:r>
          </w:p>
        </w:tc>
        <w:tc>
          <w:tcPr>
            <w:tcW w:w="1868" w:type="dxa"/>
            <w:tcBorders>
              <w:top w:val="single" w:sz="12" w:space="0" w:color="auto"/>
            </w:tcBorders>
          </w:tcPr>
          <w:p w14:paraId="67FDD8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22.06.42-21.06.43</w:t>
            </w:r>
          </w:p>
        </w:tc>
        <w:tc>
          <w:tcPr>
            <w:tcW w:w="1868" w:type="dxa"/>
            <w:tcBorders>
              <w:top w:val="single" w:sz="12" w:space="0" w:color="auto"/>
            </w:tcBorders>
          </w:tcPr>
          <w:p w14:paraId="106330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22.06.43-21.06.44</w:t>
            </w:r>
          </w:p>
        </w:tc>
        <w:tc>
          <w:tcPr>
            <w:tcW w:w="1868" w:type="dxa"/>
            <w:tcBorders>
              <w:top w:val="single" w:sz="12" w:space="0" w:color="auto"/>
            </w:tcBorders>
          </w:tcPr>
          <w:p w14:paraId="4853CB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22.06.44-09.05.45</w:t>
            </w:r>
          </w:p>
        </w:tc>
        <w:tc>
          <w:tcPr>
            <w:tcW w:w="1868" w:type="dxa"/>
            <w:tcBorders>
              <w:top w:val="single" w:sz="12" w:space="0" w:color="auto"/>
            </w:tcBorders>
          </w:tcPr>
          <w:p w14:paraId="51C586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Всего</w:t>
            </w:r>
          </w:p>
        </w:tc>
      </w:tr>
      <w:tr w:rsidR="00643896" w:rsidRPr="00640820" w14:paraId="7878E110" w14:textId="77777777" w:rsidTr="000D3BCB">
        <w:tc>
          <w:tcPr>
            <w:tcW w:w="1868" w:type="dxa"/>
          </w:tcPr>
          <w:p w14:paraId="3270A4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ВВС Черноморского флота</w:t>
            </w:r>
          </w:p>
        </w:tc>
        <w:tc>
          <w:tcPr>
            <w:tcW w:w="1868" w:type="dxa"/>
          </w:tcPr>
          <w:p w14:paraId="265673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39</w:t>
            </w:r>
          </w:p>
        </w:tc>
        <w:tc>
          <w:tcPr>
            <w:tcW w:w="1868" w:type="dxa"/>
          </w:tcPr>
          <w:p w14:paraId="5D995D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68</w:t>
            </w:r>
          </w:p>
        </w:tc>
        <w:tc>
          <w:tcPr>
            <w:tcW w:w="1868" w:type="dxa"/>
          </w:tcPr>
          <w:p w14:paraId="5FB4121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146</w:t>
            </w:r>
          </w:p>
        </w:tc>
        <w:tc>
          <w:tcPr>
            <w:tcW w:w="1868" w:type="dxa"/>
          </w:tcPr>
          <w:p w14:paraId="1A2654B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w:t>
            </w:r>
          </w:p>
        </w:tc>
        <w:tc>
          <w:tcPr>
            <w:tcW w:w="1868" w:type="dxa"/>
          </w:tcPr>
          <w:p w14:paraId="4B8CED5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258</w:t>
            </w:r>
          </w:p>
        </w:tc>
      </w:tr>
      <w:tr w:rsidR="00643896" w:rsidRPr="00640820" w14:paraId="78DD060F" w14:textId="77777777" w:rsidTr="000D3BCB">
        <w:tc>
          <w:tcPr>
            <w:tcW w:w="1868" w:type="dxa"/>
          </w:tcPr>
          <w:p w14:paraId="505F1C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ВВС Краснознаменного Балтийского флота</w:t>
            </w:r>
          </w:p>
        </w:tc>
        <w:tc>
          <w:tcPr>
            <w:tcW w:w="1868" w:type="dxa"/>
          </w:tcPr>
          <w:p w14:paraId="6BC98DE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27</w:t>
            </w:r>
          </w:p>
        </w:tc>
        <w:tc>
          <w:tcPr>
            <w:tcW w:w="1868" w:type="dxa"/>
          </w:tcPr>
          <w:p w14:paraId="2E555A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59</w:t>
            </w:r>
          </w:p>
        </w:tc>
        <w:tc>
          <w:tcPr>
            <w:tcW w:w="1868" w:type="dxa"/>
          </w:tcPr>
          <w:p w14:paraId="1B8F88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159</w:t>
            </w:r>
          </w:p>
        </w:tc>
        <w:tc>
          <w:tcPr>
            <w:tcW w:w="1868" w:type="dxa"/>
          </w:tcPr>
          <w:p w14:paraId="6C6FB2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195</w:t>
            </w:r>
          </w:p>
        </w:tc>
        <w:tc>
          <w:tcPr>
            <w:tcW w:w="1868" w:type="dxa"/>
          </w:tcPr>
          <w:p w14:paraId="14115B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440</w:t>
            </w:r>
          </w:p>
        </w:tc>
      </w:tr>
      <w:tr w:rsidR="00643896" w:rsidRPr="00640820" w14:paraId="244B100E" w14:textId="77777777" w:rsidTr="000D3BCB">
        <w:tc>
          <w:tcPr>
            <w:tcW w:w="1868" w:type="dxa"/>
          </w:tcPr>
          <w:p w14:paraId="523E5F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ВВС Северного флота</w:t>
            </w:r>
          </w:p>
        </w:tc>
        <w:tc>
          <w:tcPr>
            <w:tcW w:w="1868" w:type="dxa"/>
          </w:tcPr>
          <w:p w14:paraId="3DDC6A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0</w:t>
            </w:r>
          </w:p>
        </w:tc>
        <w:tc>
          <w:tcPr>
            <w:tcW w:w="1868" w:type="dxa"/>
          </w:tcPr>
          <w:p w14:paraId="4BDCEE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1868" w:type="dxa"/>
          </w:tcPr>
          <w:p w14:paraId="75C501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57</w:t>
            </w:r>
          </w:p>
        </w:tc>
        <w:tc>
          <w:tcPr>
            <w:tcW w:w="1868" w:type="dxa"/>
          </w:tcPr>
          <w:p w14:paraId="21C955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38</w:t>
            </w:r>
          </w:p>
        </w:tc>
        <w:tc>
          <w:tcPr>
            <w:tcW w:w="1868" w:type="dxa"/>
          </w:tcPr>
          <w:p w14:paraId="43E431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96</w:t>
            </w:r>
          </w:p>
        </w:tc>
      </w:tr>
      <w:tr w:rsidR="00643896" w:rsidRPr="00640820" w14:paraId="54914C37" w14:textId="77777777" w:rsidTr="000D3BCB">
        <w:tc>
          <w:tcPr>
            <w:tcW w:w="1868" w:type="dxa"/>
          </w:tcPr>
          <w:p w14:paraId="6EB3B0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ВВС Тихоокеанского флота</w:t>
            </w:r>
          </w:p>
        </w:tc>
        <w:tc>
          <w:tcPr>
            <w:tcW w:w="1868" w:type="dxa"/>
          </w:tcPr>
          <w:p w14:paraId="7E922F1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868" w:type="dxa"/>
          </w:tcPr>
          <w:p w14:paraId="492478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868" w:type="dxa"/>
          </w:tcPr>
          <w:p w14:paraId="172C613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868" w:type="dxa"/>
          </w:tcPr>
          <w:p w14:paraId="1C9B15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131</w:t>
            </w:r>
          </w:p>
        </w:tc>
        <w:tc>
          <w:tcPr>
            <w:tcW w:w="1868" w:type="dxa"/>
          </w:tcPr>
          <w:p w14:paraId="049EA0F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w:t>
            </w:r>
          </w:p>
        </w:tc>
      </w:tr>
      <w:tr w:rsidR="00643896" w:rsidRPr="00640820" w14:paraId="7F867B99" w14:textId="77777777" w:rsidTr="000D3BCB">
        <w:tc>
          <w:tcPr>
            <w:tcW w:w="1868" w:type="dxa"/>
          </w:tcPr>
          <w:p w14:paraId="6525AD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 Северо-Тихоокеанской флотилии</w:t>
            </w:r>
          </w:p>
        </w:tc>
        <w:tc>
          <w:tcPr>
            <w:tcW w:w="1868" w:type="dxa"/>
          </w:tcPr>
          <w:p w14:paraId="718A5B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63DDAF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4AA2BE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60752D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1868" w:type="dxa"/>
          </w:tcPr>
          <w:p w14:paraId="0A5F27C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0022020F" w14:textId="77777777" w:rsidTr="000D3BCB">
        <w:tc>
          <w:tcPr>
            <w:tcW w:w="1868" w:type="dxa"/>
            <w:tcBorders>
              <w:bottom w:val="single" w:sz="12" w:space="0" w:color="auto"/>
            </w:tcBorders>
          </w:tcPr>
          <w:p w14:paraId="654089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Итого</w:t>
            </w:r>
          </w:p>
        </w:tc>
        <w:tc>
          <w:tcPr>
            <w:tcW w:w="1868" w:type="dxa"/>
            <w:tcBorders>
              <w:bottom w:val="single" w:sz="12" w:space="0" w:color="auto"/>
            </w:tcBorders>
          </w:tcPr>
          <w:p w14:paraId="77DA7E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66</w:t>
            </w:r>
          </w:p>
        </w:tc>
        <w:tc>
          <w:tcPr>
            <w:tcW w:w="1868" w:type="dxa"/>
            <w:tcBorders>
              <w:bottom w:val="single" w:sz="12" w:space="0" w:color="auto"/>
            </w:tcBorders>
          </w:tcPr>
          <w:p w14:paraId="14398C3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128</w:t>
            </w:r>
          </w:p>
        </w:tc>
        <w:tc>
          <w:tcPr>
            <w:tcW w:w="1868" w:type="dxa"/>
            <w:tcBorders>
              <w:bottom w:val="single" w:sz="12" w:space="0" w:color="auto"/>
            </w:tcBorders>
          </w:tcPr>
          <w:p w14:paraId="7EC4A8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362</w:t>
            </w:r>
          </w:p>
        </w:tc>
        <w:tc>
          <w:tcPr>
            <w:tcW w:w="1868" w:type="dxa"/>
            <w:tcBorders>
              <w:bottom w:val="single" w:sz="12" w:space="0" w:color="auto"/>
            </w:tcBorders>
          </w:tcPr>
          <w:p w14:paraId="597913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251</w:t>
            </w:r>
          </w:p>
        </w:tc>
        <w:tc>
          <w:tcPr>
            <w:tcW w:w="1868" w:type="dxa"/>
            <w:tcBorders>
              <w:bottom w:val="single" w:sz="12" w:space="0" w:color="auto"/>
            </w:tcBorders>
          </w:tcPr>
          <w:p w14:paraId="14E715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807</w:t>
            </w:r>
          </w:p>
        </w:tc>
      </w:tr>
    </w:tbl>
    <w:p w14:paraId="33B5AA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 в том числе 6 Ил-10, за период 09.05-02.09.1945 г.</w:t>
      </w:r>
    </w:p>
    <w:p w14:paraId="5B6D15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(12020).</w:t>
      </w:r>
    </w:p>
    <w:p w14:paraId="02D099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79186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Эффективность германского стрелково-пушечного вооружения при действии по Ил-2 в 1941-45 гг.</w:t>
      </w:r>
    </w:p>
    <w:p w14:paraId="44D362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материалам полигонных испытаний серийных Ил-2 №№ 306944, 3029100, 309230 в НИП АВ ВВС КА)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643896" w:rsidRPr="00640820" w14:paraId="40BA1A7E" w14:textId="77777777" w:rsidTr="000D3BCB">
        <w:tc>
          <w:tcPr>
            <w:tcW w:w="2242" w:type="dxa"/>
            <w:tcBorders>
              <w:top w:val="single" w:sz="12" w:space="0" w:color="auto"/>
            </w:tcBorders>
          </w:tcPr>
          <w:p w14:paraId="7C7A8A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Тип оружия,</w:t>
            </w:r>
          </w:p>
        </w:tc>
        <w:tc>
          <w:tcPr>
            <w:tcW w:w="2242" w:type="dxa"/>
            <w:tcBorders>
              <w:top w:val="single" w:sz="12" w:space="0" w:color="auto"/>
            </w:tcBorders>
          </w:tcPr>
          <w:p w14:paraId="042AF6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MG-FF</w:t>
            </w:r>
          </w:p>
        </w:tc>
        <w:tc>
          <w:tcPr>
            <w:tcW w:w="2242" w:type="dxa"/>
            <w:tcBorders>
              <w:top w:val="single" w:sz="12" w:space="0" w:color="auto"/>
            </w:tcBorders>
          </w:tcPr>
          <w:p w14:paraId="7F401A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MG-151/20</w:t>
            </w:r>
          </w:p>
        </w:tc>
        <w:tc>
          <w:tcPr>
            <w:tcW w:w="2242" w:type="dxa"/>
            <w:tcBorders>
              <w:top w:val="single" w:sz="12" w:space="0" w:color="auto"/>
            </w:tcBorders>
          </w:tcPr>
          <w:p w14:paraId="5944326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MG-131</w:t>
            </w:r>
          </w:p>
        </w:tc>
        <w:tc>
          <w:tcPr>
            <w:tcW w:w="2242" w:type="dxa"/>
            <w:tcBorders>
              <w:top w:val="single" w:sz="12" w:space="0" w:color="auto"/>
            </w:tcBorders>
          </w:tcPr>
          <w:p w14:paraId="284D83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3.7 cm FlaK 36</w:t>
            </w:r>
          </w:p>
        </w:tc>
      </w:tr>
      <w:tr w:rsidR="00643896" w:rsidRPr="00640820" w14:paraId="4D0535A1" w14:textId="77777777" w:rsidTr="000D3BCB">
        <w:tc>
          <w:tcPr>
            <w:tcW w:w="2242" w:type="dxa"/>
          </w:tcPr>
          <w:p w14:paraId="3E9723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калибр,</w:t>
            </w:r>
          </w:p>
        </w:tc>
        <w:tc>
          <w:tcPr>
            <w:tcW w:w="2242" w:type="dxa"/>
          </w:tcPr>
          <w:p w14:paraId="473C83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20 мм</w:t>
            </w:r>
          </w:p>
        </w:tc>
        <w:tc>
          <w:tcPr>
            <w:tcW w:w="2242" w:type="dxa"/>
          </w:tcPr>
          <w:p w14:paraId="777BD8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20 мм</w:t>
            </w:r>
          </w:p>
        </w:tc>
        <w:tc>
          <w:tcPr>
            <w:tcW w:w="2242" w:type="dxa"/>
          </w:tcPr>
          <w:p w14:paraId="6538CC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 мм</w:t>
            </w:r>
          </w:p>
        </w:tc>
        <w:tc>
          <w:tcPr>
            <w:tcW w:w="2242" w:type="dxa"/>
          </w:tcPr>
          <w:p w14:paraId="4F09FB9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37 мм</w:t>
            </w:r>
          </w:p>
        </w:tc>
      </w:tr>
      <w:tr w:rsidR="00643896" w:rsidRPr="00640820" w14:paraId="102C8B74" w14:textId="77777777" w:rsidTr="000D3BCB">
        <w:tc>
          <w:tcPr>
            <w:tcW w:w="2242" w:type="dxa"/>
          </w:tcPr>
          <w:p w14:paraId="5BE74B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тип снаряда</w:t>
            </w:r>
          </w:p>
        </w:tc>
        <w:tc>
          <w:tcPr>
            <w:tcW w:w="2242" w:type="dxa"/>
          </w:tcPr>
          <w:p w14:paraId="534E7A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фугасный</w:t>
            </w:r>
          </w:p>
        </w:tc>
        <w:tc>
          <w:tcPr>
            <w:tcW w:w="2242" w:type="dxa"/>
          </w:tcPr>
          <w:p w14:paraId="04D151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фугасный</w:t>
            </w:r>
          </w:p>
        </w:tc>
        <w:tc>
          <w:tcPr>
            <w:tcW w:w="2242" w:type="dxa"/>
          </w:tcPr>
          <w:p w14:paraId="6D4350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бронебойный</w:t>
            </w:r>
          </w:p>
        </w:tc>
        <w:tc>
          <w:tcPr>
            <w:tcW w:w="2242" w:type="dxa"/>
          </w:tcPr>
          <w:p w14:paraId="4A71F0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осколочный</w:t>
            </w:r>
          </w:p>
        </w:tc>
      </w:tr>
      <w:tr w:rsidR="00643896" w:rsidRPr="00640820" w14:paraId="45C2E1CF" w14:textId="77777777" w:rsidTr="000D3BCB">
        <w:tc>
          <w:tcPr>
            <w:tcW w:w="2242" w:type="dxa"/>
          </w:tcPr>
          <w:p w14:paraId="17EE94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Среднее число попаданий, необходимое для сбития Ил-2: при стрельбе со стороны задней полусферы</w:t>
            </w:r>
          </w:p>
        </w:tc>
        <w:tc>
          <w:tcPr>
            <w:tcW w:w="2242" w:type="dxa"/>
          </w:tcPr>
          <w:p w14:paraId="36D6A2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20,2 </w:t>
            </w:r>
          </w:p>
        </w:tc>
        <w:tc>
          <w:tcPr>
            <w:tcW w:w="2242" w:type="dxa"/>
          </w:tcPr>
          <w:p w14:paraId="6321F4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13,7 </w:t>
            </w:r>
          </w:p>
        </w:tc>
        <w:tc>
          <w:tcPr>
            <w:tcW w:w="2242" w:type="dxa"/>
          </w:tcPr>
          <w:p w14:paraId="28A923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42</w:t>
            </w:r>
          </w:p>
        </w:tc>
        <w:tc>
          <w:tcPr>
            <w:tcW w:w="2242" w:type="dxa"/>
          </w:tcPr>
          <w:p w14:paraId="7BCB6A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1,79 </w:t>
            </w:r>
          </w:p>
        </w:tc>
      </w:tr>
      <w:tr w:rsidR="00643896" w:rsidRPr="00640820" w14:paraId="234A41AE" w14:textId="77777777" w:rsidTr="000D3BCB">
        <w:tc>
          <w:tcPr>
            <w:tcW w:w="2242" w:type="dxa"/>
            <w:tcBorders>
              <w:bottom w:val="single" w:sz="12" w:space="0" w:color="auto"/>
            </w:tcBorders>
          </w:tcPr>
          <w:p w14:paraId="605DAC8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стрельбе со стороны передней полусферы</w:t>
            </w:r>
          </w:p>
        </w:tc>
        <w:tc>
          <w:tcPr>
            <w:tcW w:w="2242" w:type="dxa"/>
            <w:tcBorders>
              <w:bottom w:val="single" w:sz="12" w:space="0" w:color="auto"/>
            </w:tcBorders>
          </w:tcPr>
          <w:p w14:paraId="04B060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4,8</w:t>
            </w:r>
          </w:p>
        </w:tc>
        <w:tc>
          <w:tcPr>
            <w:tcW w:w="2242" w:type="dxa"/>
            <w:tcBorders>
              <w:bottom w:val="single" w:sz="12" w:space="0" w:color="auto"/>
            </w:tcBorders>
          </w:tcPr>
          <w:p w14:paraId="7D8072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4.3</w:t>
            </w:r>
          </w:p>
        </w:tc>
        <w:tc>
          <w:tcPr>
            <w:tcW w:w="2242" w:type="dxa"/>
            <w:tcBorders>
              <w:bottom w:val="single" w:sz="12" w:space="0" w:color="auto"/>
            </w:tcBorders>
          </w:tcPr>
          <w:p w14:paraId="43BC04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2242" w:type="dxa"/>
            <w:tcBorders>
              <w:bottom w:val="single" w:sz="12" w:space="0" w:color="auto"/>
            </w:tcBorders>
          </w:tcPr>
          <w:p w14:paraId="1F01CE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1,81</w:t>
            </w:r>
          </w:p>
        </w:tc>
      </w:tr>
    </w:tbl>
    <w:p w14:paraId="72C687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(12020).</w:t>
      </w:r>
    </w:p>
    <w:p w14:paraId="453DAB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p w14:paraId="69E1D2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проекте Полевого устава КА 1941 говорилось: "Главная задача боевой авиации - содействие наземным войскам." (518,102).</w:t>
      </w:r>
    </w:p>
    <w:p w14:paraId="174B2E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поддержки действий наступающих войск с воздуха мыслилось использовать соединения бб, ш и частично и авиации. В отдельных случаях для нанесения ударов на поле боя предусматривалось возможность привлечения ДА. На период проведения наступательных операций в составе фронта (судя по материалам предвоенных учений и маневров) предполагалось выделять 15-30 ад, из них часть соединений передавалась в состав общевойсковых армий по 2-3 на армию, а главные силы составляли фронтовую авиацию армии (518,102).</w:t>
      </w:r>
    </w:p>
    <w:p w14:paraId="3A3646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Накануне перехода войск в атаку предусматривалась авиационная подготовка прорыва, которая по времени могла предшествовать авиационной подготовке или осуществляться одновременно с ней. Целями авиаподготовки являлись: подавить огневые средства пехоты и артиллерию противника, изнурять и понижать боеспособность его войск, нарушать управление и работу в тылу врага." Во время подготовки прорыва рекомендовалось применять как мощные (сосредоточенные) </w:t>
      </w:r>
      <w:r w:rsidRPr="00640820">
        <w:rPr>
          <w:rFonts w:ascii="Times New Roman" w:hAnsi="Times New Roman"/>
          <w:color w:val="000000" w:themeColor="text1"/>
          <w:sz w:val="16"/>
          <w:szCs w:val="16"/>
        </w:rPr>
        <w:lastRenderedPageBreak/>
        <w:t>удары, так и систематические атаки (эшелонированные действия). авиация должна была в первую очередь поражать объекты, которые не могли быть подавлены или уничтожены артогнем (518,103).</w:t>
      </w:r>
    </w:p>
    <w:p w14:paraId="4F3360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Особо большую роль отводили авиации при прорыве обороны. С переходом пехоты и танков в наступление авиация переходила к их поддержке и прикрытию. Авиации ставились задачи содействия пехоте и танкам в преодолении тактической зоны обороны, препятствования планомерному отходу, занятию тыловых оборонительных рубежей, изолирования района от подхода резервов и в первую очередь моторизованных соединений: "Боевая авиация, взаимодействуя с наземными войсками, мощными ударами подавляет огневые средства обороны... сопровождает наступление танков и пехоты, подавляя артиллерию, скопления войск и подходящие резервы (518,103).</w:t>
      </w:r>
    </w:p>
    <w:p w14:paraId="010D8D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Требовали взаимодействия и для обеспечения своевременного и четкого согласования вопросов совместных боевых действий рекомендовалось заблаговременно устанавливать опознавательные сигналы, создавать КПП авиации, налаживать надежную связь между взаимодействующими частями, вести систематическую разведку целей. От командиров ап и эскадрилий требовали личного ознакомления "на местности с расположением своих войск, противника, а также целей и ориентиров на направлении главного удара." (518,103).</w:t>
      </w:r>
    </w:p>
    <w:p w14:paraId="7FFFD8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вводе подвижных соединений в прорыв действия подвижных соединений прикрываются и поддерживаются авиацией." "Решающим условием успешного выполнения мехсоединениями своих задач является тщательная разведка условий атаки... и согласованность ударов танков с действиями авиации." (518,104).</w:t>
      </w:r>
    </w:p>
    <w:p w14:paraId="151D72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"Часть боевой авиации с развитием боя переносит свои действия в глубину. Она атакует резервы противника, артиллерию, скопления войск и отдельные очаги обороны в глубине." (518,104).</w:t>
      </w:r>
    </w:p>
    <w:p w14:paraId="25B626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отсутствии обеспеченных путей подвоза и эвакуации подвоз производится... транспортной авиацией." (518,104).</w:t>
      </w:r>
    </w:p>
    <w:p w14:paraId="57F296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"Успех боевого применения соединений боевой авиации достигается: внезапностью удара; массированием усилий по важнейшим объектам; непрерывностью действий днем и ночью и в плохую погоду; активностью действий и смелой инициативой каждого командира соединения, подразделения и экипажа, что... наибольшего напряжения от авиации надо требовать в период решающих боев." (518,105).</w:t>
      </w:r>
    </w:p>
    <w:p w14:paraId="109379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этом Уставе не все удалось, в частности, вопросы авиаподдержки наступающих войск на поле боя в тактическом взаимодействии с пехотой. Были поставлены, но не проработаны вопросы авиаподдержки танковых и кавалерийских соединений при вводе их в сражение и развитии успеха в оперативной глубине (518,105).</w:t>
      </w:r>
    </w:p>
    <w:p w14:paraId="049E7C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F0B45E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проекте Полевого устава КА 1941 указывалось, что "главнейшей задачей авиации является содействие успеху наземных войск и обеспечение господства в воздухе" (518,12) - именно так - 2 задачи</w:t>
      </w:r>
    </w:p>
    <w:p w14:paraId="7E85E7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первый период войны в конце 1941 - начале 1942, когда силы авиации фронтов были ограничены и распылены по общевойсковым армиям, действия бомбардировщиков и ш сводились к отдельным эпизодическим ударам, авиация слабо массировалась на главном направлении, удары наносились в удалении от своих войск.</w:t>
      </w:r>
    </w:p>
    <w:p w14:paraId="720AC8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Сначала проводилась (преимущественно нба) авиаподготовка атаки, а с переходом войск в наступление осуществлялась авиаподдержка пехоты и танков силами б и ш. Ш небольшими группами периодически подвергали воздействию объекты противника, расположенные в 10-15 км от линии фронта. Временные интервалы достигали 3-4 часов. так было в контрнаступлении ЮФ под ростовом и ЛФ под Тихвином, а также под Москвой (518,108).</w:t>
      </w:r>
    </w:p>
    <w:p w14:paraId="22C693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709076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в ВВС Тихоокеанского флота сформировали отдельную эскадрилью на ДБ-ЗБ, обученную бомбометанию с пикирования под углом до 80°. Впоследствии ее влили в 50-й полк. Как пикировочная она существовала до осени 1943 г. (12021).</w:t>
      </w:r>
    </w:p>
    <w:p w14:paraId="706ED7E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75CD9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авиация CФ к минным постановкам не привлекалась. Необходимых самолетов было мало, а донные авиамины отсутствовали. Кроме того, командование СФ считало, что из-за сложных климатических и гидрологических условий успешное применение этого вида оружия будет маловероятным. Существенно не изменилась ситуация в 1942-43 гг. (2867,31).</w:t>
      </w:r>
    </w:p>
    <w:p w14:paraId="70122D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4785F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потери 1-го мтап составили 163 человека: 37 летчиков. 44 штурмана, 79 стрелков-радистов и воздушных стрелков и три человека наземного персонала - весьма чувствительно для авиачасти, где на начало войны по штату числилось 68 экипажей. В 57-м бап потери экипажей ДБ-3 составили 7 летчиков, 8 штурманов, 13 стрелков- радистов и стрелков. С учетом этого приказом Наркома ВМФ №00353 от 3.10.1941 ВВС КБФ подверглись крупной реорганизации. Что касается 1-го мтап, то согласно этому приказу в нем расформировывались 4-я и 5-я эскадрильи. Этим же приказом 57-й бап официально переводился на штат бомбардировочного авиаполка на СБ/Пе-2. Всего же на 9 октября в 1-м мтап оставалось 17 машин и экипажей: 10/8 в Богослово, 4/3 в Новой Ладоге и 3/3 на тыловых аэродромах Ярославль и Шубатово.</w:t>
      </w:r>
    </w:p>
    <w:p w14:paraId="18EE9E3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Результаты боевой деятельности самолетов ДБ-3 1-го мтап и 57-го бап в течение 1-го года войны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643896" w:rsidRPr="00640820" w14:paraId="01FAF704" w14:textId="77777777" w:rsidTr="000D3BCB">
        <w:tc>
          <w:tcPr>
            <w:tcW w:w="2802" w:type="dxa"/>
            <w:tcBorders>
              <w:top w:val="single" w:sz="12" w:space="0" w:color="auto"/>
            </w:tcBorders>
          </w:tcPr>
          <w:p w14:paraId="153794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Объект</w:t>
            </w:r>
          </w:p>
        </w:tc>
        <w:tc>
          <w:tcPr>
            <w:tcW w:w="2802" w:type="dxa"/>
            <w:tcBorders>
              <w:top w:val="single" w:sz="12" w:space="0" w:color="auto"/>
            </w:tcBorders>
          </w:tcPr>
          <w:p w14:paraId="1056E5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1-й мтап</w:t>
            </w:r>
          </w:p>
        </w:tc>
        <w:tc>
          <w:tcPr>
            <w:tcW w:w="2802" w:type="dxa"/>
            <w:tcBorders>
              <w:top w:val="single" w:sz="12" w:space="0" w:color="auto"/>
            </w:tcBorders>
          </w:tcPr>
          <w:p w14:paraId="709D62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57-й бап (только ДБ-3)"*</w:t>
            </w:r>
          </w:p>
        </w:tc>
        <w:tc>
          <w:tcPr>
            <w:tcW w:w="2802" w:type="dxa"/>
            <w:tcBorders>
              <w:top w:val="single" w:sz="12" w:space="0" w:color="auto"/>
            </w:tcBorders>
          </w:tcPr>
          <w:p w14:paraId="60DFBA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Всего</w:t>
            </w:r>
          </w:p>
        </w:tc>
      </w:tr>
      <w:tr w:rsidR="00643896" w:rsidRPr="00640820" w14:paraId="276B71A8" w14:textId="77777777" w:rsidTr="000D3BCB">
        <w:tc>
          <w:tcPr>
            <w:tcW w:w="2802" w:type="dxa"/>
          </w:tcPr>
          <w:p w14:paraId="13E2FC2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сухопутные войска</w:t>
            </w:r>
          </w:p>
        </w:tc>
        <w:tc>
          <w:tcPr>
            <w:tcW w:w="2802" w:type="dxa"/>
          </w:tcPr>
          <w:p w14:paraId="05F0BB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389</w:t>
            </w:r>
          </w:p>
        </w:tc>
        <w:tc>
          <w:tcPr>
            <w:tcW w:w="2802" w:type="dxa"/>
          </w:tcPr>
          <w:p w14:paraId="7F53A2E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101</w:t>
            </w:r>
          </w:p>
        </w:tc>
        <w:tc>
          <w:tcPr>
            <w:tcW w:w="2802" w:type="dxa"/>
          </w:tcPr>
          <w:p w14:paraId="469D9B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490</w:t>
            </w:r>
          </w:p>
        </w:tc>
      </w:tr>
      <w:tr w:rsidR="00643896" w:rsidRPr="00640820" w14:paraId="0F350288" w14:textId="77777777" w:rsidTr="000D3BCB">
        <w:tc>
          <w:tcPr>
            <w:tcW w:w="2802" w:type="dxa"/>
          </w:tcPr>
          <w:p w14:paraId="5FF3FA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аэродромы</w:t>
            </w:r>
          </w:p>
        </w:tc>
        <w:tc>
          <w:tcPr>
            <w:tcW w:w="2802" w:type="dxa"/>
          </w:tcPr>
          <w:p w14:paraId="2DCB70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81</w:t>
            </w:r>
          </w:p>
        </w:tc>
        <w:tc>
          <w:tcPr>
            <w:tcW w:w="2802" w:type="dxa"/>
          </w:tcPr>
          <w:p w14:paraId="70A015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w:t>
            </w:r>
          </w:p>
        </w:tc>
        <w:tc>
          <w:tcPr>
            <w:tcW w:w="2802" w:type="dxa"/>
          </w:tcPr>
          <w:p w14:paraId="486CC1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92</w:t>
            </w:r>
          </w:p>
        </w:tc>
      </w:tr>
      <w:tr w:rsidR="00643896" w:rsidRPr="00640820" w14:paraId="40666D37" w14:textId="77777777" w:rsidTr="000D3BCB">
        <w:tc>
          <w:tcPr>
            <w:tcW w:w="2802" w:type="dxa"/>
          </w:tcPr>
          <w:p w14:paraId="7FAED3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корабли в море</w:t>
            </w:r>
          </w:p>
        </w:tc>
        <w:tc>
          <w:tcPr>
            <w:tcW w:w="2802" w:type="dxa"/>
          </w:tcPr>
          <w:p w14:paraId="70F89DA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218</w:t>
            </w:r>
          </w:p>
        </w:tc>
        <w:tc>
          <w:tcPr>
            <w:tcW w:w="2802" w:type="dxa"/>
          </w:tcPr>
          <w:p w14:paraId="0CC3E5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37</w:t>
            </w:r>
          </w:p>
        </w:tc>
        <w:tc>
          <w:tcPr>
            <w:tcW w:w="2802" w:type="dxa"/>
          </w:tcPr>
          <w:p w14:paraId="524872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255</w:t>
            </w:r>
          </w:p>
        </w:tc>
      </w:tr>
      <w:tr w:rsidR="00643896" w:rsidRPr="00640820" w14:paraId="49C1480E" w14:textId="77777777" w:rsidTr="000D3BCB">
        <w:tc>
          <w:tcPr>
            <w:tcW w:w="2802" w:type="dxa"/>
          </w:tcPr>
          <w:p w14:paraId="3478A56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ж/д станции</w:t>
            </w:r>
          </w:p>
        </w:tc>
        <w:tc>
          <w:tcPr>
            <w:tcW w:w="2802" w:type="dxa"/>
          </w:tcPr>
          <w:p w14:paraId="136F4D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79</w:t>
            </w:r>
          </w:p>
        </w:tc>
        <w:tc>
          <w:tcPr>
            <w:tcW w:w="2802" w:type="dxa"/>
          </w:tcPr>
          <w:p w14:paraId="30018C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w:t>
            </w:r>
          </w:p>
        </w:tc>
        <w:tc>
          <w:tcPr>
            <w:tcW w:w="2802" w:type="dxa"/>
          </w:tcPr>
          <w:p w14:paraId="467320E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95</w:t>
            </w:r>
          </w:p>
        </w:tc>
      </w:tr>
      <w:tr w:rsidR="00643896" w:rsidRPr="00640820" w14:paraId="240DF2F4" w14:textId="77777777" w:rsidTr="000D3BCB">
        <w:tc>
          <w:tcPr>
            <w:tcW w:w="2802" w:type="dxa"/>
          </w:tcPr>
          <w:p w14:paraId="16F625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Берлин</w:t>
            </w:r>
          </w:p>
        </w:tc>
        <w:tc>
          <w:tcPr>
            <w:tcW w:w="2802" w:type="dxa"/>
          </w:tcPr>
          <w:p w14:paraId="7C0ED5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70*</w:t>
            </w:r>
          </w:p>
        </w:tc>
        <w:tc>
          <w:tcPr>
            <w:tcW w:w="2802" w:type="dxa"/>
          </w:tcPr>
          <w:p w14:paraId="6018D0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2802" w:type="dxa"/>
          </w:tcPr>
          <w:p w14:paraId="32FCB7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70</w:t>
            </w:r>
          </w:p>
        </w:tc>
      </w:tr>
      <w:tr w:rsidR="00643896" w:rsidRPr="00640820" w14:paraId="2AFF4A41" w14:textId="77777777" w:rsidTr="000D3BCB">
        <w:tc>
          <w:tcPr>
            <w:tcW w:w="2802" w:type="dxa"/>
          </w:tcPr>
          <w:p w14:paraId="462E4E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минные постановки</w:t>
            </w:r>
          </w:p>
        </w:tc>
        <w:tc>
          <w:tcPr>
            <w:tcW w:w="2802" w:type="dxa"/>
          </w:tcPr>
          <w:p w14:paraId="79748F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2802" w:type="dxa"/>
          </w:tcPr>
          <w:p w14:paraId="07B11D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2802" w:type="dxa"/>
          </w:tcPr>
          <w:p w14:paraId="30D308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44ADAC01" w14:textId="77777777" w:rsidTr="000D3BCB">
        <w:tc>
          <w:tcPr>
            <w:tcW w:w="2802" w:type="dxa"/>
          </w:tcPr>
          <w:p w14:paraId="1ED06E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 торпедометание</w:t>
            </w:r>
          </w:p>
        </w:tc>
        <w:tc>
          <w:tcPr>
            <w:tcW w:w="2802" w:type="dxa"/>
          </w:tcPr>
          <w:p w14:paraId="3D37FB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141</w:t>
            </w:r>
          </w:p>
        </w:tc>
        <w:tc>
          <w:tcPr>
            <w:tcW w:w="2802" w:type="dxa"/>
          </w:tcPr>
          <w:p w14:paraId="27ABD0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2802" w:type="dxa"/>
          </w:tcPr>
          <w:p w14:paraId="0569BE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141</w:t>
            </w:r>
          </w:p>
        </w:tc>
      </w:tr>
      <w:tr w:rsidR="00643896" w:rsidRPr="00640820" w14:paraId="411716CF" w14:textId="77777777" w:rsidTr="000D3BCB">
        <w:tc>
          <w:tcPr>
            <w:tcW w:w="2802" w:type="dxa"/>
          </w:tcPr>
          <w:p w14:paraId="55AC78A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промышленные центры</w:t>
            </w:r>
          </w:p>
        </w:tc>
        <w:tc>
          <w:tcPr>
            <w:tcW w:w="2802" w:type="dxa"/>
          </w:tcPr>
          <w:p w14:paraId="549E8E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2802" w:type="dxa"/>
          </w:tcPr>
          <w:p w14:paraId="61D304D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2802" w:type="dxa"/>
          </w:tcPr>
          <w:p w14:paraId="776D8F1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68F74FB8" w14:textId="77777777" w:rsidTr="000D3BCB">
        <w:tc>
          <w:tcPr>
            <w:tcW w:w="2802" w:type="dxa"/>
          </w:tcPr>
          <w:p w14:paraId="2DD2D88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 ВМБ</w:t>
            </w:r>
          </w:p>
        </w:tc>
        <w:tc>
          <w:tcPr>
            <w:tcW w:w="2802" w:type="dxa"/>
          </w:tcPr>
          <w:p w14:paraId="0CCA22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231</w:t>
            </w:r>
          </w:p>
        </w:tc>
        <w:tc>
          <w:tcPr>
            <w:tcW w:w="2802" w:type="dxa"/>
          </w:tcPr>
          <w:p w14:paraId="4189AA4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84</w:t>
            </w:r>
          </w:p>
        </w:tc>
        <w:tc>
          <w:tcPr>
            <w:tcW w:w="2802" w:type="dxa"/>
          </w:tcPr>
          <w:p w14:paraId="595690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315</w:t>
            </w:r>
          </w:p>
        </w:tc>
      </w:tr>
      <w:tr w:rsidR="00643896" w:rsidRPr="00640820" w14:paraId="49058FCC" w14:textId="77777777" w:rsidTr="000D3BCB">
        <w:tc>
          <w:tcPr>
            <w:tcW w:w="2802" w:type="dxa"/>
          </w:tcPr>
          <w:p w14:paraId="72BA40E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воздушная разведка</w:t>
            </w:r>
          </w:p>
        </w:tc>
        <w:tc>
          <w:tcPr>
            <w:tcW w:w="2802" w:type="dxa"/>
          </w:tcPr>
          <w:p w14:paraId="6E57B4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2802" w:type="dxa"/>
          </w:tcPr>
          <w:p w14:paraId="35C5DD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2802" w:type="dxa"/>
          </w:tcPr>
          <w:p w14:paraId="02DF3B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02DE90F4" w14:textId="77777777" w:rsidTr="000D3BCB">
        <w:tc>
          <w:tcPr>
            <w:tcW w:w="2802" w:type="dxa"/>
          </w:tcPr>
          <w:p w14:paraId="756A4F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 спецзадания</w:t>
            </w:r>
          </w:p>
        </w:tc>
        <w:tc>
          <w:tcPr>
            <w:tcW w:w="2802" w:type="dxa"/>
          </w:tcPr>
          <w:p w14:paraId="0A7F13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159</w:t>
            </w:r>
          </w:p>
        </w:tc>
        <w:tc>
          <w:tcPr>
            <w:tcW w:w="2802" w:type="dxa"/>
          </w:tcPr>
          <w:p w14:paraId="481597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49</w:t>
            </w:r>
          </w:p>
        </w:tc>
        <w:tc>
          <w:tcPr>
            <w:tcW w:w="2802" w:type="dxa"/>
          </w:tcPr>
          <w:p w14:paraId="7F5BE14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208</w:t>
            </w:r>
          </w:p>
        </w:tc>
      </w:tr>
      <w:tr w:rsidR="00643896" w:rsidRPr="00640820" w14:paraId="45821D01" w14:textId="77777777" w:rsidTr="000D3BCB">
        <w:tc>
          <w:tcPr>
            <w:tcW w:w="2802" w:type="dxa"/>
          </w:tcPr>
          <w:p w14:paraId="2F6B959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разные полеты"</w:t>
            </w:r>
          </w:p>
        </w:tc>
        <w:tc>
          <w:tcPr>
            <w:tcW w:w="2802" w:type="dxa"/>
          </w:tcPr>
          <w:p w14:paraId="4D5791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410</w:t>
            </w:r>
          </w:p>
        </w:tc>
        <w:tc>
          <w:tcPr>
            <w:tcW w:w="2802" w:type="dxa"/>
          </w:tcPr>
          <w:p w14:paraId="33885B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2802" w:type="dxa"/>
          </w:tcPr>
          <w:p w14:paraId="11214C8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410</w:t>
            </w:r>
          </w:p>
        </w:tc>
      </w:tr>
      <w:tr w:rsidR="00643896" w:rsidRPr="00640820" w14:paraId="2859D060" w14:textId="77777777" w:rsidTr="000D3BCB">
        <w:tc>
          <w:tcPr>
            <w:tcW w:w="2802" w:type="dxa"/>
          </w:tcPr>
          <w:p w14:paraId="2B9F85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Всего</w:t>
            </w:r>
          </w:p>
        </w:tc>
        <w:tc>
          <w:tcPr>
            <w:tcW w:w="2802" w:type="dxa"/>
          </w:tcPr>
          <w:p w14:paraId="21C428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1778</w:t>
            </w:r>
          </w:p>
        </w:tc>
        <w:tc>
          <w:tcPr>
            <w:tcW w:w="2802" w:type="dxa"/>
          </w:tcPr>
          <w:p w14:paraId="7D5454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298</w:t>
            </w:r>
          </w:p>
        </w:tc>
        <w:tc>
          <w:tcPr>
            <w:tcW w:w="2802" w:type="dxa"/>
          </w:tcPr>
          <w:p w14:paraId="273E9E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2076</w:t>
            </w:r>
          </w:p>
        </w:tc>
      </w:tr>
      <w:tr w:rsidR="00643896" w:rsidRPr="00640820" w14:paraId="15269736" w14:textId="77777777" w:rsidTr="000D3BCB">
        <w:tc>
          <w:tcPr>
            <w:tcW w:w="2802" w:type="dxa"/>
          </w:tcPr>
          <w:p w14:paraId="189BCC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сброшено бомб</w:t>
            </w:r>
          </w:p>
        </w:tc>
        <w:tc>
          <w:tcPr>
            <w:tcW w:w="2802" w:type="dxa"/>
          </w:tcPr>
          <w:p w14:paraId="2C11F9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2802" w:type="dxa"/>
          </w:tcPr>
          <w:p w14:paraId="48A7A1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2802" w:type="dxa"/>
          </w:tcPr>
          <w:p w14:paraId="61E123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336E579C" w14:textId="77777777" w:rsidTr="000D3BCB">
        <w:tc>
          <w:tcPr>
            <w:tcW w:w="2802" w:type="dxa"/>
          </w:tcPr>
          <w:p w14:paraId="0483A7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по калибрам</w:t>
            </w:r>
          </w:p>
        </w:tc>
        <w:tc>
          <w:tcPr>
            <w:tcW w:w="2802" w:type="dxa"/>
          </w:tcPr>
          <w:p w14:paraId="49AFF69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 ФАБ-1000</w:t>
            </w:r>
          </w:p>
        </w:tc>
        <w:tc>
          <w:tcPr>
            <w:tcW w:w="2802" w:type="dxa"/>
          </w:tcPr>
          <w:p w14:paraId="7E9378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39 ФАБ-500</w:t>
            </w:r>
          </w:p>
        </w:tc>
        <w:tc>
          <w:tcPr>
            <w:tcW w:w="2802" w:type="dxa"/>
          </w:tcPr>
          <w:p w14:paraId="7A769CE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277F3A3C" w14:textId="77777777" w:rsidTr="000D3BCB">
        <w:tc>
          <w:tcPr>
            <w:tcW w:w="2802" w:type="dxa"/>
          </w:tcPr>
          <w:p w14:paraId="2B23C1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2802" w:type="dxa"/>
          </w:tcPr>
          <w:p w14:paraId="15CBF6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155 ФАБ-500</w:t>
            </w:r>
          </w:p>
        </w:tc>
        <w:tc>
          <w:tcPr>
            <w:tcW w:w="2802" w:type="dxa"/>
          </w:tcPr>
          <w:p w14:paraId="4CB8B4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201 ФАБ-250</w:t>
            </w:r>
          </w:p>
        </w:tc>
        <w:tc>
          <w:tcPr>
            <w:tcW w:w="2802" w:type="dxa"/>
          </w:tcPr>
          <w:p w14:paraId="64F509A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04998023" w14:textId="77777777" w:rsidTr="000D3BCB">
        <w:tc>
          <w:tcPr>
            <w:tcW w:w="2802" w:type="dxa"/>
          </w:tcPr>
          <w:p w14:paraId="56E9D3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2802" w:type="dxa"/>
          </w:tcPr>
          <w:p w14:paraId="637629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616 ФАБ-250</w:t>
            </w:r>
          </w:p>
        </w:tc>
        <w:tc>
          <w:tcPr>
            <w:tcW w:w="2802" w:type="dxa"/>
          </w:tcPr>
          <w:p w14:paraId="4719CA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855 ФАБ-100</w:t>
            </w:r>
          </w:p>
        </w:tc>
        <w:tc>
          <w:tcPr>
            <w:tcW w:w="2802" w:type="dxa"/>
          </w:tcPr>
          <w:p w14:paraId="437899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152D5BE0" w14:textId="77777777" w:rsidTr="000D3BCB">
        <w:tc>
          <w:tcPr>
            <w:tcW w:w="2802" w:type="dxa"/>
          </w:tcPr>
          <w:p w14:paraId="0FD56CF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2802" w:type="dxa"/>
          </w:tcPr>
          <w:p w14:paraId="09C15C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4432 ФАБ-100</w:t>
            </w:r>
          </w:p>
        </w:tc>
        <w:tc>
          <w:tcPr>
            <w:tcW w:w="2802" w:type="dxa"/>
          </w:tcPr>
          <w:p w14:paraId="5A076E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276 ФАБ-50</w:t>
            </w:r>
          </w:p>
        </w:tc>
        <w:tc>
          <w:tcPr>
            <w:tcW w:w="2802" w:type="dxa"/>
          </w:tcPr>
          <w:p w14:paraId="6A13D0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4CE54566" w14:textId="77777777" w:rsidTr="000D3BCB">
        <w:tc>
          <w:tcPr>
            <w:tcW w:w="2802" w:type="dxa"/>
          </w:tcPr>
          <w:p w14:paraId="082A5C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2802" w:type="dxa"/>
          </w:tcPr>
          <w:p w14:paraId="5C3B74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1252 ФАБ-50</w:t>
            </w:r>
          </w:p>
        </w:tc>
        <w:tc>
          <w:tcPr>
            <w:tcW w:w="2802" w:type="dxa"/>
          </w:tcPr>
          <w:p w14:paraId="6FE661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 ЗАБ-100</w:t>
            </w:r>
          </w:p>
        </w:tc>
        <w:tc>
          <w:tcPr>
            <w:tcW w:w="2802" w:type="dxa"/>
          </w:tcPr>
          <w:p w14:paraId="744317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165B75ED" w14:textId="77777777" w:rsidTr="000D3BCB">
        <w:tc>
          <w:tcPr>
            <w:tcW w:w="2802" w:type="dxa"/>
          </w:tcPr>
          <w:p w14:paraId="12A42D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2802" w:type="dxa"/>
          </w:tcPr>
          <w:p w14:paraId="3F7074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301 ЗАБ-100</w:t>
            </w:r>
          </w:p>
        </w:tc>
        <w:tc>
          <w:tcPr>
            <w:tcW w:w="2802" w:type="dxa"/>
          </w:tcPr>
          <w:p w14:paraId="5844CA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36 ЗАБ-50</w:t>
            </w:r>
          </w:p>
        </w:tc>
        <w:tc>
          <w:tcPr>
            <w:tcW w:w="2802" w:type="dxa"/>
          </w:tcPr>
          <w:p w14:paraId="620935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5EDBFE38" w14:textId="77777777" w:rsidTr="000D3BCB">
        <w:tc>
          <w:tcPr>
            <w:tcW w:w="2802" w:type="dxa"/>
          </w:tcPr>
          <w:p w14:paraId="4DC7B2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2802" w:type="dxa"/>
          </w:tcPr>
          <w:p w14:paraId="01069C5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221 ЗАБ-50</w:t>
            </w:r>
          </w:p>
        </w:tc>
        <w:tc>
          <w:tcPr>
            <w:tcW w:w="2802" w:type="dxa"/>
          </w:tcPr>
          <w:p w14:paraId="75A802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2802" w:type="dxa"/>
          </w:tcPr>
          <w:p w14:paraId="49806C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7C03D897" w14:textId="77777777" w:rsidTr="000D3BCB">
        <w:tc>
          <w:tcPr>
            <w:tcW w:w="2802" w:type="dxa"/>
          </w:tcPr>
          <w:p w14:paraId="38B4983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2802" w:type="dxa"/>
          </w:tcPr>
          <w:p w14:paraId="033F4E3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140 мин</w:t>
            </w:r>
          </w:p>
        </w:tc>
        <w:tc>
          <w:tcPr>
            <w:tcW w:w="2802" w:type="dxa"/>
          </w:tcPr>
          <w:p w14:paraId="2EA8799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2802" w:type="dxa"/>
          </w:tcPr>
          <w:p w14:paraId="104D2E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0DE446D7" w14:textId="77777777" w:rsidTr="000D3BCB">
        <w:tc>
          <w:tcPr>
            <w:tcW w:w="2802" w:type="dxa"/>
          </w:tcPr>
          <w:p w14:paraId="3A9918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2802" w:type="dxa"/>
          </w:tcPr>
          <w:p w14:paraId="1E5A868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 торпед</w:t>
            </w:r>
          </w:p>
        </w:tc>
        <w:tc>
          <w:tcPr>
            <w:tcW w:w="2802" w:type="dxa"/>
          </w:tcPr>
          <w:p w14:paraId="11E70E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2802" w:type="dxa"/>
          </w:tcPr>
          <w:p w14:paraId="6836804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7C121392" w14:textId="77777777" w:rsidTr="000D3BCB">
        <w:tc>
          <w:tcPr>
            <w:tcW w:w="2802" w:type="dxa"/>
            <w:tcBorders>
              <w:bottom w:val="single" w:sz="12" w:space="0" w:color="auto"/>
            </w:tcBorders>
          </w:tcPr>
          <w:p w14:paraId="097E63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Потери самолетов</w:t>
            </w:r>
          </w:p>
        </w:tc>
        <w:tc>
          <w:tcPr>
            <w:tcW w:w="2802" w:type="dxa"/>
            <w:tcBorders>
              <w:bottom w:val="single" w:sz="12" w:space="0" w:color="auto"/>
            </w:tcBorders>
          </w:tcPr>
          <w:p w14:paraId="50AF6A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82</w:t>
            </w:r>
          </w:p>
        </w:tc>
        <w:tc>
          <w:tcPr>
            <w:tcW w:w="2802" w:type="dxa"/>
            <w:tcBorders>
              <w:bottom w:val="single" w:sz="12" w:space="0" w:color="auto"/>
            </w:tcBorders>
          </w:tcPr>
          <w:p w14:paraId="748BD5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w:t>
            </w:r>
          </w:p>
        </w:tc>
        <w:tc>
          <w:tcPr>
            <w:tcW w:w="2802" w:type="dxa"/>
            <w:tcBorders>
              <w:bottom w:val="single" w:sz="12" w:space="0" w:color="auto"/>
            </w:tcBorders>
          </w:tcPr>
          <w:p w14:paraId="33987D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96</w:t>
            </w:r>
          </w:p>
        </w:tc>
      </w:tr>
    </w:tbl>
    <w:p w14:paraId="5C85C3F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Примечания. Указаны все вылеты самолетов Особой авиагруппы авиации ВМФ. Непосредственно по Берлину произведено 57 самолето-вылетов.</w:t>
      </w:r>
    </w:p>
    <w:p w14:paraId="12BBEB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В отчете 1-го гмтап пояснения этому определению не дается. По-видимому, сюда вошли и межбазовые перелеты и полеты, когда задачи вылетов не были выполнены.</w:t>
      </w:r>
    </w:p>
    <w:p w14:paraId="4E4EB7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В конце июля 1941 г. все остававшиеся самолеты ДБ-3 переданы из 57-го бап в состав 1-го мтап (12002).</w:t>
      </w:r>
    </w:p>
    <w:p w14:paraId="3CE38D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0A667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Полки У-2 появились после решения в конце 1941 года передать в ВВС все лишние устаревшие машины из штабов, тыловых частей, авиаучилищ, авиаклубов ОСОАВИАХИМ (6,52).</w:t>
      </w:r>
    </w:p>
    <w:p w14:paraId="0AE4A77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0F9B350" w14:textId="77777777" w:rsidR="00045010" w:rsidRPr="00640820" w:rsidRDefault="00045010"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1941 год, согласно справе военинженера I ран</w:t>
      </w:r>
      <w:r w:rsidRPr="00640820">
        <w:rPr>
          <w:rFonts w:ascii="Times New Roman" w:hAnsi="Times New Roman"/>
          <w:color w:val="000000" w:themeColor="text1"/>
          <w:sz w:val="16"/>
          <w:szCs w:val="16"/>
        </w:rPr>
        <w:softHyphen/>
        <w:t>га Бибикова, ВВС имели один ДБ-1 на Научно-испытательном полиго</w:t>
      </w:r>
      <w:r w:rsidRPr="00640820">
        <w:rPr>
          <w:rFonts w:ascii="Times New Roman" w:hAnsi="Times New Roman"/>
          <w:color w:val="000000" w:themeColor="text1"/>
          <w:sz w:val="16"/>
          <w:szCs w:val="16"/>
        </w:rPr>
        <w:softHyphen/>
        <w:t>не авиационного вооружения (НИПАВ) в подмосковном Ногинске, десять были списаны Воронежской авиабазой на по</w:t>
      </w:r>
      <w:r w:rsidRPr="00640820">
        <w:rPr>
          <w:rFonts w:ascii="Times New Roman" w:hAnsi="Times New Roman"/>
          <w:color w:val="000000" w:themeColor="text1"/>
          <w:sz w:val="16"/>
          <w:szCs w:val="16"/>
        </w:rPr>
        <w:softHyphen/>
        <w:t>лигон для проведения эксперименталь</w:t>
      </w:r>
      <w:r w:rsidRPr="00640820">
        <w:rPr>
          <w:rFonts w:ascii="Times New Roman" w:hAnsi="Times New Roman"/>
          <w:color w:val="000000" w:themeColor="text1"/>
          <w:sz w:val="16"/>
          <w:szCs w:val="16"/>
        </w:rPr>
        <w:softHyphen/>
        <w:t>ных работ и два оставались в ВВС, видимо в строевой части (12725).</w:t>
      </w:r>
    </w:p>
    <w:p w14:paraId="0660C7B0" w14:textId="77777777" w:rsidR="00045010" w:rsidRPr="00640820" w:rsidRDefault="00045010" w:rsidP="00640820">
      <w:pPr>
        <w:pStyle w:val="ae"/>
        <w:spacing w:before="0" w:after="0"/>
        <w:jc w:val="both"/>
        <w:rPr>
          <w:color w:val="000000" w:themeColor="text1"/>
          <w:sz w:val="16"/>
          <w:szCs w:val="16"/>
        </w:rPr>
      </w:pPr>
    </w:p>
    <w:p w14:paraId="49D96E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1941 году по мобилизационному расписанию на случай войны в полевых войсках Красной армии предполагалось развернуть 303 дивизии, в том числе 177 стрелковых, 2 мотострелковых, 19 горнострелковых, 9 кавалерийских, 4 горно-кавалерийских, 31 мотострелковую и 61 танковую дивизии. Кроме того, в армии имелось 16 воздушно-десантных и пять стрелковых бригад, из них 15 бригад были сведены в пять воздушно-десантных корпусов. В стрелковой дивизии военного времени должно было быть 3 стрелковых полка, в каждом из которых было по 3 стрелковых батальона. В каждом батальоне имелся взвод в составе двух 45-мм ПТП. Кроме того, в каждом полку в составе полковой артиллерии была противотанковая батарея - шесть 45-мм ПТП. Наконец, в дивизии был отдельный артиллерийский противотанковый дивизион - три батареи по шесть 45-мм ПТП. Таким образом, в стрелковой дивизии имелось 54 45-мм ПТП. Мотострелковая дивизия имела те же ПТП и ту же структуру (3861).</w:t>
      </w:r>
    </w:p>
    <w:p w14:paraId="3581B9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CA933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год были сформированы следующие танковые колонны:</w:t>
      </w:r>
    </w:p>
    <w:p w14:paraId="121B860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 "Кубанский комсомолец" - видимо, одна из первых акций по сбору средств на строительство танковых колонн. Начата в августе по инициативе Новороссийского цементного завода "Октябрь".</w:t>
      </w:r>
    </w:p>
    <w:p w14:paraId="44F0A8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 "Имени горняков Подмосковного угольного бассейна" - сбор средств предпринят в начале сентября в инициативном порядке, затем проводился под эгидой Тульского обкома партии. Работу свернули ввиду близости фронта.</w:t>
      </w:r>
    </w:p>
    <w:p w14:paraId="5F779C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"Челябинский комсомолец" - инициатор Челябинский абразивный завод. Обращение к молодежи Южного Урала опубликовано 25 сентября 1941 г. Сумма сбора 12,5 млн. рублей. 18.01.42 г. сообщили о сдаче заказа в работу. Первый танк готов 19.05.42 г. 10 марта 1942 года начато формирование в Челябинске 96-й танковой бригады (2 батальона и рота танков Т-34 и Т-60). С июля 1942 г. бригада в составе Брянского фронта. Впервые в бой введена 11 августа 1942 года у деревни Перекоповка (Орловская обл.).</w:t>
      </w:r>
    </w:p>
    <w:p w14:paraId="0AC174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 "Комсомолец Алтая" - инициатива заявлена в октябре комсомольцами Рубцовского района - отчисление средств, заработанных на воскреснике. К концу года Алтайский край дал 3600 тыс. рублей. Выполнение заказа носило затяжной характер. В публикации "Правды" сбор упоминается в первой половине 1943 г.</w:t>
      </w:r>
    </w:p>
    <w:p w14:paraId="3A94D2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 "Уральский комсомолец" - Пермская область к концу года внесла 4356 тыс. рублей.</w:t>
      </w:r>
    </w:p>
    <w:p w14:paraId="7A67D4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 "Бурят-Монголия" - сбор по автономной республике. Начат в середине декабря.</w:t>
      </w:r>
    </w:p>
    <w:p w14:paraId="7C4B08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 "Имени МОПР" - сбор под эгидой Международной организации помощи борцам революции начат по Москве в период ее обороны с последующим подключением практически всех мопровских организаций страны. В октябре 1942 г. МОПР передала армии 56 танков.</w:t>
      </w:r>
    </w:p>
    <w:p w14:paraId="658FBF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8. "Имени В.И.Чапаева" - Саратовская область. Инициатор - Волжский чугунолитейный завод. Сбор организован в ноябре.</w:t>
      </w:r>
    </w:p>
    <w:p w14:paraId="56A9D3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9. "Советская Якутия" (</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 - инициатор - Ленское речное пароходство. Начало сбора в ноябре. Общая сумма более 2 млн. рублей (за 1,5 месяца).</w:t>
      </w:r>
    </w:p>
    <w:p w14:paraId="4C2D0EC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10. "Имени Чкалова" (</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 - Чкаловская (Оренбургская) область. Организация акции типична в плане создания идеологического подхода. Во второй половине ноября Шарлыкская МТС инициировала сбор средств по Шарлыкс- кому району на строительство танка "Колхозник". В дело подключился Оренбургский завод им. С.М.Кирова. На митинге 25 ноября была запущена идея: "Пусть каждый район собирает средства на постройку одного танка, и таким образом мы создадим танковую колонну". Здесь естественно подключился Оренбургский обком партии - решением от 30.11 протокольно одобрил инициативу и предложил местным парторганизациям "возглавить это патриотическое движение и организовать широкое и всестороннее обсуждение... на собраниях трудящихся с принятием конкретного решения по этому вопросу". Поступление средств началось в первых числах декабря. К концу февраля следующего года собрали 1146 тыс. рублей. Колонна передана армии в середине 1942 г.</w:t>
      </w:r>
    </w:p>
    <w:p w14:paraId="779C60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11. "Имени М.В.Фрунзе" - инициатива заявлена Ивановским заводом текстильного машиностроения 4 ноября 1941 г. Обязались отчислить однодневный заработок и призвали всю Ивановскую область принять участие. Обком естественно одобрил и издал специальное решение "О сборе средств...". К концу года собрали около 1440 тыс. рублей. </w:t>
      </w:r>
    </w:p>
    <w:p w14:paraId="453D4BE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12. "Свердловский комсомолец" (</w:t>
      </w: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rPr>
        <w:t>) - затея исходила от комсомольцев, но обеспечивалась участием всей Свердловской области. В течение нескольких месяцев 1941 г. и начала 1942 г. собрали 16 млн. рублей. Выполнением заказа занимались сразу два завода, причем заводские комсомольцы изъявили желание все работы производить во вне рабочее время. После чего это горячее желание возникло также у коммунистов и беспартийных.</w:t>
      </w:r>
    </w:p>
    <w:p w14:paraId="5B952D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Последняя машина колонны собрана в конце апреля 1942 г. Передача танков армии состоялась в мае.</w:t>
      </w:r>
    </w:p>
    <w:p w14:paraId="04FEEF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13. "Хабаровский комсомолец" - инициатива крайкома ВЛКСМ, обращенная к Хабаровскому краю. Сбор начат в декабре. К началу апреля 1942 г. внесено свыше 10 млн. рублей.</w:t>
      </w:r>
    </w:p>
    <w:p w14:paraId="43267D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Судя по всему, в 1941 г. ни одна из заявленных именных танковых колонн не появилась на фронте - основные танковые заводы эвакуировались, Поволжье и Урал только раскручивали танковое производство. Однако сбор средств продолжался, причем со все возрастающим темпом (11993).</w:t>
      </w:r>
    </w:p>
    <w:p w14:paraId="36A969E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C515515"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Жизнь и внутренняя политика:</w:t>
      </w:r>
    </w:p>
    <w:p w14:paraId="7739D201"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003A66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году были следующие государственные розничные цены нормированной торговли на отдельные товары: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43896" w:rsidRPr="00640820" w14:paraId="39E8F2BA" w14:textId="77777777" w:rsidTr="000D3BCB">
        <w:tc>
          <w:tcPr>
            <w:tcW w:w="4788" w:type="dxa"/>
            <w:tcBorders>
              <w:top w:val="single" w:sz="12" w:space="0" w:color="auto"/>
            </w:tcBorders>
          </w:tcPr>
          <w:p w14:paraId="5B708E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Продовольственные товары: </w:t>
            </w:r>
          </w:p>
        </w:tc>
        <w:tc>
          <w:tcPr>
            <w:tcW w:w="4788" w:type="dxa"/>
            <w:tcBorders>
              <w:top w:val="single" w:sz="12" w:space="0" w:color="auto"/>
            </w:tcBorders>
          </w:tcPr>
          <w:p w14:paraId="080EC6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1CC5AAEE" w14:textId="77777777" w:rsidTr="000D3BCB">
        <w:tc>
          <w:tcPr>
            <w:tcW w:w="4788" w:type="dxa"/>
          </w:tcPr>
          <w:p w14:paraId="38B4AA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Говядина 1 сорта за 1 кг.</w:t>
            </w:r>
          </w:p>
        </w:tc>
        <w:tc>
          <w:tcPr>
            <w:tcW w:w="4788" w:type="dxa"/>
          </w:tcPr>
          <w:p w14:paraId="05FED8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12 руб. </w:t>
            </w:r>
          </w:p>
        </w:tc>
      </w:tr>
      <w:tr w:rsidR="00643896" w:rsidRPr="00640820" w14:paraId="1CE92D53" w14:textId="77777777" w:rsidTr="000D3BCB">
        <w:tc>
          <w:tcPr>
            <w:tcW w:w="4788" w:type="dxa"/>
          </w:tcPr>
          <w:p w14:paraId="663B37E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Свинина 1 сорта за 1 кг.</w:t>
            </w:r>
          </w:p>
        </w:tc>
        <w:tc>
          <w:tcPr>
            <w:tcW w:w="4788" w:type="dxa"/>
          </w:tcPr>
          <w:p w14:paraId="08DCE2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17 руб. </w:t>
            </w:r>
          </w:p>
        </w:tc>
      </w:tr>
      <w:tr w:rsidR="00643896" w:rsidRPr="00640820" w14:paraId="12806842" w14:textId="77777777" w:rsidTr="000D3BCB">
        <w:tc>
          <w:tcPr>
            <w:tcW w:w="4788" w:type="dxa"/>
          </w:tcPr>
          <w:p w14:paraId="387C9C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Колбаса полукопченая «Краковская» за 1 кг.</w:t>
            </w:r>
          </w:p>
        </w:tc>
        <w:tc>
          <w:tcPr>
            <w:tcW w:w="4788" w:type="dxa"/>
          </w:tcPr>
          <w:p w14:paraId="1F8027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2З руб. </w:t>
            </w:r>
          </w:p>
        </w:tc>
      </w:tr>
      <w:tr w:rsidR="00643896" w:rsidRPr="00640820" w14:paraId="3ABB99AB" w14:textId="77777777" w:rsidTr="000D3BCB">
        <w:tc>
          <w:tcPr>
            <w:tcW w:w="4788" w:type="dxa"/>
          </w:tcPr>
          <w:p w14:paraId="632C58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Сельдь «Мурманская» за 1 кг.</w:t>
            </w:r>
          </w:p>
        </w:tc>
        <w:tc>
          <w:tcPr>
            <w:tcW w:w="4788" w:type="dxa"/>
          </w:tcPr>
          <w:p w14:paraId="373D03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6 руб. 40 коп. </w:t>
            </w:r>
          </w:p>
        </w:tc>
      </w:tr>
      <w:tr w:rsidR="00643896" w:rsidRPr="00640820" w14:paraId="613BE690" w14:textId="77777777" w:rsidTr="000D3BCB">
        <w:tc>
          <w:tcPr>
            <w:tcW w:w="4788" w:type="dxa"/>
          </w:tcPr>
          <w:p w14:paraId="4A0304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Масло сливочное за 1 кг.</w:t>
            </w:r>
          </w:p>
        </w:tc>
        <w:tc>
          <w:tcPr>
            <w:tcW w:w="4788" w:type="dxa"/>
          </w:tcPr>
          <w:p w14:paraId="70E3763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25 руб. </w:t>
            </w:r>
          </w:p>
        </w:tc>
      </w:tr>
      <w:tr w:rsidR="00643896" w:rsidRPr="00640820" w14:paraId="2540B431" w14:textId="77777777" w:rsidTr="000D3BCB">
        <w:tc>
          <w:tcPr>
            <w:tcW w:w="4788" w:type="dxa"/>
          </w:tcPr>
          <w:p w14:paraId="52090B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Сыр «Советский» за 1 кг.</w:t>
            </w:r>
          </w:p>
        </w:tc>
        <w:tc>
          <w:tcPr>
            <w:tcW w:w="4788" w:type="dxa"/>
          </w:tcPr>
          <w:p w14:paraId="40089B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29 руб. </w:t>
            </w:r>
          </w:p>
        </w:tc>
      </w:tr>
      <w:tr w:rsidR="00643896" w:rsidRPr="00640820" w14:paraId="63D95A06" w14:textId="77777777" w:rsidTr="000D3BCB">
        <w:tc>
          <w:tcPr>
            <w:tcW w:w="4788" w:type="dxa"/>
          </w:tcPr>
          <w:p w14:paraId="3E4D89B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Конфеты шоколадные «Весна» за 1 кг.</w:t>
            </w:r>
          </w:p>
        </w:tc>
        <w:tc>
          <w:tcPr>
            <w:tcW w:w="4788" w:type="dxa"/>
          </w:tcPr>
          <w:p w14:paraId="3FA97A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20 руб. </w:t>
            </w:r>
          </w:p>
        </w:tc>
      </w:tr>
      <w:tr w:rsidR="00643896" w:rsidRPr="00640820" w14:paraId="67085FB5" w14:textId="77777777" w:rsidTr="000D3BCB">
        <w:tc>
          <w:tcPr>
            <w:tcW w:w="4788" w:type="dxa"/>
          </w:tcPr>
          <w:p w14:paraId="245F779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Печенье «Рот-Фронт» за 1 кг.</w:t>
            </w:r>
          </w:p>
        </w:tc>
        <w:tc>
          <w:tcPr>
            <w:tcW w:w="4788" w:type="dxa"/>
          </w:tcPr>
          <w:p w14:paraId="7D7AB1E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9 руб. </w:t>
            </w:r>
          </w:p>
        </w:tc>
      </w:tr>
      <w:tr w:rsidR="00643896" w:rsidRPr="00640820" w14:paraId="41AFF09A" w14:textId="77777777" w:rsidTr="000D3BCB">
        <w:tc>
          <w:tcPr>
            <w:tcW w:w="4788" w:type="dxa"/>
          </w:tcPr>
          <w:p w14:paraId="474C8C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Хлеб ржаной за 1 кг.</w:t>
            </w:r>
          </w:p>
        </w:tc>
        <w:tc>
          <w:tcPr>
            <w:tcW w:w="4788" w:type="dxa"/>
          </w:tcPr>
          <w:p w14:paraId="5EC188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 руб. </w:t>
            </w:r>
          </w:p>
        </w:tc>
      </w:tr>
      <w:tr w:rsidR="00643896" w:rsidRPr="00640820" w14:paraId="68436183" w14:textId="77777777" w:rsidTr="000D3BCB">
        <w:tc>
          <w:tcPr>
            <w:tcW w:w="4788" w:type="dxa"/>
          </w:tcPr>
          <w:p w14:paraId="15AE16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Хлеб пшеничный за 1 кг.</w:t>
            </w:r>
          </w:p>
        </w:tc>
        <w:tc>
          <w:tcPr>
            <w:tcW w:w="4788" w:type="dxa"/>
          </w:tcPr>
          <w:p w14:paraId="529CE6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 руб. 70 коп. </w:t>
            </w:r>
          </w:p>
        </w:tc>
      </w:tr>
      <w:tr w:rsidR="00643896" w:rsidRPr="00640820" w14:paraId="157F445A" w14:textId="77777777" w:rsidTr="000D3BCB">
        <w:tc>
          <w:tcPr>
            <w:tcW w:w="4788" w:type="dxa"/>
          </w:tcPr>
          <w:p w14:paraId="7C00D4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Водка 50° за 0,5 л </w:t>
            </w:r>
          </w:p>
        </w:tc>
        <w:tc>
          <w:tcPr>
            <w:tcW w:w="4788" w:type="dxa"/>
          </w:tcPr>
          <w:p w14:paraId="46E335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11 руб. 50 коп.</w:t>
            </w:r>
          </w:p>
        </w:tc>
      </w:tr>
      <w:tr w:rsidR="00643896" w:rsidRPr="00640820" w14:paraId="3FA139DA" w14:textId="77777777" w:rsidTr="000D3BCB">
        <w:tc>
          <w:tcPr>
            <w:tcW w:w="4788" w:type="dxa"/>
          </w:tcPr>
          <w:p w14:paraId="4E6DF19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Непродовольственные товары: </w:t>
            </w:r>
          </w:p>
        </w:tc>
        <w:tc>
          <w:tcPr>
            <w:tcW w:w="4788" w:type="dxa"/>
          </w:tcPr>
          <w:p w14:paraId="6AD9C6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r>
      <w:tr w:rsidR="00643896" w:rsidRPr="00640820" w14:paraId="0E1149FF" w14:textId="77777777" w:rsidTr="000D3BCB">
        <w:tc>
          <w:tcPr>
            <w:tcW w:w="4788" w:type="dxa"/>
          </w:tcPr>
          <w:p w14:paraId="273524C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Пальто мужское демисезонное в среднем за штуку</w:t>
            </w:r>
          </w:p>
        </w:tc>
        <w:tc>
          <w:tcPr>
            <w:tcW w:w="4788" w:type="dxa"/>
          </w:tcPr>
          <w:p w14:paraId="3CCFE1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377 руб. </w:t>
            </w:r>
          </w:p>
        </w:tc>
      </w:tr>
      <w:tr w:rsidR="00643896" w:rsidRPr="00640820" w14:paraId="29ED11E9" w14:textId="77777777" w:rsidTr="000D3BCB">
        <w:tc>
          <w:tcPr>
            <w:tcW w:w="4788" w:type="dxa"/>
          </w:tcPr>
          <w:p w14:paraId="48506C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Костюм мужской в среднем за штуку</w:t>
            </w:r>
          </w:p>
        </w:tc>
        <w:tc>
          <w:tcPr>
            <w:tcW w:w="4788" w:type="dxa"/>
          </w:tcPr>
          <w:p w14:paraId="505362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367 руб. </w:t>
            </w:r>
          </w:p>
        </w:tc>
      </w:tr>
      <w:tr w:rsidR="00643896" w:rsidRPr="00640820" w14:paraId="3C8DED80" w14:textId="77777777" w:rsidTr="000D3BCB">
        <w:tc>
          <w:tcPr>
            <w:tcW w:w="4788" w:type="dxa"/>
          </w:tcPr>
          <w:p w14:paraId="06D4D7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Ботинки мужские хромовые за пару</w:t>
            </w:r>
          </w:p>
        </w:tc>
        <w:tc>
          <w:tcPr>
            <w:tcW w:w="4788" w:type="dxa"/>
          </w:tcPr>
          <w:p w14:paraId="2E52E0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140 руб. </w:t>
            </w:r>
          </w:p>
        </w:tc>
      </w:tr>
      <w:tr w:rsidR="00643896" w:rsidRPr="00640820" w14:paraId="344F1B8C" w14:textId="77777777" w:rsidTr="000D3BCB">
        <w:tc>
          <w:tcPr>
            <w:tcW w:w="4788" w:type="dxa"/>
          </w:tcPr>
          <w:p w14:paraId="2BDD2C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Мыло туалетное «Красный мак» за кусок в 75 граммов</w:t>
            </w:r>
          </w:p>
        </w:tc>
        <w:tc>
          <w:tcPr>
            <w:tcW w:w="4788" w:type="dxa"/>
          </w:tcPr>
          <w:p w14:paraId="5EEFE5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1 руб. 50 коп. </w:t>
            </w:r>
          </w:p>
        </w:tc>
      </w:tr>
      <w:tr w:rsidR="00643896" w:rsidRPr="00640820" w14:paraId="0ED1162C" w14:textId="77777777" w:rsidTr="000D3BCB">
        <w:tc>
          <w:tcPr>
            <w:tcW w:w="4788" w:type="dxa"/>
          </w:tcPr>
          <w:p w14:paraId="59E0A7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Духи «Красная Москва» за флакон</w:t>
            </w:r>
          </w:p>
        </w:tc>
        <w:tc>
          <w:tcPr>
            <w:tcW w:w="4788" w:type="dxa"/>
          </w:tcPr>
          <w:p w14:paraId="1A7ED5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28 руб. 50 коп. </w:t>
            </w:r>
          </w:p>
        </w:tc>
      </w:tr>
      <w:tr w:rsidR="00643896" w:rsidRPr="00640820" w14:paraId="5461813A" w14:textId="77777777" w:rsidTr="000D3BCB">
        <w:tc>
          <w:tcPr>
            <w:tcW w:w="4788" w:type="dxa"/>
            <w:tcBorders>
              <w:bottom w:val="single" w:sz="12" w:space="0" w:color="auto"/>
            </w:tcBorders>
          </w:tcPr>
          <w:p w14:paraId="064C4F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Папиросы «Казбек» за пачку</w:t>
            </w:r>
          </w:p>
        </w:tc>
        <w:tc>
          <w:tcPr>
            <w:tcW w:w="4788" w:type="dxa"/>
            <w:tcBorders>
              <w:bottom w:val="single" w:sz="12" w:space="0" w:color="auto"/>
            </w:tcBorders>
          </w:tcPr>
          <w:p w14:paraId="389F5A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 руб. 15 коп. (11150)</w:t>
            </w:r>
          </w:p>
        </w:tc>
      </w:tr>
    </w:tbl>
    <w:p w14:paraId="3BA77C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352446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Цены на некоторую рыбу и колбасу в 1941 за 1 кг:</w:t>
      </w:r>
    </w:p>
    <w:p w14:paraId="2616D64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Судак - 2.30-3.30</w:t>
      </w:r>
    </w:p>
    <w:p w14:paraId="5527E1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Щука - 1.55-3.05</w:t>
      </w:r>
    </w:p>
    <w:p w14:paraId="761208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Лещ - 1.90-2.90</w:t>
      </w:r>
    </w:p>
    <w:p w14:paraId="2CDED4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Язь - 2.60</w:t>
      </w:r>
    </w:p>
    <w:p w14:paraId="7B8927B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Линь - 2.60</w:t>
      </w:r>
    </w:p>
    <w:p w14:paraId="57C4FBC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Сом - 2.10</w:t>
      </w:r>
    </w:p>
    <w:p w14:paraId="3AFB13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Угорь - 10.50</w:t>
      </w:r>
    </w:p>
    <w:p w14:paraId="4D28D1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Карп - 3.05</w:t>
      </w:r>
    </w:p>
    <w:p w14:paraId="31FBC7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Карась - 1.55-2.60</w:t>
      </w:r>
    </w:p>
    <w:p w14:paraId="232E77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Окунь - 1.55-2.60</w:t>
      </w:r>
    </w:p>
    <w:p w14:paraId="489BB4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Плотва - 1.05-1.40</w:t>
      </w:r>
    </w:p>
    <w:p w14:paraId="18668CB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Колбаса обыкновенная - 6</w:t>
      </w:r>
    </w:p>
    <w:p w14:paraId="313173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-Краковская - 10</w:t>
      </w:r>
    </w:p>
    <w:p w14:paraId="51192A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-Горчичная - 8</w:t>
      </w:r>
    </w:p>
    <w:p w14:paraId="4D6EEF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-Чайная - 8</w:t>
      </w:r>
    </w:p>
    <w:p w14:paraId="33E2B1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-Минская - 10</w:t>
      </w:r>
    </w:p>
    <w:p w14:paraId="1ACB39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Матрадель - 10</w:t>
      </w:r>
    </w:p>
    <w:p w14:paraId="0166B0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Колбаса ливерная - 3</w:t>
      </w:r>
    </w:p>
    <w:p w14:paraId="5B7D28C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Сальцесон - 8</w:t>
      </w:r>
    </w:p>
    <w:p w14:paraId="6B91773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Окорок - 12</w:t>
      </w:r>
    </w:p>
    <w:p w14:paraId="46983F8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Балерон - 12</w:t>
      </w:r>
    </w:p>
    <w:p w14:paraId="59C99B9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Филей - 12</w:t>
      </w:r>
    </w:p>
    <w:p w14:paraId="26620A1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Грудинка - 10</w:t>
      </w:r>
    </w:p>
    <w:p w14:paraId="1A2A6E0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Корейка - 6</w:t>
      </w:r>
    </w:p>
    <w:p w14:paraId="68CBA93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Сало топленое - 12 (11153).</w:t>
      </w:r>
    </w:p>
    <w:p w14:paraId="682725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0DA6C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Штатные тарифные разряды в 1941:</w:t>
      </w:r>
    </w:p>
    <w:p w14:paraId="16811F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Командир дивизии - 1600</w:t>
      </w:r>
    </w:p>
    <w:p w14:paraId="72900FA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штаба дивизии - 1400</w:t>
      </w:r>
    </w:p>
    <w:p w14:paraId="1BB672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Начальники отделений штаба дивизии - 900-1200</w:t>
      </w:r>
    </w:p>
    <w:p w14:paraId="4158846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Командир стрелкового полка - 1200</w:t>
      </w:r>
    </w:p>
    <w:p w14:paraId="7BDC04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Командир артиллерийского полка - 1300</w:t>
      </w:r>
    </w:p>
    <w:p w14:paraId="42B260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Командир стрелкового батальона - 850</w:t>
      </w:r>
    </w:p>
    <w:p w14:paraId="501AE8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Командир стрелковой роты - 725</w:t>
      </w:r>
    </w:p>
    <w:p w14:paraId="3346F5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Командир стрелкового взвода - 600</w:t>
      </w:r>
    </w:p>
    <w:p w14:paraId="4434CC9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Командир полковой батареи - 800</w:t>
      </w:r>
    </w:p>
    <w:p w14:paraId="389AA6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полкового клуба - 850</w:t>
      </w:r>
    </w:p>
    <w:p w14:paraId="1FFC46C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Командир отдельного инженерного батальона - 900.</w:t>
      </w:r>
    </w:p>
    <w:p w14:paraId="2C3331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Завделопроизводством боевого питания этого батальона - 575.</w:t>
      </w:r>
    </w:p>
    <w:p w14:paraId="4303CD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Ну и т.д.</w:t>
      </w:r>
    </w:p>
    <w:p w14:paraId="03E8A8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Приказом НКО № 251 от 3.12.38 всему КНС (в том числе и летно-подъемному составу) % надбавка за выслугу установлена: </w:t>
      </w:r>
    </w:p>
    <w:p w14:paraId="0FA2291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выслуге 2-х полных лет 5%</w:t>
      </w:r>
    </w:p>
    <w:p w14:paraId="5B0ED0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выслуге 5-х полных лет 10%</w:t>
      </w:r>
    </w:p>
    <w:p w14:paraId="626023C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выслуге 10-х полных лет 15%</w:t>
      </w:r>
    </w:p>
    <w:p w14:paraId="1D4A16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выслуге 15-х полных лет 20%</w:t>
      </w:r>
    </w:p>
    <w:p w14:paraId="3E45CB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выслуге 20-х полных лет и более 25% (11153).</w:t>
      </w:r>
    </w:p>
    <w:p w14:paraId="16A87D2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8D5D014"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Внешняя политика:</w:t>
      </w:r>
    </w:p>
    <w:p w14:paraId="1D9C6EBA"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155098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году штаты легальных посольских резидентур НКГБ и Разведупра в США были примерно по 12 человек. Однако десятки офицеров разведки работали в составе и под прикрытием советской закупочной комиссии (СЗК), Амторга, ТАСС и других официальных учреждений. В частности, число сотрудников СЗК и Амторга только в Вашингтоне и Нью-Йорке составляло около 5000 человек. А сбором различной политической, военной, экономической и научно-технической информации должны были заниматься все советские специалисты, работавшие в годы войны в США, независимо от того, являются они сотрудниками разведки или нет. Также в охоте за «чужими секретами» принимали активное участие разведчики-нелегалы и контролируемая ими агентура, работники подпольного аппарата Коммунистической партии США, служащие в различных государственных, общественных и частных организациях (Панкратьев К. Советская военная разведка: Сборник трудов военно-исторического общества им. Артузова № 2. — М., 2000.).</w:t>
      </w:r>
    </w:p>
    <w:p w14:paraId="500207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Отношения многих американских граждан к Советскому Союзу в годы Второй мировой войны и послевоенного периода в немалой степени способствовали тому, чтобы Москва была в курсе технических успехов США. В СССР видели единственную силу, которая реально сражалась с немецко-фашистскими захватчиками в Европе, и долгое время, по существу, в одиночку, пока западные союзники медлили с открытием второго фронта. Это убедило многих американцев, и не только левых, передавать советским гражданам оборонную информацию, чтобы как-то помочь союзникам (Павлов А. Военная разведка в 1941—1945 гг.: Сб. — Вып. 3.). Руководитель группы консультантов СВР генерал-лейтенант В. А. Кирпиченко писал так: «Во время войны мы получали такую информацию (научно-технического и военно-технического характера. — </w:t>
      </w:r>
      <w:r w:rsidRPr="00640820">
        <w:rPr>
          <w:rFonts w:ascii="Times New Roman" w:hAnsi="Times New Roman"/>
          <w:iCs/>
          <w:color w:val="000000" w:themeColor="text1"/>
          <w:sz w:val="16"/>
          <w:szCs w:val="16"/>
        </w:rPr>
        <w:t>Прим. авт.)</w:t>
      </w:r>
      <w:r w:rsidRPr="00640820">
        <w:rPr>
          <w:rFonts w:ascii="Times New Roman" w:hAnsi="Times New Roman"/>
          <w:color w:val="000000" w:themeColor="text1"/>
          <w:sz w:val="16"/>
          <w:szCs w:val="16"/>
        </w:rPr>
        <w:t xml:space="preserve"> по каналам разведки из США, Англии, внимательно следили за развитием немецкой техники. Сплавы для танковой брони, авиации, артиллерия и боеприпасы к ней, самолетостроение, радиолокация — все это очень нас интересовало, и вклад нашего научно-технического отдела, соответствующих подразделений военной разведки, конечно же огромен» (Павлов В. Трагедия советской разведки. — М.: Центрполиг-раф, 2000. — 428 с.) (11765).</w:t>
      </w:r>
    </w:p>
    <w:p w14:paraId="78F4E0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54F136A"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За рубежом:</w:t>
      </w:r>
    </w:p>
    <w:p w14:paraId="25A8B123"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3A04735" w14:textId="77777777" w:rsidR="000E0937" w:rsidRPr="00640820" w:rsidRDefault="000E09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году фирма Henschel начала собственные независимые ракетные проекты, в т.ч. фирма приступила к проектированию зенитной ракеты Hs-117 "Schmetterling" (Бабочка). Летом 1943 года проект Hs-117 "Schmetterling" был одобрен Люфтваффе. Hs-117 "Schmetterling" создавался как самолет-среднеплан небольшого размера с короткими стреловидными крыльями. Длина фюзеляжа составляла 4,3 м при диаметре фюзеляжа 3,35 м. Размах крыльев составлял 2 м. В носовом алюминиевом обтекателе размещался генератор с приводом от крыльчатки и боевой заряд с взрывателем. Когда стало ясно, что ни одна из имеющихся систем наведения не может обеспечить достаточное приближение к цели, массу заряда увеличили с 22до 40 кг. Двигательная установка Hs-117 "Schmetterling" основывалась на двухкомпонентном самовоспламеняющемся топливе, принудительно вытесняемым из баков под давлением сжатого воздуха. В качестве топлива использовался состав "Тонка-250" (50% ксилидина и 50% триэтиламина), окислителем служила азотная кислота, одновременно использовавшаяся для охлаждения самого двигателя. Наводить Hs-117 "Schmetterling" предполагалось по комбинированной схеме: радиокомандная с оптическим сопровождением. Первоначальная схема управления по проводам была отклонена в виду предполагаемого значительного увеличения дальности стрельбы, которая значительно превышала возможности кабельной системы.</w:t>
      </w:r>
    </w:p>
    <w:p w14:paraId="46D89EA2" w14:textId="77777777" w:rsidR="000E0937" w:rsidRPr="00640820" w:rsidRDefault="000E0937" w:rsidP="00640820">
      <w:pPr>
        <w:spacing w:after="0" w:line="240" w:lineRule="auto"/>
        <w:jc w:val="both"/>
        <w:rPr>
          <w:rFonts w:ascii="Times New Roman" w:hAnsi="Times New Roman"/>
          <w:color w:val="000000" w:themeColor="text1"/>
          <w:sz w:val="16"/>
          <w:szCs w:val="16"/>
        </w:rPr>
      </w:pPr>
    </w:p>
    <w:p w14:paraId="7F4A99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1941 г. группа корейских эмигрантов во главе с Ким Ку провозгласила в Чунцине создание "временного правительства Кореи" (3871).</w:t>
      </w:r>
    </w:p>
    <w:p w14:paraId="6BF545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B6EA1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г. на территории Южного Китая при деятельном участии известного вьетнамского коммуниста Хо Ши Мина была создана первая в Восточной Азии прокоммунистическая национальная организация - Демократический фронт борьбы за независимость Вьетнама, ставившая одновременно цели изгнания японцев, свержения старых колониальных властей и учреждение нового коммунистического режима на территории Французского Индокитая (3871).</w:t>
      </w:r>
    </w:p>
    <w:p w14:paraId="1E2D48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A3B9E52"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Авиапромышленность:</w:t>
      </w:r>
    </w:p>
    <w:p w14:paraId="6C357C4A"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5AEE0E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1941 - 1942 гг. на опытном экземпляре Ер-2 (№ 4) были поочередно установлены двигатели М-40 и М-ЗОБ В. М. Яковлева и А. Д. Чаромского, причем из-за большого диаметра винтов оси двигателей были развернуты на 5° в стороны. С такими вариантами силовой установки были выполнены беспосадочные перелеты по маршруту Москва- Омск- Москва со сбросом 1000 кг бомб. При сравнении всех нюансов выбор пал все-таки на М-30.</w:t>
      </w:r>
    </w:p>
    <w:p w14:paraId="79A2D8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Авиационный дизель М-30Б развивал взлетную мощность 1500л.с. На высоте 6000 м благодаря комбинированному наддуву от приводного центробежного нагнетателя и двух турбокомпрессоров (по одному на каждый блок из шести цилиндров) он имел номинальную мощность 1250 л.с. и крейсерский удельный расход топлива 150-165 г/л.с. в час вместо 265-280 г/л.с. в час у лучших бензиновых двигателей того времени.</w:t>
      </w:r>
    </w:p>
    <w:p w14:paraId="7761EF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Однако удельная масса М-30Б, равная 0,86 кг/л.е., существенно превышала аналогичный показатель у моторов на высокооктановом топливе, у которых он не превышал 0,6 кг/л.с. Связано это было с тяжелой топливной аппаратурой дизеля. Несмотря на недостаток, в то время альтернативы по экономичности М-ЗОБ не имел, а потому Ер-2 с двумя дизелями (они получили в 1943 г. обозначение АЧ-ЗОБ по инициалам главного конструктора А.Д. Чаромского) решили запустить в серийное производство (12037).</w:t>
      </w:r>
    </w:p>
    <w:p w14:paraId="0333B2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157D5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rPr>
        <w:t xml:space="preserve">Отпускные цены и себестоимость некоторых моделей авиатехники в 1941—1942 гг. </w:t>
      </w:r>
      <w:r w:rsidRPr="00640820">
        <w:rPr>
          <w:rFonts w:ascii="Times New Roman" w:hAnsi="Times New Roman"/>
          <w:color w:val="000000" w:themeColor="text1"/>
          <w:sz w:val="16"/>
          <w:szCs w:val="16"/>
          <w:lang w:val="en-US"/>
        </w:rPr>
        <w:t>(тыс. руб.) (РГАЭ. Ф. 8044. On. 1. Д. 230. Л. 75, 90)</w:t>
      </w:r>
    </w:p>
    <w:tbl>
      <w:tblPr>
        <w:tblW w:w="0" w:type="auto"/>
        <w:tblInd w:w="8" w:type="dxa"/>
        <w:tblLayout w:type="fixed"/>
        <w:tblCellMar>
          <w:left w:w="0" w:type="dxa"/>
          <w:right w:w="0" w:type="dxa"/>
        </w:tblCellMar>
        <w:tblLook w:val="0000" w:firstRow="0" w:lastRow="0" w:firstColumn="0" w:lastColumn="0" w:noHBand="0" w:noVBand="0"/>
      </w:tblPr>
      <w:tblGrid>
        <w:gridCol w:w="854"/>
        <w:gridCol w:w="1162"/>
        <w:gridCol w:w="878"/>
        <w:gridCol w:w="1066"/>
        <w:gridCol w:w="941"/>
        <w:gridCol w:w="1061"/>
      </w:tblGrid>
      <w:tr w:rsidR="00643896" w:rsidRPr="00640820" w14:paraId="78F3BFB6" w14:textId="77777777" w:rsidTr="000D3BCB">
        <w:trPr>
          <w:trHeight w:val="427"/>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51A761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Завод- изготовитель</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1D460B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Модель</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233AB9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Отпускная цена-1941</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1EF5B7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 xml:space="preserve">Себестоимость </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1941</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5380EF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Отпускная цена-1942</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146EC7C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Себестоимость- 1942</w:t>
            </w:r>
          </w:p>
        </w:tc>
      </w:tr>
      <w:tr w:rsidR="00643896" w:rsidRPr="00640820" w14:paraId="5FBBFDF3" w14:textId="77777777" w:rsidTr="000D3BCB">
        <w:trPr>
          <w:trHeight w:val="221"/>
        </w:trPr>
        <w:tc>
          <w:tcPr>
            <w:tcW w:w="5962" w:type="dxa"/>
            <w:gridSpan w:val="6"/>
            <w:tcBorders>
              <w:top w:val="single" w:sz="6" w:space="0" w:color="auto"/>
              <w:left w:val="single" w:sz="6" w:space="0" w:color="auto"/>
              <w:bottom w:val="single" w:sz="6" w:space="0" w:color="auto"/>
              <w:right w:val="single" w:sz="6" w:space="0" w:color="auto"/>
            </w:tcBorders>
            <w:shd w:val="clear" w:color="auto" w:fill="FFFFFF"/>
          </w:tcPr>
          <w:p w14:paraId="3A0EAAD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lastRenderedPageBreak/>
              <w:t>Самолеты без моторов</w:t>
            </w:r>
          </w:p>
        </w:tc>
      </w:tr>
      <w:tr w:rsidR="00643896" w:rsidRPr="00640820" w14:paraId="3C3D5BB6" w14:textId="77777777" w:rsidTr="000D3BCB">
        <w:trPr>
          <w:trHeight w:val="221"/>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4A0A2D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w:t>
            </w:r>
          </w:p>
        </w:tc>
        <w:tc>
          <w:tcPr>
            <w:tcW w:w="1162" w:type="dxa"/>
            <w:tcBorders>
              <w:top w:val="single" w:sz="6" w:space="0" w:color="auto"/>
              <w:left w:val="single" w:sz="6" w:space="0" w:color="auto"/>
              <w:bottom w:val="nil"/>
              <w:right w:val="single" w:sz="6" w:space="0" w:color="auto"/>
            </w:tcBorders>
            <w:shd w:val="clear" w:color="auto" w:fill="FFFFFF"/>
          </w:tcPr>
          <w:p w14:paraId="039148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ЛаГГ-3 (М-105П)</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7789AC3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196,5</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77A0FF6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198,3</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767377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138</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46B581B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132,7</w:t>
            </w:r>
          </w:p>
        </w:tc>
      </w:tr>
      <w:tr w:rsidR="00643896" w:rsidRPr="00640820" w14:paraId="27CFE5FD" w14:textId="77777777" w:rsidTr="000D3BCB">
        <w:trPr>
          <w:trHeight w:val="221"/>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18F42A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31</w:t>
            </w:r>
          </w:p>
        </w:tc>
        <w:tc>
          <w:tcPr>
            <w:tcW w:w="1162" w:type="dxa"/>
            <w:tcBorders>
              <w:top w:val="nil"/>
              <w:left w:val="single" w:sz="6" w:space="0" w:color="auto"/>
              <w:bottom w:val="nil"/>
              <w:right w:val="single" w:sz="6" w:space="0" w:color="auto"/>
            </w:tcBorders>
            <w:shd w:val="clear" w:color="auto" w:fill="FFFFFF"/>
          </w:tcPr>
          <w:p w14:paraId="6A21E5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316F600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216,5</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18C3F3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310</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3066A12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160</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6C417FC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153,8</w:t>
            </w:r>
          </w:p>
        </w:tc>
      </w:tr>
      <w:tr w:rsidR="00643896" w:rsidRPr="00640820" w14:paraId="3CD65D7B" w14:textId="77777777" w:rsidTr="000D3BCB">
        <w:trPr>
          <w:trHeight w:val="226"/>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6DB6D59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153</w:t>
            </w:r>
          </w:p>
        </w:tc>
        <w:tc>
          <w:tcPr>
            <w:tcW w:w="1162" w:type="dxa"/>
            <w:tcBorders>
              <w:top w:val="nil"/>
              <w:left w:val="single" w:sz="6" w:space="0" w:color="auto"/>
              <w:bottom w:val="single" w:sz="6" w:space="0" w:color="auto"/>
              <w:right w:val="single" w:sz="6" w:space="0" w:color="auto"/>
            </w:tcBorders>
            <w:shd w:val="clear" w:color="auto" w:fill="FFFFFF"/>
          </w:tcPr>
          <w:p w14:paraId="1A2C713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360065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318,5</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48396E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289</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5E5A39B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210</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4665721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201,9</w:t>
            </w:r>
          </w:p>
        </w:tc>
      </w:tr>
      <w:tr w:rsidR="00643896" w:rsidRPr="00640820" w14:paraId="3CEF53BC" w14:textId="77777777" w:rsidTr="000D3BCB">
        <w:trPr>
          <w:trHeight w:val="221"/>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06CD06F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292</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0290C59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Як-1 (М-105П)</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06F8EA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208</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164916A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159Д</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0CF5FF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107</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5446D8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102,9</w:t>
            </w:r>
          </w:p>
        </w:tc>
      </w:tr>
      <w:tr w:rsidR="00643896" w:rsidRPr="00640820" w14:paraId="38921B91" w14:textId="77777777" w:rsidTr="000D3BCB">
        <w:trPr>
          <w:trHeight w:val="221"/>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446C2A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153</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04AD8D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Як-7 (М-105П)</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11202D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1A901E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25F27A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146</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6242D2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102,9</w:t>
            </w:r>
          </w:p>
        </w:tc>
      </w:tr>
      <w:tr w:rsidR="00643896" w:rsidRPr="00640820" w14:paraId="6A1700C0" w14:textId="77777777" w:rsidTr="000D3BCB">
        <w:trPr>
          <w:trHeight w:val="226"/>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583863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47</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065A10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УТ-2(М-11)</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4828CB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45</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60038D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38,9</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036B06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34</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3BF611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32,7</w:t>
            </w:r>
          </w:p>
        </w:tc>
      </w:tr>
      <w:tr w:rsidR="00643896" w:rsidRPr="00640820" w14:paraId="1F0AFF7D" w14:textId="77777777" w:rsidTr="000D3BCB">
        <w:trPr>
          <w:trHeight w:val="216"/>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0F84C6E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116</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73D051A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УТ-2(М-11</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19D87E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100</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2167CC2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123,2</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260FC67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63</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463CA1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60,6</w:t>
            </w:r>
          </w:p>
        </w:tc>
      </w:tr>
      <w:tr w:rsidR="00643896" w:rsidRPr="00640820" w14:paraId="4E056FA3" w14:textId="77777777" w:rsidTr="000D3BCB">
        <w:trPr>
          <w:trHeight w:val="221"/>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03F82D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387</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62E954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У-2(М-11)</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2C4ABF4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30</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4A99F6D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ЗОЛ</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0F9F78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27</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73D85A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26</w:t>
            </w:r>
          </w:p>
        </w:tc>
      </w:tr>
      <w:tr w:rsidR="00643896" w:rsidRPr="00640820" w14:paraId="4B93E33D" w14:textId="77777777" w:rsidTr="000D3BCB">
        <w:trPr>
          <w:trHeight w:val="226"/>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419892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152A2A7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Ил-2 (АМ-38)</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0DABFF7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1A73F8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6E0C89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230</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71F127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221,2</w:t>
            </w:r>
          </w:p>
        </w:tc>
      </w:tr>
      <w:tr w:rsidR="00643896" w:rsidRPr="00640820" w14:paraId="68ED9E05" w14:textId="77777777" w:rsidTr="000D3BCB">
        <w:trPr>
          <w:trHeight w:val="221"/>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038188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1B6930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Ил-2 (АМ-38)</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2D779D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330</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60CF3A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261</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08F5ED1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210</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5D9645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201,9</w:t>
            </w:r>
          </w:p>
        </w:tc>
      </w:tr>
      <w:tr w:rsidR="00643896" w:rsidRPr="00640820" w14:paraId="3EC54D8B" w14:textId="77777777" w:rsidTr="000D3BCB">
        <w:trPr>
          <w:trHeight w:val="226"/>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7ED41A1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22</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29FA54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Пе-2 (2М-105Р)</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037753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420</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13C1F1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437,3</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125402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365</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3BDD95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351</w:t>
            </w:r>
          </w:p>
        </w:tc>
      </w:tr>
      <w:tr w:rsidR="00643896" w:rsidRPr="00640820" w14:paraId="58F39795" w14:textId="77777777" w:rsidTr="000D3BCB">
        <w:trPr>
          <w:trHeight w:val="221"/>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323CB2F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39</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5DA9EB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Пе-2 (2М-105Р)</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5ACA8A7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485</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272E3F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551</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344EEC1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460</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52C48A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443,3</w:t>
            </w:r>
          </w:p>
        </w:tc>
      </w:tr>
      <w:tr w:rsidR="00643896" w:rsidRPr="00640820" w14:paraId="4EDCA14E" w14:textId="77777777" w:rsidTr="000D3BCB">
        <w:trPr>
          <w:trHeight w:val="221"/>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140B248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84</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0A85B4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ПС-84 (2М-62ИР)</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465DE7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650*</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1B8173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600</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502800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525</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29B9902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504,8**</w:t>
            </w:r>
          </w:p>
        </w:tc>
      </w:tr>
      <w:tr w:rsidR="00643896" w:rsidRPr="00640820" w14:paraId="5A4C5B4A" w14:textId="77777777" w:rsidTr="000D3BCB">
        <w:trPr>
          <w:trHeight w:val="221"/>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0125057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126</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044EFD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ДБ-Зф (2М-88)</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6572E4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800</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03BD5E5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692</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12D7FA2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580</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02A3A0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557,7</w:t>
            </w:r>
          </w:p>
        </w:tc>
      </w:tr>
      <w:tr w:rsidR="00643896" w:rsidRPr="00640820" w14:paraId="2C8BAEA4" w14:textId="77777777" w:rsidTr="000D3BCB">
        <w:trPr>
          <w:trHeight w:val="221"/>
        </w:trPr>
        <w:tc>
          <w:tcPr>
            <w:tcW w:w="5962" w:type="dxa"/>
            <w:gridSpan w:val="6"/>
            <w:tcBorders>
              <w:top w:val="single" w:sz="6" w:space="0" w:color="auto"/>
              <w:left w:val="single" w:sz="6" w:space="0" w:color="auto"/>
              <w:bottom w:val="single" w:sz="6" w:space="0" w:color="auto"/>
              <w:right w:val="single" w:sz="6" w:space="0" w:color="auto"/>
            </w:tcBorders>
            <w:shd w:val="clear" w:color="auto" w:fill="FFFFFF"/>
          </w:tcPr>
          <w:p w14:paraId="3E570C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Моторы</w:t>
            </w:r>
          </w:p>
        </w:tc>
      </w:tr>
      <w:tr w:rsidR="00643896" w:rsidRPr="00640820" w14:paraId="41A614CC" w14:textId="77777777" w:rsidTr="000D3BCB">
        <w:trPr>
          <w:trHeight w:val="221"/>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05B787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6CDAA18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М-105Р</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1A7365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70</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5807C99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84,5</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3DCE67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50</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3274B0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48,1</w:t>
            </w:r>
          </w:p>
        </w:tc>
      </w:tr>
      <w:tr w:rsidR="00643896" w:rsidRPr="00640820" w14:paraId="5C7DF417" w14:textId="77777777" w:rsidTr="000D3BCB">
        <w:trPr>
          <w:trHeight w:val="226"/>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1B78AE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7FC951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М-82</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6949D3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83</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50513F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95,5</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57F8C59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58</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7DC07CB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55,8</w:t>
            </w:r>
          </w:p>
        </w:tc>
      </w:tr>
      <w:tr w:rsidR="00643896" w:rsidRPr="00640820" w14:paraId="13B37FE6" w14:textId="77777777" w:rsidTr="000D3BCB">
        <w:trPr>
          <w:trHeight w:val="221"/>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6709EE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030B82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М-43ИР</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6BAB20C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48</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1F1477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50,1</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6F416BB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34</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3BCF1DB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32,7</w:t>
            </w:r>
          </w:p>
        </w:tc>
      </w:tr>
      <w:tr w:rsidR="00643896" w:rsidRPr="00640820" w14:paraId="72C27AA4" w14:textId="77777777" w:rsidTr="000D3BCB">
        <w:trPr>
          <w:trHeight w:val="226"/>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683E578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24</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3AB16A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АМ-38</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434241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5FCECB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56,6</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1B6213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50</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1C8343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48,1</w:t>
            </w:r>
          </w:p>
        </w:tc>
      </w:tr>
      <w:tr w:rsidR="00643896" w:rsidRPr="00640820" w14:paraId="71A419B3" w14:textId="77777777" w:rsidTr="000D3BCB">
        <w:trPr>
          <w:trHeight w:val="221"/>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29E7D54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26</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3DEE97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М-105П</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05447E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46</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2FC275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49</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522D9A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40</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3A79E7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38,5</w:t>
            </w:r>
          </w:p>
        </w:tc>
      </w:tr>
      <w:tr w:rsidR="00643896" w:rsidRPr="00640820" w14:paraId="4BE31FB2" w14:textId="77777777" w:rsidTr="000D3BCB">
        <w:trPr>
          <w:trHeight w:val="226"/>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3F7AE3E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29</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688538A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М-88Б</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59DC54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54</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749F1AE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57,6</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16D728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48</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573FF69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46,2</w:t>
            </w:r>
          </w:p>
        </w:tc>
      </w:tr>
      <w:tr w:rsidR="00643896" w:rsidRPr="00640820" w14:paraId="2CE0D285" w14:textId="77777777" w:rsidTr="000D3BCB">
        <w:trPr>
          <w:trHeight w:val="240"/>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6343D5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154</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3C67D69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М-11</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76A002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738AB3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10.9</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2B2701F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128254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8,7</w:t>
            </w:r>
          </w:p>
        </w:tc>
      </w:tr>
    </w:tbl>
    <w:p w14:paraId="47F8FB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Без вооруженния (так в тексте). ** С вооружением (так в тексте) (12011).</w:t>
      </w:r>
    </w:p>
    <w:p w14:paraId="35E1C0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0AC12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течение 1941-42 гг. в НИП АВ ВВС КА и ВИАМ прошли полигонные испытания авиаброни, которые показали, что авиационная броня типа АБ-1, стоявшая на Ил-2, примерно в 1,5 раза превосходила по пулестойкости гомогенную авиационную броню немецкого производства.</w:t>
      </w:r>
    </w:p>
    <w:p w14:paraId="545C79F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То есть гомогенная броня бронекоробки "хеншеля" толщиной б мм (верх, борта и днище бронекоробки) в пересчете на советскую броню АБ-1 соответствовала броне эквивалентной толщины примерно 3,4 мм, а 12-мм броня (передняя стенка бронекоробки, бронеспинка и бронезаголовник кресла пилота) - 6,9 мм.</w:t>
      </w:r>
    </w:p>
    <w:p w14:paraId="7ABF85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Спереди голова летчика защищалась бронестеклом толщиной 75 мм. Полигонные испытания в ВИАМ показали, что при лучшем оптическом качестве пулестойкость немецкого бронестекла в сравнении с бронестеклом типа К-4 на Ил-2 была хуже в 1,4 раза. В пересчете на советское бронестекло эквивалентная толщина бронестекла "хеншеля" составляла примерно 54 мм.</w:t>
      </w:r>
    </w:p>
    <w:p w14:paraId="206D41E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стрелково-пушечного огня сверху-сзади голова летчика не была защищена броней со всеми вытекающими из этого последствиями.</w:t>
      </w:r>
    </w:p>
    <w:p w14:paraId="1A86A0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Другими словами, бронирование Hsl 29 обеспечивало защиту пилота снизу-спереди, снизу-сзади и снизу-сбоку только от бронебойных пуль нормального калибра (типа Б-30) при условии, что стрельба ведется с дистанции до 300 м, а угол встречи с броней не превышает 15-20°.</w:t>
      </w:r>
    </w:p>
    <w:p w14:paraId="39B9B7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Моторы и карбюраторы моторов снизу были прикрыты изогнутыми броневыми плитами толщиной 5 мм (эквивалентная толщина АБ-1 - 2,9 мм). Позади каждого мотора устанавливалась полукруглая плоская 5-мм бронеперегородка, которая прикрывала мотор снизу-сзади. Спереди и сверху моторы не бронировались и вследствие этого легко поражались осколками зенитных снарядов и стрелково-пушечным огнем.</w:t>
      </w:r>
    </w:p>
    <w:p w14:paraId="24C56F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Туннель и задняя створка маслорадиатора выполнялись из брони толщиной 5 мм (АБ-1 - 2,9 мм).</w:t>
      </w:r>
    </w:p>
    <w:p w14:paraId="455FEC8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Бензо- и маслобаки не бронировались, хотя и имели протектор. Бачки с пусковым бензином, расположенные с внешних сторон мотогондол, не имели не только бронезащиты, но и протектор. В результате пожары на самолете в бою были обычным делом (8907).</w:t>
      </w:r>
    </w:p>
    <w:p w14:paraId="0C0219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выводах НИИ ВВС КА, изучившего ряд трофейных образцов самолета Hsl 29B, отмечалось: "Вследствие отсутствия огневой защиты самолет может легко сбиваться воздушным противником". Указывалось также, что слабое бронирование делает его весьма уязвимым от огня пехотного оружия. В немецкой инструкции по использованию этого самолета отмечалось, что "...попадание в мотор и несущие поверхности в большинстве случаев приводит к потере самолета вследствие пожара", а при отказе одного мотора самолет летит со снижением и посадку в этом случае можно производить только с убранным шасси...(8907).</w:t>
      </w:r>
    </w:p>
    <w:p w14:paraId="4795C29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5756CE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1941 - 1942 гг. проявились следующие эксплуатационные недостатки Ил-2:</w:t>
      </w:r>
    </w:p>
    <w:p w14:paraId="383C244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Начало эксплуатации самолетов Ил-2 оказалось очень тяжелым. Дело в том, что организация массового выпуска Ил-2 и моторов АМ-38 на новых производственных площадках сопровождалась резким ухудшением качества их изготовления и внешней отделки, что серьезно сказывалось на летных данных самолетов, усложняло эксплуатацию в строевых частях и приводило к многочисленным летным происшествиям.</w:t>
      </w:r>
    </w:p>
    <w:p w14:paraId="764922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Крыло:</w:t>
      </w:r>
    </w:p>
    <w:p w14:paraId="6EB94BA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Летом 1941 г. от цельнометаллической конструкции крыла перешли к смешанной: лонжероны металлические, центроплан цельнометаллический, обшивка, стрингеры и нервюры отъемной части крыла - из фанеры и дерева, или из дюралюминия.</w:t>
      </w:r>
    </w:p>
    <w:p w14:paraId="5598A3F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Хвостовая часть фюзеляжа поначалу выпускалась и в цельнометаллическом и деревянном варианте, но с лета 1942 г. заводы практически полностью перешли к деревянной конструкции.</w:t>
      </w:r>
    </w:p>
    <w:p w14:paraId="5BD7AB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Большая ширина центроплана не давала возможности «быстро выводить самолет из леса: приходится рубить просеку», а ширина колеи шасси не позволяла везти поврежденный самолет на колесах по узким дорогам и мостам.</w:t>
      </w:r>
    </w:p>
    <w:p w14:paraId="7BD472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Помимо этого, значительные размеры центроплана Ил-2 «выходят за пределы габаритных норм груза, установленных на железнодорожном транспорте». По этой причине «создаются большие трудности при сдаче на станцию и погрузке на платформы без наличия специальных приспособлений».</w:t>
      </w:r>
    </w:p>
    <w:p w14:paraId="2039B98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Деревянное крыло и фюзеляж не только уменьшало живучесть в бою, но и при хранении самолета под открытым небом в течение нескольких месяцев приводило к ослаблению узлов крепления шпангоутов к обшивке фюзеляжа, к нарушению защитного покрытия и прочности обшивки.</w:t>
      </w:r>
    </w:p>
    <w:p w14:paraId="618F0A7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 это заставляло технический и инженерный состав полков «постоянно вести усиленное наблюдение, а также проводить периодические ремонты обшивки планера и его узлов».</w:t>
      </w:r>
    </w:p>
    <w:p w14:paraId="479262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Фюзеляж</w:t>
      </w:r>
    </w:p>
    <w:p w14:paraId="55CD79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Специальным распоряжением НКАП и ВВС с целью снижения потерь на всех Ил-2, выпущенных авиазаводами до 1 июня 1942 г., при восстановительном ремонте надлежало силами реморганов выполнить усиление хвостовой части самолета путем постановки на всю длину фюзеляжа четырех наружных дюралюминиевых стрингеров — два сверху и два снизу. Стрингеры приклепывались к фюзеляжу вместе со стыковочной лентой заклепками. На серийных заводах усиление хвостовой части фюзеляжа Ил-2 проводилось постановкой шести дополнительных внутренних стрингеров и увеличением толщины обшивки путем добавления нескольких слоев шпона.</w:t>
      </w:r>
    </w:p>
    <w:p w14:paraId="46C731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Прозрачная 64-мм броня за головой летчика была заменена металлической 12-мм броней. Дополнительная броня (6 мм) устанавливалась сверху заднего бензобака и на подвижной части фонаря над головой летчика (5 мм). Кроме этого, дюралевый лист над мотором был заменен бронелистом толщиной 5 мм. Общий вес брони возрос до 811 кг.</w:t>
      </w:r>
    </w:p>
    <w:p w14:paraId="62C1D40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Незадолго до этого Постановлением ГКО от 25 декабря в Подольске на площади выехавшего в тыл машиностроительного завода им. Орджоникидзе создавался завод № 125 по производству бронекорпусов для Ил-2. Такой же завод под № 207 организовывался и в Куйбышеве на базе механического завода Особого Строительства. Его основу составил эвакуированный в тыл коллектив подольского завода.</w:t>
      </w:r>
    </w:p>
    <w:p w14:paraId="40F038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Наконец, Постановлением ГКО от 26 апреля 1942 г. производство Ил-2 на заводе № 381 было свернуто в пользу выпуска истребителей Ла-5.</w:t>
      </w:r>
    </w:p>
    <w:p w14:paraId="5AAFDC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Таким образом, к лету 1942 г. сформировались две производственные базы по выпуску Ил-2: московская - заводы №№ 30, 45 и 125, и куйбышевская — заводы №№ 1, 18, 24 и 207.</w:t>
      </w:r>
    </w:p>
    <w:p w14:paraId="27B0860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ходе серийного выпуска в конструкцию Ил-2 вносились различные изменения, связанные как с адаптацией технологии производства к местным условиям, так и с устранением выявленных в ходе боев дефектов и недостатков.</w:t>
      </w:r>
    </w:p>
    <w:p w14:paraId="3A11829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начала 1942 г. вместо авиаброни АБ-1 был освоен выпуск брони АБ-2 с меньшим содержанием никеля (в 2 раза) и молибдена (в 3 раза), но такой же по пулестойкости.</w:t>
      </w:r>
    </w:p>
    <w:p w14:paraId="4CCBDD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существующем варианте стыковки фюзеляжа к бронекорпусу его замена в полевых условиях «представляет довольно трудоемкую работу и создает затруднения при транспортировке на машинах».</w:t>
      </w:r>
    </w:p>
    <w:p w14:paraId="4409FB5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Оперение</w:t>
      </w:r>
    </w:p>
    <w:p w14:paraId="4DFBEC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Кронштейн противовеса руля высоты и кронштейн крепления тяги руля высоты располагались в одной плоскости. Это значительно затрудняло часто выполняемую работу — подтяжку конусных шпилек, для устранения люфта в соединении кронштейна и рычага противовеса.</w:t>
      </w:r>
    </w:p>
    <w:p w14:paraId="54B0D2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Практически отсутствовал подход к качалке элеронов для проверки состояния тросов. Качалка располагалась под полом кабины летчика, но никаких смотровых лючков в боковых стенках кабины летчика предусмотрено не было.</w:t>
      </w:r>
    </w:p>
    <w:p w14:paraId="1E844F9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Чтобы подступиться к тягам элеронов, например, «если перебита третья, то приходится вынимать первую и вторую, рубить ролики, нервюру и усиления». Затем следовало все вернуть на прежнее место и восстановить «ремонтные» повреждения.</w:t>
      </w:r>
    </w:p>
    <w:p w14:paraId="54EE716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Шасси</w:t>
      </w:r>
    </w:p>
    <w:p w14:paraId="5A8262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Интенсивная эксплуатация Ил-2 с полевых аэродромов, довольно слабо подготовленных в инженерном отношении и с неровным грунтом, выявила недостаточную прочность складывающихся подкосов шасси штурмовика, что приводило к частым поломкам самолетов, а иногда и к катастрофам.</w:t>
      </w:r>
    </w:p>
    <w:p w14:paraId="5706C4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Пирамида крепления стоек шасси к переднему лонжерону при грубой посадке - подход самолета к земле без выравнивания, как правило, разрушалась. Однако в этом случае поломка пирамиды шасси исключала деформацию лонжеронов центроплана.</w:t>
      </w:r>
    </w:p>
    <w:p w14:paraId="39B8676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Основными недостатками шасси являлись: срез ушково-вильчатого болта крепления штока цилиндра подъема и выпуска шасси к ломающемуся подкосу, появление трещин ломающихся подкосов шасси в месте наварки площадки под ушково-вильчатый болт, прорыв бронешлангов ПУ-6 в местах соединения с воздушной трубкой, отказы дифференциала тормозов.</w:t>
      </w:r>
    </w:p>
    <w:p w14:paraId="7262C09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Инженеры полков предлагали «увеличить сечение трубок ферм шасси, увеличить расстояние между передними узлами крепления фермы шасси к лонжерону, ...вклеить 2-х тавровый стальной профиль (необходим для принятия боковых усилий)». В дальнейшем складывающиеся подкосы шасси Ил-2 стали изготавливать из сварных труб вместо клепаной конструкции, что увеличило их прочность.</w:t>
      </w:r>
    </w:p>
    <w:p w14:paraId="51833E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Существенным недостатком, значительно снижающим боеспособность авиачастей, явилось отсутствие резины гусматик на колесах шасси Ил-2. Резиновые камеры колес шасси в результате защемления между колодками выдерживали только 30-40 посадок на полевые аэродромы, после чего приходили в негодность. Кроме этого, весьма частыми были случаи прострела резиновых покрышек и камер колес шасси Ил-2 во время выполнения штурмовиками боевых заданий. Летчик же, не зная в камере какого колеса шасси спустил воздух, не мог уверенно парировать резкий разворот машины на посадке. Как правило, «посадка с поврежденными пневматиками на мягком покрове аэродроме подчас приводит к капоту и постановке самолета на нос». В результате машина ломалась. Иногда посадка заканчивалась катастрофой.</w:t>
      </w:r>
    </w:p>
    <w:p w14:paraId="32F6AA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тому же, отсутствие запаса резиновых покрышек и камер колес шасси на складах и в частях приводило к непозволительным в военное время простоям вполне боеспособных самолетов.</w:t>
      </w:r>
    </w:p>
    <w:p w14:paraId="3BF43D3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Кабина</w:t>
      </w:r>
    </w:p>
    <w:p w14:paraId="23DDFE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Плохое качество склейки переднего бронестекла и забрызгивание его маслом, вытекающим из втулки воздушного винта и носка коленчатого вала мотора, приводило к тому, что летчики не могли прицельно стрелять и бомбардировать: «Это забрызгивание настолько ухудшает видимость через передний фонарь, что лишает возможность вести прицельную стрельбу и бомбометание». Более того, «летчик, не имея обзора вперед, прекращает полет и идет на вынужденную посадку, зачастую с аварийным исходом».</w:t>
      </w:r>
    </w:p>
    <w:p w14:paraId="167502C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Как указывалось в документах, «причиной этого явления служит манжет втулки винта, пропускающий через себя масло, которое выходит на винт и разбрызгивается». Сколько ни бились производственники с этим дефектом, но ничего не получалось - манжеты быстро усыхали и текли: «манжеты маслоуплотнителя вала редуктора работают всего 5-10 часов - из лосевой кожи и 25-30 часов - из полувальной кожи».</w:t>
      </w:r>
    </w:p>
    <w:p w14:paraId="21F7FB2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частях пришлось монтировать на верхней части капота мотора небольшие маслоотражательные козырьки, которые, естественно, несколько снижали скорость полета самолета.</w:t>
      </w:r>
    </w:p>
    <w:p w14:paraId="416A30B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Неважное оптическое качество переднего козырька фонаря кабины летчика обуславливалось, прежде всего, плохой склейкой бронестекла и плексигласа. При высокой температуре и резких перепадах температуры наружного воздуха происходила расклейка бронестекла: «воздух заходит между стеклом и плексигласом, получаются пузырьки, ухудшается видимость». Имелись случаи деформации (волнистости) плексигласа и бронестекла. Как следствие, «стекло двоит, приближает, искажает свет (то есть, получается радужная пленка)».</w:t>
      </w:r>
    </w:p>
    <w:p w14:paraId="21DB2BB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Летный состав жаловался на неудачную конструкцию подвижной части фонаря кабины. Из-за отсутствия стопора подвижная часть фонаря в открытом положении самопроизвольно закрывалась на планировании, что «не дает возможности быстро оставить самолет».</w:t>
      </w:r>
    </w:p>
    <w:p w14:paraId="702868B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 летчиков уходило много времени и сил на открытие и закрытие шторок водяного радиатора из-за неудобного расположения органов управления: «летчик при работе сбивает руки». Предлагалось управление шторками водорадиатора сделать по типу масляного радиатора.</w:t>
      </w:r>
    </w:p>
    <w:p w14:paraId="5946038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Однотипность и совместное расположение кранов шасси и щитков создавали предпосылки для летных происшествий. Отмечались случаи, когда даже опытные летчики с большим налетом на самолете Ил-2 в конце пробега убирали шасси вместо щитков.</w:t>
      </w:r>
    </w:p>
    <w:p w14:paraId="6E0244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Неудобное расположение штурвала регулятора постоянных оборотов Р-7 вызывало у летчиков затруднения при установке необходимых оборотов винта. Боле того, при «незаконтренном штурвале происходило самопроизвольное затяжеление винта, что в свою очередь вызывало детонацию мотора и даже летное происшествие». В то же время на замену Р-7 «из-за затруднительного подхода» затрачивалось около 4 ч, что было совершенно неприемлемо для условий боев.</w:t>
      </w:r>
    </w:p>
    <w:p w14:paraId="67FDA4D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Двигатель</w:t>
      </w:r>
    </w:p>
    <w:p w14:paraId="08AAE0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Компоновка агрегатов на самолете и моторе, а также бензо- и маслосистема и система охлаждения мотора позволяли «вести систематический контроль за ними и быстро выполнять регламентные работы» не только днем, но и ночью, «обеспечивая к рассвету боевые действия штурмовиков».</w:t>
      </w:r>
    </w:p>
    <w:p w14:paraId="1E61E8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Эксплуатация самолета и мотора зимой при заполненной системе охлаждения антифризом и разжижении масла бензином особых трудностей не представляла.</w:t>
      </w:r>
    </w:p>
    <w:p w14:paraId="2D1F778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Вместе с тем «отдельные трудности в подходе к некоторым агрегатам все же имелись».</w:t>
      </w:r>
    </w:p>
    <w:p w14:paraId="2B39DB5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Технологический процесс замены мотора АМ-38, водо- и маспорадиаторов на самолете Ил-2 отличался сложностью и высокой трудоемкостью.</w:t>
      </w:r>
    </w:p>
    <w:p w14:paraId="659FD2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 замену мотора уходило до 2-3 дней работы. Для демонтажа водяного радиатора вначале нужно было снять маслорадиатор и нижний бензобак, что требовало «большой затраты рабочего времени». Почти вся работа по снятию маслофильтра выполнялась на ощупь. Естественно, это обстоятельство не могло не вызывать серьезных нареканий.</w:t>
      </w:r>
    </w:p>
    <w:p w14:paraId="3F4BE5D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Из-за крайне неудобного подхода к крану слива воды из водорадиатора техническому составу нередко приходилось применять «грубую физическую силу», но «при применении физического усилия к крану, выворачивается корпус самого крана». Это, в свою очередь, порождало дополнительные трудности.</w:t>
      </w:r>
    </w:p>
    <w:p w14:paraId="5DBD64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Технический состав указывал на плохие подступы для просмотра узлов моторамы и подтяжки силовых болтов, очень плохой подход к редукционному клапану маслосистемы, к хомутам дюритов водяных труб, идущих от водяной помпы к блокам. Отмечались большие трудности, которые возникали при съеме крышек магнето, водяной помпы (из-за близкого расположения мерного крана), пеногасительной трубки от левого маслобака (проходила под крышкой головки и при ремонте часто ломалась), а также «очень низкие грани под ключ сливной пробки маслорадиатора, благодаря чему они быстро забиваются».</w:t>
      </w:r>
    </w:p>
    <w:p w14:paraId="45C015E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съемке регулятора постоянного давления необходимо было предварительно снять всасывающее сопло. Это значительно увеличивало время, затрачиваемое на ремонт.</w:t>
      </w:r>
    </w:p>
    <w:p w14:paraId="751542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выполнении работ, связанных со снятием кулачковых валиков и регулировкой газораспределения техникам приходилось «затем на глаз соединять первые зубья хиртовского соединения». Очевидно, «соединить на полную высоту зубьев на глаз не всегда удается, что иногда в практике малоопытных механиков приводит к срезу зубьев во время работы мотора».</w:t>
      </w:r>
    </w:p>
    <w:p w14:paraId="4B9654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Монтаж воздуховода на самолет оказался крайне неудобным. Повсеместно наблюдались подсос воздуха (выпадали резиновые уплотнительные кольца) и коробление фланцев всасывающих патрубков карбюраторов.</w:t>
      </w:r>
    </w:p>
    <w:p w14:paraId="613E8A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Весьма частым явлением являлось заедание крана маслофильтра, в результате чего ломалась резьба крана. Кроме того, многие краны пропускали масло.</w:t>
      </w:r>
    </w:p>
    <w:p w14:paraId="3766F7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Главный бензиновый фильтр подвергался частой очистке «путем его отъема». Для этого обычно было необходимо слить весь находящийся в баках бензин, «на что затрачивалось продолжительное время».</w:t>
      </w:r>
    </w:p>
    <w:p w14:paraId="0420CA8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Инженеры полков в своих отчетах указывали, что: «пожарный кран установлен до фильтра, следовательно, не является пожарным краном, на стоянке в трехточечном положении не обеспечен слив отстоя из бензобаков, масла из маслобаков и воды, стружка из мотора засоряет маслорадиатор и т.д.».</w:t>
      </w:r>
    </w:p>
    <w:p w14:paraId="79073D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зимнее время имелись случаи «раздутия маслорадиатора и разрыв маслопетрофлексов при минусовой температуре в пределах 26-30°, даже с разжиженным маслом».</w:t>
      </w:r>
    </w:p>
    <w:p w14:paraId="25CA173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Довольно быстро выходили из строя замки нижних откидных бронекрышек капота мотора: «ломаются или ослабевают пластинчатые пружинки, разбалтываются заклепки и изнашиваются оси подвесок нижних бронелюков». Отмечались случаи, особенно на самолетах производства завода № 30, выпадения в полете нижних бронелюков капота мотора из-за ослабления крепления петель.</w:t>
      </w:r>
    </w:p>
    <w:p w14:paraId="54E876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Система заправки топливом</w:t>
      </w:r>
    </w:p>
    <w:p w14:paraId="7520E7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Для снижения вероятности пожара при прострелах бензобаков на самолете была смонтирована система заполнения их углекислотой (СО</w:t>
      </w:r>
      <w:r w:rsidRPr="00640820">
        <w:rPr>
          <w:rFonts w:ascii="Times New Roman" w:hAnsi="Times New Roman"/>
          <w:color w:val="000000" w:themeColor="text1"/>
          <w:sz w:val="16"/>
          <w:szCs w:val="16"/>
          <w:vertAlign w:val="subscript"/>
        </w:rPr>
        <w:t>2</w:t>
      </w:r>
      <w:r w:rsidRPr="00640820">
        <w:rPr>
          <w:rFonts w:ascii="Times New Roman" w:hAnsi="Times New Roman"/>
          <w:color w:val="000000" w:themeColor="text1"/>
          <w:sz w:val="16"/>
          <w:szCs w:val="16"/>
        </w:rPr>
        <w:t>). Баллон емкостью 2 л, наполненный жидкой углекислотой под давлением 150 атм, располагался в фюзеляже в закабинном отсеке и соединялся трубопроводами с каждым из бензобаков. Запорный кран углекислотной установки открывался летчиком после взлета и набора высоты и оставался открытым на протяжении всего полета.</w:t>
      </w:r>
    </w:p>
    <w:p w14:paraId="0A4B459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Заправка Ил-2 первых серий бензином осуществлялась через одну горловину, что не позволяло использовать все возможности по заливке бензозаправщика БЗ-38. Поэтому полная заправка самолета длилась около 25 минут. Такое продолжительное время оказалось совершенно недопустимым ввиду некомплекта бензозаправщиков в авиаполках, так как понижало их боеготовность, особенно при производстве повторных боевых вылетов.</w:t>
      </w:r>
    </w:p>
    <w:p w14:paraId="04B89F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РО</w:t>
      </w:r>
    </w:p>
    <w:p w14:paraId="39D254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Ракетное вооружение Ил-2 особых хлопот специалистам по вооружению не доставляли. Ракетные орудия РО-82 и РО-132 были простыми в обслуживании и достаточно надежными в работе. Нарекания были главным образом в адрес пиропатронов, у которых довольно часто происходил обрыв нити накаливания, а также «отсыревала пороховая мякоть». У РСов отсыревали пороховые воспламенители и ракетные заряды, что связывалось с несоблюдением условий транспортировки и хранения. Довольно часто на взлете и при рулении снегом и грязью забивало сопло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 xml:space="preserve">. В результате при стрельбе в воздухе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 xml:space="preserve"> не стартовал. Для исключения отказов </w:t>
      </w:r>
      <w:r w:rsidRPr="00640820">
        <w:rPr>
          <w:rFonts w:ascii="Times New Roman" w:hAnsi="Times New Roman"/>
          <w:color w:val="000000" w:themeColor="text1"/>
          <w:sz w:val="16"/>
          <w:szCs w:val="16"/>
          <w:lang w:val="en-US"/>
        </w:rPr>
        <w:t>PC</w:t>
      </w:r>
      <w:r w:rsidRPr="00640820">
        <w:rPr>
          <w:rFonts w:ascii="Times New Roman" w:hAnsi="Times New Roman"/>
          <w:color w:val="000000" w:themeColor="text1"/>
          <w:sz w:val="16"/>
          <w:szCs w:val="16"/>
        </w:rPr>
        <w:t xml:space="preserve"> по этим причинам рекомендовалось не удалять перед полетом картонную заглушку и удлинить стволы пиропистолета так, чтобы его часть входила в сопло через заглушку. Процент отказов в работе ракетного вооружения в среднем составлял 1,5-2,5% (11921).</w:t>
      </w:r>
    </w:p>
    <w:p w14:paraId="5508B2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9A327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1941-2 гг. общая нехватка запасных частей практически повсеместно вынуждала использовать вместо них детали с других типов самолетов. Для Як-1 наиболее часто это были детали со схожего с ним по конструкции Як-7. В 1941 силами авиамастерских № 37 ВВС Краснознаменного Балтийского Флота (КБФ) под руководством инженер-капитана Мансурова на Як-1 установили маслорадиатор от Як-7, имевшийся в наличии. Заменялись хвостовое оперение, колесо хвостовой опоры с амортизационной стойкой и другие детали. Некоторые недостающие детали изготавливались вновь по образцам. На заводе "Красногвардеец" в Ленинграде летом 1942 г. изготавливался опытный образец маслорадиатора для Як-1. А 20 мая этого же года Главный инженер ВВС ВМФ разрешил авиамастерским самостоятельно изготавливать капоты, всасывающие патрубки, корзины радиаторов, щитки шасси с креплениями, каркасы фонаря и фонари, киль, рули поворота и высоты, стабилизатор и дополнительный маслобак для самолетов Як-1. Такой неприятный дефект, как забрызгива- ние маслом козырька фонаря кабины, привел к установке в частях разнообразнейших по форме и месту крепления маслоотража- тельных шитков, колец, козырьков. Замена и изготовление новых деталей не всегда вызывалось отсутствием запасных. После того как промышленность перешла на выпуск мотора М-105ПФ, а находящиеся в эксплуатации М-105ПА исчерпали свой ресурс, появилась проблема замены моторов на Як-1 более ранних серий, поскольку на них стояли не соответствующие новому мотору водо- и маслорадиаторы. И эта задача опять решалась установкой маслорадиатора от Як-7. В мастерских № 81 наркомата ВМФ на эти работы была даже составлена технологическая карта в июле-августе 1943 г. По ней трудозатраты составили 523 ч 45 мин.</w:t>
      </w:r>
    </w:p>
    <w:p w14:paraId="1329EC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Следует отметить, что подобное решение для Як-1 применялось довольно часто. На многих опытных самолетах само ОКБ заменяло маслорадиатор, но для серии это почему-то не подходило, и он сохранял свою, отличную от других "яков", форму.</w:t>
      </w:r>
    </w:p>
    <w:p w14:paraId="4A69BD8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Интересные работы были выполнены в 1942 г. в 247-м иап. По предложению летчика Н. Смагина, инженер полка по вооружению старший лейтенант И. Ходос установил под фюзеляж истребителя балочный держатель для подвески авиабомбы калибра 250 кг. Так оборудовали минимум две машины, которые участвовали в бомбардировке Чонгарского железнодорожного моста в Крыму. Другая модернизация Як-1 была выполнена на одном из аэродромов под Уманью, где размокшая почва, мокрый снег, грязь при разбеге самолета забивали соты водорадиа- тора, моторы перегревались и выходили из строя. По предложению технического состава для радиаторов вырезали из фанеры и установили специальные щитки, закрывавшие вход в радиаторы. После отрыва летчик специальным тросом, протянутым в кабину, открывал щитки. За короткое время мотор не успевал нагреться до критической температуры.</w:t>
      </w:r>
    </w:p>
    <w:p w14:paraId="5597E61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Наиболее существенные работы, улучшившие характеристики дальности и продолжительности полета были проведены силами 30-х САМ ВВС СФ, где на 23 самолетах Як-1 было установлено оборудование для подвески двух бензобаков, сбрасываемых в полете. Таким образом, использовался запас разработанных для истребителей И-153 инженером опытного завода ВИАМ П.В. Гу- лянским в 1940 г. бензобаков ПЛБГ-ЮО (подвесной литой бензобак конструкции Гу- лянского) из литой целлюлозы и конструкционного картона.</w:t>
      </w:r>
    </w:p>
    <w:p w14:paraId="3F62CD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В середине 1943 г. самолеты-торпедоносцы были вынуждены выполнять боевую работу на таком удалении от баз, которое делало невозможным их прикрытие отечественными истребителями. В то же время противник усилил защиту своих конвоев, как зенитной артиллерией, так и истребителями. Данная доработка (а использование подвесных баков для Як-1 предусматривалось еще ТТТ) повысила на 200 л запас топлива на самолете. Продолжительность полета гарантированно увеличивалась на 35-45 минут. Проект выполнили начальник цеха 30-х САМ ВВС СФ старший техник-лейтенант </w:t>
      </w:r>
      <w:r w:rsidRPr="00640820">
        <w:rPr>
          <w:rFonts w:ascii="Times New Roman" w:hAnsi="Times New Roman"/>
          <w:color w:val="000000" w:themeColor="text1"/>
          <w:sz w:val="16"/>
          <w:szCs w:val="16"/>
          <w:lang w:val="en-US"/>
        </w:rPr>
        <w:t>B</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C</w:t>
      </w:r>
      <w:r w:rsidRPr="00640820">
        <w:rPr>
          <w:rFonts w:ascii="Times New Roman" w:hAnsi="Times New Roman"/>
          <w:color w:val="000000" w:themeColor="text1"/>
          <w:sz w:val="16"/>
          <w:szCs w:val="16"/>
        </w:rPr>
        <w:t xml:space="preserve">. Давыдов и начальник этих мастерских инженер-капитан И.А. Безукладников под руководством Главного инженера ВВС СФ инженер-полковника </w:t>
      </w:r>
      <w:r w:rsidRPr="00640820">
        <w:rPr>
          <w:rFonts w:ascii="Times New Roman" w:hAnsi="Times New Roman"/>
          <w:color w:val="000000" w:themeColor="text1"/>
          <w:sz w:val="16"/>
          <w:szCs w:val="16"/>
          <w:lang w:val="en-US"/>
        </w:rPr>
        <w:t>P</w:t>
      </w:r>
      <w:r w:rsidRPr="00640820">
        <w:rPr>
          <w:rFonts w:ascii="Times New Roman" w:hAnsi="Times New Roman"/>
          <w:color w:val="000000" w:themeColor="text1"/>
          <w:sz w:val="16"/>
          <w:szCs w:val="16"/>
        </w:rPr>
        <w:t>.</w:t>
      </w:r>
      <w:r w:rsidRPr="00640820">
        <w:rPr>
          <w:rFonts w:ascii="Times New Roman" w:hAnsi="Times New Roman"/>
          <w:color w:val="000000" w:themeColor="text1"/>
          <w:sz w:val="16"/>
          <w:szCs w:val="16"/>
          <w:lang w:val="en-US"/>
        </w:rPr>
        <w:t>M</w:t>
      </w:r>
      <w:r w:rsidRPr="00640820">
        <w:rPr>
          <w:rFonts w:ascii="Times New Roman" w:hAnsi="Times New Roman"/>
          <w:color w:val="000000" w:themeColor="text1"/>
          <w:sz w:val="16"/>
          <w:szCs w:val="16"/>
        </w:rPr>
        <w:t>. Собченко.</w:t>
      </w:r>
    </w:p>
    <w:p w14:paraId="4C68383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Подвесной бак крепился на бомбовый замок КД-46 или Дер-31, установленный на специальном узле на переднем лонжероне крыла между девятой и десятой.нервюрами. Бензопровод размещался в носке крыла и крепился к лобовому стрингеру хомутами. Включение баков в работу осуществлялось специальной рукояткой, установленной справа под приборной доской. При этом бензокран основных баков ставился в положение "Закрыто". В магистрали под краном включения-выключения баков устанавливался обратный клапан, предотвращающий выбивание бензина вследствие разряжения в трубопроводе после их сброса и при неполном закрытии крана летчиком. Управление сбросом ПЛБГ-100 было тросовое и выводилось на неиспользовавшуюся рукоятку форсажа мотора. Для осмотра узла подвески и выполнения на нем регламентных работ на верхней поверхности крыла был прорезан лючок, закрывающийся дюралевой крышкой на двух замках "дзус".</w:t>
      </w:r>
    </w:p>
    <w:p w14:paraId="554139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Опасения, что мотор может заглохнуть при переходе на питание от подвесных баков, из-за появления воздушной пробки на участке от баков до обратного клапана, не подтвердились. В проведенных по специальной программе летных испытаниях система работала надежно, чему способствовала небольшая длина участка магистрали и малая разница уровней бензопомпы и подвесных баков. Радиус действия истребителя существенно увеличился. Практический радиус группы из шести Як-1 с подвесными баками с учетом 20% навигационного запаса топлива. запаса топлива на взлет, посадку и 15-ми- нутный воздушный бой составил 207 км, а при тех же условиях для Як-1 без баков практический радиус равнялся 127 км.</w:t>
      </w:r>
    </w:p>
    <w:p w14:paraId="42365B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Широкое применение истребителей для целей воздушной разведки практически с начала боевых действий потребовало установки на них аэрофотоаппаратов (АФА). Для этого Як-1 это были АФА-И (реже АФА-Б), устанавливаемые в фюзеляж за во- дорадиатором. Варианты установки были весьма разнообразны, потому, что получив задание, каждая авиамастерская создавала заново свой проект. Доработкам подвергались обычно единичные экземпляры, но к концу 1943 г., когда резервы модификации и модернизации были исчерпаны, машина все больше использовалась для решения задач разведки и число самолетов, оборудованных АФА, возросло. Одна из дооборудованных АФА машин сохранилась по сей день. Это Як-1 серийный № 08110 - подарок Ф.П. Голо вато го летчику Б.Н. Еремину, экспонирующийся в филиале Саратовского музея краеведения на Соколовой горе. К сожалению, при реставрации в 1944 г. фотолюк на самолете, через который осуществлялась съемка, был заделан. Остался лишь люк на правом борту, через который снимали и устанавливали АФА.</w:t>
      </w:r>
    </w:p>
    <w:p w14:paraId="3A6104A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При рассказе о фронтовых модификациях нельзя не упомянуть о стихийном облегчении самолетов за счет снятия "бесполезного", на взгляд летчиков, кислородного и другого оборудования. Снимались зачастую радиостанции, дальность действия и уровень помех которых поначалу оставляли желать лучшего (к 1942 году, когда необходимость радиосвязи в воздухе была осознана летным составом, зачастую с мест вынужденных посадок летчики забирали с самолетов не только парашют и часы, но и радиостанции). Иногда дело доходило до снятия бронеспинок, но печальный опыт быстро искоренил эти "новации". На самолетах первых серий нередко в частях снимали подвижную часть фонаря кабины. С одной стороны, этим пытались улучшить обзор (к которому привыкли летчики, летавшие на старых типах истребителей), а с другой стороны, ее снимали из-за невозможности открыть на больших скоростях полета при необходимости покинуть самолет (12048).</w:t>
      </w:r>
    </w:p>
    <w:p w14:paraId="36FD76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4B71C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1941—1942 гг. стали периодом смены своеобразных технологических поколений. Причём, вопреки устоявшемуся мнению, глубокие изменения в номен</w:t>
      </w:r>
      <w:r w:rsidRPr="00640820">
        <w:rPr>
          <w:rFonts w:ascii="Times New Roman" w:hAnsi="Times New Roman"/>
          <w:color w:val="000000" w:themeColor="text1"/>
          <w:sz w:val="16"/>
          <w:szCs w:val="16"/>
        </w:rPr>
        <w:softHyphen/>
        <w:t>клатуре производимой авиатехники отнюдь не завершились в 1941 г. Если в 1941 г. соотношение моделей, снятых с выпуска и запущенных в серию, выглядит как 6: 5, то для 1942 г. эта пропорция приобретает вид 2: 4, то есть количество моделей авиатехники, производство которой начато, отличается очень мало. Что же касается моделей самолётов, прекращённых про</w:t>
      </w:r>
      <w:r w:rsidRPr="00640820">
        <w:rPr>
          <w:rFonts w:ascii="Times New Roman" w:hAnsi="Times New Roman"/>
          <w:color w:val="000000" w:themeColor="text1"/>
          <w:sz w:val="16"/>
          <w:szCs w:val="16"/>
        </w:rPr>
        <w:softHyphen/>
        <w:t>изводством, то тут следует выделить две синхронные, но явно сущностно различные тенденции.</w:t>
      </w:r>
    </w:p>
    <w:p w14:paraId="6FC9A5C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rPr>
        <w:t xml:space="preserve">Динамика модельного ряда самолётов, выпускавшихся в СССР в 1940—1945 гг. (Подсчитано по: Самолетостроение в СССР 1917—1945 гг. Кн. 1. М., 1992 С. 432—435; Кн. 2. </w:t>
      </w:r>
      <w:r w:rsidRPr="00640820">
        <w:rPr>
          <w:rFonts w:ascii="Times New Roman" w:hAnsi="Times New Roman"/>
          <w:color w:val="000000" w:themeColor="text1"/>
          <w:sz w:val="16"/>
          <w:szCs w:val="16"/>
          <w:lang w:val="en-US"/>
        </w:rPr>
        <w:t>М., 1994 С. 235—237)</w:t>
      </w:r>
    </w:p>
    <w:tbl>
      <w:tblPr>
        <w:tblW w:w="0" w:type="auto"/>
        <w:tblInd w:w="8" w:type="dxa"/>
        <w:tblLayout w:type="fixed"/>
        <w:tblCellMar>
          <w:left w:w="0" w:type="dxa"/>
          <w:right w:w="0" w:type="dxa"/>
        </w:tblCellMar>
        <w:tblLook w:val="0000" w:firstRow="0" w:lastRow="0" w:firstColumn="0" w:lastColumn="0" w:noHBand="0" w:noVBand="0"/>
      </w:tblPr>
      <w:tblGrid>
        <w:gridCol w:w="2851"/>
        <w:gridCol w:w="509"/>
        <w:gridCol w:w="514"/>
        <w:gridCol w:w="528"/>
        <w:gridCol w:w="494"/>
        <w:gridCol w:w="514"/>
        <w:gridCol w:w="528"/>
      </w:tblGrid>
      <w:tr w:rsidR="00643896" w:rsidRPr="00640820" w14:paraId="1D3AB070" w14:textId="77777777" w:rsidTr="000D3BCB">
        <w:trPr>
          <w:trHeight w:val="413"/>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25EAE2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3F0D60F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1940</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7F4ED9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1941</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0EE892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1942</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0B47F6F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1943</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62DA0E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1944</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6266CF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1945</w:t>
            </w:r>
          </w:p>
        </w:tc>
      </w:tr>
      <w:tr w:rsidR="00643896" w:rsidRPr="00640820" w14:paraId="2B80BA96" w14:textId="77777777" w:rsidTr="000D3BCB">
        <w:trPr>
          <w:trHeight w:val="413"/>
        </w:trPr>
        <w:tc>
          <w:tcPr>
            <w:tcW w:w="5938" w:type="dxa"/>
            <w:gridSpan w:val="7"/>
            <w:tcBorders>
              <w:top w:val="single" w:sz="6" w:space="0" w:color="auto"/>
              <w:left w:val="single" w:sz="6" w:space="0" w:color="auto"/>
              <w:bottom w:val="single" w:sz="6" w:space="0" w:color="auto"/>
              <w:right w:val="single" w:sz="6" w:space="0" w:color="auto"/>
            </w:tcBorders>
            <w:shd w:val="clear" w:color="auto" w:fill="FFFFFF"/>
          </w:tcPr>
          <w:p w14:paraId="6F8F8B2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iCs/>
                <w:color w:val="000000" w:themeColor="text1"/>
                <w:sz w:val="16"/>
                <w:szCs w:val="16"/>
                <w:lang w:val="en-US"/>
              </w:rPr>
              <w:t>Производилось моделей</w:t>
            </w:r>
          </w:p>
          <w:p w14:paraId="70DB63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61EB8E38" w14:textId="77777777" w:rsidTr="000D3BCB">
        <w:trPr>
          <w:trHeight w:val="413"/>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0482DC7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 самолётов</w:t>
            </w:r>
          </w:p>
          <w:p w14:paraId="2B4FADA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том числе:</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2AC48D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15</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5163C8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19</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7C0F806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79BD1E0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16</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673682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18</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3131E3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 '</w:t>
            </w:r>
          </w:p>
        </w:tc>
      </w:tr>
      <w:tr w:rsidR="00643896" w:rsidRPr="00640820" w14:paraId="19C11C6C" w14:textId="77777777" w:rsidTr="000D3BCB">
        <w:trPr>
          <w:trHeight w:val="221"/>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24BBDFB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lastRenderedPageBreak/>
              <w:t>Истребителей</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56828CD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69618B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5E4257B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б</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322D00E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6</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0388281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8</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197788A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w:t>
            </w:r>
          </w:p>
        </w:tc>
      </w:tr>
      <w:tr w:rsidR="00643896" w:rsidRPr="00640820" w14:paraId="62E3D13F" w14:textId="77777777" w:rsidTr="000D3BCB">
        <w:trPr>
          <w:trHeight w:val="221"/>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206C1AD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Штурмовиков</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6E4ED8D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61E17A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221476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0602B4F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30E3FC3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3550413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w:t>
            </w:r>
          </w:p>
        </w:tc>
      </w:tr>
      <w:tr w:rsidR="00643896" w:rsidRPr="00640820" w14:paraId="73B1250D" w14:textId="77777777" w:rsidTr="000D3BCB">
        <w:trPr>
          <w:trHeight w:val="221"/>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58DF43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Бомбардировщиков</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081BB8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2A8A15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iCs/>
                <w:color w:val="000000" w:themeColor="text1"/>
                <w:sz w:val="16"/>
                <w:szCs w:val="16"/>
                <w:lang w:val="en-US"/>
              </w:rPr>
              <w:t>8</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0E63F0D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2B1BAC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5FAC9B1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7BC5F0B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4</w:t>
            </w:r>
          </w:p>
        </w:tc>
      </w:tr>
      <w:tr w:rsidR="00643896" w:rsidRPr="00640820" w14:paraId="21245E84" w14:textId="77777777" w:rsidTr="000D3BCB">
        <w:trPr>
          <w:trHeight w:val="221"/>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6DE74BF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Транспортных</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5D5976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4C197DE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08FF601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4816C2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2C2508E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23D443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w:t>
            </w:r>
          </w:p>
        </w:tc>
      </w:tr>
      <w:tr w:rsidR="00643896" w:rsidRPr="00640820" w14:paraId="10B239C0" w14:textId="77777777" w:rsidTr="000D3BCB">
        <w:trPr>
          <w:trHeight w:val="221"/>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0B4AC24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Учебных</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4E0AD1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1026AE5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36FB8B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6B25D71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25BAA8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04ECEFA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w:t>
            </w:r>
          </w:p>
        </w:tc>
      </w:tr>
      <w:tr w:rsidR="00643896" w:rsidRPr="00640820" w14:paraId="5BB24F9D" w14:textId="77777777" w:rsidTr="000D3BCB">
        <w:trPr>
          <w:trHeight w:val="226"/>
        </w:trPr>
        <w:tc>
          <w:tcPr>
            <w:tcW w:w="5938" w:type="dxa"/>
            <w:gridSpan w:val="7"/>
            <w:tcBorders>
              <w:top w:val="single" w:sz="6" w:space="0" w:color="auto"/>
              <w:left w:val="single" w:sz="6" w:space="0" w:color="auto"/>
              <w:bottom w:val="single" w:sz="6" w:space="0" w:color="auto"/>
              <w:right w:val="single" w:sz="6" w:space="0" w:color="auto"/>
            </w:tcBorders>
            <w:shd w:val="clear" w:color="auto" w:fill="FFFFFF"/>
          </w:tcPr>
          <w:p w14:paraId="205E46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В там числе—типов, снятых с производства в течение года</w:t>
            </w:r>
          </w:p>
        </w:tc>
      </w:tr>
      <w:tr w:rsidR="00643896" w:rsidRPr="00640820" w14:paraId="49AAE9B8" w14:textId="77777777" w:rsidTr="000D3BCB">
        <w:trPr>
          <w:trHeight w:val="408"/>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62A533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 самолётов В том числе:</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76BB133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01DCE96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б</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12F2750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7A803CE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24AD2C9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б</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229503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3EF26576" w14:textId="77777777" w:rsidTr="000D3BCB">
        <w:trPr>
          <w:trHeight w:val="226"/>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3CD523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Истребителей</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57C0597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0</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093514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5456DC4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234D616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0</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6A9E0BB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4C35971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19578CDE" w14:textId="77777777" w:rsidTr="000D3BCB">
        <w:trPr>
          <w:trHeight w:val="216"/>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742B2F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Штурмовиков</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37C4F8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0</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1A7568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0</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252688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0</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5242258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0</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4EA73C7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0</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00C825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10C21CE8" w14:textId="77777777" w:rsidTr="000D3BCB">
        <w:trPr>
          <w:trHeight w:val="226"/>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4EC3E72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Бомбардировщик»</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4C87CBF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0</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10A806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1908020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6341EEB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0</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737033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3284190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423CF68E" w14:textId="77777777" w:rsidTr="000D3BCB">
        <w:trPr>
          <w:trHeight w:val="221"/>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01DBBC9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Транспортных</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65DD905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0</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7FF7440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0</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4BF8C88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0</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2230FD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I</w:t>
            </w:r>
            <w:r w:rsidRPr="00640820">
              <w:rPr>
                <w:rFonts w:ascii="Times New Roman" w:hAnsi="Times New Roman"/>
                <w:color w:val="000000" w:themeColor="text1"/>
                <w:sz w:val="16"/>
                <w:szCs w:val="16"/>
                <w:vertAlign w:val="superscript"/>
                <w:lang w:val="en-US"/>
              </w:rPr>
              <w:t>й</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4C8045D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0</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70031B5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26452459" w14:textId="77777777" w:rsidTr="000D3BCB">
        <w:trPr>
          <w:trHeight w:val="226"/>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37CB7B8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Учебных</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144ED0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iCs/>
                <w:color w:val="000000" w:themeColor="text1"/>
                <w:sz w:val="16"/>
                <w:szCs w:val="16"/>
                <w:lang w:val="en-US"/>
              </w:rPr>
              <w:t>V*</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2EB4902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0</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600A96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0</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1130728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0</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0AA561C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0</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05A501D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r>
      <w:tr w:rsidR="00643896" w:rsidRPr="00640820" w14:paraId="47EDBC2D" w14:textId="77777777" w:rsidTr="000D3BCB">
        <w:trPr>
          <w:trHeight w:val="408"/>
        </w:trPr>
        <w:tc>
          <w:tcPr>
            <w:tcW w:w="5938" w:type="dxa"/>
            <w:gridSpan w:val="7"/>
            <w:tcBorders>
              <w:top w:val="single" w:sz="6" w:space="0" w:color="auto"/>
              <w:left w:val="single" w:sz="6" w:space="0" w:color="auto"/>
              <w:bottom w:val="single" w:sz="6" w:space="0" w:color="auto"/>
              <w:right w:val="single" w:sz="6" w:space="0" w:color="auto"/>
            </w:tcBorders>
            <w:shd w:val="clear" w:color="auto" w:fill="FFFFFF"/>
          </w:tcPr>
          <w:p w14:paraId="4590327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Поставлено на производство новых типов, не выпускавшихся в 1941/не выпускавшихся в предыдущем году</w:t>
            </w:r>
          </w:p>
        </w:tc>
      </w:tr>
      <w:tr w:rsidR="00643896" w:rsidRPr="00640820" w14:paraId="0893A7DC" w14:textId="77777777" w:rsidTr="000D3BCB">
        <w:trPr>
          <w:trHeight w:val="413"/>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0658F13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 самолётов В том числе:</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1D2B009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15C31F8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5/5</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799DB3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9/4</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32084C1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9/2</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035BEF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12/3</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78F5CBA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13/1</w:t>
            </w:r>
          </w:p>
        </w:tc>
      </w:tr>
      <w:tr w:rsidR="00643896" w:rsidRPr="00640820" w14:paraId="465758D8" w14:textId="77777777" w:rsidTr="000D3BCB">
        <w:trPr>
          <w:trHeight w:val="221"/>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239B47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Истребителей</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171AF21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7FC59E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3/3»</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5B5A33D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5/2*</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2E83FDA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iCs/>
                <w:color w:val="000000" w:themeColor="text1"/>
                <w:sz w:val="16"/>
                <w:szCs w:val="16"/>
                <w:lang w:val="en-US"/>
              </w:rPr>
              <w:t>5/1"</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18A69F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7/2-»'</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4B4C39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iCs/>
                <w:color w:val="000000" w:themeColor="text1"/>
                <w:sz w:val="16"/>
                <w:szCs w:val="16"/>
                <w:lang w:val="en-US"/>
              </w:rPr>
              <w:t>7/0</w:t>
            </w:r>
          </w:p>
        </w:tc>
      </w:tr>
      <w:tr w:rsidR="00643896" w:rsidRPr="00640820" w14:paraId="12C9AED0" w14:textId="77777777" w:rsidTr="000D3BCB">
        <w:trPr>
          <w:trHeight w:val="226"/>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1FF83A3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Штурмовиков</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10DD87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1D9C677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143A3FE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19B294E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730731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760E045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w:t>
            </w:r>
          </w:p>
        </w:tc>
      </w:tr>
      <w:tr w:rsidR="00643896" w:rsidRPr="00640820" w14:paraId="1DE41FAF" w14:textId="77777777" w:rsidTr="000D3BCB">
        <w:trPr>
          <w:trHeight w:val="221"/>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5E442B5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Бомбардировщиков</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78408BC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5F3EB7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0404D14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47DE15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2DF313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2/0</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613734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2/0</w:t>
            </w:r>
          </w:p>
        </w:tc>
      </w:tr>
      <w:tr w:rsidR="00643896" w:rsidRPr="00640820" w14:paraId="574E1216" w14:textId="77777777" w:rsidTr="000D3BCB">
        <w:trPr>
          <w:trHeight w:val="226"/>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53A032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Транспорта</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43B9506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374DB2B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ОД)</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3ACD0A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1/1"»</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670AD8B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1/0</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262A17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2/1"*</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37C68E4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2/0</w:t>
            </w:r>
          </w:p>
        </w:tc>
      </w:tr>
      <w:tr w:rsidR="00643896" w:rsidRPr="00640820" w14:paraId="7FBF36BB" w14:textId="77777777" w:rsidTr="000D3BCB">
        <w:trPr>
          <w:trHeight w:val="235"/>
        </w:trPr>
        <w:tc>
          <w:tcPr>
            <w:tcW w:w="2851" w:type="dxa"/>
            <w:tcBorders>
              <w:top w:val="single" w:sz="6" w:space="0" w:color="auto"/>
              <w:left w:val="single" w:sz="6" w:space="0" w:color="auto"/>
              <w:bottom w:val="single" w:sz="6" w:space="0" w:color="auto"/>
              <w:right w:val="single" w:sz="6" w:space="0" w:color="auto"/>
            </w:tcBorders>
            <w:shd w:val="clear" w:color="auto" w:fill="FFFFFF"/>
          </w:tcPr>
          <w:p w14:paraId="6918C85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Учебных</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76CA45C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48E31E5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0/0</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4C10851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0/0</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30CDA8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0/0</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5CBC9F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0/0</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4B43B6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0/0</w:t>
            </w:r>
          </w:p>
        </w:tc>
      </w:tr>
    </w:tbl>
    <w:p w14:paraId="65A399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lang w:val="en-US"/>
        </w:rPr>
      </w:pPr>
      <w:r w:rsidRPr="00640820">
        <w:rPr>
          <w:rFonts w:ascii="Times New Roman" w:hAnsi="Times New Roman"/>
          <w:color w:val="000000" w:themeColor="text1"/>
          <w:sz w:val="16"/>
          <w:szCs w:val="16"/>
          <w:lang w:val="en-US"/>
        </w:rPr>
        <w:t>И-153, И-16, Пе-Збис.</w:t>
      </w:r>
    </w:p>
    <w:p w14:paraId="503BD7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МиГ-3. Строго говоря, решение о прекращении выпуска этого самолёта было принято ещё в 1941 г., а машины, выпущенные в 1942 г., являлись формой утилизации заводского задела.</w:t>
      </w:r>
    </w:p>
    <w:p w14:paraId="22BF08F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Як-1, Як-7, ЛаГГ-З, Ла-5, Пе-Збис.</w:t>
      </w:r>
    </w:p>
    <w:p w14:paraId="15C72EA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СБ, Як-4, Вр-2.</w:t>
      </w:r>
    </w:p>
    <w:p w14:paraId="1556082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Су-2.</w:t>
      </w:r>
    </w:p>
    <w:p w14:paraId="208466B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Пе-8.</w:t>
      </w:r>
    </w:p>
    <w:p w14:paraId="12652F1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Як-б.</w:t>
      </w:r>
    </w:p>
    <w:p w14:paraId="4ECBFF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Ут-3.</w:t>
      </w:r>
    </w:p>
    <w:p w14:paraId="031EB79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Як-7, ЛАГГ-З, Пе-Збис.</w:t>
      </w:r>
    </w:p>
    <w:p w14:paraId="4C763C6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Як-9, Ла-5.</w:t>
      </w:r>
    </w:p>
    <w:p w14:paraId="6EF905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Пе-3.</w:t>
      </w:r>
    </w:p>
    <w:p w14:paraId="624B6F6B"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Як-3 и Ла-7.</w:t>
      </w:r>
    </w:p>
    <w:p w14:paraId="02FE4FC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Ил-10.</w:t>
      </w:r>
    </w:p>
    <w:p w14:paraId="7147AB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Ер-2.</w:t>
      </w:r>
    </w:p>
    <w:p w14:paraId="659608B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Ту-2.</w:t>
      </w:r>
    </w:p>
    <w:p w14:paraId="47D995B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Возобновлено прекращённое в 1942 г. производство Ер-2. Т.о., суммарное ко</w:t>
      </w:r>
      <w:r w:rsidRPr="00640820">
        <w:rPr>
          <w:rFonts w:ascii="Times New Roman" w:hAnsi="Times New Roman"/>
          <w:color w:val="000000" w:themeColor="text1"/>
          <w:sz w:val="16"/>
          <w:szCs w:val="16"/>
        </w:rPr>
        <w:softHyphen/>
        <w:t>личество новых, по сравнеляю с 1940 г., типов бомбардировщиков осталось неизмен</w:t>
      </w:r>
      <w:r w:rsidRPr="00640820">
        <w:rPr>
          <w:rFonts w:ascii="Times New Roman" w:hAnsi="Times New Roman"/>
          <w:color w:val="000000" w:themeColor="text1"/>
          <w:sz w:val="16"/>
          <w:szCs w:val="16"/>
        </w:rPr>
        <w:softHyphen/>
        <w:t>ным.</w:t>
      </w:r>
    </w:p>
    <w:p w14:paraId="01519E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Як-6.</w:t>
      </w:r>
    </w:p>
    <w:p w14:paraId="334D46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Ще-2 (12011).</w:t>
      </w:r>
    </w:p>
    <w:p w14:paraId="36918B0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одной стороны, с конвейе</w:t>
      </w:r>
      <w:r w:rsidRPr="00640820">
        <w:rPr>
          <w:rFonts w:ascii="Times New Roman" w:hAnsi="Times New Roman"/>
          <w:color w:val="000000" w:themeColor="text1"/>
          <w:sz w:val="16"/>
          <w:szCs w:val="16"/>
        </w:rPr>
        <w:softHyphen/>
        <w:t>ра переставали сходить морально устаревшие модели (И-153, И-16, СБ), с другой—НКАП сосредотачивал усилия на прио</w:t>
      </w:r>
      <w:r w:rsidRPr="00640820">
        <w:rPr>
          <w:rFonts w:ascii="Times New Roman" w:hAnsi="Times New Roman"/>
          <w:color w:val="000000" w:themeColor="text1"/>
          <w:sz w:val="16"/>
          <w:szCs w:val="16"/>
        </w:rPr>
        <w:softHyphen/>
        <w:t>ритетных моделях, стремясь избавиться от разнотипности ави</w:t>
      </w:r>
      <w:r w:rsidRPr="00640820">
        <w:rPr>
          <w:rFonts w:ascii="Times New Roman" w:hAnsi="Times New Roman"/>
          <w:color w:val="000000" w:themeColor="text1"/>
          <w:sz w:val="16"/>
          <w:szCs w:val="16"/>
        </w:rPr>
        <w:softHyphen/>
        <w:t>авыпуска. Свою роль сыграл и описанный выше кризис с алю</w:t>
      </w:r>
      <w:r w:rsidRPr="00640820">
        <w:rPr>
          <w:rFonts w:ascii="Times New Roman" w:hAnsi="Times New Roman"/>
          <w:color w:val="000000" w:themeColor="text1"/>
          <w:sz w:val="16"/>
          <w:szCs w:val="16"/>
        </w:rPr>
        <w:softHyphen/>
        <w:t>минием и дюралюминиевыми полуфабрикатами. Неслучайно почти все «новые» модели, снятые с производства в 1941 г., относились к цельнометаллическим аэропланам — Пе-3, Ер-2. Як-4, будучи менее требователен по части цветных металлов, тем не менее также был снят с серийного производства из-за конструктивных недостатков, затруднявших как производство, так и эффективное использование. Таким образом, в 1941 г. мы наблюдаем не только обозначившуюся полигику НКАП в от</w:t>
      </w:r>
      <w:r w:rsidRPr="00640820">
        <w:rPr>
          <w:rFonts w:ascii="Times New Roman" w:hAnsi="Times New Roman"/>
          <w:color w:val="000000" w:themeColor="text1"/>
          <w:sz w:val="16"/>
          <w:szCs w:val="16"/>
        </w:rPr>
        <w:softHyphen/>
        <w:t>ношении модельного ряда, но и финал процесса освобождения авиавыпуска от моделей 1930-х гг., т.е. для 1941 г. будет более верна формула (3+3): 5.</w:t>
      </w:r>
    </w:p>
    <w:p w14:paraId="088F225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Интересно, что первые решения по сокращению тематики разработок по авиамоторостроению относятся уже к началу сентября 1941 г. — было решено в 4-м квартале 1941 г. сосре</w:t>
      </w:r>
      <w:r w:rsidRPr="00640820">
        <w:rPr>
          <w:rFonts w:ascii="Times New Roman" w:hAnsi="Times New Roman"/>
          <w:color w:val="000000" w:themeColor="text1"/>
          <w:sz w:val="16"/>
          <w:szCs w:val="16"/>
        </w:rPr>
        <w:softHyphen/>
        <w:t xml:space="preserve">доточить силы на доведении моторов М-90, М-89, М-89НВ, М-30 и М-20, а также авиавинтов и отдельных авиагрегатов. Тогда же, в сентябре 1941 г., было проведено упорядочивание деятельности учреждений </w:t>
      </w:r>
      <w:r w:rsidRPr="00640820">
        <w:rPr>
          <w:rFonts w:ascii="Times New Roman" w:hAnsi="Times New Roman"/>
          <w:color w:val="000000" w:themeColor="text1"/>
          <w:sz w:val="16"/>
          <w:szCs w:val="16"/>
          <w:lang w:val="en-US"/>
        </w:rPr>
        <w:t>VII</w:t>
      </w:r>
      <w:r w:rsidRPr="00640820">
        <w:rPr>
          <w:rFonts w:ascii="Times New Roman" w:hAnsi="Times New Roman"/>
          <w:color w:val="000000" w:themeColor="text1"/>
          <w:sz w:val="16"/>
          <w:szCs w:val="16"/>
        </w:rPr>
        <w:t xml:space="preserve"> ГУ — заводских ОКБ. Прак</w:t>
      </w:r>
      <w:r w:rsidRPr="00640820">
        <w:rPr>
          <w:rFonts w:ascii="Times New Roman" w:hAnsi="Times New Roman"/>
          <w:color w:val="000000" w:themeColor="text1"/>
          <w:sz w:val="16"/>
          <w:szCs w:val="16"/>
        </w:rPr>
        <w:softHyphen/>
        <w:t>тически все «крупные» темы, связанные с масштабным фи</w:t>
      </w:r>
      <w:r w:rsidRPr="00640820">
        <w:rPr>
          <w:rFonts w:ascii="Times New Roman" w:hAnsi="Times New Roman"/>
          <w:color w:val="000000" w:themeColor="text1"/>
          <w:sz w:val="16"/>
          <w:szCs w:val="16"/>
        </w:rPr>
        <w:softHyphen/>
        <w:t>нансированием и длительными сроками исполнения, были свёрнуты, приоритет отдавался темам с малыми сроками осу</w:t>
      </w:r>
      <w:r w:rsidRPr="00640820">
        <w:rPr>
          <w:rFonts w:ascii="Times New Roman" w:hAnsi="Times New Roman"/>
          <w:color w:val="000000" w:themeColor="text1"/>
          <w:sz w:val="16"/>
          <w:szCs w:val="16"/>
        </w:rPr>
        <w:softHyphen/>
        <w:t>ществления — разработка новых радиаторов, опытных гене</w:t>
      </w:r>
      <w:r w:rsidRPr="00640820">
        <w:rPr>
          <w:rFonts w:ascii="Times New Roman" w:hAnsi="Times New Roman"/>
          <w:color w:val="000000" w:themeColor="text1"/>
          <w:sz w:val="16"/>
          <w:szCs w:val="16"/>
        </w:rPr>
        <w:softHyphen/>
        <w:t>раторов, парашютно-десантного оборудования, систем обо</w:t>
      </w:r>
      <w:r w:rsidRPr="00640820">
        <w:rPr>
          <w:rFonts w:ascii="Times New Roman" w:hAnsi="Times New Roman"/>
          <w:color w:val="000000" w:themeColor="text1"/>
          <w:sz w:val="16"/>
          <w:szCs w:val="16"/>
        </w:rPr>
        <w:softHyphen/>
        <w:t xml:space="preserve">грева самолёта и т.п. В плане разработок </w:t>
      </w:r>
      <w:r w:rsidRPr="00640820">
        <w:rPr>
          <w:rFonts w:ascii="Times New Roman" w:hAnsi="Times New Roman"/>
          <w:color w:val="000000" w:themeColor="text1"/>
          <w:sz w:val="16"/>
          <w:szCs w:val="16"/>
          <w:lang w:val="en-US"/>
        </w:rPr>
        <w:t>VII</w:t>
      </w:r>
      <w:r w:rsidRPr="00640820">
        <w:rPr>
          <w:rFonts w:ascii="Times New Roman" w:hAnsi="Times New Roman"/>
          <w:color w:val="000000" w:themeColor="text1"/>
          <w:sz w:val="16"/>
          <w:szCs w:val="16"/>
        </w:rPr>
        <w:t xml:space="preserve"> ГУ лишь ОКБ двух заводов сохранили масштабные проекты. ОКБ завода № 292 (бывшая часть завода № 115) работало над установкой на планер самолёта Як-1 мотора М-82 и оборудования для пуска реактивных снарядов, а ОКБ завода № 1, эвакуирован</w:t>
      </w:r>
      <w:r w:rsidRPr="00640820">
        <w:rPr>
          <w:rFonts w:ascii="Times New Roman" w:hAnsi="Times New Roman"/>
          <w:color w:val="000000" w:themeColor="text1"/>
          <w:sz w:val="16"/>
          <w:szCs w:val="16"/>
        </w:rPr>
        <w:softHyphen/>
        <w:t xml:space="preserve">ное на завод № 122, но сохранившее автономное положение, исследовало возможность установки мотора М-82 на планер МиГ-3 (РГАЭ. Ф. 8044. </w:t>
      </w:r>
      <w:r w:rsidRPr="00640820">
        <w:rPr>
          <w:rFonts w:ascii="Times New Roman" w:hAnsi="Times New Roman"/>
          <w:color w:val="000000" w:themeColor="text1"/>
          <w:sz w:val="16"/>
          <w:szCs w:val="16"/>
          <w:lang w:val="en-US"/>
        </w:rPr>
        <w:t>On</w:t>
      </w:r>
      <w:r w:rsidRPr="00640820">
        <w:rPr>
          <w:rFonts w:ascii="Times New Roman" w:hAnsi="Times New Roman"/>
          <w:color w:val="000000" w:themeColor="text1"/>
          <w:sz w:val="16"/>
          <w:szCs w:val="16"/>
        </w:rPr>
        <w:t>. 1. Д. 4191. Л. 7—8,20—21).</w:t>
      </w:r>
    </w:p>
    <w:p w14:paraId="7625F5F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1942 г. работа по выводу из серийного производства устаревших моделей завершилась, и динамика модельно</w:t>
      </w:r>
      <w:r w:rsidRPr="00640820">
        <w:rPr>
          <w:rFonts w:ascii="Times New Roman" w:hAnsi="Times New Roman"/>
          <w:color w:val="000000" w:themeColor="text1"/>
          <w:sz w:val="16"/>
          <w:szCs w:val="16"/>
        </w:rPr>
        <w:softHyphen/>
        <w:t>го ряда стала определяться, очевидно, стремлением НКАП сократить количество типов авиатехники в производстве. В этом плане существенных отличий между 1941 и 1942 гг. не просматривается, то есть объёмы изменений в модельном ряду были приблизительно равны.</w:t>
      </w:r>
    </w:p>
    <w:p w14:paraId="295AF18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Очевидно, в 1942 г. НКАП сформировал модельный ряд в таком виде, который, хотя бы в общих чертах, устраивал наркомат, и в 1943 г. никаких существенных подвижек в этом отношении не произошло. Хотя формально 1 модель само</w:t>
      </w:r>
      <w:r w:rsidRPr="00640820">
        <w:rPr>
          <w:rFonts w:ascii="Times New Roman" w:hAnsi="Times New Roman"/>
          <w:color w:val="000000" w:themeColor="text1"/>
          <w:sz w:val="16"/>
          <w:szCs w:val="16"/>
        </w:rPr>
        <w:softHyphen/>
        <w:t>лёта была-таки снята с вооружения, но отказ от легкомотор</w:t>
      </w:r>
      <w:r w:rsidRPr="00640820">
        <w:rPr>
          <w:rFonts w:ascii="Times New Roman" w:hAnsi="Times New Roman"/>
          <w:color w:val="000000" w:themeColor="text1"/>
          <w:sz w:val="16"/>
          <w:szCs w:val="16"/>
        </w:rPr>
        <w:softHyphen/>
        <w:t>ного транспортника Як-6, выпущенного серией менее чем в 400 машин и компенсированного в 1944 г. машиной того же класса (Ще-2), не мог серьезно повлиять на суммарный авиа</w:t>
      </w:r>
      <w:r w:rsidRPr="00640820">
        <w:rPr>
          <w:rFonts w:ascii="Times New Roman" w:hAnsi="Times New Roman"/>
          <w:color w:val="000000" w:themeColor="text1"/>
          <w:sz w:val="16"/>
          <w:szCs w:val="16"/>
        </w:rPr>
        <w:softHyphen/>
        <w:t>выпуск страны (12011).</w:t>
      </w:r>
    </w:p>
    <w:p w14:paraId="20F1BE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519021C" w14:textId="77777777" w:rsidR="00D114F3" w:rsidRPr="00640820" w:rsidRDefault="00D114F3" w:rsidP="00640820">
      <w:pPr>
        <w:pStyle w:val="ae"/>
        <w:shd w:val="clear" w:color="auto" w:fill="FFFFFF"/>
        <w:spacing w:before="0" w:after="0"/>
        <w:jc w:val="both"/>
        <w:rPr>
          <w:color w:val="000000" w:themeColor="text1"/>
          <w:sz w:val="16"/>
          <w:szCs w:val="16"/>
        </w:rPr>
      </w:pPr>
      <w:r w:rsidRPr="00640820">
        <w:rPr>
          <w:color w:val="000000" w:themeColor="text1"/>
          <w:sz w:val="16"/>
          <w:szCs w:val="16"/>
        </w:rPr>
        <w:t>В 1941—1942 гг. под руководством Р.Л. Бартини разрабатывался проект самолета «Р». Это должен был быть околозву ковой одноместный истребитель типа «летающее крыло» с кры лом малого удлинения с большой переменной по размаху стре ловидностью передней кромки, с двухкилевым вертикальным оперением на концах крыла и с однолыжным убираемым шас си. На самолете «Р» Р.Л. Бартини предлагал применить плос кие комбинированные ПВРД, которые собирался разместить в крыле с предусмотренными для них выходными соплами, вы полненными в виде щелей на верхней поверхности крыла.</w:t>
      </w:r>
    </w:p>
    <w:p w14:paraId="5B72D67E" w14:textId="77777777" w:rsidR="00D114F3" w:rsidRPr="00640820" w:rsidRDefault="00D114F3" w:rsidP="00640820">
      <w:pPr>
        <w:pStyle w:val="ae"/>
        <w:shd w:val="clear" w:color="auto" w:fill="FFFFFF"/>
        <w:spacing w:before="0" w:after="0"/>
        <w:jc w:val="both"/>
        <w:rPr>
          <w:color w:val="000000" w:themeColor="text1"/>
          <w:sz w:val="16"/>
          <w:szCs w:val="16"/>
        </w:rPr>
      </w:pPr>
      <w:r w:rsidRPr="00640820">
        <w:rPr>
          <w:color w:val="000000" w:themeColor="text1"/>
          <w:sz w:val="16"/>
          <w:szCs w:val="16"/>
        </w:rPr>
        <w:t>Двигательная установка была скомпонована по принципу газодинамического слияния несущих и тянущих устройств — слияния двигателя и крыла. Это предполагалось достичь пре вращением внешних отсеков крыла в плоские прямоточные комбинированные двигатели, в которых бы применялась ин жекция воздуха перегретыми парами топлива и окислителя с рекуперацией внутреннего и внешнего нагрева поверхности конструкции (19586).</w:t>
      </w:r>
    </w:p>
    <w:p w14:paraId="5F9B9662" w14:textId="77777777" w:rsidR="00D114F3" w:rsidRPr="00640820" w:rsidRDefault="00D114F3" w:rsidP="00640820">
      <w:pPr>
        <w:spacing w:after="0" w:line="240" w:lineRule="auto"/>
        <w:jc w:val="both"/>
        <w:rPr>
          <w:rFonts w:ascii="Times New Roman" w:hAnsi="Times New Roman"/>
          <w:color w:val="000000" w:themeColor="text1"/>
          <w:sz w:val="16"/>
          <w:szCs w:val="16"/>
        </w:rPr>
      </w:pPr>
    </w:p>
    <w:p w14:paraId="6EE51C0B" w14:textId="77777777" w:rsidR="00D114F3" w:rsidRPr="00640820" w:rsidRDefault="00D114F3" w:rsidP="00640820">
      <w:pPr>
        <w:pStyle w:val="ae"/>
        <w:shd w:val="clear" w:color="auto" w:fill="FFFFFF"/>
        <w:spacing w:before="0" w:after="0"/>
        <w:jc w:val="both"/>
        <w:rPr>
          <w:color w:val="000000" w:themeColor="text1"/>
          <w:sz w:val="16"/>
          <w:szCs w:val="16"/>
        </w:rPr>
      </w:pPr>
      <w:r w:rsidRPr="00640820">
        <w:rPr>
          <w:color w:val="000000" w:themeColor="text1"/>
          <w:sz w:val="16"/>
          <w:szCs w:val="16"/>
        </w:rPr>
        <w:t>В 1941—1942 гг. Р.Л. Бартини разрабатывал два проекта реактивных самолетов. Один из них проект самолета с ЖРД. Это был проект истребителя-перехватчика с четырьмя ЖРД В.П. Глушко по 300 кгс тяги каждый, со стреловидным крылом (стреловидность по передней кромке 33 градуса), име ющим управление пограничным слоем для увеличения аэро динамического качества крыла. Роль шасси выполняла одна убираемая лыжа.</w:t>
      </w:r>
    </w:p>
    <w:p w14:paraId="6671C828" w14:textId="77777777" w:rsidR="00D114F3" w:rsidRPr="00640820" w:rsidRDefault="00D114F3" w:rsidP="00640820">
      <w:pPr>
        <w:pStyle w:val="ae"/>
        <w:shd w:val="clear" w:color="auto" w:fill="FFFFFF"/>
        <w:spacing w:before="0" w:after="0"/>
        <w:jc w:val="both"/>
        <w:rPr>
          <w:color w:val="000000" w:themeColor="text1"/>
          <w:sz w:val="16"/>
          <w:szCs w:val="16"/>
        </w:rPr>
      </w:pPr>
      <w:r w:rsidRPr="00640820">
        <w:rPr>
          <w:color w:val="000000" w:themeColor="text1"/>
          <w:sz w:val="16"/>
          <w:szCs w:val="16"/>
        </w:rPr>
        <w:t>Для такого самолета были разработаны аэродинамические профили «R» и, в частности, профили с отсосом пограничного слоя. На самолете предполагалось установить разрабатываемый инфракрасный локатор. В разработке этого проекта уча ствовали: по технологии — Е.П. Шекунов, по прочности — .Н. Беляев, по локатору — К.Е. Полищук. Это был опере дивший свое время проект, который в те годы осуществить не было возможности. К сожалению, рисунка этого самолета историкам пока удалось обнаружить и здесь еще есть над чем поработать (19586).</w:t>
      </w:r>
    </w:p>
    <w:p w14:paraId="3618919B" w14:textId="77777777" w:rsidR="00D114F3" w:rsidRPr="00640820" w:rsidRDefault="00D114F3" w:rsidP="00640820">
      <w:pPr>
        <w:pStyle w:val="ae"/>
        <w:shd w:val="clear" w:color="auto" w:fill="FFFFFF"/>
        <w:spacing w:before="0" w:after="0"/>
        <w:jc w:val="both"/>
        <w:rPr>
          <w:color w:val="000000" w:themeColor="text1"/>
          <w:sz w:val="16"/>
          <w:szCs w:val="16"/>
        </w:rPr>
      </w:pPr>
    </w:p>
    <w:p w14:paraId="6796B0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lastRenderedPageBreak/>
        <w:t>В 1941-1942 гг. вероятно, часть завода № 209 НКСП, оставшаяся в Ленинграде после эвакуации (действовала на 01.1943 г.</w:t>
      </w:r>
      <w:r w:rsidRPr="00640820">
        <w:rPr>
          <w:rFonts w:ascii="Times New Roman" w:hAnsi="Times New Roman"/>
          <w:color w:val="000000" w:themeColor="text1"/>
          <w:sz w:val="16"/>
          <w:szCs w:val="16"/>
          <w:vertAlign w:val="superscript"/>
        </w:rPr>
        <w:t>65</w:t>
      </w:r>
      <w:r w:rsidRPr="00640820">
        <w:rPr>
          <w:rFonts w:ascii="Times New Roman" w:hAnsi="Times New Roman"/>
          <w:color w:val="000000" w:themeColor="text1"/>
          <w:sz w:val="16"/>
          <w:szCs w:val="16"/>
        </w:rPr>
        <w:t>) получила наименование завод № 333 (Завод № 333 НКСП, Ленинградский государственный завод нм. А.А. Кулакова, ФГУП, ОАО «Завод им. А.А. Кулакова» Россудостроения /197198  г. Ленинград, Санкт-Петербург ул. Яблочкова, 20 тел. 233-29-02/).</w:t>
      </w:r>
    </w:p>
    <w:p w14:paraId="1AFB9D5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После войны восстановлено производство электрослаботочной корабельной аппаратуры.</w:t>
      </w:r>
    </w:p>
    <w:p w14:paraId="41CF04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1946 г. - в ведении МСП, в 1957-65 г. - Управления судостроительной промышленности ЛенСНХ, с 1965 г. - вновь в МСП. В 1965 г. переименован в Ленинградский государственный завод им. А.А. Кулакова. В 1971 г. завод вошел в состав НПО «Кулон», в 1974 г. - в состав НПО «Гранит». В 2003 г. ФГУП вошло в концерн «Гранит- Электрон». По Указу Президента РФ № 1009 от 4.08.2004 г. ОАО вошло в число стратегических оборонных предприятий.</w:t>
      </w:r>
    </w:p>
    <w:p w14:paraId="3DDCD4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Разработка и производство (2005 г.): САУ техническими средствами судов, аппаратура связи (в т.ч. аппаратура внутренней корабельной связи), электроэлементы и электронные блоки, электроэнергетическое оборудование.</w:t>
      </w:r>
    </w:p>
    <w:p w14:paraId="5BC2AD6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Директор (ВОВ)- А.А. Терещенко, (1952 г.)- В.И. Чижов, (1972-76 г.)- Л.Н. Кабачинский, (1976-87 г.)- А.И. Селезнев, (2004 г.-)- В.М. Нарышкин.</w:t>
      </w:r>
    </w:p>
    <w:p w14:paraId="5684650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Зам. директора по производству- В.К. Штейнфельс.</w:t>
      </w:r>
    </w:p>
    <w:p w14:paraId="3025628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Гл. технолог- В.В. Горышин.</w:t>
      </w:r>
      <w:r w:rsidRPr="00640820">
        <w:rPr>
          <w:rFonts w:ascii="Times New Roman" w:hAnsi="Times New Roman"/>
          <w:color w:val="000000" w:themeColor="text1"/>
          <w:sz w:val="16"/>
          <w:szCs w:val="16"/>
          <w:vertAlign w:val="superscript"/>
        </w:rPr>
        <w:t>101</w:t>
      </w:r>
    </w:p>
    <w:p w14:paraId="25411D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iCs/>
          <w:color w:val="000000" w:themeColor="text1"/>
          <w:sz w:val="16"/>
          <w:szCs w:val="16"/>
        </w:rPr>
        <w:t>Производство:</w:t>
      </w:r>
      <w:r w:rsidRPr="00640820">
        <w:rPr>
          <w:rFonts w:ascii="Times New Roman" w:hAnsi="Times New Roman"/>
          <w:color w:val="000000" w:themeColor="text1"/>
          <w:sz w:val="16"/>
          <w:szCs w:val="16"/>
        </w:rPr>
        <w:t xml:space="preserve"> корабельная аппаратура опознавания «Факел-М» (конец 1940-х)- 40.</w:t>
      </w:r>
      <w:r w:rsidRPr="00640820">
        <w:rPr>
          <w:rFonts w:ascii="Times New Roman" w:hAnsi="Times New Roman"/>
          <w:color w:val="000000" w:themeColor="text1"/>
          <w:sz w:val="16"/>
          <w:szCs w:val="16"/>
          <w:vertAlign w:val="superscript"/>
        </w:rPr>
        <w:t>103</w:t>
      </w:r>
    </w:p>
    <w:p w14:paraId="4E1C206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ФГУП «НПП «Сигнал» /193019  г. Санкт-Петербург ул. Книпович, 4 тел. 567-22-33, -83-55/</w:t>
      </w:r>
    </w:p>
    <w:p w14:paraId="28141637"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Предприятие создано в 1944 г. на базе группы специалистов завода им. А.А. Кулакова для разработки и производства аппаратуры документальной связи.</w:t>
      </w:r>
    </w:p>
    <w:p w14:paraId="25A50D0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2005 г. разработано несколько десятков типов аппаратуры пяти поколений для МО, силовых ведомств и госструктур.</w:t>
      </w:r>
    </w:p>
    <w:p w14:paraId="47F29A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410E538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НПО «Кулон»</w:t>
      </w:r>
    </w:p>
    <w:p w14:paraId="5DA810F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составе НПО - завод «п/я Х-5425» ( г. Ленинград).</w:t>
      </w:r>
    </w:p>
    <w:p w14:paraId="13A02EF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«Кулон», М-5569 / г. Ленинград/</w:t>
      </w:r>
    </w:p>
    <w:p w14:paraId="0336CC5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Имел наименование «п/я М-5569» (11982).</w:t>
      </w:r>
    </w:p>
    <w:p w14:paraId="684AF7A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1F0CBDA2" w14:textId="77777777" w:rsidR="00045010" w:rsidRPr="00640820" w:rsidRDefault="00C46E94" w:rsidP="00640820">
      <w:pPr>
        <w:autoSpaceDE w:val="0"/>
        <w:autoSpaceDN w:val="0"/>
        <w:adjustRightInd w:val="0"/>
        <w:spacing w:after="0" w:line="240" w:lineRule="auto"/>
        <w:jc w:val="both"/>
        <w:rPr>
          <w:rFonts w:ascii="Times New Roman" w:hAnsi="Times New Roman"/>
          <w:iCs/>
          <w:color w:val="000000" w:themeColor="text1"/>
          <w:sz w:val="16"/>
          <w:szCs w:val="16"/>
        </w:rPr>
      </w:pPr>
      <w:r w:rsidRPr="00640820">
        <w:rPr>
          <w:rFonts w:ascii="Times New Roman" w:hAnsi="Times New Roman"/>
          <w:i/>
          <w:iCs/>
          <w:color w:val="000000" w:themeColor="text1"/>
          <w:sz w:val="16"/>
          <w:szCs w:val="16"/>
        </w:rPr>
        <w:t>Другие оборонные отрасли:</w:t>
      </w:r>
    </w:p>
    <w:p w14:paraId="46D3BE27" w14:textId="77777777" w:rsidR="00045010" w:rsidRPr="00640820" w:rsidRDefault="00045010" w:rsidP="00640820">
      <w:pPr>
        <w:autoSpaceDE w:val="0"/>
        <w:autoSpaceDN w:val="0"/>
        <w:adjustRightInd w:val="0"/>
        <w:spacing w:after="0" w:line="240" w:lineRule="auto"/>
        <w:jc w:val="both"/>
        <w:rPr>
          <w:rFonts w:ascii="Times New Roman" w:hAnsi="Times New Roman"/>
          <w:iCs/>
          <w:color w:val="000000" w:themeColor="text1"/>
          <w:sz w:val="16"/>
          <w:szCs w:val="16"/>
        </w:rPr>
      </w:pPr>
    </w:p>
    <w:p w14:paraId="4432B0E4" w14:textId="77777777" w:rsidR="000E0937" w:rsidRPr="00640820" w:rsidRDefault="000E0937" w:rsidP="00640820">
      <w:pPr>
        <w:pStyle w:val="rtejustify"/>
        <w:shd w:val="clear" w:color="auto" w:fill="FFFFFF"/>
        <w:spacing w:before="0" w:after="0"/>
        <w:rPr>
          <w:color w:val="000000" w:themeColor="text1"/>
          <w:sz w:val="16"/>
          <w:szCs w:val="16"/>
        </w:rPr>
      </w:pPr>
      <w:r w:rsidRPr="00640820">
        <w:rPr>
          <w:color w:val="000000" w:themeColor="text1"/>
          <w:sz w:val="16"/>
          <w:szCs w:val="16"/>
        </w:rPr>
        <w:t>В 1941-1945 Производство беприпасов</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2120"/>
        <w:gridCol w:w="410"/>
        <w:gridCol w:w="410"/>
        <w:gridCol w:w="410"/>
        <w:gridCol w:w="410"/>
        <w:gridCol w:w="410"/>
        <w:gridCol w:w="500"/>
      </w:tblGrid>
      <w:tr w:rsidR="00643896" w:rsidRPr="00640820" w14:paraId="37B430A7" w14:textId="77777777" w:rsidTr="00150B3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B8E2AF" w14:textId="77777777" w:rsidR="000E0937" w:rsidRPr="00640820" w:rsidRDefault="000E09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Виды боеприпасов (млн.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ADD34D5" w14:textId="77777777" w:rsidR="000E0937" w:rsidRPr="00640820" w:rsidRDefault="000E09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1941</w:t>
            </w:r>
          </w:p>
        </w:tc>
        <w:tc>
          <w:tcPr>
            <w:tcW w:w="0" w:type="auto"/>
            <w:tcBorders>
              <w:top w:val="outset" w:sz="6" w:space="0" w:color="auto"/>
              <w:left w:val="outset" w:sz="6" w:space="0" w:color="auto"/>
              <w:bottom w:val="outset" w:sz="6" w:space="0" w:color="auto"/>
              <w:right w:val="outset" w:sz="6" w:space="0" w:color="auto"/>
            </w:tcBorders>
            <w:vAlign w:val="center"/>
            <w:hideMark/>
          </w:tcPr>
          <w:p w14:paraId="5340A060" w14:textId="77777777" w:rsidR="000E0937" w:rsidRPr="00640820" w:rsidRDefault="000E09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1942</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56A46" w14:textId="77777777" w:rsidR="000E0937" w:rsidRPr="00640820" w:rsidRDefault="000E09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1943</w:t>
            </w:r>
          </w:p>
        </w:tc>
        <w:tc>
          <w:tcPr>
            <w:tcW w:w="0" w:type="auto"/>
            <w:tcBorders>
              <w:top w:val="outset" w:sz="6" w:space="0" w:color="auto"/>
              <w:left w:val="outset" w:sz="6" w:space="0" w:color="auto"/>
              <w:bottom w:val="outset" w:sz="6" w:space="0" w:color="auto"/>
              <w:right w:val="outset" w:sz="6" w:space="0" w:color="auto"/>
            </w:tcBorders>
            <w:vAlign w:val="center"/>
            <w:hideMark/>
          </w:tcPr>
          <w:p w14:paraId="74DAF2BE" w14:textId="77777777" w:rsidR="000E0937" w:rsidRPr="00640820" w:rsidRDefault="000E09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1944</w:t>
            </w:r>
          </w:p>
        </w:tc>
        <w:tc>
          <w:tcPr>
            <w:tcW w:w="0" w:type="auto"/>
            <w:tcBorders>
              <w:top w:val="outset" w:sz="6" w:space="0" w:color="auto"/>
              <w:left w:val="outset" w:sz="6" w:space="0" w:color="auto"/>
              <w:bottom w:val="outset" w:sz="6" w:space="0" w:color="auto"/>
              <w:right w:val="outset" w:sz="6" w:space="0" w:color="auto"/>
            </w:tcBorders>
            <w:vAlign w:val="center"/>
            <w:hideMark/>
          </w:tcPr>
          <w:p w14:paraId="0E9F51D9" w14:textId="77777777" w:rsidR="000E0937" w:rsidRPr="00640820" w:rsidRDefault="000E09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1945</w:t>
            </w:r>
          </w:p>
        </w:tc>
        <w:tc>
          <w:tcPr>
            <w:tcW w:w="0" w:type="auto"/>
            <w:tcBorders>
              <w:top w:val="outset" w:sz="6" w:space="0" w:color="auto"/>
              <w:left w:val="outset" w:sz="6" w:space="0" w:color="auto"/>
              <w:bottom w:val="outset" w:sz="6" w:space="0" w:color="auto"/>
              <w:right w:val="outset" w:sz="6" w:space="0" w:color="auto"/>
            </w:tcBorders>
            <w:vAlign w:val="center"/>
            <w:hideMark/>
          </w:tcPr>
          <w:p w14:paraId="111397D3" w14:textId="77777777" w:rsidR="000E0937" w:rsidRPr="00640820" w:rsidRDefault="000E09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Всего</w:t>
            </w:r>
          </w:p>
        </w:tc>
      </w:tr>
      <w:tr w:rsidR="00643896" w:rsidRPr="00640820" w14:paraId="24F62EAE" w14:textId="77777777" w:rsidTr="00150B3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BB3696" w14:textId="77777777" w:rsidR="000E0937" w:rsidRPr="00640820" w:rsidRDefault="000E09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Минометные выстрелы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729C9A6" w14:textId="77777777" w:rsidR="000E0937" w:rsidRPr="00640820" w:rsidRDefault="000E09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24,9</w:t>
            </w:r>
          </w:p>
        </w:tc>
        <w:tc>
          <w:tcPr>
            <w:tcW w:w="0" w:type="auto"/>
            <w:tcBorders>
              <w:top w:val="outset" w:sz="6" w:space="0" w:color="auto"/>
              <w:left w:val="outset" w:sz="6" w:space="0" w:color="auto"/>
              <w:bottom w:val="outset" w:sz="6" w:space="0" w:color="auto"/>
              <w:right w:val="outset" w:sz="6" w:space="0" w:color="auto"/>
            </w:tcBorders>
            <w:vAlign w:val="center"/>
            <w:hideMark/>
          </w:tcPr>
          <w:p w14:paraId="09299EC7" w14:textId="77777777" w:rsidR="000E0937" w:rsidRPr="00640820" w:rsidRDefault="000E09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53,9</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CF7FC" w14:textId="77777777" w:rsidR="000E0937" w:rsidRPr="00640820" w:rsidRDefault="000E09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75,7</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24129" w14:textId="77777777" w:rsidR="000E0937" w:rsidRPr="00640820" w:rsidRDefault="000E09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78,6</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A87BA" w14:textId="77777777" w:rsidR="000E0937" w:rsidRPr="00640820" w:rsidRDefault="000E09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35,2</w:t>
            </w:r>
          </w:p>
        </w:tc>
        <w:tc>
          <w:tcPr>
            <w:tcW w:w="0" w:type="auto"/>
            <w:tcBorders>
              <w:top w:val="outset" w:sz="6" w:space="0" w:color="auto"/>
              <w:left w:val="outset" w:sz="6" w:space="0" w:color="auto"/>
              <w:bottom w:val="outset" w:sz="6" w:space="0" w:color="auto"/>
              <w:right w:val="outset" w:sz="6" w:space="0" w:color="auto"/>
            </w:tcBorders>
            <w:vAlign w:val="center"/>
            <w:hideMark/>
          </w:tcPr>
          <w:p w14:paraId="2705CF80" w14:textId="77777777" w:rsidR="000E0937" w:rsidRPr="00640820" w:rsidRDefault="000E09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268,3</w:t>
            </w:r>
          </w:p>
        </w:tc>
      </w:tr>
      <w:tr w:rsidR="00643896" w:rsidRPr="00640820" w14:paraId="03E2CA4F" w14:textId="77777777" w:rsidTr="00150B3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698023" w14:textId="77777777" w:rsidR="000E0937" w:rsidRPr="00640820" w:rsidRDefault="000E09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Инженерные мины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16577A9" w14:textId="77777777" w:rsidR="000E0937" w:rsidRPr="00640820" w:rsidRDefault="000E09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3CAC6A08" w14:textId="77777777" w:rsidR="000E0937" w:rsidRPr="00640820" w:rsidRDefault="000E09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3D6C945E" w14:textId="77777777" w:rsidR="000E0937" w:rsidRPr="00640820" w:rsidRDefault="000E09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20,4</w:t>
            </w:r>
          </w:p>
        </w:tc>
        <w:tc>
          <w:tcPr>
            <w:tcW w:w="0" w:type="auto"/>
            <w:tcBorders>
              <w:top w:val="outset" w:sz="6" w:space="0" w:color="auto"/>
              <w:left w:val="outset" w:sz="6" w:space="0" w:color="auto"/>
              <w:bottom w:val="outset" w:sz="6" w:space="0" w:color="auto"/>
              <w:right w:val="outset" w:sz="6" w:space="0" w:color="auto"/>
            </w:tcBorders>
            <w:vAlign w:val="center"/>
            <w:hideMark/>
          </w:tcPr>
          <w:p w14:paraId="09849D5D" w14:textId="77777777" w:rsidR="000E0937" w:rsidRPr="00640820" w:rsidRDefault="000E09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18,9</w:t>
            </w:r>
          </w:p>
        </w:tc>
        <w:tc>
          <w:tcPr>
            <w:tcW w:w="0" w:type="auto"/>
            <w:tcBorders>
              <w:top w:val="outset" w:sz="6" w:space="0" w:color="auto"/>
              <w:left w:val="outset" w:sz="6" w:space="0" w:color="auto"/>
              <w:bottom w:val="outset" w:sz="6" w:space="0" w:color="auto"/>
              <w:right w:val="outset" w:sz="6" w:space="0" w:color="auto"/>
            </w:tcBorders>
            <w:vAlign w:val="center"/>
            <w:hideMark/>
          </w:tcPr>
          <w:p w14:paraId="3F95A9A4" w14:textId="77777777" w:rsidR="000E0937" w:rsidRPr="00640820" w:rsidRDefault="000E09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B99BC89" w14:textId="77777777" w:rsidR="000E0937" w:rsidRPr="00640820" w:rsidRDefault="000E09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67,7</w:t>
            </w:r>
          </w:p>
        </w:tc>
      </w:tr>
      <w:tr w:rsidR="00643896" w:rsidRPr="00640820" w14:paraId="6A6CBA05" w14:textId="77777777" w:rsidTr="00150B3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77F9F7" w14:textId="77777777" w:rsidR="000E0937" w:rsidRPr="00640820" w:rsidRDefault="000E09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Ручные гранаты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BBD3439" w14:textId="77777777" w:rsidR="000E0937" w:rsidRPr="00640820" w:rsidRDefault="000E09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95117" w14:textId="77777777" w:rsidR="000E0937" w:rsidRPr="00640820" w:rsidRDefault="000E09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F8A5CB" w14:textId="77777777" w:rsidR="000E0937" w:rsidRPr="00640820" w:rsidRDefault="000E09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48,7</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D0654" w14:textId="77777777" w:rsidR="000E0937" w:rsidRPr="00640820" w:rsidRDefault="000E09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39,4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0E8BD72" w14:textId="77777777" w:rsidR="000E0937" w:rsidRPr="00640820" w:rsidRDefault="000E09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20,8</w:t>
            </w:r>
          </w:p>
        </w:tc>
        <w:tc>
          <w:tcPr>
            <w:tcW w:w="0" w:type="auto"/>
            <w:tcBorders>
              <w:top w:val="outset" w:sz="6" w:space="0" w:color="auto"/>
              <w:left w:val="outset" w:sz="6" w:space="0" w:color="auto"/>
              <w:bottom w:val="outset" w:sz="6" w:space="0" w:color="auto"/>
              <w:right w:val="outset" w:sz="6" w:space="0" w:color="auto"/>
            </w:tcBorders>
            <w:vAlign w:val="center"/>
            <w:hideMark/>
          </w:tcPr>
          <w:p w14:paraId="2BB8C510" w14:textId="77777777" w:rsidR="000E0937" w:rsidRPr="00640820" w:rsidRDefault="000E0937" w:rsidP="00640820">
            <w:pPr>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175,6</w:t>
            </w:r>
          </w:p>
        </w:tc>
      </w:tr>
    </w:tbl>
    <w:p w14:paraId="68294F65" w14:textId="77777777" w:rsidR="000E0937" w:rsidRPr="00640820" w:rsidRDefault="000E0937" w:rsidP="00640820">
      <w:pPr>
        <w:pStyle w:val="rtejustify"/>
        <w:shd w:val="clear" w:color="auto" w:fill="FFFFFF"/>
        <w:spacing w:before="0" w:after="0"/>
        <w:rPr>
          <w:color w:val="000000" w:themeColor="text1"/>
          <w:sz w:val="16"/>
          <w:szCs w:val="16"/>
        </w:rPr>
      </w:pPr>
      <w:r w:rsidRPr="00640820">
        <w:rPr>
          <w:color w:val="000000" w:themeColor="text1"/>
          <w:sz w:val="16"/>
          <w:szCs w:val="16"/>
        </w:rPr>
        <w:t>В т.ч. в ГУЛАГ:</w:t>
      </w:r>
    </w:p>
    <w:p w14:paraId="13D7C005" w14:textId="77777777" w:rsidR="000E0937" w:rsidRPr="00640820" w:rsidRDefault="000E0937" w:rsidP="00640820">
      <w:pPr>
        <w:pStyle w:val="rtejustify"/>
        <w:shd w:val="clear" w:color="auto" w:fill="FFFFFF"/>
        <w:spacing w:before="0" w:after="0"/>
        <w:rPr>
          <w:color w:val="000000" w:themeColor="text1"/>
          <w:sz w:val="16"/>
          <w:szCs w:val="16"/>
        </w:rPr>
      </w:pPr>
      <w:r w:rsidRPr="00640820">
        <w:rPr>
          <w:color w:val="000000" w:themeColor="text1"/>
          <w:sz w:val="16"/>
          <w:szCs w:val="16"/>
        </w:rPr>
        <w:t>Корпусов мин — 37685,7 тыс. шт.</w:t>
      </w:r>
    </w:p>
    <w:p w14:paraId="56EE29A0" w14:textId="77777777" w:rsidR="000E0937" w:rsidRPr="00640820" w:rsidRDefault="000E0937" w:rsidP="00640820">
      <w:pPr>
        <w:pStyle w:val="rtejustify"/>
        <w:shd w:val="clear" w:color="auto" w:fill="FFFFFF"/>
        <w:spacing w:before="0" w:after="0"/>
        <w:rPr>
          <w:color w:val="000000" w:themeColor="text1"/>
          <w:sz w:val="16"/>
          <w:szCs w:val="16"/>
        </w:rPr>
      </w:pPr>
      <w:r w:rsidRPr="00640820">
        <w:rPr>
          <w:color w:val="000000" w:themeColor="text1"/>
          <w:sz w:val="16"/>
          <w:szCs w:val="16"/>
        </w:rPr>
        <w:t>Ручных гранат — 25269, 6 тыс. шт.</w:t>
      </w:r>
    </w:p>
    <w:p w14:paraId="09BFC69B" w14:textId="77777777" w:rsidR="000E0937" w:rsidRPr="00640820" w:rsidRDefault="000E0937" w:rsidP="00640820">
      <w:pPr>
        <w:pStyle w:val="rtejustify"/>
        <w:shd w:val="clear" w:color="auto" w:fill="FFFFFF"/>
        <w:spacing w:before="0" w:after="0"/>
        <w:rPr>
          <w:color w:val="000000" w:themeColor="text1"/>
          <w:sz w:val="16"/>
          <w:szCs w:val="16"/>
        </w:rPr>
      </w:pPr>
      <w:r w:rsidRPr="00640820">
        <w:rPr>
          <w:color w:val="000000" w:themeColor="text1"/>
          <w:sz w:val="16"/>
          <w:szCs w:val="16"/>
        </w:rPr>
        <w:t>Инженерных мин — 14775,1 тыс. шт.</w:t>
      </w:r>
    </w:p>
    <w:p w14:paraId="1D32D5DE" w14:textId="77777777" w:rsidR="000E0937" w:rsidRPr="00640820" w:rsidRDefault="000E0937" w:rsidP="00640820">
      <w:pPr>
        <w:pStyle w:val="rtejustify"/>
        <w:shd w:val="clear" w:color="auto" w:fill="FFFFFF"/>
        <w:spacing w:before="0" w:after="0"/>
        <w:rPr>
          <w:color w:val="000000" w:themeColor="text1"/>
          <w:sz w:val="16"/>
          <w:szCs w:val="16"/>
        </w:rPr>
      </w:pPr>
      <w:r w:rsidRPr="00640820">
        <w:rPr>
          <w:color w:val="000000" w:themeColor="text1"/>
          <w:sz w:val="16"/>
          <w:szCs w:val="16"/>
        </w:rPr>
        <w:t>Таким образом, хозяйственными подразделениями НКВД выпущено 14% минометных боеприпасов, 22% инженерных мин и 14% ручных гранат, поставленных промышленностью вооруженным силам (ГАРФ. Ф. 9414. Оп. 1. д. 2060. Л. 1.).</w:t>
      </w:r>
    </w:p>
    <w:p w14:paraId="424369E9" w14:textId="77777777" w:rsidR="000E0937" w:rsidRPr="00640820" w:rsidRDefault="000E0937" w:rsidP="00640820">
      <w:pPr>
        <w:pStyle w:val="rtejustify"/>
        <w:shd w:val="clear" w:color="auto" w:fill="FFFFFF"/>
        <w:spacing w:before="0" w:after="0"/>
        <w:rPr>
          <w:color w:val="000000" w:themeColor="text1"/>
          <w:sz w:val="16"/>
          <w:szCs w:val="16"/>
        </w:rPr>
      </w:pPr>
      <w:r w:rsidRPr="00640820">
        <w:rPr>
          <w:color w:val="000000" w:themeColor="text1"/>
          <w:sz w:val="16"/>
          <w:szCs w:val="16"/>
        </w:rPr>
        <w:t>Помимо боеприпасов, колониями и лагерными отделениями было произведено 27900 тыс. комплектов спецукупорки для мин, снарядов и авиабомб, 500 тыс. катушек для телефонного кабеля, 30 тыс. укороченных лодок- волокуш (УЛВ), 1700 тыс. противогазных масок, 2250 т медного снарядного пояска (ГУЛАГ в годы войны. Доклад начальника ГУЛАГа В. Г. Наседкина Л. П. Берии // Исторический архив, 1994, №3. С. 62—63.).</w:t>
      </w:r>
    </w:p>
    <w:p w14:paraId="2F42D554" w14:textId="77777777" w:rsidR="000E0937" w:rsidRPr="00640820" w:rsidRDefault="000E0937" w:rsidP="00640820">
      <w:pPr>
        <w:pStyle w:val="rtejustify"/>
        <w:shd w:val="clear" w:color="auto" w:fill="FFFFFF"/>
        <w:spacing w:before="0" w:after="0"/>
        <w:rPr>
          <w:color w:val="000000" w:themeColor="text1"/>
          <w:sz w:val="16"/>
          <w:szCs w:val="16"/>
        </w:rPr>
      </w:pPr>
      <w:r w:rsidRPr="00640820">
        <w:rPr>
          <w:color w:val="000000" w:themeColor="text1"/>
          <w:sz w:val="16"/>
          <w:szCs w:val="16"/>
        </w:rPr>
        <w:t>До войны все военные заводы и мастерские Главного артиллерийского управления РККА снабжались кожтехническими изделиями (уплотнительными кольцами, прокладками и т.д.) московской ИТК №1. После эвакуации последней в октябре 1941 г. производство было перебазировано в ИТК №5 города Кунгура. Одновременно, учитывая сложность получения в военное время высококачественной кожи, специалисты 4-го спецотдела НКВД и колонии разработали метод изготовления уплотнителей из поливинилхлорида. Технология была отлажена в 1942 году, а с 1943 г. уплотнители и прокладки были успешно внедрены на 135 оборонных предприятиях, что позволило только за 1943 г сэкономить 75 тонн натуральной кожи.</w:t>
      </w:r>
    </w:p>
    <w:p w14:paraId="31FECE82" w14:textId="77777777" w:rsidR="000E0937" w:rsidRPr="00640820" w:rsidRDefault="000E0937" w:rsidP="00640820">
      <w:pPr>
        <w:pStyle w:val="rtejustify"/>
        <w:shd w:val="clear" w:color="auto" w:fill="FFFFFF"/>
        <w:spacing w:before="0" w:after="0"/>
        <w:rPr>
          <w:color w:val="000000" w:themeColor="text1"/>
          <w:sz w:val="16"/>
          <w:szCs w:val="16"/>
        </w:rPr>
      </w:pPr>
      <w:r w:rsidRPr="00640820">
        <w:rPr>
          <w:color w:val="000000" w:themeColor="text1"/>
          <w:sz w:val="16"/>
          <w:szCs w:val="16"/>
        </w:rPr>
        <w:t>За годы войны колониями было пошито 22 млн» единиц обмундирования для Красной Армии. В это число не включалась обувь, изготовленная на предприятиях ГУЛАГа, а также ватные штаны и телогрейки, не являвшиеся, согласно военной терминологии того времени, предметами обмундирования. Фактически в данную группу были включены такие виды изделий, как гимнастерки (суконные и хлопчатобумажные), шаровары и шинели. Всего же, по данным доклада начальника Штаба тыла Красной Армии М. П. Миловского от 26 июня 1946 г, посвященного итогам работы тыла в годы войны, вооруженные силы получили 36580 тыс. шинелей, 76768 тыс. гимнастерок, 64064 тыс. шаровар, т.е. всего 177412 тыс. предметов. Из этого числа исправительно-трудовые колонии и лагерные отделения поставили примерно 12%.</w:t>
      </w:r>
    </w:p>
    <w:p w14:paraId="174526A6" w14:textId="77777777" w:rsidR="000E0937" w:rsidRPr="00640820" w:rsidRDefault="000E0937" w:rsidP="00640820">
      <w:pPr>
        <w:pStyle w:val="rtejustify"/>
        <w:shd w:val="clear" w:color="auto" w:fill="FFFFFF"/>
        <w:spacing w:before="0" w:after="0"/>
        <w:rPr>
          <w:color w:val="000000" w:themeColor="text1"/>
          <w:sz w:val="16"/>
          <w:szCs w:val="16"/>
        </w:rPr>
      </w:pPr>
      <w:r w:rsidRPr="00640820">
        <w:rPr>
          <w:color w:val="000000" w:themeColor="text1"/>
          <w:sz w:val="16"/>
          <w:szCs w:val="16"/>
        </w:rPr>
        <w:t>рабочая сила, поставленная НКВД к 1944 году, составляла 55% от числа всех занятых на производстве в ключевых оборонных наркоматах. В 1944 г</w:t>
      </w:r>
      <w:r w:rsidRPr="00640820">
        <w:rPr>
          <w:rStyle w:val="a7"/>
          <w:b w:val="0"/>
          <w:color w:val="000000" w:themeColor="text1"/>
          <w:sz w:val="16"/>
          <w:szCs w:val="16"/>
        </w:rPr>
        <w:t>.</w:t>
      </w:r>
      <w:r w:rsidRPr="00640820">
        <w:rPr>
          <w:color w:val="000000" w:themeColor="text1"/>
          <w:sz w:val="16"/>
          <w:szCs w:val="16"/>
        </w:rPr>
        <w:t xml:space="preserve"> численность рабочих и служащих на предприятиях НКАП, НКБ, НКМВ, НКСП и Наркомтанкопрома составляла около 1671 тыс. чел. (15473).</w:t>
      </w:r>
    </w:p>
    <w:p w14:paraId="52E8647A" w14:textId="77777777" w:rsidR="000E0937" w:rsidRPr="00640820" w:rsidRDefault="000E0937" w:rsidP="00640820">
      <w:pPr>
        <w:pStyle w:val="rtejustify"/>
        <w:shd w:val="clear" w:color="auto" w:fill="FFFFFF"/>
        <w:spacing w:before="0" w:after="0"/>
        <w:rPr>
          <w:color w:val="000000" w:themeColor="text1"/>
          <w:sz w:val="16"/>
          <w:szCs w:val="16"/>
        </w:rPr>
      </w:pPr>
    </w:p>
    <w:p w14:paraId="386382A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1939-1941 годах на заводе "Баррикады" было изготовлено 12 скрепленных и лейнированных стволов 406/50-мм пушки Б-37 (3861).</w:t>
      </w:r>
    </w:p>
    <w:p w14:paraId="5C98DEF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FAEABC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1939-1941 годах на заводе "Баррикады" было изготовлено 12 скрепленных и лейнированных стволов Б-37, которые предназначались для вооружения линкора типа "Советский Союз" (проект 23). Пушку Б-37 406/50-мм спроектировало КБ завода "Большевик" совместно с КБ ЛМЗ и НИИ-13 в двух вариантах скрепленном и лейнированном. Скрепленный ствол состоял из внутренней трубы, 4-х скрепляющих цилиндров, кожуха и казенника. Крепление казенника на ствол (впервые в отечественной артиллерии) было не на резьбе, а шпильками и упорным кольцом. Затвор поршневой двухтактный с 3-х ступенчатой нарезкой, открывался вверх и имел пневматический уравновешивающий механизм. Приводы затвора от электродвигателя и вручную (3861).</w:t>
      </w:r>
    </w:p>
    <w:p w14:paraId="1B01E4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29EC3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1939-1941 годах на заводе "Баррикады" было изготовлено 12 скрепленных и лейнированных стволов пушки Б-37 406/50-мм (3861).</w:t>
      </w:r>
    </w:p>
    <w:p w14:paraId="0FCCFA3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5A7A5E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1939-1941 годах проектированием 160-мм и 240-мм минометов параллельно занимались КБ четырех заводов: № 7 (Ленинград), № 13 (Брянск), № 92 (Горький) и № 393 (Киев) (3861).</w:t>
      </w:r>
    </w:p>
    <w:p w14:paraId="4B95A42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46C66B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КБ ЛМЗ в 1940-1941 годах спроектировало башенную установку МБ-19 с качающейся частью Б-50. 305/55-мм пушка Б-50 проектировалась для крейсеров типа "Кронштадт". Ствол опытной пушки был начат на заводе Виккерса, но так и не был закончен. Тем не менее для Б-50 проектировалось несколько береговых установок (3861).</w:t>
      </w:r>
    </w:p>
    <w:p w14:paraId="452304F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B837CD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К конце 1941 - начале 1942 года на УВЗ прибыло 8758 человек. В общей сложности было вывезено всего 10% процентов рабочих и 20% ИТР и служащих завода № 183. Всего с этого завода в Нижний Тагил было эвакуировано 5234 человека, в том числе 2.500 рабочих и 800 учеников ФЗУ, прикреплённого к заводу. Дополнительно на завод было эвакуировано 732 человека из Мариупольского завода имени Ильича, в том числе 550 рабочих, 1005 человек с завода № 184 имени Орджоникидзе, 380 человек с завод “Профинтерн”, 250 человек с Кольчугинского завода, 110 человек с завода “Марти” в городе Николаеве, 900 трудмобилизованных из Москвы и 147 рабочих из других мест. Уже сам этот список красноречиво свидетельствует о том, какой хаос царил во время эвакуации. В этом хаосе и люди, и оборудование пропадали без следа и могли оказаться где угодно. Возможно, точно так же, как в Нижнем Тагиле оказались рабочие, которые не должны были быть там, и часть рабочих завода № 183 в Харькове оказалась где -то на других заводах, но не там, куда она должна была попасть.</w:t>
      </w:r>
    </w:p>
    <w:p w14:paraId="2E58DB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Судя по тому, что приказ № 4сс предписывал построить для вновь прибывающих из Харькова и Мариуполя работников домов на 40.000 человек, и ещё дополнительно освободить жилой фонд в городе Нижний Тагил, в тот момент предполагалось перевезти в Нижний Тагил примерно 15.000 работников. Можно предполагать, что это число относится только к работникам заводов № 183 и Мариупольского имени Ильича, так как в приказе речь шла только об этих заводах. Но в действительности с этих заводов было эвакуировано только 5966 человек, то есть почти в три раза меньше первоначально предполагавшегося числа.</w:t>
      </w:r>
    </w:p>
    <w:p w14:paraId="21DD71D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 xml:space="preserve">Причиной столь неутешительных итогов эвакуации рабочих завода № 183 было не только дефицит времени но и ситуация, которая сложилась в Харькове во время проведения эвакуации. Как уже было сказано, к концу сентября немцы находились в 70 километрах от Харькова. Занять город им удалось только 25 октября, что говорит об ожесточенности боёв на этом направлении. Это можно считать успехом советских войск, и помогло достичь этого успеха в том числе и народное ополчение </w:t>
      </w:r>
      <w:r w:rsidRPr="00640820">
        <w:rPr>
          <w:rFonts w:ascii="Times New Roman" w:hAnsi="Times New Roman"/>
          <w:color w:val="000000" w:themeColor="text1"/>
          <w:sz w:val="16"/>
          <w:szCs w:val="16"/>
        </w:rPr>
        <w:lastRenderedPageBreak/>
        <w:t>Харькова. В общей сложности в него тогда вступило 85000 человек. Фактически в народное ополчение вступил каждый десятый житель Харькова. Отметим, что в народное ополчение обычно вступали те, кто по каким-либо причинам не мог вступить в армию, в том числе те, кто имел бронь, например из-за работы на военном заводе. Очевидно, что в составе народного ополчения было немало работников ХПЗ, ХТЗ и завода № 75, которые предпочли бегству на Урал защиту своего дома с оружием в руках.</w:t>
      </w:r>
    </w:p>
    <w:p w14:paraId="47642D4D"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Впрочем, если бы первоначально ожидаемое число рабочих действительно прибыло бы в Нижний Тагил, то размещать их было бы негде. План строительства жилья для рабочих в Нижнем Тагиле выполнен не был. В то время как планировалось построить к 1 января 1942 года домиков на 40.000 человек, в действительности к концу февраля было построено жилья только на двадцать тысяч, в том числе 55,5 тыс. кв. метров землянок и 32,4 тыс. кв. метров бараков. Жильё было построено наспех, расположение его не было продумано. В итоге весной 1942 года многие землянки были затоплены водой. Это послужило причиной бегства с завода части его персонала ( в годы Великой Отечественной войны было запрещено самовольно оставлять место своей работы, за это грозило уголовное преследование ). Что касается бараков, то многие из них были построены без утепления, не говоря уже о таких мелочах, как штукатурка. Облегчало ситуацию то, что завод получил 208.000 кв. м. жилья Уральского Вагоностроительного завода, а также часть домов в Нижнем Тагиле.</w:t>
      </w:r>
    </w:p>
    <w:p w14:paraId="692ABCA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итоге завод № 183 в Нижнем Тагиле, как и все остальные заводы НКТП, оказавшиеся в результате эвакуации в похожей ситуации, и точно также как, видимо, большинство промышленных предприятий СССР, испытывал острую нужду в рабочей силе, и руководство наркомата приложило немало усилий, пытаясь пополнить её из различных источников. Особенно неприятно было то, что потерянная рабочая сила в большинстве случаев относилась к категории высококвалифицированной, и в военных условиях возместить эти потери было невозможно.</w:t>
      </w:r>
    </w:p>
    <w:p w14:paraId="2794897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Эвакуация оборудования прошла несколько лучше. В общей сложности с завода № 183 было вывезено 3156 единиц оборудования. С завода № 75 – 3119 единиц оборудования. В общей сложности на Уралвагонзавод прибыло около 1500 вагонов с оборудованием. Это, безусловно, очень много, но по первоначальным планам только с завода № 183 должно было прибыть 2100 вагонов. К тому числу следует добавить и оборудование с других заводов, тоже предназначенное для завода № 183. Таким образом, значительное количество оборудования в ходе эвакуации было оставлено в Харькове. Немало его было потеряно в пути (11510).</w:t>
      </w:r>
    </w:p>
    <w:p w14:paraId="086B88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205CCB42"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1941-1942 годах в блокированном Ленинграде малой серией производилась САУ СУ-76П, представлявшая собой 76-мм полковую пушку, установленную на шасси Т-26 за простым щитовым прикрытием и имевшую круговой сектор обстрела. Эта мера вынужденной, так как осажденный город мог обходиться лишь оставшейся внутри кольца техникой (3862).</w:t>
      </w:r>
    </w:p>
    <w:p w14:paraId="22EE75C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128FBC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1941-42 гг. на базе оборудования двух эвакуированных заводов №№ 65 и 512 был основан завод № 564. Размещен на площадке незаконченного строительством Новосибирского трикотажного комбината.</w:t>
      </w:r>
    </w:p>
    <w:p w14:paraId="0C4EF841"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востока завод граничит с заводом № 153 и другими предприятиями, с запада с заводом № 208 и соседними предприятиями, с юго-востока расположен поселок завода.</w:t>
      </w:r>
    </w:p>
    <w:p w14:paraId="4C96809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От жилпоселка и соседних предприятий промплощадка завода отделена улицами Трикотажная, Школьная, Красина, Промышленная. Во время ВОВ завод был занят производством 20-23 мм корпусов авиавыстрела, взрывателей для авиавыстрела, взрывателями КТМ-1 и раций.</w:t>
      </w:r>
    </w:p>
    <w:p w14:paraId="44D137A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является механо-сборочно-снаряжательным, характер производства – массовый (10017).</w:t>
      </w:r>
    </w:p>
    <w:p w14:paraId="29506D4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0D7D7A2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1941-45 гг. в связи с блокадой Ленинграда завод № 4 им. М.И. Калинина развития не получил. Часть оборудования была эвакуирована в Казань, где был организован ныне действующий завод № 144 МОП по производству взрывателей. После 1945 года завод вновь начал производить взрыватели ГВМЗ-1. С 1952 года завод получил новый профиль – производство-изготовление взрывательных устройств для реактивной техники и пультовой аппаратуры к ним (10010).</w:t>
      </w:r>
    </w:p>
    <w:p w14:paraId="21C36AC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60E43AD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С 1941 года по 1946 год завод № 637 (на 1 июля 1952 года Министерство с/х машиностроения) являлся снаряжательным заводом.</w:t>
      </w:r>
    </w:p>
    <w:p w14:paraId="2EB34A0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Начальник – Верещак</w:t>
      </w:r>
    </w:p>
    <w:p w14:paraId="2F2C30F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Адрес: Комсомольский Хабаровского края (10002)</w:t>
      </w:r>
    </w:p>
    <w:p w14:paraId="4D5FF4B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753CAB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В 1941-42 существовали следующие заводы НКТанкПром (8191):</w:t>
      </w:r>
    </w:p>
    <w:p w14:paraId="3380109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254</w:t>
      </w:r>
    </w:p>
    <w:p w14:paraId="5308C3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им. КИМ – филиал завода № 76 – Москва</w:t>
      </w:r>
    </w:p>
    <w:p w14:paraId="124D492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200</w:t>
      </w:r>
    </w:p>
    <w:p w14:paraId="39FB117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176 – Муром</w:t>
      </w:r>
    </w:p>
    <w:p w14:paraId="6FD8D418"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177 – Выкса</w:t>
      </w:r>
    </w:p>
    <w:p w14:paraId="6C4D97D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178 им. С.М. Кирова – Кулебаки</w:t>
      </w:r>
    </w:p>
    <w:p w14:paraId="77C66446"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180 – Саратов</w:t>
      </w:r>
    </w:p>
    <w:p w14:paraId="1101BD8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222 – Тогузак</w:t>
      </w:r>
    </w:p>
    <w:p w14:paraId="0AD1A843"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174 им. Ворошилова – Омск</w:t>
      </w:r>
    </w:p>
    <w:p w14:paraId="2830C43E"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183 им. Коминтерна – Н. Тагил</w:t>
      </w:r>
    </w:p>
    <w:p w14:paraId="71E5575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112 – Горький</w:t>
      </w:r>
    </w:p>
    <w:p w14:paraId="06537B45"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264 – Сталинград</w:t>
      </w:r>
    </w:p>
    <w:p w14:paraId="4BACCC6C"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37 им. Орджоникидзе – Свердловск</w:t>
      </w:r>
    </w:p>
    <w:p w14:paraId="3F2B3A9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38 им. В.В. Куйбышева – Киров (бывш. Коломенский машиностроительный завод)</w:t>
      </w:r>
    </w:p>
    <w:p w14:paraId="7873167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255 (бывш завод “Электромашина – “ЗЭМ” НКСМ) – Челябинск</w:t>
      </w:r>
    </w:p>
    <w:p w14:paraId="72316669"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39 (бывш. завод им. КИМ – филиал завода № 76) – Москва</w:t>
      </w:r>
    </w:p>
    <w:p w14:paraId="6C32B72A"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Завод № 77 – Барнаул (бывш. строительство С-10) (8191).</w:t>
      </w:r>
    </w:p>
    <w:p w14:paraId="70A9AB2F"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p w14:paraId="38191DB0"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r w:rsidRPr="00640820">
        <w:rPr>
          <w:rFonts w:ascii="Times New Roman" w:hAnsi="Times New Roman"/>
          <w:color w:val="000000" w:themeColor="text1"/>
          <w:sz w:val="16"/>
          <w:szCs w:val="16"/>
        </w:rPr>
        <w:t>Шоковый год - не успели и не доделали то, что пошло в серию или могло, хотя, казалось, сделали все, что можно. К концу года осознали, что многое сделали не так, что запустили в серию не то и еще надеялись переделать до конца войны.</w:t>
      </w:r>
    </w:p>
    <w:p w14:paraId="3694CD44" w14:textId="77777777" w:rsidR="00045010" w:rsidRPr="00640820" w:rsidRDefault="00045010" w:rsidP="00640820">
      <w:pPr>
        <w:autoSpaceDE w:val="0"/>
        <w:autoSpaceDN w:val="0"/>
        <w:adjustRightInd w:val="0"/>
        <w:spacing w:after="0" w:line="240" w:lineRule="auto"/>
        <w:jc w:val="both"/>
        <w:rPr>
          <w:rFonts w:ascii="Times New Roman" w:hAnsi="Times New Roman"/>
          <w:color w:val="000000" w:themeColor="text1"/>
          <w:sz w:val="16"/>
          <w:szCs w:val="16"/>
        </w:rPr>
      </w:pPr>
    </w:p>
    <w:sectPr w:rsidR="00045010" w:rsidRPr="00640820" w:rsidSect="004E55D6">
      <w:pgSz w:w="11906" w:h="16838"/>
      <w:pgMar w:top="567" w:right="284" w:bottom="567" w:left="28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3EAAEF" w14:textId="77777777" w:rsidR="009E4004" w:rsidRDefault="009E4004" w:rsidP="00045010">
      <w:pPr>
        <w:spacing w:after="0" w:line="240" w:lineRule="auto"/>
      </w:pPr>
      <w:r>
        <w:separator/>
      </w:r>
    </w:p>
  </w:endnote>
  <w:endnote w:type="continuationSeparator" w:id="0">
    <w:p w14:paraId="4513A678" w14:textId="77777777" w:rsidR="009E4004" w:rsidRDefault="009E4004" w:rsidP="000450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CC"/>
    <w:family w:val="roman"/>
    <w:pitch w:val="variable"/>
    <w:sig w:usb0="E0002EFF" w:usb1="C000785B"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Arial Unicode MS">
    <w:altName w:val="Yu Gothic"/>
    <w:panose1 w:val="020B0604020202020204"/>
    <w:charset w:val="80"/>
    <w:family w:val="swiss"/>
    <w:pitch w:val="variable"/>
    <w:sig w:usb0="F7FFAFFF" w:usb1="E9DFFFFF" w:usb2="0000003F" w:usb3="00000000" w:csb0="003F01FF" w:csb1="00000000"/>
  </w:font>
  <w:font w:name="MingLiU">
    <w:altName w:val="細明體"/>
    <w:panose1 w:val="02010609000101010101"/>
    <w:charset w:val="88"/>
    <w:family w:val="modern"/>
    <w:pitch w:val="fixed"/>
    <w:sig w:usb0="A00002FF" w:usb1="28CFFCFA" w:usb2="00000016" w:usb3="00000000" w:csb0="00100001" w:csb1="00000000"/>
  </w:font>
  <w:font w:name="Gungsuh">
    <w:charset w:val="81"/>
    <w:family w:val="roman"/>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Lucida Sans Unicode">
    <w:panose1 w:val="020B0602030504020204"/>
    <w:charset w:val="CC"/>
    <w:family w:val="swiss"/>
    <w:pitch w:val="variable"/>
    <w:sig w:usb0="80000AFF" w:usb1="0000396B" w:usb2="00000000" w:usb3="00000000" w:csb0="000000BF" w:csb1="00000000"/>
  </w:font>
  <w:font w:name="Franklin Gothic Demi">
    <w:panose1 w:val="020B0703020102020204"/>
    <w:charset w:val="CC"/>
    <w:family w:val="swiss"/>
    <w:pitch w:val="variable"/>
    <w:sig w:usb0="00000287" w:usb1="00000000" w:usb2="00000000" w:usb3="00000000" w:csb0="0000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ulim">
    <w:altName w:val="굴림"/>
    <w:panose1 w:val="020B0600000101010101"/>
    <w:charset w:val="81"/>
    <w:family w:val="swiss"/>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Century Gothic">
    <w:panose1 w:val="020B0502020202020204"/>
    <w:charset w:val="CC"/>
    <w:family w:val="swiss"/>
    <w:pitch w:val="variable"/>
    <w:sig w:usb0="00000287" w:usb1="00000000" w:usb2="00000000" w:usb3="00000000" w:csb0="0000009F" w:csb1="00000000"/>
  </w:font>
  <w:font w:name="Franklin Gothic Heavy">
    <w:panose1 w:val="020B0903020102020204"/>
    <w:charset w:val="CC"/>
    <w:family w:val="swiss"/>
    <w:pitch w:val="variable"/>
    <w:sig w:usb0="00000287" w:usb1="00000000" w:usb2="00000000" w:usb3="00000000" w:csb0="0000009F" w:csb1="00000000"/>
  </w:font>
  <w:font w:name="Minion Pro">
    <w:panose1 w:val="00000000000000000000"/>
    <w:charset w:val="00"/>
    <w:family w:val="roman"/>
    <w:notTrueType/>
    <w:pitch w:val="variable"/>
    <w:sig w:usb0="60000287" w:usb1="00000001"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Georgia">
    <w:panose1 w:val="02040502050405020303"/>
    <w:charset w:val="CC"/>
    <w:family w:val="roman"/>
    <w:pitch w:val="variable"/>
    <w:sig w:usb0="00000287" w:usb1="00000000" w:usb2="00000000" w:usb3="00000000" w:csb0="0000009F"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0" w:usb1="08070000" w:usb2="00000010" w:usb3="00000000" w:csb0="00020001"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A2469B" w14:textId="77777777" w:rsidR="009E4004" w:rsidRDefault="009E4004" w:rsidP="00045010">
      <w:pPr>
        <w:spacing w:after="0" w:line="240" w:lineRule="auto"/>
      </w:pPr>
      <w:r>
        <w:separator/>
      </w:r>
    </w:p>
  </w:footnote>
  <w:footnote w:type="continuationSeparator" w:id="0">
    <w:p w14:paraId="2CF2835F" w14:textId="77777777" w:rsidR="009E4004" w:rsidRDefault="009E4004" w:rsidP="0004501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0"/>
    <w:lvl w:ilvl="0">
      <w:start w:val="1"/>
      <w:numFmt w:val="decimal"/>
      <w:lvlText w:val="%1."/>
      <w:lvlJc w:val="left"/>
      <w:rPr>
        <w:rFonts w:ascii="MS Mincho" w:hAnsi="Times New Roman" w:cs="MS Mincho"/>
        <w:b w:val="0"/>
        <w:bCs w:val="0"/>
        <w:i w:val="0"/>
        <w:iCs w:val="0"/>
        <w:smallCaps w:val="0"/>
        <w:strike w:val="0"/>
        <w:color w:val="000000"/>
        <w:spacing w:val="-20"/>
        <w:w w:val="100"/>
        <w:position w:val="0"/>
        <w:sz w:val="19"/>
        <w:szCs w:val="19"/>
        <w:u w:val="none"/>
      </w:rPr>
    </w:lvl>
    <w:lvl w:ilvl="1">
      <w:start w:val="1"/>
      <w:numFmt w:val="decimal"/>
      <w:lvlText w:val="%1."/>
      <w:lvlJc w:val="left"/>
      <w:rPr>
        <w:rFonts w:ascii="MS Mincho" w:hAnsi="Times New Roman" w:cs="MS Mincho"/>
        <w:b w:val="0"/>
        <w:bCs w:val="0"/>
        <w:i w:val="0"/>
        <w:iCs w:val="0"/>
        <w:smallCaps w:val="0"/>
        <w:strike w:val="0"/>
        <w:color w:val="000000"/>
        <w:spacing w:val="-20"/>
        <w:w w:val="100"/>
        <w:position w:val="0"/>
        <w:sz w:val="19"/>
        <w:szCs w:val="19"/>
        <w:u w:val="none"/>
      </w:rPr>
    </w:lvl>
    <w:lvl w:ilvl="2">
      <w:start w:val="1"/>
      <w:numFmt w:val="decimal"/>
      <w:lvlText w:val="%1."/>
      <w:lvlJc w:val="left"/>
      <w:rPr>
        <w:rFonts w:ascii="MS Mincho" w:hAnsi="Times New Roman" w:cs="MS Mincho"/>
        <w:b w:val="0"/>
        <w:bCs w:val="0"/>
        <w:i w:val="0"/>
        <w:iCs w:val="0"/>
        <w:smallCaps w:val="0"/>
        <w:strike w:val="0"/>
        <w:color w:val="000000"/>
        <w:spacing w:val="-20"/>
        <w:w w:val="100"/>
        <w:position w:val="0"/>
        <w:sz w:val="19"/>
        <w:szCs w:val="19"/>
        <w:u w:val="none"/>
      </w:rPr>
    </w:lvl>
    <w:lvl w:ilvl="3">
      <w:start w:val="1"/>
      <w:numFmt w:val="decimal"/>
      <w:lvlText w:val="%1."/>
      <w:lvlJc w:val="left"/>
      <w:rPr>
        <w:rFonts w:ascii="MS Mincho" w:hAnsi="Times New Roman" w:cs="MS Mincho"/>
        <w:b w:val="0"/>
        <w:bCs w:val="0"/>
        <w:i w:val="0"/>
        <w:iCs w:val="0"/>
        <w:smallCaps w:val="0"/>
        <w:strike w:val="0"/>
        <w:color w:val="000000"/>
        <w:spacing w:val="-20"/>
        <w:w w:val="100"/>
        <w:position w:val="0"/>
        <w:sz w:val="19"/>
        <w:szCs w:val="19"/>
        <w:u w:val="none"/>
      </w:rPr>
    </w:lvl>
    <w:lvl w:ilvl="4">
      <w:start w:val="1"/>
      <w:numFmt w:val="decimal"/>
      <w:lvlText w:val="%1."/>
      <w:lvlJc w:val="left"/>
      <w:rPr>
        <w:rFonts w:ascii="MS Mincho" w:hAnsi="Times New Roman" w:cs="MS Mincho"/>
        <w:b w:val="0"/>
        <w:bCs w:val="0"/>
        <w:i w:val="0"/>
        <w:iCs w:val="0"/>
        <w:smallCaps w:val="0"/>
        <w:strike w:val="0"/>
        <w:color w:val="000000"/>
        <w:spacing w:val="-20"/>
        <w:w w:val="100"/>
        <w:position w:val="0"/>
        <w:sz w:val="19"/>
        <w:szCs w:val="19"/>
        <w:u w:val="none"/>
      </w:rPr>
    </w:lvl>
    <w:lvl w:ilvl="5">
      <w:start w:val="1"/>
      <w:numFmt w:val="decimal"/>
      <w:lvlText w:val="%1."/>
      <w:lvlJc w:val="left"/>
      <w:rPr>
        <w:rFonts w:ascii="MS Mincho" w:hAnsi="Times New Roman" w:cs="MS Mincho"/>
        <w:b w:val="0"/>
        <w:bCs w:val="0"/>
        <w:i w:val="0"/>
        <w:iCs w:val="0"/>
        <w:smallCaps w:val="0"/>
        <w:strike w:val="0"/>
        <w:color w:val="000000"/>
        <w:spacing w:val="-20"/>
        <w:w w:val="100"/>
        <w:position w:val="0"/>
        <w:sz w:val="19"/>
        <w:szCs w:val="19"/>
        <w:u w:val="none"/>
      </w:rPr>
    </w:lvl>
    <w:lvl w:ilvl="6">
      <w:start w:val="1"/>
      <w:numFmt w:val="decimal"/>
      <w:lvlText w:val="%1."/>
      <w:lvlJc w:val="left"/>
      <w:rPr>
        <w:rFonts w:ascii="MS Mincho" w:hAnsi="Times New Roman" w:cs="MS Mincho"/>
        <w:b w:val="0"/>
        <w:bCs w:val="0"/>
        <w:i w:val="0"/>
        <w:iCs w:val="0"/>
        <w:smallCaps w:val="0"/>
        <w:strike w:val="0"/>
        <w:color w:val="000000"/>
        <w:spacing w:val="-20"/>
        <w:w w:val="100"/>
        <w:position w:val="0"/>
        <w:sz w:val="19"/>
        <w:szCs w:val="19"/>
        <w:u w:val="none"/>
      </w:rPr>
    </w:lvl>
    <w:lvl w:ilvl="7">
      <w:start w:val="1"/>
      <w:numFmt w:val="decimal"/>
      <w:lvlText w:val="%1."/>
      <w:lvlJc w:val="left"/>
      <w:rPr>
        <w:rFonts w:ascii="MS Mincho" w:hAnsi="Times New Roman" w:cs="MS Mincho"/>
        <w:b w:val="0"/>
        <w:bCs w:val="0"/>
        <w:i w:val="0"/>
        <w:iCs w:val="0"/>
        <w:smallCaps w:val="0"/>
        <w:strike w:val="0"/>
        <w:color w:val="000000"/>
        <w:spacing w:val="-20"/>
        <w:w w:val="100"/>
        <w:position w:val="0"/>
        <w:sz w:val="19"/>
        <w:szCs w:val="19"/>
        <w:u w:val="none"/>
      </w:rPr>
    </w:lvl>
    <w:lvl w:ilvl="8">
      <w:start w:val="1"/>
      <w:numFmt w:val="decimal"/>
      <w:lvlText w:val="%1."/>
      <w:lvlJc w:val="left"/>
      <w:rPr>
        <w:rFonts w:ascii="MS Mincho" w:hAnsi="Times New Roman" w:cs="MS Mincho"/>
        <w:b w:val="0"/>
        <w:bCs w:val="0"/>
        <w:i w:val="0"/>
        <w:iCs w:val="0"/>
        <w:smallCaps w:val="0"/>
        <w:strike w:val="0"/>
        <w:color w:val="000000"/>
        <w:spacing w:val="-20"/>
        <w:w w:val="100"/>
        <w:position w:val="0"/>
        <w:sz w:val="19"/>
        <w:szCs w:val="19"/>
        <w:u w:val="none"/>
      </w:rPr>
    </w:lvl>
  </w:abstractNum>
  <w:abstractNum w:abstractNumId="1" w15:restartNumberingAfterBreak="0">
    <w:nsid w:val="002F429C"/>
    <w:multiLevelType w:val="multilevel"/>
    <w:tmpl w:val="45DA185E"/>
    <w:lvl w:ilvl="0">
      <w:start w:val="1"/>
      <w:numFmt w:val="decimal"/>
      <w:lvlText w:val="%1."/>
      <w:lvlJc w:val="left"/>
      <w:rPr>
        <w:rFonts w:ascii="MS Mincho" w:eastAsia="MS Mincho" w:hAnsi="MS Mincho" w:cs="MS Mincho"/>
        <w:b w:val="0"/>
        <w:bCs w:val="0"/>
        <w:i w:val="0"/>
        <w:iCs w:val="0"/>
        <w:smallCaps w:val="0"/>
        <w:strike w:val="0"/>
        <w:color w:val="000000"/>
        <w:spacing w:val="-20"/>
        <w:w w:val="100"/>
        <w:position w:val="0"/>
        <w:sz w:val="19"/>
        <w:szCs w:val="19"/>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023A0D01"/>
    <w:multiLevelType w:val="multilevel"/>
    <w:tmpl w:val="450EB4E6"/>
    <w:lvl w:ilvl="0">
      <w:start w:val="1"/>
      <w:numFmt w:val="bullet"/>
      <w:lvlText w:val="-"/>
      <w:lvlJc w:val="left"/>
      <w:rPr>
        <w:rFonts w:ascii="Arial Narrow" w:eastAsia="Arial Narrow" w:hAnsi="Arial Narrow" w:cs="Arial Narrow"/>
        <w:b w:val="0"/>
        <w:bCs w:val="0"/>
        <w:i w:val="0"/>
        <w:iCs w:val="0"/>
        <w:smallCaps w:val="0"/>
        <w:strike w:val="0"/>
        <w:color w:val="000000"/>
        <w:spacing w:val="0"/>
        <w:w w:val="100"/>
        <w:position w:val="0"/>
        <w:sz w:val="18"/>
        <w:szCs w:val="18"/>
        <w:u w:val="none"/>
      </w:rPr>
    </w:lvl>
    <w:lvl w:ilvl="1">
      <w:start w:val="1"/>
      <w:numFmt w:val="decimal"/>
      <w:lvlText w:val="%2."/>
      <w:lvlJc w:val="left"/>
      <w:rPr>
        <w:rFonts w:ascii="Arial Narrow" w:eastAsia="Arial Narrow" w:hAnsi="Arial Narrow" w:cs="Arial Narrow"/>
        <w:b w:val="0"/>
        <w:bCs w:val="0"/>
        <w:i w:val="0"/>
        <w:iCs w:val="0"/>
        <w:smallCaps w:val="0"/>
        <w:strike w:val="0"/>
        <w:color w:val="000000"/>
        <w:spacing w:val="0"/>
        <w:w w:val="100"/>
        <w:position w:val="0"/>
        <w:sz w:val="15"/>
        <w:szCs w:val="15"/>
        <w:u w:val="none"/>
      </w:rPr>
    </w:lvl>
    <w:lvl w:ilvl="2">
      <w:start w:val="9"/>
      <w:numFmt w:val="decimal"/>
      <w:lvlText w:val="%3."/>
      <w:lvlJc w:val="left"/>
      <w:rPr>
        <w:rFonts w:ascii="Arial Narrow" w:eastAsia="Arial Narrow" w:hAnsi="Arial Narrow" w:cs="Arial Narrow"/>
        <w:b w:val="0"/>
        <w:bCs w:val="0"/>
        <w:i w:val="0"/>
        <w:iCs w:val="0"/>
        <w:smallCaps w:val="0"/>
        <w:strike w:val="0"/>
        <w:color w:val="000000"/>
        <w:spacing w:val="0"/>
        <w:w w:val="100"/>
        <w:position w:val="0"/>
        <w:sz w:val="15"/>
        <w:szCs w:val="15"/>
        <w:u w:val="none"/>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045B4934"/>
    <w:multiLevelType w:val="multilevel"/>
    <w:tmpl w:val="2CAE97DA"/>
    <w:lvl w:ilvl="0">
      <w:start w:val="1"/>
      <w:numFmt w:val="decimal"/>
      <w:lvlText w:val="%1."/>
      <w:lvlJc w:val="left"/>
      <w:rPr>
        <w:rFonts w:ascii="SimHei" w:eastAsia="SimHei" w:hAnsi="SimHei" w:cs="SimHei"/>
        <w:b w:val="0"/>
        <w:bCs w:val="0"/>
        <w:i w:val="0"/>
        <w:iCs w:val="0"/>
        <w:smallCaps w:val="0"/>
        <w:strike w:val="0"/>
        <w:color w:val="000000"/>
        <w:spacing w:val="-20"/>
        <w:w w:val="100"/>
        <w:position w:val="0"/>
        <w:sz w:val="20"/>
        <w:szCs w:val="20"/>
        <w:u w:val="none"/>
      </w:rPr>
    </w:lvl>
    <w:lvl w:ilvl="1">
      <w:start w:val="5"/>
      <w:numFmt w:val="decimal"/>
      <w:lvlText w:val="%2."/>
      <w:lvlJc w:val="left"/>
      <w:rPr>
        <w:rFonts w:ascii="Arial Unicode MS" w:eastAsia="Arial Unicode MS" w:hAnsi="Arial Unicode MS" w:cs="Arial Unicode MS"/>
        <w:b w:val="0"/>
        <w:bCs w:val="0"/>
        <w:i w:val="0"/>
        <w:iCs w:val="0"/>
        <w:smallCaps w:val="0"/>
        <w:strike w:val="0"/>
        <w:color w:val="000000"/>
        <w:spacing w:val="0"/>
        <w:w w:val="100"/>
        <w:position w:val="0"/>
        <w:sz w:val="17"/>
        <w:szCs w:val="17"/>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0600568C"/>
    <w:multiLevelType w:val="multilevel"/>
    <w:tmpl w:val="F8C6882C"/>
    <w:lvl w:ilvl="0">
      <w:start w:val="3"/>
      <w:numFmt w:val="decimal"/>
      <w:lvlText w:val="%1."/>
      <w:lvlJc w:val="left"/>
      <w:rPr>
        <w:rFonts w:ascii="MingLiU" w:eastAsia="MingLiU" w:hAnsi="MingLiU" w:cs="MingLiU"/>
        <w:b w:val="0"/>
        <w:bCs w:val="0"/>
        <w:i w:val="0"/>
        <w:iCs w:val="0"/>
        <w:smallCaps w:val="0"/>
        <w:strike w:val="0"/>
        <w:color w:val="000000"/>
        <w:spacing w:val="-20"/>
        <w:w w:val="100"/>
        <w:position w:val="0"/>
        <w:sz w:val="19"/>
        <w:szCs w:val="19"/>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071D1F6E"/>
    <w:multiLevelType w:val="hybridMultilevel"/>
    <w:tmpl w:val="EC005F68"/>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6" w15:restartNumberingAfterBreak="0">
    <w:nsid w:val="0D6C1433"/>
    <w:multiLevelType w:val="multilevel"/>
    <w:tmpl w:val="FA66D682"/>
    <w:lvl w:ilvl="0">
      <w:start w:val="1"/>
      <w:numFmt w:val="decimal"/>
      <w:lvlText w:val="%1."/>
      <w:lvlJc w:val="left"/>
      <w:rPr>
        <w:rFonts w:ascii="Gungsuh" w:eastAsia="Gungsuh" w:hAnsi="Gungsuh" w:cs="Gungsuh"/>
        <w:b w:val="0"/>
        <w:bCs w:val="0"/>
        <w:i w:val="0"/>
        <w:iCs w:val="0"/>
        <w:smallCaps w:val="0"/>
        <w:strike w:val="0"/>
        <w:color w:val="000000"/>
        <w:spacing w:val="0"/>
        <w:w w:val="100"/>
        <w:position w:val="0"/>
        <w:sz w:val="17"/>
        <w:szCs w:val="1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18B51085"/>
    <w:multiLevelType w:val="multilevel"/>
    <w:tmpl w:val="F182B590"/>
    <w:lvl w:ilvl="0">
      <w:start w:val="1"/>
      <w:numFmt w:val="decimal"/>
      <w:lvlText w:val="%1."/>
      <w:lvlJc w:val="left"/>
      <w:rPr>
        <w:rFonts w:ascii="SimHei" w:eastAsia="SimHei" w:hAnsi="SimHei" w:cs="SimHei"/>
        <w:b w:val="0"/>
        <w:bCs w:val="0"/>
        <w:i w:val="0"/>
        <w:iCs w:val="0"/>
        <w:smallCaps w:val="0"/>
        <w:strike w:val="0"/>
        <w:color w:val="000000"/>
        <w:spacing w:val="-20"/>
        <w:w w:val="100"/>
        <w:position w:val="0"/>
        <w:sz w:val="20"/>
        <w:szCs w:val="20"/>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22BF3004"/>
    <w:multiLevelType w:val="multilevel"/>
    <w:tmpl w:val="98DCC8F2"/>
    <w:lvl w:ilvl="0">
      <w:start w:val="1"/>
      <w:numFmt w:val="decimal"/>
      <w:lvlText w:val="%1."/>
      <w:lvlJc w:val="left"/>
      <w:rPr>
        <w:rFonts w:ascii="SimHei" w:eastAsia="SimHei" w:hAnsi="SimHei" w:cs="SimHei"/>
        <w:b w:val="0"/>
        <w:bCs w:val="0"/>
        <w:i w:val="0"/>
        <w:iCs w:val="0"/>
        <w:smallCaps w:val="0"/>
        <w:strike w:val="0"/>
        <w:color w:val="000000"/>
        <w:spacing w:val="-20"/>
        <w:w w:val="100"/>
        <w:position w:val="0"/>
        <w:sz w:val="20"/>
        <w:szCs w:val="20"/>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28D4006F"/>
    <w:multiLevelType w:val="multilevel"/>
    <w:tmpl w:val="A93E4064"/>
    <w:lvl w:ilvl="0">
      <w:start w:val="8"/>
      <w:numFmt w:val="decimal"/>
      <w:lvlText w:val="%1."/>
      <w:lvlJc w:val="left"/>
      <w:rPr>
        <w:rFonts w:ascii="MS Mincho" w:eastAsia="MS Mincho" w:hAnsi="MS Mincho" w:cs="MS Mincho"/>
        <w:b w:val="0"/>
        <w:bCs w:val="0"/>
        <w:i w:val="0"/>
        <w:iCs w:val="0"/>
        <w:smallCaps w:val="0"/>
        <w:strike w:val="0"/>
        <w:color w:val="000000"/>
        <w:spacing w:val="10"/>
        <w:w w:val="100"/>
        <w:position w:val="0"/>
        <w:sz w:val="20"/>
        <w:szCs w:val="20"/>
        <w:u w:val="none"/>
      </w:rPr>
    </w:lvl>
    <w:lvl w:ilvl="1">
      <w:start w:val="1"/>
      <w:numFmt w:val="decimal"/>
      <w:lvlText w:val="%2)"/>
      <w:lvlJc w:val="left"/>
      <w:rPr>
        <w:rFonts w:ascii="MS Mincho" w:eastAsia="MS Mincho" w:hAnsi="MS Mincho" w:cs="MS Mincho"/>
        <w:b w:val="0"/>
        <w:bCs w:val="0"/>
        <w:i w:val="0"/>
        <w:iCs w:val="0"/>
        <w:smallCaps w:val="0"/>
        <w:strike w:val="0"/>
        <w:color w:val="000000"/>
        <w:spacing w:val="-20"/>
        <w:w w:val="100"/>
        <w:position w:val="0"/>
        <w:sz w:val="20"/>
        <w:szCs w:val="20"/>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2B017D4F"/>
    <w:multiLevelType w:val="multilevel"/>
    <w:tmpl w:val="0B76F682"/>
    <w:lvl w:ilvl="0">
      <w:start w:val="12"/>
      <w:numFmt w:val="decimal"/>
      <w:lvlText w:val="%1."/>
      <w:lvlJc w:val="left"/>
      <w:rPr>
        <w:rFonts w:ascii="MingLiU" w:eastAsia="MingLiU" w:hAnsi="MingLiU" w:cs="MingLiU"/>
        <w:b w:val="0"/>
        <w:bCs w:val="0"/>
        <w:i w:val="0"/>
        <w:iCs w:val="0"/>
        <w:smallCaps w:val="0"/>
        <w:strike w:val="0"/>
        <w:color w:val="000000"/>
        <w:spacing w:val="-10"/>
        <w:w w:val="100"/>
        <w:position w:val="0"/>
        <w:sz w:val="19"/>
        <w:szCs w:val="19"/>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30A904A3"/>
    <w:multiLevelType w:val="multilevel"/>
    <w:tmpl w:val="24624BCC"/>
    <w:lvl w:ilvl="0">
      <w:start w:val="1"/>
      <w:numFmt w:val="decimal"/>
      <w:lvlText w:val="%1."/>
      <w:lvlJc w:val="left"/>
      <w:rPr>
        <w:rFonts w:ascii="Gungsuh" w:eastAsia="Gungsuh" w:hAnsi="Gungsuh" w:cs="Gungsuh"/>
        <w:b w:val="0"/>
        <w:bCs w:val="0"/>
        <w:i w:val="0"/>
        <w:iCs w:val="0"/>
        <w:smallCaps w:val="0"/>
        <w:strike w:val="0"/>
        <w:color w:val="000000"/>
        <w:spacing w:val="0"/>
        <w:w w:val="100"/>
        <w:position w:val="0"/>
        <w:sz w:val="16"/>
        <w:szCs w:val="16"/>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30C23ED4"/>
    <w:multiLevelType w:val="multilevel"/>
    <w:tmpl w:val="F2DA487A"/>
    <w:lvl w:ilvl="0">
      <w:start w:val="1"/>
      <w:numFmt w:val="decimal"/>
      <w:lvlText w:val="%1."/>
      <w:lvlJc w:val="left"/>
      <w:rPr>
        <w:rFonts w:ascii="Batang" w:eastAsia="Batang" w:hAnsi="Batang" w:cs="Batang"/>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33CA165E"/>
    <w:multiLevelType w:val="multilevel"/>
    <w:tmpl w:val="B8807FE4"/>
    <w:lvl w:ilvl="0">
      <w:start w:val="1"/>
      <w:numFmt w:val="decimal"/>
      <w:lvlText w:val="%1."/>
      <w:lvlJc w:val="left"/>
      <w:rPr>
        <w:rFonts w:ascii="MS Mincho" w:eastAsia="MS Mincho" w:hAnsi="MS Mincho" w:cs="MS Mincho"/>
        <w:b w:val="0"/>
        <w:bCs w:val="0"/>
        <w:i w:val="0"/>
        <w:iCs w:val="0"/>
        <w:smallCaps w:val="0"/>
        <w:strike w:val="0"/>
        <w:color w:val="000000"/>
        <w:spacing w:val="-20"/>
        <w:w w:val="100"/>
        <w:position w:val="0"/>
        <w:sz w:val="19"/>
        <w:szCs w:val="19"/>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33DA6F00"/>
    <w:multiLevelType w:val="multilevel"/>
    <w:tmpl w:val="68842FD0"/>
    <w:lvl w:ilvl="0">
      <w:start w:val="6"/>
      <w:numFmt w:val="decimal"/>
      <w:lvlText w:val="%1."/>
      <w:lvlJc w:val="left"/>
      <w:rPr>
        <w:rFonts w:ascii="Gungsuh" w:eastAsia="Gungsuh" w:hAnsi="Gungsuh" w:cs="Gungsuh"/>
        <w:b w:val="0"/>
        <w:bCs w:val="0"/>
        <w:i w:val="0"/>
        <w:iCs w:val="0"/>
        <w:smallCaps w:val="0"/>
        <w:strike w:val="0"/>
        <w:color w:val="000000"/>
        <w:spacing w:val="0"/>
        <w:w w:val="100"/>
        <w:position w:val="0"/>
        <w:sz w:val="16"/>
        <w:szCs w:val="16"/>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34874D15"/>
    <w:multiLevelType w:val="multilevel"/>
    <w:tmpl w:val="C40C8B92"/>
    <w:lvl w:ilvl="0">
      <w:start w:val="1"/>
      <w:numFmt w:val="decimal"/>
      <w:lvlText w:val="%1."/>
      <w:lvlJc w:val="left"/>
      <w:rPr>
        <w:rFonts w:ascii="Gungsuh" w:eastAsia="Gungsuh" w:hAnsi="Gungsuh" w:cs="Gungsuh"/>
        <w:b w:val="0"/>
        <w:bCs w:val="0"/>
        <w:i w:val="0"/>
        <w:iCs w:val="0"/>
        <w:smallCaps w:val="0"/>
        <w:strike w:val="0"/>
        <w:color w:val="000000"/>
        <w:spacing w:val="0"/>
        <w:w w:val="100"/>
        <w:position w:val="0"/>
        <w:sz w:val="16"/>
        <w:szCs w:val="16"/>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398E29FA"/>
    <w:multiLevelType w:val="multilevel"/>
    <w:tmpl w:val="28140A46"/>
    <w:lvl w:ilvl="0">
      <w:start w:val="6"/>
      <w:numFmt w:val="decimal"/>
      <w:lvlText w:val="%1."/>
      <w:lvlJc w:val="left"/>
      <w:rPr>
        <w:rFonts w:ascii="MingLiU" w:eastAsia="MingLiU" w:hAnsi="MingLiU" w:cs="MingLiU"/>
        <w:b w:val="0"/>
        <w:bCs w:val="0"/>
        <w:i w:val="0"/>
        <w:iCs w:val="0"/>
        <w:smallCaps w:val="0"/>
        <w:strike w:val="0"/>
        <w:color w:val="000000"/>
        <w:spacing w:val="-20"/>
        <w:w w:val="100"/>
        <w:position w:val="0"/>
        <w:sz w:val="19"/>
        <w:szCs w:val="19"/>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3F11308B"/>
    <w:multiLevelType w:val="multilevel"/>
    <w:tmpl w:val="08585BA6"/>
    <w:lvl w:ilvl="0">
      <w:start w:val="1"/>
      <w:numFmt w:val="bullet"/>
      <w:lvlText w:val="-"/>
      <w:lvlJc w:val="left"/>
      <w:rPr>
        <w:rFonts w:ascii="Garamond" w:eastAsia="Garamond" w:hAnsi="Garamond" w:cs="Garamond"/>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41011432"/>
    <w:multiLevelType w:val="multilevel"/>
    <w:tmpl w:val="DD80094E"/>
    <w:lvl w:ilvl="0">
      <w:start w:val="1"/>
      <w:numFmt w:val="decimal"/>
      <w:lvlText w:val="%1."/>
      <w:lvlJc w:val="left"/>
      <w:rPr>
        <w:rFonts w:ascii="SimHei" w:eastAsia="SimHei" w:hAnsi="SimHei" w:cs="SimHei"/>
        <w:b w:val="0"/>
        <w:bCs w:val="0"/>
        <w:i w:val="0"/>
        <w:iCs w:val="0"/>
        <w:smallCaps w:val="0"/>
        <w:strike w:val="0"/>
        <w:color w:val="000000"/>
        <w:spacing w:val="-20"/>
        <w:w w:val="100"/>
        <w:position w:val="0"/>
        <w:sz w:val="20"/>
        <w:szCs w:val="20"/>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41D1292B"/>
    <w:multiLevelType w:val="multilevel"/>
    <w:tmpl w:val="481A6BB8"/>
    <w:lvl w:ilvl="0">
      <w:start w:val="1"/>
      <w:numFmt w:val="decimal"/>
      <w:lvlText w:val="%1."/>
      <w:lvlJc w:val="left"/>
      <w:rPr>
        <w:rFonts w:ascii="SimHei" w:eastAsia="SimHei" w:hAnsi="SimHei" w:cs="SimHei"/>
        <w:b w:val="0"/>
        <w:bCs w:val="0"/>
        <w:i w:val="0"/>
        <w:iCs w:val="0"/>
        <w:smallCaps w:val="0"/>
        <w:strike w:val="0"/>
        <w:color w:val="000000"/>
        <w:spacing w:val="-20"/>
        <w:w w:val="100"/>
        <w:position w:val="0"/>
        <w:sz w:val="20"/>
        <w:szCs w:val="20"/>
        <w:u w:val="none"/>
      </w:rPr>
    </w:lvl>
    <w:lvl w:ilvl="1">
      <w:start w:val="1"/>
      <w:numFmt w:val="decimal"/>
      <w:lvlText w:val="%2)"/>
      <w:lvlJc w:val="left"/>
      <w:rPr>
        <w:rFonts w:ascii="SimHei" w:eastAsia="SimHei" w:hAnsi="SimHei" w:cs="SimHei"/>
        <w:b w:val="0"/>
        <w:bCs w:val="0"/>
        <w:i w:val="0"/>
        <w:iCs w:val="0"/>
        <w:smallCaps w:val="0"/>
        <w:strike w:val="0"/>
        <w:color w:val="000000"/>
        <w:spacing w:val="-20"/>
        <w:w w:val="100"/>
        <w:position w:val="0"/>
        <w:sz w:val="20"/>
        <w:szCs w:val="20"/>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4AF54D2B"/>
    <w:multiLevelType w:val="multilevel"/>
    <w:tmpl w:val="FA66D682"/>
    <w:lvl w:ilvl="0">
      <w:start w:val="3"/>
      <w:numFmt w:val="decimal"/>
      <w:lvlText w:val="%1."/>
      <w:lvlJc w:val="left"/>
      <w:rPr>
        <w:rFonts w:ascii="Gungsuh" w:eastAsia="Gungsuh" w:hAnsi="Gungsuh" w:cs="Gungsuh"/>
        <w:b w:val="0"/>
        <w:bCs w:val="0"/>
        <w:i w:val="0"/>
        <w:iCs w:val="0"/>
        <w:smallCaps w:val="0"/>
        <w:strike w:val="0"/>
        <w:color w:val="000000"/>
        <w:spacing w:val="0"/>
        <w:w w:val="100"/>
        <w:position w:val="0"/>
        <w:sz w:val="17"/>
        <w:szCs w:val="1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519F1A82"/>
    <w:multiLevelType w:val="multilevel"/>
    <w:tmpl w:val="3EF24A62"/>
    <w:lvl w:ilvl="0">
      <w:start w:val="3"/>
      <w:numFmt w:val="decimal"/>
      <w:lvlText w:val="%1."/>
      <w:lvlJc w:val="left"/>
      <w:rPr>
        <w:rFonts w:ascii="MS Mincho" w:eastAsia="MS Mincho" w:hAnsi="MS Mincho" w:cs="MS Mincho"/>
        <w:b w:val="0"/>
        <w:bCs w:val="0"/>
        <w:i w:val="0"/>
        <w:iCs w:val="0"/>
        <w:smallCaps w:val="0"/>
        <w:strike w:val="0"/>
        <w:color w:val="000000"/>
        <w:spacing w:val="-20"/>
        <w:w w:val="100"/>
        <w:position w:val="0"/>
        <w:sz w:val="19"/>
        <w:szCs w:val="19"/>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541A397C"/>
    <w:multiLevelType w:val="multilevel"/>
    <w:tmpl w:val="214808F2"/>
    <w:lvl w:ilvl="0">
      <w:start w:val="1"/>
      <w:numFmt w:val="decimal"/>
      <w:lvlText w:val="%1."/>
      <w:lvlJc w:val="left"/>
      <w:rPr>
        <w:rFonts w:ascii="SimHei" w:eastAsia="SimHei" w:hAnsi="SimHei" w:cs="SimHei"/>
        <w:b w:val="0"/>
        <w:bCs w:val="0"/>
        <w:i w:val="0"/>
        <w:iCs w:val="0"/>
        <w:smallCaps w:val="0"/>
        <w:strike w:val="0"/>
        <w:color w:val="000000"/>
        <w:spacing w:val="-20"/>
        <w:w w:val="100"/>
        <w:position w:val="0"/>
        <w:sz w:val="20"/>
        <w:szCs w:val="20"/>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63190308"/>
    <w:multiLevelType w:val="multilevel"/>
    <w:tmpl w:val="D80CE836"/>
    <w:lvl w:ilvl="0">
      <w:start w:val="1"/>
      <w:numFmt w:val="decimal"/>
      <w:lvlText w:val="%1."/>
      <w:lvlJc w:val="left"/>
      <w:rPr>
        <w:rFonts w:ascii="Arial Narrow" w:eastAsia="Arial Narrow" w:hAnsi="Arial Narrow" w:cs="Arial Narrow"/>
        <w:b w:val="0"/>
        <w:bCs w:val="0"/>
        <w:i w:val="0"/>
        <w:iCs w:val="0"/>
        <w:smallCaps w:val="0"/>
        <w:strike w:val="0"/>
        <w:color w:val="000000"/>
        <w:spacing w:val="0"/>
        <w:w w:val="100"/>
        <w:position w:val="0"/>
        <w:sz w:val="15"/>
        <w:szCs w:val="15"/>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75883F4D"/>
    <w:multiLevelType w:val="multilevel"/>
    <w:tmpl w:val="398C19EA"/>
    <w:lvl w:ilvl="0">
      <w:start w:val="1"/>
      <w:numFmt w:val="decimal"/>
      <w:lvlText w:val="%1."/>
      <w:lvlJc w:val="left"/>
      <w:rPr>
        <w:rFonts w:ascii="Century Schoolbook" w:eastAsia="Century Schoolbook" w:hAnsi="Century Schoolbook" w:cs="Century Schoolbook"/>
        <w:b w:val="0"/>
        <w:bCs w:val="0"/>
        <w:i w:val="0"/>
        <w:iCs w:val="0"/>
        <w:smallCaps w:val="0"/>
        <w:strike w:val="0"/>
        <w:color w:val="000000"/>
        <w:spacing w:val="1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5"/>
  </w:num>
  <w:num w:numId="2">
    <w:abstractNumId w:val="0"/>
  </w:num>
  <w:num w:numId="3">
    <w:abstractNumId w:val="19"/>
  </w:num>
  <w:num w:numId="4">
    <w:abstractNumId w:val="4"/>
  </w:num>
  <w:num w:numId="5">
    <w:abstractNumId w:val="7"/>
  </w:num>
  <w:num w:numId="6">
    <w:abstractNumId w:val="3"/>
  </w:num>
  <w:num w:numId="7">
    <w:abstractNumId w:val="1"/>
  </w:num>
  <w:num w:numId="8">
    <w:abstractNumId w:val="18"/>
  </w:num>
  <w:num w:numId="9">
    <w:abstractNumId w:val="15"/>
  </w:num>
  <w:num w:numId="10">
    <w:abstractNumId w:val="21"/>
  </w:num>
  <w:num w:numId="11">
    <w:abstractNumId w:val="6"/>
  </w:num>
  <w:num w:numId="12">
    <w:abstractNumId w:val="17"/>
  </w:num>
  <w:num w:numId="13">
    <w:abstractNumId w:val="16"/>
  </w:num>
  <w:num w:numId="14">
    <w:abstractNumId w:val="12"/>
  </w:num>
  <w:num w:numId="15">
    <w:abstractNumId w:val="14"/>
  </w:num>
  <w:num w:numId="16">
    <w:abstractNumId w:val="11"/>
  </w:num>
  <w:num w:numId="17">
    <w:abstractNumId w:val="24"/>
  </w:num>
  <w:num w:numId="18">
    <w:abstractNumId w:val="13"/>
  </w:num>
  <w:num w:numId="19">
    <w:abstractNumId w:val="8"/>
  </w:num>
  <w:num w:numId="20">
    <w:abstractNumId w:val="20"/>
  </w:num>
  <w:num w:numId="21">
    <w:abstractNumId w:val="9"/>
  </w:num>
  <w:num w:numId="22">
    <w:abstractNumId w:val="10"/>
  </w:num>
  <w:num w:numId="23">
    <w:abstractNumId w:val="22"/>
  </w:num>
  <w:num w:numId="24">
    <w:abstractNumId w:val="2"/>
  </w:num>
  <w:num w:numId="25">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2014"/>
    <w:rsid w:val="00001B78"/>
    <w:rsid w:val="00002014"/>
    <w:rsid w:val="00005334"/>
    <w:rsid w:val="000061E9"/>
    <w:rsid w:val="0001608E"/>
    <w:rsid w:val="000304BE"/>
    <w:rsid w:val="00031E3A"/>
    <w:rsid w:val="00045010"/>
    <w:rsid w:val="00046272"/>
    <w:rsid w:val="00047452"/>
    <w:rsid w:val="00060F70"/>
    <w:rsid w:val="00074718"/>
    <w:rsid w:val="000858D5"/>
    <w:rsid w:val="000863C2"/>
    <w:rsid w:val="00087C19"/>
    <w:rsid w:val="00090D02"/>
    <w:rsid w:val="00095326"/>
    <w:rsid w:val="0009647B"/>
    <w:rsid w:val="000A1C3C"/>
    <w:rsid w:val="000A37CC"/>
    <w:rsid w:val="000A728B"/>
    <w:rsid w:val="000B0D4F"/>
    <w:rsid w:val="000B5266"/>
    <w:rsid w:val="000C4C73"/>
    <w:rsid w:val="000D310A"/>
    <w:rsid w:val="000D3BCB"/>
    <w:rsid w:val="000E0496"/>
    <w:rsid w:val="000E0937"/>
    <w:rsid w:val="000E1AD9"/>
    <w:rsid w:val="000E5B37"/>
    <w:rsid w:val="00100036"/>
    <w:rsid w:val="001063EE"/>
    <w:rsid w:val="001071C3"/>
    <w:rsid w:val="001125BD"/>
    <w:rsid w:val="00112F2A"/>
    <w:rsid w:val="00116276"/>
    <w:rsid w:val="00120EA7"/>
    <w:rsid w:val="00126005"/>
    <w:rsid w:val="00132C0A"/>
    <w:rsid w:val="00150B39"/>
    <w:rsid w:val="00154500"/>
    <w:rsid w:val="001547E5"/>
    <w:rsid w:val="00160FA4"/>
    <w:rsid w:val="00163780"/>
    <w:rsid w:val="00165A9C"/>
    <w:rsid w:val="00173061"/>
    <w:rsid w:val="00175F7D"/>
    <w:rsid w:val="001767D8"/>
    <w:rsid w:val="00196C59"/>
    <w:rsid w:val="001A313A"/>
    <w:rsid w:val="001B0AE4"/>
    <w:rsid w:val="001B717D"/>
    <w:rsid w:val="001C482B"/>
    <w:rsid w:val="001C4D24"/>
    <w:rsid w:val="001C78C6"/>
    <w:rsid w:val="001D2274"/>
    <w:rsid w:val="001D2307"/>
    <w:rsid w:val="001D4996"/>
    <w:rsid w:val="001E0E29"/>
    <w:rsid w:val="001E65A1"/>
    <w:rsid w:val="001E6A20"/>
    <w:rsid w:val="001F5595"/>
    <w:rsid w:val="001F6AEC"/>
    <w:rsid w:val="002008ED"/>
    <w:rsid w:val="00200A28"/>
    <w:rsid w:val="002028EF"/>
    <w:rsid w:val="00202CC9"/>
    <w:rsid w:val="002123A2"/>
    <w:rsid w:val="002147C7"/>
    <w:rsid w:val="00216F30"/>
    <w:rsid w:val="00224205"/>
    <w:rsid w:val="00224956"/>
    <w:rsid w:val="00227022"/>
    <w:rsid w:val="00227695"/>
    <w:rsid w:val="00235644"/>
    <w:rsid w:val="002357E4"/>
    <w:rsid w:val="00235B92"/>
    <w:rsid w:val="0024476E"/>
    <w:rsid w:val="002535FA"/>
    <w:rsid w:val="0025395E"/>
    <w:rsid w:val="002568A6"/>
    <w:rsid w:val="00261D58"/>
    <w:rsid w:val="002755D5"/>
    <w:rsid w:val="002801A3"/>
    <w:rsid w:val="00285B16"/>
    <w:rsid w:val="00295B9F"/>
    <w:rsid w:val="002966FD"/>
    <w:rsid w:val="002A1666"/>
    <w:rsid w:val="002A2796"/>
    <w:rsid w:val="002A5DE2"/>
    <w:rsid w:val="002A735E"/>
    <w:rsid w:val="002B4573"/>
    <w:rsid w:val="002C1B9B"/>
    <w:rsid w:val="002C36B3"/>
    <w:rsid w:val="002D7D4D"/>
    <w:rsid w:val="002E1BEB"/>
    <w:rsid w:val="002E22AF"/>
    <w:rsid w:val="002E395B"/>
    <w:rsid w:val="002F12D1"/>
    <w:rsid w:val="002F388C"/>
    <w:rsid w:val="002F5050"/>
    <w:rsid w:val="002F5DDC"/>
    <w:rsid w:val="00302273"/>
    <w:rsid w:val="00306CC6"/>
    <w:rsid w:val="00310884"/>
    <w:rsid w:val="0031350D"/>
    <w:rsid w:val="00313A9E"/>
    <w:rsid w:val="00313F12"/>
    <w:rsid w:val="003156BD"/>
    <w:rsid w:val="00320058"/>
    <w:rsid w:val="003277BA"/>
    <w:rsid w:val="00331699"/>
    <w:rsid w:val="00333541"/>
    <w:rsid w:val="00333A9C"/>
    <w:rsid w:val="0033729D"/>
    <w:rsid w:val="003375C8"/>
    <w:rsid w:val="00340A71"/>
    <w:rsid w:val="00340C10"/>
    <w:rsid w:val="003478D5"/>
    <w:rsid w:val="00351905"/>
    <w:rsid w:val="0036022A"/>
    <w:rsid w:val="0036767C"/>
    <w:rsid w:val="003720C1"/>
    <w:rsid w:val="003733B8"/>
    <w:rsid w:val="00373B8F"/>
    <w:rsid w:val="0038053A"/>
    <w:rsid w:val="00381BC6"/>
    <w:rsid w:val="0038220C"/>
    <w:rsid w:val="003918E4"/>
    <w:rsid w:val="00395D82"/>
    <w:rsid w:val="003A0BD1"/>
    <w:rsid w:val="003A1D47"/>
    <w:rsid w:val="003A1DF7"/>
    <w:rsid w:val="003A4833"/>
    <w:rsid w:val="003A6E72"/>
    <w:rsid w:val="003B0340"/>
    <w:rsid w:val="003B58AD"/>
    <w:rsid w:val="003C65D8"/>
    <w:rsid w:val="003E3671"/>
    <w:rsid w:val="003F664E"/>
    <w:rsid w:val="00401AC5"/>
    <w:rsid w:val="00416C53"/>
    <w:rsid w:val="0042350C"/>
    <w:rsid w:val="00430E4D"/>
    <w:rsid w:val="00432749"/>
    <w:rsid w:val="004369F7"/>
    <w:rsid w:val="004423D2"/>
    <w:rsid w:val="00444017"/>
    <w:rsid w:val="00445F03"/>
    <w:rsid w:val="004673CC"/>
    <w:rsid w:val="00470874"/>
    <w:rsid w:val="00471CF3"/>
    <w:rsid w:val="0048040F"/>
    <w:rsid w:val="00481F6D"/>
    <w:rsid w:val="00482F75"/>
    <w:rsid w:val="004861A6"/>
    <w:rsid w:val="004902DB"/>
    <w:rsid w:val="004A55CA"/>
    <w:rsid w:val="004A61E5"/>
    <w:rsid w:val="004C469C"/>
    <w:rsid w:val="004C4A2B"/>
    <w:rsid w:val="004D66FB"/>
    <w:rsid w:val="004D7F78"/>
    <w:rsid w:val="004E06EE"/>
    <w:rsid w:val="004E2059"/>
    <w:rsid w:val="004E2BF7"/>
    <w:rsid w:val="004E55D6"/>
    <w:rsid w:val="004E7169"/>
    <w:rsid w:val="004F4F88"/>
    <w:rsid w:val="004F56C0"/>
    <w:rsid w:val="004F6338"/>
    <w:rsid w:val="00501F9E"/>
    <w:rsid w:val="00507039"/>
    <w:rsid w:val="0051488C"/>
    <w:rsid w:val="00515354"/>
    <w:rsid w:val="00516941"/>
    <w:rsid w:val="0052262F"/>
    <w:rsid w:val="00524243"/>
    <w:rsid w:val="005348D8"/>
    <w:rsid w:val="00537B89"/>
    <w:rsid w:val="00547102"/>
    <w:rsid w:val="00561678"/>
    <w:rsid w:val="0056575D"/>
    <w:rsid w:val="00566190"/>
    <w:rsid w:val="00574DA1"/>
    <w:rsid w:val="00581130"/>
    <w:rsid w:val="005907B3"/>
    <w:rsid w:val="0059263F"/>
    <w:rsid w:val="00595859"/>
    <w:rsid w:val="005A189F"/>
    <w:rsid w:val="005B05F8"/>
    <w:rsid w:val="005C0774"/>
    <w:rsid w:val="005C14EE"/>
    <w:rsid w:val="005D06E2"/>
    <w:rsid w:val="005D108D"/>
    <w:rsid w:val="005D688A"/>
    <w:rsid w:val="005D691F"/>
    <w:rsid w:val="005E16BC"/>
    <w:rsid w:val="005E5074"/>
    <w:rsid w:val="005F082E"/>
    <w:rsid w:val="005F2873"/>
    <w:rsid w:val="005F34CF"/>
    <w:rsid w:val="00607185"/>
    <w:rsid w:val="00625169"/>
    <w:rsid w:val="00630A1B"/>
    <w:rsid w:val="00640820"/>
    <w:rsid w:val="006431D3"/>
    <w:rsid w:val="00643896"/>
    <w:rsid w:val="00644070"/>
    <w:rsid w:val="00646706"/>
    <w:rsid w:val="00650B79"/>
    <w:rsid w:val="0065114D"/>
    <w:rsid w:val="006513C7"/>
    <w:rsid w:val="0065540E"/>
    <w:rsid w:val="00680EEE"/>
    <w:rsid w:val="00690814"/>
    <w:rsid w:val="00696B43"/>
    <w:rsid w:val="006A29EC"/>
    <w:rsid w:val="006A3215"/>
    <w:rsid w:val="006A5030"/>
    <w:rsid w:val="006A6BE8"/>
    <w:rsid w:val="006B0687"/>
    <w:rsid w:val="006B6A93"/>
    <w:rsid w:val="006B7E44"/>
    <w:rsid w:val="006C0C0E"/>
    <w:rsid w:val="006C0E54"/>
    <w:rsid w:val="006C122B"/>
    <w:rsid w:val="006C1BE5"/>
    <w:rsid w:val="006C36C3"/>
    <w:rsid w:val="006D4476"/>
    <w:rsid w:val="006E31FE"/>
    <w:rsid w:val="006E3ADE"/>
    <w:rsid w:val="006E607C"/>
    <w:rsid w:val="006E7121"/>
    <w:rsid w:val="006F1376"/>
    <w:rsid w:val="00702F8A"/>
    <w:rsid w:val="007108FA"/>
    <w:rsid w:val="0072353A"/>
    <w:rsid w:val="007266CC"/>
    <w:rsid w:val="0073041D"/>
    <w:rsid w:val="007322B3"/>
    <w:rsid w:val="0073440B"/>
    <w:rsid w:val="00744007"/>
    <w:rsid w:val="0074416C"/>
    <w:rsid w:val="007627BD"/>
    <w:rsid w:val="00771981"/>
    <w:rsid w:val="007935BB"/>
    <w:rsid w:val="00794B7F"/>
    <w:rsid w:val="007A0956"/>
    <w:rsid w:val="007B0085"/>
    <w:rsid w:val="007B0857"/>
    <w:rsid w:val="007B19F7"/>
    <w:rsid w:val="007B4E69"/>
    <w:rsid w:val="007C004E"/>
    <w:rsid w:val="007C1BF9"/>
    <w:rsid w:val="007C476F"/>
    <w:rsid w:val="007C4777"/>
    <w:rsid w:val="007C62FB"/>
    <w:rsid w:val="007D00FD"/>
    <w:rsid w:val="007D4E92"/>
    <w:rsid w:val="007F55E4"/>
    <w:rsid w:val="00800A8B"/>
    <w:rsid w:val="00801ADA"/>
    <w:rsid w:val="00811760"/>
    <w:rsid w:val="00813840"/>
    <w:rsid w:val="00820150"/>
    <w:rsid w:val="00835478"/>
    <w:rsid w:val="00836202"/>
    <w:rsid w:val="008416A6"/>
    <w:rsid w:val="00843B64"/>
    <w:rsid w:val="008471BC"/>
    <w:rsid w:val="008473BD"/>
    <w:rsid w:val="0085197F"/>
    <w:rsid w:val="00862072"/>
    <w:rsid w:val="008657BD"/>
    <w:rsid w:val="00872EF7"/>
    <w:rsid w:val="0087320B"/>
    <w:rsid w:val="0087788A"/>
    <w:rsid w:val="00883F56"/>
    <w:rsid w:val="0088470A"/>
    <w:rsid w:val="008914D4"/>
    <w:rsid w:val="00895A6E"/>
    <w:rsid w:val="0089648C"/>
    <w:rsid w:val="00897CA4"/>
    <w:rsid w:val="00897DE5"/>
    <w:rsid w:val="008A6EEB"/>
    <w:rsid w:val="008B31BE"/>
    <w:rsid w:val="008B6AB5"/>
    <w:rsid w:val="008C4B70"/>
    <w:rsid w:val="008D057C"/>
    <w:rsid w:val="008D1ADA"/>
    <w:rsid w:val="008D3ECC"/>
    <w:rsid w:val="008E0427"/>
    <w:rsid w:val="008E0D32"/>
    <w:rsid w:val="008E7887"/>
    <w:rsid w:val="008F7702"/>
    <w:rsid w:val="009042E6"/>
    <w:rsid w:val="00904B18"/>
    <w:rsid w:val="00911435"/>
    <w:rsid w:val="009160A2"/>
    <w:rsid w:val="00922AAB"/>
    <w:rsid w:val="009249DA"/>
    <w:rsid w:val="00930969"/>
    <w:rsid w:val="009353C5"/>
    <w:rsid w:val="00940867"/>
    <w:rsid w:val="00941540"/>
    <w:rsid w:val="00947B85"/>
    <w:rsid w:val="0095335E"/>
    <w:rsid w:val="00955055"/>
    <w:rsid w:val="00977D0D"/>
    <w:rsid w:val="00984372"/>
    <w:rsid w:val="00984994"/>
    <w:rsid w:val="00987433"/>
    <w:rsid w:val="0099687D"/>
    <w:rsid w:val="00996D3D"/>
    <w:rsid w:val="009A0766"/>
    <w:rsid w:val="009A31E1"/>
    <w:rsid w:val="009B002F"/>
    <w:rsid w:val="009B3159"/>
    <w:rsid w:val="009B52D7"/>
    <w:rsid w:val="009C55BD"/>
    <w:rsid w:val="009C73ED"/>
    <w:rsid w:val="009E240F"/>
    <w:rsid w:val="009E3071"/>
    <w:rsid w:val="009E4004"/>
    <w:rsid w:val="009E4DE8"/>
    <w:rsid w:val="009F466D"/>
    <w:rsid w:val="009F502E"/>
    <w:rsid w:val="009F6E13"/>
    <w:rsid w:val="00A00ACC"/>
    <w:rsid w:val="00A036FC"/>
    <w:rsid w:val="00A122A6"/>
    <w:rsid w:val="00A30AC8"/>
    <w:rsid w:val="00A351EF"/>
    <w:rsid w:val="00A458F8"/>
    <w:rsid w:val="00A55E16"/>
    <w:rsid w:val="00A56BCC"/>
    <w:rsid w:val="00A574B0"/>
    <w:rsid w:val="00A61934"/>
    <w:rsid w:val="00A633F1"/>
    <w:rsid w:val="00A64300"/>
    <w:rsid w:val="00A74C5C"/>
    <w:rsid w:val="00A80206"/>
    <w:rsid w:val="00A83418"/>
    <w:rsid w:val="00A83C20"/>
    <w:rsid w:val="00A90FF1"/>
    <w:rsid w:val="00A91828"/>
    <w:rsid w:val="00A92C86"/>
    <w:rsid w:val="00A9485D"/>
    <w:rsid w:val="00A96601"/>
    <w:rsid w:val="00A973B1"/>
    <w:rsid w:val="00AA3C30"/>
    <w:rsid w:val="00AA4E70"/>
    <w:rsid w:val="00AC5806"/>
    <w:rsid w:val="00AC678F"/>
    <w:rsid w:val="00AD6360"/>
    <w:rsid w:val="00AE047E"/>
    <w:rsid w:val="00AE1552"/>
    <w:rsid w:val="00AE1A6D"/>
    <w:rsid w:val="00AF6985"/>
    <w:rsid w:val="00B0241A"/>
    <w:rsid w:val="00B0289D"/>
    <w:rsid w:val="00B03639"/>
    <w:rsid w:val="00B04700"/>
    <w:rsid w:val="00B05792"/>
    <w:rsid w:val="00B058D4"/>
    <w:rsid w:val="00B1076E"/>
    <w:rsid w:val="00B179AE"/>
    <w:rsid w:val="00B279ED"/>
    <w:rsid w:val="00B51393"/>
    <w:rsid w:val="00B51DAF"/>
    <w:rsid w:val="00B557AB"/>
    <w:rsid w:val="00B56C07"/>
    <w:rsid w:val="00B578D4"/>
    <w:rsid w:val="00B626D3"/>
    <w:rsid w:val="00B67F30"/>
    <w:rsid w:val="00B81D22"/>
    <w:rsid w:val="00B83ED4"/>
    <w:rsid w:val="00B922CA"/>
    <w:rsid w:val="00B9303C"/>
    <w:rsid w:val="00B97A93"/>
    <w:rsid w:val="00BA069A"/>
    <w:rsid w:val="00BA22CC"/>
    <w:rsid w:val="00BA2517"/>
    <w:rsid w:val="00BA42ED"/>
    <w:rsid w:val="00BB00A7"/>
    <w:rsid w:val="00BB6DA9"/>
    <w:rsid w:val="00BC4498"/>
    <w:rsid w:val="00BD64A7"/>
    <w:rsid w:val="00BE13FF"/>
    <w:rsid w:val="00BE26F3"/>
    <w:rsid w:val="00BE54B8"/>
    <w:rsid w:val="00BE64C4"/>
    <w:rsid w:val="00BF6067"/>
    <w:rsid w:val="00C14AD8"/>
    <w:rsid w:val="00C2716E"/>
    <w:rsid w:val="00C30BD0"/>
    <w:rsid w:val="00C34BFD"/>
    <w:rsid w:val="00C365F0"/>
    <w:rsid w:val="00C45D12"/>
    <w:rsid w:val="00C46090"/>
    <w:rsid w:val="00C46E94"/>
    <w:rsid w:val="00C47215"/>
    <w:rsid w:val="00C62511"/>
    <w:rsid w:val="00C7008E"/>
    <w:rsid w:val="00C7274C"/>
    <w:rsid w:val="00C813D1"/>
    <w:rsid w:val="00C857C6"/>
    <w:rsid w:val="00C862E9"/>
    <w:rsid w:val="00C9372D"/>
    <w:rsid w:val="00CB3F2E"/>
    <w:rsid w:val="00CC2197"/>
    <w:rsid w:val="00CC5033"/>
    <w:rsid w:val="00CD2D86"/>
    <w:rsid w:val="00CD4B4F"/>
    <w:rsid w:val="00CD733F"/>
    <w:rsid w:val="00CE2A94"/>
    <w:rsid w:val="00CE5E8A"/>
    <w:rsid w:val="00CF13D3"/>
    <w:rsid w:val="00CF4C03"/>
    <w:rsid w:val="00D07D2B"/>
    <w:rsid w:val="00D07FCB"/>
    <w:rsid w:val="00D10CF3"/>
    <w:rsid w:val="00D114F3"/>
    <w:rsid w:val="00D11EDA"/>
    <w:rsid w:val="00D1285C"/>
    <w:rsid w:val="00D15EDB"/>
    <w:rsid w:val="00D16B42"/>
    <w:rsid w:val="00D25302"/>
    <w:rsid w:val="00D26169"/>
    <w:rsid w:val="00D35C3E"/>
    <w:rsid w:val="00D3684C"/>
    <w:rsid w:val="00D41221"/>
    <w:rsid w:val="00D46932"/>
    <w:rsid w:val="00D540A3"/>
    <w:rsid w:val="00D60467"/>
    <w:rsid w:val="00D61714"/>
    <w:rsid w:val="00D70A78"/>
    <w:rsid w:val="00D8147F"/>
    <w:rsid w:val="00D823F8"/>
    <w:rsid w:val="00D908D8"/>
    <w:rsid w:val="00D9129E"/>
    <w:rsid w:val="00DA0F14"/>
    <w:rsid w:val="00DA490C"/>
    <w:rsid w:val="00DC6E91"/>
    <w:rsid w:val="00DD1D54"/>
    <w:rsid w:val="00DD5498"/>
    <w:rsid w:val="00DD6711"/>
    <w:rsid w:val="00DE3D8D"/>
    <w:rsid w:val="00DE6D2C"/>
    <w:rsid w:val="00DE7A4A"/>
    <w:rsid w:val="00DE7CDD"/>
    <w:rsid w:val="00DF5A48"/>
    <w:rsid w:val="00E0550A"/>
    <w:rsid w:val="00E05DAF"/>
    <w:rsid w:val="00E05EA0"/>
    <w:rsid w:val="00E10F86"/>
    <w:rsid w:val="00E110AE"/>
    <w:rsid w:val="00E118CB"/>
    <w:rsid w:val="00E14D28"/>
    <w:rsid w:val="00E252FA"/>
    <w:rsid w:val="00E31893"/>
    <w:rsid w:val="00E34734"/>
    <w:rsid w:val="00E35668"/>
    <w:rsid w:val="00E3592D"/>
    <w:rsid w:val="00E40BF2"/>
    <w:rsid w:val="00E533AD"/>
    <w:rsid w:val="00E5656F"/>
    <w:rsid w:val="00E73430"/>
    <w:rsid w:val="00E7681F"/>
    <w:rsid w:val="00E80D3A"/>
    <w:rsid w:val="00E857A5"/>
    <w:rsid w:val="00E869AD"/>
    <w:rsid w:val="00E86F52"/>
    <w:rsid w:val="00E87C01"/>
    <w:rsid w:val="00E915DA"/>
    <w:rsid w:val="00EA1479"/>
    <w:rsid w:val="00EB1520"/>
    <w:rsid w:val="00EB2157"/>
    <w:rsid w:val="00EB2FA8"/>
    <w:rsid w:val="00ED2BEA"/>
    <w:rsid w:val="00ED49A4"/>
    <w:rsid w:val="00EE130E"/>
    <w:rsid w:val="00EE2749"/>
    <w:rsid w:val="00EE3BEC"/>
    <w:rsid w:val="00EE5662"/>
    <w:rsid w:val="00EF2C46"/>
    <w:rsid w:val="00EF6A8F"/>
    <w:rsid w:val="00F00B65"/>
    <w:rsid w:val="00F07411"/>
    <w:rsid w:val="00F075BB"/>
    <w:rsid w:val="00F07966"/>
    <w:rsid w:val="00F226C1"/>
    <w:rsid w:val="00F22E3E"/>
    <w:rsid w:val="00F23109"/>
    <w:rsid w:val="00F24BA9"/>
    <w:rsid w:val="00F26E86"/>
    <w:rsid w:val="00F27F83"/>
    <w:rsid w:val="00F30D70"/>
    <w:rsid w:val="00F30FFF"/>
    <w:rsid w:val="00F370FA"/>
    <w:rsid w:val="00F41DBA"/>
    <w:rsid w:val="00F52A2A"/>
    <w:rsid w:val="00F5663D"/>
    <w:rsid w:val="00F575EB"/>
    <w:rsid w:val="00F63D39"/>
    <w:rsid w:val="00F64CBE"/>
    <w:rsid w:val="00F83395"/>
    <w:rsid w:val="00F83CF9"/>
    <w:rsid w:val="00F874F7"/>
    <w:rsid w:val="00FA2FD1"/>
    <w:rsid w:val="00FA3B67"/>
    <w:rsid w:val="00FA48B2"/>
    <w:rsid w:val="00FA7983"/>
    <w:rsid w:val="00FB057B"/>
    <w:rsid w:val="00FB05DC"/>
    <w:rsid w:val="00FD1870"/>
    <w:rsid w:val="00FF1134"/>
    <w:rsid w:val="00FF1EE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22CCC788"/>
  <w15:docId w15:val="{69A5A363-DAD3-45CB-848F-F170D8A485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6022A"/>
    <w:pPr>
      <w:spacing w:after="160" w:line="259" w:lineRule="auto"/>
    </w:pPr>
    <w:rPr>
      <w:sz w:val="22"/>
      <w:szCs w:val="22"/>
      <w:lang w:eastAsia="en-US"/>
    </w:rPr>
  </w:style>
  <w:style w:type="paragraph" w:styleId="1">
    <w:name w:val="heading 1"/>
    <w:basedOn w:val="a"/>
    <w:next w:val="a"/>
    <w:link w:val="10"/>
    <w:uiPriority w:val="99"/>
    <w:qFormat/>
    <w:rsid w:val="00045010"/>
    <w:pPr>
      <w:keepNext/>
      <w:autoSpaceDE w:val="0"/>
      <w:autoSpaceDN w:val="0"/>
      <w:adjustRightInd w:val="0"/>
      <w:spacing w:after="0" w:line="240" w:lineRule="auto"/>
      <w:outlineLvl w:val="0"/>
    </w:pPr>
    <w:rPr>
      <w:rFonts w:ascii="Times New Roman" w:hAnsi="Times New Roman"/>
      <w:b/>
      <w:bCs/>
      <w:sz w:val="24"/>
      <w:szCs w:val="24"/>
    </w:rPr>
  </w:style>
  <w:style w:type="paragraph" w:styleId="2">
    <w:name w:val="heading 2"/>
    <w:basedOn w:val="a"/>
    <w:next w:val="a"/>
    <w:link w:val="20"/>
    <w:uiPriority w:val="9"/>
    <w:unhideWhenUsed/>
    <w:qFormat/>
    <w:rsid w:val="00045010"/>
    <w:pPr>
      <w:keepNext/>
      <w:keepLines/>
      <w:overflowPunct w:val="0"/>
      <w:autoSpaceDE w:val="0"/>
      <w:autoSpaceDN w:val="0"/>
      <w:adjustRightInd w:val="0"/>
      <w:spacing w:before="40" w:after="0" w:line="240" w:lineRule="auto"/>
      <w:textAlignment w:val="baseline"/>
      <w:outlineLvl w:val="1"/>
    </w:pPr>
    <w:rPr>
      <w:rFonts w:ascii="Cambria" w:eastAsia="Times New Roman" w:hAnsi="Cambria"/>
      <w:color w:val="365F91"/>
      <w:sz w:val="26"/>
      <w:szCs w:val="26"/>
      <w:lang w:eastAsia="ru-RU"/>
    </w:rPr>
  </w:style>
  <w:style w:type="paragraph" w:styleId="3">
    <w:name w:val="heading 3"/>
    <w:basedOn w:val="a"/>
    <w:next w:val="a"/>
    <w:link w:val="30"/>
    <w:uiPriority w:val="99"/>
    <w:qFormat/>
    <w:rsid w:val="00045010"/>
    <w:pPr>
      <w:keepNext/>
      <w:autoSpaceDE w:val="0"/>
      <w:autoSpaceDN w:val="0"/>
      <w:adjustRightInd w:val="0"/>
      <w:spacing w:after="0" w:line="240" w:lineRule="auto"/>
      <w:jc w:val="center"/>
      <w:outlineLvl w:val="2"/>
    </w:pPr>
    <w:rPr>
      <w:rFonts w:ascii="Times New Roman" w:hAnsi="Times New Roman"/>
      <w:b/>
      <w:bCs/>
      <w:sz w:val="28"/>
      <w:szCs w:val="28"/>
    </w:rPr>
  </w:style>
  <w:style w:type="paragraph" w:styleId="4">
    <w:name w:val="heading 4"/>
    <w:basedOn w:val="a"/>
    <w:next w:val="a"/>
    <w:link w:val="40"/>
    <w:uiPriority w:val="9"/>
    <w:unhideWhenUsed/>
    <w:qFormat/>
    <w:rsid w:val="00045010"/>
    <w:pPr>
      <w:keepNext/>
      <w:keepLines/>
      <w:overflowPunct w:val="0"/>
      <w:autoSpaceDE w:val="0"/>
      <w:autoSpaceDN w:val="0"/>
      <w:adjustRightInd w:val="0"/>
      <w:spacing w:before="40" w:after="0" w:line="240" w:lineRule="auto"/>
      <w:textAlignment w:val="baseline"/>
      <w:outlineLvl w:val="3"/>
    </w:pPr>
    <w:rPr>
      <w:rFonts w:ascii="Cambria" w:eastAsia="Times New Roman" w:hAnsi="Cambria"/>
      <w:i/>
      <w:iCs/>
      <w:color w:val="365F91"/>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rsid w:val="00045010"/>
    <w:rPr>
      <w:rFonts w:ascii="Times New Roman" w:hAnsi="Times New Roman"/>
      <w:b/>
      <w:bCs/>
      <w:sz w:val="24"/>
      <w:szCs w:val="24"/>
      <w:lang w:eastAsia="en-US"/>
    </w:rPr>
  </w:style>
  <w:style w:type="character" w:customStyle="1" w:styleId="20">
    <w:name w:val="Заголовок 2 Знак"/>
    <w:link w:val="2"/>
    <w:uiPriority w:val="9"/>
    <w:rsid w:val="00045010"/>
    <w:rPr>
      <w:rFonts w:ascii="Cambria" w:eastAsia="Times New Roman" w:hAnsi="Cambria"/>
      <w:color w:val="365F91"/>
      <w:sz w:val="26"/>
      <w:szCs w:val="26"/>
    </w:rPr>
  </w:style>
  <w:style w:type="character" w:customStyle="1" w:styleId="30">
    <w:name w:val="Заголовок 3 Знак"/>
    <w:link w:val="3"/>
    <w:uiPriority w:val="99"/>
    <w:rsid w:val="00045010"/>
    <w:rPr>
      <w:rFonts w:ascii="Times New Roman" w:hAnsi="Times New Roman"/>
      <w:b/>
      <w:bCs/>
      <w:sz w:val="28"/>
      <w:szCs w:val="28"/>
      <w:lang w:eastAsia="en-US"/>
    </w:rPr>
  </w:style>
  <w:style w:type="character" w:customStyle="1" w:styleId="40">
    <w:name w:val="Заголовок 4 Знак"/>
    <w:link w:val="4"/>
    <w:uiPriority w:val="9"/>
    <w:rsid w:val="00045010"/>
    <w:rPr>
      <w:rFonts w:ascii="Cambria" w:eastAsia="Times New Roman" w:hAnsi="Cambria"/>
      <w:i/>
      <w:iCs/>
      <w:color w:val="365F91"/>
    </w:rPr>
  </w:style>
  <w:style w:type="paragraph" w:customStyle="1" w:styleId="11">
    <w:name w:val="заголовок 1"/>
    <w:basedOn w:val="a"/>
    <w:next w:val="a"/>
    <w:uiPriority w:val="99"/>
    <w:rsid w:val="00045010"/>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045010"/>
    <w:pPr>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110">
    <w:name w:val="заголовок 11"/>
    <w:basedOn w:val="a"/>
    <w:next w:val="a"/>
    <w:uiPriority w:val="99"/>
    <w:rsid w:val="00045010"/>
    <w:pPr>
      <w:keepNext/>
      <w:autoSpaceDE w:val="0"/>
      <w:autoSpaceDN w:val="0"/>
      <w:adjustRightInd w:val="0"/>
      <w:spacing w:after="0" w:line="240" w:lineRule="auto"/>
      <w:jc w:val="both"/>
    </w:pPr>
    <w:rPr>
      <w:rFonts w:ascii="Times New Roman" w:hAnsi="Times New Roman"/>
      <w:b/>
      <w:bCs/>
      <w:color w:val="0000FF"/>
      <w:sz w:val="16"/>
      <w:szCs w:val="16"/>
    </w:rPr>
  </w:style>
  <w:style w:type="paragraph" w:styleId="a3">
    <w:name w:val="Body Text"/>
    <w:basedOn w:val="a"/>
    <w:link w:val="a4"/>
    <w:uiPriority w:val="99"/>
    <w:rsid w:val="00045010"/>
    <w:pPr>
      <w:widowControl w:val="0"/>
      <w:autoSpaceDE w:val="0"/>
      <w:autoSpaceDN w:val="0"/>
      <w:adjustRightInd w:val="0"/>
      <w:spacing w:after="0" w:line="240" w:lineRule="auto"/>
      <w:jc w:val="both"/>
    </w:pPr>
    <w:rPr>
      <w:rFonts w:ascii="Times New Roman" w:hAnsi="Times New Roman"/>
      <w:color w:val="0000FF"/>
      <w:sz w:val="16"/>
      <w:szCs w:val="16"/>
      <w:lang w:val="en-US"/>
    </w:rPr>
  </w:style>
  <w:style w:type="character" w:customStyle="1" w:styleId="a4">
    <w:name w:val="Основной текст Знак"/>
    <w:link w:val="a3"/>
    <w:uiPriority w:val="99"/>
    <w:rsid w:val="00045010"/>
    <w:rPr>
      <w:rFonts w:ascii="Times New Roman" w:hAnsi="Times New Roman"/>
      <w:color w:val="0000FF"/>
      <w:sz w:val="16"/>
      <w:szCs w:val="16"/>
      <w:lang w:val="en-US" w:eastAsia="en-US"/>
    </w:rPr>
  </w:style>
  <w:style w:type="paragraph" w:styleId="22">
    <w:name w:val="Body Text Indent 2"/>
    <w:basedOn w:val="a"/>
    <w:link w:val="23"/>
    <w:uiPriority w:val="99"/>
    <w:rsid w:val="00045010"/>
    <w:pPr>
      <w:widowControl w:val="0"/>
      <w:autoSpaceDE w:val="0"/>
      <w:autoSpaceDN w:val="0"/>
      <w:adjustRightInd w:val="0"/>
      <w:spacing w:after="0" w:line="240" w:lineRule="auto"/>
      <w:ind w:left="2160" w:hanging="2160"/>
      <w:jc w:val="both"/>
    </w:pPr>
    <w:rPr>
      <w:rFonts w:ascii="Times New Roman" w:hAnsi="Times New Roman"/>
      <w:color w:val="0000FF"/>
      <w:sz w:val="16"/>
      <w:szCs w:val="16"/>
      <w:lang w:val="en-US"/>
    </w:rPr>
  </w:style>
  <w:style w:type="character" w:customStyle="1" w:styleId="23">
    <w:name w:val="Основной текст с отступом 2 Знак"/>
    <w:link w:val="22"/>
    <w:uiPriority w:val="99"/>
    <w:rsid w:val="00045010"/>
    <w:rPr>
      <w:rFonts w:ascii="Times New Roman" w:hAnsi="Times New Roman"/>
      <w:color w:val="0000FF"/>
      <w:sz w:val="16"/>
      <w:szCs w:val="16"/>
      <w:lang w:val="en-US" w:eastAsia="en-US"/>
    </w:rPr>
  </w:style>
  <w:style w:type="paragraph" w:styleId="24">
    <w:name w:val="Body Text 2"/>
    <w:basedOn w:val="a"/>
    <w:link w:val="25"/>
    <w:uiPriority w:val="99"/>
    <w:rsid w:val="00045010"/>
    <w:pPr>
      <w:widowControl w:val="0"/>
      <w:autoSpaceDE w:val="0"/>
      <w:autoSpaceDN w:val="0"/>
      <w:adjustRightInd w:val="0"/>
      <w:spacing w:after="0" w:line="240" w:lineRule="auto"/>
      <w:jc w:val="both"/>
    </w:pPr>
    <w:rPr>
      <w:rFonts w:ascii="Times New Roman" w:hAnsi="Times New Roman"/>
      <w:color w:val="0000FF"/>
      <w:sz w:val="16"/>
      <w:szCs w:val="16"/>
    </w:rPr>
  </w:style>
  <w:style w:type="character" w:customStyle="1" w:styleId="25">
    <w:name w:val="Основной текст 2 Знак"/>
    <w:link w:val="24"/>
    <w:uiPriority w:val="99"/>
    <w:rsid w:val="00045010"/>
    <w:rPr>
      <w:rFonts w:ascii="Times New Roman" w:hAnsi="Times New Roman"/>
      <w:color w:val="0000FF"/>
      <w:sz w:val="16"/>
      <w:szCs w:val="16"/>
      <w:lang w:eastAsia="en-US"/>
    </w:rPr>
  </w:style>
  <w:style w:type="character" w:styleId="a5">
    <w:name w:val="Hyperlink"/>
    <w:uiPriority w:val="99"/>
    <w:rsid w:val="00045010"/>
    <w:rPr>
      <w:color w:val="0000FF"/>
      <w:sz w:val="20"/>
      <w:szCs w:val="20"/>
      <w:u w:val="single"/>
    </w:rPr>
  </w:style>
  <w:style w:type="paragraph" w:styleId="31">
    <w:name w:val="Body Text 3"/>
    <w:basedOn w:val="a"/>
    <w:link w:val="32"/>
    <w:uiPriority w:val="99"/>
    <w:rsid w:val="00045010"/>
    <w:pPr>
      <w:widowControl w:val="0"/>
      <w:autoSpaceDE w:val="0"/>
      <w:autoSpaceDN w:val="0"/>
      <w:adjustRightInd w:val="0"/>
      <w:spacing w:after="0" w:line="240" w:lineRule="auto"/>
      <w:jc w:val="center"/>
    </w:pPr>
    <w:rPr>
      <w:rFonts w:ascii="Times New Roman" w:hAnsi="Times New Roman"/>
      <w:color w:val="0000FF"/>
      <w:sz w:val="16"/>
      <w:szCs w:val="16"/>
    </w:rPr>
  </w:style>
  <w:style w:type="character" w:customStyle="1" w:styleId="32">
    <w:name w:val="Основной текст 3 Знак"/>
    <w:link w:val="31"/>
    <w:uiPriority w:val="99"/>
    <w:rsid w:val="00045010"/>
    <w:rPr>
      <w:rFonts w:ascii="Times New Roman" w:hAnsi="Times New Roman"/>
      <w:color w:val="0000FF"/>
      <w:sz w:val="16"/>
      <w:szCs w:val="16"/>
      <w:lang w:eastAsia="en-US"/>
    </w:rPr>
  </w:style>
  <w:style w:type="character" w:customStyle="1" w:styleId="12">
    <w:name w:val="С1"/>
    <w:uiPriority w:val="99"/>
    <w:rsid w:val="00045010"/>
    <w:rPr>
      <w:b/>
      <w:bCs/>
    </w:rPr>
  </w:style>
  <w:style w:type="paragraph" w:customStyle="1" w:styleId="a6">
    <w:name w:val="Ц"/>
    <w:basedOn w:val="a"/>
    <w:uiPriority w:val="99"/>
    <w:rsid w:val="00045010"/>
    <w:pPr>
      <w:autoSpaceDE w:val="0"/>
      <w:autoSpaceDN w:val="0"/>
      <w:adjustRightInd w:val="0"/>
      <w:spacing w:before="100" w:after="100" w:line="240" w:lineRule="auto"/>
      <w:ind w:left="360" w:right="360"/>
    </w:pPr>
    <w:rPr>
      <w:rFonts w:ascii="Times New Roman" w:hAnsi="Times New Roman"/>
      <w:color w:val="0000FF"/>
      <w:sz w:val="24"/>
      <w:szCs w:val="24"/>
    </w:rPr>
  </w:style>
  <w:style w:type="paragraph" w:customStyle="1" w:styleId="FR1">
    <w:name w:val="FR1"/>
    <w:uiPriority w:val="99"/>
    <w:rsid w:val="00045010"/>
    <w:pPr>
      <w:widowControl w:val="0"/>
      <w:autoSpaceDE w:val="0"/>
      <w:autoSpaceDN w:val="0"/>
      <w:adjustRightInd w:val="0"/>
      <w:ind w:firstLine="220"/>
      <w:jc w:val="both"/>
    </w:pPr>
    <w:rPr>
      <w:rFonts w:ascii="Arial" w:hAnsi="Arial" w:cs="Arial"/>
      <w:i/>
      <w:iCs/>
      <w:sz w:val="16"/>
      <w:szCs w:val="16"/>
      <w:lang w:eastAsia="en-US"/>
    </w:rPr>
  </w:style>
  <w:style w:type="character" w:styleId="a7">
    <w:name w:val="Strong"/>
    <w:uiPriority w:val="22"/>
    <w:qFormat/>
    <w:rsid w:val="00045010"/>
    <w:rPr>
      <w:b/>
      <w:bCs/>
      <w:sz w:val="20"/>
      <w:szCs w:val="20"/>
    </w:rPr>
  </w:style>
  <w:style w:type="paragraph" w:customStyle="1" w:styleId="Blockquote">
    <w:name w:val="Blockquote"/>
    <w:basedOn w:val="a"/>
    <w:uiPriority w:val="99"/>
    <w:rsid w:val="00045010"/>
    <w:pPr>
      <w:widowControl w:val="0"/>
      <w:autoSpaceDE w:val="0"/>
      <w:autoSpaceDN w:val="0"/>
      <w:adjustRightInd w:val="0"/>
      <w:spacing w:before="100" w:after="100" w:line="240" w:lineRule="auto"/>
      <w:ind w:left="360" w:right="360"/>
    </w:pPr>
    <w:rPr>
      <w:rFonts w:ascii="Times New Roman" w:hAnsi="Times New Roman"/>
      <w:color w:val="0000FF"/>
      <w:sz w:val="24"/>
      <w:szCs w:val="24"/>
      <w:lang w:val="en-AU"/>
    </w:rPr>
  </w:style>
  <w:style w:type="paragraph" w:customStyle="1" w:styleId="111">
    <w:name w:val="Заголовок 11"/>
    <w:basedOn w:val="a"/>
    <w:next w:val="a"/>
    <w:uiPriority w:val="99"/>
    <w:rsid w:val="00045010"/>
    <w:pPr>
      <w:keepNext/>
      <w:widowControl w:val="0"/>
      <w:autoSpaceDE w:val="0"/>
      <w:autoSpaceDN w:val="0"/>
      <w:adjustRightInd w:val="0"/>
      <w:spacing w:after="0" w:line="240" w:lineRule="auto"/>
      <w:jc w:val="both"/>
    </w:pPr>
    <w:rPr>
      <w:rFonts w:ascii="Times New Roman" w:hAnsi="Times New Roman"/>
      <w:i/>
      <w:iCs/>
      <w:color w:val="0000FF"/>
      <w:sz w:val="16"/>
      <w:szCs w:val="16"/>
      <w:lang w:val="en-US"/>
    </w:rPr>
  </w:style>
  <w:style w:type="paragraph" w:customStyle="1" w:styleId="H3">
    <w:name w:val="H3"/>
    <w:basedOn w:val="a"/>
    <w:next w:val="a"/>
    <w:uiPriority w:val="99"/>
    <w:rsid w:val="00045010"/>
    <w:pPr>
      <w:keepNext/>
      <w:widowControl w:val="0"/>
      <w:autoSpaceDE w:val="0"/>
      <w:autoSpaceDN w:val="0"/>
      <w:adjustRightInd w:val="0"/>
      <w:spacing w:before="100" w:after="100" w:line="240" w:lineRule="auto"/>
    </w:pPr>
    <w:rPr>
      <w:rFonts w:ascii="Times New Roman" w:hAnsi="Times New Roman"/>
      <w:b/>
      <w:bCs/>
      <w:color w:val="0000FF"/>
      <w:sz w:val="28"/>
      <w:szCs w:val="28"/>
      <w:lang w:val="en-AU"/>
    </w:rPr>
  </w:style>
  <w:style w:type="paragraph" w:customStyle="1" w:styleId="FR2">
    <w:name w:val="FR2"/>
    <w:uiPriority w:val="99"/>
    <w:rsid w:val="00045010"/>
    <w:pPr>
      <w:widowControl w:val="0"/>
      <w:autoSpaceDE w:val="0"/>
      <w:autoSpaceDN w:val="0"/>
      <w:adjustRightInd w:val="0"/>
      <w:ind w:firstLine="140"/>
      <w:jc w:val="both"/>
    </w:pPr>
    <w:rPr>
      <w:rFonts w:ascii="Arial" w:hAnsi="Arial" w:cs="Arial"/>
      <w:i/>
      <w:iCs/>
      <w:sz w:val="12"/>
      <w:szCs w:val="12"/>
      <w:lang w:eastAsia="en-US"/>
    </w:rPr>
  </w:style>
  <w:style w:type="paragraph" w:styleId="a8">
    <w:name w:val="Plain Text"/>
    <w:basedOn w:val="a"/>
    <w:link w:val="a9"/>
    <w:uiPriority w:val="99"/>
    <w:rsid w:val="00045010"/>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link w:val="a8"/>
    <w:uiPriority w:val="99"/>
    <w:rsid w:val="00045010"/>
    <w:rPr>
      <w:rFonts w:ascii="Courier New" w:hAnsi="Courier New" w:cs="Courier New"/>
      <w:color w:val="0000FF"/>
      <w:sz w:val="16"/>
      <w:szCs w:val="16"/>
      <w:lang w:eastAsia="en-US"/>
    </w:rPr>
  </w:style>
  <w:style w:type="paragraph" w:customStyle="1" w:styleId="Text">
    <w:name w:val="Text"/>
    <w:basedOn w:val="a"/>
    <w:uiPriority w:val="99"/>
    <w:rsid w:val="00045010"/>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045010"/>
    <w:rPr>
      <w:i/>
      <w:iCs/>
    </w:rPr>
  </w:style>
  <w:style w:type="paragraph" w:customStyle="1" w:styleId="H5">
    <w:name w:val="H5"/>
    <w:basedOn w:val="a"/>
    <w:next w:val="a"/>
    <w:uiPriority w:val="99"/>
    <w:rsid w:val="00045010"/>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Preformatted">
    <w:name w:val="Preformatted"/>
    <w:basedOn w:val="a"/>
    <w:uiPriority w:val="99"/>
    <w:rsid w:val="00045010"/>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045010"/>
    <w:pPr>
      <w:keepNext/>
      <w:autoSpaceDE w:val="0"/>
      <w:autoSpaceDN w:val="0"/>
      <w:adjustRightInd w:val="0"/>
      <w:spacing w:before="100" w:after="100" w:line="240" w:lineRule="auto"/>
    </w:pPr>
    <w:rPr>
      <w:rFonts w:ascii="Times New Roman" w:hAnsi="Times New Roman"/>
      <w:b/>
      <w:bCs/>
      <w:color w:val="0000FF"/>
      <w:sz w:val="24"/>
      <w:szCs w:val="24"/>
    </w:rPr>
  </w:style>
  <w:style w:type="character" w:customStyle="1" w:styleId="ab">
    <w:name w:val="Г"/>
    <w:uiPriority w:val="99"/>
    <w:rsid w:val="00045010"/>
    <w:rPr>
      <w:color w:val="0000FF"/>
      <w:u w:val="single"/>
    </w:rPr>
  </w:style>
  <w:style w:type="character" w:customStyle="1" w:styleId="ac">
    <w:name w:val="В"/>
    <w:uiPriority w:val="99"/>
    <w:rsid w:val="00045010"/>
    <w:rPr>
      <w:i/>
      <w:iCs/>
    </w:rPr>
  </w:style>
  <w:style w:type="paragraph" w:customStyle="1" w:styleId="H1">
    <w:name w:val="H1"/>
    <w:basedOn w:val="a"/>
    <w:next w:val="a"/>
    <w:uiPriority w:val="99"/>
    <w:rsid w:val="00045010"/>
    <w:pPr>
      <w:keepNext/>
      <w:autoSpaceDE w:val="0"/>
      <w:autoSpaceDN w:val="0"/>
      <w:adjustRightInd w:val="0"/>
      <w:spacing w:before="100" w:after="100" w:line="240" w:lineRule="auto"/>
    </w:pPr>
    <w:rPr>
      <w:rFonts w:ascii="Times New Roman" w:hAnsi="Times New Roman"/>
      <w:b/>
      <w:bCs/>
      <w:color w:val="0000FF"/>
      <w:kern w:val="36"/>
      <w:sz w:val="48"/>
      <w:szCs w:val="48"/>
    </w:rPr>
  </w:style>
  <w:style w:type="paragraph" w:customStyle="1" w:styleId="ad">
    <w:name w:val="С"/>
    <w:basedOn w:val="a"/>
    <w:next w:val="a"/>
    <w:uiPriority w:val="99"/>
    <w:rsid w:val="00045010"/>
    <w:pPr>
      <w:autoSpaceDE w:val="0"/>
      <w:autoSpaceDN w:val="0"/>
      <w:adjustRightInd w:val="0"/>
      <w:spacing w:after="0" w:line="240" w:lineRule="auto"/>
      <w:ind w:left="360"/>
    </w:pPr>
    <w:rPr>
      <w:rFonts w:ascii="Times New Roman" w:hAnsi="Times New Roman"/>
      <w:color w:val="0000FF"/>
      <w:sz w:val="24"/>
      <w:szCs w:val="24"/>
    </w:rPr>
  </w:style>
  <w:style w:type="paragraph" w:customStyle="1" w:styleId="Iauiue">
    <w:name w:val="Iau?iue"/>
    <w:uiPriority w:val="99"/>
    <w:rsid w:val="00045010"/>
    <w:pPr>
      <w:widowControl w:val="0"/>
      <w:autoSpaceDE w:val="0"/>
      <w:autoSpaceDN w:val="0"/>
      <w:adjustRightInd w:val="0"/>
    </w:pPr>
    <w:rPr>
      <w:rFonts w:ascii="Times New Roman" w:hAnsi="Times New Roman"/>
      <w:lang w:eastAsia="en-US"/>
    </w:rPr>
  </w:style>
  <w:style w:type="paragraph" w:styleId="ae">
    <w:name w:val="Normal (Web)"/>
    <w:basedOn w:val="a"/>
    <w:uiPriority w:val="99"/>
    <w:rsid w:val="00045010"/>
    <w:pPr>
      <w:widowControl w:val="0"/>
      <w:autoSpaceDE w:val="0"/>
      <w:autoSpaceDN w:val="0"/>
      <w:adjustRightInd w:val="0"/>
      <w:spacing w:before="100" w:after="100" w:line="240" w:lineRule="auto"/>
    </w:pPr>
    <w:rPr>
      <w:rFonts w:ascii="Times New Roman" w:hAnsi="Times New Roman"/>
      <w:color w:val="808080"/>
      <w:sz w:val="24"/>
      <w:szCs w:val="24"/>
    </w:rPr>
  </w:style>
  <w:style w:type="character" w:customStyle="1" w:styleId="Iniiaiieoeoo">
    <w:name w:val="Iniiaiie o?eoo"/>
    <w:uiPriority w:val="99"/>
    <w:rsid w:val="00045010"/>
    <w:rPr>
      <w:sz w:val="20"/>
      <w:szCs w:val="20"/>
    </w:rPr>
  </w:style>
  <w:style w:type="paragraph" w:customStyle="1" w:styleId="Iniiaiieoaeno">
    <w:name w:val="Iniiaiie oaeno"/>
    <w:basedOn w:val="Iauiue"/>
    <w:uiPriority w:val="99"/>
    <w:rsid w:val="00045010"/>
    <w:pPr>
      <w:jc w:val="both"/>
    </w:pPr>
    <w:rPr>
      <w:sz w:val="16"/>
      <w:szCs w:val="16"/>
    </w:rPr>
  </w:style>
  <w:style w:type="paragraph" w:customStyle="1" w:styleId="z-TopofForm">
    <w:name w:val="z-Top of Form"/>
    <w:next w:val="Iauiue"/>
    <w:uiPriority w:val="99"/>
    <w:rsid w:val="00045010"/>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045010"/>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
    <w:name w:val="A"/>
    <w:basedOn w:val="Iauiue"/>
    <w:next w:val="Iauiue"/>
    <w:uiPriority w:val="99"/>
    <w:rsid w:val="00045010"/>
    <w:rPr>
      <w:i/>
      <w:iCs/>
      <w:sz w:val="24"/>
      <w:szCs w:val="24"/>
    </w:rPr>
  </w:style>
  <w:style w:type="character" w:customStyle="1" w:styleId="A20">
    <w:name w:val="A2"/>
    <w:uiPriority w:val="99"/>
    <w:rsid w:val="00045010"/>
    <w:rPr>
      <w:color w:val="0000FF"/>
      <w:sz w:val="20"/>
      <w:szCs w:val="20"/>
      <w:u w:val="single"/>
    </w:rPr>
  </w:style>
  <w:style w:type="paragraph" w:customStyle="1" w:styleId="O">
    <w:name w:val="O"/>
    <w:basedOn w:val="Iauiue"/>
    <w:uiPriority w:val="99"/>
    <w:rsid w:val="00045010"/>
    <w:pPr>
      <w:spacing w:before="100" w:after="100"/>
      <w:ind w:left="360" w:right="360"/>
    </w:pPr>
    <w:rPr>
      <w:sz w:val="24"/>
      <w:szCs w:val="24"/>
    </w:rPr>
  </w:style>
  <w:style w:type="character" w:customStyle="1" w:styleId="A10">
    <w:name w:val="A1"/>
    <w:uiPriority w:val="99"/>
    <w:rsid w:val="00045010"/>
    <w:rPr>
      <w:i/>
      <w:iCs/>
      <w:sz w:val="20"/>
      <w:szCs w:val="20"/>
    </w:rPr>
  </w:style>
  <w:style w:type="paragraph" w:customStyle="1" w:styleId="Noaiaaieoiaioa">
    <w:name w:val="Noaia aieoiaioa"/>
    <w:basedOn w:val="Iauiue"/>
    <w:uiPriority w:val="99"/>
    <w:rsid w:val="00045010"/>
    <w:pPr>
      <w:shd w:val="clear" w:color="auto" w:fill="000080"/>
    </w:pPr>
    <w:rPr>
      <w:rFonts w:ascii="Tahoma" w:hAnsi="Tahoma" w:cs="Tahoma"/>
    </w:rPr>
  </w:style>
  <w:style w:type="paragraph" w:customStyle="1" w:styleId="DefinitionTerm">
    <w:name w:val="Definition Term"/>
    <w:basedOn w:val="a"/>
    <w:next w:val="DefinitionList"/>
    <w:uiPriority w:val="99"/>
    <w:rsid w:val="00045010"/>
    <w:pPr>
      <w:autoSpaceDE w:val="0"/>
      <w:autoSpaceDN w:val="0"/>
      <w:adjustRightInd w:val="0"/>
      <w:spacing w:after="0" w:line="240" w:lineRule="auto"/>
    </w:pPr>
    <w:rPr>
      <w:rFonts w:ascii="Times New Roman" w:hAnsi="Times New Roman"/>
      <w:color w:val="0000FF"/>
      <w:sz w:val="24"/>
      <w:szCs w:val="24"/>
    </w:rPr>
  </w:style>
  <w:style w:type="paragraph" w:customStyle="1" w:styleId="DefinitionList">
    <w:name w:val="Definition List"/>
    <w:basedOn w:val="a"/>
    <w:next w:val="DefinitionTerm"/>
    <w:uiPriority w:val="99"/>
    <w:rsid w:val="00045010"/>
    <w:pPr>
      <w:autoSpaceDE w:val="0"/>
      <w:autoSpaceDN w:val="0"/>
      <w:adjustRightInd w:val="0"/>
      <w:spacing w:after="0" w:line="240" w:lineRule="auto"/>
      <w:ind w:left="360"/>
    </w:pPr>
    <w:rPr>
      <w:rFonts w:ascii="Times New Roman" w:hAnsi="Times New Roman"/>
      <w:color w:val="0000FF"/>
      <w:sz w:val="24"/>
      <w:szCs w:val="24"/>
    </w:rPr>
  </w:style>
  <w:style w:type="character" w:customStyle="1" w:styleId="Definition">
    <w:name w:val="Definition"/>
    <w:uiPriority w:val="99"/>
    <w:rsid w:val="00045010"/>
    <w:rPr>
      <w:i/>
      <w:iCs/>
    </w:rPr>
  </w:style>
  <w:style w:type="paragraph" w:customStyle="1" w:styleId="H2">
    <w:name w:val="H2"/>
    <w:basedOn w:val="a"/>
    <w:next w:val="a"/>
    <w:uiPriority w:val="99"/>
    <w:rsid w:val="00045010"/>
    <w:pPr>
      <w:keepNext/>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H6">
    <w:name w:val="H6"/>
    <w:basedOn w:val="a"/>
    <w:next w:val="a"/>
    <w:uiPriority w:val="99"/>
    <w:rsid w:val="00045010"/>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Address">
    <w:name w:val="Address"/>
    <w:basedOn w:val="a"/>
    <w:next w:val="a"/>
    <w:uiPriority w:val="99"/>
    <w:rsid w:val="00045010"/>
    <w:pPr>
      <w:autoSpaceDE w:val="0"/>
      <w:autoSpaceDN w:val="0"/>
      <w:adjustRightInd w:val="0"/>
      <w:spacing w:after="0" w:line="240" w:lineRule="auto"/>
    </w:pPr>
    <w:rPr>
      <w:rFonts w:ascii="Times New Roman" w:hAnsi="Times New Roman"/>
      <w:i/>
      <w:iCs/>
      <w:color w:val="0000FF"/>
      <w:sz w:val="24"/>
      <w:szCs w:val="24"/>
    </w:rPr>
  </w:style>
  <w:style w:type="character" w:customStyle="1" w:styleId="CITE">
    <w:name w:val="CITE"/>
    <w:uiPriority w:val="99"/>
    <w:rsid w:val="00045010"/>
    <w:rPr>
      <w:i/>
      <w:iCs/>
    </w:rPr>
  </w:style>
  <w:style w:type="character" w:customStyle="1" w:styleId="CODE">
    <w:name w:val="CODE"/>
    <w:uiPriority w:val="99"/>
    <w:rsid w:val="00045010"/>
    <w:rPr>
      <w:rFonts w:ascii="Courier New" w:hAnsi="Courier New" w:cs="Courier New"/>
      <w:sz w:val="20"/>
      <w:szCs w:val="20"/>
    </w:rPr>
  </w:style>
  <w:style w:type="character" w:styleId="af0">
    <w:name w:val="Emphasis"/>
    <w:uiPriority w:val="20"/>
    <w:qFormat/>
    <w:rsid w:val="00045010"/>
    <w:rPr>
      <w:i/>
      <w:iCs/>
    </w:rPr>
  </w:style>
  <w:style w:type="character" w:styleId="af1">
    <w:name w:val="FollowedHyperlink"/>
    <w:uiPriority w:val="99"/>
    <w:rsid w:val="00045010"/>
    <w:rPr>
      <w:color w:val="800080"/>
      <w:u w:val="single"/>
    </w:rPr>
  </w:style>
  <w:style w:type="character" w:customStyle="1" w:styleId="Keyboard">
    <w:name w:val="Keyboard"/>
    <w:uiPriority w:val="99"/>
    <w:rsid w:val="00045010"/>
    <w:rPr>
      <w:rFonts w:ascii="Courier New" w:hAnsi="Courier New" w:cs="Courier New"/>
      <w:b/>
      <w:bCs/>
      <w:sz w:val="20"/>
      <w:szCs w:val="20"/>
    </w:rPr>
  </w:style>
  <w:style w:type="character" w:customStyle="1" w:styleId="Sample">
    <w:name w:val="Sample"/>
    <w:uiPriority w:val="99"/>
    <w:rsid w:val="00045010"/>
    <w:rPr>
      <w:rFonts w:ascii="Courier New" w:hAnsi="Courier New" w:cs="Courier New"/>
    </w:rPr>
  </w:style>
  <w:style w:type="character" w:customStyle="1" w:styleId="Typewriter">
    <w:name w:val="Typewriter"/>
    <w:uiPriority w:val="99"/>
    <w:rsid w:val="00045010"/>
    <w:rPr>
      <w:rFonts w:ascii="Courier New" w:hAnsi="Courier New" w:cs="Courier New"/>
      <w:sz w:val="20"/>
      <w:szCs w:val="20"/>
    </w:rPr>
  </w:style>
  <w:style w:type="character" w:customStyle="1" w:styleId="Variable">
    <w:name w:val="Variable"/>
    <w:uiPriority w:val="99"/>
    <w:rsid w:val="00045010"/>
    <w:rPr>
      <w:i/>
      <w:iCs/>
    </w:rPr>
  </w:style>
  <w:style w:type="character" w:customStyle="1" w:styleId="HTMLMarkup">
    <w:name w:val="HTML Markup"/>
    <w:uiPriority w:val="99"/>
    <w:rsid w:val="00045010"/>
    <w:rPr>
      <w:vanish/>
      <w:color w:val="FF0000"/>
    </w:rPr>
  </w:style>
  <w:style w:type="character" w:customStyle="1" w:styleId="Comment">
    <w:name w:val="Comment"/>
    <w:uiPriority w:val="99"/>
    <w:rsid w:val="00045010"/>
    <w:rPr>
      <w:vanish/>
    </w:rPr>
  </w:style>
  <w:style w:type="paragraph" w:customStyle="1" w:styleId="af2">
    <w:name w:val="п"/>
    <w:uiPriority w:val="99"/>
    <w:rsid w:val="00045010"/>
    <w:pPr>
      <w:autoSpaceDE w:val="0"/>
      <w:autoSpaceDN w:val="0"/>
      <w:adjustRightInd w:val="0"/>
    </w:pPr>
    <w:rPr>
      <w:rFonts w:ascii="Times New Roman" w:hAnsi="Times New Roman"/>
      <w:i/>
      <w:iCs/>
      <w:spacing w:val="-1"/>
      <w:kern w:val="65535"/>
      <w:position w:val="-1"/>
      <w:sz w:val="24"/>
      <w:szCs w:val="24"/>
      <w:lang w:val="en-US" w:eastAsia="en-US"/>
    </w:rPr>
  </w:style>
  <w:style w:type="paragraph" w:styleId="af3">
    <w:name w:val="Title"/>
    <w:basedOn w:val="a"/>
    <w:uiPriority w:val="99"/>
    <w:rsid w:val="00045010"/>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4">
    <w:name w:val="Сноски"/>
    <w:basedOn w:val="a"/>
    <w:uiPriority w:val="99"/>
    <w:rsid w:val="00045010"/>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5">
    <w:name w:val="Рубрика"/>
    <w:basedOn w:val="a"/>
    <w:uiPriority w:val="99"/>
    <w:rsid w:val="00045010"/>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6">
    <w:name w:val="endnote reference"/>
    <w:uiPriority w:val="99"/>
    <w:rsid w:val="00045010"/>
    <w:rPr>
      <w:sz w:val="20"/>
      <w:szCs w:val="20"/>
      <w:vertAlign w:val="superscript"/>
    </w:rPr>
  </w:style>
  <w:style w:type="character" w:customStyle="1" w:styleId="af7">
    <w:name w:val="К"/>
    <w:uiPriority w:val="99"/>
    <w:rsid w:val="00045010"/>
    <w:rPr>
      <w:rFonts w:ascii="Courier New" w:hAnsi="Courier New" w:cs="Courier New"/>
      <w:sz w:val="20"/>
      <w:szCs w:val="20"/>
    </w:rPr>
  </w:style>
  <w:style w:type="paragraph" w:customStyle="1" w:styleId="af8">
    <w:name w:val="Ф"/>
    <w:basedOn w:val="af9"/>
    <w:uiPriority w:val="99"/>
    <w:rsid w:val="00045010"/>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9">
    <w:name w:val="О"/>
    <w:uiPriority w:val="99"/>
    <w:rsid w:val="00045010"/>
    <w:pPr>
      <w:autoSpaceDE w:val="0"/>
      <w:autoSpaceDN w:val="0"/>
      <w:adjustRightInd w:val="0"/>
      <w:spacing w:before="100" w:after="100"/>
    </w:pPr>
    <w:rPr>
      <w:rFonts w:ascii="Times New Roman" w:hAnsi="Times New Roman"/>
      <w:sz w:val="24"/>
      <w:szCs w:val="24"/>
      <w:lang w:eastAsia="en-US"/>
    </w:rPr>
  </w:style>
  <w:style w:type="character" w:customStyle="1" w:styleId="afa">
    <w:name w:val="Р"/>
    <w:uiPriority w:val="99"/>
    <w:rsid w:val="00045010"/>
    <w:rPr>
      <w:vanish/>
      <w:color w:val="FF0000"/>
    </w:rPr>
  </w:style>
  <w:style w:type="paragraph" w:customStyle="1" w:styleId="Z-1">
    <w:name w:val="Z-1"/>
    <w:next w:val="af9"/>
    <w:uiPriority w:val="99"/>
    <w:rsid w:val="00045010"/>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9"/>
    <w:uiPriority w:val="99"/>
    <w:rsid w:val="00045010"/>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b">
    <w:name w:val="Т"/>
    <w:basedOn w:val="af9"/>
    <w:next w:val="ad"/>
    <w:uiPriority w:val="99"/>
    <w:rsid w:val="00045010"/>
    <w:pPr>
      <w:spacing w:before="0" w:after="0"/>
    </w:pPr>
  </w:style>
  <w:style w:type="paragraph" w:customStyle="1" w:styleId="afc">
    <w:name w:val="А"/>
    <w:basedOn w:val="a"/>
    <w:next w:val="a"/>
    <w:uiPriority w:val="99"/>
    <w:rsid w:val="00045010"/>
    <w:pPr>
      <w:autoSpaceDE w:val="0"/>
      <w:autoSpaceDN w:val="0"/>
      <w:adjustRightInd w:val="0"/>
      <w:spacing w:after="0" w:line="240" w:lineRule="auto"/>
    </w:pPr>
    <w:rPr>
      <w:rFonts w:ascii="Times New Roman" w:hAnsi="Times New Roman"/>
      <w:i/>
      <w:iCs/>
      <w:color w:val="0000FF"/>
      <w:sz w:val="24"/>
      <w:szCs w:val="24"/>
    </w:rPr>
  </w:style>
  <w:style w:type="paragraph" w:customStyle="1" w:styleId="N">
    <w:name w:val="N"/>
    <w:basedOn w:val="Iauiue"/>
    <w:next w:val="Iauiue"/>
    <w:uiPriority w:val="99"/>
    <w:rsid w:val="00045010"/>
    <w:pPr>
      <w:widowControl/>
      <w:ind w:left="360"/>
    </w:pPr>
    <w:rPr>
      <w:sz w:val="24"/>
      <w:szCs w:val="24"/>
    </w:rPr>
  </w:style>
  <w:style w:type="paragraph" w:customStyle="1" w:styleId="afd">
    <w:name w:val="......."/>
    <w:basedOn w:val="a"/>
    <w:next w:val="a"/>
    <w:uiPriority w:val="99"/>
    <w:rsid w:val="00045010"/>
    <w:pPr>
      <w:autoSpaceDE w:val="0"/>
      <w:autoSpaceDN w:val="0"/>
      <w:adjustRightInd w:val="0"/>
      <w:spacing w:after="0" w:line="240" w:lineRule="auto"/>
    </w:pPr>
    <w:rPr>
      <w:rFonts w:ascii="Arial" w:hAnsi="Arial" w:cs="Arial"/>
      <w:color w:val="0000FF"/>
      <w:sz w:val="24"/>
      <w:szCs w:val="24"/>
    </w:rPr>
  </w:style>
  <w:style w:type="character" w:customStyle="1" w:styleId="afe">
    <w:name w:val="и"/>
    <w:uiPriority w:val="99"/>
    <w:rsid w:val="00045010"/>
    <w:rPr>
      <w:color w:val="0000FF"/>
      <w:u w:val="single"/>
    </w:rPr>
  </w:style>
  <w:style w:type="character" w:customStyle="1" w:styleId="13">
    <w:name w:val="О1"/>
    <w:uiPriority w:val="99"/>
    <w:rsid w:val="00045010"/>
    <w:rPr>
      <w:i/>
      <w:iCs/>
    </w:rPr>
  </w:style>
  <w:style w:type="character" w:customStyle="1" w:styleId="aff">
    <w:name w:val="П"/>
    <w:uiPriority w:val="99"/>
    <w:rsid w:val="00045010"/>
    <w:rPr>
      <w:color w:val="800080"/>
      <w:u w:val="single"/>
    </w:rPr>
  </w:style>
  <w:style w:type="character" w:customStyle="1" w:styleId="14">
    <w:name w:val="К1"/>
    <w:uiPriority w:val="99"/>
    <w:rsid w:val="00045010"/>
    <w:rPr>
      <w:rFonts w:ascii="Courier New" w:hAnsi="Courier New" w:cs="Courier New"/>
      <w:b/>
      <w:bCs/>
      <w:sz w:val="20"/>
      <w:szCs w:val="20"/>
    </w:rPr>
  </w:style>
  <w:style w:type="character" w:customStyle="1" w:styleId="41">
    <w:name w:val="П4"/>
    <w:uiPriority w:val="99"/>
    <w:rsid w:val="00045010"/>
    <w:rPr>
      <w:rFonts w:ascii="Courier New" w:hAnsi="Courier New" w:cs="Courier New"/>
    </w:rPr>
  </w:style>
  <w:style w:type="character" w:customStyle="1" w:styleId="33">
    <w:name w:val="П3"/>
    <w:uiPriority w:val="99"/>
    <w:rsid w:val="00045010"/>
    <w:rPr>
      <w:rFonts w:ascii="Courier New" w:hAnsi="Courier New" w:cs="Courier New"/>
      <w:sz w:val="20"/>
      <w:szCs w:val="20"/>
    </w:rPr>
  </w:style>
  <w:style w:type="character" w:customStyle="1" w:styleId="26">
    <w:name w:val="П2"/>
    <w:uiPriority w:val="99"/>
    <w:rsid w:val="00045010"/>
    <w:rPr>
      <w:i/>
      <w:iCs/>
    </w:rPr>
  </w:style>
  <w:style w:type="character" w:customStyle="1" w:styleId="15">
    <w:name w:val="П1"/>
    <w:uiPriority w:val="99"/>
    <w:rsid w:val="00045010"/>
    <w:rPr>
      <w:vanish/>
    </w:rPr>
  </w:style>
  <w:style w:type="paragraph" w:customStyle="1" w:styleId="Iniiaiieoaeno2">
    <w:name w:val="Iniiaiie oaeno 2"/>
    <w:basedOn w:val="Iauiue"/>
    <w:uiPriority w:val="99"/>
    <w:rsid w:val="00045010"/>
    <w:pPr>
      <w:jc w:val="both"/>
    </w:pPr>
    <w:rPr>
      <w:sz w:val="16"/>
      <w:szCs w:val="16"/>
    </w:rPr>
  </w:style>
  <w:style w:type="character" w:customStyle="1" w:styleId="Aeiannueea">
    <w:name w:val="Aeia?nnueea"/>
    <w:uiPriority w:val="99"/>
    <w:rsid w:val="00045010"/>
    <w:rPr>
      <w:color w:val="0000FF"/>
      <w:sz w:val="20"/>
      <w:szCs w:val="20"/>
      <w:u w:val="single"/>
    </w:rPr>
  </w:style>
  <w:style w:type="character" w:customStyle="1" w:styleId="N1">
    <w:name w:val="N1"/>
    <w:uiPriority w:val="99"/>
    <w:rsid w:val="00045010"/>
    <w:rPr>
      <w:b/>
      <w:bCs/>
    </w:rPr>
  </w:style>
  <w:style w:type="paragraph" w:customStyle="1" w:styleId="Iaeeiaaiiuenienie">
    <w:name w:val="Ia?ee?iaaiiue nienie"/>
    <w:basedOn w:val="Iauiue"/>
    <w:uiPriority w:val="99"/>
    <w:rsid w:val="00045010"/>
    <w:pPr>
      <w:widowControl/>
      <w:ind w:left="283" w:hanging="283"/>
    </w:pPr>
  </w:style>
  <w:style w:type="paragraph" w:customStyle="1" w:styleId="Oaeno">
    <w:name w:val="Oaeno"/>
    <w:basedOn w:val="Iauiue"/>
    <w:uiPriority w:val="99"/>
    <w:rsid w:val="00045010"/>
    <w:rPr>
      <w:rFonts w:ascii="Courier New" w:hAnsi="Courier New" w:cs="Courier New"/>
    </w:rPr>
  </w:style>
  <w:style w:type="paragraph" w:customStyle="1" w:styleId="Iniiaiieoaeno3">
    <w:name w:val="Iniiaiie oaeno 3"/>
    <w:basedOn w:val="Iauiue"/>
    <w:uiPriority w:val="99"/>
    <w:rsid w:val="00045010"/>
    <w:pPr>
      <w:jc w:val="center"/>
    </w:pPr>
    <w:rPr>
      <w:sz w:val="16"/>
      <w:szCs w:val="16"/>
    </w:rPr>
  </w:style>
  <w:style w:type="paragraph" w:customStyle="1" w:styleId="Aaoieeeieiioeooe">
    <w:name w:val="Aa?oiee eieiioeooe"/>
    <w:basedOn w:val="Iauiue"/>
    <w:uiPriority w:val="99"/>
    <w:rsid w:val="00045010"/>
    <w:pPr>
      <w:widowControl/>
      <w:tabs>
        <w:tab w:val="center" w:pos="4153"/>
        <w:tab w:val="right" w:pos="8306"/>
      </w:tabs>
    </w:pPr>
  </w:style>
  <w:style w:type="paragraph" w:customStyle="1" w:styleId="Ieieeeieiioeooe">
    <w:name w:val="Ie?iee eieiioeooe"/>
    <w:basedOn w:val="Iauiue"/>
    <w:uiPriority w:val="99"/>
    <w:rsid w:val="00045010"/>
    <w:pPr>
      <w:widowControl/>
      <w:tabs>
        <w:tab w:val="center" w:pos="4153"/>
        <w:tab w:val="right" w:pos="8306"/>
      </w:tabs>
    </w:pPr>
  </w:style>
  <w:style w:type="paragraph" w:customStyle="1" w:styleId="Default">
    <w:name w:val="Default"/>
    <w:uiPriority w:val="99"/>
    <w:rsid w:val="00045010"/>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045010"/>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045010"/>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045010"/>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045010"/>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045010"/>
    <w:rPr>
      <w:rFonts w:ascii="Microsoft Sans Serif" w:hAnsi="Microsoft Sans Serif" w:cs="Microsoft Sans Serif"/>
      <w:b/>
      <w:bCs/>
      <w:i/>
      <w:iCs/>
      <w:spacing w:val="0"/>
      <w:sz w:val="17"/>
      <w:szCs w:val="17"/>
    </w:rPr>
  </w:style>
  <w:style w:type="character" w:customStyle="1" w:styleId="39">
    <w:name w:val="Основной текст (3)9"/>
    <w:uiPriority w:val="99"/>
    <w:rsid w:val="00045010"/>
    <w:rPr>
      <w:b/>
      <w:bCs/>
      <w:i/>
      <w:iCs/>
      <w:sz w:val="17"/>
      <w:szCs w:val="17"/>
    </w:rPr>
  </w:style>
  <w:style w:type="paragraph" w:customStyle="1" w:styleId="310">
    <w:name w:val="Основной текст (3)1"/>
    <w:basedOn w:val="a"/>
    <w:uiPriority w:val="99"/>
    <w:rsid w:val="00045010"/>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0390pt109">
    <w:name w:val="Основной текст + 8 pt30.Курсив39.Интервал 0 pt109"/>
    <w:uiPriority w:val="99"/>
    <w:rsid w:val="00045010"/>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045010"/>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045010"/>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045010"/>
    <w:rPr>
      <w:rFonts w:ascii="Microsoft Sans Serif" w:hAnsi="Microsoft Sans Serif" w:cs="Microsoft Sans Serif"/>
      <w:i/>
      <w:iCs/>
      <w:spacing w:val="0"/>
      <w:sz w:val="16"/>
      <w:szCs w:val="16"/>
    </w:rPr>
  </w:style>
  <w:style w:type="character" w:customStyle="1" w:styleId="579">
    <w:name w:val="Основной текст (5)79"/>
    <w:uiPriority w:val="99"/>
    <w:rsid w:val="00045010"/>
    <w:rPr>
      <w:i/>
      <w:iCs/>
      <w:spacing w:val="0"/>
      <w:sz w:val="16"/>
      <w:szCs w:val="16"/>
    </w:rPr>
  </w:style>
  <w:style w:type="character" w:customStyle="1" w:styleId="578">
    <w:name w:val="Основной текст (5)78"/>
    <w:uiPriority w:val="99"/>
    <w:rsid w:val="00045010"/>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045010"/>
    <w:rPr>
      <w:b/>
      <w:bCs/>
      <w:i/>
      <w:iCs/>
      <w:spacing w:val="0"/>
      <w:sz w:val="14"/>
      <w:szCs w:val="14"/>
    </w:rPr>
  </w:style>
  <w:style w:type="character" w:customStyle="1" w:styleId="57pt124">
    <w:name w:val="Основной текст (5) + 7 pt1.Полужирный24"/>
    <w:uiPriority w:val="99"/>
    <w:rsid w:val="00045010"/>
    <w:rPr>
      <w:b/>
      <w:bCs/>
      <w:i/>
      <w:iCs/>
      <w:spacing w:val="0"/>
      <w:sz w:val="14"/>
      <w:szCs w:val="14"/>
    </w:rPr>
  </w:style>
  <w:style w:type="character" w:customStyle="1" w:styleId="8pt25340pt104">
    <w:name w:val="Основной текст + 8 pt25.Курсив34.Интервал 0 pt104"/>
    <w:uiPriority w:val="99"/>
    <w:rsid w:val="00045010"/>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045010"/>
    <w:rPr>
      <w:rFonts w:ascii="Arial Unicode MS" w:eastAsia="Arial Unicode MS" w:cs="Arial Unicode MS"/>
      <w:i/>
      <w:iCs/>
      <w:noProof/>
      <w:spacing w:val="0"/>
      <w:sz w:val="16"/>
      <w:szCs w:val="16"/>
    </w:rPr>
  </w:style>
  <w:style w:type="character" w:customStyle="1" w:styleId="577">
    <w:name w:val="Основной текст (5)77"/>
    <w:uiPriority w:val="99"/>
    <w:rsid w:val="00045010"/>
    <w:rPr>
      <w:i/>
      <w:iCs/>
      <w:spacing w:val="0"/>
      <w:sz w:val="16"/>
      <w:szCs w:val="16"/>
    </w:rPr>
  </w:style>
  <w:style w:type="character" w:customStyle="1" w:styleId="576">
    <w:name w:val="Основной текст (5)76"/>
    <w:uiPriority w:val="99"/>
    <w:rsid w:val="00045010"/>
    <w:rPr>
      <w:rFonts w:ascii="Arial Unicode MS" w:eastAsia="Arial Unicode MS" w:cs="Arial Unicode MS"/>
      <w:i/>
      <w:iCs/>
      <w:noProof/>
      <w:spacing w:val="0"/>
      <w:sz w:val="16"/>
      <w:szCs w:val="16"/>
    </w:rPr>
  </w:style>
  <w:style w:type="paragraph" w:customStyle="1" w:styleId="61">
    <w:name w:val="Заголовок №61"/>
    <w:basedOn w:val="a"/>
    <w:uiPriority w:val="99"/>
    <w:rsid w:val="00045010"/>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
    <w:name w:val="Основной текст + 8 pt21.Курсив30.Интервал 0 pt98"/>
    <w:uiPriority w:val="99"/>
    <w:rsid w:val="00045010"/>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045010"/>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045010"/>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045010"/>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2090pt38">
    <w:name w:val="Основной текст (20) + Не курсив9.Интервал 0 pt38"/>
    <w:uiPriority w:val="99"/>
    <w:rsid w:val="00045010"/>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045010"/>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045010"/>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045010"/>
    <w:rPr>
      <w:rFonts w:ascii="Lucida Sans Unicode" w:hAnsi="Lucida Sans Unicode" w:cs="Lucida Sans Unicode"/>
      <w:i/>
      <w:iCs/>
      <w:spacing w:val="0"/>
      <w:sz w:val="16"/>
      <w:szCs w:val="16"/>
    </w:rPr>
  </w:style>
  <w:style w:type="character" w:customStyle="1" w:styleId="29">
    <w:name w:val="Основной текст (29)_"/>
    <w:uiPriority w:val="99"/>
    <w:rsid w:val="00045010"/>
    <w:rPr>
      <w:rFonts w:ascii="Arial Narrow" w:hAnsi="Arial Narrow" w:cs="Arial Narrow"/>
      <w:i/>
      <w:iCs/>
      <w:sz w:val="15"/>
      <w:szCs w:val="15"/>
    </w:rPr>
  </w:style>
  <w:style w:type="paragraph" w:customStyle="1" w:styleId="100">
    <w:name w:val="Заголовок №10"/>
    <w:basedOn w:val="a"/>
    <w:uiPriority w:val="99"/>
    <w:rsid w:val="00045010"/>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045010"/>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uiPriority w:val="99"/>
    <w:rsid w:val="00045010"/>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045010"/>
    <w:rPr>
      <w:rFonts w:ascii="Lucida Sans Unicode" w:hAnsi="Lucida Sans Unicode" w:cs="Lucida Sans Unicode"/>
      <w:i/>
      <w:iCs/>
      <w:spacing w:val="0"/>
      <w:sz w:val="16"/>
      <w:szCs w:val="16"/>
    </w:rPr>
  </w:style>
  <w:style w:type="character" w:customStyle="1" w:styleId="aff0">
    <w:name w:val="Основной текст_"/>
    <w:rsid w:val="00045010"/>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045010"/>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1">
    <w:name w:val="Подпись к таблице"/>
    <w:basedOn w:val="a"/>
    <w:uiPriority w:val="99"/>
    <w:rsid w:val="00045010"/>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uiPriority w:val="99"/>
    <w:rsid w:val="00045010"/>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045010"/>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045010"/>
    <w:rPr>
      <w:rFonts w:ascii="Lucida Sans Unicode" w:hAnsi="Lucida Sans Unicode" w:cs="Lucida Sans Unicode"/>
      <w:i/>
      <w:iCs/>
      <w:spacing w:val="0"/>
      <w:sz w:val="16"/>
      <w:szCs w:val="16"/>
    </w:rPr>
  </w:style>
  <w:style w:type="character" w:customStyle="1" w:styleId="200">
    <w:name w:val="Основной текст (20)_"/>
    <w:uiPriority w:val="99"/>
    <w:rsid w:val="00045010"/>
    <w:rPr>
      <w:b/>
      <w:bCs/>
      <w:i/>
      <w:iCs/>
      <w:sz w:val="15"/>
      <w:szCs w:val="15"/>
    </w:rPr>
  </w:style>
  <w:style w:type="character" w:customStyle="1" w:styleId="2050pt30">
    <w:name w:val="Основной текст (20) + Не курсив5.Интервал 0 pt30"/>
    <w:uiPriority w:val="99"/>
    <w:rsid w:val="00045010"/>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045010"/>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045010"/>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045010"/>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045010"/>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045010"/>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045010"/>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045010"/>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2">
    <w:name w:val="Сноска"/>
    <w:basedOn w:val="a"/>
    <w:link w:val="aff3"/>
    <w:rsid w:val="00045010"/>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1">
    <w:name w:val="Основной текст + Курсив10"/>
    <w:uiPriority w:val="99"/>
    <w:rsid w:val="00045010"/>
    <w:rPr>
      <w:rFonts w:ascii="Arial" w:hAnsi="Arial" w:cs="Arial"/>
      <w:i/>
      <w:iCs/>
      <w:spacing w:val="-10"/>
      <w:sz w:val="17"/>
      <w:szCs w:val="17"/>
    </w:rPr>
  </w:style>
  <w:style w:type="paragraph" w:customStyle="1" w:styleId="250">
    <w:name w:val="Основной текст25"/>
    <w:basedOn w:val="a"/>
    <w:uiPriority w:val="99"/>
    <w:rsid w:val="00045010"/>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045010"/>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4">
    <w:name w:val="Оглавление"/>
    <w:uiPriority w:val="99"/>
    <w:rsid w:val="00045010"/>
    <w:rPr>
      <w:rFonts w:ascii="Times New Roman" w:hAnsi="Times New Roman" w:cs="Times New Roman"/>
      <w:spacing w:val="0"/>
      <w:sz w:val="21"/>
      <w:szCs w:val="21"/>
      <w:u w:val="single"/>
    </w:rPr>
  </w:style>
  <w:style w:type="paragraph" w:customStyle="1" w:styleId="140">
    <w:name w:val="Заголовок №14"/>
    <w:basedOn w:val="a"/>
    <w:uiPriority w:val="99"/>
    <w:rsid w:val="00045010"/>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uiPriority w:val="99"/>
    <w:rsid w:val="00045010"/>
    <w:rPr>
      <w:spacing w:val="40"/>
      <w:sz w:val="25"/>
      <w:szCs w:val="25"/>
    </w:rPr>
  </w:style>
  <w:style w:type="paragraph" w:customStyle="1" w:styleId="7">
    <w:name w:val="Основной текст (7)"/>
    <w:basedOn w:val="a"/>
    <w:link w:val="70"/>
    <w:rsid w:val="00045010"/>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uiPriority w:val="99"/>
    <w:rsid w:val="00045010"/>
    <w:rPr>
      <w:spacing w:val="10"/>
      <w:sz w:val="26"/>
      <w:szCs w:val="26"/>
    </w:rPr>
  </w:style>
  <w:style w:type="character" w:customStyle="1" w:styleId="240">
    <w:name w:val="Основной текст24"/>
    <w:uiPriority w:val="99"/>
    <w:rsid w:val="00045010"/>
    <w:rPr>
      <w:sz w:val="25"/>
      <w:szCs w:val="25"/>
    </w:rPr>
  </w:style>
  <w:style w:type="paragraph" w:customStyle="1" w:styleId="6">
    <w:name w:val="Заголовок №6"/>
    <w:basedOn w:val="a"/>
    <w:uiPriority w:val="99"/>
    <w:rsid w:val="00045010"/>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rsid w:val="00045010"/>
    <w:rPr>
      <w:rFonts w:ascii="Lucida Sans Unicode" w:hAnsi="Lucida Sans Unicode" w:cs="Lucida Sans Unicode"/>
      <w:i/>
      <w:iCs/>
      <w:sz w:val="16"/>
      <w:szCs w:val="16"/>
    </w:rPr>
  </w:style>
  <w:style w:type="character" w:customStyle="1" w:styleId="aff5">
    <w:name w:val="Основной текст + Курсив"/>
    <w:aliases w:val="Интервал 0 pt59"/>
    <w:uiPriority w:val="99"/>
    <w:rsid w:val="00045010"/>
    <w:rPr>
      <w:rFonts w:ascii="Lucida Sans Unicode" w:hAnsi="Lucida Sans Unicode" w:cs="Lucida Sans Unicode"/>
      <w:i/>
      <w:iCs/>
      <w:sz w:val="16"/>
      <w:szCs w:val="16"/>
    </w:rPr>
  </w:style>
  <w:style w:type="paragraph" w:customStyle="1" w:styleId="80">
    <w:name w:val="Основной текст (8)"/>
    <w:basedOn w:val="a"/>
    <w:uiPriority w:val="99"/>
    <w:rsid w:val="00045010"/>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uiPriority w:val="99"/>
    <w:rsid w:val="00045010"/>
    <w:rPr>
      <w:rFonts w:ascii="Lucida Sans Unicode" w:hAnsi="Lucida Sans Unicode" w:cs="Lucida Sans Unicode"/>
      <w:sz w:val="16"/>
      <w:szCs w:val="16"/>
    </w:rPr>
  </w:style>
  <w:style w:type="character" w:customStyle="1" w:styleId="4pt">
    <w:name w:val="Основной текст + Интервал 4 pt"/>
    <w:uiPriority w:val="99"/>
    <w:rsid w:val="00045010"/>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045010"/>
    <w:rPr>
      <w:rFonts w:ascii="Segoe UI" w:hAnsi="Segoe UI" w:cs="Segoe UI"/>
      <w:b/>
      <w:bCs/>
      <w:i/>
      <w:iCs/>
      <w:spacing w:val="0"/>
      <w:sz w:val="16"/>
      <w:szCs w:val="16"/>
    </w:rPr>
  </w:style>
  <w:style w:type="character" w:customStyle="1" w:styleId="SegoeUI1">
    <w:name w:val="Основной текст + Segoe UI1"/>
    <w:uiPriority w:val="99"/>
    <w:rsid w:val="00045010"/>
    <w:rPr>
      <w:rFonts w:ascii="Segoe UI" w:hAnsi="Segoe UI" w:cs="Segoe UI"/>
      <w:i/>
      <w:iCs/>
      <w:spacing w:val="0"/>
      <w:sz w:val="13"/>
      <w:szCs w:val="13"/>
    </w:rPr>
  </w:style>
  <w:style w:type="character" w:customStyle="1" w:styleId="16">
    <w:name w:val="Основной текст1"/>
    <w:rsid w:val="00045010"/>
    <w:rPr>
      <w:rFonts w:ascii="Gungsuh" w:eastAsia="Gungsuh" w:cs="Gungsuh"/>
      <w:spacing w:val="-10"/>
      <w:sz w:val="16"/>
      <w:szCs w:val="16"/>
      <w:u w:val="single"/>
    </w:rPr>
  </w:style>
  <w:style w:type="paragraph" w:customStyle="1" w:styleId="34">
    <w:name w:val="Основной текст (3)"/>
    <w:basedOn w:val="a"/>
    <w:uiPriority w:val="99"/>
    <w:rsid w:val="00045010"/>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
    <w:rsid w:val="00045010"/>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
    <w:link w:val="46"/>
    <w:uiPriority w:val="99"/>
    <w:rsid w:val="00045010"/>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8">
    <w:name w:val="Основной текст (2)"/>
    <w:basedOn w:val="a"/>
    <w:link w:val="2a"/>
    <w:rsid w:val="00045010"/>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7">
    <w:name w:val="Заголовок №1"/>
    <w:basedOn w:val="a"/>
    <w:link w:val="18"/>
    <w:rsid w:val="00045010"/>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2">
    <w:name w:val="Основной текст + 7"/>
    <w:uiPriority w:val="99"/>
    <w:rsid w:val="00045010"/>
    <w:rPr>
      <w:rFonts w:ascii="Gungsuh" w:eastAsia="Gungsuh" w:cs="Gungsuh"/>
      <w:spacing w:val="0"/>
      <w:sz w:val="15"/>
      <w:szCs w:val="15"/>
    </w:rPr>
  </w:style>
  <w:style w:type="character" w:customStyle="1" w:styleId="TrebuchetMS">
    <w:name w:val="Основной текст + Trebuchet MS"/>
    <w:uiPriority w:val="99"/>
    <w:rsid w:val="00045010"/>
    <w:rPr>
      <w:rFonts w:ascii="Trebuchet MS" w:hAnsi="Trebuchet MS" w:cs="Trebuchet MS"/>
      <w:b/>
      <w:bCs/>
      <w:spacing w:val="0"/>
      <w:sz w:val="20"/>
      <w:szCs w:val="20"/>
    </w:rPr>
  </w:style>
  <w:style w:type="character" w:customStyle="1" w:styleId="102">
    <w:name w:val="Основной текст + 10"/>
    <w:uiPriority w:val="99"/>
    <w:rsid w:val="00045010"/>
    <w:rPr>
      <w:rFonts w:ascii="Gungsuh" w:eastAsia="Gungsuh" w:cs="Gungsuh"/>
      <w:spacing w:val="-20"/>
      <w:sz w:val="21"/>
      <w:szCs w:val="21"/>
    </w:rPr>
  </w:style>
  <w:style w:type="character" w:customStyle="1" w:styleId="9">
    <w:name w:val="Основной текст + 9"/>
    <w:uiPriority w:val="99"/>
    <w:rsid w:val="00045010"/>
    <w:rPr>
      <w:rFonts w:ascii="Gungsuh" w:eastAsia="Gungsuh" w:cs="Gungsuh"/>
      <w:smallCaps/>
      <w:spacing w:val="-10"/>
      <w:sz w:val="19"/>
      <w:szCs w:val="19"/>
    </w:rPr>
  </w:style>
  <w:style w:type="character" w:customStyle="1" w:styleId="Candara">
    <w:name w:val="Основной текст + Candara"/>
    <w:uiPriority w:val="99"/>
    <w:rsid w:val="00045010"/>
    <w:rPr>
      <w:rFonts w:ascii="Candara" w:hAnsi="Candara" w:cs="Candara"/>
      <w:b/>
      <w:bCs/>
      <w:spacing w:val="0"/>
      <w:sz w:val="22"/>
      <w:szCs w:val="22"/>
    </w:rPr>
  </w:style>
  <w:style w:type="character" w:customStyle="1" w:styleId="0pt">
    <w:name w:val="Основной текст + Интервал 0 pt"/>
    <w:rsid w:val="00045010"/>
    <w:rPr>
      <w:rFonts w:ascii="Gungsuh" w:eastAsia="Gungsuh" w:cs="Gungsuh"/>
      <w:spacing w:val="10"/>
      <w:sz w:val="18"/>
      <w:szCs w:val="18"/>
    </w:rPr>
  </w:style>
  <w:style w:type="character" w:customStyle="1" w:styleId="8pt">
    <w:name w:val="Основной текст + 8 pt"/>
    <w:rsid w:val="00045010"/>
    <w:rPr>
      <w:rFonts w:ascii="Gungsuh" w:eastAsia="Gungsuh" w:cs="Gungsuh"/>
      <w:spacing w:val="-10"/>
      <w:sz w:val="16"/>
      <w:szCs w:val="16"/>
    </w:rPr>
  </w:style>
  <w:style w:type="character" w:customStyle="1" w:styleId="Consolas">
    <w:name w:val="Основной текст + Consolas"/>
    <w:uiPriority w:val="99"/>
    <w:rsid w:val="00045010"/>
    <w:rPr>
      <w:rFonts w:ascii="Consolas" w:hAnsi="Consolas" w:cs="Consolas"/>
      <w:b/>
      <w:bCs/>
      <w:spacing w:val="0"/>
      <w:sz w:val="19"/>
      <w:szCs w:val="19"/>
    </w:rPr>
  </w:style>
  <w:style w:type="character" w:customStyle="1" w:styleId="82">
    <w:name w:val="Основной текст + 8"/>
    <w:uiPriority w:val="99"/>
    <w:rsid w:val="00045010"/>
    <w:rPr>
      <w:rFonts w:ascii="Arial Narrow" w:hAnsi="Arial Narrow" w:cs="Arial Narrow"/>
      <w:i/>
      <w:iCs/>
      <w:smallCaps/>
      <w:sz w:val="17"/>
      <w:szCs w:val="17"/>
    </w:rPr>
  </w:style>
  <w:style w:type="character" w:customStyle="1" w:styleId="280">
    <w:name w:val="Основной текст (2) + 8"/>
    <w:uiPriority w:val="99"/>
    <w:rsid w:val="00045010"/>
    <w:rPr>
      <w:rFonts w:ascii="Arial Narrow" w:hAnsi="Arial Narrow" w:cs="Arial Narrow"/>
      <w:i/>
      <w:iCs/>
      <w:smallCaps/>
      <w:spacing w:val="0"/>
      <w:sz w:val="17"/>
      <w:szCs w:val="17"/>
    </w:rPr>
  </w:style>
  <w:style w:type="character" w:customStyle="1" w:styleId="7pt">
    <w:name w:val="Основной текст + 7 pt"/>
    <w:uiPriority w:val="99"/>
    <w:rsid w:val="00045010"/>
    <w:rPr>
      <w:rFonts w:ascii="Gungsuh" w:eastAsia="Gungsuh" w:cs="Gungsuh"/>
      <w:spacing w:val="0"/>
      <w:sz w:val="14"/>
      <w:szCs w:val="14"/>
    </w:rPr>
  </w:style>
  <w:style w:type="character" w:customStyle="1" w:styleId="9pt">
    <w:name w:val="Основной текст + 9 pt"/>
    <w:rsid w:val="00045010"/>
    <w:rPr>
      <w:rFonts w:ascii="Gungsuh" w:eastAsia="Gungsuh" w:cs="Gungsuh"/>
      <w:b/>
      <w:bCs/>
      <w:i/>
      <w:iCs/>
      <w:spacing w:val="0"/>
      <w:sz w:val="18"/>
      <w:szCs w:val="18"/>
    </w:rPr>
  </w:style>
  <w:style w:type="character" w:customStyle="1" w:styleId="9pt1">
    <w:name w:val="Основной текст + 9 pt1"/>
    <w:uiPriority w:val="99"/>
    <w:rsid w:val="00045010"/>
    <w:rPr>
      <w:rFonts w:ascii="Gungsuh" w:eastAsia="Gungsuh" w:cs="Gungsuh"/>
      <w:smallCaps/>
      <w:spacing w:val="0"/>
      <w:sz w:val="18"/>
      <w:szCs w:val="18"/>
    </w:rPr>
  </w:style>
  <w:style w:type="character" w:customStyle="1" w:styleId="1pt">
    <w:name w:val="Основной текст + Интервал 1 pt"/>
    <w:rsid w:val="00045010"/>
    <w:rPr>
      <w:rFonts w:ascii="Gungsuh" w:eastAsia="Gungsuh" w:cs="Gungsuh"/>
      <w:spacing w:val="30"/>
      <w:sz w:val="17"/>
      <w:szCs w:val="17"/>
    </w:rPr>
  </w:style>
  <w:style w:type="character" w:customStyle="1" w:styleId="Garamond">
    <w:name w:val="Колонтитул + Garamond"/>
    <w:uiPriority w:val="99"/>
    <w:rsid w:val="00045010"/>
    <w:rPr>
      <w:rFonts w:ascii="Garamond" w:hAnsi="Garamond" w:cs="Garamond"/>
      <w:sz w:val="18"/>
      <w:szCs w:val="18"/>
    </w:rPr>
  </w:style>
  <w:style w:type="character" w:customStyle="1" w:styleId="3pt">
    <w:name w:val="Основной текст + Интервал 3 pt"/>
    <w:uiPriority w:val="99"/>
    <w:rsid w:val="00045010"/>
    <w:rPr>
      <w:rFonts w:ascii="Gungsuh" w:eastAsia="Gungsuh" w:cs="Gungsuh"/>
      <w:spacing w:val="60"/>
      <w:sz w:val="17"/>
      <w:szCs w:val="17"/>
    </w:rPr>
  </w:style>
  <w:style w:type="paragraph" w:customStyle="1" w:styleId="aff6">
    <w:name w:val="Колонтитул"/>
    <w:basedOn w:val="a"/>
    <w:uiPriority w:val="99"/>
    <w:rsid w:val="00045010"/>
    <w:pPr>
      <w:shd w:val="clear" w:color="auto" w:fill="FFFFFF"/>
      <w:autoSpaceDE w:val="0"/>
      <w:autoSpaceDN w:val="0"/>
      <w:adjustRightInd w:val="0"/>
      <w:spacing w:after="0" w:line="240" w:lineRule="auto"/>
    </w:pPr>
    <w:rPr>
      <w:rFonts w:ascii="Times New Roman" w:hAnsi="Times New Roman"/>
      <w:sz w:val="20"/>
      <w:szCs w:val="20"/>
    </w:rPr>
  </w:style>
  <w:style w:type="character" w:customStyle="1" w:styleId="Arial">
    <w:name w:val="Основной текст + Arial"/>
    <w:uiPriority w:val="99"/>
    <w:rsid w:val="00045010"/>
    <w:rPr>
      <w:rFonts w:ascii="Arial" w:hAnsi="Arial" w:cs="Arial"/>
      <w:sz w:val="21"/>
      <w:szCs w:val="21"/>
    </w:rPr>
  </w:style>
  <w:style w:type="paragraph" w:customStyle="1" w:styleId="2b">
    <w:name w:val="Заголовок №2"/>
    <w:basedOn w:val="a"/>
    <w:uiPriority w:val="99"/>
    <w:rsid w:val="00045010"/>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uiPriority w:val="99"/>
    <w:rsid w:val="00045010"/>
    <w:rPr>
      <w:rFonts w:ascii="Gulim" w:eastAsia="Gulim" w:cs="Gulim"/>
      <w:i/>
      <w:iCs/>
      <w:spacing w:val="-20"/>
      <w:sz w:val="19"/>
      <w:szCs w:val="19"/>
    </w:rPr>
  </w:style>
  <w:style w:type="character" w:customStyle="1" w:styleId="FranklinGothicMedium">
    <w:name w:val="Основной текст + Franklin Gothic Medium"/>
    <w:uiPriority w:val="99"/>
    <w:rsid w:val="00045010"/>
    <w:rPr>
      <w:rFonts w:ascii="Franklin Gothic Medium" w:hAnsi="Franklin Gothic Medium" w:cs="Franklin Gothic Medium"/>
      <w:spacing w:val="0"/>
      <w:sz w:val="18"/>
      <w:szCs w:val="18"/>
    </w:rPr>
  </w:style>
  <w:style w:type="paragraph" w:customStyle="1" w:styleId="35">
    <w:name w:val="Основной текст3"/>
    <w:basedOn w:val="a"/>
    <w:uiPriority w:val="99"/>
    <w:rsid w:val="00045010"/>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rsid w:val="00045010"/>
    <w:rPr>
      <w:rFonts w:ascii="Century Schoolbook" w:hAnsi="Century Schoolbook" w:cs="Century Schoolbook"/>
      <w:spacing w:val="-20"/>
      <w:sz w:val="18"/>
      <w:szCs w:val="18"/>
    </w:rPr>
  </w:style>
  <w:style w:type="character" w:customStyle="1" w:styleId="Batang">
    <w:name w:val="Основной текст + Batang"/>
    <w:uiPriority w:val="99"/>
    <w:rsid w:val="00045010"/>
    <w:rPr>
      <w:rFonts w:ascii="Batang" w:eastAsia="Batang" w:cs="Batang"/>
      <w:b/>
      <w:bCs/>
      <w:smallCaps/>
      <w:spacing w:val="0"/>
      <w:sz w:val="19"/>
      <w:szCs w:val="19"/>
    </w:rPr>
  </w:style>
  <w:style w:type="character" w:customStyle="1" w:styleId="FrankRuehl">
    <w:name w:val="Основной текст + FrankRuehl"/>
    <w:uiPriority w:val="99"/>
    <w:rsid w:val="00045010"/>
    <w:rPr>
      <w:rFonts w:ascii="FrankRuehl" w:cs="FrankRuehl"/>
      <w:sz w:val="30"/>
      <w:szCs w:val="30"/>
      <w:lang w:bidi="he-IL"/>
    </w:rPr>
  </w:style>
  <w:style w:type="character" w:customStyle="1" w:styleId="FrankRuehl2">
    <w:name w:val="Основной текст + FrankRuehl2"/>
    <w:uiPriority w:val="99"/>
    <w:rsid w:val="00045010"/>
    <w:rPr>
      <w:rFonts w:ascii="FrankRuehl" w:cs="FrankRuehl"/>
      <w:sz w:val="29"/>
      <w:szCs w:val="29"/>
      <w:lang w:bidi="he-IL"/>
    </w:rPr>
  </w:style>
  <w:style w:type="character" w:customStyle="1" w:styleId="FrankRuehl1">
    <w:name w:val="Основной текст + FrankRuehl1"/>
    <w:uiPriority w:val="99"/>
    <w:rsid w:val="00045010"/>
    <w:rPr>
      <w:rFonts w:ascii="FrankRuehl" w:cs="FrankRuehl"/>
      <w:i/>
      <w:iCs/>
      <w:sz w:val="16"/>
      <w:szCs w:val="16"/>
      <w:lang w:bidi="he-IL"/>
    </w:rPr>
  </w:style>
  <w:style w:type="character" w:customStyle="1" w:styleId="112">
    <w:name w:val="Основной текст + 11"/>
    <w:uiPriority w:val="99"/>
    <w:rsid w:val="00045010"/>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045010"/>
    <w:rPr>
      <w:rFonts w:ascii="FrankRuehl" w:cs="FrankRuehl"/>
      <w:b/>
      <w:bCs/>
      <w:i/>
      <w:iCs/>
      <w:spacing w:val="0"/>
      <w:sz w:val="9"/>
      <w:szCs w:val="9"/>
      <w:lang w:bidi="he-IL"/>
    </w:rPr>
  </w:style>
  <w:style w:type="paragraph" w:customStyle="1" w:styleId="47">
    <w:name w:val="Основной текст4"/>
    <w:basedOn w:val="a"/>
    <w:rsid w:val="00045010"/>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uiPriority w:val="99"/>
    <w:rsid w:val="00045010"/>
    <w:rPr>
      <w:rFonts w:ascii="Gungsuh" w:eastAsia="Gungsuh" w:cs="Gungsuh"/>
      <w:sz w:val="33"/>
      <w:szCs w:val="33"/>
    </w:rPr>
  </w:style>
  <w:style w:type="character" w:customStyle="1" w:styleId="10pt">
    <w:name w:val="Основной текст + 10 pt"/>
    <w:uiPriority w:val="99"/>
    <w:rsid w:val="00045010"/>
    <w:rPr>
      <w:rFonts w:ascii="Gungsuh" w:eastAsia="Gungsuh" w:cs="Gungsuh"/>
      <w:spacing w:val="-20"/>
      <w:sz w:val="20"/>
      <w:szCs w:val="20"/>
    </w:rPr>
  </w:style>
  <w:style w:type="character" w:customStyle="1" w:styleId="aff7">
    <w:name w:val="Основной текст + Полужирный"/>
    <w:aliases w:val="Интервал 0 pt9"/>
    <w:rsid w:val="00045010"/>
    <w:rPr>
      <w:rFonts w:ascii="Gungsuh" w:eastAsia="Gungsuh" w:cs="Gungsuh"/>
      <w:b/>
      <w:bCs/>
      <w:smallCaps/>
      <w:spacing w:val="-10"/>
      <w:sz w:val="17"/>
      <w:szCs w:val="17"/>
    </w:rPr>
  </w:style>
  <w:style w:type="character" w:customStyle="1" w:styleId="2TimesNewRoman">
    <w:name w:val="Основной текст (2) + Times New Roman"/>
    <w:uiPriority w:val="99"/>
    <w:rsid w:val="00045010"/>
    <w:rPr>
      <w:rFonts w:ascii="Times New Roman" w:hAnsi="Times New Roman" w:cs="Times New Roman"/>
      <w:b/>
      <w:bCs/>
      <w:sz w:val="21"/>
      <w:szCs w:val="21"/>
    </w:rPr>
  </w:style>
  <w:style w:type="character" w:customStyle="1" w:styleId="-1pt0">
    <w:name w:val="Оглавление + Интервал -1 pt"/>
    <w:uiPriority w:val="99"/>
    <w:rsid w:val="00045010"/>
    <w:rPr>
      <w:rFonts w:ascii="Times New Roman" w:hAnsi="Times New Roman" w:cs="Times New Roman"/>
      <w:spacing w:val="-20"/>
      <w:sz w:val="21"/>
      <w:szCs w:val="21"/>
    </w:rPr>
  </w:style>
  <w:style w:type="character" w:customStyle="1" w:styleId="300">
    <w:name w:val="Основной текст + 30"/>
    <w:uiPriority w:val="99"/>
    <w:rsid w:val="00045010"/>
    <w:rPr>
      <w:rFonts w:ascii="MingLiU" w:eastAsia="MingLiU" w:cs="MingLiU"/>
      <w:i/>
      <w:iCs/>
      <w:spacing w:val="-60"/>
      <w:sz w:val="61"/>
      <w:szCs w:val="61"/>
    </w:rPr>
  </w:style>
  <w:style w:type="character" w:customStyle="1" w:styleId="449pt">
    <w:name w:val="Основной текст (44) + 9 pt.Не полужирный"/>
    <w:uiPriority w:val="99"/>
    <w:rsid w:val="00045010"/>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045010"/>
    <w:rPr>
      <w:rFonts w:ascii="Bookman Old Style" w:hAnsi="Bookman Old Style" w:cs="Bookman Old Style"/>
      <w:spacing w:val="-20"/>
      <w:sz w:val="16"/>
      <w:szCs w:val="16"/>
    </w:rPr>
  </w:style>
  <w:style w:type="character" w:customStyle="1" w:styleId="202">
    <w:name w:val="Подпись к картинке (20)"/>
    <w:uiPriority w:val="99"/>
    <w:rsid w:val="00045010"/>
    <w:rPr>
      <w:rFonts w:ascii="Arial Narrow" w:hAnsi="Arial Narrow" w:cs="Arial Narrow"/>
      <w:i/>
      <w:iCs/>
      <w:spacing w:val="0"/>
      <w:sz w:val="16"/>
      <w:szCs w:val="16"/>
      <w:u w:val="single"/>
    </w:rPr>
  </w:style>
  <w:style w:type="character" w:customStyle="1" w:styleId="211">
    <w:name w:val="Подпись к картинке (21)"/>
    <w:uiPriority w:val="99"/>
    <w:rsid w:val="00045010"/>
    <w:rPr>
      <w:rFonts w:ascii="Arial Narrow" w:hAnsi="Arial Narrow" w:cs="Arial Narrow"/>
      <w:strike/>
      <w:spacing w:val="0"/>
      <w:sz w:val="22"/>
      <w:szCs w:val="22"/>
    </w:rPr>
  </w:style>
  <w:style w:type="character" w:customStyle="1" w:styleId="5">
    <w:name w:val="Подпись к картинке (5)"/>
    <w:uiPriority w:val="99"/>
    <w:rsid w:val="00045010"/>
    <w:rPr>
      <w:rFonts w:ascii="Arial Narrow" w:hAnsi="Arial Narrow" w:cs="Arial Narrow"/>
      <w:spacing w:val="0"/>
      <w:sz w:val="17"/>
      <w:szCs w:val="17"/>
      <w:u w:val="single"/>
    </w:rPr>
  </w:style>
  <w:style w:type="character" w:customStyle="1" w:styleId="58">
    <w:name w:val="Основной текст (58) + Полужирный"/>
    <w:uiPriority w:val="99"/>
    <w:rsid w:val="00045010"/>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045010"/>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045010"/>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8">
    <w:name w:val="Подпись к картинке"/>
    <w:basedOn w:val="a"/>
    <w:link w:val="aff9"/>
    <w:rsid w:val="00045010"/>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1">
    <w:name w:val="Основной текст (12)"/>
    <w:basedOn w:val="a"/>
    <w:uiPriority w:val="99"/>
    <w:rsid w:val="00045010"/>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6">
    <w:name w:val="Подпись к картинке (3)"/>
    <w:basedOn w:val="a"/>
    <w:uiPriority w:val="99"/>
    <w:rsid w:val="00045010"/>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uiPriority w:val="99"/>
    <w:rsid w:val="00045010"/>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
    <w:name w:val="Подпись к картинке (5)1"/>
    <w:basedOn w:val="a"/>
    <w:uiPriority w:val="99"/>
    <w:rsid w:val="00045010"/>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0">
    <w:name w:val="Заголовок №5"/>
    <w:basedOn w:val="a"/>
    <w:uiPriority w:val="99"/>
    <w:rsid w:val="00045010"/>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045010"/>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
    <w:name w:val="Подпись к картинке (19)"/>
    <w:basedOn w:val="a"/>
    <w:uiPriority w:val="99"/>
    <w:rsid w:val="00045010"/>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045010"/>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045010"/>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uiPriority w:val="99"/>
    <w:rsid w:val="00045010"/>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045010"/>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045010"/>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045010"/>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uiPriority w:val="99"/>
    <w:rsid w:val="00045010"/>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uiPriority w:val="99"/>
    <w:rsid w:val="00045010"/>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uiPriority w:val="99"/>
    <w:rsid w:val="00045010"/>
    <w:rPr>
      <w:rFonts w:ascii="Arial Narrow" w:hAnsi="Arial Narrow" w:cs="Arial Narrow"/>
      <w:b/>
      <w:bCs/>
      <w:i/>
      <w:iCs/>
      <w:smallCaps/>
      <w:spacing w:val="0"/>
      <w:sz w:val="15"/>
      <w:szCs w:val="15"/>
    </w:rPr>
  </w:style>
  <w:style w:type="character" w:customStyle="1" w:styleId="1a">
    <w:name w:val="Основной текст + Курсив1"/>
    <w:uiPriority w:val="99"/>
    <w:rsid w:val="00045010"/>
    <w:rPr>
      <w:rFonts w:ascii="Arial Narrow" w:hAnsi="Arial Narrow" w:cs="Arial Narrow"/>
      <w:i/>
      <w:iCs/>
      <w:spacing w:val="0"/>
      <w:sz w:val="17"/>
      <w:szCs w:val="17"/>
    </w:rPr>
  </w:style>
  <w:style w:type="character" w:customStyle="1" w:styleId="785pt">
    <w:name w:val="Подпись к картинке (7) + 8.5 pt.Не курсив"/>
    <w:uiPriority w:val="99"/>
    <w:rsid w:val="00045010"/>
    <w:rPr>
      <w:rFonts w:ascii="Arial Narrow" w:hAnsi="Arial Narrow" w:cs="Arial Narrow"/>
      <w:spacing w:val="0"/>
      <w:sz w:val="17"/>
      <w:szCs w:val="17"/>
    </w:rPr>
  </w:style>
  <w:style w:type="paragraph" w:customStyle="1" w:styleId="113">
    <w:name w:val="Основной текст (11)"/>
    <w:basedOn w:val="a"/>
    <w:uiPriority w:val="99"/>
    <w:rsid w:val="00045010"/>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uiPriority w:val="99"/>
    <w:rsid w:val="00045010"/>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
    <w:uiPriority w:val="99"/>
    <w:rsid w:val="00045010"/>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8">
    <w:name w:val="Подпись к картинке (4)"/>
    <w:basedOn w:val="a"/>
    <w:uiPriority w:val="99"/>
    <w:rsid w:val="00045010"/>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045010"/>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0">
    <w:name w:val="Основной текст (51)"/>
    <w:basedOn w:val="a"/>
    <w:uiPriority w:val="99"/>
    <w:rsid w:val="00045010"/>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045010"/>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045010"/>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045010"/>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045010"/>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045010"/>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
    <w:name w:val="Основной текст (52)"/>
    <w:basedOn w:val="a"/>
    <w:uiPriority w:val="99"/>
    <w:rsid w:val="00045010"/>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uiPriority w:val="99"/>
    <w:rsid w:val="00045010"/>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045010"/>
    <w:rPr>
      <w:rFonts w:ascii="Arial Narrow" w:hAnsi="Arial Narrow" w:cs="Arial Narrow"/>
      <w:i/>
      <w:iCs/>
      <w:spacing w:val="0"/>
      <w:sz w:val="14"/>
      <w:szCs w:val="14"/>
    </w:rPr>
  </w:style>
  <w:style w:type="character" w:customStyle="1" w:styleId="37">
    <w:name w:val="Основной текст + Курсив3"/>
    <w:uiPriority w:val="99"/>
    <w:rsid w:val="00045010"/>
    <w:rPr>
      <w:rFonts w:ascii="Arial Narrow" w:hAnsi="Arial Narrow" w:cs="Arial Narrow"/>
      <w:i/>
      <w:iCs/>
      <w:spacing w:val="0"/>
      <w:sz w:val="17"/>
      <w:szCs w:val="17"/>
    </w:rPr>
  </w:style>
  <w:style w:type="character" w:customStyle="1" w:styleId="70pt">
    <w:name w:val="Подпись к картинке (7) + Интервал 0 pt"/>
    <w:uiPriority w:val="99"/>
    <w:rsid w:val="00045010"/>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045010"/>
    <w:rPr>
      <w:rFonts w:ascii="MS Reference Sans Serif" w:hAnsi="MS Reference Sans Serif" w:cs="MS Reference Sans Serif"/>
      <w:smallCaps/>
      <w:spacing w:val="-10"/>
      <w:sz w:val="14"/>
      <w:szCs w:val="14"/>
    </w:rPr>
  </w:style>
  <w:style w:type="character" w:customStyle="1" w:styleId="2d">
    <w:name w:val="Основной текст + Курсив2"/>
    <w:uiPriority w:val="99"/>
    <w:rsid w:val="00045010"/>
    <w:rPr>
      <w:rFonts w:ascii="Arial Narrow" w:hAnsi="Arial Narrow" w:cs="Arial Narrow"/>
      <w:i/>
      <w:iCs/>
      <w:spacing w:val="0"/>
      <w:sz w:val="17"/>
      <w:szCs w:val="17"/>
    </w:rPr>
  </w:style>
  <w:style w:type="paragraph" w:customStyle="1" w:styleId="271">
    <w:name w:val="Основной текст (27)1"/>
    <w:basedOn w:val="a"/>
    <w:uiPriority w:val="99"/>
    <w:rsid w:val="00045010"/>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045010"/>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
    <w:uiPriority w:val="99"/>
    <w:rsid w:val="00045010"/>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
    <w:name w:val="Заголовок №6 (2)"/>
    <w:basedOn w:val="a"/>
    <w:uiPriority w:val="99"/>
    <w:rsid w:val="00045010"/>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3">
    <w:name w:val="Подпись к картинке (7)"/>
    <w:basedOn w:val="a"/>
    <w:uiPriority w:val="99"/>
    <w:rsid w:val="00045010"/>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uiPriority w:val="99"/>
    <w:rsid w:val="00045010"/>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045010"/>
    <w:rPr>
      <w:rFonts w:ascii="Consolas" w:hAnsi="Consolas" w:cs="Consolas"/>
      <w:b/>
      <w:bCs/>
      <w:i/>
      <w:iCs/>
      <w:spacing w:val="-10"/>
      <w:sz w:val="18"/>
      <w:szCs w:val="18"/>
    </w:rPr>
  </w:style>
  <w:style w:type="character" w:customStyle="1" w:styleId="27Gulim65pt">
    <w:name w:val="Основной текст (27) + Gulim.6.5 pt"/>
    <w:uiPriority w:val="99"/>
    <w:rsid w:val="00045010"/>
    <w:rPr>
      <w:rFonts w:ascii="Gulim" w:eastAsia="Gulim" w:cs="Gulim"/>
      <w:i/>
      <w:iCs/>
      <w:spacing w:val="0"/>
      <w:sz w:val="13"/>
      <w:szCs w:val="13"/>
    </w:rPr>
  </w:style>
  <w:style w:type="character" w:customStyle="1" w:styleId="74">
    <w:name w:val="Основной текст + Курсив7"/>
    <w:uiPriority w:val="99"/>
    <w:rsid w:val="00045010"/>
    <w:rPr>
      <w:rFonts w:ascii="Arial Narrow" w:hAnsi="Arial Narrow" w:cs="Arial Narrow"/>
      <w:i/>
      <w:iCs/>
      <w:spacing w:val="0"/>
      <w:sz w:val="17"/>
      <w:szCs w:val="17"/>
    </w:rPr>
  </w:style>
  <w:style w:type="character" w:customStyle="1" w:styleId="276">
    <w:name w:val="Основной текст (27) + Не курсив6"/>
    <w:uiPriority w:val="99"/>
    <w:rsid w:val="00045010"/>
    <w:rPr>
      <w:rFonts w:ascii="Arial Narrow" w:hAnsi="Arial Narrow" w:cs="Arial Narrow"/>
      <w:spacing w:val="0"/>
      <w:sz w:val="17"/>
      <w:szCs w:val="17"/>
    </w:rPr>
  </w:style>
  <w:style w:type="character" w:customStyle="1" w:styleId="275">
    <w:name w:val="Основной текст (27) + Не курсив5"/>
    <w:uiPriority w:val="99"/>
    <w:rsid w:val="00045010"/>
    <w:rPr>
      <w:rFonts w:ascii="Arial Narrow" w:hAnsi="Arial Narrow" w:cs="Arial Narrow"/>
      <w:spacing w:val="0"/>
      <w:sz w:val="17"/>
      <w:szCs w:val="17"/>
    </w:rPr>
  </w:style>
  <w:style w:type="character" w:customStyle="1" w:styleId="64">
    <w:name w:val="Основной текст + Курсив6"/>
    <w:uiPriority w:val="99"/>
    <w:rsid w:val="00045010"/>
    <w:rPr>
      <w:rFonts w:ascii="Arial Narrow" w:hAnsi="Arial Narrow" w:cs="Arial Narrow"/>
      <w:i/>
      <w:iCs/>
      <w:spacing w:val="0"/>
      <w:sz w:val="17"/>
      <w:szCs w:val="17"/>
    </w:rPr>
  </w:style>
  <w:style w:type="character" w:customStyle="1" w:styleId="270">
    <w:name w:val="Основной текст (27)"/>
    <w:uiPriority w:val="99"/>
    <w:rsid w:val="00045010"/>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045010"/>
    <w:rPr>
      <w:rFonts w:ascii="Arial Narrow" w:hAnsi="Arial Narrow" w:cs="Arial Narrow"/>
      <w:spacing w:val="0"/>
      <w:sz w:val="17"/>
      <w:szCs w:val="17"/>
    </w:rPr>
  </w:style>
  <w:style w:type="character" w:customStyle="1" w:styleId="58pt">
    <w:name w:val="Основной текст (5) + 8 pt.Не курсив"/>
    <w:uiPriority w:val="99"/>
    <w:rsid w:val="00045010"/>
    <w:rPr>
      <w:rFonts w:ascii="Arial Narrow" w:hAnsi="Arial Narrow" w:cs="Arial Narrow"/>
      <w:spacing w:val="0"/>
      <w:sz w:val="16"/>
      <w:szCs w:val="16"/>
    </w:rPr>
  </w:style>
  <w:style w:type="paragraph" w:customStyle="1" w:styleId="511">
    <w:name w:val="Основной текст (5)1"/>
    <w:basedOn w:val="a"/>
    <w:uiPriority w:val="99"/>
    <w:rsid w:val="00045010"/>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045010"/>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uiPriority w:val="99"/>
    <w:rsid w:val="00045010"/>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link w:val="351"/>
    <w:rsid w:val="00045010"/>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uiPriority w:val="99"/>
    <w:rsid w:val="00045010"/>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
    <w:link w:val="371"/>
    <w:uiPriority w:val="99"/>
    <w:rsid w:val="00045010"/>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uiPriority w:val="99"/>
    <w:rsid w:val="00045010"/>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
    <w:uiPriority w:val="99"/>
    <w:rsid w:val="00045010"/>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8">
    <w:name w:val="Заголовок №3"/>
    <w:basedOn w:val="a"/>
    <w:link w:val="3a"/>
    <w:rsid w:val="00045010"/>
    <w:pPr>
      <w:shd w:val="clear" w:color="auto" w:fill="FFFFFF"/>
      <w:autoSpaceDE w:val="0"/>
      <w:autoSpaceDN w:val="0"/>
      <w:adjustRightInd w:val="0"/>
      <w:spacing w:before="120" w:after="120" w:line="240" w:lineRule="atLeast"/>
    </w:pPr>
    <w:rPr>
      <w:rFonts w:ascii="Times New Roman" w:hAnsi="Times New Roman"/>
      <w:spacing w:val="40"/>
      <w:sz w:val="52"/>
      <w:szCs w:val="52"/>
    </w:rPr>
  </w:style>
  <w:style w:type="paragraph" w:customStyle="1" w:styleId="182">
    <w:name w:val="Основной текст (18)"/>
    <w:basedOn w:val="a"/>
    <w:uiPriority w:val="99"/>
    <w:rsid w:val="00045010"/>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uiPriority w:val="99"/>
    <w:rsid w:val="00045010"/>
    <w:rPr>
      <w:rFonts w:ascii="Arial" w:hAnsi="Arial" w:cs="Arial"/>
      <w:b/>
      <w:bCs/>
      <w:spacing w:val="0"/>
      <w:sz w:val="23"/>
      <w:szCs w:val="23"/>
    </w:rPr>
  </w:style>
  <w:style w:type="character" w:customStyle="1" w:styleId="14pt">
    <w:name w:val="Основной текст + 14 pt"/>
    <w:uiPriority w:val="99"/>
    <w:rsid w:val="00045010"/>
    <w:rPr>
      <w:rFonts w:ascii="Lucida Sans Unicode" w:hAnsi="Lucida Sans Unicode" w:cs="Lucida Sans Unicode"/>
      <w:sz w:val="28"/>
      <w:szCs w:val="28"/>
    </w:rPr>
  </w:style>
  <w:style w:type="paragraph" w:customStyle="1" w:styleId="2e">
    <w:name w:val="Подпись к таблице (2)"/>
    <w:basedOn w:val="a"/>
    <w:uiPriority w:val="99"/>
    <w:rsid w:val="00045010"/>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paragraph" w:customStyle="1" w:styleId="1b">
    <w:name w:val="çàãîëîâîê 1"/>
    <w:basedOn w:val="Iauiue"/>
    <w:next w:val="Iauiue"/>
    <w:uiPriority w:val="99"/>
    <w:rsid w:val="00045010"/>
    <w:pPr>
      <w:keepNext/>
      <w:jc w:val="both"/>
    </w:pPr>
    <w:rPr>
      <w:i/>
      <w:iCs/>
      <w:sz w:val="16"/>
      <w:szCs w:val="16"/>
      <w:lang w:val="en-US"/>
    </w:rPr>
  </w:style>
  <w:style w:type="paragraph" w:styleId="affa">
    <w:name w:val="header"/>
    <w:basedOn w:val="a"/>
    <w:link w:val="affb"/>
    <w:uiPriority w:val="99"/>
    <w:rsid w:val="00045010"/>
    <w:pPr>
      <w:tabs>
        <w:tab w:val="center" w:pos="4153"/>
        <w:tab w:val="right" w:pos="8306"/>
      </w:tabs>
      <w:autoSpaceDE w:val="0"/>
      <w:autoSpaceDN w:val="0"/>
      <w:adjustRightInd w:val="0"/>
      <w:spacing w:after="0" w:line="240" w:lineRule="auto"/>
    </w:pPr>
    <w:rPr>
      <w:rFonts w:ascii="Times New Roman" w:hAnsi="Times New Roman"/>
      <w:sz w:val="20"/>
      <w:szCs w:val="20"/>
      <w:lang w:val="en-US"/>
    </w:rPr>
  </w:style>
  <w:style w:type="character" w:customStyle="1" w:styleId="affb">
    <w:name w:val="Верхний колонтитул Знак"/>
    <w:link w:val="affa"/>
    <w:uiPriority w:val="99"/>
    <w:rsid w:val="00045010"/>
    <w:rPr>
      <w:rFonts w:ascii="Times New Roman" w:hAnsi="Times New Roman"/>
      <w:lang w:val="en-US" w:eastAsia="en-US"/>
    </w:rPr>
  </w:style>
  <w:style w:type="paragraph" w:styleId="affc">
    <w:name w:val="footer"/>
    <w:basedOn w:val="a"/>
    <w:link w:val="affd"/>
    <w:uiPriority w:val="99"/>
    <w:rsid w:val="00045010"/>
    <w:pPr>
      <w:tabs>
        <w:tab w:val="center" w:pos="4153"/>
        <w:tab w:val="right" w:pos="8306"/>
      </w:tabs>
      <w:autoSpaceDE w:val="0"/>
      <w:autoSpaceDN w:val="0"/>
      <w:adjustRightInd w:val="0"/>
      <w:spacing w:after="0" w:line="240" w:lineRule="auto"/>
    </w:pPr>
    <w:rPr>
      <w:rFonts w:ascii="Times New Roman" w:hAnsi="Times New Roman"/>
      <w:sz w:val="20"/>
      <w:szCs w:val="20"/>
      <w:lang w:val="en-US"/>
    </w:rPr>
  </w:style>
  <w:style w:type="character" w:customStyle="1" w:styleId="affd">
    <w:name w:val="Нижний колонтитул Знак"/>
    <w:link w:val="affc"/>
    <w:uiPriority w:val="99"/>
    <w:rsid w:val="00045010"/>
    <w:rPr>
      <w:rFonts w:ascii="Times New Roman" w:hAnsi="Times New Roman"/>
      <w:lang w:val="en-US" w:eastAsia="en-US"/>
    </w:rPr>
  </w:style>
  <w:style w:type="character" w:customStyle="1" w:styleId="affe">
    <w:name w:val="Ã"/>
    <w:uiPriority w:val="99"/>
    <w:rsid w:val="00045010"/>
    <w:rPr>
      <w:color w:val="0000FF"/>
      <w:u w:val="single"/>
    </w:rPr>
  </w:style>
  <w:style w:type="paragraph" w:customStyle="1" w:styleId="afff">
    <w:name w:val="Ö"/>
    <w:basedOn w:val="a"/>
    <w:uiPriority w:val="99"/>
    <w:rsid w:val="00045010"/>
    <w:pPr>
      <w:autoSpaceDE w:val="0"/>
      <w:autoSpaceDN w:val="0"/>
      <w:adjustRightInd w:val="0"/>
      <w:spacing w:before="100" w:after="100" w:line="240" w:lineRule="auto"/>
      <w:ind w:left="360" w:right="360"/>
    </w:pPr>
    <w:rPr>
      <w:rFonts w:ascii="Times New Roman" w:hAnsi="Times New Roman"/>
      <w:sz w:val="24"/>
      <w:szCs w:val="24"/>
    </w:rPr>
  </w:style>
  <w:style w:type="paragraph" w:customStyle="1" w:styleId="2f">
    <w:name w:val="Îñíîâíîé òåêñò 2"/>
    <w:basedOn w:val="a"/>
    <w:uiPriority w:val="99"/>
    <w:rsid w:val="00045010"/>
    <w:pPr>
      <w:widowControl w:val="0"/>
      <w:autoSpaceDE w:val="0"/>
      <w:autoSpaceDN w:val="0"/>
      <w:adjustRightInd w:val="0"/>
      <w:spacing w:after="0" w:line="240" w:lineRule="auto"/>
      <w:jc w:val="both"/>
    </w:pPr>
    <w:rPr>
      <w:rFonts w:ascii="Times New Roman" w:hAnsi="Times New Roman"/>
      <w:sz w:val="16"/>
      <w:szCs w:val="16"/>
    </w:rPr>
  </w:style>
  <w:style w:type="paragraph" w:customStyle="1" w:styleId="afff0">
    <w:name w:val="Òåêñò"/>
    <w:basedOn w:val="a"/>
    <w:uiPriority w:val="99"/>
    <w:rsid w:val="00045010"/>
    <w:pPr>
      <w:widowControl w:val="0"/>
      <w:autoSpaceDE w:val="0"/>
      <w:autoSpaceDN w:val="0"/>
      <w:adjustRightInd w:val="0"/>
      <w:spacing w:after="0" w:line="240" w:lineRule="auto"/>
    </w:pPr>
    <w:rPr>
      <w:rFonts w:ascii="Courier New" w:hAnsi="Courier New" w:cs="Courier New"/>
      <w:sz w:val="20"/>
      <w:szCs w:val="20"/>
    </w:rPr>
  </w:style>
  <w:style w:type="paragraph" w:customStyle="1" w:styleId="3b">
    <w:name w:val="Îñíîâíîé òåêñò 3"/>
    <w:basedOn w:val="a"/>
    <w:uiPriority w:val="99"/>
    <w:rsid w:val="00045010"/>
    <w:pPr>
      <w:widowControl w:val="0"/>
      <w:autoSpaceDE w:val="0"/>
      <w:autoSpaceDN w:val="0"/>
      <w:adjustRightInd w:val="0"/>
      <w:spacing w:after="0" w:line="240" w:lineRule="auto"/>
      <w:jc w:val="center"/>
    </w:pPr>
    <w:rPr>
      <w:rFonts w:ascii="Times New Roman" w:hAnsi="Times New Roman"/>
      <w:sz w:val="16"/>
      <w:szCs w:val="16"/>
    </w:rPr>
  </w:style>
  <w:style w:type="paragraph" w:customStyle="1" w:styleId="afff1">
    <w:name w:val="À"/>
    <w:basedOn w:val="a"/>
    <w:next w:val="a"/>
    <w:uiPriority w:val="99"/>
    <w:rsid w:val="00045010"/>
    <w:pPr>
      <w:autoSpaceDE w:val="0"/>
      <w:autoSpaceDN w:val="0"/>
      <w:adjustRightInd w:val="0"/>
      <w:spacing w:after="0" w:line="240" w:lineRule="auto"/>
    </w:pPr>
    <w:rPr>
      <w:rFonts w:ascii="Times New Roman" w:hAnsi="Times New Roman"/>
      <w:i/>
      <w:iCs/>
      <w:sz w:val="24"/>
      <w:szCs w:val="24"/>
    </w:rPr>
  </w:style>
  <w:style w:type="paragraph" w:customStyle="1" w:styleId="afff2">
    <w:name w:val="ï"/>
    <w:uiPriority w:val="99"/>
    <w:rsid w:val="00045010"/>
    <w:pPr>
      <w:autoSpaceDE w:val="0"/>
      <w:autoSpaceDN w:val="0"/>
      <w:adjustRightInd w:val="0"/>
    </w:pPr>
    <w:rPr>
      <w:rFonts w:ascii="Times New Roman" w:hAnsi="Times New Roman"/>
      <w:i/>
      <w:iCs/>
      <w:spacing w:val="-1"/>
      <w:kern w:val="65535"/>
      <w:position w:val="-1"/>
      <w:sz w:val="24"/>
      <w:szCs w:val="24"/>
      <w:lang w:eastAsia="en-US"/>
    </w:rPr>
  </w:style>
  <w:style w:type="paragraph" w:customStyle="1" w:styleId="afff3">
    <w:name w:val="Çàãîëîâîê"/>
    <w:basedOn w:val="a"/>
    <w:uiPriority w:val="99"/>
    <w:rsid w:val="00045010"/>
    <w:pPr>
      <w:widowControl w:val="0"/>
      <w:autoSpaceDE w:val="0"/>
      <w:autoSpaceDN w:val="0"/>
      <w:adjustRightInd w:val="0"/>
      <w:spacing w:after="0" w:line="360" w:lineRule="auto"/>
      <w:ind w:firstLine="709"/>
      <w:jc w:val="center"/>
    </w:pPr>
    <w:rPr>
      <w:rFonts w:ascii="Arial" w:hAnsi="Arial" w:cs="Arial"/>
      <w:b/>
      <w:bCs/>
      <w:caps/>
      <w:sz w:val="26"/>
      <w:szCs w:val="26"/>
    </w:rPr>
  </w:style>
  <w:style w:type="paragraph" w:customStyle="1" w:styleId="afff4">
    <w:name w:val="Ñíîñêè"/>
    <w:basedOn w:val="a"/>
    <w:uiPriority w:val="99"/>
    <w:rsid w:val="00045010"/>
    <w:pPr>
      <w:widowControl w:val="0"/>
      <w:autoSpaceDE w:val="0"/>
      <w:autoSpaceDN w:val="0"/>
      <w:adjustRightInd w:val="0"/>
      <w:spacing w:after="0" w:line="360" w:lineRule="auto"/>
      <w:ind w:firstLine="709"/>
      <w:jc w:val="both"/>
    </w:pPr>
    <w:rPr>
      <w:rFonts w:ascii="Arial" w:hAnsi="Arial" w:cs="Arial"/>
      <w:sz w:val="26"/>
      <w:szCs w:val="26"/>
    </w:rPr>
  </w:style>
  <w:style w:type="paragraph" w:customStyle="1" w:styleId="afff5">
    <w:name w:val="Ðóáðèêà"/>
    <w:basedOn w:val="a"/>
    <w:uiPriority w:val="99"/>
    <w:rsid w:val="00045010"/>
    <w:pPr>
      <w:widowControl w:val="0"/>
      <w:autoSpaceDE w:val="0"/>
      <w:autoSpaceDN w:val="0"/>
      <w:adjustRightInd w:val="0"/>
      <w:spacing w:after="0" w:line="360" w:lineRule="auto"/>
      <w:ind w:firstLine="709"/>
      <w:jc w:val="right"/>
    </w:pPr>
    <w:rPr>
      <w:rFonts w:ascii="Arial" w:hAnsi="Arial" w:cs="Arial"/>
      <w:caps/>
      <w:sz w:val="26"/>
      <w:szCs w:val="26"/>
    </w:rPr>
  </w:style>
  <w:style w:type="character" w:customStyle="1" w:styleId="afff6">
    <w:name w:val="Çíàê êîíöåâîé ñíîñêè"/>
    <w:uiPriority w:val="99"/>
    <w:rsid w:val="00045010"/>
    <w:rPr>
      <w:sz w:val="20"/>
      <w:szCs w:val="20"/>
      <w:vertAlign w:val="superscript"/>
    </w:rPr>
  </w:style>
  <w:style w:type="paragraph" w:customStyle="1" w:styleId="afff7">
    <w:name w:val="Ñ"/>
    <w:basedOn w:val="a"/>
    <w:next w:val="a"/>
    <w:uiPriority w:val="99"/>
    <w:rsid w:val="00045010"/>
    <w:pPr>
      <w:autoSpaceDE w:val="0"/>
      <w:autoSpaceDN w:val="0"/>
      <w:adjustRightInd w:val="0"/>
      <w:spacing w:after="0" w:line="240" w:lineRule="auto"/>
      <w:ind w:left="360"/>
    </w:pPr>
    <w:rPr>
      <w:rFonts w:ascii="Times New Roman" w:hAnsi="Times New Roman"/>
      <w:sz w:val="24"/>
      <w:szCs w:val="24"/>
    </w:rPr>
  </w:style>
  <w:style w:type="character" w:customStyle="1" w:styleId="1c">
    <w:name w:val="Ñ1"/>
    <w:uiPriority w:val="99"/>
    <w:rsid w:val="00045010"/>
    <w:rPr>
      <w:b/>
      <w:bCs/>
    </w:rPr>
  </w:style>
  <w:style w:type="character" w:customStyle="1" w:styleId="afff8">
    <w:name w:val="Ê"/>
    <w:uiPriority w:val="99"/>
    <w:rsid w:val="00045010"/>
    <w:rPr>
      <w:rFonts w:ascii="Courier New" w:hAnsi="Courier New" w:cs="Courier New"/>
      <w:sz w:val="20"/>
      <w:szCs w:val="20"/>
    </w:rPr>
  </w:style>
  <w:style w:type="paragraph" w:customStyle="1" w:styleId="afff9">
    <w:name w:val="Ô"/>
    <w:basedOn w:val="afffa"/>
    <w:uiPriority w:val="99"/>
    <w:rsid w:val="00045010"/>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ffa">
    <w:name w:val="Î"/>
    <w:uiPriority w:val="99"/>
    <w:rsid w:val="00045010"/>
    <w:pPr>
      <w:autoSpaceDE w:val="0"/>
      <w:autoSpaceDN w:val="0"/>
      <w:adjustRightInd w:val="0"/>
      <w:spacing w:before="100" w:after="100"/>
    </w:pPr>
    <w:rPr>
      <w:rFonts w:ascii="Times New Roman" w:hAnsi="Times New Roman"/>
      <w:sz w:val="24"/>
      <w:szCs w:val="24"/>
      <w:lang w:eastAsia="en-US"/>
    </w:rPr>
  </w:style>
  <w:style w:type="character" w:customStyle="1" w:styleId="afffb">
    <w:name w:val="Ð"/>
    <w:uiPriority w:val="99"/>
    <w:rsid w:val="00045010"/>
    <w:rPr>
      <w:vanish/>
      <w:color w:val="FF0000"/>
    </w:rPr>
  </w:style>
  <w:style w:type="character" w:customStyle="1" w:styleId="afffc">
    <w:name w:val="Â"/>
    <w:uiPriority w:val="99"/>
    <w:rsid w:val="00045010"/>
    <w:rPr>
      <w:i/>
      <w:iCs/>
    </w:rPr>
  </w:style>
  <w:style w:type="paragraph" w:customStyle="1" w:styleId="afffd">
    <w:name w:val="Ò"/>
    <w:basedOn w:val="afffa"/>
    <w:next w:val="afff7"/>
    <w:uiPriority w:val="99"/>
    <w:rsid w:val="00045010"/>
    <w:pPr>
      <w:spacing w:before="0" w:after="0"/>
    </w:pPr>
  </w:style>
  <w:style w:type="character" w:customStyle="1" w:styleId="1d">
    <w:name w:val="Î1"/>
    <w:uiPriority w:val="99"/>
    <w:rsid w:val="00045010"/>
    <w:rPr>
      <w:i/>
      <w:iCs/>
    </w:rPr>
  </w:style>
  <w:style w:type="character" w:customStyle="1" w:styleId="afffe">
    <w:name w:val="Ó"/>
    <w:uiPriority w:val="99"/>
    <w:rsid w:val="00045010"/>
    <w:rPr>
      <w:i/>
      <w:iCs/>
    </w:rPr>
  </w:style>
  <w:style w:type="character" w:customStyle="1" w:styleId="affff">
    <w:name w:val="Ï"/>
    <w:uiPriority w:val="99"/>
    <w:rsid w:val="00045010"/>
    <w:rPr>
      <w:color w:val="800080"/>
      <w:u w:val="single"/>
    </w:rPr>
  </w:style>
  <w:style w:type="character" w:customStyle="1" w:styleId="1e">
    <w:name w:val="Ê1"/>
    <w:uiPriority w:val="99"/>
    <w:rsid w:val="00045010"/>
    <w:rPr>
      <w:rFonts w:ascii="Courier New" w:hAnsi="Courier New" w:cs="Courier New"/>
      <w:b/>
      <w:bCs/>
      <w:sz w:val="20"/>
      <w:szCs w:val="20"/>
    </w:rPr>
  </w:style>
  <w:style w:type="character" w:customStyle="1" w:styleId="49">
    <w:name w:val="Ï4"/>
    <w:uiPriority w:val="99"/>
    <w:rsid w:val="00045010"/>
    <w:rPr>
      <w:rFonts w:ascii="Courier New" w:hAnsi="Courier New" w:cs="Courier New"/>
    </w:rPr>
  </w:style>
  <w:style w:type="character" w:customStyle="1" w:styleId="3c">
    <w:name w:val="Ï3"/>
    <w:uiPriority w:val="99"/>
    <w:rsid w:val="00045010"/>
    <w:rPr>
      <w:rFonts w:ascii="Courier New" w:hAnsi="Courier New" w:cs="Courier New"/>
      <w:sz w:val="20"/>
      <w:szCs w:val="20"/>
    </w:rPr>
  </w:style>
  <w:style w:type="character" w:customStyle="1" w:styleId="2f0">
    <w:name w:val="Ï2"/>
    <w:uiPriority w:val="99"/>
    <w:rsid w:val="00045010"/>
    <w:rPr>
      <w:i/>
      <w:iCs/>
    </w:rPr>
  </w:style>
  <w:style w:type="character" w:customStyle="1" w:styleId="1f">
    <w:name w:val="Ï1"/>
    <w:uiPriority w:val="99"/>
    <w:rsid w:val="00045010"/>
    <w:rPr>
      <w:vanish/>
    </w:rPr>
  </w:style>
  <w:style w:type="character" w:customStyle="1" w:styleId="affff0">
    <w:name w:val="è"/>
    <w:uiPriority w:val="99"/>
    <w:rsid w:val="00045010"/>
    <w:rPr>
      <w:color w:val="0000FF"/>
      <w:u w:val="single"/>
    </w:rPr>
  </w:style>
  <w:style w:type="character" w:styleId="affff1">
    <w:name w:val="footnote reference"/>
    <w:uiPriority w:val="99"/>
    <w:rsid w:val="00045010"/>
    <w:rPr>
      <w:vertAlign w:val="superscript"/>
    </w:rPr>
  </w:style>
  <w:style w:type="paragraph" w:styleId="affff2">
    <w:name w:val="footnote text"/>
    <w:basedOn w:val="a"/>
    <w:link w:val="affff3"/>
    <w:uiPriority w:val="99"/>
    <w:rsid w:val="00045010"/>
    <w:pPr>
      <w:autoSpaceDE w:val="0"/>
      <w:autoSpaceDN w:val="0"/>
      <w:adjustRightInd w:val="0"/>
      <w:spacing w:after="0" w:line="240" w:lineRule="auto"/>
    </w:pPr>
    <w:rPr>
      <w:rFonts w:ascii="Times New Roman" w:hAnsi="Times New Roman"/>
      <w:sz w:val="20"/>
      <w:szCs w:val="20"/>
    </w:rPr>
  </w:style>
  <w:style w:type="character" w:customStyle="1" w:styleId="affff3">
    <w:name w:val="Текст сноски Знак"/>
    <w:link w:val="affff2"/>
    <w:uiPriority w:val="99"/>
    <w:rsid w:val="00045010"/>
    <w:rPr>
      <w:rFonts w:ascii="Times New Roman" w:hAnsi="Times New Roman"/>
      <w:lang w:eastAsia="en-US"/>
    </w:rPr>
  </w:style>
  <w:style w:type="paragraph" w:styleId="3d">
    <w:name w:val="Body Text Indent 3"/>
    <w:basedOn w:val="a"/>
    <w:link w:val="3e"/>
    <w:uiPriority w:val="99"/>
    <w:rsid w:val="00045010"/>
    <w:pPr>
      <w:autoSpaceDE w:val="0"/>
      <w:autoSpaceDN w:val="0"/>
      <w:adjustRightInd w:val="0"/>
      <w:spacing w:after="0" w:line="240" w:lineRule="auto"/>
      <w:ind w:firstLine="709"/>
      <w:jc w:val="center"/>
    </w:pPr>
    <w:rPr>
      <w:rFonts w:ascii="Times New Roman" w:hAnsi="Times New Roman"/>
      <w:sz w:val="24"/>
      <w:szCs w:val="24"/>
    </w:rPr>
  </w:style>
  <w:style w:type="character" w:customStyle="1" w:styleId="3e">
    <w:name w:val="Основной текст с отступом 3 Знак"/>
    <w:link w:val="3d"/>
    <w:uiPriority w:val="99"/>
    <w:rsid w:val="00045010"/>
    <w:rPr>
      <w:rFonts w:ascii="Times New Roman" w:hAnsi="Times New Roman"/>
      <w:sz w:val="24"/>
      <w:szCs w:val="24"/>
      <w:lang w:eastAsia="en-US"/>
    </w:rPr>
  </w:style>
  <w:style w:type="paragraph" w:styleId="affff4">
    <w:name w:val="Body Text Indent"/>
    <w:basedOn w:val="a"/>
    <w:link w:val="affff5"/>
    <w:uiPriority w:val="99"/>
    <w:rsid w:val="00045010"/>
    <w:pPr>
      <w:autoSpaceDE w:val="0"/>
      <w:autoSpaceDN w:val="0"/>
      <w:adjustRightInd w:val="0"/>
      <w:spacing w:after="0" w:line="240" w:lineRule="auto"/>
      <w:ind w:firstLine="720"/>
      <w:jc w:val="both"/>
    </w:pPr>
    <w:rPr>
      <w:rFonts w:ascii="Times New Roman" w:hAnsi="Times New Roman"/>
      <w:sz w:val="24"/>
      <w:szCs w:val="24"/>
    </w:rPr>
  </w:style>
  <w:style w:type="character" w:customStyle="1" w:styleId="affff5">
    <w:name w:val="Основной текст с отступом Знак"/>
    <w:link w:val="affff4"/>
    <w:uiPriority w:val="99"/>
    <w:rsid w:val="00045010"/>
    <w:rPr>
      <w:rFonts w:ascii="Times New Roman" w:hAnsi="Times New Roman"/>
      <w:sz w:val="24"/>
      <w:szCs w:val="24"/>
      <w:lang w:eastAsia="en-US"/>
    </w:rPr>
  </w:style>
  <w:style w:type="character" w:customStyle="1" w:styleId="A40">
    <w:name w:val="A4"/>
    <w:uiPriority w:val="99"/>
    <w:rsid w:val="00045010"/>
    <w:rPr>
      <w:color w:val="000000"/>
      <w:sz w:val="22"/>
      <w:szCs w:val="22"/>
    </w:rPr>
  </w:style>
  <w:style w:type="paragraph" w:customStyle="1" w:styleId="Pa6">
    <w:name w:val="Pa6"/>
    <w:basedOn w:val="Default"/>
    <w:next w:val="Default"/>
    <w:uiPriority w:val="99"/>
    <w:rsid w:val="00045010"/>
    <w:pPr>
      <w:spacing w:line="241" w:lineRule="atLeast"/>
    </w:pPr>
    <w:rPr>
      <w:color w:val="auto"/>
    </w:rPr>
  </w:style>
  <w:style w:type="character" w:customStyle="1" w:styleId="A50">
    <w:name w:val="A5"/>
    <w:uiPriority w:val="99"/>
    <w:rsid w:val="00045010"/>
    <w:rPr>
      <w:color w:val="000000"/>
      <w:sz w:val="12"/>
      <w:szCs w:val="12"/>
    </w:rPr>
  </w:style>
  <w:style w:type="paragraph" w:customStyle="1" w:styleId="1110">
    <w:name w:val="Îñíîâíîé òåêñò (11)1"/>
    <w:basedOn w:val="a"/>
    <w:uiPriority w:val="99"/>
    <w:rsid w:val="00045010"/>
    <w:pPr>
      <w:shd w:val="clear" w:color="auto" w:fill="FFFFFF"/>
      <w:autoSpaceDE w:val="0"/>
      <w:autoSpaceDN w:val="0"/>
      <w:adjustRightInd w:val="0"/>
      <w:spacing w:after="0" w:line="240" w:lineRule="atLeast"/>
    </w:pPr>
    <w:rPr>
      <w:rFonts w:ascii="Microsoft Sans Serif" w:hAnsi="Microsoft Sans Serif" w:cs="Microsoft Sans Serif"/>
      <w:i/>
      <w:iCs/>
      <w:noProof/>
      <w:sz w:val="28"/>
      <w:szCs w:val="28"/>
      <w:lang w:val="en-US"/>
    </w:rPr>
  </w:style>
  <w:style w:type="paragraph" w:customStyle="1" w:styleId="59">
    <w:name w:val="Îñíîâíîé òåêñò (5)"/>
    <w:basedOn w:val="a"/>
    <w:uiPriority w:val="99"/>
    <w:rsid w:val="00045010"/>
    <w:pPr>
      <w:shd w:val="clear" w:color="auto" w:fill="FFFFFF"/>
      <w:autoSpaceDE w:val="0"/>
      <w:autoSpaceDN w:val="0"/>
      <w:adjustRightInd w:val="0"/>
      <w:spacing w:after="0" w:line="240" w:lineRule="atLeast"/>
    </w:pPr>
    <w:rPr>
      <w:rFonts w:ascii="Trebuchet MS" w:hAnsi="Trebuchet MS" w:cs="Trebuchet MS"/>
      <w:noProof/>
      <w:sz w:val="11"/>
      <w:szCs w:val="11"/>
      <w:lang w:val="en-US"/>
    </w:rPr>
  </w:style>
  <w:style w:type="character" w:customStyle="1" w:styleId="480">
    <w:name w:val="Îñíîâíîé òåêñò (4) + Íå êóðñèâ8"/>
    <w:uiPriority w:val="99"/>
    <w:rsid w:val="00045010"/>
    <w:rPr>
      <w:rFonts w:ascii="Arial" w:hAnsi="Arial" w:cs="Arial"/>
      <w:i/>
      <w:iCs/>
      <w:sz w:val="16"/>
      <w:szCs w:val="16"/>
    </w:rPr>
  </w:style>
  <w:style w:type="paragraph" w:customStyle="1" w:styleId="4a">
    <w:name w:val="Îñíîâíîé òåêñò (4)"/>
    <w:basedOn w:val="a"/>
    <w:uiPriority w:val="99"/>
    <w:rsid w:val="00045010"/>
    <w:pPr>
      <w:shd w:val="clear" w:color="auto" w:fill="FFFFFF"/>
      <w:autoSpaceDE w:val="0"/>
      <w:autoSpaceDN w:val="0"/>
      <w:adjustRightInd w:val="0"/>
      <w:spacing w:after="120" w:line="191" w:lineRule="exact"/>
      <w:jc w:val="both"/>
    </w:pPr>
    <w:rPr>
      <w:rFonts w:ascii="Arial" w:hAnsi="Arial" w:cs="Arial"/>
      <w:i/>
      <w:iCs/>
      <w:noProof/>
      <w:sz w:val="16"/>
      <w:szCs w:val="16"/>
      <w:lang w:val="en-US"/>
    </w:rPr>
  </w:style>
  <w:style w:type="character" w:customStyle="1" w:styleId="75">
    <w:name w:val="Îñíîâíîé òåêñò + Êóðñèâ7"/>
    <w:uiPriority w:val="99"/>
    <w:rsid w:val="00045010"/>
    <w:rPr>
      <w:rFonts w:ascii="Arial" w:hAnsi="Arial" w:cs="Arial"/>
      <w:i/>
      <w:iCs/>
      <w:spacing w:val="-10"/>
      <w:sz w:val="17"/>
      <w:szCs w:val="17"/>
    </w:rPr>
  </w:style>
  <w:style w:type="character" w:customStyle="1" w:styleId="65">
    <w:name w:val="Îñíîâíîé òåêñò + Êóðñèâ6"/>
    <w:uiPriority w:val="99"/>
    <w:rsid w:val="00045010"/>
    <w:rPr>
      <w:rFonts w:ascii="Arial" w:hAnsi="Arial" w:cs="Arial"/>
      <w:i/>
      <w:iCs/>
      <w:spacing w:val="-10"/>
      <w:sz w:val="16"/>
      <w:szCs w:val="16"/>
    </w:rPr>
  </w:style>
  <w:style w:type="character" w:customStyle="1" w:styleId="470">
    <w:name w:val="Îñíîâíîé òåêñò (4) + Íå êóðñèâ7"/>
    <w:uiPriority w:val="99"/>
    <w:rsid w:val="00045010"/>
    <w:rPr>
      <w:rFonts w:ascii="Arial" w:hAnsi="Arial" w:cs="Arial"/>
      <w:i/>
      <w:iCs/>
      <w:sz w:val="16"/>
      <w:szCs w:val="16"/>
    </w:rPr>
  </w:style>
  <w:style w:type="paragraph" w:customStyle="1" w:styleId="312">
    <w:name w:val="Îñíîâíîé òåêñò (31)"/>
    <w:basedOn w:val="a"/>
    <w:uiPriority w:val="99"/>
    <w:rsid w:val="00045010"/>
    <w:pPr>
      <w:shd w:val="clear" w:color="auto" w:fill="FFFFFF"/>
      <w:autoSpaceDE w:val="0"/>
      <w:autoSpaceDN w:val="0"/>
      <w:adjustRightInd w:val="0"/>
      <w:spacing w:after="0" w:line="518" w:lineRule="exact"/>
      <w:jc w:val="both"/>
    </w:pPr>
    <w:rPr>
      <w:rFonts w:ascii="Microsoft Sans Serif" w:hAnsi="Microsoft Sans Serif" w:cs="Microsoft Sans Serif"/>
      <w:i/>
      <w:iCs/>
      <w:noProof/>
      <w:spacing w:val="10"/>
      <w:sz w:val="35"/>
      <w:szCs w:val="35"/>
      <w:lang w:val="en-US"/>
    </w:rPr>
  </w:style>
  <w:style w:type="paragraph" w:customStyle="1" w:styleId="114">
    <w:name w:val="çàãîëîâîê 11"/>
    <w:basedOn w:val="a"/>
    <w:next w:val="a"/>
    <w:uiPriority w:val="99"/>
    <w:rsid w:val="00045010"/>
    <w:pPr>
      <w:keepNext/>
      <w:autoSpaceDE w:val="0"/>
      <w:autoSpaceDN w:val="0"/>
      <w:adjustRightInd w:val="0"/>
      <w:spacing w:after="0" w:line="240" w:lineRule="auto"/>
      <w:jc w:val="both"/>
    </w:pPr>
    <w:rPr>
      <w:rFonts w:ascii="Times New Roman" w:hAnsi="Times New Roman"/>
      <w:b/>
      <w:bCs/>
      <w:color w:val="0000FF"/>
      <w:sz w:val="16"/>
      <w:szCs w:val="16"/>
    </w:rPr>
  </w:style>
  <w:style w:type="character" w:customStyle="1" w:styleId="affff6">
    <w:name w:val="Îñíîâíîé òåêñò_"/>
    <w:uiPriority w:val="99"/>
    <w:rsid w:val="00045010"/>
    <w:rPr>
      <w:rFonts w:ascii="Microsoft Sans Serif" w:hAnsi="Microsoft Sans Serif" w:cs="Microsoft Sans Serif"/>
      <w:spacing w:val="-10"/>
      <w:sz w:val="29"/>
      <w:szCs w:val="29"/>
    </w:rPr>
  </w:style>
  <w:style w:type="character" w:customStyle="1" w:styleId="320">
    <w:name w:val="Îñíîâíîé òåêñò (32)_"/>
    <w:uiPriority w:val="99"/>
    <w:rsid w:val="00045010"/>
    <w:rPr>
      <w:rFonts w:ascii="Arial Narrow" w:hAnsi="Arial Narrow" w:cs="Arial Narrow"/>
      <w:b/>
      <w:bCs/>
      <w:spacing w:val="-20"/>
      <w:sz w:val="67"/>
      <w:szCs w:val="67"/>
    </w:rPr>
  </w:style>
  <w:style w:type="character" w:customStyle="1" w:styleId="291">
    <w:name w:val="Îñíîâíîé òåêñò (29)_"/>
    <w:uiPriority w:val="99"/>
    <w:rsid w:val="00045010"/>
    <w:rPr>
      <w:rFonts w:ascii="Arial Narrow" w:hAnsi="Arial Narrow" w:cs="Arial Narrow"/>
      <w:i/>
      <w:iCs/>
      <w:sz w:val="15"/>
      <w:szCs w:val="15"/>
    </w:rPr>
  </w:style>
  <w:style w:type="character" w:customStyle="1" w:styleId="313">
    <w:name w:val="Îñíîâíîé òåêñò (31)_"/>
    <w:uiPriority w:val="99"/>
    <w:rsid w:val="00045010"/>
    <w:rPr>
      <w:rFonts w:ascii="Microsoft Sans Serif" w:hAnsi="Microsoft Sans Serif" w:cs="Microsoft Sans Serif"/>
      <w:i/>
      <w:iCs/>
      <w:spacing w:val="10"/>
      <w:sz w:val="35"/>
      <w:szCs w:val="35"/>
    </w:rPr>
  </w:style>
  <w:style w:type="character" w:customStyle="1" w:styleId="301">
    <w:name w:val="Îñíîâíîé òåêñò (30)_"/>
    <w:uiPriority w:val="99"/>
    <w:rsid w:val="00045010"/>
    <w:rPr>
      <w:rFonts w:ascii="Arial" w:hAnsi="Arial" w:cs="Arial"/>
      <w:i/>
      <w:iCs/>
      <w:sz w:val="11"/>
      <w:szCs w:val="11"/>
    </w:rPr>
  </w:style>
  <w:style w:type="paragraph" w:customStyle="1" w:styleId="321">
    <w:name w:val="Îñíîâíîé òåêñò (32)"/>
    <w:basedOn w:val="a"/>
    <w:uiPriority w:val="99"/>
    <w:rsid w:val="00045010"/>
    <w:pPr>
      <w:shd w:val="clear" w:color="auto" w:fill="FFFFFF"/>
      <w:autoSpaceDE w:val="0"/>
      <w:autoSpaceDN w:val="0"/>
      <w:adjustRightInd w:val="0"/>
      <w:spacing w:after="240" w:line="240" w:lineRule="atLeast"/>
    </w:pPr>
    <w:rPr>
      <w:rFonts w:ascii="Arial Narrow" w:hAnsi="Arial Narrow" w:cs="Arial Narrow"/>
      <w:b/>
      <w:bCs/>
      <w:noProof/>
      <w:spacing w:val="-20"/>
      <w:sz w:val="67"/>
      <w:szCs w:val="67"/>
      <w:lang w:val="en-US"/>
    </w:rPr>
  </w:style>
  <w:style w:type="paragraph" w:customStyle="1" w:styleId="292">
    <w:name w:val="Îñíîâíîé òåêñò (29)"/>
    <w:basedOn w:val="a"/>
    <w:uiPriority w:val="99"/>
    <w:rsid w:val="00045010"/>
    <w:pPr>
      <w:shd w:val="clear" w:color="auto" w:fill="FFFFFF"/>
      <w:autoSpaceDE w:val="0"/>
      <w:autoSpaceDN w:val="0"/>
      <w:adjustRightInd w:val="0"/>
      <w:spacing w:after="0" w:line="240" w:lineRule="atLeast"/>
      <w:jc w:val="both"/>
    </w:pPr>
    <w:rPr>
      <w:rFonts w:ascii="Arial Narrow" w:hAnsi="Arial Narrow" w:cs="Arial Narrow"/>
      <w:i/>
      <w:iCs/>
      <w:noProof/>
      <w:sz w:val="15"/>
      <w:szCs w:val="15"/>
      <w:lang w:val="en-US"/>
    </w:rPr>
  </w:style>
  <w:style w:type="paragraph" w:customStyle="1" w:styleId="302">
    <w:name w:val="Îñíîâíîé òåêñò (30)"/>
    <w:basedOn w:val="a"/>
    <w:uiPriority w:val="99"/>
    <w:rsid w:val="00045010"/>
    <w:pPr>
      <w:shd w:val="clear" w:color="auto" w:fill="FFFFFF"/>
      <w:autoSpaceDE w:val="0"/>
      <w:autoSpaceDN w:val="0"/>
      <w:adjustRightInd w:val="0"/>
      <w:spacing w:after="0" w:line="240" w:lineRule="atLeast"/>
      <w:jc w:val="both"/>
    </w:pPr>
    <w:rPr>
      <w:rFonts w:ascii="Arial" w:hAnsi="Arial" w:cs="Arial"/>
      <w:i/>
      <w:iCs/>
      <w:noProof/>
      <w:sz w:val="11"/>
      <w:szCs w:val="11"/>
      <w:lang w:val="en-US"/>
    </w:rPr>
  </w:style>
  <w:style w:type="character" w:customStyle="1" w:styleId="115">
    <w:name w:val="Îñíîâíîé òåêñò (11)"/>
    <w:uiPriority w:val="99"/>
    <w:rsid w:val="00045010"/>
    <w:rPr>
      <w:rFonts w:ascii="Microsoft Sans Serif" w:hAnsi="Microsoft Sans Serif" w:cs="Microsoft Sans Serif"/>
      <w:i/>
      <w:iCs/>
      <w:sz w:val="28"/>
      <w:szCs w:val="28"/>
      <w:u w:val="single"/>
    </w:rPr>
  </w:style>
  <w:style w:type="character" w:customStyle="1" w:styleId="116">
    <w:name w:val="Îñíîâíîé òåêñò (11)_"/>
    <w:uiPriority w:val="99"/>
    <w:rsid w:val="00045010"/>
    <w:rPr>
      <w:rFonts w:ascii="Microsoft Sans Serif" w:hAnsi="Microsoft Sans Serif" w:cs="Microsoft Sans Serif"/>
      <w:i/>
      <w:iCs/>
      <w:sz w:val="28"/>
      <w:szCs w:val="28"/>
    </w:rPr>
  </w:style>
  <w:style w:type="character" w:customStyle="1" w:styleId="111475pt42210pt56">
    <w:name w:val="Îñíîâíîé òåêñò (11) + 147.5 pt42.Íå êóðñèâ21.Èíòåðâàë 0 pt56"/>
    <w:uiPriority w:val="99"/>
    <w:rsid w:val="00045010"/>
    <w:rPr>
      <w:rFonts w:ascii="Microsoft Sans Serif" w:hAnsi="Microsoft Sans Serif" w:cs="Microsoft Sans Serif"/>
      <w:i/>
      <w:iCs/>
      <w:spacing w:val="-10"/>
      <w:sz w:val="29"/>
      <w:szCs w:val="29"/>
    </w:rPr>
  </w:style>
  <w:style w:type="character" w:customStyle="1" w:styleId="14pt11260pt55">
    <w:name w:val="Îñíîâíîé òåêñò + 14 pt11.Êóðñèâ26.Èíòåðâàë 0 pt55"/>
    <w:uiPriority w:val="99"/>
    <w:rsid w:val="00045010"/>
    <w:rPr>
      <w:rFonts w:ascii="Microsoft Sans Serif" w:hAnsi="Microsoft Sans Serif" w:cs="Microsoft Sans Serif"/>
      <w:i/>
      <w:iCs/>
      <w:spacing w:val="0"/>
      <w:sz w:val="28"/>
      <w:szCs w:val="28"/>
    </w:rPr>
  </w:style>
  <w:style w:type="character" w:customStyle="1" w:styleId="111465pt41200pt54">
    <w:name w:val="Îñíîâíîé òåêñò (11) + 146.5 pt41.Íå êóðñèâ20.Èíòåðâàë 0 pt54"/>
    <w:uiPriority w:val="99"/>
    <w:rsid w:val="00045010"/>
    <w:rPr>
      <w:rFonts w:ascii="Microsoft Sans Serif" w:hAnsi="Microsoft Sans Serif" w:cs="Microsoft Sans Serif"/>
      <w:i/>
      <w:iCs/>
      <w:spacing w:val="-10"/>
      <w:sz w:val="29"/>
      <w:szCs w:val="29"/>
    </w:rPr>
  </w:style>
  <w:style w:type="character" w:customStyle="1" w:styleId="111455pt40190pt53">
    <w:name w:val="Îñíîâíîé òåêñò (11) + 145.5 pt40.Íå êóðñèâ19.Èíòåðâàë 0 pt53"/>
    <w:uiPriority w:val="99"/>
    <w:rsid w:val="00045010"/>
    <w:rPr>
      <w:rFonts w:ascii="Microsoft Sans Serif" w:hAnsi="Microsoft Sans Serif" w:cs="Microsoft Sans Serif"/>
      <w:i/>
      <w:iCs/>
      <w:spacing w:val="-10"/>
      <w:sz w:val="29"/>
      <w:szCs w:val="29"/>
    </w:rPr>
  </w:style>
  <w:style w:type="character" w:customStyle="1" w:styleId="1111">
    <w:name w:val="Îñíîâíîé òåêñò (11)11"/>
    <w:uiPriority w:val="99"/>
    <w:rsid w:val="00045010"/>
    <w:rPr>
      <w:rFonts w:ascii="Microsoft Sans Serif" w:hAnsi="Microsoft Sans Serif" w:cs="Microsoft Sans Serif"/>
      <w:i/>
      <w:iCs/>
      <w:sz w:val="28"/>
      <w:szCs w:val="28"/>
      <w:u w:val="single"/>
    </w:rPr>
  </w:style>
  <w:style w:type="character" w:customStyle="1" w:styleId="11SimHei1465pt39180pt52">
    <w:name w:val="Îñíîâíîé òåêñò (11) + SimHei.146.5 pt39.Íå êóðñèâ18.Èíòåðâàë 0 pt52"/>
    <w:uiPriority w:val="99"/>
    <w:rsid w:val="00045010"/>
    <w:rPr>
      <w:rFonts w:ascii="SimHei" w:eastAsia="SimHei" w:hAnsi="Microsoft Sans Serif" w:cs="SimHei"/>
      <w:i/>
      <w:iCs/>
      <w:spacing w:val="-10"/>
      <w:sz w:val="29"/>
      <w:szCs w:val="29"/>
    </w:rPr>
  </w:style>
  <w:style w:type="character" w:customStyle="1" w:styleId="111435pt36120pt48">
    <w:name w:val="Îñíîâíîé òåêñò (11) + 143.5 pt36.Íå êóðñèâ12.Èíòåðâàë 0 pt48"/>
    <w:uiPriority w:val="99"/>
    <w:rsid w:val="00045010"/>
    <w:rPr>
      <w:rFonts w:ascii="Microsoft Sans Serif" w:hAnsi="Microsoft Sans Serif" w:cs="Microsoft Sans Serif"/>
      <w:i/>
      <w:iCs/>
      <w:spacing w:val="-10"/>
      <w:sz w:val="29"/>
      <w:szCs w:val="29"/>
    </w:rPr>
  </w:style>
  <w:style w:type="character" w:customStyle="1" w:styleId="11SimHei21455pt35110pt47">
    <w:name w:val="Îñíîâíîé òåêñò (11) + SimHei2.145.5 pt35.Íå êóðñèâ11.Èíòåðâàë 0 pt47"/>
    <w:uiPriority w:val="99"/>
    <w:rsid w:val="00045010"/>
    <w:rPr>
      <w:rFonts w:ascii="SimHei" w:eastAsia="SimHei" w:hAnsi="Microsoft Sans Serif" w:cs="SimHei"/>
      <w:i/>
      <w:iCs/>
      <w:spacing w:val="-10"/>
      <w:sz w:val="29"/>
      <w:szCs w:val="29"/>
    </w:rPr>
  </w:style>
  <w:style w:type="character" w:customStyle="1" w:styleId="14pt10240pt46">
    <w:name w:val="Îñíîâíîé òåêñò + 14 pt10.Êóðñèâ24.Èíòåðâàë 0 pt46"/>
    <w:uiPriority w:val="99"/>
    <w:rsid w:val="00045010"/>
    <w:rPr>
      <w:rFonts w:ascii="Microsoft Sans Serif" w:hAnsi="Microsoft Sans Serif" w:cs="Microsoft Sans Serif"/>
      <w:i/>
      <w:iCs/>
      <w:spacing w:val="0"/>
      <w:sz w:val="28"/>
      <w:szCs w:val="28"/>
    </w:rPr>
  </w:style>
  <w:style w:type="character" w:customStyle="1" w:styleId="111425pt34100pt45">
    <w:name w:val="Îñíîâíîé òåêñò (11) + 142.5 pt34.Íå êóðñèâ10.Èíòåðâàë 0 pt45"/>
    <w:uiPriority w:val="99"/>
    <w:rsid w:val="00045010"/>
    <w:rPr>
      <w:rFonts w:ascii="Microsoft Sans Serif" w:hAnsi="Microsoft Sans Serif" w:cs="Microsoft Sans Serif"/>
      <w:i/>
      <w:iCs/>
      <w:spacing w:val="-10"/>
      <w:sz w:val="29"/>
      <w:szCs w:val="29"/>
    </w:rPr>
  </w:style>
  <w:style w:type="character" w:customStyle="1" w:styleId="114pt4">
    <w:name w:val="Îñíîâíîé òåêñò (11) + Èíòåðâàë 4 pt4"/>
    <w:uiPriority w:val="99"/>
    <w:rsid w:val="00045010"/>
    <w:rPr>
      <w:rFonts w:ascii="Microsoft Sans Serif" w:hAnsi="Microsoft Sans Serif" w:cs="Microsoft Sans Serif"/>
      <w:i/>
      <w:iCs/>
      <w:spacing w:val="80"/>
      <w:sz w:val="28"/>
      <w:szCs w:val="28"/>
    </w:rPr>
  </w:style>
  <w:style w:type="character" w:customStyle="1" w:styleId="118">
    <w:name w:val="Îñíîâíîé òåêñò (11)8"/>
    <w:uiPriority w:val="99"/>
    <w:rsid w:val="00045010"/>
    <w:rPr>
      <w:rFonts w:ascii="Microsoft Sans Serif" w:hAnsi="Microsoft Sans Serif" w:cs="Microsoft Sans Serif"/>
      <w:i/>
      <w:iCs/>
      <w:sz w:val="28"/>
      <w:szCs w:val="28"/>
    </w:rPr>
  </w:style>
  <w:style w:type="character" w:customStyle="1" w:styleId="114pt3">
    <w:name w:val="Îñíîâíîé òåêñò (11) + Èíòåðâàë 4 pt3"/>
    <w:uiPriority w:val="99"/>
    <w:rsid w:val="00045010"/>
    <w:rPr>
      <w:rFonts w:ascii="Microsoft Sans Serif" w:hAnsi="Microsoft Sans Serif" w:cs="Microsoft Sans Serif"/>
      <w:i/>
      <w:iCs/>
      <w:spacing w:val="80"/>
      <w:sz w:val="28"/>
      <w:szCs w:val="28"/>
    </w:rPr>
  </w:style>
  <w:style w:type="character" w:customStyle="1" w:styleId="117">
    <w:name w:val="Îñíîâíîé òåêñò (11)7"/>
    <w:uiPriority w:val="99"/>
    <w:rsid w:val="00045010"/>
    <w:rPr>
      <w:rFonts w:ascii="Microsoft Sans Serif" w:hAnsi="Microsoft Sans Serif" w:cs="Microsoft Sans Serif"/>
      <w:i/>
      <w:iCs/>
      <w:sz w:val="28"/>
      <w:szCs w:val="28"/>
      <w:u w:val="single"/>
    </w:rPr>
  </w:style>
  <w:style w:type="character" w:customStyle="1" w:styleId="111pt7">
    <w:name w:val="Îñíîâíîé òåêñò (11) + Èíòåðâàë 1 pt7"/>
    <w:uiPriority w:val="99"/>
    <w:rsid w:val="00045010"/>
    <w:rPr>
      <w:rFonts w:ascii="Microsoft Sans Serif" w:hAnsi="Microsoft Sans Serif" w:cs="Microsoft Sans Serif"/>
      <w:i/>
      <w:iCs/>
      <w:spacing w:val="30"/>
      <w:sz w:val="28"/>
      <w:szCs w:val="28"/>
    </w:rPr>
  </w:style>
  <w:style w:type="character" w:customStyle="1" w:styleId="1160">
    <w:name w:val="Îñíîâíîé òåêñò (11)6"/>
    <w:uiPriority w:val="99"/>
    <w:rsid w:val="00045010"/>
    <w:rPr>
      <w:rFonts w:ascii="Microsoft Sans Serif" w:hAnsi="Microsoft Sans Serif" w:cs="Microsoft Sans Serif"/>
      <w:i/>
      <w:iCs/>
      <w:sz w:val="28"/>
      <w:szCs w:val="28"/>
      <w:u w:val="single"/>
    </w:rPr>
  </w:style>
  <w:style w:type="character" w:customStyle="1" w:styleId="1150">
    <w:name w:val="Îñíîâíîé òåêñò (11)5"/>
    <w:uiPriority w:val="99"/>
    <w:rsid w:val="00045010"/>
    <w:rPr>
      <w:rFonts w:ascii="Microsoft Sans Serif" w:hAnsi="Microsoft Sans Serif" w:cs="Microsoft Sans Serif"/>
      <w:i/>
      <w:iCs/>
      <w:sz w:val="28"/>
      <w:szCs w:val="28"/>
    </w:rPr>
  </w:style>
  <w:style w:type="character" w:customStyle="1" w:styleId="114pt2">
    <w:name w:val="Îñíîâíîé òåêñò (11) + Èíòåðâàë 4 pt2"/>
    <w:uiPriority w:val="99"/>
    <w:rsid w:val="00045010"/>
    <w:rPr>
      <w:rFonts w:ascii="Microsoft Sans Serif" w:hAnsi="Microsoft Sans Serif" w:cs="Microsoft Sans Serif"/>
      <w:i/>
      <w:iCs/>
      <w:spacing w:val="80"/>
      <w:sz w:val="28"/>
      <w:szCs w:val="28"/>
    </w:rPr>
  </w:style>
  <w:style w:type="character" w:customStyle="1" w:styleId="111pt6">
    <w:name w:val="Îñíîâíîé òåêñò (11) + Èíòåðâàë 1 pt6"/>
    <w:uiPriority w:val="99"/>
    <w:rsid w:val="00045010"/>
    <w:rPr>
      <w:rFonts w:ascii="Microsoft Sans Serif" w:hAnsi="Microsoft Sans Serif" w:cs="Microsoft Sans Serif"/>
      <w:i/>
      <w:iCs/>
      <w:spacing w:val="30"/>
      <w:sz w:val="28"/>
      <w:szCs w:val="28"/>
    </w:rPr>
  </w:style>
  <w:style w:type="character" w:customStyle="1" w:styleId="111pt5">
    <w:name w:val="Îñíîâíîé òåêñò (11) + Èíòåðâàë 1 pt5"/>
    <w:uiPriority w:val="99"/>
    <w:rsid w:val="00045010"/>
    <w:rPr>
      <w:rFonts w:ascii="Microsoft Sans Serif" w:hAnsi="Microsoft Sans Serif" w:cs="Microsoft Sans Serif"/>
      <w:i/>
      <w:iCs/>
      <w:spacing w:val="30"/>
      <w:sz w:val="28"/>
      <w:szCs w:val="28"/>
    </w:rPr>
  </w:style>
  <w:style w:type="character" w:customStyle="1" w:styleId="14pt9230pt44">
    <w:name w:val="Îñíîâíîé òåêñò + 14 pt9.Êóðñèâ23.Èíòåðâàë 0 pt44"/>
    <w:uiPriority w:val="99"/>
    <w:rsid w:val="00045010"/>
    <w:rPr>
      <w:rFonts w:ascii="Microsoft Sans Serif" w:hAnsi="Microsoft Sans Serif" w:cs="Microsoft Sans Serif"/>
      <w:i/>
      <w:iCs/>
      <w:spacing w:val="0"/>
      <w:sz w:val="28"/>
      <w:szCs w:val="28"/>
    </w:rPr>
  </w:style>
  <w:style w:type="character" w:customStyle="1" w:styleId="114pt1">
    <w:name w:val="Îñíîâíîé òåêñò (11) + Èíòåðâàë 4 pt1"/>
    <w:uiPriority w:val="99"/>
    <w:rsid w:val="00045010"/>
    <w:rPr>
      <w:rFonts w:ascii="Microsoft Sans Serif" w:hAnsi="Microsoft Sans Serif" w:cs="Microsoft Sans Serif"/>
      <w:i/>
      <w:iCs/>
      <w:spacing w:val="80"/>
      <w:sz w:val="28"/>
      <w:szCs w:val="28"/>
    </w:rPr>
  </w:style>
  <w:style w:type="character" w:customStyle="1" w:styleId="111pt4">
    <w:name w:val="Îñíîâíîé òåêñò (11) + Èíòåðâàë 1 pt4"/>
    <w:uiPriority w:val="99"/>
    <w:rsid w:val="00045010"/>
    <w:rPr>
      <w:rFonts w:ascii="Microsoft Sans Serif" w:hAnsi="Microsoft Sans Serif" w:cs="Microsoft Sans Serif"/>
      <w:i/>
      <w:iCs/>
      <w:spacing w:val="30"/>
      <w:sz w:val="28"/>
      <w:szCs w:val="28"/>
    </w:rPr>
  </w:style>
  <w:style w:type="character" w:customStyle="1" w:styleId="1140">
    <w:name w:val="Îñíîâíîé òåêñò (11)4"/>
    <w:uiPriority w:val="99"/>
    <w:rsid w:val="00045010"/>
    <w:rPr>
      <w:rFonts w:ascii="Microsoft Sans Serif" w:hAnsi="Microsoft Sans Serif" w:cs="Microsoft Sans Serif"/>
      <w:i/>
      <w:iCs/>
      <w:sz w:val="28"/>
      <w:szCs w:val="28"/>
    </w:rPr>
  </w:style>
  <w:style w:type="character" w:customStyle="1" w:styleId="111pt3">
    <w:name w:val="Îñíîâíîé òåêñò (11) + Èíòåðâàë 1 pt3"/>
    <w:uiPriority w:val="99"/>
    <w:rsid w:val="00045010"/>
    <w:rPr>
      <w:rFonts w:ascii="Microsoft Sans Serif" w:hAnsi="Microsoft Sans Serif" w:cs="Microsoft Sans Serif"/>
      <w:i/>
      <w:iCs/>
      <w:spacing w:val="30"/>
      <w:sz w:val="28"/>
      <w:szCs w:val="28"/>
    </w:rPr>
  </w:style>
  <w:style w:type="character" w:customStyle="1" w:styleId="11SimHei1175pt339-2pt">
    <w:name w:val="Îñíîâíîé òåêñò (11) + SimHei1.17.5 pt33.Íå êóðñèâ9.Èíòåðâàë -2 pt"/>
    <w:uiPriority w:val="99"/>
    <w:rsid w:val="00045010"/>
    <w:rPr>
      <w:rFonts w:ascii="SimHei" w:eastAsia="SimHei" w:hAnsi="Microsoft Sans Serif" w:cs="SimHei"/>
      <w:i/>
      <w:iCs/>
      <w:spacing w:val="-40"/>
      <w:sz w:val="35"/>
      <w:szCs w:val="35"/>
    </w:rPr>
  </w:style>
  <w:style w:type="character" w:customStyle="1" w:styleId="111415pt3180pt43">
    <w:name w:val="Îñíîâíîé òåêñò (11) + 141.5 pt31.Íå êóðñèâ8.Èíòåðâàë 0 pt43"/>
    <w:uiPriority w:val="99"/>
    <w:rsid w:val="00045010"/>
    <w:rPr>
      <w:rFonts w:ascii="Microsoft Sans Serif" w:hAnsi="Microsoft Sans Serif" w:cs="Microsoft Sans Serif"/>
      <w:i/>
      <w:iCs/>
      <w:spacing w:val="-10"/>
      <w:sz w:val="29"/>
      <w:szCs w:val="29"/>
    </w:rPr>
  </w:style>
  <w:style w:type="character" w:customStyle="1" w:styleId="1130">
    <w:name w:val="Îñíîâíîé òåêñò (11)3"/>
    <w:uiPriority w:val="99"/>
    <w:rsid w:val="00045010"/>
    <w:rPr>
      <w:rFonts w:ascii="Microsoft Sans Serif" w:hAnsi="Microsoft Sans Serif" w:cs="Microsoft Sans Serif"/>
      <w:i/>
      <w:iCs/>
      <w:sz w:val="28"/>
      <w:szCs w:val="28"/>
    </w:rPr>
  </w:style>
  <w:style w:type="character" w:customStyle="1" w:styleId="320pt">
    <w:name w:val="Îñíîâíîé òåêñò (32) + Èíòåðâàë 0 pt"/>
    <w:uiPriority w:val="99"/>
    <w:rsid w:val="00045010"/>
    <w:rPr>
      <w:rFonts w:ascii="Arial Narrow" w:hAnsi="Arial Narrow" w:cs="Arial Narrow"/>
      <w:b/>
      <w:bCs/>
      <w:spacing w:val="0"/>
      <w:sz w:val="67"/>
      <w:szCs w:val="67"/>
    </w:rPr>
  </w:style>
  <w:style w:type="character" w:customStyle="1" w:styleId="1425pt220pt33">
    <w:name w:val="Çàãîëîâîê ¹1 + 42.5 pt22.Èíòåðâàë 0 pt33"/>
    <w:uiPriority w:val="99"/>
    <w:rsid w:val="00045010"/>
    <w:rPr>
      <w:rFonts w:ascii="Arial Narrow" w:hAnsi="Arial Narrow" w:cs="Arial Narrow"/>
      <w:b/>
      <w:bCs/>
      <w:spacing w:val="0"/>
      <w:sz w:val="85"/>
      <w:szCs w:val="85"/>
    </w:rPr>
  </w:style>
  <w:style w:type="character" w:customStyle="1" w:styleId="1f0">
    <w:name w:val="Çàãîëîâîê ¹1_"/>
    <w:uiPriority w:val="99"/>
    <w:rsid w:val="00045010"/>
    <w:rPr>
      <w:rFonts w:ascii="Arial Narrow" w:hAnsi="Arial Narrow" w:cs="Arial Narrow"/>
      <w:b/>
      <w:bCs/>
      <w:spacing w:val="-10"/>
      <w:sz w:val="104"/>
      <w:szCs w:val="104"/>
    </w:rPr>
  </w:style>
  <w:style w:type="character" w:customStyle="1" w:styleId="14pt7110pt32">
    <w:name w:val="Îñíîâíîé òåêñò + 14 pt7.Êóðñèâ11.Èíòåðâàë 0 pt32"/>
    <w:uiPriority w:val="99"/>
    <w:rsid w:val="00045010"/>
    <w:rPr>
      <w:rFonts w:ascii="Microsoft Sans Serif" w:hAnsi="Microsoft Sans Serif" w:cs="Microsoft Sans Serif"/>
      <w:i/>
      <w:iCs/>
      <w:spacing w:val="0"/>
      <w:sz w:val="28"/>
      <w:szCs w:val="28"/>
    </w:rPr>
  </w:style>
  <w:style w:type="character" w:customStyle="1" w:styleId="14pt6101pt4">
    <w:name w:val="Îñíîâíîé òåêñò + 14 pt6.Êóðñèâ10.Èíòåðâàë 1 pt4"/>
    <w:uiPriority w:val="99"/>
    <w:rsid w:val="00045010"/>
    <w:rPr>
      <w:rFonts w:ascii="Microsoft Sans Serif" w:hAnsi="Microsoft Sans Serif" w:cs="Microsoft Sans Serif"/>
      <w:i/>
      <w:iCs/>
      <w:spacing w:val="30"/>
      <w:sz w:val="28"/>
      <w:szCs w:val="28"/>
    </w:rPr>
  </w:style>
  <w:style w:type="character" w:customStyle="1" w:styleId="16pt-1pt4">
    <w:name w:val="Îñíîâíîé òåêñò + 16 pt.Èíòåðâàë -1 pt4"/>
    <w:uiPriority w:val="99"/>
    <w:rsid w:val="00045010"/>
    <w:rPr>
      <w:rFonts w:ascii="Microsoft Sans Serif" w:hAnsi="Microsoft Sans Serif" w:cs="Microsoft Sans Serif"/>
      <w:spacing w:val="-20"/>
      <w:sz w:val="32"/>
      <w:szCs w:val="32"/>
    </w:rPr>
  </w:style>
  <w:style w:type="character" w:customStyle="1" w:styleId="14pt590pt31">
    <w:name w:val="Îñíîâíîé òåêñò + 14 pt5.Êóðñèâ9.Èíòåðâàë 0 pt31"/>
    <w:uiPriority w:val="99"/>
    <w:rsid w:val="00045010"/>
    <w:rPr>
      <w:rFonts w:ascii="Microsoft Sans Serif" w:hAnsi="Microsoft Sans Serif" w:cs="Microsoft Sans Serif"/>
      <w:i/>
      <w:iCs/>
      <w:spacing w:val="0"/>
      <w:sz w:val="28"/>
      <w:szCs w:val="28"/>
    </w:rPr>
  </w:style>
  <w:style w:type="character" w:customStyle="1" w:styleId="142">
    <w:name w:val="Îñíîâíîé òåêñò (14)_"/>
    <w:uiPriority w:val="99"/>
    <w:rsid w:val="00045010"/>
    <w:rPr>
      <w:rFonts w:ascii="Franklin Gothic Demi" w:hAnsi="Franklin Gothic Demi" w:cs="Franklin Gothic Demi"/>
      <w:sz w:val="26"/>
      <w:szCs w:val="26"/>
    </w:rPr>
  </w:style>
  <w:style w:type="character" w:customStyle="1" w:styleId="111pt2">
    <w:name w:val="Îñíîâíîé òåêñò (11) + Èíòåðâàë 1 pt2"/>
    <w:uiPriority w:val="99"/>
    <w:rsid w:val="00045010"/>
    <w:rPr>
      <w:rFonts w:ascii="Microsoft Sans Serif" w:hAnsi="Microsoft Sans Serif" w:cs="Microsoft Sans Serif"/>
      <w:i/>
      <w:iCs/>
      <w:spacing w:val="30"/>
      <w:sz w:val="28"/>
      <w:szCs w:val="28"/>
    </w:rPr>
  </w:style>
  <w:style w:type="character" w:customStyle="1" w:styleId="1120">
    <w:name w:val="Îñíîâíîé òåêñò (11)2"/>
    <w:uiPriority w:val="99"/>
    <w:rsid w:val="00045010"/>
    <w:rPr>
      <w:rFonts w:ascii="Microsoft Sans Serif" w:hAnsi="Microsoft Sans Serif" w:cs="Microsoft Sans Serif"/>
      <w:i/>
      <w:iCs/>
      <w:spacing w:val="0"/>
      <w:sz w:val="28"/>
      <w:szCs w:val="28"/>
    </w:rPr>
  </w:style>
  <w:style w:type="character" w:customStyle="1" w:styleId="15pt880pt30">
    <w:name w:val="Îñíîâíîé òåêñò + 15 pt.Ïîëóæèðíûé8.Êóðñèâ8.Èíòåðâàë 0 pt30"/>
    <w:uiPriority w:val="99"/>
    <w:rsid w:val="00045010"/>
    <w:rPr>
      <w:rFonts w:ascii="Microsoft Sans Serif" w:hAnsi="Microsoft Sans Serif" w:cs="Microsoft Sans Serif"/>
      <w:b/>
      <w:bCs/>
      <w:i/>
      <w:iCs/>
      <w:spacing w:val="10"/>
      <w:sz w:val="30"/>
      <w:szCs w:val="30"/>
    </w:rPr>
  </w:style>
  <w:style w:type="character" w:customStyle="1" w:styleId="15pt2771pt3">
    <w:name w:val="Îñíîâíîé òåêñò + 15 pt2.Ïîëóæèðíûé7.Êóðñèâ7.Èíòåðâàë 1 pt3"/>
    <w:uiPriority w:val="99"/>
    <w:rsid w:val="00045010"/>
    <w:rPr>
      <w:rFonts w:ascii="Microsoft Sans Serif" w:hAnsi="Microsoft Sans Serif" w:cs="Microsoft Sans Serif"/>
      <w:b/>
      <w:bCs/>
      <w:i/>
      <w:iCs/>
      <w:spacing w:val="30"/>
      <w:sz w:val="30"/>
      <w:szCs w:val="30"/>
    </w:rPr>
  </w:style>
  <w:style w:type="character" w:customStyle="1" w:styleId="14pt460pt29">
    <w:name w:val="Îñíîâíîé òåêñò + 14 pt4.Êóðñèâ6.Èíòåðâàë 0 pt29"/>
    <w:uiPriority w:val="99"/>
    <w:rsid w:val="00045010"/>
    <w:rPr>
      <w:rFonts w:ascii="Microsoft Sans Serif" w:hAnsi="Microsoft Sans Serif" w:cs="Microsoft Sans Serif"/>
      <w:i/>
      <w:iCs/>
      <w:spacing w:val="0"/>
      <w:sz w:val="28"/>
      <w:szCs w:val="28"/>
    </w:rPr>
  </w:style>
  <w:style w:type="character" w:customStyle="1" w:styleId="0pt18">
    <w:name w:val="Îñíîâíîé òåêñò + Êóðñèâ.Èíòåðâàë 0 pt18"/>
    <w:uiPriority w:val="99"/>
    <w:rsid w:val="00045010"/>
    <w:rPr>
      <w:rFonts w:ascii="Arial" w:hAnsi="Arial" w:cs="Arial"/>
      <w:i/>
      <w:iCs/>
      <w:spacing w:val="-10"/>
      <w:sz w:val="16"/>
      <w:szCs w:val="16"/>
    </w:rPr>
  </w:style>
  <w:style w:type="character" w:customStyle="1" w:styleId="2f1">
    <w:name w:val="Ïîäïèñü ê òàáëèöå (2)"/>
    <w:uiPriority w:val="99"/>
    <w:rsid w:val="00045010"/>
    <w:rPr>
      <w:rFonts w:ascii="Arial" w:hAnsi="Arial" w:cs="Arial"/>
      <w:sz w:val="14"/>
      <w:szCs w:val="14"/>
      <w:u w:val="single"/>
    </w:rPr>
  </w:style>
  <w:style w:type="character" w:customStyle="1" w:styleId="2f2">
    <w:name w:val="Ïîäïèñü ê òàáëèöå (2)_"/>
    <w:uiPriority w:val="99"/>
    <w:rsid w:val="00045010"/>
    <w:rPr>
      <w:rFonts w:ascii="Arial" w:hAnsi="Arial" w:cs="Arial"/>
      <w:sz w:val="14"/>
      <w:szCs w:val="14"/>
    </w:rPr>
  </w:style>
  <w:style w:type="character" w:customStyle="1" w:styleId="710">
    <w:name w:val="Îñíîâíîé òåêñò (7)10"/>
    <w:uiPriority w:val="99"/>
    <w:rsid w:val="00045010"/>
    <w:rPr>
      <w:rFonts w:ascii="Arial" w:hAnsi="Arial" w:cs="Arial"/>
      <w:i/>
      <w:iCs/>
      <w:spacing w:val="-10"/>
      <w:sz w:val="16"/>
      <w:szCs w:val="16"/>
      <w:u w:val="single"/>
    </w:rPr>
  </w:style>
  <w:style w:type="character" w:customStyle="1" w:styleId="76">
    <w:name w:val="Îñíîâíîé òåêñò (7)_"/>
    <w:uiPriority w:val="99"/>
    <w:rsid w:val="00045010"/>
    <w:rPr>
      <w:rFonts w:ascii="Arial" w:hAnsi="Arial" w:cs="Arial"/>
      <w:i/>
      <w:iCs/>
      <w:spacing w:val="-10"/>
      <w:sz w:val="16"/>
      <w:szCs w:val="16"/>
    </w:rPr>
  </w:style>
  <w:style w:type="character" w:customStyle="1" w:styleId="15ArialNarrow18">
    <w:name w:val="Îñíîâíîé òåêñò (15) + Arial Narrow.Êóðñèâ18"/>
    <w:uiPriority w:val="99"/>
    <w:rsid w:val="00045010"/>
    <w:rPr>
      <w:rFonts w:ascii="Arial Narrow" w:hAnsi="Arial Narrow" w:cs="Arial Narrow"/>
      <w:i/>
      <w:iCs/>
      <w:spacing w:val="0"/>
      <w:sz w:val="15"/>
      <w:szCs w:val="15"/>
    </w:rPr>
  </w:style>
  <w:style w:type="character" w:customStyle="1" w:styleId="151">
    <w:name w:val="Îñíîâíîé òåêñò (15)_"/>
    <w:uiPriority w:val="99"/>
    <w:rsid w:val="00045010"/>
    <w:rPr>
      <w:rFonts w:ascii="Garamond" w:hAnsi="Garamond" w:cs="Garamond"/>
      <w:sz w:val="13"/>
      <w:szCs w:val="13"/>
    </w:rPr>
  </w:style>
  <w:style w:type="character" w:customStyle="1" w:styleId="29Arial">
    <w:name w:val="Îñíîâíîé òåêñò (29) + Arial.Íå êóðñèâ"/>
    <w:uiPriority w:val="99"/>
    <w:rsid w:val="00045010"/>
    <w:rPr>
      <w:rFonts w:ascii="Arial" w:hAnsi="Arial" w:cs="Arial"/>
      <w:i/>
      <w:iCs/>
      <w:sz w:val="15"/>
      <w:szCs w:val="15"/>
    </w:rPr>
  </w:style>
  <w:style w:type="character" w:customStyle="1" w:styleId="3f">
    <w:name w:val="Ïîäïèñü ê òàáëèöå (3)"/>
    <w:uiPriority w:val="99"/>
    <w:rsid w:val="00045010"/>
    <w:rPr>
      <w:rFonts w:ascii="Arial" w:hAnsi="Arial" w:cs="Arial"/>
      <w:i/>
      <w:iCs/>
      <w:spacing w:val="-10"/>
      <w:sz w:val="16"/>
      <w:szCs w:val="16"/>
      <w:u w:val="single"/>
    </w:rPr>
  </w:style>
  <w:style w:type="character" w:customStyle="1" w:styleId="3f0">
    <w:name w:val="Ïîäïèñü ê òàáëèöå (3)_"/>
    <w:uiPriority w:val="99"/>
    <w:rsid w:val="00045010"/>
    <w:rPr>
      <w:rFonts w:ascii="Arial" w:hAnsi="Arial" w:cs="Arial"/>
      <w:i/>
      <w:iCs/>
      <w:spacing w:val="-10"/>
      <w:sz w:val="16"/>
      <w:szCs w:val="16"/>
    </w:rPr>
  </w:style>
  <w:style w:type="character" w:customStyle="1" w:styleId="79">
    <w:name w:val="Îñíîâíîé òåêñò (7)9"/>
    <w:uiPriority w:val="99"/>
    <w:rsid w:val="00045010"/>
    <w:rPr>
      <w:rFonts w:ascii="Arial" w:hAnsi="Arial" w:cs="Arial"/>
      <w:i/>
      <w:iCs/>
      <w:spacing w:val="-10"/>
      <w:sz w:val="16"/>
      <w:szCs w:val="16"/>
      <w:u w:val="single"/>
    </w:rPr>
  </w:style>
  <w:style w:type="character" w:customStyle="1" w:styleId="111425pt34100pt4529Arial37pt3">
    <w:name w:val="Îñíîâíîé òåêñò (11) + 142.5 pt34.Íå êóðñèâ10.Èíòåðâàë 0 pt45.Îñíîâíîé òåêñò (29) + Arial3.7 pt3"/>
    <w:uiPriority w:val="99"/>
    <w:rsid w:val="00045010"/>
    <w:rPr>
      <w:rFonts w:ascii="Microsoft Sans Serif" w:hAnsi="Microsoft Sans Serif" w:cs="Microsoft Sans Serif"/>
      <w:i/>
      <w:iCs/>
      <w:spacing w:val="-10"/>
      <w:sz w:val="29"/>
      <w:szCs w:val="29"/>
    </w:rPr>
  </w:style>
  <w:style w:type="character" w:customStyle="1" w:styleId="28ArialNarrow75pt2617">
    <w:name w:val="Îñíîâíîé òåêñò (28) + Arial Narrow.7.5 pt26.Êóðñèâ17"/>
    <w:uiPriority w:val="99"/>
    <w:rsid w:val="00045010"/>
    <w:rPr>
      <w:rFonts w:ascii="Arial Narrow" w:hAnsi="Arial Narrow" w:cs="Arial Narrow"/>
      <w:i/>
      <w:iCs/>
      <w:sz w:val="15"/>
      <w:szCs w:val="15"/>
    </w:rPr>
  </w:style>
  <w:style w:type="character" w:customStyle="1" w:styleId="282">
    <w:name w:val="Îñíîâíîé òåêñò (28)_"/>
    <w:uiPriority w:val="99"/>
    <w:rsid w:val="00045010"/>
    <w:rPr>
      <w:rFonts w:ascii="Arial" w:hAnsi="Arial" w:cs="Arial"/>
      <w:sz w:val="14"/>
      <w:szCs w:val="14"/>
    </w:rPr>
  </w:style>
  <w:style w:type="character" w:customStyle="1" w:styleId="11SimHei1175pt339-2pt785pt250pt17">
    <w:name w:val="Îñíîâíîé òåêñò (11) + SimHei1.17.5 pt33.Íå êóðñèâ9.Èíòåðâàë -2 pt.Îñíîâíîé òåêñò (7) + 8.5 pt25.Èíòåðâàë 0 pt17"/>
    <w:uiPriority w:val="99"/>
    <w:rsid w:val="00045010"/>
    <w:rPr>
      <w:rFonts w:ascii="SimHei" w:eastAsia="SimHei" w:cs="SimHei"/>
      <w:i/>
      <w:iCs/>
      <w:spacing w:val="-40"/>
      <w:sz w:val="35"/>
      <w:szCs w:val="35"/>
    </w:rPr>
  </w:style>
  <w:style w:type="character" w:customStyle="1" w:styleId="78">
    <w:name w:val="Îñíîâíîé òåêñò (7)8"/>
    <w:uiPriority w:val="99"/>
    <w:rsid w:val="00045010"/>
    <w:rPr>
      <w:rFonts w:ascii="Arial" w:hAnsi="Arial" w:cs="Arial"/>
      <w:i/>
      <w:iCs/>
      <w:spacing w:val="-10"/>
      <w:sz w:val="16"/>
      <w:szCs w:val="16"/>
      <w:u w:val="single"/>
    </w:rPr>
  </w:style>
  <w:style w:type="character" w:customStyle="1" w:styleId="314">
    <w:name w:val="Îñíîâíîé òåêñò (31) + Êóðñèâ"/>
    <w:uiPriority w:val="99"/>
    <w:rsid w:val="00045010"/>
    <w:rPr>
      <w:rFonts w:ascii="Arial" w:hAnsi="Arial" w:cs="Arial"/>
      <w:i/>
      <w:iCs/>
      <w:spacing w:val="0"/>
      <w:sz w:val="11"/>
      <w:szCs w:val="11"/>
    </w:rPr>
  </w:style>
  <w:style w:type="character" w:customStyle="1" w:styleId="303">
    <w:name w:val="Îñíîâíîé òåêñò (30) + Íå êóðñèâ"/>
    <w:uiPriority w:val="99"/>
    <w:rsid w:val="00045010"/>
    <w:rPr>
      <w:rFonts w:ascii="Arial" w:hAnsi="Arial" w:cs="Arial"/>
      <w:i/>
      <w:iCs/>
      <w:sz w:val="11"/>
      <w:szCs w:val="11"/>
    </w:rPr>
  </w:style>
  <w:style w:type="character" w:customStyle="1" w:styleId="85pt2415">
    <w:name w:val="Îñíîâíîé òåêñò + 8.5 pt24.Ïîëóæèðíûé15"/>
    <w:uiPriority w:val="99"/>
    <w:rsid w:val="00045010"/>
    <w:rPr>
      <w:rFonts w:ascii="Arial" w:hAnsi="Arial" w:cs="Arial"/>
      <w:b/>
      <w:bCs/>
      <w:spacing w:val="0"/>
      <w:sz w:val="17"/>
      <w:szCs w:val="17"/>
    </w:rPr>
  </w:style>
  <w:style w:type="character" w:customStyle="1" w:styleId="20pt15">
    <w:name w:val="Îñíîâíîé òåêñò + Êóðñèâ2.Èíòåðâàë 0 pt15"/>
    <w:uiPriority w:val="99"/>
    <w:rsid w:val="00045010"/>
    <w:rPr>
      <w:rFonts w:ascii="Arial" w:hAnsi="Arial" w:cs="Arial"/>
      <w:i/>
      <w:iCs/>
      <w:spacing w:val="-10"/>
      <w:sz w:val="16"/>
      <w:szCs w:val="16"/>
    </w:rPr>
  </w:style>
  <w:style w:type="character" w:customStyle="1" w:styleId="3010">
    <w:name w:val="Îñíîâíîé òåêñò (30) + Íå êóðñèâ1"/>
    <w:uiPriority w:val="99"/>
    <w:rsid w:val="00045010"/>
    <w:rPr>
      <w:rFonts w:ascii="Arial" w:hAnsi="Arial" w:cs="Arial"/>
      <w:i/>
      <w:iCs/>
      <w:sz w:val="11"/>
      <w:szCs w:val="11"/>
    </w:rPr>
  </w:style>
  <w:style w:type="character" w:customStyle="1" w:styleId="3110">
    <w:name w:val="Îñíîâíîé òåêñò (31) + Êóðñèâ1"/>
    <w:uiPriority w:val="99"/>
    <w:rsid w:val="00045010"/>
    <w:rPr>
      <w:rFonts w:ascii="Arial" w:hAnsi="Arial" w:cs="Arial"/>
      <w:i/>
      <w:iCs/>
      <w:spacing w:val="0"/>
      <w:sz w:val="11"/>
      <w:szCs w:val="11"/>
    </w:rPr>
  </w:style>
  <w:style w:type="character" w:customStyle="1" w:styleId="295pt232-1pt67TimesNewRoman910pt14">
    <w:name w:val="Îñíîâíîé òåêñò (2) + 9.5 pt23.Íå êóðñèâ2.Èíòåðâàë -1 pt6.Îñíîâíîé òåêñò (7) + Times New Roman.91.Èíòåðâàë 0 pt14"/>
    <w:uiPriority w:val="99"/>
    <w:rsid w:val="00045010"/>
    <w:rPr>
      <w:rFonts w:ascii="Microsoft Sans Serif" w:hAnsi="Microsoft Sans Serif" w:cs="Microsoft Sans Serif"/>
      <w:i/>
      <w:iCs/>
      <w:spacing w:val="-20"/>
      <w:sz w:val="19"/>
      <w:szCs w:val="19"/>
    </w:rPr>
  </w:style>
  <w:style w:type="character" w:customStyle="1" w:styleId="70pt13">
    <w:name w:val="Îñíîâíîé òåêñò (7) + Íå êóðñèâ.Èíòåðâàë 0 pt13"/>
    <w:uiPriority w:val="99"/>
    <w:rsid w:val="00045010"/>
    <w:rPr>
      <w:rFonts w:ascii="Arial" w:hAnsi="Arial" w:cs="Arial"/>
      <w:i/>
      <w:iCs/>
      <w:spacing w:val="0"/>
      <w:sz w:val="16"/>
      <w:szCs w:val="16"/>
    </w:rPr>
  </w:style>
  <w:style w:type="character" w:customStyle="1" w:styleId="77">
    <w:name w:val="Îñíîâíîé òåêñò (7)7"/>
    <w:uiPriority w:val="99"/>
    <w:rsid w:val="00045010"/>
    <w:rPr>
      <w:rFonts w:ascii="Arial" w:hAnsi="Arial" w:cs="Arial"/>
      <w:i/>
      <w:iCs/>
      <w:spacing w:val="-10"/>
      <w:sz w:val="16"/>
      <w:szCs w:val="16"/>
      <w:u w:val="single"/>
    </w:rPr>
  </w:style>
  <w:style w:type="character" w:customStyle="1" w:styleId="1425pt220pt337SimHei7100pt12">
    <w:name w:val="Çàãîëîâîê ¹1 + 42.5 pt22.Èíòåðâàë 0 pt33.Îñíîâíîé òåêñò (7) + SimHei.710.Èíòåðâàë 0 pt12"/>
    <w:uiPriority w:val="99"/>
    <w:rsid w:val="00045010"/>
    <w:rPr>
      <w:rFonts w:ascii="Arial Narrow" w:hAnsi="Arial Narrow" w:cs="Arial Narrow"/>
      <w:b/>
      <w:bCs/>
      <w:spacing w:val="0"/>
      <w:sz w:val="85"/>
      <w:szCs w:val="85"/>
    </w:rPr>
  </w:style>
  <w:style w:type="character" w:customStyle="1" w:styleId="760">
    <w:name w:val="Îñíîâíîé òåêñò (7)6"/>
    <w:uiPriority w:val="99"/>
    <w:rsid w:val="00045010"/>
    <w:rPr>
      <w:rFonts w:ascii="Arial" w:hAnsi="Arial" w:cs="Arial"/>
      <w:i/>
      <w:iCs/>
      <w:spacing w:val="-10"/>
      <w:sz w:val="16"/>
      <w:szCs w:val="16"/>
      <w:u w:val="single"/>
    </w:rPr>
  </w:style>
  <w:style w:type="character" w:customStyle="1" w:styleId="720pt11">
    <w:name w:val="Îñíîâíîé òåêñò (7) + Íå êóðñèâ2.Èíòåðâàë 0 pt11"/>
    <w:uiPriority w:val="99"/>
    <w:rsid w:val="00045010"/>
    <w:rPr>
      <w:rFonts w:ascii="Arial" w:hAnsi="Arial" w:cs="Arial"/>
      <w:i/>
      <w:iCs/>
      <w:spacing w:val="0"/>
      <w:sz w:val="16"/>
      <w:szCs w:val="16"/>
    </w:rPr>
  </w:style>
  <w:style w:type="character" w:customStyle="1" w:styleId="750">
    <w:name w:val="Îñíîâíîé òåêñò (7)5"/>
    <w:uiPriority w:val="99"/>
    <w:rsid w:val="00045010"/>
    <w:rPr>
      <w:rFonts w:ascii="Arial" w:hAnsi="Arial" w:cs="Arial"/>
      <w:i/>
      <w:iCs/>
      <w:spacing w:val="-10"/>
      <w:sz w:val="16"/>
      <w:szCs w:val="16"/>
      <w:u w:val="single"/>
    </w:rPr>
  </w:style>
  <w:style w:type="character" w:customStyle="1" w:styleId="740">
    <w:name w:val="Îñíîâíîé òåêñò (7)4"/>
    <w:uiPriority w:val="99"/>
    <w:rsid w:val="00045010"/>
    <w:rPr>
      <w:rFonts w:ascii="Arial" w:hAnsi="Arial" w:cs="Arial"/>
      <w:i/>
      <w:iCs/>
      <w:spacing w:val="-10"/>
      <w:sz w:val="16"/>
      <w:szCs w:val="16"/>
      <w:u w:val="single"/>
    </w:rPr>
  </w:style>
  <w:style w:type="character" w:customStyle="1" w:styleId="730">
    <w:name w:val="Îñíîâíîé òåêñò (7)3"/>
    <w:uiPriority w:val="99"/>
    <w:rsid w:val="00045010"/>
    <w:rPr>
      <w:rFonts w:ascii="Arial" w:hAnsi="Arial" w:cs="Arial"/>
      <w:i/>
      <w:iCs/>
      <w:spacing w:val="-10"/>
      <w:sz w:val="16"/>
      <w:szCs w:val="16"/>
      <w:u w:val="single"/>
    </w:rPr>
  </w:style>
  <w:style w:type="character" w:customStyle="1" w:styleId="720">
    <w:name w:val="Îñíîâíîé òåêñò (7)2"/>
    <w:uiPriority w:val="99"/>
    <w:rsid w:val="00045010"/>
    <w:rPr>
      <w:rFonts w:ascii="Arial" w:hAnsi="Arial" w:cs="Arial"/>
      <w:i/>
      <w:iCs/>
      <w:spacing w:val="-10"/>
      <w:sz w:val="16"/>
      <w:szCs w:val="16"/>
      <w:u w:val="single"/>
    </w:rPr>
  </w:style>
  <w:style w:type="character" w:customStyle="1" w:styleId="2FranklinGothicDemi113pt760pt417SimHei17pt20pt10">
    <w:name w:val="Îñíîâíîé òåêñò (2) + Franklin Gothic Demi1.13 pt7.Íå êóðñèâ6.Èíòåðâàë 0 pt41.Îñíîâíîé òåêñò (7) + SimHei1.7 pt2.Èíòåðâàë 0 pt10"/>
    <w:uiPriority w:val="99"/>
    <w:rsid w:val="00045010"/>
    <w:rPr>
      <w:rFonts w:ascii="Franklin Gothic Demi" w:hAnsi="Franklin Gothic Demi" w:cs="Franklin Gothic Demi"/>
      <w:i/>
      <w:iCs/>
      <w:spacing w:val="0"/>
      <w:sz w:val="26"/>
      <w:szCs w:val="26"/>
    </w:rPr>
  </w:style>
  <w:style w:type="character" w:customStyle="1" w:styleId="221">
    <w:name w:val="Îñíîâíîé òåêñò (22)"/>
    <w:uiPriority w:val="99"/>
    <w:rsid w:val="00045010"/>
    <w:rPr>
      <w:rFonts w:ascii="Arial" w:hAnsi="Arial" w:cs="Arial"/>
      <w:i/>
      <w:iCs/>
      <w:spacing w:val="-10"/>
      <w:sz w:val="17"/>
      <w:szCs w:val="17"/>
      <w:u w:val="single"/>
    </w:rPr>
  </w:style>
  <w:style w:type="character" w:customStyle="1" w:styleId="222">
    <w:name w:val="Îñíîâíîé òåêñò (22)_"/>
    <w:uiPriority w:val="99"/>
    <w:rsid w:val="00045010"/>
    <w:rPr>
      <w:rFonts w:ascii="Arial" w:hAnsi="Arial" w:cs="Arial"/>
      <w:i/>
      <w:iCs/>
      <w:spacing w:val="-10"/>
      <w:sz w:val="17"/>
      <w:szCs w:val="17"/>
    </w:rPr>
  </w:style>
  <w:style w:type="character" w:customStyle="1" w:styleId="2260pt23">
    <w:name w:val="Îñíîâíîé òåêñò (22) + Íå êóðñèâ6.Èíòåðâàë 0 pt23"/>
    <w:uiPriority w:val="99"/>
    <w:rsid w:val="00045010"/>
    <w:rPr>
      <w:rFonts w:ascii="Arial" w:hAnsi="Arial" w:cs="Arial"/>
      <w:i/>
      <w:iCs/>
      <w:spacing w:val="0"/>
      <w:sz w:val="17"/>
      <w:szCs w:val="17"/>
    </w:rPr>
  </w:style>
  <w:style w:type="character" w:customStyle="1" w:styleId="225">
    <w:name w:val="Îñíîâíîé òåêñò (22)5"/>
    <w:uiPriority w:val="99"/>
    <w:rsid w:val="00045010"/>
    <w:rPr>
      <w:rFonts w:ascii="Arial" w:hAnsi="Arial" w:cs="Arial"/>
      <w:i/>
      <w:iCs/>
      <w:spacing w:val="-10"/>
      <w:sz w:val="17"/>
      <w:szCs w:val="17"/>
      <w:u w:val="single"/>
    </w:rPr>
  </w:style>
  <w:style w:type="character" w:customStyle="1" w:styleId="111415pt3180pt43294pt">
    <w:name w:val="Îñíîâíîé òåêñò (11) + 141.5 pt31.Íå êóðñèâ8.Èíòåðâàë 0 pt43.Îñíîâíîé òåêñò (29) + 4 pt"/>
    <w:uiPriority w:val="99"/>
    <w:rsid w:val="00045010"/>
    <w:rPr>
      <w:rFonts w:ascii="Microsoft Sans Serif" w:hAnsi="Microsoft Sans Serif" w:cs="Microsoft Sans Serif"/>
      <w:i/>
      <w:iCs/>
      <w:spacing w:val="-10"/>
      <w:sz w:val="29"/>
      <w:szCs w:val="29"/>
    </w:rPr>
  </w:style>
  <w:style w:type="character" w:customStyle="1" w:styleId="80pt22">
    <w:name w:val="Îñíîâíîé òåêñò + Êóðñèâ8.Èíòåðâàë 0 pt22"/>
    <w:uiPriority w:val="99"/>
    <w:rsid w:val="00045010"/>
    <w:rPr>
      <w:rFonts w:ascii="Arial" w:hAnsi="Arial" w:cs="Arial"/>
      <w:i/>
      <w:iCs/>
      <w:spacing w:val="-10"/>
      <w:sz w:val="17"/>
      <w:szCs w:val="17"/>
    </w:rPr>
  </w:style>
  <w:style w:type="character" w:customStyle="1" w:styleId="2250pt21">
    <w:name w:val="Îñíîâíîé òåêñò (22) + Íå êóðñèâ5.Èíòåðâàë 0 pt21"/>
    <w:uiPriority w:val="99"/>
    <w:rsid w:val="00045010"/>
    <w:rPr>
      <w:rFonts w:ascii="Arial" w:hAnsi="Arial" w:cs="Arial"/>
      <w:i/>
      <w:iCs/>
      <w:spacing w:val="0"/>
      <w:sz w:val="17"/>
      <w:szCs w:val="17"/>
    </w:rPr>
  </w:style>
  <w:style w:type="character" w:customStyle="1" w:styleId="224">
    <w:name w:val="Îñíîâíîé òåêñò (22)4"/>
    <w:uiPriority w:val="99"/>
    <w:rsid w:val="00045010"/>
    <w:rPr>
      <w:rFonts w:ascii="Arial" w:hAnsi="Arial" w:cs="Arial"/>
      <w:i/>
      <w:iCs/>
      <w:spacing w:val="-10"/>
      <w:sz w:val="17"/>
      <w:szCs w:val="17"/>
      <w:u w:val="single"/>
    </w:rPr>
  </w:style>
  <w:style w:type="character" w:customStyle="1" w:styleId="7Tahoma925pt20">
    <w:name w:val="Çàãîëîâîê ¹7 + Tahoma.92.5 pt20"/>
    <w:uiPriority w:val="99"/>
    <w:rsid w:val="00045010"/>
    <w:rPr>
      <w:rFonts w:ascii="Tahoma" w:hAnsi="Tahoma" w:cs="Tahoma"/>
      <w:sz w:val="19"/>
      <w:szCs w:val="19"/>
    </w:rPr>
  </w:style>
  <w:style w:type="character" w:customStyle="1" w:styleId="7a">
    <w:name w:val="Çàãîëîâîê ¹7_"/>
    <w:uiPriority w:val="99"/>
    <w:rsid w:val="00045010"/>
    <w:rPr>
      <w:rFonts w:ascii="Arial" w:hAnsi="Arial" w:cs="Arial"/>
      <w:sz w:val="16"/>
      <w:szCs w:val="16"/>
    </w:rPr>
  </w:style>
  <w:style w:type="character" w:customStyle="1" w:styleId="223">
    <w:name w:val="Îñíîâíîé òåêñò (22)3"/>
    <w:uiPriority w:val="99"/>
    <w:rsid w:val="00045010"/>
    <w:rPr>
      <w:rFonts w:ascii="Arial" w:hAnsi="Arial" w:cs="Arial"/>
      <w:i/>
      <w:iCs/>
      <w:spacing w:val="-10"/>
      <w:sz w:val="17"/>
      <w:szCs w:val="17"/>
      <w:u w:val="single"/>
    </w:rPr>
  </w:style>
  <w:style w:type="character" w:customStyle="1" w:styleId="70pt20">
    <w:name w:val="Îñíîâíîé òåêñò + Êóðñèâ7.Èíòåðâàë 0 pt20"/>
    <w:uiPriority w:val="99"/>
    <w:rsid w:val="00045010"/>
    <w:rPr>
      <w:rFonts w:ascii="Arial" w:hAnsi="Arial" w:cs="Arial"/>
      <w:i/>
      <w:iCs/>
      <w:spacing w:val="-10"/>
      <w:sz w:val="17"/>
      <w:szCs w:val="17"/>
    </w:rPr>
  </w:style>
  <w:style w:type="character" w:customStyle="1" w:styleId="2240pt19">
    <w:name w:val="Îñíîâíîé òåêñò (22) + Íå êóðñèâ4.Èíòåðâàë 0 pt19"/>
    <w:uiPriority w:val="99"/>
    <w:rsid w:val="00045010"/>
    <w:rPr>
      <w:rFonts w:ascii="Arial" w:hAnsi="Arial" w:cs="Arial"/>
      <w:i/>
      <w:iCs/>
      <w:spacing w:val="0"/>
      <w:sz w:val="17"/>
      <w:szCs w:val="17"/>
    </w:rPr>
  </w:style>
  <w:style w:type="character" w:customStyle="1" w:styleId="0pt186">
    <w:name w:val="Îñíîâíîé òåêñò + Êóðñèâ.Èíòåðâàë 0 pt18.Îñíîâíîé òåêñò + Êóðñèâ6"/>
    <w:uiPriority w:val="99"/>
    <w:rsid w:val="00045010"/>
    <w:rPr>
      <w:rFonts w:ascii="Arial" w:hAnsi="Arial" w:cs="Arial"/>
      <w:i/>
      <w:iCs/>
      <w:spacing w:val="-10"/>
      <w:sz w:val="16"/>
      <w:szCs w:val="16"/>
    </w:rPr>
  </w:style>
  <w:style w:type="character" w:customStyle="1" w:styleId="SimHei735pt19">
    <w:name w:val="Îñíîâíîé òåêñò + SimHei.73.5 pt19"/>
    <w:uiPriority w:val="99"/>
    <w:rsid w:val="00045010"/>
    <w:rPr>
      <w:rFonts w:ascii="SimHei" w:eastAsia="SimHei" w:hAnsi="Microsoft Sans Serif" w:cs="SimHei"/>
      <w:spacing w:val="0"/>
      <w:sz w:val="15"/>
      <w:szCs w:val="15"/>
    </w:rPr>
  </w:style>
  <w:style w:type="character" w:customStyle="1" w:styleId="2220">
    <w:name w:val="Îñíîâíîé òåêñò (22)2"/>
    <w:uiPriority w:val="99"/>
    <w:rsid w:val="00045010"/>
    <w:rPr>
      <w:rFonts w:ascii="Arial" w:hAnsi="Arial" w:cs="Arial"/>
      <w:i/>
      <w:iCs/>
      <w:spacing w:val="-10"/>
      <w:sz w:val="17"/>
      <w:szCs w:val="17"/>
      <w:u w:val="single"/>
    </w:rPr>
  </w:style>
  <w:style w:type="character" w:customStyle="1" w:styleId="295pt232-1pt67TimesNewRoman910pt1422322SimHei725pt13">
    <w:name w:val="Îñíîâíîé òåêñò (2) + 9.5 pt23.Íå êóðñèâ2.Èíòåðâàë -1 pt6.Îñíîâíîé òåêñò (7) + Times New Roman.91.Èíòåðâàë 0 pt14.Îñíîâíîé òåêñò (22) + Íå êóðñèâ3.Îñíîâíîé òåêñò (22) + SimHei.72.5 pt13"/>
    <w:uiPriority w:val="99"/>
    <w:rsid w:val="00045010"/>
    <w:rPr>
      <w:rFonts w:ascii="Microsoft Sans Serif" w:hAnsi="Microsoft Sans Serif" w:cs="Microsoft Sans Serif"/>
      <w:i/>
      <w:iCs/>
      <w:spacing w:val="-20"/>
      <w:sz w:val="19"/>
      <w:szCs w:val="19"/>
    </w:rPr>
  </w:style>
  <w:style w:type="character" w:customStyle="1" w:styleId="70pt13222">
    <w:name w:val="Îñíîâíîé òåêñò (7) + Íå êóðñèâ.Èíòåðâàë 0 pt13.Îñíîâíîé òåêñò (22) + Íå êóðñèâ2"/>
    <w:uiPriority w:val="99"/>
    <w:rsid w:val="00045010"/>
    <w:rPr>
      <w:rFonts w:ascii="Arial" w:hAnsi="Arial" w:cs="Arial"/>
      <w:i/>
      <w:iCs/>
      <w:spacing w:val="0"/>
      <w:sz w:val="16"/>
      <w:szCs w:val="16"/>
    </w:rPr>
  </w:style>
  <w:style w:type="paragraph" w:customStyle="1" w:styleId="3f1">
    <w:name w:val="Çàãîëîâîê ¹3"/>
    <w:basedOn w:val="a"/>
    <w:uiPriority w:val="99"/>
    <w:rsid w:val="00045010"/>
    <w:pPr>
      <w:shd w:val="clear" w:color="auto" w:fill="FFFFFF"/>
      <w:autoSpaceDE w:val="0"/>
      <w:autoSpaceDN w:val="0"/>
      <w:adjustRightInd w:val="0"/>
      <w:spacing w:before="5460" w:after="0" w:line="240" w:lineRule="atLeast"/>
    </w:pPr>
    <w:rPr>
      <w:rFonts w:ascii="Arial Narrow" w:hAnsi="Arial Narrow" w:cs="Arial Narrow"/>
      <w:b/>
      <w:bCs/>
      <w:noProof/>
      <w:spacing w:val="-10"/>
      <w:sz w:val="104"/>
      <w:szCs w:val="104"/>
      <w:lang w:val="en-US"/>
    </w:rPr>
  </w:style>
  <w:style w:type="paragraph" w:customStyle="1" w:styleId="1410">
    <w:name w:val="Îñíîâíîé òåêñò (14)1"/>
    <w:basedOn w:val="a"/>
    <w:uiPriority w:val="99"/>
    <w:rsid w:val="00045010"/>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161">
    <w:name w:val="Îñíîâíîé òåêñò (16)"/>
    <w:basedOn w:val="a"/>
    <w:uiPriority w:val="99"/>
    <w:rsid w:val="00045010"/>
    <w:pPr>
      <w:shd w:val="clear" w:color="auto" w:fill="FFFFFF"/>
      <w:autoSpaceDE w:val="0"/>
      <w:autoSpaceDN w:val="0"/>
      <w:adjustRightInd w:val="0"/>
      <w:spacing w:after="0" w:line="240" w:lineRule="atLeast"/>
      <w:ind w:hanging="280"/>
    </w:pPr>
    <w:rPr>
      <w:rFonts w:ascii="Microsoft Sans Serif" w:hAnsi="Microsoft Sans Serif" w:cs="Microsoft Sans Serif"/>
      <w:noProof/>
      <w:sz w:val="19"/>
      <w:szCs w:val="19"/>
      <w:lang w:val="en-US"/>
    </w:rPr>
  </w:style>
  <w:style w:type="paragraph" w:customStyle="1" w:styleId="affff7">
    <w:name w:val="Ïîäïèñü ê òàáëèöå"/>
    <w:basedOn w:val="a"/>
    <w:uiPriority w:val="99"/>
    <w:rsid w:val="00045010"/>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paragraph" w:customStyle="1" w:styleId="190">
    <w:name w:val="Îñíîâíîé òåêñò (19)"/>
    <w:basedOn w:val="a"/>
    <w:uiPriority w:val="99"/>
    <w:rsid w:val="00045010"/>
    <w:pPr>
      <w:shd w:val="clear" w:color="auto" w:fill="FFFFFF"/>
      <w:autoSpaceDE w:val="0"/>
      <w:autoSpaceDN w:val="0"/>
      <w:adjustRightInd w:val="0"/>
      <w:spacing w:after="120" w:line="240" w:lineRule="atLeast"/>
    </w:pPr>
    <w:rPr>
      <w:rFonts w:ascii="Microsoft Sans Serif" w:hAnsi="Microsoft Sans Serif" w:cs="Microsoft Sans Serif"/>
      <w:i/>
      <w:iCs/>
      <w:noProof/>
      <w:sz w:val="24"/>
      <w:szCs w:val="24"/>
      <w:lang w:val="en-US"/>
    </w:rPr>
  </w:style>
  <w:style w:type="paragraph" w:customStyle="1" w:styleId="213">
    <w:name w:val="Îñíîâíîé òåêñò (2)1"/>
    <w:basedOn w:val="a"/>
    <w:uiPriority w:val="99"/>
    <w:rsid w:val="00045010"/>
    <w:pPr>
      <w:shd w:val="clear" w:color="auto" w:fill="FFFFFF"/>
      <w:autoSpaceDE w:val="0"/>
      <w:autoSpaceDN w:val="0"/>
      <w:adjustRightInd w:val="0"/>
      <w:spacing w:after="0" w:line="240" w:lineRule="atLeast"/>
    </w:pPr>
    <w:rPr>
      <w:rFonts w:ascii="Microsoft Sans Serif" w:hAnsi="Microsoft Sans Serif" w:cs="Microsoft Sans Serif"/>
      <w:i/>
      <w:iCs/>
      <w:noProof/>
      <w:spacing w:val="20"/>
      <w:sz w:val="23"/>
      <w:szCs w:val="23"/>
      <w:lang w:val="en-US"/>
    </w:rPr>
  </w:style>
  <w:style w:type="paragraph" w:customStyle="1" w:styleId="1f1">
    <w:name w:val="Çàãîëîâîê ¹1"/>
    <w:basedOn w:val="a"/>
    <w:uiPriority w:val="99"/>
    <w:rsid w:val="00045010"/>
    <w:pPr>
      <w:shd w:val="clear" w:color="auto" w:fill="FFFFFF"/>
      <w:autoSpaceDE w:val="0"/>
      <w:autoSpaceDN w:val="0"/>
      <w:adjustRightInd w:val="0"/>
      <w:spacing w:after="720" w:line="240" w:lineRule="atLeast"/>
      <w:ind w:firstLine="540"/>
      <w:jc w:val="both"/>
    </w:pPr>
    <w:rPr>
      <w:rFonts w:ascii="Arial Narrow" w:hAnsi="Arial Narrow" w:cs="Arial Narrow"/>
      <w:b/>
      <w:bCs/>
      <w:noProof/>
      <w:spacing w:val="-10"/>
      <w:sz w:val="104"/>
      <w:szCs w:val="104"/>
      <w:lang w:val="en-US"/>
    </w:rPr>
  </w:style>
  <w:style w:type="paragraph" w:customStyle="1" w:styleId="152">
    <w:name w:val="Çàãîëîâîê ¹15"/>
    <w:basedOn w:val="a"/>
    <w:uiPriority w:val="99"/>
    <w:rsid w:val="00045010"/>
    <w:pPr>
      <w:shd w:val="clear" w:color="auto" w:fill="FFFFFF"/>
      <w:autoSpaceDE w:val="0"/>
      <w:autoSpaceDN w:val="0"/>
      <w:adjustRightInd w:val="0"/>
      <w:spacing w:before="360" w:after="120" w:line="240" w:lineRule="atLeast"/>
    </w:pPr>
    <w:rPr>
      <w:rFonts w:ascii="Microsoft Sans Serif" w:hAnsi="Microsoft Sans Serif" w:cs="Microsoft Sans Serif"/>
      <w:b/>
      <w:bCs/>
      <w:noProof/>
      <w:sz w:val="32"/>
      <w:szCs w:val="32"/>
      <w:lang w:val="en-US"/>
    </w:rPr>
  </w:style>
  <w:style w:type="paragraph" w:customStyle="1" w:styleId="1f2">
    <w:name w:val="Ïîäïèñü ê êàðòèíêå1"/>
    <w:basedOn w:val="a"/>
    <w:uiPriority w:val="99"/>
    <w:rsid w:val="00045010"/>
    <w:pPr>
      <w:shd w:val="clear" w:color="auto" w:fill="FFFFFF"/>
      <w:autoSpaceDE w:val="0"/>
      <w:autoSpaceDN w:val="0"/>
      <w:adjustRightInd w:val="0"/>
      <w:spacing w:after="0" w:line="240" w:lineRule="atLeast"/>
    </w:pPr>
    <w:rPr>
      <w:rFonts w:ascii="Franklin Gothic Demi" w:hAnsi="Franklin Gothic Demi" w:cs="Franklin Gothic Demi"/>
      <w:noProof/>
      <w:sz w:val="26"/>
      <w:szCs w:val="26"/>
      <w:lang w:val="en-US"/>
    </w:rPr>
  </w:style>
  <w:style w:type="paragraph" w:customStyle="1" w:styleId="122">
    <w:name w:val="Ïîäïèñü ê êàðòèíêå (12)"/>
    <w:basedOn w:val="a"/>
    <w:uiPriority w:val="99"/>
    <w:rsid w:val="00045010"/>
    <w:pPr>
      <w:shd w:val="clear" w:color="auto" w:fill="FFFFFF"/>
      <w:autoSpaceDE w:val="0"/>
      <w:autoSpaceDN w:val="0"/>
      <w:adjustRightInd w:val="0"/>
      <w:spacing w:after="0" w:line="330" w:lineRule="exact"/>
    </w:pPr>
    <w:rPr>
      <w:rFonts w:ascii="Microsoft Sans Serif" w:hAnsi="Microsoft Sans Serif" w:cs="Microsoft Sans Serif"/>
      <w:i/>
      <w:iCs/>
      <w:noProof/>
      <w:sz w:val="26"/>
      <w:szCs w:val="26"/>
      <w:lang w:val="en-US"/>
    </w:rPr>
  </w:style>
  <w:style w:type="paragraph" w:customStyle="1" w:styleId="7b">
    <w:name w:val="Ïîäïèñü ê êàðòèíêå (7)"/>
    <w:basedOn w:val="a"/>
    <w:uiPriority w:val="99"/>
    <w:rsid w:val="00045010"/>
    <w:pPr>
      <w:shd w:val="clear" w:color="auto" w:fill="FFFFFF"/>
      <w:autoSpaceDE w:val="0"/>
      <w:autoSpaceDN w:val="0"/>
      <w:adjustRightInd w:val="0"/>
      <w:spacing w:after="0" w:line="330" w:lineRule="exact"/>
      <w:jc w:val="both"/>
    </w:pPr>
    <w:rPr>
      <w:rFonts w:ascii="Arial Narrow" w:hAnsi="Arial Narrow" w:cs="Arial Narrow"/>
      <w:i/>
      <w:iCs/>
      <w:noProof/>
      <w:spacing w:val="-10"/>
      <w:sz w:val="28"/>
      <w:szCs w:val="28"/>
      <w:lang w:val="en-US"/>
    </w:rPr>
  </w:style>
  <w:style w:type="paragraph" w:customStyle="1" w:styleId="260">
    <w:name w:val="Îñíîâíîé òåêñò (26)"/>
    <w:basedOn w:val="a"/>
    <w:uiPriority w:val="99"/>
    <w:rsid w:val="00045010"/>
    <w:pPr>
      <w:shd w:val="clear" w:color="auto" w:fill="FFFFFF"/>
      <w:autoSpaceDE w:val="0"/>
      <w:autoSpaceDN w:val="0"/>
      <w:adjustRightInd w:val="0"/>
      <w:spacing w:after="0" w:line="240" w:lineRule="atLeast"/>
    </w:pPr>
    <w:rPr>
      <w:rFonts w:ascii="Microsoft Sans Serif" w:hAnsi="Microsoft Sans Serif" w:cs="Microsoft Sans Serif"/>
      <w:b/>
      <w:bCs/>
      <w:noProof/>
      <w:sz w:val="26"/>
      <w:szCs w:val="26"/>
      <w:lang w:val="en-US"/>
    </w:rPr>
  </w:style>
  <w:style w:type="paragraph" w:customStyle="1" w:styleId="811">
    <w:name w:val="Îñíîâíîé òåêñò (8)1"/>
    <w:basedOn w:val="a"/>
    <w:uiPriority w:val="99"/>
    <w:rsid w:val="00045010"/>
    <w:pPr>
      <w:shd w:val="clear" w:color="auto" w:fill="FFFFFF"/>
      <w:autoSpaceDE w:val="0"/>
      <w:autoSpaceDN w:val="0"/>
      <w:adjustRightInd w:val="0"/>
      <w:spacing w:before="60" w:after="0" w:line="293" w:lineRule="exact"/>
      <w:jc w:val="both"/>
    </w:pPr>
    <w:rPr>
      <w:rFonts w:ascii="Arial Narrow" w:hAnsi="Arial Narrow" w:cs="Arial Narrow"/>
      <w:i/>
      <w:iCs/>
      <w:noProof/>
      <w:spacing w:val="-10"/>
      <w:sz w:val="28"/>
      <w:szCs w:val="28"/>
      <w:lang w:val="en-US"/>
    </w:rPr>
  </w:style>
  <w:style w:type="paragraph" w:customStyle="1" w:styleId="affff8">
    <w:name w:val="Îãëàâëåíèå"/>
    <w:basedOn w:val="a"/>
    <w:uiPriority w:val="99"/>
    <w:rsid w:val="00045010"/>
    <w:pPr>
      <w:shd w:val="clear" w:color="auto" w:fill="FFFFFF"/>
      <w:autoSpaceDE w:val="0"/>
      <w:autoSpaceDN w:val="0"/>
      <w:adjustRightInd w:val="0"/>
      <w:spacing w:after="0" w:line="353" w:lineRule="exact"/>
      <w:jc w:val="both"/>
    </w:pPr>
    <w:rPr>
      <w:rFonts w:ascii="Microsoft Sans Serif" w:hAnsi="Microsoft Sans Serif" w:cs="Microsoft Sans Serif"/>
      <w:noProof/>
      <w:spacing w:val="-10"/>
      <w:sz w:val="24"/>
      <w:szCs w:val="24"/>
      <w:lang w:val="en-US"/>
    </w:rPr>
  </w:style>
  <w:style w:type="paragraph" w:customStyle="1" w:styleId="2f3">
    <w:name w:val="Çàãîëîâîê ¹2"/>
    <w:basedOn w:val="a"/>
    <w:uiPriority w:val="99"/>
    <w:rsid w:val="00045010"/>
    <w:pPr>
      <w:shd w:val="clear" w:color="auto" w:fill="FFFFFF"/>
      <w:autoSpaceDE w:val="0"/>
      <w:autoSpaceDN w:val="0"/>
      <w:adjustRightInd w:val="0"/>
      <w:spacing w:before="120" w:after="0" w:line="240" w:lineRule="atLeast"/>
    </w:pPr>
    <w:rPr>
      <w:rFonts w:ascii="Arial Narrow" w:hAnsi="Arial Narrow" w:cs="Arial Narrow"/>
      <w:b/>
      <w:bCs/>
      <w:noProof/>
      <w:sz w:val="56"/>
      <w:szCs w:val="56"/>
      <w:lang w:val="en-US"/>
    </w:rPr>
  </w:style>
  <w:style w:type="paragraph" w:customStyle="1" w:styleId="214">
    <w:name w:val="Ïîäïèñü ê òàáëèöå (2)1"/>
    <w:basedOn w:val="a"/>
    <w:uiPriority w:val="99"/>
    <w:rsid w:val="00045010"/>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283">
    <w:name w:val="Îñíîâíîé òåêñò (28)"/>
    <w:basedOn w:val="a"/>
    <w:uiPriority w:val="99"/>
    <w:rsid w:val="00045010"/>
    <w:pPr>
      <w:shd w:val="clear" w:color="auto" w:fill="FFFFFF"/>
      <w:autoSpaceDE w:val="0"/>
      <w:autoSpaceDN w:val="0"/>
      <w:adjustRightInd w:val="0"/>
      <w:spacing w:after="0" w:line="182" w:lineRule="exact"/>
    </w:pPr>
    <w:rPr>
      <w:rFonts w:ascii="Arial" w:hAnsi="Arial" w:cs="Arial"/>
      <w:noProof/>
      <w:sz w:val="14"/>
      <w:szCs w:val="14"/>
      <w:lang w:val="en-US"/>
    </w:rPr>
  </w:style>
  <w:style w:type="paragraph" w:customStyle="1" w:styleId="711">
    <w:name w:val="Îñíîâíîé òåêñò (7)1"/>
    <w:basedOn w:val="a"/>
    <w:uiPriority w:val="99"/>
    <w:rsid w:val="00045010"/>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paragraph" w:customStyle="1" w:styleId="1510">
    <w:name w:val="Îñíîâíîé òåêñò (15)1"/>
    <w:basedOn w:val="a"/>
    <w:uiPriority w:val="99"/>
    <w:rsid w:val="00045010"/>
    <w:pPr>
      <w:shd w:val="clear" w:color="auto" w:fill="FFFFFF"/>
      <w:autoSpaceDE w:val="0"/>
      <w:autoSpaceDN w:val="0"/>
      <w:adjustRightInd w:val="0"/>
      <w:spacing w:after="480" w:line="240" w:lineRule="atLeast"/>
    </w:pPr>
    <w:rPr>
      <w:rFonts w:ascii="Garamond" w:hAnsi="Garamond" w:cs="Garamond"/>
      <w:noProof/>
      <w:sz w:val="13"/>
      <w:szCs w:val="13"/>
      <w:lang w:val="en-US"/>
    </w:rPr>
  </w:style>
  <w:style w:type="paragraph" w:customStyle="1" w:styleId="315">
    <w:name w:val="Ïîäïèñü ê òàáëèöå (3)1"/>
    <w:basedOn w:val="a"/>
    <w:uiPriority w:val="99"/>
    <w:rsid w:val="00045010"/>
    <w:pPr>
      <w:shd w:val="clear" w:color="auto" w:fill="FFFFFF"/>
      <w:autoSpaceDE w:val="0"/>
      <w:autoSpaceDN w:val="0"/>
      <w:adjustRightInd w:val="0"/>
      <w:spacing w:after="0" w:line="240" w:lineRule="atLeast"/>
    </w:pPr>
    <w:rPr>
      <w:rFonts w:ascii="Arial" w:hAnsi="Arial" w:cs="Arial"/>
      <w:i/>
      <w:iCs/>
      <w:noProof/>
      <w:spacing w:val="-10"/>
      <w:sz w:val="16"/>
      <w:szCs w:val="16"/>
      <w:lang w:val="en-US"/>
    </w:rPr>
  </w:style>
  <w:style w:type="paragraph" w:customStyle="1" w:styleId="411">
    <w:name w:val="Îñíîâíîé òåêñò (4)1"/>
    <w:basedOn w:val="a"/>
    <w:uiPriority w:val="99"/>
    <w:rsid w:val="00045010"/>
    <w:pPr>
      <w:shd w:val="clear" w:color="auto" w:fill="FFFFFF"/>
      <w:autoSpaceDE w:val="0"/>
      <w:autoSpaceDN w:val="0"/>
      <w:adjustRightInd w:val="0"/>
      <w:spacing w:after="0" w:line="149" w:lineRule="exact"/>
      <w:ind w:hanging="480"/>
    </w:pPr>
    <w:rPr>
      <w:rFonts w:ascii="Arial" w:hAnsi="Arial" w:cs="Arial"/>
      <w:b/>
      <w:bCs/>
      <w:noProof/>
      <w:sz w:val="13"/>
      <w:szCs w:val="13"/>
      <w:lang w:val="en-US"/>
    </w:rPr>
  </w:style>
  <w:style w:type="paragraph" w:customStyle="1" w:styleId="4b">
    <w:name w:val="Çàãîëîâîê ¹4"/>
    <w:basedOn w:val="a"/>
    <w:uiPriority w:val="99"/>
    <w:rsid w:val="00045010"/>
    <w:pPr>
      <w:shd w:val="clear" w:color="auto" w:fill="FFFFFF"/>
      <w:autoSpaceDE w:val="0"/>
      <w:autoSpaceDN w:val="0"/>
      <w:adjustRightInd w:val="0"/>
      <w:spacing w:before="300" w:after="300" w:line="240" w:lineRule="atLeast"/>
      <w:jc w:val="right"/>
    </w:pPr>
    <w:rPr>
      <w:rFonts w:ascii="Tahoma" w:hAnsi="Tahoma" w:cs="Tahoma"/>
      <w:noProof/>
      <w:sz w:val="50"/>
      <w:szCs w:val="50"/>
      <w:lang w:val="en-US"/>
    </w:rPr>
  </w:style>
  <w:style w:type="paragraph" w:customStyle="1" w:styleId="2210">
    <w:name w:val="Îñíîâíîé òåêñò (22)1"/>
    <w:basedOn w:val="a"/>
    <w:uiPriority w:val="99"/>
    <w:rsid w:val="00045010"/>
    <w:pPr>
      <w:shd w:val="clear" w:color="auto" w:fill="FFFFFF"/>
      <w:autoSpaceDE w:val="0"/>
      <w:autoSpaceDN w:val="0"/>
      <w:adjustRightInd w:val="0"/>
      <w:spacing w:after="0" w:line="216" w:lineRule="exact"/>
      <w:jc w:val="both"/>
    </w:pPr>
    <w:rPr>
      <w:rFonts w:ascii="Arial" w:hAnsi="Arial" w:cs="Arial"/>
      <w:i/>
      <w:iCs/>
      <w:noProof/>
      <w:spacing w:val="-10"/>
      <w:sz w:val="17"/>
      <w:szCs w:val="17"/>
      <w:lang w:val="en-US"/>
    </w:rPr>
  </w:style>
  <w:style w:type="paragraph" w:customStyle="1" w:styleId="1f3">
    <w:name w:val="Ïîäïèñü ê òàáëèöå1"/>
    <w:basedOn w:val="a"/>
    <w:uiPriority w:val="99"/>
    <w:rsid w:val="00045010"/>
    <w:pPr>
      <w:shd w:val="clear" w:color="auto" w:fill="FFFFFF"/>
      <w:autoSpaceDE w:val="0"/>
      <w:autoSpaceDN w:val="0"/>
      <w:adjustRightInd w:val="0"/>
      <w:spacing w:after="0" w:line="240" w:lineRule="atLeast"/>
    </w:pPr>
    <w:rPr>
      <w:rFonts w:ascii="Arial" w:hAnsi="Arial" w:cs="Arial"/>
      <w:i/>
      <w:iCs/>
      <w:spacing w:val="-10"/>
      <w:sz w:val="17"/>
      <w:szCs w:val="17"/>
    </w:rPr>
  </w:style>
  <w:style w:type="paragraph" w:customStyle="1" w:styleId="7c">
    <w:name w:val="Çàãîëîâîê ¹7"/>
    <w:basedOn w:val="a"/>
    <w:uiPriority w:val="99"/>
    <w:rsid w:val="00045010"/>
    <w:pPr>
      <w:shd w:val="clear" w:color="auto" w:fill="FFFFFF"/>
      <w:autoSpaceDE w:val="0"/>
      <w:autoSpaceDN w:val="0"/>
      <w:adjustRightInd w:val="0"/>
      <w:spacing w:after="120" w:line="240" w:lineRule="atLeast"/>
    </w:pPr>
    <w:rPr>
      <w:rFonts w:ascii="Arial" w:hAnsi="Arial" w:cs="Arial"/>
      <w:noProof/>
      <w:sz w:val="16"/>
      <w:szCs w:val="16"/>
      <w:lang w:val="en-US"/>
    </w:rPr>
  </w:style>
  <w:style w:type="paragraph" w:customStyle="1" w:styleId="331">
    <w:name w:val="Îñíîâíîé òåêñò (33)"/>
    <w:basedOn w:val="a"/>
    <w:uiPriority w:val="99"/>
    <w:rsid w:val="00045010"/>
    <w:pPr>
      <w:shd w:val="clear" w:color="auto" w:fill="FFFFFF"/>
      <w:autoSpaceDE w:val="0"/>
      <w:autoSpaceDN w:val="0"/>
      <w:adjustRightInd w:val="0"/>
      <w:spacing w:before="240" w:after="0" w:line="240" w:lineRule="atLeast"/>
    </w:pPr>
    <w:rPr>
      <w:rFonts w:ascii="Arial Narrow" w:hAnsi="Arial Narrow" w:cs="Arial Narrow"/>
      <w:b/>
      <w:bCs/>
      <w:noProof/>
      <w:sz w:val="57"/>
      <w:szCs w:val="57"/>
      <w:lang w:val="en-US"/>
    </w:rPr>
  </w:style>
  <w:style w:type="paragraph" w:customStyle="1" w:styleId="341">
    <w:name w:val="Îñíîâíîé òåêñò (34)"/>
    <w:basedOn w:val="a"/>
    <w:uiPriority w:val="99"/>
    <w:rsid w:val="00045010"/>
    <w:pPr>
      <w:shd w:val="clear" w:color="auto" w:fill="FFFFFF"/>
      <w:autoSpaceDE w:val="0"/>
      <w:autoSpaceDN w:val="0"/>
      <w:adjustRightInd w:val="0"/>
      <w:spacing w:after="0" w:line="240" w:lineRule="atLeast"/>
    </w:pPr>
    <w:rPr>
      <w:rFonts w:ascii="Arial" w:hAnsi="Arial" w:cs="Arial"/>
      <w:i/>
      <w:iCs/>
      <w:noProof/>
      <w:sz w:val="8"/>
      <w:szCs w:val="8"/>
      <w:lang w:val="en-US"/>
    </w:rPr>
  </w:style>
  <w:style w:type="paragraph" w:customStyle="1" w:styleId="352">
    <w:name w:val="Îñíîâíîé òåêñò (35)"/>
    <w:basedOn w:val="a"/>
    <w:uiPriority w:val="99"/>
    <w:rsid w:val="00045010"/>
    <w:pPr>
      <w:shd w:val="clear" w:color="auto" w:fill="FFFFFF"/>
      <w:autoSpaceDE w:val="0"/>
      <w:autoSpaceDN w:val="0"/>
      <w:adjustRightInd w:val="0"/>
      <w:spacing w:after="0" w:line="240" w:lineRule="atLeast"/>
    </w:pPr>
    <w:rPr>
      <w:rFonts w:ascii="Arial" w:hAnsi="Arial" w:cs="Arial"/>
      <w:noProof/>
      <w:sz w:val="8"/>
      <w:szCs w:val="8"/>
      <w:lang w:val="en-US"/>
    </w:rPr>
  </w:style>
  <w:style w:type="paragraph" w:customStyle="1" w:styleId="251">
    <w:name w:val="Îñíîâíîé òåêñò (25)1"/>
    <w:basedOn w:val="a"/>
    <w:uiPriority w:val="99"/>
    <w:rsid w:val="00045010"/>
    <w:pPr>
      <w:shd w:val="clear" w:color="auto" w:fill="FFFFFF"/>
      <w:autoSpaceDE w:val="0"/>
      <w:autoSpaceDN w:val="0"/>
      <w:adjustRightInd w:val="0"/>
      <w:spacing w:after="0" w:line="101" w:lineRule="exact"/>
      <w:jc w:val="both"/>
    </w:pPr>
    <w:rPr>
      <w:rFonts w:ascii="Arial" w:hAnsi="Arial" w:cs="Arial"/>
      <w:i/>
      <w:iCs/>
      <w:noProof/>
      <w:sz w:val="13"/>
      <w:szCs w:val="13"/>
      <w:lang w:val="en-US"/>
    </w:rPr>
  </w:style>
  <w:style w:type="paragraph" w:customStyle="1" w:styleId="91">
    <w:name w:val="Çàãîëîâîê ¹9"/>
    <w:basedOn w:val="a"/>
    <w:uiPriority w:val="99"/>
    <w:rsid w:val="00045010"/>
    <w:pPr>
      <w:shd w:val="clear" w:color="auto" w:fill="FFFFFF"/>
      <w:autoSpaceDE w:val="0"/>
      <w:autoSpaceDN w:val="0"/>
      <w:adjustRightInd w:val="0"/>
      <w:spacing w:before="180" w:after="0" w:line="216" w:lineRule="exact"/>
      <w:ind w:firstLine="280"/>
      <w:jc w:val="both"/>
    </w:pPr>
    <w:rPr>
      <w:rFonts w:ascii="Tahoma" w:hAnsi="Tahoma" w:cs="Tahoma"/>
      <w:b/>
      <w:bCs/>
      <w:i/>
      <w:iCs/>
      <w:noProof/>
      <w:sz w:val="15"/>
      <w:szCs w:val="15"/>
      <w:lang w:val="en-US"/>
    </w:rPr>
  </w:style>
  <w:style w:type="character" w:customStyle="1" w:styleId="2f4">
    <w:name w:val="Îñíîâíîé òåêñò (2)_"/>
    <w:uiPriority w:val="99"/>
    <w:rsid w:val="00045010"/>
    <w:rPr>
      <w:rFonts w:ascii="Arial" w:hAnsi="Arial" w:cs="Arial"/>
      <w:i/>
      <w:iCs/>
      <w:spacing w:val="-10"/>
      <w:sz w:val="16"/>
      <w:szCs w:val="16"/>
    </w:rPr>
  </w:style>
  <w:style w:type="character" w:customStyle="1" w:styleId="20pt29">
    <w:name w:val="Îñíîâíîé òåêñò (2) + Íå êóðñèâ.Èíòåðâàë 0 pt29"/>
    <w:uiPriority w:val="99"/>
    <w:rsid w:val="00045010"/>
    <w:rPr>
      <w:rFonts w:ascii="Arial" w:hAnsi="Arial" w:cs="Arial"/>
      <w:i/>
      <w:iCs/>
      <w:spacing w:val="0"/>
      <w:sz w:val="16"/>
      <w:szCs w:val="16"/>
    </w:rPr>
  </w:style>
  <w:style w:type="character" w:customStyle="1" w:styleId="284">
    <w:name w:val="Îñíîâíîé òåêñò (2)8"/>
    <w:uiPriority w:val="99"/>
    <w:rsid w:val="00045010"/>
    <w:rPr>
      <w:rFonts w:ascii="Arial" w:hAnsi="Arial" w:cs="Arial"/>
      <w:i/>
      <w:iCs/>
      <w:spacing w:val="-10"/>
      <w:sz w:val="16"/>
      <w:szCs w:val="16"/>
      <w:u w:val="single"/>
    </w:rPr>
  </w:style>
  <w:style w:type="character" w:customStyle="1" w:styleId="2SimHei75pt790pt28">
    <w:name w:val="Îñíîâíîé òåêñò (2) + SimHei.7.5 pt7.Íå êóðñèâ9.Èíòåðâàë 0 pt28"/>
    <w:uiPriority w:val="99"/>
    <w:rsid w:val="00045010"/>
    <w:rPr>
      <w:rFonts w:ascii="SimHei" w:eastAsia="SimHei" w:hAnsi="Arial" w:cs="SimHei"/>
      <w:i/>
      <w:iCs/>
      <w:spacing w:val="0"/>
      <w:sz w:val="15"/>
      <w:szCs w:val="15"/>
    </w:rPr>
  </w:style>
  <w:style w:type="character" w:customStyle="1" w:styleId="272">
    <w:name w:val="Îñíîâíîé òåêñò (2)7"/>
    <w:uiPriority w:val="99"/>
    <w:rsid w:val="00045010"/>
    <w:rPr>
      <w:rFonts w:ascii="Arial" w:hAnsi="Arial" w:cs="Arial"/>
      <w:i/>
      <w:iCs/>
      <w:spacing w:val="-10"/>
      <w:sz w:val="16"/>
      <w:szCs w:val="16"/>
      <w:u w:val="single"/>
    </w:rPr>
  </w:style>
  <w:style w:type="character" w:customStyle="1" w:styleId="261">
    <w:name w:val="Îñíîâíîé òåêñò (2)6"/>
    <w:uiPriority w:val="99"/>
    <w:rsid w:val="00045010"/>
    <w:rPr>
      <w:rFonts w:ascii="Arial" w:hAnsi="Arial" w:cs="Arial"/>
      <w:i/>
      <w:iCs/>
      <w:spacing w:val="-10"/>
      <w:sz w:val="16"/>
      <w:szCs w:val="16"/>
      <w:u w:val="single"/>
    </w:rPr>
  </w:style>
  <w:style w:type="character" w:customStyle="1" w:styleId="110pt26">
    <w:name w:val="Îñíîâíîé òåêñò + Êóðñèâ11.Èíòåðâàë 0 pt26"/>
    <w:uiPriority w:val="99"/>
    <w:rsid w:val="00045010"/>
    <w:rPr>
      <w:rFonts w:ascii="Arial" w:hAnsi="Arial" w:cs="Arial"/>
      <w:i/>
      <w:iCs/>
      <w:spacing w:val="-10"/>
      <w:sz w:val="16"/>
      <w:szCs w:val="16"/>
      <w:u w:val="single"/>
    </w:rPr>
  </w:style>
  <w:style w:type="character" w:customStyle="1" w:styleId="2BookmanOldStyle825pt680pt25">
    <w:name w:val="Îñíîâíîé òåêñò (2) + Bookman Old Style.82.5 pt6.Íå êóðñèâ8.Èíòåðâàë 0 pt25"/>
    <w:uiPriority w:val="99"/>
    <w:rsid w:val="00045010"/>
    <w:rPr>
      <w:rFonts w:ascii="Bookman Old Style" w:hAnsi="Bookman Old Style" w:cs="Bookman Old Style"/>
      <w:i/>
      <w:iCs/>
      <w:spacing w:val="0"/>
      <w:sz w:val="17"/>
      <w:szCs w:val="17"/>
    </w:rPr>
  </w:style>
  <w:style w:type="character" w:customStyle="1" w:styleId="3f2">
    <w:name w:val="Çàãîëîâîê ¹3_"/>
    <w:uiPriority w:val="99"/>
    <w:rsid w:val="00045010"/>
    <w:rPr>
      <w:rFonts w:ascii="Arial Narrow" w:hAnsi="Arial Narrow" w:cs="Arial Narrow"/>
      <w:b/>
      <w:bCs/>
      <w:i/>
      <w:iCs/>
      <w:spacing w:val="-50"/>
      <w:sz w:val="51"/>
      <w:szCs w:val="51"/>
    </w:rPr>
  </w:style>
  <w:style w:type="character" w:customStyle="1" w:styleId="3-1pt">
    <w:name w:val="Çàãîëîâîê ¹3 + Èíòåðâàë -1 pt"/>
    <w:uiPriority w:val="99"/>
    <w:rsid w:val="00045010"/>
    <w:rPr>
      <w:rFonts w:ascii="Arial Narrow" w:hAnsi="Arial Narrow" w:cs="Arial Narrow"/>
      <w:b/>
      <w:bCs/>
      <w:i/>
      <w:iCs/>
      <w:spacing w:val="-30"/>
      <w:sz w:val="51"/>
      <w:szCs w:val="51"/>
    </w:rPr>
  </w:style>
  <w:style w:type="character" w:customStyle="1" w:styleId="66">
    <w:name w:val="Çàãîëîâîê ¹6_"/>
    <w:uiPriority w:val="99"/>
    <w:rsid w:val="00045010"/>
    <w:rPr>
      <w:rFonts w:ascii="Tahoma" w:hAnsi="Tahoma" w:cs="Tahoma"/>
      <w:sz w:val="31"/>
      <w:szCs w:val="31"/>
    </w:rPr>
  </w:style>
  <w:style w:type="paragraph" w:customStyle="1" w:styleId="67">
    <w:name w:val="Çàãîëîâîê ¹6"/>
    <w:basedOn w:val="a"/>
    <w:uiPriority w:val="99"/>
    <w:rsid w:val="00045010"/>
    <w:pPr>
      <w:shd w:val="clear" w:color="auto" w:fill="FFFFFF"/>
      <w:autoSpaceDE w:val="0"/>
      <w:autoSpaceDN w:val="0"/>
      <w:adjustRightInd w:val="0"/>
      <w:spacing w:after="60" w:line="302" w:lineRule="exact"/>
      <w:jc w:val="center"/>
    </w:pPr>
    <w:rPr>
      <w:rFonts w:ascii="Tahoma" w:hAnsi="Tahoma" w:cs="Tahoma"/>
      <w:noProof/>
      <w:sz w:val="31"/>
      <w:szCs w:val="31"/>
      <w:lang w:val="en-US"/>
    </w:rPr>
  </w:style>
  <w:style w:type="character" w:customStyle="1" w:styleId="262">
    <w:name w:val="Îñíîâíîé òåêñò (26)_"/>
    <w:uiPriority w:val="99"/>
    <w:rsid w:val="00045010"/>
    <w:rPr>
      <w:rFonts w:ascii="Bookman Old Style" w:hAnsi="Bookman Old Style" w:cs="Bookman Old Style"/>
      <w:sz w:val="9"/>
      <w:szCs w:val="9"/>
    </w:rPr>
  </w:style>
  <w:style w:type="character" w:customStyle="1" w:styleId="280pt24">
    <w:name w:val="Îñíîâíîé òåêñò (2) + Íå êóðñèâ8.Èíòåðâàë 0 pt24"/>
    <w:uiPriority w:val="99"/>
    <w:rsid w:val="00045010"/>
    <w:rPr>
      <w:rFonts w:ascii="Arial" w:hAnsi="Arial" w:cs="Arial"/>
      <w:i/>
      <w:iCs/>
      <w:spacing w:val="0"/>
      <w:sz w:val="16"/>
      <w:szCs w:val="16"/>
    </w:rPr>
  </w:style>
  <w:style w:type="character" w:customStyle="1" w:styleId="2SimHei2715pt350pt23">
    <w:name w:val="Îñíîâíîé òåêñò (2) + SimHei2.71.5 pt3.Íå êóðñèâ5.Èíòåðâàë 0 pt23"/>
    <w:uiPriority w:val="99"/>
    <w:rsid w:val="00045010"/>
    <w:rPr>
      <w:rFonts w:ascii="SimHei" w:eastAsia="SimHei" w:hAnsi="Arial" w:cs="SimHei"/>
      <w:i/>
      <w:iCs/>
      <w:spacing w:val="0"/>
      <w:sz w:val="15"/>
      <w:szCs w:val="15"/>
    </w:rPr>
  </w:style>
  <w:style w:type="character" w:customStyle="1" w:styleId="252">
    <w:name w:val="Îñíîâíîé òåêñò (2)5"/>
    <w:uiPriority w:val="99"/>
    <w:rsid w:val="00045010"/>
    <w:rPr>
      <w:rFonts w:ascii="Arial" w:hAnsi="Arial" w:cs="Arial"/>
      <w:i/>
      <w:iCs/>
      <w:spacing w:val="-10"/>
      <w:sz w:val="16"/>
      <w:szCs w:val="16"/>
      <w:u w:val="single"/>
    </w:rPr>
  </w:style>
  <w:style w:type="character" w:customStyle="1" w:styleId="270pt22">
    <w:name w:val="Îñíîâíîé òåêñò (2) + Íå êóðñèâ7.Èíòåðâàë 0 pt22"/>
    <w:uiPriority w:val="99"/>
    <w:rsid w:val="00045010"/>
    <w:rPr>
      <w:rFonts w:ascii="Arial" w:hAnsi="Arial" w:cs="Arial"/>
      <w:i/>
      <w:iCs/>
      <w:spacing w:val="0"/>
      <w:sz w:val="16"/>
      <w:szCs w:val="16"/>
    </w:rPr>
  </w:style>
  <w:style w:type="character" w:customStyle="1" w:styleId="2SimHei17pt40pt21">
    <w:name w:val="Îñíîâíîé òåêñò (2) + SimHei1.7 pt.Íå êóðñèâ4.Èíòåðâàë 0 pt21"/>
    <w:uiPriority w:val="99"/>
    <w:rsid w:val="00045010"/>
    <w:rPr>
      <w:rFonts w:ascii="SimHei" w:eastAsia="SimHei" w:hAnsi="Arial" w:cs="SimHei"/>
      <w:i/>
      <w:iCs/>
      <w:spacing w:val="0"/>
      <w:sz w:val="14"/>
      <w:szCs w:val="14"/>
    </w:rPr>
  </w:style>
  <w:style w:type="character" w:customStyle="1" w:styleId="241">
    <w:name w:val="Îñíîâíîé òåêñò (2)4"/>
    <w:uiPriority w:val="99"/>
    <w:rsid w:val="00045010"/>
    <w:rPr>
      <w:rFonts w:ascii="Arial" w:hAnsi="Arial" w:cs="Arial"/>
      <w:i/>
      <w:iCs/>
      <w:spacing w:val="-10"/>
      <w:sz w:val="16"/>
      <w:szCs w:val="16"/>
      <w:u w:val="single"/>
    </w:rPr>
  </w:style>
  <w:style w:type="character" w:customStyle="1" w:styleId="230">
    <w:name w:val="Îñíîâíîé òåêñò (2)3"/>
    <w:uiPriority w:val="99"/>
    <w:rsid w:val="00045010"/>
    <w:rPr>
      <w:rFonts w:ascii="Arial" w:hAnsi="Arial" w:cs="Arial"/>
      <w:i/>
      <w:iCs/>
      <w:spacing w:val="-10"/>
      <w:sz w:val="16"/>
      <w:szCs w:val="16"/>
      <w:u w:val="single"/>
    </w:rPr>
  </w:style>
  <w:style w:type="character" w:customStyle="1" w:styleId="260pt20">
    <w:name w:val="Îñíîâíîé òåêñò (2) + Íå êóðñèâ6.Èíòåðâàë 0 pt20"/>
    <w:uiPriority w:val="99"/>
    <w:rsid w:val="00045010"/>
    <w:rPr>
      <w:rFonts w:ascii="Arial" w:hAnsi="Arial" w:cs="Arial"/>
      <w:i/>
      <w:iCs/>
      <w:spacing w:val="0"/>
      <w:sz w:val="16"/>
      <w:szCs w:val="16"/>
    </w:rPr>
  </w:style>
  <w:style w:type="character" w:customStyle="1" w:styleId="226">
    <w:name w:val="Îñíîâíîé òåêñò (2)2"/>
    <w:uiPriority w:val="99"/>
    <w:rsid w:val="00045010"/>
    <w:rPr>
      <w:rFonts w:ascii="Arial" w:hAnsi="Arial" w:cs="Arial"/>
      <w:i/>
      <w:iCs/>
      <w:spacing w:val="-10"/>
      <w:sz w:val="16"/>
      <w:szCs w:val="16"/>
      <w:u w:val="single"/>
    </w:rPr>
  </w:style>
  <w:style w:type="character" w:customStyle="1" w:styleId="92">
    <w:name w:val="Îñíîâíîé òåêñò (9)_"/>
    <w:uiPriority w:val="99"/>
    <w:rsid w:val="00045010"/>
    <w:rPr>
      <w:rFonts w:ascii="Arial" w:hAnsi="Arial" w:cs="Arial"/>
      <w:i/>
      <w:iCs/>
      <w:sz w:val="14"/>
      <w:szCs w:val="14"/>
    </w:rPr>
  </w:style>
  <w:style w:type="paragraph" w:customStyle="1" w:styleId="910">
    <w:name w:val="Îñíîâíîé òåêñò (9)1"/>
    <w:basedOn w:val="a"/>
    <w:uiPriority w:val="99"/>
    <w:rsid w:val="00045010"/>
    <w:pPr>
      <w:shd w:val="clear" w:color="auto" w:fill="FFFFFF"/>
      <w:autoSpaceDE w:val="0"/>
      <w:autoSpaceDN w:val="0"/>
      <w:adjustRightInd w:val="0"/>
      <w:spacing w:after="0" w:line="148" w:lineRule="exact"/>
      <w:ind w:hanging="2020"/>
    </w:pPr>
    <w:rPr>
      <w:rFonts w:ascii="Arial" w:hAnsi="Arial" w:cs="Arial"/>
      <w:i/>
      <w:iCs/>
      <w:noProof/>
      <w:sz w:val="14"/>
      <w:szCs w:val="14"/>
      <w:lang w:val="en-US"/>
    </w:rPr>
  </w:style>
  <w:style w:type="character" w:customStyle="1" w:styleId="5a">
    <w:name w:val="Çàãîëîâîê ¹5_"/>
    <w:uiPriority w:val="99"/>
    <w:rsid w:val="00045010"/>
    <w:rPr>
      <w:rFonts w:ascii="Tahoma" w:hAnsi="Tahoma" w:cs="Tahoma"/>
      <w:sz w:val="31"/>
      <w:szCs w:val="31"/>
    </w:rPr>
  </w:style>
  <w:style w:type="character" w:customStyle="1" w:styleId="100pt19">
    <w:name w:val="Îñíîâíîé òåêñò + Êóðñèâ10.Èíòåðâàë 0 pt19"/>
    <w:uiPriority w:val="99"/>
    <w:rsid w:val="00045010"/>
    <w:rPr>
      <w:rFonts w:ascii="Arial" w:hAnsi="Arial" w:cs="Arial"/>
      <w:i/>
      <w:iCs/>
      <w:spacing w:val="-10"/>
      <w:sz w:val="16"/>
      <w:szCs w:val="16"/>
    </w:rPr>
  </w:style>
  <w:style w:type="paragraph" w:customStyle="1" w:styleId="5b">
    <w:name w:val="Çàãîëîâîê ¹5"/>
    <w:basedOn w:val="a"/>
    <w:uiPriority w:val="99"/>
    <w:rsid w:val="00045010"/>
    <w:pPr>
      <w:shd w:val="clear" w:color="auto" w:fill="FFFFFF"/>
      <w:autoSpaceDE w:val="0"/>
      <w:autoSpaceDN w:val="0"/>
      <w:adjustRightInd w:val="0"/>
      <w:spacing w:after="60" w:line="240" w:lineRule="atLeast"/>
    </w:pPr>
    <w:rPr>
      <w:rFonts w:ascii="Tahoma" w:hAnsi="Tahoma" w:cs="Tahoma"/>
      <w:noProof/>
      <w:sz w:val="31"/>
      <w:szCs w:val="31"/>
      <w:lang w:val="en-US"/>
    </w:rPr>
  </w:style>
  <w:style w:type="character" w:customStyle="1" w:styleId="5c">
    <w:name w:val="Îñíîâíîé òåêñò (5)_"/>
    <w:uiPriority w:val="99"/>
    <w:rsid w:val="00045010"/>
    <w:rPr>
      <w:i/>
      <w:iCs/>
      <w:sz w:val="16"/>
      <w:szCs w:val="16"/>
    </w:rPr>
  </w:style>
  <w:style w:type="character" w:customStyle="1" w:styleId="5136">
    <w:name w:val="Îñíîâíîé òåêñò (5)136"/>
    <w:uiPriority w:val="99"/>
    <w:rsid w:val="00045010"/>
    <w:rPr>
      <w:i/>
      <w:iCs/>
      <w:sz w:val="16"/>
      <w:szCs w:val="16"/>
    </w:rPr>
  </w:style>
  <w:style w:type="character" w:customStyle="1" w:styleId="58545pt75630pt128">
    <w:name w:val="Îñíîâíîé òåêñò (5) + 854.5 pt75.Íå êóðñèâ63.Èíòåðâàë 0 pt128"/>
    <w:uiPriority w:val="99"/>
    <w:rsid w:val="00045010"/>
    <w:rPr>
      <w:i/>
      <w:iCs/>
      <w:spacing w:val="-10"/>
      <w:sz w:val="17"/>
      <w:szCs w:val="17"/>
    </w:rPr>
  </w:style>
  <w:style w:type="character" w:customStyle="1" w:styleId="5133">
    <w:name w:val="Îñíîâíîé òåêñò (5)133"/>
    <w:uiPriority w:val="99"/>
    <w:rsid w:val="00045010"/>
    <w:rPr>
      <w:rFonts w:ascii="Arial Unicode MS" w:eastAsia="Arial Unicode MS" w:cs="Arial Unicode MS"/>
      <w:i/>
      <w:iCs/>
      <w:noProof/>
      <w:sz w:val="16"/>
      <w:szCs w:val="16"/>
    </w:rPr>
  </w:style>
  <w:style w:type="character" w:customStyle="1" w:styleId="5132">
    <w:name w:val="Îñíîâíîé òåêñò (5)132"/>
    <w:uiPriority w:val="99"/>
    <w:rsid w:val="00045010"/>
    <w:rPr>
      <w:rFonts w:ascii="Arial Unicode MS" w:eastAsia="Arial Unicode MS" w:cs="Arial Unicode MS"/>
      <w:i/>
      <w:iCs/>
      <w:noProof/>
      <w:sz w:val="16"/>
      <w:szCs w:val="16"/>
    </w:rPr>
  </w:style>
  <w:style w:type="character" w:customStyle="1" w:styleId="5131">
    <w:name w:val="Îñíîâíîé òåêñò (5)131"/>
    <w:uiPriority w:val="99"/>
    <w:rsid w:val="00045010"/>
    <w:rPr>
      <w:i/>
      <w:iCs/>
      <w:sz w:val="16"/>
      <w:szCs w:val="16"/>
    </w:rPr>
  </w:style>
  <w:style w:type="character" w:customStyle="1" w:styleId="5130">
    <w:name w:val="Îñíîâíîé òåêñò (5)130"/>
    <w:uiPriority w:val="99"/>
    <w:rsid w:val="00045010"/>
    <w:rPr>
      <w:rFonts w:ascii="Arial Unicode MS" w:eastAsia="Arial Unicode MS" w:cs="Arial Unicode MS"/>
      <w:i/>
      <w:iCs/>
      <w:noProof/>
      <w:sz w:val="16"/>
      <w:szCs w:val="16"/>
    </w:rPr>
  </w:style>
  <w:style w:type="paragraph" w:customStyle="1" w:styleId="512">
    <w:name w:val="Îñíîâíîé òåêñò (5)1"/>
    <w:basedOn w:val="a"/>
    <w:uiPriority w:val="99"/>
    <w:rsid w:val="00045010"/>
    <w:pPr>
      <w:shd w:val="clear" w:color="auto" w:fill="FFFFFF"/>
      <w:autoSpaceDE w:val="0"/>
      <w:autoSpaceDN w:val="0"/>
      <w:adjustRightInd w:val="0"/>
      <w:spacing w:after="0" w:line="186" w:lineRule="exact"/>
      <w:ind w:hanging="500"/>
    </w:pPr>
    <w:rPr>
      <w:rFonts w:ascii="Times New Roman" w:hAnsi="Times New Roman"/>
      <w:i/>
      <w:iCs/>
      <w:noProof/>
      <w:sz w:val="16"/>
      <w:szCs w:val="16"/>
      <w:lang w:val="en-US"/>
    </w:rPr>
  </w:style>
  <w:style w:type="character" w:customStyle="1" w:styleId="5117">
    <w:name w:val="Îñíîâíîé òåêñò (5)117"/>
    <w:uiPriority w:val="99"/>
    <w:rsid w:val="00045010"/>
    <w:rPr>
      <w:i/>
      <w:iCs/>
      <w:spacing w:val="0"/>
      <w:sz w:val="16"/>
      <w:szCs w:val="16"/>
    </w:rPr>
  </w:style>
  <w:style w:type="character" w:customStyle="1" w:styleId="5116">
    <w:name w:val="Îñíîâíîé òåêñò (5)116"/>
    <w:uiPriority w:val="99"/>
    <w:rsid w:val="00045010"/>
    <w:rPr>
      <w:i/>
      <w:iCs/>
      <w:spacing w:val="0"/>
      <w:sz w:val="16"/>
      <w:szCs w:val="16"/>
    </w:rPr>
  </w:style>
  <w:style w:type="character" w:customStyle="1" w:styleId="5113">
    <w:name w:val="Îñíîâíîé òåêñò (5)113"/>
    <w:uiPriority w:val="99"/>
    <w:rsid w:val="00045010"/>
    <w:rPr>
      <w:i/>
      <w:iCs/>
      <w:spacing w:val="0"/>
      <w:sz w:val="16"/>
      <w:szCs w:val="16"/>
      <w:u w:val="single"/>
    </w:rPr>
  </w:style>
  <w:style w:type="character" w:customStyle="1" w:styleId="5106">
    <w:name w:val="Îñíîâíîé òåêñò (5)106"/>
    <w:uiPriority w:val="99"/>
    <w:rsid w:val="00045010"/>
    <w:rPr>
      <w:i/>
      <w:iCs/>
      <w:spacing w:val="0"/>
      <w:sz w:val="16"/>
      <w:szCs w:val="16"/>
    </w:rPr>
  </w:style>
  <w:style w:type="character" w:customStyle="1" w:styleId="5105">
    <w:name w:val="Îñíîâíîé òåêñò (5)105"/>
    <w:uiPriority w:val="99"/>
    <w:rsid w:val="00045010"/>
    <w:rPr>
      <w:rFonts w:ascii="Arial Unicode MS" w:eastAsia="Arial Unicode MS" w:cs="Arial Unicode MS"/>
      <w:i/>
      <w:iCs/>
      <w:noProof/>
      <w:spacing w:val="0"/>
      <w:sz w:val="16"/>
      <w:szCs w:val="16"/>
    </w:rPr>
  </w:style>
  <w:style w:type="character" w:customStyle="1" w:styleId="5104">
    <w:name w:val="Îñíîâíîé òåêñò (5)104"/>
    <w:uiPriority w:val="99"/>
    <w:rsid w:val="00045010"/>
    <w:rPr>
      <w:i/>
      <w:iCs/>
      <w:spacing w:val="0"/>
      <w:sz w:val="16"/>
      <w:szCs w:val="16"/>
      <w:u w:val="single"/>
    </w:rPr>
  </w:style>
  <w:style w:type="character" w:customStyle="1" w:styleId="5103">
    <w:name w:val="Îñíîâíîé òåêñò (5)103"/>
    <w:uiPriority w:val="99"/>
    <w:rsid w:val="00045010"/>
    <w:rPr>
      <w:rFonts w:ascii="Arial Unicode MS" w:eastAsia="Arial Unicode MS" w:cs="Arial Unicode MS"/>
      <w:i/>
      <w:iCs/>
      <w:noProof/>
      <w:spacing w:val="0"/>
      <w:sz w:val="16"/>
      <w:szCs w:val="16"/>
    </w:rPr>
  </w:style>
  <w:style w:type="character" w:customStyle="1" w:styleId="5102">
    <w:name w:val="Îñíîâíîé òåêñò (5)102"/>
    <w:uiPriority w:val="99"/>
    <w:rsid w:val="00045010"/>
    <w:rPr>
      <w:rFonts w:ascii="Arial Unicode MS" w:eastAsia="Arial Unicode MS" w:cs="Arial Unicode MS"/>
      <w:i/>
      <w:iCs/>
      <w:noProof/>
      <w:spacing w:val="0"/>
      <w:sz w:val="16"/>
      <w:szCs w:val="16"/>
    </w:rPr>
  </w:style>
  <w:style w:type="character" w:customStyle="1" w:styleId="530">
    <w:name w:val="Çàãîëîâîê ¹53"/>
    <w:uiPriority w:val="99"/>
    <w:rsid w:val="00045010"/>
    <w:rPr>
      <w:rFonts w:ascii="Arial Unicode MS" w:eastAsia="Arial Unicode MS" w:hAnsi="Tahoma" w:cs="Arial Unicode MS"/>
      <w:i/>
      <w:iCs/>
      <w:noProof/>
      <w:sz w:val="16"/>
      <w:szCs w:val="16"/>
    </w:rPr>
  </w:style>
  <w:style w:type="character" w:customStyle="1" w:styleId="58485pt69580pt120">
    <w:name w:val="Îñíîâíîé òåêñò (5) + 848.5 pt69.Íå êóðñèâ58.Èíòåðâàë 0 pt120"/>
    <w:uiPriority w:val="99"/>
    <w:rsid w:val="00045010"/>
    <w:rPr>
      <w:i/>
      <w:iCs/>
      <w:spacing w:val="-10"/>
      <w:sz w:val="17"/>
      <w:szCs w:val="17"/>
    </w:rPr>
  </w:style>
  <w:style w:type="character" w:customStyle="1" w:styleId="520">
    <w:name w:val="Çàãîëîâîê ¹52"/>
    <w:uiPriority w:val="99"/>
    <w:rsid w:val="00045010"/>
    <w:rPr>
      <w:rFonts w:ascii="Tahoma" w:hAnsi="Tahoma" w:cs="Tahoma"/>
      <w:i/>
      <w:iCs/>
      <w:sz w:val="16"/>
      <w:szCs w:val="16"/>
      <w:u w:val="single"/>
    </w:rPr>
  </w:style>
  <w:style w:type="paragraph" w:customStyle="1" w:styleId="513">
    <w:name w:val="Çàãîëîâîê ¹51"/>
    <w:basedOn w:val="a"/>
    <w:uiPriority w:val="99"/>
    <w:rsid w:val="00045010"/>
    <w:pPr>
      <w:shd w:val="clear" w:color="auto" w:fill="FFFFFF"/>
      <w:autoSpaceDE w:val="0"/>
      <w:autoSpaceDN w:val="0"/>
      <w:adjustRightInd w:val="0"/>
      <w:spacing w:after="0" w:line="211" w:lineRule="exact"/>
      <w:jc w:val="both"/>
    </w:pPr>
    <w:rPr>
      <w:rFonts w:ascii="Times New Roman" w:hAnsi="Times New Roman"/>
      <w:i/>
      <w:iCs/>
      <w:noProof/>
      <w:sz w:val="16"/>
      <w:szCs w:val="16"/>
      <w:lang w:val="en-US"/>
    </w:rPr>
  </w:style>
  <w:style w:type="character" w:customStyle="1" w:styleId="5101">
    <w:name w:val="Îñíîâíîé òåêñò (5)101"/>
    <w:uiPriority w:val="99"/>
    <w:rsid w:val="00045010"/>
    <w:rPr>
      <w:i/>
      <w:iCs/>
      <w:spacing w:val="0"/>
      <w:sz w:val="16"/>
      <w:szCs w:val="16"/>
    </w:rPr>
  </w:style>
  <w:style w:type="character" w:customStyle="1" w:styleId="5100">
    <w:name w:val="Îñíîâíîé òåêñò (5)100"/>
    <w:uiPriority w:val="99"/>
    <w:rsid w:val="00045010"/>
    <w:rPr>
      <w:rFonts w:ascii="Arial Unicode MS" w:eastAsia="Arial Unicode MS" w:cs="Arial Unicode MS"/>
      <w:i/>
      <w:iCs/>
      <w:noProof/>
      <w:spacing w:val="0"/>
      <w:sz w:val="16"/>
      <w:szCs w:val="16"/>
    </w:rPr>
  </w:style>
  <w:style w:type="character" w:customStyle="1" w:styleId="599">
    <w:name w:val="Îñíîâíîé òåêñò (5)99"/>
    <w:uiPriority w:val="99"/>
    <w:rsid w:val="00045010"/>
    <w:rPr>
      <w:rFonts w:ascii="Arial Unicode MS" w:eastAsia="Arial Unicode MS" w:cs="Arial Unicode MS"/>
      <w:i/>
      <w:iCs/>
      <w:noProof/>
      <w:spacing w:val="0"/>
      <w:sz w:val="16"/>
      <w:szCs w:val="16"/>
    </w:rPr>
  </w:style>
  <w:style w:type="character" w:customStyle="1" w:styleId="58475pt68570pt119">
    <w:name w:val="Îñíîâíîé òåêñò (5) + 847.5 pt68.Íå êóðñèâ57.Èíòåðâàë 0 pt119"/>
    <w:uiPriority w:val="99"/>
    <w:rsid w:val="00045010"/>
    <w:rPr>
      <w:i/>
      <w:iCs/>
      <w:spacing w:val="-10"/>
      <w:sz w:val="17"/>
      <w:szCs w:val="17"/>
    </w:rPr>
  </w:style>
  <w:style w:type="character" w:customStyle="1" w:styleId="598">
    <w:name w:val="Îñíîâíîé òåêñò (5)98"/>
    <w:uiPriority w:val="99"/>
    <w:rsid w:val="00045010"/>
    <w:rPr>
      <w:i/>
      <w:iCs/>
      <w:spacing w:val="0"/>
      <w:sz w:val="16"/>
      <w:szCs w:val="16"/>
      <w:u w:val="single"/>
    </w:rPr>
  </w:style>
  <w:style w:type="character" w:customStyle="1" w:styleId="597">
    <w:name w:val="Îñíîâíîé òåêñò (5)97"/>
    <w:uiPriority w:val="99"/>
    <w:rsid w:val="00045010"/>
    <w:rPr>
      <w:rFonts w:ascii="Arial Unicode MS" w:eastAsia="Arial Unicode MS" w:cs="Arial Unicode MS"/>
      <w:i/>
      <w:iCs/>
      <w:noProof/>
      <w:spacing w:val="0"/>
      <w:sz w:val="16"/>
      <w:szCs w:val="16"/>
      <w:u w:val="single"/>
    </w:rPr>
  </w:style>
  <w:style w:type="character" w:customStyle="1" w:styleId="191">
    <w:name w:val="Îñíîâíîé òåêñò (19)_"/>
    <w:uiPriority w:val="99"/>
    <w:rsid w:val="00045010"/>
    <w:rPr>
      <w:rFonts w:ascii="Arial Narrow" w:hAnsi="Arial Narrow" w:cs="Arial Narrow"/>
      <w:b/>
      <w:bCs/>
      <w:sz w:val="47"/>
      <w:szCs w:val="47"/>
    </w:rPr>
  </w:style>
  <w:style w:type="character" w:customStyle="1" w:styleId="4c">
    <w:name w:val="Ïîäïèñü ê êàðòèíêå (4)_"/>
    <w:uiPriority w:val="99"/>
    <w:rsid w:val="00045010"/>
    <w:rPr>
      <w:b/>
      <w:bCs/>
      <w:i/>
      <w:iCs/>
      <w:sz w:val="17"/>
      <w:szCs w:val="17"/>
    </w:rPr>
  </w:style>
  <w:style w:type="character" w:customStyle="1" w:styleId="4d">
    <w:name w:val="Ïîäïèñü ê êàðòèíêå (4)"/>
    <w:uiPriority w:val="99"/>
    <w:rsid w:val="00045010"/>
    <w:rPr>
      <w:b/>
      <w:bCs/>
      <w:i/>
      <w:iCs/>
      <w:sz w:val="17"/>
      <w:szCs w:val="17"/>
    </w:rPr>
  </w:style>
  <w:style w:type="character" w:customStyle="1" w:styleId="8pt35450pt1150">
    <w:name w:val="Îñíîâíîé òåêñò + 8 pt35.Êóðñèâ45.Èíòåðâàë 0 pt115"/>
    <w:uiPriority w:val="99"/>
    <w:rsid w:val="00045010"/>
    <w:rPr>
      <w:rFonts w:ascii="Microsoft Sans Serif" w:hAnsi="Microsoft Sans Serif" w:cs="Microsoft Sans Serif"/>
      <w:i/>
      <w:iCs/>
      <w:spacing w:val="0"/>
      <w:sz w:val="16"/>
      <w:szCs w:val="16"/>
    </w:rPr>
  </w:style>
  <w:style w:type="paragraph" w:customStyle="1" w:styleId="412">
    <w:name w:val="Ïîäïèñü ê êàðòèíêå (4)1"/>
    <w:basedOn w:val="a"/>
    <w:uiPriority w:val="99"/>
    <w:rsid w:val="00045010"/>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3430pt1130">
    <w:name w:val="Îñíîâíîé òåêñò + 8 pt33.Êóðñèâ43.Èíòåðâàë 0 pt113"/>
    <w:uiPriority w:val="99"/>
    <w:rsid w:val="00045010"/>
    <w:rPr>
      <w:rFonts w:ascii="Microsoft Sans Serif" w:hAnsi="Microsoft Sans Serif" w:cs="Microsoft Sans Serif"/>
      <w:i/>
      <w:iCs/>
      <w:spacing w:val="0"/>
      <w:sz w:val="16"/>
      <w:szCs w:val="16"/>
    </w:rPr>
  </w:style>
  <w:style w:type="character" w:customStyle="1" w:styleId="8pt32420pt1120">
    <w:name w:val="Îñíîâíîé òåêñò + 8 pt32.Êóðñèâ42.Èíòåðâàë 0 pt112"/>
    <w:uiPriority w:val="99"/>
    <w:rsid w:val="00045010"/>
    <w:rPr>
      <w:rFonts w:ascii="Arial Unicode MS" w:eastAsia="Arial Unicode MS" w:hAnsi="Microsoft Sans Serif" w:cs="Arial Unicode MS"/>
      <w:i/>
      <w:iCs/>
      <w:noProof/>
      <w:spacing w:val="0"/>
      <w:sz w:val="16"/>
      <w:szCs w:val="16"/>
    </w:rPr>
  </w:style>
  <w:style w:type="character" w:customStyle="1" w:styleId="8pt31410pt1110">
    <w:name w:val="Îñíîâíîé òåêñò + 8 pt31.Êóðñèâ41.Èíòåðâàë 0 pt111"/>
    <w:uiPriority w:val="99"/>
    <w:rsid w:val="00045010"/>
    <w:rPr>
      <w:rFonts w:ascii="Arial Unicode MS" w:eastAsia="Arial Unicode MS" w:hAnsi="Microsoft Sans Serif" w:cs="Arial Unicode MS"/>
      <w:i/>
      <w:iCs/>
      <w:noProof/>
      <w:spacing w:val="0"/>
      <w:sz w:val="16"/>
      <w:szCs w:val="16"/>
    </w:rPr>
  </w:style>
  <w:style w:type="character" w:customStyle="1" w:styleId="400pt1100">
    <w:name w:val="Îñíîâíîé òåêñò + Ïîëóæèðíûé.Êóðñèâ40.Èíòåðâàë 0 pt110"/>
    <w:uiPriority w:val="99"/>
    <w:rsid w:val="00045010"/>
    <w:rPr>
      <w:rFonts w:ascii="Microsoft Sans Serif" w:hAnsi="Microsoft Sans Serif" w:cs="Microsoft Sans Serif"/>
      <w:b/>
      <w:bCs/>
      <w:i/>
      <w:iCs/>
      <w:spacing w:val="0"/>
      <w:sz w:val="17"/>
      <w:szCs w:val="17"/>
    </w:rPr>
  </w:style>
  <w:style w:type="character" w:customStyle="1" w:styleId="3f3">
    <w:name w:val="Îñíîâíîé òåêñò (3)_"/>
    <w:uiPriority w:val="99"/>
    <w:rsid w:val="00045010"/>
    <w:rPr>
      <w:b/>
      <w:bCs/>
      <w:i/>
      <w:iCs/>
      <w:sz w:val="17"/>
      <w:szCs w:val="17"/>
    </w:rPr>
  </w:style>
  <w:style w:type="character" w:customStyle="1" w:styleId="391">
    <w:name w:val="Îñíîâíîé òåêñò (3)9"/>
    <w:uiPriority w:val="99"/>
    <w:rsid w:val="00045010"/>
    <w:rPr>
      <w:b/>
      <w:bCs/>
      <w:i/>
      <w:iCs/>
      <w:sz w:val="17"/>
      <w:szCs w:val="17"/>
    </w:rPr>
  </w:style>
  <w:style w:type="character" w:customStyle="1" w:styleId="8pt30390pt1090">
    <w:name w:val="Îñíîâíîé òåêñò + 8 pt30.Êóðñèâ39.Èíòåðâàë 0 pt109"/>
    <w:uiPriority w:val="99"/>
    <w:rsid w:val="00045010"/>
    <w:rPr>
      <w:rFonts w:ascii="Microsoft Sans Serif" w:hAnsi="Microsoft Sans Serif" w:cs="Microsoft Sans Serif"/>
      <w:i/>
      <w:iCs/>
      <w:spacing w:val="0"/>
      <w:sz w:val="16"/>
      <w:szCs w:val="16"/>
    </w:rPr>
  </w:style>
  <w:style w:type="character" w:customStyle="1" w:styleId="8pt29380pt1080">
    <w:name w:val="Îñíîâíîé òåêñò + 8 pt29.Êóðñèâ38.Èíòåðâàë 0 pt108"/>
    <w:uiPriority w:val="99"/>
    <w:rsid w:val="00045010"/>
    <w:rPr>
      <w:rFonts w:ascii="Arial Unicode MS" w:eastAsia="Arial Unicode MS" w:hAnsi="Microsoft Sans Serif" w:cs="Arial Unicode MS"/>
      <w:i/>
      <w:iCs/>
      <w:noProof/>
      <w:spacing w:val="0"/>
      <w:sz w:val="16"/>
      <w:szCs w:val="16"/>
    </w:rPr>
  </w:style>
  <w:style w:type="character" w:customStyle="1" w:styleId="8pt28370pt1070">
    <w:name w:val="Îñíîâíîé òåêñò + 8 pt28.Êóðñèâ37.Èíòåðâàë 0 pt107"/>
    <w:uiPriority w:val="99"/>
    <w:rsid w:val="00045010"/>
    <w:rPr>
      <w:rFonts w:ascii="Arial Unicode MS" w:eastAsia="Arial Unicode MS" w:hAnsi="Microsoft Sans Serif" w:cs="Arial Unicode MS"/>
      <w:i/>
      <w:iCs/>
      <w:noProof/>
      <w:spacing w:val="0"/>
      <w:sz w:val="16"/>
      <w:szCs w:val="16"/>
    </w:rPr>
  </w:style>
  <w:style w:type="paragraph" w:customStyle="1" w:styleId="316">
    <w:name w:val="Îñíîâíîé òåêñò (3)1"/>
    <w:basedOn w:val="a"/>
    <w:uiPriority w:val="99"/>
    <w:rsid w:val="00045010"/>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27360pt1060">
    <w:name w:val="Îñíîâíîé òåêñò + 8 pt27.Êóðñèâ36.Èíòåðâàë 0 pt106"/>
    <w:uiPriority w:val="99"/>
    <w:rsid w:val="00045010"/>
    <w:rPr>
      <w:rFonts w:ascii="Microsoft Sans Serif" w:hAnsi="Microsoft Sans Serif" w:cs="Microsoft Sans Serif"/>
      <w:i/>
      <w:iCs/>
      <w:spacing w:val="0"/>
      <w:sz w:val="16"/>
      <w:szCs w:val="16"/>
    </w:rPr>
  </w:style>
  <w:style w:type="character" w:customStyle="1" w:styleId="5790">
    <w:name w:val="Îñíîâíîé òåêñò (5)79"/>
    <w:uiPriority w:val="99"/>
    <w:rsid w:val="00045010"/>
    <w:rPr>
      <w:i/>
      <w:iCs/>
      <w:spacing w:val="0"/>
      <w:sz w:val="16"/>
      <w:szCs w:val="16"/>
    </w:rPr>
  </w:style>
  <w:style w:type="character" w:customStyle="1" w:styleId="5780">
    <w:name w:val="Îñíîâíîé òåêñò (5)78"/>
    <w:uiPriority w:val="99"/>
    <w:rsid w:val="00045010"/>
    <w:rPr>
      <w:rFonts w:ascii="Arial Unicode MS" w:eastAsia="Arial Unicode MS" w:cs="Arial Unicode MS"/>
      <w:i/>
      <w:iCs/>
      <w:noProof/>
      <w:spacing w:val="0"/>
      <w:sz w:val="16"/>
      <w:szCs w:val="16"/>
    </w:rPr>
  </w:style>
  <w:style w:type="character" w:customStyle="1" w:styleId="57pt250">
    <w:name w:val="Îñíîâíîé òåêñò (5) + 7 pt.Ïîëóæèðíûé25"/>
    <w:uiPriority w:val="99"/>
    <w:rsid w:val="00045010"/>
    <w:rPr>
      <w:b/>
      <w:bCs/>
      <w:i/>
      <w:iCs/>
      <w:spacing w:val="0"/>
      <w:sz w:val="14"/>
      <w:szCs w:val="14"/>
    </w:rPr>
  </w:style>
  <w:style w:type="character" w:customStyle="1" w:styleId="57pt1240">
    <w:name w:val="Îñíîâíîé òåêñò (5) + 7 pt1.Ïîëóæèðíûé24"/>
    <w:uiPriority w:val="99"/>
    <w:rsid w:val="00045010"/>
    <w:rPr>
      <w:b/>
      <w:bCs/>
      <w:i/>
      <w:iCs/>
      <w:spacing w:val="0"/>
      <w:sz w:val="14"/>
      <w:szCs w:val="14"/>
    </w:rPr>
  </w:style>
  <w:style w:type="character" w:customStyle="1" w:styleId="affff9">
    <w:name w:val="Ñíîñêà_"/>
    <w:uiPriority w:val="99"/>
    <w:rsid w:val="00045010"/>
    <w:rPr>
      <w:i/>
      <w:iCs/>
      <w:sz w:val="13"/>
      <w:szCs w:val="13"/>
    </w:rPr>
  </w:style>
  <w:style w:type="character" w:customStyle="1" w:styleId="130">
    <w:name w:val="Ñíîñêà13"/>
    <w:uiPriority w:val="99"/>
    <w:rsid w:val="00045010"/>
    <w:rPr>
      <w:i/>
      <w:iCs/>
      <w:sz w:val="13"/>
      <w:szCs w:val="13"/>
    </w:rPr>
  </w:style>
  <w:style w:type="character" w:customStyle="1" w:styleId="8pt25340pt1040">
    <w:name w:val="Îñíîâíîé òåêñò + 8 pt25.Êóðñèâ34.Èíòåðâàë 0 pt104"/>
    <w:uiPriority w:val="99"/>
    <w:rsid w:val="00045010"/>
    <w:rPr>
      <w:rFonts w:ascii="Microsoft Sans Serif" w:hAnsi="Microsoft Sans Serif" w:cs="Microsoft Sans Serif"/>
      <w:i/>
      <w:iCs/>
      <w:spacing w:val="0"/>
      <w:sz w:val="16"/>
      <w:szCs w:val="16"/>
    </w:rPr>
  </w:style>
  <w:style w:type="character" w:customStyle="1" w:styleId="8pt22310pt1010">
    <w:name w:val="Îñíîâíîé òåêñò + 8 pt22.Êóðñèâ31.Èíòåðâàë 0 pt101"/>
    <w:uiPriority w:val="99"/>
    <w:rsid w:val="00045010"/>
    <w:rPr>
      <w:rFonts w:ascii="Arial Unicode MS" w:eastAsia="Arial Unicode MS" w:hAnsi="Microsoft Sans Serif" w:cs="Arial Unicode MS"/>
      <w:i/>
      <w:iCs/>
      <w:noProof/>
      <w:spacing w:val="0"/>
      <w:sz w:val="16"/>
      <w:szCs w:val="16"/>
    </w:rPr>
  </w:style>
  <w:style w:type="character" w:customStyle="1" w:styleId="5770">
    <w:name w:val="Îñíîâíîé òåêñò (5)77"/>
    <w:uiPriority w:val="99"/>
    <w:rsid w:val="00045010"/>
    <w:rPr>
      <w:i/>
      <w:iCs/>
      <w:spacing w:val="0"/>
      <w:sz w:val="16"/>
      <w:szCs w:val="16"/>
    </w:rPr>
  </w:style>
  <w:style w:type="character" w:customStyle="1" w:styleId="5760">
    <w:name w:val="Îñíîâíîé òåêñò (5)76"/>
    <w:uiPriority w:val="99"/>
    <w:rsid w:val="00045010"/>
    <w:rPr>
      <w:rFonts w:ascii="Arial Unicode MS" w:eastAsia="Arial Unicode MS" w:cs="Arial Unicode MS"/>
      <w:i/>
      <w:iCs/>
      <w:noProof/>
      <w:spacing w:val="0"/>
      <w:sz w:val="16"/>
      <w:szCs w:val="16"/>
    </w:rPr>
  </w:style>
  <w:style w:type="paragraph" w:customStyle="1" w:styleId="1f4">
    <w:name w:val="Ñíîñêà1"/>
    <w:basedOn w:val="a"/>
    <w:uiPriority w:val="99"/>
    <w:rsid w:val="00045010"/>
    <w:pPr>
      <w:shd w:val="clear" w:color="auto" w:fill="FFFFFF"/>
      <w:autoSpaceDE w:val="0"/>
      <w:autoSpaceDN w:val="0"/>
      <w:adjustRightInd w:val="0"/>
      <w:spacing w:after="0" w:line="168" w:lineRule="exact"/>
      <w:jc w:val="both"/>
    </w:pPr>
    <w:rPr>
      <w:rFonts w:ascii="Times New Roman" w:hAnsi="Times New Roman"/>
      <w:i/>
      <w:iCs/>
      <w:noProof/>
      <w:sz w:val="13"/>
      <w:szCs w:val="13"/>
      <w:lang w:val="en-US"/>
    </w:rPr>
  </w:style>
  <w:style w:type="paragraph" w:customStyle="1" w:styleId="610">
    <w:name w:val="Çàãîëîâîê ¹61"/>
    <w:basedOn w:val="a"/>
    <w:uiPriority w:val="99"/>
    <w:rsid w:val="00045010"/>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0">
    <w:name w:val="Îñíîâíîé òåêñò + 8 pt21.Êóðñèâ30.Èíòåðâàë 0 pt98"/>
    <w:uiPriority w:val="99"/>
    <w:rsid w:val="00045010"/>
    <w:rPr>
      <w:rFonts w:ascii="Microsoft Sans Serif" w:hAnsi="Microsoft Sans Serif" w:cs="Microsoft Sans Serif"/>
      <w:i/>
      <w:iCs/>
      <w:spacing w:val="0"/>
      <w:sz w:val="16"/>
      <w:szCs w:val="16"/>
    </w:rPr>
  </w:style>
  <w:style w:type="character" w:customStyle="1" w:styleId="8pt20290pt970">
    <w:name w:val="Îñíîâíîé òåêñò + 8 pt20.Êóðñèâ29.Èíòåðâàë 0 pt97"/>
    <w:uiPriority w:val="99"/>
    <w:rsid w:val="00045010"/>
    <w:rPr>
      <w:rFonts w:ascii="Microsoft Sans Serif" w:hAnsi="Microsoft Sans Serif" w:cs="Microsoft Sans Serif"/>
      <w:i/>
      <w:iCs/>
      <w:spacing w:val="0"/>
      <w:sz w:val="16"/>
      <w:szCs w:val="16"/>
    </w:rPr>
  </w:style>
  <w:style w:type="character" w:customStyle="1" w:styleId="8pt19280pt96">
    <w:name w:val="Îñíîâíîé òåêñò + 8 pt19.Êóðñèâ28.Èíòåðâàë 0 pt96"/>
    <w:uiPriority w:val="99"/>
    <w:rsid w:val="00045010"/>
    <w:rPr>
      <w:rFonts w:ascii="Arial Unicode MS" w:eastAsia="Arial Unicode MS" w:hAnsi="Microsoft Sans Serif" w:cs="Arial Unicode MS"/>
      <w:i/>
      <w:iCs/>
      <w:noProof/>
      <w:spacing w:val="0"/>
      <w:sz w:val="16"/>
      <w:szCs w:val="16"/>
    </w:rPr>
  </w:style>
  <w:style w:type="character" w:customStyle="1" w:styleId="8pt18270pt950">
    <w:name w:val="Îñíîâíîé òåêñò + 8 pt18.Êóðñèâ27.Èíòåðâàë 0 pt95"/>
    <w:uiPriority w:val="99"/>
    <w:rsid w:val="00045010"/>
    <w:rPr>
      <w:rFonts w:ascii="Arial Unicode MS" w:eastAsia="Arial Unicode MS" w:hAnsi="Microsoft Sans Serif" w:cs="Arial Unicode MS"/>
      <w:i/>
      <w:iCs/>
      <w:noProof/>
      <w:spacing w:val="0"/>
      <w:sz w:val="16"/>
      <w:szCs w:val="16"/>
    </w:rPr>
  </w:style>
  <w:style w:type="character" w:customStyle="1" w:styleId="8pt17260pt94">
    <w:name w:val="Îñíîâíîé òåêñò + 8 pt17.Êóðñèâ26.Èíòåðâàë 0 pt94"/>
    <w:uiPriority w:val="99"/>
    <w:rsid w:val="00045010"/>
    <w:rPr>
      <w:rFonts w:ascii="Microsoft Sans Serif" w:hAnsi="Microsoft Sans Serif" w:cs="Microsoft Sans Serif"/>
      <w:i/>
      <w:iCs/>
      <w:spacing w:val="0"/>
      <w:sz w:val="16"/>
      <w:szCs w:val="16"/>
    </w:rPr>
  </w:style>
  <w:style w:type="character" w:customStyle="1" w:styleId="8pt16250pt93">
    <w:name w:val="Îñíîâíîé òåêñò + 8 pt16.Êóðñèâ25.Èíòåðâàë 0 pt93"/>
    <w:uiPriority w:val="99"/>
    <w:rsid w:val="00045010"/>
    <w:rPr>
      <w:rFonts w:ascii="Arial Unicode MS" w:eastAsia="Arial Unicode MS" w:hAnsi="Microsoft Sans Serif" w:cs="Arial Unicode MS"/>
      <w:i/>
      <w:iCs/>
      <w:noProof/>
      <w:spacing w:val="0"/>
      <w:sz w:val="16"/>
      <w:szCs w:val="16"/>
    </w:rPr>
  </w:style>
  <w:style w:type="character" w:customStyle="1" w:styleId="7pt230pt92">
    <w:name w:val="Îñíîâíîé òåêñò + 7 pt.Ïîëóæèðíûé23.Èíòåðâàë 0 pt92"/>
    <w:uiPriority w:val="99"/>
    <w:rsid w:val="00045010"/>
    <w:rPr>
      <w:rFonts w:ascii="Arial Unicode MS" w:eastAsia="Arial Unicode MS" w:hAnsi="Microsoft Sans Serif" w:cs="Arial Unicode MS"/>
      <w:b/>
      <w:bCs/>
      <w:spacing w:val="0"/>
      <w:sz w:val="14"/>
      <w:szCs w:val="14"/>
      <w:lang w:val="en-US"/>
    </w:rPr>
  </w:style>
  <w:style w:type="character" w:customStyle="1" w:styleId="131">
    <w:name w:val="Îñíîâíîé òåêñò (13)_"/>
    <w:uiPriority w:val="99"/>
    <w:rsid w:val="00045010"/>
    <w:rPr>
      <w:b/>
      <w:bCs/>
      <w:sz w:val="13"/>
      <w:szCs w:val="13"/>
    </w:rPr>
  </w:style>
  <w:style w:type="character" w:customStyle="1" w:styleId="1322">
    <w:name w:val="Îñíîâíîé òåêñò (13)22"/>
    <w:uiPriority w:val="99"/>
    <w:rsid w:val="00045010"/>
    <w:rPr>
      <w:b/>
      <w:bCs/>
      <w:sz w:val="13"/>
      <w:szCs w:val="13"/>
    </w:rPr>
  </w:style>
  <w:style w:type="character" w:customStyle="1" w:styleId="575">
    <w:name w:val="Îñíîâíîé òåêñò (5)75"/>
    <w:uiPriority w:val="99"/>
    <w:rsid w:val="00045010"/>
    <w:rPr>
      <w:i/>
      <w:iCs/>
      <w:spacing w:val="0"/>
      <w:sz w:val="16"/>
      <w:szCs w:val="16"/>
    </w:rPr>
  </w:style>
  <w:style w:type="character" w:customStyle="1" w:styleId="574">
    <w:name w:val="Îñíîâíîé òåêñò (5)74"/>
    <w:uiPriority w:val="99"/>
    <w:rsid w:val="00045010"/>
    <w:rPr>
      <w:rFonts w:ascii="Arial Unicode MS" w:eastAsia="Arial Unicode MS" w:cs="Arial Unicode MS"/>
      <w:i/>
      <w:iCs/>
      <w:noProof/>
      <w:spacing w:val="0"/>
      <w:sz w:val="16"/>
      <w:szCs w:val="16"/>
    </w:rPr>
  </w:style>
  <w:style w:type="character" w:customStyle="1" w:styleId="58455pt61520pt91">
    <w:name w:val="Îñíîâíîé òåêñò (5) + 845.5 pt61.Íå êóðñèâ52.Èíòåðâàë 0 pt91"/>
    <w:uiPriority w:val="99"/>
    <w:rsid w:val="00045010"/>
    <w:rPr>
      <w:i/>
      <w:iCs/>
      <w:spacing w:val="-10"/>
      <w:sz w:val="17"/>
      <w:szCs w:val="17"/>
    </w:rPr>
  </w:style>
  <w:style w:type="character" w:customStyle="1" w:styleId="58445pt60510pt90">
    <w:name w:val="Îñíîâíîé òåêñò (5) + 844.5 pt60.Íå êóðñèâ51.Èíòåðâàë 0 pt90"/>
    <w:uiPriority w:val="99"/>
    <w:rsid w:val="00045010"/>
    <w:rPr>
      <w:rFonts w:ascii="Arial Unicode MS" w:eastAsia="Arial Unicode MS" w:cs="Arial Unicode MS"/>
      <w:i/>
      <w:iCs/>
      <w:noProof/>
      <w:spacing w:val="-10"/>
      <w:sz w:val="17"/>
      <w:szCs w:val="17"/>
    </w:rPr>
  </w:style>
  <w:style w:type="paragraph" w:customStyle="1" w:styleId="1310">
    <w:name w:val="Îñíîâíîé òåêñò (13)1"/>
    <w:basedOn w:val="a"/>
    <w:uiPriority w:val="99"/>
    <w:rsid w:val="00045010"/>
    <w:pPr>
      <w:shd w:val="clear" w:color="auto" w:fill="FFFFFF"/>
      <w:autoSpaceDE w:val="0"/>
      <w:autoSpaceDN w:val="0"/>
      <w:adjustRightInd w:val="0"/>
      <w:spacing w:before="120" w:after="0" w:line="168" w:lineRule="exact"/>
    </w:pPr>
    <w:rPr>
      <w:rFonts w:ascii="Times New Roman" w:hAnsi="Times New Roman"/>
      <w:b/>
      <w:bCs/>
      <w:noProof/>
      <w:sz w:val="13"/>
      <w:szCs w:val="13"/>
      <w:lang w:val="en-US"/>
    </w:rPr>
  </w:style>
  <w:style w:type="character" w:customStyle="1" w:styleId="58435pt59500pt89">
    <w:name w:val="Îñíîâíîé òåêñò (5) + 843.5 pt59.Íå êóðñèâ50.Èíòåðâàë 0 pt89"/>
    <w:uiPriority w:val="99"/>
    <w:rsid w:val="00045010"/>
    <w:rPr>
      <w:i/>
      <w:iCs/>
      <w:spacing w:val="-10"/>
      <w:sz w:val="17"/>
      <w:szCs w:val="17"/>
    </w:rPr>
  </w:style>
  <w:style w:type="character" w:customStyle="1" w:styleId="573">
    <w:name w:val="Îñíîâíîé òåêñò (5)73"/>
    <w:uiPriority w:val="99"/>
    <w:rsid w:val="00045010"/>
    <w:rPr>
      <w:i/>
      <w:iCs/>
      <w:spacing w:val="0"/>
      <w:sz w:val="16"/>
      <w:szCs w:val="16"/>
    </w:rPr>
  </w:style>
  <w:style w:type="character" w:customStyle="1" w:styleId="572">
    <w:name w:val="Îñíîâíîé òåêñò (5)72"/>
    <w:uiPriority w:val="99"/>
    <w:rsid w:val="00045010"/>
    <w:rPr>
      <w:rFonts w:ascii="Arial Unicode MS" w:eastAsia="Arial Unicode MS" w:cs="Arial Unicode MS"/>
      <w:i/>
      <w:iCs/>
      <w:noProof/>
      <w:spacing w:val="0"/>
      <w:sz w:val="16"/>
      <w:szCs w:val="16"/>
    </w:rPr>
  </w:style>
  <w:style w:type="character" w:customStyle="1" w:styleId="58425pt58490pt88">
    <w:name w:val="Îñíîâíîé òåêñò (5) + 842.5 pt58.Íå êóðñèâ49.Èíòåðâàë 0 pt88"/>
    <w:uiPriority w:val="99"/>
    <w:rsid w:val="00045010"/>
    <w:rPr>
      <w:rFonts w:ascii="Arial Unicode MS" w:eastAsia="Arial Unicode MS" w:cs="Arial Unicode MS"/>
      <w:i/>
      <w:iCs/>
      <w:noProof/>
      <w:spacing w:val="-10"/>
      <w:sz w:val="17"/>
      <w:szCs w:val="17"/>
    </w:rPr>
  </w:style>
  <w:style w:type="character" w:customStyle="1" w:styleId="571">
    <w:name w:val="Îñíîâíîé òåêñò (5)71"/>
    <w:uiPriority w:val="99"/>
    <w:rsid w:val="00045010"/>
    <w:rPr>
      <w:i/>
      <w:iCs/>
      <w:spacing w:val="0"/>
      <w:sz w:val="16"/>
      <w:szCs w:val="16"/>
    </w:rPr>
  </w:style>
  <w:style w:type="character" w:customStyle="1" w:styleId="570">
    <w:name w:val="Îñíîâíîé òåêñò (5)70"/>
    <w:uiPriority w:val="99"/>
    <w:rsid w:val="00045010"/>
    <w:rPr>
      <w:rFonts w:ascii="Arial Unicode MS" w:eastAsia="Arial Unicode MS" w:cs="Arial Unicode MS"/>
      <w:i/>
      <w:iCs/>
      <w:noProof/>
      <w:spacing w:val="0"/>
      <w:sz w:val="16"/>
      <w:szCs w:val="16"/>
    </w:rPr>
  </w:style>
  <w:style w:type="character" w:customStyle="1" w:styleId="58415pt5722">
    <w:name w:val="Îñíîâíîé òåêñò (5) + 841.5 pt57.Ïîëóæèðíûé22"/>
    <w:uiPriority w:val="99"/>
    <w:rsid w:val="00045010"/>
    <w:rPr>
      <w:b/>
      <w:bCs/>
      <w:i/>
      <w:iCs/>
      <w:spacing w:val="0"/>
      <w:sz w:val="17"/>
      <w:szCs w:val="17"/>
    </w:rPr>
  </w:style>
  <w:style w:type="character" w:customStyle="1" w:styleId="203">
    <w:name w:val="Îñíîâíîé òåêñò (20)_"/>
    <w:uiPriority w:val="99"/>
    <w:rsid w:val="00045010"/>
    <w:rPr>
      <w:b/>
      <w:bCs/>
      <w:i/>
      <w:iCs/>
      <w:sz w:val="15"/>
      <w:szCs w:val="15"/>
    </w:rPr>
  </w:style>
  <w:style w:type="character" w:customStyle="1" w:styleId="204">
    <w:name w:val="Îñíîâíîé òåêñò (20)"/>
    <w:uiPriority w:val="99"/>
    <w:rsid w:val="00045010"/>
    <w:rPr>
      <w:b/>
      <w:bCs/>
      <w:i/>
      <w:iCs/>
      <w:sz w:val="15"/>
      <w:szCs w:val="15"/>
    </w:rPr>
  </w:style>
  <w:style w:type="character" w:customStyle="1" w:styleId="2030">
    <w:name w:val="Îñíîâíîé òåêñò (20)3"/>
    <w:uiPriority w:val="99"/>
    <w:rsid w:val="00045010"/>
    <w:rPr>
      <w:rFonts w:ascii="Arial Unicode MS" w:eastAsia="Arial Unicode MS" w:cs="Arial Unicode MS"/>
      <w:b/>
      <w:bCs/>
      <w:i/>
      <w:iCs/>
      <w:noProof/>
      <w:sz w:val="15"/>
      <w:szCs w:val="15"/>
    </w:rPr>
  </w:style>
  <w:style w:type="character" w:customStyle="1" w:styleId="208pt4">
    <w:name w:val="Îñíîâíîé òåêñò (20) + 8 pt.Íå ïîëóæèðíûé4"/>
    <w:uiPriority w:val="99"/>
    <w:rsid w:val="00045010"/>
    <w:rPr>
      <w:rFonts w:ascii="Arial Unicode MS" w:eastAsia="Arial Unicode MS" w:cs="Arial Unicode MS"/>
      <w:b/>
      <w:bCs/>
      <w:i/>
      <w:iCs/>
      <w:noProof/>
      <w:sz w:val="16"/>
      <w:szCs w:val="16"/>
    </w:rPr>
  </w:style>
  <w:style w:type="character" w:customStyle="1" w:styleId="2020">
    <w:name w:val="Îñíîâíîé òåêñò (20)2"/>
    <w:uiPriority w:val="99"/>
    <w:rsid w:val="00045010"/>
    <w:rPr>
      <w:b/>
      <w:bCs/>
      <w:i/>
      <w:iCs/>
      <w:sz w:val="15"/>
      <w:szCs w:val="15"/>
    </w:rPr>
  </w:style>
  <w:style w:type="character" w:customStyle="1" w:styleId="2040">
    <w:name w:val="Îñíîâíîé òåêñò (20) + Íå ïîëóæèðíûé.Ìàëûå ïðîïèñíûå4"/>
    <w:uiPriority w:val="99"/>
    <w:rsid w:val="00045010"/>
    <w:rPr>
      <w:b/>
      <w:bCs/>
      <w:i/>
      <w:iCs/>
      <w:smallCaps/>
      <w:sz w:val="15"/>
      <w:szCs w:val="15"/>
    </w:rPr>
  </w:style>
  <w:style w:type="paragraph" w:customStyle="1" w:styleId="2011">
    <w:name w:val="Îñíîâíîé òåêñò (20)1"/>
    <w:basedOn w:val="a"/>
    <w:uiPriority w:val="99"/>
    <w:rsid w:val="00045010"/>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430">
    <w:name w:val="Îñíîâíîé òåêñò (4) + Íå êóðñèâ3"/>
    <w:uiPriority w:val="99"/>
    <w:rsid w:val="00045010"/>
    <w:rPr>
      <w:rFonts w:ascii="Microsoft Sans Serif" w:hAnsi="Microsoft Sans Serif" w:cs="Microsoft Sans Serif"/>
      <w:i/>
      <w:iCs/>
      <w:sz w:val="15"/>
      <w:szCs w:val="15"/>
    </w:rPr>
  </w:style>
  <w:style w:type="character" w:customStyle="1" w:styleId="490">
    <w:name w:val="Îñíîâíîé òåêñò (4)9"/>
    <w:uiPriority w:val="99"/>
    <w:rsid w:val="00045010"/>
    <w:rPr>
      <w:rFonts w:ascii="Microsoft Sans Serif" w:hAnsi="Microsoft Sans Serif" w:cs="Microsoft Sans Serif"/>
      <w:i/>
      <w:iCs/>
      <w:sz w:val="15"/>
      <w:szCs w:val="15"/>
      <w:u w:val="single"/>
    </w:rPr>
  </w:style>
  <w:style w:type="character" w:customStyle="1" w:styleId="481">
    <w:name w:val="Îñíîâíîé òåêñò (4)8"/>
    <w:uiPriority w:val="99"/>
    <w:rsid w:val="00045010"/>
    <w:rPr>
      <w:rFonts w:ascii="Microsoft Sans Serif" w:hAnsi="Microsoft Sans Serif" w:cs="Microsoft Sans Serif"/>
      <w:i/>
      <w:iCs/>
      <w:sz w:val="15"/>
      <w:szCs w:val="15"/>
      <w:u w:val="single"/>
    </w:rPr>
  </w:style>
  <w:style w:type="character" w:customStyle="1" w:styleId="440">
    <w:name w:val="Îñíîâíîé òåêñò (4) + Íå êóðñèâ4"/>
    <w:uiPriority w:val="99"/>
    <w:rsid w:val="00045010"/>
    <w:rPr>
      <w:rFonts w:ascii="Microsoft Sans Serif" w:hAnsi="Microsoft Sans Serif" w:cs="Microsoft Sans Serif"/>
      <w:i/>
      <w:iCs/>
      <w:sz w:val="15"/>
      <w:szCs w:val="15"/>
    </w:rPr>
  </w:style>
  <w:style w:type="character" w:customStyle="1" w:styleId="471">
    <w:name w:val="Îñíîâíîé òåêñò (4)7"/>
    <w:uiPriority w:val="99"/>
    <w:rsid w:val="00045010"/>
    <w:rPr>
      <w:rFonts w:ascii="Microsoft Sans Serif" w:hAnsi="Microsoft Sans Serif" w:cs="Microsoft Sans Serif"/>
      <w:i/>
      <w:iCs/>
      <w:sz w:val="15"/>
      <w:szCs w:val="15"/>
      <w:u w:val="single"/>
    </w:rPr>
  </w:style>
  <w:style w:type="character" w:customStyle="1" w:styleId="460">
    <w:name w:val="Îñíîâíîé òåêñò (4)6"/>
    <w:uiPriority w:val="99"/>
    <w:rsid w:val="00045010"/>
    <w:rPr>
      <w:rFonts w:ascii="Microsoft Sans Serif" w:hAnsi="Microsoft Sans Serif" w:cs="Microsoft Sans Serif"/>
      <w:i/>
      <w:iCs/>
      <w:sz w:val="15"/>
      <w:szCs w:val="15"/>
      <w:u w:val="single"/>
    </w:rPr>
  </w:style>
  <w:style w:type="character" w:customStyle="1" w:styleId="420">
    <w:name w:val="Îñíîâíîé òåêñò (4) + Íå êóðñèâ2"/>
    <w:uiPriority w:val="99"/>
    <w:rsid w:val="00045010"/>
    <w:rPr>
      <w:rFonts w:ascii="Microsoft Sans Serif" w:hAnsi="Microsoft Sans Serif" w:cs="Microsoft Sans Serif"/>
      <w:i/>
      <w:iCs/>
      <w:sz w:val="15"/>
      <w:szCs w:val="15"/>
    </w:rPr>
  </w:style>
  <w:style w:type="character" w:customStyle="1" w:styleId="450">
    <w:name w:val="Îñíîâíîé òåêñò (4)5"/>
    <w:uiPriority w:val="99"/>
    <w:rsid w:val="00045010"/>
    <w:rPr>
      <w:rFonts w:ascii="Microsoft Sans Serif" w:hAnsi="Microsoft Sans Serif" w:cs="Microsoft Sans Serif"/>
      <w:i/>
      <w:iCs/>
      <w:sz w:val="15"/>
      <w:szCs w:val="15"/>
      <w:u w:val="single"/>
    </w:rPr>
  </w:style>
  <w:style w:type="character" w:customStyle="1" w:styleId="465pt15122">
    <w:name w:val="Îñíîâíîé òåêñò (4) + 6.5 pt15.Ïîëóæèðíûé12.Íå êóðñèâ2"/>
    <w:uiPriority w:val="99"/>
    <w:rsid w:val="00045010"/>
    <w:rPr>
      <w:rFonts w:ascii="Microsoft Sans Serif" w:hAnsi="Microsoft Sans Serif" w:cs="Microsoft Sans Serif"/>
      <w:b/>
      <w:bCs/>
      <w:i/>
      <w:iCs/>
      <w:sz w:val="13"/>
      <w:szCs w:val="13"/>
    </w:rPr>
  </w:style>
  <w:style w:type="character" w:customStyle="1" w:styleId="441">
    <w:name w:val="Îñíîâíîé òåêñò (4)4"/>
    <w:uiPriority w:val="99"/>
    <w:rsid w:val="00045010"/>
    <w:rPr>
      <w:rFonts w:ascii="Microsoft Sans Serif" w:hAnsi="Microsoft Sans Serif" w:cs="Microsoft Sans Serif"/>
      <w:i/>
      <w:iCs/>
      <w:sz w:val="15"/>
      <w:szCs w:val="15"/>
      <w:u w:val="single"/>
    </w:rPr>
  </w:style>
  <w:style w:type="character" w:customStyle="1" w:styleId="431">
    <w:name w:val="Îñíîâíîé òåêñò (4)3"/>
    <w:uiPriority w:val="99"/>
    <w:rsid w:val="00045010"/>
    <w:rPr>
      <w:rFonts w:ascii="Microsoft Sans Serif" w:hAnsi="Microsoft Sans Serif" w:cs="Microsoft Sans Serif"/>
      <w:i/>
      <w:iCs/>
      <w:sz w:val="15"/>
      <w:szCs w:val="15"/>
      <w:u w:val="single"/>
    </w:rPr>
  </w:style>
  <w:style w:type="character" w:customStyle="1" w:styleId="413">
    <w:name w:val="Îñíîâíîé òåêñò (4) + Íå êóðñèâ1"/>
    <w:uiPriority w:val="99"/>
    <w:rsid w:val="00045010"/>
    <w:rPr>
      <w:rFonts w:ascii="Microsoft Sans Serif" w:hAnsi="Microsoft Sans Serif" w:cs="Microsoft Sans Serif"/>
      <w:i/>
      <w:iCs/>
      <w:sz w:val="15"/>
      <w:szCs w:val="15"/>
    </w:rPr>
  </w:style>
  <w:style w:type="character" w:customStyle="1" w:styleId="4-1pt">
    <w:name w:val="Îñíîâíîé òåêñò (4) + Èíòåðâàë -1 pt"/>
    <w:uiPriority w:val="99"/>
    <w:rsid w:val="00045010"/>
    <w:rPr>
      <w:rFonts w:ascii="Microsoft Sans Serif" w:hAnsi="Microsoft Sans Serif" w:cs="Microsoft Sans Serif"/>
      <w:i/>
      <w:iCs/>
      <w:spacing w:val="-20"/>
      <w:sz w:val="15"/>
      <w:szCs w:val="15"/>
    </w:rPr>
  </w:style>
  <w:style w:type="character" w:customStyle="1" w:styleId="3f4">
    <w:name w:val="Îñíîâíîé òåêñò + Êóðñèâ3"/>
    <w:uiPriority w:val="99"/>
    <w:rsid w:val="00045010"/>
    <w:rPr>
      <w:rFonts w:ascii="Microsoft Sans Serif" w:hAnsi="Microsoft Sans Serif" w:cs="Microsoft Sans Serif"/>
      <w:i/>
      <w:iCs/>
      <w:sz w:val="15"/>
      <w:szCs w:val="15"/>
    </w:rPr>
  </w:style>
  <w:style w:type="character" w:customStyle="1" w:styleId="2f5">
    <w:name w:val="Îñíîâíîé òåêñò + Êóðñèâ2"/>
    <w:uiPriority w:val="99"/>
    <w:rsid w:val="00045010"/>
    <w:rPr>
      <w:rFonts w:ascii="Microsoft Sans Serif" w:hAnsi="Microsoft Sans Serif" w:cs="Microsoft Sans Serif"/>
      <w:i/>
      <w:iCs/>
      <w:sz w:val="15"/>
      <w:szCs w:val="15"/>
    </w:rPr>
  </w:style>
  <w:style w:type="paragraph" w:customStyle="1" w:styleId="83">
    <w:name w:val="Çàãîëîâîê ¹8"/>
    <w:basedOn w:val="a"/>
    <w:uiPriority w:val="99"/>
    <w:rsid w:val="00045010"/>
    <w:pPr>
      <w:shd w:val="clear" w:color="auto" w:fill="FFFFFF"/>
      <w:autoSpaceDE w:val="0"/>
      <w:autoSpaceDN w:val="0"/>
      <w:adjustRightInd w:val="0"/>
      <w:spacing w:before="180" w:after="0" w:line="211" w:lineRule="exact"/>
    </w:pPr>
    <w:rPr>
      <w:rFonts w:ascii="Microsoft Sans Serif" w:hAnsi="Microsoft Sans Serif" w:cs="Microsoft Sans Serif"/>
      <w:b/>
      <w:bCs/>
      <w:noProof/>
      <w:sz w:val="17"/>
      <w:szCs w:val="17"/>
      <w:lang w:val="en-US"/>
    </w:rPr>
  </w:style>
  <w:style w:type="paragraph" w:customStyle="1" w:styleId="215">
    <w:name w:val="Îñíîâíîé òåêñò (21)"/>
    <w:basedOn w:val="a"/>
    <w:uiPriority w:val="99"/>
    <w:rsid w:val="00045010"/>
    <w:pPr>
      <w:shd w:val="clear" w:color="auto" w:fill="FFFFFF"/>
      <w:autoSpaceDE w:val="0"/>
      <w:autoSpaceDN w:val="0"/>
      <w:adjustRightInd w:val="0"/>
      <w:spacing w:after="120" w:line="211" w:lineRule="exact"/>
      <w:ind w:firstLine="280"/>
      <w:jc w:val="both"/>
    </w:pPr>
    <w:rPr>
      <w:rFonts w:ascii="Microsoft Sans Serif" w:hAnsi="Microsoft Sans Serif" w:cs="Microsoft Sans Serif"/>
      <w:b/>
      <w:bCs/>
      <w:i/>
      <w:iCs/>
      <w:noProof/>
      <w:sz w:val="16"/>
      <w:szCs w:val="16"/>
      <w:lang w:val="en-US"/>
    </w:rPr>
  </w:style>
  <w:style w:type="paragraph" w:customStyle="1" w:styleId="1210">
    <w:name w:val="Îñíîâíîé òåêñò (12)1"/>
    <w:basedOn w:val="a"/>
    <w:uiPriority w:val="99"/>
    <w:rsid w:val="00045010"/>
    <w:pPr>
      <w:shd w:val="clear" w:color="auto" w:fill="FFFFFF"/>
      <w:autoSpaceDE w:val="0"/>
      <w:autoSpaceDN w:val="0"/>
      <w:adjustRightInd w:val="0"/>
      <w:spacing w:before="420" w:after="0" w:line="206" w:lineRule="exact"/>
      <w:jc w:val="both"/>
    </w:pPr>
    <w:rPr>
      <w:rFonts w:ascii="Microsoft Sans Serif" w:hAnsi="Microsoft Sans Serif" w:cs="Microsoft Sans Serif"/>
      <w:i/>
      <w:iCs/>
      <w:noProof/>
      <w:sz w:val="16"/>
      <w:szCs w:val="16"/>
      <w:lang w:val="en-US"/>
    </w:rPr>
  </w:style>
  <w:style w:type="character" w:customStyle="1" w:styleId="200pt65">
    <w:name w:val="Îñíîâíîé òåêñò (20) + Íå êóðñèâ.Èíòåðâàë 0 pt65"/>
    <w:uiPriority w:val="99"/>
    <w:rsid w:val="00045010"/>
    <w:rPr>
      <w:rFonts w:ascii="Lucida Sans Unicode" w:hAnsi="Lucida Sans Unicode" w:cs="Lucida Sans Unicode"/>
      <w:i/>
      <w:iCs/>
      <w:spacing w:val="-10"/>
      <w:sz w:val="16"/>
      <w:szCs w:val="16"/>
    </w:rPr>
  </w:style>
  <w:style w:type="character" w:customStyle="1" w:styleId="160pt64">
    <w:name w:val="Îñíîâíîé òåêñò + Êóðñèâ16.Èíòåðâàë 0 pt64"/>
    <w:uiPriority w:val="99"/>
    <w:rsid w:val="00045010"/>
    <w:rPr>
      <w:rFonts w:ascii="Lucida Sans Unicode" w:hAnsi="Lucida Sans Unicode" w:cs="Lucida Sans Unicode"/>
      <w:i/>
      <w:iCs/>
      <w:spacing w:val="0"/>
      <w:sz w:val="16"/>
      <w:szCs w:val="16"/>
    </w:rPr>
  </w:style>
  <w:style w:type="character" w:customStyle="1" w:styleId="20160pt63">
    <w:name w:val="Îñíîâíîé òåêñò (20) + Íå êóðñèâ16.Èíòåðâàë 0 pt63"/>
    <w:uiPriority w:val="99"/>
    <w:rsid w:val="00045010"/>
    <w:rPr>
      <w:rFonts w:ascii="Lucida Sans Unicode" w:hAnsi="Lucida Sans Unicode" w:cs="Lucida Sans Unicode"/>
      <w:i/>
      <w:iCs/>
      <w:spacing w:val="-10"/>
      <w:sz w:val="16"/>
      <w:szCs w:val="16"/>
    </w:rPr>
  </w:style>
  <w:style w:type="character" w:customStyle="1" w:styleId="206">
    <w:name w:val="Îñíîâíîé òåêñò (20)6"/>
    <w:uiPriority w:val="99"/>
    <w:rsid w:val="00045010"/>
    <w:rPr>
      <w:rFonts w:ascii="Lucida Sans Unicode" w:hAnsi="Lucida Sans Unicode" w:cs="Lucida Sans Unicode"/>
      <w:b/>
      <w:bCs/>
      <w:i/>
      <w:iCs/>
      <w:sz w:val="16"/>
      <w:szCs w:val="16"/>
      <w:u w:val="single"/>
    </w:rPr>
  </w:style>
  <w:style w:type="character" w:customStyle="1" w:styleId="20140pt59">
    <w:name w:val="Îñíîâíîé òåêñò (20) + Íå êóðñèâ14.Èíòåðâàë 0 pt59"/>
    <w:uiPriority w:val="99"/>
    <w:rsid w:val="00045010"/>
    <w:rPr>
      <w:rFonts w:ascii="Lucida Sans Unicode" w:hAnsi="Lucida Sans Unicode" w:cs="Lucida Sans Unicode"/>
      <w:b/>
      <w:bCs/>
      <w:i/>
      <w:iCs/>
      <w:spacing w:val="-10"/>
      <w:sz w:val="16"/>
      <w:szCs w:val="16"/>
    </w:rPr>
  </w:style>
  <w:style w:type="character" w:customStyle="1" w:styleId="140pt58">
    <w:name w:val="Îñíîâíîé òåêñò + Êóðñèâ14.Èíòåðâàë 0 pt58"/>
    <w:uiPriority w:val="99"/>
    <w:rsid w:val="00045010"/>
    <w:rPr>
      <w:rFonts w:ascii="Lucida Sans Unicode" w:hAnsi="Lucida Sans Unicode" w:cs="Lucida Sans Unicode"/>
      <w:i/>
      <w:iCs/>
      <w:spacing w:val="0"/>
      <w:sz w:val="16"/>
      <w:szCs w:val="16"/>
    </w:rPr>
  </w:style>
  <w:style w:type="character" w:customStyle="1" w:styleId="MSMincho">
    <w:name w:val="Îñíîâíîé òåêñò + MS Mincho"/>
    <w:uiPriority w:val="99"/>
    <w:rsid w:val="00045010"/>
    <w:rPr>
      <w:rFonts w:ascii="MS Mincho" w:eastAsia="MS Mincho" w:hAnsi="Microsoft Sans Serif" w:cs="MS Mincho"/>
      <w:spacing w:val="-10"/>
      <w:sz w:val="16"/>
      <w:szCs w:val="16"/>
    </w:rPr>
  </w:style>
  <w:style w:type="character" w:customStyle="1" w:styleId="20130pt57">
    <w:name w:val="Îñíîâíîé òåêñò (20) + Íå êóðñèâ13.Èíòåðâàë 0 pt57"/>
    <w:uiPriority w:val="99"/>
    <w:rsid w:val="00045010"/>
    <w:rPr>
      <w:rFonts w:ascii="Lucida Sans Unicode" w:hAnsi="Lucida Sans Unicode" w:cs="Lucida Sans Unicode"/>
      <w:b/>
      <w:bCs/>
      <w:i/>
      <w:iCs/>
      <w:spacing w:val="-10"/>
      <w:sz w:val="16"/>
      <w:szCs w:val="16"/>
    </w:rPr>
  </w:style>
  <w:style w:type="character" w:customStyle="1" w:styleId="205">
    <w:name w:val="Îñíîâíîé òåêñò (20)5"/>
    <w:uiPriority w:val="99"/>
    <w:rsid w:val="00045010"/>
    <w:rPr>
      <w:rFonts w:ascii="Lucida Sans Unicode" w:hAnsi="Lucida Sans Unicode" w:cs="Lucida Sans Unicode"/>
      <w:b/>
      <w:bCs/>
      <w:i/>
      <w:iCs/>
      <w:sz w:val="16"/>
      <w:szCs w:val="16"/>
      <w:u w:val="single"/>
    </w:rPr>
  </w:style>
  <w:style w:type="character" w:customStyle="1" w:styleId="2041">
    <w:name w:val="Îñíîâíîé òåêñò (20)4"/>
    <w:uiPriority w:val="99"/>
    <w:rsid w:val="00045010"/>
    <w:rPr>
      <w:rFonts w:ascii="Lucida Sans Unicode" w:hAnsi="Lucida Sans Unicode" w:cs="Lucida Sans Unicode"/>
      <w:b/>
      <w:bCs/>
      <w:i/>
      <w:iCs/>
      <w:sz w:val="16"/>
      <w:szCs w:val="16"/>
      <w:u w:val="single"/>
    </w:rPr>
  </w:style>
  <w:style w:type="character" w:customStyle="1" w:styleId="20120pt56">
    <w:name w:val="Îñíîâíîé òåêñò (20) + Íå êóðñèâ12.Èíòåðâàë 0 pt56"/>
    <w:uiPriority w:val="99"/>
    <w:rsid w:val="00045010"/>
    <w:rPr>
      <w:rFonts w:ascii="Lucida Sans Unicode" w:hAnsi="Lucida Sans Unicode" w:cs="Lucida Sans Unicode"/>
      <w:b/>
      <w:bCs/>
      <w:i/>
      <w:iCs/>
      <w:spacing w:val="-10"/>
      <w:sz w:val="16"/>
      <w:szCs w:val="16"/>
    </w:rPr>
  </w:style>
  <w:style w:type="character" w:customStyle="1" w:styleId="20MSMincho30pt55">
    <w:name w:val="Îñíîâíîé òåêñò (20) + MS Mincho.Íå êóðñèâ3.Èíòåðâàë 0 pt55"/>
    <w:uiPriority w:val="99"/>
    <w:rsid w:val="00045010"/>
    <w:rPr>
      <w:rFonts w:ascii="MS Mincho" w:eastAsia="MS Mincho" w:cs="MS Mincho"/>
      <w:b/>
      <w:bCs/>
      <w:i/>
      <w:iCs/>
      <w:spacing w:val="-10"/>
      <w:sz w:val="16"/>
      <w:szCs w:val="16"/>
    </w:rPr>
  </w:style>
  <w:style w:type="character" w:customStyle="1" w:styleId="1420">
    <w:name w:val="Îñíîâíîé òåêñò (14)2"/>
    <w:uiPriority w:val="99"/>
    <w:rsid w:val="00045010"/>
    <w:rPr>
      <w:rFonts w:ascii="Lucida Sans Unicode" w:hAnsi="Lucida Sans Unicode" w:cs="Lucida Sans Unicode"/>
      <w:spacing w:val="-10"/>
      <w:sz w:val="13"/>
      <w:szCs w:val="13"/>
      <w:u w:val="single"/>
    </w:rPr>
  </w:style>
  <w:style w:type="character" w:customStyle="1" w:styleId="20110pt54">
    <w:name w:val="Îñíîâíîé òåêñò (20) + Íå êóðñèâ11.Èíòåðâàë 0 pt54"/>
    <w:uiPriority w:val="99"/>
    <w:rsid w:val="00045010"/>
    <w:rPr>
      <w:rFonts w:ascii="Lucida Sans Unicode" w:hAnsi="Lucida Sans Unicode" w:cs="Lucida Sans Unicode"/>
      <w:b/>
      <w:bCs/>
      <w:i/>
      <w:iCs/>
      <w:spacing w:val="-10"/>
      <w:sz w:val="16"/>
      <w:szCs w:val="16"/>
    </w:rPr>
  </w:style>
  <w:style w:type="character" w:customStyle="1" w:styleId="720pt41">
    <w:name w:val="Îñíîâíîé òåêñò (7) + Íå êóðñèâ2.Èíòåðâàë 0 pt41"/>
    <w:uiPriority w:val="99"/>
    <w:rsid w:val="00045010"/>
    <w:rPr>
      <w:rFonts w:ascii="Lucida Sans Unicode" w:hAnsi="Lucida Sans Unicode" w:cs="Lucida Sans Unicode"/>
      <w:i/>
      <w:iCs/>
      <w:spacing w:val="-10"/>
      <w:sz w:val="13"/>
      <w:szCs w:val="13"/>
    </w:rPr>
  </w:style>
  <w:style w:type="character" w:customStyle="1" w:styleId="2090pt380">
    <w:name w:val="Îñíîâíîé òåêñò (20) + Íå êóðñèâ9.Èíòåðâàë 0 pt38"/>
    <w:uiPriority w:val="99"/>
    <w:rsid w:val="00045010"/>
    <w:rPr>
      <w:rFonts w:ascii="Lucida Sans Unicode" w:hAnsi="Lucida Sans Unicode" w:cs="Lucida Sans Unicode"/>
      <w:b/>
      <w:bCs/>
      <w:i/>
      <w:iCs/>
      <w:spacing w:val="-10"/>
      <w:sz w:val="16"/>
      <w:szCs w:val="16"/>
    </w:rPr>
  </w:style>
  <w:style w:type="character" w:customStyle="1" w:styleId="6pt20">
    <w:name w:val="Îñíîâíîé òåêñò + 6 pt2"/>
    <w:uiPriority w:val="99"/>
    <w:rsid w:val="00045010"/>
    <w:rPr>
      <w:rFonts w:ascii="Lucida Sans Unicode" w:hAnsi="Lucida Sans Unicode" w:cs="Lucida Sans Unicode"/>
      <w:spacing w:val="-10"/>
      <w:sz w:val="12"/>
      <w:szCs w:val="12"/>
    </w:rPr>
  </w:style>
  <w:style w:type="character" w:customStyle="1" w:styleId="70pt370">
    <w:name w:val="Îñíîâíîé òåêñò + Êóðñèâ7.Èíòåðâàë 0 pt37"/>
    <w:uiPriority w:val="99"/>
    <w:rsid w:val="00045010"/>
    <w:rPr>
      <w:rFonts w:ascii="Lucida Sans Unicode" w:hAnsi="Lucida Sans Unicode" w:cs="Lucida Sans Unicode"/>
      <w:i/>
      <w:iCs/>
      <w:spacing w:val="0"/>
      <w:sz w:val="16"/>
      <w:szCs w:val="16"/>
    </w:rPr>
  </w:style>
  <w:style w:type="character" w:customStyle="1" w:styleId="60pt360">
    <w:name w:val="Îñíîâíîé òåêñò + Êóðñèâ6.Èíòåðâàë 0 pt36"/>
    <w:uiPriority w:val="99"/>
    <w:rsid w:val="00045010"/>
    <w:rPr>
      <w:rFonts w:ascii="Lucida Sans Unicode" w:hAnsi="Lucida Sans Unicode" w:cs="Lucida Sans Unicode"/>
      <w:i/>
      <w:iCs/>
      <w:spacing w:val="0"/>
      <w:sz w:val="16"/>
      <w:szCs w:val="16"/>
    </w:rPr>
  </w:style>
  <w:style w:type="character" w:customStyle="1" w:styleId="2080pt350">
    <w:name w:val="Îñíîâíîé òåêñò (20) + Íå êóðñèâ8.Èíòåðâàë 0 pt35"/>
    <w:uiPriority w:val="99"/>
    <w:rsid w:val="00045010"/>
    <w:rPr>
      <w:rFonts w:ascii="Lucida Sans Unicode" w:hAnsi="Lucida Sans Unicode" w:cs="Lucida Sans Unicode"/>
      <w:b/>
      <w:bCs/>
      <w:i/>
      <w:iCs/>
      <w:spacing w:val="-10"/>
      <w:sz w:val="16"/>
      <w:szCs w:val="16"/>
    </w:rPr>
  </w:style>
  <w:style w:type="character" w:customStyle="1" w:styleId="50pt340">
    <w:name w:val="Îñíîâíîé òåêñò + Êóðñèâ5.Èíòåðâàë 0 pt34"/>
    <w:uiPriority w:val="99"/>
    <w:rsid w:val="00045010"/>
    <w:rPr>
      <w:rFonts w:ascii="Lucida Sans Unicode" w:hAnsi="Lucida Sans Unicode" w:cs="Lucida Sans Unicode"/>
      <w:i/>
      <w:iCs/>
      <w:spacing w:val="0"/>
      <w:sz w:val="16"/>
      <w:szCs w:val="16"/>
    </w:rPr>
  </w:style>
  <w:style w:type="character" w:customStyle="1" w:styleId="14ArialNarrow10pt390">
    <w:name w:val="Îñíîâíîé òåêñò (14) + Arial Narrow1.Ìàëûå ïðîïèñíûå.Èíòåðâàë 0 pt39"/>
    <w:uiPriority w:val="99"/>
    <w:rsid w:val="00045010"/>
    <w:rPr>
      <w:rFonts w:ascii="Arial Narrow" w:hAnsi="Arial Narrow" w:cs="Arial Narrow"/>
      <w:smallCaps/>
      <w:spacing w:val="0"/>
      <w:sz w:val="13"/>
      <w:szCs w:val="13"/>
    </w:rPr>
  </w:style>
  <w:style w:type="character" w:customStyle="1" w:styleId="2070pt330">
    <w:name w:val="Îñíîâíîé òåêñò (20) + Íå êóðñèâ7.Èíòåðâàë 0 pt33"/>
    <w:uiPriority w:val="99"/>
    <w:rsid w:val="00045010"/>
    <w:rPr>
      <w:rFonts w:ascii="Lucida Sans Unicode" w:hAnsi="Lucida Sans Unicode" w:cs="Lucida Sans Unicode"/>
      <w:b/>
      <w:bCs/>
      <w:i/>
      <w:iCs/>
      <w:spacing w:val="-10"/>
      <w:sz w:val="16"/>
      <w:szCs w:val="16"/>
    </w:rPr>
  </w:style>
  <w:style w:type="character" w:customStyle="1" w:styleId="40pt320">
    <w:name w:val="Îñíîâíîé òåêñò + Êóðñèâ4.Èíòåðâàë 0 pt32"/>
    <w:uiPriority w:val="99"/>
    <w:rsid w:val="00045010"/>
    <w:rPr>
      <w:rFonts w:ascii="Lucida Sans Unicode" w:hAnsi="Lucida Sans Unicode" w:cs="Lucida Sans Unicode"/>
      <w:i/>
      <w:iCs/>
      <w:spacing w:val="0"/>
      <w:sz w:val="16"/>
      <w:szCs w:val="16"/>
    </w:rPr>
  </w:style>
  <w:style w:type="character" w:customStyle="1" w:styleId="2060pt31">
    <w:name w:val="Îñíîâíîé òåêñò (20) + Íå êóðñèâ6.Èíòåðâàë 0 pt31"/>
    <w:uiPriority w:val="99"/>
    <w:rsid w:val="00045010"/>
    <w:rPr>
      <w:rFonts w:ascii="Lucida Sans Unicode" w:hAnsi="Lucida Sans Unicode" w:cs="Lucida Sans Unicode"/>
      <w:b/>
      <w:bCs/>
      <w:i/>
      <w:iCs/>
      <w:spacing w:val="-10"/>
      <w:sz w:val="16"/>
      <w:szCs w:val="16"/>
    </w:rPr>
  </w:style>
  <w:style w:type="character" w:customStyle="1" w:styleId="2050pt300">
    <w:name w:val="Îñíîâíîé òåêñò (20) + Íå êóðñèâ5.Èíòåðâàë 0 pt30"/>
    <w:uiPriority w:val="99"/>
    <w:rsid w:val="00045010"/>
    <w:rPr>
      <w:rFonts w:ascii="Lucida Sans Unicode" w:hAnsi="Lucida Sans Unicode" w:cs="Lucida Sans Unicode"/>
      <w:b/>
      <w:bCs/>
      <w:i/>
      <w:iCs/>
      <w:spacing w:val="-10"/>
      <w:sz w:val="16"/>
      <w:szCs w:val="16"/>
    </w:rPr>
  </w:style>
  <w:style w:type="character" w:customStyle="1" w:styleId="30pt290">
    <w:name w:val="Îñíîâíîé òåêñò + Êóðñèâ3.Èíòåðâàë 0 pt29"/>
    <w:uiPriority w:val="99"/>
    <w:rsid w:val="00045010"/>
    <w:rPr>
      <w:rFonts w:ascii="Lucida Sans Unicode" w:hAnsi="Lucida Sans Unicode" w:cs="Lucida Sans Unicode"/>
      <w:i/>
      <w:iCs/>
      <w:spacing w:val="0"/>
      <w:sz w:val="16"/>
      <w:szCs w:val="16"/>
    </w:rPr>
  </w:style>
  <w:style w:type="character" w:customStyle="1" w:styleId="20pt280">
    <w:name w:val="Îñíîâíîé òåêñò + Êóðñèâ2.Èíòåðâàë 0 pt28"/>
    <w:uiPriority w:val="99"/>
    <w:rsid w:val="00045010"/>
    <w:rPr>
      <w:rFonts w:ascii="Lucida Sans Unicode" w:hAnsi="Lucida Sans Unicode" w:cs="Lucida Sans Unicode"/>
      <w:i/>
      <w:iCs/>
      <w:spacing w:val="0"/>
      <w:sz w:val="16"/>
      <w:szCs w:val="16"/>
    </w:rPr>
  </w:style>
  <w:style w:type="character" w:customStyle="1" w:styleId="8ArialNarrow211pt215">
    <w:name w:val="Çàãîëîâîê ¹8 + Arial Narrow2.11 pt2.Ïîëóæèðíûé15"/>
    <w:uiPriority w:val="99"/>
    <w:rsid w:val="00045010"/>
    <w:rPr>
      <w:rFonts w:ascii="Arial Narrow" w:hAnsi="Arial Narrow" w:cs="Arial Narrow"/>
      <w:b/>
      <w:bCs/>
      <w:sz w:val="22"/>
      <w:szCs w:val="22"/>
    </w:rPr>
  </w:style>
  <w:style w:type="character" w:customStyle="1" w:styleId="8ArialNarrow19pt">
    <w:name w:val="Çàãîëîâîê ¹8 + Arial Narrow1.9 pt"/>
    <w:uiPriority w:val="99"/>
    <w:rsid w:val="00045010"/>
    <w:rPr>
      <w:rFonts w:ascii="Arial Narrow" w:hAnsi="Arial Narrow" w:cs="Arial Narrow"/>
      <w:sz w:val="18"/>
      <w:szCs w:val="18"/>
    </w:rPr>
  </w:style>
  <w:style w:type="paragraph" w:customStyle="1" w:styleId="231">
    <w:name w:val="Îñíîâíîé òåêñò (23)"/>
    <w:basedOn w:val="a"/>
    <w:uiPriority w:val="99"/>
    <w:rsid w:val="00045010"/>
    <w:pPr>
      <w:shd w:val="clear" w:color="auto" w:fill="FFFFFF"/>
      <w:autoSpaceDE w:val="0"/>
      <w:autoSpaceDN w:val="0"/>
      <w:adjustRightInd w:val="0"/>
      <w:spacing w:after="0" w:line="240" w:lineRule="atLeast"/>
    </w:pPr>
    <w:rPr>
      <w:rFonts w:ascii="Bookman Old Style" w:hAnsi="Bookman Old Style" w:cs="Bookman Old Style"/>
      <w:noProof/>
      <w:sz w:val="8"/>
      <w:szCs w:val="8"/>
      <w:lang w:val="en-US"/>
    </w:rPr>
  </w:style>
  <w:style w:type="paragraph" w:customStyle="1" w:styleId="273">
    <w:name w:val="Îñíîâíîé òåêñò (27)"/>
    <w:basedOn w:val="a"/>
    <w:uiPriority w:val="99"/>
    <w:rsid w:val="00045010"/>
    <w:pPr>
      <w:shd w:val="clear" w:color="auto" w:fill="FFFFFF"/>
      <w:autoSpaceDE w:val="0"/>
      <w:autoSpaceDN w:val="0"/>
      <w:adjustRightInd w:val="0"/>
      <w:spacing w:before="300" w:after="0" w:line="168" w:lineRule="exact"/>
    </w:pPr>
    <w:rPr>
      <w:rFonts w:ascii="Lucida Sans Unicode" w:hAnsi="Lucida Sans Unicode" w:cs="Lucida Sans Unicode"/>
      <w:i/>
      <w:iCs/>
      <w:noProof/>
      <w:sz w:val="13"/>
      <w:szCs w:val="13"/>
      <w:lang w:val="en-US"/>
    </w:rPr>
  </w:style>
  <w:style w:type="paragraph" w:customStyle="1" w:styleId="414">
    <w:name w:val="Îñíîâíîé òåêñò (41)"/>
    <w:basedOn w:val="a"/>
    <w:uiPriority w:val="99"/>
    <w:rsid w:val="00045010"/>
    <w:pPr>
      <w:shd w:val="clear" w:color="auto" w:fill="FFFFFF"/>
      <w:autoSpaceDE w:val="0"/>
      <w:autoSpaceDN w:val="0"/>
      <w:adjustRightInd w:val="0"/>
      <w:spacing w:after="60" w:line="240" w:lineRule="atLeast"/>
    </w:pPr>
    <w:rPr>
      <w:rFonts w:ascii="Arial Narrow" w:hAnsi="Arial Narrow" w:cs="Arial Narrow"/>
      <w:b/>
      <w:bCs/>
      <w:noProof/>
      <w:sz w:val="34"/>
      <w:szCs w:val="34"/>
      <w:lang w:val="en-US"/>
    </w:rPr>
  </w:style>
  <w:style w:type="paragraph" w:customStyle="1" w:styleId="1020">
    <w:name w:val="Çàãîëîâîê ¹10 (2)"/>
    <w:basedOn w:val="a"/>
    <w:uiPriority w:val="99"/>
    <w:rsid w:val="00045010"/>
    <w:pPr>
      <w:shd w:val="clear" w:color="auto" w:fill="FFFFFF"/>
      <w:autoSpaceDE w:val="0"/>
      <w:autoSpaceDN w:val="0"/>
      <w:adjustRightInd w:val="0"/>
      <w:spacing w:before="180" w:after="0" w:line="216" w:lineRule="exact"/>
      <w:jc w:val="center"/>
    </w:pPr>
    <w:rPr>
      <w:rFonts w:ascii="Lucida Sans Unicode" w:hAnsi="Lucida Sans Unicode" w:cs="Lucida Sans Unicode"/>
      <w:b/>
      <w:bCs/>
      <w:noProof/>
      <w:spacing w:val="-10"/>
      <w:sz w:val="17"/>
      <w:szCs w:val="17"/>
      <w:lang w:val="en-US"/>
    </w:rPr>
  </w:style>
  <w:style w:type="paragraph" w:customStyle="1" w:styleId="103">
    <w:name w:val="Çàãîëîâîê ¹10"/>
    <w:basedOn w:val="a"/>
    <w:uiPriority w:val="99"/>
    <w:rsid w:val="00045010"/>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1030">
    <w:name w:val="Çàãîëîâîê ¹10 (3)"/>
    <w:basedOn w:val="a"/>
    <w:uiPriority w:val="99"/>
    <w:rsid w:val="00045010"/>
    <w:pPr>
      <w:shd w:val="clear" w:color="auto" w:fill="FFFFFF"/>
      <w:autoSpaceDE w:val="0"/>
      <w:autoSpaceDN w:val="0"/>
      <w:adjustRightInd w:val="0"/>
      <w:spacing w:before="180" w:after="0" w:line="216" w:lineRule="exact"/>
      <w:ind w:firstLine="280"/>
      <w:jc w:val="both"/>
    </w:pPr>
    <w:rPr>
      <w:rFonts w:ascii="Tahoma" w:hAnsi="Tahoma" w:cs="Tahoma"/>
      <w:b/>
      <w:bCs/>
      <w:noProof/>
      <w:sz w:val="17"/>
      <w:szCs w:val="17"/>
      <w:lang w:val="en-US"/>
    </w:rPr>
  </w:style>
  <w:style w:type="paragraph" w:customStyle="1" w:styleId="317">
    <w:name w:val="Ïîäïèñü ê êàðòèíêå (3)1"/>
    <w:basedOn w:val="a"/>
    <w:uiPriority w:val="99"/>
    <w:rsid w:val="00045010"/>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421">
    <w:name w:val="Îñíîâíîé òåêñò (42)"/>
    <w:basedOn w:val="a"/>
    <w:uiPriority w:val="99"/>
    <w:rsid w:val="00045010"/>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2">
    <w:name w:val="Îñíîâíîé òåêñò (43)"/>
    <w:basedOn w:val="a"/>
    <w:uiPriority w:val="99"/>
    <w:rsid w:val="00045010"/>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2">
    <w:name w:val="Îñíîâíîé òåêñò (44)"/>
    <w:basedOn w:val="a"/>
    <w:uiPriority w:val="99"/>
    <w:rsid w:val="00045010"/>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ffa">
    <w:name w:val="Ñíîñêà"/>
    <w:basedOn w:val="a"/>
    <w:uiPriority w:val="99"/>
    <w:rsid w:val="00045010"/>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paragraph" w:customStyle="1" w:styleId="affffb">
    <w:name w:val="Ïîäïèñü ê êàðòèíêå"/>
    <w:basedOn w:val="a"/>
    <w:uiPriority w:val="99"/>
    <w:rsid w:val="00045010"/>
    <w:pPr>
      <w:shd w:val="clear" w:color="auto" w:fill="FFFFFF"/>
      <w:autoSpaceDE w:val="0"/>
      <w:autoSpaceDN w:val="0"/>
      <w:adjustRightInd w:val="0"/>
      <w:spacing w:after="0" w:line="240" w:lineRule="atLeast"/>
      <w:ind w:hanging="820"/>
    </w:pPr>
    <w:rPr>
      <w:rFonts w:ascii="Arial" w:hAnsi="Arial" w:cs="Arial"/>
      <w:b/>
      <w:bCs/>
      <w:noProof/>
      <w:sz w:val="13"/>
      <w:szCs w:val="13"/>
      <w:lang w:val="en-US"/>
    </w:rPr>
  </w:style>
  <w:style w:type="character" w:customStyle="1" w:styleId="14-1pt">
    <w:name w:val="Îñíîâíîé òåêñò (14) + Èíòåðâàë -1 pt"/>
    <w:uiPriority w:val="99"/>
    <w:rsid w:val="00045010"/>
    <w:rPr>
      <w:rFonts w:ascii="Microsoft Sans Serif" w:hAnsi="Microsoft Sans Serif" w:cs="Microsoft Sans Serif"/>
      <w:spacing w:val="-20"/>
      <w:sz w:val="17"/>
      <w:szCs w:val="17"/>
      <w:u w:val="single"/>
    </w:rPr>
  </w:style>
  <w:style w:type="character" w:customStyle="1" w:styleId="7-1pt5">
    <w:name w:val="Îñíîâíîé òåêñò (7) + Èíòåðâàë -1 pt5"/>
    <w:uiPriority w:val="99"/>
    <w:rsid w:val="00045010"/>
    <w:rPr>
      <w:rFonts w:ascii="Century Gothic" w:hAnsi="Century Gothic" w:cs="Century Gothic"/>
      <w:b/>
      <w:bCs/>
      <w:i/>
      <w:iCs/>
      <w:spacing w:val="-20"/>
      <w:sz w:val="17"/>
      <w:szCs w:val="17"/>
      <w:u w:val="single"/>
    </w:rPr>
  </w:style>
  <w:style w:type="character" w:customStyle="1" w:styleId="7pt1214">
    <w:name w:val="Îñíîâíîé òåêñò + 7 pt.Ïîëóæèðíûé12.Êóðñèâ14"/>
    <w:uiPriority w:val="99"/>
    <w:rsid w:val="00045010"/>
    <w:rPr>
      <w:rFonts w:ascii="Century Gothic" w:hAnsi="Century Gothic" w:cs="Century Gothic"/>
      <w:b/>
      <w:bCs/>
      <w:i/>
      <w:iCs/>
      <w:spacing w:val="-10"/>
      <w:sz w:val="14"/>
      <w:szCs w:val="14"/>
    </w:rPr>
  </w:style>
  <w:style w:type="character" w:customStyle="1" w:styleId="affffc">
    <w:name w:val="Îñíîâíîé òåêñò + Êóðñèâ"/>
    <w:uiPriority w:val="99"/>
    <w:rsid w:val="00045010"/>
    <w:rPr>
      <w:rFonts w:ascii="Century Gothic" w:hAnsi="Century Gothic" w:cs="Century Gothic"/>
      <w:i/>
      <w:iCs/>
      <w:spacing w:val="-10"/>
      <w:sz w:val="17"/>
      <w:szCs w:val="17"/>
    </w:rPr>
  </w:style>
  <w:style w:type="character" w:customStyle="1" w:styleId="68">
    <w:name w:val="Îñíîâíîé òåêñò (6) + Íå êóðñèâ"/>
    <w:uiPriority w:val="99"/>
    <w:rsid w:val="00045010"/>
    <w:rPr>
      <w:rFonts w:ascii="Century Gothic" w:hAnsi="Century Gothic" w:cs="Century Gothic"/>
      <w:i/>
      <w:iCs/>
      <w:sz w:val="17"/>
      <w:szCs w:val="17"/>
    </w:rPr>
  </w:style>
  <w:style w:type="character" w:customStyle="1" w:styleId="620">
    <w:name w:val="Îñíîâíîé òåêñò (6) + Íå êóðñèâ2"/>
    <w:uiPriority w:val="99"/>
    <w:rsid w:val="00045010"/>
    <w:rPr>
      <w:rFonts w:ascii="Century Gothic" w:hAnsi="Century Gothic" w:cs="Century Gothic"/>
      <w:i/>
      <w:iCs/>
      <w:sz w:val="17"/>
      <w:szCs w:val="17"/>
    </w:rPr>
  </w:style>
  <w:style w:type="character" w:customStyle="1" w:styleId="5d">
    <w:name w:val="Îñíîâíîé òåêñò + Êóðñèâ5"/>
    <w:uiPriority w:val="99"/>
    <w:rsid w:val="00045010"/>
    <w:rPr>
      <w:rFonts w:ascii="Century Gothic" w:hAnsi="Century Gothic" w:cs="Century Gothic"/>
      <w:i/>
      <w:iCs/>
      <w:spacing w:val="-10"/>
      <w:sz w:val="17"/>
      <w:szCs w:val="17"/>
    </w:rPr>
  </w:style>
  <w:style w:type="character" w:customStyle="1" w:styleId="4e">
    <w:name w:val="Îñíîâíîé òåêñò + Êóðñèâ4"/>
    <w:uiPriority w:val="99"/>
    <w:rsid w:val="00045010"/>
    <w:rPr>
      <w:rFonts w:ascii="Century Gothic" w:hAnsi="Century Gothic" w:cs="Century Gothic"/>
      <w:i/>
      <w:iCs/>
      <w:spacing w:val="-10"/>
      <w:sz w:val="17"/>
      <w:szCs w:val="17"/>
    </w:rPr>
  </w:style>
  <w:style w:type="paragraph" w:customStyle="1" w:styleId="69">
    <w:name w:val="Îñíîâíîé òåêñò (6)"/>
    <w:basedOn w:val="a"/>
    <w:uiPriority w:val="99"/>
    <w:rsid w:val="00045010"/>
    <w:pPr>
      <w:shd w:val="clear" w:color="auto" w:fill="FFFFFF"/>
      <w:autoSpaceDE w:val="0"/>
      <w:autoSpaceDN w:val="0"/>
      <w:adjustRightInd w:val="0"/>
      <w:spacing w:after="0" w:line="178" w:lineRule="exact"/>
    </w:pPr>
    <w:rPr>
      <w:rFonts w:ascii="Century Gothic" w:hAnsi="Century Gothic" w:cs="Century Gothic"/>
      <w:i/>
      <w:iCs/>
      <w:noProof/>
      <w:sz w:val="17"/>
      <w:szCs w:val="17"/>
      <w:lang w:val="en-US"/>
    </w:rPr>
  </w:style>
  <w:style w:type="paragraph" w:customStyle="1" w:styleId="132">
    <w:name w:val="Îñíîâíîé òåêñò (13)"/>
    <w:basedOn w:val="a"/>
    <w:uiPriority w:val="99"/>
    <w:rsid w:val="00045010"/>
    <w:pPr>
      <w:shd w:val="clear" w:color="auto" w:fill="FFFFFF"/>
      <w:autoSpaceDE w:val="0"/>
      <w:autoSpaceDN w:val="0"/>
      <w:adjustRightInd w:val="0"/>
      <w:spacing w:after="0" w:line="240" w:lineRule="atLeast"/>
    </w:pPr>
    <w:rPr>
      <w:rFonts w:ascii="Segoe UI" w:hAnsi="Segoe UI" w:cs="Segoe UI"/>
      <w:b/>
      <w:bCs/>
      <w:noProof/>
      <w:sz w:val="24"/>
      <w:szCs w:val="24"/>
      <w:lang w:val="en-US"/>
    </w:rPr>
  </w:style>
  <w:style w:type="paragraph" w:customStyle="1" w:styleId="143">
    <w:name w:val="Îñíîâíîé òåêñò (14)"/>
    <w:basedOn w:val="a"/>
    <w:uiPriority w:val="99"/>
    <w:rsid w:val="00045010"/>
    <w:pPr>
      <w:shd w:val="clear" w:color="auto" w:fill="FFFFFF"/>
      <w:autoSpaceDE w:val="0"/>
      <w:autoSpaceDN w:val="0"/>
      <w:adjustRightInd w:val="0"/>
      <w:spacing w:after="0" w:line="240" w:lineRule="atLeast"/>
    </w:pPr>
    <w:rPr>
      <w:rFonts w:ascii="Microsoft Sans Serif" w:hAnsi="Microsoft Sans Serif" w:cs="Microsoft Sans Serif"/>
      <w:noProof/>
      <w:sz w:val="17"/>
      <w:szCs w:val="17"/>
      <w:lang w:val="en-US"/>
    </w:rPr>
  </w:style>
  <w:style w:type="character" w:customStyle="1" w:styleId="650">
    <w:name w:val="Îñíîâíîé òåêñò (6)5"/>
    <w:uiPriority w:val="99"/>
    <w:rsid w:val="00045010"/>
    <w:rPr>
      <w:rFonts w:ascii="Microsoft Sans Serif" w:hAnsi="Microsoft Sans Serif" w:cs="Microsoft Sans Serif"/>
      <w:i/>
      <w:iCs/>
      <w:sz w:val="23"/>
      <w:szCs w:val="23"/>
    </w:rPr>
  </w:style>
  <w:style w:type="character" w:customStyle="1" w:styleId="640">
    <w:name w:val="Îñíîâíîé òåêñò (6)4"/>
    <w:uiPriority w:val="99"/>
    <w:rsid w:val="00045010"/>
    <w:rPr>
      <w:rFonts w:ascii="Microsoft Sans Serif" w:hAnsi="Microsoft Sans Serif" w:cs="Microsoft Sans Serif"/>
      <w:i/>
      <w:iCs/>
      <w:sz w:val="23"/>
      <w:szCs w:val="23"/>
      <w:lang w:val="en-US"/>
    </w:rPr>
  </w:style>
  <w:style w:type="character" w:customStyle="1" w:styleId="630">
    <w:name w:val="Îñíîâíîé òåêñò (6)3"/>
    <w:uiPriority w:val="99"/>
    <w:rsid w:val="00045010"/>
    <w:rPr>
      <w:rFonts w:ascii="Microsoft Sans Serif" w:hAnsi="Microsoft Sans Serif" w:cs="Microsoft Sans Serif"/>
      <w:i/>
      <w:iCs/>
      <w:sz w:val="23"/>
      <w:szCs w:val="23"/>
      <w:u w:val="single"/>
    </w:rPr>
  </w:style>
  <w:style w:type="character" w:customStyle="1" w:styleId="50pt11">
    <w:name w:val="Îñíîâíîé òåêñò + Êóðñèâ5.Èíòåðâàë 0 pt11"/>
    <w:uiPriority w:val="99"/>
    <w:rsid w:val="00045010"/>
    <w:rPr>
      <w:rFonts w:ascii="Microsoft Sans Serif" w:hAnsi="Microsoft Sans Serif" w:cs="Microsoft Sans Serif"/>
      <w:i/>
      <w:iCs/>
      <w:spacing w:val="10"/>
      <w:sz w:val="16"/>
      <w:szCs w:val="16"/>
    </w:rPr>
  </w:style>
  <w:style w:type="character" w:customStyle="1" w:styleId="830pt10">
    <w:name w:val="Îñíîâíîé òåêñò (8) + Íå êóðñèâ3.Èíòåðâàë 0 pt10"/>
    <w:uiPriority w:val="99"/>
    <w:rsid w:val="00045010"/>
    <w:rPr>
      <w:i/>
      <w:iCs/>
      <w:spacing w:val="0"/>
      <w:sz w:val="16"/>
      <w:szCs w:val="16"/>
    </w:rPr>
  </w:style>
  <w:style w:type="character" w:customStyle="1" w:styleId="40pt9">
    <w:name w:val="Îñíîâíîé òåêñò + Êóðñèâ4.Èíòåðâàë 0 pt9"/>
    <w:uiPriority w:val="99"/>
    <w:rsid w:val="00045010"/>
    <w:rPr>
      <w:rFonts w:ascii="Microsoft Sans Serif" w:hAnsi="Microsoft Sans Serif" w:cs="Microsoft Sans Serif"/>
      <w:i/>
      <w:iCs/>
      <w:spacing w:val="10"/>
      <w:sz w:val="16"/>
      <w:szCs w:val="16"/>
    </w:rPr>
  </w:style>
  <w:style w:type="character" w:customStyle="1" w:styleId="8BookmanOldStyle310pt330pt8">
    <w:name w:val="Îñíîâíîé òåêñò (8) + Bookman Old Style3.10 pt3.Íå êóðñèâ3.Èíòåðâàë 0 pt8"/>
    <w:uiPriority w:val="99"/>
    <w:rsid w:val="00045010"/>
    <w:rPr>
      <w:rFonts w:ascii="Bookman Old Style" w:hAnsi="Bookman Old Style" w:cs="Bookman Old Style"/>
      <w:i/>
      <w:iCs/>
      <w:noProof/>
      <w:spacing w:val="0"/>
      <w:sz w:val="20"/>
      <w:szCs w:val="20"/>
    </w:rPr>
  </w:style>
  <w:style w:type="character" w:customStyle="1" w:styleId="84">
    <w:name w:val="Îñíîâíîé òåêñò (8)4"/>
    <w:uiPriority w:val="99"/>
    <w:rsid w:val="00045010"/>
    <w:rPr>
      <w:rFonts w:ascii="Arial Unicode MS" w:eastAsia="Arial Unicode MS" w:cs="Arial Unicode MS"/>
      <w:i/>
      <w:iCs/>
      <w:spacing w:val="10"/>
      <w:sz w:val="16"/>
      <w:szCs w:val="16"/>
      <w:u w:val="single"/>
      <w:lang w:val="en-US"/>
    </w:rPr>
  </w:style>
  <w:style w:type="character" w:customStyle="1" w:styleId="30pt7">
    <w:name w:val="Îñíîâíîé òåêñò + Êóðñèâ3.Èíòåðâàë 0 pt7"/>
    <w:uiPriority w:val="99"/>
    <w:rsid w:val="00045010"/>
    <w:rPr>
      <w:rFonts w:ascii="Microsoft Sans Serif" w:hAnsi="Microsoft Sans Serif" w:cs="Microsoft Sans Serif"/>
      <w:i/>
      <w:iCs/>
      <w:spacing w:val="10"/>
      <w:sz w:val="16"/>
      <w:szCs w:val="16"/>
    </w:rPr>
  </w:style>
  <w:style w:type="character" w:customStyle="1" w:styleId="820pt6">
    <w:name w:val="Îñíîâíîé òåêñò (8) + Íå êóðñèâ2.Èíòåðâàë 0 pt6"/>
    <w:uiPriority w:val="99"/>
    <w:rsid w:val="00045010"/>
    <w:rPr>
      <w:i/>
      <w:iCs/>
      <w:spacing w:val="0"/>
      <w:sz w:val="16"/>
      <w:szCs w:val="16"/>
    </w:rPr>
  </w:style>
  <w:style w:type="character" w:customStyle="1" w:styleId="810pt5">
    <w:name w:val="Îñíîâíîé òåêñò (8) + Íå êóðñèâ1.Èíòåðâàë 0 pt5"/>
    <w:uiPriority w:val="99"/>
    <w:rsid w:val="00045010"/>
    <w:rPr>
      <w:i/>
      <w:iCs/>
      <w:spacing w:val="0"/>
      <w:sz w:val="16"/>
      <w:szCs w:val="16"/>
    </w:rPr>
  </w:style>
  <w:style w:type="character" w:customStyle="1" w:styleId="20pt4">
    <w:name w:val="Îñíîâíîé òåêñò + Êóðñèâ2.Èíòåðâàë 0 pt4"/>
    <w:uiPriority w:val="99"/>
    <w:rsid w:val="00045010"/>
    <w:rPr>
      <w:rFonts w:ascii="Microsoft Sans Serif" w:hAnsi="Microsoft Sans Serif" w:cs="Microsoft Sans Serif"/>
      <w:i/>
      <w:iCs/>
      <w:spacing w:val="10"/>
      <w:sz w:val="16"/>
      <w:szCs w:val="16"/>
    </w:rPr>
  </w:style>
  <w:style w:type="paragraph" w:customStyle="1" w:styleId="611">
    <w:name w:val="Îñíîâíîé òåêñò (6)1"/>
    <w:basedOn w:val="a"/>
    <w:uiPriority w:val="99"/>
    <w:rsid w:val="00045010"/>
    <w:pPr>
      <w:shd w:val="clear" w:color="auto" w:fill="FFFFFF"/>
      <w:autoSpaceDE w:val="0"/>
      <w:autoSpaceDN w:val="0"/>
      <w:adjustRightInd w:val="0"/>
      <w:spacing w:after="0" w:line="202" w:lineRule="exact"/>
    </w:pPr>
    <w:rPr>
      <w:rFonts w:ascii="Microsoft Sans Serif" w:hAnsi="Microsoft Sans Serif" w:cs="Microsoft Sans Serif"/>
      <w:i/>
      <w:iCs/>
      <w:noProof/>
      <w:sz w:val="23"/>
      <w:szCs w:val="23"/>
      <w:lang w:val="en-US"/>
    </w:rPr>
  </w:style>
  <w:style w:type="paragraph" w:customStyle="1" w:styleId="93">
    <w:name w:val="Îñíîâíîé òåêñò (9)"/>
    <w:basedOn w:val="a"/>
    <w:uiPriority w:val="99"/>
    <w:rsid w:val="00045010"/>
    <w:pPr>
      <w:shd w:val="clear" w:color="auto" w:fill="FFFFFF"/>
      <w:autoSpaceDE w:val="0"/>
      <w:autoSpaceDN w:val="0"/>
      <w:adjustRightInd w:val="0"/>
      <w:spacing w:after="0" w:line="173" w:lineRule="exact"/>
      <w:ind w:hanging="200"/>
      <w:jc w:val="right"/>
    </w:pPr>
    <w:rPr>
      <w:rFonts w:ascii="Times New Roman" w:hAnsi="Times New Roman"/>
      <w:i/>
      <w:iCs/>
      <w:noProof/>
      <w:sz w:val="13"/>
      <w:szCs w:val="13"/>
      <w:lang w:val="en-US"/>
    </w:rPr>
  </w:style>
  <w:style w:type="character" w:customStyle="1" w:styleId="11110">
    <w:name w:val="Îñíîâíîé òåêñò (11) + Íå êóðñèâ11"/>
    <w:uiPriority w:val="99"/>
    <w:rsid w:val="00045010"/>
    <w:rPr>
      <w:rFonts w:ascii="Arial" w:hAnsi="Arial" w:cs="Arial"/>
      <w:i/>
      <w:iCs/>
      <w:spacing w:val="-10"/>
      <w:sz w:val="17"/>
      <w:szCs w:val="17"/>
    </w:rPr>
  </w:style>
  <w:style w:type="character" w:customStyle="1" w:styleId="11100">
    <w:name w:val="Îñíîâíîé òåêñò (11) + Íå êóðñèâ10"/>
    <w:uiPriority w:val="99"/>
    <w:rsid w:val="00045010"/>
    <w:rPr>
      <w:rFonts w:ascii="Arial" w:hAnsi="Arial" w:cs="Arial"/>
      <w:i/>
      <w:iCs/>
      <w:spacing w:val="-10"/>
      <w:sz w:val="17"/>
      <w:szCs w:val="17"/>
    </w:rPr>
  </w:style>
  <w:style w:type="character" w:customStyle="1" w:styleId="119">
    <w:name w:val="Îñíîâíîé òåêñò + Êóðñèâ11"/>
    <w:uiPriority w:val="99"/>
    <w:rsid w:val="00045010"/>
    <w:rPr>
      <w:rFonts w:ascii="Arial" w:hAnsi="Arial" w:cs="Arial"/>
      <w:i/>
      <w:iCs/>
      <w:spacing w:val="-10"/>
      <w:sz w:val="17"/>
      <w:szCs w:val="17"/>
    </w:rPr>
  </w:style>
  <w:style w:type="character" w:customStyle="1" w:styleId="4835pt2911">
    <w:name w:val="Îñíîâíîé òåêñò (4) + 83.5 pt29.Íå ïîëóæèðíûé11"/>
    <w:uiPriority w:val="99"/>
    <w:rsid w:val="00045010"/>
    <w:rPr>
      <w:rFonts w:ascii="Arial" w:hAnsi="Arial" w:cs="Arial"/>
      <w:b/>
      <w:bCs/>
      <w:i/>
      <w:iCs/>
      <w:spacing w:val="-10"/>
      <w:sz w:val="17"/>
      <w:szCs w:val="17"/>
    </w:rPr>
  </w:style>
  <w:style w:type="character" w:customStyle="1" w:styleId="104">
    <w:name w:val="Îñíîâíîé òåêñò + Êóðñèâ10"/>
    <w:uiPriority w:val="99"/>
    <w:rsid w:val="00045010"/>
    <w:rPr>
      <w:rFonts w:ascii="Arial" w:hAnsi="Arial" w:cs="Arial"/>
      <w:i/>
      <w:iCs/>
      <w:spacing w:val="-10"/>
      <w:sz w:val="17"/>
      <w:szCs w:val="17"/>
    </w:rPr>
  </w:style>
  <w:style w:type="character" w:customStyle="1" w:styleId="78pt7">
    <w:name w:val="Îñíîâíîé òåêñò (7) + 8 pt.Íå êóðñèâ7"/>
    <w:uiPriority w:val="99"/>
    <w:rsid w:val="00045010"/>
    <w:rPr>
      <w:rFonts w:ascii="Arial" w:hAnsi="Arial" w:cs="Arial"/>
      <w:i/>
      <w:iCs/>
      <w:spacing w:val="-10"/>
      <w:sz w:val="16"/>
      <w:szCs w:val="16"/>
    </w:rPr>
  </w:style>
  <w:style w:type="character" w:customStyle="1" w:styleId="94">
    <w:name w:val="Îñíîâíîé òåêñò + Êóðñèâ9"/>
    <w:uiPriority w:val="99"/>
    <w:rsid w:val="00045010"/>
    <w:rPr>
      <w:rFonts w:ascii="Arial" w:hAnsi="Arial" w:cs="Arial"/>
      <w:i/>
      <w:iCs/>
      <w:spacing w:val="-10"/>
      <w:sz w:val="17"/>
      <w:szCs w:val="17"/>
    </w:rPr>
  </w:style>
  <w:style w:type="character" w:customStyle="1" w:styleId="1161">
    <w:name w:val="Îñíîâíîé òåêñò (11) + Íå êóðñèâ6"/>
    <w:uiPriority w:val="99"/>
    <w:rsid w:val="00045010"/>
    <w:rPr>
      <w:rFonts w:ascii="Arial" w:hAnsi="Arial" w:cs="Arial"/>
      <w:i/>
      <w:iCs/>
      <w:spacing w:val="-10"/>
      <w:sz w:val="17"/>
      <w:szCs w:val="17"/>
    </w:rPr>
  </w:style>
  <w:style w:type="character" w:customStyle="1" w:styleId="85">
    <w:name w:val="Îñíîâíîé òåêñò + Êóðñèâ8"/>
    <w:uiPriority w:val="99"/>
    <w:rsid w:val="00045010"/>
    <w:rPr>
      <w:rFonts w:ascii="Arial" w:hAnsi="Arial" w:cs="Arial"/>
      <w:i/>
      <w:iCs/>
      <w:spacing w:val="-10"/>
      <w:sz w:val="17"/>
      <w:szCs w:val="17"/>
    </w:rPr>
  </w:style>
  <w:style w:type="paragraph" w:customStyle="1" w:styleId="5e">
    <w:name w:val="Ïîäïèñü ê êàðòèíêå (5)"/>
    <w:basedOn w:val="a"/>
    <w:uiPriority w:val="99"/>
    <w:rsid w:val="00045010"/>
    <w:pPr>
      <w:shd w:val="clear" w:color="auto" w:fill="FFFFFF"/>
      <w:autoSpaceDE w:val="0"/>
      <w:autoSpaceDN w:val="0"/>
      <w:adjustRightInd w:val="0"/>
      <w:spacing w:after="0" w:line="216" w:lineRule="exact"/>
      <w:jc w:val="both"/>
    </w:pPr>
    <w:rPr>
      <w:rFonts w:ascii="Arial" w:hAnsi="Arial" w:cs="Arial"/>
      <w:i/>
      <w:iCs/>
      <w:noProof/>
      <w:spacing w:val="-10"/>
      <w:sz w:val="17"/>
      <w:szCs w:val="17"/>
      <w:lang w:val="en-US"/>
    </w:rPr>
  </w:style>
  <w:style w:type="paragraph" w:customStyle="1" w:styleId="2610">
    <w:name w:val="Îñíîâíîé òåêñò (26)1"/>
    <w:basedOn w:val="a"/>
    <w:uiPriority w:val="99"/>
    <w:rsid w:val="00045010"/>
    <w:pPr>
      <w:shd w:val="clear" w:color="auto" w:fill="FFFFFF"/>
      <w:autoSpaceDE w:val="0"/>
      <w:autoSpaceDN w:val="0"/>
      <w:adjustRightInd w:val="0"/>
      <w:spacing w:after="120" w:line="240" w:lineRule="atLeast"/>
    </w:pPr>
    <w:rPr>
      <w:rFonts w:ascii="Gulim" w:eastAsia="Gulim" w:hAnsi="Times New Roman" w:cs="Gulim"/>
      <w:noProof/>
      <w:spacing w:val="-10"/>
      <w:sz w:val="20"/>
      <w:szCs w:val="20"/>
      <w:lang w:val="en-US"/>
    </w:rPr>
  </w:style>
  <w:style w:type="paragraph" w:customStyle="1" w:styleId="3f5">
    <w:name w:val="Ïîäïèñü ê êàðòèíêå (3)"/>
    <w:basedOn w:val="a"/>
    <w:uiPriority w:val="99"/>
    <w:rsid w:val="00045010"/>
    <w:pPr>
      <w:shd w:val="clear" w:color="auto" w:fill="FFFFFF"/>
      <w:autoSpaceDE w:val="0"/>
      <w:autoSpaceDN w:val="0"/>
      <w:adjustRightInd w:val="0"/>
      <w:spacing w:after="0" w:line="168" w:lineRule="exact"/>
      <w:jc w:val="both"/>
    </w:pPr>
    <w:rPr>
      <w:rFonts w:ascii="Arial" w:hAnsi="Arial" w:cs="Arial"/>
      <w:b/>
      <w:bCs/>
      <w:i/>
      <w:iCs/>
      <w:noProof/>
      <w:spacing w:val="-10"/>
      <w:sz w:val="13"/>
      <w:szCs w:val="13"/>
      <w:lang w:val="en-US"/>
    </w:rPr>
  </w:style>
  <w:style w:type="character" w:customStyle="1" w:styleId="100pt30">
    <w:name w:val="Îñíîâíîé òåêñò + Êóðñèâ10.Èíòåðâàë 0 pt30"/>
    <w:uiPriority w:val="99"/>
    <w:rsid w:val="00045010"/>
    <w:rPr>
      <w:rFonts w:ascii="Microsoft Sans Serif" w:hAnsi="Microsoft Sans Serif" w:cs="Microsoft Sans Serif"/>
      <w:i/>
      <w:iCs/>
      <w:spacing w:val="0"/>
      <w:sz w:val="16"/>
      <w:szCs w:val="16"/>
    </w:rPr>
  </w:style>
  <w:style w:type="character" w:customStyle="1" w:styleId="120pt29">
    <w:name w:val="Îñíîâíîé òåêñò (12) + Íå êóðñèâ.Èíòåðâàë 0 pt29"/>
    <w:uiPriority w:val="99"/>
    <w:rsid w:val="00045010"/>
    <w:rPr>
      <w:rFonts w:ascii="Microsoft Sans Serif" w:hAnsi="Microsoft Sans Serif" w:cs="Microsoft Sans Serif"/>
      <w:i/>
      <w:iCs/>
      <w:spacing w:val="-10"/>
      <w:sz w:val="16"/>
      <w:szCs w:val="16"/>
    </w:rPr>
  </w:style>
  <w:style w:type="character" w:customStyle="1" w:styleId="123">
    <w:name w:val="Îñíîâíîé òåêñò (12)_"/>
    <w:uiPriority w:val="99"/>
    <w:rsid w:val="00045010"/>
    <w:rPr>
      <w:rFonts w:ascii="Microsoft Sans Serif" w:hAnsi="Microsoft Sans Serif" w:cs="Microsoft Sans Serif"/>
      <w:i/>
      <w:iCs/>
      <w:sz w:val="16"/>
      <w:szCs w:val="16"/>
    </w:rPr>
  </w:style>
  <w:style w:type="character" w:customStyle="1" w:styleId="1260pt28">
    <w:name w:val="Îñíîâíîé òåêñò (12) + Íå êóðñèâ6.Èíòåðâàë 0 pt28"/>
    <w:uiPriority w:val="99"/>
    <w:rsid w:val="00045010"/>
    <w:rPr>
      <w:rFonts w:ascii="Microsoft Sans Serif" w:hAnsi="Microsoft Sans Serif" w:cs="Microsoft Sans Serif"/>
      <w:i/>
      <w:iCs/>
      <w:spacing w:val="-10"/>
      <w:sz w:val="16"/>
      <w:szCs w:val="16"/>
    </w:rPr>
  </w:style>
  <w:style w:type="character" w:customStyle="1" w:styleId="90pt27">
    <w:name w:val="Îñíîâíîé òåêñò + Êóðñèâ9.Èíòåðâàë 0 pt27"/>
    <w:uiPriority w:val="99"/>
    <w:rsid w:val="00045010"/>
    <w:rPr>
      <w:rFonts w:ascii="Microsoft Sans Serif" w:hAnsi="Microsoft Sans Serif" w:cs="Microsoft Sans Serif"/>
      <w:i/>
      <w:iCs/>
      <w:spacing w:val="0"/>
      <w:sz w:val="16"/>
      <w:szCs w:val="16"/>
    </w:rPr>
  </w:style>
  <w:style w:type="character" w:customStyle="1" w:styleId="126">
    <w:name w:val="Îñíîâíîé òåêñò (12)6"/>
    <w:uiPriority w:val="99"/>
    <w:rsid w:val="00045010"/>
    <w:rPr>
      <w:rFonts w:ascii="Microsoft Sans Serif" w:hAnsi="Microsoft Sans Serif" w:cs="Microsoft Sans Serif"/>
      <w:i/>
      <w:iCs/>
      <w:spacing w:val="0"/>
      <w:sz w:val="16"/>
      <w:szCs w:val="16"/>
      <w:u w:val="single"/>
    </w:rPr>
  </w:style>
  <w:style w:type="character" w:customStyle="1" w:styleId="80pt26">
    <w:name w:val="Îñíîâíîé òåêñò + Êóðñèâ8.Èíòåðâàë 0 pt26"/>
    <w:uiPriority w:val="99"/>
    <w:rsid w:val="00045010"/>
    <w:rPr>
      <w:rFonts w:ascii="Microsoft Sans Serif" w:hAnsi="Microsoft Sans Serif" w:cs="Microsoft Sans Serif"/>
      <w:i/>
      <w:iCs/>
      <w:spacing w:val="0"/>
      <w:sz w:val="16"/>
      <w:szCs w:val="16"/>
    </w:rPr>
  </w:style>
  <w:style w:type="character" w:customStyle="1" w:styleId="1250pt25">
    <w:name w:val="Îñíîâíîé òåêñò (12) + Íå êóðñèâ5.Èíòåðâàë 0 pt25"/>
    <w:uiPriority w:val="99"/>
    <w:rsid w:val="00045010"/>
    <w:rPr>
      <w:rFonts w:ascii="Microsoft Sans Serif" w:hAnsi="Microsoft Sans Serif" w:cs="Microsoft Sans Serif"/>
      <w:i/>
      <w:iCs/>
      <w:spacing w:val="-10"/>
      <w:sz w:val="16"/>
      <w:szCs w:val="16"/>
    </w:rPr>
  </w:style>
  <w:style w:type="character" w:customStyle="1" w:styleId="20BookmanOldStyle875pt19">
    <w:name w:val="Îñíîâíîé òåêñò (20) + Bookman Old Style.87.5 pt19"/>
    <w:uiPriority w:val="99"/>
    <w:rsid w:val="00045010"/>
    <w:rPr>
      <w:rFonts w:ascii="Bookman Old Style" w:hAnsi="Bookman Old Style" w:cs="Bookman Old Style"/>
      <w:b/>
      <w:bCs/>
      <w:i/>
      <w:iCs/>
      <w:sz w:val="17"/>
      <w:szCs w:val="17"/>
    </w:rPr>
  </w:style>
  <w:style w:type="character" w:customStyle="1" w:styleId="125">
    <w:name w:val="Îñíîâíîé òåêñò (12)5"/>
    <w:uiPriority w:val="99"/>
    <w:rsid w:val="00045010"/>
    <w:rPr>
      <w:rFonts w:ascii="Microsoft Sans Serif" w:hAnsi="Microsoft Sans Serif" w:cs="Microsoft Sans Serif"/>
      <w:i/>
      <w:iCs/>
      <w:spacing w:val="0"/>
      <w:sz w:val="16"/>
      <w:szCs w:val="16"/>
      <w:u w:val="single"/>
    </w:rPr>
  </w:style>
  <w:style w:type="character" w:customStyle="1" w:styleId="124">
    <w:name w:val="Îñíîâíîé òåêñò (12)4"/>
    <w:uiPriority w:val="99"/>
    <w:rsid w:val="00045010"/>
    <w:rPr>
      <w:rFonts w:ascii="Microsoft Sans Serif" w:hAnsi="Microsoft Sans Serif" w:cs="Microsoft Sans Serif"/>
      <w:i/>
      <w:iCs/>
      <w:spacing w:val="0"/>
      <w:sz w:val="16"/>
      <w:szCs w:val="16"/>
      <w:u w:val="single"/>
    </w:rPr>
  </w:style>
  <w:style w:type="character" w:customStyle="1" w:styleId="12SimHei7pt12">
    <w:name w:val="Îñíîâíîé òåêñò (12) + SimHei.7 pt.Íå êóðñèâ12"/>
    <w:uiPriority w:val="99"/>
    <w:rsid w:val="00045010"/>
    <w:rPr>
      <w:rFonts w:ascii="SimHei" w:eastAsia="SimHei" w:hAnsi="Microsoft Sans Serif" w:cs="SimHei"/>
      <w:i/>
      <w:iCs/>
      <w:spacing w:val="0"/>
      <w:sz w:val="14"/>
      <w:szCs w:val="14"/>
    </w:rPr>
  </w:style>
  <w:style w:type="character" w:customStyle="1" w:styleId="1240pt24">
    <w:name w:val="Îñíîâíîé òåêñò (12) + Íå êóðñèâ4.Èíòåðâàë 0 pt24"/>
    <w:uiPriority w:val="99"/>
    <w:rsid w:val="00045010"/>
    <w:rPr>
      <w:rFonts w:ascii="Microsoft Sans Serif" w:hAnsi="Microsoft Sans Serif" w:cs="Microsoft Sans Serif"/>
      <w:i/>
      <w:iCs/>
      <w:spacing w:val="-10"/>
      <w:sz w:val="16"/>
      <w:szCs w:val="16"/>
    </w:rPr>
  </w:style>
  <w:style w:type="character" w:customStyle="1" w:styleId="70pt23">
    <w:name w:val="Îñíîâíîé òåêñò + Êóðñèâ7.Èíòåðâàë 0 pt23"/>
    <w:uiPriority w:val="99"/>
    <w:rsid w:val="00045010"/>
    <w:rPr>
      <w:rFonts w:ascii="Microsoft Sans Serif" w:hAnsi="Microsoft Sans Serif" w:cs="Microsoft Sans Serif"/>
      <w:i/>
      <w:iCs/>
      <w:spacing w:val="0"/>
      <w:sz w:val="16"/>
      <w:szCs w:val="16"/>
    </w:rPr>
  </w:style>
  <w:style w:type="character" w:customStyle="1" w:styleId="12BookmanOldStyle6865pt1710">
    <w:name w:val="Îñíîâíîé òåêñò (12) + Bookman Old Style6.86.5 pt17.Íå êóðñèâ10"/>
    <w:uiPriority w:val="99"/>
    <w:rsid w:val="00045010"/>
    <w:rPr>
      <w:rFonts w:ascii="Bookman Old Style" w:hAnsi="Bookman Old Style" w:cs="Bookman Old Style"/>
      <w:i/>
      <w:iCs/>
      <w:spacing w:val="0"/>
      <w:sz w:val="17"/>
      <w:szCs w:val="17"/>
    </w:rPr>
  </w:style>
  <w:style w:type="character" w:customStyle="1" w:styleId="60pt22">
    <w:name w:val="Îñíîâíîé òåêñò + Êóðñèâ6.Èíòåðâàë 0 pt22"/>
    <w:uiPriority w:val="99"/>
    <w:rsid w:val="00045010"/>
    <w:rPr>
      <w:rFonts w:ascii="Microsoft Sans Serif" w:hAnsi="Microsoft Sans Serif" w:cs="Microsoft Sans Serif"/>
      <w:i/>
      <w:iCs/>
      <w:spacing w:val="0"/>
      <w:sz w:val="16"/>
      <w:szCs w:val="16"/>
    </w:rPr>
  </w:style>
  <w:style w:type="character" w:customStyle="1" w:styleId="1230">
    <w:name w:val="Îñíîâíîé òåêñò (12)3"/>
    <w:uiPriority w:val="99"/>
    <w:rsid w:val="00045010"/>
    <w:rPr>
      <w:rFonts w:ascii="Microsoft Sans Serif" w:hAnsi="Microsoft Sans Serif" w:cs="Microsoft Sans Serif"/>
      <w:i/>
      <w:iCs/>
      <w:spacing w:val="0"/>
      <w:sz w:val="16"/>
      <w:szCs w:val="16"/>
      <w:u w:val="single"/>
    </w:rPr>
  </w:style>
  <w:style w:type="character" w:customStyle="1" w:styleId="1230pt21">
    <w:name w:val="Îñíîâíîé òåêñò (12) + Íå êóðñèâ3.Èíòåðâàë 0 pt21"/>
    <w:uiPriority w:val="99"/>
    <w:rsid w:val="00045010"/>
    <w:rPr>
      <w:rFonts w:ascii="Microsoft Sans Serif" w:hAnsi="Microsoft Sans Serif" w:cs="Microsoft Sans Serif"/>
      <w:i/>
      <w:iCs/>
      <w:spacing w:val="-10"/>
      <w:sz w:val="16"/>
      <w:szCs w:val="16"/>
    </w:rPr>
  </w:style>
  <w:style w:type="character" w:customStyle="1" w:styleId="0pt20">
    <w:name w:val="Îñíîâíîé òåêñò + Ìàëûå ïðîïèñíûå.Èíòåðâàë 0 pt20"/>
    <w:uiPriority w:val="99"/>
    <w:rsid w:val="00045010"/>
    <w:rPr>
      <w:rFonts w:ascii="Microsoft Sans Serif" w:hAnsi="Microsoft Sans Serif" w:cs="Microsoft Sans Serif"/>
      <w:smallCaps/>
      <w:spacing w:val="0"/>
      <w:sz w:val="16"/>
      <w:szCs w:val="16"/>
    </w:rPr>
  </w:style>
  <w:style w:type="character" w:customStyle="1" w:styleId="1265pt160pt19">
    <w:name w:val="Îñíîâíîé òåêñò (12) + 6.5 pt16.Ìàëûå ïðîïèñíûå.Èíòåðâàë 0 pt19"/>
    <w:uiPriority w:val="99"/>
    <w:rsid w:val="00045010"/>
    <w:rPr>
      <w:rFonts w:ascii="Microsoft Sans Serif" w:hAnsi="Microsoft Sans Serif" w:cs="Microsoft Sans Serif"/>
      <w:i/>
      <w:iCs/>
      <w:smallCaps/>
      <w:spacing w:val="10"/>
      <w:sz w:val="13"/>
      <w:szCs w:val="13"/>
      <w:lang w:val="en-US"/>
    </w:rPr>
  </w:style>
  <w:style w:type="character" w:customStyle="1" w:styleId="1220pt18">
    <w:name w:val="Îñíîâíîé òåêñò (12) + Íå êóðñèâ2.Èíòåðâàë 0 pt18"/>
    <w:uiPriority w:val="99"/>
    <w:rsid w:val="00045010"/>
    <w:rPr>
      <w:rFonts w:ascii="Microsoft Sans Serif" w:hAnsi="Microsoft Sans Serif" w:cs="Microsoft Sans Serif"/>
      <w:i/>
      <w:iCs/>
      <w:spacing w:val="-10"/>
      <w:sz w:val="16"/>
      <w:szCs w:val="16"/>
    </w:rPr>
  </w:style>
  <w:style w:type="character" w:customStyle="1" w:styleId="50pt17">
    <w:name w:val="Îñíîâíîé òåêñò + Êóðñèâ5.Èíòåðâàë 0 pt17"/>
    <w:uiPriority w:val="99"/>
    <w:rsid w:val="00045010"/>
    <w:rPr>
      <w:rFonts w:ascii="Microsoft Sans Serif" w:hAnsi="Microsoft Sans Serif" w:cs="Microsoft Sans Serif"/>
      <w:i/>
      <w:iCs/>
      <w:spacing w:val="0"/>
      <w:sz w:val="16"/>
      <w:szCs w:val="16"/>
    </w:rPr>
  </w:style>
  <w:style w:type="character" w:customStyle="1" w:styleId="150pt62">
    <w:name w:val="Îñíîâíîé òåêñò + Êóðñèâ15.Èíòåðâàë 0 pt62"/>
    <w:uiPriority w:val="99"/>
    <w:rsid w:val="00045010"/>
    <w:rPr>
      <w:rFonts w:ascii="Lucida Sans Unicode" w:hAnsi="Lucida Sans Unicode" w:cs="Lucida Sans Unicode"/>
      <w:i/>
      <w:iCs/>
      <w:spacing w:val="0"/>
      <w:sz w:val="16"/>
      <w:szCs w:val="16"/>
    </w:rPr>
  </w:style>
  <w:style w:type="character" w:customStyle="1" w:styleId="20150pt61">
    <w:name w:val="Îñíîâíîé òåêñò (20) + Íå êóðñèâ15.Èíòåðâàë 0 pt61"/>
    <w:uiPriority w:val="99"/>
    <w:rsid w:val="00045010"/>
    <w:rPr>
      <w:rFonts w:ascii="Lucida Sans Unicode" w:hAnsi="Lucida Sans Unicode" w:cs="Lucida Sans Unicode"/>
      <w:b/>
      <w:bCs/>
      <w:i/>
      <w:iCs/>
      <w:spacing w:val="-10"/>
      <w:sz w:val="16"/>
      <w:szCs w:val="16"/>
    </w:rPr>
  </w:style>
  <w:style w:type="character" w:customStyle="1" w:styleId="153">
    <w:name w:val="Îñíîâíîé òåêñò + Êóðñèâ15"/>
    <w:uiPriority w:val="99"/>
    <w:rsid w:val="00045010"/>
    <w:rPr>
      <w:rFonts w:ascii="Arial" w:hAnsi="Arial" w:cs="Arial"/>
      <w:i/>
      <w:iCs/>
      <w:spacing w:val="-10"/>
      <w:sz w:val="17"/>
      <w:szCs w:val="17"/>
      <w:u w:val="single"/>
    </w:rPr>
  </w:style>
  <w:style w:type="character" w:customStyle="1" w:styleId="1190">
    <w:name w:val="Îñíîâíîé òåêñò (11) + Íå êóðñèâ9"/>
    <w:uiPriority w:val="99"/>
    <w:rsid w:val="00045010"/>
    <w:rPr>
      <w:rFonts w:ascii="Arial" w:hAnsi="Arial" w:cs="Arial"/>
      <w:i/>
      <w:iCs/>
      <w:spacing w:val="-10"/>
      <w:sz w:val="17"/>
      <w:szCs w:val="17"/>
    </w:rPr>
  </w:style>
  <w:style w:type="character" w:customStyle="1" w:styleId="144">
    <w:name w:val="Îñíîâíîé òåêñò + Êóðñèâ14"/>
    <w:uiPriority w:val="99"/>
    <w:rsid w:val="00045010"/>
    <w:rPr>
      <w:rFonts w:ascii="Arial" w:hAnsi="Arial" w:cs="Arial"/>
      <w:i/>
      <w:iCs/>
      <w:spacing w:val="-10"/>
      <w:sz w:val="17"/>
      <w:szCs w:val="17"/>
    </w:rPr>
  </w:style>
  <w:style w:type="character" w:customStyle="1" w:styleId="1180">
    <w:name w:val="Îñíîâíîé òåêñò (11) + Íå êóðñèâ8"/>
    <w:uiPriority w:val="99"/>
    <w:rsid w:val="00045010"/>
    <w:rPr>
      <w:rFonts w:ascii="Arial" w:hAnsi="Arial" w:cs="Arial"/>
      <w:i/>
      <w:iCs/>
      <w:spacing w:val="-10"/>
      <w:sz w:val="17"/>
      <w:szCs w:val="17"/>
    </w:rPr>
  </w:style>
  <w:style w:type="character" w:customStyle="1" w:styleId="133">
    <w:name w:val="Îñíîâíîé òåêñò + Êóðñèâ13"/>
    <w:uiPriority w:val="99"/>
    <w:rsid w:val="00045010"/>
    <w:rPr>
      <w:rFonts w:ascii="Arial" w:hAnsi="Arial" w:cs="Arial"/>
      <w:i/>
      <w:iCs/>
      <w:spacing w:val="-10"/>
      <w:sz w:val="17"/>
      <w:szCs w:val="17"/>
      <w:lang w:val="en-US"/>
    </w:rPr>
  </w:style>
  <w:style w:type="character" w:customStyle="1" w:styleId="8pt3100pt23">
    <w:name w:val="Îñíîâíîé òåêñò + 8 pt3.Êóðñèâ10.Ìàëûå ïðîïèñíûå.Èíòåðâàë 0 pt23"/>
    <w:uiPriority w:val="99"/>
    <w:rsid w:val="00045010"/>
    <w:rPr>
      <w:rFonts w:ascii="Arial" w:hAnsi="Arial" w:cs="Arial"/>
      <w:i/>
      <w:iCs/>
      <w:smallCaps/>
      <w:spacing w:val="0"/>
      <w:sz w:val="16"/>
      <w:szCs w:val="16"/>
      <w:lang w:val="en-US"/>
    </w:rPr>
  </w:style>
  <w:style w:type="character" w:customStyle="1" w:styleId="11SimHei75pt3080pt22">
    <w:name w:val="Îñíîâíîé òåêñò (11) + SimHei.7.5 pt30.Íå êóðñèâ8.Èíòåðâàë 0 pt22"/>
    <w:uiPriority w:val="99"/>
    <w:rsid w:val="00045010"/>
    <w:rPr>
      <w:rFonts w:ascii="SimHei" w:eastAsia="SimHei" w:hAnsi="Microsoft Sans Serif" w:cs="SimHei"/>
      <w:i/>
      <w:iCs/>
      <w:spacing w:val="0"/>
      <w:sz w:val="15"/>
      <w:szCs w:val="15"/>
    </w:rPr>
  </w:style>
  <w:style w:type="character" w:customStyle="1" w:styleId="127">
    <w:name w:val="Îñíîâíîé òåêñò + Êóðñèâ12"/>
    <w:uiPriority w:val="99"/>
    <w:rsid w:val="00045010"/>
    <w:rPr>
      <w:rFonts w:ascii="Arial" w:hAnsi="Arial" w:cs="Arial"/>
      <w:i/>
      <w:iCs/>
      <w:spacing w:val="-10"/>
      <w:sz w:val="17"/>
      <w:szCs w:val="17"/>
    </w:rPr>
  </w:style>
  <w:style w:type="character" w:customStyle="1" w:styleId="1170">
    <w:name w:val="Îñíîâíîé òåêñò (11) + Íå êóðñèâ7"/>
    <w:uiPriority w:val="99"/>
    <w:rsid w:val="00045010"/>
    <w:rPr>
      <w:rFonts w:ascii="Arial" w:hAnsi="Arial" w:cs="Arial"/>
      <w:i/>
      <w:iCs/>
      <w:spacing w:val="-10"/>
      <w:sz w:val="17"/>
      <w:szCs w:val="17"/>
    </w:rPr>
  </w:style>
  <w:style w:type="paragraph" w:customStyle="1" w:styleId="11a">
    <w:name w:val="Çàãîëîâîê ¹11"/>
    <w:basedOn w:val="a"/>
    <w:uiPriority w:val="99"/>
    <w:rsid w:val="00045010"/>
    <w:pPr>
      <w:shd w:val="clear" w:color="auto" w:fill="FFFFFF"/>
      <w:autoSpaceDE w:val="0"/>
      <w:autoSpaceDN w:val="0"/>
      <w:adjustRightInd w:val="0"/>
      <w:spacing w:after="180" w:line="240" w:lineRule="atLeast"/>
    </w:pPr>
    <w:rPr>
      <w:rFonts w:ascii="Arial" w:hAnsi="Arial" w:cs="Arial"/>
      <w:b/>
      <w:bCs/>
      <w:noProof/>
      <w:sz w:val="17"/>
      <w:szCs w:val="17"/>
      <w:lang w:val="en-US"/>
    </w:rPr>
  </w:style>
  <w:style w:type="character" w:customStyle="1" w:styleId="635pt54">
    <w:name w:val="Îñíîâíîé òåêñò + 63.5 pt5.Ïîëóæèðíûé4"/>
    <w:uiPriority w:val="99"/>
    <w:rsid w:val="00045010"/>
    <w:rPr>
      <w:rFonts w:ascii="Arial" w:hAnsi="Arial" w:cs="Arial"/>
      <w:b/>
      <w:bCs/>
      <w:sz w:val="13"/>
      <w:szCs w:val="13"/>
    </w:rPr>
  </w:style>
  <w:style w:type="character" w:customStyle="1" w:styleId="1010">
    <w:name w:val="Îñíîâíîé òåêñò (10) + Íå êóðñèâ1"/>
    <w:uiPriority w:val="99"/>
    <w:rsid w:val="00045010"/>
    <w:rPr>
      <w:rFonts w:ascii="Arial" w:hAnsi="Arial" w:cs="Arial"/>
      <w:i/>
      <w:iCs/>
      <w:sz w:val="15"/>
      <w:szCs w:val="15"/>
    </w:rPr>
  </w:style>
  <w:style w:type="paragraph" w:customStyle="1" w:styleId="105">
    <w:name w:val="Îñíîâíîé òåêñò (10)"/>
    <w:basedOn w:val="a"/>
    <w:uiPriority w:val="99"/>
    <w:rsid w:val="00045010"/>
    <w:pPr>
      <w:shd w:val="clear" w:color="auto" w:fill="FFFFFF"/>
      <w:autoSpaceDE w:val="0"/>
      <w:autoSpaceDN w:val="0"/>
      <w:adjustRightInd w:val="0"/>
      <w:spacing w:before="120" w:after="120" w:line="174" w:lineRule="exact"/>
      <w:jc w:val="both"/>
    </w:pPr>
    <w:rPr>
      <w:rFonts w:ascii="Arial" w:hAnsi="Arial" w:cs="Arial"/>
      <w:i/>
      <w:iCs/>
      <w:noProof/>
      <w:sz w:val="15"/>
      <w:szCs w:val="15"/>
      <w:lang w:val="en-US"/>
    </w:rPr>
  </w:style>
  <w:style w:type="character" w:customStyle="1" w:styleId="3f6">
    <w:name w:val="Îñíîâíîé òåêñò + Ïîëóæèðíûé3"/>
    <w:uiPriority w:val="99"/>
    <w:rsid w:val="00045010"/>
    <w:rPr>
      <w:rFonts w:ascii="Arial" w:hAnsi="Arial" w:cs="Arial"/>
      <w:b/>
      <w:bCs/>
      <w:sz w:val="16"/>
      <w:szCs w:val="16"/>
    </w:rPr>
  </w:style>
  <w:style w:type="character" w:customStyle="1" w:styleId="2f6">
    <w:name w:val="Îñíîâíîé òåêñò + Ïîëóæèðíûé2"/>
    <w:uiPriority w:val="99"/>
    <w:rsid w:val="00045010"/>
    <w:rPr>
      <w:rFonts w:ascii="Arial" w:hAnsi="Arial" w:cs="Arial"/>
      <w:b/>
      <w:bCs/>
      <w:sz w:val="16"/>
      <w:szCs w:val="16"/>
    </w:rPr>
  </w:style>
  <w:style w:type="character" w:customStyle="1" w:styleId="465pt7">
    <w:name w:val="Îñíîâíîé òåêñò (4) + 6.5 pt7"/>
    <w:uiPriority w:val="99"/>
    <w:rsid w:val="00045010"/>
    <w:rPr>
      <w:rFonts w:ascii="Arial" w:hAnsi="Arial" w:cs="Arial"/>
      <w:i/>
      <w:iCs/>
      <w:noProof/>
      <w:sz w:val="13"/>
      <w:szCs w:val="13"/>
    </w:rPr>
  </w:style>
  <w:style w:type="character" w:customStyle="1" w:styleId="27Arial8pt12">
    <w:name w:val="Îñíîâíîé òåêñò (27) + Arial.8 pt1.Íå êóðñèâ2"/>
    <w:uiPriority w:val="99"/>
    <w:rsid w:val="00045010"/>
    <w:rPr>
      <w:rFonts w:ascii="Arial" w:hAnsi="Arial" w:cs="Arial"/>
      <w:i/>
      <w:iCs/>
      <w:sz w:val="16"/>
      <w:szCs w:val="16"/>
    </w:rPr>
  </w:style>
  <w:style w:type="character" w:customStyle="1" w:styleId="277">
    <w:name w:val="Îñíîâíîé òåêñò (27) + Ïîëóæèðíûé"/>
    <w:uiPriority w:val="99"/>
    <w:rsid w:val="00045010"/>
    <w:rPr>
      <w:rFonts w:ascii="Bookman Old Style" w:hAnsi="Bookman Old Style" w:cs="Bookman Old Style"/>
      <w:b/>
      <w:bCs/>
      <w:i/>
      <w:iCs/>
      <w:sz w:val="17"/>
      <w:szCs w:val="17"/>
    </w:rPr>
  </w:style>
  <w:style w:type="character" w:customStyle="1" w:styleId="TimesNewRoman440pt44">
    <w:name w:val="Îñíîâíîé òåêñò + Times New Roman4.40 pt4.Ïîëóæèðíûé4"/>
    <w:uiPriority w:val="99"/>
    <w:rsid w:val="00045010"/>
    <w:rPr>
      <w:rFonts w:ascii="Times New Roman" w:hAnsi="Times New Roman" w:cs="Times New Roman"/>
      <w:b/>
      <w:bCs/>
      <w:noProof/>
      <w:sz w:val="80"/>
      <w:szCs w:val="80"/>
    </w:rPr>
  </w:style>
  <w:style w:type="character" w:customStyle="1" w:styleId="322">
    <w:name w:val="Çàãîëîâîê ¹32"/>
    <w:uiPriority w:val="99"/>
    <w:rsid w:val="00045010"/>
    <w:rPr>
      <w:b/>
      <w:bCs/>
      <w:sz w:val="36"/>
      <w:szCs w:val="36"/>
    </w:rPr>
  </w:style>
  <w:style w:type="character" w:customStyle="1" w:styleId="TimesNewRoman140pt11">
    <w:name w:val="Îñíîâíîé òåêñò + Times New Roman1.40 pt1.Ïîëóæèðíûé1"/>
    <w:uiPriority w:val="99"/>
    <w:rsid w:val="00045010"/>
    <w:rPr>
      <w:rFonts w:ascii="Times New Roman" w:hAnsi="Times New Roman" w:cs="Times New Roman"/>
      <w:b/>
      <w:bCs/>
      <w:noProof/>
      <w:sz w:val="80"/>
      <w:szCs w:val="80"/>
    </w:rPr>
  </w:style>
  <w:style w:type="character" w:customStyle="1" w:styleId="227">
    <w:name w:val="Ïîäïèñü ê òàáëèöå (2)2"/>
    <w:uiPriority w:val="99"/>
    <w:rsid w:val="00045010"/>
    <w:rPr>
      <w:rFonts w:ascii="Franklin Gothic Book" w:hAnsi="Franklin Gothic Book" w:cs="Franklin Gothic Book"/>
      <w:b/>
      <w:bCs/>
      <w:color w:val="FFFFFF"/>
      <w:sz w:val="15"/>
      <w:szCs w:val="15"/>
    </w:rPr>
  </w:style>
  <w:style w:type="character" w:customStyle="1" w:styleId="422">
    <w:name w:val="Çàãîëîâîê ¹42"/>
    <w:uiPriority w:val="99"/>
    <w:rsid w:val="00045010"/>
    <w:rPr>
      <w:b/>
      <w:bCs/>
      <w:sz w:val="22"/>
      <w:szCs w:val="22"/>
      <w:u w:val="single"/>
    </w:rPr>
  </w:style>
  <w:style w:type="paragraph" w:customStyle="1" w:styleId="318">
    <w:name w:val="Çàãîëîâîê ¹31"/>
    <w:basedOn w:val="a"/>
    <w:uiPriority w:val="99"/>
    <w:rsid w:val="00045010"/>
    <w:pPr>
      <w:shd w:val="clear" w:color="auto" w:fill="FFFFFF"/>
      <w:autoSpaceDE w:val="0"/>
      <w:autoSpaceDN w:val="0"/>
      <w:adjustRightInd w:val="0"/>
      <w:spacing w:after="0" w:line="240" w:lineRule="atLeast"/>
    </w:pPr>
    <w:rPr>
      <w:rFonts w:ascii="Times New Roman" w:hAnsi="Times New Roman"/>
      <w:b/>
      <w:bCs/>
      <w:noProof/>
      <w:sz w:val="36"/>
      <w:szCs w:val="36"/>
      <w:lang w:val="en-US"/>
    </w:rPr>
  </w:style>
  <w:style w:type="paragraph" w:customStyle="1" w:styleId="171">
    <w:name w:val="Îñíîâíîé òåêñò (17)1"/>
    <w:basedOn w:val="a"/>
    <w:uiPriority w:val="99"/>
    <w:rsid w:val="00045010"/>
    <w:pPr>
      <w:shd w:val="clear" w:color="auto" w:fill="FFFFFF"/>
      <w:autoSpaceDE w:val="0"/>
      <w:autoSpaceDN w:val="0"/>
      <w:adjustRightInd w:val="0"/>
      <w:spacing w:after="0" w:line="202" w:lineRule="exact"/>
      <w:jc w:val="center"/>
    </w:pPr>
    <w:rPr>
      <w:rFonts w:ascii="Franklin Gothic Book" w:hAnsi="Franklin Gothic Book" w:cs="Franklin Gothic Book"/>
      <w:b/>
      <w:bCs/>
      <w:noProof/>
      <w:sz w:val="15"/>
      <w:szCs w:val="15"/>
      <w:lang w:val="en-US"/>
    </w:rPr>
  </w:style>
  <w:style w:type="paragraph" w:customStyle="1" w:styleId="415">
    <w:name w:val="Çàãîëîâîê ¹41"/>
    <w:basedOn w:val="a"/>
    <w:uiPriority w:val="99"/>
    <w:rsid w:val="00045010"/>
    <w:pPr>
      <w:shd w:val="clear" w:color="auto" w:fill="FFFFFF"/>
      <w:autoSpaceDE w:val="0"/>
      <w:autoSpaceDN w:val="0"/>
      <w:adjustRightInd w:val="0"/>
      <w:spacing w:before="180" w:after="180" w:line="240" w:lineRule="atLeast"/>
    </w:pPr>
    <w:rPr>
      <w:rFonts w:ascii="Times New Roman" w:hAnsi="Times New Roman"/>
      <w:b/>
      <w:bCs/>
      <w:noProof/>
      <w:lang w:val="en-US"/>
    </w:rPr>
  </w:style>
  <w:style w:type="paragraph" w:customStyle="1" w:styleId="affffd">
    <w:name w:val="Êîëîíòèòóë"/>
    <w:basedOn w:val="a"/>
    <w:uiPriority w:val="99"/>
    <w:rsid w:val="00045010"/>
    <w:pPr>
      <w:shd w:val="clear" w:color="auto" w:fill="FFFFFF"/>
      <w:autoSpaceDE w:val="0"/>
      <w:autoSpaceDN w:val="0"/>
      <w:adjustRightInd w:val="0"/>
      <w:spacing w:after="0" w:line="240" w:lineRule="auto"/>
    </w:pPr>
    <w:rPr>
      <w:rFonts w:ascii="Times New Roman" w:hAnsi="Times New Roman"/>
      <w:noProof/>
      <w:sz w:val="20"/>
      <w:szCs w:val="20"/>
      <w:lang w:val="en-US"/>
    </w:rPr>
  </w:style>
  <w:style w:type="character" w:customStyle="1" w:styleId="ArialNarrow115pt16">
    <w:name w:val="Êîëîíòèòóë + Arial Narrow.11.5 pt16.Ïîëóæèðíûé"/>
    <w:uiPriority w:val="99"/>
    <w:rsid w:val="00045010"/>
    <w:rPr>
      <w:rFonts w:ascii="Arial Narrow" w:hAnsi="Arial Narrow" w:cs="Arial Narrow"/>
      <w:b/>
      <w:bCs/>
      <w:color w:val="FFFFFF"/>
      <w:spacing w:val="0"/>
      <w:sz w:val="23"/>
      <w:szCs w:val="23"/>
    </w:rPr>
  </w:style>
  <w:style w:type="character" w:customStyle="1" w:styleId="MicrosoftSansSerif1515pt13">
    <w:name w:val="Êîëîíòèòóë + Microsoft Sans Serif1.51.5 pt13"/>
    <w:uiPriority w:val="99"/>
    <w:rsid w:val="00045010"/>
    <w:rPr>
      <w:rFonts w:ascii="Microsoft Sans Serif" w:hAnsi="Microsoft Sans Serif" w:cs="Microsoft Sans Serif"/>
      <w:spacing w:val="0"/>
      <w:sz w:val="11"/>
      <w:szCs w:val="11"/>
    </w:rPr>
  </w:style>
  <w:style w:type="character" w:customStyle="1" w:styleId="TimesNewRoman138pt4">
    <w:name w:val="Îñíîâíîé òåêñò + Times New Roman1.38 pt.Ïîëóæèðíûé4"/>
    <w:uiPriority w:val="99"/>
    <w:rsid w:val="00045010"/>
    <w:rPr>
      <w:rFonts w:ascii="Times New Roman" w:hAnsi="Times New Roman" w:cs="Times New Roman"/>
      <w:b/>
      <w:bCs/>
      <w:noProof/>
      <w:sz w:val="76"/>
      <w:szCs w:val="76"/>
    </w:rPr>
  </w:style>
  <w:style w:type="character" w:customStyle="1" w:styleId="2120">
    <w:name w:val="Îñíîâíîé òåêñò (21)2"/>
    <w:uiPriority w:val="99"/>
    <w:rsid w:val="00045010"/>
    <w:rPr>
      <w:rFonts w:ascii="MS Reference Sans Serif" w:hAnsi="MS Reference Sans Serif" w:cs="MS Reference Sans Serif"/>
      <w:color w:val="FFFFFF"/>
      <w:sz w:val="16"/>
      <w:szCs w:val="16"/>
    </w:rPr>
  </w:style>
  <w:style w:type="character" w:customStyle="1" w:styleId="MSReferenceSansSerif2">
    <w:name w:val="Îñíîâíîé òåêñò + MS Reference Sans Serif2"/>
    <w:uiPriority w:val="99"/>
    <w:rsid w:val="00045010"/>
    <w:rPr>
      <w:rFonts w:ascii="MS Reference Sans Serif" w:hAnsi="MS Reference Sans Serif" w:cs="MS Reference Sans Serif"/>
      <w:sz w:val="13"/>
      <w:szCs w:val="13"/>
    </w:rPr>
  </w:style>
  <w:style w:type="character" w:customStyle="1" w:styleId="1113">
    <w:name w:val="Îñíîâíîé òåêñò (11)13"/>
    <w:uiPriority w:val="99"/>
    <w:rsid w:val="00045010"/>
    <w:rPr>
      <w:rFonts w:ascii="Arial" w:hAnsi="Arial" w:cs="Arial"/>
      <w:sz w:val="12"/>
      <w:szCs w:val="12"/>
    </w:rPr>
  </w:style>
  <w:style w:type="character" w:customStyle="1" w:styleId="1112">
    <w:name w:val="Îñíîâíîé òåêñò (11)12"/>
    <w:uiPriority w:val="99"/>
    <w:rsid w:val="00045010"/>
    <w:rPr>
      <w:rFonts w:ascii="Arial" w:hAnsi="Arial" w:cs="Arial"/>
      <w:sz w:val="12"/>
      <w:szCs w:val="12"/>
    </w:rPr>
  </w:style>
  <w:style w:type="character" w:customStyle="1" w:styleId="MSReferenceSansSerif135pt13">
    <w:name w:val="Îñíîâíîé òåêñò + MS Reference Sans Serif1.35 pt1.Ïîëóæèðíûé3"/>
    <w:uiPriority w:val="99"/>
    <w:rsid w:val="00045010"/>
    <w:rPr>
      <w:rFonts w:ascii="MS Reference Sans Serif" w:hAnsi="MS Reference Sans Serif" w:cs="MS Reference Sans Serif"/>
      <w:b/>
      <w:bCs/>
      <w:noProof/>
      <w:sz w:val="70"/>
      <w:szCs w:val="70"/>
    </w:rPr>
  </w:style>
  <w:style w:type="paragraph" w:customStyle="1" w:styleId="154">
    <w:name w:val="Îñíîâíîé òåêñò (15)"/>
    <w:basedOn w:val="a"/>
    <w:uiPriority w:val="99"/>
    <w:rsid w:val="00045010"/>
    <w:pPr>
      <w:shd w:val="clear" w:color="auto" w:fill="FFFFFF"/>
      <w:autoSpaceDE w:val="0"/>
      <w:autoSpaceDN w:val="0"/>
      <w:adjustRightInd w:val="0"/>
      <w:spacing w:after="240" w:line="240" w:lineRule="atLeast"/>
      <w:jc w:val="both"/>
    </w:pPr>
    <w:rPr>
      <w:rFonts w:cs="Calibri"/>
      <w:i/>
      <w:iCs/>
      <w:noProof/>
      <w:sz w:val="16"/>
      <w:szCs w:val="16"/>
      <w:lang w:val="en-US"/>
    </w:rPr>
  </w:style>
  <w:style w:type="paragraph" w:customStyle="1" w:styleId="2111">
    <w:name w:val="Îñíîâíîé òåêñò (21)1"/>
    <w:basedOn w:val="a"/>
    <w:uiPriority w:val="99"/>
    <w:rsid w:val="00045010"/>
    <w:pPr>
      <w:shd w:val="clear" w:color="auto" w:fill="FFFFFF"/>
      <w:autoSpaceDE w:val="0"/>
      <w:autoSpaceDN w:val="0"/>
      <w:adjustRightInd w:val="0"/>
      <w:spacing w:after="0" w:line="240" w:lineRule="atLeast"/>
    </w:pPr>
    <w:rPr>
      <w:rFonts w:ascii="MS Reference Sans Serif" w:hAnsi="MS Reference Sans Serif" w:cs="MS Reference Sans Serif"/>
      <w:noProof/>
      <w:sz w:val="16"/>
      <w:szCs w:val="16"/>
      <w:lang w:val="en-US"/>
    </w:rPr>
  </w:style>
  <w:style w:type="paragraph" w:customStyle="1" w:styleId="3111">
    <w:name w:val="Îñíîâíîé òåêñò (31)1"/>
    <w:basedOn w:val="a"/>
    <w:uiPriority w:val="99"/>
    <w:rsid w:val="00045010"/>
    <w:pPr>
      <w:shd w:val="clear" w:color="auto" w:fill="FFFFFF"/>
      <w:autoSpaceDE w:val="0"/>
      <w:autoSpaceDN w:val="0"/>
      <w:adjustRightInd w:val="0"/>
      <w:spacing w:after="0" w:line="240" w:lineRule="atLeast"/>
    </w:pPr>
    <w:rPr>
      <w:rFonts w:ascii="Times New Roman" w:hAnsi="Times New Roman"/>
      <w:b/>
      <w:bCs/>
      <w:noProof/>
      <w:sz w:val="88"/>
      <w:szCs w:val="88"/>
      <w:lang w:val="en-US"/>
    </w:rPr>
  </w:style>
  <w:style w:type="paragraph" w:customStyle="1" w:styleId="Pa2">
    <w:name w:val="Pa2"/>
    <w:basedOn w:val="Default"/>
    <w:next w:val="Default"/>
    <w:uiPriority w:val="99"/>
    <w:rsid w:val="00045010"/>
    <w:pPr>
      <w:spacing w:line="241" w:lineRule="atLeast"/>
    </w:pPr>
    <w:rPr>
      <w:color w:val="auto"/>
    </w:rPr>
  </w:style>
  <w:style w:type="paragraph" w:customStyle="1" w:styleId="Pa8">
    <w:name w:val="Pa8"/>
    <w:basedOn w:val="Default"/>
    <w:next w:val="Default"/>
    <w:uiPriority w:val="99"/>
    <w:rsid w:val="00045010"/>
    <w:pPr>
      <w:spacing w:line="201" w:lineRule="atLeast"/>
    </w:pPr>
    <w:rPr>
      <w:color w:val="auto"/>
    </w:rPr>
  </w:style>
  <w:style w:type="character" w:customStyle="1" w:styleId="2f7">
    <w:name w:val="Îñíîâíîé òåêñò (2)"/>
    <w:uiPriority w:val="99"/>
    <w:rsid w:val="00045010"/>
    <w:rPr>
      <w:rFonts w:ascii="MS Reference Sans Serif" w:hAnsi="MS Reference Sans Serif" w:cs="MS Reference Sans Serif"/>
      <w:i/>
      <w:iCs/>
      <w:spacing w:val="-10"/>
      <w:sz w:val="22"/>
      <w:szCs w:val="22"/>
    </w:rPr>
  </w:style>
  <w:style w:type="character" w:customStyle="1" w:styleId="2f8">
    <w:name w:val="Îñíîâíîé òåêñò (2) + Êóðñèâ"/>
    <w:uiPriority w:val="99"/>
    <w:rsid w:val="00045010"/>
    <w:rPr>
      <w:rFonts w:ascii="MS Reference Sans Serif" w:hAnsi="MS Reference Sans Serif" w:cs="MS Reference Sans Serif"/>
      <w:i/>
      <w:iCs/>
      <w:spacing w:val="-10"/>
      <w:sz w:val="22"/>
      <w:szCs w:val="22"/>
    </w:rPr>
  </w:style>
  <w:style w:type="paragraph" w:customStyle="1" w:styleId="2f9">
    <w:name w:val="Ïîäïèñü ê êàðòèíêå (2)"/>
    <w:basedOn w:val="a"/>
    <w:uiPriority w:val="99"/>
    <w:rsid w:val="00045010"/>
    <w:pPr>
      <w:shd w:val="clear" w:color="auto" w:fill="FFFFFF"/>
      <w:autoSpaceDE w:val="0"/>
      <w:autoSpaceDN w:val="0"/>
      <w:adjustRightInd w:val="0"/>
      <w:spacing w:after="0" w:line="240" w:lineRule="atLeast"/>
    </w:pPr>
    <w:rPr>
      <w:rFonts w:ascii="MS Reference Sans Serif" w:hAnsi="MS Reference Sans Serif" w:cs="MS Reference Sans Serif"/>
      <w:noProof/>
      <w:spacing w:val="-10"/>
      <w:lang w:val="en-US"/>
    </w:rPr>
  </w:style>
  <w:style w:type="character" w:customStyle="1" w:styleId="105pt0pt">
    <w:name w:val="Îñíîâíîé òåêñò + 10.5 pt.Êóðñèâ.Èíòåðâàë 0 pt"/>
    <w:uiPriority w:val="99"/>
    <w:rsid w:val="00045010"/>
    <w:rPr>
      <w:rFonts w:ascii="Microsoft Sans Serif" w:hAnsi="Microsoft Sans Serif" w:cs="Microsoft Sans Serif"/>
      <w:i/>
      <w:iCs/>
      <w:spacing w:val="0"/>
      <w:sz w:val="21"/>
      <w:szCs w:val="21"/>
    </w:rPr>
  </w:style>
  <w:style w:type="character" w:customStyle="1" w:styleId="115pt29115pt8109112SimHei2Arial12pt11ptMSMincho12pt">
    <w:name w:val="Îñíîâíîé òåêñò + 11.5 pt2.Íå êóðñèâ.Îñíîâíîé òåêñò (9) + 11.5 pt8.Îñíîâíîé òåêñò (10) + 91.Íå ìàëûå ïðîïèñíûå1.Îñíîâíîé òåêñò (2) + SimHei.Îñíîâíîé òåêñò (2) + Arial.12 pt.11 pt.Îñíîâíîé òåêñò + MS Mincho.Îñíîâíîé òåêñò + 12 pt"/>
    <w:uiPriority w:val="99"/>
    <w:rsid w:val="00045010"/>
    <w:rPr>
      <w:rFonts w:ascii="MS Reference Sans Serif" w:hAnsi="MS Reference Sans Serif" w:cs="MS Reference Sans Serif"/>
      <w:spacing w:val="-10"/>
      <w:sz w:val="23"/>
      <w:szCs w:val="23"/>
    </w:rPr>
  </w:style>
  <w:style w:type="paragraph" w:customStyle="1" w:styleId="3f7">
    <w:name w:val="Îñíîâíîé òåêñò (3)"/>
    <w:basedOn w:val="a"/>
    <w:uiPriority w:val="99"/>
    <w:rsid w:val="00045010"/>
    <w:pPr>
      <w:shd w:val="clear" w:color="auto" w:fill="FFFFFF"/>
      <w:autoSpaceDE w:val="0"/>
      <w:autoSpaceDN w:val="0"/>
      <w:adjustRightInd w:val="0"/>
      <w:spacing w:after="0" w:line="310" w:lineRule="exact"/>
      <w:jc w:val="both"/>
    </w:pPr>
    <w:rPr>
      <w:rFonts w:ascii="Times New Roman" w:hAnsi="Times New Roman"/>
      <w:noProof/>
      <w:spacing w:val="-10"/>
      <w:sz w:val="24"/>
      <w:szCs w:val="24"/>
      <w:lang w:val="en-US"/>
    </w:rPr>
  </w:style>
  <w:style w:type="character" w:customStyle="1" w:styleId="1-1pt">
    <w:name w:val="Çàãîëîâîê ¹1 + Èíòåðâàë -1 pt"/>
    <w:uiPriority w:val="99"/>
    <w:rsid w:val="00045010"/>
    <w:rPr>
      <w:rFonts w:ascii="Arial Narrow" w:hAnsi="Arial Narrow" w:cs="Arial Narrow"/>
      <w:b/>
      <w:bCs/>
      <w:spacing w:val="-20"/>
      <w:sz w:val="27"/>
      <w:szCs w:val="27"/>
    </w:rPr>
  </w:style>
  <w:style w:type="character" w:customStyle="1" w:styleId="0pt0">
    <w:name w:val="Îñíîâíîé òåêñò + Èíòåðâàë 0 pt"/>
    <w:uiPriority w:val="99"/>
    <w:rsid w:val="00045010"/>
    <w:rPr>
      <w:rFonts w:ascii="MS Reference Sans Serif" w:hAnsi="MS Reference Sans Serif" w:cs="MS Reference Sans Serif"/>
      <w:i/>
      <w:iCs/>
      <w:spacing w:val="10"/>
      <w:sz w:val="22"/>
      <w:szCs w:val="22"/>
    </w:rPr>
  </w:style>
  <w:style w:type="character" w:customStyle="1" w:styleId="21pt">
    <w:name w:val="Îñíîâíîé òåêñò (2) + Èíòåðâàë 1 pt"/>
    <w:uiPriority w:val="99"/>
    <w:rsid w:val="00045010"/>
    <w:rPr>
      <w:rFonts w:ascii="Tahoma" w:hAnsi="Tahoma" w:cs="Tahoma"/>
      <w:i/>
      <w:iCs/>
      <w:noProof/>
      <w:spacing w:val="30"/>
      <w:sz w:val="24"/>
      <w:szCs w:val="24"/>
    </w:rPr>
  </w:style>
  <w:style w:type="character" w:customStyle="1" w:styleId="2pt">
    <w:name w:val="Îñíîâíîé òåêñò + Èíòåðâàë 2 pt"/>
    <w:uiPriority w:val="99"/>
    <w:rsid w:val="00045010"/>
    <w:rPr>
      <w:rFonts w:ascii="Tahoma" w:hAnsi="Tahoma" w:cs="Tahoma"/>
      <w:i/>
      <w:iCs/>
      <w:spacing w:val="40"/>
      <w:sz w:val="21"/>
      <w:szCs w:val="21"/>
    </w:rPr>
  </w:style>
  <w:style w:type="character" w:customStyle="1" w:styleId="2pt1">
    <w:name w:val="Îñíîâíîé òåêñò + Èíòåðâàë 2 pt1"/>
    <w:uiPriority w:val="99"/>
    <w:rsid w:val="00045010"/>
    <w:rPr>
      <w:rFonts w:ascii="Tahoma" w:hAnsi="Tahoma" w:cs="Tahoma"/>
      <w:i/>
      <w:iCs/>
      <w:spacing w:val="40"/>
      <w:sz w:val="21"/>
      <w:szCs w:val="21"/>
    </w:rPr>
  </w:style>
  <w:style w:type="character" w:customStyle="1" w:styleId="211pt">
    <w:name w:val="Îñíîâíîé òåêñò (2) + 11 pt.Êóðñèâ"/>
    <w:uiPriority w:val="99"/>
    <w:rsid w:val="00045010"/>
    <w:rPr>
      <w:rFonts w:ascii="MS Reference Sans Serif" w:hAnsi="MS Reference Sans Serif" w:cs="MS Reference Sans Serif"/>
      <w:i/>
      <w:iCs/>
      <w:noProof/>
      <w:spacing w:val="-10"/>
      <w:sz w:val="22"/>
      <w:szCs w:val="22"/>
    </w:rPr>
  </w:style>
  <w:style w:type="character" w:customStyle="1" w:styleId="Batang16pt-1ptGulim125pt1111101Tahoma10pt">
    <w:name w:val="Êîëîíòèòóë + Batang.16 pt.Èíòåðâàë -1 pt.Îñíîâíîé òåêñò + Gulim.12.5 pt1.Íå êóðñèâ1.Îñíîâíîé òåêñò (11) + 10.Ìàëûå ïðîïèñíûå1.Îñíîâíîé òåêñò + Tahoma.10 pt"/>
    <w:uiPriority w:val="99"/>
    <w:rsid w:val="00045010"/>
    <w:rPr>
      <w:rFonts w:ascii="Batang" w:eastAsia="Batang" w:cs="Batang"/>
      <w:noProof/>
      <w:spacing w:val="-30"/>
      <w:sz w:val="32"/>
      <w:szCs w:val="32"/>
    </w:rPr>
  </w:style>
  <w:style w:type="character" w:customStyle="1" w:styleId="affffe">
    <w:name w:val="Êîëîíòèòóë_"/>
    <w:uiPriority w:val="99"/>
    <w:rsid w:val="00045010"/>
    <w:rPr>
      <w:noProof/>
    </w:rPr>
  </w:style>
  <w:style w:type="character" w:customStyle="1" w:styleId="1095pt4">
    <w:name w:val="Îñíîâíîé òåêñò (10) + 9.5 pt4.Íå ìàëûå ïðîïèñíûå"/>
    <w:uiPriority w:val="99"/>
    <w:rsid w:val="00045010"/>
    <w:rPr>
      <w:rFonts w:ascii="Microsoft Sans Serif" w:hAnsi="Microsoft Sans Serif" w:cs="Microsoft Sans Serif"/>
      <w:smallCaps/>
      <w:noProof/>
      <w:spacing w:val="0"/>
      <w:sz w:val="19"/>
      <w:szCs w:val="19"/>
    </w:rPr>
  </w:style>
  <w:style w:type="character" w:customStyle="1" w:styleId="106">
    <w:name w:val="Îñíîâíîé òåêñò (10)_"/>
    <w:uiPriority w:val="99"/>
    <w:rsid w:val="00045010"/>
    <w:rPr>
      <w:rFonts w:ascii="Microsoft Sans Serif" w:hAnsi="Microsoft Sans Serif" w:cs="Microsoft Sans Serif"/>
      <w:smallCaps/>
      <w:sz w:val="17"/>
      <w:szCs w:val="17"/>
    </w:rPr>
  </w:style>
  <w:style w:type="character" w:customStyle="1" w:styleId="1185pt32">
    <w:name w:val="Îñíîâíîé òåêñò (11) + 8.5 pt3.Ìàëûå ïðîïèñíûå2"/>
    <w:uiPriority w:val="99"/>
    <w:rsid w:val="00045010"/>
    <w:rPr>
      <w:rFonts w:ascii="Microsoft Sans Serif" w:hAnsi="Microsoft Sans Serif" w:cs="Microsoft Sans Serif"/>
      <w:i/>
      <w:iCs/>
      <w:smallCaps/>
      <w:sz w:val="17"/>
      <w:szCs w:val="17"/>
    </w:rPr>
  </w:style>
  <w:style w:type="character" w:customStyle="1" w:styleId="21pt1">
    <w:name w:val="Îñíîâíîé òåêñò (2) + Èíòåðâàë 1 pt1"/>
    <w:uiPriority w:val="99"/>
    <w:rsid w:val="00045010"/>
    <w:rPr>
      <w:rFonts w:ascii="Microsoft Sans Serif" w:hAnsi="Microsoft Sans Serif" w:cs="Microsoft Sans Serif"/>
      <w:i/>
      <w:iCs/>
      <w:noProof/>
      <w:spacing w:val="30"/>
      <w:sz w:val="21"/>
      <w:szCs w:val="21"/>
    </w:rPr>
  </w:style>
  <w:style w:type="character" w:customStyle="1" w:styleId="2-1pt">
    <w:name w:val="Îñíîâíîé òåêñò (2) + Èíòåðâàë -1 pt"/>
    <w:uiPriority w:val="99"/>
    <w:rsid w:val="00045010"/>
    <w:rPr>
      <w:rFonts w:ascii="Microsoft Sans Serif" w:hAnsi="Microsoft Sans Serif" w:cs="Microsoft Sans Serif"/>
      <w:i/>
      <w:iCs/>
      <w:noProof/>
      <w:spacing w:val="-20"/>
      <w:sz w:val="21"/>
      <w:szCs w:val="21"/>
    </w:rPr>
  </w:style>
  <w:style w:type="character" w:customStyle="1" w:styleId="TrebuchetMS155ptArialNarrow17Tahoma0pt1211">
    <w:name w:val="Êîëîíòèòóë + Trebuchet MS.15.5 pt.Êîëîíòèòóë + Arial Narrow.17.Êîëîíòèòóë + Tahoma.Èíòåðâàë 0 pt1.Îñíîâíîé òåêñò (2) + 11"/>
    <w:uiPriority w:val="99"/>
    <w:rsid w:val="00045010"/>
    <w:rPr>
      <w:rFonts w:ascii="Trebuchet MS" w:hAnsi="Trebuchet MS" w:cs="Trebuchet MS"/>
      <w:noProof/>
      <w:sz w:val="31"/>
      <w:szCs w:val="31"/>
    </w:rPr>
  </w:style>
  <w:style w:type="character" w:customStyle="1" w:styleId="22pt">
    <w:name w:val="Îñíîâíîé òåêñò (2) + Èíòåðâàë 2 pt"/>
    <w:uiPriority w:val="99"/>
    <w:rsid w:val="00045010"/>
    <w:rPr>
      <w:rFonts w:ascii="Tahoma" w:hAnsi="Tahoma" w:cs="Tahoma"/>
      <w:i/>
      <w:iCs/>
      <w:noProof/>
      <w:spacing w:val="40"/>
      <w:sz w:val="21"/>
      <w:szCs w:val="21"/>
    </w:rPr>
  </w:style>
  <w:style w:type="character" w:customStyle="1" w:styleId="1pt0">
    <w:name w:val="Îñíîâíîé òåêñò + Èíòåðâàë 1 pt"/>
    <w:uiPriority w:val="99"/>
    <w:rsid w:val="00045010"/>
    <w:rPr>
      <w:rFonts w:ascii="Microsoft Sans Serif" w:hAnsi="Microsoft Sans Serif" w:cs="Microsoft Sans Serif"/>
      <w:i/>
      <w:iCs/>
      <w:spacing w:val="30"/>
      <w:sz w:val="21"/>
      <w:szCs w:val="21"/>
    </w:rPr>
  </w:style>
  <w:style w:type="character" w:customStyle="1" w:styleId="31pt">
    <w:name w:val="Îñíîâíîé òåêñò (3) + Èíòåðâàë 1 pt"/>
    <w:uiPriority w:val="99"/>
    <w:rsid w:val="00045010"/>
    <w:rPr>
      <w:rFonts w:ascii="MS Reference Sans Serif" w:hAnsi="MS Reference Sans Serif" w:cs="MS Reference Sans Serif"/>
      <w:b/>
      <w:bCs/>
      <w:i/>
      <w:iCs/>
      <w:spacing w:val="20"/>
      <w:sz w:val="22"/>
      <w:szCs w:val="22"/>
    </w:rPr>
  </w:style>
  <w:style w:type="character" w:customStyle="1" w:styleId="3pt0">
    <w:name w:val="Îñíîâíîé òåêñò + Èíòåðâàë 3 pt"/>
    <w:uiPriority w:val="99"/>
    <w:rsid w:val="00045010"/>
    <w:rPr>
      <w:rFonts w:ascii="Microsoft Sans Serif" w:hAnsi="Microsoft Sans Serif" w:cs="Microsoft Sans Serif"/>
      <w:i/>
      <w:iCs/>
      <w:spacing w:val="60"/>
      <w:sz w:val="21"/>
      <w:szCs w:val="21"/>
    </w:rPr>
  </w:style>
  <w:style w:type="character" w:customStyle="1" w:styleId="42pt">
    <w:name w:val="Îñíîâíîé òåêñò (4) + Èíòåðâàë 2 pt"/>
    <w:uiPriority w:val="99"/>
    <w:rsid w:val="00045010"/>
    <w:rPr>
      <w:rFonts w:ascii="Tahoma" w:hAnsi="Tahoma" w:cs="Tahoma"/>
      <w:i/>
      <w:iCs/>
      <w:spacing w:val="50"/>
      <w:sz w:val="21"/>
      <w:szCs w:val="21"/>
    </w:rPr>
  </w:style>
  <w:style w:type="character" w:customStyle="1" w:styleId="4f">
    <w:name w:val="Îñíîâíîé òåêñò (4)_"/>
    <w:uiPriority w:val="99"/>
    <w:rsid w:val="00045010"/>
    <w:rPr>
      <w:rFonts w:ascii="Microsoft Sans Serif" w:hAnsi="Microsoft Sans Serif" w:cs="Microsoft Sans Serif"/>
      <w:i/>
      <w:iCs/>
      <w:sz w:val="21"/>
      <w:szCs w:val="21"/>
    </w:rPr>
  </w:style>
  <w:style w:type="character" w:customStyle="1" w:styleId="FranklinGothicHeavy">
    <w:name w:val="Îñíîâíîé òåêñò + Franklin Gothic Heavy"/>
    <w:uiPriority w:val="99"/>
    <w:rsid w:val="00045010"/>
    <w:rPr>
      <w:rFonts w:ascii="Franklin Gothic Heavy" w:hAnsi="Franklin Gothic Heavy" w:cs="Franklin Gothic Heavy"/>
      <w:spacing w:val="-10"/>
      <w:sz w:val="12"/>
      <w:szCs w:val="12"/>
    </w:rPr>
  </w:style>
  <w:style w:type="character" w:customStyle="1" w:styleId="Tahoma">
    <w:name w:val="Îñíîâíîé òåêñò + Tahoma.Ïîëóæèðíûé.Êóðñèâ"/>
    <w:uiPriority w:val="99"/>
    <w:rsid w:val="00045010"/>
    <w:rPr>
      <w:rFonts w:ascii="Tahoma" w:hAnsi="Tahoma" w:cs="Tahoma"/>
      <w:b/>
      <w:bCs/>
      <w:i/>
      <w:iCs/>
      <w:spacing w:val="-10"/>
      <w:sz w:val="12"/>
      <w:szCs w:val="12"/>
      <w:lang w:val="en-US"/>
    </w:rPr>
  </w:style>
  <w:style w:type="character" w:customStyle="1" w:styleId="afffff">
    <w:name w:val="Îñíîâíîé òåêñò + Ïîëóæèðíûé"/>
    <w:uiPriority w:val="99"/>
    <w:rsid w:val="00045010"/>
    <w:rPr>
      <w:rFonts w:ascii="Trebuchet MS" w:hAnsi="Trebuchet MS" w:cs="Trebuchet MS"/>
      <w:b/>
      <w:bCs/>
      <w:spacing w:val="-10"/>
      <w:sz w:val="12"/>
      <w:szCs w:val="12"/>
    </w:rPr>
  </w:style>
  <w:style w:type="character" w:customStyle="1" w:styleId="CourierNew445pt">
    <w:name w:val="Îñíîâíîé òåêñò + Courier New.44.5 pt.Ïîëóæèðíûé"/>
    <w:uiPriority w:val="99"/>
    <w:rsid w:val="00045010"/>
    <w:rPr>
      <w:rFonts w:ascii="Courier New" w:hAnsi="Courier New" w:cs="Courier New"/>
      <w:b/>
      <w:bCs/>
      <w:noProof/>
      <w:spacing w:val="-10"/>
      <w:sz w:val="89"/>
      <w:szCs w:val="89"/>
    </w:rPr>
  </w:style>
  <w:style w:type="character" w:customStyle="1" w:styleId="55pt21">
    <w:name w:val="Îñíîâíîé òåêñò + 5.5 pt2.Ïîëóæèðíûé1"/>
    <w:uiPriority w:val="99"/>
    <w:rsid w:val="00045010"/>
    <w:rPr>
      <w:rFonts w:ascii="Tahoma" w:hAnsi="Tahoma" w:cs="Tahoma"/>
      <w:b/>
      <w:bCs/>
      <w:spacing w:val="-10"/>
      <w:sz w:val="11"/>
      <w:szCs w:val="11"/>
    </w:rPr>
  </w:style>
  <w:style w:type="character" w:customStyle="1" w:styleId="1f5">
    <w:name w:val="Îñíîâíîé òåêñò + Êóðñèâ1"/>
    <w:uiPriority w:val="99"/>
    <w:rsid w:val="00045010"/>
    <w:rPr>
      <w:rFonts w:ascii="Arial" w:hAnsi="Arial" w:cs="Arial"/>
      <w:i/>
      <w:iCs/>
      <w:spacing w:val="-10"/>
      <w:sz w:val="17"/>
      <w:szCs w:val="17"/>
    </w:rPr>
  </w:style>
  <w:style w:type="character" w:customStyle="1" w:styleId="625pt720pt7">
    <w:name w:val="Îñíîâíîé òåêñò + 62.5 pt7.Ïîëóæèðíûé2.Èíòåðâàë 0 pt7"/>
    <w:uiPriority w:val="99"/>
    <w:rsid w:val="00045010"/>
    <w:rPr>
      <w:rFonts w:ascii="Arial" w:hAnsi="Arial" w:cs="Arial"/>
      <w:b/>
      <w:bCs/>
      <w:spacing w:val="0"/>
      <w:sz w:val="13"/>
      <w:szCs w:val="13"/>
    </w:rPr>
  </w:style>
  <w:style w:type="character" w:customStyle="1" w:styleId="725pt6">
    <w:name w:val="Îñíîâíîé òåêñò + 72.5 pt6"/>
    <w:uiPriority w:val="99"/>
    <w:rsid w:val="00045010"/>
    <w:rPr>
      <w:rFonts w:ascii="Arial" w:hAnsi="Arial" w:cs="Arial"/>
      <w:spacing w:val="-10"/>
      <w:sz w:val="15"/>
      <w:szCs w:val="15"/>
    </w:rPr>
  </w:style>
  <w:style w:type="character" w:customStyle="1" w:styleId="6pt0pt6">
    <w:name w:val="Îñíîâíîé òåêñò + 6 pt.Èíòåðâàë 0 pt6"/>
    <w:uiPriority w:val="99"/>
    <w:rsid w:val="00045010"/>
    <w:rPr>
      <w:rFonts w:ascii="Arial" w:hAnsi="Arial" w:cs="Arial"/>
      <w:spacing w:val="0"/>
      <w:sz w:val="12"/>
      <w:szCs w:val="12"/>
    </w:rPr>
  </w:style>
  <w:style w:type="paragraph" w:customStyle="1" w:styleId="216">
    <w:name w:val="Ïîäïèñü ê êàðòèíêå (2)1"/>
    <w:basedOn w:val="a"/>
    <w:uiPriority w:val="99"/>
    <w:rsid w:val="00045010"/>
    <w:pPr>
      <w:shd w:val="clear" w:color="auto" w:fill="FFFFFF"/>
      <w:autoSpaceDE w:val="0"/>
      <w:autoSpaceDN w:val="0"/>
      <w:adjustRightInd w:val="0"/>
      <w:spacing w:after="0" w:line="202" w:lineRule="exact"/>
    </w:pPr>
    <w:rPr>
      <w:rFonts w:ascii="Arial" w:hAnsi="Arial" w:cs="Arial"/>
      <w:i/>
      <w:iCs/>
      <w:noProof/>
      <w:spacing w:val="-10"/>
      <w:sz w:val="17"/>
      <w:szCs w:val="17"/>
      <w:lang w:val="en-US"/>
    </w:rPr>
  </w:style>
  <w:style w:type="paragraph" w:customStyle="1" w:styleId="1f6">
    <w:name w:val="Верхний колонтитул1"/>
    <w:basedOn w:val="a"/>
    <w:uiPriority w:val="99"/>
    <w:rsid w:val="00045010"/>
    <w:pPr>
      <w:widowControl w:val="0"/>
      <w:tabs>
        <w:tab w:val="center" w:pos="4153"/>
        <w:tab w:val="right" w:pos="8306"/>
      </w:tabs>
      <w:autoSpaceDE w:val="0"/>
      <w:autoSpaceDN w:val="0"/>
      <w:adjustRightInd w:val="0"/>
      <w:spacing w:after="0" w:line="240" w:lineRule="auto"/>
    </w:pPr>
    <w:rPr>
      <w:rFonts w:ascii="Times New Roman" w:hAnsi="Times New Roman"/>
      <w:sz w:val="20"/>
      <w:szCs w:val="20"/>
      <w:lang w:val="en-US"/>
    </w:rPr>
  </w:style>
  <w:style w:type="paragraph" w:customStyle="1" w:styleId="1f7">
    <w:name w:val="Нижний колонтитул1"/>
    <w:basedOn w:val="a"/>
    <w:uiPriority w:val="99"/>
    <w:rsid w:val="00045010"/>
    <w:pPr>
      <w:widowControl w:val="0"/>
      <w:tabs>
        <w:tab w:val="center" w:pos="4153"/>
        <w:tab w:val="right" w:pos="8306"/>
      </w:tabs>
      <w:autoSpaceDE w:val="0"/>
      <w:autoSpaceDN w:val="0"/>
      <w:adjustRightInd w:val="0"/>
      <w:spacing w:after="0" w:line="240" w:lineRule="auto"/>
    </w:pPr>
    <w:rPr>
      <w:rFonts w:ascii="Times New Roman" w:hAnsi="Times New Roman"/>
      <w:sz w:val="20"/>
      <w:szCs w:val="20"/>
      <w:lang w:val="en-US"/>
    </w:rPr>
  </w:style>
  <w:style w:type="character" w:customStyle="1" w:styleId="afffff0">
    <w:name w:val="Îñíîâíîé øðèôò àáçàöà"/>
    <w:uiPriority w:val="99"/>
    <w:rsid w:val="00045010"/>
    <w:rPr>
      <w:rFonts w:ascii="Times New Roman" w:hAnsi="Times New Roman" w:cs="Times New Roman"/>
      <w:sz w:val="20"/>
      <w:szCs w:val="20"/>
    </w:rPr>
  </w:style>
  <w:style w:type="paragraph" w:customStyle="1" w:styleId="afffff1">
    <w:name w:val="Ñîäåðæèìîå òàáëèöû"/>
    <w:basedOn w:val="a"/>
    <w:uiPriority w:val="99"/>
    <w:rsid w:val="00045010"/>
    <w:pPr>
      <w:widowControl w:val="0"/>
      <w:suppressLineNumbers/>
      <w:suppressAutoHyphens/>
      <w:autoSpaceDE w:val="0"/>
      <w:autoSpaceDN w:val="0"/>
      <w:adjustRightInd w:val="0"/>
      <w:spacing w:after="0" w:line="240" w:lineRule="auto"/>
    </w:pPr>
    <w:rPr>
      <w:rFonts w:ascii="Arial" w:hAnsi="Arial" w:cs="Arial"/>
      <w:kern w:val="2"/>
      <w:sz w:val="20"/>
      <w:szCs w:val="20"/>
    </w:rPr>
  </w:style>
  <w:style w:type="character" w:customStyle="1" w:styleId="1f8">
    <w:name w:val="Îñíîâíîé òåêñò + Ìàëûå ïðîïèñíûå1"/>
    <w:uiPriority w:val="99"/>
    <w:rsid w:val="00045010"/>
    <w:rPr>
      <w:rFonts w:ascii="Microsoft Sans Serif" w:hAnsi="Microsoft Sans Serif" w:cs="Microsoft Sans Serif"/>
      <w:smallCaps/>
      <w:spacing w:val="-10"/>
      <w:sz w:val="28"/>
      <w:szCs w:val="28"/>
    </w:rPr>
  </w:style>
  <w:style w:type="character" w:customStyle="1" w:styleId="FranklinGothicBook111pt11">
    <w:name w:val="Îñíîâíîé òåêñò + Franklin Gothic Book1.11 pt1.Ìàëûå ïðîïèñíûå1"/>
    <w:uiPriority w:val="99"/>
    <w:rsid w:val="00045010"/>
    <w:rPr>
      <w:rFonts w:ascii="Franklin Gothic Book" w:hAnsi="Franklin Gothic Book" w:cs="Franklin Gothic Book"/>
      <w:smallCaps/>
      <w:spacing w:val="-10"/>
      <w:sz w:val="22"/>
      <w:szCs w:val="22"/>
    </w:rPr>
  </w:style>
  <w:style w:type="paragraph" w:customStyle="1" w:styleId="128">
    <w:name w:val="Çàãîëîâîê ¹12"/>
    <w:basedOn w:val="a"/>
    <w:uiPriority w:val="99"/>
    <w:rsid w:val="00045010"/>
    <w:pPr>
      <w:shd w:val="clear" w:color="auto" w:fill="FFFFFF"/>
      <w:autoSpaceDE w:val="0"/>
      <w:autoSpaceDN w:val="0"/>
      <w:adjustRightInd w:val="0"/>
      <w:spacing w:after="0" w:line="240" w:lineRule="atLeast"/>
    </w:pPr>
    <w:rPr>
      <w:rFonts w:ascii="Microsoft Sans Serif" w:hAnsi="Microsoft Sans Serif" w:cs="Microsoft Sans Serif"/>
      <w:noProof/>
      <w:sz w:val="36"/>
      <w:szCs w:val="36"/>
      <w:lang w:val="en-US"/>
    </w:rPr>
  </w:style>
  <w:style w:type="table" w:styleId="afffff2">
    <w:name w:val="Table Grid"/>
    <w:basedOn w:val="a1"/>
    <w:uiPriority w:val="59"/>
    <w:rsid w:val="00045010"/>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okmanOldStyle">
    <w:name w:val="Основной текст + Bookman Old Style"/>
    <w:rsid w:val="00045010"/>
    <w:rPr>
      <w:rFonts w:ascii="Bookman Old Style" w:hAnsi="Bookman Old Style"/>
      <w:spacing w:val="-10"/>
      <w:sz w:val="13"/>
    </w:rPr>
  </w:style>
  <w:style w:type="paragraph" w:customStyle="1" w:styleId="rtejustify">
    <w:name w:val="rtejustify"/>
    <w:basedOn w:val="a"/>
    <w:rsid w:val="00045010"/>
    <w:pPr>
      <w:overflowPunct w:val="0"/>
      <w:autoSpaceDE w:val="0"/>
      <w:autoSpaceDN w:val="0"/>
      <w:adjustRightInd w:val="0"/>
      <w:spacing w:before="120" w:after="216" w:line="240" w:lineRule="auto"/>
      <w:jc w:val="both"/>
      <w:textAlignment w:val="baseline"/>
    </w:pPr>
    <w:rPr>
      <w:rFonts w:ascii="Times New Roman" w:eastAsia="Times New Roman" w:hAnsi="Times New Roman"/>
      <w:sz w:val="24"/>
      <w:szCs w:val="20"/>
      <w:lang w:eastAsia="ru-RU"/>
    </w:rPr>
  </w:style>
  <w:style w:type="paragraph" w:styleId="afffff3">
    <w:name w:val="List Paragraph"/>
    <w:basedOn w:val="a"/>
    <w:uiPriority w:val="34"/>
    <w:qFormat/>
    <w:rsid w:val="00045010"/>
    <w:pPr>
      <w:autoSpaceDE w:val="0"/>
      <w:autoSpaceDN w:val="0"/>
      <w:adjustRightInd w:val="0"/>
      <w:spacing w:after="0" w:line="240" w:lineRule="auto"/>
      <w:ind w:left="720"/>
      <w:contextualSpacing/>
    </w:pPr>
    <w:rPr>
      <w:rFonts w:ascii="Times New Roman" w:hAnsi="Times New Roman"/>
      <w:sz w:val="20"/>
      <w:szCs w:val="20"/>
    </w:rPr>
  </w:style>
  <w:style w:type="paragraph" w:customStyle="1" w:styleId="1f9">
    <w:name w:val="Обычный (веб)1"/>
    <w:basedOn w:val="a"/>
    <w:rsid w:val="00045010"/>
    <w:pPr>
      <w:overflowPunct w:val="0"/>
      <w:autoSpaceDE w:val="0"/>
      <w:autoSpaceDN w:val="0"/>
      <w:adjustRightInd w:val="0"/>
      <w:spacing w:before="100" w:after="100" w:line="240" w:lineRule="auto"/>
      <w:textAlignment w:val="baseline"/>
    </w:pPr>
    <w:rPr>
      <w:rFonts w:ascii="Times New Roman" w:eastAsia="Times New Roman" w:hAnsi="Times New Roman"/>
      <w:sz w:val="24"/>
      <w:szCs w:val="20"/>
      <w:lang w:eastAsia="ru-RU"/>
    </w:rPr>
  </w:style>
  <w:style w:type="character" w:customStyle="1" w:styleId="46">
    <w:name w:val="Основной текст (4)_"/>
    <w:link w:val="45"/>
    <w:rsid w:val="00BB00A7"/>
    <w:rPr>
      <w:rFonts w:ascii="Gungsuh" w:eastAsia="Gungsuh" w:hAnsi="Times New Roman" w:cs="Gungsuh"/>
      <w:sz w:val="13"/>
      <w:szCs w:val="13"/>
      <w:shd w:val="clear" w:color="auto" w:fill="FFFFFF"/>
      <w:lang w:eastAsia="en-US"/>
    </w:rPr>
  </w:style>
  <w:style w:type="character" w:customStyle="1" w:styleId="ucoz-forum-post">
    <w:name w:val="ucoz-forum-post"/>
    <w:rsid w:val="004E2BF7"/>
  </w:style>
  <w:style w:type="character" w:customStyle="1" w:styleId="913">
    <w:name w:val="Основной текст + 913"/>
    <w:aliases w:val="5 pt59,Полужирный56,Интервал 0 pt38,Основной текст + 830"/>
    <w:uiPriority w:val="99"/>
    <w:rsid w:val="00EA1479"/>
    <w:rPr>
      <w:rFonts w:ascii="Arial Narrow" w:hAnsi="Arial Narrow" w:cs="Arial Narrow"/>
      <w:b/>
      <w:bCs/>
      <w:spacing w:val="-10"/>
      <w:sz w:val="19"/>
      <w:szCs w:val="19"/>
      <w:shd w:val="clear" w:color="auto" w:fill="FFFFFF"/>
    </w:rPr>
  </w:style>
  <w:style w:type="character" w:customStyle="1" w:styleId="2a">
    <w:name w:val="Основной текст (2)_"/>
    <w:link w:val="28"/>
    <w:locked/>
    <w:rsid w:val="00E73430"/>
    <w:rPr>
      <w:rFonts w:ascii="Segoe UI" w:hAnsi="Segoe UI" w:cs="Segoe UI"/>
      <w:sz w:val="13"/>
      <w:szCs w:val="13"/>
      <w:shd w:val="clear" w:color="auto" w:fill="FFFFFF"/>
      <w:lang w:eastAsia="en-US"/>
    </w:rPr>
  </w:style>
  <w:style w:type="character" w:customStyle="1" w:styleId="3a">
    <w:name w:val="Заголовок №3_"/>
    <w:link w:val="38"/>
    <w:locked/>
    <w:rsid w:val="00E73430"/>
    <w:rPr>
      <w:rFonts w:ascii="Times New Roman" w:hAnsi="Times New Roman"/>
      <w:spacing w:val="40"/>
      <w:sz w:val="52"/>
      <w:szCs w:val="52"/>
      <w:shd w:val="clear" w:color="auto" w:fill="FFFFFF"/>
      <w:lang w:eastAsia="en-US"/>
    </w:rPr>
  </w:style>
  <w:style w:type="character" w:customStyle="1" w:styleId="4f0">
    <w:name w:val="Основной текст (4) + Не курсив"/>
    <w:rsid w:val="001547E5"/>
    <w:rPr>
      <w:rFonts w:ascii="Arial Narrow" w:eastAsia="Arial Narrow" w:hAnsi="Arial Narrow" w:cs="Arial Narrow"/>
      <w:i/>
      <w:iCs/>
      <w:sz w:val="18"/>
      <w:szCs w:val="18"/>
      <w:shd w:val="clear" w:color="auto" w:fill="FFFFFF"/>
      <w:lang w:eastAsia="en-US"/>
    </w:rPr>
  </w:style>
  <w:style w:type="character" w:customStyle="1" w:styleId="2pt10">
    <w:name w:val="Основной текст + Интервал 2 pt1"/>
    <w:uiPriority w:val="99"/>
    <w:rsid w:val="008D1ADA"/>
    <w:rPr>
      <w:rFonts w:ascii="Arial" w:hAnsi="Arial" w:cs="Arial"/>
      <w:spacing w:val="40"/>
      <w:sz w:val="18"/>
      <w:szCs w:val="18"/>
      <w:shd w:val="clear" w:color="auto" w:fill="FFFFFF"/>
    </w:rPr>
  </w:style>
  <w:style w:type="character" w:customStyle="1" w:styleId="400">
    <w:name w:val="Основной текст + Курсив40"/>
    <w:uiPriority w:val="99"/>
    <w:rsid w:val="008D1ADA"/>
    <w:rPr>
      <w:rFonts w:ascii="Century Gothic" w:hAnsi="Century Gothic" w:cs="Century Gothic"/>
      <w:i/>
      <w:iCs/>
      <w:spacing w:val="0"/>
      <w:sz w:val="16"/>
      <w:szCs w:val="16"/>
      <w:shd w:val="clear" w:color="auto" w:fill="FFFFFF"/>
    </w:rPr>
  </w:style>
  <w:style w:type="character" w:customStyle="1" w:styleId="228">
    <w:name w:val="Основной текст (2) + Не курсив28"/>
    <w:uiPriority w:val="99"/>
    <w:rsid w:val="008D1ADA"/>
    <w:rPr>
      <w:rFonts w:ascii="Century Gothic" w:eastAsia="Times New Roman" w:hAnsi="Century Gothic" w:cs="Century Gothic"/>
      <w:b w:val="0"/>
      <w:bCs w:val="0"/>
      <w:i w:val="0"/>
      <w:iCs w:val="0"/>
      <w:smallCaps w:val="0"/>
      <w:strike w:val="0"/>
      <w:spacing w:val="0"/>
      <w:sz w:val="16"/>
      <w:szCs w:val="16"/>
      <w:shd w:val="clear" w:color="auto" w:fill="FFFFFF"/>
      <w:lang w:eastAsia="en-US"/>
    </w:rPr>
  </w:style>
  <w:style w:type="character" w:customStyle="1" w:styleId="Bodytext">
    <w:name w:val="Body text_"/>
    <w:link w:val="621"/>
    <w:uiPriority w:val="99"/>
    <w:rsid w:val="00306CC6"/>
    <w:rPr>
      <w:rFonts w:ascii="Times New Roman" w:eastAsia="Times New Roman" w:hAnsi="Times New Roman"/>
      <w:shd w:val="clear" w:color="auto" w:fill="FFFFFF"/>
    </w:rPr>
  </w:style>
  <w:style w:type="paragraph" w:customStyle="1" w:styleId="621">
    <w:name w:val="Основной текст62"/>
    <w:basedOn w:val="a"/>
    <w:link w:val="Bodytext"/>
    <w:rsid w:val="00306CC6"/>
    <w:pPr>
      <w:shd w:val="clear" w:color="auto" w:fill="FFFFFF"/>
      <w:spacing w:before="420" w:after="0" w:line="216" w:lineRule="exact"/>
      <w:jc w:val="both"/>
    </w:pPr>
    <w:rPr>
      <w:rFonts w:ascii="Times New Roman" w:eastAsia="Times New Roman" w:hAnsi="Times New Roman"/>
      <w:sz w:val="20"/>
      <w:szCs w:val="20"/>
      <w:lang w:eastAsia="ru-RU"/>
    </w:rPr>
  </w:style>
  <w:style w:type="character" w:customStyle="1" w:styleId="Heading22">
    <w:name w:val="Heading #2 (2)"/>
    <w:rsid w:val="00306CC6"/>
    <w:rPr>
      <w:rFonts w:ascii="Times New Roman" w:eastAsia="Times New Roman" w:hAnsi="Times New Roman" w:cs="Times New Roman"/>
      <w:b w:val="0"/>
      <w:bCs w:val="0"/>
      <w:i w:val="0"/>
      <w:iCs w:val="0"/>
      <w:smallCaps w:val="0"/>
      <w:strike w:val="0"/>
      <w:spacing w:val="0"/>
      <w:sz w:val="23"/>
      <w:szCs w:val="23"/>
    </w:rPr>
  </w:style>
  <w:style w:type="character" w:customStyle="1" w:styleId="Bodytext2">
    <w:name w:val="Body text (2)"/>
    <w:rsid w:val="00306CC6"/>
    <w:rPr>
      <w:rFonts w:ascii="Times New Roman" w:eastAsia="Times New Roman" w:hAnsi="Times New Roman" w:cs="Times New Roman"/>
      <w:b w:val="0"/>
      <w:bCs w:val="0"/>
      <w:i w:val="0"/>
      <w:iCs w:val="0"/>
      <w:smallCaps w:val="0"/>
      <w:strike w:val="0"/>
      <w:spacing w:val="0"/>
      <w:sz w:val="18"/>
      <w:szCs w:val="18"/>
    </w:rPr>
  </w:style>
  <w:style w:type="character" w:customStyle="1" w:styleId="134">
    <w:name w:val="Основной текст + Полужирный13"/>
    <w:uiPriority w:val="99"/>
    <w:rsid w:val="00984994"/>
    <w:rPr>
      <w:rFonts w:ascii="Arial Narrow" w:hAnsi="Arial Narrow" w:cs="Arial Narrow"/>
      <w:b/>
      <w:bCs/>
      <w:spacing w:val="0"/>
      <w:sz w:val="18"/>
      <w:szCs w:val="18"/>
      <w:shd w:val="clear" w:color="auto" w:fill="FFFFFF"/>
    </w:rPr>
  </w:style>
  <w:style w:type="character" w:customStyle="1" w:styleId="95pt-1pt">
    <w:name w:val="Основной текст + 9;5 pt;Полужирный;Интервал -1 pt"/>
    <w:rsid w:val="00984994"/>
    <w:rPr>
      <w:rFonts w:ascii="Arial Narrow" w:eastAsia="Arial Narrow" w:hAnsi="Arial Narrow" w:cs="Arial Narrow"/>
      <w:b/>
      <w:bCs/>
      <w:i w:val="0"/>
      <w:iCs w:val="0"/>
      <w:smallCaps w:val="0"/>
      <w:strike w:val="0"/>
      <w:spacing w:val="-20"/>
      <w:sz w:val="19"/>
      <w:szCs w:val="19"/>
      <w:shd w:val="clear" w:color="auto" w:fill="FFFFFF"/>
    </w:rPr>
  </w:style>
  <w:style w:type="character" w:customStyle="1" w:styleId="495pt0pt">
    <w:name w:val="Основной текст (4) + 9;5 pt;Полужирный;Интервал 0 pt"/>
    <w:rsid w:val="00984994"/>
    <w:rPr>
      <w:rFonts w:ascii="Arial Narrow" w:eastAsia="Arial Narrow" w:hAnsi="Arial Narrow" w:cs="Arial Narrow"/>
      <w:b/>
      <w:bCs/>
      <w:i w:val="0"/>
      <w:iCs w:val="0"/>
      <w:smallCaps w:val="0"/>
      <w:strike w:val="0"/>
      <w:spacing w:val="-10"/>
      <w:sz w:val="19"/>
      <w:szCs w:val="19"/>
      <w:shd w:val="clear" w:color="auto" w:fill="FFFFFF"/>
      <w:lang w:eastAsia="en-US"/>
    </w:rPr>
  </w:style>
  <w:style w:type="character" w:customStyle="1" w:styleId="495pt">
    <w:name w:val="Основной текст (4) + 9;5 pt;Полужирный"/>
    <w:rsid w:val="00984994"/>
    <w:rPr>
      <w:rFonts w:ascii="Arial Narrow" w:eastAsia="Arial Narrow" w:hAnsi="Arial Narrow" w:cs="Arial Narrow"/>
      <w:b/>
      <w:bCs/>
      <w:i w:val="0"/>
      <w:iCs w:val="0"/>
      <w:smallCaps w:val="0"/>
      <w:strike w:val="0"/>
      <w:spacing w:val="0"/>
      <w:sz w:val="19"/>
      <w:szCs w:val="19"/>
      <w:shd w:val="clear" w:color="auto" w:fill="FFFFFF"/>
      <w:lang w:eastAsia="en-US"/>
    </w:rPr>
  </w:style>
  <w:style w:type="character" w:customStyle="1" w:styleId="6pt">
    <w:name w:val="Основной текст + 6 pt;Полужирный"/>
    <w:rsid w:val="00507039"/>
    <w:rPr>
      <w:rFonts w:ascii="Arial Narrow" w:eastAsia="Arial Narrow" w:hAnsi="Arial Narrow" w:cs="Arial Narrow"/>
      <w:b/>
      <w:bCs/>
      <w:i w:val="0"/>
      <w:iCs w:val="0"/>
      <w:smallCaps w:val="0"/>
      <w:strike w:val="0"/>
      <w:spacing w:val="0"/>
      <w:sz w:val="12"/>
      <w:szCs w:val="12"/>
      <w:shd w:val="clear" w:color="auto" w:fill="FFFFFF"/>
    </w:rPr>
  </w:style>
  <w:style w:type="paragraph" w:customStyle="1" w:styleId="rteindent11">
    <w:name w:val="rteindent11"/>
    <w:basedOn w:val="a"/>
    <w:rsid w:val="00B03639"/>
    <w:pPr>
      <w:spacing w:before="100" w:beforeAutospacing="1" w:after="150" w:line="240" w:lineRule="auto"/>
      <w:ind w:left="600" w:firstLine="300"/>
      <w:jc w:val="both"/>
    </w:pPr>
    <w:rPr>
      <w:rFonts w:ascii="Times New Roman" w:eastAsia="Times New Roman" w:hAnsi="Times New Roman"/>
      <w:sz w:val="24"/>
      <w:szCs w:val="24"/>
      <w:lang w:eastAsia="ru-RU"/>
    </w:rPr>
  </w:style>
  <w:style w:type="character" w:customStyle="1" w:styleId="521">
    <w:name w:val="Основной текст + Курсив52"/>
    <w:uiPriority w:val="99"/>
    <w:rsid w:val="00340A71"/>
    <w:rPr>
      <w:rFonts w:ascii="Century Gothic" w:hAnsi="Century Gothic" w:cs="Century Gothic"/>
      <w:i/>
      <w:iCs/>
      <w:spacing w:val="0"/>
      <w:sz w:val="16"/>
      <w:szCs w:val="16"/>
      <w:shd w:val="clear" w:color="auto" w:fill="FFFFFF"/>
    </w:rPr>
  </w:style>
  <w:style w:type="character" w:customStyle="1" w:styleId="2410">
    <w:name w:val="Основной текст (2) + Не курсив41"/>
    <w:uiPriority w:val="99"/>
    <w:rsid w:val="00340A71"/>
    <w:rPr>
      <w:rFonts w:ascii="Century Gothic" w:eastAsia="Times New Roman" w:hAnsi="Century Gothic" w:cs="Century Gothic"/>
      <w:b w:val="0"/>
      <w:bCs w:val="0"/>
      <w:i w:val="0"/>
      <w:iCs w:val="0"/>
      <w:smallCaps w:val="0"/>
      <w:strike w:val="0"/>
      <w:spacing w:val="0"/>
      <w:sz w:val="16"/>
      <w:szCs w:val="16"/>
      <w:shd w:val="clear" w:color="auto" w:fill="FFFFFF"/>
      <w:lang w:eastAsia="en-US"/>
    </w:rPr>
  </w:style>
  <w:style w:type="character" w:customStyle="1" w:styleId="afffff4">
    <w:name w:val="Оглавление_"/>
    <w:rsid w:val="00090D02"/>
    <w:rPr>
      <w:rFonts w:ascii="Arial Narrow" w:hAnsi="Arial Narrow" w:cs="Arial Narrow"/>
      <w:sz w:val="18"/>
      <w:szCs w:val="18"/>
      <w:shd w:val="clear" w:color="auto" w:fill="FFFFFF"/>
    </w:rPr>
  </w:style>
  <w:style w:type="character" w:customStyle="1" w:styleId="2pt3">
    <w:name w:val="Основной текст + Интервал 2 pt3"/>
    <w:uiPriority w:val="99"/>
    <w:rsid w:val="00ED49A4"/>
    <w:rPr>
      <w:rFonts w:ascii="Century Gothic" w:hAnsi="Century Gothic" w:cs="Century Gothic"/>
      <w:spacing w:val="50"/>
      <w:sz w:val="16"/>
      <w:szCs w:val="16"/>
      <w:shd w:val="clear" w:color="auto" w:fill="FFFFFF"/>
    </w:rPr>
  </w:style>
  <w:style w:type="paragraph" w:customStyle="1" w:styleId="book">
    <w:name w:val="book"/>
    <w:basedOn w:val="a"/>
    <w:rsid w:val="00EE3BEC"/>
    <w:pPr>
      <w:spacing w:after="0" w:line="240" w:lineRule="auto"/>
      <w:ind w:firstLine="300"/>
    </w:pPr>
    <w:rPr>
      <w:rFonts w:ascii="Times New Roman" w:eastAsia="Times New Roman" w:hAnsi="Times New Roman"/>
      <w:sz w:val="24"/>
      <w:szCs w:val="24"/>
      <w:lang w:eastAsia="ru-RU"/>
    </w:rPr>
  </w:style>
  <w:style w:type="character" w:customStyle="1" w:styleId="highlight">
    <w:name w:val="highlight"/>
    <w:rsid w:val="00EE3BEC"/>
  </w:style>
  <w:style w:type="character" w:customStyle="1" w:styleId="Footnote2">
    <w:name w:val="Footnote (2)"/>
    <w:rsid w:val="00EB2FA8"/>
    <w:rPr>
      <w:rFonts w:ascii="Times New Roman" w:eastAsia="Times New Roman" w:hAnsi="Times New Roman" w:cs="Times New Roman"/>
      <w:b w:val="0"/>
      <w:bCs w:val="0"/>
      <w:i w:val="0"/>
      <w:iCs w:val="0"/>
      <w:smallCaps w:val="0"/>
      <w:strike w:val="0"/>
      <w:spacing w:val="0"/>
      <w:sz w:val="22"/>
      <w:szCs w:val="22"/>
    </w:rPr>
  </w:style>
  <w:style w:type="character" w:customStyle="1" w:styleId="Bodytext9">
    <w:name w:val="Body text (9)"/>
    <w:rsid w:val="00EB2FA8"/>
    <w:rPr>
      <w:rFonts w:ascii="Times New Roman" w:eastAsia="Times New Roman" w:hAnsi="Times New Roman" w:cs="Times New Roman"/>
      <w:b w:val="0"/>
      <w:bCs w:val="0"/>
      <w:i w:val="0"/>
      <w:iCs w:val="0"/>
      <w:smallCaps w:val="0"/>
      <w:strike w:val="0"/>
      <w:spacing w:val="0"/>
      <w:sz w:val="20"/>
      <w:szCs w:val="20"/>
    </w:rPr>
  </w:style>
  <w:style w:type="character" w:customStyle="1" w:styleId="Bodytext10ptBold">
    <w:name w:val="Body text + 10 pt;Bold"/>
    <w:rsid w:val="00EB2FA8"/>
    <w:rPr>
      <w:rFonts w:ascii="Times New Roman" w:eastAsia="Times New Roman" w:hAnsi="Times New Roman" w:cs="Times New Roman"/>
      <w:b/>
      <w:bCs/>
      <w:sz w:val="20"/>
      <w:szCs w:val="20"/>
      <w:shd w:val="clear" w:color="auto" w:fill="FFFFFF"/>
    </w:rPr>
  </w:style>
  <w:style w:type="character" w:customStyle="1" w:styleId="Bodytext6">
    <w:name w:val="Body text (6)"/>
    <w:rsid w:val="00F575EB"/>
    <w:rPr>
      <w:rFonts w:ascii="Times New Roman" w:eastAsia="Times New Roman" w:hAnsi="Times New Roman" w:cs="Times New Roman"/>
      <w:b w:val="0"/>
      <w:bCs w:val="0"/>
      <w:i w:val="0"/>
      <w:iCs w:val="0"/>
      <w:smallCaps w:val="0"/>
      <w:strike w:val="0"/>
      <w:spacing w:val="0"/>
      <w:sz w:val="17"/>
      <w:szCs w:val="17"/>
    </w:rPr>
  </w:style>
  <w:style w:type="character" w:customStyle="1" w:styleId="95">
    <w:name w:val="Основной текст + Курсив9"/>
    <w:uiPriority w:val="99"/>
    <w:rsid w:val="005F34CF"/>
    <w:rPr>
      <w:rFonts w:ascii="Arial Narrow" w:hAnsi="Arial Narrow" w:cs="Arial Narrow"/>
      <w:i/>
      <w:iCs/>
      <w:spacing w:val="0"/>
      <w:sz w:val="18"/>
      <w:szCs w:val="18"/>
      <w:shd w:val="clear" w:color="auto" w:fill="FFFFFF"/>
    </w:rPr>
  </w:style>
  <w:style w:type="character" w:customStyle="1" w:styleId="0pt1">
    <w:name w:val="Основной текст + Полужирный;Интервал 0 pt"/>
    <w:rsid w:val="00813840"/>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10MicrosoftSansSerif2">
    <w:name w:val="Основной текст (10) + Microsoft Sans Serif2"/>
    <w:aliases w:val="84,5 pt52,Полужирный50,Основной текст + 11 pt4,Основной текст + Segoe UI4"/>
    <w:uiPriority w:val="99"/>
    <w:rsid w:val="00100036"/>
    <w:rPr>
      <w:rFonts w:ascii="Microsoft Sans Serif" w:eastAsia="Times New Roman" w:hAnsi="Microsoft Sans Serif" w:cs="Microsoft Sans Serif"/>
      <w:b/>
      <w:bCs/>
      <w:i/>
      <w:iCs/>
      <w:smallCaps w:val="0"/>
      <w:strike w:val="0"/>
      <w:spacing w:val="0"/>
      <w:sz w:val="17"/>
      <w:szCs w:val="17"/>
      <w:shd w:val="clear" w:color="auto" w:fill="FFFFFF"/>
    </w:rPr>
  </w:style>
  <w:style w:type="character" w:customStyle="1" w:styleId="423">
    <w:name w:val="Основной текст + Курсив42"/>
    <w:uiPriority w:val="99"/>
    <w:rsid w:val="00897CA4"/>
    <w:rPr>
      <w:rFonts w:ascii="Century Gothic" w:hAnsi="Century Gothic" w:cs="Century Gothic"/>
      <w:i/>
      <w:iCs/>
      <w:spacing w:val="0"/>
      <w:sz w:val="16"/>
      <w:szCs w:val="16"/>
      <w:shd w:val="clear" w:color="auto" w:fill="FFFFFF"/>
    </w:rPr>
  </w:style>
  <w:style w:type="paragraph" w:customStyle="1" w:styleId="Pa4">
    <w:name w:val="Pa4"/>
    <w:basedOn w:val="a"/>
    <w:next w:val="a"/>
    <w:uiPriority w:val="99"/>
    <w:rsid w:val="000E0937"/>
    <w:pPr>
      <w:autoSpaceDE w:val="0"/>
      <w:autoSpaceDN w:val="0"/>
      <w:adjustRightInd w:val="0"/>
      <w:spacing w:after="0" w:line="201" w:lineRule="atLeast"/>
    </w:pPr>
    <w:rPr>
      <w:rFonts w:ascii="Minion Pro" w:hAnsi="Minion Pro"/>
      <w:sz w:val="24"/>
      <w:szCs w:val="24"/>
    </w:rPr>
  </w:style>
  <w:style w:type="paragraph" w:customStyle="1" w:styleId="Pa11">
    <w:name w:val="Pa11"/>
    <w:basedOn w:val="a"/>
    <w:next w:val="a"/>
    <w:uiPriority w:val="99"/>
    <w:rsid w:val="000E0937"/>
    <w:pPr>
      <w:autoSpaceDE w:val="0"/>
      <w:autoSpaceDN w:val="0"/>
      <w:adjustRightInd w:val="0"/>
      <w:spacing w:after="0" w:line="141" w:lineRule="atLeast"/>
    </w:pPr>
    <w:rPr>
      <w:rFonts w:ascii="Minion Pro" w:hAnsi="Minion Pro"/>
      <w:sz w:val="24"/>
      <w:szCs w:val="24"/>
    </w:rPr>
  </w:style>
  <w:style w:type="paragraph" w:customStyle="1" w:styleId="Pa1">
    <w:name w:val="Pa1"/>
    <w:basedOn w:val="a"/>
    <w:next w:val="a"/>
    <w:uiPriority w:val="99"/>
    <w:rsid w:val="000E0937"/>
    <w:pPr>
      <w:autoSpaceDE w:val="0"/>
      <w:autoSpaceDN w:val="0"/>
      <w:adjustRightInd w:val="0"/>
      <w:spacing w:after="0" w:line="161" w:lineRule="atLeast"/>
    </w:pPr>
    <w:rPr>
      <w:rFonts w:ascii="Minion Pro" w:hAnsi="Minion Pro"/>
      <w:sz w:val="24"/>
      <w:szCs w:val="24"/>
    </w:rPr>
  </w:style>
  <w:style w:type="paragraph" w:customStyle="1" w:styleId="162">
    <w:name w:val="Основной текст16"/>
    <w:basedOn w:val="a"/>
    <w:rsid w:val="00150B39"/>
    <w:pPr>
      <w:shd w:val="clear" w:color="auto" w:fill="FFFFFF"/>
      <w:spacing w:after="0" w:line="0" w:lineRule="atLeast"/>
    </w:pPr>
    <w:rPr>
      <w:rFonts w:ascii="Times New Roman" w:eastAsia="Times New Roman" w:hAnsi="Times New Roman"/>
      <w:sz w:val="21"/>
      <w:szCs w:val="21"/>
    </w:rPr>
  </w:style>
  <w:style w:type="character" w:customStyle="1" w:styleId="Bodytext20">
    <w:name w:val="Body text (2)_"/>
    <w:rsid w:val="00150B39"/>
    <w:rPr>
      <w:rFonts w:ascii="Times New Roman" w:eastAsia="Times New Roman" w:hAnsi="Times New Roman" w:cs="Times New Roman"/>
      <w:sz w:val="21"/>
      <w:szCs w:val="21"/>
      <w:shd w:val="clear" w:color="auto" w:fill="FFFFFF"/>
    </w:rPr>
  </w:style>
  <w:style w:type="character" w:customStyle="1" w:styleId="Bodytext14">
    <w:name w:val="Body text (14)_"/>
    <w:link w:val="Bodytext141"/>
    <w:uiPriority w:val="99"/>
    <w:rsid w:val="00F52A2A"/>
    <w:rPr>
      <w:rFonts w:ascii="Times New Roman" w:hAnsi="Times New Roman"/>
      <w:i/>
      <w:iCs/>
      <w:sz w:val="21"/>
      <w:szCs w:val="21"/>
      <w:shd w:val="clear" w:color="auto" w:fill="FFFFFF"/>
    </w:rPr>
  </w:style>
  <w:style w:type="paragraph" w:customStyle="1" w:styleId="Bodytext141">
    <w:name w:val="Body text (14)1"/>
    <w:basedOn w:val="a"/>
    <w:link w:val="Bodytext14"/>
    <w:uiPriority w:val="99"/>
    <w:rsid w:val="00F52A2A"/>
    <w:pPr>
      <w:shd w:val="clear" w:color="auto" w:fill="FFFFFF"/>
      <w:spacing w:after="0" w:line="240" w:lineRule="atLeast"/>
      <w:ind w:hanging="340"/>
    </w:pPr>
    <w:rPr>
      <w:rFonts w:ascii="Times New Roman" w:hAnsi="Times New Roman"/>
      <w:i/>
      <w:iCs/>
      <w:sz w:val="21"/>
      <w:szCs w:val="21"/>
      <w:lang w:eastAsia="ru-RU"/>
    </w:rPr>
  </w:style>
  <w:style w:type="character" w:customStyle="1" w:styleId="6a">
    <w:name w:val="Основной текст6"/>
    <w:rsid w:val="00AE1A6D"/>
    <w:rPr>
      <w:rFonts w:ascii="Arial" w:eastAsia="Arial" w:hAnsi="Arial" w:cs="Arial"/>
      <w:b w:val="0"/>
      <w:bCs w:val="0"/>
      <w:i w:val="0"/>
      <w:iCs w:val="0"/>
      <w:smallCaps w:val="0"/>
      <w:strike w:val="0"/>
      <w:spacing w:val="0"/>
      <w:sz w:val="26"/>
      <w:szCs w:val="26"/>
      <w:shd w:val="clear" w:color="auto" w:fill="FFFFFF"/>
    </w:rPr>
  </w:style>
  <w:style w:type="character" w:customStyle="1" w:styleId="Bodytext8ptSmallCaps">
    <w:name w:val="Body text + 8 pt;Small Caps"/>
    <w:rsid w:val="00AE1A6D"/>
    <w:rPr>
      <w:rFonts w:ascii="Times New Roman" w:eastAsia="Times New Roman" w:hAnsi="Times New Roman" w:cs="Times New Roman"/>
      <w:b w:val="0"/>
      <w:bCs w:val="0"/>
      <w:i w:val="0"/>
      <w:iCs w:val="0"/>
      <w:smallCaps/>
      <w:strike w:val="0"/>
      <w:spacing w:val="0"/>
      <w:sz w:val="16"/>
      <w:szCs w:val="16"/>
      <w:shd w:val="clear" w:color="auto" w:fill="FFFFFF"/>
    </w:rPr>
  </w:style>
  <w:style w:type="character" w:customStyle="1" w:styleId="Bodytext5">
    <w:name w:val="Body text (5)"/>
    <w:rsid w:val="00AE1A6D"/>
    <w:rPr>
      <w:rFonts w:ascii="Times New Roman" w:hAnsi="Times New Roman" w:cs="Times New Roman"/>
      <w:spacing w:val="0"/>
      <w:sz w:val="15"/>
      <w:szCs w:val="15"/>
      <w:shd w:val="clear" w:color="auto" w:fill="FFFFFF"/>
    </w:rPr>
  </w:style>
  <w:style w:type="character" w:customStyle="1" w:styleId="Bodytext3">
    <w:name w:val="Body text (3)"/>
    <w:rsid w:val="00AE1A6D"/>
  </w:style>
  <w:style w:type="character" w:customStyle="1" w:styleId="Bodytext7">
    <w:name w:val="Body text (7)"/>
    <w:rsid w:val="00AE1A6D"/>
    <w:rPr>
      <w:rFonts w:ascii="Times New Roman" w:eastAsia="Times New Roman" w:hAnsi="Times New Roman" w:cs="Times New Roman"/>
      <w:b w:val="0"/>
      <w:bCs w:val="0"/>
      <w:i w:val="0"/>
      <w:iCs w:val="0"/>
      <w:smallCaps w:val="0"/>
      <w:strike w:val="0"/>
      <w:spacing w:val="0"/>
      <w:sz w:val="15"/>
      <w:szCs w:val="15"/>
    </w:rPr>
  </w:style>
  <w:style w:type="character" w:customStyle="1" w:styleId="Bodytext14Tahoma3">
    <w:name w:val="Body text (14) + Tahoma3"/>
    <w:aliases w:val="8 pt15,Not Italic20"/>
    <w:uiPriority w:val="99"/>
    <w:rsid w:val="00AE1A6D"/>
    <w:rPr>
      <w:rFonts w:ascii="Tahoma" w:hAnsi="Tahoma" w:cs="Tahoma"/>
      <w:i w:val="0"/>
      <w:iCs w:val="0"/>
      <w:spacing w:val="0"/>
      <w:sz w:val="16"/>
      <w:szCs w:val="16"/>
      <w:shd w:val="clear" w:color="auto" w:fill="FFFFFF"/>
    </w:rPr>
  </w:style>
  <w:style w:type="character" w:customStyle="1" w:styleId="2TrebuchetMS23">
    <w:name w:val="Основной текст (2) + Trebuchet MS23"/>
    <w:aliases w:val="76,5 pt121,Body text + Candara3,5 pt73"/>
    <w:uiPriority w:val="99"/>
    <w:rsid w:val="003C65D8"/>
    <w:rPr>
      <w:rFonts w:ascii="Trebuchet MS" w:hAnsi="Trebuchet MS" w:cs="Trebuchet MS"/>
      <w:spacing w:val="0"/>
      <w:sz w:val="15"/>
      <w:szCs w:val="15"/>
      <w:u w:val="none"/>
      <w:shd w:val="clear" w:color="auto" w:fill="FFFFFF"/>
      <w:lang w:eastAsia="en-US"/>
    </w:rPr>
  </w:style>
  <w:style w:type="paragraph" w:customStyle="1" w:styleId="129">
    <w:name w:val="Основной текст12"/>
    <w:basedOn w:val="a"/>
    <w:rsid w:val="00581130"/>
    <w:pPr>
      <w:shd w:val="clear" w:color="auto" w:fill="FFFFFF"/>
      <w:spacing w:after="60" w:line="240" w:lineRule="exact"/>
      <w:jc w:val="center"/>
    </w:pPr>
    <w:rPr>
      <w:rFonts w:ascii="Times New Roman" w:eastAsia="Times New Roman" w:hAnsi="Times New Roman"/>
      <w:sz w:val="23"/>
      <w:szCs w:val="23"/>
    </w:rPr>
  </w:style>
  <w:style w:type="paragraph" w:customStyle="1" w:styleId="Bodytext1">
    <w:name w:val="Body text1"/>
    <w:basedOn w:val="a"/>
    <w:uiPriority w:val="99"/>
    <w:rsid w:val="004A55CA"/>
    <w:pPr>
      <w:shd w:val="clear" w:color="auto" w:fill="FFFFFF"/>
      <w:spacing w:after="0" w:line="221" w:lineRule="exact"/>
      <w:ind w:hanging="120"/>
      <w:jc w:val="both"/>
    </w:pPr>
    <w:rPr>
      <w:rFonts w:ascii="Arial Narrow" w:eastAsiaTheme="minorHAnsi" w:hAnsi="Arial Narrow" w:cs="Arial Narrow"/>
      <w:sz w:val="18"/>
      <w:szCs w:val="18"/>
    </w:rPr>
  </w:style>
  <w:style w:type="character" w:customStyle="1" w:styleId="BodytextItalic4">
    <w:name w:val="Body text + Italic4"/>
    <w:basedOn w:val="Bodytext"/>
    <w:uiPriority w:val="99"/>
    <w:rsid w:val="004423D2"/>
    <w:rPr>
      <w:rFonts w:ascii="Arial Narrow" w:eastAsia="Times New Roman" w:hAnsi="Arial Narrow" w:cs="Arial Narrow"/>
      <w:b w:val="0"/>
      <w:bCs w:val="0"/>
      <w:i/>
      <w:iCs/>
      <w:smallCaps w:val="0"/>
      <w:strike w:val="0"/>
      <w:spacing w:val="0"/>
      <w:sz w:val="18"/>
      <w:szCs w:val="18"/>
      <w:shd w:val="clear" w:color="auto" w:fill="FFFFFF"/>
    </w:rPr>
  </w:style>
  <w:style w:type="character" w:customStyle="1" w:styleId="Bodytext20Bold2">
    <w:name w:val="Body text (20) + Bold2"/>
    <w:aliases w:val="Spacing 0 pt2"/>
    <w:basedOn w:val="a0"/>
    <w:uiPriority w:val="99"/>
    <w:rsid w:val="00680EEE"/>
    <w:rPr>
      <w:rFonts w:ascii="Arial Narrow" w:hAnsi="Arial Narrow" w:cs="Arial Narrow"/>
      <w:b/>
      <w:bCs/>
      <w:i/>
      <w:iCs/>
      <w:spacing w:val="-10"/>
      <w:sz w:val="13"/>
      <w:szCs w:val="13"/>
      <w:shd w:val="clear" w:color="auto" w:fill="FFFFFF"/>
    </w:rPr>
  </w:style>
  <w:style w:type="character" w:customStyle="1" w:styleId="BodytextBold30">
    <w:name w:val="Body text + Bold30"/>
    <w:basedOn w:val="Bodytext"/>
    <w:uiPriority w:val="99"/>
    <w:rsid w:val="002A1666"/>
    <w:rPr>
      <w:rFonts w:ascii="Arial Narrow" w:eastAsia="Times New Roman" w:hAnsi="Arial Narrow" w:cs="Arial Narrow"/>
      <w:b/>
      <w:bCs/>
      <w:i w:val="0"/>
      <w:iCs w:val="0"/>
      <w:smallCaps w:val="0"/>
      <w:strike w:val="0"/>
      <w:spacing w:val="0"/>
      <w:sz w:val="18"/>
      <w:szCs w:val="18"/>
      <w:shd w:val="clear" w:color="auto" w:fill="FFFFFF"/>
    </w:rPr>
  </w:style>
  <w:style w:type="character" w:customStyle="1" w:styleId="BodytextItalic8">
    <w:name w:val="Body text + Italic8"/>
    <w:basedOn w:val="Bodytext"/>
    <w:uiPriority w:val="99"/>
    <w:rsid w:val="0042350C"/>
    <w:rPr>
      <w:rFonts w:ascii="Arial Narrow" w:eastAsia="Times New Roman" w:hAnsi="Arial Narrow" w:cs="Arial Narrow"/>
      <w:b w:val="0"/>
      <w:bCs w:val="0"/>
      <w:i/>
      <w:iCs/>
      <w:smallCaps w:val="0"/>
      <w:strike w:val="0"/>
      <w:spacing w:val="0"/>
      <w:sz w:val="18"/>
      <w:szCs w:val="18"/>
      <w:shd w:val="clear" w:color="auto" w:fill="FFFFFF"/>
    </w:rPr>
  </w:style>
  <w:style w:type="character" w:customStyle="1" w:styleId="5f">
    <w:name w:val="Основной текст (5)_"/>
    <w:basedOn w:val="a0"/>
    <w:link w:val="5f0"/>
    <w:rsid w:val="00FA48B2"/>
    <w:rPr>
      <w:rFonts w:ascii="MS Reference Sans Serif" w:eastAsia="MS Reference Sans Serif" w:hAnsi="MS Reference Sans Serif" w:cs="MS Reference Sans Serif"/>
      <w:spacing w:val="-10"/>
      <w:sz w:val="19"/>
      <w:szCs w:val="19"/>
      <w:shd w:val="clear" w:color="auto" w:fill="FFFFFF"/>
    </w:rPr>
  </w:style>
  <w:style w:type="paragraph" w:customStyle="1" w:styleId="5f0">
    <w:name w:val="Основной текст (5)"/>
    <w:basedOn w:val="a"/>
    <w:link w:val="5f"/>
    <w:rsid w:val="00FA48B2"/>
    <w:pPr>
      <w:shd w:val="clear" w:color="auto" w:fill="FFFFFF"/>
      <w:spacing w:after="0" w:line="0" w:lineRule="atLeast"/>
    </w:pPr>
    <w:rPr>
      <w:rFonts w:ascii="MS Reference Sans Serif" w:eastAsia="MS Reference Sans Serif" w:hAnsi="MS Reference Sans Serif" w:cs="MS Reference Sans Serif"/>
      <w:spacing w:val="-10"/>
      <w:sz w:val="19"/>
      <w:szCs w:val="19"/>
      <w:lang w:eastAsia="ru-RU"/>
    </w:rPr>
  </w:style>
  <w:style w:type="character" w:customStyle="1" w:styleId="aff3">
    <w:name w:val="Сноска_"/>
    <w:basedOn w:val="a0"/>
    <w:link w:val="aff2"/>
    <w:rsid w:val="00FA48B2"/>
    <w:rPr>
      <w:rFonts w:ascii="Lucida Sans Unicode" w:hAnsi="Lucida Sans Unicode" w:cs="Lucida Sans Unicode"/>
      <w:i/>
      <w:iCs/>
      <w:noProof/>
      <w:sz w:val="13"/>
      <w:szCs w:val="13"/>
      <w:shd w:val="clear" w:color="auto" w:fill="FFFFFF"/>
      <w:lang w:val="en-US" w:eastAsia="en-US"/>
    </w:rPr>
  </w:style>
  <w:style w:type="character" w:customStyle="1" w:styleId="FranklinGothicBook9pt1pt">
    <w:name w:val="Сноска + Franklin Gothic Book;9 pt;Курсив;Интервал 1 pt"/>
    <w:basedOn w:val="aff3"/>
    <w:rsid w:val="00FA48B2"/>
    <w:rPr>
      <w:rFonts w:ascii="Franklin Gothic Book" w:eastAsia="Franklin Gothic Book" w:hAnsi="Franklin Gothic Book" w:cs="Franklin Gothic Book"/>
      <w:i/>
      <w:iCs/>
      <w:noProof/>
      <w:spacing w:val="20"/>
      <w:sz w:val="18"/>
      <w:szCs w:val="18"/>
      <w:shd w:val="clear" w:color="auto" w:fill="FFFFFF"/>
      <w:lang w:val="en-US" w:eastAsia="en-US"/>
    </w:rPr>
  </w:style>
  <w:style w:type="character" w:customStyle="1" w:styleId="Garamond115pt0pt">
    <w:name w:val="Основной текст + Garamond;11;5 pt;Курсив;Интервал 0 pt"/>
    <w:basedOn w:val="aff0"/>
    <w:rsid w:val="001F6AEC"/>
    <w:rPr>
      <w:rFonts w:ascii="Garamond" w:eastAsia="Garamond" w:hAnsi="Garamond" w:cs="Garamond"/>
      <w:i/>
      <w:iCs/>
      <w:spacing w:val="0"/>
      <w:sz w:val="23"/>
      <w:szCs w:val="23"/>
      <w:shd w:val="clear" w:color="auto" w:fill="FFFFFF"/>
    </w:rPr>
  </w:style>
  <w:style w:type="character" w:customStyle="1" w:styleId="MSReferenceSansSerif75pt0pt">
    <w:name w:val="Основной текст + MS Reference Sans Serif;7;5 pt;Интервал 0 pt"/>
    <w:basedOn w:val="aff0"/>
    <w:rsid w:val="001F6AEC"/>
    <w:rPr>
      <w:rFonts w:ascii="MS Reference Sans Serif" w:eastAsia="MS Reference Sans Serif" w:hAnsi="MS Reference Sans Serif" w:cs="MS Reference Sans Serif"/>
      <w:spacing w:val="0"/>
      <w:sz w:val="15"/>
      <w:szCs w:val="15"/>
      <w:shd w:val="clear" w:color="auto" w:fill="FFFFFF"/>
    </w:rPr>
  </w:style>
  <w:style w:type="character" w:customStyle="1" w:styleId="aff9">
    <w:name w:val="Подпись к картинке_"/>
    <w:basedOn w:val="a0"/>
    <w:link w:val="aff8"/>
    <w:rsid w:val="001F6AEC"/>
    <w:rPr>
      <w:rFonts w:ascii="MS Reference Sans Serif" w:hAnsi="MS Reference Sans Serif" w:cs="MS Reference Sans Serif"/>
      <w:b/>
      <w:bCs/>
      <w:sz w:val="13"/>
      <w:szCs w:val="13"/>
      <w:shd w:val="clear" w:color="auto" w:fill="FFFFFF"/>
      <w:lang w:eastAsia="en-US"/>
    </w:rPr>
  </w:style>
  <w:style w:type="character" w:customStyle="1" w:styleId="0pt2">
    <w:name w:val="Подпись к картинке + Интервал 0 pt"/>
    <w:basedOn w:val="aff9"/>
    <w:rsid w:val="001F6AEC"/>
    <w:rPr>
      <w:rFonts w:ascii="MS Reference Sans Serif" w:hAnsi="MS Reference Sans Serif" w:cs="MS Reference Sans Serif"/>
      <w:b/>
      <w:bCs/>
      <w:spacing w:val="0"/>
      <w:sz w:val="13"/>
      <w:szCs w:val="13"/>
      <w:shd w:val="clear" w:color="auto" w:fill="FFFFFF"/>
      <w:lang w:eastAsia="en-US"/>
    </w:rPr>
  </w:style>
  <w:style w:type="character" w:customStyle="1" w:styleId="ArialUnicodeMS">
    <w:name w:val="Основной текст + Arial Unicode MS"/>
    <w:basedOn w:val="aff0"/>
    <w:rsid w:val="001F6AEC"/>
    <w:rPr>
      <w:rFonts w:ascii="Arial Unicode MS" w:eastAsia="Arial Unicode MS" w:hAnsi="Arial Unicode MS" w:cs="Arial Unicode MS"/>
      <w:b w:val="0"/>
      <w:bCs w:val="0"/>
      <w:i w:val="0"/>
      <w:iCs w:val="0"/>
      <w:smallCaps w:val="0"/>
      <w:strike w:val="0"/>
      <w:spacing w:val="0"/>
      <w:sz w:val="18"/>
      <w:szCs w:val="18"/>
      <w:shd w:val="clear" w:color="auto" w:fill="FFFFFF"/>
    </w:rPr>
  </w:style>
  <w:style w:type="character" w:customStyle="1" w:styleId="95pt2pt">
    <w:name w:val="Основной текст + 9;5 pt;Курсив;Интервал 2 pt"/>
    <w:basedOn w:val="aff0"/>
    <w:rsid w:val="001F6AEC"/>
    <w:rPr>
      <w:rFonts w:ascii="Batang" w:eastAsia="Batang" w:hAnsi="Batang" w:cs="Batang"/>
      <w:b w:val="0"/>
      <w:bCs w:val="0"/>
      <w:i/>
      <w:iCs/>
      <w:smallCaps w:val="0"/>
      <w:strike w:val="0"/>
      <w:spacing w:val="40"/>
      <w:sz w:val="19"/>
      <w:szCs w:val="19"/>
      <w:shd w:val="clear" w:color="auto" w:fill="FFFFFF"/>
    </w:rPr>
  </w:style>
  <w:style w:type="paragraph" w:customStyle="1" w:styleId="5f1">
    <w:name w:val="Основной текст5"/>
    <w:basedOn w:val="a"/>
    <w:rsid w:val="001F6AEC"/>
    <w:pPr>
      <w:shd w:val="clear" w:color="auto" w:fill="FFFFFF"/>
      <w:spacing w:after="180" w:line="143" w:lineRule="exact"/>
      <w:ind w:hanging="740"/>
    </w:pPr>
    <w:rPr>
      <w:rFonts w:ascii="Batang" w:eastAsia="Batang" w:hAnsi="Batang" w:cs="Batang"/>
      <w:color w:val="000000"/>
      <w:sz w:val="17"/>
      <w:szCs w:val="17"/>
      <w:lang w:eastAsia="ru-RU"/>
    </w:rPr>
  </w:style>
  <w:style w:type="character" w:customStyle="1" w:styleId="Consolas11pt">
    <w:name w:val="Основной текст + Consolas;11 pt;Полужирный"/>
    <w:basedOn w:val="aff0"/>
    <w:rsid w:val="001F6AEC"/>
    <w:rPr>
      <w:rFonts w:ascii="Consolas" w:eastAsia="Consolas" w:hAnsi="Consolas" w:cs="Consolas"/>
      <w:b/>
      <w:bCs/>
      <w:i w:val="0"/>
      <w:iCs w:val="0"/>
      <w:smallCaps w:val="0"/>
      <w:strike w:val="0"/>
      <w:spacing w:val="0"/>
      <w:sz w:val="22"/>
      <w:szCs w:val="22"/>
      <w:shd w:val="clear" w:color="auto" w:fill="FFFFFF"/>
    </w:rPr>
  </w:style>
  <w:style w:type="character" w:customStyle="1" w:styleId="18">
    <w:name w:val="Заголовок №1_"/>
    <w:basedOn w:val="a0"/>
    <w:link w:val="17"/>
    <w:rsid w:val="001F6AEC"/>
    <w:rPr>
      <w:rFonts w:ascii="Segoe UI" w:hAnsi="Segoe UI" w:cs="Segoe UI"/>
      <w:shd w:val="clear" w:color="auto" w:fill="FFFFFF"/>
      <w:lang w:eastAsia="en-US"/>
    </w:rPr>
  </w:style>
  <w:style w:type="character" w:customStyle="1" w:styleId="10pt0">
    <w:name w:val="Заголовок №1 + Интервал 0 pt"/>
    <w:basedOn w:val="18"/>
    <w:rsid w:val="001F6AEC"/>
    <w:rPr>
      <w:rFonts w:ascii="Segoe UI" w:hAnsi="Segoe UI" w:cs="Segoe UI"/>
      <w:spacing w:val="-10"/>
      <w:shd w:val="clear" w:color="auto" w:fill="FFFFFF"/>
      <w:lang w:eastAsia="en-US"/>
    </w:rPr>
  </w:style>
  <w:style w:type="character" w:customStyle="1" w:styleId="Tahoma8pt1pt">
    <w:name w:val="Основной текст + Tahoma;8 pt;Интервал 1 pt"/>
    <w:basedOn w:val="aff0"/>
    <w:rsid w:val="001F6AEC"/>
    <w:rPr>
      <w:rFonts w:ascii="Tahoma" w:eastAsia="Tahoma" w:hAnsi="Tahoma" w:cs="Tahoma"/>
      <w:b w:val="0"/>
      <w:bCs w:val="0"/>
      <w:i w:val="0"/>
      <w:iCs w:val="0"/>
      <w:smallCaps w:val="0"/>
      <w:strike w:val="0"/>
      <w:spacing w:val="20"/>
      <w:w w:val="100"/>
      <w:sz w:val="16"/>
      <w:szCs w:val="16"/>
      <w:shd w:val="clear" w:color="auto" w:fill="FFFFFF"/>
    </w:rPr>
  </w:style>
  <w:style w:type="character" w:customStyle="1" w:styleId="Consolas105pt">
    <w:name w:val="Основной текст + Consolas;10;5 pt;Полужирный"/>
    <w:basedOn w:val="aff0"/>
    <w:rsid w:val="001F6AEC"/>
    <w:rPr>
      <w:rFonts w:ascii="Consolas" w:eastAsia="Consolas" w:hAnsi="Consolas" w:cs="Consolas"/>
      <w:b/>
      <w:bCs/>
      <w:i w:val="0"/>
      <w:iCs w:val="0"/>
      <w:smallCaps w:val="0"/>
      <w:strike w:val="0"/>
      <w:spacing w:val="0"/>
      <w:sz w:val="21"/>
      <w:szCs w:val="21"/>
      <w:shd w:val="clear" w:color="auto" w:fill="FFFFFF"/>
    </w:rPr>
  </w:style>
  <w:style w:type="character" w:customStyle="1" w:styleId="9pt0">
    <w:name w:val="Основной текст + 9 pt;Малые прописные"/>
    <w:basedOn w:val="aff0"/>
    <w:rsid w:val="001F6AEC"/>
    <w:rPr>
      <w:rFonts w:ascii="Gungsuh" w:eastAsia="Gungsuh" w:hAnsi="Gungsuh" w:cs="Gungsuh"/>
      <w:b w:val="0"/>
      <w:bCs w:val="0"/>
      <w:i w:val="0"/>
      <w:iCs w:val="0"/>
      <w:smallCaps/>
      <w:strike w:val="0"/>
      <w:spacing w:val="0"/>
      <w:sz w:val="18"/>
      <w:szCs w:val="18"/>
      <w:shd w:val="clear" w:color="auto" w:fill="FFFFFF"/>
    </w:rPr>
  </w:style>
  <w:style w:type="character" w:customStyle="1" w:styleId="155pt0pt">
    <w:name w:val="Основной текст + 15;5 pt;Интервал 0 pt"/>
    <w:basedOn w:val="aff0"/>
    <w:rsid w:val="001F6AEC"/>
    <w:rPr>
      <w:rFonts w:ascii="Gungsuh" w:eastAsia="Gungsuh" w:hAnsi="Gungsuh" w:cs="Gungsuh"/>
      <w:b w:val="0"/>
      <w:bCs w:val="0"/>
      <w:i w:val="0"/>
      <w:iCs w:val="0"/>
      <w:smallCaps w:val="0"/>
      <w:strike w:val="0"/>
      <w:spacing w:val="-10"/>
      <w:sz w:val="31"/>
      <w:szCs w:val="31"/>
      <w:shd w:val="clear" w:color="auto" w:fill="FFFFFF"/>
    </w:rPr>
  </w:style>
  <w:style w:type="character" w:customStyle="1" w:styleId="MicrosoftSansSerif0pt">
    <w:name w:val="Основной текст + Microsoft Sans Serif;Интервал 0 pt"/>
    <w:basedOn w:val="aff0"/>
    <w:rsid w:val="001F6AEC"/>
    <w:rPr>
      <w:rFonts w:ascii="Microsoft Sans Serif" w:eastAsia="Microsoft Sans Serif" w:hAnsi="Microsoft Sans Serif" w:cs="Microsoft Sans Serif"/>
      <w:b w:val="0"/>
      <w:bCs w:val="0"/>
      <w:i w:val="0"/>
      <w:iCs w:val="0"/>
      <w:smallCaps w:val="0"/>
      <w:strike w:val="0"/>
      <w:spacing w:val="0"/>
      <w:w w:val="100"/>
      <w:sz w:val="20"/>
      <w:szCs w:val="20"/>
      <w:shd w:val="clear" w:color="auto" w:fill="FFFFFF"/>
    </w:rPr>
  </w:style>
  <w:style w:type="character" w:customStyle="1" w:styleId="2MicrosoftSansSerif15pt">
    <w:name w:val="Заголовок №2 + Microsoft Sans Serif;15 pt"/>
    <w:basedOn w:val="a0"/>
    <w:rsid w:val="001F6AEC"/>
    <w:rPr>
      <w:rFonts w:ascii="Microsoft Sans Serif" w:eastAsia="Microsoft Sans Serif" w:hAnsi="Microsoft Sans Serif" w:cs="Microsoft Sans Serif"/>
      <w:b w:val="0"/>
      <w:bCs w:val="0"/>
      <w:i w:val="0"/>
      <w:iCs w:val="0"/>
      <w:smallCaps w:val="0"/>
      <w:strike w:val="0"/>
      <w:spacing w:val="-20"/>
      <w:w w:val="100"/>
      <w:sz w:val="30"/>
      <w:szCs w:val="30"/>
    </w:rPr>
  </w:style>
  <w:style w:type="character" w:customStyle="1" w:styleId="SimSun10pt-1pt">
    <w:name w:val="Подпись к картинке + SimSun;10 pt;Не курсив;Интервал -1 pt"/>
    <w:basedOn w:val="aff9"/>
    <w:rsid w:val="001F6AEC"/>
    <w:rPr>
      <w:rFonts w:ascii="SimSun" w:eastAsia="SimSun" w:hAnsi="SimSun" w:cs="SimSun"/>
      <w:b w:val="0"/>
      <w:bCs w:val="0"/>
      <w:i/>
      <w:iCs/>
      <w:smallCaps w:val="0"/>
      <w:strike w:val="0"/>
      <w:w w:val="100"/>
      <w:sz w:val="13"/>
      <w:szCs w:val="13"/>
      <w:shd w:val="clear" w:color="auto" w:fill="FFFFFF"/>
      <w:lang w:eastAsia="en-US"/>
    </w:rPr>
  </w:style>
  <w:style w:type="character" w:customStyle="1" w:styleId="Batang105pt0pt">
    <w:name w:val="Основной текст + Batang;10;5 pt;Малые прописные;Интервал 0 pt"/>
    <w:basedOn w:val="aff0"/>
    <w:rsid w:val="001F6AEC"/>
    <w:rPr>
      <w:rFonts w:ascii="Batang" w:eastAsia="Batang" w:hAnsi="Batang" w:cs="Batang"/>
      <w:b w:val="0"/>
      <w:bCs w:val="0"/>
      <w:i w:val="0"/>
      <w:iCs w:val="0"/>
      <w:smallCaps/>
      <w:strike w:val="0"/>
      <w:spacing w:val="0"/>
      <w:w w:val="100"/>
      <w:sz w:val="21"/>
      <w:szCs w:val="21"/>
      <w:shd w:val="clear" w:color="auto" w:fill="FFFFFF"/>
    </w:rPr>
  </w:style>
  <w:style w:type="character" w:customStyle="1" w:styleId="0pt3">
    <w:name w:val="Оглавление + Интервал 0 pt"/>
    <w:basedOn w:val="afffff4"/>
    <w:rsid w:val="001F6AEC"/>
    <w:rPr>
      <w:rFonts w:ascii="MS Mincho" w:eastAsia="MS Mincho" w:hAnsi="MS Mincho" w:cs="MS Mincho"/>
      <w:spacing w:val="-10"/>
      <w:sz w:val="19"/>
      <w:szCs w:val="19"/>
      <w:shd w:val="clear" w:color="auto" w:fill="FFFFFF"/>
    </w:rPr>
  </w:style>
  <w:style w:type="character" w:customStyle="1" w:styleId="9pt0pt">
    <w:name w:val="Оглавление + 9 pt;Интервал 0 pt"/>
    <w:basedOn w:val="afffff4"/>
    <w:rsid w:val="001F6AEC"/>
    <w:rPr>
      <w:rFonts w:ascii="MS Mincho" w:eastAsia="MS Mincho" w:hAnsi="MS Mincho" w:cs="MS Mincho"/>
      <w:spacing w:val="0"/>
      <w:sz w:val="18"/>
      <w:szCs w:val="18"/>
      <w:shd w:val="clear" w:color="auto" w:fill="FFFFFF"/>
    </w:rPr>
  </w:style>
  <w:style w:type="character" w:customStyle="1" w:styleId="2fa">
    <w:name w:val="Оглавление (2)_"/>
    <w:basedOn w:val="a0"/>
    <w:rsid w:val="001F6AEC"/>
    <w:rPr>
      <w:rFonts w:ascii="Garamond" w:eastAsia="Garamond" w:hAnsi="Garamond" w:cs="Garamond"/>
      <w:b w:val="0"/>
      <w:bCs w:val="0"/>
      <w:i w:val="0"/>
      <w:iCs w:val="0"/>
      <w:smallCaps w:val="0"/>
      <w:strike w:val="0"/>
      <w:spacing w:val="0"/>
      <w:sz w:val="18"/>
      <w:szCs w:val="18"/>
    </w:rPr>
  </w:style>
  <w:style w:type="character" w:customStyle="1" w:styleId="2fb">
    <w:name w:val="Оглавление (2)"/>
    <w:basedOn w:val="2fa"/>
    <w:rsid w:val="001F6AEC"/>
    <w:rPr>
      <w:rFonts w:ascii="Garamond" w:eastAsia="Garamond" w:hAnsi="Garamond" w:cs="Garamond"/>
      <w:b w:val="0"/>
      <w:bCs w:val="0"/>
      <w:i w:val="0"/>
      <w:iCs w:val="0"/>
      <w:smallCaps w:val="0"/>
      <w:strike w:val="0"/>
      <w:spacing w:val="0"/>
      <w:w w:val="100"/>
      <w:sz w:val="18"/>
      <w:szCs w:val="18"/>
    </w:rPr>
  </w:style>
  <w:style w:type="character" w:customStyle="1" w:styleId="Batang8pt0pt">
    <w:name w:val="Основной текст + Batang;8 pt;Интервал 0 pt"/>
    <w:basedOn w:val="aff0"/>
    <w:rsid w:val="001F6AEC"/>
    <w:rPr>
      <w:rFonts w:ascii="Batang" w:eastAsia="Batang" w:hAnsi="Batang" w:cs="Batang"/>
      <w:b w:val="0"/>
      <w:bCs w:val="0"/>
      <w:i w:val="0"/>
      <w:iCs w:val="0"/>
      <w:smallCaps w:val="0"/>
      <w:strike w:val="0"/>
      <w:spacing w:val="-10"/>
      <w:w w:val="100"/>
      <w:sz w:val="16"/>
      <w:szCs w:val="16"/>
      <w:shd w:val="clear" w:color="auto" w:fill="FFFFFF"/>
    </w:rPr>
  </w:style>
  <w:style w:type="character" w:customStyle="1" w:styleId="3f8">
    <w:name w:val="Основной текст (3)_"/>
    <w:basedOn w:val="a0"/>
    <w:rsid w:val="001F6AEC"/>
    <w:rPr>
      <w:rFonts w:ascii="MingLiU" w:eastAsia="MingLiU" w:hAnsi="MingLiU" w:cs="MingLiU"/>
      <w:b w:val="0"/>
      <w:bCs w:val="0"/>
      <w:i w:val="0"/>
      <w:iCs w:val="0"/>
      <w:smallCaps w:val="0"/>
      <w:strike w:val="0"/>
      <w:spacing w:val="-20"/>
      <w:w w:val="100"/>
      <w:sz w:val="19"/>
      <w:szCs w:val="19"/>
    </w:rPr>
  </w:style>
  <w:style w:type="character" w:customStyle="1" w:styleId="ArialUnicodeMS0pt">
    <w:name w:val="Основной текст + Arial Unicode MS;Интервал 0 pt"/>
    <w:basedOn w:val="aff0"/>
    <w:rsid w:val="001F6AEC"/>
    <w:rPr>
      <w:rFonts w:ascii="Arial Unicode MS" w:eastAsia="Arial Unicode MS" w:hAnsi="Arial Unicode MS" w:cs="Arial Unicode MS"/>
      <w:b w:val="0"/>
      <w:bCs w:val="0"/>
      <w:i w:val="0"/>
      <w:iCs w:val="0"/>
      <w:smallCaps w:val="0"/>
      <w:strike w:val="0"/>
      <w:spacing w:val="0"/>
      <w:w w:val="100"/>
      <w:sz w:val="19"/>
      <w:szCs w:val="19"/>
      <w:shd w:val="clear" w:color="auto" w:fill="FFFFFF"/>
    </w:rPr>
  </w:style>
  <w:style w:type="character" w:customStyle="1" w:styleId="SegoeUI85pt1pt">
    <w:name w:val="Основной текст + Segoe UI;8;5 pt;Курсив;Интервал 1 pt"/>
    <w:basedOn w:val="aff0"/>
    <w:rsid w:val="001F6AEC"/>
    <w:rPr>
      <w:rFonts w:ascii="Segoe UI" w:eastAsia="Segoe UI" w:hAnsi="Segoe UI" w:cs="Segoe UI"/>
      <w:b w:val="0"/>
      <w:bCs w:val="0"/>
      <w:i/>
      <w:iCs/>
      <w:smallCaps w:val="0"/>
      <w:strike w:val="0"/>
      <w:spacing w:val="20"/>
      <w:sz w:val="17"/>
      <w:szCs w:val="17"/>
      <w:shd w:val="clear" w:color="auto" w:fill="FFFFFF"/>
      <w:lang w:val="en-US"/>
    </w:rPr>
  </w:style>
  <w:style w:type="character" w:customStyle="1" w:styleId="2pt0">
    <w:name w:val="Основной текст + Интервал 2 pt"/>
    <w:basedOn w:val="aff0"/>
    <w:rsid w:val="001F6AEC"/>
    <w:rPr>
      <w:rFonts w:ascii="Gungsuh" w:eastAsia="Gungsuh" w:hAnsi="Gungsuh" w:cs="Gungsuh"/>
      <w:b w:val="0"/>
      <w:bCs w:val="0"/>
      <w:i w:val="0"/>
      <w:iCs w:val="0"/>
      <w:smallCaps w:val="0"/>
      <w:strike w:val="0"/>
      <w:spacing w:val="40"/>
      <w:sz w:val="16"/>
      <w:szCs w:val="16"/>
      <w:shd w:val="clear" w:color="auto" w:fill="FFFFFF"/>
    </w:rPr>
  </w:style>
  <w:style w:type="character" w:customStyle="1" w:styleId="SegoeUI9pt">
    <w:name w:val="Основной текст + Segoe UI;9 pt"/>
    <w:basedOn w:val="aff0"/>
    <w:rsid w:val="001F6AEC"/>
    <w:rPr>
      <w:rFonts w:ascii="Segoe UI" w:eastAsia="Segoe UI" w:hAnsi="Segoe UI" w:cs="Segoe UI"/>
      <w:b w:val="0"/>
      <w:bCs w:val="0"/>
      <w:i w:val="0"/>
      <w:iCs w:val="0"/>
      <w:smallCaps w:val="0"/>
      <w:strike w:val="0"/>
      <w:spacing w:val="0"/>
      <w:sz w:val="18"/>
      <w:szCs w:val="18"/>
      <w:shd w:val="clear" w:color="auto" w:fill="FFFFFF"/>
    </w:rPr>
  </w:style>
  <w:style w:type="character" w:customStyle="1" w:styleId="Consolas10pt">
    <w:name w:val="Основной текст + Consolas;10 pt;Курсив"/>
    <w:basedOn w:val="aff0"/>
    <w:rsid w:val="001F6AEC"/>
    <w:rPr>
      <w:rFonts w:ascii="Consolas" w:eastAsia="Consolas" w:hAnsi="Consolas" w:cs="Consolas"/>
      <w:b w:val="0"/>
      <w:bCs w:val="0"/>
      <w:i/>
      <w:iCs/>
      <w:smallCaps w:val="0"/>
      <w:strike w:val="0"/>
      <w:spacing w:val="0"/>
      <w:sz w:val="20"/>
      <w:szCs w:val="20"/>
      <w:shd w:val="clear" w:color="auto" w:fill="FFFFFF"/>
    </w:rPr>
  </w:style>
  <w:style w:type="character" w:customStyle="1" w:styleId="75pt">
    <w:name w:val="Основной текст + 7;5 pt"/>
    <w:basedOn w:val="aff0"/>
    <w:rsid w:val="001F6AEC"/>
    <w:rPr>
      <w:rFonts w:ascii="Gungsuh" w:eastAsia="Gungsuh" w:hAnsi="Gungsuh" w:cs="Gungsuh"/>
      <w:b w:val="0"/>
      <w:bCs w:val="0"/>
      <w:i w:val="0"/>
      <w:iCs w:val="0"/>
      <w:smallCaps w:val="0"/>
      <w:strike w:val="0"/>
      <w:spacing w:val="0"/>
      <w:w w:val="100"/>
      <w:sz w:val="15"/>
      <w:szCs w:val="15"/>
      <w:shd w:val="clear" w:color="auto" w:fill="FFFFFF"/>
    </w:rPr>
  </w:style>
  <w:style w:type="character" w:customStyle="1" w:styleId="13pt0">
    <w:name w:val="Основной текст + 13 pt;Курсив"/>
    <w:basedOn w:val="aff0"/>
    <w:rsid w:val="001F6AEC"/>
    <w:rPr>
      <w:rFonts w:ascii="MS Mincho" w:eastAsia="MS Mincho" w:hAnsi="MS Mincho" w:cs="MS Mincho"/>
      <w:b w:val="0"/>
      <w:bCs w:val="0"/>
      <w:i/>
      <w:iCs/>
      <w:smallCaps w:val="0"/>
      <w:strike w:val="0"/>
      <w:spacing w:val="-20"/>
      <w:w w:val="100"/>
      <w:sz w:val="26"/>
      <w:szCs w:val="26"/>
      <w:shd w:val="clear" w:color="auto" w:fill="FFFFFF"/>
    </w:rPr>
  </w:style>
  <w:style w:type="character" w:customStyle="1" w:styleId="MicrosoftSansSerif85pt0pt">
    <w:name w:val="Основной текст + Microsoft Sans Serif;8;5 pt;Интервал 0 pt"/>
    <w:basedOn w:val="aff0"/>
    <w:rsid w:val="001F6AEC"/>
    <w:rPr>
      <w:rFonts w:ascii="Microsoft Sans Serif" w:eastAsia="Microsoft Sans Serif" w:hAnsi="Microsoft Sans Serif" w:cs="Microsoft Sans Serif"/>
      <w:b w:val="0"/>
      <w:bCs w:val="0"/>
      <w:i w:val="0"/>
      <w:iCs w:val="0"/>
      <w:smallCaps w:val="0"/>
      <w:strike w:val="0"/>
      <w:spacing w:val="10"/>
      <w:w w:val="100"/>
      <w:sz w:val="17"/>
      <w:szCs w:val="17"/>
      <w:shd w:val="clear" w:color="auto" w:fill="FFFFFF"/>
    </w:rPr>
  </w:style>
  <w:style w:type="character" w:customStyle="1" w:styleId="MicrosoftSansSerif9pt1pt">
    <w:name w:val="Основной текст + Microsoft Sans Serif;9 pt;Интервал 1 pt"/>
    <w:basedOn w:val="aff0"/>
    <w:rsid w:val="001F6AEC"/>
    <w:rPr>
      <w:rFonts w:ascii="Microsoft Sans Serif" w:eastAsia="Microsoft Sans Serif" w:hAnsi="Microsoft Sans Serif" w:cs="Microsoft Sans Serif"/>
      <w:b w:val="0"/>
      <w:bCs w:val="0"/>
      <w:i w:val="0"/>
      <w:iCs w:val="0"/>
      <w:smallCaps w:val="0"/>
      <w:strike w:val="0"/>
      <w:spacing w:val="20"/>
      <w:w w:val="100"/>
      <w:sz w:val="18"/>
      <w:szCs w:val="18"/>
      <w:shd w:val="clear" w:color="auto" w:fill="FFFFFF"/>
      <w:lang w:val="en-US"/>
    </w:rPr>
  </w:style>
  <w:style w:type="character" w:customStyle="1" w:styleId="2fc">
    <w:name w:val="Заголовок №2_"/>
    <w:basedOn w:val="a0"/>
    <w:rsid w:val="001F6AEC"/>
    <w:rPr>
      <w:rFonts w:ascii="SimHei" w:eastAsia="SimHei" w:hAnsi="SimHei" w:cs="SimHei"/>
      <w:b w:val="0"/>
      <w:bCs w:val="0"/>
      <w:i w:val="0"/>
      <w:iCs w:val="0"/>
      <w:smallCaps w:val="0"/>
      <w:strike w:val="0"/>
      <w:spacing w:val="-20"/>
      <w:w w:val="100"/>
      <w:sz w:val="20"/>
      <w:szCs w:val="20"/>
    </w:rPr>
  </w:style>
  <w:style w:type="character" w:customStyle="1" w:styleId="2195pt">
    <w:name w:val="Основной текст (2) + 19;5 pt;Курсив"/>
    <w:basedOn w:val="2a"/>
    <w:rsid w:val="001F6AEC"/>
    <w:rPr>
      <w:rFonts w:ascii="Consolas" w:eastAsia="Consolas" w:hAnsi="Consolas" w:cs="Consolas"/>
      <w:b w:val="0"/>
      <w:bCs w:val="0"/>
      <w:i/>
      <w:iCs/>
      <w:smallCaps w:val="0"/>
      <w:strike w:val="0"/>
      <w:sz w:val="39"/>
      <w:szCs w:val="39"/>
      <w:shd w:val="clear" w:color="auto" w:fill="FFFFFF"/>
      <w:lang w:eastAsia="en-US"/>
    </w:rPr>
  </w:style>
  <w:style w:type="character" w:customStyle="1" w:styleId="FranklinGothicBook95pt">
    <w:name w:val="Основной текст + Franklin Gothic Book;9;5 pt;Полужирный"/>
    <w:basedOn w:val="aff0"/>
    <w:rsid w:val="001F6AEC"/>
    <w:rPr>
      <w:rFonts w:ascii="Franklin Gothic Book" w:eastAsia="Franklin Gothic Book" w:hAnsi="Franklin Gothic Book" w:cs="Franklin Gothic Book"/>
      <w:b/>
      <w:bCs/>
      <w:i w:val="0"/>
      <w:iCs w:val="0"/>
      <w:smallCaps w:val="0"/>
      <w:strike w:val="0"/>
      <w:spacing w:val="0"/>
      <w:sz w:val="19"/>
      <w:szCs w:val="19"/>
      <w:shd w:val="clear" w:color="auto" w:fill="FFFFFF"/>
    </w:rPr>
  </w:style>
  <w:style w:type="character" w:customStyle="1" w:styleId="8pt0pt">
    <w:name w:val="Основной текст + 8 pt;Интервал 0 pt"/>
    <w:basedOn w:val="aff0"/>
    <w:rsid w:val="001F6AEC"/>
    <w:rPr>
      <w:rFonts w:ascii="MS Mincho" w:eastAsia="MS Mincho" w:hAnsi="MS Mincho" w:cs="MS Mincho"/>
      <w:b w:val="0"/>
      <w:bCs w:val="0"/>
      <w:i w:val="0"/>
      <w:iCs w:val="0"/>
      <w:smallCaps w:val="0"/>
      <w:strike w:val="0"/>
      <w:spacing w:val="-10"/>
      <w:w w:val="100"/>
      <w:sz w:val="16"/>
      <w:szCs w:val="16"/>
      <w:shd w:val="clear" w:color="auto" w:fill="FFFFFF"/>
      <w:lang w:val="en-US"/>
    </w:rPr>
  </w:style>
  <w:style w:type="character" w:customStyle="1" w:styleId="Gulim9pt0pt">
    <w:name w:val="Основной текст + Gulim;9 pt;Интервал 0 pt"/>
    <w:basedOn w:val="aff0"/>
    <w:rsid w:val="001F6AEC"/>
    <w:rPr>
      <w:rFonts w:ascii="Gulim" w:eastAsia="Gulim" w:hAnsi="Gulim" w:cs="Gulim"/>
      <w:b w:val="0"/>
      <w:bCs w:val="0"/>
      <w:i w:val="0"/>
      <w:iCs w:val="0"/>
      <w:smallCaps w:val="0"/>
      <w:strike w:val="0"/>
      <w:spacing w:val="0"/>
      <w:w w:val="100"/>
      <w:sz w:val="18"/>
      <w:szCs w:val="18"/>
      <w:shd w:val="clear" w:color="auto" w:fill="FFFFFF"/>
    </w:rPr>
  </w:style>
  <w:style w:type="character" w:customStyle="1" w:styleId="10pt1pt">
    <w:name w:val="Основной текст + 10 pt;Малые прописные;Интервал 1 pt"/>
    <w:basedOn w:val="aff0"/>
    <w:rsid w:val="001F6AEC"/>
    <w:rPr>
      <w:rFonts w:ascii="MingLiU" w:eastAsia="MingLiU" w:hAnsi="MingLiU" w:cs="MingLiU"/>
      <w:b w:val="0"/>
      <w:bCs w:val="0"/>
      <w:i w:val="0"/>
      <w:iCs w:val="0"/>
      <w:smallCaps/>
      <w:strike w:val="0"/>
      <w:spacing w:val="30"/>
      <w:w w:val="100"/>
      <w:sz w:val="20"/>
      <w:szCs w:val="20"/>
      <w:shd w:val="clear" w:color="auto" w:fill="FFFFFF"/>
      <w:lang w:val="en-US"/>
    </w:rPr>
  </w:style>
  <w:style w:type="character" w:customStyle="1" w:styleId="Georgia">
    <w:name w:val="Основной текст + Georgia"/>
    <w:basedOn w:val="aff0"/>
    <w:rsid w:val="001F6AEC"/>
    <w:rPr>
      <w:rFonts w:ascii="Georgia" w:eastAsia="Georgia" w:hAnsi="Georgia" w:cs="Georgia"/>
      <w:b w:val="0"/>
      <w:bCs w:val="0"/>
      <w:i w:val="0"/>
      <w:iCs w:val="0"/>
      <w:smallCaps w:val="0"/>
      <w:strike w:val="0"/>
      <w:spacing w:val="0"/>
      <w:sz w:val="21"/>
      <w:szCs w:val="21"/>
      <w:shd w:val="clear" w:color="auto" w:fill="FFFFFF"/>
    </w:rPr>
  </w:style>
  <w:style w:type="character" w:customStyle="1" w:styleId="Georgia8pt">
    <w:name w:val="Сноска + Georgia;8 pt"/>
    <w:basedOn w:val="aff3"/>
    <w:rsid w:val="001F6AEC"/>
    <w:rPr>
      <w:rFonts w:ascii="Georgia" w:eastAsia="Georgia" w:hAnsi="Georgia" w:cs="Georgia"/>
      <w:i/>
      <w:iCs/>
      <w:noProof/>
      <w:sz w:val="16"/>
      <w:szCs w:val="16"/>
      <w:shd w:val="clear" w:color="auto" w:fill="FFFFFF"/>
      <w:lang w:val="en-US" w:eastAsia="en-US"/>
    </w:rPr>
  </w:style>
  <w:style w:type="character" w:customStyle="1" w:styleId="2fd">
    <w:name w:val="Сноска (2)_"/>
    <w:basedOn w:val="a0"/>
    <w:link w:val="2fe"/>
    <w:rsid w:val="001F6AEC"/>
    <w:rPr>
      <w:rFonts w:ascii="Consolas" w:eastAsia="Consolas" w:hAnsi="Consolas" w:cs="Consolas"/>
      <w:sz w:val="21"/>
      <w:szCs w:val="21"/>
      <w:shd w:val="clear" w:color="auto" w:fill="FFFFFF"/>
    </w:rPr>
  </w:style>
  <w:style w:type="paragraph" w:customStyle="1" w:styleId="2fe">
    <w:name w:val="Сноска (2)"/>
    <w:basedOn w:val="a"/>
    <w:link w:val="2fd"/>
    <w:rsid w:val="001F6AEC"/>
    <w:pPr>
      <w:shd w:val="clear" w:color="auto" w:fill="FFFFFF"/>
      <w:spacing w:after="0" w:line="0" w:lineRule="atLeast"/>
    </w:pPr>
    <w:rPr>
      <w:rFonts w:ascii="Consolas" w:eastAsia="Consolas" w:hAnsi="Consolas" w:cs="Consolas"/>
      <w:sz w:val="21"/>
      <w:szCs w:val="21"/>
      <w:lang w:eastAsia="ru-RU"/>
    </w:rPr>
  </w:style>
  <w:style w:type="character" w:customStyle="1" w:styleId="4f1">
    <w:name w:val="Заголовок №4_"/>
    <w:basedOn w:val="a0"/>
    <w:link w:val="4f2"/>
    <w:rsid w:val="001F6AEC"/>
    <w:rPr>
      <w:rFonts w:ascii="Consolas" w:eastAsia="Consolas" w:hAnsi="Consolas" w:cs="Consolas"/>
      <w:sz w:val="21"/>
      <w:szCs w:val="21"/>
      <w:shd w:val="clear" w:color="auto" w:fill="FFFFFF"/>
    </w:rPr>
  </w:style>
  <w:style w:type="character" w:customStyle="1" w:styleId="4-1pt0">
    <w:name w:val="Заголовок №4 + Интервал -1 pt"/>
    <w:basedOn w:val="4f1"/>
    <w:rsid w:val="001F6AEC"/>
    <w:rPr>
      <w:rFonts w:ascii="Consolas" w:eastAsia="Consolas" w:hAnsi="Consolas" w:cs="Consolas"/>
      <w:spacing w:val="-20"/>
      <w:sz w:val="21"/>
      <w:szCs w:val="21"/>
      <w:shd w:val="clear" w:color="auto" w:fill="FFFFFF"/>
    </w:rPr>
  </w:style>
  <w:style w:type="paragraph" w:customStyle="1" w:styleId="4f2">
    <w:name w:val="Заголовок №4"/>
    <w:basedOn w:val="a"/>
    <w:link w:val="4f1"/>
    <w:rsid w:val="001F6AEC"/>
    <w:pPr>
      <w:shd w:val="clear" w:color="auto" w:fill="FFFFFF"/>
      <w:spacing w:after="0" w:line="158" w:lineRule="exact"/>
      <w:outlineLvl w:val="3"/>
    </w:pPr>
    <w:rPr>
      <w:rFonts w:ascii="Consolas" w:eastAsia="Consolas" w:hAnsi="Consolas" w:cs="Consolas"/>
      <w:sz w:val="21"/>
      <w:szCs w:val="21"/>
      <w:lang w:eastAsia="ru-RU"/>
    </w:rPr>
  </w:style>
  <w:style w:type="character" w:customStyle="1" w:styleId="2pt2">
    <w:name w:val="Оглавление + Интервал 2 pt"/>
    <w:basedOn w:val="afffff4"/>
    <w:rsid w:val="002A2796"/>
    <w:rPr>
      <w:rFonts w:ascii="MingLiU" w:eastAsia="MingLiU" w:hAnsi="MingLiU" w:cs="MingLiU"/>
      <w:b w:val="0"/>
      <w:bCs w:val="0"/>
      <w:i w:val="0"/>
      <w:iCs w:val="0"/>
      <w:smallCaps w:val="0"/>
      <w:strike w:val="0"/>
      <w:spacing w:val="40"/>
      <w:w w:val="100"/>
      <w:sz w:val="19"/>
      <w:szCs w:val="19"/>
      <w:shd w:val="clear" w:color="auto" w:fill="FFFFFF"/>
    </w:rPr>
  </w:style>
  <w:style w:type="character" w:customStyle="1" w:styleId="TrebuchetMS0">
    <w:name w:val="Основной текст + Trebuchet MS;Курсив"/>
    <w:basedOn w:val="aff0"/>
    <w:rsid w:val="006C122B"/>
    <w:rPr>
      <w:rFonts w:ascii="Trebuchet MS" w:eastAsia="Trebuchet MS" w:hAnsi="Trebuchet MS" w:cs="Trebuchet MS"/>
      <w:b w:val="0"/>
      <w:bCs w:val="0"/>
      <w:i/>
      <w:iCs/>
      <w:smallCaps w:val="0"/>
      <w:strike w:val="0"/>
      <w:spacing w:val="0"/>
      <w:sz w:val="19"/>
      <w:szCs w:val="19"/>
      <w:shd w:val="clear" w:color="auto" w:fill="FFFFFF"/>
    </w:rPr>
  </w:style>
  <w:style w:type="paragraph" w:customStyle="1" w:styleId="172">
    <w:name w:val="Основной текст17"/>
    <w:basedOn w:val="a"/>
    <w:rsid w:val="00087C19"/>
    <w:pPr>
      <w:shd w:val="clear" w:color="auto" w:fill="FFFFFF"/>
      <w:spacing w:before="660" w:after="0" w:line="0" w:lineRule="atLeast"/>
      <w:ind w:hanging="280"/>
    </w:pPr>
    <w:rPr>
      <w:rFonts w:ascii="Arial Narrow" w:eastAsia="Arial Narrow" w:hAnsi="Arial Narrow" w:cs="Arial Narrow"/>
      <w:color w:val="000000"/>
      <w:sz w:val="19"/>
      <w:szCs w:val="19"/>
      <w:lang w:eastAsia="ru-RU"/>
    </w:rPr>
  </w:style>
  <w:style w:type="paragraph" w:customStyle="1" w:styleId="11b">
    <w:name w:val="Основной текст11"/>
    <w:basedOn w:val="a"/>
    <w:rsid w:val="00EF6A8F"/>
    <w:pPr>
      <w:shd w:val="clear" w:color="auto" w:fill="FFFFFF"/>
      <w:spacing w:after="900" w:line="0" w:lineRule="atLeast"/>
    </w:pPr>
    <w:rPr>
      <w:rFonts w:ascii="Arial Narrow" w:eastAsia="Arial Narrow" w:hAnsi="Arial Narrow" w:cs="Arial Narrow"/>
      <w:color w:val="000000"/>
      <w:sz w:val="17"/>
      <w:szCs w:val="17"/>
      <w:lang w:eastAsia="ru-RU"/>
    </w:rPr>
  </w:style>
  <w:style w:type="character" w:styleId="HTML">
    <w:name w:val="HTML Cite"/>
    <w:basedOn w:val="a0"/>
    <w:uiPriority w:val="99"/>
    <w:semiHidden/>
    <w:unhideWhenUsed/>
    <w:rsid w:val="00EF6A8F"/>
    <w:rPr>
      <w:i/>
      <w:iCs/>
    </w:rPr>
  </w:style>
  <w:style w:type="paragraph" w:customStyle="1" w:styleId="319">
    <w:name w:val="Основной текст31"/>
    <w:basedOn w:val="a"/>
    <w:rsid w:val="00EE5662"/>
    <w:pPr>
      <w:shd w:val="clear" w:color="auto" w:fill="FFFFFF"/>
      <w:spacing w:after="480" w:line="0" w:lineRule="atLeast"/>
    </w:pPr>
    <w:rPr>
      <w:rFonts w:ascii="Arial Narrow" w:eastAsia="Arial Narrow" w:hAnsi="Arial Narrow" w:cs="Arial Narrow"/>
      <w:color w:val="000000"/>
      <w:sz w:val="18"/>
      <w:szCs w:val="18"/>
      <w:lang w:eastAsia="ru-RU"/>
    </w:rPr>
  </w:style>
  <w:style w:type="character" w:customStyle="1" w:styleId="107">
    <w:name w:val="Основной текст (10)_"/>
    <w:basedOn w:val="a0"/>
    <w:link w:val="108"/>
    <w:rsid w:val="00EE5662"/>
    <w:rPr>
      <w:rFonts w:ascii="Arial Narrow" w:eastAsia="Arial Narrow" w:hAnsi="Arial Narrow" w:cs="Arial Narrow"/>
      <w:sz w:val="16"/>
      <w:szCs w:val="16"/>
      <w:shd w:val="clear" w:color="auto" w:fill="FFFFFF"/>
    </w:rPr>
  </w:style>
  <w:style w:type="paragraph" w:customStyle="1" w:styleId="108">
    <w:name w:val="Основной текст (10)"/>
    <w:basedOn w:val="a"/>
    <w:link w:val="107"/>
    <w:rsid w:val="00EE5662"/>
    <w:pPr>
      <w:shd w:val="clear" w:color="auto" w:fill="FFFFFF"/>
      <w:spacing w:after="0" w:line="0" w:lineRule="atLeast"/>
      <w:jc w:val="both"/>
    </w:pPr>
    <w:rPr>
      <w:rFonts w:ascii="Arial Narrow" w:eastAsia="Arial Narrow" w:hAnsi="Arial Narrow" w:cs="Arial Narrow"/>
      <w:sz w:val="16"/>
      <w:szCs w:val="16"/>
      <w:lang w:eastAsia="ru-RU"/>
    </w:rPr>
  </w:style>
  <w:style w:type="character" w:customStyle="1" w:styleId="70">
    <w:name w:val="Основной текст (7)_"/>
    <w:basedOn w:val="a0"/>
    <w:link w:val="7"/>
    <w:rsid w:val="00595859"/>
    <w:rPr>
      <w:rFonts w:ascii="Arial Unicode MS" w:eastAsia="Arial Unicode MS" w:hAnsi="Times New Roman" w:cs="Arial Unicode MS"/>
      <w:spacing w:val="20"/>
      <w:sz w:val="25"/>
      <w:szCs w:val="25"/>
      <w:shd w:val="clear" w:color="auto" w:fill="FFFFFF"/>
      <w:lang w:eastAsia="en-US"/>
    </w:rPr>
  </w:style>
  <w:style w:type="character" w:customStyle="1" w:styleId="242">
    <w:name w:val="Основной текст (24)_"/>
    <w:basedOn w:val="a0"/>
    <w:link w:val="243"/>
    <w:rsid w:val="006A29EC"/>
    <w:rPr>
      <w:rFonts w:ascii="Trebuchet MS" w:eastAsia="Trebuchet MS" w:hAnsi="Trebuchet MS" w:cs="Trebuchet MS"/>
      <w:sz w:val="24"/>
      <w:szCs w:val="24"/>
      <w:shd w:val="clear" w:color="auto" w:fill="FFFFFF"/>
    </w:rPr>
  </w:style>
  <w:style w:type="paragraph" w:customStyle="1" w:styleId="243">
    <w:name w:val="Основной текст (24)"/>
    <w:basedOn w:val="a"/>
    <w:link w:val="242"/>
    <w:rsid w:val="006A29EC"/>
    <w:pPr>
      <w:shd w:val="clear" w:color="auto" w:fill="FFFFFF"/>
      <w:spacing w:after="0" w:line="0" w:lineRule="atLeast"/>
    </w:pPr>
    <w:rPr>
      <w:rFonts w:ascii="Trebuchet MS" w:eastAsia="Trebuchet MS" w:hAnsi="Trebuchet MS" w:cs="Trebuchet MS"/>
      <w:sz w:val="24"/>
      <w:szCs w:val="24"/>
      <w:lang w:eastAsia="ru-RU"/>
    </w:rPr>
  </w:style>
  <w:style w:type="character" w:customStyle="1" w:styleId="11pt">
    <w:name w:val="Основной текст + 11 pt;Курсив"/>
    <w:basedOn w:val="aff0"/>
    <w:rsid w:val="006A29EC"/>
    <w:rPr>
      <w:rFonts w:ascii="Arial Narrow" w:eastAsia="Arial Narrow" w:hAnsi="Arial Narrow" w:cs="Arial Narrow"/>
      <w:b w:val="0"/>
      <w:bCs w:val="0"/>
      <w:i/>
      <w:iCs/>
      <w:smallCaps w:val="0"/>
      <w:strike w:val="0"/>
      <w:spacing w:val="0"/>
      <w:w w:val="100"/>
      <w:sz w:val="22"/>
      <w:szCs w:val="22"/>
      <w:shd w:val="clear" w:color="auto" w:fill="FFFFFF"/>
    </w:rPr>
  </w:style>
  <w:style w:type="character" w:customStyle="1" w:styleId="109">
    <w:name w:val="Основной текст (10) + Не курсив"/>
    <w:basedOn w:val="107"/>
    <w:rsid w:val="00E10F86"/>
    <w:rPr>
      <w:rFonts w:ascii="Arial Narrow" w:eastAsia="Arial Narrow" w:hAnsi="Arial Narrow" w:cs="Arial Narrow"/>
      <w:b w:val="0"/>
      <w:bCs w:val="0"/>
      <w:i/>
      <w:iCs/>
      <w:smallCaps w:val="0"/>
      <w:strike w:val="0"/>
      <w:spacing w:val="0"/>
      <w:w w:val="100"/>
      <w:sz w:val="18"/>
      <w:szCs w:val="18"/>
      <w:shd w:val="clear" w:color="auto" w:fill="FFFFFF"/>
    </w:rPr>
  </w:style>
  <w:style w:type="character" w:customStyle="1" w:styleId="101pt">
    <w:name w:val="Основной текст (10) + Интервал 1 pt"/>
    <w:basedOn w:val="107"/>
    <w:rsid w:val="00E10F86"/>
    <w:rPr>
      <w:rFonts w:ascii="Arial Narrow" w:eastAsia="Arial Narrow" w:hAnsi="Arial Narrow" w:cs="Arial Narrow"/>
      <w:b w:val="0"/>
      <w:bCs w:val="0"/>
      <w:i w:val="0"/>
      <w:iCs w:val="0"/>
      <w:smallCaps w:val="0"/>
      <w:strike w:val="0"/>
      <w:spacing w:val="30"/>
      <w:w w:val="100"/>
      <w:sz w:val="18"/>
      <w:szCs w:val="18"/>
      <w:shd w:val="clear" w:color="auto" w:fill="FFFFFF"/>
    </w:rPr>
  </w:style>
  <w:style w:type="character" w:customStyle="1" w:styleId="351">
    <w:name w:val="Основной текст (35)_"/>
    <w:basedOn w:val="a0"/>
    <w:link w:val="350"/>
    <w:rsid w:val="00E10F86"/>
    <w:rPr>
      <w:rFonts w:ascii="MS Reference Sans Serif" w:hAnsi="MS Reference Sans Serif" w:cs="MS Reference Sans Serif"/>
      <w:spacing w:val="-10"/>
      <w:sz w:val="14"/>
      <w:szCs w:val="14"/>
      <w:shd w:val="clear" w:color="auto" w:fill="FFFFFF"/>
      <w:lang w:eastAsia="en-US"/>
    </w:rPr>
  </w:style>
  <w:style w:type="character" w:customStyle="1" w:styleId="380">
    <w:name w:val="Основной текст (38)_"/>
    <w:basedOn w:val="a0"/>
    <w:link w:val="381"/>
    <w:rsid w:val="00E10F86"/>
    <w:rPr>
      <w:rFonts w:ascii="Microsoft Sans Serif" w:eastAsia="Microsoft Sans Serif" w:hAnsi="Microsoft Sans Serif" w:cs="Microsoft Sans Serif"/>
      <w:spacing w:val="10"/>
      <w:sz w:val="31"/>
      <w:szCs w:val="31"/>
      <w:shd w:val="clear" w:color="auto" w:fill="FFFFFF"/>
    </w:rPr>
  </w:style>
  <w:style w:type="paragraph" w:customStyle="1" w:styleId="381">
    <w:name w:val="Основной текст (38)"/>
    <w:basedOn w:val="a"/>
    <w:link w:val="380"/>
    <w:rsid w:val="00E10F86"/>
    <w:pPr>
      <w:shd w:val="clear" w:color="auto" w:fill="FFFFFF"/>
      <w:spacing w:after="60" w:line="0" w:lineRule="atLeast"/>
    </w:pPr>
    <w:rPr>
      <w:rFonts w:ascii="Microsoft Sans Serif" w:eastAsia="Microsoft Sans Serif" w:hAnsi="Microsoft Sans Serif" w:cs="Microsoft Sans Serif"/>
      <w:spacing w:val="10"/>
      <w:sz w:val="31"/>
      <w:szCs w:val="31"/>
      <w:lang w:eastAsia="ru-RU"/>
    </w:rPr>
  </w:style>
  <w:style w:type="paragraph" w:customStyle="1" w:styleId="p1">
    <w:name w:val="p1"/>
    <w:basedOn w:val="a"/>
    <w:rsid w:val="0033729D"/>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371">
    <w:name w:val="Основной текст (37)_"/>
    <w:basedOn w:val="a0"/>
    <w:link w:val="370"/>
    <w:uiPriority w:val="99"/>
    <w:rsid w:val="00BA42ED"/>
    <w:rPr>
      <w:rFonts w:ascii="MS Reference Sans Serif" w:hAnsi="MS Reference Sans Serif" w:cs="MS Reference Sans Serif"/>
      <w:i/>
      <w:iCs/>
      <w:sz w:val="12"/>
      <w:szCs w:val="12"/>
      <w:shd w:val="clear" w:color="auto" w:fill="FFFFFF"/>
      <w:lang w:eastAsia="en-US"/>
    </w:rPr>
  </w:style>
  <w:style w:type="paragraph" w:customStyle="1" w:styleId="232">
    <w:name w:val="Основной текст23"/>
    <w:basedOn w:val="a"/>
    <w:rsid w:val="00116276"/>
    <w:pPr>
      <w:shd w:val="clear" w:color="auto" w:fill="FFFFFF"/>
      <w:spacing w:before="480" w:after="180" w:line="0" w:lineRule="atLeast"/>
      <w:ind w:hanging="200"/>
    </w:pPr>
    <w:rPr>
      <w:rFonts w:ascii="Arial Narrow" w:eastAsia="Arial Narrow" w:hAnsi="Arial Narrow" w:cs="Arial Narrow"/>
      <w:color w:val="000000"/>
      <w:sz w:val="18"/>
      <w:szCs w:val="18"/>
      <w:lang w:eastAsia="ru-RU"/>
    </w:rPr>
  </w:style>
  <w:style w:type="paragraph" w:customStyle="1" w:styleId="4f3">
    <w:name w:val="4"/>
    <w:basedOn w:val="a"/>
    <w:rsid w:val="0052262F"/>
    <w:pPr>
      <w:spacing w:before="100" w:beforeAutospacing="1" w:after="100" w:afterAutospacing="1" w:line="240" w:lineRule="auto"/>
    </w:pPr>
    <w:rPr>
      <w:rFonts w:ascii="Times New Roman" w:eastAsia="Times New Roman" w:hAnsi="Times New Roman"/>
      <w:sz w:val="24"/>
      <w:szCs w:val="24"/>
      <w:lang w:eastAsia="ru-RU"/>
    </w:rPr>
  </w:style>
  <w:style w:type="paragraph" w:styleId="afffff5">
    <w:name w:val="No Spacing"/>
    <w:basedOn w:val="a"/>
    <w:uiPriority w:val="1"/>
    <w:qFormat/>
    <w:rsid w:val="00B81D22"/>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article-renderblock">
    <w:name w:val="article-render__block"/>
    <w:basedOn w:val="a"/>
    <w:rsid w:val="00C4721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761">
    <w:name w:val="Основной текст76"/>
    <w:basedOn w:val="aff0"/>
    <w:rsid w:val="00C6251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96">
    <w:name w:val="Основной текст9"/>
    <w:basedOn w:val="a"/>
    <w:rsid w:val="00F23109"/>
    <w:pPr>
      <w:shd w:val="clear" w:color="auto" w:fill="FFFFFF"/>
      <w:spacing w:before="180" w:after="0" w:line="221" w:lineRule="exact"/>
      <w:jc w:val="both"/>
    </w:pPr>
    <w:rPr>
      <w:rFonts w:ascii="Franklin Gothic Book" w:eastAsia="Franklin Gothic Book" w:hAnsi="Franklin Gothic Book" w:cs="Franklin Gothic Book"/>
      <w:color w:val="000000"/>
      <w:w w:val="80"/>
      <w:sz w:val="19"/>
      <w:szCs w:val="19"/>
      <w:lang w:val="ru" w:eastAsia="ru-RU"/>
    </w:rPr>
  </w:style>
  <w:style w:type="paragraph" w:customStyle="1" w:styleId="7d">
    <w:name w:val="Основной текст7"/>
    <w:basedOn w:val="a"/>
    <w:rsid w:val="003733B8"/>
    <w:pPr>
      <w:shd w:val="clear" w:color="auto" w:fill="FFFFFF"/>
      <w:spacing w:before="180" w:after="0" w:line="0" w:lineRule="atLeast"/>
    </w:pPr>
    <w:rPr>
      <w:rFonts w:ascii="Segoe UI" w:eastAsia="Segoe UI" w:hAnsi="Segoe UI" w:cs="Segoe UI"/>
      <w:color w:val="000000"/>
      <w:sz w:val="16"/>
      <w:szCs w:val="16"/>
      <w:lang w:val="ru" w:eastAsia="ru-RU"/>
    </w:rPr>
  </w:style>
  <w:style w:type="character" w:customStyle="1" w:styleId="28pt100">
    <w:name w:val="Основной текст (2) + 8 pt;Не курсив;Масштаб 100%"/>
    <w:basedOn w:val="2a"/>
    <w:rsid w:val="003733B8"/>
    <w:rPr>
      <w:rFonts w:ascii="Trebuchet MS" w:eastAsia="Trebuchet MS" w:hAnsi="Trebuchet MS" w:cs="Trebuchet MS"/>
      <w:b w:val="0"/>
      <w:bCs w:val="0"/>
      <w:i/>
      <w:iCs/>
      <w:smallCaps w:val="0"/>
      <w:strike w:val="0"/>
      <w:spacing w:val="0"/>
      <w:w w:val="100"/>
      <w:sz w:val="16"/>
      <w:szCs w:val="16"/>
      <w:shd w:val="clear" w:color="auto" w:fill="FFFFFF"/>
      <w:lang w:eastAsia="en-US"/>
    </w:rPr>
  </w:style>
  <w:style w:type="paragraph" w:customStyle="1" w:styleId="229">
    <w:name w:val="Основной текст22"/>
    <w:basedOn w:val="a"/>
    <w:rsid w:val="00843B64"/>
    <w:pPr>
      <w:shd w:val="clear" w:color="auto" w:fill="FFFFFF"/>
      <w:spacing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600">
    <w:name w:val="Основной текст60"/>
    <w:basedOn w:val="aff0"/>
    <w:rsid w:val="001071C3"/>
    <w:rPr>
      <w:rFonts w:ascii="Arial" w:eastAsia="Arial" w:hAnsi="Arial" w:cs="Arial"/>
      <w:b w:val="0"/>
      <w:bCs w:val="0"/>
      <w:i w:val="0"/>
      <w:iCs w:val="0"/>
      <w:smallCaps w:val="0"/>
      <w:strike w:val="0"/>
      <w:spacing w:val="0"/>
      <w:sz w:val="14"/>
      <w:szCs w:val="14"/>
      <w:shd w:val="clear" w:color="auto" w:fill="FFFFFF"/>
    </w:rPr>
  </w:style>
  <w:style w:type="paragraph" w:customStyle="1" w:styleId="850">
    <w:name w:val="Основной текст85"/>
    <w:basedOn w:val="a"/>
    <w:rsid w:val="001071C3"/>
    <w:pPr>
      <w:shd w:val="clear" w:color="auto" w:fill="FFFFFF"/>
      <w:spacing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770">
    <w:name w:val="Основной текст77"/>
    <w:basedOn w:val="aff0"/>
    <w:rsid w:val="001071C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80">
    <w:name w:val="Основной текст78"/>
    <w:basedOn w:val="aff0"/>
    <w:rsid w:val="001071C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aentry-posttitle-text">
    <w:name w:val="aentry-post__title-text"/>
    <w:basedOn w:val="a0"/>
    <w:rsid w:val="00AD6360"/>
  </w:style>
  <w:style w:type="character" w:customStyle="1" w:styleId="631">
    <w:name w:val="Основной текст63"/>
    <w:basedOn w:val="aff0"/>
    <w:rsid w:val="0047087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41">
    <w:name w:val="Основной текст64"/>
    <w:basedOn w:val="aff0"/>
    <w:rsid w:val="0047087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51">
    <w:name w:val="Основной текст65"/>
    <w:basedOn w:val="aff0"/>
    <w:rsid w:val="0047087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12">
    <w:name w:val="Основной текст61"/>
    <w:basedOn w:val="aff0"/>
    <w:rsid w:val="00470874"/>
    <w:rPr>
      <w:rFonts w:ascii="Arial" w:eastAsia="Arial" w:hAnsi="Arial" w:cs="Arial"/>
      <w:b w:val="0"/>
      <w:bCs w:val="0"/>
      <w:i w:val="0"/>
      <w:iCs w:val="0"/>
      <w:smallCaps w:val="0"/>
      <w:strike w:val="0"/>
      <w:spacing w:val="0"/>
      <w:sz w:val="14"/>
      <w:szCs w:val="14"/>
      <w:shd w:val="clear" w:color="auto" w:fill="FFFFFF"/>
    </w:rPr>
  </w:style>
  <w:style w:type="paragraph" w:customStyle="1" w:styleId="911">
    <w:name w:val="Основной текст91"/>
    <w:basedOn w:val="a"/>
    <w:rsid w:val="00470874"/>
    <w:pPr>
      <w:shd w:val="clear" w:color="auto" w:fill="FFFFFF"/>
      <w:spacing w:after="0" w:line="0" w:lineRule="atLeast"/>
      <w:ind w:hanging="600"/>
    </w:pPr>
    <w:rPr>
      <w:rFonts w:ascii="Franklin Gothic Book" w:eastAsia="Franklin Gothic Book" w:hAnsi="Franklin Gothic Book" w:cs="Franklin Gothic Book"/>
      <w:color w:val="000000"/>
      <w:sz w:val="15"/>
      <w:szCs w:val="15"/>
      <w:lang w:val="ru" w:eastAsia="ru-RU"/>
    </w:rPr>
  </w:style>
  <w:style w:type="character" w:customStyle="1" w:styleId="731">
    <w:name w:val="Основной текст73"/>
    <w:basedOn w:val="aff0"/>
    <w:rsid w:val="003156BD"/>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51">
    <w:name w:val="Основной текст75"/>
    <w:basedOn w:val="aff0"/>
    <w:rsid w:val="003156BD"/>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1151">
    <w:name w:val="Основной текст115"/>
    <w:basedOn w:val="a"/>
    <w:rsid w:val="003156BD"/>
    <w:pPr>
      <w:shd w:val="clear" w:color="auto" w:fill="FFFFFF"/>
      <w:spacing w:before="120" w:after="0" w:line="139" w:lineRule="exact"/>
      <w:jc w:val="both"/>
    </w:pPr>
    <w:rPr>
      <w:rFonts w:ascii="Trebuchet MS" w:eastAsia="Trebuchet MS" w:hAnsi="Trebuchet MS" w:cs="Trebuchet MS"/>
      <w:color w:val="000000"/>
      <w:sz w:val="13"/>
      <w:szCs w:val="13"/>
      <w:lang w:val="ru" w:eastAsia="ru-RU"/>
    </w:rPr>
  </w:style>
  <w:style w:type="character" w:customStyle="1" w:styleId="920">
    <w:name w:val="Основной текст92"/>
    <w:basedOn w:val="aff0"/>
    <w:rsid w:val="001A313A"/>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1162">
    <w:name w:val="Основной текст116"/>
    <w:basedOn w:val="a"/>
    <w:rsid w:val="001A313A"/>
    <w:pPr>
      <w:shd w:val="clear" w:color="auto" w:fill="FFFFFF"/>
      <w:spacing w:after="600" w:line="0" w:lineRule="atLeast"/>
      <w:ind w:hanging="360"/>
    </w:pPr>
    <w:rPr>
      <w:rFonts w:ascii="Franklin Gothic Book" w:eastAsia="Franklin Gothic Book" w:hAnsi="Franklin Gothic Book" w:cs="Franklin Gothic Book"/>
      <w:color w:val="000000"/>
      <w:sz w:val="15"/>
      <w:szCs w:val="15"/>
      <w:lang w:val="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6069176">
      <w:bodyDiv w:val="1"/>
      <w:marLeft w:val="0"/>
      <w:marRight w:val="0"/>
      <w:marTop w:val="0"/>
      <w:marBottom w:val="0"/>
      <w:divBdr>
        <w:top w:val="none" w:sz="0" w:space="0" w:color="auto"/>
        <w:left w:val="none" w:sz="0" w:space="0" w:color="auto"/>
        <w:bottom w:val="none" w:sz="0" w:space="0" w:color="auto"/>
        <w:right w:val="none" w:sz="0" w:space="0" w:color="auto"/>
      </w:divBdr>
    </w:div>
    <w:div w:id="716199630">
      <w:bodyDiv w:val="1"/>
      <w:marLeft w:val="0"/>
      <w:marRight w:val="0"/>
      <w:marTop w:val="0"/>
      <w:marBottom w:val="0"/>
      <w:divBdr>
        <w:top w:val="none" w:sz="0" w:space="0" w:color="auto"/>
        <w:left w:val="none" w:sz="0" w:space="0" w:color="auto"/>
        <w:bottom w:val="none" w:sz="0" w:space="0" w:color="auto"/>
        <w:right w:val="none" w:sz="0" w:space="0" w:color="auto"/>
      </w:divBdr>
      <w:divsChild>
        <w:div w:id="412895758">
          <w:marLeft w:val="0"/>
          <w:marRight w:val="0"/>
          <w:marTop w:val="0"/>
          <w:marBottom w:val="48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arspot.ru/6610-malyy-tank-bolshoy-voyny" TargetMode="External"/><Relationship Id="rId18" Type="http://schemas.openxmlformats.org/officeDocument/2006/relationships/hyperlink" Target="http://warspot.ru/5638-armeyskie-zemnovodnye" TargetMode="External"/><Relationship Id="rId26" Type="http://schemas.openxmlformats.org/officeDocument/2006/relationships/hyperlink" Target="https://warspot.ru/6706-protivotankovaya-artilleriya-v-lyogkom-vese" TargetMode="External"/><Relationship Id="rId39" Type="http://schemas.openxmlformats.org/officeDocument/2006/relationships/hyperlink" Target="http://warspot.ru/4029-udarnyy-instrument-tankovoy-gvardii" TargetMode="External"/><Relationship Id="rId21" Type="http://schemas.openxmlformats.org/officeDocument/2006/relationships/hyperlink" Target="http://www.rpg-club.com/x1000" TargetMode="External"/><Relationship Id="rId34" Type="http://schemas.openxmlformats.org/officeDocument/2006/relationships/hyperlink" Target="https://ru.wikipedia.org/wiki/10_%D0%BE%D0%BA%D1%82%D1%8F%D0%B1%D1%80%D1%8F" TargetMode="External"/><Relationship Id="rId42" Type="http://schemas.openxmlformats.org/officeDocument/2006/relationships/hyperlink" Target="http://warspot.ru/3889-rozhdyonnyy-voynoy-kak-sozdavalsya-narkomat-tankovoy-promyshlennosti" TargetMode="External"/><Relationship Id="rId47" Type="http://schemas.openxmlformats.org/officeDocument/2006/relationships/hyperlink" Target="http://detectivebooks.ru/book/47013018/?page=22" TargetMode="External"/><Relationship Id="rId50" Type="http://schemas.openxmlformats.org/officeDocument/2006/relationships/hyperlink" Target="http://www.rpg-club.com/x1000" TargetMode="External"/><Relationship Id="rId55" Type="http://schemas.openxmlformats.org/officeDocument/2006/relationships/hyperlink" Target="https://t34inform.ru/photo/14-04.jpg" TargetMode="External"/><Relationship Id="rId63" Type="http://schemas.openxmlformats.org/officeDocument/2006/relationships/hyperlink" Target="http://www.rpg-club.com/x1000" TargetMode="External"/><Relationship Id="rId68" Type="http://schemas.openxmlformats.org/officeDocument/2006/relationships/hyperlink" Target="https://warspot.ru/6610-malyy-tank-bolshoy-voyny" TargetMode="External"/><Relationship Id="rId76" Type="http://schemas.openxmlformats.org/officeDocument/2006/relationships/hyperlink" Target="https://warspot.ru/6290-nemirnyy-traktor" TargetMode="External"/><Relationship Id="rId84" Type="http://schemas.openxmlformats.org/officeDocument/2006/relationships/hyperlink" Target="http://warspot.ru/6421-samohodnyy-korotkostvol" TargetMode="External"/><Relationship Id="rId7" Type="http://schemas.openxmlformats.org/officeDocument/2006/relationships/hyperlink" Target="http://insibir.com/novosibirsk/" TargetMode="External"/><Relationship Id="rId71" Type="http://schemas.openxmlformats.org/officeDocument/2006/relationships/hyperlink" Target="http://warspot.ru/5323-stalin-tanki-tri-stvola" TargetMode="External"/><Relationship Id="rId2" Type="http://schemas.openxmlformats.org/officeDocument/2006/relationships/styles" Target="styles.xml"/><Relationship Id="rId16" Type="http://schemas.openxmlformats.org/officeDocument/2006/relationships/hyperlink" Target="http://warspot.ru/6453-neprostaya-sudba-kolotushki" TargetMode="External"/><Relationship Id="rId29" Type="http://schemas.openxmlformats.org/officeDocument/2006/relationships/hyperlink" Target="https://t34inform.ru/photo/14-03.jpg" TargetMode="External"/><Relationship Id="rId11" Type="http://schemas.openxmlformats.org/officeDocument/2006/relationships/hyperlink" Target="http://warspot.ru/10209-tyazhyolyy-tank-iz-pensilvanii" TargetMode="External"/><Relationship Id="rId24" Type="http://schemas.openxmlformats.org/officeDocument/2006/relationships/hyperlink" Target="https://warspot.ru/14237-glavnyy-konstruktor" TargetMode="External"/><Relationship Id="rId32" Type="http://schemas.openxmlformats.org/officeDocument/2006/relationships/hyperlink" Target="https://t34inform.ru/photo/14-04.jpg" TargetMode="External"/><Relationship Id="rId37" Type="http://schemas.openxmlformats.org/officeDocument/2006/relationships/hyperlink" Target="https://ru.wikipedia.org/wiki/%D0%92%D0%92%D0%A1_%D0%9A%D1%80%D0%B0%D1%81%D0%BD%D0%BE%D0%B9_%D0%90%D1%80%D0%BC%D0%B8%D0%B8" TargetMode="External"/><Relationship Id="rId40" Type="http://schemas.openxmlformats.org/officeDocument/2006/relationships/hyperlink" Target="https://t34inform.ru/photo/14-04.jpg" TargetMode="External"/><Relationship Id="rId45" Type="http://schemas.openxmlformats.org/officeDocument/2006/relationships/hyperlink" Target="http://warspot.ru/5675-rabochie-loshadki-vtoroy-mirovoy" TargetMode="External"/><Relationship Id="rId53" Type="http://schemas.openxmlformats.org/officeDocument/2006/relationships/hyperlink" Target="https://warspot.ru/15562-avtostradnye-tanki-po-nemetski" TargetMode="External"/><Relationship Id="rId58" Type="http://schemas.openxmlformats.org/officeDocument/2006/relationships/hyperlink" Target="http://www.rpg-club.com/x1000" TargetMode="External"/><Relationship Id="rId66" Type="http://schemas.openxmlformats.org/officeDocument/2006/relationships/hyperlink" Target="http://warspot.ru/4819-u-20-sovetskie-istrebiteli-tankov-s-krugovym-obstrelom" TargetMode="External"/><Relationship Id="rId74" Type="http://schemas.openxmlformats.org/officeDocument/2006/relationships/hyperlink" Target="https://warspot.ru/5305-valentine-na-prokachke" TargetMode="External"/><Relationship Id="rId79" Type="http://schemas.openxmlformats.org/officeDocument/2006/relationships/hyperlink" Target="http://warspot.ru/4529-dognavshiy-odnoklassnikov" TargetMode="External"/><Relationship Id="rId87" Type="http://schemas.openxmlformats.org/officeDocument/2006/relationships/fontTable" Target="fontTable.xml"/><Relationship Id="rId5" Type="http://schemas.openxmlformats.org/officeDocument/2006/relationships/footnotes" Target="footnotes.xml"/><Relationship Id="rId61" Type="http://schemas.openxmlformats.org/officeDocument/2006/relationships/hyperlink" Target="http://www.rpg-club.com/x1000" TargetMode="External"/><Relationship Id="rId82" Type="http://schemas.openxmlformats.org/officeDocument/2006/relationships/hyperlink" Target="http://www.rpg-club.com/x1000" TargetMode="External"/><Relationship Id="rId19" Type="http://schemas.openxmlformats.org/officeDocument/2006/relationships/hyperlink" Target="http://warspot.ru/9502-sherman-v-zadrannoy-yubke" TargetMode="External"/><Relationship Id="rId4" Type="http://schemas.openxmlformats.org/officeDocument/2006/relationships/webSettings" Target="webSettings.xml"/><Relationship Id="rId9" Type="http://schemas.openxmlformats.org/officeDocument/2006/relationships/hyperlink" Target="http://hl.mailru.su/mcached?q=%22%D1%81%D1%82%D0%B0%D1%86%D0%B8%D0%BE%D0%BD%D0%B0%D1%80%D0%BD%D0%B0%D1%8F%20%D0%B0%D0%B2%D0%B8%D0%B0%D0%BC%D0%B0%D1%81%D1%82%D0%B5%D1%80%D1%81%D0%BA%D0%B0%D1%8F%22&amp;nosp=1&amp;c=14-1%3A64-2&amp;r=2413860&amp;rch=l&amp;qurl=http%3A//modernlib.ru/books/polinin_fedor/boevie_marshruti/read/&amp;fr=webhsm" TargetMode="External"/><Relationship Id="rId14" Type="http://schemas.openxmlformats.org/officeDocument/2006/relationships/hyperlink" Target="http://warspot.ru/6522-tank-t-30-prosche-prostogo" TargetMode="External"/><Relationship Id="rId22" Type="http://schemas.openxmlformats.org/officeDocument/2006/relationships/hyperlink" Target="http://www.rpg-club.com/x1000" TargetMode="External"/><Relationship Id="rId27" Type="http://schemas.openxmlformats.org/officeDocument/2006/relationships/hyperlink" Target="https://warspot.ru/9788-stanovoy-hrebet-artillerii-vermahta" TargetMode="External"/><Relationship Id="rId30" Type="http://schemas.openxmlformats.org/officeDocument/2006/relationships/hyperlink" Target="https://t34inform.ru/photo/14-04.jpg" TargetMode="External"/><Relationship Id="rId35" Type="http://schemas.openxmlformats.org/officeDocument/2006/relationships/hyperlink" Target="https://ru.wikipedia.org/wiki/1944_%D0%B3%D0%BE%D0%B4" TargetMode="External"/><Relationship Id="rId43" Type="http://schemas.openxmlformats.org/officeDocument/2006/relationships/hyperlink" Target="http://warspot.ru/5675-rabochie-loshadki-vtoroy-mirovoy" TargetMode="External"/><Relationship Id="rId48" Type="http://schemas.openxmlformats.org/officeDocument/2006/relationships/hyperlink" Target="https://t34inform.ru/photo/14-04.jpg" TargetMode="External"/><Relationship Id="rId56" Type="http://schemas.openxmlformats.org/officeDocument/2006/relationships/hyperlink" Target="https://warspot.ru/4282-na-podstupah-k-moskve" TargetMode="External"/><Relationship Id="rId64" Type="http://schemas.openxmlformats.org/officeDocument/2006/relationships/hyperlink" Target="http://warspot.ru/5305-valentine-na-prokachke" TargetMode="External"/><Relationship Id="rId69" Type="http://schemas.openxmlformats.org/officeDocument/2006/relationships/hyperlink" Target="https://warspot.ru/9654-pervye-tanki-kanady" TargetMode="External"/><Relationship Id="rId77" Type="http://schemas.openxmlformats.org/officeDocument/2006/relationships/hyperlink" Target="https://warspot.ru/11271-shvedskaya-ekzotika-s-nemetskimi-kornyami" TargetMode="External"/><Relationship Id="rId8" Type="http://schemas.openxmlformats.org/officeDocument/2006/relationships/hyperlink" Target="http://hl.mailru.su/mcached?q=%22%D1%81%D1%82%D0%B0%D1%86%D0%B8%D0%BE%D0%BD%D0%B0%D1%80%D0%BD%D0%B0%D1%8F%20%D0%B0%D0%B2%D0%B8%D0%B0%D0%BC%D0%B0%D1%81%D1%82%D0%B5%D1%80%D1%81%D0%BA%D0%B0%D1%8F%22&amp;nosp=1&amp;c=14-1%3A64-2&amp;r=2413860&amp;rch=l&amp;qurl=http%3A//modernlib.ru/books/polinin_fedor/boevie_marshruti/read/&amp;fr=webhsm" TargetMode="External"/><Relationship Id="rId51" Type="http://schemas.openxmlformats.org/officeDocument/2006/relationships/hyperlink" Target="http://warspot.ru/3968-vse-tyazhkie" TargetMode="External"/><Relationship Id="rId72" Type="http://schemas.openxmlformats.org/officeDocument/2006/relationships/hyperlink" Target="http://www.rpg-club.com/x1000" TargetMode="External"/><Relationship Id="rId80" Type="http://schemas.openxmlformats.org/officeDocument/2006/relationships/hyperlink" Target="https://warspot.ru/9529-levaya-rezba-po-amerikanski" TargetMode="External"/><Relationship Id="rId85" Type="http://schemas.openxmlformats.org/officeDocument/2006/relationships/hyperlink" Target="http://warspot.ru/5570-shturmovik-perednego-kraya" TargetMode="External"/><Relationship Id="rId3" Type="http://schemas.openxmlformats.org/officeDocument/2006/relationships/settings" Target="settings.xml"/><Relationship Id="rId12" Type="http://schemas.openxmlformats.org/officeDocument/2006/relationships/hyperlink" Target="http://warspot.ru/6466-improvizatsiya-v-promyshlennyh-masshtabah" TargetMode="External"/><Relationship Id="rId17" Type="http://schemas.openxmlformats.org/officeDocument/2006/relationships/hyperlink" Target="http://warspot.ru/9502-sherman-v-zadrannoy-yubke" TargetMode="External"/><Relationship Id="rId25" Type="http://schemas.openxmlformats.org/officeDocument/2006/relationships/hyperlink" Target="https://warspot.ru/9026-gaubichnyy-kv" TargetMode="External"/><Relationship Id="rId33" Type="http://schemas.openxmlformats.org/officeDocument/2006/relationships/hyperlink" Target="http://warspot.ru/3889-rozhdyonnyy-voynoy-kak-sozdavalsya-narkomat-tankovoy-promyshlennosti" TargetMode="External"/><Relationship Id="rId38" Type="http://schemas.openxmlformats.org/officeDocument/2006/relationships/hyperlink" Target="https://ru.wikipedia.org/wiki/%D0%94%D1%83%D0%BA%D1%81_(%D0%B7%D0%B0%D0%B2%D0%BE%D0%B4)" TargetMode="External"/><Relationship Id="rId46" Type="http://schemas.openxmlformats.org/officeDocument/2006/relationships/hyperlink" Target="http://warspot.ru/5675-rabochie-loshadki-vtoroy-mirovoy" TargetMode="External"/><Relationship Id="rId59" Type="http://schemas.openxmlformats.org/officeDocument/2006/relationships/hyperlink" Target="http://www.rpg-club.com/x1000" TargetMode="External"/><Relationship Id="rId67" Type="http://schemas.openxmlformats.org/officeDocument/2006/relationships/hyperlink" Target="http://warspot.ru/5675-rabochie-loshadki-vtoroy-mirovoy" TargetMode="External"/><Relationship Id="rId20" Type="http://schemas.openxmlformats.org/officeDocument/2006/relationships/hyperlink" Target="http://detectivebooks.ru/book/47013018/?page=42" TargetMode="External"/><Relationship Id="rId41" Type="http://schemas.openxmlformats.org/officeDocument/2006/relationships/hyperlink" Target="https://t34inform.ru/photo/14-04.jpg" TargetMode="External"/><Relationship Id="rId54" Type="http://schemas.openxmlformats.org/officeDocument/2006/relationships/hyperlink" Target="https://t34inform.ru/photo/14-04.jpg" TargetMode="External"/><Relationship Id="rId62" Type="http://schemas.openxmlformats.org/officeDocument/2006/relationships/hyperlink" Target="http://www.rpg-club.com/x1000" TargetMode="External"/><Relationship Id="rId70" Type="http://schemas.openxmlformats.org/officeDocument/2006/relationships/hyperlink" Target="https://warspot.ru/10282-matilda-tolstokozhaya-ledi-na-sovetsko-germanskom-fronte" TargetMode="External"/><Relationship Id="rId75" Type="http://schemas.openxmlformats.org/officeDocument/2006/relationships/hyperlink" Target="https://warspot.ru/10929-sredniy-tank-v-pervom-priblizhenii" TargetMode="External"/><Relationship Id="rId83" Type="http://schemas.openxmlformats.org/officeDocument/2006/relationships/hyperlink" Target="http://detectivebooks.ru/book/47013018/?page=42" TargetMode="External"/><Relationship Id="rId88"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arspot.ru/3968-vse-tyazhkie" TargetMode="External"/><Relationship Id="rId23" Type="http://schemas.openxmlformats.org/officeDocument/2006/relationships/hyperlink" Target="http://www.rpg-club.com/x1000" TargetMode="External"/><Relationship Id="rId28" Type="http://schemas.openxmlformats.org/officeDocument/2006/relationships/hyperlink" Target="http://warspot.ru/5675-rabochie-loshadki-vtoroy-mirovoy" TargetMode="External"/><Relationship Id="rId36" Type="http://schemas.openxmlformats.org/officeDocument/2006/relationships/hyperlink" Target="https://ru.wikipedia.org/wiki/%D0%93%D0%BE%D1%81%D1%83%D0%B4%D0%B0%D1%80%D1%81%D1%82%D0%B2%D0%B5%D0%BD%D0%BD%D1%8B%D0%B9_%D0%BA%D0%BE%D0%BC%D0%B8%D1%82%D0%B5%D1%82_%D0%BE%D0%B1%D0%BE%D1%80%D0%BE%D0%BD%D1%8B_(%D0%A1%D0%A1%D0%A1%D0%A0)" TargetMode="External"/><Relationship Id="rId49" Type="http://schemas.openxmlformats.org/officeDocument/2006/relationships/hyperlink" Target="http://warspot.ru/5193-reaktivnyy-bog-voyny" TargetMode="External"/><Relationship Id="rId57" Type="http://schemas.openxmlformats.org/officeDocument/2006/relationships/hyperlink" Target="http://www.rpg-club.com/x1000" TargetMode="External"/><Relationship Id="rId10" Type="http://schemas.openxmlformats.org/officeDocument/2006/relationships/hyperlink" Target="http://hl.mailru.su/mcached?q=%22%D1%81%D1%82%D0%B0%D1%86%D0%B8%D0%BE%D0%BD%D0%B0%D1%80%D0%BD%D0%B0%D1%8F%20%D0%B0%D0%B2%D0%B8%D0%B0%D0%BC%D0%B0%D1%81%D1%82%D0%B5%D1%80%D1%81%D0%BA%D0%B0%D1%8F%22&amp;nosp=1&amp;c=14-1%3A64-2&amp;r=2413860&amp;rch=l&amp;qurl=http%3A//modernlib.ru/books/polinin_fedor/boevie_marshruti/read/&amp;fr=webhsm" TargetMode="External"/><Relationship Id="rId31" Type="http://schemas.openxmlformats.org/officeDocument/2006/relationships/hyperlink" Target="https://t34inform.ru/photo/14-03.jpg" TargetMode="External"/><Relationship Id="rId44" Type="http://schemas.openxmlformats.org/officeDocument/2006/relationships/hyperlink" Target="http://teatrskazka.com/Raznoe/PostanovGKO/194110/gko_0838.html" TargetMode="External"/><Relationship Id="rId52" Type="http://schemas.openxmlformats.org/officeDocument/2006/relationships/hyperlink" Target="https://warspot.ru/15451-ferdinand-porshe-tankovyy-avantyurist-ili-zalozhnik-obstoyatelstv" TargetMode="External"/><Relationship Id="rId60" Type="http://schemas.openxmlformats.org/officeDocument/2006/relationships/hyperlink" Target="http://www.rpg-club.com/x1000" TargetMode="External"/><Relationship Id="rId65" Type="http://schemas.openxmlformats.org/officeDocument/2006/relationships/hyperlink" Target="http://warspot.ru/5605-medium-tank-mk-i-pervyy-manyovrennyy" TargetMode="External"/><Relationship Id="rId73" Type="http://schemas.openxmlformats.org/officeDocument/2006/relationships/hyperlink" Target="https://warspot.ru/10282-matilda-tolstokozhaya-ledi-na-sovetsko-germanskom-fronte" TargetMode="External"/><Relationship Id="rId78" Type="http://schemas.openxmlformats.org/officeDocument/2006/relationships/hyperlink" Target="http://warspot.ru/6174-pervyy-amerikanskiy-tysyachnik" TargetMode="External"/><Relationship Id="rId81" Type="http://schemas.openxmlformats.org/officeDocument/2006/relationships/hyperlink" Target="https://warspot.ru/12187-massovyy-tank-dlya-soyuznikov" TargetMode="External"/><Relationship Id="rId86" Type="http://schemas.openxmlformats.org/officeDocument/2006/relationships/hyperlink" Target="http://warspot.ru/3724-mify-i-fakty-o-lend-liz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1157</TotalTime>
  <Pages>992</Pages>
  <Words>1217910</Words>
  <Characters>6942093</Characters>
  <Application>Microsoft Office Word</Application>
  <DocSecurity>0</DocSecurity>
  <Lines>57850</Lines>
  <Paragraphs>16287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8143716</CharactersWithSpaces>
  <SharedDoc>false</SharedDoc>
  <HLinks>
    <vt:vector size="6" baseType="variant">
      <vt:variant>
        <vt:i4>3670139</vt:i4>
      </vt:variant>
      <vt:variant>
        <vt:i4>3</vt:i4>
      </vt:variant>
      <vt:variant>
        <vt:i4>0</vt:i4>
      </vt:variant>
      <vt:variant>
        <vt:i4>5</vt:i4>
      </vt:variant>
      <vt:variant>
        <vt:lpwstr>http://teatrskazka.com/Raznoe/PostanovGKO/194110/gko_0838.html</vt:lpwstr>
      </vt:variant>
      <vt:variant>
        <vt:lpwstr>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Иван Родионов</dc:creator>
  <cp:lastModifiedBy>Пользователь</cp:lastModifiedBy>
  <cp:revision>74</cp:revision>
  <dcterms:created xsi:type="dcterms:W3CDTF">2022-04-26T14:28:00Z</dcterms:created>
  <dcterms:modified xsi:type="dcterms:W3CDTF">2022-05-08T08:41:00Z</dcterms:modified>
</cp:coreProperties>
</file>